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BD190" w14:textId="77777777" w:rsidR="00FB6710" w:rsidRPr="00183B5F" w:rsidRDefault="00FB6710" w:rsidP="004062FE">
      <w:pPr>
        <w:spacing w:line="240" w:lineRule="auto"/>
        <w:rPr>
          <w:szCs w:val="22"/>
        </w:rPr>
      </w:pPr>
    </w:p>
    <w:p w14:paraId="7413735A" w14:textId="15E2FEB2" w:rsidR="00FB6710" w:rsidRPr="00183B5F" w:rsidRDefault="00943743" w:rsidP="004062FE">
      <w:pPr>
        <w:pStyle w:val="EndnoteText"/>
        <w:tabs>
          <w:tab w:val="clear" w:pos="567"/>
        </w:tabs>
        <w:suppressAutoHyphens/>
        <w:rPr>
          <w:sz w:val="22"/>
          <w:szCs w:val="22"/>
          <w:lang w:val="hu-HU" w:eastAsia="hu-HU"/>
        </w:rPr>
      </w:pPr>
      <w:r w:rsidRPr="00AD2B60">
        <w:rPr>
          <w:b/>
          <w:noProof/>
          <w:szCs w:val="22"/>
        </w:rPr>
        <mc:AlternateContent>
          <mc:Choice Requires="wps">
            <w:drawing>
              <wp:anchor distT="0" distB="0" distL="114300" distR="114300" simplePos="0" relativeHeight="251684864" behindDoc="0" locked="0" layoutInCell="1" allowOverlap="1" wp14:anchorId="4C31DD62" wp14:editId="3006DCDB">
                <wp:simplePos x="0" y="0"/>
                <wp:positionH relativeFrom="margin">
                  <wp:posOffset>0</wp:posOffset>
                </wp:positionH>
                <wp:positionV relativeFrom="paragraph">
                  <wp:posOffset>161290</wp:posOffset>
                </wp:positionV>
                <wp:extent cx="5772150" cy="1404620"/>
                <wp:effectExtent l="0" t="0" r="1905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404620"/>
                        </a:xfrm>
                        <a:prstGeom prst="rect">
                          <a:avLst/>
                        </a:prstGeom>
                        <a:solidFill>
                          <a:srgbClr val="FFFFFF"/>
                        </a:solidFill>
                        <a:ln w="9525">
                          <a:solidFill>
                            <a:srgbClr val="000000"/>
                          </a:solidFill>
                          <a:miter lim="800000"/>
                          <a:headEnd/>
                          <a:tailEnd/>
                        </a:ln>
                      </wps:spPr>
                      <wps:txbx>
                        <w:txbxContent>
                          <w:p w14:paraId="27B6C54B" w14:textId="77777777" w:rsidR="00A32A35" w:rsidRDefault="00943743" w:rsidP="00A32A35">
                            <w:r w:rsidRPr="00220238">
                              <w:t xml:space="preserve">Ez a dokumentum a </w:t>
                            </w:r>
                            <w:r>
                              <w:t>Humira</w:t>
                            </w:r>
                            <w:r w:rsidRPr="00A32A35">
                              <w:t xml:space="preserve"> </w:t>
                            </w:r>
                            <w:r w:rsidRPr="00220238">
                              <w:t xml:space="preserve">jóváhagyott kísérőiratait képezi, és változáskövetéssel jelölve tartalmazza a kísérőiratokat érintő előző eljárás </w:t>
                            </w:r>
                            <w:r w:rsidRPr="00AD2B60">
                              <w:t>(</w:t>
                            </w:r>
                            <w:r w:rsidRPr="00EA5277">
                              <w:t>EMA/N/0000249136</w:t>
                            </w:r>
                            <w:r w:rsidRPr="00AD2B60">
                              <w:t xml:space="preserve">) </w:t>
                            </w:r>
                            <w:r w:rsidRPr="00220238">
                              <w:t>óta eszközölt változtatásokat.</w:t>
                            </w:r>
                          </w:p>
                          <w:p w14:paraId="29BB8CAA" w14:textId="77777777" w:rsidR="00A32A35" w:rsidRDefault="00A32A35" w:rsidP="00A32A35"/>
                          <w:p w14:paraId="1B101500" w14:textId="77777777" w:rsidR="00A32A35" w:rsidRDefault="00943743" w:rsidP="00A32A35">
                            <w:r w:rsidRPr="00220238">
                              <w:t xml:space="preserve">További információ az Európai Gyógyszerügynökség honlapján található: </w:t>
                            </w:r>
                            <w:hyperlink r:id="rId8" w:history="1">
                              <w:r w:rsidR="00A32A35" w:rsidRPr="00EA5277">
                                <w:rPr>
                                  <w:rStyle w:val="Hyperlink"/>
                                </w:rPr>
                                <w:t>https://www.ema.europa.eu/en/medicines/human/EPAR/Humira</w:t>
                              </w:r>
                            </w:hyperlink>
                          </w:p>
                        </w:txbxContent>
                      </wps:txbx>
                      <wps:bodyPr rot="0" vert="horz" wrap="square" lIns="91440" tIns="45720" rIns="91440" bIns="45720" anchor="t" anchorCtr="0">
                        <a:spAutoFit/>
                      </wps:bodyPr>
                    </wps:wsp>
                  </a:graphicData>
                </a:graphic>
              </wp:anchor>
            </w:drawing>
          </mc:Choice>
          <mc:Fallback>
            <w:pict>
              <v:shapetype w14:anchorId="4C31DD62" id="_x0000_t202" coordsize="21600,21600" o:spt="202" path="m,l,21600r21600,l21600,xe">
                <v:stroke joinstyle="miter"/>
                <v:path gradientshapeok="t" o:connecttype="rect"/>
              </v:shapetype>
              <v:shape id="Text Box 2" o:spid="_x0000_s1026" type="#_x0000_t202" style="position:absolute;margin-left:0;margin-top:12.7pt;width:454.5pt;height:110.6pt;z-index:2516848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">
                <v:textbox style="mso-fit-shape-to-text:t">
                  <w:txbxContent>
                    <w:p w14:paraId="27B6C54B" w14:textId="77777777" w:rsidR="00A32A35" w:rsidRDefault="00943743" w:rsidP="00A32A35">
                      <w:r w:rsidRPr="00220238">
                        <w:t xml:space="preserve">Ez a dokumentum a </w:t>
                      </w:r>
                      <w:r>
                        <w:t>Humira</w:t>
                      </w:r>
                      <w:r w:rsidRPr="00A32A35">
                        <w:t xml:space="preserve"> </w:t>
                      </w:r>
                      <w:r w:rsidRPr="00220238">
                        <w:t xml:space="preserve">jóváhagyott kísérőiratait képezi, és változáskövetéssel jelölve tartalmazza a kísérőiratokat érintő előző eljárás </w:t>
                      </w:r>
                      <w:r w:rsidRPr="00AD2B60">
                        <w:t>(</w:t>
                      </w:r>
                      <w:r w:rsidRPr="00EA5277">
                        <w:t>EMA/N/0000249136</w:t>
                      </w:r>
                      <w:r w:rsidRPr="00AD2B60">
                        <w:t xml:space="preserve">) </w:t>
                      </w:r>
                      <w:r w:rsidRPr="00220238">
                        <w:t>óta eszközölt változtatásokat.</w:t>
                      </w:r>
                    </w:p>
                    <w:p w14:paraId="29BB8CAA" w14:textId="77777777" w:rsidR="00A32A35" w:rsidRDefault="00A32A35" w:rsidP="00A32A35"/>
                    <w:p w14:paraId="1B101500" w14:textId="77777777" w:rsidR="00A32A35" w:rsidRDefault="00943743" w:rsidP="00A32A35">
                      <w:r w:rsidRPr="00220238">
                        <w:t xml:space="preserve">További információ az Európai Gyógyszerügynökség honlapján található: </w:t>
                      </w:r>
                      <w:hyperlink r:id="rId9" w:history="1">
                        <w:r w:rsidR="00A32A35" w:rsidRPr="00EA5277">
                          <w:rPr>
                            <w:rStyle w:val="Hyperlink"/>
                          </w:rPr>
                          <w:t>https://www.ema.europa.eu/en/medicines/human/EPAR/Humira</w:t>
                        </w:r>
                      </w:hyperlink>
                    </w:p>
                  </w:txbxContent>
                </v:textbox>
                <w10:wrap type="square" anchorx="margin"/>
              </v:shape>
            </w:pict>
          </mc:Fallback>
        </mc:AlternateContent>
      </w:r>
    </w:p>
    <w:p w14:paraId="293D2F12" w14:textId="77777777" w:rsidR="00FB6710" w:rsidRPr="00183B5F" w:rsidRDefault="00FB6710" w:rsidP="004062FE">
      <w:pPr>
        <w:spacing w:line="240" w:lineRule="auto"/>
        <w:rPr>
          <w:szCs w:val="22"/>
        </w:rPr>
      </w:pPr>
    </w:p>
    <w:p w14:paraId="2B438441" w14:textId="77777777" w:rsidR="00FB6710" w:rsidRPr="00183B5F" w:rsidRDefault="00FB6710" w:rsidP="004062FE">
      <w:pPr>
        <w:spacing w:line="240" w:lineRule="auto"/>
        <w:rPr>
          <w:szCs w:val="22"/>
        </w:rPr>
      </w:pPr>
    </w:p>
    <w:p w14:paraId="58358CBA" w14:textId="77777777" w:rsidR="00FB6710" w:rsidRPr="00183B5F" w:rsidRDefault="00FB6710" w:rsidP="004062FE">
      <w:pPr>
        <w:spacing w:line="240" w:lineRule="auto"/>
        <w:rPr>
          <w:szCs w:val="22"/>
        </w:rPr>
      </w:pPr>
    </w:p>
    <w:p w14:paraId="1964909E" w14:textId="77777777" w:rsidR="00FB6710" w:rsidRPr="00183B5F" w:rsidRDefault="00FB6710" w:rsidP="004062FE">
      <w:pPr>
        <w:spacing w:line="240" w:lineRule="auto"/>
        <w:rPr>
          <w:szCs w:val="22"/>
        </w:rPr>
      </w:pPr>
    </w:p>
    <w:p w14:paraId="420CB718" w14:textId="77777777" w:rsidR="00FB6710" w:rsidRPr="00183B5F" w:rsidRDefault="00FB6710" w:rsidP="004062FE">
      <w:pPr>
        <w:spacing w:line="240" w:lineRule="auto"/>
        <w:rPr>
          <w:szCs w:val="22"/>
        </w:rPr>
      </w:pPr>
    </w:p>
    <w:p w14:paraId="7CD8E84F" w14:textId="77777777" w:rsidR="00FB6710" w:rsidRPr="00183B5F" w:rsidRDefault="00FB6710" w:rsidP="004062FE">
      <w:pPr>
        <w:spacing w:line="240" w:lineRule="auto"/>
        <w:rPr>
          <w:szCs w:val="22"/>
        </w:rPr>
      </w:pPr>
    </w:p>
    <w:p w14:paraId="285521AD" w14:textId="77777777" w:rsidR="00FB6710" w:rsidRPr="00183B5F" w:rsidRDefault="00FB6710" w:rsidP="004062FE">
      <w:pPr>
        <w:spacing w:line="240" w:lineRule="auto"/>
        <w:rPr>
          <w:szCs w:val="22"/>
        </w:rPr>
      </w:pPr>
    </w:p>
    <w:p w14:paraId="64F9B0CE" w14:textId="77777777" w:rsidR="00FB6710" w:rsidRPr="00183B5F" w:rsidRDefault="00FB6710" w:rsidP="004062FE">
      <w:pPr>
        <w:spacing w:line="240" w:lineRule="auto"/>
        <w:rPr>
          <w:szCs w:val="22"/>
        </w:rPr>
      </w:pPr>
    </w:p>
    <w:p w14:paraId="5A00A933" w14:textId="77777777" w:rsidR="00FB6710" w:rsidRPr="00183B5F" w:rsidRDefault="00FB6710" w:rsidP="004062FE">
      <w:pPr>
        <w:spacing w:line="240" w:lineRule="auto"/>
        <w:rPr>
          <w:szCs w:val="22"/>
        </w:rPr>
      </w:pPr>
    </w:p>
    <w:p w14:paraId="6667E59D" w14:textId="77777777" w:rsidR="00FB6710" w:rsidRPr="00183B5F" w:rsidRDefault="00FB6710" w:rsidP="004062FE">
      <w:pPr>
        <w:spacing w:line="240" w:lineRule="auto"/>
        <w:rPr>
          <w:szCs w:val="22"/>
        </w:rPr>
      </w:pPr>
    </w:p>
    <w:p w14:paraId="3AE09AF1" w14:textId="77777777" w:rsidR="00FB6710" w:rsidRPr="00183B5F" w:rsidRDefault="00FB6710" w:rsidP="004062FE">
      <w:pPr>
        <w:spacing w:line="240" w:lineRule="auto"/>
        <w:rPr>
          <w:szCs w:val="22"/>
        </w:rPr>
      </w:pPr>
    </w:p>
    <w:p w14:paraId="55A4E066" w14:textId="77777777" w:rsidR="00FB6710" w:rsidRPr="00183B5F" w:rsidRDefault="00FB6710" w:rsidP="004062FE">
      <w:pPr>
        <w:spacing w:line="240" w:lineRule="auto"/>
        <w:rPr>
          <w:szCs w:val="22"/>
        </w:rPr>
      </w:pPr>
    </w:p>
    <w:p w14:paraId="31418285" w14:textId="77777777" w:rsidR="00FB6710" w:rsidRPr="00183B5F" w:rsidRDefault="00FB6710" w:rsidP="004062FE">
      <w:pPr>
        <w:spacing w:line="240" w:lineRule="auto"/>
        <w:rPr>
          <w:szCs w:val="22"/>
        </w:rPr>
      </w:pPr>
    </w:p>
    <w:p w14:paraId="3938FD83" w14:textId="77777777" w:rsidR="00FB6710" w:rsidRPr="00183B5F" w:rsidRDefault="00FB6710" w:rsidP="004062FE">
      <w:pPr>
        <w:spacing w:line="240" w:lineRule="auto"/>
        <w:rPr>
          <w:szCs w:val="22"/>
        </w:rPr>
      </w:pPr>
    </w:p>
    <w:p w14:paraId="5A625238" w14:textId="77777777" w:rsidR="00FB6710" w:rsidRPr="00183B5F" w:rsidRDefault="00FB6710" w:rsidP="004062FE">
      <w:pPr>
        <w:spacing w:line="240" w:lineRule="auto"/>
        <w:rPr>
          <w:szCs w:val="22"/>
        </w:rPr>
      </w:pPr>
    </w:p>
    <w:p w14:paraId="08F92110" w14:textId="77777777" w:rsidR="00FB6710" w:rsidRPr="00183B5F" w:rsidRDefault="00FB6710" w:rsidP="004062FE">
      <w:pPr>
        <w:spacing w:line="240" w:lineRule="auto"/>
        <w:rPr>
          <w:szCs w:val="22"/>
        </w:rPr>
      </w:pPr>
    </w:p>
    <w:p w14:paraId="587619CF" w14:textId="77777777" w:rsidR="00FB6710" w:rsidRPr="00183B5F" w:rsidRDefault="00FB6710" w:rsidP="004062FE">
      <w:pPr>
        <w:spacing w:line="240" w:lineRule="auto"/>
        <w:rPr>
          <w:szCs w:val="22"/>
        </w:rPr>
      </w:pPr>
    </w:p>
    <w:p w14:paraId="45C9007A" w14:textId="77777777" w:rsidR="00FB6710" w:rsidRPr="00183B5F" w:rsidRDefault="00FB6710" w:rsidP="004062FE">
      <w:pPr>
        <w:spacing w:line="240" w:lineRule="auto"/>
        <w:rPr>
          <w:szCs w:val="22"/>
        </w:rPr>
      </w:pPr>
    </w:p>
    <w:p w14:paraId="4B241FD6" w14:textId="77777777" w:rsidR="00FB6710" w:rsidRPr="00183B5F" w:rsidRDefault="00FB6710" w:rsidP="004062FE">
      <w:pPr>
        <w:spacing w:line="240" w:lineRule="auto"/>
        <w:rPr>
          <w:szCs w:val="22"/>
        </w:rPr>
      </w:pPr>
    </w:p>
    <w:p w14:paraId="43E63493" w14:textId="77777777" w:rsidR="00FB6710" w:rsidRPr="00183B5F" w:rsidRDefault="00FB6710" w:rsidP="004062FE">
      <w:pPr>
        <w:spacing w:line="240" w:lineRule="auto"/>
        <w:rPr>
          <w:szCs w:val="22"/>
        </w:rPr>
      </w:pPr>
    </w:p>
    <w:p w14:paraId="717BD174" w14:textId="77777777" w:rsidR="00FB6710" w:rsidRPr="00183B5F" w:rsidRDefault="00FB6710" w:rsidP="004062FE">
      <w:pPr>
        <w:spacing w:line="240" w:lineRule="auto"/>
        <w:rPr>
          <w:szCs w:val="22"/>
        </w:rPr>
      </w:pPr>
    </w:p>
    <w:p w14:paraId="361F381E" w14:textId="77777777" w:rsidR="00FB6710" w:rsidRPr="00183B5F" w:rsidRDefault="00943743" w:rsidP="004062FE">
      <w:pPr>
        <w:spacing w:line="240" w:lineRule="auto"/>
        <w:jc w:val="center"/>
        <w:rPr>
          <w:b/>
          <w:szCs w:val="22"/>
        </w:rPr>
      </w:pPr>
      <w:r w:rsidRPr="00183B5F">
        <w:rPr>
          <w:b/>
          <w:szCs w:val="22"/>
        </w:rPr>
        <w:t>I. MELLÉKLET</w:t>
      </w:r>
    </w:p>
    <w:p w14:paraId="66B89CCE" w14:textId="77777777" w:rsidR="00FB6710" w:rsidRPr="00183B5F" w:rsidRDefault="00FB6710" w:rsidP="004062FE">
      <w:pPr>
        <w:spacing w:line="240" w:lineRule="auto"/>
        <w:jc w:val="center"/>
        <w:rPr>
          <w:b/>
          <w:szCs w:val="22"/>
        </w:rPr>
      </w:pPr>
    </w:p>
    <w:p w14:paraId="536476BB" w14:textId="77777777" w:rsidR="00FB6710" w:rsidRPr="00183B5F" w:rsidRDefault="00943743" w:rsidP="004062FE">
      <w:pPr>
        <w:pStyle w:val="BMCENTRED"/>
        <w:spacing w:line="240" w:lineRule="auto"/>
      </w:pPr>
      <w:r w:rsidRPr="00183B5F">
        <w:t>ALKALMAZÁSI ELŐÍRÁS</w:t>
      </w:r>
    </w:p>
    <w:p w14:paraId="502BD35A" w14:textId="77777777" w:rsidR="00FB6710" w:rsidRPr="00183B5F" w:rsidRDefault="00FB6710" w:rsidP="004062FE">
      <w:pPr>
        <w:spacing w:line="240" w:lineRule="auto"/>
        <w:jc w:val="center"/>
        <w:rPr>
          <w:b/>
          <w:szCs w:val="22"/>
        </w:rPr>
      </w:pPr>
    </w:p>
    <w:p w14:paraId="3C58015B" w14:textId="77777777" w:rsidR="00366005" w:rsidRPr="00183B5F" w:rsidRDefault="00943743">
      <w:pPr>
        <w:spacing w:line="240" w:lineRule="auto"/>
        <w:rPr>
          <w:b/>
          <w:szCs w:val="22"/>
        </w:rPr>
      </w:pPr>
      <w:r w:rsidRPr="00183B5F">
        <w:rPr>
          <w:b/>
          <w:szCs w:val="22"/>
        </w:rPr>
        <w:br w:type="page"/>
      </w:r>
      <w:r w:rsidRPr="00183B5F">
        <w:rPr>
          <w:b/>
          <w:szCs w:val="22"/>
        </w:rPr>
        <w:lastRenderedPageBreak/>
        <w:t>1.</w:t>
      </w:r>
      <w:r w:rsidRPr="00183B5F">
        <w:rPr>
          <w:b/>
          <w:szCs w:val="22"/>
        </w:rPr>
        <w:tab/>
        <w:t>A GYÓGYSZER NEVE</w:t>
      </w:r>
    </w:p>
    <w:p w14:paraId="1738DBD9" w14:textId="77777777" w:rsidR="00366005" w:rsidRPr="00183B5F" w:rsidRDefault="00366005">
      <w:pPr>
        <w:spacing w:line="240" w:lineRule="auto"/>
        <w:rPr>
          <w:szCs w:val="22"/>
        </w:rPr>
      </w:pPr>
    </w:p>
    <w:p w14:paraId="7B56DADC" w14:textId="77777777" w:rsidR="00366005" w:rsidRPr="00183B5F" w:rsidRDefault="00943743">
      <w:pPr>
        <w:spacing w:line="240" w:lineRule="auto"/>
        <w:rPr>
          <w:szCs w:val="22"/>
        </w:rPr>
      </w:pPr>
      <w:r w:rsidRPr="00183B5F">
        <w:rPr>
          <w:szCs w:val="22"/>
        </w:rPr>
        <w:t>Humira 20 mg oldatos injekció előretöltött fecskendőben</w:t>
      </w:r>
    </w:p>
    <w:p w14:paraId="4E17319E" w14:textId="77777777" w:rsidR="00366005" w:rsidRPr="00183B5F" w:rsidRDefault="00366005">
      <w:pPr>
        <w:spacing w:line="240" w:lineRule="auto"/>
        <w:rPr>
          <w:szCs w:val="22"/>
        </w:rPr>
      </w:pPr>
    </w:p>
    <w:p w14:paraId="6AD75270" w14:textId="77777777" w:rsidR="00366005" w:rsidRPr="00183B5F" w:rsidRDefault="00366005">
      <w:pPr>
        <w:spacing w:line="240" w:lineRule="auto"/>
        <w:rPr>
          <w:szCs w:val="22"/>
        </w:rPr>
      </w:pPr>
    </w:p>
    <w:p w14:paraId="61827CEF" w14:textId="77777777" w:rsidR="00366005" w:rsidRPr="00183B5F" w:rsidRDefault="00943743">
      <w:pPr>
        <w:pStyle w:val="EndnoteText"/>
        <w:tabs>
          <w:tab w:val="clear" w:pos="567"/>
          <w:tab w:val="left" w:pos="708"/>
        </w:tabs>
        <w:suppressAutoHyphens/>
        <w:rPr>
          <w:sz w:val="22"/>
          <w:lang w:val="hu-HU"/>
        </w:rPr>
      </w:pPr>
      <w:r w:rsidRPr="00183B5F">
        <w:rPr>
          <w:b/>
          <w:sz w:val="22"/>
          <w:szCs w:val="22"/>
          <w:lang w:val="hu-HU"/>
        </w:rPr>
        <w:t>2</w:t>
      </w:r>
      <w:r w:rsidRPr="00183B5F">
        <w:rPr>
          <w:b/>
          <w:sz w:val="22"/>
          <w:lang w:val="hu-HU"/>
        </w:rPr>
        <w:t>.</w:t>
      </w:r>
      <w:r w:rsidRPr="00183B5F">
        <w:rPr>
          <w:b/>
          <w:sz w:val="22"/>
          <w:lang w:val="hu-HU"/>
        </w:rPr>
        <w:tab/>
        <w:t>MINŐSÉGI ÉS MENNYISÉGI ÖSSZETÉTEL</w:t>
      </w:r>
    </w:p>
    <w:p w14:paraId="65FFCC8A" w14:textId="77777777" w:rsidR="00366005" w:rsidRPr="00183B5F" w:rsidRDefault="00366005">
      <w:pPr>
        <w:spacing w:line="240" w:lineRule="auto"/>
        <w:rPr>
          <w:szCs w:val="22"/>
        </w:rPr>
      </w:pPr>
    </w:p>
    <w:p w14:paraId="2156C3AB" w14:textId="77777777" w:rsidR="00366005" w:rsidRPr="00183B5F" w:rsidRDefault="00943743">
      <w:pPr>
        <w:spacing w:line="240" w:lineRule="auto"/>
        <w:rPr>
          <w:szCs w:val="22"/>
        </w:rPr>
      </w:pPr>
      <w:r w:rsidRPr="00183B5F">
        <w:rPr>
          <w:szCs w:val="22"/>
        </w:rPr>
        <w:t>20 mg adalimumab 0,2 ml</w:t>
      </w:r>
      <w:r w:rsidRPr="00183B5F">
        <w:rPr>
          <w:szCs w:val="22"/>
        </w:rPr>
        <w:noBreakHyphen/>
        <w:t xml:space="preserve">es, egyadagos </w:t>
      </w:r>
      <w:r w:rsidR="000B31CA" w:rsidRPr="00183B5F">
        <w:rPr>
          <w:szCs w:val="22"/>
        </w:rPr>
        <w:t>előretöltött fecskendőben</w:t>
      </w:r>
      <w:r w:rsidRPr="00183B5F">
        <w:rPr>
          <w:szCs w:val="22"/>
        </w:rPr>
        <w:t>.</w:t>
      </w:r>
    </w:p>
    <w:p w14:paraId="189D426D" w14:textId="77777777" w:rsidR="00366005" w:rsidRPr="00183B5F" w:rsidRDefault="00366005">
      <w:pPr>
        <w:spacing w:line="240" w:lineRule="auto"/>
        <w:rPr>
          <w:szCs w:val="22"/>
        </w:rPr>
      </w:pPr>
    </w:p>
    <w:p w14:paraId="640A1820" w14:textId="77777777" w:rsidR="00366005" w:rsidRDefault="00943743">
      <w:pPr>
        <w:spacing w:line="240" w:lineRule="auto"/>
        <w:rPr>
          <w:ins w:id="0" w:author="AbbVie_HU_03" w:date="2025-05-14T14:31:00Z"/>
          <w:noProof/>
          <w:szCs w:val="22"/>
        </w:rPr>
      </w:pPr>
      <w:r w:rsidRPr="00183B5F">
        <w:rPr>
          <w:noProof/>
          <w:szCs w:val="22"/>
        </w:rPr>
        <w:t>Az adalimumab egy rekombináns humán monoklonális antitest, melyet kínai hörcsög petefészek sejtekben állítanak elő.</w:t>
      </w:r>
    </w:p>
    <w:p w14:paraId="3EC3B51C" w14:textId="77777777" w:rsidR="008446F7" w:rsidRDefault="008446F7">
      <w:pPr>
        <w:spacing w:line="240" w:lineRule="auto"/>
        <w:rPr>
          <w:ins w:id="1" w:author="AbbVie_HU_03" w:date="2025-05-14T14:31:00Z"/>
          <w:noProof/>
          <w:szCs w:val="22"/>
        </w:rPr>
      </w:pPr>
    </w:p>
    <w:p w14:paraId="2FFFEE24" w14:textId="59DC324D" w:rsidR="008446F7" w:rsidRDefault="00943743">
      <w:pPr>
        <w:spacing w:line="240" w:lineRule="auto"/>
        <w:rPr>
          <w:ins w:id="2" w:author="AbbVie_HU_03" w:date="2025-05-14T14:48:00Z"/>
          <w:u w:val="single"/>
        </w:rPr>
      </w:pPr>
      <w:ins w:id="3" w:author="AbbVie_HU_03" w:date="2025-05-14T14:46:00Z">
        <w:r w:rsidRPr="00071EBC">
          <w:rPr>
            <w:u w:val="single"/>
          </w:rPr>
          <w:t>Ismert hatású segédanyag(ok)</w:t>
        </w:r>
      </w:ins>
    </w:p>
    <w:p w14:paraId="33A5BE4C" w14:textId="77777777" w:rsidR="00245486" w:rsidRDefault="00245486">
      <w:pPr>
        <w:spacing w:line="240" w:lineRule="auto"/>
        <w:rPr>
          <w:ins w:id="4" w:author="AbbVie_HU_03" w:date="2025-05-14T14:48:00Z"/>
          <w:u w:val="single"/>
        </w:rPr>
      </w:pPr>
    </w:p>
    <w:p w14:paraId="675ADF36" w14:textId="6380805F" w:rsidR="00245486" w:rsidRPr="00857D2C" w:rsidRDefault="00943743">
      <w:pPr>
        <w:spacing w:line="240" w:lineRule="auto"/>
        <w:rPr>
          <w:noProof/>
          <w:szCs w:val="22"/>
        </w:rPr>
      </w:pPr>
      <w:ins w:id="5" w:author="AbbVie_HU_03" w:date="2025-05-14T14:49:00Z">
        <w:r w:rsidRPr="00857D2C">
          <w:rPr>
            <w:rPrChange w:id="6" w:author="AbbVie_HU_03" w:date="2025-05-14T14:54:00Z">
              <w:rPr>
                <w:u w:val="single"/>
              </w:rPr>
            </w:rPrChange>
          </w:rPr>
          <w:t>Ez a gyógyszer 0,2</w:t>
        </w:r>
      </w:ins>
      <w:ins w:id="7" w:author="AbbVie_HU_03" w:date="2025-05-14T16:51:00Z">
        <w:r w:rsidR="005F356A">
          <w:t> </w:t>
        </w:r>
      </w:ins>
      <w:ins w:id="8" w:author="AbbVie_HU_03" w:date="2025-05-14T14:49:00Z">
        <w:r w:rsidRPr="00857D2C">
          <w:rPr>
            <w:rPrChange w:id="9" w:author="AbbVie_HU_03" w:date="2025-05-14T14:54:00Z">
              <w:rPr>
                <w:u w:val="single"/>
              </w:rPr>
            </w:rPrChange>
          </w:rPr>
          <w:t>mg pol</w:t>
        </w:r>
      </w:ins>
      <w:ins w:id="10" w:author="AbbVie_HU_03" w:date="2025-05-14T14:51:00Z">
        <w:r w:rsidRPr="00857D2C">
          <w:rPr>
            <w:rPrChange w:id="11" w:author="AbbVie_HU_03" w:date="2025-05-14T14:54:00Z">
              <w:rPr>
                <w:u w:val="single"/>
              </w:rPr>
            </w:rPrChange>
          </w:rPr>
          <w:t>i</w:t>
        </w:r>
      </w:ins>
      <w:ins w:id="12" w:author="AbbVie_HU_03" w:date="2025-05-14T14:49:00Z">
        <w:r w:rsidRPr="00857D2C">
          <w:rPr>
            <w:rPrChange w:id="13" w:author="AbbVie_HU_03" w:date="2025-05-14T14:54:00Z">
              <w:rPr>
                <w:u w:val="single"/>
              </w:rPr>
            </w:rPrChange>
          </w:rPr>
          <w:t>s</w:t>
        </w:r>
      </w:ins>
      <w:ins w:id="14" w:author="AbbVie_HU_03" w:date="2025-05-14T14:51:00Z">
        <w:r w:rsidRPr="00857D2C">
          <w:rPr>
            <w:rPrChange w:id="15" w:author="AbbVie_HU_03" w:date="2025-05-14T14:54:00Z">
              <w:rPr>
                <w:u w:val="single"/>
              </w:rPr>
            </w:rPrChange>
          </w:rPr>
          <w:t>z</w:t>
        </w:r>
      </w:ins>
      <w:ins w:id="16" w:author="AbbVie_HU_03" w:date="2025-05-14T14:49:00Z">
        <w:r w:rsidRPr="00857D2C">
          <w:rPr>
            <w:rPrChange w:id="17" w:author="AbbVie_HU_03" w:date="2025-05-14T14:54:00Z">
              <w:rPr>
                <w:u w:val="single"/>
              </w:rPr>
            </w:rPrChange>
          </w:rPr>
          <w:t>orb</w:t>
        </w:r>
      </w:ins>
      <w:ins w:id="18" w:author="AbbVie_HU_03" w:date="2025-05-14T14:51:00Z">
        <w:r w:rsidRPr="00857D2C">
          <w:rPr>
            <w:rPrChange w:id="19" w:author="AbbVie_HU_03" w:date="2025-05-14T14:54:00Z">
              <w:rPr>
                <w:u w:val="single"/>
              </w:rPr>
            </w:rPrChange>
          </w:rPr>
          <w:t>á</w:t>
        </w:r>
      </w:ins>
      <w:ins w:id="20" w:author="AbbVie_HU_03" w:date="2025-05-14T14:49:00Z">
        <w:r w:rsidRPr="00857D2C">
          <w:rPr>
            <w:rPrChange w:id="21" w:author="AbbVie_HU_03" w:date="2025-05-14T14:54:00Z">
              <w:rPr>
                <w:u w:val="single"/>
              </w:rPr>
            </w:rPrChange>
          </w:rPr>
          <w:t>t 80</w:t>
        </w:r>
      </w:ins>
      <w:ins w:id="22" w:author="AbbVie_HU_03" w:date="2025-05-14T14:50:00Z">
        <w:r w:rsidRPr="00857D2C">
          <w:rPr>
            <w:rPrChange w:id="23" w:author="AbbVie_HU_03" w:date="2025-05-14T14:54:00Z">
              <w:rPr>
                <w:u w:val="single"/>
              </w:rPr>
            </w:rPrChange>
          </w:rPr>
          <w:t>-at tartalmaz 20</w:t>
        </w:r>
      </w:ins>
      <w:ins w:id="24" w:author="AbbVie_HU_03" w:date="2025-05-14T16:51:00Z">
        <w:r w:rsidR="005F356A">
          <w:t> </w:t>
        </w:r>
      </w:ins>
      <w:ins w:id="25" w:author="AbbVie_HU_03" w:date="2025-05-14T14:50:00Z">
        <w:r w:rsidRPr="00857D2C">
          <w:rPr>
            <w:rPrChange w:id="26" w:author="AbbVie_HU_03" w:date="2025-05-14T14:54:00Z">
              <w:rPr>
                <w:u w:val="single"/>
              </w:rPr>
            </w:rPrChange>
          </w:rPr>
          <w:t>mg-os adagonként.</w:t>
        </w:r>
      </w:ins>
    </w:p>
    <w:p w14:paraId="724C7D3B" w14:textId="77777777" w:rsidR="00366005" w:rsidRPr="00183B5F" w:rsidRDefault="00366005">
      <w:pPr>
        <w:pStyle w:val="EndnoteText"/>
        <w:tabs>
          <w:tab w:val="clear" w:pos="567"/>
          <w:tab w:val="left" w:pos="708"/>
        </w:tabs>
        <w:suppressAutoHyphens/>
        <w:rPr>
          <w:sz w:val="22"/>
          <w:szCs w:val="22"/>
          <w:lang w:val="hu-HU" w:eastAsia="hu-HU"/>
        </w:rPr>
      </w:pPr>
    </w:p>
    <w:p w14:paraId="7B6D3911" w14:textId="77777777" w:rsidR="00366005" w:rsidRPr="00183B5F" w:rsidRDefault="00943743">
      <w:pPr>
        <w:spacing w:line="240" w:lineRule="auto"/>
        <w:rPr>
          <w:szCs w:val="22"/>
        </w:rPr>
      </w:pPr>
      <w:r w:rsidRPr="00183B5F">
        <w:rPr>
          <w:szCs w:val="22"/>
        </w:rPr>
        <w:t>A segédanyagok teljes listáját lásd a 6.1 pontban.</w:t>
      </w:r>
    </w:p>
    <w:p w14:paraId="28332C1A" w14:textId="77777777" w:rsidR="00366005" w:rsidRPr="00183B5F" w:rsidRDefault="00366005">
      <w:pPr>
        <w:spacing w:line="240" w:lineRule="auto"/>
        <w:rPr>
          <w:szCs w:val="22"/>
        </w:rPr>
      </w:pPr>
    </w:p>
    <w:p w14:paraId="4E2F9CB7" w14:textId="77777777" w:rsidR="00366005" w:rsidRPr="00183B5F" w:rsidRDefault="00366005">
      <w:pPr>
        <w:spacing w:line="240" w:lineRule="auto"/>
        <w:rPr>
          <w:szCs w:val="22"/>
        </w:rPr>
      </w:pPr>
    </w:p>
    <w:p w14:paraId="139BE5F6" w14:textId="77777777" w:rsidR="00366005" w:rsidRPr="00183B5F" w:rsidRDefault="00943743">
      <w:pPr>
        <w:spacing w:line="240" w:lineRule="auto"/>
        <w:ind w:left="567" w:hanging="567"/>
        <w:rPr>
          <w:b/>
          <w:szCs w:val="22"/>
        </w:rPr>
      </w:pPr>
      <w:r w:rsidRPr="00183B5F">
        <w:rPr>
          <w:b/>
          <w:szCs w:val="22"/>
        </w:rPr>
        <w:t>3.</w:t>
      </w:r>
      <w:r w:rsidRPr="00183B5F">
        <w:rPr>
          <w:b/>
          <w:szCs w:val="22"/>
        </w:rPr>
        <w:tab/>
        <w:t>GYÓGYSZERFORMA</w:t>
      </w:r>
    </w:p>
    <w:p w14:paraId="5ED1BACC" w14:textId="77777777" w:rsidR="00366005" w:rsidRPr="00183B5F" w:rsidRDefault="00366005">
      <w:pPr>
        <w:spacing w:line="240" w:lineRule="auto"/>
        <w:rPr>
          <w:szCs w:val="22"/>
        </w:rPr>
      </w:pPr>
    </w:p>
    <w:p w14:paraId="2EF8194C" w14:textId="77777777" w:rsidR="00366005" w:rsidRPr="00183B5F" w:rsidRDefault="00943743">
      <w:pPr>
        <w:spacing w:line="240" w:lineRule="auto"/>
        <w:rPr>
          <w:szCs w:val="22"/>
        </w:rPr>
      </w:pPr>
      <w:r w:rsidRPr="00183B5F">
        <w:rPr>
          <w:szCs w:val="22"/>
        </w:rPr>
        <w:t>Oldatos injekció (</w:t>
      </w:r>
      <w:r w:rsidR="00D16EE8" w:rsidRPr="00183B5F">
        <w:rPr>
          <w:szCs w:val="22"/>
        </w:rPr>
        <w:t>i</w:t>
      </w:r>
      <w:r w:rsidRPr="00183B5F">
        <w:rPr>
          <w:szCs w:val="22"/>
        </w:rPr>
        <w:t>njekció).</w:t>
      </w:r>
    </w:p>
    <w:p w14:paraId="7EEF55BE" w14:textId="77777777" w:rsidR="00366005" w:rsidRPr="00183B5F" w:rsidRDefault="00366005">
      <w:pPr>
        <w:spacing w:line="240" w:lineRule="auto"/>
        <w:rPr>
          <w:szCs w:val="22"/>
        </w:rPr>
      </w:pPr>
    </w:p>
    <w:p w14:paraId="3EB951C2" w14:textId="77777777" w:rsidR="00366005" w:rsidRPr="00183B5F" w:rsidRDefault="00943743">
      <w:pPr>
        <w:spacing w:line="240" w:lineRule="auto"/>
        <w:rPr>
          <w:szCs w:val="22"/>
        </w:rPr>
      </w:pPr>
      <w:r w:rsidRPr="00183B5F">
        <w:rPr>
          <w:szCs w:val="22"/>
        </w:rPr>
        <w:t>Tiszta, színtelen oldat.</w:t>
      </w:r>
    </w:p>
    <w:p w14:paraId="66826381" w14:textId="77777777" w:rsidR="00366005" w:rsidRPr="00183B5F" w:rsidRDefault="00366005">
      <w:pPr>
        <w:spacing w:line="240" w:lineRule="auto"/>
        <w:rPr>
          <w:szCs w:val="22"/>
        </w:rPr>
      </w:pPr>
    </w:p>
    <w:p w14:paraId="33303883" w14:textId="77777777" w:rsidR="00366005" w:rsidRPr="00183B5F" w:rsidRDefault="00366005">
      <w:pPr>
        <w:spacing w:line="240" w:lineRule="auto"/>
      </w:pPr>
    </w:p>
    <w:p w14:paraId="5BF4BB9A" w14:textId="77777777" w:rsidR="00366005" w:rsidRPr="00183B5F" w:rsidRDefault="00943743">
      <w:pPr>
        <w:spacing w:line="240" w:lineRule="auto"/>
        <w:ind w:left="567" w:hanging="567"/>
        <w:rPr>
          <w:b/>
          <w:caps/>
          <w:szCs w:val="22"/>
        </w:rPr>
      </w:pPr>
      <w:r w:rsidRPr="00183B5F">
        <w:rPr>
          <w:b/>
          <w:caps/>
          <w:szCs w:val="22"/>
        </w:rPr>
        <w:t>4.</w:t>
      </w:r>
      <w:r w:rsidRPr="00183B5F">
        <w:rPr>
          <w:b/>
          <w:caps/>
          <w:szCs w:val="22"/>
        </w:rPr>
        <w:tab/>
        <w:t>KLINIKAI JELLEMZŐK</w:t>
      </w:r>
    </w:p>
    <w:p w14:paraId="56CDDDC2" w14:textId="77777777" w:rsidR="00366005" w:rsidRPr="00183B5F" w:rsidRDefault="00366005">
      <w:pPr>
        <w:spacing w:line="240" w:lineRule="auto"/>
        <w:rPr>
          <w:szCs w:val="22"/>
        </w:rPr>
      </w:pPr>
    </w:p>
    <w:p w14:paraId="32C13B03" w14:textId="77777777" w:rsidR="00366005" w:rsidRPr="00183B5F" w:rsidRDefault="00943743">
      <w:pPr>
        <w:spacing w:line="240" w:lineRule="auto"/>
        <w:ind w:left="567" w:hanging="567"/>
        <w:rPr>
          <w:b/>
          <w:szCs w:val="22"/>
        </w:rPr>
      </w:pPr>
      <w:r w:rsidRPr="00183B5F">
        <w:rPr>
          <w:b/>
          <w:szCs w:val="22"/>
        </w:rPr>
        <w:t>4.1</w:t>
      </w:r>
      <w:r w:rsidRPr="00183B5F">
        <w:rPr>
          <w:b/>
          <w:szCs w:val="22"/>
        </w:rPr>
        <w:tab/>
        <w:t>Terápiás javallatok</w:t>
      </w:r>
    </w:p>
    <w:p w14:paraId="3A01AC45" w14:textId="77777777" w:rsidR="00366005" w:rsidRPr="00183B5F" w:rsidRDefault="00366005">
      <w:pPr>
        <w:spacing w:line="240" w:lineRule="auto"/>
        <w:ind w:left="567" w:hanging="567"/>
        <w:rPr>
          <w:szCs w:val="22"/>
        </w:rPr>
      </w:pPr>
    </w:p>
    <w:p w14:paraId="6D3AA629" w14:textId="77777777" w:rsidR="00366005" w:rsidRPr="00183B5F" w:rsidRDefault="00943743">
      <w:pPr>
        <w:pStyle w:val="EMEANormal"/>
        <w:rPr>
          <w:szCs w:val="22"/>
          <w:u w:val="single"/>
          <w:lang w:val="hu-HU"/>
        </w:rPr>
      </w:pPr>
      <w:r w:rsidRPr="00183B5F">
        <w:rPr>
          <w:szCs w:val="22"/>
          <w:u w:val="single"/>
          <w:lang w:val="hu-HU"/>
        </w:rPr>
        <w:t>Juvenilis idiopathiás arthritis</w:t>
      </w:r>
    </w:p>
    <w:p w14:paraId="7E055D97" w14:textId="77777777" w:rsidR="00366005" w:rsidRPr="00183B5F" w:rsidRDefault="00366005">
      <w:pPr>
        <w:pStyle w:val="EMEANormal"/>
        <w:rPr>
          <w:szCs w:val="22"/>
          <w:lang w:val="hu-HU"/>
        </w:rPr>
      </w:pPr>
    </w:p>
    <w:p w14:paraId="2EE45CDF" w14:textId="77777777" w:rsidR="00366005" w:rsidRPr="00183B5F" w:rsidRDefault="00943743">
      <w:pPr>
        <w:pStyle w:val="EMEANormal"/>
        <w:rPr>
          <w:i/>
          <w:szCs w:val="22"/>
          <w:lang w:val="hu-HU"/>
        </w:rPr>
      </w:pPr>
      <w:r w:rsidRPr="00183B5F">
        <w:rPr>
          <w:i/>
          <w:szCs w:val="22"/>
          <w:lang w:val="hu-HU"/>
        </w:rPr>
        <w:t>Polyarticularis juvenilis idiopathiás arthritis</w:t>
      </w:r>
    </w:p>
    <w:p w14:paraId="09CBA9F6" w14:textId="77777777" w:rsidR="00366005" w:rsidRPr="00183B5F" w:rsidRDefault="00366005">
      <w:pPr>
        <w:spacing w:line="240" w:lineRule="auto"/>
        <w:rPr>
          <w:szCs w:val="22"/>
        </w:rPr>
      </w:pPr>
    </w:p>
    <w:p w14:paraId="6543F8C3" w14:textId="77777777" w:rsidR="00366005" w:rsidRPr="00183B5F" w:rsidRDefault="00943743">
      <w:pPr>
        <w:spacing w:line="240" w:lineRule="auto"/>
        <w:rPr>
          <w:szCs w:val="22"/>
        </w:rPr>
      </w:pPr>
      <w:r w:rsidRPr="00183B5F">
        <w:rPr>
          <w:szCs w:val="22"/>
        </w:rPr>
        <w:t>A Humira metotrexáttal kombinálva a polyarticularis juvenilis idiopathiás arthritis kezelésére javallott 2 éves kortól olyan betegeknél, akik nem reagáltak megfelelően egy vagy több, betegséget befolyásoló reumaellenes szerre (disease-modifying antirheumatic drug, DMARDS). A Humira egyedül is adható metotrexát-intolerancia esetén, vagy ha a további metotrexát-kezelés nem megfelelő (a monoterápiában mutatott hatásossággal kapcsolatban lásd az 5.1 pontot). A Humira</w:t>
      </w:r>
      <w:r w:rsidRPr="00183B5F">
        <w:rPr>
          <w:szCs w:val="22"/>
        </w:rPr>
        <w:noBreakHyphen/>
        <w:t>t 2 évesnél fiatalabb betegek esetén nem vizsgálták.</w:t>
      </w:r>
    </w:p>
    <w:p w14:paraId="7BAB4C18" w14:textId="77777777" w:rsidR="00366005" w:rsidRPr="00183B5F" w:rsidRDefault="00366005">
      <w:pPr>
        <w:spacing w:line="240" w:lineRule="auto"/>
        <w:rPr>
          <w:b/>
          <w:szCs w:val="22"/>
        </w:rPr>
      </w:pPr>
    </w:p>
    <w:p w14:paraId="75932D33" w14:textId="77777777" w:rsidR="00366005" w:rsidRPr="00183B5F" w:rsidRDefault="00943743">
      <w:pPr>
        <w:spacing w:line="240" w:lineRule="auto"/>
        <w:rPr>
          <w:i/>
          <w:szCs w:val="22"/>
        </w:rPr>
      </w:pPr>
      <w:r w:rsidRPr="00183B5F">
        <w:rPr>
          <w:i/>
          <w:szCs w:val="22"/>
        </w:rPr>
        <w:t>Enthesitis-asszociált arthritis</w:t>
      </w:r>
    </w:p>
    <w:p w14:paraId="2A3A00BA" w14:textId="77777777" w:rsidR="00366005" w:rsidRPr="00183B5F" w:rsidRDefault="00366005">
      <w:pPr>
        <w:spacing w:line="240" w:lineRule="auto"/>
        <w:rPr>
          <w:szCs w:val="22"/>
        </w:rPr>
      </w:pPr>
    </w:p>
    <w:p w14:paraId="0E3ABB83" w14:textId="77777777" w:rsidR="00366005" w:rsidRPr="00183B5F" w:rsidRDefault="00943743">
      <w:pPr>
        <w:spacing w:line="240" w:lineRule="auto"/>
        <w:rPr>
          <w:szCs w:val="22"/>
        </w:rPr>
      </w:pPr>
      <w:r w:rsidRPr="00183B5F">
        <w:rPr>
          <w:szCs w:val="22"/>
        </w:rPr>
        <w:t xml:space="preserve">A Humira az aktív, </w:t>
      </w:r>
      <w:r w:rsidR="00677908" w:rsidRPr="00183B5F">
        <w:rPr>
          <w:szCs w:val="22"/>
        </w:rPr>
        <w:t>enthesitis-asszociált</w:t>
      </w:r>
      <w:r w:rsidRPr="00183B5F">
        <w:rPr>
          <w:szCs w:val="22"/>
        </w:rPr>
        <w:t xml:space="preserve"> arthritis kezelésére javallott 6 éves kortól olyan betegeknél, akik a hagyományos kezelésre nem reagáltak megfelelően vagy azt nem tolerálták (lásd 5.1 pont).</w:t>
      </w:r>
    </w:p>
    <w:p w14:paraId="7E383F31" w14:textId="77777777" w:rsidR="00366005" w:rsidRPr="00183B5F" w:rsidRDefault="00366005">
      <w:pPr>
        <w:spacing w:line="240" w:lineRule="auto"/>
        <w:rPr>
          <w:szCs w:val="22"/>
        </w:rPr>
      </w:pPr>
    </w:p>
    <w:p w14:paraId="4EDD3A41" w14:textId="77777777" w:rsidR="00366005" w:rsidRPr="00183B5F" w:rsidRDefault="00943743">
      <w:pPr>
        <w:spacing w:line="240" w:lineRule="auto"/>
        <w:rPr>
          <w:szCs w:val="22"/>
          <w:u w:val="single"/>
        </w:rPr>
      </w:pPr>
      <w:r w:rsidRPr="00183B5F">
        <w:rPr>
          <w:szCs w:val="22"/>
          <w:u w:val="single"/>
        </w:rPr>
        <w:t>Gyermekkori plakkos psoriasis</w:t>
      </w:r>
    </w:p>
    <w:p w14:paraId="1810A868" w14:textId="77777777" w:rsidR="00366005" w:rsidRPr="00183B5F" w:rsidRDefault="00366005">
      <w:pPr>
        <w:spacing w:line="240" w:lineRule="auto"/>
        <w:rPr>
          <w:szCs w:val="22"/>
        </w:rPr>
      </w:pPr>
    </w:p>
    <w:p w14:paraId="52195A9F" w14:textId="77777777" w:rsidR="00366005" w:rsidRPr="00183B5F" w:rsidRDefault="00943743">
      <w:pPr>
        <w:spacing w:line="240" w:lineRule="auto"/>
        <w:rPr>
          <w:szCs w:val="22"/>
        </w:rPr>
      </w:pPr>
      <w:r w:rsidRPr="00183B5F">
        <w:rPr>
          <w:szCs w:val="22"/>
        </w:rPr>
        <w:t>A Humira súlyos, krónikus plakkos psoriasis kezelésére javallott olyan 4 év feletti gyermekeknél és serdülőknél, akik nem megfelelően reagáltak vagy alkalmatlannak bizonyultak a helyi kezelésre és fényterápiákra.</w:t>
      </w:r>
    </w:p>
    <w:p w14:paraId="31B6727C" w14:textId="77777777" w:rsidR="00366005" w:rsidRPr="00183B5F" w:rsidRDefault="00366005">
      <w:pPr>
        <w:spacing w:line="240" w:lineRule="auto"/>
        <w:rPr>
          <w:szCs w:val="22"/>
        </w:rPr>
      </w:pPr>
    </w:p>
    <w:p w14:paraId="3F52C807" w14:textId="77777777" w:rsidR="00366005" w:rsidRPr="00183B5F" w:rsidRDefault="00943743">
      <w:pPr>
        <w:keepNext/>
        <w:spacing w:line="240" w:lineRule="auto"/>
        <w:rPr>
          <w:szCs w:val="22"/>
          <w:u w:val="single"/>
        </w:rPr>
      </w:pPr>
      <w:r w:rsidRPr="00183B5F">
        <w:rPr>
          <w:szCs w:val="22"/>
          <w:u w:val="single"/>
        </w:rPr>
        <w:t>Gyermekkori Crohn</w:t>
      </w:r>
      <w:r w:rsidRPr="00183B5F">
        <w:rPr>
          <w:szCs w:val="22"/>
          <w:u w:val="single"/>
        </w:rPr>
        <w:noBreakHyphen/>
        <w:t>betegség</w:t>
      </w:r>
    </w:p>
    <w:p w14:paraId="65D08B3C" w14:textId="77777777" w:rsidR="00366005" w:rsidRPr="00183B5F" w:rsidRDefault="00366005">
      <w:pPr>
        <w:keepNext/>
        <w:spacing w:line="240" w:lineRule="auto"/>
        <w:rPr>
          <w:szCs w:val="22"/>
          <w:u w:val="single"/>
        </w:rPr>
      </w:pPr>
    </w:p>
    <w:p w14:paraId="0C7A5CB5" w14:textId="77777777" w:rsidR="00366005" w:rsidRPr="00183B5F" w:rsidRDefault="00943743">
      <w:pPr>
        <w:keepNext/>
        <w:spacing w:line="240" w:lineRule="auto"/>
        <w:rPr>
          <w:szCs w:val="22"/>
        </w:rPr>
      </w:pPr>
      <w:r w:rsidRPr="00183B5F">
        <w:rPr>
          <w:szCs w:val="22"/>
        </w:rPr>
        <w:t xml:space="preserve">A Humira közepesen súlyos </w:t>
      </w:r>
      <w:r w:rsidRPr="00183B5F">
        <w:rPr>
          <w:szCs w:val="22"/>
        </w:rPr>
        <w:noBreakHyphen/>
        <w:t> súlyos aktivitású Crohn</w:t>
      </w:r>
      <w:r w:rsidRPr="00183B5F">
        <w:rPr>
          <w:szCs w:val="22"/>
        </w:rPr>
        <w:noBreakHyphen/>
      </w:r>
      <w:r w:rsidRPr="00183B5F">
        <w:rPr>
          <w:szCs w:val="22"/>
        </w:rPr>
        <w:t xml:space="preserve">betegség kezelésére javallott olyan gyermekeknél (6 éves kortól), akik nem reagáltak megfelelően a hagyományos kezelésre, beleértve a </w:t>
      </w:r>
      <w:r w:rsidRPr="00183B5F">
        <w:rPr>
          <w:szCs w:val="22"/>
        </w:rPr>
        <w:lastRenderedPageBreak/>
        <w:t>primer étrendi kezelést, és egy kortikoszteroidot, és/vagy egy immunmodulánst, vagy akik nem tolerálták ezeket a szereket, illetve akiknél ezek a kezelések kontraindikáltak.</w:t>
      </w:r>
    </w:p>
    <w:p w14:paraId="4D435269" w14:textId="77777777" w:rsidR="00366005" w:rsidRPr="00183B5F" w:rsidRDefault="00366005">
      <w:pPr>
        <w:spacing w:line="240" w:lineRule="auto"/>
        <w:rPr>
          <w:szCs w:val="22"/>
        </w:rPr>
      </w:pPr>
    </w:p>
    <w:p w14:paraId="2ABD6B00" w14:textId="77777777" w:rsidR="00366005" w:rsidRPr="00183B5F" w:rsidRDefault="00943743">
      <w:pPr>
        <w:keepNext/>
        <w:spacing w:line="240" w:lineRule="auto"/>
        <w:rPr>
          <w:szCs w:val="22"/>
          <w:u w:val="single"/>
        </w:rPr>
      </w:pPr>
      <w:r w:rsidRPr="00183B5F">
        <w:rPr>
          <w:szCs w:val="22"/>
          <w:u w:val="single"/>
        </w:rPr>
        <w:t>Gyermekkori uveitis</w:t>
      </w:r>
    </w:p>
    <w:p w14:paraId="3FBEA535" w14:textId="77777777" w:rsidR="00366005" w:rsidRPr="00183B5F" w:rsidRDefault="00366005">
      <w:pPr>
        <w:keepNext/>
        <w:spacing w:line="240" w:lineRule="auto"/>
        <w:rPr>
          <w:szCs w:val="22"/>
        </w:rPr>
      </w:pPr>
    </w:p>
    <w:p w14:paraId="0FD4C3AA" w14:textId="77777777" w:rsidR="00366005" w:rsidRPr="00183B5F" w:rsidRDefault="00943743">
      <w:pPr>
        <w:spacing w:line="240" w:lineRule="auto"/>
        <w:rPr>
          <w:szCs w:val="22"/>
        </w:rPr>
      </w:pPr>
      <w:r w:rsidRPr="00183B5F">
        <w:rPr>
          <w:szCs w:val="22"/>
        </w:rPr>
        <w:t>A Humira a krónikus, nem fertőzéses er</w:t>
      </w:r>
      <w:r w:rsidR="00FD3AF2" w:rsidRPr="00183B5F">
        <w:rPr>
          <w:szCs w:val="22"/>
        </w:rPr>
        <w:t>e</w:t>
      </w:r>
      <w:r w:rsidRPr="00183B5F">
        <w:rPr>
          <w:szCs w:val="22"/>
        </w:rPr>
        <w:t>detű anterior uveitis kezelésére javallott olyan 2 évnél idősebb gyermekeknél, akik nem megfelelően reagáltak a hagyományos kezelésre vagy nem tolerálták azt, illetve akiknél a hagyományos kezelés nem alkalmazható.</w:t>
      </w:r>
    </w:p>
    <w:p w14:paraId="70630953" w14:textId="77777777" w:rsidR="00366005" w:rsidRPr="00183B5F" w:rsidRDefault="00366005">
      <w:pPr>
        <w:spacing w:line="240" w:lineRule="auto"/>
        <w:rPr>
          <w:szCs w:val="22"/>
        </w:rPr>
      </w:pPr>
    </w:p>
    <w:p w14:paraId="2269BAAD" w14:textId="77777777" w:rsidR="00366005" w:rsidRPr="00183B5F" w:rsidRDefault="00943743">
      <w:pPr>
        <w:keepNext/>
        <w:spacing w:line="240" w:lineRule="auto"/>
        <w:ind w:left="567" w:hanging="567"/>
        <w:rPr>
          <w:b/>
          <w:szCs w:val="22"/>
        </w:rPr>
      </w:pPr>
      <w:r w:rsidRPr="00183B5F">
        <w:rPr>
          <w:b/>
          <w:szCs w:val="22"/>
        </w:rPr>
        <w:t>4.2</w:t>
      </w:r>
      <w:r w:rsidRPr="00183B5F">
        <w:rPr>
          <w:b/>
          <w:szCs w:val="22"/>
        </w:rPr>
        <w:tab/>
        <w:t>Adagolás és alkalmazás</w:t>
      </w:r>
    </w:p>
    <w:p w14:paraId="4D2B4CB3" w14:textId="77777777" w:rsidR="00366005" w:rsidRPr="00183B5F" w:rsidRDefault="00366005">
      <w:pPr>
        <w:keepNext/>
        <w:spacing w:line="240" w:lineRule="auto"/>
        <w:rPr>
          <w:szCs w:val="22"/>
        </w:rPr>
      </w:pPr>
    </w:p>
    <w:p w14:paraId="112A3E4E" w14:textId="77777777" w:rsidR="00366005" w:rsidRPr="00183B5F" w:rsidRDefault="00943743">
      <w:pPr>
        <w:keepNext/>
        <w:spacing w:line="240" w:lineRule="auto"/>
        <w:rPr>
          <w:szCs w:val="22"/>
        </w:rPr>
      </w:pPr>
      <w:r w:rsidRPr="00183B5F">
        <w:rPr>
          <w:szCs w:val="22"/>
        </w:rPr>
        <w:t>Humira</w:t>
      </w:r>
      <w:r w:rsidRPr="00183B5F">
        <w:rPr>
          <w:szCs w:val="22"/>
        </w:rPr>
        <w:noBreakHyphen/>
        <w:t>val történő kezelést csak olyan szakorvos kezdhet el, illetve folytathat, aki jártas azoknak a betegségeknek a diagnosztikájában és kezelésében, amikre a Humira javallott. Javasolt, hogy a szemészek a Humira</w:t>
      </w:r>
      <w:r w:rsidRPr="00183B5F">
        <w:rPr>
          <w:szCs w:val="22"/>
        </w:rPr>
        <w:noBreakHyphen/>
        <w:t>kezelés megkezdése előtt konzultáljanak a megfelelő szakorvossal (lásd 4.4 pont). A Humira</w:t>
      </w:r>
      <w:r w:rsidRPr="00183B5F">
        <w:rPr>
          <w:szCs w:val="22"/>
        </w:rPr>
        <w:noBreakHyphen/>
        <w:t xml:space="preserve">val kezelt betegek egy </w:t>
      </w:r>
      <w:r w:rsidR="0048779F" w:rsidRPr="00183B5F">
        <w:rPr>
          <w:szCs w:val="22"/>
        </w:rPr>
        <w:t>Betegemlékeztető</w:t>
      </w:r>
      <w:r w:rsidRPr="00183B5F">
        <w:rPr>
          <w:szCs w:val="22"/>
        </w:rPr>
        <w:t xml:space="preserve"> Kártyát kapnak.</w:t>
      </w:r>
    </w:p>
    <w:p w14:paraId="1CA4F08F" w14:textId="77777777" w:rsidR="00366005" w:rsidRPr="00183B5F" w:rsidRDefault="00366005">
      <w:pPr>
        <w:keepNext/>
        <w:spacing w:line="240" w:lineRule="auto"/>
        <w:rPr>
          <w:szCs w:val="22"/>
        </w:rPr>
      </w:pPr>
    </w:p>
    <w:p w14:paraId="7EAD5697" w14:textId="77777777" w:rsidR="00366005" w:rsidRPr="00183B5F" w:rsidRDefault="00943743">
      <w:pPr>
        <w:spacing w:line="240" w:lineRule="auto"/>
        <w:rPr>
          <w:szCs w:val="22"/>
        </w:rPr>
      </w:pPr>
      <w:r w:rsidRPr="00183B5F">
        <w:rPr>
          <w:szCs w:val="22"/>
        </w:rPr>
        <w:t>A helyes injekciós technika elsajátítása után a betegek, ha az orvos úgy ítéli meg, akár önmaguknak is beadhatják a Humira</w:t>
      </w:r>
      <w:r w:rsidRPr="00183B5F">
        <w:rPr>
          <w:szCs w:val="22"/>
        </w:rPr>
        <w:noBreakHyphen/>
        <w:t>t, szükség szerinti orvosi ellenőrzés mellett.</w:t>
      </w:r>
    </w:p>
    <w:p w14:paraId="5ADFEB58" w14:textId="77777777" w:rsidR="00366005" w:rsidRPr="00183B5F" w:rsidRDefault="00366005">
      <w:pPr>
        <w:spacing w:line="240" w:lineRule="auto"/>
        <w:rPr>
          <w:szCs w:val="22"/>
        </w:rPr>
      </w:pPr>
    </w:p>
    <w:p w14:paraId="5B547EFC" w14:textId="77777777" w:rsidR="00366005" w:rsidRPr="00183B5F" w:rsidRDefault="00943743">
      <w:pPr>
        <w:spacing w:line="240" w:lineRule="auto"/>
        <w:rPr>
          <w:szCs w:val="22"/>
        </w:rPr>
      </w:pPr>
      <w:r w:rsidRPr="00183B5F">
        <w:rPr>
          <w:szCs w:val="22"/>
        </w:rPr>
        <w:t>A Humira</w:t>
      </w:r>
      <w:r w:rsidRPr="00183B5F">
        <w:rPr>
          <w:szCs w:val="22"/>
        </w:rPr>
        <w:noBreakHyphen/>
        <w:t>kezelés ideje alatt optimalizálni kell a más szerek (pl. kortikoszteroidok és/vagy immunmodulánsok) alkalmazásával végzett</w:t>
      </w:r>
      <w:r w:rsidR="00A43FB3" w:rsidRPr="00183B5F">
        <w:rPr>
          <w:szCs w:val="22"/>
        </w:rPr>
        <w:t xml:space="preserve"> egyidejű</w:t>
      </w:r>
      <w:r w:rsidRPr="00183B5F">
        <w:rPr>
          <w:szCs w:val="22"/>
        </w:rPr>
        <w:t xml:space="preserve"> terápiá</w:t>
      </w:r>
      <w:r w:rsidR="00A43FB3" w:rsidRPr="00183B5F">
        <w:rPr>
          <w:szCs w:val="22"/>
        </w:rPr>
        <w:t>ka</w:t>
      </w:r>
      <w:r w:rsidRPr="00183B5F">
        <w:rPr>
          <w:szCs w:val="22"/>
        </w:rPr>
        <w:t>t.</w:t>
      </w:r>
    </w:p>
    <w:p w14:paraId="53987897" w14:textId="77777777" w:rsidR="00366005" w:rsidRPr="00183B5F" w:rsidRDefault="00366005">
      <w:pPr>
        <w:keepNext/>
        <w:spacing w:line="240" w:lineRule="auto"/>
        <w:rPr>
          <w:szCs w:val="22"/>
          <w:u w:val="single"/>
        </w:rPr>
      </w:pPr>
    </w:p>
    <w:p w14:paraId="1B571A0A" w14:textId="77777777" w:rsidR="00366005" w:rsidRPr="00183B5F" w:rsidRDefault="00943743">
      <w:pPr>
        <w:keepNext/>
        <w:spacing w:line="240" w:lineRule="auto"/>
        <w:rPr>
          <w:szCs w:val="22"/>
          <w:u w:val="single"/>
        </w:rPr>
      </w:pPr>
      <w:r w:rsidRPr="00183B5F">
        <w:rPr>
          <w:szCs w:val="22"/>
          <w:u w:val="single"/>
        </w:rPr>
        <w:t>Adagolás</w:t>
      </w:r>
    </w:p>
    <w:p w14:paraId="778EBBA9" w14:textId="77777777" w:rsidR="00366005" w:rsidRPr="00183B5F" w:rsidRDefault="00366005">
      <w:pPr>
        <w:keepNext/>
        <w:spacing w:line="240" w:lineRule="auto"/>
        <w:rPr>
          <w:szCs w:val="22"/>
          <w:u w:val="single"/>
        </w:rPr>
      </w:pPr>
    </w:p>
    <w:p w14:paraId="39C22DEB" w14:textId="77777777" w:rsidR="00366005" w:rsidRPr="00183B5F" w:rsidRDefault="00943743" w:rsidP="004062FE">
      <w:pPr>
        <w:pStyle w:val="EMEAHeadingUnderline"/>
        <w:keepNext/>
        <w:spacing w:beforeLines="0" w:afterLines="0"/>
        <w:rPr>
          <w:szCs w:val="22"/>
          <w:lang w:val="hu-HU"/>
        </w:rPr>
      </w:pPr>
      <w:r w:rsidRPr="00183B5F">
        <w:rPr>
          <w:szCs w:val="22"/>
          <w:lang w:val="hu-HU"/>
        </w:rPr>
        <w:t>Gyermekek és serdülők</w:t>
      </w:r>
    </w:p>
    <w:p w14:paraId="69685D05" w14:textId="77777777" w:rsidR="00366005" w:rsidRPr="00183B5F" w:rsidRDefault="00366005">
      <w:pPr>
        <w:pStyle w:val="DefaultText"/>
        <w:keepNext/>
        <w:rPr>
          <w:rFonts w:ascii="Times New Roman" w:hAnsi="Times New Roman"/>
          <w:szCs w:val="22"/>
          <w:lang w:val="hu-HU"/>
        </w:rPr>
      </w:pPr>
    </w:p>
    <w:p w14:paraId="63C5820C" w14:textId="77777777" w:rsidR="00366005" w:rsidRPr="00183B5F" w:rsidRDefault="00943743">
      <w:pPr>
        <w:pStyle w:val="DefaultText"/>
        <w:keepNext/>
        <w:rPr>
          <w:rFonts w:ascii="Times New Roman" w:hAnsi="Times New Roman"/>
          <w:i/>
          <w:szCs w:val="22"/>
          <w:lang w:val="hu-HU"/>
        </w:rPr>
      </w:pPr>
      <w:r w:rsidRPr="00183B5F">
        <w:rPr>
          <w:rFonts w:ascii="Times New Roman" w:hAnsi="Times New Roman"/>
          <w:i/>
          <w:szCs w:val="22"/>
          <w:lang w:val="hu-HU"/>
        </w:rPr>
        <w:t>Juvenilis idiopathiás arthritis</w:t>
      </w:r>
    </w:p>
    <w:p w14:paraId="2B1B0284" w14:textId="77777777" w:rsidR="00366005" w:rsidRPr="00183B5F" w:rsidRDefault="00366005">
      <w:pPr>
        <w:spacing w:line="240" w:lineRule="auto"/>
        <w:rPr>
          <w:szCs w:val="22"/>
        </w:rPr>
      </w:pPr>
    </w:p>
    <w:p w14:paraId="463C5AF8" w14:textId="77777777" w:rsidR="00366005" w:rsidRPr="00183B5F" w:rsidRDefault="00943743">
      <w:pPr>
        <w:pStyle w:val="DefaultText"/>
        <w:keepNext/>
        <w:rPr>
          <w:rFonts w:ascii="Times New Roman" w:hAnsi="Times New Roman"/>
          <w:i/>
          <w:szCs w:val="22"/>
          <w:u w:val="single"/>
          <w:lang w:val="hu-HU"/>
        </w:rPr>
      </w:pPr>
      <w:r w:rsidRPr="00183B5F">
        <w:rPr>
          <w:rFonts w:ascii="Times New Roman" w:hAnsi="Times New Roman"/>
          <w:i/>
          <w:szCs w:val="22"/>
          <w:u w:val="single"/>
          <w:lang w:val="hu-HU"/>
        </w:rPr>
        <w:t>Polyarticularis juvenilis idiopathiás arthritis 2 éves kortól</w:t>
      </w:r>
    </w:p>
    <w:p w14:paraId="147AADD8" w14:textId="77777777" w:rsidR="00366005" w:rsidRPr="00183B5F" w:rsidRDefault="00366005">
      <w:pPr>
        <w:pStyle w:val="DefaultText"/>
        <w:keepNext/>
        <w:rPr>
          <w:rFonts w:ascii="Times New Roman" w:hAnsi="Times New Roman"/>
          <w:i/>
          <w:szCs w:val="22"/>
          <w:u w:val="single"/>
          <w:lang w:val="hu-HU"/>
        </w:rPr>
      </w:pPr>
    </w:p>
    <w:p w14:paraId="416BF177" w14:textId="77777777" w:rsidR="00366005" w:rsidRPr="00183B5F" w:rsidRDefault="00943743">
      <w:pPr>
        <w:pStyle w:val="DefaultText"/>
        <w:keepNext/>
        <w:rPr>
          <w:rFonts w:ascii="Times New Roman" w:hAnsi="Times New Roman"/>
          <w:szCs w:val="22"/>
          <w:lang w:val="hu-HU"/>
        </w:rPr>
      </w:pPr>
      <w:r w:rsidRPr="00183B5F">
        <w:rPr>
          <w:rFonts w:ascii="Times New Roman" w:hAnsi="Times New Roman"/>
          <w:szCs w:val="22"/>
          <w:lang w:val="hu-HU"/>
        </w:rPr>
        <w:t>A Humira ajánlott adagja polyarticularis juvenilis idiopathiás arthritisben szenvedő</w:t>
      </w:r>
      <w:r w:rsidR="00CB2327" w:rsidRPr="00183B5F">
        <w:rPr>
          <w:rFonts w:ascii="Times New Roman" w:hAnsi="Times New Roman"/>
          <w:szCs w:val="22"/>
          <w:lang w:val="hu-HU"/>
        </w:rPr>
        <w:t>,</w:t>
      </w:r>
      <w:r w:rsidRPr="00183B5F">
        <w:rPr>
          <w:rFonts w:ascii="Times New Roman" w:hAnsi="Times New Roman"/>
          <w:szCs w:val="22"/>
          <w:lang w:val="hu-HU"/>
        </w:rPr>
        <w:t xml:space="preserve"> 2 éves kor feletti betegeknél a testtömegtől függ (1. táblázat). A Humira</w:t>
      </w:r>
      <w:r w:rsidRPr="00183B5F">
        <w:rPr>
          <w:rFonts w:ascii="Times New Roman" w:hAnsi="Times New Roman"/>
          <w:szCs w:val="22"/>
          <w:lang w:val="hu-HU"/>
        </w:rPr>
        <w:noBreakHyphen/>
        <w:t>t minden második héten subcutan injekció formájában kell alkalmazni.</w:t>
      </w:r>
    </w:p>
    <w:p w14:paraId="651B2C55" w14:textId="77777777" w:rsidR="00366005" w:rsidRPr="00183B5F" w:rsidRDefault="00366005">
      <w:pPr>
        <w:pStyle w:val="DefaultText"/>
        <w:keepNext/>
        <w:rPr>
          <w:rFonts w:ascii="Times New Roman" w:hAnsi="Times New Roman"/>
          <w:szCs w:val="22"/>
          <w:lang w:val="hu-HU"/>
        </w:rPr>
      </w:pPr>
    </w:p>
    <w:p w14:paraId="5E80AB5E" w14:textId="77777777" w:rsidR="00366005" w:rsidRPr="00183B5F" w:rsidRDefault="00943743">
      <w:pPr>
        <w:spacing w:line="240" w:lineRule="auto"/>
        <w:jc w:val="center"/>
        <w:rPr>
          <w:b/>
          <w:szCs w:val="22"/>
        </w:rPr>
      </w:pPr>
      <w:r w:rsidRPr="00183B5F">
        <w:rPr>
          <w:b/>
          <w:szCs w:val="22"/>
        </w:rPr>
        <w:t>1. táblázat: A Humira dózisa polyarticularis juvenilis idiopathiás arthritisben szenvedő betegeknél</w:t>
      </w:r>
    </w:p>
    <w:p w14:paraId="093B23F9" w14:textId="77777777" w:rsidR="00366005" w:rsidRPr="00183B5F" w:rsidRDefault="00366005">
      <w:pPr>
        <w:spacing w:line="240" w:lineRule="auto"/>
        <w:rPr>
          <w:szCs w:val="22"/>
        </w:rPr>
      </w:pPr>
    </w:p>
    <w:tbl>
      <w:tblPr>
        <w:tblW w:w="6795" w:type="dxa"/>
        <w:jc w:val="center"/>
        <w:tblLayout w:type="fixed"/>
        <w:tblLook w:val="04A0" w:firstRow="1" w:lastRow="0" w:firstColumn="1" w:lastColumn="0" w:noHBand="0" w:noVBand="1"/>
      </w:tblPr>
      <w:tblGrid>
        <w:gridCol w:w="3401"/>
        <w:gridCol w:w="3394"/>
      </w:tblGrid>
      <w:tr w:rsidR="00011D2F" w14:paraId="7A08E750" w14:textId="77777777" w:rsidTr="00832DC3">
        <w:trPr>
          <w:tblHeader/>
          <w:jc w:val="center"/>
        </w:trPr>
        <w:tc>
          <w:tcPr>
            <w:tcW w:w="3401" w:type="dxa"/>
            <w:tcBorders>
              <w:top w:val="single" w:sz="4" w:space="0" w:color="auto"/>
              <w:left w:val="nil"/>
              <w:bottom w:val="single" w:sz="4" w:space="0" w:color="auto"/>
              <w:right w:val="nil"/>
            </w:tcBorders>
            <w:hideMark/>
          </w:tcPr>
          <w:p w14:paraId="3CDFAD5F" w14:textId="77777777" w:rsidR="00366005" w:rsidRPr="00183B5F" w:rsidRDefault="00943743" w:rsidP="00CB2327">
            <w:pPr>
              <w:pStyle w:val="TableLeft"/>
              <w:spacing w:before="0" w:after="0" w:line="240" w:lineRule="auto"/>
              <w:jc w:val="center"/>
              <w:rPr>
                <w:b/>
                <w:sz w:val="22"/>
                <w:szCs w:val="22"/>
                <w:lang w:val="hu-HU"/>
              </w:rPr>
            </w:pPr>
            <w:r w:rsidRPr="00183B5F">
              <w:rPr>
                <w:b/>
                <w:sz w:val="22"/>
                <w:szCs w:val="22"/>
                <w:lang w:val="hu-HU"/>
              </w:rPr>
              <w:t xml:space="preserve">A beteg testtömege </w:t>
            </w:r>
          </w:p>
        </w:tc>
        <w:tc>
          <w:tcPr>
            <w:tcW w:w="3394" w:type="dxa"/>
            <w:tcBorders>
              <w:top w:val="single" w:sz="4" w:space="0" w:color="auto"/>
              <w:left w:val="nil"/>
              <w:bottom w:val="single" w:sz="4" w:space="0" w:color="auto"/>
              <w:right w:val="nil"/>
            </w:tcBorders>
            <w:hideMark/>
          </w:tcPr>
          <w:p w14:paraId="6C0AEBE7" w14:textId="77777777" w:rsidR="00366005" w:rsidRPr="00183B5F" w:rsidRDefault="00943743">
            <w:pPr>
              <w:pStyle w:val="TableLeft"/>
              <w:spacing w:before="0" w:after="0" w:line="240" w:lineRule="auto"/>
              <w:jc w:val="center"/>
              <w:rPr>
                <w:b/>
                <w:sz w:val="22"/>
                <w:szCs w:val="22"/>
                <w:lang w:val="hu-HU"/>
              </w:rPr>
            </w:pPr>
            <w:r w:rsidRPr="00183B5F">
              <w:rPr>
                <w:b/>
                <w:sz w:val="22"/>
                <w:szCs w:val="22"/>
                <w:lang w:val="hu-HU"/>
              </w:rPr>
              <w:t>Adagolási rend</w:t>
            </w:r>
          </w:p>
        </w:tc>
      </w:tr>
      <w:tr w:rsidR="00011D2F" w14:paraId="12EB1A13" w14:textId="77777777" w:rsidTr="00832DC3">
        <w:trPr>
          <w:tblHeader/>
          <w:jc w:val="center"/>
        </w:trPr>
        <w:tc>
          <w:tcPr>
            <w:tcW w:w="3401" w:type="dxa"/>
            <w:tcBorders>
              <w:top w:val="single" w:sz="4" w:space="0" w:color="auto"/>
              <w:left w:val="nil"/>
              <w:bottom w:val="single" w:sz="4" w:space="0" w:color="auto"/>
              <w:right w:val="nil"/>
            </w:tcBorders>
            <w:hideMark/>
          </w:tcPr>
          <w:p w14:paraId="429EE591" w14:textId="77777777" w:rsidR="00366005" w:rsidRPr="00183B5F" w:rsidRDefault="00943743">
            <w:pPr>
              <w:pStyle w:val="TableLeft"/>
              <w:spacing w:before="0" w:after="0" w:line="240" w:lineRule="auto"/>
              <w:jc w:val="center"/>
              <w:rPr>
                <w:b/>
                <w:sz w:val="22"/>
                <w:szCs w:val="22"/>
                <w:lang w:val="hu-HU"/>
              </w:rPr>
            </w:pPr>
            <w:r w:rsidRPr="00183B5F">
              <w:rPr>
                <w:sz w:val="22"/>
                <w:szCs w:val="22"/>
                <w:lang w:val="hu-HU"/>
              </w:rPr>
              <w:t>10 kg</w:t>
            </w:r>
            <w:r w:rsidR="00540774" w:rsidRPr="00183B5F">
              <w:rPr>
                <w:sz w:val="22"/>
                <w:szCs w:val="22"/>
                <w:lang w:val="hu-HU"/>
              </w:rPr>
              <w:t> </w:t>
            </w:r>
            <w:r w:rsidRPr="00183B5F">
              <w:rPr>
                <w:sz w:val="22"/>
                <w:szCs w:val="22"/>
                <w:lang w:val="hu-HU"/>
              </w:rPr>
              <w:noBreakHyphen/>
            </w:r>
            <w:r w:rsidR="00540774" w:rsidRPr="00183B5F">
              <w:rPr>
                <w:sz w:val="22"/>
                <w:szCs w:val="22"/>
                <w:lang w:val="hu-HU"/>
              </w:rPr>
              <w:t> </w:t>
            </w:r>
            <w:r w:rsidRPr="00183B5F">
              <w:rPr>
                <w:sz w:val="22"/>
                <w:szCs w:val="22"/>
                <w:lang w:val="hu-HU"/>
              </w:rPr>
              <w:t>&lt; 30 kg</w:t>
            </w:r>
          </w:p>
        </w:tc>
        <w:tc>
          <w:tcPr>
            <w:tcW w:w="3394" w:type="dxa"/>
            <w:tcBorders>
              <w:top w:val="single" w:sz="4" w:space="0" w:color="auto"/>
              <w:left w:val="nil"/>
              <w:bottom w:val="single" w:sz="4" w:space="0" w:color="auto"/>
              <w:right w:val="nil"/>
            </w:tcBorders>
            <w:hideMark/>
          </w:tcPr>
          <w:p w14:paraId="64D9CF1B" w14:textId="77777777" w:rsidR="00366005" w:rsidRPr="00183B5F" w:rsidRDefault="00943743">
            <w:pPr>
              <w:pStyle w:val="TableLeft"/>
              <w:spacing w:before="0" w:after="0" w:line="240" w:lineRule="auto"/>
              <w:jc w:val="center"/>
              <w:rPr>
                <w:b/>
                <w:sz w:val="22"/>
                <w:szCs w:val="22"/>
                <w:lang w:val="hu-HU"/>
              </w:rPr>
            </w:pPr>
            <w:r w:rsidRPr="00183B5F">
              <w:rPr>
                <w:sz w:val="22"/>
                <w:szCs w:val="22"/>
                <w:lang w:val="hu-HU"/>
              </w:rPr>
              <w:t>20 mg minden második héten</w:t>
            </w:r>
          </w:p>
        </w:tc>
      </w:tr>
      <w:tr w:rsidR="00011D2F" w14:paraId="37825AB2" w14:textId="77777777" w:rsidTr="00832DC3">
        <w:trPr>
          <w:tblHeader/>
          <w:jc w:val="center"/>
        </w:trPr>
        <w:tc>
          <w:tcPr>
            <w:tcW w:w="3401" w:type="dxa"/>
            <w:tcBorders>
              <w:top w:val="single" w:sz="4" w:space="0" w:color="auto"/>
              <w:left w:val="nil"/>
              <w:bottom w:val="single" w:sz="4" w:space="0" w:color="auto"/>
              <w:right w:val="nil"/>
            </w:tcBorders>
            <w:hideMark/>
          </w:tcPr>
          <w:p w14:paraId="60540785" w14:textId="77777777" w:rsidR="00366005" w:rsidRPr="00183B5F" w:rsidRDefault="00943743">
            <w:pPr>
              <w:pStyle w:val="TableLeft"/>
              <w:spacing w:before="0" w:after="0" w:line="240" w:lineRule="auto"/>
              <w:jc w:val="center"/>
              <w:rPr>
                <w:b/>
                <w:sz w:val="22"/>
                <w:szCs w:val="22"/>
                <w:lang w:val="hu-HU"/>
              </w:rPr>
            </w:pPr>
            <w:r w:rsidRPr="00183B5F">
              <w:rPr>
                <w:sz w:val="22"/>
                <w:szCs w:val="22"/>
                <w:lang w:val="hu-HU"/>
              </w:rPr>
              <w:t>≥ 30 kg</w:t>
            </w:r>
          </w:p>
        </w:tc>
        <w:tc>
          <w:tcPr>
            <w:tcW w:w="3394" w:type="dxa"/>
            <w:tcBorders>
              <w:top w:val="single" w:sz="4" w:space="0" w:color="auto"/>
              <w:left w:val="nil"/>
              <w:bottom w:val="single" w:sz="4" w:space="0" w:color="auto"/>
              <w:right w:val="nil"/>
            </w:tcBorders>
            <w:hideMark/>
          </w:tcPr>
          <w:p w14:paraId="12B15123" w14:textId="77777777" w:rsidR="00366005" w:rsidRPr="00183B5F" w:rsidRDefault="00943743">
            <w:pPr>
              <w:pStyle w:val="TableLeft"/>
              <w:spacing w:before="0" w:after="0" w:line="240" w:lineRule="auto"/>
              <w:jc w:val="center"/>
              <w:rPr>
                <w:b/>
                <w:sz w:val="22"/>
                <w:szCs w:val="22"/>
                <w:lang w:val="hu-HU"/>
              </w:rPr>
            </w:pPr>
            <w:r w:rsidRPr="00183B5F">
              <w:rPr>
                <w:sz w:val="22"/>
                <w:szCs w:val="22"/>
                <w:lang w:val="hu-HU"/>
              </w:rPr>
              <w:t>40 mg minden második héten</w:t>
            </w:r>
          </w:p>
        </w:tc>
      </w:tr>
    </w:tbl>
    <w:p w14:paraId="1EDE343C" w14:textId="77777777" w:rsidR="00366005" w:rsidRPr="00183B5F" w:rsidRDefault="00366005">
      <w:pPr>
        <w:pStyle w:val="DefaultText"/>
        <w:keepNext/>
        <w:rPr>
          <w:rFonts w:ascii="Times New Roman" w:hAnsi="Times New Roman"/>
          <w:szCs w:val="22"/>
          <w:lang w:val="hu-HU"/>
        </w:rPr>
      </w:pPr>
    </w:p>
    <w:p w14:paraId="4D86A5E8" w14:textId="77777777" w:rsidR="00366005" w:rsidRPr="00183B5F" w:rsidRDefault="00943743">
      <w:pPr>
        <w:spacing w:line="240" w:lineRule="auto"/>
        <w:rPr>
          <w:szCs w:val="22"/>
        </w:rPr>
      </w:pPr>
      <w:r w:rsidRPr="00183B5F">
        <w:rPr>
          <w:szCs w:val="22"/>
        </w:rPr>
        <w:t>A rendelkezésre álló adatok arra utalnak, hogy a klinikai választ rendszerint 12 hetes kezelési időn belül érik el. A kezelés folytatását alaposan meg kell fontolni, ha a beteg ezen időszak alatt nem reagál a kezelésre.</w:t>
      </w:r>
    </w:p>
    <w:p w14:paraId="41979364" w14:textId="77777777" w:rsidR="00366005" w:rsidRPr="00183B5F" w:rsidRDefault="00366005">
      <w:pPr>
        <w:spacing w:line="240" w:lineRule="auto"/>
        <w:rPr>
          <w:szCs w:val="22"/>
        </w:rPr>
      </w:pPr>
    </w:p>
    <w:p w14:paraId="6EFE428F" w14:textId="77777777" w:rsidR="00366005" w:rsidRPr="00183B5F" w:rsidRDefault="00943743">
      <w:pPr>
        <w:spacing w:line="240" w:lineRule="auto"/>
        <w:rPr>
          <w:szCs w:val="22"/>
        </w:rPr>
      </w:pPr>
      <w:r w:rsidRPr="00183B5F">
        <w:rPr>
          <w:szCs w:val="22"/>
        </w:rPr>
        <w:t>A Humira</w:t>
      </w:r>
      <w:r w:rsidRPr="00183B5F">
        <w:rPr>
          <w:szCs w:val="22"/>
        </w:rPr>
        <w:noBreakHyphen/>
        <w:t>nak 2 évesnél fiatalabb betegeknél ebben a javallatban nincs releváns alkalmazása.</w:t>
      </w:r>
    </w:p>
    <w:p w14:paraId="2B4C62FC" w14:textId="77777777" w:rsidR="00E745E9" w:rsidRPr="00183B5F" w:rsidRDefault="00E745E9">
      <w:pPr>
        <w:spacing w:line="240" w:lineRule="auto"/>
        <w:rPr>
          <w:szCs w:val="22"/>
        </w:rPr>
      </w:pPr>
    </w:p>
    <w:p w14:paraId="2C7E1AEA" w14:textId="77777777" w:rsidR="00E745E9" w:rsidRPr="00183B5F" w:rsidRDefault="00943743">
      <w:pPr>
        <w:spacing w:line="240" w:lineRule="auto"/>
        <w:rPr>
          <w:szCs w:val="22"/>
        </w:rPr>
      </w:pPr>
      <w:r w:rsidRPr="00183B5F">
        <w:rPr>
          <w:szCs w:val="22"/>
        </w:rPr>
        <w:t>A Humira más hatáserősségben és/vagy kiszerelésben is elérhető az egyéni terápiás igényeknek megfelelően.</w:t>
      </w:r>
    </w:p>
    <w:p w14:paraId="7CDB53C7" w14:textId="77777777" w:rsidR="00366005" w:rsidRPr="00183B5F" w:rsidRDefault="00366005">
      <w:pPr>
        <w:spacing w:line="240" w:lineRule="auto"/>
        <w:rPr>
          <w:szCs w:val="22"/>
        </w:rPr>
      </w:pPr>
    </w:p>
    <w:p w14:paraId="0529F228" w14:textId="77777777" w:rsidR="00366005" w:rsidRPr="00183B5F" w:rsidRDefault="00943743">
      <w:pPr>
        <w:spacing w:line="240" w:lineRule="auto"/>
        <w:rPr>
          <w:i/>
          <w:szCs w:val="22"/>
          <w:u w:val="single"/>
        </w:rPr>
      </w:pPr>
      <w:r w:rsidRPr="00183B5F">
        <w:rPr>
          <w:i/>
          <w:szCs w:val="22"/>
          <w:u w:val="single"/>
        </w:rPr>
        <w:t>Enthesitis-asszociált arthritis</w:t>
      </w:r>
    </w:p>
    <w:p w14:paraId="353B9B8F" w14:textId="77777777" w:rsidR="00366005" w:rsidRPr="00183B5F" w:rsidRDefault="00366005">
      <w:pPr>
        <w:spacing w:line="240" w:lineRule="auto"/>
        <w:rPr>
          <w:szCs w:val="22"/>
        </w:rPr>
      </w:pPr>
    </w:p>
    <w:p w14:paraId="4ACB8B2D" w14:textId="77777777" w:rsidR="00366005" w:rsidRPr="00183B5F" w:rsidRDefault="00943743">
      <w:pPr>
        <w:spacing w:line="240" w:lineRule="auto"/>
        <w:rPr>
          <w:szCs w:val="22"/>
        </w:rPr>
      </w:pPr>
      <w:r w:rsidRPr="00183B5F">
        <w:rPr>
          <w:szCs w:val="22"/>
        </w:rPr>
        <w:t xml:space="preserve">A Humira ajánlott adagja </w:t>
      </w:r>
      <w:r w:rsidR="00677908" w:rsidRPr="00183B5F">
        <w:rPr>
          <w:szCs w:val="22"/>
        </w:rPr>
        <w:t>enthesitis-asszociált</w:t>
      </w:r>
      <w:r w:rsidRPr="00183B5F">
        <w:rPr>
          <w:szCs w:val="22"/>
        </w:rPr>
        <w:t xml:space="preserve"> arthritisben szenvedő</w:t>
      </w:r>
      <w:r w:rsidR="00CB2327" w:rsidRPr="00183B5F">
        <w:rPr>
          <w:szCs w:val="22"/>
        </w:rPr>
        <w:t>,</w:t>
      </w:r>
      <w:r w:rsidRPr="00183B5F">
        <w:rPr>
          <w:szCs w:val="22"/>
        </w:rPr>
        <w:t xml:space="preserve"> 6 éves kor feletti betegeknél a testtömegtől függ (2. táblázat). A Humira</w:t>
      </w:r>
      <w:r w:rsidRPr="00183B5F">
        <w:rPr>
          <w:szCs w:val="22"/>
        </w:rPr>
        <w:noBreakHyphen/>
        <w:t>t minden második héten subcutan injekció formájában kell alkalmazni.</w:t>
      </w:r>
    </w:p>
    <w:p w14:paraId="7DA70919" w14:textId="77777777" w:rsidR="00366005" w:rsidRPr="00183B5F" w:rsidRDefault="00366005">
      <w:pPr>
        <w:spacing w:line="240" w:lineRule="auto"/>
        <w:rPr>
          <w:szCs w:val="22"/>
        </w:rPr>
      </w:pPr>
    </w:p>
    <w:p w14:paraId="0C14F66D" w14:textId="77777777" w:rsidR="00366005" w:rsidRPr="00183B5F" w:rsidRDefault="00943743">
      <w:pPr>
        <w:keepNext/>
        <w:spacing w:line="240" w:lineRule="auto"/>
        <w:jc w:val="center"/>
        <w:rPr>
          <w:b/>
          <w:szCs w:val="22"/>
        </w:rPr>
      </w:pPr>
      <w:r w:rsidRPr="00183B5F">
        <w:rPr>
          <w:b/>
          <w:szCs w:val="22"/>
        </w:rPr>
        <w:lastRenderedPageBreak/>
        <w:t xml:space="preserve">2. táblázat: A Humira dózisa </w:t>
      </w:r>
      <w:r w:rsidR="00677908" w:rsidRPr="00183B5F">
        <w:rPr>
          <w:b/>
          <w:szCs w:val="22"/>
        </w:rPr>
        <w:t>enthesitis-asszociált</w:t>
      </w:r>
      <w:r w:rsidRPr="00183B5F">
        <w:rPr>
          <w:b/>
          <w:szCs w:val="22"/>
        </w:rPr>
        <w:t xml:space="preserve"> arthritisben szenvedő betegeknél</w:t>
      </w:r>
    </w:p>
    <w:p w14:paraId="1B3E6E45" w14:textId="77777777" w:rsidR="00366005" w:rsidRPr="00183B5F" w:rsidRDefault="00366005">
      <w:pPr>
        <w:keepNext/>
        <w:spacing w:line="240" w:lineRule="auto"/>
        <w:rPr>
          <w:szCs w:val="22"/>
        </w:rPr>
      </w:pPr>
    </w:p>
    <w:tbl>
      <w:tblPr>
        <w:tblW w:w="6795" w:type="dxa"/>
        <w:jc w:val="center"/>
        <w:tblLayout w:type="fixed"/>
        <w:tblLook w:val="04A0" w:firstRow="1" w:lastRow="0" w:firstColumn="1" w:lastColumn="0" w:noHBand="0" w:noVBand="1"/>
      </w:tblPr>
      <w:tblGrid>
        <w:gridCol w:w="3401"/>
        <w:gridCol w:w="3394"/>
      </w:tblGrid>
      <w:tr w:rsidR="00011D2F" w14:paraId="34332A70" w14:textId="77777777" w:rsidTr="00832DC3">
        <w:trPr>
          <w:tblHeader/>
          <w:jc w:val="center"/>
        </w:trPr>
        <w:tc>
          <w:tcPr>
            <w:tcW w:w="3401" w:type="dxa"/>
            <w:tcBorders>
              <w:top w:val="single" w:sz="4" w:space="0" w:color="auto"/>
              <w:left w:val="nil"/>
              <w:bottom w:val="single" w:sz="4" w:space="0" w:color="auto"/>
              <w:right w:val="nil"/>
            </w:tcBorders>
            <w:hideMark/>
          </w:tcPr>
          <w:p w14:paraId="45190929" w14:textId="77777777" w:rsidR="00366005" w:rsidRPr="00183B5F" w:rsidRDefault="00943743" w:rsidP="00CB2327">
            <w:pPr>
              <w:pStyle w:val="TableLeft"/>
              <w:spacing w:before="0" w:after="0" w:line="240" w:lineRule="auto"/>
              <w:jc w:val="center"/>
              <w:rPr>
                <w:b/>
                <w:sz w:val="22"/>
                <w:szCs w:val="22"/>
                <w:lang w:val="hu-HU"/>
              </w:rPr>
            </w:pPr>
            <w:r w:rsidRPr="00183B5F">
              <w:rPr>
                <w:b/>
                <w:sz w:val="22"/>
                <w:szCs w:val="22"/>
                <w:lang w:val="hu-HU"/>
              </w:rPr>
              <w:t xml:space="preserve">A beteg testtömege </w:t>
            </w:r>
          </w:p>
        </w:tc>
        <w:tc>
          <w:tcPr>
            <w:tcW w:w="3394" w:type="dxa"/>
            <w:tcBorders>
              <w:top w:val="single" w:sz="4" w:space="0" w:color="auto"/>
              <w:left w:val="nil"/>
              <w:bottom w:val="single" w:sz="4" w:space="0" w:color="auto"/>
              <w:right w:val="nil"/>
            </w:tcBorders>
            <w:hideMark/>
          </w:tcPr>
          <w:p w14:paraId="6C81374B" w14:textId="77777777" w:rsidR="00366005" w:rsidRPr="00183B5F" w:rsidRDefault="00943743">
            <w:pPr>
              <w:pStyle w:val="TableLeft"/>
              <w:spacing w:before="0" w:after="0" w:line="240" w:lineRule="auto"/>
              <w:jc w:val="center"/>
              <w:rPr>
                <w:b/>
                <w:sz w:val="22"/>
                <w:szCs w:val="22"/>
                <w:lang w:val="hu-HU"/>
              </w:rPr>
            </w:pPr>
            <w:r w:rsidRPr="00183B5F">
              <w:rPr>
                <w:b/>
                <w:sz w:val="22"/>
                <w:szCs w:val="22"/>
                <w:lang w:val="hu-HU"/>
              </w:rPr>
              <w:t>Adagolási rend</w:t>
            </w:r>
          </w:p>
        </w:tc>
      </w:tr>
      <w:tr w:rsidR="00011D2F" w14:paraId="615197ED" w14:textId="77777777" w:rsidTr="00832DC3">
        <w:trPr>
          <w:tblHeader/>
          <w:jc w:val="center"/>
        </w:trPr>
        <w:tc>
          <w:tcPr>
            <w:tcW w:w="3401" w:type="dxa"/>
            <w:tcBorders>
              <w:top w:val="single" w:sz="4" w:space="0" w:color="auto"/>
              <w:left w:val="nil"/>
              <w:bottom w:val="single" w:sz="4" w:space="0" w:color="auto"/>
              <w:right w:val="nil"/>
            </w:tcBorders>
            <w:hideMark/>
          </w:tcPr>
          <w:p w14:paraId="29EFDDA3" w14:textId="77777777" w:rsidR="00366005" w:rsidRPr="00183B5F" w:rsidRDefault="00943743">
            <w:pPr>
              <w:pStyle w:val="TableLeft"/>
              <w:spacing w:before="0" w:after="0" w:line="240" w:lineRule="auto"/>
              <w:jc w:val="center"/>
              <w:rPr>
                <w:b/>
                <w:sz w:val="22"/>
                <w:szCs w:val="22"/>
                <w:lang w:val="hu-HU"/>
              </w:rPr>
            </w:pPr>
            <w:r w:rsidRPr="00183B5F">
              <w:rPr>
                <w:sz w:val="22"/>
                <w:szCs w:val="22"/>
                <w:lang w:val="hu-HU"/>
              </w:rPr>
              <w:t>15 kg</w:t>
            </w:r>
            <w:r w:rsidR="00CB2327" w:rsidRPr="00183B5F">
              <w:rPr>
                <w:sz w:val="22"/>
                <w:szCs w:val="22"/>
                <w:lang w:val="hu-HU"/>
              </w:rPr>
              <w:t> </w:t>
            </w:r>
            <w:r w:rsidRPr="00183B5F">
              <w:rPr>
                <w:sz w:val="22"/>
                <w:szCs w:val="22"/>
                <w:lang w:val="hu-HU"/>
              </w:rPr>
              <w:noBreakHyphen/>
            </w:r>
            <w:r w:rsidR="00CB2327" w:rsidRPr="00183B5F">
              <w:rPr>
                <w:sz w:val="22"/>
                <w:szCs w:val="22"/>
                <w:lang w:val="hu-HU"/>
              </w:rPr>
              <w:t> </w:t>
            </w:r>
            <w:r w:rsidRPr="00183B5F">
              <w:rPr>
                <w:sz w:val="22"/>
                <w:szCs w:val="22"/>
                <w:lang w:val="hu-HU"/>
              </w:rPr>
              <w:t>&lt; 30 kg</w:t>
            </w:r>
          </w:p>
        </w:tc>
        <w:tc>
          <w:tcPr>
            <w:tcW w:w="3394" w:type="dxa"/>
            <w:tcBorders>
              <w:top w:val="single" w:sz="4" w:space="0" w:color="auto"/>
              <w:left w:val="nil"/>
              <w:bottom w:val="single" w:sz="4" w:space="0" w:color="auto"/>
              <w:right w:val="nil"/>
            </w:tcBorders>
            <w:hideMark/>
          </w:tcPr>
          <w:p w14:paraId="72166C9C" w14:textId="77777777" w:rsidR="00366005" w:rsidRPr="00183B5F" w:rsidRDefault="00943743">
            <w:pPr>
              <w:pStyle w:val="TableLeft"/>
              <w:spacing w:before="0" w:after="0" w:line="240" w:lineRule="auto"/>
              <w:jc w:val="center"/>
              <w:rPr>
                <w:b/>
                <w:sz w:val="22"/>
                <w:szCs w:val="22"/>
                <w:lang w:val="hu-HU"/>
              </w:rPr>
            </w:pPr>
            <w:r w:rsidRPr="00183B5F">
              <w:rPr>
                <w:sz w:val="22"/>
                <w:szCs w:val="22"/>
                <w:lang w:val="hu-HU"/>
              </w:rPr>
              <w:t>20 mg minden második héten</w:t>
            </w:r>
          </w:p>
        </w:tc>
      </w:tr>
      <w:tr w:rsidR="00011D2F" w14:paraId="608E087B" w14:textId="77777777" w:rsidTr="00832DC3">
        <w:trPr>
          <w:tblHeader/>
          <w:jc w:val="center"/>
        </w:trPr>
        <w:tc>
          <w:tcPr>
            <w:tcW w:w="3401" w:type="dxa"/>
            <w:tcBorders>
              <w:top w:val="single" w:sz="4" w:space="0" w:color="auto"/>
              <w:left w:val="nil"/>
              <w:bottom w:val="single" w:sz="4" w:space="0" w:color="auto"/>
              <w:right w:val="nil"/>
            </w:tcBorders>
            <w:hideMark/>
          </w:tcPr>
          <w:p w14:paraId="123E57A9" w14:textId="77777777" w:rsidR="00366005" w:rsidRPr="00183B5F" w:rsidRDefault="00943743">
            <w:pPr>
              <w:pStyle w:val="TableLeft"/>
              <w:spacing w:before="0" w:after="0" w:line="240" w:lineRule="auto"/>
              <w:jc w:val="center"/>
              <w:rPr>
                <w:b/>
                <w:sz w:val="22"/>
                <w:szCs w:val="22"/>
                <w:lang w:val="hu-HU"/>
              </w:rPr>
            </w:pPr>
            <w:r w:rsidRPr="00183B5F">
              <w:rPr>
                <w:sz w:val="22"/>
                <w:szCs w:val="22"/>
                <w:lang w:val="hu-HU"/>
              </w:rPr>
              <w:t>≥ 30 kg</w:t>
            </w:r>
          </w:p>
        </w:tc>
        <w:tc>
          <w:tcPr>
            <w:tcW w:w="3394" w:type="dxa"/>
            <w:tcBorders>
              <w:top w:val="single" w:sz="4" w:space="0" w:color="auto"/>
              <w:left w:val="nil"/>
              <w:bottom w:val="single" w:sz="4" w:space="0" w:color="auto"/>
              <w:right w:val="nil"/>
            </w:tcBorders>
            <w:hideMark/>
          </w:tcPr>
          <w:p w14:paraId="7CB5ABD5" w14:textId="77777777" w:rsidR="00366005" w:rsidRPr="00183B5F" w:rsidRDefault="00943743">
            <w:pPr>
              <w:pStyle w:val="TableLeft"/>
              <w:spacing w:before="0" w:after="0" w:line="240" w:lineRule="auto"/>
              <w:jc w:val="center"/>
              <w:rPr>
                <w:b/>
                <w:sz w:val="22"/>
                <w:szCs w:val="22"/>
                <w:lang w:val="hu-HU"/>
              </w:rPr>
            </w:pPr>
            <w:r w:rsidRPr="00183B5F">
              <w:rPr>
                <w:sz w:val="22"/>
                <w:szCs w:val="22"/>
                <w:lang w:val="hu-HU"/>
              </w:rPr>
              <w:t>40 mg minden második héten</w:t>
            </w:r>
          </w:p>
        </w:tc>
      </w:tr>
    </w:tbl>
    <w:p w14:paraId="43E84B7F" w14:textId="77777777" w:rsidR="00366005" w:rsidRPr="00183B5F" w:rsidRDefault="00366005">
      <w:pPr>
        <w:spacing w:line="240" w:lineRule="auto"/>
        <w:rPr>
          <w:szCs w:val="22"/>
        </w:rPr>
      </w:pPr>
    </w:p>
    <w:p w14:paraId="41A527CB" w14:textId="77777777" w:rsidR="00366005" w:rsidRPr="00183B5F" w:rsidRDefault="00943743">
      <w:pPr>
        <w:spacing w:line="240" w:lineRule="auto"/>
        <w:rPr>
          <w:szCs w:val="22"/>
        </w:rPr>
      </w:pPr>
      <w:r w:rsidRPr="00183B5F">
        <w:rPr>
          <w:szCs w:val="22"/>
        </w:rPr>
        <w:t>A Humira</w:t>
      </w:r>
      <w:r w:rsidRPr="00183B5F">
        <w:rPr>
          <w:szCs w:val="22"/>
        </w:rPr>
        <w:noBreakHyphen/>
        <w:t xml:space="preserve">t nem vizsgálták 6 évesnél fiatalabb, </w:t>
      </w:r>
      <w:r w:rsidR="00677908" w:rsidRPr="00183B5F">
        <w:rPr>
          <w:szCs w:val="22"/>
        </w:rPr>
        <w:t>enthesitis-asszociált</w:t>
      </w:r>
      <w:r w:rsidRPr="00183B5F">
        <w:rPr>
          <w:szCs w:val="22"/>
        </w:rPr>
        <w:t xml:space="preserve"> arthritisben szenvedő betegeknél.</w:t>
      </w:r>
    </w:p>
    <w:p w14:paraId="77F47CB8" w14:textId="77777777" w:rsidR="00E745E9" w:rsidRPr="00183B5F" w:rsidRDefault="00E745E9">
      <w:pPr>
        <w:spacing w:line="240" w:lineRule="auto"/>
        <w:rPr>
          <w:szCs w:val="22"/>
        </w:rPr>
      </w:pPr>
    </w:p>
    <w:p w14:paraId="7961A736" w14:textId="77777777" w:rsidR="00E745E9" w:rsidRPr="00183B5F" w:rsidRDefault="00943743">
      <w:pPr>
        <w:spacing w:line="240" w:lineRule="auto"/>
        <w:rPr>
          <w:szCs w:val="22"/>
        </w:rPr>
      </w:pPr>
      <w:r w:rsidRPr="00183B5F">
        <w:rPr>
          <w:szCs w:val="22"/>
        </w:rPr>
        <w:t>A Humira más hatáserősségben és/vagy kiszerelésben is elérhető az egyéni terápiás igényeknek megfelelően.</w:t>
      </w:r>
    </w:p>
    <w:p w14:paraId="3258B2F0" w14:textId="77777777" w:rsidR="00366005" w:rsidRPr="00183B5F" w:rsidRDefault="00366005">
      <w:pPr>
        <w:spacing w:line="240" w:lineRule="auto"/>
        <w:rPr>
          <w:szCs w:val="22"/>
        </w:rPr>
      </w:pPr>
    </w:p>
    <w:p w14:paraId="0FD55F75" w14:textId="77777777" w:rsidR="00366005" w:rsidRPr="00183B5F" w:rsidRDefault="00943743">
      <w:pPr>
        <w:spacing w:line="240" w:lineRule="auto"/>
        <w:rPr>
          <w:szCs w:val="22"/>
        </w:rPr>
      </w:pPr>
      <w:r w:rsidRPr="00183B5F">
        <w:rPr>
          <w:i/>
          <w:szCs w:val="22"/>
        </w:rPr>
        <w:t>Gyermekkori plakkos psoriasis</w:t>
      </w:r>
    </w:p>
    <w:p w14:paraId="07BBBCCF" w14:textId="77777777" w:rsidR="00366005" w:rsidRPr="00183B5F" w:rsidRDefault="00366005">
      <w:pPr>
        <w:spacing w:line="240" w:lineRule="auto"/>
        <w:rPr>
          <w:szCs w:val="22"/>
        </w:rPr>
      </w:pPr>
    </w:p>
    <w:p w14:paraId="4847189B" w14:textId="77777777" w:rsidR="00366005" w:rsidRPr="00183B5F" w:rsidRDefault="00943743">
      <w:pPr>
        <w:spacing w:line="240" w:lineRule="auto"/>
        <w:rPr>
          <w:szCs w:val="22"/>
        </w:rPr>
      </w:pPr>
      <w:r w:rsidRPr="00183B5F">
        <w:rPr>
          <w:szCs w:val="22"/>
        </w:rPr>
        <w:t>A Humira ajánlott adagja gyermekkori plakkos psoriasisban szenvedő, 4</w:t>
      </w:r>
      <w:r w:rsidR="00CB2327" w:rsidRPr="00183B5F">
        <w:rPr>
          <w:szCs w:val="22"/>
        </w:rPr>
        <w:noBreakHyphen/>
      </w:r>
      <w:r w:rsidRPr="00183B5F">
        <w:rPr>
          <w:szCs w:val="22"/>
        </w:rPr>
        <w:t>17 éves betegeknél a testtömegtől függ (3. táblázat). A Humira</w:t>
      </w:r>
      <w:r w:rsidRPr="00183B5F">
        <w:rPr>
          <w:szCs w:val="22"/>
        </w:rPr>
        <w:noBreakHyphen/>
        <w:t>t subcutan injekció formájában kell alkalmazni.</w:t>
      </w:r>
    </w:p>
    <w:p w14:paraId="6A87D01E" w14:textId="77777777" w:rsidR="00366005" w:rsidRPr="00183B5F" w:rsidRDefault="00366005">
      <w:pPr>
        <w:spacing w:line="240" w:lineRule="auto"/>
        <w:rPr>
          <w:szCs w:val="22"/>
        </w:rPr>
      </w:pPr>
    </w:p>
    <w:p w14:paraId="7747F89F" w14:textId="77777777" w:rsidR="00366005" w:rsidRPr="00183B5F" w:rsidRDefault="00943743">
      <w:pPr>
        <w:keepNext/>
        <w:spacing w:line="240" w:lineRule="auto"/>
        <w:jc w:val="center"/>
        <w:rPr>
          <w:b/>
          <w:szCs w:val="22"/>
        </w:rPr>
      </w:pPr>
      <w:r w:rsidRPr="00183B5F">
        <w:rPr>
          <w:b/>
          <w:szCs w:val="22"/>
        </w:rPr>
        <w:t>3. táblázat: A Humira dózisa plakkos psoriasisban szenvedő gyermekeknél</w:t>
      </w:r>
    </w:p>
    <w:p w14:paraId="1F19D0EB" w14:textId="77777777" w:rsidR="00366005" w:rsidRPr="00183B5F" w:rsidRDefault="00366005">
      <w:pPr>
        <w:keepNext/>
        <w:spacing w:line="240" w:lineRule="auto"/>
        <w:rPr>
          <w:szCs w:val="22"/>
        </w:rPr>
      </w:pPr>
    </w:p>
    <w:tbl>
      <w:tblPr>
        <w:tblW w:w="6795" w:type="dxa"/>
        <w:jc w:val="center"/>
        <w:tblLayout w:type="fixed"/>
        <w:tblLook w:val="04A0" w:firstRow="1" w:lastRow="0" w:firstColumn="1" w:lastColumn="0" w:noHBand="0" w:noVBand="1"/>
      </w:tblPr>
      <w:tblGrid>
        <w:gridCol w:w="3401"/>
        <w:gridCol w:w="3394"/>
      </w:tblGrid>
      <w:tr w:rsidR="00011D2F" w14:paraId="788C8A01" w14:textId="77777777" w:rsidTr="00832DC3">
        <w:trPr>
          <w:tblHeader/>
          <w:jc w:val="center"/>
        </w:trPr>
        <w:tc>
          <w:tcPr>
            <w:tcW w:w="3401" w:type="dxa"/>
            <w:tcBorders>
              <w:top w:val="single" w:sz="4" w:space="0" w:color="auto"/>
              <w:left w:val="nil"/>
              <w:bottom w:val="single" w:sz="4" w:space="0" w:color="auto"/>
              <w:right w:val="nil"/>
            </w:tcBorders>
            <w:hideMark/>
          </w:tcPr>
          <w:p w14:paraId="3C70833D" w14:textId="77777777" w:rsidR="00366005" w:rsidRPr="00183B5F" w:rsidRDefault="00943743" w:rsidP="00CB2327">
            <w:pPr>
              <w:pStyle w:val="TableLeft"/>
              <w:spacing w:before="0" w:after="0" w:line="240" w:lineRule="auto"/>
              <w:jc w:val="center"/>
              <w:rPr>
                <w:b/>
                <w:sz w:val="22"/>
                <w:szCs w:val="22"/>
                <w:lang w:val="hu-HU"/>
              </w:rPr>
            </w:pPr>
            <w:r w:rsidRPr="00183B5F">
              <w:rPr>
                <w:b/>
                <w:sz w:val="22"/>
                <w:szCs w:val="22"/>
                <w:lang w:val="hu-HU"/>
              </w:rPr>
              <w:t xml:space="preserve">A beteg testtömege </w:t>
            </w:r>
          </w:p>
        </w:tc>
        <w:tc>
          <w:tcPr>
            <w:tcW w:w="3394" w:type="dxa"/>
            <w:tcBorders>
              <w:top w:val="single" w:sz="4" w:space="0" w:color="auto"/>
              <w:left w:val="nil"/>
              <w:bottom w:val="single" w:sz="4" w:space="0" w:color="auto"/>
              <w:right w:val="nil"/>
            </w:tcBorders>
            <w:hideMark/>
          </w:tcPr>
          <w:p w14:paraId="43679A05" w14:textId="77777777" w:rsidR="00366005" w:rsidRPr="00183B5F" w:rsidRDefault="00943743">
            <w:pPr>
              <w:pStyle w:val="TableLeft"/>
              <w:spacing w:before="0" w:after="0" w:line="240" w:lineRule="auto"/>
              <w:jc w:val="center"/>
              <w:rPr>
                <w:b/>
                <w:sz w:val="22"/>
                <w:szCs w:val="22"/>
                <w:lang w:val="hu-HU"/>
              </w:rPr>
            </w:pPr>
            <w:r w:rsidRPr="00183B5F">
              <w:rPr>
                <w:b/>
                <w:sz w:val="22"/>
                <w:szCs w:val="22"/>
                <w:lang w:val="hu-HU"/>
              </w:rPr>
              <w:t>Adagolási rend</w:t>
            </w:r>
          </w:p>
        </w:tc>
      </w:tr>
      <w:tr w:rsidR="00011D2F" w14:paraId="30F0516C" w14:textId="77777777" w:rsidTr="00832DC3">
        <w:trPr>
          <w:tblHeader/>
          <w:jc w:val="center"/>
        </w:trPr>
        <w:tc>
          <w:tcPr>
            <w:tcW w:w="3401" w:type="dxa"/>
            <w:tcBorders>
              <w:top w:val="single" w:sz="4" w:space="0" w:color="auto"/>
              <w:left w:val="nil"/>
              <w:bottom w:val="single" w:sz="4" w:space="0" w:color="auto"/>
              <w:right w:val="nil"/>
            </w:tcBorders>
            <w:hideMark/>
          </w:tcPr>
          <w:p w14:paraId="4297408C" w14:textId="77777777" w:rsidR="00366005" w:rsidRPr="00183B5F" w:rsidRDefault="00943743">
            <w:pPr>
              <w:pStyle w:val="TableLeft"/>
              <w:spacing w:before="0" w:after="0" w:line="240" w:lineRule="auto"/>
              <w:jc w:val="center"/>
              <w:rPr>
                <w:b/>
                <w:sz w:val="22"/>
                <w:szCs w:val="22"/>
                <w:lang w:val="hu-HU"/>
              </w:rPr>
            </w:pPr>
            <w:r w:rsidRPr="00183B5F">
              <w:rPr>
                <w:sz w:val="22"/>
                <w:szCs w:val="22"/>
                <w:lang w:val="hu-HU"/>
              </w:rPr>
              <w:t>15 kg</w:t>
            </w:r>
            <w:r w:rsidR="00CB2327" w:rsidRPr="00183B5F">
              <w:rPr>
                <w:sz w:val="22"/>
                <w:szCs w:val="22"/>
                <w:lang w:val="hu-HU"/>
              </w:rPr>
              <w:t> </w:t>
            </w:r>
            <w:r w:rsidRPr="00183B5F">
              <w:rPr>
                <w:sz w:val="22"/>
                <w:szCs w:val="22"/>
                <w:lang w:val="hu-HU"/>
              </w:rPr>
              <w:noBreakHyphen/>
            </w:r>
            <w:r w:rsidR="00CB2327" w:rsidRPr="00183B5F">
              <w:rPr>
                <w:sz w:val="22"/>
                <w:szCs w:val="22"/>
                <w:lang w:val="hu-HU"/>
              </w:rPr>
              <w:t> </w:t>
            </w:r>
            <w:r w:rsidRPr="00183B5F">
              <w:rPr>
                <w:sz w:val="22"/>
                <w:szCs w:val="22"/>
                <w:lang w:val="hu-HU"/>
              </w:rPr>
              <w:t>&lt; 30 kg</w:t>
            </w:r>
          </w:p>
        </w:tc>
        <w:tc>
          <w:tcPr>
            <w:tcW w:w="3394" w:type="dxa"/>
            <w:tcBorders>
              <w:top w:val="single" w:sz="4" w:space="0" w:color="auto"/>
              <w:left w:val="nil"/>
              <w:bottom w:val="single" w:sz="4" w:space="0" w:color="auto"/>
              <w:right w:val="nil"/>
            </w:tcBorders>
            <w:hideMark/>
          </w:tcPr>
          <w:p w14:paraId="3F942230" w14:textId="77777777" w:rsidR="00366005" w:rsidRPr="00183B5F" w:rsidRDefault="00943743">
            <w:pPr>
              <w:pStyle w:val="TableLeft"/>
              <w:spacing w:before="0" w:after="0" w:line="240" w:lineRule="auto"/>
              <w:jc w:val="center"/>
              <w:rPr>
                <w:b/>
                <w:sz w:val="22"/>
                <w:szCs w:val="22"/>
                <w:lang w:val="hu-HU"/>
              </w:rPr>
            </w:pPr>
            <w:r w:rsidRPr="00183B5F">
              <w:rPr>
                <w:sz w:val="22"/>
                <w:szCs w:val="22"/>
                <w:lang w:val="hu-HU"/>
              </w:rPr>
              <w:t>A kezdő adag 20 mg, amelyet minden második héten adott 20 mg követ a kezdő dózis utáni első héttől kezdve</w:t>
            </w:r>
          </w:p>
        </w:tc>
      </w:tr>
      <w:tr w:rsidR="00011D2F" w14:paraId="7D84A840" w14:textId="77777777" w:rsidTr="00832DC3">
        <w:trPr>
          <w:tblHeader/>
          <w:jc w:val="center"/>
        </w:trPr>
        <w:tc>
          <w:tcPr>
            <w:tcW w:w="3401" w:type="dxa"/>
            <w:tcBorders>
              <w:top w:val="single" w:sz="4" w:space="0" w:color="auto"/>
              <w:left w:val="nil"/>
              <w:bottom w:val="single" w:sz="4" w:space="0" w:color="auto"/>
              <w:right w:val="nil"/>
            </w:tcBorders>
            <w:hideMark/>
          </w:tcPr>
          <w:p w14:paraId="0E7068BD" w14:textId="77777777" w:rsidR="00366005" w:rsidRPr="00183B5F" w:rsidRDefault="00943743">
            <w:pPr>
              <w:pStyle w:val="TableLeft"/>
              <w:spacing w:before="0" w:after="0" w:line="240" w:lineRule="auto"/>
              <w:jc w:val="center"/>
              <w:rPr>
                <w:b/>
                <w:sz w:val="22"/>
                <w:szCs w:val="22"/>
                <w:lang w:val="hu-HU"/>
              </w:rPr>
            </w:pPr>
            <w:r w:rsidRPr="00183B5F">
              <w:rPr>
                <w:sz w:val="22"/>
                <w:szCs w:val="22"/>
                <w:lang w:val="hu-HU"/>
              </w:rPr>
              <w:t>≥ 30 kg</w:t>
            </w:r>
          </w:p>
        </w:tc>
        <w:tc>
          <w:tcPr>
            <w:tcW w:w="3394" w:type="dxa"/>
            <w:tcBorders>
              <w:top w:val="single" w:sz="4" w:space="0" w:color="auto"/>
              <w:left w:val="nil"/>
              <w:bottom w:val="single" w:sz="4" w:space="0" w:color="auto"/>
              <w:right w:val="nil"/>
            </w:tcBorders>
            <w:hideMark/>
          </w:tcPr>
          <w:p w14:paraId="096EDF99" w14:textId="77777777" w:rsidR="00366005" w:rsidRPr="00183B5F" w:rsidRDefault="00943743">
            <w:pPr>
              <w:pStyle w:val="TableLeft"/>
              <w:spacing w:before="0" w:after="0" w:line="240" w:lineRule="auto"/>
              <w:jc w:val="center"/>
              <w:rPr>
                <w:b/>
                <w:sz w:val="22"/>
                <w:szCs w:val="22"/>
                <w:lang w:val="hu-HU"/>
              </w:rPr>
            </w:pPr>
            <w:r w:rsidRPr="00183B5F">
              <w:rPr>
                <w:sz w:val="22"/>
                <w:szCs w:val="22"/>
                <w:lang w:val="hu-HU"/>
              </w:rPr>
              <w:t>A kezdő adag 40 mg, amelyet minden második héten adott 40 mg követ a kezdő dózis utáni első héttől kezdve</w:t>
            </w:r>
          </w:p>
        </w:tc>
      </w:tr>
    </w:tbl>
    <w:p w14:paraId="65379DE0" w14:textId="77777777" w:rsidR="00366005" w:rsidRPr="00183B5F" w:rsidRDefault="00366005">
      <w:pPr>
        <w:spacing w:line="240" w:lineRule="auto"/>
        <w:rPr>
          <w:szCs w:val="22"/>
        </w:rPr>
      </w:pPr>
    </w:p>
    <w:p w14:paraId="21B099AE" w14:textId="77777777" w:rsidR="00366005" w:rsidRPr="00183B5F" w:rsidRDefault="00943743">
      <w:pPr>
        <w:spacing w:line="240" w:lineRule="auto"/>
        <w:rPr>
          <w:szCs w:val="22"/>
        </w:rPr>
      </w:pPr>
      <w:r w:rsidRPr="00183B5F">
        <w:rPr>
          <w:szCs w:val="22"/>
        </w:rPr>
        <w:t>A kezelés folytatását a 16. hét után gondosan mérlegelni kell, ha a beteg nem reagál ennyi idő alatt.</w:t>
      </w:r>
    </w:p>
    <w:p w14:paraId="0F0472FE" w14:textId="77777777" w:rsidR="00366005" w:rsidRPr="00183B5F" w:rsidRDefault="00366005">
      <w:pPr>
        <w:spacing w:line="240" w:lineRule="auto"/>
        <w:rPr>
          <w:szCs w:val="22"/>
        </w:rPr>
      </w:pPr>
    </w:p>
    <w:p w14:paraId="38BC3864" w14:textId="77777777" w:rsidR="00366005" w:rsidRPr="00183B5F" w:rsidRDefault="00943743">
      <w:pPr>
        <w:spacing w:line="240" w:lineRule="auto"/>
        <w:rPr>
          <w:szCs w:val="22"/>
        </w:rPr>
      </w:pPr>
      <w:r w:rsidRPr="00183B5F">
        <w:rPr>
          <w:szCs w:val="22"/>
        </w:rPr>
        <w:t>Amennyiben a Humira</w:t>
      </w:r>
      <w:r w:rsidRPr="00183B5F">
        <w:rPr>
          <w:szCs w:val="22"/>
        </w:rPr>
        <w:noBreakHyphen/>
        <w:t>kezelés újrakezdése javasolt, a fenti útmutatást kell követni a dózisra és az adagolás időtartamára vonatkozóan.</w:t>
      </w:r>
    </w:p>
    <w:p w14:paraId="27CC1E0F" w14:textId="77777777" w:rsidR="00366005" w:rsidRPr="00183B5F" w:rsidRDefault="00366005">
      <w:pPr>
        <w:spacing w:line="240" w:lineRule="auto"/>
        <w:rPr>
          <w:szCs w:val="22"/>
        </w:rPr>
      </w:pPr>
    </w:p>
    <w:p w14:paraId="5CA9F519" w14:textId="77777777" w:rsidR="00366005" w:rsidRPr="00183B5F" w:rsidRDefault="00943743">
      <w:pPr>
        <w:spacing w:line="240" w:lineRule="auto"/>
        <w:rPr>
          <w:szCs w:val="22"/>
        </w:rPr>
      </w:pPr>
      <w:r w:rsidRPr="00183B5F">
        <w:rPr>
          <w:szCs w:val="22"/>
        </w:rPr>
        <w:t>A Humira biztonságosságát plakkos psoriasisban szenvedő gyermekeknél átlagosan 13 hónapig vizsgálták.</w:t>
      </w:r>
    </w:p>
    <w:p w14:paraId="7F2C9D24" w14:textId="77777777" w:rsidR="00366005" w:rsidRPr="00183B5F" w:rsidRDefault="00366005">
      <w:pPr>
        <w:spacing w:line="240" w:lineRule="auto"/>
        <w:rPr>
          <w:szCs w:val="22"/>
        </w:rPr>
      </w:pPr>
    </w:p>
    <w:p w14:paraId="6D955ED8" w14:textId="77777777" w:rsidR="00366005" w:rsidRPr="00183B5F" w:rsidRDefault="00943743">
      <w:pPr>
        <w:spacing w:line="240" w:lineRule="auto"/>
        <w:rPr>
          <w:szCs w:val="22"/>
        </w:rPr>
      </w:pPr>
      <w:r w:rsidRPr="00183B5F">
        <w:rPr>
          <w:szCs w:val="22"/>
        </w:rPr>
        <w:t>A Humira</w:t>
      </w:r>
      <w:r w:rsidRPr="00183B5F">
        <w:rPr>
          <w:szCs w:val="22"/>
        </w:rPr>
        <w:noBreakHyphen/>
        <w:t>nak 4 évesnél fiatalabb gyermekeknél ebben a javallatban nincs releváns alkalmazása.</w:t>
      </w:r>
    </w:p>
    <w:p w14:paraId="16646C8C" w14:textId="77777777" w:rsidR="00E745E9" w:rsidRPr="00183B5F" w:rsidRDefault="00E745E9">
      <w:pPr>
        <w:spacing w:line="240" w:lineRule="auto"/>
        <w:rPr>
          <w:szCs w:val="22"/>
        </w:rPr>
      </w:pPr>
    </w:p>
    <w:p w14:paraId="25A4F5E0" w14:textId="77777777" w:rsidR="00E745E9" w:rsidRPr="00183B5F" w:rsidRDefault="00943743">
      <w:pPr>
        <w:spacing w:line="240" w:lineRule="auto"/>
        <w:rPr>
          <w:szCs w:val="22"/>
        </w:rPr>
      </w:pPr>
      <w:r w:rsidRPr="00183B5F">
        <w:rPr>
          <w:szCs w:val="22"/>
        </w:rPr>
        <w:t>A Humira más hatáserősségben és/vagy kiszerelésben is elérhető az egyéni terápiás igényeknek megfelelően.</w:t>
      </w:r>
    </w:p>
    <w:p w14:paraId="447962FF" w14:textId="77777777" w:rsidR="00366005" w:rsidRPr="00183B5F" w:rsidRDefault="00366005">
      <w:pPr>
        <w:spacing w:line="240" w:lineRule="auto"/>
        <w:rPr>
          <w:szCs w:val="22"/>
        </w:rPr>
      </w:pPr>
    </w:p>
    <w:p w14:paraId="7FD7BB8E" w14:textId="77777777" w:rsidR="00366005" w:rsidRPr="00183B5F" w:rsidRDefault="00943743">
      <w:pPr>
        <w:keepNext/>
        <w:spacing w:line="240" w:lineRule="auto"/>
        <w:rPr>
          <w:i/>
          <w:szCs w:val="22"/>
        </w:rPr>
      </w:pPr>
      <w:r w:rsidRPr="00183B5F">
        <w:rPr>
          <w:i/>
          <w:szCs w:val="22"/>
        </w:rPr>
        <w:t>Gyermekkori Crohn</w:t>
      </w:r>
      <w:r w:rsidRPr="00183B5F">
        <w:rPr>
          <w:i/>
          <w:szCs w:val="22"/>
        </w:rPr>
        <w:noBreakHyphen/>
        <w:t>betegség</w:t>
      </w:r>
    </w:p>
    <w:p w14:paraId="12433E82" w14:textId="77777777" w:rsidR="00366005" w:rsidRPr="00183B5F" w:rsidRDefault="00366005">
      <w:pPr>
        <w:keepNext/>
        <w:spacing w:line="240" w:lineRule="auto"/>
        <w:rPr>
          <w:szCs w:val="22"/>
        </w:rPr>
      </w:pPr>
    </w:p>
    <w:p w14:paraId="38C1C7E2" w14:textId="77777777" w:rsidR="00366005" w:rsidRPr="00183B5F" w:rsidRDefault="00943743">
      <w:pPr>
        <w:keepNext/>
        <w:spacing w:line="240" w:lineRule="auto"/>
        <w:rPr>
          <w:szCs w:val="22"/>
        </w:rPr>
      </w:pPr>
      <w:r w:rsidRPr="00183B5F">
        <w:rPr>
          <w:szCs w:val="22"/>
        </w:rPr>
        <w:t>A Humira ajánlott adagja Crohn</w:t>
      </w:r>
      <w:r w:rsidRPr="00183B5F">
        <w:rPr>
          <w:szCs w:val="22"/>
        </w:rPr>
        <w:noBreakHyphen/>
        <w:t>betegségben szenvedő 6</w:t>
      </w:r>
      <w:r w:rsidRPr="00183B5F">
        <w:rPr>
          <w:szCs w:val="22"/>
        </w:rPr>
        <w:noBreakHyphen/>
        <w:t>17</w:t>
      </w:r>
      <w:r w:rsidR="00FD3AF2" w:rsidRPr="00183B5F">
        <w:rPr>
          <w:szCs w:val="22"/>
        </w:rPr>
        <w:t> </w:t>
      </w:r>
      <w:r w:rsidRPr="00183B5F">
        <w:rPr>
          <w:szCs w:val="22"/>
        </w:rPr>
        <w:t>éves betegeknél a testtömegtől függ (4. táblázat). A Humira</w:t>
      </w:r>
      <w:r w:rsidRPr="00183B5F">
        <w:rPr>
          <w:szCs w:val="22"/>
        </w:rPr>
        <w:noBreakHyphen/>
        <w:t>t subcutan injekció formájában kell alkalmazni.</w:t>
      </w:r>
    </w:p>
    <w:p w14:paraId="7D1E0DF4" w14:textId="77777777" w:rsidR="00366005" w:rsidRPr="00183B5F" w:rsidRDefault="00366005">
      <w:pPr>
        <w:spacing w:line="240" w:lineRule="auto"/>
        <w:rPr>
          <w:szCs w:val="22"/>
        </w:rPr>
      </w:pPr>
    </w:p>
    <w:p w14:paraId="050A3637" w14:textId="77777777" w:rsidR="00366005" w:rsidRPr="00183B5F" w:rsidRDefault="00943743">
      <w:pPr>
        <w:keepNext/>
        <w:spacing w:line="240" w:lineRule="auto"/>
        <w:jc w:val="center"/>
        <w:rPr>
          <w:b/>
          <w:szCs w:val="22"/>
        </w:rPr>
      </w:pPr>
      <w:r w:rsidRPr="00183B5F">
        <w:rPr>
          <w:b/>
          <w:szCs w:val="22"/>
        </w:rPr>
        <w:lastRenderedPageBreak/>
        <w:t>4. táblázat: A Humira dózisa Crohn</w:t>
      </w:r>
      <w:r w:rsidRPr="00183B5F">
        <w:rPr>
          <w:b/>
          <w:szCs w:val="22"/>
        </w:rPr>
        <w:noBreakHyphen/>
        <w:t>betegségben szenvedő gyermekeknél</w:t>
      </w:r>
    </w:p>
    <w:p w14:paraId="73CE9719" w14:textId="77777777" w:rsidR="00366005" w:rsidRPr="00183B5F" w:rsidRDefault="00366005">
      <w:pPr>
        <w:keepNext/>
        <w:spacing w:line="240" w:lineRule="auto"/>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263"/>
        <w:gridCol w:w="6312"/>
        <w:gridCol w:w="1480"/>
      </w:tblGrid>
      <w:tr w:rsidR="00011D2F" w14:paraId="543558C8" w14:textId="77777777" w:rsidTr="00366005">
        <w:trPr>
          <w:tblHead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7877FFC" w14:textId="77777777" w:rsidR="00366005" w:rsidRPr="00183B5F" w:rsidRDefault="00943743" w:rsidP="00CB2327">
            <w:pPr>
              <w:keepNext/>
              <w:spacing w:line="240" w:lineRule="auto"/>
              <w:jc w:val="center"/>
              <w:rPr>
                <w:lang w:eastAsia="en-US"/>
              </w:rPr>
            </w:pPr>
            <w:r w:rsidRPr="00183B5F">
              <w:rPr>
                <w:b/>
                <w:lang w:eastAsia="en-US"/>
              </w:rPr>
              <w:t>A beteg testtömege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445C197" w14:textId="77777777" w:rsidR="00366005" w:rsidRPr="00183B5F" w:rsidRDefault="00943743">
            <w:pPr>
              <w:keepNext/>
              <w:spacing w:line="240" w:lineRule="auto"/>
              <w:jc w:val="center"/>
              <w:rPr>
                <w:lang w:eastAsia="en-US"/>
              </w:rPr>
            </w:pPr>
            <w:r w:rsidRPr="00183B5F">
              <w:rPr>
                <w:b/>
                <w:lang w:eastAsia="en-US"/>
              </w:rPr>
              <w:t>Indukciós dózis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3206592" w14:textId="77777777" w:rsidR="004C0238" w:rsidRPr="00183B5F" w:rsidRDefault="00943743">
            <w:pPr>
              <w:keepNext/>
              <w:spacing w:line="240" w:lineRule="auto"/>
              <w:jc w:val="center"/>
              <w:rPr>
                <w:b/>
                <w:lang w:eastAsia="en-US"/>
              </w:rPr>
            </w:pPr>
            <w:r w:rsidRPr="00183B5F">
              <w:rPr>
                <w:b/>
                <w:lang w:eastAsia="en-US"/>
              </w:rPr>
              <w:t>Fenntartó dózis</w:t>
            </w:r>
          </w:p>
          <w:p w14:paraId="0CE54FDC" w14:textId="77777777" w:rsidR="00366005" w:rsidRPr="00183B5F" w:rsidRDefault="00943743">
            <w:pPr>
              <w:keepNext/>
              <w:spacing w:line="240" w:lineRule="auto"/>
              <w:jc w:val="center"/>
              <w:rPr>
                <w:lang w:eastAsia="en-US"/>
              </w:rPr>
            </w:pPr>
            <w:r w:rsidRPr="00183B5F">
              <w:rPr>
                <w:b/>
                <w:lang w:eastAsia="en-US"/>
              </w:rPr>
              <w:t>4. héttől kezdve</w:t>
            </w:r>
          </w:p>
        </w:tc>
      </w:tr>
      <w:tr w:rsidR="00011D2F" w14:paraId="037D84B1" w14:textId="77777777" w:rsidTr="00366005">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D9BC16C" w14:textId="77777777" w:rsidR="00366005" w:rsidRPr="00183B5F" w:rsidRDefault="00943743">
            <w:pPr>
              <w:keepNext/>
              <w:spacing w:line="240" w:lineRule="auto"/>
              <w:jc w:val="center"/>
              <w:rPr>
                <w:lang w:eastAsia="en-US"/>
              </w:rPr>
            </w:pPr>
            <w:r w:rsidRPr="00183B5F">
              <w:rPr>
                <w:lang w:eastAsia="en-US"/>
              </w:rPr>
              <w:t>&lt; 40 kg</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B580F71" w14:textId="77777777" w:rsidR="00366005" w:rsidRPr="00183B5F" w:rsidRDefault="00943743">
            <w:pPr>
              <w:pStyle w:val="ListParagraph"/>
              <w:keepNext/>
              <w:numPr>
                <w:ilvl w:val="0"/>
                <w:numId w:val="151"/>
              </w:numPr>
              <w:suppressAutoHyphens w:val="0"/>
              <w:spacing w:line="240" w:lineRule="auto"/>
              <w:contextualSpacing/>
              <w:rPr>
                <w:szCs w:val="22"/>
                <w:lang w:eastAsia="en-US"/>
              </w:rPr>
            </w:pPr>
            <w:r w:rsidRPr="00183B5F">
              <w:rPr>
                <w:szCs w:val="22"/>
                <w:lang w:eastAsia="en-US"/>
              </w:rPr>
              <w:t>40 mg a 0. héten és 20 mg a 2. héten.</w:t>
            </w:r>
          </w:p>
          <w:p w14:paraId="7C555FA1" w14:textId="77777777" w:rsidR="00366005" w:rsidRPr="00183B5F" w:rsidRDefault="00366005">
            <w:pPr>
              <w:keepNext/>
              <w:suppressAutoHyphens w:val="0"/>
              <w:spacing w:line="240" w:lineRule="auto"/>
              <w:rPr>
                <w:szCs w:val="22"/>
                <w:lang w:eastAsia="en-US"/>
              </w:rPr>
            </w:pPr>
          </w:p>
          <w:p w14:paraId="72428DCF" w14:textId="77777777" w:rsidR="00366005" w:rsidRPr="00183B5F" w:rsidRDefault="00943743">
            <w:pPr>
              <w:keepNext/>
              <w:suppressAutoHyphens w:val="0"/>
              <w:spacing w:line="240" w:lineRule="auto"/>
              <w:rPr>
                <w:szCs w:val="22"/>
                <w:lang w:eastAsia="en-US"/>
              </w:rPr>
            </w:pPr>
            <w:r w:rsidRPr="00183B5F">
              <w:rPr>
                <w:szCs w:val="22"/>
                <w:lang w:eastAsia="en-US"/>
              </w:rPr>
              <w:t>Amennyiben gyorsabb terápiás válaszra van szükség, figyelembe véve, hogy a nagyobb indukciós dózis adásakor a nemkívánatos események kockázata is nagyobb, úgy a következő adagolás alkalmazható:</w:t>
            </w:r>
          </w:p>
          <w:p w14:paraId="7E4734CF" w14:textId="77777777" w:rsidR="00366005" w:rsidRPr="00183B5F" w:rsidRDefault="00943743" w:rsidP="004062FE">
            <w:pPr>
              <w:pStyle w:val="ListParagraph"/>
              <w:keepNext/>
              <w:numPr>
                <w:ilvl w:val="0"/>
                <w:numId w:val="151"/>
              </w:numPr>
              <w:suppressAutoHyphens w:val="0"/>
              <w:spacing w:line="240" w:lineRule="auto"/>
              <w:contextualSpacing/>
              <w:rPr>
                <w:iCs/>
                <w:szCs w:val="22"/>
                <w:lang w:eastAsia="en-US"/>
              </w:rPr>
            </w:pPr>
            <w:r w:rsidRPr="00183B5F">
              <w:rPr>
                <w:szCs w:val="22"/>
                <w:lang w:eastAsia="en-US"/>
              </w:rPr>
              <w:t>80 mg a 0. héten és 40 mg a 2. héten</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CC1D7B9" w14:textId="77777777" w:rsidR="00366005" w:rsidRPr="00183B5F" w:rsidRDefault="00943743">
            <w:pPr>
              <w:keepNext/>
              <w:suppressAutoHyphens w:val="0"/>
              <w:spacing w:line="240" w:lineRule="auto"/>
              <w:ind w:left="27"/>
              <w:jc w:val="center"/>
              <w:rPr>
                <w:lang w:eastAsia="en-US"/>
              </w:rPr>
            </w:pPr>
            <w:r w:rsidRPr="00183B5F">
              <w:rPr>
                <w:lang w:eastAsia="en-US"/>
              </w:rPr>
              <w:t>20 mg minden második héten</w:t>
            </w:r>
          </w:p>
        </w:tc>
      </w:tr>
      <w:tr w:rsidR="00011D2F" w14:paraId="63D400CC" w14:textId="77777777" w:rsidTr="00366005">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1581B6C" w14:textId="77777777" w:rsidR="00366005" w:rsidRPr="00183B5F" w:rsidRDefault="00943743">
            <w:pPr>
              <w:keepNext/>
              <w:spacing w:line="240" w:lineRule="auto"/>
              <w:jc w:val="center"/>
              <w:rPr>
                <w:lang w:eastAsia="en-US"/>
              </w:rPr>
            </w:pPr>
            <w:r w:rsidRPr="00183B5F">
              <w:rPr>
                <w:lang w:eastAsia="en-US"/>
              </w:rPr>
              <w:t>≥ 40 kg</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C20BCA7" w14:textId="77777777" w:rsidR="00366005" w:rsidRPr="00183B5F" w:rsidRDefault="00943743" w:rsidP="004062FE">
            <w:pPr>
              <w:pStyle w:val="ListParagraph"/>
              <w:keepNext/>
              <w:numPr>
                <w:ilvl w:val="0"/>
                <w:numId w:val="151"/>
              </w:numPr>
              <w:suppressAutoHyphens w:val="0"/>
              <w:spacing w:line="240" w:lineRule="auto"/>
              <w:contextualSpacing/>
              <w:rPr>
                <w:szCs w:val="22"/>
                <w:lang w:eastAsia="en-US"/>
              </w:rPr>
            </w:pPr>
            <w:r w:rsidRPr="00183B5F">
              <w:rPr>
                <w:szCs w:val="22"/>
                <w:lang w:eastAsia="en-US"/>
              </w:rPr>
              <w:t>80 mg a 0. héten és 40 mg a 2. héten</w:t>
            </w:r>
          </w:p>
          <w:p w14:paraId="7EF211E8" w14:textId="77777777" w:rsidR="00366005" w:rsidRPr="00183B5F" w:rsidRDefault="00366005">
            <w:pPr>
              <w:keepNext/>
              <w:suppressAutoHyphens w:val="0"/>
              <w:spacing w:line="240" w:lineRule="auto"/>
              <w:rPr>
                <w:szCs w:val="22"/>
                <w:lang w:eastAsia="en-US"/>
              </w:rPr>
            </w:pPr>
          </w:p>
          <w:p w14:paraId="27A5E250" w14:textId="77777777" w:rsidR="00366005" w:rsidRPr="00183B5F" w:rsidRDefault="00943743">
            <w:pPr>
              <w:keepNext/>
              <w:suppressAutoHyphens w:val="0"/>
              <w:spacing w:line="240" w:lineRule="auto"/>
              <w:rPr>
                <w:szCs w:val="22"/>
                <w:lang w:eastAsia="en-US"/>
              </w:rPr>
            </w:pPr>
            <w:r w:rsidRPr="00183B5F">
              <w:rPr>
                <w:szCs w:val="22"/>
                <w:lang w:eastAsia="en-US"/>
              </w:rPr>
              <w:t>Amennyiben gyorsabb terápiás válaszra van szükség, figyelembe véve, hogy a nagyobb indukciós dózis adásakor a nemkívánatos események kockázata is nagyobb, úgy a következő adagolás alkalmazható:</w:t>
            </w:r>
          </w:p>
          <w:p w14:paraId="21E7DE06" w14:textId="77777777" w:rsidR="00366005" w:rsidRPr="00183B5F" w:rsidRDefault="00943743" w:rsidP="004062FE">
            <w:pPr>
              <w:pStyle w:val="ListParagraph"/>
              <w:keepNext/>
              <w:numPr>
                <w:ilvl w:val="0"/>
                <w:numId w:val="151"/>
              </w:numPr>
              <w:suppressAutoHyphens w:val="0"/>
              <w:spacing w:line="240" w:lineRule="auto"/>
              <w:contextualSpacing/>
              <w:rPr>
                <w:szCs w:val="22"/>
                <w:lang w:eastAsia="en-US"/>
              </w:rPr>
            </w:pPr>
            <w:r w:rsidRPr="00183B5F">
              <w:rPr>
                <w:szCs w:val="22"/>
                <w:lang w:eastAsia="en-US"/>
              </w:rPr>
              <w:t>160 mg a 0. héten és 80 mg a 2. héten</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73D402E" w14:textId="77777777" w:rsidR="00366005" w:rsidRPr="00183B5F" w:rsidRDefault="00943743">
            <w:pPr>
              <w:keepNext/>
              <w:suppressAutoHyphens w:val="0"/>
              <w:spacing w:line="240" w:lineRule="auto"/>
              <w:ind w:left="36"/>
              <w:jc w:val="center"/>
              <w:rPr>
                <w:lang w:eastAsia="en-US"/>
              </w:rPr>
            </w:pPr>
            <w:r w:rsidRPr="00183B5F">
              <w:rPr>
                <w:lang w:eastAsia="en-US"/>
              </w:rPr>
              <w:t>40 mg minden második héten</w:t>
            </w:r>
          </w:p>
        </w:tc>
      </w:tr>
    </w:tbl>
    <w:p w14:paraId="572F7503" w14:textId="77777777" w:rsidR="004C0238" w:rsidRPr="00183B5F" w:rsidRDefault="004C0238">
      <w:pPr>
        <w:spacing w:line="240" w:lineRule="auto"/>
        <w:rPr>
          <w:szCs w:val="22"/>
        </w:rPr>
      </w:pPr>
    </w:p>
    <w:p w14:paraId="52A8EB4D" w14:textId="77777777" w:rsidR="00366005" w:rsidRPr="00183B5F" w:rsidRDefault="00943743">
      <w:pPr>
        <w:spacing w:line="240" w:lineRule="auto"/>
        <w:rPr>
          <w:szCs w:val="22"/>
        </w:rPr>
      </w:pPr>
      <w:r w:rsidRPr="00183B5F">
        <w:rPr>
          <w:szCs w:val="22"/>
        </w:rPr>
        <w:t>A nem megfelelően reagáló betegeknél előnyös lehet az adag növelése:</w:t>
      </w:r>
    </w:p>
    <w:p w14:paraId="3557C270" w14:textId="77777777" w:rsidR="00366005" w:rsidRPr="00183B5F" w:rsidRDefault="00943743">
      <w:pPr>
        <w:keepNext/>
        <w:numPr>
          <w:ilvl w:val="0"/>
          <w:numId w:val="153"/>
        </w:numPr>
        <w:tabs>
          <w:tab w:val="left" w:pos="540"/>
        </w:tabs>
        <w:spacing w:line="240" w:lineRule="auto"/>
        <w:ind w:left="540" w:hanging="540"/>
      </w:pPr>
      <w:r w:rsidRPr="00183B5F">
        <w:t>&lt; 40 kg: 20 mg minden héten</w:t>
      </w:r>
    </w:p>
    <w:p w14:paraId="02CB17E3" w14:textId="77777777" w:rsidR="00366005" w:rsidRPr="00183B5F" w:rsidRDefault="00943743">
      <w:pPr>
        <w:keepNext/>
        <w:numPr>
          <w:ilvl w:val="0"/>
          <w:numId w:val="153"/>
        </w:numPr>
        <w:tabs>
          <w:tab w:val="left" w:pos="540"/>
        </w:tabs>
        <w:spacing w:line="240" w:lineRule="auto"/>
        <w:ind w:left="540" w:hanging="540"/>
      </w:pPr>
      <w:r w:rsidRPr="00183B5F">
        <w:t>≥ 40 kg: 40 mg minden héten</w:t>
      </w:r>
      <w:r w:rsidR="00E745E9" w:rsidRPr="00183B5F">
        <w:t xml:space="preserve"> vagy 80 mg minden második héten</w:t>
      </w:r>
    </w:p>
    <w:p w14:paraId="446000BC" w14:textId="77777777" w:rsidR="00366005" w:rsidRPr="00183B5F" w:rsidRDefault="00366005">
      <w:pPr>
        <w:keepNext/>
        <w:tabs>
          <w:tab w:val="left" w:pos="540"/>
        </w:tabs>
        <w:spacing w:line="240" w:lineRule="auto"/>
      </w:pPr>
    </w:p>
    <w:p w14:paraId="3208F8A7" w14:textId="77777777" w:rsidR="00366005" w:rsidRPr="00183B5F" w:rsidRDefault="00943743">
      <w:pPr>
        <w:spacing w:line="240" w:lineRule="auto"/>
        <w:rPr>
          <w:szCs w:val="22"/>
        </w:rPr>
      </w:pPr>
      <w:r w:rsidRPr="00183B5F">
        <w:rPr>
          <w:szCs w:val="22"/>
        </w:rPr>
        <w:t>A kezelés folytatását alaposan meg kell fontolni azoknál a betegeknél, akik a 12. hétig nem reagálnak a kezelésre.</w:t>
      </w:r>
    </w:p>
    <w:p w14:paraId="1D37ECAC" w14:textId="77777777" w:rsidR="00366005" w:rsidRPr="00183B5F" w:rsidRDefault="00366005">
      <w:pPr>
        <w:spacing w:line="240" w:lineRule="auto"/>
        <w:rPr>
          <w:szCs w:val="22"/>
        </w:rPr>
      </w:pPr>
    </w:p>
    <w:p w14:paraId="057F3956" w14:textId="77777777" w:rsidR="00366005" w:rsidRPr="00183B5F" w:rsidRDefault="00943743">
      <w:pPr>
        <w:spacing w:line="240" w:lineRule="auto"/>
        <w:rPr>
          <w:szCs w:val="22"/>
        </w:rPr>
      </w:pPr>
      <w:r w:rsidRPr="00183B5F">
        <w:rPr>
          <w:szCs w:val="22"/>
        </w:rPr>
        <w:t>A Humira</w:t>
      </w:r>
      <w:r w:rsidRPr="00183B5F">
        <w:rPr>
          <w:szCs w:val="22"/>
        </w:rPr>
        <w:noBreakHyphen/>
        <w:t>nak 6 évesnél fiatalabb gyermekeknél ebben a javallatban nincs releváns alkalmazása.</w:t>
      </w:r>
    </w:p>
    <w:p w14:paraId="7CC74A37" w14:textId="77777777" w:rsidR="00E745E9" w:rsidRPr="00183B5F" w:rsidRDefault="00E745E9">
      <w:pPr>
        <w:spacing w:line="240" w:lineRule="auto"/>
        <w:rPr>
          <w:szCs w:val="22"/>
        </w:rPr>
      </w:pPr>
    </w:p>
    <w:p w14:paraId="0477261B" w14:textId="77777777" w:rsidR="00E745E9" w:rsidRPr="00183B5F" w:rsidRDefault="00943743">
      <w:pPr>
        <w:spacing w:line="240" w:lineRule="auto"/>
        <w:rPr>
          <w:szCs w:val="22"/>
        </w:rPr>
      </w:pPr>
      <w:r w:rsidRPr="00183B5F">
        <w:rPr>
          <w:szCs w:val="22"/>
        </w:rPr>
        <w:t>A Humira más hatáserősségben és/vagy kiszerelésben is elérhető az egyéni terápiás igényeknek megfelelően.</w:t>
      </w:r>
    </w:p>
    <w:p w14:paraId="69FD92AD" w14:textId="77777777" w:rsidR="00366005" w:rsidRPr="00183B5F" w:rsidRDefault="00366005">
      <w:pPr>
        <w:keepNext/>
        <w:tabs>
          <w:tab w:val="left" w:pos="540"/>
        </w:tabs>
        <w:spacing w:line="240" w:lineRule="auto"/>
      </w:pPr>
    </w:p>
    <w:p w14:paraId="3FF0F1E1" w14:textId="77777777" w:rsidR="00366005" w:rsidRPr="00183B5F" w:rsidRDefault="00943743">
      <w:pPr>
        <w:spacing w:line="240" w:lineRule="auto"/>
        <w:rPr>
          <w:i/>
          <w:szCs w:val="22"/>
        </w:rPr>
      </w:pPr>
      <w:r w:rsidRPr="00183B5F">
        <w:rPr>
          <w:i/>
          <w:szCs w:val="22"/>
        </w:rPr>
        <w:t>Gyermekkori uveitis</w:t>
      </w:r>
    </w:p>
    <w:p w14:paraId="197C2852" w14:textId="77777777" w:rsidR="00366005" w:rsidRPr="00183B5F" w:rsidRDefault="00366005">
      <w:pPr>
        <w:keepNext/>
        <w:tabs>
          <w:tab w:val="left" w:pos="540"/>
        </w:tabs>
        <w:spacing w:line="240" w:lineRule="auto"/>
      </w:pPr>
    </w:p>
    <w:p w14:paraId="4B2394A0" w14:textId="77777777" w:rsidR="00366005" w:rsidRPr="00183B5F" w:rsidRDefault="00943743">
      <w:pPr>
        <w:spacing w:line="240" w:lineRule="auto"/>
        <w:rPr>
          <w:szCs w:val="22"/>
        </w:rPr>
      </w:pPr>
      <w:r w:rsidRPr="00183B5F">
        <w:rPr>
          <w:szCs w:val="22"/>
        </w:rPr>
        <w:t>A Humira ajánlott adagja uve</w:t>
      </w:r>
      <w:r w:rsidR="004C0238" w:rsidRPr="00183B5F">
        <w:rPr>
          <w:szCs w:val="22"/>
        </w:rPr>
        <w:t>i</w:t>
      </w:r>
      <w:r w:rsidRPr="00183B5F">
        <w:rPr>
          <w:szCs w:val="22"/>
        </w:rPr>
        <w:t>tisben szenvedő</w:t>
      </w:r>
      <w:r w:rsidR="00CB2327" w:rsidRPr="00183B5F">
        <w:rPr>
          <w:szCs w:val="22"/>
        </w:rPr>
        <w:t>,</w:t>
      </w:r>
      <w:r w:rsidRPr="00183B5F">
        <w:rPr>
          <w:szCs w:val="22"/>
        </w:rPr>
        <w:t xml:space="preserve"> 2 évesnél idősebb gyermekeknél a testtömegtől függ (5. táblázat). A Humira</w:t>
      </w:r>
      <w:r w:rsidRPr="00183B5F">
        <w:rPr>
          <w:szCs w:val="22"/>
        </w:rPr>
        <w:noBreakHyphen/>
        <w:t>t subcutan injekció formájában kell alkalmazni.</w:t>
      </w:r>
    </w:p>
    <w:p w14:paraId="2F0998DD" w14:textId="77777777" w:rsidR="00366005" w:rsidRPr="00183B5F" w:rsidRDefault="00366005">
      <w:pPr>
        <w:spacing w:line="240" w:lineRule="auto"/>
        <w:rPr>
          <w:szCs w:val="22"/>
        </w:rPr>
      </w:pPr>
    </w:p>
    <w:p w14:paraId="1E3A2EDA" w14:textId="77777777" w:rsidR="00366005" w:rsidRPr="00183B5F" w:rsidRDefault="00943743">
      <w:pPr>
        <w:spacing w:line="240" w:lineRule="auto"/>
        <w:rPr>
          <w:szCs w:val="22"/>
        </w:rPr>
      </w:pPr>
      <w:r w:rsidRPr="00183B5F">
        <w:rPr>
          <w:szCs w:val="22"/>
        </w:rPr>
        <w:t>Gyermekkori uveitisben nincs tapasztalat az egyidejű metotrexát</w:t>
      </w:r>
      <w:r w:rsidRPr="00183B5F">
        <w:rPr>
          <w:szCs w:val="22"/>
        </w:rPr>
        <w:noBreakHyphen/>
        <w:t>kezelés nélküli Humira</w:t>
      </w:r>
      <w:r w:rsidRPr="00183B5F">
        <w:rPr>
          <w:szCs w:val="22"/>
        </w:rPr>
        <w:noBreakHyphen/>
        <w:t>kezeléssel.</w:t>
      </w:r>
    </w:p>
    <w:p w14:paraId="39242F7F" w14:textId="77777777" w:rsidR="00366005" w:rsidRPr="00183B5F" w:rsidRDefault="00366005">
      <w:pPr>
        <w:spacing w:line="240" w:lineRule="auto"/>
        <w:rPr>
          <w:szCs w:val="22"/>
        </w:rPr>
      </w:pPr>
    </w:p>
    <w:p w14:paraId="3C3EEDDC" w14:textId="77777777" w:rsidR="00366005" w:rsidRPr="00183B5F" w:rsidRDefault="00943743">
      <w:pPr>
        <w:keepNext/>
        <w:spacing w:line="240" w:lineRule="auto"/>
        <w:jc w:val="center"/>
        <w:rPr>
          <w:b/>
          <w:szCs w:val="22"/>
        </w:rPr>
      </w:pPr>
      <w:r w:rsidRPr="00183B5F">
        <w:rPr>
          <w:b/>
          <w:szCs w:val="22"/>
        </w:rPr>
        <w:t>5. táblázat: A Humira dózisa uveitisben szenvedő gyermekeknél</w:t>
      </w:r>
    </w:p>
    <w:p w14:paraId="5537D8C7" w14:textId="77777777" w:rsidR="00366005" w:rsidRPr="00183B5F" w:rsidRDefault="00366005">
      <w:pPr>
        <w:keepNext/>
        <w:spacing w:line="240" w:lineRule="auto"/>
        <w:rPr>
          <w:szCs w:val="22"/>
        </w:rPr>
      </w:pPr>
    </w:p>
    <w:tbl>
      <w:tblPr>
        <w:tblW w:w="6795" w:type="dxa"/>
        <w:jc w:val="center"/>
        <w:tblLayout w:type="fixed"/>
        <w:tblLook w:val="04A0" w:firstRow="1" w:lastRow="0" w:firstColumn="1" w:lastColumn="0" w:noHBand="0" w:noVBand="1"/>
      </w:tblPr>
      <w:tblGrid>
        <w:gridCol w:w="3401"/>
        <w:gridCol w:w="3394"/>
      </w:tblGrid>
      <w:tr w:rsidR="00011D2F" w14:paraId="3ADAF8BF" w14:textId="77777777" w:rsidTr="00832DC3">
        <w:trPr>
          <w:tblHeader/>
          <w:jc w:val="center"/>
        </w:trPr>
        <w:tc>
          <w:tcPr>
            <w:tcW w:w="3401" w:type="dxa"/>
            <w:tcBorders>
              <w:top w:val="single" w:sz="4" w:space="0" w:color="auto"/>
              <w:left w:val="nil"/>
              <w:bottom w:val="single" w:sz="4" w:space="0" w:color="auto"/>
              <w:right w:val="nil"/>
            </w:tcBorders>
            <w:hideMark/>
          </w:tcPr>
          <w:p w14:paraId="5A842B8C" w14:textId="77777777" w:rsidR="00366005" w:rsidRPr="00183B5F" w:rsidRDefault="00943743" w:rsidP="00CB2327">
            <w:pPr>
              <w:pStyle w:val="TableLeft"/>
              <w:spacing w:before="0" w:after="0" w:line="240" w:lineRule="auto"/>
              <w:jc w:val="center"/>
              <w:rPr>
                <w:b/>
                <w:sz w:val="22"/>
                <w:szCs w:val="22"/>
                <w:lang w:val="hu-HU"/>
              </w:rPr>
            </w:pPr>
            <w:r w:rsidRPr="00183B5F">
              <w:rPr>
                <w:b/>
                <w:sz w:val="22"/>
                <w:szCs w:val="22"/>
                <w:lang w:val="hu-HU"/>
              </w:rPr>
              <w:t xml:space="preserve">A beteg testtömege </w:t>
            </w:r>
          </w:p>
        </w:tc>
        <w:tc>
          <w:tcPr>
            <w:tcW w:w="3394" w:type="dxa"/>
            <w:tcBorders>
              <w:top w:val="single" w:sz="4" w:space="0" w:color="auto"/>
              <w:left w:val="nil"/>
              <w:bottom w:val="single" w:sz="4" w:space="0" w:color="auto"/>
              <w:right w:val="nil"/>
            </w:tcBorders>
            <w:hideMark/>
          </w:tcPr>
          <w:p w14:paraId="1B879139" w14:textId="77777777" w:rsidR="00366005" w:rsidRPr="00183B5F" w:rsidRDefault="00943743">
            <w:pPr>
              <w:pStyle w:val="TableLeft"/>
              <w:spacing w:before="0" w:after="0" w:line="240" w:lineRule="auto"/>
              <w:jc w:val="center"/>
              <w:rPr>
                <w:b/>
                <w:sz w:val="22"/>
                <w:szCs w:val="22"/>
                <w:lang w:val="hu-HU"/>
              </w:rPr>
            </w:pPr>
            <w:r w:rsidRPr="00183B5F">
              <w:rPr>
                <w:b/>
                <w:sz w:val="22"/>
                <w:szCs w:val="22"/>
                <w:lang w:val="hu-HU"/>
              </w:rPr>
              <w:t>Adagolási rend</w:t>
            </w:r>
          </w:p>
        </w:tc>
      </w:tr>
      <w:tr w:rsidR="00011D2F" w14:paraId="64E2405E" w14:textId="77777777" w:rsidTr="00832DC3">
        <w:trPr>
          <w:tblHeader/>
          <w:jc w:val="center"/>
        </w:trPr>
        <w:tc>
          <w:tcPr>
            <w:tcW w:w="3401" w:type="dxa"/>
            <w:tcBorders>
              <w:top w:val="single" w:sz="4" w:space="0" w:color="auto"/>
              <w:left w:val="nil"/>
              <w:bottom w:val="single" w:sz="4" w:space="0" w:color="auto"/>
              <w:right w:val="nil"/>
            </w:tcBorders>
            <w:hideMark/>
          </w:tcPr>
          <w:p w14:paraId="7D858456" w14:textId="77777777" w:rsidR="00366005" w:rsidRPr="00183B5F" w:rsidRDefault="00943743">
            <w:pPr>
              <w:pStyle w:val="TableLeft"/>
              <w:spacing w:before="0" w:after="0" w:line="240" w:lineRule="auto"/>
              <w:jc w:val="center"/>
              <w:rPr>
                <w:b/>
                <w:sz w:val="22"/>
                <w:szCs w:val="22"/>
                <w:lang w:val="hu-HU"/>
              </w:rPr>
            </w:pPr>
            <w:r w:rsidRPr="00183B5F">
              <w:rPr>
                <w:sz w:val="22"/>
                <w:szCs w:val="22"/>
                <w:lang w:val="hu-HU"/>
              </w:rPr>
              <w:t>&lt; 30 kg</w:t>
            </w:r>
          </w:p>
        </w:tc>
        <w:tc>
          <w:tcPr>
            <w:tcW w:w="3394" w:type="dxa"/>
            <w:tcBorders>
              <w:top w:val="single" w:sz="4" w:space="0" w:color="auto"/>
              <w:left w:val="nil"/>
              <w:bottom w:val="single" w:sz="4" w:space="0" w:color="auto"/>
              <w:right w:val="nil"/>
            </w:tcBorders>
            <w:hideMark/>
          </w:tcPr>
          <w:p w14:paraId="0632C5FD" w14:textId="77777777" w:rsidR="00366005" w:rsidRPr="00183B5F" w:rsidRDefault="00943743">
            <w:pPr>
              <w:pStyle w:val="TableLeft"/>
              <w:spacing w:before="0" w:after="0" w:line="240" w:lineRule="auto"/>
              <w:jc w:val="center"/>
              <w:rPr>
                <w:b/>
                <w:sz w:val="22"/>
                <w:szCs w:val="22"/>
                <w:lang w:val="hu-HU"/>
              </w:rPr>
            </w:pPr>
            <w:r w:rsidRPr="00183B5F">
              <w:rPr>
                <w:sz w:val="22"/>
                <w:szCs w:val="22"/>
                <w:lang w:val="hu-HU"/>
              </w:rPr>
              <w:t>20 mg minden második héten metotrexáttal kombinálva</w:t>
            </w:r>
          </w:p>
        </w:tc>
      </w:tr>
      <w:tr w:rsidR="00011D2F" w14:paraId="79F9AC32" w14:textId="77777777" w:rsidTr="00832DC3">
        <w:trPr>
          <w:tblHeader/>
          <w:jc w:val="center"/>
        </w:trPr>
        <w:tc>
          <w:tcPr>
            <w:tcW w:w="3401" w:type="dxa"/>
            <w:tcBorders>
              <w:top w:val="single" w:sz="4" w:space="0" w:color="auto"/>
              <w:left w:val="nil"/>
              <w:bottom w:val="single" w:sz="4" w:space="0" w:color="auto"/>
              <w:right w:val="nil"/>
            </w:tcBorders>
            <w:hideMark/>
          </w:tcPr>
          <w:p w14:paraId="56CC3E99" w14:textId="77777777" w:rsidR="00366005" w:rsidRPr="00183B5F" w:rsidRDefault="00943743">
            <w:pPr>
              <w:pStyle w:val="TableLeft"/>
              <w:spacing w:before="0" w:after="0" w:line="240" w:lineRule="auto"/>
              <w:jc w:val="center"/>
              <w:rPr>
                <w:b/>
                <w:sz w:val="22"/>
                <w:szCs w:val="22"/>
                <w:lang w:val="hu-HU"/>
              </w:rPr>
            </w:pPr>
            <w:r w:rsidRPr="00183B5F">
              <w:rPr>
                <w:sz w:val="22"/>
                <w:szCs w:val="22"/>
                <w:lang w:val="hu-HU"/>
              </w:rPr>
              <w:t>≥ 30 kg</w:t>
            </w:r>
          </w:p>
        </w:tc>
        <w:tc>
          <w:tcPr>
            <w:tcW w:w="3394" w:type="dxa"/>
            <w:tcBorders>
              <w:top w:val="single" w:sz="4" w:space="0" w:color="auto"/>
              <w:left w:val="nil"/>
              <w:bottom w:val="single" w:sz="4" w:space="0" w:color="auto"/>
              <w:right w:val="nil"/>
            </w:tcBorders>
            <w:hideMark/>
          </w:tcPr>
          <w:p w14:paraId="748A555C" w14:textId="77777777" w:rsidR="00366005" w:rsidRPr="00183B5F" w:rsidRDefault="00943743">
            <w:pPr>
              <w:pStyle w:val="TableLeft"/>
              <w:spacing w:before="0" w:after="0" w:line="240" w:lineRule="auto"/>
              <w:jc w:val="center"/>
              <w:rPr>
                <w:b/>
                <w:sz w:val="22"/>
                <w:szCs w:val="22"/>
                <w:lang w:val="hu-HU"/>
              </w:rPr>
            </w:pPr>
            <w:r w:rsidRPr="00183B5F">
              <w:rPr>
                <w:sz w:val="22"/>
                <w:szCs w:val="22"/>
                <w:lang w:val="hu-HU"/>
              </w:rPr>
              <w:t>40 mg minden második héten metotrexáttal kombinálva</w:t>
            </w:r>
          </w:p>
        </w:tc>
      </w:tr>
    </w:tbl>
    <w:p w14:paraId="7A4FEB14" w14:textId="77777777" w:rsidR="00366005" w:rsidRPr="00183B5F" w:rsidRDefault="00366005">
      <w:pPr>
        <w:keepNext/>
        <w:tabs>
          <w:tab w:val="left" w:pos="540"/>
        </w:tabs>
        <w:spacing w:line="240" w:lineRule="auto"/>
      </w:pPr>
    </w:p>
    <w:p w14:paraId="66FA5447" w14:textId="77777777" w:rsidR="00366005" w:rsidRPr="00183B5F" w:rsidRDefault="00943743">
      <w:pPr>
        <w:spacing w:line="240" w:lineRule="auto"/>
        <w:rPr>
          <w:szCs w:val="22"/>
        </w:rPr>
      </w:pPr>
      <w:r w:rsidRPr="00183B5F">
        <w:rPr>
          <w:szCs w:val="22"/>
        </w:rPr>
        <w:t>A Humira</w:t>
      </w:r>
      <w:r w:rsidRPr="00183B5F">
        <w:rPr>
          <w:szCs w:val="22"/>
        </w:rPr>
        <w:noBreakHyphen/>
        <w:t>kezelés megkezdésekor egy 40 mg</w:t>
      </w:r>
      <w:r w:rsidRPr="00183B5F">
        <w:rPr>
          <w:szCs w:val="22"/>
        </w:rPr>
        <w:noBreakHyphen/>
        <w:t>os telítő dózis adható a 30 kg alatti betegeknek</w:t>
      </w:r>
      <w:r w:rsidR="00CB2327" w:rsidRPr="00183B5F">
        <w:rPr>
          <w:szCs w:val="22"/>
        </w:rPr>
        <w:t>,</w:t>
      </w:r>
      <w:r w:rsidRPr="00183B5F">
        <w:rPr>
          <w:szCs w:val="22"/>
        </w:rPr>
        <w:t xml:space="preserve"> vagy egy 80 mg</w:t>
      </w:r>
      <w:r w:rsidRPr="00183B5F">
        <w:rPr>
          <w:szCs w:val="22"/>
        </w:rPr>
        <w:noBreakHyphen/>
      </w:r>
      <w:r w:rsidRPr="00183B5F">
        <w:rPr>
          <w:szCs w:val="22"/>
        </w:rPr>
        <w:t>os telítő dózis adható a legalább 30 kg</w:t>
      </w:r>
      <w:r w:rsidRPr="00183B5F">
        <w:rPr>
          <w:szCs w:val="22"/>
        </w:rPr>
        <w:noBreakHyphen/>
        <w:t>os betegeknek egy héttel a fenntartó kezelés megkezdése előtt. Nem állnak rendelkezésre klinikai adatok a Humira telítő adagjának 6 évnél fiatalabb gyermekek esetén történő alkalmazásáról (lásd 5.2 pont).</w:t>
      </w:r>
    </w:p>
    <w:p w14:paraId="2C8004EE" w14:textId="77777777" w:rsidR="00366005" w:rsidRPr="00183B5F" w:rsidRDefault="00366005">
      <w:pPr>
        <w:keepNext/>
        <w:tabs>
          <w:tab w:val="left" w:pos="540"/>
        </w:tabs>
        <w:spacing w:line="240" w:lineRule="auto"/>
      </w:pPr>
    </w:p>
    <w:p w14:paraId="4649EFD5" w14:textId="77777777" w:rsidR="00366005" w:rsidRPr="00183B5F" w:rsidRDefault="00943743">
      <w:pPr>
        <w:spacing w:line="240" w:lineRule="auto"/>
        <w:rPr>
          <w:szCs w:val="22"/>
        </w:rPr>
      </w:pPr>
      <w:r w:rsidRPr="00183B5F">
        <w:rPr>
          <w:szCs w:val="22"/>
        </w:rPr>
        <w:t>A Humira</w:t>
      </w:r>
      <w:r w:rsidRPr="00183B5F">
        <w:rPr>
          <w:szCs w:val="22"/>
        </w:rPr>
        <w:noBreakHyphen/>
        <w:t>nak 2 évesnél fiatalabb gyermekeknél ebben a javallatban nincs releváns alkalmazása.</w:t>
      </w:r>
    </w:p>
    <w:p w14:paraId="1D82A243" w14:textId="77777777" w:rsidR="00366005" w:rsidRPr="00183B5F" w:rsidRDefault="00366005">
      <w:pPr>
        <w:keepNext/>
        <w:tabs>
          <w:tab w:val="left" w:pos="540"/>
        </w:tabs>
        <w:spacing w:line="240" w:lineRule="auto"/>
      </w:pPr>
    </w:p>
    <w:p w14:paraId="37979CB0" w14:textId="77777777" w:rsidR="00366005" w:rsidRPr="00183B5F" w:rsidRDefault="00943743">
      <w:pPr>
        <w:spacing w:line="240" w:lineRule="auto"/>
        <w:rPr>
          <w:szCs w:val="22"/>
        </w:rPr>
      </w:pPr>
      <w:r w:rsidRPr="00183B5F">
        <w:rPr>
          <w:szCs w:val="22"/>
        </w:rPr>
        <w:t>Javasolt a folyamatos, hosszú távú kezelés előnyét és kockázatát évente értékelni (lásd 5.1 pont).</w:t>
      </w:r>
    </w:p>
    <w:p w14:paraId="4E62D631" w14:textId="77777777" w:rsidR="00E745E9" w:rsidRPr="00183B5F" w:rsidRDefault="00E745E9">
      <w:pPr>
        <w:spacing w:line="240" w:lineRule="auto"/>
        <w:rPr>
          <w:szCs w:val="22"/>
        </w:rPr>
      </w:pPr>
    </w:p>
    <w:p w14:paraId="40BFEFDD" w14:textId="77777777" w:rsidR="00E745E9" w:rsidRPr="00183B5F" w:rsidRDefault="00943743">
      <w:pPr>
        <w:spacing w:line="240" w:lineRule="auto"/>
        <w:rPr>
          <w:szCs w:val="22"/>
        </w:rPr>
      </w:pPr>
      <w:r w:rsidRPr="00183B5F">
        <w:rPr>
          <w:szCs w:val="22"/>
        </w:rPr>
        <w:lastRenderedPageBreak/>
        <w:t>A Humira más hatáserősségben és/vagy kiszerelésben is elérhető az egyéni terápiás igényeknek megfelelően.</w:t>
      </w:r>
    </w:p>
    <w:p w14:paraId="1E61D7DD" w14:textId="77777777" w:rsidR="00366005" w:rsidRPr="00183B5F" w:rsidRDefault="00366005">
      <w:pPr>
        <w:spacing w:line="240" w:lineRule="auto"/>
        <w:rPr>
          <w:szCs w:val="22"/>
          <w:u w:val="single"/>
        </w:rPr>
      </w:pPr>
    </w:p>
    <w:p w14:paraId="2AA30650" w14:textId="77777777" w:rsidR="00366005" w:rsidRPr="00183B5F" w:rsidRDefault="00943743">
      <w:pPr>
        <w:keepNext/>
        <w:spacing w:line="240" w:lineRule="auto"/>
        <w:rPr>
          <w:szCs w:val="22"/>
          <w:u w:val="single"/>
        </w:rPr>
      </w:pPr>
      <w:r w:rsidRPr="00183B5F">
        <w:rPr>
          <w:szCs w:val="22"/>
          <w:u w:val="single"/>
        </w:rPr>
        <w:t>Vese- és/vagy májkárosodás</w:t>
      </w:r>
    </w:p>
    <w:p w14:paraId="4B35FA69" w14:textId="77777777" w:rsidR="00366005" w:rsidRPr="00183B5F" w:rsidRDefault="00366005">
      <w:pPr>
        <w:keepNext/>
        <w:spacing w:line="240" w:lineRule="auto"/>
        <w:rPr>
          <w:szCs w:val="22"/>
          <w:u w:val="single"/>
        </w:rPr>
      </w:pPr>
    </w:p>
    <w:p w14:paraId="70D475B1" w14:textId="77777777" w:rsidR="00366005" w:rsidRPr="00183B5F" w:rsidRDefault="00943743">
      <w:pPr>
        <w:pStyle w:val="EndnoteText"/>
        <w:tabs>
          <w:tab w:val="clear" w:pos="567"/>
          <w:tab w:val="left" w:pos="708"/>
        </w:tabs>
        <w:suppressAutoHyphens/>
        <w:rPr>
          <w:noProof/>
          <w:sz w:val="22"/>
          <w:szCs w:val="22"/>
          <w:lang w:val="hu-HU"/>
        </w:rPr>
      </w:pPr>
      <w:r w:rsidRPr="00183B5F">
        <w:rPr>
          <w:sz w:val="22"/>
          <w:lang w:val="hu-HU"/>
        </w:rPr>
        <w:t>Ezeknél a betegpopulációknál nem állnak rendelkezésre adatok</w:t>
      </w:r>
      <w:r w:rsidRPr="00183B5F">
        <w:rPr>
          <w:noProof/>
          <w:sz w:val="22"/>
          <w:szCs w:val="22"/>
          <w:lang w:val="hu-HU"/>
        </w:rPr>
        <w:t>. Nincs az adagolásra vonatkozó javaslat.</w:t>
      </w:r>
    </w:p>
    <w:p w14:paraId="21B4088E" w14:textId="77777777" w:rsidR="00366005" w:rsidRPr="00183B5F" w:rsidRDefault="00366005">
      <w:pPr>
        <w:spacing w:line="240" w:lineRule="auto"/>
        <w:rPr>
          <w:lang w:eastAsia="x-none"/>
        </w:rPr>
      </w:pPr>
    </w:p>
    <w:p w14:paraId="12B8EFCD" w14:textId="77777777" w:rsidR="00366005" w:rsidRPr="00183B5F" w:rsidRDefault="00943743">
      <w:pPr>
        <w:spacing w:line="240" w:lineRule="auto"/>
        <w:rPr>
          <w:u w:val="single"/>
          <w:lang w:eastAsia="x-none"/>
        </w:rPr>
      </w:pPr>
      <w:r w:rsidRPr="00183B5F">
        <w:rPr>
          <w:u w:val="single"/>
          <w:lang w:eastAsia="x-none"/>
        </w:rPr>
        <w:t>Az alkalmazás módja</w:t>
      </w:r>
    </w:p>
    <w:p w14:paraId="5BD4587F" w14:textId="77777777" w:rsidR="00366005" w:rsidRPr="00183B5F" w:rsidRDefault="00366005">
      <w:pPr>
        <w:spacing w:line="240" w:lineRule="auto"/>
        <w:rPr>
          <w:u w:val="single"/>
          <w:lang w:eastAsia="x-none"/>
        </w:rPr>
      </w:pPr>
    </w:p>
    <w:p w14:paraId="7C53F5D9" w14:textId="77777777" w:rsidR="00366005" w:rsidRPr="00183B5F" w:rsidRDefault="00943743">
      <w:pPr>
        <w:spacing w:line="240" w:lineRule="auto"/>
        <w:rPr>
          <w:szCs w:val="22"/>
        </w:rPr>
      </w:pPr>
      <w:r w:rsidRPr="00183B5F">
        <w:rPr>
          <w:lang w:eastAsia="x-none"/>
        </w:rPr>
        <w:t>A Humira</w:t>
      </w:r>
      <w:r w:rsidRPr="00183B5F">
        <w:rPr>
          <w:lang w:eastAsia="x-none"/>
        </w:rPr>
        <w:noBreakHyphen/>
        <w:t xml:space="preserve">t </w:t>
      </w:r>
      <w:r w:rsidRPr="00183B5F">
        <w:rPr>
          <w:szCs w:val="22"/>
        </w:rPr>
        <w:t>subcutan injekció formájában kell beadni. Az alkalmazásra vonatkozó teljes körű utasítás a betegtájékoztatóban található.</w:t>
      </w:r>
    </w:p>
    <w:p w14:paraId="3C0B6D62" w14:textId="77777777" w:rsidR="00366005" w:rsidRPr="00183B5F" w:rsidRDefault="00366005">
      <w:pPr>
        <w:spacing w:line="240" w:lineRule="auto"/>
        <w:rPr>
          <w:szCs w:val="22"/>
        </w:rPr>
      </w:pPr>
    </w:p>
    <w:p w14:paraId="1D7023A4" w14:textId="77777777" w:rsidR="00366005" w:rsidRPr="00183B5F" w:rsidRDefault="00943743">
      <w:pPr>
        <w:spacing w:line="240" w:lineRule="auto"/>
        <w:rPr>
          <w:szCs w:val="22"/>
        </w:rPr>
      </w:pPr>
      <w:r w:rsidRPr="00183B5F">
        <w:rPr>
          <w:szCs w:val="22"/>
        </w:rPr>
        <w:t>A Humira más hatáserősségekben és kiszerelésekben is rendelkezésre áll.</w:t>
      </w:r>
    </w:p>
    <w:p w14:paraId="721418A7" w14:textId="77777777" w:rsidR="00366005" w:rsidRPr="00183B5F" w:rsidRDefault="00366005">
      <w:pPr>
        <w:spacing w:line="240" w:lineRule="auto"/>
        <w:rPr>
          <w:szCs w:val="22"/>
        </w:rPr>
      </w:pPr>
    </w:p>
    <w:p w14:paraId="0802A2DA" w14:textId="77777777" w:rsidR="00366005" w:rsidRPr="00183B5F" w:rsidRDefault="00943743">
      <w:pPr>
        <w:spacing w:line="240" w:lineRule="auto"/>
        <w:ind w:left="567" w:hanging="567"/>
        <w:rPr>
          <w:b/>
          <w:szCs w:val="22"/>
        </w:rPr>
      </w:pPr>
      <w:r w:rsidRPr="00183B5F">
        <w:rPr>
          <w:b/>
          <w:szCs w:val="22"/>
        </w:rPr>
        <w:t>4.3</w:t>
      </w:r>
      <w:r w:rsidRPr="00183B5F">
        <w:rPr>
          <w:b/>
          <w:szCs w:val="22"/>
        </w:rPr>
        <w:tab/>
        <w:t>Ellenjavallatok</w:t>
      </w:r>
    </w:p>
    <w:p w14:paraId="682E3320" w14:textId="77777777" w:rsidR="00366005" w:rsidRPr="00183B5F" w:rsidRDefault="00366005">
      <w:pPr>
        <w:spacing w:line="240" w:lineRule="auto"/>
        <w:rPr>
          <w:szCs w:val="22"/>
        </w:rPr>
      </w:pPr>
    </w:p>
    <w:p w14:paraId="4F6C39BA" w14:textId="77777777" w:rsidR="00366005" w:rsidRPr="00183B5F" w:rsidRDefault="00943743">
      <w:pPr>
        <w:spacing w:line="240" w:lineRule="auto"/>
        <w:rPr>
          <w:szCs w:val="22"/>
        </w:rPr>
      </w:pPr>
      <w:r w:rsidRPr="00183B5F">
        <w:rPr>
          <w:szCs w:val="22"/>
        </w:rPr>
        <w:t xml:space="preserve">A készítmény hatóanyagával vagy </w:t>
      </w:r>
      <w:r w:rsidRPr="00183B5F">
        <w:rPr>
          <w:noProof/>
          <w:szCs w:val="24"/>
        </w:rPr>
        <w:t xml:space="preserve">a 6.1 pontban felsorolt </w:t>
      </w:r>
      <w:r w:rsidRPr="00183B5F">
        <w:rPr>
          <w:szCs w:val="22"/>
        </w:rPr>
        <w:t>bármely segédanyagával szembeni túlérzékenység.</w:t>
      </w:r>
    </w:p>
    <w:p w14:paraId="05EF6C04" w14:textId="77777777" w:rsidR="00366005" w:rsidRPr="00183B5F" w:rsidRDefault="00366005">
      <w:pPr>
        <w:spacing w:line="240" w:lineRule="auto"/>
        <w:rPr>
          <w:szCs w:val="22"/>
        </w:rPr>
      </w:pPr>
    </w:p>
    <w:p w14:paraId="4D0F87F4" w14:textId="77777777" w:rsidR="00366005" w:rsidRPr="00183B5F" w:rsidRDefault="00943743">
      <w:pPr>
        <w:spacing w:line="240" w:lineRule="auto"/>
        <w:rPr>
          <w:szCs w:val="22"/>
        </w:rPr>
      </w:pPr>
      <w:r w:rsidRPr="00183B5F">
        <w:rPr>
          <w:szCs w:val="22"/>
        </w:rPr>
        <w:t>Aktív tuberculosis vagy más súlyos fertőzés, mint szepszis vagy opportunista fertőzések (lásd 4.4 pont).</w:t>
      </w:r>
    </w:p>
    <w:p w14:paraId="67DF85D0" w14:textId="77777777" w:rsidR="00366005" w:rsidRPr="00183B5F" w:rsidRDefault="00366005">
      <w:pPr>
        <w:tabs>
          <w:tab w:val="left" w:pos="3690"/>
        </w:tabs>
        <w:spacing w:line="240" w:lineRule="auto"/>
        <w:rPr>
          <w:szCs w:val="22"/>
        </w:rPr>
      </w:pPr>
    </w:p>
    <w:p w14:paraId="051D652B" w14:textId="77777777" w:rsidR="00366005" w:rsidRPr="00183B5F" w:rsidRDefault="00943743">
      <w:pPr>
        <w:spacing w:line="240" w:lineRule="auto"/>
        <w:rPr>
          <w:szCs w:val="22"/>
        </w:rPr>
      </w:pPr>
      <w:r w:rsidRPr="00183B5F">
        <w:rPr>
          <w:szCs w:val="22"/>
        </w:rPr>
        <w:t>Köz</w:t>
      </w:r>
      <w:r w:rsidR="0089402C" w:rsidRPr="00183B5F">
        <w:rPr>
          <w:szCs w:val="22"/>
        </w:rPr>
        <w:t xml:space="preserve">epesen </w:t>
      </w:r>
      <w:r w:rsidRPr="00183B5F">
        <w:rPr>
          <w:szCs w:val="22"/>
        </w:rPr>
        <w:t>súlyos, súlyos szívelégtelenség (NYHA III/IV) (lásd 4.4 pont).</w:t>
      </w:r>
    </w:p>
    <w:p w14:paraId="53BEC59D" w14:textId="77777777" w:rsidR="00366005" w:rsidRPr="00183B5F" w:rsidRDefault="00366005">
      <w:pPr>
        <w:spacing w:line="240" w:lineRule="auto"/>
        <w:rPr>
          <w:szCs w:val="22"/>
        </w:rPr>
      </w:pPr>
    </w:p>
    <w:p w14:paraId="58AFEB34" w14:textId="77777777" w:rsidR="00366005" w:rsidRPr="00183B5F" w:rsidRDefault="00943743">
      <w:pPr>
        <w:keepNext/>
        <w:spacing w:line="240" w:lineRule="auto"/>
        <w:ind w:left="567" w:hanging="567"/>
        <w:rPr>
          <w:b/>
          <w:szCs w:val="22"/>
        </w:rPr>
      </w:pPr>
      <w:r w:rsidRPr="00183B5F">
        <w:rPr>
          <w:b/>
          <w:szCs w:val="22"/>
        </w:rPr>
        <w:t>4.4</w:t>
      </w:r>
      <w:r w:rsidRPr="00183B5F">
        <w:rPr>
          <w:b/>
          <w:szCs w:val="22"/>
        </w:rPr>
        <w:tab/>
      </w:r>
      <w:r w:rsidRPr="00183B5F">
        <w:rPr>
          <w:b/>
          <w:szCs w:val="22"/>
        </w:rPr>
        <w:t>Különleges figyelmeztetések és az alkalmazással kapcsolatos óvintézkedések</w:t>
      </w:r>
    </w:p>
    <w:p w14:paraId="6FDF1B8E" w14:textId="77777777" w:rsidR="00366005" w:rsidRPr="00183B5F" w:rsidRDefault="00366005">
      <w:pPr>
        <w:keepNext/>
        <w:spacing w:line="240" w:lineRule="auto"/>
        <w:rPr>
          <w:szCs w:val="22"/>
        </w:rPr>
      </w:pPr>
    </w:p>
    <w:p w14:paraId="5D31057A" w14:textId="77777777" w:rsidR="00366005" w:rsidRPr="00183B5F" w:rsidRDefault="00943743">
      <w:pPr>
        <w:keepNext/>
        <w:spacing w:line="240" w:lineRule="auto"/>
        <w:rPr>
          <w:szCs w:val="22"/>
          <w:u w:val="single"/>
        </w:rPr>
      </w:pPr>
      <w:r w:rsidRPr="00183B5F">
        <w:rPr>
          <w:szCs w:val="22"/>
          <w:u w:val="single"/>
        </w:rPr>
        <w:t>Nyomonkövethetőség</w:t>
      </w:r>
    </w:p>
    <w:p w14:paraId="3CAC12EE" w14:textId="77777777" w:rsidR="00366005" w:rsidRPr="00183B5F" w:rsidRDefault="00366005">
      <w:pPr>
        <w:keepNext/>
        <w:spacing w:line="240" w:lineRule="auto"/>
        <w:rPr>
          <w:szCs w:val="22"/>
        </w:rPr>
      </w:pPr>
    </w:p>
    <w:p w14:paraId="305F06BC" w14:textId="77777777" w:rsidR="00366005" w:rsidRPr="00183B5F" w:rsidRDefault="00943743">
      <w:pPr>
        <w:keepNext/>
        <w:spacing w:line="240" w:lineRule="auto"/>
        <w:rPr>
          <w:szCs w:val="22"/>
        </w:rPr>
      </w:pPr>
      <w:r w:rsidRPr="00183B5F">
        <w:rPr>
          <w:szCs w:val="22"/>
        </w:rPr>
        <w:t>A biológiai gyógyszerek nyomonkövethetőségének javítása érdekében a gyógyszer nevét és gyártási számát egyértelműen fel kell jegyezni.</w:t>
      </w:r>
    </w:p>
    <w:p w14:paraId="48921EB5" w14:textId="77777777" w:rsidR="00366005" w:rsidRPr="00183B5F" w:rsidRDefault="00366005">
      <w:pPr>
        <w:spacing w:line="240" w:lineRule="auto"/>
        <w:rPr>
          <w:szCs w:val="22"/>
        </w:rPr>
      </w:pPr>
    </w:p>
    <w:p w14:paraId="28B0D960" w14:textId="77777777" w:rsidR="00366005" w:rsidRPr="00183B5F" w:rsidRDefault="00943743">
      <w:pPr>
        <w:keepNext/>
        <w:spacing w:line="240" w:lineRule="auto"/>
        <w:rPr>
          <w:szCs w:val="22"/>
          <w:u w:val="single"/>
        </w:rPr>
      </w:pPr>
      <w:r w:rsidRPr="00183B5F">
        <w:rPr>
          <w:szCs w:val="22"/>
          <w:u w:val="single"/>
        </w:rPr>
        <w:t>Fertőzések</w:t>
      </w:r>
    </w:p>
    <w:p w14:paraId="239006A0" w14:textId="77777777" w:rsidR="00366005" w:rsidRPr="00183B5F" w:rsidRDefault="00366005">
      <w:pPr>
        <w:keepNext/>
        <w:spacing w:line="240" w:lineRule="auto"/>
        <w:rPr>
          <w:szCs w:val="22"/>
          <w:u w:val="single"/>
        </w:rPr>
      </w:pPr>
    </w:p>
    <w:p w14:paraId="675AFE4A" w14:textId="77777777" w:rsidR="00366005" w:rsidRPr="00183B5F" w:rsidRDefault="00943743">
      <w:pPr>
        <w:keepNext/>
        <w:spacing w:line="240" w:lineRule="auto"/>
        <w:rPr>
          <w:szCs w:val="22"/>
        </w:rPr>
      </w:pPr>
      <w:r w:rsidRPr="00183B5F">
        <w:rPr>
          <w:szCs w:val="22"/>
        </w:rPr>
        <w:t>A TNF</w:t>
      </w:r>
      <w:r w:rsidRPr="00183B5F">
        <w:rPr>
          <w:szCs w:val="22"/>
        </w:rPr>
        <w:noBreakHyphen/>
      </w:r>
      <w:r w:rsidRPr="00183B5F">
        <w:rPr>
          <w:szCs w:val="22"/>
        </w:rPr>
        <w:t>antagonistákat kapó betegek fogékonyabbak a súlyos fertőzésekre. A károsodott légzésfunkció növelheti a fertőzések kialakulásának kockázatát. Ezért a Humira</w:t>
      </w:r>
      <w:r w:rsidRPr="00183B5F">
        <w:rPr>
          <w:szCs w:val="22"/>
        </w:rPr>
        <w:noBreakHyphen/>
        <w:t>val való kezelés előtt, alatt és után a betegeknél gondosan figyelni kell a fertőzéseket, beleértve a tuberculosist is. Tekintettel arra, hogy az adalimumab teljes eliminációja akár négy hónapot vehet igénybe, a megfigyelés ezen idő alatt is szükséges.</w:t>
      </w:r>
    </w:p>
    <w:p w14:paraId="28DA58BE" w14:textId="77777777" w:rsidR="00366005" w:rsidRPr="00183B5F" w:rsidRDefault="00366005">
      <w:pPr>
        <w:spacing w:line="240" w:lineRule="auto"/>
        <w:rPr>
          <w:szCs w:val="22"/>
        </w:rPr>
      </w:pPr>
    </w:p>
    <w:p w14:paraId="5B8B2E2A" w14:textId="77777777" w:rsidR="00366005" w:rsidRPr="00183B5F" w:rsidRDefault="00943743">
      <w:pPr>
        <w:spacing w:line="240" w:lineRule="auto"/>
        <w:rPr>
          <w:szCs w:val="22"/>
        </w:rPr>
      </w:pPr>
      <w:r w:rsidRPr="00183B5F">
        <w:rPr>
          <w:szCs w:val="22"/>
        </w:rPr>
        <w:t>Humira</w:t>
      </w:r>
      <w:r w:rsidRPr="00183B5F">
        <w:rPr>
          <w:szCs w:val="22"/>
        </w:rPr>
        <w:noBreakHyphen/>
        <w:t>val való kezelés nem kezdhető aktív fertőzésben szenvedő betegek esetében, beleértve a krónikus és lokális fertőzéseket is, amíg a fertőzés nem gyógyul meg. A tuberculosis által veszélyeztetett betegeknél és azoknál a betegeknél, akik olyan területekre utaztak, ahol nagy a tuberculosis vagy az endemiás mycosisok, mint például a histoplasmosis, coccidioidomycosis vagy blastomycosis kockázata, a Humira</w:t>
      </w:r>
      <w:r w:rsidRPr="00183B5F">
        <w:rPr>
          <w:szCs w:val="22"/>
        </w:rPr>
        <w:noBreakHyphen/>
        <w:t xml:space="preserve">kezelés kockázatát és előnyét a kezelés megkezdése előtt mérlegelni kell (lásd </w:t>
      </w:r>
      <w:r w:rsidRPr="00183B5F">
        <w:rPr>
          <w:i/>
          <w:iCs/>
          <w:szCs w:val="22"/>
        </w:rPr>
        <w:t>Egyéb opportunista fertőzése</w:t>
      </w:r>
      <w:r w:rsidRPr="00183B5F">
        <w:rPr>
          <w:i/>
          <w:iCs/>
          <w:szCs w:val="22"/>
        </w:rPr>
        <w:t>k</w:t>
      </w:r>
      <w:r w:rsidRPr="00183B5F">
        <w:rPr>
          <w:szCs w:val="22"/>
        </w:rPr>
        <w:t>).</w:t>
      </w:r>
    </w:p>
    <w:p w14:paraId="0576E37E" w14:textId="77777777" w:rsidR="00366005" w:rsidRPr="00183B5F" w:rsidRDefault="00366005">
      <w:pPr>
        <w:spacing w:line="240" w:lineRule="auto"/>
        <w:rPr>
          <w:szCs w:val="22"/>
        </w:rPr>
      </w:pPr>
    </w:p>
    <w:p w14:paraId="3D021145" w14:textId="77777777" w:rsidR="00366005" w:rsidRPr="00183B5F" w:rsidRDefault="00943743">
      <w:pPr>
        <w:spacing w:line="240" w:lineRule="auto"/>
        <w:rPr>
          <w:szCs w:val="22"/>
        </w:rPr>
      </w:pPr>
      <w:r w:rsidRPr="00183B5F">
        <w:rPr>
          <w:szCs w:val="22"/>
        </w:rPr>
        <w:t>Szoros megfigyelés alatt kell tartani azokat a betegeket, akiknél a Humira</w:t>
      </w:r>
      <w:r w:rsidRPr="00183B5F">
        <w:rPr>
          <w:szCs w:val="22"/>
        </w:rPr>
        <w:noBreakHyphen/>
        <w:t>val való kezelés során alakul ki új fertőzés, és teljes diagnosztikus kivizsgáláson kell átesniük. Olyan esetekben, amikor új, súlyos fertőzés vagy sepsis alakul ki a Humira</w:t>
      </w:r>
      <w:r w:rsidRPr="00183B5F">
        <w:rPr>
          <w:szCs w:val="22"/>
        </w:rPr>
        <w:noBreakHyphen/>
        <w:t>val való kezelést meg kell szakítani, és megfelelő antimikrobiális és gombaellenes kezelést kell kezdeni, amíg a fertőzés meg nem gyógyul. Az orvos különös gonddal döntsön a Humira adása mellett olyan betegek esetében, akiknek az anamnézisében visszatérő, gyakori fertőzések illetve fertőzésekre való hajlamosító tényező szerepel, az imm</w:t>
      </w:r>
      <w:r w:rsidRPr="00183B5F">
        <w:rPr>
          <w:szCs w:val="22"/>
        </w:rPr>
        <w:t>unoszuppresszív szerek egyidejű alkalmazását is beleértve.</w:t>
      </w:r>
    </w:p>
    <w:p w14:paraId="135D5C43" w14:textId="77777777" w:rsidR="00366005" w:rsidRPr="00183B5F" w:rsidRDefault="00366005">
      <w:pPr>
        <w:spacing w:line="240" w:lineRule="auto"/>
        <w:rPr>
          <w:szCs w:val="22"/>
        </w:rPr>
      </w:pPr>
    </w:p>
    <w:p w14:paraId="7FA921CB" w14:textId="77777777" w:rsidR="00366005" w:rsidRPr="00183B5F" w:rsidRDefault="00943743" w:rsidP="003D1670">
      <w:pPr>
        <w:keepNext/>
        <w:spacing w:line="240" w:lineRule="auto"/>
        <w:rPr>
          <w:i/>
          <w:iCs/>
          <w:szCs w:val="22"/>
        </w:rPr>
      </w:pPr>
      <w:r w:rsidRPr="00183B5F">
        <w:rPr>
          <w:i/>
          <w:iCs/>
          <w:szCs w:val="22"/>
        </w:rPr>
        <w:lastRenderedPageBreak/>
        <w:t>Súlyos fertőzések</w:t>
      </w:r>
    </w:p>
    <w:p w14:paraId="16827670" w14:textId="77777777" w:rsidR="00366005" w:rsidRPr="00183B5F" w:rsidRDefault="00366005" w:rsidP="003D1670">
      <w:pPr>
        <w:keepNext/>
        <w:spacing w:line="240" w:lineRule="auto"/>
        <w:rPr>
          <w:szCs w:val="22"/>
        </w:rPr>
      </w:pPr>
    </w:p>
    <w:p w14:paraId="26066CBF" w14:textId="77777777" w:rsidR="00366005" w:rsidRPr="00183B5F" w:rsidRDefault="00943743">
      <w:pPr>
        <w:spacing w:line="240" w:lineRule="auto"/>
        <w:rPr>
          <w:szCs w:val="22"/>
        </w:rPr>
      </w:pPr>
      <w:r w:rsidRPr="00183B5F">
        <w:rPr>
          <w:szCs w:val="22"/>
        </w:rPr>
        <w:t>Humira</w:t>
      </w:r>
      <w:r w:rsidRPr="00183B5F">
        <w:rPr>
          <w:szCs w:val="22"/>
        </w:rPr>
        <w:noBreakHyphen/>
        <w:t>val kezelt betegeknél leírtak súlyos fertőzéseket, beleértve a sepsist is, melyeket bakteriális, mycobacterialis, invazív gomba-, parazita- és vírusfertőzés, vagy egyéb opportunista fertőzés, például listeriosis, legionellosis és pneumocystis</w:t>
      </w:r>
      <w:r w:rsidR="00F24C6D" w:rsidRPr="00183B5F">
        <w:rPr>
          <w:szCs w:val="22"/>
        </w:rPr>
        <w:t>-</w:t>
      </w:r>
      <w:r w:rsidRPr="00183B5F">
        <w:rPr>
          <w:szCs w:val="22"/>
        </w:rPr>
        <w:t>fertőzés okozott.</w:t>
      </w:r>
    </w:p>
    <w:p w14:paraId="5F86AEDB" w14:textId="77777777" w:rsidR="00366005" w:rsidRPr="00183B5F" w:rsidRDefault="00366005">
      <w:pPr>
        <w:pStyle w:val="EndnoteText"/>
        <w:tabs>
          <w:tab w:val="clear" w:pos="567"/>
          <w:tab w:val="left" w:pos="708"/>
        </w:tabs>
        <w:suppressAutoHyphens/>
        <w:rPr>
          <w:sz w:val="22"/>
          <w:szCs w:val="22"/>
          <w:lang w:val="hu-HU" w:eastAsia="hu-HU"/>
        </w:rPr>
      </w:pPr>
    </w:p>
    <w:p w14:paraId="4CEEEEBC" w14:textId="77777777" w:rsidR="00366005" w:rsidRPr="00183B5F" w:rsidRDefault="00943743">
      <w:pPr>
        <w:spacing w:line="240" w:lineRule="auto"/>
        <w:rPr>
          <w:szCs w:val="22"/>
        </w:rPr>
      </w:pPr>
      <w:r w:rsidRPr="00183B5F">
        <w:rPr>
          <w:szCs w:val="22"/>
        </w:rPr>
        <w:t>A klinikai vizsgálatokban további súlyos fertőzéseket, köztük pneumoniát, pyelonephritist, septicus arthritist, valamint septicaemiát észleltek. A fertőzésekkel kapcsolatban hospitalizációról vagy fatális kimenetelről számoltak be.</w:t>
      </w:r>
    </w:p>
    <w:p w14:paraId="054980B6" w14:textId="77777777" w:rsidR="00366005" w:rsidRPr="00183B5F" w:rsidRDefault="00366005">
      <w:pPr>
        <w:spacing w:line="240" w:lineRule="auto"/>
        <w:rPr>
          <w:szCs w:val="22"/>
        </w:rPr>
      </w:pPr>
    </w:p>
    <w:p w14:paraId="6FDB747F" w14:textId="77777777" w:rsidR="00366005" w:rsidRPr="00183B5F" w:rsidRDefault="00943743">
      <w:pPr>
        <w:spacing w:line="240" w:lineRule="auto"/>
        <w:rPr>
          <w:i/>
          <w:iCs/>
          <w:szCs w:val="22"/>
        </w:rPr>
      </w:pPr>
      <w:r w:rsidRPr="00183B5F">
        <w:rPr>
          <w:i/>
          <w:iCs/>
          <w:szCs w:val="22"/>
        </w:rPr>
        <w:t>Tuberculosis</w:t>
      </w:r>
    </w:p>
    <w:p w14:paraId="511116AF" w14:textId="77777777" w:rsidR="00366005" w:rsidRPr="00183B5F" w:rsidRDefault="00366005">
      <w:pPr>
        <w:spacing w:line="240" w:lineRule="auto"/>
        <w:rPr>
          <w:szCs w:val="22"/>
        </w:rPr>
      </w:pPr>
    </w:p>
    <w:p w14:paraId="17A01CCE" w14:textId="77777777" w:rsidR="00366005" w:rsidRPr="00183B5F" w:rsidRDefault="00943743">
      <w:pPr>
        <w:spacing w:line="240" w:lineRule="auto"/>
        <w:rPr>
          <w:szCs w:val="22"/>
        </w:rPr>
      </w:pPr>
      <w:r w:rsidRPr="00183B5F">
        <w:rPr>
          <w:szCs w:val="22"/>
        </w:rPr>
        <w:t>Humira</w:t>
      </w:r>
      <w:r w:rsidRPr="00183B5F">
        <w:rPr>
          <w:szCs w:val="22"/>
        </w:rPr>
        <w:noBreakHyphen/>
        <w:t>val kezelt betegeknél tuberculosisról számoltak be, beleértve a reaktivációt és új tuberculosis kialakulását. A bejelentések pulmonalis és extrapulmonalis (azaz disszeminált) eseteket tartalmaztak.</w:t>
      </w:r>
    </w:p>
    <w:p w14:paraId="747DCD85" w14:textId="77777777" w:rsidR="00366005" w:rsidRPr="00183B5F" w:rsidRDefault="00366005">
      <w:pPr>
        <w:spacing w:line="240" w:lineRule="auto"/>
        <w:rPr>
          <w:szCs w:val="22"/>
        </w:rPr>
      </w:pPr>
    </w:p>
    <w:p w14:paraId="19425A7C" w14:textId="77777777" w:rsidR="00366005" w:rsidRPr="00183B5F" w:rsidRDefault="00943743">
      <w:pPr>
        <w:spacing w:line="240" w:lineRule="auto"/>
        <w:rPr>
          <w:szCs w:val="22"/>
        </w:rPr>
      </w:pPr>
      <w:r w:rsidRPr="00183B5F">
        <w:rPr>
          <w:szCs w:val="22"/>
        </w:rPr>
        <w:t>A Humira</w:t>
      </w:r>
      <w:r w:rsidRPr="00183B5F">
        <w:rPr>
          <w:szCs w:val="22"/>
        </w:rPr>
        <w:noBreakHyphen/>
        <w:t>val való kezelés megkezdése előtt minden beteget meg kell vizsgálni aktív és inaktív („látens”) tuberculosis irányában. A felmérés során részletesen értékelni kell a beteg tuberculosissal kapcsolatos kórtörténetét, hogy a beteg kapcsolatba került</w:t>
      </w:r>
      <w:r w:rsidRPr="00183B5F">
        <w:rPr>
          <w:szCs w:val="22"/>
        </w:rPr>
        <w:noBreakHyphen/>
        <w:t>e aktív tuberculosisban szenvedő beteggel, valamint a múltban vagy jelenleg immunszuppresszív kezelés alatt áll</w:t>
      </w:r>
      <w:r w:rsidRPr="00183B5F">
        <w:rPr>
          <w:szCs w:val="22"/>
        </w:rPr>
        <w:noBreakHyphen/>
        <w:t>e. Minden beteg esetében a megfelelő szűrővizsgálatok (úgy mint tuberkulin bőrteszt és mellkasröntgen) elvégzése szükséges (helyi irányelvek követendők)</w:t>
      </w:r>
      <w:r w:rsidRPr="00183B5F">
        <w:rPr>
          <w:szCs w:val="22"/>
        </w:rPr>
        <w:t xml:space="preserve">. A szűrővizsgálatok elvégzésének tényét és azok eredményét javasolt feltüntetni a </w:t>
      </w:r>
      <w:r w:rsidR="0048779F" w:rsidRPr="00183B5F">
        <w:rPr>
          <w:szCs w:val="22"/>
        </w:rPr>
        <w:t>Betegemlékeztető</w:t>
      </w:r>
      <w:r w:rsidRPr="00183B5F">
        <w:rPr>
          <w:szCs w:val="22"/>
        </w:rPr>
        <w:t xml:space="preserve"> Kártyán. A kezelést indikáló orvosnak számolnia kell az álnegatív tuberculin bőrteszt lehetőségével is, különösen a súlyos állapotú, illetve az immundeficiens betegek esetében.</w:t>
      </w:r>
    </w:p>
    <w:p w14:paraId="21960191" w14:textId="77777777" w:rsidR="00366005" w:rsidRPr="00183B5F" w:rsidRDefault="00366005">
      <w:pPr>
        <w:pStyle w:val="EndnoteText"/>
        <w:tabs>
          <w:tab w:val="clear" w:pos="567"/>
          <w:tab w:val="left" w:pos="708"/>
        </w:tabs>
        <w:suppressAutoHyphens/>
        <w:rPr>
          <w:sz w:val="22"/>
          <w:szCs w:val="22"/>
          <w:lang w:val="hu-HU" w:eastAsia="hu-HU"/>
        </w:rPr>
      </w:pPr>
    </w:p>
    <w:p w14:paraId="12C6EC33" w14:textId="77777777" w:rsidR="00366005" w:rsidRPr="00183B5F" w:rsidRDefault="00943743">
      <w:pPr>
        <w:spacing w:line="240" w:lineRule="auto"/>
        <w:ind w:left="567" w:hanging="567"/>
        <w:rPr>
          <w:szCs w:val="22"/>
        </w:rPr>
      </w:pPr>
      <w:r w:rsidRPr="00183B5F">
        <w:rPr>
          <w:szCs w:val="22"/>
        </w:rPr>
        <w:t>Ha a diagnózis aktív tuberculosis, a Humira</w:t>
      </w:r>
      <w:r w:rsidRPr="00183B5F">
        <w:rPr>
          <w:szCs w:val="22"/>
        </w:rPr>
        <w:noBreakHyphen/>
        <w:t>kezelést nem szabad elkezdeni (lásd 4.3 pont).</w:t>
      </w:r>
    </w:p>
    <w:p w14:paraId="74600FCE" w14:textId="77777777" w:rsidR="00366005" w:rsidRPr="00183B5F" w:rsidRDefault="00366005">
      <w:pPr>
        <w:spacing w:line="240" w:lineRule="auto"/>
        <w:ind w:left="567" w:hanging="567"/>
        <w:rPr>
          <w:szCs w:val="22"/>
        </w:rPr>
      </w:pPr>
    </w:p>
    <w:p w14:paraId="244B4348" w14:textId="77777777" w:rsidR="00366005" w:rsidRPr="00183B5F" w:rsidRDefault="00943743">
      <w:pPr>
        <w:spacing w:line="240" w:lineRule="auto"/>
        <w:rPr>
          <w:szCs w:val="22"/>
        </w:rPr>
      </w:pPr>
      <w:r w:rsidRPr="00183B5F">
        <w:rPr>
          <w:szCs w:val="22"/>
        </w:rPr>
        <w:t>Az alábbiakban felsorolt összes esetben nagyon gondosan kell mérlegelni a Humira</w:t>
      </w:r>
      <w:r w:rsidRPr="00183B5F">
        <w:rPr>
          <w:szCs w:val="22"/>
        </w:rPr>
        <w:noBreakHyphen/>
        <w:t xml:space="preserve">kezelés </w:t>
      </w:r>
      <w:r w:rsidR="0084104C" w:rsidRPr="00183B5F">
        <w:rPr>
          <w:szCs w:val="22"/>
        </w:rPr>
        <w:t>előny/</w:t>
      </w:r>
      <w:r w:rsidRPr="00183B5F">
        <w:rPr>
          <w:szCs w:val="22"/>
        </w:rPr>
        <w:t>kockázat arányát.</w:t>
      </w:r>
    </w:p>
    <w:p w14:paraId="7660D4EE" w14:textId="77777777" w:rsidR="00366005" w:rsidRPr="00183B5F" w:rsidRDefault="00366005">
      <w:pPr>
        <w:spacing w:line="240" w:lineRule="auto"/>
        <w:ind w:left="567" w:hanging="567"/>
        <w:rPr>
          <w:b/>
          <w:szCs w:val="22"/>
        </w:rPr>
      </w:pPr>
    </w:p>
    <w:p w14:paraId="7BD59C01" w14:textId="77777777" w:rsidR="00366005" w:rsidRPr="00183B5F" w:rsidRDefault="00943743">
      <w:pPr>
        <w:spacing w:line="240" w:lineRule="auto"/>
        <w:rPr>
          <w:szCs w:val="22"/>
        </w:rPr>
      </w:pPr>
      <w:r w:rsidRPr="00183B5F">
        <w:rPr>
          <w:szCs w:val="22"/>
        </w:rPr>
        <w:t>Látens tuberculosis gyanúja esetén egy, a tuberculosis kezelésében jártas orvossal kell konzultálni.</w:t>
      </w:r>
    </w:p>
    <w:p w14:paraId="4CCEC1C8" w14:textId="77777777" w:rsidR="00366005" w:rsidRPr="00183B5F" w:rsidRDefault="00366005">
      <w:pPr>
        <w:spacing w:line="240" w:lineRule="auto"/>
        <w:rPr>
          <w:szCs w:val="22"/>
        </w:rPr>
      </w:pPr>
    </w:p>
    <w:p w14:paraId="32ECF365" w14:textId="77777777" w:rsidR="00366005" w:rsidRPr="00183B5F" w:rsidRDefault="00943743">
      <w:pPr>
        <w:spacing w:line="240" w:lineRule="auto"/>
        <w:rPr>
          <w:szCs w:val="22"/>
        </w:rPr>
      </w:pPr>
      <w:r w:rsidRPr="00183B5F">
        <w:rPr>
          <w:szCs w:val="22"/>
        </w:rPr>
        <w:t>Ha látens tubeculosist diagnosztizálnak, a helyi ajánlásokkal összhangban lévő, antituberkulotikus profilaktikus kezelésnek a Humira alkalmazásának megkezdése előtt el kell kezdődnie.</w:t>
      </w:r>
    </w:p>
    <w:p w14:paraId="47422615" w14:textId="77777777" w:rsidR="00366005" w:rsidRPr="00183B5F" w:rsidRDefault="00366005">
      <w:pPr>
        <w:spacing w:line="240" w:lineRule="auto"/>
        <w:rPr>
          <w:szCs w:val="22"/>
        </w:rPr>
      </w:pPr>
    </w:p>
    <w:p w14:paraId="4FBBDCE7" w14:textId="77777777" w:rsidR="00366005" w:rsidRPr="00183B5F" w:rsidRDefault="00943743">
      <w:pPr>
        <w:spacing w:line="240" w:lineRule="auto"/>
        <w:rPr>
          <w:szCs w:val="22"/>
        </w:rPr>
      </w:pPr>
      <w:r w:rsidRPr="00183B5F">
        <w:rPr>
          <w:szCs w:val="22"/>
        </w:rPr>
        <w:t>Humira</w:t>
      </w:r>
      <w:r w:rsidRPr="00183B5F">
        <w:rPr>
          <w:szCs w:val="22"/>
        </w:rPr>
        <w:noBreakHyphen/>
        <w:t>kezelés indítása előtt az antituberkulotikus profilaktikus kezelést azoknál a betegeknél is fontolóra kell venni, akik a tuberculosis több vagy jelentős kockázati tényezőjével rendelkeznek, bár a tuberculosis</w:t>
      </w:r>
      <w:r w:rsidR="00261256" w:rsidRPr="00183B5F">
        <w:rPr>
          <w:szCs w:val="22"/>
        </w:rPr>
        <w:t>-</w:t>
      </w:r>
      <w:r w:rsidRPr="00183B5F">
        <w:rPr>
          <w:szCs w:val="22"/>
        </w:rPr>
        <w:t>tesztjük negatív, valamint akiknek az anamnézisében látens vagy aktív tuberculosis szerepel, de annak megfelelő kezelése nem igazolható.</w:t>
      </w:r>
    </w:p>
    <w:p w14:paraId="75166B9F" w14:textId="77777777" w:rsidR="00366005" w:rsidRPr="00183B5F" w:rsidRDefault="00366005">
      <w:pPr>
        <w:spacing w:line="240" w:lineRule="auto"/>
        <w:rPr>
          <w:szCs w:val="22"/>
        </w:rPr>
      </w:pPr>
    </w:p>
    <w:p w14:paraId="782BAD91" w14:textId="77777777" w:rsidR="00366005" w:rsidRPr="00183B5F" w:rsidRDefault="00943743">
      <w:pPr>
        <w:spacing w:line="240" w:lineRule="auto"/>
        <w:rPr>
          <w:szCs w:val="22"/>
        </w:rPr>
      </w:pPr>
      <w:r w:rsidRPr="00183B5F">
        <w:rPr>
          <w:szCs w:val="22"/>
        </w:rPr>
        <w:t>A profilaktikus antituberkulotikus kezelés ellenére előfordultak tuberculosis reaktiválódásának esetei Humira</w:t>
      </w:r>
      <w:r w:rsidRPr="00183B5F">
        <w:rPr>
          <w:szCs w:val="22"/>
        </w:rPr>
        <w:noBreakHyphen/>
        <w:t>val kezelt betegeknél. Egyes betegeknél, akiket korábban sikeresen kezeltek aktív tuberculosis ellen, a Humira</w:t>
      </w:r>
      <w:r w:rsidRPr="00183B5F">
        <w:rPr>
          <w:szCs w:val="22"/>
        </w:rPr>
        <w:noBreakHyphen/>
        <w:t>kezelés alatt ismét tuberculosis alakult ki.</w:t>
      </w:r>
    </w:p>
    <w:p w14:paraId="3EAE88CA" w14:textId="77777777" w:rsidR="00366005" w:rsidRPr="00183B5F" w:rsidRDefault="00366005">
      <w:pPr>
        <w:spacing w:line="240" w:lineRule="auto"/>
        <w:rPr>
          <w:szCs w:val="22"/>
        </w:rPr>
      </w:pPr>
    </w:p>
    <w:p w14:paraId="48C283A0" w14:textId="77777777" w:rsidR="00B740E5" w:rsidRPr="00183B5F" w:rsidRDefault="00943743" w:rsidP="00B740E5">
      <w:pPr>
        <w:spacing w:line="240" w:lineRule="auto"/>
        <w:rPr>
          <w:szCs w:val="22"/>
        </w:rPr>
      </w:pPr>
      <w:r w:rsidRPr="00183B5F">
        <w:rPr>
          <w:szCs w:val="22"/>
        </w:rPr>
        <w:t>A betegeket tájékoztatni kell, hogy – Humira</w:t>
      </w:r>
      <w:r w:rsidRPr="00183B5F">
        <w:rPr>
          <w:szCs w:val="22"/>
        </w:rPr>
        <w:noBreakHyphen/>
        <w:t>kezelés alatt vagy után – tuberculosisra jellemző tünetek (pl. tartós köhögés, fogyás, kisebb fokú láz, fáradékonyság) fellépése esetén forduljanak orvoshoz.</w:t>
      </w:r>
    </w:p>
    <w:p w14:paraId="69406D96" w14:textId="77777777" w:rsidR="00366005" w:rsidRPr="00183B5F" w:rsidRDefault="00366005">
      <w:pPr>
        <w:pStyle w:val="EndnoteText"/>
        <w:tabs>
          <w:tab w:val="clear" w:pos="567"/>
          <w:tab w:val="left" w:pos="708"/>
        </w:tabs>
        <w:suppressAutoHyphens/>
        <w:rPr>
          <w:sz w:val="22"/>
          <w:szCs w:val="22"/>
          <w:lang w:val="hu-HU"/>
        </w:rPr>
      </w:pPr>
    </w:p>
    <w:p w14:paraId="67B8F2E0" w14:textId="77777777" w:rsidR="00366005" w:rsidRPr="00183B5F" w:rsidRDefault="00943743">
      <w:pPr>
        <w:keepNext/>
        <w:spacing w:line="240" w:lineRule="auto"/>
        <w:rPr>
          <w:i/>
          <w:iCs/>
          <w:szCs w:val="22"/>
        </w:rPr>
      </w:pPr>
      <w:r w:rsidRPr="00183B5F">
        <w:rPr>
          <w:i/>
          <w:iCs/>
          <w:szCs w:val="22"/>
        </w:rPr>
        <w:t>Egyéb opportunista fertőzések:</w:t>
      </w:r>
    </w:p>
    <w:p w14:paraId="3D4A5DFB" w14:textId="77777777" w:rsidR="00366005" w:rsidRPr="00183B5F" w:rsidRDefault="00366005">
      <w:pPr>
        <w:keepNext/>
        <w:spacing w:line="240" w:lineRule="auto"/>
        <w:rPr>
          <w:szCs w:val="22"/>
        </w:rPr>
      </w:pPr>
    </w:p>
    <w:p w14:paraId="69044185" w14:textId="77777777" w:rsidR="00366005" w:rsidRPr="00183B5F" w:rsidRDefault="00943743">
      <w:pPr>
        <w:keepNext/>
        <w:spacing w:line="240" w:lineRule="auto"/>
        <w:rPr>
          <w:szCs w:val="22"/>
        </w:rPr>
      </w:pPr>
      <w:r w:rsidRPr="00183B5F">
        <w:rPr>
          <w:szCs w:val="22"/>
        </w:rPr>
        <w:t>A Humira</w:t>
      </w:r>
      <w:r w:rsidRPr="00183B5F">
        <w:rPr>
          <w:szCs w:val="22"/>
        </w:rPr>
        <w:noBreakHyphen/>
        <w:t>kezelést kapó betegeknél opportunista fertőzéseket, köztük invazív gombafertőzéseket észleltek. Ezek a fertőzések a TNF</w:t>
      </w:r>
      <w:r w:rsidRPr="00183B5F">
        <w:rPr>
          <w:szCs w:val="22"/>
        </w:rPr>
        <w:noBreakHyphen/>
        <w:t xml:space="preserve">antagonistákat kapó betegeknél nem kerültek következetesen felismerésre, és ez a megfelelő kezelés </w:t>
      </w:r>
      <w:r w:rsidR="003B6CBC" w:rsidRPr="00183B5F">
        <w:rPr>
          <w:szCs w:val="22"/>
        </w:rPr>
        <w:t>késését</w:t>
      </w:r>
      <w:r w:rsidRPr="00183B5F">
        <w:rPr>
          <w:szCs w:val="22"/>
        </w:rPr>
        <w:t xml:space="preserve"> eredményezte, ami néha halálos kimenetelhez vezetett.</w:t>
      </w:r>
    </w:p>
    <w:p w14:paraId="63527543" w14:textId="77777777" w:rsidR="00366005" w:rsidRPr="00183B5F" w:rsidRDefault="00366005">
      <w:pPr>
        <w:spacing w:line="240" w:lineRule="auto"/>
        <w:rPr>
          <w:szCs w:val="22"/>
        </w:rPr>
      </w:pPr>
    </w:p>
    <w:p w14:paraId="6D698565" w14:textId="77777777" w:rsidR="00366005" w:rsidRPr="00183B5F" w:rsidRDefault="00943743">
      <w:pPr>
        <w:spacing w:line="240" w:lineRule="auto"/>
        <w:rPr>
          <w:szCs w:val="22"/>
        </w:rPr>
      </w:pPr>
      <w:r w:rsidRPr="00183B5F">
        <w:rPr>
          <w:szCs w:val="22"/>
        </w:rPr>
        <w:t xml:space="preserve">Azoknál a betegeknél, akiknél olyan </w:t>
      </w:r>
      <w:r w:rsidR="008511AE" w:rsidRPr="00183B5F">
        <w:rPr>
          <w:szCs w:val="22"/>
        </w:rPr>
        <w:t xml:space="preserve">jelek </w:t>
      </w:r>
      <w:r w:rsidRPr="00183B5F">
        <w:rPr>
          <w:szCs w:val="22"/>
        </w:rPr>
        <w:t>és tünetek alakulnak ki, mint például a láz, rossz közérzet, fogyás, verejtékezés, köhögés, dyspnoe és/vagy pulmonalis infiltrátumok</w:t>
      </w:r>
      <w:r w:rsidR="003B6CBC" w:rsidRPr="00183B5F">
        <w:rPr>
          <w:szCs w:val="22"/>
        </w:rPr>
        <w:t>,</w:t>
      </w:r>
      <w:r w:rsidRPr="00183B5F">
        <w:rPr>
          <w:szCs w:val="22"/>
        </w:rPr>
        <w:t xml:space="preserve"> illetve sokkal vagy anélkül jelentkező egyéb súlyos, szisztémás betegségek, invazív gombafertőzésre kell gyanakodni, és a Humira adását azonnal abba kell hagyni. Ezeknél a betegeknél a diagnózis megállapítását és az </w:t>
      </w:r>
      <w:r w:rsidRPr="00183B5F">
        <w:rPr>
          <w:szCs w:val="22"/>
        </w:rPr>
        <w:lastRenderedPageBreak/>
        <w:t>emp</w:t>
      </w:r>
      <w:r w:rsidR="00516B92" w:rsidRPr="00183B5F">
        <w:rPr>
          <w:szCs w:val="22"/>
        </w:rPr>
        <w:t>i</w:t>
      </w:r>
      <w:r w:rsidRPr="00183B5F">
        <w:rPr>
          <w:szCs w:val="22"/>
        </w:rPr>
        <w:t>rikus gombaellenes kezelés megkezdését olyan szakemberrel történő konzultációt követően kell elvégezni, aki jártas az invazív gombafertőzések kezelésébe</w:t>
      </w:r>
      <w:r w:rsidRPr="00183B5F">
        <w:rPr>
          <w:szCs w:val="22"/>
        </w:rPr>
        <w:t>n.</w:t>
      </w:r>
    </w:p>
    <w:p w14:paraId="042F6FC7" w14:textId="77777777" w:rsidR="00366005" w:rsidRPr="00183B5F" w:rsidRDefault="00366005">
      <w:pPr>
        <w:spacing w:line="240" w:lineRule="auto"/>
        <w:rPr>
          <w:szCs w:val="22"/>
        </w:rPr>
      </w:pPr>
    </w:p>
    <w:p w14:paraId="2ADFD0FA" w14:textId="77777777" w:rsidR="00366005" w:rsidRPr="00183B5F" w:rsidRDefault="00943743">
      <w:pPr>
        <w:keepNext/>
        <w:spacing w:line="240" w:lineRule="auto"/>
        <w:rPr>
          <w:szCs w:val="22"/>
          <w:u w:val="single"/>
        </w:rPr>
      </w:pPr>
      <w:r w:rsidRPr="00183B5F">
        <w:rPr>
          <w:szCs w:val="22"/>
          <w:u w:val="single"/>
        </w:rPr>
        <w:t>Hepatitis B reaktiválódása</w:t>
      </w:r>
    </w:p>
    <w:p w14:paraId="6760DCB0" w14:textId="77777777" w:rsidR="00366005" w:rsidRPr="00183B5F" w:rsidRDefault="00366005">
      <w:pPr>
        <w:keepNext/>
        <w:spacing w:line="240" w:lineRule="auto"/>
        <w:rPr>
          <w:szCs w:val="22"/>
          <w:u w:val="single"/>
        </w:rPr>
      </w:pPr>
    </w:p>
    <w:p w14:paraId="09FF2BED" w14:textId="77777777" w:rsidR="00366005" w:rsidRPr="00183B5F" w:rsidRDefault="00943743">
      <w:pPr>
        <w:keepNext/>
        <w:spacing w:line="240" w:lineRule="auto"/>
        <w:rPr>
          <w:szCs w:val="22"/>
        </w:rPr>
      </w:pPr>
      <w:r w:rsidRPr="00183B5F">
        <w:rPr>
          <w:szCs w:val="22"/>
        </w:rPr>
        <w:t>Idült hepatitis B</w:t>
      </w:r>
      <w:r w:rsidR="003B6CBC" w:rsidRPr="00183B5F">
        <w:rPr>
          <w:szCs w:val="22"/>
        </w:rPr>
        <w:noBreakHyphen/>
      </w:r>
      <w:r w:rsidRPr="00183B5F">
        <w:rPr>
          <w:szCs w:val="22"/>
        </w:rPr>
        <w:t>vírus</w:t>
      </w:r>
      <w:r w:rsidR="003B6CBC" w:rsidRPr="00183B5F">
        <w:rPr>
          <w:szCs w:val="22"/>
        </w:rPr>
        <w:t>-</w:t>
      </w:r>
      <w:r w:rsidRPr="00183B5F">
        <w:rPr>
          <w:szCs w:val="22"/>
        </w:rPr>
        <w:t>hordozó betegeknél (azaz a felszíni antigén pozitív) a hepatitis B reaktiválódása fordult elő, amennyiben TNF</w:t>
      </w:r>
      <w:r w:rsidRPr="00183B5F">
        <w:rPr>
          <w:szCs w:val="22"/>
        </w:rPr>
        <w:noBreakHyphen/>
        <w:t>antagonista (köztük Humira)</w:t>
      </w:r>
      <w:r w:rsidRPr="00183B5F">
        <w:rPr>
          <w:szCs w:val="22"/>
        </w:rPr>
        <w:noBreakHyphen/>
        <w:t>kezelésben részesültek. Néhány esetben ez halálhoz vezetett. A Humira</w:t>
      </w:r>
      <w:r w:rsidRPr="00183B5F">
        <w:rPr>
          <w:szCs w:val="22"/>
        </w:rPr>
        <w:noBreakHyphen/>
        <w:t xml:space="preserve">kezelés elkezdése előtt a betegeket </w:t>
      </w:r>
      <w:r w:rsidR="000A456B" w:rsidRPr="00183B5F">
        <w:rPr>
          <w:szCs w:val="22"/>
        </w:rPr>
        <w:t>HBV-fertőz</w:t>
      </w:r>
      <w:r w:rsidRPr="00183B5F">
        <w:rPr>
          <w:szCs w:val="22"/>
        </w:rPr>
        <w:t>és irányában vizsgálni kell. Azoknál a betegeknél, akiknél a hepatitis B infekció vizsgálatának eredménye pozitív, konzultáció javasolt egy, a hepatitis B kezelésében jártas orvossal.</w:t>
      </w:r>
    </w:p>
    <w:p w14:paraId="1D44CA5D" w14:textId="77777777" w:rsidR="00366005" w:rsidRPr="00183B5F" w:rsidRDefault="00366005">
      <w:pPr>
        <w:spacing w:line="240" w:lineRule="auto"/>
        <w:rPr>
          <w:szCs w:val="22"/>
        </w:rPr>
      </w:pPr>
    </w:p>
    <w:p w14:paraId="73140C27" w14:textId="77777777" w:rsidR="00366005" w:rsidRPr="00183B5F" w:rsidRDefault="00943743">
      <w:pPr>
        <w:spacing w:line="240" w:lineRule="auto"/>
        <w:rPr>
          <w:szCs w:val="22"/>
        </w:rPr>
      </w:pPr>
      <w:r w:rsidRPr="00183B5F">
        <w:rPr>
          <w:szCs w:val="22"/>
        </w:rPr>
        <w:t xml:space="preserve">A Humira terápiára szoruló </w:t>
      </w:r>
      <w:r w:rsidR="000A456B" w:rsidRPr="00183B5F">
        <w:rPr>
          <w:szCs w:val="22"/>
        </w:rPr>
        <w:t>HBV-hordo</w:t>
      </w:r>
      <w:r w:rsidRPr="00183B5F">
        <w:rPr>
          <w:szCs w:val="22"/>
        </w:rPr>
        <w:t xml:space="preserve">zókat a kezelés ideje alatt, illetve a befejezését követő néhány hónapon keresztül gondosan meg kell figyelni, hogy jelentkeznek-e rajtuk aktív </w:t>
      </w:r>
      <w:r w:rsidR="000A456B" w:rsidRPr="00183B5F">
        <w:rPr>
          <w:szCs w:val="22"/>
        </w:rPr>
        <w:t>HBV-fertőz</w:t>
      </w:r>
      <w:r w:rsidRPr="00183B5F">
        <w:rPr>
          <w:szCs w:val="22"/>
        </w:rPr>
        <w:t xml:space="preserve">ésre utaló </w:t>
      </w:r>
      <w:r w:rsidR="0080649D" w:rsidRPr="00183B5F">
        <w:rPr>
          <w:szCs w:val="22"/>
        </w:rPr>
        <w:t xml:space="preserve">jelek </w:t>
      </w:r>
      <w:r w:rsidRPr="00183B5F">
        <w:rPr>
          <w:szCs w:val="22"/>
        </w:rPr>
        <w:t xml:space="preserve">és tünetek. A </w:t>
      </w:r>
      <w:r w:rsidR="000A456B" w:rsidRPr="00183B5F">
        <w:rPr>
          <w:szCs w:val="22"/>
        </w:rPr>
        <w:t>HBV-hordo</w:t>
      </w:r>
      <w:r w:rsidRPr="00183B5F">
        <w:rPr>
          <w:szCs w:val="22"/>
        </w:rPr>
        <w:t>zóknak a HBV reaktiválódásának megelőzése céljából végzett TNF</w:t>
      </w:r>
      <w:r w:rsidRPr="00183B5F">
        <w:rPr>
          <w:szCs w:val="22"/>
        </w:rPr>
        <w:noBreakHyphen/>
        <w:t xml:space="preserve">antagonista és antiretrovirális szer kombinációjával végzett kezeléséről nem állnak rendelkezésre megfelelő adatok. Azoknál a betegeknél, akiknél a HBV reaktiválódása alakul ki, abba kell hagyni a Humira adását, és hatékony antiretrovirális szer </w:t>
      </w:r>
      <w:r w:rsidRPr="00183B5F">
        <w:rPr>
          <w:szCs w:val="22"/>
        </w:rPr>
        <w:t>adását, valamint megfelelő szupportív kezelést kell kezdeni.</w:t>
      </w:r>
    </w:p>
    <w:p w14:paraId="6323211D" w14:textId="77777777" w:rsidR="00366005" w:rsidRPr="00183B5F" w:rsidRDefault="00366005">
      <w:pPr>
        <w:spacing w:line="240" w:lineRule="auto"/>
        <w:rPr>
          <w:szCs w:val="22"/>
        </w:rPr>
      </w:pPr>
    </w:p>
    <w:p w14:paraId="55BA3392" w14:textId="77777777" w:rsidR="00366005" w:rsidRPr="00183B5F" w:rsidRDefault="00943743">
      <w:pPr>
        <w:keepNext/>
        <w:spacing w:line="240" w:lineRule="auto"/>
        <w:rPr>
          <w:szCs w:val="22"/>
          <w:u w:val="single"/>
        </w:rPr>
      </w:pPr>
      <w:r w:rsidRPr="00183B5F">
        <w:rPr>
          <w:szCs w:val="22"/>
          <w:u w:val="single"/>
        </w:rPr>
        <w:t>Neurológiai vonatkozások</w:t>
      </w:r>
    </w:p>
    <w:p w14:paraId="6359404E" w14:textId="77777777" w:rsidR="00366005" w:rsidRPr="00183B5F" w:rsidRDefault="00366005">
      <w:pPr>
        <w:keepNext/>
        <w:spacing w:line="240" w:lineRule="auto"/>
        <w:rPr>
          <w:szCs w:val="22"/>
          <w:u w:val="single"/>
        </w:rPr>
      </w:pPr>
    </w:p>
    <w:p w14:paraId="7204C920" w14:textId="77777777" w:rsidR="00366005" w:rsidRPr="00183B5F" w:rsidRDefault="00943743">
      <w:pPr>
        <w:keepNext/>
        <w:spacing w:line="240" w:lineRule="auto"/>
        <w:rPr>
          <w:szCs w:val="22"/>
        </w:rPr>
      </w:pPr>
      <w:r w:rsidRPr="00183B5F">
        <w:rPr>
          <w:szCs w:val="22"/>
        </w:rPr>
        <w:t>A TNF</w:t>
      </w:r>
      <w:r w:rsidRPr="00183B5F">
        <w:rPr>
          <w:szCs w:val="22"/>
        </w:rPr>
        <w:noBreakHyphen/>
      </w:r>
      <w:r w:rsidRPr="00183B5F">
        <w:rPr>
          <w:szCs w:val="22"/>
        </w:rPr>
        <w:t>antagonisták, beleértve a Humira</w:t>
      </w:r>
      <w:r w:rsidRPr="00183B5F">
        <w:rPr>
          <w:szCs w:val="22"/>
        </w:rPr>
        <w:noBreakHyphen/>
        <w:t xml:space="preserve">t, ritkán a központi idegrendszeri </w:t>
      </w:r>
      <w:r w:rsidR="001B6725" w:rsidRPr="00183B5F">
        <w:rPr>
          <w:szCs w:val="22"/>
        </w:rPr>
        <w:t>demyelinisati</w:t>
      </w:r>
      <w:r w:rsidRPr="00183B5F">
        <w:rPr>
          <w:szCs w:val="22"/>
        </w:rPr>
        <w:t xml:space="preserve">ós betegség (közte a sclerosis multiplex és az opticus neuritis) és a perifériás </w:t>
      </w:r>
      <w:r w:rsidR="001B6725" w:rsidRPr="00183B5F">
        <w:rPr>
          <w:szCs w:val="22"/>
        </w:rPr>
        <w:t>demyelinisati</w:t>
      </w:r>
      <w:r w:rsidRPr="00183B5F">
        <w:rPr>
          <w:szCs w:val="22"/>
        </w:rPr>
        <w:t>ós betegség (közte a Guillan</w:t>
      </w:r>
      <w:r w:rsidRPr="00183B5F">
        <w:rPr>
          <w:szCs w:val="22"/>
        </w:rPr>
        <w:noBreakHyphen/>
        <w:t>Barré szindróma) klinikai tüneteinek és/vagy radiológiai bizonyítékának új megjelenésével vagy súlyosbodásával társultak. A gyógyszert felíró orvosnak különös gonddal kell eljárnia olyan esetekben, amikor Humira</w:t>
      </w:r>
      <w:r w:rsidRPr="00183B5F">
        <w:rPr>
          <w:szCs w:val="22"/>
        </w:rPr>
        <w:noBreakHyphen/>
        <w:t xml:space="preserve">kezelés lehetősége felmerül régi vagy friss központi idegrendszeri vagy perifériás </w:t>
      </w:r>
      <w:r w:rsidR="001B6725" w:rsidRPr="00183B5F">
        <w:rPr>
          <w:szCs w:val="22"/>
        </w:rPr>
        <w:t>demyelinisati</w:t>
      </w:r>
      <w:r w:rsidRPr="00183B5F">
        <w:rPr>
          <w:szCs w:val="22"/>
        </w:rPr>
        <w:t>ós betegségben szenvedő betegeknél; ezen betegségek bármelyikének kialakulása esetén fontolóra kell venni a Humira adásának felfüggesztését. Ismert az összefüggés az intermedier uveitis és a központi idegrendszeri demyelinisatiós betegség között. A nem fertőzéses eredetű, intermedier uveitisben szenvedő betegeknél neurológiai vizsgálatot kell végezni a Humira</w:t>
      </w:r>
      <w:r w:rsidRPr="00183B5F">
        <w:rPr>
          <w:szCs w:val="22"/>
        </w:rPr>
        <w:noBreakHyphen/>
        <w:t xml:space="preserve">kezelés megkezdése előtt és a kezelés ideje alatt rendszeresen, a már meglévő vagy kialakuló központi idegrendszeri </w:t>
      </w:r>
      <w:r w:rsidR="001B6725" w:rsidRPr="00183B5F">
        <w:rPr>
          <w:szCs w:val="22"/>
        </w:rPr>
        <w:t>demyelinisati</w:t>
      </w:r>
      <w:r w:rsidRPr="00183B5F">
        <w:rPr>
          <w:szCs w:val="22"/>
        </w:rPr>
        <w:t>ós betegség értékelés</w:t>
      </w:r>
      <w:r w:rsidRPr="00183B5F">
        <w:rPr>
          <w:szCs w:val="22"/>
        </w:rPr>
        <w:t>ére.</w:t>
      </w:r>
    </w:p>
    <w:p w14:paraId="3CA4B3D5" w14:textId="77777777" w:rsidR="00366005" w:rsidRPr="00183B5F" w:rsidRDefault="00366005">
      <w:pPr>
        <w:spacing w:line="240" w:lineRule="auto"/>
        <w:rPr>
          <w:b/>
          <w:szCs w:val="22"/>
        </w:rPr>
      </w:pPr>
    </w:p>
    <w:p w14:paraId="1593B8BD" w14:textId="77777777" w:rsidR="00366005" w:rsidRPr="00183B5F" w:rsidRDefault="00943743">
      <w:pPr>
        <w:keepNext/>
        <w:spacing w:line="240" w:lineRule="auto"/>
        <w:ind w:left="567" w:hanging="567"/>
        <w:rPr>
          <w:szCs w:val="22"/>
          <w:u w:val="single"/>
        </w:rPr>
      </w:pPr>
      <w:r w:rsidRPr="00183B5F">
        <w:rPr>
          <w:szCs w:val="22"/>
          <w:u w:val="single"/>
        </w:rPr>
        <w:t>Allergiás reakciók</w:t>
      </w:r>
    </w:p>
    <w:p w14:paraId="5F22F3A4" w14:textId="77777777" w:rsidR="00366005" w:rsidRPr="00183B5F" w:rsidRDefault="00366005">
      <w:pPr>
        <w:keepNext/>
        <w:spacing w:line="240" w:lineRule="auto"/>
        <w:ind w:left="567" w:hanging="567"/>
        <w:rPr>
          <w:b/>
          <w:szCs w:val="22"/>
        </w:rPr>
      </w:pPr>
    </w:p>
    <w:p w14:paraId="5AE9B145" w14:textId="77777777" w:rsidR="00366005" w:rsidRPr="00183B5F" w:rsidRDefault="00943743">
      <w:pPr>
        <w:keepNext/>
        <w:spacing w:line="240" w:lineRule="auto"/>
        <w:rPr>
          <w:szCs w:val="22"/>
        </w:rPr>
      </w:pPr>
      <w:r w:rsidRPr="00183B5F">
        <w:rPr>
          <w:szCs w:val="22"/>
        </w:rPr>
        <w:t>A klinikai vizsgálatok során a Humira alkalmazásával összefüggő súlyos allergiás reakciók ritkán fordultak elő. Nem súlyos allergiás reakciók nem gyakran fordultak elő a Humira</w:t>
      </w:r>
      <w:r w:rsidRPr="00183B5F">
        <w:rPr>
          <w:szCs w:val="22"/>
        </w:rPr>
        <w:noBreakHyphen/>
        <w:t>val végzett klinikai vizsgálatok során. Humira alkalmazását követően jelentettek súlyos allergiás reakciót, beleértve az anafilaxiát. Ha anafilaxiás vagy más súlyos allergiás reakció előfordulna, a Humira adását azonnal abba kell hagyni, és a megfelelő kezelést kell elkezdeni.</w:t>
      </w:r>
    </w:p>
    <w:p w14:paraId="524283F9" w14:textId="77777777" w:rsidR="00366005" w:rsidRPr="00183B5F" w:rsidRDefault="00366005">
      <w:pPr>
        <w:spacing w:line="240" w:lineRule="auto"/>
        <w:rPr>
          <w:szCs w:val="22"/>
        </w:rPr>
      </w:pPr>
    </w:p>
    <w:p w14:paraId="5CCDD47A" w14:textId="77777777" w:rsidR="00366005" w:rsidRPr="00183B5F" w:rsidRDefault="00943743">
      <w:pPr>
        <w:spacing w:line="240" w:lineRule="auto"/>
        <w:ind w:left="567" w:hanging="567"/>
        <w:rPr>
          <w:szCs w:val="22"/>
          <w:u w:val="single"/>
        </w:rPr>
      </w:pPr>
      <w:r w:rsidRPr="00183B5F">
        <w:rPr>
          <w:szCs w:val="22"/>
          <w:u w:val="single"/>
        </w:rPr>
        <w:t>Immunszuppresszió</w:t>
      </w:r>
    </w:p>
    <w:p w14:paraId="5F5D312C" w14:textId="77777777" w:rsidR="00366005" w:rsidRPr="00183B5F" w:rsidRDefault="00366005">
      <w:pPr>
        <w:spacing w:line="240" w:lineRule="auto"/>
        <w:ind w:left="567" w:hanging="567"/>
        <w:rPr>
          <w:b/>
          <w:szCs w:val="22"/>
        </w:rPr>
      </w:pPr>
    </w:p>
    <w:p w14:paraId="1534518F" w14:textId="77777777" w:rsidR="00366005" w:rsidRPr="00183B5F" w:rsidRDefault="00943743">
      <w:pPr>
        <w:spacing w:line="240" w:lineRule="auto"/>
        <w:rPr>
          <w:szCs w:val="22"/>
        </w:rPr>
      </w:pPr>
      <w:r w:rsidRPr="00183B5F">
        <w:rPr>
          <w:szCs w:val="22"/>
        </w:rPr>
        <w:t>Rheumatoid arthritisben szenvedő, Humira</w:t>
      </w:r>
      <w:r w:rsidRPr="00183B5F">
        <w:rPr>
          <w:szCs w:val="22"/>
        </w:rPr>
        <w:noBreakHyphen/>
        <w:t>val kezelt 64 beteg vizsgálata során nem tapasztaltak csökkent késői típusú hyperszenzitivitási reakciót, alacsonyabb immunglobulin</w:t>
      </w:r>
      <w:r w:rsidR="001B6725" w:rsidRPr="00183B5F">
        <w:rPr>
          <w:szCs w:val="22"/>
        </w:rPr>
        <w:t>-</w:t>
      </w:r>
      <w:r w:rsidRPr="00183B5F">
        <w:rPr>
          <w:szCs w:val="22"/>
        </w:rPr>
        <w:t>szinteket, illetve nem észleltek változást az effektor</w:t>
      </w:r>
      <w:r w:rsidRPr="00183B5F">
        <w:rPr>
          <w:szCs w:val="22"/>
        </w:rPr>
        <w:noBreakHyphen/>
        <w:t>T</w:t>
      </w:r>
      <w:r w:rsidRPr="00183B5F">
        <w:rPr>
          <w:szCs w:val="22"/>
        </w:rPr>
        <w:noBreakHyphen/>
        <w:t>, B</w:t>
      </w:r>
      <w:r w:rsidRPr="00183B5F">
        <w:rPr>
          <w:szCs w:val="22"/>
        </w:rPr>
        <w:noBreakHyphen/>
        <w:t xml:space="preserve"> és NK</w:t>
      </w:r>
      <w:r w:rsidRPr="00183B5F">
        <w:rPr>
          <w:szCs w:val="22"/>
        </w:rPr>
        <w:noBreakHyphen/>
        <w:t>sejtek, monocyták/macrophagok és neutrophilek számában.</w:t>
      </w:r>
    </w:p>
    <w:p w14:paraId="132995FF" w14:textId="77777777" w:rsidR="00366005" w:rsidRPr="00183B5F" w:rsidRDefault="00366005">
      <w:pPr>
        <w:spacing w:line="240" w:lineRule="auto"/>
        <w:rPr>
          <w:szCs w:val="22"/>
        </w:rPr>
      </w:pPr>
    </w:p>
    <w:p w14:paraId="3D6C1035" w14:textId="77777777" w:rsidR="00366005" w:rsidRPr="00183B5F" w:rsidRDefault="00943743">
      <w:pPr>
        <w:keepNext/>
        <w:spacing w:line="240" w:lineRule="auto"/>
        <w:rPr>
          <w:szCs w:val="22"/>
          <w:u w:val="single"/>
        </w:rPr>
      </w:pPr>
      <w:r w:rsidRPr="00183B5F">
        <w:rPr>
          <w:szCs w:val="22"/>
          <w:u w:val="single"/>
        </w:rPr>
        <w:t>Malignus és lymphoproliferativ betegségek</w:t>
      </w:r>
    </w:p>
    <w:p w14:paraId="75B6A069" w14:textId="77777777" w:rsidR="00366005" w:rsidRPr="00183B5F" w:rsidRDefault="00366005">
      <w:pPr>
        <w:keepNext/>
        <w:spacing w:line="240" w:lineRule="auto"/>
        <w:rPr>
          <w:szCs w:val="22"/>
          <w:u w:val="single"/>
        </w:rPr>
      </w:pPr>
    </w:p>
    <w:p w14:paraId="7A34D035" w14:textId="77777777" w:rsidR="00366005" w:rsidRPr="00183B5F" w:rsidRDefault="00943743">
      <w:pPr>
        <w:keepNext/>
        <w:spacing w:line="240" w:lineRule="auto"/>
        <w:rPr>
          <w:szCs w:val="22"/>
        </w:rPr>
      </w:pPr>
      <w:r w:rsidRPr="00183B5F">
        <w:rPr>
          <w:szCs w:val="22"/>
        </w:rPr>
        <w:t>A TNF</w:t>
      </w:r>
      <w:r w:rsidRPr="00183B5F">
        <w:rPr>
          <w:szCs w:val="22"/>
        </w:rPr>
        <w:noBreakHyphen/>
        <w:t>antagonistákkal végzett klinikai vizsgálatok kontrollos részeiben a TNF</w:t>
      </w:r>
      <w:r w:rsidRPr="00183B5F">
        <w:rPr>
          <w:szCs w:val="22"/>
        </w:rPr>
        <w:noBreakHyphen/>
        <w:t>antagonistát kapott betegek körében nagyobb számban észleltek malignomákat, beleértve a lymphomát, mint a kontro</w:t>
      </w:r>
      <w:r w:rsidR="0089402C" w:rsidRPr="00183B5F">
        <w:rPr>
          <w:szCs w:val="22"/>
        </w:rPr>
        <w:t>llcs</w:t>
      </w:r>
      <w:r w:rsidRPr="00183B5F">
        <w:rPr>
          <w:szCs w:val="22"/>
        </w:rPr>
        <w:t>oport betegeinél. Ez azonban ritkán fordult elő. Posztmarketing alkalmazás körülményei között TNF</w:t>
      </w:r>
      <w:r w:rsidRPr="00183B5F">
        <w:rPr>
          <w:szCs w:val="22"/>
        </w:rPr>
        <w:noBreakHyphen/>
        <w:t>antagonistával kezelt betegek körében leukémi</w:t>
      </w:r>
      <w:r w:rsidR="001B6725" w:rsidRPr="00183B5F">
        <w:rPr>
          <w:szCs w:val="22"/>
        </w:rPr>
        <w:t>ás</w:t>
      </w:r>
      <w:r w:rsidRPr="00183B5F">
        <w:rPr>
          <w:szCs w:val="22"/>
        </w:rPr>
        <w:t xml:space="preserve"> eseteket jelentettek. A kockázat megítélését nehezíti, hogy a lymphoma és a leukémia háttérkockázata nagyobb olyan rheumatoid arthritisben szenvedő betegeknél, akiknek régóta fe</w:t>
      </w:r>
      <w:r w:rsidRPr="00183B5F">
        <w:rPr>
          <w:szCs w:val="22"/>
        </w:rPr>
        <w:t xml:space="preserve">nnálló, fokozott aktivitású gyulladásos betegségük </w:t>
      </w:r>
      <w:r w:rsidRPr="00183B5F">
        <w:rPr>
          <w:szCs w:val="22"/>
        </w:rPr>
        <w:lastRenderedPageBreak/>
        <w:t>van. Jelenlegi ismereteink szerint a TNF</w:t>
      </w:r>
      <w:r w:rsidRPr="00183B5F">
        <w:rPr>
          <w:szCs w:val="22"/>
        </w:rPr>
        <w:noBreakHyphen/>
        <w:t>antagonistákkal kezelt betegeknél a lymphoma, leukaemia vagy más malignus betegségek kialakulásának lehetséges rizikója nem zárható ki.</w:t>
      </w:r>
    </w:p>
    <w:p w14:paraId="57246907" w14:textId="77777777" w:rsidR="00366005" w:rsidRPr="00183B5F" w:rsidRDefault="00366005">
      <w:pPr>
        <w:spacing w:line="240" w:lineRule="auto"/>
        <w:rPr>
          <w:szCs w:val="22"/>
        </w:rPr>
      </w:pPr>
    </w:p>
    <w:p w14:paraId="2ADE216A" w14:textId="77777777" w:rsidR="00366005" w:rsidRPr="00183B5F" w:rsidRDefault="00943743">
      <w:pPr>
        <w:pStyle w:val="EMEANormal"/>
        <w:rPr>
          <w:szCs w:val="22"/>
          <w:lang w:val="hu-HU"/>
        </w:rPr>
      </w:pPr>
      <w:r w:rsidRPr="00183B5F">
        <w:rPr>
          <w:szCs w:val="22"/>
          <w:lang w:val="hu-HU"/>
        </w:rPr>
        <w:t>A forgalomba hozatalt követő megfigyelés során a TNF</w:t>
      </w:r>
      <w:r w:rsidRPr="00183B5F">
        <w:rPr>
          <w:szCs w:val="22"/>
          <w:lang w:val="hu-HU"/>
        </w:rPr>
        <w:noBreakHyphen/>
        <w:t>blokkoló szerekkel, köztük az adalimu</w:t>
      </w:r>
      <w:r w:rsidR="00FD3AF2" w:rsidRPr="00183B5F">
        <w:rPr>
          <w:szCs w:val="22"/>
          <w:lang w:val="hu-HU"/>
        </w:rPr>
        <w:t>m</w:t>
      </w:r>
      <w:r w:rsidRPr="00183B5F">
        <w:rPr>
          <w:szCs w:val="22"/>
          <w:lang w:val="hu-HU"/>
        </w:rPr>
        <w:t>abbal kezelt (a kezelés megkezdése ≤ 18 éves életkor) gyermekeknél, serdülőknél és fiatal felnőtteknél (22 éves korig) malignitásokról számoltak be, melyek némelyike végzetes kimenetelű volt. Az esetek mintegy fele lymphoma volt. A többi eset sokféle különböző malignitás volt, köztük ritka malignitások is, amelyek rendszerint immunszuppresszióhoz társultak. A TNF</w:t>
      </w:r>
      <w:r w:rsidRPr="00183B5F">
        <w:rPr>
          <w:szCs w:val="22"/>
          <w:lang w:val="hu-HU"/>
        </w:rPr>
        <w:noBreakHyphen/>
        <w:t>blokkolókkal kezelt gyermekeknél és serdülőknél a malignitások kialakulásának kockázata nem zárható ki.</w:t>
      </w:r>
    </w:p>
    <w:p w14:paraId="26B49A41" w14:textId="77777777" w:rsidR="00366005" w:rsidRPr="00183B5F" w:rsidRDefault="00366005">
      <w:pPr>
        <w:spacing w:line="240" w:lineRule="auto"/>
        <w:rPr>
          <w:szCs w:val="22"/>
        </w:rPr>
      </w:pPr>
    </w:p>
    <w:p w14:paraId="798E72AC" w14:textId="77777777" w:rsidR="00366005" w:rsidRPr="00183B5F" w:rsidRDefault="00943743">
      <w:pPr>
        <w:spacing w:line="240" w:lineRule="auto"/>
        <w:rPr>
          <w:szCs w:val="22"/>
        </w:rPr>
      </w:pPr>
      <w:r w:rsidRPr="00183B5F">
        <w:rPr>
          <w:szCs w:val="22"/>
        </w:rPr>
        <w:t xml:space="preserve">Adalimumabbal kezelt betegeknél a forgalomba hozatalt követően ritkán </w:t>
      </w:r>
      <w:r w:rsidR="00AA4D42" w:rsidRPr="00183B5F">
        <w:rPr>
          <w:szCs w:val="22"/>
        </w:rPr>
        <w:t>hepatosplenicus</w:t>
      </w:r>
      <w:r w:rsidRPr="00183B5F">
        <w:rPr>
          <w:szCs w:val="22"/>
        </w:rPr>
        <w:t xml:space="preserve"> T</w:t>
      </w:r>
      <w:r w:rsidRPr="00183B5F">
        <w:rPr>
          <w:szCs w:val="22"/>
        </w:rPr>
        <w:noBreakHyphen/>
        <w:t>sejtes lymphoma esete</w:t>
      </w:r>
      <w:r w:rsidR="00C61C07" w:rsidRPr="00183B5F">
        <w:rPr>
          <w:szCs w:val="22"/>
        </w:rPr>
        <w:t>i</w:t>
      </w:r>
      <w:r w:rsidRPr="00183B5F">
        <w:rPr>
          <w:szCs w:val="22"/>
        </w:rPr>
        <w:t>t észlelt</w:t>
      </w:r>
      <w:r w:rsidR="00C61C07" w:rsidRPr="00183B5F">
        <w:rPr>
          <w:szCs w:val="22"/>
        </w:rPr>
        <w:t>é</w:t>
      </w:r>
      <w:r w:rsidRPr="00183B5F">
        <w:rPr>
          <w:szCs w:val="22"/>
        </w:rPr>
        <w:t>k. A T</w:t>
      </w:r>
      <w:r w:rsidRPr="00183B5F">
        <w:rPr>
          <w:szCs w:val="22"/>
        </w:rPr>
        <w:noBreakHyphen/>
        <w:t>sejtes lymphoma e ritkán előforduló típusa nagyon agresszív lefolyású és rendszerint halálos kimenetelű. A Humira</w:t>
      </w:r>
      <w:r w:rsidRPr="00183B5F">
        <w:rPr>
          <w:szCs w:val="22"/>
        </w:rPr>
        <w:noBreakHyphen/>
        <w:t xml:space="preserve">kezelés során észlelt </w:t>
      </w:r>
      <w:r w:rsidR="00AA4D42" w:rsidRPr="00183B5F">
        <w:rPr>
          <w:szCs w:val="22"/>
        </w:rPr>
        <w:t>hepatosplenicus</w:t>
      </w:r>
      <w:r w:rsidRPr="00183B5F">
        <w:rPr>
          <w:szCs w:val="22"/>
        </w:rPr>
        <w:t xml:space="preserve"> T</w:t>
      </w:r>
      <w:r w:rsidRPr="00183B5F">
        <w:rPr>
          <w:szCs w:val="22"/>
        </w:rPr>
        <w:noBreakHyphen/>
        <w:t>sejtes lymphoma</w:t>
      </w:r>
      <w:r w:rsidR="003D6A39" w:rsidRPr="00183B5F">
        <w:rPr>
          <w:szCs w:val="22"/>
        </w:rPr>
        <w:t>-</w:t>
      </w:r>
      <w:r w:rsidRPr="00183B5F">
        <w:rPr>
          <w:szCs w:val="22"/>
        </w:rPr>
        <w:t>esetek némelyike olyan fiatal felnőtt betegeknél fordult elő, akiket gyulladásos bélbetegség miatt egyidejűleg azatioprinnel, illetve 6</w:t>
      </w:r>
      <w:r w:rsidRPr="00183B5F">
        <w:rPr>
          <w:szCs w:val="22"/>
        </w:rPr>
        <w:noBreakHyphen/>
        <w:t>merkaptopurinnal kezeltek. Az azatioprin vagy a 6</w:t>
      </w:r>
      <w:r w:rsidRPr="00183B5F">
        <w:rPr>
          <w:szCs w:val="22"/>
        </w:rPr>
        <w:noBreakHyphen/>
        <w:t>merkaptopurin Humira</w:t>
      </w:r>
      <w:r w:rsidRPr="00183B5F">
        <w:rPr>
          <w:szCs w:val="22"/>
        </w:rPr>
        <w:noBreakHyphen/>
        <w:t xml:space="preserve">val történő egyidejű adásának lehetséges kockázatát alaposan mérlegelni kell. </w:t>
      </w:r>
      <w:r w:rsidRPr="00183B5F">
        <w:rPr>
          <w:szCs w:val="22"/>
        </w:rPr>
        <w:t xml:space="preserve">A </w:t>
      </w:r>
      <w:r w:rsidR="00AA4D42" w:rsidRPr="00183B5F">
        <w:rPr>
          <w:szCs w:val="22"/>
        </w:rPr>
        <w:t>hepatosplenicus</w:t>
      </w:r>
      <w:r w:rsidRPr="00183B5F">
        <w:rPr>
          <w:szCs w:val="22"/>
        </w:rPr>
        <w:t xml:space="preserve"> T</w:t>
      </w:r>
      <w:r w:rsidRPr="00183B5F">
        <w:rPr>
          <w:szCs w:val="22"/>
        </w:rPr>
        <w:noBreakHyphen/>
      </w:r>
      <w:r w:rsidRPr="00183B5F">
        <w:rPr>
          <w:szCs w:val="22"/>
        </w:rPr>
        <w:t>sejtes lymphoma kialakulása nem zárható ki a Humira</w:t>
      </w:r>
      <w:r w:rsidRPr="00183B5F">
        <w:rPr>
          <w:szCs w:val="22"/>
        </w:rPr>
        <w:noBreakHyphen/>
        <w:t>val kezelt betegeknél (lásd 4.8 pont).</w:t>
      </w:r>
    </w:p>
    <w:p w14:paraId="68D22020" w14:textId="77777777" w:rsidR="00366005" w:rsidRPr="00183B5F" w:rsidRDefault="00366005">
      <w:pPr>
        <w:spacing w:line="240" w:lineRule="auto"/>
        <w:rPr>
          <w:szCs w:val="22"/>
        </w:rPr>
      </w:pPr>
    </w:p>
    <w:p w14:paraId="60275E57" w14:textId="77777777" w:rsidR="00366005" w:rsidRPr="00183B5F" w:rsidRDefault="00943743">
      <w:pPr>
        <w:spacing w:line="240" w:lineRule="auto"/>
        <w:rPr>
          <w:szCs w:val="22"/>
        </w:rPr>
      </w:pPr>
      <w:r w:rsidRPr="00183B5F">
        <w:rPr>
          <w:szCs w:val="22"/>
        </w:rPr>
        <w:t>Ezidáig nem végeztek vizsgálatokat olyan betegek bevonásával, akiknek kórtörténetében malignitás szerepelt, vagy akiknél a Humira</w:t>
      </w:r>
      <w:r w:rsidRPr="00183B5F">
        <w:rPr>
          <w:szCs w:val="22"/>
        </w:rPr>
        <w:noBreakHyphen/>
        <w:t>kezelést malignitás kialakulását követően is folytatták. Ezért ezen betegek Humira</w:t>
      </w:r>
      <w:r w:rsidRPr="00183B5F">
        <w:rPr>
          <w:szCs w:val="22"/>
        </w:rPr>
        <w:noBreakHyphen/>
        <w:t>kezelésbe való bevonásának mérlegelésekor fokozott elővigyázatosság szükséges (lásd 4.8 pont).</w:t>
      </w:r>
    </w:p>
    <w:p w14:paraId="615B0CF7" w14:textId="77777777" w:rsidR="00366005" w:rsidRPr="00183B5F" w:rsidRDefault="00366005">
      <w:pPr>
        <w:spacing w:line="240" w:lineRule="auto"/>
        <w:rPr>
          <w:szCs w:val="22"/>
        </w:rPr>
      </w:pPr>
    </w:p>
    <w:p w14:paraId="7D0D4601" w14:textId="77777777" w:rsidR="00366005" w:rsidRPr="00183B5F" w:rsidRDefault="00943743">
      <w:pPr>
        <w:spacing w:line="240" w:lineRule="auto"/>
        <w:rPr>
          <w:szCs w:val="22"/>
        </w:rPr>
      </w:pPr>
      <w:r w:rsidRPr="00183B5F">
        <w:rPr>
          <w:szCs w:val="22"/>
        </w:rPr>
        <w:t>Minden betegnél, de főként azoknál, akiknek az anamnézisében extenzív immunszuppresszív kezelés szerepel, illetve olyan psoriasisos betegeknél, akik PUVA</w:t>
      </w:r>
      <w:r w:rsidRPr="00183B5F">
        <w:rPr>
          <w:szCs w:val="22"/>
        </w:rPr>
        <w:noBreakHyphen/>
        <w:t>kezelést kaptak, a Humira</w:t>
      </w:r>
      <w:r w:rsidRPr="00183B5F">
        <w:rPr>
          <w:szCs w:val="22"/>
        </w:rPr>
        <w:noBreakHyphen/>
        <w:t>kezelés kezdete előtt és az alatt vizsgálni kell a nem melanomás bőrrák előfordulását. Melanoma és Merkel</w:t>
      </w:r>
      <w:r w:rsidRPr="00183B5F">
        <w:rPr>
          <w:szCs w:val="22"/>
        </w:rPr>
        <w:noBreakHyphen/>
        <w:t>sejtes carcinoma előfordulásáról is beszámoltak TNF</w:t>
      </w:r>
      <w:r w:rsidRPr="00183B5F">
        <w:rPr>
          <w:szCs w:val="22"/>
        </w:rPr>
        <w:noBreakHyphen/>
        <w:t>antagonistával kezelt betegeknél, beleértve az adalimumabot (lásd 4.8 pont).</w:t>
      </w:r>
    </w:p>
    <w:p w14:paraId="0143923F" w14:textId="77777777" w:rsidR="00366005" w:rsidRPr="00183B5F" w:rsidRDefault="00366005">
      <w:pPr>
        <w:spacing w:line="240" w:lineRule="auto"/>
        <w:rPr>
          <w:szCs w:val="22"/>
        </w:rPr>
      </w:pPr>
    </w:p>
    <w:p w14:paraId="184E345C" w14:textId="77777777" w:rsidR="00366005" w:rsidRPr="00183B5F" w:rsidRDefault="00943743">
      <w:pPr>
        <w:spacing w:line="240" w:lineRule="auto"/>
        <w:rPr>
          <w:szCs w:val="22"/>
        </w:rPr>
      </w:pPr>
      <w:r w:rsidRPr="00183B5F">
        <w:rPr>
          <w:szCs w:val="22"/>
        </w:rPr>
        <w:t>Egy másik TNF</w:t>
      </w:r>
      <w:r w:rsidRPr="00183B5F">
        <w:rPr>
          <w:szCs w:val="22"/>
        </w:rPr>
        <w:noBreakHyphen/>
        <w:t>antagonista, az infliximab hatásait köz</w:t>
      </w:r>
      <w:r w:rsidR="00C30980" w:rsidRPr="00183B5F">
        <w:rPr>
          <w:szCs w:val="22"/>
        </w:rPr>
        <w:t xml:space="preserve">epesen </w:t>
      </w:r>
      <w:r w:rsidRPr="00183B5F">
        <w:rPr>
          <w:szCs w:val="22"/>
        </w:rPr>
        <w:t>súlyos-súlyos idült obstruktív tüdőbetegségben (COPD) értékelték egy feltáró klinikai vizsgálattal. Az infliximabbal kezelt betegeken több rosszindulatú (javarészt tüdő-, fej-, vagy nyaki) daganatot észleltek, mint a kontro</w:t>
      </w:r>
      <w:r w:rsidR="0089402C" w:rsidRPr="00183B5F">
        <w:rPr>
          <w:szCs w:val="22"/>
        </w:rPr>
        <w:t>llcs</w:t>
      </w:r>
      <w:r w:rsidRPr="00183B5F">
        <w:rPr>
          <w:szCs w:val="22"/>
        </w:rPr>
        <w:t>oportban. A kórelőzmény alapján mindegyik beteg erős dohányos volt. Ennélfogva, COPD</w:t>
      </w:r>
      <w:r w:rsidRPr="00183B5F">
        <w:rPr>
          <w:szCs w:val="22"/>
        </w:rPr>
        <w:noBreakHyphen/>
        <w:t>ben szenvedő, valamint az erős dohányzás miatt rosszindulatú daganat kialakulása szempontjából fokozottan veszélyeztetett betegeken körültekintően kell a</w:t>
      </w:r>
      <w:r w:rsidRPr="00183B5F">
        <w:rPr>
          <w:szCs w:val="22"/>
        </w:rPr>
        <w:t>lkalmazni a TNF</w:t>
      </w:r>
      <w:r w:rsidRPr="00183B5F">
        <w:rPr>
          <w:szCs w:val="22"/>
        </w:rPr>
        <w:noBreakHyphen/>
        <w:t>antagonistákat.</w:t>
      </w:r>
    </w:p>
    <w:p w14:paraId="0B3B6D1E" w14:textId="77777777" w:rsidR="00366005" w:rsidRPr="00183B5F" w:rsidRDefault="00366005">
      <w:pPr>
        <w:spacing w:line="240" w:lineRule="auto"/>
        <w:rPr>
          <w:szCs w:val="22"/>
        </w:rPr>
      </w:pPr>
    </w:p>
    <w:p w14:paraId="01D5BFA7" w14:textId="77777777" w:rsidR="00366005" w:rsidRPr="00183B5F" w:rsidRDefault="00943743">
      <w:pPr>
        <w:spacing w:line="240" w:lineRule="auto"/>
        <w:rPr>
          <w:szCs w:val="22"/>
        </w:rPr>
      </w:pPr>
      <w:r w:rsidRPr="00183B5F">
        <w:rPr>
          <w:szCs w:val="22"/>
        </w:rPr>
        <w:t>A rendelkezésre álló adatok alapján nem ismert, hogy az adalimumab</w:t>
      </w:r>
      <w:r w:rsidRPr="00183B5F">
        <w:rPr>
          <w:szCs w:val="22"/>
        </w:rPr>
        <w:noBreakHyphen/>
        <w:t>kezelés befolyásolja-e a dysplasia vagy a vastagbélrák kialakulásának kockázatát. A kezelés megkezdése előtt és a betegség teljes lefolyása alatt azokat a colitis ulcerosában szenvedő betegeket, akiknél dysplasia vagy vastagbélrák kialakulásának fokozott kockázata áll fenn (pl. hosszan fennálló colitis ulcerosában vagy primer cholangitis sclerotisansban szenvedő betegeknél) vagy akiknek az anamnézisében dysplasia vagy vastagbélrák szerepel, rendszeresen szűrni kell dysplasia irányában. A szűrővizsgálat sor</w:t>
      </w:r>
      <w:r w:rsidRPr="00183B5F">
        <w:rPr>
          <w:szCs w:val="22"/>
        </w:rPr>
        <w:t>án kolonoszkópiát és szövettani mintavételt is kell végezni a helyi ajánlásoknak megfelelően.</w:t>
      </w:r>
    </w:p>
    <w:p w14:paraId="002617CA" w14:textId="77777777" w:rsidR="00366005" w:rsidRPr="00183B5F" w:rsidRDefault="00366005">
      <w:pPr>
        <w:spacing w:line="240" w:lineRule="auto"/>
        <w:rPr>
          <w:szCs w:val="22"/>
          <w:u w:val="single"/>
        </w:rPr>
      </w:pPr>
    </w:p>
    <w:p w14:paraId="506B5F5D" w14:textId="77777777" w:rsidR="00366005" w:rsidRPr="00183B5F" w:rsidRDefault="00943743">
      <w:pPr>
        <w:keepNext/>
        <w:spacing w:line="240" w:lineRule="auto"/>
        <w:rPr>
          <w:szCs w:val="22"/>
          <w:u w:val="single"/>
        </w:rPr>
      </w:pPr>
      <w:r w:rsidRPr="00183B5F">
        <w:rPr>
          <w:szCs w:val="22"/>
          <w:u w:val="single"/>
        </w:rPr>
        <w:t>Hematológiai reakciók</w:t>
      </w:r>
    </w:p>
    <w:p w14:paraId="423643BD" w14:textId="77777777" w:rsidR="00366005" w:rsidRPr="00183B5F" w:rsidRDefault="00366005">
      <w:pPr>
        <w:keepNext/>
        <w:spacing w:line="240" w:lineRule="auto"/>
        <w:rPr>
          <w:szCs w:val="22"/>
        </w:rPr>
      </w:pPr>
    </w:p>
    <w:p w14:paraId="36D1908A" w14:textId="77777777" w:rsidR="00366005" w:rsidRPr="00183B5F" w:rsidRDefault="00943743">
      <w:pPr>
        <w:keepNext/>
        <w:spacing w:line="240" w:lineRule="auto"/>
        <w:rPr>
          <w:szCs w:val="22"/>
        </w:rPr>
      </w:pPr>
      <w:r w:rsidRPr="00183B5F">
        <w:rPr>
          <w:szCs w:val="22"/>
        </w:rPr>
        <w:t>TNF</w:t>
      </w:r>
      <w:r w:rsidRPr="00183B5F">
        <w:rPr>
          <w:szCs w:val="22"/>
        </w:rPr>
        <w:noBreakHyphen/>
      </w:r>
      <w:r w:rsidRPr="00183B5F">
        <w:rPr>
          <w:szCs w:val="22"/>
        </w:rPr>
        <w:t>antagonista szerek használata kapcsán ritkán pancytopeniáról számoltak be, beleértve az aplasticus anaemiát is. A Humira kapcsán hematológiai mellékhatásokról, köztük klinikailag jelentős cytopeniáról (pl. thrombocytopenia, leukopenia) számoltak be. Minden betegnél javasolt az azonnali orvosi felügyelet, amennyiben Humira</w:t>
      </w:r>
      <w:r w:rsidRPr="00183B5F">
        <w:rPr>
          <w:szCs w:val="22"/>
        </w:rPr>
        <w:noBreakHyphen/>
        <w:t>kezelés alatt a vérképváltozásra utaló jelek és tünetek jelentkeznek (pl. állandósult láz, véraláfutások, vérzés, sápadtság). A Humira</w:t>
      </w:r>
      <w:r w:rsidRPr="00183B5F">
        <w:rPr>
          <w:szCs w:val="22"/>
        </w:rPr>
        <w:noBreakHyphen/>
        <w:t>kezelés megszakítását fontolóra kell venni, ha a bete</w:t>
      </w:r>
      <w:r w:rsidRPr="00183B5F">
        <w:rPr>
          <w:szCs w:val="22"/>
        </w:rPr>
        <w:t>gnél igazolt, jelentős hematológiai eltérések vannak.</w:t>
      </w:r>
    </w:p>
    <w:p w14:paraId="20A2C0AC" w14:textId="77777777" w:rsidR="00366005" w:rsidRPr="00183B5F" w:rsidRDefault="00366005">
      <w:pPr>
        <w:spacing w:line="240" w:lineRule="auto"/>
        <w:rPr>
          <w:szCs w:val="22"/>
        </w:rPr>
      </w:pPr>
    </w:p>
    <w:p w14:paraId="1EC6455A" w14:textId="77777777" w:rsidR="00366005" w:rsidRPr="00183B5F" w:rsidRDefault="00943743">
      <w:pPr>
        <w:keepNext/>
        <w:spacing w:line="240" w:lineRule="auto"/>
        <w:rPr>
          <w:szCs w:val="22"/>
          <w:u w:val="single"/>
        </w:rPr>
      </w:pPr>
      <w:r w:rsidRPr="00183B5F">
        <w:rPr>
          <w:szCs w:val="22"/>
          <w:u w:val="single"/>
        </w:rPr>
        <w:lastRenderedPageBreak/>
        <w:t>Védőoltások</w:t>
      </w:r>
    </w:p>
    <w:p w14:paraId="375F5062" w14:textId="77777777" w:rsidR="00366005" w:rsidRPr="00183B5F" w:rsidRDefault="00366005">
      <w:pPr>
        <w:keepNext/>
        <w:spacing w:line="240" w:lineRule="auto"/>
        <w:ind w:left="567" w:hanging="567"/>
        <w:rPr>
          <w:b/>
          <w:szCs w:val="22"/>
        </w:rPr>
      </w:pPr>
    </w:p>
    <w:p w14:paraId="5E9B8C67" w14:textId="77777777" w:rsidR="00366005" w:rsidRPr="00183B5F" w:rsidRDefault="00943743">
      <w:pPr>
        <w:keepNext/>
        <w:spacing w:line="240" w:lineRule="auto"/>
        <w:rPr>
          <w:bCs/>
          <w:szCs w:val="22"/>
        </w:rPr>
      </w:pPr>
      <w:r w:rsidRPr="00183B5F">
        <w:rPr>
          <w:szCs w:val="22"/>
        </w:rPr>
        <w:t xml:space="preserve">Egy vizsgálat 226 rheumatoid arthritises, adalimumabbal vagy placebóval kezelt résztvevőjén hasonló antitestválaszt figyeltek meg a </w:t>
      </w:r>
      <w:r w:rsidRPr="00183B5F">
        <w:rPr>
          <w:i/>
          <w:szCs w:val="22"/>
        </w:rPr>
        <w:t>Pneumococcus</w:t>
      </w:r>
      <w:r w:rsidRPr="00183B5F">
        <w:rPr>
          <w:szCs w:val="22"/>
        </w:rPr>
        <w:t> 23 szerotípusát tartalmazó standard oltóanyaggal</w:t>
      </w:r>
      <w:r w:rsidRPr="00183B5F">
        <w:rPr>
          <w:bCs/>
          <w:szCs w:val="22"/>
        </w:rPr>
        <w:t>, valamint a trivalens influenzavírus</w:t>
      </w:r>
      <w:r w:rsidR="003B4347" w:rsidRPr="00183B5F">
        <w:rPr>
          <w:bCs/>
          <w:szCs w:val="22"/>
        </w:rPr>
        <w:t>-</w:t>
      </w:r>
      <w:r w:rsidRPr="00183B5F">
        <w:rPr>
          <w:bCs/>
          <w:szCs w:val="22"/>
        </w:rPr>
        <w:t>vakcinával szemben. Nincs adat arról, hogy Humira</w:t>
      </w:r>
      <w:r w:rsidRPr="00183B5F">
        <w:rPr>
          <w:bCs/>
          <w:szCs w:val="22"/>
        </w:rPr>
        <w:noBreakHyphen/>
        <w:t>val kezelt betegek élő kórokozót tartalmazó vakcinával végzett védőoltása esetén bekövetkezhet-e a fertőzés másodlagos transzmissziója.</w:t>
      </w:r>
    </w:p>
    <w:p w14:paraId="10662C3B" w14:textId="77777777" w:rsidR="00366005" w:rsidRPr="00183B5F" w:rsidRDefault="00366005">
      <w:pPr>
        <w:spacing w:line="240" w:lineRule="auto"/>
        <w:rPr>
          <w:bCs/>
          <w:szCs w:val="22"/>
        </w:rPr>
      </w:pPr>
    </w:p>
    <w:p w14:paraId="3ABB7A9F" w14:textId="77777777" w:rsidR="00366005" w:rsidRPr="00183B5F" w:rsidRDefault="00943743">
      <w:pPr>
        <w:autoSpaceDE w:val="0"/>
        <w:autoSpaceDN w:val="0"/>
        <w:adjustRightInd w:val="0"/>
        <w:spacing w:line="240" w:lineRule="auto"/>
        <w:rPr>
          <w:szCs w:val="22"/>
        </w:rPr>
      </w:pPr>
      <w:r w:rsidRPr="00183B5F">
        <w:rPr>
          <w:szCs w:val="22"/>
        </w:rPr>
        <w:t>Ajánlott, hogy</w:t>
      </w:r>
      <w:r w:rsidR="00626979" w:rsidRPr="00183B5F">
        <w:rPr>
          <w:szCs w:val="22"/>
        </w:rPr>
        <w:t xml:space="preserve"> – </w:t>
      </w:r>
      <w:r w:rsidRPr="00183B5F">
        <w:rPr>
          <w:szCs w:val="22"/>
        </w:rPr>
        <w:t>ha lehetséges</w:t>
      </w:r>
      <w:r w:rsidR="00626979" w:rsidRPr="00183B5F">
        <w:rPr>
          <w:szCs w:val="22"/>
        </w:rPr>
        <w:t xml:space="preserve"> –</w:t>
      </w:r>
      <w:r w:rsidRPr="00183B5F">
        <w:rPr>
          <w:szCs w:val="22"/>
        </w:rPr>
        <w:t xml:space="preserve"> a </w:t>
      </w:r>
      <w:r w:rsidR="00CB73C8" w:rsidRPr="00183B5F">
        <w:rPr>
          <w:szCs w:val="22"/>
        </w:rPr>
        <w:t>gyermekeknél és serdülőknél</w:t>
      </w:r>
      <w:r w:rsidRPr="00183B5F">
        <w:rPr>
          <w:szCs w:val="22"/>
        </w:rPr>
        <w:t xml:space="preserve"> a Humira</w:t>
      </w:r>
      <w:r w:rsidRPr="00183B5F">
        <w:rPr>
          <w:szCs w:val="22"/>
        </w:rPr>
        <w:noBreakHyphen/>
        <w:t>kezelés megkezdése előtt adjanak be minden védőoltást a hatályos védőoltási irányelvek alapján.</w:t>
      </w:r>
    </w:p>
    <w:p w14:paraId="455BFF87" w14:textId="77777777" w:rsidR="00366005" w:rsidRPr="00183B5F" w:rsidRDefault="00366005">
      <w:pPr>
        <w:spacing w:line="240" w:lineRule="auto"/>
        <w:rPr>
          <w:bCs/>
          <w:szCs w:val="22"/>
        </w:rPr>
      </w:pPr>
    </w:p>
    <w:p w14:paraId="7566A8BE" w14:textId="77777777" w:rsidR="00366005" w:rsidRPr="00183B5F" w:rsidRDefault="00943743">
      <w:pPr>
        <w:spacing w:line="240" w:lineRule="auto"/>
        <w:rPr>
          <w:bCs/>
          <w:szCs w:val="22"/>
        </w:rPr>
      </w:pPr>
      <w:r w:rsidRPr="00183B5F">
        <w:rPr>
          <w:bCs/>
          <w:szCs w:val="22"/>
        </w:rPr>
        <w:t>A Humira</w:t>
      </w:r>
      <w:r w:rsidRPr="00183B5F">
        <w:rPr>
          <w:bCs/>
          <w:szCs w:val="22"/>
        </w:rPr>
        <w:noBreakHyphen/>
        <w:t>val kezelt betegeknek – élő kórokozót tartalmazó vakcinák kivételével – adható egyidejűleg védőoltás. Az anya terhesség alatti utolsó adalimumab</w:t>
      </w:r>
      <w:r w:rsidR="00626979" w:rsidRPr="00183B5F">
        <w:rPr>
          <w:bCs/>
          <w:szCs w:val="22"/>
        </w:rPr>
        <w:t>-</w:t>
      </w:r>
      <w:r w:rsidRPr="00183B5F">
        <w:rPr>
          <w:bCs/>
          <w:szCs w:val="22"/>
        </w:rPr>
        <w:t xml:space="preserve">injekciójától számított 5 hónapig nem javasolt az olyan csecsemők élő kórokozót tartalmazó vakcinával </w:t>
      </w:r>
      <w:r w:rsidR="003D1670" w:rsidRPr="00183B5F">
        <w:rPr>
          <w:bCs/>
          <w:szCs w:val="22"/>
        </w:rPr>
        <w:t>(pl.</w:t>
      </w:r>
      <w:r w:rsidR="003D777F" w:rsidRPr="00183B5F">
        <w:rPr>
          <w:bCs/>
          <w:szCs w:val="22"/>
        </w:rPr>
        <w:t> </w:t>
      </w:r>
      <w:r w:rsidR="003D1670" w:rsidRPr="00183B5F">
        <w:rPr>
          <w:bCs/>
          <w:szCs w:val="22"/>
        </w:rPr>
        <w:t>BCG</w:t>
      </w:r>
      <w:r w:rsidR="00626979" w:rsidRPr="00183B5F">
        <w:rPr>
          <w:bCs/>
          <w:szCs w:val="22"/>
        </w:rPr>
        <w:t>-</w:t>
      </w:r>
      <w:r w:rsidR="003D1670" w:rsidRPr="00183B5F">
        <w:rPr>
          <w:bCs/>
          <w:szCs w:val="22"/>
        </w:rPr>
        <w:t xml:space="preserve">vakcinával) </w:t>
      </w:r>
      <w:r w:rsidRPr="00183B5F">
        <w:rPr>
          <w:bCs/>
          <w:szCs w:val="22"/>
        </w:rPr>
        <w:t xml:space="preserve">való oltása, akik </w:t>
      </w:r>
      <w:r w:rsidRPr="00183B5F">
        <w:rPr>
          <w:bCs/>
          <w:i/>
          <w:szCs w:val="22"/>
        </w:rPr>
        <w:t>in utero</w:t>
      </w:r>
      <w:r w:rsidRPr="00183B5F">
        <w:rPr>
          <w:bCs/>
          <w:szCs w:val="22"/>
        </w:rPr>
        <w:t xml:space="preserve"> adalimumab hatásának voltak kitéve.</w:t>
      </w:r>
    </w:p>
    <w:p w14:paraId="7E6484E5" w14:textId="77777777" w:rsidR="00366005" w:rsidRPr="00183B5F" w:rsidRDefault="00366005">
      <w:pPr>
        <w:spacing w:line="240" w:lineRule="auto"/>
        <w:rPr>
          <w:b/>
          <w:szCs w:val="22"/>
        </w:rPr>
      </w:pPr>
    </w:p>
    <w:p w14:paraId="714B3967" w14:textId="77777777" w:rsidR="00366005" w:rsidRPr="00183B5F" w:rsidRDefault="00943743">
      <w:pPr>
        <w:keepNext/>
        <w:spacing w:line="240" w:lineRule="auto"/>
        <w:ind w:left="567" w:hanging="567"/>
        <w:rPr>
          <w:szCs w:val="22"/>
          <w:u w:val="single"/>
        </w:rPr>
      </w:pPr>
      <w:r w:rsidRPr="00183B5F">
        <w:rPr>
          <w:szCs w:val="22"/>
          <w:u w:val="single"/>
        </w:rPr>
        <w:t>Pangásos szívelégtelenség</w:t>
      </w:r>
    </w:p>
    <w:p w14:paraId="6DE61A21" w14:textId="77777777" w:rsidR="00366005" w:rsidRPr="00183B5F" w:rsidRDefault="00366005">
      <w:pPr>
        <w:keepNext/>
        <w:spacing w:line="240" w:lineRule="auto"/>
        <w:ind w:left="567" w:hanging="567"/>
        <w:rPr>
          <w:b/>
          <w:szCs w:val="22"/>
        </w:rPr>
      </w:pPr>
    </w:p>
    <w:p w14:paraId="2F854B9E" w14:textId="77777777" w:rsidR="00366005" w:rsidRPr="00183B5F" w:rsidRDefault="00943743">
      <w:pPr>
        <w:spacing w:line="240" w:lineRule="auto"/>
        <w:rPr>
          <w:szCs w:val="22"/>
        </w:rPr>
      </w:pPr>
      <w:r w:rsidRPr="00183B5F">
        <w:rPr>
          <w:szCs w:val="22"/>
        </w:rPr>
        <w:t>Egy másik TNF</w:t>
      </w:r>
      <w:r w:rsidRPr="00183B5F">
        <w:rPr>
          <w:szCs w:val="22"/>
        </w:rPr>
        <w:noBreakHyphen/>
        <w:t>antagonistával végzett klinikai vizsgálat során a pangásos szívelégtelenség súlyosbodását</w:t>
      </w:r>
      <w:r w:rsidR="00626979" w:rsidRPr="00183B5F">
        <w:rPr>
          <w:szCs w:val="22"/>
        </w:rPr>
        <w:t>,</w:t>
      </w:r>
      <w:r w:rsidRPr="00183B5F">
        <w:rPr>
          <w:szCs w:val="22"/>
        </w:rPr>
        <w:t xml:space="preserve"> illetve a pangásos szívelégtelenséggel összefüggésben levő halálesetek számának növekedését tapasztalták. A pangásos szívelégtelenség súlyosbodásáról szintén beszámoltak Humira</w:t>
      </w:r>
      <w:r w:rsidRPr="00183B5F">
        <w:rPr>
          <w:szCs w:val="22"/>
        </w:rPr>
        <w:noBreakHyphen/>
        <w:t>val kezelt betegeknél. A Humira</w:t>
      </w:r>
      <w:r w:rsidRPr="00183B5F">
        <w:rPr>
          <w:szCs w:val="22"/>
        </w:rPr>
        <w:noBreakHyphen/>
        <w:t>t csak fokozott óvatossággal szabad használni enyhe szívelégtelenségben (NYHA I/II stádium) szenvedők kezelésére. A Humira kontraindikált a köz</w:t>
      </w:r>
      <w:r w:rsidR="00C30980" w:rsidRPr="00183B5F">
        <w:rPr>
          <w:szCs w:val="22"/>
        </w:rPr>
        <w:t xml:space="preserve">epesen </w:t>
      </w:r>
      <w:r w:rsidRPr="00183B5F">
        <w:rPr>
          <w:szCs w:val="22"/>
        </w:rPr>
        <w:t>súlyos</w:t>
      </w:r>
      <w:r w:rsidRPr="00183B5F">
        <w:rPr>
          <w:szCs w:val="22"/>
        </w:rPr>
        <w:noBreakHyphen/>
        <w:t>súlyos szívelégtelenség eseteiben (lásd 4.3 pont). A H</w:t>
      </w:r>
      <w:r w:rsidRPr="00183B5F">
        <w:rPr>
          <w:szCs w:val="22"/>
        </w:rPr>
        <w:t>umira</w:t>
      </w:r>
      <w:r w:rsidRPr="00183B5F">
        <w:rPr>
          <w:szCs w:val="22"/>
        </w:rPr>
        <w:noBreakHyphen/>
        <w:t>kezelést fel kell függeszteni minden olyan beteg esetében, akinél a pangásos szívelégtelenség rosszabbodása, illetve új tünet megjelenése tapasztalható.</w:t>
      </w:r>
    </w:p>
    <w:p w14:paraId="27B2A7F8" w14:textId="77777777" w:rsidR="00366005" w:rsidRPr="00183B5F" w:rsidRDefault="00366005">
      <w:pPr>
        <w:spacing w:line="240" w:lineRule="auto"/>
        <w:rPr>
          <w:szCs w:val="22"/>
        </w:rPr>
      </w:pPr>
    </w:p>
    <w:p w14:paraId="0BE29815" w14:textId="77777777" w:rsidR="00366005" w:rsidRPr="00183B5F" w:rsidRDefault="00943743">
      <w:pPr>
        <w:spacing w:line="240" w:lineRule="auto"/>
        <w:rPr>
          <w:szCs w:val="22"/>
          <w:u w:val="single"/>
        </w:rPr>
      </w:pPr>
      <w:r w:rsidRPr="00183B5F">
        <w:rPr>
          <w:szCs w:val="22"/>
          <w:u w:val="single"/>
        </w:rPr>
        <w:t>Autoimmun folyamatok</w:t>
      </w:r>
    </w:p>
    <w:p w14:paraId="0EF11FF2" w14:textId="77777777" w:rsidR="00366005" w:rsidRPr="00183B5F" w:rsidRDefault="00366005">
      <w:pPr>
        <w:spacing w:line="240" w:lineRule="auto"/>
        <w:rPr>
          <w:szCs w:val="22"/>
        </w:rPr>
      </w:pPr>
    </w:p>
    <w:p w14:paraId="536330E0" w14:textId="77777777" w:rsidR="00366005" w:rsidRPr="00183B5F" w:rsidRDefault="00943743">
      <w:pPr>
        <w:spacing w:line="240" w:lineRule="auto"/>
        <w:rPr>
          <w:szCs w:val="22"/>
        </w:rPr>
      </w:pPr>
      <w:r w:rsidRPr="00183B5F">
        <w:rPr>
          <w:szCs w:val="22"/>
        </w:rPr>
        <w:t>A Humira</w:t>
      </w:r>
      <w:r w:rsidRPr="00183B5F">
        <w:rPr>
          <w:szCs w:val="22"/>
        </w:rPr>
        <w:noBreakHyphen/>
        <w:t>val való kezelés során autoantitestek képződése előfordulhat. A Humira hosszú</w:t>
      </w:r>
      <w:r w:rsidR="00FD3AF2" w:rsidRPr="00183B5F">
        <w:rPr>
          <w:szCs w:val="22"/>
        </w:rPr>
        <w:t xml:space="preserve"> </w:t>
      </w:r>
      <w:r w:rsidRPr="00183B5F">
        <w:rPr>
          <w:szCs w:val="22"/>
        </w:rPr>
        <w:t>távú hatása az autoimmun betegségek kialakulására nem ismert. Ha a Humira alkalmazása után lupusz-szerű szindrómára utaló tünetek jelentkeznek, továbbá kettős szálú DNS elleni antitestek jelennek meg, akkor nem szabad folytatni a Humira adását (lásd</w:t>
      </w:r>
      <w:r w:rsidRPr="00183B5F">
        <w:rPr>
          <w:i/>
          <w:iCs/>
          <w:szCs w:val="22"/>
        </w:rPr>
        <w:t xml:space="preserve"> </w:t>
      </w:r>
      <w:r w:rsidRPr="00183B5F">
        <w:rPr>
          <w:szCs w:val="22"/>
        </w:rPr>
        <w:t>4.8 pont).</w:t>
      </w:r>
    </w:p>
    <w:p w14:paraId="1F56D06D" w14:textId="77777777" w:rsidR="00366005" w:rsidRPr="00183B5F" w:rsidRDefault="00366005">
      <w:pPr>
        <w:pStyle w:val="EndnoteText"/>
        <w:tabs>
          <w:tab w:val="clear" w:pos="567"/>
          <w:tab w:val="left" w:pos="708"/>
        </w:tabs>
        <w:suppressAutoHyphens/>
        <w:rPr>
          <w:sz w:val="22"/>
          <w:szCs w:val="22"/>
          <w:lang w:val="hu-HU" w:eastAsia="hu-HU"/>
        </w:rPr>
      </w:pPr>
    </w:p>
    <w:p w14:paraId="6086B146" w14:textId="77777777" w:rsidR="00366005" w:rsidRPr="00183B5F" w:rsidRDefault="00943743">
      <w:pPr>
        <w:spacing w:line="240" w:lineRule="auto"/>
        <w:rPr>
          <w:szCs w:val="22"/>
          <w:u w:val="single"/>
        </w:rPr>
      </w:pPr>
      <w:r w:rsidRPr="00183B5F">
        <w:rPr>
          <w:szCs w:val="22"/>
          <w:u w:val="single"/>
        </w:rPr>
        <w:t>Biológiai reumaellenes betegségmódosító gyógyszerek (DMARD</w:t>
      </w:r>
      <w:r w:rsidRPr="00183B5F">
        <w:rPr>
          <w:szCs w:val="22"/>
          <w:u w:val="single"/>
        </w:rPr>
        <w:noBreakHyphen/>
        <w:t>ok) vagy TNF</w:t>
      </w:r>
      <w:r w:rsidRPr="00183B5F">
        <w:rPr>
          <w:szCs w:val="22"/>
          <w:u w:val="single"/>
        </w:rPr>
        <w:noBreakHyphen/>
        <w:t>antagonisták együttadása</w:t>
      </w:r>
    </w:p>
    <w:p w14:paraId="2A4BB5CE" w14:textId="77777777" w:rsidR="00366005" w:rsidRPr="00183B5F" w:rsidRDefault="00366005">
      <w:pPr>
        <w:spacing w:line="240" w:lineRule="auto"/>
        <w:rPr>
          <w:szCs w:val="22"/>
        </w:rPr>
      </w:pPr>
    </w:p>
    <w:p w14:paraId="358A5E7A" w14:textId="77777777" w:rsidR="00366005" w:rsidRPr="00183B5F" w:rsidRDefault="00943743">
      <w:pPr>
        <w:spacing w:line="240" w:lineRule="auto"/>
        <w:rPr>
          <w:szCs w:val="22"/>
        </w:rPr>
      </w:pPr>
      <w:r w:rsidRPr="00183B5F">
        <w:rPr>
          <w:szCs w:val="22"/>
        </w:rPr>
        <w:t>Klinikai vizsgálatokban súlyos fertőzéseket tapasztaltak előnyösebb klinikai hatás nélkül anakinra és egy másik TNF</w:t>
      </w:r>
      <w:r w:rsidRPr="00183B5F">
        <w:rPr>
          <w:szCs w:val="22"/>
        </w:rPr>
        <w:noBreakHyphen/>
        <w:t xml:space="preserve">antagonista, az etanercept együttes adásakor, amennyiben a kombinált kezelés hatását az önmagában adagolt etanercept hatásával hasonlították össze. </w:t>
      </w:r>
      <w:bookmarkStart w:id="27" w:name="_Hlk23502651"/>
      <w:r w:rsidRPr="00183B5F">
        <w:rPr>
          <w:szCs w:val="22"/>
        </w:rPr>
        <w:t>Az etanercept</w:t>
      </w:r>
      <w:r w:rsidR="009B6893" w:rsidRPr="00183B5F">
        <w:rPr>
          <w:szCs w:val="22"/>
        </w:rPr>
        <w:t>tel</w:t>
      </w:r>
      <w:r w:rsidRPr="00183B5F">
        <w:rPr>
          <w:szCs w:val="22"/>
        </w:rPr>
        <w:t xml:space="preserve"> és anakinr</w:t>
      </w:r>
      <w:r w:rsidR="009B6893" w:rsidRPr="00183B5F">
        <w:rPr>
          <w:szCs w:val="22"/>
        </w:rPr>
        <w:t>ával végzett</w:t>
      </w:r>
      <w:r w:rsidRPr="00183B5F">
        <w:rPr>
          <w:szCs w:val="22"/>
        </w:rPr>
        <w:t xml:space="preserve"> kombinációs kezelésnél észlelt mellékhatások természete miatt hasonló toxicitás várható az anakinra és más TNF</w:t>
      </w:r>
      <w:r w:rsidRPr="00183B5F">
        <w:rPr>
          <w:szCs w:val="22"/>
        </w:rPr>
        <w:noBreakHyphen/>
        <w:t>antagonista kombináció</w:t>
      </w:r>
      <w:r w:rsidR="009B6893" w:rsidRPr="00183B5F">
        <w:rPr>
          <w:szCs w:val="22"/>
        </w:rPr>
        <w:t>já</w:t>
      </w:r>
      <w:r w:rsidRPr="00183B5F">
        <w:rPr>
          <w:szCs w:val="22"/>
        </w:rPr>
        <w:t>nál is. Ezért az adalimumab és anakinra kombináció</w:t>
      </w:r>
      <w:r w:rsidR="009B6893" w:rsidRPr="00183B5F">
        <w:rPr>
          <w:szCs w:val="22"/>
        </w:rPr>
        <w:t>jának</w:t>
      </w:r>
      <w:r w:rsidRPr="00183B5F">
        <w:rPr>
          <w:szCs w:val="22"/>
        </w:rPr>
        <w:t xml:space="preserve"> </w:t>
      </w:r>
      <w:r w:rsidR="009B6893" w:rsidRPr="00183B5F">
        <w:rPr>
          <w:szCs w:val="22"/>
        </w:rPr>
        <w:t>alkalmazása</w:t>
      </w:r>
      <w:r w:rsidRPr="00183B5F">
        <w:rPr>
          <w:szCs w:val="22"/>
        </w:rPr>
        <w:t xml:space="preserve"> nem javasolt (lásd 4.5 pont).</w:t>
      </w:r>
      <w:bookmarkEnd w:id="27"/>
    </w:p>
    <w:p w14:paraId="18574278" w14:textId="77777777" w:rsidR="00366005" w:rsidRPr="00183B5F" w:rsidRDefault="00366005">
      <w:pPr>
        <w:spacing w:line="240" w:lineRule="auto"/>
        <w:rPr>
          <w:szCs w:val="22"/>
          <w:u w:val="single"/>
        </w:rPr>
      </w:pPr>
    </w:p>
    <w:p w14:paraId="669DA865" w14:textId="77777777" w:rsidR="00366005" w:rsidRPr="00183B5F" w:rsidRDefault="00943743">
      <w:pPr>
        <w:spacing w:line="240" w:lineRule="auto"/>
        <w:rPr>
          <w:szCs w:val="22"/>
        </w:rPr>
      </w:pPr>
      <w:r w:rsidRPr="00183B5F">
        <w:rPr>
          <w:szCs w:val="22"/>
        </w:rPr>
        <w:t>Az adalimumab és egyéb biológiai betegségmódosító reumaellenes gyógyszerek (pl. anakinra és abatacept) vagy egyéb TNF</w:t>
      </w:r>
      <w:r w:rsidRPr="00183B5F">
        <w:rPr>
          <w:szCs w:val="22"/>
        </w:rPr>
        <w:noBreakHyphen/>
        <w:t xml:space="preserve">antagonisták egyidejű alkalmazása nem javasolt a fertőzések </w:t>
      </w:r>
      <w:r w:rsidR="009B6893" w:rsidRPr="00183B5F">
        <w:rPr>
          <w:szCs w:val="22"/>
        </w:rPr>
        <w:t>–</w:t>
      </w:r>
      <w:r w:rsidRPr="00183B5F">
        <w:rPr>
          <w:szCs w:val="22"/>
        </w:rPr>
        <w:t xml:space="preserve"> köztük súlyos fertőzések </w:t>
      </w:r>
      <w:r w:rsidR="009B6893" w:rsidRPr="00183B5F">
        <w:rPr>
          <w:szCs w:val="22"/>
        </w:rPr>
        <w:t>–</w:t>
      </w:r>
      <w:r w:rsidRPr="00183B5F">
        <w:rPr>
          <w:szCs w:val="22"/>
        </w:rPr>
        <w:t xml:space="preserve"> lehetséges fokozott kockázata és egyéb potenciális gyógyszerkölcsönhatások miatt. (lásd 4.5 pont).</w:t>
      </w:r>
    </w:p>
    <w:p w14:paraId="49520A60" w14:textId="77777777" w:rsidR="00366005" w:rsidRPr="00183B5F" w:rsidRDefault="00366005">
      <w:pPr>
        <w:spacing w:line="240" w:lineRule="auto"/>
        <w:rPr>
          <w:szCs w:val="22"/>
        </w:rPr>
      </w:pPr>
    </w:p>
    <w:p w14:paraId="6B64DCFD" w14:textId="77777777" w:rsidR="00366005" w:rsidRPr="00183B5F" w:rsidRDefault="00943743">
      <w:pPr>
        <w:spacing w:line="240" w:lineRule="auto"/>
        <w:rPr>
          <w:szCs w:val="22"/>
          <w:u w:val="single"/>
        </w:rPr>
      </w:pPr>
      <w:r w:rsidRPr="00183B5F">
        <w:rPr>
          <w:szCs w:val="22"/>
          <w:u w:val="single"/>
        </w:rPr>
        <w:t>Sebészet</w:t>
      </w:r>
    </w:p>
    <w:p w14:paraId="177EC721" w14:textId="77777777" w:rsidR="00366005" w:rsidRPr="00183B5F" w:rsidRDefault="00366005">
      <w:pPr>
        <w:spacing w:line="240" w:lineRule="auto"/>
        <w:rPr>
          <w:szCs w:val="22"/>
          <w:u w:val="single"/>
        </w:rPr>
      </w:pPr>
    </w:p>
    <w:p w14:paraId="75AA0225" w14:textId="77777777" w:rsidR="00366005" w:rsidRPr="00183B5F" w:rsidRDefault="00943743">
      <w:pPr>
        <w:spacing w:line="240" w:lineRule="auto"/>
        <w:rPr>
          <w:szCs w:val="22"/>
          <w:u w:val="single"/>
        </w:rPr>
      </w:pPr>
      <w:r w:rsidRPr="00183B5F">
        <w:rPr>
          <w:szCs w:val="22"/>
        </w:rPr>
        <w:t>Sebészeti beavatkozások során Humira</w:t>
      </w:r>
      <w:r w:rsidRPr="00183B5F">
        <w:rPr>
          <w:szCs w:val="22"/>
        </w:rPr>
        <w:noBreakHyphen/>
      </w:r>
      <w:r w:rsidRPr="00183B5F">
        <w:rPr>
          <w:szCs w:val="22"/>
        </w:rPr>
        <w:t>val kezelt betegek körében biztonságossági tapasztalatok korlátozottan állnak rendelkezésre. Az adalimumab hosszú felezési idejét a tervezett műtéti beavatkozás során figyelembe kell venni. Humira</w:t>
      </w:r>
      <w:r w:rsidRPr="00183B5F">
        <w:rPr>
          <w:szCs w:val="22"/>
        </w:rPr>
        <w:noBreakHyphen/>
        <w:t xml:space="preserve">kezelés alatt műtéti beavatkozást igénylő beteget infekció tekintetében szorosan </w:t>
      </w:r>
      <w:r w:rsidR="003B3F6D" w:rsidRPr="00183B5F">
        <w:rPr>
          <w:szCs w:val="22"/>
        </w:rPr>
        <w:t>monitorozni</w:t>
      </w:r>
      <w:r w:rsidRPr="00183B5F">
        <w:rPr>
          <w:szCs w:val="22"/>
        </w:rPr>
        <w:t xml:space="preserve"> kell és megfelelő módon kell ellátni. A Humira</w:t>
      </w:r>
      <w:r w:rsidRPr="00183B5F">
        <w:rPr>
          <w:szCs w:val="22"/>
        </w:rPr>
        <w:noBreakHyphen/>
        <w:t>val kezelt arthroplasztikán áteső betegekkel szerzett biztonságossági tapasztalatok korlátozottak.</w:t>
      </w:r>
    </w:p>
    <w:p w14:paraId="16213862" w14:textId="77777777" w:rsidR="00366005" w:rsidRPr="00183B5F" w:rsidRDefault="00366005">
      <w:pPr>
        <w:spacing w:line="240" w:lineRule="auto"/>
        <w:rPr>
          <w:szCs w:val="22"/>
          <w:u w:val="single"/>
        </w:rPr>
      </w:pPr>
    </w:p>
    <w:p w14:paraId="137CD3A8" w14:textId="77777777" w:rsidR="00366005" w:rsidRPr="00183B5F" w:rsidRDefault="00943743">
      <w:pPr>
        <w:spacing w:line="240" w:lineRule="auto"/>
        <w:rPr>
          <w:szCs w:val="22"/>
          <w:u w:val="single"/>
        </w:rPr>
      </w:pPr>
      <w:r w:rsidRPr="00183B5F">
        <w:rPr>
          <w:szCs w:val="22"/>
          <w:u w:val="single"/>
        </w:rPr>
        <w:t>Vékonybél</w:t>
      </w:r>
      <w:r w:rsidRPr="00183B5F">
        <w:rPr>
          <w:szCs w:val="22"/>
          <w:u w:val="single"/>
        </w:rPr>
        <w:noBreakHyphen/>
        <w:t>elzáródás</w:t>
      </w:r>
    </w:p>
    <w:p w14:paraId="36D09585" w14:textId="77777777" w:rsidR="00366005" w:rsidRPr="00183B5F" w:rsidRDefault="00366005">
      <w:pPr>
        <w:spacing w:line="240" w:lineRule="auto"/>
        <w:rPr>
          <w:szCs w:val="22"/>
          <w:u w:val="single"/>
        </w:rPr>
      </w:pPr>
    </w:p>
    <w:p w14:paraId="7B04DFB6" w14:textId="77777777" w:rsidR="00366005" w:rsidRPr="00183B5F" w:rsidRDefault="00943743">
      <w:pPr>
        <w:spacing w:line="240" w:lineRule="auto"/>
        <w:rPr>
          <w:szCs w:val="22"/>
        </w:rPr>
      </w:pPr>
      <w:r w:rsidRPr="00183B5F">
        <w:rPr>
          <w:szCs w:val="22"/>
        </w:rPr>
        <w:t>A Crohn</w:t>
      </w:r>
      <w:r w:rsidRPr="00183B5F">
        <w:rPr>
          <w:szCs w:val="22"/>
        </w:rPr>
        <w:noBreakHyphen/>
        <w:t>betegség kezelésének hatástalansága műtéti kezelést igénylő, heges szűkület jelenlétére utalhat. A rendelkezésre álló adatok alapján a Humira nem idéz elő bélszűkületet, és nem is súlyosbítja a már kialakult stricturát.</w:t>
      </w:r>
    </w:p>
    <w:p w14:paraId="05074581" w14:textId="77777777" w:rsidR="00366005" w:rsidRPr="00183B5F" w:rsidRDefault="00366005">
      <w:pPr>
        <w:spacing w:line="240" w:lineRule="auto"/>
        <w:rPr>
          <w:szCs w:val="22"/>
        </w:rPr>
      </w:pPr>
    </w:p>
    <w:p w14:paraId="03020710" w14:textId="77777777" w:rsidR="00366005" w:rsidRPr="00183B5F" w:rsidRDefault="00943743">
      <w:pPr>
        <w:spacing w:line="240" w:lineRule="auto"/>
        <w:rPr>
          <w:szCs w:val="22"/>
          <w:u w:val="single"/>
        </w:rPr>
      </w:pPr>
      <w:r w:rsidRPr="00183B5F">
        <w:rPr>
          <w:szCs w:val="22"/>
          <w:u w:val="single"/>
        </w:rPr>
        <w:t>Idősek</w:t>
      </w:r>
    </w:p>
    <w:p w14:paraId="7FD58FD4" w14:textId="77777777" w:rsidR="00366005" w:rsidRPr="00183B5F" w:rsidRDefault="00366005">
      <w:pPr>
        <w:keepNext/>
        <w:spacing w:line="240" w:lineRule="auto"/>
        <w:rPr>
          <w:szCs w:val="22"/>
        </w:rPr>
      </w:pPr>
    </w:p>
    <w:p w14:paraId="3EFBBFDD" w14:textId="77777777" w:rsidR="00366005" w:rsidRPr="00183B5F" w:rsidRDefault="00943743">
      <w:pPr>
        <w:keepNext/>
        <w:spacing w:line="240" w:lineRule="auto"/>
        <w:rPr>
          <w:szCs w:val="22"/>
        </w:rPr>
      </w:pPr>
      <w:r w:rsidRPr="00183B5F">
        <w:rPr>
          <w:szCs w:val="22"/>
        </w:rPr>
        <w:t>A Humira</w:t>
      </w:r>
      <w:r w:rsidRPr="00183B5F">
        <w:rPr>
          <w:szCs w:val="22"/>
        </w:rPr>
        <w:noBreakHyphen/>
        <w:t>val kezelt, 65 éves kor feletti betegeknél a súlyos fertőzések gyakorisága magasabb volt (3,7%), mint a 65 évnél fiatalabbaknál (1,5%). Némelyiküknél ez végzetes volt. Idősek kezelésekor különös figyelmet kell fordítani a fertőzés veszélyére.</w:t>
      </w:r>
    </w:p>
    <w:p w14:paraId="5AFC57D3" w14:textId="77777777" w:rsidR="00366005" w:rsidRPr="00183B5F" w:rsidRDefault="00366005">
      <w:pPr>
        <w:spacing w:line="240" w:lineRule="auto"/>
        <w:rPr>
          <w:b/>
          <w:szCs w:val="22"/>
        </w:rPr>
      </w:pPr>
    </w:p>
    <w:p w14:paraId="1DC231FD" w14:textId="77777777" w:rsidR="00366005" w:rsidRPr="00183B5F" w:rsidRDefault="00943743">
      <w:pPr>
        <w:keepNext/>
        <w:spacing w:line="240" w:lineRule="auto"/>
        <w:rPr>
          <w:szCs w:val="22"/>
        </w:rPr>
      </w:pPr>
      <w:r w:rsidRPr="00183B5F">
        <w:rPr>
          <w:noProof/>
          <w:szCs w:val="24"/>
          <w:u w:val="single"/>
        </w:rPr>
        <w:t>Gyermekek és serdülők</w:t>
      </w:r>
    </w:p>
    <w:p w14:paraId="3E0485CF" w14:textId="77777777" w:rsidR="00366005" w:rsidRPr="00183B5F" w:rsidRDefault="00366005">
      <w:pPr>
        <w:spacing w:line="240" w:lineRule="auto"/>
        <w:rPr>
          <w:szCs w:val="22"/>
        </w:rPr>
      </w:pPr>
    </w:p>
    <w:p w14:paraId="4E8E3A4E" w14:textId="77777777" w:rsidR="00366005" w:rsidRDefault="00943743">
      <w:pPr>
        <w:spacing w:line="240" w:lineRule="auto"/>
        <w:rPr>
          <w:ins w:id="28" w:author="AbbVie_HU_03" w:date="2025-05-14T14:53:00Z"/>
          <w:szCs w:val="22"/>
        </w:rPr>
      </w:pPr>
      <w:r w:rsidRPr="00183B5F">
        <w:rPr>
          <w:szCs w:val="22"/>
        </w:rPr>
        <w:t>Lásd feljebb a Védőoltások részben.</w:t>
      </w:r>
    </w:p>
    <w:p w14:paraId="3AC9F464" w14:textId="77777777" w:rsidR="00857D2C" w:rsidRDefault="00857D2C">
      <w:pPr>
        <w:spacing w:line="240" w:lineRule="auto"/>
        <w:rPr>
          <w:ins w:id="29" w:author="AbbVie_HU_03" w:date="2025-05-14T14:53:00Z"/>
          <w:szCs w:val="22"/>
        </w:rPr>
      </w:pPr>
    </w:p>
    <w:p w14:paraId="29444526" w14:textId="77777777" w:rsidR="00857D2C" w:rsidRDefault="00943743" w:rsidP="00857D2C">
      <w:pPr>
        <w:spacing w:line="240" w:lineRule="auto"/>
        <w:rPr>
          <w:ins w:id="30" w:author="AbbVie_HU_03" w:date="2025-05-14T14:53:00Z"/>
          <w:u w:val="single"/>
        </w:rPr>
      </w:pPr>
      <w:ins w:id="31" w:author="AbbVie_HU_03" w:date="2025-05-14T14:53:00Z">
        <w:r w:rsidRPr="00071EBC">
          <w:rPr>
            <w:u w:val="single"/>
          </w:rPr>
          <w:t>Ismert hatású segédanyag(ok)</w:t>
        </w:r>
      </w:ins>
    </w:p>
    <w:p w14:paraId="3B1D9ED1" w14:textId="77777777" w:rsidR="00857D2C" w:rsidRDefault="00857D2C" w:rsidP="00857D2C">
      <w:pPr>
        <w:spacing w:line="240" w:lineRule="auto"/>
        <w:rPr>
          <w:ins w:id="32" w:author="AbbVie_HU_03" w:date="2025-05-14T14:53:00Z"/>
          <w:u w:val="single"/>
        </w:rPr>
      </w:pPr>
    </w:p>
    <w:p w14:paraId="30BEE024" w14:textId="32B1083D" w:rsidR="00857D2C" w:rsidRDefault="00943743" w:rsidP="00857D2C">
      <w:pPr>
        <w:spacing w:line="240" w:lineRule="auto"/>
        <w:rPr>
          <w:ins w:id="33" w:author="AbbVie_HU_03" w:date="2025-05-14T14:54:00Z"/>
        </w:rPr>
      </w:pPr>
      <w:ins w:id="34" w:author="AbbVie_HU_03" w:date="2025-05-14T14:53:00Z">
        <w:r w:rsidRPr="00857D2C">
          <w:rPr>
            <w:rPrChange w:id="35" w:author="AbbVie_HU_03" w:date="2025-05-14T14:53:00Z">
              <w:rPr>
                <w:u w:val="single"/>
              </w:rPr>
            </w:rPrChange>
          </w:rPr>
          <w:t>Ez a gyógyszer 0,2</w:t>
        </w:r>
      </w:ins>
      <w:ins w:id="36" w:author="AbbVie_HU_03" w:date="2025-05-14T16:52:00Z">
        <w:r w:rsidR="005F356A">
          <w:t> </w:t>
        </w:r>
      </w:ins>
      <w:ins w:id="37" w:author="AbbVie_HU_03" w:date="2025-05-14T14:53:00Z">
        <w:r w:rsidRPr="00857D2C">
          <w:rPr>
            <w:rPrChange w:id="38" w:author="AbbVie_HU_03" w:date="2025-05-14T14:53:00Z">
              <w:rPr>
                <w:u w:val="single"/>
              </w:rPr>
            </w:rPrChange>
          </w:rPr>
          <w:t>mg poliszorbát 80-at tartalmaz 20</w:t>
        </w:r>
      </w:ins>
      <w:ins w:id="39" w:author="AbbVie_HU_03" w:date="2025-05-14T16:52:00Z">
        <w:r w:rsidR="005F356A">
          <w:t> </w:t>
        </w:r>
      </w:ins>
      <w:ins w:id="40" w:author="AbbVie_HU_03" w:date="2025-05-14T14:53:00Z">
        <w:r w:rsidRPr="00857D2C">
          <w:rPr>
            <w:rPrChange w:id="41" w:author="AbbVie_HU_03" w:date="2025-05-14T14:53:00Z">
              <w:rPr>
                <w:u w:val="single"/>
              </w:rPr>
            </w:rPrChange>
          </w:rPr>
          <w:t>mg-os adagonként.</w:t>
        </w:r>
      </w:ins>
      <w:ins w:id="42" w:author="AbbVie_HU_03" w:date="2025-09-05T15:27:00Z">
        <w:r w:rsidR="0004722C">
          <w:t xml:space="preserve"> A poliszorbátok allergiás reakciókat okozhatnak.</w:t>
        </w:r>
      </w:ins>
    </w:p>
    <w:p w14:paraId="7C22A8EC" w14:textId="77777777" w:rsidR="00857D2C" w:rsidRPr="00857D2C" w:rsidRDefault="00857D2C" w:rsidP="00857D2C">
      <w:pPr>
        <w:spacing w:line="240" w:lineRule="auto"/>
        <w:rPr>
          <w:szCs w:val="22"/>
          <w:rPrChange w:id="43" w:author="AbbVie_HU_03" w:date="2025-05-14T14:53:00Z">
            <w:rPr>
              <w:szCs w:val="22"/>
              <w:u w:val="single"/>
            </w:rPr>
          </w:rPrChange>
        </w:rPr>
      </w:pPr>
    </w:p>
    <w:p w14:paraId="415F8F96" w14:textId="77777777" w:rsidR="00366005" w:rsidRPr="00183B5F" w:rsidRDefault="00366005">
      <w:pPr>
        <w:spacing w:line="240" w:lineRule="auto"/>
        <w:rPr>
          <w:szCs w:val="22"/>
        </w:rPr>
      </w:pPr>
    </w:p>
    <w:p w14:paraId="0A1451C0" w14:textId="77777777" w:rsidR="00366005" w:rsidRPr="00183B5F" w:rsidRDefault="00943743">
      <w:pPr>
        <w:spacing w:line="240" w:lineRule="auto"/>
        <w:ind w:left="567" w:hanging="567"/>
        <w:rPr>
          <w:b/>
          <w:szCs w:val="22"/>
        </w:rPr>
      </w:pPr>
      <w:r w:rsidRPr="00183B5F">
        <w:rPr>
          <w:b/>
          <w:szCs w:val="22"/>
        </w:rPr>
        <w:t>4.5</w:t>
      </w:r>
      <w:r w:rsidRPr="00183B5F">
        <w:rPr>
          <w:b/>
          <w:szCs w:val="22"/>
        </w:rPr>
        <w:tab/>
        <w:t>Gyógyszerkölcsönhatások és egyéb interakciók</w:t>
      </w:r>
    </w:p>
    <w:p w14:paraId="4890E793" w14:textId="77777777" w:rsidR="00366005" w:rsidRPr="00183B5F" w:rsidRDefault="00366005">
      <w:pPr>
        <w:pStyle w:val="EndnoteText"/>
        <w:tabs>
          <w:tab w:val="clear" w:pos="567"/>
          <w:tab w:val="left" w:pos="708"/>
        </w:tabs>
        <w:suppressAutoHyphens/>
        <w:rPr>
          <w:sz w:val="22"/>
          <w:szCs w:val="22"/>
          <w:lang w:val="hu-HU" w:eastAsia="hu-HU"/>
        </w:rPr>
      </w:pPr>
    </w:p>
    <w:p w14:paraId="7A10CE69" w14:textId="77777777" w:rsidR="00366005" w:rsidRPr="00183B5F" w:rsidRDefault="00943743">
      <w:pPr>
        <w:spacing w:line="240" w:lineRule="auto"/>
        <w:rPr>
          <w:szCs w:val="22"/>
        </w:rPr>
      </w:pPr>
      <w:r w:rsidRPr="00183B5F">
        <w:rPr>
          <w:szCs w:val="22"/>
        </w:rPr>
        <w:t>A Humira</w:t>
      </w:r>
      <w:r w:rsidRPr="00183B5F">
        <w:rPr>
          <w:szCs w:val="22"/>
        </w:rPr>
        <w:noBreakHyphen/>
      </w:r>
      <w:r w:rsidRPr="00183B5F">
        <w:rPr>
          <w:szCs w:val="22"/>
        </w:rPr>
        <w:t>t vizsgálták monoterápiában, illetve metotrexáttal együtt adva rheumatoid arthritises, polyarticularis juvenilis idiopathiás arthritises, valamint arthritis psoriaticában szenvedő betegek körében is. Ha a Humira</w:t>
      </w:r>
      <w:r w:rsidRPr="00183B5F">
        <w:rPr>
          <w:szCs w:val="22"/>
        </w:rPr>
        <w:noBreakHyphen/>
        <w:t>t kombinációban adták metotrexáttal, az antitestképződés alacsonyabb volt, mint monoterápiában. A Humira metotrexát nélküli alkalmazása fokozott antitestképződést, továbbá az adalimumab</w:t>
      </w:r>
      <w:r w:rsidRPr="00183B5F">
        <w:rPr>
          <w:szCs w:val="22"/>
        </w:rPr>
        <w:noBreakHyphen/>
        <w:t>clearance fokozódását és a hatásosság csökkenését eredményezte (lásd 5.1 pont).</w:t>
      </w:r>
    </w:p>
    <w:p w14:paraId="71CB9471" w14:textId="77777777" w:rsidR="00366005" w:rsidRPr="00183B5F" w:rsidRDefault="00366005">
      <w:pPr>
        <w:spacing w:line="240" w:lineRule="auto"/>
        <w:rPr>
          <w:b/>
          <w:szCs w:val="22"/>
        </w:rPr>
      </w:pPr>
    </w:p>
    <w:p w14:paraId="2A0AAE76" w14:textId="77777777" w:rsidR="00366005" w:rsidRPr="00183B5F" w:rsidRDefault="00943743">
      <w:pPr>
        <w:spacing w:line="240" w:lineRule="auto"/>
        <w:rPr>
          <w:szCs w:val="22"/>
        </w:rPr>
      </w:pPr>
      <w:r w:rsidRPr="00183B5F">
        <w:rPr>
          <w:szCs w:val="22"/>
        </w:rPr>
        <w:t>A Humira és az anakinra kombinált alkalmazása nem ajánlott (lásd a 4.4 pont „Biológiai reumaellenes betegségmódosító gyógyszerek (DMARD-ok) vagy TNF</w:t>
      </w:r>
      <w:r w:rsidRPr="00183B5F">
        <w:rPr>
          <w:szCs w:val="22"/>
        </w:rPr>
        <w:noBreakHyphen/>
        <w:t>antagonisták együttadása” c. fejezetét).</w:t>
      </w:r>
    </w:p>
    <w:p w14:paraId="76D39EA2" w14:textId="77777777" w:rsidR="00366005" w:rsidRPr="00183B5F" w:rsidRDefault="00366005">
      <w:pPr>
        <w:spacing w:line="240" w:lineRule="auto"/>
        <w:rPr>
          <w:szCs w:val="22"/>
        </w:rPr>
      </w:pPr>
    </w:p>
    <w:p w14:paraId="2F79AEC7" w14:textId="77777777" w:rsidR="00366005" w:rsidRPr="00183B5F" w:rsidRDefault="00943743">
      <w:pPr>
        <w:spacing w:line="240" w:lineRule="auto"/>
        <w:rPr>
          <w:szCs w:val="22"/>
        </w:rPr>
      </w:pPr>
      <w:r w:rsidRPr="00183B5F">
        <w:rPr>
          <w:szCs w:val="22"/>
        </w:rPr>
        <w:t>A Humira és az abatacept kombinált alkalmazása nem ajánlott (lásd a 4.4 pont „Biológiai reumaellenes betegségmódosító gyógyszerek (DMARD-ok) vagy TNF</w:t>
      </w:r>
      <w:r w:rsidRPr="00183B5F">
        <w:rPr>
          <w:szCs w:val="22"/>
        </w:rPr>
        <w:noBreakHyphen/>
        <w:t>antagonisták együttadása” c. fejezetét).</w:t>
      </w:r>
    </w:p>
    <w:p w14:paraId="6A32E0EE" w14:textId="77777777" w:rsidR="00366005" w:rsidRPr="00183B5F" w:rsidRDefault="00366005">
      <w:pPr>
        <w:spacing w:line="240" w:lineRule="auto"/>
        <w:rPr>
          <w:szCs w:val="22"/>
        </w:rPr>
      </w:pPr>
    </w:p>
    <w:p w14:paraId="3CEC0618" w14:textId="77777777" w:rsidR="00366005" w:rsidRPr="00183B5F" w:rsidRDefault="00943743">
      <w:pPr>
        <w:keepNext/>
        <w:spacing w:line="240" w:lineRule="auto"/>
        <w:rPr>
          <w:b/>
          <w:szCs w:val="22"/>
        </w:rPr>
      </w:pPr>
      <w:r w:rsidRPr="00183B5F">
        <w:rPr>
          <w:b/>
          <w:szCs w:val="22"/>
        </w:rPr>
        <w:t>4.6</w:t>
      </w:r>
      <w:r w:rsidRPr="00183B5F">
        <w:rPr>
          <w:b/>
          <w:szCs w:val="22"/>
        </w:rPr>
        <w:tab/>
        <w:t>Termékenység, terhesség és szoptatás</w:t>
      </w:r>
    </w:p>
    <w:p w14:paraId="45B29552" w14:textId="77777777" w:rsidR="00366005" w:rsidRPr="00183B5F" w:rsidRDefault="00366005">
      <w:pPr>
        <w:pStyle w:val="EndnoteText"/>
        <w:keepNext/>
        <w:tabs>
          <w:tab w:val="clear" w:pos="567"/>
          <w:tab w:val="left" w:pos="708"/>
        </w:tabs>
        <w:suppressAutoHyphens/>
        <w:rPr>
          <w:sz w:val="22"/>
          <w:szCs w:val="22"/>
          <w:lang w:val="hu-HU" w:eastAsia="hu-HU"/>
        </w:rPr>
      </w:pPr>
    </w:p>
    <w:p w14:paraId="6F173304" w14:textId="77777777" w:rsidR="00366005" w:rsidRPr="00183B5F" w:rsidRDefault="00943743">
      <w:pPr>
        <w:spacing w:line="240" w:lineRule="auto"/>
        <w:rPr>
          <w:szCs w:val="22"/>
          <w:u w:val="single"/>
        </w:rPr>
      </w:pPr>
      <w:r w:rsidRPr="00183B5F">
        <w:rPr>
          <w:szCs w:val="22"/>
          <w:u w:val="single"/>
        </w:rPr>
        <w:t>Fogamzóképes korú nők</w:t>
      </w:r>
    </w:p>
    <w:p w14:paraId="680D248D" w14:textId="77777777" w:rsidR="00366005" w:rsidRPr="00183B5F" w:rsidRDefault="00366005">
      <w:pPr>
        <w:spacing w:line="240" w:lineRule="auto"/>
        <w:rPr>
          <w:szCs w:val="22"/>
        </w:rPr>
      </w:pPr>
    </w:p>
    <w:p w14:paraId="5B40180D" w14:textId="77777777" w:rsidR="00366005" w:rsidRPr="00183B5F" w:rsidRDefault="00943743" w:rsidP="0071008C">
      <w:pPr>
        <w:spacing w:line="240" w:lineRule="auto"/>
        <w:rPr>
          <w:szCs w:val="22"/>
        </w:rPr>
      </w:pPr>
      <w:r w:rsidRPr="00183B5F">
        <w:rPr>
          <w:szCs w:val="22"/>
        </w:rPr>
        <w:t>Fogamzóképes korú nőkn</w:t>
      </w:r>
      <w:r w:rsidR="00F131EA" w:rsidRPr="00183B5F">
        <w:rPr>
          <w:szCs w:val="22"/>
        </w:rPr>
        <w:t>ek</w:t>
      </w:r>
      <w:r w:rsidRPr="00183B5F">
        <w:rPr>
          <w:szCs w:val="22"/>
        </w:rPr>
        <w:t xml:space="preserve"> </w:t>
      </w:r>
      <w:r w:rsidR="00F131EA" w:rsidRPr="00183B5F">
        <w:rPr>
          <w:szCs w:val="22"/>
        </w:rPr>
        <w:t>fontolóra kell venniük</w:t>
      </w:r>
      <w:r w:rsidRPr="00183B5F">
        <w:rPr>
          <w:szCs w:val="22"/>
        </w:rPr>
        <w:t xml:space="preserve"> </w:t>
      </w:r>
      <w:r w:rsidR="0071008C" w:rsidRPr="00183B5F">
        <w:rPr>
          <w:szCs w:val="22"/>
        </w:rPr>
        <w:t>egy</w:t>
      </w:r>
      <w:r w:rsidRPr="00183B5F">
        <w:rPr>
          <w:szCs w:val="22"/>
        </w:rPr>
        <w:t xml:space="preserve"> megfelelő fogamzásgátlás</w:t>
      </w:r>
      <w:r w:rsidR="0071008C" w:rsidRPr="00183B5F">
        <w:rPr>
          <w:szCs w:val="22"/>
        </w:rPr>
        <w:t xml:space="preserve"> alkalmazását</w:t>
      </w:r>
      <w:r w:rsidRPr="00183B5F">
        <w:rPr>
          <w:szCs w:val="22"/>
        </w:rPr>
        <w:t xml:space="preserve">, és </w:t>
      </w:r>
      <w:r w:rsidR="0071008C" w:rsidRPr="00183B5F">
        <w:rPr>
          <w:szCs w:val="22"/>
        </w:rPr>
        <w:t xml:space="preserve">az </w:t>
      </w:r>
      <w:r w:rsidRPr="00183B5F">
        <w:rPr>
          <w:szCs w:val="22"/>
        </w:rPr>
        <w:t>alkalmazás</w:t>
      </w:r>
      <w:r w:rsidR="0071008C" w:rsidRPr="00183B5F">
        <w:rPr>
          <w:szCs w:val="22"/>
        </w:rPr>
        <w:t xml:space="preserve"> folytatását</w:t>
      </w:r>
      <w:r w:rsidRPr="00183B5F">
        <w:rPr>
          <w:szCs w:val="22"/>
        </w:rPr>
        <w:t xml:space="preserve"> az utolsó Humira</w:t>
      </w:r>
      <w:r w:rsidRPr="00183B5F">
        <w:rPr>
          <w:szCs w:val="22"/>
        </w:rPr>
        <w:noBreakHyphen/>
        <w:t>kezelés után legalább öt hónapon keresztül.</w:t>
      </w:r>
    </w:p>
    <w:p w14:paraId="44E79AF7" w14:textId="77777777" w:rsidR="00366005" w:rsidRPr="00183B5F" w:rsidRDefault="00366005">
      <w:pPr>
        <w:spacing w:line="240" w:lineRule="auto"/>
      </w:pPr>
    </w:p>
    <w:p w14:paraId="0430D352" w14:textId="77777777" w:rsidR="00366005" w:rsidRPr="00183B5F" w:rsidRDefault="00943743">
      <w:pPr>
        <w:keepNext/>
        <w:spacing w:line="240" w:lineRule="auto"/>
        <w:rPr>
          <w:szCs w:val="22"/>
          <w:u w:val="single"/>
        </w:rPr>
      </w:pPr>
      <w:r w:rsidRPr="00183B5F">
        <w:rPr>
          <w:szCs w:val="22"/>
          <w:u w:val="single"/>
        </w:rPr>
        <w:t>Terhesség</w:t>
      </w:r>
    </w:p>
    <w:p w14:paraId="60279F3E" w14:textId="77777777" w:rsidR="00366005" w:rsidRPr="00183B5F" w:rsidRDefault="00366005">
      <w:pPr>
        <w:keepNext/>
        <w:spacing w:line="240" w:lineRule="auto"/>
        <w:rPr>
          <w:szCs w:val="22"/>
          <w:u w:val="single"/>
        </w:rPr>
      </w:pPr>
    </w:p>
    <w:p w14:paraId="6B14FF0A" w14:textId="77777777" w:rsidR="001E54DF" w:rsidRPr="00183B5F" w:rsidRDefault="00943743" w:rsidP="0071008C">
      <w:pPr>
        <w:keepNext/>
        <w:spacing w:line="240" w:lineRule="auto"/>
        <w:rPr>
          <w:szCs w:val="22"/>
        </w:rPr>
      </w:pPr>
      <w:r w:rsidRPr="00183B5F">
        <w:rPr>
          <w:szCs w:val="22"/>
        </w:rPr>
        <w:t>Nagy számú (körülbelül 2100), adalimumab</w:t>
      </w:r>
      <w:r w:rsidR="0071008C" w:rsidRPr="00183B5F">
        <w:rPr>
          <w:szCs w:val="22"/>
        </w:rPr>
        <w:noBreakHyphen/>
      </w:r>
      <w:r w:rsidR="006D5882" w:rsidRPr="00183B5F">
        <w:rPr>
          <w:szCs w:val="22"/>
        </w:rPr>
        <w:t>expozíció</w:t>
      </w:r>
      <w:r w:rsidRPr="00183B5F">
        <w:rPr>
          <w:szCs w:val="22"/>
        </w:rPr>
        <w:t>nak kitett, ismert kimenetelű, élve születéssel végződő terhesség prospektív módon gyűjtött adata</w:t>
      </w:r>
      <w:r w:rsidR="00AF569B" w:rsidRPr="00183B5F">
        <w:rPr>
          <w:szCs w:val="22"/>
        </w:rPr>
        <w:t xml:space="preserve">i </w:t>
      </w:r>
      <w:r w:rsidR="00EC4188" w:rsidRPr="00183B5F">
        <w:rPr>
          <w:szCs w:val="22"/>
        </w:rPr>
        <w:t>–</w:t>
      </w:r>
      <w:r w:rsidRPr="00183B5F">
        <w:rPr>
          <w:szCs w:val="22"/>
        </w:rPr>
        <w:t xml:space="preserve"> beleértve több mint 1500 esetet, mikor az első trimeszter</w:t>
      </w:r>
      <w:r w:rsidR="00AF569B" w:rsidRPr="00183B5F">
        <w:rPr>
          <w:szCs w:val="22"/>
        </w:rPr>
        <w:t>ben alkalmazták az adalimumabot –</w:t>
      </w:r>
      <w:r w:rsidRPr="00183B5F">
        <w:rPr>
          <w:szCs w:val="22"/>
        </w:rPr>
        <w:t xml:space="preserve"> </w:t>
      </w:r>
      <w:r w:rsidR="006D5882" w:rsidRPr="00183B5F">
        <w:rPr>
          <w:szCs w:val="22"/>
        </w:rPr>
        <w:t>nem igazolták</w:t>
      </w:r>
      <w:r w:rsidRPr="00183B5F">
        <w:rPr>
          <w:szCs w:val="22"/>
        </w:rPr>
        <w:t xml:space="preserve"> a rendellenességek arány</w:t>
      </w:r>
      <w:r w:rsidR="006D5882" w:rsidRPr="00183B5F">
        <w:rPr>
          <w:szCs w:val="22"/>
        </w:rPr>
        <w:t>ának növekedését</w:t>
      </w:r>
      <w:r w:rsidRPr="00183B5F">
        <w:rPr>
          <w:szCs w:val="22"/>
        </w:rPr>
        <w:t xml:space="preserve"> az újszülöttek</w:t>
      </w:r>
      <w:r w:rsidR="0071008C" w:rsidRPr="00183B5F">
        <w:rPr>
          <w:szCs w:val="22"/>
        </w:rPr>
        <w:t>nél</w:t>
      </w:r>
      <w:r w:rsidRPr="00183B5F">
        <w:rPr>
          <w:szCs w:val="22"/>
        </w:rPr>
        <w:t>.</w:t>
      </w:r>
    </w:p>
    <w:p w14:paraId="1F890398" w14:textId="77777777" w:rsidR="001E54DF" w:rsidRPr="00183B5F" w:rsidRDefault="001E54DF" w:rsidP="00E87C31">
      <w:pPr>
        <w:spacing w:line="240" w:lineRule="auto"/>
        <w:rPr>
          <w:szCs w:val="22"/>
        </w:rPr>
      </w:pPr>
    </w:p>
    <w:p w14:paraId="665B937E" w14:textId="77777777" w:rsidR="00366005" w:rsidRPr="00183B5F" w:rsidRDefault="00943743" w:rsidP="00E87C31">
      <w:pPr>
        <w:spacing w:line="240" w:lineRule="auto"/>
        <w:rPr>
          <w:szCs w:val="22"/>
        </w:rPr>
      </w:pPr>
      <w:r w:rsidRPr="00183B5F">
        <w:rPr>
          <w:szCs w:val="22"/>
        </w:rPr>
        <w:t>Egy prospektív kohorsz regiszterbe</w:t>
      </w:r>
      <w:r w:rsidR="006D5882" w:rsidRPr="00183B5F">
        <w:rPr>
          <w:szCs w:val="22"/>
        </w:rPr>
        <w:t>n</w:t>
      </w:r>
      <w:r w:rsidRPr="00183B5F">
        <w:rPr>
          <w:szCs w:val="22"/>
        </w:rPr>
        <w:t xml:space="preserve"> 257</w:t>
      </w:r>
      <w:r w:rsidR="00675575" w:rsidRPr="00183B5F">
        <w:rPr>
          <w:szCs w:val="22"/>
        </w:rPr>
        <w:t>,</w:t>
      </w:r>
      <w:r w:rsidRPr="00183B5F">
        <w:rPr>
          <w:szCs w:val="22"/>
        </w:rPr>
        <w:t xml:space="preserve"> rheumatoid arthritisben (RA) vagy Crohn-betegségben (CD) szenvedő, a terhességük legalább első trimeszterében adalimumabbal kezelt nőt és 120, RA</w:t>
      </w:r>
      <w:r w:rsidRPr="00183B5F">
        <w:rPr>
          <w:szCs w:val="22"/>
        </w:rPr>
        <w:noBreakHyphen/>
        <w:t>ban vagy C</w:t>
      </w:r>
      <w:r w:rsidR="006D5882" w:rsidRPr="00183B5F">
        <w:rPr>
          <w:szCs w:val="22"/>
        </w:rPr>
        <w:t>rohn-betegségben</w:t>
      </w:r>
      <w:r w:rsidRPr="00183B5F">
        <w:rPr>
          <w:szCs w:val="22"/>
        </w:rPr>
        <w:t xml:space="preserve"> szenvedő, adalimumabbal nem kezelt nőt v</w:t>
      </w:r>
      <w:r w:rsidR="006D5882" w:rsidRPr="00183B5F">
        <w:rPr>
          <w:szCs w:val="22"/>
        </w:rPr>
        <w:t>izsgáltak</w:t>
      </w:r>
      <w:r w:rsidRPr="00183B5F">
        <w:rPr>
          <w:szCs w:val="22"/>
        </w:rPr>
        <w:t xml:space="preserve">. Az elsődleges végpont a </w:t>
      </w:r>
      <w:r w:rsidR="006D5882" w:rsidRPr="00183B5F">
        <w:rPr>
          <w:szCs w:val="22"/>
        </w:rPr>
        <w:t>major</w:t>
      </w:r>
      <w:r w:rsidRPr="00183B5F">
        <w:rPr>
          <w:szCs w:val="22"/>
        </w:rPr>
        <w:t xml:space="preserve"> születési rendellenesség születéskori prevalenciája volt. Azo</w:t>
      </w:r>
      <w:r w:rsidR="0071008C" w:rsidRPr="00183B5F">
        <w:rPr>
          <w:szCs w:val="22"/>
        </w:rPr>
        <w:t>knak</w:t>
      </w:r>
      <w:r w:rsidRPr="00183B5F">
        <w:rPr>
          <w:szCs w:val="22"/>
        </w:rPr>
        <w:t xml:space="preserve"> </w:t>
      </w:r>
      <w:r w:rsidR="002A7538" w:rsidRPr="00183B5F">
        <w:rPr>
          <w:szCs w:val="22"/>
        </w:rPr>
        <w:t xml:space="preserve">a </w:t>
      </w:r>
      <w:r w:rsidRPr="00183B5F">
        <w:rPr>
          <w:szCs w:val="22"/>
        </w:rPr>
        <w:t>terhesség</w:t>
      </w:r>
      <w:r w:rsidR="00D372BE" w:rsidRPr="00183B5F">
        <w:rPr>
          <w:szCs w:val="22"/>
        </w:rPr>
        <w:t>ek</w:t>
      </w:r>
      <w:r w:rsidR="0071008C" w:rsidRPr="00183B5F">
        <w:rPr>
          <w:szCs w:val="22"/>
        </w:rPr>
        <w:t>nek az</w:t>
      </w:r>
      <w:r w:rsidR="00D372BE" w:rsidRPr="00183B5F">
        <w:rPr>
          <w:szCs w:val="22"/>
        </w:rPr>
        <w:t xml:space="preserve"> aránya, amelyek kimenetele legalább egy, </w:t>
      </w:r>
      <w:r w:rsidR="006D5882" w:rsidRPr="00183B5F">
        <w:rPr>
          <w:szCs w:val="22"/>
        </w:rPr>
        <w:t>major</w:t>
      </w:r>
      <w:r w:rsidR="00D372BE" w:rsidRPr="00183B5F">
        <w:rPr>
          <w:szCs w:val="22"/>
        </w:rPr>
        <w:t xml:space="preserve"> fejlődési rendellenességgel élve született csecsemő volt, 6/69 (8,7%)</w:t>
      </w:r>
      <w:r w:rsidR="006D5882" w:rsidRPr="00183B5F">
        <w:rPr>
          <w:szCs w:val="22"/>
        </w:rPr>
        <w:t xml:space="preserve"> volt</w:t>
      </w:r>
      <w:r w:rsidR="00D372BE" w:rsidRPr="00183B5F">
        <w:rPr>
          <w:szCs w:val="22"/>
        </w:rPr>
        <w:t xml:space="preserve"> az </w:t>
      </w:r>
      <w:r w:rsidR="00394356" w:rsidRPr="00183B5F">
        <w:rPr>
          <w:szCs w:val="22"/>
        </w:rPr>
        <w:t>adalimumab</w:t>
      </w:r>
      <w:r w:rsidR="006D5882" w:rsidRPr="00183B5F">
        <w:rPr>
          <w:szCs w:val="22"/>
        </w:rPr>
        <w:t>-kezelésben részesült RA-s</w:t>
      </w:r>
      <w:r w:rsidR="00394356" w:rsidRPr="00183B5F">
        <w:rPr>
          <w:szCs w:val="22"/>
        </w:rPr>
        <w:t xml:space="preserve"> </w:t>
      </w:r>
      <w:r w:rsidR="00D372BE" w:rsidRPr="00183B5F">
        <w:rPr>
          <w:szCs w:val="22"/>
        </w:rPr>
        <w:t>nőknél</w:t>
      </w:r>
      <w:r w:rsidR="0071008C" w:rsidRPr="00183B5F">
        <w:rPr>
          <w:szCs w:val="22"/>
        </w:rPr>
        <w:t>,</w:t>
      </w:r>
      <w:r w:rsidR="00D372BE" w:rsidRPr="00183B5F">
        <w:rPr>
          <w:szCs w:val="22"/>
        </w:rPr>
        <w:t xml:space="preserve"> és 5/74 (6,8%) </w:t>
      </w:r>
      <w:r w:rsidR="006D5882" w:rsidRPr="00183B5F">
        <w:rPr>
          <w:szCs w:val="22"/>
        </w:rPr>
        <w:t>volt a</w:t>
      </w:r>
      <w:r w:rsidR="00D372BE" w:rsidRPr="00183B5F">
        <w:rPr>
          <w:szCs w:val="22"/>
        </w:rPr>
        <w:t xml:space="preserve"> nem kezelt</w:t>
      </w:r>
      <w:r w:rsidR="006D5882" w:rsidRPr="00183B5F">
        <w:rPr>
          <w:szCs w:val="22"/>
        </w:rPr>
        <w:t xml:space="preserve"> RA-s</w:t>
      </w:r>
      <w:r w:rsidR="00D372BE" w:rsidRPr="00183B5F">
        <w:rPr>
          <w:szCs w:val="22"/>
        </w:rPr>
        <w:t xml:space="preserve"> nőknél (nem korrigált OR: 1,31; 95%</w:t>
      </w:r>
      <w:r w:rsidR="00FD3AF2" w:rsidRPr="00183B5F">
        <w:rPr>
          <w:szCs w:val="22"/>
        </w:rPr>
        <w:noBreakHyphen/>
        <w:t>os</w:t>
      </w:r>
      <w:r w:rsidR="00D372BE" w:rsidRPr="00183B5F">
        <w:rPr>
          <w:szCs w:val="22"/>
        </w:rPr>
        <w:t xml:space="preserve"> </w:t>
      </w:r>
      <w:bookmarkStart w:id="44" w:name="_Hlk23503377"/>
      <w:r w:rsidR="00EC4188" w:rsidRPr="00183B5F">
        <w:rPr>
          <w:szCs w:val="22"/>
        </w:rPr>
        <w:t>konfidencia intervallum [</w:t>
      </w:r>
      <w:r w:rsidR="00D372BE" w:rsidRPr="00183B5F">
        <w:rPr>
          <w:szCs w:val="22"/>
        </w:rPr>
        <w:t>CI</w:t>
      </w:r>
      <w:r w:rsidR="00EC4188" w:rsidRPr="00183B5F">
        <w:rPr>
          <w:szCs w:val="22"/>
        </w:rPr>
        <w:t>]</w:t>
      </w:r>
      <w:bookmarkEnd w:id="44"/>
      <w:r w:rsidR="00D372BE" w:rsidRPr="00183B5F">
        <w:rPr>
          <w:szCs w:val="22"/>
        </w:rPr>
        <w:t>: 0,38-4,52)</w:t>
      </w:r>
      <w:r w:rsidR="006D5882" w:rsidRPr="00183B5F">
        <w:rPr>
          <w:szCs w:val="22"/>
        </w:rPr>
        <w:t>, továbbá</w:t>
      </w:r>
      <w:r w:rsidR="00394356" w:rsidRPr="00183B5F">
        <w:rPr>
          <w:szCs w:val="22"/>
        </w:rPr>
        <w:t xml:space="preserve"> 16/152 (10,5%) </w:t>
      </w:r>
      <w:r w:rsidR="006D5882" w:rsidRPr="00183B5F">
        <w:rPr>
          <w:szCs w:val="22"/>
        </w:rPr>
        <w:t>volt az adalimumab</w:t>
      </w:r>
      <w:r w:rsidR="006D5882" w:rsidRPr="00183B5F">
        <w:rPr>
          <w:szCs w:val="22"/>
        </w:rPr>
        <w:noBreakHyphen/>
        <w:t>kezelésben részesült Crohn</w:t>
      </w:r>
      <w:r w:rsidR="006D5882" w:rsidRPr="00183B5F">
        <w:rPr>
          <w:szCs w:val="22"/>
        </w:rPr>
        <w:noBreakHyphen/>
        <w:t xml:space="preserve">beteg </w:t>
      </w:r>
      <w:r w:rsidR="00394356" w:rsidRPr="00183B5F">
        <w:rPr>
          <w:szCs w:val="22"/>
        </w:rPr>
        <w:t>nőknél</w:t>
      </w:r>
      <w:r w:rsidR="002A7538" w:rsidRPr="00183B5F">
        <w:rPr>
          <w:szCs w:val="22"/>
        </w:rPr>
        <w:t>,</w:t>
      </w:r>
      <w:r w:rsidR="00394356" w:rsidRPr="00183B5F">
        <w:rPr>
          <w:szCs w:val="22"/>
        </w:rPr>
        <w:t xml:space="preserve"> és 3/32 (9,4%) </w:t>
      </w:r>
      <w:r w:rsidR="006D5882" w:rsidRPr="00183B5F">
        <w:rPr>
          <w:szCs w:val="22"/>
        </w:rPr>
        <w:t xml:space="preserve">volt </w:t>
      </w:r>
      <w:r w:rsidR="00394356" w:rsidRPr="00183B5F">
        <w:rPr>
          <w:szCs w:val="22"/>
        </w:rPr>
        <w:t xml:space="preserve">a nem kezelt </w:t>
      </w:r>
      <w:r w:rsidR="006D5882" w:rsidRPr="00183B5F">
        <w:rPr>
          <w:szCs w:val="22"/>
        </w:rPr>
        <w:t>Crohn</w:t>
      </w:r>
      <w:r w:rsidR="006D5882" w:rsidRPr="00183B5F">
        <w:rPr>
          <w:szCs w:val="22"/>
        </w:rPr>
        <w:noBreakHyphen/>
        <w:t xml:space="preserve">beteg </w:t>
      </w:r>
      <w:r w:rsidR="00394356" w:rsidRPr="00183B5F">
        <w:rPr>
          <w:szCs w:val="22"/>
        </w:rPr>
        <w:t>nőknél (nem korrigált OR: 1,14; 95%</w:t>
      </w:r>
      <w:r w:rsidR="00FD3AF2" w:rsidRPr="00183B5F">
        <w:rPr>
          <w:szCs w:val="22"/>
        </w:rPr>
        <w:noBreakHyphen/>
        <w:t>os</w:t>
      </w:r>
      <w:r w:rsidR="00394356" w:rsidRPr="00183B5F">
        <w:rPr>
          <w:szCs w:val="22"/>
        </w:rPr>
        <w:t xml:space="preserve"> CI: 0,31-4,16). </w:t>
      </w:r>
      <w:r w:rsidRPr="00183B5F">
        <w:rPr>
          <w:szCs w:val="22"/>
        </w:rPr>
        <w:t>A korrigált OR (a kiindulási k</w:t>
      </w:r>
      <w:r w:rsidR="00B66591" w:rsidRPr="00183B5F">
        <w:rPr>
          <w:szCs w:val="22"/>
        </w:rPr>
        <w:t>ülönbségeket tekintetbe véve</w:t>
      </w:r>
      <w:r w:rsidRPr="00183B5F">
        <w:rPr>
          <w:szCs w:val="22"/>
        </w:rPr>
        <w:t>) 1,10 volt (95%</w:t>
      </w:r>
      <w:r w:rsidR="00A2492B" w:rsidRPr="00183B5F">
        <w:rPr>
          <w:szCs w:val="22"/>
        </w:rPr>
        <w:noBreakHyphen/>
        <w:t>os</w:t>
      </w:r>
      <w:r w:rsidRPr="00183B5F">
        <w:rPr>
          <w:szCs w:val="22"/>
        </w:rPr>
        <w:t xml:space="preserve"> CI</w:t>
      </w:r>
      <w:r w:rsidR="00B66591" w:rsidRPr="00183B5F">
        <w:rPr>
          <w:szCs w:val="22"/>
        </w:rPr>
        <w:t>:</w:t>
      </w:r>
      <w:r w:rsidRPr="00183B5F">
        <w:rPr>
          <w:szCs w:val="22"/>
        </w:rPr>
        <w:t xml:space="preserve"> 0,45-2,73) </w:t>
      </w:r>
      <w:r w:rsidR="00B66591" w:rsidRPr="00183B5F">
        <w:rPr>
          <w:szCs w:val="22"/>
        </w:rPr>
        <w:t xml:space="preserve">együttesen </w:t>
      </w:r>
      <w:r w:rsidRPr="00183B5F">
        <w:rPr>
          <w:szCs w:val="22"/>
        </w:rPr>
        <w:t>RA-</w:t>
      </w:r>
      <w:r w:rsidR="00B66591" w:rsidRPr="00183B5F">
        <w:rPr>
          <w:szCs w:val="22"/>
        </w:rPr>
        <w:t>ban</w:t>
      </w:r>
      <w:r w:rsidRPr="00183B5F">
        <w:rPr>
          <w:szCs w:val="22"/>
        </w:rPr>
        <w:t xml:space="preserve"> és </w:t>
      </w:r>
      <w:r w:rsidR="0071008C" w:rsidRPr="00183B5F">
        <w:rPr>
          <w:szCs w:val="22"/>
        </w:rPr>
        <w:t>Crohn-betegségben</w:t>
      </w:r>
      <w:r w:rsidRPr="00183B5F">
        <w:rPr>
          <w:szCs w:val="22"/>
        </w:rPr>
        <w:t>. Nem volt határozott különbség az adalimumabbal kezelt és nem kezelt nők esetében a másodlagos végpont</w:t>
      </w:r>
      <w:r w:rsidR="00D93E70" w:rsidRPr="00183B5F">
        <w:rPr>
          <w:szCs w:val="22"/>
        </w:rPr>
        <w:t>ok</w:t>
      </w:r>
      <w:r w:rsidRPr="00183B5F">
        <w:rPr>
          <w:szCs w:val="22"/>
        </w:rPr>
        <w:t>ban, amely</w:t>
      </w:r>
      <w:r w:rsidR="00D93E70" w:rsidRPr="00183B5F">
        <w:rPr>
          <w:szCs w:val="22"/>
        </w:rPr>
        <w:t>ek</w:t>
      </w:r>
      <w:r w:rsidRPr="00183B5F">
        <w:rPr>
          <w:szCs w:val="22"/>
        </w:rPr>
        <w:t xml:space="preserve"> a spontán abortusz, a </w:t>
      </w:r>
      <w:r w:rsidR="006D5882" w:rsidRPr="00183B5F">
        <w:rPr>
          <w:szCs w:val="22"/>
        </w:rPr>
        <w:t>minor</w:t>
      </w:r>
      <w:r w:rsidRPr="00183B5F">
        <w:rPr>
          <w:szCs w:val="22"/>
        </w:rPr>
        <w:t xml:space="preserve"> születési rendellenességek, a koraszülés, a kis születési súly és a súlyos vagy opportunista fertőzések voltak, és nem jelentettek hal</w:t>
      </w:r>
      <w:r w:rsidRPr="00183B5F">
        <w:rPr>
          <w:szCs w:val="22"/>
        </w:rPr>
        <w:t>vaszületést vagy rosszindulatú daganat kialakulást</w:t>
      </w:r>
      <w:r w:rsidR="00D93E70" w:rsidRPr="00183B5F">
        <w:rPr>
          <w:szCs w:val="22"/>
        </w:rPr>
        <w:t xml:space="preserve"> sem</w:t>
      </w:r>
      <w:r w:rsidRPr="00183B5F">
        <w:rPr>
          <w:szCs w:val="22"/>
        </w:rPr>
        <w:t>. Az adatok értelmezésére hatással lehet</w:t>
      </w:r>
      <w:r w:rsidR="00D93E70" w:rsidRPr="00183B5F">
        <w:rPr>
          <w:szCs w:val="22"/>
        </w:rPr>
        <w:t>nek</w:t>
      </w:r>
      <w:r w:rsidRPr="00183B5F">
        <w:rPr>
          <w:szCs w:val="22"/>
        </w:rPr>
        <w:t xml:space="preserve"> a regiszter módszertani korlátai, beleértve a kis mintaszámot és a nem</w:t>
      </w:r>
      <w:r w:rsidR="0071008C" w:rsidRPr="00183B5F">
        <w:rPr>
          <w:szCs w:val="22"/>
        </w:rPr>
        <w:t xml:space="preserve"> </w:t>
      </w:r>
      <w:r w:rsidRPr="00183B5F">
        <w:rPr>
          <w:szCs w:val="22"/>
        </w:rPr>
        <w:t>randomizált elrendezést.</w:t>
      </w:r>
    </w:p>
    <w:p w14:paraId="6236283B" w14:textId="77777777" w:rsidR="00366005" w:rsidRPr="00183B5F" w:rsidRDefault="00366005">
      <w:pPr>
        <w:spacing w:line="240" w:lineRule="auto"/>
        <w:rPr>
          <w:szCs w:val="22"/>
        </w:rPr>
      </w:pPr>
    </w:p>
    <w:p w14:paraId="52B24902" w14:textId="77777777" w:rsidR="00366005" w:rsidRPr="00183B5F" w:rsidRDefault="00943743">
      <w:pPr>
        <w:spacing w:line="240" w:lineRule="auto"/>
        <w:rPr>
          <w:szCs w:val="22"/>
        </w:rPr>
      </w:pPr>
      <w:r w:rsidRPr="00183B5F">
        <w:rPr>
          <w:szCs w:val="22"/>
        </w:rPr>
        <w:t>Majmokban végzett fejlődés toxicitási vizsgálat során anyai, illetve embriótoxicitásra vagy teratogenitásra utaló eltérést nem észleltek. Az adalimumab postnatalis toxicitást okozó hatására vonatkozó preklinikai adatok nem állnak rendelkezésre (lásd 5.3 pont).</w:t>
      </w:r>
    </w:p>
    <w:p w14:paraId="1CA7A8F2" w14:textId="77777777" w:rsidR="00366005" w:rsidRPr="00183B5F" w:rsidRDefault="00366005">
      <w:pPr>
        <w:spacing w:line="240" w:lineRule="auto"/>
        <w:rPr>
          <w:szCs w:val="22"/>
        </w:rPr>
      </w:pPr>
    </w:p>
    <w:p w14:paraId="67090FDF" w14:textId="77777777" w:rsidR="00366005" w:rsidRPr="00183B5F" w:rsidRDefault="00943743">
      <w:pPr>
        <w:spacing w:line="240" w:lineRule="auto"/>
        <w:rPr>
          <w:szCs w:val="22"/>
        </w:rPr>
      </w:pPr>
      <w:r w:rsidRPr="00183B5F">
        <w:rPr>
          <w:szCs w:val="22"/>
        </w:rPr>
        <w:t>A TNF</w:t>
      </w:r>
      <w:r w:rsidRPr="00183B5F">
        <w:rPr>
          <w:szCs w:val="22"/>
        </w:rPr>
        <w:noBreakHyphen/>
        <w:t>alfa</w:t>
      </w:r>
      <w:r w:rsidR="00C15375" w:rsidRPr="00183B5F">
        <w:rPr>
          <w:szCs w:val="22"/>
        </w:rPr>
        <w:t>-</w:t>
      </w:r>
      <w:r w:rsidRPr="00183B5F">
        <w:rPr>
          <w:szCs w:val="22"/>
        </w:rPr>
        <w:t xml:space="preserve">gátlást okozó hatása miatt a terhesség alatt adott adalimumab befolyásolhatja az újszülött normális immunreakcióit. </w:t>
      </w:r>
      <w:r w:rsidR="00F131EA" w:rsidRPr="00183B5F">
        <w:rPr>
          <w:szCs w:val="22"/>
        </w:rPr>
        <w:t xml:space="preserve">Az adalimumab csak akkor alkalmazható terhesség alatt, ha </w:t>
      </w:r>
      <w:r w:rsidR="006D5882" w:rsidRPr="00183B5F">
        <w:rPr>
          <w:szCs w:val="22"/>
        </w:rPr>
        <w:t>egyértelműen</w:t>
      </w:r>
      <w:r w:rsidR="00F131EA" w:rsidRPr="00183B5F">
        <w:rPr>
          <w:szCs w:val="22"/>
        </w:rPr>
        <w:t xml:space="preserve"> szükséges.</w:t>
      </w:r>
    </w:p>
    <w:p w14:paraId="61B2D48C" w14:textId="77777777" w:rsidR="00366005" w:rsidRPr="00183B5F" w:rsidRDefault="00366005">
      <w:pPr>
        <w:spacing w:line="240" w:lineRule="auto"/>
        <w:rPr>
          <w:b/>
          <w:szCs w:val="22"/>
        </w:rPr>
      </w:pPr>
    </w:p>
    <w:p w14:paraId="2490E656" w14:textId="77777777" w:rsidR="00366005" w:rsidRPr="00183B5F" w:rsidRDefault="00943743">
      <w:pPr>
        <w:spacing w:line="240" w:lineRule="auto"/>
        <w:rPr>
          <w:szCs w:val="22"/>
        </w:rPr>
      </w:pPr>
      <w:r w:rsidRPr="00183B5F">
        <w:rPr>
          <w:szCs w:val="22"/>
        </w:rPr>
        <w:t>A terhesség alatt adalimumabbal kezelt nőknél az adalimumab a placentán átjutva bekerülhet a csecsemő szérumába. Emiatt ezeknél a csecsemőknél fokozott a fertőzések kialakulásának a kockázata. Az intrauterin adalimumab-expozíciónak kitett csecsemőknél az anya által a terhesség alatt kapott utolsó adalimumab</w:t>
      </w:r>
      <w:r w:rsidR="00626979" w:rsidRPr="00183B5F">
        <w:rPr>
          <w:szCs w:val="22"/>
        </w:rPr>
        <w:t>-</w:t>
      </w:r>
      <w:r w:rsidRPr="00183B5F">
        <w:rPr>
          <w:szCs w:val="22"/>
        </w:rPr>
        <w:t xml:space="preserve">injekció után 5 hónapig nem ajánlott az élő kórokozót tartalmazó védőoltás </w:t>
      </w:r>
      <w:r w:rsidR="00BE77E2" w:rsidRPr="00183B5F">
        <w:rPr>
          <w:szCs w:val="22"/>
        </w:rPr>
        <w:t>(pl. BCG</w:t>
      </w:r>
      <w:r w:rsidR="00C15375" w:rsidRPr="00183B5F">
        <w:rPr>
          <w:szCs w:val="22"/>
        </w:rPr>
        <w:t>-</w:t>
      </w:r>
      <w:r w:rsidR="00BE77E2" w:rsidRPr="00183B5F">
        <w:rPr>
          <w:szCs w:val="22"/>
        </w:rPr>
        <w:t xml:space="preserve">oltás) </w:t>
      </w:r>
      <w:r w:rsidRPr="00183B5F">
        <w:rPr>
          <w:szCs w:val="22"/>
        </w:rPr>
        <w:t>adása.</w:t>
      </w:r>
    </w:p>
    <w:p w14:paraId="65E14529" w14:textId="77777777" w:rsidR="00366005" w:rsidRPr="00183B5F" w:rsidRDefault="00366005">
      <w:pPr>
        <w:spacing w:line="240" w:lineRule="auto"/>
        <w:rPr>
          <w:szCs w:val="22"/>
        </w:rPr>
      </w:pPr>
    </w:p>
    <w:p w14:paraId="0E272085" w14:textId="77777777" w:rsidR="00366005" w:rsidRPr="00183B5F" w:rsidRDefault="00943743">
      <w:pPr>
        <w:keepNext/>
        <w:spacing w:line="240" w:lineRule="auto"/>
        <w:rPr>
          <w:szCs w:val="22"/>
          <w:u w:val="single"/>
        </w:rPr>
      </w:pPr>
      <w:r w:rsidRPr="00183B5F">
        <w:rPr>
          <w:szCs w:val="22"/>
          <w:u w:val="single"/>
        </w:rPr>
        <w:t>Szoptatás</w:t>
      </w:r>
    </w:p>
    <w:p w14:paraId="0E175401" w14:textId="77777777" w:rsidR="00366005" w:rsidRPr="00183B5F" w:rsidRDefault="00366005">
      <w:pPr>
        <w:keepNext/>
        <w:spacing w:line="240" w:lineRule="auto"/>
        <w:rPr>
          <w:b/>
          <w:szCs w:val="22"/>
        </w:rPr>
      </w:pPr>
    </w:p>
    <w:p w14:paraId="2FFE5AFE" w14:textId="77777777" w:rsidR="00366005" w:rsidRPr="00183B5F" w:rsidRDefault="00943743" w:rsidP="00E87C31">
      <w:pPr>
        <w:rPr>
          <w:szCs w:val="22"/>
        </w:rPr>
      </w:pPr>
      <w:r w:rsidRPr="00183B5F">
        <w:rPr>
          <w:szCs w:val="22"/>
        </w:rPr>
        <w:t xml:space="preserve">A szakirodalomban </w:t>
      </w:r>
      <w:r w:rsidR="006D5882" w:rsidRPr="00183B5F">
        <w:rPr>
          <w:szCs w:val="22"/>
        </w:rPr>
        <w:t>közzétett</w:t>
      </w:r>
      <w:r w:rsidRPr="00183B5F">
        <w:rPr>
          <w:szCs w:val="22"/>
        </w:rPr>
        <w:t xml:space="preserve"> korlátozott mennyiségű információ alapján </w:t>
      </w:r>
      <w:r w:rsidR="0088049D" w:rsidRPr="00183B5F">
        <w:rPr>
          <w:szCs w:val="22"/>
        </w:rPr>
        <w:t>az adalimumab nagyon kis koncentrációban kiválasztódik az anyatejbe, az anyai szérumszint 0,1</w:t>
      </w:r>
      <w:r w:rsidR="0088049D" w:rsidRPr="00183B5F">
        <w:rPr>
          <w:szCs w:val="22"/>
        </w:rPr>
        <w:noBreakHyphen/>
        <w:t>1%</w:t>
      </w:r>
      <w:r w:rsidR="0088049D" w:rsidRPr="00183B5F">
        <w:rPr>
          <w:szCs w:val="22"/>
        </w:rPr>
        <w:noBreakHyphen/>
      </w:r>
      <w:r w:rsidR="005F7E48" w:rsidRPr="00183B5F">
        <w:rPr>
          <w:szCs w:val="22"/>
        </w:rPr>
        <w:t>á</w:t>
      </w:r>
      <w:r w:rsidR="0088049D" w:rsidRPr="00183B5F">
        <w:rPr>
          <w:szCs w:val="22"/>
        </w:rPr>
        <w:t xml:space="preserve">ban van jelen. </w:t>
      </w:r>
      <w:r w:rsidR="004D2348" w:rsidRPr="00183B5F">
        <w:rPr>
          <w:szCs w:val="22"/>
        </w:rPr>
        <w:t>Szájon át adva, az immunglobulin G</w:t>
      </w:r>
      <w:r w:rsidR="0029612D" w:rsidRPr="00183B5F">
        <w:rPr>
          <w:szCs w:val="22"/>
        </w:rPr>
        <w:t>-</w:t>
      </w:r>
      <w:r w:rsidR="004D2348" w:rsidRPr="00183B5F">
        <w:rPr>
          <w:szCs w:val="22"/>
        </w:rPr>
        <w:t>fehérjék intestin</w:t>
      </w:r>
      <w:r w:rsidR="002A7538" w:rsidRPr="00183B5F">
        <w:rPr>
          <w:szCs w:val="22"/>
        </w:rPr>
        <w:t>a</w:t>
      </w:r>
      <w:r w:rsidR="004D2348" w:rsidRPr="00183B5F">
        <w:rPr>
          <w:szCs w:val="22"/>
        </w:rPr>
        <w:t>lis proteolízist szenvednek</w:t>
      </w:r>
      <w:r w:rsidR="002A7538" w:rsidRPr="00183B5F">
        <w:rPr>
          <w:szCs w:val="22"/>
        </w:rPr>
        <w:t>,</w:t>
      </w:r>
      <w:r w:rsidR="004D2348" w:rsidRPr="00183B5F">
        <w:rPr>
          <w:szCs w:val="22"/>
        </w:rPr>
        <w:t xml:space="preserve"> és a biohasznosulásuk</w:t>
      </w:r>
      <w:r w:rsidR="00860FF6" w:rsidRPr="00183B5F">
        <w:rPr>
          <w:szCs w:val="22"/>
        </w:rPr>
        <w:t xml:space="preserve"> csekély</w:t>
      </w:r>
      <w:r w:rsidR="004D2348" w:rsidRPr="00183B5F">
        <w:rPr>
          <w:szCs w:val="22"/>
        </w:rPr>
        <w:t>.</w:t>
      </w:r>
      <w:r w:rsidR="002A7538" w:rsidRPr="00183B5F">
        <w:rPr>
          <w:szCs w:val="22"/>
        </w:rPr>
        <w:t xml:space="preserve"> N</w:t>
      </w:r>
      <w:r w:rsidR="009B52A2" w:rsidRPr="00183B5F">
        <w:rPr>
          <w:szCs w:val="22"/>
        </w:rPr>
        <w:t xml:space="preserve">em </w:t>
      </w:r>
      <w:r w:rsidR="00987855" w:rsidRPr="00183B5F">
        <w:rPr>
          <w:szCs w:val="22"/>
        </w:rPr>
        <w:t>várható</w:t>
      </w:r>
      <w:r w:rsidR="002A7538" w:rsidRPr="00183B5F">
        <w:rPr>
          <w:szCs w:val="22"/>
        </w:rPr>
        <w:t>ak</w:t>
      </w:r>
      <w:r w:rsidR="00987855" w:rsidRPr="00183B5F">
        <w:rPr>
          <w:szCs w:val="22"/>
        </w:rPr>
        <w:t xml:space="preserve"> </w:t>
      </w:r>
      <w:r w:rsidR="009B52A2" w:rsidRPr="00183B5F">
        <w:rPr>
          <w:szCs w:val="22"/>
        </w:rPr>
        <w:t xml:space="preserve">a </w:t>
      </w:r>
      <w:r w:rsidR="00987855" w:rsidRPr="00183B5F">
        <w:rPr>
          <w:szCs w:val="22"/>
        </w:rPr>
        <w:t>szoptatott újszülöttekre/csecsemőkre</w:t>
      </w:r>
      <w:r w:rsidR="009B52A2" w:rsidRPr="00183B5F">
        <w:rPr>
          <w:szCs w:val="22"/>
        </w:rPr>
        <w:t xml:space="preserve"> </w:t>
      </w:r>
      <w:r w:rsidR="002A7538" w:rsidRPr="00183B5F">
        <w:rPr>
          <w:szCs w:val="22"/>
        </w:rPr>
        <w:t>gyakorolt hatások</w:t>
      </w:r>
      <w:r w:rsidR="009B52A2" w:rsidRPr="00183B5F">
        <w:rPr>
          <w:szCs w:val="22"/>
        </w:rPr>
        <w:t>. Következésképpen a Humira alkalmazható szoptatás alatt.</w:t>
      </w:r>
    </w:p>
    <w:p w14:paraId="4BF597B1" w14:textId="77777777" w:rsidR="00366005" w:rsidRPr="00183B5F" w:rsidRDefault="00366005">
      <w:pPr>
        <w:spacing w:line="240" w:lineRule="auto"/>
        <w:rPr>
          <w:b/>
          <w:szCs w:val="22"/>
        </w:rPr>
      </w:pPr>
    </w:p>
    <w:p w14:paraId="27C93DD7" w14:textId="77777777" w:rsidR="00366005" w:rsidRPr="00183B5F" w:rsidRDefault="00943743">
      <w:pPr>
        <w:keepNext/>
        <w:spacing w:line="240" w:lineRule="auto"/>
        <w:rPr>
          <w:szCs w:val="22"/>
          <w:u w:val="single"/>
        </w:rPr>
      </w:pPr>
      <w:r w:rsidRPr="00183B5F">
        <w:rPr>
          <w:szCs w:val="22"/>
          <w:u w:val="single"/>
        </w:rPr>
        <w:t>Termékenység</w:t>
      </w:r>
    </w:p>
    <w:p w14:paraId="6E562117" w14:textId="77777777" w:rsidR="00366005" w:rsidRPr="00183B5F" w:rsidRDefault="00366005">
      <w:pPr>
        <w:keepNext/>
        <w:spacing w:line="240" w:lineRule="auto"/>
        <w:rPr>
          <w:szCs w:val="22"/>
        </w:rPr>
      </w:pPr>
    </w:p>
    <w:p w14:paraId="79407433" w14:textId="77777777" w:rsidR="00366005" w:rsidRPr="00183B5F" w:rsidRDefault="00943743">
      <w:pPr>
        <w:spacing w:line="240" w:lineRule="auto"/>
        <w:rPr>
          <w:szCs w:val="22"/>
        </w:rPr>
      </w:pPr>
      <w:r w:rsidRPr="00183B5F">
        <w:rPr>
          <w:szCs w:val="22"/>
        </w:rPr>
        <w:t>Nem áll rendelkezésre preklinikai adat az adalimumab termékenységre gyakorolt hatásával kapcsolatban.</w:t>
      </w:r>
    </w:p>
    <w:p w14:paraId="38B6CAAE" w14:textId="77777777" w:rsidR="00366005" w:rsidRPr="00183B5F" w:rsidRDefault="00366005">
      <w:pPr>
        <w:spacing w:line="240" w:lineRule="auto"/>
        <w:rPr>
          <w:b/>
          <w:szCs w:val="22"/>
        </w:rPr>
      </w:pPr>
    </w:p>
    <w:p w14:paraId="578A3C51" w14:textId="77777777" w:rsidR="00366005" w:rsidRPr="00183B5F" w:rsidRDefault="00943743">
      <w:pPr>
        <w:keepNext/>
        <w:spacing w:line="240" w:lineRule="auto"/>
        <w:rPr>
          <w:b/>
          <w:szCs w:val="22"/>
        </w:rPr>
      </w:pPr>
      <w:r w:rsidRPr="00183B5F">
        <w:rPr>
          <w:b/>
          <w:szCs w:val="22"/>
        </w:rPr>
        <w:t>4.7</w:t>
      </w:r>
      <w:r w:rsidRPr="00183B5F">
        <w:rPr>
          <w:b/>
          <w:szCs w:val="22"/>
        </w:rPr>
        <w:tab/>
        <w:t>A készítmény hatásai a gépjárművezetéshez és a gépek kezeléséhez szükséges képességekre</w:t>
      </w:r>
    </w:p>
    <w:p w14:paraId="6D38D7B9" w14:textId="77777777" w:rsidR="00366005" w:rsidRPr="00183B5F" w:rsidRDefault="00366005">
      <w:pPr>
        <w:keepNext/>
        <w:spacing w:line="240" w:lineRule="auto"/>
        <w:rPr>
          <w:b/>
          <w:szCs w:val="22"/>
        </w:rPr>
      </w:pPr>
    </w:p>
    <w:p w14:paraId="38B8CE6A" w14:textId="77777777" w:rsidR="00366005" w:rsidRPr="00183B5F" w:rsidRDefault="00943743">
      <w:pPr>
        <w:spacing w:line="240" w:lineRule="auto"/>
        <w:rPr>
          <w:szCs w:val="22"/>
        </w:rPr>
      </w:pPr>
      <w:r w:rsidRPr="00183B5F">
        <w:rPr>
          <w:szCs w:val="22"/>
        </w:rPr>
        <w:t xml:space="preserve">A Humira csekély mértékben befolyásolhatja a gépjárművezetéshez és a gépek </w:t>
      </w:r>
      <w:r w:rsidRPr="00183B5F">
        <w:rPr>
          <w:noProof/>
          <w:szCs w:val="22"/>
        </w:rPr>
        <w:t>kezeléséhez</w:t>
      </w:r>
      <w:r w:rsidRPr="00183B5F">
        <w:rPr>
          <w:szCs w:val="22"/>
        </w:rPr>
        <w:t xml:space="preserve"> szükséges képességeket. A Humira alkalmazását követően vertigo és látásromlás fordulhat elő (lásd 4.8 pont).</w:t>
      </w:r>
    </w:p>
    <w:p w14:paraId="24D39C3D" w14:textId="77777777" w:rsidR="00366005" w:rsidRPr="00183B5F" w:rsidRDefault="00366005">
      <w:pPr>
        <w:spacing w:line="240" w:lineRule="auto"/>
        <w:rPr>
          <w:b/>
          <w:szCs w:val="22"/>
        </w:rPr>
      </w:pPr>
    </w:p>
    <w:p w14:paraId="651DA0EE" w14:textId="77777777" w:rsidR="00366005" w:rsidRPr="00183B5F" w:rsidRDefault="00943743">
      <w:pPr>
        <w:spacing w:line="240" w:lineRule="auto"/>
        <w:rPr>
          <w:b/>
          <w:szCs w:val="22"/>
        </w:rPr>
      </w:pPr>
      <w:r w:rsidRPr="00183B5F">
        <w:rPr>
          <w:b/>
          <w:szCs w:val="22"/>
        </w:rPr>
        <w:t>4.8</w:t>
      </w:r>
      <w:r w:rsidRPr="00183B5F">
        <w:rPr>
          <w:b/>
          <w:szCs w:val="22"/>
        </w:rPr>
        <w:tab/>
        <w:t>Nemkívánatos hatások, mellékhatások</w:t>
      </w:r>
    </w:p>
    <w:p w14:paraId="3CB3C352" w14:textId="77777777" w:rsidR="00366005" w:rsidRPr="00183B5F" w:rsidRDefault="00366005">
      <w:pPr>
        <w:spacing w:line="240" w:lineRule="auto"/>
        <w:rPr>
          <w:b/>
          <w:szCs w:val="22"/>
        </w:rPr>
      </w:pPr>
    </w:p>
    <w:p w14:paraId="5758FA1A" w14:textId="77777777" w:rsidR="00366005" w:rsidRPr="00183B5F" w:rsidRDefault="00943743">
      <w:pPr>
        <w:spacing w:line="240" w:lineRule="auto"/>
        <w:rPr>
          <w:szCs w:val="22"/>
          <w:u w:val="single"/>
        </w:rPr>
      </w:pPr>
      <w:r w:rsidRPr="00183B5F">
        <w:rPr>
          <w:szCs w:val="22"/>
          <w:u w:val="single"/>
        </w:rPr>
        <w:t>A biztonságossági profil összefoglalása</w:t>
      </w:r>
    </w:p>
    <w:p w14:paraId="0B7FA512" w14:textId="77777777" w:rsidR="00366005" w:rsidRPr="00183B5F" w:rsidRDefault="00366005">
      <w:pPr>
        <w:spacing w:line="240" w:lineRule="auto"/>
        <w:rPr>
          <w:b/>
          <w:szCs w:val="22"/>
        </w:rPr>
      </w:pPr>
    </w:p>
    <w:p w14:paraId="3AEC4D0D" w14:textId="77777777" w:rsidR="00366005" w:rsidRPr="00183B5F" w:rsidRDefault="00943743">
      <w:pPr>
        <w:spacing w:line="240" w:lineRule="auto"/>
        <w:rPr>
          <w:szCs w:val="22"/>
        </w:rPr>
      </w:pPr>
      <w:r w:rsidRPr="00183B5F">
        <w:rPr>
          <w:szCs w:val="22"/>
        </w:rPr>
        <w:t>A Humira</w:t>
      </w:r>
      <w:r w:rsidRPr="00183B5F">
        <w:rPr>
          <w:szCs w:val="22"/>
        </w:rPr>
        <w:noBreakHyphen/>
        <w:t xml:space="preserve">t 9506 beteg bevonásával tanulmányozták pivotális, kontrollos és nyílt vizsgálatokban, 60 hónapig vagy még tovább. Ezekbe a vizsgálatokba rövidebb vagy hosszabb ideje rheumatoid arthritisben, juvenilis idiopathiás arthritisben (polyarticularis juvenilis idiopathiás arthritisben és </w:t>
      </w:r>
      <w:r w:rsidR="00677908" w:rsidRPr="00183B5F">
        <w:rPr>
          <w:szCs w:val="22"/>
        </w:rPr>
        <w:t>enthesitis-asszociált</w:t>
      </w:r>
      <w:r w:rsidRPr="00183B5F">
        <w:rPr>
          <w:szCs w:val="22"/>
        </w:rPr>
        <w:t xml:space="preserve"> arthritisben), valamint axialis spondyloarthritisben (spondylitis ankylopoeticában és </w:t>
      </w:r>
      <w:r w:rsidRPr="00183B5F">
        <w:rPr>
          <w:rFonts w:eastAsia="SimSun"/>
          <w:szCs w:val="22"/>
          <w:lang w:eastAsia="zh-CN"/>
        </w:rPr>
        <w:t>a spondylitis ankylopoeticának (SPA) megfelelő röntgeneltéréssel nem járó</w:t>
      </w:r>
      <w:r w:rsidRPr="00183B5F">
        <w:rPr>
          <w:szCs w:val="22"/>
        </w:rPr>
        <w:t xml:space="preserve"> axiális spondyloarthritisben), arthritis psoria</w:t>
      </w:r>
      <w:r w:rsidRPr="00183B5F">
        <w:rPr>
          <w:szCs w:val="22"/>
        </w:rPr>
        <w:t>ticában, Crohn</w:t>
      </w:r>
      <w:r w:rsidRPr="00183B5F">
        <w:rPr>
          <w:szCs w:val="22"/>
        </w:rPr>
        <w:noBreakHyphen/>
        <w:t>betegségben, colitis ulcerosában, psoriasisban</w:t>
      </w:r>
      <w:r w:rsidR="00FD3AF2" w:rsidRPr="00183B5F">
        <w:rPr>
          <w:szCs w:val="22"/>
        </w:rPr>
        <w:t>,</w:t>
      </w:r>
      <w:r w:rsidRPr="00183B5F">
        <w:rPr>
          <w:szCs w:val="22"/>
        </w:rPr>
        <w:t xml:space="preserve"> hidradenitis suppurativában és uveitisben szenvedő betegeket választottak be. A pivotális, kontrollos vizsgálatok, amelyek során 6089 beteg részesült Humira</w:t>
      </w:r>
      <w:r w:rsidRPr="00183B5F">
        <w:rPr>
          <w:szCs w:val="22"/>
        </w:rPr>
        <w:noBreakHyphen/>
        <w:t>kezelésben és 3801 beteg kapott placebót vagy aktív összehasonlító gyógyszert a kontrollos periódusban és a spontán jelentés során.</w:t>
      </w:r>
    </w:p>
    <w:p w14:paraId="1654B754" w14:textId="77777777" w:rsidR="00366005" w:rsidRPr="00183B5F" w:rsidRDefault="00366005">
      <w:pPr>
        <w:suppressAutoHyphens w:val="0"/>
        <w:spacing w:line="240" w:lineRule="auto"/>
        <w:rPr>
          <w:szCs w:val="22"/>
        </w:rPr>
      </w:pPr>
    </w:p>
    <w:p w14:paraId="4B09CF8E" w14:textId="77777777" w:rsidR="00366005" w:rsidRPr="00183B5F" w:rsidRDefault="00943743">
      <w:pPr>
        <w:spacing w:line="240" w:lineRule="auto"/>
        <w:rPr>
          <w:szCs w:val="22"/>
        </w:rPr>
      </w:pPr>
      <w:r w:rsidRPr="00183B5F">
        <w:rPr>
          <w:szCs w:val="22"/>
        </w:rPr>
        <w:t>Azon betegek aránya, akik a pivotális vizsgálatok kettős</w:t>
      </w:r>
      <w:r w:rsidR="00E5381A" w:rsidRPr="00183B5F">
        <w:rPr>
          <w:szCs w:val="22"/>
        </w:rPr>
        <w:t xml:space="preserve"> </w:t>
      </w:r>
      <w:r w:rsidRPr="00183B5F">
        <w:rPr>
          <w:szCs w:val="22"/>
        </w:rPr>
        <w:t>vak, kontrollos részében mellékhatások miatt abbahagyták a kezelést, a Humira</w:t>
      </w:r>
      <w:r w:rsidRPr="00183B5F">
        <w:rPr>
          <w:szCs w:val="22"/>
        </w:rPr>
        <w:noBreakHyphen/>
        <w:t>val kezelt betegcsoportban 5,9%, míg a kontroll kezelt betegeknél 5,4% volt.</w:t>
      </w:r>
    </w:p>
    <w:p w14:paraId="526C63B6" w14:textId="77777777" w:rsidR="00366005" w:rsidRPr="00183B5F" w:rsidRDefault="00366005">
      <w:pPr>
        <w:spacing w:line="240" w:lineRule="auto"/>
        <w:rPr>
          <w:szCs w:val="22"/>
        </w:rPr>
      </w:pPr>
    </w:p>
    <w:p w14:paraId="233A10E4" w14:textId="77777777" w:rsidR="00366005" w:rsidRPr="00183B5F" w:rsidRDefault="00943743">
      <w:pPr>
        <w:spacing w:line="240" w:lineRule="auto"/>
        <w:rPr>
          <w:szCs w:val="22"/>
        </w:rPr>
      </w:pPr>
      <w:r w:rsidRPr="00183B5F">
        <w:rPr>
          <w:szCs w:val="22"/>
        </w:rPr>
        <w:t>A leggyakoribb mellékhatások a fertőzések (mint pl. nasopharyngitis, felső légúti fertőzés és sinusitis), az injekció beadási helyén jelentkező reakciók (erythema, pruritus, suffusio, fájdalom vagy duzzanat), a fejfájás és a mozgásszervi eredetű fájdalom.</w:t>
      </w:r>
    </w:p>
    <w:p w14:paraId="05A6B128" w14:textId="77777777" w:rsidR="00366005" w:rsidRPr="00183B5F" w:rsidRDefault="00366005">
      <w:pPr>
        <w:spacing w:line="240" w:lineRule="auto"/>
        <w:rPr>
          <w:szCs w:val="22"/>
        </w:rPr>
      </w:pPr>
    </w:p>
    <w:p w14:paraId="66E6F317" w14:textId="77777777" w:rsidR="00366005" w:rsidRPr="00183B5F" w:rsidRDefault="00943743">
      <w:pPr>
        <w:spacing w:line="240" w:lineRule="auto"/>
        <w:rPr>
          <w:szCs w:val="22"/>
        </w:rPr>
      </w:pPr>
      <w:r w:rsidRPr="00183B5F">
        <w:rPr>
          <w:szCs w:val="22"/>
        </w:rPr>
        <w:t>Súlyos mellékhatásokról is beszámoltak a Humira alkalmazása során. A TNF</w:t>
      </w:r>
      <w:r w:rsidRPr="00183B5F">
        <w:rPr>
          <w:szCs w:val="22"/>
        </w:rPr>
        <w:noBreakHyphen/>
        <w:t>antagonisták, így a Humira is befolyásolja az immunrendszert, és alkalmazásuk megváltoztathatja a szervezet fertőzésekkel és daganatokkal szembeni védekező képességét.</w:t>
      </w:r>
    </w:p>
    <w:p w14:paraId="4508B5F6" w14:textId="77777777" w:rsidR="00366005" w:rsidRPr="00183B5F" w:rsidRDefault="00943743">
      <w:pPr>
        <w:spacing w:line="240" w:lineRule="auto"/>
        <w:rPr>
          <w:szCs w:val="22"/>
        </w:rPr>
      </w:pPr>
      <w:r w:rsidRPr="00183B5F">
        <w:rPr>
          <w:szCs w:val="22"/>
        </w:rPr>
        <w:t>A Humira alkalmazása során beszámoltak fatális és életveszélyes fertőzésekről (beleértve a szepszist, az oppurtunista fertőzést és a TBC</w:t>
      </w:r>
      <w:r w:rsidRPr="00183B5F">
        <w:rPr>
          <w:szCs w:val="22"/>
        </w:rPr>
        <w:noBreakHyphen/>
        <w:t>t), HBV</w:t>
      </w:r>
      <w:r w:rsidR="000A456B" w:rsidRPr="00183B5F">
        <w:rPr>
          <w:szCs w:val="22"/>
        </w:rPr>
        <w:t>-</w:t>
      </w:r>
      <w:r w:rsidRPr="00183B5F">
        <w:rPr>
          <w:szCs w:val="22"/>
        </w:rPr>
        <w:t>reaktiválódásról és különböző malignus betegségekről is (beleértve a leukaemiát, a lymphomát és hepatosplenicus T</w:t>
      </w:r>
      <w:r w:rsidRPr="00183B5F">
        <w:rPr>
          <w:szCs w:val="22"/>
        </w:rPr>
        <w:noBreakHyphen/>
        <w:t>sejtes lymphomát).</w:t>
      </w:r>
    </w:p>
    <w:p w14:paraId="7A397AD3" w14:textId="77777777" w:rsidR="00366005" w:rsidRPr="00183B5F" w:rsidRDefault="00366005">
      <w:pPr>
        <w:spacing w:line="240" w:lineRule="auto"/>
        <w:rPr>
          <w:szCs w:val="22"/>
        </w:rPr>
      </w:pPr>
    </w:p>
    <w:p w14:paraId="0A29F667" w14:textId="77777777" w:rsidR="00366005" w:rsidRPr="00183B5F" w:rsidRDefault="00943743">
      <w:pPr>
        <w:spacing w:line="240" w:lineRule="auto"/>
        <w:rPr>
          <w:szCs w:val="22"/>
        </w:rPr>
      </w:pPr>
      <w:r w:rsidRPr="00183B5F">
        <w:rPr>
          <w:szCs w:val="22"/>
        </w:rPr>
        <w:t>Súlyos haematol</w:t>
      </w:r>
      <w:r w:rsidR="00FD3AF2" w:rsidRPr="00183B5F">
        <w:rPr>
          <w:szCs w:val="22"/>
        </w:rPr>
        <w:t>ó</w:t>
      </w:r>
      <w:r w:rsidRPr="00183B5F">
        <w:rPr>
          <w:szCs w:val="22"/>
        </w:rPr>
        <w:t>giai, neurológiai és autoimmun folyamatokról is beszámoltak, mint pl. pancytopenia, aplasticus anaemia, központi és perifériás demyelinisatiós betegségek néhány esete, lupus erythemato</w:t>
      </w:r>
      <w:r w:rsidR="00004B4F" w:rsidRPr="00183B5F">
        <w:rPr>
          <w:szCs w:val="22"/>
        </w:rPr>
        <w:t>sus</w:t>
      </w:r>
      <w:r w:rsidRPr="00183B5F">
        <w:rPr>
          <w:szCs w:val="22"/>
        </w:rPr>
        <w:t>, lupus</w:t>
      </w:r>
      <w:r w:rsidRPr="00183B5F">
        <w:rPr>
          <w:szCs w:val="22"/>
        </w:rPr>
        <w:noBreakHyphen/>
        <w:t>szal összefüggő betegségek és Stevens</w:t>
      </w:r>
      <w:r w:rsidR="00004B4F" w:rsidRPr="00183B5F">
        <w:rPr>
          <w:szCs w:val="22"/>
        </w:rPr>
        <w:t>–</w:t>
      </w:r>
      <w:r w:rsidRPr="00183B5F">
        <w:rPr>
          <w:szCs w:val="22"/>
        </w:rPr>
        <w:t>Johnson</w:t>
      </w:r>
      <w:r w:rsidR="00C30980" w:rsidRPr="00183B5F">
        <w:rPr>
          <w:szCs w:val="22"/>
        </w:rPr>
        <w:t>-</w:t>
      </w:r>
      <w:r w:rsidRPr="00183B5F">
        <w:rPr>
          <w:szCs w:val="22"/>
        </w:rPr>
        <w:t>szindróma.</w:t>
      </w:r>
    </w:p>
    <w:p w14:paraId="06DE89BD" w14:textId="77777777" w:rsidR="00366005" w:rsidRPr="00183B5F" w:rsidRDefault="00366005">
      <w:pPr>
        <w:spacing w:line="240" w:lineRule="auto"/>
        <w:rPr>
          <w:iCs/>
          <w:szCs w:val="22"/>
          <w:u w:val="single"/>
        </w:rPr>
      </w:pPr>
    </w:p>
    <w:p w14:paraId="2256D39B" w14:textId="77777777" w:rsidR="00366005" w:rsidRPr="00183B5F" w:rsidRDefault="00943743">
      <w:pPr>
        <w:keepNext/>
        <w:spacing w:line="240" w:lineRule="auto"/>
        <w:rPr>
          <w:iCs/>
          <w:szCs w:val="22"/>
          <w:u w:val="single"/>
        </w:rPr>
      </w:pPr>
      <w:r w:rsidRPr="00183B5F">
        <w:rPr>
          <w:iCs/>
          <w:szCs w:val="22"/>
          <w:u w:val="single"/>
        </w:rPr>
        <w:t>Gyermekek</w:t>
      </w:r>
      <w:r w:rsidR="00FD3AF2" w:rsidRPr="00183B5F">
        <w:rPr>
          <w:iCs/>
          <w:szCs w:val="22"/>
          <w:u w:val="single"/>
        </w:rPr>
        <w:t xml:space="preserve"> és serdülők</w:t>
      </w:r>
    </w:p>
    <w:p w14:paraId="7800A0C5" w14:textId="77777777" w:rsidR="00366005" w:rsidRPr="00183B5F" w:rsidRDefault="00366005">
      <w:pPr>
        <w:keepNext/>
        <w:spacing w:line="240" w:lineRule="auto"/>
        <w:rPr>
          <w:iCs/>
          <w:szCs w:val="22"/>
          <w:u w:val="single"/>
        </w:rPr>
      </w:pPr>
    </w:p>
    <w:p w14:paraId="4B24A000" w14:textId="77777777" w:rsidR="00366005" w:rsidRPr="00183B5F" w:rsidRDefault="00943743">
      <w:pPr>
        <w:spacing w:line="240" w:lineRule="auto"/>
        <w:rPr>
          <w:szCs w:val="22"/>
        </w:rPr>
      </w:pPr>
      <w:r w:rsidRPr="00183B5F">
        <w:rPr>
          <w:szCs w:val="22"/>
        </w:rPr>
        <w:t xml:space="preserve">Általában véve a </w:t>
      </w:r>
      <w:r w:rsidR="00004B4F" w:rsidRPr="00183B5F">
        <w:rPr>
          <w:szCs w:val="22"/>
        </w:rPr>
        <w:t>gyermekeknél és serdülőknél</w:t>
      </w:r>
      <w:r w:rsidRPr="00183B5F">
        <w:rPr>
          <w:szCs w:val="22"/>
        </w:rPr>
        <w:t xml:space="preserve"> megfigyelt nemkívánatos események gyakorisága és típusa hasonló volt azokhoz, mint amiket a felnőtt betegeknél észleltek.</w:t>
      </w:r>
    </w:p>
    <w:p w14:paraId="571AF258" w14:textId="77777777" w:rsidR="00366005" w:rsidRPr="00183B5F" w:rsidRDefault="00366005">
      <w:pPr>
        <w:spacing w:line="240" w:lineRule="auto"/>
      </w:pPr>
    </w:p>
    <w:p w14:paraId="3FD00BB6" w14:textId="77777777" w:rsidR="00366005" w:rsidRPr="00183B5F" w:rsidRDefault="00943743">
      <w:pPr>
        <w:keepNext/>
        <w:spacing w:line="240" w:lineRule="auto"/>
        <w:rPr>
          <w:szCs w:val="22"/>
          <w:u w:val="single"/>
        </w:rPr>
      </w:pPr>
      <w:r w:rsidRPr="00183B5F">
        <w:rPr>
          <w:szCs w:val="22"/>
          <w:u w:val="single"/>
        </w:rPr>
        <w:t>A mellékhatások táblázatos felsorolása</w:t>
      </w:r>
    </w:p>
    <w:p w14:paraId="2B5E149E" w14:textId="77777777" w:rsidR="00366005" w:rsidRPr="00183B5F" w:rsidRDefault="00366005">
      <w:pPr>
        <w:keepNext/>
        <w:spacing w:line="240" w:lineRule="auto"/>
        <w:rPr>
          <w:szCs w:val="22"/>
          <w:u w:val="single"/>
        </w:rPr>
      </w:pPr>
    </w:p>
    <w:p w14:paraId="5349C086" w14:textId="77777777" w:rsidR="00366005" w:rsidRPr="00183B5F" w:rsidRDefault="00943743">
      <w:pPr>
        <w:keepNext/>
        <w:spacing w:line="240" w:lineRule="auto"/>
        <w:rPr>
          <w:szCs w:val="22"/>
        </w:rPr>
      </w:pPr>
      <w:r w:rsidRPr="00183B5F">
        <w:rPr>
          <w:szCs w:val="22"/>
        </w:rPr>
        <w:t>A 6. táblázatban a klinikai vizsgálatok során és a forgalomba hozatalt követően észlelt mellékhatások szervrendszer és gyakoriság szerint vannak felsorolva: nagyon gyakori (≥ 1/10); gyakori (≥ 1/100 - </w:t>
      </w:r>
      <w:r w:rsidRPr="00183B5F">
        <w:rPr>
          <w:rFonts w:ascii="Symbol" w:hAnsi="Symbol"/>
          <w:szCs w:val="22"/>
        </w:rPr>
        <w:sym w:font="Symbol" w:char="F03C"/>
      </w:r>
      <w:r w:rsidRPr="00183B5F">
        <w:rPr>
          <w:szCs w:val="22"/>
        </w:rPr>
        <w:t> 1/10); nem gyakori (≥ 1/1000 - </w:t>
      </w:r>
      <w:r w:rsidRPr="00183B5F">
        <w:rPr>
          <w:rFonts w:ascii="Symbol" w:hAnsi="Symbol"/>
          <w:szCs w:val="22"/>
        </w:rPr>
        <w:sym w:font="Symbol" w:char="F0A3"/>
      </w:r>
      <w:r w:rsidRPr="00183B5F">
        <w:rPr>
          <w:szCs w:val="22"/>
        </w:rPr>
        <w:t> 1/100), ritka (</w:t>
      </w:r>
      <w:r w:rsidRPr="00183B5F">
        <w:rPr>
          <w:rFonts w:ascii="Symbol" w:hAnsi="Symbol"/>
        </w:rPr>
        <w:sym w:font="Symbol" w:char="F0B3"/>
      </w:r>
      <w:r w:rsidRPr="00183B5F">
        <w:rPr>
          <w:szCs w:val="22"/>
        </w:rPr>
        <w:t xml:space="preserve"> 1/10 000 - </w:t>
      </w:r>
      <w:r w:rsidRPr="00183B5F">
        <w:rPr>
          <w:rFonts w:ascii="Symbol" w:hAnsi="Symbol"/>
          <w:szCs w:val="22"/>
        </w:rPr>
        <w:sym w:font="Symbol" w:char="F0A3"/>
      </w:r>
      <w:r w:rsidRPr="00183B5F">
        <w:rPr>
          <w:szCs w:val="22"/>
        </w:rPr>
        <w:t xml:space="preserve"> 1/1000) és nem ismert (a </w:t>
      </w:r>
      <w:r w:rsidR="00004B4F" w:rsidRPr="00183B5F">
        <w:rPr>
          <w:szCs w:val="22"/>
        </w:rPr>
        <w:t xml:space="preserve">gyakoriság a </w:t>
      </w:r>
      <w:r w:rsidRPr="00183B5F">
        <w:rPr>
          <w:szCs w:val="22"/>
        </w:rPr>
        <w:t xml:space="preserve">rendelkezésre álló adatokból nem állapítható meg). </w:t>
      </w:r>
      <w:r w:rsidRPr="00183B5F">
        <w:rPr>
          <w:bCs/>
          <w:szCs w:val="22"/>
        </w:rPr>
        <w:t>Az egyes gyakorisági kategóriákon belül a mellékhatások csökkenő súlyosság szerint kerülnek megadásra</w:t>
      </w:r>
      <w:r w:rsidRPr="00183B5F">
        <w:rPr>
          <w:szCs w:val="22"/>
        </w:rPr>
        <w:t>. A különböző indikációk esetén előforduló legnagyobb előfordulási gyakoriság került feltüntetésre. A szervrendszeri kategóriák oszlopában csillag (*) jelzi, ha további információ található a 4.3, 4.4 és 4.8 pontban.</w:t>
      </w:r>
    </w:p>
    <w:p w14:paraId="4F6BA753" w14:textId="77777777" w:rsidR="00366005" w:rsidRPr="00183B5F" w:rsidRDefault="00366005">
      <w:pPr>
        <w:suppressAutoHyphens w:val="0"/>
        <w:spacing w:line="240" w:lineRule="auto"/>
        <w:rPr>
          <w:szCs w:val="22"/>
        </w:rPr>
      </w:pPr>
    </w:p>
    <w:p w14:paraId="6FFF0267" w14:textId="77777777" w:rsidR="00366005" w:rsidRPr="00183B5F" w:rsidRDefault="00943743">
      <w:pPr>
        <w:keepNext/>
        <w:suppressAutoHyphens w:val="0"/>
        <w:spacing w:line="240" w:lineRule="auto"/>
        <w:ind w:left="360"/>
        <w:jc w:val="center"/>
        <w:rPr>
          <w:b/>
          <w:szCs w:val="22"/>
        </w:rPr>
      </w:pPr>
      <w:r w:rsidRPr="00183B5F">
        <w:rPr>
          <w:b/>
          <w:szCs w:val="22"/>
        </w:rPr>
        <w:t>6. táblázat</w:t>
      </w:r>
    </w:p>
    <w:p w14:paraId="250C0ECC" w14:textId="77777777" w:rsidR="00366005" w:rsidRPr="00183B5F" w:rsidRDefault="00943743">
      <w:pPr>
        <w:keepNext/>
        <w:suppressAutoHyphens w:val="0"/>
        <w:spacing w:line="240" w:lineRule="auto"/>
        <w:jc w:val="center"/>
        <w:rPr>
          <w:b/>
          <w:szCs w:val="22"/>
        </w:rPr>
      </w:pPr>
      <w:r w:rsidRPr="00183B5F">
        <w:rPr>
          <w:b/>
          <w:szCs w:val="22"/>
        </w:rPr>
        <w:t>Nemkívánatos hatások</w:t>
      </w:r>
    </w:p>
    <w:p w14:paraId="5AA078CE" w14:textId="77777777" w:rsidR="00366005" w:rsidRPr="00183B5F" w:rsidRDefault="00366005">
      <w:pPr>
        <w:keepNext/>
        <w:suppressAutoHyphens w:val="0"/>
        <w:spacing w:line="240" w:lineRule="auto"/>
        <w:jc w:val="cente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0"/>
        <w:gridCol w:w="2030"/>
        <w:gridCol w:w="4451"/>
      </w:tblGrid>
      <w:tr w:rsidR="00011D2F" w14:paraId="08E08812" w14:textId="77777777" w:rsidTr="00202B95">
        <w:trPr>
          <w:cantSplit/>
          <w:tblHeader/>
        </w:trPr>
        <w:tc>
          <w:tcPr>
            <w:tcW w:w="2580" w:type="dxa"/>
            <w:tcBorders>
              <w:top w:val="single" w:sz="4" w:space="0" w:color="auto"/>
              <w:left w:val="single" w:sz="4" w:space="0" w:color="auto"/>
              <w:bottom w:val="single" w:sz="4" w:space="0" w:color="auto"/>
              <w:right w:val="single" w:sz="4" w:space="0" w:color="auto"/>
            </w:tcBorders>
            <w:hideMark/>
          </w:tcPr>
          <w:p w14:paraId="594768BA" w14:textId="77777777" w:rsidR="00366005" w:rsidRPr="00183B5F" w:rsidRDefault="00943743">
            <w:pPr>
              <w:widowControl w:val="0"/>
              <w:suppressAutoHyphens w:val="0"/>
              <w:spacing w:line="240" w:lineRule="auto"/>
              <w:jc w:val="center"/>
              <w:rPr>
                <w:b/>
                <w:lang w:eastAsia="en-US"/>
              </w:rPr>
            </w:pPr>
            <w:r w:rsidRPr="00183B5F">
              <w:rPr>
                <w:b/>
                <w:lang w:eastAsia="en-US"/>
              </w:rPr>
              <w:t>Szervrendszerenkénti csoportosítás</w:t>
            </w:r>
          </w:p>
        </w:tc>
        <w:tc>
          <w:tcPr>
            <w:tcW w:w="2030" w:type="dxa"/>
            <w:tcBorders>
              <w:top w:val="single" w:sz="4" w:space="0" w:color="auto"/>
              <w:left w:val="single" w:sz="4" w:space="0" w:color="auto"/>
              <w:bottom w:val="single" w:sz="4" w:space="0" w:color="auto"/>
              <w:right w:val="single" w:sz="4" w:space="0" w:color="auto"/>
            </w:tcBorders>
            <w:hideMark/>
          </w:tcPr>
          <w:p w14:paraId="23898502" w14:textId="77777777" w:rsidR="00366005" w:rsidRPr="00183B5F" w:rsidRDefault="00943743">
            <w:pPr>
              <w:widowControl w:val="0"/>
              <w:suppressAutoHyphens w:val="0"/>
              <w:spacing w:line="240" w:lineRule="auto"/>
              <w:jc w:val="center"/>
              <w:rPr>
                <w:b/>
                <w:lang w:eastAsia="en-US"/>
              </w:rPr>
            </w:pPr>
            <w:r w:rsidRPr="00183B5F">
              <w:rPr>
                <w:b/>
                <w:lang w:eastAsia="en-US"/>
              </w:rPr>
              <w:t>Gyakoriság</w:t>
            </w:r>
          </w:p>
        </w:tc>
        <w:tc>
          <w:tcPr>
            <w:tcW w:w="4451" w:type="dxa"/>
            <w:tcBorders>
              <w:top w:val="single" w:sz="4" w:space="0" w:color="auto"/>
              <w:left w:val="single" w:sz="4" w:space="0" w:color="auto"/>
              <w:bottom w:val="single" w:sz="4" w:space="0" w:color="auto"/>
              <w:right w:val="single" w:sz="4" w:space="0" w:color="auto"/>
            </w:tcBorders>
            <w:hideMark/>
          </w:tcPr>
          <w:p w14:paraId="6DC0649B" w14:textId="77777777" w:rsidR="00366005" w:rsidRPr="00183B5F" w:rsidRDefault="00943743">
            <w:pPr>
              <w:widowControl w:val="0"/>
              <w:suppressAutoHyphens w:val="0"/>
              <w:spacing w:line="240" w:lineRule="auto"/>
              <w:jc w:val="center"/>
              <w:rPr>
                <w:b/>
                <w:lang w:eastAsia="en-US"/>
              </w:rPr>
            </w:pPr>
            <w:r w:rsidRPr="00183B5F">
              <w:rPr>
                <w:b/>
                <w:lang w:eastAsia="en-US"/>
              </w:rPr>
              <w:t>Mellékhatás</w:t>
            </w:r>
          </w:p>
        </w:tc>
      </w:tr>
      <w:tr w:rsidR="00011D2F" w14:paraId="63F3441F" w14:textId="77777777" w:rsidTr="00202B95">
        <w:trPr>
          <w:cantSplit/>
          <w:trHeight w:val="1061"/>
        </w:trPr>
        <w:tc>
          <w:tcPr>
            <w:tcW w:w="2580" w:type="dxa"/>
            <w:vMerge w:val="restart"/>
            <w:tcBorders>
              <w:top w:val="single" w:sz="4" w:space="0" w:color="auto"/>
              <w:left w:val="single" w:sz="4" w:space="0" w:color="auto"/>
              <w:bottom w:val="single" w:sz="4" w:space="0" w:color="auto"/>
              <w:right w:val="single" w:sz="4" w:space="0" w:color="auto"/>
            </w:tcBorders>
          </w:tcPr>
          <w:p w14:paraId="28D0D476" w14:textId="77777777" w:rsidR="00366005" w:rsidRPr="00183B5F" w:rsidRDefault="00943743" w:rsidP="004062FE">
            <w:pPr>
              <w:pStyle w:val="EMEANormal"/>
              <w:widowControl w:val="0"/>
              <w:suppressAutoHyphens w:val="0"/>
              <w:rPr>
                <w:lang w:val="hu-HU"/>
              </w:rPr>
            </w:pPr>
            <w:r w:rsidRPr="00183B5F">
              <w:rPr>
                <w:lang w:val="hu-HU"/>
              </w:rPr>
              <w:t>Fertőző betegségek és parazitafertőzések*</w:t>
            </w:r>
          </w:p>
          <w:p w14:paraId="6E737600" w14:textId="77777777" w:rsidR="00366005" w:rsidRPr="00183B5F" w:rsidRDefault="00366005">
            <w:pPr>
              <w:widowControl w:val="0"/>
              <w:suppressAutoHyphens w:val="0"/>
              <w:spacing w:line="240" w:lineRule="auto"/>
              <w:rPr>
                <w:lang w:eastAsia="en-US"/>
              </w:rPr>
            </w:pPr>
          </w:p>
        </w:tc>
        <w:tc>
          <w:tcPr>
            <w:tcW w:w="2030" w:type="dxa"/>
            <w:tcBorders>
              <w:top w:val="single" w:sz="4" w:space="0" w:color="auto"/>
              <w:left w:val="single" w:sz="4" w:space="0" w:color="auto"/>
              <w:bottom w:val="single" w:sz="4" w:space="0" w:color="auto"/>
              <w:right w:val="single" w:sz="4" w:space="0" w:color="auto"/>
            </w:tcBorders>
          </w:tcPr>
          <w:p w14:paraId="5E82D49C" w14:textId="77777777" w:rsidR="00366005" w:rsidRPr="00183B5F" w:rsidRDefault="00943743" w:rsidP="004062FE">
            <w:pPr>
              <w:pStyle w:val="EMEANormal"/>
              <w:widowControl w:val="0"/>
              <w:suppressAutoHyphens w:val="0"/>
              <w:rPr>
                <w:lang w:val="hu-HU"/>
              </w:rPr>
            </w:pPr>
            <w:r w:rsidRPr="00183B5F">
              <w:rPr>
                <w:lang w:val="hu-HU"/>
              </w:rPr>
              <w:t>Nagyon gyakori</w:t>
            </w:r>
          </w:p>
          <w:p w14:paraId="5C235331" w14:textId="77777777" w:rsidR="00366005" w:rsidRPr="00183B5F" w:rsidRDefault="00366005" w:rsidP="004062FE">
            <w:pPr>
              <w:pStyle w:val="EMEANormal"/>
              <w:widowControl w:val="0"/>
              <w:suppressAutoHyphens w:val="0"/>
              <w:rPr>
                <w:lang w:val="hu-HU"/>
              </w:rPr>
            </w:pPr>
          </w:p>
        </w:tc>
        <w:tc>
          <w:tcPr>
            <w:tcW w:w="4451" w:type="dxa"/>
            <w:tcBorders>
              <w:top w:val="single" w:sz="4" w:space="0" w:color="auto"/>
              <w:left w:val="single" w:sz="4" w:space="0" w:color="auto"/>
              <w:bottom w:val="single" w:sz="4" w:space="0" w:color="auto"/>
              <w:right w:val="single" w:sz="4" w:space="0" w:color="auto"/>
            </w:tcBorders>
          </w:tcPr>
          <w:p w14:paraId="523B5591" w14:textId="77777777" w:rsidR="00366005" w:rsidRPr="00183B5F" w:rsidRDefault="00943743" w:rsidP="004062FE">
            <w:pPr>
              <w:pStyle w:val="EMEANormal"/>
              <w:widowControl w:val="0"/>
              <w:suppressAutoHyphens w:val="0"/>
              <w:rPr>
                <w:lang w:val="hu-HU"/>
              </w:rPr>
            </w:pPr>
            <w:r w:rsidRPr="00183B5F">
              <w:rPr>
                <w:lang w:val="hu-HU"/>
              </w:rPr>
              <w:t>Légúti fertőzések (beleértve az alsó- és a felső légúti fertőzéseket, pneumoniát, sinusitist, pharyngitist, nasopharyngitist és a herpes vírus okozta pneumoniát is)</w:t>
            </w:r>
          </w:p>
          <w:p w14:paraId="494E828D" w14:textId="77777777" w:rsidR="00366005" w:rsidRPr="00183B5F" w:rsidRDefault="00366005" w:rsidP="004062FE">
            <w:pPr>
              <w:pStyle w:val="EMEANormal"/>
              <w:widowControl w:val="0"/>
              <w:suppressAutoHyphens w:val="0"/>
              <w:rPr>
                <w:lang w:val="hu-HU"/>
              </w:rPr>
            </w:pPr>
          </w:p>
        </w:tc>
      </w:tr>
      <w:tr w:rsidR="00011D2F" w14:paraId="40F10F65" w14:textId="77777777" w:rsidTr="00202B9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893E7E" w14:textId="77777777" w:rsidR="00366005" w:rsidRPr="00183B5F" w:rsidRDefault="00366005">
            <w:pPr>
              <w:suppressAutoHyphens w:val="0"/>
              <w:spacing w:line="240" w:lineRule="auto"/>
              <w:rPr>
                <w:lang w:eastAsia="en-US"/>
              </w:rPr>
            </w:pPr>
          </w:p>
        </w:tc>
        <w:tc>
          <w:tcPr>
            <w:tcW w:w="2030" w:type="dxa"/>
            <w:tcBorders>
              <w:top w:val="single" w:sz="4" w:space="0" w:color="auto"/>
              <w:left w:val="single" w:sz="4" w:space="0" w:color="auto"/>
              <w:bottom w:val="single" w:sz="4" w:space="0" w:color="auto"/>
              <w:right w:val="single" w:sz="4" w:space="0" w:color="auto"/>
            </w:tcBorders>
          </w:tcPr>
          <w:p w14:paraId="5A2F2A75" w14:textId="77777777" w:rsidR="00366005" w:rsidRPr="00183B5F" w:rsidRDefault="00943743" w:rsidP="004062FE">
            <w:pPr>
              <w:pStyle w:val="EMEANormal"/>
              <w:widowControl w:val="0"/>
              <w:suppressAutoHyphens w:val="0"/>
              <w:rPr>
                <w:lang w:val="hu-HU"/>
              </w:rPr>
            </w:pPr>
            <w:r w:rsidRPr="00183B5F">
              <w:rPr>
                <w:lang w:val="hu-HU"/>
              </w:rPr>
              <w:t>Gyakori</w:t>
            </w:r>
          </w:p>
          <w:p w14:paraId="5E7CBDAB" w14:textId="77777777" w:rsidR="00366005" w:rsidRPr="00183B5F" w:rsidRDefault="00366005" w:rsidP="004062FE">
            <w:pPr>
              <w:pStyle w:val="EMEANormal"/>
              <w:widowControl w:val="0"/>
              <w:suppressAutoHyphens w:val="0"/>
              <w:rPr>
                <w:lang w:val="hu-HU"/>
              </w:rPr>
            </w:pPr>
          </w:p>
        </w:tc>
        <w:tc>
          <w:tcPr>
            <w:tcW w:w="4451" w:type="dxa"/>
            <w:tcBorders>
              <w:top w:val="single" w:sz="4" w:space="0" w:color="auto"/>
              <w:left w:val="single" w:sz="4" w:space="0" w:color="auto"/>
              <w:bottom w:val="single" w:sz="4" w:space="0" w:color="auto"/>
              <w:right w:val="single" w:sz="4" w:space="0" w:color="auto"/>
            </w:tcBorders>
            <w:hideMark/>
          </w:tcPr>
          <w:p w14:paraId="728529ED" w14:textId="77777777" w:rsidR="00366005" w:rsidRPr="00183B5F" w:rsidRDefault="00943743">
            <w:pPr>
              <w:widowControl w:val="0"/>
              <w:suppressAutoHyphens w:val="0"/>
              <w:spacing w:line="240" w:lineRule="auto"/>
              <w:rPr>
                <w:szCs w:val="22"/>
                <w:lang w:eastAsia="en-US"/>
              </w:rPr>
            </w:pPr>
            <w:r w:rsidRPr="00183B5F">
              <w:rPr>
                <w:szCs w:val="22"/>
                <w:lang w:eastAsia="en-US"/>
              </w:rPr>
              <w:t>Szisztémás fertőzések (beleértve a sepsist, candidiasist és az influenzát is),</w:t>
            </w:r>
          </w:p>
          <w:p w14:paraId="79A65D02" w14:textId="77777777" w:rsidR="00366005" w:rsidRPr="00183B5F" w:rsidRDefault="00943743">
            <w:pPr>
              <w:widowControl w:val="0"/>
              <w:suppressAutoHyphens w:val="0"/>
              <w:spacing w:line="240" w:lineRule="auto"/>
              <w:rPr>
                <w:szCs w:val="22"/>
                <w:lang w:eastAsia="en-US"/>
              </w:rPr>
            </w:pPr>
            <w:r w:rsidRPr="00183B5F">
              <w:rPr>
                <w:szCs w:val="22"/>
                <w:lang w:eastAsia="en-US"/>
              </w:rPr>
              <w:t>bélfertőzések (beleértve a vírusos gastroenteritist is),</w:t>
            </w:r>
          </w:p>
          <w:p w14:paraId="7E4B15ED" w14:textId="77777777" w:rsidR="00366005" w:rsidRPr="00183B5F" w:rsidRDefault="00943743">
            <w:pPr>
              <w:widowControl w:val="0"/>
              <w:suppressAutoHyphens w:val="0"/>
              <w:spacing w:line="240" w:lineRule="auto"/>
              <w:rPr>
                <w:szCs w:val="22"/>
                <w:lang w:eastAsia="en-US"/>
              </w:rPr>
            </w:pPr>
            <w:r w:rsidRPr="00183B5F">
              <w:rPr>
                <w:szCs w:val="22"/>
                <w:lang w:eastAsia="en-US"/>
              </w:rPr>
              <w:t>bőr- és lágyrészfertőzések (beleértve a paronychiát, cellulitist, impetigót, necrotisáló fasciitist és a herpes zostert is),</w:t>
            </w:r>
          </w:p>
          <w:p w14:paraId="21951D36" w14:textId="77777777" w:rsidR="00366005" w:rsidRPr="00183B5F" w:rsidRDefault="00943743">
            <w:pPr>
              <w:widowControl w:val="0"/>
              <w:suppressAutoHyphens w:val="0"/>
              <w:spacing w:line="240" w:lineRule="auto"/>
              <w:rPr>
                <w:szCs w:val="22"/>
                <w:lang w:eastAsia="en-US"/>
              </w:rPr>
            </w:pPr>
            <w:r w:rsidRPr="00183B5F">
              <w:rPr>
                <w:szCs w:val="22"/>
                <w:lang w:eastAsia="en-US"/>
              </w:rPr>
              <w:t>fülfertőzések,</w:t>
            </w:r>
          </w:p>
          <w:p w14:paraId="708E5AAF" w14:textId="77777777" w:rsidR="00366005" w:rsidRPr="00183B5F" w:rsidRDefault="00943743">
            <w:pPr>
              <w:widowControl w:val="0"/>
              <w:suppressAutoHyphens w:val="0"/>
              <w:spacing w:line="240" w:lineRule="auto"/>
              <w:rPr>
                <w:szCs w:val="22"/>
                <w:lang w:eastAsia="en-US"/>
              </w:rPr>
            </w:pPr>
            <w:r w:rsidRPr="00183B5F">
              <w:rPr>
                <w:szCs w:val="22"/>
                <w:lang w:eastAsia="en-US"/>
              </w:rPr>
              <w:t xml:space="preserve">oralis fertőzések (beleértve a herpes simplexet, oralis herpest és a fogfertőzéseket is), </w:t>
            </w:r>
          </w:p>
          <w:p w14:paraId="2039E303" w14:textId="77777777" w:rsidR="00366005" w:rsidRPr="00183B5F" w:rsidRDefault="00943743">
            <w:pPr>
              <w:widowControl w:val="0"/>
              <w:suppressAutoHyphens w:val="0"/>
              <w:spacing w:line="240" w:lineRule="auto"/>
              <w:rPr>
                <w:szCs w:val="22"/>
                <w:lang w:eastAsia="en-US"/>
              </w:rPr>
            </w:pPr>
            <w:r w:rsidRPr="00183B5F">
              <w:rPr>
                <w:szCs w:val="22"/>
                <w:lang w:eastAsia="en-US"/>
              </w:rPr>
              <w:t xml:space="preserve">a nemi szervek fertőzései (beleértve a vulvovaginalis mycoticus fertőzéseket is), </w:t>
            </w:r>
          </w:p>
          <w:p w14:paraId="67C6B23E" w14:textId="77777777" w:rsidR="00366005" w:rsidRPr="00183B5F" w:rsidRDefault="00943743" w:rsidP="004062FE">
            <w:pPr>
              <w:pStyle w:val="EMEANormal"/>
              <w:widowControl w:val="0"/>
              <w:suppressAutoHyphens w:val="0"/>
              <w:rPr>
                <w:szCs w:val="22"/>
                <w:lang w:val="hu-HU"/>
              </w:rPr>
            </w:pPr>
            <w:r w:rsidRPr="00183B5F">
              <w:rPr>
                <w:szCs w:val="22"/>
                <w:lang w:val="hu-HU"/>
              </w:rPr>
              <w:t>húgyúti fertőzések (beleértve a pylonephritist is),</w:t>
            </w:r>
          </w:p>
          <w:p w14:paraId="4CB0F1A7" w14:textId="77777777" w:rsidR="00366005" w:rsidRPr="00183B5F" w:rsidRDefault="00943743" w:rsidP="004062FE">
            <w:pPr>
              <w:pStyle w:val="EMEANormal"/>
              <w:widowControl w:val="0"/>
              <w:suppressAutoHyphens w:val="0"/>
              <w:rPr>
                <w:lang w:val="hu-HU"/>
              </w:rPr>
            </w:pPr>
            <w:r w:rsidRPr="00183B5F">
              <w:rPr>
                <w:lang w:val="hu-HU"/>
              </w:rPr>
              <w:t>gombás fertőzések,</w:t>
            </w:r>
          </w:p>
          <w:p w14:paraId="3B337A8C" w14:textId="77777777" w:rsidR="00366005" w:rsidRPr="00183B5F" w:rsidRDefault="00943743" w:rsidP="004062FE">
            <w:pPr>
              <w:pStyle w:val="EMEANormal"/>
              <w:widowControl w:val="0"/>
              <w:suppressAutoHyphens w:val="0"/>
              <w:rPr>
                <w:lang w:val="hu-HU"/>
              </w:rPr>
            </w:pPr>
            <w:r w:rsidRPr="00183B5F">
              <w:rPr>
                <w:lang w:val="hu-HU"/>
              </w:rPr>
              <w:t>ízületi fertőzések</w:t>
            </w:r>
          </w:p>
        </w:tc>
      </w:tr>
      <w:tr w:rsidR="00011D2F" w14:paraId="57877DB0" w14:textId="77777777" w:rsidTr="00202B9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E87AEB" w14:textId="77777777" w:rsidR="00366005" w:rsidRPr="00183B5F" w:rsidRDefault="00366005">
            <w:pPr>
              <w:suppressAutoHyphens w:val="0"/>
              <w:spacing w:line="240" w:lineRule="auto"/>
              <w:rPr>
                <w:lang w:eastAsia="en-US"/>
              </w:rPr>
            </w:pPr>
          </w:p>
        </w:tc>
        <w:tc>
          <w:tcPr>
            <w:tcW w:w="2030" w:type="dxa"/>
            <w:tcBorders>
              <w:top w:val="single" w:sz="4" w:space="0" w:color="auto"/>
              <w:left w:val="single" w:sz="4" w:space="0" w:color="auto"/>
              <w:bottom w:val="single" w:sz="4" w:space="0" w:color="auto"/>
              <w:right w:val="single" w:sz="4" w:space="0" w:color="auto"/>
            </w:tcBorders>
          </w:tcPr>
          <w:p w14:paraId="43C0726C" w14:textId="77777777" w:rsidR="00366005" w:rsidRPr="00183B5F" w:rsidRDefault="00943743" w:rsidP="004062FE">
            <w:pPr>
              <w:pStyle w:val="EMEANormal"/>
              <w:widowControl w:val="0"/>
              <w:suppressAutoHyphens w:val="0"/>
              <w:rPr>
                <w:lang w:val="hu-HU"/>
              </w:rPr>
            </w:pPr>
            <w:r w:rsidRPr="00183B5F">
              <w:rPr>
                <w:lang w:val="hu-HU"/>
              </w:rPr>
              <w:t>Nem gyakori</w:t>
            </w:r>
          </w:p>
          <w:p w14:paraId="48F2662F" w14:textId="77777777" w:rsidR="00366005" w:rsidRPr="00183B5F" w:rsidRDefault="00366005" w:rsidP="004062FE">
            <w:pPr>
              <w:pStyle w:val="EMEANormal"/>
              <w:widowControl w:val="0"/>
              <w:suppressAutoHyphens w:val="0"/>
              <w:rPr>
                <w:lang w:val="hu-HU"/>
              </w:rPr>
            </w:pPr>
          </w:p>
        </w:tc>
        <w:tc>
          <w:tcPr>
            <w:tcW w:w="4451" w:type="dxa"/>
            <w:tcBorders>
              <w:top w:val="single" w:sz="4" w:space="0" w:color="auto"/>
              <w:left w:val="single" w:sz="4" w:space="0" w:color="auto"/>
              <w:bottom w:val="single" w:sz="4" w:space="0" w:color="auto"/>
              <w:right w:val="single" w:sz="4" w:space="0" w:color="auto"/>
            </w:tcBorders>
            <w:hideMark/>
          </w:tcPr>
          <w:p w14:paraId="164707D2" w14:textId="77777777" w:rsidR="00366005" w:rsidRPr="00183B5F" w:rsidRDefault="00943743" w:rsidP="004062FE">
            <w:pPr>
              <w:pStyle w:val="EMEANormal"/>
              <w:widowControl w:val="0"/>
              <w:suppressAutoHyphens w:val="0"/>
              <w:rPr>
                <w:lang w:val="hu-HU"/>
              </w:rPr>
            </w:pPr>
            <w:r w:rsidRPr="00183B5F">
              <w:rPr>
                <w:lang w:val="hu-HU"/>
              </w:rPr>
              <w:t>Neurológiai fertőzések (beleértve a vírusos meningitist is),</w:t>
            </w:r>
          </w:p>
          <w:p w14:paraId="3E03C899" w14:textId="77777777" w:rsidR="00366005" w:rsidRPr="00183B5F" w:rsidRDefault="00943743" w:rsidP="004062FE">
            <w:pPr>
              <w:pStyle w:val="EMEANormal"/>
              <w:widowControl w:val="0"/>
              <w:suppressAutoHyphens w:val="0"/>
              <w:rPr>
                <w:lang w:val="hu-HU"/>
              </w:rPr>
            </w:pPr>
            <w:r w:rsidRPr="00183B5F">
              <w:rPr>
                <w:lang w:val="hu-HU"/>
              </w:rPr>
              <w:t xml:space="preserve">opportunista fertőzések és tuberculosis (beleértve a coccidioidomycosist, histoplasmosist és a mycobacterium avium complex fertőzést is), </w:t>
            </w:r>
          </w:p>
          <w:p w14:paraId="32337019" w14:textId="77777777" w:rsidR="00366005" w:rsidRPr="00183B5F" w:rsidRDefault="00943743" w:rsidP="004062FE">
            <w:pPr>
              <w:pStyle w:val="EMEANormal"/>
              <w:widowControl w:val="0"/>
              <w:suppressAutoHyphens w:val="0"/>
              <w:rPr>
                <w:b/>
                <w:i/>
                <w:lang w:val="hu-HU"/>
              </w:rPr>
            </w:pPr>
            <w:r w:rsidRPr="00183B5F">
              <w:rPr>
                <w:lang w:val="hu-HU"/>
              </w:rPr>
              <w:t>bakteriális fertőzések, szemfertőzések,</w:t>
            </w:r>
          </w:p>
          <w:p w14:paraId="7A6032BD" w14:textId="77777777" w:rsidR="00366005" w:rsidRPr="00183B5F" w:rsidRDefault="00943743" w:rsidP="004062FE">
            <w:pPr>
              <w:pStyle w:val="EMEANormal"/>
              <w:widowControl w:val="0"/>
              <w:suppressAutoHyphens w:val="0"/>
              <w:rPr>
                <w:lang w:val="hu-HU"/>
              </w:rPr>
            </w:pPr>
            <w:r w:rsidRPr="00183B5F">
              <w:rPr>
                <w:lang w:val="hu-HU"/>
              </w:rPr>
              <w:t>diverticulitis</w:t>
            </w:r>
            <w:r w:rsidRPr="00183B5F">
              <w:rPr>
                <w:vertAlign w:val="superscript"/>
                <w:lang w:val="hu-HU"/>
              </w:rPr>
              <w:t>1)</w:t>
            </w:r>
          </w:p>
        </w:tc>
      </w:tr>
      <w:tr w:rsidR="00011D2F" w14:paraId="23039157" w14:textId="77777777" w:rsidTr="00202B95">
        <w:trPr>
          <w:cantSplit/>
        </w:trPr>
        <w:tc>
          <w:tcPr>
            <w:tcW w:w="2580" w:type="dxa"/>
            <w:vMerge w:val="restart"/>
            <w:tcBorders>
              <w:top w:val="single" w:sz="4" w:space="0" w:color="auto"/>
              <w:left w:val="single" w:sz="4" w:space="0" w:color="auto"/>
              <w:bottom w:val="single" w:sz="4" w:space="0" w:color="auto"/>
              <w:right w:val="single" w:sz="4" w:space="0" w:color="auto"/>
            </w:tcBorders>
            <w:hideMark/>
          </w:tcPr>
          <w:p w14:paraId="03ED9AB0" w14:textId="77777777" w:rsidR="00366005" w:rsidRPr="00183B5F" w:rsidRDefault="00943743">
            <w:pPr>
              <w:widowControl w:val="0"/>
              <w:suppressAutoHyphens w:val="0"/>
              <w:spacing w:line="240" w:lineRule="auto"/>
              <w:rPr>
                <w:szCs w:val="22"/>
                <w:lang w:eastAsia="en-US"/>
              </w:rPr>
            </w:pPr>
            <w:r w:rsidRPr="00183B5F">
              <w:rPr>
                <w:szCs w:val="22"/>
                <w:lang w:eastAsia="en-US"/>
              </w:rPr>
              <w:t>Jó</w:t>
            </w:r>
            <w:r w:rsidRPr="00183B5F">
              <w:rPr>
                <w:szCs w:val="22"/>
                <w:lang w:eastAsia="en-US"/>
              </w:rPr>
              <w:noBreakHyphen/>
              <w:t>, rosszindulatú és nem meghatározott daganatok (beleértve a cisztákat és polipokat is)*</w:t>
            </w:r>
          </w:p>
        </w:tc>
        <w:tc>
          <w:tcPr>
            <w:tcW w:w="2030" w:type="dxa"/>
            <w:tcBorders>
              <w:top w:val="single" w:sz="4" w:space="0" w:color="auto"/>
              <w:left w:val="single" w:sz="4" w:space="0" w:color="auto"/>
              <w:bottom w:val="single" w:sz="4" w:space="0" w:color="auto"/>
              <w:right w:val="single" w:sz="4" w:space="0" w:color="auto"/>
            </w:tcBorders>
          </w:tcPr>
          <w:p w14:paraId="4D540BEE" w14:textId="77777777" w:rsidR="00366005" w:rsidRPr="00183B5F" w:rsidRDefault="00943743" w:rsidP="004062FE">
            <w:pPr>
              <w:pStyle w:val="EMEANormal"/>
              <w:widowControl w:val="0"/>
              <w:suppressAutoHyphens w:val="0"/>
              <w:rPr>
                <w:lang w:val="hu-HU"/>
              </w:rPr>
            </w:pPr>
            <w:r w:rsidRPr="00183B5F">
              <w:rPr>
                <w:lang w:val="hu-HU"/>
              </w:rPr>
              <w:t>Gyakori</w:t>
            </w:r>
          </w:p>
          <w:p w14:paraId="2C5A99EE" w14:textId="77777777" w:rsidR="00366005" w:rsidRPr="00183B5F" w:rsidRDefault="00366005" w:rsidP="004062FE">
            <w:pPr>
              <w:pStyle w:val="EMEANormal"/>
              <w:widowControl w:val="0"/>
              <w:suppressAutoHyphens w:val="0"/>
              <w:rPr>
                <w:lang w:val="hu-HU"/>
              </w:rPr>
            </w:pPr>
          </w:p>
        </w:tc>
        <w:tc>
          <w:tcPr>
            <w:tcW w:w="4451" w:type="dxa"/>
            <w:tcBorders>
              <w:top w:val="single" w:sz="4" w:space="0" w:color="auto"/>
              <w:left w:val="single" w:sz="4" w:space="0" w:color="auto"/>
              <w:bottom w:val="single" w:sz="4" w:space="0" w:color="auto"/>
              <w:right w:val="single" w:sz="4" w:space="0" w:color="auto"/>
            </w:tcBorders>
            <w:hideMark/>
          </w:tcPr>
          <w:p w14:paraId="2AD00B97" w14:textId="77777777" w:rsidR="00366005" w:rsidRPr="00183B5F" w:rsidRDefault="00943743" w:rsidP="004062FE">
            <w:pPr>
              <w:pStyle w:val="EMEANormal"/>
              <w:widowControl w:val="0"/>
              <w:suppressAutoHyphens w:val="0"/>
              <w:rPr>
                <w:lang w:val="hu-HU"/>
              </w:rPr>
            </w:pPr>
            <w:r w:rsidRPr="00183B5F">
              <w:rPr>
                <w:lang w:val="hu-HU"/>
              </w:rPr>
              <w:t>Bőrrák, kivéve a melanomát (beleértve a basalsejtes carcinomát és a planocellularis carcinomát is),</w:t>
            </w:r>
          </w:p>
          <w:p w14:paraId="0A596851" w14:textId="77777777" w:rsidR="00366005" w:rsidRPr="00183B5F" w:rsidRDefault="00943743" w:rsidP="004062FE">
            <w:pPr>
              <w:pStyle w:val="EMEANormal"/>
              <w:widowControl w:val="0"/>
              <w:suppressAutoHyphens w:val="0"/>
              <w:rPr>
                <w:lang w:val="hu-HU"/>
              </w:rPr>
            </w:pPr>
            <w:r w:rsidRPr="00183B5F">
              <w:rPr>
                <w:lang w:val="hu-HU"/>
              </w:rPr>
              <w:t>jóindulatú daganat</w:t>
            </w:r>
          </w:p>
        </w:tc>
      </w:tr>
      <w:tr w:rsidR="00011D2F" w14:paraId="37B31C25" w14:textId="77777777" w:rsidTr="00202B9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EB8CFF" w14:textId="77777777" w:rsidR="00366005" w:rsidRPr="00183B5F" w:rsidRDefault="00366005">
            <w:pPr>
              <w:suppressAutoHyphens w:val="0"/>
              <w:spacing w:line="240" w:lineRule="auto"/>
              <w:rPr>
                <w:szCs w:val="22"/>
                <w:lang w:eastAsia="en-US"/>
              </w:rPr>
            </w:pPr>
          </w:p>
        </w:tc>
        <w:tc>
          <w:tcPr>
            <w:tcW w:w="2030" w:type="dxa"/>
            <w:tcBorders>
              <w:top w:val="single" w:sz="4" w:space="0" w:color="auto"/>
              <w:left w:val="single" w:sz="4" w:space="0" w:color="auto"/>
              <w:bottom w:val="single" w:sz="4" w:space="0" w:color="auto"/>
              <w:right w:val="single" w:sz="4" w:space="0" w:color="auto"/>
            </w:tcBorders>
          </w:tcPr>
          <w:p w14:paraId="198CFD0A" w14:textId="77777777" w:rsidR="00366005" w:rsidRPr="00183B5F" w:rsidRDefault="00943743" w:rsidP="004062FE">
            <w:pPr>
              <w:pStyle w:val="EMEANormal"/>
              <w:widowControl w:val="0"/>
              <w:suppressAutoHyphens w:val="0"/>
              <w:rPr>
                <w:lang w:val="hu-HU"/>
              </w:rPr>
            </w:pPr>
            <w:r w:rsidRPr="00183B5F">
              <w:rPr>
                <w:lang w:val="hu-HU"/>
              </w:rPr>
              <w:t>Nem gyakori</w:t>
            </w:r>
          </w:p>
          <w:p w14:paraId="50D41969" w14:textId="77777777" w:rsidR="00366005" w:rsidRPr="00183B5F" w:rsidRDefault="00366005" w:rsidP="004062FE">
            <w:pPr>
              <w:pStyle w:val="EMEANormal"/>
              <w:widowControl w:val="0"/>
              <w:suppressAutoHyphens w:val="0"/>
              <w:rPr>
                <w:lang w:val="hu-HU"/>
              </w:rPr>
            </w:pPr>
          </w:p>
        </w:tc>
        <w:tc>
          <w:tcPr>
            <w:tcW w:w="4451" w:type="dxa"/>
            <w:tcBorders>
              <w:top w:val="single" w:sz="4" w:space="0" w:color="auto"/>
              <w:left w:val="single" w:sz="4" w:space="0" w:color="auto"/>
              <w:bottom w:val="single" w:sz="4" w:space="0" w:color="auto"/>
              <w:right w:val="single" w:sz="4" w:space="0" w:color="auto"/>
            </w:tcBorders>
            <w:hideMark/>
          </w:tcPr>
          <w:p w14:paraId="73DFB47F" w14:textId="77777777" w:rsidR="00366005" w:rsidRPr="00183B5F" w:rsidRDefault="00943743" w:rsidP="004062FE">
            <w:pPr>
              <w:pStyle w:val="EMEANormal"/>
              <w:widowControl w:val="0"/>
              <w:suppressAutoHyphens w:val="0"/>
              <w:rPr>
                <w:lang w:val="hu-HU"/>
              </w:rPr>
            </w:pPr>
            <w:r w:rsidRPr="00183B5F">
              <w:rPr>
                <w:lang w:val="hu-HU"/>
              </w:rPr>
              <w:t xml:space="preserve">Lymphoma**, </w:t>
            </w:r>
          </w:p>
          <w:p w14:paraId="681C66CB" w14:textId="77777777" w:rsidR="00366005" w:rsidRPr="00183B5F" w:rsidRDefault="00943743" w:rsidP="004062FE">
            <w:pPr>
              <w:pStyle w:val="EMEANormal"/>
              <w:widowControl w:val="0"/>
              <w:suppressAutoHyphens w:val="0"/>
              <w:rPr>
                <w:lang w:val="hu-HU"/>
              </w:rPr>
            </w:pPr>
            <w:r w:rsidRPr="00183B5F">
              <w:rPr>
                <w:lang w:val="hu-HU"/>
              </w:rPr>
              <w:t>solid szervek daganatai (beleértve az emlőrákot, a tüdődaganatot és a pajzsmirigy</w:t>
            </w:r>
            <w:r w:rsidRPr="00183B5F">
              <w:rPr>
                <w:lang w:val="hu-HU"/>
              </w:rPr>
              <w:noBreakHyphen/>
              <w:t>dag</w:t>
            </w:r>
            <w:r w:rsidR="00FD3AF2" w:rsidRPr="00183B5F">
              <w:rPr>
                <w:lang w:val="hu-HU"/>
              </w:rPr>
              <w:t>a</w:t>
            </w:r>
            <w:r w:rsidRPr="00183B5F">
              <w:rPr>
                <w:lang w:val="hu-HU"/>
              </w:rPr>
              <w:t>natot is),</w:t>
            </w:r>
          </w:p>
          <w:p w14:paraId="24A060ED" w14:textId="77777777" w:rsidR="00366005" w:rsidRPr="00183B5F" w:rsidRDefault="00943743" w:rsidP="004062FE">
            <w:pPr>
              <w:pStyle w:val="EMEANormal"/>
              <w:widowControl w:val="0"/>
              <w:suppressAutoHyphens w:val="0"/>
              <w:rPr>
                <w:lang w:val="hu-HU"/>
              </w:rPr>
            </w:pPr>
            <w:r w:rsidRPr="00183B5F">
              <w:rPr>
                <w:lang w:val="hu-HU"/>
              </w:rPr>
              <w:t>melanoma**</w:t>
            </w:r>
          </w:p>
        </w:tc>
      </w:tr>
      <w:tr w:rsidR="00011D2F" w14:paraId="694D8151" w14:textId="77777777" w:rsidTr="00202B9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B8C2F" w14:textId="77777777" w:rsidR="00366005" w:rsidRPr="00183B5F" w:rsidRDefault="00366005">
            <w:pPr>
              <w:suppressAutoHyphens w:val="0"/>
              <w:spacing w:line="240" w:lineRule="auto"/>
              <w:rPr>
                <w:szCs w:val="22"/>
                <w:lang w:eastAsia="en-US"/>
              </w:rPr>
            </w:pPr>
          </w:p>
        </w:tc>
        <w:tc>
          <w:tcPr>
            <w:tcW w:w="2030" w:type="dxa"/>
            <w:tcBorders>
              <w:top w:val="single" w:sz="4" w:space="0" w:color="auto"/>
              <w:left w:val="single" w:sz="4" w:space="0" w:color="auto"/>
              <w:bottom w:val="single" w:sz="4" w:space="0" w:color="auto"/>
              <w:right w:val="single" w:sz="4" w:space="0" w:color="auto"/>
            </w:tcBorders>
          </w:tcPr>
          <w:p w14:paraId="064DD1A0" w14:textId="77777777" w:rsidR="00366005" w:rsidRPr="00183B5F" w:rsidRDefault="00943743" w:rsidP="004062FE">
            <w:pPr>
              <w:pStyle w:val="EMEANormal"/>
              <w:widowControl w:val="0"/>
              <w:suppressAutoHyphens w:val="0"/>
              <w:rPr>
                <w:lang w:val="hu-HU"/>
              </w:rPr>
            </w:pPr>
            <w:r w:rsidRPr="00183B5F">
              <w:rPr>
                <w:lang w:val="hu-HU"/>
              </w:rPr>
              <w:t>Ritka</w:t>
            </w:r>
          </w:p>
          <w:p w14:paraId="726FA5FD" w14:textId="77777777" w:rsidR="00366005" w:rsidRPr="00183B5F" w:rsidRDefault="00366005" w:rsidP="004062FE">
            <w:pPr>
              <w:pStyle w:val="EMEANormal"/>
              <w:widowControl w:val="0"/>
              <w:suppressAutoHyphens w:val="0"/>
              <w:rPr>
                <w:lang w:val="hu-HU"/>
              </w:rPr>
            </w:pPr>
          </w:p>
        </w:tc>
        <w:tc>
          <w:tcPr>
            <w:tcW w:w="4451" w:type="dxa"/>
            <w:tcBorders>
              <w:top w:val="single" w:sz="4" w:space="0" w:color="auto"/>
              <w:left w:val="single" w:sz="4" w:space="0" w:color="auto"/>
              <w:bottom w:val="single" w:sz="4" w:space="0" w:color="auto"/>
              <w:right w:val="single" w:sz="4" w:space="0" w:color="auto"/>
            </w:tcBorders>
            <w:hideMark/>
          </w:tcPr>
          <w:p w14:paraId="403FC3F6" w14:textId="77777777" w:rsidR="00366005" w:rsidRPr="00183B5F" w:rsidRDefault="00943743" w:rsidP="004062FE">
            <w:pPr>
              <w:pStyle w:val="EMEANormal"/>
              <w:widowControl w:val="0"/>
              <w:suppressAutoHyphens w:val="0"/>
              <w:rPr>
                <w:lang w:val="hu-HU"/>
              </w:rPr>
            </w:pPr>
            <w:r w:rsidRPr="00183B5F">
              <w:rPr>
                <w:lang w:val="hu-HU"/>
              </w:rPr>
              <w:t>Leukaemia</w:t>
            </w:r>
            <w:r w:rsidRPr="00183B5F">
              <w:rPr>
                <w:vertAlign w:val="superscript"/>
                <w:lang w:val="hu-HU"/>
              </w:rPr>
              <w:t>1)</w:t>
            </w:r>
          </w:p>
        </w:tc>
      </w:tr>
      <w:tr w:rsidR="00011D2F" w14:paraId="638BC0B9" w14:textId="77777777" w:rsidTr="00202B9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66EF2B" w14:textId="77777777" w:rsidR="00366005" w:rsidRPr="00183B5F" w:rsidRDefault="00366005">
            <w:pPr>
              <w:suppressAutoHyphens w:val="0"/>
              <w:spacing w:line="240" w:lineRule="auto"/>
              <w:rPr>
                <w:szCs w:val="22"/>
                <w:lang w:eastAsia="en-US"/>
              </w:rPr>
            </w:pPr>
          </w:p>
        </w:tc>
        <w:tc>
          <w:tcPr>
            <w:tcW w:w="2030" w:type="dxa"/>
            <w:tcBorders>
              <w:top w:val="single" w:sz="4" w:space="0" w:color="auto"/>
              <w:left w:val="single" w:sz="4" w:space="0" w:color="auto"/>
              <w:bottom w:val="single" w:sz="4" w:space="0" w:color="auto"/>
              <w:right w:val="single" w:sz="4" w:space="0" w:color="auto"/>
            </w:tcBorders>
            <w:hideMark/>
          </w:tcPr>
          <w:p w14:paraId="50F2304B" w14:textId="77777777" w:rsidR="00366005" w:rsidRPr="00183B5F" w:rsidRDefault="00943743" w:rsidP="004062FE">
            <w:pPr>
              <w:pStyle w:val="EMEANormal"/>
              <w:widowControl w:val="0"/>
              <w:suppressAutoHyphens w:val="0"/>
              <w:rPr>
                <w:lang w:val="hu-HU"/>
              </w:rPr>
            </w:pPr>
            <w:r w:rsidRPr="00183B5F">
              <w:rPr>
                <w:lang w:val="hu-HU"/>
              </w:rPr>
              <w:t>Nem ismert</w:t>
            </w:r>
          </w:p>
        </w:tc>
        <w:tc>
          <w:tcPr>
            <w:tcW w:w="4451" w:type="dxa"/>
            <w:tcBorders>
              <w:top w:val="single" w:sz="4" w:space="0" w:color="auto"/>
              <w:left w:val="single" w:sz="4" w:space="0" w:color="auto"/>
              <w:bottom w:val="single" w:sz="4" w:space="0" w:color="auto"/>
              <w:right w:val="single" w:sz="4" w:space="0" w:color="auto"/>
            </w:tcBorders>
            <w:hideMark/>
          </w:tcPr>
          <w:p w14:paraId="763387C2" w14:textId="77777777" w:rsidR="00366005" w:rsidRPr="00183B5F" w:rsidRDefault="00943743" w:rsidP="004062FE">
            <w:pPr>
              <w:pStyle w:val="EMEANormal"/>
              <w:widowControl w:val="0"/>
              <w:suppressAutoHyphens w:val="0"/>
              <w:rPr>
                <w:vertAlign w:val="superscript"/>
                <w:lang w:val="hu-HU"/>
              </w:rPr>
            </w:pPr>
            <w:r w:rsidRPr="00183B5F">
              <w:rPr>
                <w:lang w:val="hu-HU"/>
              </w:rPr>
              <w:t>Hepatosplenicus T</w:t>
            </w:r>
            <w:r w:rsidRPr="00183B5F">
              <w:rPr>
                <w:lang w:val="hu-HU"/>
              </w:rPr>
              <w:noBreakHyphen/>
              <w:t>sejtes lymphoma</w:t>
            </w:r>
            <w:r w:rsidRPr="00183B5F">
              <w:rPr>
                <w:vertAlign w:val="superscript"/>
                <w:lang w:val="hu-HU"/>
              </w:rPr>
              <w:t>1)</w:t>
            </w:r>
          </w:p>
          <w:p w14:paraId="31EC0780" w14:textId="77777777" w:rsidR="00342FE6" w:rsidRPr="00183B5F" w:rsidRDefault="00943743" w:rsidP="004062FE">
            <w:pPr>
              <w:pStyle w:val="EMEANormal"/>
              <w:widowControl w:val="0"/>
              <w:suppressAutoHyphens w:val="0"/>
              <w:rPr>
                <w:lang w:val="hu-HU"/>
              </w:rPr>
            </w:pPr>
            <w:r w:rsidRPr="00183B5F">
              <w:rPr>
                <w:lang w:val="hu-HU"/>
              </w:rPr>
              <w:t>Merkel-sejtes carcinoma (a bőr neuroendokrin daganata)</w:t>
            </w:r>
            <w:r w:rsidRPr="00183B5F">
              <w:rPr>
                <w:vertAlign w:val="superscript"/>
                <w:lang w:val="hu-HU"/>
              </w:rPr>
              <w:t xml:space="preserve"> 1)</w:t>
            </w:r>
            <w:r w:rsidRPr="00183B5F">
              <w:rPr>
                <w:lang w:val="hu-HU"/>
              </w:rPr>
              <w:t>,</w:t>
            </w:r>
          </w:p>
          <w:p w14:paraId="46E8943D" w14:textId="77777777" w:rsidR="00EF24F5" w:rsidRPr="00183B5F" w:rsidRDefault="00943743" w:rsidP="004062FE">
            <w:pPr>
              <w:pStyle w:val="EMEANormal"/>
              <w:widowControl w:val="0"/>
              <w:suppressAutoHyphens w:val="0"/>
              <w:rPr>
                <w:lang w:val="hu-HU"/>
              </w:rPr>
            </w:pPr>
            <w:r w:rsidRPr="00183B5F">
              <w:rPr>
                <w:lang w:val="hu-HU"/>
              </w:rPr>
              <w:t>Kaposi-sar</w:t>
            </w:r>
            <w:r w:rsidR="00342FE6" w:rsidRPr="00183B5F">
              <w:rPr>
                <w:lang w:val="hu-HU"/>
              </w:rPr>
              <w:t>co</w:t>
            </w:r>
            <w:r w:rsidRPr="00183B5F">
              <w:rPr>
                <w:lang w:val="hu-HU"/>
              </w:rPr>
              <w:t>ma</w:t>
            </w:r>
          </w:p>
        </w:tc>
      </w:tr>
      <w:tr w:rsidR="00011D2F" w14:paraId="0FB837B3" w14:textId="77777777" w:rsidTr="00202B95">
        <w:trPr>
          <w:cantSplit/>
        </w:trPr>
        <w:tc>
          <w:tcPr>
            <w:tcW w:w="2580" w:type="dxa"/>
            <w:vMerge w:val="restart"/>
            <w:tcBorders>
              <w:top w:val="single" w:sz="4" w:space="0" w:color="auto"/>
              <w:left w:val="single" w:sz="4" w:space="0" w:color="auto"/>
              <w:bottom w:val="single" w:sz="4" w:space="0" w:color="auto"/>
              <w:right w:val="single" w:sz="4" w:space="0" w:color="auto"/>
            </w:tcBorders>
            <w:hideMark/>
          </w:tcPr>
          <w:p w14:paraId="036D6DE0" w14:textId="77777777" w:rsidR="00366005" w:rsidRPr="00183B5F" w:rsidRDefault="00943743">
            <w:pPr>
              <w:widowControl w:val="0"/>
              <w:suppressAutoHyphens w:val="0"/>
              <w:spacing w:line="240" w:lineRule="auto"/>
              <w:rPr>
                <w:szCs w:val="22"/>
                <w:lang w:eastAsia="en-US"/>
              </w:rPr>
            </w:pPr>
            <w:r w:rsidRPr="00183B5F">
              <w:rPr>
                <w:szCs w:val="22"/>
                <w:lang w:eastAsia="en-US"/>
              </w:rPr>
              <w:t>Vérképzőszervi és nyirokrendszeri betegségek és tünetek*</w:t>
            </w:r>
          </w:p>
        </w:tc>
        <w:tc>
          <w:tcPr>
            <w:tcW w:w="2030" w:type="dxa"/>
            <w:tcBorders>
              <w:top w:val="single" w:sz="4" w:space="0" w:color="auto"/>
              <w:left w:val="single" w:sz="4" w:space="0" w:color="auto"/>
              <w:bottom w:val="single" w:sz="4" w:space="0" w:color="auto"/>
              <w:right w:val="single" w:sz="4" w:space="0" w:color="auto"/>
            </w:tcBorders>
          </w:tcPr>
          <w:p w14:paraId="181CD6BC" w14:textId="77777777" w:rsidR="00366005" w:rsidRPr="00183B5F" w:rsidRDefault="00943743" w:rsidP="004062FE">
            <w:pPr>
              <w:pStyle w:val="EMEANormal"/>
              <w:widowControl w:val="0"/>
              <w:suppressAutoHyphens w:val="0"/>
              <w:jc w:val="both"/>
              <w:rPr>
                <w:lang w:val="hu-HU"/>
              </w:rPr>
            </w:pPr>
            <w:r w:rsidRPr="00183B5F">
              <w:rPr>
                <w:lang w:val="hu-HU"/>
              </w:rPr>
              <w:t>Nagyon gyakori</w:t>
            </w:r>
          </w:p>
          <w:p w14:paraId="2566B228" w14:textId="77777777" w:rsidR="00366005" w:rsidRPr="00183B5F" w:rsidRDefault="00366005" w:rsidP="004062FE">
            <w:pPr>
              <w:pStyle w:val="EMEANormal"/>
              <w:widowControl w:val="0"/>
              <w:suppressAutoHyphens w:val="0"/>
              <w:jc w:val="both"/>
              <w:rPr>
                <w:lang w:val="hu-HU"/>
              </w:rPr>
            </w:pPr>
          </w:p>
        </w:tc>
        <w:tc>
          <w:tcPr>
            <w:tcW w:w="4451" w:type="dxa"/>
            <w:tcBorders>
              <w:top w:val="single" w:sz="4" w:space="0" w:color="auto"/>
              <w:left w:val="single" w:sz="4" w:space="0" w:color="auto"/>
              <w:bottom w:val="single" w:sz="4" w:space="0" w:color="auto"/>
              <w:right w:val="single" w:sz="4" w:space="0" w:color="auto"/>
            </w:tcBorders>
            <w:hideMark/>
          </w:tcPr>
          <w:p w14:paraId="6FCD636C" w14:textId="77777777" w:rsidR="00366005" w:rsidRPr="00183B5F" w:rsidRDefault="00943743">
            <w:pPr>
              <w:widowControl w:val="0"/>
              <w:suppressAutoHyphens w:val="0"/>
              <w:spacing w:line="240" w:lineRule="auto"/>
              <w:rPr>
                <w:lang w:eastAsia="en-US"/>
              </w:rPr>
            </w:pPr>
            <w:r w:rsidRPr="00183B5F">
              <w:rPr>
                <w:lang w:eastAsia="en-US"/>
              </w:rPr>
              <w:t>Leukopenia (</w:t>
            </w:r>
            <w:r w:rsidRPr="00183B5F">
              <w:rPr>
                <w:szCs w:val="22"/>
                <w:lang w:eastAsia="en-US"/>
              </w:rPr>
              <w:t xml:space="preserve">beleértve a </w:t>
            </w:r>
            <w:r w:rsidRPr="00183B5F">
              <w:rPr>
                <w:lang w:eastAsia="en-US"/>
              </w:rPr>
              <w:t xml:space="preserve">neutropeniát és az agranulocytosist is), </w:t>
            </w:r>
          </w:p>
          <w:p w14:paraId="356C1D99" w14:textId="77777777" w:rsidR="00366005" w:rsidRPr="00183B5F" w:rsidRDefault="00943743">
            <w:pPr>
              <w:widowControl w:val="0"/>
              <w:suppressAutoHyphens w:val="0"/>
              <w:spacing w:line="240" w:lineRule="auto"/>
              <w:rPr>
                <w:b/>
                <w:lang w:eastAsia="en-US"/>
              </w:rPr>
            </w:pPr>
            <w:r w:rsidRPr="00183B5F">
              <w:rPr>
                <w:lang w:eastAsia="en-US"/>
              </w:rPr>
              <w:t>anaemia</w:t>
            </w:r>
          </w:p>
        </w:tc>
      </w:tr>
      <w:tr w:rsidR="00011D2F" w14:paraId="2586EFD3" w14:textId="77777777" w:rsidTr="00202B9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3D7B96" w14:textId="77777777" w:rsidR="00366005" w:rsidRPr="00183B5F" w:rsidRDefault="00366005">
            <w:pPr>
              <w:suppressAutoHyphens w:val="0"/>
              <w:spacing w:line="240" w:lineRule="auto"/>
              <w:rPr>
                <w:szCs w:val="22"/>
                <w:lang w:eastAsia="en-US"/>
              </w:rPr>
            </w:pPr>
          </w:p>
        </w:tc>
        <w:tc>
          <w:tcPr>
            <w:tcW w:w="2030" w:type="dxa"/>
            <w:tcBorders>
              <w:top w:val="single" w:sz="4" w:space="0" w:color="auto"/>
              <w:left w:val="single" w:sz="4" w:space="0" w:color="auto"/>
              <w:bottom w:val="single" w:sz="4" w:space="0" w:color="auto"/>
              <w:right w:val="single" w:sz="4" w:space="0" w:color="auto"/>
            </w:tcBorders>
            <w:hideMark/>
          </w:tcPr>
          <w:p w14:paraId="36BAEDC1" w14:textId="77777777" w:rsidR="00366005" w:rsidRPr="00183B5F" w:rsidRDefault="00943743" w:rsidP="004062FE">
            <w:pPr>
              <w:pStyle w:val="EMEANormal"/>
              <w:widowControl w:val="0"/>
              <w:suppressAutoHyphens w:val="0"/>
              <w:jc w:val="both"/>
              <w:rPr>
                <w:lang w:val="hu-HU"/>
              </w:rPr>
            </w:pPr>
            <w:r w:rsidRPr="00183B5F">
              <w:rPr>
                <w:lang w:val="hu-HU"/>
              </w:rPr>
              <w:t>Gyakori</w:t>
            </w:r>
          </w:p>
        </w:tc>
        <w:tc>
          <w:tcPr>
            <w:tcW w:w="4451" w:type="dxa"/>
            <w:tcBorders>
              <w:top w:val="single" w:sz="4" w:space="0" w:color="auto"/>
              <w:left w:val="single" w:sz="4" w:space="0" w:color="auto"/>
              <w:bottom w:val="single" w:sz="4" w:space="0" w:color="auto"/>
              <w:right w:val="single" w:sz="4" w:space="0" w:color="auto"/>
            </w:tcBorders>
          </w:tcPr>
          <w:p w14:paraId="3C3FCACC" w14:textId="77777777" w:rsidR="00366005" w:rsidRPr="00183B5F" w:rsidRDefault="00943743">
            <w:pPr>
              <w:widowControl w:val="0"/>
              <w:suppressAutoHyphens w:val="0"/>
              <w:spacing w:line="240" w:lineRule="auto"/>
              <w:rPr>
                <w:szCs w:val="22"/>
                <w:lang w:eastAsia="en-US"/>
              </w:rPr>
            </w:pPr>
            <w:r w:rsidRPr="00183B5F">
              <w:rPr>
                <w:szCs w:val="22"/>
                <w:lang w:eastAsia="en-US"/>
              </w:rPr>
              <w:t>Leukocytosis,</w:t>
            </w:r>
          </w:p>
          <w:p w14:paraId="7653CB19" w14:textId="77777777" w:rsidR="00366005" w:rsidRPr="00183B5F" w:rsidRDefault="00943743">
            <w:pPr>
              <w:widowControl w:val="0"/>
              <w:suppressAutoHyphens w:val="0"/>
              <w:spacing w:line="240" w:lineRule="auto"/>
              <w:rPr>
                <w:lang w:eastAsia="en-US"/>
              </w:rPr>
            </w:pPr>
            <w:r w:rsidRPr="00183B5F">
              <w:rPr>
                <w:lang w:eastAsia="en-US"/>
              </w:rPr>
              <w:t xml:space="preserve">thrombocytopenia, </w:t>
            </w:r>
          </w:p>
          <w:p w14:paraId="07A379DE" w14:textId="77777777" w:rsidR="00366005" w:rsidRPr="00183B5F" w:rsidRDefault="00366005">
            <w:pPr>
              <w:widowControl w:val="0"/>
              <w:suppressAutoHyphens w:val="0"/>
              <w:spacing w:line="240" w:lineRule="auto"/>
              <w:rPr>
                <w:lang w:eastAsia="en-US"/>
              </w:rPr>
            </w:pPr>
          </w:p>
        </w:tc>
      </w:tr>
      <w:tr w:rsidR="00011D2F" w14:paraId="2F820F1C" w14:textId="77777777" w:rsidTr="00202B9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AB31A4" w14:textId="77777777" w:rsidR="00366005" w:rsidRPr="00183B5F" w:rsidRDefault="00366005">
            <w:pPr>
              <w:suppressAutoHyphens w:val="0"/>
              <w:spacing w:line="240" w:lineRule="auto"/>
              <w:rPr>
                <w:szCs w:val="22"/>
                <w:lang w:eastAsia="en-US"/>
              </w:rPr>
            </w:pPr>
          </w:p>
        </w:tc>
        <w:tc>
          <w:tcPr>
            <w:tcW w:w="2030" w:type="dxa"/>
            <w:tcBorders>
              <w:top w:val="single" w:sz="4" w:space="0" w:color="auto"/>
              <w:left w:val="single" w:sz="4" w:space="0" w:color="auto"/>
              <w:bottom w:val="single" w:sz="4" w:space="0" w:color="auto"/>
              <w:right w:val="single" w:sz="4" w:space="0" w:color="auto"/>
            </w:tcBorders>
            <w:hideMark/>
          </w:tcPr>
          <w:p w14:paraId="769C3F0F" w14:textId="77777777" w:rsidR="00366005" w:rsidRPr="00183B5F" w:rsidRDefault="00943743" w:rsidP="004062FE">
            <w:pPr>
              <w:pStyle w:val="EMEANormal"/>
              <w:widowControl w:val="0"/>
              <w:suppressAutoHyphens w:val="0"/>
              <w:jc w:val="both"/>
              <w:rPr>
                <w:lang w:val="hu-HU"/>
              </w:rPr>
            </w:pPr>
            <w:r w:rsidRPr="00183B5F">
              <w:rPr>
                <w:lang w:val="hu-HU"/>
              </w:rPr>
              <w:t>Nem gyakori</w:t>
            </w:r>
          </w:p>
        </w:tc>
        <w:tc>
          <w:tcPr>
            <w:tcW w:w="4451" w:type="dxa"/>
            <w:tcBorders>
              <w:top w:val="single" w:sz="4" w:space="0" w:color="auto"/>
              <w:left w:val="single" w:sz="4" w:space="0" w:color="auto"/>
              <w:bottom w:val="single" w:sz="4" w:space="0" w:color="auto"/>
              <w:right w:val="single" w:sz="4" w:space="0" w:color="auto"/>
            </w:tcBorders>
            <w:hideMark/>
          </w:tcPr>
          <w:p w14:paraId="632C2486" w14:textId="77777777" w:rsidR="00366005" w:rsidRPr="00183B5F" w:rsidRDefault="00943743">
            <w:pPr>
              <w:widowControl w:val="0"/>
              <w:suppressAutoHyphens w:val="0"/>
              <w:spacing w:line="240" w:lineRule="auto"/>
              <w:rPr>
                <w:lang w:eastAsia="en-US"/>
              </w:rPr>
            </w:pPr>
            <w:r w:rsidRPr="00183B5F">
              <w:rPr>
                <w:lang w:eastAsia="en-US"/>
              </w:rPr>
              <w:t>Idiopathiás thrombocytopeniás purpura</w:t>
            </w:r>
          </w:p>
        </w:tc>
      </w:tr>
      <w:tr w:rsidR="00011D2F" w14:paraId="1D293646" w14:textId="77777777" w:rsidTr="00202B9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8A6443" w14:textId="77777777" w:rsidR="00366005" w:rsidRPr="00183B5F" w:rsidRDefault="00366005">
            <w:pPr>
              <w:suppressAutoHyphens w:val="0"/>
              <w:spacing w:line="240" w:lineRule="auto"/>
              <w:rPr>
                <w:szCs w:val="22"/>
                <w:lang w:eastAsia="en-US"/>
              </w:rPr>
            </w:pPr>
          </w:p>
        </w:tc>
        <w:tc>
          <w:tcPr>
            <w:tcW w:w="2030" w:type="dxa"/>
            <w:tcBorders>
              <w:top w:val="nil"/>
              <w:left w:val="single" w:sz="4" w:space="0" w:color="auto"/>
              <w:bottom w:val="single" w:sz="4" w:space="0" w:color="auto"/>
              <w:right w:val="single" w:sz="4" w:space="0" w:color="auto"/>
            </w:tcBorders>
            <w:hideMark/>
          </w:tcPr>
          <w:p w14:paraId="773535EE" w14:textId="77777777" w:rsidR="00366005" w:rsidRPr="00183B5F" w:rsidRDefault="00943743" w:rsidP="004062FE">
            <w:pPr>
              <w:pStyle w:val="EMEANormal"/>
              <w:widowControl w:val="0"/>
              <w:suppressAutoHyphens w:val="0"/>
              <w:jc w:val="both"/>
              <w:rPr>
                <w:lang w:val="hu-HU"/>
              </w:rPr>
            </w:pPr>
            <w:r w:rsidRPr="00183B5F">
              <w:rPr>
                <w:lang w:val="hu-HU"/>
              </w:rPr>
              <w:t>Ritka</w:t>
            </w:r>
          </w:p>
        </w:tc>
        <w:tc>
          <w:tcPr>
            <w:tcW w:w="4451" w:type="dxa"/>
            <w:tcBorders>
              <w:top w:val="nil"/>
              <w:left w:val="single" w:sz="4" w:space="0" w:color="auto"/>
              <w:bottom w:val="single" w:sz="4" w:space="0" w:color="auto"/>
              <w:right w:val="single" w:sz="4" w:space="0" w:color="auto"/>
            </w:tcBorders>
            <w:hideMark/>
          </w:tcPr>
          <w:p w14:paraId="4F62D243" w14:textId="77777777" w:rsidR="00366005" w:rsidRPr="00183B5F" w:rsidRDefault="00943743">
            <w:pPr>
              <w:widowControl w:val="0"/>
              <w:suppressAutoHyphens w:val="0"/>
              <w:spacing w:line="240" w:lineRule="auto"/>
              <w:rPr>
                <w:b/>
                <w:lang w:eastAsia="en-US"/>
              </w:rPr>
            </w:pPr>
            <w:r w:rsidRPr="00183B5F">
              <w:rPr>
                <w:lang w:eastAsia="en-US"/>
              </w:rPr>
              <w:t>Pancytopenia</w:t>
            </w:r>
          </w:p>
        </w:tc>
      </w:tr>
      <w:tr w:rsidR="00011D2F" w14:paraId="36CDCE7D" w14:textId="77777777" w:rsidTr="00202B95">
        <w:trPr>
          <w:cantSplit/>
        </w:trPr>
        <w:tc>
          <w:tcPr>
            <w:tcW w:w="2580" w:type="dxa"/>
            <w:vMerge w:val="restart"/>
            <w:tcBorders>
              <w:top w:val="single" w:sz="4" w:space="0" w:color="auto"/>
              <w:left w:val="single" w:sz="4" w:space="0" w:color="auto"/>
              <w:bottom w:val="single" w:sz="4" w:space="0" w:color="auto"/>
              <w:right w:val="single" w:sz="4" w:space="0" w:color="auto"/>
            </w:tcBorders>
            <w:hideMark/>
          </w:tcPr>
          <w:p w14:paraId="5113DE6A" w14:textId="77777777" w:rsidR="00366005" w:rsidRPr="00183B5F" w:rsidRDefault="00943743" w:rsidP="004062FE">
            <w:pPr>
              <w:pStyle w:val="EMEANormal"/>
              <w:widowControl w:val="0"/>
              <w:suppressAutoHyphens w:val="0"/>
              <w:rPr>
                <w:lang w:val="hu-HU"/>
              </w:rPr>
            </w:pPr>
            <w:r w:rsidRPr="00183B5F">
              <w:rPr>
                <w:szCs w:val="22"/>
                <w:lang w:val="hu-HU"/>
              </w:rPr>
              <w:t>Immunrendszeri betegségek és tünetek</w:t>
            </w:r>
            <w:r w:rsidRPr="00183B5F">
              <w:rPr>
                <w:lang w:val="hu-HU"/>
              </w:rPr>
              <w:t>*</w:t>
            </w:r>
          </w:p>
        </w:tc>
        <w:tc>
          <w:tcPr>
            <w:tcW w:w="2030" w:type="dxa"/>
            <w:tcBorders>
              <w:top w:val="single" w:sz="4" w:space="0" w:color="auto"/>
              <w:left w:val="single" w:sz="4" w:space="0" w:color="auto"/>
              <w:bottom w:val="nil"/>
              <w:right w:val="single" w:sz="4" w:space="0" w:color="auto"/>
            </w:tcBorders>
            <w:hideMark/>
          </w:tcPr>
          <w:p w14:paraId="02487130" w14:textId="77777777" w:rsidR="00366005" w:rsidRPr="00183B5F" w:rsidRDefault="00943743" w:rsidP="004062FE">
            <w:pPr>
              <w:pStyle w:val="EMEANormal"/>
              <w:widowControl w:val="0"/>
              <w:suppressAutoHyphens w:val="0"/>
              <w:rPr>
                <w:lang w:val="hu-HU"/>
              </w:rPr>
            </w:pPr>
            <w:r w:rsidRPr="00183B5F">
              <w:rPr>
                <w:lang w:val="hu-HU"/>
              </w:rPr>
              <w:t>Gyakori</w:t>
            </w:r>
          </w:p>
        </w:tc>
        <w:tc>
          <w:tcPr>
            <w:tcW w:w="4451" w:type="dxa"/>
            <w:tcBorders>
              <w:top w:val="single" w:sz="4" w:space="0" w:color="auto"/>
              <w:left w:val="single" w:sz="4" w:space="0" w:color="auto"/>
              <w:bottom w:val="nil"/>
              <w:right w:val="single" w:sz="4" w:space="0" w:color="auto"/>
            </w:tcBorders>
            <w:hideMark/>
          </w:tcPr>
          <w:p w14:paraId="302AE866" w14:textId="77777777" w:rsidR="00366005" w:rsidRPr="00183B5F" w:rsidRDefault="00943743" w:rsidP="004062FE">
            <w:pPr>
              <w:pStyle w:val="EMEANormal"/>
              <w:widowControl w:val="0"/>
              <w:suppressAutoHyphens w:val="0"/>
              <w:rPr>
                <w:lang w:val="hu-HU"/>
              </w:rPr>
            </w:pPr>
            <w:r w:rsidRPr="00183B5F">
              <w:rPr>
                <w:lang w:val="hu-HU"/>
              </w:rPr>
              <w:t>Hypersensitivitás,</w:t>
            </w:r>
          </w:p>
          <w:p w14:paraId="7922601A" w14:textId="77777777" w:rsidR="00366005" w:rsidRPr="00183B5F" w:rsidRDefault="00943743" w:rsidP="004062FE">
            <w:pPr>
              <w:pStyle w:val="EMEANormal"/>
              <w:widowControl w:val="0"/>
              <w:suppressAutoHyphens w:val="0"/>
              <w:rPr>
                <w:lang w:val="hu-HU"/>
              </w:rPr>
            </w:pPr>
            <w:r w:rsidRPr="00183B5F">
              <w:rPr>
                <w:lang w:val="hu-HU"/>
              </w:rPr>
              <w:t>allergiák (beleértve a szezonális allergiát is)</w:t>
            </w:r>
          </w:p>
        </w:tc>
      </w:tr>
      <w:tr w:rsidR="00011D2F" w14:paraId="19998604" w14:textId="77777777" w:rsidTr="00202B9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7773CB" w14:textId="77777777" w:rsidR="00366005" w:rsidRPr="00183B5F" w:rsidRDefault="00366005">
            <w:pPr>
              <w:suppressAutoHyphens w:val="0"/>
              <w:spacing w:line="240" w:lineRule="auto"/>
              <w:rPr>
                <w:lang w:eastAsia="en-US"/>
              </w:rPr>
            </w:pPr>
          </w:p>
        </w:tc>
        <w:tc>
          <w:tcPr>
            <w:tcW w:w="2030" w:type="dxa"/>
            <w:tcBorders>
              <w:top w:val="single" w:sz="4" w:space="0" w:color="auto"/>
              <w:left w:val="single" w:sz="4" w:space="0" w:color="auto"/>
              <w:bottom w:val="nil"/>
              <w:right w:val="single" w:sz="4" w:space="0" w:color="auto"/>
            </w:tcBorders>
            <w:hideMark/>
          </w:tcPr>
          <w:p w14:paraId="51A1F92E" w14:textId="77777777" w:rsidR="00366005" w:rsidRPr="00183B5F" w:rsidRDefault="00943743" w:rsidP="004062FE">
            <w:pPr>
              <w:pStyle w:val="EMEANormal"/>
              <w:widowControl w:val="0"/>
              <w:suppressAutoHyphens w:val="0"/>
              <w:rPr>
                <w:lang w:val="hu-HU"/>
              </w:rPr>
            </w:pPr>
            <w:r w:rsidRPr="00183B5F">
              <w:rPr>
                <w:szCs w:val="22"/>
                <w:lang w:val="hu-HU"/>
              </w:rPr>
              <w:t>Nem gyakori</w:t>
            </w:r>
          </w:p>
        </w:tc>
        <w:tc>
          <w:tcPr>
            <w:tcW w:w="4451" w:type="dxa"/>
            <w:tcBorders>
              <w:top w:val="single" w:sz="4" w:space="0" w:color="auto"/>
              <w:left w:val="single" w:sz="4" w:space="0" w:color="auto"/>
              <w:bottom w:val="nil"/>
              <w:right w:val="single" w:sz="4" w:space="0" w:color="auto"/>
            </w:tcBorders>
            <w:hideMark/>
          </w:tcPr>
          <w:p w14:paraId="4DE129A9" w14:textId="77777777" w:rsidR="00366005" w:rsidRPr="00183B5F" w:rsidRDefault="00943743" w:rsidP="004062FE">
            <w:pPr>
              <w:pStyle w:val="EMEANormal"/>
              <w:widowControl w:val="0"/>
              <w:suppressAutoHyphens w:val="0"/>
              <w:rPr>
                <w:lang w:val="hu-HU"/>
              </w:rPr>
            </w:pPr>
            <w:r w:rsidRPr="00183B5F">
              <w:rPr>
                <w:szCs w:val="22"/>
                <w:lang w:val="hu-HU"/>
              </w:rPr>
              <w:t>Sarcoidosis</w:t>
            </w:r>
            <w:r w:rsidRPr="00183B5F">
              <w:rPr>
                <w:szCs w:val="22"/>
                <w:vertAlign w:val="superscript"/>
                <w:lang w:val="hu-HU"/>
              </w:rPr>
              <w:t>1</w:t>
            </w:r>
            <w:r w:rsidRPr="00183B5F">
              <w:rPr>
                <w:vertAlign w:val="superscript"/>
                <w:lang w:val="hu-HU"/>
              </w:rPr>
              <w:t>)</w:t>
            </w:r>
            <w:r w:rsidRPr="00183B5F">
              <w:rPr>
                <w:lang w:val="hu-HU"/>
              </w:rPr>
              <w:t>,</w:t>
            </w:r>
          </w:p>
          <w:p w14:paraId="52080AF7" w14:textId="77777777" w:rsidR="00366005" w:rsidRPr="00183B5F" w:rsidRDefault="00943743" w:rsidP="004062FE">
            <w:pPr>
              <w:pStyle w:val="EMEANormal"/>
              <w:widowControl w:val="0"/>
              <w:suppressAutoHyphens w:val="0"/>
              <w:rPr>
                <w:lang w:val="hu-HU"/>
              </w:rPr>
            </w:pPr>
            <w:r w:rsidRPr="00183B5F">
              <w:rPr>
                <w:lang w:val="hu-HU"/>
              </w:rPr>
              <w:t>vasculitis</w:t>
            </w:r>
          </w:p>
        </w:tc>
      </w:tr>
      <w:tr w:rsidR="00011D2F" w14:paraId="6E418CA0" w14:textId="77777777" w:rsidTr="00202B9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B70A97" w14:textId="77777777" w:rsidR="00366005" w:rsidRPr="00183B5F" w:rsidRDefault="00366005">
            <w:pPr>
              <w:suppressAutoHyphens w:val="0"/>
              <w:spacing w:line="240" w:lineRule="auto"/>
              <w:rPr>
                <w:lang w:eastAsia="en-US"/>
              </w:rPr>
            </w:pPr>
          </w:p>
        </w:tc>
        <w:tc>
          <w:tcPr>
            <w:tcW w:w="2030" w:type="dxa"/>
            <w:tcBorders>
              <w:top w:val="single" w:sz="4" w:space="0" w:color="auto"/>
              <w:left w:val="single" w:sz="4" w:space="0" w:color="auto"/>
              <w:bottom w:val="nil"/>
              <w:right w:val="single" w:sz="4" w:space="0" w:color="auto"/>
            </w:tcBorders>
            <w:hideMark/>
          </w:tcPr>
          <w:p w14:paraId="561E131A" w14:textId="77777777" w:rsidR="00366005" w:rsidRPr="00183B5F" w:rsidRDefault="00943743" w:rsidP="004062FE">
            <w:pPr>
              <w:pStyle w:val="EMEANormal"/>
              <w:widowControl w:val="0"/>
              <w:suppressAutoHyphens w:val="0"/>
              <w:rPr>
                <w:lang w:val="hu-HU"/>
              </w:rPr>
            </w:pPr>
            <w:r w:rsidRPr="00183B5F">
              <w:rPr>
                <w:szCs w:val="22"/>
                <w:lang w:val="hu-HU"/>
              </w:rPr>
              <w:t xml:space="preserve">Ritka </w:t>
            </w:r>
          </w:p>
        </w:tc>
        <w:tc>
          <w:tcPr>
            <w:tcW w:w="4451" w:type="dxa"/>
            <w:tcBorders>
              <w:top w:val="single" w:sz="4" w:space="0" w:color="auto"/>
              <w:left w:val="single" w:sz="4" w:space="0" w:color="auto"/>
              <w:bottom w:val="nil"/>
              <w:right w:val="single" w:sz="4" w:space="0" w:color="auto"/>
            </w:tcBorders>
            <w:hideMark/>
          </w:tcPr>
          <w:p w14:paraId="5ACFBAE3" w14:textId="77777777" w:rsidR="00366005" w:rsidRPr="00183B5F" w:rsidRDefault="00943743" w:rsidP="004062FE">
            <w:pPr>
              <w:pStyle w:val="EMEANormal"/>
              <w:widowControl w:val="0"/>
              <w:suppressAutoHyphens w:val="0"/>
              <w:rPr>
                <w:lang w:val="hu-HU"/>
              </w:rPr>
            </w:pPr>
            <w:r w:rsidRPr="00183B5F">
              <w:rPr>
                <w:szCs w:val="22"/>
                <w:lang w:val="hu-HU"/>
              </w:rPr>
              <w:t>Anaphylaxia</w:t>
            </w:r>
            <w:r w:rsidRPr="00183B5F">
              <w:rPr>
                <w:szCs w:val="22"/>
                <w:vertAlign w:val="superscript"/>
                <w:lang w:val="hu-HU"/>
              </w:rPr>
              <w:t>1)</w:t>
            </w:r>
          </w:p>
        </w:tc>
      </w:tr>
      <w:tr w:rsidR="00011D2F" w14:paraId="086CFFDB" w14:textId="77777777" w:rsidTr="00202B95">
        <w:trPr>
          <w:cantSplit/>
        </w:trPr>
        <w:tc>
          <w:tcPr>
            <w:tcW w:w="2580" w:type="dxa"/>
            <w:vMerge w:val="restart"/>
            <w:tcBorders>
              <w:top w:val="single" w:sz="4" w:space="0" w:color="auto"/>
              <w:left w:val="single" w:sz="4" w:space="0" w:color="auto"/>
              <w:bottom w:val="single" w:sz="4" w:space="0" w:color="auto"/>
              <w:right w:val="single" w:sz="4" w:space="0" w:color="auto"/>
            </w:tcBorders>
            <w:hideMark/>
          </w:tcPr>
          <w:p w14:paraId="63BCC11F" w14:textId="77777777" w:rsidR="00366005" w:rsidRPr="00183B5F" w:rsidRDefault="00943743" w:rsidP="004062FE">
            <w:pPr>
              <w:pStyle w:val="EMEANormal"/>
              <w:widowControl w:val="0"/>
              <w:suppressAutoHyphens w:val="0"/>
              <w:rPr>
                <w:szCs w:val="22"/>
                <w:lang w:val="hu-HU"/>
              </w:rPr>
            </w:pPr>
            <w:r w:rsidRPr="00183B5F">
              <w:rPr>
                <w:szCs w:val="22"/>
                <w:lang w:val="hu-HU"/>
              </w:rPr>
              <w:t>Anyagcsere- és táplálkozási betegségek és tünetek</w:t>
            </w:r>
          </w:p>
        </w:tc>
        <w:tc>
          <w:tcPr>
            <w:tcW w:w="2030" w:type="dxa"/>
            <w:tcBorders>
              <w:top w:val="single" w:sz="4" w:space="0" w:color="auto"/>
              <w:left w:val="single" w:sz="4" w:space="0" w:color="auto"/>
              <w:bottom w:val="single" w:sz="4" w:space="0" w:color="auto"/>
              <w:right w:val="single" w:sz="4" w:space="0" w:color="auto"/>
            </w:tcBorders>
          </w:tcPr>
          <w:p w14:paraId="5B49AAC9" w14:textId="77777777" w:rsidR="00366005" w:rsidRPr="00183B5F" w:rsidRDefault="00943743" w:rsidP="004062FE">
            <w:pPr>
              <w:pStyle w:val="EMEANormal"/>
              <w:widowControl w:val="0"/>
              <w:suppressAutoHyphens w:val="0"/>
              <w:rPr>
                <w:lang w:val="hu-HU"/>
              </w:rPr>
            </w:pPr>
            <w:r w:rsidRPr="00183B5F">
              <w:rPr>
                <w:lang w:val="hu-HU"/>
              </w:rPr>
              <w:t>Nagyon gyakori</w:t>
            </w:r>
          </w:p>
          <w:p w14:paraId="3429C9C5" w14:textId="77777777" w:rsidR="00366005" w:rsidRPr="00183B5F" w:rsidRDefault="00366005" w:rsidP="004062FE">
            <w:pPr>
              <w:pStyle w:val="EMEANormal"/>
              <w:widowControl w:val="0"/>
              <w:suppressAutoHyphens w:val="0"/>
              <w:rPr>
                <w:lang w:val="hu-HU"/>
              </w:rPr>
            </w:pPr>
          </w:p>
        </w:tc>
        <w:tc>
          <w:tcPr>
            <w:tcW w:w="4451" w:type="dxa"/>
            <w:tcBorders>
              <w:top w:val="single" w:sz="4" w:space="0" w:color="auto"/>
              <w:left w:val="single" w:sz="4" w:space="0" w:color="auto"/>
              <w:bottom w:val="single" w:sz="4" w:space="0" w:color="auto"/>
              <w:right w:val="single" w:sz="4" w:space="0" w:color="auto"/>
            </w:tcBorders>
            <w:hideMark/>
          </w:tcPr>
          <w:p w14:paraId="422E61DC" w14:textId="77777777" w:rsidR="00366005" w:rsidRPr="00183B5F" w:rsidRDefault="00943743" w:rsidP="004062FE">
            <w:pPr>
              <w:pStyle w:val="EMEANormal"/>
              <w:widowControl w:val="0"/>
              <w:suppressAutoHyphens w:val="0"/>
              <w:rPr>
                <w:lang w:val="hu-HU"/>
              </w:rPr>
            </w:pPr>
            <w:r w:rsidRPr="00183B5F">
              <w:rPr>
                <w:lang w:val="hu-HU"/>
              </w:rPr>
              <w:t xml:space="preserve">Emelkedett lipidszint </w:t>
            </w:r>
          </w:p>
        </w:tc>
      </w:tr>
      <w:tr w:rsidR="00011D2F" w14:paraId="3557027E" w14:textId="77777777" w:rsidTr="00202B95">
        <w:trPr>
          <w:cantSplit/>
          <w:trHeight w:val="197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A01A3F" w14:textId="77777777" w:rsidR="00366005" w:rsidRPr="00183B5F" w:rsidRDefault="00366005">
            <w:pPr>
              <w:suppressAutoHyphens w:val="0"/>
              <w:spacing w:line="240" w:lineRule="auto"/>
              <w:rPr>
                <w:szCs w:val="22"/>
                <w:lang w:eastAsia="en-US"/>
              </w:rPr>
            </w:pPr>
          </w:p>
        </w:tc>
        <w:tc>
          <w:tcPr>
            <w:tcW w:w="2030" w:type="dxa"/>
            <w:tcBorders>
              <w:top w:val="single" w:sz="4" w:space="0" w:color="auto"/>
              <w:left w:val="single" w:sz="4" w:space="0" w:color="auto"/>
              <w:bottom w:val="single" w:sz="4" w:space="0" w:color="auto"/>
              <w:right w:val="single" w:sz="4" w:space="0" w:color="auto"/>
            </w:tcBorders>
          </w:tcPr>
          <w:p w14:paraId="111BCABE" w14:textId="77777777" w:rsidR="00366005" w:rsidRPr="00183B5F" w:rsidRDefault="00943743" w:rsidP="004062FE">
            <w:pPr>
              <w:pStyle w:val="EMEANormal"/>
              <w:widowControl w:val="0"/>
              <w:suppressAutoHyphens w:val="0"/>
              <w:rPr>
                <w:lang w:val="hu-HU"/>
              </w:rPr>
            </w:pPr>
            <w:r w:rsidRPr="00183B5F">
              <w:rPr>
                <w:lang w:val="hu-HU"/>
              </w:rPr>
              <w:t>Gyakori</w:t>
            </w:r>
          </w:p>
          <w:p w14:paraId="723D850E" w14:textId="77777777" w:rsidR="00366005" w:rsidRPr="00183B5F" w:rsidRDefault="00366005" w:rsidP="004062FE">
            <w:pPr>
              <w:pStyle w:val="EMEANormal"/>
              <w:widowControl w:val="0"/>
              <w:rPr>
                <w:lang w:val="hu-HU"/>
              </w:rPr>
            </w:pPr>
          </w:p>
        </w:tc>
        <w:tc>
          <w:tcPr>
            <w:tcW w:w="4451" w:type="dxa"/>
            <w:tcBorders>
              <w:top w:val="single" w:sz="4" w:space="0" w:color="auto"/>
              <w:left w:val="single" w:sz="4" w:space="0" w:color="auto"/>
              <w:bottom w:val="single" w:sz="4" w:space="0" w:color="auto"/>
              <w:right w:val="single" w:sz="4" w:space="0" w:color="auto"/>
            </w:tcBorders>
            <w:hideMark/>
          </w:tcPr>
          <w:p w14:paraId="3D266678" w14:textId="77777777" w:rsidR="00366005" w:rsidRPr="00183B5F" w:rsidRDefault="00943743" w:rsidP="004062FE">
            <w:pPr>
              <w:pStyle w:val="EMEANormal"/>
              <w:widowControl w:val="0"/>
              <w:suppressAutoHyphens w:val="0"/>
              <w:rPr>
                <w:lang w:val="hu-HU"/>
              </w:rPr>
            </w:pPr>
            <w:r w:rsidRPr="00183B5F">
              <w:rPr>
                <w:lang w:val="hu-HU"/>
              </w:rPr>
              <w:t xml:space="preserve">Hypokalaemia, </w:t>
            </w:r>
          </w:p>
          <w:p w14:paraId="0535D127" w14:textId="77777777" w:rsidR="00366005" w:rsidRPr="00183B5F" w:rsidRDefault="00943743" w:rsidP="004062FE">
            <w:pPr>
              <w:pStyle w:val="EMEANormal"/>
              <w:widowControl w:val="0"/>
              <w:suppressAutoHyphens w:val="0"/>
              <w:rPr>
                <w:lang w:val="hu-HU"/>
              </w:rPr>
            </w:pPr>
            <w:r w:rsidRPr="00183B5F">
              <w:rPr>
                <w:lang w:val="hu-HU"/>
              </w:rPr>
              <w:t xml:space="preserve">emelkedett húgysavszint, </w:t>
            </w:r>
          </w:p>
          <w:p w14:paraId="7CA58A8C" w14:textId="77777777" w:rsidR="00366005" w:rsidRPr="00183B5F" w:rsidRDefault="00943743" w:rsidP="004062FE">
            <w:pPr>
              <w:pStyle w:val="EMEANormal"/>
              <w:widowControl w:val="0"/>
              <w:suppressAutoHyphens w:val="0"/>
              <w:rPr>
                <w:lang w:val="hu-HU"/>
              </w:rPr>
            </w:pPr>
            <w:r w:rsidRPr="00183B5F">
              <w:rPr>
                <w:lang w:val="hu-HU"/>
              </w:rPr>
              <w:t>kóros nátriumszint a vérben,</w:t>
            </w:r>
          </w:p>
          <w:p w14:paraId="75C124B4" w14:textId="77777777" w:rsidR="00366005" w:rsidRPr="00183B5F" w:rsidRDefault="00943743" w:rsidP="004062FE">
            <w:pPr>
              <w:pStyle w:val="EMEANormal"/>
              <w:widowControl w:val="0"/>
              <w:suppressAutoHyphens w:val="0"/>
              <w:rPr>
                <w:lang w:val="hu-HU"/>
              </w:rPr>
            </w:pPr>
            <w:r w:rsidRPr="00183B5F">
              <w:rPr>
                <w:lang w:val="hu-HU"/>
              </w:rPr>
              <w:t>hypocalcaemia</w:t>
            </w:r>
          </w:p>
          <w:p w14:paraId="0DA9F35F" w14:textId="77777777" w:rsidR="00366005" w:rsidRPr="00183B5F" w:rsidRDefault="00943743" w:rsidP="004062FE">
            <w:pPr>
              <w:pStyle w:val="EMEANormal"/>
              <w:widowControl w:val="0"/>
              <w:suppressAutoHyphens w:val="0"/>
              <w:rPr>
                <w:lang w:val="hu-HU"/>
              </w:rPr>
            </w:pPr>
            <w:r w:rsidRPr="00183B5F">
              <w:rPr>
                <w:lang w:val="hu-HU"/>
              </w:rPr>
              <w:t>hyperglykaemia,</w:t>
            </w:r>
          </w:p>
          <w:p w14:paraId="4BEA3F3B" w14:textId="77777777" w:rsidR="00366005" w:rsidRPr="00183B5F" w:rsidRDefault="00943743" w:rsidP="004062FE">
            <w:pPr>
              <w:pStyle w:val="EMEANormal"/>
              <w:widowControl w:val="0"/>
              <w:suppressAutoHyphens w:val="0"/>
              <w:rPr>
                <w:lang w:val="hu-HU"/>
              </w:rPr>
            </w:pPr>
            <w:r w:rsidRPr="00183B5F">
              <w:rPr>
                <w:lang w:val="hu-HU"/>
              </w:rPr>
              <w:t>hypophosphataemia,</w:t>
            </w:r>
          </w:p>
          <w:p w14:paraId="74888B5A" w14:textId="77777777" w:rsidR="00366005" w:rsidRPr="00183B5F" w:rsidRDefault="00943743" w:rsidP="004062FE">
            <w:pPr>
              <w:pStyle w:val="EMEANormal"/>
              <w:widowControl w:val="0"/>
              <w:suppressAutoHyphens w:val="0"/>
              <w:rPr>
                <w:lang w:val="hu-HU"/>
              </w:rPr>
            </w:pPr>
            <w:r w:rsidRPr="00183B5F">
              <w:rPr>
                <w:lang w:val="hu-HU"/>
              </w:rPr>
              <w:t>dehydratio</w:t>
            </w:r>
          </w:p>
        </w:tc>
      </w:tr>
      <w:tr w:rsidR="00011D2F" w14:paraId="2349E289" w14:textId="77777777" w:rsidTr="00202B95">
        <w:trPr>
          <w:cantSplit/>
        </w:trPr>
        <w:tc>
          <w:tcPr>
            <w:tcW w:w="2580" w:type="dxa"/>
            <w:tcBorders>
              <w:top w:val="single" w:sz="4" w:space="0" w:color="auto"/>
              <w:left w:val="single" w:sz="4" w:space="0" w:color="auto"/>
              <w:bottom w:val="single" w:sz="4" w:space="0" w:color="auto"/>
              <w:right w:val="single" w:sz="4" w:space="0" w:color="auto"/>
            </w:tcBorders>
            <w:hideMark/>
          </w:tcPr>
          <w:p w14:paraId="66076CEB" w14:textId="77777777" w:rsidR="00366005" w:rsidRPr="00183B5F" w:rsidRDefault="00943743" w:rsidP="004062FE">
            <w:pPr>
              <w:pStyle w:val="EMEANormal"/>
              <w:widowControl w:val="0"/>
              <w:suppressAutoHyphens w:val="0"/>
              <w:rPr>
                <w:lang w:val="hu-HU"/>
              </w:rPr>
            </w:pPr>
            <w:r w:rsidRPr="00183B5F">
              <w:rPr>
                <w:lang w:val="hu-HU"/>
              </w:rPr>
              <w:t>Pszichiátriai kórképek</w:t>
            </w:r>
          </w:p>
        </w:tc>
        <w:tc>
          <w:tcPr>
            <w:tcW w:w="2030" w:type="dxa"/>
            <w:tcBorders>
              <w:top w:val="single" w:sz="4" w:space="0" w:color="auto"/>
              <w:left w:val="single" w:sz="4" w:space="0" w:color="auto"/>
              <w:bottom w:val="single" w:sz="4" w:space="0" w:color="auto"/>
              <w:right w:val="single" w:sz="4" w:space="0" w:color="auto"/>
            </w:tcBorders>
          </w:tcPr>
          <w:p w14:paraId="45EA68B5" w14:textId="77777777" w:rsidR="00366005" w:rsidRPr="00183B5F" w:rsidRDefault="00943743" w:rsidP="004062FE">
            <w:pPr>
              <w:pStyle w:val="EMEANormal"/>
              <w:widowControl w:val="0"/>
              <w:suppressAutoHyphens w:val="0"/>
              <w:rPr>
                <w:lang w:val="hu-HU"/>
              </w:rPr>
            </w:pPr>
            <w:r w:rsidRPr="00183B5F">
              <w:rPr>
                <w:lang w:val="hu-HU"/>
              </w:rPr>
              <w:t>Gyakori</w:t>
            </w:r>
          </w:p>
          <w:p w14:paraId="4CBFD2D3" w14:textId="77777777" w:rsidR="00366005" w:rsidRPr="00183B5F" w:rsidRDefault="00366005" w:rsidP="004062FE">
            <w:pPr>
              <w:pStyle w:val="EMEANormal"/>
              <w:widowControl w:val="0"/>
              <w:suppressAutoHyphens w:val="0"/>
              <w:rPr>
                <w:lang w:val="hu-HU"/>
              </w:rPr>
            </w:pPr>
          </w:p>
        </w:tc>
        <w:tc>
          <w:tcPr>
            <w:tcW w:w="4451" w:type="dxa"/>
            <w:tcBorders>
              <w:top w:val="single" w:sz="4" w:space="0" w:color="auto"/>
              <w:left w:val="single" w:sz="4" w:space="0" w:color="auto"/>
              <w:bottom w:val="single" w:sz="4" w:space="0" w:color="auto"/>
              <w:right w:val="single" w:sz="4" w:space="0" w:color="auto"/>
            </w:tcBorders>
            <w:hideMark/>
          </w:tcPr>
          <w:p w14:paraId="7607D825" w14:textId="77777777" w:rsidR="00366005" w:rsidRPr="00183B5F" w:rsidRDefault="00943743" w:rsidP="004062FE">
            <w:pPr>
              <w:pStyle w:val="EMEANormal"/>
              <w:widowControl w:val="0"/>
              <w:suppressAutoHyphens w:val="0"/>
              <w:rPr>
                <w:lang w:val="hu-HU"/>
              </w:rPr>
            </w:pPr>
            <w:r w:rsidRPr="00183B5F">
              <w:rPr>
                <w:lang w:val="hu-HU"/>
              </w:rPr>
              <w:t xml:space="preserve">Hangulatváltozás (beleértve a depressziót is), </w:t>
            </w:r>
          </w:p>
          <w:p w14:paraId="25FBE812" w14:textId="77777777" w:rsidR="00C17B6B" w:rsidRPr="00183B5F" w:rsidRDefault="00943743" w:rsidP="004062FE">
            <w:pPr>
              <w:pStyle w:val="EMEANormal"/>
              <w:widowControl w:val="0"/>
              <w:suppressAutoHyphens w:val="0"/>
              <w:rPr>
                <w:lang w:val="hu-HU"/>
              </w:rPr>
            </w:pPr>
            <w:r w:rsidRPr="00183B5F">
              <w:rPr>
                <w:lang w:val="hu-HU"/>
              </w:rPr>
              <w:t xml:space="preserve">szorongás, </w:t>
            </w:r>
          </w:p>
          <w:p w14:paraId="4C02D248" w14:textId="77777777" w:rsidR="00366005" w:rsidRPr="00183B5F" w:rsidRDefault="00943743" w:rsidP="004062FE">
            <w:pPr>
              <w:pStyle w:val="EMEANormal"/>
              <w:widowControl w:val="0"/>
              <w:suppressAutoHyphens w:val="0"/>
              <w:rPr>
                <w:lang w:val="hu-HU"/>
              </w:rPr>
            </w:pPr>
            <w:r w:rsidRPr="00183B5F">
              <w:rPr>
                <w:lang w:val="hu-HU"/>
              </w:rPr>
              <w:t>insomnia</w:t>
            </w:r>
          </w:p>
        </w:tc>
      </w:tr>
      <w:tr w:rsidR="00011D2F" w14:paraId="5FB07D6C" w14:textId="77777777" w:rsidTr="00202B95">
        <w:trPr>
          <w:cantSplit/>
        </w:trPr>
        <w:tc>
          <w:tcPr>
            <w:tcW w:w="2580" w:type="dxa"/>
            <w:vMerge w:val="restart"/>
            <w:tcBorders>
              <w:top w:val="single" w:sz="4" w:space="0" w:color="auto"/>
              <w:left w:val="single" w:sz="4" w:space="0" w:color="auto"/>
              <w:bottom w:val="single" w:sz="4" w:space="0" w:color="auto"/>
              <w:right w:val="single" w:sz="4" w:space="0" w:color="auto"/>
            </w:tcBorders>
            <w:hideMark/>
          </w:tcPr>
          <w:p w14:paraId="64845518" w14:textId="77777777" w:rsidR="00366005" w:rsidRPr="00183B5F" w:rsidRDefault="00943743" w:rsidP="004062FE">
            <w:pPr>
              <w:pStyle w:val="EMEANormal"/>
              <w:widowControl w:val="0"/>
              <w:suppressAutoHyphens w:val="0"/>
              <w:rPr>
                <w:lang w:val="hu-HU"/>
              </w:rPr>
            </w:pPr>
            <w:r w:rsidRPr="00183B5F">
              <w:rPr>
                <w:lang w:val="hu-HU"/>
              </w:rPr>
              <w:t>Idegrendszeri betegségek és tünetek*</w:t>
            </w:r>
          </w:p>
        </w:tc>
        <w:tc>
          <w:tcPr>
            <w:tcW w:w="2030" w:type="dxa"/>
            <w:tcBorders>
              <w:top w:val="single" w:sz="4" w:space="0" w:color="auto"/>
              <w:left w:val="single" w:sz="4" w:space="0" w:color="auto"/>
              <w:bottom w:val="single" w:sz="4" w:space="0" w:color="auto"/>
              <w:right w:val="single" w:sz="4" w:space="0" w:color="auto"/>
            </w:tcBorders>
            <w:hideMark/>
          </w:tcPr>
          <w:p w14:paraId="43C163D1" w14:textId="77777777" w:rsidR="00366005" w:rsidRPr="00183B5F" w:rsidRDefault="00943743" w:rsidP="004062FE">
            <w:pPr>
              <w:pStyle w:val="EMEANormal"/>
              <w:widowControl w:val="0"/>
              <w:suppressAutoHyphens w:val="0"/>
              <w:rPr>
                <w:lang w:val="hu-HU"/>
              </w:rPr>
            </w:pPr>
            <w:r w:rsidRPr="00183B5F">
              <w:rPr>
                <w:lang w:val="hu-HU"/>
              </w:rPr>
              <w:t>Nagyon gyakori</w:t>
            </w:r>
          </w:p>
        </w:tc>
        <w:tc>
          <w:tcPr>
            <w:tcW w:w="4451" w:type="dxa"/>
            <w:tcBorders>
              <w:top w:val="single" w:sz="4" w:space="0" w:color="auto"/>
              <w:left w:val="single" w:sz="4" w:space="0" w:color="auto"/>
              <w:bottom w:val="single" w:sz="4" w:space="0" w:color="auto"/>
              <w:right w:val="single" w:sz="4" w:space="0" w:color="auto"/>
            </w:tcBorders>
            <w:hideMark/>
          </w:tcPr>
          <w:p w14:paraId="6D1F2A8E" w14:textId="77777777" w:rsidR="00366005" w:rsidRPr="00183B5F" w:rsidRDefault="00943743" w:rsidP="004062FE">
            <w:pPr>
              <w:pStyle w:val="EMEANormal"/>
              <w:widowControl w:val="0"/>
              <w:suppressAutoHyphens w:val="0"/>
              <w:rPr>
                <w:lang w:val="hu-HU"/>
              </w:rPr>
            </w:pPr>
            <w:r w:rsidRPr="00183B5F">
              <w:rPr>
                <w:lang w:val="hu-HU"/>
              </w:rPr>
              <w:t>Fejfájás</w:t>
            </w:r>
          </w:p>
        </w:tc>
      </w:tr>
      <w:tr w:rsidR="00011D2F" w14:paraId="2CA9B331" w14:textId="77777777" w:rsidTr="00202B9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C8918C" w14:textId="77777777" w:rsidR="00366005" w:rsidRPr="00183B5F" w:rsidRDefault="00366005">
            <w:pPr>
              <w:suppressAutoHyphens w:val="0"/>
              <w:spacing w:line="240" w:lineRule="auto"/>
              <w:rPr>
                <w:lang w:eastAsia="en-US"/>
              </w:rPr>
            </w:pPr>
          </w:p>
        </w:tc>
        <w:tc>
          <w:tcPr>
            <w:tcW w:w="2030" w:type="dxa"/>
            <w:tcBorders>
              <w:top w:val="single" w:sz="4" w:space="0" w:color="auto"/>
              <w:left w:val="single" w:sz="4" w:space="0" w:color="auto"/>
              <w:bottom w:val="single" w:sz="4" w:space="0" w:color="auto"/>
              <w:right w:val="single" w:sz="4" w:space="0" w:color="auto"/>
            </w:tcBorders>
            <w:hideMark/>
          </w:tcPr>
          <w:p w14:paraId="79845E41" w14:textId="77777777" w:rsidR="00366005" w:rsidRPr="00183B5F" w:rsidRDefault="00943743" w:rsidP="004062FE">
            <w:pPr>
              <w:pStyle w:val="EMEANormal"/>
              <w:widowControl w:val="0"/>
              <w:suppressAutoHyphens w:val="0"/>
              <w:rPr>
                <w:lang w:val="hu-HU"/>
              </w:rPr>
            </w:pPr>
            <w:r w:rsidRPr="00183B5F">
              <w:rPr>
                <w:lang w:val="hu-HU"/>
              </w:rPr>
              <w:t>Gyakori</w:t>
            </w:r>
          </w:p>
        </w:tc>
        <w:tc>
          <w:tcPr>
            <w:tcW w:w="4451" w:type="dxa"/>
            <w:tcBorders>
              <w:top w:val="single" w:sz="4" w:space="0" w:color="auto"/>
              <w:left w:val="single" w:sz="4" w:space="0" w:color="auto"/>
              <w:bottom w:val="single" w:sz="4" w:space="0" w:color="auto"/>
              <w:right w:val="single" w:sz="4" w:space="0" w:color="auto"/>
            </w:tcBorders>
            <w:hideMark/>
          </w:tcPr>
          <w:p w14:paraId="6620DEDE" w14:textId="77777777" w:rsidR="00366005" w:rsidRPr="00183B5F" w:rsidRDefault="00943743" w:rsidP="004062FE">
            <w:pPr>
              <w:pStyle w:val="EMEANormal"/>
              <w:widowControl w:val="0"/>
              <w:suppressAutoHyphens w:val="0"/>
              <w:rPr>
                <w:lang w:val="hu-HU"/>
              </w:rPr>
            </w:pPr>
            <w:r w:rsidRPr="00183B5F">
              <w:rPr>
                <w:lang w:val="hu-HU"/>
              </w:rPr>
              <w:t>Paraesthesiák (beleértve a hypa</w:t>
            </w:r>
            <w:r w:rsidR="00F4121D" w:rsidRPr="00183B5F">
              <w:rPr>
                <w:lang w:val="hu-HU"/>
              </w:rPr>
              <w:t>e</w:t>
            </w:r>
            <w:r w:rsidRPr="00183B5F">
              <w:rPr>
                <w:lang w:val="hu-HU"/>
              </w:rPr>
              <w:t>sthesiát is),</w:t>
            </w:r>
          </w:p>
          <w:p w14:paraId="1612E336" w14:textId="77777777" w:rsidR="00366005" w:rsidRPr="00183B5F" w:rsidRDefault="00943743" w:rsidP="004062FE">
            <w:pPr>
              <w:pStyle w:val="EMEANormal"/>
              <w:widowControl w:val="0"/>
              <w:suppressAutoHyphens w:val="0"/>
              <w:rPr>
                <w:lang w:val="hu-HU"/>
              </w:rPr>
            </w:pPr>
            <w:r w:rsidRPr="00183B5F">
              <w:rPr>
                <w:lang w:val="hu-HU"/>
              </w:rPr>
              <w:t>migr</w:t>
            </w:r>
            <w:r w:rsidR="00761819" w:rsidRPr="00183B5F">
              <w:rPr>
                <w:lang w:val="hu-HU"/>
              </w:rPr>
              <w:t>é</w:t>
            </w:r>
            <w:r w:rsidRPr="00183B5F">
              <w:rPr>
                <w:lang w:val="hu-HU"/>
              </w:rPr>
              <w:t>n,</w:t>
            </w:r>
          </w:p>
          <w:p w14:paraId="6DA34C0E" w14:textId="77777777" w:rsidR="00366005" w:rsidRPr="00183B5F" w:rsidRDefault="00943743" w:rsidP="004062FE">
            <w:pPr>
              <w:pStyle w:val="EMEANormal"/>
              <w:widowControl w:val="0"/>
              <w:suppressAutoHyphens w:val="0"/>
              <w:rPr>
                <w:lang w:val="hu-HU"/>
              </w:rPr>
            </w:pPr>
            <w:r w:rsidRPr="00183B5F">
              <w:rPr>
                <w:lang w:val="hu-HU"/>
              </w:rPr>
              <w:t>ideggyök</w:t>
            </w:r>
            <w:r w:rsidR="00F12F0A" w:rsidRPr="00183B5F">
              <w:rPr>
                <w:lang w:val="hu-HU"/>
              </w:rPr>
              <w:t>-</w:t>
            </w:r>
            <w:r w:rsidRPr="00183B5F">
              <w:rPr>
                <w:lang w:val="hu-HU"/>
              </w:rPr>
              <w:t>kompresszió</w:t>
            </w:r>
          </w:p>
        </w:tc>
      </w:tr>
      <w:tr w:rsidR="00011D2F" w14:paraId="272BB8EF" w14:textId="77777777" w:rsidTr="00202B9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4C2D41" w14:textId="77777777" w:rsidR="00366005" w:rsidRPr="00183B5F" w:rsidRDefault="00366005">
            <w:pPr>
              <w:suppressAutoHyphens w:val="0"/>
              <w:spacing w:line="240" w:lineRule="auto"/>
              <w:rPr>
                <w:lang w:eastAsia="en-US"/>
              </w:rPr>
            </w:pPr>
          </w:p>
        </w:tc>
        <w:tc>
          <w:tcPr>
            <w:tcW w:w="2030" w:type="dxa"/>
            <w:tcBorders>
              <w:top w:val="single" w:sz="4" w:space="0" w:color="auto"/>
              <w:left w:val="single" w:sz="4" w:space="0" w:color="auto"/>
              <w:bottom w:val="single" w:sz="4" w:space="0" w:color="auto"/>
              <w:right w:val="single" w:sz="4" w:space="0" w:color="auto"/>
            </w:tcBorders>
          </w:tcPr>
          <w:p w14:paraId="5670D0E8" w14:textId="77777777" w:rsidR="00366005" w:rsidRPr="00183B5F" w:rsidRDefault="00943743" w:rsidP="004062FE">
            <w:pPr>
              <w:pStyle w:val="EMEANormal"/>
              <w:widowControl w:val="0"/>
              <w:suppressAutoHyphens w:val="0"/>
              <w:rPr>
                <w:lang w:val="hu-HU"/>
              </w:rPr>
            </w:pPr>
            <w:r w:rsidRPr="00183B5F">
              <w:rPr>
                <w:lang w:val="hu-HU"/>
              </w:rPr>
              <w:t>Nem gyakori</w:t>
            </w:r>
          </w:p>
          <w:p w14:paraId="410B3A42" w14:textId="77777777" w:rsidR="00366005" w:rsidRPr="00183B5F" w:rsidRDefault="00366005" w:rsidP="004062FE">
            <w:pPr>
              <w:pStyle w:val="EMEANormal"/>
              <w:widowControl w:val="0"/>
              <w:suppressAutoHyphens w:val="0"/>
              <w:rPr>
                <w:lang w:val="hu-HU"/>
              </w:rPr>
            </w:pPr>
          </w:p>
        </w:tc>
        <w:tc>
          <w:tcPr>
            <w:tcW w:w="4451" w:type="dxa"/>
            <w:tcBorders>
              <w:top w:val="single" w:sz="4" w:space="0" w:color="auto"/>
              <w:left w:val="single" w:sz="4" w:space="0" w:color="auto"/>
              <w:bottom w:val="single" w:sz="4" w:space="0" w:color="auto"/>
              <w:right w:val="single" w:sz="4" w:space="0" w:color="auto"/>
            </w:tcBorders>
            <w:hideMark/>
          </w:tcPr>
          <w:p w14:paraId="66C6D7FB" w14:textId="77777777" w:rsidR="00366005" w:rsidRPr="00183B5F" w:rsidRDefault="00943743" w:rsidP="004062FE">
            <w:pPr>
              <w:pStyle w:val="EMEANormal"/>
              <w:widowControl w:val="0"/>
              <w:suppressAutoHyphens w:val="0"/>
              <w:rPr>
                <w:szCs w:val="22"/>
                <w:lang w:val="hu-HU"/>
              </w:rPr>
            </w:pPr>
            <w:r w:rsidRPr="00183B5F">
              <w:rPr>
                <w:szCs w:val="22"/>
                <w:lang w:val="hu-HU"/>
              </w:rPr>
              <w:t>Cerebrovascularis történések</w:t>
            </w:r>
            <w:r w:rsidRPr="00183B5F">
              <w:rPr>
                <w:vertAlign w:val="superscript"/>
                <w:lang w:val="hu-HU"/>
              </w:rPr>
              <w:t>1)</w:t>
            </w:r>
            <w:r w:rsidRPr="00183B5F">
              <w:rPr>
                <w:szCs w:val="22"/>
                <w:lang w:val="hu-HU"/>
              </w:rPr>
              <w:t>,</w:t>
            </w:r>
          </w:p>
          <w:p w14:paraId="7558A880" w14:textId="77777777" w:rsidR="00366005" w:rsidRPr="00183B5F" w:rsidRDefault="00943743" w:rsidP="004062FE">
            <w:pPr>
              <w:pStyle w:val="EMEANormal"/>
              <w:widowControl w:val="0"/>
              <w:suppressAutoHyphens w:val="0"/>
              <w:rPr>
                <w:lang w:val="hu-HU"/>
              </w:rPr>
            </w:pPr>
            <w:r w:rsidRPr="00183B5F">
              <w:rPr>
                <w:lang w:val="hu-HU"/>
              </w:rPr>
              <w:t>tremor</w:t>
            </w:r>
          </w:p>
          <w:p w14:paraId="65451B0D" w14:textId="77777777" w:rsidR="00366005" w:rsidRPr="00183B5F" w:rsidRDefault="00943743" w:rsidP="004062FE">
            <w:pPr>
              <w:pStyle w:val="EMEANormal"/>
              <w:widowControl w:val="0"/>
              <w:suppressAutoHyphens w:val="0"/>
              <w:rPr>
                <w:lang w:val="hu-HU"/>
              </w:rPr>
            </w:pPr>
            <w:r w:rsidRPr="00183B5F">
              <w:rPr>
                <w:lang w:val="hu-HU"/>
              </w:rPr>
              <w:t>neuropathia</w:t>
            </w:r>
          </w:p>
        </w:tc>
      </w:tr>
      <w:tr w:rsidR="00011D2F" w14:paraId="771075DA" w14:textId="77777777" w:rsidTr="00202B9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62824A" w14:textId="77777777" w:rsidR="00366005" w:rsidRPr="00183B5F" w:rsidRDefault="00366005">
            <w:pPr>
              <w:suppressAutoHyphens w:val="0"/>
              <w:spacing w:line="240" w:lineRule="auto"/>
              <w:rPr>
                <w:lang w:eastAsia="en-US"/>
              </w:rPr>
            </w:pPr>
          </w:p>
        </w:tc>
        <w:tc>
          <w:tcPr>
            <w:tcW w:w="2030" w:type="dxa"/>
            <w:tcBorders>
              <w:top w:val="single" w:sz="4" w:space="0" w:color="auto"/>
              <w:left w:val="single" w:sz="4" w:space="0" w:color="auto"/>
              <w:bottom w:val="single" w:sz="4" w:space="0" w:color="auto"/>
              <w:right w:val="single" w:sz="4" w:space="0" w:color="auto"/>
            </w:tcBorders>
          </w:tcPr>
          <w:p w14:paraId="052D2615" w14:textId="77777777" w:rsidR="00366005" w:rsidRPr="00183B5F" w:rsidRDefault="00943743" w:rsidP="004062FE">
            <w:pPr>
              <w:pStyle w:val="EMEANormal"/>
              <w:widowControl w:val="0"/>
              <w:suppressAutoHyphens w:val="0"/>
              <w:rPr>
                <w:lang w:val="hu-HU"/>
              </w:rPr>
            </w:pPr>
            <w:r w:rsidRPr="00183B5F">
              <w:rPr>
                <w:lang w:val="hu-HU"/>
              </w:rPr>
              <w:t>Ritka</w:t>
            </w:r>
          </w:p>
          <w:p w14:paraId="301A94E6" w14:textId="77777777" w:rsidR="00366005" w:rsidRPr="00183B5F" w:rsidRDefault="00366005" w:rsidP="004062FE">
            <w:pPr>
              <w:pStyle w:val="EMEANormal"/>
              <w:widowControl w:val="0"/>
              <w:suppressAutoHyphens w:val="0"/>
              <w:rPr>
                <w:lang w:val="hu-HU"/>
              </w:rPr>
            </w:pPr>
          </w:p>
        </w:tc>
        <w:tc>
          <w:tcPr>
            <w:tcW w:w="4451" w:type="dxa"/>
            <w:tcBorders>
              <w:top w:val="single" w:sz="4" w:space="0" w:color="auto"/>
              <w:left w:val="single" w:sz="4" w:space="0" w:color="auto"/>
              <w:bottom w:val="single" w:sz="4" w:space="0" w:color="auto"/>
              <w:right w:val="single" w:sz="4" w:space="0" w:color="auto"/>
            </w:tcBorders>
            <w:hideMark/>
          </w:tcPr>
          <w:p w14:paraId="06CF07E9" w14:textId="77777777" w:rsidR="00366005" w:rsidRPr="00183B5F" w:rsidRDefault="00943743" w:rsidP="004062FE">
            <w:pPr>
              <w:pStyle w:val="EMEANormal"/>
              <w:widowControl w:val="0"/>
              <w:suppressAutoHyphens w:val="0"/>
              <w:rPr>
                <w:lang w:val="hu-HU"/>
              </w:rPr>
            </w:pPr>
            <w:r w:rsidRPr="00183B5F">
              <w:rPr>
                <w:lang w:val="hu-HU"/>
              </w:rPr>
              <w:t>Sclerosis multiplex,</w:t>
            </w:r>
          </w:p>
          <w:p w14:paraId="4F6F2CA4" w14:textId="77777777" w:rsidR="00366005" w:rsidRPr="00183B5F" w:rsidRDefault="00943743" w:rsidP="004062FE">
            <w:pPr>
              <w:pStyle w:val="EMEANormal"/>
              <w:widowControl w:val="0"/>
              <w:suppressAutoHyphens w:val="0"/>
              <w:rPr>
                <w:lang w:val="hu-HU"/>
              </w:rPr>
            </w:pPr>
            <w:r w:rsidRPr="00183B5F">
              <w:rPr>
                <w:szCs w:val="22"/>
                <w:lang w:val="hu-HU"/>
              </w:rPr>
              <w:t>demyelinisatiós betegségek (pl. neuritis nervi optici, Guillain</w:t>
            </w:r>
            <w:r w:rsidR="00F12F0A" w:rsidRPr="00183B5F">
              <w:rPr>
                <w:szCs w:val="22"/>
                <w:lang w:val="hu-HU"/>
              </w:rPr>
              <w:t>–</w:t>
            </w:r>
            <w:r w:rsidRPr="00183B5F">
              <w:rPr>
                <w:szCs w:val="22"/>
                <w:lang w:val="hu-HU"/>
              </w:rPr>
              <w:t>Barré-szindróma)</w:t>
            </w:r>
            <w:r w:rsidRPr="00183B5F">
              <w:rPr>
                <w:szCs w:val="22"/>
                <w:vertAlign w:val="superscript"/>
                <w:lang w:val="hu-HU"/>
              </w:rPr>
              <w:t>1)</w:t>
            </w:r>
          </w:p>
        </w:tc>
      </w:tr>
      <w:tr w:rsidR="00011D2F" w14:paraId="0FBF5B4F" w14:textId="77777777" w:rsidTr="00202B95">
        <w:trPr>
          <w:cantSplit/>
        </w:trPr>
        <w:tc>
          <w:tcPr>
            <w:tcW w:w="2580" w:type="dxa"/>
            <w:vMerge w:val="restart"/>
            <w:tcBorders>
              <w:top w:val="single" w:sz="4" w:space="0" w:color="auto"/>
              <w:left w:val="single" w:sz="4" w:space="0" w:color="auto"/>
              <w:bottom w:val="single" w:sz="4" w:space="0" w:color="auto"/>
              <w:right w:val="single" w:sz="4" w:space="0" w:color="auto"/>
            </w:tcBorders>
            <w:hideMark/>
          </w:tcPr>
          <w:p w14:paraId="4D862A13" w14:textId="77777777" w:rsidR="00366005" w:rsidRPr="00183B5F" w:rsidRDefault="00943743" w:rsidP="004062FE">
            <w:pPr>
              <w:pStyle w:val="EMEANormal"/>
              <w:widowControl w:val="0"/>
              <w:suppressAutoHyphens w:val="0"/>
              <w:rPr>
                <w:lang w:val="hu-HU"/>
              </w:rPr>
            </w:pPr>
            <w:r w:rsidRPr="00183B5F">
              <w:rPr>
                <w:lang w:val="hu-HU"/>
              </w:rPr>
              <w:t>Szembetegségek és szemészeti tünetek</w:t>
            </w:r>
          </w:p>
        </w:tc>
        <w:tc>
          <w:tcPr>
            <w:tcW w:w="2030" w:type="dxa"/>
            <w:tcBorders>
              <w:top w:val="single" w:sz="4" w:space="0" w:color="auto"/>
              <w:left w:val="single" w:sz="4" w:space="0" w:color="auto"/>
              <w:bottom w:val="single" w:sz="4" w:space="0" w:color="auto"/>
              <w:right w:val="single" w:sz="4" w:space="0" w:color="auto"/>
            </w:tcBorders>
          </w:tcPr>
          <w:p w14:paraId="2F08FABD" w14:textId="77777777" w:rsidR="00366005" w:rsidRPr="00183B5F" w:rsidRDefault="00943743" w:rsidP="004062FE">
            <w:pPr>
              <w:pStyle w:val="EMEANormal"/>
              <w:widowControl w:val="0"/>
              <w:suppressAutoHyphens w:val="0"/>
              <w:rPr>
                <w:lang w:val="hu-HU"/>
              </w:rPr>
            </w:pPr>
            <w:r w:rsidRPr="00183B5F">
              <w:rPr>
                <w:lang w:val="hu-HU"/>
              </w:rPr>
              <w:t>Gyakori</w:t>
            </w:r>
          </w:p>
          <w:p w14:paraId="0687E45A" w14:textId="77777777" w:rsidR="00366005" w:rsidRPr="00183B5F" w:rsidRDefault="00366005" w:rsidP="004062FE">
            <w:pPr>
              <w:pStyle w:val="EMEANormal"/>
              <w:widowControl w:val="0"/>
              <w:suppressAutoHyphens w:val="0"/>
              <w:rPr>
                <w:lang w:val="hu-HU"/>
              </w:rPr>
            </w:pPr>
          </w:p>
        </w:tc>
        <w:tc>
          <w:tcPr>
            <w:tcW w:w="4451" w:type="dxa"/>
            <w:tcBorders>
              <w:top w:val="single" w:sz="4" w:space="0" w:color="auto"/>
              <w:left w:val="single" w:sz="4" w:space="0" w:color="auto"/>
              <w:bottom w:val="single" w:sz="4" w:space="0" w:color="auto"/>
              <w:right w:val="single" w:sz="4" w:space="0" w:color="auto"/>
            </w:tcBorders>
            <w:hideMark/>
          </w:tcPr>
          <w:p w14:paraId="2650134F" w14:textId="77777777" w:rsidR="00366005" w:rsidRPr="00183B5F" w:rsidRDefault="00943743" w:rsidP="004062FE">
            <w:pPr>
              <w:pStyle w:val="EMEANormal"/>
              <w:widowControl w:val="0"/>
              <w:suppressAutoHyphens w:val="0"/>
              <w:rPr>
                <w:lang w:val="hu-HU"/>
              </w:rPr>
            </w:pPr>
            <w:r w:rsidRPr="00183B5F">
              <w:rPr>
                <w:lang w:val="hu-HU"/>
              </w:rPr>
              <w:t>Látásromlás,</w:t>
            </w:r>
          </w:p>
          <w:p w14:paraId="69018388" w14:textId="77777777" w:rsidR="00366005" w:rsidRPr="00183B5F" w:rsidRDefault="00943743" w:rsidP="004062FE">
            <w:pPr>
              <w:pStyle w:val="EMEANormal"/>
              <w:widowControl w:val="0"/>
              <w:suppressAutoHyphens w:val="0"/>
              <w:rPr>
                <w:lang w:val="hu-HU"/>
              </w:rPr>
            </w:pPr>
            <w:r w:rsidRPr="00183B5F">
              <w:rPr>
                <w:lang w:val="hu-HU"/>
              </w:rPr>
              <w:t>conjunctivitis,</w:t>
            </w:r>
          </w:p>
          <w:p w14:paraId="7A1FDD55" w14:textId="77777777" w:rsidR="00366005" w:rsidRPr="00183B5F" w:rsidRDefault="00943743" w:rsidP="004062FE">
            <w:pPr>
              <w:pStyle w:val="EMEANormal"/>
              <w:widowControl w:val="0"/>
              <w:suppressAutoHyphens w:val="0"/>
              <w:rPr>
                <w:lang w:val="hu-HU"/>
              </w:rPr>
            </w:pPr>
            <w:r w:rsidRPr="00183B5F">
              <w:rPr>
                <w:lang w:val="hu-HU"/>
              </w:rPr>
              <w:t>blepharitis,</w:t>
            </w:r>
          </w:p>
          <w:p w14:paraId="337AF96B" w14:textId="77777777" w:rsidR="00366005" w:rsidRPr="00183B5F" w:rsidRDefault="00943743" w:rsidP="004062FE">
            <w:pPr>
              <w:pStyle w:val="EMEANormal"/>
              <w:widowControl w:val="0"/>
              <w:suppressAutoHyphens w:val="0"/>
              <w:rPr>
                <w:lang w:val="hu-HU"/>
              </w:rPr>
            </w:pPr>
            <w:r w:rsidRPr="00183B5F">
              <w:rPr>
                <w:lang w:val="hu-HU"/>
              </w:rPr>
              <w:t>szemkörnyéki duzzanat</w:t>
            </w:r>
          </w:p>
        </w:tc>
      </w:tr>
      <w:tr w:rsidR="00011D2F" w14:paraId="17BD8600" w14:textId="77777777" w:rsidTr="00202B9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1EAC95" w14:textId="77777777" w:rsidR="00366005" w:rsidRPr="00183B5F" w:rsidRDefault="00366005">
            <w:pPr>
              <w:suppressAutoHyphens w:val="0"/>
              <w:spacing w:line="240" w:lineRule="auto"/>
              <w:rPr>
                <w:lang w:eastAsia="en-US"/>
              </w:rPr>
            </w:pPr>
          </w:p>
        </w:tc>
        <w:tc>
          <w:tcPr>
            <w:tcW w:w="2030" w:type="dxa"/>
            <w:tcBorders>
              <w:top w:val="single" w:sz="4" w:space="0" w:color="auto"/>
              <w:left w:val="single" w:sz="4" w:space="0" w:color="auto"/>
              <w:bottom w:val="single" w:sz="4" w:space="0" w:color="auto"/>
              <w:right w:val="single" w:sz="4" w:space="0" w:color="auto"/>
            </w:tcBorders>
            <w:hideMark/>
          </w:tcPr>
          <w:p w14:paraId="22CFA387" w14:textId="77777777" w:rsidR="00366005" w:rsidRPr="00183B5F" w:rsidRDefault="00943743" w:rsidP="004062FE">
            <w:pPr>
              <w:pStyle w:val="EMEANormal"/>
              <w:widowControl w:val="0"/>
              <w:suppressAutoHyphens w:val="0"/>
              <w:rPr>
                <w:lang w:val="hu-HU"/>
              </w:rPr>
            </w:pPr>
            <w:r w:rsidRPr="00183B5F">
              <w:rPr>
                <w:lang w:val="hu-HU"/>
              </w:rPr>
              <w:t>Nem gyakori</w:t>
            </w:r>
          </w:p>
        </w:tc>
        <w:tc>
          <w:tcPr>
            <w:tcW w:w="4451" w:type="dxa"/>
            <w:tcBorders>
              <w:top w:val="single" w:sz="4" w:space="0" w:color="auto"/>
              <w:left w:val="single" w:sz="4" w:space="0" w:color="auto"/>
              <w:bottom w:val="single" w:sz="4" w:space="0" w:color="auto"/>
              <w:right w:val="single" w:sz="4" w:space="0" w:color="auto"/>
            </w:tcBorders>
            <w:hideMark/>
          </w:tcPr>
          <w:p w14:paraId="12C12BE4" w14:textId="77777777" w:rsidR="00366005" w:rsidRPr="00183B5F" w:rsidRDefault="00943743" w:rsidP="004062FE">
            <w:pPr>
              <w:pStyle w:val="EMEANormal"/>
              <w:widowControl w:val="0"/>
              <w:suppressAutoHyphens w:val="0"/>
              <w:rPr>
                <w:lang w:val="hu-HU"/>
              </w:rPr>
            </w:pPr>
            <w:r w:rsidRPr="00183B5F">
              <w:rPr>
                <w:lang w:val="hu-HU"/>
              </w:rPr>
              <w:t>Diplopia</w:t>
            </w:r>
          </w:p>
        </w:tc>
      </w:tr>
      <w:tr w:rsidR="00011D2F" w14:paraId="6113942E" w14:textId="77777777" w:rsidTr="00202B95">
        <w:trPr>
          <w:cantSplit/>
        </w:trPr>
        <w:tc>
          <w:tcPr>
            <w:tcW w:w="2580" w:type="dxa"/>
            <w:vMerge w:val="restart"/>
            <w:tcBorders>
              <w:top w:val="single" w:sz="4" w:space="0" w:color="auto"/>
              <w:left w:val="single" w:sz="4" w:space="0" w:color="auto"/>
              <w:bottom w:val="single" w:sz="4" w:space="0" w:color="auto"/>
              <w:right w:val="single" w:sz="4" w:space="0" w:color="auto"/>
            </w:tcBorders>
            <w:hideMark/>
          </w:tcPr>
          <w:p w14:paraId="5CCA5C01" w14:textId="77777777" w:rsidR="00366005" w:rsidRPr="00183B5F" w:rsidRDefault="00943743" w:rsidP="004062FE">
            <w:pPr>
              <w:pStyle w:val="EMEANormal"/>
              <w:widowControl w:val="0"/>
              <w:suppressAutoHyphens w:val="0"/>
              <w:rPr>
                <w:szCs w:val="22"/>
                <w:lang w:val="hu-HU"/>
              </w:rPr>
            </w:pPr>
            <w:r w:rsidRPr="00183B5F">
              <w:rPr>
                <w:szCs w:val="22"/>
                <w:lang w:val="hu-HU"/>
              </w:rPr>
              <w:t xml:space="preserve">A fül és az egyensúly-érzékelő szerv betegségei és tünetei </w:t>
            </w:r>
          </w:p>
        </w:tc>
        <w:tc>
          <w:tcPr>
            <w:tcW w:w="2030" w:type="dxa"/>
            <w:tcBorders>
              <w:top w:val="single" w:sz="4" w:space="0" w:color="auto"/>
              <w:left w:val="single" w:sz="4" w:space="0" w:color="auto"/>
              <w:bottom w:val="single" w:sz="4" w:space="0" w:color="auto"/>
              <w:right w:val="single" w:sz="4" w:space="0" w:color="auto"/>
            </w:tcBorders>
            <w:hideMark/>
          </w:tcPr>
          <w:p w14:paraId="5A38806F" w14:textId="77777777" w:rsidR="00366005" w:rsidRPr="00183B5F" w:rsidRDefault="00943743" w:rsidP="004062FE">
            <w:pPr>
              <w:pStyle w:val="EMEANormal"/>
              <w:widowControl w:val="0"/>
              <w:suppressAutoHyphens w:val="0"/>
              <w:rPr>
                <w:lang w:val="hu-HU"/>
              </w:rPr>
            </w:pPr>
            <w:r w:rsidRPr="00183B5F">
              <w:rPr>
                <w:lang w:val="hu-HU"/>
              </w:rPr>
              <w:t>Gyakori</w:t>
            </w:r>
          </w:p>
        </w:tc>
        <w:tc>
          <w:tcPr>
            <w:tcW w:w="4451" w:type="dxa"/>
            <w:tcBorders>
              <w:top w:val="single" w:sz="4" w:space="0" w:color="auto"/>
              <w:left w:val="single" w:sz="4" w:space="0" w:color="auto"/>
              <w:bottom w:val="single" w:sz="4" w:space="0" w:color="auto"/>
              <w:right w:val="single" w:sz="4" w:space="0" w:color="auto"/>
            </w:tcBorders>
            <w:hideMark/>
          </w:tcPr>
          <w:p w14:paraId="44A3F5A5" w14:textId="77777777" w:rsidR="00366005" w:rsidRPr="00183B5F" w:rsidRDefault="00943743" w:rsidP="004062FE">
            <w:pPr>
              <w:pStyle w:val="EMEANormal"/>
              <w:widowControl w:val="0"/>
              <w:suppressAutoHyphens w:val="0"/>
              <w:rPr>
                <w:lang w:val="hu-HU"/>
              </w:rPr>
            </w:pPr>
            <w:r w:rsidRPr="00183B5F">
              <w:rPr>
                <w:lang w:val="hu-HU"/>
              </w:rPr>
              <w:t>Vertigo</w:t>
            </w:r>
          </w:p>
        </w:tc>
      </w:tr>
      <w:tr w:rsidR="00011D2F" w14:paraId="62E3EE69" w14:textId="77777777" w:rsidTr="00202B9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288F5D" w14:textId="77777777" w:rsidR="00366005" w:rsidRPr="00183B5F" w:rsidRDefault="00366005">
            <w:pPr>
              <w:suppressAutoHyphens w:val="0"/>
              <w:spacing w:line="240" w:lineRule="auto"/>
              <w:rPr>
                <w:szCs w:val="22"/>
                <w:lang w:eastAsia="en-US"/>
              </w:rPr>
            </w:pPr>
          </w:p>
        </w:tc>
        <w:tc>
          <w:tcPr>
            <w:tcW w:w="2030" w:type="dxa"/>
            <w:tcBorders>
              <w:top w:val="single" w:sz="4" w:space="0" w:color="auto"/>
              <w:left w:val="single" w:sz="4" w:space="0" w:color="auto"/>
              <w:bottom w:val="single" w:sz="4" w:space="0" w:color="auto"/>
              <w:right w:val="single" w:sz="4" w:space="0" w:color="auto"/>
            </w:tcBorders>
          </w:tcPr>
          <w:p w14:paraId="7A10B6C7" w14:textId="77777777" w:rsidR="00366005" w:rsidRPr="00183B5F" w:rsidRDefault="00943743" w:rsidP="004062FE">
            <w:pPr>
              <w:pStyle w:val="EMEANormal"/>
              <w:widowControl w:val="0"/>
              <w:suppressAutoHyphens w:val="0"/>
              <w:rPr>
                <w:lang w:val="hu-HU"/>
              </w:rPr>
            </w:pPr>
            <w:r w:rsidRPr="00183B5F">
              <w:rPr>
                <w:lang w:val="hu-HU"/>
              </w:rPr>
              <w:t>Nem gyakori</w:t>
            </w:r>
          </w:p>
          <w:p w14:paraId="6E40E1E2" w14:textId="77777777" w:rsidR="00366005" w:rsidRPr="00183B5F" w:rsidRDefault="00366005" w:rsidP="004062FE">
            <w:pPr>
              <w:pStyle w:val="EMEANormal"/>
              <w:widowControl w:val="0"/>
              <w:suppressAutoHyphens w:val="0"/>
              <w:rPr>
                <w:lang w:val="hu-HU"/>
              </w:rPr>
            </w:pPr>
          </w:p>
        </w:tc>
        <w:tc>
          <w:tcPr>
            <w:tcW w:w="4451" w:type="dxa"/>
            <w:tcBorders>
              <w:top w:val="single" w:sz="4" w:space="0" w:color="auto"/>
              <w:left w:val="single" w:sz="4" w:space="0" w:color="auto"/>
              <w:bottom w:val="single" w:sz="4" w:space="0" w:color="auto"/>
              <w:right w:val="single" w:sz="4" w:space="0" w:color="auto"/>
            </w:tcBorders>
            <w:hideMark/>
          </w:tcPr>
          <w:p w14:paraId="4A268307" w14:textId="77777777" w:rsidR="00366005" w:rsidRPr="00183B5F" w:rsidRDefault="00943743" w:rsidP="004062FE">
            <w:pPr>
              <w:pStyle w:val="EMEANormal"/>
              <w:widowControl w:val="0"/>
              <w:suppressAutoHyphens w:val="0"/>
              <w:rPr>
                <w:lang w:val="hu-HU"/>
              </w:rPr>
            </w:pPr>
            <w:r w:rsidRPr="00183B5F">
              <w:rPr>
                <w:lang w:val="hu-HU"/>
              </w:rPr>
              <w:t xml:space="preserve">Süketség, </w:t>
            </w:r>
          </w:p>
          <w:p w14:paraId="427D7AFC" w14:textId="77777777" w:rsidR="00366005" w:rsidRPr="00183B5F" w:rsidRDefault="00943743" w:rsidP="004062FE">
            <w:pPr>
              <w:pStyle w:val="EMEANormal"/>
              <w:widowControl w:val="0"/>
              <w:suppressAutoHyphens w:val="0"/>
              <w:rPr>
                <w:lang w:val="hu-HU"/>
              </w:rPr>
            </w:pPr>
            <w:r w:rsidRPr="00183B5F">
              <w:rPr>
                <w:lang w:val="hu-HU"/>
              </w:rPr>
              <w:t>tinnitus</w:t>
            </w:r>
          </w:p>
        </w:tc>
      </w:tr>
      <w:tr w:rsidR="00011D2F" w14:paraId="2170A3BA" w14:textId="77777777" w:rsidTr="00202B95">
        <w:trPr>
          <w:cantSplit/>
        </w:trPr>
        <w:tc>
          <w:tcPr>
            <w:tcW w:w="2580" w:type="dxa"/>
            <w:vMerge w:val="restart"/>
            <w:tcBorders>
              <w:top w:val="single" w:sz="4" w:space="0" w:color="auto"/>
              <w:left w:val="single" w:sz="4" w:space="0" w:color="auto"/>
              <w:bottom w:val="single" w:sz="4" w:space="0" w:color="auto"/>
              <w:right w:val="single" w:sz="4" w:space="0" w:color="auto"/>
            </w:tcBorders>
            <w:hideMark/>
          </w:tcPr>
          <w:p w14:paraId="5D3E1C51" w14:textId="77777777" w:rsidR="00366005" w:rsidRPr="00183B5F" w:rsidRDefault="00943743" w:rsidP="004062FE">
            <w:pPr>
              <w:pStyle w:val="EMEANormal"/>
              <w:widowControl w:val="0"/>
              <w:suppressAutoHyphens w:val="0"/>
              <w:rPr>
                <w:szCs w:val="22"/>
                <w:lang w:val="hu-HU"/>
              </w:rPr>
            </w:pPr>
            <w:r w:rsidRPr="00183B5F">
              <w:rPr>
                <w:szCs w:val="22"/>
                <w:lang w:val="hu-HU"/>
              </w:rPr>
              <w:t xml:space="preserve">Szívbetegségek és a szívvel kapcsolatos tünetek* </w:t>
            </w:r>
          </w:p>
        </w:tc>
        <w:tc>
          <w:tcPr>
            <w:tcW w:w="2030" w:type="dxa"/>
            <w:tcBorders>
              <w:top w:val="single" w:sz="4" w:space="0" w:color="auto"/>
              <w:left w:val="single" w:sz="4" w:space="0" w:color="auto"/>
              <w:bottom w:val="nil"/>
              <w:right w:val="single" w:sz="4" w:space="0" w:color="auto"/>
            </w:tcBorders>
            <w:hideMark/>
          </w:tcPr>
          <w:p w14:paraId="32D13807" w14:textId="77777777" w:rsidR="00366005" w:rsidRPr="00183B5F" w:rsidRDefault="00943743" w:rsidP="004062FE">
            <w:pPr>
              <w:pStyle w:val="EMEANormal"/>
              <w:widowControl w:val="0"/>
              <w:suppressAutoHyphens w:val="0"/>
              <w:rPr>
                <w:lang w:val="hu-HU"/>
              </w:rPr>
            </w:pPr>
            <w:r w:rsidRPr="00183B5F">
              <w:rPr>
                <w:lang w:val="hu-HU"/>
              </w:rPr>
              <w:t>Gyakori</w:t>
            </w:r>
          </w:p>
        </w:tc>
        <w:tc>
          <w:tcPr>
            <w:tcW w:w="4451" w:type="dxa"/>
            <w:tcBorders>
              <w:top w:val="single" w:sz="4" w:space="0" w:color="auto"/>
              <w:left w:val="single" w:sz="4" w:space="0" w:color="auto"/>
              <w:bottom w:val="nil"/>
              <w:right w:val="single" w:sz="4" w:space="0" w:color="auto"/>
            </w:tcBorders>
            <w:hideMark/>
          </w:tcPr>
          <w:p w14:paraId="1F5F2DE6" w14:textId="77777777" w:rsidR="00366005" w:rsidRPr="00183B5F" w:rsidRDefault="00943743" w:rsidP="004062FE">
            <w:pPr>
              <w:pStyle w:val="EMEANormal"/>
              <w:widowControl w:val="0"/>
              <w:suppressAutoHyphens w:val="0"/>
              <w:rPr>
                <w:lang w:val="hu-HU"/>
              </w:rPr>
            </w:pPr>
            <w:r w:rsidRPr="00183B5F">
              <w:rPr>
                <w:lang w:val="hu-HU"/>
              </w:rPr>
              <w:t>Tachycardia</w:t>
            </w:r>
          </w:p>
        </w:tc>
      </w:tr>
      <w:tr w:rsidR="00011D2F" w14:paraId="23D31468" w14:textId="77777777" w:rsidTr="00202B9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45E1DF" w14:textId="77777777" w:rsidR="00366005" w:rsidRPr="00183B5F" w:rsidRDefault="00366005">
            <w:pPr>
              <w:suppressAutoHyphens w:val="0"/>
              <w:spacing w:line="240" w:lineRule="auto"/>
              <w:rPr>
                <w:szCs w:val="22"/>
                <w:lang w:eastAsia="en-US"/>
              </w:rPr>
            </w:pPr>
          </w:p>
        </w:tc>
        <w:tc>
          <w:tcPr>
            <w:tcW w:w="2030" w:type="dxa"/>
            <w:tcBorders>
              <w:top w:val="nil"/>
              <w:left w:val="single" w:sz="4" w:space="0" w:color="auto"/>
              <w:bottom w:val="single" w:sz="4" w:space="0" w:color="auto"/>
              <w:right w:val="single" w:sz="4" w:space="0" w:color="auto"/>
            </w:tcBorders>
          </w:tcPr>
          <w:p w14:paraId="08F716E9" w14:textId="77777777" w:rsidR="00366005" w:rsidRPr="00183B5F" w:rsidRDefault="00943743" w:rsidP="004062FE">
            <w:pPr>
              <w:pStyle w:val="EMEANormal"/>
              <w:widowControl w:val="0"/>
              <w:suppressAutoHyphens w:val="0"/>
              <w:rPr>
                <w:lang w:val="hu-HU"/>
              </w:rPr>
            </w:pPr>
            <w:r w:rsidRPr="00183B5F">
              <w:rPr>
                <w:lang w:val="hu-HU"/>
              </w:rPr>
              <w:t>Nem gyakori</w:t>
            </w:r>
          </w:p>
          <w:p w14:paraId="0A369588" w14:textId="77777777" w:rsidR="00366005" w:rsidRPr="00183B5F" w:rsidRDefault="00366005" w:rsidP="004062FE">
            <w:pPr>
              <w:pStyle w:val="EMEANormal"/>
              <w:widowControl w:val="0"/>
              <w:suppressAutoHyphens w:val="0"/>
              <w:rPr>
                <w:lang w:val="hu-HU"/>
              </w:rPr>
            </w:pPr>
          </w:p>
        </w:tc>
        <w:tc>
          <w:tcPr>
            <w:tcW w:w="4451" w:type="dxa"/>
            <w:tcBorders>
              <w:top w:val="nil"/>
              <w:left w:val="single" w:sz="4" w:space="0" w:color="auto"/>
              <w:bottom w:val="single" w:sz="4" w:space="0" w:color="auto"/>
              <w:right w:val="single" w:sz="4" w:space="0" w:color="auto"/>
            </w:tcBorders>
          </w:tcPr>
          <w:p w14:paraId="6B132E50" w14:textId="77777777" w:rsidR="00366005" w:rsidRPr="00183B5F" w:rsidRDefault="00943743" w:rsidP="004062FE">
            <w:pPr>
              <w:pStyle w:val="EMEANormal"/>
              <w:widowControl w:val="0"/>
              <w:suppressAutoHyphens w:val="0"/>
              <w:rPr>
                <w:szCs w:val="22"/>
                <w:lang w:val="hu-HU"/>
              </w:rPr>
            </w:pPr>
            <w:r w:rsidRPr="00183B5F">
              <w:rPr>
                <w:szCs w:val="22"/>
                <w:lang w:val="hu-HU"/>
              </w:rPr>
              <w:t>Myocardialis infarktus</w:t>
            </w:r>
            <w:r w:rsidRPr="00183B5F">
              <w:rPr>
                <w:vertAlign w:val="superscript"/>
                <w:lang w:val="hu-HU"/>
              </w:rPr>
              <w:t>1)</w:t>
            </w:r>
            <w:r w:rsidRPr="00183B5F">
              <w:rPr>
                <w:szCs w:val="22"/>
                <w:lang w:val="hu-HU"/>
              </w:rPr>
              <w:t>,</w:t>
            </w:r>
          </w:p>
          <w:p w14:paraId="59E49DD6" w14:textId="77777777" w:rsidR="00366005" w:rsidRPr="00183B5F" w:rsidRDefault="00943743" w:rsidP="004062FE">
            <w:pPr>
              <w:pStyle w:val="EMEANormal"/>
              <w:widowControl w:val="0"/>
              <w:suppressAutoHyphens w:val="0"/>
              <w:rPr>
                <w:lang w:val="hu-HU"/>
              </w:rPr>
            </w:pPr>
            <w:r w:rsidRPr="00183B5F">
              <w:rPr>
                <w:lang w:val="hu-HU"/>
              </w:rPr>
              <w:t>arrhythmia,</w:t>
            </w:r>
          </w:p>
          <w:p w14:paraId="3287EE70" w14:textId="77777777" w:rsidR="00366005" w:rsidRPr="00183B5F" w:rsidRDefault="00943743" w:rsidP="00C30980">
            <w:pPr>
              <w:pStyle w:val="EMEANormal"/>
              <w:widowControl w:val="0"/>
              <w:suppressAutoHyphens w:val="0"/>
              <w:rPr>
                <w:lang w:val="hu-HU"/>
              </w:rPr>
            </w:pPr>
            <w:r w:rsidRPr="00183B5F">
              <w:rPr>
                <w:lang w:val="hu-HU"/>
              </w:rPr>
              <w:t>pangásos szívelégtelenség</w:t>
            </w:r>
          </w:p>
        </w:tc>
      </w:tr>
      <w:tr w:rsidR="00011D2F" w14:paraId="5E61205C" w14:textId="77777777" w:rsidTr="00202B9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C2ABD3" w14:textId="77777777" w:rsidR="00366005" w:rsidRPr="00183B5F" w:rsidRDefault="00366005">
            <w:pPr>
              <w:suppressAutoHyphens w:val="0"/>
              <w:spacing w:line="240" w:lineRule="auto"/>
              <w:rPr>
                <w:szCs w:val="22"/>
                <w:lang w:eastAsia="en-US"/>
              </w:rPr>
            </w:pPr>
          </w:p>
        </w:tc>
        <w:tc>
          <w:tcPr>
            <w:tcW w:w="2030" w:type="dxa"/>
            <w:tcBorders>
              <w:top w:val="single" w:sz="4" w:space="0" w:color="auto"/>
              <w:left w:val="single" w:sz="4" w:space="0" w:color="auto"/>
              <w:bottom w:val="single" w:sz="4" w:space="0" w:color="auto"/>
              <w:right w:val="single" w:sz="4" w:space="0" w:color="auto"/>
            </w:tcBorders>
            <w:hideMark/>
          </w:tcPr>
          <w:p w14:paraId="0E46B9E3" w14:textId="77777777" w:rsidR="00366005" w:rsidRPr="00183B5F" w:rsidRDefault="00943743" w:rsidP="004062FE">
            <w:pPr>
              <w:pStyle w:val="EMEANormal"/>
              <w:widowControl w:val="0"/>
              <w:suppressAutoHyphens w:val="0"/>
              <w:rPr>
                <w:lang w:val="hu-HU"/>
              </w:rPr>
            </w:pPr>
            <w:r w:rsidRPr="00183B5F">
              <w:rPr>
                <w:lang w:val="hu-HU"/>
              </w:rPr>
              <w:t>Ritka</w:t>
            </w:r>
          </w:p>
        </w:tc>
        <w:tc>
          <w:tcPr>
            <w:tcW w:w="4451" w:type="dxa"/>
            <w:tcBorders>
              <w:top w:val="single" w:sz="4" w:space="0" w:color="auto"/>
              <w:left w:val="single" w:sz="4" w:space="0" w:color="auto"/>
              <w:bottom w:val="single" w:sz="4" w:space="0" w:color="auto"/>
              <w:right w:val="single" w:sz="4" w:space="0" w:color="auto"/>
            </w:tcBorders>
            <w:hideMark/>
          </w:tcPr>
          <w:p w14:paraId="4A55F33C" w14:textId="77777777" w:rsidR="00366005" w:rsidRPr="00183B5F" w:rsidRDefault="00943743" w:rsidP="004062FE">
            <w:pPr>
              <w:pStyle w:val="EMEANormal"/>
              <w:widowControl w:val="0"/>
              <w:suppressAutoHyphens w:val="0"/>
              <w:rPr>
                <w:lang w:val="hu-HU"/>
              </w:rPr>
            </w:pPr>
            <w:r w:rsidRPr="00183B5F">
              <w:rPr>
                <w:lang w:val="hu-HU"/>
              </w:rPr>
              <w:t>Szívleállás</w:t>
            </w:r>
          </w:p>
        </w:tc>
      </w:tr>
      <w:tr w:rsidR="00011D2F" w14:paraId="3B448702" w14:textId="77777777" w:rsidTr="00202B95">
        <w:trPr>
          <w:cantSplit/>
        </w:trPr>
        <w:tc>
          <w:tcPr>
            <w:tcW w:w="2580" w:type="dxa"/>
            <w:vMerge w:val="restart"/>
            <w:tcBorders>
              <w:top w:val="single" w:sz="4" w:space="0" w:color="auto"/>
              <w:left w:val="single" w:sz="4" w:space="0" w:color="auto"/>
              <w:bottom w:val="single" w:sz="4" w:space="0" w:color="auto"/>
              <w:right w:val="single" w:sz="4" w:space="0" w:color="auto"/>
            </w:tcBorders>
            <w:hideMark/>
          </w:tcPr>
          <w:p w14:paraId="4F2341E9" w14:textId="77777777" w:rsidR="00366005" w:rsidRPr="00183B5F" w:rsidRDefault="00943743" w:rsidP="004062FE">
            <w:pPr>
              <w:pStyle w:val="EMEANormal"/>
              <w:widowControl w:val="0"/>
              <w:suppressAutoHyphens w:val="0"/>
              <w:rPr>
                <w:lang w:val="hu-HU"/>
              </w:rPr>
            </w:pPr>
            <w:r w:rsidRPr="00183B5F">
              <w:rPr>
                <w:lang w:val="hu-HU"/>
              </w:rPr>
              <w:t>Érbetegségek és tünetek</w:t>
            </w:r>
          </w:p>
        </w:tc>
        <w:tc>
          <w:tcPr>
            <w:tcW w:w="2030" w:type="dxa"/>
            <w:tcBorders>
              <w:top w:val="single" w:sz="4" w:space="0" w:color="auto"/>
              <w:left w:val="single" w:sz="4" w:space="0" w:color="auto"/>
              <w:bottom w:val="single" w:sz="4" w:space="0" w:color="auto"/>
              <w:right w:val="single" w:sz="4" w:space="0" w:color="auto"/>
            </w:tcBorders>
          </w:tcPr>
          <w:p w14:paraId="16A47558" w14:textId="77777777" w:rsidR="00366005" w:rsidRPr="00183B5F" w:rsidRDefault="00943743" w:rsidP="004062FE">
            <w:pPr>
              <w:pStyle w:val="EMEANormal"/>
              <w:widowControl w:val="0"/>
              <w:suppressAutoHyphens w:val="0"/>
              <w:rPr>
                <w:lang w:val="hu-HU"/>
              </w:rPr>
            </w:pPr>
            <w:r w:rsidRPr="00183B5F">
              <w:rPr>
                <w:lang w:val="hu-HU"/>
              </w:rPr>
              <w:t>Gyakori</w:t>
            </w:r>
          </w:p>
          <w:p w14:paraId="3E366173" w14:textId="77777777" w:rsidR="00366005" w:rsidRPr="00183B5F" w:rsidRDefault="00366005" w:rsidP="004062FE">
            <w:pPr>
              <w:pStyle w:val="EMEANormal"/>
              <w:widowControl w:val="0"/>
              <w:suppressAutoHyphens w:val="0"/>
              <w:rPr>
                <w:lang w:val="hu-HU"/>
              </w:rPr>
            </w:pPr>
          </w:p>
        </w:tc>
        <w:tc>
          <w:tcPr>
            <w:tcW w:w="4451" w:type="dxa"/>
            <w:tcBorders>
              <w:top w:val="single" w:sz="4" w:space="0" w:color="auto"/>
              <w:left w:val="single" w:sz="4" w:space="0" w:color="auto"/>
              <w:bottom w:val="single" w:sz="4" w:space="0" w:color="auto"/>
              <w:right w:val="single" w:sz="4" w:space="0" w:color="auto"/>
            </w:tcBorders>
            <w:hideMark/>
          </w:tcPr>
          <w:p w14:paraId="47454042" w14:textId="77777777" w:rsidR="00366005" w:rsidRPr="00183B5F" w:rsidRDefault="00943743" w:rsidP="004062FE">
            <w:pPr>
              <w:pStyle w:val="EMEANormal"/>
              <w:widowControl w:val="0"/>
              <w:suppressAutoHyphens w:val="0"/>
              <w:rPr>
                <w:lang w:val="hu-HU"/>
              </w:rPr>
            </w:pPr>
            <w:r w:rsidRPr="00183B5F">
              <w:rPr>
                <w:lang w:val="hu-HU"/>
              </w:rPr>
              <w:t xml:space="preserve">Hypertensio, </w:t>
            </w:r>
          </w:p>
          <w:p w14:paraId="46BF08C1" w14:textId="77777777" w:rsidR="00366005" w:rsidRPr="00183B5F" w:rsidRDefault="00943743" w:rsidP="004062FE">
            <w:pPr>
              <w:pStyle w:val="EMEANormal"/>
              <w:widowControl w:val="0"/>
              <w:suppressAutoHyphens w:val="0"/>
              <w:rPr>
                <w:lang w:val="hu-HU"/>
              </w:rPr>
            </w:pPr>
            <w:r w:rsidRPr="00183B5F">
              <w:rPr>
                <w:lang w:val="hu-HU"/>
              </w:rPr>
              <w:t xml:space="preserve">kipirulás, </w:t>
            </w:r>
          </w:p>
          <w:p w14:paraId="29BFB9B8" w14:textId="77777777" w:rsidR="00366005" w:rsidRPr="00183B5F" w:rsidRDefault="00943743" w:rsidP="004062FE">
            <w:pPr>
              <w:pStyle w:val="EMEANormal"/>
              <w:widowControl w:val="0"/>
              <w:suppressAutoHyphens w:val="0"/>
              <w:rPr>
                <w:lang w:val="hu-HU"/>
              </w:rPr>
            </w:pPr>
            <w:r w:rsidRPr="00183B5F">
              <w:rPr>
                <w:lang w:val="hu-HU"/>
              </w:rPr>
              <w:t>haematoma</w:t>
            </w:r>
          </w:p>
        </w:tc>
      </w:tr>
      <w:tr w:rsidR="00011D2F" w14:paraId="03F7AB39" w14:textId="77777777" w:rsidTr="00202B9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FC3649" w14:textId="77777777" w:rsidR="00366005" w:rsidRPr="00183B5F" w:rsidRDefault="00366005">
            <w:pPr>
              <w:suppressAutoHyphens w:val="0"/>
              <w:spacing w:line="240" w:lineRule="auto"/>
              <w:rPr>
                <w:lang w:eastAsia="en-US"/>
              </w:rPr>
            </w:pPr>
          </w:p>
        </w:tc>
        <w:tc>
          <w:tcPr>
            <w:tcW w:w="2030" w:type="dxa"/>
            <w:tcBorders>
              <w:top w:val="single" w:sz="4" w:space="0" w:color="auto"/>
              <w:left w:val="single" w:sz="4" w:space="0" w:color="auto"/>
              <w:bottom w:val="single" w:sz="4" w:space="0" w:color="auto"/>
              <w:right w:val="single" w:sz="4" w:space="0" w:color="auto"/>
            </w:tcBorders>
            <w:hideMark/>
          </w:tcPr>
          <w:p w14:paraId="3CBB7133" w14:textId="77777777" w:rsidR="00366005" w:rsidRPr="00183B5F" w:rsidRDefault="00943743" w:rsidP="004062FE">
            <w:pPr>
              <w:pStyle w:val="EMEANormal"/>
              <w:widowControl w:val="0"/>
              <w:suppressAutoHyphens w:val="0"/>
              <w:rPr>
                <w:lang w:val="hu-HU"/>
              </w:rPr>
            </w:pPr>
            <w:r w:rsidRPr="00183B5F">
              <w:rPr>
                <w:lang w:val="hu-HU"/>
              </w:rPr>
              <w:t>Nem gyakori</w:t>
            </w:r>
          </w:p>
        </w:tc>
        <w:tc>
          <w:tcPr>
            <w:tcW w:w="4451" w:type="dxa"/>
            <w:tcBorders>
              <w:top w:val="single" w:sz="4" w:space="0" w:color="auto"/>
              <w:left w:val="single" w:sz="4" w:space="0" w:color="auto"/>
              <w:bottom w:val="single" w:sz="4" w:space="0" w:color="auto"/>
              <w:right w:val="single" w:sz="4" w:space="0" w:color="auto"/>
            </w:tcBorders>
            <w:hideMark/>
          </w:tcPr>
          <w:p w14:paraId="7DF293D4" w14:textId="77777777" w:rsidR="00366005" w:rsidRPr="00183B5F" w:rsidRDefault="00943743" w:rsidP="004062FE">
            <w:pPr>
              <w:pStyle w:val="EMEANormal"/>
              <w:widowControl w:val="0"/>
              <w:suppressAutoHyphens w:val="0"/>
              <w:rPr>
                <w:lang w:val="hu-HU"/>
              </w:rPr>
            </w:pPr>
            <w:r w:rsidRPr="00183B5F">
              <w:rPr>
                <w:lang w:val="hu-HU"/>
              </w:rPr>
              <w:t>Aorta aneurysma,</w:t>
            </w:r>
          </w:p>
          <w:p w14:paraId="5E1E3834" w14:textId="77777777" w:rsidR="00366005" w:rsidRPr="00183B5F" w:rsidRDefault="00943743" w:rsidP="004062FE">
            <w:pPr>
              <w:pStyle w:val="EMEANormal"/>
              <w:widowControl w:val="0"/>
              <w:suppressAutoHyphens w:val="0"/>
              <w:rPr>
                <w:lang w:val="hu-HU"/>
              </w:rPr>
            </w:pPr>
            <w:r w:rsidRPr="00183B5F">
              <w:rPr>
                <w:lang w:val="hu-HU"/>
              </w:rPr>
              <w:t>arteriás occlusio,</w:t>
            </w:r>
          </w:p>
          <w:p w14:paraId="485F1D66" w14:textId="77777777" w:rsidR="00366005" w:rsidRPr="00183B5F" w:rsidRDefault="00943743" w:rsidP="004062FE">
            <w:pPr>
              <w:pStyle w:val="EMEANormal"/>
              <w:widowControl w:val="0"/>
              <w:suppressAutoHyphens w:val="0"/>
              <w:rPr>
                <w:lang w:val="hu-HU"/>
              </w:rPr>
            </w:pPr>
            <w:r w:rsidRPr="00183B5F">
              <w:rPr>
                <w:lang w:val="hu-HU"/>
              </w:rPr>
              <w:t>thrombophlebitis</w:t>
            </w:r>
          </w:p>
        </w:tc>
      </w:tr>
      <w:tr w:rsidR="00011D2F" w14:paraId="173FDDE3" w14:textId="77777777" w:rsidTr="00202B95">
        <w:trPr>
          <w:cantSplit/>
        </w:trPr>
        <w:tc>
          <w:tcPr>
            <w:tcW w:w="2580" w:type="dxa"/>
            <w:vMerge w:val="restart"/>
            <w:tcBorders>
              <w:top w:val="single" w:sz="4" w:space="0" w:color="auto"/>
              <w:left w:val="single" w:sz="4" w:space="0" w:color="auto"/>
              <w:bottom w:val="nil"/>
              <w:right w:val="single" w:sz="4" w:space="0" w:color="auto"/>
            </w:tcBorders>
            <w:hideMark/>
          </w:tcPr>
          <w:p w14:paraId="4F706307" w14:textId="77777777" w:rsidR="00366005" w:rsidRPr="00183B5F" w:rsidRDefault="00943743" w:rsidP="004062FE">
            <w:pPr>
              <w:pStyle w:val="EMEANormal"/>
              <w:widowControl w:val="0"/>
              <w:suppressAutoHyphens w:val="0"/>
              <w:rPr>
                <w:szCs w:val="22"/>
                <w:lang w:val="hu-HU"/>
              </w:rPr>
            </w:pPr>
            <w:r w:rsidRPr="00183B5F">
              <w:rPr>
                <w:szCs w:val="22"/>
                <w:lang w:val="hu-HU"/>
              </w:rPr>
              <w:t>Légzőrendszeri, mellkasi és mediastinalis betegségek és tünetek*</w:t>
            </w:r>
          </w:p>
        </w:tc>
        <w:tc>
          <w:tcPr>
            <w:tcW w:w="2030" w:type="dxa"/>
            <w:tcBorders>
              <w:top w:val="single" w:sz="4" w:space="0" w:color="auto"/>
              <w:left w:val="single" w:sz="4" w:space="0" w:color="auto"/>
              <w:bottom w:val="single" w:sz="4" w:space="0" w:color="auto"/>
              <w:right w:val="single" w:sz="4" w:space="0" w:color="auto"/>
            </w:tcBorders>
          </w:tcPr>
          <w:p w14:paraId="2593DBA9" w14:textId="77777777" w:rsidR="00366005" w:rsidRPr="00183B5F" w:rsidRDefault="00943743" w:rsidP="004062FE">
            <w:pPr>
              <w:pStyle w:val="EMEANormal"/>
              <w:widowControl w:val="0"/>
              <w:suppressAutoHyphens w:val="0"/>
              <w:rPr>
                <w:lang w:val="hu-HU"/>
              </w:rPr>
            </w:pPr>
            <w:r w:rsidRPr="00183B5F">
              <w:rPr>
                <w:lang w:val="hu-HU"/>
              </w:rPr>
              <w:t>Gyakori</w:t>
            </w:r>
          </w:p>
          <w:p w14:paraId="345EAD40" w14:textId="77777777" w:rsidR="00366005" w:rsidRPr="00183B5F" w:rsidRDefault="00366005" w:rsidP="004062FE">
            <w:pPr>
              <w:pStyle w:val="EMEANormal"/>
              <w:widowControl w:val="0"/>
              <w:suppressAutoHyphens w:val="0"/>
              <w:rPr>
                <w:lang w:val="hu-HU"/>
              </w:rPr>
            </w:pPr>
          </w:p>
        </w:tc>
        <w:tc>
          <w:tcPr>
            <w:tcW w:w="4451" w:type="dxa"/>
            <w:tcBorders>
              <w:top w:val="single" w:sz="4" w:space="0" w:color="auto"/>
              <w:left w:val="single" w:sz="4" w:space="0" w:color="auto"/>
              <w:bottom w:val="single" w:sz="4" w:space="0" w:color="auto"/>
              <w:right w:val="single" w:sz="4" w:space="0" w:color="auto"/>
            </w:tcBorders>
            <w:hideMark/>
          </w:tcPr>
          <w:p w14:paraId="2F293556" w14:textId="77777777" w:rsidR="00366005" w:rsidRPr="00183B5F" w:rsidRDefault="00943743" w:rsidP="004062FE">
            <w:pPr>
              <w:pStyle w:val="EMEANormal"/>
              <w:widowControl w:val="0"/>
              <w:suppressAutoHyphens w:val="0"/>
              <w:rPr>
                <w:lang w:val="hu-HU"/>
              </w:rPr>
            </w:pPr>
            <w:r w:rsidRPr="00183B5F">
              <w:rPr>
                <w:lang w:val="hu-HU"/>
              </w:rPr>
              <w:t xml:space="preserve">Asthma, </w:t>
            </w:r>
          </w:p>
          <w:p w14:paraId="5AEFE9D9" w14:textId="77777777" w:rsidR="00366005" w:rsidRPr="00183B5F" w:rsidRDefault="00943743" w:rsidP="004062FE">
            <w:pPr>
              <w:pStyle w:val="EMEANormal"/>
              <w:widowControl w:val="0"/>
              <w:suppressAutoHyphens w:val="0"/>
              <w:rPr>
                <w:lang w:val="hu-HU"/>
              </w:rPr>
            </w:pPr>
            <w:r w:rsidRPr="00183B5F">
              <w:rPr>
                <w:lang w:val="hu-HU"/>
              </w:rPr>
              <w:t>dyspnoe,</w:t>
            </w:r>
          </w:p>
          <w:p w14:paraId="40EB2038" w14:textId="77777777" w:rsidR="00366005" w:rsidRPr="00183B5F" w:rsidRDefault="00943743" w:rsidP="004062FE">
            <w:pPr>
              <w:pStyle w:val="EMEANormal"/>
              <w:widowControl w:val="0"/>
              <w:suppressAutoHyphens w:val="0"/>
              <w:rPr>
                <w:lang w:val="hu-HU"/>
              </w:rPr>
            </w:pPr>
            <w:r w:rsidRPr="00183B5F">
              <w:rPr>
                <w:lang w:val="hu-HU"/>
              </w:rPr>
              <w:t>köhögés</w:t>
            </w:r>
          </w:p>
        </w:tc>
      </w:tr>
      <w:tr w:rsidR="00011D2F" w14:paraId="3CDDBF5E" w14:textId="77777777" w:rsidTr="00202B95">
        <w:trPr>
          <w:cantSplit/>
        </w:trPr>
        <w:tc>
          <w:tcPr>
            <w:tcW w:w="0" w:type="auto"/>
            <w:vMerge/>
            <w:tcBorders>
              <w:top w:val="single" w:sz="4" w:space="0" w:color="auto"/>
              <w:left w:val="single" w:sz="4" w:space="0" w:color="auto"/>
              <w:bottom w:val="nil"/>
              <w:right w:val="single" w:sz="4" w:space="0" w:color="auto"/>
            </w:tcBorders>
            <w:vAlign w:val="center"/>
            <w:hideMark/>
          </w:tcPr>
          <w:p w14:paraId="08300344" w14:textId="77777777" w:rsidR="00366005" w:rsidRPr="00183B5F" w:rsidRDefault="00366005">
            <w:pPr>
              <w:suppressAutoHyphens w:val="0"/>
              <w:spacing w:line="240" w:lineRule="auto"/>
              <w:rPr>
                <w:szCs w:val="22"/>
                <w:lang w:eastAsia="en-US"/>
              </w:rPr>
            </w:pPr>
          </w:p>
        </w:tc>
        <w:tc>
          <w:tcPr>
            <w:tcW w:w="2030" w:type="dxa"/>
            <w:tcBorders>
              <w:top w:val="single" w:sz="4" w:space="0" w:color="auto"/>
              <w:left w:val="single" w:sz="4" w:space="0" w:color="auto"/>
              <w:bottom w:val="single" w:sz="4" w:space="0" w:color="auto"/>
              <w:right w:val="single" w:sz="4" w:space="0" w:color="auto"/>
            </w:tcBorders>
          </w:tcPr>
          <w:p w14:paraId="34FA0B37" w14:textId="77777777" w:rsidR="00366005" w:rsidRPr="00183B5F" w:rsidRDefault="00943743" w:rsidP="004062FE">
            <w:pPr>
              <w:pStyle w:val="EMEANormal"/>
              <w:widowControl w:val="0"/>
              <w:suppressAutoHyphens w:val="0"/>
              <w:rPr>
                <w:lang w:val="hu-HU"/>
              </w:rPr>
            </w:pPr>
            <w:r w:rsidRPr="00183B5F">
              <w:rPr>
                <w:lang w:val="hu-HU"/>
              </w:rPr>
              <w:t>Nem gyakori</w:t>
            </w:r>
          </w:p>
          <w:p w14:paraId="778D09B4" w14:textId="77777777" w:rsidR="00366005" w:rsidRPr="00183B5F" w:rsidRDefault="00366005" w:rsidP="004062FE">
            <w:pPr>
              <w:pStyle w:val="EMEANormal"/>
              <w:widowControl w:val="0"/>
              <w:suppressAutoHyphens w:val="0"/>
              <w:rPr>
                <w:lang w:val="hu-HU"/>
              </w:rPr>
            </w:pPr>
          </w:p>
          <w:p w14:paraId="78BA3E97" w14:textId="77777777" w:rsidR="00366005" w:rsidRPr="00183B5F" w:rsidRDefault="00366005" w:rsidP="004062FE">
            <w:pPr>
              <w:pStyle w:val="EMEANormal"/>
              <w:widowControl w:val="0"/>
              <w:suppressAutoHyphens w:val="0"/>
              <w:rPr>
                <w:lang w:val="hu-HU"/>
              </w:rPr>
            </w:pPr>
          </w:p>
        </w:tc>
        <w:tc>
          <w:tcPr>
            <w:tcW w:w="4451" w:type="dxa"/>
            <w:tcBorders>
              <w:top w:val="single" w:sz="4" w:space="0" w:color="auto"/>
              <w:left w:val="single" w:sz="4" w:space="0" w:color="auto"/>
              <w:bottom w:val="single" w:sz="4" w:space="0" w:color="auto"/>
              <w:right w:val="single" w:sz="4" w:space="0" w:color="auto"/>
            </w:tcBorders>
            <w:hideMark/>
          </w:tcPr>
          <w:p w14:paraId="1C001EF8" w14:textId="77777777" w:rsidR="00366005" w:rsidRPr="00183B5F" w:rsidRDefault="00943743" w:rsidP="004062FE">
            <w:pPr>
              <w:pStyle w:val="EMEANormal"/>
              <w:widowControl w:val="0"/>
              <w:suppressAutoHyphens w:val="0"/>
              <w:rPr>
                <w:szCs w:val="22"/>
                <w:lang w:val="hu-HU"/>
              </w:rPr>
            </w:pPr>
            <w:r w:rsidRPr="00183B5F">
              <w:rPr>
                <w:szCs w:val="22"/>
                <w:lang w:val="hu-HU"/>
              </w:rPr>
              <w:t>Tüdőembólia</w:t>
            </w:r>
            <w:r w:rsidRPr="00183B5F">
              <w:rPr>
                <w:szCs w:val="22"/>
                <w:vertAlign w:val="superscript"/>
                <w:lang w:val="hu-HU"/>
              </w:rPr>
              <w:t>1)</w:t>
            </w:r>
            <w:r w:rsidRPr="00183B5F">
              <w:rPr>
                <w:szCs w:val="22"/>
                <w:lang w:val="hu-HU"/>
              </w:rPr>
              <w:t>,</w:t>
            </w:r>
          </w:p>
          <w:p w14:paraId="4BB0CA2A" w14:textId="77777777" w:rsidR="00C17B6B" w:rsidRPr="00183B5F" w:rsidRDefault="00943743" w:rsidP="004062FE">
            <w:pPr>
              <w:pStyle w:val="EMEANormal"/>
              <w:widowControl w:val="0"/>
              <w:suppressAutoHyphens w:val="0"/>
              <w:rPr>
                <w:szCs w:val="22"/>
                <w:lang w:val="hu-HU"/>
              </w:rPr>
            </w:pPr>
            <w:r w:rsidRPr="00183B5F">
              <w:rPr>
                <w:szCs w:val="22"/>
                <w:lang w:val="hu-HU"/>
              </w:rPr>
              <w:t xml:space="preserve">interstitialis tüdőbetegség, </w:t>
            </w:r>
          </w:p>
          <w:p w14:paraId="58487E54" w14:textId="77777777" w:rsidR="00366005" w:rsidRPr="00183B5F" w:rsidRDefault="00943743" w:rsidP="004062FE">
            <w:pPr>
              <w:pStyle w:val="EMEANormal"/>
              <w:widowControl w:val="0"/>
              <w:suppressAutoHyphens w:val="0"/>
              <w:rPr>
                <w:lang w:val="hu-HU"/>
              </w:rPr>
            </w:pPr>
            <w:r w:rsidRPr="00183B5F">
              <w:rPr>
                <w:lang w:val="hu-HU"/>
              </w:rPr>
              <w:t>krónikus obstruktív tüdőbetegség,</w:t>
            </w:r>
          </w:p>
          <w:p w14:paraId="70234AE2" w14:textId="77777777" w:rsidR="00366005" w:rsidRPr="00183B5F" w:rsidRDefault="00943743" w:rsidP="004062FE">
            <w:pPr>
              <w:pStyle w:val="EMEANormal"/>
              <w:widowControl w:val="0"/>
              <w:suppressAutoHyphens w:val="0"/>
              <w:rPr>
                <w:lang w:val="hu-HU"/>
              </w:rPr>
            </w:pPr>
            <w:r w:rsidRPr="00183B5F">
              <w:rPr>
                <w:lang w:val="hu-HU"/>
              </w:rPr>
              <w:t>pneumonitis,</w:t>
            </w:r>
          </w:p>
          <w:p w14:paraId="14FCAF4C" w14:textId="77777777" w:rsidR="00366005" w:rsidRPr="00183B5F" w:rsidRDefault="00943743" w:rsidP="004062FE">
            <w:pPr>
              <w:pStyle w:val="EMEANormal"/>
              <w:widowControl w:val="0"/>
              <w:suppressAutoHyphens w:val="0"/>
              <w:rPr>
                <w:lang w:val="hu-HU"/>
              </w:rPr>
            </w:pPr>
            <w:r w:rsidRPr="00183B5F">
              <w:rPr>
                <w:szCs w:val="22"/>
                <w:lang w:val="hu-HU"/>
              </w:rPr>
              <w:t>pleuralis folyadékgyülem</w:t>
            </w:r>
            <w:r w:rsidRPr="00183B5F">
              <w:rPr>
                <w:szCs w:val="22"/>
                <w:vertAlign w:val="superscript"/>
                <w:lang w:val="hu-HU"/>
              </w:rPr>
              <w:t>1)</w:t>
            </w:r>
          </w:p>
        </w:tc>
      </w:tr>
      <w:tr w:rsidR="00011D2F" w14:paraId="38E9F174" w14:textId="77777777" w:rsidTr="00202B95">
        <w:trPr>
          <w:cantSplit/>
        </w:trPr>
        <w:tc>
          <w:tcPr>
            <w:tcW w:w="2580" w:type="dxa"/>
            <w:tcBorders>
              <w:top w:val="nil"/>
              <w:left w:val="single" w:sz="4" w:space="0" w:color="auto"/>
              <w:bottom w:val="single" w:sz="4" w:space="0" w:color="auto"/>
              <w:right w:val="single" w:sz="4" w:space="0" w:color="auto"/>
            </w:tcBorders>
          </w:tcPr>
          <w:p w14:paraId="22033AF0" w14:textId="77777777" w:rsidR="00366005" w:rsidRPr="00183B5F" w:rsidRDefault="00366005">
            <w:pPr>
              <w:widowControl w:val="0"/>
              <w:suppressAutoHyphens w:val="0"/>
              <w:spacing w:line="240" w:lineRule="auto"/>
              <w:jc w:val="center"/>
              <w:rPr>
                <w:b/>
                <w:lang w:eastAsia="en-US"/>
              </w:rPr>
            </w:pPr>
          </w:p>
        </w:tc>
        <w:tc>
          <w:tcPr>
            <w:tcW w:w="2030" w:type="dxa"/>
            <w:tcBorders>
              <w:top w:val="single" w:sz="4" w:space="0" w:color="auto"/>
              <w:left w:val="single" w:sz="4" w:space="0" w:color="auto"/>
              <w:bottom w:val="single" w:sz="4" w:space="0" w:color="auto"/>
              <w:right w:val="single" w:sz="4" w:space="0" w:color="auto"/>
            </w:tcBorders>
            <w:hideMark/>
          </w:tcPr>
          <w:p w14:paraId="70F8CF18" w14:textId="77777777" w:rsidR="00366005" w:rsidRPr="00183B5F" w:rsidRDefault="00943743" w:rsidP="004062FE">
            <w:pPr>
              <w:pStyle w:val="EMEANormal"/>
              <w:widowControl w:val="0"/>
              <w:suppressAutoHyphens w:val="0"/>
              <w:rPr>
                <w:lang w:val="hu-HU"/>
              </w:rPr>
            </w:pPr>
            <w:r w:rsidRPr="00183B5F">
              <w:rPr>
                <w:lang w:val="hu-HU"/>
              </w:rPr>
              <w:t>Ritka</w:t>
            </w:r>
          </w:p>
        </w:tc>
        <w:tc>
          <w:tcPr>
            <w:tcW w:w="4451" w:type="dxa"/>
            <w:tcBorders>
              <w:top w:val="single" w:sz="4" w:space="0" w:color="auto"/>
              <w:left w:val="single" w:sz="4" w:space="0" w:color="auto"/>
              <w:bottom w:val="single" w:sz="4" w:space="0" w:color="auto"/>
              <w:right w:val="single" w:sz="4" w:space="0" w:color="auto"/>
            </w:tcBorders>
            <w:hideMark/>
          </w:tcPr>
          <w:p w14:paraId="142DB79E" w14:textId="77777777" w:rsidR="00366005" w:rsidRPr="00183B5F" w:rsidRDefault="00943743" w:rsidP="004062FE">
            <w:pPr>
              <w:pStyle w:val="EMEANormal"/>
              <w:widowControl w:val="0"/>
              <w:suppressAutoHyphens w:val="0"/>
              <w:rPr>
                <w:szCs w:val="22"/>
                <w:lang w:val="hu-HU"/>
              </w:rPr>
            </w:pPr>
            <w:r w:rsidRPr="00183B5F">
              <w:rPr>
                <w:lang w:val="hu-HU"/>
              </w:rPr>
              <w:t>Tüdőfibrosis</w:t>
            </w:r>
            <w:r w:rsidRPr="00183B5F">
              <w:rPr>
                <w:vertAlign w:val="superscript"/>
                <w:lang w:val="hu-HU"/>
              </w:rPr>
              <w:t>1)</w:t>
            </w:r>
          </w:p>
        </w:tc>
      </w:tr>
      <w:tr w:rsidR="00011D2F" w14:paraId="2E78AA0A" w14:textId="77777777" w:rsidTr="00202B95">
        <w:trPr>
          <w:cantSplit/>
        </w:trPr>
        <w:tc>
          <w:tcPr>
            <w:tcW w:w="2580" w:type="dxa"/>
            <w:vMerge w:val="restart"/>
            <w:tcBorders>
              <w:top w:val="single" w:sz="4" w:space="0" w:color="auto"/>
              <w:left w:val="single" w:sz="4" w:space="0" w:color="auto"/>
              <w:bottom w:val="nil"/>
              <w:right w:val="single" w:sz="4" w:space="0" w:color="auto"/>
            </w:tcBorders>
            <w:hideMark/>
          </w:tcPr>
          <w:p w14:paraId="01E0CCCE" w14:textId="77777777" w:rsidR="00366005" w:rsidRPr="00183B5F" w:rsidRDefault="00943743" w:rsidP="004062FE">
            <w:pPr>
              <w:pStyle w:val="EMEANormal"/>
              <w:widowControl w:val="0"/>
              <w:suppressAutoHyphens w:val="0"/>
              <w:rPr>
                <w:lang w:val="hu-HU"/>
              </w:rPr>
            </w:pPr>
            <w:r w:rsidRPr="00183B5F">
              <w:rPr>
                <w:lang w:val="hu-HU"/>
              </w:rPr>
              <w:t>Emésztőrendszeri betegségek és tünetek</w:t>
            </w:r>
          </w:p>
        </w:tc>
        <w:tc>
          <w:tcPr>
            <w:tcW w:w="2030" w:type="dxa"/>
            <w:tcBorders>
              <w:top w:val="single" w:sz="4" w:space="0" w:color="auto"/>
              <w:left w:val="single" w:sz="4" w:space="0" w:color="auto"/>
              <w:bottom w:val="single" w:sz="4" w:space="0" w:color="auto"/>
              <w:right w:val="single" w:sz="4" w:space="0" w:color="auto"/>
            </w:tcBorders>
          </w:tcPr>
          <w:p w14:paraId="281DB043" w14:textId="77777777" w:rsidR="00366005" w:rsidRPr="00183B5F" w:rsidRDefault="00943743" w:rsidP="004062FE">
            <w:pPr>
              <w:pStyle w:val="EMEANormal"/>
              <w:widowControl w:val="0"/>
              <w:suppressAutoHyphens w:val="0"/>
              <w:rPr>
                <w:lang w:val="hu-HU"/>
              </w:rPr>
            </w:pPr>
            <w:r w:rsidRPr="00183B5F">
              <w:rPr>
                <w:lang w:val="hu-HU"/>
              </w:rPr>
              <w:t>Nagyon gyakori</w:t>
            </w:r>
          </w:p>
          <w:p w14:paraId="15FFC161" w14:textId="77777777" w:rsidR="00366005" w:rsidRPr="00183B5F" w:rsidRDefault="00366005" w:rsidP="004062FE">
            <w:pPr>
              <w:pStyle w:val="EMEANormal"/>
              <w:widowControl w:val="0"/>
              <w:suppressAutoHyphens w:val="0"/>
              <w:rPr>
                <w:lang w:val="hu-HU"/>
              </w:rPr>
            </w:pPr>
          </w:p>
        </w:tc>
        <w:tc>
          <w:tcPr>
            <w:tcW w:w="4451" w:type="dxa"/>
            <w:tcBorders>
              <w:top w:val="single" w:sz="4" w:space="0" w:color="auto"/>
              <w:left w:val="single" w:sz="4" w:space="0" w:color="auto"/>
              <w:bottom w:val="single" w:sz="4" w:space="0" w:color="auto"/>
              <w:right w:val="single" w:sz="4" w:space="0" w:color="auto"/>
            </w:tcBorders>
            <w:hideMark/>
          </w:tcPr>
          <w:p w14:paraId="0FAA51DA" w14:textId="77777777" w:rsidR="00366005" w:rsidRPr="00183B5F" w:rsidRDefault="00943743" w:rsidP="004062FE">
            <w:pPr>
              <w:pStyle w:val="EMEANormal"/>
              <w:widowControl w:val="0"/>
              <w:suppressAutoHyphens w:val="0"/>
              <w:rPr>
                <w:lang w:val="hu-HU"/>
              </w:rPr>
            </w:pPr>
            <w:r w:rsidRPr="00183B5F">
              <w:rPr>
                <w:lang w:val="hu-HU"/>
              </w:rPr>
              <w:t xml:space="preserve">Hasi fájdalom, </w:t>
            </w:r>
          </w:p>
          <w:p w14:paraId="1412C0BC" w14:textId="77777777" w:rsidR="00366005" w:rsidRPr="00183B5F" w:rsidRDefault="00943743" w:rsidP="004062FE">
            <w:pPr>
              <w:pStyle w:val="EMEANormal"/>
              <w:widowControl w:val="0"/>
              <w:suppressAutoHyphens w:val="0"/>
              <w:rPr>
                <w:lang w:val="hu-HU"/>
              </w:rPr>
            </w:pPr>
            <w:r w:rsidRPr="00183B5F">
              <w:rPr>
                <w:lang w:val="hu-HU"/>
              </w:rPr>
              <w:t>hányinger és hányás</w:t>
            </w:r>
          </w:p>
        </w:tc>
      </w:tr>
      <w:tr w:rsidR="00011D2F" w14:paraId="04E421A0" w14:textId="77777777" w:rsidTr="00202B95">
        <w:trPr>
          <w:cantSplit/>
        </w:trPr>
        <w:tc>
          <w:tcPr>
            <w:tcW w:w="0" w:type="auto"/>
            <w:vMerge/>
            <w:tcBorders>
              <w:top w:val="single" w:sz="4" w:space="0" w:color="auto"/>
              <w:left w:val="single" w:sz="4" w:space="0" w:color="auto"/>
              <w:bottom w:val="nil"/>
              <w:right w:val="single" w:sz="4" w:space="0" w:color="auto"/>
            </w:tcBorders>
            <w:vAlign w:val="center"/>
            <w:hideMark/>
          </w:tcPr>
          <w:p w14:paraId="66200EE2" w14:textId="77777777" w:rsidR="00366005" w:rsidRPr="00183B5F" w:rsidRDefault="00366005">
            <w:pPr>
              <w:suppressAutoHyphens w:val="0"/>
              <w:spacing w:line="240" w:lineRule="auto"/>
              <w:rPr>
                <w:lang w:eastAsia="en-US"/>
              </w:rPr>
            </w:pPr>
          </w:p>
        </w:tc>
        <w:tc>
          <w:tcPr>
            <w:tcW w:w="2030" w:type="dxa"/>
            <w:tcBorders>
              <w:top w:val="single" w:sz="4" w:space="0" w:color="auto"/>
              <w:left w:val="single" w:sz="4" w:space="0" w:color="auto"/>
              <w:bottom w:val="single" w:sz="4" w:space="0" w:color="auto"/>
              <w:right w:val="single" w:sz="4" w:space="0" w:color="auto"/>
            </w:tcBorders>
          </w:tcPr>
          <w:p w14:paraId="76E7D85A" w14:textId="77777777" w:rsidR="00366005" w:rsidRPr="00183B5F" w:rsidRDefault="00943743" w:rsidP="004062FE">
            <w:pPr>
              <w:pStyle w:val="EMEANormal"/>
              <w:widowControl w:val="0"/>
              <w:suppressAutoHyphens w:val="0"/>
              <w:rPr>
                <w:lang w:val="hu-HU"/>
              </w:rPr>
            </w:pPr>
            <w:r w:rsidRPr="00183B5F">
              <w:rPr>
                <w:lang w:val="hu-HU"/>
              </w:rPr>
              <w:t>Gyakori</w:t>
            </w:r>
          </w:p>
          <w:p w14:paraId="3763F63F" w14:textId="77777777" w:rsidR="00366005" w:rsidRPr="00183B5F" w:rsidRDefault="00366005" w:rsidP="004062FE">
            <w:pPr>
              <w:pStyle w:val="EMEANormal"/>
              <w:widowControl w:val="0"/>
              <w:suppressAutoHyphens w:val="0"/>
              <w:rPr>
                <w:lang w:val="hu-HU"/>
              </w:rPr>
            </w:pPr>
          </w:p>
        </w:tc>
        <w:tc>
          <w:tcPr>
            <w:tcW w:w="4451" w:type="dxa"/>
            <w:tcBorders>
              <w:top w:val="single" w:sz="4" w:space="0" w:color="auto"/>
              <w:left w:val="single" w:sz="4" w:space="0" w:color="auto"/>
              <w:bottom w:val="single" w:sz="4" w:space="0" w:color="auto"/>
              <w:right w:val="single" w:sz="4" w:space="0" w:color="auto"/>
            </w:tcBorders>
            <w:hideMark/>
          </w:tcPr>
          <w:p w14:paraId="10EAAAFA" w14:textId="77777777" w:rsidR="00366005" w:rsidRPr="00183B5F" w:rsidRDefault="00943743" w:rsidP="004062FE">
            <w:pPr>
              <w:pStyle w:val="EMEANormal"/>
              <w:widowControl w:val="0"/>
              <w:suppressAutoHyphens w:val="0"/>
              <w:rPr>
                <w:lang w:val="hu-HU"/>
              </w:rPr>
            </w:pPr>
            <w:r w:rsidRPr="00183B5F">
              <w:rPr>
                <w:lang w:val="hu-HU"/>
              </w:rPr>
              <w:t xml:space="preserve">Gastrointestinalis vérzés, </w:t>
            </w:r>
          </w:p>
          <w:p w14:paraId="15ADF55E" w14:textId="77777777" w:rsidR="00366005" w:rsidRPr="00183B5F" w:rsidRDefault="00943743" w:rsidP="004062FE">
            <w:pPr>
              <w:pStyle w:val="EMEANormal"/>
              <w:widowControl w:val="0"/>
              <w:suppressAutoHyphens w:val="0"/>
              <w:rPr>
                <w:lang w:val="hu-HU"/>
              </w:rPr>
            </w:pPr>
            <w:r w:rsidRPr="00183B5F">
              <w:rPr>
                <w:lang w:val="hu-HU"/>
              </w:rPr>
              <w:t xml:space="preserve">dyspepsia, </w:t>
            </w:r>
          </w:p>
          <w:p w14:paraId="4DAAC1A2" w14:textId="77777777" w:rsidR="00366005" w:rsidRPr="00183B5F" w:rsidRDefault="00943743" w:rsidP="004062FE">
            <w:pPr>
              <w:pStyle w:val="EMEANormal"/>
              <w:widowControl w:val="0"/>
              <w:suppressAutoHyphens w:val="0"/>
              <w:rPr>
                <w:lang w:val="hu-HU"/>
              </w:rPr>
            </w:pPr>
            <w:r w:rsidRPr="00183B5F">
              <w:rPr>
                <w:lang w:val="hu-HU"/>
              </w:rPr>
              <w:t>gastrooesophagealis reflux betegség,</w:t>
            </w:r>
          </w:p>
          <w:p w14:paraId="2AD33D51" w14:textId="77777777" w:rsidR="00366005" w:rsidRPr="00183B5F" w:rsidRDefault="00943743" w:rsidP="004062FE">
            <w:pPr>
              <w:pStyle w:val="EMEANormal"/>
              <w:widowControl w:val="0"/>
              <w:suppressAutoHyphens w:val="0"/>
              <w:rPr>
                <w:lang w:val="hu-HU"/>
              </w:rPr>
            </w:pPr>
            <w:r w:rsidRPr="00183B5F">
              <w:rPr>
                <w:lang w:val="hu-HU"/>
              </w:rPr>
              <w:t>sicca-szindróma</w:t>
            </w:r>
          </w:p>
        </w:tc>
      </w:tr>
      <w:tr w:rsidR="00011D2F" w14:paraId="00AA6BC1" w14:textId="77777777" w:rsidTr="00202B95">
        <w:trPr>
          <w:cantSplit/>
        </w:trPr>
        <w:tc>
          <w:tcPr>
            <w:tcW w:w="0" w:type="auto"/>
            <w:vMerge/>
            <w:tcBorders>
              <w:top w:val="single" w:sz="4" w:space="0" w:color="auto"/>
              <w:left w:val="single" w:sz="4" w:space="0" w:color="auto"/>
              <w:bottom w:val="nil"/>
              <w:right w:val="single" w:sz="4" w:space="0" w:color="auto"/>
            </w:tcBorders>
            <w:vAlign w:val="center"/>
            <w:hideMark/>
          </w:tcPr>
          <w:p w14:paraId="3EEA9865" w14:textId="77777777" w:rsidR="00366005" w:rsidRPr="00183B5F" w:rsidRDefault="00366005">
            <w:pPr>
              <w:suppressAutoHyphens w:val="0"/>
              <w:spacing w:line="240" w:lineRule="auto"/>
              <w:rPr>
                <w:lang w:eastAsia="en-US"/>
              </w:rPr>
            </w:pPr>
          </w:p>
        </w:tc>
        <w:tc>
          <w:tcPr>
            <w:tcW w:w="2030" w:type="dxa"/>
            <w:tcBorders>
              <w:top w:val="single" w:sz="4" w:space="0" w:color="auto"/>
              <w:left w:val="single" w:sz="4" w:space="0" w:color="auto"/>
              <w:bottom w:val="single" w:sz="4" w:space="0" w:color="auto"/>
              <w:right w:val="single" w:sz="4" w:space="0" w:color="auto"/>
            </w:tcBorders>
          </w:tcPr>
          <w:p w14:paraId="48E5270B" w14:textId="77777777" w:rsidR="00366005" w:rsidRPr="00183B5F" w:rsidRDefault="00943743" w:rsidP="004062FE">
            <w:pPr>
              <w:pStyle w:val="EMEANormal"/>
              <w:widowControl w:val="0"/>
              <w:suppressAutoHyphens w:val="0"/>
              <w:rPr>
                <w:lang w:val="hu-HU"/>
              </w:rPr>
            </w:pPr>
            <w:r w:rsidRPr="00183B5F">
              <w:rPr>
                <w:lang w:val="hu-HU"/>
              </w:rPr>
              <w:t>Nem gyakori</w:t>
            </w:r>
          </w:p>
          <w:p w14:paraId="1A17AE5C" w14:textId="77777777" w:rsidR="00366005" w:rsidRPr="00183B5F" w:rsidRDefault="00366005" w:rsidP="004062FE">
            <w:pPr>
              <w:pStyle w:val="EMEANormal"/>
              <w:widowControl w:val="0"/>
              <w:suppressAutoHyphens w:val="0"/>
              <w:rPr>
                <w:lang w:val="hu-HU"/>
              </w:rPr>
            </w:pPr>
          </w:p>
        </w:tc>
        <w:tc>
          <w:tcPr>
            <w:tcW w:w="4451" w:type="dxa"/>
            <w:tcBorders>
              <w:top w:val="single" w:sz="4" w:space="0" w:color="auto"/>
              <w:left w:val="single" w:sz="4" w:space="0" w:color="auto"/>
              <w:bottom w:val="single" w:sz="4" w:space="0" w:color="auto"/>
              <w:right w:val="single" w:sz="4" w:space="0" w:color="auto"/>
            </w:tcBorders>
            <w:hideMark/>
          </w:tcPr>
          <w:p w14:paraId="1988BF57" w14:textId="77777777" w:rsidR="00366005" w:rsidRPr="00183B5F" w:rsidRDefault="00943743" w:rsidP="004062FE">
            <w:pPr>
              <w:pStyle w:val="EMEANormal"/>
              <w:widowControl w:val="0"/>
              <w:suppressAutoHyphens w:val="0"/>
              <w:rPr>
                <w:lang w:val="hu-HU"/>
              </w:rPr>
            </w:pPr>
            <w:r w:rsidRPr="00183B5F">
              <w:rPr>
                <w:lang w:val="hu-HU"/>
              </w:rPr>
              <w:t xml:space="preserve">Pancreatitis, </w:t>
            </w:r>
          </w:p>
          <w:p w14:paraId="2E211DC3" w14:textId="77777777" w:rsidR="00366005" w:rsidRPr="00183B5F" w:rsidRDefault="00943743" w:rsidP="004062FE">
            <w:pPr>
              <w:pStyle w:val="EMEANormal"/>
              <w:widowControl w:val="0"/>
              <w:suppressAutoHyphens w:val="0"/>
              <w:rPr>
                <w:lang w:val="hu-HU"/>
              </w:rPr>
            </w:pPr>
            <w:r w:rsidRPr="00183B5F">
              <w:rPr>
                <w:lang w:val="hu-HU"/>
              </w:rPr>
              <w:t>dysphagia</w:t>
            </w:r>
          </w:p>
          <w:p w14:paraId="477F7B4F" w14:textId="77777777" w:rsidR="00366005" w:rsidRPr="00183B5F" w:rsidRDefault="00943743" w:rsidP="004062FE">
            <w:pPr>
              <w:pStyle w:val="EMEANormal"/>
              <w:widowControl w:val="0"/>
              <w:suppressAutoHyphens w:val="0"/>
              <w:rPr>
                <w:lang w:val="hu-HU"/>
              </w:rPr>
            </w:pPr>
            <w:r w:rsidRPr="00183B5F">
              <w:rPr>
                <w:lang w:val="hu-HU"/>
              </w:rPr>
              <w:t>arc-oedema</w:t>
            </w:r>
          </w:p>
        </w:tc>
      </w:tr>
      <w:tr w:rsidR="00011D2F" w14:paraId="183F31B2" w14:textId="77777777" w:rsidTr="00202B95">
        <w:trPr>
          <w:cantSplit/>
        </w:trPr>
        <w:tc>
          <w:tcPr>
            <w:tcW w:w="2580" w:type="dxa"/>
            <w:tcBorders>
              <w:top w:val="nil"/>
              <w:left w:val="single" w:sz="4" w:space="0" w:color="auto"/>
              <w:bottom w:val="single" w:sz="4" w:space="0" w:color="auto"/>
              <w:right w:val="single" w:sz="4" w:space="0" w:color="auto"/>
            </w:tcBorders>
          </w:tcPr>
          <w:p w14:paraId="24F48DBA" w14:textId="77777777" w:rsidR="00366005" w:rsidRPr="00183B5F" w:rsidRDefault="00366005">
            <w:pPr>
              <w:widowControl w:val="0"/>
              <w:suppressAutoHyphens w:val="0"/>
              <w:spacing w:line="240" w:lineRule="auto"/>
              <w:jc w:val="center"/>
              <w:rPr>
                <w:b/>
                <w:lang w:eastAsia="en-US"/>
              </w:rPr>
            </w:pPr>
          </w:p>
        </w:tc>
        <w:tc>
          <w:tcPr>
            <w:tcW w:w="2030" w:type="dxa"/>
            <w:tcBorders>
              <w:top w:val="single" w:sz="4" w:space="0" w:color="auto"/>
              <w:left w:val="single" w:sz="4" w:space="0" w:color="auto"/>
              <w:bottom w:val="single" w:sz="4" w:space="0" w:color="auto"/>
              <w:right w:val="single" w:sz="4" w:space="0" w:color="auto"/>
            </w:tcBorders>
            <w:hideMark/>
          </w:tcPr>
          <w:p w14:paraId="54EDDE67" w14:textId="77777777" w:rsidR="00366005" w:rsidRPr="00183B5F" w:rsidRDefault="00943743" w:rsidP="004062FE">
            <w:pPr>
              <w:pStyle w:val="EMEANormal"/>
              <w:widowControl w:val="0"/>
              <w:suppressAutoHyphens w:val="0"/>
              <w:rPr>
                <w:lang w:val="hu-HU"/>
              </w:rPr>
            </w:pPr>
            <w:r w:rsidRPr="00183B5F">
              <w:rPr>
                <w:szCs w:val="22"/>
                <w:lang w:val="hu-HU"/>
              </w:rPr>
              <w:t>Ritka</w:t>
            </w:r>
          </w:p>
        </w:tc>
        <w:tc>
          <w:tcPr>
            <w:tcW w:w="4451" w:type="dxa"/>
            <w:tcBorders>
              <w:top w:val="single" w:sz="4" w:space="0" w:color="auto"/>
              <w:left w:val="single" w:sz="4" w:space="0" w:color="auto"/>
              <w:bottom w:val="single" w:sz="4" w:space="0" w:color="auto"/>
              <w:right w:val="single" w:sz="4" w:space="0" w:color="auto"/>
            </w:tcBorders>
            <w:hideMark/>
          </w:tcPr>
          <w:p w14:paraId="447A05D9" w14:textId="77777777" w:rsidR="00366005" w:rsidRPr="00183B5F" w:rsidRDefault="00943743" w:rsidP="004062FE">
            <w:pPr>
              <w:pStyle w:val="EMEANormal"/>
              <w:widowControl w:val="0"/>
              <w:suppressAutoHyphens w:val="0"/>
              <w:rPr>
                <w:lang w:val="hu-HU"/>
              </w:rPr>
            </w:pPr>
            <w:r w:rsidRPr="00183B5F">
              <w:rPr>
                <w:szCs w:val="22"/>
                <w:lang w:val="hu-HU"/>
              </w:rPr>
              <w:t>Bélperforatio</w:t>
            </w:r>
            <w:r w:rsidRPr="00183B5F">
              <w:rPr>
                <w:szCs w:val="22"/>
                <w:vertAlign w:val="superscript"/>
                <w:lang w:val="hu-HU"/>
              </w:rPr>
              <w:t>1)</w:t>
            </w:r>
          </w:p>
        </w:tc>
      </w:tr>
      <w:tr w:rsidR="00011D2F" w14:paraId="768F2514" w14:textId="77777777" w:rsidTr="00202B95">
        <w:trPr>
          <w:cantSplit/>
        </w:trPr>
        <w:tc>
          <w:tcPr>
            <w:tcW w:w="2580" w:type="dxa"/>
            <w:vMerge w:val="restart"/>
            <w:tcBorders>
              <w:top w:val="single" w:sz="4" w:space="0" w:color="auto"/>
              <w:left w:val="single" w:sz="4" w:space="0" w:color="auto"/>
              <w:bottom w:val="nil"/>
              <w:right w:val="single" w:sz="4" w:space="0" w:color="auto"/>
            </w:tcBorders>
            <w:hideMark/>
          </w:tcPr>
          <w:p w14:paraId="4B6247AA" w14:textId="77777777" w:rsidR="00366005" w:rsidRPr="00183B5F" w:rsidRDefault="00943743" w:rsidP="004062FE">
            <w:pPr>
              <w:pStyle w:val="EMEANormal"/>
              <w:widowControl w:val="0"/>
              <w:suppressAutoHyphens w:val="0"/>
              <w:rPr>
                <w:szCs w:val="22"/>
                <w:lang w:val="hu-HU"/>
              </w:rPr>
            </w:pPr>
            <w:r w:rsidRPr="00183B5F">
              <w:rPr>
                <w:szCs w:val="22"/>
                <w:lang w:val="hu-HU"/>
              </w:rPr>
              <w:t>Máj- és epebetegségek, illetve tünetek*</w:t>
            </w:r>
          </w:p>
        </w:tc>
        <w:tc>
          <w:tcPr>
            <w:tcW w:w="2030" w:type="dxa"/>
            <w:tcBorders>
              <w:top w:val="single" w:sz="4" w:space="0" w:color="auto"/>
              <w:left w:val="single" w:sz="4" w:space="0" w:color="auto"/>
              <w:bottom w:val="single" w:sz="4" w:space="0" w:color="auto"/>
              <w:right w:val="single" w:sz="4" w:space="0" w:color="auto"/>
            </w:tcBorders>
            <w:hideMark/>
          </w:tcPr>
          <w:p w14:paraId="146421F9" w14:textId="77777777" w:rsidR="00366005" w:rsidRPr="00183B5F" w:rsidRDefault="00943743" w:rsidP="004062FE">
            <w:pPr>
              <w:pStyle w:val="EMEANormal"/>
              <w:widowControl w:val="0"/>
              <w:suppressAutoHyphens w:val="0"/>
              <w:rPr>
                <w:lang w:val="hu-HU"/>
              </w:rPr>
            </w:pPr>
            <w:r w:rsidRPr="00183B5F">
              <w:rPr>
                <w:lang w:val="hu-HU"/>
              </w:rPr>
              <w:t>Nagyon gyakori</w:t>
            </w:r>
          </w:p>
        </w:tc>
        <w:tc>
          <w:tcPr>
            <w:tcW w:w="4451" w:type="dxa"/>
            <w:tcBorders>
              <w:top w:val="single" w:sz="4" w:space="0" w:color="auto"/>
              <w:left w:val="single" w:sz="4" w:space="0" w:color="auto"/>
              <w:bottom w:val="single" w:sz="4" w:space="0" w:color="auto"/>
              <w:right w:val="single" w:sz="4" w:space="0" w:color="auto"/>
            </w:tcBorders>
            <w:hideMark/>
          </w:tcPr>
          <w:p w14:paraId="6077FF6F" w14:textId="77777777" w:rsidR="00366005" w:rsidRPr="00183B5F" w:rsidRDefault="00943743" w:rsidP="004062FE">
            <w:pPr>
              <w:pStyle w:val="EMEANormal"/>
              <w:widowControl w:val="0"/>
              <w:suppressAutoHyphens w:val="0"/>
              <w:rPr>
                <w:lang w:val="hu-HU"/>
              </w:rPr>
            </w:pPr>
            <w:r w:rsidRPr="00183B5F">
              <w:rPr>
                <w:lang w:val="hu-HU"/>
              </w:rPr>
              <w:t xml:space="preserve">Emelkedett májenzimszintek </w:t>
            </w:r>
          </w:p>
        </w:tc>
      </w:tr>
      <w:tr w:rsidR="00011D2F" w14:paraId="7418BAED" w14:textId="77777777" w:rsidTr="00202B95">
        <w:trPr>
          <w:cantSplit/>
        </w:trPr>
        <w:tc>
          <w:tcPr>
            <w:tcW w:w="0" w:type="auto"/>
            <w:vMerge/>
            <w:tcBorders>
              <w:top w:val="single" w:sz="4" w:space="0" w:color="auto"/>
              <w:left w:val="single" w:sz="4" w:space="0" w:color="auto"/>
              <w:bottom w:val="nil"/>
              <w:right w:val="single" w:sz="4" w:space="0" w:color="auto"/>
            </w:tcBorders>
            <w:vAlign w:val="center"/>
            <w:hideMark/>
          </w:tcPr>
          <w:p w14:paraId="6C8E75B6" w14:textId="77777777" w:rsidR="00366005" w:rsidRPr="00183B5F" w:rsidRDefault="00366005">
            <w:pPr>
              <w:suppressAutoHyphens w:val="0"/>
              <w:spacing w:line="240" w:lineRule="auto"/>
              <w:rPr>
                <w:szCs w:val="22"/>
                <w:lang w:eastAsia="en-US"/>
              </w:rPr>
            </w:pPr>
          </w:p>
        </w:tc>
        <w:tc>
          <w:tcPr>
            <w:tcW w:w="2030" w:type="dxa"/>
            <w:tcBorders>
              <w:top w:val="single" w:sz="4" w:space="0" w:color="auto"/>
              <w:left w:val="single" w:sz="4" w:space="0" w:color="auto"/>
              <w:bottom w:val="single" w:sz="4" w:space="0" w:color="auto"/>
              <w:right w:val="single" w:sz="4" w:space="0" w:color="auto"/>
            </w:tcBorders>
          </w:tcPr>
          <w:p w14:paraId="3046B44A" w14:textId="77777777" w:rsidR="00366005" w:rsidRPr="00183B5F" w:rsidRDefault="00943743" w:rsidP="004062FE">
            <w:pPr>
              <w:pStyle w:val="EMEANormal"/>
              <w:widowControl w:val="0"/>
              <w:suppressAutoHyphens w:val="0"/>
              <w:rPr>
                <w:lang w:val="hu-HU"/>
              </w:rPr>
            </w:pPr>
            <w:r w:rsidRPr="00183B5F">
              <w:rPr>
                <w:lang w:val="hu-HU"/>
              </w:rPr>
              <w:t>Nem gyakori</w:t>
            </w:r>
          </w:p>
          <w:p w14:paraId="237F4763" w14:textId="77777777" w:rsidR="00366005" w:rsidRPr="00183B5F" w:rsidRDefault="00366005" w:rsidP="004062FE">
            <w:pPr>
              <w:pStyle w:val="EMEANormal"/>
              <w:widowControl w:val="0"/>
              <w:suppressAutoHyphens w:val="0"/>
              <w:rPr>
                <w:lang w:val="hu-HU"/>
              </w:rPr>
            </w:pPr>
          </w:p>
          <w:p w14:paraId="64E265E6" w14:textId="77777777" w:rsidR="00366005" w:rsidRPr="00183B5F" w:rsidRDefault="00366005" w:rsidP="004062FE">
            <w:pPr>
              <w:pStyle w:val="EMEANormal"/>
              <w:widowControl w:val="0"/>
              <w:suppressAutoHyphens w:val="0"/>
              <w:rPr>
                <w:lang w:val="hu-HU"/>
              </w:rPr>
            </w:pPr>
          </w:p>
        </w:tc>
        <w:tc>
          <w:tcPr>
            <w:tcW w:w="4451" w:type="dxa"/>
            <w:tcBorders>
              <w:top w:val="single" w:sz="4" w:space="0" w:color="auto"/>
              <w:left w:val="single" w:sz="4" w:space="0" w:color="auto"/>
              <w:bottom w:val="single" w:sz="4" w:space="0" w:color="auto"/>
              <w:right w:val="single" w:sz="4" w:space="0" w:color="auto"/>
            </w:tcBorders>
            <w:hideMark/>
          </w:tcPr>
          <w:p w14:paraId="5C6C0697" w14:textId="77777777" w:rsidR="00366005" w:rsidRPr="00183B5F" w:rsidRDefault="00943743" w:rsidP="004062FE">
            <w:pPr>
              <w:pStyle w:val="EMEANormal"/>
              <w:widowControl w:val="0"/>
              <w:suppressAutoHyphens w:val="0"/>
              <w:rPr>
                <w:lang w:val="hu-HU"/>
              </w:rPr>
            </w:pPr>
            <w:r w:rsidRPr="00183B5F">
              <w:rPr>
                <w:lang w:val="hu-HU"/>
              </w:rPr>
              <w:t xml:space="preserve">Cholecystitis és cholelithiasis, </w:t>
            </w:r>
          </w:p>
          <w:p w14:paraId="3745A71F" w14:textId="77777777" w:rsidR="00366005" w:rsidRPr="00183B5F" w:rsidRDefault="00943743" w:rsidP="004062FE">
            <w:pPr>
              <w:pStyle w:val="EMEANormal"/>
              <w:widowControl w:val="0"/>
              <w:suppressAutoHyphens w:val="0"/>
              <w:rPr>
                <w:szCs w:val="22"/>
                <w:lang w:val="hu-HU"/>
              </w:rPr>
            </w:pPr>
            <w:r w:rsidRPr="00183B5F">
              <w:rPr>
                <w:szCs w:val="22"/>
                <w:lang w:val="hu-HU"/>
              </w:rPr>
              <w:t>steatosis hepatis,</w:t>
            </w:r>
          </w:p>
          <w:p w14:paraId="0629290E" w14:textId="77777777" w:rsidR="00366005" w:rsidRPr="00183B5F" w:rsidRDefault="00943743" w:rsidP="004062FE">
            <w:pPr>
              <w:pStyle w:val="EMEANormal"/>
              <w:widowControl w:val="0"/>
              <w:rPr>
                <w:vertAlign w:val="superscript"/>
                <w:lang w:val="hu-HU"/>
              </w:rPr>
            </w:pPr>
            <w:r w:rsidRPr="00183B5F">
              <w:rPr>
                <w:szCs w:val="22"/>
                <w:lang w:val="hu-HU"/>
              </w:rPr>
              <w:t xml:space="preserve">emelkedett bilirubinszint </w:t>
            </w:r>
          </w:p>
        </w:tc>
      </w:tr>
      <w:tr w:rsidR="00011D2F" w14:paraId="35605A43" w14:textId="77777777" w:rsidTr="00202B95">
        <w:trPr>
          <w:cantSplit/>
        </w:trPr>
        <w:tc>
          <w:tcPr>
            <w:tcW w:w="2580" w:type="dxa"/>
            <w:tcBorders>
              <w:top w:val="nil"/>
              <w:left w:val="single" w:sz="4" w:space="0" w:color="auto"/>
              <w:bottom w:val="nil"/>
              <w:right w:val="single" w:sz="4" w:space="0" w:color="auto"/>
            </w:tcBorders>
          </w:tcPr>
          <w:p w14:paraId="73C802D1" w14:textId="77777777" w:rsidR="00366005" w:rsidRPr="00183B5F" w:rsidRDefault="00366005" w:rsidP="004062FE">
            <w:pPr>
              <w:pStyle w:val="EMEANormal"/>
              <w:widowControl w:val="0"/>
              <w:suppressAutoHyphens w:val="0"/>
              <w:rPr>
                <w:lang w:val="hu-HU"/>
              </w:rPr>
            </w:pPr>
          </w:p>
        </w:tc>
        <w:tc>
          <w:tcPr>
            <w:tcW w:w="2030" w:type="dxa"/>
            <w:tcBorders>
              <w:top w:val="single" w:sz="4" w:space="0" w:color="auto"/>
              <w:left w:val="single" w:sz="4" w:space="0" w:color="auto"/>
              <w:bottom w:val="single" w:sz="4" w:space="0" w:color="auto"/>
              <w:right w:val="single" w:sz="4" w:space="0" w:color="auto"/>
            </w:tcBorders>
            <w:hideMark/>
          </w:tcPr>
          <w:p w14:paraId="5B20FB58" w14:textId="77777777" w:rsidR="00366005" w:rsidRPr="00183B5F" w:rsidRDefault="00943743" w:rsidP="004062FE">
            <w:pPr>
              <w:pStyle w:val="EMEANormal"/>
              <w:widowControl w:val="0"/>
              <w:suppressAutoHyphens w:val="0"/>
              <w:rPr>
                <w:lang w:val="hu-HU"/>
              </w:rPr>
            </w:pPr>
            <w:r w:rsidRPr="00183B5F">
              <w:rPr>
                <w:lang w:val="hu-HU"/>
              </w:rPr>
              <w:t>Ritka</w:t>
            </w:r>
          </w:p>
        </w:tc>
        <w:tc>
          <w:tcPr>
            <w:tcW w:w="4451" w:type="dxa"/>
            <w:tcBorders>
              <w:top w:val="single" w:sz="4" w:space="0" w:color="auto"/>
              <w:left w:val="single" w:sz="4" w:space="0" w:color="auto"/>
              <w:bottom w:val="single" w:sz="4" w:space="0" w:color="auto"/>
              <w:right w:val="single" w:sz="4" w:space="0" w:color="auto"/>
            </w:tcBorders>
            <w:hideMark/>
          </w:tcPr>
          <w:p w14:paraId="1B573CB5" w14:textId="77777777" w:rsidR="00366005" w:rsidRPr="00183B5F" w:rsidRDefault="00943743" w:rsidP="004062FE">
            <w:pPr>
              <w:pStyle w:val="EMEANormal"/>
              <w:widowControl w:val="0"/>
              <w:suppressAutoHyphens w:val="0"/>
              <w:rPr>
                <w:szCs w:val="22"/>
                <w:lang w:val="hu-HU"/>
              </w:rPr>
            </w:pPr>
            <w:r w:rsidRPr="00183B5F">
              <w:rPr>
                <w:szCs w:val="22"/>
                <w:lang w:val="hu-HU"/>
              </w:rPr>
              <w:t>Hepatitis</w:t>
            </w:r>
          </w:p>
          <w:p w14:paraId="7CC0A825" w14:textId="77777777" w:rsidR="00366005" w:rsidRPr="00183B5F" w:rsidRDefault="00943743" w:rsidP="004062FE">
            <w:pPr>
              <w:pStyle w:val="EMEANormal"/>
              <w:widowControl w:val="0"/>
              <w:suppressAutoHyphens w:val="0"/>
              <w:rPr>
                <w:szCs w:val="22"/>
                <w:lang w:val="hu-HU"/>
              </w:rPr>
            </w:pPr>
            <w:r w:rsidRPr="00183B5F">
              <w:rPr>
                <w:szCs w:val="22"/>
                <w:lang w:val="hu-HU"/>
              </w:rPr>
              <w:t>a hepatitis B reaktiválódása</w:t>
            </w:r>
            <w:r w:rsidRPr="00183B5F">
              <w:rPr>
                <w:szCs w:val="22"/>
                <w:vertAlign w:val="superscript"/>
                <w:lang w:val="hu-HU"/>
              </w:rPr>
              <w:t>1)</w:t>
            </w:r>
          </w:p>
          <w:p w14:paraId="05FF7CB8" w14:textId="77777777" w:rsidR="00366005" w:rsidRPr="00183B5F" w:rsidRDefault="00943743" w:rsidP="004062FE">
            <w:pPr>
              <w:pStyle w:val="EMEANormal"/>
              <w:widowControl w:val="0"/>
              <w:suppressAutoHyphens w:val="0"/>
              <w:rPr>
                <w:lang w:val="hu-HU"/>
              </w:rPr>
            </w:pPr>
            <w:r w:rsidRPr="00183B5F">
              <w:rPr>
                <w:szCs w:val="22"/>
                <w:lang w:val="hu-HU"/>
              </w:rPr>
              <w:t>autoimmun hepatitis</w:t>
            </w:r>
            <w:r w:rsidRPr="00183B5F">
              <w:rPr>
                <w:szCs w:val="22"/>
                <w:vertAlign w:val="superscript"/>
                <w:lang w:val="hu-HU"/>
              </w:rPr>
              <w:t>1)</w:t>
            </w:r>
          </w:p>
        </w:tc>
      </w:tr>
      <w:tr w:rsidR="00011D2F" w14:paraId="56EFAEC1" w14:textId="77777777" w:rsidTr="00202B95">
        <w:trPr>
          <w:cantSplit/>
        </w:trPr>
        <w:tc>
          <w:tcPr>
            <w:tcW w:w="2580" w:type="dxa"/>
            <w:tcBorders>
              <w:top w:val="nil"/>
              <w:left w:val="single" w:sz="4" w:space="0" w:color="auto"/>
              <w:bottom w:val="single" w:sz="4" w:space="0" w:color="auto"/>
              <w:right w:val="single" w:sz="4" w:space="0" w:color="auto"/>
            </w:tcBorders>
          </w:tcPr>
          <w:p w14:paraId="4C7397C0" w14:textId="77777777" w:rsidR="00366005" w:rsidRPr="00183B5F" w:rsidRDefault="00366005" w:rsidP="004062FE">
            <w:pPr>
              <w:pStyle w:val="EMEANormal"/>
              <w:widowControl w:val="0"/>
              <w:suppressAutoHyphens w:val="0"/>
              <w:rPr>
                <w:lang w:val="hu-HU"/>
              </w:rPr>
            </w:pPr>
          </w:p>
        </w:tc>
        <w:tc>
          <w:tcPr>
            <w:tcW w:w="2030" w:type="dxa"/>
            <w:tcBorders>
              <w:top w:val="single" w:sz="4" w:space="0" w:color="auto"/>
              <w:left w:val="single" w:sz="4" w:space="0" w:color="auto"/>
              <w:bottom w:val="single" w:sz="4" w:space="0" w:color="auto"/>
              <w:right w:val="single" w:sz="4" w:space="0" w:color="auto"/>
            </w:tcBorders>
            <w:hideMark/>
          </w:tcPr>
          <w:p w14:paraId="099191AC" w14:textId="77777777" w:rsidR="00366005" w:rsidRPr="00183B5F" w:rsidRDefault="00943743" w:rsidP="004062FE">
            <w:pPr>
              <w:pStyle w:val="EMEANormal"/>
              <w:widowControl w:val="0"/>
              <w:suppressAutoHyphens w:val="0"/>
              <w:rPr>
                <w:lang w:val="hu-HU"/>
              </w:rPr>
            </w:pPr>
            <w:r w:rsidRPr="00183B5F">
              <w:rPr>
                <w:lang w:val="hu-HU"/>
              </w:rPr>
              <w:t>Nem ismert</w:t>
            </w:r>
          </w:p>
        </w:tc>
        <w:tc>
          <w:tcPr>
            <w:tcW w:w="4451" w:type="dxa"/>
            <w:tcBorders>
              <w:top w:val="single" w:sz="4" w:space="0" w:color="auto"/>
              <w:left w:val="single" w:sz="4" w:space="0" w:color="auto"/>
              <w:bottom w:val="single" w:sz="4" w:space="0" w:color="auto"/>
              <w:right w:val="single" w:sz="4" w:space="0" w:color="auto"/>
            </w:tcBorders>
            <w:hideMark/>
          </w:tcPr>
          <w:p w14:paraId="308E1CB2" w14:textId="77777777" w:rsidR="00366005" w:rsidRPr="00183B5F" w:rsidRDefault="00943743" w:rsidP="004062FE">
            <w:pPr>
              <w:pStyle w:val="EMEANormal"/>
              <w:widowControl w:val="0"/>
              <w:suppressAutoHyphens w:val="0"/>
              <w:rPr>
                <w:lang w:val="hu-HU"/>
              </w:rPr>
            </w:pPr>
            <w:r w:rsidRPr="00183B5F">
              <w:rPr>
                <w:lang w:val="hu-HU"/>
              </w:rPr>
              <w:t>Májelégtelenség</w:t>
            </w:r>
            <w:r w:rsidRPr="00183B5F">
              <w:rPr>
                <w:vertAlign w:val="superscript"/>
                <w:lang w:val="hu-HU"/>
              </w:rPr>
              <w:t>1)</w:t>
            </w:r>
          </w:p>
        </w:tc>
      </w:tr>
      <w:tr w:rsidR="00011D2F" w14:paraId="680CE090" w14:textId="77777777" w:rsidTr="00202B95">
        <w:trPr>
          <w:cantSplit/>
        </w:trPr>
        <w:tc>
          <w:tcPr>
            <w:tcW w:w="2580" w:type="dxa"/>
            <w:vMerge w:val="restart"/>
            <w:tcBorders>
              <w:top w:val="single" w:sz="4" w:space="0" w:color="auto"/>
              <w:left w:val="single" w:sz="4" w:space="0" w:color="auto"/>
              <w:bottom w:val="nil"/>
              <w:right w:val="single" w:sz="4" w:space="0" w:color="auto"/>
            </w:tcBorders>
            <w:hideMark/>
          </w:tcPr>
          <w:p w14:paraId="44101700" w14:textId="77777777" w:rsidR="00366005" w:rsidRPr="00183B5F" w:rsidRDefault="00943743" w:rsidP="00C036E3">
            <w:pPr>
              <w:pStyle w:val="EMEANormal"/>
              <w:keepNext/>
              <w:widowControl w:val="0"/>
              <w:suppressAutoHyphens w:val="0"/>
              <w:rPr>
                <w:szCs w:val="22"/>
                <w:lang w:val="hu-HU"/>
              </w:rPr>
            </w:pPr>
            <w:r w:rsidRPr="00183B5F">
              <w:rPr>
                <w:szCs w:val="22"/>
                <w:lang w:val="hu-HU"/>
              </w:rPr>
              <w:t>A bőr és a bőr alatti szövet betegségei és tünetei</w:t>
            </w:r>
          </w:p>
        </w:tc>
        <w:tc>
          <w:tcPr>
            <w:tcW w:w="2030" w:type="dxa"/>
            <w:tcBorders>
              <w:top w:val="single" w:sz="4" w:space="0" w:color="auto"/>
              <w:left w:val="single" w:sz="4" w:space="0" w:color="auto"/>
              <w:bottom w:val="single" w:sz="4" w:space="0" w:color="auto"/>
              <w:right w:val="single" w:sz="4" w:space="0" w:color="auto"/>
            </w:tcBorders>
            <w:hideMark/>
          </w:tcPr>
          <w:p w14:paraId="384F42A0" w14:textId="77777777" w:rsidR="00366005" w:rsidRPr="00183B5F" w:rsidRDefault="00943743" w:rsidP="00C036E3">
            <w:pPr>
              <w:pStyle w:val="EMEANormal"/>
              <w:keepNext/>
              <w:widowControl w:val="0"/>
              <w:suppressAutoHyphens w:val="0"/>
              <w:rPr>
                <w:lang w:val="hu-HU"/>
              </w:rPr>
            </w:pPr>
            <w:r w:rsidRPr="00183B5F">
              <w:rPr>
                <w:lang w:val="hu-HU"/>
              </w:rPr>
              <w:t>Nagyon gyakori</w:t>
            </w:r>
          </w:p>
        </w:tc>
        <w:tc>
          <w:tcPr>
            <w:tcW w:w="4451" w:type="dxa"/>
            <w:tcBorders>
              <w:top w:val="single" w:sz="4" w:space="0" w:color="auto"/>
              <w:left w:val="single" w:sz="4" w:space="0" w:color="auto"/>
              <w:bottom w:val="single" w:sz="4" w:space="0" w:color="auto"/>
              <w:right w:val="single" w:sz="4" w:space="0" w:color="auto"/>
            </w:tcBorders>
            <w:hideMark/>
          </w:tcPr>
          <w:p w14:paraId="53BBD5FB" w14:textId="77777777" w:rsidR="00366005" w:rsidRPr="00183B5F" w:rsidRDefault="00943743">
            <w:pPr>
              <w:pStyle w:val="EMEANormal"/>
              <w:keepNext/>
              <w:widowControl w:val="0"/>
              <w:suppressAutoHyphens w:val="0"/>
              <w:rPr>
                <w:lang w:val="hu-HU"/>
              </w:rPr>
            </w:pPr>
            <w:r w:rsidRPr="00183B5F">
              <w:rPr>
                <w:lang w:val="hu-HU"/>
              </w:rPr>
              <w:t>Bőrkiütés (beleértve az exfoliativ bőrkiütést is)</w:t>
            </w:r>
          </w:p>
        </w:tc>
      </w:tr>
      <w:tr w:rsidR="00011D2F" w14:paraId="0E44B142" w14:textId="77777777" w:rsidTr="00202B95">
        <w:trPr>
          <w:cantSplit/>
        </w:trPr>
        <w:tc>
          <w:tcPr>
            <w:tcW w:w="0" w:type="auto"/>
            <w:vMerge/>
            <w:tcBorders>
              <w:top w:val="single" w:sz="4" w:space="0" w:color="auto"/>
              <w:left w:val="single" w:sz="4" w:space="0" w:color="auto"/>
              <w:bottom w:val="nil"/>
              <w:right w:val="single" w:sz="4" w:space="0" w:color="auto"/>
            </w:tcBorders>
            <w:vAlign w:val="center"/>
            <w:hideMark/>
          </w:tcPr>
          <w:p w14:paraId="510FE11C" w14:textId="77777777" w:rsidR="00366005" w:rsidRPr="00183B5F" w:rsidRDefault="00366005">
            <w:pPr>
              <w:suppressAutoHyphens w:val="0"/>
              <w:spacing w:line="240" w:lineRule="auto"/>
              <w:rPr>
                <w:szCs w:val="22"/>
                <w:lang w:eastAsia="en-US"/>
              </w:rPr>
            </w:pPr>
          </w:p>
        </w:tc>
        <w:tc>
          <w:tcPr>
            <w:tcW w:w="2030" w:type="dxa"/>
            <w:tcBorders>
              <w:top w:val="single" w:sz="4" w:space="0" w:color="auto"/>
              <w:left w:val="single" w:sz="4" w:space="0" w:color="auto"/>
              <w:bottom w:val="single" w:sz="4" w:space="0" w:color="auto"/>
              <w:right w:val="single" w:sz="4" w:space="0" w:color="auto"/>
            </w:tcBorders>
          </w:tcPr>
          <w:p w14:paraId="693BBF1E" w14:textId="77777777" w:rsidR="00366005" w:rsidRPr="00183B5F" w:rsidRDefault="00943743" w:rsidP="004062FE">
            <w:pPr>
              <w:pStyle w:val="EMEANormal"/>
              <w:widowControl w:val="0"/>
              <w:suppressAutoHyphens w:val="0"/>
              <w:rPr>
                <w:lang w:val="hu-HU"/>
              </w:rPr>
            </w:pPr>
            <w:r w:rsidRPr="00183B5F">
              <w:rPr>
                <w:lang w:val="hu-HU"/>
              </w:rPr>
              <w:t>Gyakori</w:t>
            </w:r>
          </w:p>
          <w:p w14:paraId="341FDAD5" w14:textId="77777777" w:rsidR="00366005" w:rsidRPr="00183B5F" w:rsidRDefault="00366005" w:rsidP="004062FE">
            <w:pPr>
              <w:pStyle w:val="EMEANormal"/>
              <w:widowControl w:val="0"/>
              <w:suppressAutoHyphens w:val="0"/>
              <w:rPr>
                <w:lang w:val="hu-HU"/>
              </w:rPr>
            </w:pPr>
          </w:p>
        </w:tc>
        <w:tc>
          <w:tcPr>
            <w:tcW w:w="4451" w:type="dxa"/>
            <w:tcBorders>
              <w:top w:val="single" w:sz="4" w:space="0" w:color="auto"/>
              <w:left w:val="single" w:sz="4" w:space="0" w:color="auto"/>
              <w:bottom w:val="single" w:sz="4" w:space="0" w:color="auto"/>
              <w:right w:val="single" w:sz="4" w:space="0" w:color="auto"/>
            </w:tcBorders>
            <w:hideMark/>
          </w:tcPr>
          <w:p w14:paraId="451AFDA9" w14:textId="77777777" w:rsidR="00366005" w:rsidRPr="00183B5F" w:rsidRDefault="00943743" w:rsidP="004062FE">
            <w:pPr>
              <w:pStyle w:val="EMEANormal"/>
              <w:widowControl w:val="0"/>
              <w:suppressAutoHyphens w:val="0"/>
              <w:rPr>
                <w:lang w:val="hu-HU"/>
              </w:rPr>
            </w:pPr>
            <w:r w:rsidRPr="00183B5F">
              <w:rPr>
                <w:szCs w:val="22"/>
                <w:lang w:val="hu-HU"/>
              </w:rPr>
              <w:t>Psoriasis rosszabbodása, illetve újonnan kialakulása (beleértve a palmoplantaris pustulosus psoriasist)</w:t>
            </w:r>
            <w:r w:rsidRPr="00183B5F">
              <w:rPr>
                <w:szCs w:val="22"/>
                <w:vertAlign w:val="superscript"/>
                <w:lang w:val="hu-HU"/>
              </w:rPr>
              <w:t>1)</w:t>
            </w:r>
            <w:r w:rsidRPr="00183B5F">
              <w:rPr>
                <w:lang w:val="hu-HU"/>
              </w:rPr>
              <w:t>,</w:t>
            </w:r>
          </w:p>
          <w:p w14:paraId="378225E5" w14:textId="77777777" w:rsidR="00366005" w:rsidRPr="00183B5F" w:rsidRDefault="00943743" w:rsidP="004062FE">
            <w:pPr>
              <w:pStyle w:val="EMEANormal"/>
              <w:widowControl w:val="0"/>
              <w:suppressAutoHyphens w:val="0"/>
              <w:rPr>
                <w:lang w:val="hu-HU"/>
              </w:rPr>
            </w:pPr>
            <w:r w:rsidRPr="00183B5F">
              <w:rPr>
                <w:lang w:val="hu-HU"/>
              </w:rPr>
              <w:t>urticaria,</w:t>
            </w:r>
          </w:p>
          <w:p w14:paraId="16F49271" w14:textId="77777777" w:rsidR="00366005" w:rsidRPr="00183B5F" w:rsidRDefault="00943743" w:rsidP="004062FE">
            <w:pPr>
              <w:pStyle w:val="EMEANormal"/>
              <w:widowControl w:val="0"/>
              <w:suppressAutoHyphens w:val="0"/>
              <w:rPr>
                <w:lang w:val="hu-HU"/>
              </w:rPr>
            </w:pPr>
            <w:r w:rsidRPr="00183B5F">
              <w:rPr>
                <w:lang w:val="hu-HU"/>
              </w:rPr>
              <w:t xml:space="preserve">suffusio (beleértve a purpurát is), </w:t>
            </w:r>
          </w:p>
          <w:p w14:paraId="3FA2C122" w14:textId="77777777" w:rsidR="00366005" w:rsidRPr="00183B5F" w:rsidRDefault="00943743" w:rsidP="004062FE">
            <w:pPr>
              <w:pStyle w:val="EMEANormal"/>
              <w:widowControl w:val="0"/>
              <w:suppressAutoHyphens w:val="0"/>
              <w:rPr>
                <w:lang w:val="hu-HU"/>
              </w:rPr>
            </w:pPr>
            <w:r w:rsidRPr="00183B5F">
              <w:rPr>
                <w:lang w:val="hu-HU"/>
              </w:rPr>
              <w:t>dermatitis (beleértve az e</w:t>
            </w:r>
            <w:r w:rsidR="00761819" w:rsidRPr="00183B5F">
              <w:rPr>
                <w:lang w:val="hu-HU"/>
              </w:rPr>
              <w:t>k</w:t>
            </w:r>
            <w:r w:rsidRPr="00183B5F">
              <w:rPr>
                <w:lang w:val="hu-HU"/>
              </w:rPr>
              <w:t>zemát is),</w:t>
            </w:r>
          </w:p>
          <w:p w14:paraId="61D80526" w14:textId="77777777" w:rsidR="00366005" w:rsidRPr="00183B5F" w:rsidRDefault="00943743" w:rsidP="004062FE">
            <w:pPr>
              <w:pStyle w:val="EMEANormal"/>
              <w:widowControl w:val="0"/>
              <w:suppressAutoHyphens w:val="0"/>
              <w:rPr>
                <w:lang w:val="hu-HU"/>
              </w:rPr>
            </w:pPr>
            <w:r w:rsidRPr="00183B5F">
              <w:rPr>
                <w:lang w:val="hu-HU"/>
              </w:rPr>
              <w:t xml:space="preserve">onychoclasia, </w:t>
            </w:r>
          </w:p>
          <w:p w14:paraId="374A6DCE" w14:textId="77777777" w:rsidR="00366005" w:rsidRPr="00183B5F" w:rsidRDefault="00943743" w:rsidP="004062FE">
            <w:pPr>
              <w:pStyle w:val="EMEANormal"/>
              <w:widowControl w:val="0"/>
              <w:suppressAutoHyphens w:val="0"/>
              <w:rPr>
                <w:lang w:val="hu-HU"/>
              </w:rPr>
            </w:pPr>
            <w:r w:rsidRPr="00183B5F">
              <w:rPr>
                <w:lang w:val="hu-HU"/>
              </w:rPr>
              <w:t>hyperhydrosis,</w:t>
            </w:r>
          </w:p>
          <w:p w14:paraId="3D633A00" w14:textId="77777777" w:rsidR="00366005" w:rsidRPr="00183B5F" w:rsidRDefault="00943743" w:rsidP="004062FE">
            <w:pPr>
              <w:pStyle w:val="EMEANormal"/>
              <w:widowControl w:val="0"/>
              <w:suppressAutoHyphens w:val="0"/>
              <w:rPr>
                <w:lang w:val="hu-HU"/>
              </w:rPr>
            </w:pPr>
            <w:r w:rsidRPr="00183B5F">
              <w:rPr>
                <w:lang w:val="hu-HU"/>
              </w:rPr>
              <w:t>alopecia</w:t>
            </w:r>
            <w:r w:rsidRPr="00183B5F">
              <w:rPr>
                <w:vertAlign w:val="superscript"/>
                <w:lang w:val="hu-HU"/>
              </w:rPr>
              <w:t>1)</w:t>
            </w:r>
            <w:r w:rsidRPr="00183B5F">
              <w:rPr>
                <w:lang w:val="hu-HU"/>
              </w:rPr>
              <w:t>,</w:t>
            </w:r>
          </w:p>
          <w:p w14:paraId="22B4D463" w14:textId="77777777" w:rsidR="00366005" w:rsidRPr="00183B5F" w:rsidRDefault="00943743" w:rsidP="004062FE">
            <w:pPr>
              <w:pStyle w:val="EMEANormal"/>
              <w:widowControl w:val="0"/>
              <w:suppressAutoHyphens w:val="0"/>
              <w:rPr>
                <w:lang w:val="hu-HU"/>
              </w:rPr>
            </w:pPr>
            <w:r w:rsidRPr="00183B5F">
              <w:rPr>
                <w:lang w:val="hu-HU"/>
              </w:rPr>
              <w:t>pruritus</w:t>
            </w:r>
          </w:p>
        </w:tc>
      </w:tr>
      <w:tr w:rsidR="00011D2F" w14:paraId="1F30C251" w14:textId="77777777" w:rsidTr="00202B95">
        <w:trPr>
          <w:cantSplit/>
        </w:trPr>
        <w:tc>
          <w:tcPr>
            <w:tcW w:w="0" w:type="auto"/>
            <w:vMerge/>
            <w:tcBorders>
              <w:top w:val="single" w:sz="4" w:space="0" w:color="auto"/>
              <w:left w:val="single" w:sz="4" w:space="0" w:color="auto"/>
              <w:bottom w:val="nil"/>
              <w:right w:val="single" w:sz="4" w:space="0" w:color="auto"/>
            </w:tcBorders>
            <w:vAlign w:val="center"/>
            <w:hideMark/>
          </w:tcPr>
          <w:p w14:paraId="7C50FBE7" w14:textId="77777777" w:rsidR="00366005" w:rsidRPr="00183B5F" w:rsidRDefault="00366005">
            <w:pPr>
              <w:suppressAutoHyphens w:val="0"/>
              <w:spacing w:line="240" w:lineRule="auto"/>
              <w:rPr>
                <w:szCs w:val="22"/>
                <w:lang w:eastAsia="en-US"/>
              </w:rPr>
            </w:pPr>
          </w:p>
        </w:tc>
        <w:tc>
          <w:tcPr>
            <w:tcW w:w="2030" w:type="dxa"/>
            <w:tcBorders>
              <w:top w:val="single" w:sz="4" w:space="0" w:color="auto"/>
              <w:left w:val="single" w:sz="4" w:space="0" w:color="auto"/>
              <w:bottom w:val="single" w:sz="4" w:space="0" w:color="auto"/>
              <w:right w:val="single" w:sz="4" w:space="0" w:color="auto"/>
            </w:tcBorders>
          </w:tcPr>
          <w:p w14:paraId="49DCBF55" w14:textId="77777777" w:rsidR="00366005" w:rsidRPr="00183B5F" w:rsidRDefault="00943743" w:rsidP="004062FE">
            <w:pPr>
              <w:pStyle w:val="EMEANormal"/>
              <w:widowControl w:val="0"/>
              <w:suppressAutoHyphens w:val="0"/>
              <w:rPr>
                <w:lang w:val="hu-HU"/>
              </w:rPr>
            </w:pPr>
            <w:r w:rsidRPr="00183B5F">
              <w:rPr>
                <w:lang w:val="hu-HU"/>
              </w:rPr>
              <w:t>Nem gyakori</w:t>
            </w:r>
          </w:p>
          <w:p w14:paraId="34A507CE" w14:textId="77777777" w:rsidR="00366005" w:rsidRPr="00183B5F" w:rsidRDefault="00366005" w:rsidP="004062FE">
            <w:pPr>
              <w:pStyle w:val="EMEANormal"/>
              <w:widowControl w:val="0"/>
              <w:suppressAutoHyphens w:val="0"/>
              <w:rPr>
                <w:lang w:val="hu-HU"/>
              </w:rPr>
            </w:pPr>
          </w:p>
        </w:tc>
        <w:tc>
          <w:tcPr>
            <w:tcW w:w="4451" w:type="dxa"/>
            <w:tcBorders>
              <w:top w:val="single" w:sz="4" w:space="0" w:color="auto"/>
              <w:left w:val="single" w:sz="4" w:space="0" w:color="auto"/>
              <w:bottom w:val="single" w:sz="4" w:space="0" w:color="auto"/>
              <w:right w:val="single" w:sz="4" w:space="0" w:color="auto"/>
            </w:tcBorders>
            <w:hideMark/>
          </w:tcPr>
          <w:p w14:paraId="3A294134" w14:textId="77777777" w:rsidR="00366005" w:rsidRPr="00183B5F" w:rsidRDefault="00943743" w:rsidP="004062FE">
            <w:pPr>
              <w:pStyle w:val="EMEANormal"/>
              <w:widowControl w:val="0"/>
              <w:suppressAutoHyphens w:val="0"/>
              <w:rPr>
                <w:lang w:val="hu-HU"/>
              </w:rPr>
            </w:pPr>
            <w:r w:rsidRPr="00183B5F">
              <w:rPr>
                <w:lang w:val="hu-HU"/>
              </w:rPr>
              <w:t>Éjszakai verítékezés,</w:t>
            </w:r>
          </w:p>
          <w:p w14:paraId="5BB739C9" w14:textId="77777777" w:rsidR="00366005" w:rsidRPr="00183B5F" w:rsidRDefault="00943743" w:rsidP="004062FE">
            <w:pPr>
              <w:pStyle w:val="EMEANormal"/>
              <w:widowControl w:val="0"/>
              <w:suppressAutoHyphens w:val="0"/>
              <w:rPr>
                <w:lang w:val="hu-HU"/>
              </w:rPr>
            </w:pPr>
            <w:r w:rsidRPr="00183B5F">
              <w:rPr>
                <w:lang w:val="hu-HU"/>
              </w:rPr>
              <w:t>hegesedés</w:t>
            </w:r>
          </w:p>
        </w:tc>
      </w:tr>
      <w:tr w:rsidR="00011D2F" w14:paraId="2EE6CA98" w14:textId="77777777" w:rsidTr="00202B95">
        <w:trPr>
          <w:cantSplit/>
        </w:trPr>
        <w:tc>
          <w:tcPr>
            <w:tcW w:w="2580" w:type="dxa"/>
            <w:tcBorders>
              <w:top w:val="nil"/>
              <w:left w:val="single" w:sz="4" w:space="0" w:color="auto"/>
              <w:bottom w:val="nil"/>
              <w:right w:val="single" w:sz="4" w:space="0" w:color="auto"/>
            </w:tcBorders>
          </w:tcPr>
          <w:p w14:paraId="2C9B5F4A" w14:textId="77777777" w:rsidR="00366005" w:rsidRPr="00183B5F" w:rsidRDefault="00366005">
            <w:pPr>
              <w:widowControl w:val="0"/>
              <w:suppressAutoHyphens w:val="0"/>
              <w:spacing w:line="240" w:lineRule="auto"/>
              <w:jc w:val="center"/>
              <w:rPr>
                <w:b/>
                <w:lang w:eastAsia="en-US"/>
              </w:rPr>
            </w:pPr>
          </w:p>
        </w:tc>
        <w:tc>
          <w:tcPr>
            <w:tcW w:w="2030" w:type="dxa"/>
            <w:tcBorders>
              <w:top w:val="single" w:sz="4" w:space="0" w:color="auto"/>
              <w:left w:val="single" w:sz="4" w:space="0" w:color="auto"/>
              <w:bottom w:val="single" w:sz="4" w:space="0" w:color="auto"/>
              <w:right w:val="single" w:sz="4" w:space="0" w:color="auto"/>
            </w:tcBorders>
            <w:hideMark/>
          </w:tcPr>
          <w:p w14:paraId="5FA366C2" w14:textId="77777777" w:rsidR="00366005" w:rsidRPr="00183B5F" w:rsidRDefault="00943743" w:rsidP="004062FE">
            <w:pPr>
              <w:pStyle w:val="EMEANormal"/>
              <w:widowControl w:val="0"/>
              <w:suppressAutoHyphens w:val="0"/>
              <w:rPr>
                <w:lang w:val="hu-HU"/>
              </w:rPr>
            </w:pPr>
            <w:r w:rsidRPr="00183B5F">
              <w:rPr>
                <w:lang w:val="hu-HU"/>
              </w:rPr>
              <w:t>Ritka</w:t>
            </w:r>
          </w:p>
        </w:tc>
        <w:tc>
          <w:tcPr>
            <w:tcW w:w="4451" w:type="dxa"/>
            <w:tcBorders>
              <w:top w:val="single" w:sz="4" w:space="0" w:color="auto"/>
              <w:left w:val="single" w:sz="4" w:space="0" w:color="auto"/>
              <w:bottom w:val="single" w:sz="4" w:space="0" w:color="auto"/>
              <w:right w:val="single" w:sz="4" w:space="0" w:color="auto"/>
            </w:tcBorders>
            <w:hideMark/>
          </w:tcPr>
          <w:p w14:paraId="1AAA0841" w14:textId="77777777" w:rsidR="00366005" w:rsidRPr="00183B5F" w:rsidRDefault="00943743" w:rsidP="004062FE">
            <w:pPr>
              <w:pStyle w:val="EMEANormal"/>
              <w:widowControl w:val="0"/>
              <w:suppressAutoHyphens w:val="0"/>
              <w:rPr>
                <w:lang w:val="hu-HU"/>
              </w:rPr>
            </w:pPr>
            <w:r w:rsidRPr="00183B5F">
              <w:rPr>
                <w:lang w:val="hu-HU"/>
              </w:rPr>
              <w:t>Erythema multiforme</w:t>
            </w:r>
            <w:r w:rsidRPr="00183B5F">
              <w:rPr>
                <w:vertAlign w:val="superscript"/>
                <w:lang w:val="hu-HU"/>
              </w:rPr>
              <w:t>1)</w:t>
            </w:r>
            <w:r w:rsidRPr="00183B5F">
              <w:rPr>
                <w:lang w:val="hu-HU"/>
              </w:rPr>
              <w:t>,</w:t>
            </w:r>
          </w:p>
          <w:p w14:paraId="080B6F0C" w14:textId="77777777" w:rsidR="00366005" w:rsidRPr="00183B5F" w:rsidRDefault="00943743" w:rsidP="004062FE">
            <w:pPr>
              <w:pStyle w:val="EMEANormal"/>
              <w:widowControl w:val="0"/>
              <w:suppressAutoHyphens w:val="0"/>
              <w:rPr>
                <w:lang w:val="hu-HU"/>
              </w:rPr>
            </w:pPr>
            <w:r w:rsidRPr="00183B5F">
              <w:rPr>
                <w:lang w:val="hu-HU"/>
              </w:rPr>
              <w:t>Stevens</w:t>
            </w:r>
            <w:r w:rsidR="00004B4F" w:rsidRPr="00183B5F">
              <w:rPr>
                <w:lang w:val="hu-HU"/>
              </w:rPr>
              <w:t>–</w:t>
            </w:r>
            <w:r w:rsidRPr="00183B5F">
              <w:rPr>
                <w:lang w:val="hu-HU"/>
              </w:rPr>
              <w:t>Johnson</w:t>
            </w:r>
            <w:r w:rsidR="00C30980" w:rsidRPr="00183B5F">
              <w:rPr>
                <w:lang w:val="hu-HU"/>
              </w:rPr>
              <w:t>-</w:t>
            </w:r>
            <w:r w:rsidRPr="00183B5F">
              <w:rPr>
                <w:lang w:val="hu-HU"/>
              </w:rPr>
              <w:t>szindróma</w:t>
            </w:r>
            <w:r w:rsidRPr="00183B5F">
              <w:rPr>
                <w:vertAlign w:val="superscript"/>
                <w:lang w:val="hu-HU"/>
              </w:rPr>
              <w:t>1)</w:t>
            </w:r>
            <w:r w:rsidRPr="00183B5F">
              <w:rPr>
                <w:lang w:val="hu-HU"/>
              </w:rPr>
              <w:t>,</w:t>
            </w:r>
          </w:p>
          <w:p w14:paraId="39AFD323" w14:textId="77777777" w:rsidR="00366005" w:rsidRPr="00183B5F" w:rsidRDefault="00943743" w:rsidP="004062FE">
            <w:pPr>
              <w:pStyle w:val="EMEANormal"/>
              <w:widowControl w:val="0"/>
              <w:suppressAutoHyphens w:val="0"/>
              <w:rPr>
                <w:lang w:val="hu-HU"/>
              </w:rPr>
            </w:pPr>
            <w:r w:rsidRPr="00183B5F">
              <w:rPr>
                <w:lang w:val="hu-HU"/>
              </w:rPr>
              <w:t>angio</w:t>
            </w:r>
            <w:r w:rsidR="00752566" w:rsidRPr="00183B5F">
              <w:rPr>
                <w:lang w:val="hu-HU"/>
              </w:rPr>
              <w:t>o</w:t>
            </w:r>
            <w:r w:rsidRPr="00183B5F">
              <w:rPr>
                <w:lang w:val="hu-HU"/>
              </w:rPr>
              <w:t>edema</w:t>
            </w:r>
            <w:r w:rsidRPr="00183B5F">
              <w:rPr>
                <w:vertAlign w:val="superscript"/>
                <w:lang w:val="hu-HU"/>
              </w:rPr>
              <w:t>1)</w:t>
            </w:r>
            <w:r w:rsidRPr="00183B5F">
              <w:rPr>
                <w:lang w:val="hu-HU"/>
              </w:rPr>
              <w:t>,</w:t>
            </w:r>
          </w:p>
          <w:p w14:paraId="2943ACE6" w14:textId="77777777" w:rsidR="00366005" w:rsidRPr="00183B5F" w:rsidRDefault="00943743" w:rsidP="004062FE">
            <w:pPr>
              <w:pStyle w:val="EMEANormal"/>
              <w:widowControl w:val="0"/>
              <w:suppressAutoHyphens w:val="0"/>
              <w:rPr>
                <w:vertAlign w:val="superscript"/>
                <w:lang w:val="hu-HU"/>
              </w:rPr>
            </w:pPr>
            <w:r w:rsidRPr="00183B5F">
              <w:rPr>
                <w:lang w:val="hu-HU"/>
              </w:rPr>
              <w:t>cutan vasculitis</w:t>
            </w:r>
            <w:r w:rsidRPr="00183B5F">
              <w:rPr>
                <w:vertAlign w:val="superscript"/>
                <w:lang w:val="hu-HU"/>
              </w:rPr>
              <w:t>1)</w:t>
            </w:r>
          </w:p>
          <w:p w14:paraId="244CBC76" w14:textId="77777777" w:rsidR="00C036E3" w:rsidRPr="00183B5F" w:rsidRDefault="00943743" w:rsidP="004062FE">
            <w:pPr>
              <w:pStyle w:val="EMEANormal"/>
              <w:widowControl w:val="0"/>
              <w:suppressAutoHyphens w:val="0"/>
              <w:rPr>
                <w:lang w:val="hu-HU"/>
              </w:rPr>
            </w:pPr>
            <w:r w:rsidRPr="00183B5F">
              <w:rPr>
                <w:lang w:val="hu-HU"/>
              </w:rPr>
              <w:t>lichenoid bőrreakció</w:t>
            </w:r>
            <w:r w:rsidRPr="00183B5F">
              <w:rPr>
                <w:vertAlign w:val="superscript"/>
                <w:lang w:val="hu-HU"/>
              </w:rPr>
              <w:t>1)</w:t>
            </w:r>
          </w:p>
        </w:tc>
      </w:tr>
      <w:tr w:rsidR="00011D2F" w14:paraId="34AB36A7" w14:textId="77777777" w:rsidTr="00202B95">
        <w:trPr>
          <w:cantSplit/>
        </w:trPr>
        <w:tc>
          <w:tcPr>
            <w:tcW w:w="2580" w:type="dxa"/>
            <w:tcBorders>
              <w:top w:val="nil"/>
              <w:left w:val="single" w:sz="4" w:space="0" w:color="auto"/>
              <w:bottom w:val="single" w:sz="4" w:space="0" w:color="auto"/>
              <w:right w:val="single" w:sz="4" w:space="0" w:color="auto"/>
            </w:tcBorders>
          </w:tcPr>
          <w:p w14:paraId="66F6E6E2" w14:textId="77777777" w:rsidR="00366005" w:rsidRPr="00183B5F" w:rsidRDefault="00366005">
            <w:pPr>
              <w:widowControl w:val="0"/>
              <w:suppressAutoHyphens w:val="0"/>
              <w:spacing w:line="240" w:lineRule="auto"/>
              <w:jc w:val="center"/>
              <w:rPr>
                <w:b/>
                <w:lang w:eastAsia="en-US"/>
              </w:rPr>
            </w:pPr>
          </w:p>
        </w:tc>
        <w:tc>
          <w:tcPr>
            <w:tcW w:w="2030" w:type="dxa"/>
            <w:tcBorders>
              <w:top w:val="single" w:sz="4" w:space="0" w:color="auto"/>
              <w:left w:val="single" w:sz="4" w:space="0" w:color="auto"/>
              <w:bottom w:val="single" w:sz="4" w:space="0" w:color="auto"/>
              <w:right w:val="single" w:sz="4" w:space="0" w:color="auto"/>
            </w:tcBorders>
            <w:hideMark/>
          </w:tcPr>
          <w:p w14:paraId="290458C0" w14:textId="77777777" w:rsidR="00366005" w:rsidRPr="00183B5F" w:rsidRDefault="00943743" w:rsidP="004062FE">
            <w:pPr>
              <w:pStyle w:val="EMEANormal"/>
              <w:widowControl w:val="0"/>
              <w:suppressAutoHyphens w:val="0"/>
              <w:rPr>
                <w:lang w:val="hu-HU"/>
              </w:rPr>
            </w:pPr>
            <w:r w:rsidRPr="00183B5F">
              <w:rPr>
                <w:lang w:val="hu-HU"/>
              </w:rPr>
              <w:t>Nem ismert</w:t>
            </w:r>
          </w:p>
        </w:tc>
        <w:tc>
          <w:tcPr>
            <w:tcW w:w="4451" w:type="dxa"/>
            <w:tcBorders>
              <w:top w:val="single" w:sz="4" w:space="0" w:color="auto"/>
              <w:left w:val="single" w:sz="4" w:space="0" w:color="auto"/>
              <w:bottom w:val="single" w:sz="4" w:space="0" w:color="auto"/>
              <w:right w:val="single" w:sz="4" w:space="0" w:color="auto"/>
            </w:tcBorders>
            <w:hideMark/>
          </w:tcPr>
          <w:p w14:paraId="26CD7FC4" w14:textId="77777777" w:rsidR="00366005" w:rsidRPr="00183B5F" w:rsidRDefault="00943743" w:rsidP="004062FE">
            <w:pPr>
              <w:pStyle w:val="EMEANormal"/>
              <w:widowControl w:val="0"/>
              <w:suppressAutoHyphens w:val="0"/>
              <w:rPr>
                <w:lang w:val="hu-HU"/>
              </w:rPr>
            </w:pPr>
            <w:r w:rsidRPr="00183B5F">
              <w:rPr>
                <w:lang w:val="hu-HU"/>
              </w:rPr>
              <w:t>Dermatomyositis tüneteinek súlyosbodása</w:t>
            </w:r>
            <w:r w:rsidRPr="00183B5F">
              <w:rPr>
                <w:vertAlign w:val="superscript"/>
                <w:lang w:val="hu-HU"/>
              </w:rPr>
              <w:t>1)</w:t>
            </w:r>
          </w:p>
        </w:tc>
      </w:tr>
      <w:tr w:rsidR="00011D2F" w14:paraId="359F138D" w14:textId="77777777" w:rsidTr="00202B95">
        <w:trPr>
          <w:cantSplit/>
        </w:trPr>
        <w:tc>
          <w:tcPr>
            <w:tcW w:w="2580" w:type="dxa"/>
            <w:vMerge w:val="restart"/>
            <w:tcBorders>
              <w:top w:val="single" w:sz="4" w:space="0" w:color="auto"/>
              <w:left w:val="single" w:sz="4" w:space="0" w:color="auto"/>
              <w:bottom w:val="single" w:sz="4" w:space="0" w:color="auto"/>
              <w:right w:val="single" w:sz="4" w:space="0" w:color="auto"/>
            </w:tcBorders>
            <w:hideMark/>
          </w:tcPr>
          <w:p w14:paraId="275C8434" w14:textId="77777777" w:rsidR="00366005" w:rsidRPr="00183B5F" w:rsidRDefault="00943743" w:rsidP="004062FE">
            <w:pPr>
              <w:pStyle w:val="EMEANormal"/>
              <w:widowControl w:val="0"/>
              <w:suppressAutoHyphens w:val="0"/>
              <w:rPr>
                <w:szCs w:val="22"/>
                <w:lang w:val="hu-HU"/>
              </w:rPr>
            </w:pPr>
            <w:r w:rsidRPr="00183B5F">
              <w:rPr>
                <w:szCs w:val="22"/>
                <w:lang w:val="hu-HU"/>
              </w:rPr>
              <w:t>A csont- és izomrendszer, valamint a kötőszövet betegségei és tünetei</w:t>
            </w:r>
          </w:p>
        </w:tc>
        <w:tc>
          <w:tcPr>
            <w:tcW w:w="2030" w:type="dxa"/>
            <w:tcBorders>
              <w:top w:val="single" w:sz="4" w:space="0" w:color="auto"/>
              <w:left w:val="single" w:sz="4" w:space="0" w:color="auto"/>
              <w:bottom w:val="single" w:sz="4" w:space="0" w:color="auto"/>
              <w:right w:val="single" w:sz="4" w:space="0" w:color="auto"/>
            </w:tcBorders>
            <w:hideMark/>
          </w:tcPr>
          <w:p w14:paraId="23488912" w14:textId="77777777" w:rsidR="00366005" w:rsidRPr="00183B5F" w:rsidRDefault="00943743" w:rsidP="004062FE">
            <w:pPr>
              <w:pStyle w:val="EMEANormal"/>
              <w:widowControl w:val="0"/>
              <w:suppressAutoHyphens w:val="0"/>
              <w:rPr>
                <w:lang w:val="hu-HU"/>
              </w:rPr>
            </w:pPr>
            <w:r w:rsidRPr="00183B5F">
              <w:rPr>
                <w:lang w:val="hu-HU"/>
              </w:rPr>
              <w:t>Nagyon gyakori</w:t>
            </w:r>
          </w:p>
        </w:tc>
        <w:tc>
          <w:tcPr>
            <w:tcW w:w="4451" w:type="dxa"/>
            <w:tcBorders>
              <w:top w:val="single" w:sz="4" w:space="0" w:color="auto"/>
              <w:left w:val="single" w:sz="4" w:space="0" w:color="auto"/>
              <w:bottom w:val="single" w:sz="4" w:space="0" w:color="auto"/>
              <w:right w:val="single" w:sz="4" w:space="0" w:color="auto"/>
            </w:tcBorders>
            <w:hideMark/>
          </w:tcPr>
          <w:p w14:paraId="30BF4AA3" w14:textId="77777777" w:rsidR="00366005" w:rsidRPr="00183B5F" w:rsidRDefault="00943743" w:rsidP="004062FE">
            <w:pPr>
              <w:pStyle w:val="EMEANormal"/>
              <w:widowControl w:val="0"/>
              <w:suppressAutoHyphens w:val="0"/>
              <w:rPr>
                <w:lang w:val="hu-HU"/>
              </w:rPr>
            </w:pPr>
            <w:r w:rsidRPr="00183B5F">
              <w:rPr>
                <w:lang w:val="hu-HU"/>
              </w:rPr>
              <w:t>Mozgásszervi eredetű fájdalom</w:t>
            </w:r>
          </w:p>
        </w:tc>
      </w:tr>
      <w:tr w:rsidR="00011D2F" w14:paraId="7B380239" w14:textId="77777777" w:rsidTr="00202B9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BDD4E0" w14:textId="77777777" w:rsidR="00366005" w:rsidRPr="00183B5F" w:rsidRDefault="00366005">
            <w:pPr>
              <w:suppressAutoHyphens w:val="0"/>
              <w:spacing w:line="240" w:lineRule="auto"/>
              <w:rPr>
                <w:szCs w:val="22"/>
                <w:lang w:eastAsia="en-US"/>
              </w:rPr>
            </w:pPr>
          </w:p>
        </w:tc>
        <w:tc>
          <w:tcPr>
            <w:tcW w:w="2030" w:type="dxa"/>
            <w:tcBorders>
              <w:top w:val="single" w:sz="4" w:space="0" w:color="auto"/>
              <w:left w:val="single" w:sz="4" w:space="0" w:color="auto"/>
              <w:bottom w:val="single" w:sz="4" w:space="0" w:color="auto"/>
              <w:right w:val="single" w:sz="4" w:space="0" w:color="auto"/>
            </w:tcBorders>
            <w:hideMark/>
          </w:tcPr>
          <w:p w14:paraId="379C683F" w14:textId="77777777" w:rsidR="00366005" w:rsidRPr="00183B5F" w:rsidRDefault="00943743" w:rsidP="004062FE">
            <w:pPr>
              <w:pStyle w:val="EMEANormal"/>
              <w:widowControl w:val="0"/>
              <w:suppressAutoHyphens w:val="0"/>
              <w:rPr>
                <w:lang w:val="hu-HU"/>
              </w:rPr>
            </w:pPr>
            <w:r w:rsidRPr="00183B5F">
              <w:rPr>
                <w:lang w:val="hu-HU"/>
              </w:rPr>
              <w:t>Gyakori</w:t>
            </w:r>
          </w:p>
        </w:tc>
        <w:tc>
          <w:tcPr>
            <w:tcW w:w="4451" w:type="dxa"/>
            <w:tcBorders>
              <w:top w:val="single" w:sz="4" w:space="0" w:color="auto"/>
              <w:left w:val="single" w:sz="4" w:space="0" w:color="auto"/>
              <w:bottom w:val="single" w:sz="4" w:space="0" w:color="auto"/>
              <w:right w:val="single" w:sz="4" w:space="0" w:color="auto"/>
            </w:tcBorders>
            <w:hideMark/>
          </w:tcPr>
          <w:p w14:paraId="06580EAF" w14:textId="77777777" w:rsidR="00366005" w:rsidRPr="00183B5F" w:rsidRDefault="00943743" w:rsidP="004062FE">
            <w:pPr>
              <w:pStyle w:val="EMEANormal"/>
              <w:widowControl w:val="0"/>
              <w:suppressAutoHyphens w:val="0"/>
              <w:rPr>
                <w:lang w:val="hu-HU"/>
              </w:rPr>
            </w:pPr>
            <w:r w:rsidRPr="00183B5F">
              <w:rPr>
                <w:lang w:val="hu-HU"/>
              </w:rPr>
              <w:t>Izomspasmus (beleértve a kreatin</w:t>
            </w:r>
            <w:r w:rsidRPr="00183B5F">
              <w:rPr>
                <w:lang w:val="hu-HU"/>
              </w:rPr>
              <w:noBreakHyphen/>
              <w:t>foszfokináz</w:t>
            </w:r>
            <w:r w:rsidRPr="00183B5F">
              <w:rPr>
                <w:lang w:val="hu-HU"/>
              </w:rPr>
              <w:noBreakHyphen/>
              <w:t xml:space="preserve">szint emelkedését is a vérben) </w:t>
            </w:r>
          </w:p>
        </w:tc>
      </w:tr>
      <w:tr w:rsidR="00011D2F" w14:paraId="5931C458" w14:textId="77777777" w:rsidTr="00202B9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BA3CD2" w14:textId="77777777" w:rsidR="00366005" w:rsidRPr="00183B5F" w:rsidRDefault="00366005">
            <w:pPr>
              <w:suppressAutoHyphens w:val="0"/>
              <w:spacing w:line="240" w:lineRule="auto"/>
              <w:rPr>
                <w:szCs w:val="22"/>
                <w:lang w:eastAsia="en-US"/>
              </w:rPr>
            </w:pPr>
          </w:p>
        </w:tc>
        <w:tc>
          <w:tcPr>
            <w:tcW w:w="2030" w:type="dxa"/>
            <w:tcBorders>
              <w:top w:val="single" w:sz="4" w:space="0" w:color="auto"/>
              <w:left w:val="single" w:sz="4" w:space="0" w:color="auto"/>
              <w:bottom w:val="single" w:sz="4" w:space="0" w:color="auto"/>
              <w:right w:val="single" w:sz="4" w:space="0" w:color="auto"/>
            </w:tcBorders>
            <w:hideMark/>
          </w:tcPr>
          <w:p w14:paraId="39BBFE5C" w14:textId="77777777" w:rsidR="00366005" w:rsidRPr="00183B5F" w:rsidRDefault="00943743" w:rsidP="004062FE">
            <w:pPr>
              <w:pStyle w:val="EMEANormal"/>
              <w:widowControl w:val="0"/>
              <w:suppressAutoHyphens w:val="0"/>
              <w:rPr>
                <w:lang w:val="hu-HU"/>
              </w:rPr>
            </w:pPr>
            <w:r w:rsidRPr="00183B5F">
              <w:rPr>
                <w:lang w:val="hu-HU"/>
              </w:rPr>
              <w:t>Nem gyakori</w:t>
            </w:r>
          </w:p>
        </w:tc>
        <w:tc>
          <w:tcPr>
            <w:tcW w:w="4451" w:type="dxa"/>
            <w:tcBorders>
              <w:top w:val="single" w:sz="4" w:space="0" w:color="auto"/>
              <w:left w:val="single" w:sz="4" w:space="0" w:color="auto"/>
              <w:bottom w:val="single" w:sz="4" w:space="0" w:color="auto"/>
              <w:right w:val="single" w:sz="4" w:space="0" w:color="auto"/>
            </w:tcBorders>
            <w:hideMark/>
          </w:tcPr>
          <w:p w14:paraId="7C19E07E" w14:textId="77777777" w:rsidR="00C17B6B" w:rsidRPr="00183B5F" w:rsidRDefault="00943743" w:rsidP="004062FE">
            <w:pPr>
              <w:pStyle w:val="EMEANormal"/>
              <w:widowControl w:val="0"/>
              <w:suppressAutoHyphens w:val="0"/>
              <w:rPr>
                <w:lang w:val="hu-HU"/>
              </w:rPr>
            </w:pPr>
            <w:r w:rsidRPr="00183B5F">
              <w:rPr>
                <w:lang w:val="hu-HU"/>
              </w:rPr>
              <w:t xml:space="preserve">Rhabdomyolysis, </w:t>
            </w:r>
          </w:p>
          <w:p w14:paraId="07C63026" w14:textId="77777777" w:rsidR="00366005" w:rsidRPr="00183B5F" w:rsidRDefault="00943743" w:rsidP="004062FE">
            <w:pPr>
              <w:pStyle w:val="EMEANormal"/>
              <w:widowControl w:val="0"/>
              <w:suppressAutoHyphens w:val="0"/>
              <w:rPr>
                <w:lang w:val="hu-HU"/>
              </w:rPr>
            </w:pPr>
            <w:r w:rsidRPr="00183B5F">
              <w:rPr>
                <w:lang w:val="hu-HU"/>
              </w:rPr>
              <w:t>szisztémás lupus erythematosus</w:t>
            </w:r>
          </w:p>
        </w:tc>
      </w:tr>
      <w:tr w:rsidR="00011D2F" w14:paraId="31D54516" w14:textId="77777777" w:rsidTr="00202B9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465A0E" w14:textId="77777777" w:rsidR="00366005" w:rsidRPr="00183B5F" w:rsidRDefault="00366005">
            <w:pPr>
              <w:suppressAutoHyphens w:val="0"/>
              <w:spacing w:line="240" w:lineRule="auto"/>
              <w:rPr>
                <w:szCs w:val="22"/>
                <w:lang w:eastAsia="en-US"/>
              </w:rPr>
            </w:pPr>
          </w:p>
        </w:tc>
        <w:tc>
          <w:tcPr>
            <w:tcW w:w="2030" w:type="dxa"/>
            <w:tcBorders>
              <w:top w:val="nil"/>
              <w:left w:val="single" w:sz="4" w:space="0" w:color="auto"/>
              <w:bottom w:val="single" w:sz="4" w:space="0" w:color="auto"/>
              <w:right w:val="single" w:sz="4" w:space="0" w:color="auto"/>
            </w:tcBorders>
            <w:hideMark/>
          </w:tcPr>
          <w:p w14:paraId="56F9AF1D" w14:textId="77777777" w:rsidR="00366005" w:rsidRPr="00183B5F" w:rsidRDefault="00943743" w:rsidP="004062FE">
            <w:pPr>
              <w:pStyle w:val="EMEANormal"/>
              <w:widowControl w:val="0"/>
              <w:suppressAutoHyphens w:val="0"/>
              <w:rPr>
                <w:lang w:val="hu-HU"/>
              </w:rPr>
            </w:pPr>
            <w:r w:rsidRPr="00183B5F">
              <w:rPr>
                <w:lang w:val="hu-HU"/>
              </w:rPr>
              <w:t>Ritka</w:t>
            </w:r>
          </w:p>
        </w:tc>
        <w:tc>
          <w:tcPr>
            <w:tcW w:w="4451" w:type="dxa"/>
            <w:tcBorders>
              <w:top w:val="nil"/>
              <w:left w:val="single" w:sz="4" w:space="0" w:color="auto"/>
              <w:bottom w:val="single" w:sz="4" w:space="0" w:color="auto"/>
              <w:right w:val="single" w:sz="4" w:space="0" w:color="auto"/>
            </w:tcBorders>
            <w:hideMark/>
          </w:tcPr>
          <w:p w14:paraId="43BFD82E" w14:textId="77777777" w:rsidR="00366005" w:rsidRPr="00183B5F" w:rsidRDefault="00943743" w:rsidP="004062FE">
            <w:pPr>
              <w:pStyle w:val="EMEANormal"/>
              <w:widowControl w:val="0"/>
              <w:suppressAutoHyphens w:val="0"/>
              <w:rPr>
                <w:lang w:val="hu-HU"/>
              </w:rPr>
            </w:pPr>
            <w:r w:rsidRPr="00183B5F">
              <w:rPr>
                <w:lang w:val="hu-HU"/>
              </w:rPr>
              <w:t>Lupus-szerű szindróma</w:t>
            </w:r>
            <w:r w:rsidRPr="00183B5F">
              <w:rPr>
                <w:vertAlign w:val="superscript"/>
                <w:lang w:val="hu-HU"/>
              </w:rPr>
              <w:t>1)</w:t>
            </w:r>
          </w:p>
        </w:tc>
      </w:tr>
      <w:tr w:rsidR="00011D2F" w14:paraId="3EF569ED" w14:textId="77777777" w:rsidTr="00202B95">
        <w:trPr>
          <w:cantSplit/>
        </w:trPr>
        <w:tc>
          <w:tcPr>
            <w:tcW w:w="2580" w:type="dxa"/>
            <w:vMerge w:val="restart"/>
            <w:tcBorders>
              <w:top w:val="single" w:sz="4" w:space="0" w:color="auto"/>
              <w:left w:val="single" w:sz="4" w:space="0" w:color="auto"/>
              <w:bottom w:val="single" w:sz="4" w:space="0" w:color="auto"/>
              <w:right w:val="single" w:sz="4" w:space="0" w:color="auto"/>
            </w:tcBorders>
            <w:hideMark/>
          </w:tcPr>
          <w:p w14:paraId="5DC837CE" w14:textId="77777777" w:rsidR="00366005" w:rsidRPr="00183B5F" w:rsidRDefault="00943743" w:rsidP="004062FE">
            <w:pPr>
              <w:pStyle w:val="EMEANormal"/>
              <w:widowControl w:val="0"/>
              <w:suppressAutoHyphens w:val="0"/>
              <w:rPr>
                <w:szCs w:val="22"/>
                <w:lang w:val="hu-HU"/>
              </w:rPr>
            </w:pPr>
            <w:r w:rsidRPr="00183B5F">
              <w:rPr>
                <w:szCs w:val="22"/>
                <w:lang w:val="hu-HU"/>
              </w:rPr>
              <w:t>Vese- és húgyúti betegségek és tünetek</w:t>
            </w:r>
          </w:p>
        </w:tc>
        <w:tc>
          <w:tcPr>
            <w:tcW w:w="2030" w:type="dxa"/>
            <w:tcBorders>
              <w:top w:val="single" w:sz="4" w:space="0" w:color="auto"/>
              <w:left w:val="single" w:sz="4" w:space="0" w:color="auto"/>
              <w:bottom w:val="single" w:sz="4" w:space="0" w:color="auto"/>
              <w:right w:val="single" w:sz="4" w:space="0" w:color="auto"/>
            </w:tcBorders>
          </w:tcPr>
          <w:p w14:paraId="6511B95E" w14:textId="77777777" w:rsidR="00366005" w:rsidRPr="00183B5F" w:rsidRDefault="00943743" w:rsidP="004062FE">
            <w:pPr>
              <w:pStyle w:val="EMEANormal"/>
              <w:widowControl w:val="0"/>
              <w:suppressAutoHyphens w:val="0"/>
              <w:rPr>
                <w:lang w:val="hu-HU"/>
              </w:rPr>
            </w:pPr>
            <w:r w:rsidRPr="00183B5F">
              <w:rPr>
                <w:lang w:val="hu-HU"/>
              </w:rPr>
              <w:t>Gyakori</w:t>
            </w:r>
          </w:p>
          <w:p w14:paraId="74013BB0" w14:textId="77777777" w:rsidR="00366005" w:rsidRPr="00183B5F" w:rsidRDefault="00366005" w:rsidP="004062FE">
            <w:pPr>
              <w:pStyle w:val="EMEANormal"/>
              <w:widowControl w:val="0"/>
              <w:suppressAutoHyphens w:val="0"/>
              <w:rPr>
                <w:lang w:val="hu-HU"/>
              </w:rPr>
            </w:pPr>
          </w:p>
        </w:tc>
        <w:tc>
          <w:tcPr>
            <w:tcW w:w="4451" w:type="dxa"/>
            <w:tcBorders>
              <w:top w:val="single" w:sz="4" w:space="0" w:color="auto"/>
              <w:left w:val="single" w:sz="4" w:space="0" w:color="auto"/>
              <w:bottom w:val="single" w:sz="4" w:space="0" w:color="auto"/>
              <w:right w:val="single" w:sz="4" w:space="0" w:color="auto"/>
            </w:tcBorders>
            <w:hideMark/>
          </w:tcPr>
          <w:p w14:paraId="6E5BC865" w14:textId="77777777" w:rsidR="00366005" w:rsidRPr="00183B5F" w:rsidRDefault="00943743" w:rsidP="004062FE">
            <w:pPr>
              <w:pStyle w:val="EMEANormal"/>
              <w:widowControl w:val="0"/>
              <w:suppressAutoHyphens w:val="0"/>
              <w:rPr>
                <w:lang w:val="hu-HU"/>
              </w:rPr>
            </w:pPr>
            <w:r w:rsidRPr="00183B5F">
              <w:rPr>
                <w:lang w:val="hu-HU"/>
              </w:rPr>
              <w:t>Beszűkült vesefunkció,</w:t>
            </w:r>
          </w:p>
          <w:p w14:paraId="5223B577" w14:textId="77777777" w:rsidR="00366005" w:rsidRPr="00183B5F" w:rsidRDefault="00943743" w:rsidP="004062FE">
            <w:pPr>
              <w:pStyle w:val="EMEANormal"/>
              <w:widowControl w:val="0"/>
              <w:suppressAutoHyphens w:val="0"/>
              <w:rPr>
                <w:lang w:val="hu-HU"/>
              </w:rPr>
            </w:pPr>
            <w:r w:rsidRPr="00183B5F">
              <w:rPr>
                <w:lang w:val="hu-HU"/>
              </w:rPr>
              <w:t>haematuria</w:t>
            </w:r>
          </w:p>
        </w:tc>
      </w:tr>
      <w:tr w:rsidR="00011D2F" w14:paraId="62870F22" w14:textId="77777777" w:rsidTr="00202B9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ED7ED0" w14:textId="77777777" w:rsidR="00366005" w:rsidRPr="00183B5F" w:rsidRDefault="00366005">
            <w:pPr>
              <w:suppressAutoHyphens w:val="0"/>
              <w:spacing w:line="240" w:lineRule="auto"/>
              <w:rPr>
                <w:szCs w:val="22"/>
                <w:lang w:eastAsia="en-US"/>
              </w:rPr>
            </w:pPr>
          </w:p>
        </w:tc>
        <w:tc>
          <w:tcPr>
            <w:tcW w:w="2030" w:type="dxa"/>
            <w:tcBorders>
              <w:top w:val="single" w:sz="4" w:space="0" w:color="auto"/>
              <w:left w:val="single" w:sz="4" w:space="0" w:color="auto"/>
              <w:bottom w:val="single" w:sz="4" w:space="0" w:color="auto"/>
              <w:right w:val="single" w:sz="4" w:space="0" w:color="auto"/>
            </w:tcBorders>
            <w:hideMark/>
          </w:tcPr>
          <w:p w14:paraId="1D26E9FA" w14:textId="77777777" w:rsidR="00366005" w:rsidRPr="00183B5F" w:rsidRDefault="00943743" w:rsidP="004062FE">
            <w:pPr>
              <w:pStyle w:val="EMEANormal"/>
              <w:widowControl w:val="0"/>
              <w:suppressAutoHyphens w:val="0"/>
              <w:rPr>
                <w:lang w:val="hu-HU"/>
              </w:rPr>
            </w:pPr>
            <w:r w:rsidRPr="00183B5F">
              <w:rPr>
                <w:lang w:val="hu-HU"/>
              </w:rPr>
              <w:t>Nem gyakori</w:t>
            </w:r>
          </w:p>
        </w:tc>
        <w:tc>
          <w:tcPr>
            <w:tcW w:w="4451" w:type="dxa"/>
            <w:tcBorders>
              <w:top w:val="single" w:sz="4" w:space="0" w:color="auto"/>
              <w:left w:val="single" w:sz="4" w:space="0" w:color="auto"/>
              <w:bottom w:val="single" w:sz="4" w:space="0" w:color="auto"/>
              <w:right w:val="single" w:sz="4" w:space="0" w:color="auto"/>
            </w:tcBorders>
            <w:hideMark/>
          </w:tcPr>
          <w:p w14:paraId="78EACB52" w14:textId="77777777" w:rsidR="00366005" w:rsidRPr="00183B5F" w:rsidRDefault="00943743" w:rsidP="004062FE">
            <w:pPr>
              <w:pStyle w:val="EMEANormal"/>
              <w:widowControl w:val="0"/>
              <w:suppressAutoHyphens w:val="0"/>
              <w:rPr>
                <w:lang w:val="hu-HU"/>
              </w:rPr>
            </w:pPr>
            <w:r w:rsidRPr="00183B5F">
              <w:rPr>
                <w:lang w:val="hu-HU"/>
              </w:rPr>
              <w:t>Nocturia</w:t>
            </w:r>
          </w:p>
        </w:tc>
      </w:tr>
      <w:tr w:rsidR="00011D2F" w14:paraId="76C22486" w14:textId="77777777" w:rsidTr="00202B95">
        <w:trPr>
          <w:cantSplit/>
        </w:trPr>
        <w:tc>
          <w:tcPr>
            <w:tcW w:w="2580" w:type="dxa"/>
            <w:tcBorders>
              <w:top w:val="single" w:sz="4" w:space="0" w:color="auto"/>
              <w:left w:val="single" w:sz="4" w:space="0" w:color="auto"/>
              <w:bottom w:val="single" w:sz="4" w:space="0" w:color="auto"/>
              <w:right w:val="single" w:sz="4" w:space="0" w:color="auto"/>
            </w:tcBorders>
            <w:hideMark/>
          </w:tcPr>
          <w:p w14:paraId="725C7F6A" w14:textId="77777777" w:rsidR="00366005" w:rsidRPr="00183B5F" w:rsidRDefault="00943743" w:rsidP="004062FE">
            <w:pPr>
              <w:pStyle w:val="EMEANormal"/>
              <w:widowControl w:val="0"/>
              <w:suppressAutoHyphens w:val="0"/>
              <w:rPr>
                <w:szCs w:val="22"/>
                <w:lang w:val="hu-HU"/>
              </w:rPr>
            </w:pPr>
            <w:r w:rsidRPr="00183B5F">
              <w:rPr>
                <w:szCs w:val="22"/>
                <w:lang w:val="hu-HU"/>
              </w:rPr>
              <w:t>A nemi szervekkel és az emlőkkel kapcsolatos betegségek és tünetek</w:t>
            </w:r>
          </w:p>
        </w:tc>
        <w:tc>
          <w:tcPr>
            <w:tcW w:w="2030" w:type="dxa"/>
            <w:tcBorders>
              <w:top w:val="single" w:sz="4" w:space="0" w:color="auto"/>
              <w:left w:val="single" w:sz="4" w:space="0" w:color="auto"/>
              <w:bottom w:val="single" w:sz="4" w:space="0" w:color="auto"/>
              <w:right w:val="single" w:sz="4" w:space="0" w:color="auto"/>
            </w:tcBorders>
            <w:hideMark/>
          </w:tcPr>
          <w:p w14:paraId="6190ED35" w14:textId="77777777" w:rsidR="00366005" w:rsidRPr="00183B5F" w:rsidRDefault="00943743" w:rsidP="004062FE">
            <w:pPr>
              <w:pStyle w:val="EMEANormal"/>
              <w:widowControl w:val="0"/>
              <w:suppressAutoHyphens w:val="0"/>
              <w:rPr>
                <w:lang w:val="hu-HU"/>
              </w:rPr>
            </w:pPr>
            <w:r w:rsidRPr="00183B5F">
              <w:rPr>
                <w:lang w:val="hu-HU"/>
              </w:rPr>
              <w:t>Nem gyakori</w:t>
            </w:r>
          </w:p>
        </w:tc>
        <w:tc>
          <w:tcPr>
            <w:tcW w:w="4451" w:type="dxa"/>
            <w:tcBorders>
              <w:top w:val="single" w:sz="4" w:space="0" w:color="auto"/>
              <w:left w:val="single" w:sz="4" w:space="0" w:color="auto"/>
              <w:bottom w:val="single" w:sz="4" w:space="0" w:color="auto"/>
              <w:right w:val="single" w:sz="4" w:space="0" w:color="auto"/>
            </w:tcBorders>
            <w:hideMark/>
          </w:tcPr>
          <w:p w14:paraId="0FE8F315" w14:textId="77777777" w:rsidR="00366005" w:rsidRPr="00183B5F" w:rsidRDefault="00943743" w:rsidP="004062FE">
            <w:pPr>
              <w:pStyle w:val="EMEANormal"/>
              <w:widowControl w:val="0"/>
              <w:suppressAutoHyphens w:val="0"/>
              <w:rPr>
                <w:lang w:val="hu-HU"/>
              </w:rPr>
            </w:pPr>
            <w:r w:rsidRPr="00183B5F">
              <w:rPr>
                <w:lang w:val="hu-HU"/>
              </w:rPr>
              <w:t>Erectilis dysfunctio</w:t>
            </w:r>
          </w:p>
        </w:tc>
      </w:tr>
      <w:tr w:rsidR="00011D2F" w14:paraId="3EDF3DAF" w14:textId="77777777" w:rsidTr="00202B95">
        <w:tc>
          <w:tcPr>
            <w:tcW w:w="2580" w:type="dxa"/>
            <w:vMerge w:val="restart"/>
            <w:tcBorders>
              <w:top w:val="single" w:sz="4" w:space="0" w:color="auto"/>
              <w:left w:val="single" w:sz="4" w:space="0" w:color="auto"/>
              <w:bottom w:val="single" w:sz="4" w:space="0" w:color="auto"/>
              <w:right w:val="single" w:sz="4" w:space="0" w:color="auto"/>
            </w:tcBorders>
            <w:hideMark/>
          </w:tcPr>
          <w:p w14:paraId="110015DA" w14:textId="77777777" w:rsidR="00366005" w:rsidRPr="00183B5F" w:rsidRDefault="00943743" w:rsidP="004062FE">
            <w:pPr>
              <w:pStyle w:val="EMEANormal"/>
              <w:widowControl w:val="0"/>
              <w:suppressAutoHyphens w:val="0"/>
              <w:rPr>
                <w:szCs w:val="22"/>
                <w:lang w:val="hu-HU"/>
              </w:rPr>
            </w:pPr>
            <w:r w:rsidRPr="00183B5F">
              <w:rPr>
                <w:szCs w:val="22"/>
                <w:lang w:val="hu-HU"/>
              </w:rPr>
              <w:t>Általános tünetek, az alkalmazás helyén fellépő reakciók*</w:t>
            </w:r>
          </w:p>
        </w:tc>
        <w:tc>
          <w:tcPr>
            <w:tcW w:w="2030" w:type="dxa"/>
            <w:tcBorders>
              <w:top w:val="single" w:sz="4" w:space="0" w:color="auto"/>
              <w:left w:val="single" w:sz="4" w:space="0" w:color="auto"/>
              <w:bottom w:val="single" w:sz="4" w:space="0" w:color="auto"/>
              <w:right w:val="single" w:sz="4" w:space="0" w:color="auto"/>
            </w:tcBorders>
          </w:tcPr>
          <w:p w14:paraId="4B5318B2" w14:textId="77777777" w:rsidR="00366005" w:rsidRPr="00183B5F" w:rsidRDefault="00943743" w:rsidP="004062FE">
            <w:pPr>
              <w:pStyle w:val="EMEANormal"/>
              <w:widowControl w:val="0"/>
              <w:suppressAutoHyphens w:val="0"/>
              <w:rPr>
                <w:lang w:val="hu-HU"/>
              </w:rPr>
            </w:pPr>
            <w:r w:rsidRPr="00183B5F">
              <w:rPr>
                <w:lang w:val="hu-HU"/>
              </w:rPr>
              <w:t>Nagyon gyakori</w:t>
            </w:r>
          </w:p>
          <w:p w14:paraId="4DE74FF6" w14:textId="77777777" w:rsidR="00366005" w:rsidRPr="00183B5F" w:rsidRDefault="00366005" w:rsidP="004062FE">
            <w:pPr>
              <w:pStyle w:val="EMEANormal"/>
              <w:widowControl w:val="0"/>
              <w:suppressAutoHyphens w:val="0"/>
              <w:rPr>
                <w:lang w:val="hu-HU"/>
              </w:rPr>
            </w:pPr>
          </w:p>
        </w:tc>
        <w:tc>
          <w:tcPr>
            <w:tcW w:w="4451" w:type="dxa"/>
            <w:tcBorders>
              <w:top w:val="single" w:sz="4" w:space="0" w:color="auto"/>
              <w:left w:val="single" w:sz="4" w:space="0" w:color="auto"/>
              <w:bottom w:val="single" w:sz="4" w:space="0" w:color="auto"/>
              <w:right w:val="single" w:sz="4" w:space="0" w:color="auto"/>
            </w:tcBorders>
            <w:hideMark/>
          </w:tcPr>
          <w:p w14:paraId="3DF36E67" w14:textId="77777777" w:rsidR="00366005" w:rsidRPr="00183B5F" w:rsidRDefault="00943743">
            <w:pPr>
              <w:pStyle w:val="EMEANormal"/>
              <w:widowControl w:val="0"/>
              <w:suppressAutoHyphens w:val="0"/>
              <w:rPr>
                <w:lang w:val="hu-HU"/>
              </w:rPr>
            </w:pPr>
            <w:r w:rsidRPr="00183B5F">
              <w:rPr>
                <w:lang w:val="hu-HU"/>
              </w:rPr>
              <w:t>Az injekció beadási helyén jelentkező reakció (beleértve az injekció beadási helyén jelentkező reakciót erythemát is)</w:t>
            </w:r>
          </w:p>
        </w:tc>
      </w:tr>
      <w:tr w:rsidR="00011D2F" w14:paraId="63122666" w14:textId="77777777" w:rsidTr="00202B95">
        <w:tc>
          <w:tcPr>
            <w:tcW w:w="0" w:type="auto"/>
            <w:vMerge/>
            <w:tcBorders>
              <w:top w:val="single" w:sz="4" w:space="0" w:color="auto"/>
              <w:left w:val="single" w:sz="4" w:space="0" w:color="auto"/>
              <w:bottom w:val="single" w:sz="4" w:space="0" w:color="auto"/>
              <w:right w:val="single" w:sz="4" w:space="0" w:color="auto"/>
            </w:tcBorders>
            <w:vAlign w:val="center"/>
            <w:hideMark/>
          </w:tcPr>
          <w:p w14:paraId="154E3B5E" w14:textId="77777777" w:rsidR="00366005" w:rsidRPr="00183B5F" w:rsidRDefault="00366005">
            <w:pPr>
              <w:suppressAutoHyphens w:val="0"/>
              <w:spacing w:line="240" w:lineRule="auto"/>
              <w:rPr>
                <w:szCs w:val="22"/>
                <w:lang w:eastAsia="en-US"/>
              </w:rPr>
            </w:pPr>
          </w:p>
        </w:tc>
        <w:tc>
          <w:tcPr>
            <w:tcW w:w="2030" w:type="dxa"/>
            <w:tcBorders>
              <w:top w:val="single" w:sz="4" w:space="0" w:color="auto"/>
              <w:left w:val="single" w:sz="4" w:space="0" w:color="auto"/>
              <w:bottom w:val="single" w:sz="4" w:space="0" w:color="auto"/>
              <w:right w:val="single" w:sz="4" w:space="0" w:color="auto"/>
            </w:tcBorders>
          </w:tcPr>
          <w:p w14:paraId="754841FD" w14:textId="77777777" w:rsidR="00366005" w:rsidRPr="00183B5F" w:rsidRDefault="00943743" w:rsidP="004062FE">
            <w:pPr>
              <w:pStyle w:val="EMEANormal"/>
              <w:widowControl w:val="0"/>
              <w:suppressAutoHyphens w:val="0"/>
              <w:rPr>
                <w:lang w:val="hu-HU"/>
              </w:rPr>
            </w:pPr>
            <w:r w:rsidRPr="00183B5F">
              <w:rPr>
                <w:lang w:val="hu-HU"/>
              </w:rPr>
              <w:t>Gyakori</w:t>
            </w:r>
          </w:p>
          <w:p w14:paraId="701873A1" w14:textId="77777777" w:rsidR="00366005" w:rsidRPr="00183B5F" w:rsidRDefault="00366005" w:rsidP="004062FE">
            <w:pPr>
              <w:pStyle w:val="EMEANormal"/>
              <w:widowControl w:val="0"/>
              <w:suppressAutoHyphens w:val="0"/>
              <w:rPr>
                <w:lang w:val="hu-HU"/>
              </w:rPr>
            </w:pPr>
          </w:p>
        </w:tc>
        <w:tc>
          <w:tcPr>
            <w:tcW w:w="4451" w:type="dxa"/>
            <w:tcBorders>
              <w:top w:val="single" w:sz="4" w:space="0" w:color="auto"/>
              <w:left w:val="single" w:sz="4" w:space="0" w:color="auto"/>
              <w:bottom w:val="single" w:sz="4" w:space="0" w:color="auto"/>
              <w:right w:val="single" w:sz="4" w:space="0" w:color="auto"/>
            </w:tcBorders>
            <w:hideMark/>
          </w:tcPr>
          <w:p w14:paraId="7518D6E7" w14:textId="77777777" w:rsidR="00366005" w:rsidRPr="00183B5F" w:rsidRDefault="00943743" w:rsidP="004062FE">
            <w:pPr>
              <w:pStyle w:val="EMEANormal"/>
              <w:widowControl w:val="0"/>
              <w:suppressAutoHyphens w:val="0"/>
              <w:rPr>
                <w:lang w:val="hu-HU"/>
              </w:rPr>
            </w:pPr>
            <w:r w:rsidRPr="00183B5F">
              <w:rPr>
                <w:lang w:val="hu-HU"/>
              </w:rPr>
              <w:t xml:space="preserve">Mellkasi fájdalom, </w:t>
            </w:r>
          </w:p>
          <w:p w14:paraId="54F96004" w14:textId="77777777" w:rsidR="00366005" w:rsidRPr="00183B5F" w:rsidRDefault="00943743" w:rsidP="004062FE">
            <w:pPr>
              <w:pStyle w:val="EMEANormal"/>
              <w:widowControl w:val="0"/>
              <w:suppressAutoHyphens w:val="0"/>
              <w:rPr>
                <w:lang w:val="hu-HU"/>
              </w:rPr>
            </w:pPr>
            <w:r w:rsidRPr="00183B5F">
              <w:rPr>
                <w:lang w:val="hu-HU"/>
              </w:rPr>
              <w:t>oedema,</w:t>
            </w:r>
          </w:p>
          <w:p w14:paraId="7DE55C48" w14:textId="77777777" w:rsidR="00366005" w:rsidRPr="00183B5F" w:rsidRDefault="00943743" w:rsidP="004062FE">
            <w:pPr>
              <w:pStyle w:val="EMEANormal"/>
              <w:widowControl w:val="0"/>
              <w:suppressAutoHyphens w:val="0"/>
              <w:rPr>
                <w:lang w:val="hu-HU"/>
              </w:rPr>
            </w:pPr>
            <w:r w:rsidRPr="00183B5F">
              <w:rPr>
                <w:lang w:val="hu-HU"/>
              </w:rPr>
              <w:t>láz</w:t>
            </w:r>
            <w:r w:rsidRPr="00183B5F">
              <w:rPr>
                <w:vertAlign w:val="superscript"/>
                <w:lang w:val="hu-HU"/>
              </w:rPr>
              <w:t>1)</w:t>
            </w:r>
          </w:p>
        </w:tc>
      </w:tr>
      <w:tr w:rsidR="00011D2F" w14:paraId="7257229D" w14:textId="77777777" w:rsidTr="00202B95">
        <w:tc>
          <w:tcPr>
            <w:tcW w:w="0" w:type="auto"/>
            <w:vMerge/>
            <w:tcBorders>
              <w:top w:val="single" w:sz="4" w:space="0" w:color="auto"/>
              <w:left w:val="single" w:sz="4" w:space="0" w:color="auto"/>
              <w:bottom w:val="single" w:sz="4" w:space="0" w:color="auto"/>
              <w:right w:val="single" w:sz="4" w:space="0" w:color="auto"/>
            </w:tcBorders>
            <w:vAlign w:val="center"/>
            <w:hideMark/>
          </w:tcPr>
          <w:p w14:paraId="4A57F4CA" w14:textId="77777777" w:rsidR="00366005" w:rsidRPr="00183B5F" w:rsidRDefault="00366005">
            <w:pPr>
              <w:suppressAutoHyphens w:val="0"/>
              <w:spacing w:line="240" w:lineRule="auto"/>
              <w:rPr>
                <w:szCs w:val="22"/>
                <w:lang w:eastAsia="en-US"/>
              </w:rPr>
            </w:pPr>
          </w:p>
        </w:tc>
        <w:tc>
          <w:tcPr>
            <w:tcW w:w="2030" w:type="dxa"/>
            <w:tcBorders>
              <w:top w:val="single" w:sz="4" w:space="0" w:color="auto"/>
              <w:left w:val="single" w:sz="4" w:space="0" w:color="auto"/>
              <w:bottom w:val="single" w:sz="4" w:space="0" w:color="auto"/>
              <w:right w:val="single" w:sz="4" w:space="0" w:color="auto"/>
            </w:tcBorders>
            <w:hideMark/>
          </w:tcPr>
          <w:p w14:paraId="2B56CC24" w14:textId="77777777" w:rsidR="00366005" w:rsidRPr="00183B5F" w:rsidRDefault="00943743" w:rsidP="004062FE">
            <w:pPr>
              <w:pStyle w:val="EMEANormal"/>
              <w:widowControl w:val="0"/>
              <w:suppressAutoHyphens w:val="0"/>
              <w:rPr>
                <w:lang w:val="hu-HU"/>
              </w:rPr>
            </w:pPr>
            <w:r w:rsidRPr="00183B5F">
              <w:rPr>
                <w:lang w:val="hu-HU"/>
              </w:rPr>
              <w:t>Nem gyakori</w:t>
            </w:r>
          </w:p>
        </w:tc>
        <w:tc>
          <w:tcPr>
            <w:tcW w:w="4451" w:type="dxa"/>
            <w:tcBorders>
              <w:top w:val="single" w:sz="4" w:space="0" w:color="auto"/>
              <w:left w:val="single" w:sz="4" w:space="0" w:color="auto"/>
              <w:bottom w:val="single" w:sz="4" w:space="0" w:color="auto"/>
              <w:right w:val="single" w:sz="4" w:space="0" w:color="auto"/>
            </w:tcBorders>
            <w:hideMark/>
          </w:tcPr>
          <w:p w14:paraId="3BE243FD" w14:textId="77777777" w:rsidR="00366005" w:rsidRPr="00183B5F" w:rsidRDefault="00943743" w:rsidP="004062FE">
            <w:pPr>
              <w:pStyle w:val="EMEANormal"/>
              <w:widowControl w:val="0"/>
              <w:suppressAutoHyphens w:val="0"/>
              <w:rPr>
                <w:lang w:val="hu-HU"/>
              </w:rPr>
            </w:pPr>
            <w:r w:rsidRPr="00183B5F">
              <w:rPr>
                <w:lang w:val="hu-HU"/>
              </w:rPr>
              <w:t>Gyulladás</w:t>
            </w:r>
          </w:p>
        </w:tc>
      </w:tr>
      <w:tr w:rsidR="00011D2F" w14:paraId="03F44C96" w14:textId="77777777" w:rsidTr="00202B95">
        <w:tc>
          <w:tcPr>
            <w:tcW w:w="2580" w:type="dxa"/>
            <w:vMerge w:val="restart"/>
            <w:tcBorders>
              <w:top w:val="single" w:sz="4" w:space="0" w:color="auto"/>
              <w:left w:val="single" w:sz="4" w:space="0" w:color="auto"/>
              <w:right w:val="single" w:sz="4" w:space="0" w:color="auto"/>
            </w:tcBorders>
            <w:hideMark/>
          </w:tcPr>
          <w:p w14:paraId="13D7DBD8" w14:textId="77777777" w:rsidR="00796272" w:rsidRPr="00183B5F" w:rsidRDefault="00943743" w:rsidP="004062FE">
            <w:pPr>
              <w:pStyle w:val="EMEANormal"/>
              <w:widowControl w:val="0"/>
              <w:suppressAutoHyphens w:val="0"/>
              <w:rPr>
                <w:szCs w:val="22"/>
                <w:lang w:val="hu-HU"/>
              </w:rPr>
            </w:pPr>
            <w:r w:rsidRPr="00183B5F">
              <w:rPr>
                <w:szCs w:val="22"/>
                <w:lang w:val="hu-HU"/>
              </w:rPr>
              <w:t>Laboratóriumi és egyéb vizsgálatok eredményei*</w:t>
            </w:r>
          </w:p>
        </w:tc>
        <w:tc>
          <w:tcPr>
            <w:tcW w:w="2030" w:type="dxa"/>
            <w:tcBorders>
              <w:top w:val="single" w:sz="4" w:space="0" w:color="auto"/>
              <w:left w:val="single" w:sz="4" w:space="0" w:color="auto"/>
              <w:bottom w:val="single" w:sz="4" w:space="0" w:color="auto"/>
              <w:right w:val="single" w:sz="4" w:space="0" w:color="auto"/>
            </w:tcBorders>
            <w:hideMark/>
          </w:tcPr>
          <w:p w14:paraId="5B19BC38" w14:textId="77777777" w:rsidR="00796272" w:rsidRPr="00183B5F" w:rsidRDefault="00943743" w:rsidP="004062FE">
            <w:pPr>
              <w:pStyle w:val="EMEANormal"/>
              <w:widowControl w:val="0"/>
              <w:suppressAutoHyphens w:val="0"/>
              <w:rPr>
                <w:lang w:val="hu-HU"/>
              </w:rPr>
            </w:pPr>
            <w:r w:rsidRPr="00183B5F">
              <w:rPr>
                <w:lang w:val="hu-HU"/>
              </w:rPr>
              <w:t>Gyakori</w:t>
            </w:r>
          </w:p>
        </w:tc>
        <w:tc>
          <w:tcPr>
            <w:tcW w:w="4451" w:type="dxa"/>
            <w:tcBorders>
              <w:top w:val="single" w:sz="4" w:space="0" w:color="auto"/>
              <w:left w:val="single" w:sz="4" w:space="0" w:color="auto"/>
              <w:bottom w:val="single" w:sz="4" w:space="0" w:color="auto"/>
              <w:right w:val="single" w:sz="4" w:space="0" w:color="auto"/>
            </w:tcBorders>
            <w:hideMark/>
          </w:tcPr>
          <w:p w14:paraId="05568684" w14:textId="77777777" w:rsidR="00796272" w:rsidRPr="00183B5F" w:rsidRDefault="00943743" w:rsidP="004062FE">
            <w:pPr>
              <w:pStyle w:val="EMEANormal"/>
              <w:widowControl w:val="0"/>
              <w:suppressAutoHyphens w:val="0"/>
              <w:rPr>
                <w:lang w:val="hu-HU"/>
              </w:rPr>
            </w:pPr>
            <w:r w:rsidRPr="00183B5F">
              <w:rPr>
                <w:lang w:val="hu-HU"/>
              </w:rPr>
              <w:t xml:space="preserve">Véralvadási zavar vagy vérzékenység (beleértve az aktivált parciális thromboplastin-idő megnyúlását is), </w:t>
            </w:r>
          </w:p>
          <w:p w14:paraId="63732515" w14:textId="77777777" w:rsidR="00796272" w:rsidRPr="00183B5F" w:rsidRDefault="00943743" w:rsidP="004062FE">
            <w:pPr>
              <w:pStyle w:val="EMEANormal"/>
              <w:widowControl w:val="0"/>
              <w:suppressAutoHyphens w:val="0"/>
              <w:rPr>
                <w:lang w:val="hu-HU"/>
              </w:rPr>
            </w:pPr>
            <w:r w:rsidRPr="00183B5F">
              <w:rPr>
                <w:lang w:val="hu-HU"/>
              </w:rPr>
              <w:t xml:space="preserve">az autoantitest-vizsgálat pozitívvá válása (beleértve a kettős szálú DNS-ellenes antitestet is), </w:t>
            </w:r>
          </w:p>
          <w:p w14:paraId="53627A22" w14:textId="77777777" w:rsidR="00796272" w:rsidRPr="00183B5F" w:rsidRDefault="00943743" w:rsidP="004062FE">
            <w:pPr>
              <w:pStyle w:val="EMEANormal"/>
              <w:widowControl w:val="0"/>
              <w:suppressAutoHyphens w:val="0"/>
              <w:rPr>
                <w:lang w:val="hu-HU"/>
              </w:rPr>
            </w:pPr>
            <w:r w:rsidRPr="00183B5F">
              <w:rPr>
                <w:lang w:val="hu-HU"/>
              </w:rPr>
              <w:t>a vér laktát</w:t>
            </w:r>
            <w:r w:rsidRPr="00183B5F">
              <w:rPr>
                <w:lang w:val="hu-HU"/>
              </w:rPr>
              <w:noBreakHyphen/>
              <w:t xml:space="preserve">dehidrogenáz-szintjének emelkedése </w:t>
            </w:r>
          </w:p>
        </w:tc>
      </w:tr>
      <w:tr w:rsidR="00011D2F" w14:paraId="3F2DEB08" w14:textId="77777777" w:rsidTr="00796272">
        <w:tc>
          <w:tcPr>
            <w:tcW w:w="2580" w:type="dxa"/>
            <w:vMerge/>
            <w:tcBorders>
              <w:left w:val="single" w:sz="4" w:space="0" w:color="auto"/>
              <w:bottom w:val="single" w:sz="4" w:space="0" w:color="auto"/>
              <w:right w:val="single" w:sz="4" w:space="0" w:color="auto"/>
            </w:tcBorders>
          </w:tcPr>
          <w:p w14:paraId="4E2ACEFD" w14:textId="77777777" w:rsidR="00796272" w:rsidRPr="00183B5F" w:rsidRDefault="00796272" w:rsidP="004062FE">
            <w:pPr>
              <w:pStyle w:val="EMEANormal"/>
              <w:widowControl w:val="0"/>
              <w:suppressAutoHyphens w:val="0"/>
              <w:rPr>
                <w:szCs w:val="22"/>
                <w:lang w:val="hu-HU"/>
              </w:rPr>
            </w:pPr>
          </w:p>
        </w:tc>
        <w:tc>
          <w:tcPr>
            <w:tcW w:w="2030" w:type="dxa"/>
            <w:tcBorders>
              <w:top w:val="single" w:sz="4" w:space="0" w:color="auto"/>
              <w:left w:val="single" w:sz="4" w:space="0" w:color="auto"/>
              <w:bottom w:val="single" w:sz="4" w:space="0" w:color="auto"/>
              <w:right w:val="single" w:sz="4" w:space="0" w:color="auto"/>
            </w:tcBorders>
          </w:tcPr>
          <w:p w14:paraId="5B539819" w14:textId="77777777" w:rsidR="00796272" w:rsidRPr="00183B5F" w:rsidRDefault="00943743" w:rsidP="004062FE">
            <w:pPr>
              <w:pStyle w:val="EMEANormal"/>
              <w:widowControl w:val="0"/>
              <w:suppressAutoHyphens w:val="0"/>
              <w:rPr>
                <w:lang w:val="hu-HU"/>
              </w:rPr>
            </w:pPr>
            <w:r w:rsidRPr="00183B5F">
              <w:rPr>
                <w:lang w:val="hu-HU"/>
              </w:rPr>
              <w:t>Nem ismert</w:t>
            </w:r>
          </w:p>
        </w:tc>
        <w:tc>
          <w:tcPr>
            <w:tcW w:w="4451" w:type="dxa"/>
            <w:tcBorders>
              <w:top w:val="single" w:sz="4" w:space="0" w:color="auto"/>
              <w:left w:val="single" w:sz="4" w:space="0" w:color="auto"/>
              <w:bottom w:val="single" w:sz="4" w:space="0" w:color="auto"/>
              <w:right w:val="single" w:sz="4" w:space="0" w:color="auto"/>
            </w:tcBorders>
          </w:tcPr>
          <w:p w14:paraId="30FEEF45" w14:textId="77777777" w:rsidR="00796272" w:rsidRPr="00183B5F" w:rsidRDefault="00943743" w:rsidP="004062FE">
            <w:pPr>
              <w:pStyle w:val="EMEANormal"/>
              <w:widowControl w:val="0"/>
              <w:suppressAutoHyphens w:val="0"/>
              <w:rPr>
                <w:lang w:val="hu-HU"/>
              </w:rPr>
            </w:pPr>
            <w:r w:rsidRPr="00183B5F">
              <w:rPr>
                <w:lang w:val="hu-HU"/>
              </w:rPr>
              <w:t>Testtömeg növekedése</w:t>
            </w:r>
            <w:r w:rsidRPr="00FD6A32">
              <w:rPr>
                <w:vertAlign w:val="superscript"/>
                <w:lang w:val="hu-HU"/>
              </w:rPr>
              <w:t>2</w:t>
            </w:r>
            <w:r w:rsidRPr="00183B5F">
              <w:rPr>
                <w:vertAlign w:val="superscript"/>
                <w:lang w:val="hu-HU"/>
              </w:rPr>
              <w:t>)</w:t>
            </w:r>
          </w:p>
        </w:tc>
      </w:tr>
      <w:tr w:rsidR="00011D2F" w14:paraId="50E08899" w14:textId="77777777" w:rsidTr="00202B95">
        <w:tc>
          <w:tcPr>
            <w:tcW w:w="2580" w:type="dxa"/>
            <w:tcBorders>
              <w:top w:val="single" w:sz="4" w:space="0" w:color="auto"/>
              <w:left w:val="single" w:sz="4" w:space="0" w:color="auto"/>
              <w:bottom w:val="single" w:sz="4" w:space="0" w:color="auto"/>
              <w:right w:val="single" w:sz="4" w:space="0" w:color="auto"/>
            </w:tcBorders>
            <w:hideMark/>
          </w:tcPr>
          <w:p w14:paraId="5F9E57E3" w14:textId="77777777" w:rsidR="00366005" w:rsidRPr="00183B5F" w:rsidRDefault="00943743" w:rsidP="004062FE">
            <w:pPr>
              <w:pStyle w:val="EMEANormal"/>
              <w:keepNext/>
              <w:widowControl w:val="0"/>
              <w:suppressAutoHyphens w:val="0"/>
              <w:rPr>
                <w:szCs w:val="22"/>
                <w:lang w:val="hu-HU"/>
              </w:rPr>
            </w:pPr>
            <w:r w:rsidRPr="00183B5F">
              <w:rPr>
                <w:szCs w:val="22"/>
                <w:lang w:val="hu-HU"/>
              </w:rPr>
              <w:t>Sérülés, mérgezés és a beavatkozással kapcsolatos szövődmények</w:t>
            </w:r>
          </w:p>
        </w:tc>
        <w:tc>
          <w:tcPr>
            <w:tcW w:w="2030" w:type="dxa"/>
            <w:tcBorders>
              <w:top w:val="single" w:sz="4" w:space="0" w:color="auto"/>
              <w:left w:val="single" w:sz="4" w:space="0" w:color="auto"/>
              <w:bottom w:val="single" w:sz="4" w:space="0" w:color="auto"/>
              <w:right w:val="single" w:sz="4" w:space="0" w:color="auto"/>
            </w:tcBorders>
            <w:hideMark/>
          </w:tcPr>
          <w:p w14:paraId="589E9254" w14:textId="77777777" w:rsidR="00366005" w:rsidRPr="00183B5F" w:rsidRDefault="00943743" w:rsidP="004062FE">
            <w:pPr>
              <w:pStyle w:val="EMEANormal"/>
              <w:keepNext/>
              <w:widowControl w:val="0"/>
              <w:suppressAutoHyphens w:val="0"/>
              <w:rPr>
                <w:lang w:val="hu-HU"/>
              </w:rPr>
            </w:pPr>
            <w:r w:rsidRPr="00183B5F">
              <w:rPr>
                <w:lang w:val="hu-HU"/>
              </w:rPr>
              <w:t>Gyakori</w:t>
            </w:r>
          </w:p>
        </w:tc>
        <w:tc>
          <w:tcPr>
            <w:tcW w:w="4451" w:type="dxa"/>
            <w:tcBorders>
              <w:top w:val="single" w:sz="4" w:space="0" w:color="auto"/>
              <w:left w:val="single" w:sz="4" w:space="0" w:color="auto"/>
              <w:bottom w:val="single" w:sz="4" w:space="0" w:color="auto"/>
              <w:right w:val="single" w:sz="4" w:space="0" w:color="auto"/>
            </w:tcBorders>
            <w:hideMark/>
          </w:tcPr>
          <w:p w14:paraId="56608BD0" w14:textId="77777777" w:rsidR="00366005" w:rsidRPr="00183B5F" w:rsidRDefault="00943743" w:rsidP="004062FE">
            <w:pPr>
              <w:pStyle w:val="EMEANormal"/>
              <w:keepNext/>
              <w:widowControl w:val="0"/>
              <w:suppressAutoHyphens w:val="0"/>
              <w:rPr>
                <w:lang w:val="hu-HU"/>
              </w:rPr>
            </w:pPr>
            <w:r w:rsidRPr="00183B5F">
              <w:rPr>
                <w:lang w:val="hu-HU"/>
              </w:rPr>
              <w:t>Sebgyógyulási zavar</w:t>
            </w:r>
          </w:p>
        </w:tc>
      </w:tr>
    </w:tbl>
    <w:p w14:paraId="50E52DD9" w14:textId="77777777" w:rsidR="00366005" w:rsidRPr="00183B5F" w:rsidRDefault="00943743">
      <w:pPr>
        <w:keepNext/>
        <w:suppressAutoHyphens w:val="0"/>
        <w:spacing w:line="240" w:lineRule="auto"/>
        <w:rPr>
          <w:szCs w:val="22"/>
        </w:rPr>
      </w:pPr>
      <w:r w:rsidRPr="00183B5F">
        <w:rPr>
          <w:szCs w:val="22"/>
        </w:rPr>
        <w:t>* a 4.3, 4.4 és 4.8 pontban további információ található.</w:t>
      </w:r>
    </w:p>
    <w:p w14:paraId="031CB6A0" w14:textId="77777777" w:rsidR="00366005" w:rsidRPr="00183B5F" w:rsidRDefault="00943743" w:rsidP="004062FE">
      <w:pPr>
        <w:pStyle w:val="EMEAHeadingUnderline"/>
        <w:keepNext/>
        <w:suppressAutoHyphens w:val="0"/>
        <w:spacing w:beforeLines="0" w:afterLines="0"/>
        <w:rPr>
          <w:szCs w:val="22"/>
          <w:u w:val="none"/>
          <w:lang w:val="hu-HU"/>
        </w:rPr>
      </w:pPr>
      <w:r w:rsidRPr="00183B5F">
        <w:rPr>
          <w:szCs w:val="22"/>
          <w:u w:val="none"/>
          <w:lang w:val="hu-HU"/>
        </w:rPr>
        <w:t>** a nyílt, kiterjesztett vizsgálatokat is beleértve.</w:t>
      </w:r>
    </w:p>
    <w:p w14:paraId="7F96D4F7" w14:textId="77777777" w:rsidR="00366005" w:rsidRPr="00183B5F" w:rsidRDefault="00943743">
      <w:pPr>
        <w:pStyle w:val="EMEANormal"/>
        <w:keepNext/>
        <w:suppressAutoHyphens w:val="0"/>
        <w:rPr>
          <w:szCs w:val="22"/>
          <w:lang w:val="hu-HU"/>
        </w:rPr>
      </w:pPr>
      <w:r w:rsidRPr="00183B5F">
        <w:rPr>
          <w:szCs w:val="22"/>
          <w:vertAlign w:val="superscript"/>
          <w:lang w:val="hu-HU"/>
        </w:rPr>
        <w:t xml:space="preserve">1) </w:t>
      </w:r>
      <w:r w:rsidRPr="00183B5F">
        <w:rPr>
          <w:szCs w:val="22"/>
          <w:lang w:val="hu-HU"/>
        </w:rPr>
        <w:t xml:space="preserve">a spontán </w:t>
      </w:r>
      <w:r w:rsidR="00FD3AF2" w:rsidRPr="00183B5F">
        <w:rPr>
          <w:szCs w:val="22"/>
          <w:lang w:val="hu-HU"/>
        </w:rPr>
        <w:t xml:space="preserve">jelentéseket </w:t>
      </w:r>
      <w:r w:rsidRPr="00183B5F">
        <w:rPr>
          <w:szCs w:val="22"/>
          <w:lang w:val="hu-HU"/>
        </w:rPr>
        <w:t>is beleértve.</w:t>
      </w:r>
    </w:p>
    <w:p w14:paraId="5874F474" w14:textId="77777777" w:rsidR="00366005" w:rsidRPr="00183B5F" w:rsidRDefault="00943743">
      <w:pPr>
        <w:spacing w:line="240" w:lineRule="auto"/>
      </w:pPr>
      <w:r w:rsidRPr="00FD6A32">
        <w:rPr>
          <w:vertAlign w:val="superscript"/>
        </w:rPr>
        <w:t>2)</w:t>
      </w:r>
      <w:r w:rsidRPr="00183B5F">
        <w:t xml:space="preserve"> 4–6 hónapos kezelési időszak alatt a kiindulási értékhez képest a testtömeg átlagos változása az adalimumab esetében +0,3 kg és +1,0 kg között volt a felnőtt indikációkban, míg a placebo esetében ugyanez –0,4 kg és +0,4 kg között volt. Vizsgálatok hosszú távú kiterjesztési szakaszában 5-6 kg-os testtömegnövekedést is megfigyeltek átlagosan kb. 1-2 év expozíció során, kontrollcsoport nélkül, különösen a Crohn</w:t>
      </w:r>
      <w:r w:rsidR="008F5634" w:rsidRPr="00183B5F">
        <w:t>-</w:t>
      </w:r>
      <w:r w:rsidRPr="00183B5F">
        <w:t>betegségben és a colitis ulcerosában szenvedő betegek esetében. Ennek a hatásnak a mechanizmusa nem</w:t>
      </w:r>
      <w:r w:rsidRPr="00183B5F">
        <w:t xml:space="preserve"> tisztázott, de összefügghet az adalimumab gyulladáscsökkentő hatásával.</w:t>
      </w:r>
    </w:p>
    <w:p w14:paraId="19D2E620" w14:textId="77777777" w:rsidR="00796272" w:rsidRPr="00183B5F" w:rsidRDefault="00796272">
      <w:pPr>
        <w:spacing w:line="240" w:lineRule="auto"/>
        <w:rPr>
          <w:szCs w:val="22"/>
          <w:u w:val="single"/>
        </w:rPr>
      </w:pPr>
    </w:p>
    <w:p w14:paraId="4AD32740" w14:textId="77777777" w:rsidR="00366005" w:rsidRPr="00183B5F" w:rsidRDefault="00943743">
      <w:pPr>
        <w:keepNext/>
        <w:spacing w:line="240" w:lineRule="auto"/>
        <w:rPr>
          <w:szCs w:val="22"/>
          <w:u w:val="single"/>
        </w:rPr>
      </w:pPr>
      <w:r w:rsidRPr="00183B5F">
        <w:rPr>
          <w:szCs w:val="22"/>
          <w:u w:val="single"/>
        </w:rPr>
        <w:t>Uveitis</w:t>
      </w:r>
    </w:p>
    <w:p w14:paraId="2195A2FC" w14:textId="77777777" w:rsidR="00366005" w:rsidRPr="00183B5F" w:rsidRDefault="00366005">
      <w:pPr>
        <w:keepNext/>
        <w:spacing w:line="240" w:lineRule="auto"/>
        <w:rPr>
          <w:szCs w:val="22"/>
          <w:u w:val="single"/>
        </w:rPr>
      </w:pPr>
    </w:p>
    <w:p w14:paraId="049A6422" w14:textId="77777777" w:rsidR="00366005" w:rsidRPr="00183B5F" w:rsidRDefault="00943743">
      <w:pPr>
        <w:keepNext/>
        <w:spacing w:line="240" w:lineRule="auto"/>
        <w:rPr>
          <w:szCs w:val="22"/>
        </w:rPr>
      </w:pPr>
      <w:r w:rsidRPr="00183B5F">
        <w:rPr>
          <w:szCs w:val="22"/>
        </w:rPr>
        <w:t>A biztonságossági profil a minden második héten Humira</w:t>
      </w:r>
      <w:r w:rsidRPr="00183B5F">
        <w:rPr>
          <w:szCs w:val="22"/>
        </w:rPr>
        <w:noBreakHyphen/>
        <w:t>val kezelt, uveitisben szenvedő betegek esetén megegyezett a Humira ismert biztonságossági profiljával.</w:t>
      </w:r>
    </w:p>
    <w:p w14:paraId="320023E0" w14:textId="77777777" w:rsidR="00366005" w:rsidRPr="00183B5F" w:rsidRDefault="00366005">
      <w:pPr>
        <w:spacing w:line="240" w:lineRule="auto"/>
        <w:rPr>
          <w:szCs w:val="22"/>
          <w:u w:val="single"/>
        </w:rPr>
      </w:pPr>
    </w:p>
    <w:p w14:paraId="4A6D12B4" w14:textId="77777777" w:rsidR="00366005" w:rsidRPr="00183B5F" w:rsidRDefault="00943743">
      <w:pPr>
        <w:pStyle w:val="EMEANormal"/>
        <w:keepNext/>
        <w:suppressAutoHyphens w:val="0"/>
        <w:rPr>
          <w:szCs w:val="22"/>
          <w:u w:val="single"/>
          <w:lang w:val="hu-HU"/>
        </w:rPr>
      </w:pPr>
      <w:r w:rsidRPr="00183B5F">
        <w:rPr>
          <w:szCs w:val="22"/>
          <w:u w:val="single"/>
          <w:lang w:val="hu-HU"/>
        </w:rPr>
        <w:t>Kiválasztott mellékhatások leírása</w:t>
      </w:r>
    </w:p>
    <w:p w14:paraId="5573646C" w14:textId="77777777" w:rsidR="00366005" w:rsidRPr="00183B5F" w:rsidRDefault="00366005">
      <w:pPr>
        <w:keepNext/>
        <w:spacing w:line="240" w:lineRule="auto"/>
        <w:rPr>
          <w:szCs w:val="22"/>
          <w:u w:val="single"/>
        </w:rPr>
      </w:pPr>
    </w:p>
    <w:p w14:paraId="46E065B1" w14:textId="77777777" w:rsidR="00366005" w:rsidRPr="00183B5F" w:rsidRDefault="00943743">
      <w:pPr>
        <w:spacing w:line="240" w:lineRule="auto"/>
        <w:rPr>
          <w:i/>
          <w:szCs w:val="22"/>
        </w:rPr>
      </w:pPr>
      <w:r w:rsidRPr="00183B5F">
        <w:rPr>
          <w:i/>
          <w:szCs w:val="22"/>
        </w:rPr>
        <w:t>Az injekció helyén fellépő reakció</w:t>
      </w:r>
    </w:p>
    <w:p w14:paraId="29AA04B4" w14:textId="77777777" w:rsidR="00366005" w:rsidRPr="00183B5F" w:rsidRDefault="00366005">
      <w:pPr>
        <w:spacing w:line="240" w:lineRule="auto"/>
        <w:rPr>
          <w:b/>
          <w:i/>
          <w:szCs w:val="22"/>
        </w:rPr>
      </w:pPr>
    </w:p>
    <w:p w14:paraId="7A833937" w14:textId="77777777" w:rsidR="00366005" w:rsidRPr="00183B5F" w:rsidRDefault="00943743">
      <w:pPr>
        <w:spacing w:line="240" w:lineRule="auto"/>
        <w:rPr>
          <w:szCs w:val="22"/>
        </w:rPr>
      </w:pPr>
      <w:r w:rsidRPr="00183B5F">
        <w:rPr>
          <w:szCs w:val="22"/>
        </w:rPr>
        <w:t>A felnőttek és gyermekek bevonásával végzett pivotális, kontrollos vizsgálatokban, a Humira</w:t>
      </w:r>
      <w:r w:rsidRPr="00183B5F">
        <w:rPr>
          <w:szCs w:val="22"/>
        </w:rPr>
        <w:noBreakHyphen/>
        <w:t>val kezelt betegek 12,9%</w:t>
      </w:r>
      <w:r w:rsidRPr="00183B5F">
        <w:rPr>
          <w:szCs w:val="22"/>
        </w:rPr>
        <w:noBreakHyphen/>
        <w:t>ánál alakult ki lokális reakció az injekció helyén (bőrpír és/vagy viszketés, vérzés, fájdalom vagy duzzadás), míg a placebo</w:t>
      </w:r>
      <w:r w:rsidR="00752566" w:rsidRPr="00183B5F">
        <w:rPr>
          <w:szCs w:val="22"/>
        </w:rPr>
        <w:t>-</w:t>
      </w:r>
      <w:r w:rsidRPr="00183B5F">
        <w:rPr>
          <w:szCs w:val="22"/>
        </w:rPr>
        <w:t xml:space="preserve"> vagy aktív kontroll</w:t>
      </w:r>
      <w:r w:rsidR="001D2134" w:rsidRPr="00183B5F">
        <w:rPr>
          <w:szCs w:val="22"/>
        </w:rPr>
        <w:t>-</w:t>
      </w:r>
      <w:r w:rsidRPr="00183B5F">
        <w:rPr>
          <w:szCs w:val="22"/>
        </w:rPr>
        <w:t>csoportban a betegek 7,2%</w:t>
      </w:r>
      <w:r w:rsidRPr="00183B5F">
        <w:rPr>
          <w:szCs w:val="22"/>
        </w:rPr>
        <w:noBreakHyphen/>
        <w:t>ánál. A helyi reakciók általában nem tették szükségessé a kezelés felfüggesztését.</w:t>
      </w:r>
    </w:p>
    <w:p w14:paraId="1736EC4B" w14:textId="77777777" w:rsidR="00366005" w:rsidRPr="00183B5F" w:rsidRDefault="00366005">
      <w:pPr>
        <w:spacing w:line="240" w:lineRule="auto"/>
        <w:ind w:left="567" w:hanging="567"/>
        <w:rPr>
          <w:szCs w:val="22"/>
        </w:rPr>
      </w:pPr>
    </w:p>
    <w:p w14:paraId="3113AFB8" w14:textId="77777777" w:rsidR="00366005" w:rsidRPr="00183B5F" w:rsidRDefault="00943743">
      <w:pPr>
        <w:keepNext/>
        <w:spacing w:line="240" w:lineRule="auto"/>
        <w:rPr>
          <w:i/>
          <w:szCs w:val="22"/>
        </w:rPr>
      </w:pPr>
      <w:r w:rsidRPr="00183B5F">
        <w:rPr>
          <w:i/>
          <w:szCs w:val="22"/>
        </w:rPr>
        <w:t>Fertőzések</w:t>
      </w:r>
    </w:p>
    <w:p w14:paraId="5B4901B4" w14:textId="77777777" w:rsidR="00366005" w:rsidRPr="00183B5F" w:rsidRDefault="00366005">
      <w:pPr>
        <w:keepNext/>
        <w:spacing w:line="240" w:lineRule="auto"/>
        <w:ind w:left="567" w:hanging="567"/>
        <w:rPr>
          <w:szCs w:val="22"/>
        </w:rPr>
      </w:pPr>
    </w:p>
    <w:p w14:paraId="1AD34AC2" w14:textId="77777777" w:rsidR="00366005" w:rsidRPr="00183B5F" w:rsidRDefault="00943743">
      <w:pPr>
        <w:keepNext/>
        <w:spacing w:line="240" w:lineRule="auto"/>
        <w:rPr>
          <w:szCs w:val="22"/>
        </w:rPr>
      </w:pPr>
      <w:r w:rsidRPr="00183B5F">
        <w:rPr>
          <w:szCs w:val="22"/>
        </w:rPr>
        <w:t>A felnőttek és gyermekek bevonásával végzett pivotális, kontrollos vizsgálatokban a fertőzések arányszáma a Humira</w:t>
      </w:r>
      <w:r w:rsidRPr="00183B5F">
        <w:rPr>
          <w:szCs w:val="22"/>
        </w:rPr>
        <w:noBreakHyphen/>
        <w:t>val kezelt csoportban betegévenként 1,51 volt, míg betegévenként 1,46 volt a placeb</w:t>
      </w:r>
      <w:r w:rsidR="001D2134" w:rsidRPr="00183B5F">
        <w:rPr>
          <w:szCs w:val="22"/>
        </w:rPr>
        <w:t>óval</w:t>
      </w:r>
      <w:r w:rsidRPr="00183B5F">
        <w:rPr>
          <w:szCs w:val="22"/>
        </w:rPr>
        <w:t xml:space="preserve"> és az aktív kontroll</w:t>
      </w:r>
      <w:r w:rsidRPr="00183B5F">
        <w:rPr>
          <w:szCs w:val="22"/>
        </w:rPr>
        <w:noBreakHyphen/>
        <w:t>készítménnyel kezelt betegek csoportjában. A fertőzések döntő többsége nasopharyngitis, felső légúti</w:t>
      </w:r>
      <w:r w:rsidR="001D2134" w:rsidRPr="00183B5F">
        <w:rPr>
          <w:szCs w:val="22"/>
        </w:rPr>
        <w:t xml:space="preserve"> fertőzés</w:t>
      </w:r>
      <w:r w:rsidRPr="00183B5F">
        <w:rPr>
          <w:szCs w:val="22"/>
        </w:rPr>
        <w:t xml:space="preserve"> és sinusitis volt. A Humira</w:t>
      </w:r>
      <w:r w:rsidRPr="00183B5F">
        <w:rPr>
          <w:szCs w:val="22"/>
        </w:rPr>
        <w:noBreakHyphen/>
        <w:t>kezelést a fertőzés megszűnését követően a betegek nagy részénél folytatni lehetett.</w:t>
      </w:r>
    </w:p>
    <w:p w14:paraId="36E7AB53" w14:textId="77777777" w:rsidR="00366005" w:rsidRPr="00183B5F" w:rsidRDefault="00366005">
      <w:pPr>
        <w:spacing w:line="240" w:lineRule="auto"/>
        <w:rPr>
          <w:szCs w:val="22"/>
        </w:rPr>
      </w:pPr>
    </w:p>
    <w:p w14:paraId="70A4677D" w14:textId="77777777" w:rsidR="00366005" w:rsidRPr="00183B5F" w:rsidRDefault="00943743">
      <w:pPr>
        <w:spacing w:line="240" w:lineRule="auto"/>
        <w:rPr>
          <w:szCs w:val="22"/>
        </w:rPr>
      </w:pPr>
      <w:r w:rsidRPr="00183B5F">
        <w:rPr>
          <w:szCs w:val="22"/>
        </w:rPr>
        <w:t>A súlyos fertőzések incidenciája 0,04 volt betegévenként a Humira</w:t>
      </w:r>
      <w:r w:rsidRPr="00183B5F">
        <w:rPr>
          <w:szCs w:val="22"/>
        </w:rPr>
        <w:noBreakHyphen/>
      </w:r>
      <w:r w:rsidR="00FD3AF2" w:rsidRPr="00183B5F">
        <w:rPr>
          <w:szCs w:val="22"/>
        </w:rPr>
        <w:t>val</w:t>
      </w:r>
      <w:r w:rsidRPr="00183B5F">
        <w:rPr>
          <w:szCs w:val="22"/>
        </w:rPr>
        <w:t xml:space="preserve"> </w:t>
      </w:r>
      <w:r w:rsidR="00FD3AF2" w:rsidRPr="00183B5F">
        <w:rPr>
          <w:szCs w:val="22"/>
        </w:rPr>
        <w:t>kezeltek</w:t>
      </w:r>
      <w:r w:rsidRPr="00183B5F">
        <w:rPr>
          <w:szCs w:val="22"/>
        </w:rPr>
        <w:t xml:space="preserve"> csoportjában, míg 0,03 volt betegévenként a placebóval és az aktív kontroll</w:t>
      </w:r>
      <w:r w:rsidR="00FD3AF2" w:rsidRPr="00183B5F">
        <w:rPr>
          <w:szCs w:val="22"/>
        </w:rPr>
        <w:t>al</w:t>
      </w:r>
      <w:r w:rsidRPr="00183B5F">
        <w:rPr>
          <w:szCs w:val="22"/>
        </w:rPr>
        <w:t xml:space="preserve"> kezelt betegek csoportjában.</w:t>
      </w:r>
    </w:p>
    <w:p w14:paraId="6E232C88" w14:textId="77777777" w:rsidR="00366005" w:rsidRPr="00183B5F" w:rsidRDefault="00366005">
      <w:pPr>
        <w:spacing w:line="240" w:lineRule="auto"/>
        <w:rPr>
          <w:szCs w:val="22"/>
        </w:rPr>
      </w:pPr>
    </w:p>
    <w:p w14:paraId="56703CA4" w14:textId="77777777" w:rsidR="00366005" w:rsidRPr="00183B5F" w:rsidRDefault="00943743">
      <w:pPr>
        <w:spacing w:line="240" w:lineRule="auto"/>
        <w:rPr>
          <w:szCs w:val="22"/>
        </w:rPr>
      </w:pPr>
      <w:r w:rsidRPr="00183B5F">
        <w:rPr>
          <w:szCs w:val="22"/>
        </w:rPr>
        <w:t>A Humira</w:t>
      </w:r>
      <w:r w:rsidRPr="00183B5F">
        <w:rPr>
          <w:szCs w:val="22"/>
        </w:rPr>
        <w:noBreakHyphen/>
        <w:t>val felnőttek és gyermekek bevonásával végzett kontrollos</w:t>
      </w:r>
      <w:r w:rsidR="001D2134" w:rsidRPr="00183B5F">
        <w:rPr>
          <w:szCs w:val="22"/>
        </w:rPr>
        <w:t>, valamint</w:t>
      </w:r>
      <w:r w:rsidRPr="00183B5F">
        <w:rPr>
          <w:szCs w:val="22"/>
        </w:rPr>
        <w:t xml:space="preserve"> nyílt vizsgálatokban súlyos fertőzésekről (beleértve halálos kimenetelű fertőzést, amely csak ritkán fordult elő) számoltak be többek között tuberculosisról (miliaris és extrapulmon</w:t>
      </w:r>
      <w:r w:rsidR="001D2134" w:rsidRPr="00183B5F">
        <w:rPr>
          <w:szCs w:val="22"/>
        </w:rPr>
        <w:t>a</w:t>
      </w:r>
      <w:r w:rsidRPr="00183B5F">
        <w:rPr>
          <w:szCs w:val="22"/>
        </w:rPr>
        <w:t>lis előfordulással) és invazív opportunista fertőzésekről (pl. disszeminált vagy extrapulmonalis histoplasmosis, blastomycosis, coccidioidomycosis, pneumocystosis, candidiasis, aspergillosis és listeriosis). A tuberculosisos megbetegedések többsége a Humira</w:t>
      </w:r>
      <w:r w:rsidR="00573D37" w:rsidRPr="00183B5F">
        <w:rPr>
          <w:szCs w:val="22"/>
        </w:rPr>
        <w:noBreakHyphen/>
      </w:r>
      <w:r w:rsidRPr="00183B5F">
        <w:rPr>
          <w:szCs w:val="22"/>
        </w:rPr>
        <w:t>kez</w:t>
      </w:r>
      <w:r w:rsidRPr="00183B5F">
        <w:rPr>
          <w:szCs w:val="22"/>
        </w:rPr>
        <w:t>elés első 8 hónapjában következett be és a látens betegség kiújulásaként manifesztálódhatott.</w:t>
      </w:r>
    </w:p>
    <w:p w14:paraId="2AD33453" w14:textId="77777777" w:rsidR="00366005" w:rsidRPr="00183B5F" w:rsidRDefault="00366005">
      <w:pPr>
        <w:suppressAutoHyphens w:val="0"/>
        <w:spacing w:line="240" w:lineRule="auto"/>
        <w:rPr>
          <w:szCs w:val="22"/>
        </w:rPr>
      </w:pPr>
    </w:p>
    <w:p w14:paraId="038B1857" w14:textId="77777777" w:rsidR="00366005" w:rsidRPr="00183B5F" w:rsidRDefault="00943743">
      <w:pPr>
        <w:keepNext/>
        <w:suppressAutoHyphens w:val="0"/>
        <w:spacing w:line="240" w:lineRule="auto"/>
        <w:rPr>
          <w:i/>
          <w:szCs w:val="22"/>
        </w:rPr>
      </w:pPr>
      <w:r w:rsidRPr="00183B5F">
        <w:rPr>
          <w:i/>
          <w:szCs w:val="22"/>
        </w:rPr>
        <w:t>Rosszindulatú és lymphoproliferativ betegségek</w:t>
      </w:r>
    </w:p>
    <w:p w14:paraId="0A318053" w14:textId="77777777" w:rsidR="00366005" w:rsidRPr="00183B5F" w:rsidRDefault="00366005">
      <w:pPr>
        <w:keepNext/>
        <w:suppressAutoHyphens w:val="0"/>
        <w:spacing w:line="240" w:lineRule="auto"/>
        <w:ind w:left="567" w:hanging="567"/>
        <w:rPr>
          <w:szCs w:val="22"/>
        </w:rPr>
      </w:pPr>
    </w:p>
    <w:p w14:paraId="2814A4E7" w14:textId="77777777" w:rsidR="00366005" w:rsidRPr="00183B5F" w:rsidRDefault="00943743">
      <w:pPr>
        <w:spacing w:line="240" w:lineRule="auto"/>
        <w:rPr>
          <w:szCs w:val="22"/>
        </w:rPr>
      </w:pPr>
      <w:r w:rsidRPr="00183B5F">
        <w:rPr>
          <w:szCs w:val="22"/>
        </w:rPr>
        <w:t>Humira</w:t>
      </w:r>
      <w:r w:rsidRPr="00183B5F">
        <w:rPr>
          <w:szCs w:val="22"/>
        </w:rPr>
        <w:noBreakHyphen/>
      </w:r>
      <w:r w:rsidRPr="00183B5F">
        <w:rPr>
          <w:szCs w:val="22"/>
        </w:rPr>
        <w:t xml:space="preserve">val juvenilis idiopathiás arthritisben (polyarticularis juvenilis idiopathiás arthritisben és </w:t>
      </w:r>
      <w:r w:rsidR="00677908" w:rsidRPr="00183B5F">
        <w:rPr>
          <w:szCs w:val="22"/>
        </w:rPr>
        <w:t>enthesitis-asszociált</w:t>
      </w:r>
      <w:r w:rsidRPr="00183B5F">
        <w:rPr>
          <w:szCs w:val="22"/>
        </w:rPr>
        <w:t xml:space="preserve"> arthritisben) szenvedő betegek körében végzett vizsgálatokban 655,6 betegévnyi expozíciónak kitett, 249 pediátriai betegnél nem figyeltek meg malignitást. Ezen kívül Crohn</w:t>
      </w:r>
      <w:r w:rsidRPr="00183B5F">
        <w:rPr>
          <w:szCs w:val="22"/>
        </w:rPr>
        <w:noBreakHyphen/>
        <w:t>betegségben szenvedő betegek körében Humira</w:t>
      </w:r>
      <w:r w:rsidRPr="00183B5F">
        <w:rPr>
          <w:szCs w:val="22"/>
        </w:rPr>
        <w:noBreakHyphen/>
        <w:t>val végzett vizsgálatokban 498,1 betegévnyi expozíciónak kitett, 192 </w:t>
      </w:r>
      <w:r w:rsidR="00FD3AF2" w:rsidRPr="00183B5F">
        <w:rPr>
          <w:szCs w:val="22"/>
        </w:rPr>
        <w:t xml:space="preserve">pediátriai </w:t>
      </w:r>
      <w:r w:rsidRPr="00183B5F">
        <w:rPr>
          <w:szCs w:val="22"/>
        </w:rPr>
        <w:t>betegnél nem figyeltek meg malignitást. Krónikus plakkos psoriasisban szenvedő gyermekeknél Humira</w:t>
      </w:r>
      <w:r w:rsidRPr="00183B5F">
        <w:rPr>
          <w:szCs w:val="22"/>
        </w:rPr>
        <w:noBreakHyphen/>
        <w:t>v</w:t>
      </w:r>
      <w:r w:rsidRPr="00183B5F">
        <w:rPr>
          <w:szCs w:val="22"/>
        </w:rPr>
        <w:t>al végzett vizsgálatban 80 betegévnyi expozíciónak kitett, 77 pediátriai betegnél nem figyeltek meg malignitást. Uveitisben szenvedő gyermekeknél Humira</w:t>
      </w:r>
      <w:r w:rsidRPr="00183B5F">
        <w:rPr>
          <w:szCs w:val="22"/>
        </w:rPr>
        <w:noBreakHyphen/>
        <w:t>val végzett vizsgálatban 58,4 betegévnyi expozíciónak kitett, 60 </w:t>
      </w:r>
      <w:r w:rsidR="00FD3AF2" w:rsidRPr="00183B5F">
        <w:rPr>
          <w:szCs w:val="22"/>
        </w:rPr>
        <w:t>pediátriai</w:t>
      </w:r>
      <w:r w:rsidRPr="00183B5F">
        <w:rPr>
          <w:szCs w:val="22"/>
        </w:rPr>
        <w:t xml:space="preserve"> betegnél nem figyeltek meg malignitást.</w:t>
      </w:r>
    </w:p>
    <w:p w14:paraId="3B0706F6" w14:textId="77777777" w:rsidR="00366005" w:rsidRPr="00183B5F" w:rsidRDefault="00366005">
      <w:pPr>
        <w:spacing w:line="240" w:lineRule="auto"/>
        <w:rPr>
          <w:szCs w:val="22"/>
        </w:rPr>
      </w:pPr>
    </w:p>
    <w:p w14:paraId="17A2EB6E" w14:textId="77777777" w:rsidR="00366005" w:rsidRPr="00183B5F" w:rsidRDefault="00943743">
      <w:pPr>
        <w:spacing w:line="240" w:lineRule="auto"/>
        <w:rPr>
          <w:szCs w:val="22"/>
        </w:rPr>
      </w:pPr>
      <w:r w:rsidRPr="00183B5F">
        <w:rPr>
          <w:szCs w:val="22"/>
        </w:rPr>
        <w:t xml:space="preserve">A Humira hatásait közepesen </w:t>
      </w:r>
      <w:r w:rsidR="00FD3AF2" w:rsidRPr="00183B5F">
        <w:rPr>
          <w:szCs w:val="22"/>
        </w:rPr>
        <w:t xml:space="preserve">súlyos </w:t>
      </w:r>
      <w:r w:rsidRPr="00183B5F">
        <w:rPr>
          <w:szCs w:val="22"/>
        </w:rPr>
        <w:t xml:space="preserve">vagy súlyos aktivitású rheumatoid arthritisben, spondylitis ankylopoeticában, </w:t>
      </w:r>
      <w:r w:rsidRPr="00183B5F">
        <w:rPr>
          <w:rFonts w:eastAsia="SimSun"/>
          <w:szCs w:val="22"/>
          <w:lang w:eastAsia="zh-CN"/>
        </w:rPr>
        <w:t>spondylitis ankylopoeticának megfelelő röntgeneltéréssel nem járó</w:t>
      </w:r>
      <w:r w:rsidRPr="00183B5F">
        <w:rPr>
          <w:szCs w:val="22"/>
        </w:rPr>
        <w:t xml:space="preserve"> axiális</w:t>
      </w:r>
      <w:r w:rsidR="00A01BC5" w:rsidRPr="00183B5F">
        <w:rPr>
          <w:szCs w:val="22"/>
        </w:rPr>
        <w:t xml:space="preserve"> </w:t>
      </w:r>
      <w:r w:rsidRPr="00183B5F">
        <w:rPr>
          <w:szCs w:val="22"/>
        </w:rPr>
        <w:t>spondyloarthritisben, arthritis psoriaticában, psoriasisban, hidradenitis suppurativában, Crohn</w:t>
      </w:r>
      <w:r w:rsidRPr="00183B5F">
        <w:rPr>
          <w:szCs w:val="22"/>
        </w:rPr>
        <w:noBreakHyphen/>
        <w:t>betegségben, colitis ulcerosában és uveitisben szenvedő betegeken értékelő legalább 12 hét időtartamú, felnőttek körében végzett pivotális vizsgálatok kontroll</w:t>
      </w:r>
      <w:r w:rsidR="00573D37" w:rsidRPr="00183B5F">
        <w:rPr>
          <w:szCs w:val="22"/>
        </w:rPr>
        <w:t>os</w:t>
      </w:r>
      <w:r w:rsidRPr="00183B5F">
        <w:rPr>
          <w:szCs w:val="22"/>
        </w:rPr>
        <w:t xml:space="preserve"> szakaszaiban a következőképpen alakult a rosszindulatú daganatok gyakorisága (a lymphoma és a n</w:t>
      </w:r>
      <w:r w:rsidRPr="00183B5F">
        <w:rPr>
          <w:szCs w:val="22"/>
        </w:rPr>
        <w:t>em melanomás bőrrák kivételével): az 1000 betegévre számított gyakoriság (95%</w:t>
      </w:r>
      <w:r w:rsidRPr="00183B5F">
        <w:rPr>
          <w:szCs w:val="22"/>
        </w:rPr>
        <w:noBreakHyphen/>
        <w:t>os konfidencia intervallum) a 5291 Humira</w:t>
      </w:r>
      <w:r w:rsidRPr="00183B5F">
        <w:rPr>
          <w:szCs w:val="22"/>
        </w:rPr>
        <w:noBreakHyphen/>
        <w:t>val kezelt beteg esetében 6,8 (4,4; 10,5) míg az 3444 fős kontro</w:t>
      </w:r>
      <w:r w:rsidR="0089402C" w:rsidRPr="00183B5F">
        <w:rPr>
          <w:szCs w:val="22"/>
        </w:rPr>
        <w:t>llcs</w:t>
      </w:r>
      <w:r w:rsidRPr="00183B5F">
        <w:rPr>
          <w:szCs w:val="22"/>
        </w:rPr>
        <w:t>oportban 6,3 (3,4; 11,8) volt. (A kezelés medián időtartama a Humira</w:t>
      </w:r>
      <w:r w:rsidRPr="00183B5F">
        <w:rPr>
          <w:szCs w:val="22"/>
        </w:rPr>
        <w:noBreakHyphen/>
        <w:t>csoportban 4,0 hónap, a kontro</w:t>
      </w:r>
      <w:r w:rsidR="0089402C" w:rsidRPr="00183B5F">
        <w:rPr>
          <w:szCs w:val="22"/>
        </w:rPr>
        <w:t>llcs</w:t>
      </w:r>
      <w:r w:rsidRPr="00183B5F">
        <w:rPr>
          <w:szCs w:val="22"/>
        </w:rPr>
        <w:t>oportban 3,8 hónap volt.) A nem melanomás bőrrák 1000 betegévre számított gyakorisága (95%</w:t>
      </w:r>
      <w:r w:rsidRPr="00183B5F">
        <w:rPr>
          <w:szCs w:val="22"/>
        </w:rPr>
        <w:noBreakHyphen/>
        <w:t>os konfidencia intervallum) a Humira</w:t>
      </w:r>
      <w:r w:rsidRPr="00183B5F">
        <w:rPr>
          <w:szCs w:val="22"/>
        </w:rPr>
        <w:noBreakHyphen/>
        <w:t>val kezelt betegek esetében 8,8 (6,0; 13,0), míg a kontrollcsoportban 3,2 (1,3; 7,6) volt. E bőrrákok közül a laphám</w:t>
      </w:r>
      <w:r w:rsidR="00573D37" w:rsidRPr="00183B5F">
        <w:rPr>
          <w:szCs w:val="22"/>
        </w:rPr>
        <w:t>-</w:t>
      </w:r>
      <w:r w:rsidRPr="00183B5F">
        <w:rPr>
          <w:szCs w:val="22"/>
        </w:rPr>
        <w:t>carcinoma 1000 betegévre számított gyakorisága (95%-os konfidencia intervallum) a Humira</w:t>
      </w:r>
      <w:r w:rsidRPr="00183B5F">
        <w:rPr>
          <w:szCs w:val="22"/>
        </w:rPr>
        <w:noBreakHyphen/>
        <w:t>csoportban 2,7 (1,4; 5,4), a kontro</w:t>
      </w:r>
      <w:r w:rsidR="0089402C" w:rsidRPr="00183B5F">
        <w:rPr>
          <w:szCs w:val="22"/>
        </w:rPr>
        <w:t>llcs</w:t>
      </w:r>
      <w:r w:rsidRPr="00183B5F">
        <w:rPr>
          <w:szCs w:val="22"/>
        </w:rPr>
        <w:t>oportban 0,6 (0,1, 4,5) volt. A lymp</w:t>
      </w:r>
      <w:r w:rsidRPr="00183B5F">
        <w:rPr>
          <w:szCs w:val="22"/>
        </w:rPr>
        <w:t>homák 1000 betegévre vetített gyakorisága (95%-os konfidencia intervallum) a Humira</w:t>
      </w:r>
      <w:r w:rsidRPr="00183B5F">
        <w:rPr>
          <w:szCs w:val="22"/>
        </w:rPr>
        <w:noBreakHyphen/>
        <w:t>val kezelt betegek körében 0,7 (0,2, 2,7) , a kontrollok esetében 0,6 (0,1; 4,5) volt.</w:t>
      </w:r>
    </w:p>
    <w:p w14:paraId="602E8931" w14:textId="77777777" w:rsidR="00366005" w:rsidRPr="00183B5F" w:rsidRDefault="00366005">
      <w:pPr>
        <w:spacing w:line="240" w:lineRule="auto"/>
        <w:rPr>
          <w:szCs w:val="22"/>
        </w:rPr>
      </w:pPr>
    </w:p>
    <w:p w14:paraId="7451F969" w14:textId="77777777" w:rsidR="00366005" w:rsidRPr="00183B5F" w:rsidRDefault="00943743">
      <w:pPr>
        <w:spacing w:line="240" w:lineRule="auto"/>
        <w:rPr>
          <w:szCs w:val="22"/>
        </w:rPr>
      </w:pPr>
      <w:r w:rsidRPr="00183B5F">
        <w:rPr>
          <w:szCs w:val="22"/>
        </w:rPr>
        <w:t xml:space="preserve">E vizsgálatok kontrollos szakaszai és a folyamatban lévő, valamint befejezett nyílt kiterjesztéses vizsgálatok összevont értékelése során, melyben összesen 6427 beteget kb. 3,3 év medián időtartamig követtek (több mint 26 439 betegév), a rosszindulatú daganatok </w:t>
      </w:r>
      <w:r w:rsidR="00FD3AF2" w:rsidRPr="00183B5F">
        <w:rPr>
          <w:szCs w:val="22"/>
        </w:rPr>
        <w:t xml:space="preserve">(a lymphoma és a nem melanomás bőrrák kivételével) </w:t>
      </w:r>
      <w:r w:rsidRPr="00183B5F">
        <w:rPr>
          <w:szCs w:val="22"/>
        </w:rPr>
        <w:t>1000 betegévre számított gyakorisága 8,5 volt. A nem melanomás bőrrák 1000 betegévre vetített, megfigyelt aránya kb. 9,6, míg a lymphomáké kb. 1,3 volt.</w:t>
      </w:r>
    </w:p>
    <w:p w14:paraId="07DA1E78" w14:textId="77777777" w:rsidR="00366005" w:rsidRPr="00183B5F" w:rsidRDefault="00366005">
      <w:pPr>
        <w:pStyle w:val="EndnoteText"/>
        <w:tabs>
          <w:tab w:val="clear" w:pos="567"/>
          <w:tab w:val="left" w:pos="708"/>
        </w:tabs>
        <w:suppressAutoHyphens/>
        <w:rPr>
          <w:sz w:val="22"/>
          <w:szCs w:val="22"/>
          <w:lang w:val="hu-HU" w:eastAsia="hu-HU"/>
        </w:rPr>
      </w:pPr>
    </w:p>
    <w:p w14:paraId="55CF95AB" w14:textId="5801FCA1" w:rsidR="00366005" w:rsidRPr="00183B5F" w:rsidRDefault="00943743">
      <w:pPr>
        <w:spacing w:line="240" w:lineRule="auto"/>
        <w:rPr>
          <w:szCs w:val="22"/>
        </w:rPr>
      </w:pPr>
      <w:r w:rsidRPr="00183B5F">
        <w:rPr>
          <w:szCs w:val="22"/>
        </w:rPr>
        <w:t>A Humira forgalomba hozatala után (2003. január és 2010. december között), javarészt rheumatoid arthritises betegeken szerzett tapasz</w:t>
      </w:r>
      <w:r w:rsidR="00663798" w:rsidRPr="00183B5F">
        <w:rPr>
          <w:szCs w:val="22"/>
        </w:rPr>
        <w:t>t</w:t>
      </w:r>
      <w:r w:rsidRPr="00183B5F">
        <w:rPr>
          <w:szCs w:val="22"/>
        </w:rPr>
        <w:t xml:space="preserve">alatok alapján, a </w:t>
      </w:r>
      <w:r w:rsidR="00BE646F">
        <w:rPr>
          <w:szCs w:val="22"/>
        </w:rPr>
        <w:t>spontán jelent</w:t>
      </w:r>
      <w:r w:rsidR="000006AA">
        <w:rPr>
          <w:szCs w:val="22"/>
        </w:rPr>
        <w:t>ésekből származó,</w:t>
      </w:r>
      <w:r w:rsidR="00BE646F" w:rsidRPr="00183B5F">
        <w:rPr>
          <w:szCs w:val="22"/>
        </w:rPr>
        <w:t xml:space="preserve"> </w:t>
      </w:r>
      <w:r w:rsidRPr="00183B5F">
        <w:rPr>
          <w:szCs w:val="22"/>
        </w:rPr>
        <w:t>rosszindulatú daganatok</w:t>
      </w:r>
      <w:r w:rsidR="000006AA">
        <w:rPr>
          <w:szCs w:val="22"/>
        </w:rPr>
        <w:t>ra vonatkozó</w:t>
      </w:r>
      <w:r w:rsidRPr="00183B5F">
        <w:rPr>
          <w:szCs w:val="22"/>
        </w:rPr>
        <w:t xml:space="preserve"> bejelent</w:t>
      </w:r>
      <w:r w:rsidR="000006AA">
        <w:rPr>
          <w:szCs w:val="22"/>
        </w:rPr>
        <w:t>ések</w:t>
      </w:r>
      <w:r w:rsidRPr="00183B5F">
        <w:rPr>
          <w:szCs w:val="22"/>
        </w:rPr>
        <w:t xml:space="preserve"> gyakorisága kb. 2,7/1000 beteg-kezelési év. A </w:t>
      </w:r>
      <w:r w:rsidR="00BE646F">
        <w:rPr>
          <w:szCs w:val="22"/>
        </w:rPr>
        <w:t>spontán jelent</w:t>
      </w:r>
      <w:r w:rsidR="000006AA">
        <w:rPr>
          <w:szCs w:val="22"/>
        </w:rPr>
        <w:t>ésekből származó,</w:t>
      </w:r>
      <w:r w:rsidR="00BE646F">
        <w:rPr>
          <w:szCs w:val="22"/>
        </w:rPr>
        <w:t xml:space="preserve"> </w:t>
      </w:r>
      <w:r w:rsidR="00AA4D42" w:rsidRPr="00183B5F">
        <w:rPr>
          <w:szCs w:val="22"/>
        </w:rPr>
        <w:t>nem melanomás bőrrák</w:t>
      </w:r>
      <w:r w:rsidR="000006AA">
        <w:rPr>
          <w:szCs w:val="22"/>
        </w:rPr>
        <w:t>ra</w:t>
      </w:r>
      <w:r w:rsidRPr="00183B5F">
        <w:rPr>
          <w:szCs w:val="22"/>
        </w:rPr>
        <w:t xml:space="preserve"> </w:t>
      </w:r>
      <w:r w:rsidR="00BE646F">
        <w:rPr>
          <w:szCs w:val="22"/>
        </w:rPr>
        <w:t>és lymphomák</w:t>
      </w:r>
      <w:r w:rsidR="000006AA">
        <w:rPr>
          <w:szCs w:val="22"/>
        </w:rPr>
        <w:t>ra vonatkozó</w:t>
      </w:r>
      <w:r w:rsidR="000006AA" w:rsidRPr="000006AA">
        <w:rPr>
          <w:szCs w:val="22"/>
        </w:rPr>
        <w:t xml:space="preserve"> </w:t>
      </w:r>
      <w:r w:rsidR="000006AA">
        <w:rPr>
          <w:szCs w:val="22"/>
        </w:rPr>
        <w:t xml:space="preserve">bejelentések </w:t>
      </w:r>
      <w:r w:rsidR="000006AA" w:rsidRPr="00183B5F">
        <w:rPr>
          <w:szCs w:val="22"/>
        </w:rPr>
        <w:t>gyakorisága</w:t>
      </w:r>
      <w:r w:rsidR="00BE646F">
        <w:rPr>
          <w:szCs w:val="22"/>
        </w:rPr>
        <w:t xml:space="preserve"> </w:t>
      </w:r>
      <w:r w:rsidRPr="00183B5F">
        <w:rPr>
          <w:szCs w:val="22"/>
        </w:rPr>
        <w:t>1000 beteg-kezelési évre számít</w:t>
      </w:r>
      <w:r w:rsidR="000006AA">
        <w:rPr>
          <w:szCs w:val="22"/>
        </w:rPr>
        <w:t>va</w:t>
      </w:r>
      <w:r w:rsidRPr="00183B5F">
        <w:rPr>
          <w:szCs w:val="22"/>
        </w:rPr>
        <w:t xml:space="preserve"> 0,2, </w:t>
      </w:r>
      <w:r w:rsidR="00BE646F">
        <w:rPr>
          <w:szCs w:val="22"/>
        </w:rPr>
        <w:t xml:space="preserve">illetve </w:t>
      </w:r>
      <w:r w:rsidRPr="00183B5F">
        <w:rPr>
          <w:szCs w:val="22"/>
        </w:rPr>
        <w:t xml:space="preserve">0,3 </w:t>
      </w:r>
      <w:r w:rsidR="00AA4D42" w:rsidRPr="00183B5F">
        <w:rPr>
          <w:szCs w:val="22"/>
        </w:rPr>
        <w:t xml:space="preserve">volt </w:t>
      </w:r>
      <w:r w:rsidRPr="00183B5F">
        <w:rPr>
          <w:szCs w:val="22"/>
        </w:rPr>
        <w:t>(lásd</w:t>
      </w:r>
      <w:r w:rsidRPr="00183B5F">
        <w:rPr>
          <w:i/>
          <w:iCs/>
          <w:szCs w:val="22"/>
        </w:rPr>
        <w:t xml:space="preserve"> </w:t>
      </w:r>
      <w:r w:rsidRPr="00183B5F">
        <w:rPr>
          <w:szCs w:val="22"/>
        </w:rPr>
        <w:t>a 4.4 pontban).</w:t>
      </w:r>
    </w:p>
    <w:p w14:paraId="17ADA42E" w14:textId="77777777" w:rsidR="00366005" w:rsidRPr="00183B5F" w:rsidRDefault="00366005">
      <w:pPr>
        <w:tabs>
          <w:tab w:val="left" w:pos="840"/>
        </w:tabs>
        <w:spacing w:line="240" w:lineRule="auto"/>
        <w:ind w:left="567" w:hanging="567"/>
        <w:rPr>
          <w:szCs w:val="22"/>
        </w:rPr>
      </w:pPr>
    </w:p>
    <w:p w14:paraId="7B803121" w14:textId="77777777" w:rsidR="00366005" w:rsidRPr="00183B5F" w:rsidRDefault="00943743">
      <w:pPr>
        <w:spacing w:line="240" w:lineRule="auto"/>
        <w:rPr>
          <w:szCs w:val="22"/>
        </w:rPr>
      </w:pPr>
      <w:r w:rsidRPr="00183B5F">
        <w:rPr>
          <w:szCs w:val="22"/>
        </w:rPr>
        <w:t xml:space="preserve">Adalimumabbal kezelt betegeknél a forgalomba hozatalt követően ritkán </w:t>
      </w:r>
      <w:r w:rsidR="00AA4D42" w:rsidRPr="00183B5F">
        <w:rPr>
          <w:szCs w:val="22"/>
        </w:rPr>
        <w:t>hepatosplenicus</w:t>
      </w:r>
      <w:r w:rsidRPr="00183B5F">
        <w:rPr>
          <w:szCs w:val="22"/>
        </w:rPr>
        <w:t xml:space="preserve"> T</w:t>
      </w:r>
      <w:r w:rsidRPr="00183B5F">
        <w:rPr>
          <w:szCs w:val="22"/>
        </w:rPr>
        <w:noBreakHyphen/>
        <w:t>sejtes lymphomát jelentettek (lásd 4.4 pont).</w:t>
      </w:r>
    </w:p>
    <w:p w14:paraId="7FE9B692" w14:textId="77777777" w:rsidR="00366005" w:rsidRPr="00183B5F" w:rsidRDefault="00366005">
      <w:pPr>
        <w:tabs>
          <w:tab w:val="left" w:pos="840"/>
        </w:tabs>
        <w:spacing w:line="240" w:lineRule="auto"/>
        <w:ind w:left="567" w:hanging="567"/>
        <w:rPr>
          <w:szCs w:val="22"/>
        </w:rPr>
      </w:pPr>
    </w:p>
    <w:p w14:paraId="440DFB58" w14:textId="77777777" w:rsidR="00366005" w:rsidRPr="00183B5F" w:rsidRDefault="00943743">
      <w:pPr>
        <w:spacing w:line="240" w:lineRule="auto"/>
        <w:rPr>
          <w:i/>
          <w:szCs w:val="22"/>
        </w:rPr>
      </w:pPr>
      <w:r w:rsidRPr="00183B5F">
        <w:rPr>
          <w:i/>
          <w:szCs w:val="22"/>
        </w:rPr>
        <w:t>Autoantitestek</w:t>
      </w:r>
    </w:p>
    <w:p w14:paraId="677045FE" w14:textId="77777777" w:rsidR="00366005" w:rsidRPr="00183B5F" w:rsidRDefault="00366005">
      <w:pPr>
        <w:spacing w:line="240" w:lineRule="auto"/>
        <w:rPr>
          <w:szCs w:val="22"/>
        </w:rPr>
      </w:pPr>
    </w:p>
    <w:p w14:paraId="593A181C" w14:textId="77777777" w:rsidR="00366005" w:rsidRPr="00183B5F" w:rsidRDefault="00943743">
      <w:pPr>
        <w:spacing w:line="240" w:lineRule="auto"/>
        <w:rPr>
          <w:szCs w:val="22"/>
        </w:rPr>
      </w:pPr>
      <w:r w:rsidRPr="00183B5F">
        <w:rPr>
          <w:szCs w:val="22"/>
        </w:rPr>
        <w:t>A betegektől vett vérsavómintákban különböző időpontokban vizsgálták az autoantitesteket az I</w:t>
      </w:r>
      <w:r w:rsidR="00F248DC" w:rsidRPr="00183B5F">
        <w:rPr>
          <w:szCs w:val="22"/>
        </w:rPr>
        <w:noBreakHyphen/>
      </w:r>
      <w:r w:rsidRPr="00183B5F">
        <w:rPr>
          <w:szCs w:val="22"/>
        </w:rPr>
        <w:t>V</w:t>
      </w:r>
      <w:r w:rsidR="00F248DC" w:rsidRPr="00183B5F">
        <w:rPr>
          <w:szCs w:val="22"/>
        </w:rPr>
        <w:t>.</w:t>
      </w:r>
      <w:r w:rsidRPr="00183B5F">
        <w:rPr>
          <w:szCs w:val="22"/>
        </w:rPr>
        <w:t xml:space="preserve"> rheumatoid arthritis </w:t>
      </w:r>
      <w:r w:rsidR="00F248DC" w:rsidRPr="00183B5F">
        <w:rPr>
          <w:szCs w:val="22"/>
        </w:rPr>
        <w:t>(RA)-</w:t>
      </w:r>
      <w:r w:rsidRPr="00183B5F">
        <w:rPr>
          <w:szCs w:val="22"/>
        </w:rPr>
        <w:t>vizsgálatokban. Ezekben a vizsgálatokban, a negatív kiindulási antinukleáris antitest titerrel rendelkező betegek közül a Humira</w:t>
      </w:r>
      <w:r w:rsidRPr="00183B5F">
        <w:rPr>
          <w:szCs w:val="22"/>
        </w:rPr>
        <w:noBreakHyphen/>
        <w:t>val kezeltek 11,9%</w:t>
      </w:r>
      <w:r w:rsidRPr="00183B5F">
        <w:rPr>
          <w:szCs w:val="22"/>
        </w:rPr>
        <w:noBreakHyphen/>
        <w:t xml:space="preserve">ánál, míg a </w:t>
      </w:r>
      <w:r w:rsidR="00E017F2" w:rsidRPr="00183B5F">
        <w:rPr>
          <w:szCs w:val="22"/>
        </w:rPr>
        <w:t>placebóval vagy</w:t>
      </w:r>
      <w:r w:rsidRPr="00183B5F">
        <w:rPr>
          <w:szCs w:val="22"/>
        </w:rPr>
        <w:t xml:space="preserve"> aktív kontroll</w:t>
      </w:r>
      <w:r w:rsidR="00E017F2" w:rsidRPr="00183B5F">
        <w:rPr>
          <w:szCs w:val="22"/>
        </w:rPr>
        <w:t>al</w:t>
      </w:r>
      <w:r w:rsidRPr="00183B5F">
        <w:rPr>
          <w:szCs w:val="22"/>
        </w:rPr>
        <w:t xml:space="preserve"> kezelt betegek 8,1%</w:t>
      </w:r>
      <w:r w:rsidRPr="00183B5F">
        <w:rPr>
          <w:szCs w:val="22"/>
        </w:rPr>
        <w:noBreakHyphen/>
        <w:t>ánál fejlődött ki antinukleáris antitest titer pozitivitás a 24. hétre. Az összes rheumatoid arthritis és arthritis psoriatica vizsgálatban a 3441 Humira</w:t>
      </w:r>
      <w:r w:rsidRPr="00183B5F">
        <w:rPr>
          <w:szCs w:val="22"/>
        </w:rPr>
        <w:noBreakHyphen/>
        <w:t>val kezelt beteg közül 2</w:t>
      </w:r>
      <w:r w:rsidRPr="00183B5F">
        <w:rPr>
          <w:szCs w:val="22"/>
        </w:rPr>
        <w:noBreakHyphen/>
        <w:t>nél alakultak ki újonnan fellépő lupus-szerű szindróma klinikai jelei. A beteg állapota ja</w:t>
      </w:r>
      <w:r w:rsidRPr="00183B5F">
        <w:rPr>
          <w:szCs w:val="22"/>
        </w:rPr>
        <w:t>vult, amint a kezelést abbahagyták. Egy beteg esetében sem alakult ki lupus</w:t>
      </w:r>
      <w:r w:rsidRPr="00183B5F">
        <w:rPr>
          <w:szCs w:val="22"/>
        </w:rPr>
        <w:noBreakHyphen/>
        <w:t>nephritis vagy központi idegrendszeri tünet.</w:t>
      </w:r>
    </w:p>
    <w:p w14:paraId="24BBC729" w14:textId="77777777" w:rsidR="00366005" w:rsidRPr="00183B5F" w:rsidRDefault="00366005">
      <w:pPr>
        <w:spacing w:line="240" w:lineRule="auto"/>
        <w:rPr>
          <w:szCs w:val="22"/>
        </w:rPr>
      </w:pPr>
    </w:p>
    <w:p w14:paraId="52D43354" w14:textId="77777777" w:rsidR="00366005" w:rsidRPr="00183B5F" w:rsidRDefault="00943743">
      <w:pPr>
        <w:pStyle w:val="EMEANormal"/>
        <w:keepNext/>
        <w:widowControl w:val="0"/>
        <w:rPr>
          <w:i/>
          <w:szCs w:val="22"/>
          <w:lang w:val="hu-HU"/>
        </w:rPr>
      </w:pPr>
      <w:r w:rsidRPr="00183B5F">
        <w:rPr>
          <w:i/>
          <w:szCs w:val="22"/>
          <w:lang w:val="hu-HU"/>
        </w:rPr>
        <w:t>Hepatobiliaris események</w:t>
      </w:r>
    </w:p>
    <w:p w14:paraId="31C209A3" w14:textId="77777777" w:rsidR="00366005" w:rsidRPr="00183B5F" w:rsidRDefault="00366005">
      <w:pPr>
        <w:keepNext/>
        <w:spacing w:line="240" w:lineRule="auto"/>
        <w:rPr>
          <w:szCs w:val="22"/>
        </w:rPr>
      </w:pPr>
    </w:p>
    <w:p w14:paraId="7BF8902C" w14:textId="77777777" w:rsidR="00366005" w:rsidRPr="00183B5F" w:rsidRDefault="00943743">
      <w:pPr>
        <w:keepNext/>
        <w:spacing w:line="240" w:lineRule="auto"/>
        <w:rPr>
          <w:szCs w:val="22"/>
        </w:rPr>
      </w:pPr>
      <w:r w:rsidRPr="00183B5F">
        <w:rPr>
          <w:szCs w:val="22"/>
        </w:rPr>
        <w:t>Rheumatoid arthritisben és arthritis psoriaticában szenvedő betegeknél végzett, III</w:t>
      </w:r>
      <w:r w:rsidR="00ED247D" w:rsidRPr="00183B5F">
        <w:rPr>
          <w:szCs w:val="22"/>
        </w:rPr>
        <w:t>. fázisú</w:t>
      </w:r>
      <w:r w:rsidRPr="00183B5F">
        <w:rPr>
          <w:szCs w:val="22"/>
        </w:rPr>
        <w:t xml:space="preserve"> klinikai vizsgálatokban a 4-104 hetes ellenőrzött periódusban a </w:t>
      </w:r>
      <w:r w:rsidR="00934342" w:rsidRPr="00183B5F">
        <w:rPr>
          <w:szCs w:val="22"/>
        </w:rPr>
        <w:t>GPT</w:t>
      </w:r>
      <w:r w:rsidR="00677908" w:rsidRPr="00183B5F">
        <w:rPr>
          <w:szCs w:val="22"/>
        </w:rPr>
        <w:t xml:space="preserve"> (</w:t>
      </w:r>
      <w:r w:rsidR="00934342" w:rsidRPr="00183B5F">
        <w:rPr>
          <w:szCs w:val="22"/>
        </w:rPr>
        <w:t>ALAT</w:t>
      </w:r>
      <w:r w:rsidR="00677908" w:rsidRPr="00183B5F">
        <w:rPr>
          <w:szCs w:val="22"/>
        </w:rPr>
        <w:t>)-</w:t>
      </w:r>
      <w:r w:rsidR="00BE1F94" w:rsidRPr="00183B5F">
        <w:rPr>
          <w:szCs w:val="22"/>
        </w:rPr>
        <w:t>szint</w:t>
      </w:r>
      <w:r w:rsidRPr="00183B5F">
        <w:rPr>
          <w:szCs w:val="22"/>
        </w:rPr>
        <w:t xml:space="preserve"> a normálérték felső határának ≥ 3</w:t>
      </w:r>
      <w:r w:rsidRPr="00183B5F">
        <w:rPr>
          <w:szCs w:val="22"/>
        </w:rPr>
        <w:noBreakHyphen/>
        <w:t>szorosára történő emelkedése a Humira</w:t>
      </w:r>
      <w:r w:rsidRPr="00183B5F">
        <w:rPr>
          <w:szCs w:val="22"/>
        </w:rPr>
        <w:noBreakHyphen/>
        <w:t>val kezeltek 3,7%</w:t>
      </w:r>
      <w:r w:rsidRPr="00183B5F">
        <w:rPr>
          <w:szCs w:val="22"/>
        </w:rPr>
        <w:noBreakHyphen/>
        <w:t>ánál, míg a kontrollkezelést kapó betegek 1,6%</w:t>
      </w:r>
      <w:r w:rsidRPr="00183B5F">
        <w:rPr>
          <w:szCs w:val="22"/>
        </w:rPr>
        <w:noBreakHyphen/>
        <w:t>nál fordult elő.</w:t>
      </w:r>
    </w:p>
    <w:p w14:paraId="09BFDFA6" w14:textId="77777777" w:rsidR="00366005" w:rsidRPr="00183B5F" w:rsidRDefault="00366005">
      <w:pPr>
        <w:spacing w:line="240" w:lineRule="auto"/>
        <w:rPr>
          <w:szCs w:val="22"/>
        </w:rPr>
      </w:pPr>
    </w:p>
    <w:p w14:paraId="20F399EE" w14:textId="77777777" w:rsidR="00366005" w:rsidRPr="00183B5F" w:rsidRDefault="00943743">
      <w:pPr>
        <w:spacing w:line="240" w:lineRule="auto"/>
        <w:rPr>
          <w:szCs w:val="22"/>
        </w:rPr>
      </w:pPr>
      <w:r w:rsidRPr="00183B5F">
        <w:rPr>
          <w:szCs w:val="22"/>
        </w:rPr>
        <w:t>Polyarticularis juvenilis idiopathiás arthritisben szenvedő</w:t>
      </w:r>
      <w:r w:rsidR="005D7645" w:rsidRPr="00183B5F">
        <w:rPr>
          <w:szCs w:val="22"/>
        </w:rPr>
        <w:t>,</w:t>
      </w:r>
      <w:r w:rsidRPr="00183B5F">
        <w:rPr>
          <w:szCs w:val="22"/>
        </w:rPr>
        <w:t xml:space="preserve"> 4</w:t>
      </w:r>
      <w:r w:rsidRPr="00183B5F">
        <w:rPr>
          <w:szCs w:val="22"/>
        </w:rPr>
        <w:noBreakHyphen/>
        <w:t xml:space="preserve">17 éves és </w:t>
      </w:r>
      <w:r w:rsidR="00677908" w:rsidRPr="00183B5F">
        <w:rPr>
          <w:szCs w:val="22"/>
        </w:rPr>
        <w:t>enthesitis-asszociált</w:t>
      </w:r>
      <w:r w:rsidRPr="00183B5F">
        <w:rPr>
          <w:szCs w:val="22"/>
        </w:rPr>
        <w:t xml:space="preserve"> arthritisben szenvedő 6</w:t>
      </w:r>
      <w:r w:rsidRPr="00183B5F">
        <w:rPr>
          <w:szCs w:val="22"/>
        </w:rPr>
        <w:noBreakHyphen/>
        <w:t>17 éves betegeknél Humira</w:t>
      </w:r>
      <w:r w:rsidRPr="00183B5F">
        <w:rPr>
          <w:szCs w:val="22"/>
        </w:rPr>
        <w:noBreakHyphen/>
        <w:t xml:space="preserve">val végzett kontrollos </w:t>
      </w:r>
      <w:r w:rsidR="00ED247D" w:rsidRPr="00183B5F">
        <w:rPr>
          <w:szCs w:val="22"/>
        </w:rPr>
        <w:t>fázis</w:t>
      </w:r>
      <w:r w:rsidR="00934342" w:rsidRPr="00183B5F">
        <w:rPr>
          <w:szCs w:val="22"/>
        </w:rPr>
        <w:t xml:space="preserve"> III.</w:t>
      </w:r>
      <w:r w:rsidRPr="00183B5F">
        <w:rPr>
          <w:szCs w:val="22"/>
        </w:rPr>
        <w:t xml:space="preserve"> vizsgálatok során a Humira</w:t>
      </w:r>
      <w:r w:rsidRPr="00183B5F">
        <w:rPr>
          <w:szCs w:val="22"/>
        </w:rPr>
        <w:noBreakHyphen/>
        <w:t>val kezelt betegek 6,1</w:t>
      </w:r>
      <w:r w:rsidRPr="00183B5F">
        <w:t>%</w:t>
      </w:r>
      <w:r w:rsidRPr="00183B5F">
        <w:noBreakHyphen/>
        <w:t>nál és a kontrollkezelésben részesülő betegek 1,3%</w:t>
      </w:r>
      <w:r w:rsidRPr="00183B5F">
        <w:noBreakHyphen/>
        <w:t>ánál a</w:t>
      </w:r>
      <w:r w:rsidR="00934342" w:rsidRPr="00183B5F">
        <w:rPr>
          <w:szCs w:val="22"/>
        </w:rPr>
        <w:t xml:space="preserve"> GPT </w:t>
      </w:r>
      <w:r w:rsidR="00677908" w:rsidRPr="00183B5F">
        <w:rPr>
          <w:szCs w:val="22"/>
        </w:rPr>
        <w:t>(</w:t>
      </w:r>
      <w:r w:rsidR="00934342" w:rsidRPr="00183B5F">
        <w:rPr>
          <w:szCs w:val="22"/>
        </w:rPr>
        <w:t>ALAT</w:t>
      </w:r>
      <w:r w:rsidR="00677908" w:rsidRPr="00183B5F">
        <w:rPr>
          <w:szCs w:val="22"/>
        </w:rPr>
        <w:t>)-</w:t>
      </w:r>
      <w:r w:rsidRPr="00183B5F">
        <w:rPr>
          <w:szCs w:val="22"/>
        </w:rPr>
        <w:t>szint a normálérték felső határának ≥ 3</w:t>
      </w:r>
      <w:r w:rsidRPr="00183B5F">
        <w:rPr>
          <w:szCs w:val="22"/>
        </w:rPr>
        <w:noBreakHyphen/>
        <w:t xml:space="preserve">szorosára emelkedett. A legtöbb </w:t>
      </w:r>
      <w:r w:rsidR="00934342" w:rsidRPr="00183B5F">
        <w:rPr>
          <w:szCs w:val="22"/>
        </w:rPr>
        <w:t xml:space="preserve">GPT </w:t>
      </w:r>
      <w:r w:rsidR="00677908" w:rsidRPr="00183B5F">
        <w:rPr>
          <w:szCs w:val="22"/>
        </w:rPr>
        <w:t>(</w:t>
      </w:r>
      <w:r w:rsidR="00934342" w:rsidRPr="00183B5F">
        <w:rPr>
          <w:szCs w:val="22"/>
        </w:rPr>
        <w:t>ALAT)</w:t>
      </w:r>
      <w:r w:rsidR="00677908" w:rsidRPr="00183B5F">
        <w:rPr>
          <w:szCs w:val="22"/>
        </w:rPr>
        <w:t>-</w:t>
      </w:r>
      <w:r w:rsidRPr="00183B5F">
        <w:rPr>
          <w:szCs w:val="22"/>
        </w:rPr>
        <w:t>szint emelkedés együttadott metotrexát</w:t>
      </w:r>
      <w:r w:rsidRPr="00183B5F">
        <w:rPr>
          <w:szCs w:val="22"/>
        </w:rPr>
        <w:noBreakHyphen/>
        <w:t>kezelés mellett fordult elő. Polyarticularis juvenilis idiopathiás arthritisben szenvedő</w:t>
      </w:r>
      <w:r w:rsidR="005D7645" w:rsidRPr="00183B5F">
        <w:rPr>
          <w:szCs w:val="22"/>
        </w:rPr>
        <w:t>,</w:t>
      </w:r>
      <w:r w:rsidRPr="00183B5F">
        <w:rPr>
          <w:szCs w:val="22"/>
        </w:rPr>
        <w:t xml:space="preserve"> 2</w:t>
      </w:r>
      <w:r w:rsidR="00BE1F94" w:rsidRPr="00183B5F">
        <w:rPr>
          <w:szCs w:val="22"/>
        </w:rPr>
        <w:t> </w:t>
      </w:r>
      <w:r w:rsidRPr="00183B5F">
        <w:rPr>
          <w:szCs w:val="22"/>
        </w:rPr>
        <w:noBreakHyphen/>
      </w:r>
      <w:r w:rsidR="00BE1F94" w:rsidRPr="00183B5F">
        <w:rPr>
          <w:szCs w:val="22"/>
        </w:rPr>
        <w:t> </w:t>
      </w:r>
      <w:r w:rsidRPr="00183B5F">
        <w:rPr>
          <w:szCs w:val="22"/>
        </w:rPr>
        <w:t>&lt;4 éves betegeknél Humira</w:t>
      </w:r>
      <w:r w:rsidRPr="00183B5F">
        <w:rPr>
          <w:szCs w:val="22"/>
        </w:rPr>
        <w:noBreakHyphen/>
        <w:t xml:space="preserve">val végzett kontrollos </w:t>
      </w:r>
      <w:r w:rsidR="00ED247D" w:rsidRPr="00183B5F">
        <w:rPr>
          <w:szCs w:val="22"/>
        </w:rPr>
        <w:t>III. fázisú</w:t>
      </w:r>
      <w:r w:rsidRPr="00183B5F">
        <w:rPr>
          <w:szCs w:val="22"/>
        </w:rPr>
        <w:t xml:space="preserve"> vizsgálatok során nem fordult elő, hogy a </w:t>
      </w:r>
      <w:r w:rsidR="00934342" w:rsidRPr="00183B5F">
        <w:rPr>
          <w:szCs w:val="22"/>
        </w:rPr>
        <w:t>GPT</w:t>
      </w:r>
      <w:r w:rsidR="00677908" w:rsidRPr="00183B5F">
        <w:rPr>
          <w:szCs w:val="22"/>
        </w:rPr>
        <w:t xml:space="preserve"> (</w:t>
      </w:r>
      <w:r w:rsidR="00934342" w:rsidRPr="00183B5F">
        <w:rPr>
          <w:szCs w:val="22"/>
        </w:rPr>
        <w:t>ALAT</w:t>
      </w:r>
      <w:r w:rsidR="00677908" w:rsidRPr="00183B5F">
        <w:rPr>
          <w:szCs w:val="22"/>
        </w:rPr>
        <w:t>)-</w:t>
      </w:r>
      <w:r w:rsidRPr="00183B5F">
        <w:rPr>
          <w:szCs w:val="22"/>
        </w:rPr>
        <w:t>szint a normálérték felső határának ≥ 3</w:t>
      </w:r>
      <w:r w:rsidRPr="00183B5F">
        <w:rPr>
          <w:szCs w:val="22"/>
        </w:rPr>
        <w:noBreakHyphen/>
        <w:t>szorosára emelkedett.</w:t>
      </w:r>
    </w:p>
    <w:p w14:paraId="3C6502E6" w14:textId="77777777" w:rsidR="00366005" w:rsidRPr="00183B5F" w:rsidRDefault="00366005">
      <w:pPr>
        <w:spacing w:line="240" w:lineRule="auto"/>
        <w:rPr>
          <w:szCs w:val="22"/>
        </w:rPr>
      </w:pPr>
    </w:p>
    <w:p w14:paraId="0A2CF751" w14:textId="77777777" w:rsidR="00366005" w:rsidRPr="00183B5F" w:rsidRDefault="00943743">
      <w:pPr>
        <w:spacing w:line="240" w:lineRule="auto"/>
        <w:rPr>
          <w:i/>
          <w:szCs w:val="22"/>
        </w:rPr>
      </w:pPr>
      <w:r w:rsidRPr="00183B5F">
        <w:rPr>
          <w:szCs w:val="22"/>
        </w:rPr>
        <w:t>Crohn</w:t>
      </w:r>
      <w:r w:rsidRPr="00183B5F">
        <w:rPr>
          <w:szCs w:val="22"/>
        </w:rPr>
        <w:noBreakHyphen/>
        <w:t>betegségben és colitis ulcerosában szenvedő betegeknél Humira</w:t>
      </w:r>
      <w:r w:rsidRPr="00183B5F">
        <w:rPr>
          <w:szCs w:val="22"/>
        </w:rPr>
        <w:noBreakHyphen/>
        <w:t>val végzett, 4-52 hetes III</w:t>
      </w:r>
      <w:r w:rsidR="00ED247D" w:rsidRPr="00183B5F">
        <w:rPr>
          <w:szCs w:val="22"/>
        </w:rPr>
        <w:t>. fázisú</w:t>
      </w:r>
      <w:r w:rsidR="00A83EB6" w:rsidRPr="00183B5F">
        <w:rPr>
          <w:szCs w:val="22"/>
        </w:rPr>
        <w:t xml:space="preserve"> kontrollos</w:t>
      </w:r>
      <w:r w:rsidRPr="00183B5F">
        <w:rPr>
          <w:szCs w:val="22"/>
        </w:rPr>
        <w:t xml:space="preserve"> vizsgálatokban a </w:t>
      </w:r>
      <w:r w:rsidR="00934342" w:rsidRPr="00183B5F">
        <w:rPr>
          <w:szCs w:val="22"/>
        </w:rPr>
        <w:t>GPT</w:t>
      </w:r>
      <w:r w:rsidR="00677908" w:rsidRPr="00183B5F">
        <w:rPr>
          <w:szCs w:val="22"/>
        </w:rPr>
        <w:t xml:space="preserve"> (</w:t>
      </w:r>
      <w:r w:rsidR="00934342" w:rsidRPr="00183B5F">
        <w:rPr>
          <w:szCs w:val="22"/>
        </w:rPr>
        <w:t>ALAT</w:t>
      </w:r>
      <w:r w:rsidR="00677908" w:rsidRPr="00183B5F">
        <w:rPr>
          <w:szCs w:val="22"/>
        </w:rPr>
        <w:t>)-</w:t>
      </w:r>
      <w:r w:rsidR="00BE1F94" w:rsidRPr="00183B5F">
        <w:rPr>
          <w:szCs w:val="22"/>
        </w:rPr>
        <w:t>szint</w:t>
      </w:r>
      <w:r w:rsidRPr="00183B5F">
        <w:rPr>
          <w:szCs w:val="22"/>
        </w:rPr>
        <w:t xml:space="preserve"> a normálérték felső határának ≥ 3</w:t>
      </w:r>
      <w:r w:rsidRPr="00183B5F">
        <w:rPr>
          <w:szCs w:val="22"/>
        </w:rPr>
        <w:noBreakHyphen/>
        <w:t>szorosára történő emelkedése a Humira</w:t>
      </w:r>
      <w:r w:rsidRPr="00183B5F">
        <w:rPr>
          <w:szCs w:val="22"/>
        </w:rPr>
        <w:noBreakHyphen/>
        <w:t>val kezelt betegek 0,9%</w:t>
      </w:r>
      <w:r w:rsidRPr="00183B5F">
        <w:rPr>
          <w:szCs w:val="22"/>
        </w:rPr>
        <w:noBreakHyphen/>
        <w:t xml:space="preserve">ánál, </w:t>
      </w:r>
      <w:r w:rsidR="0072236B" w:rsidRPr="00183B5F">
        <w:rPr>
          <w:szCs w:val="22"/>
        </w:rPr>
        <w:t xml:space="preserve">valamint </w:t>
      </w:r>
      <w:r w:rsidRPr="00183B5F">
        <w:rPr>
          <w:szCs w:val="22"/>
        </w:rPr>
        <w:t>a kontroll</w:t>
      </w:r>
      <w:r w:rsidR="0072236B" w:rsidRPr="00183B5F">
        <w:rPr>
          <w:szCs w:val="22"/>
        </w:rPr>
        <w:t>al</w:t>
      </w:r>
      <w:r w:rsidRPr="00183B5F">
        <w:rPr>
          <w:szCs w:val="22"/>
        </w:rPr>
        <w:t xml:space="preserve"> kezelt betegek 0,9%</w:t>
      </w:r>
      <w:r w:rsidRPr="00183B5F">
        <w:rPr>
          <w:szCs w:val="22"/>
        </w:rPr>
        <w:noBreakHyphen/>
        <w:t>nál fordult elő</w:t>
      </w:r>
      <w:r w:rsidRPr="00183B5F">
        <w:rPr>
          <w:i/>
          <w:szCs w:val="22"/>
        </w:rPr>
        <w:t>.</w:t>
      </w:r>
    </w:p>
    <w:p w14:paraId="7A189605" w14:textId="77777777" w:rsidR="00366005" w:rsidRPr="00183B5F" w:rsidRDefault="00366005">
      <w:pPr>
        <w:spacing w:line="240" w:lineRule="auto"/>
        <w:rPr>
          <w:i/>
          <w:szCs w:val="22"/>
        </w:rPr>
      </w:pPr>
    </w:p>
    <w:p w14:paraId="1C40357B" w14:textId="77777777" w:rsidR="00366005" w:rsidRPr="00183B5F" w:rsidRDefault="00943743">
      <w:pPr>
        <w:spacing w:line="240" w:lineRule="auto"/>
        <w:rPr>
          <w:szCs w:val="22"/>
        </w:rPr>
      </w:pPr>
      <w:r w:rsidRPr="00183B5F">
        <w:rPr>
          <w:szCs w:val="22"/>
        </w:rPr>
        <w:t>A gyermekkori Crohn</w:t>
      </w:r>
      <w:r w:rsidRPr="00183B5F">
        <w:rPr>
          <w:szCs w:val="22"/>
        </w:rPr>
        <w:noBreakHyphen/>
        <w:t>betegségben szenvedő betegeknél Humira</w:t>
      </w:r>
      <w:r w:rsidRPr="00183B5F">
        <w:rPr>
          <w:szCs w:val="22"/>
        </w:rPr>
        <w:noBreakHyphen/>
        <w:t xml:space="preserve">val végzett </w:t>
      </w:r>
      <w:r w:rsidR="00ED247D" w:rsidRPr="00183B5F">
        <w:rPr>
          <w:szCs w:val="22"/>
        </w:rPr>
        <w:t>III. fázisú</w:t>
      </w:r>
      <w:r w:rsidRPr="00183B5F">
        <w:rPr>
          <w:szCs w:val="22"/>
        </w:rPr>
        <w:t xml:space="preserve"> vizsgálatban két, testsúlyra korrigált fenntartó adagolási rend hatásosságát és biztonságosságát vizsgálták 52 kezelési hétig, testsúlyra korrigált indukciós kezelést követően. A vizsgálatok során a betegek 2,6%</w:t>
      </w:r>
      <w:r w:rsidRPr="00183B5F">
        <w:rPr>
          <w:szCs w:val="22"/>
        </w:rPr>
        <w:noBreakHyphen/>
        <w:t xml:space="preserve">ánál (5/192), akik közül 4 egyidejűleg immunszuppresszánst is kapott, a </w:t>
      </w:r>
      <w:r w:rsidR="00934342" w:rsidRPr="00183B5F">
        <w:rPr>
          <w:szCs w:val="22"/>
        </w:rPr>
        <w:t>GPT</w:t>
      </w:r>
      <w:r w:rsidR="00677908" w:rsidRPr="00183B5F">
        <w:rPr>
          <w:szCs w:val="22"/>
        </w:rPr>
        <w:t xml:space="preserve"> (</w:t>
      </w:r>
      <w:r w:rsidR="00934342" w:rsidRPr="00183B5F">
        <w:rPr>
          <w:szCs w:val="22"/>
        </w:rPr>
        <w:t>ALAT</w:t>
      </w:r>
      <w:r w:rsidR="00677908" w:rsidRPr="00183B5F">
        <w:rPr>
          <w:szCs w:val="22"/>
        </w:rPr>
        <w:t>)-</w:t>
      </w:r>
      <w:r w:rsidR="00BE1F94" w:rsidRPr="00183B5F">
        <w:rPr>
          <w:szCs w:val="22"/>
        </w:rPr>
        <w:t>szint</w:t>
      </w:r>
      <w:r w:rsidRPr="00183B5F">
        <w:rPr>
          <w:szCs w:val="22"/>
        </w:rPr>
        <w:t xml:space="preserve"> a normálérték felső határának  ≥ 3 szorosára emelkedett.</w:t>
      </w:r>
    </w:p>
    <w:p w14:paraId="6650664E" w14:textId="77777777" w:rsidR="00366005" w:rsidRPr="00183B5F" w:rsidRDefault="00366005">
      <w:pPr>
        <w:spacing w:line="240" w:lineRule="auto"/>
        <w:rPr>
          <w:szCs w:val="22"/>
        </w:rPr>
      </w:pPr>
    </w:p>
    <w:p w14:paraId="3571A823" w14:textId="77777777" w:rsidR="00366005" w:rsidRPr="00183B5F" w:rsidRDefault="00943743">
      <w:pPr>
        <w:spacing w:line="240" w:lineRule="auto"/>
        <w:rPr>
          <w:szCs w:val="22"/>
        </w:rPr>
      </w:pPr>
      <w:r w:rsidRPr="00183B5F">
        <w:rPr>
          <w:szCs w:val="22"/>
        </w:rPr>
        <w:t>Plakkos psoriasisban szenvedő betegeknél Humira</w:t>
      </w:r>
      <w:r w:rsidRPr="00183B5F">
        <w:rPr>
          <w:szCs w:val="22"/>
        </w:rPr>
        <w:noBreakHyphen/>
        <w:t>val végzett, 12</w:t>
      </w:r>
      <w:r w:rsidRPr="00183B5F">
        <w:rPr>
          <w:szCs w:val="22"/>
        </w:rPr>
        <w:noBreakHyphen/>
        <w:t xml:space="preserve">24 hetes, </w:t>
      </w:r>
      <w:r w:rsidR="00ED247D" w:rsidRPr="00183B5F">
        <w:rPr>
          <w:szCs w:val="22"/>
        </w:rPr>
        <w:t>III. fázisú</w:t>
      </w:r>
      <w:r w:rsidRPr="00183B5F">
        <w:rPr>
          <w:szCs w:val="22"/>
        </w:rPr>
        <w:t xml:space="preserve"> vizsgálatokban a </w:t>
      </w:r>
      <w:r w:rsidR="00934342" w:rsidRPr="00183B5F">
        <w:rPr>
          <w:szCs w:val="22"/>
        </w:rPr>
        <w:t>GPT</w:t>
      </w:r>
      <w:r w:rsidR="00677908" w:rsidRPr="00183B5F">
        <w:rPr>
          <w:szCs w:val="22"/>
        </w:rPr>
        <w:t xml:space="preserve"> (</w:t>
      </w:r>
      <w:r w:rsidR="00934342" w:rsidRPr="00183B5F">
        <w:rPr>
          <w:szCs w:val="22"/>
        </w:rPr>
        <w:t>ALAT</w:t>
      </w:r>
      <w:r w:rsidR="00677908" w:rsidRPr="00183B5F">
        <w:rPr>
          <w:szCs w:val="22"/>
        </w:rPr>
        <w:t>)-</w:t>
      </w:r>
      <w:r w:rsidR="00BE1F94" w:rsidRPr="00183B5F">
        <w:rPr>
          <w:szCs w:val="22"/>
        </w:rPr>
        <w:t>szint</w:t>
      </w:r>
      <w:r w:rsidRPr="00183B5F">
        <w:rPr>
          <w:szCs w:val="22"/>
        </w:rPr>
        <w:t xml:space="preserve"> a normálérték felső határának ≥ 3</w:t>
      </w:r>
      <w:r w:rsidRPr="00183B5F">
        <w:rPr>
          <w:szCs w:val="22"/>
        </w:rPr>
        <w:noBreakHyphen/>
        <w:t>szorosára történő emelkedése a Humira</w:t>
      </w:r>
      <w:r w:rsidRPr="00183B5F">
        <w:rPr>
          <w:szCs w:val="22"/>
        </w:rPr>
        <w:noBreakHyphen/>
        <w:t>val kezelt betegek 1,8%</w:t>
      </w:r>
      <w:r w:rsidRPr="00183B5F">
        <w:rPr>
          <w:szCs w:val="22"/>
        </w:rPr>
        <w:noBreakHyphen/>
        <w:t>ánál, a kontroll</w:t>
      </w:r>
      <w:r w:rsidR="000922A3" w:rsidRPr="00183B5F">
        <w:rPr>
          <w:szCs w:val="22"/>
        </w:rPr>
        <w:t>-</w:t>
      </w:r>
      <w:r w:rsidRPr="00183B5F">
        <w:rPr>
          <w:szCs w:val="22"/>
        </w:rPr>
        <w:t>kezelés mellett a betegek 1,8%</w:t>
      </w:r>
      <w:r w:rsidRPr="00183B5F">
        <w:rPr>
          <w:szCs w:val="22"/>
        </w:rPr>
        <w:noBreakHyphen/>
        <w:t>ánál fordult elő.</w:t>
      </w:r>
    </w:p>
    <w:p w14:paraId="644C0C79" w14:textId="77777777" w:rsidR="00366005" w:rsidRPr="00183B5F" w:rsidRDefault="00366005">
      <w:pPr>
        <w:spacing w:line="240" w:lineRule="auto"/>
        <w:rPr>
          <w:szCs w:val="22"/>
        </w:rPr>
      </w:pPr>
    </w:p>
    <w:p w14:paraId="54875BEB" w14:textId="77777777" w:rsidR="00366005" w:rsidRPr="00183B5F" w:rsidRDefault="00943743">
      <w:pPr>
        <w:spacing w:line="240" w:lineRule="auto"/>
        <w:rPr>
          <w:szCs w:val="22"/>
        </w:rPr>
      </w:pPr>
      <w:r w:rsidRPr="00183B5F">
        <w:rPr>
          <w:szCs w:val="22"/>
        </w:rPr>
        <w:t>Plakkos psoriasisban szenvedő pediátriai betegeknél Humira</w:t>
      </w:r>
      <w:r w:rsidR="001212F4" w:rsidRPr="00183B5F">
        <w:rPr>
          <w:szCs w:val="22"/>
        </w:rPr>
        <w:noBreakHyphen/>
      </w:r>
      <w:r w:rsidRPr="00183B5F">
        <w:rPr>
          <w:szCs w:val="22"/>
        </w:rPr>
        <w:t xml:space="preserve">val végzett </w:t>
      </w:r>
      <w:r w:rsidR="00ED247D" w:rsidRPr="00183B5F">
        <w:rPr>
          <w:szCs w:val="22"/>
        </w:rPr>
        <w:t>III. fázisú</w:t>
      </w:r>
      <w:r w:rsidRPr="00183B5F">
        <w:rPr>
          <w:szCs w:val="22"/>
        </w:rPr>
        <w:t xml:space="preserve"> vizsgálatok során nem fordult elő a </w:t>
      </w:r>
      <w:r w:rsidR="00934342" w:rsidRPr="00183B5F">
        <w:rPr>
          <w:szCs w:val="22"/>
        </w:rPr>
        <w:t xml:space="preserve">GPT </w:t>
      </w:r>
      <w:r w:rsidR="00677908" w:rsidRPr="00183B5F">
        <w:rPr>
          <w:szCs w:val="22"/>
        </w:rPr>
        <w:t>(</w:t>
      </w:r>
      <w:r w:rsidR="00934342" w:rsidRPr="00183B5F">
        <w:rPr>
          <w:szCs w:val="22"/>
        </w:rPr>
        <w:t>ALAT</w:t>
      </w:r>
      <w:r w:rsidR="00677908" w:rsidRPr="00183B5F">
        <w:rPr>
          <w:szCs w:val="22"/>
        </w:rPr>
        <w:t>)-</w:t>
      </w:r>
      <w:r w:rsidRPr="00183B5F">
        <w:rPr>
          <w:szCs w:val="22"/>
        </w:rPr>
        <w:t>szintnek a normálérték felső határának ≥ 3</w:t>
      </w:r>
      <w:r w:rsidRPr="00183B5F">
        <w:rPr>
          <w:szCs w:val="22"/>
        </w:rPr>
        <w:noBreakHyphen/>
        <w:t>szorosára való emelkedése.</w:t>
      </w:r>
    </w:p>
    <w:p w14:paraId="67DE17AB" w14:textId="77777777" w:rsidR="00366005" w:rsidRPr="00183B5F" w:rsidRDefault="00366005">
      <w:pPr>
        <w:spacing w:line="240" w:lineRule="auto"/>
        <w:rPr>
          <w:szCs w:val="22"/>
        </w:rPr>
      </w:pPr>
    </w:p>
    <w:p w14:paraId="4E3ED808" w14:textId="77777777" w:rsidR="00366005" w:rsidRPr="00183B5F" w:rsidRDefault="00943743">
      <w:pPr>
        <w:spacing w:line="240" w:lineRule="auto"/>
        <w:rPr>
          <w:szCs w:val="22"/>
        </w:rPr>
      </w:pPr>
      <w:r w:rsidRPr="00183B5F">
        <w:rPr>
          <w:szCs w:val="22"/>
        </w:rPr>
        <w:t>Hidradenitis suppurativában szenvedő betegeknél a Humira</w:t>
      </w:r>
      <w:r w:rsidR="001212F4" w:rsidRPr="00183B5F">
        <w:rPr>
          <w:szCs w:val="22"/>
        </w:rPr>
        <w:noBreakHyphen/>
      </w:r>
      <w:r w:rsidRPr="00183B5F">
        <w:rPr>
          <w:szCs w:val="22"/>
        </w:rPr>
        <w:t>val (kezdő dózis a 0. héten 160 mg és a 2. héten 80 mg, melyet a 4. héttől kezdve hetente 40 mg követ) végzett kontrollos vizsgálatokban, a 12</w:t>
      </w:r>
      <w:r w:rsidRPr="00183B5F">
        <w:rPr>
          <w:szCs w:val="22"/>
        </w:rPr>
        <w:noBreakHyphen/>
        <w:t xml:space="preserve">16 hetes kontrollperiódusban a </w:t>
      </w:r>
      <w:r w:rsidR="00934342" w:rsidRPr="00183B5F">
        <w:rPr>
          <w:szCs w:val="22"/>
        </w:rPr>
        <w:t xml:space="preserve">GPT </w:t>
      </w:r>
      <w:r w:rsidR="00677908" w:rsidRPr="00183B5F">
        <w:rPr>
          <w:szCs w:val="22"/>
        </w:rPr>
        <w:t>(</w:t>
      </w:r>
      <w:r w:rsidR="00934342" w:rsidRPr="00183B5F">
        <w:rPr>
          <w:szCs w:val="22"/>
        </w:rPr>
        <w:t>ALAT</w:t>
      </w:r>
      <w:r w:rsidR="00677908" w:rsidRPr="00183B5F">
        <w:rPr>
          <w:szCs w:val="22"/>
        </w:rPr>
        <w:t>)-</w:t>
      </w:r>
      <w:r w:rsidR="00BE1F94" w:rsidRPr="00183B5F">
        <w:rPr>
          <w:szCs w:val="22"/>
        </w:rPr>
        <w:t>szint</w:t>
      </w:r>
      <w:r w:rsidRPr="00183B5F">
        <w:rPr>
          <w:szCs w:val="22"/>
        </w:rPr>
        <w:t xml:space="preserve"> normálérték felső határának ≥ 3</w:t>
      </w:r>
      <w:r w:rsidRPr="00183B5F">
        <w:rPr>
          <w:szCs w:val="22"/>
        </w:rPr>
        <w:noBreakHyphen/>
        <w:t>szorosára történő emelkedése a Humira</w:t>
      </w:r>
      <w:r w:rsidRPr="00183B5F">
        <w:rPr>
          <w:szCs w:val="22"/>
        </w:rPr>
        <w:noBreakHyphen/>
        <w:t>val kezelt betegek 0,3%</w:t>
      </w:r>
      <w:r w:rsidRPr="00183B5F">
        <w:rPr>
          <w:szCs w:val="22"/>
        </w:rPr>
        <w:noBreakHyphen/>
        <w:t>ánál, míg a kontrollal kezelt betegek 0,6%</w:t>
      </w:r>
      <w:r w:rsidRPr="00183B5F">
        <w:rPr>
          <w:szCs w:val="22"/>
        </w:rPr>
        <w:noBreakHyphen/>
        <w:t>ánál fordult elő.</w:t>
      </w:r>
    </w:p>
    <w:p w14:paraId="5BF28DBC" w14:textId="77777777" w:rsidR="00366005" w:rsidRPr="00183B5F" w:rsidRDefault="00366005">
      <w:pPr>
        <w:spacing w:line="240" w:lineRule="auto"/>
        <w:rPr>
          <w:szCs w:val="22"/>
        </w:rPr>
      </w:pPr>
    </w:p>
    <w:p w14:paraId="0334558B" w14:textId="77777777" w:rsidR="00366005" w:rsidRPr="00183B5F" w:rsidRDefault="00943743">
      <w:pPr>
        <w:spacing w:line="240" w:lineRule="auto"/>
        <w:rPr>
          <w:szCs w:val="22"/>
        </w:rPr>
      </w:pPr>
      <w:r w:rsidRPr="00183B5F">
        <w:rPr>
          <w:szCs w:val="22"/>
        </w:rPr>
        <w:t>Uveitisben szenvedő felnőtt betegeknél a Humira</w:t>
      </w:r>
      <w:r w:rsidR="001212F4" w:rsidRPr="00183B5F">
        <w:rPr>
          <w:szCs w:val="22"/>
        </w:rPr>
        <w:noBreakHyphen/>
      </w:r>
      <w:r w:rsidRPr="00183B5F">
        <w:rPr>
          <w:szCs w:val="22"/>
        </w:rPr>
        <w:t>val (kezdő dózis a 0. héten 80 mg, melyet az 1. héttől kezdve minden második héten adott 40 mg követett) végzett, 80 hétig tartó kontrollos vizsgálatokban, a Humira</w:t>
      </w:r>
      <w:r w:rsidRPr="00183B5F">
        <w:rPr>
          <w:szCs w:val="22"/>
        </w:rPr>
        <w:noBreakHyphen/>
        <w:t xml:space="preserve">val kezelt betegeknél 166,5 nap, a kontrollcsoportnál 105 nap medián expozíciós idő esetén, a </w:t>
      </w:r>
      <w:r w:rsidR="00934342" w:rsidRPr="00183B5F">
        <w:rPr>
          <w:szCs w:val="22"/>
        </w:rPr>
        <w:t>GPT</w:t>
      </w:r>
      <w:r w:rsidR="00677908" w:rsidRPr="00183B5F">
        <w:rPr>
          <w:szCs w:val="22"/>
        </w:rPr>
        <w:t xml:space="preserve"> (</w:t>
      </w:r>
      <w:r w:rsidR="00934342" w:rsidRPr="00183B5F">
        <w:rPr>
          <w:szCs w:val="22"/>
        </w:rPr>
        <w:t>ALAT</w:t>
      </w:r>
      <w:r w:rsidR="00677908" w:rsidRPr="00183B5F">
        <w:rPr>
          <w:szCs w:val="22"/>
        </w:rPr>
        <w:t>)-</w:t>
      </w:r>
      <w:r w:rsidRPr="00183B5F">
        <w:rPr>
          <w:szCs w:val="22"/>
        </w:rPr>
        <w:t>szint normálérték felső határának ≥ 3</w:t>
      </w:r>
      <w:r w:rsidRPr="00183B5F">
        <w:rPr>
          <w:szCs w:val="22"/>
        </w:rPr>
        <w:noBreakHyphen/>
        <w:t>szorosára való emelkedése a Humira</w:t>
      </w:r>
      <w:r w:rsidRPr="00183B5F">
        <w:rPr>
          <w:szCs w:val="22"/>
        </w:rPr>
        <w:noBreakHyphen/>
        <w:t>val kezelt betegek 2,4%</w:t>
      </w:r>
      <w:r w:rsidRPr="00183B5F">
        <w:rPr>
          <w:szCs w:val="22"/>
        </w:rPr>
        <w:noBreakHyphen/>
        <w:t>ánál, a kontrollkezelés mellett a betegek 2,4%</w:t>
      </w:r>
      <w:r w:rsidRPr="00183B5F">
        <w:rPr>
          <w:szCs w:val="22"/>
        </w:rPr>
        <w:noBreakHyphen/>
        <w:t>ánál fordult elő.</w:t>
      </w:r>
    </w:p>
    <w:p w14:paraId="09C26CB9" w14:textId="77777777" w:rsidR="00366005" w:rsidRPr="00183B5F" w:rsidRDefault="00366005">
      <w:pPr>
        <w:spacing w:line="240" w:lineRule="auto"/>
        <w:rPr>
          <w:szCs w:val="22"/>
        </w:rPr>
      </w:pPr>
    </w:p>
    <w:p w14:paraId="02D1A3AB" w14:textId="77777777" w:rsidR="00366005" w:rsidRPr="00183B5F" w:rsidRDefault="00943743">
      <w:pPr>
        <w:spacing w:line="240" w:lineRule="auto"/>
        <w:rPr>
          <w:szCs w:val="22"/>
        </w:rPr>
      </w:pPr>
      <w:r w:rsidRPr="00183B5F">
        <w:rPr>
          <w:szCs w:val="22"/>
        </w:rPr>
        <w:t xml:space="preserve">A klinikai vizsgálatokban a magasabb </w:t>
      </w:r>
      <w:r w:rsidR="00934342" w:rsidRPr="00183B5F">
        <w:rPr>
          <w:szCs w:val="22"/>
        </w:rPr>
        <w:t>GPT</w:t>
      </w:r>
      <w:r w:rsidR="00677908" w:rsidRPr="00183B5F">
        <w:rPr>
          <w:szCs w:val="22"/>
        </w:rPr>
        <w:t xml:space="preserve"> (</w:t>
      </w:r>
      <w:r w:rsidR="00934342" w:rsidRPr="00183B5F">
        <w:rPr>
          <w:szCs w:val="22"/>
        </w:rPr>
        <w:t>ALAT</w:t>
      </w:r>
      <w:r w:rsidR="00677908" w:rsidRPr="00183B5F">
        <w:rPr>
          <w:szCs w:val="22"/>
        </w:rPr>
        <w:t>)-</w:t>
      </w:r>
      <w:r w:rsidR="00BE1F94" w:rsidRPr="00183B5F">
        <w:rPr>
          <w:szCs w:val="22"/>
        </w:rPr>
        <w:t>szintű</w:t>
      </w:r>
      <w:r w:rsidRPr="00183B5F">
        <w:rPr>
          <w:szCs w:val="22"/>
        </w:rPr>
        <w:t xml:space="preserve"> betegek tünetmentesek voltak valamennyi indikációban. Az esetek többségében az emelkedés átmeneti volt és a kezelés folytatása mellett megszűnt. A forgalomba hozatalt követően is beszámoltak májelégtelenségről és kevésbé súlyos olyan májbetegségekről is, amelyek megelőzhetik a májelégtelenséget, mint pl. a hepatitis, beleértve az autoimmun hepatitist az adalimumabbal kezelt betegeknél.</w:t>
      </w:r>
    </w:p>
    <w:p w14:paraId="3F8092E8" w14:textId="77777777" w:rsidR="00366005" w:rsidRPr="00183B5F" w:rsidRDefault="00366005">
      <w:pPr>
        <w:spacing w:line="240" w:lineRule="auto"/>
        <w:rPr>
          <w:b/>
          <w:szCs w:val="22"/>
        </w:rPr>
      </w:pPr>
    </w:p>
    <w:p w14:paraId="429096EB" w14:textId="77777777" w:rsidR="00366005" w:rsidRPr="00183B5F" w:rsidRDefault="00943743">
      <w:pPr>
        <w:keepNext/>
        <w:spacing w:line="240" w:lineRule="auto"/>
        <w:rPr>
          <w:szCs w:val="22"/>
          <w:u w:val="single"/>
        </w:rPr>
      </w:pPr>
      <w:r w:rsidRPr="00183B5F">
        <w:rPr>
          <w:szCs w:val="22"/>
          <w:u w:val="single"/>
        </w:rPr>
        <w:t>Egyidejű azatioprin/6</w:t>
      </w:r>
      <w:r w:rsidRPr="00183B5F">
        <w:rPr>
          <w:szCs w:val="22"/>
          <w:u w:val="single"/>
        </w:rPr>
        <w:noBreakHyphen/>
        <w:t>merkaptopurin-kezelés</w:t>
      </w:r>
    </w:p>
    <w:p w14:paraId="3FFA87A5" w14:textId="77777777" w:rsidR="00366005" w:rsidRPr="00183B5F" w:rsidRDefault="00366005">
      <w:pPr>
        <w:keepNext/>
        <w:spacing w:line="240" w:lineRule="auto"/>
        <w:rPr>
          <w:szCs w:val="22"/>
        </w:rPr>
      </w:pPr>
    </w:p>
    <w:p w14:paraId="0932895B" w14:textId="77777777" w:rsidR="00366005" w:rsidRPr="00183B5F" w:rsidRDefault="00943743">
      <w:pPr>
        <w:keepNext/>
        <w:spacing w:line="240" w:lineRule="auto"/>
        <w:rPr>
          <w:szCs w:val="22"/>
        </w:rPr>
      </w:pPr>
      <w:r w:rsidRPr="00183B5F">
        <w:rPr>
          <w:szCs w:val="22"/>
        </w:rPr>
        <w:t>Felnőttkori Crohn</w:t>
      </w:r>
      <w:r w:rsidRPr="00183B5F">
        <w:rPr>
          <w:szCs w:val="22"/>
        </w:rPr>
        <w:noBreakHyphen/>
        <w:t>betegségben végzett vizsgálatok során a rosszindulatú daganatokkal és súlyos fertőzésekkel kapcsolatos nemkívánatos események nagyobb gyakoriságát észlelték Humira és azatioprin/6</w:t>
      </w:r>
      <w:r w:rsidRPr="00183B5F">
        <w:rPr>
          <w:szCs w:val="22"/>
        </w:rPr>
        <w:noBreakHyphen/>
        <w:t>merkaptopurin kombinációs kezelés során, mint az önmagában adott Humira</w:t>
      </w:r>
      <w:r w:rsidRPr="00183B5F">
        <w:rPr>
          <w:szCs w:val="22"/>
        </w:rPr>
        <w:noBreakHyphen/>
        <w:t>kezelés esetén.</w:t>
      </w:r>
    </w:p>
    <w:p w14:paraId="72CC1550" w14:textId="77777777" w:rsidR="00366005" w:rsidRPr="00183B5F" w:rsidRDefault="00366005">
      <w:pPr>
        <w:pStyle w:val="EMEANormal"/>
        <w:suppressAutoHyphens w:val="0"/>
        <w:rPr>
          <w:szCs w:val="22"/>
          <w:lang w:val="hu-HU"/>
        </w:rPr>
      </w:pPr>
    </w:p>
    <w:p w14:paraId="1A5A932E" w14:textId="77777777" w:rsidR="00366005" w:rsidRPr="00183B5F" w:rsidRDefault="00943743">
      <w:pPr>
        <w:keepNext/>
        <w:spacing w:line="240" w:lineRule="auto"/>
        <w:rPr>
          <w:szCs w:val="22"/>
          <w:u w:val="single"/>
        </w:rPr>
      </w:pPr>
      <w:r w:rsidRPr="00183B5F">
        <w:rPr>
          <w:szCs w:val="22"/>
          <w:u w:val="single"/>
        </w:rPr>
        <w:t>Feltételezett mellékhatások bejelentése</w:t>
      </w:r>
    </w:p>
    <w:p w14:paraId="1FCCFB98" w14:textId="77777777" w:rsidR="00366005" w:rsidRPr="00183B5F" w:rsidRDefault="00366005">
      <w:pPr>
        <w:keepNext/>
        <w:spacing w:line="240" w:lineRule="auto"/>
        <w:rPr>
          <w:szCs w:val="22"/>
          <w:u w:val="single"/>
        </w:rPr>
      </w:pPr>
    </w:p>
    <w:p w14:paraId="15DCAC52" w14:textId="77777777" w:rsidR="00366005" w:rsidRPr="00183B5F" w:rsidRDefault="00943743">
      <w:pPr>
        <w:keepNext/>
        <w:spacing w:line="240" w:lineRule="auto"/>
        <w:rPr>
          <w:szCs w:val="22"/>
        </w:rPr>
      </w:pPr>
      <w:r w:rsidRPr="00183B5F">
        <w:rPr>
          <w:szCs w:val="22"/>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10" w:history="1">
        <w:r w:rsidR="00366005" w:rsidRPr="00183B5F">
          <w:rPr>
            <w:rStyle w:val="Hyperlink"/>
            <w:highlight w:val="lightGray"/>
          </w:rPr>
          <w:t>V. függelékben</w:t>
        </w:r>
      </w:hyperlink>
      <w:r w:rsidRPr="00183B5F">
        <w:rPr>
          <w:highlight w:val="lightGray"/>
        </w:rPr>
        <w:t xml:space="preserve"> található elérhetőségek valamelyikén keresztül</w:t>
      </w:r>
      <w:r w:rsidRPr="00183B5F">
        <w:rPr>
          <w:color w:val="008000"/>
        </w:rPr>
        <w:t>.</w:t>
      </w:r>
    </w:p>
    <w:p w14:paraId="4DCB7ECF" w14:textId="77777777" w:rsidR="00366005" w:rsidRPr="00183B5F" w:rsidRDefault="00366005">
      <w:pPr>
        <w:spacing w:line="240" w:lineRule="auto"/>
        <w:rPr>
          <w:b/>
          <w:szCs w:val="22"/>
        </w:rPr>
      </w:pPr>
    </w:p>
    <w:p w14:paraId="12CCADCF" w14:textId="77777777" w:rsidR="00366005" w:rsidRPr="00183B5F" w:rsidRDefault="00943743">
      <w:pPr>
        <w:keepNext/>
        <w:spacing w:line="240" w:lineRule="auto"/>
        <w:rPr>
          <w:b/>
          <w:szCs w:val="22"/>
        </w:rPr>
      </w:pPr>
      <w:r w:rsidRPr="00183B5F">
        <w:rPr>
          <w:b/>
          <w:szCs w:val="22"/>
        </w:rPr>
        <w:t>4.9</w:t>
      </w:r>
      <w:r w:rsidRPr="00183B5F">
        <w:rPr>
          <w:b/>
          <w:szCs w:val="22"/>
        </w:rPr>
        <w:tab/>
        <w:t>Túladagolás</w:t>
      </w:r>
    </w:p>
    <w:p w14:paraId="5134932C" w14:textId="77777777" w:rsidR="00366005" w:rsidRPr="00183B5F" w:rsidRDefault="00366005">
      <w:pPr>
        <w:keepNext/>
        <w:spacing w:line="240" w:lineRule="auto"/>
        <w:rPr>
          <w:szCs w:val="22"/>
        </w:rPr>
      </w:pPr>
    </w:p>
    <w:p w14:paraId="68FEE8EE" w14:textId="77777777" w:rsidR="00366005" w:rsidRPr="00183B5F" w:rsidRDefault="00943743">
      <w:pPr>
        <w:keepNext/>
        <w:spacing w:line="240" w:lineRule="auto"/>
        <w:rPr>
          <w:szCs w:val="22"/>
        </w:rPr>
      </w:pPr>
      <w:r w:rsidRPr="00183B5F">
        <w:rPr>
          <w:szCs w:val="22"/>
        </w:rPr>
        <w:t>A klinikai vizsgálatok során nem észlelt</w:t>
      </w:r>
      <w:r w:rsidR="00196BE7" w:rsidRPr="00183B5F">
        <w:rPr>
          <w:szCs w:val="22"/>
        </w:rPr>
        <w:t>é</w:t>
      </w:r>
      <w:r w:rsidRPr="00183B5F">
        <w:rPr>
          <w:szCs w:val="22"/>
        </w:rPr>
        <w:t>k dóziskorlátozó toxicitás jele</w:t>
      </w:r>
      <w:r w:rsidR="00196BE7" w:rsidRPr="00183B5F">
        <w:rPr>
          <w:szCs w:val="22"/>
        </w:rPr>
        <w:t>i</w:t>
      </w:r>
      <w:r w:rsidRPr="00183B5F">
        <w:rPr>
          <w:szCs w:val="22"/>
        </w:rPr>
        <w:t>t. A legmagasabb vizsgált dózis az intravénásan beadott 10 mg</w:t>
      </w:r>
      <w:r w:rsidR="00127A0B" w:rsidRPr="00183B5F">
        <w:rPr>
          <w:szCs w:val="22"/>
        </w:rPr>
        <w:t>/ttkg</w:t>
      </w:r>
      <w:r w:rsidRPr="00183B5F">
        <w:rPr>
          <w:szCs w:val="22"/>
        </w:rPr>
        <w:t>-os dózis többszöröse volt, amely az ajánlott dózis kb.</w:t>
      </w:r>
      <w:r w:rsidR="00BE1F94" w:rsidRPr="00183B5F">
        <w:rPr>
          <w:szCs w:val="22"/>
        </w:rPr>
        <w:t> </w:t>
      </w:r>
      <w:r w:rsidRPr="00183B5F">
        <w:rPr>
          <w:szCs w:val="22"/>
        </w:rPr>
        <w:t>15</w:t>
      </w:r>
      <w:r w:rsidR="00BE1F94" w:rsidRPr="00183B5F">
        <w:rPr>
          <w:szCs w:val="22"/>
        </w:rPr>
        <w:noBreakHyphen/>
      </w:r>
      <w:r w:rsidRPr="00183B5F">
        <w:rPr>
          <w:szCs w:val="22"/>
        </w:rPr>
        <w:t>szörösét teszi ki.</w:t>
      </w:r>
    </w:p>
    <w:p w14:paraId="163AEC86" w14:textId="77777777" w:rsidR="00366005" w:rsidRPr="00183B5F" w:rsidRDefault="00366005">
      <w:pPr>
        <w:spacing w:line="240" w:lineRule="auto"/>
      </w:pPr>
    </w:p>
    <w:p w14:paraId="6D908008" w14:textId="77777777" w:rsidR="00366005" w:rsidRPr="00183B5F" w:rsidRDefault="00366005">
      <w:pPr>
        <w:spacing w:line="240" w:lineRule="auto"/>
      </w:pPr>
    </w:p>
    <w:p w14:paraId="5B8CAB51" w14:textId="77777777" w:rsidR="00366005" w:rsidRPr="00183B5F" w:rsidRDefault="00943743" w:rsidP="00FE0197">
      <w:pPr>
        <w:keepNext/>
        <w:spacing w:line="240" w:lineRule="auto"/>
        <w:ind w:left="567" w:hanging="567"/>
        <w:rPr>
          <w:b/>
          <w:szCs w:val="22"/>
        </w:rPr>
      </w:pPr>
      <w:r w:rsidRPr="00183B5F">
        <w:rPr>
          <w:b/>
          <w:szCs w:val="22"/>
        </w:rPr>
        <w:t>5.</w:t>
      </w:r>
      <w:r w:rsidRPr="00183B5F">
        <w:rPr>
          <w:b/>
          <w:szCs w:val="22"/>
        </w:rPr>
        <w:tab/>
        <w:t>FARMAKOLÓGIAI TULAJDONSÁGOK</w:t>
      </w:r>
    </w:p>
    <w:p w14:paraId="3E95185E" w14:textId="77777777" w:rsidR="00366005" w:rsidRPr="00183B5F" w:rsidRDefault="00366005">
      <w:pPr>
        <w:spacing w:line="240" w:lineRule="auto"/>
        <w:rPr>
          <w:szCs w:val="22"/>
        </w:rPr>
      </w:pPr>
    </w:p>
    <w:p w14:paraId="78D4B519" w14:textId="77777777" w:rsidR="00366005" w:rsidRPr="00183B5F" w:rsidRDefault="00943743">
      <w:pPr>
        <w:spacing w:line="240" w:lineRule="auto"/>
        <w:ind w:left="567" w:hanging="567"/>
        <w:rPr>
          <w:b/>
          <w:szCs w:val="22"/>
        </w:rPr>
      </w:pPr>
      <w:r w:rsidRPr="00183B5F">
        <w:rPr>
          <w:b/>
          <w:szCs w:val="22"/>
        </w:rPr>
        <w:t>5.1</w:t>
      </w:r>
      <w:r w:rsidRPr="00183B5F">
        <w:rPr>
          <w:b/>
          <w:szCs w:val="22"/>
        </w:rPr>
        <w:tab/>
        <w:t>Farmakodinámiás tulajdonságok</w:t>
      </w:r>
    </w:p>
    <w:p w14:paraId="13346FF4" w14:textId="77777777" w:rsidR="00366005" w:rsidRPr="00183B5F" w:rsidRDefault="00366005">
      <w:pPr>
        <w:spacing w:line="240" w:lineRule="auto"/>
        <w:rPr>
          <w:szCs w:val="22"/>
        </w:rPr>
      </w:pPr>
    </w:p>
    <w:p w14:paraId="5DB79E75" w14:textId="77777777" w:rsidR="00366005" w:rsidRPr="00183B5F" w:rsidRDefault="00943743">
      <w:pPr>
        <w:spacing w:line="240" w:lineRule="auto"/>
        <w:rPr>
          <w:szCs w:val="22"/>
        </w:rPr>
      </w:pPr>
      <w:r w:rsidRPr="00183B5F">
        <w:rPr>
          <w:szCs w:val="22"/>
        </w:rPr>
        <w:t>Farmakoterápiás csoport: Immunszuppresszánsok, Tumornekrózis</w:t>
      </w:r>
      <w:r w:rsidRPr="00183B5F">
        <w:rPr>
          <w:szCs w:val="22"/>
        </w:rPr>
        <w:noBreakHyphen/>
        <w:t>faktor</w:t>
      </w:r>
      <w:r w:rsidRPr="00183B5F">
        <w:rPr>
          <w:szCs w:val="22"/>
        </w:rPr>
        <w:noBreakHyphen/>
        <w:t>alfa (TNF</w:t>
      </w:r>
      <w:r w:rsidRPr="00183B5F">
        <w:rPr>
          <w:szCs w:val="22"/>
        </w:rPr>
        <w:noBreakHyphen/>
        <w:t>α)</w:t>
      </w:r>
      <w:r w:rsidRPr="00183B5F">
        <w:rPr>
          <w:szCs w:val="22"/>
        </w:rPr>
        <w:noBreakHyphen/>
        <w:t>gátlók</w:t>
      </w:r>
    </w:p>
    <w:p w14:paraId="6846DEE5" w14:textId="77777777" w:rsidR="00366005" w:rsidRPr="00183B5F" w:rsidRDefault="00943743">
      <w:pPr>
        <w:spacing w:line="240" w:lineRule="auto"/>
        <w:rPr>
          <w:szCs w:val="22"/>
        </w:rPr>
      </w:pPr>
      <w:r w:rsidRPr="00183B5F">
        <w:rPr>
          <w:szCs w:val="22"/>
        </w:rPr>
        <w:t>ATC kód: L04AB04</w:t>
      </w:r>
    </w:p>
    <w:p w14:paraId="01E1E2B8" w14:textId="77777777" w:rsidR="00366005" w:rsidRPr="00183B5F" w:rsidRDefault="00366005">
      <w:pPr>
        <w:pStyle w:val="EndnoteText"/>
        <w:tabs>
          <w:tab w:val="clear" w:pos="567"/>
          <w:tab w:val="left" w:pos="708"/>
        </w:tabs>
        <w:suppressAutoHyphens/>
        <w:rPr>
          <w:sz w:val="22"/>
          <w:szCs w:val="22"/>
          <w:lang w:val="hu-HU" w:eastAsia="hu-HU"/>
        </w:rPr>
      </w:pPr>
    </w:p>
    <w:p w14:paraId="51C3530E" w14:textId="77777777" w:rsidR="00366005" w:rsidRPr="00183B5F" w:rsidRDefault="00943743">
      <w:pPr>
        <w:keepNext/>
        <w:spacing w:line="240" w:lineRule="auto"/>
        <w:rPr>
          <w:szCs w:val="22"/>
          <w:u w:val="single"/>
        </w:rPr>
      </w:pPr>
      <w:r w:rsidRPr="00183B5F">
        <w:rPr>
          <w:szCs w:val="22"/>
          <w:u w:val="single"/>
        </w:rPr>
        <w:t>Hatásmechanizmus</w:t>
      </w:r>
    </w:p>
    <w:p w14:paraId="4D56325A" w14:textId="77777777" w:rsidR="00366005" w:rsidRPr="00183B5F" w:rsidRDefault="00366005">
      <w:pPr>
        <w:keepNext/>
        <w:spacing w:line="240" w:lineRule="auto"/>
        <w:rPr>
          <w:szCs w:val="22"/>
        </w:rPr>
      </w:pPr>
    </w:p>
    <w:p w14:paraId="7ED6979C" w14:textId="77777777" w:rsidR="00366005" w:rsidRPr="00183B5F" w:rsidRDefault="00943743">
      <w:pPr>
        <w:spacing w:line="240" w:lineRule="auto"/>
        <w:rPr>
          <w:szCs w:val="22"/>
        </w:rPr>
      </w:pPr>
      <w:r w:rsidRPr="00183B5F">
        <w:rPr>
          <w:szCs w:val="22"/>
        </w:rPr>
        <w:t>Az adalimumab specifikusan kötődik a TNF</w:t>
      </w:r>
      <w:r w:rsidRPr="00183B5F">
        <w:rPr>
          <w:szCs w:val="22"/>
        </w:rPr>
        <w:noBreakHyphen/>
        <w:t>hez és semlegesíti a TNF biológiai hatását azáltal, hogy megakadályozza a TNF interakcióját a p55 és p75 sejtfelszíni TNF</w:t>
      </w:r>
      <w:r w:rsidR="007F0C9D" w:rsidRPr="00183B5F">
        <w:rPr>
          <w:szCs w:val="22"/>
        </w:rPr>
        <w:noBreakHyphen/>
      </w:r>
      <w:r w:rsidRPr="00183B5F">
        <w:rPr>
          <w:szCs w:val="22"/>
        </w:rPr>
        <w:t>receptorokkal.</w:t>
      </w:r>
    </w:p>
    <w:p w14:paraId="0983319D" w14:textId="77777777" w:rsidR="00366005" w:rsidRPr="00183B5F" w:rsidRDefault="00366005">
      <w:pPr>
        <w:spacing w:line="240" w:lineRule="auto"/>
        <w:rPr>
          <w:szCs w:val="22"/>
        </w:rPr>
      </w:pPr>
    </w:p>
    <w:p w14:paraId="091303EB" w14:textId="77777777" w:rsidR="00366005" w:rsidRPr="00183B5F" w:rsidRDefault="00943743">
      <w:pPr>
        <w:spacing w:line="240" w:lineRule="auto"/>
        <w:rPr>
          <w:szCs w:val="22"/>
        </w:rPr>
      </w:pPr>
      <w:r w:rsidRPr="00183B5F">
        <w:rPr>
          <w:szCs w:val="22"/>
        </w:rPr>
        <w:t>Továbbá az adalimumab módosítja azokat a biológiai válaszokat, melyeket a TNF indukál, illetve szabályoz, beleértve a leukocyták vándorlásáért felelős adhéziós molekulák szintjeinek változtatását (ELAM</w:t>
      </w:r>
      <w:r w:rsidRPr="00183B5F">
        <w:rPr>
          <w:szCs w:val="22"/>
        </w:rPr>
        <w:noBreakHyphen/>
        <w:t>1, VCAM</w:t>
      </w:r>
      <w:r w:rsidRPr="00183B5F">
        <w:rPr>
          <w:szCs w:val="22"/>
        </w:rPr>
        <w:noBreakHyphen/>
        <w:t>1 és ICAM</w:t>
      </w:r>
      <w:r w:rsidRPr="00183B5F">
        <w:rPr>
          <w:szCs w:val="22"/>
        </w:rPr>
        <w:noBreakHyphen/>
        <w:t>1, melyek IC</w:t>
      </w:r>
      <w:r w:rsidRPr="00183B5F">
        <w:rPr>
          <w:szCs w:val="22"/>
          <w:vertAlign w:val="subscript"/>
        </w:rPr>
        <w:t>50</w:t>
      </w:r>
      <w:r w:rsidRPr="00183B5F">
        <w:rPr>
          <w:szCs w:val="22"/>
        </w:rPr>
        <w:t xml:space="preserve"> értékei 0,1 – 0,2</w:t>
      </w:r>
      <w:r w:rsidRPr="00183B5F">
        <w:rPr>
          <w:szCs w:val="22"/>
          <w:vertAlign w:val="superscript"/>
        </w:rPr>
        <w:t> </w:t>
      </w:r>
      <w:r w:rsidRPr="00183B5F">
        <w:rPr>
          <w:szCs w:val="22"/>
        </w:rPr>
        <w:t>nM)</w:t>
      </w:r>
      <w:r w:rsidR="00BE1F94" w:rsidRPr="00183B5F">
        <w:rPr>
          <w:szCs w:val="22"/>
        </w:rPr>
        <w:t>.</w:t>
      </w:r>
    </w:p>
    <w:p w14:paraId="398A0478" w14:textId="77777777" w:rsidR="00366005" w:rsidRPr="00183B5F" w:rsidRDefault="00366005">
      <w:pPr>
        <w:spacing w:line="240" w:lineRule="auto"/>
        <w:rPr>
          <w:szCs w:val="22"/>
          <w:u w:val="single"/>
        </w:rPr>
      </w:pPr>
    </w:p>
    <w:p w14:paraId="7EDA4EF9" w14:textId="77777777" w:rsidR="00366005" w:rsidRPr="00183B5F" w:rsidRDefault="00943743">
      <w:pPr>
        <w:keepNext/>
        <w:spacing w:line="240" w:lineRule="auto"/>
        <w:rPr>
          <w:szCs w:val="22"/>
          <w:u w:val="single"/>
        </w:rPr>
      </w:pPr>
      <w:r w:rsidRPr="00183B5F">
        <w:rPr>
          <w:szCs w:val="22"/>
          <w:u w:val="single"/>
        </w:rPr>
        <w:t>Farmakodinámiás hatások</w:t>
      </w:r>
    </w:p>
    <w:p w14:paraId="1814AF6E" w14:textId="77777777" w:rsidR="00366005" w:rsidRPr="00183B5F" w:rsidRDefault="00366005">
      <w:pPr>
        <w:pStyle w:val="EndnoteText"/>
        <w:keepNext/>
        <w:tabs>
          <w:tab w:val="clear" w:pos="567"/>
          <w:tab w:val="left" w:pos="708"/>
        </w:tabs>
        <w:suppressAutoHyphens/>
        <w:rPr>
          <w:sz w:val="22"/>
          <w:szCs w:val="22"/>
          <w:lang w:val="hu-HU" w:eastAsia="hu-HU"/>
        </w:rPr>
      </w:pPr>
    </w:p>
    <w:p w14:paraId="6C9AC3EF" w14:textId="77777777" w:rsidR="00366005" w:rsidRPr="00183B5F" w:rsidRDefault="00943743">
      <w:pPr>
        <w:keepNext/>
        <w:spacing w:line="240" w:lineRule="auto"/>
        <w:rPr>
          <w:szCs w:val="22"/>
        </w:rPr>
      </w:pPr>
      <w:r w:rsidRPr="00183B5F">
        <w:rPr>
          <w:szCs w:val="22"/>
        </w:rPr>
        <w:t>A rheumatoid arthritisben szenvedő betegek Humira</w:t>
      </w:r>
      <w:r w:rsidRPr="00183B5F">
        <w:rPr>
          <w:szCs w:val="22"/>
        </w:rPr>
        <w:noBreakHyphen/>
        <w:t>val való kezelését követően gyors csökkenés tapasztalható az akutfázis</w:t>
      </w:r>
      <w:r w:rsidR="00F4121D" w:rsidRPr="00183B5F">
        <w:rPr>
          <w:szCs w:val="22"/>
        </w:rPr>
        <w:t>-</w:t>
      </w:r>
      <w:r w:rsidRPr="00183B5F">
        <w:rPr>
          <w:szCs w:val="22"/>
        </w:rPr>
        <w:t>fehérjék (C</w:t>
      </w:r>
      <w:r w:rsidR="00BE1F94" w:rsidRPr="00183B5F">
        <w:rPr>
          <w:szCs w:val="22"/>
        </w:rPr>
        <w:noBreakHyphen/>
      </w:r>
      <w:r w:rsidRPr="00183B5F">
        <w:rPr>
          <w:szCs w:val="22"/>
        </w:rPr>
        <w:t>reaktív protein</w:t>
      </w:r>
      <w:r w:rsidR="00BE1F94" w:rsidRPr="00183B5F">
        <w:rPr>
          <w:szCs w:val="22"/>
        </w:rPr>
        <w:t xml:space="preserve"> </w:t>
      </w:r>
      <w:r w:rsidRPr="00183B5F">
        <w:rPr>
          <w:szCs w:val="22"/>
        </w:rPr>
        <w:noBreakHyphen/>
      </w:r>
      <w:r w:rsidR="00BE1F94" w:rsidRPr="00183B5F">
        <w:rPr>
          <w:szCs w:val="22"/>
        </w:rPr>
        <w:t xml:space="preserve"> </w:t>
      </w:r>
      <w:r w:rsidRPr="00183B5F">
        <w:rPr>
          <w:szCs w:val="22"/>
        </w:rPr>
        <w:t>CRP), a süllyedés, illetve a citokinek (IL</w:t>
      </w:r>
      <w:r w:rsidRPr="00183B5F">
        <w:rPr>
          <w:szCs w:val="22"/>
        </w:rPr>
        <w:noBreakHyphen/>
        <w:t>6) szintjeiben, összehasonlítva a kezelés előtti kiindulási értékekkel. A porcszövet pusztulását eredményező szöveti remodelingért felelős matrix metalloproteinázok (MMP</w:t>
      </w:r>
      <w:r w:rsidRPr="00183B5F">
        <w:rPr>
          <w:szCs w:val="22"/>
        </w:rPr>
        <w:noBreakHyphen/>
        <w:t>1 és MMP</w:t>
      </w:r>
      <w:r w:rsidRPr="00183B5F">
        <w:rPr>
          <w:szCs w:val="22"/>
        </w:rPr>
        <w:noBreakHyphen/>
        <w:t>3) szérumszintjeiben is csökkenés tapasztalható a Humira alkalmazása után. A Humira</w:t>
      </w:r>
      <w:r w:rsidRPr="00183B5F">
        <w:rPr>
          <w:szCs w:val="22"/>
        </w:rPr>
        <w:noBreakHyphen/>
        <w:t>val kezelt betegeknél rendszerint a krónikus gyulladás hematológiai paramétereiben is javulás tapasztalh</w:t>
      </w:r>
      <w:r w:rsidRPr="00183B5F">
        <w:rPr>
          <w:szCs w:val="22"/>
        </w:rPr>
        <w:t>ató.</w:t>
      </w:r>
    </w:p>
    <w:p w14:paraId="085B91C7" w14:textId="77777777" w:rsidR="00366005" w:rsidRPr="00183B5F" w:rsidRDefault="00366005">
      <w:pPr>
        <w:spacing w:line="240" w:lineRule="auto"/>
        <w:rPr>
          <w:b/>
          <w:szCs w:val="22"/>
        </w:rPr>
      </w:pPr>
    </w:p>
    <w:p w14:paraId="3BF42CC6" w14:textId="77777777" w:rsidR="00366005" w:rsidRPr="00183B5F" w:rsidRDefault="00943743">
      <w:pPr>
        <w:spacing w:line="240" w:lineRule="auto"/>
        <w:rPr>
          <w:szCs w:val="22"/>
        </w:rPr>
      </w:pPr>
      <w:r w:rsidRPr="00183B5F">
        <w:rPr>
          <w:szCs w:val="22"/>
        </w:rPr>
        <w:t>Polyarticularis juvenilis idiopathiás arthritisben, Crohn</w:t>
      </w:r>
      <w:r w:rsidRPr="00183B5F">
        <w:rPr>
          <w:szCs w:val="22"/>
        </w:rPr>
        <w:noBreakHyphen/>
        <w:t>betegségben</w:t>
      </w:r>
      <w:r w:rsidR="00BE1F94" w:rsidRPr="00183B5F">
        <w:rPr>
          <w:szCs w:val="22"/>
        </w:rPr>
        <w:t>,</w:t>
      </w:r>
      <w:r w:rsidRPr="00183B5F">
        <w:rPr>
          <w:szCs w:val="22"/>
        </w:rPr>
        <w:t xml:space="preserve"> colitis ulcerosában és hidradenitis suppurativában is a CRP</w:t>
      </w:r>
      <w:r w:rsidRPr="00183B5F">
        <w:rPr>
          <w:szCs w:val="22"/>
        </w:rPr>
        <w:noBreakHyphen/>
        <w:t>szint gyors csökkenését figyelték meg a Humira</w:t>
      </w:r>
      <w:r w:rsidRPr="00183B5F">
        <w:rPr>
          <w:szCs w:val="22"/>
        </w:rPr>
        <w:noBreakHyphen/>
        <w:t>kezelést követően. Crohn</w:t>
      </w:r>
      <w:r w:rsidRPr="00183B5F">
        <w:rPr>
          <w:szCs w:val="22"/>
        </w:rPr>
        <w:noBreakHyphen/>
        <w:t>betegségben szenvedő betegeknél a gyulladásos markereket expresszáló sejtek számának csökkenését figyelték meg a vastagbélben, beleértve a TNFα csökkent expresszióját is. A bélnyálkahártya endoszkópos vizsgálatai az adalimumabbal kezelt betegeknél a nyálkahártya gyógyulására utaló bizonyítékot mutattak.</w:t>
      </w:r>
    </w:p>
    <w:p w14:paraId="21668B96" w14:textId="77777777" w:rsidR="00366005" w:rsidRPr="00183B5F" w:rsidRDefault="00366005">
      <w:pPr>
        <w:spacing w:line="240" w:lineRule="auto"/>
        <w:rPr>
          <w:szCs w:val="22"/>
        </w:rPr>
      </w:pPr>
    </w:p>
    <w:p w14:paraId="7605C34B" w14:textId="77777777" w:rsidR="00366005" w:rsidRPr="00183B5F" w:rsidRDefault="00943743">
      <w:pPr>
        <w:keepNext/>
        <w:spacing w:line="240" w:lineRule="auto"/>
        <w:rPr>
          <w:noProof/>
          <w:szCs w:val="24"/>
          <w:u w:val="single"/>
        </w:rPr>
      </w:pPr>
      <w:r w:rsidRPr="00183B5F">
        <w:rPr>
          <w:szCs w:val="22"/>
          <w:u w:val="single"/>
        </w:rPr>
        <w:t xml:space="preserve">Klinikai </w:t>
      </w:r>
      <w:r w:rsidRPr="00183B5F">
        <w:rPr>
          <w:noProof/>
          <w:szCs w:val="24"/>
          <w:u w:val="single"/>
        </w:rPr>
        <w:t>hatásosság és biztonságosság</w:t>
      </w:r>
    </w:p>
    <w:p w14:paraId="5622113A" w14:textId="77777777" w:rsidR="00366005" w:rsidRPr="00183B5F" w:rsidRDefault="00366005">
      <w:pPr>
        <w:spacing w:line="240" w:lineRule="auto"/>
      </w:pPr>
    </w:p>
    <w:p w14:paraId="73FBB702" w14:textId="77777777" w:rsidR="00366005" w:rsidRPr="00183B5F" w:rsidRDefault="00943743">
      <w:pPr>
        <w:keepNext/>
        <w:spacing w:line="240" w:lineRule="auto"/>
        <w:rPr>
          <w:i/>
          <w:szCs w:val="22"/>
        </w:rPr>
      </w:pPr>
      <w:r w:rsidRPr="00183B5F">
        <w:rPr>
          <w:i/>
          <w:szCs w:val="22"/>
        </w:rPr>
        <w:t>Rheumatoid arthritisben szenvedő felnőttek</w:t>
      </w:r>
    </w:p>
    <w:p w14:paraId="1AA8B8DF" w14:textId="77777777" w:rsidR="00366005" w:rsidRPr="00183B5F" w:rsidRDefault="00366005">
      <w:pPr>
        <w:keepNext/>
        <w:spacing w:line="240" w:lineRule="auto"/>
        <w:rPr>
          <w:szCs w:val="22"/>
          <w:u w:val="single"/>
        </w:rPr>
      </w:pPr>
    </w:p>
    <w:p w14:paraId="55C90147" w14:textId="77777777" w:rsidR="00366005" w:rsidRPr="00183B5F" w:rsidRDefault="00943743">
      <w:pPr>
        <w:keepNext/>
        <w:spacing w:line="240" w:lineRule="auto"/>
        <w:rPr>
          <w:szCs w:val="22"/>
        </w:rPr>
      </w:pPr>
      <w:r w:rsidRPr="00183B5F">
        <w:rPr>
          <w:szCs w:val="22"/>
        </w:rPr>
        <w:t>A Humira</w:t>
      </w:r>
      <w:r w:rsidRPr="00183B5F">
        <w:rPr>
          <w:szCs w:val="22"/>
        </w:rPr>
        <w:noBreakHyphen/>
        <w:t>t több mint 3000 betegen vizsgálták az összes rheumatoid arthritisben folytatott klinikai vizsgálat során. A Humira hatásosságát és biztonságosságát öt randomizált, kettős</w:t>
      </w:r>
      <w:r w:rsidR="00E5381A" w:rsidRPr="00183B5F">
        <w:rPr>
          <w:szCs w:val="22"/>
        </w:rPr>
        <w:t xml:space="preserve"> </w:t>
      </w:r>
      <w:r w:rsidRPr="00183B5F">
        <w:rPr>
          <w:szCs w:val="22"/>
        </w:rPr>
        <w:t xml:space="preserve">vak és </w:t>
      </w:r>
      <w:r w:rsidR="008511AE" w:rsidRPr="00183B5F">
        <w:rPr>
          <w:szCs w:val="22"/>
        </w:rPr>
        <w:t>megfelelő kontrollt alka</w:t>
      </w:r>
      <w:r w:rsidR="00713A57" w:rsidRPr="00183B5F">
        <w:rPr>
          <w:szCs w:val="22"/>
        </w:rPr>
        <w:t>l</w:t>
      </w:r>
      <w:r w:rsidR="008511AE" w:rsidRPr="00183B5F">
        <w:rPr>
          <w:szCs w:val="22"/>
        </w:rPr>
        <w:t>mazó</w:t>
      </w:r>
      <w:r w:rsidRPr="00183B5F">
        <w:rPr>
          <w:szCs w:val="22"/>
        </w:rPr>
        <w:t xml:space="preserve"> vizsgálat során vizsgálták. Néhány beteg akár 120 hónapig tartó kezelést kapott.</w:t>
      </w:r>
    </w:p>
    <w:p w14:paraId="1B42D876" w14:textId="77777777" w:rsidR="00366005" w:rsidRPr="00183B5F" w:rsidRDefault="00366005">
      <w:pPr>
        <w:spacing w:line="240" w:lineRule="auto"/>
        <w:rPr>
          <w:szCs w:val="22"/>
        </w:rPr>
      </w:pPr>
    </w:p>
    <w:p w14:paraId="6E76EE45" w14:textId="77777777" w:rsidR="00366005" w:rsidRPr="00183B5F" w:rsidRDefault="00943743">
      <w:pPr>
        <w:spacing w:line="240" w:lineRule="auto"/>
        <w:rPr>
          <w:szCs w:val="22"/>
        </w:rPr>
      </w:pPr>
      <w:r w:rsidRPr="00183B5F">
        <w:rPr>
          <w:szCs w:val="22"/>
        </w:rPr>
        <w:t>Az RA I vizsgálatban 271 beteget értékeltek. A résztvevők mind köz</w:t>
      </w:r>
      <w:r w:rsidR="00C30980" w:rsidRPr="00183B5F">
        <w:rPr>
          <w:szCs w:val="22"/>
        </w:rPr>
        <w:t xml:space="preserve">epesen </w:t>
      </w:r>
      <w:r w:rsidRPr="00183B5F">
        <w:rPr>
          <w:szCs w:val="22"/>
        </w:rPr>
        <w:t>súlyos</w:t>
      </w:r>
      <w:r w:rsidRPr="00183B5F">
        <w:rPr>
          <w:szCs w:val="22"/>
        </w:rPr>
        <w:noBreakHyphen/>
        <w:t>súlyos aktív rheumatoid arthritisben szenvedő 18 éves és idősebb betegek voltak, akiknél legalább egy betegséget befolyásoló reumaellenes gyógyszer nem járt eredménnyel</w:t>
      </w:r>
      <w:r w:rsidR="00821DCB" w:rsidRPr="00183B5F">
        <w:rPr>
          <w:szCs w:val="22"/>
        </w:rPr>
        <w:t>,</w:t>
      </w:r>
      <w:r w:rsidRPr="00183B5F">
        <w:rPr>
          <w:szCs w:val="22"/>
        </w:rPr>
        <w:t xml:space="preserve"> és korábban a metotrexát heti 12,5</w:t>
      </w:r>
      <w:r w:rsidRPr="00183B5F">
        <w:rPr>
          <w:szCs w:val="22"/>
        </w:rPr>
        <w:noBreakHyphen/>
        <w:t>25 mg</w:t>
      </w:r>
      <w:r w:rsidRPr="00183B5F">
        <w:rPr>
          <w:szCs w:val="22"/>
        </w:rPr>
        <w:noBreakHyphen/>
        <w:t>os (10 mg metotrexát intoleran</w:t>
      </w:r>
      <w:r w:rsidR="006F63B0" w:rsidRPr="00183B5F">
        <w:rPr>
          <w:szCs w:val="22"/>
        </w:rPr>
        <w:t>c</w:t>
      </w:r>
      <w:r w:rsidRPr="00183B5F">
        <w:rPr>
          <w:szCs w:val="22"/>
        </w:rPr>
        <w:t>ia esetén) dózisaival sem lehetett kielégítő hatást elérni, és akiknél a metotrexát dózisa a vizsgálatot megelőzően stabilan heti 10</w:t>
      </w:r>
      <w:r w:rsidRPr="00183B5F">
        <w:rPr>
          <w:szCs w:val="22"/>
        </w:rPr>
        <w:noBreakHyphen/>
        <w:t>25 mg volt. A vizsgálat során 20, 40 illetve 80 mg Humira</w:t>
      </w:r>
      <w:r w:rsidRPr="00183B5F">
        <w:rPr>
          <w:szCs w:val="22"/>
        </w:rPr>
        <w:noBreakHyphen/>
        <w:t>t vagy placebót kaptak minden második héten, 24 héten át.</w:t>
      </w:r>
    </w:p>
    <w:p w14:paraId="639FD13D" w14:textId="77777777" w:rsidR="00366005" w:rsidRPr="00183B5F" w:rsidRDefault="00366005">
      <w:pPr>
        <w:spacing w:line="240" w:lineRule="auto"/>
        <w:rPr>
          <w:szCs w:val="22"/>
        </w:rPr>
      </w:pPr>
    </w:p>
    <w:p w14:paraId="052AFAE3" w14:textId="77777777" w:rsidR="00366005" w:rsidRPr="00183B5F" w:rsidRDefault="00943743">
      <w:pPr>
        <w:spacing w:line="240" w:lineRule="auto"/>
        <w:rPr>
          <w:szCs w:val="22"/>
        </w:rPr>
      </w:pPr>
      <w:r w:rsidRPr="00183B5F">
        <w:rPr>
          <w:szCs w:val="22"/>
        </w:rPr>
        <w:t>Az RA II vizsgálatban 544 beteget értékeltek. A betegek mind köz</w:t>
      </w:r>
      <w:r w:rsidR="00C30980" w:rsidRPr="00183B5F">
        <w:rPr>
          <w:szCs w:val="22"/>
        </w:rPr>
        <w:t xml:space="preserve">epesen </w:t>
      </w:r>
      <w:r w:rsidRPr="00183B5F">
        <w:rPr>
          <w:szCs w:val="22"/>
        </w:rPr>
        <w:t>súlyos</w:t>
      </w:r>
      <w:r w:rsidRPr="00183B5F">
        <w:rPr>
          <w:szCs w:val="22"/>
        </w:rPr>
        <w:noBreakHyphen/>
        <w:t>súlyos rheumatoid arthritisben szenvedtek, 18 évesek vagy annál idősebbek voltak és esetükben legalább egy betegséget befolyásoló reumaellenes gyógyszer alkalmazása nem járt eredménnyel. 20</w:t>
      </w:r>
      <w:r w:rsidR="00006163" w:rsidRPr="00183B5F">
        <w:rPr>
          <w:szCs w:val="22"/>
        </w:rPr>
        <w:t>,</w:t>
      </w:r>
      <w:r w:rsidRPr="00183B5F">
        <w:rPr>
          <w:szCs w:val="22"/>
        </w:rPr>
        <w:t xml:space="preserve"> illetve 40 mg Humira</w:t>
      </w:r>
      <w:r w:rsidRPr="00183B5F">
        <w:rPr>
          <w:szCs w:val="22"/>
        </w:rPr>
        <w:noBreakHyphen/>
        <w:t>t kaptak subcutan injekció formájában minden második héten, placebóval az alternáló heteken vagy minden héten 26 héten át; illetve placebót kaptak minden héten azonos időtartamban. Egyéb betegséget befolyásoló reumaellenes gyógyszert nem kaphattak.</w:t>
      </w:r>
    </w:p>
    <w:p w14:paraId="5CE79541" w14:textId="77777777" w:rsidR="00366005" w:rsidRPr="00183B5F" w:rsidRDefault="00366005">
      <w:pPr>
        <w:spacing w:line="240" w:lineRule="auto"/>
        <w:rPr>
          <w:szCs w:val="22"/>
        </w:rPr>
      </w:pPr>
    </w:p>
    <w:p w14:paraId="3B55C0B2" w14:textId="77777777" w:rsidR="00366005" w:rsidRPr="00183B5F" w:rsidRDefault="00943743">
      <w:pPr>
        <w:pStyle w:val="BodyText"/>
        <w:spacing w:line="240" w:lineRule="auto"/>
        <w:rPr>
          <w:szCs w:val="22"/>
          <w:lang w:val="hu-HU"/>
        </w:rPr>
      </w:pPr>
      <w:r w:rsidRPr="00183B5F">
        <w:rPr>
          <w:lang w:val="hu-HU"/>
        </w:rPr>
        <w:t>Az RA</w:t>
      </w:r>
      <w:r w:rsidRPr="00183B5F">
        <w:rPr>
          <w:bCs/>
          <w:iCs/>
          <w:szCs w:val="22"/>
          <w:lang w:val="hu-HU"/>
        </w:rPr>
        <w:t> </w:t>
      </w:r>
      <w:r w:rsidRPr="00183B5F">
        <w:rPr>
          <w:lang w:val="hu-HU"/>
        </w:rPr>
        <w:t>III vizsgálatban 619</w:t>
      </w:r>
      <w:r w:rsidRPr="00183B5F">
        <w:rPr>
          <w:bCs/>
          <w:iCs/>
          <w:szCs w:val="22"/>
          <w:lang w:val="hu-HU"/>
        </w:rPr>
        <w:t> </w:t>
      </w:r>
      <w:r w:rsidRPr="00183B5F">
        <w:rPr>
          <w:lang w:val="hu-HU"/>
        </w:rPr>
        <w:t xml:space="preserve">közepesen súlyos és súlyos aktív rheumatoid arthritisben szenvedő, </w:t>
      </w:r>
      <w:r w:rsidRPr="00183B5F">
        <w:rPr>
          <w:rFonts w:ascii="Symbol" w:hAnsi="Symbol"/>
          <w:lang w:val="hu-HU"/>
        </w:rPr>
        <w:sym w:font="Symbol" w:char="F0B3"/>
      </w:r>
      <w:r w:rsidRPr="00183B5F">
        <w:rPr>
          <w:szCs w:val="22"/>
          <w:lang w:val="hu-HU"/>
        </w:rPr>
        <w:t> 18</w:t>
      </w:r>
      <w:r w:rsidR="00006163" w:rsidRPr="00183B5F">
        <w:rPr>
          <w:szCs w:val="22"/>
          <w:lang w:val="hu-HU"/>
        </w:rPr>
        <w:t> </w:t>
      </w:r>
      <w:r w:rsidRPr="00183B5F">
        <w:rPr>
          <w:szCs w:val="22"/>
          <w:lang w:val="hu-HU"/>
        </w:rPr>
        <w:t>éves beteget értékeltek, akik nem megfelelően reagáltak a 12,5 – 25 mg közötti metotrexát dózisokra, vagy nem tolerálták a hetenkénti 10 mg metotrexátot</w:t>
      </w:r>
      <w:r w:rsidRPr="00183B5F">
        <w:rPr>
          <w:lang w:val="hu-HU"/>
        </w:rPr>
        <w:t>. Ebben a vizsgálatban a betegeket három csoportra osztották. Az első csoportba tartozók placebo injekciót kaptak minden héten 52 héten át. A második csoport tagjai 20 mg Humira</w:t>
      </w:r>
      <w:r w:rsidRPr="00183B5F">
        <w:rPr>
          <w:bCs/>
          <w:iCs/>
          <w:szCs w:val="22"/>
          <w:lang w:val="hu-HU"/>
        </w:rPr>
        <w:noBreakHyphen/>
      </w:r>
      <w:r w:rsidRPr="00183B5F">
        <w:rPr>
          <w:lang w:val="hu-HU"/>
        </w:rPr>
        <w:t>t kaptak hetente</w:t>
      </w:r>
      <w:r w:rsidR="00006163" w:rsidRPr="00183B5F">
        <w:rPr>
          <w:lang w:val="hu-HU"/>
        </w:rPr>
        <w:t>,</w:t>
      </w:r>
      <w:r w:rsidRPr="00183B5F">
        <w:rPr>
          <w:lang w:val="hu-HU"/>
        </w:rPr>
        <w:t xml:space="preserve"> 52 héten át. A harmadik csoport 40 mg Humira</w:t>
      </w:r>
      <w:r w:rsidRPr="00183B5F">
        <w:rPr>
          <w:bCs/>
          <w:iCs/>
          <w:szCs w:val="22"/>
          <w:lang w:val="hu-HU"/>
        </w:rPr>
        <w:noBreakHyphen/>
      </w:r>
      <w:r w:rsidRPr="00183B5F">
        <w:rPr>
          <w:lang w:val="hu-HU"/>
        </w:rPr>
        <w:t>t kapott minden második héten és placebo injekc</w:t>
      </w:r>
      <w:r w:rsidRPr="00183B5F">
        <w:rPr>
          <w:lang w:val="hu-HU"/>
        </w:rPr>
        <w:t xml:space="preserve">iót az alternáló heteken. </w:t>
      </w:r>
      <w:r w:rsidRPr="00183B5F">
        <w:rPr>
          <w:bCs/>
          <w:iCs/>
          <w:szCs w:val="22"/>
          <w:lang w:val="hu-HU"/>
        </w:rPr>
        <w:t>Az első 52 hetes kezelést</w:t>
      </w:r>
      <w:r w:rsidRPr="00183B5F">
        <w:rPr>
          <w:lang w:val="hu-HU"/>
        </w:rPr>
        <w:t xml:space="preserve"> követően </w:t>
      </w:r>
      <w:r w:rsidRPr="00183B5F">
        <w:rPr>
          <w:bCs/>
          <w:iCs/>
          <w:szCs w:val="22"/>
          <w:lang w:val="hu-HU"/>
        </w:rPr>
        <w:t>457 </w:t>
      </w:r>
      <w:r w:rsidRPr="00183B5F">
        <w:rPr>
          <w:lang w:val="hu-HU"/>
        </w:rPr>
        <w:t>beteget egy nyílt, kiterjesztett fáz</w:t>
      </w:r>
      <w:r w:rsidR="006F63B0" w:rsidRPr="00183B5F">
        <w:rPr>
          <w:lang w:val="hu-HU"/>
        </w:rPr>
        <w:t>i</w:t>
      </w:r>
      <w:r w:rsidRPr="00183B5F">
        <w:rPr>
          <w:lang w:val="hu-HU"/>
        </w:rPr>
        <w:t>sba választották be, melynek során kéthetente 40 mg Humira</w:t>
      </w:r>
      <w:r w:rsidRPr="00183B5F">
        <w:rPr>
          <w:bCs/>
          <w:iCs/>
          <w:szCs w:val="22"/>
          <w:lang w:val="hu-HU"/>
        </w:rPr>
        <w:noBreakHyphen/>
      </w:r>
      <w:r w:rsidRPr="00183B5F">
        <w:rPr>
          <w:lang w:val="hu-HU"/>
        </w:rPr>
        <w:t>t</w:t>
      </w:r>
      <w:r w:rsidRPr="00183B5F">
        <w:rPr>
          <w:bCs/>
          <w:iCs/>
          <w:szCs w:val="22"/>
          <w:lang w:val="hu-HU"/>
        </w:rPr>
        <w:t>/ metotrexátot</w:t>
      </w:r>
      <w:r w:rsidRPr="00183B5F">
        <w:rPr>
          <w:lang w:val="hu-HU"/>
        </w:rPr>
        <w:t xml:space="preserve"> kaptak, legfeljebb 10 évig.</w:t>
      </w:r>
    </w:p>
    <w:p w14:paraId="63CE3D96" w14:textId="77777777" w:rsidR="00366005" w:rsidRPr="00183B5F" w:rsidRDefault="00366005">
      <w:pPr>
        <w:spacing w:line="240" w:lineRule="auto"/>
        <w:rPr>
          <w:szCs w:val="22"/>
        </w:rPr>
      </w:pPr>
    </w:p>
    <w:p w14:paraId="7A1D83EC" w14:textId="77777777" w:rsidR="00366005" w:rsidRPr="00183B5F" w:rsidRDefault="00943743">
      <w:pPr>
        <w:spacing w:line="240" w:lineRule="auto"/>
        <w:rPr>
          <w:szCs w:val="22"/>
        </w:rPr>
      </w:pPr>
      <w:r w:rsidRPr="00183B5F">
        <w:rPr>
          <w:szCs w:val="22"/>
        </w:rPr>
        <w:t>Az RA IV vizsgálat elsősorban a kezelés biztonságosságát volt hivatott felmérni. Ebbe a vizsgálatba 636 köz</w:t>
      </w:r>
      <w:r w:rsidR="00C30980" w:rsidRPr="00183B5F">
        <w:rPr>
          <w:szCs w:val="22"/>
        </w:rPr>
        <w:t xml:space="preserve">epesen </w:t>
      </w:r>
      <w:r w:rsidRPr="00183B5F">
        <w:rPr>
          <w:szCs w:val="22"/>
        </w:rPr>
        <w:t>súlyos</w:t>
      </w:r>
      <w:r w:rsidRPr="00183B5F">
        <w:rPr>
          <w:szCs w:val="22"/>
        </w:rPr>
        <w:noBreakHyphen/>
        <w:t>súlyos rheumatoid arthritisben szenvedő, 18 éves és 18 évesnél idősebb beteget vontak be. A vizsgálatban részt vevő betegek vagy soha nem szedtek betegséget befolyásoló reumaellenes szereket, vagy a korábban alkalmazott anti</w:t>
      </w:r>
      <w:r w:rsidRPr="00183B5F">
        <w:rPr>
          <w:szCs w:val="22"/>
        </w:rPr>
        <w:noBreakHyphen/>
        <w:t>rheumás kezelésüket folytatták, ha a kezelés legalább 28 napig változatlan volt. A kezelések metotrexát, leflunomid, hidroxiklorokin, szulfaszalazin és/vagy aranysók alkalmazását foglalták magukba. A betegeket 40 mg Humira vagy placebo adására randomizálták, a kezelést min</w:t>
      </w:r>
      <w:r w:rsidRPr="00183B5F">
        <w:rPr>
          <w:szCs w:val="22"/>
        </w:rPr>
        <w:t>den második héten 24 héten át kapták.</w:t>
      </w:r>
    </w:p>
    <w:p w14:paraId="595AEC2B" w14:textId="77777777" w:rsidR="00366005" w:rsidRPr="00183B5F" w:rsidRDefault="00366005">
      <w:pPr>
        <w:spacing w:line="240" w:lineRule="auto"/>
        <w:rPr>
          <w:szCs w:val="22"/>
        </w:rPr>
      </w:pPr>
    </w:p>
    <w:p w14:paraId="10231C25" w14:textId="77777777" w:rsidR="00366005" w:rsidRPr="00183B5F" w:rsidRDefault="00943743">
      <w:pPr>
        <w:spacing w:line="240" w:lineRule="auto"/>
        <w:rPr>
          <w:szCs w:val="22"/>
        </w:rPr>
      </w:pPr>
      <w:r w:rsidRPr="00183B5F">
        <w:rPr>
          <w:szCs w:val="22"/>
        </w:rPr>
        <w:t>Az RA V vizsgálatban felnőtt, 799 köz</w:t>
      </w:r>
      <w:r w:rsidR="00C30980" w:rsidRPr="00183B5F">
        <w:rPr>
          <w:szCs w:val="22"/>
        </w:rPr>
        <w:t xml:space="preserve">epesen </w:t>
      </w:r>
      <w:r w:rsidRPr="00183B5F">
        <w:rPr>
          <w:szCs w:val="22"/>
        </w:rPr>
        <w:t>súlyos</w:t>
      </w:r>
      <w:r w:rsidRPr="00183B5F">
        <w:rPr>
          <w:szCs w:val="22"/>
        </w:rPr>
        <w:noBreakHyphen/>
        <w:t>súlyos, aktív</w:t>
      </w:r>
      <w:r w:rsidR="005C406C" w:rsidRPr="00183B5F">
        <w:rPr>
          <w:szCs w:val="22"/>
        </w:rPr>
        <w:t>,</w:t>
      </w:r>
      <w:r w:rsidRPr="00183B5F">
        <w:rPr>
          <w:szCs w:val="22"/>
        </w:rPr>
        <w:t xml:space="preserve"> korai (a betegség átlagos fennállási ideje kevesebb mint 9 hónap) rheumatoid arthritisben szenvedő, metotrexáttal még nem kezelt beteget vizsgáltak. A vizsgálat 104 hétig tartó időszaka alatt a kéthetente egyszer metotrexát</w:t>
      </w:r>
      <w:r w:rsidR="005C406C" w:rsidRPr="00183B5F">
        <w:rPr>
          <w:szCs w:val="22"/>
        </w:rPr>
        <w:t>-</w:t>
      </w:r>
      <w:r w:rsidRPr="00183B5F">
        <w:rPr>
          <w:szCs w:val="22"/>
        </w:rPr>
        <w:t>kombinációban adott 40 mg Humira, 40 mg Humira</w:t>
      </w:r>
      <w:r w:rsidR="005C406C" w:rsidRPr="00183B5F">
        <w:rPr>
          <w:szCs w:val="22"/>
        </w:rPr>
        <w:t>-</w:t>
      </w:r>
      <w:r w:rsidRPr="00183B5F">
        <w:rPr>
          <w:szCs w:val="22"/>
        </w:rPr>
        <w:t xml:space="preserve">monoterápia, illetve </w:t>
      </w:r>
      <w:r w:rsidR="001A6E66" w:rsidRPr="00183B5F">
        <w:rPr>
          <w:szCs w:val="22"/>
        </w:rPr>
        <w:t>metotrexát-mono</w:t>
      </w:r>
      <w:r w:rsidRPr="00183B5F">
        <w:rPr>
          <w:szCs w:val="22"/>
        </w:rPr>
        <w:t>terápia hatását vizsgálták arra vonatkozóan, hogy a betegség okozta jelek és tünetek mérséklődnek-e, illetve reumatoid arthritisb</w:t>
      </w:r>
      <w:r w:rsidR="006F63B0" w:rsidRPr="00183B5F">
        <w:rPr>
          <w:szCs w:val="22"/>
        </w:rPr>
        <w:t>e</w:t>
      </w:r>
      <w:r w:rsidRPr="00183B5F">
        <w:rPr>
          <w:szCs w:val="22"/>
        </w:rPr>
        <w:t>n az ízületi károsodás előrehaladásának folyam</w:t>
      </w:r>
      <w:r w:rsidRPr="00183B5F">
        <w:rPr>
          <w:szCs w:val="22"/>
        </w:rPr>
        <w:t>ata csökken-e. Az első 104 hét befejezését követően 497 beteget vontak be egy nyílt kiterjesztésű vizsgálatba, amelyben 40 mg Humira</w:t>
      </w:r>
      <w:r w:rsidRPr="00183B5F">
        <w:rPr>
          <w:szCs w:val="22"/>
        </w:rPr>
        <w:noBreakHyphen/>
        <w:t>t alkalmaztak minden 2. héten</w:t>
      </w:r>
      <w:r w:rsidR="005C406C" w:rsidRPr="00183B5F">
        <w:rPr>
          <w:szCs w:val="22"/>
        </w:rPr>
        <w:t>,</w:t>
      </w:r>
      <w:r w:rsidRPr="00183B5F">
        <w:rPr>
          <w:szCs w:val="22"/>
        </w:rPr>
        <w:t xml:space="preserve"> legfeljebb 10 évig.</w:t>
      </w:r>
    </w:p>
    <w:p w14:paraId="2DFB67D9" w14:textId="77777777" w:rsidR="00366005" w:rsidRPr="00183B5F" w:rsidRDefault="00366005">
      <w:pPr>
        <w:spacing w:line="240" w:lineRule="auto"/>
        <w:rPr>
          <w:szCs w:val="22"/>
        </w:rPr>
      </w:pPr>
    </w:p>
    <w:p w14:paraId="20CBB059" w14:textId="77777777" w:rsidR="00366005" w:rsidRPr="00183B5F" w:rsidRDefault="00943743">
      <w:pPr>
        <w:spacing w:line="240" w:lineRule="auto"/>
        <w:rPr>
          <w:szCs w:val="22"/>
        </w:rPr>
      </w:pPr>
      <w:r w:rsidRPr="00183B5F">
        <w:rPr>
          <w:szCs w:val="22"/>
        </w:rPr>
        <w:t>Az RA I, II, és III vizsgálatokban az elsődleges végpont, míg az RA IV vizsgálatban a másodlagos végpont azon betegek százalékos aránya volt, akiknél a 24</w:t>
      </w:r>
      <w:r w:rsidR="005D174E" w:rsidRPr="00183B5F">
        <w:rPr>
          <w:szCs w:val="22"/>
        </w:rPr>
        <w:t>,</w:t>
      </w:r>
      <w:r w:rsidRPr="00183B5F">
        <w:rPr>
          <w:szCs w:val="22"/>
        </w:rPr>
        <w:t xml:space="preserve"> illetve 26 hét leteltével kialakult az ACR 20 válasz. Az V. vizsgálatban az elsődleges végpont az ACR 50 válasz</w:t>
      </w:r>
      <w:r w:rsidR="00C67C60" w:rsidRPr="00183B5F">
        <w:rPr>
          <w:szCs w:val="22"/>
        </w:rPr>
        <w:t>t</w:t>
      </w:r>
      <w:r w:rsidRPr="00183B5F">
        <w:rPr>
          <w:szCs w:val="22"/>
        </w:rPr>
        <w:t xml:space="preserve"> adó betegek százalékos aránya volt a vizsgálat 52. hetében. Az RA III és RA V vizsgálatban további elsődleges végpontot jelentett az 52. hétre a betegség progressziójának lassulása (röntgenfelvételek alapján). Az RA III</w:t>
      </w:r>
      <w:r w:rsidR="005D174E" w:rsidRPr="00183B5F">
        <w:rPr>
          <w:szCs w:val="22"/>
        </w:rPr>
        <w:t> </w:t>
      </w:r>
      <w:r w:rsidRPr="00183B5F">
        <w:rPr>
          <w:szCs w:val="22"/>
        </w:rPr>
        <w:t>vizsgálatban elsődleges végpont volt még az életminőség megváltozása.</w:t>
      </w:r>
    </w:p>
    <w:p w14:paraId="413908DE" w14:textId="77777777" w:rsidR="00366005" w:rsidRPr="00183B5F" w:rsidRDefault="00366005">
      <w:pPr>
        <w:spacing w:line="240" w:lineRule="auto"/>
        <w:rPr>
          <w:szCs w:val="22"/>
        </w:rPr>
      </w:pPr>
    </w:p>
    <w:p w14:paraId="441611E0" w14:textId="77777777" w:rsidR="00366005" w:rsidRPr="00183B5F" w:rsidRDefault="00943743">
      <w:pPr>
        <w:keepNext/>
        <w:spacing w:line="240" w:lineRule="auto"/>
        <w:rPr>
          <w:i/>
          <w:szCs w:val="22"/>
          <w:u w:val="single"/>
        </w:rPr>
      </w:pPr>
      <w:r w:rsidRPr="00183B5F">
        <w:rPr>
          <w:i/>
          <w:szCs w:val="22"/>
          <w:u w:val="single"/>
        </w:rPr>
        <w:t>ACR-válasz</w:t>
      </w:r>
    </w:p>
    <w:p w14:paraId="1DB8A76D" w14:textId="77777777" w:rsidR="00366005" w:rsidRPr="00183B5F" w:rsidRDefault="00366005">
      <w:pPr>
        <w:keepNext/>
        <w:spacing w:line="240" w:lineRule="auto"/>
        <w:rPr>
          <w:szCs w:val="22"/>
        </w:rPr>
      </w:pPr>
    </w:p>
    <w:p w14:paraId="4FFBCD66" w14:textId="77777777" w:rsidR="00366005" w:rsidRPr="00183B5F" w:rsidRDefault="00943743">
      <w:pPr>
        <w:keepNext/>
        <w:spacing w:line="240" w:lineRule="auto"/>
        <w:rPr>
          <w:szCs w:val="22"/>
        </w:rPr>
      </w:pPr>
      <w:r w:rsidRPr="00183B5F">
        <w:rPr>
          <w:szCs w:val="22"/>
        </w:rPr>
        <w:t>Az ACR 20, 50 vagy 70</w:t>
      </w:r>
      <w:r w:rsidRPr="00183B5F">
        <w:rPr>
          <w:szCs w:val="22"/>
        </w:rPr>
        <w:noBreakHyphen/>
        <w:t>es választ produkáló Humira</w:t>
      </w:r>
      <w:r w:rsidRPr="00183B5F">
        <w:rPr>
          <w:szCs w:val="22"/>
        </w:rPr>
        <w:noBreakHyphen/>
        <w:t>kezelt betegek százalékos aránya állandó volt az RA I, II, és III vizsgálatokban. Minden második héten adott 40 mg</w:t>
      </w:r>
      <w:r w:rsidRPr="00183B5F">
        <w:rPr>
          <w:szCs w:val="22"/>
        </w:rPr>
        <w:noBreakHyphen/>
        <w:t xml:space="preserve">os dózissal elért eredmények összefoglalása található a </w:t>
      </w:r>
      <w:r w:rsidR="00890A71" w:rsidRPr="00183B5F">
        <w:rPr>
          <w:szCs w:val="22"/>
        </w:rPr>
        <w:t>7</w:t>
      </w:r>
      <w:r w:rsidRPr="00183B5F">
        <w:rPr>
          <w:szCs w:val="22"/>
        </w:rPr>
        <w:t xml:space="preserve">. táblázatban. </w:t>
      </w:r>
    </w:p>
    <w:p w14:paraId="0A03A2DE" w14:textId="77777777" w:rsidR="00366005" w:rsidRPr="00183B5F" w:rsidRDefault="00366005">
      <w:pPr>
        <w:spacing w:line="240" w:lineRule="auto"/>
        <w:rPr>
          <w:szCs w:val="22"/>
        </w:rPr>
      </w:pPr>
    </w:p>
    <w:p w14:paraId="488BC5D6" w14:textId="77777777" w:rsidR="00366005" w:rsidRPr="00183B5F" w:rsidRDefault="00943743" w:rsidP="00FE0197">
      <w:pPr>
        <w:keepNext/>
        <w:spacing w:line="240" w:lineRule="auto"/>
        <w:jc w:val="center"/>
        <w:rPr>
          <w:b/>
          <w:szCs w:val="22"/>
        </w:rPr>
      </w:pPr>
      <w:r w:rsidRPr="00183B5F">
        <w:rPr>
          <w:b/>
          <w:szCs w:val="22"/>
        </w:rPr>
        <w:t xml:space="preserve">7. táblázat </w:t>
      </w:r>
    </w:p>
    <w:p w14:paraId="35317C82" w14:textId="77777777" w:rsidR="00366005" w:rsidRPr="00183B5F" w:rsidRDefault="00943743" w:rsidP="00FE0197">
      <w:pPr>
        <w:keepNext/>
        <w:spacing w:line="240" w:lineRule="auto"/>
        <w:jc w:val="center"/>
        <w:rPr>
          <w:b/>
          <w:szCs w:val="22"/>
        </w:rPr>
      </w:pPr>
      <w:r w:rsidRPr="00183B5F">
        <w:rPr>
          <w:b/>
          <w:szCs w:val="22"/>
        </w:rPr>
        <w:t>ACR-válasz placebokontrollos vizsgálatokban</w:t>
      </w:r>
    </w:p>
    <w:tbl>
      <w:tblPr>
        <w:tblW w:w="9210" w:type="dxa"/>
        <w:tblInd w:w="8" w:type="dxa"/>
        <w:tblLayout w:type="fixed"/>
        <w:tblCellMar>
          <w:left w:w="0" w:type="dxa"/>
          <w:right w:w="0" w:type="dxa"/>
        </w:tblCellMar>
        <w:tblLook w:val="04A0" w:firstRow="1" w:lastRow="0" w:firstColumn="1" w:lastColumn="0" w:noHBand="0" w:noVBand="1"/>
      </w:tblPr>
      <w:tblGrid>
        <w:gridCol w:w="1160"/>
        <w:gridCol w:w="1392"/>
        <w:gridCol w:w="1416"/>
        <w:gridCol w:w="1071"/>
        <w:gridCol w:w="1196"/>
        <w:gridCol w:w="1417"/>
        <w:gridCol w:w="1558"/>
      </w:tblGrid>
      <w:tr w:rsidR="00011D2F" w14:paraId="30FBC24F" w14:textId="77777777" w:rsidTr="00366005">
        <w:trPr>
          <w:cantSplit/>
          <w:tblHeader/>
        </w:trPr>
        <w:tc>
          <w:tcPr>
            <w:tcW w:w="9214" w:type="dxa"/>
            <w:gridSpan w:val="7"/>
            <w:tcBorders>
              <w:top w:val="nil"/>
              <w:left w:val="nil"/>
              <w:bottom w:val="single" w:sz="4" w:space="0" w:color="auto"/>
              <w:right w:val="nil"/>
            </w:tcBorders>
          </w:tcPr>
          <w:p w14:paraId="468251EE" w14:textId="77777777" w:rsidR="00366005" w:rsidRPr="00183B5F" w:rsidRDefault="00943743" w:rsidP="00FE0197">
            <w:pPr>
              <w:keepNext/>
              <w:spacing w:line="240" w:lineRule="auto"/>
              <w:jc w:val="center"/>
              <w:rPr>
                <w:b/>
                <w:bCs/>
                <w:szCs w:val="22"/>
                <w:lang w:eastAsia="en-US"/>
              </w:rPr>
            </w:pPr>
            <w:r w:rsidRPr="00183B5F">
              <w:rPr>
                <w:b/>
                <w:bCs/>
                <w:szCs w:val="22"/>
                <w:lang w:eastAsia="en-US"/>
              </w:rPr>
              <w:t>(Betegek százaléka)</w:t>
            </w:r>
          </w:p>
          <w:p w14:paraId="108DF4FA" w14:textId="77777777" w:rsidR="00366005" w:rsidRPr="00183B5F" w:rsidRDefault="00366005" w:rsidP="00FE0197">
            <w:pPr>
              <w:keepNext/>
              <w:spacing w:line="240" w:lineRule="auto"/>
              <w:jc w:val="center"/>
              <w:rPr>
                <w:b/>
                <w:bCs/>
                <w:szCs w:val="22"/>
                <w:lang w:eastAsia="en-US"/>
              </w:rPr>
            </w:pPr>
          </w:p>
        </w:tc>
      </w:tr>
      <w:tr w:rsidR="00011D2F" w14:paraId="65B7F055" w14:textId="77777777" w:rsidTr="00366005">
        <w:trPr>
          <w:cantSplit/>
        </w:trPr>
        <w:tc>
          <w:tcPr>
            <w:tcW w:w="1159" w:type="dxa"/>
            <w:tcBorders>
              <w:top w:val="single" w:sz="4" w:space="0" w:color="auto"/>
              <w:left w:val="single" w:sz="4" w:space="0" w:color="auto"/>
              <w:bottom w:val="nil"/>
              <w:right w:val="single" w:sz="6" w:space="0" w:color="auto"/>
            </w:tcBorders>
            <w:hideMark/>
          </w:tcPr>
          <w:p w14:paraId="455A1FF9" w14:textId="77777777" w:rsidR="00366005" w:rsidRPr="00183B5F" w:rsidRDefault="00943743" w:rsidP="00FE0197">
            <w:pPr>
              <w:pStyle w:val="In-texttable"/>
              <w:spacing w:line="240" w:lineRule="auto"/>
              <w:rPr>
                <w:rFonts w:ascii="Times New Roman" w:hAnsi="Times New Roman"/>
                <w:sz w:val="22"/>
                <w:szCs w:val="22"/>
                <w:lang w:val="hu-HU"/>
              </w:rPr>
            </w:pPr>
            <w:r w:rsidRPr="00183B5F">
              <w:rPr>
                <w:rFonts w:ascii="Times New Roman" w:hAnsi="Times New Roman"/>
                <w:sz w:val="22"/>
                <w:szCs w:val="22"/>
                <w:lang w:val="hu-HU"/>
              </w:rPr>
              <w:t>Válasz</w:t>
            </w:r>
          </w:p>
        </w:tc>
        <w:tc>
          <w:tcPr>
            <w:tcW w:w="2810" w:type="dxa"/>
            <w:gridSpan w:val="2"/>
            <w:tcBorders>
              <w:top w:val="single" w:sz="4" w:space="0" w:color="auto"/>
              <w:left w:val="single" w:sz="6" w:space="0" w:color="auto"/>
              <w:bottom w:val="single" w:sz="6" w:space="0" w:color="auto"/>
              <w:right w:val="single" w:sz="6" w:space="0" w:color="auto"/>
            </w:tcBorders>
            <w:hideMark/>
          </w:tcPr>
          <w:p w14:paraId="2D89740B" w14:textId="77777777" w:rsidR="00366005" w:rsidRPr="00183B5F" w:rsidRDefault="00943743" w:rsidP="00FE0197">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RA I vizsgálat</w:t>
            </w:r>
            <w:r w:rsidRPr="00183B5F">
              <w:rPr>
                <w:rFonts w:ascii="Times New Roman" w:hAnsi="Times New Roman"/>
                <w:sz w:val="22"/>
                <w:szCs w:val="22"/>
                <w:vertAlign w:val="superscript"/>
                <w:lang w:val="hu-HU"/>
              </w:rPr>
              <w:t>a **</w:t>
            </w:r>
          </w:p>
        </w:tc>
        <w:tc>
          <w:tcPr>
            <w:tcW w:w="2268" w:type="dxa"/>
            <w:gridSpan w:val="2"/>
            <w:tcBorders>
              <w:top w:val="single" w:sz="4" w:space="0" w:color="auto"/>
              <w:left w:val="single" w:sz="6" w:space="0" w:color="auto"/>
              <w:bottom w:val="single" w:sz="6" w:space="0" w:color="auto"/>
              <w:right w:val="single" w:sz="6" w:space="0" w:color="auto"/>
            </w:tcBorders>
            <w:hideMark/>
          </w:tcPr>
          <w:p w14:paraId="0D3582A5" w14:textId="77777777" w:rsidR="00366005" w:rsidRPr="00183B5F" w:rsidRDefault="00943743" w:rsidP="00FE0197">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RA II vizsgálat</w:t>
            </w:r>
            <w:r w:rsidRPr="00183B5F">
              <w:rPr>
                <w:rFonts w:ascii="Times New Roman" w:hAnsi="Times New Roman"/>
                <w:sz w:val="22"/>
                <w:szCs w:val="22"/>
                <w:vertAlign w:val="superscript"/>
                <w:lang w:val="hu-HU"/>
              </w:rPr>
              <w:t>a **</w:t>
            </w:r>
          </w:p>
        </w:tc>
        <w:tc>
          <w:tcPr>
            <w:tcW w:w="2977" w:type="dxa"/>
            <w:gridSpan w:val="2"/>
            <w:tcBorders>
              <w:top w:val="single" w:sz="4" w:space="0" w:color="auto"/>
              <w:left w:val="single" w:sz="6" w:space="0" w:color="auto"/>
              <w:bottom w:val="single" w:sz="6" w:space="0" w:color="auto"/>
              <w:right w:val="single" w:sz="4" w:space="0" w:color="auto"/>
            </w:tcBorders>
            <w:hideMark/>
          </w:tcPr>
          <w:p w14:paraId="58E1B3B4" w14:textId="77777777" w:rsidR="00366005" w:rsidRPr="00183B5F" w:rsidRDefault="00943743" w:rsidP="00FE0197">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RA III Vizsgálat</w:t>
            </w:r>
            <w:r w:rsidRPr="00183B5F">
              <w:rPr>
                <w:rFonts w:ascii="Times New Roman" w:hAnsi="Times New Roman"/>
                <w:sz w:val="22"/>
                <w:szCs w:val="22"/>
                <w:vertAlign w:val="superscript"/>
                <w:lang w:val="hu-HU"/>
              </w:rPr>
              <w:t>a **</w:t>
            </w:r>
          </w:p>
        </w:tc>
      </w:tr>
      <w:tr w:rsidR="00011D2F" w14:paraId="197D0AD1" w14:textId="77777777" w:rsidTr="00366005">
        <w:trPr>
          <w:cantSplit/>
        </w:trPr>
        <w:tc>
          <w:tcPr>
            <w:tcW w:w="1159" w:type="dxa"/>
            <w:tcBorders>
              <w:top w:val="nil"/>
              <w:left w:val="single" w:sz="4" w:space="0" w:color="auto"/>
              <w:bottom w:val="single" w:sz="6" w:space="0" w:color="auto"/>
              <w:right w:val="single" w:sz="6" w:space="0" w:color="auto"/>
            </w:tcBorders>
          </w:tcPr>
          <w:p w14:paraId="5C8BD4F4" w14:textId="77777777" w:rsidR="00366005" w:rsidRPr="00183B5F" w:rsidRDefault="00366005" w:rsidP="00FE0197">
            <w:pPr>
              <w:pStyle w:val="In-texttable"/>
              <w:spacing w:line="240" w:lineRule="auto"/>
              <w:rPr>
                <w:rFonts w:ascii="Times New Roman" w:hAnsi="Times New Roman"/>
                <w:sz w:val="22"/>
                <w:szCs w:val="22"/>
                <w:lang w:val="hu-HU"/>
              </w:rPr>
            </w:pPr>
          </w:p>
        </w:tc>
        <w:tc>
          <w:tcPr>
            <w:tcW w:w="1393" w:type="dxa"/>
            <w:tcBorders>
              <w:top w:val="single" w:sz="6" w:space="0" w:color="auto"/>
              <w:left w:val="single" w:sz="6" w:space="0" w:color="auto"/>
              <w:bottom w:val="single" w:sz="6" w:space="0" w:color="auto"/>
              <w:right w:val="nil"/>
            </w:tcBorders>
            <w:hideMark/>
          </w:tcPr>
          <w:p w14:paraId="7B7579F1" w14:textId="77777777" w:rsidR="006F63B0" w:rsidRPr="00183B5F" w:rsidRDefault="00943743" w:rsidP="00FE0197">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 xml:space="preserve">Placebo/ </w:t>
            </w:r>
          </w:p>
          <w:p w14:paraId="64D40291" w14:textId="77777777" w:rsidR="00366005" w:rsidRPr="00183B5F" w:rsidRDefault="00943743" w:rsidP="00FE0197">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MTX</w:t>
            </w:r>
            <w:r w:rsidRPr="00183B5F">
              <w:rPr>
                <w:rFonts w:ascii="Times New Roman" w:hAnsi="Times New Roman"/>
                <w:sz w:val="22"/>
                <w:szCs w:val="22"/>
                <w:vertAlign w:val="superscript"/>
                <w:lang w:val="hu-HU"/>
              </w:rPr>
              <w:t>c</w:t>
            </w:r>
          </w:p>
          <w:p w14:paraId="347363CC" w14:textId="77777777" w:rsidR="00366005" w:rsidRPr="00183B5F" w:rsidRDefault="00943743" w:rsidP="00FE0197">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n = 60</w:t>
            </w:r>
          </w:p>
        </w:tc>
        <w:tc>
          <w:tcPr>
            <w:tcW w:w="1417" w:type="dxa"/>
            <w:tcBorders>
              <w:top w:val="single" w:sz="6" w:space="0" w:color="auto"/>
              <w:left w:val="nil"/>
              <w:bottom w:val="single" w:sz="6" w:space="0" w:color="auto"/>
              <w:right w:val="single" w:sz="6" w:space="0" w:color="auto"/>
            </w:tcBorders>
            <w:hideMark/>
          </w:tcPr>
          <w:p w14:paraId="49C84AE5" w14:textId="77777777" w:rsidR="00366005" w:rsidRPr="00183B5F" w:rsidRDefault="00943743" w:rsidP="00FE019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Humira</w:t>
            </w:r>
            <w:r w:rsidRPr="00183B5F">
              <w:rPr>
                <w:rFonts w:ascii="Times New Roman" w:hAnsi="Times New Roman"/>
                <w:sz w:val="22"/>
                <w:vertAlign w:val="superscript"/>
                <w:lang w:val="hu-HU"/>
              </w:rPr>
              <w:t>b</w:t>
            </w:r>
            <w:r w:rsidRPr="00183B5F">
              <w:rPr>
                <w:rFonts w:ascii="Times New Roman" w:hAnsi="Times New Roman"/>
                <w:sz w:val="22"/>
                <w:lang w:val="hu-HU"/>
              </w:rPr>
              <w:t>/ MTX</w:t>
            </w:r>
            <w:r w:rsidRPr="00183B5F">
              <w:rPr>
                <w:rFonts w:ascii="Times New Roman" w:hAnsi="Times New Roman"/>
                <w:sz w:val="22"/>
                <w:vertAlign w:val="superscript"/>
                <w:lang w:val="hu-HU"/>
              </w:rPr>
              <w:t>c</w:t>
            </w:r>
          </w:p>
          <w:p w14:paraId="23EE1F77" w14:textId="77777777" w:rsidR="00366005" w:rsidRPr="00183B5F" w:rsidRDefault="00943743" w:rsidP="00FE019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n = 63</w:t>
            </w:r>
          </w:p>
        </w:tc>
        <w:tc>
          <w:tcPr>
            <w:tcW w:w="1071" w:type="dxa"/>
            <w:tcBorders>
              <w:top w:val="single" w:sz="6" w:space="0" w:color="auto"/>
              <w:left w:val="single" w:sz="6" w:space="0" w:color="auto"/>
              <w:bottom w:val="single" w:sz="6" w:space="0" w:color="auto"/>
              <w:right w:val="nil"/>
            </w:tcBorders>
            <w:hideMark/>
          </w:tcPr>
          <w:p w14:paraId="0139DDC5" w14:textId="77777777" w:rsidR="00366005" w:rsidRPr="00183B5F" w:rsidRDefault="00943743" w:rsidP="00FE019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Placebo</w:t>
            </w:r>
          </w:p>
          <w:p w14:paraId="23FD7143" w14:textId="77777777" w:rsidR="00366005" w:rsidRPr="00183B5F" w:rsidRDefault="00943743" w:rsidP="00FE019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n = 110</w:t>
            </w:r>
          </w:p>
        </w:tc>
        <w:tc>
          <w:tcPr>
            <w:tcW w:w="1197" w:type="dxa"/>
            <w:tcBorders>
              <w:top w:val="single" w:sz="6" w:space="0" w:color="auto"/>
              <w:left w:val="nil"/>
              <w:bottom w:val="single" w:sz="6" w:space="0" w:color="auto"/>
              <w:right w:val="single" w:sz="6" w:space="0" w:color="auto"/>
            </w:tcBorders>
            <w:hideMark/>
          </w:tcPr>
          <w:p w14:paraId="4CEECEA3" w14:textId="77777777" w:rsidR="00366005" w:rsidRPr="00183B5F" w:rsidRDefault="00943743" w:rsidP="00FE019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Humira</w:t>
            </w:r>
            <w:r w:rsidRPr="00183B5F">
              <w:rPr>
                <w:rFonts w:ascii="Times New Roman" w:hAnsi="Times New Roman"/>
                <w:sz w:val="22"/>
                <w:vertAlign w:val="superscript"/>
                <w:lang w:val="hu-HU"/>
              </w:rPr>
              <w:t>b</w:t>
            </w:r>
          </w:p>
          <w:p w14:paraId="007A2A82" w14:textId="77777777" w:rsidR="00366005" w:rsidRPr="00183B5F" w:rsidRDefault="00943743" w:rsidP="00FE019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n = 113</w:t>
            </w:r>
          </w:p>
        </w:tc>
        <w:tc>
          <w:tcPr>
            <w:tcW w:w="1418" w:type="dxa"/>
            <w:tcBorders>
              <w:top w:val="single" w:sz="6" w:space="0" w:color="auto"/>
              <w:left w:val="single" w:sz="6" w:space="0" w:color="auto"/>
              <w:bottom w:val="single" w:sz="6" w:space="0" w:color="auto"/>
              <w:right w:val="nil"/>
            </w:tcBorders>
            <w:hideMark/>
          </w:tcPr>
          <w:p w14:paraId="69BD6C94" w14:textId="77777777" w:rsidR="006F63B0" w:rsidRPr="00183B5F" w:rsidRDefault="00943743" w:rsidP="00FE0197">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 xml:space="preserve">Placebo/ </w:t>
            </w:r>
          </w:p>
          <w:p w14:paraId="22FB622E" w14:textId="77777777" w:rsidR="00366005" w:rsidRPr="00183B5F" w:rsidRDefault="00943743" w:rsidP="00FE0197">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MTX</w:t>
            </w:r>
            <w:r w:rsidRPr="00183B5F">
              <w:rPr>
                <w:rFonts w:ascii="Times New Roman" w:hAnsi="Times New Roman"/>
                <w:sz w:val="22"/>
                <w:szCs w:val="22"/>
                <w:vertAlign w:val="superscript"/>
                <w:lang w:val="hu-HU"/>
              </w:rPr>
              <w:t>c</w:t>
            </w:r>
          </w:p>
          <w:p w14:paraId="20F239AF" w14:textId="77777777" w:rsidR="00366005" w:rsidRPr="00183B5F" w:rsidRDefault="00943743" w:rsidP="00FE0197">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n = 200</w:t>
            </w:r>
          </w:p>
        </w:tc>
        <w:tc>
          <w:tcPr>
            <w:tcW w:w="1559" w:type="dxa"/>
            <w:tcBorders>
              <w:top w:val="single" w:sz="6" w:space="0" w:color="auto"/>
              <w:left w:val="nil"/>
              <w:bottom w:val="single" w:sz="6" w:space="0" w:color="auto"/>
              <w:right w:val="single" w:sz="4" w:space="0" w:color="auto"/>
            </w:tcBorders>
            <w:hideMark/>
          </w:tcPr>
          <w:p w14:paraId="079BA02E" w14:textId="77777777" w:rsidR="00366005" w:rsidRPr="00183B5F" w:rsidRDefault="00943743" w:rsidP="00FE019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Humira</w:t>
            </w:r>
            <w:r w:rsidRPr="00183B5F">
              <w:rPr>
                <w:rFonts w:ascii="Times New Roman" w:hAnsi="Times New Roman"/>
                <w:sz w:val="22"/>
                <w:vertAlign w:val="superscript"/>
                <w:lang w:val="hu-HU"/>
              </w:rPr>
              <w:t>b</w:t>
            </w:r>
            <w:r w:rsidRPr="00183B5F">
              <w:rPr>
                <w:rFonts w:ascii="Times New Roman" w:hAnsi="Times New Roman"/>
                <w:sz w:val="22"/>
                <w:lang w:val="hu-HU"/>
              </w:rPr>
              <w:t>/ MTX</w:t>
            </w:r>
            <w:r w:rsidRPr="00183B5F">
              <w:rPr>
                <w:rFonts w:ascii="Times New Roman" w:hAnsi="Times New Roman"/>
                <w:sz w:val="22"/>
                <w:vertAlign w:val="superscript"/>
                <w:lang w:val="hu-HU"/>
              </w:rPr>
              <w:t>c</w:t>
            </w:r>
          </w:p>
          <w:p w14:paraId="785CC1A0" w14:textId="77777777" w:rsidR="00366005" w:rsidRPr="00183B5F" w:rsidRDefault="00943743" w:rsidP="00FE019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n = 207</w:t>
            </w:r>
          </w:p>
        </w:tc>
      </w:tr>
      <w:tr w:rsidR="00011D2F" w14:paraId="75CBEDD3" w14:textId="77777777" w:rsidTr="00366005">
        <w:trPr>
          <w:cantSplit/>
        </w:trPr>
        <w:tc>
          <w:tcPr>
            <w:tcW w:w="1159" w:type="dxa"/>
            <w:tcBorders>
              <w:top w:val="nil"/>
              <w:left w:val="single" w:sz="4" w:space="0" w:color="auto"/>
              <w:bottom w:val="nil"/>
              <w:right w:val="single" w:sz="6" w:space="0" w:color="auto"/>
            </w:tcBorders>
            <w:hideMark/>
          </w:tcPr>
          <w:p w14:paraId="6D14B8C8" w14:textId="77777777" w:rsidR="00366005" w:rsidRPr="00183B5F" w:rsidRDefault="00943743" w:rsidP="00FE0197">
            <w:pPr>
              <w:pStyle w:val="In-texttable"/>
              <w:tabs>
                <w:tab w:val="left" w:pos="144"/>
              </w:tabs>
              <w:spacing w:line="240" w:lineRule="auto"/>
              <w:rPr>
                <w:rFonts w:ascii="Times New Roman" w:hAnsi="Times New Roman"/>
                <w:sz w:val="22"/>
                <w:lang w:val="hu-HU"/>
              </w:rPr>
            </w:pPr>
            <w:r w:rsidRPr="00183B5F">
              <w:rPr>
                <w:rFonts w:ascii="Times New Roman" w:hAnsi="Times New Roman"/>
                <w:sz w:val="22"/>
                <w:lang w:val="hu-HU"/>
              </w:rPr>
              <w:t>ACR 20</w:t>
            </w:r>
          </w:p>
        </w:tc>
        <w:tc>
          <w:tcPr>
            <w:tcW w:w="1393" w:type="dxa"/>
            <w:tcBorders>
              <w:top w:val="nil"/>
              <w:left w:val="single" w:sz="6" w:space="0" w:color="auto"/>
              <w:bottom w:val="nil"/>
              <w:right w:val="nil"/>
            </w:tcBorders>
          </w:tcPr>
          <w:p w14:paraId="4F01CE16" w14:textId="77777777" w:rsidR="00366005" w:rsidRPr="00183B5F" w:rsidRDefault="00366005" w:rsidP="00FE0197">
            <w:pPr>
              <w:pStyle w:val="In-texttable"/>
              <w:spacing w:line="240" w:lineRule="auto"/>
              <w:jc w:val="center"/>
              <w:rPr>
                <w:rFonts w:ascii="Times New Roman" w:hAnsi="Times New Roman"/>
                <w:sz w:val="22"/>
                <w:lang w:val="hu-HU"/>
              </w:rPr>
            </w:pPr>
          </w:p>
        </w:tc>
        <w:tc>
          <w:tcPr>
            <w:tcW w:w="1417" w:type="dxa"/>
            <w:tcBorders>
              <w:top w:val="nil"/>
              <w:left w:val="nil"/>
              <w:bottom w:val="nil"/>
              <w:right w:val="single" w:sz="6" w:space="0" w:color="auto"/>
            </w:tcBorders>
          </w:tcPr>
          <w:p w14:paraId="134BFE88" w14:textId="77777777" w:rsidR="00366005" w:rsidRPr="00183B5F" w:rsidRDefault="00366005" w:rsidP="00FE0197">
            <w:pPr>
              <w:pStyle w:val="In-texttable"/>
              <w:spacing w:line="240" w:lineRule="auto"/>
              <w:jc w:val="center"/>
              <w:rPr>
                <w:rFonts w:ascii="Times New Roman" w:hAnsi="Times New Roman"/>
                <w:sz w:val="22"/>
                <w:lang w:val="hu-HU"/>
              </w:rPr>
            </w:pPr>
          </w:p>
        </w:tc>
        <w:tc>
          <w:tcPr>
            <w:tcW w:w="1071" w:type="dxa"/>
            <w:tcBorders>
              <w:top w:val="nil"/>
              <w:left w:val="single" w:sz="6" w:space="0" w:color="auto"/>
              <w:bottom w:val="nil"/>
              <w:right w:val="nil"/>
            </w:tcBorders>
          </w:tcPr>
          <w:p w14:paraId="65706765" w14:textId="77777777" w:rsidR="00366005" w:rsidRPr="00183B5F" w:rsidRDefault="00366005" w:rsidP="00FE0197">
            <w:pPr>
              <w:pStyle w:val="In-texttable"/>
              <w:spacing w:line="240" w:lineRule="auto"/>
              <w:jc w:val="center"/>
              <w:rPr>
                <w:rFonts w:ascii="Times New Roman" w:hAnsi="Times New Roman"/>
                <w:sz w:val="22"/>
                <w:lang w:val="hu-HU"/>
              </w:rPr>
            </w:pPr>
          </w:p>
        </w:tc>
        <w:tc>
          <w:tcPr>
            <w:tcW w:w="1197" w:type="dxa"/>
            <w:tcBorders>
              <w:top w:val="nil"/>
              <w:left w:val="nil"/>
              <w:bottom w:val="nil"/>
              <w:right w:val="single" w:sz="6" w:space="0" w:color="auto"/>
            </w:tcBorders>
          </w:tcPr>
          <w:p w14:paraId="243B6C2E" w14:textId="77777777" w:rsidR="00366005" w:rsidRPr="00183B5F" w:rsidRDefault="00366005" w:rsidP="00FE0197">
            <w:pPr>
              <w:pStyle w:val="In-texttable"/>
              <w:spacing w:line="240" w:lineRule="auto"/>
              <w:jc w:val="center"/>
              <w:rPr>
                <w:rFonts w:ascii="Times New Roman" w:hAnsi="Times New Roman"/>
                <w:sz w:val="22"/>
                <w:lang w:val="hu-HU"/>
              </w:rPr>
            </w:pPr>
          </w:p>
        </w:tc>
        <w:tc>
          <w:tcPr>
            <w:tcW w:w="1418" w:type="dxa"/>
            <w:tcBorders>
              <w:top w:val="single" w:sz="6" w:space="0" w:color="auto"/>
              <w:left w:val="single" w:sz="6" w:space="0" w:color="auto"/>
              <w:bottom w:val="nil"/>
              <w:right w:val="nil"/>
            </w:tcBorders>
          </w:tcPr>
          <w:p w14:paraId="16B1D610" w14:textId="77777777" w:rsidR="00366005" w:rsidRPr="00183B5F" w:rsidRDefault="00366005" w:rsidP="00FE0197">
            <w:pPr>
              <w:pStyle w:val="In-texttable"/>
              <w:spacing w:line="240" w:lineRule="auto"/>
              <w:jc w:val="center"/>
              <w:rPr>
                <w:rFonts w:ascii="Times New Roman" w:hAnsi="Times New Roman"/>
                <w:sz w:val="22"/>
                <w:lang w:val="hu-HU"/>
              </w:rPr>
            </w:pPr>
          </w:p>
        </w:tc>
        <w:tc>
          <w:tcPr>
            <w:tcW w:w="1559" w:type="dxa"/>
            <w:tcBorders>
              <w:top w:val="single" w:sz="6" w:space="0" w:color="auto"/>
              <w:left w:val="nil"/>
              <w:bottom w:val="nil"/>
              <w:right w:val="single" w:sz="4" w:space="0" w:color="auto"/>
            </w:tcBorders>
          </w:tcPr>
          <w:p w14:paraId="3F6DE3E0" w14:textId="77777777" w:rsidR="00366005" w:rsidRPr="00183B5F" w:rsidRDefault="00366005" w:rsidP="00FE0197">
            <w:pPr>
              <w:pStyle w:val="In-texttable"/>
              <w:spacing w:line="240" w:lineRule="auto"/>
              <w:jc w:val="center"/>
              <w:rPr>
                <w:rFonts w:ascii="Times New Roman" w:hAnsi="Times New Roman"/>
                <w:sz w:val="22"/>
                <w:lang w:val="hu-HU"/>
              </w:rPr>
            </w:pPr>
          </w:p>
        </w:tc>
      </w:tr>
      <w:tr w:rsidR="00011D2F" w14:paraId="16E1A40A" w14:textId="77777777" w:rsidTr="00366005">
        <w:trPr>
          <w:cantSplit/>
        </w:trPr>
        <w:tc>
          <w:tcPr>
            <w:tcW w:w="1159" w:type="dxa"/>
            <w:tcBorders>
              <w:top w:val="nil"/>
              <w:left w:val="single" w:sz="4" w:space="0" w:color="auto"/>
              <w:bottom w:val="nil"/>
              <w:right w:val="single" w:sz="6" w:space="0" w:color="auto"/>
            </w:tcBorders>
            <w:hideMark/>
          </w:tcPr>
          <w:p w14:paraId="2B6FB59C" w14:textId="77777777" w:rsidR="00366005" w:rsidRPr="00183B5F" w:rsidRDefault="00943743" w:rsidP="00FE0197">
            <w:pPr>
              <w:pStyle w:val="In-texttable"/>
              <w:tabs>
                <w:tab w:val="left" w:pos="144"/>
              </w:tabs>
              <w:spacing w:line="240" w:lineRule="auto"/>
              <w:rPr>
                <w:rFonts w:ascii="Times New Roman" w:hAnsi="Times New Roman"/>
                <w:sz w:val="22"/>
                <w:lang w:val="hu-HU"/>
              </w:rPr>
            </w:pPr>
            <w:r w:rsidRPr="00183B5F">
              <w:rPr>
                <w:rFonts w:ascii="Times New Roman" w:hAnsi="Times New Roman"/>
                <w:sz w:val="22"/>
                <w:lang w:val="hu-HU"/>
              </w:rPr>
              <w:tab/>
              <w:t>6 hónap</w:t>
            </w:r>
          </w:p>
        </w:tc>
        <w:tc>
          <w:tcPr>
            <w:tcW w:w="1393" w:type="dxa"/>
            <w:tcBorders>
              <w:top w:val="nil"/>
              <w:left w:val="single" w:sz="6" w:space="0" w:color="auto"/>
              <w:bottom w:val="nil"/>
              <w:right w:val="nil"/>
            </w:tcBorders>
            <w:hideMark/>
          </w:tcPr>
          <w:p w14:paraId="7796E22F" w14:textId="77777777" w:rsidR="00366005" w:rsidRPr="00183B5F" w:rsidRDefault="00943743" w:rsidP="00FE0197">
            <w:pPr>
              <w:pStyle w:val="In-texttable"/>
              <w:tabs>
                <w:tab w:val="decimal" w:pos="259"/>
              </w:tabs>
              <w:spacing w:line="240" w:lineRule="auto"/>
              <w:jc w:val="center"/>
              <w:rPr>
                <w:rFonts w:ascii="Times New Roman" w:hAnsi="Times New Roman"/>
                <w:sz w:val="22"/>
                <w:lang w:val="hu-HU"/>
              </w:rPr>
            </w:pPr>
            <w:r w:rsidRPr="00183B5F">
              <w:rPr>
                <w:rFonts w:ascii="Times New Roman" w:hAnsi="Times New Roman"/>
                <w:sz w:val="22"/>
                <w:lang w:val="hu-HU"/>
              </w:rPr>
              <w:t>13,3%</w:t>
            </w:r>
          </w:p>
        </w:tc>
        <w:tc>
          <w:tcPr>
            <w:tcW w:w="1417" w:type="dxa"/>
            <w:tcBorders>
              <w:top w:val="nil"/>
              <w:left w:val="nil"/>
              <w:bottom w:val="nil"/>
              <w:right w:val="single" w:sz="6" w:space="0" w:color="auto"/>
            </w:tcBorders>
            <w:hideMark/>
          </w:tcPr>
          <w:p w14:paraId="72700DF9" w14:textId="77777777" w:rsidR="00366005" w:rsidRPr="00183B5F" w:rsidRDefault="00943743" w:rsidP="00FE0197">
            <w:pPr>
              <w:pStyle w:val="In-texttable"/>
              <w:tabs>
                <w:tab w:val="decimal" w:pos="250"/>
              </w:tabs>
              <w:spacing w:line="240" w:lineRule="auto"/>
              <w:jc w:val="center"/>
              <w:rPr>
                <w:rFonts w:ascii="Times New Roman" w:hAnsi="Times New Roman"/>
                <w:sz w:val="22"/>
                <w:lang w:val="hu-HU"/>
              </w:rPr>
            </w:pPr>
            <w:r w:rsidRPr="00183B5F">
              <w:rPr>
                <w:rFonts w:ascii="Times New Roman" w:hAnsi="Times New Roman"/>
                <w:sz w:val="22"/>
                <w:lang w:val="hu-HU"/>
              </w:rPr>
              <w:t>65,1%</w:t>
            </w:r>
          </w:p>
        </w:tc>
        <w:tc>
          <w:tcPr>
            <w:tcW w:w="1071" w:type="dxa"/>
            <w:tcBorders>
              <w:top w:val="nil"/>
              <w:left w:val="single" w:sz="6" w:space="0" w:color="auto"/>
              <w:bottom w:val="nil"/>
              <w:right w:val="nil"/>
            </w:tcBorders>
            <w:hideMark/>
          </w:tcPr>
          <w:p w14:paraId="4FD4EEAF" w14:textId="77777777" w:rsidR="00366005" w:rsidRPr="00183B5F" w:rsidRDefault="00943743" w:rsidP="00FE019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19,1%</w:t>
            </w:r>
          </w:p>
        </w:tc>
        <w:tc>
          <w:tcPr>
            <w:tcW w:w="1197" w:type="dxa"/>
            <w:tcBorders>
              <w:top w:val="nil"/>
              <w:left w:val="nil"/>
              <w:bottom w:val="nil"/>
              <w:right w:val="single" w:sz="6" w:space="0" w:color="auto"/>
            </w:tcBorders>
            <w:hideMark/>
          </w:tcPr>
          <w:p w14:paraId="36D598B3" w14:textId="77777777" w:rsidR="00366005" w:rsidRPr="00183B5F" w:rsidRDefault="00943743" w:rsidP="00FE0197">
            <w:pPr>
              <w:pStyle w:val="In-texttable"/>
              <w:tabs>
                <w:tab w:val="decimal" w:pos="205"/>
              </w:tabs>
              <w:spacing w:line="240" w:lineRule="auto"/>
              <w:jc w:val="center"/>
              <w:rPr>
                <w:rFonts w:ascii="Times New Roman" w:hAnsi="Times New Roman"/>
                <w:sz w:val="22"/>
                <w:lang w:val="hu-HU"/>
              </w:rPr>
            </w:pPr>
            <w:r w:rsidRPr="00183B5F">
              <w:rPr>
                <w:rFonts w:ascii="Times New Roman" w:hAnsi="Times New Roman"/>
                <w:sz w:val="22"/>
                <w:lang w:val="hu-HU"/>
              </w:rPr>
              <w:t>46,0%</w:t>
            </w:r>
          </w:p>
        </w:tc>
        <w:tc>
          <w:tcPr>
            <w:tcW w:w="1418" w:type="dxa"/>
            <w:tcBorders>
              <w:top w:val="nil"/>
              <w:left w:val="single" w:sz="6" w:space="0" w:color="auto"/>
              <w:bottom w:val="nil"/>
              <w:right w:val="nil"/>
            </w:tcBorders>
            <w:hideMark/>
          </w:tcPr>
          <w:p w14:paraId="3B4FDECC" w14:textId="77777777" w:rsidR="00366005" w:rsidRPr="00183B5F" w:rsidRDefault="00943743" w:rsidP="00FE0197">
            <w:pPr>
              <w:pStyle w:val="In-texttable"/>
              <w:tabs>
                <w:tab w:val="decimal" w:pos="144"/>
              </w:tabs>
              <w:spacing w:line="240" w:lineRule="auto"/>
              <w:jc w:val="center"/>
              <w:rPr>
                <w:rFonts w:ascii="Times New Roman" w:hAnsi="Times New Roman"/>
                <w:sz w:val="22"/>
                <w:lang w:val="hu-HU"/>
              </w:rPr>
            </w:pPr>
            <w:r w:rsidRPr="00183B5F">
              <w:rPr>
                <w:rFonts w:ascii="Times New Roman" w:hAnsi="Times New Roman"/>
                <w:sz w:val="22"/>
                <w:lang w:val="hu-HU"/>
              </w:rPr>
              <w:t>29,5%</w:t>
            </w:r>
          </w:p>
        </w:tc>
        <w:tc>
          <w:tcPr>
            <w:tcW w:w="1559" w:type="dxa"/>
            <w:tcBorders>
              <w:top w:val="nil"/>
              <w:left w:val="nil"/>
              <w:bottom w:val="nil"/>
              <w:right w:val="single" w:sz="4" w:space="0" w:color="auto"/>
            </w:tcBorders>
            <w:hideMark/>
          </w:tcPr>
          <w:p w14:paraId="022314CD" w14:textId="77777777" w:rsidR="00366005" w:rsidRPr="00183B5F" w:rsidRDefault="00943743" w:rsidP="00FE0197">
            <w:pPr>
              <w:pStyle w:val="In-texttable"/>
              <w:tabs>
                <w:tab w:val="decimal" w:pos="95"/>
              </w:tabs>
              <w:spacing w:line="240" w:lineRule="auto"/>
              <w:jc w:val="center"/>
              <w:rPr>
                <w:rFonts w:ascii="Times New Roman" w:hAnsi="Times New Roman"/>
                <w:sz w:val="22"/>
                <w:lang w:val="hu-HU"/>
              </w:rPr>
            </w:pPr>
            <w:r w:rsidRPr="00183B5F">
              <w:rPr>
                <w:rFonts w:ascii="Times New Roman" w:hAnsi="Times New Roman"/>
                <w:sz w:val="22"/>
                <w:lang w:val="hu-HU"/>
              </w:rPr>
              <w:t>63,3%</w:t>
            </w:r>
          </w:p>
        </w:tc>
      </w:tr>
      <w:tr w:rsidR="00011D2F" w14:paraId="40ACE3E8" w14:textId="77777777" w:rsidTr="00366005">
        <w:trPr>
          <w:cantSplit/>
        </w:trPr>
        <w:tc>
          <w:tcPr>
            <w:tcW w:w="1159" w:type="dxa"/>
            <w:tcBorders>
              <w:top w:val="nil"/>
              <w:left w:val="single" w:sz="4" w:space="0" w:color="auto"/>
              <w:bottom w:val="nil"/>
              <w:right w:val="single" w:sz="6" w:space="0" w:color="auto"/>
            </w:tcBorders>
            <w:hideMark/>
          </w:tcPr>
          <w:p w14:paraId="695EC383" w14:textId="77777777" w:rsidR="00366005" w:rsidRPr="00183B5F" w:rsidRDefault="00943743" w:rsidP="00FE0197">
            <w:pPr>
              <w:pStyle w:val="In-texttable"/>
              <w:tabs>
                <w:tab w:val="left" w:pos="144"/>
              </w:tabs>
              <w:spacing w:line="240" w:lineRule="auto"/>
              <w:rPr>
                <w:rFonts w:ascii="Times New Roman" w:hAnsi="Times New Roman"/>
                <w:sz w:val="22"/>
                <w:lang w:val="hu-HU"/>
              </w:rPr>
            </w:pPr>
            <w:r w:rsidRPr="00183B5F">
              <w:rPr>
                <w:rFonts w:ascii="Times New Roman" w:hAnsi="Times New Roman"/>
                <w:sz w:val="22"/>
                <w:lang w:val="hu-HU"/>
              </w:rPr>
              <w:tab/>
            </w:r>
            <w:r w:rsidRPr="00183B5F">
              <w:rPr>
                <w:rFonts w:ascii="Times New Roman" w:hAnsi="Times New Roman"/>
                <w:sz w:val="22"/>
                <w:lang w:val="hu-HU"/>
              </w:rPr>
              <w:t>12 hónap</w:t>
            </w:r>
          </w:p>
        </w:tc>
        <w:tc>
          <w:tcPr>
            <w:tcW w:w="1393" w:type="dxa"/>
            <w:tcBorders>
              <w:top w:val="nil"/>
              <w:left w:val="single" w:sz="6" w:space="0" w:color="auto"/>
              <w:bottom w:val="nil"/>
              <w:right w:val="nil"/>
            </w:tcBorders>
            <w:hideMark/>
          </w:tcPr>
          <w:p w14:paraId="737F6C0D" w14:textId="77777777" w:rsidR="00366005" w:rsidRPr="00183B5F" w:rsidRDefault="00943743" w:rsidP="00FE0197">
            <w:pPr>
              <w:pStyle w:val="In-texttable"/>
              <w:tabs>
                <w:tab w:val="decimal" w:pos="259"/>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417" w:type="dxa"/>
            <w:tcBorders>
              <w:top w:val="nil"/>
              <w:left w:val="nil"/>
              <w:bottom w:val="nil"/>
              <w:right w:val="single" w:sz="6" w:space="0" w:color="auto"/>
            </w:tcBorders>
            <w:hideMark/>
          </w:tcPr>
          <w:p w14:paraId="7A612B66" w14:textId="77777777" w:rsidR="00366005" w:rsidRPr="00183B5F" w:rsidRDefault="00943743" w:rsidP="00FE0197">
            <w:pPr>
              <w:pStyle w:val="In-texttable"/>
              <w:tabs>
                <w:tab w:val="decimal" w:pos="250"/>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071" w:type="dxa"/>
            <w:tcBorders>
              <w:top w:val="nil"/>
              <w:left w:val="single" w:sz="6" w:space="0" w:color="auto"/>
              <w:bottom w:val="nil"/>
              <w:right w:val="nil"/>
            </w:tcBorders>
            <w:hideMark/>
          </w:tcPr>
          <w:p w14:paraId="7CCAF1D8" w14:textId="77777777" w:rsidR="00366005" w:rsidRPr="00183B5F" w:rsidRDefault="00943743" w:rsidP="00FE019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197" w:type="dxa"/>
            <w:tcBorders>
              <w:top w:val="nil"/>
              <w:left w:val="nil"/>
              <w:bottom w:val="nil"/>
              <w:right w:val="single" w:sz="6" w:space="0" w:color="auto"/>
            </w:tcBorders>
            <w:hideMark/>
          </w:tcPr>
          <w:p w14:paraId="10ACED2C" w14:textId="77777777" w:rsidR="00366005" w:rsidRPr="00183B5F" w:rsidRDefault="00943743" w:rsidP="00FE0197">
            <w:pPr>
              <w:pStyle w:val="In-texttable"/>
              <w:tabs>
                <w:tab w:val="decimal" w:pos="205"/>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418" w:type="dxa"/>
            <w:tcBorders>
              <w:top w:val="nil"/>
              <w:left w:val="single" w:sz="6" w:space="0" w:color="auto"/>
              <w:bottom w:val="nil"/>
              <w:right w:val="nil"/>
            </w:tcBorders>
            <w:hideMark/>
          </w:tcPr>
          <w:p w14:paraId="551374A5" w14:textId="77777777" w:rsidR="00366005" w:rsidRPr="00183B5F" w:rsidRDefault="00943743" w:rsidP="00FE0197">
            <w:pPr>
              <w:pStyle w:val="In-texttable"/>
              <w:tabs>
                <w:tab w:val="decimal" w:pos="144"/>
              </w:tabs>
              <w:spacing w:line="240" w:lineRule="auto"/>
              <w:jc w:val="center"/>
              <w:rPr>
                <w:rFonts w:ascii="Times New Roman" w:hAnsi="Times New Roman"/>
                <w:sz w:val="22"/>
                <w:lang w:val="hu-HU"/>
              </w:rPr>
            </w:pPr>
            <w:r w:rsidRPr="00183B5F">
              <w:rPr>
                <w:rFonts w:ascii="Times New Roman" w:hAnsi="Times New Roman"/>
                <w:sz w:val="22"/>
                <w:lang w:val="hu-HU"/>
              </w:rPr>
              <w:t>24,0%</w:t>
            </w:r>
          </w:p>
        </w:tc>
        <w:tc>
          <w:tcPr>
            <w:tcW w:w="1559" w:type="dxa"/>
            <w:tcBorders>
              <w:top w:val="nil"/>
              <w:left w:val="nil"/>
              <w:bottom w:val="nil"/>
              <w:right w:val="single" w:sz="4" w:space="0" w:color="auto"/>
            </w:tcBorders>
            <w:hideMark/>
          </w:tcPr>
          <w:p w14:paraId="666EB89A" w14:textId="77777777" w:rsidR="00366005" w:rsidRPr="00183B5F" w:rsidRDefault="00943743" w:rsidP="00FE0197">
            <w:pPr>
              <w:pStyle w:val="In-texttable"/>
              <w:tabs>
                <w:tab w:val="decimal" w:pos="95"/>
              </w:tabs>
              <w:spacing w:line="240" w:lineRule="auto"/>
              <w:jc w:val="center"/>
              <w:rPr>
                <w:rFonts w:ascii="Times New Roman" w:hAnsi="Times New Roman"/>
                <w:sz w:val="22"/>
                <w:lang w:val="hu-HU"/>
              </w:rPr>
            </w:pPr>
            <w:r w:rsidRPr="00183B5F">
              <w:rPr>
                <w:rFonts w:ascii="Times New Roman" w:hAnsi="Times New Roman"/>
                <w:sz w:val="22"/>
                <w:lang w:val="hu-HU"/>
              </w:rPr>
              <w:t>58,9%</w:t>
            </w:r>
          </w:p>
        </w:tc>
      </w:tr>
      <w:tr w:rsidR="00011D2F" w14:paraId="3D569A90" w14:textId="77777777" w:rsidTr="00366005">
        <w:trPr>
          <w:cantSplit/>
        </w:trPr>
        <w:tc>
          <w:tcPr>
            <w:tcW w:w="1159" w:type="dxa"/>
            <w:tcBorders>
              <w:top w:val="nil"/>
              <w:left w:val="single" w:sz="4" w:space="0" w:color="auto"/>
              <w:bottom w:val="nil"/>
              <w:right w:val="single" w:sz="6" w:space="0" w:color="auto"/>
            </w:tcBorders>
            <w:hideMark/>
          </w:tcPr>
          <w:p w14:paraId="43B00DB4" w14:textId="77777777" w:rsidR="00366005" w:rsidRPr="00183B5F" w:rsidRDefault="00943743" w:rsidP="00FE0197">
            <w:pPr>
              <w:pStyle w:val="In-texttable"/>
              <w:tabs>
                <w:tab w:val="left" w:pos="144"/>
              </w:tabs>
              <w:spacing w:line="240" w:lineRule="auto"/>
              <w:rPr>
                <w:rFonts w:ascii="Times New Roman" w:hAnsi="Times New Roman"/>
                <w:sz w:val="22"/>
                <w:lang w:val="hu-HU"/>
              </w:rPr>
            </w:pPr>
            <w:r w:rsidRPr="00183B5F">
              <w:rPr>
                <w:rFonts w:ascii="Times New Roman" w:hAnsi="Times New Roman"/>
                <w:sz w:val="22"/>
                <w:lang w:val="hu-HU"/>
              </w:rPr>
              <w:t>ACR 50</w:t>
            </w:r>
          </w:p>
        </w:tc>
        <w:tc>
          <w:tcPr>
            <w:tcW w:w="1393" w:type="dxa"/>
            <w:tcBorders>
              <w:top w:val="nil"/>
              <w:left w:val="single" w:sz="6" w:space="0" w:color="auto"/>
              <w:bottom w:val="nil"/>
              <w:right w:val="nil"/>
            </w:tcBorders>
          </w:tcPr>
          <w:p w14:paraId="540A84BC" w14:textId="77777777" w:rsidR="00366005" w:rsidRPr="00183B5F" w:rsidRDefault="00366005" w:rsidP="00FE0197">
            <w:pPr>
              <w:pStyle w:val="In-texttable"/>
              <w:tabs>
                <w:tab w:val="decimal" w:pos="259"/>
              </w:tabs>
              <w:spacing w:line="240" w:lineRule="auto"/>
              <w:jc w:val="center"/>
              <w:rPr>
                <w:rFonts w:ascii="Times New Roman" w:hAnsi="Times New Roman"/>
                <w:sz w:val="22"/>
                <w:lang w:val="hu-HU"/>
              </w:rPr>
            </w:pPr>
          </w:p>
        </w:tc>
        <w:tc>
          <w:tcPr>
            <w:tcW w:w="1417" w:type="dxa"/>
            <w:tcBorders>
              <w:top w:val="nil"/>
              <w:left w:val="nil"/>
              <w:bottom w:val="nil"/>
              <w:right w:val="single" w:sz="6" w:space="0" w:color="auto"/>
            </w:tcBorders>
          </w:tcPr>
          <w:p w14:paraId="3293120A" w14:textId="77777777" w:rsidR="00366005" w:rsidRPr="00183B5F" w:rsidRDefault="00366005" w:rsidP="00FE0197">
            <w:pPr>
              <w:pStyle w:val="In-texttable"/>
              <w:tabs>
                <w:tab w:val="decimal" w:pos="250"/>
              </w:tabs>
              <w:spacing w:line="240" w:lineRule="auto"/>
              <w:jc w:val="center"/>
              <w:rPr>
                <w:rFonts w:ascii="Times New Roman" w:hAnsi="Times New Roman"/>
                <w:sz w:val="22"/>
                <w:lang w:val="hu-HU"/>
              </w:rPr>
            </w:pPr>
          </w:p>
        </w:tc>
        <w:tc>
          <w:tcPr>
            <w:tcW w:w="1071" w:type="dxa"/>
            <w:tcBorders>
              <w:top w:val="nil"/>
              <w:left w:val="single" w:sz="6" w:space="0" w:color="auto"/>
              <w:bottom w:val="nil"/>
              <w:right w:val="nil"/>
            </w:tcBorders>
          </w:tcPr>
          <w:p w14:paraId="4F27D922" w14:textId="77777777" w:rsidR="00366005" w:rsidRPr="00183B5F" w:rsidRDefault="00366005" w:rsidP="00FE0197">
            <w:pPr>
              <w:pStyle w:val="In-texttable"/>
              <w:spacing w:line="240" w:lineRule="auto"/>
              <w:jc w:val="center"/>
              <w:rPr>
                <w:rFonts w:ascii="Times New Roman" w:hAnsi="Times New Roman"/>
                <w:sz w:val="22"/>
                <w:lang w:val="hu-HU"/>
              </w:rPr>
            </w:pPr>
          </w:p>
        </w:tc>
        <w:tc>
          <w:tcPr>
            <w:tcW w:w="1197" w:type="dxa"/>
            <w:tcBorders>
              <w:top w:val="nil"/>
              <w:left w:val="nil"/>
              <w:bottom w:val="nil"/>
              <w:right w:val="single" w:sz="6" w:space="0" w:color="auto"/>
            </w:tcBorders>
          </w:tcPr>
          <w:p w14:paraId="46C1BC7A" w14:textId="77777777" w:rsidR="00366005" w:rsidRPr="00183B5F" w:rsidRDefault="00366005" w:rsidP="00FE0197">
            <w:pPr>
              <w:pStyle w:val="In-texttable"/>
              <w:tabs>
                <w:tab w:val="decimal" w:pos="205"/>
              </w:tabs>
              <w:spacing w:line="240" w:lineRule="auto"/>
              <w:jc w:val="center"/>
              <w:rPr>
                <w:rFonts w:ascii="Times New Roman" w:hAnsi="Times New Roman"/>
                <w:sz w:val="22"/>
                <w:lang w:val="hu-HU"/>
              </w:rPr>
            </w:pPr>
          </w:p>
        </w:tc>
        <w:tc>
          <w:tcPr>
            <w:tcW w:w="1418" w:type="dxa"/>
            <w:tcBorders>
              <w:top w:val="nil"/>
              <w:left w:val="single" w:sz="6" w:space="0" w:color="auto"/>
              <w:bottom w:val="nil"/>
              <w:right w:val="nil"/>
            </w:tcBorders>
          </w:tcPr>
          <w:p w14:paraId="116866F8" w14:textId="77777777" w:rsidR="00366005" w:rsidRPr="00183B5F" w:rsidRDefault="00366005" w:rsidP="00FE0197">
            <w:pPr>
              <w:pStyle w:val="In-texttable"/>
              <w:tabs>
                <w:tab w:val="decimal" w:pos="144"/>
              </w:tabs>
              <w:spacing w:line="240" w:lineRule="auto"/>
              <w:jc w:val="center"/>
              <w:rPr>
                <w:rFonts w:ascii="Times New Roman" w:hAnsi="Times New Roman"/>
                <w:sz w:val="22"/>
                <w:lang w:val="hu-HU"/>
              </w:rPr>
            </w:pPr>
          </w:p>
        </w:tc>
        <w:tc>
          <w:tcPr>
            <w:tcW w:w="1559" w:type="dxa"/>
            <w:tcBorders>
              <w:top w:val="nil"/>
              <w:left w:val="nil"/>
              <w:bottom w:val="nil"/>
              <w:right w:val="single" w:sz="4" w:space="0" w:color="auto"/>
            </w:tcBorders>
          </w:tcPr>
          <w:p w14:paraId="6D42F8FB" w14:textId="77777777" w:rsidR="00366005" w:rsidRPr="00183B5F" w:rsidRDefault="00366005" w:rsidP="00FE0197">
            <w:pPr>
              <w:pStyle w:val="In-texttable"/>
              <w:tabs>
                <w:tab w:val="decimal" w:pos="95"/>
              </w:tabs>
              <w:spacing w:line="240" w:lineRule="auto"/>
              <w:jc w:val="center"/>
              <w:rPr>
                <w:rFonts w:ascii="Times New Roman" w:hAnsi="Times New Roman"/>
                <w:sz w:val="22"/>
                <w:lang w:val="hu-HU"/>
              </w:rPr>
            </w:pPr>
          </w:p>
        </w:tc>
      </w:tr>
      <w:tr w:rsidR="00011D2F" w14:paraId="5E761AE0" w14:textId="77777777" w:rsidTr="00366005">
        <w:trPr>
          <w:cantSplit/>
        </w:trPr>
        <w:tc>
          <w:tcPr>
            <w:tcW w:w="1159" w:type="dxa"/>
            <w:tcBorders>
              <w:top w:val="nil"/>
              <w:left w:val="single" w:sz="4" w:space="0" w:color="auto"/>
              <w:bottom w:val="nil"/>
              <w:right w:val="single" w:sz="6" w:space="0" w:color="auto"/>
            </w:tcBorders>
            <w:hideMark/>
          </w:tcPr>
          <w:p w14:paraId="3E745703" w14:textId="77777777" w:rsidR="00366005" w:rsidRPr="00183B5F" w:rsidRDefault="00943743" w:rsidP="00FE0197">
            <w:pPr>
              <w:pStyle w:val="In-texttable"/>
              <w:tabs>
                <w:tab w:val="left" w:pos="144"/>
              </w:tabs>
              <w:spacing w:line="240" w:lineRule="auto"/>
              <w:rPr>
                <w:rFonts w:ascii="Times New Roman" w:hAnsi="Times New Roman"/>
                <w:sz w:val="22"/>
                <w:lang w:val="hu-HU"/>
              </w:rPr>
            </w:pPr>
            <w:r w:rsidRPr="00183B5F">
              <w:rPr>
                <w:rFonts w:ascii="Times New Roman" w:hAnsi="Times New Roman"/>
                <w:sz w:val="22"/>
                <w:lang w:val="hu-HU"/>
              </w:rPr>
              <w:tab/>
              <w:t>6 hónap</w:t>
            </w:r>
          </w:p>
        </w:tc>
        <w:tc>
          <w:tcPr>
            <w:tcW w:w="1393" w:type="dxa"/>
            <w:tcBorders>
              <w:top w:val="nil"/>
              <w:left w:val="single" w:sz="6" w:space="0" w:color="auto"/>
              <w:bottom w:val="nil"/>
              <w:right w:val="nil"/>
            </w:tcBorders>
            <w:hideMark/>
          </w:tcPr>
          <w:p w14:paraId="103AD99F" w14:textId="77777777" w:rsidR="00366005" w:rsidRPr="00183B5F" w:rsidRDefault="00943743" w:rsidP="00FE0197">
            <w:pPr>
              <w:pStyle w:val="In-texttable"/>
              <w:tabs>
                <w:tab w:val="decimal" w:pos="259"/>
              </w:tabs>
              <w:spacing w:line="240" w:lineRule="auto"/>
              <w:jc w:val="center"/>
              <w:rPr>
                <w:rFonts w:ascii="Times New Roman" w:hAnsi="Times New Roman"/>
                <w:sz w:val="22"/>
                <w:lang w:val="hu-HU"/>
              </w:rPr>
            </w:pPr>
            <w:r w:rsidRPr="00183B5F">
              <w:rPr>
                <w:rFonts w:ascii="Times New Roman" w:hAnsi="Times New Roman"/>
                <w:sz w:val="22"/>
                <w:lang w:val="hu-HU"/>
              </w:rPr>
              <w:t>6,7%</w:t>
            </w:r>
          </w:p>
        </w:tc>
        <w:tc>
          <w:tcPr>
            <w:tcW w:w="1417" w:type="dxa"/>
            <w:tcBorders>
              <w:top w:val="nil"/>
              <w:left w:val="nil"/>
              <w:bottom w:val="nil"/>
              <w:right w:val="single" w:sz="6" w:space="0" w:color="auto"/>
            </w:tcBorders>
            <w:hideMark/>
          </w:tcPr>
          <w:p w14:paraId="3CBB5FD6" w14:textId="77777777" w:rsidR="00366005" w:rsidRPr="00183B5F" w:rsidRDefault="00943743" w:rsidP="00FE0197">
            <w:pPr>
              <w:pStyle w:val="In-texttable"/>
              <w:tabs>
                <w:tab w:val="decimal" w:pos="250"/>
              </w:tabs>
              <w:spacing w:line="240" w:lineRule="auto"/>
              <w:jc w:val="center"/>
              <w:rPr>
                <w:rFonts w:ascii="Times New Roman" w:hAnsi="Times New Roman"/>
                <w:sz w:val="22"/>
                <w:lang w:val="hu-HU"/>
              </w:rPr>
            </w:pPr>
            <w:r w:rsidRPr="00183B5F">
              <w:rPr>
                <w:rFonts w:ascii="Times New Roman" w:hAnsi="Times New Roman"/>
                <w:sz w:val="22"/>
                <w:lang w:val="hu-HU"/>
              </w:rPr>
              <w:t>52,4%</w:t>
            </w:r>
          </w:p>
        </w:tc>
        <w:tc>
          <w:tcPr>
            <w:tcW w:w="1071" w:type="dxa"/>
            <w:tcBorders>
              <w:top w:val="nil"/>
              <w:left w:val="single" w:sz="6" w:space="0" w:color="auto"/>
              <w:bottom w:val="nil"/>
              <w:right w:val="nil"/>
            </w:tcBorders>
            <w:hideMark/>
          </w:tcPr>
          <w:p w14:paraId="7B585B9F" w14:textId="77777777" w:rsidR="00366005" w:rsidRPr="00183B5F" w:rsidRDefault="00943743" w:rsidP="00FE019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8,2%</w:t>
            </w:r>
          </w:p>
        </w:tc>
        <w:tc>
          <w:tcPr>
            <w:tcW w:w="1197" w:type="dxa"/>
            <w:tcBorders>
              <w:top w:val="nil"/>
              <w:left w:val="nil"/>
              <w:bottom w:val="nil"/>
              <w:right w:val="single" w:sz="6" w:space="0" w:color="auto"/>
            </w:tcBorders>
            <w:hideMark/>
          </w:tcPr>
          <w:p w14:paraId="07BFDC86" w14:textId="77777777" w:rsidR="00366005" w:rsidRPr="00183B5F" w:rsidRDefault="00943743" w:rsidP="00FE0197">
            <w:pPr>
              <w:pStyle w:val="In-texttable"/>
              <w:tabs>
                <w:tab w:val="decimal" w:pos="205"/>
              </w:tabs>
              <w:spacing w:line="240" w:lineRule="auto"/>
              <w:jc w:val="center"/>
              <w:rPr>
                <w:rFonts w:ascii="Times New Roman" w:hAnsi="Times New Roman"/>
                <w:sz w:val="22"/>
                <w:lang w:val="hu-HU"/>
              </w:rPr>
            </w:pPr>
            <w:r w:rsidRPr="00183B5F">
              <w:rPr>
                <w:rFonts w:ascii="Times New Roman" w:hAnsi="Times New Roman"/>
                <w:sz w:val="22"/>
                <w:lang w:val="hu-HU"/>
              </w:rPr>
              <w:t>22,1%</w:t>
            </w:r>
          </w:p>
        </w:tc>
        <w:tc>
          <w:tcPr>
            <w:tcW w:w="1418" w:type="dxa"/>
            <w:tcBorders>
              <w:top w:val="nil"/>
              <w:left w:val="single" w:sz="6" w:space="0" w:color="auto"/>
              <w:bottom w:val="nil"/>
              <w:right w:val="nil"/>
            </w:tcBorders>
            <w:hideMark/>
          </w:tcPr>
          <w:p w14:paraId="667BBA99" w14:textId="77777777" w:rsidR="00366005" w:rsidRPr="00183B5F" w:rsidRDefault="00943743" w:rsidP="00FE0197">
            <w:pPr>
              <w:pStyle w:val="In-texttable"/>
              <w:tabs>
                <w:tab w:val="decimal" w:pos="144"/>
              </w:tabs>
              <w:spacing w:line="240" w:lineRule="auto"/>
              <w:jc w:val="center"/>
              <w:rPr>
                <w:rFonts w:ascii="Times New Roman" w:hAnsi="Times New Roman"/>
                <w:sz w:val="22"/>
                <w:lang w:val="hu-HU"/>
              </w:rPr>
            </w:pPr>
            <w:r w:rsidRPr="00183B5F">
              <w:rPr>
                <w:rFonts w:ascii="Times New Roman" w:hAnsi="Times New Roman"/>
                <w:sz w:val="22"/>
                <w:lang w:val="hu-HU"/>
              </w:rPr>
              <w:t>9,5%</w:t>
            </w:r>
          </w:p>
        </w:tc>
        <w:tc>
          <w:tcPr>
            <w:tcW w:w="1559" w:type="dxa"/>
            <w:tcBorders>
              <w:top w:val="nil"/>
              <w:left w:val="nil"/>
              <w:bottom w:val="nil"/>
              <w:right w:val="single" w:sz="4" w:space="0" w:color="auto"/>
            </w:tcBorders>
            <w:hideMark/>
          </w:tcPr>
          <w:p w14:paraId="33B26915" w14:textId="77777777" w:rsidR="00366005" w:rsidRPr="00183B5F" w:rsidRDefault="00943743" w:rsidP="00FE0197">
            <w:pPr>
              <w:pStyle w:val="In-texttable"/>
              <w:tabs>
                <w:tab w:val="decimal" w:pos="95"/>
              </w:tabs>
              <w:spacing w:line="240" w:lineRule="auto"/>
              <w:jc w:val="center"/>
              <w:rPr>
                <w:rFonts w:ascii="Times New Roman" w:hAnsi="Times New Roman"/>
                <w:sz w:val="22"/>
                <w:lang w:val="hu-HU"/>
              </w:rPr>
            </w:pPr>
            <w:r w:rsidRPr="00183B5F">
              <w:rPr>
                <w:rFonts w:ascii="Times New Roman" w:hAnsi="Times New Roman"/>
                <w:sz w:val="22"/>
                <w:lang w:val="hu-HU"/>
              </w:rPr>
              <w:t>39,1%</w:t>
            </w:r>
          </w:p>
        </w:tc>
      </w:tr>
      <w:tr w:rsidR="00011D2F" w14:paraId="583AC8F9" w14:textId="77777777" w:rsidTr="00366005">
        <w:trPr>
          <w:cantSplit/>
        </w:trPr>
        <w:tc>
          <w:tcPr>
            <w:tcW w:w="1159" w:type="dxa"/>
            <w:tcBorders>
              <w:top w:val="nil"/>
              <w:left w:val="single" w:sz="4" w:space="0" w:color="auto"/>
              <w:bottom w:val="nil"/>
              <w:right w:val="single" w:sz="6" w:space="0" w:color="auto"/>
            </w:tcBorders>
            <w:hideMark/>
          </w:tcPr>
          <w:p w14:paraId="73F1F1D1" w14:textId="77777777" w:rsidR="00366005" w:rsidRPr="00183B5F" w:rsidRDefault="00943743" w:rsidP="00FE0197">
            <w:pPr>
              <w:pStyle w:val="In-texttable"/>
              <w:tabs>
                <w:tab w:val="left" w:pos="144"/>
              </w:tabs>
              <w:spacing w:line="240" w:lineRule="auto"/>
              <w:rPr>
                <w:rFonts w:ascii="Times New Roman" w:hAnsi="Times New Roman"/>
                <w:sz w:val="22"/>
                <w:lang w:val="hu-HU"/>
              </w:rPr>
            </w:pPr>
            <w:r w:rsidRPr="00183B5F">
              <w:rPr>
                <w:rFonts w:ascii="Times New Roman" w:hAnsi="Times New Roman"/>
                <w:sz w:val="22"/>
                <w:lang w:val="hu-HU"/>
              </w:rPr>
              <w:tab/>
              <w:t>12 hónap</w:t>
            </w:r>
          </w:p>
        </w:tc>
        <w:tc>
          <w:tcPr>
            <w:tcW w:w="1393" w:type="dxa"/>
            <w:tcBorders>
              <w:top w:val="nil"/>
              <w:left w:val="single" w:sz="6" w:space="0" w:color="auto"/>
              <w:bottom w:val="nil"/>
              <w:right w:val="nil"/>
            </w:tcBorders>
            <w:hideMark/>
          </w:tcPr>
          <w:p w14:paraId="23D6D517" w14:textId="77777777" w:rsidR="00366005" w:rsidRPr="00183B5F" w:rsidRDefault="00943743" w:rsidP="00FE0197">
            <w:pPr>
              <w:pStyle w:val="In-texttable"/>
              <w:tabs>
                <w:tab w:val="decimal" w:pos="259"/>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417" w:type="dxa"/>
            <w:tcBorders>
              <w:top w:val="nil"/>
              <w:left w:val="nil"/>
              <w:bottom w:val="nil"/>
              <w:right w:val="single" w:sz="6" w:space="0" w:color="auto"/>
            </w:tcBorders>
            <w:hideMark/>
          </w:tcPr>
          <w:p w14:paraId="03B99812" w14:textId="77777777" w:rsidR="00366005" w:rsidRPr="00183B5F" w:rsidRDefault="00943743" w:rsidP="00FE0197">
            <w:pPr>
              <w:pStyle w:val="In-texttable"/>
              <w:tabs>
                <w:tab w:val="decimal" w:pos="250"/>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071" w:type="dxa"/>
            <w:tcBorders>
              <w:top w:val="nil"/>
              <w:left w:val="single" w:sz="6" w:space="0" w:color="auto"/>
              <w:bottom w:val="nil"/>
              <w:right w:val="nil"/>
            </w:tcBorders>
            <w:hideMark/>
          </w:tcPr>
          <w:p w14:paraId="020B8D4F" w14:textId="77777777" w:rsidR="00366005" w:rsidRPr="00183B5F" w:rsidRDefault="00943743" w:rsidP="00FE019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197" w:type="dxa"/>
            <w:tcBorders>
              <w:top w:val="nil"/>
              <w:left w:val="nil"/>
              <w:bottom w:val="nil"/>
              <w:right w:val="single" w:sz="6" w:space="0" w:color="auto"/>
            </w:tcBorders>
            <w:hideMark/>
          </w:tcPr>
          <w:p w14:paraId="1038CDF8" w14:textId="77777777" w:rsidR="00366005" w:rsidRPr="00183B5F" w:rsidRDefault="00943743" w:rsidP="00FE0197">
            <w:pPr>
              <w:pStyle w:val="In-texttable"/>
              <w:tabs>
                <w:tab w:val="decimal" w:pos="205"/>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418" w:type="dxa"/>
            <w:tcBorders>
              <w:top w:val="nil"/>
              <w:left w:val="single" w:sz="6" w:space="0" w:color="auto"/>
              <w:bottom w:val="nil"/>
              <w:right w:val="nil"/>
            </w:tcBorders>
            <w:hideMark/>
          </w:tcPr>
          <w:p w14:paraId="6E425465" w14:textId="77777777" w:rsidR="00366005" w:rsidRPr="00183B5F" w:rsidRDefault="00943743" w:rsidP="00FE0197">
            <w:pPr>
              <w:pStyle w:val="In-texttable"/>
              <w:tabs>
                <w:tab w:val="decimal" w:pos="144"/>
              </w:tabs>
              <w:spacing w:line="240" w:lineRule="auto"/>
              <w:jc w:val="center"/>
              <w:rPr>
                <w:rFonts w:ascii="Times New Roman" w:hAnsi="Times New Roman"/>
                <w:sz w:val="22"/>
                <w:lang w:val="hu-HU"/>
              </w:rPr>
            </w:pPr>
            <w:r w:rsidRPr="00183B5F">
              <w:rPr>
                <w:rFonts w:ascii="Times New Roman" w:hAnsi="Times New Roman"/>
                <w:sz w:val="22"/>
                <w:lang w:val="hu-HU"/>
              </w:rPr>
              <w:t>9,5%</w:t>
            </w:r>
          </w:p>
        </w:tc>
        <w:tc>
          <w:tcPr>
            <w:tcW w:w="1559" w:type="dxa"/>
            <w:tcBorders>
              <w:top w:val="nil"/>
              <w:left w:val="nil"/>
              <w:bottom w:val="nil"/>
              <w:right w:val="single" w:sz="4" w:space="0" w:color="auto"/>
            </w:tcBorders>
            <w:hideMark/>
          </w:tcPr>
          <w:p w14:paraId="01ACAB78" w14:textId="77777777" w:rsidR="00366005" w:rsidRPr="00183B5F" w:rsidRDefault="00943743" w:rsidP="00FE0197">
            <w:pPr>
              <w:pStyle w:val="In-texttable"/>
              <w:tabs>
                <w:tab w:val="decimal" w:pos="95"/>
              </w:tabs>
              <w:spacing w:line="240" w:lineRule="auto"/>
              <w:jc w:val="center"/>
              <w:rPr>
                <w:rFonts w:ascii="Times New Roman" w:hAnsi="Times New Roman"/>
                <w:sz w:val="22"/>
                <w:lang w:val="hu-HU"/>
              </w:rPr>
            </w:pPr>
            <w:r w:rsidRPr="00183B5F">
              <w:rPr>
                <w:rFonts w:ascii="Times New Roman" w:hAnsi="Times New Roman"/>
                <w:sz w:val="22"/>
                <w:lang w:val="hu-HU"/>
              </w:rPr>
              <w:t>41,5%</w:t>
            </w:r>
          </w:p>
        </w:tc>
      </w:tr>
      <w:tr w:rsidR="00011D2F" w14:paraId="7C5CF2E8" w14:textId="77777777" w:rsidTr="00366005">
        <w:trPr>
          <w:cantSplit/>
        </w:trPr>
        <w:tc>
          <w:tcPr>
            <w:tcW w:w="1159" w:type="dxa"/>
            <w:tcBorders>
              <w:top w:val="nil"/>
              <w:left w:val="single" w:sz="4" w:space="0" w:color="auto"/>
              <w:bottom w:val="nil"/>
              <w:right w:val="single" w:sz="6" w:space="0" w:color="auto"/>
            </w:tcBorders>
            <w:hideMark/>
          </w:tcPr>
          <w:p w14:paraId="623CE301" w14:textId="77777777" w:rsidR="00366005" w:rsidRPr="00183B5F" w:rsidRDefault="00943743" w:rsidP="00FE0197">
            <w:pPr>
              <w:pStyle w:val="In-texttable"/>
              <w:tabs>
                <w:tab w:val="left" w:pos="144"/>
              </w:tabs>
              <w:spacing w:line="240" w:lineRule="auto"/>
              <w:rPr>
                <w:rFonts w:ascii="Times New Roman" w:hAnsi="Times New Roman"/>
                <w:sz w:val="22"/>
                <w:lang w:val="hu-HU"/>
              </w:rPr>
            </w:pPr>
            <w:r w:rsidRPr="00202B95">
              <w:rPr>
                <w:noProof/>
                <w:lang w:val="en-GB"/>
              </w:rPr>
              <mc:AlternateContent>
                <mc:Choice Requires="wps">
                  <w:drawing>
                    <wp:anchor distT="0" distB="0" distL="114300" distR="114300" simplePos="0" relativeHeight="251668480" behindDoc="0" locked="0" layoutInCell="0" allowOverlap="1" wp14:anchorId="125398C0" wp14:editId="2C17B366">
                      <wp:simplePos x="0" y="0"/>
                      <wp:positionH relativeFrom="column">
                        <wp:posOffset>-4972050</wp:posOffset>
                      </wp:positionH>
                      <wp:positionV relativeFrom="paragraph">
                        <wp:posOffset>38735</wp:posOffset>
                      </wp:positionV>
                      <wp:extent cx="3543300" cy="342900"/>
                      <wp:effectExtent l="0" t="0" r="0" b="0"/>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7B99DE" w14:textId="77777777" w:rsidR="00117602" w:rsidRDefault="00117602" w:rsidP="00366005">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25398C0" id="Text Box 115" o:spid="_x0000_s1027" type="#_x0000_t202" style="position:absolute;margin-left:-391.5pt;margin-top:3.05pt;width:279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" o:allowincell="f" stroked="f">
                      <v:textbox>
                        <w:txbxContent>
                          <w:p w14:paraId="1B7B99DE" w14:textId="77777777" w:rsidR="00117602" w:rsidRDefault="00117602" w:rsidP="00366005">
                            <w:pPr>
                              <w:rPr>
                                <w:sz w:val="20"/>
                              </w:rPr>
                            </w:pPr>
                          </w:p>
                        </w:txbxContent>
                      </v:textbox>
                    </v:shape>
                  </w:pict>
                </mc:Fallback>
              </mc:AlternateContent>
            </w:r>
            <w:r w:rsidRPr="00183B5F">
              <w:rPr>
                <w:rFonts w:ascii="Times New Roman" w:hAnsi="Times New Roman"/>
                <w:sz w:val="22"/>
                <w:lang w:val="hu-HU"/>
              </w:rPr>
              <w:t>ACR 70</w:t>
            </w:r>
          </w:p>
        </w:tc>
        <w:tc>
          <w:tcPr>
            <w:tcW w:w="1393" w:type="dxa"/>
            <w:tcBorders>
              <w:top w:val="nil"/>
              <w:left w:val="single" w:sz="6" w:space="0" w:color="auto"/>
              <w:bottom w:val="nil"/>
              <w:right w:val="nil"/>
            </w:tcBorders>
          </w:tcPr>
          <w:p w14:paraId="54DD9972" w14:textId="77777777" w:rsidR="00366005" w:rsidRPr="00183B5F" w:rsidRDefault="00366005" w:rsidP="00FE0197">
            <w:pPr>
              <w:pStyle w:val="In-texttable"/>
              <w:tabs>
                <w:tab w:val="decimal" w:pos="259"/>
              </w:tabs>
              <w:spacing w:line="240" w:lineRule="auto"/>
              <w:jc w:val="center"/>
              <w:rPr>
                <w:rFonts w:ascii="Times New Roman" w:hAnsi="Times New Roman"/>
                <w:sz w:val="22"/>
                <w:lang w:val="hu-HU"/>
              </w:rPr>
            </w:pPr>
          </w:p>
        </w:tc>
        <w:tc>
          <w:tcPr>
            <w:tcW w:w="1417" w:type="dxa"/>
            <w:tcBorders>
              <w:top w:val="nil"/>
              <w:left w:val="nil"/>
              <w:bottom w:val="nil"/>
              <w:right w:val="single" w:sz="6" w:space="0" w:color="auto"/>
            </w:tcBorders>
          </w:tcPr>
          <w:p w14:paraId="54547C76" w14:textId="77777777" w:rsidR="00366005" w:rsidRPr="00183B5F" w:rsidRDefault="00366005" w:rsidP="00FE0197">
            <w:pPr>
              <w:pStyle w:val="In-texttable"/>
              <w:tabs>
                <w:tab w:val="decimal" w:pos="250"/>
              </w:tabs>
              <w:spacing w:line="240" w:lineRule="auto"/>
              <w:jc w:val="center"/>
              <w:rPr>
                <w:rFonts w:ascii="Times New Roman" w:hAnsi="Times New Roman"/>
                <w:sz w:val="22"/>
                <w:lang w:val="hu-HU"/>
              </w:rPr>
            </w:pPr>
          </w:p>
        </w:tc>
        <w:tc>
          <w:tcPr>
            <w:tcW w:w="1071" w:type="dxa"/>
            <w:tcBorders>
              <w:top w:val="nil"/>
              <w:left w:val="single" w:sz="6" w:space="0" w:color="auto"/>
              <w:bottom w:val="nil"/>
              <w:right w:val="nil"/>
            </w:tcBorders>
          </w:tcPr>
          <w:p w14:paraId="483790BC" w14:textId="77777777" w:rsidR="00366005" w:rsidRPr="00183B5F" w:rsidRDefault="00366005" w:rsidP="00FE0197">
            <w:pPr>
              <w:pStyle w:val="In-texttable"/>
              <w:spacing w:line="240" w:lineRule="auto"/>
              <w:jc w:val="center"/>
              <w:rPr>
                <w:rFonts w:ascii="Times New Roman" w:hAnsi="Times New Roman"/>
                <w:sz w:val="22"/>
                <w:lang w:val="hu-HU"/>
              </w:rPr>
            </w:pPr>
          </w:p>
        </w:tc>
        <w:tc>
          <w:tcPr>
            <w:tcW w:w="1197" w:type="dxa"/>
            <w:tcBorders>
              <w:top w:val="nil"/>
              <w:left w:val="nil"/>
              <w:bottom w:val="nil"/>
              <w:right w:val="single" w:sz="6" w:space="0" w:color="auto"/>
            </w:tcBorders>
          </w:tcPr>
          <w:p w14:paraId="16B85C48" w14:textId="77777777" w:rsidR="00366005" w:rsidRPr="00183B5F" w:rsidRDefault="00366005" w:rsidP="00FE0197">
            <w:pPr>
              <w:pStyle w:val="In-texttable"/>
              <w:tabs>
                <w:tab w:val="decimal" w:pos="205"/>
              </w:tabs>
              <w:spacing w:line="240" w:lineRule="auto"/>
              <w:jc w:val="center"/>
              <w:rPr>
                <w:rFonts w:ascii="Times New Roman" w:hAnsi="Times New Roman"/>
                <w:sz w:val="22"/>
                <w:lang w:val="hu-HU"/>
              </w:rPr>
            </w:pPr>
          </w:p>
        </w:tc>
        <w:tc>
          <w:tcPr>
            <w:tcW w:w="1418" w:type="dxa"/>
            <w:tcBorders>
              <w:top w:val="nil"/>
              <w:left w:val="single" w:sz="6" w:space="0" w:color="auto"/>
              <w:bottom w:val="nil"/>
              <w:right w:val="nil"/>
            </w:tcBorders>
          </w:tcPr>
          <w:p w14:paraId="39B903C8" w14:textId="77777777" w:rsidR="00366005" w:rsidRPr="00183B5F" w:rsidRDefault="00366005" w:rsidP="00FE0197">
            <w:pPr>
              <w:pStyle w:val="In-texttable"/>
              <w:tabs>
                <w:tab w:val="decimal" w:pos="144"/>
              </w:tabs>
              <w:spacing w:line="240" w:lineRule="auto"/>
              <w:jc w:val="center"/>
              <w:rPr>
                <w:rFonts w:ascii="Times New Roman" w:hAnsi="Times New Roman"/>
                <w:sz w:val="22"/>
                <w:lang w:val="hu-HU"/>
              </w:rPr>
            </w:pPr>
          </w:p>
        </w:tc>
        <w:tc>
          <w:tcPr>
            <w:tcW w:w="1559" w:type="dxa"/>
            <w:tcBorders>
              <w:top w:val="nil"/>
              <w:left w:val="nil"/>
              <w:bottom w:val="nil"/>
              <w:right w:val="single" w:sz="4" w:space="0" w:color="auto"/>
            </w:tcBorders>
          </w:tcPr>
          <w:p w14:paraId="09D2F064" w14:textId="77777777" w:rsidR="00366005" w:rsidRPr="00183B5F" w:rsidRDefault="00366005" w:rsidP="00FE0197">
            <w:pPr>
              <w:pStyle w:val="In-texttable"/>
              <w:tabs>
                <w:tab w:val="decimal" w:pos="95"/>
              </w:tabs>
              <w:spacing w:line="240" w:lineRule="auto"/>
              <w:jc w:val="center"/>
              <w:rPr>
                <w:rFonts w:ascii="Times New Roman" w:hAnsi="Times New Roman"/>
                <w:sz w:val="22"/>
                <w:lang w:val="hu-HU"/>
              </w:rPr>
            </w:pPr>
          </w:p>
        </w:tc>
      </w:tr>
      <w:tr w:rsidR="00011D2F" w14:paraId="0184FB95" w14:textId="77777777" w:rsidTr="00366005">
        <w:trPr>
          <w:cantSplit/>
        </w:trPr>
        <w:tc>
          <w:tcPr>
            <w:tcW w:w="1159" w:type="dxa"/>
            <w:tcBorders>
              <w:top w:val="nil"/>
              <w:left w:val="single" w:sz="4" w:space="0" w:color="auto"/>
              <w:bottom w:val="nil"/>
              <w:right w:val="single" w:sz="6" w:space="0" w:color="auto"/>
            </w:tcBorders>
            <w:hideMark/>
          </w:tcPr>
          <w:p w14:paraId="14DFB288" w14:textId="77777777" w:rsidR="00366005" w:rsidRPr="00183B5F" w:rsidRDefault="00943743" w:rsidP="00FE0197">
            <w:pPr>
              <w:pStyle w:val="In-texttable"/>
              <w:tabs>
                <w:tab w:val="left" w:pos="144"/>
              </w:tabs>
              <w:spacing w:line="240" w:lineRule="auto"/>
              <w:rPr>
                <w:rFonts w:ascii="Times New Roman" w:hAnsi="Times New Roman"/>
                <w:sz w:val="22"/>
                <w:lang w:val="hu-HU"/>
              </w:rPr>
            </w:pPr>
            <w:r w:rsidRPr="00183B5F">
              <w:rPr>
                <w:rFonts w:ascii="Times New Roman" w:hAnsi="Times New Roman"/>
                <w:sz w:val="22"/>
                <w:lang w:val="hu-HU"/>
              </w:rPr>
              <w:tab/>
              <w:t>6 hónap</w:t>
            </w:r>
          </w:p>
        </w:tc>
        <w:tc>
          <w:tcPr>
            <w:tcW w:w="1393" w:type="dxa"/>
            <w:tcBorders>
              <w:top w:val="nil"/>
              <w:left w:val="single" w:sz="6" w:space="0" w:color="auto"/>
              <w:bottom w:val="nil"/>
              <w:right w:val="nil"/>
            </w:tcBorders>
            <w:hideMark/>
          </w:tcPr>
          <w:p w14:paraId="64D0D5CF" w14:textId="77777777" w:rsidR="00366005" w:rsidRPr="00183B5F" w:rsidRDefault="00943743" w:rsidP="00FE0197">
            <w:pPr>
              <w:pStyle w:val="In-texttable"/>
              <w:tabs>
                <w:tab w:val="decimal" w:pos="259"/>
              </w:tabs>
              <w:spacing w:line="240" w:lineRule="auto"/>
              <w:jc w:val="center"/>
              <w:rPr>
                <w:rFonts w:ascii="Times New Roman" w:hAnsi="Times New Roman"/>
                <w:sz w:val="22"/>
                <w:lang w:val="hu-HU"/>
              </w:rPr>
            </w:pPr>
            <w:r w:rsidRPr="00183B5F">
              <w:rPr>
                <w:rFonts w:ascii="Times New Roman" w:hAnsi="Times New Roman"/>
                <w:sz w:val="22"/>
                <w:lang w:val="hu-HU"/>
              </w:rPr>
              <w:t>3,3%</w:t>
            </w:r>
          </w:p>
        </w:tc>
        <w:tc>
          <w:tcPr>
            <w:tcW w:w="1417" w:type="dxa"/>
            <w:tcBorders>
              <w:top w:val="nil"/>
              <w:left w:val="nil"/>
              <w:bottom w:val="nil"/>
              <w:right w:val="single" w:sz="6" w:space="0" w:color="auto"/>
            </w:tcBorders>
            <w:hideMark/>
          </w:tcPr>
          <w:p w14:paraId="3AA74E33" w14:textId="77777777" w:rsidR="00366005" w:rsidRPr="00183B5F" w:rsidRDefault="00943743" w:rsidP="00FE0197">
            <w:pPr>
              <w:pStyle w:val="In-texttable"/>
              <w:tabs>
                <w:tab w:val="decimal" w:pos="250"/>
              </w:tabs>
              <w:spacing w:line="240" w:lineRule="auto"/>
              <w:jc w:val="center"/>
              <w:rPr>
                <w:rFonts w:ascii="Times New Roman" w:hAnsi="Times New Roman"/>
                <w:sz w:val="22"/>
                <w:lang w:val="hu-HU"/>
              </w:rPr>
            </w:pPr>
            <w:r w:rsidRPr="00183B5F">
              <w:rPr>
                <w:rFonts w:ascii="Times New Roman" w:hAnsi="Times New Roman"/>
                <w:sz w:val="22"/>
                <w:lang w:val="hu-HU"/>
              </w:rPr>
              <w:t>23,8%</w:t>
            </w:r>
          </w:p>
        </w:tc>
        <w:tc>
          <w:tcPr>
            <w:tcW w:w="1071" w:type="dxa"/>
            <w:tcBorders>
              <w:top w:val="nil"/>
              <w:left w:val="single" w:sz="6" w:space="0" w:color="auto"/>
              <w:bottom w:val="nil"/>
              <w:right w:val="nil"/>
            </w:tcBorders>
            <w:hideMark/>
          </w:tcPr>
          <w:p w14:paraId="3F6FD8DD" w14:textId="77777777" w:rsidR="00366005" w:rsidRPr="00183B5F" w:rsidRDefault="00943743" w:rsidP="00FE019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1,8%</w:t>
            </w:r>
          </w:p>
        </w:tc>
        <w:tc>
          <w:tcPr>
            <w:tcW w:w="1197" w:type="dxa"/>
            <w:tcBorders>
              <w:top w:val="nil"/>
              <w:left w:val="nil"/>
              <w:bottom w:val="nil"/>
              <w:right w:val="single" w:sz="6" w:space="0" w:color="auto"/>
            </w:tcBorders>
            <w:hideMark/>
          </w:tcPr>
          <w:p w14:paraId="40DF6410" w14:textId="77777777" w:rsidR="00366005" w:rsidRPr="00183B5F" w:rsidRDefault="00943743" w:rsidP="00FE0197">
            <w:pPr>
              <w:pStyle w:val="In-texttable"/>
              <w:tabs>
                <w:tab w:val="decimal" w:pos="205"/>
              </w:tabs>
              <w:spacing w:line="240" w:lineRule="auto"/>
              <w:jc w:val="center"/>
              <w:rPr>
                <w:rFonts w:ascii="Times New Roman" w:hAnsi="Times New Roman"/>
                <w:sz w:val="22"/>
                <w:lang w:val="hu-HU"/>
              </w:rPr>
            </w:pPr>
            <w:r w:rsidRPr="00183B5F">
              <w:rPr>
                <w:rFonts w:ascii="Times New Roman" w:hAnsi="Times New Roman"/>
                <w:sz w:val="22"/>
                <w:lang w:val="hu-HU"/>
              </w:rPr>
              <w:t>12,4%</w:t>
            </w:r>
          </w:p>
        </w:tc>
        <w:tc>
          <w:tcPr>
            <w:tcW w:w="1418" w:type="dxa"/>
            <w:tcBorders>
              <w:top w:val="nil"/>
              <w:left w:val="single" w:sz="6" w:space="0" w:color="auto"/>
              <w:bottom w:val="nil"/>
              <w:right w:val="nil"/>
            </w:tcBorders>
            <w:hideMark/>
          </w:tcPr>
          <w:p w14:paraId="550E821E" w14:textId="77777777" w:rsidR="00366005" w:rsidRPr="00183B5F" w:rsidRDefault="00943743" w:rsidP="00FE0197">
            <w:pPr>
              <w:pStyle w:val="In-texttable"/>
              <w:tabs>
                <w:tab w:val="decimal" w:pos="144"/>
              </w:tabs>
              <w:spacing w:line="240" w:lineRule="auto"/>
              <w:jc w:val="center"/>
              <w:rPr>
                <w:rFonts w:ascii="Times New Roman" w:hAnsi="Times New Roman"/>
                <w:sz w:val="22"/>
                <w:lang w:val="hu-HU"/>
              </w:rPr>
            </w:pPr>
            <w:r w:rsidRPr="00183B5F">
              <w:rPr>
                <w:rFonts w:ascii="Times New Roman" w:hAnsi="Times New Roman"/>
                <w:sz w:val="22"/>
                <w:lang w:val="hu-HU"/>
              </w:rPr>
              <w:t>2,5%</w:t>
            </w:r>
          </w:p>
        </w:tc>
        <w:tc>
          <w:tcPr>
            <w:tcW w:w="1559" w:type="dxa"/>
            <w:tcBorders>
              <w:top w:val="nil"/>
              <w:left w:val="nil"/>
              <w:bottom w:val="nil"/>
              <w:right w:val="single" w:sz="4" w:space="0" w:color="auto"/>
            </w:tcBorders>
            <w:hideMark/>
          </w:tcPr>
          <w:p w14:paraId="28A29D9B" w14:textId="77777777" w:rsidR="00366005" w:rsidRPr="00183B5F" w:rsidRDefault="00943743" w:rsidP="00FE0197">
            <w:pPr>
              <w:pStyle w:val="In-texttable"/>
              <w:tabs>
                <w:tab w:val="decimal" w:pos="95"/>
              </w:tabs>
              <w:spacing w:line="240" w:lineRule="auto"/>
              <w:jc w:val="center"/>
              <w:rPr>
                <w:rFonts w:ascii="Times New Roman" w:hAnsi="Times New Roman"/>
                <w:sz w:val="22"/>
                <w:lang w:val="hu-HU"/>
              </w:rPr>
            </w:pPr>
            <w:r w:rsidRPr="00183B5F">
              <w:rPr>
                <w:rFonts w:ascii="Times New Roman" w:hAnsi="Times New Roman"/>
                <w:sz w:val="22"/>
                <w:lang w:val="hu-HU"/>
              </w:rPr>
              <w:t>20,8%</w:t>
            </w:r>
          </w:p>
        </w:tc>
      </w:tr>
      <w:tr w:rsidR="00011D2F" w14:paraId="121C00A9" w14:textId="77777777" w:rsidTr="00366005">
        <w:trPr>
          <w:cantSplit/>
        </w:trPr>
        <w:tc>
          <w:tcPr>
            <w:tcW w:w="1159" w:type="dxa"/>
            <w:tcBorders>
              <w:top w:val="nil"/>
              <w:left w:val="single" w:sz="4" w:space="0" w:color="auto"/>
              <w:bottom w:val="single" w:sz="4" w:space="0" w:color="auto"/>
              <w:right w:val="single" w:sz="6" w:space="0" w:color="auto"/>
            </w:tcBorders>
            <w:hideMark/>
          </w:tcPr>
          <w:p w14:paraId="65B4466A" w14:textId="77777777" w:rsidR="00366005" w:rsidRPr="00183B5F" w:rsidRDefault="00943743" w:rsidP="00FE0197">
            <w:pPr>
              <w:pStyle w:val="In-texttable"/>
              <w:tabs>
                <w:tab w:val="left" w:pos="144"/>
              </w:tabs>
              <w:spacing w:line="240" w:lineRule="auto"/>
              <w:rPr>
                <w:rFonts w:ascii="Times New Roman" w:hAnsi="Times New Roman"/>
                <w:sz w:val="22"/>
                <w:lang w:val="hu-HU"/>
              </w:rPr>
            </w:pPr>
            <w:r w:rsidRPr="00183B5F">
              <w:rPr>
                <w:rFonts w:ascii="Times New Roman" w:hAnsi="Times New Roman"/>
                <w:sz w:val="22"/>
                <w:lang w:val="hu-HU"/>
              </w:rPr>
              <w:tab/>
              <w:t>12 hónap</w:t>
            </w:r>
          </w:p>
        </w:tc>
        <w:tc>
          <w:tcPr>
            <w:tcW w:w="1393" w:type="dxa"/>
            <w:tcBorders>
              <w:top w:val="nil"/>
              <w:left w:val="single" w:sz="6" w:space="0" w:color="auto"/>
              <w:bottom w:val="single" w:sz="4" w:space="0" w:color="auto"/>
              <w:right w:val="nil"/>
            </w:tcBorders>
            <w:hideMark/>
          </w:tcPr>
          <w:p w14:paraId="4FFE2EB1" w14:textId="77777777" w:rsidR="00366005" w:rsidRPr="00183B5F" w:rsidRDefault="00943743" w:rsidP="00FE0197">
            <w:pPr>
              <w:pStyle w:val="In-texttable"/>
              <w:tabs>
                <w:tab w:val="decimal" w:pos="259"/>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417" w:type="dxa"/>
            <w:tcBorders>
              <w:top w:val="nil"/>
              <w:left w:val="nil"/>
              <w:bottom w:val="single" w:sz="4" w:space="0" w:color="auto"/>
              <w:right w:val="single" w:sz="6" w:space="0" w:color="auto"/>
            </w:tcBorders>
            <w:hideMark/>
          </w:tcPr>
          <w:p w14:paraId="65522DF7" w14:textId="77777777" w:rsidR="00366005" w:rsidRPr="00183B5F" w:rsidRDefault="00943743" w:rsidP="00FE0197">
            <w:pPr>
              <w:pStyle w:val="In-texttable"/>
              <w:tabs>
                <w:tab w:val="decimal" w:pos="250"/>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071" w:type="dxa"/>
            <w:tcBorders>
              <w:top w:val="nil"/>
              <w:left w:val="single" w:sz="6" w:space="0" w:color="auto"/>
              <w:bottom w:val="single" w:sz="4" w:space="0" w:color="auto"/>
              <w:right w:val="nil"/>
            </w:tcBorders>
            <w:hideMark/>
          </w:tcPr>
          <w:p w14:paraId="1CBA4BA0" w14:textId="77777777" w:rsidR="00366005" w:rsidRPr="00183B5F" w:rsidRDefault="00943743" w:rsidP="00FE019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197" w:type="dxa"/>
            <w:tcBorders>
              <w:top w:val="nil"/>
              <w:left w:val="nil"/>
              <w:bottom w:val="single" w:sz="4" w:space="0" w:color="auto"/>
              <w:right w:val="single" w:sz="6" w:space="0" w:color="auto"/>
            </w:tcBorders>
            <w:hideMark/>
          </w:tcPr>
          <w:p w14:paraId="31F40C5F" w14:textId="77777777" w:rsidR="00366005" w:rsidRPr="00183B5F" w:rsidRDefault="00943743" w:rsidP="00FE0197">
            <w:pPr>
              <w:pStyle w:val="In-texttable"/>
              <w:tabs>
                <w:tab w:val="decimal" w:pos="205"/>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418" w:type="dxa"/>
            <w:tcBorders>
              <w:top w:val="nil"/>
              <w:left w:val="single" w:sz="6" w:space="0" w:color="auto"/>
              <w:bottom w:val="single" w:sz="4" w:space="0" w:color="auto"/>
              <w:right w:val="nil"/>
            </w:tcBorders>
            <w:hideMark/>
          </w:tcPr>
          <w:p w14:paraId="7A8B6AC8" w14:textId="77777777" w:rsidR="00366005" w:rsidRPr="00183B5F" w:rsidRDefault="00943743" w:rsidP="00FE0197">
            <w:pPr>
              <w:pStyle w:val="In-texttable"/>
              <w:tabs>
                <w:tab w:val="decimal" w:pos="144"/>
              </w:tabs>
              <w:spacing w:line="240" w:lineRule="auto"/>
              <w:jc w:val="center"/>
              <w:rPr>
                <w:rFonts w:ascii="Times New Roman" w:hAnsi="Times New Roman"/>
                <w:sz w:val="22"/>
                <w:lang w:val="hu-HU"/>
              </w:rPr>
            </w:pPr>
            <w:r w:rsidRPr="00183B5F">
              <w:rPr>
                <w:rFonts w:ascii="Times New Roman" w:hAnsi="Times New Roman"/>
                <w:sz w:val="22"/>
                <w:lang w:val="hu-HU"/>
              </w:rPr>
              <w:t>4,5%</w:t>
            </w:r>
          </w:p>
        </w:tc>
        <w:tc>
          <w:tcPr>
            <w:tcW w:w="1559" w:type="dxa"/>
            <w:tcBorders>
              <w:top w:val="nil"/>
              <w:left w:val="nil"/>
              <w:bottom w:val="single" w:sz="4" w:space="0" w:color="auto"/>
              <w:right w:val="single" w:sz="4" w:space="0" w:color="auto"/>
            </w:tcBorders>
            <w:hideMark/>
          </w:tcPr>
          <w:p w14:paraId="518C656E" w14:textId="77777777" w:rsidR="00366005" w:rsidRPr="00183B5F" w:rsidRDefault="00943743" w:rsidP="00FE0197">
            <w:pPr>
              <w:pStyle w:val="In-texttable"/>
              <w:tabs>
                <w:tab w:val="decimal" w:pos="95"/>
              </w:tabs>
              <w:spacing w:line="240" w:lineRule="auto"/>
              <w:jc w:val="center"/>
              <w:rPr>
                <w:rFonts w:ascii="Times New Roman" w:hAnsi="Times New Roman"/>
                <w:sz w:val="22"/>
                <w:lang w:val="hu-HU"/>
              </w:rPr>
            </w:pPr>
            <w:r w:rsidRPr="00183B5F">
              <w:rPr>
                <w:rFonts w:ascii="Times New Roman" w:hAnsi="Times New Roman"/>
                <w:sz w:val="22"/>
                <w:lang w:val="hu-HU"/>
              </w:rPr>
              <w:t>23,2%</w:t>
            </w:r>
          </w:p>
        </w:tc>
      </w:tr>
      <w:tr w:rsidR="00011D2F" w14:paraId="30199CC5" w14:textId="77777777" w:rsidTr="00366005">
        <w:trPr>
          <w:cantSplit/>
        </w:trPr>
        <w:tc>
          <w:tcPr>
            <w:tcW w:w="9214" w:type="dxa"/>
            <w:gridSpan w:val="7"/>
            <w:tcBorders>
              <w:top w:val="single" w:sz="4" w:space="0" w:color="auto"/>
              <w:left w:val="nil"/>
              <w:bottom w:val="nil"/>
              <w:right w:val="nil"/>
            </w:tcBorders>
            <w:hideMark/>
          </w:tcPr>
          <w:p w14:paraId="575202C0" w14:textId="77777777" w:rsidR="00366005" w:rsidRPr="00183B5F" w:rsidRDefault="00943743" w:rsidP="00FE0197">
            <w:pPr>
              <w:pStyle w:val="EndnoteText"/>
              <w:keepNext/>
              <w:tabs>
                <w:tab w:val="clear" w:pos="567"/>
                <w:tab w:val="left" w:pos="708"/>
              </w:tabs>
              <w:suppressAutoHyphens/>
              <w:rPr>
                <w:sz w:val="22"/>
                <w:szCs w:val="22"/>
                <w:lang w:val="hu-HU" w:eastAsia="hu-HU"/>
              </w:rPr>
            </w:pPr>
            <w:r w:rsidRPr="00183B5F">
              <w:rPr>
                <w:sz w:val="22"/>
                <w:szCs w:val="22"/>
                <w:vertAlign w:val="superscript"/>
                <w:lang w:val="hu-HU" w:eastAsia="hu-HU"/>
              </w:rPr>
              <w:t xml:space="preserve">a </w:t>
            </w:r>
            <w:r w:rsidRPr="00183B5F">
              <w:rPr>
                <w:sz w:val="22"/>
                <w:szCs w:val="22"/>
                <w:lang w:val="hu-HU" w:eastAsia="hu-HU"/>
              </w:rPr>
              <w:t>RA I vizsgálat 24. héten, RA II vizsgálat 26. héten, RA III vizsgálat 24. és 52. héten</w:t>
            </w:r>
          </w:p>
          <w:p w14:paraId="004051CD" w14:textId="77777777" w:rsidR="00366005" w:rsidRPr="00183B5F" w:rsidRDefault="00943743" w:rsidP="00FE0197">
            <w:pPr>
              <w:pStyle w:val="EndnoteText"/>
              <w:keepNext/>
              <w:tabs>
                <w:tab w:val="clear" w:pos="567"/>
                <w:tab w:val="left" w:pos="708"/>
              </w:tabs>
              <w:suppressAutoHyphens/>
              <w:rPr>
                <w:sz w:val="22"/>
                <w:szCs w:val="22"/>
                <w:lang w:val="hu-HU" w:eastAsia="hu-HU"/>
              </w:rPr>
            </w:pPr>
            <w:r w:rsidRPr="00183B5F">
              <w:rPr>
                <w:sz w:val="22"/>
                <w:szCs w:val="22"/>
                <w:vertAlign w:val="superscript"/>
                <w:lang w:val="hu-HU" w:eastAsia="hu-HU"/>
              </w:rPr>
              <w:t xml:space="preserve">b </w:t>
            </w:r>
            <w:r w:rsidRPr="00183B5F">
              <w:rPr>
                <w:sz w:val="22"/>
                <w:szCs w:val="22"/>
                <w:lang w:val="hu-HU" w:eastAsia="hu-HU"/>
              </w:rPr>
              <w:t>40 mg Humira minden második héten alkalmazva</w:t>
            </w:r>
          </w:p>
          <w:p w14:paraId="3E8ED4FA" w14:textId="77777777" w:rsidR="00366005" w:rsidRPr="00183B5F" w:rsidRDefault="00943743" w:rsidP="00FE0197">
            <w:pPr>
              <w:pStyle w:val="EndnoteText"/>
              <w:keepNext/>
              <w:tabs>
                <w:tab w:val="clear" w:pos="567"/>
                <w:tab w:val="left" w:pos="708"/>
              </w:tabs>
              <w:suppressAutoHyphens/>
              <w:rPr>
                <w:sz w:val="22"/>
                <w:szCs w:val="22"/>
                <w:lang w:val="hu-HU" w:eastAsia="hu-HU"/>
              </w:rPr>
            </w:pPr>
            <w:r w:rsidRPr="00183B5F">
              <w:rPr>
                <w:sz w:val="22"/>
                <w:szCs w:val="22"/>
                <w:vertAlign w:val="superscript"/>
                <w:lang w:val="hu-HU" w:eastAsia="hu-HU"/>
              </w:rPr>
              <w:t xml:space="preserve">c </w:t>
            </w:r>
            <w:r w:rsidRPr="00183B5F">
              <w:rPr>
                <w:sz w:val="22"/>
                <w:szCs w:val="22"/>
                <w:lang w:val="hu-HU" w:eastAsia="hu-HU"/>
              </w:rPr>
              <w:t>MTX =</w:t>
            </w:r>
            <w:r w:rsidRPr="00183B5F">
              <w:rPr>
                <w:sz w:val="22"/>
                <w:lang w:val="hu-HU"/>
              </w:rPr>
              <w:t> metotrexát</w:t>
            </w:r>
          </w:p>
          <w:p w14:paraId="088D5ACF" w14:textId="77777777" w:rsidR="00366005" w:rsidRPr="00183B5F" w:rsidRDefault="00943743" w:rsidP="00FE0197">
            <w:pPr>
              <w:pStyle w:val="EndnoteText"/>
              <w:keepNext/>
              <w:tabs>
                <w:tab w:val="clear" w:pos="567"/>
                <w:tab w:val="left" w:pos="708"/>
              </w:tabs>
              <w:suppressAutoHyphens/>
              <w:rPr>
                <w:sz w:val="22"/>
                <w:lang w:val="hu-HU"/>
              </w:rPr>
            </w:pPr>
            <w:r w:rsidRPr="00183B5F">
              <w:rPr>
                <w:sz w:val="22"/>
                <w:vertAlign w:val="superscript"/>
                <w:lang w:val="hu-HU"/>
              </w:rPr>
              <w:t xml:space="preserve">* * </w:t>
            </w:r>
            <w:r w:rsidRPr="00183B5F">
              <w:rPr>
                <w:sz w:val="22"/>
                <w:lang w:val="hu-HU"/>
              </w:rPr>
              <w:t>p &lt; 0,01, Humira versus placebo</w:t>
            </w:r>
          </w:p>
          <w:p w14:paraId="31E16CD9" w14:textId="77777777" w:rsidR="00366005" w:rsidRPr="00183B5F" w:rsidRDefault="00943743" w:rsidP="00FE0197">
            <w:pPr>
              <w:keepNext/>
              <w:spacing w:line="240" w:lineRule="auto"/>
              <w:rPr>
                <w:szCs w:val="22"/>
                <w:lang w:eastAsia="en-US"/>
              </w:rPr>
            </w:pPr>
            <w:r w:rsidRPr="00183B5F">
              <w:rPr>
                <w:szCs w:val="22"/>
                <w:lang w:eastAsia="en-US"/>
              </w:rPr>
              <w:t>NA: nincs adat</w:t>
            </w:r>
          </w:p>
        </w:tc>
      </w:tr>
    </w:tbl>
    <w:p w14:paraId="61A00689" w14:textId="77777777" w:rsidR="00366005" w:rsidRPr="00183B5F" w:rsidRDefault="00366005">
      <w:pPr>
        <w:spacing w:line="240" w:lineRule="auto"/>
        <w:rPr>
          <w:szCs w:val="22"/>
        </w:rPr>
      </w:pPr>
    </w:p>
    <w:p w14:paraId="53278EDC" w14:textId="77777777" w:rsidR="00366005" w:rsidRPr="00183B5F" w:rsidRDefault="00943743">
      <w:pPr>
        <w:suppressAutoHyphens w:val="0"/>
        <w:spacing w:line="240" w:lineRule="auto"/>
        <w:rPr>
          <w:szCs w:val="22"/>
        </w:rPr>
      </w:pPr>
      <w:r w:rsidRPr="00183B5F">
        <w:rPr>
          <w:szCs w:val="22"/>
        </w:rPr>
        <w:t>Az RA I</w:t>
      </w:r>
      <w:r w:rsidRPr="00183B5F">
        <w:rPr>
          <w:szCs w:val="22"/>
        </w:rPr>
        <w:noBreakHyphen/>
        <w:t xml:space="preserve">IV vizsgálatokban az </w:t>
      </w:r>
      <w:r w:rsidR="005D174E" w:rsidRPr="00183B5F">
        <w:rPr>
          <w:szCs w:val="22"/>
        </w:rPr>
        <w:t>ACR-válasz</w:t>
      </w:r>
      <w:r w:rsidRPr="00183B5F">
        <w:rPr>
          <w:szCs w:val="22"/>
        </w:rPr>
        <w:t xml:space="preserve">t alkotó kritériumok (duzzadt és érzékeny ízületek száma, a beteg és az orvos értékelése a betegség aktivitásáról és a fájdalomról, rokkantsági index (HAQ), CRP (mg/dl) érték) mindegyike egyedileg is javulást mutatott </w:t>
      </w:r>
      <w:r w:rsidR="006F63B0" w:rsidRPr="00183B5F">
        <w:rPr>
          <w:szCs w:val="22"/>
        </w:rPr>
        <w:t xml:space="preserve">a </w:t>
      </w:r>
      <w:r w:rsidRPr="00183B5F">
        <w:rPr>
          <w:szCs w:val="22"/>
        </w:rPr>
        <w:t>24</w:t>
      </w:r>
      <w:r w:rsidR="006F63B0" w:rsidRPr="00183B5F">
        <w:rPr>
          <w:szCs w:val="22"/>
        </w:rPr>
        <w:t>.</w:t>
      </w:r>
      <w:r w:rsidRPr="00183B5F">
        <w:rPr>
          <w:szCs w:val="22"/>
        </w:rPr>
        <w:t xml:space="preserve"> illetve 26</w:t>
      </w:r>
      <w:r w:rsidR="006F63B0" w:rsidRPr="00183B5F">
        <w:rPr>
          <w:szCs w:val="22"/>
        </w:rPr>
        <w:t>. héten</w:t>
      </w:r>
      <w:r w:rsidRPr="00183B5F">
        <w:rPr>
          <w:szCs w:val="22"/>
        </w:rPr>
        <w:t xml:space="preserve"> a placebocsoporthoz képest. A</w:t>
      </w:r>
      <w:r w:rsidR="006F63B0" w:rsidRPr="00183B5F">
        <w:rPr>
          <w:szCs w:val="22"/>
        </w:rPr>
        <w:t>z RA</w:t>
      </w:r>
      <w:r w:rsidRPr="00183B5F">
        <w:rPr>
          <w:szCs w:val="22"/>
        </w:rPr>
        <w:t xml:space="preserve"> III vizsgálatban ez a javuló tendencia 52 héten át tartott.</w:t>
      </w:r>
    </w:p>
    <w:p w14:paraId="2FA066A3" w14:textId="77777777" w:rsidR="00366005" w:rsidRPr="00183B5F" w:rsidRDefault="00366005">
      <w:pPr>
        <w:suppressAutoHyphens w:val="0"/>
        <w:spacing w:line="240" w:lineRule="auto"/>
        <w:rPr>
          <w:szCs w:val="22"/>
        </w:rPr>
      </w:pPr>
    </w:p>
    <w:p w14:paraId="378E5774" w14:textId="77777777" w:rsidR="00366005" w:rsidRPr="00183B5F" w:rsidRDefault="00943743">
      <w:pPr>
        <w:suppressAutoHyphens w:val="0"/>
        <w:spacing w:line="240" w:lineRule="auto"/>
        <w:rPr>
          <w:szCs w:val="22"/>
        </w:rPr>
      </w:pPr>
      <w:r w:rsidRPr="00183B5F">
        <w:rPr>
          <w:szCs w:val="22"/>
        </w:rPr>
        <w:t xml:space="preserve">Az RA III vizsgálat nyílt kiterjesztésének legfeljebb 10 éves követési fázisában az </w:t>
      </w:r>
      <w:r w:rsidR="005D174E" w:rsidRPr="00183B5F">
        <w:rPr>
          <w:szCs w:val="22"/>
        </w:rPr>
        <w:t>ACR</w:t>
      </w:r>
      <w:r w:rsidR="00713A57" w:rsidRPr="00183B5F">
        <w:rPr>
          <w:szCs w:val="22"/>
        </w:rPr>
        <w:noBreakHyphen/>
      </w:r>
      <w:r w:rsidR="005D174E" w:rsidRPr="00183B5F">
        <w:rPr>
          <w:szCs w:val="22"/>
        </w:rPr>
        <w:t>válasz</w:t>
      </w:r>
      <w:r w:rsidRPr="00183B5F">
        <w:rPr>
          <w:szCs w:val="22"/>
        </w:rPr>
        <w:t>t adó betegek többségénél fennmaradt a válasz. A minden második héten Humira</w:t>
      </w:r>
      <w:r w:rsidRPr="00183B5F">
        <w:rPr>
          <w:szCs w:val="22"/>
        </w:rPr>
        <w:noBreakHyphen/>
        <w:t>val kezelt 207 beteg közül 114 beteg folytatta a 2 hetenkénti 40 mg</w:t>
      </w:r>
      <w:r w:rsidR="00E5381A" w:rsidRPr="00183B5F">
        <w:rPr>
          <w:szCs w:val="22"/>
        </w:rPr>
        <w:noBreakHyphen/>
      </w:r>
      <w:r w:rsidRPr="00183B5F">
        <w:rPr>
          <w:szCs w:val="22"/>
        </w:rPr>
        <w:t>os Humira</w:t>
      </w:r>
      <w:r w:rsidRPr="00183B5F">
        <w:rPr>
          <w:szCs w:val="22"/>
        </w:rPr>
        <w:noBreakHyphen/>
        <w:t>kezelést 5 éven keresztül. Közülük 86 (75,4%) mutatott ACR 20 választ, 72 beteg (63,2%) ACR 50 választ és 41 beteg (36%) ACR 70 választ. A 207 beteg közül 81 beteg folytatta a 2 hetenkénti 40 mg</w:t>
      </w:r>
      <w:r w:rsidRPr="00183B5F">
        <w:rPr>
          <w:szCs w:val="22"/>
        </w:rPr>
        <w:noBreakHyphen/>
        <w:t>os Humira</w:t>
      </w:r>
      <w:r w:rsidRPr="00183B5F">
        <w:rPr>
          <w:szCs w:val="22"/>
        </w:rPr>
        <w:noBreakHyphen/>
        <w:t>kezelést 10 éven keresztül. Közülük 64 beteg (79,0%) adott ACR 20 választ, 56 beteg (69,1%) ACR 50 választ és 43 beteg (53,1%) ACR 70 választ.</w:t>
      </w:r>
    </w:p>
    <w:p w14:paraId="6ABDC79E" w14:textId="77777777" w:rsidR="00366005" w:rsidRPr="00183B5F" w:rsidRDefault="00366005">
      <w:pPr>
        <w:suppressAutoHyphens w:val="0"/>
        <w:spacing w:line="240" w:lineRule="auto"/>
        <w:rPr>
          <w:szCs w:val="22"/>
        </w:rPr>
      </w:pPr>
    </w:p>
    <w:p w14:paraId="0D9FE75F" w14:textId="77777777" w:rsidR="00366005" w:rsidRPr="00183B5F" w:rsidRDefault="00943743">
      <w:pPr>
        <w:spacing w:line="240" w:lineRule="auto"/>
        <w:rPr>
          <w:szCs w:val="22"/>
        </w:rPr>
      </w:pPr>
      <w:r w:rsidRPr="00183B5F">
        <w:rPr>
          <w:szCs w:val="22"/>
        </w:rPr>
        <w:t>Az RA IV vizsgálatban, a Humira</w:t>
      </w:r>
      <w:r w:rsidRPr="00183B5F">
        <w:rPr>
          <w:szCs w:val="22"/>
        </w:rPr>
        <w:noBreakHyphen/>
        <w:t xml:space="preserve">val és a standard terápiával kezelt betegek szignifikánsan jobb ACR 20 választ értek el mint a placebóval és a </w:t>
      </w:r>
      <w:r w:rsidR="006F63B0" w:rsidRPr="00183B5F">
        <w:rPr>
          <w:szCs w:val="22"/>
        </w:rPr>
        <w:t xml:space="preserve">standard </w:t>
      </w:r>
      <w:r w:rsidRPr="00183B5F">
        <w:rPr>
          <w:szCs w:val="22"/>
        </w:rPr>
        <w:t>terápiával kezeltek (p &lt; 0,001).</w:t>
      </w:r>
    </w:p>
    <w:p w14:paraId="4A7BDB5D" w14:textId="77777777" w:rsidR="00366005" w:rsidRPr="00183B5F" w:rsidRDefault="00366005">
      <w:pPr>
        <w:pStyle w:val="EndnoteText"/>
        <w:tabs>
          <w:tab w:val="clear" w:pos="567"/>
          <w:tab w:val="left" w:pos="708"/>
        </w:tabs>
        <w:suppressAutoHyphens/>
        <w:rPr>
          <w:sz w:val="22"/>
          <w:szCs w:val="22"/>
          <w:lang w:val="hu-HU" w:eastAsia="hu-HU"/>
        </w:rPr>
      </w:pPr>
    </w:p>
    <w:p w14:paraId="0C9B4CF0" w14:textId="77777777" w:rsidR="00366005" w:rsidRPr="00183B5F" w:rsidRDefault="00943743">
      <w:pPr>
        <w:spacing w:line="240" w:lineRule="auto"/>
        <w:rPr>
          <w:szCs w:val="22"/>
        </w:rPr>
      </w:pPr>
      <w:r w:rsidRPr="00183B5F">
        <w:rPr>
          <w:szCs w:val="22"/>
        </w:rPr>
        <w:t>Az RA I</w:t>
      </w:r>
      <w:r w:rsidRPr="00183B5F">
        <w:rPr>
          <w:szCs w:val="22"/>
        </w:rPr>
        <w:noBreakHyphen/>
        <w:t>IV vizsgálatban, a Humira</w:t>
      </w:r>
      <w:r w:rsidRPr="00183B5F">
        <w:rPr>
          <w:szCs w:val="22"/>
        </w:rPr>
        <w:noBreakHyphen/>
        <w:t>val kezelt betegek statisztikailag szignifikánsan jobb ACR 20 és 50 választ értek el a placebocsoporttal összehasonlítva, már egy vagy két héttel a vizsgálat kezdete után.</w:t>
      </w:r>
    </w:p>
    <w:p w14:paraId="3CE357F9" w14:textId="77777777" w:rsidR="00366005" w:rsidRPr="00183B5F" w:rsidRDefault="00366005">
      <w:pPr>
        <w:spacing w:line="240" w:lineRule="auto"/>
        <w:rPr>
          <w:szCs w:val="22"/>
        </w:rPr>
      </w:pPr>
    </w:p>
    <w:p w14:paraId="78B2BB8D" w14:textId="77777777" w:rsidR="00366005" w:rsidRPr="00183B5F" w:rsidRDefault="00943743">
      <w:pPr>
        <w:spacing w:line="240" w:lineRule="auto"/>
        <w:rPr>
          <w:szCs w:val="22"/>
        </w:rPr>
      </w:pPr>
      <w:r w:rsidRPr="00183B5F">
        <w:rPr>
          <w:szCs w:val="22"/>
        </w:rPr>
        <w:t xml:space="preserve">Az RA V vizsgálatban, amelybe </w:t>
      </w:r>
      <w:r w:rsidR="001A6E66" w:rsidRPr="00183B5F">
        <w:rPr>
          <w:szCs w:val="22"/>
        </w:rPr>
        <w:t>metotrexát-keze</w:t>
      </w:r>
      <w:r w:rsidRPr="00183B5F">
        <w:rPr>
          <w:szCs w:val="22"/>
        </w:rPr>
        <w:t xml:space="preserve">lésben korábban nem részesült korai rheumatoid arthritises betegeket vontak be, a Humira/metotrexát kombinációs kezelés gyorsabb és jelentősen nagyobb </w:t>
      </w:r>
      <w:r w:rsidR="005D174E" w:rsidRPr="00183B5F">
        <w:rPr>
          <w:szCs w:val="22"/>
        </w:rPr>
        <w:t>ACR-válasz</w:t>
      </w:r>
      <w:r w:rsidRPr="00183B5F">
        <w:rPr>
          <w:szCs w:val="22"/>
        </w:rPr>
        <w:t>t adott, mint a metotrexát, vagy a Humira</w:t>
      </w:r>
      <w:r w:rsidR="005C406C" w:rsidRPr="00183B5F">
        <w:rPr>
          <w:szCs w:val="22"/>
        </w:rPr>
        <w:t>-</w:t>
      </w:r>
      <w:r w:rsidRPr="00183B5F">
        <w:rPr>
          <w:szCs w:val="22"/>
        </w:rPr>
        <w:t xml:space="preserve">monoterápia az 52. héten és a hatás fennmaradt a 104. hétig (lásd </w:t>
      </w:r>
      <w:r w:rsidR="00890A71" w:rsidRPr="00183B5F">
        <w:rPr>
          <w:szCs w:val="22"/>
        </w:rPr>
        <w:t>8</w:t>
      </w:r>
      <w:r w:rsidRPr="00183B5F">
        <w:rPr>
          <w:szCs w:val="22"/>
        </w:rPr>
        <w:t>. táblázat).</w:t>
      </w:r>
    </w:p>
    <w:p w14:paraId="7BD21717" w14:textId="77777777" w:rsidR="00366005" w:rsidRPr="00183B5F" w:rsidRDefault="00366005">
      <w:pPr>
        <w:keepNext/>
        <w:spacing w:line="240" w:lineRule="auto"/>
        <w:rPr>
          <w:szCs w:val="22"/>
        </w:rPr>
      </w:pPr>
    </w:p>
    <w:p w14:paraId="45CCCBC2" w14:textId="77777777" w:rsidR="00366005" w:rsidRPr="00183B5F" w:rsidRDefault="00943743">
      <w:pPr>
        <w:keepNext/>
        <w:spacing w:line="240" w:lineRule="auto"/>
        <w:jc w:val="center"/>
        <w:rPr>
          <w:b/>
          <w:bCs/>
          <w:szCs w:val="22"/>
        </w:rPr>
      </w:pPr>
      <w:r w:rsidRPr="00183B5F">
        <w:rPr>
          <w:b/>
          <w:bCs/>
          <w:szCs w:val="22"/>
        </w:rPr>
        <w:t xml:space="preserve">8. táblázat </w:t>
      </w:r>
    </w:p>
    <w:p w14:paraId="5CB1BBCC" w14:textId="77777777" w:rsidR="00366005" w:rsidRPr="00183B5F" w:rsidRDefault="00943743">
      <w:pPr>
        <w:keepNext/>
        <w:spacing w:line="240" w:lineRule="auto"/>
        <w:jc w:val="center"/>
        <w:rPr>
          <w:b/>
          <w:bCs/>
          <w:szCs w:val="22"/>
        </w:rPr>
      </w:pPr>
      <w:r w:rsidRPr="00183B5F">
        <w:rPr>
          <w:b/>
          <w:bCs/>
          <w:szCs w:val="22"/>
        </w:rPr>
        <w:t>ACR-válasz az RA V vizsgálatban (a betegek százaléka)</w:t>
      </w:r>
    </w:p>
    <w:p w14:paraId="297E77A6" w14:textId="77777777" w:rsidR="00366005" w:rsidRPr="00183B5F" w:rsidRDefault="00366005">
      <w:pPr>
        <w:keepNext/>
        <w:spacing w:line="240" w:lineRule="auto"/>
        <w:jc w:val="center"/>
        <w:rPr>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4"/>
        <w:gridCol w:w="1299"/>
        <w:gridCol w:w="1299"/>
        <w:gridCol w:w="1460"/>
        <w:gridCol w:w="1291"/>
        <w:gridCol w:w="1287"/>
        <w:gridCol w:w="1354"/>
      </w:tblGrid>
      <w:tr w:rsidR="00011D2F" w14:paraId="21B5CBE5" w14:textId="77777777" w:rsidTr="00366005">
        <w:trPr>
          <w:cantSplit/>
        </w:trPr>
        <w:tc>
          <w:tcPr>
            <w:tcW w:w="1310" w:type="dxa"/>
            <w:tcBorders>
              <w:top w:val="single" w:sz="4" w:space="0" w:color="auto"/>
              <w:left w:val="single" w:sz="4" w:space="0" w:color="auto"/>
              <w:bottom w:val="single" w:sz="4" w:space="0" w:color="auto"/>
              <w:right w:val="single" w:sz="4" w:space="0" w:color="auto"/>
            </w:tcBorders>
            <w:hideMark/>
          </w:tcPr>
          <w:p w14:paraId="73C0DC6A" w14:textId="77777777" w:rsidR="00366005" w:rsidRPr="00183B5F" w:rsidRDefault="00943743">
            <w:pPr>
              <w:keepNext/>
              <w:spacing w:line="240" w:lineRule="auto"/>
              <w:rPr>
                <w:b/>
                <w:szCs w:val="22"/>
                <w:lang w:eastAsia="en-US"/>
              </w:rPr>
            </w:pPr>
            <w:r w:rsidRPr="00183B5F">
              <w:rPr>
                <w:b/>
                <w:szCs w:val="22"/>
                <w:lang w:eastAsia="en-US"/>
              </w:rPr>
              <w:t>Válasz</w:t>
            </w:r>
          </w:p>
        </w:tc>
        <w:tc>
          <w:tcPr>
            <w:tcW w:w="1310" w:type="dxa"/>
            <w:tcBorders>
              <w:top w:val="single" w:sz="4" w:space="0" w:color="auto"/>
              <w:left w:val="single" w:sz="4" w:space="0" w:color="auto"/>
              <w:bottom w:val="single" w:sz="4" w:space="0" w:color="auto"/>
              <w:right w:val="single" w:sz="4" w:space="0" w:color="auto"/>
            </w:tcBorders>
            <w:hideMark/>
          </w:tcPr>
          <w:p w14:paraId="48D4C8CA" w14:textId="77777777" w:rsidR="00366005" w:rsidRPr="00183B5F" w:rsidRDefault="00943743">
            <w:pPr>
              <w:keepNext/>
              <w:spacing w:line="240" w:lineRule="auto"/>
              <w:rPr>
                <w:b/>
                <w:szCs w:val="22"/>
                <w:lang w:eastAsia="en-US"/>
              </w:rPr>
            </w:pPr>
            <w:r w:rsidRPr="00183B5F">
              <w:rPr>
                <w:b/>
                <w:szCs w:val="22"/>
                <w:lang w:eastAsia="en-US"/>
              </w:rPr>
              <w:t>MTX (n = 257)</w:t>
            </w:r>
          </w:p>
        </w:tc>
        <w:tc>
          <w:tcPr>
            <w:tcW w:w="1310" w:type="dxa"/>
            <w:tcBorders>
              <w:top w:val="single" w:sz="4" w:space="0" w:color="auto"/>
              <w:left w:val="single" w:sz="4" w:space="0" w:color="auto"/>
              <w:bottom w:val="single" w:sz="4" w:space="0" w:color="auto"/>
              <w:right w:val="single" w:sz="4" w:space="0" w:color="auto"/>
            </w:tcBorders>
            <w:hideMark/>
          </w:tcPr>
          <w:p w14:paraId="2627D802" w14:textId="77777777" w:rsidR="00366005" w:rsidRPr="00183B5F" w:rsidRDefault="00943743">
            <w:pPr>
              <w:keepNext/>
              <w:spacing w:line="240" w:lineRule="auto"/>
              <w:rPr>
                <w:b/>
                <w:szCs w:val="22"/>
                <w:lang w:eastAsia="en-US"/>
              </w:rPr>
            </w:pPr>
            <w:r w:rsidRPr="00183B5F">
              <w:rPr>
                <w:b/>
                <w:szCs w:val="22"/>
                <w:lang w:eastAsia="en-US"/>
              </w:rPr>
              <w:t>Humira (n = 274)</w:t>
            </w:r>
          </w:p>
        </w:tc>
        <w:tc>
          <w:tcPr>
            <w:tcW w:w="1363" w:type="dxa"/>
            <w:tcBorders>
              <w:top w:val="single" w:sz="4" w:space="0" w:color="auto"/>
              <w:left w:val="single" w:sz="4" w:space="0" w:color="auto"/>
              <w:bottom w:val="single" w:sz="4" w:space="0" w:color="auto"/>
              <w:right w:val="single" w:sz="4" w:space="0" w:color="auto"/>
            </w:tcBorders>
            <w:hideMark/>
          </w:tcPr>
          <w:p w14:paraId="61968A68" w14:textId="77777777" w:rsidR="00366005" w:rsidRPr="00183B5F" w:rsidRDefault="00943743">
            <w:pPr>
              <w:keepNext/>
              <w:spacing w:line="240" w:lineRule="auto"/>
              <w:rPr>
                <w:b/>
                <w:szCs w:val="22"/>
                <w:lang w:eastAsia="en-US"/>
              </w:rPr>
            </w:pPr>
            <w:r w:rsidRPr="00183B5F">
              <w:rPr>
                <w:b/>
                <w:szCs w:val="22"/>
                <w:lang w:eastAsia="en-US"/>
              </w:rPr>
              <w:t xml:space="preserve">Humira/MTX (n = 268) </w:t>
            </w:r>
          </w:p>
        </w:tc>
        <w:tc>
          <w:tcPr>
            <w:tcW w:w="1308" w:type="dxa"/>
            <w:tcBorders>
              <w:top w:val="single" w:sz="4" w:space="0" w:color="auto"/>
              <w:left w:val="single" w:sz="4" w:space="0" w:color="auto"/>
              <w:bottom w:val="single" w:sz="4" w:space="0" w:color="auto"/>
              <w:right w:val="single" w:sz="4" w:space="0" w:color="auto"/>
            </w:tcBorders>
            <w:hideMark/>
          </w:tcPr>
          <w:p w14:paraId="6748B522" w14:textId="77777777" w:rsidR="00366005" w:rsidRPr="00183B5F" w:rsidRDefault="00943743">
            <w:pPr>
              <w:keepNext/>
              <w:spacing w:line="240" w:lineRule="auto"/>
              <w:rPr>
                <w:b/>
                <w:szCs w:val="22"/>
                <w:lang w:eastAsia="en-US"/>
              </w:rPr>
            </w:pPr>
            <w:r w:rsidRPr="00183B5F">
              <w:rPr>
                <w:b/>
                <w:szCs w:val="22"/>
                <w:lang w:eastAsia="en-US"/>
              </w:rPr>
              <w:t xml:space="preserve">p-érték </w:t>
            </w:r>
            <w:r w:rsidRPr="00183B5F">
              <w:rPr>
                <w:b/>
                <w:szCs w:val="22"/>
                <w:vertAlign w:val="superscript"/>
                <w:lang w:eastAsia="en-US"/>
              </w:rPr>
              <w:t>a</w:t>
            </w:r>
          </w:p>
        </w:tc>
        <w:tc>
          <w:tcPr>
            <w:tcW w:w="1304" w:type="dxa"/>
            <w:tcBorders>
              <w:top w:val="single" w:sz="4" w:space="0" w:color="auto"/>
              <w:left w:val="single" w:sz="4" w:space="0" w:color="auto"/>
              <w:bottom w:val="single" w:sz="4" w:space="0" w:color="auto"/>
              <w:right w:val="single" w:sz="4" w:space="0" w:color="auto"/>
            </w:tcBorders>
            <w:hideMark/>
          </w:tcPr>
          <w:p w14:paraId="6B59D521" w14:textId="77777777" w:rsidR="00366005" w:rsidRPr="00183B5F" w:rsidRDefault="00943743">
            <w:pPr>
              <w:keepNext/>
              <w:spacing w:line="240" w:lineRule="auto"/>
              <w:rPr>
                <w:b/>
                <w:szCs w:val="22"/>
                <w:lang w:eastAsia="en-US"/>
              </w:rPr>
            </w:pPr>
            <w:r w:rsidRPr="00183B5F">
              <w:rPr>
                <w:b/>
                <w:szCs w:val="22"/>
                <w:lang w:eastAsia="en-US"/>
              </w:rPr>
              <w:t xml:space="preserve">p-érték </w:t>
            </w:r>
            <w:r w:rsidRPr="00183B5F">
              <w:rPr>
                <w:b/>
                <w:szCs w:val="22"/>
                <w:vertAlign w:val="superscript"/>
                <w:lang w:eastAsia="en-US"/>
              </w:rPr>
              <w:t>b</w:t>
            </w:r>
          </w:p>
        </w:tc>
        <w:tc>
          <w:tcPr>
            <w:tcW w:w="1379" w:type="dxa"/>
            <w:tcBorders>
              <w:top w:val="single" w:sz="4" w:space="0" w:color="auto"/>
              <w:left w:val="single" w:sz="4" w:space="0" w:color="auto"/>
              <w:bottom w:val="single" w:sz="4" w:space="0" w:color="auto"/>
              <w:right w:val="single" w:sz="4" w:space="0" w:color="auto"/>
            </w:tcBorders>
            <w:hideMark/>
          </w:tcPr>
          <w:p w14:paraId="705255E3" w14:textId="77777777" w:rsidR="00366005" w:rsidRPr="00183B5F" w:rsidRDefault="00943743">
            <w:pPr>
              <w:keepNext/>
              <w:spacing w:line="240" w:lineRule="auto"/>
              <w:rPr>
                <w:b/>
                <w:szCs w:val="22"/>
                <w:lang w:eastAsia="en-US"/>
              </w:rPr>
            </w:pPr>
            <w:r w:rsidRPr="00183B5F">
              <w:rPr>
                <w:b/>
                <w:szCs w:val="22"/>
                <w:lang w:eastAsia="en-US"/>
              </w:rPr>
              <w:t xml:space="preserve">p-érték </w:t>
            </w:r>
            <w:r w:rsidRPr="00183B5F">
              <w:rPr>
                <w:b/>
                <w:szCs w:val="22"/>
                <w:vertAlign w:val="superscript"/>
                <w:lang w:eastAsia="en-US"/>
              </w:rPr>
              <w:t>c</w:t>
            </w:r>
          </w:p>
        </w:tc>
      </w:tr>
      <w:tr w:rsidR="00011D2F" w14:paraId="3A58D7BC" w14:textId="77777777" w:rsidTr="00366005">
        <w:trPr>
          <w:cantSplit/>
        </w:trPr>
        <w:tc>
          <w:tcPr>
            <w:tcW w:w="1310" w:type="dxa"/>
            <w:tcBorders>
              <w:top w:val="single" w:sz="4" w:space="0" w:color="auto"/>
              <w:left w:val="single" w:sz="4" w:space="0" w:color="auto"/>
              <w:bottom w:val="single" w:sz="4" w:space="0" w:color="auto"/>
              <w:right w:val="single" w:sz="4" w:space="0" w:color="auto"/>
            </w:tcBorders>
            <w:hideMark/>
          </w:tcPr>
          <w:p w14:paraId="565BCF5B" w14:textId="77777777" w:rsidR="00366005" w:rsidRPr="00183B5F" w:rsidRDefault="00943743">
            <w:pPr>
              <w:keepNext/>
              <w:spacing w:line="240" w:lineRule="auto"/>
              <w:rPr>
                <w:szCs w:val="22"/>
                <w:lang w:eastAsia="en-US"/>
              </w:rPr>
            </w:pPr>
            <w:r w:rsidRPr="00183B5F">
              <w:rPr>
                <w:szCs w:val="22"/>
                <w:lang w:eastAsia="en-US"/>
              </w:rPr>
              <w:t>ACR 20</w:t>
            </w:r>
          </w:p>
        </w:tc>
        <w:tc>
          <w:tcPr>
            <w:tcW w:w="1310" w:type="dxa"/>
            <w:tcBorders>
              <w:top w:val="single" w:sz="4" w:space="0" w:color="auto"/>
              <w:left w:val="single" w:sz="4" w:space="0" w:color="auto"/>
              <w:bottom w:val="single" w:sz="4" w:space="0" w:color="auto"/>
              <w:right w:val="single" w:sz="4" w:space="0" w:color="auto"/>
            </w:tcBorders>
          </w:tcPr>
          <w:p w14:paraId="1B2EB49F" w14:textId="77777777" w:rsidR="00366005" w:rsidRPr="00183B5F" w:rsidRDefault="00366005">
            <w:pPr>
              <w:keepNext/>
              <w:spacing w:line="240" w:lineRule="auto"/>
              <w:jc w:val="center"/>
              <w:rPr>
                <w:szCs w:val="22"/>
                <w:lang w:eastAsia="en-US"/>
              </w:rPr>
            </w:pPr>
          </w:p>
        </w:tc>
        <w:tc>
          <w:tcPr>
            <w:tcW w:w="1310" w:type="dxa"/>
            <w:tcBorders>
              <w:top w:val="single" w:sz="4" w:space="0" w:color="auto"/>
              <w:left w:val="single" w:sz="4" w:space="0" w:color="auto"/>
              <w:bottom w:val="single" w:sz="4" w:space="0" w:color="auto"/>
              <w:right w:val="single" w:sz="4" w:space="0" w:color="auto"/>
            </w:tcBorders>
          </w:tcPr>
          <w:p w14:paraId="69D3F414" w14:textId="77777777" w:rsidR="00366005" w:rsidRPr="00183B5F" w:rsidRDefault="00366005">
            <w:pPr>
              <w:keepNext/>
              <w:spacing w:line="240" w:lineRule="auto"/>
              <w:jc w:val="center"/>
              <w:rPr>
                <w:szCs w:val="22"/>
                <w:lang w:eastAsia="en-US"/>
              </w:rPr>
            </w:pPr>
          </w:p>
        </w:tc>
        <w:tc>
          <w:tcPr>
            <w:tcW w:w="1363" w:type="dxa"/>
            <w:tcBorders>
              <w:top w:val="single" w:sz="4" w:space="0" w:color="auto"/>
              <w:left w:val="single" w:sz="4" w:space="0" w:color="auto"/>
              <w:bottom w:val="single" w:sz="4" w:space="0" w:color="auto"/>
              <w:right w:val="single" w:sz="4" w:space="0" w:color="auto"/>
            </w:tcBorders>
          </w:tcPr>
          <w:p w14:paraId="03478593" w14:textId="77777777" w:rsidR="00366005" w:rsidRPr="00183B5F" w:rsidRDefault="00366005">
            <w:pPr>
              <w:keepNext/>
              <w:spacing w:line="240" w:lineRule="auto"/>
              <w:jc w:val="center"/>
              <w:rPr>
                <w:szCs w:val="22"/>
                <w:lang w:eastAsia="en-US"/>
              </w:rPr>
            </w:pPr>
          </w:p>
        </w:tc>
        <w:tc>
          <w:tcPr>
            <w:tcW w:w="1308" w:type="dxa"/>
            <w:tcBorders>
              <w:top w:val="single" w:sz="4" w:space="0" w:color="auto"/>
              <w:left w:val="single" w:sz="4" w:space="0" w:color="auto"/>
              <w:bottom w:val="single" w:sz="4" w:space="0" w:color="auto"/>
              <w:right w:val="single" w:sz="4" w:space="0" w:color="auto"/>
            </w:tcBorders>
          </w:tcPr>
          <w:p w14:paraId="69DC17DD" w14:textId="77777777" w:rsidR="00366005" w:rsidRPr="00183B5F" w:rsidRDefault="00366005">
            <w:pPr>
              <w:keepNext/>
              <w:spacing w:line="240" w:lineRule="auto"/>
              <w:jc w:val="center"/>
              <w:rPr>
                <w:szCs w:val="22"/>
                <w:lang w:eastAsia="en-US"/>
              </w:rPr>
            </w:pPr>
          </w:p>
        </w:tc>
        <w:tc>
          <w:tcPr>
            <w:tcW w:w="1304" w:type="dxa"/>
            <w:tcBorders>
              <w:top w:val="single" w:sz="4" w:space="0" w:color="auto"/>
              <w:left w:val="single" w:sz="4" w:space="0" w:color="auto"/>
              <w:bottom w:val="single" w:sz="4" w:space="0" w:color="auto"/>
              <w:right w:val="single" w:sz="4" w:space="0" w:color="auto"/>
            </w:tcBorders>
          </w:tcPr>
          <w:p w14:paraId="3B8C73B9" w14:textId="77777777" w:rsidR="00366005" w:rsidRPr="00183B5F" w:rsidRDefault="00366005">
            <w:pPr>
              <w:keepNext/>
              <w:spacing w:line="240" w:lineRule="auto"/>
              <w:jc w:val="center"/>
              <w:rPr>
                <w:szCs w:val="22"/>
                <w:lang w:eastAsia="en-US"/>
              </w:rPr>
            </w:pPr>
          </w:p>
        </w:tc>
        <w:tc>
          <w:tcPr>
            <w:tcW w:w="1379" w:type="dxa"/>
            <w:tcBorders>
              <w:top w:val="single" w:sz="4" w:space="0" w:color="auto"/>
              <w:left w:val="single" w:sz="4" w:space="0" w:color="auto"/>
              <w:bottom w:val="single" w:sz="4" w:space="0" w:color="auto"/>
              <w:right w:val="single" w:sz="4" w:space="0" w:color="auto"/>
            </w:tcBorders>
          </w:tcPr>
          <w:p w14:paraId="1640430C" w14:textId="77777777" w:rsidR="00366005" w:rsidRPr="00183B5F" w:rsidRDefault="00366005">
            <w:pPr>
              <w:keepNext/>
              <w:spacing w:line="240" w:lineRule="auto"/>
              <w:jc w:val="center"/>
              <w:rPr>
                <w:szCs w:val="22"/>
                <w:lang w:eastAsia="en-US"/>
              </w:rPr>
            </w:pPr>
          </w:p>
        </w:tc>
      </w:tr>
      <w:tr w:rsidR="00011D2F" w14:paraId="1C557991" w14:textId="77777777" w:rsidTr="00366005">
        <w:trPr>
          <w:cantSplit/>
        </w:trPr>
        <w:tc>
          <w:tcPr>
            <w:tcW w:w="1310" w:type="dxa"/>
            <w:tcBorders>
              <w:top w:val="single" w:sz="4" w:space="0" w:color="auto"/>
              <w:left w:val="single" w:sz="4" w:space="0" w:color="auto"/>
              <w:bottom w:val="single" w:sz="4" w:space="0" w:color="auto"/>
              <w:right w:val="single" w:sz="4" w:space="0" w:color="auto"/>
            </w:tcBorders>
            <w:hideMark/>
          </w:tcPr>
          <w:p w14:paraId="7D591FDC" w14:textId="77777777" w:rsidR="00366005" w:rsidRPr="00183B5F" w:rsidRDefault="00943743">
            <w:pPr>
              <w:keepNext/>
              <w:spacing w:line="240" w:lineRule="auto"/>
              <w:jc w:val="right"/>
              <w:rPr>
                <w:szCs w:val="22"/>
                <w:lang w:eastAsia="en-US"/>
              </w:rPr>
            </w:pPr>
            <w:r w:rsidRPr="00183B5F">
              <w:rPr>
                <w:szCs w:val="22"/>
                <w:lang w:eastAsia="en-US"/>
              </w:rPr>
              <w:t>52. hét</w:t>
            </w:r>
          </w:p>
        </w:tc>
        <w:tc>
          <w:tcPr>
            <w:tcW w:w="1310" w:type="dxa"/>
            <w:tcBorders>
              <w:top w:val="single" w:sz="4" w:space="0" w:color="auto"/>
              <w:left w:val="single" w:sz="4" w:space="0" w:color="auto"/>
              <w:bottom w:val="single" w:sz="4" w:space="0" w:color="auto"/>
              <w:right w:val="single" w:sz="4" w:space="0" w:color="auto"/>
            </w:tcBorders>
            <w:hideMark/>
          </w:tcPr>
          <w:p w14:paraId="5F282F95" w14:textId="77777777" w:rsidR="00366005" w:rsidRPr="00183B5F" w:rsidRDefault="00943743">
            <w:pPr>
              <w:keepNext/>
              <w:spacing w:line="240" w:lineRule="auto"/>
              <w:jc w:val="center"/>
              <w:rPr>
                <w:szCs w:val="22"/>
                <w:lang w:eastAsia="en-US"/>
              </w:rPr>
            </w:pPr>
            <w:r w:rsidRPr="00183B5F">
              <w:rPr>
                <w:szCs w:val="22"/>
                <w:lang w:eastAsia="en-US"/>
              </w:rPr>
              <w:t>62,6%</w:t>
            </w:r>
          </w:p>
        </w:tc>
        <w:tc>
          <w:tcPr>
            <w:tcW w:w="1310" w:type="dxa"/>
            <w:tcBorders>
              <w:top w:val="single" w:sz="4" w:space="0" w:color="auto"/>
              <w:left w:val="single" w:sz="4" w:space="0" w:color="auto"/>
              <w:bottom w:val="single" w:sz="4" w:space="0" w:color="auto"/>
              <w:right w:val="single" w:sz="4" w:space="0" w:color="auto"/>
            </w:tcBorders>
            <w:hideMark/>
          </w:tcPr>
          <w:p w14:paraId="23B6604A" w14:textId="77777777" w:rsidR="00366005" w:rsidRPr="00183B5F" w:rsidRDefault="00943743">
            <w:pPr>
              <w:keepNext/>
              <w:spacing w:line="240" w:lineRule="auto"/>
              <w:jc w:val="center"/>
              <w:rPr>
                <w:szCs w:val="22"/>
                <w:lang w:eastAsia="en-US"/>
              </w:rPr>
            </w:pPr>
            <w:r w:rsidRPr="00183B5F">
              <w:rPr>
                <w:szCs w:val="22"/>
                <w:lang w:eastAsia="en-US"/>
              </w:rPr>
              <w:t>54,4%</w:t>
            </w:r>
          </w:p>
        </w:tc>
        <w:tc>
          <w:tcPr>
            <w:tcW w:w="1363" w:type="dxa"/>
            <w:tcBorders>
              <w:top w:val="single" w:sz="4" w:space="0" w:color="auto"/>
              <w:left w:val="single" w:sz="4" w:space="0" w:color="auto"/>
              <w:bottom w:val="single" w:sz="4" w:space="0" w:color="auto"/>
              <w:right w:val="single" w:sz="4" w:space="0" w:color="auto"/>
            </w:tcBorders>
            <w:hideMark/>
          </w:tcPr>
          <w:p w14:paraId="2698C5B6" w14:textId="77777777" w:rsidR="00366005" w:rsidRPr="00183B5F" w:rsidRDefault="00943743">
            <w:pPr>
              <w:keepNext/>
              <w:spacing w:line="240" w:lineRule="auto"/>
              <w:jc w:val="center"/>
              <w:rPr>
                <w:szCs w:val="22"/>
                <w:lang w:eastAsia="en-US"/>
              </w:rPr>
            </w:pPr>
            <w:r w:rsidRPr="00183B5F">
              <w:rPr>
                <w:szCs w:val="22"/>
                <w:lang w:eastAsia="en-US"/>
              </w:rPr>
              <w:t>72,8%</w:t>
            </w:r>
          </w:p>
        </w:tc>
        <w:tc>
          <w:tcPr>
            <w:tcW w:w="1308" w:type="dxa"/>
            <w:tcBorders>
              <w:top w:val="single" w:sz="4" w:space="0" w:color="auto"/>
              <w:left w:val="single" w:sz="4" w:space="0" w:color="auto"/>
              <w:bottom w:val="single" w:sz="4" w:space="0" w:color="auto"/>
              <w:right w:val="single" w:sz="4" w:space="0" w:color="auto"/>
            </w:tcBorders>
            <w:hideMark/>
          </w:tcPr>
          <w:p w14:paraId="4DE58DE4" w14:textId="77777777" w:rsidR="00366005" w:rsidRPr="00183B5F" w:rsidRDefault="00943743">
            <w:pPr>
              <w:keepNext/>
              <w:spacing w:line="240" w:lineRule="auto"/>
              <w:jc w:val="center"/>
              <w:rPr>
                <w:szCs w:val="22"/>
                <w:lang w:eastAsia="en-US"/>
              </w:rPr>
            </w:pPr>
            <w:r w:rsidRPr="00183B5F">
              <w:rPr>
                <w:szCs w:val="22"/>
                <w:lang w:eastAsia="en-US"/>
              </w:rPr>
              <w:t>0,013</w:t>
            </w:r>
          </w:p>
        </w:tc>
        <w:tc>
          <w:tcPr>
            <w:tcW w:w="1304" w:type="dxa"/>
            <w:tcBorders>
              <w:top w:val="single" w:sz="4" w:space="0" w:color="auto"/>
              <w:left w:val="single" w:sz="4" w:space="0" w:color="auto"/>
              <w:bottom w:val="single" w:sz="4" w:space="0" w:color="auto"/>
              <w:right w:val="single" w:sz="4" w:space="0" w:color="auto"/>
            </w:tcBorders>
            <w:hideMark/>
          </w:tcPr>
          <w:p w14:paraId="7A813532" w14:textId="77777777" w:rsidR="00366005" w:rsidRPr="00183B5F" w:rsidRDefault="00943743">
            <w:pPr>
              <w:keepNext/>
              <w:spacing w:line="240" w:lineRule="auto"/>
              <w:jc w:val="center"/>
              <w:rPr>
                <w:szCs w:val="22"/>
                <w:lang w:eastAsia="en-US"/>
              </w:rPr>
            </w:pPr>
            <w:r w:rsidRPr="00183B5F">
              <w:rPr>
                <w:szCs w:val="22"/>
                <w:lang w:eastAsia="en-US"/>
              </w:rPr>
              <w:t>&lt; 0,001</w:t>
            </w:r>
          </w:p>
        </w:tc>
        <w:tc>
          <w:tcPr>
            <w:tcW w:w="1379" w:type="dxa"/>
            <w:tcBorders>
              <w:top w:val="single" w:sz="4" w:space="0" w:color="auto"/>
              <w:left w:val="single" w:sz="4" w:space="0" w:color="auto"/>
              <w:bottom w:val="single" w:sz="4" w:space="0" w:color="auto"/>
              <w:right w:val="single" w:sz="4" w:space="0" w:color="auto"/>
            </w:tcBorders>
            <w:hideMark/>
          </w:tcPr>
          <w:p w14:paraId="49E2C968" w14:textId="77777777" w:rsidR="00366005" w:rsidRPr="00183B5F" w:rsidRDefault="00943743">
            <w:pPr>
              <w:keepNext/>
              <w:spacing w:line="240" w:lineRule="auto"/>
              <w:jc w:val="center"/>
              <w:rPr>
                <w:szCs w:val="22"/>
                <w:lang w:eastAsia="en-US"/>
              </w:rPr>
            </w:pPr>
            <w:r w:rsidRPr="00183B5F">
              <w:rPr>
                <w:szCs w:val="22"/>
                <w:lang w:eastAsia="en-US"/>
              </w:rPr>
              <w:t>0,043</w:t>
            </w:r>
          </w:p>
        </w:tc>
      </w:tr>
      <w:tr w:rsidR="00011D2F" w14:paraId="6E698313" w14:textId="77777777" w:rsidTr="00366005">
        <w:trPr>
          <w:cantSplit/>
        </w:trPr>
        <w:tc>
          <w:tcPr>
            <w:tcW w:w="1310" w:type="dxa"/>
            <w:tcBorders>
              <w:top w:val="single" w:sz="4" w:space="0" w:color="auto"/>
              <w:left w:val="single" w:sz="4" w:space="0" w:color="auto"/>
              <w:bottom w:val="single" w:sz="4" w:space="0" w:color="auto"/>
              <w:right w:val="single" w:sz="4" w:space="0" w:color="auto"/>
            </w:tcBorders>
            <w:hideMark/>
          </w:tcPr>
          <w:p w14:paraId="162580E7" w14:textId="77777777" w:rsidR="00366005" w:rsidRPr="00183B5F" w:rsidRDefault="00943743">
            <w:pPr>
              <w:keepNext/>
              <w:spacing w:line="240" w:lineRule="auto"/>
              <w:jc w:val="right"/>
              <w:rPr>
                <w:szCs w:val="22"/>
                <w:lang w:eastAsia="en-US"/>
              </w:rPr>
            </w:pPr>
            <w:r w:rsidRPr="00183B5F">
              <w:rPr>
                <w:szCs w:val="22"/>
                <w:lang w:eastAsia="en-US"/>
              </w:rPr>
              <w:t>104. hét</w:t>
            </w:r>
          </w:p>
        </w:tc>
        <w:tc>
          <w:tcPr>
            <w:tcW w:w="1310" w:type="dxa"/>
            <w:tcBorders>
              <w:top w:val="single" w:sz="4" w:space="0" w:color="auto"/>
              <w:left w:val="single" w:sz="4" w:space="0" w:color="auto"/>
              <w:bottom w:val="single" w:sz="4" w:space="0" w:color="auto"/>
              <w:right w:val="single" w:sz="4" w:space="0" w:color="auto"/>
            </w:tcBorders>
            <w:hideMark/>
          </w:tcPr>
          <w:p w14:paraId="37CECD80" w14:textId="77777777" w:rsidR="00366005" w:rsidRPr="00183B5F" w:rsidRDefault="00943743">
            <w:pPr>
              <w:keepNext/>
              <w:spacing w:line="240" w:lineRule="auto"/>
              <w:jc w:val="center"/>
              <w:rPr>
                <w:szCs w:val="22"/>
                <w:lang w:eastAsia="en-US"/>
              </w:rPr>
            </w:pPr>
            <w:r w:rsidRPr="00183B5F">
              <w:rPr>
                <w:szCs w:val="22"/>
                <w:lang w:eastAsia="en-US"/>
              </w:rPr>
              <w:t>56,0%</w:t>
            </w:r>
          </w:p>
        </w:tc>
        <w:tc>
          <w:tcPr>
            <w:tcW w:w="1310" w:type="dxa"/>
            <w:tcBorders>
              <w:top w:val="single" w:sz="4" w:space="0" w:color="auto"/>
              <w:left w:val="single" w:sz="4" w:space="0" w:color="auto"/>
              <w:bottom w:val="single" w:sz="4" w:space="0" w:color="auto"/>
              <w:right w:val="single" w:sz="4" w:space="0" w:color="auto"/>
            </w:tcBorders>
            <w:hideMark/>
          </w:tcPr>
          <w:p w14:paraId="13AE6817" w14:textId="77777777" w:rsidR="00366005" w:rsidRPr="00183B5F" w:rsidRDefault="00943743">
            <w:pPr>
              <w:keepNext/>
              <w:spacing w:line="240" w:lineRule="auto"/>
              <w:jc w:val="center"/>
              <w:rPr>
                <w:szCs w:val="22"/>
                <w:lang w:eastAsia="en-US"/>
              </w:rPr>
            </w:pPr>
            <w:r w:rsidRPr="00183B5F">
              <w:rPr>
                <w:szCs w:val="22"/>
                <w:lang w:eastAsia="en-US"/>
              </w:rPr>
              <w:t>49,3%</w:t>
            </w:r>
          </w:p>
        </w:tc>
        <w:tc>
          <w:tcPr>
            <w:tcW w:w="1363" w:type="dxa"/>
            <w:tcBorders>
              <w:top w:val="single" w:sz="4" w:space="0" w:color="auto"/>
              <w:left w:val="single" w:sz="4" w:space="0" w:color="auto"/>
              <w:bottom w:val="single" w:sz="4" w:space="0" w:color="auto"/>
              <w:right w:val="single" w:sz="4" w:space="0" w:color="auto"/>
            </w:tcBorders>
            <w:hideMark/>
          </w:tcPr>
          <w:p w14:paraId="24DC03DD" w14:textId="77777777" w:rsidR="00366005" w:rsidRPr="00183B5F" w:rsidRDefault="00943743">
            <w:pPr>
              <w:keepNext/>
              <w:spacing w:line="240" w:lineRule="auto"/>
              <w:jc w:val="center"/>
              <w:rPr>
                <w:szCs w:val="22"/>
                <w:lang w:eastAsia="en-US"/>
              </w:rPr>
            </w:pPr>
            <w:r w:rsidRPr="00183B5F">
              <w:rPr>
                <w:szCs w:val="22"/>
                <w:lang w:eastAsia="en-US"/>
              </w:rPr>
              <w:t>69,4%</w:t>
            </w:r>
          </w:p>
        </w:tc>
        <w:tc>
          <w:tcPr>
            <w:tcW w:w="1308" w:type="dxa"/>
            <w:tcBorders>
              <w:top w:val="single" w:sz="4" w:space="0" w:color="auto"/>
              <w:left w:val="single" w:sz="4" w:space="0" w:color="auto"/>
              <w:bottom w:val="single" w:sz="4" w:space="0" w:color="auto"/>
              <w:right w:val="single" w:sz="4" w:space="0" w:color="auto"/>
            </w:tcBorders>
            <w:hideMark/>
          </w:tcPr>
          <w:p w14:paraId="278CF008" w14:textId="77777777" w:rsidR="00366005" w:rsidRPr="00183B5F" w:rsidRDefault="00943743">
            <w:pPr>
              <w:keepNext/>
              <w:spacing w:line="240" w:lineRule="auto"/>
              <w:jc w:val="center"/>
              <w:rPr>
                <w:szCs w:val="22"/>
                <w:lang w:eastAsia="en-US"/>
              </w:rPr>
            </w:pPr>
            <w:r w:rsidRPr="00183B5F">
              <w:rPr>
                <w:szCs w:val="22"/>
                <w:lang w:eastAsia="en-US"/>
              </w:rPr>
              <w:t>0,002</w:t>
            </w:r>
          </w:p>
        </w:tc>
        <w:tc>
          <w:tcPr>
            <w:tcW w:w="1304" w:type="dxa"/>
            <w:tcBorders>
              <w:top w:val="single" w:sz="4" w:space="0" w:color="auto"/>
              <w:left w:val="single" w:sz="4" w:space="0" w:color="auto"/>
              <w:bottom w:val="single" w:sz="4" w:space="0" w:color="auto"/>
              <w:right w:val="single" w:sz="4" w:space="0" w:color="auto"/>
            </w:tcBorders>
            <w:hideMark/>
          </w:tcPr>
          <w:p w14:paraId="64E125F7" w14:textId="77777777" w:rsidR="00366005" w:rsidRPr="00183B5F" w:rsidRDefault="00943743">
            <w:pPr>
              <w:keepNext/>
              <w:spacing w:line="240" w:lineRule="auto"/>
              <w:jc w:val="center"/>
              <w:rPr>
                <w:szCs w:val="22"/>
                <w:lang w:eastAsia="en-US"/>
              </w:rPr>
            </w:pPr>
            <w:r w:rsidRPr="00183B5F">
              <w:rPr>
                <w:szCs w:val="22"/>
                <w:lang w:eastAsia="en-US"/>
              </w:rPr>
              <w:t>&lt; 0,001</w:t>
            </w:r>
          </w:p>
        </w:tc>
        <w:tc>
          <w:tcPr>
            <w:tcW w:w="1379" w:type="dxa"/>
            <w:tcBorders>
              <w:top w:val="single" w:sz="4" w:space="0" w:color="auto"/>
              <w:left w:val="single" w:sz="4" w:space="0" w:color="auto"/>
              <w:bottom w:val="single" w:sz="4" w:space="0" w:color="auto"/>
              <w:right w:val="single" w:sz="4" w:space="0" w:color="auto"/>
            </w:tcBorders>
            <w:hideMark/>
          </w:tcPr>
          <w:p w14:paraId="2C7A6460" w14:textId="77777777" w:rsidR="00366005" w:rsidRPr="00183B5F" w:rsidRDefault="00943743">
            <w:pPr>
              <w:keepNext/>
              <w:spacing w:line="240" w:lineRule="auto"/>
              <w:jc w:val="center"/>
              <w:rPr>
                <w:szCs w:val="22"/>
                <w:lang w:eastAsia="en-US"/>
              </w:rPr>
            </w:pPr>
            <w:r w:rsidRPr="00183B5F">
              <w:rPr>
                <w:szCs w:val="22"/>
                <w:lang w:eastAsia="en-US"/>
              </w:rPr>
              <w:t>0,140</w:t>
            </w:r>
          </w:p>
        </w:tc>
      </w:tr>
      <w:tr w:rsidR="00011D2F" w14:paraId="1A692084" w14:textId="77777777" w:rsidTr="00366005">
        <w:trPr>
          <w:cantSplit/>
        </w:trPr>
        <w:tc>
          <w:tcPr>
            <w:tcW w:w="1310" w:type="dxa"/>
            <w:tcBorders>
              <w:top w:val="single" w:sz="4" w:space="0" w:color="auto"/>
              <w:left w:val="single" w:sz="4" w:space="0" w:color="auto"/>
              <w:bottom w:val="single" w:sz="4" w:space="0" w:color="auto"/>
              <w:right w:val="single" w:sz="4" w:space="0" w:color="auto"/>
            </w:tcBorders>
            <w:hideMark/>
          </w:tcPr>
          <w:p w14:paraId="60D665B0" w14:textId="77777777" w:rsidR="00366005" w:rsidRPr="00183B5F" w:rsidRDefault="00943743">
            <w:pPr>
              <w:keepNext/>
              <w:spacing w:line="240" w:lineRule="auto"/>
              <w:rPr>
                <w:szCs w:val="22"/>
                <w:lang w:eastAsia="en-US"/>
              </w:rPr>
            </w:pPr>
            <w:r w:rsidRPr="00183B5F">
              <w:rPr>
                <w:szCs w:val="22"/>
                <w:lang w:eastAsia="en-US"/>
              </w:rPr>
              <w:t>ACR 50</w:t>
            </w:r>
          </w:p>
        </w:tc>
        <w:tc>
          <w:tcPr>
            <w:tcW w:w="1310" w:type="dxa"/>
            <w:tcBorders>
              <w:top w:val="single" w:sz="4" w:space="0" w:color="auto"/>
              <w:left w:val="single" w:sz="4" w:space="0" w:color="auto"/>
              <w:bottom w:val="single" w:sz="4" w:space="0" w:color="auto"/>
              <w:right w:val="single" w:sz="4" w:space="0" w:color="auto"/>
            </w:tcBorders>
          </w:tcPr>
          <w:p w14:paraId="1C07FF76" w14:textId="77777777" w:rsidR="00366005" w:rsidRPr="00183B5F" w:rsidRDefault="00366005">
            <w:pPr>
              <w:keepNext/>
              <w:spacing w:line="240" w:lineRule="auto"/>
              <w:jc w:val="center"/>
              <w:rPr>
                <w:szCs w:val="22"/>
                <w:lang w:eastAsia="en-US"/>
              </w:rPr>
            </w:pPr>
          </w:p>
        </w:tc>
        <w:tc>
          <w:tcPr>
            <w:tcW w:w="1310" w:type="dxa"/>
            <w:tcBorders>
              <w:top w:val="single" w:sz="4" w:space="0" w:color="auto"/>
              <w:left w:val="single" w:sz="4" w:space="0" w:color="auto"/>
              <w:bottom w:val="single" w:sz="4" w:space="0" w:color="auto"/>
              <w:right w:val="single" w:sz="4" w:space="0" w:color="auto"/>
            </w:tcBorders>
          </w:tcPr>
          <w:p w14:paraId="79E00245" w14:textId="77777777" w:rsidR="00366005" w:rsidRPr="00183B5F" w:rsidRDefault="00366005">
            <w:pPr>
              <w:keepNext/>
              <w:spacing w:line="240" w:lineRule="auto"/>
              <w:jc w:val="center"/>
              <w:rPr>
                <w:szCs w:val="22"/>
                <w:lang w:eastAsia="en-US"/>
              </w:rPr>
            </w:pPr>
          </w:p>
        </w:tc>
        <w:tc>
          <w:tcPr>
            <w:tcW w:w="1363" w:type="dxa"/>
            <w:tcBorders>
              <w:top w:val="single" w:sz="4" w:space="0" w:color="auto"/>
              <w:left w:val="single" w:sz="4" w:space="0" w:color="auto"/>
              <w:bottom w:val="single" w:sz="4" w:space="0" w:color="auto"/>
              <w:right w:val="single" w:sz="4" w:space="0" w:color="auto"/>
            </w:tcBorders>
          </w:tcPr>
          <w:p w14:paraId="21C3F7F2" w14:textId="77777777" w:rsidR="00366005" w:rsidRPr="00183B5F" w:rsidRDefault="00366005">
            <w:pPr>
              <w:keepNext/>
              <w:spacing w:line="240" w:lineRule="auto"/>
              <w:jc w:val="center"/>
              <w:rPr>
                <w:szCs w:val="22"/>
                <w:lang w:eastAsia="en-US"/>
              </w:rPr>
            </w:pPr>
          </w:p>
        </w:tc>
        <w:tc>
          <w:tcPr>
            <w:tcW w:w="1308" w:type="dxa"/>
            <w:tcBorders>
              <w:top w:val="single" w:sz="4" w:space="0" w:color="auto"/>
              <w:left w:val="single" w:sz="4" w:space="0" w:color="auto"/>
              <w:bottom w:val="single" w:sz="4" w:space="0" w:color="auto"/>
              <w:right w:val="single" w:sz="4" w:space="0" w:color="auto"/>
            </w:tcBorders>
          </w:tcPr>
          <w:p w14:paraId="760BC186" w14:textId="77777777" w:rsidR="00366005" w:rsidRPr="00183B5F" w:rsidRDefault="00366005">
            <w:pPr>
              <w:keepNext/>
              <w:spacing w:line="240" w:lineRule="auto"/>
              <w:jc w:val="center"/>
              <w:rPr>
                <w:szCs w:val="22"/>
                <w:lang w:eastAsia="en-US"/>
              </w:rPr>
            </w:pPr>
          </w:p>
        </w:tc>
        <w:tc>
          <w:tcPr>
            <w:tcW w:w="1304" w:type="dxa"/>
            <w:tcBorders>
              <w:top w:val="single" w:sz="4" w:space="0" w:color="auto"/>
              <w:left w:val="single" w:sz="4" w:space="0" w:color="auto"/>
              <w:bottom w:val="single" w:sz="4" w:space="0" w:color="auto"/>
              <w:right w:val="single" w:sz="4" w:space="0" w:color="auto"/>
            </w:tcBorders>
          </w:tcPr>
          <w:p w14:paraId="3C0C1DE0" w14:textId="77777777" w:rsidR="00366005" w:rsidRPr="00183B5F" w:rsidRDefault="00366005">
            <w:pPr>
              <w:keepNext/>
              <w:spacing w:line="240" w:lineRule="auto"/>
              <w:jc w:val="center"/>
              <w:rPr>
                <w:szCs w:val="22"/>
                <w:lang w:eastAsia="en-US"/>
              </w:rPr>
            </w:pPr>
          </w:p>
        </w:tc>
        <w:tc>
          <w:tcPr>
            <w:tcW w:w="1379" w:type="dxa"/>
            <w:tcBorders>
              <w:top w:val="single" w:sz="4" w:space="0" w:color="auto"/>
              <w:left w:val="single" w:sz="4" w:space="0" w:color="auto"/>
              <w:bottom w:val="single" w:sz="4" w:space="0" w:color="auto"/>
              <w:right w:val="single" w:sz="4" w:space="0" w:color="auto"/>
            </w:tcBorders>
          </w:tcPr>
          <w:p w14:paraId="37E2FF4E" w14:textId="77777777" w:rsidR="00366005" w:rsidRPr="00183B5F" w:rsidRDefault="00366005">
            <w:pPr>
              <w:keepNext/>
              <w:spacing w:line="240" w:lineRule="auto"/>
              <w:jc w:val="center"/>
              <w:rPr>
                <w:szCs w:val="22"/>
                <w:lang w:eastAsia="en-US"/>
              </w:rPr>
            </w:pPr>
          </w:p>
        </w:tc>
      </w:tr>
      <w:tr w:rsidR="00011D2F" w14:paraId="4F23A024" w14:textId="77777777" w:rsidTr="00366005">
        <w:trPr>
          <w:cantSplit/>
        </w:trPr>
        <w:tc>
          <w:tcPr>
            <w:tcW w:w="1310" w:type="dxa"/>
            <w:tcBorders>
              <w:top w:val="single" w:sz="4" w:space="0" w:color="auto"/>
              <w:left w:val="single" w:sz="4" w:space="0" w:color="auto"/>
              <w:bottom w:val="single" w:sz="4" w:space="0" w:color="auto"/>
              <w:right w:val="single" w:sz="4" w:space="0" w:color="auto"/>
            </w:tcBorders>
            <w:hideMark/>
          </w:tcPr>
          <w:p w14:paraId="4E111EE0" w14:textId="77777777" w:rsidR="00366005" w:rsidRPr="00183B5F" w:rsidRDefault="00943743">
            <w:pPr>
              <w:keepNext/>
              <w:spacing w:line="240" w:lineRule="auto"/>
              <w:jc w:val="right"/>
              <w:rPr>
                <w:szCs w:val="22"/>
                <w:lang w:eastAsia="en-US"/>
              </w:rPr>
            </w:pPr>
            <w:r w:rsidRPr="00183B5F">
              <w:rPr>
                <w:szCs w:val="22"/>
                <w:lang w:eastAsia="en-US"/>
              </w:rPr>
              <w:t>52. hét</w:t>
            </w:r>
          </w:p>
        </w:tc>
        <w:tc>
          <w:tcPr>
            <w:tcW w:w="1310" w:type="dxa"/>
            <w:tcBorders>
              <w:top w:val="single" w:sz="4" w:space="0" w:color="auto"/>
              <w:left w:val="single" w:sz="4" w:space="0" w:color="auto"/>
              <w:bottom w:val="single" w:sz="4" w:space="0" w:color="auto"/>
              <w:right w:val="single" w:sz="4" w:space="0" w:color="auto"/>
            </w:tcBorders>
            <w:hideMark/>
          </w:tcPr>
          <w:p w14:paraId="01DA56B0" w14:textId="77777777" w:rsidR="00366005" w:rsidRPr="00183B5F" w:rsidRDefault="00943743">
            <w:pPr>
              <w:keepNext/>
              <w:spacing w:line="240" w:lineRule="auto"/>
              <w:jc w:val="center"/>
              <w:rPr>
                <w:szCs w:val="22"/>
                <w:lang w:eastAsia="en-US"/>
              </w:rPr>
            </w:pPr>
            <w:r w:rsidRPr="00183B5F">
              <w:rPr>
                <w:szCs w:val="22"/>
                <w:lang w:eastAsia="en-US"/>
              </w:rPr>
              <w:t>45,9%</w:t>
            </w:r>
          </w:p>
        </w:tc>
        <w:tc>
          <w:tcPr>
            <w:tcW w:w="1310" w:type="dxa"/>
            <w:tcBorders>
              <w:top w:val="single" w:sz="4" w:space="0" w:color="auto"/>
              <w:left w:val="single" w:sz="4" w:space="0" w:color="auto"/>
              <w:bottom w:val="single" w:sz="4" w:space="0" w:color="auto"/>
              <w:right w:val="single" w:sz="4" w:space="0" w:color="auto"/>
            </w:tcBorders>
            <w:hideMark/>
          </w:tcPr>
          <w:p w14:paraId="303C5336" w14:textId="77777777" w:rsidR="00366005" w:rsidRPr="00183B5F" w:rsidRDefault="00943743">
            <w:pPr>
              <w:keepNext/>
              <w:spacing w:line="240" w:lineRule="auto"/>
              <w:jc w:val="center"/>
              <w:rPr>
                <w:szCs w:val="22"/>
                <w:lang w:eastAsia="en-US"/>
              </w:rPr>
            </w:pPr>
            <w:r w:rsidRPr="00183B5F">
              <w:rPr>
                <w:szCs w:val="22"/>
                <w:lang w:eastAsia="en-US"/>
              </w:rPr>
              <w:t>41,2%</w:t>
            </w:r>
          </w:p>
        </w:tc>
        <w:tc>
          <w:tcPr>
            <w:tcW w:w="1363" w:type="dxa"/>
            <w:tcBorders>
              <w:top w:val="single" w:sz="4" w:space="0" w:color="auto"/>
              <w:left w:val="single" w:sz="4" w:space="0" w:color="auto"/>
              <w:bottom w:val="single" w:sz="4" w:space="0" w:color="auto"/>
              <w:right w:val="single" w:sz="4" w:space="0" w:color="auto"/>
            </w:tcBorders>
            <w:hideMark/>
          </w:tcPr>
          <w:p w14:paraId="15511E15" w14:textId="77777777" w:rsidR="00366005" w:rsidRPr="00183B5F" w:rsidRDefault="00943743">
            <w:pPr>
              <w:keepNext/>
              <w:spacing w:line="240" w:lineRule="auto"/>
              <w:jc w:val="center"/>
              <w:rPr>
                <w:szCs w:val="22"/>
                <w:lang w:eastAsia="en-US"/>
              </w:rPr>
            </w:pPr>
            <w:r w:rsidRPr="00183B5F">
              <w:rPr>
                <w:szCs w:val="22"/>
                <w:lang w:eastAsia="en-US"/>
              </w:rPr>
              <w:t>61,6%</w:t>
            </w:r>
          </w:p>
        </w:tc>
        <w:tc>
          <w:tcPr>
            <w:tcW w:w="1308" w:type="dxa"/>
            <w:tcBorders>
              <w:top w:val="single" w:sz="4" w:space="0" w:color="auto"/>
              <w:left w:val="single" w:sz="4" w:space="0" w:color="auto"/>
              <w:bottom w:val="single" w:sz="4" w:space="0" w:color="auto"/>
              <w:right w:val="single" w:sz="4" w:space="0" w:color="auto"/>
            </w:tcBorders>
            <w:hideMark/>
          </w:tcPr>
          <w:p w14:paraId="63FBBF7A" w14:textId="77777777" w:rsidR="00366005" w:rsidRPr="00183B5F" w:rsidRDefault="00943743">
            <w:pPr>
              <w:keepNext/>
              <w:spacing w:line="240" w:lineRule="auto"/>
              <w:jc w:val="center"/>
              <w:rPr>
                <w:szCs w:val="22"/>
                <w:lang w:eastAsia="en-US"/>
              </w:rPr>
            </w:pPr>
            <w:r w:rsidRPr="00183B5F">
              <w:rPr>
                <w:szCs w:val="22"/>
                <w:lang w:eastAsia="en-US"/>
              </w:rPr>
              <w:t>&lt; 0,001</w:t>
            </w:r>
          </w:p>
        </w:tc>
        <w:tc>
          <w:tcPr>
            <w:tcW w:w="1304" w:type="dxa"/>
            <w:tcBorders>
              <w:top w:val="single" w:sz="4" w:space="0" w:color="auto"/>
              <w:left w:val="single" w:sz="4" w:space="0" w:color="auto"/>
              <w:bottom w:val="single" w:sz="4" w:space="0" w:color="auto"/>
              <w:right w:val="single" w:sz="4" w:space="0" w:color="auto"/>
            </w:tcBorders>
            <w:hideMark/>
          </w:tcPr>
          <w:p w14:paraId="4BED9FD5" w14:textId="77777777" w:rsidR="00366005" w:rsidRPr="00183B5F" w:rsidRDefault="00943743">
            <w:pPr>
              <w:keepNext/>
              <w:spacing w:line="240" w:lineRule="auto"/>
              <w:jc w:val="center"/>
              <w:rPr>
                <w:szCs w:val="22"/>
                <w:lang w:eastAsia="en-US"/>
              </w:rPr>
            </w:pPr>
            <w:r w:rsidRPr="00183B5F">
              <w:rPr>
                <w:szCs w:val="22"/>
                <w:lang w:eastAsia="en-US"/>
              </w:rPr>
              <w:t>&lt; 0,001</w:t>
            </w:r>
          </w:p>
        </w:tc>
        <w:tc>
          <w:tcPr>
            <w:tcW w:w="1379" w:type="dxa"/>
            <w:tcBorders>
              <w:top w:val="single" w:sz="4" w:space="0" w:color="auto"/>
              <w:left w:val="single" w:sz="4" w:space="0" w:color="auto"/>
              <w:bottom w:val="single" w:sz="4" w:space="0" w:color="auto"/>
              <w:right w:val="single" w:sz="4" w:space="0" w:color="auto"/>
            </w:tcBorders>
            <w:hideMark/>
          </w:tcPr>
          <w:p w14:paraId="76199986" w14:textId="77777777" w:rsidR="00366005" w:rsidRPr="00183B5F" w:rsidRDefault="00943743">
            <w:pPr>
              <w:keepNext/>
              <w:spacing w:line="240" w:lineRule="auto"/>
              <w:jc w:val="center"/>
              <w:rPr>
                <w:szCs w:val="22"/>
                <w:lang w:eastAsia="en-US"/>
              </w:rPr>
            </w:pPr>
            <w:r w:rsidRPr="00183B5F">
              <w:rPr>
                <w:szCs w:val="22"/>
                <w:lang w:eastAsia="en-US"/>
              </w:rPr>
              <w:t>0,317</w:t>
            </w:r>
          </w:p>
        </w:tc>
      </w:tr>
      <w:tr w:rsidR="00011D2F" w14:paraId="2AE7FE14" w14:textId="77777777" w:rsidTr="00366005">
        <w:trPr>
          <w:cantSplit/>
        </w:trPr>
        <w:tc>
          <w:tcPr>
            <w:tcW w:w="1310" w:type="dxa"/>
            <w:tcBorders>
              <w:top w:val="single" w:sz="4" w:space="0" w:color="auto"/>
              <w:left w:val="single" w:sz="4" w:space="0" w:color="auto"/>
              <w:bottom w:val="single" w:sz="4" w:space="0" w:color="auto"/>
              <w:right w:val="single" w:sz="4" w:space="0" w:color="auto"/>
            </w:tcBorders>
            <w:hideMark/>
          </w:tcPr>
          <w:p w14:paraId="24C365AA" w14:textId="77777777" w:rsidR="00366005" w:rsidRPr="00183B5F" w:rsidRDefault="00943743">
            <w:pPr>
              <w:keepNext/>
              <w:spacing w:line="240" w:lineRule="auto"/>
              <w:jc w:val="right"/>
              <w:rPr>
                <w:szCs w:val="22"/>
                <w:lang w:eastAsia="en-US"/>
              </w:rPr>
            </w:pPr>
            <w:r w:rsidRPr="00183B5F">
              <w:rPr>
                <w:szCs w:val="22"/>
                <w:lang w:eastAsia="en-US"/>
              </w:rPr>
              <w:t>104. hét</w:t>
            </w:r>
          </w:p>
        </w:tc>
        <w:tc>
          <w:tcPr>
            <w:tcW w:w="1310" w:type="dxa"/>
            <w:tcBorders>
              <w:top w:val="single" w:sz="4" w:space="0" w:color="auto"/>
              <w:left w:val="single" w:sz="4" w:space="0" w:color="auto"/>
              <w:bottom w:val="single" w:sz="4" w:space="0" w:color="auto"/>
              <w:right w:val="single" w:sz="4" w:space="0" w:color="auto"/>
            </w:tcBorders>
            <w:hideMark/>
          </w:tcPr>
          <w:p w14:paraId="771FE367" w14:textId="77777777" w:rsidR="00366005" w:rsidRPr="00183B5F" w:rsidRDefault="00943743">
            <w:pPr>
              <w:keepNext/>
              <w:spacing w:line="240" w:lineRule="auto"/>
              <w:jc w:val="center"/>
              <w:rPr>
                <w:szCs w:val="22"/>
                <w:lang w:eastAsia="en-US"/>
              </w:rPr>
            </w:pPr>
            <w:r w:rsidRPr="00183B5F">
              <w:rPr>
                <w:szCs w:val="22"/>
                <w:lang w:eastAsia="en-US"/>
              </w:rPr>
              <w:t>42,8%</w:t>
            </w:r>
          </w:p>
        </w:tc>
        <w:tc>
          <w:tcPr>
            <w:tcW w:w="1310" w:type="dxa"/>
            <w:tcBorders>
              <w:top w:val="single" w:sz="4" w:space="0" w:color="auto"/>
              <w:left w:val="single" w:sz="4" w:space="0" w:color="auto"/>
              <w:bottom w:val="single" w:sz="4" w:space="0" w:color="auto"/>
              <w:right w:val="single" w:sz="4" w:space="0" w:color="auto"/>
            </w:tcBorders>
            <w:hideMark/>
          </w:tcPr>
          <w:p w14:paraId="1D63CC8C" w14:textId="77777777" w:rsidR="00366005" w:rsidRPr="00183B5F" w:rsidRDefault="00943743">
            <w:pPr>
              <w:keepNext/>
              <w:spacing w:line="240" w:lineRule="auto"/>
              <w:jc w:val="center"/>
              <w:rPr>
                <w:szCs w:val="22"/>
                <w:lang w:eastAsia="en-US"/>
              </w:rPr>
            </w:pPr>
            <w:r w:rsidRPr="00183B5F">
              <w:rPr>
                <w:szCs w:val="22"/>
                <w:lang w:eastAsia="en-US"/>
              </w:rPr>
              <w:t>36,9%</w:t>
            </w:r>
          </w:p>
        </w:tc>
        <w:tc>
          <w:tcPr>
            <w:tcW w:w="1363" w:type="dxa"/>
            <w:tcBorders>
              <w:top w:val="single" w:sz="4" w:space="0" w:color="auto"/>
              <w:left w:val="single" w:sz="4" w:space="0" w:color="auto"/>
              <w:bottom w:val="single" w:sz="4" w:space="0" w:color="auto"/>
              <w:right w:val="single" w:sz="4" w:space="0" w:color="auto"/>
            </w:tcBorders>
            <w:hideMark/>
          </w:tcPr>
          <w:p w14:paraId="18AAE084" w14:textId="77777777" w:rsidR="00366005" w:rsidRPr="00183B5F" w:rsidRDefault="00943743">
            <w:pPr>
              <w:keepNext/>
              <w:spacing w:line="240" w:lineRule="auto"/>
              <w:jc w:val="center"/>
              <w:rPr>
                <w:szCs w:val="22"/>
                <w:lang w:eastAsia="en-US"/>
              </w:rPr>
            </w:pPr>
            <w:r w:rsidRPr="00183B5F">
              <w:rPr>
                <w:szCs w:val="22"/>
                <w:lang w:eastAsia="en-US"/>
              </w:rPr>
              <w:t>59,0%</w:t>
            </w:r>
          </w:p>
        </w:tc>
        <w:tc>
          <w:tcPr>
            <w:tcW w:w="1308" w:type="dxa"/>
            <w:tcBorders>
              <w:top w:val="single" w:sz="4" w:space="0" w:color="auto"/>
              <w:left w:val="single" w:sz="4" w:space="0" w:color="auto"/>
              <w:bottom w:val="single" w:sz="4" w:space="0" w:color="auto"/>
              <w:right w:val="single" w:sz="4" w:space="0" w:color="auto"/>
            </w:tcBorders>
            <w:hideMark/>
          </w:tcPr>
          <w:p w14:paraId="6E73F0A2" w14:textId="77777777" w:rsidR="00366005" w:rsidRPr="00183B5F" w:rsidRDefault="00943743">
            <w:pPr>
              <w:keepNext/>
              <w:spacing w:line="240" w:lineRule="auto"/>
              <w:jc w:val="center"/>
              <w:rPr>
                <w:szCs w:val="22"/>
                <w:lang w:eastAsia="en-US"/>
              </w:rPr>
            </w:pPr>
            <w:r w:rsidRPr="00183B5F">
              <w:rPr>
                <w:szCs w:val="22"/>
                <w:lang w:eastAsia="en-US"/>
              </w:rPr>
              <w:t>&lt; 0,001</w:t>
            </w:r>
          </w:p>
        </w:tc>
        <w:tc>
          <w:tcPr>
            <w:tcW w:w="1304" w:type="dxa"/>
            <w:tcBorders>
              <w:top w:val="single" w:sz="4" w:space="0" w:color="auto"/>
              <w:left w:val="single" w:sz="4" w:space="0" w:color="auto"/>
              <w:bottom w:val="single" w:sz="4" w:space="0" w:color="auto"/>
              <w:right w:val="single" w:sz="4" w:space="0" w:color="auto"/>
            </w:tcBorders>
            <w:hideMark/>
          </w:tcPr>
          <w:p w14:paraId="70E35808" w14:textId="77777777" w:rsidR="00366005" w:rsidRPr="00183B5F" w:rsidRDefault="00943743">
            <w:pPr>
              <w:keepNext/>
              <w:spacing w:line="240" w:lineRule="auto"/>
              <w:jc w:val="center"/>
              <w:rPr>
                <w:szCs w:val="22"/>
                <w:lang w:eastAsia="en-US"/>
              </w:rPr>
            </w:pPr>
            <w:r w:rsidRPr="00183B5F">
              <w:rPr>
                <w:szCs w:val="22"/>
                <w:lang w:eastAsia="en-US"/>
              </w:rPr>
              <w:t>&lt; 0,001</w:t>
            </w:r>
          </w:p>
        </w:tc>
        <w:tc>
          <w:tcPr>
            <w:tcW w:w="1379" w:type="dxa"/>
            <w:tcBorders>
              <w:top w:val="single" w:sz="4" w:space="0" w:color="auto"/>
              <w:left w:val="single" w:sz="4" w:space="0" w:color="auto"/>
              <w:bottom w:val="single" w:sz="4" w:space="0" w:color="auto"/>
              <w:right w:val="single" w:sz="4" w:space="0" w:color="auto"/>
            </w:tcBorders>
            <w:hideMark/>
          </w:tcPr>
          <w:p w14:paraId="5CB51B5F" w14:textId="77777777" w:rsidR="00366005" w:rsidRPr="00183B5F" w:rsidRDefault="00943743">
            <w:pPr>
              <w:keepNext/>
              <w:spacing w:line="240" w:lineRule="auto"/>
              <w:jc w:val="center"/>
              <w:rPr>
                <w:szCs w:val="22"/>
                <w:lang w:eastAsia="en-US"/>
              </w:rPr>
            </w:pPr>
            <w:r w:rsidRPr="00183B5F">
              <w:rPr>
                <w:szCs w:val="22"/>
                <w:lang w:eastAsia="en-US"/>
              </w:rPr>
              <w:t>0,162</w:t>
            </w:r>
          </w:p>
        </w:tc>
      </w:tr>
      <w:tr w:rsidR="00011D2F" w14:paraId="1D730B2F" w14:textId="77777777" w:rsidTr="00366005">
        <w:trPr>
          <w:cantSplit/>
        </w:trPr>
        <w:tc>
          <w:tcPr>
            <w:tcW w:w="1310" w:type="dxa"/>
            <w:tcBorders>
              <w:top w:val="single" w:sz="4" w:space="0" w:color="auto"/>
              <w:left w:val="single" w:sz="4" w:space="0" w:color="auto"/>
              <w:bottom w:val="single" w:sz="4" w:space="0" w:color="auto"/>
              <w:right w:val="single" w:sz="4" w:space="0" w:color="auto"/>
            </w:tcBorders>
            <w:hideMark/>
          </w:tcPr>
          <w:p w14:paraId="210B14B1" w14:textId="77777777" w:rsidR="00366005" w:rsidRPr="00183B5F" w:rsidRDefault="00943743">
            <w:pPr>
              <w:keepNext/>
              <w:spacing w:line="240" w:lineRule="auto"/>
              <w:rPr>
                <w:szCs w:val="22"/>
                <w:lang w:eastAsia="en-US"/>
              </w:rPr>
            </w:pPr>
            <w:r w:rsidRPr="00183B5F">
              <w:rPr>
                <w:szCs w:val="22"/>
                <w:lang w:eastAsia="en-US"/>
              </w:rPr>
              <w:t>ACR 70</w:t>
            </w:r>
          </w:p>
        </w:tc>
        <w:tc>
          <w:tcPr>
            <w:tcW w:w="1310" w:type="dxa"/>
            <w:tcBorders>
              <w:top w:val="single" w:sz="4" w:space="0" w:color="auto"/>
              <w:left w:val="single" w:sz="4" w:space="0" w:color="auto"/>
              <w:bottom w:val="single" w:sz="4" w:space="0" w:color="auto"/>
              <w:right w:val="single" w:sz="4" w:space="0" w:color="auto"/>
            </w:tcBorders>
          </w:tcPr>
          <w:p w14:paraId="41259275" w14:textId="77777777" w:rsidR="00366005" w:rsidRPr="00183B5F" w:rsidRDefault="00366005">
            <w:pPr>
              <w:keepNext/>
              <w:spacing w:line="240" w:lineRule="auto"/>
              <w:jc w:val="center"/>
              <w:rPr>
                <w:szCs w:val="22"/>
                <w:lang w:eastAsia="en-US"/>
              </w:rPr>
            </w:pPr>
          </w:p>
        </w:tc>
        <w:tc>
          <w:tcPr>
            <w:tcW w:w="1310" w:type="dxa"/>
            <w:tcBorders>
              <w:top w:val="single" w:sz="4" w:space="0" w:color="auto"/>
              <w:left w:val="single" w:sz="4" w:space="0" w:color="auto"/>
              <w:bottom w:val="single" w:sz="4" w:space="0" w:color="auto"/>
              <w:right w:val="single" w:sz="4" w:space="0" w:color="auto"/>
            </w:tcBorders>
          </w:tcPr>
          <w:p w14:paraId="59706945" w14:textId="77777777" w:rsidR="00366005" w:rsidRPr="00183B5F" w:rsidRDefault="00366005">
            <w:pPr>
              <w:keepNext/>
              <w:spacing w:line="240" w:lineRule="auto"/>
              <w:jc w:val="center"/>
              <w:rPr>
                <w:szCs w:val="22"/>
                <w:lang w:eastAsia="en-US"/>
              </w:rPr>
            </w:pPr>
          </w:p>
        </w:tc>
        <w:tc>
          <w:tcPr>
            <w:tcW w:w="1363" w:type="dxa"/>
            <w:tcBorders>
              <w:top w:val="single" w:sz="4" w:space="0" w:color="auto"/>
              <w:left w:val="single" w:sz="4" w:space="0" w:color="auto"/>
              <w:bottom w:val="single" w:sz="4" w:space="0" w:color="auto"/>
              <w:right w:val="single" w:sz="4" w:space="0" w:color="auto"/>
            </w:tcBorders>
          </w:tcPr>
          <w:p w14:paraId="488362F1" w14:textId="77777777" w:rsidR="00366005" w:rsidRPr="00183B5F" w:rsidRDefault="00366005">
            <w:pPr>
              <w:keepNext/>
              <w:spacing w:line="240" w:lineRule="auto"/>
              <w:jc w:val="center"/>
              <w:rPr>
                <w:szCs w:val="22"/>
                <w:lang w:eastAsia="en-US"/>
              </w:rPr>
            </w:pPr>
          </w:p>
        </w:tc>
        <w:tc>
          <w:tcPr>
            <w:tcW w:w="1308" w:type="dxa"/>
            <w:tcBorders>
              <w:top w:val="single" w:sz="4" w:space="0" w:color="auto"/>
              <w:left w:val="single" w:sz="4" w:space="0" w:color="auto"/>
              <w:bottom w:val="single" w:sz="4" w:space="0" w:color="auto"/>
              <w:right w:val="single" w:sz="4" w:space="0" w:color="auto"/>
            </w:tcBorders>
          </w:tcPr>
          <w:p w14:paraId="7377A073" w14:textId="77777777" w:rsidR="00366005" w:rsidRPr="00183B5F" w:rsidRDefault="00366005">
            <w:pPr>
              <w:keepNext/>
              <w:spacing w:line="240" w:lineRule="auto"/>
              <w:jc w:val="center"/>
              <w:rPr>
                <w:szCs w:val="22"/>
                <w:lang w:eastAsia="en-US"/>
              </w:rPr>
            </w:pPr>
          </w:p>
        </w:tc>
        <w:tc>
          <w:tcPr>
            <w:tcW w:w="1304" w:type="dxa"/>
            <w:tcBorders>
              <w:top w:val="single" w:sz="4" w:space="0" w:color="auto"/>
              <w:left w:val="single" w:sz="4" w:space="0" w:color="auto"/>
              <w:bottom w:val="single" w:sz="4" w:space="0" w:color="auto"/>
              <w:right w:val="single" w:sz="4" w:space="0" w:color="auto"/>
            </w:tcBorders>
          </w:tcPr>
          <w:p w14:paraId="4F534101" w14:textId="77777777" w:rsidR="00366005" w:rsidRPr="00183B5F" w:rsidRDefault="00366005">
            <w:pPr>
              <w:keepNext/>
              <w:spacing w:line="240" w:lineRule="auto"/>
              <w:jc w:val="center"/>
              <w:rPr>
                <w:szCs w:val="22"/>
                <w:lang w:eastAsia="en-US"/>
              </w:rPr>
            </w:pPr>
          </w:p>
        </w:tc>
        <w:tc>
          <w:tcPr>
            <w:tcW w:w="1379" w:type="dxa"/>
            <w:tcBorders>
              <w:top w:val="single" w:sz="4" w:space="0" w:color="auto"/>
              <w:left w:val="single" w:sz="4" w:space="0" w:color="auto"/>
              <w:bottom w:val="single" w:sz="4" w:space="0" w:color="auto"/>
              <w:right w:val="single" w:sz="4" w:space="0" w:color="auto"/>
            </w:tcBorders>
          </w:tcPr>
          <w:p w14:paraId="47F1AC7D" w14:textId="77777777" w:rsidR="00366005" w:rsidRPr="00183B5F" w:rsidRDefault="00366005">
            <w:pPr>
              <w:keepNext/>
              <w:spacing w:line="240" w:lineRule="auto"/>
              <w:jc w:val="center"/>
              <w:rPr>
                <w:szCs w:val="22"/>
                <w:lang w:eastAsia="en-US"/>
              </w:rPr>
            </w:pPr>
          </w:p>
        </w:tc>
      </w:tr>
      <w:tr w:rsidR="00011D2F" w14:paraId="1A6A8875" w14:textId="77777777" w:rsidTr="00366005">
        <w:trPr>
          <w:cantSplit/>
        </w:trPr>
        <w:tc>
          <w:tcPr>
            <w:tcW w:w="1310" w:type="dxa"/>
            <w:tcBorders>
              <w:top w:val="single" w:sz="4" w:space="0" w:color="auto"/>
              <w:left w:val="single" w:sz="4" w:space="0" w:color="auto"/>
              <w:bottom w:val="single" w:sz="4" w:space="0" w:color="auto"/>
              <w:right w:val="single" w:sz="4" w:space="0" w:color="auto"/>
            </w:tcBorders>
            <w:hideMark/>
          </w:tcPr>
          <w:p w14:paraId="6180C065" w14:textId="77777777" w:rsidR="00366005" w:rsidRPr="00183B5F" w:rsidRDefault="00943743">
            <w:pPr>
              <w:keepNext/>
              <w:spacing w:line="240" w:lineRule="auto"/>
              <w:jc w:val="right"/>
              <w:rPr>
                <w:szCs w:val="22"/>
                <w:lang w:eastAsia="en-US"/>
              </w:rPr>
            </w:pPr>
            <w:r w:rsidRPr="00183B5F">
              <w:rPr>
                <w:szCs w:val="22"/>
                <w:lang w:eastAsia="en-US"/>
              </w:rPr>
              <w:t>52. hét</w:t>
            </w:r>
          </w:p>
        </w:tc>
        <w:tc>
          <w:tcPr>
            <w:tcW w:w="1310" w:type="dxa"/>
            <w:tcBorders>
              <w:top w:val="single" w:sz="4" w:space="0" w:color="auto"/>
              <w:left w:val="single" w:sz="4" w:space="0" w:color="auto"/>
              <w:bottom w:val="single" w:sz="4" w:space="0" w:color="auto"/>
              <w:right w:val="single" w:sz="4" w:space="0" w:color="auto"/>
            </w:tcBorders>
            <w:hideMark/>
          </w:tcPr>
          <w:p w14:paraId="2361D6FB" w14:textId="77777777" w:rsidR="00366005" w:rsidRPr="00183B5F" w:rsidRDefault="00943743">
            <w:pPr>
              <w:keepNext/>
              <w:spacing w:line="240" w:lineRule="auto"/>
              <w:jc w:val="center"/>
              <w:rPr>
                <w:szCs w:val="22"/>
                <w:lang w:eastAsia="en-US"/>
              </w:rPr>
            </w:pPr>
            <w:r w:rsidRPr="00183B5F">
              <w:rPr>
                <w:szCs w:val="22"/>
                <w:lang w:eastAsia="en-US"/>
              </w:rPr>
              <w:t>27,2%</w:t>
            </w:r>
          </w:p>
        </w:tc>
        <w:tc>
          <w:tcPr>
            <w:tcW w:w="1310" w:type="dxa"/>
            <w:tcBorders>
              <w:top w:val="single" w:sz="4" w:space="0" w:color="auto"/>
              <w:left w:val="single" w:sz="4" w:space="0" w:color="auto"/>
              <w:bottom w:val="single" w:sz="4" w:space="0" w:color="auto"/>
              <w:right w:val="single" w:sz="4" w:space="0" w:color="auto"/>
            </w:tcBorders>
            <w:hideMark/>
          </w:tcPr>
          <w:p w14:paraId="7B81316C" w14:textId="77777777" w:rsidR="00366005" w:rsidRPr="00183B5F" w:rsidRDefault="00943743">
            <w:pPr>
              <w:keepNext/>
              <w:spacing w:line="240" w:lineRule="auto"/>
              <w:jc w:val="center"/>
              <w:rPr>
                <w:szCs w:val="22"/>
                <w:lang w:eastAsia="en-US"/>
              </w:rPr>
            </w:pPr>
            <w:r w:rsidRPr="00183B5F">
              <w:rPr>
                <w:szCs w:val="22"/>
                <w:lang w:eastAsia="en-US"/>
              </w:rPr>
              <w:t>25,9%</w:t>
            </w:r>
          </w:p>
        </w:tc>
        <w:tc>
          <w:tcPr>
            <w:tcW w:w="1363" w:type="dxa"/>
            <w:tcBorders>
              <w:top w:val="single" w:sz="4" w:space="0" w:color="auto"/>
              <w:left w:val="single" w:sz="4" w:space="0" w:color="auto"/>
              <w:bottom w:val="single" w:sz="4" w:space="0" w:color="auto"/>
              <w:right w:val="single" w:sz="4" w:space="0" w:color="auto"/>
            </w:tcBorders>
            <w:hideMark/>
          </w:tcPr>
          <w:p w14:paraId="2651FF10" w14:textId="77777777" w:rsidR="00366005" w:rsidRPr="00183B5F" w:rsidRDefault="00943743">
            <w:pPr>
              <w:keepNext/>
              <w:spacing w:line="240" w:lineRule="auto"/>
              <w:jc w:val="center"/>
              <w:rPr>
                <w:szCs w:val="22"/>
                <w:lang w:eastAsia="en-US"/>
              </w:rPr>
            </w:pPr>
            <w:r w:rsidRPr="00183B5F">
              <w:rPr>
                <w:szCs w:val="22"/>
                <w:lang w:eastAsia="en-US"/>
              </w:rPr>
              <w:t>45,5%</w:t>
            </w:r>
          </w:p>
        </w:tc>
        <w:tc>
          <w:tcPr>
            <w:tcW w:w="1308" w:type="dxa"/>
            <w:tcBorders>
              <w:top w:val="single" w:sz="4" w:space="0" w:color="auto"/>
              <w:left w:val="single" w:sz="4" w:space="0" w:color="auto"/>
              <w:bottom w:val="single" w:sz="4" w:space="0" w:color="auto"/>
              <w:right w:val="single" w:sz="4" w:space="0" w:color="auto"/>
            </w:tcBorders>
            <w:hideMark/>
          </w:tcPr>
          <w:p w14:paraId="32B2C1FC" w14:textId="77777777" w:rsidR="00366005" w:rsidRPr="00183B5F" w:rsidRDefault="00943743">
            <w:pPr>
              <w:keepNext/>
              <w:spacing w:line="240" w:lineRule="auto"/>
              <w:jc w:val="center"/>
              <w:rPr>
                <w:szCs w:val="22"/>
                <w:lang w:eastAsia="en-US"/>
              </w:rPr>
            </w:pPr>
            <w:r w:rsidRPr="00183B5F">
              <w:rPr>
                <w:szCs w:val="22"/>
                <w:lang w:eastAsia="en-US"/>
              </w:rPr>
              <w:t>&lt; 0,001</w:t>
            </w:r>
          </w:p>
        </w:tc>
        <w:tc>
          <w:tcPr>
            <w:tcW w:w="1304" w:type="dxa"/>
            <w:tcBorders>
              <w:top w:val="single" w:sz="4" w:space="0" w:color="auto"/>
              <w:left w:val="single" w:sz="4" w:space="0" w:color="auto"/>
              <w:bottom w:val="single" w:sz="4" w:space="0" w:color="auto"/>
              <w:right w:val="single" w:sz="4" w:space="0" w:color="auto"/>
            </w:tcBorders>
            <w:hideMark/>
          </w:tcPr>
          <w:p w14:paraId="0EC8AABB" w14:textId="77777777" w:rsidR="00366005" w:rsidRPr="00183B5F" w:rsidRDefault="00943743">
            <w:pPr>
              <w:keepNext/>
              <w:spacing w:line="240" w:lineRule="auto"/>
              <w:jc w:val="center"/>
              <w:rPr>
                <w:szCs w:val="22"/>
                <w:lang w:eastAsia="en-US"/>
              </w:rPr>
            </w:pPr>
            <w:r w:rsidRPr="00183B5F">
              <w:rPr>
                <w:szCs w:val="22"/>
                <w:lang w:eastAsia="en-US"/>
              </w:rPr>
              <w:t>&lt; 0,001</w:t>
            </w:r>
          </w:p>
        </w:tc>
        <w:tc>
          <w:tcPr>
            <w:tcW w:w="1379" w:type="dxa"/>
            <w:tcBorders>
              <w:top w:val="single" w:sz="4" w:space="0" w:color="auto"/>
              <w:left w:val="single" w:sz="4" w:space="0" w:color="auto"/>
              <w:bottom w:val="single" w:sz="4" w:space="0" w:color="auto"/>
              <w:right w:val="single" w:sz="4" w:space="0" w:color="auto"/>
            </w:tcBorders>
            <w:hideMark/>
          </w:tcPr>
          <w:p w14:paraId="434A74AA" w14:textId="77777777" w:rsidR="00366005" w:rsidRPr="00183B5F" w:rsidRDefault="00943743">
            <w:pPr>
              <w:keepNext/>
              <w:spacing w:line="240" w:lineRule="auto"/>
              <w:jc w:val="center"/>
              <w:rPr>
                <w:szCs w:val="22"/>
                <w:lang w:eastAsia="en-US"/>
              </w:rPr>
            </w:pPr>
            <w:r w:rsidRPr="00183B5F">
              <w:rPr>
                <w:szCs w:val="22"/>
                <w:lang w:eastAsia="en-US"/>
              </w:rPr>
              <w:t>0,656</w:t>
            </w:r>
          </w:p>
        </w:tc>
      </w:tr>
      <w:tr w:rsidR="00011D2F" w14:paraId="53067633" w14:textId="77777777" w:rsidTr="00366005">
        <w:trPr>
          <w:cantSplit/>
        </w:trPr>
        <w:tc>
          <w:tcPr>
            <w:tcW w:w="1310" w:type="dxa"/>
            <w:tcBorders>
              <w:top w:val="single" w:sz="4" w:space="0" w:color="auto"/>
              <w:left w:val="single" w:sz="4" w:space="0" w:color="auto"/>
              <w:bottom w:val="single" w:sz="4" w:space="0" w:color="auto"/>
              <w:right w:val="single" w:sz="4" w:space="0" w:color="auto"/>
            </w:tcBorders>
            <w:hideMark/>
          </w:tcPr>
          <w:p w14:paraId="0401BD29" w14:textId="77777777" w:rsidR="00366005" w:rsidRPr="00183B5F" w:rsidRDefault="00943743">
            <w:pPr>
              <w:keepNext/>
              <w:spacing w:line="240" w:lineRule="auto"/>
              <w:jc w:val="right"/>
              <w:rPr>
                <w:szCs w:val="22"/>
                <w:lang w:eastAsia="en-US"/>
              </w:rPr>
            </w:pPr>
            <w:r w:rsidRPr="00183B5F">
              <w:rPr>
                <w:szCs w:val="22"/>
                <w:lang w:eastAsia="en-US"/>
              </w:rPr>
              <w:t>104. hét</w:t>
            </w:r>
          </w:p>
        </w:tc>
        <w:tc>
          <w:tcPr>
            <w:tcW w:w="1310" w:type="dxa"/>
            <w:tcBorders>
              <w:top w:val="single" w:sz="4" w:space="0" w:color="auto"/>
              <w:left w:val="single" w:sz="4" w:space="0" w:color="auto"/>
              <w:bottom w:val="single" w:sz="4" w:space="0" w:color="auto"/>
              <w:right w:val="single" w:sz="4" w:space="0" w:color="auto"/>
            </w:tcBorders>
            <w:hideMark/>
          </w:tcPr>
          <w:p w14:paraId="51C27A67" w14:textId="77777777" w:rsidR="00366005" w:rsidRPr="00183B5F" w:rsidRDefault="00943743">
            <w:pPr>
              <w:keepNext/>
              <w:spacing w:line="240" w:lineRule="auto"/>
              <w:jc w:val="center"/>
              <w:rPr>
                <w:szCs w:val="22"/>
                <w:lang w:eastAsia="en-US"/>
              </w:rPr>
            </w:pPr>
            <w:r w:rsidRPr="00183B5F">
              <w:rPr>
                <w:szCs w:val="22"/>
                <w:lang w:eastAsia="en-US"/>
              </w:rPr>
              <w:t>28,4%</w:t>
            </w:r>
          </w:p>
        </w:tc>
        <w:tc>
          <w:tcPr>
            <w:tcW w:w="1310" w:type="dxa"/>
            <w:tcBorders>
              <w:top w:val="single" w:sz="4" w:space="0" w:color="auto"/>
              <w:left w:val="single" w:sz="4" w:space="0" w:color="auto"/>
              <w:bottom w:val="single" w:sz="4" w:space="0" w:color="auto"/>
              <w:right w:val="single" w:sz="4" w:space="0" w:color="auto"/>
            </w:tcBorders>
            <w:hideMark/>
          </w:tcPr>
          <w:p w14:paraId="2CDE9736" w14:textId="77777777" w:rsidR="00366005" w:rsidRPr="00183B5F" w:rsidRDefault="00943743">
            <w:pPr>
              <w:keepNext/>
              <w:spacing w:line="240" w:lineRule="auto"/>
              <w:jc w:val="center"/>
              <w:rPr>
                <w:szCs w:val="22"/>
                <w:lang w:eastAsia="en-US"/>
              </w:rPr>
            </w:pPr>
            <w:r w:rsidRPr="00183B5F">
              <w:rPr>
                <w:szCs w:val="22"/>
                <w:lang w:eastAsia="en-US"/>
              </w:rPr>
              <w:t>28,1%</w:t>
            </w:r>
          </w:p>
        </w:tc>
        <w:tc>
          <w:tcPr>
            <w:tcW w:w="1363" w:type="dxa"/>
            <w:tcBorders>
              <w:top w:val="single" w:sz="4" w:space="0" w:color="auto"/>
              <w:left w:val="single" w:sz="4" w:space="0" w:color="auto"/>
              <w:bottom w:val="single" w:sz="4" w:space="0" w:color="auto"/>
              <w:right w:val="single" w:sz="4" w:space="0" w:color="auto"/>
            </w:tcBorders>
            <w:hideMark/>
          </w:tcPr>
          <w:p w14:paraId="725BCBA1" w14:textId="77777777" w:rsidR="00366005" w:rsidRPr="00183B5F" w:rsidRDefault="00943743">
            <w:pPr>
              <w:keepNext/>
              <w:spacing w:line="240" w:lineRule="auto"/>
              <w:jc w:val="center"/>
              <w:rPr>
                <w:szCs w:val="22"/>
                <w:lang w:eastAsia="en-US"/>
              </w:rPr>
            </w:pPr>
            <w:r w:rsidRPr="00183B5F">
              <w:rPr>
                <w:szCs w:val="22"/>
                <w:lang w:eastAsia="en-US"/>
              </w:rPr>
              <w:t>46,6%</w:t>
            </w:r>
          </w:p>
        </w:tc>
        <w:tc>
          <w:tcPr>
            <w:tcW w:w="1308" w:type="dxa"/>
            <w:tcBorders>
              <w:top w:val="single" w:sz="4" w:space="0" w:color="auto"/>
              <w:left w:val="single" w:sz="4" w:space="0" w:color="auto"/>
              <w:bottom w:val="single" w:sz="4" w:space="0" w:color="auto"/>
              <w:right w:val="single" w:sz="4" w:space="0" w:color="auto"/>
            </w:tcBorders>
            <w:hideMark/>
          </w:tcPr>
          <w:p w14:paraId="469FD799" w14:textId="77777777" w:rsidR="00366005" w:rsidRPr="00183B5F" w:rsidRDefault="00943743">
            <w:pPr>
              <w:keepNext/>
              <w:spacing w:line="240" w:lineRule="auto"/>
              <w:jc w:val="center"/>
              <w:rPr>
                <w:szCs w:val="22"/>
                <w:lang w:eastAsia="en-US"/>
              </w:rPr>
            </w:pPr>
            <w:r w:rsidRPr="00183B5F">
              <w:rPr>
                <w:szCs w:val="22"/>
                <w:lang w:eastAsia="en-US"/>
              </w:rPr>
              <w:t>&lt; 0,001</w:t>
            </w:r>
          </w:p>
        </w:tc>
        <w:tc>
          <w:tcPr>
            <w:tcW w:w="1304" w:type="dxa"/>
            <w:tcBorders>
              <w:top w:val="single" w:sz="4" w:space="0" w:color="auto"/>
              <w:left w:val="single" w:sz="4" w:space="0" w:color="auto"/>
              <w:bottom w:val="single" w:sz="4" w:space="0" w:color="auto"/>
              <w:right w:val="single" w:sz="4" w:space="0" w:color="auto"/>
            </w:tcBorders>
            <w:hideMark/>
          </w:tcPr>
          <w:p w14:paraId="7D1EE903" w14:textId="77777777" w:rsidR="00366005" w:rsidRPr="00183B5F" w:rsidRDefault="00943743">
            <w:pPr>
              <w:keepNext/>
              <w:spacing w:line="240" w:lineRule="auto"/>
              <w:jc w:val="center"/>
              <w:rPr>
                <w:szCs w:val="22"/>
                <w:lang w:eastAsia="en-US"/>
              </w:rPr>
            </w:pPr>
            <w:r w:rsidRPr="00183B5F">
              <w:rPr>
                <w:szCs w:val="22"/>
                <w:lang w:eastAsia="en-US"/>
              </w:rPr>
              <w:t>&lt; 0,001</w:t>
            </w:r>
          </w:p>
        </w:tc>
        <w:tc>
          <w:tcPr>
            <w:tcW w:w="1379" w:type="dxa"/>
            <w:tcBorders>
              <w:top w:val="single" w:sz="4" w:space="0" w:color="auto"/>
              <w:left w:val="single" w:sz="4" w:space="0" w:color="auto"/>
              <w:bottom w:val="single" w:sz="4" w:space="0" w:color="auto"/>
              <w:right w:val="single" w:sz="4" w:space="0" w:color="auto"/>
            </w:tcBorders>
            <w:hideMark/>
          </w:tcPr>
          <w:p w14:paraId="25DE0F87" w14:textId="77777777" w:rsidR="00366005" w:rsidRPr="00183B5F" w:rsidRDefault="00943743">
            <w:pPr>
              <w:keepNext/>
              <w:spacing w:line="240" w:lineRule="auto"/>
              <w:jc w:val="center"/>
              <w:rPr>
                <w:szCs w:val="22"/>
                <w:lang w:eastAsia="en-US"/>
              </w:rPr>
            </w:pPr>
            <w:r w:rsidRPr="00183B5F">
              <w:rPr>
                <w:szCs w:val="22"/>
                <w:lang w:eastAsia="en-US"/>
              </w:rPr>
              <w:t>0,864</w:t>
            </w:r>
          </w:p>
        </w:tc>
      </w:tr>
    </w:tbl>
    <w:p w14:paraId="39F1594C" w14:textId="77777777" w:rsidR="00366005" w:rsidRPr="00183B5F" w:rsidRDefault="00943743">
      <w:pPr>
        <w:spacing w:line="240" w:lineRule="auto"/>
        <w:rPr>
          <w:szCs w:val="22"/>
        </w:rPr>
      </w:pPr>
      <w:r w:rsidRPr="00183B5F">
        <w:rPr>
          <w:szCs w:val="22"/>
          <w:vertAlign w:val="superscript"/>
        </w:rPr>
        <w:t>a</w:t>
      </w:r>
      <w:r w:rsidRPr="00183B5F">
        <w:rPr>
          <w:szCs w:val="22"/>
        </w:rPr>
        <w:t> a p</w:t>
      </w:r>
      <w:r w:rsidRPr="00183B5F">
        <w:rPr>
          <w:szCs w:val="22"/>
        </w:rPr>
        <w:noBreakHyphen/>
        <w:t xml:space="preserve">érték a </w:t>
      </w:r>
      <w:r w:rsidR="001A6E66" w:rsidRPr="00183B5F">
        <w:rPr>
          <w:szCs w:val="22"/>
        </w:rPr>
        <w:t>metotrexát-mono</w:t>
      </w:r>
      <w:r w:rsidRPr="00183B5F">
        <w:rPr>
          <w:szCs w:val="22"/>
        </w:rPr>
        <w:t>terápia és a Humira/metotrexát kombinációs terápia páros összehasonlítása alapján</w:t>
      </w:r>
      <w:r w:rsidR="001A6E66" w:rsidRPr="00183B5F">
        <w:rPr>
          <w:szCs w:val="22"/>
        </w:rPr>
        <w:t>,</w:t>
      </w:r>
      <w:r w:rsidRPr="00183B5F">
        <w:rPr>
          <w:szCs w:val="22"/>
        </w:rPr>
        <w:t xml:space="preserve"> Mann</w:t>
      </w:r>
      <w:r w:rsidRPr="00183B5F">
        <w:rPr>
          <w:szCs w:val="22"/>
        </w:rPr>
        <w:noBreakHyphen/>
        <w:t>Whitney U</w:t>
      </w:r>
      <w:r w:rsidR="001A6E66" w:rsidRPr="00183B5F">
        <w:rPr>
          <w:szCs w:val="22"/>
        </w:rPr>
        <w:noBreakHyphen/>
      </w:r>
      <w:r w:rsidRPr="00183B5F">
        <w:rPr>
          <w:szCs w:val="22"/>
        </w:rPr>
        <w:t>teszt szerint</w:t>
      </w:r>
    </w:p>
    <w:p w14:paraId="7AFB791F" w14:textId="77777777" w:rsidR="00366005" w:rsidRPr="00183B5F" w:rsidRDefault="00943743">
      <w:pPr>
        <w:spacing w:line="240" w:lineRule="auto"/>
        <w:rPr>
          <w:szCs w:val="22"/>
        </w:rPr>
      </w:pPr>
      <w:r w:rsidRPr="00183B5F">
        <w:rPr>
          <w:szCs w:val="22"/>
          <w:vertAlign w:val="superscript"/>
        </w:rPr>
        <w:t>b</w:t>
      </w:r>
      <w:r w:rsidRPr="00183B5F">
        <w:rPr>
          <w:szCs w:val="22"/>
        </w:rPr>
        <w:t> a p</w:t>
      </w:r>
      <w:r w:rsidRPr="00183B5F">
        <w:rPr>
          <w:szCs w:val="22"/>
        </w:rPr>
        <w:noBreakHyphen/>
        <w:t xml:space="preserve">érték a </w:t>
      </w:r>
      <w:r w:rsidR="005C406C" w:rsidRPr="00183B5F">
        <w:rPr>
          <w:szCs w:val="22"/>
        </w:rPr>
        <w:t>Humira-monoterá</w:t>
      </w:r>
      <w:r w:rsidRPr="00183B5F">
        <w:rPr>
          <w:szCs w:val="22"/>
        </w:rPr>
        <w:t>pia és a Humira/metotrexát kombinációs terápia páros összehasonlítása alapján</w:t>
      </w:r>
      <w:r w:rsidR="001A6E66" w:rsidRPr="00183B5F">
        <w:rPr>
          <w:szCs w:val="22"/>
        </w:rPr>
        <w:t>,</w:t>
      </w:r>
      <w:r w:rsidRPr="00183B5F">
        <w:rPr>
          <w:szCs w:val="22"/>
        </w:rPr>
        <w:t xml:space="preserve"> Mann</w:t>
      </w:r>
      <w:r w:rsidRPr="00183B5F">
        <w:rPr>
          <w:szCs w:val="22"/>
        </w:rPr>
        <w:noBreakHyphen/>
        <w:t>Whitney U</w:t>
      </w:r>
      <w:r w:rsidR="001A6E66" w:rsidRPr="00183B5F">
        <w:rPr>
          <w:szCs w:val="22"/>
        </w:rPr>
        <w:noBreakHyphen/>
      </w:r>
      <w:r w:rsidRPr="00183B5F">
        <w:rPr>
          <w:szCs w:val="22"/>
        </w:rPr>
        <w:t>teszt szerint</w:t>
      </w:r>
    </w:p>
    <w:p w14:paraId="1C62832A" w14:textId="77777777" w:rsidR="00366005" w:rsidRPr="00183B5F" w:rsidRDefault="00943743">
      <w:pPr>
        <w:spacing w:line="240" w:lineRule="auto"/>
        <w:rPr>
          <w:szCs w:val="22"/>
        </w:rPr>
      </w:pPr>
      <w:r w:rsidRPr="00183B5F">
        <w:rPr>
          <w:szCs w:val="22"/>
          <w:vertAlign w:val="superscript"/>
        </w:rPr>
        <w:t>c</w:t>
      </w:r>
      <w:r w:rsidRPr="00183B5F">
        <w:rPr>
          <w:szCs w:val="22"/>
        </w:rPr>
        <w:t> a p</w:t>
      </w:r>
      <w:r w:rsidRPr="00183B5F">
        <w:rPr>
          <w:szCs w:val="22"/>
        </w:rPr>
        <w:noBreakHyphen/>
        <w:t xml:space="preserve">érték a </w:t>
      </w:r>
      <w:r w:rsidR="005C406C" w:rsidRPr="00183B5F">
        <w:rPr>
          <w:szCs w:val="22"/>
        </w:rPr>
        <w:t>Humira-monoterá</w:t>
      </w:r>
      <w:r w:rsidRPr="00183B5F">
        <w:rPr>
          <w:szCs w:val="22"/>
        </w:rPr>
        <w:t xml:space="preserve">pia és a </w:t>
      </w:r>
      <w:r w:rsidR="001A6E66" w:rsidRPr="00183B5F">
        <w:rPr>
          <w:szCs w:val="22"/>
        </w:rPr>
        <w:t>metotrexát-mono</w:t>
      </w:r>
      <w:r w:rsidRPr="00183B5F">
        <w:rPr>
          <w:szCs w:val="22"/>
        </w:rPr>
        <w:t>terápia páros összehasonlítása alapján</w:t>
      </w:r>
      <w:r w:rsidR="001A6E66" w:rsidRPr="00183B5F">
        <w:rPr>
          <w:szCs w:val="22"/>
        </w:rPr>
        <w:t>,</w:t>
      </w:r>
      <w:r w:rsidRPr="00183B5F">
        <w:rPr>
          <w:szCs w:val="22"/>
        </w:rPr>
        <w:t xml:space="preserve"> Mann</w:t>
      </w:r>
      <w:r w:rsidRPr="00183B5F">
        <w:rPr>
          <w:szCs w:val="22"/>
        </w:rPr>
        <w:noBreakHyphen/>
        <w:t>Whitney U</w:t>
      </w:r>
      <w:r w:rsidR="001A6E66" w:rsidRPr="00183B5F">
        <w:rPr>
          <w:szCs w:val="22"/>
        </w:rPr>
        <w:noBreakHyphen/>
      </w:r>
      <w:r w:rsidRPr="00183B5F">
        <w:rPr>
          <w:szCs w:val="22"/>
        </w:rPr>
        <w:t>teszt szerint</w:t>
      </w:r>
    </w:p>
    <w:p w14:paraId="0A4EA120" w14:textId="77777777" w:rsidR="00366005" w:rsidRPr="00183B5F" w:rsidRDefault="00366005">
      <w:pPr>
        <w:spacing w:line="240" w:lineRule="auto"/>
        <w:rPr>
          <w:szCs w:val="22"/>
        </w:rPr>
      </w:pPr>
    </w:p>
    <w:p w14:paraId="05880B51" w14:textId="77777777" w:rsidR="00366005" w:rsidRPr="00183B5F" w:rsidRDefault="00943743">
      <w:pPr>
        <w:spacing w:line="240" w:lineRule="auto"/>
        <w:rPr>
          <w:szCs w:val="22"/>
        </w:rPr>
      </w:pPr>
      <w:r w:rsidRPr="00183B5F">
        <w:rPr>
          <w:szCs w:val="22"/>
        </w:rPr>
        <w:t xml:space="preserve">Az RA V vizsgálat nyílt elrendezésű kiterjesztésében az </w:t>
      </w:r>
      <w:r w:rsidR="005D174E" w:rsidRPr="00183B5F">
        <w:rPr>
          <w:szCs w:val="22"/>
        </w:rPr>
        <w:t>ACR-válasz</w:t>
      </w:r>
      <w:r w:rsidRPr="00183B5F">
        <w:rPr>
          <w:szCs w:val="22"/>
        </w:rPr>
        <w:t xml:space="preserve"> aránya fennmaradt a legfeljebb 10 éves követés alatt. Az 542 betegből, akiket 2 hetente 40 mg Humira</w:t>
      </w:r>
      <w:r w:rsidRPr="00183B5F">
        <w:rPr>
          <w:szCs w:val="22"/>
        </w:rPr>
        <w:noBreakHyphen/>
        <w:t>ra randomizáltak, 170 betegnél folytatták a 40 mg Humira</w:t>
      </w:r>
      <w:r w:rsidR="001A6E66" w:rsidRPr="00183B5F">
        <w:rPr>
          <w:szCs w:val="22"/>
        </w:rPr>
        <w:t>-</w:t>
      </w:r>
      <w:r w:rsidRPr="00183B5F">
        <w:rPr>
          <w:szCs w:val="22"/>
        </w:rPr>
        <w:t>kezelést minden 2. héten, 10 éven keresztül. Közülük 154 beteg (90,6%) adott ACR 20 választ, 127 beteg (74,7%) adott ACR 50 választ és 102 beteg (60,0%) adott ACR 70 választ.</w:t>
      </w:r>
    </w:p>
    <w:p w14:paraId="4F26C8DD" w14:textId="77777777" w:rsidR="00366005" w:rsidRPr="00183B5F" w:rsidRDefault="00366005">
      <w:pPr>
        <w:spacing w:line="240" w:lineRule="auto"/>
        <w:rPr>
          <w:szCs w:val="22"/>
        </w:rPr>
      </w:pPr>
    </w:p>
    <w:p w14:paraId="1DF4A718" w14:textId="77777777" w:rsidR="00366005" w:rsidRPr="00183B5F" w:rsidRDefault="00943743">
      <w:pPr>
        <w:spacing w:line="240" w:lineRule="auto"/>
        <w:rPr>
          <w:szCs w:val="22"/>
        </w:rPr>
      </w:pPr>
      <w:r w:rsidRPr="00183B5F">
        <w:rPr>
          <w:szCs w:val="22"/>
        </w:rPr>
        <w:t xml:space="preserve">Az 52. héten a Humira/metotrexát kombinációval kezelt betegek 42,9%-a klinikai remisszióba került (DAS28 (CRP) &lt; 2,6) összehasonlítva a </w:t>
      </w:r>
      <w:r w:rsidR="001A6E66" w:rsidRPr="00183B5F">
        <w:rPr>
          <w:szCs w:val="22"/>
        </w:rPr>
        <w:t>metotrexát-mono</w:t>
      </w:r>
      <w:r w:rsidRPr="00183B5F">
        <w:rPr>
          <w:szCs w:val="22"/>
        </w:rPr>
        <w:t xml:space="preserve">terápiát kapó 20,6% és </w:t>
      </w:r>
      <w:r w:rsidR="005C406C" w:rsidRPr="00183B5F">
        <w:rPr>
          <w:szCs w:val="22"/>
        </w:rPr>
        <w:t>Humira-monoterá</w:t>
      </w:r>
      <w:r w:rsidRPr="00183B5F">
        <w:rPr>
          <w:szCs w:val="22"/>
        </w:rPr>
        <w:t xml:space="preserve">piában részesült 23,4% beteggel. A Humira/metotrexát kombinációs terápia klinikailag és statisztikailag jobb volt, mint a metotrexát (p &lt; 0,001) és </w:t>
      </w:r>
      <w:r w:rsidR="005C406C" w:rsidRPr="00183B5F">
        <w:rPr>
          <w:szCs w:val="22"/>
        </w:rPr>
        <w:t>Humira-monoterá</w:t>
      </w:r>
      <w:r w:rsidRPr="00183B5F">
        <w:rPr>
          <w:szCs w:val="22"/>
        </w:rPr>
        <w:t xml:space="preserve">pia (p &lt; 0,001) az alacsony betegségaktivitási szint elérése tekintetében, amennyiben korai </w:t>
      </w:r>
      <w:r w:rsidR="004C1747" w:rsidRPr="00183B5F">
        <w:rPr>
          <w:szCs w:val="22"/>
        </w:rPr>
        <w:t xml:space="preserve">közepesen súlyos </w:t>
      </w:r>
      <w:r w:rsidRPr="00183B5F">
        <w:rPr>
          <w:szCs w:val="22"/>
        </w:rPr>
        <w:t>-</w:t>
      </w:r>
      <w:r w:rsidR="004C1747" w:rsidRPr="00183B5F">
        <w:rPr>
          <w:szCs w:val="22"/>
        </w:rPr>
        <w:t xml:space="preserve"> </w:t>
      </w:r>
      <w:r w:rsidRPr="00183B5F">
        <w:rPr>
          <w:szCs w:val="22"/>
        </w:rPr>
        <w:t xml:space="preserve">súlyos rheumatoid arthritisük volt. A két monoterápiás karon kapott válasz hasonló volt (p = 0,447). Az eredetileg </w:t>
      </w:r>
      <w:r w:rsidR="005C406C" w:rsidRPr="00183B5F">
        <w:rPr>
          <w:szCs w:val="22"/>
        </w:rPr>
        <w:t>Humira-monoterá</w:t>
      </w:r>
      <w:r w:rsidRPr="00183B5F">
        <w:rPr>
          <w:szCs w:val="22"/>
        </w:rPr>
        <w:t>piára vagy Humira/methotrexát kombinációra randomizált 342 beteg közül, akik beléptek a nyílt kiterjesztéses vizsgálatba, 171 beteg fejezte be a 10 éves Humira</w:t>
      </w:r>
      <w:r w:rsidR="00D646B9" w:rsidRPr="00183B5F">
        <w:rPr>
          <w:szCs w:val="22"/>
        </w:rPr>
        <w:t>-</w:t>
      </w:r>
      <w:r w:rsidRPr="00183B5F">
        <w:rPr>
          <w:szCs w:val="22"/>
        </w:rPr>
        <w:t>kezelést. Közülük 109 beteg (63,7%) került remisszióba a 10 év alatt.</w:t>
      </w:r>
    </w:p>
    <w:p w14:paraId="4DBB1145" w14:textId="77777777" w:rsidR="00366005" w:rsidRPr="00183B5F" w:rsidRDefault="00366005">
      <w:pPr>
        <w:spacing w:line="240" w:lineRule="auto"/>
        <w:rPr>
          <w:szCs w:val="22"/>
        </w:rPr>
      </w:pPr>
    </w:p>
    <w:p w14:paraId="1C925DD5" w14:textId="77777777" w:rsidR="00366005" w:rsidRPr="00183B5F" w:rsidRDefault="00943743">
      <w:pPr>
        <w:keepNext/>
        <w:spacing w:line="240" w:lineRule="auto"/>
        <w:rPr>
          <w:i/>
          <w:szCs w:val="22"/>
          <w:u w:val="single"/>
        </w:rPr>
      </w:pPr>
      <w:r w:rsidRPr="00183B5F">
        <w:rPr>
          <w:i/>
          <w:szCs w:val="22"/>
          <w:u w:val="single"/>
        </w:rPr>
        <w:t>Radiológiai válasz</w:t>
      </w:r>
    </w:p>
    <w:p w14:paraId="36267F15" w14:textId="77777777" w:rsidR="00366005" w:rsidRPr="00183B5F" w:rsidRDefault="00366005">
      <w:pPr>
        <w:pStyle w:val="EndnoteText"/>
        <w:keepNext/>
        <w:tabs>
          <w:tab w:val="clear" w:pos="567"/>
          <w:tab w:val="left" w:pos="708"/>
        </w:tabs>
        <w:suppressAutoHyphens/>
        <w:rPr>
          <w:sz w:val="22"/>
          <w:szCs w:val="22"/>
          <w:lang w:val="hu-HU" w:eastAsia="hu-HU"/>
        </w:rPr>
      </w:pPr>
    </w:p>
    <w:p w14:paraId="7DE62623" w14:textId="77777777" w:rsidR="00366005" w:rsidRPr="00183B5F" w:rsidRDefault="00943743">
      <w:pPr>
        <w:keepNext/>
        <w:spacing w:line="240" w:lineRule="auto"/>
        <w:rPr>
          <w:szCs w:val="22"/>
        </w:rPr>
      </w:pPr>
      <w:r w:rsidRPr="00183B5F">
        <w:rPr>
          <w:szCs w:val="22"/>
        </w:rPr>
        <w:t>Az RA III vizsgálatban, amelyben a Humira</w:t>
      </w:r>
      <w:r w:rsidRPr="00183B5F">
        <w:rPr>
          <w:szCs w:val="22"/>
        </w:rPr>
        <w:noBreakHyphen/>
        <w:t>val kezelt betegek rheumatoid arthritise átlagosan 11 éve állt fenn, az ízületek szerkezeti károsodását radiológiailag értékelték és a változást módosított teljes Sharp</w:t>
      </w:r>
      <w:r w:rsidR="00117647" w:rsidRPr="00183B5F">
        <w:rPr>
          <w:szCs w:val="22"/>
        </w:rPr>
        <w:t>-</w:t>
      </w:r>
      <w:r w:rsidRPr="00183B5F">
        <w:rPr>
          <w:szCs w:val="22"/>
        </w:rPr>
        <w:t>pontértékkel (Total Sharp Score, TSS) és összetevőivel, az er</w:t>
      </w:r>
      <w:r w:rsidR="00116852" w:rsidRPr="00183B5F">
        <w:rPr>
          <w:szCs w:val="22"/>
        </w:rPr>
        <w:t>ó</w:t>
      </w:r>
      <w:r w:rsidRPr="00183B5F">
        <w:rPr>
          <w:szCs w:val="22"/>
        </w:rPr>
        <w:t>ziós pontértékkel és az ízületi rés beszűkülésének pontértékével fejezték ki. Humira</w:t>
      </w:r>
      <w:r w:rsidRPr="00183B5F">
        <w:rPr>
          <w:szCs w:val="22"/>
        </w:rPr>
        <w:noBreakHyphen/>
        <w:t>val/metotrexáttal kezelt betegeknél szignifikánsan kisebb mértékű radiológiai progressziót mutattak ki a 6. és 12. hónapban, mint a csak metotrexáttal kezelt betegeknél (lásd</w:t>
      </w:r>
      <w:r w:rsidRPr="00183B5F">
        <w:rPr>
          <w:i/>
          <w:iCs/>
          <w:szCs w:val="22"/>
        </w:rPr>
        <w:t xml:space="preserve"> </w:t>
      </w:r>
      <w:r w:rsidR="00D45BDE" w:rsidRPr="00183B5F">
        <w:rPr>
          <w:szCs w:val="22"/>
        </w:rPr>
        <w:t>9</w:t>
      </w:r>
      <w:r w:rsidRPr="00183B5F">
        <w:rPr>
          <w:szCs w:val="22"/>
        </w:rPr>
        <w:t>. táblázat).</w:t>
      </w:r>
    </w:p>
    <w:p w14:paraId="015200EF" w14:textId="77777777" w:rsidR="00366005" w:rsidRPr="00183B5F" w:rsidRDefault="00366005">
      <w:pPr>
        <w:spacing w:line="240" w:lineRule="auto"/>
        <w:rPr>
          <w:szCs w:val="22"/>
        </w:rPr>
      </w:pPr>
    </w:p>
    <w:p w14:paraId="41FA79CF" w14:textId="77777777" w:rsidR="00366005" w:rsidRPr="00183B5F" w:rsidRDefault="00943743">
      <w:pPr>
        <w:spacing w:line="240" w:lineRule="auto"/>
        <w:rPr>
          <w:szCs w:val="22"/>
        </w:rPr>
      </w:pPr>
      <w:r w:rsidRPr="00183B5F">
        <w:rPr>
          <w:szCs w:val="22"/>
        </w:rPr>
        <w:t>Az RA III vizsgálat nyílt, kiterjesztett fázisában a strukturális károsodás progressziójának csökkent mértéke 8 és 10 évig fenntartható a betegek egy részénél. Az eredetileg minden második héten 40 mg Humira</w:t>
      </w:r>
      <w:r w:rsidRPr="00183B5F">
        <w:rPr>
          <w:szCs w:val="22"/>
        </w:rPr>
        <w:noBreakHyphen/>
        <w:t>val kezelt 207 beteg közül 81</w:t>
      </w:r>
      <w:r w:rsidRPr="00183B5F">
        <w:rPr>
          <w:szCs w:val="22"/>
        </w:rPr>
        <w:noBreakHyphen/>
        <w:t>et értékeltek radiológiailag a 8. évben. Közülük 48 betegnél nem észlelték a strukturális károsodás progresszióját, melynek definíciója a Teljes Sharp</w:t>
      </w:r>
      <w:r w:rsidR="00117647" w:rsidRPr="00183B5F">
        <w:rPr>
          <w:szCs w:val="22"/>
        </w:rPr>
        <w:t>-</w:t>
      </w:r>
      <w:r w:rsidRPr="00183B5F">
        <w:rPr>
          <w:szCs w:val="22"/>
        </w:rPr>
        <w:t>pontértékben bekövetkezett 0,5 vagy még alacsonyabb változás volt a kiindulási értékhez képest. Az eredetileg minden második héten 40 mg Humira</w:t>
      </w:r>
      <w:r w:rsidRPr="00183B5F">
        <w:rPr>
          <w:szCs w:val="22"/>
        </w:rPr>
        <w:noBreakHyphen/>
        <w:t>val kezelt 207 beteg közül 79</w:t>
      </w:r>
      <w:r w:rsidRPr="00183B5F">
        <w:rPr>
          <w:szCs w:val="22"/>
        </w:rPr>
        <w:noBreakHyphen/>
        <w:t>et értékeltek radiológiailag a 10. évben. Közülük 40 betegnél nem észlelték a strukturális károsodás progresszióját, melynek definíciója a Teljes Sharp</w:t>
      </w:r>
      <w:r w:rsidR="00117647" w:rsidRPr="00183B5F">
        <w:rPr>
          <w:szCs w:val="22"/>
        </w:rPr>
        <w:t>-</w:t>
      </w:r>
      <w:r w:rsidRPr="00183B5F">
        <w:rPr>
          <w:szCs w:val="22"/>
        </w:rPr>
        <w:t>pont</w:t>
      </w:r>
      <w:r w:rsidRPr="00183B5F">
        <w:rPr>
          <w:szCs w:val="22"/>
        </w:rPr>
        <w:t>értékben bekövetkezett 0,5 vagy ennél alacsonyabb változás volt a kiindulási értékhez képest.</w:t>
      </w:r>
    </w:p>
    <w:p w14:paraId="411FE1C0" w14:textId="77777777" w:rsidR="00366005" w:rsidRPr="00183B5F" w:rsidRDefault="00366005" w:rsidP="004062FE">
      <w:pPr>
        <w:pStyle w:val="EMEAHeading1"/>
        <w:tabs>
          <w:tab w:val="clear" w:pos="562"/>
          <w:tab w:val="left" w:pos="708"/>
        </w:tabs>
        <w:spacing w:beforeLines="0" w:afterLines="0"/>
        <w:outlineLvl w:val="9"/>
        <w:rPr>
          <w:rFonts w:ascii="Times New Roman" w:hAnsi="Times New Roman"/>
          <w:bCs/>
          <w:caps w:val="0"/>
          <w:szCs w:val="22"/>
          <w:lang w:val="hu-HU" w:eastAsia="hu-HU"/>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88"/>
        <w:gridCol w:w="1430"/>
        <w:gridCol w:w="1790"/>
        <w:gridCol w:w="2000"/>
        <w:gridCol w:w="1548"/>
      </w:tblGrid>
      <w:tr w:rsidR="00011D2F" w14:paraId="45793448" w14:textId="77777777" w:rsidTr="00366005">
        <w:trPr>
          <w:cantSplit/>
        </w:trPr>
        <w:tc>
          <w:tcPr>
            <w:tcW w:w="8856" w:type="dxa"/>
            <w:gridSpan w:val="5"/>
            <w:tcBorders>
              <w:top w:val="nil"/>
              <w:left w:val="nil"/>
              <w:bottom w:val="single" w:sz="4" w:space="0" w:color="auto"/>
              <w:right w:val="nil"/>
            </w:tcBorders>
          </w:tcPr>
          <w:p w14:paraId="7F246919" w14:textId="77777777" w:rsidR="00366005" w:rsidRPr="00183B5F" w:rsidRDefault="00943743" w:rsidP="004062FE">
            <w:pPr>
              <w:pStyle w:val="EMEAHeading1"/>
              <w:keepNext/>
              <w:tabs>
                <w:tab w:val="clear" w:pos="562"/>
                <w:tab w:val="left" w:pos="708"/>
              </w:tabs>
              <w:spacing w:beforeLines="0" w:afterLines="0"/>
              <w:jc w:val="center"/>
              <w:outlineLvl w:val="9"/>
              <w:rPr>
                <w:rFonts w:ascii="Times New Roman" w:hAnsi="Times New Roman"/>
                <w:bCs/>
                <w:caps w:val="0"/>
                <w:szCs w:val="22"/>
                <w:lang w:val="hu-HU" w:eastAsia="hu-HU"/>
              </w:rPr>
            </w:pPr>
            <w:r w:rsidRPr="00183B5F">
              <w:rPr>
                <w:rFonts w:ascii="Times New Roman" w:hAnsi="Times New Roman"/>
                <w:bCs/>
                <w:caps w:val="0"/>
                <w:szCs w:val="22"/>
                <w:lang w:val="hu-HU" w:eastAsia="hu-HU"/>
              </w:rPr>
              <w:t xml:space="preserve">9. táblázat </w:t>
            </w:r>
          </w:p>
          <w:p w14:paraId="32E0E8EE" w14:textId="77777777" w:rsidR="00366005" w:rsidRPr="00183B5F" w:rsidRDefault="00943743" w:rsidP="004062FE">
            <w:pPr>
              <w:pStyle w:val="EMEAHeading1"/>
              <w:keepNext/>
              <w:tabs>
                <w:tab w:val="clear" w:pos="562"/>
                <w:tab w:val="left" w:pos="708"/>
              </w:tabs>
              <w:spacing w:beforeLines="0" w:afterLines="0"/>
              <w:jc w:val="center"/>
              <w:outlineLvl w:val="9"/>
              <w:rPr>
                <w:rFonts w:ascii="Times New Roman" w:hAnsi="Times New Roman"/>
                <w:bCs/>
                <w:caps w:val="0"/>
                <w:strike/>
                <w:szCs w:val="22"/>
                <w:lang w:val="hu-HU" w:eastAsia="hu-HU"/>
              </w:rPr>
            </w:pPr>
            <w:r w:rsidRPr="00183B5F">
              <w:rPr>
                <w:rFonts w:ascii="Times New Roman" w:hAnsi="Times New Roman"/>
                <w:bCs/>
                <w:caps w:val="0"/>
                <w:szCs w:val="22"/>
                <w:lang w:val="hu-HU" w:eastAsia="hu-HU"/>
              </w:rPr>
              <w:t>Az RA III vizsgálatban észlelt radiológiai változások átlaga 12 hónapot követően</w:t>
            </w:r>
          </w:p>
          <w:p w14:paraId="7954CE3F" w14:textId="77777777" w:rsidR="00366005" w:rsidRPr="00183B5F" w:rsidRDefault="00366005">
            <w:pPr>
              <w:keepNext/>
              <w:spacing w:line="240" w:lineRule="auto"/>
              <w:jc w:val="center"/>
              <w:rPr>
                <w:b/>
                <w:bCs/>
                <w:szCs w:val="22"/>
                <w:lang w:eastAsia="en-US"/>
              </w:rPr>
            </w:pPr>
          </w:p>
        </w:tc>
      </w:tr>
      <w:tr w:rsidR="00011D2F" w14:paraId="4ED40B5C" w14:textId="77777777" w:rsidTr="00366005">
        <w:trPr>
          <w:cantSplit/>
        </w:trPr>
        <w:tc>
          <w:tcPr>
            <w:tcW w:w="2088" w:type="dxa"/>
            <w:tcBorders>
              <w:top w:val="single" w:sz="4" w:space="0" w:color="auto"/>
              <w:left w:val="single" w:sz="4" w:space="0" w:color="auto"/>
              <w:bottom w:val="single" w:sz="4" w:space="0" w:color="auto"/>
              <w:right w:val="single" w:sz="4" w:space="0" w:color="auto"/>
            </w:tcBorders>
          </w:tcPr>
          <w:p w14:paraId="55D78F7D" w14:textId="77777777" w:rsidR="00366005" w:rsidRPr="00183B5F" w:rsidRDefault="00366005">
            <w:pPr>
              <w:keepNext/>
              <w:spacing w:line="240" w:lineRule="auto"/>
              <w:jc w:val="center"/>
              <w:rPr>
                <w:szCs w:val="22"/>
                <w:lang w:eastAsia="en-US"/>
              </w:rPr>
            </w:pPr>
          </w:p>
        </w:tc>
        <w:tc>
          <w:tcPr>
            <w:tcW w:w="1430" w:type="dxa"/>
            <w:tcBorders>
              <w:top w:val="single" w:sz="4" w:space="0" w:color="auto"/>
              <w:left w:val="single" w:sz="4" w:space="0" w:color="auto"/>
              <w:bottom w:val="single" w:sz="4" w:space="0" w:color="auto"/>
              <w:right w:val="single" w:sz="4" w:space="0" w:color="auto"/>
            </w:tcBorders>
            <w:hideMark/>
          </w:tcPr>
          <w:p w14:paraId="49A88660" w14:textId="77777777" w:rsidR="00366005" w:rsidRPr="00183B5F" w:rsidRDefault="00943743">
            <w:pPr>
              <w:keepNext/>
              <w:spacing w:line="240" w:lineRule="auto"/>
              <w:rPr>
                <w:szCs w:val="22"/>
                <w:lang w:eastAsia="en-US"/>
              </w:rPr>
            </w:pPr>
            <w:r w:rsidRPr="00183B5F">
              <w:rPr>
                <w:szCs w:val="22"/>
                <w:lang w:eastAsia="en-US"/>
              </w:rPr>
              <w:t>Placebo/</w:t>
            </w:r>
          </w:p>
          <w:p w14:paraId="6137F427" w14:textId="77777777" w:rsidR="00366005" w:rsidRPr="00183B5F" w:rsidRDefault="00943743">
            <w:pPr>
              <w:keepNext/>
              <w:spacing w:line="240" w:lineRule="auto"/>
              <w:rPr>
                <w:szCs w:val="22"/>
                <w:vertAlign w:val="superscript"/>
                <w:lang w:eastAsia="en-US"/>
              </w:rPr>
            </w:pPr>
            <w:r w:rsidRPr="00183B5F">
              <w:rPr>
                <w:szCs w:val="22"/>
                <w:lang w:eastAsia="en-US"/>
              </w:rPr>
              <w:t>MTX</w:t>
            </w:r>
            <w:r w:rsidRPr="00183B5F">
              <w:rPr>
                <w:szCs w:val="22"/>
                <w:vertAlign w:val="superscript"/>
                <w:lang w:eastAsia="en-US"/>
              </w:rPr>
              <w:t>a</w:t>
            </w:r>
          </w:p>
        </w:tc>
        <w:tc>
          <w:tcPr>
            <w:tcW w:w="1790" w:type="dxa"/>
            <w:tcBorders>
              <w:top w:val="single" w:sz="4" w:space="0" w:color="auto"/>
              <w:left w:val="single" w:sz="4" w:space="0" w:color="auto"/>
              <w:bottom w:val="single" w:sz="4" w:space="0" w:color="auto"/>
              <w:right w:val="single" w:sz="4" w:space="0" w:color="auto"/>
            </w:tcBorders>
            <w:hideMark/>
          </w:tcPr>
          <w:p w14:paraId="3A9E6FDC" w14:textId="77777777" w:rsidR="00366005" w:rsidRPr="00183B5F" w:rsidRDefault="00943743">
            <w:pPr>
              <w:keepNext/>
              <w:spacing w:line="240" w:lineRule="auto"/>
              <w:jc w:val="center"/>
              <w:rPr>
                <w:szCs w:val="22"/>
                <w:lang w:eastAsia="en-US"/>
              </w:rPr>
            </w:pPr>
            <w:r w:rsidRPr="00183B5F">
              <w:rPr>
                <w:szCs w:val="22"/>
                <w:lang w:eastAsia="en-US"/>
              </w:rPr>
              <w:t>Humira/MTX</w:t>
            </w:r>
          </w:p>
          <w:p w14:paraId="6B360FC7" w14:textId="77777777" w:rsidR="00366005" w:rsidRPr="00183B5F" w:rsidRDefault="00943743">
            <w:pPr>
              <w:keepNext/>
              <w:spacing w:line="240" w:lineRule="auto"/>
              <w:jc w:val="center"/>
              <w:rPr>
                <w:szCs w:val="22"/>
                <w:lang w:eastAsia="en-US"/>
              </w:rPr>
            </w:pPr>
            <w:r w:rsidRPr="00183B5F">
              <w:rPr>
                <w:szCs w:val="22"/>
                <w:lang w:eastAsia="en-US"/>
              </w:rPr>
              <w:t>40 mg kéthetente</w:t>
            </w:r>
          </w:p>
        </w:tc>
        <w:tc>
          <w:tcPr>
            <w:tcW w:w="2000" w:type="dxa"/>
            <w:tcBorders>
              <w:top w:val="single" w:sz="4" w:space="0" w:color="auto"/>
              <w:left w:val="single" w:sz="4" w:space="0" w:color="auto"/>
              <w:bottom w:val="single" w:sz="4" w:space="0" w:color="auto"/>
              <w:right w:val="single" w:sz="4" w:space="0" w:color="auto"/>
            </w:tcBorders>
          </w:tcPr>
          <w:p w14:paraId="140842BA" w14:textId="77777777" w:rsidR="00366005" w:rsidRPr="00183B5F" w:rsidRDefault="00943743">
            <w:pPr>
              <w:keepNext/>
              <w:spacing w:line="240" w:lineRule="auto"/>
              <w:jc w:val="center"/>
              <w:rPr>
                <w:szCs w:val="22"/>
                <w:lang w:eastAsia="en-US"/>
              </w:rPr>
            </w:pPr>
            <w:r w:rsidRPr="00183B5F">
              <w:rPr>
                <w:szCs w:val="22"/>
                <w:lang w:eastAsia="en-US"/>
              </w:rPr>
              <w:t>Placebo/MTX-Humira/MTX (95%-os konfidencia intervallum)</w:t>
            </w:r>
            <w:r w:rsidR="004C1747" w:rsidRPr="00183B5F">
              <w:rPr>
                <w:szCs w:val="22"/>
                <w:vertAlign w:val="superscript"/>
              </w:rPr>
              <w:t xml:space="preserve"> b</w:t>
            </w:r>
          </w:p>
          <w:p w14:paraId="1BF48FBF" w14:textId="77777777" w:rsidR="00366005" w:rsidRPr="00183B5F" w:rsidRDefault="00366005">
            <w:pPr>
              <w:keepNext/>
              <w:spacing w:line="240" w:lineRule="auto"/>
              <w:jc w:val="center"/>
              <w:rPr>
                <w:szCs w:val="22"/>
                <w:lang w:eastAsia="en-US"/>
              </w:rPr>
            </w:pPr>
          </w:p>
        </w:tc>
        <w:tc>
          <w:tcPr>
            <w:tcW w:w="1548" w:type="dxa"/>
            <w:tcBorders>
              <w:top w:val="single" w:sz="4" w:space="0" w:color="auto"/>
              <w:left w:val="single" w:sz="4" w:space="0" w:color="auto"/>
              <w:bottom w:val="single" w:sz="4" w:space="0" w:color="auto"/>
              <w:right w:val="single" w:sz="4" w:space="0" w:color="auto"/>
            </w:tcBorders>
            <w:hideMark/>
          </w:tcPr>
          <w:p w14:paraId="103B5261" w14:textId="77777777" w:rsidR="00366005" w:rsidRPr="00183B5F" w:rsidRDefault="00943743">
            <w:pPr>
              <w:keepNext/>
              <w:spacing w:line="240" w:lineRule="auto"/>
              <w:jc w:val="center"/>
              <w:rPr>
                <w:szCs w:val="22"/>
                <w:lang w:eastAsia="en-US"/>
              </w:rPr>
            </w:pPr>
            <w:r w:rsidRPr="00183B5F">
              <w:rPr>
                <w:szCs w:val="22"/>
                <w:lang w:eastAsia="en-US"/>
              </w:rPr>
              <w:t>p-érték</w:t>
            </w:r>
          </w:p>
        </w:tc>
      </w:tr>
      <w:tr w:rsidR="00011D2F" w14:paraId="4418C990" w14:textId="77777777" w:rsidTr="00366005">
        <w:trPr>
          <w:cantSplit/>
        </w:trPr>
        <w:tc>
          <w:tcPr>
            <w:tcW w:w="2088" w:type="dxa"/>
            <w:tcBorders>
              <w:top w:val="single" w:sz="4" w:space="0" w:color="auto"/>
              <w:left w:val="single" w:sz="4" w:space="0" w:color="auto"/>
              <w:bottom w:val="single" w:sz="4" w:space="0" w:color="auto"/>
              <w:right w:val="single" w:sz="4" w:space="0" w:color="auto"/>
            </w:tcBorders>
            <w:hideMark/>
          </w:tcPr>
          <w:p w14:paraId="37C4A423" w14:textId="77777777" w:rsidR="00366005" w:rsidRPr="00183B5F" w:rsidRDefault="00943743">
            <w:pPr>
              <w:keepNext/>
              <w:spacing w:line="240" w:lineRule="auto"/>
              <w:jc w:val="center"/>
              <w:rPr>
                <w:szCs w:val="22"/>
                <w:lang w:eastAsia="en-US"/>
              </w:rPr>
            </w:pPr>
            <w:r w:rsidRPr="00183B5F">
              <w:rPr>
                <w:szCs w:val="22"/>
                <w:lang w:eastAsia="en-US"/>
              </w:rPr>
              <w:t>Teljes Sharp</w:t>
            </w:r>
            <w:r w:rsidR="00117647" w:rsidRPr="00183B5F">
              <w:rPr>
                <w:szCs w:val="22"/>
                <w:lang w:eastAsia="en-US"/>
              </w:rPr>
              <w:t>-</w:t>
            </w:r>
            <w:r w:rsidRPr="00183B5F">
              <w:rPr>
                <w:szCs w:val="22"/>
                <w:lang w:eastAsia="en-US"/>
              </w:rPr>
              <w:t>pontérték</w:t>
            </w:r>
          </w:p>
        </w:tc>
        <w:tc>
          <w:tcPr>
            <w:tcW w:w="1430" w:type="dxa"/>
            <w:tcBorders>
              <w:top w:val="single" w:sz="4" w:space="0" w:color="auto"/>
              <w:left w:val="single" w:sz="4" w:space="0" w:color="auto"/>
              <w:bottom w:val="single" w:sz="4" w:space="0" w:color="auto"/>
              <w:right w:val="single" w:sz="4" w:space="0" w:color="auto"/>
            </w:tcBorders>
            <w:hideMark/>
          </w:tcPr>
          <w:p w14:paraId="0DD992C8" w14:textId="77777777" w:rsidR="00366005" w:rsidRPr="00183B5F" w:rsidRDefault="00943743">
            <w:pPr>
              <w:keepNext/>
              <w:spacing w:line="240" w:lineRule="auto"/>
              <w:jc w:val="center"/>
              <w:rPr>
                <w:szCs w:val="22"/>
                <w:lang w:eastAsia="en-US"/>
              </w:rPr>
            </w:pPr>
            <w:r w:rsidRPr="00183B5F">
              <w:rPr>
                <w:szCs w:val="22"/>
                <w:lang w:eastAsia="en-US"/>
              </w:rPr>
              <w:t>2,7</w:t>
            </w:r>
          </w:p>
        </w:tc>
        <w:tc>
          <w:tcPr>
            <w:tcW w:w="1790" w:type="dxa"/>
            <w:tcBorders>
              <w:top w:val="single" w:sz="4" w:space="0" w:color="auto"/>
              <w:left w:val="single" w:sz="4" w:space="0" w:color="auto"/>
              <w:bottom w:val="single" w:sz="4" w:space="0" w:color="auto"/>
              <w:right w:val="single" w:sz="4" w:space="0" w:color="auto"/>
            </w:tcBorders>
            <w:hideMark/>
          </w:tcPr>
          <w:p w14:paraId="6EE0C1BE" w14:textId="77777777" w:rsidR="00366005" w:rsidRPr="00183B5F" w:rsidRDefault="00943743">
            <w:pPr>
              <w:keepNext/>
              <w:spacing w:line="240" w:lineRule="auto"/>
              <w:jc w:val="center"/>
              <w:rPr>
                <w:szCs w:val="22"/>
                <w:lang w:eastAsia="en-US"/>
              </w:rPr>
            </w:pPr>
            <w:r w:rsidRPr="00183B5F">
              <w:rPr>
                <w:szCs w:val="22"/>
                <w:lang w:eastAsia="en-US"/>
              </w:rPr>
              <w:t>0,1</w:t>
            </w:r>
          </w:p>
        </w:tc>
        <w:tc>
          <w:tcPr>
            <w:tcW w:w="2000" w:type="dxa"/>
            <w:tcBorders>
              <w:top w:val="single" w:sz="4" w:space="0" w:color="auto"/>
              <w:left w:val="single" w:sz="4" w:space="0" w:color="auto"/>
              <w:bottom w:val="single" w:sz="4" w:space="0" w:color="auto"/>
              <w:right w:val="single" w:sz="4" w:space="0" w:color="auto"/>
            </w:tcBorders>
            <w:hideMark/>
          </w:tcPr>
          <w:p w14:paraId="3F7593FA" w14:textId="77777777" w:rsidR="00366005" w:rsidRPr="00183B5F" w:rsidRDefault="00943743">
            <w:pPr>
              <w:keepNext/>
              <w:spacing w:line="240" w:lineRule="auto"/>
              <w:jc w:val="center"/>
              <w:rPr>
                <w:szCs w:val="22"/>
                <w:lang w:eastAsia="en-US"/>
              </w:rPr>
            </w:pPr>
            <w:r w:rsidRPr="00183B5F">
              <w:rPr>
                <w:szCs w:val="22"/>
                <w:lang w:eastAsia="en-US"/>
              </w:rPr>
              <w:t>2,6 (1,4</w:t>
            </w:r>
            <w:r w:rsidR="004C1747" w:rsidRPr="00183B5F">
              <w:rPr>
                <w:szCs w:val="22"/>
                <w:lang w:eastAsia="en-US"/>
              </w:rPr>
              <w:t>;</w:t>
            </w:r>
            <w:r w:rsidRPr="00183B5F">
              <w:rPr>
                <w:szCs w:val="22"/>
                <w:lang w:eastAsia="en-US"/>
              </w:rPr>
              <w:t xml:space="preserve"> 3,8) </w:t>
            </w:r>
          </w:p>
        </w:tc>
        <w:tc>
          <w:tcPr>
            <w:tcW w:w="1548" w:type="dxa"/>
            <w:tcBorders>
              <w:top w:val="single" w:sz="4" w:space="0" w:color="auto"/>
              <w:left w:val="single" w:sz="4" w:space="0" w:color="auto"/>
              <w:bottom w:val="single" w:sz="4" w:space="0" w:color="auto"/>
              <w:right w:val="single" w:sz="4" w:space="0" w:color="auto"/>
            </w:tcBorders>
            <w:hideMark/>
          </w:tcPr>
          <w:p w14:paraId="1CBAC4B3" w14:textId="77777777" w:rsidR="00366005" w:rsidRPr="00183B5F" w:rsidRDefault="00943743">
            <w:pPr>
              <w:keepNext/>
              <w:spacing w:line="240" w:lineRule="auto"/>
              <w:jc w:val="center"/>
              <w:rPr>
                <w:szCs w:val="22"/>
                <w:vertAlign w:val="superscript"/>
                <w:lang w:eastAsia="en-US"/>
              </w:rPr>
            </w:pPr>
            <w:r w:rsidRPr="00183B5F">
              <w:rPr>
                <w:szCs w:val="22"/>
                <w:lang w:eastAsia="en-US"/>
              </w:rPr>
              <w:t>&lt; 0,001</w:t>
            </w:r>
            <w:r w:rsidRPr="00183B5F">
              <w:rPr>
                <w:szCs w:val="22"/>
                <w:vertAlign w:val="superscript"/>
                <w:lang w:eastAsia="en-US"/>
              </w:rPr>
              <w:t>c</w:t>
            </w:r>
          </w:p>
        </w:tc>
      </w:tr>
      <w:tr w:rsidR="00011D2F" w14:paraId="3E15EDE4" w14:textId="77777777" w:rsidTr="00366005">
        <w:trPr>
          <w:cantSplit/>
        </w:trPr>
        <w:tc>
          <w:tcPr>
            <w:tcW w:w="2088" w:type="dxa"/>
            <w:tcBorders>
              <w:top w:val="single" w:sz="4" w:space="0" w:color="auto"/>
              <w:left w:val="single" w:sz="4" w:space="0" w:color="auto"/>
              <w:bottom w:val="single" w:sz="4" w:space="0" w:color="auto"/>
              <w:right w:val="single" w:sz="4" w:space="0" w:color="auto"/>
            </w:tcBorders>
          </w:tcPr>
          <w:p w14:paraId="05F97E8B" w14:textId="77777777" w:rsidR="00366005" w:rsidRPr="00183B5F" w:rsidRDefault="00943743">
            <w:pPr>
              <w:spacing w:line="240" w:lineRule="auto"/>
              <w:jc w:val="center"/>
              <w:rPr>
                <w:szCs w:val="22"/>
                <w:lang w:eastAsia="en-US"/>
              </w:rPr>
            </w:pPr>
            <w:r w:rsidRPr="00183B5F">
              <w:rPr>
                <w:szCs w:val="22"/>
                <w:lang w:eastAsia="en-US"/>
              </w:rPr>
              <w:t>Eróziós pontérték</w:t>
            </w:r>
          </w:p>
        </w:tc>
        <w:tc>
          <w:tcPr>
            <w:tcW w:w="1430" w:type="dxa"/>
            <w:tcBorders>
              <w:top w:val="single" w:sz="4" w:space="0" w:color="auto"/>
              <w:left w:val="single" w:sz="4" w:space="0" w:color="auto"/>
              <w:bottom w:val="single" w:sz="4" w:space="0" w:color="auto"/>
              <w:right w:val="single" w:sz="4" w:space="0" w:color="auto"/>
            </w:tcBorders>
            <w:hideMark/>
          </w:tcPr>
          <w:p w14:paraId="4F785D2F" w14:textId="77777777" w:rsidR="00366005" w:rsidRPr="00183B5F" w:rsidRDefault="00943743">
            <w:pPr>
              <w:spacing w:line="240" w:lineRule="auto"/>
              <w:jc w:val="center"/>
              <w:rPr>
                <w:szCs w:val="22"/>
                <w:lang w:eastAsia="en-US"/>
              </w:rPr>
            </w:pPr>
            <w:r w:rsidRPr="00183B5F">
              <w:rPr>
                <w:szCs w:val="22"/>
                <w:lang w:eastAsia="en-US"/>
              </w:rPr>
              <w:t>1,6</w:t>
            </w:r>
          </w:p>
        </w:tc>
        <w:tc>
          <w:tcPr>
            <w:tcW w:w="1790" w:type="dxa"/>
            <w:tcBorders>
              <w:top w:val="single" w:sz="4" w:space="0" w:color="auto"/>
              <w:left w:val="single" w:sz="4" w:space="0" w:color="auto"/>
              <w:bottom w:val="single" w:sz="4" w:space="0" w:color="auto"/>
              <w:right w:val="single" w:sz="4" w:space="0" w:color="auto"/>
            </w:tcBorders>
            <w:hideMark/>
          </w:tcPr>
          <w:p w14:paraId="579BA0E0" w14:textId="77777777" w:rsidR="00366005" w:rsidRPr="00183B5F" w:rsidRDefault="00943743">
            <w:pPr>
              <w:spacing w:line="240" w:lineRule="auto"/>
              <w:jc w:val="center"/>
              <w:rPr>
                <w:szCs w:val="22"/>
                <w:lang w:eastAsia="en-US"/>
              </w:rPr>
            </w:pPr>
            <w:r w:rsidRPr="00183B5F">
              <w:rPr>
                <w:szCs w:val="22"/>
                <w:lang w:eastAsia="en-US"/>
              </w:rPr>
              <w:t>0,0</w:t>
            </w:r>
          </w:p>
        </w:tc>
        <w:tc>
          <w:tcPr>
            <w:tcW w:w="2000" w:type="dxa"/>
            <w:tcBorders>
              <w:top w:val="single" w:sz="4" w:space="0" w:color="auto"/>
              <w:left w:val="single" w:sz="4" w:space="0" w:color="auto"/>
              <w:bottom w:val="single" w:sz="4" w:space="0" w:color="auto"/>
              <w:right w:val="single" w:sz="4" w:space="0" w:color="auto"/>
            </w:tcBorders>
            <w:hideMark/>
          </w:tcPr>
          <w:p w14:paraId="08779230" w14:textId="77777777" w:rsidR="00366005" w:rsidRPr="00183B5F" w:rsidRDefault="00943743">
            <w:pPr>
              <w:spacing w:line="240" w:lineRule="auto"/>
              <w:jc w:val="center"/>
              <w:rPr>
                <w:szCs w:val="22"/>
                <w:lang w:eastAsia="en-US"/>
              </w:rPr>
            </w:pPr>
            <w:r w:rsidRPr="00183B5F">
              <w:rPr>
                <w:szCs w:val="22"/>
                <w:lang w:eastAsia="en-US"/>
              </w:rPr>
              <w:t>1,6 (0,9</w:t>
            </w:r>
            <w:r w:rsidR="004C1747" w:rsidRPr="00183B5F">
              <w:rPr>
                <w:szCs w:val="22"/>
                <w:lang w:eastAsia="en-US"/>
              </w:rPr>
              <w:t>;</w:t>
            </w:r>
            <w:r w:rsidRPr="00183B5F">
              <w:rPr>
                <w:szCs w:val="22"/>
                <w:lang w:eastAsia="en-US"/>
              </w:rPr>
              <w:t xml:space="preserve"> 2,2)</w:t>
            </w:r>
          </w:p>
        </w:tc>
        <w:tc>
          <w:tcPr>
            <w:tcW w:w="1548" w:type="dxa"/>
            <w:tcBorders>
              <w:top w:val="single" w:sz="4" w:space="0" w:color="auto"/>
              <w:left w:val="single" w:sz="4" w:space="0" w:color="auto"/>
              <w:bottom w:val="single" w:sz="4" w:space="0" w:color="auto"/>
              <w:right w:val="single" w:sz="4" w:space="0" w:color="auto"/>
            </w:tcBorders>
            <w:hideMark/>
          </w:tcPr>
          <w:p w14:paraId="6E2FE29F" w14:textId="77777777" w:rsidR="00366005" w:rsidRPr="00183B5F" w:rsidRDefault="00943743">
            <w:pPr>
              <w:spacing w:line="240" w:lineRule="auto"/>
              <w:jc w:val="center"/>
              <w:rPr>
                <w:szCs w:val="22"/>
                <w:lang w:eastAsia="en-US"/>
              </w:rPr>
            </w:pPr>
            <w:r w:rsidRPr="00183B5F">
              <w:rPr>
                <w:szCs w:val="22"/>
                <w:lang w:eastAsia="en-US"/>
              </w:rPr>
              <w:t>&lt; 0,001</w:t>
            </w:r>
          </w:p>
        </w:tc>
      </w:tr>
      <w:tr w:rsidR="00011D2F" w14:paraId="185ABB07" w14:textId="77777777" w:rsidTr="00366005">
        <w:trPr>
          <w:cantSplit/>
        </w:trPr>
        <w:tc>
          <w:tcPr>
            <w:tcW w:w="2088" w:type="dxa"/>
            <w:tcBorders>
              <w:top w:val="single" w:sz="4" w:space="0" w:color="auto"/>
              <w:left w:val="single" w:sz="4" w:space="0" w:color="auto"/>
              <w:bottom w:val="single" w:sz="4" w:space="0" w:color="auto"/>
              <w:right w:val="single" w:sz="4" w:space="0" w:color="auto"/>
            </w:tcBorders>
          </w:tcPr>
          <w:p w14:paraId="6A540EAE" w14:textId="77777777" w:rsidR="00366005" w:rsidRPr="00183B5F" w:rsidRDefault="00943743">
            <w:pPr>
              <w:spacing w:line="240" w:lineRule="auto"/>
              <w:jc w:val="center"/>
              <w:rPr>
                <w:szCs w:val="22"/>
                <w:lang w:eastAsia="en-US"/>
              </w:rPr>
            </w:pPr>
            <w:r w:rsidRPr="00183B5F">
              <w:rPr>
                <w:szCs w:val="22"/>
                <w:lang w:eastAsia="en-US"/>
              </w:rPr>
              <w:t>JSN</w:t>
            </w:r>
            <w:r w:rsidRPr="00183B5F">
              <w:rPr>
                <w:szCs w:val="22"/>
                <w:vertAlign w:val="superscript"/>
                <w:lang w:eastAsia="en-US"/>
              </w:rPr>
              <w:t>d</w:t>
            </w:r>
            <w:r w:rsidR="005E4FD2" w:rsidRPr="00183B5F">
              <w:rPr>
                <w:szCs w:val="22"/>
                <w:lang w:eastAsia="en-US"/>
              </w:rPr>
              <w:t>-</w:t>
            </w:r>
            <w:r w:rsidRPr="00183B5F">
              <w:rPr>
                <w:szCs w:val="22"/>
                <w:lang w:eastAsia="en-US"/>
              </w:rPr>
              <w:t>pontérték</w:t>
            </w:r>
          </w:p>
        </w:tc>
        <w:tc>
          <w:tcPr>
            <w:tcW w:w="1430" w:type="dxa"/>
            <w:tcBorders>
              <w:top w:val="single" w:sz="4" w:space="0" w:color="auto"/>
              <w:left w:val="single" w:sz="4" w:space="0" w:color="auto"/>
              <w:bottom w:val="single" w:sz="4" w:space="0" w:color="auto"/>
              <w:right w:val="single" w:sz="4" w:space="0" w:color="auto"/>
            </w:tcBorders>
            <w:hideMark/>
          </w:tcPr>
          <w:p w14:paraId="35C414A9" w14:textId="77777777" w:rsidR="00366005" w:rsidRPr="00183B5F" w:rsidRDefault="00943743">
            <w:pPr>
              <w:spacing w:line="240" w:lineRule="auto"/>
              <w:jc w:val="center"/>
              <w:rPr>
                <w:szCs w:val="22"/>
                <w:lang w:eastAsia="en-US"/>
              </w:rPr>
            </w:pPr>
            <w:r w:rsidRPr="00183B5F">
              <w:rPr>
                <w:szCs w:val="22"/>
                <w:lang w:eastAsia="en-US"/>
              </w:rPr>
              <w:t>1,0</w:t>
            </w:r>
          </w:p>
        </w:tc>
        <w:tc>
          <w:tcPr>
            <w:tcW w:w="1790" w:type="dxa"/>
            <w:tcBorders>
              <w:top w:val="single" w:sz="4" w:space="0" w:color="auto"/>
              <w:left w:val="single" w:sz="4" w:space="0" w:color="auto"/>
              <w:bottom w:val="single" w:sz="4" w:space="0" w:color="auto"/>
              <w:right w:val="single" w:sz="4" w:space="0" w:color="auto"/>
            </w:tcBorders>
            <w:hideMark/>
          </w:tcPr>
          <w:p w14:paraId="3E595D01" w14:textId="77777777" w:rsidR="00366005" w:rsidRPr="00183B5F" w:rsidRDefault="00943743">
            <w:pPr>
              <w:spacing w:line="240" w:lineRule="auto"/>
              <w:jc w:val="center"/>
              <w:rPr>
                <w:szCs w:val="22"/>
                <w:lang w:eastAsia="en-US"/>
              </w:rPr>
            </w:pPr>
            <w:r w:rsidRPr="00183B5F">
              <w:rPr>
                <w:szCs w:val="22"/>
                <w:lang w:eastAsia="en-US"/>
              </w:rPr>
              <w:t>0,1</w:t>
            </w:r>
          </w:p>
        </w:tc>
        <w:tc>
          <w:tcPr>
            <w:tcW w:w="2000" w:type="dxa"/>
            <w:tcBorders>
              <w:top w:val="single" w:sz="4" w:space="0" w:color="auto"/>
              <w:left w:val="single" w:sz="4" w:space="0" w:color="auto"/>
              <w:bottom w:val="single" w:sz="4" w:space="0" w:color="auto"/>
              <w:right w:val="single" w:sz="4" w:space="0" w:color="auto"/>
            </w:tcBorders>
            <w:hideMark/>
          </w:tcPr>
          <w:p w14:paraId="0551BF64" w14:textId="77777777" w:rsidR="00366005" w:rsidRPr="00183B5F" w:rsidRDefault="00943743">
            <w:pPr>
              <w:spacing w:line="240" w:lineRule="auto"/>
              <w:jc w:val="center"/>
              <w:rPr>
                <w:szCs w:val="22"/>
                <w:lang w:eastAsia="en-US"/>
              </w:rPr>
            </w:pPr>
            <w:r w:rsidRPr="00183B5F">
              <w:rPr>
                <w:szCs w:val="22"/>
                <w:lang w:eastAsia="en-US"/>
              </w:rPr>
              <w:t>0,9 (0,3</w:t>
            </w:r>
            <w:r w:rsidR="004C1747" w:rsidRPr="00183B5F">
              <w:rPr>
                <w:szCs w:val="22"/>
                <w:lang w:eastAsia="en-US"/>
              </w:rPr>
              <w:t>;</w:t>
            </w:r>
            <w:r w:rsidRPr="00183B5F">
              <w:rPr>
                <w:szCs w:val="22"/>
                <w:lang w:eastAsia="en-US"/>
              </w:rPr>
              <w:t xml:space="preserve"> 1,4)</w:t>
            </w:r>
          </w:p>
        </w:tc>
        <w:tc>
          <w:tcPr>
            <w:tcW w:w="1548" w:type="dxa"/>
            <w:tcBorders>
              <w:top w:val="single" w:sz="4" w:space="0" w:color="auto"/>
              <w:left w:val="single" w:sz="4" w:space="0" w:color="auto"/>
              <w:bottom w:val="single" w:sz="4" w:space="0" w:color="auto"/>
              <w:right w:val="single" w:sz="4" w:space="0" w:color="auto"/>
            </w:tcBorders>
            <w:hideMark/>
          </w:tcPr>
          <w:p w14:paraId="2C281281" w14:textId="77777777" w:rsidR="00366005" w:rsidRPr="00183B5F" w:rsidRDefault="00943743">
            <w:pPr>
              <w:spacing w:line="240" w:lineRule="auto"/>
              <w:jc w:val="center"/>
              <w:rPr>
                <w:szCs w:val="22"/>
                <w:lang w:eastAsia="en-US"/>
              </w:rPr>
            </w:pPr>
            <w:r w:rsidRPr="00183B5F">
              <w:rPr>
                <w:szCs w:val="22"/>
                <w:lang w:eastAsia="en-US"/>
              </w:rPr>
              <w:t>0,002</w:t>
            </w:r>
          </w:p>
        </w:tc>
      </w:tr>
    </w:tbl>
    <w:p w14:paraId="6BC5BF0D" w14:textId="77777777" w:rsidR="00366005" w:rsidRPr="00183B5F" w:rsidRDefault="00943743">
      <w:pPr>
        <w:pStyle w:val="In-textfootnote"/>
        <w:keepNext w:val="0"/>
        <w:spacing w:before="0" w:line="240" w:lineRule="auto"/>
        <w:rPr>
          <w:rFonts w:ascii="Times New Roman" w:hAnsi="Times New Roman"/>
          <w:sz w:val="22"/>
          <w:szCs w:val="22"/>
          <w:lang w:val="hu-HU"/>
        </w:rPr>
      </w:pPr>
      <w:r w:rsidRPr="00183B5F">
        <w:rPr>
          <w:rFonts w:ascii="Times New Roman" w:hAnsi="Times New Roman"/>
          <w:b/>
          <w:bCs/>
          <w:sz w:val="22"/>
          <w:szCs w:val="22"/>
          <w:vertAlign w:val="superscript"/>
          <w:lang w:val="hu-HU"/>
        </w:rPr>
        <w:t>a</w:t>
      </w:r>
      <w:r w:rsidRPr="00183B5F">
        <w:rPr>
          <w:rFonts w:ascii="Times New Roman" w:hAnsi="Times New Roman"/>
          <w:sz w:val="22"/>
          <w:szCs w:val="22"/>
          <w:lang w:val="hu-HU"/>
        </w:rPr>
        <w:t>metotrexát</w:t>
      </w:r>
    </w:p>
    <w:p w14:paraId="1C3F48D1" w14:textId="77777777" w:rsidR="00366005" w:rsidRPr="00183B5F" w:rsidRDefault="00943743">
      <w:pPr>
        <w:pStyle w:val="In-textfootnote"/>
        <w:keepNext w:val="0"/>
        <w:spacing w:before="0" w:line="240" w:lineRule="auto"/>
        <w:rPr>
          <w:rFonts w:ascii="Times New Roman" w:hAnsi="Times New Roman"/>
          <w:sz w:val="22"/>
          <w:szCs w:val="22"/>
          <w:lang w:val="hu-HU"/>
        </w:rPr>
      </w:pPr>
      <w:r w:rsidRPr="00183B5F">
        <w:rPr>
          <w:rFonts w:ascii="Times New Roman" w:hAnsi="Times New Roman"/>
          <w:sz w:val="22"/>
          <w:szCs w:val="22"/>
          <w:vertAlign w:val="superscript"/>
          <w:lang w:val="hu-HU"/>
        </w:rPr>
        <w:t>b</w:t>
      </w:r>
      <w:r w:rsidRPr="00183B5F">
        <w:rPr>
          <w:rFonts w:ascii="Times New Roman" w:hAnsi="Times New Roman"/>
          <w:sz w:val="22"/>
          <w:szCs w:val="22"/>
          <w:lang w:val="hu-HU"/>
        </w:rPr>
        <w:t>95%</w:t>
      </w:r>
      <w:r w:rsidRPr="00183B5F">
        <w:rPr>
          <w:rFonts w:ascii="Times New Roman" w:hAnsi="Times New Roman"/>
          <w:sz w:val="22"/>
          <w:szCs w:val="22"/>
          <w:lang w:val="hu-HU"/>
        </w:rPr>
        <w:noBreakHyphen/>
      </w:r>
      <w:r w:rsidRPr="00183B5F">
        <w:rPr>
          <w:rFonts w:ascii="Times New Roman" w:hAnsi="Times New Roman"/>
          <w:sz w:val="22"/>
          <w:szCs w:val="22"/>
          <w:lang w:val="hu-HU"/>
        </w:rPr>
        <w:t xml:space="preserve">os konfidencia intervallum a metotrexát és a Humira </w:t>
      </w:r>
      <w:r w:rsidR="004C1747" w:rsidRPr="00183B5F">
        <w:rPr>
          <w:rFonts w:ascii="Times New Roman" w:hAnsi="Times New Roman"/>
          <w:sz w:val="22"/>
          <w:szCs w:val="22"/>
          <w:lang w:val="hu-HU"/>
        </w:rPr>
        <w:t xml:space="preserve">pontértékeinek </w:t>
      </w:r>
      <w:r w:rsidRPr="00183B5F">
        <w:rPr>
          <w:rFonts w:ascii="Times New Roman" w:hAnsi="Times New Roman"/>
          <w:sz w:val="22"/>
          <w:szCs w:val="22"/>
          <w:lang w:val="hu-HU"/>
        </w:rPr>
        <w:t>változása közötti különbségre</w:t>
      </w:r>
    </w:p>
    <w:p w14:paraId="42D92D67" w14:textId="77777777" w:rsidR="00366005" w:rsidRPr="00183B5F" w:rsidRDefault="00943743">
      <w:pPr>
        <w:pStyle w:val="In-textfootnote"/>
        <w:keepNext w:val="0"/>
        <w:spacing w:before="0" w:line="240" w:lineRule="auto"/>
        <w:rPr>
          <w:rFonts w:ascii="Times New Roman" w:hAnsi="Times New Roman"/>
          <w:sz w:val="22"/>
          <w:szCs w:val="22"/>
          <w:lang w:val="hu-HU"/>
        </w:rPr>
      </w:pPr>
      <w:r w:rsidRPr="00183B5F">
        <w:rPr>
          <w:rFonts w:ascii="Times New Roman" w:hAnsi="Times New Roman"/>
          <w:sz w:val="22"/>
          <w:szCs w:val="22"/>
          <w:vertAlign w:val="superscript"/>
          <w:lang w:val="hu-HU"/>
        </w:rPr>
        <w:t>c</w:t>
      </w:r>
      <w:r w:rsidRPr="00183B5F">
        <w:rPr>
          <w:rFonts w:ascii="Times New Roman" w:hAnsi="Times New Roman"/>
          <w:sz w:val="22"/>
          <w:szCs w:val="22"/>
          <w:lang w:val="hu-HU"/>
        </w:rPr>
        <w:t>rank anal</w:t>
      </w:r>
      <w:r w:rsidR="004C1747" w:rsidRPr="00183B5F">
        <w:rPr>
          <w:rFonts w:ascii="Times New Roman" w:hAnsi="Times New Roman"/>
          <w:sz w:val="22"/>
          <w:szCs w:val="22"/>
          <w:lang w:val="hu-HU"/>
        </w:rPr>
        <w:t>í</w:t>
      </w:r>
      <w:r w:rsidRPr="00183B5F">
        <w:rPr>
          <w:rFonts w:ascii="Times New Roman" w:hAnsi="Times New Roman"/>
          <w:sz w:val="22"/>
          <w:szCs w:val="22"/>
          <w:lang w:val="hu-HU"/>
        </w:rPr>
        <w:t>zis alapján</w:t>
      </w:r>
    </w:p>
    <w:p w14:paraId="20AF9A18" w14:textId="77777777" w:rsidR="00366005" w:rsidRPr="00183B5F" w:rsidRDefault="00943743">
      <w:pPr>
        <w:pStyle w:val="In-textfootnote"/>
        <w:keepNext w:val="0"/>
        <w:spacing w:before="0" w:line="240" w:lineRule="auto"/>
        <w:rPr>
          <w:rFonts w:ascii="Times New Roman" w:hAnsi="Times New Roman"/>
          <w:sz w:val="22"/>
          <w:szCs w:val="22"/>
          <w:lang w:val="hu-HU"/>
        </w:rPr>
      </w:pPr>
      <w:r w:rsidRPr="00183B5F">
        <w:rPr>
          <w:rFonts w:ascii="Times New Roman" w:hAnsi="Times New Roman"/>
          <w:sz w:val="22"/>
          <w:szCs w:val="22"/>
          <w:vertAlign w:val="superscript"/>
          <w:lang w:val="hu-HU"/>
        </w:rPr>
        <w:t>d</w:t>
      </w:r>
      <w:r w:rsidRPr="00183B5F">
        <w:rPr>
          <w:rFonts w:ascii="Times New Roman" w:hAnsi="Times New Roman"/>
          <w:sz w:val="22"/>
          <w:szCs w:val="22"/>
          <w:lang w:val="hu-HU"/>
        </w:rPr>
        <w:t>Ízületi rés beszűkülése (JSN-Joint Space Narrowing)</w:t>
      </w:r>
    </w:p>
    <w:p w14:paraId="0BB73DC0" w14:textId="77777777" w:rsidR="00366005" w:rsidRPr="00183B5F" w:rsidRDefault="00366005">
      <w:pPr>
        <w:spacing w:line="240" w:lineRule="auto"/>
        <w:rPr>
          <w:szCs w:val="22"/>
        </w:rPr>
      </w:pPr>
    </w:p>
    <w:p w14:paraId="0FC8969D" w14:textId="77777777" w:rsidR="00366005" w:rsidRPr="00183B5F" w:rsidRDefault="00943743">
      <w:pPr>
        <w:pStyle w:val="In-textfootnote"/>
        <w:keepNext w:val="0"/>
        <w:spacing w:before="0" w:line="240" w:lineRule="auto"/>
        <w:rPr>
          <w:rFonts w:ascii="Times New Roman" w:hAnsi="Times New Roman"/>
          <w:sz w:val="22"/>
          <w:szCs w:val="22"/>
          <w:lang w:val="hu-HU"/>
        </w:rPr>
      </w:pPr>
      <w:r w:rsidRPr="00183B5F">
        <w:rPr>
          <w:rFonts w:ascii="Times New Roman" w:hAnsi="Times New Roman"/>
          <w:sz w:val="22"/>
          <w:szCs w:val="22"/>
          <w:lang w:val="hu-HU"/>
        </w:rPr>
        <w:t xml:space="preserve">Az RA V vizsgálatban az ízületi károsodást radiológiailag is </w:t>
      </w:r>
      <w:r w:rsidR="004C1747" w:rsidRPr="00183B5F">
        <w:rPr>
          <w:rFonts w:ascii="Times New Roman" w:hAnsi="Times New Roman"/>
          <w:sz w:val="22"/>
          <w:szCs w:val="22"/>
          <w:lang w:val="hu-HU"/>
        </w:rPr>
        <w:t xml:space="preserve">értékelték </w:t>
      </w:r>
      <w:r w:rsidRPr="00183B5F">
        <w:rPr>
          <w:rFonts w:ascii="Times New Roman" w:hAnsi="Times New Roman"/>
          <w:sz w:val="22"/>
          <w:szCs w:val="22"/>
          <w:lang w:val="hu-HU"/>
        </w:rPr>
        <w:t>és módosított teljes Sharp</w:t>
      </w:r>
      <w:r w:rsidR="005E4FD2" w:rsidRPr="00183B5F">
        <w:rPr>
          <w:rFonts w:ascii="Times New Roman" w:hAnsi="Times New Roman"/>
          <w:sz w:val="22"/>
          <w:szCs w:val="22"/>
          <w:lang w:val="hu-HU"/>
        </w:rPr>
        <w:t>-</w:t>
      </w:r>
      <w:r w:rsidRPr="00183B5F">
        <w:rPr>
          <w:rFonts w:ascii="Times New Roman" w:hAnsi="Times New Roman"/>
          <w:sz w:val="22"/>
          <w:szCs w:val="22"/>
          <w:lang w:val="hu-HU"/>
        </w:rPr>
        <w:t xml:space="preserve">pontokban fejezték ki (lásd </w:t>
      </w:r>
      <w:r w:rsidR="00D45BDE" w:rsidRPr="00183B5F">
        <w:rPr>
          <w:rFonts w:ascii="Times New Roman" w:hAnsi="Times New Roman"/>
          <w:sz w:val="22"/>
          <w:szCs w:val="22"/>
          <w:lang w:val="hu-HU"/>
        </w:rPr>
        <w:t>10</w:t>
      </w:r>
      <w:r w:rsidRPr="00183B5F">
        <w:rPr>
          <w:rFonts w:ascii="Times New Roman" w:hAnsi="Times New Roman"/>
          <w:sz w:val="22"/>
          <w:szCs w:val="22"/>
          <w:lang w:val="hu-HU"/>
        </w:rPr>
        <w:t>. táblázat).</w:t>
      </w:r>
    </w:p>
    <w:p w14:paraId="1D46D0CA" w14:textId="77777777" w:rsidR="004C1747" w:rsidRPr="00183B5F" w:rsidRDefault="004C1747">
      <w:pPr>
        <w:pStyle w:val="In-textfootnote"/>
        <w:keepNext w:val="0"/>
        <w:spacing w:before="0" w:line="240" w:lineRule="auto"/>
        <w:rPr>
          <w:rFonts w:ascii="Times New Roman" w:hAnsi="Times New Roman"/>
          <w:sz w:val="22"/>
          <w:szCs w:val="22"/>
          <w:lang w:val="hu-HU"/>
        </w:rPr>
      </w:pPr>
    </w:p>
    <w:p w14:paraId="40C4A15C" w14:textId="77777777" w:rsidR="00366005" w:rsidRPr="00183B5F" w:rsidRDefault="00943743">
      <w:pPr>
        <w:pStyle w:val="In-textfootnote"/>
        <w:suppressAutoHyphens/>
        <w:overflowPunct/>
        <w:autoSpaceDE/>
        <w:adjustRightInd/>
        <w:spacing w:before="0" w:line="240" w:lineRule="auto"/>
        <w:ind w:left="0" w:firstLine="0"/>
        <w:jc w:val="center"/>
        <w:rPr>
          <w:rFonts w:ascii="Times New Roman" w:hAnsi="Times New Roman"/>
          <w:b/>
          <w:bCs/>
          <w:sz w:val="22"/>
          <w:szCs w:val="22"/>
          <w:lang w:val="hu-HU"/>
        </w:rPr>
      </w:pPr>
      <w:r w:rsidRPr="00183B5F">
        <w:rPr>
          <w:rFonts w:ascii="Times New Roman" w:hAnsi="Times New Roman"/>
          <w:b/>
          <w:bCs/>
          <w:sz w:val="22"/>
          <w:szCs w:val="22"/>
          <w:lang w:val="hu-HU"/>
        </w:rPr>
        <w:t xml:space="preserve">10. táblázat </w:t>
      </w:r>
    </w:p>
    <w:p w14:paraId="526F274E" w14:textId="77777777" w:rsidR="00366005" w:rsidRPr="00183B5F" w:rsidRDefault="00943743">
      <w:pPr>
        <w:pStyle w:val="In-textfootnote"/>
        <w:suppressAutoHyphens/>
        <w:overflowPunct/>
        <w:autoSpaceDE/>
        <w:adjustRightInd/>
        <w:spacing w:before="0" w:line="240" w:lineRule="auto"/>
        <w:ind w:left="0" w:firstLine="0"/>
        <w:jc w:val="center"/>
        <w:rPr>
          <w:rFonts w:ascii="Times New Roman" w:hAnsi="Times New Roman"/>
          <w:b/>
          <w:bCs/>
          <w:sz w:val="22"/>
          <w:szCs w:val="22"/>
          <w:lang w:val="hu-HU"/>
        </w:rPr>
      </w:pPr>
      <w:r w:rsidRPr="00183B5F">
        <w:rPr>
          <w:rFonts w:ascii="Times New Roman" w:hAnsi="Times New Roman"/>
          <w:b/>
          <w:bCs/>
          <w:sz w:val="22"/>
          <w:szCs w:val="22"/>
          <w:lang w:val="hu-HU"/>
        </w:rPr>
        <w:t>Átlagos radiológiai változások az 52. héten az RA V vizsgálatban</w:t>
      </w:r>
    </w:p>
    <w:p w14:paraId="0D43AFDC" w14:textId="77777777" w:rsidR="00366005" w:rsidRPr="00183B5F" w:rsidRDefault="00366005">
      <w:pPr>
        <w:keepNext/>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1319"/>
        <w:gridCol w:w="1319"/>
        <w:gridCol w:w="1439"/>
        <w:gridCol w:w="1242"/>
        <w:gridCol w:w="1232"/>
        <w:gridCol w:w="1242"/>
      </w:tblGrid>
      <w:tr w:rsidR="00011D2F" w14:paraId="252B77E5" w14:textId="77777777" w:rsidTr="00366005">
        <w:tc>
          <w:tcPr>
            <w:tcW w:w="1303" w:type="dxa"/>
            <w:tcBorders>
              <w:top w:val="single" w:sz="4" w:space="0" w:color="auto"/>
              <w:left w:val="single" w:sz="4" w:space="0" w:color="auto"/>
              <w:bottom w:val="single" w:sz="4" w:space="0" w:color="auto"/>
              <w:right w:val="single" w:sz="4" w:space="0" w:color="auto"/>
            </w:tcBorders>
          </w:tcPr>
          <w:p w14:paraId="78BE3A33" w14:textId="77777777" w:rsidR="00366005" w:rsidRPr="00183B5F" w:rsidRDefault="00366005">
            <w:pPr>
              <w:keepNext/>
              <w:spacing w:line="240" w:lineRule="auto"/>
              <w:rPr>
                <w:szCs w:val="22"/>
                <w:lang w:eastAsia="en-US"/>
              </w:rPr>
            </w:pPr>
          </w:p>
        </w:tc>
        <w:tc>
          <w:tcPr>
            <w:tcW w:w="1322" w:type="dxa"/>
            <w:tcBorders>
              <w:top w:val="single" w:sz="4" w:space="0" w:color="auto"/>
              <w:left w:val="single" w:sz="4" w:space="0" w:color="auto"/>
              <w:bottom w:val="single" w:sz="4" w:space="0" w:color="auto"/>
              <w:right w:val="single" w:sz="4" w:space="0" w:color="auto"/>
            </w:tcBorders>
            <w:hideMark/>
          </w:tcPr>
          <w:p w14:paraId="34CBA7F8" w14:textId="77777777" w:rsidR="00366005" w:rsidRPr="00183B5F" w:rsidRDefault="00943743">
            <w:pPr>
              <w:keepNext/>
              <w:spacing w:line="240" w:lineRule="auto"/>
              <w:rPr>
                <w:szCs w:val="22"/>
                <w:lang w:eastAsia="en-US"/>
              </w:rPr>
            </w:pPr>
            <w:r w:rsidRPr="00183B5F">
              <w:rPr>
                <w:szCs w:val="22"/>
                <w:lang w:eastAsia="en-US"/>
              </w:rPr>
              <w:t>MTX n = 257 (95%-os konfidencia intervallum)</w:t>
            </w:r>
          </w:p>
        </w:tc>
        <w:tc>
          <w:tcPr>
            <w:tcW w:w="1322" w:type="dxa"/>
            <w:tcBorders>
              <w:top w:val="single" w:sz="4" w:space="0" w:color="auto"/>
              <w:left w:val="single" w:sz="4" w:space="0" w:color="auto"/>
              <w:bottom w:val="single" w:sz="4" w:space="0" w:color="auto"/>
              <w:right w:val="single" w:sz="4" w:space="0" w:color="auto"/>
            </w:tcBorders>
            <w:hideMark/>
          </w:tcPr>
          <w:p w14:paraId="03F7AF3D" w14:textId="77777777" w:rsidR="00366005" w:rsidRPr="00183B5F" w:rsidRDefault="00943743">
            <w:pPr>
              <w:keepNext/>
              <w:spacing w:line="240" w:lineRule="auto"/>
              <w:rPr>
                <w:szCs w:val="22"/>
                <w:lang w:eastAsia="en-US"/>
              </w:rPr>
            </w:pPr>
            <w:r w:rsidRPr="00183B5F">
              <w:rPr>
                <w:szCs w:val="22"/>
                <w:lang w:eastAsia="en-US"/>
              </w:rPr>
              <w:t>Humira n = 274 (9</w:t>
            </w:r>
            <w:r w:rsidR="004C1747" w:rsidRPr="00183B5F">
              <w:rPr>
                <w:szCs w:val="22"/>
                <w:lang w:eastAsia="en-US"/>
              </w:rPr>
              <w:t>5</w:t>
            </w:r>
            <w:r w:rsidRPr="00183B5F">
              <w:rPr>
                <w:szCs w:val="22"/>
                <w:lang w:eastAsia="en-US"/>
              </w:rPr>
              <w:t>%-os konfidencia intervallum)</w:t>
            </w:r>
          </w:p>
        </w:tc>
        <w:tc>
          <w:tcPr>
            <w:tcW w:w="1439" w:type="dxa"/>
            <w:tcBorders>
              <w:top w:val="single" w:sz="4" w:space="0" w:color="auto"/>
              <w:left w:val="single" w:sz="4" w:space="0" w:color="auto"/>
              <w:bottom w:val="single" w:sz="4" w:space="0" w:color="auto"/>
              <w:right w:val="single" w:sz="4" w:space="0" w:color="auto"/>
            </w:tcBorders>
            <w:hideMark/>
          </w:tcPr>
          <w:p w14:paraId="500A57FA" w14:textId="77777777" w:rsidR="00366005" w:rsidRPr="00183B5F" w:rsidRDefault="00943743">
            <w:pPr>
              <w:keepNext/>
              <w:spacing w:line="240" w:lineRule="auto"/>
              <w:rPr>
                <w:szCs w:val="22"/>
                <w:lang w:eastAsia="en-US"/>
              </w:rPr>
            </w:pPr>
            <w:r w:rsidRPr="00183B5F">
              <w:rPr>
                <w:szCs w:val="22"/>
                <w:lang w:eastAsia="en-US"/>
              </w:rPr>
              <w:t>Humira/MTX n = 268 (95%-os konfidencia intervallum)</w:t>
            </w:r>
          </w:p>
        </w:tc>
        <w:tc>
          <w:tcPr>
            <w:tcW w:w="1300" w:type="dxa"/>
            <w:tcBorders>
              <w:top w:val="single" w:sz="4" w:space="0" w:color="auto"/>
              <w:left w:val="single" w:sz="4" w:space="0" w:color="auto"/>
              <w:bottom w:val="single" w:sz="4" w:space="0" w:color="auto"/>
              <w:right w:val="single" w:sz="4" w:space="0" w:color="auto"/>
            </w:tcBorders>
            <w:hideMark/>
          </w:tcPr>
          <w:p w14:paraId="37DE0117" w14:textId="77777777" w:rsidR="00366005" w:rsidRPr="00183B5F" w:rsidRDefault="00943743">
            <w:pPr>
              <w:keepNext/>
              <w:spacing w:line="240" w:lineRule="auto"/>
              <w:rPr>
                <w:szCs w:val="22"/>
                <w:lang w:eastAsia="en-US"/>
              </w:rPr>
            </w:pPr>
            <w:r w:rsidRPr="00183B5F">
              <w:rPr>
                <w:szCs w:val="22"/>
                <w:lang w:eastAsia="en-US"/>
              </w:rPr>
              <w:t xml:space="preserve">p-érték </w:t>
            </w:r>
            <w:r w:rsidRPr="00183B5F">
              <w:rPr>
                <w:szCs w:val="22"/>
                <w:vertAlign w:val="superscript"/>
                <w:lang w:eastAsia="en-US"/>
              </w:rPr>
              <w:t>a</w:t>
            </w:r>
          </w:p>
        </w:tc>
        <w:tc>
          <w:tcPr>
            <w:tcW w:w="1299" w:type="dxa"/>
            <w:tcBorders>
              <w:top w:val="single" w:sz="4" w:space="0" w:color="auto"/>
              <w:left w:val="single" w:sz="4" w:space="0" w:color="auto"/>
              <w:bottom w:val="single" w:sz="4" w:space="0" w:color="auto"/>
              <w:right w:val="single" w:sz="4" w:space="0" w:color="auto"/>
            </w:tcBorders>
            <w:hideMark/>
          </w:tcPr>
          <w:p w14:paraId="5ADC9F14" w14:textId="77777777" w:rsidR="00366005" w:rsidRPr="00183B5F" w:rsidRDefault="00943743">
            <w:pPr>
              <w:keepNext/>
              <w:spacing w:line="240" w:lineRule="auto"/>
              <w:rPr>
                <w:szCs w:val="22"/>
                <w:lang w:eastAsia="en-US"/>
              </w:rPr>
            </w:pPr>
            <w:r w:rsidRPr="00183B5F">
              <w:rPr>
                <w:szCs w:val="22"/>
                <w:lang w:eastAsia="en-US"/>
              </w:rPr>
              <w:t xml:space="preserve">p-érték </w:t>
            </w:r>
            <w:r w:rsidRPr="00183B5F">
              <w:rPr>
                <w:szCs w:val="22"/>
                <w:vertAlign w:val="superscript"/>
                <w:lang w:eastAsia="en-US"/>
              </w:rPr>
              <w:t>b</w:t>
            </w:r>
          </w:p>
        </w:tc>
        <w:tc>
          <w:tcPr>
            <w:tcW w:w="1300" w:type="dxa"/>
            <w:tcBorders>
              <w:top w:val="single" w:sz="4" w:space="0" w:color="auto"/>
              <w:left w:val="single" w:sz="4" w:space="0" w:color="auto"/>
              <w:bottom w:val="single" w:sz="4" w:space="0" w:color="auto"/>
              <w:right w:val="single" w:sz="4" w:space="0" w:color="auto"/>
            </w:tcBorders>
            <w:hideMark/>
          </w:tcPr>
          <w:p w14:paraId="5CCFA64B" w14:textId="77777777" w:rsidR="00366005" w:rsidRPr="00183B5F" w:rsidRDefault="00943743">
            <w:pPr>
              <w:keepNext/>
              <w:spacing w:line="240" w:lineRule="auto"/>
              <w:rPr>
                <w:szCs w:val="22"/>
                <w:lang w:eastAsia="en-US"/>
              </w:rPr>
            </w:pPr>
            <w:r w:rsidRPr="00183B5F">
              <w:rPr>
                <w:szCs w:val="22"/>
                <w:lang w:eastAsia="en-US"/>
              </w:rPr>
              <w:t xml:space="preserve">p-érték </w:t>
            </w:r>
            <w:r w:rsidRPr="00183B5F">
              <w:rPr>
                <w:szCs w:val="22"/>
                <w:vertAlign w:val="superscript"/>
                <w:lang w:eastAsia="en-US"/>
              </w:rPr>
              <w:t>c</w:t>
            </w:r>
          </w:p>
        </w:tc>
      </w:tr>
      <w:tr w:rsidR="00011D2F" w14:paraId="1D5B3685" w14:textId="77777777" w:rsidTr="00366005">
        <w:tc>
          <w:tcPr>
            <w:tcW w:w="1303" w:type="dxa"/>
            <w:tcBorders>
              <w:top w:val="single" w:sz="4" w:space="0" w:color="auto"/>
              <w:left w:val="single" w:sz="4" w:space="0" w:color="auto"/>
              <w:bottom w:val="single" w:sz="4" w:space="0" w:color="auto"/>
              <w:right w:val="single" w:sz="4" w:space="0" w:color="auto"/>
            </w:tcBorders>
            <w:hideMark/>
          </w:tcPr>
          <w:p w14:paraId="0FA34E35" w14:textId="77777777" w:rsidR="00366005" w:rsidRPr="00183B5F" w:rsidRDefault="00943743">
            <w:pPr>
              <w:keepNext/>
              <w:spacing w:line="240" w:lineRule="auto"/>
              <w:rPr>
                <w:szCs w:val="22"/>
                <w:lang w:eastAsia="en-US"/>
              </w:rPr>
            </w:pPr>
            <w:r w:rsidRPr="00183B5F">
              <w:rPr>
                <w:szCs w:val="22"/>
                <w:lang w:eastAsia="en-US"/>
              </w:rPr>
              <w:t>Teljes Sharp</w:t>
            </w:r>
            <w:r w:rsidR="00117647" w:rsidRPr="00183B5F">
              <w:rPr>
                <w:szCs w:val="22"/>
                <w:lang w:eastAsia="en-US"/>
              </w:rPr>
              <w:t>-</w:t>
            </w:r>
            <w:r w:rsidRPr="00183B5F">
              <w:rPr>
                <w:szCs w:val="22"/>
                <w:lang w:eastAsia="en-US"/>
              </w:rPr>
              <w:t>pont</w:t>
            </w:r>
            <w:r w:rsidR="004C1747" w:rsidRPr="00183B5F">
              <w:rPr>
                <w:szCs w:val="22"/>
                <w:lang w:eastAsia="en-US"/>
              </w:rPr>
              <w:t>érték</w:t>
            </w:r>
          </w:p>
        </w:tc>
        <w:tc>
          <w:tcPr>
            <w:tcW w:w="1322" w:type="dxa"/>
            <w:tcBorders>
              <w:top w:val="single" w:sz="4" w:space="0" w:color="auto"/>
              <w:left w:val="single" w:sz="4" w:space="0" w:color="auto"/>
              <w:bottom w:val="single" w:sz="4" w:space="0" w:color="auto"/>
              <w:right w:val="single" w:sz="4" w:space="0" w:color="auto"/>
            </w:tcBorders>
            <w:hideMark/>
          </w:tcPr>
          <w:p w14:paraId="06FBFBB5" w14:textId="77777777" w:rsidR="00366005" w:rsidRPr="00183B5F" w:rsidRDefault="00943743">
            <w:pPr>
              <w:keepNext/>
              <w:spacing w:line="240" w:lineRule="auto"/>
              <w:rPr>
                <w:szCs w:val="22"/>
                <w:lang w:eastAsia="en-US"/>
              </w:rPr>
            </w:pPr>
            <w:r w:rsidRPr="00183B5F">
              <w:rPr>
                <w:szCs w:val="22"/>
                <w:lang w:eastAsia="en-US"/>
              </w:rPr>
              <w:t>5,7 (4,2-7,3)</w:t>
            </w:r>
          </w:p>
        </w:tc>
        <w:tc>
          <w:tcPr>
            <w:tcW w:w="1322" w:type="dxa"/>
            <w:tcBorders>
              <w:top w:val="single" w:sz="4" w:space="0" w:color="auto"/>
              <w:left w:val="single" w:sz="4" w:space="0" w:color="auto"/>
              <w:bottom w:val="single" w:sz="4" w:space="0" w:color="auto"/>
              <w:right w:val="single" w:sz="4" w:space="0" w:color="auto"/>
            </w:tcBorders>
            <w:hideMark/>
          </w:tcPr>
          <w:p w14:paraId="0BF407ED" w14:textId="77777777" w:rsidR="00366005" w:rsidRPr="00183B5F" w:rsidRDefault="00943743">
            <w:pPr>
              <w:keepNext/>
              <w:spacing w:line="240" w:lineRule="auto"/>
              <w:rPr>
                <w:szCs w:val="22"/>
                <w:lang w:eastAsia="en-US"/>
              </w:rPr>
            </w:pPr>
            <w:r w:rsidRPr="00183B5F">
              <w:rPr>
                <w:szCs w:val="22"/>
                <w:lang w:eastAsia="en-US"/>
              </w:rPr>
              <w:t>3,0 (1,7-4,3)</w:t>
            </w:r>
          </w:p>
        </w:tc>
        <w:tc>
          <w:tcPr>
            <w:tcW w:w="1439" w:type="dxa"/>
            <w:tcBorders>
              <w:top w:val="single" w:sz="4" w:space="0" w:color="auto"/>
              <w:left w:val="single" w:sz="4" w:space="0" w:color="auto"/>
              <w:bottom w:val="single" w:sz="4" w:space="0" w:color="auto"/>
              <w:right w:val="single" w:sz="4" w:space="0" w:color="auto"/>
            </w:tcBorders>
            <w:hideMark/>
          </w:tcPr>
          <w:p w14:paraId="2BE0D947" w14:textId="77777777" w:rsidR="00366005" w:rsidRPr="00183B5F" w:rsidRDefault="00943743">
            <w:pPr>
              <w:keepNext/>
              <w:spacing w:line="240" w:lineRule="auto"/>
              <w:rPr>
                <w:szCs w:val="22"/>
                <w:lang w:eastAsia="en-US"/>
              </w:rPr>
            </w:pPr>
            <w:r w:rsidRPr="00183B5F">
              <w:rPr>
                <w:szCs w:val="22"/>
                <w:lang w:eastAsia="en-US"/>
              </w:rPr>
              <w:t>1,3 (0,5-2,1)</w:t>
            </w:r>
          </w:p>
        </w:tc>
        <w:tc>
          <w:tcPr>
            <w:tcW w:w="1300" w:type="dxa"/>
            <w:tcBorders>
              <w:top w:val="single" w:sz="4" w:space="0" w:color="auto"/>
              <w:left w:val="single" w:sz="4" w:space="0" w:color="auto"/>
              <w:bottom w:val="single" w:sz="4" w:space="0" w:color="auto"/>
              <w:right w:val="single" w:sz="4" w:space="0" w:color="auto"/>
            </w:tcBorders>
            <w:hideMark/>
          </w:tcPr>
          <w:p w14:paraId="6BFC4BE3" w14:textId="77777777" w:rsidR="00366005" w:rsidRPr="00183B5F" w:rsidRDefault="00943743">
            <w:pPr>
              <w:keepNext/>
              <w:spacing w:line="240" w:lineRule="auto"/>
              <w:rPr>
                <w:szCs w:val="22"/>
                <w:lang w:eastAsia="en-US"/>
              </w:rPr>
            </w:pPr>
            <w:r w:rsidRPr="00183B5F">
              <w:rPr>
                <w:szCs w:val="22"/>
                <w:lang w:eastAsia="en-US"/>
              </w:rPr>
              <w:t>&lt; 0,001</w:t>
            </w:r>
          </w:p>
        </w:tc>
        <w:tc>
          <w:tcPr>
            <w:tcW w:w="1299" w:type="dxa"/>
            <w:tcBorders>
              <w:top w:val="single" w:sz="4" w:space="0" w:color="auto"/>
              <w:left w:val="single" w:sz="4" w:space="0" w:color="auto"/>
              <w:bottom w:val="single" w:sz="4" w:space="0" w:color="auto"/>
              <w:right w:val="single" w:sz="4" w:space="0" w:color="auto"/>
            </w:tcBorders>
            <w:hideMark/>
          </w:tcPr>
          <w:p w14:paraId="48F82E2A" w14:textId="77777777" w:rsidR="00366005" w:rsidRPr="00183B5F" w:rsidRDefault="00943743">
            <w:pPr>
              <w:keepNext/>
              <w:spacing w:line="240" w:lineRule="auto"/>
              <w:rPr>
                <w:szCs w:val="22"/>
                <w:lang w:eastAsia="en-US"/>
              </w:rPr>
            </w:pPr>
            <w:r w:rsidRPr="00183B5F">
              <w:rPr>
                <w:szCs w:val="22"/>
                <w:lang w:eastAsia="en-US"/>
              </w:rPr>
              <w:t>0,0020</w:t>
            </w:r>
          </w:p>
        </w:tc>
        <w:tc>
          <w:tcPr>
            <w:tcW w:w="1300" w:type="dxa"/>
            <w:tcBorders>
              <w:top w:val="single" w:sz="4" w:space="0" w:color="auto"/>
              <w:left w:val="single" w:sz="4" w:space="0" w:color="auto"/>
              <w:bottom w:val="single" w:sz="4" w:space="0" w:color="auto"/>
              <w:right w:val="single" w:sz="4" w:space="0" w:color="auto"/>
            </w:tcBorders>
            <w:hideMark/>
          </w:tcPr>
          <w:p w14:paraId="740FCDE8" w14:textId="77777777" w:rsidR="00366005" w:rsidRPr="00183B5F" w:rsidRDefault="00943743">
            <w:pPr>
              <w:keepNext/>
              <w:spacing w:line="240" w:lineRule="auto"/>
              <w:rPr>
                <w:szCs w:val="22"/>
                <w:lang w:eastAsia="en-US"/>
              </w:rPr>
            </w:pPr>
            <w:r w:rsidRPr="00183B5F">
              <w:rPr>
                <w:szCs w:val="22"/>
                <w:lang w:eastAsia="en-US"/>
              </w:rPr>
              <w:t>&lt; 0,001</w:t>
            </w:r>
          </w:p>
        </w:tc>
      </w:tr>
      <w:tr w:rsidR="00011D2F" w14:paraId="0769C56E" w14:textId="77777777" w:rsidTr="00366005">
        <w:tc>
          <w:tcPr>
            <w:tcW w:w="1303" w:type="dxa"/>
            <w:tcBorders>
              <w:top w:val="single" w:sz="4" w:space="0" w:color="auto"/>
              <w:left w:val="single" w:sz="4" w:space="0" w:color="auto"/>
              <w:bottom w:val="single" w:sz="4" w:space="0" w:color="auto"/>
              <w:right w:val="single" w:sz="4" w:space="0" w:color="auto"/>
            </w:tcBorders>
            <w:hideMark/>
          </w:tcPr>
          <w:p w14:paraId="4F473BE5" w14:textId="77777777" w:rsidR="00366005" w:rsidRPr="00183B5F" w:rsidRDefault="00943743">
            <w:pPr>
              <w:keepNext/>
              <w:spacing w:line="240" w:lineRule="auto"/>
              <w:rPr>
                <w:szCs w:val="22"/>
                <w:lang w:eastAsia="en-US"/>
              </w:rPr>
            </w:pPr>
            <w:r w:rsidRPr="00183B5F">
              <w:rPr>
                <w:szCs w:val="22"/>
                <w:lang w:eastAsia="en-US"/>
              </w:rPr>
              <w:t>Eróziós pont</w:t>
            </w:r>
            <w:r w:rsidR="004C1747" w:rsidRPr="00183B5F">
              <w:rPr>
                <w:szCs w:val="22"/>
                <w:lang w:eastAsia="en-US"/>
              </w:rPr>
              <w:t>érték</w:t>
            </w:r>
          </w:p>
        </w:tc>
        <w:tc>
          <w:tcPr>
            <w:tcW w:w="1322" w:type="dxa"/>
            <w:tcBorders>
              <w:top w:val="single" w:sz="4" w:space="0" w:color="auto"/>
              <w:left w:val="single" w:sz="4" w:space="0" w:color="auto"/>
              <w:bottom w:val="single" w:sz="4" w:space="0" w:color="auto"/>
              <w:right w:val="single" w:sz="4" w:space="0" w:color="auto"/>
            </w:tcBorders>
            <w:hideMark/>
          </w:tcPr>
          <w:p w14:paraId="7AD1A724" w14:textId="77777777" w:rsidR="00366005" w:rsidRPr="00183B5F" w:rsidRDefault="00943743">
            <w:pPr>
              <w:keepNext/>
              <w:spacing w:line="240" w:lineRule="auto"/>
              <w:rPr>
                <w:szCs w:val="22"/>
                <w:lang w:eastAsia="en-US"/>
              </w:rPr>
            </w:pPr>
            <w:r w:rsidRPr="00183B5F">
              <w:rPr>
                <w:szCs w:val="22"/>
                <w:lang w:eastAsia="en-US"/>
              </w:rPr>
              <w:t>3,7 (2,7-4,7)</w:t>
            </w:r>
          </w:p>
        </w:tc>
        <w:tc>
          <w:tcPr>
            <w:tcW w:w="1322" w:type="dxa"/>
            <w:tcBorders>
              <w:top w:val="single" w:sz="4" w:space="0" w:color="auto"/>
              <w:left w:val="single" w:sz="4" w:space="0" w:color="auto"/>
              <w:bottom w:val="single" w:sz="4" w:space="0" w:color="auto"/>
              <w:right w:val="single" w:sz="4" w:space="0" w:color="auto"/>
            </w:tcBorders>
            <w:hideMark/>
          </w:tcPr>
          <w:p w14:paraId="5805FFF2" w14:textId="77777777" w:rsidR="00366005" w:rsidRPr="00183B5F" w:rsidRDefault="00943743">
            <w:pPr>
              <w:keepNext/>
              <w:spacing w:line="240" w:lineRule="auto"/>
              <w:rPr>
                <w:szCs w:val="22"/>
                <w:lang w:eastAsia="en-US"/>
              </w:rPr>
            </w:pPr>
            <w:r w:rsidRPr="00183B5F">
              <w:rPr>
                <w:szCs w:val="22"/>
                <w:lang w:eastAsia="en-US"/>
              </w:rPr>
              <w:t>1,7 (1,0-2,4)</w:t>
            </w:r>
          </w:p>
        </w:tc>
        <w:tc>
          <w:tcPr>
            <w:tcW w:w="1439" w:type="dxa"/>
            <w:tcBorders>
              <w:top w:val="single" w:sz="4" w:space="0" w:color="auto"/>
              <w:left w:val="single" w:sz="4" w:space="0" w:color="auto"/>
              <w:bottom w:val="single" w:sz="4" w:space="0" w:color="auto"/>
              <w:right w:val="single" w:sz="4" w:space="0" w:color="auto"/>
            </w:tcBorders>
            <w:hideMark/>
          </w:tcPr>
          <w:p w14:paraId="7938C818" w14:textId="77777777" w:rsidR="00366005" w:rsidRPr="00183B5F" w:rsidRDefault="00943743">
            <w:pPr>
              <w:keepNext/>
              <w:spacing w:line="240" w:lineRule="auto"/>
              <w:rPr>
                <w:szCs w:val="22"/>
                <w:lang w:eastAsia="en-US"/>
              </w:rPr>
            </w:pPr>
            <w:r w:rsidRPr="00183B5F">
              <w:rPr>
                <w:szCs w:val="22"/>
                <w:lang w:eastAsia="en-US"/>
              </w:rPr>
              <w:t>0,8 (0,4-1,2)</w:t>
            </w:r>
          </w:p>
        </w:tc>
        <w:tc>
          <w:tcPr>
            <w:tcW w:w="1300" w:type="dxa"/>
            <w:tcBorders>
              <w:top w:val="single" w:sz="4" w:space="0" w:color="auto"/>
              <w:left w:val="single" w:sz="4" w:space="0" w:color="auto"/>
              <w:bottom w:val="single" w:sz="4" w:space="0" w:color="auto"/>
              <w:right w:val="single" w:sz="4" w:space="0" w:color="auto"/>
            </w:tcBorders>
            <w:hideMark/>
          </w:tcPr>
          <w:p w14:paraId="1261311D" w14:textId="77777777" w:rsidR="00366005" w:rsidRPr="00183B5F" w:rsidRDefault="00943743">
            <w:pPr>
              <w:keepNext/>
              <w:spacing w:line="240" w:lineRule="auto"/>
              <w:rPr>
                <w:szCs w:val="22"/>
                <w:lang w:eastAsia="en-US"/>
              </w:rPr>
            </w:pPr>
            <w:r w:rsidRPr="00183B5F">
              <w:rPr>
                <w:szCs w:val="22"/>
                <w:lang w:eastAsia="en-US"/>
              </w:rPr>
              <w:t>&lt; 0,001</w:t>
            </w:r>
          </w:p>
        </w:tc>
        <w:tc>
          <w:tcPr>
            <w:tcW w:w="1299" w:type="dxa"/>
            <w:tcBorders>
              <w:top w:val="single" w:sz="4" w:space="0" w:color="auto"/>
              <w:left w:val="single" w:sz="4" w:space="0" w:color="auto"/>
              <w:bottom w:val="single" w:sz="4" w:space="0" w:color="auto"/>
              <w:right w:val="single" w:sz="4" w:space="0" w:color="auto"/>
            </w:tcBorders>
            <w:hideMark/>
          </w:tcPr>
          <w:p w14:paraId="35A5EAB2" w14:textId="77777777" w:rsidR="00366005" w:rsidRPr="00183B5F" w:rsidRDefault="00943743">
            <w:pPr>
              <w:keepNext/>
              <w:spacing w:line="240" w:lineRule="auto"/>
              <w:rPr>
                <w:szCs w:val="22"/>
                <w:lang w:eastAsia="en-US"/>
              </w:rPr>
            </w:pPr>
            <w:r w:rsidRPr="00183B5F">
              <w:rPr>
                <w:szCs w:val="22"/>
                <w:lang w:eastAsia="en-US"/>
              </w:rPr>
              <w:t>0,0082</w:t>
            </w:r>
          </w:p>
        </w:tc>
        <w:tc>
          <w:tcPr>
            <w:tcW w:w="1300" w:type="dxa"/>
            <w:tcBorders>
              <w:top w:val="single" w:sz="4" w:space="0" w:color="auto"/>
              <w:left w:val="single" w:sz="4" w:space="0" w:color="auto"/>
              <w:bottom w:val="single" w:sz="4" w:space="0" w:color="auto"/>
              <w:right w:val="single" w:sz="4" w:space="0" w:color="auto"/>
            </w:tcBorders>
            <w:hideMark/>
          </w:tcPr>
          <w:p w14:paraId="39297B3E" w14:textId="77777777" w:rsidR="00366005" w:rsidRPr="00183B5F" w:rsidRDefault="00943743">
            <w:pPr>
              <w:keepNext/>
              <w:spacing w:line="240" w:lineRule="auto"/>
              <w:rPr>
                <w:szCs w:val="22"/>
                <w:lang w:eastAsia="en-US"/>
              </w:rPr>
            </w:pPr>
            <w:r w:rsidRPr="00183B5F">
              <w:rPr>
                <w:szCs w:val="22"/>
                <w:lang w:eastAsia="en-US"/>
              </w:rPr>
              <w:t>&lt; 0,001</w:t>
            </w:r>
          </w:p>
        </w:tc>
      </w:tr>
      <w:tr w:rsidR="00011D2F" w14:paraId="352B766D" w14:textId="77777777" w:rsidTr="00366005">
        <w:tc>
          <w:tcPr>
            <w:tcW w:w="1303" w:type="dxa"/>
            <w:tcBorders>
              <w:top w:val="single" w:sz="4" w:space="0" w:color="auto"/>
              <w:left w:val="single" w:sz="4" w:space="0" w:color="auto"/>
              <w:bottom w:val="single" w:sz="4" w:space="0" w:color="auto"/>
              <w:right w:val="single" w:sz="4" w:space="0" w:color="auto"/>
            </w:tcBorders>
            <w:hideMark/>
          </w:tcPr>
          <w:p w14:paraId="7FC7C082" w14:textId="77777777" w:rsidR="00366005" w:rsidRPr="00183B5F" w:rsidRDefault="00943743">
            <w:pPr>
              <w:keepNext/>
              <w:spacing w:line="240" w:lineRule="auto"/>
              <w:rPr>
                <w:szCs w:val="22"/>
                <w:lang w:eastAsia="en-US"/>
              </w:rPr>
            </w:pPr>
            <w:r w:rsidRPr="00183B5F">
              <w:rPr>
                <w:szCs w:val="22"/>
                <w:lang w:eastAsia="en-US"/>
              </w:rPr>
              <w:t>JSN</w:t>
            </w:r>
            <w:r w:rsidR="00095F2C" w:rsidRPr="00183B5F">
              <w:rPr>
                <w:szCs w:val="22"/>
                <w:lang w:eastAsia="en-US"/>
              </w:rPr>
              <w:t>-</w:t>
            </w:r>
            <w:r w:rsidRPr="00183B5F">
              <w:rPr>
                <w:szCs w:val="22"/>
                <w:lang w:eastAsia="en-US"/>
              </w:rPr>
              <w:t>pont</w:t>
            </w:r>
            <w:r w:rsidR="004C1747" w:rsidRPr="00183B5F">
              <w:rPr>
                <w:szCs w:val="22"/>
                <w:lang w:eastAsia="en-US"/>
              </w:rPr>
              <w:t>érték</w:t>
            </w:r>
          </w:p>
        </w:tc>
        <w:tc>
          <w:tcPr>
            <w:tcW w:w="1322" w:type="dxa"/>
            <w:tcBorders>
              <w:top w:val="single" w:sz="4" w:space="0" w:color="auto"/>
              <w:left w:val="single" w:sz="4" w:space="0" w:color="auto"/>
              <w:bottom w:val="single" w:sz="4" w:space="0" w:color="auto"/>
              <w:right w:val="single" w:sz="4" w:space="0" w:color="auto"/>
            </w:tcBorders>
            <w:hideMark/>
          </w:tcPr>
          <w:p w14:paraId="2D313A3B" w14:textId="77777777" w:rsidR="00366005" w:rsidRPr="00183B5F" w:rsidRDefault="00943743">
            <w:pPr>
              <w:keepNext/>
              <w:spacing w:line="240" w:lineRule="auto"/>
              <w:rPr>
                <w:szCs w:val="22"/>
                <w:lang w:eastAsia="en-US"/>
              </w:rPr>
            </w:pPr>
            <w:r w:rsidRPr="00183B5F">
              <w:rPr>
                <w:szCs w:val="22"/>
                <w:lang w:eastAsia="en-US"/>
              </w:rPr>
              <w:t>2,0 (1,2-2,8)</w:t>
            </w:r>
          </w:p>
        </w:tc>
        <w:tc>
          <w:tcPr>
            <w:tcW w:w="1322" w:type="dxa"/>
            <w:tcBorders>
              <w:top w:val="single" w:sz="4" w:space="0" w:color="auto"/>
              <w:left w:val="single" w:sz="4" w:space="0" w:color="auto"/>
              <w:bottom w:val="single" w:sz="4" w:space="0" w:color="auto"/>
              <w:right w:val="single" w:sz="4" w:space="0" w:color="auto"/>
            </w:tcBorders>
            <w:hideMark/>
          </w:tcPr>
          <w:p w14:paraId="5493BEC7" w14:textId="77777777" w:rsidR="00366005" w:rsidRPr="00183B5F" w:rsidRDefault="00943743">
            <w:pPr>
              <w:keepNext/>
              <w:spacing w:line="240" w:lineRule="auto"/>
              <w:rPr>
                <w:szCs w:val="22"/>
                <w:lang w:eastAsia="en-US"/>
              </w:rPr>
            </w:pPr>
            <w:r w:rsidRPr="00183B5F">
              <w:rPr>
                <w:szCs w:val="22"/>
                <w:lang w:eastAsia="en-US"/>
              </w:rPr>
              <w:t>1,3 (0,5-2,1)</w:t>
            </w:r>
          </w:p>
        </w:tc>
        <w:tc>
          <w:tcPr>
            <w:tcW w:w="1439" w:type="dxa"/>
            <w:tcBorders>
              <w:top w:val="single" w:sz="4" w:space="0" w:color="auto"/>
              <w:left w:val="single" w:sz="4" w:space="0" w:color="auto"/>
              <w:bottom w:val="single" w:sz="4" w:space="0" w:color="auto"/>
              <w:right w:val="single" w:sz="4" w:space="0" w:color="auto"/>
            </w:tcBorders>
            <w:hideMark/>
          </w:tcPr>
          <w:p w14:paraId="430AADDC" w14:textId="77777777" w:rsidR="00366005" w:rsidRPr="00183B5F" w:rsidRDefault="00943743">
            <w:pPr>
              <w:keepNext/>
              <w:spacing w:line="240" w:lineRule="auto"/>
              <w:rPr>
                <w:szCs w:val="22"/>
                <w:lang w:eastAsia="en-US"/>
              </w:rPr>
            </w:pPr>
            <w:r w:rsidRPr="00183B5F">
              <w:rPr>
                <w:szCs w:val="22"/>
                <w:lang w:eastAsia="en-US"/>
              </w:rPr>
              <w:t>0,5 (0-1,0)</w:t>
            </w:r>
          </w:p>
        </w:tc>
        <w:tc>
          <w:tcPr>
            <w:tcW w:w="1300" w:type="dxa"/>
            <w:tcBorders>
              <w:top w:val="single" w:sz="4" w:space="0" w:color="auto"/>
              <w:left w:val="single" w:sz="4" w:space="0" w:color="auto"/>
              <w:bottom w:val="single" w:sz="4" w:space="0" w:color="auto"/>
              <w:right w:val="single" w:sz="4" w:space="0" w:color="auto"/>
            </w:tcBorders>
            <w:hideMark/>
          </w:tcPr>
          <w:p w14:paraId="0BBCBB66" w14:textId="77777777" w:rsidR="00366005" w:rsidRPr="00183B5F" w:rsidRDefault="00943743">
            <w:pPr>
              <w:keepNext/>
              <w:spacing w:line="240" w:lineRule="auto"/>
              <w:rPr>
                <w:szCs w:val="22"/>
                <w:lang w:eastAsia="en-US"/>
              </w:rPr>
            </w:pPr>
            <w:r w:rsidRPr="00183B5F">
              <w:rPr>
                <w:szCs w:val="22"/>
                <w:lang w:eastAsia="en-US"/>
              </w:rPr>
              <w:t>&lt; 0,001</w:t>
            </w:r>
          </w:p>
        </w:tc>
        <w:tc>
          <w:tcPr>
            <w:tcW w:w="1299" w:type="dxa"/>
            <w:tcBorders>
              <w:top w:val="single" w:sz="4" w:space="0" w:color="auto"/>
              <w:left w:val="single" w:sz="4" w:space="0" w:color="auto"/>
              <w:bottom w:val="single" w:sz="4" w:space="0" w:color="auto"/>
              <w:right w:val="single" w:sz="4" w:space="0" w:color="auto"/>
            </w:tcBorders>
            <w:hideMark/>
          </w:tcPr>
          <w:p w14:paraId="626DEFCD" w14:textId="77777777" w:rsidR="00366005" w:rsidRPr="00183B5F" w:rsidRDefault="00943743">
            <w:pPr>
              <w:keepNext/>
              <w:spacing w:line="240" w:lineRule="auto"/>
              <w:rPr>
                <w:szCs w:val="22"/>
                <w:lang w:eastAsia="en-US"/>
              </w:rPr>
            </w:pPr>
            <w:r w:rsidRPr="00183B5F">
              <w:rPr>
                <w:szCs w:val="22"/>
                <w:lang w:eastAsia="en-US"/>
              </w:rPr>
              <w:t>0,0037</w:t>
            </w:r>
          </w:p>
        </w:tc>
        <w:tc>
          <w:tcPr>
            <w:tcW w:w="1300" w:type="dxa"/>
            <w:tcBorders>
              <w:top w:val="single" w:sz="4" w:space="0" w:color="auto"/>
              <w:left w:val="single" w:sz="4" w:space="0" w:color="auto"/>
              <w:bottom w:val="single" w:sz="4" w:space="0" w:color="auto"/>
              <w:right w:val="single" w:sz="4" w:space="0" w:color="auto"/>
            </w:tcBorders>
            <w:hideMark/>
          </w:tcPr>
          <w:p w14:paraId="2E956AB5" w14:textId="77777777" w:rsidR="00366005" w:rsidRPr="00183B5F" w:rsidRDefault="00943743">
            <w:pPr>
              <w:keepNext/>
              <w:spacing w:line="240" w:lineRule="auto"/>
              <w:rPr>
                <w:szCs w:val="22"/>
                <w:lang w:eastAsia="en-US"/>
              </w:rPr>
            </w:pPr>
            <w:r w:rsidRPr="00183B5F">
              <w:rPr>
                <w:szCs w:val="22"/>
                <w:lang w:eastAsia="en-US"/>
              </w:rPr>
              <w:t>0,151</w:t>
            </w:r>
          </w:p>
        </w:tc>
      </w:tr>
    </w:tbl>
    <w:p w14:paraId="5F6AF0D0" w14:textId="77777777" w:rsidR="00366005" w:rsidRPr="00183B5F" w:rsidRDefault="00943743">
      <w:pPr>
        <w:spacing w:line="240" w:lineRule="auto"/>
        <w:rPr>
          <w:szCs w:val="22"/>
        </w:rPr>
      </w:pPr>
      <w:r w:rsidRPr="00183B5F">
        <w:rPr>
          <w:szCs w:val="22"/>
          <w:vertAlign w:val="superscript"/>
        </w:rPr>
        <w:t>a</w:t>
      </w:r>
      <w:r w:rsidRPr="00183B5F">
        <w:rPr>
          <w:szCs w:val="22"/>
        </w:rPr>
        <w:t> a p</w:t>
      </w:r>
      <w:r w:rsidRPr="00183B5F">
        <w:rPr>
          <w:szCs w:val="22"/>
        </w:rPr>
        <w:noBreakHyphen/>
        <w:t xml:space="preserve">érték a </w:t>
      </w:r>
      <w:r w:rsidR="001A6E66" w:rsidRPr="00183B5F">
        <w:rPr>
          <w:szCs w:val="22"/>
        </w:rPr>
        <w:t>metotrexát-mono</w:t>
      </w:r>
      <w:r w:rsidRPr="00183B5F">
        <w:rPr>
          <w:szCs w:val="22"/>
        </w:rPr>
        <w:t xml:space="preserve">terápia és a Humira/metotrexát kombinációs terápia páros összehasonlítása </w:t>
      </w:r>
      <w:r w:rsidR="001A6E66" w:rsidRPr="00183B5F">
        <w:rPr>
          <w:szCs w:val="22"/>
        </w:rPr>
        <w:t>alapján, Mann</w:t>
      </w:r>
      <w:r w:rsidRPr="00183B5F">
        <w:rPr>
          <w:szCs w:val="22"/>
        </w:rPr>
        <w:noBreakHyphen/>
        <w:t xml:space="preserve">Whitney </w:t>
      </w:r>
      <w:r w:rsidR="001A6E66" w:rsidRPr="00183B5F">
        <w:rPr>
          <w:szCs w:val="22"/>
        </w:rPr>
        <w:t>U-teszt</w:t>
      </w:r>
      <w:r w:rsidRPr="00183B5F">
        <w:rPr>
          <w:szCs w:val="22"/>
        </w:rPr>
        <w:t xml:space="preserve"> szerint</w:t>
      </w:r>
    </w:p>
    <w:p w14:paraId="24A544C4" w14:textId="77777777" w:rsidR="00366005" w:rsidRPr="00183B5F" w:rsidRDefault="00943743">
      <w:pPr>
        <w:spacing w:line="240" w:lineRule="auto"/>
        <w:rPr>
          <w:szCs w:val="22"/>
        </w:rPr>
      </w:pPr>
      <w:r w:rsidRPr="00183B5F">
        <w:rPr>
          <w:szCs w:val="22"/>
          <w:vertAlign w:val="superscript"/>
        </w:rPr>
        <w:t>b</w:t>
      </w:r>
      <w:r w:rsidRPr="00183B5F">
        <w:rPr>
          <w:szCs w:val="22"/>
        </w:rPr>
        <w:t> a p</w:t>
      </w:r>
      <w:r w:rsidRPr="00183B5F">
        <w:rPr>
          <w:szCs w:val="22"/>
        </w:rPr>
        <w:noBreakHyphen/>
        <w:t xml:space="preserve">érték a </w:t>
      </w:r>
      <w:r w:rsidR="005C406C" w:rsidRPr="00183B5F">
        <w:rPr>
          <w:szCs w:val="22"/>
        </w:rPr>
        <w:t>Humira-monoterá</w:t>
      </w:r>
      <w:r w:rsidRPr="00183B5F">
        <w:rPr>
          <w:szCs w:val="22"/>
        </w:rPr>
        <w:t xml:space="preserve">pia és a Humira/metotrexát kombinációs terápia páros összehasonlítása </w:t>
      </w:r>
      <w:r w:rsidR="001A6E66" w:rsidRPr="00183B5F">
        <w:rPr>
          <w:szCs w:val="22"/>
        </w:rPr>
        <w:t>alapján, Mann</w:t>
      </w:r>
      <w:r w:rsidRPr="00183B5F">
        <w:rPr>
          <w:szCs w:val="22"/>
        </w:rPr>
        <w:noBreakHyphen/>
        <w:t xml:space="preserve">Whitney </w:t>
      </w:r>
      <w:r w:rsidR="001A6E66" w:rsidRPr="00183B5F">
        <w:rPr>
          <w:szCs w:val="22"/>
        </w:rPr>
        <w:t>U-teszt</w:t>
      </w:r>
      <w:r w:rsidRPr="00183B5F">
        <w:rPr>
          <w:szCs w:val="22"/>
        </w:rPr>
        <w:t xml:space="preserve"> szerint</w:t>
      </w:r>
    </w:p>
    <w:p w14:paraId="734BC793" w14:textId="77777777" w:rsidR="00366005" w:rsidRPr="00183B5F" w:rsidRDefault="00943743">
      <w:pPr>
        <w:spacing w:line="240" w:lineRule="auto"/>
        <w:rPr>
          <w:szCs w:val="22"/>
        </w:rPr>
      </w:pPr>
      <w:r w:rsidRPr="00183B5F">
        <w:rPr>
          <w:szCs w:val="22"/>
          <w:vertAlign w:val="superscript"/>
        </w:rPr>
        <w:t>c</w:t>
      </w:r>
      <w:r w:rsidRPr="00183B5F">
        <w:rPr>
          <w:szCs w:val="22"/>
        </w:rPr>
        <w:t> a p</w:t>
      </w:r>
      <w:r w:rsidRPr="00183B5F">
        <w:rPr>
          <w:szCs w:val="22"/>
        </w:rPr>
        <w:noBreakHyphen/>
      </w:r>
      <w:r w:rsidRPr="00183B5F">
        <w:rPr>
          <w:szCs w:val="22"/>
        </w:rPr>
        <w:t xml:space="preserve">érték a </w:t>
      </w:r>
      <w:r w:rsidR="005C406C" w:rsidRPr="00183B5F">
        <w:rPr>
          <w:szCs w:val="22"/>
        </w:rPr>
        <w:t>Humira-monoterá</w:t>
      </w:r>
      <w:r w:rsidRPr="00183B5F">
        <w:rPr>
          <w:szCs w:val="22"/>
        </w:rPr>
        <w:t xml:space="preserve">pia és a </w:t>
      </w:r>
      <w:r w:rsidR="001A6E66" w:rsidRPr="00183B5F">
        <w:rPr>
          <w:szCs w:val="22"/>
        </w:rPr>
        <w:t>metotrexát-mono</w:t>
      </w:r>
      <w:r w:rsidRPr="00183B5F">
        <w:rPr>
          <w:szCs w:val="22"/>
        </w:rPr>
        <w:t xml:space="preserve">terápia páros összehasonlítása </w:t>
      </w:r>
      <w:r w:rsidR="001A6E66" w:rsidRPr="00183B5F">
        <w:rPr>
          <w:szCs w:val="22"/>
        </w:rPr>
        <w:t>alapján, Mann</w:t>
      </w:r>
      <w:r w:rsidRPr="00183B5F">
        <w:rPr>
          <w:szCs w:val="22"/>
        </w:rPr>
        <w:noBreakHyphen/>
        <w:t xml:space="preserve">Whitney </w:t>
      </w:r>
      <w:r w:rsidR="001A6E66" w:rsidRPr="00183B5F">
        <w:rPr>
          <w:szCs w:val="22"/>
        </w:rPr>
        <w:t>U-teszt</w:t>
      </w:r>
      <w:r w:rsidRPr="00183B5F">
        <w:rPr>
          <w:szCs w:val="22"/>
        </w:rPr>
        <w:t xml:space="preserve"> szerint</w:t>
      </w:r>
    </w:p>
    <w:p w14:paraId="3D345155" w14:textId="77777777" w:rsidR="00366005" w:rsidRPr="00183B5F" w:rsidRDefault="00366005">
      <w:pPr>
        <w:spacing w:line="240" w:lineRule="auto"/>
        <w:rPr>
          <w:szCs w:val="22"/>
          <w:u w:val="single"/>
        </w:rPr>
      </w:pPr>
    </w:p>
    <w:p w14:paraId="1B20F855" w14:textId="77777777" w:rsidR="00366005" w:rsidRPr="00183B5F" w:rsidRDefault="00943743">
      <w:pPr>
        <w:spacing w:line="240" w:lineRule="auto"/>
        <w:rPr>
          <w:szCs w:val="22"/>
        </w:rPr>
      </w:pPr>
      <w:r w:rsidRPr="00183B5F">
        <w:rPr>
          <w:szCs w:val="22"/>
        </w:rPr>
        <w:t xml:space="preserve">Ötvenkét, illetve 104 hétig tartó kezelés után a progresszió nélküli betegek százaléka (a módosított </w:t>
      </w:r>
      <w:r w:rsidR="005E4FD2" w:rsidRPr="00183B5F">
        <w:rPr>
          <w:szCs w:val="22"/>
        </w:rPr>
        <w:t xml:space="preserve">teljes </w:t>
      </w:r>
      <w:r w:rsidRPr="00183B5F">
        <w:rPr>
          <w:szCs w:val="22"/>
        </w:rPr>
        <w:t>Sharp</w:t>
      </w:r>
      <w:r w:rsidR="005E4FD2" w:rsidRPr="00183B5F">
        <w:rPr>
          <w:szCs w:val="22"/>
        </w:rPr>
        <w:t>-</w:t>
      </w:r>
      <w:r w:rsidRPr="00183B5F">
        <w:rPr>
          <w:szCs w:val="22"/>
        </w:rPr>
        <w:t>pont</w:t>
      </w:r>
      <w:r w:rsidR="004C1747" w:rsidRPr="00183B5F">
        <w:rPr>
          <w:szCs w:val="22"/>
        </w:rPr>
        <w:t>érték</w:t>
      </w:r>
      <w:r w:rsidRPr="00183B5F">
        <w:rPr>
          <w:szCs w:val="22"/>
        </w:rPr>
        <w:t xml:space="preserve"> változása a kiinduláshoz képest ≤ 0,5) </w:t>
      </w:r>
      <w:r w:rsidR="004C1747" w:rsidRPr="00183B5F">
        <w:rPr>
          <w:szCs w:val="22"/>
        </w:rPr>
        <w:t>szignifikánsan</w:t>
      </w:r>
      <w:r w:rsidRPr="00183B5F">
        <w:rPr>
          <w:szCs w:val="22"/>
        </w:rPr>
        <w:t xml:space="preserve"> magasabb volt a Humira/metotrexát kombinációs kezelésben részesült betegeknél (rendre 63,8%, illetve 61,2%) összehasonlítva a </w:t>
      </w:r>
      <w:r w:rsidR="001A6E66" w:rsidRPr="00183B5F">
        <w:rPr>
          <w:szCs w:val="22"/>
        </w:rPr>
        <w:t>metotrexát-mono</w:t>
      </w:r>
      <w:r w:rsidRPr="00183B5F">
        <w:rPr>
          <w:szCs w:val="22"/>
        </w:rPr>
        <w:t xml:space="preserve">terápia eredményével (rendre 37,4% és 33,5%, p &lt; 0,001) és </w:t>
      </w:r>
      <w:r w:rsidR="005C406C" w:rsidRPr="00183B5F">
        <w:rPr>
          <w:szCs w:val="22"/>
        </w:rPr>
        <w:t>Humira-monoterá</w:t>
      </w:r>
      <w:r w:rsidRPr="00183B5F">
        <w:rPr>
          <w:szCs w:val="22"/>
        </w:rPr>
        <w:t>piával (rendre 50,7%, p &lt; 0,002 és 44,5%, p &lt; 0,001).</w:t>
      </w:r>
    </w:p>
    <w:p w14:paraId="5AE38F2C" w14:textId="77777777" w:rsidR="00366005" w:rsidRPr="00183B5F" w:rsidRDefault="00366005">
      <w:pPr>
        <w:spacing w:line="240" w:lineRule="auto"/>
        <w:rPr>
          <w:szCs w:val="22"/>
          <w:u w:val="single"/>
        </w:rPr>
      </w:pPr>
    </w:p>
    <w:p w14:paraId="66F870F6" w14:textId="77777777" w:rsidR="00366005" w:rsidRPr="00183B5F" w:rsidRDefault="00943743">
      <w:pPr>
        <w:spacing w:line="240" w:lineRule="auto"/>
        <w:rPr>
          <w:szCs w:val="22"/>
        </w:rPr>
      </w:pPr>
      <w:r w:rsidRPr="00183B5F">
        <w:rPr>
          <w:szCs w:val="22"/>
        </w:rPr>
        <w:t>Az RA V vizsgálat nyílt elrendezésű kiterjesztésének 10. évében a módosított teljes Sharp</w:t>
      </w:r>
      <w:r w:rsidR="005E4FD2" w:rsidRPr="00183B5F">
        <w:rPr>
          <w:szCs w:val="22"/>
        </w:rPr>
        <w:t>-</w:t>
      </w:r>
      <w:r w:rsidRPr="00183B5F">
        <w:rPr>
          <w:szCs w:val="22"/>
        </w:rPr>
        <w:t>pont</w:t>
      </w:r>
      <w:r w:rsidR="004C1747" w:rsidRPr="00183B5F">
        <w:rPr>
          <w:szCs w:val="22"/>
        </w:rPr>
        <w:t>érték</w:t>
      </w:r>
      <w:r w:rsidRPr="00183B5F">
        <w:rPr>
          <w:szCs w:val="22"/>
        </w:rPr>
        <w:t xml:space="preserve"> átlagos változása a kiinduláshoz képest az eredetileg </w:t>
      </w:r>
      <w:r w:rsidR="001A6E66" w:rsidRPr="00183B5F">
        <w:rPr>
          <w:szCs w:val="22"/>
        </w:rPr>
        <w:t>metotrexát-mono</w:t>
      </w:r>
      <w:r w:rsidRPr="00183B5F">
        <w:rPr>
          <w:szCs w:val="22"/>
        </w:rPr>
        <w:t xml:space="preserve">terápiára, </w:t>
      </w:r>
      <w:r w:rsidR="005C406C" w:rsidRPr="00183B5F">
        <w:rPr>
          <w:szCs w:val="22"/>
        </w:rPr>
        <w:t>Humira-monoterá</w:t>
      </w:r>
      <w:r w:rsidRPr="00183B5F">
        <w:rPr>
          <w:szCs w:val="22"/>
        </w:rPr>
        <w:t>piára és Humira/metotrexát kombinációs terápiára randomizált betegeknél sorrendben 10,8; 9,2 és 3,9 volt. A radiológiai progressziót nem mutató betegeknél az arány sorrendben 31,3%, 23,7% és 36,7% volt.</w:t>
      </w:r>
    </w:p>
    <w:p w14:paraId="64126F5F" w14:textId="77777777" w:rsidR="00366005" w:rsidRPr="00183B5F" w:rsidRDefault="00366005">
      <w:pPr>
        <w:spacing w:line="240" w:lineRule="auto"/>
        <w:rPr>
          <w:szCs w:val="22"/>
          <w:u w:val="single"/>
        </w:rPr>
      </w:pPr>
    </w:p>
    <w:p w14:paraId="32477FD5" w14:textId="77777777" w:rsidR="00366005" w:rsidRPr="00183B5F" w:rsidRDefault="00943743">
      <w:pPr>
        <w:keepNext/>
        <w:spacing w:line="240" w:lineRule="auto"/>
        <w:rPr>
          <w:i/>
          <w:szCs w:val="22"/>
          <w:u w:val="single"/>
        </w:rPr>
      </w:pPr>
      <w:r w:rsidRPr="00183B5F">
        <w:rPr>
          <w:i/>
          <w:szCs w:val="22"/>
          <w:u w:val="single"/>
        </w:rPr>
        <w:t>Életminőség és fizikai aktivitás</w:t>
      </w:r>
    </w:p>
    <w:p w14:paraId="7BFFCC91" w14:textId="77777777" w:rsidR="00366005" w:rsidRPr="00183B5F" w:rsidRDefault="00366005">
      <w:pPr>
        <w:keepNext/>
        <w:spacing w:line="240" w:lineRule="auto"/>
        <w:rPr>
          <w:szCs w:val="22"/>
        </w:rPr>
      </w:pPr>
    </w:p>
    <w:p w14:paraId="1F57CDBD" w14:textId="77777777" w:rsidR="00366005" w:rsidRPr="00183B5F" w:rsidRDefault="00943743">
      <w:pPr>
        <w:keepNext/>
        <w:spacing w:line="240" w:lineRule="auto"/>
        <w:rPr>
          <w:szCs w:val="22"/>
        </w:rPr>
      </w:pPr>
      <w:r w:rsidRPr="00183B5F">
        <w:rPr>
          <w:szCs w:val="22"/>
        </w:rPr>
        <w:t xml:space="preserve">Az Egészségfelmérő kérdőív (Health Assessment Questionnaire-HAQ) rokkantsági indexének segítségével a négy eredeti és </w:t>
      </w:r>
      <w:r w:rsidR="008511AE" w:rsidRPr="00183B5F">
        <w:rPr>
          <w:szCs w:val="22"/>
        </w:rPr>
        <w:t>megfelelő kontrollt alk</w:t>
      </w:r>
      <w:r w:rsidR="00713A57" w:rsidRPr="00183B5F">
        <w:rPr>
          <w:szCs w:val="22"/>
        </w:rPr>
        <w:t>a</w:t>
      </w:r>
      <w:r w:rsidR="008511AE" w:rsidRPr="00183B5F">
        <w:rPr>
          <w:szCs w:val="22"/>
        </w:rPr>
        <w:t>lmazó</w:t>
      </w:r>
      <w:r w:rsidRPr="00183B5F">
        <w:rPr>
          <w:szCs w:val="22"/>
        </w:rPr>
        <w:t xml:space="preserve"> vizsgálatban megvizsgálták az egészségfüggő életminőséget és fizikális működést, illetve az RA III vizsgálatban ez egy előre megállapított elsődleges végpontja volt a vizsgálatnak az 52. héten. A Humira, adagolási módtól és dózistól függetlenül, mind a négy vizsgálatban a kiinduláshoz viszonyítva a vizsgált hat hónap alatt statisztikailag szignifikáns javulást eredményezett a HAQ rokkantsági indexében a placebóval összehasonlítva, és az RA III. vizsgálatban ugyanezt észlelték a</w:t>
      </w:r>
      <w:r w:rsidRPr="00183B5F">
        <w:rPr>
          <w:szCs w:val="22"/>
        </w:rPr>
        <w:t>z 52. héten. A Rövid Egészségfelmérés (Short Form Health Survey (SF 36)) eredményei is alátámasztják a fentieket, a kéthetente alkalmazott 40 mg</w:t>
      </w:r>
      <w:r w:rsidRPr="00183B5F">
        <w:rPr>
          <w:szCs w:val="22"/>
        </w:rPr>
        <w:noBreakHyphen/>
        <w:t>os dózis esetében a fizikális komponensre (PCS) adott értékek, illetve a fájdalmat valamint a vitalitást mérő értékek is statisztikailag szignifikáns javulást mutattak. A krónikus betegségek terápiájának funkcionális felmérését szolgáló kérdőívben (FACIT) a fáradtságra adott értékek alapján statisztikailag jelentős javulás állapítható meg mindhárom vizsgálatban, am</w:t>
      </w:r>
      <w:r w:rsidRPr="00183B5F">
        <w:rPr>
          <w:szCs w:val="22"/>
        </w:rPr>
        <w:t>elyben ezt kiértékelték (RA I, III, IV vizsgálatok).</w:t>
      </w:r>
    </w:p>
    <w:p w14:paraId="067C9744" w14:textId="77777777" w:rsidR="00366005" w:rsidRPr="00183B5F" w:rsidRDefault="00366005">
      <w:pPr>
        <w:spacing w:line="240" w:lineRule="auto"/>
        <w:rPr>
          <w:szCs w:val="22"/>
        </w:rPr>
      </w:pPr>
    </w:p>
    <w:p w14:paraId="74C3C9BE" w14:textId="77777777" w:rsidR="00366005" w:rsidRPr="00183B5F" w:rsidRDefault="00943743">
      <w:pPr>
        <w:spacing w:line="240" w:lineRule="auto"/>
        <w:rPr>
          <w:szCs w:val="22"/>
        </w:rPr>
      </w:pPr>
      <w:r w:rsidRPr="00183B5F">
        <w:rPr>
          <w:szCs w:val="22"/>
        </w:rPr>
        <w:t>Az RA III vizsgálatban a nyílt kezelés során a betegek többsége, akiknél a fizikai funkció javulása volt megfigyelhető és folytatták a kezelést, a javulás 520 héten (120 hónap) keresztül fenn</w:t>
      </w:r>
      <w:r w:rsidR="004C1747" w:rsidRPr="00183B5F">
        <w:rPr>
          <w:szCs w:val="22"/>
        </w:rPr>
        <w:t>maradt</w:t>
      </w:r>
      <w:r w:rsidRPr="00183B5F">
        <w:rPr>
          <w:szCs w:val="22"/>
        </w:rPr>
        <w:t>. Az életminőség javulását legfeljebb 156 hétig (36 hónap) mérték, és a javulás ezalatt az idő alatt fennmaradt.</w:t>
      </w:r>
    </w:p>
    <w:p w14:paraId="161F6727" w14:textId="77777777" w:rsidR="00366005" w:rsidRPr="00183B5F" w:rsidRDefault="00366005">
      <w:pPr>
        <w:spacing w:line="240" w:lineRule="auto"/>
        <w:rPr>
          <w:szCs w:val="22"/>
        </w:rPr>
      </w:pPr>
    </w:p>
    <w:p w14:paraId="4DC4F0A6" w14:textId="77777777" w:rsidR="00366005" w:rsidRPr="00183B5F" w:rsidRDefault="00943743" w:rsidP="004062FE">
      <w:pPr>
        <w:pStyle w:val="EMEAHeadingUnderline"/>
        <w:tabs>
          <w:tab w:val="clear" w:pos="562"/>
          <w:tab w:val="left" w:pos="708"/>
        </w:tabs>
        <w:spacing w:beforeLines="0" w:afterLines="0"/>
        <w:rPr>
          <w:szCs w:val="22"/>
          <w:u w:val="none"/>
          <w:lang w:val="hu-HU"/>
        </w:rPr>
      </w:pPr>
      <w:r w:rsidRPr="00183B5F">
        <w:rPr>
          <w:szCs w:val="22"/>
          <w:u w:val="none"/>
          <w:lang w:val="hu-HU"/>
        </w:rPr>
        <w:t>Az RA V vizsgálatban az 52. héten a HAQ rokkantsági indexben és az SF 36 fizikai összetevőiben mutatkozó javulás nagyobb volt (p &lt; 0,001) a Humira/metotrexát kombinációs kezelést kapott csoportban, mint a metotrexát</w:t>
      </w:r>
      <w:r w:rsidR="00287AD5" w:rsidRPr="00183B5F">
        <w:rPr>
          <w:szCs w:val="22"/>
          <w:u w:val="none"/>
          <w:lang w:val="hu-HU"/>
        </w:rPr>
        <w:t>-</w:t>
      </w:r>
      <w:r w:rsidRPr="00183B5F">
        <w:rPr>
          <w:szCs w:val="22"/>
          <w:u w:val="none"/>
          <w:lang w:val="hu-HU"/>
        </w:rPr>
        <w:t xml:space="preserve"> és </w:t>
      </w:r>
      <w:r w:rsidR="005C406C" w:rsidRPr="00183B5F">
        <w:rPr>
          <w:szCs w:val="22"/>
          <w:u w:val="none"/>
          <w:lang w:val="hu-HU"/>
        </w:rPr>
        <w:t>Humira-monoterá</w:t>
      </w:r>
      <w:r w:rsidRPr="00183B5F">
        <w:rPr>
          <w:szCs w:val="22"/>
          <w:u w:val="none"/>
          <w:lang w:val="hu-HU"/>
        </w:rPr>
        <w:t>piákban. Ezek a változások a 104. hétig fennálltak. A 250 betegnél, akik befejezték a nyílt elrendezésű kiterjesztéses vizsgálatot, a fizikai funkció javulása a kezelés 10 éve alatt fennmaradt.</w:t>
      </w:r>
    </w:p>
    <w:p w14:paraId="1750F3F6" w14:textId="77777777" w:rsidR="00366005" w:rsidRPr="00183B5F" w:rsidRDefault="00366005">
      <w:pPr>
        <w:pStyle w:val="EMEANormal"/>
        <w:rPr>
          <w:lang w:val="hu-HU"/>
        </w:rPr>
      </w:pPr>
    </w:p>
    <w:p w14:paraId="17ABEE2D" w14:textId="77777777" w:rsidR="00366005" w:rsidRPr="00183B5F" w:rsidRDefault="00943743" w:rsidP="004062FE">
      <w:pPr>
        <w:pStyle w:val="EMEAHeadingUnderline"/>
        <w:keepNext/>
        <w:tabs>
          <w:tab w:val="clear" w:pos="562"/>
          <w:tab w:val="left" w:pos="708"/>
        </w:tabs>
        <w:spacing w:beforeLines="0" w:afterLines="0"/>
        <w:rPr>
          <w:i/>
          <w:szCs w:val="22"/>
          <w:u w:val="none"/>
          <w:lang w:val="hu-HU" w:eastAsia="hu-HU"/>
        </w:rPr>
      </w:pPr>
      <w:r w:rsidRPr="00183B5F">
        <w:rPr>
          <w:i/>
          <w:szCs w:val="22"/>
          <w:u w:val="none"/>
          <w:lang w:val="hu-HU" w:eastAsia="hu-HU"/>
        </w:rPr>
        <w:t>Felnőttkori plakkosos psoriasis</w:t>
      </w:r>
    </w:p>
    <w:p w14:paraId="39DCE49A" w14:textId="77777777" w:rsidR="00366005" w:rsidRPr="00183B5F" w:rsidRDefault="00366005">
      <w:pPr>
        <w:keepNext/>
        <w:spacing w:line="240" w:lineRule="auto"/>
        <w:rPr>
          <w:szCs w:val="22"/>
        </w:rPr>
      </w:pPr>
    </w:p>
    <w:p w14:paraId="6A3AC0E2" w14:textId="77777777" w:rsidR="00366005" w:rsidRPr="00183B5F" w:rsidRDefault="00943743">
      <w:pPr>
        <w:keepNext/>
        <w:spacing w:line="240" w:lineRule="auto"/>
        <w:rPr>
          <w:szCs w:val="22"/>
        </w:rPr>
      </w:pPr>
      <w:r w:rsidRPr="00183B5F">
        <w:rPr>
          <w:szCs w:val="22"/>
        </w:rPr>
        <w:t>A Humira biztonságosságát és hatásosságát randomizált, kettős</w:t>
      </w:r>
      <w:r w:rsidR="00E5381A" w:rsidRPr="00183B5F">
        <w:rPr>
          <w:szCs w:val="22"/>
        </w:rPr>
        <w:t xml:space="preserve"> </w:t>
      </w:r>
      <w:r w:rsidRPr="00183B5F">
        <w:rPr>
          <w:szCs w:val="22"/>
        </w:rPr>
        <w:t>vak vizsgálatokban értékelték olyan krónikus, plakkos psoriasisban szenvedő felnőtt betegek körében (</w:t>
      </w:r>
      <w:r w:rsidRPr="00183B5F">
        <w:rPr>
          <w:rFonts w:ascii="Symbol" w:hAnsi="Symbol"/>
          <w:szCs w:val="22"/>
        </w:rPr>
        <w:sym w:font="Symbol" w:char="F0B3"/>
      </w:r>
      <w:r w:rsidRPr="00183B5F">
        <w:rPr>
          <w:szCs w:val="22"/>
        </w:rPr>
        <w:t xml:space="preserve"> 10% testfelület-érintettség és </w:t>
      </w:r>
      <w:r w:rsidRPr="00183B5F">
        <w:rPr>
          <w:rFonts w:ascii="Symbol" w:hAnsi="Symbol"/>
          <w:szCs w:val="22"/>
        </w:rPr>
        <w:sym w:font="Symbol" w:char="F0B3"/>
      </w:r>
      <w:r w:rsidRPr="00183B5F">
        <w:rPr>
          <w:szCs w:val="22"/>
        </w:rPr>
        <w:t xml:space="preserve"> 12, ill. </w:t>
      </w:r>
      <w:r w:rsidRPr="00183B5F">
        <w:rPr>
          <w:rFonts w:ascii="Symbol" w:hAnsi="Symbol"/>
          <w:szCs w:val="22"/>
        </w:rPr>
        <w:sym w:font="Symbol" w:char="F0B3"/>
      </w:r>
      <w:r w:rsidRPr="00183B5F">
        <w:rPr>
          <w:szCs w:val="22"/>
        </w:rPr>
        <w:t> 10 Psoriasis Area and Severity Index [PASI]), akik szisztémás vagy fototerápiás kezelésre vártak. A Psoriasis I és II vizsgálatokba beválogatott betegek 73%</w:t>
      </w:r>
      <w:r w:rsidRPr="00183B5F">
        <w:rPr>
          <w:szCs w:val="22"/>
        </w:rPr>
        <w:noBreakHyphen/>
        <w:t>a kapott már korábban szisztémás kezelést vagy fototerápiát. A Humira biztonságosságát és hatásosságát olyan köz</w:t>
      </w:r>
      <w:r w:rsidR="00C30980" w:rsidRPr="00183B5F">
        <w:rPr>
          <w:szCs w:val="22"/>
        </w:rPr>
        <w:t xml:space="preserve">epesen </w:t>
      </w:r>
      <w:r w:rsidRPr="00183B5F">
        <w:rPr>
          <w:szCs w:val="22"/>
        </w:rPr>
        <w:t>súlyos</w:t>
      </w:r>
      <w:r w:rsidRPr="00183B5F">
        <w:rPr>
          <w:szCs w:val="22"/>
        </w:rPr>
        <w:noBreakHyphen/>
        <w:t>súlyos krónikus plakkos psoriasisban szenvedő felnőtt betegek körében is értékelt</w:t>
      </w:r>
      <w:r w:rsidRPr="00183B5F">
        <w:rPr>
          <w:szCs w:val="22"/>
        </w:rPr>
        <w:t>ék egy randomizált kettős</w:t>
      </w:r>
      <w:r w:rsidR="007C6745" w:rsidRPr="00183B5F">
        <w:rPr>
          <w:szCs w:val="22"/>
        </w:rPr>
        <w:t xml:space="preserve"> </w:t>
      </w:r>
      <w:r w:rsidRPr="00183B5F">
        <w:rPr>
          <w:szCs w:val="22"/>
        </w:rPr>
        <w:t>vak vizsgálat során (Psoriasis III vizsgálat), akik egyidejűleg a kézfejet és/vagy a lábfejet érintő psoriasisban is szenvedtek és szisztémás kezelésre vártak.</w:t>
      </w:r>
    </w:p>
    <w:p w14:paraId="6B068F3E" w14:textId="77777777" w:rsidR="00366005" w:rsidRPr="00183B5F" w:rsidRDefault="00366005">
      <w:pPr>
        <w:pStyle w:val="EndnoteText"/>
        <w:rPr>
          <w:sz w:val="22"/>
          <w:lang w:val="hu-HU"/>
        </w:rPr>
      </w:pPr>
    </w:p>
    <w:p w14:paraId="75B22200" w14:textId="77777777" w:rsidR="00366005" w:rsidRPr="00183B5F" w:rsidRDefault="00943743">
      <w:pPr>
        <w:spacing w:line="240" w:lineRule="auto"/>
        <w:rPr>
          <w:szCs w:val="22"/>
        </w:rPr>
      </w:pPr>
      <w:r w:rsidRPr="00183B5F">
        <w:rPr>
          <w:szCs w:val="22"/>
        </w:rPr>
        <w:t>A Psoriasis I (REVEAL) vizsgálatban 1212 beteg állapotát értékelték három kezelési időszakban. Az „A” időszakban a betegek placebót vagy 80 mg kezdő dózisú Humira</w:t>
      </w:r>
      <w:r w:rsidRPr="00183B5F">
        <w:rPr>
          <w:szCs w:val="22"/>
        </w:rPr>
        <w:noBreakHyphen/>
        <w:t>t kaptak, amelyet egy héttel a kezdő dózist követően minden második héten 40 mg adaggal folytattak. Tizenhat</w:t>
      </w:r>
      <w:r w:rsidR="00903BD3" w:rsidRPr="00183B5F">
        <w:rPr>
          <w:szCs w:val="22"/>
        </w:rPr>
        <w:t xml:space="preserve"> </w:t>
      </w:r>
      <w:r w:rsidRPr="00183B5F">
        <w:rPr>
          <w:szCs w:val="22"/>
        </w:rPr>
        <w:t>hetes kezelés után a legalább PASI 75 választ (a kiindulási értékhez képest legalább 75%</w:t>
      </w:r>
      <w:r w:rsidRPr="00183B5F">
        <w:rPr>
          <w:szCs w:val="22"/>
        </w:rPr>
        <w:noBreakHyphen/>
        <w:t>os PASI</w:t>
      </w:r>
      <w:r w:rsidR="00110863" w:rsidRPr="00183B5F">
        <w:rPr>
          <w:szCs w:val="22"/>
        </w:rPr>
        <w:t>-</w:t>
      </w:r>
      <w:r w:rsidRPr="00183B5F">
        <w:rPr>
          <w:szCs w:val="22"/>
        </w:rPr>
        <w:t>pontszám-javulást) mutató betegek egy „B” időszakba léptek, amelyben nyílt elrendezésben, minden második héten 40 mg Humira</w:t>
      </w:r>
      <w:r w:rsidRPr="00183B5F">
        <w:rPr>
          <w:szCs w:val="22"/>
        </w:rPr>
        <w:noBreakHyphen/>
        <w:t>t kaptak. A 33</w:t>
      </w:r>
      <w:r w:rsidR="004C1747" w:rsidRPr="00183B5F">
        <w:rPr>
          <w:szCs w:val="22"/>
        </w:rPr>
        <w:t>.</w:t>
      </w:r>
      <w:r w:rsidRPr="00183B5F">
        <w:rPr>
          <w:szCs w:val="22"/>
        </w:rPr>
        <w:t xml:space="preserve"> héten </w:t>
      </w:r>
      <w:r w:rsidRPr="00183B5F">
        <w:rPr>
          <w:rFonts w:ascii="Symbol" w:hAnsi="Symbol"/>
          <w:szCs w:val="22"/>
        </w:rPr>
        <w:sym w:font="Symbol" w:char="F0B3"/>
      </w:r>
      <w:r w:rsidRPr="00183B5F">
        <w:rPr>
          <w:szCs w:val="22"/>
        </w:rPr>
        <w:t> PASI 75 választ mutató és eredetileg az „A” időszakban aktív kezelést kapók közé randomizált betegeket a „C” időszakban újrarandomizálták, hogy további 19 hé</w:t>
      </w:r>
      <w:r w:rsidRPr="00183B5F">
        <w:rPr>
          <w:szCs w:val="22"/>
        </w:rPr>
        <w:t>ten át minden második héten 40 mg Humira</w:t>
      </w:r>
      <w:r w:rsidRPr="00183B5F">
        <w:rPr>
          <w:szCs w:val="22"/>
        </w:rPr>
        <w:noBreakHyphen/>
        <w:t xml:space="preserve">t </w:t>
      </w:r>
      <w:r w:rsidR="004C1747" w:rsidRPr="00183B5F">
        <w:rPr>
          <w:szCs w:val="22"/>
        </w:rPr>
        <w:t xml:space="preserve">vagy placebót </w:t>
      </w:r>
      <w:r w:rsidRPr="00183B5F">
        <w:rPr>
          <w:szCs w:val="22"/>
        </w:rPr>
        <w:t>kapjanak. Minden kezelési csoportot figyelembe véve a kiindulási PASI</w:t>
      </w:r>
      <w:r w:rsidRPr="00183B5F">
        <w:rPr>
          <w:szCs w:val="22"/>
        </w:rPr>
        <w:noBreakHyphen/>
        <w:t>pontérték 18,9 volt, míg a kiindulási PGA</w:t>
      </w:r>
      <w:r w:rsidR="00110863" w:rsidRPr="00183B5F">
        <w:rPr>
          <w:szCs w:val="22"/>
        </w:rPr>
        <w:noBreakHyphen/>
      </w:r>
      <w:r w:rsidRPr="00183B5F">
        <w:rPr>
          <w:szCs w:val="22"/>
        </w:rPr>
        <w:t>pontszám a „közepestől” (a vizsgálatban résztvevők 53%-a) a „súlyosig” (41%) és a „nagyon súlyosig” (6%) terjedt.</w:t>
      </w:r>
    </w:p>
    <w:p w14:paraId="4DCF4A2B" w14:textId="77777777" w:rsidR="00366005" w:rsidRPr="00183B5F" w:rsidRDefault="00366005">
      <w:pPr>
        <w:spacing w:line="240" w:lineRule="auto"/>
        <w:rPr>
          <w:szCs w:val="22"/>
        </w:rPr>
      </w:pPr>
    </w:p>
    <w:p w14:paraId="245D2A51" w14:textId="77777777" w:rsidR="00366005" w:rsidRPr="00183B5F" w:rsidRDefault="00943743">
      <w:pPr>
        <w:spacing w:line="240" w:lineRule="auto"/>
        <w:rPr>
          <w:szCs w:val="22"/>
        </w:rPr>
      </w:pPr>
      <w:r w:rsidRPr="00183B5F">
        <w:rPr>
          <w:szCs w:val="22"/>
        </w:rPr>
        <w:t>A Psoriasis II vizsgálatban (CHAMPION) a Humira hatásosságát és biztonságosságát a metotrexátéval és a placebóéval hasonlították össze 271 beteg részvételével. A betegek placebót, egy kezdeti, 7,5 mg</w:t>
      </w:r>
      <w:r w:rsidRPr="00183B5F">
        <w:rPr>
          <w:szCs w:val="22"/>
        </w:rPr>
        <w:noBreakHyphen/>
        <w:t>os metotrexát</w:t>
      </w:r>
      <w:r w:rsidR="00110863" w:rsidRPr="00183B5F">
        <w:rPr>
          <w:szCs w:val="22"/>
        </w:rPr>
        <w:t>-</w:t>
      </w:r>
      <w:r w:rsidRPr="00183B5F">
        <w:rPr>
          <w:szCs w:val="22"/>
        </w:rPr>
        <w:t>dózist kaptak, és azt követően az adagot legfeljebb a 12. hétig, 25 mg</w:t>
      </w:r>
      <w:r w:rsidR="00E5381A" w:rsidRPr="00183B5F">
        <w:rPr>
          <w:szCs w:val="22"/>
        </w:rPr>
        <w:noBreakHyphen/>
      </w:r>
      <w:r w:rsidRPr="00183B5F">
        <w:rPr>
          <w:szCs w:val="22"/>
        </w:rPr>
        <w:t>os maximális dózisig emelték, vagy egy 80 mg</w:t>
      </w:r>
      <w:r w:rsidRPr="00183B5F">
        <w:rPr>
          <w:szCs w:val="22"/>
        </w:rPr>
        <w:noBreakHyphen/>
        <w:t>os Humira kezdő dózisban részesültek, amit 16 hétig kéthetente 40 mg</w:t>
      </w:r>
      <w:r w:rsidRPr="00183B5F">
        <w:rPr>
          <w:szCs w:val="22"/>
        </w:rPr>
        <w:noBreakHyphen/>
        <w:t>os adag követett (egy héttel a kezdő dózis beadása után kezdve). Nincs a Humira- és a metotrexát</w:t>
      </w:r>
      <w:r w:rsidRPr="00183B5F">
        <w:rPr>
          <w:szCs w:val="22"/>
        </w:rPr>
        <w:noBreakHyphen/>
        <w:t xml:space="preserve">kezelést 16 hétnél hosszabb idő után összehasonlító adat. A metotrexátot szedő és </w:t>
      </w:r>
      <w:r w:rsidRPr="00183B5F">
        <w:rPr>
          <w:rFonts w:ascii="Symbol" w:hAnsi="Symbol"/>
          <w:szCs w:val="22"/>
        </w:rPr>
        <w:sym w:font="Symbol" w:char="F0B3"/>
      </w:r>
      <w:r w:rsidRPr="00183B5F">
        <w:rPr>
          <w:szCs w:val="22"/>
        </w:rPr>
        <w:t> PASI 50 választ a 8. és/vagy a 12. héten elérő betegeknél nem növelték tovább a dózist. Minden kezelési csoportot figyelembe</w:t>
      </w:r>
      <w:r w:rsidR="0047618A" w:rsidRPr="00183B5F">
        <w:rPr>
          <w:szCs w:val="22"/>
        </w:rPr>
        <w:t xml:space="preserve"> </w:t>
      </w:r>
      <w:r w:rsidRPr="00183B5F">
        <w:rPr>
          <w:szCs w:val="22"/>
        </w:rPr>
        <w:t>véve a</w:t>
      </w:r>
      <w:r w:rsidRPr="00183B5F">
        <w:rPr>
          <w:szCs w:val="22"/>
        </w:rPr>
        <w:t>z átlagos PASI</w:t>
      </w:r>
      <w:r w:rsidRPr="00183B5F">
        <w:rPr>
          <w:szCs w:val="22"/>
        </w:rPr>
        <w:noBreakHyphen/>
        <w:t>pontszám 19,7 volt, míg a kiindulási PGA</w:t>
      </w:r>
      <w:r w:rsidR="00110863" w:rsidRPr="00183B5F">
        <w:rPr>
          <w:szCs w:val="22"/>
        </w:rPr>
        <w:noBreakHyphen/>
      </w:r>
      <w:r w:rsidRPr="00183B5F">
        <w:rPr>
          <w:szCs w:val="22"/>
        </w:rPr>
        <w:t>pontszám az „enyhétől” (&lt; 1%) a „közepesen át” (48%) a „súlyosig” (46%) és a „nagyon súlyosig” (6%) terjedt.</w:t>
      </w:r>
    </w:p>
    <w:p w14:paraId="252D1EF9" w14:textId="77777777" w:rsidR="00366005" w:rsidRPr="00183B5F" w:rsidRDefault="00366005">
      <w:pPr>
        <w:spacing w:line="240" w:lineRule="auto"/>
        <w:rPr>
          <w:szCs w:val="22"/>
        </w:rPr>
      </w:pPr>
    </w:p>
    <w:p w14:paraId="4F09FD1D" w14:textId="77777777" w:rsidR="00366005" w:rsidRPr="00183B5F" w:rsidRDefault="00943743">
      <w:pPr>
        <w:spacing w:line="240" w:lineRule="auto"/>
        <w:rPr>
          <w:szCs w:val="22"/>
        </w:rPr>
      </w:pPr>
      <w:r w:rsidRPr="00183B5F">
        <w:rPr>
          <w:szCs w:val="22"/>
        </w:rPr>
        <w:t xml:space="preserve">Az összes </w:t>
      </w:r>
      <w:r w:rsidR="00B52567" w:rsidRPr="00183B5F">
        <w:rPr>
          <w:szCs w:val="22"/>
        </w:rPr>
        <w:t xml:space="preserve">II. és III. </w:t>
      </w:r>
      <w:r w:rsidR="002E6AB9" w:rsidRPr="00183B5F">
        <w:rPr>
          <w:szCs w:val="22"/>
        </w:rPr>
        <w:t>f</w:t>
      </w:r>
      <w:r w:rsidRPr="00183B5F">
        <w:rPr>
          <w:szCs w:val="22"/>
        </w:rPr>
        <w:t>ázis</w:t>
      </w:r>
      <w:r w:rsidR="00B52567" w:rsidRPr="00183B5F">
        <w:rPr>
          <w:szCs w:val="22"/>
        </w:rPr>
        <w:t>ú</w:t>
      </w:r>
      <w:r w:rsidRPr="00183B5F">
        <w:rPr>
          <w:szCs w:val="22"/>
        </w:rPr>
        <w:t xml:space="preserve"> psoriasis vizsgálatban részt</w:t>
      </w:r>
      <w:r w:rsidR="00B52567" w:rsidRPr="00183B5F">
        <w:rPr>
          <w:szCs w:val="22"/>
        </w:rPr>
        <w:t xml:space="preserve"> </w:t>
      </w:r>
      <w:r w:rsidRPr="00183B5F">
        <w:rPr>
          <w:szCs w:val="22"/>
        </w:rPr>
        <w:t>vevő beteg alkalmas volt egy nyílt elrendezésű kiterjesztéses vizsgálatba való beválogatásra, amelyben a Humira</w:t>
      </w:r>
      <w:r w:rsidRPr="00183B5F">
        <w:rPr>
          <w:szCs w:val="22"/>
        </w:rPr>
        <w:noBreakHyphen/>
        <w:t>t legalább további 108 héten át adták.</w:t>
      </w:r>
    </w:p>
    <w:p w14:paraId="4D402663" w14:textId="77777777" w:rsidR="00366005" w:rsidRPr="00183B5F" w:rsidRDefault="00366005">
      <w:pPr>
        <w:spacing w:line="240" w:lineRule="auto"/>
        <w:rPr>
          <w:szCs w:val="22"/>
        </w:rPr>
      </w:pPr>
    </w:p>
    <w:p w14:paraId="310D908A" w14:textId="77777777" w:rsidR="00366005" w:rsidRPr="00183B5F" w:rsidRDefault="00943743">
      <w:pPr>
        <w:spacing w:line="240" w:lineRule="auto"/>
        <w:rPr>
          <w:szCs w:val="22"/>
        </w:rPr>
      </w:pPr>
      <w:r w:rsidRPr="00183B5F">
        <w:rPr>
          <w:szCs w:val="22"/>
        </w:rPr>
        <w:t xml:space="preserve">A Psoriasis I és II vizsgálatokban az elsődleges végpont azon betegek aránya volt, akik a kiindulási időponttól a 16. hétig PASI 75 választ értek el (lásd </w:t>
      </w:r>
      <w:r w:rsidR="00E80146" w:rsidRPr="00183B5F">
        <w:rPr>
          <w:szCs w:val="22"/>
        </w:rPr>
        <w:t>11</w:t>
      </w:r>
      <w:r w:rsidRPr="00183B5F">
        <w:rPr>
          <w:szCs w:val="22"/>
        </w:rPr>
        <w:t xml:space="preserve">. és </w:t>
      </w:r>
      <w:r w:rsidR="00E80146" w:rsidRPr="00183B5F">
        <w:rPr>
          <w:szCs w:val="22"/>
        </w:rPr>
        <w:t>12</w:t>
      </w:r>
      <w:r w:rsidRPr="00183B5F">
        <w:rPr>
          <w:szCs w:val="22"/>
        </w:rPr>
        <w:t>. táblázat).</w:t>
      </w:r>
    </w:p>
    <w:p w14:paraId="706EB92C" w14:textId="77777777" w:rsidR="00366005" w:rsidRPr="00183B5F" w:rsidRDefault="00366005">
      <w:pPr>
        <w:spacing w:line="240" w:lineRule="auto"/>
        <w:rPr>
          <w:szCs w:val="22"/>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620"/>
        <w:gridCol w:w="2352"/>
      </w:tblGrid>
      <w:tr w:rsidR="00011D2F" w14:paraId="25F1A82F" w14:textId="77777777" w:rsidTr="00366005">
        <w:trPr>
          <w:cantSplit/>
          <w:jc w:val="center"/>
        </w:trPr>
        <w:tc>
          <w:tcPr>
            <w:tcW w:w="6949" w:type="dxa"/>
            <w:gridSpan w:val="3"/>
            <w:tcBorders>
              <w:top w:val="nil"/>
              <w:left w:val="nil"/>
              <w:bottom w:val="single" w:sz="4" w:space="0" w:color="auto"/>
              <w:right w:val="nil"/>
            </w:tcBorders>
          </w:tcPr>
          <w:p w14:paraId="62C2D248" w14:textId="77777777" w:rsidR="00366005" w:rsidRPr="00183B5F" w:rsidRDefault="00943743" w:rsidP="004062FE">
            <w:pPr>
              <w:pStyle w:val="DefaultText"/>
              <w:keepNext/>
              <w:jc w:val="center"/>
              <w:rPr>
                <w:rFonts w:ascii="Times New Roman" w:hAnsi="Times New Roman"/>
                <w:b/>
                <w:bCs w:val="0"/>
                <w:szCs w:val="22"/>
                <w:lang w:val="hu-HU"/>
              </w:rPr>
            </w:pPr>
            <w:r w:rsidRPr="00183B5F">
              <w:rPr>
                <w:rFonts w:ascii="Times New Roman" w:hAnsi="Times New Roman"/>
                <w:b/>
                <w:bCs w:val="0"/>
                <w:szCs w:val="22"/>
                <w:lang w:val="hu-HU"/>
              </w:rPr>
              <w:t xml:space="preserve">11. táblázat </w:t>
            </w:r>
          </w:p>
          <w:p w14:paraId="6709F363" w14:textId="77777777" w:rsidR="00366005" w:rsidRPr="00183B5F" w:rsidRDefault="00943743" w:rsidP="004062FE">
            <w:pPr>
              <w:pStyle w:val="DefaultText"/>
              <w:keepNext/>
              <w:jc w:val="center"/>
              <w:rPr>
                <w:rFonts w:ascii="Times New Roman" w:hAnsi="Times New Roman"/>
                <w:b/>
                <w:bCs w:val="0"/>
                <w:szCs w:val="22"/>
                <w:lang w:val="hu-HU"/>
              </w:rPr>
            </w:pPr>
            <w:r w:rsidRPr="00183B5F">
              <w:rPr>
                <w:rFonts w:ascii="Times New Roman" w:hAnsi="Times New Roman"/>
                <w:b/>
                <w:bCs w:val="0"/>
                <w:szCs w:val="22"/>
                <w:lang w:val="hu-HU"/>
              </w:rPr>
              <w:t>Psoriasis I (REVEAL) vizsgálat</w:t>
            </w:r>
          </w:p>
          <w:p w14:paraId="03CB1800" w14:textId="77777777" w:rsidR="00366005" w:rsidRPr="00183B5F" w:rsidRDefault="00943743" w:rsidP="004062FE">
            <w:pPr>
              <w:pStyle w:val="DefaultText"/>
              <w:keepNext/>
              <w:jc w:val="center"/>
              <w:rPr>
                <w:rFonts w:ascii="Times New Roman" w:hAnsi="Times New Roman"/>
                <w:b/>
                <w:bCs w:val="0"/>
                <w:szCs w:val="22"/>
                <w:lang w:val="hu-HU"/>
              </w:rPr>
            </w:pPr>
            <w:r w:rsidRPr="00183B5F">
              <w:rPr>
                <w:rFonts w:ascii="Times New Roman" w:hAnsi="Times New Roman"/>
                <w:b/>
                <w:bCs w:val="0"/>
                <w:szCs w:val="22"/>
                <w:lang w:val="hu-HU"/>
              </w:rPr>
              <w:t>Hat</w:t>
            </w:r>
            <w:r w:rsidR="00903BD3" w:rsidRPr="00183B5F">
              <w:rPr>
                <w:rFonts w:ascii="Times New Roman" w:hAnsi="Times New Roman"/>
                <w:b/>
                <w:bCs w:val="0"/>
                <w:szCs w:val="22"/>
                <w:lang w:val="hu-HU"/>
              </w:rPr>
              <w:t>ásossági</w:t>
            </w:r>
            <w:r w:rsidRPr="00183B5F">
              <w:rPr>
                <w:rFonts w:ascii="Times New Roman" w:hAnsi="Times New Roman"/>
                <w:b/>
                <w:bCs w:val="0"/>
                <w:szCs w:val="22"/>
                <w:lang w:val="hu-HU"/>
              </w:rPr>
              <w:t xml:space="preserve"> eredmények a 16. héten </w:t>
            </w:r>
          </w:p>
          <w:p w14:paraId="21647538" w14:textId="77777777" w:rsidR="00366005" w:rsidRPr="00183B5F" w:rsidRDefault="00366005" w:rsidP="004062FE">
            <w:pPr>
              <w:pStyle w:val="DefaultText"/>
              <w:keepNext/>
              <w:jc w:val="center"/>
              <w:rPr>
                <w:rFonts w:ascii="Times New Roman" w:hAnsi="Times New Roman"/>
                <w:b/>
                <w:bCs w:val="0"/>
                <w:szCs w:val="22"/>
                <w:u w:val="single"/>
                <w:lang w:val="hu-HU"/>
              </w:rPr>
            </w:pPr>
          </w:p>
        </w:tc>
      </w:tr>
      <w:tr w:rsidR="00011D2F" w14:paraId="17C1A395" w14:textId="77777777" w:rsidTr="00366005">
        <w:trPr>
          <w:cantSplit/>
          <w:jc w:val="center"/>
        </w:trPr>
        <w:tc>
          <w:tcPr>
            <w:tcW w:w="2977" w:type="dxa"/>
            <w:tcBorders>
              <w:top w:val="single" w:sz="4" w:space="0" w:color="auto"/>
              <w:left w:val="single" w:sz="4" w:space="0" w:color="auto"/>
              <w:bottom w:val="single" w:sz="4" w:space="0" w:color="auto"/>
              <w:right w:val="single" w:sz="4" w:space="0" w:color="auto"/>
            </w:tcBorders>
            <w:vAlign w:val="center"/>
          </w:tcPr>
          <w:p w14:paraId="42CDC773" w14:textId="77777777" w:rsidR="00366005" w:rsidRPr="00183B5F" w:rsidRDefault="00366005" w:rsidP="004062FE">
            <w:pPr>
              <w:pStyle w:val="DefaultText"/>
              <w:keepNext/>
              <w:rPr>
                <w:rFonts w:ascii="Times New Roman" w:hAnsi="Times New Roman"/>
                <w:b/>
                <w:bCs w:val="0"/>
                <w:szCs w:val="22"/>
                <w:lang w:val="hu-HU"/>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6B695F57" w14:textId="77777777" w:rsidR="00366005" w:rsidRPr="00183B5F" w:rsidRDefault="00943743" w:rsidP="004062FE">
            <w:pPr>
              <w:pStyle w:val="DefaultText"/>
              <w:keepNext/>
              <w:jc w:val="center"/>
              <w:rPr>
                <w:rFonts w:ascii="Times New Roman" w:hAnsi="Times New Roman"/>
                <w:b/>
                <w:lang w:val="hu-HU"/>
              </w:rPr>
            </w:pPr>
            <w:r w:rsidRPr="00183B5F">
              <w:rPr>
                <w:rFonts w:ascii="Times New Roman" w:hAnsi="Times New Roman"/>
                <w:b/>
                <w:lang w:val="hu-HU"/>
              </w:rPr>
              <w:t>Placebo</w:t>
            </w:r>
          </w:p>
          <w:p w14:paraId="447B8145" w14:textId="77777777" w:rsidR="00366005" w:rsidRPr="00183B5F" w:rsidRDefault="00943743" w:rsidP="004062FE">
            <w:pPr>
              <w:pStyle w:val="DefaultText"/>
              <w:keepNext/>
              <w:jc w:val="center"/>
              <w:rPr>
                <w:rFonts w:ascii="Times New Roman" w:hAnsi="Times New Roman"/>
                <w:b/>
                <w:lang w:val="hu-HU"/>
              </w:rPr>
            </w:pPr>
            <w:r w:rsidRPr="00183B5F">
              <w:rPr>
                <w:rFonts w:ascii="Times New Roman" w:hAnsi="Times New Roman"/>
                <w:b/>
                <w:lang w:val="hu-HU"/>
              </w:rPr>
              <w:t>N = 398</w:t>
            </w:r>
          </w:p>
          <w:p w14:paraId="511B06DD" w14:textId="77777777" w:rsidR="00366005" w:rsidRPr="00183B5F" w:rsidRDefault="00943743" w:rsidP="004062FE">
            <w:pPr>
              <w:pStyle w:val="DefaultText"/>
              <w:keepNext/>
              <w:jc w:val="center"/>
              <w:rPr>
                <w:rFonts w:ascii="Times New Roman" w:hAnsi="Times New Roman"/>
                <w:b/>
                <w:lang w:val="hu-HU"/>
              </w:rPr>
            </w:pPr>
            <w:r w:rsidRPr="00183B5F">
              <w:rPr>
                <w:rFonts w:ascii="Times New Roman" w:hAnsi="Times New Roman"/>
                <w:b/>
                <w:lang w:val="hu-HU"/>
              </w:rPr>
              <w:t>n (%)</w:t>
            </w:r>
          </w:p>
        </w:tc>
        <w:tc>
          <w:tcPr>
            <w:tcW w:w="2352" w:type="dxa"/>
            <w:tcBorders>
              <w:top w:val="single" w:sz="4" w:space="0" w:color="auto"/>
              <w:left w:val="single" w:sz="4" w:space="0" w:color="auto"/>
              <w:bottom w:val="single" w:sz="4" w:space="0" w:color="auto"/>
              <w:right w:val="single" w:sz="4" w:space="0" w:color="auto"/>
            </w:tcBorders>
            <w:vAlign w:val="center"/>
            <w:hideMark/>
          </w:tcPr>
          <w:p w14:paraId="14E31B1D" w14:textId="77777777" w:rsidR="00366005" w:rsidRPr="00183B5F" w:rsidRDefault="00943743" w:rsidP="004062FE">
            <w:pPr>
              <w:pStyle w:val="DefaultText"/>
              <w:keepNext/>
              <w:jc w:val="center"/>
              <w:rPr>
                <w:rFonts w:ascii="Times New Roman" w:hAnsi="Times New Roman"/>
                <w:b/>
                <w:lang w:val="hu-HU"/>
              </w:rPr>
            </w:pPr>
            <w:r w:rsidRPr="00183B5F">
              <w:rPr>
                <w:rFonts w:ascii="Times New Roman" w:hAnsi="Times New Roman"/>
                <w:b/>
                <w:lang w:val="hu-HU"/>
              </w:rPr>
              <w:t xml:space="preserve">Humira 40 mg </w:t>
            </w:r>
          </w:p>
          <w:p w14:paraId="6793DE4E" w14:textId="77777777" w:rsidR="00366005" w:rsidRPr="00183B5F" w:rsidRDefault="00943743" w:rsidP="004062FE">
            <w:pPr>
              <w:pStyle w:val="DefaultText"/>
              <w:keepNext/>
              <w:jc w:val="center"/>
              <w:rPr>
                <w:rFonts w:ascii="Times New Roman" w:hAnsi="Times New Roman"/>
                <w:b/>
                <w:lang w:val="hu-HU"/>
              </w:rPr>
            </w:pPr>
            <w:r w:rsidRPr="00183B5F">
              <w:rPr>
                <w:rFonts w:ascii="Times New Roman" w:hAnsi="Times New Roman"/>
                <w:b/>
                <w:lang w:val="hu-HU"/>
              </w:rPr>
              <w:t>minden második héten</w:t>
            </w:r>
          </w:p>
          <w:p w14:paraId="2EC44E13" w14:textId="77777777" w:rsidR="00366005" w:rsidRPr="00183B5F" w:rsidRDefault="00943743" w:rsidP="004062FE">
            <w:pPr>
              <w:pStyle w:val="DefaultText"/>
              <w:keepNext/>
              <w:jc w:val="center"/>
              <w:rPr>
                <w:rFonts w:ascii="Times New Roman" w:hAnsi="Times New Roman"/>
                <w:b/>
                <w:lang w:val="hu-HU"/>
              </w:rPr>
            </w:pPr>
            <w:r w:rsidRPr="00183B5F">
              <w:rPr>
                <w:rFonts w:ascii="Times New Roman" w:hAnsi="Times New Roman"/>
                <w:b/>
                <w:lang w:val="hu-HU"/>
              </w:rPr>
              <w:t>N = 814</w:t>
            </w:r>
          </w:p>
          <w:p w14:paraId="3BF3EC6B" w14:textId="77777777" w:rsidR="00366005" w:rsidRPr="00183B5F" w:rsidRDefault="00943743" w:rsidP="004062FE">
            <w:pPr>
              <w:pStyle w:val="DefaultText"/>
              <w:keepNext/>
              <w:jc w:val="center"/>
              <w:rPr>
                <w:rFonts w:ascii="Times New Roman" w:hAnsi="Times New Roman"/>
                <w:b/>
                <w:lang w:val="hu-HU"/>
              </w:rPr>
            </w:pPr>
            <w:r w:rsidRPr="00183B5F">
              <w:rPr>
                <w:rFonts w:ascii="Times New Roman" w:hAnsi="Times New Roman"/>
                <w:b/>
                <w:lang w:val="hu-HU"/>
              </w:rPr>
              <w:t>n (%)</w:t>
            </w:r>
          </w:p>
        </w:tc>
      </w:tr>
      <w:tr w:rsidR="00011D2F" w14:paraId="5CDE8A02" w14:textId="77777777" w:rsidTr="00366005">
        <w:trPr>
          <w:cantSplit/>
          <w:jc w:val="center"/>
        </w:trPr>
        <w:tc>
          <w:tcPr>
            <w:tcW w:w="2977" w:type="dxa"/>
            <w:tcBorders>
              <w:top w:val="single" w:sz="4" w:space="0" w:color="auto"/>
              <w:left w:val="single" w:sz="4" w:space="0" w:color="auto"/>
              <w:bottom w:val="single" w:sz="4" w:space="0" w:color="auto"/>
              <w:right w:val="single" w:sz="4" w:space="0" w:color="auto"/>
            </w:tcBorders>
            <w:hideMark/>
          </w:tcPr>
          <w:p w14:paraId="7AAD5561" w14:textId="77777777" w:rsidR="00366005" w:rsidRPr="00183B5F" w:rsidRDefault="00943743" w:rsidP="004062FE">
            <w:pPr>
              <w:pStyle w:val="DefaultText"/>
              <w:keepNext/>
              <w:rPr>
                <w:rFonts w:ascii="Times New Roman" w:hAnsi="Times New Roman"/>
                <w:b/>
                <w:lang w:val="hu-HU"/>
              </w:rPr>
            </w:pPr>
            <w:r w:rsidRPr="00183B5F">
              <w:rPr>
                <w:rFonts w:ascii="Times New Roman" w:hAnsi="Times New Roman"/>
                <w:b/>
                <w:lang w:val="hu-HU"/>
              </w:rPr>
              <w:t xml:space="preserve">    </w:t>
            </w:r>
            <w:r w:rsidRPr="00183B5F">
              <w:rPr>
                <w:rFonts w:ascii="Symbol" w:hAnsi="Symbol"/>
                <w:b/>
                <w:lang w:val="hu-HU"/>
              </w:rPr>
              <w:sym w:font="Symbol" w:char="F0B3"/>
            </w:r>
            <w:r w:rsidRPr="00183B5F">
              <w:rPr>
                <w:rFonts w:ascii="Times New Roman" w:hAnsi="Times New Roman"/>
                <w:b/>
                <w:lang w:val="hu-HU"/>
              </w:rPr>
              <w:t xml:space="preserve"> PASI 75</w:t>
            </w:r>
            <w:r w:rsidRPr="00183B5F">
              <w:rPr>
                <w:rFonts w:ascii="Times New Roman" w:hAnsi="Times New Roman"/>
                <w:b/>
                <w:vertAlign w:val="superscript"/>
                <w:lang w:val="hu-HU"/>
              </w:rPr>
              <w:t>a</w:t>
            </w:r>
          </w:p>
        </w:tc>
        <w:tc>
          <w:tcPr>
            <w:tcW w:w="1620" w:type="dxa"/>
            <w:tcBorders>
              <w:top w:val="single" w:sz="4" w:space="0" w:color="auto"/>
              <w:left w:val="single" w:sz="4" w:space="0" w:color="auto"/>
              <w:bottom w:val="single" w:sz="4" w:space="0" w:color="auto"/>
              <w:right w:val="single" w:sz="4" w:space="0" w:color="auto"/>
            </w:tcBorders>
            <w:hideMark/>
          </w:tcPr>
          <w:p w14:paraId="66B16AAA" w14:textId="77777777" w:rsidR="00366005" w:rsidRPr="00183B5F" w:rsidRDefault="00943743" w:rsidP="004062FE">
            <w:pPr>
              <w:pStyle w:val="DefaultText"/>
              <w:keepNext/>
              <w:jc w:val="center"/>
              <w:rPr>
                <w:rFonts w:ascii="Times New Roman" w:hAnsi="Times New Roman"/>
                <w:lang w:val="hu-HU"/>
              </w:rPr>
            </w:pPr>
            <w:r w:rsidRPr="00183B5F">
              <w:rPr>
                <w:rFonts w:ascii="Times New Roman" w:hAnsi="Times New Roman"/>
                <w:lang w:val="hu-HU"/>
              </w:rPr>
              <w:t>26 (6,5)</w:t>
            </w:r>
          </w:p>
        </w:tc>
        <w:tc>
          <w:tcPr>
            <w:tcW w:w="2352" w:type="dxa"/>
            <w:tcBorders>
              <w:top w:val="single" w:sz="4" w:space="0" w:color="auto"/>
              <w:left w:val="single" w:sz="4" w:space="0" w:color="auto"/>
              <w:bottom w:val="single" w:sz="4" w:space="0" w:color="auto"/>
              <w:right w:val="single" w:sz="4" w:space="0" w:color="auto"/>
            </w:tcBorders>
            <w:hideMark/>
          </w:tcPr>
          <w:p w14:paraId="3F55E27C" w14:textId="77777777" w:rsidR="00366005" w:rsidRPr="00183B5F" w:rsidRDefault="00943743" w:rsidP="004062FE">
            <w:pPr>
              <w:pStyle w:val="DefaultText"/>
              <w:keepNext/>
              <w:jc w:val="center"/>
              <w:rPr>
                <w:rFonts w:ascii="Times New Roman" w:hAnsi="Times New Roman"/>
                <w:lang w:val="hu-HU"/>
              </w:rPr>
            </w:pPr>
            <w:r w:rsidRPr="00183B5F">
              <w:rPr>
                <w:rFonts w:ascii="Times New Roman" w:hAnsi="Times New Roman"/>
                <w:lang w:val="hu-HU"/>
              </w:rPr>
              <w:t>578 (70,9)</w:t>
            </w:r>
            <w:r w:rsidRPr="00183B5F">
              <w:rPr>
                <w:rFonts w:ascii="Times New Roman" w:hAnsi="Times New Roman"/>
                <w:vertAlign w:val="superscript"/>
                <w:lang w:val="hu-HU"/>
              </w:rPr>
              <w:t>b</w:t>
            </w:r>
          </w:p>
        </w:tc>
      </w:tr>
      <w:tr w:rsidR="00011D2F" w14:paraId="3462038F" w14:textId="77777777" w:rsidTr="00366005">
        <w:trPr>
          <w:cantSplit/>
          <w:trHeight w:val="70"/>
          <w:jc w:val="center"/>
        </w:trPr>
        <w:tc>
          <w:tcPr>
            <w:tcW w:w="2977" w:type="dxa"/>
            <w:tcBorders>
              <w:top w:val="single" w:sz="4" w:space="0" w:color="auto"/>
              <w:left w:val="single" w:sz="4" w:space="0" w:color="auto"/>
              <w:bottom w:val="single" w:sz="4" w:space="0" w:color="auto"/>
              <w:right w:val="single" w:sz="4" w:space="0" w:color="auto"/>
            </w:tcBorders>
            <w:hideMark/>
          </w:tcPr>
          <w:p w14:paraId="60615C32" w14:textId="77777777" w:rsidR="00366005" w:rsidRPr="00183B5F" w:rsidRDefault="00943743" w:rsidP="004062FE">
            <w:pPr>
              <w:pStyle w:val="DefaultText"/>
              <w:keepNext/>
              <w:rPr>
                <w:rFonts w:ascii="Times New Roman" w:hAnsi="Times New Roman"/>
                <w:b/>
                <w:lang w:val="hu-HU"/>
              </w:rPr>
            </w:pPr>
            <w:r w:rsidRPr="00183B5F">
              <w:rPr>
                <w:rFonts w:ascii="Times New Roman" w:hAnsi="Times New Roman"/>
                <w:b/>
                <w:lang w:val="hu-HU"/>
              </w:rPr>
              <w:t xml:space="preserve">    PASI 100</w:t>
            </w:r>
          </w:p>
        </w:tc>
        <w:tc>
          <w:tcPr>
            <w:tcW w:w="1620" w:type="dxa"/>
            <w:tcBorders>
              <w:top w:val="single" w:sz="4" w:space="0" w:color="auto"/>
              <w:left w:val="single" w:sz="4" w:space="0" w:color="auto"/>
              <w:bottom w:val="single" w:sz="4" w:space="0" w:color="auto"/>
              <w:right w:val="single" w:sz="4" w:space="0" w:color="auto"/>
            </w:tcBorders>
            <w:hideMark/>
          </w:tcPr>
          <w:p w14:paraId="121AD278" w14:textId="77777777" w:rsidR="00366005" w:rsidRPr="00183B5F" w:rsidRDefault="00943743" w:rsidP="004062FE">
            <w:pPr>
              <w:pStyle w:val="DefaultText"/>
              <w:keepNext/>
              <w:jc w:val="center"/>
              <w:rPr>
                <w:rFonts w:ascii="Times New Roman" w:hAnsi="Times New Roman"/>
                <w:lang w:val="hu-HU"/>
              </w:rPr>
            </w:pPr>
            <w:r w:rsidRPr="00183B5F">
              <w:rPr>
                <w:rFonts w:ascii="Times New Roman" w:hAnsi="Times New Roman"/>
                <w:lang w:val="hu-HU"/>
              </w:rPr>
              <w:t>3 (0,8)</w:t>
            </w:r>
          </w:p>
        </w:tc>
        <w:tc>
          <w:tcPr>
            <w:tcW w:w="2352" w:type="dxa"/>
            <w:tcBorders>
              <w:top w:val="single" w:sz="4" w:space="0" w:color="auto"/>
              <w:left w:val="single" w:sz="4" w:space="0" w:color="auto"/>
              <w:bottom w:val="single" w:sz="4" w:space="0" w:color="auto"/>
              <w:right w:val="single" w:sz="4" w:space="0" w:color="auto"/>
            </w:tcBorders>
            <w:hideMark/>
          </w:tcPr>
          <w:p w14:paraId="2A08F314" w14:textId="77777777" w:rsidR="00366005" w:rsidRPr="00183B5F" w:rsidRDefault="00943743" w:rsidP="004062FE">
            <w:pPr>
              <w:pStyle w:val="DefaultText"/>
              <w:keepNext/>
              <w:jc w:val="center"/>
              <w:rPr>
                <w:rFonts w:ascii="Times New Roman" w:hAnsi="Times New Roman"/>
                <w:lang w:val="hu-HU"/>
              </w:rPr>
            </w:pPr>
            <w:r w:rsidRPr="00183B5F">
              <w:rPr>
                <w:rFonts w:ascii="Times New Roman" w:hAnsi="Times New Roman"/>
                <w:lang w:val="hu-HU"/>
              </w:rPr>
              <w:t>163 (20,0)</w:t>
            </w:r>
            <w:r w:rsidRPr="00183B5F">
              <w:rPr>
                <w:rFonts w:ascii="Times New Roman" w:hAnsi="Times New Roman"/>
                <w:vertAlign w:val="superscript"/>
                <w:lang w:val="hu-HU"/>
              </w:rPr>
              <w:t>b</w:t>
            </w:r>
          </w:p>
        </w:tc>
      </w:tr>
      <w:tr w:rsidR="00011D2F" w14:paraId="1ADADA28" w14:textId="77777777" w:rsidTr="00366005">
        <w:trPr>
          <w:cantSplit/>
          <w:jc w:val="center"/>
        </w:trPr>
        <w:tc>
          <w:tcPr>
            <w:tcW w:w="2977" w:type="dxa"/>
            <w:tcBorders>
              <w:top w:val="single" w:sz="4" w:space="0" w:color="auto"/>
              <w:left w:val="single" w:sz="4" w:space="0" w:color="auto"/>
              <w:bottom w:val="single" w:sz="4" w:space="0" w:color="auto"/>
              <w:right w:val="single" w:sz="4" w:space="0" w:color="auto"/>
            </w:tcBorders>
            <w:hideMark/>
          </w:tcPr>
          <w:p w14:paraId="2F2F4EC1" w14:textId="77777777" w:rsidR="00366005" w:rsidRPr="00183B5F" w:rsidRDefault="00943743" w:rsidP="004062FE">
            <w:pPr>
              <w:pStyle w:val="DefaultText"/>
              <w:keepNext/>
              <w:rPr>
                <w:rFonts w:ascii="Times New Roman" w:hAnsi="Times New Roman"/>
                <w:b/>
                <w:lang w:val="hu-HU"/>
              </w:rPr>
            </w:pPr>
            <w:r w:rsidRPr="00183B5F">
              <w:rPr>
                <w:rFonts w:ascii="Times New Roman" w:hAnsi="Times New Roman"/>
                <w:b/>
                <w:lang w:val="hu-HU"/>
              </w:rPr>
              <w:t xml:space="preserve">    PGA: tiszta/minimális</w:t>
            </w:r>
          </w:p>
        </w:tc>
        <w:tc>
          <w:tcPr>
            <w:tcW w:w="1620" w:type="dxa"/>
            <w:tcBorders>
              <w:top w:val="single" w:sz="4" w:space="0" w:color="auto"/>
              <w:left w:val="single" w:sz="4" w:space="0" w:color="auto"/>
              <w:bottom w:val="single" w:sz="4" w:space="0" w:color="auto"/>
              <w:right w:val="single" w:sz="4" w:space="0" w:color="auto"/>
            </w:tcBorders>
            <w:hideMark/>
          </w:tcPr>
          <w:p w14:paraId="44ED18BB" w14:textId="77777777" w:rsidR="00366005" w:rsidRPr="00183B5F" w:rsidRDefault="00943743" w:rsidP="004062FE">
            <w:pPr>
              <w:pStyle w:val="DefaultText"/>
              <w:keepNext/>
              <w:jc w:val="center"/>
              <w:rPr>
                <w:rFonts w:ascii="Times New Roman" w:hAnsi="Times New Roman"/>
                <w:lang w:val="hu-HU"/>
              </w:rPr>
            </w:pPr>
            <w:r w:rsidRPr="00183B5F">
              <w:rPr>
                <w:rFonts w:ascii="Times New Roman" w:hAnsi="Times New Roman"/>
                <w:lang w:val="hu-HU"/>
              </w:rPr>
              <w:t>17 (4,3)</w:t>
            </w:r>
          </w:p>
        </w:tc>
        <w:tc>
          <w:tcPr>
            <w:tcW w:w="2352" w:type="dxa"/>
            <w:tcBorders>
              <w:top w:val="single" w:sz="4" w:space="0" w:color="auto"/>
              <w:left w:val="single" w:sz="4" w:space="0" w:color="auto"/>
              <w:bottom w:val="single" w:sz="4" w:space="0" w:color="auto"/>
              <w:right w:val="single" w:sz="4" w:space="0" w:color="auto"/>
            </w:tcBorders>
            <w:hideMark/>
          </w:tcPr>
          <w:p w14:paraId="56DA96DF" w14:textId="77777777" w:rsidR="00366005" w:rsidRPr="00183B5F" w:rsidRDefault="00943743" w:rsidP="004062FE">
            <w:pPr>
              <w:pStyle w:val="DefaultText"/>
              <w:keepNext/>
              <w:jc w:val="center"/>
              <w:rPr>
                <w:rFonts w:ascii="Times New Roman" w:hAnsi="Times New Roman"/>
                <w:lang w:val="hu-HU"/>
              </w:rPr>
            </w:pPr>
            <w:r w:rsidRPr="00183B5F">
              <w:rPr>
                <w:rFonts w:ascii="Times New Roman" w:hAnsi="Times New Roman"/>
                <w:lang w:val="hu-HU"/>
              </w:rPr>
              <w:t>506 (62,2)</w:t>
            </w:r>
            <w:r w:rsidRPr="00183B5F">
              <w:rPr>
                <w:rFonts w:ascii="Times New Roman" w:hAnsi="Times New Roman"/>
                <w:vertAlign w:val="superscript"/>
                <w:lang w:val="hu-HU"/>
              </w:rPr>
              <w:t>b</w:t>
            </w:r>
          </w:p>
        </w:tc>
      </w:tr>
      <w:tr w:rsidR="00011D2F" w14:paraId="1810C8EC" w14:textId="77777777" w:rsidTr="00366005">
        <w:trPr>
          <w:cantSplit/>
          <w:jc w:val="center"/>
        </w:trPr>
        <w:tc>
          <w:tcPr>
            <w:tcW w:w="6949" w:type="dxa"/>
            <w:gridSpan w:val="3"/>
            <w:tcBorders>
              <w:top w:val="single" w:sz="4" w:space="0" w:color="auto"/>
              <w:left w:val="single" w:sz="4" w:space="0" w:color="auto"/>
              <w:bottom w:val="single" w:sz="4" w:space="0" w:color="auto"/>
              <w:right w:val="single" w:sz="4" w:space="0" w:color="auto"/>
            </w:tcBorders>
            <w:hideMark/>
          </w:tcPr>
          <w:p w14:paraId="58EFEEA5" w14:textId="77777777" w:rsidR="00366005" w:rsidRPr="00183B5F" w:rsidRDefault="00943743" w:rsidP="004062FE">
            <w:pPr>
              <w:pStyle w:val="DefaultText"/>
              <w:keepNext/>
              <w:rPr>
                <w:rFonts w:ascii="Times New Roman" w:hAnsi="Times New Roman"/>
                <w:szCs w:val="22"/>
                <w:lang w:val="hu-HU"/>
              </w:rPr>
            </w:pPr>
            <w:r w:rsidRPr="00183B5F">
              <w:rPr>
                <w:rFonts w:ascii="Times New Roman" w:hAnsi="Times New Roman"/>
                <w:szCs w:val="22"/>
                <w:vertAlign w:val="superscript"/>
                <w:lang w:val="hu-HU"/>
              </w:rPr>
              <w:t>a</w:t>
            </w:r>
            <w:r w:rsidRPr="00183B5F">
              <w:rPr>
                <w:rFonts w:ascii="Times New Roman" w:hAnsi="Times New Roman"/>
                <w:szCs w:val="22"/>
                <w:lang w:val="hu-HU"/>
              </w:rPr>
              <w:t xml:space="preserve"> A PASI 75 választ elért betegek százalékos aránya középértékre korrigált arány formájában került kiszámításra</w:t>
            </w:r>
          </w:p>
          <w:p w14:paraId="07A3200A" w14:textId="77777777" w:rsidR="00366005" w:rsidRPr="00183B5F" w:rsidRDefault="00943743" w:rsidP="004062FE">
            <w:pPr>
              <w:pStyle w:val="DefaultText"/>
              <w:keepNext/>
              <w:rPr>
                <w:rFonts w:ascii="Times New Roman" w:hAnsi="Times New Roman"/>
                <w:lang w:val="hu-HU"/>
              </w:rPr>
            </w:pPr>
            <w:r w:rsidRPr="00183B5F">
              <w:rPr>
                <w:rFonts w:ascii="Times New Roman" w:hAnsi="Times New Roman"/>
                <w:vertAlign w:val="superscript"/>
                <w:lang w:val="hu-HU"/>
              </w:rPr>
              <w:t>b</w:t>
            </w:r>
            <w:r w:rsidRPr="00183B5F">
              <w:rPr>
                <w:rFonts w:ascii="Times New Roman" w:hAnsi="Times New Roman"/>
                <w:lang w:val="hu-HU"/>
              </w:rPr>
              <w:t xml:space="preserve"> p &lt; 0,001, Humira vs. placebo</w:t>
            </w:r>
          </w:p>
        </w:tc>
      </w:tr>
    </w:tbl>
    <w:p w14:paraId="56F8BC6E" w14:textId="77777777" w:rsidR="00366005" w:rsidRPr="00183B5F" w:rsidRDefault="00366005">
      <w:pPr>
        <w:pStyle w:val="BodyText3"/>
        <w:spacing w:line="240" w:lineRule="auto"/>
        <w:rPr>
          <w:b/>
          <w:i/>
          <w:sz w:val="22"/>
          <w:lang w:val="hu-HU"/>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1645"/>
        <w:gridCol w:w="1344"/>
        <w:gridCol w:w="2348"/>
      </w:tblGrid>
      <w:tr w:rsidR="00011D2F" w14:paraId="4B8467FA" w14:textId="77777777" w:rsidTr="00366005">
        <w:trPr>
          <w:cantSplit/>
          <w:jc w:val="center"/>
        </w:trPr>
        <w:tc>
          <w:tcPr>
            <w:tcW w:w="7046" w:type="dxa"/>
            <w:gridSpan w:val="4"/>
            <w:tcBorders>
              <w:top w:val="nil"/>
              <w:left w:val="nil"/>
              <w:bottom w:val="single" w:sz="4" w:space="0" w:color="auto"/>
              <w:right w:val="nil"/>
            </w:tcBorders>
          </w:tcPr>
          <w:p w14:paraId="1F61B8BB" w14:textId="77777777" w:rsidR="00366005" w:rsidRPr="00183B5F" w:rsidRDefault="00943743" w:rsidP="004062FE">
            <w:pPr>
              <w:pStyle w:val="DefaultText"/>
              <w:keepNext/>
              <w:jc w:val="center"/>
              <w:rPr>
                <w:rFonts w:ascii="Times New Roman" w:hAnsi="Times New Roman"/>
                <w:b/>
                <w:lang w:val="hu-HU"/>
              </w:rPr>
            </w:pPr>
            <w:r w:rsidRPr="00183B5F">
              <w:rPr>
                <w:rFonts w:ascii="Times New Roman" w:hAnsi="Times New Roman"/>
                <w:b/>
                <w:lang w:val="hu-HU"/>
              </w:rPr>
              <w:t xml:space="preserve">12. táblázat </w:t>
            </w:r>
          </w:p>
          <w:p w14:paraId="02F89F93" w14:textId="77777777" w:rsidR="00366005" w:rsidRPr="00183B5F" w:rsidRDefault="00943743" w:rsidP="004062FE">
            <w:pPr>
              <w:pStyle w:val="DefaultText"/>
              <w:keepNext/>
              <w:jc w:val="center"/>
              <w:rPr>
                <w:rFonts w:ascii="Times New Roman" w:hAnsi="Times New Roman"/>
                <w:b/>
                <w:lang w:val="hu-HU"/>
              </w:rPr>
            </w:pPr>
            <w:r w:rsidRPr="00183B5F">
              <w:rPr>
                <w:rFonts w:ascii="Times New Roman" w:hAnsi="Times New Roman"/>
                <w:b/>
                <w:lang w:val="hu-HU"/>
              </w:rPr>
              <w:t>Psoriasis II (CHAMPION) vizsgálat</w:t>
            </w:r>
          </w:p>
          <w:p w14:paraId="170E8260" w14:textId="77777777" w:rsidR="00366005" w:rsidRPr="00183B5F" w:rsidRDefault="00943743" w:rsidP="004062FE">
            <w:pPr>
              <w:pStyle w:val="DefaultText"/>
              <w:keepNext/>
              <w:jc w:val="center"/>
              <w:rPr>
                <w:rFonts w:ascii="Times New Roman" w:hAnsi="Times New Roman"/>
                <w:b/>
                <w:lang w:val="hu-HU"/>
              </w:rPr>
            </w:pPr>
            <w:r w:rsidRPr="00183B5F">
              <w:rPr>
                <w:rFonts w:ascii="Times New Roman" w:hAnsi="Times New Roman"/>
                <w:b/>
                <w:lang w:val="hu-HU"/>
              </w:rPr>
              <w:t>Hat</w:t>
            </w:r>
            <w:r w:rsidR="00903BD3" w:rsidRPr="00183B5F">
              <w:rPr>
                <w:rFonts w:ascii="Times New Roman" w:hAnsi="Times New Roman"/>
                <w:b/>
                <w:lang w:val="hu-HU"/>
              </w:rPr>
              <w:t>ásos</w:t>
            </w:r>
            <w:r w:rsidRPr="00183B5F">
              <w:rPr>
                <w:rFonts w:ascii="Times New Roman" w:hAnsi="Times New Roman"/>
                <w:b/>
                <w:lang w:val="hu-HU"/>
              </w:rPr>
              <w:t>sági eredmények a 16. héten</w:t>
            </w:r>
          </w:p>
          <w:p w14:paraId="22AC6AA8" w14:textId="77777777" w:rsidR="00366005" w:rsidRPr="00183B5F" w:rsidRDefault="00366005" w:rsidP="004062FE">
            <w:pPr>
              <w:pStyle w:val="DefaultText"/>
              <w:keepNext/>
              <w:jc w:val="center"/>
              <w:rPr>
                <w:rFonts w:ascii="Times New Roman" w:hAnsi="Times New Roman"/>
                <w:u w:val="single"/>
                <w:lang w:val="hu-HU"/>
              </w:rPr>
            </w:pPr>
          </w:p>
        </w:tc>
      </w:tr>
      <w:tr w:rsidR="00011D2F" w14:paraId="783D44A1" w14:textId="77777777" w:rsidTr="00366005">
        <w:trPr>
          <w:cantSplit/>
          <w:jc w:val="center"/>
        </w:trPr>
        <w:tc>
          <w:tcPr>
            <w:tcW w:w="1639" w:type="dxa"/>
            <w:tcBorders>
              <w:top w:val="single" w:sz="4" w:space="0" w:color="auto"/>
              <w:left w:val="single" w:sz="4" w:space="0" w:color="auto"/>
              <w:bottom w:val="single" w:sz="4" w:space="0" w:color="auto"/>
              <w:right w:val="single" w:sz="4" w:space="0" w:color="auto"/>
            </w:tcBorders>
          </w:tcPr>
          <w:p w14:paraId="3195BD75" w14:textId="77777777" w:rsidR="00366005" w:rsidRPr="00183B5F" w:rsidRDefault="00366005" w:rsidP="004062FE">
            <w:pPr>
              <w:pStyle w:val="DefaultText"/>
              <w:keepNext/>
              <w:jc w:val="center"/>
              <w:rPr>
                <w:rFonts w:ascii="Times New Roman" w:hAnsi="Times New Roman"/>
                <w:b/>
                <w:lang w:val="hu-HU"/>
              </w:rPr>
            </w:pPr>
          </w:p>
        </w:tc>
        <w:tc>
          <w:tcPr>
            <w:tcW w:w="1668" w:type="dxa"/>
            <w:tcBorders>
              <w:top w:val="single" w:sz="4" w:space="0" w:color="auto"/>
              <w:left w:val="single" w:sz="4" w:space="0" w:color="auto"/>
              <w:bottom w:val="single" w:sz="4" w:space="0" w:color="auto"/>
              <w:right w:val="single" w:sz="4" w:space="0" w:color="auto"/>
            </w:tcBorders>
            <w:vAlign w:val="center"/>
            <w:hideMark/>
          </w:tcPr>
          <w:p w14:paraId="589210F6" w14:textId="77777777" w:rsidR="00366005" w:rsidRPr="00183B5F" w:rsidRDefault="00943743" w:rsidP="004062FE">
            <w:pPr>
              <w:pStyle w:val="DefaultText"/>
              <w:keepNext/>
              <w:jc w:val="center"/>
              <w:rPr>
                <w:rFonts w:ascii="Times New Roman" w:hAnsi="Times New Roman"/>
                <w:b/>
                <w:lang w:val="hu-HU"/>
              </w:rPr>
            </w:pPr>
            <w:r w:rsidRPr="00183B5F">
              <w:rPr>
                <w:rFonts w:ascii="Times New Roman" w:hAnsi="Times New Roman"/>
                <w:b/>
                <w:lang w:val="hu-HU"/>
              </w:rPr>
              <w:t>Placebo</w:t>
            </w:r>
          </w:p>
          <w:p w14:paraId="76A196F0" w14:textId="77777777" w:rsidR="00366005" w:rsidRPr="00183B5F" w:rsidRDefault="00943743" w:rsidP="004062FE">
            <w:pPr>
              <w:pStyle w:val="DefaultText"/>
              <w:keepNext/>
              <w:jc w:val="center"/>
              <w:rPr>
                <w:rFonts w:ascii="Times New Roman" w:hAnsi="Times New Roman"/>
                <w:b/>
                <w:lang w:val="hu-HU"/>
              </w:rPr>
            </w:pPr>
            <w:r w:rsidRPr="00183B5F">
              <w:rPr>
                <w:rFonts w:ascii="Times New Roman" w:hAnsi="Times New Roman"/>
                <w:b/>
                <w:lang w:val="hu-HU"/>
              </w:rPr>
              <w:t>N = 53</w:t>
            </w:r>
          </w:p>
          <w:p w14:paraId="302872C5" w14:textId="77777777" w:rsidR="00366005" w:rsidRPr="00183B5F" w:rsidRDefault="00943743" w:rsidP="004062FE">
            <w:pPr>
              <w:pStyle w:val="DefaultText"/>
              <w:keepNext/>
              <w:jc w:val="center"/>
              <w:rPr>
                <w:rFonts w:ascii="Times New Roman" w:hAnsi="Times New Roman"/>
                <w:b/>
                <w:lang w:val="hu-HU"/>
              </w:rPr>
            </w:pPr>
            <w:r w:rsidRPr="00183B5F">
              <w:rPr>
                <w:rFonts w:ascii="Times New Roman" w:hAnsi="Times New Roman"/>
                <w:b/>
                <w:lang w:val="hu-HU"/>
              </w:rPr>
              <w:t>n (%)</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AC7B387" w14:textId="77777777" w:rsidR="00366005" w:rsidRPr="00183B5F" w:rsidRDefault="00943743" w:rsidP="004062FE">
            <w:pPr>
              <w:pStyle w:val="DefaultText"/>
              <w:keepNext/>
              <w:jc w:val="center"/>
              <w:rPr>
                <w:rFonts w:ascii="Times New Roman" w:hAnsi="Times New Roman"/>
                <w:b/>
                <w:lang w:val="hu-HU"/>
              </w:rPr>
            </w:pPr>
            <w:r w:rsidRPr="00183B5F">
              <w:rPr>
                <w:rFonts w:ascii="Times New Roman" w:hAnsi="Times New Roman"/>
                <w:b/>
                <w:lang w:val="hu-HU"/>
              </w:rPr>
              <w:t>Metotrexát</w:t>
            </w:r>
          </w:p>
          <w:p w14:paraId="7A3F1237" w14:textId="77777777" w:rsidR="00366005" w:rsidRPr="00183B5F" w:rsidRDefault="00943743" w:rsidP="004062FE">
            <w:pPr>
              <w:pStyle w:val="DefaultText"/>
              <w:keepNext/>
              <w:jc w:val="center"/>
              <w:rPr>
                <w:rFonts w:ascii="Times New Roman" w:hAnsi="Times New Roman"/>
                <w:b/>
                <w:lang w:val="hu-HU"/>
              </w:rPr>
            </w:pPr>
            <w:r w:rsidRPr="00183B5F">
              <w:rPr>
                <w:rFonts w:ascii="Times New Roman" w:hAnsi="Times New Roman"/>
                <w:b/>
                <w:lang w:val="hu-HU"/>
              </w:rPr>
              <w:t>N = 110</w:t>
            </w:r>
          </w:p>
          <w:p w14:paraId="60AAAF74" w14:textId="77777777" w:rsidR="00366005" w:rsidRPr="00183B5F" w:rsidRDefault="00943743" w:rsidP="004062FE">
            <w:pPr>
              <w:pStyle w:val="DefaultText"/>
              <w:keepNext/>
              <w:jc w:val="center"/>
              <w:rPr>
                <w:rFonts w:ascii="Times New Roman" w:hAnsi="Times New Roman"/>
                <w:b/>
                <w:lang w:val="hu-HU"/>
              </w:rPr>
            </w:pPr>
            <w:r w:rsidRPr="00183B5F">
              <w:rPr>
                <w:rFonts w:ascii="Times New Roman" w:hAnsi="Times New Roman"/>
                <w:b/>
                <w:lang w:val="hu-HU"/>
              </w:rPr>
              <w:t>n (%)</w:t>
            </w:r>
          </w:p>
        </w:tc>
        <w:tc>
          <w:tcPr>
            <w:tcW w:w="2392" w:type="dxa"/>
            <w:tcBorders>
              <w:top w:val="single" w:sz="4" w:space="0" w:color="auto"/>
              <w:left w:val="single" w:sz="4" w:space="0" w:color="auto"/>
              <w:bottom w:val="single" w:sz="4" w:space="0" w:color="auto"/>
              <w:right w:val="single" w:sz="4" w:space="0" w:color="auto"/>
            </w:tcBorders>
            <w:vAlign w:val="center"/>
            <w:hideMark/>
          </w:tcPr>
          <w:p w14:paraId="0F19EF80" w14:textId="77777777" w:rsidR="00366005" w:rsidRPr="00183B5F" w:rsidRDefault="00943743" w:rsidP="004062FE">
            <w:pPr>
              <w:pStyle w:val="DefaultText"/>
              <w:keepNext/>
              <w:jc w:val="center"/>
              <w:rPr>
                <w:rFonts w:ascii="Times New Roman" w:hAnsi="Times New Roman"/>
                <w:b/>
                <w:lang w:val="hu-HU"/>
              </w:rPr>
            </w:pPr>
            <w:r w:rsidRPr="00183B5F">
              <w:rPr>
                <w:rFonts w:ascii="Times New Roman" w:hAnsi="Times New Roman"/>
                <w:b/>
                <w:lang w:val="hu-HU"/>
              </w:rPr>
              <w:t xml:space="preserve">Humira 40 mg </w:t>
            </w:r>
          </w:p>
          <w:p w14:paraId="7105CCBA" w14:textId="77777777" w:rsidR="00366005" w:rsidRPr="00183B5F" w:rsidRDefault="00943743" w:rsidP="004062FE">
            <w:pPr>
              <w:pStyle w:val="DefaultText"/>
              <w:keepNext/>
              <w:jc w:val="center"/>
              <w:rPr>
                <w:rFonts w:ascii="Times New Roman" w:hAnsi="Times New Roman"/>
                <w:b/>
                <w:lang w:val="hu-HU"/>
              </w:rPr>
            </w:pPr>
            <w:r w:rsidRPr="00183B5F">
              <w:rPr>
                <w:rFonts w:ascii="Times New Roman" w:hAnsi="Times New Roman"/>
                <w:b/>
                <w:lang w:val="hu-HU"/>
              </w:rPr>
              <w:t>minden második héten</w:t>
            </w:r>
          </w:p>
          <w:p w14:paraId="068BE380" w14:textId="77777777" w:rsidR="00366005" w:rsidRPr="00183B5F" w:rsidRDefault="00943743" w:rsidP="004062FE">
            <w:pPr>
              <w:pStyle w:val="DefaultText"/>
              <w:keepNext/>
              <w:jc w:val="center"/>
              <w:rPr>
                <w:rFonts w:ascii="Times New Roman" w:hAnsi="Times New Roman"/>
                <w:b/>
                <w:lang w:val="hu-HU"/>
              </w:rPr>
            </w:pPr>
            <w:r w:rsidRPr="00183B5F">
              <w:rPr>
                <w:rFonts w:ascii="Times New Roman" w:hAnsi="Times New Roman"/>
                <w:b/>
                <w:lang w:val="hu-HU"/>
              </w:rPr>
              <w:t>N = 108</w:t>
            </w:r>
          </w:p>
          <w:p w14:paraId="3FA35694" w14:textId="77777777" w:rsidR="00366005" w:rsidRPr="00183B5F" w:rsidRDefault="00943743" w:rsidP="004062FE">
            <w:pPr>
              <w:pStyle w:val="DefaultText"/>
              <w:keepNext/>
              <w:jc w:val="center"/>
              <w:rPr>
                <w:rFonts w:ascii="Times New Roman" w:hAnsi="Times New Roman"/>
                <w:b/>
                <w:lang w:val="hu-HU"/>
              </w:rPr>
            </w:pPr>
            <w:r w:rsidRPr="00183B5F">
              <w:rPr>
                <w:rFonts w:ascii="Times New Roman" w:hAnsi="Times New Roman"/>
                <w:b/>
                <w:lang w:val="hu-HU"/>
              </w:rPr>
              <w:t>n (%)</w:t>
            </w:r>
          </w:p>
        </w:tc>
      </w:tr>
      <w:tr w:rsidR="00011D2F" w14:paraId="2DA823EC" w14:textId="77777777" w:rsidTr="00366005">
        <w:trPr>
          <w:cantSplit/>
          <w:jc w:val="center"/>
        </w:trPr>
        <w:tc>
          <w:tcPr>
            <w:tcW w:w="1639" w:type="dxa"/>
            <w:tcBorders>
              <w:top w:val="single" w:sz="4" w:space="0" w:color="auto"/>
              <w:left w:val="single" w:sz="4" w:space="0" w:color="auto"/>
              <w:bottom w:val="single" w:sz="4" w:space="0" w:color="auto"/>
              <w:right w:val="single" w:sz="4" w:space="0" w:color="auto"/>
            </w:tcBorders>
            <w:hideMark/>
          </w:tcPr>
          <w:p w14:paraId="617EBEA9" w14:textId="77777777" w:rsidR="00366005" w:rsidRPr="00183B5F" w:rsidRDefault="00943743" w:rsidP="004062FE">
            <w:pPr>
              <w:pStyle w:val="DefaultText"/>
              <w:keepNext/>
              <w:rPr>
                <w:rFonts w:ascii="Times New Roman" w:hAnsi="Times New Roman"/>
                <w:b/>
                <w:lang w:val="hu-HU"/>
              </w:rPr>
            </w:pPr>
            <w:r w:rsidRPr="00183B5F">
              <w:rPr>
                <w:rFonts w:ascii="Times New Roman" w:hAnsi="Times New Roman"/>
                <w:b/>
                <w:lang w:val="hu-HU"/>
              </w:rPr>
              <w:t xml:space="preserve">    </w:t>
            </w:r>
            <w:r w:rsidRPr="00183B5F">
              <w:rPr>
                <w:rFonts w:ascii="Symbol" w:hAnsi="Symbol"/>
                <w:b/>
                <w:lang w:val="hu-HU"/>
              </w:rPr>
              <w:sym w:font="Symbol" w:char="F0B3"/>
            </w:r>
            <w:r w:rsidRPr="00183B5F">
              <w:rPr>
                <w:rFonts w:ascii="Times New Roman" w:hAnsi="Times New Roman"/>
                <w:b/>
                <w:lang w:val="hu-HU"/>
              </w:rPr>
              <w:t>PASI 75</w:t>
            </w:r>
          </w:p>
        </w:tc>
        <w:tc>
          <w:tcPr>
            <w:tcW w:w="1668" w:type="dxa"/>
            <w:tcBorders>
              <w:top w:val="single" w:sz="4" w:space="0" w:color="auto"/>
              <w:left w:val="single" w:sz="4" w:space="0" w:color="auto"/>
              <w:bottom w:val="single" w:sz="4" w:space="0" w:color="auto"/>
              <w:right w:val="single" w:sz="4" w:space="0" w:color="auto"/>
            </w:tcBorders>
            <w:hideMark/>
          </w:tcPr>
          <w:p w14:paraId="56654211" w14:textId="77777777" w:rsidR="00366005" w:rsidRPr="00183B5F" w:rsidRDefault="00943743" w:rsidP="004062FE">
            <w:pPr>
              <w:pStyle w:val="DefaultText"/>
              <w:keepNext/>
              <w:jc w:val="center"/>
              <w:rPr>
                <w:rFonts w:ascii="Times New Roman" w:hAnsi="Times New Roman"/>
                <w:lang w:val="hu-HU"/>
              </w:rPr>
            </w:pPr>
            <w:r w:rsidRPr="00183B5F">
              <w:rPr>
                <w:rFonts w:ascii="Times New Roman" w:hAnsi="Times New Roman"/>
                <w:lang w:val="hu-HU"/>
              </w:rPr>
              <w:t>10 (18,9)</w:t>
            </w:r>
          </w:p>
        </w:tc>
        <w:tc>
          <w:tcPr>
            <w:tcW w:w="1347" w:type="dxa"/>
            <w:tcBorders>
              <w:top w:val="single" w:sz="4" w:space="0" w:color="auto"/>
              <w:left w:val="single" w:sz="4" w:space="0" w:color="auto"/>
              <w:bottom w:val="single" w:sz="4" w:space="0" w:color="auto"/>
              <w:right w:val="single" w:sz="4" w:space="0" w:color="auto"/>
            </w:tcBorders>
            <w:hideMark/>
          </w:tcPr>
          <w:p w14:paraId="05A47CDE" w14:textId="77777777" w:rsidR="00366005" w:rsidRPr="00183B5F" w:rsidRDefault="00943743" w:rsidP="004062FE">
            <w:pPr>
              <w:pStyle w:val="DefaultText"/>
              <w:keepNext/>
              <w:jc w:val="center"/>
              <w:rPr>
                <w:rFonts w:ascii="Times New Roman" w:hAnsi="Times New Roman"/>
                <w:lang w:val="hu-HU"/>
              </w:rPr>
            </w:pPr>
            <w:r w:rsidRPr="00183B5F">
              <w:rPr>
                <w:rFonts w:ascii="Times New Roman" w:hAnsi="Times New Roman"/>
                <w:lang w:val="hu-HU"/>
              </w:rPr>
              <w:t>39 (35,5)</w:t>
            </w:r>
          </w:p>
        </w:tc>
        <w:tc>
          <w:tcPr>
            <w:tcW w:w="2392" w:type="dxa"/>
            <w:tcBorders>
              <w:top w:val="single" w:sz="4" w:space="0" w:color="auto"/>
              <w:left w:val="single" w:sz="4" w:space="0" w:color="auto"/>
              <w:bottom w:val="single" w:sz="4" w:space="0" w:color="auto"/>
              <w:right w:val="single" w:sz="4" w:space="0" w:color="auto"/>
            </w:tcBorders>
            <w:hideMark/>
          </w:tcPr>
          <w:p w14:paraId="1256F956" w14:textId="77777777" w:rsidR="00366005" w:rsidRPr="00183B5F" w:rsidRDefault="00943743" w:rsidP="004062FE">
            <w:pPr>
              <w:pStyle w:val="DefaultText"/>
              <w:keepNext/>
              <w:jc w:val="center"/>
              <w:rPr>
                <w:rFonts w:ascii="Times New Roman" w:hAnsi="Times New Roman"/>
                <w:lang w:val="hu-HU"/>
              </w:rPr>
            </w:pPr>
            <w:r w:rsidRPr="00183B5F">
              <w:rPr>
                <w:rFonts w:ascii="Times New Roman" w:hAnsi="Times New Roman"/>
                <w:lang w:val="hu-HU"/>
              </w:rPr>
              <w:t>86 (79,6)</w:t>
            </w:r>
            <w:r w:rsidRPr="00183B5F">
              <w:rPr>
                <w:rFonts w:ascii="Times New Roman" w:hAnsi="Times New Roman"/>
                <w:vertAlign w:val="superscript"/>
                <w:lang w:val="hu-HU"/>
              </w:rPr>
              <w:t xml:space="preserve"> a, b</w:t>
            </w:r>
          </w:p>
        </w:tc>
      </w:tr>
      <w:tr w:rsidR="00011D2F" w14:paraId="12A05948" w14:textId="77777777" w:rsidTr="00366005">
        <w:trPr>
          <w:cantSplit/>
          <w:jc w:val="center"/>
        </w:trPr>
        <w:tc>
          <w:tcPr>
            <w:tcW w:w="1639" w:type="dxa"/>
            <w:tcBorders>
              <w:top w:val="single" w:sz="4" w:space="0" w:color="auto"/>
              <w:left w:val="single" w:sz="4" w:space="0" w:color="auto"/>
              <w:bottom w:val="single" w:sz="4" w:space="0" w:color="auto"/>
              <w:right w:val="single" w:sz="4" w:space="0" w:color="auto"/>
            </w:tcBorders>
            <w:hideMark/>
          </w:tcPr>
          <w:p w14:paraId="2676D9BF" w14:textId="77777777" w:rsidR="00366005" w:rsidRPr="00183B5F" w:rsidRDefault="00943743" w:rsidP="004062FE">
            <w:pPr>
              <w:pStyle w:val="DefaultText"/>
              <w:keepNext/>
              <w:rPr>
                <w:rFonts w:ascii="Times New Roman" w:hAnsi="Times New Roman"/>
                <w:b/>
                <w:lang w:val="hu-HU"/>
              </w:rPr>
            </w:pPr>
            <w:r w:rsidRPr="00183B5F">
              <w:rPr>
                <w:rFonts w:ascii="Times New Roman" w:hAnsi="Times New Roman"/>
                <w:b/>
                <w:lang w:val="hu-HU"/>
              </w:rPr>
              <w:t xml:space="preserve">    PASI 100</w:t>
            </w:r>
          </w:p>
        </w:tc>
        <w:tc>
          <w:tcPr>
            <w:tcW w:w="1668" w:type="dxa"/>
            <w:tcBorders>
              <w:top w:val="single" w:sz="4" w:space="0" w:color="auto"/>
              <w:left w:val="single" w:sz="4" w:space="0" w:color="auto"/>
              <w:bottom w:val="single" w:sz="4" w:space="0" w:color="auto"/>
              <w:right w:val="single" w:sz="4" w:space="0" w:color="auto"/>
            </w:tcBorders>
            <w:hideMark/>
          </w:tcPr>
          <w:p w14:paraId="388C3307" w14:textId="77777777" w:rsidR="00366005" w:rsidRPr="00183B5F" w:rsidRDefault="00943743" w:rsidP="004062FE">
            <w:pPr>
              <w:pStyle w:val="DefaultText"/>
              <w:keepNext/>
              <w:jc w:val="center"/>
              <w:rPr>
                <w:rFonts w:ascii="Times New Roman" w:hAnsi="Times New Roman"/>
                <w:lang w:val="hu-HU"/>
              </w:rPr>
            </w:pPr>
            <w:r w:rsidRPr="00183B5F">
              <w:rPr>
                <w:rFonts w:ascii="Times New Roman" w:hAnsi="Times New Roman"/>
                <w:lang w:val="hu-HU"/>
              </w:rPr>
              <w:t>1 (1,9)</w:t>
            </w:r>
          </w:p>
        </w:tc>
        <w:tc>
          <w:tcPr>
            <w:tcW w:w="1347" w:type="dxa"/>
            <w:tcBorders>
              <w:top w:val="single" w:sz="4" w:space="0" w:color="auto"/>
              <w:left w:val="single" w:sz="4" w:space="0" w:color="auto"/>
              <w:bottom w:val="single" w:sz="4" w:space="0" w:color="auto"/>
              <w:right w:val="single" w:sz="4" w:space="0" w:color="auto"/>
            </w:tcBorders>
            <w:hideMark/>
          </w:tcPr>
          <w:p w14:paraId="758E67AF" w14:textId="77777777" w:rsidR="00366005" w:rsidRPr="00183B5F" w:rsidRDefault="00943743" w:rsidP="004062FE">
            <w:pPr>
              <w:pStyle w:val="DefaultText"/>
              <w:keepNext/>
              <w:jc w:val="center"/>
              <w:rPr>
                <w:rFonts w:ascii="Times New Roman" w:hAnsi="Times New Roman"/>
                <w:lang w:val="hu-HU"/>
              </w:rPr>
            </w:pPr>
            <w:r w:rsidRPr="00183B5F">
              <w:rPr>
                <w:rFonts w:ascii="Times New Roman" w:hAnsi="Times New Roman"/>
                <w:lang w:val="hu-HU"/>
              </w:rPr>
              <w:t>8 (7,3)</w:t>
            </w:r>
          </w:p>
        </w:tc>
        <w:tc>
          <w:tcPr>
            <w:tcW w:w="2392" w:type="dxa"/>
            <w:tcBorders>
              <w:top w:val="single" w:sz="4" w:space="0" w:color="auto"/>
              <w:left w:val="single" w:sz="4" w:space="0" w:color="auto"/>
              <w:bottom w:val="single" w:sz="4" w:space="0" w:color="auto"/>
              <w:right w:val="single" w:sz="4" w:space="0" w:color="auto"/>
            </w:tcBorders>
            <w:hideMark/>
          </w:tcPr>
          <w:p w14:paraId="732CA419" w14:textId="77777777" w:rsidR="00366005" w:rsidRPr="00183B5F" w:rsidRDefault="00943743" w:rsidP="004062FE">
            <w:pPr>
              <w:pStyle w:val="DefaultText"/>
              <w:keepNext/>
              <w:jc w:val="center"/>
              <w:rPr>
                <w:rFonts w:ascii="Times New Roman" w:hAnsi="Times New Roman"/>
                <w:lang w:val="hu-HU"/>
              </w:rPr>
            </w:pPr>
            <w:r w:rsidRPr="00183B5F">
              <w:rPr>
                <w:rFonts w:ascii="Times New Roman" w:hAnsi="Times New Roman"/>
                <w:lang w:val="hu-HU"/>
              </w:rPr>
              <w:t>18 (16,7)</w:t>
            </w:r>
            <w:r w:rsidRPr="00183B5F">
              <w:rPr>
                <w:rFonts w:ascii="Times New Roman" w:hAnsi="Times New Roman"/>
                <w:vertAlign w:val="superscript"/>
                <w:lang w:val="hu-HU"/>
              </w:rPr>
              <w:t xml:space="preserve"> c, d</w:t>
            </w:r>
          </w:p>
        </w:tc>
      </w:tr>
      <w:tr w:rsidR="00011D2F" w14:paraId="24266B79" w14:textId="77777777" w:rsidTr="00366005">
        <w:trPr>
          <w:cantSplit/>
          <w:jc w:val="center"/>
        </w:trPr>
        <w:tc>
          <w:tcPr>
            <w:tcW w:w="1639" w:type="dxa"/>
            <w:tcBorders>
              <w:top w:val="single" w:sz="4" w:space="0" w:color="auto"/>
              <w:left w:val="single" w:sz="4" w:space="0" w:color="auto"/>
              <w:bottom w:val="single" w:sz="4" w:space="0" w:color="auto"/>
              <w:right w:val="single" w:sz="4" w:space="0" w:color="auto"/>
            </w:tcBorders>
            <w:hideMark/>
          </w:tcPr>
          <w:p w14:paraId="2C8DDEEC" w14:textId="77777777" w:rsidR="00366005" w:rsidRPr="00183B5F" w:rsidRDefault="00943743" w:rsidP="004062FE">
            <w:pPr>
              <w:pStyle w:val="DefaultText"/>
              <w:keepNext/>
              <w:rPr>
                <w:rFonts w:ascii="Times New Roman" w:hAnsi="Times New Roman"/>
                <w:b/>
                <w:lang w:val="hu-HU"/>
              </w:rPr>
            </w:pPr>
            <w:r w:rsidRPr="00183B5F">
              <w:rPr>
                <w:rFonts w:ascii="Times New Roman" w:hAnsi="Times New Roman"/>
                <w:b/>
                <w:lang w:val="hu-HU"/>
              </w:rPr>
              <w:t xml:space="preserve">    PGA: tiszta/minimális</w:t>
            </w:r>
          </w:p>
        </w:tc>
        <w:tc>
          <w:tcPr>
            <w:tcW w:w="1668" w:type="dxa"/>
            <w:tcBorders>
              <w:top w:val="single" w:sz="4" w:space="0" w:color="auto"/>
              <w:left w:val="single" w:sz="4" w:space="0" w:color="auto"/>
              <w:bottom w:val="single" w:sz="4" w:space="0" w:color="auto"/>
              <w:right w:val="single" w:sz="4" w:space="0" w:color="auto"/>
            </w:tcBorders>
            <w:hideMark/>
          </w:tcPr>
          <w:p w14:paraId="59ADCD50" w14:textId="77777777" w:rsidR="00366005" w:rsidRPr="00183B5F" w:rsidRDefault="00943743" w:rsidP="004062FE">
            <w:pPr>
              <w:pStyle w:val="DefaultText"/>
              <w:keepNext/>
              <w:jc w:val="center"/>
              <w:rPr>
                <w:rFonts w:ascii="Times New Roman" w:hAnsi="Times New Roman"/>
                <w:lang w:val="hu-HU"/>
              </w:rPr>
            </w:pPr>
            <w:r w:rsidRPr="00183B5F">
              <w:rPr>
                <w:rFonts w:ascii="Times New Roman" w:hAnsi="Times New Roman"/>
                <w:lang w:val="hu-HU"/>
              </w:rPr>
              <w:t>6 (11,3)</w:t>
            </w:r>
          </w:p>
        </w:tc>
        <w:tc>
          <w:tcPr>
            <w:tcW w:w="1347" w:type="dxa"/>
            <w:tcBorders>
              <w:top w:val="single" w:sz="4" w:space="0" w:color="auto"/>
              <w:left w:val="single" w:sz="4" w:space="0" w:color="auto"/>
              <w:bottom w:val="single" w:sz="4" w:space="0" w:color="auto"/>
              <w:right w:val="single" w:sz="4" w:space="0" w:color="auto"/>
            </w:tcBorders>
            <w:hideMark/>
          </w:tcPr>
          <w:p w14:paraId="7BAA5E22" w14:textId="77777777" w:rsidR="00366005" w:rsidRPr="00183B5F" w:rsidRDefault="00943743" w:rsidP="004062FE">
            <w:pPr>
              <w:pStyle w:val="DefaultText"/>
              <w:keepNext/>
              <w:jc w:val="center"/>
              <w:rPr>
                <w:rFonts w:ascii="Times New Roman" w:hAnsi="Times New Roman"/>
                <w:lang w:val="hu-HU"/>
              </w:rPr>
            </w:pPr>
            <w:r w:rsidRPr="00183B5F">
              <w:rPr>
                <w:rFonts w:ascii="Times New Roman" w:hAnsi="Times New Roman"/>
                <w:lang w:val="hu-HU"/>
              </w:rPr>
              <w:t>33 (30,0)</w:t>
            </w:r>
          </w:p>
        </w:tc>
        <w:tc>
          <w:tcPr>
            <w:tcW w:w="2392" w:type="dxa"/>
            <w:tcBorders>
              <w:top w:val="single" w:sz="4" w:space="0" w:color="auto"/>
              <w:left w:val="single" w:sz="4" w:space="0" w:color="auto"/>
              <w:bottom w:val="single" w:sz="4" w:space="0" w:color="auto"/>
              <w:right w:val="single" w:sz="4" w:space="0" w:color="auto"/>
            </w:tcBorders>
            <w:hideMark/>
          </w:tcPr>
          <w:p w14:paraId="51EA4A04" w14:textId="77777777" w:rsidR="00366005" w:rsidRPr="00183B5F" w:rsidRDefault="00943743" w:rsidP="004062FE">
            <w:pPr>
              <w:pStyle w:val="DefaultText"/>
              <w:keepNext/>
              <w:jc w:val="center"/>
              <w:rPr>
                <w:rFonts w:ascii="Times New Roman" w:hAnsi="Times New Roman"/>
                <w:lang w:val="hu-HU"/>
              </w:rPr>
            </w:pPr>
            <w:r w:rsidRPr="00183B5F">
              <w:rPr>
                <w:rFonts w:ascii="Times New Roman" w:hAnsi="Times New Roman"/>
                <w:lang w:val="hu-HU"/>
              </w:rPr>
              <w:t>79 (73,1)</w:t>
            </w:r>
            <w:r w:rsidRPr="00183B5F">
              <w:rPr>
                <w:rFonts w:ascii="Times New Roman" w:hAnsi="Times New Roman"/>
                <w:vertAlign w:val="superscript"/>
                <w:lang w:val="hu-HU"/>
              </w:rPr>
              <w:t xml:space="preserve"> a, b</w:t>
            </w:r>
          </w:p>
        </w:tc>
      </w:tr>
      <w:tr w:rsidR="00011D2F" w14:paraId="23F9C5A3" w14:textId="77777777" w:rsidTr="00366005">
        <w:trPr>
          <w:cantSplit/>
          <w:jc w:val="center"/>
        </w:trPr>
        <w:tc>
          <w:tcPr>
            <w:tcW w:w="7046" w:type="dxa"/>
            <w:gridSpan w:val="4"/>
            <w:tcBorders>
              <w:top w:val="single" w:sz="4" w:space="0" w:color="auto"/>
              <w:left w:val="single" w:sz="4" w:space="0" w:color="auto"/>
              <w:bottom w:val="single" w:sz="4" w:space="0" w:color="auto"/>
              <w:right w:val="single" w:sz="4" w:space="0" w:color="auto"/>
            </w:tcBorders>
            <w:hideMark/>
          </w:tcPr>
          <w:p w14:paraId="70F5C9A3" w14:textId="77777777" w:rsidR="00366005" w:rsidRPr="00183B5F" w:rsidRDefault="00943743" w:rsidP="004062FE">
            <w:pPr>
              <w:pStyle w:val="DefaultText"/>
              <w:keepNext/>
              <w:rPr>
                <w:rFonts w:ascii="Times New Roman" w:hAnsi="Times New Roman"/>
                <w:szCs w:val="22"/>
                <w:lang w:val="hu-HU"/>
              </w:rPr>
            </w:pPr>
            <w:r w:rsidRPr="00183B5F">
              <w:rPr>
                <w:rFonts w:ascii="Times New Roman" w:hAnsi="Times New Roman"/>
                <w:szCs w:val="22"/>
                <w:vertAlign w:val="superscript"/>
                <w:lang w:val="hu-HU"/>
              </w:rPr>
              <w:t>a</w:t>
            </w:r>
            <w:r w:rsidRPr="00183B5F">
              <w:rPr>
                <w:rFonts w:ascii="Times New Roman" w:hAnsi="Times New Roman"/>
                <w:szCs w:val="22"/>
                <w:lang w:val="hu-HU"/>
              </w:rPr>
              <w:t xml:space="preserve"> p &lt; 0,001 Humira vs. placebo</w:t>
            </w:r>
          </w:p>
          <w:p w14:paraId="20455366" w14:textId="77777777" w:rsidR="00366005" w:rsidRPr="00183B5F" w:rsidRDefault="00943743" w:rsidP="004062FE">
            <w:pPr>
              <w:pStyle w:val="DefaultText"/>
              <w:keepNext/>
              <w:rPr>
                <w:rFonts w:ascii="Times New Roman" w:hAnsi="Times New Roman"/>
                <w:szCs w:val="22"/>
                <w:lang w:val="hu-HU"/>
              </w:rPr>
            </w:pPr>
            <w:r w:rsidRPr="00183B5F">
              <w:rPr>
                <w:rFonts w:ascii="Times New Roman" w:hAnsi="Times New Roman"/>
                <w:szCs w:val="22"/>
                <w:vertAlign w:val="superscript"/>
                <w:lang w:val="hu-HU"/>
              </w:rPr>
              <w:t>b</w:t>
            </w:r>
            <w:r w:rsidRPr="00183B5F">
              <w:rPr>
                <w:rFonts w:ascii="Times New Roman" w:hAnsi="Times New Roman"/>
                <w:szCs w:val="22"/>
                <w:lang w:val="hu-HU"/>
              </w:rPr>
              <w:t xml:space="preserve"> p &lt; 0,001 Humira vs. metotrexát</w:t>
            </w:r>
          </w:p>
          <w:p w14:paraId="1E9D3A29" w14:textId="77777777" w:rsidR="00366005" w:rsidRPr="00183B5F" w:rsidRDefault="00943743" w:rsidP="004062FE">
            <w:pPr>
              <w:pStyle w:val="DefaultText"/>
              <w:keepNext/>
              <w:rPr>
                <w:rFonts w:ascii="Times New Roman" w:hAnsi="Times New Roman"/>
                <w:szCs w:val="22"/>
                <w:lang w:val="hu-HU"/>
              </w:rPr>
            </w:pPr>
            <w:r w:rsidRPr="00183B5F">
              <w:rPr>
                <w:rFonts w:ascii="Times New Roman" w:hAnsi="Times New Roman"/>
                <w:szCs w:val="22"/>
                <w:vertAlign w:val="superscript"/>
                <w:lang w:val="hu-HU"/>
              </w:rPr>
              <w:t>c</w:t>
            </w:r>
            <w:r w:rsidRPr="00183B5F">
              <w:rPr>
                <w:rFonts w:ascii="Times New Roman" w:hAnsi="Times New Roman"/>
                <w:szCs w:val="22"/>
                <w:lang w:val="hu-HU"/>
              </w:rPr>
              <w:t xml:space="preserve"> p &lt; 0,01 Humira vs. placebo</w:t>
            </w:r>
          </w:p>
          <w:p w14:paraId="10CD0306" w14:textId="77777777" w:rsidR="00366005" w:rsidRPr="00183B5F" w:rsidRDefault="00943743" w:rsidP="004062FE">
            <w:pPr>
              <w:pStyle w:val="DefaultText"/>
              <w:keepNext/>
              <w:rPr>
                <w:rFonts w:ascii="Times New Roman" w:hAnsi="Times New Roman"/>
                <w:szCs w:val="22"/>
                <w:lang w:val="hu-HU"/>
              </w:rPr>
            </w:pPr>
            <w:r w:rsidRPr="00183B5F">
              <w:rPr>
                <w:rFonts w:ascii="Times New Roman" w:hAnsi="Times New Roman"/>
                <w:szCs w:val="22"/>
                <w:vertAlign w:val="superscript"/>
                <w:lang w:val="hu-HU"/>
              </w:rPr>
              <w:t>d</w:t>
            </w:r>
            <w:r w:rsidRPr="00183B5F">
              <w:rPr>
                <w:rFonts w:ascii="Times New Roman" w:hAnsi="Times New Roman"/>
                <w:szCs w:val="22"/>
                <w:lang w:val="hu-HU"/>
              </w:rPr>
              <w:t xml:space="preserve"> p &lt; 0,05 Humira vs. metotrexát</w:t>
            </w:r>
          </w:p>
        </w:tc>
      </w:tr>
    </w:tbl>
    <w:p w14:paraId="401FCA7E" w14:textId="77777777" w:rsidR="00366005" w:rsidRPr="00183B5F" w:rsidRDefault="00366005">
      <w:pPr>
        <w:spacing w:line="240" w:lineRule="auto"/>
        <w:rPr>
          <w:b/>
          <w:bCs/>
          <w:szCs w:val="22"/>
        </w:rPr>
      </w:pPr>
    </w:p>
    <w:p w14:paraId="1EA81A2B" w14:textId="77777777" w:rsidR="00366005" w:rsidRPr="00183B5F" w:rsidRDefault="00943743">
      <w:pPr>
        <w:spacing w:line="240" w:lineRule="auto"/>
        <w:rPr>
          <w:szCs w:val="22"/>
        </w:rPr>
      </w:pPr>
      <w:r w:rsidRPr="00183B5F">
        <w:rPr>
          <w:szCs w:val="22"/>
        </w:rPr>
        <w:t>A Psoriasis I vizsgálatban a PASI 75 választ adó és a 33. héten újra placebóra randomizált betegek 28%</w:t>
      </w:r>
      <w:r w:rsidRPr="00183B5F">
        <w:rPr>
          <w:szCs w:val="22"/>
        </w:rPr>
        <w:noBreakHyphen/>
        <w:t xml:space="preserve">ánál „a megfelelő </w:t>
      </w:r>
      <w:r w:rsidR="00B52567" w:rsidRPr="00183B5F">
        <w:rPr>
          <w:szCs w:val="22"/>
        </w:rPr>
        <w:t xml:space="preserve">terápiás válasz </w:t>
      </w:r>
      <w:r w:rsidRPr="00183B5F">
        <w:rPr>
          <w:szCs w:val="22"/>
        </w:rPr>
        <w:t>elvesztését” (a PASI</w:t>
      </w:r>
      <w:r w:rsidRPr="00183B5F">
        <w:rPr>
          <w:szCs w:val="22"/>
        </w:rPr>
        <w:noBreakHyphen/>
        <w:t>pontszám a 33. hét után és az 52. héten vagy előtte, amely a kiindulási értékhez képest &lt; PASI 50 választ eredményez, a 33. héthez viszonyítva minimum 6 PASI</w:t>
      </w:r>
      <w:r w:rsidR="00B52567" w:rsidRPr="00183B5F">
        <w:rPr>
          <w:szCs w:val="22"/>
        </w:rPr>
        <w:t>-</w:t>
      </w:r>
      <w:r w:rsidRPr="00183B5F">
        <w:rPr>
          <w:szCs w:val="22"/>
        </w:rPr>
        <w:t>pontos növekedéssel) tapasztalták, a Humira</w:t>
      </w:r>
      <w:r w:rsidRPr="00183B5F">
        <w:rPr>
          <w:szCs w:val="22"/>
        </w:rPr>
        <w:noBreakHyphen/>
        <w:t>kezelést folytató betegeknél észlelt 5%</w:t>
      </w:r>
      <w:r w:rsidRPr="00183B5F">
        <w:rPr>
          <w:szCs w:val="22"/>
        </w:rPr>
        <w:noBreakHyphen/>
        <w:t>kal szemben (p &lt; 0,001). Azok közül a betegek közül, akik a placebóra ismételt randomizálást követően elvesztették a megfelelő választ, és akiket beválogattak a nyílt elrendezésű kiterjesztéses vizsgálatba, a 12, i</w:t>
      </w:r>
      <w:r w:rsidRPr="00183B5F">
        <w:rPr>
          <w:szCs w:val="22"/>
        </w:rPr>
        <w:t>lletve 24 hetes újbóli kezelést követően sorrendben 38% (25/66) és 55% (36/66) nyerte vissza a PASI 75 választ.</w:t>
      </w:r>
    </w:p>
    <w:p w14:paraId="3200A7A8" w14:textId="77777777" w:rsidR="00366005" w:rsidRPr="00183B5F" w:rsidRDefault="00366005">
      <w:pPr>
        <w:spacing w:line="240" w:lineRule="auto"/>
        <w:rPr>
          <w:szCs w:val="22"/>
        </w:rPr>
      </w:pPr>
    </w:p>
    <w:p w14:paraId="5E2CAF2C" w14:textId="77777777" w:rsidR="00366005" w:rsidRPr="00183B5F" w:rsidRDefault="00943743">
      <w:pPr>
        <w:spacing w:line="240" w:lineRule="auto"/>
        <w:rPr>
          <w:szCs w:val="22"/>
        </w:rPr>
      </w:pPr>
      <w:r w:rsidRPr="00183B5F">
        <w:rPr>
          <w:szCs w:val="22"/>
        </w:rPr>
        <w:t>A 16. és a 33. héten összesen 233 PASI 75 reszponder részesült folyamatos Humira</w:t>
      </w:r>
      <w:r w:rsidRPr="00183B5F">
        <w:rPr>
          <w:szCs w:val="22"/>
        </w:rPr>
        <w:noBreakHyphen/>
        <w:t>kezelésben 52 héten át a Psoriasis I vizsgálatban, és folytatta a Humira alkalmazását a nyílt elrendezésű kiterjesztéses vizsgálatban. A PASI 75 és a tiszta</w:t>
      </w:r>
      <w:r w:rsidRPr="00183B5F">
        <w:rPr>
          <w:b/>
          <w:bCs/>
          <w:szCs w:val="22"/>
        </w:rPr>
        <w:t xml:space="preserve"> </w:t>
      </w:r>
      <w:r w:rsidRPr="00183B5F">
        <w:rPr>
          <w:szCs w:val="22"/>
        </w:rPr>
        <w:t>vagy minimális PGA terápiás válaszarány ezeknél a betegeknél 74,7%, illetve 59,0% volt a megadott sorrendben a nyílt elrendezésű kezelés további 108 hetes időszakát követően (összesen 160 hét). Egy olyan elemzésben, amelyben non</w:t>
      </w:r>
      <w:r w:rsidRPr="00183B5F">
        <w:rPr>
          <w:szCs w:val="22"/>
        </w:rPr>
        <w:noBreakHyphen/>
        <w:t>reszpondernek tekintettek minden olyan beteget, aki nemkívánatos események vagy a hatásosság hiánya miatt idő előtt abbahagyt</w:t>
      </w:r>
      <w:r w:rsidRPr="00183B5F">
        <w:rPr>
          <w:szCs w:val="22"/>
        </w:rPr>
        <w:t>a a vizsgálatot, vagy akinél dózis</w:t>
      </w:r>
      <w:r w:rsidRPr="00183B5F">
        <w:rPr>
          <w:szCs w:val="22"/>
        </w:rPr>
        <w:noBreakHyphen/>
        <w:t>eszkalációra került sor, a PASI 75 és a tiszta vagy minimális PGA terápiás válaszarány ezeknél a betegeknél 69,6%, illetve 55,7% volt a megadott sorrendben a nyílt elrendezésű kezelés további 108 hetes időszakát követően (összesen 160 hét).</w:t>
      </w:r>
    </w:p>
    <w:p w14:paraId="73490E56" w14:textId="77777777" w:rsidR="00366005" w:rsidRPr="00183B5F" w:rsidRDefault="00366005">
      <w:pPr>
        <w:spacing w:line="240" w:lineRule="auto"/>
        <w:rPr>
          <w:szCs w:val="22"/>
        </w:rPr>
      </w:pPr>
    </w:p>
    <w:p w14:paraId="54B7F3E6" w14:textId="77777777" w:rsidR="00366005" w:rsidRPr="00183B5F" w:rsidRDefault="00943743">
      <w:pPr>
        <w:spacing w:line="240" w:lineRule="auto"/>
        <w:rPr>
          <w:szCs w:val="22"/>
        </w:rPr>
      </w:pPr>
      <w:r w:rsidRPr="00183B5F">
        <w:rPr>
          <w:szCs w:val="22"/>
        </w:rPr>
        <w:t>Összesen 347, stabil reszponder vett részt egy, a kezelés abbahagyását majd újrakezdését elemző nyílt elrendezésű kiterjesztéses vizsgálatban. A kezelés abbahagyásának időszakában a psoriasis tünetei a relapsusig („közepesen súlyos” vagy rosszabb PGA</w:t>
      </w:r>
      <w:r w:rsidRPr="00183B5F">
        <w:rPr>
          <w:szCs w:val="22"/>
        </w:rPr>
        <w:noBreakHyphen/>
        <w:t>ra csökkenés) eltelő kb. 5 hónapos medián időtartam mellett újultak ki. A megvonásos időszakban ezek közül a betegek közül egynél sem alakult ki rebound hatás. Az összes olyan beteg 76,5%</w:t>
      </w:r>
      <w:r w:rsidRPr="00183B5F">
        <w:rPr>
          <w:szCs w:val="22"/>
        </w:rPr>
        <w:noBreakHyphen/>
        <w:t>ánál (218/285), akik újból elkezdték a kezelést, „tiszta” vagy „minimális” PGA terápiás válasz alakult ki 16 héttel a kezelés újrakezdése után, függetlenül attól, hogy volt</w:t>
      </w:r>
      <w:r w:rsidRPr="00183B5F">
        <w:rPr>
          <w:szCs w:val="22"/>
        </w:rPr>
        <w:noBreakHyphen/>
        <w:t>e relapsusuk a kezelés abbahagyása során (69,1% [123/178] olyan betegeknél, akiknek volt relapsusuk és 88,8% [95/107] olyanoknál, akiknek nem volt rel</w:t>
      </w:r>
      <w:r w:rsidRPr="00183B5F">
        <w:rPr>
          <w:szCs w:val="22"/>
        </w:rPr>
        <w:t>apsusuk a kezelés abbahagyásának időszakában). Hasonló bizonságossági profilt figyeltek meg a kezelés újrakezdése során, mint abbahagyása előtt.</w:t>
      </w:r>
    </w:p>
    <w:p w14:paraId="3014A5BB" w14:textId="77777777" w:rsidR="00366005" w:rsidRPr="00183B5F" w:rsidRDefault="00366005">
      <w:pPr>
        <w:autoSpaceDE w:val="0"/>
        <w:autoSpaceDN w:val="0"/>
        <w:adjustRightInd w:val="0"/>
        <w:spacing w:line="240" w:lineRule="auto"/>
        <w:rPr>
          <w:szCs w:val="22"/>
        </w:rPr>
      </w:pPr>
    </w:p>
    <w:p w14:paraId="2326D558" w14:textId="77777777" w:rsidR="00366005" w:rsidRPr="00183B5F" w:rsidRDefault="00943743">
      <w:pPr>
        <w:autoSpaceDE w:val="0"/>
        <w:autoSpaceDN w:val="0"/>
        <w:adjustRightInd w:val="0"/>
        <w:spacing w:line="240" w:lineRule="auto"/>
        <w:rPr>
          <w:szCs w:val="22"/>
        </w:rPr>
      </w:pPr>
      <w:r w:rsidRPr="00183B5F">
        <w:rPr>
          <w:szCs w:val="22"/>
        </w:rPr>
        <w:t>A placebóhoz (I és II vizsgálat) és a metotrexáthoz (II vizsgálat) képest a kiindulási értéktől számítva a 16. héten a bőrgyógyászati életminőségi index (DLQI – Dermatology Life Quality Index) jelentős javulását igazolták. Az I. vizsgálatban az SF</w:t>
      </w:r>
      <w:r w:rsidRPr="00183B5F">
        <w:rPr>
          <w:szCs w:val="22"/>
        </w:rPr>
        <w:noBreakHyphen/>
        <w:t>36 fizikális és mentális összetevő összesített pontszámaként kifejezett javulás szintén jelentős volt a placebóhoz képest.</w:t>
      </w:r>
    </w:p>
    <w:p w14:paraId="23D365B7" w14:textId="77777777" w:rsidR="00366005" w:rsidRPr="00183B5F" w:rsidRDefault="00366005">
      <w:pPr>
        <w:autoSpaceDE w:val="0"/>
        <w:autoSpaceDN w:val="0"/>
        <w:adjustRightInd w:val="0"/>
        <w:spacing w:line="240" w:lineRule="auto"/>
        <w:rPr>
          <w:szCs w:val="22"/>
        </w:rPr>
      </w:pPr>
    </w:p>
    <w:p w14:paraId="7FF1E1A9" w14:textId="77777777" w:rsidR="00366005" w:rsidRPr="00183B5F" w:rsidRDefault="00943743">
      <w:pPr>
        <w:pStyle w:val="EMEANormal"/>
        <w:rPr>
          <w:szCs w:val="22"/>
          <w:lang w:val="hu-HU"/>
        </w:rPr>
      </w:pPr>
      <w:r w:rsidRPr="00183B5F">
        <w:rPr>
          <w:szCs w:val="22"/>
          <w:lang w:val="hu-HU"/>
        </w:rPr>
        <w:t>Egy nyílt elrendezésű vizsgálatban, amelyben a betegek dózisát a kéthetenkénti 40 mg</w:t>
      </w:r>
      <w:r w:rsidRPr="00183B5F">
        <w:rPr>
          <w:szCs w:val="22"/>
          <w:lang w:val="hu-HU"/>
        </w:rPr>
        <w:noBreakHyphen/>
        <w:t>ról heti 40 mg</w:t>
      </w:r>
      <w:r w:rsidRPr="00183B5F">
        <w:rPr>
          <w:szCs w:val="22"/>
          <w:lang w:val="hu-HU"/>
        </w:rPr>
        <w:noBreakHyphen/>
        <w:t>ra növelték az 50% alatti PASI</w:t>
      </w:r>
      <w:r w:rsidR="00C67724" w:rsidRPr="00183B5F">
        <w:rPr>
          <w:szCs w:val="22"/>
          <w:lang w:val="hu-HU"/>
        </w:rPr>
        <w:t>-</w:t>
      </w:r>
      <w:r w:rsidRPr="00183B5F">
        <w:rPr>
          <w:szCs w:val="22"/>
          <w:lang w:val="hu-HU"/>
        </w:rPr>
        <w:t>válasz miatt, 26,4% (92/349 beteg) és 37,8% (132/349 beteg) ért el PASI 75 választ a 12., illetve a 24. héten.</w:t>
      </w:r>
    </w:p>
    <w:p w14:paraId="7D6B1BD5" w14:textId="77777777" w:rsidR="00366005" w:rsidRPr="00183B5F" w:rsidRDefault="00366005">
      <w:pPr>
        <w:spacing w:line="240" w:lineRule="auto"/>
        <w:rPr>
          <w:szCs w:val="22"/>
          <w:u w:val="single"/>
        </w:rPr>
      </w:pPr>
    </w:p>
    <w:p w14:paraId="1117BBEF" w14:textId="77777777" w:rsidR="00366005" w:rsidRPr="00183B5F" w:rsidRDefault="00943743">
      <w:pPr>
        <w:spacing w:line="240" w:lineRule="auto"/>
        <w:rPr>
          <w:szCs w:val="22"/>
          <w:u w:val="single"/>
        </w:rPr>
      </w:pPr>
      <w:r w:rsidRPr="00183B5F">
        <w:rPr>
          <w:szCs w:val="22"/>
        </w:rPr>
        <w:t>A Psoriasis III vizsgálat (REACH) a Humira hatásosságát és biztonságosságát hasonlította össze placebóval 72 betegnél, akik köz</w:t>
      </w:r>
      <w:r w:rsidR="00C30980" w:rsidRPr="00183B5F">
        <w:rPr>
          <w:szCs w:val="22"/>
        </w:rPr>
        <w:t xml:space="preserve">epesen </w:t>
      </w:r>
      <w:r w:rsidRPr="00183B5F">
        <w:rPr>
          <w:szCs w:val="22"/>
        </w:rPr>
        <w:t>súlyos</w:t>
      </w:r>
      <w:r w:rsidRPr="00183B5F">
        <w:rPr>
          <w:szCs w:val="22"/>
        </w:rPr>
        <w:noBreakHyphen/>
        <w:t>súlyos krónikus plakkos psoriasisban és a kézfejet és/vagy a lábfejet érintő psoriasisban szenvedtek. A betegek placebót vagy 80 mg Humira kezdő</w:t>
      </w:r>
      <w:r w:rsidR="0047618A" w:rsidRPr="00183B5F">
        <w:rPr>
          <w:szCs w:val="22"/>
        </w:rPr>
        <w:t xml:space="preserve"> </w:t>
      </w:r>
      <w:r w:rsidRPr="00183B5F">
        <w:rPr>
          <w:szCs w:val="22"/>
        </w:rPr>
        <w:t>dózist kaptak, amelyet 40 mg Humira követett minden második héten (egy héttel a kezdő</w:t>
      </w:r>
      <w:r w:rsidR="0047618A" w:rsidRPr="00183B5F">
        <w:rPr>
          <w:szCs w:val="22"/>
        </w:rPr>
        <w:t xml:space="preserve"> </w:t>
      </w:r>
      <w:r w:rsidRPr="00183B5F">
        <w:rPr>
          <w:szCs w:val="22"/>
        </w:rPr>
        <w:t>dózis után kezdve) 16 héten keresztül. A 16. héten a Humira</w:t>
      </w:r>
      <w:r w:rsidRPr="00183B5F">
        <w:rPr>
          <w:szCs w:val="22"/>
        </w:rPr>
        <w:noBreakHyphen/>
        <w:t>t kapó betegek statisztikailag szignifikánsan nagyobb arányban (30,6%) értek el „tiszta” vagy „majdnem tiszta” PGA</w:t>
      </w:r>
      <w:r w:rsidR="00C67724" w:rsidRPr="00183B5F">
        <w:rPr>
          <w:szCs w:val="22"/>
        </w:rPr>
        <w:t>-</w:t>
      </w:r>
      <w:r w:rsidRPr="00183B5F">
        <w:rPr>
          <w:szCs w:val="22"/>
        </w:rPr>
        <w:t>pontszámot a kézfejek és/vagy lábfejek vonatkozásában a placebót kapó betegekhez képest (4,3</w:t>
      </w:r>
      <w:r w:rsidRPr="00183B5F">
        <w:rPr>
          <w:szCs w:val="22"/>
        </w:rPr>
        <w:t xml:space="preserve">%) </w:t>
      </w:r>
      <w:r w:rsidRPr="00183B5F">
        <w:t>[P = 0</w:t>
      </w:r>
      <w:r w:rsidR="005E713E" w:rsidRPr="00183B5F">
        <w:t>,</w:t>
      </w:r>
      <w:r w:rsidRPr="00183B5F">
        <w:t>014].</w:t>
      </w:r>
    </w:p>
    <w:p w14:paraId="5691758C" w14:textId="77777777" w:rsidR="00366005" w:rsidRPr="00183B5F" w:rsidRDefault="00366005">
      <w:pPr>
        <w:pStyle w:val="gtcbodytext"/>
        <w:spacing w:before="0" w:after="0" w:line="240" w:lineRule="auto"/>
        <w:rPr>
          <w:sz w:val="22"/>
          <w:szCs w:val="22"/>
          <w:lang w:val="hu-HU"/>
        </w:rPr>
      </w:pPr>
    </w:p>
    <w:p w14:paraId="25575EC4" w14:textId="77777777" w:rsidR="00366005" w:rsidRPr="00183B5F" w:rsidRDefault="00943743">
      <w:pPr>
        <w:pStyle w:val="gtcbodytext"/>
        <w:spacing w:before="0" w:after="0" w:line="240" w:lineRule="auto"/>
        <w:rPr>
          <w:sz w:val="22"/>
          <w:szCs w:val="22"/>
          <w:lang w:val="hu-HU"/>
        </w:rPr>
      </w:pPr>
      <w:r w:rsidRPr="00183B5F">
        <w:rPr>
          <w:sz w:val="22"/>
          <w:szCs w:val="22"/>
          <w:lang w:val="hu-HU"/>
        </w:rPr>
        <w:t>A Psoriasis IV vizsgálatban a Humira hatásosságát és biztonságosságát placebóval hasonlították össze 217 felnőtt, köz</w:t>
      </w:r>
      <w:r w:rsidR="00C30980" w:rsidRPr="00183B5F">
        <w:rPr>
          <w:sz w:val="22"/>
          <w:szCs w:val="22"/>
          <w:lang w:val="hu-HU"/>
        </w:rPr>
        <w:t xml:space="preserve">epesen </w:t>
      </w:r>
      <w:r w:rsidRPr="00183B5F">
        <w:rPr>
          <w:sz w:val="22"/>
          <w:szCs w:val="22"/>
          <w:lang w:val="hu-HU"/>
        </w:rPr>
        <w:t>súlyos-súlyos köröm</w:t>
      </w:r>
      <w:r w:rsidR="004E5E6A" w:rsidRPr="00183B5F">
        <w:rPr>
          <w:sz w:val="22"/>
          <w:szCs w:val="22"/>
          <w:lang w:val="hu-HU"/>
        </w:rPr>
        <w:t>-</w:t>
      </w:r>
      <w:r w:rsidRPr="00183B5F">
        <w:rPr>
          <w:sz w:val="22"/>
          <w:szCs w:val="22"/>
          <w:lang w:val="hu-HU"/>
        </w:rPr>
        <w:t>psoriasisban szenvedő felnőtt betegnél. A betegek 80 mg kezdő dózist követően kéthetente 40 mg Humira</w:t>
      </w:r>
      <w:r w:rsidRPr="00183B5F">
        <w:rPr>
          <w:sz w:val="22"/>
          <w:szCs w:val="22"/>
          <w:lang w:val="hu-HU"/>
        </w:rPr>
        <w:noBreakHyphen/>
      </w:r>
      <w:r w:rsidRPr="00183B5F">
        <w:rPr>
          <w:sz w:val="22"/>
          <w:szCs w:val="22"/>
          <w:lang w:val="hu-HU"/>
        </w:rPr>
        <w:t>t kaptak (egy héttel a kezdő dózis beadása után kezdve), vagy placebokezelésben részesültek 26 hétig, amelyet nyílt elrendezésű Humira</w:t>
      </w:r>
      <w:r w:rsidR="004E5E6A" w:rsidRPr="00183B5F">
        <w:rPr>
          <w:sz w:val="22"/>
          <w:szCs w:val="22"/>
          <w:lang w:val="hu-HU"/>
        </w:rPr>
        <w:t>-</w:t>
      </w:r>
      <w:r w:rsidRPr="00183B5F">
        <w:rPr>
          <w:sz w:val="22"/>
          <w:szCs w:val="22"/>
          <w:lang w:val="hu-HU"/>
        </w:rPr>
        <w:t>kezelés követett további 26 héten át. A köröm</w:t>
      </w:r>
      <w:r w:rsidR="004E5E6A" w:rsidRPr="00183B5F">
        <w:rPr>
          <w:sz w:val="22"/>
          <w:szCs w:val="22"/>
          <w:lang w:val="hu-HU"/>
        </w:rPr>
        <w:t>-</w:t>
      </w:r>
      <w:r w:rsidRPr="00183B5F">
        <w:rPr>
          <w:sz w:val="22"/>
          <w:szCs w:val="22"/>
          <w:lang w:val="hu-HU"/>
        </w:rPr>
        <w:t>psoriasis értékelése tartalmazta a módosított köröm</w:t>
      </w:r>
      <w:r w:rsidR="004E5E6A" w:rsidRPr="00183B5F">
        <w:rPr>
          <w:sz w:val="22"/>
          <w:szCs w:val="22"/>
          <w:lang w:val="hu-HU"/>
        </w:rPr>
        <w:t>-</w:t>
      </w:r>
      <w:r w:rsidRPr="00183B5F">
        <w:rPr>
          <w:sz w:val="22"/>
          <w:szCs w:val="22"/>
          <w:lang w:val="hu-HU"/>
        </w:rPr>
        <w:t>psoriasis súlyossági indexet (mNAPSI, Modified Nail Psoriasis Severity Index), a köröm</w:t>
      </w:r>
      <w:r w:rsidR="004E5E6A" w:rsidRPr="00183B5F">
        <w:rPr>
          <w:sz w:val="22"/>
          <w:szCs w:val="22"/>
          <w:lang w:val="hu-HU"/>
        </w:rPr>
        <w:t>-</w:t>
      </w:r>
      <w:r w:rsidRPr="00183B5F">
        <w:rPr>
          <w:sz w:val="22"/>
          <w:szCs w:val="22"/>
          <w:lang w:val="hu-HU"/>
        </w:rPr>
        <w:t>psoriasis kezelőorvosok általi globális értékelését (PGA-F, Physician’s Global Assessment of Fingernail Psoriasis) és a köröm</w:t>
      </w:r>
      <w:r w:rsidR="004E5E6A" w:rsidRPr="00183B5F">
        <w:rPr>
          <w:sz w:val="22"/>
          <w:szCs w:val="22"/>
          <w:lang w:val="hu-HU"/>
        </w:rPr>
        <w:t>-</w:t>
      </w:r>
      <w:r w:rsidRPr="00183B5F">
        <w:rPr>
          <w:sz w:val="22"/>
          <w:szCs w:val="22"/>
          <w:lang w:val="hu-HU"/>
        </w:rPr>
        <w:t xml:space="preserve">psoriasis súlyossági indexet (NAPSI) (lásd </w:t>
      </w:r>
      <w:r w:rsidR="00E80146" w:rsidRPr="00183B5F">
        <w:rPr>
          <w:sz w:val="22"/>
          <w:szCs w:val="22"/>
          <w:lang w:val="hu-HU"/>
        </w:rPr>
        <w:t>13</w:t>
      </w:r>
      <w:r w:rsidRPr="00183B5F">
        <w:rPr>
          <w:sz w:val="22"/>
          <w:szCs w:val="22"/>
          <w:lang w:val="hu-HU"/>
        </w:rPr>
        <w:t>. táblázat). A Humira</w:t>
      </w:r>
      <w:r w:rsidRPr="00183B5F">
        <w:rPr>
          <w:sz w:val="22"/>
          <w:szCs w:val="22"/>
          <w:lang w:val="hu-HU"/>
        </w:rPr>
        <w:t xml:space="preserve"> köröm</w:t>
      </w:r>
      <w:r w:rsidR="004E5E6A" w:rsidRPr="00183B5F">
        <w:rPr>
          <w:sz w:val="22"/>
          <w:szCs w:val="22"/>
          <w:lang w:val="hu-HU"/>
        </w:rPr>
        <w:t>-</w:t>
      </w:r>
      <w:r w:rsidRPr="00183B5F">
        <w:rPr>
          <w:sz w:val="22"/>
          <w:szCs w:val="22"/>
          <w:lang w:val="hu-HU"/>
        </w:rPr>
        <w:t>psoriasisban kifejtett kedvező hatását különböző mértékű bőrérintettség mellett (BSA≥10% (a betegek 60%</w:t>
      </w:r>
      <w:r w:rsidRPr="00183B5F">
        <w:rPr>
          <w:sz w:val="22"/>
          <w:szCs w:val="22"/>
          <w:lang w:val="hu-HU"/>
        </w:rPr>
        <w:noBreakHyphen/>
        <w:t>a) és BSA&lt;10% és ≥5% (a betegek 40%</w:t>
      </w:r>
      <w:r w:rsidRPr="00183B5F">
        <w:rPr>
          <w:sz w:val="22"/>
          <w:szCs w:val="22"/>
          <w:lang w:val="hu-HU"/>
        </w:rPr>
        <w:noBreakHyphen/>
        <w:t>a)) igazolták.</w:t>
      </w:r>
    </w:p>
    <w:p w14:paraId="23DB560E" w14:textId="77777777" w:rsidR="00366005" w:rsidRPr="00183B5F" w:rsidRDefault="00366005">
      <w:pPr>
        <w:pStyle w:val="gtcbodytext"/>
        <w:spacing w:before="0" w:after="0" w:line="240" w:lineRule="auto"/>
        <w:rPr>
          <w:sz w:val="22"/>
          <w:szCs w:val="22"/>
          <w:lang w:val="hu-HU"/>
        </w:rPr>
      </w:pPr>
    </w:p>
    <w:p w14:paraId="30810A30" w14:textId="77777777" w:rsidR="00366005" w:rsidRPr="00183B5F" w:rsidRDefault="00943743" w:rsidP="00FE0197">
      <w:pPr>
        <w:pStyle w:val="gtctabletitleotherwise"/>
        <w:keepNext/>
        <w:spacing w:before="0"/>
        <w:rPr>
          <w:bCs w:val="0"/>
          <w:sz w:val="22"/>
          <w:szCs w:val="22"/>
          <w:lang w:val="hu-HU"/>
        </w:rPr>
      </w:pPr>
      <w:r w:rsidRPr="00183B5F">
        <w:rPr>
          <w:bCs w:val="0"/>
          <w:sz w:val="22"/>
          <w:szCs w:val="22"/>
          <w:lang w:val="hu-HU"/>
        </w:rPr>
        <w:t>13. táblázat</w:t>
      </w:r>
    </w:p>
    <w:p w14:paraId="6170A8A1" w14:textId="77777777" w:rsidR="00366005" w:rsidRPr="00183B5F" w:rsidRDefault="00943743" w:rsidP="00FE0197">
      <w:pPr>
        <w:pStyle w:val="gtctabletitleotherwise"/>
        <w:keepNext/>
        <w:spacing w:before="0"/>
        <w:rPr>
          <w:sz w:val="22"/>
          <w:szCs w:val="22"/>
          <w:lang w:val="hu-HU"/>
        </w:rPr>
      </w:pPr>
      <w:r w:rsidRPr="00183B5F">
        <w:rPr>
          <w:bCs w:val="0"/>
          <w:sz w:val="22"/>
          <w:szCs w:val="22"/>
          <w:lang w:val="hu-HU"/>
        </w:rPr>
        <w:t>Psoriasis IV vizsgálat hatásossági eredmények a 16., 26. és 52. héten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080"/>
        <w:gridCol w:w="1260"/>
        <w:gridCol w:w="990"/>
        <w:gridCol w:w="1260"/>
        <w:gridCol w:w="2268"/>
      </w:tblGrid>
      <w:tr w:rsidR="00011D2F" w14:paraId="458CAD59" w14:textId="77777777" w:rsidTr="00366005">
        <w:tc>
          <w:tcPr>
            <w:tcW w:w="2718" w:type="dxa"/>
            <w:vMerge w:val="restart"/>
            <w:tcBorders>
              <w:top w:val="single" w:sz="4" w:space="0" w:color="auto"/>
              <w:left w:val="single" w:sz="4" w:space="0" w:color="auto"/>
              <w:bottom w:val="single" w:sz="4" w:space="0" w:color="auto"/>
              <w:right w:val="single" w:sz="4" w:space="0" w:color="auto"/>
            </w:tcBorders>
            <w:hideMark/>
          </w:tcPr>
          <w:p w14:paraId="3A02167C" w14:textId="77777777" w:rsidR="00366005" w:rsidRPr="00183B5F" w:rsidRDefault="00943743" w:rsidP="00FE0197">
            <w:pPr>
              <w:pStyle w:val="gtctablespaceafter"/>
              <w:keepNext/>
              <w:spacing w:after="0"/>
              <w:rPr>
                <w:sz w:val="22"/>
                <w:szCs w:val="22"/>
                <w:lang w:val="hu-HU"/>
              </w:rPr>
            </w:pPr>
            <w:r w:rsidRPr="00183B5F">
              <w:rPr>
                <w:sz w:val="22"/>
                <w:szCs w:val="22"/>
                <w:lang w:val="hu-HU"/>
              </w:rPr>
              <w:t>Végpont</w:t>
            </w:r>
          </w:p>
        </w:tc>
        <w:tc>
          <w:tcPr>
            <w:tcW w:w="2340" w:type="dxa"/>
            <w:gridSpan w:val="2"/>
            <w:tcBorders>
              <w:top w:val="single" w:sz="4" w:space="0" w:color="auto"/>
              <w:left w:val="single" w:sz="4" w:space="0" w:color="auto"/>
              <w:bottom w:val="single" w:sz="4" w:space="0" w:color="auto"/>
              <w:right w:val="single" w:sz="4" w:space="0" w:color="auto"/>
            </w:tcBorders>
            <w:hideMark/>
          </w:tcPr>
          <w:p w14:paraId="7D255F65" w14:textId="77777777" w:rsidR="00366005" w:rsidRPr="00183B5F" w:rsidRDefault="00943743" w:rsidP="00FE0197">
            <w:pPr>
              <w:pStyle w:val="gtctablespaceafter"/>
              <w:keepNext/>
              <w:spacing w:after="0"/>
              <w:jc w:val="center"/>
              <w:rPr>
                <w:sz w:val="22"/>
                <w:szCs w:val="22"/>
                <w:lang w:val="hu-HU"/>
              </w:rPr>
            </w:pPr>
            <w:r w:rsidRPr="00183B5F">
              <w:rPr>
                <w:sz w:val="22"/>
                <w:szCs w:val="22"/>
                <w:lang w:val="hu-HU"/>
              </w:rPr>
              <w:t>16. hét</w:t>
            </w:r>
          </w:p>
          <w:p w14:paraId="1DC9A96B" w14:textId="77777777" w:rsidR="00366005" w:rsidRPr="00183B5F" w:rsidRDefault="00943743" w:rsidP="00FE0197">
            <w:pPr>
              <w:pStyle w:val="gtctablespaceafter"/>
              <w:keepNext/>
              <w:spacing w:after="0"/>
              <w:jc w:val="center"/>
              <w:rPr>
                <w:sz w:val="22"/>
                <w:szCs w:val="22"/>
                <w:lang w:val="hu-HU"/>
              </w:rPr>
            </w:pPr>
            <w:r w:rsidRPr="00183B5F">
              <w:rPr>
                <w:sz w:val="22"/>
                <w:szCs w:val="22"/>
                <w:lang w:val="hu-HU"/>
              </w:rPr>
              <w:t>Placebokontrollos</w:t>
            </w:r>
          </w:p>
        </w:tc>
        <w:tc>
          <w:tcPr>
            <w:tcW w:w="2250" w:type="dxa"/>
            <w:gridSpan w:val="2"/>
            <w:tcBorders>
              <w:top w:val="single" w:sz="4" w:space="0" w:color="auto"/>
              <w:left w:val="single" w:sz="4" w:space="0" w:color="auto"/>
              <w:bottom w:val="single" w:sz="4" w:space="0" w:color="auto"/>
              <w:right w:val="single" w:sz="4" w:space="0" w:color="auto"/>
            </w:tcBorders>
            <w:hideMark/>
          </w:tcPr>
          <w:p w14:paraId="5C752DEF" w14:textId="77777777" w:rsidR="00366005" w:rsidRPr="00183B5F" w:rsidRDefault="00943743" w:rsidP="00FE0197">
            <w:pPr>
              <w:pStyle w:val="gtctablespaceafter"/>
              <w:keepNext/>
              <w:spacing w:after="0"/>
              <w:jc w:val="center"/>
              <w:rPr>
                <w:sz w:val="22"/>
                <w:szCs w:val="22"/>
                <w:lang w:val="hu-HU"/>
              </w:rPr>
            </w:pPr>
            <w:r w:rsidRPr="00183B5F">
              <w:rPr>
                <w:sz w:val="22"/>
                <w:szCs w:val="22"/>
                <w:lang w:val="hu-HU"/>
              </w:rPr>
              <w:t xml:space="preserve">26. hét </w:t>
            </w:r>
          </w:p>
          <w:p w14:paraId="16700F48" w14:textId="77777777" w:rsidR="00366005" w:rsidRPr="00183B5F" w:rsidRDefault="00943743" w:rsidP="00FE0197">
            <w:pPr>
              <w:pStyle w:val="gtctablespaceafter"/>
              <w:keepNext/>
              <w:spacing w:after="0"/>
              <w:jc w:val="center"/>
              <w:rPr>
                <w:sz w:val="22"/>
                <w:szCs w:val="22"/>
                <w:lang w:val="hu-HU"/>
              </w:rPr>
            </w:pPr>
            <w:r w:rsidRPr="00183B5F">
              <w:rPr>
                <w:sz w:val="22"/>
                <w:szCs w:val="22"/>
                <w:lang w:val="hu-HU"/>
              </w:rPr>
              <w:t>Placebokontrollos</w:t>
            </w:r>
          </w:p>
        </w:tc>
        <w:tc>
          <w:tcPr>
            <w:tcW w:w="2268" w:type="dxa"/>
            <w:tcBorders>
              <w:top w:val="single" w:sz="4" w:space="0" w:color="auto"/>
              <w:left w:val="single" w:sz="4" w:space="0" w:color="auto"/>
              <w:bottom w:val="single" w:sz="4" w:space="0" w:color="auto"/>
              <w:right w:val="single" w:sz="4" w:space="0" w:color="auto"/>
            </w:tcBorders>
            <w:hideMark/>
          </w:tcPr>
          <w:p w14:paraId="6406EE62" w14:textId="77777777" w:rsidR="00366005" w:rsidRPr="00183B5F" w:rsidRDefault="00943743" w:rsidP="00FE0197">
            <w:pPr>
              <w:pStyle w:val="gtctablespaceafter"/>
              <w:keepNext/>
              <w:spacing w:after="0"/>
              <w:jc w:val="center"/>
              <w:rPr>
                <w:sz w:val="22"/>
                <w:szCs w:val="22"/>
                <w:lang w:val="hu-HU"/>
              </w:rPr>
            </w:pPr>
            <w:r w:rsidRPr="00183B5F">
              <w:rPr>
                <w:sz w:val="22"/>
                <w:szCs w:val="22"/>
                <w:lang w:val="hu-HU"/>
              </w:rPr>
              <w:t>52. hét</w:t>
            </w:r>
          </w:p>
          <w:p w14:paraId="78F40C66" w14:textId="77777777" w:rsidR="00366005" w:rsidRPr="00183B5F" w:rsidRDefault="00943743" w:rsidP="00FE0197">
            <w:pPr>
              <w:pStyle w:val="gtctablespaceafter"/>
              <w:keepNext/>
              <w:spacing w:after="0"/>
              <w:jc w:val="center"/>
              <w:rPr>
                <w:sz w:val="22"/>
                <w:szCs w:val="22"/>
                <w:lang w:val="hu-HU"/>
              </w:rPr>
            </w:pPr>
            <w:r w:rsidRPr="00183B5F">
              <w:rPr>
                <w:sz w:val="22"/>
                <w:szCs w:val="22"/>
                <w:lang w:val="hu-HU"/>
              </w:rPr>
              <w:t>Nyílt elrendezés</w:t>
            </w:r>
          </w:p>
        </w:tc>
      </w:tr>
      <w:tr w:rsidR="00011D2F" w14:paraId="5EE6120B" w14:textId="77777777" w:rsidTr="00366005">
        <w:tc>
          <w:tcPr>
            <w:tcW w:w="9576" w:type="dxa"/>
            <w:vMerge/>
            <w:tcBorders>
              <w:top w:val="single" w:sz="4" w:space="0" w:color="auto"/>
              <w:left w:val="single" w:sz="4" w:space="0" w:color="auto"/>
              <w:bottom w:val="single" w:sz="4" w:space="0" w:color="auto"/>
              <w:right w:val="single" w:sz="4" w:space="0" w:color="auto"/>
            </w:tcBorders>
            <w:vAlign w:val="center"/>
            <w:hideMark/>
          </w:tcPr>
          <w:p w14:paraId="40E318C2" w14:textId="77777777" w:rsidR="00366005" w:rsidRPr="00183B5F" w:rsidRDefault="00366005" w:rsidP="00FE0197">
            <w:pPr>
              <w:keepNext/>
              <w:suppressAutoHyphens w:val="0"/>
              <w:spacing w:line="240" w:lineRule="auto"/>
              <w:rPr>
                <w:szCs w:val="22"/>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633993C1" w14:textId="77777777" w:rsidR="00366005" w:rsidRPr="00183B5F" w:rsidRDefault="00943743" w:rsidP="00FE0197">
            <w:pPr>
              <w:pStyle w:val="gtctablespaceafter"/>
              <w:keepNext/>
              <w:spacing w:after="0"/>
              <w:jc w:val="center"/>
              <w:rPr>
                <w:sz w:val="22"/>
                <w:szCs w:val="22"/>
                <w:lang w:val="hu-HU"/>
              </w:rPr>
            </w:pPr>
            <w:r w:rsidRPr="00183B5F">
              <w:rPr>
                <w:sz w:val="22"/>
                <w:lang w:val="hu-HU"/>
              </w:rPr>
              <w:t>Placebo</w:t>
            </w:r>
            <w:r w:rsidRPr="00183B5F">
              <w:rPr>
                <w:sz w:val="22"/>
                <w:lang w:val="hu-HU"/>
              </w:rPr>
              <w:br/>
              <w:t>N = 108</w:t>
            </w:r>
          </w:p>
        </w:tc>
        <w:tc>
          <w:tcPr>
            <w:tcW w:w="1260" w:type="dxa"/>
            <w:tcBorders>
              <w:top w:val="single" w:sz="4" w:space="0" w:color="auto"/>
              <w:left w:val="single" w:sz="4" w:space="0" w:color="auto"/>
              <w:bottom w:val="single" w:sz="4" w:space="0" w:color="auto"/>
              <w:right w:val="single" w:sz="4" w:space="0" w:color="auto"/>
            </w:tcBorders>
            <w:hideMark/>
          </w:tcPr>
          <w:p w14:paraId="32E645AE" w14:textId="77777777" w:rsidR="00366005" w:rsidRPr="00183B5F" w:rsidRDefault="00943743" w:rsidP="00FE019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Humira</w:t>
            </w:r>
          </w:p>
          <w:p w14:paraId="470BF3A3" w14:textId="77777777" w:rsidR="00366005" w:rsidRPr="00183B5F" w:rsidRDefault="00943743" w:rsidP="00FE0197">
            <w:pPr>
              <w:pStyle w:val="gtctablespaceafter"/>
              <w:keepNext/>
              <w:spacing w:after="0"/>
              <w:jc w:val="center"/>
              <w:rPr>
                <w:sz w:val="22"/>
                <w:szCs w:val="22"/>
                <w:lang w:val="hu-HU"/>
              </w:rPr>
            </w:pPr>
            <w:r w:rsidRPr="00183B5F">
              <w:rPr>
                <w:sz w:val="22"/>
                <w:lang w:val="hu-HU"/>
              </w:rPr>
              <w:t xml:space="preserve">40 mg kéthetente </w:t>
            </w:r>
            <w:r w:rsidRPr="00183B5F">
              <w:rPr>
                <w:sz w:val="22"/>
                <w:lang w:val="hu-HU"/>
              </w:rPr>
              <w:br/>
              <w:t>N = 109</w:t>
            </w:r>
          </w:p>
        </w:tc>
        <w:tc>
          <w:tcPr>
            <w:tcW w:w="990" w:type="dxa"/>
            <w:tcBorders>
              <w:top w:val="single" w:sz="4" w:space="0" w:color="auto"/>
              <w:left w:val="single" w:sz="4" w:space="0" w:color="auto"/>
              <w:bottom w:val="single" w:sz="4" w:space="0" w:color="auto"/>
              <w:right w:val="single" w:sz="4" w:space="0" w:color="auto"/>
            </w:tcBorders>
            <w:hideMark/>
          </w:tcPr>
          <w:p w14:paraId="308E7C5F" w14:textId="77777777" w:rsidR="00366005" w:rsidRPr="00183B5F" w:rsidRDefault="00943743" w:rsidP="00FE0197">
            <w:pPr>
              <w:pStyle w:val="gtctablespaceafter"/>
              <w:keepNext/>
              <w:spacing w:after="0"/>
              <w:jc w:val="center"/>
              <w:rPr>
                <w:sz w:val="22"/>
                <w:szCs w:val="22"/>
                <w:lang w:val="hu-HU"/>
              </w:rPr>
            </w:pPr>
            <w:r w:rsidRPr="00183B5F">
              <w:rPr>
                <w:sz w:val="22"/>
                <w:lang w:val="hu-HU"/>
              </w:rPr>
              <w:t>Placebo</w:t>
            </w:r>
            <w:r w:rsidRPr="00183B5F">
              <w:rPr>
                <w:sz w:val="22"/>
                <w:lang w:val="hu-HU"/>
              </w:rPr>
              <w:br/>
              <w:t>N = 108</w:t>
            </w:r>
          </w:p>
        </w:tc>
        <w:tc>
          <w:tcPr>
            <w:tcW w:w="1260" w:type="dxa"/>
            <w:tcBorders>
              <w:top w:val="single" w:sz="4" w:space="0" w:color="auto"/>
              <w:left w:val="single" w:sz="4" w:space="0" w:color="auto"/>
              <w:bottom w:val="single" w:sz="4" w:space="0" w:color="auto"/>
              <w:right w:val="single" w:sz="4" w:space="0" w:color="auto"/>
            </w:tcBorders>
            <w:hideMark/>
          </w:tcPr>
          <w:p w14:paraId="65461F47" w14:textId="77777777" w:rsidR="00366005" w:rsidRPr="00183B5F" w:rsidRDefault="00943743" w:rsidP="00FE019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Humira</w:t>
            </w:r>
          </w:p>
          <w:p w14:paraId="4E2ACDAB" w14:textId="77777777" w:rsidR="00366005" w:rsidRPr="00183B5F" w:rsidRDefault="00943743" w:rsidP="00FE0197">
            <w:pPr>
              <w:pStyle w:val="gtctablespaceafter"/>
              <w:keepNext/>
              <w:spacing w:after="0"/>
              <w:jc w:val="center"/>
              <w:rPr>
                <w:sz w:val="22"/>
                <w:szCs w:val="22"/>
                <w:lang w:val="hu-HU"/>
              </w:rPr>
            </w:pPr>
            <w:r w:rsidRPr="00183B5F">
              <w:rPr>
                <w:sz w:val="22"/>
                <w:lang w:val="hu-HU"/>
              </w:rPr>
              <w:t xml:space="preserve">40 mg kéthetente </w:t>
            </w:r>
            <w:r w:rsidRPr="00183B5F">
              <w:rPr>
                <w:sz w:val="22"/>
                <w:lang w:val="hu-HU"/>
              </w:rPr>
              <w:br/>
              <w:t>N = 109</w:t>
            </w:r>
          </w:p>
        </w:tc>
        <w:tc>
          <w:tcPr>
            <w:tcW w:w="2268" w:type="dxa"/>
            <w:tcBorders>
              <w:top w:val="single" w:sz="4" w:space="0" w:color="auto"/>
              <w:left w:val="single" w:sz="4" w:space="0" w:color="auto"/>
              <w:bottom w:val="single" w:sz="4" w:space="0" w:color="auto"/>
              <w:right w:val="single" w:sz="4" w:space="0" w:color="auto"/>
            </w:tcBorders>
            <w:hideMark/>
          </w:tcPr>
          <w:p w14:paraId="5B210205" w14:textId="77777777" w:rsidR="00366005" w:rsidRPr="00183B5F" w:rsidRDefault="00943743" w:rsidP="00FE019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Humira</w:t>
            </w:r>
          </w:p>
          <w:p w14:paraId="1C575F0C" w14:textId="77777777" w:rsidR="00366005" w:rsidRPr="00183B5F" w:rsidRDefault="00943743" w:rsidP="00FE0197">
            <w:pPr>
              <w:pStyle w:val="gtctablespaceafter"/>
              <w:keepNext/>
              <w:spacing w:after="0"/>
              <w:jc w:val="center"/>
              <w:rPr>
                <w:sz w:val="22"/>
                <w:szCs w:val="22"/>
                <w:lang w:val="hu-HU"/>
              </w:rPr>
            </w:pPr>
            <w:r w:rsidRPr="00183B5F">
              <w:rPr>
                <w:sz w:val="22"/>
                <w:lang w:val="hu-HU"/>
              </w:rPr>
              <w:t xml:space="preserve">40 mg kéthetente </w:t>
            </w:r>
            <w:r w:rsidRPr="00183B5F">
              <w:rPr>
                <w:sz w:val="22"/>
                <w:lang w:val="hu-HU"/>
              </w:rPr>
              <w:br/>
              <w:t>N = 80</w:t>
            </w:r>
          </w:p>
        </w:tc>
      </w:tr>
      <w:tr w:rsidR="00011D2F" w14:paraId="541C9259" w14:textId="77777777" w:rsidTr="00366005">
        <w:tc>
          <w:tcPr>
            <w:tcW w:w="2718" w:type="dxa"/>
            <w:tcBorders>
              <w:top w:val="single" w:sz="4" w:space="0" w:color="auto"/>
              <w:left w:val="single" w:sz="4" w:space="0" w:color="auto"/>
              <w:bottom w:val="single" w:sz="4" w:space="0" w:color="auto"/>
              <w:right w:val="single" w:sz="4" w:space="0" w:color="auto"/>
            </w:tcBorders>
            <w:hideMark/>
          </w:tcPr>
          <w:p w14:paraId="3B4F2329" w14:textId="77777777" w:rsidR="00366005" w:rsidRPr="00183B5F" w:rsidRDefault="00943743" w:rsidP="00FE0197">
            <w:pPr>
              <w:pStyle w:val="gtctablespaceafter"/>
              <w:keepNext/>
              <w:spacing w:after="0"/>
              <w:rPr>
                <w:sz w:val="22"/>
                <w:szCs w:val="22"/>
                <w:lang w:val="hu-HU"/>
              </w:rPr>
            </w:pPr>
            <w:r w:rsidRPr="00183B5F">
              <w:rPr>
                <w:sz w:val="22"/>
                <w:lang w:val="hu-HU"/>
              </w:rPr>
              <w:t>≥ mNAPSI 75 (%)</w:t>
            </w:r>
          </w:p>
        </w:tc>
        <w:tc>
          <w:tcPr>
            <w:tcW w:w="1080" w:type="dxa"/>
            <w:tcBorders>
              <w:top w:val="single" w:sz="4" w:space="0" w:color="auto"/>
              <w:left w:val="single" w:sz="4" w:space="0" w:color="auto"/>
              <w:bottom w:val="single" w:sz="4" w:space="0" w:color="auto"/>
              <w:right w:val="single" w:sz="4" w:space="0" w:color="auto"/>
            </w:tcBorders>
            <w:hideMark/>
          </w:tcPr>
          <w:p w14:paraId="6604BCB3" w14:textId="77777777" w:rsidR="00366005" w:rsidRPr="00183B5F" w:rsidRDefault="00943743" w:rsidP="00FE0197">
            <w:pPr>
              <w:pStyle w:val="gtctablespaceafter"/>
              <w:keepNext/>
              <w:spacing w:after="0"/>
              <w:jc w:val="center"/>
              <w:rPr>
                <w:sz w:val="22"/>
                <w:szCs w:val="22"/>
                <w:lang w:val="hu-HU"/>
              </w:rPr>
            </w:pPr>
            <w:r w:rsidRPr="00183B5F">
              <w:rPr>
                <w:sz w:val="22"/>
                <w:szCs w:val="22"/>
                <w:lang w:val="hu-HU"/>
              </w:rPr>
              <w:t>2,9</w:t>
            </w:r>
          </w:p>
        </w:tc>
        <w:tc>
          <w:tcPr>
            <w:tcW w:w="1260" w:type="dxa"/>
            <w:tcBorders>
              <w:top w:val="single" w:sz="4" w:space="0" w:color="auto"/>
              <w:left w:val="single" w:sz="4" w:space="0" w:color="auto"/>
              <w:bottom w:val="single" w:sz="4" w:space="0" w:color="auto"/>
              <w:right w:val="single" w:sz="4" w:space="0" w:color="auto"/>
            </w:tcBorders>
            <w:hideMark/>
          </w:tcPr>
          <w:p w14:paraId="5EC812F1" w14:textId="77777777" w:rsidR="00366005" w:rsidRPr="00183B5F" w:rsidRDefault="00943743" w:rsidP="00FE0197">
            <w:pPr>
              <w:pStyle w:val="gtctablespaceafter"/>
              <w:keepNext/>
              <w:spacing w:after="0"/>
              <w:jc w:val="center"/>
              <w:rPr>
                <w:sz w:val="22"/>
                <w:szCs w:val="22"/>
                <w:lang w:val="hu-HU"/>
              </w:rPr>
            </w:pPr>
            <w:r w:rsidRPr="00183B5F">
              <w:rPr>
                <w:sz w:val="22"/>
                <w:szCs w:val="22"/>
                <w:lang w:val="hu-HU"/>
              </w:rPr>
              <w:t>26,0</w:t>
            </w:r>
            <w:r w:rsidRPr="00183B5F">
              <w:rPr>
                <w:sz w:val="22"/>
                <w:szCs w:val="22"/>
                <w:vertAlign w:val="superscript"/>
                <w:lang w:val="hu-HU"/>
              </w:rPr>
              <w:t>a</w:t>
            </w:r>
          </w:p>
        </w:tc>
        <w:tc>
          <w:tcPr>
            <w:tcW w:w="990" w:type="dxa"/>
            <w:tcBorders>
              <w:top w:val="single" w:sz="4" w:space="0" w:color="auto"/>
              <w:left w:val="single" w:sz="4" w:space="0" w:color="auto"/>
              <w:bottom w:val="single" w:sz="4" w:space="0" w:color="auto"/>
              <w:right w:val="single" w:sz="4" w:space="0" w:color="auto"/>
            </w:tcBorders>
            <w:hideMark/>
          </w:tcPr>
          <w:p w14:paraId="3C8B8151" w14:textId="77777777" w:rsidR="00366005" w:rsidRPr="00183B5F" w:rsidRDefault="00943743" w:rsidP="00FE0197">
            <w:pPr>
              <w:keepNext/>
              <w:spacing w:line="240" w:lineRule="auto"/>
              <w:jc w:val="center"/>
              <w:rPr>
                <w:szCs w:val="22"/>
                <w:lang w:eastAsia="en-US"/>
              </w:rPr>
            </w:pPr>
            <w:r w:rsidRPr="00183B5F">
              <w:rPr>
                <w:szCs w:val="22"/>
                <w:lang w:eastAsia="en-US"/>
              </w:rPr>
              <w:t>3,4</w:t>
            </w:r>
          </w:p>
        </w:tc>
        <w:tc>
          <w:tcPr>
            <w:tcW w:w="1260" w:type="dxa"/>
            <w:tcBorders>
              <w:top w:val="single" w:sz="4" w:space="0" w:color="auto"/>
              <w:left w:val="single" w:sz="4" w:space="0" w:color="auto"/>
              <w:bottom w:val="single" w:sz="4" w:space="0" w:color="auto"/>
              <w:right w:val="single" w:sz="4" w:space="0" w:color="auto"/>
            </w:tcBorders>
            <w:hideMark/>
          </w:tcPr>
          <w:p w14:paraId="4EECCB21" w14:textId="77777777" w:rsidR="00366005" w:rsidRPr="00183B5F" w:rsidRDefault="00943743" w:rsidP="00FE0197">
            <w:pPr>
              <w:keepNext/>
              <w:spacing w:line="240" w:lineRule="auto"/>
              <w:jc w:val="center"/>
              <w:rPr>
                <w:szCs w:val="22"/>
                <w:lang w:eastAsia="en-US"/>
              </w:rPr>
            </w:pPr>
            <w:r w:rsidRPr="00183B5F">
              <w:rPr>
                <w:szCs w:val="22"/>
                <w:lang w:eastAsia="en-US"/>
              </w:rPr>
              <w:t>46,6</w:t>
            </w:r>
            <w:r w:rsidRPr="00183B5F">
              <w:rPr>
                <w:szCs w:val="22"/>
                <w:vertAlign w:val="superscript"/>
                <w:lang w:eastAsia="en-US"/>
              </w:rPr>
              <w:t>a</w:t>
            </w:r>
          </w:p>
        </w:tc>
        <w:tc>
          <w:tcPr>
            <w:tcW w:w="2268" w:type="dxa"/>
            <w:tcBorders>
              <w:top w:val="single" w:sz="4" w:space="0" w:color="auto"/>
              <w:left w:val="single" w:sz="4" w:space="0" w:color="auto"/>
              <w:bottom w:val="single" w:sz="4" w:space="0" w:color="auto"/>
              <w:right w:val="single" w:sz="4" w:space="0" w:color="auto"/>
            </w:tcBorders>
            <w:hideMark/>
          </w:tcPr>
          <w:p w14:paraId="6D398E7F" w14:textId="77777777" w:rsidR="00366005" w:rsidRPr="00183B5F" w:rsidRDefault="00943743" w:rsidP="00FE0197">
            <w:pPr>
              <w:pStyle w:val="gtctablespaceafter"/>
              <w:keepNext/>
              <w:spacing w:after="0"/>
              <w:jc w:val="center"/>
              <w:rPr>
                <w:sz w:val="22"/>
                <w:szCs w:val="22"/>
                <w:lang w:val="hu-HU"/>
              </w:rPr>
            </w:pPr>
            <w:r w:rsidRPr="00183B5F">
              <w:rPr>
                <w:sz w:val="22"/>
                <w:szCs w:val="22"/>
                <w:lang w:val="hu-HU"/>
              </w:rPr>
              <w:t>65,0</w:t>
            </w:r>
          </w:p>
        </w:tc>
      </w:tr>
      <w:tr w:rsidR="00011D2F" w14:paraId="443B0034" w14:textId="77777777" w:rsidTr="00366005">
        <w:tc>
          <w:tcPr>
            <w:tcW w:w="2718" w:type="dxa"/>
            <w:tcBorders>
              <w:top w:val="single" w:sz="4" w:space="0" w:color="auto"/>
              <w:left w:val="single" w:sz="4" w:space="0" w:color="auto"/>
              <w:bottom w:val="single" w:sz="4" w:space="0" w:color="auto"/>
              <w:right w:val="single" w:sz="4" w:space="0" w:color="auto"/>
            </w:tcBorders>
            <w:hideMark/>
          </w:tcPr>
          <w:p w14:paraId="6727560B" w14:textId="77777777" w:rsidR="00366005" w:rsidRPr="00183B5F" w:rsidRDefault="00943743" w:rsidP="00FE0197">
            <w:pPr>
              <w:pStyle w:val="gtctablespaceafter"/>
              <w:keepNext/>
              <w:spacing w:after="0"/>
              <w:rPr>
                <w:sz w:val="22"/>
                <w:szCs w:val="22"/>
                <w:lang w:val="hu-HU"/>
              </w:rPr>
            </w:pPr>
            <w:r w:rsidRPr="00183B5F">
              <w:rPr>
                <w:sz w:val="22"/>
                <w:szCs w:val="22"/>
                <w:lang w:val="hu-HU"/>
              </w:rPr>
              <w:t>PGA-F tiszta/minimális és ≥2</w:t>
            </w:r>
            <w:r w:rsidR="004E5E6A" w:rsidRPr="00183B5F">
              <w:rPr>
                <w:sz w:val="22"/>
                <w:szCs w:val="22"/>
                <w:lang w:val="hu-HU"/>
              </w:rPr>
              <w:t xml:space="preserve"> </w:t>
            </w:r>
            <w:r w:rsidRPr="00183B5F">
              <w:rPr>
                <w:sz w:val="22"/>
                <w:szCs w:val="22"/>
                <w:lang w:val="hu-HU"/>
              </w:rPr>
              <w:t>fokozatú javulás (%)</w:t>
            </w:r>
          </w:p>
        </w:tc>
        <w:tc>
          <w:tcPr>
            <w:tcW w:w="1080" w:type="dxa"/>
            <w:tcBorders>
              <w:top w:val="single" w:sz="4" w:space="0" w:color="auto"/>
              <w:left w:val="single" w:sz="4" w:space="0" w:color="auto"/>
              <w:bottom w:val="single" w:sz="4" w:space="0" w:color="auto"/>
              <w:right w:val="single" w:sz="4" w:space="0" w:color="auto"/>
            </w:tcBorders>
            <w:hideMark/>
          </w:tcPr>
          <w:p w14:paraId="6B1CCB8B" w14:textId="77777777" w:rsidR="00366005" w:rsidRPr="00183B5F" w:rsidRDefault="00943743" w:rsidP="00FE0197">
            <w:pPr>
              <w:pStyle w:val="gtctablespaceafter"/>
              <w:keepNext/>
              <w:spacing w:after="0"/>
              <w:jc w:val="center"/>
              <w:rPr>
                <w:sz w:val="22"/>
                <w:szCs w:val="22"/>
                <w:lang w:val="hu-HU"/>
              </w:rPr>
            </w:pPr>
            <w:r w:rsidRPr="00183B5F">
              <w:rPr>
                <w:sz w:val="22"/>
                <w:szCs w:val="22"/>
                <w:lang w:val="hu-HU"/>
              </w:rPr>
              <w:t>2,9</w:t>
            </w:r>
          </w:p>
        </w:tc>
        <w:tc>
          <w:tcPr>
            <w:tcW w:w="1260" w:type="dxa"/>
            <w:tcBorders>
              <w:top w:val="single" w:sz="4" w:space="0" w:color="auto"/>
              <w:left w:val="single" w:sz="4" w:space="0" w:color="auto"/>
              <w:bottom w:val="single" w:sz="4" w:space="0" w:color="auto"/>
              <w:right w:val="single" w:sz="4" w:space="0" w:color="auto"/>
            </w:tcBorders>
            <w:hideMark/>
          </w:tcPr>
          <w:p w14:paraId="4AB994BF" w14:textId="77777777" w:rsidR="00366005" w:rsidRPr="00183B5F" w:rsidRDefault="00943743" w:rsidP="00FE0197">
            <w:pPr>
              <w:pStyle w:val="gtctablespaceafter"/>
              <w:keepNext/>
              <w:spacing w:after="0"/>
              <w:jc w:val="center"/>
              <w:rPr>
                <w:sz w:val="22"/>
                <w:szCs w:val="22"/>
                <w:lang w:val="hu-HU"/>
              </w:rPr>
            </w:pPr>
            <w:r w:rsidRPr="00183B5F">
              <w:rPr>
                <w:sz w:val="22"/>
                <w:szCs w:val="22"/>
                <w:lang w:val="hu-HU"/>
              </w:rPr>
              <w:t>29,7</w:t>
            </w:r>
            <w:r w:rsidRPr="00183B5F">
              <w:rPr>
                <w:sz w:val="22"/>
                <w:szCs w:val="22"/>
                <w:vertAlign w:val="superscript"/>
                <w:lang w:val="hu-HU"/>
              </w:rPr>
              <w:t>a</w:t>
            </w:r>
          </w:p>
        </w:tc>
        <w:tc>
          <w:tcPr>
            <w:tcW w:w="990" w:type="dxa"/>
            <w:tcBorders>
              <w:top w:val="single" w:sz="4" w:space="0" w:color="auto"/>
              <w:left w:val="single" w:sz="4" w:space="0" w:color="auto"/>
              <w:bottom w:val="single" w:sz="4" w:space="0" w:color="auto"/>
              <w:right w:val="single" w:sz="4" w:space="0" w:color="auto"/>
            </w:tcBorders>
            <w:hideMark/>
          </w:tcPr>
          <w:p w14:paraId="4C8C49F7" w14:textId="77777777" w:rsidR="00366005" w:rsidRPr="00183B5F" w:rsidRDefault="00943743" w:rsidP="00FE0197">
            <w:pPr>
              <w:keepNext/>
              <w:spacing w:line="240" w:lineRule="auto"/>
              <w:jc w:val="center"/>
              <w:rPr>
                <w:szCs w:val="22"/>
                <w:lang w:eastAsia="en-US"/>
              </w:rPr>
            </w:pPr>
            <w:r w:rsidRPr="00183B5F">
              <w:rPr>
                <w:szCs w:val="22"/>
                <w:lang w:eastAsia="en-US"/>
              </w:rPr>
              <w:t>6,9</w:t>
            </w:r>
          </w:p>
        </w:tc>
        <w:tc>
          <w:tcPr>
            <w:tcW w:w="1260" w:type="dxa"/>
            <w:tcBorders>
              <w:top w:val="single" w:sz="4" w:space="0" w:color="auto"/>
              <w:left w:val="single" w:sz="4" w:space="0" w:color="auto"/>
              <w:bottom w:val="single" w:sz="4" w:space="0" w:color="auto"/>
              <w:right w:val="single" w:sz="4" w:space="0" w:color="auto"/>
            </w:tcBorders>
            <w:hideMark/>
          </w:tcPr>
          <w:p w14:paraId="3CFE55C2" w14:textId="77777777" w:rsidR="00366005" w:rsidRPr="00183B5F" w:rsidRDefault="00943743" w:rsidP="00FE0197">
            <w:pPr>
              <w:keepNext/>
              <w:spacing w:line="240" w:lineRule="auto"/>
              <w:jc w:val="center"/>
              <w:rPr>
                <w:szCs w:val="22"/>
                <w:lang w:eastAsia="en-US"/>
              </w:rPr>
            </w:pPr>
            <w:r w:rsidRPr="00183B5F">
              <w:rPr>
                <w:szCs w:val="22"/>
                <w:lang w:eastAsia="en-US"/>
              </w:rPr>
              <w:t>48,9</w:t>
            </w:r>
            <w:r w:rsidRPr="00183B5F">
              <w:rPr>
                <w:szCs w:val="22"/>
                <w:vertAlign w:val="superscript"/>
                <w:lang w:eastAsia="en-US"/>
              </w:rPr>
              <w:t>a</w:t>
            </w:r>
          </w:p>
        </w:tc>
        <w:tc>
          <w:tcPr>
            <w:tcW w:w="2268" w:type="dxa"/>
            <w:tcBorders>
              <w:top w:val="single" w:sz="4" w:space="0" w:color="auto"/>
              <w:left w:val="single" w:sz="4" w:space="0" w:color="auto"/>
              <w:bottom w:val="single" w:sz="4" w:space="0" w:color="auto"/>
              <w:right w:val="single" w:sz="4" w:space="0" w:color="auto"/>
            </w:tcBorders>
            <w:hideMark/>
          </w:tcPr>
          <w:p w14:paraId="042CC2D4" w14:textId="77777777" w:rsidR="00366005" w:rsidRPr="00183B5F" w:rsidRDefault="00943743" w:rsidP="00FE0197">
            <w:pPr>
              <w:pStyle w:val="gtctablespaceafter"/>
              <w:keepNext/>
              <w:spacing w:after="0"/>
              <w:jc w:val="center"/>
              <w:rPr>
                <w:sz w:val="22"/>
                <w:szCs w:val="22"/>
                <w:lang w:val="hu-HU"/>
              </w:rPr>
            </w:pPr>
            <w:r w:rsidRPr="00183B5F">
              <w:rPr>
                <w:sz w:val="22"/>
                <w:szCs w:val="22"/>
                <w:lang w:val="hu-HU"/>
              </w:rPr>
              <w:t>61,3</w:t>
            </w:r>
          </w:p>
        </w:tc>
      </w:tr>
      <w:tr w:rsidR="00011D2F" w14:paraId="38CF90AC" w14:textId="77777777" w:rsidTr="00366005">
        <w:tc>
          <w:tcPr>
            <w:tcW w:w="2718" w:type="dxa"/>
            <w:tcBorders>
              <w:top w:val="single" w:sz="4" w:space="0" w:color="auto"/>
              <w:left w:val="single" w:sz="4" w:space="0" w:color="auto"/>
              <w:bottom w:val="single" w:sz="4" w:space="0" w:color="auto"/>
              <w:right w:val="single" w:sz="4" w:space="0" w:color="auto"/>
            </w:tcBorders>
            <w:hideMark/>
          </w:tcPr>
          <w:p w14:paraId="2683A5C8" w14:textId="77777777" w:rsidR="00366005" w:rsidRPr="00183B5F" w:rsidRDefault="00943743" w:rsidP="004062FE">
            <w:pPr>
              <w:pStyle w:val="gtctablespaceafter"/>
              <w:spacing w:after="0"/>
              <w:rPr>
                <w:sz w:val="22"/>
                <w:szCs w:val="22"/>
                <w:lang w:val="hu-HU"/>
              </w:rPr>
            </w:pPr>
            <w:r w:rsidRPr="00183B5F">
              <w:rPr>
                <w:sz w:val="22"/>
                <w:szCs w:val="22"/>
                <w:lang w:val="hu-HU"/>
              </w:rPr>
              <w:t>Teljes köröm NAPSI százalékos változása (%)</w:t>
            </w:r>
          </w:p>
        </w:tc>
        <w:tc>
          <w:tcPr>
            <w:tcW w:w="1080" w:type="dxa"/>
            <w:tcBorders>
              <w:top w:val="single" w:sz="4" w:space="0" w:color="auto"/>
              <w:left w:val="single" w:sz="4" w:space="0" w:color="auto"/>
              <w:bottom w:val="single" w:sz="4" w:space="0" w:color="auto"/>
              <w:right w:val="single" w:sz="4" w:space="0" w:color="auto"/>
            </w:tcBorders>
            <w:hideMark/>
          </w:tcPr>
          <w:p w14:paraId="237BA9CC" w14:textId="77777777" w:rsidR="00366005" w:rsidRPr="00183B5F" w:rsidRDefault="00943743" w:rsidP="004062FE">
            <w:pPr>
              <w:pStyle w:val="gtctablespaceafter"/>
              <w:spacing w:after="0"/>
              <w:jc w:val="center"/>
              <w:rPr>
                <w:sz w:val="22"/>
                <w:szCs w:val="22"/>
                <w:lang w:val="hu-HU"/>
              </w:rPr>
            </w:pPr>
            <w:r w:rsidRPr="00183B5F">
              <w:rPr>
                <w:sz w:val="22"/>
                <w:szCs w:val="22"/>
                <w:lang w:val="hu-HU"/>
              </w:rPr>
              <w:t>-7,8</w:t>
            </w:r>
          </w:p>
        </w:tc>
        <w:tc>
          <w:tcPr>
            <w:tcW w:w="1260" w:type="dxa"/>
            <w:tcBorders>
              <w:top w:val="single" w:sz="4" w:space="0" w:color="auto"/>
              <w:left w:val="single" w:sz="4" w:space="0" w:color="auto"/>
              <w:bottom w:val="single" w:sz="4" w:space="0" w:color="auto"/>
              <w:right w:val="single" w:sz="4" w:space="0" w:color="auto"/>
            </w:tcBorders>
            <w:hideMark/>
          </w:tcPr>
          <w:p w14:paraId="5A2DBD2B" w14:textId="77777777" w:rsidR="00366005" w:rsidRPr="00183B5F" w:rsidRDefault="00943743" w:rsidP="004062FE">
            <w:pPr>
              <w:pStyle w:val="gtctablespaceafter"/>
              <w:spacing w:after="0"/>
              <w:jc w:val="center"/>
              <w:rPr>
                <w:sz w:val="22"/>
                <w:szCs w:val="22"/>
                <w:lang w:val="hu-HU"/>
              </w:rPr>
            </w:pPr>
            <w:r w:rsidRPr="00183B5F">
              <w:rPr>
                <w:sz w:val="22"/>
                <w:szCs w:val="22"/>
                <w:lang w:val="hu-HU"/>
              </w:rPr>
              <w:t>-44,2</w:t>
            </w:r>
            <w:r w:rsidRPr="00183B5F">
              <w:rPr>
                <w:sz w:val="22"/>
                <w:szCs w:val="22"/>
                <w:vertAlign w:val="superscript"/>
                <w:lang w:val="hu-HU"/>
              </w:rPr>
              <w:t xml:space="preserve"> a</w:t>
            </w:r>
          </w:p>
        </w:tc>
        <w:tc>
          <w:tcPr>
            <w:tcW w:w="990" w:type="dxa"/>
            <w:tcBorders>
              <w:top w:val="single" w:sz="4" w:space="0" w:color="auto"/>
              <w:left w:val="single" w:sz="4" w:space="0" w:color="auto"/>
              <w:bottom w:val="single" w:sz="4" w:space="0" w:color="auto"/>
              <w:right w:val="single" w:sz="4" w:space="0" w:color="auto"/>
            </w:tcBorders>
            <w:hideMark/>
          </w:tcPr>
          <w:p w14:paraId="27BEEE18" w14:textId="77777777" w:rsidR="00366005" w:rsidRPr="00183B5F" w:rsidRDefault="00943743">
            <w:pPr>
              <w:keepNext/>
              <w:spacing w:line="240" w:lineRule="auto"/>
              <w:jc w:val="center"/>
              <w:rPr>
                <w:szCs w:val="22"/>
                <w:lang w:eastAsia="en-US"/>
              </w:rPr>
            </w:pPr>
            <w:r w:rsidRPr="00183B5F">
              <w:rPr>
                <w:szCs w:val="22"/>
                <w:lang w:eastAsia="en-US"/>
              </w:rPr>
              <w:t>-11,5</w:t>
            </w:r>
          </w:p>
        </w:tc>
        <w:tc>
          <w:tcPr>
            <w:tcW w:w="1260" w:type="dxa"/>
            <w:tcBorders>
              <w:top w:val="single" w:sz="4" w:space="0" w:color="auto"/>
              <w:left w:val="single" w:sz="4" w:space="0" w:color="auto"/>
              <w:bottom w:val="single" w:sz="4" w:space="0" w:color="auto"/>
              <w:right w:val="single" w:sz="4" w:space="0" w:color="auto"/>
            </w:tcBorders>
            <w:hideMark/>
          </w:tcPr>
          <w:p w14:paraId="62C0CF88" w14:textId="77777777" w:rsidR="00366005" w:rsidRPr="00183B5F" w:rsidRDefault="00943743">
            <w:pPr>
              <w:keepNext/>
              <w:spacing w:line="240" w:lineRule="auto"/>
              <w:jc w:val="center"/>
              <w:rPr>
                <w:szCs w:val="22"/>
                <w:lang w:eastAsia="en-US"/>
              </w:rPr>
            </w:pPr>
            <w:r w:rsidRPr="00183B5F">
              <w:rPr>
                <w:szCs w:val="22"/>
                <w:lang w:eastAsia="en-US"/>
              </w:rPr>
              <w:t>-56,2</w:t>
            </w:r>
            <w:r w:rsidRPr="00183B5F">
              <w:rPr>
                <w:szCs w:val="22"/>
                <w:vertAlign w:val="superscript"/>
                <w:lang w:eastAsia="en-US"/>
              </w:rPr>
              <w:t>a</w:t>
            </w:r>
          </w:p>
        </w:tc>
        <w:tc>
          <w:tcPr>
            <w:tcW w:w="2268" w:type="dxa"/>
            <w:tcBorders>
              <w:top w:val="single" w:sz="4" w:space="0" w:color="auto"/>
              <w:left w:val="single" w:sz="4" w:space="0" w:color="auto"/>
              <w:bottom w:val="single" w:sz="4" w:space="0" w:color="auto"/>
              <w:right w:val="single" w:sz="4" w:space="0" w:color="auto"/>
            </w:tcBorders>
            <w:hideMark/>
          </w:tcPr>
          <w:p w14:paraId="19E672D2" w14:textId="77777777" w:rsidR="00366005" w:rsidRPr="00183B5F" w:rsidRDefault="00943743" w:rsidP="004062FE">
            <w:pPr>
              <w:pStyle w:val="gtctablespaceafter"/>
              <w:spacing w:after="0"/>
              <w:jc w:val="center"/>
              <w:rPr>
                <w:sz w:val="22"/>
                <w:szCs w:val="22"/>
                <w:lang w:val="hu-HU"/>
              </w:rPr>
            </w:pPr>
            <w:r w:rsidRPr="00183B5F">
              <w:rPr>
                <w:sz w:val="22"/>
                <w:szCs w:val="22"/>
                <w:lang w:val="hu-HU"/>
              </w:rPr>
              <w:t>-72,2</w:t>
            </w:r>
          </w:p>
        </w:tc>
      </w:tr>
      <w:tr w:rsidR="00011D2F" w14:paraId="78EAB732" w14:textId="77777777" w:rsidTr="00366005">
        <w:tc>
          <w:tcPr>
            <w:tcW w:w="9576" w:type="dxa"/>
            <w:gridSpan w:val="6"/>
            <w:tcBorders>
              <w:top w:val="single" w:sz="4" w:space="0" w:color="auto"/>
              <w:left w:val="single" w:sz="4" w:space="0" w:color="auto"/>
              <w:bottom w:val="single" w:sz="4" w:space="0" w:color="auto"/>
              <w:right w:val="single" w:sz="4" w:space="0" w:color="auto"/>
            </w:tcBorders>
            <w:hideMark/>
          </w:tcPr>
          <w:p w14:paraId="0DEDDAAC" w14:textId="77777777" w:rsidR="00366005" w:rsidRPr="00183B5F" w:rsidRDefault="00943743" w:rsidP="004062FE">
            <w:pPr>
              <w:pStyle w:val="gtctablespaceafter"/>
              <w:spacing w:after="0"/>
              <w:rPr>
                <w:sz w:val="22"/>
                <w:szCs w:val="22"/>
                <w:lang w:val="hu-HU"/>
              </w:rPr>
            </w:pPr>
            <w:r w:rsidRPr="00183B5F">
              <w:rPr>
                <w:sz w:val="22"/>
                <w:szCs w:val="22"/>
                <w:vertAlign w:val="superscript"/>
                <w:lang w:val="hu-HU"/>
              </w:rPr>
              <w:t>a</w:t>
            </w:r>
            <w:r w:rsidRPr="00183B5F">
              <w:rPr>
                <w:sz w:val="22"/>
                <w:szCs w:val="22"/>
                <w:lang w:val="hu-HU"/>
              </w:rPr>
              <w:t xml:space="preserve"> p&lt;0,001, Humira </w:t>
            </w:r>
            <w:r w:rsidRPr="00183B5F">
              <w:rPr>
                <w:i/>
                <w:sz w:val="22"/>
                <w:szCs w:val="22"/>
                <w:lang w:val="hu-HU"/>
              </w:rPr>
              <w:t>vs.</w:t>
            </w:r>
            <w:r w:rsidRPr="00183B5F">
              <w:rPr>
                <w:sz w:val="22"/>
                <w:szCs w:val="22"/>
                <w:lang w:val="hu-HU"/>
              </w:rPr>
              <w:t xml:space="preserve"> placebo </w:t>
            </w:r>
          </w:p>
        </w:tc>
      </w:tr>
    </w:tbl>
    <w:p w14:paraId="5F82FAA3" w14:textId="77777777" w:rsidR="00366005" w:rsidRPr="00183B5F" w:rsidRDefault="00366005">
      <w:pPr>
        <w:pStyle w:val="gtctablespaceafter"/>
        <w:spacing w:after="0"/>
        <w:rPr>
          <w:sz w:val="22"/>
          <w:szCs w:val="22"/>
          <w:lang w:val="hu-HU"/>
        </w:rPr>
      </w:pPr>
    </w:p>
    <w:p w14:paraId="3ED63A9F" w14:textId="77777777" w:rsidR="00366005" w:rsidRPr="00183B5F" w:rsidRDefault="00943743">
      <w:pPr>
        <w:pStyle w:val="EMEANormal"/>
        <w:rPr>
          <w:szCs w:val="22"/>
          <w:lang w:val="hu-HU"/>
        </w:rPr>
      </w:pPr>
      <w:r w:rsidRPr="00183B5F">
        <w:rPr>
          <w:szCs w:val="22"/>
          <w:lang w:val="hu-HU"/>
        </w:rPr>
        <w:t>A Humira</w:t>
      </w:r>
      <w:r w:rsidRPr="00183B5F">
        <w:rPr>
          <w:szCs w:val="22"/>
          <w:lang w:val="hu-HU"/>
        </w:rPr>
        <w:noBreakHyphen/>
      </w:r>
      <w:r w:rsidRPr="00183B5F">
        <w:rPr>
          <w:szCs w:val="22"/>
          <w:lang w:val="hu-HU"/>
        </w:rPr>
        <w:t xml:space="preserve">val kezelt betegeknél a bőrgyógyászati életminőségi index (DLQI) statisztikailag szignifikáns javulást mutatott a 26. héten a placebóhoz képest. </w:t>
      </w:r>
    </w:p>
    <w:p w14:paraId="3B93C5D2" w14:textId="77777777" w:rsidR="00C33211" w:rsidRPr="00183B5F" w:rsidRDefault="00C33211">
      <w:pPr>
        <w:pStyle w:val="EMEANormal"/>
        <w:rPr>
          <w:szCs w:val="22"/>
          <w:lang w:val="hu-HU"/>
        </w:rPr>
      </w:pPr>
    </w:p>
    <w:p w14:paraId="2F18DDE2" w14:textId="77777777" w:rsidR="00366005" w:rsidRPr="00183B5F" w:rsidRDefault="00943743">
      <w:pPr>
        <w:keepNext/>
        <w:spacing w:line="240" w:lineRule="auto"/>
        <w:rPr>
          <w:i/>
          <w:szCs w:val="22"/>
        </w:rPr>
      </w:pPr>
      <w:r w:rsidRPr="00183B5F">
        <w:rPr>
          <w:i/>
          <w:szCs w:val="22"/>
        </w:rPr>
        <w:t>Felnőttkori Crohn</w:t>
      </w:r>
      <w:r w:rsidRPr="00183B5F">
        <w:rPr>
          <w:i/>
          <w:szCs w:val="22"/>
        </w:rPr>
        <w:noBreakHyphen/>
        <w:t>betegség</w:t>
      </w:r>
    </w:p>
    <w:p w14:paraId="680503B6" w14:textId="77777777" w:rsidR="00366005" w:rsidRPr="00183B5F" w:rsidRDefault="00366005">
      <w:pPr>
        <w:keepNext/>
        <w:spacing w:line="240" w:lineRule="auto"/>
        <w:rPr>
          <w:szCs w:val="22"/>
        </w:rPr>
      </w:pPr>
    </w:p>
    <w:p w14:paraId="236C4A71" w14:textId="77777777" w:rsidR="00366005" w:rsidRPr="00183B5F" w:rsidRDefault="00943743">
      <w:pPr>
        <w:keepNext/>
        <w:spacing w:line="240" w:lineRule="auto"/>
        <w:rPr>
          <w:szCs w:val="22"/>
        </w:rPr>
      </w:pPr>
      <w:r w:rsidRPr="00183B5F">
        <w:rPr>
          <w:szCs w:val="22"/>
        </w:rPr>
        <w:t xml:space="preserve">A Humira biztonságosságát és </w:t>
      </w:r>
      <w:r w:rsidR="00DD05E1" w:rsidRPr="00183B5F">
        <w:rPr>
          <w:szCs w:val="22"/>
        </w:rPr>
        <w:t xml:space="preserve">hatásosságát </w:t>
      </w:r>
      <w:r w:rsidRPr="00183B5F">
        <w:rPr>
          <w:szCs w:val="22"/>
        </w:rPr>
        <w:t>több mint 1500, közepesen súlyos - súlyos aktivitású Crohn</w:t>
      </w:r>
      <w:r w:rsidRPr="00183B5F">
        <w:rPr>
          <w:szCs w:val="22"/>
        </w:rPr>
        <w:noBreakHyphen/>
        <w:t xml:space="preserve">betegségben (CDAI [Crohn’s Disease Activity Index – </w:t>
      </w:r>
      <w:r w:rsidRPr="00183B5F">
        <w:rPr>
          <w:bCs/>
          <w:szCs w:val="22"/>
        </w:rPr>
        <w:t>Crohn</w:t>
      </w:r>
      <w:r w:rsidRPr="00183B5F">
        <w:rPr>
          <w:b/>
          <w:bCs/>
          <w:szCs w:val="22"/>
        </w:rPr>
        <w:noBreakHyphen/>
      </w:r>
      <w:r w:rsidRPr="00183B5F">
        <w:rPr>
          <w:szCs w:val="22"/>
        </w:rPr>
        <w:t>betegség aktivitási index] ≥ 220 – ≤450) szenvedő beteg</w:t>
      </w:r>
      <w:r w:rsidR="004C1747" w:rsidRPr="00183B5F">
        <w:rPr>
          <w:szCs w:val="22"/>
        </w:rPr>
        <w:t>nél</w:t>
      </w:r>
      <w:r w:rsidRPr="00183B5F">
        <w:rPr>
          <w:szCs w:val="22"/>
        </w:rPr>
        <w:t xml:space="preserve"> értékelték randomizált, kettős</w:t>
      </w:r>
      <w:r w:rsidR="00E5381A" w:rsidRPr="00183B5F">
        <w:rPr>
          <w:szCs w:val="22"/>
        </w:rPr>
        <w:t xml:space="preserve"> </w:t>
      </w:r>
      <w:r w:rsidRPr="00183B5F">
        <w:rPr>
          <w:szCs w:val="22"/>
        </w:rPr>
        <w:t>vak, placebokontrollos vizsgálattal. Az aminoszalicilátok, kortikoszteroidok és/vagy immunmodulánsok alkalmazását változatlan dózisban engedélyezték; e szerek legalább egyikét a betegek 80%</w:t>
      </w:r>
      <w:r w:rsidRPr="00183B5F">
        <w:rPr>
          <w:szCs w:val="22"/>
        </w:rPr>
        <w:noBreakHyphen/>
        <w:t>a továbbra is kapta.</w:t>
      </w:r>
    </w:p>
    <w:p w14:paraId="0C70850E" w14:textId="77777777" w:rsidR="00366005" w:rsidRPr="00183B5F" w:rsidRDefault="00366005">
      <w:pPr>
        <w:spacing w:line="240" w:lineRule="auto"/>
        <w:rPr>
          <w:szCs w:val="22"/>
        </w:rPr>
      </w:pPr>
    </w:p>
    <w:p w14:paraId="53AD1FCF" w14:textId="77777777" w:rsidR="00366005" w:rsidRPr="00183B5F" w:rsidRDefault="00943743">
      <w:pPr>
        <w:spacing w:line="240" w:lineRule="auto"/>
        <w:rPr>
          <w:szCs w:val="22"/>
        </w:rPr>
      </w:pPr>
      <w:r w:rsidRPr="00183B5F">
        <w:rPr>
          <w:szCs w:val="22"/>
        </w:rPr>
        <w:t>A klinikai remisszió indukcióját (meghatározás szerint CDAI &lt; 150) két vizsgálat a CD I (CLASSIC I) és a CD II (GAIN) értékelte. A CD I vizsgálatban 299, TNF</w:t>
      </w:r>
      <w:r w:rsidRPr="00183B5F">
        <w:rPr>
          <w:szCs w:val="22"/>
        </w:rPr>
        <w:noBreakHyphen/>
        <w:t>antagonistával korábban még nem kezelt beteget soroltak véletlenszerűen a négy terápiás csoport valamelyikébe (placebokezelés a 0. és a 2. héten; 160 mg Humira a 0. és 80 mg a 2. héten; 80 mg Humira a 0. és 40 mg a 2. héten; 40 mg Humira a 0. és 20 mg a 2. héten). A CD II vizsgálatban 325 beteget, akinél hatástalanná vált az infliximab, vagy infliximab-intolerancia állt fenn, véletlenszerű besorolás alapján a 0. héten 160 mg, illetve a 2. héten 80 mg Humira</w:t>
      </w:r>
      <w:r w:rsidRPr="00183B5F">
        <w:rPr>
          <w:szCs w:val="22"/>
        </w:rPr>
        <w:noBreakHyphen/>
        <w:t>val vagy a 0. és a 2. héten adott placebóval keze</w:t>
      </w:r>
      <w:r w:rsidRPr="00183B5F">
        <w:rPr>
          <w:szCs w:val="22"/>
        </w:rPr>
        <w:t>ltek. A primer nem reagálókat kizárták a vizsgálatokból, ezért ezeket a betegeket a továbbiakban nem értékelték.</w:t>
      </w:r>
    </w:p>
    <w:p w14:paraId="33AA2B1B" w14:textId="77777777" w:rsidR="00366005" w:rsidRPr="00183B5F" w:rsidRDefault="00366005">
      <w:pPr>
        <w:spacing w:line="240" w:lineRule="auto"/>
        <w:rPr>
          <w:szCs w:val="22"/>
        </w:rPr>
      </w:pPr>
    </w:p>
    <w:p w14:paraId="22447BA9" w14:textId="77777777" w:rsidR="00366005" w:rsidRPr="00183B5F" w:rsidRDefault="00943743">
      <w:pPr>
        <w:spacing w:line="240" w:lineRule="auto"/>
        <w:rPr>
          <w:szCs w:val="22"/>
        </w:rPr>
      </w:pPr>
      <w:r w:rsidRPr="00183B5F">
        <w:rPr>
          <w:szCs w:val="22"/>
        </w:rPr>
        <w:t xml:space="preserve">A klinikai remisszió fenntartását a CD III (CHARM) vizsgálat értékelte. A CD III vizsgálatban 854 beteget kezeltek nyílt vizsgálati elrendezésben, a 0. héten 80 mg, a 2. héten 40 mg dózissal. A 4. héten a résztvevőket véletlenszerűen sorolták be minden második héten 40 mg dózissal, hetente 40 mg dózissal vagy placebóval kezelt csoportba, összességében 56 hetes vizsgálati időtartammal. A kezelés 4. hetében a klinikailag reagáló (a CDAI ≥70 pontos csökkenése) betegek csoportját rétegezték, és eredményeiket a </w:t>
      </w:r>
      <w:r w:rsidRPr="00183B5F">
        <w:rPr>
          <w:szCs w:val="22"/>
        </w:rPr>
        <w:t>kezelésre a 4. hétig klinikailag nem reagáló betegekétől különválasztva értékelték. A 8. hét után engedélyezték a kortikoszteroid fokozatos csökkentését.</w:t>
      </w:r>
    </w:p>
    <w:p w14:paraId="3848B57F" w14:textId="77777777" w:rsidR="00366005" w:rsidRPr="00183B5F" w:rsidRDefault="00366005">
      <w:pPr>
        <w:spacing w:line="240" w:lineRule="auto"/>
        <w:rPr>
          <w:szCs w:val="22"/>
        </w:rPr>
      </w:pPr>
    </w:p>
    <w:p w14:paraId="58679E54" w14:textId="77777777" w:rsidR="00366005" w:rsidRPr="00183B5F" w:rsidRDefault="00943743">
      <w:pPr>
        <w:spacing w:line="240" w:lineRule="auto"/>
        <w:rPr>
          <w:szCs w:val="22"/>
        </w:rPr>
      </w:pPr>
      <w:r w:rsidRPr="00183B5F">
        <w:rPr>
          <w:szCs w:val="22"/>
        </w:rPr>
        <w:t xml:space="preserve">A </w:t>
      </w:r>
      <w:r w:rsidR="00C70C38" w:rsidRPr="00183B5F">
        <w:rPr>
          <w:szCs w:val="22"/>
        </w:rPr>
        <w:t>14</w:t>
      </w:r>
      <w:r w:rsidRPr="00183B5F">
        <w:rPr>
          <w:szCs w:val="22"/>
        </w:rPr>
        <w:t>. táblázat a CD I és a CD II vizsgálat során kiváltott remisszió gyakoriságát és a kezelésre reagáló betegek részarányát összegezi.</w:t>
      </w:r>
    </w:p>
    <w:p w14:paraId="1A31EA83" w14:textId="77777777" w:rsidR="00366005" w:rsidRPr="00183B5F" w:rsidRDefault="00366005">
      <w:pPr>
        <w:spacing w:line="240" w:lineRule="auto"/>
        <w:rPr>
          <w:szCs w:val="22"/>
        </w:rPr>
      </w:pPr>
    </w:p>
    <w:p w14:paraId="07FE6FF2" w14:textId="77777777" w:rsidR="00366005" w:rsidRPr="00183B5F" w:rsidRDefault="00943743" w:rsidP="00FE0197">
      <w:pPr>
        <w:keepNext/>
        <w:suppressAutoHyphens w:val="0"/>
        <w:spacing w:line="240" w:lineRule="auto"/>
        <w:jc w:val="center"/>
        <w:rPr>
          <w:b/>
          <w:szCs w:val="22"/>
        </w:rPr>
      </w:pPr>
      <w:r w:rsidRPr="00183B5F">
        <w:rPr>
          <w:b/>
          <w:szCs w:val="22"/>
        </w:rPr>
        <w:t xml:space="preserve">14. táblázat </w:t>
      </w:r>
    </w:p>
    <w:p w14:paraId="47194DE9" w14:textId="77777777" w:rsidR="00366005" w:rsidRPr="00183B5F" w:rsidRDefault="00943743" w:rsidP="00FE0197">
      <w:pPr>
        <w:keepNext/>
        <w:suppressAutoHyphens w:val="0"/>
        <w:spacing w:line="240" w:lineRule="auto"/>
        <w:jc w:val="center"/>
        <w:rPr>
          <w:b/>
          <w:szCs w:val="22"/>
        </w:rPr>
      </w:pPr>
      <w:r w:rsidRPr="00183B5F">
        <w:rPr>
          <w:b/>
          <w:szCs w:val="22"/>
        </w:rPr>
        <w:t>Klinikai remisszió és válasz indukciója</w:t>
      </w:r>
    </w:p>
    <w:p w14:paraId="30CEC9EC" w14:textId="77777777" w:rsidR="00366005" w:rsidRPr="00183B5F" w:rsidRDefault="00943743" w:rsidP="00FE0197">
      <w:pPr>
        <w:keepNext/>
        <w:suppressAutoHyphens w:val="0"/>
        <w:spacing w:line="240" w:lineRule="auto"/>
        <w:jc w:val="center"/>
        <w:rPr>
          <w:b/>
          <w:szCs w:val="22"/>
        </w:rPr>
      </w:pPr>
      <w:r w:rsidRPr="00183B5F">
        <w:rPr>
          <w:b/>
          <w:szCs w:val="22"/>
        </w:rPr>
        <w:t>(a betegek százaléka)</w:t>
      </w:r>
    </w:p>
    <w:p w14:paraId="08253A41" w14:textId="77777777" w:rsidR="00366005" w:rsidRPr="00183B5F" w:rsidRDefault="00366005" w:rsidP="00FE0197">
      <w:pPr>
        <w:keepNext/>
        <w:suppressAutoHyphens w:val="0"/>
        <w:spacing w:line="240" w:lineRule="auto"/>
        <w:jc w:val="center"/>
        <w:rPr>
          <w:szCs w:val="22"/>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6"/>
        <w:gridCol w:w="1212"/>
        <w:gridCol w:w="1264"/>
        <w:gridCol w:w="1312"/>
        <w:gridCol w:w="1400"/>
        <w:gridCol w:w="1596"/>
      </w:tblGrid>
      <w:tr w:rsidR="00011D2F" w14:paraId="187FD359" w14:textId="77777777" w:rsidTr="00366005">
        <w:trPr>
          <w:cantSplit/>
        </w:trPr>
        <w:tc>
          <w:tcPr>
            <w:tcW w:w="2416" w:type="dxa"/>
            <w:tcBorders>
              <w:top w:val="single" w:sz="4" w:space="0" w:color="auto"/>
              <w:left w:val="single" w:sz="4" w:space="0" w:color="auto"/>
              <w:bottom w:val="single" w:sz="4" w:space="0" w:color="auto"/>
              <w:right w:val="single" w:sz="4" w:space="0" w:color="auto"/>
            </w:tcBorders>
          </w:tcPr>
          <w:p w14:paraId="17388916" w14:textId="77777777" w:rsidR="00366005" w:rsidRPr="00183B5F" w:rsidRDefault="00366005" w:rsidP="00FE0197">
            <w:pPr>
              <w:pStyle w:val="TableText"/>
              <w:keepLines w:val="0"/>
              <w:suppressAutoHyphens w:val="0"/>
              <w:spacing w:before="0" w:after="0" w:line="240" w:lineRule="auto"/>
              <w:rPr>
                <w:b/>
                <w:bCs/>
                <w:sz w:val="22"/>
                <w:szCs w:val="22"/>
                <w:lang w:val="hu-HU"/>
              </w:rPr>
            </w:pPr>
          </w:p>
        </w:tc>
        <w:tc>
          <w:tcPr>
            <w:tcW w:w="3788" w:type="dxa"/>
            <w:gridSpan w:val="3"/>
            <w:tcBorders>
              <w:top w:val="single" w:sz="4" w:space="0" w:color="auto"/>
              <w:left w:val="single" w:sz="4" w:space="0" w:color="auto"/>
              <w:bottom w:val="single" w:sz="4" w:space="0" w:color="auto"/>
              <w:right w:val="single" w:sz="4" w:space="0" w:color="auto"/>
            </w:tcBorders>
            <w:hideMark/>
          </w:tcPr>
          <w:p w14:paraId="6EEFD0AE" w14:textId="77777777" w:rsidR="00366005" w:rsidRPr="00183B5F" w:rsidRDefault="00943743" w:rsidP="00FE0197">
            <w:pPr>
              <w:pStyle w:val="TableText"/>
              <w:keepLines w:val="0"/>
              <w:suppressAutoHyphens w:val="0"/>
              <w:spacing w:before="0" w:after="0" w:line="240" w:lineRule="auto"/>
              <w:rPr>
                <w:b/>
                <w:bCs/>
                <w:sz w:val="22"/>
                <w:szCs w:val="22"/>
                <w:lang w:val="hu-HU"/>
              </w:rPr>
            </w:pPr>
            <w:r w:rsidRPr="00183B5F">
              <w:rPr>
                <w:b/>
                <w:bCs/>
                <w:sz w:val="22"/>
                <w:szCs w:val="22"/>
                <w:lang w:val="hu-HU"/>
              </w:rPr>
              <w:t>CD I vizsgálat: Infliximab-naív betegek</w:t>
            </w:r>
          </w:p>
        </w:tc>
        <w:tc>
          <w:tcPr>
            <w:tcW w:w="2996" w:type="dxa"/>
            <w:gridSpan w:val="2"/>
            <w:tcBorders>
              <w:top w:val="single" w:sz="4" w:space="0" w:color="auto"/>
              <w:left w:val="single" w:sz="4" w:space="0" w:color="auto"/>
              <w:bottom w:val="single" w:sz="4" w:space="0" w:color="auto"/>
              <w:right w:val="single" w:sz="4" w:space="0" w:color="auto"/>
            </w:tcBorders>
            <w:hideMark/>
          </w:tcPr>
          <w:p w14:paraId="01258C31" w14:textId="77777777" w:rsidR="00366005" w:rsidRPr="00183B5F" w:rsidRDefault="00943743" w:rsidP="00FE0197">
            <w:pPr>
              <w:pStyle w:val="TableText"/>
              <w:keepLines w:val="0"/>
              <w:suppressAutoHyphens w:val="0"/>
              <w:spacing w:before="0" w:after="0" w:line="240" w:lineRule="auto"/>
              <w:rPr>
                <w:b/>
                <w:bCs/>
                <w:sz w:val="22"/>
                <w:szCs w:val="22"/>
                <w:lang w:val="hu-HU"/>
              </w:rPr>
            </w:pPr>
            <w:r w:rsidRPr="00183B5F">
              <w:rPr>
                <w:b/>
                <w:bCs/>
                <w:sz w:val="22"/>
                <w:szCs w:val="22"/>
                <w:lang w:val="hu-HU"/>
              </w:rPr>
              <w:t xml:space="preserve">CD II vizsgálat: Infliximabbal már kezelt betegek </w:t>
            </w:r>
          </w:p>
        </w:tc>
      </w:tr>
      <w:tr w:rsidR="00011D2F" w14:paraId="5026797E" w14:textId="77777777" w:rsidTr="00366005">
        <w:trPr>
          <w:cantSplit/>
        </w:trPr>
        <w:tc>
          <w:tcPr>
            <w:tcW w:w="2416" w:type="dxa"/>
            <w:tcBorders>
              <w:top w:val="single" w:sz="4" w:space="0" w:color="auto"/>
              <w:left w:val="single" w:sz="4" w:space="0" w:color="auto"/>
              <w:bottom w:val="single" w:sz="4" w:space="0" w:color="auto"/>
              <w:right w:val="single" w:sz="4" w:space="0" w:color="auto"/>
            </w:tcBorders>
          </w:tcPr>
          <w:p w14:paraId="7ADBC2DD" w14:textId="77777777" w:rsidR="00366005" w:rsidRPr="00183B5F" w:rsidRDefault="00366005" w:rsidP="00FE0197">
            <w:pPr>
              <w:pStyle w:val="TableText"/>
              <w:keepLines w:val="0"/>
              <w:suppressAutoHyphens w:val="0"/>
              <w:spacing w:before="0" w:after="0" w:line="240" w:lineRule="auto"/>
              <w:jc w:val="center"/>
              <w:rPr>
                <w:b/>
                <w:bCs/>
                <w:sz w:val="22"/>
                <w:szCs w:val="22"/>
                <w:lang w:val="hu-HU"/>
              </w:rPr>
            </w:pPr>
          </w:p>
        </w:tc>
        <w:tc>
          <w:tcPr>
            <w:tcW w:w="1212" w:type="dxa"/>
            <w:tcBorders>
              <w:top w:val="single" w:sz="4" w:space="0" w:color="auto"/>
              <w:left w:val="single" w:sz="4" w:space="0" w:color="auto"/>
              <w:bottom w:val="single" w:sz="4" w:space="0" w:color="auto"/>
              <w:right w:val="single" w:sz="4" w:space="0" w:color="auto"/>
            </w:tcBorders>
            <w:hideMark/>
          </w:tcPr>
          <w:p w14:paraId="5BCF9334" w14:textId="77777777" w:rsidR="00366005" w:rsidRPr="00183B5F" w:rsidRDefault="00943743" w:rsidP="00FE0197">
            <w:pPr>
              <w:pStyle w:val="TableText"/>
              <w:keepLines w:val="0"/>
              <w:suppressAutoHyphens w:val="0"/>
              <w:spacing w:before="0" w:after="0" w:line="240" w:lineRule="auto"/>
              <w:jc w:val="center"/>
              <w:rPr>
                <w:b/>
                <w:sz w:val="22"/>
                <w:lang w:val="hu-HU"/>
              </w:rPr>
            </w:pPr>
            <w:r w:rsidRPr="00183B5F">
              <w:rPr>
                <w:b/>
                <w:sz w:val="22"/>
                <w:lang w:val="hu-HU"/>
              </w:rPr>
              <w:t>Placebo</w:t>
            </w:r>
          </w:p>
          <w:p w14:paraId="454F1E50" w14:textId="77777777" w:rsidR="00366005" w:rsidRPr="00183B5F" w:rsidRDefault="00943743" w:rsidP="00FE0197">
            <w:pPr>
              <w:pStyle w:val="TableText"/>
              <w:keepLines w:val="0"/>
              <w:suppressAutoHyphens w:val="0"/>
              <w:spacing w:before="0" w:after="0" w:line="240" w:lineRule="auto"/>
              <w:jc w:val="center"/>
              <w:rPr>
                <w:b/>
                <w:sz w:val="22"/>
                <w:lang w:val="hu-HU"/>
              </w:rPr>
            </w:pPr>
            <w:r w:rsidRPr="00183B5F">
              <w:rPr>
                <w:b/>
                <w:sz w:val="22"/>
                <w:lang w:val="hu-HU"/>
              </w:rPr>
              <w:t>N = 74</w:t>
            </w:r>
          </w:p>
        </w:tc>
        <w:tc>
          <w:tcPr>
            <w:tcW w:w="1264" w:type="dxa"/>
            <w:tcBorders>
              <w:top w:val="single" w:sz="4" w:space="0" w:color="auto"/>
              <w:left w:val="single" w:sz="4" w:space="0" w:color="auto"/>
              <w:bottom w:val="single" w:sz="4" w:space="0" w:color="auto"/>
              <w:right w:val="single" w:sz="4" w:space="0" w:color="auto"/>
            </w:tcBorders>
            <w:hideMark/>
          </w:tcPr>
          <w:p w14:paraId="074AB689" w14:textId="77777777" w:rsidR="00366005" w:rsidRPr="00183B5F" w:rsidRDefault="00943743" w:rsidP="00FE0197">
            <w:pPr>
              <w:pStyle w:val="TableText"/>
              <w:keepLines w:val="0"/>
              <w:suppressAutoHyphens w:val="0"/>
              <w:spacing w:before="0" w:after="0" w:line="240" w:lineRule="auto"/>
              <w:jc w:val="center"/>
              <w:rPr>
                <w:b/>
                <w:sz w:val="22"/>
                <w:lang w:val="hu-HU"/>
              </w:rPr>
            </w:pPr>
            <w:r w:rsidRPr="00183B5F">
              <w:rPr>
                <w:b/>
                <w:sz w:val="22"/>
                <w:lang w:val="hu-HU"/>
              </w:rPr>
              <w:t>Humira</w:t>
            </w:r>
          </w:p>
          <w:p w14:paraId="58496695" w14:textId="77777777" w:rsidR="00366005" w:rsidRPr="00183B5F" w:rsidRDefault="00943743" w:rsidP="00FE0197">
            <w:pPr>
              <w:pStyle w:val="TableText"/>
              <w:keepLines w:val="0"/>
              <w:suppressAutoHyphens w:val="0"/>
              <w:spacing w:before="0" w:after="0" w:line="240" w:lineRule="auto"/>
              <w:jc w:val="center"/>
              <w:rPr>
                <w:b/>
                <w:sz w:val="22"/>
                <w:lang w:val="hu-HU"/>
              </w:rPr>
            </w:pPr>
            <w:r w:rsidRPr="00183B5F">
              <w:rPr>
                <w:b/>
                <w:sz w:val="22"/>
                <w:lang w:val="hu-HU"/>
              </w:rPr>
              <w:t>80/40 mg</w:t>
            </w:r>
          </w:p>
          <w:p w14:paraId="12F1408B" w14:textId="77777777" w:rsidR="00366005" w:rsidRPr="00183B5F" w:rsidRDefault="00943743" w:rsidP="00FE0197">
            <w:pPr>
              <w:pStyle w:val="TableText"/>
              <w:keepLines w:val="0"/>
              <w:suppressAutoHyphens w:val="0"/>
              <w:spacing w:before="0" w:after="0" w:line="240" w:lineRule="auto"/>
              <w:jc w:val="center"/>
              <w:rPr>
                <w:b/>
                <w:sz w:val="22"/>
                <w:lang w:val="hu-HU"/>
              </w:rPr>
            </w:pPr>
            <w:r w:rsidRPr="00183B5F">
              <w:rPr>
                <w:b/>
                <w:sz w:val="22"/>
                <w:lang w:val="hu-HU"/>
              </w:rPr>
              <w:t>N = 75</w:t>
            </w:r>
          </w:p>
        </w:tc>
        <w:tc>
          <w:tcPr>
            <w:tcW w:w="1312" w:type="dxa"/>
            <w:tcBorders>
              <w:top w:val="single" w:sz="4" w:space="0" w:color="auto"/>
              <w:left w:val="single" w:sz="4" w:space="0" w:color="auto"/>
              <w:bottom w:val="single" w:sz="4" w:space="0" w:color="auto"/>
              <w:right w:val="single" w:sz="4" w:space="0" w:color="auto"/>
            </w:tcBorders>
            <w:hideMark/>
          </w:tcPr>
          <w:p w14:paraId="4C45C2E0" w14:textId="77777777" w:rsidR="00366005" w:rsidRPr="00183B5F" w:rsidRDefault="00943743" w:rsidP="00FE0197">
            <w:pPr>
              <w:pStyle w:val="TableText"/>
              <w:keepLines w:val="0"/>
              <w:suppressAutoHyphens w:val="0"/>
              <w:spacing w:before="0" w:after="0" w:line="240" w:lineRule="auto"/>
              <w:jc w:val="center"/>
              <w:rPr>
                <w:b/>
                <w:sz w:val="22"/>
                <w:lang w:val="hu-HU"/>
              </w:rPr>
            </w:pPr>
            <w:r w:rsidRPr="00183B5F">
              <w:rPr>
                <w:b/>
                <w:sz w:val="22"/>
                <w:lang w:val="hu-HU"/>
              </w:rPr>
              <w:t xml:space="preserve">Humira </w:t>
            </w:r>
          </w:p>
          <w:p w14:paraId="2B51F5ED" w14:textId="77777777" w:rsidR="00366005" w:rsidRPr="00183B5F" w:rsidRDefault="00943743" w:rsidP="00FE0197">
            <w:pPr>
              <w:pStyle w:val="TableText"/>
              <w:keepLines w:val="0"/>
              <w:suppressAutoHyphens w:val="0"/>
              <w:spacing w:before="0" w:after="0" w:line="240" w:lineRule="auto"/>
              <w:jc w:val="center"/>
              <w:rPr>
                <w:b/>
                <w:sz w:val="22"/>
                <w:lang w:val="hu-HU"/>
              </w:rPr>
            </w:pPr>
            <w:r w:rsidRPr="00183B5F">
              <w:rPr>
                <w:b/>
                <w:sz w:val="22"/>
                <w:lang w:val="hu-HU"/>
              </w:rPr>
              <w:t>160/80 mg N = 76</w:t>
            </w:r>
          </w:p>
        </w:tc>
        <w:tc>
          <w:tcPr>
            <w:tcW w:w="1400" w:type="dxa"/>
            <w:tcBorders>
              <w:top w:val="single" w:sz="4" w:space="0" w:color="auto"/>
              <w:left w:val="single" w:sz="4" w:space="0" w:color="auto"/>
              <w:bottom w:val="single" w:sz="4" w:space="0" w:color="auto"/>
              <w:right w:val="single" w:sz="4" w:space="0" w:color="auto"/>
            </w:tcBorders>
            <w:hideMark/>
          </w:tcPr>
          <w:p w14:paraId="025443D1" w14:textId="77777777" w:rsidR="00366005" w:rsidRPr="00183B5F" w:rsidRDefault="00943743" w:rsidP="00FE0197">
            <w:pPr>
              <w:pStyle w:val="TableText"/>
              <w:keepLines w:val="0"/>
              <w:suppressAutoHyphens w:val="0"/>
              <w:spacing w:before="0" w:after="0" w:line="240" w:lineRule="auto"/>
              <w:jc w:val="center"/>
              <w:rPr>
                <w:b/>
                <w:sz w:val="22"/>
                <w:lang w:val="hu-HU"/>
              </w:rPr>
            </w:pPr>
            <w:r w:rsidRPr="00183B5F">
              <w:rPr>
                <w:b/>
                <w:sz w:val="22"/>
                <w:lang w:val="hu-HU"/>
              </w:rPr>
              <w:t>Placebo</w:t>
            </w:r>
          </w:p>
          <w:p w14:paraId="75BA5DAC" w14:textId="77777777" w:rsidR="00366005" w:rsidRPr="00183B5F" w:rsidRDefault="00943743" w:rsidP="00FE0197">
            <w:pPr>
              <w:pStyle w:val="TableText"/>
              <w:keepLines w:val="0"/>
              <w:suppressAutoHyphens w:val="0"/>
              <w:spacing w:before="0" w:after="0" w:line="240" w:lineRule="auto"/>
              <w:jc w:val="center"/>
              <w:rPr>
                <w:b/>
                <w:sz w:val="22"/>
                <w:lang w:val="hu-HU"/>
              </w:rPr>
            </w:pPr>
            <w:r w:rsidRPr="00183B5F">
              <w:rPr>
                <w:b/>
                <w:sz w:val="22"/>
                <w:lang w:val="hu-HU"/>
              </w:rPr>
              <w:t>N = 166</w:t>
            </w:r>
          </w:p>
        </w:tc>
        <w:tc>
          <w:tcPr>
            <w:tcW w:w="1596" w:type="dxa"/>
            <w:tcBorders>
              <w:top w:val="single" w:sz="4" w:space="0" w:color="auto"/>
              <w:left w:val="single" w:sz="4" w:space="0" w:color="auto"/>
              <w:bottom w:val="single" w:sz="4" w:space="0" w:color="auto"/>
              <w:right w:val="single" w:sz="4" w:space="0" w:color="auto"/>
            </w:tcBorders>
            <w:hideMark/>
          </w:tcPr>
          <w:p w14:paraId="09A88AE6" w14:textId="77777777" w:rsidR="00366005" w:rsidRPr="00183B5F" w:rsidRDefault="00943743" w:rsidP="00FE0197">
            <w:pPr>
              <w:pStyle w:val="TableText"/>
              <w:keepLines w:val="0"/>
              <w:suppressAutoHyphens w:val="0"/>
              <w:spacing w:before="0" w:after="0" w:line="240" w:lineRule="auto"/>
              <w:jc w:val="center"/>
              <w:rPr>
                <w:b/>
                <w:sz w:val="22"/>
                <w:lang w:val="hu-HU"/>
              </w:rPr>
            </w:pPr>
            <w:r w:rsidRPr="00183B5F">
              <w:rPr>
                <w:b/>
                <w:sz w:val="22"/>
                <w:lang w:val="hu-HU"/>
              </w:rPr>
              <w:t xml:space="preserve">Humira </w:t>
            </w:r>
          </w:p>
          <w:p w14:paraId="21E543E4" w14:textId="77777777" w:rsidR="00366005" w:rsidRPr="00183B5F" w:rsidRDefault="00943743" w:rsidP="00FE0197">
            <w:pPr>
              <w:pStyle w:val="TableText"/>
              <w:keepLines w:val="0"/>
              <w:suppressAutoHyphens w:val="0"/>
              <w:spacing w:before="0" w:after="0" w:line="240" w:lineRule="auto"/>
              <w:jc w:val="center"/>
              <w:rPr>
                <w:b/>
                <w:sz w:val="22"/>
                <w:lang w:val="hu-HU"/>
              </w:rPr>
            </w:pPr>
            <w:r w:rsidRPr="00183B5F">
              <w:rPr>
                <w:b/>
                <w:sz w:val="22"/>
                <w:lang w:val="hu-HU"/>
              </w:rPr>
              <w:t>160/80 mg</w:t>
            </w:r>
          </w:p>
          <w:p w14:paraId="736A4D5A" w14:textId="77777777" w:rsidR="00366005" w:rsidRPr="00183B5F" w:rsidRDefault="00943743" w:rsidP="00FE0197">
            <w:pPr>
              <w:pStyle w:val="TableText"/>
              <w:keepLines w:val="0"/>
              <w:suppressAutoHyphens w:val="0"/>
              <w:spacing w:before="0" w:after="0" w:line="240" w:lineRule="auto"/>
              <w:jc w:val="center"/>
              <w:rPr>
                <w:b/>
                <w:sz w:val="22"/>
                <w:lang w:val="hu-HU"/>
              </w:rPr>
            </w:pPr>
            <w:r w:rsidRPr="00183B5F">
              <w:rPr>
                <w:b/>
                <w:sz w:val="22"/>
                <w:lang w:val="hu-HU"/>
              </w:rPr>
              <w:t>N = 159</w:t>
            </w:r>
          </w:p>
        </w:tc>
      </w:tr>
      <w:tr w:rsidR="00011D2F" w14:paraId="0C4D8242" w14:textId="77777777" w:rsidTr="00366005">
        <w:trPr>
          <w:cantSplit/>
        </w:trPr>
        <w:tc>
          <w:tcPr>
            <w:tcW w:w="2416" w:type="dxa"/>
            <w:tcBorders>
              <w:top w:val="single" w:sz="4" w:space="0" w:color="auto"/>
              <w:left w:val="single" w:sz="4" w:space="0" w:color="auto"/>
              <w:bottom w:val="single" w:sz="4" w:space="0" w:color="auto"/>
              <w:right w:val="single" w:sz="4" w:space="0" w:color="auto"/>
            </w:tcBorders>
            <w:vAlign w:val="bottom"/>
            <w:hideMark/>
          </w:tcPr>
          <w:p w14:paraId="6F0FC417" w14:textId="77777777" w:rsidR="00366005" w:rsidRPr="00183B5F" w:rsidRDefault="00943743" w:rsidP="00FE0197">
            <w:pPr>
              <w:pStyle w:val="TableText"/>
              <w:keepLines w:val="0"/>
              <w:suppressAutoHyphens w:val="0"/>
              <w:spacing w:before="0" w:after="0" w:line="240" w:lineRule="auto"/>
              <w:rPr>
                <w:sz w:val="22"/>
                <w:lang w:val="hu-HU"/>
              </w:rPr>
            </w:pPr>
            <w:r w:rsidRPr="00183B5F">
              <w:rPr>
                <w:sz w:val="22"/>
                <w:lang w:val="hu-HU"/>
              </w:rPr>
              <w:t>4. hét</w:t>
            </w:r>
          </w:p>
        </w:tc>
        <w:tc>
          <w:tcPr>
            <w:tcW w:w="1212" w:type="dxa"/>
            <w:tcBorders>
              <w:top w:val="single" w:sz="4" w:space="0" w:color="auto"/>
              <w:left w:val="single" w:sz="4" w:space="0" w:color="auto"/>
              <w:bottom w:val="single" w:sz="4" w:space="0" w:color="auto"/>
              <w:right w:val="single" w:sz="4" w:space="0" w:color="auto"/>
            </w:tcBorders>
            <w:vAlign w:val="bottom"/>
          </w:tcPr>
          <w:p w14:paraId="4AE2A715" w14:textId="77777777" w:rsidR="00366005" w:rsidRPr="00183B5F" w:rsidRDefault="00366005" w:rsidP="00FE0197">
            <w:pPr>
              <w:pStyle w:val="TableText"/>
              <w:keepLines w:val="0"/>
              <w:suppressAutoHyphens w:val="0"/>
              <w:spacing w:before="0" w:after="0" w:line="240" w:lineRule="auto"/>
              <w:rPr>
                <w:sz w:val="22"/>
                <w:lang w:val="hu-HU"/>
              </w:rPr>
            </w:pPr>
          </w:p>
        </w:tc>
        <w:tc>
          <w:tcPr>
            <w:tcW w:w="1264" w:type="dxa"/>
            <w:tcBorders>
              <w:top w:val="single" w:sz="4" w:space="0" w:color="auto"/>
              <w:left w:val="single" w:sz="4" w:space="0" w:color="auto"/>
              <w:bottom w:val="single" w:sz="4" w:space="0" w:color="auto"/>
              <w:right w:val="single" w:sz="4" w:space="0" w:color="auto"/>
            </w:tcBorders>
            <w:vAlign w:val="bottom"/>
          </w:tcPr>
          <w:p w14:paraId="7430ACDD" w14:textId="77777777" w:rsidR="00366005" w:rsidRPr="00183B5F" w:rsidRDefault="00366005" w:rsidP="00FE0197">
            <w:pPr>
              <w:pStyle w:val="TableText"/>
              <w:keepLines w:val="0"/>
              <w:suppressAutoHyphens w:val="0"/>
              <w:spacing w:before="0" w:after="0" w:line="240" w:lineRule="auto"/>
              <w:rPr>
                <w:sz w:val="22"/>
                <w:lang w:val="hu-HU"/>
              </w:rPr>
            </w:pPr>
          </w:p>
        </w:tc>
        <w:tc>
          <w:tcPr>
            <w:tcW w:w="1312" w:type="dxa"/>
            <w:tcBorders>
              <w:top w:val="single" w:sz="4" w:space="0" w:color="auto"/>
              <w:left w:val="single" w:sz="4" w:space="0" w:color="auto"/>
              <w:bottom w:val="single" w:sz="4" w:space="0" w:color="auto"/>
              <w:right w:val="single" w:sz="4" w:space="0" w:color="auto"/>
            </w:tcBorders>
            <w:vAlign w:val="bottom"/>
          </w:tcPr>
          <w:p w14:paraId="0A648B21" w14:textId="77777777" w:rsidR="00366005" w:rsidRPr="00183B5F" w:rsidRDefault="00366005" w:rsidP="00FE0197">
            <w:pPr>
              <w:pStyle w:val="TableText"/>
              <w:keepLines w:val="0"/>
              <w:suppressAutoHyphens w:val="0"/>
              <w:spacing w:before="0" w:after="0" w:line="240" w:lineRule="auto"/>
              <w:rPr>
                <w:sz w:val="22"/>
                <w:lang w:val="hu-HU"/>
              </w:rPr>
            </w:pPr>
          </w:p>
        </w:tc>
        <w:tc>
          <w:tcPr>
            <w:tcW w:w="1400" w:type="dxa"/>
            <w:tcBorders>
              <w:top w:val="single" w:sz="4" w:space="0" w:color="auto"/>
              <w:left w:val="single" w:sz="4" w:space="0" w:color="auto"/>
              <w:bottom w:val="single" w:sz="4" w:space="0" w:color="auto"/>
              <w:right w:val="single" w:sz="4" w:space="0" w:color="auto"/>
            </w:tcBorders>
            <w:vAlign w:val="bottom"/>
          </w:tcPr>
          <w:p w14:paraId="4E3A39BE" w14:textId="77777777" w:rsidR="00366005" w:rsidRPr="00183B5F" w:rsidRDefault="00366005" w:rsidP="00FE0197">
            <w:pPr>
              <w:pStyle w:val="TableText"/>
              <w:keepLines w:val="0"/>
              <w:suppressAutoHyphens w:val="0"/>
              <w:spacing w:before="0" w:after="0" w:line="240" w:lineRule="auto"/>
              <w:rPr>
                <w:sz w:val="22"/>
                <w:lang w:val="hu-HU"/>
              </w:rPr>
            </w:pPr>
          </w:p>
        </w:tc>
        <w:tc>
          <w:tcPr>
            <w:tcW w:w="1596" w:type="dxa"/>
            <w:tcBorders>
              <w:top w:val="single" w:sz="4" w:space="0" w:color="auto"/>
              <w:left w:val="single" w:sz="4" w:space="0" w:color="auto"/>
              <w:bottom w:val="single" w:sz="4" w:space="0" w:color="auto"/>
              <w:right w:val="single" w:sz="4" w:space="0" w:color="auto"/>
            </w:tcBorders>
            <w:vAlign w:val="bottom"/>
          </w:tcPr>
          <w:p w14:paraId="2AC6162D" w14:textId="77777777" w:rsidR="00366005" w:rsidRPr="00183B5F" w:rsidRDefault="00366005" w:rsidP="00FE0197">
            <w:pPr>
              <w:pStyle w:val="TableText"/>
              <w:keepLines w:val="0"/>
              <w:suppressAutoHyphens w:val="0"/>
              <w:spacing w:before="0" w:after="0" w:line="240" w:lineRule="auto"/>
              <w:rPr>
                <w:sz w:val="22"/>
                <w:lang w:val="hu-HU"/>
              </w:rPr>
            </w:pPr>
          </w:p>
        </w:tc>
      </w:tr>
      <w:tr w:rsidR="00011D2F" w14:paraId="175CA1CD" w14:textId="77777777" w:rsidTr="00366005">
        <w:trPr>
          <w:cantSplit/>
        </w:trPr>
        <w:tc>
          <w:tcPr>
            <w:tcW w:w="2416" w:type="dxa"/>
            <w:tcBorders>
              <w:top w:val="single" w:sz="4" w:space="0" w:color="auto"/>
              <w:left w:val="single" w:sz="4" w:space="0" w:color="auto"/>
              <w:bottom w:val="single" w:sz="4" w:space="0" w:color="auto"/>
              <w:right w:val="single" w:sz="4" w:space="0" w:color="auto"/>
            </w:tcBorders>
            <w:vAlign w:val="bottom"/>
            <w:hideMark/>
          </w:tcPr>
          <w:p w14:paraId="148AE383" w14:textId="77777777" w:rsidR="00366005" w:rsidRPr="00183B5F" w:rsidRDefault="00943743">
            <w:pPr>
              <w:pStyle w:val="TableText"/>
              <w:keepNext w:val="0"/>
              <w:keepLines w:val="0"/>
              <w:suppressAutoHyphens w:val="0"/>
              <w:spacing w:before="0" w:after="0" w:line="240" w:lineRule="auto"/>
              <w:rPr>
                <w:sz w:val="22"/>
                <w:lang w:val="hu-HU"/>
              </w:rPr>
            </w:pPr>
            <w:r w:rsidRPr="00183B5F">
              <w:rPr>
                <w:sz w:val="22"/>
                <w:lang w:val="hu-HU"/>
              </w:rPr>
              <w:t>Klinikai remisszió</w:t>
            </w:r>
          </w:p>
        </w:tc>
        <w:tc>
          <w:tcPr>
            <w:tcW w:w="1212" w:type="dxa"/>
            <w:tcBorders>
              <w:top w:val="single" w:sz="4" w:space="0" w:color="auto"/>
              <w:left w:val="single" w:sz="4" w:space="0" w:color="auto"/>
              <w:bottom w:val="single" w:sz="4" w:space="0" w:color="auto"/>
              <w:right w:val="single" w:sz="4" w:space="0" w:color="auto"/>
            </w:tcBorders>
            <w:vAlign w:val="bottom"/>
            <w:hideMark/>
          </w:tcPr>
          <w:p w14:paraId="2F46E1A5" w14:textId="77777777" w:rsidR="00366005" w:rsidRPr="00183B5F" w:rsidRDefault="00943743">
            <w:pPr>
              <w:pStyle w:val="TableText"/>
              <w:keepNext w:val="0"/>
              <w:keepLines w:val="0"/>
              <w:suppressAutoHyphens w:val="0"/>
              <w:spacing w:before="0" w:after="0" w:line="240" w:lineRule="auto"/>
              <w:jc w:val="center"/>
              <w:rPr>
                <w:sz w:val="22"/>
                <w:lang w:val="hu-HU"/>
              </w:rPr>
            </w:pPr>
            <w:r w:rsidRPr="00183B5F">
              <w:rPr>
                <w:sz w:val="22"/>
                <w:lang w:val="hu-HU"/>
              </w:rPr>
              <w:t>12%</w:t>
            </w:r>
          </w:p>
        </w:tc>
        <w:tc>
          <w:tcPr>
            <w:tcW w:w="1264" w:type="dxa"/>
            <w:tcBorders>
              <w:top w:val="single" w:sz="4" w:space="0" w:color="auto"/>
              <w:left w:val="single" w:sz="4" w:space="0" w:color="auto"/>
              <w:bottom w:val="single" w:sz="4" w:space="0" w:color="auto"/>
              <w:right w:val="single" w:sz="4" w:space="0" w:color="auto"/>
            </w:tcBorders>
            <w:vAlign w:val="bottom"/>
            <w:hideMark/>
          </w:tcPr>
          <w:p w14:paraId="4D4B549A" w14:textId="77777777" w:rsidR="00366005" w:rsidRPr="00183B5F" w:rsidRDefault="00943743">
            <w:pPr>
              <w:pStyle w:val="TableText"/>
              <w:keepNext w:val="0"/>
              <w:keepLines w:val="0"/>
              <w:suppressAutoHyphens w:val="0"/>
              <w:spacing w:before="0" w:after="0" w:line="240" w:lineRule="auto"/>
              <w:jc w:val="center"/>
              <w:rPr>
                <w:sz w:val="22"/>
                <w:lang w:val="hu-HU"/>
              </w:rPr>
            </w:pPr>
            <w:r w:rsidRPr="00183B5F">
              <w:rPr>
                <w:sz w:val="22"/>
                <w:lang w:val="hu-HU"/>
              </w:rPr>
              <w:t>24%</w:t>
            </w:r>
          </w:p>
        </w:tc>
        <w:tc>
          <w:tcPr>
            <w:tcW w:w="1312" w:type="dxa"/>
            <w:tcBorders>
              <w:top w:val="single" w:sz="4" w:space="0" w:color="auto"/>
              <w:left w:val="single" w:sz="4" w:space="0" w:color="auto"/>
              <w:bottom w:val="single" w:sz="4" w:space="0" w:color="auto"/>
              <w:right w:val="single" w:sz="4" w:space="0" w:color="auto"/>
            </w:tcBorders>
            <w:vAlign w:val="bottom"/>
            <w:hideMark/>
          </w:tcPr>
          <w:p w14:paraId="5DF973BB" w14:textId="77777777" w:rsidR="00366005" w:rsidRPr="00183B5F" w:rsidRDefault="00943743">
            <w:pPr>
              <w:pStyle w:val="TableText"/>
              <w:keepNext w:val="0"/>
              <w:keepLines w:val="0"/>
              <w:suppressAutoHyphens w:val="0"/>
              <w:spacing w:before="0" w:after="0" w:line="240" w:lineRule="auto"/>
              <w:jc w:val="center"/>
              <w:rPr>
                <w:sz w:val="22"/>
                <w:lang w:val="hu-HU"/>
              </w:rPr>
            </w:pPr>
            <w:r w:rsidRPr="00183B5F">
              <w:rPr>
                <w:sz w:val="22"/>
                <w:lang w:val="hu-HU"/>
              </w:rPr>
              <w:t>36%</w:t>
            </w:r>
            <w:r w:rsidRPr="00183B5F">
              <w:rPr>
                <w:sz w:val="22"/>
                <w:vertAlign w:val="superscript"/>
                <w:lang w:val="hu-HU"/>
              </w:rPr>
              <w:t>*</w:t>
            </w:r>
          </w:p>
        </w:tc>
        <w:tc>
          <w:tcPr>
            <w:tcW w:w="1400" w:type="dxa"/>
            <w:tcBorders>
              <w:top w:val="single" w:sz="4" w:space="0" w:color="auto"/>
              <w:left w:val="single" w:sz="4" w:space="0" w:color="auto"/>
              <w:bottom w:val="single" w:sz="4" w:space="0" w:color="auto"/>
              <w:right w:val="single" w:sz="4" w:space="0" w:color="auto"/>
            </w:tcBorders>
            <w:vAlign w:val="bottom"/>
            <w:hideMark/>
          </w:tcPr>
          <w:p w14:paraId="45D9BA54" w14:textId="77777777" w:rsidR="00366005" w:rsidRPr="00183B5F" w:rsidRDefault="00943743">
            <w:pPr>
              <w:pStyle w:val="TableText"/>
              <w:keepNext w:val="0"/>
              <w:keepLines w:val="0"/>
              <w:suppressAutoHyphens w:val="0"/>
              <w:spacing w:before="0" w:after="0" w:line="240" w:lineRule="auto"/>
              <w:jc w:val="center"/>
              <w:rPr>
                <w:sz w:val="22"/>
                <w:lang w:val="hu-HU"/>
              </w:rPr>
            </w:pPr>
            <w:r w:rsidRPr="00183B5F">
              <w:rPr>
                <w:sz w:val="22"/>
                <w:lang w:val="hu-HU"/>
              </w:rPr>
              <w:t>7%</w:t>
            </w:r>
          </w:p>
        </w:tc>
        <w:tc>
          <w:tcPr>
            <w:tcW w:w="1596" w:type="dxa"/>
            <w:tcBorders>
              <w:top w:val="single" w:sz="4" w:space="0" w:color="auto"/>
              <w:left w:val="single" w:sz="4" w:space="0" w:color="auto"/>
              <w:bottom w:val="single" w:sz="4" w:space="0" w:color="auto"/>
              <w:right w:val="single" w:sz="4" w:space="0" w:color="auto"/>
            </w:tcBorders>
            <w:vAlign w:val="bottom"/>
            <w:hideMark/>
          </w:tcPr>
          <w:p w14:paraId="4CCE09D9" w14:textId="77777777" w:rsidR="00366005" w:rsidRPr="00183B5F" w:rsidRDefault="00943743">
            <w:pPr>
              <w:pStyle w:val="TableText"/>
              <w:keepNext w:val="0"/>
              <w:keepLines w:val="0"/>
              <w:suppressAutoHyphens w:val="0"/>
              <w:spacing w:before="0" w:after="0" w:line="240" w:lineRule="auto"/>
              <w:jc w:val="center"/>
              <w:rPr>
                <w:sz w:val="22"/>
                <w:lang w:val="hu-HU"/>
              </w:rPr>
            </w:pPr>
            <w:r w:rsidRPr="00183B5F">
              <w:rPr>
                <w:sz w:val="22"/>
                <w:lang w:val="hu-HU"/>
              </w:rPr>
              <w:t>21%</w:t>
            </w:r>
            <w:r w:rsidRPr="00183B5F">
              <w:rPr>
                <w:sz w:val="22"/>
                <w:vertAlign w:val="superscript"/>
                <w:lang w:val="hu-HU"/>
              </w:rPr>
              <w:t>*</w:t>
            </w:r>
          </w:p>
        </w:tc>
      </w:tr>
      <w:tr w:rsidR="00011D2F" w14:paraId="6883CB6F" w14:textId="77777777" w:rsidTr="00366005">
        <w:trPr>
          <w:cantSplit/>
        </w:trPr>
        <w:tc>
          <w:tcPr>
            <w:tcW w:w="2416" w:type="dxa"/>
            <w:tcBorders>
              <w:top w:val="single" w:sz="4" w:space="0" w:color="auto"/>
              <w:left w:val="single" w:sz="4" w:space="0" w:color="auto"/>
              <w:bottom w:val="single" w:sz="4" w:space="0" w:color="auto"/>
              <w:right w:val="single" w:sz="4" w:space="0" w:color="auto"/>
            </w:tcBorders>
            <w:hideMark/>
          </w:tcPr>
          <w:p w14:paraId="57B7F263" w14:textId="77777777" w:rsidR="00366005" w:rsidRPr="00183B5F" w:rsidRDefault="00943743">
            <w:pPr>
              <w:pStyle w:val="TableText"/>
              <w:keepNext w:val="0"/>
              <w:keepLines w:val="0"/>
              <w:suppressAutoHyphens w:val="0"/>
              <w:spacing w:before="0" w:after="0" w:line="240" w:lineRule="auto"/>
              <w:rPr>
                <w:sz w:val="22"/>
                <w:lang w:val="hu-HU"/>
              </w:rPr>
            </w:pPr>
            <w:r w:rsidRPr="00183B5F">
              <w:rPr>
                <w:sz w:val="22"/>
                <w:lang w:val="hu-HU"/>
              </w:rPr>
              <w:t>Klinikai válasz (CR</w:t>
            </w:r>
            <w:r w:rsidR="000135CA" w:rsidRPr="00183B5F">
              <w:rPr>
                <w:sz w:val="22"/>
                <w:lang w:val="hu-HU"/>
              </w:rPr>
              <w:noBreakHyphen/>
            </w:r>
            <w:r w:rsidRPr="00183B5F">
              <w:rPr>
                <w:sz w:val="22"/>
                <w:lang w:val="hu-HU"/>
              </w:rPr>
              <w:t>100)</w:t>
            </w:r>
          </w:p>
        </w:tc>
        <w:tc>
          <w:tcPr>
            <w:tcW w:w="1212" w:type="dxa"/>
            <w:tcBorders>
              <w:top w:val="single" w:sz="4" w:space="0" w:color="auto"/>
              <w:left w:val="single" w:sz="4" w:space="0" w:color="auto"/>
              <w:bottom w:val="single" w:sz="4" w:space="0" w:color="auto"/>
              <w:right w:val="single" w:sz="4" w:space="0" w:color="auto"/>
            </w:tcBorders>
            <w:hideMark/>
          </w:tcPr>
          <w:p w14:paraId="46DAB3A7" w14:textId="77777777" w:rsidR="00366005" w:rsidRPr="00183B5F" w:rsidRDefault="00943743">
            <w:pPr>
              <w:pStyle w:val="TableText"/>
              <w:keepNext w:val="0"/>
              <w:keepLines w:val="0"/>
              <w:suppressAutoHyphens w:val="0"/>
              <w:spacing w:before="0" w:after="0" w:line="240" w:lineRule="auto"/>
              <w:jc w:val="center"/>
              <w:rPr>
                <w:sz w:val="22"/>
                <w:lang w:val="hu-HU"/>
              </w:rPr>
            </w:pPr>
            <w:r w:rsidRPr="00183B5F">
              <w:rPr>
                <w:sz w:val="22"/>
                <w:lang w:val="hu-HU"/>
              </w:rPr>
              <w:t>24%</w:t>
            </w:r>
          </w:p>
        </w:tc>
        <w:tc>
          <w:tcPr>
            <w:tcW w:w="1264" w:type="dxa"/>
            <w:tcBorders>
              <w:top w:val="single" w:sz="4" w:space="0" w:color="auto"/>
              <w:left w:val="single" w:sz="4" w:space="0" w:color="auto"/>
              <w:bottom w:val="single" w:sz="4" w:space="0" w:color="auto"/>
              <w:right w:val="single" w:sz="4" w:space="0" w:color="auto"/>
            </w:tcBorders>
            <w:hideMark/>
          </w:tcPr>
          <w:p w14:paraId="4F2AF8E4" w14:textId="77777777" w:rsidR="00366005" w:rsidRPr="00183B5F" w:rsidRDefault="00943743">
            <w:pPr>
              <w:pStyle w:val="TableText"/>
              <w:keepNext w:val="0"/>
              <w:keepLines w:val="0"/>
              <w:suppressAutoHyphens w:val="0"/>
              <w:spacing w:before="0" w:after="0" w:line="240" w:lineRule="auto"/>
              <w:jc w:val="center"/>
              <w:rPr>
                <w:sz w:val="22"/>
                <w:lang w:val="hu-HU"/>
              </w:rPr>
            </w:pPr>
            <w:r w:rsidRPr="00183B5F">
              <w:rPr>
                <w:sz w:val="22"/>
                <w:lang w:val="hu-HU"/>
              </w:rPr>
              <w:t>37%</w:t>
            </w:r>
          </w:p>
        </w:tc>
        <w:tc>
          <w:tcPr>
            <w:tcW w:w="1312" w:type="dxa"/>
            <w:tcBorders>
              <w:top w:val="single" w:sz="4" w:space="0" w:color="auto"/>
              <w:left w:val="single" w:sz="4" w:space="0" w:color="auto"/>
              <w:bottom w:val="single" w:sz="4" w:space="0" w:color="auto"/>
              <w:right w:val="single" w:sz="4" w:space="0" w:color="auto"/>
            </w:tcBorders>
            <w:hideMark/>
          </w:tcPr>
          <w:p w14:paraId="3E9B19E5" w14:textId="77777777" w:rsidR="00366005" w:rsidRPr="00183B5F" w:rsidRDefault="00943743">
            <w:pPr>
              <w:pStyle w:val="TableText"/>
              <w:keepNext w:val="0"/>
              <w:keepLines w:val="0"/>
              <w:suppressAutoHyphens w:val="0"/>
              <w:spacing w:before="0" w:after="0" w:line="240" w:lineRule="auto"/>
              <w:jc w:val="center"/>
              <w:rPr>
                <w:sz w:val="22"/>
                <w:lang w:val="hu-HU"/>
              </w:rPr>
            </w:pPr>
            <w:r w:rsidRPr="00183B5F">
              <w:rPr>
                <w:sz w:val="22"/>
                <w:lang w:val="hu-HU"/>
              </w:rPr>
              <w:t>49%</w:t>
            </w:r>
            <w:r w:rsidRPr="00183B5F">
              <w:rPr>
                <w:sz w:val="22"/>
                <w:vertAlign w:val="superscript"/>
                <w:lang w:val="hu-HU"/>
              </w:rPr>
              <w:t>**</w:t>
            </w:r>
          </w:p>
        </w:tc>
        <w:tc>
          <w:tcPr>
            <w:tcW w:w="1400" w:type="dxa"/>
            <w:tcBorders>
              <w:top w:val="single" w:sz="4" w:space="0" w:color="auto"/>
              <w:left w:val="single" w:sz="4" w:space="0" w:color="auto"/>
              <w:bottom w:val="single" w:sz="4" w:space="0" w:color="auto"/>
              <w:right w:val="single" w:sz="4" w:space="0" w:color="auto"/>
            </w:tcBorders>
            <w:hideMark/>
          </w:tcPr>
          <w:p w14:paraId="5F3D4294" w14:textId="77777777" w:rsidR="00366005" w:rsidRPr="00183B5F" w:rsidRDefault="00943743">
            <w:pPr>
              <w:pStyle w:val="TableText"/>
              <w:keepNext w:val="0"/>
              <w:keepLines w:val="0"/>
              <w:suppressAutoHyphens w:val="0"/>
              <w:spacing w:before="0" w:after="0" w:line="240" w:lineRule="auto"/>
              <w:jc w:val="center"/>
              <w:rPr>
                <w:sz w:val="22"/>
                <w:lang w:val="hu-HU"/>
              </w:rPr>
            </w:pPr>
            <w:r w:rsidRPr="00183B5F">
              <w:rPr>
                <w:sz w:val="22"/>
                <w:lang w:val="hu-HU"/>
              </w:rPr>
              <w:t>25%</w:t>
            </w:r>
          </w:p>
        </w:tc>
        <w:tc>
          <w:tcPr>
            <w:tcW w:w="1596" w:type="dxa"/>
            <w:tcBorders>
              <w:top w:val="single" w:sz="4" w:space="0" w:color="auto"/>
              <w:left w:val="single" w:sz="4" w:space="0" w:color="auto"/>
              <w:bottom w:val="single" w:sz="4" w:space="0" w:color="auto"/>
              <w:right w:val="single" w:sz="4" w:space="0" w:color="auto"/>
            </w:tcBorders>
            <w:hideMark/>
          </w:tcPr>
          <w:p w14:paraId="4C30002E" w14:textId="77777777" w:rsidR="00366005" w:rsidRPr="00183B5F" w:rsidRDefault="00943743">
            <w:pPr>
              <w:pStyle w:val="TableText"/>
              <w:keepNext w:val="0"/>
              <w:keepLines w:val="0"/>
              <w:suppressAutoHyphens w:val="0"/>
              <w:spacing w:before="0" w:after="0" w:line="240" w:lineRule="auto"/>
              <w:jc w:val="center"/>
              <w:rPr>
                <w:sz w:val="22"/>
                <w:lang w:val="hu-HU"/>
              </w:rPr>
            </w:pPr>
            <w:r w:rsidRPr="00183B5F">
              <w:rPr>
                <w:sz w:val="22"/>
                <w:lang w:val="hu-HU"/>
              </w:rPr>
              <w:t>38%</w:t>
            </w:r>
            <w:r w:rsidRPr="00183B5F">
              <w:rPr>
                <w:sz w:val="22"/>
                <w:vertAlign w:val="superscript"/>
                <w:lang w:val="hu-HU"/>
              </w:rPr>
              <w:t>**</w:t>
            </w:r>
          </w:p>
        </w:tc>
      </w:tr>
      <w:tr w:rsidR="00011D2F" w14:paraId="39BE4E47" w14:textId="77777777" w:rsidTr="00366005">
        <w:trPr>
          <w:cantSplit/>
        </w:trPr>
        <w:tc>
          <w:tcPr>
            <w:tcW w:w="9200" w:type="dxa"/>
            <w:gridSpan w:val="6"/>
            <w:tcBorders>
              <w:top w:val="single" w:sz="4" w:space="0" w:color="auto"/>
              <w:left w:val="nil"/>
              <w:bottom w:val="nil"/>
              <w:right w:val="nil"/>
            </w:tcBorders>
            <w:hideMark/>
          </w:tcPr>
          <w:p w14:paraId="232062A7" w14:textId="77777777" w:rsidR="00366005" w:rsidRPr="00183B5F" w:rsidRDefault="00943743">
            <w:pPr>
              <w:pStyle w:val="TableText"/>
              <w:keepNext w:val="0"/>
              <w:keepLines w:val="0"/>
              <w:suppressAutoHyphens w:val="0"/>
              <w:spacing w:before="0" w:after="0" w:line="240" w:lineRule="auto"/>
              <w:rPr>
                <w:sz w:val="22"/>
                <w:szCs w:val="22"/>
                <w:lang w:val="hu-HU"/>
              </w:rPr>
            </w:pPr>
            <w:r w:rsidRPr="00183B5F">
              <w:rPr>
                <w:sz w:val="22"/>
                <w:szCs w:val="22"/>
                <w:lang w:val="hu-HU"/>
              </w:rPr>
              <w:t xml:space="preserve">Az összes p-érték a Humira </w:t>
            </w:r>
            <w:r w:rsidRPr="00183B5F">
              <w:rPr>
                <w:i/>
                <w:sz w:val="22"/>
                <w:szCs w:val="22"/>
                <w:lang w:val="hu-HU"/>
              </w:rPr>
              <w:t>versus</w:t>
            </w:r>
            <w:r w:rsidRPr="00183B5F">
              <w:rPr>
                <w:sz w:val="22"/>
                <w:szCs w:val="22"/>
                <w:lang w:val="hu-HU"/>
              </w:rPr>
              <w:t xml:space="preserve"> placebokezelés során regisztrált részarányok páronkénti összehasonlításaira vonatkozik.</w:t>
            </w:r>
          </w:p>
          <w:p w14:paraId="2C7567C7" w14:textId="77777777" w:rsidR="00366005" w:rsidRPr="00183B5F" w:rsidRDefault="00943743">
            <w:pPr>
              <w:pStyle w:val="TableText"/>
              <w:keepNext w:val="0"/>
              <w:keepLines w:val="0"/>
              <w:suppressAutoHyphens w:val="0"/>
              <w:spacing w:before="0" w:after="0" w:line="240" w:lineRule="auto"/>
              <w:rPr>
                <w:sz w:val="22"/>
                <w:lang w:val="hu-HU"/>
              </w:rPr>
            </w:pPr>
            <w:r w:rsidRPr="00183B5F">
              <w:rPr>
                <w:sz w:val="22"/>
                <w:vertAlign w:val="superscript"/>
                <w:lang w:val="hu-HU"/>
              </w:rPr>
              <w:t>*</w:t>
            </w:r>
            <w:r w:rsidRPr="00183B5F">
              <w:rPr>
                <w:sz w:val="22"/>
                <w:lang w:val="hu-HU"/>
              </w:rPr>
              <w:tab/>
              <w:t>p &lt; 0,001</w:t>
            </w:r>
          </w:p>
          <w:p w14:paraId="2F1AFF3B" w14:textId="77777777" w:rsidR="00366005" w:rsidRPr="00183B5F" w:rsidRDefault="00943743">
            <w:pPr>
              <w:pStyle w:val="TableText"/>
              <w:keepNext w:val="0"/>
              <w:keepLines w:val="0"/>
              <w:suppressAutoHyphens w:val="0"/>
              <w:spacing w:before="0" w:after="0" w:line="240" w:lineRule="auto"/>
              <w:rPr>
                <w:sz w:val="22"/>
                <w:lang w:val="hu-HU"/>
              </w:rPr>
            </w:pPr>
            <w:r w:rsidRPr="00183B5F">
              <w:rPr>
                <w:sz w:val="22"/>
                <w:vertAlign w:val="superscript"/>
                <w:lang w:val="hu-HU"/>
              </w:rPr>
              <w:t>**</w:t>
            </w:r>
            <w:r w:rsidRPr="00183B5F">
              <w:rPr>
                <w:sz w:val="22"/>
                <w:lang w:val="hu-HU"/>
              </w:rPr>
              <w:tab/>
              <w:t>p &lt; 0,01</w:t>
            </w:r>
          </w:p>
        </w:tc>
      </w:tr>
    </w:tbl>
    <w:p w14:paraId="54CDDD72" w14:textId="77777777" w:rsidR="00366005" w:rsidRPr="00183B5F" w:rsidRDefault="00366005">
      <w:pPr>
        <w:suppressAutoHyphens w:val="0"/>
        <w:spacing w:line="240" w:lineRule="auto"/>
        <w:rPr>
          <w:szCs w:val="22"/>
        </w:rPr>
      </w:pPr>
    </w:p>
    <w:p w14:paraId="78B54E94" w14:textId="77777777" w:rsidR="00366005" w:rsidRPr="00183B5F" w:rsidRDefault="00943743">
      <w:pPr>
        <w:suppressAutoHyphens w:val="0"/>
        <w:spacing w:line="240" w:lineRule="auto"/>
        <w:rPr>
          <w:szCs w:val="22"/>
        </w:rPr>
      </w:pPr>
      <w:r w:rsidRPr="00183B5F">
        <w:rPr>
          <w:szCs w:val="22"/>
        </w:rPr>
        <w:t>A 160/80 mg, illetve a 80/40 mg dózisú indukciós kezelések után a 8. héten hasonló remissziós rátát regisztráltak; a 160/80 mg dózis</w:t>
      </w:r>
      <w:r w:rsidR="000135CA" w:rsidRPr="00183B5F">
        <w:rPr>
          <w:szCs w:val="22"/>
        </w:rPr>
        <w:t>s</w:t>
      </w:r>
      <w:r w:rsidRPr="00183B5F">
        <w:rPr>
          <w:szCs w:val="22"/>
        </w:rPr>
        <w:t>al kezelt csoportban gyakrabban észleltek mellékhatásokat.</w:t>
      </w:r>
    </w:p>
    <w:p w14:paraId="5E9480BF" w14:textId="77777777" w:rsidR="00366005" w:rsidRPr="00183B5F" w:rsidRDefault="00366005">
      <w:pPr>
        <w:suppressAutoHyphens w:val="0"/>
        <w:spacing w:line="240" w:lineRule="auto"/>
        <w:rPr>
          <w:szCs w:val="22"/>
        </w:rPr>
      </w:pPr>
    </w:p>
    <w:p w14:paraId="021BF855" w14:textId="77777777" w:rsidR="00366005" w:rsidRPr="00183B5F" w:rsidRDefault="00943743">
      <w:pPr>
        <w:spacing w:line="240" w:lineRule="auto"/>
        <w:rPr>
          <w:szCs w:val="22"/>
        </w:rPr>
      </w:pPr>
      <w:r w:rsidRPr="00183B5F">
        <w:rPr>
          <w:szCs w:val="22"/>
        </w:rPr>
        <w:t>A CD III vizsgálat 4. hetében a betegek 58%</w:t>
      </w:r>
      <w:r w:rsidRPr="00183B5F">
        <w:rPr>
          <w:szCs w:val="22"/>
        </w:rPr>
        <w:noBreakHyphen/>
        <w:t>án (499/854) mutatkozott klinikai hatás; a primer elemzést ezeknek a résztvevőknek az eredményein végezték el. A kezelésre a 4. héten klinikailag reagáló betegek 48%</w:t>
      </w:r>
      <w:r w:rsidRPr="00183B5F">
        <w:rPr>
          <w:szCs w:val="22"/>
        </w:rPr>
        <w:noBreakHyphen/>
        <w:t>át korábban már kezelték más TNF</w:t>
      </w:r>
      <w:r w:rsidRPr="00183B5F">
        <w:rPr>
          <w:szCs w:val="22"/>
        </w:rPr>
        <w:noBreakHyphen/>
        <w:t xml:space="preserve">antagonistával. A tartós remissziót elért, illetve a kezelésre reagáló betegek részarányát a </w:t>
      </w:r>
      <w:r w:rsidR="00C70C38" w:rsidRPr="00183B5F">
        <w:rPr>
          <w:szCs w:val="22"/>
        </w:rPr>
        <w:t>15</w:t>
      </w:r>
      <w:r w:rsidRPr="00183B5F">
        <w:rPr>
          <w:szCs w:val="22"/>
        </w:rPr>
        <w:t>. táblázat mutatja be. A klinikai remisszióban lévő betegek részaránya viszonylag állandó maradt, függetlenül a TNF</w:t>
      </w:r>
      <w:r w:rsidRPr="00183B5F">
        <w:rPr>
          <w:szCs w:val="22"/>
        </w:rPr>
        <w:noBreakHyphen/>
        <w:t>antagonista</w:t>
      </w:r>
      <w:r w:rsidR="000135CA" w:rsidRPr="00183B5F">
        <w:rPr>
          <w:szCs w:val="22"/>
        </w:rPr>
        <w:t>-</w:t>
      </w:r>
      <w:r w:rsidRPr="00183B5F">
        <w:rPr>
          <w:szCs w:val="22"/>
        </w:rPr>
        <w:t xml:space="preserve">expozíciótól. </w:t>
      </w:r>
    </w:p>
    <w:p w14:paraId="0612794C" w14:textId="77777777" w:rsidR="00366005" w:rsidRPr="00183B5F" w:rsidRDefault="00366005">
      <w:pPr>
        <w:spacing w:line="240" w:lineRule="auto"/>
        <w:rPr>
          <w:szCs w:val="22"/>
        </w:rPr>
      </w:pPr>
    </w:p>
    <w:p w14:paraId="0DC416BB" w14:textId="77777777" w:rsidR="00366005" w:rsidRPr="00183B5F" w:rsidRDefault="00943743">
      <w:pPr>
        <w:spacing w:line="240" w:lineRule="auto"/>
        <w:rPr>
          <w:szCs w:val="22"/>
        </w:rPr>
      </w:pPr>
      <w:r w:rsidRPr="00183B5F">
        <w:rPr>
          <w:szCs w:val="22"/>
        </w:rPr>
        <w:t>Az 56. hétre a placebóhoz képest az adalimumab esetén statisztikailag szignifikánsan csökkent a betegséggel összefüggő hospitalizációk és műtétek száma.</w:t>
      </w:r>
    </w:p>
    <w:p w14:paraId="36A8BE4B" w14:textId="77777777" w:rsidR="00366005" w:rsidRPr="00183B5F" w:rsidRDefault="00366005">
      <w:pPr>
        <w:suppressAutoHyphens w:val="0"/>
        <w:spacing w:line="240" w:lineRule="auto"/>
        <w:rPr>
          <w:szCs w:val="22"/>
        </w:rPr>
      </w:pPr>
    </w:p>
    <w:p w14:paraId="029920F3" w14:textId="77777777" w:rsidR="00366005" w:rsidRPr="00183B5F" w:rsidRDefault="00943743">
      <w:pPr>
        <w:keepNext/>
        <w:suppressAutoHyphens w:val="0"/>
        <w:spacing w:line="240" w:lineRule="auto"/>
        <w:jc w:val="center"/>
        <w:rPr>
          <w:b/>
          <w:szCs w:val="22"/>
        </w:rPr>
      </w:pPr>
      <w:r w:rsidRPr="00183B5F">
        <w:rPr>
          <w:b/>
          <w:szCs w:val="22"/>
        </w:rPr>
        <w:t xml:space="preserve">15. táblázat </w:t>
      </w:r>
    </w:p>
    <w:p w14:paraId="4791B00B" w14:textId="77777777" w:rsidR="00366005" w:rsidRPr="00183B5F" w:rsidRDefault="00943743">
      <w:pPr>
        <w:keepNext/>
        <w:suppressAutoHyphens w:val="0"/>
        <w:spacing w:line="240" w:lineRule="auto"/>
        <w:jc w:val="center"/>
        <w:rPr>
          <w:b/>
          <w:szCs w:val="22"/>
        </w:rPr>
      </w:pPr>
      <w:r w:rsidRPr="00183B5F">
        <w:rPr>
          <w:b/>
          <w:szCs w:val="22"/>
        </w:rPr>
        <w:t>A klinikai remisszió és válasz fenntartása</w:t>
      </w:r>
    </w:p>
    <w:p w14:paraId="3B1B5E74" w14:textId="77777777" w:rsidR="00366005" w:rsidRPr="00183B5F" w:rsidRDefault="00943743">
      <w:pPr>
        <w:keepNext/>
        <w:suppressAutoHyphens w:val="0"/>
        <w:spacing w:line="240" w:lineRule="auto"/>
        <w:jc w:val="center"/>
        <w:rPr>
          <w:b/>
          <w:szCs w:val="22"/>
        </w:rPr>
      </w:pPr>
      <w:r w:rsidRPr="00183B5F">
        <w:rPr>
          <w:b/>
          <w:szCs w:val="22"/>
        </w:rPr>
        <w:t>(betegek százaléka)</w:t>
      </w:r>
    </w:p>
    <w:p w14:paraId="24036B6C" w14:textId="77777777" w:rsidR="00366005" w:rsidRPr="00183B5F" w:rsidRDefault="00366005">
      <w:pPr>
        <w:keepNext/>
        <w:suppressAutoHyphens w:val="0"/>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1710"/>
        <w:gridCol w:w="1885"/>
        <w:gridCol w:w="1820"/>
      </w:tblGrid>
      <w:tr w:rsidR="00011D2F" w14:paraId="2660EC97" w14:textId="77777777" w:rsidTr="00366005">
        <w:tc>
          <w:tcPr>
            <w:tcW w:w="3747" w:type="dxa"/>
            <w:tcBorders>
              <w:top w:val="single" w:sz="4" w:space="0" w:color="auto"/>
              <w:left w:val="single" w:sz="4" w:space="0" w:color="auto"/>
              <w:bottom w:val="single" w:sz="4" w:space="0" w:color="auto"/>
              <w:right w:val="single" w:sz="4" w:space="0" w:color="auto"/>
            </w:tcBorders>
          </w:tcPr>
          <w:p w14:paraId="323CDB90" w14:textId="77777777" w:rsidR="00366005" w:rsidRPr="00183B5F" w:rsidRDefault="00366005">
            <w:pPr>
              <w:pStyle w:val="TableText"/>
              <w:keepLines w:val="0"/>
              <w:suppressAutoHyphens w:val="0"/>
              <w:spacing w:before="0" w:after="0" w:line="240" w:lineRule="auto"/>
              <w:rPr>
                <w:b/>
                <w:bCs/>
                <w:sz w:val="22"/>
                <w:szCs w:val="22"/>
                <w:lang w:val="hu-HU"/>
              </w:rPr>
            </w:pPr>
          </w:p>
        </w:tc>
        <w:tc>
          <w:tcPr>
            <w:tcW w:w="1751" w:type="dxa"/>
            <w:tcBorders>
              <w:top w:val="single" w:sz="4" w:space="0" w:color="auto"/>
              <w:left w:val="single" w:sz="4" w:space="0" w:color="auto"/>
              <w:bottom w:val="single" w:sz="4" w:space="0" w:color="auto"/>
              <w:right w:val="single" w:sz="4" w:space="0" w:color="auto"/>
            </w:tcBorders>
            <w:hideMark/>
          </w:tcPr>
          <w:p w14:paraId="63BFE82B" w14:textId="77777777" w:rsidR="00366005" w:rsidRPr="00183B5F" w:rsidRDefault="00943743">
            <w:pPr>
              <w:pStyle w:val="TableText"/>
              <w:keepLines w:val="0"/>
              <w:suppressAutoHyphens w:val="0"/>
              <w:spacing w:before="0" w:after="0" w:line="240" w:lineRule="auto"/>
              <w:jc w:val="center"/>
              <w:rPr>
                <w:b/>
                <w:sz w:val="22"/>
                <w:lang w:val="hu-HU"/>
              </w:rPr>
            </w:pPr>
            <w:r w:rsidRPr="00183B5F">
              <w:rPr>
                <w:b/>
                <w:sz w:val="22"/>
                <w:lang w:val="hu-HU"/>
              </w:rPr>
              <w:t>Placebo</w:t>
            </w:r>
          </w:p>
        </w:tc>
        <w:tc>
          <w:tcPr>
            <w:tcW w:w="1928" w:type="dxa"/>
            <w:tcBorders>
              <w:top w:val="single" w:sz="4" w:space="0" w:color="auto"/>
              <w:left w:val="single" w:sz="4" w:space="0" w:color="auto"/>
              <w:bottom w:val="single" w:sz="4" w:space="0" w:color="auto"/>
              <w:right w:val="single" w:sz="4" w:space="0" w:color="auto"/>
            </w:tcBorders>
            <w:hideMark/>
          </w:tcPr>
          <w:p w14:paraId="543AB70D" w14:textId="77777777" w:rsidR="00366005" w:rsidRPr="00183B5F" w:rsidRDefault="00943743">
            <w:pPr>
              <w:pStyle w:val="TableText"/>
              <w:keepLines w:val="0"/>
              <w:suppressAutoHyphens w:val="0"/>
              <w:spacing w:before="0" w:after="0" w:line="240" w:lineRule="auto"/>
              <w:jc w:val="center"/>
              <w:rPr>
                <w:b/>
                <w:sz w:val="22"/>
                <w:lang w:val="hu-HU"/>
              </w:rPr>
            </w:pPr>
            <w:r w:rsidRPr="00183B5F">
              <w:rPr>
                <w:b/>
                <w:sz w:val="22"/>
                <w:lang w:val="hu-HU"/>
              </w:rPr>
              <w:t>40 mg Humira</w:t>
            </w:r>
            <w:r w:rsidRPr="00183B5F">
              <w:rPr>
                <w:b/>
                <w:sz w:val="22"/>
                <w:lang w:val="hu-HU"/>
              </w:rPr>
              <w:br/>
              <w:t>minden második héten</w:t>
            </w:r>
          </w:p>
        </w:tc>
        <w:tc>
          <w:tcPr>
            <w:tcW w:w="1859" w:type="dxa"/>
            <w:tcBorders>
              <w:top w:val="single" w:sz="4" w:space="0" w:color="auto"/>
              <w:left w:val="single" w:sz="4" w:space="0" w:color="auto"/>
              <w:bottom w:val="single" w:sz="4" w:space="0" w:color="auto"/>
              <w:right w:val="single" w:sz="4" w:space="0" w:color="auto"/>
            </w:tcBorders>
            <w:hideMark/>
          </w:tcPr>
          <w:p w14:paraId="6B8D4A1B" w14:textId="77777777" w:rsidR="00366005" w:rsidRPr="00183B5F" w:rsidRDefault="00943743">
            <w:pPr>
              <w:pStyle w:val="TableText"/>
              <w:keepLines w:val="0"/>
              <w:suppressAutoHyphens w:val="0"/>
              <w:spacing w:before="0" w:after="0" w:line="240" w:lineRule="auto"/>
              <w:jc w:val="center"/>
              <w:rPr>
                <w:b/>
                <w:sz w:val="22"/>
                <w:lang w:val="hu-HU"/>
              </w:rPr>
            </w:pPr>
            <w:r w:rsidRPr="00183B5F">
              <w:rPr>
                <w:b/>
                <w:sz w:val="22"/>
                <w:lang w:val="hu-HU"/>
              </w:rPr>
              <w:t>40 mg Humira</w:t>
            </w:r>
            <w:r w:rsidRPr="00183B5F">
              <w:rPr>
                <w:b/>
                <w:sz w:val="22"/>
                <w:lang w:val="hu-HU"/>
              </w:rPr>
              <w:br/>
              <w:t>hetente</w:t>
            </w:r>
          </w:p>
        </w:tc>
      </w:tr>
      <w:tr w:rsidR="00011D2F" w14:paraId="19E53E37" w14:textId="77777777" w:rsidTr="00366005">
        <w:tc>
          <w:tcPr>
            <w:tcW w:w="3747" w:type="dxa"/>
            <w:tcBorders>
              <w:top w:val="single" w:sz="4" w:space="0" w:color="auto"/>
              <w:left w:val="single" w:sz="4" w:space="0" w:color="auto"/>
              <w:bottom w:val="single" w:sz="4" w:space="0" w:color="auto"/>
              <w:right w:val="single" w:sz="4" w:space="0" w:color="auto"/>
            </w:tcBorders>
            <w:hideMark/>
          </w:tcPr>
          <w:p w14:paraId="6F611D37" w14:textId="77777777" w:rsidR="00366005" w:rsidRPr="00183B5F" w:rsidRDefault="00943743">
            <w:pPr>
              <w:pStyle w:val="TableText"/>
              <w:keepLines w:val="0"/>
              <w:suppressAutoHyphens w:val="0"/>
              <w:spacing w:before="0" w:after="0" w:line="240" w:lineRule="auto"/>
              <w:rPr>
                <w:b/>
                <w:sz w:val="22"/>
                <w:lang w:val="hu-HU"/>
              </w:rPr>
            </w:pPr>
            <w:r w:rsidRPr="00183B5F">
              <w:rPr>
                <w:b/>
                <w:sz w:val="22"/>
                <w:lang w:val="hu-HU"/>
              </w:rPr>
              <w:t>26. hét</w:t>
            </w:r>
          </w:p>
        </w:tc>
        <w:tc>
          <w:tcPr>
            <w:tcW w:w="1751" w:type="dxa"/>
            <w:tcBorders>
              <w:top w:val="single" w:sz="4" w:space="0" w:color="auto"/>
              <w:left w:val="single" w:sz="4" w:space="0" w:color="auto"/>
              <w:bottom w:val="single" w:sz="4" w:space="0" w:color="auto"/>
              <w:right w:val="single" w:sz="4" w:space="0" w:color="auto"/>
            </w:tcBorders>
            <w:hideMark/>
          </w:tcPr>
          <w:p w14:paraId="7BAAC84E" w14:textId="77777777" w:rsidR="00366005" w:rsidRPr="00183B5F" w:rsidRDefault="00943743">
            <w:pPr>
              <w:pStyle w:val="TableText"/>
              <w:keepLines w:val="0"/>
              <w:suppressAutoHyphens w:val="0"/>
              <w:spacing w:before="0" w:after="0" w:line="240" w:lineRule="auto"/>
              <w:jc w:val="center"/>
              <w:rPr>
                <w:b/>
                <w:sz w:val="22"/>
                <w:lang w:val="hu-HU"/>
              </w:rPr>
            </w:pPr>
            <w:r w:rsidRPr="00183B5F">
              <w:rPr>
                <w:b/>
                <w:sz w:val="22"/>
                <w:lang w:val="hu-HU"/>
              </w:rPr>
              <w:t>N = 170</w:t>
            </w:r>
          </w:p>
        </w:tc>
        <w:tc>
          <w:tcPr>
            <w:tcW w:w="1928" w:type="dxa"/>
            <w:tcBorders>
              <w:top w:val="single" w:sz="4" w:space="0" w:color="auto"/>
              <w:left w:val="single" w:sz="4" w:space="0" w:color="auto"/>
              <w:bottom w:val="single" w:sz="4" w:space="0" w:color="auto"/>
              <w:right w:val="single" w:sz="4" w:space="0" w:color="auto"/>
            </w:tcBorders>
            <w:hideMark/>
          </w:tcPr>
          <w:p w14:paraId="61D345F4" w14:textId="77777777" w:rsidR="00366005" w:rsidRPr="00183B5F" w:rsidRDefault="00943743">
            <w:pPr>
              <w:pStyle w:val="TableText"/>
              <w:keepLines w:val="0"/>
              <w:suppressAutoHyphens w:val="0"/>
              <w:spacing w:before="0" w:after="0" w:line="240" w:lineRule="auto"/>
              <w:jc w:val="center"/>
              <w:rPr>
                <w:b/>
                <w:sz w:val="22"/>
                <w:lang w:val="hu-HU"/>
              </w:rPr>
            </w:pPr>
            <w:r w:rsidRPr="00183B5F">
              <w:rPr>
                <w:b/>
                <w:sz w:val="22"/>
                <w:lang w:val="hu-HU"/>
              </w:rPr>
              <w:t>N = 172</w:t>
            </w:r>
          </w:p>
        </w:tc>
        <w:tc>
          <w:tcPr>
            <w:tcW w:w="1859" w:type="dxa"/>
            <w:tcBorders>
              <w:top w:val="single" w:sz="4" w:space="0" w:color="auto"/>
              <w:left w:val="single" w:sz="4" w:space="0" w:color="auto"/>
              <w:bottom w:val="single" w:sz="4" w:space="0" w:color="auto"/>
              <w:right w:val="single" w:sz="4" w:space="0" w:color="auto"/>
            </w:tcBorders>
            <w:hideMark/>
          </w:tcPr>
          <w:p w14:paraId="012F97F5" w14:textId="77777777" w:rsidR="00366005" w:rsidRPr="00183B5F" w:rsidRDefault="00943743">
            <w:pPr>
              <w:pStyle w:val="TableText"/>
              <w:keepLines w:val="0"/>
              <w:suppressAutoHyphens w:val="0"/>
              <w:spacing w:before="0" w:after="0" w:line="240" w:lineRule="auto"/>
              <w:jc w:val="center"/>
              <w:rPr>
                <w:b/>
                <w:sz w:val="22"/>
                <w:lang w:val="hu-HU"/>
              </w:rPr>
            </w:pPr>
            <w:r w:rsidRPr="00183B5F">
              <w:rPr>
                <w:b/>
                <w:sz w:val="22"/>
                <w:lang w:val="hu-HU"/>
              </w:rPr>
              <w:t>N = 157</w:t>
            </w:r>
          </w:p>
        </w:tc>
      </w:tr>
      <w:tr w:rsidR="00011D2F" w14:paraId="75C1C902" w14:textId="77777777" w:rsidTr="00366005">
        <w:tc>
          <w:tcPr>
            <w:tcW w:w="3747" w:type="dxa"/>
            <w:tcBorders>
              <w:top w:val="single" w:sz="4" w:space="0" w:color="auto"/>
              <w:left w:val="single" w:sz="4" w:space="0" w:color="auto"/>
              <w:bottom w:val="single" w:sz="4" w:space="0" w:color="auto"/>
              <w:right w:val="single" w:sz="4" w:space="0" w:color="auto"/>
            </w:tcBorders>
            <w:hideMark/>
          </w:tcPr>
          <w:p w14:paraId="0A907DE8" w14:textId="77777777" w:rsidR="00366005" w:rsidRPr="00183B5F" w:rsidRDefault="00943743">
            <w:pPr>
              <w:pStyle w:val="TableText"/>
              <w:keepLines w:val="0"/>
              <w:suppressAutoHyphens w:val="0"/>
              <w:spacing w:before="0" w:after="0" w:line="240" w:lineRule="auto"/>
              <w:rPr>
                <w:sz w:val="22"/>
                <w:lang w:val="hu-HU"/>
              </w:rPr>
            </w:pPr>
            <w:r w:rsidRPr="00183B5F">
              <w:rPr>
                <w:sz w:val="22"/>
                <w:lang w:val="hu-HU"/>
              </w:rPr>
              <w:t>Klinikai remisszió</w:t>
            </w:r>
          </w:p>
        </w:tc>
        <w:tc>
          <w:tcPr>
            <w:tcW w:w="1751" w:type="dxa"/>
            <w:tcBorders>
              <w:top w:val="single" w:sz="4" w:space="0" w:color="auto"/>
              <w:left w:val="single" w:sz="4" w:space="0" w:color="auto"/>
              <w:bottom w:val="single" w:sz="4" w:space="0" w:color="auto"/>
              <w:right w:val="single" w:sz="4" w:space="0" w:color="auto"/>
            </w:tcBorders>
            <w:hideMark/>
          </w:tcPr>
          <w:p w14:paraId="643AD58E" w14:textId="77777777" w:rsidR="00366005" w:rsidRPr="00183B5F" w:rsidRDefault="00943743">
            <w:pPr>
              <w:pStyle w:val="TableText"/>
              <w:keepLines w:val="0"/>
              <w:suppressAutoHyphens w:val="0"/>
              <w:spacing w:before="0" w:after="0" w:line="240" w:lineRule="auto"/>
              <w:jc w:val="center"/>
              <w:rPr>
                <w:sz w:val="22"/>
                <w:lang w:val="hu-HU"/>
              </w:rPr>
            </w:pPr>
            <w:r w:rsidRPr="00183B5F">
              <w:rPr>
                <w:sz w:val="22"/>
                <w:lang w:val="hu-HU"/>
              </w:rPr>
              <w:t>17%</w:t>
            </w:r>
          </w:p>
        </w:tc>
        <w:tc>
          <w:tcPr>
            <w:tcW w:w="1928" w:type="dxa"/>
            <w:tcBorders>
              <w:top w:val="single" w:sz="4" w:space="0" w:color="auto"/>
              <w:left w:val="single" w:sz="4" w:space="0" w:color="auto"/>
              <w:bottom w:val="single" w:sz="4" w:space="0" w:color="auto"/>
              <w:right w:val="single" w:sz="4" w:space="0" w:color="auto"/>
            </w:tcBorders>
            <w:hideMark/>
          </w:tcPr>
          <w:p w14:paraId="401F877C" w14:textId="77777777" w:rsidR="00366005" w:rsidRPr="00183B5F" w:rsidRDefault="00943743">
            <w:pPr>
              <w:pStyle w:val="TableText"/>
              <w:keepLines w:val="0"/>
              <w:suppressAutoHyphens w:val="0"/>
              <w:spacing w:before="0" w:after="0" w:line="240" w:lineRule="auto"/>
              <w:jc w:val="center"/>
              <w:rPr>
                <w:sz w:val="22"/>
                <w:lang w:val="hu-HU"/>
              </w:rPr>
            </w:pPr>
            <w:r w:rsidRPr="00183B5F">
              <w:rPr>
                <w:sz w:val="22"/>
                <w:lang w:val="hu-HU"/>
              </w:rPr>
              <w:t>40%*</w:t>
            </w:r>
          </w:p>
        </w:tc>
        <w:tc>
          <w:tcPr>
            <w:tcW w:w="1859" w:type="dxa"/>
            <w:tcBorders>
              <w:top w:val="single" w:sz="4" w:space="0" w:color="auto"/>
              <w:left w:val="single" w:sz="4" w:space="0" w:color="auto"/>
              <w:bottom w:val="single" w:sz="4" w:space="0" w:color="auto"/>
              <w:right w:val="single" w:sz="4" w:space="0" w:color="auto"/>
            </w:tcBorders>
            <w:hideMark/>
          </w:tcPr>
          <w:p w14:paraId="149D6895" w14:textId="77777777" w:rsidR="00366005" w:rsidRPr="00183B5F" w:rsidRDefault="00943743">
            <w:pPr>
              <w:pStyle w:val="TableText"/>
              <w:keepLines w:val="0"/>
              <w:suppressAutoHyphens w:val="0"/>
              <w:spacing w:before="0" w:after="0" w:line="240" w:lineRule="auto"/>
              <w:jc w:val="center"/>
              <w:rPr>
                <w:sz w:val="22"/>
                <w:lang w:val="hu-HU"/>
              </w:rPr>
            </w:pPr>
            <w:r w:rsidRPr="00183B5F">
              <w:rPr>
                <w:sz w:val="22"/>
                <w:lang w:val="hu-HU"/>
              </w:rPr>
              <w:t>47%*</w:t>
            </w:r>
          </w:p>
        </w:tc>
      </w:tr>
      <w:tr w:rsidR="00011D2F" w14:paraId="500A9C24" w14:textId="77777777" w:rsidTr="00366005">
        <w:tc>
          <w:tcPr>
            <w:tcW w:w="3747" w:type="dxa"/>
            <w:tcBorders>
              <w:top w:val="single" w:sz="4" w:space="0" w:color="auto"/>
              <w:left w:val="single" w:sz="4" w:space="0" w:color="auto"/>
              <w:bottom w:val="single" w:sz="4" w:space="0" w:color="auto"/>
              <w:right w:val="single" w:sz="4" w:space="0" w:color="auto"/>
            </w:tcBorders>
            <w:hideMark/>
          </w:tcPr>
          <w:p w14:paraId="26494A5D" w14:textId="77777777" w:rsidR="00366005" w:rsidRPr="00183B5F" w:rsidRDefault="00943743">
            <w:pPr>
              <w:pStyle w:val="TableText"/>
              <w:keepLines w:val="0"/>
              <w:suppressAutoHyphens w:val="0"/>
              <w:spacing w:before="0" w:after="0" w:line="240" w:lineRule="auto"/>
              <w:rPr>
                <w:sz w:val="22"/>
                <w:lang w:val="hu-HU"/>
              </w:rPr>
            </w:pPr>
            <w:r w:rsidRPr="00183B5F">
              <w:rPr>
                <w:sz w:val="22"/>
                <w:lang w:val="hu-HU"/>
              </w:rPr>
              <w:t>Klinikai válasz (CR-100)</w:t>
            </w:r>
          </w:p>
        </w:tc>
        <w:tc>
          <w:tcPr>
            <w:tcW w:w="1751" w:type="dxa"/>
            <w:tcBorders>
              <w:top w:val="single" w:sz="4" w:space="0" w:color="auto"/>
              <w:left w:val="single" w:sz="4" w:space="0" w:color="auto"/>
              <w:bottom w:val="single" w:sz="4" w:space="0" w:color="auto"/>
              <w:right w:val="single" w:sz="4" w:space="0" w:color="auto"/>
            </w:tcBorders>
            <w:hideMark/>
          </w:tcPr>
          <w:p w14:paraId="64B69658" w14:textId="77777777" w:rsidR="00366005" w:rsidRPr="00183B5F" w:rsidRDefault="00943743">
            <w:pPr>
              <w:pStyle w:val="TableText"/>
              <w:keepLines w:val="0"/>
              <w:suppressAutoHyphens w:val="0"/>
              <w:spacing w:before="0" w:after="0" w:line="240" w:lineRule="auto"/>
              <w:jc w:val="center"/>
              <w:rPr>
                <w:sz w:val="22"/>
                <w:lang w:val="hu-HU"/>
              </w:rPr>
            </w:pPr>
            <w:r w:rsidRPr="00183B5F">
              <w:rPr>
                <w:sz w:val="22"/>
                <w:lang w:val="hu-HU"/>
              </w:rPr>
              <w:t>27%</w:t>
            </w:r>
          </w:p>
        </w:tc>
        <w:tc>
          <w:tcPr>
            <w:tcW w:w="1928" w:type="dxa"/>
            <w:tcBorders>
              <w:top w:val="single" w:sz="4" w:space="0" w:color="auto"/>
              <w:left w:val="single" w:sz="4" w:space="0" w:color="auto"/>
              <w:bottom w:val="single" w:sz="4" w:space="0" w:color="auto"/>
              <w:right w:val="single" w:sz="4" w:space="0" w:color="auto"/>
            </w:tcBorders>
            <w:hideMark/>
          </w:tcPr>
          <w:p w14:paraId="4BB28F86" w14:textId="77777777" w:rsidR="00366005" w:rsidRPr="00183B5F" w:rsidRDefault="00943743">
            <w:pPr>
              <w:pStyle w:val="TableText"/>
              <w:keepLines w:val="0"/>
              <w:suppressAutoHyphens w:val="0"/>
              <w:spacing w:before="0" w:after="0" w:line="240" w:lineRule="auto"/>
              <w:jc w:val="center"/>
              <w:rPr>
                <w:sz w:val="22"/>
                <w:lang w:val="hu-HU"/>
              </w:rPr>
            </w:pPr>
            <w:r w:rsidRPr="00183B5F">
              <w:rPr>
                <w:sz w:val="22"/>
                <w:lang w:val="hu-HU"/>
              </w:rPr>
              <w:t>52%*</w:t>
            </w:r>
          </w:p>
        </w:tc>
        <w:tc>
          <w:tcPr>
            <w:tcW w:w="1859" w:type="dxa"/>
            <w:tcBorders>
              <w:top w:val="single" w:sz="4" w:space="0" w:color="auto"/>
              <w:left w:val="single" w:sz="4" w:space="0" w:color="auto"/>
              <w:bottom w:val="single" w:sz="4" w:space="0" w:color="auto"/>
              <w:right w:val="single" w:sz="4" w:space="0" w:color="auto"/>
            </w:tcBorders>
            <w:hideMark/>
          </w:tcPr>
          <w:p w14:paraId="1C38F48E" w14:textId="77777777" w:rsidR="00366005" w:rsidRPr="00183B5F" w:rsidRDefault="00943743">
            <w:pPr>
              <w:pStyle w:val="TableText"/>
              <w:keepLines w:val="0"/>
              <w:suppressAutoHyphens w:val="0"/>
              <w:spacing w:before="0" w:after="0" w:line="240" w:lineRule="auto"/>
              <w:jc w:val="center"/>
              <w:rPr>
                <w:sz w:val="22"/>
                <w:lang w:val="hu-HU"/>
              </w:rPr>
            </w:pPr>
            <w:r w:rsidRPr="00183B5F">
              <w:rPr>
                <w:sz w:val="22"/>
                <w:lang w:val="hu-HU"/>
              </w:rPr>
              <w:t>52%*</w:t>
            </w:r>
          </w:p>
        </w:tc>
      </w:tr>
      <w:tr w:rsidR="00011D2F" w14:paraId="694CC577" w14:textId="77777777" w:rsidTr="00366005">
        <w:tc>
          <w:tcPr>
            <w:tcW w:w="3747" w:type="dxa"/>
            <w:tcBorders>
              <w:top w:val="single" w:sz="4" w:space="0" w:color="auto"/>
              <w:left w:val="single" w:sz="4" w:space="0" w:color="auto"/>
              <w:bottom w:val="single" w:sz="4" w:space="0" w:color="auto"/>
              <w:right w:val="single" w:sz="4" w:space="0" w:color="auto"/>
            </w:tcBorders>
            <w:hideMark/>
          </w:tcPr>
          <w:p w14:paraId="4214DF87" w14:textId="77777777" w:rsidR="00366005" w:rsidRPr="00183B5F" w:rsidRDefault="00943743">
            <w:pPr>
              <w:pStyle w:val="TableText"/>
              <w:keepLines w:val="0"/>
              <w:suppressAutoHyphens w:val="0"/>
              <w:spacing w:before="0" w:after="0" w:line="240" w:lineRule="auto"/>
              <w:ind w:left="360"/>
              <w:rPr>
                <w:sz w:val="22"/>
                <w:szCs w:val="22"/>
                <w:lang w:val="hu-HU"/>
              </w:rPr>
            </w:pPr>
            <w:r w:rsidRPr="00183B5F">
              <w:rPr>
                <w:sz w:val="22"/>
                <w:szCs w:val="22"/>
                <w:lang w:val="hu-HU"/>
              </w:rPr>
              <w:t xml:space="preserve">Szteroid-kezelés nélkül is </w:t>
            </w:r>
            <w:r w:rsidR="008F1752" w:rsidRPr="00183B5F">
              <w:rPr>
                <w:sz w:val="22"/>
                <w:lang w:val="hu-HU"/>
              </w:rPr>
              <w:t>≥90</w:t>
            </w:r>
            <w:r w:rsidRPr="00183B5F">
              <w:rPr>
                <w:sz w:val="22"/>
                <w:szCs w:val="22"/>
                <w:lang w:val="hu-HU"/>
              </w:rPr>
              <w:t xml:space="preserve"> napja remisszióban lévő betegek</w:t>
            </w:r>
            <w:r w:rsidRPr="00183B5F">
              <w:rPr>
                <w:sz w:val="22"/>
                <w:szCs w:val="22"/>
                <w:vertAlign w:val="superscript"/>
                <w:lang w:val="hu-HU"/>
              </w:rPr>
              <w:t>a</w:t>
            </w:r>
          </w:p>
        </w:tc>
        <w:tc>
          <w:tcPr>
            <w:tcW w:w="1751" w:type="dxa"/>
            <w:tcBorders>
              <w:top w:val="single" w:sz="4" w:space="0" w:color="auto"/>
              <w:left w:val="single" w:sz="4" w:space="0" w:color="auto"/>
              <w:bottom w:val="single" w:sz="4" w:space="0" w:color="auto"/>
              <w:right w:val="single" w:sz="4" w:space="0" w:color="auto"/>
            </w:tcBorders>
            <w:hideMark/>
          </w:tcPr>
          <w:p w14:paraId="35D01EB4" w14:textId="77777777" w:rsidR="00366005" w:rsidRPr="00183B5F" w:rsidRDefault="00943743">
            <w:pPr>
              <w:pStyle w:val="TableText"/>
              <w:keepLines w:val="0"/>
              <w:suppressAutoHyphens w:val="0"/>
              <w:spacing w:before="0" w:after="0" w:line="240" w:lineRule="auto"/>
              <w:jc w:val="center"/>
              <w:rPr>
                <w:sz w:val="22"/>
                <w:lang w:val="hu-HU"/>
              </w:rPr>
            </w:pPr>
            <w:r w:rsidRPr="00183B5F">
              <w:rPr>
                <w:sz w:val="22"/>
                <w:lang w:val="hu-HU"/>
              </w:rPr>
              <w:t>3% (2/66)</w:t>
            </w:r>
          </w:p>
        </w:tc>
        <w:tc>
          <w:tcPr>
            <w:tcW w:w="1928" w:type="dxa"/>
            <w:tcBorders>
              <w:top w:val="single" w:sz="4" w:space="0" w:color="auto"/>
              <w:left w:val="single" w:sz="4" w:space="0" w:color="auto"/>
              <w:bottom w:val="single" w:sz="4" w:space="0" w:color="auto"/>
              <w:right w:val="single" w:sz="4" w:space="0" w:color="auto"/>
            </w:tcBorders>
            <w:hideMark/>
          </w:tcPr>
          <w:p w14:paraId="0C369F02" w14:textId="77777777" w:rsidR="00366005" w:rsidRPr="00183B5F" w:rsidRDefault="00943743">
            <w:pPr>
              <w:pStyle w:val="TableText"/>
              <w:keepLines w:val="0"/>
              <w:suppressAutoHyphens w:val="0"/>
              <w:spacing w:before="0" w:after="0" w:line="240" w:lineRule="auto"/>
              <w:jc w:val="center"/>
              <w:rPr>
                <w:sz w:val="22"/>
                <w:lang w:val="hu-HU"/>
              </w:rPr>
            </w:pPr>
            <w:r w:rsidRPr="00183B5F">
              <w:rPr>
                <w:sz w:val="22"/>
                <w:lang w:val="hu-HU"/>
              </w:rPr>
              <w:t>19% (11/58)**</w:t>
            </w:r>
          </w:p>
        </w:tc>
        <w:tc>
          <w:tcPr>
            <w:tcW w:w="1859" w:type="dxa"/>
            <w:tcBorders>
              <w:top w:val="single" w:sz="4" w:space="0" w:color="auto"/>
              <w:left w:val="single" w:sz="4" w:space="0" w:color="auto"/>
              <w:bottom w:val="single" w:sz="4" w:space="0" w:color="auto"/>
              <w:right w:val="single" w:sz="4" w:space="0" w:color="auto"/>
            </w:tcBorders>
            <w:hideMark/>
          </w:tcPr>
          <w:p w14:paraId="267ECB5F" w14:textId="77777777" w:rsidR="00366005" w:rsidRPr="00183B5F" w:rsidRDefault="00943743">
            <w:pPr>
              <w:pStyle w:val="TableText"/>
              <w:keepLines w:val="0"/>
              <w:suppressAutoHyphens w:val="0"/>
              <w:spacing w:before="0" w:after="0" w:line="240" w:lineRule="auto"/>
              <w:jc w:val="center"/>
              <w:rPr>
                <w:sz w:val="22"/>
                <w:lang w:val="hu-HU"/>
              </w:rPr>
            </w:pPr>
            <w:r w:rsidRPr="00183B5F">
              <w:rPr>
                <w:sz w:val="22"/>
                <w:lang w:val="hu-HU"/>
              </w:rPr>
              <w:t>15% (11/74)**</w:t>
            </w:r>
          </w:p>
        </w:tc>
      </w:tr>
      <w:tr w:rsidR="00011D2F" w14:paraId="2EA82929" w14:textId="77777777" w:rsidTr="00366005">
        <w:tc>
          <w:tcPr>
            <w:tcW w:w="3747" w:type="dxa"/>
            <w:tcBorders>
              <w:top w:val="single" w:sz="4" w:space="0" w:color="auto"/>
              <w:left w:val="single" w:sz="4" w:space="0" w:color="auto"/>
              <w:bottom w:val="single" w:sz="4" w:space="0" w:color="auto"/>
              <w:right w:val="single" w:sz="4" w:space="0" w:color="auto"/>
            </w:tcBorders>
            <w:hideMark/>
          </w:tcPr>
          <w:p w14:paraId="41404AC9" w14:textId="77777777" w:rsidR="00366005" w:rsidRPr="00183B5F" w:rsidRDefault="00943743">
            <w:pPr>
              <w:pStyle w:val="TableText"/>
              <w:keepLines w:val="0"/>
              <w:suppressAutoHyphens w:val="0"/>
              <w:spacing w:before="0" w:after="0" w:line="240" w:lineRule="auto"/>
              <w:rPr>
                <w:b/>
                <w:sz w:val="22"/>
                <w:lang w:val="hu-HU"/>
              </w:rPr>
            </w:pPr>
            <w:r w:rsidRPr="00183B5F">
              <w:rPr>
                <w:b/>
                <w:sz w:val="22"/>
                <w:lang w:val="hu-HU"/>
              </w:rPr>
              <w:t>56. hét</w:t>
            </w:r>
          </w:p>
        </w:tc>
        <w:tc>
          <w:tcPr>
            <w:tcW w:w="1751" w:type="dxa"/>
            <w:tcBorders>
              <w:top w:val="single" w:sz="4" w:space="0" w:color="auto"/>
              <w:left w:val="single" w:sz="4" w:space="0" w:color="auto"/>
              <w:bottom w:val="single" w:sz="4" w:space="0" w:color="auto"/>
              <w:right w:val="single" w:sz="4" w:space="0" w:color="auto"/>
            </w:tcBorders>
            <w:hideMark/>
          </w:tcPr>
          <w:p w14:paraId="5A81D1B7" w14:textId="77777777" w:rsidR="00366005" w:rsidRPr="00183B5F" w:rsidRDefault="00943743">
            <w:pPr>
              <w:pStyle w:val="TableText"/>
              <w:keepLines w:val="0"/>
              <w:suppressAutoHyphens w:val="0"/>
              <w:spacing w:before="0" w:after="0" w:line="240" w:lineRule="auto"/>
              <w:jc w:val="center"/>
              <w:rPr>
                <w:b/>
                <w:sz w:val="22"/>
                <w:lang w:val="hu-HU"/>
              </w:rPr>
            </w:pPr>
            <w:r w:rsidRPr="00183B5F">
              <w:rPr>
                <w:b/>
                <w:sz w:val="22"/>
                <w:lang w:val="hu-HU"/>
              </w:rPr>
              <w:t>N = 170</w:t>
            </w:r>
          </w:p>
        </w:tc>
        <w:tc>
          <w:tcPr>
            <w:tcW w:w="1928" w:type="dxa"/>
            <w:tcBorders>
              <w:top w:val="single" w:sz="4" w:space="0" w:color="auto"/>
              <w:left w:val="single" w:sz="4" w:space="0" w:color="auto"/>
              <w:bottom w:val="single" w:sz="4" w:space="0" w:color="auto"/>
              <w:right w:val="single" w:sz="4" w:space="0" w:color="auto"/>
            </w:tcBorders>
            <w:hideMark/>
          </w:tcPr>
          <w:p w14:paraId="41574B5F" w14:textId="77777777" w:rsidR="00366005" w:rsidRPr="00183B5F" w:rsidRDefault="00943743">
            <w:pPr>
              <w:pStyle w:val="TableText"/>
              <w:keepLines w:val="0"/>
              <w:suppressAutoHyphens w:val="0"/>
              <w:spacing w:before="0" w:after="0" w:line="240" w:lineRule="auto"/>
              <w:jc w:val="center"/>
              <w:rPr>
                <w:b/>
                <w:sz w:val="22"/>
                <w:lang w:val="hu-HU"/>
              </w:rPr>
            </w:pPr>
            <w:r w:rsidRPr="00183B5F">
              <w:rPr>
                <w:b/>
                <w:sz w:val="22"/>
                <w:lang w:val="hu-HU"/>
              </w:rPr>
              <w:t>N = 172</w:t>
            </w:r>
          </w:p>
        </w:tc>
        <w:tc>
          <w:tcPr>
            <w:tcW w:w="1859" w:type="dxa"/>
            <w:tcBorders>
              <w:top w:val="single" w:sz="4" w:space="0" w:color="auto"/>
              <w:left w:val="single" w:sz="4" w:space="0" w:color="auto"/>
              <w:bottom w:val="single" w:sz="4" w:space="0" w:color="auto"/>
              <w:right w:val="single" w:sz="4" w:space="0" w:color="auto"/>
            </w:tcBorders>
            <w:hideMark/>
          </w:tcPr>
          <w:p w14:paraId="4CF358F2" w14:textId="77777777" w:rsidR="00366005" w:rsidRPr="00183B5F" w:rsidRDefault="00943743">
            <w:pPr>
              <w:pStyle w:val="TableText"/>
              <w:keepLines w:val="0"/>
              <w:suppressAutoHyphens w:val="0"/>
              <w:spacing w:before="0" w:after="0" w:line="240" w:lineRule="auto"/>
              <w:jc w:val="center"/>
              <w:rPr>
                <w:b/>
                <w:sz w:val="22"/>
                <w:lang w:val="hu-HU"/>
              </w:rPr>
            </w:pPr>
            <w:r w:rsidRPr="00183B5F">
              <w:rPr>
                <w:b/>
                <w:sz w:val="22"/>
                <w:lang w:val="hu-HU"/>
              </w:rPr>
              <w:t>N = 157</w:t>
            </w:r>
          </w:p>
        </w:tc>
      </w:tr>
      <w:tr w:rsidR="00011D2F" w14:paraId="08958574" w14:textId="77777777" w:rsidTr="00366005">
        <w:tc>
          <w:tcPr>
            <w:tcW w:w="3747" w:type="dxa"/>
            <w:tcBorders>
              <w:top w:val="single" w:sz="4" w:space="0" w:color="auto"/>
              <w:left w:val="single" w:sz="4" w:space="0" w:color="auto"/>
              <w:bottom w:val="single" w:sz="4" w:space="0" w:color="auto"/>
              <w:right w:val="single" w:sz="4" w:space="0" w:color="auto"/>
            </w:tcBorders>
            <w:hideMark/>
          </w:tcPr>
          <w:p w14:paraId="043FDD4B" w14:textId="77777777" w:rsidR="00366005" w:rsidRPr="00183B5F" w:rsidRDefault="00943743">
            <w:pPr>
              <w:pStyle w:val="TableText"/>
              <w:keepLines w:val="0"/>
              <w:suppressAutoHyphens w:val="0"/>
              <w:spacing w:before="0" w:after="0" w:line="240" w:lineRule="auto"/>
              <w:rPr>
                <w:sz w:val="22"/>
                <w:lang w:val="hu-HU"/>
              </w:rPr>
            </w:pPr>
            <w:r w:rsidRPr="00183B5F">
              <w:rPr>
                <w:sz w:val="22"/>
                <w:lang w:val="hu-HU"/>
              </w:rPr>
              <w:t>Klinikai remisszió</w:t>
            </w:r>
          </w:p>
        </w:tc>
        <w:tc>
          <w:tcPr>
            <w:tcW w:w="1751" w:type="dxa"/>
            <w:tcBorders>
              <w:top w:val="single" w:sz="4" w:space="0" w:color="auto"/>
              <w:left w:val="single" w:sz="4" w:space="0" w:color="auto"/>
              <w:bottom w:val="single" w:sz="4" w:space="0" w:color="auto"/>
              <w:right w:val="single" w:sz="4" w:space="0" w:color="auto"/>
            </w:tcBorders>
            <w:hideMark/>
          </w:tcPr>
          <w:p w14:paraId="21194018" w14:textId="77777777" w:rsidR="00366005" w:rsidRPr="00183B5F" w:rsidRDefault="00943743">
            <w:pPr>
              <w:pStyle w:val="TableText"/>
              <w:keepLines w:val="0"/>
              <w:suppressAutoHyphens w:val="0"/>
              <w:spacing w:before="0" w:after="0" w:line="240" w:lineRule="auto"/>
              <w:jc w:val="center"/>
              <w:rPr>
                <w:sz w:val="22"/>
                <w:lang w:val="hu-HU"/>
              </w:rPr>
            </w:pPr>
            <w:r w:rsidRPr="00183B5F">
              <w:rPr>
                <w:sz w:val="22"/>
                <w:lang w:val="hu-HU"/>
              </w:rPr>
              <w:t>12%</w:t>
            </w:r>
          </w:p>
        </w:tc>
        <w:tc>
          <w:tcPr>
            <w:tcW w:w="1928" w:type="dxa"/>
            <w:tcBorders>
              <w:top w:val="single" w:sz="4" w:space="0" w:color="auto"/>
              <w:left w:val="single" w:sz="4" w:space="0" w:color="auto"/>
              <w:bottom w:val="single" w:sz="4" w:space="0" w:color="auto"/>
              <w:right w:val="single" w:sz="4" w:space="0" w:color="auto"/>
            </w:tcBorders>
            <w:hideMark/>
          </w:tcPr>
          <w:p w14:paraId="60BC94E2" w14:textId="77777777" w:rsidR="00366005" w:rsidRPr="00183B5F" w:rsidRDefault="00943743">
            <w:pPr>
              <w:pStyle w:val="TableText"/>
              <w:keepLines w:val="0"/>
              <w:suppressAutoHyphens w:val="0"/>
              <w:spacing w:before="0" w:after="0" w:line="240" w:lineRule="auto"/>
              <w:jc w:val="center"/>
              <w:rPr>
                <w:sz w:val="22"/>
                <w:lang w:val="hu-HU"/>
              </w:rPr>
            </w:pPr>
            <w:r w:rsidRPr="00183B5F">
              <w:rPr>
                <w:sz w:val="22"/>
                <w:lang w:val="hu-HU"/>
              </w:rPr>
              <w:t>36%*</w:t>
            </w:r>
          </w:p>
        </w:tc>
        <w:tc>
          <w:tcPr>
            <w:tcW w:w="1859" w:type="dxa"/>
            <w:tcBorders>
              <w:top w:val="single" w:sz="4" w:space="0" w:color="auto"/>
              <w:left w:val="single" w:sz="4" w:space="0" w:color="auto"/>
              <w:bottom w:val="single" w:sz="4" w:space="0" w:color="auto"/>
              <w:right w:val="single" w:sz="4" w:space="0" w:color="auto"/>
            </w:tcBorders>
            <w:hideMark/>
          </w:tcPr>
          <w:p w14:paraId="3DA89CD6" w14:textId="77777777" w:rsidR="00366005" w:rsidRPr="00183B5F" w:rsidRDefault="00943743">
            <w:pPr>
              <w:pStyle w:val="TableText"/>
              <w:keepLines w:val="0"/>
              <w:suppressAutoHyphens w:val="0"/>
              <w:spacing w:before="0" w:after="0" w:line="240" w:lineRule="auto"/>
              <w:jc w:val="center"/>
              <w:rPr>
                <w:sz w:val="22"/>
                <w:lang w:val="hu-HU"/>
              </w:rPr>
            </w:pPr>
            <w:r w:rsidRPr="00183B5F">
              <w:rPr>
                <w:sz w:val="22"/>
                <w:lang w:val="hu-HU"/>
              </w:rPr>
              <w:t>41%*</w:t>
            </w:r>
          </w:p>
        </w:tc>
      </w:tr>
      <w:tr w:rsidR="00011D2F" w14:paraId="050BE07B" w14:textId="77777777" w:rsidTr="00366005">
        <w:tc>
          <w:tcPr>
            <w:tcW w:w="3747" w:type="dxa"/>
            <w:tcBorders>
              <w:top w:val="single" w:sz="4" w:space="0" w:color="auto"/>
              <w:left w:val="single" w:sz="4" w:space="0" w:color="auto"/>
              <w:bottom w:val="single" w:sz="4" w:space="0" w:color="auto"/>
              <w:right w:val="single" w:sz="4" w:space="0" w:color="auto"/>
            </w:tcBorders>
            <w:hideMark/>
          </w:tcPr>
          <w:p w14:paraId="6B2D6018" w14:textId="77777777" w:rsidR="00366005" w:rsidRPr="00183B5F" w:rsidRDefault="00943743">
            <w:pPr>
              <w:pStyle w:val="TableText"/>
              <w:keepLines w:val="0"/>
              <w:suppressAutoHyphens w:val="0"/>
              <w:spacing w:before="0" w:after="0" w:line="240" w:lineRule="auto"/>
              <w:rPr>
                <w:sz w:val="22"/>
                <w:lang w:val="hu-HU"/>
              </w:rPr>
            </w:pPr>
            <w:r w:rsidRPr="00183B5F">
              <w:rPr>
                <w:sz w:val="22"/>
                <w:lang w:val="hu-HU"/>
              </w:rPr>
              <w:t>Klinikai válasz (CR-100)</w:t>
            </w:r>
          </w:p>
        </w:tc>
        <w:tc>
          <w:tcPr>
            <w:tcW w:w="1751" w:type="dxa"/>
            <w:tcBorders>
              <w:top w:val="single" w:sz="4" w:space="0" w:color="auto"/>
              <w:left w:val="single" w:sz="4" w:space="0" w:color="auto"/>
              <w:bottom w:val="single" w:sz="4" w:space="0" w:color="auto"/>
              <w:right w:val="single" w:sz="4" w:space="0" w:color="auto"/>
            </w:tcBorders>
            <w:hideMark/>
          </w:tcPr>
          <w:p w14:paraId="46CC7852" w14:textId="77777777" w:rsidR="00366005" w:rsidRPr="00183B5F" w:rsidRDefault="00943743">
            <w:pPr>
              <w:pStyle w:val="TableText"/>
              <w:keepLines w:val="0"/>
              <w:suppressAutoHyphens w:val="0"/>
              <w:spacing w:before="0" w:after="0" w:line="240" w:lineRule="auto"/>
              <w:jc w:val="center"/>
              <w:rPr>
                <w:sz w:val="22"/>
                <w:lang w:val="hu-HU"/>
              </w:rPr>
            </w:pPr>
            <w:r w:rsidRPr="00183B5F">
              <w:rPr>
                <w:sz w:val="22"/>
                <w:lang w:val="hu-HU"/>
              </w:rPr>
              <w:t>17%</w:t>
            </w:r>
          </w:p>
        </w:tc>
        <w:tc>
          <w:tcPr>
            <w:tcW w:w="1928" w:type="dxa"/>
            <w:tcBorders>
              <w:top w:val="single" w:sz="4" w:space="0" w:color="auto"/>
              <w:left w:val="single" w:sz="4" w:space="0" w:color="auto"/>
              <w:bottom w:val="single" w:sz="4" w:space="0" w:color="auto"/>
              <w:right w:val="single" w:sz="4" w:space="0" w:color="auto"/>
            </w:tcBorders>
            <w:hideMark/>
          </w:tcPr>
          <w:p w14:paraId="2D30C884" w14:textId="77777777" w:rsidR="00366005" w:rsidRPr="00183B5F" w:rsidRDefault="00943743">
            <w:pPr>
              <w:pStyle w:val="TableText"/>
              <w:keepLines w:val="0"/>
              <w:suppressAutoHyphens w:val="0"/>
              <w:spacing w:before="0" w:after="0" w:line="240" w:lineRule="auto"/>
              <w:jc w:val="center"/>
              <w:rPr>
                <w:sz w:val="22"/>
                <w:lang w:val="hu-HU"/>
              </w:rPr>
            </w:pPr>
            <w:r w:rsidRPr="00183B5F">
              <w:rPr>
                <w:sz w:val="22"/>
                <w:lang w:val="hu-HU"/>
              </w:rPr>
              <w:t>41%*</w:t>
            </w:r>
          </w:p>
        </w:tc>
        <w:tc>
          <w:tcPr>
            <w:tcW w:w="1859" w:type="dxa"/>
            <w:tcBorders>
              <w:top w:val="single" w:sz="4" w:space="0" w:color="auto"/>
              <w:left w:val="single" w:sz="4" w:space="0" w:color="auto"/>
              <w:bottom w:val="single" w:sz="4" w:space="0" w:color="auto"/>
              <w:right w:val="single" w:sz="4" w:space="0" w:color="auto"/>
            </w:tcBorders>
            <w:hideMark/>
          </w:tcPr>
          <w:p w14:paraId="43894AEB" w14:textId="77777777" w:rsidR="00366005" w:rsidRPr="00183B5F" w:rsidRDefault="00943743">
            <w:pPr>
              <w:pStyle w:val="TableText"/>
              <w:keepLines w:val="0"/>
              <w:suppressAutoHyphens w:val="0"/>
              <w:spacing w:before="0" w:after="0" w:line="240" w:lineRule="auto"/>
              <w:jc w:val="center"/>
              <w:rPr>
                <w:sz w:val="22"/>
                <w:lang w:val="hu-HU"/>
              </w:rPr>
            </w:pPr>
            <w:r w:rsidRPr="00183B5F">
              <w:rPr>
                <w:sz w:val="22"/>
                <w:lang w:val="hu-HU"/>
              </w:rPr>
              <w:t>48%*</w:t>
            </w:r>
          </w:p>
        </w:tc>
      </w:tr>
      <w:tr w:rsidR="00011D2F" w14:paraId="20E42F21" w14:textId="77777777" w:rsidTr="00FC288C">
        <w:tc>
          <w:tcPr>
            <w:tcW w:w="3747" w:type="dxa"/>
            <w:tcBorders>
              <w:top w:val="single" w:sz="4" w:space="0" w:color="auto"/>
              <w:left w:val="single" w:sz="4" w:space="0" w:color="auto"/>
              <w:bottom w:val="single" w:sz="4" w:space="0" w:color="auto"/>
              <w:right w:val="single" w:sz="4" w:space="0" w:color="auto"/>
            </w:tcBorders>
            <w:hideMark/>
          </w:tcPr>
          <w:p w14:paraId="33AF909F" w14:textId="77777777" w:rsidR="00366005" w:rsidRPr="00183B5F" w:rsidRDefault="00943743">
            <w:pPr>
              <w:pStyle w:val="TableText"/>
              <w:keepLines w:val="0"/>
              <w:suppressAutoHyphens w:val="0"/>
              <w:spacing w:before="0" w:after="0" w:line="240" w:lineRule="auto"/>
              <w:ind w:left="360"/>
              <w:rPr>
                <w:sz w:val="22"/>
                <w:szCs w:val="22"/>
                <w:lang w:val="hu-HU"/>
              </w:rPr>
            </w:pPr>
            <w:r w:rsidRPr="00183B5F">
              <w:rPr>
                <w:sz w:val="22"/>
                <w:szCs w:val="22"/>
                <w:lang w:val="hu-HU"/>
              </w:rPr>
              <w:t xml:space="preserve">Szteroid-kezelés nélkül is </w:t>
            </w:r>
            <w:r w:rsidR="008F1752" w:rsidRPr="00183B5F">
              <w:rPr>
                <w:sz w:val="22"/>
                <w:lang w:val="hu-HU"/>
              </w:rPr>
              <w:t>≥90</w:t>
            </w:r>
            <w:r w:rsidRPr="00183B5F">
              <w:rPr>
                <w:sz w:val="22"/>
                <w:szCs w:val="22"/>
                <w:lang w:val="hu-HU"/>
              </w:rPr>
              <w:t xml:space="preserve"> napja remisszióban lévő betegek</w:t>
            </w:r>
            <w:r w:rsidRPr="00183B5F">
              <w:rPr>
                <w:sz w:val="22"/>
                <w:szCs w:val="22"/>
                <w:vertAlign w:val="superscript"/>
                <w:lang w:val="hu-HU"/>
              </w:rPr>
              <w:t>a</w:t>
            </w:r>
          </w:p>
        </w:tc>
        <w:tc>
          <w:tcPr>
            <w:tcW w:w="1751" w:type="dxa"/>
            <w:tcBorders>
              <w:top w:val="single" w:sz="4" w:space="0" w:color="auto"/>
              <w:left w:val="single" w:sz="4" w:space="0" w:color="auto"/>
              <w:bottom w:val="single" w:sz="4" w:space="0" w:color="auto"/>
              <w:right w:val="single" w:sz="4" w:space="0" w:color="auto"/>
            </w:tcBorders>
            <w:hideMark/>
          </w:tcPr>
          <w:p w14:paraId="714BF79B" w14:textId="77777777" w:rsidR="00366005" w:rsidRPr="00183B5F" w:rsidRDefault="00943743">
            <w:pPr>
              <w:pStyle w:val="TableText"/>
              <w:keepLines w:val="0"/>
              <w:suppressAutoHyphens w:val="0"/>
              <w:spacing w:before="0" w:after="0" w:line="240" w:lineRule="auto"/>
              <w:jc w:val="center"/>
              <w:rPr>
                <w:sz w:val="22"/>
                <w:lang w:val="hu-HU"/>
              </w:rPr>
            </w:pPr>
            <w:r w:rsidRPr="00183B5F">
              <w:rPr>
                <w:sz w:val="22"/>
                <w:lang w:val="hu-HU"/>
              </w:rPr>
              <w:t>5% (3/66)</w:t>
            </w:r>
          </w:p>
        </w:tc>
        <w:tc>
          <w:tcPr>
            <w:tcW w:w="1928" w:type="dxa"/>
            <w:tcBorders>
              <w:top w:val="single" w:sz="4" w:space="0" w:color="auto"/>
              <w:left w:val="single" w:sz="4" w:space="0" w:color="auto"/>
              <w:bottom w:val="single" w:sz="4" w:space="0" w:color="auto"/>
              <w:right w:val="single" w:sz="4" w:space="0" w:color="auto"/>
            </w:tcBorders>
            <w:hideMark/>
          </w:tcPr>
          <w:p w14:paraId="0A66D8F8" w14:textId="77777777" w:rsidR="00366005" w:rsidRPr="00183B5F" w:rsidRDefault="00943743">
            <w:pPr>
              <w:pStyle w:val="TableText"/>
              <w:keepLines w:val="0"/>
              <w:suppressAutoHyphens w:val="0"/>
              <w:spacing w:before="0" w:after="0" w:line="240" w:lineRule="auto"/>
              <w:jc w:val="center"/>
              <w:rPr>
                <w:sz w:val="22"/>
                <w:lang w:val="hu-HU"/>
              </w:rPr>
            </w:pPr>
            <w:r w:rsidRPr="00183B5F">
              <w:rPr>
                <w:sz w:val="22"/>
                <w:lang w:val="hu-HU"/>
              </w:rPr>
              <w:t>29% (17/58)*</w:t>
            </w:r>
          </w:p>
        </w:tc>
        <w:tc>
          <w:tcPr>
            <w:tcW w:w="1859" w:type="dxa"/>
            <w:tcBorders>
              <w:top w:val="single" w:sz="4" w:space="0" w:color="auto"/>
              <w:left w:val="single" w:sz="4" w:space="0" w:color="auto"/>
              <w:bottom w:val="single" w:sz="4" w:space="0" w:color="auto"/>
              <w:right w:val="single" w:sz="4" w:space="0" w:color="auto"/>
            </w:tcBorders>
            <w:hideMark/>
          </w:tcPr>
          <w:p w14:paraId="269E45B0" w14:textId="77777777" w:rsidR="00366005" w:rsidRPr="00183B5F" w:rsidRDefault="00943743">
            <w:pPr>
              <w:pStyle w:val="TableText"/>
              <w:keepLines w:val="0"/>
              <w:suppressAutoHyphens w:val="0"/>
              <w:spacing w:before="0" w:after="0" w:line="240" w:lineRule="auto"/>
              <w:jc w:val="center"/>
              <w:rPr>
                <w:sz w:val="22"/>
                <w:lang w:val="hu-HU"/>
              </w:rPr>
            </w:pPr>
            <w:r w:rsidRPr="00183B5F">
              <w:rPr>
                <w:sz w:val="22"/>
                <w:lang w:val="hu-HU"/>
              </w:rPr>
              <w:t>20% (15/74)**</w:t>
            </w:r>
          </w:p>
        </w:tc>
      </w:tr>
      <w:tr w:rsidR="00011D2F" w14:paraId="2B54FD14" w14:textId="77777777" w:rsidTr="00FC288C">
        <w:trPr>
          <w:cantSplit/>
        </w:trPr>
        <w:tc>
          <w:tcPr>
            <w:tcW w:w="9285" w:type="dxa"/>
            <w:gridSpan w:val="4"/>
            <w:tcBorders>
              <w:top w:val="single" w:sz="4" w:space="0" w:color="auto"/>
              <w:left w:val="nil"/>
              <w:bottom w:val="nil"/>
              <w:right w:val="nil"/>
            </w:tcBorders>
            <w:hideMark/>
          </w:tcPr>
          <w:p w14:paraId="6CF0D5AF" w14:textId="77777777" w:rsidR="00366005" w:rsidRPr="00183B5F" w:rsidRDefault="00943743" w:rsidP="00283844">
            <w:pPr>
              <w:pStyle w:val="TableText"/>
              <w:keepLines w:val="0"/>
              <w:suppressAutoHyphens w:val="0"/>
              <w:spacing w:before="0" w:after="0" w:line="240" w:lineRule="auto"/>
              <w:rPr>
                <w:sz w:val="22"/>
                <w:szCs w:val="22"/>
                <w:lang w:val="hu-HU"/>
              </w:rPr>
            </w:pPr>
            <w:r w:rsidRPr="00183B5F">
              <w:rPr>
                <w:sz w:val="22"/>
                <w:szCs w:val="22"/>
                <w:lang w:val="hu-HU"/>
              </w:rPr>
              <w:t>*</w:t>
            </w:r>
            <w:r w:rsidRPr="00183B5F">
              <w:rPr>
                <w:sz w:val="22"/>
                <w:szCs w:val="22"/>
                <w:lang w:val="hu-HU"/>
              </w:rPr>
              <w:tab/>
              <w:t xml:space="preserve">p &lt; 0,001 Humira-val </w:t>
            </w:r>
            <w:r w:rsidRPr="00183B5F">
              <w:rPr>
                <w:i/>
                <w:sz w:val="22"/>
                <w:szCs w:val="22"/>
                <w:lang w:val="hu-HU"/>
              </w:rPr>
              <w:t>versus</w:t>
            </w:r>
            <w:r w:rsidRPr="00183B5F">
              <w:rPr>
                <w:sz w:val="22"/>
                <w:szCs w:val="22"/>
                <w:lang w:val="hu-HU"/>
              </w:rPr>
              <w:t xml:space="preserve"> placebóval kezelt csoportokban regisztrált részarányok páronkénti összehasonlítása</w:t>
            </w:r>
          </w:p>
          <w:p w14:paraId="6E428C76" w14:textId="77777777" w:rsidR="00366005" w:rsidRPr="00183B5F" w:rsidRDefault="00943743" w:rsidP="00283844">
            <w:pPr>
              <w:pStyle w:val="TableText"/>
              <w:keepLines w:val="0"/>
              <w:suppressAutoHyphens w:val="0"/>
              <w:spacing w:before="0" w:after="0" w:line="240" w:lineRule="auto"/>
              <w:rPr>
                <w:sz w:val="22"/>
                <w:szCs w:val="22"/>
                <w:lang w:val="hu-HU"/>
              </w:rPr>
            </w:pPr>
            <w:r w:rsidRPr="00183B5F">
              <w:rPr>
                <w:sz w:val="22"/>
                <w:szCs w:val="22"/>
                <w:lang w:val="hu-HU"/>
              </w:rPr>
              <w:t>**</w:t>
            </w:r>
            <w:r w:rsidRPr="00183B5F">
              <w:rPr>
                <w:sz w:val="22"/>
                <w:szCs w:val="22"/>
                <w:lang w:val="hu-HU"/>
              </w:rPr>
              <w:tab/>
              <w:t xml:space="preserve">p &lt; 0,02 Humira-val </w:t>
            </w:r>
            <w:r w:rsidRPr="00183B5F">
              <w:rPr>
                <w:i/>
                <w:sz w:val="22"/>
                <w:szCs w:val="22"/>
                <w:lang w:val="hu-HU"/>
              </w:rPr>
              <w:t>versus</w:t>
            </w:r>
            <w:r w:rsidRPr="00183B5F">
              <w:rPr>
                <w:sz w:val="22"/>
                <w:szCs w:val="22"/>
                <w:lang w:val="hu-HU"/>
              </w:rPr>
              <w:t xml:space="preserve"> placebóval kezelt csoportokban regisztrált részarányok páronkénti összehasonlítása</w:t>
            </w:r>
          </w:p>
          <w:p w14:paraId="0A138EAB" w14:textId="77777777" w:rsidR="00366005" w:rsidRPr="00183B5F" w:rsidRDefault="00943743" w:rsidP="00283844">
            <w:pPr>
              <w:pStyle w:val="TableText"/>
              <w:keepLines w:val="0"/>
              <w:suppressAutoHyphens w:val="0"/>
              <w:spacing w:before="0" w:after="0" w:line="240" w:lineRule="auto"/>
              <w:rPr>
                <w:sz w:val="22"/>
                <w:szCs w:val="22"/>
                <w:lang w:val="hu-HU"/>
              </w:rPr>
            </w:pPr>
            <w:r w:rsidRPr="00183B5F">
              <w:rPr>
                <w:sz w:val="22"/>
                <w:szCs w:val="22"/>
                <w:vertAlign w:val="superscript"/>
                <w:lang w:val="hu-HU"/>
              </w:rPr>
              <w:t>a</w:t>
            </w:r>
            <w:r w:rsidRPr="00183B5F">
              <w:rPr>
                <w:sz w:val="22"/>
                <w:szCs w:val="22"/>
                <w:vertAlign w:val="superscript"/>
                <w:lang w:val="hu-HU"/>
              </w:rPr>
              <w:tab/>
            </w:r>
            <w:r w:rsidRPr="00183B5F">
              <w:rPr>
                <w:sz w:val="22"/>
                <w:szCs w:val="22"/>
                <w:lang w:val="hu-HU"/>
              </w:rPr>
              <w:t xml:space="preserve">A vizsgálat kezdetekor kortikoszteroidokkal kezelt betegek közül. </w:t>
            </w:r>
          </w:p>
        </w:tc>
      </w:tr>
    </w:tbl>
    <w:p w14:paraId="767DC2A0" w14:textId="77777777" w:rsidR="00366005" w:rsidRPr="00183B5F" w:rsidRDefault="00366005">
      <w:pPr>
        <w:suppressAutoHyphens w:val="0"/>
        <w:spacing w:line="240" w:lineRule="auto"/>
        <w:rPr>
          <w:szCs w:val="22"/>
        </w:rPr>
      </w:pPr>
    </w:p>
    <w:p w14:paraId="51A07693" w14:textId="77777777" w:rsidR="00366005" w:rsidRPr="00183B5F" w:rsidRDefault="00943743">
      <w:pPr>
        <w:suppressAutoHyphens w:val="0"/>
        <w:spacing w:line="240" w:lineRule="auto"/>
        <w:rPr>
          <w:szCs w:val="22"/>
        </w:rPr>
      </w:pPr>
      <w:r w:rsidRPr="00183B5F">
        <w:rPr>
          <w:szCs w:val="22"/>
        </w:rPr>
        <w:t>A kezelésre a 4. hétig nem reagáló betegek közül a fenntartó Humira</w:t>
      </w:r>
      <w:r w:rsidRPr="00183B5F">
        <w:rPr>
          <w:szCs w:val="22"/>
        </w:rPr>
        <w:noBreakHyphen/>
        <w:t>kezelésben részesülők 43%</w:t>
      </w:r>
      <w:r w:rsidRPr="00183B5F">
        <w:rPr>
          <w:szCs w:val="22"/>
        </w:rPr>
        <w:noBreakHyphen/>
        <w:t>án, míg a placebokezelésben részesülők 30%</w:t>
      </w:r>
      <w:r w:rsidRPr="00183B5F">
        <w:rPr>
          <w:szCs w:val="22"/>
        </w:rPr>
        <w:noBreakHyphen/>
        <w:t xml:space="preserve">án jelentkezett terápiás hatás a 12. hétig. Ezek az </w:t>
      </w:r>
      <w:r w:rsidRPr="00183B5F">
        <w:rPr>
          <w:szCs w:val="22"/>
        </w:rPr>
        <w:t>eredmények amellett szólnak, hogy egyes, a kezelésre a 4. hétig nem reagáló betegek fenntartó kezelését előnyös lehet a 12. hétig folytatni. A kezelést a 12. héten túl is folytatva már nem nőtt számottevően a kezelésre reagálók részaránya (lásd 4.2 pont).</w:t>
      </w:r>
    </w:p>
    <w:p w14:paraId="13F1C863" w14:textId="77777777" w:rsidR="00366005" w:rsidRPr="00183B5F" w:rsidRDefault="00366005">
      <w:pPr>
        <w:suppressAutoHyphens w:val="0"/>
        <w:spacing w:line="240" w:lineRule="auto"/>
        <w:rPr>
          <w:szCs w:val="22"/>
        </w:rPr>
      </w:pPr>
    </w:p>
    <w:p w14:paraId="3DA12F6B" w14:textId="77777777" w:rsidR="00366005" w:rsidRPr="00183B5F" w:rsidRDefault="00943743">
      <w:pPr>
        <w:suppressAutoHyphens w:val="0"/>
        <w:spacing w:line="240" w:lineRule="auto"/>
        <w:rPr>
          <w:szCs w:val="22"/>
        </w:rPr>
      </w:pPr>
      <w:r w:rsidRPr="00183B5F">
        <w:rPr>
          <w:szCs w:val="22"/>
        </w:rPr>
        <w:t>A CD I vizsgálat 117/276 betegét, míg a CD II és III vizsgálat 272/777 betegét követték nyílt adalimumab</w:t>
      </w:r>
      <w:r w:rsidRPr="00183B5F">
        <w:rPr>
          <w:szCs w:val="22"/>
        </w:rPr>
        <w:noBreakHyphen/>
        <w:t>kezelés alatt legalább 3 éven keresztül. Sorrendben 88, illetve 189 betegnél maradt fent a klinikai remisszió. Sorrendben 102 és 233 betegnél maradt fent a klinikai válasz (CR-100).</w:t>
      </w:r>
    </w:p>
    <w:p w14:paraId="6BA4F136" w14:textId="77777777" w:rsidR="00366005" w:rsidRPr="00183B5F" w:rsidRDefault="00366005">
      <w:pPr>
        <w:spacing w:line="240" w:lineRule="auto"/>
        <w:rPr>
          <w:szCs w:val="22"/>
          <w:u w:val="single"/>
        </w:rPr>
      </w:pPr>
    </w:p>
    <w:p w14:paraId="31C6A08D" w14:textId="77777777" w:rsidR="00366005" w:rsidRPr="00183B5F" w:rsidRDefault="00943743">
      <w:pPr>
        <w:keepNext/>
        <w:spacing w:line="240" w:lineRule="auto"/>
        <w:rPr>
          <w:i/>
          <w:szCs w:val="22"/>
          <w:u w:val="single"/>
        </w:rPr>
      </w:pPr>
      <w:r w:rsidRPr="00183B5F">
        <w:rPr>
          <w:i/>
          <w:szCs w:val="22"/>
          <w:u w:val="single"/>
        </w:rPr>
        <w:t>Életminőség</w:t>
      </w:r>
    </w:p>
    <w:p w14:paraId="2C0A057C" w14:textId="77777777" w:rsidR="00366005" w:rsidRPr="00183B5F" w:rsidRDefault="00366005">
      <w:pPr>
        <w:keepNext/>
        <w:spacing w:line="240" w:lineRule="auto"/>
        <w:rPr>
          <w:szCs w:val="22"/>
        </w:rPr>
      </w:pPr>
    </w:p>
    <w:p w14:paraId="17812BBC" w14:textId="77777777" w:rsidR="00366005" w:rsidRPr="00183B5F" w:rsidRDefault="00943743">
      <w:pPr>
        <w:keepNext/>
        <w:spacing w:line="240" w:lineRule="auto"/>
        <w:rPr>
          <w:bCs/>
          <w:szCs w:val="22"/>
        </w:rPr>
      </w:pPr>
      <w:r w:rsidRPr="00183B5F">
        <w:rPr>
          <w:szCs w:val="22"/>
        </w:rPr>
        <w:t xml:space="preserve">A CD I és a CD II vizsgálatban statisztikailag szignifikáns javulást értek el a betegségspecifikus Gyulladásos bélbetegség kérdőív (IBDQ – </w:t>
      </w:r>
      <w:r w:rsidRPr="00183B5F">
        <w:rPr>
          <w:bCs/>
          <w:szCs w:val="22"/>
        </w:rPr>
        <w:t>Inflammatory Bowel Disease Questionnaire) összpontszámában a kezelés 4. hetében azoknál a betegeknél, akiket</w:t>
      </w:r>
      <w:r w:rsidRPr="00183B5F">
        <w:rPr>
          <w:szCs w:val="22"/>
        </w:rPr>
        <w:t xml:space="preserve"> véletlenszerűen a Humira 80/40 mg, illetve Humira 160/80 mg csoportba soroltak be, a</w:t>
      </w:r>
      <w:r w:rsidRPr="00183B5F">
        <w:rPr>
          <w:bCs/>
          <w:szCs w:val="22"/>
        </w:rPr>
        <w:t xml:space="preserve"> placebocsoportba sorolt betegekével összehasonlítva, és ezt észlelték a CD III vizsgálat során is a 26. és az 56. héten az adalimumabbal, illetve placebóval kezelt betegcsoportokban.</w:t>
      </w:r>
    </w:p>
    <w:p w14:paraId="51777BED" w14:textId="77777777" w:rsidR="00366005" w:rsidRPr="00183B5F" w:rsidRDefault="00366005">
      <w:pPr>
        <w:spacing w:line="240" w:lineRule="auto"/>
        <w:rPr>
          <w:szCs w:val="22"/>
        </w:rPr>
      </w:pPr>
    </w:p>
    <w:p w14:paraId="6FDA0883" w14:textId="77777777" w:rsidR="00366005" w:rsidRPr="00183B5F" w:rsidRDefault="00943743">
      <w:pPr>
        <w:pStyle w:val="EMEANormal"/>
        <w:keepNext/>
        <w:rPr>
          <w:bCs/>
          <w:i/>
          <w:szCs w:val="22"/>
          <w:lang w:val="hu-HU"/>
        </w:rPr>
      </w:pPr>
      <w:r w:rsidRPr="00183B5F">
        <w:rPr>
          <w:bCs/>
          <w:i/>
          <w:szCs w:val="22"/>
          <w:lang w:val="hu-HU"/>
        </w:rPr>
        <w:t>Felnőttkori Uveitis</w:t>
      </w:r>
    </w:p>
    <w:p w14:paraId="1A858C7E" w14:textId="77777777" w:rsidR="00366005" w:rsidRPr="00183B5F" w:rsidRDefault="00366005">
      <w:pPr>
        <w:pStyle w:val="EMEANormal"/>
        <w:keepNext/>
        <w:rPr>
          <w:bCs/>
          <w:szCs w:val="22"/>
          <w:lang w:val="hu-HU"/>
        </w:rPr>
      </w:pPr>
    </w:p>
    <w:p w14:paraId="106B7DD7" w14:textId="77777777" w:rsidR="00366005" w:rsidRPr="00183B5F" w:rsidRDefault="00943743">
      <w:pPr>
        <w:pStyle w:val="EMEANormal"/>
        <w:rPr>
          <w:szCs w:val="22"/>
          <w:lang w:val="hu-HU"/>
        </w:rPr>
      </w:pPr>
      <w:r w:rsidRPr="00183B5F">
        <w:rPr>
          <w:szCs w:val="22"/>
          <w:lang w:val="hu-HU"/>
        </w:rPr>
        <w:t>A Humira biztonságosságát és hatásosságát nem fertőzéses eredetű, intermedier, posterior és panuveitisben szenvedő felnőtt betegeknél (az izolált anterior uveitisben szenvedő betegek kizárásra kerültek), két randomizált, kettős</w:t>
      </w:r>
      <w:r w:rsidR="00E5381A" w:rsidRPr="00183B5F">
        <w:rPr>
          <w:szCs w:val="22"/>
          <w:lang w:val="hu-HU"/>
        </w:rPr>
        <w:t xml:space="preserve"> </w:t>
      </w:r>
      <w:r w:rsidRPr="00183B5F">
        <w:rPr>
          <w:szCs w:val="22"/>
          <w:lang w:val="hu-HU"/>
        </w:rPr>
        <w:t>vak, placebokontrollos vizsgálatban (UV I és II) értékelték. A betegek vagy placebót vagy 80 mg Humira</w:t>
      </w:r>
      <w:r w:rsidRPr="00183B5F">
        <w:rPr>
          <w:szCs w:val="22"/>
          <w:lang w:val="hu-HU"/>
        </w:rPr>
        <w:noBreakHyphen/>
        <w:t>t kaptak kezdő dózisként, melyet a kezdő dózis beadásától számított egy hét múlva minden második héten adott 40 mg Humira követett. Egy nem biológiai immunszuppresszív szer állandó dózisban történő együttes alkalmazása megengedett volt.</w:t>
      </w:r>
    </w:p>
    <w:p w14:paraId="06C76033" w14:textId="77777777" w:rsidR="00366005" w:rsidRPr="00183B5F" w:rsidRDefault="00366005">
      <w:pPr>
        <w:pStyle w:val="EMEANormal"/>
        <w:rPr>
          <w:szCs w:val="22"/>
          <w:lang w:val="hu-HU"/>
        </w:rPr>
      </w:pPr>
    </w:p>
    <w:p w14:paraId="29C235C2" w14:textId="77777777" w:rsidR="00366005" w:rsidRPr="00183B5F" w:rsidRDefault="00943743">
      <w:pPr>
        <w:pStyle w:val="EMEANormal"/>
        <w:rPr>
          <w:szCs w:val="22"/>
          <w:lang w:val="hu-HU"/>
        </w:rPr>
      </w:pPr>
      <w:r w:rsidRPr="00183B5F">
        <w:rPr>
          <w:szCs w:val="22"/>
          <w:lang w:val="hu-HU"/>
        </w:rPr>
        <w:t>Az UV I vizsgálatban 217, kortikoszteroid</w:t>
      </w:r>
      <w:r w:rsidR="009F6211" w:rsidRPr="00183B5F">
        <w:rPr>
          <w:szCs w:val="22"/>
          <w:lang w:val="hu-HU"/>
        </w:rPr>
        <w:t>-</w:t>
      </w:r>
      <w:r w:rsidRPr="00183B5F">
        <w:rPr>
          <w:szCs w:val="22"/>
          <w:lang w:val="hu-HU"/>
        </w:rPr>
        <w:t>kezelés (napi 10</w:t>
      </w:r>
      <w:r w:rsidRPr="00183B5F">
        <w:rPr>
          <w:szCs w:val="22"/>
          <w:lang w:val="hu-HU"/>
        </w:rPr>
        <w:noBreakHyphen/>
        <w:t>60 mg prednizon</w:t>
      </w:r>
      <w:r w:rsidRPr="00183B5F">
        <w:rPr>
          <w:i/>
          <w:szCs w:val="22"/>
          <w:lang w:val="hu-HU"/>
        </w:rPr>
        <w:t xml:space="preserve"> per os</w:t>
      </w:r>
      <w:r w:rsidRPr="00183B5F">
        <w:rPr>
          <w:szCs w:val="22"/>
          <w:lang w:val="hu-HU"/>
        </w:rPr>
        <w:t xml:space="preserve">) ellenére aktív uveitisben szenvedő beteget értékeltek. Minden beteg két hétig napi 60 mg prednizont kapott a vizsgálat kezdetekor, melyet kötelező fokozatos dóziscsökkentés követett, ami a 15. hétig a kortikoszteroid teljes elhagyásával fejeződött be. </w:t>
      </w:r>
    </w:p>
    <w:p w14:paraId="1A9513EB" w14:textId="77777777" w:rsidR="00366005" w:rsidRPr="00183B5F" w:rsidRDefault="00366005">
      <w:pPr>
        <w:pStyle w:val="EMEANormal"/>
        <w:rPr>
          <w:szCs w:val="22"/>
          <w:lang w:val="hu-HU"/>
        </w:rPr>
      </w:pPr>
    </w:p>
    <w:p w14:paraId="6429D9F0" w14:textId="77777777" w:rsidR="00366005" w:rsidRPr="00183B5F" w:rsidRDefault="00943743">
      <w:pPr>
        <w:pStyle w:val="EMEANormal"/>
        <w:rPr>
          <w:szCs w:val="22"/>
          <w:lang w:val="hu-HU"/>
        </w:rPr>
      </w:pPr>
      <w:r w:rsidRPr="00183B5F">
        <w:rPr>
          <w:szCs w:val="22"/>
          <w:lang w:val="hu-HU"/>
        </w:rPr>
        <w:t>Az UV II vizsgálatban 226, inaktív uveitisben szenvedő olyan beteget értékeltek, akik hosszú távú kortikoszteroid-kezelést (napi 10</w:t>
      </w:r>
      <w:r w:rsidRPr="00183B5F">
        <w:rPr>
          <w:szCs w:val="22"/>
          <w:lang w:val="hu-HU"/>
        </w:rPr>
        <w:noBreakHyphen/>
        <w:t>35 mg prednizon</w:t>
      </w:r>
      <w:r w:rsidRPr="00183B5F">
        <w:rPr>
          <w:i/>
          <w:szCs w:val="22"/>
          <w:lang w:val="hu-HU"/>
        </w:rPr>
        <w:t xml:space="preserve"> per os</w:t>
      </w:r>
      <w:r w:rsidRPr="00183B5F">
        <w:rPr>
          <w:szCs w:val="22"/>
          <w:lang w:val="hu-HU"/>
        </w:rPr>
        <w:t>) igényeltek a vizsgálat megkezdésekor betegségük egyensúlyban tartásához. A betegek később kötelező, fokozatos dózicsökkentésen estek át, ami a 19. hétig a kortikoszteroid teljes elhagyásával fejeződött be.</w:t>
      </w:r>
    </w:p>
    <w:p w14:paraId="349AB58A" w14:textId="77777777" w:rsidR="00366005" w:rsidRPr="00183B5F" w:rsidRDefault="00366005">
      <w:pPr>
        <w:pStyle w:val="EMEANormal"/>
        <w:rPr>
          <w:szCs w:val="22"/>
          <w:lang w:val="hu-HU"/>
        </w:rPr>
      </w:pPr>
    </w:p>
    <w:p w14:paraId="2E333172" w14:textId="77777777" w:rsidR="00366005" w:rsidRPr="00183B5F" w:rsidRDefault="00943743">
      <w:pPr>
        <w:pStyle w:val="EMEANormal"/>
        <w:rPr>
          <w:szCs w:val="22"/>
          <w:lang w:val="hu-HU"/>
        </w:rPr>
      </w:pPr>
      <w:r w:rsidRPr="00183B5F">
        <w:rPr>
          <w:szCs w:val="22"/>
          <w:lang w:val="hu-HU"/>
        </w:rPr>
        <w:t>Az elsődleges hatásossági végpont mindkét vizsgálatban a „kezelés eredménytelenségéig eltelt idő” volt. A kezelés eredménytelensége definíció szerint egy többkomponensű kimenetel, mely az alábbi komponensekből tevődött össze: gyulladásos chorioretinalis és/vagy gyulladásos retinalis vascularis léziók, elülső csarnoki sejtszint, üvegtesti homály mértéke és a legjobb korrigált látásélesség.</w:t>
      </w:r>
    </w:p>
    <w:p w14:paraId="7CFCB2BC" w14:textId="77777777" w:rsidR="00366005" w:rsidRPr="00183B5F" w:rsidRDefault="00366005">
      <w:pPr>
        <w:pStyle w:val="EMEANormal"/>
        <w:rPr>
          <w:szCs w:val="22"/>
          <w:lang w:val="hu-HU"/>
        </w:rPr>
      </w:pPr>
    </w:p>
    <w:p w14:paraId="0561CBB7" w14:textId="77777777" w:rsidR="00290B30" w:rsidRPr="00183B5F" w:rsidRDefault="00943743" w:rsidP="00290B30">
      <w:pPr>
        <w:pStyle w:val="EMEANormal"/>
        <w:rPr>
          <w:szCs w:val="22"/>
          <w:lang w:val="hu-HU"/>
        </w:rPr>
      </w:pPr>
      <w:r w:rsidRPr="00183B5F">
        <w:rPr>
          <w:szCs w:val="22"/>
          <w:lang w:val="hu-HU"/>
        </w:rPr>
        <w:t>Az UV I és az UV II vizsgálatot befejező betegek alkalmasak voltak egy nem kontrollos, hosszú távú, kiterjesztéses vizsgálatba való beválasztásra, melyet eredetileg 78 hetesre terveztek. A betegek a 78. héten túl is kaphatták a vizsgálati gyógyszert, egészen addig, amíg jogosulttá váltak a Humira</w:t>
      </w:r>
      <w:r w:rsidRPr="00183B5F">
        <w:rPr>
          <w:szCs w:val="22"/>
          <w:lang w:val="hu-HU"/>
        </w:rPr>
        <w:noBreakHyphen/>
        <w:t>ellátásra.</w:t>
      </w:r>
    </w:p>
    <w:p w14:paraId="13D0D0DF" w14:textId="77777777" w:rsidR="00290B30" w:rsidRPr="00183B5F" w:rsidRDefault="00290B30">
      <w:pPr>
        <w:pStyle w:val="EMEANormal"/>
        <w:rPr>
          <w:szCs w:val="22"/>
          <w:lang w:val="hu-HU"/>
        </w:rPr>
      </w:pPr>
    </w:p>
    <w:p w14:paraId="4CE9C6FD" w14:textId="77777777" w:rsidR="00366005" w:rsidRPr="00183B5F" w:rsidRDefault="00943743">
      <w:pPr>
        <w:pStyle w:val="EMEANormal"/>
        <w:rPr>
          <w:i/>
          <w:szCs w:val="22"/>
          <w:u w:val="single"/>
          <w:lang w:val="hu-HU"/>
        </w:rPr>
      </w:pPr>
      <w:r w:rsidRPr="00183B5F">
        <w:rPr>
          <w:i/>
          <w:szCs w:val="22"/>
          <w:u w:val="single"/>
          <w:lang w:val="hu-HU"/>
        </w:rPr>
        <w:t>Klinikai válasz</w:t>
      </w:r>
    </w:p>
    <w:p w14:paraId="3F83B8CB" w14:textId="77777777" w:rsidR="00366005" w:rsidRPr="00183B5F" w:rsidRDefault="00366005">
      <w:pPr>
        <w:pStyle w:val="EMEANormal"/>
        <w:rPr>
          <w:i/>
          <w:szCs w:val="22"/>
          <w:u w:val="single"/>
          <w:lang w:val="hu-HU"/>
        </w:rPr>
      </w:pPr>
    </w:p>
    <w:p w14:paraId="3B551844" w14:textId="77777777" w:rsidR="00366005" w:rsidRPr="00183B5F" w:rsidRDefault="00943743">
      <w:pPr>
        <w:pStyle w:val="EMEANormal"/>
        <w:rPr>
          <w:szCs w:val="22"/>
          <w:lang w:val="hu-HU"/>
        </w:rPr>
      </w:pPr>
      <w:r w:rsidRPr="00183B5F">
        <w:rPr>
          <w:szCs w:val="22"/>
          <w:lang w:val="hu-HU"/>
        </w:rPr>
        <w:t>Mindkét vizsgálat eredményei a kezelés eredménytelensége kockázatának a statisztikailag szignifikáns csökkenését igazolták a Humira</w:t>
      </w:r>
      <w:r w:rsidRPr="00183B5F">
        <w:rPr>
          <w:szCs w:val="22"/>
          <w:lang w:val="hu-HU"/>
        </w:rPr>
        <w:noBreakHyphen/>
        <w:t xml:space="preserve">val kezelt betegeknél, a placebóval kezelt betegekhez képest (lásd </w:t>
      </w:r>
      <w:r w:rsidR="00C70C38" w:rsidRPr="00183B5F">
        <w:rPr>
          <w:szCs w:val="22"/>
          <w:lang w:val="hu-HU"/>
        </w:rPr>
        <w:t>16</w:t>
      </w:r>
      <w:r w:rsidRPr="00183B5F">
        <w:rPr>
          <w:szCs w:val="22"/>
          <w:lang w:val="hu-HU"/>
        </w:rPr>
        <w:t xml:space="preserve">. táblázat). A kezelés eredménytelenségének arányát tekintve mindkét vizsgálat kimutatta a Humira korai és fenntartott hatását a placebóval szemben (lásd </w:t>
      </w:r>
      <w:r w:rsidR="00C70C38" w:rsidRPr="00183B5F">
        <w:rPr>
          <w:szCs w:val="22"/>
          <w:lang w:val="hu-HU"/>
        </w:rPr>
        <w:t>1</w:t>
      </w:r>
      <w:r w:rsidRPr="00183B5F">
        <w:rPr>
          <w:szCs w:val="22"/>
          <w:lang w:val="hu-HU"/>
        </w:rPr>
        <w:t>. ábra).</w:t>
      </w:r>
    </w:p>
    <w:p w14:paraId="4A90BE59" w14:textId="77777777" w:rsidR="00366005" w:rsidRPr="00183B5F" w:rsidRDefault="00366005">
      <w:pPr>
        <w:pStyle w:val="EMEANormal"/>
        <w:rPr>
          <w:b/>
          <w:szCs w:val="22"/>
          <w:lang w:val="hu-HU"/>
        </w:rPr>
      </w:pPr>
    </w:p>
    <w:p w14:paraId="2DE32769" w14:textId="77777777" w:rsidR="00366005" w:rsidRPr="00183B5F" w:rsidRDefault="00943743">
      <w:pPr>
        <w:pStyle w:val="EMEANormal"/>
        <w:keepNext/>
        <w:jc w:val="center"/>
        <w:rPr>
          <w:b/>
          <w:szCs w:val="22"/>
          <w:lang w:val="hu-HU"/>
        </w:rPr>
      </w:pPr>
      <w:r w:rsidRPr="00183B5F">
        <w:rPr>
          <w:b/>
          <w:szCs w:val="22"/>
          <w:lang w:val="hu-HU"/>
        </w:rPr>
        <w:t xml:space="preserve">16. táblázat </w:t>
      </w:r>
    </w:p>
    <w:p w14:paraId="7E6BC121" w14:textId="77777777" w:rsidR="00366005" w:rsidRPr="00183B5F" w:rsidRDefault="00943743">
      <w:pPr>
        <w:pStyle w:val="EMEANormal"/>
        <w:keepNext/>
        <w:jc w:val="center"/>
        <w:rPr>
          <w:b/>
          <w:szCs w:val="22"/>
          <w:lang w:val="hu-HU"/>
        </w:rPr>
      </w:pPr>
      <w:r w:rsidRPr="00183B5F">
        <w:rPr>
          <w:b/>
          <w:szCs w:val="22"/>
          <w:lang w:val="hu-HU"/>
        </w:rPr>
        <w:t>A kezelés eredménytelenségéig eltelt idő az UV I és UV II vizsgálatban</w:t>
      </w:r>
    </w:p>
    <w:p w14:paraId="06DD14F7" w14:textId="77777777" w:rsidR="00366005" w:rsidRPr="00183B5F" w:rsidRDefault="00366005">
      <w:pPr>
        <w:pStyle w:val="EMEANormal"/>
        <w:keepNext/>
        <w:jc w:val="center"/>
        <w:rPr>
          <w:b/>
          <w:szCs w:val="22"/>
          <w:lang w:val="hu-HU"/>
        </w:rPr>
      </w:pPr>
    </w:p>
    <w:tbl>
      <w:tblPr>
        <w:tblW w:w="0" w:type="auto"/>
        <w:tblBorders>
          <w:top w:val="single" w:sz="4" w:space="0" w:color="auto"/>
          <w:bottom w:val="single" w:sz="4" w:space="0" w:color="auto"/>
        </w:tblBorders>
        <w:tblLook w:val="04A0" w:firstRow="1" w:lastRow="0" w:firstColumn="1" w:lastColumn="0" w:noHBand="0" w:noVBand="1"/>
      </w:tblPr>
      <w:tblGrid>
        <w:gridCol w:w="2197"/>
        <w:gridCol w:w="684"/>
        <w:gridCol w:w="1267"/>
        <w:gridCol w:w="1854"/>
        <w:gridCol w:w="946"/>
        <w:gridCol w:w="1078"/>
        <w:gridCol w:w="1045"/>
      </w:tblGrid>
      <w:tr w:rsidR="00011D2F" w14:paraId="5943CE68" w14:textId="77777777" w:rsidTr="00366005">
        <w:tc>
          <w:tcPr>
            <w:tcW w:w="2268" w:type="dxa"/>
            <w:tcBorders>
              <w:top w:val="single" w:sz="4" w:space="0" w:color="auto"/>
              <w:left w:val="nil"/>
              <w:bottom w:val="single" w:sz="4" w:space="0" w:color="auto"/>
              <w:right w:val="nil"/>
            </w:tcBorders>
            <w:hideMark/>
          </w:tcPr>
          <w:p w14:paraId="6A79F283" w14:textId="77777777" w:rsidR="00366005" w:rsidRPr="00183B5F" w:rsidRDefault="00943743" w:rsidP="004062FE">
            <w:pPr>
              <w:pStyle w:val="EMEANormal"/>
              <w:keepNext/>
              <w:rPr>
                <w:b/>
                <w:szCs w:val="22"/>
                <w:lang w:val="hu-HU"/>
              </w:rPr>
            </w:pPr>
            <w:r w:rsidRPr="00183B5F">
              <w:rPr>
                <w:b/>
                <w:szCs w:val="22"/>
                <w:lang w:val="hu-HU"/>
              </w:rPr>
              <w:t>Elemzés</w:t>
            </w:r>
          </w:p>
          <w:p w14:paraId="635980ED" w14:textId="77777777" w:rsidR="00366005" w:rsidRPr="00183B5F" w:rsidRDefault="00943743" w:rsidP="004062FE">
            <w:pPr>
              <w:pStyle w:val="EMEANormal"/>
              <w:keepNext/>
              <w:rPr>
                <w:b/>
                <w:szCs w:val="22"/>
                <w:lang w:val="hu-HU"/>
              </w:rPr>
            </w:pPr>
            <w:r w:rsidRPr="00183B5F">
              <w:rPr>
                <w:b/>
                <w:szCs w:val="22"/>
                <w:lang w:val="hu-HU"/>
              </w:rPr>
              <w:tab/>
              <w:t>Kezelés</w:t>
            </w:r>
          </w:p>
        </w:tc>
        <w:tc>
          <w:tcPr>
            <w:tcW w:w="720" w:type="dxa"/>
            <w:tcBorders>
              <w:top w:val="single" w:sz="4" w:space="0" w:color="auto"/>
              <w:left w:val="nil"/>
              <w:bottom w:val="single" w:sz="4" w:space="0" w:color="auto"/>
              <w:right w:val="nil"/>
            </w:tcBorders>
            <w:hideMark/>
          </w:tcPr>
          <w:p w14:paraId="7BB3EF2B" w14:textId="77777777" w:rsidR="00366005" w:rsidRPr="00183B5F" w:rsidRDefault="00943743" w:rsidP="004062FE">
            <w:pPr>
              <w:pStyle w:val="EMEANormal"/>
              <w:keepNext/>
              <w:rPr>
                <w:b/>
                <w:szCs w:val="22"/>
                <w:lang w:val="hu-HU"/>
              </w:rPr>
            </w:pPr>
            <w:r w:rsidRPr="00183B5F">
              <w:rPr>
                <w:b/>
                <w:szCs w:val="22"/>
                <w:lang w:val="hu-HU"/>
              </w:rPr>
              <w:t>N</w:t>
            </w:r>
          </w:p>
        </w:tc>
        <w:tc>
          <w:tcPr>
            <w:tcW w:w="1170" w:type="dxa"/>
            <w:tcBorders>
              <w:top w:val="single" w:sz="4" w:space="0" w:color="auto"/>
              <w:left w:val="nil"/>
              <w:bottom w:val="single" w:sz="4" w:space="0" w:color="auto"/>
              <w:right w:val="nil"/>
            </w:tcBorders>
            <w:hideMark/>
          </w:tcPr>
          <w:p w14:paraId="40EB341D" w14:textId="77777777" w:rsidR="00366005" w:rsidRPr="00183B5F" w:rsidRDefault="00943743" w:rsidP="004062FE">
            <w:pPr>
              <w:pStyle w:val="EMEANormal"/>
              <w:keepNext/>
              <w:rPr>
                <w:b/>
                <w:szCs w:val="22"/>
                <w:lang w:val="hu-HU"/>
              </w:rPr>
            </w:pPr>
            <w:r w:rsidRPr="00183B5F">
              <w:rPr>
                <w:b/>
                <w:szCs w:val="22"/>
                <w:lang w:val="hu-HU"/>
              </w:rPr>
              <w:t>Eredmény-telenség</w:t>
            </w:r>
            <w:r w:rsidRPr="00183B5F">
              <w:rPr>
                <w:b/>
                <w:szCs w:val="22"/>
                <w:lang w:val="hu-HU"/>
              </w:rPr>
              <w:br/>
              <w:t>N (%)</w:t>
            </w:r>
          </w:p>
        </w:tc>
        <w:tc>
          <w:tcPr>
            <w:tcW w:w="1890" w:type="dxa"/>
            <w:tcBorders>
              <w:top w:val="single" w:sz="4" w:space="0" w:color="auto"/>
              <w:left w:val="nil"/>
              <w:bottom w:val="single" w:sz="4" w:space="0" w:color="auto"/>
              <w:right w:val="nil"/>
            </w:tcBorders>
            <w:hideMark/>
          </w:tcPr>
          <w:p w14:paraId="1A3B212B" w14:textId="77777777" w:rsidR="00366005" w:rsidRPr="00183B5F" w:rsidRDefault="00943743">
            <w:pPr>
              <w:pStyle w:val="EMEANormal"/>
              <w:keepNext/>
              <w:rPr>
                <w:b/>
                <w:szCs w:val="22"/>
                <w:lang w:val="hu-HU"/>
              </w:rPr>
            </w:pPr>
            <w:r w:rsidRPr="00183B5F">
              <w:rPr>
                <w:b/>
                <w:szCs w:val="22"/>
                <w:lang w:val="hu-HU"/>
              </w:rPr>
              <w:t xml:space="preserve">Eredménytelen-ségig eltelt idő </w:t>
            </w:r>
            <w:r w:rsidR="00FE0776" w:rsidRPr="00183B5F">
              <w:rPr>
                <w:b/>
                <w:szCs w:val="22"/>
                <w:lang w:val="hu-HU"/>
              </w:rPr>
              <w:t>mediánja</w:t>
            </w:r>
            <w:r w:rsidRPr="00183B5F">
              <w:rPr>
                <w:b/>
                <w:szCs w:val="22"/>
                <w:lang w:val="hu-HU"/>
              </w:rPr>
              <w:t xml:space="preserve"> (hónap)</w:t>
            </w:r>
          </w:p>
        </w:tc>
        <w:tc>
          <w:tcPr>
            <w:tcW w:w="720" w:type="dxa"/>
            <w:tcBorders>
              <w:top w:val="single" w:sz="4" w:space="0" w:color="auto"/>
              <w:left w:val="nil"/>
              <w:bottom w:val="single" w:sz="4" w:space="0" w:color="auto"/>
              <w:right w:val="nil"/>
            </w:tcBorders>
            <w:hideMark/>
          </w:tcPr>
          <w:p w14:paraId="69741FEC" w14:textId="77777777" w:rsidR="00366005" w:rsidRPr="00183B5F" w:rsidRDefault="00943743" w:rsidP="004062FE">
            <w:pPr>
              <w:pStyle w:val="EMEANormal"/>
              <w:keepNext/>
              <w:rPr>
                <w:b/>
                <w:szCs w:val="22"/>
                <w:lang w:val="hu-HU"/>
              </w:rPr>
            </w:pPr>
            <w:r w:rsidRPr="00183B5F">
              <w:rPr>
                <w:b/>
                <w:szCs w:val="22"/>
                <w:lang w:val="hu-HU"/>
              </w:rPr>
              <w:t>Relatív</w:t>
            </w:r>
          </w:p>
          <w:p w14:paraId="26F98E82" w14:textId="77777777" w:rsidR="00366005" w:rsidRPr="00183B5F" w:rsidRDefault="00943743" w:rsidP="004062FE">
            <w:pPr>
              <w:pStyle w:val="EMEANormal"/>
              <w:keepNext/>
              <w:rPr>
                <w:b/>
                <w:szCs w:val="22"/>
                <w:lang w:val="hu-HU"/>
              </w:rPr>
            </w:pPr>
            <w:r w:rsidRPr="00183B5F">
              <w:rPr>
                <w:b/>
                <w:szCs w:val="22"/>
                <w:lang w:val="hu-HU"/>
              </w:rPr>
              <w:t>hazárd</w:t>
            </w:r>
            <w:r w:rsidRPr="00183B5F">
              <w:rPr>
                <w:b/>
                <w:szCs w:val="22"/>
                <w:vertAlign w:val="superscript"/>
                <w:lang w:val="hu-HU"/>
              </w:rPr>
              <w:t>a</w:t>
            </w:r>
            <w:r w:rsidRPr="00183B5F">
              <w:rPr>
                <w:b/>
                <w:szCs w:val="22"/>
                <w:lang w:val="hu-HU"/>
              </w:rPr>
              <w:t xml:space="preserve"> (HR)</w:t>
            </w:r>
          </w:p>
        </w:tc>
        <w:tc>
          <w:tcPr>
            <w:tcW w:w="1170" w:type="dxa"/>
            <w:tcBorders>
              <w:top w:val="single" w:sz="4" w:space="0" w:color="auto"/>
              <w:left w:val="nil"/>
              <w:bottom w:val="single" w:sz="4" w:space="0" w:color="auto"/>
              <w:right w:val="nil"/>
            </w:tcBorders>
            <w:hideMark/>
          </w:tcPr>
          <w:p w14:paraId="4EDCC8AC" w14:textId="77777777" w:rsidR="00366005" w:rsidRPr="00183B5F" w:rsidRDefault="00943743" w:rsidP="004062FE">
            <w:pPr>
              <w:pStyle w:val="EMEANormal"/>
              <w:keepNext/>
              <w:rPr>
                <w:b/>
                <w:szCs w:val="22"/>
                <w:lang w:val="hu-HU"/>
              </w:rPr>
            </w:pPr>
            <w:r w:rsidRPr="00183B5F">
              <w:rPr>
                <w:b/>
                <w:szCs w:val="22"/>
                <w:lang w:val="hu-HU"/>
              </w:rPr>
              <w:t>HR</w:t>
            </w:r>
            <w:r w:rsidRPr="00183B5F">
              <w:rPr>
                <w:b/>
                <w:szCs w:val="22"/>
                <w:vertAlign w:val="superscript"/>
                <w:lang w:val="hu-HU"/>
              </w:rPr>
              <w:t>a</w:t>
            </w:r>
            <w:r w:rsidRPr="00183B5F">
              <w:rPr>
                <w:b/>
                <w:szCs w:val="22"/>
                <w:lang w:val="hu-HU"/>
              </w:rPr>
              <w:t xml:space="preserve"> 95%-os CI</w:t>
            </w:r>
          </w:p>
        </w:tc>
        <w:tc>
          <w:tcPr>
            <w:tcW w:w="1080" w:type="dxa"/>
            <w:tcBorders>
              <w:top w:val="single" w:sz="4" w:space="0" w:color="auto"/>
              <w:left w:val="nil"/>
              <w:bottom w:val="single" w:sz="4" w:space="0" w:color="auto"/>
              <w:right w:val="nil"/>
            </w:tcBorders>
            <w:hideMark/>
          </w:tcPr>
          <w:p w14:paraId="070B5836" w14:textId="77777777" w:rsidR="00366005" w:rsidRPr="00183B5F" w:rsidRDefault="00943743" w:rsidP="004062FE">
            <w:pPr>
              <w:pStyle w:val="EMEANormal"/>
              <w:keepNext/>
              <w:rPr>
                <w:b/>
                <w:szCs w:val="22"/>
                <w:lang w:val="hu-HU"/>
              </w:rPr>
            </w:pPr>
            <w:r w:rsidRPr="00183B5F">
              <w:rPr>
                <w:b/>
                <w:i/>
                <w:szCs w:val="22"/>
                <w:lang w:val="hu-HU"/>
              </w:rPr>
              <w:t>P</w:t>
            </w:r>
            <w:r w:rsidR="00FE0776" w:rsidRPr="00183B5F">
              <w:rPr>
                <w:b/>
                <w:szCs w:val="22"/>
                <w:lang w:val="hu-HU"/>
              </w:rPr>
              <w:noBreakHyphen/>
            </w:r>
            <w:r w:rsidRPr="00183B5F">
              <w:rPr>
                <w:b/>
                <w:szCs w:val="22"/>
                <w:lang w:val="hu-HU"/>
              </w:rPr>
              <w:t>érték</w:t>
            </w:r>
            <w:r w:rsidRPr="00183B5F">
              <w:rPr>
                <w:szCs w:val="22"/>
                <w:vertAlign w:val="superscript"/>
                <w:lang w:val="hu-HU"/>
              </w:rPr>
              <w:t xml:space="preserve"> b</w:t>
            </w:r>
          </w:p>
        </w:tc>
      </w:tr>
      <w:tr w:rsidR="00011D2F" w14:paraId="0581E836" w14:textId="77777777" w:rsidTr="00366005">
        <w:tc>
          <w:tcPr>
            <w:tcW w:w="9018" w:type="dxa"/>
            <w:gridSpan w:val="7"/>
            <w:tcBorders>
              <w:top w:val="single" w:sz="4" w:space="0" w:color="auto"/>
              <w:left w:val="nil"/>
              <w:bottom w:val="nil"/>
              <w:right w:val="nil"/>
            </w:tcBorders>
            <w:hideMark/>
          </w:tcPr>
          <w:p w14:paraId="19524DDD" w14:textId="77777777" w:rsidR="00366005" w:rsidRPr="00183B5F" w:rsidRDefault="00943743" w:rsidP="004062FE">
            <w:pPr>
              <w:pStyle w:val="EMEANormal"/>
              <w:keepNext/>
              <w:rPr>
                <w:b/>
                <w:szCs w:val="22"/>
                <w:lang w:val="hu-HU"/>
              </w:rPr>
            </w:pPr>
            <w:r w:rsidRPr="00183B5F">
              <w:rPr>
                <w:b/>
                <w:szCs w:val="22"/>
                <w:lang w:val="hu-HU"/>
              </w:rPr>
              <w:t>A kezelés eredménytelenségéig eltelt idő a 6. héten vagy azt követően az UV I vizsgálatban</w:t>
            </w:r>
          </w:p>
        </w:tc>
      </w:tr>
      <w:tr w:rsidR="00011D2F" w14:paraId="32B8732F" w14:textId="77777777" w:rsidTr="00366005">
        <w:tc>
          <w:tcPr>
            <w:tcW w:w="2988" w:type="dxa"/>
            <w:gridSpan w:val="2"/>
            <w:tcBorders>
              <w:top w:val="nil"/>
              <w:left w:val="nil"/>
              <w:bottom w:val="nil"/>
              <w:right w:val="nil"/>
            </w:tcBorders>
            <w:hideMark/>
          </w:tcPr>
          <w:p w14:paraId="63B619AF" w14:textId="77777777" w:rsidR="00366005" w:rsidRPr="00183B5F" w:rsidRDefault="00943743" w:rsidP="004062FE">
            <w:pPr>
              <w:pStyle w:val="EMEANormal"/>
              <w:keepNext/>
              <w:rPr>
                <w:szCs w:val="22"/>
                <w:lang w:val="hu-HU"/>
              </w:rPr>
            </w:pPr>
            <w:r w:rsidRPr="00183B5F">
              <w:rPr>
                <w:szCs w:val="22"/>
                <w:lang w:val="hu-HU"/>
              </w:rPr>
              <w:t>Elsődleges elemzés (ITT)</w:t>
            </w:r>
          </w:p>
        </w:tc>
        <w:tc>
          <w:tcPr>
            <w:tcW w:w="1170" w:type="dxa"/>
            <w:tcBorders>
              <w:top w:val="nil"/>
              <w:left w:val="nil"/>
              <w:bottom w:val="nil"/>
              <w:right w:val="nil"/>
            </w:tcBorders>
          </w:tcPr>
          <w:p w14:paraId="5C044602" w14:textId="77777777" w:rsidR="00366005" w:rsidRPr="00183B5F" w:rsidRDefault="00366005" w:rsidP="004062FE">
            <w:pPr>
              <w:pStyle w:val="EMEANormal"/>
              <w:keepNext/>
              <w:rPr>
                <w:szCs w:val="22"/>
                <w:lang w:val="hu-HU"/>
              </w:rPr>
            </w:pPr>
          </w:p>
        </w:tc>
        <w:tc>
          <w:tcPr>
            <w:tcW w:w="1890" w:type="dxa"/>
            <w:tcBorders>
              <w:top w:val="nil"/>
              <w:left w:val="nil"/>
              <w:bottom w:val="nil"/>
              <w:right w:val="nil"/>
            </w:tcBorders>
          </w:tcPr>
          <w:p w14:paraId="2AFEA919" w14:textId="77777777" w:rsidR="00366005" w:rsidRPr="00183B5F" w:rsidRDefault="00366005" w:rsidP="004062FE">
            <w:pPr>
              <w:pStyle w:val="EMEANormal"/>
              <w:keepNext/>
              <w:rPr>
                <w:szCs w:val="22"/>
                <w:lang w:val="hu-HU"/>
              </w:rPr>
            </w:pPr>
          </w:p>
        </w:tc>
        <w:tc>
          <w:tcPr>
            <w:tcW w:w="720" w:type="dxa"/>
            <w:tcBorders>
              <w:top w:val="nil"/>
              <w:left w:val="nil"/>
              <w:bottom w:val="nil"/>
              <w:right w:val="nil"/>
            </w:tcBorders>
          </w:tcPr>
          <w:p w14:paraId="06A9ECEB" w14:textId="77777777" w:rsidR="00366005" w:rsidRPr="00183B5F" w:rsidRDefault="00366005" w:rsidP="004062FE">
            <w:pPr>
              <w:pStyle w:val="EMEANormal"/>
              <w:keepNext/>
              <w:rPr>
                <w:szCs w:val="22"/>
                <w:lang w:val="hu-HU"/>
              </w:rPr>
            </w:pPr>
          </w:p>
        </w:tc>
        <w:tc>
          <w:tcPr>
            <w:tcW w:w="1170" w:type="dxa"/>
            <w:tcBorders>
              <w:top w:val="nil"/>
              <w:left w:val="nil"/>
              <w:bottom w:val="nil"/>
              <w:right w:val="nil"/>
            </w:tcBorders>
          </w:tcPr>
          <w:p w14:paraId="3FF295C3" w14:textId="77777777" w:rsidR="00366005" w:rsidRPr="00183B5F" w:rsidRDefault="00366005" w:rsidP="004062FE">
            <w:pPr>
              <w:pStyle w:val="EMEANormal"/>
              <w:keepNext/>
              <w:rPr>
                <w:szCs w:val="22"/>
                <w:lang w:val="hu-HU"/>
              </w:rPr>
            </w:pPr>
          </w:p>
        </w:tc>
        <w:tc>
          <w:tcPr>
            <w:tcW w:w="1080" w:type="dxa"/>
            <w:tcBorders>
              <w:top w:val="nil"/>
              <w:left w:val="nil"/>
              <w:bottom w:val="nil"/>
              <w:right w:val="nil"/>
            </w:tcBorders>
          </w:tcPr>
          <w:p w14:paraId="586841FD" w14:textId="77777777" w:rsidR="00366005" w:rsidRPr="00183B5F" w:rsidRDefault="00366005" w:rsidP="004062FE">
            <w:pPr>
              <w:pStyle w:val="EMEANormal"/>
              <w:keepNext/>
              <w:rPr>
                <w:szCs w:val="22"/>
                <w:lang w:val="hu-HU"/>
              </w:rPr>
            </w:pPr>
          </w:p>
        </w:tc>
      </w:tr>
      <w:tr w:rsidR="00011D2F" w14:paraId="31A66F97" w14:textId="77777777" w:rsidTr="00366005">
        <w:tc>
          <w:tcPr>
            <w:tcW w:w="2268" w:type="dxa"/>
            <w:tcBorders>
              <w:top w:val="nil"/>
              <w:left w:val="nil"/>
              <w:bottom w:val="nil"/>
              <w:right w:val="nil"/>
            </w:tcBorders>
            <w:hideMark/>
          </w:tcPr>
          <w:p w14:paraId="6927979B" w14:textId="77777777" w:rsidR="00366005" w:rsidRPr="00183B5F" w:rsidRDefault="00943743" w:rsidP="004062FE">
            <w:pPr>
              <w:pStyle w:val="EMEANormal"/>
              <w:keepNext/>
              <w:rPr>
                <w:szCs w:val="22"/>
                <w:lang w:val="hu-HU"/>
              </w:rPr>
            </w:pPr>
            <w:r w:rsidRPr="00183B5F">
              <w:rPr>
                <w:szCs w:val="22"/>
                <w:lang w:val="hu-HU"/>
              </w:rPr>
              <w:tab/>
              <w:t>Placebo</w:t>
            </w:r>
          </w:p>
        </w:tc>
        <w:tc>
          <w:tcPr>
            <w:tcW w:w="720" w:type="dxa"/>
            <w:tcBorders>
              <w:top w:val="nil"/>
              <w:left w:val="nil"/>
              <w:bottom w:val="nil"/>
              <w:right w:val="nil"/>
            </w:tcBorders>
            <w:hideMark/>
          </w:tcPr>
          <w:p w14:paraId="2EF004BA" w14:textId="77777777" w:rsidR="00366005" w:rsidRPr="00183B5F" w:rsidRDefault="00943743" w:rsidP="004062FE">
            <w:pPr>
              <w:pStyle w:val="EMEANormal"/>
              <w:keepNext/>
              <w:rPr>
                <w:szCs w:val="22"/>
                <w:lang w:val="hu-HU"/>
              </w:rPr>
            </w:pPr>
            <w:r w:rsidRPr="00183B5F">
              <w:rPr>
                <w:szCs w:val="22"/>
                <w:lang w:val="hu-HU"/>
              </w:rPr>
              <w:t>107</w:t>
            </w:r>
          </w:p>
        </w:tc>
        <w:tc>
          <w:tcPr>
            <w:tcW w:w="1170" w:type="dxa"/>
            <w:tcBorders>
              <w:top w:val="nil"/>
              <w:left w:val="nil"/>
              <w:bottom w:val="nil"/>
              <w:right w:val="nil"/>
            </w:tcBorders>
            <w:hideMark/>
          </w:tcPr>
          <w:p w14:paraId="48F2313B" w14:textId="77777777" w:rsidR="00366005" w:rsidRPr="00183B5F" w:rsidRDefault="00943743" w:rsidP="004062FE">
            <w:pPr>
              <w:pStyle w:val="EMEANormal"/>
              <w:keepNext/>
              <w:rPr>
                <w:szCs w:val="22"/>
                <w:lang w:val="hu-HU"/>
              </w:rPr>
            </w:pPr>
            <w:r w:rsidRPr="00183B5F">
              <w:rPr>
                <w:szCs w:val="22"/>
                <w:lang w:val="hu-HU"/>
              </w:rPr>
              <w:t>84 (78,5)</w:t>
            </w:r>
          </w:p>
        </w:tc>
        <w:tc>
          <w:tcPr>
            <w:tcW w:w="1890" w:type="dxa"/>
            <w:tcBorders>
              <w:top w:val="nil"/>
              <w:left w:val="nil"/>
              <w:bottom w:val="nil"/>
              <w:right w:val="nil"/>
            </w:tcBorders>
            <w:hideMark/>
          </w:tcPr>
          <w:p w14:paraId="0E578039" w14:textId="77777777" w:rsidR="00366005" w:rsidRPr="00183B5F" w:rsidRDefault="00943743" w:rsidP="004062FE">
            <w:pPr>
              <w:pStyle w:val="EMEANormal"/>
              <w:keepNext/>
              <w:rPr>
                <w:szCs w:val="22"/>
                <w:lang w:val="hu-HU"/>
              </w:rPr>
            </w:pPr>
            <w:r w:rsidRPr="00183B5F">
              <w:rPr>
                <w:szCs w:val="22"/>
                <w:lang w:val="hu-HU"/>
              </w:rPr>
              <w:t>3,0</w:t>
            </w:r>
          </w:p>
        </w:tc>
        <w:tc>
          <w:tcPr>
            <w:tcW w:w="720" w:type="dxa"/>
            <w:tcBorders>
              <w:top w:val="nil"/>
              <w:left w:val="nil"/>
              <w:bottom w:val="nil"/>
              <w:right w:val="nil"/>
            </w:tcBorders>
            <w:hideMark/>
          </w:tcPr>
          <w:p w14:paraId="4DDED1BD" w14:textId="77777777" w:rsidR="00366005" w:rsidRPr="00183B5F" w:rsidRDefault="00943743" w:rsidP="004062FE">
            <w:pPr>
              <w:pStyle w:val="EMEANormal"/>
              <w:keepNext/>
              <w:rPr>
                <w:szCs w:val="22"/>
                <w:lang w:val="hu-HU"/>
              </w:rPr>
            </w:pPr>
            <w:r w:rsidRPr="00183B5F">
              <w:rPr>
                <w:szCs w:val="22"/>
                <w:lang w:val="hu-HU"/>
              </w:rPr>
              <w:t>--</w:t>
            </w:r>
          </w:p>
        </w:tc>
        <w:tc>
          <w:tcPr>
            <w:tcW w:w="1170" w:type="dxa"/>
            <w:tcBorders>
              <w:top w:val="nil"/>
              <w:left w:val="nil"/>
              <w:bottom w:val="nil"/>
              <w:right w:val="nil"/>
            </w:tcBorders>
            <w:hideMark/>
          </w:tcPr>
          <w:p w14:paraId="782120FD" w14:textId="77777777" w:rsidR="00366005" w:rsidRPr="00183B5F" w:rsidRDefault="00943743" w:rsidP="004062FE">
            <w:pPr>
              <w:pStyle w:val="EMEANormal"/>
              <w:keepNext/>
              <w:rPr>
                <w:szCs w:val="22"/>
                <w:lang w:val="hu-HU"/>
              </w:rPr>
            </w:pPr>
            <w:r w:rsidRPr="00183B5F">
              <w:rPr>
                <w:szCs w:val="22"/>
                <w:lang w:val="hu-HU"/>
              </w:rPr>
              <w:t>--</w:t>
            </w:r>
          </w:p>
        </w:tc>
        <w:tc>
          <w:tcPr>
            <w:tcW w:w="1080" w:type="dxa"/>
            <w:tcBorders>
              <w:top w:val="nil"/>
              <w:left w:val="nil"/>
              <w:bottom w:val="nil"/>
              <w:right w:val="nil"/>
            </w:tcBorders>
            <w:hideMark/>
          </w:tcPr>
          <w:p w14:paraId="29FB883E" w14:textId="77777777" w:rsidR="00366005" w:rsidRPr="00183B5F" w:rsidRDefault="00943743" w:rsidP="004062FE">
            <w:pPr>
              <w:pStyle w:val="EMEANormal"/>
              <w:keepNext/>
              <w:rPr>
                <w:szCs w:val="22"/>
                <w:lang w:val="hu-HU"/>
              </w:rPr>
            </w:pPr>
            <w:r w:rsidRPr="00183B5F">
              <w:rPr>
                <w:szCs w:val="22"/>
                <w:lang w:val="hu-HU"/>
              </w:rPr>
              <w:t>--</w:t>
            </w:r>
          </w:p>
        </w:tc>
      </w:tr>
      <w:tr w:rsidR="00011D2F" w14:paraId="3233D08C" w14:textId="77777777" w:rsidTr="00366005">
        <w:tc>
          <w:tcPr>
            <w:tcW w:w="2268" w:type="dxa"/>
            <w:tcBorders>
              <w:top w:val="nil"/>
              <w:left w:val="nil"/>
              <w:bottom w:val="single" w:sz="4" w:space="0" w:color="auto"/>
              <w:right w:val="nil"/>
            </w:tcBorders>
            <w:hideMark/>
          </w:tcPr>
          <w:p w14:paraId="5913CF1E" w14:textId="77777777" w:rsidR="00366005" w:rsidRPr="00183B5F" w:rsidRDefault="00943743" w:rsidP="004062FE">
            <w:pPr>
              <w:pStyle w:val="EMEANormal"/>
              <w:keepNext/>
              <w:rPr>
                <w:szCs w:val="22"/>
                <w:lang w:val="hu-HU"/>
              </w:rPr>
            </w:pPr>
            <w:r w:rsidRPr="00183B5F">
              <w:rPr>
                <w:szCs w:val="22"/>
                <w:lang w:val="hu-HU"/>
              </w:rPr>
              <w:tab/>
              <w:t>Adalimumab</w:t>
            </w:r>
          </w:p>
        </w:tc>
        <w:tc>
          <w:tcPr>
            <w:tcW w:w="720" w:type="dxa"/>
            <w:tcBorders>
              <w:top w:val="nil"/>
              <w:left w:val="nil"/>
              <w:bottom w:val="single" w:sz="4" w:space="0" w:color="auto"/>
              <w:right w:val="nil"/>
            </w:tcBorders>
            <w:hideMark/>
          </w:tcPr>
          <w:p w14:paraId="67FD94E0" w14:textId="77777777" w:rsidR="00366005" w:rsidRPr="00183B5F" w:rsidRDefault="00943743" w:rsidP="004062FE">
            <w:pPr>
              <w:pStyle w:val="EMEANormal"/>
              <w:keepNext/>
              <w:rPr>
                <w:szCs w:val="22"/>
                <w:lang w:val="hu-HU"/>
              </w:rPr>
            </w:pPr>
            <w:r w:rsidRPr="00183B5F">
              <w:rPr>
                <w:szCs w:val="22"/>
                <w:lang w:val="hu-HU"/>
              </w:rPr>
              <w:t>110</w:t>
            </w:r>
          </w:p>
        </w:tc>
        <w:tc>
          <w:tcPr>
            <w:tcW w:w="1170" w:type="dxa"/>
            <w:tcBorders>
              <w:top w:val="nil"/>
              <w:left w:val="nil"/>
              <w:bottom w:val="single" w:sz="4" w:space="0" w:color="auto"/>
              <w:right w:val="nil"/>
            </w:tcBorders>
            <w:hideMark/>
          </w:tcPr>
          <w:p w14:paraId="0645538F" w14:textId="77777777" w:rsidR="00366005" w:rsidRPr="00183B5F" w:rsidRDefault="00943743" w:rsidP="004062FE">
            <w:pPr>
              <w:pStyle w:val="EMEANormal"/>
              <w:keepNext/>
              <w:rPr>
                <w:szCs w:val="22"/>
                <w:lang w:val="hu-HU"/>
              </w:rPr>
            </w:pPr>
            <w:r w:rsidRPr="00183B5F">
              <w:rPr>
                <w:szCs w:val="22"/>
                <w:lang w:val="hu-HU"/>
              </w:rPr>
              <w:t>60 (54,5)</w:t>
            </w:r>
          </w:p>
        </w:tc>
        <w:tc>
          <w:tcPr>
            <w:tcW w:w="1890" w:type="dxa"/>
            <w:tcBorders>
              <w:top w:val="nil"/>
              <w:left w:val="nil"/>
              <w:bottom w:val="single" w:sz="4" w:space="0" w:color="auto"/>
              <w:right w:val="nil"/>
            </w:tcBorders>
            <w:hideMark/>
          </w:tcPr>
          <w:p w14:paraId="2CA343EE" w14:textId="77777777" w:rsidR="00366005" w:rsidRPr="00183B5F" w:rsidRDefault="00943743" w:rsidP="004062FE">
            <w:pPr>
              <w:pStyle w:val="EMEANormal"/>
              <w:keepNext/>
              <w:rPr>
                <w:szCs w:val="22"/>
                <w:lang w:val="hu-HU"/>
              </w:rPr>
            </w:pPr>
            <w:r w:rsidRPr="00183B5F">
              <w:rPr>
                <w:szCs w:val="22"/>
                <w:lang w:val="hu-HU"/>
              </w:rPr>
              <w:t>5,6</w:t>
            </w:r>
          </w:p>
        </w:tc>
        <w:tc>
          <w:tcPr>
            <w:tcW w:w="720" w:type="dxa"/>
            <w:tcBorders>
              <w:top w:val="nil"/>
              <w:left w:val="nil"/>
              <w:bottom w:val="single" w:sz="4" w:space="0" w:color="auto"/>
              <w:right w:val="nil"/>
            </w:tcBorders>
            <w:hideMark/>
          </w:tcPr>
          <w:p w14:paraId="0E71D708" w14:textId="77777777" w:rsidR="00366005" w:rsidRPr="00183B5F" w:rsidRDefault="00943743" w:rsidP="004062FE">
            <w:pPr>
              <w:pStyle w:val="EMEANormal"/>
              <w:keepNext/>
              <w:rPr>
                <w:szCs w:val="22"/>
                <w:lang w:val="hu-HU"/>
              </w:rPr>
            </w:pPr>
            <w:r w:rsidRPr="00183B5F">
              <w:rPr>
                <w:szCs w:val="22"/>
                <w:lang w:val="hu-HU"/>
              </w:rPr>
              <w:t>0,50</w:t>
            </w:r>
          </w:p>
        </w:tc>
        <w:tc>
          <w:tcPr>
            <w:tcW w:w="1170" w:type="dxa"/>
            <w:tcBorders>
              <w:top w:val="nil"/>
              <w:left w:val="nil"/>
              <w:bottom w:val="single" w:sz="4" w:space="0" w:color="auto"/>
              <w:right w:val="nil"/>
            </w:tcBorders>
            <w:hideMark/>
          </w:tcPr>
          <w:p w14:paraId="40531204" w14:textId="77777777" w:rsidR="00366005" w:rsidRPr="00183B5F" w:rsidRDefault="00943743" w:rsidP="004062FE">
            <w:pPr>
              <w:pStyle w:val="EMEANormal"/>
              <w:keepNext/>
              <w:rPr>
                <w:szCs w:val="22"/>
                <w:lang w:val="hu-HU"/>
              </w:rPr>
            </w:pPr>
            <w:r w:rsidRPr="00183B5F">
              <w:rPr>
                <w:szCs w:val="22"/>
                <w:lang w:val="hu-HU"/>
              </w:rPr>
              <w:t>0,36; 0,70</w:t>
            </w:r>
            <w:r w:rsidRPr="00183B5F">
              <w:rPr>
                <w:szCs w:val="22"/>
                <w:vertAlign w:val="superscript"/>
                <w:lang w:val="hu-HU"/>
              </w:rPr>
              <w:t xml:space="preserve"> </w:t>
            </w:r>
          </w:p>
        </w:tc>
        <w:tc>
          <w:tcPr>
            <w:tcW w:w="1080" w:type="dxa"/>
            <w:tcBorders>
              <w:top w:val="nil"/>
              <w:left w:val="nil"/>
              <w:bottom w:val="single" w:sz="4" w:space="0" w:color="auto"/>
              <w:right w:val="nil"/>
            </w:tcBorders>
            <w:hideMark/>
          </w:tcPr>
          <w:p w14:paraId="4DE70190" w14:textId="77777777" w:rsidR="00366005" w:rsidRPr="00183B5F" w:rsidRDefault="00943743" w:rsidP="004062FE">
            <w:pPr>
              <w:pStyle w:val="EMEANormal"/>
              <w:keepNext/>
              <w:rPr>
                <w:szCs w:val="22"/>
                <w:lang w:val="hu-HU"/>
              </w:rPr>
            </w:pPr>
            <w:r w:rsidRPr="00183B5F">
              <w:rPr>
                <w:szCs w:val="22"/>
                <w:lang w:val="hu-HU"/>
              </w:rPr>
              <w:t>&lt; 0,001</w:t>
            </w:r>
          </w:p>
        </w:tc>
      </w:tr>
      <w:tr w:rsidR="00011D2F" w14:paraId="5661A19F" w14:textId="77777777" w:rsidTr="00366005">
        <w:tc>
          <w:tcPr>
            <w:tcW w:w="9018" w:type="dxa"/>
            <w:gridSpan w:val="7"/>
            <w:tcBorders>
              <w:top w:val="single" w:sz="4" w:space="0" w:color="auto"/>
              <w:left w:val="nil"/>
              <w:bottom w:val="nil"/>
              <w:right w:val="nil"/>
            </w:tcBorders>
            <w:hideMark/>
          </w:tcPr>
          <w:p w14:paraId="08D45F88" w14:textId="77777777" w:rsidR="00366005" w:rsidRPr="00183B5F" w:rsidRDefault="00943743" w:rsidP="004062FE">
            <w:pPr>
              <w:pStyle w:val="EMEANormal"/>
              <w:keepNext/>
              <w:rPr>
                <w:b/>
                <w:szCs w:val="22"/>
                <w:lang w:val="hu-HU"/>
              </w:rPr>
            </w:pPr>
            <w:r w:rsidRPr="00183B5F">
              <w:rPr>
                <w:b/>
                <w:szCs w:val="22"/>
                <w:lang w:val="hu-HU"/>
              </w:rPr>
              <w:t>A kezelés eredménytelenségéig eltelt idő a 2. héten vagy azt követően az UV II vizsgálatban</w:t>
            </w:r>
          </w:p>
        </w:tc>
      </w:tr>
      <w:tr w:rsidR="00011D2F" w14:paraId="58B35885" w14:textId="77777777" w:rsidTr="00366005">
        <w:tc>
          <w:tcPr>
            <w:tcW w:w="2988" w:type="dxa"/>
            <w:gridSpan w:val="2"/>
            <w:tcBorders>
              <w:top w:val="nil"/>
              <w:left w:val="nil"/>
              <w:bottom w:val="nil"/>
              <w:right w:val="nil"/>
            </w:tcBorders>
            <w:hideMark/>
          </w:tcPr>
          <w:p w14:paraId="7A8239F5" w14:textId="77777777" w:rsidR="00366005" w:rsidRPr="00183B5F" w:rsidRDefault="00943743" w:rsidP="004062FE">
            <w:pPr>
              <w:pStyle w:val="EMEANormal"/>
              <w:keepNext/>
              <w:rPr>
                <w:szCs w:val="22"/>
                <w:lang w:val="hu-HU"/>
              </w:rPr>
            </w:pPr>
            <w:r w:rsidRPr="00183B5F">
              <w:rPr>
                <w:szCs w:val="22"/>
                <w:lang w:val="hu-HU"/>
              </w:rPr>
              <w:t>Elsődleges elemzés (ITT)</w:t>
            </w:r>
          </w:p>
        </w:tc>
        <w:tc>
          <w:tcPr>
            <w:tcW w:w="1170" w:type="dxa"/>
            <w:tcBorders>
              <w:top w:val="nil"/>
              <w:left w:val="nil"/>
              <w:bottom w:val="nil"/>
              <w:right w:val="nil"/>
            </w:tcBorders>
          </w:tcPr>
          <w:p w14:paraId="70F66D1A" w14:textId="77777777" w:rsidR="00366005" w:rsidRPr="00183B5F" w:rsidRDefault="00366005" w:rsidP="004062FE">
            <w:pPr>
              <w:pStyle w:val="EMEANormal"/>
              <w:keepNext/>
              <w:rPr>
                <w:szCs w:val="22"/>
                <w:lang w:val="hu-HU"/>
              </w:rPr>
            </w:pPr>
          </w:p>
        </w:tc>
        <w:tc>
          <w:tcPr>
            <w:tcW w:w="1890" w:type="dxa"/>
            <w:tcBorders>
              <w:top w:val="nil"/>
              <w:left w:val="nil"/>
              <w:bottom w:val="nil"/>
              <w:right w:val="nil"/>
            </w:tcBorders>
          </w:tcPr>
          <w:p w14:paraId="38C47D73" w14:textId="77777777" w:rsidR="00366005" w:rsidRPr="00183B5F" w:rsidRDefault="00366005" w:rsidP="004062FE">
            <w:pPr>
              <w:pStyle w:val="EMEANormal"/>
              <w:keepNext/>
              <w:rPr>
                <w:szCs w:val="22"/>
                <w:lang w:val="hu-HU"/>
              </w:rPr>
            </w:pPr>
          </w:p>
        </w:tc>
        <w:tc>
          <w:tcPr>
            <w:tcW w:w="720" w:type="dxa"/>
            <w:tcBorders>
              <w:top w:val="nil"/>
              <w:left w:val="nil"/>
              <w:bottom w:val="nil"/>
              <w:right w:val="nil"/>
            </w:tcBorders>
          </w:tcPr>
          <w:p w14:paraId="650D7A1E" w14:textId="77777777" w:rsidR="00366005" w:rsidRPr="00183B5F" w:rsidRDefault="00366005" w:rsidP="004062FE">
            <w:pPr>
              <w:pStyle w:val="EMEANormal"/>
              <w:keepNext/>
              <w:rPr>
                <w:szCs w:val="22"/>
                <w:lang w:val="hu-HU"/>
              </w:rPr>
            </w:pPr>
          </w:p>
        </w:tc>
        <w:tc>
          <w:tcPr>
            <w:tcW w:w="1170" w:type="dxa"/>
            <w:tcBorders>
              <w:top w:val="nil"/>
              <w:left w:val="nil"/>
              <w:bottom w:val="nil"/>
              <w:right w:val="nil"/>
            </w:tcBorders>
          </w:tcPr>
          <w:p w14:paraId="5112CCD4" w14:textId="77777777" w:rsidR="00366005" w:rsidRPr="00183B5F" w:rsidRDefault="00366005" w:rsidP="004062FE">
            <w:pPr>
              <w:pStyle w:val="EMEANormal"/>
              <w:keepNext/>
              <w:rPr>
                <w:szCs w:val="22"/>
                <w:lang w:val="hu-HU"/>
              </w:rPr>
            </w:pPr>
          </w:p>
        </w:tc>
        <w:tc>
          <w:tcPr>
            <w:tcW w:w="1080" w:type="dxa"/>
            <w:tcBorders>
              <w:top w:val="nil"/>
              <w:left w:val="nil"/>
              <w:bottom w:val="nil"/>
              <w:right w:val="nil"/>
            </w:tcBorders>
          </w:tcPr>
          <w:p w14:paraId="5948CB7D" w14:textId="77777777" w:rsidR="00366005" w:rsidRPr="00183B5F" w:rsidRDefault="00366005" w:rsidP="004062FE">
            <w:pPr>
              <w:pStyle w:val="EMEANormal"/>
              <w:keepNext/>
              <w:rPr>
                <w:szCs w:val="22"/>
                <w:lang w:val="hu-HU"/>
              </w:rPr>
            </w:pPr>
          </w:p>
        </w:tc>
      </w:tr>
      <w:tr w:rsidR="00011D2F" w14:paraId="0DA470F8" w14:textId="77777777" w:rsidTr="00366005">
        <w:tc>
          <w:tcPr>
            <w:tcW w:w="2268" w:type="dxa"/>
            <w:tcBorders>
              <w:top w:val="nil"/>
              <w:left w:val="nil"/>
              <w:bottom w:val="nil"/>
              <w:right w:val="nil"/>
            </w:tcBorders>
            <w:hideMark/>
          </w:tcPr>
          <w:p w14:paraId="7357C58C" w14:textId="77777777" w:rsidR="00366005" w:rsidRPr="00183B5F" w:rsidRDefault="00943743" w:rsidP="004062FE">
            <w:pPr>
              <w:pStyle w:val="EMEANormal"/>
              <w:keepNext/>
              <w:rPr>
                <w:szCs w:val="22"/>
                <w:lang w:val="hu-HU"/>
              </w:rPr>
            </w:pPr>
            <w:r w:rsidRPr="00183B5F">
              <w:rPr>
                <w:szCs w:val="22"/>
                <w:lang w:val="hu-HU"/>
              </w:rPr>
              <w:tab/>
              <w:t>Placebo</w:t>
            </w:r>
          </w:p>
        </w:tc>
        <w:tc>
          <w:tcPr>
            <w:tcW w:w="720" w:type="dxa"/>
            <w:tcBorders>
              <w:top w:val="nil"/>
              <w:left w:val="nil"/>
              <w:bottom w:val="nil"/>
              <w:right w:val="nil"/>
            </w:tcBorders>
            <w:hideMark/>
          </w:tcPr>
          <w:p w14:paraId="094286E5" w14:textId="77777777" w:rsidR="00366005" w:rsidRPr="00183B5F" w:rsidRDefault="00943743" w:rsidP="004062FE">
            <w:pPr>
              <w:pStyle w:val="EMEANormal"/>
              <w:keepNext/>
              <w:rPr>
                <w:szCs w:val="22"/>
                <w:lang w:val="hu-HU"/>
              </w:rPr>
            </w:pPr>
            <w:r w:rsidRPr="00183B5F">
              <w:rPr>
                <w:szCs w:val="22"/>
                <w:lang w:val="hu-HU"/>
              </w:rPr>
              <w:t>111</w:t>
            </w:r>
          </w:p>
        </w:tc>
        <w:tc>
          <w:tcPr>
            <w:tcW w:w="1170" w:type="dxa"/>
            <w:tcBorders>
              <w:top w:val="nil"/>
              <w:left w:val="nil"/>
              <w:bottom w:val="nil"/>
              <w:right w:val="nil"/>
            </w:tcBorders>
            <w:hideMark/>
          </w:tcPr>
          <w:p w14:paraId="583DBC8E" w14:textId="77777777" w:rsidR="00366005" w:rsidRPr="00183B5F" w:rsidRDefault="00943743" w:rsidP="004062FE">
            <w:pPr>
              <w:pStyle w:val="EMEANormal"/>
              <w:keepNext/>
              <w:rPr>
                <w:szCs w:val="22"/>
                <w:lang w:val="hu-HU"/>
              </w:rPr>
            </w:pPr>
            <w:r w:rsidRPr="00183B5F">
              <w:rPr>
                <w:szCs w:val="22"/>
                <w:lang w:val="hu-HU"/>
              </w:rPr>
              <w:t>61 (55,0)</w:t>
            </w:r>
          </w:p>
        </w:tc>
        <w:tc>
          <w:tcPr>
            <w:tcW w:w="1890" w:type="dxa"/>
            <w:tcBorders>
              <w:top w:val="nil"/>
              <w:left w:val="nil"/>
              <w:bottom w:val="nil"/>
              <w:right w:val="nil"/>
            </w:tcBorders>
            <w:hideMark/>
          </w:tcPr>
          <w:p w14:paraId="53778AB9" w14:textId="77777777" w:rsidR="00366005" w:rsidRPr="00183B5F" w:rsidRDefault="00943743" w:rsidP="004062FE">
            <w:pPr>
              <w:pStyle w:val="EMEANormal"/>
              <w:keepNext/>
              <w:rPr>
                <w:szCs w:val="22"/>
                <w:lang w:val="hu-HU"/>
              </w:rPr>
            </w:pPr>
            <w:r w:rsidRPr="00183B5F">
              <w:rPr>
                <w:szCs w:val="22"/>
                <w:lang w:val="hu-HU"/>
              </w:rPr>
              <w:t>8,3</w:t>
            </w:r>
          </w:p>
        </w:tc>
        <w:tc>
          <w:tcPr>
            <w:tcW w:w="720" w:type="dxa"/>
            <w:tcBorders>
              <w:top w:val="nil"/>
              <w:left w:val="nil"/>
              <w:bottom w:val="nil"/>
              <w:right w:val="nil"/>
            </w:tcBorders>
            <w:hideMark/>
          </w:tcPr>
          <w:p w14:paraId="2C11ADB4" w14:textId="77777777" w:rsidR="00366005" w:rsidRPr="00183B5F" w:rsidRDefault="00943743" w:rsidP="004062FE">
            <w:pPr>
              <w:pStyle w:val="EMEANormal"/>
              <w:keepNext/>
              <w:rPr>
                <w:szCs w:val="22"/>
                <w:lang w:val="hu-HU"/>
              </w:rPr>
            </w:pPr>
            <w:r w:rsidRPr="00183B5F">
              <w:rPr>
                <w:szCs w:val="22"/>
                <w:lang w:val="hu-HU"/>
              </w:rPr>
              <w:t>--</w:t>
            </w:r>
          </w:p>
        </w:tc>
        <w:tc>
          <w:tcPr>
            <w:tcW w:w="1170" w:type="dxa"/>
            <w:tcBorders>
              <w:top w:val="nil"/>
              <w:left w:val="nil"/>
              <w:bottom w:val="nil"/>
              <w:right w:val="nil"/>
            </w:tcBorders>
            <w:hideMark/>
          </w:tcPr>
          <w:p w14:paraId="3D41ABB5" w14:textId="77777777" w:rsidR="00366005" w:rsidRPr="00183B5F" w:rsidRDefault="00943743" w:rsidP="004062FE">
            <w:pPr>
              <w:pStyle w:val="EMEANormal"/>
              <w:keepNext/>
              <w:rPr>
                <w:szCs w:val="22"/>
                <w:lang w:val="hu-HU"/>
              </w:rPr>
            </w:pPr>
            <w:r w:rsidRPr="00183B5F">
              <w:rPr>
                <w:szCs w:val="22"/>
                <w:lang w:val="hu-HU"/>
              </w:rPr>
              <w:t>--</w:t>
            </w:r>
          </w:p>
        </w:tc>
        <w:tc>
          <w:tcPr>
            <w:tcW w:w="1080" w:type="dxa"/>
            <w:tcBorders>
              <w:top w:val="nil"/>
              <w:left w:val="nil"/>
              <w:bottom w:val="nil"/>
              <w:right w:val="nil"/>
            </w:tcBorders>
            <w:hideMark/>
          </w:tcPr>
          <w:p w14:paraId="1B650603" w14:textId="77777777" w:rsidR="00366005" w:rsidRPr="00183B5F" w:rsidRDefault="00943743" w:rsidP="004062FE">
            <w:pPr>
              <w:pStyle w:val="EMEANormal"/>
              <w:keepNext/>
              <w:rPr>
                <w:szCs w:val="22"/>
                <w:lang w:val="hu-HU"/>
              </w:rPr>
            </w:pPr>
            <w:r w:rsidRPr="00183B5F">
              <w:rPr>
                <w:szCs w:val="22"/>
                <w:lang w:val="hu-HU"/>
              </w:rPr>
              <w:t>--</w:t>
            </w:r>
          </w:p>
        </w:tc>
      </w:tr>
      <w:tr w:rsidR="00011D2F" w14:paraId="30AF80FE" w14:textId="77777777" w:rsidTr="00366005">
        <w:tc>
          <w:tcPr>
            <w:tcW w:w="2268" w:type="dxa"/>
            <w:tcBorders>
              <w:top w:val="nil"/>
              <w:left w:val="nil"/>
              <w:bottom w:val="single" w:sz="4" w:space="0" w:color="auto"/>
              <w:right w:val="nil"/>
            </w:tcBorders>
            <w:hideMark/>
          </w:tcPr>
          <w:p w14:paraId="788E7F54" w14:textId="77777777" w:rsidR="00366005" w:rsidRPr="00183B5F" w:rsidRDefault="00943743" w:rsidP="004062FE">
            <w:pPr>
              <w:pStyle w:val="EMEANormal"/>
              <w:keepNext/>
              <w:rPr>
                <w:szCs w:val="22"/>
                <w:lang w:val="hu-HU"/>
              </w:rPr>
            </w:pPr>
            <w:r w:rsidRPr="00183B5F">
              <w:rPr>
                <w:szCs w:val="22"/>
                <w:lang w:val="hu-HU"/>
              </w:rPr>
              <w:tab/>
              <w:t>Adalimumab</w:t>
            </w:r>
          </w:p>
        </w:tc>
        <w:tc>
          <w:tcPr>
            <w:tcW w:w="720" w:type="dxa"/>
            <w:tcBorders>
              <w:top w:val="nil"/>
              <w:left w:val="nil"/>
              <w:bottom w:val="single" w:sz="4" w:space="0" w:color="auto"/>
              <w:right w:val="nil"/>
            </w:tcBorders>
            <w:hideMark/>
          </w:tcPr>
          <w:p w14:paraId="0DB7C449" w14:textId="77777777" w:rsidR="00366005" w:rsidRPr="00183B5F" w:rsidRDefault="00943743" w:rsidP="004062FE">
            <w:pPr>
              <w:pStyle w:val="EMEANormal"/>
              <w:keepNext/>
              <w:rPr>
                <w:szCs w:val="22"/>
                <w:lang w:val="hu-HU"/>
              </w:rPr>
            </w:pPr>
            <w:r w:rsidRPr="00183B5F">
              <w:rPr>
                <w:szCs w:val="22"/>
                <w:lang w:val="hu-HU"/>
              </w:rPr>
              <w:t>115</w:t>
            </w:r>
          </w:p>
        </w:tc>
        <w:tc>
          <w:tcPr>
            <w:tcW w:w="1170" w:type="dxa"/>
            <w:tcBorders>
              <w:top w:val="nil"/>
              <w:left w:val="nil"/>
              <w:bottom w:val="single" w:sz="4" w:space="0" w:color="auto"/>
              <w:right w:val="nil"/>
            </w:tcBorders>
            <w:hideMark/>
          </w:tcPr>
          <w:p w14:paraId="5DF1E747" w14:textId="77777777" w:rsidR="00366005" w:rsidRPr="00183B5F" w:rsidRDefault="00943743" w:rsidP="004062FE">
            <w:pPr>
              <w:pStyle w:val="EMEANormal"/>
              <w:keepNext/>
              <w:rPr>
                <w:szCs w:val="22"/>
                <w:lang w:val="hu-HU"/>
              </w:rPr>
            </w:pPr>
            <w:r w:rsidRPr="00183B5F">
              <w:rPr>
                <w:szCs w:val="22"/>
                <w:lang w:val="hu-HU"/>
              </w:rPr>
              <w:t>45 (39,1)</w:t>
            </w:r>
          </w:p>
        </w:tc>
        <w:tc>
          <w:tcPr>
            <w:tcW w:w="1890" w:type="dxa"/>
            <w:tcBorders>
              <w:top w:val="nil"/>
              <w:left w:val="nil"/>
              <w:bottom w:val="single" w:sz="4" w:space="0" w:color="auto"/>
              <w:right w:val="nil"/>
            </w:tcBorders>
            <w:hideMark/>
          </w:tcPr>
          <w:p w14:paraId="244288EE" w14:textId="77777777" w:rsidR="00366005" w:rsidRPr="00183B5F" w:rsidRDefault="00943743" w:rsidP="004062FE">
            <w:pPr>
              <w:pStyle w:val="EMEANormal"/>
              <w:keepNext/>
              <w:rPr>
                <w:szCs w:val="22"/>
                <w:lang w:val="hu-HU"/>
              </w:rPr>
            </w:pPr>
            <w:r w:rsidRPr="00183B5F">
              <w:rPr>
                <w:szCs w:val="22"/>
                <w:lang w:val="hu-HU"/>
              </w:rPr>
              <w:t>NB</w:t>
            </w:r>
            <w:r w:rsidRPr="00183B5F">
              <w:rPr>
                <w:szCs w:val="22"/>
                <w:vertAlign w:val="superscript"/>
                <w:lang w:val="hu-HU"/>
              </w:rPr>
              <w:t>c</w:t>
            </w:r>
          </w:p>
        </w:tc>
        <w:tc>
          <w:tcPr>
            <w:tcW w:w="720" w:type="dxa"/>
            <w:tcBorders>
              <w:top w:val="nil"/>
              <w:left w:val="nil"/>
              <w:bottom w:val="single" w:sz="4" w:space="0" w:color="auto"/>
              <w:right w:val="nil"/>
            </w:tcBorders>
            <w:hideMark/>
          </w:tcPr>
          <w:p w14:paraId="278BC8C9" w14:textId="77777777" w:rsidR="00366005" w:rsidRPr="00183B5F" w:rsidRDefault="00943743" w:rsidP="004062FE">
            <w:pPr>
              <w:pStyle w:val="EMEANormal"/>
              <w:keepNext/>
              <w:rPr>
                <w:szCs w:val="22"/>
                <w:lang w:val="hu-HU"/>
              </w:rPr>
            </w:pPr>
            <w:r w:rsidRPr="00183B5F">
              <w:rPr>
                <w:szCs w:val="22"/>
                <w:lang w:val="hu-HU"/>
              </w:rPr>
              <w:t>0,57</w:t>
            </w:r>
          </w:p>
        </w:tc>
        <w:tc>
          <w:tcPr>
            <w:tcW w:w="1170" w:type="dxa"/>
            <w:tcBorders>
              <w:top w:val="nil"/>
              <w:left w:val="nil"/>
              <w:bottom w:val="single" w:sz="4" w:space="0" w:color="auto"/>
              <w:right w:val="nil"/>
            </w:tcBorders>
            <w:hideMark/>
          </w:tcPr>
          <w:p w14:paraId="38A294F2" w14:textId="77777777" w:rsidR="00366005" w:rsidRPr="00183B5F" w:rsidRDefault="00943743" w:rsidP="004062FE">
            <w:pPr>
              <w:pStyle w:val="EMEANormal"/>
              <w:keepNext/>
              <w:rPr>
                <w:szCs w:val="22"/>
                <w:lang w:val="hu-HU"/>
              </w:rPr>
            </w:pPr>
            <w:r w:rsidRPr="00183B5F">
              <w:rPr>
                <w:szCs w:val="22"/>
                <w:lang w:val="hu-HU"/>
              </w:rPr>
              <w:t>0,39; 0,84</w:t>
            </w:r>
          </w:p>
        </w:tc>
        <w:tc>
          <w:tcPr>
            <w:tcW w:w="1080" w:type="dxa"/>
            <w:tcBorders>
              <w:top w:val="nil"/>
              <w:left w:val="nil"/>
              <w:bottom w:val="single" w:sz="4" w:space="0" w:color="auto"/>
              <w:right w:val="nil"/>
            </w:tcBorders>
            <w:hideMark/>
          </w:tcPr>
          <w:p w14:paraId="5038DE28" w14:textId="77777777" w:rsidR="00366005" w:rsidRPr="00183B5F" w:rsidRDefault="00943743" w:rsidP="004062FE">
            <w:pPr>
              <w:pStyle w:val="EMEANormal"/>
              <w:keepNext/>
              <w:rPr>
                <w:szCs w:val="22"/>
                <w:lang w:val="hu-HU"/>
              </w:rPr>
            </w:pPr>
            <w:r w:rsidRPr="00183B5F">
              <w:rPr>
                <w:szCs w:val="22"/>
                <w:lang w:val="hu-HU"/>
              </w:rPr>
              <w:t>0,004</w:t>
            </w:r>
          </w:p>
        </w:tc>
      </w:tr>
    </w:tbl>
    <w:p w14:paraId="57F46FA8" w14:textId="77777777" w:rsidR="00366005" w:rsidRPr="00183B5F" w:rsidRDefault="00943743">
      <w:pPr>
        <w:pStyle w:val="EMEANormal"/>
        <w:keepNext/>
        <w:rPr>
          <w:szCs w:val="22"/>
          <w:lang w:val="hu-HU"/>
        </w:rPr>
      </w:pPr>
      <w:r w:rsidRPr="00183B5F">
        <w:rPr>
          <w:szCs w:val="22"/>
          <w:lang w:val="hu-HU"/>
        </w:rPr>
        <w:t>Megjegyzés: Eseménynek értékelték a kezelés eredménytelenségét a 6. héten vagy azt követően (UV I vizsgálat) vagy a 2. héten vagy azt követően (UV II vizsgálat). Azoknak a betegeknek az adatait cenzorálták a vizsgálat abbahagyásakor, akik nem a kezelés eredménytelensége miatt hagyták abba a vizsgálatot.</w:t>
      </w:r>
    </w:p>
    <w:p w14:paraId="576C62A3" w14:textId="77777777" w:rsidR="00366005" w:rsidRPr="00183B5F" w:rsidRDefault="00943743">
      <w:pPr>
        <w:pStyle w:val="EMEANormal"/>
        <w:keepNext/>
        <w:numPr>
          <w:ilvl w:val="0"/>
          <w:numId w:val="113"/>
        </w:numPr>
        <w:tabs>
          <w:tab w:val="left" w:pos="426"/>
        </w:tabs>
        <w:ind w:left="426" w:hanging="426"/>
        <w:rPr>
          <w:szCs w:val="22"/>
          <w:lang w:val="hu-HU"/>
        </w:rPr>
      </w:pPr>
      <w:r w:rsidRPr="00183B5F">
        <w:rPr>
          <w:szCs w:val="22"/>
          <w:lang w:val="hu-HU"/>
        </w:rPr>
        <w:t xml:space="preserve">az adalimumab placebóval szembeni relatív hazárd értéke </w:t>
      </w:r>
      <w:r w:rsidR="009F6211" w:rsidRPr="00183B5F">
        <w:rPr>
          <w:szCs w:val="22"/>
          <w:lang w:val="hu-HU"/>
        </w:rPr>
        <w:t>(</w:t>
      </w:r>
      <w:r w:rsidRPr="00183B5F">
        <w:rPr>
          <w:szCs w:val="22"/>
          <w:lang w:val="hu-HU"/>
        </w:rPr>
        <w:t>arányos hazárd regresszióból, a kezelést faktorként figyelembe véve</w:t>
      </w:r>
      <w:r w:rsidR="009F6211" w:rsidRPr="00183B5F">
        <w:rPr>
          <w:szCs w:val="22"/>
          <w:lang w:val="hu-HU"/>
        </w:rPr>
        <w:t>)</w:t>
      </w:r>
      <w:r w:rsidRPr="00183B5F">
        <w:rPr>
          <w:szCs w:val="22"/>
          <w:lang w:val="hu-HU"/>
        </w:rPr>
        <w:t>.</w:t>
      </w:r>
    </w:p>
    <w:p w14:paraId="7410E28D" w14:textId="77777777" w:rsidR="00366005" w:rsidRPr="00183B5F" w:rsidRDefault="00943743" w:rsidP="006B2397">
      <w:pPr>
        <w:pStyle w:val="EMEANormal"/>
        <w:keepNext/>
        <w:numPr>
          <w:ilvl w:val="0"/>
          <w:numId w:val="113"/>
        </w:numPr>
        <w:tabs>
          <w:tab w:val="left" w:pos="426"/>
        </w:tabs>
        <w:ind w:left="426" w:hanging="426"/>
        <w:rPr>
          <w:szCs w:val="22"/>
          <w:lang w:val="hu-HU"/>
        </w:rPr>
      </w:pPr>
      <w:r w:rsidRPr="00183B5F">
        <w:rPr>
          <w:szCs w:val="22"/>
          <w:lang w:val="hu-HU"/>
        </w:rPr>
        <w:t>Lograng</w:t>
      </w:r>
      <w:r w:rsidRPr="00183B5F">
        <w:rPr>
          <w:szCs w:val="22"/>
          <w:lang w:val="hu-HU"/>
        </w:rPr>
        <w:noBreakHyphen/>
        <w:t xml:space="preserve">próbából meghatározott 2-oldalas </w:t>
      </w:r>
      <w:r w:rsidRPr="00183B5F">
        <w:rPr>
          <w:i/>
          <w:szCs w:val="22"/>
          <w:lang w:val="hu-HU"/>
        </w:rPr>
        <w:t>P</w:t>
      </w:r>
      <w:r w:rsidR="00FE0776" w:rsidRPr="00183B5F">
        <w:rPr>
          <w:szCs w:val="22"/>
          <w:lang w:val="hu-HU"/>
        </w:rPr>
        <w:noBreakHyphen/>
      </w:r>
      <w:r w:rsidRPr="00183B5F">
        <w:rPr>
          <w:szCs w:val="22"/>
          <w:lang w:val="hu-HU"/>
        </w:rPr>
        <w:t>érték.</w:t>
      </w:r>
    </w:p>
    <w:p w14:paraId="46D0252C" w14:textId="77777777" w:rsidR="00366005" w:rsidRPr="00183B5F" w:rsidRDefault="00943743" w:rsidP="006B2397">
      <w:pPr>
        <w:pStyle w:val="EMEANormal"/>
        <w:keepNext/>
        <w:numPr>
          <w:ilvl w:val="0"/>
          <w:numId w:val="113"/>
        </w:numPr>
        <w:tabs>
          <w:tab w:val="left" w:pos="426"/>
        </w:tabs>
        <w:ind w:left="426" w:hanging="426"/>
        <w:rPr>
          <w:szCs w:val="22"/>
          <w:lang w:val="hu-HU"/>
        </w:rPr>
      </w:pPr>
      <w:r w:rsidRPr="00183B5F">
        <w:rPr>
          <w:szCs w:val="22"/>
          <w:lang w:val="hu-HU"/>
        </w:rPr>
        <w:t xml:space="preserve">NB = nem becsülhető. A veszélyeztetett betegek kevesebb mint felénél történt esemény. </w:t>
      </w:r>
    </w:p>
    <w:p w14:paraId="3A2EDCD4" w14:textId="77777777" w:rsidR="00366005" w:rsidRPr="00183B5F" w:rsidRDefault="00366005">
      <w:pPr>
        <w:pStyle w:val="EMEANormal"/>
        <w:rPr>
          <w:szCs w:val="22"/>
          <w:lang w:val="hu-HU"/>
        </w:rPr>
      </w:pPr>
    </w:p>
    <w:p w14:paraId="32DA94AC" w14:textId="77777777" w:rsidR="00366005" w:rsidRPr="00183B5F" w:rsidRDefault="00943743" w:rsidP="00FE0197">
      <w:pPr>
        <w:pStyle w:val="EMEANormal"/>
        <w:jc w:val="center"/>
        <w:rPr>
          <w:b/>
          <w:szCs w:val="22"/>
          <w:lang w:val="hu-HU"/>
        </w:rPr>
      </w:pPr>
      <w:r w:rsidRPr="00183B5F">
        <w:rPr>
          <w:b/>
          <w:szCs w:val="22"/>
          <w:lang w:val="hu-HU"/>
        </w:rPr>
        <w:t>1. ábra: A kezelés eredménytelenségéig eltelt időt a 6. héten vagy azt követően (UV I vizsgálat) illetve a 2. héten vagy azt követően (UV II vizsgálat) bemutató Kaplan-Meier görbék</w:t>
      </w:r>
    </w:p>
    <w:p w14:paraId="0686544B" w14:textId="77777777" w:rsidR="00366005" w:rsidRPr="00183B5F" w:rsidRDefault="00366005" w:rsidP="00FE0197">
      <w:pPr>
        <w:pStyle w:val="EMEANormal"/>
        <w:jc w:val="center"/>
        <w:rPr>
          <w:b/>
          <w:szCs w:val="22"/>
          <w:lang w:val="hu-HU"/>
        </w:rPr>
      </w:pPr>
    </w:p>
    <w:tbl>
      <w:tblPr>
        <w:tblW w:w="9480" w:type="dxa"/>
        <w:tblLayout w:type="fixed"/>
        <w:tblLook w:val="04A0" w:firstRow="1" w:lastRow="0" w:firstColumn="1" w:lastColumn="0" w:noHBand="0" w:noVBand="1"/>
      </w:tblPr>
      <w:tblGrid>
        <w:gridCol w:w="674"/>
        <w:gridCol w:w="3496"/>
        <w:gridCol w:w="1170"/>
        <w:gridCol w:w="1350"/>
        <w:gridCol w:w="900"/>
        <w:gridCol w:w="1890"/>
      </w:tblGrid>
      <w:tr w:rsidR="00011D2F" w14:paraId="47CBFDD4" w14:textId="77777777" w:rsidTr="00366005">
        <w:trPr>
          <w:cantSplit/>
          <w:trHeight w:val="3806"/>
        </w:trPr>
        <w:tc>
          <w:tcPr>
            <w:tcW w:w="675" w:type="dxa"/>
            <w:textDirection w:val="btLr"/>
            <w:vAlign w:val="bottom"/>
            <w:hideMark/>
          </w:tcPr>
          <w:p w14:paraId="6A5C717F" w14:textId="77777777" w:rsidR="00366005" w:rsidRPr="00183B5F" w:rsidRDefault="00943743" w:rsidP="00FE0197">
            <w:pPr>
              <w:pStyle w:val="EMEANormal"/>
              <w:ind w:left="113" w:right="113"/>
              <w:jc w:val="center"/>
              <w:rPr>
                <w:b/>
                <w:szCs w:val="22"/>
                <w:lang w:val="hu-HU"/>
              </w:rPr>
            </w:pPr>
            <w:r w:rsidRPr="00183B5F">
              <w:rPr>
                <w:b/>
                <w:szCs w:val="22"/>
                <w:lang w:val="hu-HU"/>
              </w:rPr>
              <w:t>Kezelés eredménytelenségémek aránya (%)</w:t>
            </w:r>
          </w:p>
        </w:tc>
        <w:tc>
          <w:tcPr>
            <w:tcW w:w="8806" w:type="dxa"/>
            <w:gridSpan w:val="5"/>
            <w:vAlign w:val="bottom"/>
            <w:hideMark/>
          </w:tcPr>
          <w:p w14:paraId="777B1470" w14:textId="77777777" w:rsidR="00366005" w:rsidRPr="00183B5F" w:rsidRDefault="00943743" w:rsidP="00FE0197">
            <w:pPr>
              <w:pStyle w:val="EMEANormal"/>
              <w:rPr>
                <w:szCs w:val="22"/>
                <w:lang w:val="hu-HU"/>
              </w:rPr>
            </w:pPr>
            <w:r w:rsidRPr="00202B95">
              <w:rPr>
                <w:noProof/>
                <w:lang w:val="en-GB"/>
              </w:rPr>
              <w:drawing>
                <wp:inline distT="0" distB="0" distL="0" distR="0" wp14:anchorId="244A2BFE" wp14:editId="4C86843E">
                  <wp:extent cx="5486400" cy="2209800"/>
                  <wp:effectExtent l="0" t="0" r="0" b="0"/>
                  <wp:docPr id="111" name="Picture 111" descr="cid:image002.jpg@01D1C64C.BC882C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8" descr="cid:image002.jpg@01D1C64C.BC882C30"/>
                          <pic:cNvPicPr>
                            <a:picLocks noChangeAspect="1" noChangeArrowheads="1"/>
                          </pic:cNvPicPr>
                        </pic:nvPicPr>
                        <pic:blipFill>
                          <a:blip r:embed="rId11" r:link="rId12">
                            <a:extLst>
                              <a:ext uri="{28A0092B-C50C-407E-A947-70E740481C1C}">
                                <a14:useLocalDpi xmlns:a14="http://schemas.microsoft.com/office/drawing/2010/main" val="0"/>
                              </a:ext>
                            </a:extLst>
                          </a:blip>
                          <a:stretch>
                            <a:fillRect/>
                          </a:stretch>
                        </pic:blipFill>
                        <pic:spPr bwMode="auto">
                          <a:xfrm>
                            <a:off x="0" y="0"/>
                            <a:ext cx="5486400" cy="2209800"/>
                          </a:xfrm>
                          <a:prstGeom prst="rect">
                            <a:avLst/>
                          </a:prstGeom>
                          <a:noFill/>
                          <a:ln>
                            <a:noFill/>
                          </a:ln>
                        </pic:spPr>
                      </pic:pic>
                    </a:graphicData>
                  </a:graphic>
                </wp:inline>
              </w:drawing>
            </w:r>
          </w:p>
        </w:tc>
      </w:tr>
      <w:tr w:rsidR="00011D2F" w14:paraId="3CC9773B" w14:textId="77777777" w:rsidTr="00366005">
        <w:tc>
          <w:tcPr>
            <w:tcW w:w="675" w:type="dxa"/>
          </w:tcPr>
          <w:p w14:paraId="77D592A4" w14:textId="77777777" w:rsidR="00366005" w:rsidRPr="00183B5F" w:rsidRDefault="00366005" w:rsidP="00FE0197">
            <w:pPr>
              <w:pStyle w:val="EMEANormal"/>
              <w:rPr>
                <w:szCs w:val="22"/>
                <w:lang w:val="hu-HU"/>
              </w:rPr>
            </w:pPr>
          </w:p>
        </w:tc>
        <w:tc>
          <w:tcPr>
            <w:tcW w:w="8806" w:type="dxa"/>
            <w:gridSpan w:val="5"/>
            <w:hideMark/>
          </w:tcPr>
          <w:p w14:paraId="57679B9B" w14:textId="77777777" w:rsidR="00366005" w:rsidRPr="00183B5F" w:rsidRDefault="00943743" w:rsidP="00FE0197">
            <w:pPr>
              <w:pStyle w:val="EMEANormal"/>
              <w:jc w:val="center"/>
              <w:rPr>
                <w:b/>
                <w:szCs w:val="22"/>
                <w:lang w:val="hu-HU"/>
              </w:rPr>
            </w:pPr>
            <w:r w:rsidRPr="00183B5F">
              <w:rPr>
                <w:b/>
                <w:szCs w:val="22"/>
                <w:lang w:val="hu-HU"/>
              </w:rPr>
              <w:t>Idő (hónap)</w:t>
            </w:r>
          </w:p>
        </w:tc>
      </w:tr>
      <w:tr w:rsidR="00011D2F" w14:paraId="397710EA" w14:textId="77777777" w:rsidTr="00366005">
        <w:tc>
          <w:tcPr>
            <w:tcW w:w="675" w:type="dxa"/>
          </w:tcPr>
          <w:p w14:paraId="17EFD7D2" w14:textId="77777777" w:rsidR="00366005" w:rsidRPr="00183B5F" w:rsidRDefault="00366005" w:rsidP="00FE0197">
            <w:pPr>
              <w:pStyle w:val="EMEANormal"/>
              <w:rPr>
                <w:szCs w:val="22"/>
                <w:lang w:val="hu-HU"/>
              </w:rPr>
            </w:pPr>
          </w:p>
        </w:tc>
        <w:tc>
          <w:tcPr>
            <w:tcW w:w="3496" w:type="dxa"/>
            <w:hideMark/>
          </w:tcPr>
          <w:p w14:paraId="67374E68" w14:textId="77777777" w:rsidR="00366005" w:rsidRPr="00183B5F" w:rsidRDefault="00943743" w:rsidP="00FE0197">
            <w:pPr>
              <w:pStyle w:val="EMEANormal"/>
              <w:rPr>
                <w:szCs w:val="22"/>
                <w:lang w:val="hu-HU"/>
              </w:rPr>
            </w:pPr>
            <w:r w:rsidRPr="00183B5F">
              <w:rPr>
                <w:szCs w:val="22"/>
                <w:lang w:val="hu-HU"/>
              </w:rPr>
              <w:t>UV I vizsgálat                  Kezelés</w:t>
            </w:r>
          </w:p>
        </w:tc>
        <w:tc>
          <w:tcPr>
            <w:tcW w:w="1170" w:type="dxa"/>
            <w:hideMark/>
          </w:tcPr>
          <w:p w14:paraId="4FC7D1AF" w14:textId="77777777" w:rsidR="00366005" w:rsidRPr="00183B5F" w:rsidRDefault="00943743" w:rsidP="00FE0197">
            <w:pPr>
              <w:pStyle w:val="EMEANormal"/>
              <w:jc w:val="right"/>
              <w:rPr>
                <w:szCs w:val="22"/>
                <w:lang w:val="hu-HU"/>
              </w:rPr>
            </w:pPr>
            <w:r w:rsidRPr="00202B95">
              <w:rPr>
                <w:noProof/>
                <w:lang w:val="en-GB"/>
              </w:rPr>
              <w:drawing>
                <wp:inline distT="0" distB="0" distL="0" distR="0" wp14:anchorId="5F8C179D" wp14:editId="1C72BAC1">
                  <wp:extent cx="400050" cy="180975"/>
                  <wp:effectExtent l="0" t="0" r="0" b="9525"/>
                  <wp:docPr id="110" name="Picture 110"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5"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00050" cy="180975"/>
                          </a:xfrm>
                          <a:prstGeom prst="rect">
                            <a:avLst/>
                          </a:prstGeom>
                          <a:noFill/>
                          <a:ln>
                            <a:noFill/>
                          </a:ln>
                        </pic:spPr>
                      </pic:pic>
                    </a:graphicData>
                  </a:graphic>
                </wp:inline>
              </w:drawing>
            </w:r>
          </w:p>
        </w:tc>
        <w:tc>
          <w:tcPr>
            <w:tcW w:w="1350" w:type="dxa"/>
            <w:hideMark/>
          </w:tcPr>
          <w:p w14:paraId="3FC4019D" w14:textId="77777777" w:rsidR="00366005" w:rsidRPr="00183B5F" w:rsidRDefault="00943743" w:rsidP="00FE0197">
            <w:pPr>
              <w:pStyle w:val="EMEANormal"/>
              <w:rPr>
                <w:szCs w:val="22"/>
                <w:lang w:val="hu-HU"/>
              </w:rPr>
            </w:pPr>
            <w:r w:rsidRPr="00183B5F">
              <w:rPr>
                <w:szCs w:val="22"/>
                <w:lang w:val="hu-HU"/>
              </w:rPr>
              <w:t>Placebo</w:t>
            </w:r>
          </w:p>
        </w:tc>
        <w:tc>
          <w:tcPr>
            <w:tcW w:w="900" w:type="dxa"/>
            <w:hideMark/>
          </w:tcPr>
          <w:p w14:paraId="5D7EB21C" w14:textId="77777777" w:rsidR="00366005" w:rsidRPr="00183B5F" w:rsidRDefault="00943743" w:rsidP="00FE0197">
            <w:pPr>
              <w:pStyle w:val="EMEANormal"/>
              <w:jc w:val="right"/>
              <w:rPr>
                <w:szCs w:val="22"/>
                <w:lang w:val="hu-HU"/>
              </w:rPr>
            </w:pPr>
            <w:r w:rsidRPr="00202B95">
              <w:rPr>
                <w:noProof/>
                <w:lang w:val="en-GB"/>
              </w:rPr>
              <w:drawing>
                <wp:inline distT="0" distB="0" distL="0" distR="0" wp14:anchorId="787333FC" wp14:editId="769E3B63">
                  <wp:extent cx="561975" cy="180975"/>
                  <wp:effectExtent l="0" t="0" r="9525" b="9525"/>
                  <wp:docPr id="109" name="Picture 109"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4" descr="Humira Uveitis Figure 5_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p>
        </w:tc>
        <w:tc>
          <w:tcPr>
            <w:tcW w:w="1890" w:type="dxa"/>
            <w:hideMark/>
          </w:tcPr>
          <w:p w14:paraId="6083C059" w14:textId="77777777" w:rsidR="00366005" w:rsidRPr="00183B5F" w:rsidRDefault="00943743" w:rsidP="00FE0197">
            <w:pPr>
              <w:pStyle w:val="EMEANormal"/>
              <w:rPr>
                <w:szCs w:val="22"/>
                <w:lang w:val="hu-HU"/>
              </w:rPr>
            </w:pPr>
            <w:r w:rsidRPr="00183B5F">
              <w:rPr>
                <w:szCs w:val="22"/>
                <w:lang w:val="hu-HU"/>
              </w:rPr>
              <w:t>Adalimumab</w:t>
            </w:r>
          </w:p>
        </w:tc>
      </w:tr>
      <w:tr w:rsidR="00011D2F" w14:paraId="06AB3512" w14:textId="77777777" w:rsidTr="00366005">
        <w:trPr>
          <w:trHeight w:val="3869"/>
        </w:trPr>
        <w:tc>
          <w:tcPr>
            <w:tcW w:w="675" w:type="dxa"/>
            <w:textDirection w:val="btLr"/>
            <w:vAlign w:val="bottom"/>
            <w:hideMark/>
          </w:tcPr>
          <w:p w14:paraId="27D0C125" w14:textId="77777777" w:rsidR="00366005" w:rsidRPr="00183B5F" w:rsidRDefault="00943743" w:rsidP="004062FE">
            <w:pPr>
              <w:pStyle w:val="EMEANormal"/>
              <w:keepNext/>
              <w:jc w:val="center"/>
              <w:rPr>
                <w:szCs w:val="22"/>
                <w:lang w:val="hu-HU"/>
              </w:rPr>
            </w:pPr>
            <w:r w:rsidRPr="00183B5F">
              <w:rPr>
                <w:b/>
                <w:szCs w:val="22"/>
                <w:lang w:val="hu-HU"/>
              </w:rPr>
              <w:t>Kezelés eredménytelenségének aránya (%)</w:t>
            </w:r>
          </w:p>
        </w:tc>
        <w:tc>
          <w:tcPr>
            <w:tcW w:w="8806" w:type="dxa"/>
            <w:gridSpan w:val="5"/>
            <w:vAlign w:val="bottom"/>
            <w:hideMark/>
          </w:tcPr>
          <w:p w14:paraId="0E8E5DA5" w14:textId="77777777" w:rsidR="00366005" w:rsidRPr="00183B5F" w:rsidRDefault="00943743" w:rsidP="004062FE">
            <w:pPr>
              <w:pStyle w:val="EMEANormal"/>
              <w:keepNext/>
              <w:rPr>
                <w:szCs w:val="22"/>
                <w:lang w:val="hu-HU"/>
              </w:rPr>
            </w:pPr>
            <w:r w:rsidRPr="00202B95">
              <w:rPr>
                <w:noProof/>
                <w:lang w:val="en-GB"/>
              </w:rPr>
              <w:drawing>
                <wp:inline distT="0" distB="0" distL="0" distR="0" wp14:anchorId="2F593416" wp14:editId="0C2FF1DC">
                  <wp:extent cx="5486400" cy="2181225"/>
                  <wp:effectExtent l="0" t="0" r="0" b="9525"/>
                  <wp:docPr id="99" name="Picture 99"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59" descr="Humira Uveitis Figure 5_7"/>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486400" cy="2181225"/>
                          </a:xfrm>
                          <a:prstGeom prst="rect">
                            <a:avLst/>
                          </a:prstGeom>
                          <a:noFill/>
                          <a:ln>
                            <a:noFill/>
                          </a:ln>
                        </pic:spPr>
                      </pic:pic>
                    </a:graphicData>
                  </a:graphic>
                </wp:inline>
              </w:drawing>
            </w:r>
          </w:p>
        </w:tc>
      </w:tr>
      <w:tr w:rsidR="00011D2F" w14:paraId="5CDC401D" w14:textId="77777777" w:rsidTr="00366005">
        <w:tc>
          <w:tcPr>
            <w:tcW w:w="675" w:type="dxa"/>
          </w:tcPr>
          <w:p w14:paraId="711FBADE" w14:textId="77777777" w:rsidR="00366005" w:rsidRPr="00183B5F" w:rsidRDefault="00366005" w:rsidP="004062FE">
            <w:pPr>
              <w:pStyle w:val="EMEANormal"/>
              <w:keepNext/>
              <w:rPr>
                <w:szCs w:val="22"/>
                <w:lang w:val="hu-HU"/>
              </w:rPr>
            </w:pPr>
          </w:p>
        </w:tc>
        <w:tc>
          <w:tcPr>
            <w:tcW w:w="8806" w:type="dxa"/>
            <w:gridSpan w:val="5"/>
            <w:hideMark/>
          </w:tcPr>
          <w:p w14:paraId="6950D3DA" w14:textId="77777777" w:rsidR="00366005" w:rsidRPr="00183B5F" w:rsidRDefault="00943743" w:rsidP="004062FE">
            <w:pPr>
              <w:pStyle w:val="EMEANormal"/>
              <w:keepNext/>
              <w:jc w:val="center"/>
              <w:rPr>
                <w:b/>
                <w:szCs w:val="22"/>
                <w:lang w:val="hu-HU"/>
              </w:rPr>
            </w:pPr>
            <w:r w:rsidRPr="00183B5F">
              <w:rPr>
                <w:b/>
                <w:szCs w:val="22"/>
                <w:lang w:val="hu-HU"/>
              </w:rPr>
              <w:t>Idő (hónap)</w:t>
            </w:r>
          </w:p>
        </w:tc>
      </w:tr>
      <w:tr w:rsidR="00011D2F" w14:paraId="737F9888" w14:textId="77777777" w:rsidTr="00366005">
        <w:trPr>
          <w:trHeight w:val="369"/>
        </w:trPr>
        <w:tc>
          <w:tcPr>
            <w:tcW w:w="675" w:type="dxa"/>
          </w:tcPr>
          <w:p w14:paraId="08948449" w14:textId="77777777" w:rsidR="00366005" w:rsidRPr="00183B5F" w:rsidRDefault="00366005" w:rsidP="004062FE">
            <w:pPr>
              <w:pStyle w:val="EMEANormal"/>
              <w:keepNext/>
              <w:rPr>
                <w:szCs w:val="22"/>
                <w:lang w:val="hu-HU"/>
              </w:rPr>
            </w:pPr>
          </w:p>
        </w:tc>
        <w:tc>
          <w:tcPr>
            <w:tcW w:w="3496" w:type="dxa"/>
            <w:hideMark/>
          </w:tcPr>
          <w:p w14:paraId="44A39FA3" w14:textId="77777777" w:rsidR="00366005" w:rsidRPr="00183B5F" w:rsidRDefault="00943743" w:rsidP="004062FE">
            <w:pPr>
              <w:pStyle w:val="EMEANormal"/>
              <w:keepNext/>
              <w:rPr>
                <w:szCs w:val="22"/>
                <w:lang w:val="hu-HU"/>
              </w:rPr>
            </w:pPr>
            <w:r w:rsidRPr="00183B5F">
              <w:rPr>
                <w:szCs w:val="22"/>
                <w:lang w:val="hu-HU"/>
              </w:rPr>
              <w:t>UV II vizsgálat                  Kezelés</w:t>
            </w:r>
          </w:p>
        </w:tc>
        <w:tc>
          <w:tcPr>
            <w:tcW w:w="1170" w:type="dxa"/>
            <w:hideMark/>
          </w:tcPr>
          <w:p w14:paraId="5430161E" w14:textId="77777777" w:rsidR="00366005" w:rsidRPr="00183B5F" w:rsidRDefault="00943743" w:rsidP="004062FE">
            <w:pPr>
              <w:pStyle w:val="EMEANormal"/>
              <w:keepNext/>
              <w:jc w:val="right"/>
              <w:rPr>
                <w:szCs w:val="22"/>
                <w:lang w:val="hu-HU"/>
              </w:rPr>
            </w:pPr>
            <w:r w:rsidRPr="00202B95">
              <w:rPr>
                <w:noProof/>
                <w:lang w:val="en-GB"/>
              </w:rPr>
              <w:drawing>
                <wp:inline distT="0" distB="0" distL="0" distR="0" wp14:anchorId="265E2B70" wp14:editId="05B5291B">
                  <wp:extent cx="400050" cy="180975"/>
                  <wp:effectExtent l="0" t="0" r="0" b="9525"/>
                  <wp:docPr id="13" name="Picture 13"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00050" cy="180975"/>
                          </a:xfrm>
                          <a:prstGeom prst="rect">
                            <a:avLst/>
                          </a:prstGeom>
                          <a:noFill/>
                          <a:ln>
                            <a:noFill/>
                          </a:ln>
                        </pic:spPr>
                      </pic:pic>
                    </a:graphicData>
                  </a:graphic>
                </wp:inline>
              </w:drawing>
            </w:r>
          </w:p>
        </w:tc>
        <w:tc>
          <w:tcPr>
            <w:tcW w:w="1350" w:type="dxa"/>
            <w:hideMark/>
          </w:tcPr>
          <w:p w14:paraId="53CD57EF" w14:textId="77777777" w:rsidR="00366005" w:rsidRPr="00183B5F" w:rsidRDefault="00943743" w:rsidP="004062FE">
            <w:pPr>
              <w:pStyle w:val="EMEANormal"/>
              <w:keepNext/>
              <w:rPr>
                <w:szCs w:val="22"/>
                <w:lang w:val="hu-HU"/>
              </w:rPr>
            </w:pPr>
            <w:r w:rsidRPr="00183B5F">
              <w:rPr>
                <w:szCs w:val="22"/>
                <w:lang w:val="hu-HU"/>
              </w:rPr>
              <w:t>Placebo</w:t>
            </w:r>
          </w:p>
        </w:tc>
        <w:tc>
          <w:tcPr>
            <w:tcW w:w="900" w:type="dxa"/>
            <w:hideMark/>
          </w:tcPr>
          <w:p w14:paraId="07B36044" w14:textId="77777777" w:rsidR="00366005" w:rsidRPr="00183B5F" w:rsidRDefault="00943743" w:rsidP="004062FE">
            <w:pPr>
              <w:pStyle w:val="EMEANormal"/>
              <w:keepNext/>
              <w:jc w:val="right"/>
              <w:rPr>
                <w:szCs w:val="22"/>
                <w:lang w:val="hu-HU"/>
              </w:rPr>
            </w:pPr>
            <w:r w:rsidRPr="00202B95">
              <w:rPr>
                <w:noProof/>
                <w:lang w:val="en-GB"/>
              </w:rPr>
              <w:drawing>
                <wp:inline distT="0" distB="0" distL="0" distR="0" wp14:anchorId="11F693E1" wp14:editId="3B93D284">
                  <wp:extent cx="561975" cy="180975"/>
                  <wp:effectExtent l="0" t="0" r="9525" b="9525"/>
                  <wp:docPr id="12" name="Picture 12"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descr="Humira Uveitis Figure 5_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p>
        </w:tc>
        <w:tc>
          <w:tcPr>
            <w:tcW w:w="1890" w:type="dxa"/>
            <w:hideMark/>
          </w:tcPr>
          <w:p w14:paraId="0780CE86" w14:textId="77777777" w:rsidR="00366005" w:rsidRPr="00183B5F" w:rsidRDefault="00943743" w:rsidP="004062FE">
            <w:pPr>
              <w:pStyle w:val="EMEANormal"/>
              <w:keepNext/>
              <w:rPr>
                <w:szCs w:val="22"/>
                <w:lang w:val="hu-HU"/>
              </w:rPr>
            </w:pPr>
            <w:r w:rsidRPr="00183B5F">
              <w:rPr>
                <w:szCs w:val="22"/>
                <w:lang w:val="hu-HU"/>
              </w:rPr>
              <w:t>Adalimumab</w:t>
            </w:r>
          </w:p>
        </w:tc>
      </w:tr>
      <w:tr w:rsidR="00011D2F" w14:paraId="0ED9F30D" w14:textId="77777777" w:rsidTr="00366005">
        <w:trPr>
          <w:trHeight w:val="629"/>
        </w:trPr>
        <w:tc>
          <w:tcPr>
            <w:tcW w:w="9481" w:type="dxa"/>
            <w:gridSpan w:val="6"/>
            <w:vAlign w:val="center"/>
            <w:hideMark/>
          </w:tcPr>
          <w:p w14:paraId="010B9FE8" w14:textId="77777777" w:rsidR="00366005" w:rsidRPr="00183B5F" w:rsidRDefault="00943743" w:rsidP="004062FE">
            <w:pPr>
              <w:pStyle w:val="EMEANormal"/>
              <w:keepNext/>
              <w:rPr>
                <w:szCs w:val="22"/>
                <w:lang w:val="hu-HU"/>
              </w:rPr>
            </w:pPr>
            <w:r w:rsidRPr="00183B5F">
              <w:rPr>
                <w:szCs w:val="22"/>
                <w:lang w:val="hu-HU"/>
              </w:rPr>
              <w:t xml:space="preserve">Megjegyzés: P# = Placebo (Esemény száma/Veszélyeztetett betegek száma); A# = HUMIRA (Esemény </w:t>
            </w:r>
          </w:p>
          <w:p w14:paraId="36023C8E" w14:textId="77777777" w:rsidR="00366005" w:rsidRPr="00183B5F" w:rsidRDefault="00943743" w:rsidP="004062FE">
            <w:pPr>
              <w:pStyle w:val="EMEANormal"/>
              <w:keepNext/>
              <w:rPr>
                <w:szCs w:val="22"/>
                <w:lang w:val="hu-HU"/>
              </w:rPr>
            </w:pPr>
            <w:r w:rsidRPr="00183B5F">
              <w:rPr>
                <w:szCs w:val="22"/>
                <w:lang w:val="hu-HU"/>
              </w:rPr>
              <w:t>száma/Veszélyeztetett betegek száma).</w:t>
            </w:r>
          </w:p>
        </w:tc>
      </w:tr>
    </w:tbl>
    <w:p w14:paraId="5A4DE208" w14:textId="77777777" w:rsidR="007C7856" w:rsidRPr="00183B5F" w:rsidRDefault="007C7856">
      <w:pPr>
        <w:pStyle w:val="EMEANormal"/>
        <w:rPr>
          <w:lang w:val="hu-HU"/>
        </w:rPr>
      </w:pPr>
    </w:p>
    <w:p w14:paraId="78E54277" w14:textId="77777777" w:rsidR="00366005" w:rsidRPr="00183B5F" w:rsidRDefault="00943743">
      <w:pPr>
        <w:pStyle w:val="EMEANormal"/>
        <w:rPr>
          <w:lang w:val="hu-HU"/>
        </w:rPr>
      </w:pPr>
      <w:r w:rsidRPr="00183B5F">
        <w:rPr>
          <w:lang w:val="hu-HU"/>
        </w:rPr>
        <w:t>Az UV I vizsgálatban statisztikailag szignifikáns különbségeket figyeltek meg az adalimumab javára a placebóhoz képest a kezelés eredménytelenségének valamennyi komponensét tekintve. Az UV II vizsgálatban csak a látásélesség esetén figyeltek meg statisztikailag szignifikáns különbséget, de a többi komponens esetében is az adalimumab</w:t>
      </w:r>
      <w:r w:rsidRPr="00183B5F">
        <w:rPr>
          <w:lang w:val="hu-HU"/>
        </w:rPr>
        <w:noBreakHyphen/>
        <w:t>kezelés számszerű előnye igazolódott.</w:t>
      </w:r>
    </w:p>
    <w:p w14:paraId="0E33CF36" w14:textId="77777777" w:rsidR="00366005" w:rsidRPr="00183B5F" w:rsidRDefault="00366005">
      <w:pPr>
        <w:pStyle w:val="EMEANormal"/>
        <w:rPr>
          <w:lang w:val="hu-HU"/>
        </w:rPr>
      </w:pPr>
    </w:p>
    <w:p w14:paraId="74A10762" w14:textId="77777777" w:rsidR="00DA33F0" w:rsidRPr="00183B5F" w:rsidRDefault="00943743" w:rsidP="00DA33F0">
      <w:pPr>
        <w:pStyle w:val="EMEANormal"/>
        <w:rPr>
          <w:lang w:val="hu-HU"/>
        </w:rPr>
      </w:pPr>
      <w:r w:rsidRPr="00183B5F">
        <w:rPr>
          <w:lang w:val="hu-HU"/>
        </w:rPr>
        <w:t>Az UV I és UV II vizsgálat nem kontrollos, hosszú távú kiterjesztésében résztvevő 424 beteg közül 60 bizonyult vizsgálatra alkalmatlannak (például adminisztratív eltérések miatt, vagy mert a diabéteszes retinopathia másodlagos komplikációi alakultak ki náluk, szürkehályog</w:t>
      </w:r>
      <w:r w:rsidRPr="00183B5F">
        <w:rPr>
          <w:lang w:val="hu-HU"/>
        </w:rPr>
        <w:noBreakHyphen/>
        <w:t>műtét vagy vitrektómia következtében), és került kizárásra a hatásosság elsődleges elemzéséből. A 364 vizsgálatban maradó beteg közül 269 értékelésre alkalmas beteg (74%) érte el a 78 hetet a nyílt elrendezésű adalimumab</w:t>
      </w:r>
      <w:r w:rsidR="006B34D6" w:rsidRPr="00183B5F">
        <w:rPr>
          <w:lang w:val="hu-HU"/>
        </w:rPr>
        <w:t>-</w:t>
      </w:r>
      <w:r w:rsidRPr="00183B5F">
        <w:rPr>
          <w:lang w:val="hu-HU"/>
        </w:rPr>
        <w:t>kezelés során. A</w:t>
      </w:r>
      <w:r w:rsidRPr="00183B5F">
        <w:rPr>
          <w:szCs w:val="22"/>
          <w:lang w:val="hu-HU"/>
        </w:rPr>
        <w:t xml:space="preserve"> megfigyelt adatok elemzése alapján</w:t>
      </w:r>
      <w:r w:rsidRPr="00183B5F">
        <w:rPr>
          <w:lang w:val="hu-HU"/>
        </w:rPr>
        <w:t xml:space="preserve"> 216 beteg (80,3%) volt nyugalmi állapotban (aktív gyulladásos elváltozás nélkül, </w:t>
      </w:r>
      <w:r w:rsidRPr="00183B5F">
        <w:rPr>
          <w:szCs w:val="22"/>
          <w:lang w:val="hu-HU"/>
        </w:rPr>
        <w:t xml:space="preserve">elülső csarnoki sejtszint </w:t>
      </w:r>
      <w:r w:rsidRPr="00183B5F">
        <w:rPr>
          <w:lang w:val="hu-HU"/>
        </w:rPr>
        <w:t>≤ 0,5+</w:t>
      </w:r>
      <w:r w:rsidRPr="00183B5F">
        <w:rPr>
          <w:szCs w:val="22"/>
          <w:lang w:val="hu-HU"/>
        </w:rPr>
        <w:t xml:space="preserve">, üvegtesti homály mértéke </w:t>
      </w:r>
      <w:r w:rsidRPr="00183B5F">
        <w:rPr>
          <w:lang w:val="hu-HU"/>
        </w:rPr>
        <w:t>≤ 0,5+), napi folyamatos ≤ 7,5 mg szteroid dózis mellett, és 178 beteg (66,2%) szteroidkezelés nél</w:t>
      </w:r>
      <w:r w:rsidRPr="00183B5F">
        <w:rPr>
          <w:lang w:val="hu-HU"/>
        </w:rPr>
        <w:t xml:space="preserve">küli nyugalmi állapotban volt. </w:t>
      </w:r>
      <w:r w:rsidRPr="00183B5F">
        <w:rPr>
          <w:szCs w:val="22"/>
          <w:lang w:val="hu-HU"/>
        </w:rPr>
        <w:t xml:space="preserve">A legjobb korrigált látásélesség javult vagy változatlan maradt </w:t>
      </w:r>
      <w:r w:rsidRPr="00183B5F">
        <w:rPr>
          <w:lang w:val="hu-HU"/>
        </w:rPr>
        <w:t>(kevesebb mint 5 értéket romlott) a szemek 88,6%</w:t>
      </w:r>
      <w:r w:rsidRPr="00183B5F">
        <w:rPr>
          <w:lang w:val="hu-HU"/>
        </w:rPr>
        <w:noBreakHyphen/>
        <w:t>a esetében a 78. héten. A 78. hetet követően az adatok általában konzisztensek voltak ezekkel az eredményekkel, de a bevont betegek száma ez után az idő után csökkent. Összességében a vizsgálatot abbahagyó betegek 18%-a mellékhatások, 8%-a az adalimumab</w:t>
      </w:r>
      <w:r w:rsidRPr="00183B5F">
        <w:rPr>
          <w:lang w:val="hu-HU"/>
        </w:rPr>
        <w:noBreakHyphen/>
        <w:t>kezelésre adott elégtelen válasz miatt hagyta abba a kezelést.</w:t>
      </w:r>
    </w:p>
    <w:p w14:paraId="60A5205A" w14:textId="77777777" w:rsidR="00366005" w:rsidRPr="00183B5F" w:rsidRDefault="00366005">
      <w:pPr>
        <w:pStyle w:val="EMEANormal"/>
        <w:rPr>
          <w:lang w:val="hu-HU"/>
        </w:rPr>
      </w:pPr>
    </w:p>
    <w:p w14:paraId="39D7104F" w14:textId="77777777" w:rsidR="00366005" w:rsidRPr="00183B5F" w:rsidRDefault="00943743">
      <w:pPr>
        <w:pStyle w:val="EMEANormal"/>
        <w:rPr>
          <w:i/>
          <w:szCs w:val="22"/>
          <w:u w:val="single"/>
          <w:lang w:val="hu-HU"/>
        </w:rPr>
      </w:pPr>
      <w:r w:rsidRPr="00183B5F">
        <w:rPr>
          <w:i/>
          <w:szCs w:val="22"/>
          <w:u w:val="single"/>
          <w:lang w:val="hu-HU"/>
        </w:rPr>
        <w:t>Életminőség</w:t>
      </w:r>
    </w:p>
    <w:p w14:paraId="0A998AF5" w14:textId="77777777" w:rsidR="00366005" w:rsidRPr="00183B5F" w:rsidRDefault="00366005">
      <w:pPr>
        <w:pStyle w:val="EMEANormal"/>
        <w:rPr>
          <w:i/>
          <w:szCs w:val="22"/>
          <w:u w:val="single"/>
          <w:lang w:val="hu-HU"/>
        </w:rPr>
      </w:pPr>
    </w:p>
    <w:p w14:paraId="3F748DD4" w14:textId="77777777" w:rsidR="00366005" w:rsidRPr="00183B5F" w:rsidRDefault="00943743">
      <w:pPr>
        <w:pStyle w:val="EMEANormal"/>
        <w:rPr>
          <w:lang w:val="hu-HU"/>
        </w:rPr>
      </w:pPr>
      <w:r w:rsidRPr="00183B5F">
        <w:rPr>
          <w:lang w:val="hu-HU"/>
        </w:rPr>
        <w:t>A betegek által jelentett, látásfunkcióval összefüggő kimenetelt mindkét vizsgálatban a NEI VFQ</w:t>
      </w:r>
      <w:r w:rsidRPr="00183B5F">
        <w:rPr>
          <w:lang w:val="hu-HU"/>
        </w:rPr>
        <w:noBreakHyphen/>
        <w:t>25 (National Eye Institute Vizuális Funkciós Kérdőíve) felhasználásával mérték fel. A Humira számszerű előnyt mutatott az alpontok többségében, és statisztikailag szignifikáns</w:t>
      </w:r>
      <w:r w:rsidR="00FE0776" w:rsidRPr="00183B5F">
        <w:rPr>
          <w:lang w:val="hu-HU"/>
        </w:rPr>
        <w:t xml:space="preserve"> átlagos</w:t>
      </w:r>
      <w:r w:rsidRPr="00183B5F">
        <w:rPr>
          <w:lang w:val="hu-HU"/>
        </w:rPr>
        <w:t xml:space="preserve"> különbség mutatkozott a megszokott látás, szemfájdalom, közellátás, mentális egészség és az összpontszámok átlaga tekintetében az UV I vizsgálatban, és a megszokott látás és mentális egészség vonatkozásában az UV II vizsgálatban. A látással összefüggő hatások közül nem mutatott számszerű előnyt a Humira a színlátás vonatkozás</w:t>
      </w:r>
      <w:r w:rsidRPr="00183B5F">
        <w:rPr>
          <w:lang w:val="hu-HU"/>
        </w:rPr>
        <w:t>ában az UV I vizsgálatban és a színlátás, a perifériás látás és a közellátás vonatkozásában az UV II vizsgálatban.</w:t>
      </w:r>
    </w:p>
    <w:p w14:paraId="7571DA06" w14:textId="77777777" w:rsidR="00366005" w:rsidRPr="00183B5F" w:rsidRDefault="00366005">
      <w:pPr>
        <w:spacing w:line="240" w:lineRule="auto"/>
        <w:rPr>
          <w:szCs w:val="22"/>
        </w:rPr>
      </w:pPr>
    </w:p>
    <w:p w14:paraId="2BC61A7B" w14:textId="77777777" w:rsidR="00366005" w:rsidRPr="00183B5F" w:rsidRDefault="00943743">
      <w:pPr>
        <w:spacing w:line="240" w:lineRule="auto"/>
        <w:rPr>
          <w:szCs w:val="22"/>
          <w:u w:val="single"/>
        </w:rPr>
      </w:pPr>
      <w:r w:rsidRPr="00183B5F">
        <w:rPr>
          <w:szCs w:val="22"/>
          <w:u w:val="single"/>
        </w:rPr>
        <w:t>Immunogenitás</w:t>
      </w:r>
    </w:p>
    <w:p w14:paraId="69F2B5BA" w14:textId="77777777" w:rsidR="00366005" w:rsidRPr="00183B5F" w:rsidRDefault="00366005">
      <w:pPr>
        <w:spacing w:line="240" w:lineRule="auto"/>
        <w:rPr>
          <w:szCs w:val="22"/>
          <w:u w:val="single"/>
        </w:rPr>
      </w:pPr>
    </w:p>
    <w:p w14:paraId="1F3280A1" w14:textId="77777777" w:rsidR="00366005" w:rsidRPr="00183B5F" w:rsidRDefault="00943743">
      <w:pPr>
        <w:spacing w:line="240" w:lineRule="auto"/>
        <w:rPr>
          <w:szCs w:val="22"/>
        </w:rPr>
      </w:pPr>
      <w:r w:rsidRPr="00183B5F">
        <w:rPr>
          <w:szCs w:val="22"/>
        </w:rPr>
        <w:t>Adalimumab</w:t>
      </w:r>
      <w:r w:rsidR="00E5381A" w:rsidRPr="00183B5F">
        <w:rPr>
          <w:szCs w:val="22"/>
        </w:rPr>
        <w:noBreakHyphen/>
      </w:r>
      <w:r w:rsidRPr="00183B5F">
        <w:rPr>
          <w:szCs w:val="22"/>
        </w:rPr>
        <w:t>ellenes anti</w:t>
      </w:r>
      <w:r w:rsidR="00C70C38" w:rsidRPr="00183B5F">
        <w:rPr>
          <w:szCs w:val="22"/>
        </w:rPr>
        <w:t>t</w:t>
      </w:r>
      <w:r w:rsidRPr="00183B5F">
        <w:rPr>
          <w:szCs w:val="22"/>
        </w:rPr>
        <w:t>estek képződése az adalimumab clearance</w:t>
      </w:r>
      <w:r w:rsidRPr="00183B5F">
        <w:rPr>
          <w:szCs w:val="22"/>
        </w:rPr>
        <w:noBreakHyphen/>
        <w:t>ének növekedésével és a hatásosságának csökkenésével jár. Az adalimumab</w:t>
      </w:r>
      <w:r w:rsidR="00022AEF" w:rsidRPr="00183B5F">
        <w:rPr>
          <w:szCs w:val="22"/>
        </w:rPr>
        <w:noBreakHyphen/>
      </w:r>
      <w:r w:rsidRPr="00183B5F">
        <w:rPr>
          <w:szCs w:val="22"/>
        </w:rPr>
        <w:t>ellenes antitestek jelenléte és a mellékhatások előfordulása között nincs nyilvánvaló összefüggés.</w:t>
      </w:r>
    </w:p>
    <w:p w14:paraId="6F7D7514" w14:textId="77777777" w:rsidR="00366005" w:rsidRPr="00183B5F" w:rsidRDefault="00366005">
      <w:pPr>
        <w:spacing w:line="240" w:lineRule="auto"/>
        <w:rPr>
          <w:szCs w:val="22"/>
        </w:rPr>
      </w:pPr>
    </w:p>
    <w:p w14:paraId="3B01833E" w14:textId="77777777" w:rsidR="00366005" w:rsidRPr="00183B5F" w:rsidRDefault="00943743">
      <w:pPr>
        <w:spacing w:line="240" w:lineRule="auto"/>
        <w:rPr>
          <w:szCs w:val="22"/>
        </w:rPr>
      </w:pPr>
      <w:r w:rsidRPr="00183B5F">
        <w:rPr>
          <w:szCs w:val="22"/>
        </w:rPr>
        <w:t>Polyarticularis juvenilis idiopathiás arthritisben szenvedő</w:t>
      </w:r>
      <w:r w:rsidR="005D7645" w:rsidRPr="00183B5F">
        <w:rPr>
          <w:szCs w:val="22"/>
        </w:rPr>
        <w:t>,</w:t>
      </w:r>
      <w:r w:rsidRPr="00183B5F">
        <w:rPr>
          <w:szCs w:val="22"/>
        </w:rPr>
        <w:t xml:space="preserve"> 4</w:t>
      </w:r>
      <w:r w:rsidRPr="00183B5F">
        <w:rPr>
          <w:szCs w:val="22"/>
        </w:rPr>
        <w:noBreakHyphen/>
        <w:t>17 éves, adalimumabbal kezelt betegek körében 15,8%</w:t>
      </w:r>
      <w:r w:rsidRPr="00183B5F">
        <w:rPr>
          <w:szCs w:val="22"/>
        </w:rPr>
        <w:noBreakHyphen/>
      </w:r>
      <w:r w:rsidR="00FE0776" w:rsidRPr="00183B5F">
        <w:rPr>
          <w:szCs w:val="22"/>
        </w:rPr>
        <w:t>nál</w:t>
      </w:r>
      <w:r w:rsidRPr="00183B5F">
        <w:rPr>
          <w:szCs w:val="22"/>
        </w:rPr>
        <w:t xml:space="preserve"> (27/171) mutattak ki adalimumab</w:t>
      </w:r>
      <w:r w:rsidR="00022AEF" w:rsidRPr="00183B5F">
        <w:rPr>
          <w:szCs w:val="22"/>
        </w:rPr>
        <w:noBreakHyphen/>
      </w:r>
      <w:r w:rsidRPr="00183B5F">
        <w:rPr>
          <w:szCs w:val="22"/>
        </w:rPr>
        <w:t>ellenes antitesteket. Azoknál a betegeknél, akik nem kaptak egyidejűleg metotrexátot, az incidencia 25,6% (22/86) volt, szemben az 5,9%</w:t>
      </w:r>
      <w:r w:rsidRPr="00183B5F">
        <w:rPr>
          <w:szCs w:val="22"/>
        </w:rPr>
        <w:noBreakHyphen/>
        <w:t>kal (5/85), amikor az adalimumabot a metotrexát</w:t>
      </w:r>
      <w:r w:rsidRPr="00183B5F">
        <w:rPr>
          <w:szCs w:val="22"/>
        </w:rPr>
        <w:noBreakHyphen/>
        <w:t>kezelés mellett alkalmazták. Polyarticularis juvenilis idiopathiás arthritisben szenvedő</w:t>
      </w:r>
      <w:r w:rsidR="005D7645" w:rsidRPr="00183B5F">
        <w:rPr>
          <w:szCs w:val="22"/>
        </w:rPr>
        <w:t>,</w:t>
      </w:r>
      <w:r w:rsidRPr="00183B5F">
        <w:rPr>
          <w:szCs w:val="22"/>
        </w:rPr>
        <w:t xml:space="preserve"> 2 </w:t>
      </w:r>
      <w:r w:rsidRPr="00183B5F">
        <w:rPr>
          <w:szCs w:val="22"/>
        </w:rPr>
        <w:noBreakHyphen/>
        <w:t> &lt;4 év közötti vagy 4 év</w:t>
      </w:r>
      <w:r w:rsidR="005D7645" w:rsidRPr="00183B5F">
        <w:rPr>
          <w:szCs w:val="22"/>
        </w:rPr>
        <w:t>es</w:t>
      </w:r>
      <w:r w:rsidRPr="00183B5F">
        <w:rPr>
          <w:szCs w:val="22"/>
        </w:rPr>
        <w:t xml:space="preserve"> és a</w:t>
      </w:r>
      <w:r w:rsidR="002C1F5C" w:rsidRPr="00183B5F">
        <w:rPr>
          <w:szCs w:val="22"/>
        </w:rPr>
        <w:t xml:space="preserve"> </w:t>
      </w:r>
      <w:r w:rsidRPr="00183B5F">
        <w:rPr>
          <w:szCs w:val="22"/>
        </w:rPr>
        <w:t>feletti, 15 kg alatti betegek 7%</w:t>
      </w:r>
      <w:r w:rsidRPr="00183B5F">
        <w:rPr>
          <w:szCs w:val="22"/>
        </w:rPr>
        <w:noBreakHyphen/>
        <w:t>ánál (1/15) mutattak ki adalimumab</w:t>
      </w:r>
      <w:r w:rsidR="00022AEF" w:rsidRPr="00183B5F">
        <w:rPr>
          <w:szCs w:val="22"/>
        </w:rPr>
        <w:noBreakHyphen/>
      </w:r>
      <w:r w:rsidRPr="00183B5F">
        <w:rPr>
          <w:szCs w:val="22"/>
        </w:rPr>
        <w:t>ellenes antitesteket</w:t>
      </w:r>
      <w:r w:rsidR="00177C94" w:rsidRPr="00183B5F">
        <w:rPr>
          <w:szCs w:val="22"/>
        </w:rPr>
        <w:t>,</w:t>
      </w:r>
      <w:r w:rsidRPr="00183B5F">
        <w:rPr>
          <w:szCs w:val="22"/>
        </w:rPr>
        <w:t xml:space="preserve"> és egy beteg részesült egyidejű metotrexát-</w:t>
      </w:r>
      <w:r w:rsidR="005D7645" w:rsidRPr="00183B5F">
        <w:rPr>
          <w:szCs w:val="22"/>
        </w:rPr>
        <w:t>kezelésben</w:t>
      </w:r>
      <w:r w:rsidRPr="00183B5F">
        <w:rPr>
          <w:szCs w:val="22"/>
        </w:rPr>
        <w:t>.</w:t>
      </w:r>
    </w:p>
    <w:p w14:paraId="4414A87B" w14:textId="77777777" w:rsidR="00366005" w:rsidRPr="00183B5F" w:rsidRDefault="00366005">
      <w:pPr>
        <w:spacing w:line="240" w:lineRule="auto"/>
        <w:rPr>
          <w:szCs w:val="22"/>
        </w:rPr>
      </w:pPr>
    </w:p>
    <w:p w14:paraId="6790510C" w14:textId="77777777" w:rsidR="00366005" w:rsidRPr="00183B5F" w:rsidRDefault="00943743">
      <w:pPr>
        <w:spacing w:line="240" w:lineRule="auto"/>
        <w:rPr>
          <w:szCs w:val="22"/>
        </w:rPr>
      </w:pPr>
      <w:r w:rsidRPr="00183B5F">
        <w:rPr>
          <w:szCs w:val="22"/>
        </w:rPr>
        <w:t>Enthesitis-asszociált arthritisben szenvedő</w:t>
      </w:r>
      <w:r w:rsidR="003331BF" w:rsidRPr="00183B5F">
        <w:rPr>
          <w:szCs w:val="22"/>
        </w:rPr>
        <w:t>, adalimumabbal kezelt</w:t>
      </w:r>
      <w:r w:rsidRPr="00183B5F">
        <w:rPr>
          <w:szCs w:val="22"/>
        </w:rPr>
        <w:t xml:space="preserve"> betegek 10,9%</w:t>
      </w:r>
      <w:r w:rsidRPr="00183B5F">
        <w:rPr>
          <w:szCs w:val="22"/>
        </w:rPr>
        <w:noBreakHyphen/>
        <w:t>ánál (5/46) azonosítottak adalimumab</w:t>
      </w:r>
      <w:r w:rsidRPr="00183B5F">
        <w:rPr>
          <w:szCs w:val="22"/>
        </w:rPr>
        <w:noBreakHyphen/>
        <w:t>ellenes antitesteket. Azoknál a betegeknél, akik nem kaptak egyidejűleg metotrexátot, az incidencia 13,6% (3/22) volt, szemben a 8,3%</w:t>
      </w:r>
      <w:r w:rsidRPr="00183B5F">
        <w:rPr>
          <w:szCs w:val="22"/>
        </w:rPr>
        <w:noBreakHyphen/>
        <w:t>kal (2/24), amikor az adalimumabot a metotrexát</w:t>
      </w:r>
      <w:r w:rsidRPr="00183B5F">
        <w:rPr>
          <w:szCs w:val="22"/>
        </w:rPr>
        <w:noBreakHyphen/>
        <w:t>kezelés mellett alkalmazták.</w:t>
      </w:r>
    </w:p>
    <w:p w14:paraId="26821573" w14:textId="77777777" w:rsidR="00366005" w:rsidRPr="00183B5F" w:rsidRDefault="00366005">
      <w:pPr>
        <w:spacing w:line="240" w:lineRule="auto"/>
        <w:rPr>
          <w:szCs w:val="22"/>
        </w:rPr>
      </w:pPr>
    </w:p>
    <w:p w14:paraId="677D9951" w14:textId="77777777" w:rsidR="00366005" w:rsidRPr="00183B5F" w:rsidRDefault="00943743">
      <w:pPr>
        <w:spacing w:line="240" w:lineRule="auto"/>
        <w:rPr>
          <w:szCs w:val="22"/>
        </w:rPr>
      </w:pPr>
      <w:r w:rsidRPr="00183B5F">
        <w:rPr>
          <w:szCs w:val="22"/>
        </w:rPr>
        <w:t>A reumatoid arthritis I, II és III vizsgálatban a betegeknél több időpontban vizsgálták az adalimumab</w:t>
      </w:r>
      <w:r w:rsidR="00022AEF" w:rsidRPr="00183B5F">
        <w:rPr>
          <w:szCs w:val="22"/>
        </w:rPr>
        <w:noBreakHyphen/>
      </w:r>
      <w:r w:rsidRPr="00183B5F">
        <w:rPr>
          <w:szCs w:val="22"/>
        </w:rPr>
        <w:t>ellenes antitestek jelenlétét a 6 – 12 hónapos időszak folyamán. A pivotális vizsgálatokban adalimumab</w:t>
      </w:r>
      <w:r w:rsidRPr="00183B5F">
        <w:rPr>
          <w:szCs w:val="22"/>
        </w:rPr>
        <w:noBreakHyphen/>
        <w:t xml:space="preserve">ellenes antitesteket </w:t>
      </w:r>
      <w:r w:rsidR="00FE0776" w:rsidRPr="00183B5F">
        <w:rPr>
          <w:szCs w:val="22"/>
        </w:rPr>
        <w:t xml:space="preserve">az adalimumabbal kezelt betegek </w:t>
      </w:r>
      <w:r w:rsidRPr="00183B5F">
        <w:rPr>
          <w:szCs w:val="22"/>
        </w:rPr>
        <w:t>5,5%</w:t>
      </w:r>
      <w:r w:rsidRPr="00183B5F">
        <w:rPr>
          <w:szCs w:val="22"/>
        </w:rPr>
        <w:noBreakHyphen/>
      </w:r>
      <w:r w:rsidR="00FE0776" w:rsidRPr="00183B5F">
        <w:rPr>
          <w:szCs w:val="22"/>
        </w:rPr>
        <w:t>ánál</w:t>
      </w:r>
      <w:r w:rsidRPr="00183B5F">
        <w:rPr>
          <w:szCs w:val="22"/>
        </w:rPr>
        <w:t xml:space="preserve"> (58/1053) észleltek, szemben a placebocsoportban észlelt 0,5%</w:t>
      </w:r>
      <w:r w:rsidRPr="00183B5F">
        <w:rPr>
          <w:szCs w:val="22"/>
        </w:rPr>
        <w:noBreakHyphen/>
        <w:t>kal (2/370). Az egyidejűleg metotrexát</w:t>
      </w:r>
      <w:r w:rsidRPr="00183B5F">
        <w:rPr>
          <w:szCs w:val="22"/>
        </w:rPr>
        <w:noBreakHyphen/>
        <w:t>kezelésben nem részesült betegeknél az incidencia 12,4% volt, szemben a 0,6%</w:t>
      </w:r>
      <w:r w:rsidRPr="00183B5F">
        <w:rPr>
          <w:szCs w:val="22"/>
        </w:rPr>
        <w:noBreakHyphen/>
        <w:t>os incidenciával azoknál, akiknél az adalimumabot a metotrexát</w:t>
      </w:r>
      <w:r w:rsidRPr="00183B5F">
        <w:rPr>
          <w:szCs w:val="22"/>
        </w:rPr>
        <w:noBreakHyphen/>
        <w:t>kezeléssel kombinációban alkalmazták.</w:t>
      </w:r>
    </w:p>
    <w:p w14:paraId="586FAFA3" w14:textId="77777777" w:rsidR="00366005" w:rsidRPr="00183B5F" w:rsidRDefault="00366005">
      <w:pPr>
        <w:spacing w:line="240" w:lineRule="auto"/>
        <w:rPr>
          <w:szCs w:val="22"/>
        </w:rPr>
      </w:pPr>
    </w:p>
    <w:p w14:paraId="4FB1D9AE" w14:textId="77777777" w:rsidR="00366005" w:rsidRPr="00183B5F" w:rsidRDefault="00943743">
      <w:pPr>
        <w:spacing w:line="240" w:lineRule="auto"/>
        <w:rPr>
          <w:szCs w:val="22"/>
        </w:rPr>
      </w:pPr>
      <w:r w:rsidRPr="00183B5F">
        <w:rPr>
          <w:szCs w:val="22"/>
        </w:rPr>
        <w:t>Gyermekkori psoriasisban szenvedő 0,8 mg</w:t>
      </w:r>
      <w:r w:rsidR="00127A0B" w:rsidRPr="00183B5F">
        <w:rPr>
          <w:szCs w:val="22"/>
        </w:rPr>
        <w:t>/ttkg</w:t>
      </w:r>
      <w:r w:rsidRPr="00183B5F">
        <w:rPr>
          <w:szCs w:val="22"/>
        </w:rPr>
        <w:t xml:space="preserve"> adalimumab</w:t>
      </w:r>
      <w:r w:rsidR="002D38D3" w:rsidRPr="00183B5F">
        <w:rPr>
          <w:szCs w:val="22"/>
        </w:rPr>
        <w:t>-</w:t>
      </w:r>
      <w:r w:rsidRPr="00183B5F">
        <w:rPr>
          <w:szCs w:val="22"/>
        </w:rPr>
        <w:t>monoterápiával kezelt betegek 13%</w:t>
      </w:r>
      <w:r w:rsidRPr="00183B5F">
        <w:rPr>
          <w:szCs w:val="22"/>
        </w:rPr>
        <w:noBreakHyphen/>
        <w:t>ánál (5/38 betegnél) azonosítottak adalimumab</w:t>
      </w:r>
      <w:r w:rsidRPr="00183B5F">
        <w:rPr>
          <w:szCs w:val="22"/>
        </w:rPr>
        <w:noBreakHyphen/>
        <w:t>ellenes antitesteket.</w:t>
      </w:r>
    </w:p>
    <w:p w14:paraId="74F8BD67" w14:textId="77777777" w:rsidR="00366005" w:rsidRPr="00183B5F" w:rsidRDefault="00366005">
      <w:pPr>
        <w:spacing w:line="240" w:lineRule="auto"/>
        <w:rPr>
          <w:szCs w:val="22"/>
        </w:rPr>
      </w:pPr>
    </w:p>
    <w:p w14:paraId="0587066B" w14:textId="77777777" w:rsidR="00366005" w:rsidRPr="00183B5F" w:rsidRDefault="00943743">
      <w:pPr>
        <w:spacing w:line="240" w:lineRule="auto"/>
        <w:rPr>
          <w:szCs w:val="22"/>
        </w:rPr>
      </w:pPr>
      <w:r w:rsidRPr="00183B5F">
        <w:rPr>
          <w:szCs w:val="22"/>
        </w:rPr>
        <w:t>Psoriasisos felnőtt betegek körében 77/920 adalimumab</w:t>
      </w:r>
      <w:r w:rsidR="002D38D3" w:rsidRPr="00183B5F">
        <w:rPr>
          <w:szCs w:val="22"/>
        </w:rPr>
        <w:t>-</w:t>
      </w:r>
      <w:r w:rsidRPr="00183B5F">
        <w:rPr>
          <w:szCs w:val="22"/>
        </w:rPr>
        <w:t xml:space="preserve">monoterápiával kezelt </w:t>
      </w:r>
      <w:r w:rsidR="003331BF" w:rsidRPr="00183B5F">
        <w:rPr>
          <w:szCs w:val="22"/>
        </w:rPr>
        <w:t xml:space="preserve">beteg </w:t>
      </w:r>
      <w:r w:rsidRPr="00183B5F">
        <w:rPr>
          <w:szCs w:val="22"/>
        </w:rPr>
        <w:t>esetében (8,4%) mutattak ki adalimumab</w:t>
      </w:r>
      <w:r w:rsidR="001C2086" w:rsidRPr="00183B5F">
        <w:rPr>
          <w:szCs w:val="22"/>
        </w:rPr>
        <w:t>-ellenes</w:t>
      </w:r>
      <w:r w:rsidRPr="00183B5F">
        <w:rPr>
          <w:szCs w:val="22"/>
        </w:rPr>
        <w:t xml:space="preserve"> antitesteket.</w:t>
      </w:r>
    </w:p>
    <w:p w14:paraId="280DDCDD" w14:textId="77777777" w:rsidR="00366005" w:rsidRPr="00183B5F" w:rsidRDefault="00366005">
      <w:pPr>
        <w:spacing w:line="240" w:lineRule="auto"/>
        <w:rPr>
          <w:szCs w:val="22"/>
        </w:rPr>
      </w:pPr>
    </w:p>
    <w:p w14:paraId="36DEC149" w14:textId="77777777" w:rsidR="00366005" w:rsidRPr="00183B5F" w:rsidRDefault="00943743">
      <w:pPr>
        <w:spacing w:line="240" w:lineRule="auto"/>
        <w:rPr>
          <w:szCs w:val="22"/>
        </w:rPr>
      </w:pPr>
      <w:r w:rsidRPr="00183B5F">
        <w:rPr>
          <w:szCs w:val="22"/>
        </w:rPr>
        <w:t>Azoknál a hosszú időn át adalimumab</w:t>
      </w:r>
      <w:r w:rsidR="002D38D3" w:rsidRPr="00183B5F">
        <w:rPr>
          <w:szCs w:val="22"/>
        </w:rPr>
        <w:t>-</w:t>
      </w:r>
      <w:r w:rsidRPr="00183B5F">
        <w:rPr>
          <w:szCs w:val="22"/>
        </w:rPr>
        <w:t>monoterápiát kapó, plakkos psoriasisos felnőtt betegeknél, akik részt vettek a kezelés abbahagyását</w:t>
      </w:r>
      <w:r w:rsidR="005D7645" w:rsidRPr="00183B5F">
        <w:rPr>
          <w:szCs w:val="22"/>
        </w:rPr>
        <w:t>,</w:t>
      </w:r>
      <w:r w:rsidRPr="00183B5F">
        <w:rPr>
          <w:szCs w:val="22"/>
        </w:rPr>
        <w:t xml:space="preserve"> majd újrakezdését értékelő vizsgálatban, az újrakezdést követő</w:t>
      </w:r>
      <w:r w:rsidR="002D38D3" w:rsidRPr="00183B5F">
        <w:rPr>
          <w:szCs w:val="22"/>
        </w:rPr>
        <w:t>en</w:t>
      </w:r>
      <w:r w:rsidRPr="00183B5F">
        <w:rPr>
          <w:szCs w:val="22"/>
        </w:rPr>
        <w:t xml:space="preserve"> </w:t>
      </w:r>
      <w:r w:rsidR="002D38D3" w:rsidRPr="00183B5F">
        <w:rPr>
          <w:szCs w:val="22"/>
        </w:rPr>
        <w:t xml:space="preserve">az </w:t>
      </w:r>
      <w:r w:rsidRPr="00183B5F">
        <w:rPr>
          <w:szCs w:val="22"/>
        </w:rPr>
        <w:t>adalimumab</w:t>
      </w:r>
      <w:r w:rsidR="00022AEF" w:rsidRPr="00183B5F">
        <w:rPr>
          <w:szCs w:val="22"/>
        </w:rPr>
        <w:noBreakHyphen/>
      </w:r>
      <w:r w:rsidRPr="00183B5F">
        <w:rPr>
          <w:szCs w:val="22"/>
        </w:rPr>
        <w:t>ellenes antitest</w:t>
      </w:r>
      <w:r w:rsidR="002D38D3" w:rsidRPr="00183B5F">
        <w:rPr>
          <w:szCs w:val="22"/>
        </w:rPr>
        <w:t>ek</w:t>
      </w:r>
      <w:r w:rsidRPr="00183B5F">
        <w:rPr>
          <w:szCs w:val="22"/>
        </w:rPr>
        <w:t xml:space="preserve"> arány</w:t>
      </w:r>
      <w:r w:rsidR="002D38D3" w:rsidRPr="00183B5F">
        <w:rPr>
          <w:szCs w:val="22"/>
        </w:rPr>
        <w:t>a</w:t>
      </w:r>
      <w:r w:rsidRPr="00183B5F">
        <w:rPr>
          <w:szCs w:val="22"/>
        </w:rPr>
        <w:t xml:space="preserve"> (482 beteg közül 11; 2,3%) hasonló volt a kezelés abbahagyása előtti arányhoz (590 beteg közül 11; 1,9%).</w:t>
      </w:r>
    </w:p>
    <w:p w14:paraId="1AA9CD70" w14:textId="77777777" w:rsidR="00366005" w:rsidRPr="00183B5F" w:rsidRDefault="00366005">
      <w:pPr>
        <w:spacing w:line="240" w:lineRule="auto"/>
        <w:rPr>
          <w:szCs w:val="22"/>
        </w:rPr>
      </w:pPr>
    </w:p>
    <w:p w14:paraId="7F3AF2D6" w14:textId="77777777" w:rsidR="00366005" w:rsidRPr="00183B5F" w:rsidRDefault="00943743">
      <w:pPr>
        <w:spacing w:line="240" w:lineRule="auto"/>
        <w:rPr>
          <w:szCs w:val="22"/>
        </w:rPr>
      </w:pPr>
      <w:r w:rsidRPr="00183B5F">
        <w:rPr>
          <w:szCs w:val="22"/>
        </w:rPr>
        <w:t>Közepesen súlyos - súlyos aktivitású Crohn</w:t>
      </w:r>
      <w:r w:rsidRPr="00183B5F">
        <w:rPr>
          <w:szCs w:val="22"/>
        </w:rPr>
        <w:noBreakHyphen/>
        <w:t>betegségben szenvedő gyermekeknél az anti-adalimumab antitest kialakulásának aránya adalimumabot kapó betegeknél 3,3% volt.</w:t>
      </w:r>
    </w:p>
    <w:p w14:paraId="138301F1" w14:textId="77777777" w:rsidR="00366005" w:rsidRPr="00183B5F" w:rsidRDefault="00366005">
      <w:pPr>
        <w:spacing w:line="240" w:lineRule="auto"/>
        <w:rPr>
          <w:szCs w:val="22"/>
        </w:rPr>
      </w:pPr>
    </w:p>
    <w:p w14:paraId="23EE3A51" w14:textId="77777777" w:rsidR="00366005" w:rsidRPr="00183B5F" w:rsidRDefault="00943743">
      <w:pPr>
        <w:spacing w:line="240" w:lineRule="auto"/>
        <w:rPr>
          <w:szCs w:val="22"/>
        </w:rPr>
      </w:pPr>
      <w:r w:rsidRPr="00183B5F">
        <w:rPr>
          <w:szCs w:val="22"/>
        </w:rPr>
        <w:t>A 269, Crohn</w:t>
      </w:r>
      <w:r w:rsidRPr="00183B5F">
        <w:rPr>
          <w:szCs w:val="22"/>
        </w:rPr>
        <w:noBreakHyphen/>
        <w:t>betegségben szenvedő beteg közül 7</w:t>
      </w:r>
      <w:r w:rsidR="005D7645" w:rsidRPr="00183B5F">
        <w:rPr>
          <w:szCs w:val="22"/>
        </w:rPr>
        <w:t> </w:t>
      </w:r>
      <w:r w:rsidRPr="00183B5F">
        <w:rPr>
          <w:szCs w:val="22"/>
        </w:rPr>
        <w:t>betegnél</w:t>
      </w:r>
      <w:r w:rsidR="003265C1" w:rsidRPr="00183B5F">
        <w:rPr>
          <w:szCs w:val="22"/>
        </w:rPr>
        <w:t xml:space="preserve"> (2,6%)</w:t>
      </w:r>
      <w:r w:rsidRPr="00183B5F">
        <w:rPr>
          <w:szCs w:val="22"/>
        </w:rPr>
        <w:t xml:space="preserve"> azonosítottak anti-adalimumab antitesteket.</w:t>
      </w:r>
    </w:p>
    <w:p w14:paraId="053FFF02" w14:textId="77777777" w:rsidR="00366005" w:rsidRPr="00183B5F" w:rsidRDefault="00366005">
      <w:pPr>
        <w:spacing w:line="240" w:lineRule="auto"/>
        <w:rPr>
          <w:szCs w:val="22"/>
        </w:rPr>
      </w:pPr>
    </w:p>
    <w:p w14:paraId="0326B171" w14:textId="77777777" w:rsidR="00366005" w:rsidRPr="00183B5F" w:rsidRDefault="00943743">
      <w:pPr>
        <w:spacing w:line="240" w:lineRule="auto"/>
        <w:rPr>
          <w:szCs w:val="22"/>
        </w:rPr>
      </w:pPr>
      <w:r w:rsidRPr="00183B5F">
        <w:rPr>
          <w:szCs w:val="22"/>
        </w:rPr>
        <w:t>A nem fertőzéses eredetű uveitisben szenvedő, adalimumabbal kezelt felnőtt betegek 4,8%</w:t>
      </w:r>
      <w:r w:rsidRPr="00183B5F">
        <w:rPr>
          <w:szCs w:val="22"/>
        </w:rPr>
        <w:noBreakHyphen/>
        <w:t>ánál (12/249) azonosítottak adalimumab</w:t>
      </w:r>
      <w:r w:rsidRPr="00183B5F">
        <w:rPr>
          <w:szCs w:val="22"/>
        </w:rPr>
        <w:noBreakHyphen/>
        <w:t>ellenes antitesteket.</w:t>
      </w:r>
    </w:p>
    <w:p w14:paraId="7E71FAFD" w14:textId="77777777" w:rsidR="00366005" w:rsidRPr="00183B5F" w:rsidRDefault="00366005">
      <w:pPr>
        <w:spacing w:line="240" w:lineRule="auto"/>
        <w:rPr>
          <w:szCs w:val="22"/>
        </w:rPr>
      </w:pPr>
    </w:p>
    <w:p w14:paraId="75B6ABED" w14:textId="77777777" w:rsidR="00366005" w:rsidRPr="00183B5F" w:rsidRDefault="00943743">
      <w:pPr>
        <w:spacing w:line="240" w:lineRule="auto"/>
        <w:rPr>
          <w:szCs w:val="22"/>
        </w:rPr>
      </w:pPr>
      <w:r w:rsidRPr="00183B5F">
        <w:rPr>
          <w:szCs w:val="22"/>
        </w:rPr>
        <w:t>Az immunogenitási vizsgálatok termékspecifikusak, így az antitestráták összehasonlítása más termékekével nem helyes.</w:t>
      </w:r>
    </w:p>
    <w:p w14:paraId="7BEEA924" w14:textId="77777777" w:rsidR="00366005" w:rsidRPr="00183B5F" w:rsidRDefault="00366005">
      <w:pPr>
        <w:spacing w:line="240" w:lineRule="auto"/>
        <w:outlineLvl w:val="0"/>
        <w:rPr>
          <w:rFonts w:eastAsia="SimSun"/>
          <w:szCs w:val="22"/>
          <w:lang w:eastAsia="zh-CN"/>
        </w:rPr>
      </w:pPr>
    </w:p>
    <w:p w14:paraId="0DDBC8A3" w14:textId="77777777" w:rsidR="00366005" w:rsidRPr="00183B5F" w:rsidRDefault="00943743">
      <w:pPr>
        <w:spacing w:line="240" w:lineRule="auto"/>
        <w:rPr>
          <w:szCs w:val="22"/>
          <w:u w:val="single"/>
        </w:rPr>
      </w:pPr>
      <w:r w:rsidRPr="00183B5F">
        <w:rPr>
          <w:szCs w:val="22"/>
          <w:u w:val="single"/>
        </w:rPr>
        <w:t>Gyermekek és serdülők</w:t>
      </w:r>
    </w:p>
    <w:p w14:paraId="43ACC0C0" w14:textId="77777777" w:rsidR="000A1DA2" w:rsidRPr="00183B5F" w:rsidRDefault="000A1DA2" w:rsidP="000A1DA2">
      <w:pPr>
        <w:keepNext/>
        <w:spacing w:line="240" w:lineRule="auto"/>
        <w:rPr>
          <w:szCs w:val="22"/>
          <w:u w:val="single"/>
        </w:rPr>
      </w:pPr>
    </w:p>
    <w:p w14:paraId="556B4DAE" w14:textId="77777777" w:rsidR="000A1DA2" w:rsidRPr="00183B5F" w:rsidRDefault="00943743" w:rsidP="000A1DA2">
      <w:pPr>
        <w:pStyle w:val="BodyText3"/>
        <w:keepNext/>
        <w:spacing w:line="240" w:lineRule="auto"/>
        <w:jc w:val="left"/>
        <w:rPr>
          <w:bCs/>
          <w:i/>
          <w:iCs/>
          <w:sz w:val="22"/>
          <w:szCs w:val="22"/>
          <w:lang w:val="hu-HU"/>
        </w:rPr>
      </w:pPr>
      <w:r w:rsidRPr="00183B5F">
        <w:rPr>
          <w:bCs/>
          <w:i/>
          <w:iCs/>
          <w:sz w:val="22"/>
          <w:szCs w:val="22"/>
          <w:lang w:val="hu-HU"/>
        </w:rPr>
        <w:t>Juvenilis idiopathiás arthritis (JIA)</w:t>
      </w:r>
    </w:p>
    <w:p w14:paraId="108FF470" w14:textId="77777777" w:rsidR="000A1DA2" w:rsidRPr="00183B5F" w:rsidRDefault="000A1DA2" w:rsidP="000A1DA2">
      <w:pPr>
        <w:keepNext/>
        <w:spacing w:line="240" w:lineRule="auto"/>
        <w:rPr>
          <w:szCs w:val="22"/>
          <w:u w:val="single"/>
        </w:rPr>
      </w:pPr>
    </w:p>
    <w:p w14:paraId="7DA1398F" w14:textId="77777777" w:rsidR="000A1DA2" w:rsidRPr="00183B5F" w:rsidRDefault="00943743" w:rsidP="000A1DA2">
      <w:pPr>
        <w:keepNext/>
        <w:spacing w:line="240" w:lineRule="auto"/>
        <w:rPr>
          <w:i/>
          <w:szCs w:val="22"/>
          <w:u w:val="single"/>
        </w:rPr>
      </w:pPr>
      <w:r w:rsidRPr="00183B5F">
        <w:rPr>
          <w:i/>
          <w:szCs w:val="22"/>
          <w:u w:val="single"/>
        </w:rPr>
        <w:t>Polyarticularis juvenilis idiopathiás arthritis (pJIA)</w:t>
      </w:r>
    </w:p>
    <w:p w14:paraId="2D2A3117" w14:textId="77777777" w:rsidR="000A1DA2" w:rsidRPr="00183B5F" w:rsidRDefault="000A1DA2" w:rsidP="000A1DA2">
      <w:pPr>
        <w:pStyle w:val="BodyText3"/>
        <w:keepNext/>
        <w:spacing w:line="240" w:lineRule="auto"/>
        <w:jc w:val="left"/>
        <w:rPr>
          <w:bCs/>
          <w:iCs/>
          <w:sz w:val="22"/>
          <w:szCs w:val="22"/>
          <w:u w:val="single"/>
          <w:lang w:val="hu-HU"/>
        </w:rPr>
      </w:pPr>
    </w:p>
    <w:p w14:paraId="46AA08DC" w14:textId="77777777" w:rsidR="000A1DA2" w:rsidRPr="00183B5F" w:rsidRDefault="00943743" w:rsidP="000A1DA2">
      <w:pPr>
        <w:pStyle w:val="BodyText3"/>
        <w:keepNext/>
        <w:spacing w:line="240" w:lineRule="auto"/>
        <w:jc w:val="left"/>
        <w:rPr>
          <w:bCs/>
          <w:iCs/>
          <w:sz w:val="22"/>
          <w:szCs w:val="22"/>
          <w:lang w:val="hu-HU"/>
        </w:rPr>
      </w:pPr>
      <w:r w:rsidRPr="00183B5F">
        <w:rPr>
          <w:bCs/>
          <w:iCs/>
          <w:sz w:val="22"/>
          <w:szCs w:val="22"/>
          <w:lang w:val="hu-HU"/>
        </w:rPr>
        <w:t>A Humira biztonságosságát és hatásosságát két vizsgálatban (pJIA I és II) értékelték aktív polyarticularis juvenilis idiopathiás arthritisben szenvedő gyermekeknél, akiknél a JIA kezdeti formája eltért (leggyakrabban rheumatoid faktor pozitív vagy negatív polyarthritis és extendált oligoarthritis fordult elő).</w:t>
      </w:r>
    </w:p>
    <w:p w14:paraId="0422C108" w14:textId="77777777" w:rsidR="000A1DA2" w:rsidRPr="00183B5F" w:rsidRDefault="000A1DA2" w:rsidP="000A1DA2">
      <w:pPr>
        <w:pStyle w:val="BodyText3"/>
        <w:spacing w:line="240" w:lineRule="auto"/>
        <w:jc w:val="left"/>
        <w:rPr>
          <w:bCs/>
          <w:iCs/>
          <w:sz w:val="22"/>
          <w:szCs w:val="22"/>
          <w:u w:val="single"/>
          <w:lang w:val="hu-HU"/>
        </w:rPr>
      </w:pPr>
    </w:p>
    <w:p w14:paraId="445412F8" w14:textId="77777777" w:rsidR="000A1DA2" w:rsidRPr="00183B5F" w:rsidRDefault="00943743" w:rsidP="000A1DA2">
      <w:pPr>
        <w:spacing w:line="240" w:lineRule="auto"/>
        <w:rPr>
          <w:bCs/>
          <w:iCs/>
          <w:szCs w:val="22"/>
        </w:rPr>
      </w:pPr>
      <w:r w:rsidRPr="00183B5F">
        <w:rPr>
          <w:bCs/>
          <w:iCs/>
          <w:szCs w:val="22"/>
        </w:rPr>
        <w:t>pJIA I</w:t>
      </w:r>
    </w:p>
    <w:p w14:paraId="68687D5F" w14:textId="77777777" w:rsidR="000A1DA2" w:rsidRPr="00183B5F" w:rsidRDefault="000A1DA2" w:rsidP="000A1DA2">
      <w:pPr>
        <w:spacing w:line="240" w:lineRule="auto"/>
        <w:rPr>
          <w:szCs w:val="22"/>
          <w:u w:val="single"/>
        </w:rPr>
      </w:pPr>
    </w:p>
    <w:p w14:paraId="0B9E9815" w14:textId="77777777" w:rsidR="000A1DA2" w:rsidRPr="00183B5F" w:rsidRDefault="00943743" w:rsidP="000A1DA2">
      <w:pPr>
        <w:spacing w:line="240" w:lineRule="auto"/>
        <w:rPr>
          <w:szCs w:val="22"/>
        </w:rPr>
      </w:pPr>
      <w:r w:rsidRPr="00183B5F">
        <w:rPr>
          <w:szCs w:val="22"/>
        </w:rPr>
        <w:t>A Humira biztonságosságát és hatásosságát egy multicentrikus, randomizált, kettős vak, párhuzamos csoportos vizsgálatban értékelték 171 (4 – 17 éves) polyarticularis JIA-ban szenvedő gyermeknél. A nyílt elrendezésű bevezető fázisban (open-label lead in phase, OL LI) a betegeket két csoportba sorolták: MTX (metotrexát)-kezelést kapó, illetve MTX</w:t>
      </w:r>
      <w:r w:rsidRPr="00183B5F">
        <w:rPr>
          <w:szCs w:val="22"/>
        </w:rPr>
        <w:noBreakHyphen/>
        <w:t>tal nem kezelt csoportba különítették el. A nem-MTX csoportba azok a betegek tartoztak, akik korábban még nem részesültek MTX</w:t>
      </w:r>
      <w:r w:rsidRPr="00183B5F">
        <w:rPr>
          <w:szCs w:val="22"/>
        </w:rPr>
        <w:noBreakHyphen/>
        <w:t>kezelésben (naive), vagy a vizsgálati gyógyszer alkalmazása előtt legalább két héttel abbahagyták a MTX</w:t>
      </w:r>
      <w:r w:rsidRPr="00183B5F">
        <w:rPr>
          <w:szCs w:val="22"/>
        </w:rPr>
        <w:noBreakHyphen/>
        <w:t>kezelésüket. A betegeknél továbbra is stabil dózisokban alkalmaztak nem szteroid gyulladásgátlókat (NSAID) és/vagy prednizont (</w:t>
      </w:r>
      <w:r w:rsidRPr="00183B5F">
        <w:rPr>
          <w:rFonts w:ascii="Symbol" w:hAnsi="Symbol"/>
          <w:szCs w:val="22"/>
        </w:rPr>
        <w:sym w:font="Symbol" w:char="F0A3"/>
      </w:r>
      <w:r w:rsidRPr="00183B5F">
        <w:rPr>
          <w:szCs w:val="22"/>
        </w:rPr>
        <w:t> 0,2 mg/ttkg/nap vagy maximum10 mg/nap) kaptak. Az OL LI szakaszban minden beteg 24 mg/m</w:t>
      </w:r>
      <w:r w:rsidRPr="00183B5F">
        <w:rPr>
          <w:szCs w:val="22"/>
          <w:vertAlign w:val="superscript"/>
        </w:rPr>
        <w:t>2</w:t>
      </w:r>
      <w:r w:rsidRPr="00183B5F">
        <w:rPr>
          <w:szCs w:val="22"/>
        </w:rPr>
        <w:t>, legfeljebb 40 mg Humira</w:t>
      </w:r>
      <w:r w:rsidRPr="00183B5F">
        <w:rPr>
          <w:szCs w:val="22"/>
        </w:rPr>
        <w:noBreakHyphen/>
        <w:t>t kapott kéthetente, 16 héten keresztü</w:t>
      </w:r>
      <w:r w:rsidRPr="00183B5F">
        <w:rPr>
          <w:szCs w:val="22"/>
        </w:rPr>
        <w:t xml:space="preserve">l. A betegek életkor szerinti megoszlását és az OL LI szakaszban kapott legkisebb, medián, illetve legnagyobb dózist a </w:t>
      </w:r>
      <w:r w:rsidR="00A712C6" w:rsidRPr="00183B5F">
        <w:rPr>
          <w:szCs w:val="22"/>
        </w:rPr>
        <w:t>1</w:t>
      </w:r>
      <w:r w:rsidRPr="00183B5F">
        <w:rPr>
          <w:szCs w:val="22"/>
        </w:rPr>
        <w:t>7. táblázat mutatja.</w:t>
      </w:r>
    </w:p>
    <w:p w14:paraId="5E3D06B0" w14:textId="77777777" w:rsidR="000A1DA2" w:rsidRPr="00183B5F" w:rsidRDefault="000A1DA2" w:rsidP="000A1DA2">
      <w:pPr>
        <w:pStyle w:val="BodyText3"/>
        <w:spacing w:line="240" w:lineRule="auto"/>
        <w:rPr>
          <w:b/>
          <w:i/>
          <w:sz w:val="22"/>
          <w:lang w:val="hu-HU"/>
        </w:rPr>
      </w:pPr>
    </w:p>
    <w:p w14:paraId="66367C74" w14:textId="77777777" w:rsidR="000A1DA2" w:rsidRPr="00183B5F" w:rsidRDefault="00943743" w:rsidP="000A1DA2">
      <w:pPr>
        <w:pStyle w:val="BodyTextIndent"/>
        <w:keepNext/>
        <w:ind w:left="110" w:right="58" w:firstLine="0"/>
        <w:jc w:val="center"/>
        <w:rPr>
          <w:b/>
          <w:lang w:val="hu-HU"/>
        </w:rPr>
      </w:pPr>
      <w:r w:rsidRPr="00183B5F">
        <w:rPr>
          <w:b/>
          <w:lang w:val="hu-HU"/>
        </w:rPr>
        <w:t>17. táblázat</w:t>
      </w:r>
    </w:p>
    <w:p w14:paraId="53516B45" w14:textId="77777777" w:rsidR="000A1DA2" w:rsidRPr="00183B5F" w:rsidRDefault="00943743" w:rsidP="000A1DA2">
      <w:pPr>
        <w:pStyle w:val="BodyTextIndent"/>
        <w:keepNext/>
        <w:ind w:left="110" w:right="58" w:firstLine="0"/>
        <w:jc w:val="center"/>
        <w:rPr>
          <w:b/>
          <w:lang w:val="hu-HU"/>
        </w:rPr>
      </w:pPr>
      <w:r w:rsidRPr="00183B5F">
        <w:rPr>
          <w:b/>
          <w:lang w:val="hu-HU"/>
        </w:rPr>
        <w:t>A betegek megoszlása az életkor szerint és az OL LI szakaszban kapott adalimumab-dózis</w:t>
      </w:r>
    </w:p>
    <w:p w14:paraId="758D1CF1" w14:textId="77777777" w:rsidR="000A1DA2" w:rsidRPr="00183B5F" w:rsidRDefault="000A1DA2" w:rsidP="000A1DA2">
      <w:pPr>
        <w:pStyle w:val="BodyTextIndent"/>
        <w:keepNext/>
        <w:ind w:left="110" w:right="58" w:firstLine="0"/>
        <w:jc w:val="center"/>
        <w:rPr>
          <w:b/>
          <w:lang w:val="hu-HU"/>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3425"/>
        <w:gridCol w:w="3157"/>
      </w:tblGrid>
      <w:tr w:rsidR="00011D2F" w14:paraId="0C370550" w14:textId="77777777" w:rsidTr="000A1DA2">
        <w:trPr>
          <w:cantSplit/>
        </w:trPr>
        <w:tc>
          <w:tcPr>
            <w:tcW w:w="2418" w:type="dxa"/>
            <w:tcBorders>
              <w:top w:val="single" w:sz="4" w:space="0" w:color="auto"/>
              <w:left w:val="single" w:sz="4" w:space="0" w:color="auto"/>
              <w:bottom w:val="single" w:sz="4" w:space="0" w:color="auto"/>
              <w:right w:val="single" w:sz="4" w:space="0" w:color="auto"/>
            </w:tcBorders>
            <w:hideMark/>
          </w:tcPr>
          <w:p w14:paraId="419C3273" w14:textId="77777777" w:rsidR="000A1DA2" w:rsidRPr="00183B5F" w:rsidRDefault="00943743" w:rsidP="000A1DA2">
            <w:pPr>
              <w:pStyle w:val="BodyTextIndent"/>
              <w:keepNext/>
              <w:ind w:left="0" w:right="58" w:firstLine="0"/>
              <w:jc w:val="center"/>
              <w:rPr>
                <w:lang w:val="hu-HU"/>
              </w:rPr>
            </w:pPr>
            <w:r w:rsidRPr="00183B5F">
              <w:rPr>
                <w:lang w:val="hu-HU"/>
              </w:rPr>
              <w:t>Korcsoport</w:t>
            </w:r>
          </w:p>
        </w:tc>
        <w:tc>
          <w:tcPr>
            <w:tcW w:w="3520" w:type="dxa"/>
            <w:tcBorders>
              <w:top w:val="single" w:sz="4" w:space="0" w:color="auto"/>
              <w:left w:val="single" w:sz="4" w:space="0" w:color="auto"/>
              <w:bottom w:val="single" w:sz="4" w:space="0" w:color="auto"/>
              <w:right w:val="single" w:sz="4" w:space="0" w:color="auto"/>
            </w:tcBorders>
            <w:hideMark/>
          </w:tcPr>
          <w:p w14:paraId="20484B02" w14:textId="77777777" w:rsidR="000A1DA2" w:rsidRPr="00183B5F" w:rsidRDefault="00943743" w:rsidP="000A1DA2">
            <w:pPr>
              <w:pStyle w:val="BodyTextIndent"/>
              <w:keepNext/>
              <w:ind w:left="0" w:right="58" w:firstLine="0"/>
              <w:jc w:val="center"/>
              <w:rPr>
                <w:lang w:val="hu-HU"/>
              </w:rPr>
            </w:pPr>
            <w:r w:rsidRPr="00183B5F">
              <w:rPr>
                <w:lang w:val="hu-HU"/>
              </w:rPr>
              <w:t>A betegek száma a kiindulási időpontban n (%)</w:t>
            </w:r>
          </w:p>
        </w:tc>
        <w:tc>
          <w:tcPr>
            <w:tcW w:w="3239" w:type="dxa"/>
            <w:tcBorders>
              <w:top w:val="single" w:sz="4" w:space="0" w:color="auto"/>
              <w:left w:val="single" w:sz="4" w:space="0" w:color="auto"/>
              <w:bottom w:val="single" w:sz="4" w:space="0" w:color="auto"/>
              <w:right w:val="single" w:sz="4" w:space="0" w:color="auto"/>
            </w:tcBorders>
            <w:hideMark/>
          </w:tcPr>
          <w:p w14:paraId="10724E6A" w14:textId="77777777" w:rsidR="000A1DA2" w:rsidRPr="00183B5F" w:rsidRDefault="00943743" w:rsidP="000A1DA2">
            <w:pPr>
              <w:pStyle w:val="BodyTextIndent"/>
              <w:keepNext/>
              <w:ind w:left="0" w:right="58" w:firstLine="0"/>
              <w:jc w:val="center"/>
              <w:rPr>
                <w:lang w:val="hu-HU"/>
              </w:rPr>
            </w:pPr>
            <w:r w:rsidRPr="00183B5F">
              <w:rPr>
                <w:lang w:val="hu-HU"/>
              </w:rPr>
              <w:t>A legkisebb, medián, illetve legnagyobb dózis</w:t>
            </w:r>
          </w:p>
        </w:tc>
      </w:tr>
      <w:tr w:rsidR="00011D2F" w14:paraId="0FF9B628" w14:textId="77777777" w:rsidTr="000A1DA2">
        <w:trPr>
          <w:cantSplit/>
        </w:trPr>
        <w:tc>
          <w:tcPr>
            <w:tcW w:w="2418" w:type="dxa"/>
            <w:tcBorders>
              <w:top w:val="single" w:sz="4" w:space="0" w:color="auto"/>
              <w:left w:val="single" w:sz="4" w:space="0" w:color="auto"/>
              <w:bottom w:val="single" w:sz="4" w:space="0" w:color="auto"/>
              <w:right w:val="single" w:sz="4" w:space="0" w:color="auto"/>
            </w:tcBorders>
            <w:hideMark/>
          </w:tcPr>
          <w:p w14:paraId="35D38882" w14:textId="77777777" w:rsidR="000A1DA2" w:rsidRPr="00183B5F" w:rsidRDefault="00943743" w:rsidP="000A1DA2">
            <w:pPr>
              <w:pStyle w:val="BodyTextIndent"/>
              <w:keepNext/>
              <w:ind w:left="0" w:right="53" w:firstLine="0"/>
              <w:rPr>
                <w:lang w:val="hu-HU"/>
              </w:rPr>
            </w:pPr>
            <w:r w:rsidRPr="00183B5F">
              <w:rPr>
                <w:lang w:val="hu-HU"/>
              </w:rPr>
              <w:t>4 – 7 év</w:t>
            </w:r>
          </w:p>
        </w:tc>
        <w:tc>
          <w:tcPr>
            <w:tcW w:w="3520" w:type="dxa"/>
            <w:tcBorders>
              <w:top w:val="single" w:sz="4" w:space="0" w:color="auto"/>
              <w:left w:val="single" w:sz="4" w:space="0" w:color="auto"/>
              <w:bottom w:val="single" w:sz="4" w:space="0" w:color="auto"/>
              <w:right w:val="single" w:sz="4" w:space="0" w:color="auto"/>
            </w:tcBorders>
            <w:hideMark/>
          </w:tcPr>
          <w:p w14:paraId="0F28B0C8" w14:textId="77777777" w:rsidR="000A1DA2" w:rsidRPr="00183B5F" w:rsidRDefault="00943743" w:rsidP="000A1DA2">
            <w:pPr>
              <w:pStyle w:val="BodyTextIndent"/>
              <w:keepNext/>
              <w:ind w:left="0" w:right="53" w:firstLine="0"/>
              <w:rPr>
                <w:lang w:val="hu-HU"/>
              </w:rPr>
            </w:pPr>
            <w:r w:rsidRPr="00183B5F">
              <w:rPr>
                <w:lang w:val="hu-HU"/>
              </w:rPr>
              <w:t>31 (18,1)</w:t>
            </w:r>
          </w:p>
        </w:tc>
        <w:tc>
          <w:tcPr>
            <w:tcW w:w="3239" w:type="dxa"/>
            <w:tcBorders>
              <w:top w:val="single" w:sz="4" w:space="0" w:color="auto"/>
              <w:left w:val="single" w:sz="4" w:space="0" w:color="auto"/>
              <w:bottom w:val="single" w:sz="4" w:space="0" w:color="auto"/>
              <w:right w:val="single" w:sz="4" w:space="0" w:color="auto"/>
            </w:tcBorders>
            <w:hideMark/>
          </w:tcPr>
          <w:p w14:paraId="27129C0F" w14:textId="77777777" w:rsidR="000A1DA2" w:rsidRPr="00183B5F" w:rsidRDefault="00943743" w:rsidP="000A1DA2">
            <w:pPr>
              <w:pStyle w:val="BodyTextIndent"/>
              <w:keepNext/>
              <w:ind w:left="0" w:right="53" w:firstLine="0"/>
              <w:rPr>
                <w:lang w:val="hu-HU"/>
              </w:rPr>
            </w:pPr>
            <w:r w:rsidRPr="00183B5F">
              <w:rPr>
                <w:lang w:val="hu-HU"/>
              </w:rPr>
              <w:t>10, 20, ill. 25 mg</w:t>
            </w:r>
          </w:p>
        </w:tc>
      </w:tr>
      <w:tr w:rsidR="00011D2F" w14:paraId="2CF81572" w14:textId="77777777" w:rsidTr="000A1DA2">
        <w:trPr>
          <w:cantSplit/>
        </w:trPr>
        <w:tc>
          <w:tcPr>
            <w:tcW w:w="2418" w:type="dxa"/>
            <w:tcBorders>
              <w:top w:val="single" w:sz="4" w:space="0" w:color="auto"/>
              <w:left w:val="single" w:sz="4" w:space="0" w:color="auto"/>
              <w:bottom w:val="single" w:sz="4" w:space="0" w:color="auto"/>
              <w:right w:val="single" w:sz="4" w:space="0" w:color="auto"/>
            </w:tcBorders>
            <w:hideMark/>
          </w:tcPr>
          <w:p w14:paraId="79CDD3AD" w14:textId="77777777" w:rsidR="000A1DA2" w:rsidRPr="00183B5F" w:rsidRDefault="00943743" w:rsidP="000A1DA2">
            <w:pPr>
              <w:pStyle w:val="BodyTextIndent"/>
              <w:keepNext/>
              <w:ind w:left="0" w:right="53" w:firstLine="0"/>
              <w:rPr>
                <w:lang w:val="hu-HU"/>
              </w:rPr>
            </w:pPr>
            <w:r w:rsidRPr="00183B5F">
              <w:rPr>
                <w:lang w:val="hu-HU"/>
              </w:rPr>
              <w:t>8 – 12 év</w:t>
            </w:r>
          </w:p>
        </w:tc>
        <w:tc>
          <w:tcPr>
            <w:tcW w:w="3520" w:type="dxa"/>
            <w:tcBorders>
              <w:top w:val="single" w:sz="4" w:space="0" w:color="auto"/>
              <w:left w:val="single" w:sz="4" w:space="0" w:color="auto"/>
              <w:bottom w:val="single" w:sz="4" w:space="0" w:color="auto"/>
              <w:right w:val="single" w:sz="4" w:space="0" w:color="auto"/>
            </w:tcBorders>
            <w:hideMark/>
          </w:tcPr>
          <w:p w14:paraId="683E880F" w14:textId="77777777" w:rsidR="000A1DA2" w:rsidRPr="00183B5F" w:rsidRDefault="00943743" w:rsidP="000A1DA2">
            <w:pPr>
              <w:pStyle w:val="BodyTextIndent"/>
              <w:keepNext/>
              <w:ind w:left="0" w:right="53" w:firstLine="0"/>
              <w:rPr>
                <w:lang w:val="hu-HU"/>
              </w:rPr>
            </w:pPr>
            <w:r w:rsidRPr="00183B5F">
              <w:rPr>
                <w:lang w:val="hu-HU"/>
              </w:rPr>
              <w:t>71 (41,5)</w:t>
            </w:r>
          </w:p>
        </w:tc>
        <w:tc>
          <w:tcPr>
            <w:tcW w:w="3239" w:type="dxa"/>
            <w:tcBorders>
              <w:top w:val="single" w:sz="4" w:space="0" w:color="auto"/>
              <w:left w:val="single" w:sz="4" w:space="0" w:color="auto"/>
              <w:bottom w:val="single" w:sz="4" w:space="0" w:color="auto"/>
              <w:right w:val="single" w:sz="4" w:space="0" w:color="auto"/>
            </w:tcBorders>
            <w:hideMark/>
          </w:tcPr>
          <w:p w14:paraId="41F69D29" w14:textId="77777777" w:rsidR="000A1DA2" w:rsidRPr="00183B5F" w:rsidRDefault="00943743" w:rsidP="000A1DA2">
            <w:pPr>
              <w:pStyle w:val="BodyTextIndent"/>
              <w:keepNext/>
              <w:ind w:left="0" w:right="53" w:firstLine="0"/>
              <w:rPr>
                <w:lang w:val="hu-HU"/>
              </w:rPr>
            </w:pPr>
            <w:r w:rsidRPr="00183B5F">
              <w:rPr>
                <w:lang w:val="hu-HU"/>
              </w:rPr>
              <w:t>20, 25, ill. 40 mg</w:t>
            </w:r>
          </w:p>
        </w:tc>
      </w:tr>
      <w:tr w:rsidR="00011D2F" w14:paraId="546937B5" w14:textId="77777777" w:rsidTr="000A1DA2">
        <w:trPr>
          <w:cantSplit/>
        </w:trPr>
        <w:tc>
          <w:tcPr>
            <w:tcW w:w="2418" w:type="dxa"/>
            <w:tcBorders>
              <w:top w:val="single" w:sz="4" w:space="0" w:color="auto"/>
              <w:left w:val="single" w:sz="4" w:space="0" w:color="auto"/>
              <w:bottom w:val="single" w:sz="4" w:space="0" w:color="auto"/>
              <w:right w:val="single" w:sz="4" w:space="0" w:color="auto"/>
            </w:tcBorders>
            <w:hideMark/>
          </w:tcPr>
          <w:p w14:paraId="445B914D" w14:textId="77777777" w:rsidR="000A1DA2" w:rsidRPr="00183B5F" w:rsidRDefault="00943743" w:rsidP="000A1DA2">
            <w:pPr>
              <w:pStyle w:val="BodyTextIndent"/>
              <w:ind w:left="0" w:right="53" w:firstLine="0"/>
              <w:rPr>
                <w:lang w:val="hu-HU"/>
              </w:rPr>
            </w:pPr>
            <w:r w:rsidRPr="00183B5F">
              <w:rPr>
                <w:lang w:val="hu-HU"/>
              </w:rPr>
              <w:t>13 – 17 év</w:t>
            </w:r>
          </w:p>
        </w:tc>
        <w:tc>
          <w:tcPr>
            <w:tcW w:w="3520" w:type="dxa"/>
            <w:tcBorders>
              <w:top w:val="single" w:sz="4" w:space="0" w:color="auto"/>
              <w:left w:val="single" w:sz="4" w:space="0" w:color="auto"/>
              <w:bottom w:val="single" w:sz="4" w:space="0" w:color="auto"/>
              <w:right w:val="single" w:sz="4" w:space="0" w:color="auto"/>
            </w:tcBorders>
            <w:hideMark/>
          </w:tcPr>
          <w:p w14:paraId="07E21D7A" w14:textId="77777777" w:rsidR="000A1DA2" w:rsidRPr="00183B5F" w:rsidRDefault="00943743" w:rsidP="000A1DA2">
            <w:pPr>
              <w:pStyle w:val="BodyTextIndent"/>
              <w:ind w:left="0" w:right="53" w:firstLine="0"/>
              <w:rPr>
                <w:lang w:val="hu-HU"/>
              </w:rPr>
            </w:pPr>
            <w:r w:rsidRPr="00183B5F">
              <w:rPr>
                <w:lang w:val="hu-HU"/>
              </w:rPr>
              <w:t>69 (40,4)</w:t>
            </w:r>
          </w:p>
        </w:tc>
        <w:tc>
          <w:tcPr>
            <w:tcW w:w="3239" w:type="dxa"/>
            <w:tcBorders>
              <w:top w:val="single" w:sz="4" w:space="0" w:color="auto"/>
              <w:left w:val="single" w:sz="4" w:space="0" w:color="auto"/>
              <w:bottom w:val="single" w:sz="4" w:space="0" w:color="auto"/>
              <w:right w:val="single" w:sz="4" w:space="0" w:color="auto"/>
            </w:tcBorders>
            <w:hideMark/>
          </w:tcPr>
          <w:p w14:paraId="08919762" w14:textId="77777777" w:rsidR="000A1DA2" w:rsidRPr="00183B5F" w:rsidRDefault="00943743" w:rsidP="000A1DA2">
            <w:pPr>
              <w:pStyle w:val="BodyTextIndent"/>
              <w:ind w:left="0" w:right="53" w:firstLine="0"/>
              <w:rPr>
                <w:lang w:val="hu-HU"/>
              </w:rPr>
            </w:pPr>
            <w:r w:rsidRPr="00183B5F">
              <w:rPr>
                <w:lang w:val="hu-HU"/>
              </w:rPr>
              <w:t>25, 40, ill. 40 mg</w:t>
            </w:r>
          </w:p>
        </w:tc>
      </w:tr>
    </w:tbl>
    <w:p w14:paraId="638B01EE" w14:textId="77777777" w:rsidR="000A1DA2" w:rsidRPr="00183B5F" w:rsidRDefault="000A1DA2" w:rsidP="000A1DA2">
      <w:pPr>
        <w:tabs>
          <w:tab w:val="left" w:pos="6840"/>
        </w:tabs>
        <w:autoSpaceDE w:val="0"/>
        <w:autoSpaceDN w:val="0"/>
        <w:adjustRightInd w:val="0"/>
        <w:spacing w:line="240" w:lineRule="auto"/>
        <w:ind w:right="53"/>
        <w:rPr>
          <w:szCs w:val="22"/>
        </w:rPr>
      </w:pPr>
    </w:p>
    <w:p w14:paraId="66D5E5DE" w14:textId="77777777" w:rsidR="000A1DA2" w:rsidRPr="00183B5F" w:rsidRDefault="00943743" w:rsidP="000A1DA2">
      <w:pPr>
        <w:tabs>
          <w:tab w:val="left" w:pos="6840"/>
        </w:tabs>
        <w:autoSpaceDE w:val="0"/>
        <w:autoSpaceDN w:val="0"/>
        <w:adjustRightInd w:val="0"/>
        <w:spacing w:line="240" w:lineRule="auto"/>
        <w:ind w:right="53"/>
        <w:rPr>
          <w:szCs w:val="22"/>
        </w:rPr>
      </w:pPr>
      <w:r w:rsidRPr="00183B5F">
        <w:rPr>
          <w:szCs w:val="22"/>
        </w:rPr>
        <w:t>Azok a betegek, akik 16. héten Pediátriai ACR 30 választ mutattak, alkalmasak voltak arra, hogy véletlenszerűen besorolják őket a kettős vak (DB) fázisba, melyben minden második héten 24 mg/m</w:t>
      </w:r>
      <w:r w:rsidRPr="00183B5F">
        <w:rPr>
          <w:szCs w:val="22"/>
          <w:vertAlign w:val="superscript"/>
        </w:rPr>
        <w:t>2</w:t>
      </w:r>
      <w:r w:rsidRPr="00183B5F">
        <w:rPr>
          <w:szCs w:val="22"/>
        </w:rPr>
        <w:t>, de legfeljebb 40 mg Humira</w:t>
      </w:r>
      <w:r w:rsidRPr="00183B5F">
        <w:rPr>
          <w:szCs w:val="22"/>
        </w:rPr>
        <w:noBreakHyphen/>
        <w:t>t vagy placebót kaptak további 32 héten át, vagy a betegség fellángolásáig. A betegség fellángolásának kritériumait a következőképpen határozták meg: a 6 Pediátriai ACR-alapkritérium közül 3 vagy több esetében legalább 30%</w:t>
      </w:r>
      <w:r w:rsidRPr="00183B5F">
        <w:rPr>
          <w:szCs w:val="22"/>
        </w:rPr>
        <w:noBreakHyphen/>
        <w:t>os romlás a kiindulási állapothoz képest, legalább 2 vagy több aktív ízület megléte, és a 6 kritérium közül legfeljebb 1</w:t>
      </w:r>
      <w:r w:rsidRPr="00183B5F">
        <w:rPr>
          <w:szCs w:val="22"/>
        </w:rPr>
        <w:noBreakHyphen/>
        <w:t xml:space="preserve">ben észlelhető 30%-nál nagyobb mértékű javulás. A 32. hét után vagy a betegség fellángolása esetén a betegek alkalmasak voltak arra, hogy </w:t>
      </w:r>
      <w:r w:rsidRPr="00183B5F">
        <w:rPr>
          <w:szCs w:val="22"/>
        </w:rPr>
        <w:t>beválasszák őket a nyílt kiterjesztéses fázisba.</w:t>
      </w:r>
    </w:p>
    <w:p w14:paraId="36E070C2" w14:textId="77777777" w:rsidR="000A1DA2" w:rsidRPr="00183B5F" w:rsidRDefault="000A1DA2" w:rsidP="000A1DA2">
      <w:pPr>
        <w:tabs>
          <w:tab w:val="left" w:pos="6840"/>
        </w:tabs>
        <w:autoSpaceDE w:val="0"/>
        <w:autoSpaceDN w:val="0"/>
        <w:adjustRightInd w:val="0"/>
        <w:spacing w:line="240" w:lineRule="auto"/>
        <w:ind w:right="53"/>
        <w:rPr>
          <w:szCs w:val="22"/>
        </w:rPr>
      </w:pPr>
    </w:p>
    <w:p w14:paraId="5B5286A9" w14:textId="77777777" w:rsidR="000A1DA2" w:rsidRPr="00183B5F" w:rsidRDefault="00943743" w:rsidP="000A1DA2">
      <w:pPr>
        <w:pStyle w:val="BodyTextIndent"/>
        <w:keepNext/>
        <w:ind w:left="110" w:right="58" w:firstLine="0"/>
        <w:jc w:val="center"/>
        <w:rPr>
          <w:b/>
          <w:lang w:val="hu-HU"/>
        </w:rPr>
      </w:pPr>
      <w:r w:rsidRPr="00183B5F">
        <w:rPr>
          <w:b/>
          <w:szCs w:val="22"/>
          <w:lang w:val="hu-HU"/>
        </w:rPr>
        <w:t>18</w:t>
      </w:r>
      <w:r w:rsidRPr="00183B5F">
        <w:rPr>
          <w:b/>
          <w:lang w:val="hu-HU"/>
        </w:rPr>
        <w:t>. táblázat</w:t>
      </w:r>
    </w:p>
    <w:p w14:paraId="0804E67A" w14:textId="77777777" w:rsidR="000A1DA2" w:rsidRPr="00183B5F" w:rsidRDefault="00943743" w:rsidP="000A1DA2">
      <w:pPr>
        <w:pStyle w:val="BodyTextIndent"/>
        <w:keepNext/>
        <w:ind w:left="110" w:right="58" w:firstLine="0"/>
        <w:jc w:val="center"/>
        <w:rPr>
          <w:b/>
          <w:lang w:val="hu-HU"/>
        </w:rPr>
      </w:pPr>
      <w:r w:rsidRPr="00183B5F">
        <w:rPr>
          <w:b/>
          <w:lang w:val="hu-HU"/>
        </w:rPr>
        <w:t>Pediátriai ACR 30 válasz a JIA-vizsgálatban</w:t>
      </w:r>
    </w:p>
    <w:p w14:paraId="3F0A8B12" w14:textId="77777777" w:rsidR="000A1DA2" w:rsidRPr="00183B5F" w:rsidRDefault="000A1DA2" w:rsidP="000A1DA2">
      <w:pPr>
        <w:pStyle w:val="BodyTextIndent"/>
        <w:keepNext/>
        <w:ind w:left="110" w:right="58" w:firstLine="0"/>
        <w:jc w:val="center"/>
        <w:rPr>
          <w:b/>
          <w:lang w:val="hu-HU"/>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0"/>
        <w:gridCol w:w="1730"/>
        <w:gridCol w:w="1733"/>
        <w:gridCol w:w="1581"/>
        <w:gridCol w:w="1527"/>
      </w:tblGrid>
      <w:tr w:rsidR="00011D2F" w14:paraId="058E2F86" w14:textId="77777777" w:rsidTr="000A1DA2">
        <w:trPr>
          <w:cantSplit/>
          <w:tblHeader/>
        </w:trPr>
        <w:tc>
          <w:tcPr>
            <w:tcW w:w="2418" w:type="dxa"/>
            <w:tcBorders>
              <w:top w:val="single" w:sz="4" w:space="0" w:color="auto"/>
              <w:left w:val="single" w:sz="4" w:space="0" w:color="auto"/>
              <w:bottom w:val="single" w:sz="4" w:space="0" w:color="auto"/>
              <w:right w:val="single" w:sz="4" w:space="0" w:color="auto"/>
            </w:tcBorders>
            <w:hideMark/>
          </w:tcPr>
          <w:p w14:paraId="12860696" w14:textId="77777777" w:rsidR="000A1DA2" w:rsidRPr="00183B5F" w:rsidRDefault="00943743" w:rsidP="000A1DA2">
            <w:pPr>
              <w:pStyle w:val="BodyTextIndent"/>
              <w:keepNext/>
              <w:ind w:left="0" w:right="58" w:firstLine="0"/>
              <w:rPr>
                <w:b/>
                <w:lang w:val="hu-HU"/>
              </w:rPr>
            </w:pPr>
            <w:r w:rsidRPr="00183B5F">
              <w:rPr>
                <w:b/>
                <w:lang w:val="hu-HU"/>
              </w:rPr>
              <w:t>Betegcsoport</w:t>
            </w:r>
          </w:p>
        </w:tc>
        <w:tc>
          <w:tcPr>
            <w:tcW w:w="3520" w:type="dxa"/>
            <w:gridSpan w:val="2"/>
            <w:tcBorders>
              <w:top w:val="single" w:sz="4" w:space="0" w:color="auto"/>
              <w:left w:val="single" w:sz="4" w:space="0" w:color="auto"/>
              <w:bottom w:val="single" w:sz="4" w:space="0" w:color="auto"/>
              <w:right w:val="single" w:sz="4" w:space="0" w:color="auto"/>
            </w:tcBorders>
            <w:hideMark/>
          </w:tcPr>
          <w:p w14:paraId="3AB76230" w14:textId="77777777" w:rsidR="000A1DA2" w:rsidRPr="00183B5F" w:rsidRDefault="00943743" w:rsidP="000A1DA2">
            <w:pPr>
              <w:pStyle w:val="BodyTextIndent"/>
              <w:keepNext/>
              <w:ind w:left="0" w:right="58" w:firstLine="0"/>
              <w:jc w:val="center"/>
              <w:rPr>
                <w:b/>
                <w:lang w:val="hu-HU"/>
              </w:rPr>
            </w:pPr>
            <w:r w:rsidRPr="00183B5F">
              <w:rPr>
                <w:b/>
                <w:lang w:val="hu-HU"/>
              </w:rPr>
              <w:t>MTX-tal kezelt</w:t>
            </w:r>
          </w:p>
        </w:tc>
        <w:tc>
          <w:tcPr>
            <w:tcW w:w="3239" w:type="dxa"/>
            <w:gridSpan w:val="2"/>
            <w:tcBorders>
              <w:top w:val="single" w:sz="4" w:space="0" w:color="auto"/>
              <w:left w:val="single" w:sz="4" w:space="0" w:color="auto"/>
              <w:bottom w:val="single" w:sz="4" w:space="0" w:color="auto"/>
              <w:right w:val="single" w:sz="4" w:space="0" w:color="auto"/>
            </w:tcBorders>
            <w:hideMark/>
          </w:tcPr>
          <w:p w14:paraId="283EA009" w14:textId="77777777" w:rsidR="000A1DA2" w:rsidRPr="00183B5F" w:rsidRDefault="00943743" w:rsidP="000A1DA2">
            <w:pPr>
              <w:pStyle w:val="BodyTextIndent"/>
              <w:keepNext/>
              <w:ind w:left="0" w:right="58" w:firstLine="0"/>
              <w:jc w:val="center"/>
              <w:rPr>
                <w:b/>
                <w:lang w:val="hu-HU"/>
              </w:rPr>
            </w:pPr>
            <w:r w:rsidRPr="00183B5F">
              <w:rPr>
                <w:b/>
                <w:lang w:val="hu-HU"/>
              </w:rPr>
              <w:t>MTX-tal nem kezelt</w:t>
            </w:r>
          </w:p>
        </w:tc>
      </w:tr>
      <w:tr w:rsidR="00011D2F" w14:paraId="3206D049" w14:textId="77777777" w:rsidTr="000A1DA2">
        <w:trPr>
          <w:cantSplit/>
          <w:tblHeader/>
        </w:trPr>
        <w:tc>
          <w:tcPr>
            <w:tcW w:w="2418" w:type="dxa"/>
            <w:tcBorders>
              <w:top w:val="single" w:sz="4" w:space="0" w:color="auto"/>
              <w:left w:val="single" w:sz="4" w:space="0" w:color="auto"/>
              <w:bottom w:val="single" w:sz="4" w:space="0" w:color="auto"/>
              <w:right w:val="single" w:sz="4" w:space="0" w:color="auto"/>
            </w:tcBorders>
            <w:hideMark/>
          </w:tcPr>
          <w:p w14:paraId="3AC1C846" w14:textId="77777777" w:rsidR="000A1DA2" w:rsidRPr="00183B5F" w:rsidRDefault="00943743" w:rsidP="000A1DA2">
            <w:pPr>
              <w:pStyle w:val="BodyTextIndent"/>
              <w:keepNext/>
              <w:ind w:left="0" w:right="58" w:firstLine="0"/>
              <w:rPr>
                <w:b/>
                <w:lang w:val="hu-HU"/>
              </w:rPr>
            </w:pPr>
            <w:r w:rsidRPr="00183B5F">
              <w:rPr>
                <w:b/>
                <w:lang w:val="hu-HU"/>
              </w:rPr>
              <w:t>Szakasz</w:t>
            </w:r>
          </w:p>
        </w:tc>
        <w:tc>
          <w:tcPr>
            <w:tcW w:w="3520" w:type="dxa"/>
            <w:gridSpan w:val="2"/>
            <w:tcBorders>
              <w:top w:val="single" w:sz="4" w:space="0" w:color="auto"/>
              <w:left w:val="single" w:sz="4" w:space="0" w:color="auto"/>
              <w:bottom w:val="single" w:sz="4" w:space="0" w:color="auto"/>
              <w:right w:val="single" w:sz="4" w:space="0" w:color="auto"/>
            </w:tcBorders>
          </w:tcPr>
          <w:p w14:paraId="372CFFCB" w14:textId="77777777" w:rsidR="000A1DA2" w:rsidRPr="00183B5F" w:rsidRDefault="000A1DA2" w:rsidP="000A1DA2">
            <w:pPr>
              <w:pStyle w:val="BodyTextIndent"/>
              <w:keepNext/>
              <w:ind w:left="0" w:right="58" w:firstLine="0"/>
              <w:jc w:val="center"/>
              <w:rPr>
                <w:b/>
                <w:lang w:val="hu-HU"/>
              </w:rPr>
            </w:pPr>
          </w:p>
        </w:tc>
        <w:tc>
          <w:tcPr>
            <w:tcW w:w="3239" w:type="dxa"/>
            <w:gridSpan w:val="2"/>
            <w:tcBorders>
              <w:top w:val="single" w:sz="4" w:space="0" w:color="auto"/>
              <w:left w:val="single" w:sz="4" w:space="0" w:color="auto"/>
              <w:bottom w:val="single" w:sz="4" w:space="0" w:color="auto"/>
              <w:right w:val="single" w:sz="4" w:space="0" w:color="auto"/>
            </w:tcBorders>
          </w:tcPr>
          <w:p w14:paraId="545DEAD5" w14:textId="77777777" w:rsidR="000A1DA2" w:rsidRPr="00183B5F" w:rsidRDefault="000A1DA2" w:rsidP="000A1DA2">
            <w:pPr>
              <w:pStyle w:val="BodyTextIndent"/>
              <w:keepNext/>
              <w:ind w:left="0" w:right="58" w:firstLine="0"/>
              <w:jc w:val="center"/>
              <w:rPr>
                <w:b/>
                <w:lang w:val="hu-HU"/>
              </w:rPr>
            </w:pPr>
          </w:p>
        </w:tc>
      </w:tr>
      <w:tr w:rsidR="00011D2F" w14:paraId="170A4725" w14:textId="77777777" w:rsidTr="000A1DA2">
        <w:trPr>
          <w:cantSplit/>
          <w:tblHeader/>
        </w:trPr>
        <w:tc>
          <w:tcPr>
            <w:tcW w:w="2418" w:type="dxa"/>
            <w:tcBorders>
              <w:top w:val="single" w:sz="4" w:space="0" w:color="auto"/>
              <w:left w:val="single" w:sz="4" w:space="0" w:color="auto"/>
              <w:bottom w:val="single" w:sz="4" w:space="0" w:color="auto"/>
              <w:right w:val="single" w:sz="4" w:space="0" w:color="auto"/>
            </w:tcBorders>
            <w:hideMark/>
          </w:tcPr>
          <w:p w14:paraId="4A71515E" w14:textId="77777777" w:rsidR="000A1DA2" w:rsidRPr="00183B5F" w:rsidRDefault="00943743" w:rsidP="000A1DA2">
            <w:pPr>
              <w:pStyle w:val="BodyTextIndent"/>
              <w:keepNext/>
              <w:ind w:left="0" w:right="58" w:firstLine="0"/>
              <w:rPr>
                <w:lang w:val="hu-HU"/>
              </w:rPr>
            </w:pPr>
            <w:r w:rsidRPr="00183B5F">
              <w:rPr>
                <w:lang w:val="hu-HU"/>
              </w:rPr>
              <w:t>OL-LI, 16 hét</w:t>
            </w:r>
          </w:p>
        </w:tc>
        <w:tc>
          <w:tcPr>
            <w:tcW w:w="3520" w:type="dxa"/>
            <w:gridSpan w:val="2"/>
            <w:tcBorders>
              <w:top w:val="single" w:sz="4" w:space="0" w:color="auto"/>
              <w:left w:val="single" w:sz="4" w:space="0" w:color="auto"/>
              <w:bottom w:val="single" w:sz="4" w:space="0" w:color="auto"/>
              <w:right w:val="single" w:sz="4" w:space="0" w:color="auto"/>
            </w:tcBorders>
          </w:tcPr>
          <w:p w14:paraId="784B5C9C" w14:textId="77777777" w:rsidR="000A1DA2" w:rsidRPr="00183B5F" w:rsidRDefault="000A1DA2" w:rsidP="000A1DA2">
            <w:pPr>
              <w:pStyle w:val="BodyTextIndent"/>
              <w:keepNext/>
              <w:ind w:left="0" w:right="58" w:firstLine="0"/>
              <w:jc w:val="center"/>
              <w:rPr>
                <w:lang w:val="hu-HU"/>
              </w:rPr>
            </w:pPr>
          </w:p>
        </w:tc>
        <w:tc>
          <w:tcPr>
            <w:tcW w:w="3239" w:type="dxa"/>
            <w:gridSpan w:val="2"/>
            <w:tcBorders>
              <w:top w:val="single" w:sz="4" w:space="0" w:color="auto"/>
              <w:left w:val="single" w:sz="4" w:space="0" w:color="auto"/>
              <w:bottom w:val="single" w:sz="4" w:space="0" w:color="auto"/>
              <w:right w:val="single" w:sz="4" w:space="0" w:color="auto"/>
            </w:tcBorders>
          </w:tcPr>
          <w:p w14:paraId="7E2CC83A" w14:textId="77777777" w:rsidR="000A1DA2" w:rsidRPr="00183B5F" w:rsidRDefault="000A1DA2" w:rsidP="000A1DA2">
            <w:pPr>
              <w:pStyle w:val="BodyTextIndent"/>
              <w:keepNext/>
              <w:ind w:left="0" w:right="58" w:firstLine="0"/>
              <w:jc w:val="center"/>
              <w:rPr>
                <w:lang w:val="hu-HU"/>
              </w:rPr>
            </w:pPr>
          </w:p>
        </w:tc>
      </w:tr>
      <w:tr w:rsidR="00011D2F" w14:paraId="34B32224" w14:textId="77777777" w:rsidTr="000A1DA2">
        <w:trPr>
          <w:cantSplit/>
          <w:tblHeader/>
        </w:trPr>
        <w:tc>
          <w:tcPr>
            <w:tcW w:w="2418" w:type="dxa"/>
            <w:tcBorders>
              <w:top w:val="single" w:sz="4" w:space="0" w:color="auto"/>
              <w:left w:val="single" w:sz="4" w:space="0" w:color="auto"/>
              <w:bottom w:val="single" w:sz="4" w:space="0" w:color="auto"/>
              <w:right w:val="single" w:sz="4" w:space="0" w:color="auto"/>
            </w:tcBorders>
            <w:hideMark/>
          </w:tcPr>
          <w:p w14:paraId="0058037A" w14:textId="77777777" w:rsidR="000A1DA2" w:rsidRPr="00183B5F" w:rsidRDefault="00943743" w:rsidP="000A1DA2">
            <w:pPr>
              <w:pStyle w:val="BodyTextIndent"/>
              <w:keepNext/>
              <w:ind w:right="53" w:firstLine="0"/>
              <w:rPr>
                <w:lang w:val="hu-HU"/>
              </w:rPr>
            </w:pPr>
            <w:r w:rsidRPr="00183B5F">
              <w:rPr>
                <w:lang w:val="hu-HU"/>
              </w:rPr>
              <w:t>Ped ACR 30 válasz (n/N)</w:t>
            </w:r>
          </w:p>
        </w:tc>
        <w:tc>
          <w:tcPr>
            <w:tcW w:w="3520" w:type="dxa"/>
            <w:gridSpan w:val="2"/>
            <w:tcBorders>
              <w:top w:val="single" w:sz="4" w:space="0" w:color="auto"/>
              <w:left w:val="single" w:sz="4" w:space="0" w:color="auto"/>
              <w:bottom w:val="single" w:sz="4" w:space="0" w:color="auto"/>
              <w:right w:val="single" w:sz="4" w:space="0" w:color="auto"/>
            </w:tcBorders>
            <w:hideMark/>
          </w:tcPr>
          <w:p w14:paraId="4B8A192A" w14:textId="77777777" w:rsidR="000A1DA2" w:rsidRPr="00183B5F" w:rsidRDefault="00943743" w:rsidP="000A1DA2">
            <w:pPr>
              <w:pStyle w:val="BodyTextIndent"/>
              <w:keepNext/>
              <w:ind w:left="0" w:right="53" w:firstLine="0"/>
              <w:jc w:val="center"/>
              <w:rPr>
                <w:lang w:val="hu-HU"/>
              </w:rPr>
            </w:pPr>
            <w:r w:rsidRPr="00183B5F">
              <w:rPr>
                <w:lang w:val="hu-HU"/>
              </w:rPr>
              <w:t>94,1% (80/85)</w:t>
            </w:r>
          </w:p>
        </w:tc>
        <w:tc>
          <w:tcPr>
            <w:tcW w:w="3239" w:type="dxa"/>
            <w:gridSpan w:val="2"/>
            <w:tcBorders>
              <w:top w:val="single" w:sz="4" w:space="0" w:color="auto"/>
              <w:left w:val="single" w:sz="4" w:space="0" w:color="auto"/>
              <w:bottom w:val="single" w:sz="4" w:space="0" w:color="auto"/>
              <w:right w:val="single" w:sz="4" w:space="0" w:color="auto"/>
            </w:tcBorders>
            <w:hideMark/>
          </w:tcPr>
          <w:p w14:paraId="0BF442CB" w14:textId="77777777" w:rsidR="000A1DA2" w:rsidRPr="00183B5F" w:rsidRDefault="00943743" w:rsidP="000A1DA2">
            <w:pPr>
              <w:pStyle w:val="BodyTextIndent"/>
              <w:keepNext/>
              <w:ind w:left="0" w:right="53" w:firstLine="0"/>
              <w:jc w:val="center"/>
              <w:rPr>
                <w:lang w:val="hu-HU"/>
              </w:rPr>
            </w:pPr>
            <w:r w:rsidRPr="00183B5F">
              <w:rPr>
                <w:lang w:val="hu-HU"/>
              </w:rPr>
              <w:t>74,4% (64/86)</w:t>
            </w:r>
          </w:p>
        </w:tc>
      </w:tr>
      <w:tr w:rsidR="00011D2F" w14:paraId="2154A89E" w14:textId="77777777" w:rsidTr="000A1DA2">
        <w:trPr>
          <w:cantSplit/>
        </w:trPr>
        <w:tc>
          <w:tcPr>
            <w:tcW w:w="9177" w:type="dxa"/>
            <w:gridSpan w:val="5"/>
            <w:tcBorders>
              <w:top w:val="single" w:sz="4" w:space="0" w:color="auto"/>
              <w:left w:val="single" w:sz="4" w:space="0" w:color="auto"/>
              <w:bottom w:val="single" w:sz="4" w:space="0" w:color="auto"/>
              <w:right w:val="single" w:sz="4" w:space="0" w:color="auto"/>
            </w:tcBorders>
            <w:hideMark/>
          </w:tcPr>
          <w:p w14:paraId="573181FD" w14:textId="77777777" w:rsidR="000A1DA2" w:rsidRPr="00183B5F" w:rsidRDefault="00943743" w:rsidP="000A1DA2">
            <w:pPr>
              <w:pStyle w:val="BodyTextIndent"/>
              <w:keepNext/>
              <w:ind w:left="0" w:right="53" w:firstLine="0"/>
              <w:jc w:val="center"/>
              <w:rPr>
                <w:lang w:val="hu-HU"/>
              </w:rPr>
            </w:pPr>
            <w:r w:rsidRPr="00183B5F">
              <w:rPr>
                <w:lang w:val="hu-HU"/>
              </w:rPr>
              <w:t>Hatásossági végpontok</w:t>
            </w:r>
          </w:p>
        </w:tc>
      </w:tr>
      <w:tr w:rsidR="00011D2F" w14:paraId="2AFBC949" w14:textId="77777777" w:rsidTr="000A1DA2">
        <w:tc>
          <w:tcPr>
            <w:tcW w:w="2418" w:type="dxa"/>
            <w:tcBorders>
              <w:top w:val="single" w:sz="4" w:space="0" w:color="auto"/>
              <w:left w:val="single" w:sz="4" w:space="0" w:color="auto"/>
              <w:bottom w:val="single" w:sz="4" w:space="0" w:color="auto"/>
              <w:right w:val="single" w:sz="4" w:space="0" w:color="auto"/>
            </w:tcBorders>
            <w:hideMark/>
          </w:tcPr>
          <w:p w14:paraId="47D589D8" w14:textId="77777777" w:rsidR="000A1DA2" w:rsidRPr="00183B5F" w:rsidRDefault="00943743" w:rsidP="000A1DA2">
            <w:pPr>
              <w:pStyle w:val="BodyTextIndent"/>
              <w:keepNext/>
              <w:ind w:left="0" w:right="53" w:firstLine="0"/>
              <w:rPr>
                <w:lang w:val="hu-HU"/>
              </w:rPr>
            </w:pPr>
            <w:r w:rsidRPr="00183B5F">
              <w:rPr>
                <w:lang w:val="hu-HU"/>
              </w:rPr>
              <w:t>Kettős vak, 32 hét</w:t>
            </w:r>
          </w:p>
        </w:tc>
        <w:tc>
          <w:tcPr>
            <w:tcW w:w="1760" w:type="dxa"/>
            <w:tcBorders>
              <w:top w:val="single" w:sz="4" w:space="0" w:color="auto"/>
              <w:left w:val="single" w:sz="4" w:space="0" w:color="auto"/>
              <w:bottom w:val="single" w:sz="4" w:space="0" w:color="auto"/>
              <w:right w:val="single" w:sz="4" w:space="0" w:color="auto"/>
            </w:tcBorders>
          </w:tcPr>
          <w:p w14:paraId="6615F224" w14:textId="77777777" w:rsidR="000A1DA2" w:rsidRPr="00183B5F" w:rsidRDefault="00943743" w:rsidP="000A1DA2">
            <w:pPr>
              <w:pStyle w:val="BodyTextIndent"/>
              <w:keepNext/>
              <w:ind w:left="0" w:right="53" w:firstLine="0"/>
              <w:rPr>
                <w:lang w:val="hu-HU"/>
              </w:rPr>
            </w:pPr>
            <w:r w:rsidRPr="00183B5F">
              <w:rPr>
                <w:lang w:val="hu-HU"/>
              </w:rPr>
              <w:t xml:space="preserve">Humira/MTX </w:t>
            </w:r>
          </w:p>
          <w:p w14:paraId="72F744A3" w14:textId="77777777" w:rsidR="000A1DA2" w:rsidRPr="00183B5F" w:rsidRDefault="00943743" w:rsidP="000A1DA2">
            <w:pPr>
              <w:pStyle w:val="BodyTextIndent"/>
              <w:keepNext/>
              <w:ind w:left="0" w:right="53" w:firstLine="0"/>
              <w:rPr>
                <w:lang w:val="hu-HU"/>
              </w:rPr>
            </w:pPr>
            <w:r w:rsidRPr="00183B5F">
              <w:rPr>
                <w:lang w:val="hu-HU"/>
              </w:rPr>
              <w:t>(N = 38)</w:t>
            </w:r>
          </w:p>
          <w:p w14:paraId="13112132" w14:textId="77777777" w:rsidR="000A1DA2" w:rsidRPr="00183B5F" w:rsidRDefault="000A1DA2" w:rsidP="000A1DA2">
            <w:pPr>
              <w:pStyle w:val="BodyTextIndent"/>
              <w:keepNext/>
              <w:ind w:left="0" w:right="53" w:firstLine="0"/>
              <w:rPr>
                <w:lang w:val="hu-HU"/>
              </w:rPr>
            </w:pPr>
          </w:p>
        </w:tc>
        <w:tc>
          <w:tcPr>
            <w:tcW w:w="1760" w:type="dxa"/>
            <w:tcBorders>
              <w:top w:val="single" w:sz="4" w:space="0" w:color="auto"/>
              <w:left w:val="single" w:sz="4" w:space="0" w:color="auto"/>
              <w:bottom w:val="single" w:sz="4" w:space="0" w:color="auto"/>
              <w:right w:val="single" w:sz="4" w:space="0" w:color="auto"/>
            </w:tcBorders>
            <w:hideMark/>
          </w:tcPr>
          <w:p w14:paraId="133337EF" w14:textId="77777777" w:rsidR="000A1DA2" w:rsidRPr="00183B5F" w:rsidRDefault="00943743" w:rsidP="000A1DA2">
            <w:pPr>
              <w:pStyle w:val="BodyTextIndent"/>
              <w:keepNext/>
              <w:ind w:left="0" w:right="53" w:firstLine="0"/>
              <w:rPr>
                <w:lang w:val="hu-HU"/>
              </w:rPr>
            </w:pPr>
            <w:r w:rsidRPr="00183B5F">
              <w:rPr>
                <w:lang w:val="hu-HU"/>
              </w:rPr>
              <w:t>Placebo/MTX</w:t>
            </w:r>
          </w:p>
          <w:p w14:paraId="2EF58B37" w14:textId="77777777" w:rsidR="000A1DA2" w:rsidRPr="00183B5F" w:rsidRDefault="00943743" w:rsidP="000A1DA2">
            <w:pPr>
              <w:pStyle w:val="BodyTextIndent"/>
              <w:keepNext/>
              <w:ind w:left="0" w:right="53" w:firstLine="0"/>
              <w:rPr>
                <w:lang w:val="hu-HU"/>
              </w:rPr>
            </w:pPr>
            <w:r w:rsidRPr="00183B5F">
              <w:rPr>
                <w:lang w:val="hu-HU"/>
              </w:rPr>
              <w:t>(N = 37)</w:t>
            </w:r>
          </w:p>
        </w:tc>
        <w:tc>
          <w:tcPr>
            <w:tcW w:w="1650" w:type="dxa"/>
            <w:tcBorders>
              <w:top w:val="single" w:sz="4" w:space="0" w:color="auto"/>
              <w:left w:val="single" w:sz="4" w:space="0" w:color="auto"/>
              <w:bottom w:val="single" w:sz="4" w:space="0" w:color="auto"/>
              <w:right w:val="single" w:sz="4" w:space="0" w:color="auto"/>
            </w:tcBorders>
            <w:hideMark/>
          </w:tcPr>
          <w:p w14:paraId="1CEA8A16" w14:textId="77777777" w:rsidR="000A1DA2" w:rsidRPr="00183B5F" w:rsidRDefault="00943743" w:rsidP="000A1DA2">
            <w:pPr>
              <w:pStyle w:val="BodyTextIndent"/>
              <w:keepNext/>
              <w:ind w:left="0" w:right="53" w:firstLine="0"/>
              <w:rPr>
                <w:lang w:val="hu-HU"/>
              </w:rPr>
            </w:pPr>
            <w:r w:rsidRPr="00183B5F">
              <w:rPr>
                <w:lang w:val="hu-HU"/>
              </w:rPr>
              <w:t xml:space="preserve">Humira </w:t>
            </w:r>
          </w:p>
          <w:p w14:paraId="6CC01DF2" w14:textId="77777777" w:rsidR="000A1DA2" w:rsidRPr="00183B5F" w:rsidRDefault="00943743" w:rsidP="000A1DA2">
            <w:pPr>
              <w:pStyle w:val="BodyTextIndent"/>
              <w:keepNext/>
              <w:ind w:left="0" w:right="53" w:firstLine="0"/>
              <w:rPr>
                <w:lang w:val="hu-HU"/>
              </w:rPr>
            </w:pPr>
            <w:r w:rsidRPr="00183B5F">
              <w:rPr>
                <w:lang w:val="hu-HU"/>
              </w:rPr>
              <w:t>(N = 30)</w:t>
            </w:r>
          </w:p>
        </w:tc>
        <w:tc>
          <w:tcPr>
            <w:tcW w:w="1589" w:type="dxa"/>
            <w:tcBorders>
              <w:top w:val="single" w:sz="4" w:space="0" w:color="auto"/>
              <w:left w:val="single" w:sz="4" w:space="0" w:color="auto"/>
              <w:bottom w:val="single" w:sz="4" w:space="0" w:color="auto"/>
              <w:right w:val="single" w:sz="4" w:space="0" w:color="auto"/>
            </w:tcBorders>
            <w:hideMark/>
          </w:tcPr>
          <w:p w14:paraId="2149B059" w14:textId="77777777" w:rsidR="000A1DA2" w:rsidRPr="00183B5F" w:rsidRDefault="00943743" w:rsidP="000A1DA2">
            <w:pPr>
              <w:pStyle w:val="BodyTextIndent"/>
              <w:keepNext/>
              <w:ind w:left="0" w:right="53" w:firstLine="0"/>
              <w:rPr>
                <w:lang w:val="hu-HU"/>
              </w:rPr>
            </w:pPr>
            <w:r w:rsidRPr="00183B5F">
              <w:rPr>
                <w:lang w:val="hu-HU"/>
              </w:rPr>
              <w:t>Placebo</w:t>
            </w:r>
          </w:p>
          <w:p w14:paraId="22FEFB4F" w14:textId="77777777" w:rsidR="000A1DA2" w:rsidRPr="00183B5F" w:rsidRDefault="00943743" w:rsidP="000A1DA2">
            <w:pPr>
              <w:pStyle w:val="BodyTextIndent"/>
              <w:keepNext/>
              <w:ind w:left="0" w:right="53" w:firstLine="0"/>
              <w:rPr>
                <w:lang w:val="hu-HU"/>
              </w:rPr>
            </w:pPr>
            <w:r w:rsidRPr="00183B5F">
              <w:rPr>
                <w:lang w:val="hu-HU"/>
              </w:rPr>
              <w:t>(N = 28)</w:t>
            </w:r>
          </w:p>
        </w:tc>
      </w:tr>
      <w:tr w:rsidR="00011D2F" w14:paraId="53AB0ED9" w14:textId="77777777" w:rsidTr="000A1DA2">
        <w:tc>
          <w:tcPr>
            <w:tcW w:w="2418" w:type="dxa"/>
            <w:tcBorders>
              <w:top w:val="single" w:sz="4" w:space="0" w:color="auto"/>
              <w:left w:val="single" w:sz="4" w:space="0" w:color="auto"/>
              <w:bottom w:val="single" w:sz="4" w:space="0" w:color="auto"/>
              <w:right w:val="single" w:sz="4" w:space="0" w:color="auto"/>
            </w:tcBorders>
            <w:hideMark/>
          </w:tcPr>
          <w:p w14:paraId="1865C938" w14:textId="77777777" w:rsidR="000A1DA2" w:rsidRPr="00183B5F" w:rsidRDefault="00943743" w:rsidP="000A1DA2">
            <w:pPr>
              <w:pStyle w:val="BodyTextIndent"/>
              <w:keepNext/>
              <w:ind w:right="58" w:firstLine="0"/>
              <w:rPr>
                <w:lang w:val="hu-HU"/>
              </w:rPr>
            </w:pPr>
            <w:r w:rsidRPr="00183B5F">
              <w:rPr>
                <w:lang w:val="hu-HU"/>
              </w:rPr>
              <w:t>A betegség fellángolása a 32 hét végén</w:t>
            </w:r>
            <w:r w:rsidRPr="00183B5F">
              <w:rPr>
                <w:vertAlign w:val="superscript"/>
                <w:lang w:val="hu-HU"/>
              </w:rPr>
              <w:t>a</w:t>
            </w:r>
            <w:r w:rsidRPr="00183B5F">
              <w:rPr>
                <w:lang w:val="hu-HU"/>
              </w:rPr>
              <w:t xml:space="preserve"> (n/N)</w:t>
            </w:r>
          </w:p>
        </w:tc>
        <w:tc>
          <w:tcPr>
            <w:tcW w:w="1760" w:type="dxa"/>
            <w:tcBorders>
              <w:top w:val="single" w:sz="4" w:space="0" w:color="auto"/>
              <w:left w:val="single" w:sz="4" w:space="0" w:color="auto"/>
              <w:bottom w:val="single" w:sz="4" w:space="0" w:color="auto"/>
              <w:right w:val="single" w:sz="4" w:space="0" w:color="auto"/>
            </w:tcBorders>
            <w:hideMark/>
          </w:tcPr>
          <w:p w14:paraId="13E518B4" w14:textId="77777777" w:rsidR="000A1DA2" w:rsidRPr="00183B5F" w:rsidRDefault="00943743" w:rsidP="000A1DA2">
            <w:pPr>
              <w:pStyle w:val="BodyTextIndent"/>
              <w:keepNext/>
              <w:ind w:left="0" w:right="58" w:firstLine="0"/>
              <w:rPr>
                <w:lang w:val="hu-HU"/>
              </w:rPr>
            </w:pPr>
            <w:r w:rsidRPr="00183B5F">
              <w:rPr>
                <w:lang w:val="hu-HU"/>
              </w:rPr>
              <w:t>36,8% (14/38)</w:t>
            </w:r>
          </w:p>
        </w:tc>
        <w:tc>
          <w:tcPr>
            <w:tcW w:w="1760" w:type="dxa"/>
            <w:tcBorders>
              <w:top w:val="single" w:sz="4" w:space="0" w:color="auto"/>
              <w:left w:val="single" w:sz="4" w:space="0" w:color="auto"/>
              <w:bottom w:val="single" w:sz="4" w:space="0" w:color="auto"/>
              <w:right w:val="single" w:sz="4" w:space="0" w:color="auto"/>
            </w:tcBorders>
            <w:hideMark/>
          </w:tcPr>
          <w:p w14:paraId="56F15D13" w14:textId="77777777" w:rsidR="000A1DA2" w:rsidRPr="00183B5F" w:rsidRDefault="00943743" w:rsidP="000A1DA2">
            <w:pPr>
              <w:pStyle w:val="BodyTextIndent"/>
              <w:keepNext/>
              <w:ind w:left="0" w:right="58" w:firstLine="0"/>
              <w:rPr>
                <w:lang w:val="hu-HU"/>
              </w:rPr>
            </w:pPr>
            <w:r w:rsidRPr="00183B5F">
              <w:rPr>
                <w:lang w:val="hu-HU"/>
              </w:rPr>
              <w:t>64,9% (24/37)</w:t>
            </w:r>
            <w:r w:rsidRPr="00183B5F">
              <w:rPr>
                <w:vertAlign w:val="superscript"/>
                <w:lang w:val="hu-HU"/>
              </w:rPr>
              <w:t>b</w:t>
            </w:r>
          </w:p>
        </w:tc>
        <w:tc>
          <w:tcPr>
            <w:tcW w:w="1650" w:type="dxa"/>
            <w:tcBorders>
              <w:top w:val="single" w:sz="4" w:space="0" w:color="auto"/>
              <w:left w:val="single" w:sz="4" w:space="0" w:color="auto"/>
              <w:bottom w:val="single" w:sz="4" w:space="0" w:color="auto"/>
              <w:right w:val="single" w:sz="4" w:space="0" w:color="auto"/>
            </w:tcBorders>
            <w:hideMark/>
          </w:tcPr>
          <w:p w14:paraId="048C77C6" w14:textId="77777777" w:rsidR="000A1DA2" w:rsidRPr="00183B5F" w:rsidRDefault="00943743" w:rsidP="000A1DA2">
            <w:pPr>
              <w:pStyle w:val="BodyTextIndent"/>
              <w:keepNext/>
              <w:ind w:left="0" w:right="58" w:firstLine="0"/>
              <w:rPr>
                <w:lang w:val="hu-HU"/>
              </w:rPr>
            </w:pPr>
            <w:r w:rsidRPr="00183B5F">
              <w:rPr>
                <w:lang w:val="hu-HU"/>
              </w:rPr>
              <w:t>43,3% (13/30)</w:t>
            </w:r>
          </w:p>
        </w:tc>
        <w:tc>
          <w:tcPr>
            <w:tcW w:w="1589" w:type="dxa"/>
            <w:tcBorders>
              <w:top w:val="single" w:sz="4" w:space="0" w:color="auto"/>
              <w:left w:val="single" w:sz="4" w:space="0" w:color="auto"/>
              <w:bottom w:val="single" w:sz="4" w:space="0" w:color="auto"/>
              <w:right w:val="single" w:sz="4" w:space="0" w:color="auto"/>
            </w:tcBorders>
            <w:hideMark/>
          </w:tcPr>
          <w:p w14:paraId="1BDBA08D" w14:textId="77777777" w:rsidR="000A1DA2" w:rsidRPr="00183B5F" w:rsidRDefault="00943743" w:rsidP="000A1DA2">
            <w:pPr>
              <w:pStyle w:val="BodyTextIndent"/>
              <w:keepNext/>
              <w:ind w:left="0" w:right="58" w:firstLine="0"/>
              <w:rPr>
                <w:lang w:val="hu-HU"/>
              </w:rPr>
            </w:pPr>
            <w:r w:rsidRPr="00183B5F">
              <w:rPr>
                <w:lang w:val="hu-HU"/>
              </w:rPr>
              <w:t>71,4% (20/28)</w:t>
            </w:r>
            <w:r w:rsidRPr="00183B5F">
              <w:rPr>
                <w:vertAlign w:val="superscript"/>
                <w:lang w:val="hu-HU"/>
              </w:rPr>
              <w:t>c</w:t>
            </w:r>
          </w:p>
        </w:tc>
      </w:tr>
      <w:tr w:rsidR="00011D2F" w14:paraId="4E9F53B5" w14:textId="77777777" w:rsidTr="000A1DA2">
        <w:tc>
          <w:tcPr>
            <w:tcW w:w="2418" w:type="dxa"/>
            <w:tcBorders>
              <w:top w:val="single" w:sz="4" w:space="0" w:color="auto"/>
              <w:left w:val="single" w:sz="4" w:space="0" w:color="auto"/>
              <w:bottom w:val="single" w:sz="4" w:space="0" w:color="auto"/>
              <w:right w:val="single" w:sz="4" w:space="0" w:color="auto"/>
            </w:tcBorders>
            <w:hideMark/>
          </w:tcPr>
          <w:p w14:paraId="64657B90" w14:textId="77777777" w:rsidR="000A1DA2" w:rsidRPr="00183B5F" w:rsidRDefault="00943743" w:rsidP="000A1DA2">
            <w:pPr>
              <w:pStyle w:val="BodyTextIndent"/>
              <w:keepNext/>
              <w:ind w:right="53" w:firstLine="0"/>
              <w:rPr>
                <w:lang w:val="hu-HU"/>
              </w:rPr>
            </w:pPr>
            <w:r w:rsidRPr="00183B5F">
              <w:rPr>
                <w:lang w:val="hu-HU"/>
              </w:rPr>
              <w:t>A betegség fellángolásáig eltelt medián időtartam</w:t>
            </w:r>
          </w:p>
        </w:tc>
        <w:tc>
          <w:tcPr>
            <w:tcW w:w="1760" w:type="dxa"/>
            <w:tcBorders>
              <w:top w:val="single" w:sz="4" w:space="0" w:color="auto"/>
              <w:left w:val="single" w:sz="4" w:space="0" w:color="auto"/>
              <w:bottom w:val="single" w:sz="4" w:space="0" w:color="auto"/>
              <w:right w:val="single" w:sz="4" w:space="0" w:color="auto"/>
            </w:tcBorders>
            <w:hideMark/>
          </w:tcPr>
          <w:p w14:paraId="24423043" w14:textId="77777777" w:rsidR="000A1DA2" w:rsidRPr="00183B5F" w:rsidRDefault="00943743" w:rsidP="000A1DA2">
            <w:pPr>
              <w:pStyle w:val="BodyTextIndent"/>
              <w:keepNext/>
              <w:ind w:left="0" w:right="53" w:firstLine="0"/>
              <w:rPr>
                <w:lang w:val="hu-HU"/>
              </w:rPr>
            </w:pPr>
            <w:r w:rsidRPr="00183B5F">
              <w:rPr>
                <w:lang w:val="hu-HU"/>
              </w:rPr>
              <w:t>&gt;32 hét</w:t>
            </w:r>
          </w:p>
        </w:tc>
        <w:tc>
          <w:tcPr>
            <w:tcW w:w="1760" w:type="dxa"/>
            <w:tcBorders>
              <w:top w:val="single" w:sz="4" w:space="0" w:color="auto"/>
              <w:left w:val="single" w:sz="4" w:space="0" w:color="auto"/>
              <w:bottom w:val="single" w:sz="4" w:space="0" w:color="auto"/>
              <w:right w:val="single" w:sz="4" w:space="0" w:color="auto"/>
            </w:tcBorders>
            <w:hideMark/>
          </w:tcPr>
          <w:p w14:paraId="1A4231DD" w14:textId="77777777" w:rsidR="000A1DA2" w:rsidRPr="00183B5F" w:rsidRDefault="00943743" w:rsidP="000A1DA2">
            <w:pPr>
              <w:pStyle w:val="BodyTextIndent"/>
              <w:keepNext/>
              <w:ind w:left="0" w:right="53" w:firstLine="0"/>
              <w:rPr>
                <w:lang w:val="hu-HU"/>
              </w:rPr>
            </w:pPr>
            <w:r w:rsidRPr="00183B5F">
              <w:rPr>
                <w:lang w:val="hu-HU"/>
              </w:rPr>
              <w:t>20 hét</w:t>
            </w:r>
          </w:p>
        </w:tc>
        <w:tc>
          <w:tcPr>
            <w:tcW w:w="1650" w:type="dxa"/>
            <w:tcBorders>
              <w:top w:val="single" w:sz="4" w:space="0" w:color="auto"/>
              <w:left w:val="single" w:sz="4" w:space="0" w:color="auto"/>
              <w:bottom w:val="single" w:sz="4" w:space="0" w:color="auto"/>
              <w:right w:val="single" w:sz="4" w:space="0" w:color="auto"/>
            </w:tcBorders>
            <w:hideMark/>
          </w:tcPr>
          <w:p w14:paraId="787FB59C" w14:textId="77777777" w:rsidR="000A1DA2" w:rsidRPr="00183B5F" w:rsidRDefault="00943743" w:rsidP="000A1DA2">
            <w:pPr>
              <w:pStyle w:val="BodyTextIndent"/>
              <w:keepNext/>
              <w:ind w:left="0" w:right="53" w:firstLine="0"/>
              <w:rPr>
                <w:lang w:val="hu-HU"/>
              </w:rPr>
            </w:pPr>
            <w:r w:rsidRPr="00183B5F">
              <w:rPr>
                <w:lang w:val="hu-HU"/>
              </w:rPr>
              <w:t>&gt;32 hét</w:t>
            </w:r>
          </w:p>
        </w:tc>
        <w:tc>
          <w:tcPr>
            <w:tcW w:w="1589" w:type="dxa"/>
            <w:tcBorders>
              <w:top w:val="single" w:sz="4" w:space="0" w:color="auto"/>
              <w:left w:val="single" w:sz="4" w:space="0" w:color="auto"/>
              <w:bottom w:val="single" w:sz="4" w:space="0" w:color="auto"/>
              <w:right w:val="single" w:sz="4" w:space="0" w:color="auto"/>
            </w:tcBorders>
            <w:hideMark/>
          </w:tcPr>
          <w:p w14:paraId="56672911" w14:textId="77777777" w:rsidR="000A1DA2" w:rsidRPr="00183B5F" w:rsidRDefault="00943743" w:rsidP="000A1DA2">
            <w:pPr>
              <w:pStyle w:val="BodyTextIndent"/>
              <w:keepNext/>
              <w:ind w:left="0" w:right="53" w:firstLine="0"/>
              <w:rPr>
                <w:lang w:val="hu-HU"/>
              </w:rPr>
            </w:pPr>
            <w:r w:rsidRPr="00183B5F">
              <w:rPr>
                <w:lang w:val="hu-HU"/>
              </w:rPr>
              <w:t>14 hét</w:t>
            </w:r>
          </w:p>
        </w:tc>
      </w:tr>
    </w:tbl>
    <w:p w14:paraId="515B1B1F" w14:textId="77777777" w:rsidR="000A1DA2" w:rsidRPr="00183B5F" w:rsidRDefault="00943743" w:rsidP="000A1DA2">
      <w:pPr>
        <w:pStyle w:val="BodyTextIndent"/>
        <w:ind w:left="110" w:right="53" w:firstLine="0"/>
        <w:rPr>
          <w:i/>
          <w:lang w:val="hu-HU"/>
        </w:rPr>
      </w:pPr>
      <w:r w:rsidRPr="00183B5F">
        <w:rPr>
          <w:vertAlign w:val="superscript"/>
          <w:lang w:val="hu-HU"/>
        </w:rPr>
        <w:t xml:space="preserve">a </w:t>
      </w:r>
      <w:r w:rsidRPr="00183B5F">
        <w:rPr>
          <w:lang w:val="hu-HU"/>
        </w:rPr>
        <w:t>A 48. heti Pediátriai ACR 30/50/70 válaszok szignifikánsan magasabbak, mint a placebóval kezelt betegeknél kapott értékek</w:t>
      </w:r>
    </w:p>
    <w:p w14:paraId="2F2C6255" w14:textId="77777777" w:rsidR="000A1DA2" w:rsidRPr="00183B5F" w:rsidRDefault="00943743" w:rsidP="000A1DA2">
      <w:pPr>
        <w:pStyle w:val="BodyTextIndent"/>
        <w:ind w:left="110" w:right="53" w:firstLine="0"/>
        <w:rPr>
          <w:lang w:val="hu-HU"/>
        </w:rPr>
      </w:pPr>
      <w:r w:rsidRPr="00183B5F">
        <w:rPr>
          <w:vertAlign w:val="superscript"/>
          <w:lang w:val="hu-HU"/>
        </w:rPr>
        <w:t>b</w:t>
      </w:r>
      <w:r w:rsidRPr="00183B5F">
        <w:rPr>
          <w:lang w:val="hu-HU"/>
        </w:rPr>
        <w:t xml:space="preserve"> p = 0,015</w:t>
      </w:r>
    </w:p>
    <w:p w14:paraId="54C52A33" w14:textId="77777777" w:rsidR="000A1DA2" w:rsidRPr="00183B5F" w:rsidRDefault="00943743" w:rsidP="000A1DA2">
      <w:pPr>
        <w:pStyle w:val="BodyTextIndent"/>
        <w:ind w:left="110" w:right="53" w:firstLine="0"/>
        <w:rPr>
          <w:lang w:val="hu-HU"/>
        </w:rPr>
      </w:pPr>
      <w:r w:rsidRPr="00183B5F">
        <w:rPr>
          <w:vertAlign w:val="superscript"/>
          <w:lang w:val="hu-HU"/>
        </w:rPr>
        <w:t>c</w:t>
      </w:r>
      <w:r w:rsidRPr="00183B5F">
        <w:rPr>
          <w:lang w:val="hu-HU"/>
        </w:rPr>
        <w:t xml:space="preserve"> p = 0,031</w:t>
      </w:r>
    </w:p>
    <w:p w14:paraId="2AF0BFC5" w14:textId="77777777" w:rsidR="000A1DA2" w:rsidRPr="00183B5F" w:rsidRDefault="000A1DA2" w:rsidP="000A1DA2">
      <w:pPr>
        <w:pStyle w:val="EMEANormal"/>
        <w:rPr>
          <w:lang w:val="hu-HU"/>
        </w:rPr>
      </w:pPr>
    </w:p>
    <w:p w14:paraId="70F9A8DA" w14:textId="77777777" w:rsidR="000A1DA2" w:rsidRPr="00183B5F" w:rsidRDefault="00943743" w:rsidP="000A1DA2">
      <w:pPr>
        <w:pStyle w:val="BodyTextIndent"/>
        <w:ind w:left="0" w:right="53" w:firstLine="0"/>
        <w:rPr>
          <w:lang w:val="hu-HU"/>
        </w:rPr>
      </w:pPr>
      <w:r w:rsidRPr="00183B5F">
        <w:rPr>
          <w:lang w:val="hu-HU"/>
        </w:rPr>
        <w:t>Azok közül, akiknél terápiás válasz alakult ki a 16. héten (n = 144), a Pediátriai ACR 30/50/70/90 válaszok a nyílt kiterjesztéses szakaszban akár 6 éven át fennmaradtak azoknál, akik Humira</w:t>
      </w:r>
      <w:r w:rsidRPr="00183B5F">
        <w:rPr>
          <w:bCs/>
          <w:szCs w:val="22"/>
          <w:lang w:val="hu-HU"/>
        </w:rPr>
        <w:noBreakHyphen/>
      </w:r>
      <w:r w:rsidRPr="00183B5F">
        <w:rPr>
          <w:lang w:val="hu-HU"/>
        </w:rPr>
        <w:t>t kaptak a vizsgálat teljes ideje alatt. Összesen 19 beteget kezeltek 6 évig vagy ennél hosszabb ideig, közülük 11</w:t>
      </w:r>
      <w:r w:rsidRPr="00183B5F">
        <w:rPr>
          <w:bCs/>
          <w:szCs w:val="22"/>
          <w:lang w:val="hu-HU"/>
        </w:rPr>
        <w:noBreakHyphen/>
      </w:r>
      <w:r w:rsidRPr="00183B5F">
        <w:rPr>
          <w:lang w:val="hu-HU"/>
        </w:rPr>
        <w:t>en tartoztak a 4 – 12 évesek, míg 8</w:t>
      </w:r>
      <w:r w:rsidRPr="00183B5F">
        <w:rPr>
          <w:bCs/>
          <w:szCs w:val="22"/>
          <w:lang w:val="hu-HU"/>
        </w:rPr>
        <w:noBreakHyphen/>
      </w:r>
      <w:r w:rsidRPr="00183B5F">
        <w:rPr>
          <w:lang w:val="hu-HU"/>
        </w:rPr>
        <w:t>an a 13 – 17 évesek kiindulási korcsoportjába.</w:t>
      </w:r>
    </w:p>
    <w:p w14:paraId="34CFAD8E" w14:textId="77777777" w:rsidR="000A1DA2" w:rsidRPr="00183B5F" w:rsidRDefault="000A1DA2" w:rsidP="000A1DA2">
      <w:pPr>
        <w:pStyle w:val="EMEANormal"/>
        <w:rPr>
          <w:lang w:val="hu-HU"/>
        </w:rPr>
      </w:pPr>
    </w:p>
    <w:p w14:paraId="1E41EBE4" w14:textId="77777777" w:rsidR="000A1DA2" w:rsidRPr="00183B5F" w:rsidRDefault="00943743" w:rsidP="000A1DA2">
      <w:pPr>
        <w:pStyle w:val="EMEANormal"/>
        <w:rPr>
          <w:lang w:val="hu-HU"/>
        </w:rPr>
      </w:pPr>
      <w:r w:rsidRPr="00183B5F">
        <w:rPr>
          <w:lang w:val="hu-HU"/>
        </w:rPr>
        <w:t>A Humira és MTX kombinációjával kezelteknél az összesített terápiás válaszok általában jobbak voltak és kevesebb betegnél alakultak ki antitestek, mint azoknál, akik a Humira</w:t>
      </w:r>
      <w:r w:rsidRPr="00183B5F">
        <w:rPr>
          <w:lang w:val="hu-HU"/>
        </w:rPr>
        <w:noBreakHyphen/>
        <w:t>t önmagában kapták. Ezeket az eredményeket figyelembe véve a Humira alkalmazása MTX</w:t>
      </w:r>
      <w:r w:rsidRPr="00183B5F">
        <w:rPr>
          <w:lang w:val="hu-HU"/>
        </w:rPr>
        <w:noBreakHyphen/>
        <w:t>kombinációban, illetve monoterápiaként olyan betegeknél ajánlott, akiknél az MTX alkalmazása nem megfelelő (lásd 4.2 pont).</w:t>
      </w:r>
    </w:p>
    <w:p w14:paraId="6203525B" w14:textId="77777777" w:rsidR="000A1DA2" w:rsidRPr="00183B5F" w:rsidRDefault="000A1DA2" w:rsidP="000A1DA2">
      <w:pPr>
        <w:pStyle w:val="EMEANormal"/>
        <w:rPr>
          <w:lang w:val="hu-HU"/>
        </w:rPr>
      </w:pPr>
    </w:p>
    <w:p w14:paraId="347B66AB" w14:textId="77777777" w:rsidR="000A1DA2" w:rsidRPr="00183B5F" w:rsidRDefault="00943743" w:rsidP="000A1DA2">
      <w:pPr>
        <w:pStyle w:val="EMEANormal"/>
        <w:keepNext/>
        <w:rPr>
          <w:lang w:val="hu-HU"/>
        </w:rPr>
      </w:pPr>
      <w:r w:rsidRPr="00183B5F">
        <w:rPr>
          <w:lang w:val="hu-HU"/>
        </w:rPr>
        <w:t>pJIA II</w:t>
      </w:r>
    </w:p>
    <w:p w14:paraId="7D1E8064" w14:textId="77777777" w:rsidR="000A1DA2" w:rsidRPr="00183B5F" w:rsidRDefault="000A1DA2" w:rsidP="000A1DA2">
      <w:pPr>
        <w:pStyle w:val="EMEANormal"/>
        <w:keepNext/>
        <w:rPr>
          <w:lang w:val="hu-HU"/>
        </w:rPr>
      </w:pPr>
    </w:p>
    <w:p w14:paraId="1630671B" w14:textId="77777777" w:rsidR="000A1DA2" w:rsidRPr="00183B5F" w:rsidRDefault="00943743" w:rsidP="000A1DA2">
      <w:pPr>
        <w:pStyle w:val="EMEANormal"/>
        <w:keepNext/>
        <w:rPr>
          <w:szCs w:val="22"/>
          <w:lang w:val="hu-HU"/>
        </w:rPr>
      </w:pPr>
      <w:r w:rsidRPr="00183B5F">
        <w:rPr>
          <w:lang w:val="hu-HU"/>
        </w:rPr>
        <w:t xml:space="preserve">A Humira biztonságosságát és hatásosságát egy nyílt, </w:t>
      </w:r>
      <w:r w:rsidRPr="00183B5F">
        <w:rPr>
          <w:szCs w:val="22"/>
          <w:lang w:val="hu-HU"/>
        </w:rPr>
        <w:t>multicentrikus vizsgálatban értékelték, amelyet 32 olyan gyermek bevonásával végeztek (életkoruk 2 </w:t>
      </w:r>
      <w:r w:rsidRPr="00183B5F">
        <w:rPr>
          <w:szCs w:val="22"/>
          <w:lang w:val="hu-HU"/>
        </w:rPr>
        <w:noBreakHyphen/>
        <w:t> &lt;4 év vagy 4 év és a feletti, testtömegük &lt;15 kg volt), akik közepesen súlyos vagy súlyos, aktív pJIA</w:t>
      </w:r>
      <w:r w:rsidRPr="00183B5F">
        <w:rPr>
          <w:szCs w:val="22"/>
          <w:lang w:val="hu-HU"/>
        </w:rPr>
        <w:noBreakHyphen/>
        <w:t>ban szenvedtek. A betegek 24 mg/ testfelszín m</w:t>
      </w:r>
      <w:r w:rsidRPr="00183B5F">
        <w:rPr>
          <w:szCs w:val="22"/>
          <w:vertAlign w:val="superscript"/>
          <w:lang w:val="hu-HU"/>
        </w:rPr>
        <w:t>2</w:t>
      </w:r>
      <w:r w:rsidRPr="00183B5F">
        <w:rPr>
          <w:szCs w:val="22"/>
          <w:lang w:val="hu-HU"/>
        </w:rPr>
        <w:t>, kéthetente legfeljebb 20 mg egyszeri adag Humira</w:t>
      </w:r>
      <w:r w:rsidRPr="00183B5F">
        <w:rPr>
          <w:szCs w:val="22"/>
          <w:lang w:val="hu-HU"/>
        </w:rPr>
        <w:noBreakHyphen/>
        <w:t>t kaptak sc. injekció formájában legalább 24 hétig. A vizsgálat alatt a legtöbb betegnél alkalmaztak kísérő MTX</w:t>
      </w:r>
      <w:r w:rsidRPr="00183B5F">
        <w:rPr>
          <w:szCs w:val="22"/>
          <w:lang w:val="hu-HU"/>
        </w:rPr>
        <w:noBreakHyphen/>
        <w:t>ot, néhány betegnél pedig kortikoszteroidok vagy nem szteroid gyulladásgátlók (NSAID) alkalmazásáró</w:t>
      </w:r>
      <w:r w:rsidRPr="00183B5F">
        <w:rPr>
          <w:szCs w:val="22"/>
          <w:lang w:val="hu-HU"/>
        </w:rPr>
        <w:t>l számoltak be.</w:t>
      </w:r>
    </w:p>
    <w:p w14:paraId="59F02424" w14:textId="77777777" w:rsidR="000A1DA2" w:rsidRPr="00183B5F" w:rsidRDefault="000A1DA2" w:rsidP="000A1DA2">
      <w:pPr>
        <w:pStyle w:val="EMEANormal"/>
        <w:rPr>
          <w:szCs w:val="22"/>
          <w:lang w:val="hu-HU"/>
        </w:rPr>
      </w:pPr>
    </w:p>
    <w:p w14:paraId="6CA74ECB" w14:textId="77777777" w:rsidR="000A1DA2" w:rsidRPr="00183B5F" w:rsidRDefault="00943743" w:rsidP="000A1DA2">
      <w:pPr>
        <w:pStyle w:val="EMEANormal"/>
        <w:rPr>
          <w:lang w:val="hu-HU"/>
        </w:rPr>
      </w:pPr>
      <w:r w:rsidRPr="00183B5F">
        <w:rPr>
          <w:szCs w:val="22"/>
          <w:lang w:val="hu-HU"/>
        </w:rPr>
        <w:t xml:space="preserve">A Pediátriai ACR 30 válasz a 12. héten 93,5% volt, a 24. héten pedig 90,0% volt a megfigyelt adatok elemzése alapján. A Pediátriai ACR 50/70/90 választ elérő betegek aránya a 12. héten 90,3%/61,3%/38,7%, a 24. héten 83,3%/73,3%/36,7% volt. </w:t>
      </w:r>
      <w:r w:rsidRPr="00183B5F">
        <w:rPr>
          <w:lang w:val="hu-HU"/>
        </w:rPr>
        <w:t>Azok közül, akiknél terápiás válasz (Pediátriai ACR 30 ) alakult ki a 24. héten (n = 27 a 30 betegből), a Pediátriai ACR 30 válasz a nyílt kiterjesztéses szakaszban akár 60 hétig fennmaradt azoknál, akik Humira-t kaptak ebben az időszakban. Összesen 20 beteget kezeltek 60 hétig vagy ennél hosszabb ideig.</w:t>
      </w:r>
    </w:p>
    <w:p w14:paraId="6986BA27" w14:textId="77777777" w:rsidR="000A1DA2" w:rsidRPr="00183B5F" w:rsidRDefault="000A1DA2" w:rsidP="000A1DA2">
      <w:pPr>
        <w:pStyle w:val="EMEANormal"/>
        <w:rPr>
          <w:lang w:val="hu-HU"/>
        </w:rPr>
      </w:pPr>
    </w:p>
    <w:p w14:paraId="70A06679" w14:textId="77777777" w:rsidR="000A1DA2" w:rsidRPr="00183B5F" w:rsidRDefault="00943743" w:rsidP="000A1DA2">
      <w:pPr>
        <w:keepNext/>
        <w:spacing w:line="240" w:lineRule="auto"/>
        <w:rPr>
          <w:i/>
          <w:szCs w:val="22"/>
          <w:u w:val="single"/>
        </w:rPr>
      </w:pPr>
      <w:r w:rsidRPr="00183B5F">
        <w:rPr>
          <w:i/>
          <w:szCs w:val="22"/>
          <w:u w:val="single"/>
        </w:rPr>
        <w:t>Enthesitis-asszociált arthritis</w:t>
      </w:r>
    </w:p>
    <w:p w14:paraId="548816E8" w14:textId="77777777" w:rsidR="000A1DA2" w:rsidRPr="00183B5F" w:rsidRDefault="000A1DA2" w:rsidP="000A1DA2">
      <w:pPr>
        <w:keepNext/>
        <w:spacing w:line="240" w:lineRule="auto"/>
        <w:rPr>
          <w:szCs w:val="22"/>
          <w:u w:val="single"/>
        </w:rPr>
      </w:pPr>
    </w:p>
    <w:p w14:paraId="03E3B24E" w14:textId="77777777" w:rsidR="000A1DA2" w:rsidRPr="00183B5F" w:rsidRDefault="00943743" w:rsidP="000A1DA2">
      <w:pPr>
        <w:pStyle w:val="EMEANormal"/>
        <w:keepNext/>
        <w:rPr>
          <w:szCs w:val="22"/>
          <w:lang w:val="hu-HU"/>
        </w:rPr>
      </w:pPr>
      <w:r w:rsidRPr="00183B5F">
        <w:rPr>
          <w:lang w:val="hu-HU"/>
        </w:rPr>
        <w:t xml:space="preserve">A Humira biztonságosságát és hatásosságát egy </w:t>
      </w:r>
      <w:r w:rsidRPr="00183B5F">
        <w:rPr>
          <w:szCs w:val="22"/>
          <w:lang w:val="hu-HU"/>
        </w:rPr>
        <w:t>multicentrikus, randomizált, kettős vak vizsgálatban értékelték, amelyet 46 olyan beteg bevonásával végeztek (életkoruk 6</w:t>
      </w:r>
      <w:r w:rsidRPr="00183B5F">
        <w:rPr>
          <w:szCs w:val="22"/>
          <w:lang w:val="hu-HU"/>
        </w:rPr>
        <w:noBreakHyphen/>
        <w:t>17 év), akik közepesen súlyos enthesitis-asszociált arthritisben szenvedtek. A betegek vagy 24 mg/testfelszín m</w:t>
      </w:r>
      <w:r w:rsidRPr="00183B5F">
        <w:rPr>
          <w:szCs w:val="22"/>
          <w:vertAlign w:val="superscript"/>
          <w:lang w:val="hu-HU"/>
        </w:rPr>
        <w:t>2</w:t>
      </w:r>
      <w:r w:rsidRPr="00183B5F">
        <w:rPr>
          <w:szCs w:val="22"/>
          <w:lang w:val="hu-HU"/>
        </w:rPr>
        <w:t>, kéthetente legfeljebb 40 mg Humira</w:t>
      </w:r>
      <w:r w:rsidRPr="00183B5F">
        <w:rPr>
          <w:szCs w:val="22"/>
          <w:lang w:val="hu-HU"/>
        </w:rPr>
        <w:noBreakHyphen/>
        <w:t>t vagy placebót kaptak 12 hétig. A kettős vak szakaszt egy nyílt szakasz követte, ami alatt a betegek 24 mg/testfelszín m</w:t>
      </w:r>
      <w:r w:rsidRPr="00183B5F">
        <w:rPr>
          <w:szCs w:val="22"/>
          <w:vertAlign w:val="superscript"/>
          <w:lang w:val="hu-HU"/>
        </w:rPr>
        <w:t>2</w:t>
      </w:r>
      <w:r w:rsidRPr="00183B5F">
        <w:rPr>
          <w:szCs w:val="22"/>
          <w:lang w:val="hu-HU"/>
        </w:rPr>
        <w:t>, kéthetente legfeljebb 40 mg subcutan Humira</w:t>
      </w:r>
      <w:r w:rsidRPr="00183B5F">
        <w:rPr>
          <w:szCs w:val="22"/>
          <w:lang w:val="hu-HU"/>
        </w:rPr>
        <w:noBreakHyphen/>
        <w:t>t kaptak további 192 hétig. Az elsődleges végpont a kiindulási értékek és</w:t>
      </w:r>
      <w:r w:rsidRPr="00183B5F">
        <w:rPr>
          <w:szCs w:val="22"/>
          <w:lang w:val="hu-HU"/>
        </w:rPr>
        <w:t xml:space="preserve"> a 12. heti értékek közötti százalékos változás volt az aktív arthritises ízületek számában (ahol a duzzanatot nem az ízületi deformitás okozza vagy olyan ízület, amelynek mozgása korlátozott és fájdalmas és/vagy duzzadt). Az elsődleges végpont teljesült, a Humira</w:t>
      </w:r>
      <w:r w:rsidRPr="00183B5F">
        <w:rPr>
          <w:szCs w:val="22"/>
          <w:lang w:val="hu-HU"/>
        </w:rPr>
        <w:noBreakHyphen/>
        <w:t xml:space="preserve">csoportban az átlagos százalékos változás (csökkenés) </w:t>
      </w:r>
      <w:r w:rsidRPr="00183B5F">
        <w:rPr>
          <w:szCs w:val="22"/>
          <w:lang w:val="hu-HU"/>
        </w:rPr>
        <w:noBreakHyphen/>
        <w:t xml:space="preserve">62,6% (medián százalékos változás -88,9%) volt, a placebocsoportban pedig </w:t>
      </w:r>
      <w:r w:rsidRPr="00183B5F">
        <w:rPr>
          <w:szCs w:val="22"/>
          <w:lang w:val="hu-HU"/>
        </w:rPr>
        <w:noBreakHyphen/>
        <w:t xml:space="preserve">11,6% (medián százalékos változás </w:t>
      </w:r>
      <w:r w:rsidRPr="00183B5F">
        <w:rPr>
          <w:szCs w:val="22"/>
          <w:lang w:val="hu-HU"/>
        </w:rPr>
        <w:noBreakHyphen/>
        <w:t>50,0%) volt. Az aktív arthritises ízületek számának javulása a Humira-csoportban a</w:t>
      </w:r>
      <w:r w:rsidRPr="00183B5F">
        <w:rPr>
          <w:szCs w:val="22"/>
          <w:lang w:val="hu-HU"/>
        </w:rPr>
        <w:t xml:space="preserve"> 31 betegből a vizsgálatban maradó 26</w:t>
      </w:r>
      <w:r w:rsidRPr="00183B5F">
        <w:rPr>
          <w:szCs w:val="22"/>
          <w:lang w:val="hu-HU"/>
        </w:rPr>
        <w:noBreakHyphen/>
        <w:t>nál (84%) megmaradt a nyílt szakaszban a 156. hétig</w:t>
      </w:r>
      <w:r w:rsidRPr="00183B5F">
        <w:rPr>
          <w:color w:val="000000" w:themeColor="text1"/>
          <w:lang w:val="hu-HU"/>
        </w:rPr>
        <w:t>.</w:t>
      </w:r>
      <w:r w:rsidRPr="00183B5F">
        <w:rPr>
          <w:szCs w:val="22"/>
          <w:lang w:val="hu-HU"/>
        </w:rPr>
        <w:t xml:space="preserve"> Bár statisztikailag nem szignifikáns, de a betegek többsége klinikai javulást mutatott a másodlagos végpontok tekintetében is, pl. az enthesitis által érintett részek számában, az érzékeny ízületek számában, a duzzadt ízületek számában, a pediátriai ACR 50 válaszban és a pediátriai ACR 70 válaszban.</w:t>
      </w:r>
    </w:p>
    <w:p w14:paraId="513BFCA7" w14:textId="77777777" w:rsidR="009740DD" w:rsidRPr="00183B5F" w:rsidRDefault="009740DD" w:rsidP="009740DD">
      <w:pPr>
        <w:pStyle w:val="EMEANormal"/>
        <w:rPr>
          <w:lang w:val="hu-HU"/>
        </w:rPr>
      </w:pPr>
    </w:p>
    <w:p w14:paraId="055873DB" w14:textId="77777777" w:rsidR="009740DD" w:rsidRPr="00183B5F" w:rsidRDefault="00943743" w:rsidP="009740DD">
      <w:pPr>
        <w:pStyle w:val="EMEANormal"/>
        <w:rPr>
          <w:i/>
          <w:szCs w:val="22"/>
          <w:lang w:val="hu-HU"/>
        </w:rPr>
      </w:pPr>
      <w:r w:rsidRPr="00183B5F">
        <w:rPr>
          <w:i/>
          <w:szCs w:val="22"/>
          <w:lang w:val="hu-HU"/>
        </w:rPr>
        <w:t>Gyermekkori plakkos psoriasis</w:t>
      </w:r>
    </w:p>
    <w:p w14:paraId="2D613C3A" w14:textId="77777777" w:rsidR="009740DD" w:rsidRPr="00183B5F" w:rsidRDefault="009740DD" w:rsidP="009740DD">
      <w:pPr>
        <w:pStyle w:val="EMEANormal"/>
        <w:rPr>
          <w:szCs w:val="22"/>
          <w:lang w:val="hu-HU"/>
        </w:rPr>
      </w:pPr>
    </w:p>
    <w:p w14:paraId="0650423C" w14:textId="77777777" w:rsidR="009740DD" w:rsidRPr="00183B5F" w:rsidRDefault="00943743" w:rsidP="009740DD">
      <w:pPr>
        <w:pStyle w:val="EMEANormal"/>
        <w:rPr>
          <w:szCs w:val="22"/>
          <w:lang w:val="hu-HU"/>
        </w:rPr>
      </w:pPr>
      <w:r w:rsidRPr="00183B5F">
        <w:rPr>
          <w:szCs w:val="22"/>
          <w:lang w:val="hu-HU"/>
        </w:rPr>
        <w:t>A Humira hatásosságát egy randomizált, kettős vak, kontrollos vizsgálattal értékelték, amelyet 114 olyan, 4 évnél idősebb, súlyos krónikus plakkos psoriasisban szenvedő gyermek (az orvos által végzett globális értékelés [Physician’s Global Assessment, PGA] szerint ≥ 4, vagy &gt; 20%-os testfelületi érintettség, vagy &gt; 10%-os testfelületi érintettség nagyon vastag elváltozásokkal, vagy psoriasisos terület és súlyossági index (</w:t>
      </w:r>
      <w:r w:rsidRPr="00183B5F">
        <w:rPr>
          <w:lang w:val="hu-HU"/>
        </w:rPr>
        <w:t xml:space="preserve">Psoriasis Area and Severity Index, </w:t>
      </w:r>
      <w:r w:rsidRPr="00183B5F">
        <w:rPr>
          <w:szCs w:val="22"/>
          <w:lang w:val="hu-HU"/>
        </w:rPr>
        <w:t>PASI) ≥ 20, vagy PASI ≥ 10 klinikailag jelentős arc-, genitális vagy kézfej/lábfej-érintettséggel) bevonásával végeztek, akiknél a helyi kezelés és fényterápia vagy a fototerápia hatástalan volt.</w:t>
      </w:r>
    </w:p>
    <w:p w14:paraId="50099E02" w14:textId="77777777" w:rsidR="009740DD" w:rsidRPr="00183B5F" w:rsidRDefault="009740DD" w:rsidP="009740DD">
      <w:pPr>
        <w:pStyle w:val="EMEANormal"/>
        <w:rPr>
          <w:szCs w:val="22"/>
          <w:lang w:val="hu-HU"/>
        </w:rPr>
      </w:pPr>
    </w:p>
    <w:p w14:paraId="1BFFA4FF" w14:textId="77777777" w:rsidR="009740DD" w:rsidRPr="00183B5F" w:rsidRDefault="00943743" w:rsidP="009740DD">
      <w:pPr>
        <w:pStyle w:val="EMEANormal"/>
        <w:rPr>
          <w:szCs w:val="22"/>
          <w:lang w:val="hu-HU"/>
        </w:rPr>
      </w:pPr>
      <w:r w:rsidRPr="00183B5F">
        <w:rPr>
          <w:szCs w:val="22"/>
          <w:lang w:val="hu-HU"/>
        </w:rPr>
        <w:t>A betegek 0,8 mg/ttkg (legfeljebb 40 mg), 40 mg/ttkg (legfeljebb 20 mg) Humira</w:t>
      </w:r>
      <w:r w:rsidRPr="00183B5F">
        <w:rPr>
          <w:szCs w:val="22"/>
          <w:lang w:val="hu-HU"/>
        </w:rPr>
        <w:noBreakHyphen/>
        <w:t>t kaptak kéthetente vagy 0,1</w:t>
      </w:r>
      <w:r w:rsidRPr="00183B5F">
        <w:rPr>
          <w:szCs w:val="22"/>
          <w:lang w:val="hu-HU"/>
        </w:rPr>
        <w:noBreakHyphen/>
        <w:t>0,4 mg/ttkg (legfeljebb 25 mg) metotrexátot hetente. Tizenhat hetes kezelés után több, 0,8 mg/ttkg Humira</w:t>
      </w:r>
      <w:r w:rsidRPr="00183B5F">
        <w:rPr>
          <w:szCs w:val="22"/>
          <w:lang w:val="hu-HU"/>
        </w:rPr>
        <w:noBreakHyphen/>
        <w:t>ra randomizált beteg mutatott pozitív hatásossági választ ( pl. PASI 75), mint a kéthetente 0,4 mg/ttkg Humira</w:t>
      </w:r>
      <w:r w:rsidRPr="00183B5F">
        <w:rPr>
          <w:szCs w:val="22"/>
          <w:lang w:val="hu-HU"/>
        </w:rPr>
        <w:noBreakHyphen/>
        <w:t>val vagy metotrexáttal kezelt betegek.</w:t>
      </w:r>
    </w:p>
    <w:p w14:paraId="39697E30" w14:textId="77777777" w:rsidR="009740DD" w:rsidRPr="00183B5F" w:rsidRDefault="009740DD" w:rsidP="009740DD">
      <w:pPr>
        <w:pStyle w:val="EMEANormal"/>
        <w:rPr>
          <w:szCs w:val="22"/>
          <w:lang w:val="hu-HU"/>
        </w:rPr>
      </w:pPr>
    </w:p>
    <w:tbl>
      <w:tblPr>
        <w:tblW w:w="4458" w:type="pct"/>
        <w:jc w:val="center"/>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3464"/>
        <w:gridCol w:w="1554"/>
        <w:gridCol w:w="3070"/>
      </w:tblGrid>
      <w:tr w:rsidR="00011D2F" w14:paraId="01F2C6BF" w14:textId="77777777" w:rsidTr="009740DD">
        <w:trPr>
          <w:jc w:val="center"/>
        </w:trPr>
        <w:tc>
          <w:tcPr>
            <w:tcW w:w="5000" w:type="pct"/>
            <w:gridSpan w:val="3"/>
            <w:tcBorders>
              <w:top w:val="nil"/>
              <w:left w:val="nil"/>
              <w:bottom w:val="nil"/>
              <w:right w:val="nil"/>
            </w:tcBorders>
            <w:tcMar>
              <w:top w:w="15" w:type="dxa"/>
              <w:left w:w="15" w:type="dxa"/>
              <w:bottom w:w="15" w:type="dxa"/>
              <w:right w:w="15" w:type="dxa"/>
            </w:tcMar>
            <w:vAlign w:val="center"/>
          </w:tcPr>
          <w:p w14:paraId="1F1AD014" w14:textId="77777777" w:rsidR="009740DD" w:rsidRPr="00183B5F" w:rsidRDefault="00943743" w:rsidP="00DC7942">
            <w:pPr>
              <w:keepNext/>
              <w:autoSpaceDE w:val="0"/>
              <w:autoSpaceDN w:val="0"/>
              <w:adjustRightInd w:val="0"/>
              <w:spacing w:line="240" w:lineRule="auto"/>
              <w:jc w:val="center"/>
              <w:rPr>
                <w:b/>
                <w:bCs/>
                <w:szCs w:val="22"/>
                <w:lang w:eastAsia="en-US"/>
              </w:rPr>
            </w:pPr>
            <w:r w:rsidRPr="00183B5F">
              <w:rPr>
                <w:rStyle w:val="gtcbold9"/>
                <w:szCs w:val="22"/>
                <w:lang w:eastAsia="en-US"/>
              </w:rPr>
              <w:t>1</w:t>
            </w:r>
            <w:r w:rsidR="00DC7942" w:rsidRPr="00183B5F">
              <w:rPr>
                <w:rStyle w:val="gtcbold9"/>
                <w:szCs w:val="22"/>
                <w:lang w:eastAsia="en-US"/>
              </w:rPr>
              <w:t>9</w:t>
            </w:r>
            <w:r w:rsidRPr="00183B5F">
              <w:rPr>
                <w:rStyle w:val="gtcbold9"/>
                <w:szCs w:val="22"/>
                <w:lang w:eastAsia="en-US"/>
              </w:rPr>
              <w:t xml:space="preserve">. táblázat: </w:t>
            </w:r>
            <w:r w:rsidRPr="00183B5F">
              <w:rPr>
                <w:b/>
                <w:bCs/>
                <w:szCs w:val="22"/>
                <w:lang w:eastAsia="en-US"/>
              </w:rPr>
              <w:t>Gyermekkori plakkos psoriasis</w:t>
            </w:r>
          </w:p>
          <w:p w14:paraId="62AD6488" w14:textId="77777777" w:rsidR="009740DD" w:rsidRPr="00183B5F" w:rsidRDefault="00943743" w:rsidP="009740DD">
            <w:pPr>
              <w:keepNext/>
              <w:autoSpaceDE w:val="0"/>
              <w:autoSpaceDN w:val="0"/>
              <w:adjustRightInd w:val="0"/>
              <w:spacing w:line="240" w:lineRule="auto"/>
              <w:jc w:val="center"/>
              <w:rPr>
                <w:b/>
                <w:bCs/>
                <w:szCs w:val="22"/>
                <w:lang w:eastAsia="en-US"/>
              </w:rPr>
            </w:pPr>
            <w:r w:rsidRPr="00183B5F">
              <w:rPr>
                <w:b/>
                <w:bCs/>
                <w:szCs w:val="22"/>
                <w:lang w:eastAsia="en-US"/>
              </w:rPr>
              <w:t>Hatásossági eredmények a 16. héten</w:t>
            </w:r>
          </w:p>
          <w:p w14:paraId="30F6AA5F" w14:textId="77777777" w:rsidR="009740DD" w:rsidRPr="00183B5F" w:rsidRDefault="009740DD" w:rsidP="009740DD">
            <w:pPr>
              <w:keepNext/>
              <w:spacing w:line="240" w:lineRule="auto"/>
              <w:jc w:val="center"/>
              <w:rPr>
                <w:b/>
                <w:szCs w:val="22"/>
                <w:lang w:eastAsia="en-US"/>
              </w:rPr>
            </w:pPr>
          </w:p>
        </w:tc>
      </w:tr>
      <w:tr w:rsidR="00011D2F" w14:paraId="02AFEAC3" w14:textId="77777777" w:rsidTr="009740DD">
        <w:trPr>
          <w:jc w:val="center"/>
        </w:trPr>
        <w:tc>
          <w:tcPr>
            <w:tcW w:w="0" w:type="auto"/>
            <w:tcBorders>
              <w:top w:val="single" w:sz="6" w:space="0" w:color="000000"/>
              <w:left w:val="single" w:sz="6" w:space="0" w:color="000000"/>
              <w:bottom w:val="outset" w:sz="6" w:space="0" w:color="auto"/>
              <w:right w:val="outset" w:sz="6" w:space="0" w:color="auto"/>
            </w:tcBorders>
            <w:tcMar>
              <w:top w:w="15" w:type="dxa"/>
              <w:left w:w="15" w:type="dxa"/>
              <w:bottom w:w="15" w:type="dxa"/>
              <w:right w:w="15" w:type="dxa"/>
            </w:tcMar>
            <w:vAlign w:val="center"/>
          </w:tcPr>
          <w:p w14:paraId="59BF44C2" w14:textId="77777777" w:rsidR="009740DD" w:rsidRPr="00183B5F" w:rsidRDefault="009740DD" w:rsidP="009740DD">
            <w:pPr>
              <w:keepNext/>
              <w:spacing w:line="240" w:lineRule="auto"/>
              <w:rPr>
                <w:szCs w:val="22"/>
                <w:lang w:eastAsia="en-US"/>
              </w:rPr>
            </w:pPr>
          </w:p>
        </w:tc>
        <w:tc>
          <w:tcPr>
            <w:tcW w:w="0" w:type="auto"/>
            <w:tcBorders>
              <w:top w:val="single" w:sz="6" w:space="0" w:color="000000"/>
              <w:left w:val="single" w:sz="6" w:space="0" w:color="000000"/>
              <w:bottom w:val="outset" w:sz="6" w:space="0" w:color="auto"/>
              <w:right w:val="outset" w:sz="6" w:space="0" w:color="auto"/>
            </w:tcBorders>
            <w:tcMar>
              <w:top w:w="15" w:type="dxa"/>
              <w:left w:w="15" w:type="dxa"/>
              <w:bottom w:w="15" w:type="dxa"/>
              <w:right w:w="15" w:type="dxa"/>
            </w:tcMar>
            <w:vAlign w:val="center"/>
            <w:hideMark/>
          </w:tcPr>
          <w:p w14:paraId="19BDA93D" w14:textId="77777777" w:rsidR="009740DD" w:rsidRPr="00183B5F" w:rsidRDefault="00943743" w:rsidP="009740DD">
            <w:pPr>
              <w:keepNext/>
              <w:spacing w:line="240" w:lineRule="auto"/>
              <w:jc w:val="center"/>
              <w:rPr>
                <w:szCs w:val="22"/>
                <w:lang w:eastAsia="en-US"/>
              </w:rPr>
            </w:pPr>
            <w:r w:rsidRPr="00183B5F">
              <w:rPr>
                <w:szCs w:val="22"/>
                <w:lang w:eastAsia="en-US"/>
              </w:rPr>
              <w:t>MTX</w:t>
            </w:r>
            <w:r w:rsidRPr="00183B5F">
              <w:rPr>
                <w:szCs w:val="22"/>
                <w:vertAlign w:val="superscript"/>
                <w:lang w:eastAsia="en-US"/>
              </w:rPr>
              <w:t>a</w:t>
            </w:r>
            <w:r w:rsidRPr="00183B5F">
              <w:rPr>
                <w:szCs w:val="22"/>
                <w:lang w:eastAsia="en-US"/>
              </w:rPr>
              <w:br/>
              <w:t xml:space="preserve">N = 37 </w:t>
            </w:r>
          </w:p>
        </w:tc>
        <w:tc>
          <w:tcPr>
            <w:tcW w:w="1898" w:type="pct"/>
            <w:tcBorders>
              <w:top w:val="single" w:sz="6" w:space="0" w:color="000000"/>
              <w:left w:val="single" w:sz="6" w:space="0" w:color="000000"/>
              <w:bottom w:val="outset" w:sz="6" w:space="0" w:color="auto"/>
              <w:right w:val="single" w:sz="6" w:space="0" w:color="000000"/>
            </w:tcBorders>
            <w:tcMar>
              <w:top w:w="15" w:type="dxa"/>
              <w:left w:w="15" w:type="dxa"/>
              <w:bottom w:w="15" w:type="dxa"/>
              <w:right w:w="15" w:type="dxa"/>
            </w:tcMar>
            <w:vAlign w:val="center"/>
            <w:hideMark/>
          </w:tcPr>
          <w:p w14:paraId="1C123CB7" w14:textId="77777777" w:rsidR="009740DD" w:rsidRPr="00183B5F" w:rsidRDefault="00943743" w:rsidP="009740DD">
            <w:pPr>
              <w:keepNext/>
              <w:spacing w:line="240" w:lineRule="auto"/>
              <w:jc w:val="center"/>
              <w:rPr>
                <w:lang w:eastAsia="en-US"/>
              </w:rPr>
            </w:pPr>
            <w:r w:rsidRPr="00183B5F">
              <w:rPr>
                <w:lang w:eastAsia="en-US"/>
              </w:rPr>
              <w:t>Humira 0,8 mg/ttkg kéthetente</w:t>
            </w:r>
            <w:r w:rsidRPr="00183B5F">
              <w:rPr>
                <w:lang w:eastAsia="en-US"/>
              </w:rPr>
              <w:br/>
              <w:t xml:space="preserve">N = 38 </w:t>
            </w:r>
          </w:p>
        </w:tc>
      </w:tr>
      <w:tr w:rsidR="00011D2F" w14:paraId="2468871D" w14:textId="77777777" w:rsidTr="009740DD">
        <w:trPr>
          <w:jc w:val="center"/>
        </w:trPr>
        <w:tc>
          <w:tcPr>
            <w:tcW w:w="0" w:type="auto"/>
            <w:tcBorders>
              <w:top w:val="single" w:sz="6" w:space="0" w:color="000000"/>
              <w:left w:val="single" w:sz="6" w:space="0" w:color="000000"/>
              <w:bottom w:val="outset" w:sz="6" w:space="0" w:color="auto"/>
              <w:right w:val="outset" w:sz="6" w:space="0" w:color="auto"/>
            </w:tcBorders>
            <w:tcMar>
              <w:top w:w="15" w:type="dxa"/>
              <w:left w:w="15" w:type="dxa"/>
              <w:bottom w:w="15" w:type="dxa"/>
              <w:right w:w="15" w:type="dxa"/>
            </w:tcMar>
            <w:vAlign w:val="center"/>
            <w:hideMark/>
          </w:tcPr>
          <w:p w14:paraId="31CDE9BF" w14:textId="77777777" w:rsidR="009740DD" w:rsidRPr="00183B5F" w:rsidRDefault="00943743" w:rsidP="009740DD">
            <w:pPr>
              <w:keepNext/>
              <w:spacing w:line="240" w:lineRule="auto"/>
              <w:rPr>
                <w:szCs w:val="22"/>
                <w:lang w:eastAsia="en-US"/>
              </w:rPr>
            </w:pPr>
            <w:r w:rsidRPr="00183B5F">
              <w:rPr>
                <w:szCs w:val="22"/>
                <w:lang w:eastAsia="en-US"/>
              </w:rPr>
              <w:t> </w:t>
            </w:r>
            <w:r w:rsidRPr="00183B5F">
              <w:rPr>
                <w:szCs w:val="22"/>
                <w:lang w:eastAsia="en-US"/>
              </w:rPr>
              <w:t>PASI 75</w:t>
            </w:r>
            <w:r w:rsidRPr="00183B5F">
              <w:rPr>
                <w:szCs w:val="22"/>
                <w:vertAlign w:val="superscript"/>
                <w:lang w:eastAsia="en-US"/>
              </w:rPr>
              <w:t>b</w:t>
            </w:r>
          </w:p>
        </w:tc>
        <w:tc>
          <w:tcPr>
            <w:tcW w:w="0" w:type="auto"/>
            <w:tcBorders>
              <w:top w:val="single" w:sz="6" w:space="0" w:color="000000"/>
              <w:left w:val="single" w:sz="6" w:space="0" w:color="000000"/>
              <w:bottom w:val="outset" w:sz="6" w:space="0" w:color="auto"/>
              <w:right w:val="outset" w:sz="6" w:space="0" w:color="auto"/>
            </w:tcBorders>
            <w:tcMar>
              <w:top w:w="15" w:type="dxa"/>
              <w:left w:w="15" w:type="dxa"/>
              <w:bottom w:w="15" w:type="dxa"/>
              <w:right w:w="15" w:type="dxa"/>
            </w:tcMar>
            <w:vAlign w:val="center"/>
            <w:hideMark/>
          </w:tcPr>
          <w:p w14:paraId="438D12FD" w14:textId="77777777" w:rsidR="009740DD" w:rsidRPr="00183B5F" w:rsidRDefault="00943743" w:rsidP="009740DD">
            <w:pPr>
              <w:keepNext/>
              <w:spacing w:line="240" w:lineRule="auto"/>
              <w:jc w:val="center"/>
              <w:rPr>
                <w:szCs w:val="22"/>
                <w:lang w:eastAsia="en-US"/>
              </w:rPr>
            </w:pPr>
            <w:r w:rsidRPr="00183B5F">
              <w:rPr>
                <w:szCs w:val="22"/>
                <w:lang w:eastAsia="en-US"/>
              </w:rPr>
              <w:t>12 (32,4%)</w:t>
            </w:r>
          </w:p>
        </w:tc>
        <w:tc>
          <w:tcPr>
            <w:tcW w:w="1898" w:type="pct"/>
            <w:tcBorders>
              <w:top w:val="single" w:sz="6" w:space="0" w:color="000000"/>
              <w:left w:val="single" w:sz="6" w:space="0" w:color="000000"/>
              <w:bottom w:val="outset" w:sz="6" w:space="0" w:color="auto"/>
              <w:right w:val="single" w:sz="6" w:space="0" w:color="000000"/>
            </w:tcBorders>
            <w:tcMar>
              <w:top w:w="15" w:type="dxa"/>
              <w:left w:w="15" w:type="dxa"/>
              <w:bottom w:w="15" w:type="dxa"/>
              <w:right w:w="15" w:type="dxa"/>
            </w:tcMar>
            <w:vAlign w:val="center"/>
            <w:hideMark/>
          </w:tcPr>
          <w:p w14:paraId="161E5326" w14:textId="77777777" w:rsidR="009740DD" w:rsidRPr="00183B5F" w:rsidRDefault="00943743" w:rsidP="009740DD">
            <w:pPr>
              <w:keepNext/>
              <w:spacing w:line="240" w:lineRule="auto"/>
              <w:jc w:val="center"/>
              <w:rPr>
                <w:szCs w:val="22"/>
                <w:lang w:eastAsia="en-US"/>
              </w:rPr>
            </w:pPr>
            <w:r w:rsidRPr="00183B5F">
              <w:rPr>
                <w:szCs w:val="22"/>
                <w:lang w:eastAsia="en-US"/>
              </w:rPr>
              <w:t>22 (57,9%)</w:t>
            </w:r>
          </w:p>
        </w:tc>
      </w:tr>
      <w:tr w:rsidR="00011D2F" w14:paraId="0DC5C119" w14:textId="77777777" w:rsidTr="009740DD">
        <w:trPr>
          <w:jc w:val="center"/>
        </w:trPr>
        <w:tc>
          <w:tcPr>
            <w:tcW w:w="0" w:type="auto"/>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vAlign w:val="center"/>
            <w:hideMark/>
          </w:tcPr>
          <w:p w14:paraId="591420C0" w14:textId="77777777" w:rsidR="009740DD" w:rsidRPr="00183B5F" w:rsidRDefault="00943743" w:rsidP="009740DD">
            <w:pPr>
              <w:keepNext/>
              <w:spacing w:line="240" w:lineRule="auto"/>
              <w:rPr>
                <w:szCs w:val="22"/>
                <w:lang w:eastAsia="en-US"/>
              </w:rPr>
            </w:pPr>
            <w:r w:rsidRPr="00183B5F">
              <w:rPr>
                <w:szCs w:val="22"/>
                <w:lang w:eastAsia="en-US"/>
              </w:rPr>
              <w:t> </w:t>
            </w:r>
            <w:r w:rsidRPr="00183B5F">
              <w:rPr>
                <w:szCs w:val="22"/>
                <w:lang w:eastAsia="en-US"/>
              </w:rPr>
              <w:t>PGA: tiszta/minimális</w:t>
            </w:r>
            <w:r w:rsidRPr="00183B5F">
              <w:rPr>
                <w:szCs w:val="22"/>
                <w:vertAlign w:val="superscript"/>
                <w:lang w:eastAsia="en-US"/>
              </w:rPr>
              <w:t>c</w:t>
            </w:r>
          </w:p>
        </w:tc>
        <w:tc>
          <w:tcPr>
            <w:tcW w:w="0" w:type="auto"/>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vAlign w:val="center"/>
            <w:hideMark/>
          </w:tcPr>
          <w:p w14:paraId="74394EF2" w14:textId="77777777" w:rsidR="009740DD" w:rsidRPr="00183B5F" w:rsidRDefault="00943743" w:rsidP="009740DD">
            <w:pPr>
              <w:keepNext/>
              <w:spacing w:line="240" w:lineRule="auto"/>
              <w:jc w:val="center"/>
              <w:rPr>
                <w:szCs w:val="22"/>
                <w:lang w:eastAsia="en-US"/>
              </w:rPr>
            </w:pPr>
            <w:r w:rsidRPr="00183B5F">
              <w:rPr>
                <w:szCs w:val="22"/>
                <w:lang w:eastAsia="en-US"/>
              </w:rPr>
              <w:t>15 (40,5%)</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5969B04" w14:textId="77777777" w:rsidR="009740DD" w:rsidRPr="00183B5F" w:rsidRDefault="00943743" w:rsidP="009740DD">
            <w:pPr>
              <w:keepNext/>
              <w:spacing w:line="240" w:lineRule="auto"/>
              <w:jc w:val="center"/>
              <w:rPr>
                <w:szCs w:val="22"/>
                <w:lang w:eastAsia="en-US"/>
              </w:rPr>
            </w:pPr>
            <w:r w:rsidRPr="00183B5F">
              <w:rPr>
                <w:szCs w:val="22"/>
                <w:lang w:eastAsia="en-US"/>
              </w:rPr>
              <w:t>23 (60,5%)</w:t>
            </w:r>
          </w:p>
        </w:tc>
      </w:tr>
      <w:tr w:rsidR="00011D2F" w14:paraId="7CC984E4" w14:textId="77777777" w:rsidTr="009740DD">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68D8AFC" w14:textId="77777777" w:rsidR="009740DD" w:rsidRPr="00183B5F" w:rsidRDefault="00943743" w:rsidP="009740DD">
            <w:pPr>
              <w:keepNext/>
              <w:spacing w:line="240" w:lineRule="auto"/>
              <w:rPr>
                <w:lang w:eastAsia="en-US"/>
              </w:rPr>
            </w:pPr>
            <w:r w:rsidRPr="00183B5F">
              <w:rPr>
                <w:vertAlign w:val="superscript"/>
                <w:lang w:eastAsia="en-US"/>
              </w:rPr>
              <w:t xml:space="preserve">a </w:t>
            </w:r>
            <w:r w:rsidRPr="00183B5F">
              <w:rPr>
                <w:lang w:eastAsia="en-US"/>
              </w:rPr>
              <w:t>MTX = metotrexát</w:t>
            </w:r>
          </w:p>
          <w:p w14:paraId="2F19DA83" w14:textId="77777777" w:rsidR="009740DD" w:rsidRPr="00183B5F" w:rsidRDefault="00943743" w:rsidP="009740DD">
            <w:pPr>
              <w:keepNext/>
              <w:spacing w:line="240" w:lineRule="auto"/>
              <w:rPr>
                <w:lang w:eastAsia="en-US"/>
              </w:rPr>
            </w:pPr>
            <w:r w:rsidRPr="00183B5F">
              <w:rPr>
                <w:vertAlign w:val="superscript"/>
                <w:lang w:eastAsia="en-US"/>
              </w:rPr>
              <w:t>b</w:t>
            </w:r>
            <w:r w:rsidRPr="00183B5F">
              <w:rPr>
                <w:lang w:eastAsia="en-US"/>
              </w:rPr>
              <w:t xml:space="preserve"> P = 0,027, Humira 0,8 mg/ttkg vs. MTX</w:t>
            </w:r>
          </w:p>
          <w:p w14:paraId="0DE09BE6" w14:textId="77777777" w:rsidR="009740DD" w:rsidRPr="00183B5F" w:rsidRDefault="00943743" w:rsidP="009740DD">
            <w:pPr>
              <w:keepNext/>
              <w:spacing w:line="240" w:lineRule="auto"/>
              <w:rPr>
                <w:lang w:eastAsia="en-US"/>
              </w:rPr>
            </w:pPr>
            <w:r w:rsidRPr="00183B5F">
              <w:rPr>
                <w:vertAlign w:val="superscript"/>
                <w:lang w:eastAsia="en-US"/>
              </w:rPr>
              <w:t>c</w:t>
            </w:r>
            <w:r w:rsidRPr="00183B5F">
              <w:rPr>
                <w:lang w:eastAsia="en-US"/>
              </w:rPr>
              <w:t xml:space="preserve"> P = 0,083, Humira 0,8 mg/ttkg vs. MTX</w:t>
            </w:r>
          </w:p>
        </w:tc>
      </w:tr>
    </w:tbl>
    <w:p w14:paraId="59FC23D3" w14:textId="77777777" w:rsidR="009740DD" w:rsidRPr="00183B5F" w:rsidRDefault="009740DD" w:rsidP="009740DD">
      <w:pPr>
        <w:pStyle w:val="EMEANormal"/>
        <w:rPr>
          <w:szCs w:val="22"/>
          <w:lang w:val="hu-HU"/>
        </w:rPr>
      </w:pPr>
    </w:p>
    <w:p w14:paraId="38F73F60" w14:textId="77777777" w:rsidR="009740DD" w:rsidRPr="00183B5F" w:rsidRDefault="00943743" w:rsidP="009740DD">
      <w:pPr>
        <w:pStyle w:val="EMEANormal"/>
        <w:rPr>
          <w:szCs w:val="22"/>
          <w:lang w:val="hu-HU"/>
        </w:rPr>
      </w:pPr>
      <w:r w:rsidRPr="00183B5F">
        <w:rPr>
          <w:szCs w:val="22"/>
          <w:lang w:val="hu-HU"/>
        </w:rPr>
        <w:t>Azoknál a betegeknél, akik elérték a PASI 75 és a PGA szerinti tiszta vagy minimális értéket, felfüggesztették a kezelést legfeljebb 36 hétre, és az állapotuk romlását monitorozták (pl. a PGA-érték rosszabbodását legalább 2 értékkel). Majd további 16 héten át a betegeket kéthetente 0,8 mg/ttkg adalimumabbal kezelték, és az ez alatt megfigyelt válaszértékek hasonlóak voltak az előzőleg végzett kettős vak vizsgálathoz: 78,9%</w:t>
      </w:r>
      <w:r w:rsidRPr="00183B5F">
        <w:rPr>
          <w:szCs w:val="22"/>
          <w:lang w:val="hu-HU"/>
        </w:rPr>
        <w:noBreakHyphen/>
        <w:t>nál alakult ki PASI 75 válasz (19 betegből 15) és 52,6%</w:t>
      </w:r>
      <w:r w:rsidRPr="00183B5F">
        <w:rPr>
          <w:szCs w:val="22"/>
          <w:lang w:val="hu-HU"/>
        </w:rPr>
        <w:noBreakHyphen/>
        <w:t>nál alakult ki PGA szerinti tiszta vagy minimális (19 betegből 10) válasz.</w:t>
      </w:r>
    </w:p>
    <w:p w14:paraId="00472B08" w14:textId="77777777" w:rsidR="009740DD" w:rsidRPr="00183B5F" w:rsidRDefault="009740DD" w:rsidP="009740DD">
      <w:pPr>
        <w:pStyle w:val="EMEANormal"/>
        <w:rPr>
          <w:szCs w:val="22"/>
          <w:lang w:val="hu-HU"/>
        </w:rPr>
      </w:pPr>
    </w:p>
    <w:p w14:paraId="454A8DA0" w14:textId="77777777" w:rsidR="009740DD" w:rsidRPr="00183B5F" w:rsidRDefault="00943743" w:rsidP="009740DD">
      <w:pPr>
        <w:pStyle w:val="EMEANormal"/>
        <w:rPr>
          <w:szCs w:val="22"/>
          <w:lang w:val="hu-HU"/>
        </w:rPr>
      </w:pPr>
      <w:r w:rsidRPr="00183B5F">
        <w:rPr>
          <w:szCs w:val="22"/>
          <w:lang w:val="hu-HU"/>
        </w:rPr>
        <w:t>A vizsgálat nyílt szakaszában, a PASI 75 és PGA szerinti tiszta vagy minimális érték legfeljebb további 52 hétig fennmaradt új biztonsági esemény nélkül.</w:t>
      </w:r>
    </w:p>
    <w:p w14:paraId="5828040C" w14:textId="77777777" w:rsidR="000F3707" w:rsidRPr="00183B5F" w:rsidRDefault="000F3707" w:rsidP="000F3707">
      <w:pPr>
        <w:spacing w:line="240" w:lineRule="auto"/>
        <w:rPr>
          <w:szCs w:val="22"/>
        </w:rPr>
      </w:pPr>
    </w:p>
    <w:p w14:paraId="12302F2E" w14:textId="77777777" w:rsidR="000F3707" w:rsidRPr="00183B5F" w:rsidRDefault="00943743" w:rsidP="000F3707">
      <w:pPr>
        <w:pStyle w:val="EMEAHeadingUnderline"/>
        <w:tabs>
          <w:tab w:val="clear" w:pos="562"/>
          <w:tab w:val="left" w:pos="708"/>
        </w:tabs>
        <w:spacing w:beforeLines="0" w:afterLines="0"/>
        <w:rPr>
          <w:i/>
          <w:szCs w:val="22"/>
          <w:u w:val="none"/>
          <w:lang w:val="hu-HU"/>
        </w:rPr>
      </w:pPr>
      <w:r w:rsidRPr="00183B5F">
        <w:rPr>
          <w:i/>
          <w:szCs w:val="22"/>
          <w:u w:val="none"/>
          <w:lang w:val="hu-HU"/>
        </w:rPr>
        <w:t>Gyermekkori Crohn</w:t>
      </w:r>
      <w:r w:rsidRPr="00183B5F">
        <w:rPr>
          <w:i/>
          <w:szCs w:val="22"/>
          <w:u w:val="none"/>
          <w:lang w:val="hu-HU"/>
        </w:rPr>
        <w:noBreakHyphen/>
        <w:t>betegség</w:t>
      </w:r>
    </w:p>
    <w:p w14:paraId="5D8EC3FD" w14:textId="77777777" w:rsidR="000F3707" w:rsidRPr="00183B5F" w:rsidRDefault="000F3707" w:rsidP="000F3707">
      <w:pPr>
        <w:pStyle w:val="EMEAHeadingUnderline"/>
        <w:tabs>
          <w:tab w:val="clear" w:pos="562"/>
          <w:tab w:val="left" w:pos="708"/>
        </w:tabs>
        <w:spacing w:beforeLines="0" w:afterLines="0"/>
        <w:rPr>
          <w:szCs w:val="22"/>
          <w:u w:val="none"/>
          <w:lang w:val="hu-HU"/>
        </w:rPr>
      </w:pPr>
    </w:p>
    <w:p w14:paraId="4901974D" w14:textId="77777777" w:rsidR="000F3707" w:rsidRPr="00183B5F" w:rsidRDefault="00943743" w:rsidP="000F3707">
      <w:pPr>
        <w:pStyle w:val="EMEAHeadingUnderline"/>
        <w:tabs>
          <w:tab w:val="clear" w:pos="562"/>
          <w:tab w:val="left" w:pos="708"/>
        </w:tabs>
        <w:spacing w:beforeLines="0" w:afterLines="0"/>
        <w:rPr>
          <w:szCs w:val="22"/>
          <w:u w:val="none"/>
          <w:lang w:val="hu-HU"/>
        </w:rPr>
      </w:pPr>
      <w:r w:rsidRPr="00183B5F">
        <w:rPr>
          <w:szCs w:val="22"/>
          <w:u w:val="none"/>
          <w:lang w:val="hu-HU"/>
        </w:rPr>
        <w:t>Egy multicentrikus, randomizált, kettős vak klinikai vizsgálatban tanulmányozták az indukciós és fenntartó Humira</w:t>
      </w:r>
      <w:r w:rsidRPr="00183B5F">
        <w:rPr>
          <w:szCs w:val="22"/>
          <w:u w:val="none"/>
          <w:lang w:val="hu-HU"/>
        </w:rPr>
        <w:noBreakHyphen/>
        <w:t>kezelés hatásosságát és biztonságosságát testtömegre illesztett dózisokkal (&lt; 40 kg vagy ≥ 40 kg) 192, 6-17 éves korú (bezárólag), közepesen súlyos-súlyos aktivitású Crohn</w:t>
      </w:r>
      <w:r w:rsidRPr="00183B5F">
        <w:rPr>
          <w:szCs w:val="22"/>
          <w:u w:val="none"/>
          <w:lang w:val="hu-HU"/>
        </w:rPr>
        <w:noBreakHyphen/>
        <w:t>betegségben (CD) szenvedő gyermekeknél, amely a definíció szerint PCDAI (Gyermekkori Crohn</w:t>
      </w:r>
      <w:r w:rsidRPr="00183B5F">
        <w:rPr>
          <w:szCs w:val="22"/>
          <w:u w:val="none"/>
          <w:lang w:val="hu-HU"/>
        </w:rPr>
        <w:noBreakHyphen/>
        <w:t xml:space="preserve">betegség Aktivitási Index)-pontszám &gt; 30 esetén állt fenn. Beválasztási kritérium volt, hogy a betegek nem reagáltak a CD hagyományos kezelésére (beleértve egy kortikoszteroidot és/vagy egy immunmodulátort). Az infliximab hatásának megszűnése vagy </w:t>
      </w:r>
      <w:r w:rsidRPr="00183B5F">
        <w:rPr>
          <w:szCs w:val="22"/>
          <w:u w:val="none"/>
          <w:lang w:val="hu-HU"/>
        </w:rPr>
        <w:t>az arra kialakuló intolerancia a kórtörténetben megengedett volt.</w:t>
      </w:r>
    </w:p>
    <w:p w14:paraId="5D164F5F" w14:textId="77777777" w:rsidR="000F3707" w:rsidRPr="00183B5F" w:rsidRDefault="000F3707" w:rsidP="000F3707">
      <w:pPr>
        <w:spacing w:line="240" w:lineRule="auto"/>
        <w:rPr>
          <w:szCs w:val="22"/>
        </w:rPr>
      </w:pPr>
    </w:p>
    <w:p w14:paraId="3BEFC6A7" w14:textId="77777777" w:rsidR="000F3707" w:rsidRPr="00183B5F" w:rsidRDefault="00943743" w:rsidP="000F3707">
      <w:pPr>
        <w:pStyle w:val="EMEANormal"/>
        <w:rPr>
          <w:szCs w:val="22"/>
          <w:lang w:val="hu-HU"/>
        </w:rPr>
      </w:pPr>
      <w:r w:rsidRPr="00183B5F">
        <w:rPr>
          <w:szCs w:val="22"/>
          <w:lang w:val="hu-HU"/>
        </w:rPr>
        <w:t>Minden beteg nyílt indukciós kezelést kapott a kiindulási testtömegnek megfelelő dózisban: a 0. héten 160 mg és a 2. héten 80 mg a legalább 40 kg testtömegű betegeknél, valamint 80 és 40 mg a 40 kg alatti testtömegű betegeknél.</w:t>
      </w:r>
    </w:p>
    <w:p w14:paraId="78A4D805" w14:textId="77777777" w:rsidR="000F3707" w:rsidRPr="00183B5F" w:rsidRDefault="000F3707" w:rsidP="000F3707">
      <w:pPr>
        <w:pStyle w:val="EMEANormal"/>
        <w:rPr>
          <w:szCs w:val="22"/>
          <w:lang w:val="hu-HU"/>
        </w:rPr>
      </w:pPr>
    </w:p>
    <w:p w14:paraId="67003279" w14:textId="77777777" w:rsidR="000F3707" w:rsidRPr="00183B5F" w:rsidRDefault="00943743" w:rsidP="00DC7942">
      <w:pPr>
        <w:pStyle w:val="EMEANormal"/>
        <w:rPr>
          <w:szCs w:val="22"/>
          <w:lang w:val="hu-HU"/>
        </w:rPr>
      </w:pPr>
      <w:r w:rsidRPr="00183B5F">
        <w:rPr>
          <w:szCs w:val="22"/>
          <w:lang w:val="hu-HU"/>
        </w:rPr>
        <w:t>A 4. héten a betegeket az aktuális testtömegük alapján Alacsony dózisú vagy Standard dózisú fenntartó kezelési sémákra randomizálták 1:1 arányban (</w:t>
      </w:r>
      <w:r w:rsidR="00DC7942" w:rsidRPr="00183B5F">
        <w:rPr>
          <w:szCs w:val="22"/>
          <w:lang w:val="hu-HU"/>
        </w:rPr>
        <w:t>20</w:t>
      </w:r>
      <w:r w:rsidRPr="00183B5F">
        <w:rPr>
          <w:szCs w:val="22"/>
          <w:lang w:val="hu-HU"/>
        </w:rPr>
        <w:t>. táblázat).</w:t>
      </w:r>
    </w:p>
    <w:p w14:paraId="0D9D3323" w14:textId="77777777" w:rsidR="000F3707" w:rsidRPr="00183B5F" w:rsidRDefault="000F3707" w:rsidP="000F3707">
      <w:pPr>
        <w:spacing w:line="240" w:lineRule="auto"/>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
        <w:gridCol w:w="1210"/>
        <w:gridCol w:w="1210"/>
      </w:tblGrid>
      <w:tr w:rsidR="00011D2F" w14:paraId="61FA1CAD" w14:textId="77777777" w:rsidTr="00FF46F7">
        <w:trPr>
          <w:trHeight w:val="263"/>
          <w:jc w:val="center"/>
        </w:trPr>
        <w:tc>
          <w:tcPr>
            <w:tcW w:w="3529" w:type="dxa"/>
            <w:gridSpan w:val="3"/>
            <w:tcBorders>
              <w:top w:val="single" w:sz="4" w:space="0" w:color="auto"/>
              <w:left w:val="single" w:sz="4" w:space="0" w:color="auto"/>
              <w:bottom w:val="single" w:sz="4" w:space="0" w:color="auto"/>
              <w:right w:val="single" w:sz="4" w:space="0" w:color="auto"/>
            </w:tcBorders>
            <w:hideMark/>
          </w:tcPr>
          <w:p w14:paraId="62BF7DC2" w14:textId="77777777" w:rsidR="000F3707" w:rsidRPr="00183B5F" w:rsidRDefault="00943743" w:rsidP="00FF46F7">
            <w:pPr>
              <w:pStyle w:val="EMEANormal"/>
              <w:jc w:val="center"/>
              <w:rPr>
                <w:b/>
                <w:szCs w:val="22"/>
                <w:lang w:val="hu-HU"/>
              </w:rPr>
            </w:pPr>
            <w:r w:rsidRPr="00183B5F">
              <w:rPr>
                <w:b/>
                <w:szCs w:val="22"/>
                <w:lang w:val="hu-HU"/>
              </w:rPr>
              <w:t>20. táblázat</w:t>
            </w:r>
          </w:p>
          <w:p w14:paraId="67487695" w14:textId="77777777" w:rsidR="000F3707" w:rsidRPr="00183B5F" w:rsidRDefault="00943743" w:rsidP="00FF46F7">
            <w:pPr>
              <w:pStyle w:val="EMEANormal"/>
              <w:jc w:val="center"/>
              <w:rPr>
                <w:szCs w:val="22"/>
                <w:lang w:val="hu-HU"/>
              </w:rPr>
            </w:pPr>
            <w:r w:rsidRPr="00183B5F">
              <w:rPr>
                <w:b/>
                <w:szCs w:val="22"/>
                <w:lang w:val="hu-HU"/>
              </w:rPr>
              <w:t>Fenntartó kezelési séma</w:t>
            </w:r>
          </w:p>
        </w:tc>
      </w:tr>
      <w:tr w:rsidR="00011D2F" w14:paraId="39647774" w14:textId="77777777" w:rsidTr="00FF46F7">
        <w:trPr>
          <w:jc w:val="center"/>
        </w:trPr>
        <w:tc>
          <w:tcPr>
            <w:tcW w:w="1109" w:type="dxa"/>
            <w:tcBorders>
              <w:top w:val="single" w:sz="4" w:space="0" w:color="auto"/>
              <w:left w:val="single" w:sz="4" w:space="0" w:color="auto"/>
              <w:bottom w:val="single" w:sz="4" w:space="0" w:color="auto"/>
              <w:right w:val="single" w:sz="4" w:space="0" w:color="auto"/>
            </w:tcBorders>
            <w:hideMark/>
          </w:tcPr>
          <w:p w14:paraId="532AFDED" w14:textId="77777777" w:rsidR="000F3707" w:rsidRPr="00183B5F" w:rsidRDefault="00943743" w:rsidP="00FF46F7">
            <w:pPr>
              <w:pStyle w:val="EMEANormal"/>
              <w:rPr>
                <w:b/>
                <w:szCs w:val="22"/>
                <w:lang w:val="hu-HU"/>
              </w:rPr>
            </w:pPr>
            <w:r w:rsidRPr="00183B5F">
              <w:rPr>
                <w:b/>
                <w:szCs w:val="22"/>
                <w:lang w:val="hu-HU"/>
              </w:rPr>
              <w:t>A beteg testtömege</w:t>
            </w:r>
          </w:p>
        </w:tc>
        <w:tc>
          <w:tcPr>
            <w:tcW w:w="1210" w:type="dxa"/>
            <w:tcBorders>
              <w:top w:val="single" w:sz="4" w:space="0" w:color="auto"/>
              <w:left w:val="single" w:sz="4" w:space="0" w:color="auto"/>
              <w:bottom w:val="single" w:sz="4" w:space="0" w:color="auto"/>
              <w:right w:val="single" w:sz="4" w:space="0" w:color="auto"/>
            </w:tcBorders>
            <w:hideMark/>
          </w:tcPr>
          <w:p w14:paraId="335C4836" w14:textId="77777777" w:rsidR="000F3707" w:rsidRPr="00183B5F" w:rsidRDefault="00943743" w:rsidP="00FF46F7">
            <w:pPr>
              <w:pStyle w:val="EMEANormal"/>
              <w:rPr>
                <w:b/>
                <w:szCs w:val="22"/>
                <w:lang w:val="hu-HU"/>
              </w:rPr>
            </w:pPr>
            <w:r w:rsidRPr="00183B5F">
              <w:rPr>
                <w:b/>
                <w:szCs w:val="22"/>
                <w:lang w:val="hu-HU"/>
              </w:rPr>
              <w:t>Alacsony dózis</w:t>
            </w:r>
          </w:p>
        </w:tc>
        <w:tc>
          <w:tcPr>
            <w:tcW w:w="1210" w:type="dxa"/>
            <w:tcBorders>
              <w:top w:val="single" w:sz="4" w:space="0" w:color="auto"/>
              <w:left w:val="single" w:sz="4" w:space="0" w:color="auto"/>
              <w:bottom w:val="single" w:sz="4" w:space="0" w:color="auto"/>
              <w:right w:val="single" w:sz="4" w:space="0" w:color="auto"/>
            </w:tcBorders>
            <w:hideMark/>
          </w:tcPr>
          <w:p w14:paraId="764B14A8" w14:textId="77777777" w:rsidR="000F3707" w:rsidRPr="00183B5F" w:rsidRDefault="00943743" w:rsidP="00FF46F7">
            <w:pPr>
              <w:pStyle w:val="EMEANormal"/>
              <w:rPr>
                <w:b/>
                <w:szCs w:val="22"/>
                <w:lang w:val="hu-HU"/>
              </w:rPr>
            </w:pPr>
            <w:r w:rsidRPr="00183B5F">
              <w:rPr>
                <w:b/>
                <w:szCs w:val="22"/>
                <w:lang w:val="hu-HU"/>
              </w:rPr>
              <w:t>Standard dózis</w:t>
            </w:r>
          </w:p>
        </w:tc>
      </w:tr>
      <w:tr w:rsidR="00011D2F" w14:paraId="6D9C2203" w14:textId="77777777" w:rsidTr="00FF46F7">
        <w:trPr>
          <w:jc w:val="center"/>
        </w:trPr>
        <w:tc>
          <w:tcPr>
            <w:tcW w:w="1109" w:type="dxa"/>
            <w:tcBorders>
              <w:top w:val="single" w:sz="4" w:space="0" w:color="auto"/>
              <w:left w:val="single" w:sz="4" w:space="0" w:color="auto"/>
              <w:bottom w:val="single" w:sz="4" w:space="0" w:color="auto"/>
              <w:right w:val="single" w:sz="4" w:space="0" w:color="auto"/>
            </w:tcBorders>
            <w:hideMark/>
          </w:tcPr>
          <w:p w14:paraId="5E4771E2" w14:textId="77777777" w:rsidR="000F3707" w:rsidRPr="00183B5F" w:rsidRDefault="00943743" w:rsidP="00FF46F7">
            <w:pPr>
              <w:pStyle w:val="EMEANormal"/>
              <w:rPr>
                <w:szCs w:val="22"/>
                <w:lang w:val="hu-HU"/>
              </w:rPr>
            </w:pPr>
            <w:r w:rsidRPr="00183B5F">
              <w:rPr>
                <w:szCs w:val="22"/>
                <w:lang w:val="hu-HU"/>
              </w:rPr>
              <w:t>&lt; 40 kg</w:t>
            </w:r>
          </w:p>
        </w:tc>
        <w:tc>
          <w:tcPr>
            <w:tcW w:w="1210" w:type="dxa"/>
            <w:tcBorders>
              <w:top w:val="single" w:sz="4" w:space="0" w:color="auto"/>
              <w:left w:val="single" w:sz="4" w:space="0" w:color="auto"/>
              <w:bottom w:val="single" w:sz="4" w:space="0" w:color="auto"/>
              <w:right w:val="single" w:sz="4" w:space="0" w:color="auto"/>
            </w:tcBorders>
            <w:hideMark/>
          </w:tcPr>
          <w:p w14:paraId="75E8D5A6" w14:textId="77777777" w:rsidR="000F3707" w:rsidRPr="00183B5F" w:rsidRDefault="00943743" w:rsidP="00FF46F7">
            <w:pPr>
              <w:pStyle w:val="EMEANormal"/>
              <w:rPr>
                <w:szCs w:val="22"/>
                <w:lang w:val="hu-HU"/>
              </w:rPr>
            </w:pPr>
            <w:r w:rsidRPr="00183B5F">
              <w:rPr>
                <w:szCs w:val="22"/>
                <w:lang w:val="hu-HU"/>
              </w:rPr>
              <w:t>10 mg</w:t>
            </w:r>
          </w:p>
          <w:p w14:paraId="00592663" w14:textId="77777777" w:rsidR="000F3707" w:rsidRPr="00183B5F" w:rsidRDefault="00943743" w:rsidP="00FF46F7">
            <w:pPr>
              <w:pStyle w:val="EMEANormal"/>
              <w:rPr>
                <w:szCs w:val="22"/>
                <w:lang w:val="hu-HU"/>
              </w:rPr>
            </w:pPr>
            <w:r w:rsidRPr="00183B5F">
              <w:rPr>
                <w:szCs w:val="22"/>
                <w:lang w:val="hu-HU"/>
              </w:rPr>
              <w:t>kéthetente</w:t>
            </w:r>
          </w:p>
        </w:tc>
        <w:tc>
          <w:tcPr>
            <w:tcW w:w="1210" w:type="dxa"/>
            <w:tcBorders>
              <w:top w:val="single" w:sz="4" w:space="0" w:color="auto"/>
              <w:left w:val="single" w:sz="4" w:space="0" w:color="auto"/>
              <w:bottom w:val="single" w:sz="4" w:space="0" w:color="auto"/>
              <w:right w:val="single" w:sz="4" w:space="0" w:color="auto"/>
            </w:tcBorders>
            <w:hideMark/>
          </w:tcPr>
          <w:p w14:paraId="772258C9" w14:textId="77777777" w:rsidR="000F3707" w:rsidRPr="00183B5F" w:rsidRDefault="00943743" w:rsidP="00FF46F7">
            <w:pPr>
              <w:pStyle w:val="EMEANormal"/>
              <w:rPr>
                <w:szCs w:val="22"/>
                <w:lang w:val="hu-HU"/>
              </w:rPr>
            </w:pPr>
            <w:r w:rsidRPr="00183B5F">
              <w:rPr>
                <w:szCs w:val="22"/>
                <w:lang w:val="hu-HU"/>
              </w:rPr>
              <w:t>20 mg</w:t>
            </w:r>
          </w:p>
          <w:p w14:paraId="7BB51965" w14:textId="77777777" w:rsidR="000F3707" w:rsidRPr="00183B5F" w:rsidRDefault="00943743" w:rsidP="00FF46F7">
            <w:pPr>
              <w:pStyle w:val="EMEANormal"/>
              <w:rPr>
                <w:szCs w:val="22"/>
                <w:lang w:val="hu-HU"/>
              </w:rPr>
            </w:pPr>
            <w:r w:rsidRPr="00183B5F">
              <w:rPr>
                <w:szCs w:val="22"/>
                <w:lang w:val="hu-HU"/>
              </w:rPr>
              <w:t>kéthetente</w:t>
            </w:r>
          </w:p>
        </w:tc>
      </w:tr>
      <w:tr w:rsidR="00011D2F" w14:paraId="3ED65AA7" w14:textId="77777777" w:rsidTr="00FF46F7">
        <w:trPr>
          <w:jc w:val="center"/>
        </w:trPr>
        <w:tc>
          <w:tcPr>
            <w:tcW w:w="1109" w:type="dxa"/>
            <w:tcBorders>
              <w:top w:val="single" w:sz="4" w:space="0" w:color="auto"/>
              <w:left w:val="single" w:sz="4" w:space="0" w:color="auto"/>
              <w:bottom w:val="single" w:sz="4" w:space="0" w:color="auto"/>
              <w:right w:val="single" w:sz="4" w:space="0" w:color="auto"/>
            </w:tcBorders>
            <w:hideMark/>
          </w:tcPr>
          <w:p w14:paraId="19D1C3B4" w14:textId="77777777" w:rsidR="000F3707" w:rsidRPr="00183B5F" w:rsidRDefault="00943743" w:rsidP="00FF46F7">
            <w:pPr>
              <w:pStyle w:val="EMEANormal"/>
              <w:rPr>
                <w:szCs w:val="22"/>
                <w:lang w:val="hu-HU"/>
              </w:rPr>
            </w:pPr>
            <w:r w:rsidRPr="00183B5F">
              <w:rPr>
                <w:szCs w:val="22"/>
                <w:lang w:val="hu-HU"/>
              </w:rPr>
              <w:t>≥ 40 kg</w:t>
            </w:r>
          </w:p>
        </w:tc>
        <w:tc>
          <w:tcPr>
            <w:tcW w:w="1210" w:type="dxa"/>
            <w:tcBorders>
              <w:top w:val="single" w:sz="4" w:space="0" w:color="auto"/>
              <w:left w:val="single" w:sz="4" w:space="0" w:color="auto"/>
              <w:bottom w:val="single" w:sz="4" w:space="0" w:color="auto"/>
              <w:right w:val="single" w:sz="4" w:space="0" w:color="auto"/>
            </w:tcBorders>
            <w:hideMark/>
          </w:tcPr>
          <w:p w14:paraId="1F4D988D" w14:textId="77777777" w:rsidR="000F3707" w:rsidRPr="00183B5F" w:rsidRDefault="00943743" w:rsidP="00FF46F7">
            <w:pPr>
              <w:pStyle w:val="EMEANormal"/>
              <w:rPr>
                <w:szCs w:val="22"/>
                <w:lang w:val="hu-HU"/>
              </w:rPr>
            </w:pPr>
            <w:r w:rsidRPr="00183B5F">
              <w:rPr>
                <w:szCs w:val="22"/>
                <w:lang w:val="hu-HU"/>
              </w:rPr>
              <w:t>20 mg</w:t>
            </w:r>
          </w:p>
          <w:p w14:paraId="7EE2099F" w14:textId="77777777" w:rsidR="000F3707" w:rsidRPr="00183B5F" w:rsidRDefault="00943743" w:rsidP="00FF46F7">
            <w:pPr>
              <w:pStyle w:val="EMEANormal"/>
              <w:rPr>
                <w:szCs w:val="22"/>
                <w:lang w:val="hu-HU"/>
              </w:rPr>
            </w:pPr>
            <w:r w:rsidRPr="00183B5F">
              <w:rPr>
                <w:szCs w:val="22"/>
                <w:lang w:val="hu-HU"/>
              </w:rPr>
              <w:t>kéthetente</w:t>
            </w:r>
          </w:p>
        </w:tc>
        <w:tc>
          <w:tcPr>
            <w:tcW w:w="1210" w:type="dxa"/>
            <w:tcBorders>
              <w:top w:val="single" w:sz="4" w:space="0" w:color="auto"/>
              <w:left w:val="single" w:sz="4" w:space="0" w:color="auto"/>
              <w:bottom w:val="single" w:sz="4" w:space="0" w:color="auto"/>
              <w:right w:val="single" w:sz="4" w:space="0" w:color="auto"/>
            </w:tcBorders>
            <w:hideMark/>
          </w:tcPr>
          <w:p w14:paraId="40982600" w14:textId="77777777" w:rsidR="000F3707" w:rsidRPr="00183B5F" w:rsidRDefault="00943743" w:rsidP="00FF46F7">
            <w:pPr>
              <w:pStyle w:val="EMEANormal"/>
              <w:rPr>
                <w:szCs w:val="22"/>
                <w:lang w:val="hu-HU"/>
              </w:rPr>
            </w:pPr>
            <w:r w:rsidRPr="00183B5F">
              <w:rPr>
                <w:szCs w:val="22"/>
                <w:lang w:val="hu-HU"/>
              </w:rPr>
              <w:t>40 mg</w:t>
            </w:r>
          </w:p>
          <w:p w14:paraId="27F6B6FA" w14:textId="77777777" w:rsidR="000F3707" w:rsidRPr="00183B5F" w:rsidRDefault="00943743" w:rsidP="00FF46F7">
            <w:pPr>
              <w:pStyle w:val="EMEANormal"/>
              <w:rPr>
                <w:szCs w:val="22"/>
                <w:lang w:val="hu-HU"/>
              </w:rPr>
            </w:pPr>
            <w:r w:rsidRPr="00183B5F">
              <w:rPr>
                <w:szCs w:val="22"/>
                <w:lang w:val="hu-HU"/>
              </w:rPr>
              <w:t>kéthetente</w:t>
            </w:r>
          </w:p>
        </w:tc>
      </w:tr>
    </w:tbl>
    <w:p w14:paraId="40609D99" w14:textId="77777777" w:rsidR="000F3707" w:rsidRPr="00183B5F" w:rsidRDefault="000F3707" w:rsidP="000F3707">
      <w:pPr>
        <w:spacing w:line="240" w:lineRule="auto"/>
        <w:rPr>
          <w:szCs w:val="22"/>
        </w:rPr>
      </w:pPr>
    </w:p>
    <w:p w14:paraId="558AC3C2" w14:textId="77777777" w:rsidR="000F3707" w:rsidRPr="00183B5F" w:rsidRDefault="00943743" w:rsidP="000F3707">
      <w:pPr>
        <w:pStyle w:val="EMEANormal"/>
        <w:keepNext/>
        <w:rPr>
          <w:i/>
          <w:szCs w:val="22"/>
          <w:u w:val="single"/>
          <w:lang w:val="hu-HU"/>
        </w:rPr>
      </w:pPr>
      <w:r w:rsidRPr="00183B5F">
        <w:rPr>
          <w:i/>
          <w:szCs w:val="22"/>
          <w:u w:val="single"/>
          <w:lang w:val="hu-HU"/>
        </w:rPr>
        <w:t>Hatásossági eredmények</w:t>
      </w:r>
    </w:p>
    <w:p w14:paraId="4784C6C3" w14:textId="77777777" w:rsidR="000F3707" w:rsidRPr="00183B5F" w:rsidRDefault="000F3707" w:rsidP="000F3707">
      <w:pPr>
        <w:pStyle w:val="EMEANormal"/>
        <w:keepNext/>
        <w:rPr>
          <w:i/>
          <w:szCs w:val="22"/>
          <w:lang w:val="hu-HU"/>
        </w:rPr>
      </w:pPr>
    </w:p>
    <w:p w14:paraId="4BCA0626" w14:textId="77777777" w:rsidR="000F3707" w:rsidRPr="00183B5F" w:rsidRDefault="00943743" w:rsidP="000F3707">
      <w:pPr>
        <w:pStyle w:val="EMEANormal"/>
        <w:keepNext/>
        <w:rPr>
          <w:szCs w:val="22"/>
          <w:lang w:val="hu-HU"/>
        </w:rPr>
      </w:pPr>
      <w:r w:rsidRPr="00183B5F">
        <w:rPr>
          <w:szCs w:val="22"/>
          <w:lang w:val="hu-HU"/>
        </w:rPr>
        <w:t>A vizsgálat elsődleges végpontja a 26. hétre elért remisszió volt, amely a definíció szerint a PCDAI</w:t>
      </w:r>
      <w:r w:rsidRPr="00183B5F">
        <w:rPr>
          <w:szCs w:val="22"/>
          <w:lang w:val="hu-HU"/>
        </w:rPr>
        <w:noBreakHyphen/>
        <w:t>pontszám ≤ 10.</w:t>
      </w:r>
    </w:p>
    <w:p w14:paraId="205ABB72" w14:textId="77777777" w:rsidR="000F3707" w:rsidRPr="00183B5F" w:rsidRDefault="000F3707" w:rsidP="000F3707">
      <w:pPr>
        <w:pStyle w:val="EMEANormal"/>
        <w:rPr>
          <w:szCs w:val="22"/>
          <w:lang w:val="hu-HU"/>
        </w:rPr>
      </w:pPr>
    </w:p>
    <w:p w14:paraId="53D5BD82" w14:textId="77777777" w:rsidR="000F3707" w:rsidRPr="00183B5F" w:rsidRDefault="00943743" w:rsidP="00DC7942">
      <w:pPr>
        <w:pStyle w:val="EMEANormal"/>
        <w:rPr>
          <w:szCs w:val="22"/>
          <w:lang w:val="hu-HU"/>
        </w:rPr>
      </w:pPr>
      <w:r w:rsidRPr="00183B5F">
        <w:rPr>
          <w:szCs w:val="22"/>
          <w:lang w:val="hu-HU"/>
        </w:rPr>
        <w:t xml:space="preserve">A klinikai remisszió és a klinikai válasz (meghatározás szerint a PCDAI-pontszám a kiindulási értéktől számított, legalább 15 pontos csökkenése) mértéke a </w:t>
      </w:r>
      <w:r w:rsidR="00DC7942" w:rsidRPr="00183B5F">
        <w:rPr>
          <w:szCs w:val="22"/>
          <w:lang w:val="hu-HU"/>
        </w:rPr>
        <w:t>21</w:t>
      </w:r>
      <w:r w:rsidRPr="00183B5F">
        <w:rPr>
          <w:szCs w:val="22"/>
          <w:lang w:val="hu-HU"/>
        </w:rPr>
        <w:t xml:space="preserve">. táblázatban van feltüntetve. A kortikoszteroidok vagy az immunmodulátorok elhagyásának arányait a </w:t>
      </w:r>
      <w:r w:rsidR="00DC7942" w:rsidRPr="00183B5F">
        <w:rPr>
          <w:szCs w:val="22"/>
          <w:lang w:val="hu-HU"/>
        </w:rPr>
        <w:t>22</w:t>
      </w:r>
      <w:r w:rsidRPr="00183B5F">
        <w:rPr>
          <w:szCs w:val="22"/>
          <w:lang w:val="hu-HU"/>
        </w:rPr>
        <w:t>. táblázat tartalmazza.</w:t>
      </w:r>
    </w:p>
    <w:p w14:paraId="49D40DCD" w14:textId="77777777" w:rsidR="000F3707" w:rsidRPr="00183B5F" w:rsidRDefault="000F3707" w:rsidP="000F3707">
      <w:pPr>
        <w:spacing w:line="240" w:lineRule="auto"/>
      </w:pPr>
    </w:p>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011D2F" w14:paraId="04303D12" w14:textId="77777777" w:rsidTr="00FF46F7">
        <w:trPr>
          <w:jc w:val="center"/>
        </w:trPr>
        <w:tc>
          <w:tcPr>
            <w:tcW w:w="6673" w:type="dxa"/>
            <w:gridSpan w:val="4"/>
            <w:tcBorders>
              <w:top w:val="single" w:sz="6" w:space="0" w:color="000000"/>
              <w:left w:val="single" w:sz="6" w:space="0" w:color="000000"/>
              <w:bottom w:val="single" w:sz="6" w:space="0" w:color="000000"/>
              <w:right w:val="single" w:sz="6" w:space="0" w:color="000000"/>
            </w:tcBorders>
            <w:hideMark/>
          </w:tcPr>
          <w:p w14:paraId="672248B0" w14:textId="77777777" w:rsidR="000F3707" w:rsidRPr="00183B5F" w:rsidRDefault="00943743" w:rsidP="00FF46F7">
            <w:pPr>
              <w:tabs>
                <w:tab w:val="left" w:pos="-878"/>
              </w:tabs>
              <w:suppressAutoHyphens w:val="0"/>
              <w:autoSpaceDE w:val="0"/>
              <w:autoSpaceDN w:val="0"/>
              <w:adjustRightInd w:val="0"/>
              <w:spacing w:line="240" w:lineRule="auto"/>
              <w:ind w:left="15"/>
              <w:jc w:val="center"/>
              <w:rPr>
                <w:b/>
                <w:bCs/>
                <w:szCs w:val="22"/>
                <w:lang w:eastAsia="en-US"/>
              </w:rPr>
            </w:pPr>
            <w:r w:rsidRPr="00183B5F">
              <w:rPr>
                <w:b/>
                <w:bCs/>
                <w:szCs w:val="22"/>
                <w:lang w:eastAsia="en-US"/>
              </w:rPr>
              <w:t>21. táblázat</w:t>
            </w:r>
          </w:p>
          <w:p w14:paraId="294B7243" w14:textId="77777777" w:rsidR="000F3707" w:rsidRPr="00183B5F" w:rsidRDefault="00943743" w:rsidP="00FF46F7">
            <w:pPr>
              <w:tabs>
                <w:tab w:val="left" w:pos="-878"/>
              </w:tabs>
              <w:suppressAutoHyphens w:val="0"/>
              <w:autoSpaceDE w:val="0"/>
              <w:autoSpaceDN w:val="0"/>
              <w:adjustRightInd w:val="0"/>
              <w:spacing w:line="240" w:lineRule="auto"/>
              <w:ind w:left="15"/>
              <w:jc w:val="center"/>
              <w:rPr>
                <w:b/>
                <w:bCs/>
                <w:szCs w:val="22"/>
                <w:lang w:eastAsia="en-US"/>
              </w:rPr>
            </w:pPr>
            <w:r w:rsidRPr="00183B5F">
              <w:rPr>
                <w:b/>
                <w:bCs/>
                <w:szCs w:val="22"/>
                <w:lang w:eastAsia="en-US"/>
              </w:rPr>
              <w:t>Gyermekkori CD Vizsgálat</w:t>
            </w:r>
          </w:p>
          <w:p w14:paraId="4E6B4483" w14:textId="77777777" w:rsidR="000F3707" w:rsidRPr="00183B5F" w:rsidRDefault="00943743" w:rsidP="00FF46F7">
            <w:pPr>
              <w:tabs>
                <w:tab w:val="left" w:pos="-878"/>
              </w:tabs>
              <w:suppressAutoHyphens w:val="0"/>
              <w:autoSpaceDE w:val="0"/>
              <w:autoSpaceDN w:val="0"/>
              <w:adjustRightInd w:val="0"/>
              <w:spacing w:line="240" w:lineRule="auto"/>
              <w:ind w:left="15"/>
              <w:jc w:val="center"/>
              <w:rPr>
                <w:b/>
                <w:bCs/>
                <w:szCs w:val="22"/>
                <w:lang w:eastAsia="en-US"/>
              </w:rPr>
            </w:pPr>
            <w:r w:rsidRPr="00183B5F">
              <w:rPr>
                <w:b/>
                <w:bCs/>
                <w:szCs w:val="22"/>
                <w:lang w:eastAsia="en-US"/>
              </w:rPr>
              <w:t xml:space="preserve">PCDAI </w:t>
            </w:r>
            <w:r w:rsidRPr="00183B5F">
              <w:rPr>
                <w:b/>
                <w:szCs w:val="22"/>
                <w:lang w:eastAsia="en-US"/>
              </w:rPr>
              <w:t xml:space="preserve">Klinikai </w:t>
            </w:r>
            <w:r w:rsidRPr="00183B5F">
              <w:rPr>
                <w:b/>
                <w:bCs/>
                <w:szCs w:val="22"/>
                <w:lang w:eastAsia="en-US"/>
              </w:rPr>
              <w:t>remisszió és válasz</w:t>
            </w:r>
          </w:p>
        </w:tc>
      </w:tr>
      <w:tr w:rsidR="00011D2F" w14:paraId="7F014810" w14:textId="77777777" w:rsidTr="00FF46F7">
        <w:trPr>
          <w:jc w:val="center"/>
        </w:trPr>
        <w:tc>
          <w:tcPr>
            <w:tcW w:w="2321" w:type="dxa"/>
            <w:tcBorders>
              <w:top w:val="single" w:sz="6" w:space="0" w:color="000000"/>
              <w:left w:val="single" w:sz="6" w:space="0" w:color="000000"/>
              <w:bottom w:val="single" w:sz="6" w:space="0" w:color="000000"/>
              <w:right w:val="single" w:sz="6" w:space="0" w:color="000000"/>
            </w:tcBorders>
          </w:tcPr>
          <w:p w14:paraId="49A38918" w14:textId="77777777" w:rsidR="000F3707" w:rsidRPr="00183B5F" w:rsidRDefault="000F3707" w:rsidP="00FF46F7">
            <w:pPr>
              <w:keepLines/>
              <w:tabs>
                <w:tab w:val="left" w:pos="-1080"/>
              </w:tabs>
              <w:suppressAutoHyphens w:val="0"/>
              <w:autoSpaceDE w:val="0"/>
              <w:autoSpaceDN w:val="0"/>
              <w:adjustRightInd w:val="0"/>
              <w:spacing w:line="240" w:lineRule="auto"/>
              <w:ind w:left="15"/>
              <w:jc w:val="center"/>
              <w:rPr>
                <w:b/>
                <w:bCs/>
                <w:szCs w:val="22"/>
                <w:lang w:eastAsia="en-US"/>
              </w:rPr>
            </w:pPr>
          </w:p>
        </w:tc>
        <w:tc>
          <w:tcPr>
            <w:tcW w:w="1614" w:type="dxa"/>
            <w:tcBorders>
              <w:top w:val="single" w:sz="6" w:space="0" w:color="000000"/>
              <w:left w:val="single" w:sz="6" w:space="0" w:color="000000"/>
              <w:bottom w:val="single" w:sz="6" w:space="0" w:color="000000"/>
              <w:right w:val="single" w:sz="6" w:space="0" w:color="000000"/>
            </w:tcBorders>
            <w:hideMark/>
          </w:tcPr>
          <w:p w14:paraId="21CF4858" w14:textId="77777777" w:rsidR="000F3707" w:rsidRPr="00183B5F" w:rsidRDefault="00943743" w:rsidP="00FF46F7">
            <w:pPr>
              <w:keepLines/>
              <w:tabs>
                <w:tab w:val="left" w:pos="-1080"/>
              </w:tabs>
              <w:suppressAutoHyphens w:val="0"/>
              <w:autoSpaceDE w:val="0"/>
              <w:autoSpaceDN w:val="0"/>
              <w:adjustRightInd w:val="0"/>
              <w:spacing w:line="240" w:lineRule="auto"/>
              <w:ind w:left="15"/>
              <w:jc w:val="center"/>
              <w:rPr>
                <w:b/>
                <w:bCs/>
                <w:szCs w:val="22"/>
                <w:lang w:eastAsia="en-US"/>
              </w:rPr>
            </w:pPr>
            <w:r w:rsidRPr="00183B5F">
              <w:rPr>
                <w:b/>
                <w:bCs/>
                <w:szCs w:val="22"/>
                <w:lang w:eastAsia="en-US"/>
              </w:rPr>
              <w:t>Standard dózis</w:t>
            </w:r>
          </w:p>
          <w:p w14:paraId="28171DA7" w14:textId="77777777" w:rsidR="000F3707" w:rsidRPr="00183B5F" w:rsidRDefault="00943743" w:rsidP="00FF46F7">
            <w:pPr>
              <w:keepLines/>
              <w:tabs>
                <w:tab w:val="left" w:pos="-1080"/>
              </w:tabs>
              <w:suppressAutoHyphens w:val="0"/>
              <w:autoSpaceDE w:val="0"/>
              <w:autoSpaceDN w:val="0"/>
              <w:adjustRightInd w:val="0"/>
              <w:spacing w:line="240" w:lineRule="auto"/>
              <w:ind w:left="15"/>
              <w:jc w:val="center"/>
              <w:rPr>
                <w:b/>
                <w:bCs/>
                <w:szCs w:val="22"/>
                <w:lang w:eastAsia="en-US"/>
              </w:rPr>
            </w:pPr>
            <w:r w:rsidRPr="00183B5F">
              <w:rPr>
                <w:b/>
                <w:bCs/>
                <w:szCs w:val="22"/>
                <w:lang w:eastAsia="en-US"/>
              </w:rPr>
              <w:t>40/20 mg</w:t>
            </w:r>
          </w:p>
          <w:p w14:paraId="19D966AA" w14:textId="77777777" w:rsidR="000F3707" w:rsidRPr="00183B5F" w:rsidRDefault="00943743" w:rsidP="00FF46F7">
            <w:pPr>
              <w:keepLines/>
              <w:tabs>
                <w:tab w:val="left" w:pos="-1080"/>
              </w:tabs>
              <w:suppressAutoHyphens w:val="0"/>
              <w:autoSpaceDE w:val="0"/>
              <w:autoSpaceDN w:val="0"/>
              <w:adjustRightInd w:val="0"/>
              <w:spacing w:line="240" w:lineRule="auto"/>
              <w:ind w:left="15"/>
              <w:jc w:val="center"/>
              <w:rPr>
                <w:b/>
                <w:bCs/>
                <w:szCs w:val="22"/>
                <w:lang w:eastAsia="en-US"/>
              </w:rPr>
            </w:pPr>
            <w:r w:rsidRPr="00183B5F">
              <w:rPr>
                <w:b/>
                <w:bCs/>
                <w:szCs w:val="22"/>
                <w:lang w:eastAsia="en-US"/>
              </w:rPr>
              <w:t xml:space="preserve">kéthetente </w:t>
            </w:r>
          </w:p>
          <w:p w14:paraId="444436D0" w14:textId="77777777" w:rsidR="000F3707" w:rsidRPr="00183B5F" w:rsidRDefault="00943743" w:rsidP="00FF46F7">
            <w:pPr>
              <w:keepLines/>
              <w:tabs>
                <w:tab w:val="left" w:pos="-1080"/>
              </w:tabs>
              <w:suppressAutoHyphens w:val="0"/>
              <w:autoSpaceDE w:val="0"/>
              <w:autoSpaceDN w:val="0"/>
              <w:adjustRightInd w:val="0"/>
              <w:spacing w:line="240" w:lineRule="auto"/>
              <w:ind w:left="15"/>
              <w:jc w:val="center"/>
              <w:rPr>
                <w:b/>
                <w:bCs/>
                <w:szCs w:val="22"/>
                <w:lang w:eastAsia="en-US"/>
              </w:rPr>
            </w:pPr>
            <w:r w:rsidRPr="00183B5F">
              <w:rPr>
                <w:b/>
                <w:bCs/>
                <w:szCs w:val="22"/>
                <w:lang w:eastAsia="en-US"/>
              </w:rPr>
              <w:t>N = 93</w:t>
            </w:r>
          </w:p>
        </w:tc>
        <w:tc>
          <w:tcPr>
            <w:tcW w:w="1591" w:type="dxa"/>
            <w:tcBorders>
              <w:top w:val="single" w:sz="6" w:space="0" w:color="000000"/>
              <w:left w:val="single" w:sz="6" w:space="0" w:color="000000"/>
              <w:bottom w:val="single" w:sz="6" w:space="0" w:color="000000"/>
              <w:right w:val="single" w:sz="6" w:space="0" w:color="000000"/>
            </w:tcBorders>
            <w:hideMark/>
          </w:tcPr>
          <w:p w14:paraId="07F7A61A" w14:textId="77777777" w:rsidR="000F3707" w:rsidRPr="00183B5F" w:rsidRDefault="00943743" w:rsidP="00FF46F7">
            <w:pPr>
              <w:keepLines/>
              <w:tabs>
                <w:tab w:val="left" w:pos="-1080"/>
              </w:tabs>
              <w:suppressAutoHyphens w:val="0"/>
              <w:autoSpaceDE w:val="0"/>
              <w:autoSpaceDN w:val="0"/>
              <w:adjustRightInd w:val="0"/>
              <w:spacing w:line="240" w:lineRule="auto"/>
              <w:ind w:left="15"/>
              <w:jc w:val="center"/>
              <w:rPr>
                <w:b/>
                <w:bCs/>
                <w:szCs w:val="22"/>
                <w:lang w:eastAsia="en-US"/>
              </w:rPr>
            </w:pPr>
            <w:r w:rsidRPr="00183B5F">
              <w:rPr>
                <w:b/>
                <w:bCs/>
                <w:szCs w:val="22"/>
                <w:lang w:eastAsia="en-US"/>
              </w:rPr>
              <w:t>Alacsony dózis</w:t>
            </w:r>
          </w:p>
          <w:p w14:paraId="42ABF36F" w14:textId="77777777" w:rsidR="000F3707" w:rsidRPr="00183B5F" w:rsidRDefault="00943743" w:rsidP="00FF46F7">
            <w:pPr>
              <w:keepLines/>
              <w:tabs>
                <w:tab w:val="left" w:pos="-1080"/>
              </w:tabs>
              <w:suppressAutoHyphens w:val="0"/>
              <w:autoSpaceDE w:val="0"/>
              <w:autoSpaceDN w:val="0"/>
              <w:adjustRightInd w:val="0"/>
              <w:spacing w:line="240" w:lineRule="auto"/>
              <w:ind w:left="15"/>
              <w:jc w:val="center"/>
              <w:rPr>
                <w:b/>
                <w:bCs/>
                <w:szCs w:val="22"/>
                <w:lang w:eastAsia="en-US"/>
              </w:rPr>
            </w:pPr>
            <w:r w:rsidRPr="00183B5F">
              <w:rPr>
                <w:b/>
                <w:bCs/>
                <w:szCs w:val="22"/>
                <w:lang w:eastAsia="en-US"/>
              </w:rPr>
              <w:t>20/10 mg</w:t>
            </w:r>
          </w:p>
          <w:p w14:paraId="59A6C7CF" w14:textId="77777777" w:rsidR="000F3707" w:rsidRPr="00183B5F" w:rsidRDefault="00943743" w:rsidP="00FF46F7">
            <w:pPr>
              <w:keepLines/>
              <w:tabs>
                <w:tab w:val="left" w:pos="-1080"/>
              </w:tabs>
              <w:suppressAutoHyphens w:val="0"/>
              <w:autoSpaceDE w:val="0"/>
              <w:autoSpaceDN w:val="0"/>
              <w:adjustRightInd w:val="0"/>
              <w:spacing w:line="240" w:lineRule="auto"/>
              <w:ind w:left="15"/>
              <w:jc w:val="center"/>
              <w:rPr>
                <w:b/>
                <w:bCs/>
                <w:szCs w:val="22"/>
                <w:lang w:eastAsia="en-US"/>
              </w:rPr>
            </w:pPr>
            <w:r w:rsidRPr="00183B5F">
              <w:rPr>
                <w:b/>
                <w:bCs/>
                <w:szCs w:val="22"/>
                <w:lang w:eastAsia="en-US"/>
              </w:rPr>
              <w:t xml:space="preserve">kéthetente </w:t>
            </w:r>
          </w:p>
          <w:p w14:paraId="6E4C2BE9" w14:textId="77777777" w:rsidR="000F3707" w:rsidRPr="00183B5F" w:rsidRDefault="00943743" w:rsidP="00FF46F7">
            <w:pPr>
              <w:keepLines/>
              <w:tabs>
                <w:tab w:val="left" w:pos="-1080"/>
              </w:tabs>
              <w:suppressAutoHyphens w:val="0"/>
              <w:autoSpaceDE w:val="0"/>
              <w:autoSpaceDN w:val="0"/>
              <w:adjustRightInd w:val="0"/>
              <w:spacing w:line="240" w:lineRule="auto"/>
              <w:ind w:left="15"/>
              <w:jc w:val="center"/>
              <w:rPr>
                <w:b/>
                <w:bCs/>
                <w:szCs w:val="22"/>
                <w:lang w:eastAsia="en-US"/>
              </w:rPr>
            </w:pPr>
            <w:r w:rsidRPr="00183B5F">
              <w:rPr>
                <w:b/>
                <w:bCs/>
                <w:szCs w:val="22"/>
                <w:lang w:eastAsia="en-US"/>
              </w:rPr>
              <w:t>N = 95</w:t>
            </w:r>
          </w:p>
        </w:tc>
        <w:tc>
          <w:tcPr>
            <w:tcW w:w="1147" w:type="dxa"/>
            <w:tcBorders>
              <w:top w:val="single" w:sz="6" w:space="0" w:color="000000"/>
              <w:left w:val="single" w:sz="6" w:space="0" w:color="000000"/>
              <w:bottom w:val="single" w:sz="6" w:space="0" w:color="000000"/>
              <w:right w:val="single" w:sz="6" w:space="0" w:color="000000"/>
            </w:tcBorders>
            <w:hideMark/>
          </w:tcPr>
          <w:p w14:paraId="7B3D7011" w14:textId="77777777" w:rsidR="000F3707" w:rsidRPr="00183B5F" w:rsidRDefault="00943743" w:rsidP="00FF46F7">
            <w:pPr>
              <w:keepLines/>
              <w:tabs>
                <w:tab w:val="left" w:pos="-1080"/>
              </w:tabs>
              <w:suppressAutoHyphens w:val="0"/>
              <w:autoSpaceDE w:val="0"/>
              <w:autoSpaceDN w:val="0"/>
              <w:adjustRightInd w:val="0"/>
              <w:spacing w:line="240" w:lineRule="auto"/>
              <w:ind w:left="15"/>
              <w:jc w:val="center"/>
              <w:rPr>
                <w:szCs w:val="22"/>
                <w:lang w:eastAsia="en-US"/>
              </w:rPr>
            </w:pPr>
            <w:r w:rsidRPr="00183B5F">
              <w:rPr>
                <w:b/>
                <w:bCs/>
                <w:szCs w:val="22"/>
                <w:lang w:eastAsia="en-US"/>
              </w:rPr>
              <w:t>p</w:t>
            </w:r>
            <w:r w:rsidRPr="00183B5F">
              <w:rPr>
                <w:b/>
                <w:bCs/>
                <w:szCs w:val="22"/>
                <w:lang w:eastAsia="en-US"/>
              </w:rPr>
              <w:noBreakHyphen/>
              <w:t>érték</w:t>
            </w:r>
            <w:r w:rsidRPr="00183B5F">
              <w:rPr>
                <w:szCs w:val="22"/>
                <w:lang w:eastAsia="en-US"/>
              </w:rPr>
              <w:t>*</w:t>
            </w:r>
          </w:p>
        </w:tc>
      </w:tr>
      <w:tr w:rsidR="00011D2F" w14:paraId="1B4A6DAD" w14:textId="77777777" w:rsidTr="00FF46F7">
        <w:trPr>
          <w:jc w:val="center"/>
        </w:trPr>
        <w:tc>
          <w:tcPr>
            <w:tcW w:w="2321" w:type="dxa"/>
            <w:tcBorders>
              <w:top w:val="single" w:sz="6" w:space="0" w:color="000000"/>
              <w:left w:val="single" w:sz="6" w:space="0" w:color="000000"/>
              <w:bottom w:val="single" w:sz="6" w:space="0" w:color="000000"/>
              <w:right w:val="single" w:sz="6" w:space="0" w:color="000000"/>
            </w:tcBorders>
            <w:vAlign w:val="bottom"/>
            <w:hideMark/>
          </w:tcPr>
          <w:p w14:paraId="6F3692CF" w14:textId="77777777" w:rsidR="000F3707" w:rsidRPr="00183B5F" w:rsidRDefault="00943743" w:rsidP="00FF46F7">
            <w:pPr>
              <w:keepLines/>
              <w:tabs>
                <w:tab w:val="left" w:pos="-1080"/>
              </w:tabs>
              <w:suppressAutoHyphens w:val="0"/>
              <w:autoSpaceDE w:val="0"/>
              <w:autoSpaceDN w:val="0"/>
              <w:adjustRightInd w:val="0"/>
              <w:spacing w:line="240" w:lineRule="auto"/>
              <w:ind w:left="15"/>
              <w:rPr>
                <w:b/>
                <w:bCs/>
                <w:szCs w:val="22"/>
                <w:lang w:eastAsia="en-US"/>
              </w:rPr>
            </w:pPr>
            <w:r w:rsidRPr="00183B5F">
              <w:rPr>
                <w:b/>
                <w:bCs/>
                <w:szCs w:val="22"/>
                <w:lang w:eastAsia="en-US"/>
              </w:rPr>
              <w:t>26. hét</w:t>
            </w:r>
          </w:p>
        </w:tc>
        <w:tc>
          <w:tcPr>
            <w:tcW w:w="1614" w:type="dxa"/>
            <w:tcBorders>
              <w:top w:val="single" w:sz="6" w:space="0" w:color="000000"/>
              <w:left w:val="single" w:sz="6" w:space="0" w:color="000000"/>
              <w:bottom w:val="single" w:sz="6" w:space="0" w:color="000000"/>
              <w:right w:val="single" w:sz="6" w:space="0" w:color="000000"/>
            </w:tcBorders>
            <w:vAlign w:val="bottom"/>
          </w:tcPr>
          <w:p w14:paraId="1BAAF8ED" w14:textId="77777777" w:rsidR="000F3707" w:rsidRPr="00183B5F" w:rsidRDefault="000F3707" w:rsidP="00FF46F7">
            <w:pPr>
              <w:keepLines/>
              <w:tabs>
                <w:tab w:val="left" w:pos="-1080"/>
              </w:tabs>
              <w:suppressAutoHyphens w:val="0"/>
              <w:autoSpaceDE w:val="0"/>
              <w:autoSpaceDN w:val="0"/>
              <w:adjustRightInd w:val="0"/>
              <w:spacing w:line="240" w:lineRule="auto"/>
              <w:ind w:left="15"/>
              <w:jc w:val="center"/>
              <w:rPr>
                <w:b/>
                <w:bCs/>
                <w:szCs w:val="22"/>
                <w:lang w:eastAsia="en-US"/>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091C5AF7" w14:textId="77777777" w:rsidR="000F3707" w:rsidRPr="00183B5F" w:rsidRDefault="000F3707" w:rsidP="00FF46F7">
            <w:pPr>
              <w:keepLines/>
              <w:tabs>
                <w:tab w:val="left" w:pos="-1080"/>
              </w:tabs>
              <w:suppressAutoHyphens w:val="0"/>
              <w:autoSpaceDE w:val="0"/>
              <w:autoSpaceDN w:val="0"/>
              <w:adjustRightInd w:val="0"/>
              <w:spacing w:line="240" w:lineRule="auto"/>
              <w:ind w:left="15"/>
              <w:jc w:val="center"/>
              <w:rPr>
                <w:b/>
                <w:bCs/>
                <w:szCs w:val="22"/>
                <w:lang w:eastAsia="en-US"/>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1FDA786B" w14:textId="77777777" w:rsidR="000F3707" w:rsidRPr="00183B5F" w:rsidRDefault="000F3707" w:rsidP="00FF46F7">
            <w:pPr>
              <w:suppressAutoHyphens w:val="0"/>
              <w:autoSpaceDE w:val="0"/>
              <w:autoSpaceDN w:val="0"/>
              <w:adjustRightInd w:val="0"/>
              <w:spacing w:line="240" w:lineRule="auto"/>
              <w:ind w:left="15"/>
              <w:rPr>
                <w:b/>
                <w:bCs/>
                <w:szCs w:val="22"/>
                <w:lang w:eastAsia="en-US"/>
              </w:rPr>
            </w:pPr>
          </w:p>
        </w:tc>
      </w:tr>
      <w:tr w:rsidR="00011D2F" w14:paraId="3B9FBDDA" w14:textId="77777777" w:rsidTr="00FF46F7">
        <w:trPr>
          <w:jc w:val="center"/>
        </w:trPr>
        <w:tc>
          <w:tcPr>
            <w:tcW w:w="2321" w:type="dxa"/>
            <w:tcBorders>
              <w:top w:val="single" w:sz="6" w:space="0" w:color="000000"/>
              <w:left w:val="single" w:sz="6" w:space="0" w:color="000000"/>
              <w:bottom w:val="single" w:sz="6" w:space="0" w:color="000000"/>
              <w:right w:val="single" w:sz="6" w:space="0" w:color="000000"/>
            </w:tcBorders>
            <w:vAlign w:val="bottom"/>
            <w:hideMark/>
          </w:tcPr>
          <w:p w14:paraId="115E404B" w14:textId="77777777" w:rsidR="000F3707" w:rsidRPr="00183B5F" w:rsidRDefault="00943743" w:rsidP="00FF46F7">
            <w:pPr>
              <w:keepLines/>
              <w:tabs>
                <w:tab w:val="left" w:pos="-1080"/>
              </w:tabs>
              <w:suppressAutoHyphens w:val="0"/>
              <w:autoSpaceDE w:val="0"/>
              <w:autoSpaceDN w:val="0"/>
              <w:adjustRightInd w:val="0"/>
              <w:spacing w:line="240" w:lineRule="auto"/>
              <w:ind w:left="15"/>
              <w:rPr>
                <w:szCs w:val="22"/>
                <w:lang w:eastAsia="en-US"/>
              </w:rPr>
            </w:pPr>
            <w:r w:rsidRPr="00183B5F">
              <w:rPr>
                <w:szCs w:val="22"/>
                <w:lang w:eastAsia="en-US"/>
              </w:rPr>
              <w:t xml:space="preserve">   Klinikai remisszió</w:t>
            </w:r>
          </w:p>
        </w:tc>
        <w:tc>
          <w:tcPr>
            <w:tcW w:w="1614" w:type="dxa"/>
            <w:tcBorders>
              <w:top w:val="single" w:sz="6" w:space="0" w:color="000000"/>
              <w:left w:val="single" w:sz="6" w:space="0" w:color="000000"/>
              <w:bottom w:val="single" w:sz="6" w:space="0" w:color="000000"/>
              <w:right w:val="single" w:sz="6" w:space="0" w:color="000000"/>
            </w:tcBorders>
            <w:vAlign w:val="bottom"/>
            <w:hideMark/>
          </w:tcPr>
          <w:p w14:paraId="67D54ACB" w14:textId="77777777" w:rsidR="000F3707" w:rsidRPr="00183B5F" w:rsidRDefault="00943743" w:rsidP="00FF46F7">
            <w:pPr>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38,7%</w:t>
            </w:r>
          </w:p>
        </w:tc>
        <w:tc>
          <w:tcPr>
            <w:tcW w:w="1591" w:type="dxa"/>
            <w:tcBorders>
              <w:top w:val="single" w:sz="6" w:space="0" w:color="000000"/>
              <w:left w:val="single" w:sz="6" w:space="0" w:color="000000"/>
              <w:bottom w:val="single" w:sz="6" w:space="0" w:color="000000"/>
              <w:right w:val="single" w:sz="6" w:space="0" w:color="000000"/>
            </w:tcBorders>
            <w:vAlign w:val="bottom"/>
            <w:hideMark/>
          </w:tcPr>
          <w:p w14:paraId="7CA34DDF" w14:textId="77777777" w:rsidR="000F3707" w:rsidRPr="00183B5F" w:rsidRDefault="00943743" w:rsidP="00FF46F7">
            <w:pPr>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28,4%</w:t>
            </w:r>
          </w:p>
        </w:tc>
        <w:tc>
          <w:tcPr>
            <w:tcW w:w="1147" w:type="dxa"/>
            <w:tcBorders>
              <w:top w:val="single" w:sz="6" w:space="0" w:color="000000"/>
              <w:left w:val="single" w:sz="6" w:space="0" w:color="000000"/>
              <w:bottom w:val="single" w:sz="6" w:space="0" w:color="000000"/>
              <w:right w:val="single" w:sz="6" w:space="0" w:color="000000"/>
            </w:tcBorders>
            <w:vAlign w:val="bottom"/>
            <w:hideMark/>
          </w:tcPr>
          <w:p w14:paraId="1FEF5515" w14:textId="77777777" w:rsidR="000F3707" w:rsidRPr="00183B5F" w:rsidRDefault="00943743" w:rsidP="00FF46F7">
            <w:pPr>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0,075</w:t>
            </w:r>
          </w:p>
        </w:tc>
      </w:tr>
      <w:tr w:rsidR="00011D2F" w14:paraId="48836F15" w14:textId="77777777" w:rsidTr="00FF46F7">
        <w:trPr>
          <w:jc w:val="center"/>
        </w:trPr>
        <w:tc>
          <w:tcPr>
            <w:tcW w:w="2321" w:type="dxa"/>
            <w:tcBorders>
              <w:top w:val="single" w:sz="6" w:space="0" w:color="000000"/>
              <w:left w:val="single" w:sz="6" w:space="0" w:color="000000"/>
              <w:bottom w:val="single" w:sz="6" w:space="0" w:color="000000"/>
              <w:right w:val="single" w:sz="6" w:space="0" w:color="000000"/>
            </w:tcBorders>
            <w:hideMark/>
          </w:tcPr>
          <w:p w14:paraId="7A432903" w14:textId="77777777" w:rsidR="000F3707" w:rsidRPr="00183B5F" w:rsidRDefault="00943743" w:rsidP="00FF46F7">
            <w:pPr>
              <w:keepLines/>
              <w:tabs>
                <w:tab w:val="left" w:pos="-1080"/>
              </w:tabs>
              <w:suppressAutoHyphens w:val="0"/>
              <w:autoSpaceDE w:val="0"/>
              <w:autoSpaceDN w:val="0"/>
              <w:adjustRightInd w:val="0"/>
              <w:spacing w:line="240" w:lineRule="auto"/>
              <w:ind w:left="15"/>
              <w:rPr>
                <w:szCs w:val="22"/>
                <w:lang w:eastAsia="en-US"/>
              </w:rPr>
            </w:pPr>
            <w:r w:rsidRPr="00183B5F">
              <w:rPr>
                <w:szCs w:val="22"/>
                <w:lang w:eastAsia="en-US"/>
              </w:rPr>
              <w:t xml:space="preserve">   Klinikai válasz </w:t>
            </w:r>
          </w:p>
        </w:tc>
        <w:tc>
          <w:tcPr>
            <w:tcW w:w="1614" w:type="dxa"/>
            <w:tcBorders>
              <w:top w:val="single" w:sz="6" w:space="0" w:color="000000"/>
              <w:left w:val="single" w:sz="6" w:space="0" w:color="000000"/>
              <w:bottom w:val="single" w:sz="6" w:space="0" w:color="000000"/>
              <w:right w:val="single" w:sz="6" w:space="0" w:color="000000"/>
            </w:tcBorders>
            <w:hideMark/>
          </w:tcPr>
          <w:p w14:paraId="7D89499A" w14:textId="77777777" w:rsidR="000F3707" w:rsidRPr="00183B5F" w:rsidRDefault="00943743" w:rsidP="00FF46F7">
            <w:pPr>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59,1%</w:t>
            </w:r>
          </w:p>
        </w:tc>
        <w:tc>
          <w:tcPr>
            <w:tcW w:w="1591" w:type="dxa"/>
            <w:tcBorders>
              <w:top w:val="single" w:sz="6" w:space="0" w:color="000000"/>
              <w:left w:val="single" w:sz="6" w:space="0" w:color="000000"/>
              <w:bottom w:val="single" w:sz="6" w:space="0" w:color="000000"/>
              <w:right w:val="single" w:sz="6" w:space="0" w:color="000000"/>
            </w:tcBorders>
            <w:hideMark/>
          </w:tcPr>
          <w:p w14:paraId="16D9A058" w14:textId="77777777" w:rsidR="000F3707" w:rsidRPr="00183B5F" w:rsidRDefault="00943743" w:rsidP="00FF46F7">
            <w:pPr>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48,4%</w:t>
            </w:r>
          </w:p>
        </w:tc>
        <w:tc>
          <w:tcPr>
            <w:tcW w:w="1147" w:type="dxa"/>
            <w:tcBorders>
              <w:top w:val="single" w:sz="6" w:space="0" w:color="000000"/>
              <w:left w:val="single" w:sz="6" w:space="0" w:color="000000"/>
              <w:bottom w:val="single" w:sz="6" w:space="0" w:color="000000"/>
              <w:right w:val="single" w:sz="6" w:space="0" w:color="000000"/>
            </w:tcBorders>
            <w:hideMark/>
          </w:tcPr>
          <w:p w14:paraId="35E90C23" w14:textId="77777777" w:rsidR="000F3707" w:rsidRPr="00183B5F" w:rsidRDefault="00943743" w:rsidP="00FF46F7">
            <w:pPr>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0,073</w:t>
            </w:r>
          </w:p>
        </w:tc>
      </w:tr>
      <w:tr w:rsidR="00011D2F" w14:paraId="2A02104C" w14:textId="77777777" w:rsidTr="00FF46F7">
        <w:trPr>
          <w:jc w:val="center"/>
        </w:trPr>
        <w:tc>
          <w:tcPr>
            <w:tcW w:w="2321" w:type="dxa"/>
            <w:tcBorders>
              <w:top w:val="single" w:sz="6" w:space="0" w:color="000000"/>
              <w:left w:val="single" w:sz="6" w:space="0" w:color="000000"/>
              <w:bottom w:val="single" w:sz="6" w:space="0" w:color="000000"/>
              <w:right w:val="single" w:sz="6" w:space="0" w:color="000000"/>
            </w:tcBorders>
            <w:vAlign w:val="bottom"/>
            <w:hideMark/>
          </w:tcPr>
          <w:p w14:paraId="754966B2" w14:textId="77777777" w:rsidR="000F3707" w:rsidRPr="00183B5F" w:rsidRDefault="00943743" w:rsidP="00FF46F7">
            <w:pPr>
              <w:keepLines/>
              <w:tabs>
                <w:tab w:val="left" w:pos="-1080"/>
              </w:tabs>
              <w:suppressAutoHyphens w:val="0"/>
              <w:autoSpaceDE w:val="0"/>
              <w:autoSpaceDN w:val="0"/>
              <w:adjustRightInd w:val="0"/>
              <w:spacing w:line="240" w:lineRule="auto"/>
              <w:ind w:left="15"/>
              <w:rPr>
                <w:b/>
                <w:bCs/>
                <w:szCs w:val="22"/>
                <w:lang w:eastAsia="en-US"/>
              </w:rPr>
            </w:pPr>
            <w:r w:rsidRPr="00183B5F">
              <w:rPr>
                <w:b/>
                <w:bCs/>
                <w:szCs w:val="22"/>
                <w:lang w:eastAsia="en-US"/>
              </w:rPr>
              <w:t>52. hét</w:t>
            </w:r>
          </w:p>
        </w:tc>
        <w:tc>
          <w:tcPr>
            <w:tcW w:w="1614" w:type="dxa"/>
            <w:tcBorders>
              <w:top w:val="single" w:sz="6" w:space="0" w:color="000000"/>
              <w:left w:val="single" w:sz="6" w:space="0" w:color="000000"/>
              <w:bottom w:val="single" w:sz="6" w:space="0" w:color="000000"/>
              <w:right w:val="single" w:sz="6" w:space="0" w:color="000000"/>
            </w:tcBorders>
            <w:vAlign w:val="bottom"/>
          </w:tcPr>
          <w:p w14:paraId="1BF5B45A" w14:textId="77777777" w:rsidR="000F3707" w:rsidRPr="00183B5F" w:rsidRDefault="000F3707" w:rsidP="00FF46F7">
            <w:pPr>
              <w:keepLines/>
              <w:tabs>
                <w:tab w:val="left" w:pos="-1080"/>
              </w:tabs>
              <w:suppressAutoHyphens w:val="0"/>
              <w:autoSpaceDE w:val="0"/>
              <w:autoSpaceDN w:val="0"/>
              <w:adjustRightInd w:val="0"/>
              <w:spacing w:line="240" w:lineRule="auto"/>
              <w:ind w:left="15"/>
              <w:jc w:val="center"/>
              <w:rPr>
                <w:b/>
                <w:bCs/>
                <w:szCs w:val="22"/>
                <w:lang w:eastAsia="en-US"/>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3C149392" w14:textId="77777777" w:rsidR="000F3707" w:rsidRPr="00183B5F" w:rsidRDefault="000F3707" w:rsidP="00FF46F7">
            <w:pPr>
              <w:keepLines/>
              <w:tabs>
                <w:tab w:val="left" w:pos="-1080"/>
              </w:tabs>
              <w:suppressAutoHyphens w:val="0"/>
              <w:autoSpaceDE w:val="0"/>
              <w:autoSpaceDN w:val="0"/>
              <w:adjustRightInd w:val="0"/>
              <w:spacing w:line="240" w:lineRule="auto"/>
              <w:ind w:left="15"/>
              <w:jc w:val="center"/>
              <w:rPr>
                <w:b/>
                <w:bCs/>
                <w:szCs w:val="22"/>
                <w:lang w:eastAsia="en-US"/>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7C6E2EB0" w14:textId="77777777" w:rsidR="000F3707" w:rsidRPr="00183B5F" w:rsidRDefault="000F3707" w:rsidP="00FF46F7">
            <w:pPr>
              <w:suppressAutoHyphens w:val="0"/>
              <w:autoSpaceDE w:val="0"/>
              <w:autoSpaceDN w:val="0"/>
              <w:adjustRightInd w:val="0"/>
              <w:spacing w:line="240" w:lineRule="auto"/>
              <w:ind w:left="15"/>
              <w:rPr>
                <w:b/>
                <w:bCs/>
                <w:szCs w:val="22"/>
                <w:lang w:eastAsia="en-US"/>
              </w:rPr>
            </w:pPr>
          </w:p>
        </w:tc>
      </w:tr>
      <w:tr w:rsidR="00011D2F" w14:paraId="718038DE" w14:textId="77777777" w:rsidTr="00FF46F7">
        <w:trPr>
          <w:jc w:val="center"/>
        </w:trPr>
        <w:tc>
          <w:tcPr>
            <w:tcW w:w="2321" w:type="dxa"/>
            <w:tcBorders>
              <w:top w:val="single" w:sz="6" w:space="0" w:color="000000"/>
              <w:left w:val="single" w:sz="6" w:space="0" w:color="000000"/>
              <w:bottom w:val="single" w:sz="6" w:space="0" w:color="000000"/>
              <w:right w:val="single" w:sz="6" w:space="0" w:color="000000"/>
            </w:tcBorders>
            <w:vAlign w:val="bottom"/>
            <w:hideMark/>
          </w:tcPr>
          <w:p w14:paraId="2C37FEEA" w14:textId="77777777" w:rsidR="000F3707" w:rsidRPr="00183B5F" w:rsidRDefault="00943743" w:rsidP="00FF46F7">
            <w:pPr>
              <w:keepLines/>
              <w:tabs>
                <w:tab w:val="left" w:pos="-1080"/>
              </w:tabs>
              <w:suppressAutoHyphens w:val="0"/>
              <w:autoSpaceDE w:val="0"/>
              <w:autoSpaceDN w:val="0"/>
              <w:adjustRightInd w:val="0"/>
              <w:spacing w:line="240" w:lineRule="auto"/>
              <w:ind w:left="15"/>
              <w:rPr>
                <w:szCs w:val="22"/>
                <w:lang w:eastAsia="en-US"/>
              </w:rPr>
            </w:pPr>
            <w:r w:rsidRPr="00183B5F">
              <w:rPr>
                <w:szCs w:val="22"/>
                <w:lang w:eastAsia="en-US"/>
              </w:rPr>
              <w:t xml:space="preserve">   Klinikai remisszió</w:t>
            </w:r>
          </w:p>
        </w:tc>
        <w:tc>
          <w:tcPr>
            <w:tcW w:w="1614" w:type="dxa"/>
            <w:tcBorders>
              <w:top w:val="single" w:sz="6" w:space="0" w:color="000000"/>
              <w:left w:val="single" w:sz="6" w:space="0" w:color="000000"/>
              <w:bottom w:val="single" w:sz="6" w:space="0" w:color="000000"/>
              <w:right w:val="single" w:sz="6" w:space="0" w:color="000000"/>
            </w:tcBorders>
            <w:vAlign w:val="bottom"/>
            <w:hideMark/>
          </w:tcPr>
          <w:p w14:paraId="7B3B1F89" w14:textId="77777777" w:rsidR="000F3707" w:rsidRPr="00183B5F" w:rsidRDefault="00943743" w:rsidP="00FF46F7">
            <w:pPr>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33,3%</w:t>
            </w:r>
          </w:p>
        </w:tc>
        <w:tc>
          <w:tcPr>
            <w:tcW w:w="1591" w:type="dxa"/>
            <w:tcBorders>
              <w:top w:val="single" w:sz="6" w:space="0" w:color="000000"/>
              <w:left w:val="single" w:sz="6" w:space="0" w:color="000000"/>
              <w:bottom w:val="single" w:sz="6" w:space="0" w:color="000000"/>
              <w:right w:val="single" w:sz="6" w:space="0" w:color="000000"/>
            </w:tcBorders>
            <w:vAlign w:val="bottom"/>
            <w:hideMark/>
          </w:tcPr>
          <w:p w14:paraId="2635C461" w14:textId="77777777" w:rsidR="000F3707" w:rsidRPr="00183B5F" w:rsidRDefault="00943743" w:rsidP="00FF46F7">
            <w:pPr>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23,2%</w:t>
            </w:r>
          </w:p>
        </w:tc>
        <w:tc>
          <w:tcPr>
            <w:tcW w:w="1147" w:type="dxa"/>
            <w:tcBorders>
              <w:top w:val="single" w:sz="6" w:space="0" w:color="000000"/>
              <w:left w:val="single" w:sz="6" w:space="0" w:color="000000"/>
              <w:bottom w:val="single" w:sz="6" w:space="0" w:color="000000"/>
              <w:right w:val="single" w:sz="6" w:space="0" w:color="000000"/>
            </w:tcBorders>
            <w:vAlign w:val="bottom"/>
            <w:hideMark/>
          </w:tcPr>
          <w:p w14:paraId="77BB8F95" w14:textId="77777777" w:rsidR="000F3707" w:rsidRPr="00183B5F" w:rsidRDefault="00943743" w:rsidP="00FF46F7">
            <w:pPr>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0,100</w:t>
            </w:r>
          </w:p>
        </w:tc>
      </w:tr>
      <w:tr w:rsidR="00011D2F" w14:paraId="31BBF8C5" w14:textId="77777777" w:rsidTr="00FF46F7">
        <w:trPr>
          <w:jc w:val="center"/>
        </w:trPr>
        <w:tc>
          <w:tcPr>
            <w:tcW w:w="2321" w:type="dxa"/>
            <w:tcBorders>
              <w:top w:val="single" w:sz="6" w:space="0" w:color="000000"/>
              <w:left w:val="single" w:sz="6" w:space="0" w:color="000000"/>
              <w:bottom w:val="single" w:sz="6" w:space="0" w:color="000000"/>
              <w:right w:val="single" w:sz="6" w:space="0" w:color="000000"/>
            </w:tcBorders>
            <w:hideMark/>
          </w:tcPr>
          <w:p w14:paraId="5F1292A9" w14:textId="77777777" w:rsidR="000F3707" w:rsidRPr="00183B5F" w:rsidRDefault="00943743" w:rsidP="00FF46F7">
            <w:pPr>
              <w:keepLines/>
              <w:tabs>
                <w:tab w:val="left" w:pos="-1080"/>
              </w:tabs>
              <w:suppressAutoHyphens w:val="0"/>
              <w:autoSpaceDE w:val="0"/>
              <w:autoSpaceDN w:val="0"/>
              <w:adjustRightInd w:val="0"/>
              <w:spacing w:line="240" w:lineRule="auto"/>
              <w:ind w:left="15"/>
              <w:rPr>
                <w:szCs w:val="22"/>
                <w:lang w:eastAsia="en-US"/>
              </w:rPr>
            </w:pPr>
            <w:r w:rsidRPr="00183B5F">
              <w:rPr>
                <w:szCs w:val="22"/>
                <w:lang w:eastAsia="en-US"/>
              </w:rPr>
              <w:t xml:space="preserve">   Klinikai válasz</w:t>
            </w:r>
          </w:p>
        </w:tc>
        <w:tc>
          <w:tcPr>
            <w:tcW w:w="1614" w:type="dxa"/>
            <w:tcBorders>
              <w:top w:val="single" w:sz="6" w:space="0" w:color="000000"/>
              <w:left w:val="single" w:sz="6" w:space="0" w:color="000000"/>
              <w:bottom w:val="single" w:sz="6" w:space="0" w:color="000000"/>
              <w:right w:val="single" w:sz="6" w:space="0" w:color="000000"/>
            </w:tcBorders>
            <w:hideMark/>
          </w:tcPr>
          <w:p w14:paraId="66913A87" w14:textId="77777777" w:rsidR="000F3707" w:rsidRPr="00183B5F" w:rsidRDefault="00943743" w:rsidP="00FF46F7">
            <w:pPr>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41,9%</w:t>
            </w:r>
          </w:p>
        </w:tc>
        <w:tc>
          <w:tcPr>
            <w:tcW w:w="1591" w:type="dxa"/>
            <w:tcBorders>
              <w:top w:val="single" w:sz="6" w:space="0" w:color="000000"/>
              <w:left w:val="single" w:sz="6" w:space="0" w:color="000000"/>
              <w:bottom w:val="single" w:sz="6" w:space="0" w:color="000000"/>
              <w:right w:val="single" w:sz="6" w:space="0" w:color="000000"/>
            </w:tcBorders>
            <w:hideMark/>
          </w:tcPr>
          <w:p w14:paraId="6C7F44C7" w14:textId="77777777" w:rsidR="000F3707" w:rsidRPr="00183B5F" w:rsidRDefault="00943743" w:rsidP="00FF46F7">
            <w:pPr>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28,4%</w:t>
            </w:r>
          </w:p>
        </w:tc>
        <w:tc>
          <w:tcPr>
            <w:tcW w:w="1147" w:type="dxa"/>
            <w:tcBorders>
              <w:top w:val="single" w:sz="6" w:space="0" w:color="000000"/>
              <w:left w:val="single" w:sz="6" w:space="0" w:color="000000"/>
              <w:bottom w:val="single" w:sz="6" w:space="0" w:color="000000"/>
              <w:right w:val="single" w:sz="6" w:space="0" w:color="000000"/>
            </w:tcBorders>
            <w:hideMark/>
          </w:tcPr>
          <w:p w14:paraId="697E6A2C" w14:textId="77777777" w:rsidR="000F3707" w:rsidRPr="00183B5F" w:rsidRDefault="00943743" w:rsidP="00FF46F7">
            <w:pPr>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0,038</w:t>
            </w:r>
          </w:p>
        </w:tc>
      </w:tr>
      <w:tr w:rsidR="00011D2F" w14:paraId="1CFE1154" w14:textId="77777777" w:rsidTr="00FF46F7">
        <w:trPr>
          <w:jc w:val="center"/>
        </w:trPr>
        <w:tc>
          <w:tcPr>
            <w:tcW w:w="6673" w:type="dxa"/>
            <w:gridSpan w:val="4"/>
            <w:tcBorders>
              <w:top w:val="single" w:sz="6" w:space="0" w:color="000000"/>
              <w:left w:val="single" w:sz="6" w:space="0" w:color="000000"/>
              <w:bottom w:val="single" w:sz="6" w:space="0" w:color="000000"/>
              <w:right w:val="single" w:sz="6" w:space="0" w:color="000000"/>
            </w:tcBorders>
            <w:hideMark/>
          </w:tcPr>
          <w:p w14:paraId="13436ECB" w14:textId="77777777" w:rsidR="000F3707" w:rsidRPr="00183B5F" w:rsidRDefault="00943743" w:rsidP="00FF46F7">
            <w:pPr>
              <w:keepLines/>
              <w:tabs>
                <w:tab w:val="left" w:pos="-1080"/>
              </w:tabs>
              <w:suppressAutoHyphens w:val="0"/>
              <w:autoSpaceDE w:val="0"/>
              <w:autoSpaceDN w:val="0"/>
              <w:adjustRightInd w:val="0"/>
              <w:spacing w:line="240" w:lineRule="auto"/>
              <w:ind w:left="15"/>
              <w:rPr>
                <w:szCs w:val="22"/>
                <w:lang w:eastAsia="en-US"/>
              </w:rPr>
            </w:pPr>
            <w:r w:rsidRPr="00183B5F">
              <w:rPr>
                <w:szCs w:val="22"/>
                <w:lang w:eastAsia="en-US"/>
              </w:rPr>
              <w:t>* p</w:t>
            </w:r>
            <w:r w:rsidRPr="00183B5F">
              <w:rPr>
                <w:szCs w:val="22"/>
                <w:lang w:eastAsia="en-US"/>
              </w:rPr>
              <w:noBreakHyphen/>
            </w:r>
            <w:r w:rsidRPr="00183B5F">
              <w:rPr>
                <w:szCs w:val="22"/>
                <w:lang w:eastAsia="en-US"/>
              </w:rPr>
              <w:t>érték a Standard dózis versus az Alacsony dózis összehasonlítása esetén.</w:t>
            </w:r>
          </w:p>
        </w:tc>
      </w:tr>
    </w:tbl>
    <w:p w14:paraId="59EB841A" w14:textId="77777777" w:rsidR="000F3707" w:rsidRPr="00183B5F" w:rsidRDefault="000F3707" w:rsidP="000F3707">
      <w:pPr>
        <w:spacing w:line="240" w:lineRule="auto"/>
        <w:rPr>
          <w:szCs w:val="22"/>
        </w:rPr>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011D2F" w14:paraId="7D23DFA3" w14:textId="77777777" w:rsidTr="00FF46F7">
        <w:trPr>
          <w:cantSplit/>
          <w:jc w:val="center"/>
        </w:trPr>
        <w:tc>
          <w:tcPr>
            <w:tcW w:w="8440" w:type="dxa"/>
            <w:gridSpan w:val="4"/>
            <w:tcBorders>
              <w:top w:val="single" w:sz="6" w:space="0" w:color="000000"/>
              <w:left w:val="single" w:sz="6" w:space="0" w:color="000000"/>
              <w:bottom w:val="single" w:sz="6" w:space="0" w:color="000000"/>
              <w:right w:val="single" w:sz="6" w:space="0" w:color="000000"/>
            </w:tcBorders>
            <w:hideMark/>
          </w:tcPr>
          <w:p w14:paraId="3B37C950" w14:textId="77777777" w:rsidR="000F3707" w:rsidRPr="00183B5F" w:rsidRDefault="00943743" w:rsidP="00FF46F7">
            <w:pPr>
              <w:keepNext/>
              <w:tabs>
                <w:tab w:val="left" w:pos="-878"/>
              </w:tabs>
              <w:suppressAutoHyphens w:val="0"/>
              <w:autoSpaceDE w:val="0"/>
              <w:autoSpaceDN w:val="0"/>
              <w:adjustRightInd w:val="0"/>
              <w:spacing w:line="240" w:lineRule="auto"/>
              <w:jc w:val="center"/>
              <w:rPr>
                <w:b/>
                <w:bCs/>
                <w:szCs w:val="22"/>
                <w:lang w:eastAsia="en-US"/>
              </w:rPr>
            </w:pPr>
            <w:r w:rsidRPr="00183B5F">
              <w:rPr>
                <w:b/>
                <w:bCs/>
                <w:szCs w:val="22"/>
                <w:lang w:eastAsia="en-US"/>
              </w:rPr>
              <w:t>22. táblázat</w:t>
            </w:r>
          </w:p>
          <w:p w14:paraId="6632E32B" w14:textId="77777777" w:rsidR="000F3707" w:rsidRPr="00183B5F" w:rsidRDefault="00943743" w:rsidP="00FF46F7">
            <w:pPr>
              <w:keepNext/>
              <w:tabs>
                <w:tab w:val="left" w:pos="-878"/>
              </w:tabs>
              <w:suppressAutoHyphens w:val="0"/>
              <w:autoSpaceDE w:val="0"/>
              <w:autoSpaceDN w:val="0"/>
              <w:adjustRightInd w:val="0"/>
              <w:spacing w:line="240" w:lineRule="auto"/>
              <w:jc w:val="center"/>
              <w:rPr>
                <w:b/>
                <w:bCs/>
                <w:szCs w:val="22"/>
                <w:lang w:eastAsia="en-US"/>
              </w:rPr>
            </w:pPr>
            <w:r w:rsidRPr="00183B5F">
              <w:rPr>
                <w:b/>
                <w:bCs/>
                <w:szCs w:val="22"/>
                <w:lang w:eastAsia="en-US"/>
              </w:rPr>
              <w:t>Gyermekkori CD Vizsgálat</w:t>
            </w:r>
          </w:p>
          <w:p w14:paraId="4941D20C" w14:textId="77777777" w:rsidR="000F3707" w:rsidRPr="00183B5F" w:rsidRDefault="00943743" w:rsidP="00FF46F7">
            <w:pPr>
              <w:keepNext/>
              <w:tabs>
                <w:tab w:val="left" w:pos="-878"/>
              </w:tabs>
              <w:suppressAutoHyphens w:val="0"/>
              <w:autoSpaceDE w:val="0"/>
              <w:autoSpaceDN w:val="0"/>
              <w:adjustRightInd w:val="0"/>
              <w:spacing w:line="240" w:lineRule="auto"/>
              <w:jc w:val="center"/>
              <w:rPr>
                <w:b/>
                <w:bCs/>
                <w:szCs w:val="22"/>
                <w:lang w:eastAsia="en-US"/>
              </w:rPr>
            </w:pPr>
            <w:r w:rsidRPr="00183B5F">
              <w:rPr>
                <w:b/>
                <w:bCs/>
                <w:szCs w:val="22"/>
                <w:lang w:eastAsia="en-US"/>
              </w:rPr>
              <w:t>Kortikoszteroidok vagy immunmodulátorok felfüggesztése és fistula-remisszió</w:t>
            </w:r>
          </w:p>
        </w:tc>
      </w:tr>
      <w:tr w:rsidR="00011D2F" w14:paraId="490A0D83" w14:textId="77777777" w:rsidTr="00FF46F7">
        <w:trPr>
          <w:cantSplit/>
          <w:trHeight w:val="696"/>
          <w:jc w:val="center"/>
        </w:trPr>
        <w:tc>
          <w:tcPr>
            <w:tcW w:w="4025" w:type="dxa"/>
            <w:tcBorders>
              <w:top w:val="single" w:sz="6" w:space="0" w:color="000000"/>
              <w:left w:val="single" w:sz="6" w:space="0" w:color="000000"/>
              <w:bottom w:val="single" w:sz="6" w:space="0" w:color="000000"/>
              <w:right w:val="single" w:sz="6" w:space="0" w:color="000000"/>
            </w:tcBorders>
          </w:tcPr>
          <w:p w14:paraId="644762C7" w14:textId="77777777" w:rsidR="000F3707" w:rsidRPr="00183B5F" w:rsidRDefault="000F3707" w:rsidP="00FF46F7">
            <w:pPr>
              <w:keepNext/>
              <w:keepLines/>
              <w:tabs>
                <w:tab w:val="left" w:pos="-1080"/>
              </w:tabs>
              <w:suppressAutoHyphens w:val="0"/>
              <w:autoSpaceDE w:val="0"/>
              <w:autoSpaceDN w:val="0"/>
              <w:adjustRightInd w:val="0"/>
              <w:spacing w:line="240" w:lineRule="auto"/>
              <w:jc w:val="center"/>
              <w:rPr>
                <w:b/>
                <w:bCs/>
                <w:szCs w:val="22"/>
                <w:lang w:eastAsia="en-US"/>
              </w:rPr>
            </w:pPr>
          </w:p>
        </w:tc>
        <w:tc>
          <w:tcPr>
            <w:tcW w:w="1656" w:type="dxa"/>
            <w:tcBorders>
              <w:top w:val="single" w:sz="6" w:space="0" w:color="000000"/>
              <w:left w:val="single" w:sz="6" w:space="0" w:color="000000"/>
              <w:bottom w:val="single" w:sz="6" w:space="0" w:color="000000"/>
              <w:right w:val="single" w:sz="6" w:space="0" w:color="000000"/>
            </w:tcBorders>
            <w:hideMark/>
          </w:tcPr>
          <w:p w14:paraId="21A56228"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b/>
                <w:bCs/>
                <w:szCs w:val="22"/>
                <w:lang w:eastAsia="en-US"/>
              </w:rPr>
            </w:pPr>
            <w:r w:rsidRPr="00183B5F">
              <w:rPr>
                <w:b/>
                <w:bCs/>
                <w:szCs w:val="22"/>
                <w:lang w:eastAsia="en-US"/>
              </w:rPr>
              <w:t>Standard dózis</w:t>
            </w:r>
          </w:p>
          <w:p w14:paraId="60B367A7"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b/>
                <w:bCs/>
                <w:szCs w:val="22"/>
                <w:lang w:eastAsia="en-US"/>
              </w:rPr>
            </w:pPr>
            <w:r w:rsidRPr="00183B5F">
              <w:rPr>
                <w:b/>
                <w:bCs/>
                <w:szCs w:val="22"/>
                <w:lang w:eastAsia="en-US"/>
              </w:rPr>
              <w:t>40/20 mg</w:t>
            </w:r>
          </w:p>
          <w:p w14:paraId="5D9C6AAD"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b/>
                <w:bCs/>
                <w:szCs w:val="22"/>
                <w:lang w:eastAsia="en-US"/>
              </w:rPr>
            </w:pPr>
            <w:r w:rsidRPr="00183B5F">
              <w:rPr>
                <w:b/>
                <w:bCs/>
                <w:szCs w:val="22"/>
                <w:lang w:eastAsia="en-US"/>
              </w:rPr>
              <w:t xml:space="preserve">kéthetente </w:t>
            </w:r>
          </w:p>
        </w:tc>
        <w:tc>
          <w:tcPr>
            <w:tcW w:w="1619" w:type="dxa"/>
            <w:tcBorders>
              <w:top w:val="single" w:sz="6" w:space="0" w:color="000000"/>
              <w:left w:val="single" w:sz="6" w:space="0" w:color="000000"/>
              <w:bottom w:val="single" w:sz="6" w:space="0" w:color="000000"/>
              <w:right w:val="single" w:sz="6" w:space="0" w:color="000000"/>
            </w:tcBorders>
            <w:hideMark/>
          </w:tcPr>
          <w:p w14:paraId="54B55619"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b/>
                <w:bCs/>
                <w:szCs w:val="22"/>
                <w:lang w:eastAsia="en-US"/>
              </w:rPr>
            </w:pPr>
            <w:r w:rsidRPr="00183B5F">
              <w:rPr>
                <w:b/>
                <w:bCs/>
                <w:szCs w:val="22"/>
                <w:lang w:eastAsia="en-US"/>
              </w:rPr>
              <w:t>Alacsony dózis</w:t>
            </w:r>
          </w:p>
          <w:p w14:paraId="4BB4E276"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b/>
                <w:bCs/>
                <w:szCs w:val="22"/>
                <w:lang w:eastAsia="en-US"/>
              </w:rPr>
            </w:pPr>
            <w:r w:rsidRPr="00183B5F">
              <w:rPr>
                <w:b/>
                <w:bCs/>
                <w:szCs w:val="22"/>
                <w:lang w:eastAsia="en-US"/>
              </w:rPr>
              <w:t>20/10 mg</w:t>
            </w:r>
          </w:p>
          <w:p w14:paraId="7560997D"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b/>
                <w:bCs/>
                <w:szCs w:val="22"/>
                <w:lang w:eastAsia="en-US"/>
              </w:rPr>
            </w:pPr>
            <w:r w:rsidRPr="00183B5F">
              <w:rPr>
                <w:b/>
                <w:bCs/>
                <w:szCs w:val="22"/>
                <w:lang w:eastAsia="en-US"/>
              </w:rPr>
              <w:t xml:space="preserve">kéthetente </w:t>
            </w:r>
          </w:p>
        </w:tc>
        <w:tc>
          <w:tcPr>
            <w:tcW w:w="1140" w:type="dxa"/>
            <w:tcBorders>
              <w:top w:val="single" w:sz="6" w:space="0" w:color="000000"/>
              <w:left w:val="single" w:sz="6" w:space="0" w:color="000000"/>
              <w:bottom w:val="single" w:sz="6" w:space="0" w:color="000000"/>
              <w:right w:val="single" w:sz="6" w:space="0" w:color="000000"/>
            </w:tcBorders>
            <w:hideMark/>
          </w:tcPr>
          <w:p w14:paraId="15ED3B56"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b/>
                <w:bCs/>
                <w:szCs w:val="22"/>
                <w:lang w:eastAsia="en-US"/>
              </w:rPr>
            </w:pPr>
            <w:r w:rsidRPr="00183B5F">
              <w:rPr>
                <w:b/>
                <w:bCs/>
                <w:szCs w:val="22"/>
                <w:lang w:eastAsia="en-US"/>
              </w:rPr>
              <w:t>p</w:t>
            </w:r>
            <w:r w:rsidRPr="00183B5F">
              <w:rPr>
                <w:b/>
                <w:bCs/>
                <w:szCs w:val="22"/>
                <w:lang w:eastAsia="en-US"/>
              </w:rPr>
              <w:noBreakHyphen/>
              <w:t>érték</w:t>
            </w:r>
            <w:r w:rsidRPr="00183B5F">
              <w:rPr>
                <w:b/>
                <w:bCs/>
                <w:szCs w:val="22"/>
                <w:vertAlign w:val="superscript"/>
                <w:lang w:eastAsia="en-US"/>
              </w:rPr>
              <w:t>1</w:t>
            </w:r>
          </w:p>
        </w:tc>
      </w:tr>
      <w:tr w:rsidR="00011D2F" w14:paraId="5C718E9E" w14:textId="77777777" w:rsidTr="00FF46F7">
        <w:trPr>
          <w:cantSplit/>
          <w:jc w:val="center"/>
        </w:trPr>
        <w:tc>
          <w:tcPr>
            <w:tcW w:w="4025" w:type="dxa"/>
            <w:tcBorders>
              <w:top w:val="single" w:sz="6" w:space="0" w:color="000000"/>
              <w:left w:val="single" w:sz="6" w:space="0" w:color="000000"/>
              <w:bottom w:val="single" w:sz="6" w:space="0" w:color="000000"/>
              <w:right w:val="single" w:sz="6" w:space="0" w:color="000000"/>
            </w:tcBorders>
            <w:vAlign w:val="bottom"/>
            <w:hideMark/>
          </w:tcPr>
          <w:p w14:paraId="21B52811" w14:textId="77777777" w:rsidR="000F3707" w:rsidRPr="00183B5F" w:rsidRDefault="00943743" w:rsidP="00FF46F7">
            <w:pPr>
              <w:keepNext/>
              <w:keepLines/>
              <w:tabs>
                <w:tab w:val="left" w:pos="-1080"/>
              </w:tabs>
              <w:suppressAutoHyphens w:val="0"/>
              <w:autoSpaceDE w:val="0"/>
              <w:autoSpaceDN w:val="0"/>
              <w:adjustRightInd w:val="0"/>
              <w:spacing w:line="240" w:lineRule="auto"/>
              <w:rPr>
                <w:b/>
                <w:szCs w:val="22"/>
                <w:lang w:eastAsia="en-US"/>
              </w:rPr>
            </w:pPr>
            <w:r w:rsidRPr="00183B5F">
              <w:rPr>
                <w:b/>
                <w:szCs w:val="22"/>
                <w:lang w:eastAsia="en-US"/>
              </w:rPr>
              <w:t>Kortikoszteroidok felfüggesztése</w:t>
            </w:r>
          </w:p>
        </w:tc>
        <w:tc>
          <w:tcPr>
            <w:tcW w:w="1656" w:type="dxa"/>
            <w:tcBorders>
              <w:top w:val="single" w:sz="6" w:space="0" w:color="000000"/>
              <w:left w:val="single" w:sz="6" w:space="0" w:color="000000"/>
              <w:bottom w:val="single" w:sz="6" w:space="0" w:color="000000"/>
              <w:right w:val="single" w:sz="6" w:space="0" w:color="000000"/>
            </w:tcBorders>
            <w:vAlign w:val="bottom"/>
            <w:hideMark/>
          </w:tcPr>
          <w:p w14:paraId="3DCEE6F9"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b/>
                <w:szCs w:val="22"/>
                <w:lang w:eastAsia="en-US"/>
              </w:rPr>
            </w:pPr>
            <w:r w:rsidRPr="00183B5F">
              <w:rPr>
                <w:b/>
                <w:szCs w:val="22"/>
                <w:lang w:eastAsia="en-US"/>
              </w:rPr>
              <w:t>N = 33</w:t>
            </w:r>
          </w:p>
        </w:tc>
        <w:tc>
          <w:tcPr>
            <w:tcW w:w="1619" w:type="dxa"/>
            <w:tcBorders>
              <w:top w:val="single" w:sz="6" w:space="0" w:color="000000"/>
              <w:left w:val="single" w:sz="6" w:space="0" w:color="000000"/>
              <w:bottom w:val="single" w:sz="6" w:space="0" w:color="000000"/>
              <w:right w:val="single" w:sz="6" w:space="0" w:color="000000"/>
            </w:tcBorders>
            <w:vAlign w:val="bottom"/>
            <w:hideMark/>
          </w:tcPr>
          <w:p w14:paraId="457FAD48"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b/>
                <w:szCs w:val="22"/>
                <w:lang w:eastAsia="en-US"/>
              </w:rPr>
            </w:pPr>
            <w:r w:rsidRPr="00183B5F">
              <w:rPr>
                <w:b/>
                <w:szCs w:val="22"/>
                <w:lang w:eastAsia="en-US"/>
              </w:rPr>
              <w:t>N = 38</w:t>
            </w:r>
          </w:p>
        </w:tc>
        <w:tc>
          <w:tcPr>
            <w:tcW w:w="1140" w:type="dxa"/>
            <w:tcBorders>
              <w:top w:val="single" w:sz="6" w:space="0" w:color="000000"/>
              <w:left w:val="single" w:sz="6" w:space="0" w:color="000000"/>
              <w:bottom w:val="single" w:sz="6" w:space="0" w:color="000000"/>
              <w:right w:val="single" w:sz="6" w:space="0" w:color="000000"/>
            </w:tcBorders>
            <w:vAlign w:val="bottom"/>
          </w:tcPr>
          <w:p w14:paraId="4E27804B" w14:textId="77777777" w:rsidR="000F3707" w:rsidRPr="00183B5F" w:rsidRDefault="000F3707" w:rsidP="00FF46F7">
            <w:pPr>
              <w:keepNext/>
              <w:keepLines/>
              <w:suppressAutoHyphens w:val="0"/>
              <w:autoSpaceDE w:val="0"/>
              <w:autoSpaceDN w:val="0"/>
              <w:adjustRightInd w:val="0"/>
              <w:spacing w:line="240" w:lineRule="auto"/>
              <w:ind w:left="15"/>
              <w:rPr>
                <w:b/>
                <w:szCs w:val="22"/>
                <w:lang w:eastAsia="en-US"/>
              </w:rPr>
            </w:pPr>
          </w:p>
        </w:tc>
      </w:tr>
      <w:tr w:rsidR="00011D2F" w14:paraId="2F497418" w14:textId="77777777" w:rsidTr="00FF46F7">
        <w:trPr>
          <w:cantSplit/>
          <w:jc w:val="center"/>
        </w:trPr>
        <w:tc>
          <w:tcPr>
            <w:tcW w:w="4025" w:type="dxa"/>
            <w:tcBorders>
              <w:top w:val="single" w:sz="6" w:space="0" w:color="000000"/>
              <w:left w:val="single" w:sz="6" w:space="0" w:color="000000"/>
              <w:bottom w:val="single" w:sz="6" w:space="0" w:color="000000"/>
              <w:right w:val="single" w:sz="6" w:space="0" w:color="000000"/>
            </w:tcBorders>
            <w:vAlign w:val="bottom"/>
            <w:hideMark/>
          </w:tcPr>
          <w:p w14:paraId="0B792748" w14:textId="77777777" w:rsidR="000F3707" w:rsidRPr="00183B5F" w:rsidRDefault="00943743" w:rsidP="00FF46F7">
            <w:pPr>
              <w:keepNext/>
              <w:keepLines/>
              <w:tabs>
                <w:tab w:val="left" w:pos="-1080"/>
              </w:tabs>
              <w:suppressAutoHyphens w:val="0"/>
              <w:autoSpaceDE w:val="0"/>
              <w:autoSpaceDN w:val="0"/>
              <w:adjustRightInd w:val="0"/>
              <w:spacing w:line="240" w:lineRule="auto"/>
              <w:rPr>
                <w:bCs/>
                <w:szCs w:val="22"/>
                <w:lang w:eastAsia="en-US"/>
              </w:rPr>
            </w:pPr>
            <w:r w:rsidRPr="00183B5F">
              <w:rPr>
                <w:bCs/>
                <w:szCs w:val="22"/>
                <w:lang w:eastAsia="en-US"/>
              </w:rPr>
              <w:t>26. hét</w:t>
            </w:r>
          </w:p>
        </w:tc>
        <w:tc>
          <w:tcPr>
            <w:tcW w:w="1656" w:type="dxa"/>
            <w:tcBorders>
              <w:top w:val="single" w:sz="6" w:space="0" w:color="000000"/>
              <w:left w:val="single" w:sz="6" w:space="0" w:color="000000"/>
              <w:bottom w:val="single" w:sz="6" w:space="0" w:color="000000"/>
              <w:right w:val="single" w:sz="6" w:space="0" w:color="000000"/>
            </w:tcBorders>
            <w:vAlign w:val="bottom"/>
            <w:hideMark/>
          </w:tcPr>
          <w:p w14:paraId="41E4AD81"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84,8%</w:t>
            </w:r>
          </w:p>
        </w:tc>
        <w:tc>
          <w:tcPr>
            <w:tcW w:w="1619" w:type="dxa"/>
            <w:tcBorders>
              <w:top w:val="single" w:sz="6" w:space="0" w:color="000000"/>
              <w:left w:val="single" w:sz="6" w:space="0" w:color="000000"/>
              <w:bottom w:val="single" w:sz="6" w:space="0" w:color="000000"/>
              <w:right w:val="single" w:sz="6" w:space="0" w:color="000000"/>
            </w:tcBorders>
            <w:vAlign w:val="bottom"/>
            <w:hideMark/>
          </w:tcPr>
          <w:p w14:paraId="7CE0F81D"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65,8%</w:t>
            </w:r>
          </w:p>
        </w:tc>
        <w:tc>
          <w:tcPr>
            <w:tcW w:w="1140" w:type="dxa"/>
            <w:tcBorders>
              <w:top w:val="single" w:sz="6" w:space="0" w:color="000000"/>
              <w:left w:val="single" w:sz="6" w:space="0" w:color="000000"/>
              <w:bottom w:val="single" w:sz="6" w:space="0" w:color="000000"/>
              <w:right w:val="single" w:sz="6" w:space="0" w:color="000000"/>
            </w:tcBorders>
            <w:vAlign w:val="bottom"/>
            <w:hideMark/>
          </w:tcPr>
          <w:p w14:paraId="5D9B70F6"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0,066</w:t>
            </w:r>
          </w:p>
        </w:tc>
      </w:tr>
      <w:tr w:rsidR="00011D2F" w14:paraId="4BD660FA" w14:textId="77777777" w:rsidTr="00FF46F7">
        <w:trPr>
          <w:cantSplit/>
          <w:jc w:val="center"/>
        </w:trPr>
        <w:tc>
          <w:tcPr>
            <w:tcW w:w="4025" w:type="dxa"/>
            <w:tcBorders>
              <w:top w:val="single" w:sz="6" w:space="0" w:color="000000"/>
              <w:left w:val="single" w:sz="6" w:space="0" w:color="000000"/>
              <w:bottom w:val="single" w:sz="6" w:space="0" w:color="000000"/>
              <w:right w:val="single" w:sz="6" w:space="0" w:color="000000"/>
            </w:tcBorders>
            <w:vAlign w:val="bottom"/>
            <w:hideMark/>
          </w:tcPr>
          <w:p w14:paraId="2FF797AF" w14:textId="77777777" w:rsidR="000F3707" w:rsidRPr="00183B5F" w:rsidRDefault="00943743" w:rsidP="00FF46F7">
            <w:pPr>
              <w:keepNext/>
              <w:keepLines/>
              <w:tabs>
                <w:tab w:val="left" w:pos="-1080"/>
              </w:tabs>
              <w:suppressAutoHyphens w:val="0"/>
              <w:autoSpaceDE w:val="0"/>
              <w:autoSpaceDN w:val="0"/>
              <w:adjustRightInd w:val="0"/>
              <w:spacing w:line="240" w:lineRule="auto"/>
              <w:rPr>
                <w:bCs/>
                <w:szCs w:val="22"/>
                <w:lang w:eastAsia="en-US"/>
              </w:rPr>
            </w:pPr>
            <w:r w:rsidRPr="00183B5F">
              <w:rPr>
                <w:bCs/>
                <w:szCs w:val="22"/>
                <w:lang w:eastAsia="en-US"/>
              </w:rPr>
              <w:t>52. hét</w:t>
            </w:r>
          </w:p>
        </w:tc>
        <w:tc>
          <w:tcPr>
            <w:tcW w:w="1656" w:type="dxa"/>
            <w:tcBorders>
              <w:top w:val="single" w:sz="6" w:space="0" w:color="000000"/>
              <w:left w:val="single" w:sz="6" w:space="0" w:color="000000"/>
              <w:bottom w:val="single" w:sz="6" w:space="0" w:color="000000"/>
              <w:right w:val="single" w:sz="6" w:space="0" w:color="000000"/>
            </w:tcBorders>
            <w:hideMark/>
          </w:tcPr>
          <w:p w14:paraId="4882DBAE"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69,7%</w:t>
            </w:r>
          </w:p>
        </w:tc>
        <w:tc>
          <w:tcPr>
            <w:tcW w:w="1619" w:type="dxa"/>
            <w:tcBorders>
              <w:top w:val="single" w:sz="6" w:space="0" w:color="000000"/>
              <w:left w:val="single" w:sz="6" w:space="0" w:color="000000"/>
              <w:bottom w:val="single" w:sz="6" w:space="0" w:color="000000"/>
              <w:right w:val="single" w:sz="6" w:space="0" w:color="000000"/>
            </w:tcBorders>
            <w:hideMark/>
          </w:tcPr>
          <w:p w14:paraId="5F328A82"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60,5%</w:t>
            </w:r>
          </w:p>
        </w:tc>
        <w:tc>
          <w:tcPr>
            <w:tcW w:w="1140" w:type="dxa"/>
            <w:tcBorders>
              <w:top w:val="single" w:sz="6" w:space="0" w:color="000000"/>
              <w:left w:val="single" w:sz="6" w:space="0" w:color="000000"/>
              <w:bottom w:val="single" w:sz="6" w:space="0" w:color="000000"/>
              <w:right w:val="single" w:sz="6" w:space="0" w:color="000000"/>
            </w:tcBorders>
            <w:vAlign w:val="bottom"/>
            <w:hideMark/>
          </w:tcPr>
          <w:p w14:paraId="30F89770"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0,420</w:t>
            </w:r>
          </w:p>
        </w:tc>
      </w:tr>
      <w:tr w:rsidR="00011D2F" w14:paraId="6FADBBA1" w14:textId="77777777" w:rsidTr="00FF46F7">
        <w:trPr>
          <w:cantSplit/>
          <w:jc w:val="center"/>
        </w:trPr>
        <w:tc>
          <w:tcPr>
            <w:tcW w:w="4025" w:type="dxa"/>
            <w:tcBorders>
              <w:top w:val="single" w:sz="6" w:space="0" w:color="000000"/>
              <w:left w:val="single" w:sz="6" w:space="0" w:color="000000"/>
              <w:bottom w:val="single" w:sz="6" w:space="0" w:color="000000"/>
              <w:right w:val="single" w:sz="6" w:space="0" w:color="000000"/>
            </w:tcBorders>
            <w:vAlign w:val="bottom"/>
            <w:hideMark/>
          </w:tcPr>
          <w:p w14:paraId="7A5346FC" w14:textId="77777777" w:rsidR="000F3707" w:rsidRPr="00183B5F" w:rsidRDefault="00943743" w:rsidP="00FF46F7">
            <w:pPr>
              <w:keepNext/>
              <w:keepLines/>
              <w:tabs>
                <w:tab w:val="left" w:pos="-1080"/>
              </w:tabs>
              <w:suppressAutoHyphens w:val="0"/>
              <w:autoSpaceDE w:val="0"/>
              <w:autoSpaceDN w:val="0"/>
              <w:adjustRightInd w:val="0"/>
              <w:spacing w:line="240" w:lineRule="auto"/>
              <w:rPr>
                <w:b/>
                <w:szCs w:val="22"/>
                <w:lang w:eastAsia="en-US"/>
              </w:rPr>
            </w:pPr>
            <w:r w:rsidRPr="00183B5F">
              <w:rPr>
                <w:b/>
                <w:szCs w:val="22"/>
                <w:lang w:eastAsia="en-US"/>
              </w:rPr>
              <w:t>Immunmodulátorok felfüggesztése</w:t>
            </w:r>
            <w:r w:rsidRPr="00183B5F">
              <w:rPr>
                <w:b/>
                <w:szCs w:val="22"/>
                <w:vertAlign w:val="superscript"/>
                <w:lang w:eastAsia="en-US"/>
              </w:rPr>
              <w:t>2</w:t>
            </w:r>
          </w:p>
        </w:tc>
        <w:tc>
          <w:tcPr>
            <w:tcW w:w="1656" w:type="dxa"/>
            <w:tcBorders>
              <w:top w:val="single" w:sz="6" w:space="0" w:color="000000"/>
              <w:left w:val="single" w:sz="6" w:space="0" w:color="000000"/>
              <w:bottom w:val="single" w:sz="6" w:space="0" w:color="000000"/>
              <w:right w:val="single" w:sz="6" w:space="0" w:color="000000"/>
            </w:tcBorders>
            <w:vAlign w:val="bottom"/>
            <w:hideMark/>
          </w:tcPr>
          <w:p w14:paraId="67D72E86"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b/>
                <w:szCs w:val="22"/>
                <w:lang w:eastAsia="en-US"/>
              </w:rPr>
            </w:pPr>
            <w:r w:rsidRPr="00183B5F">
              <w:rPr>
                <w:b/>
                <w:szCs w:val="22"/>
                <w:lang w:eastAsia="en-US"/>
              </w:rPr>
              <w:t>N = 60</w:t>
            </w:r>
          </w:p>
        </w:tc>
        <w:tc>
          <w:tcPr>
            <w:tcW w:w="1619" w:type="dxa"/>
            <w:tcBorders>
              <w:top w:val="single" w:sz="6" w:space="0" w:color="000000"/>
              <w:left w:val="single" w:sz="6" w:space="0" w:color="000000"/>
              <w:bottom w:val="single" w:sz="6" w:space="0" w:color="000000"/>
              <w:right w:val="single" w:sz="6" w:space="0" w:color="000000"/>
            </w:tcBorders>
            <w:vAlign w:val="bottom"/>
            <w:hideMark/>
          </w:tcPr>
          <w:p w14:paraId="4520C9FC"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b/>
                <w:szCs w:val="22"/>
                <w:lang w:eastAsia="en-US"/>
              </w:rPr>
            </w:pPr>
            <w:r w:rsidRPr="00183B5F">
              <w:rPr>
                <w:b/>
                <w:szCs w:val="22"/>
                <w:lang w:eastAsia="en-US"/>
              </w:rPr>
              <w:t>N = 57</w:t>
            </w:r>
          </w:p>
        </w:tc>
        <w:tc>
          <w:tcPr>
            <w:tcW w:w="1140" w:type="dxa"/>
            <w:tcBorders>
              <w:top w:val="single" w:sz="6" w:space="0" w:color="000000"/>
              <w:left w:val="single" w:sz="6" w:space="0" w:color="000000"/>
              <w:bottom w:val="single" w:sz="6" w:space="0" w:color="000000"/>
              <w:right w:val="single" w:sz="6" w:space="0" w:color="000000"/>
            </w:tcBorders>
            <w:vAlign w:val="bottom"/>
          </w:tcPr>
          <w:p w14:paraId="15F19354" w14:textId="77777777" w:rsidR="000F3707" w:rsidRPr="00183B5F" w:rsidRDefault="000F3707" w:rsidP="00FF46F7">
            <w:pPr>
              <w:keepNext/>
              <w:suppressAutoHyphens w:val="0"/>
              <w:autoSpaceDE w:val="0"/>
              <w:autoSpaceDN w:val="0"/>
              <w:adjustRightInd w:val="0"/>
              <w:spacing w:line="240" w:lineRule="auto"/>
              <w:ind w:left="15"/>
              <w:rPr>
                <w:b/>
                <w:szCs w:val="22"/>
                <w:lang w:eastAsia="en-US"/>
              </w:rPr>
            </w:pPr>
          </w:p>
        </w:tc>
      </w:tr>
      <w:tr w:rsidR="00011D2F" w14:paraId="30C9BEA1" w14:textId="77777777" w:rsidTr="00FF46F7">
        <w:trPr>
          <w:cantSplit/>
          <w:jc w:val="center"/>
        </w:trPr>
        <w:tc>
          <w:tcPr>
            <w:tcW w:w="4025" w:type="dxa"/>
            <w:tcBorders>
              <w:top w:val="single" w:sz="6" w:space="0" w:color="000000"/>
              <w:left w:val="single" w:sz="6" w:space="0" w:color="000000"/>
              <w:bottom w:val="single" w:sz="6" w:space="0" w:color="000000"/>
              <w:right w:val="single" w:sz="6" w:space="0" w:color="000000"/>
            </w:tcBorders>
            <w:hideMark/>
          </w:tcPr>
          <w:p w14:paraId="7703FF94" w14:textId="77777777" w:rsidR="000F3707" w:rsidRPr="00183B5F" w:rsidRDefault="00943743" w:rsidP="00FF46F7">
            <w:pPr>
              <w:keepNext/>
              <w:keepLines/>
              <w:tabs>
                <w:tab w:val="left" w:pos="-1080"/>
              </w:tabs>
              <w:suppressAutoHyphens w:val="0"/>
              <w:autoSpaceDE w:val="0"/>
              <w:autoSpaceDN w:val="0"/>
              <w:adjustRightInd w:val="0"/>
              <w:spacing w:line="240" w:lineRule="auto"/>
              <w:rPr>
                <w:bCs/>
                <w:szCs w:val="22"/>
                <w:lang w:eastAsia="en-US"/>
              </w:rPr>
            </w:pPr>
            <w:r w:rsidRPr="00183B5F">
              <w:rPr>
                <w:bCs/>
                <w:szCs w:val="22"/>
                <w:lang w:eastAsia="en-US"/>
              </w:rPr>
              <w:t>52. hét</w:t>
            </w:r>
          </w:p>
        </w:tc>
        <w:tc>
          <w:tcPr>
            <w:tcW w:w="1656" w:type="dxa"/>
            <w:tcBorders>
              <w:top w:val="single" w:sz="6" w:space="0" w:color="000000"/>
              <w:left w:val="single" w:sz="6" w:space="0" w:color="000000"/>
              <w:bottom w:val="single" w:sz="6" w:space="0" w:color="000000"/>
              <w:right w:val="single" w:sz="6" w:space="0" w:color="000000"/>
            </w:tcBorders>
            <w:hideMark/>
          </w:tcPr>
          <w:p w14:paraId="6F70C6C6"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30,0%</w:t>
            </w:r>
          </w:p>
        </w:tc>
        <w:tc>
          <w:tcPr>
            <w:tcW w:w="1619" w:type="dxa"/>
            <w:tcBorders>
              <w:top w:val="single" w:sz="6" w:space="0" w:color="000000"/>
              <w:left w:val="single" w:sz="6" w:space="0" w:color="000000"/>
              <w:bottom w:val="single" w:sz="6" w:space="0" w:color="000000"/>
              <w:right w:val="single" w:sz="6" w:space="0" w:color="000000"/>
            </w:tcBorders>
            <w:hideMark/>
          </w:tcPr>
          <w:p w14:paraId="54869D6E"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29,8%</w:t>
            </w:r>
          </w:p>
        </w:tc>
        <w:tc>
          <w:tcPr>
            <w:tcW w:w="1140" w:type="dxa"/>
            <w:tcBorders>
              <w:top w:val="single" w:sz="6" w:space="0" w:color="000000"/>
              <w:left w:val="single" w:sz="6" w:space="0" w:color="000000"/>
              <w:bottom w:val="single" w:sz="6" w:space="0" w:color="000000"/>
              <w:right w:val="single" w:sz="6" w:space="0" w:color="000000"/>
            </w:tcBorders>
            <w:hideMark/>
          </w:tcPr>
          <w:p w14:paraId="4B525668"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0,983</w:t>
            </w:r>
          </w:p>
        </w:tc>
      </w:tr>
      <w:tr w:rsidR="00011D2F" w14:paraId="3754A8D6" w14:textId="77777777" w:rsidTr="00FF46F7">
        <w:trPr>
          <w:cantSplit/>
          <w:jc w:val="center"/>
        </w:trPr>
        <w:tc>
          <w:tcPr>
            <w:tcW w:w="4025" w:type="dxa"/>
            <w:tcBorders>
              <w:top w:val="single" w:sz="6" w:space="0" w:color="000000"/>
              <w:left w:val="single" w:sz="6" w:space="0" w:color="000000"/>
              <w:bottom w:val="single" w:sz="6" w:space="0" w:color="000000"/>
              <w:right w:val="single" w:sz="6" w:space="0" w:color="000000"/>
            </w:tcBorders>
            <w:hideMark/>
          </w:tcPr>
          <w:p w14:paraId="46A30114" w14:textId="77777777" w:rsidR="000F3707" w:rsidRPr="00183B5F" w:rsidRDefault="00943743" w:rsidP="00FF46F7">
            <w:pPr>
              <w:keepNext/>
              <w:keepLines/>
              <w:tabs>
                <w:tab w:val="left" w:pos="-1080"/>
              </w:tabs>
              <w:suppressAutoHyphens w:val="0"/>
              <w:autoSpaceDE w:val="0"/>
              <w:autoSpaceDN w:val="0"/>
              <w:adjustRightInd w:val="0"/>
              <w:spacing w:line="240" w:lineRule="auto"/>
              <w:rPr>
                <w:b/>
                <w:bCs/>
                <w:szCs w:val="22"/>
                <w:lang w:eastAsia="en-US"/>
              </w:rPr>
            </w:pPr>
            <w:r w:rsidRPr="00183B5F">
              <w:rPr>
                <w:b/>
                <w:szCs w:val="22"/>
                <w:lang w:eastAsia="en-US"/>
              </w:rPr>
              <w:t>Fistula-remisszió</w:t>
            </w:r>
            <w:r w:rsidRPr="00183B5F">
              <w:rPr>
                <w:b/>
                <w:szCs w:val="22"/>
                <w:vertAlign w:val="superscript"/>
                <w:lang w:eastAsia="en-US"/>
              </w:rPr>
              <w:t>3</w:t>
            </w:r>
          </w:p>
        </w:tc>
        <w:tc>
          <w:tcPr>
            <w:tcW w:w="1656" w:type="dxa"/>
            <w:tcBorders>
              <w:top w:val="single" w:sz="6" w:space="0" w:color="000000"/>
              <w:left w:val="single" w:sz="6" w:space="0" w:color="000000"/>
              <w:bottom w:val="single" w:sz="6" w:space="0" w:color="000000"/>
              <w:right w:val="single" w:sz="6" w:space="0" w:color="000000"/>
            </w:tcBorders>
            <w:hideMark/>
          </w:tcPr>
          <w:p w14:paraId="766D26E4"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b/>
                <w:szCs w:val="22"/>
                <w:lang w:eastAsia="en-US"/>
              </w:rPr>
            </w:pPr>
            <w:r w:rsidRPr="00183B5F">
              <w:rPr>
                <w:b/>
                <w:szCs w:val="22"/>
                <w:lang w:eastAsia="en-US"/>
              </w:rPr>
              <w:t>N = 15</w:t>
            </w:r>
          </w:p>
        </w:tc>
        <w:tc>
          <w:tcPr>
            <w:tcW w:w="1619" w:type="dxa"/>
            <w:tcBorders>
              <w:top w:val="single" w:sz="6" w:space="0" w:color="000000"/>
              <w:left w:val="single" w:sz="6" w:space="0" w:color="000000"/>
              <w:bottom w:val="single" w:sz="6" w:space="0" w:color="000000"/>
              <w:right w:val="single" w:sz="6" w:space="0" w:color="000000"/>
            </w:tcBorders>
            <w:hideMark/>
          </w:tcPr>
          <w:p w14:paraId="5479F5BC"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b/>
                <w:szCs w:val="22"/>
                <w:lang w:eastAsia="en-US"/>
              </w:rPr>
            </w:pPr>
            <w:r w:rsidRPr="00183B5F">
              <w:rPr>
                <w:b/>
                <w:szCs w:val="22"/>
                <w:lang w:eastAsia="en-US"/>
              </w:rPr>
              <w:t>N = 21</w:t>
            </w:r>
          </w:p>
        </w:tc>
        <w:tc>
          <w:tcPr>
            <w:tcW w:w="1140" w:type="dxa"/>
            <w:tcBorders>
              <w:top w:val="single" w:sz="6" w:space="0" w:color="000000"/>
              <w:left w:val="single" w:sz="6" w:space="0" w:color="000000"/>
              <w:bottom w:val="single" w:sz="6" w:space="0" w:color="000000"/>
              <w:right w:val="single" w:sz="6" w:space="0" w:color="000000"/>
            </w:tcBorders>
          </w:tcPr>
          <w:p w14:paraId="65D4FF57" w14:textId="77777777" w:rsidR="000F3707" w:rsidRPr="00183B5F" w:rsidRDefault="000F3707" w:rsidP="00FF46F7">
            <w:pPr>
              <w:keepNext/>
              <w:keepLines/>
              <w:tabs>
                <w:tab w:val="left" w:pos="-1080"/>
              </w:tabs>
              <w:suppressAutoHyphens w:val="0"/>
              <w:autoSpaceDE w:val="0"/>
              <w:autoSpaceDN w:val="0"/>
              <w:adjustRightInd w:val="0"/>
              <w:spacing w:line="240" w:lineRule="auto"/>
              <w:ind w:left="15"/>
              <w:jc w:val="center"/>
              <w:rPr>
                <w:szCs w:val="22"/>
                <w:lang w:eastAsia="en-US"/>
              </w:rPr>
            </w:pPr>
          </w:p>
        </w:tc>
      </w:tr>
      <w:tr w:rsidR="00011D2F" w14:paraId="4C30FA78" w14:textId="77777777" w:rsidTr="00FF46F7">
        <w:trPr>
          <w:cantSplit/>
          <w:jc w:val="center"/>
        </w:trPr>
        <w:tc>
          <w:tcPr>
            <w:tcW w:w="4025" w:type="dxa"/>
            <w:tcBorders>
              <w:top w:val="single" w:sz="6" w:space="0" w:color="000000"/>
              <w:left w:val="single" w:sz="6" w:space="0" w:color="000000"/>
              <w:bottom w:val="single" w:sz="6" w:space="0" w:color="000000"/>
              <w:right w:val="single" w:sz="6" w:space="0" w:color="000000"/>
            </w:tcBorders>
            <w:hideMark/>
          </w:tcPr>
          <w:p w14:paraId="45DDF9BA" w14:textId="77777777" w:rsidR="000F3707" w:rsidRPr="00183B5F" w:rsidRDefault="00943743" w:rsidP="00FF46F7">
            <w:pPr>
              <w:keepNext/>
              <w:keepLines/>
              <w:tabs>
                <w:tab w:val="left" w:pos="-1080"/>
              </w:tabs>
              <w:suppressAutoHyphens w:val="0"/>
              <w:autoSpaceDE w:val="0"/>
              <w:autoSpaceDN w:val="0"/>
              <w:adjustRightInd w:val="0"/>
              <w:spacing w:line="240" w:lineRule="auto"/>
              <w:rPr>
                <w:bCs/>
                <w:szCs w:val="22"/>
                <w:lang w:eastAsia="en-US"/>
              </w:rPr>
            </w:pPr>
            <w:r w:rsidRPr="00183B5F">
              <w:rPr>
                <w:bCs/>
                <w:szCs w:val="22"/>
                <w:lang w:eastAsia="en-US"/>
              </w:rPr>
              <w:t>26. hét</w:t>
            </w:r>
          </w:p>
        </w:tc>
        <w:tc>
          <w:tcPr>
            <w:tcW w:w="1656" w:type="dxa"/>
            <w:tcBorders>
              <w:top w:val="single" w:sz="6" w:space="0" w:color="000000"/>
              <w:left w:val="single" w:sz="6" w:space="0" w:color="000000"/>
              <w:bottom w:val="single" w:sz="6" w:space="0" w:color="000000"/>
              <w:right w:val="single" w:sz="6" w:space="0" w:color="000000"/>
            </w:tcBorders>
            <w:hideMark/>
          </w:tcPr>
          <w:p w14:paraId="6FC22232"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46,7%</w:t>
            </w:r>
          </w:p>
        </w:tc>
        <w:tc>
          <w:tcPr>
            <w:tcW w:w="1619" w:type="dxa"/>
            <w:tcBorders>
              <w:top w:val="single" w:sz="6" w:space="0" w:color="000000"/>
              <w:left w:val="single" w:sz="6" w:space="0" w:color="000000"/>
              <w:bottom w:val="single" w:sz="6" w:space="0" w:color="000000"/>
              <w:right w:val="single" w:sz="6" w:space="0" w:color="000000"/>
            </w:tcBorders>
            <w:hideMark/>
          </w:tcPr>
          <w:p w14:paraId="05A6B8E6"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38,1%</w:t>
            </w:r>
          </w:p>
        </w:tc>
        <w:tc>
          <w:tcPr>
            <w:tcW w:w="1140" w:type="dxa"/>
            <w:tcBorders>
              <w:top w:val="single" w:sz="6" w:space="0" w:color="000000"/>
              <w:left w:val="single" w:sz="6" w:space="0" w:color="000000"/>
              <w:bottom w:val="single" w:sz="6" w:space="0" w:color="000000"/>
              <w:right w:val="single" w:sz="6" w:space="0" w:color="000000"/>
            </w:tcBorders>
            <w:hideMark/>
          </w:tcPr>
          <w:p w14:paraId="68101636"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0,608</w:t>
            </w:r>
          </w:p>
        </w:tc>
      </w:tr>
      <w:tr w:rsidR="00011D2F" w14:paraId="5FC1FB91" w14:textId="77777777" w:rsidTr="00FF46F7">
        <w:trPr>
          <w:cantSplit/>
          <w:jc w:val="center"/>
        </w:trPr>
        <w:tc>
          <w:tcPr>
            <w:tcW w:w="4025" w:type="dxa"/>
            <w:tcBorders>
              <w:top w:val="single" w:sz="6" w:space="0" w:color="000000"/>
              <w:left w:val="single" w:sz="6" w:space="0" w:color="000000"/>
              <w:bottom w:val="single" w:sz="4" w:space="0" w:color="auto"/>
              <w:right w:val="single" w:sz="6" w:space="0" w:color="000000"/>
            </w:tcBorders>
            <w:hideMark/>
          </w:tcPr>
          <w:p w14:paraId="0E05BA2B" w14:textId="77777777" w:rsidR="000F3707" w:rsidRPr="00183B5F" w:rsidRDefault="00943743" w:rsidP="00FF46F7">
            <w:pPr>
              <w:keepNext/>
              <w:keepLines/>
              <w:tabs>
                <w:tab w:val="left" w:pos="-1080"/>
              </w:tabs>
              <w:suppressAutoHyphens w:val="0"/>
              <w:autoSpaceDE w:val="0"/>
              <w:autoSpaceDN w:val="0"/>
              <w:adjustRightInd w:val="0"/>
              <w:spacing w:line="240" w:lineRule="auto"/>
              <w:rPr>
                <w:bCs/>
                <w:szCs w:val="22"/>
                <w:lang w:eastAsia="en-US"/>
              </w:rPr>
            </w:pPr>
            <w:r w:rsidRPr="00183B5F">
              <w:rPr>
                <w:szCs w:val="22"/>
                <w:lang w:eastAsia="en-US"/>
              </w:rPr>
              <w:t>52. hét</w:t>
            </w:r>
          </w:p>
        </w:tc>
        <w:tc>
          <w:tcPr>
            <w:tcW w:w="1656" w:type="dxa"/>
            <w:tcBorders>
              <w:top w:val="single" w:sz="6" w:space="0" w:color="000000"/>
              <w:left w:val="single" w:sz="6" w:space="0" w:color="000000"/>
              <w:bottom w:val="single" w:sz="4" w:space="0" w:color="auto"/>
              <w:right w:val="single" w:sz="6" w:space="0" w:color="000000"/>
            </w:tcBorders>
            <w:hideMark/>
          </w:tcPr>
          <w:p w14:paraId="0CC3BEAB"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40,0%</w:t>
            </w:r>
          </w:p>
        </w:tc>
        <w:tc>
          <w:tcPr>
            <w:tcW w:w="1619" w:type="dxa"/>
            <w:tcBorders>
              <w:top w:val="single" w:sz="6" w:space="0" w:color="000000"/>
              <w:left w:val="single" w:sz="6" w:space="0" w:color="000000"/>
              <w:bottom w:val="single" w:sz="4" w:space="0" w:color="auto"/>
              <w:right w:val="single" w:sz="6" w:space="0" w:color="000000"/>
            </w:tcBorders>
            <w:hideMark/>
          </w:tcPr>
          <w:p w14:paraId="4C765EB1"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23,8%</w:t>
            </w:r>
          </w:p>
        </w:tc>
        <w:tc>
          <w:tcPr>
            <w:tcW w:w="1140" w:type="dxa"/>
            <w:tcBorders>
              <w:top w:val="single" w:sz="6" w:space="0" w:color="000000"/>
              <w:left w:val="single" w:sz="6" w:space="0" w:color="000000"/>
              <w:bottom w:val="single" w:sz="4" w:space="0" w:color="auto"/>
              <w:right w:val="single" w:sz="6" w:space="0" w:color="000000"/>
            </w:tcBorders>
            <w:hideMark/>
          </w:tcPr>
          <w:p w14:paraId="741B8B75" w14:textId="77777777" w:rsidR="000F3707" w:rsidRPr="00183B5F" w:rsidRDefault="00943743" w:rsidP="00FF46F7">
            <w:pPr>
              <w:keepNext/>
              <w:keepLines/>
              <w:tabs>
                <w:tab w:val="left" w:pos="-1080"/>
              </w:tabs>
              <w:suppressAutoHyphens w:val="0"/>
              <w:autoSpaceDE w:val="0"/>
              <w:autoSpaceDN w:val="0"/>
              <w:adjustRightInd w:val="0"/>
              <w:spacing w:line="240" w:lineRule="auto"/>
              <w:ind w:left="15"/>
              <w:jc w:val="center"/>
              <w:rPr>
                <w:szCs w:val="22"/>
                <w:lang w:eastAsia="en-US"/>
              </w:rPr>
            </w:pPr>
            <w:r w:rsidRPr="00183B5F">
              <w:rPr>
                <w:szCs w:val="22"/>
                <w:lang w:eastAsia="en-US"/>
              </w:rPr>
              <w:t>0,303</w:t>
            </w:r>
          </w:p>
        </w:tc>
      </w:tr>
      <w:tr w:rsidR="00011D2F" w14:paraId="797A72E4" w14:textId="77777777" w:rsidTr="00FF46F7">
        <w:trPr>
          <w:cantSplit/>
          <w:trHeight w:val="177"/>
          <w:jc w:val="center"/>
        </w:trPr>
        <w:tc>
          <w:tcPr>
            <w:tcW w:w="8440" w:type="dxa"/>
            <w:gridSpan w:val="4"/>
            <w:tcBorders>
              <w:top w:val="single" w:sz="4" w:space="0" w:color="auto"/>
              <w:left w:val="nil"/>
              <w:bottom w:val="nil"/>
              <w:right w:val="nil"/>
            </w:tcBorders>
            <w:hideMark/>
          </w:tcPr>
          <w:p w14:paraId="2FDCD174" w14:textId="77777777" w:rsidR="000F3707" w:rsidRPr="00183B5F" w:rsidRDefault="00943743" w:rsidP="00FF46F7">
            <w:pPr>
              <w:keepNext/>
              <w:keepLines/>
              <w:tabs>
                <w:tab w:val="left" w:pos="-1080"/>
              </w:tabs>
              <w:suppressAutoHyphens w:val="0"/>
              <w:autoSpaceDE w:val="0"/>
              <w:autoSpaceDN w:val="0"/>
              <w:adjustRightInd w:val="0"/>
              <w:spacing w:line="240" w:lineRule="auto"/>
              <w:rPr>
                <w:szCs w:val="22"/>
                <w:lang w:eastAsia="en-US"/>
              </w:rPr>
            </w:pPr>
            <w:r w:rsidRPr="00183B5F">
              <w:rPr>
                <w:szCs w:val="22"/>
                <w:vertAlign w:val="superscript"/>
                <w:lang w:eastAsia="en-US"/>
              </w:rPr>
              <w:t>1</w:t>
            </w:r>
            <w:r w:rsidRPr="00183B5F">
              <w:rPr>
                <w:szCs w:val="22"/>
                <w:lang w:eastAsia="en-US"/>
              </w:rPr>
              <w:t xml:space="preserve">  p</w:t>
            </w:r>
            <w:r w:rsidRPr="00183B5F">
              <w:rPr>
                <w:szCs w:val="22"/>
                <w:lang w:eastAsia="en-US"/>
              </w:rPr>
              <w:noBreakHyphen/>
              <w:t xml:space="preserve">érték Standard dózis </w:t>
            </w:r>
            <w:r w:rsidRPr="00183B5F">
              <w:rPr>
                <w:i/>
                <w:iCs/>
                <w:szCs w:val="22"/>
                <w:lang w:eastAsia="en-US"/>
              </w:rPr>
              <w:t xml:space="preserve">versus </w:t>
            </w:r>
            <w:r w:rsidRPr="00183B5F">
              <w:rPr>
                <w:iCs/>
                <w:szCs w:val="22"/>
                <w:lang w:eastAsia="en-US"/>
              </w:rPr>
              <w:t>az</w:t>
            </w:r>
            <w:r w:rsidRPr="00183B5F">
              <w:rPr>
                <w:i/>
                <w:iCs/>
                <w:szCs w:val="22"/>
                <w:lang w:eastAsia="en-US"/>
              </w:rPr>
              <w:t xml:space="preserve"> </w:t>
            </w:r>
            <w:r w:rsidRPr="00183B5F">
              <w:rPr>
                <w:iCs/>
                <w:szCs w:val="22"/>
                <w:lang w:eastAsia="en-US"/>
              </w:rPr>
              <w:t>Alacsony</w:t>
            </w:r>
            <w:r w:rsidRPr="00183B5F">
              <w:rPr>
                <w:szCs w:val="22"/>
                <w:lang w:eastAsia="en-US"/>
              </w:rPr>
              <w:t xml:space="preserve"> dózis összehasonlítása esetén.</w:t>
            </w:r>
          </w:p>
          <w:p w14:paraId="455C1892" w14:textId="77777777" w:rsidR="000F3707" w:rsidRPr="00183B5F" w:rsidRDefault="00943743" w:rsidP="00FF46F7">
            <w:pPr>
              <w:keepNext/>
              <w:keepLines/>
              <w:tabs>
                <w:tab w:val="left" w:pos="-1080"/>
              </w:tabs>
              <w:suppressAutoHyphens w:val="0"/>
              <w:autoSpaceDE w:val="0"/>
              <w:autoSpaceDN w:val="0"/>
              <w:adjustRightInd w:val="0"/>
              <w:spacing w:line="240" w:lineRule="auto"/>
              <w:rPr>
                <w:szCs w:val="22"/>
                <w:lang w:eastAsia="en-US"/>
              </w:rPr>
            </w:pPr>
            <w:r w:rsidRPr="00183B5F">
              <w:rPr>
                <w:szCs w:val="22"/>
                <w:vertAlign w:val="superscript"/>
                <w:lang w:eastAsia="en-US"/>
              </w:rPr>
              <w:t xml:space="preserve"> 2</w:t>
            </w:r>
            <w:r w:rsidRPr="00183B5F">
              <w:rPr>
                <w:szCs w:val="22"/>
                <w:lang w:eastAsia="en-US"/>
              </w:rPr>
              <w:t xml:space="preserve">  Az immunszuppresszív kezelést csak a 26. héten vagy azt követően lehetett felfüggeszteni a vizsgáló orvos megítélése alapján, ha a beteg teljesítette a klinikai válasz kritériumait. </w:t>
            </w:r>
          </w:p>
          <w:p w14:paraId="7927732D" w14:textId="77777777" w:rsidR="000F3707" w:rsidRPr="00183B5F" w:rsidRDefault="00943743" w:rsidP="00FF46F7">
            <w:pPr>
              <w:keepNext/>
              <w:keepLines/>
              <w:tabs>
                <w:tab w:val="left" w:pos="-1080"/>
              </w:tabs>
              <w:suppressAutoHyphens w:val="0"/>
              <w:autoSpaceDE w:val="0"/>
              <w:autoSpaceDN w:val="0"/>
              <w:adjustRightInd w:val="0"/>
              <w:spacing w:line="240" w:lineRule="auto"/>
              <w:rPr>
                <w:szCs w:val="22"/>
                <w:lang w:eastAsia="en-US"/>
              </w:rPr>
            </w:pPr>
            <w:r w:rsidRPr="00183B5F">
              <w:rPr>
                <w:szCs w:val="22"/>
                <w:vertAlign w:val="superscript"/>
                <w:lang w:eastAsia="en-US"/>
              </w:rPr>
              <w:t>3</w:t>
            </w:r>
            <w:r w:rsidRPr="00183B5F">
              <w:rPr>
                <w:szCs w:val="22"/>
                <w:lang w:eastAsia="en-US"/>
              </w:rPr>
              <w:t xml:space="preserve">  Meghatározás szerint valamennyi, a vizsgálat megkezdésekor váladékozó fistula záródása legalább 2 egymást követő kontrollvizsgálat alkalmával.</w:t>
            </w:r>
          </w:p>
        </w:tc>
      </w:tr>
    </w:tbl>
    <w:p w14:paraId="6996843F" w14:textId="77777777" w:rsidR="000F3707" w:rsidRPr="00183B5F" w:rsidRDefault="000F3707" w:rsidP="000F3707">
      <w:pPr>
        <w:spacing w:line="240" w:lineRule="auto"/>
        <w:rPr>
          <w:szCs w:val="22"/>
        </w:rPr>
      </w:pPr>
    </w:p>
    <w:p w14:paraId="4E5C429F" w14:textId="77777777" w:rsidR="000F3707" w:rsidRPr="00183B5F" w:rsidRDefault="00943743" w:rsidP="000F3707">
      <w:pPr>
        <w:pStyle w:val="EMEANormal"/>
        <w:rPr>
          <w:szCs w:val="22"/>
          <w:lang w:val="hu-HU"/>
        </w:rPr>
      </w:pPr>
      <w:r w:rsidRPr="00183B5F">
        <w:rPr>
          <w:szCs w:val="22"/>
          <w:lang w:val="hu-HU"/>
        </w:rPr>
        <w:t>Mindkét kezelési csoportban a testtömegindex és a növekedési sebesség kiindulási értékhez viszonyított, statisztikailag szignifikáns emelkedését (javulását) észlelték a 26. és az 52. héten.</w:t>
      </w:r>
    </w:p>
    <w:p w14:paraId="4474B084" w14:textId="77777777" w:rsidR="000F3707" w:rsidRPr="00183B5F" w:rsidRDefault="000F3707" w:rsidP="000F3707">
      <w:pPr>
        <w:pStyle w:val="EMEANormal"/>
        <w:rPr>
          <w:szCs w:val="22"/>
          <w:lang w:val="hu-HU"/>
        </w:rPr>
      </w:pPr>
    </w:p>
    <w:p w14:paraId="4BA4A13A" w14:textId="77777777" w:rsidR="000F3707" w:rsidRPr="00183B5F" w:rsidRDefault="00943743" w:rsidP="000F3707">
      <w:pPr>
        <w:pStyle w:val="EMEANormal"/>
        <w:rPr>
          <w:szCs w:val="22"/>
          <w:lang w:val="hu-HU"/>
        </w:rPr>
      </w:pPr>
      <w:r w:rsidRPr="00183B5F">
        <w:rPr>
          <w:szCs w:val="22"/>
          <w:lang w:val="hu-HU"/>
        </w:rPr>
        <w:t>Mindkét kezelési csoportban az életminőségi paraméterek (köztük az IMPACT III-t) kiindulási értékhez viszonyított, statisztikailag szignifikáns és klinikailag jelentős javulását is megfigyelték.</w:t>
      </w:r>
    </w:p>
    <w:p w14:paraId="05CA0FC8" w14:textId="77777777" w:rsidR="000F3707" w:rsidRPr="00183B5F" w:rsidRDefault="000F3707" w:rsidP="000F3707">
      <w:pPr>
        <w:pStyle w:val="EMEANormal"/>
        <w:rPr>
          <w:szCs w:val="22"/>
          <w:lang w:val="hu-HU"/>
        </w:rPr>
      </w:pPr>
    </w:p>
    <w:p w14:paraId="33CC19BD" w14:textId="77777777" w:rsidR="000F3707" w:rsidRPr="00183B5F" w:rsidRDefault="00943743" w:rsidP="000F3707">
      <w:pPr>
        <w:pStyle w:val="EMEANormal"/>
        <w:rPr>
          <w:szCs w:val="22"/>
          <w:lang w:val="hu-HU"/>
        </w:rPr>
      </w:pPr>
      <w:r w:rsidRPr="00183B5F">
        <w:rPr>
          <w:szCs w:val="22"/>
          <w:lang w:val="hu-HU"/>
        </w:rPr>
        <w:t>A gyermekkori CD vizsgálatból 100 beteg (n = 100) egy további, nyílt elrendezésű, hosszú távú vizsgálatban vett részt. Az 5 évig tartó adalimumab</w:t>
      </w:r>
      <w:r w:rsidRPr="00183B5F">
        <w:rPr>
          <w:szCs w:val="22"/>
          <w:lang w:val="hu-HU"/>
        </w:rPr>
        <w:noBreakHyphen/>
        <w:t>kezelés után, a vizsgálatban továbbra is részt vevő 50 beteg 74,0%</w:t>
      </w:r>
      <w:r w:rsidRPr="00183B5F">
        <w:rPr>
          <w:szCs w:val="22"/>
          <w:lang w:val="hu-HU"/>
        </w:rPr>
        <w:noBreakHyphen/>
        <w:t>ánál (37/50) fennmaradt a klinikai remisszió, és 92%-uk (46/50) adott PCDAI szerinti klinikai választ.</w:t>
      </w:r>
    </w:p>
    <w:p w14:paraId="38043656" w14:textId="77777777" w:rsidR="000F3707" w:rsidRPr="00183B5F" w:rsidRDefault="000F3707" w:rsidP="000F3707">
      <w:pPr>
        <w:spacing w:line="240" w:lineRule="auto"/>
        <w:rPr>
          <w:i/>
          <w:szCs w:val="22"/>
        </w:rPr>
      </w:pPr>
    </w:p>
    <w:p w14:paraId="14A55072" w14:textId="77777777" w:rsidR="000D1E73" w:rsidRPr="00183B5F" w:rsidRDefault="00943743" w:rsidP="000D1E73">
      <w:pPr>
        <w:pStyle w:val="EMEANormal"/>
        <w:tabs>
          <w:tab w:val="left" w:pos="2595"/>
        </w:tabs>
        <w:rPr>
          <w:bCs/>
          <w:i/>
          <w:szCs w:val="22"/>
          <w:lang w:val="hu-HU"/>
        </w:rPr>
      </w:pPr>
      <w:r w:rsidRPr="00183B5F">
        <w:rPr>
          <w:bCs/>
          <w:i/>
          <w:szCs w:val="22"/>
          <w:lang w:val="hu-HU"/>
        </w:rPr>
        <w:t>Gyermekkori uveitis</w:t>
      </w:r>
    </w:p>
    <w:p w14:paraId="250BD8AB" w14:textId="77777777" w:rsidR="000D1E73" w:rsidRPr="00183B5F" w:rsidRDefault="000D1E73" w:rsidP="000D1E73">
      <w:pPr>
        <w:pStyle w:val="EMEANormal"/>
        <w:tabs>
          <w:tab w:val="left" w:pos="2595"/>
        </w:tabs>
        <w:rPr>
          <w:bCs/>
          <w:i/>
          <w:szCs w:val="22"/>
          <w:lang w:val="hu-HU"/>
        </w:rPr>
      </w:pPr>
    </w:p>
    <w:p w14:paraId="5283D4E3" w14:textId="77777777" w:rsidR="000D1E73" w:rsidRPr="00183B5F" w:rsidRDefault="00943743" w:rsidP="000D1E73">
      <w:pPr>
        <w:pStyle w:val="EMEANormal"/>
        <w:tabs>
          <w:tab w:val="left" w:pos="2595"/>
        </w:tabs>
        <w:rPr>
          <w:bCs/>
          <w:szCs w:val="22"/>
          <w:lang w:val="hu-HU"/>
        </w:rPr>
      </w:pPr>
      <w:r w:rsidRPr="00183B5F">
        <w:rPr>
          <w:szCs w:val="22"/>
          <w:lang w:val="hu-HU"/>
        </w:rPr>
        <w:t>A Humira biztonságosságát és hatásosságát</w:t>
      </w:r>
      <w:r w:rsidRPr="00183B5F">
        <w:rPr>
          <w:bCs/>
          <w:szCs w:val="22"/>
          <w:lang w:val="hu-HU"/>
        </w:rPr>
        <w:t xml:space="preserve"> 90, 2 – &lt;18 éves kor közötti, aktív, JIA-asszociált, nem fertőzéses eredetű anterior uvitisben szenvedő, legalább 12 hetes metotrexát-kezelésre refrakter gyermeknél egy randomizált, kettős vak, kontrollos vizsgálatban értékelték. A betegek vagy placebót, vagy 20 mg adalimumabot (30 kg testtömeg alatt), illetve 40 mg adalimumabot (legalább 30 kg</w:t>
      </w:r>
      <w:r w:rsidRPr="00183B5F">
        <w:rPr>
          <w:bCs/>
          <w:szCs w:val="22"/>
          <w:lang w:val="hu-HU"/>
        </w:rPr>
        <w:noBreakHyphen/>
        <w:t>os testtömeg esetén) kaptak minden második héten a kezelés kezdetén alkalmazott metotrexát dózissal kombinálva.</w:t>
      </w:r>
    </w:p>
    <w:p w14:paraId="268AEE38" w14:textId="77777777" w:rsidR="000D1E73" w:rsidRPr="00183B5F" w:rsidRDefault="000D1E73" w:rsidP="000D1E73">
      <w:pPr>
        <w:pStyle w:val="EMEANormal"/>
        <w:tabs>
          <w:tab w:val="left" w:pos="2595"/>
        </w:tabs>
        <w:rPr>
          <w:bCs/>
          <w:szCs w:val="22"/>
          <w:lang w:val="hu-HU"/>
        </w:rPr>
      </w:pPr>
    </w:p>
    <w:p w14:paraId="3AE1A772" w14:textId="77777777" w:rsidR="000D1E73" w:rsidRPr="00183B5F" w:rsidRDefault="00943743" w:rsidP="000D1E73">
      <w:pPr>
        <w:pStyle w:val="EMEANormal"/>
        <w:tabs>
          <w:tab w:val="left" w:pos="2595"/>
        </w:tabs>
        <w:rPr>
          <w:szCs w:val="22"/>
          <w:lang w:val="hu-HU"/>
        </w:rPr>
      </w:pPr>
      <w:r w:rsidRPr="00183B5F">
        <w:rPr>
          <w:bCs/>
          <w:szCs w:val="22"/>
          <w:lang w:val="hu-HU"/>
        </w:rPr>
        <w:t xml:space="preserve">Az elsődleges végpont </w:t>
      </w:r>
      <w:r w:rsidRPr="00183B5F">
        <w:rPr>
          <w:szCs w:val="22"/>
          <w:lang w:val="hu-HU"/>
        </w:rPr>
        <w:t>a „kezelés eredménytelenségéig eltelt idő” volt. A kezelés eredménytelenségének kritériumai a szemgyulladás romlása, vagy tartós nem javulása, részleges javulás tartós szemészeti társbetegségek kialakulása mellett, vagy a szemészeti társbetegségek romlása, nem engedélyezett egyidejű gyógyszeralkalmazás, vagy a kezelés hosszabb ideig tartó felfüggesztése voltak.</w:t>
      </w:r>
    </w:p>
    <w:p w14:paraId="7DE196BA" w14:textId="77777777" w:rsidR="000D1E73" w:rsidRPr="00183B5F" w:rsidRDefault="000D1E73" w:rsidP="000D1E73">
      <w:pPr>
        <w:pStyle w:val="EMEANormal"/>
        <w:tabs>
          <w:tab w:val="left" w:pos="2595"/>
        </w:tabs>
        <w:rPr>
          <w:szCs w:val="22"/>
          <w:lang w:val="hu-HU"/>
        </w:rPr>
      </w:pPr>
    </w:p>
    <w:p w14:paraId="5260675D" w14:textId="77777777" w:rsidR="000D1E73" w:rsidRPr="00183B5F" w:rsidRDefault="00943743" w:rsidP="000D1E73">
      <w:pPr>
        <w:pStyle w:val="EMEANormal"/>
        <w:keepNext/>
        <w:rPr>
          <w:i/>
          <w:szCs w:val="22"/>
          <w:u w:val="single"/>
          <w:lang w:val="hu-HU"/>
        </w:rPr>
      </w:pPr>
      <w:r w:rsidRPr="00183B5F">
        <w:rPr>
          <w:i/>
          <w:szCs w:val="22"/>
          <w:u w:val="single"/>
          <w:lang w:val="hu-HU"/>
        </w:rPr>
        <w:t>Klinikai válasz</w:t>
      </w:r>
    </w:p>
    <w:p w14:paraId="576A361F" w14:textId="77777777" w:rsidR="000D1E73" w:rsidRPr="00183B5F" w:rsidRDefault="000D1E73" w:rsidP="000D1E73">
      <w:pPr>
        <w:pStyle w:val="EMEANormal"/>
        <w:keepNext/>
        <w:tabs>
          <w:tab w:val="left" w:pos="2595"/>
        </w:tabs>
        <w:rPr>
          <w:bCs/>
          <w:szCs w:val="22"/>
          <w:lang w:val="hu-HU"/>
        </w:rPr>
      </w:pPr>
    </w:p>
    <w:p w14:paraId="20AB2D36" w14:textId="77777777" w:rsidR="000D1E73" w:rsidRPr="00183B5F" w:rsidRDefault="00943743" w:rsidP="000D1E73">
      <w:pPr>
        <w:spacing w:line="240" w:lineRule="auto"/>
        <w:rPr>
          <w:szCs w:val="22"/>
        </w:rPr>
      </w:pPr>
      <w:r w:rsidRPr="00183B5F">
        <w:rPr>
          <w:szCs w:val="22"/>
        </w:rPr>
        <w:t>Az adalimumab szignifikánsan késleltette a kezelés eredménytelenségéig eltelt időt a placebóhoz képest (lásd 2. ábra , p &lt; 0,0001, lograng</w:t>
      </w:r>
      <w:r w:rsidRPr="00183B5F">
        <w:rPr>
          <w:szCs w:val="22"/>
        </w:rPr>
        <w:noBreakHyphen/>
        <w:t>próba). A kezelés eredménytelenségéig eltelt medián időtartam 24,1 hét volt placebóval kezelt betegek esetén, míg az adalimumabbal kezelt betegek esetén a kezelés eredménytelenségéig eltelt medián időtartam nem volt becsülhető, mivel kevesebb mint a betegek felénél tapasztaltak kezelési eredménytelenséget. Az adalimumab szignifikánsan, 75%-kal csökkentette a kezelési eredménytelenség kockázatát a placebóhoz képest, ahogy ezt a relatív hazárd érték mutatja (HR = 0,25 [95%</w:t>
      </w:r>
      <w:r w:rsidRPr="00183B5F">
        <w:rPr>
          <w:szCs w:val="22"/>
        </w:rPr>
        <w:noBreakHyphen/>
        <w:t>os CI: 0,12; 0,49]).</w:t>
      </w:r>
    </w:p>
    <w:p w14:paraId="61F2444F" w14:textId="77777777" w:rsidR="000D1E73" w:rsidRPr="00183B5F" w:rsidRDefault="000D1E73" w:rsidP="000D1E73">
      <w:pPr>
        <w:pStyle w:val="EMEANormal"/>
        <w:rPr>
          <w:szCs w:val="22"/>
          <w:lang w:val="hu-HU"/>
        </w:rPr>
      </w:pPr>
    </w:p>
    <w:p w14:paraId="263386C8" w14:textId="77777777" w:rsidR="000D1E73" w:rsidRPr="00183B5F" w:rsidRDefault="00943743" w:rsidP="00662379">
      <w:pPr>
        <w:pStyle w:val="EMEANormal"/>
        <w:keepNext/>
        <w:ind w:left="360"/>
        <w:rPr>
          <w:b/>
          <w:szCs w:val="22"/>
          <w:lang w:val="hu-HU"/>
        </w:rPr>
      </w:pPr>
      <w:r w:rsidRPr="00183B5F">
        <w:rPr>
          <w:b/>
          <w:szCs w:val="22"/>
          <w:lang w:val="hu-HU"/>
        </w:rPr>
        <w:t>2. ábra: A kezelés eredménytelenségéig eltelt időt bemutató Kaplan-Meier görbék gyermekkori uveitis vizsgálatban</w:t>
      </w:r>
    </w:p>
    <w:p w14:paraId="21C678B4" w14:textId="77777777" w:rsidR="00662379" w:rsidRPr="00183B5F" w:rsidRDefault="00662379" w:rsidP="00FC288C">
      <w:pPr>
        <w:pStyle w:val="EMEANormal"/>
        <w:keepNext/>
        <w:ind w:left="360"/>
        <w:rPr>
          <w:b/>
          <w:szCs w:val="22"/>
          <w:lang w:val="hu-HU"/>
        </w:rPr>
      </w:pPr>
    </w:p>
    <w:tbl>
      <w:tblPr>
        <w:tblW w:w="9285" w:type="dxa"/>
        <w:tblLayout w:type="fixed"/>
        <w:tblLook w:val="04A0" w:firstRow="1" w:lastRow="0" w:firstColumn="1" w:lastColumn="0" w:noHBand="0" w:noVBand="1"/>
      </w:tblPr>
      <w:tblGrid>
        <w:gridCol w:w="467"/>
        <w:gridCol w:w="3509"/>
        <w:gridCol w:w="1170"/>
        <w:gridCol w:w="1350"/>
        <w:gridCol w:w="900"/>
        <w:gridCol w:w="1889"/>
      </w:tblGrid>
      <w:tr w:rsidR="00011D2F" w14:paraId="191D60FF" w14:textId="77777777" w:rsidTr="00FF46F7">
        <w:trPr>
          <w:cantSplit/>
          <w:trHeight w:val="3806"/>
        </w:trPr>
        <w:tc>
          <w:tcPr>
            <w:tcW w:w="468" w:type="dxa"/>
            <w:textDirection w:val="btLr"/>
            <w:vAlign w:val="bottom"/>
            <w:hideMark/>
          </w:tcPr>
          <w:p w14:paraId="56116742" w14:textId="77777777" w:rsidR="000D1E73" w:rsidRPr="00183B5F" w:rsidRDefault="00943743" w:rsidP="00FF46F7">
            <w:pPr>
              <w:pStyle w:val="EMEANormal"/>
              <w:keepNext/>
              <w:ind w:left="720"/>
              <w:rPr>
                <w:b/>
                <w:szCs w:val="22"/>
                <w:lang w:val="hu-HU"/>
              </w:rPr>
            </w:pPr>
            <w:r w:rsidRPr="00183B5F">
              <w:rPr>
                <w:b/>
                <w:szCs w:val="22"/>
                <w:lang w:val="hu-HU"/>
              </w:rPr>
              <w:t>A KEZELÉS EREDMÉNYTELENSÉGÉNEK VALÓSZÍNŰSÉGE</w:t>
            </w:r>
          </w:p>
        </w:tc>
        <w:tc>
          <w:tcPr>
            <w:tcW w:w="8820" w:type="dxa"/>
            <w:gridSpan w:val="5"/>
            <w:vAlign w:val="bottom"/>
            <w:hideMark/>
          </w:tcPr>
          <w:p w14:paraId="74B32EF5" w14:textId="77777777" w:rsidR="000D1E73" w:rsidRPr="00183B5F" w:rsidRDefault="00943743" w:rsidP="00FF46F7">
            <w:pPr>
              <w:pStyle w:val="EMEANormal"/>
              <w:keepNext/>
              <w:rPr>
                <w:szCs w:val="22"/>
                <w:lang w:val="hu-HU"/>
              </w:rPr>
            </w:pPr>
            <w:r w:rsidRPr="00202B95">
              <w:rPr>
                <w:noProof/>
                <w:lang w:val="en-GB"/>
              </w:rPr>
              <w:drawing>
                <wp:inline distT="0" distB="0" distL="0" distR="0" wp14:anchorId="30FFD923" wp14:editId="6239DC9E">
                  <wp:extent cx="5486400" cy="4552950"/>
                  <wp:effectExtent l="0" t="0" r="0" b="0"/>
                  <wp:docPr id="198" name="Picture 198"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62" descr="Humira PED UV KM Curve REVISED 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p>
        </w:tc>
      </w:tr>
      <w:tr w:rsidR="00011D2F" w14:paraId="3629B496" w14:textId="77777777" w:rsidTr="00FF46F7">
        <w:tc>
          <w:tcPr>
            <w:tcW w:w="468" w:type="dxa"/>
          </w:tcPr>
          <w:p w14:paraId="171ED102" w14:textId="77777777" w:rsidR="000D1E73" w:rsidRPr="00183B5F" w:rsidRDefault="000D1E73" w:rsidP="00FF46F7">
            <w:pPr>
              <w:pStyle w:val="EMEANormal"/>
              <w:keepNext/>
              <w:rPr>
                <w:szCs w:val="22"/>
                <w:lang w:val="hu-HU"/>
              </w:rPr>
            </w:pPr>
          </w:p>
        </w:tc>
        <w:tc>
          <w:tcPr>
            <w:tcW w:w="8820" w:type="dxa"/>
            <w:gridSpan w:val="5"/>
            <w:hideMark/>
          </w:tcPr>
          <w:p w14:paraId="14450050" w14:textId="77777777" w:rsidR="000D1E73" w:rsidRPr="00183B5F" w:rsidRDefault="00943743" w:rsidP="00FF46F7">
            <w:pPr>
              <w:pStyle w:val="EMEANormal"/>
              <w:keepNext/>
              <w:jc w:val="center"/>
              <w:rPr>
                <w:b/>
                <w:szCs w:val="22"/>
                <w:lang w:val="hu-HU"/>
              </w:rPr>
            </w:pPr>
            <w:r w:rsidRPr="00183B5F">
              <w:rPr>
                <w:b/>
                <w:szCs w:val="22"/>
                <w:lang w:val="hu-HU"/>
              </w:rPr>
              <w:t>IDŐ (HÉT)</w:t>
            </w:r>
          </w:p>
        </w:tc>
      </w:tr>
      <w:tr w:rsidR="00011D2F" w14:paraId="63C58FF1" w14:textId="77777777" w:rsidTr="00FF46F7">
        <w:tc>
          <w:tcPr>
            <w:tcW w:w="468" w:type="dxa"/>
          </w:tcPr>
          <w:p w14:paraId="7901A8D1" w14:textId="77777777" w:rsidR="000D1E73" w:rsidRPr="00183B5F" w:rsidRDefault="000D1E73" w:rsidP="00FF46F7">
            <w:pPr>
              <w:pStyle w:val="EMEANormal"/>
              <w:keepNext/>
              <w:rPr>
                <w:szCs w:val="22"/>
                <w:lang w:val="hu-HU"/>
              </w:rPr>
            </w:pPr>
          </w:p>
        </w:tc>
        <w:tc>
          <w:tcPr>
            <w:tcW w:w="3510" w:type="dxa"/>
            <w:hideMark/>
          </w:tcPr>
          <w:p w14:paraId="4FB66152" w14:textId="77777777" w:rsidR="000D1E73" w:rsidRPr="00183B5F" w:rsidRDefault="00943743" w:rsidP="00FF46F7">
            <w:pPr>
              <w:pStyle w:val="EMEANormal"/>
              <w:keepNext/>
              <w:rPr>
                <w:szCs w:val="22"/>
                <w:lang w:val="hu-HU"/>
              </w:rPr>
            </w:pPr>
            <w:r w:rsidRPr="00183B5F">
              <w:rPr>
                <w:szCs w:val="22"/>
                <w:lang w:val="hu-HU"/>
              </w:rPr>
              <w:t>Kezelés</w:t>
            </w:r>
          </w:p>
        </w:tc>
        <w:tc>
          <w:tcPr>
            <w:tcW w:w="1170" w:type="dxa"/>
            <w:vAlign w:val="bottom"/>
            <w:hideMark/>
          </w:tcPr>
          <w:p w14:paraId="22C06952" w14:textId="77777777" w:rsidR="000D1E73" w:rsidRPr="00183B5F" w:rsidRDefault="00943743" w:rsidP="00FF46F7">
            <w:pPr>
              <w:pStyle w:val="EMEANormal"/>
              <w:keepNext/>
              <w:jc w:val="center"/>
              <w:rPr>
                <w:szCs w:val="22"/>
                <w:lang w:val="hu-HU"/>
              </w:rPr>
            </w:pPr>
            <w:r w:rsidRPr="00202B95">
              <w:rPr>
                <w:noProof/>
                <w:lang w:val="en-GB"/>
              </w:rPr>
              <w:drawing>
                <wp:inline distT="0" distB="0" distL="0" distR="0" wp14:anchorId="60D18F7C" wp14:editId="627A6C13">
                  <wp:extent cx="457200" cy="123825"/>
                  <wp:effectExtent l="0" t="0" r="0" b="9525"/>
                  <wp:docPr id="199" name="Picture 199"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01" descr="Humira PED UV KM Curve 1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p>
        </w:tc>
        <w:tc>
          <w:tcPr>
            <w:tcW w:w="1350" w:type="dxa"/>
            <w:hideMark/>
          </w:tcPr>
          <w:p w14:paraId="4A954328" w14:textId="77777777" w:rsidR="000D1E73" w:rsidRPr="00183B5F" w:rsidRDefault="00943743" w:rsidP="00FF46F7">
            <w:pPr>
              <w:pStyle w:val="EMEANormal"/>
              <w:keepNext/>
              <w:rPr>
                <w:szCs w:val="22"/>
                <w:lang w:val="hu-HU"/>
              </w:rPr>
            </w:pPr>
            <w:r w:rsidRPr="00183B5F">
              <w:rPr>
                <w:szCs w:val="22"/>
                <w:lang w:val="hu-HU"/>
              </w:rPr>
              <w:t>Placebo</w:t>
            </w:r>
          </w:p>
        </w:tc>
        <w:tc>
          <w:tcPr>
            <w:tcW w:w="900" w:type="dxa"/>
            <w:vAlign w:val="center"/>
            <w:hideMark/>
          </w:tcPr>
          <w:p w14:paraId="5B3E4399" w14:textId="77777777" w:rsidR="000D1E73" w:rsidRPr="00183B5F" w:rsidRDefault="00943743" w:rsidP="00FF46F7">
            <w:pPr>
              <w:pStyle w:val="EMEANormal"/>
              <w:keepNext/>
              <w:rPr>
                <w:szCs w:val="22"/>
                <w:lang w:val="hu-HU"/>
              </w:rPr>
            </w:pPr>
            <w:r w:rsidRPr="00202B95">
              <w:rPr>
                <w:noProof/>
                <w:lang w:val="en-GB"/>
              </w:rPr>
              <w:drawing>
                <wp:inline distT="0" distB="0" distL="0" distR="0" wp14:anchorId="0D91018D" wp14:editId="0EF5403D">
                  <wp:extent cx="457200" cy="85725"/>
                  <wp:effectExtent l="0" t="0" r="0" b="9525"/>
                  <wp:docPr id="200" name="Picture 200"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102" descr="Humira PED UV KM Curve 1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p>
        </w:tc>
        <w:tc>
          <w:tcPr>
            <w:tcW w:w="1890" w:type="dxa"/>
            <w:hideMark/>
          </w:tcPr>
          <w:p w14:paraId="7EB43E43" w14:textId="77777777" w:rsidR="000D1E73" w:rsidRPr="00183B5F" w:rsidRDefault="00943743" w:rsidP="00FF46F7">
            <w:pPr>
              <w:pStyle w:val="EMEANormal"/>
              <w:keepNext/>
              <w:rPr>
                <w:szCs w:val="22"/>
                <w:lang w:val="hu-HU"/>
              </w:rPr>
            </w:pPr>
            <w:r w:rsidRPr="00183B5F">
              <w:rPr>
                <w:szCs w:val="22"/>
                <w:lang w:val="hu-HU"/>
              </w:rPr>
              <w:t>Adalimumab</w:t>
            </w:r>
          </w:p>
        </w:tc>
      </w:tr>
      <w:tr w:rsidR="00011D2F" w14:paraId="1C6A8E96" w14:textId="77777777" w:rsidTr="00FF46F7">
        <w:tc>
          <w:tcPr>
            <w:tcW w:w="468" w:type="dxa"/>
          </w:tcPr>
          <w:p w14:paraId="2D2FF747" w14:textId="77777777" w:rsidR="000D1E73" w:rsidRPr="00183B5F" w:rsidRDefault="000D1E73" w:rsidP="00FF46F7">
            <w:pPr>
              <w:pStyle w:val="EMEANormal"/>
              <w:keepNext/>
              <w:rPr>
                <w:szCs w:val="22"/>
                <w:lang w:val="hu-HU"/>
              </w:rPr>
            </w:pPr>
          </w:p>
        </w:tc>
        <w:tc>
          <w:tcPr>
            <w:tcW w:w="8820" w:type="dxa"/>
            <w:gridSpan w:val="5"/>
            <w:hideMark/>
          </w:tcPr>
          <w:p w14:paraId="242E39C2" w14:textId="77777777" w:rsidR="000D1E73" w:rsidRPr="00183B5F" w:rsidRDefault="00943743" w:rsidP="00FF46F7">
            <w:pPr>
              <w:pStyle w:val="EMEANormal"/>
              <w:keepNext/>
              <w:rPr>
                <w:szCs w:val="22"/>
                <w:lang w:val="hu-HU"/>
              </w:rPr>
            </w:pPr>
            <w:r w:rsidRPr="00183B5F">
              <w:rPr>
                <w:szCs w:val="22"/>
                <w:lang w:val="hu-HU"/>
              </w:rPr>
              <w:t>Megjegyzés: P = Placebo (Veszélyeztetett betegek száma); H = HUMIRA (Veszélyeztetett betegek száma).</w:t>
            </w:r>
          </w:p>
        </w:tc>
      </w:tr>
    </w:tbl>
    <w:p w14:paraId="3EECD26E" w14:textId="77777777" w:rsidR="000D1E73" w:rsidRPr="00183B5F" w:rsidRDefault="000D1E73" w:rsidP="000D1E73">
      <w:pPr>
        <w:pStyle w:val="EMEANormal"/>
        <w:rPr>
          <w:lang w:val="hu-HU"/>
        </w:rPr>
      </w:pPr>
    </w:p>
    <w:p w14:paraId="1E5199CF" w14:textId="77777777" w:rsidR="00366005" w:rsidRPr="00183B5F" w:rsidRDefault="00943743">
      <w:pPr>
        <w:keepNext/>
        <w:spacing w:line="240" w:lineRule="auto"/>
        <w:rPr>
          <w:b/>
          <w:szCs w:val="22"/>
        </w:rPr>
      </w:pPr>
      <w:r w:rsidRPr="00183B5F">
        <w:rPr>
          <w:b/>
          <w:szCs w:val="22"/>
        </w:rPr>
        <w:t>5.2</w:t>
      </w:r>
      <w:r w:rsidRPr="00183B5F">
        <w:rPr>
          <w:b/>
          <w:szCs w:val="22"/>
        </w:rPr>
        <w:tab/>
        <w:t>Farmakokinetikai tulajdonságok</w:t>
      </w:r>
    </w:p>
    <w:p w14:paraId="3B86577E" w14:textId="77777777" w:rsidR="00366005" w:rsidRPr="00183B5F" w:rsidRDefault="00366005">
      <w:pPr>
        <w:keepNext/>
        <w:numPr>
          <w:ilvl w:val="12"/>
          <w:numId w:val="0"/>
        </w:numPr>
        <w:suppressLineNumbers/>
        <w:spacing w:line="240" w:lineRule="auto"/>
        <w:ind w:right="-2"/>
        <w:rPr>
          <w:noProof/>
          <w:szCs w:val="24"/>
          <w:u w:val="single"/>
        </w:rPr>
      </w:pPr>
    </w:p>
    <w:p w14:paraId="2BD74694" w14:textId="77777777" w:rsidR="00366005" w:rsidRPr="00183B5F" w:rsidRDefault="00943743">
      <w:pPr>
        <w:keepNext/>
        <w:numPr>
          <w:ilvl w:val="12"/>
          <w:numId w:val="0"/>
        </w:numPr>
        <w:suppressLineNumbers/>
        <w:spacing w:line="240" w:lineRule="auto"/>
        <w:ind w:right="-2"/>
        <w:rPr>
          <w:szCs w:val="22"/>
        </w:rPr>
      </w:pPr>
      <w:r w:rsidRPr="00183B5F">
        <w:rPr>
          <w:noProof/>
          <w:szCs w:val="24"/>
          <w:u w:val="single"/>
        </w:rPr>
        <w:t>Felszívódás és eloszlás</w:t>
      </w:r>
    </w:p>
    <w:p w14:paraId="7CBB7261" w14:textId="77777777" w:rsidR="00366005" w:rsidRPr="00183B5F" w:rsidRDefault="00366005">
      <w:pPr>
        <w:keepNext/>
        <w:spacing w:line="240" w:lineRule="auto"/>
        <w:rPr>
          <w:szCs w:val="22"/>
        </w:rPr>
      </w:pPr>
    </w:p>
    <w:p w14:paraId="3E1FF28B" w14:textId="77777777" w:rsidR="00366005" w:rsidRPr="00183B5F" w:rsidRDefault="00943743">
      <w:pPr>
        <w:spacing w:line="240" w:lineRule="auto"/>
        <w:rPr>
          <w:szCs w:val="22"/>
        </w:rPr>
      </w:pPr>
      <w:r w:rsidRPr="00183B5F">
        <w:rPr>
          <w:szCs w:val="22"/>
        </w:rPr>
        <w:t>A kéthetente 24 mg/m</w:t>
      </w:r>
      <w:r w:rsidRPr="00183B5F">
        <w:rPr>
          <w:szCs w:val="22"/>
          <w:vertAlign w:val="superscript"/>
        </w:rPr>
        <w:t>2</w:t>
      </w:r>
      <w:r w:rsidRPr="00183B5F">
        <w:rPr>
          <w:szCs w:val="22"/>
        </w:rPr>
        <w:t xml:space="preserve"> (legfeljebb 40 mg) dózis subcutan alkalmazását követően a polyarticularis juvenilis idiopathiás arthritises (JIA) betegeknél, akiknek életkora 4 – 17 év volt, az átlagos legalacsonyabb dinamikus egyensúlyi állapotú (a 20.</w:t>
      </w:r>
      <w:r w:rsidRPr="00183B5F">
        <w:rPr>
          <w:szCs w:val="22"/>
        </w:rPr>
        <w:noBreakHyphen/>
        <w:t>tól a 48. hétig mért értékek) szérum</w:t>
      </w:r>
      <w:r w:rsidR="00A033CB" w:rsidRPr="00183B5F">
        <w:rPr>
          <w:szCs w:val="22"/>
        </w:rPr>
        <w:t>-</w:t>
      </w:r>
      <w:r w:rsidRPr="00183B5F">
        <w:rPr>
          <w:szCs w:val="22"/>
        </w:rPr>
        <w:t>adalimumab</w:t>
      </w:r>
      <w:r w:rsidR="00A033CB" w:rsidRPr="00183B5F">
        <w:rPr>
          <w:szCs w:val="22"/>
        </w:rPr>
        <w:t>-</w:t>
      </w:r>
      <w:r w:rsidRPr="00183B5F">
        <w:rPr>
          <w:szCs w:val="22"/>
        </w:rPr>
        <w:t>koncentráció értéke 5,6 ± 5,6 </w:t>
      </w:r>
      <w:r w:rsidR="00A033CB" w:rsidRPr="00183B5F">
        <w:rPr>
          <w:szCs w:val="22"/>
        </w:rPr>
        <w:t>mikrogramm</w:t>
      </w:r>
      <w:r w:rsidRPr="00183B5F">
        <w:rPr>
          <w:szCs w:val="22"/>
        </w:rPr>
        <w:t>/ml (102% CV) volt, ha az adalimumabot együttadott metotrexát nélkül alkalmazták, míg 10,9 ± 5,2 </w:t>
      </w:r>
      <w:r w:rsidR="00A033CB" w:rsidRPr="00183B5F">
        <w:rPr>
          <w:szCs w:val="22"/>
        </w:rPr>
        <w:t>mikrogramm</w:t>
      </w:r>
      <w:r w:rsidRPr="00183B5F">
        <w:rPr>
          <w:szCs w:val="22"/>
        </w:rPr>
        <w:t>/ml (47,7% CV) a kiegészítő metotrexát</w:t>
      </w:r>
      <w:r w:rsidRPr="00183B5F">
        <w:rPr>
          <w:szCs w:val="22"/>
        </w:rPr>
        <w:noBreakHyphen/>
        <w:t>kezelés esetén.</w:t>
      </w:r>
    </w:p>
    <w:p w14:paraId="6AA88959" w14:textId="77777777" w:rsidR="00366005" w:rsidRPr="00183B5F" w:rsidRDefault="00366005">
      <w:pPr>
        <w:spacing w:line="240" w:lineRule="auto"/>
        <w:rPr>
          <w:szCs w:val="22"/>
        </w:rPr>
      </w:pPr>
    </w:p>
    <w:p w14:paraId="5EAA06C7" w14:textId="77777777" w:rsidR="00366005" w:rsidRPr="00183B5F" w:rsidRDefault="00943743">
      <w:pPr>
        <w:spacing w:line="240" w:lineRule="auto"/>
        <w:rPr>
          <w:szCs w:val="22"/>
        </w:rPr>
      </w:pPr>
      <w:r w:rsidRPr="00183B5F">
        <w:rPr>
          <w:szCs w:val="22"/>
        </w:rPr>
        <w:t>Azoknál a polyarticularis JIA</w:t>
      </w:r>
      <w:r w:rsidRPr="00183B5F">
        <w:rPr>
          <w:szCs w:val="22"/>
        </w:rPr>
        <w:noBreakHyphen/>
        <w:t>ban szenvedő betegeknél, akiknek életkora 2 </w:t>
      </w:r>
      <w:r w:rsidRPr="00183B5F">
        <w:rPr>
          <w:szCs w:val="22"/>
        </w:rPr>
        <w:noBreakHyphen/>
        <w:t> &lt;4 vagy 4 év és a</w:t>
      </w:r>
      <w:r w:rsidR="002C1F5C" w:rsidRPr="00183B5F">
        <w:rPr>
          <w:szCs w:val="22"/>
        </w:rPr>
        <w:t xml:space="preserve"> </w:t>
      </w:r>
      <w:r w:rsidRPr="00183B5F">
        <w:rPr>
          <w:szCs w:val="22"/>
        </w:rPr>
        <w:t>feletti, testtömege &lt;15 kg volt és 24 mg/m</w:t>
      </w:r>
      <w:r w:rsidRPr="00183B5F">
        <w:rPr>
          <w:szCs w:val="22"/>
          <w:vertAlign w:val="superscript"/>
        </w:rPr>
        <w:t>2</w:t>
      </w:r>
      <w:r w:rsidRPr="00183B5F">
        <w:rPr>
          <w:szCs w:val="22"/>
        </w:rPr>
        <w:t xml:space="preserve"> dózisú adalimumabot kaptak, a legalacsonyabb átlagos dinamikus egyensúlyi állapotban mért adalimumab</w:t>
      </w:r>
      <w:r w:rsidR="00A033CB" w:rsidRPr="00183B5F">
        <w:rPr>
          <w:szCs w:val="22"/>
        </w:rPr>
        <w:t>-</w:t>
      </w:r>
      <w:r w:rsidRPr="00183B5F">
        <w:rPr>
          <w:szCs w:val="22"/>
        </w:rPr>
        <w:t>koncentráció 6,0 ± 6,1 </w:t>
      </w:r>
      <w:r w:rsidR="00A033CB" w:rsidRPr="00183B5F">
        <w:rPr>
          <w:szCs w:val="22"/>
        </w:rPr>
        <w:t>mikrogramm</w:t>
      </w:r>
      <w:r w:rsidRPr="00183B5F">
        <w:rPr>
          <w:szCs w:val="22"/>
        </w:rPr>
        <w:t>/ml (101% CV) volt, ha az adalimumabot együttadott metotrexát nélkül alkalmazták és 7,9 ± 5,6 </w:t>
      </w:r>
      <w:r w:rsidR="00A033CB" w:rsidRPr="00183B5F">
        <w:rPr>
          <w:szCs w:val="22"/>
        </w:rPr>
        <w:t>mikrogramm</w:t>
      </w:r>
      <w:r w:rsidRPr="00183B5F">
        <w:rPr>
          <w:szCs w:val="22"/>
        </w:rPr>
        <w:t>/ml (71,2% CV) volt metotrexáttal kombinált terápia esetén.</w:t>
      </w:r>
    </w:p>
    <w:p w14:paraId="3BD2EC44" w14:textId="77777777" w:rsidR="00366005" w:rsidRPr="00183B5F" w:rsidRDefault="00366005">
      <w:pPr>
        <w:spacing w:line="240" w:lineRule="auto"/>
      </w:pPr>
    </w:p>
    <w:p w14:paraId="25BEBCBA" w14:textId="77777777" w:rsidR="00366005" w:rsidRPr="00183B5F" w:rsidRDefault="00943743">
      <w:pPr>
        <w:spacing w:line="240" w:lineRule="auto"/>
        <w:rPr>
          <w:szCs w:val="22"/>
        </w:rPr>
      </w:pPr>
      <w:r w:rsidRPr="00183B5F">
        <w:rPr>
          <w:szCs w:val="22"/>
        </w:rPr>
        <w:t>Azoknál a 6</w:t>
      </w:r>
      <w:r w:rsidRPr="00183B5F">
        <w:rPr>
          <w:szCs w:val="22"/>
        </w:rPr>
        <w:noBreakHyphen/>
        <w:t xml:space="preserve">17 éves, </w:t>
      </w:r>
      <w:r w:rsidR="00677908" w:rsidRPr="00183B5F">
        <w:rPr>
          <w:szCs w:val="22"/>
        </w:rPr>
        <w:t>enthesitis-asszociált</w:t>
      </w:r>
      <w:r w:rsidRPr="00183B5F">
        <w:rPr>
          <w:szCs w:val="22"/>
        </w:rPr>
        <w:t xml:space="preserve"> arthritisben szenvedő betegeknél, akik 24 mg/m</w:t>
      </w:r>
      <w:r w:rsidRPr="00183B5F">
        <w:rPr>
          <w:szCs w:val="22"/>
          <w:vertAlign w:val="superscript"/>
        </w:rPr>
        <w:t>2</w:t>
      </w:r>
      <w:r w:rsidRPr="00183B5F">
        <w:rPr>
          <w:szCs w:val="22"/>
        </w:rPr>
        <w:t xml:space="preserve"> (maximum 40 mg) dózisú adalimumabot kaptak subcutan minden második héten, a legalacsonyabb átlagos dinamikus egyensúlyi állapotban mért adalimumab</w:t>
      </w:r>
      <w:r w:rsidR="00A033CB" w:rsidRPr="00183B5F">
        <w:rPr>
          <w:szCs w:val="22"/>
        </w:rPr>
        <w:t>-</w:t>
      </w:r>
      <w:r w:rsidRPr="00183B5F">
        <w:rPr>
          <w:szCs w:val="22"/>
        </w:rPr>
        <w:t>koncentráció (a 24. héten mérve) 8,8 ± 6,6 </w:t>
      </w:r>
      <w:r w:rsidR="00A033CB" w:rsidRPr="00183B5F">
        <w:rPr>
          <w:szCs w:val="22"/>
        </w:rPr>
        <w:t>mikrogramm</w:t>
      </w:r>
      <w:r w:rsidRPr="00183B5F">
        <w:rPr>
          <w:szCs w:val="22"/>
        </w:rPr>
        <w:t>/ml volt, ha az adalimumabot együttadott metotrexát nélkül alkalmazták és 11,8 ± 4,3 </w:t>
      </w:r>
      <w:r w:rsidR="00A033CB" w:rsidRPr="00183B5F">
        <w:rPr>
          <w:szCs w:val="22"/>
        </w:rPr>
        <w:t>mikrogramm</w:t>
      </w:r>
      <w:r w:rsidRPr="00183B5F">
        <w:rPr>
          <w:szCs w:val="22"/>
        </w:rPr>
        <w:t>/ml volt metotrexáttal kombinált terápia esetén.</w:t>
      </w:r>
    </w:p>
    <w:p w14:paraId="215B051D" w14:textId="77777777" w:rsidR="00366005" w:rsidRPr="00183B5F" w:rsidRDefault="00366005">
      <w:pPr>
        <w:spacing w:line="240" w:lineRule="auto"/>
      </w:pPr>
    </w:p>
    <w:p w14:paraId="3BDFDF56" w14:textId="77777777" w:rsidR="00366005" w:rsidRPr="00183B5F" w:rsidRDefault="00943743">
      <w:pPr>
        <w:pStyle w:val="EMEANormal"/>
        <w:rPr>
          <w:szCs w:val="22"/>
          <w:lang w:val="hu-HU"/>
        </w:rPr>
      </w:pPr>
      <w:r w:rsidRPr="00183B5F">
        <w:rPr>
          <w:szCs w:val="22"/>
          <w:lang w:val="hu-HU"/>
        </w:rPr>
        <w:t>Azoknál a krónikus plakkos psoriasisban szenvedő gyermekeknél, akik 0,8 mg</w:t>
      </w:r>
      <w:r w:rsidR="00127A0B" w:rsidRPr="00183B5F">
        <w:rPr>
          <w:szCs w:val="22"/>
          <w:lang w:val="hu-HU"/>
        </w:rPr>
        <w:t>/ttkg</w:t>
      </w:r>
      <w:r w:rsidRPr="00183B5F">
        <w:rPr>
          <w:szCs w:val="22"/>
          <w:lang w:val="hu-HU"/>
        </w:rPr>
        <w:t xml:space="preserve"> (legfeljebb 40 mg) dózisú adalimumabot kaptak subcutan minden második héten, az átlagos (± SD), dinamikus egyensúlyi állapotban mért </w:t>
      </w:r>
      <w:r w:rsidR="003331BF" w:rsidRPr="00183B5F">
        <w:rPr>
          <w:szCs w:val="22"/>
          <w:lang w:val="hu-HU"/>
        </w:rPr>
        <w:t xml:space="preserve">minimális </w:t>
      </w:r>
      <w:r w:rsidRPr="00183B5F">
        <w:rPr>
          <w:szCs w:val="22"/>
          <w:lang w:val="hu-HU"/>
        </w:rPr>
        <w:t>adalimumab</w:t>
      </w:r>
      <w:r w:rsidR="00A033CB" w:rsidRPr="00183B5F">
        <w:rPr>
          <w:szCs w:val="22"/>
          <w:lang w:val="hu-HU"/>
        </w:rPr>
        <w:t>-</w:t>
      </w:r>
      <w:r w:rsidRPr="00183B5F">
        <w:rPr>
          <w:szCs w:val="22"/>
          <w:lang w:val="hu-HU"/>
        </w:rPr>
        <w:t>koncentráció körülbelül 7,4 ± 5,8 </w:t>
      </w:r>
      <w:r w:rsidR="00A033CB" w:rsidRPr="00183B5F">
        <w:rPr>
          <w:szCs w:val="22"/>
          <w:lang w:val="hu-HU"/>
        </w:rPr>
        <w:t>mikrogramm</w:t>
      </w:r>
      <w:r w:rsidRPr="00183B5F">
        <w:rPr>
          <w:szCs w:val="22"/>
          <w:lang w:val="hu-HU"/>
        </w:rPr>
        <w:t>/ml (79% CV) volt.</w:t>
      </w:r>
    </w:p>
    <w:p w14:paraId="1687A9C1" w14:textId="77777777" w:rsidR="00366005" w:rsidRPr="00183B5F" w:rsidRDefault="00366005">
      <w:pPr>
        <w:spacing w:line="240" w:lineRule="auto"/>
      </w:pPr>
    </w:p>
    <w:p w14:paraId="6D881DD6" w14:textId="77777777" w:rsidR="00366005" w:rsidRPr="00183B5F" w:rsidRDefault="00943743">
      <w:pPr>
        <w:pStyle w:val="EMEANormal"/>
        <w:rPr>
          <w:szCs w:val="22"/>
          <w:lang w:val="hu-HU"/>
        </w:rPr>
      </w:pPr>
      <w:r w:rsidRPr="00183B5F">
        <w:rPr>
          <w:szCs w:val="22"/>
          <w:lang w:val="hu-HU"/>
        </w:rPr>
        <w:t>Köz</w:t>
      </w:r>
      <w:r w:rsidR="003331BF" w:rsidRPr="00183B5F">
        <w:rPr>
          <w:szCs w:val="22"/>
          <w:lang w:val="hu-HU"/>
        </w:rPr>
        <w:t xml:space="preserve">epesen </w:t>
      </w:r>
      <w:r w:rsidRPr="00183B5F">
        <w:rPr>
          <w:szCs w:val="22"/>
          <w:lang w:val="hu-HU"/>
        </w:rPr>
        <w:t>súlyos</w:t>
      </w:r>
      <w:r w:rsidR="003331BF" w:rsidRPr="00183B5F">
        <w:rPr>
          <w:szCs w:val="22"/>
          <w:lang w:val="hu-HU"/>
        </w:rPr>
        <w:t xml:space="preserve"> </w:t>
      </w:r>
      <w:r w:rsidRPr="00183B5F">
        <w:rPr>
          <w:szCs w:val="22"/>
          <w:lang w:val="hu-HU"/>
        </w:rPr>
        <w:t>-</w:t>
      </w:r>
      <w:r w:rsidR="003331BF" w:rsidRPr="00183B5F">
        <w:rPr>
          <w:szCs w:val="22"/>
          <w:lang w:val="hu-HU"/>
        </w:rPr>
        <w:t xml:space="preserve"> </w:t>
      </w:r>
      <w:r w:rsidRPr="00183B5F">
        <w:rPr>
          <w:szCs w:val="22"/>
          <w:lang w:val="hu-HU"/>
        </w:rPr>
        <w:t xml:space="preserve">súlyos </w:t>
      </w:r>
      <w:r w:rsidR="003331BF" w:rsidRPr="00183B5F">
        <w:rPr>
          <w:szCs w:val="22"/>
          <w:lang w:val="hu-HU"/>
        </w:rPr>
        <w:t xml:space="preserve">aktivitású </w:t>
      </w:r>
      <w:r w:rsidRPr="00183B5F">
        <w:rPr>
          <w:szCs w:val="22"/>
          <w:lang w:val="hu-HU"/>
        </w:rPr>
        <w:t>Crohn</w:t>
      </w:r>
      <w:r w:rsidRPr="00183B5F">
        <w:rPr>
          <w:szCs w:val="22"/>
          <w:lang w:val="hu-HU"/>
        </w:rPr>
        <w:noBreakHyphen/>
        <w:t xml:space="preserve">betegségben szenvedő </w:t>
      </w:r>
      <w:r w:rsidR="00CB73C8" w:rsidRPr="00183B5F">
        <w:rPr>
          <w:szCs w:val="22"/>
          <w:lang w:val="hu-HU"/>
        </w:rPr>
        <w:t>gyermekeknél és serdülőknél</w:t>
      </w:r>
      <w:r w:rsidRPr="00183B5F">
        <w:rPr>
          <w:szCs w:val="22"/>
          <w:lang w:val="hu-HU"/>
        </w:rPr>
        <w:t xml:space="preserve"> az adalimumab nyílt elrendezésben alkalmazott indukciós dózisa 160/80 mg, illetve 80/40 mg volt a 0. és a 2. héten, figyelembe véve a testtömegre meghatározott 40 kg-os határértéket. A 4. héten a betegeket 1:1 arányban Standard dózisú (40/20 mg minden második héten) vagy Alacsony dózisú (20/10 mg minden második héten) fenntartó kezelési csoportba randomizálták a testtömegük alapján. A 4. hétre elért átlag (±SD) maradék szérum</w:t>
      </w:r>
      <w:r w:rsidR="00CB73C8" w:rsidRPr="00183B5F">
        <w:rPr>
          <w:szCs w:val="22"/>
          <w:lang w:val="hu-HU"/>
        </w:rPr>
        <w:t>-</w:t>
      </w:r>
      <w:r w:rsidRPr="00183B5F">
        <w:rPr>
          <w:szCs w:val="22"/>
          <w:lang w:val="hu-HU"/>
        </w:rPr>
        <w:t>adalimumab-koncentráció 15,7±6,6 </w:t>
      </w:r>
      <w:r w:rsidR="00CB73C8" w:rsidRPr="00183B5F">
        <w:rPr>
          <w:szCs w:val="22"/>
          <w:lang w:val="hu-HU"/>
        </w:rPr>
        <w:t>mikrogramm</w:t>
      </w:r>
      <w:r w:rsidRPr="00183B5F">
        <w:rPr>
          <w:szCs w:val="22"/>
          <w:lang w:val="hu-HU"/>
        </w:rPr>
        <w:t>/ml volt a 40 kg-os, vagy annál nagyob</w:t>
      </w:r>
      <w:r w:rsidRPr="00183B5F">
        <w:rPr>
          <w:szCs w:val="22"/>
          <w:lang w:val="hu-HU"/>
        </w:rPr>
        <w:t>b testtömegű betegeknél (160/80 mg), míg a 40 kg-nál alacsonyabb testtömegű betegeknél (80/40 mg) ez az érték 10,6±6,1 </w:t>
      </w:r>
      <w:r w:rsidR="00CB73C8" w:rsidRPr="00183B5F">
        <w:rPr>
          <w:szCs w:val="22"/>
          <w:lang w:val="hu-HU"/>
        </w:rPr>
        <w:t>mikrogramm</w:t>
      </w:r>
      <w:r w:rsidRPr="00183B5F">
        <w:rPr>
          <w:szCs w:val="22"/>
          <w:lang w:val="hu-HU"/>
        </w:rPr>
        <w:t>/ml volt.</w:t>
      </w:r>
    </w:p>
    <w:p w14:paraId="19ED9AF2" w14:textId="77777777" w:rsidR="00366005" w:rsidRPr="00183B5F" w:rsidRDefault="00366005">
      <w:pPr>
        <w:spacing w:line="240" w:lineRule="auto"/>
      </w:pPr>
    </w:p>
    <w:p w14:paraId="4B5E07A9" w14:textId="77777777" w:rsidR="00366005" w:rsidRPr="00183B5F" w:rsidRDefault="00943743">
      <w:pPr>
        <w:pStyle w:val="EMEANormal"/>
        <w:rPr>
          <w:szCs w:val="22"/>
          <w:lang w:val="hu-HU"/>
        </w:rPr>
      </w:pPr>
      <w:r w:rsidRPr="00183B5F">
        <w:rPr>
          <w:szCs w:val="22"/>
          <w:lang w:val="hu-HU"/>
        </w:rPr>
        <w:t>Azoknál a betegeknél, akik a randomizált kezelésen maradtak, az 52. héten az átlagos (±SD)maradék szérum</w:t>
      </w:r>
      <w:r w:rsidR="00CB73C8" w:rsidRPr="00183B5F">
        <w:rPr>
          <w:szCs w:val="22"/>
          <w:lang w:val="hu-HU"/>
        </w:rPr>
        <w:t>-</w:t>
      </w:r>
      <w:r w:rsidRPr="00183B5F">
        <w:rPr>
          <w:szCs w:val="22"/>
          <w:lang w:val="hu-HU"/>
        </w:rPr>
        <w:t>adalimumab-koncentráció a Standard dózissal kezeltek csoportjában 9,5±5,6 </w:t>
      </w:r>
      <w:r w:rsidR="00CB73C8" w:rsidRPr="00183B5F">
        <w:rPr>
          <w:szCs w:val="22"/>
          <w:lang w:val="hu-HU"/>
        </w:rPr>
        <w:t>mikrogramm</w:t>
      </w:r>
      <w:r w:rsidRPr="00183B5F">
        <w:rPr>
          <w:szCs w:val="22"/>
          <w:lang w:val="hu-HU"/>
        </w:rPr>
        <w:t>/ml, míg az Alacsony dózissal kezelteknél 3,5±2,2 </w:t>
      </w:r>
      <w:r w:rsidR="00CB73C8" w:rsidRPr="00183B5F">
        <w:rPr>
          <w:szCs w:val="22"/>
          <w:lang w:val="hu-HU"/>
        </w:rPr>
        <w:t>mikrogramm</w:t>
      </w:r>
      <w:r w:rsidRPr="00183B5F">
        <w:rPr>
          <w:szCs w:val="22"/>
          <w:lang w:val="hu-HU"/>
        </w:rPr>
        <w:t>/ml volt. Az átlagos maradék koncentráció fennmaradt azoknál a betegeknél, akik kéthetenkénti adalimumab-kezelést kaptak az 52. hétig. Azoknál a betegeknél, akiknél a kezelés gyakoriságát kéthetenkéntiről heti egyszerire emelték, az átlagos (±SD) szérum</w:t>
      </w:r>
      <w:r w:rsidR="00CB73C8" w:rsidRPr="00183B5F">
        <w:rPr>
          <w:szCs w:val="22"/>
          <w:lang w:val="hu-HU"/>
        </w:rPr>
        <w:t>-</w:t>
      </w:r>
      <w:r w:rsidRPr="00183B5F">
        <w:rPr>
          <w:szCs w:val="22"/>
          <w:lang w:val="hu-HU"/>
        </w:rPr>
        <w:t>adalimumab-koncentráció az 52. héten 15,3±11,4 </w:t>
      </w:r>
      <w:r w:rsidR="00CB73C8" w:rsidRPr="00183B5F">
        <w:rPr>
          <w:szCs w:val="22"/>
          <w:lang w:val="hu-HU"/>
        </w:rPr>
        <w:t>mikrogramm</w:t>
      </w:r>
      <w:r w:rsidRPr="00183B5F">
        <w:rPr>
          <w:szCs w:val="22"/>
          <w:lang w:val="hu-HU"/>
        </w:rPr>
        <w:t>/ml (40/20 mg hetente), illetve 6,7±3,5 </w:t>
      </w:r>
      <w:r w:rsidR="00CB73C8" w:rsidRPr="00183B5F">
        <w:rPr>
          <w:szCs w:val="22"/>
          <w:lang w:val="hu-HU"/>
        </w:rPr>
        <w:t>mikrogramm</w:t>
      </w:r>
      <w:r w:rsidRPr="00183B5F">
        <w:rPr>
          <w:szCs w:val="22"/>
          <w:lang w:val="hu-HU"/>
        </w:rPr>
        <w:t>/ml (2</w:t>
      </w:r>
      <w:r w:rsidRPr="00183B5F">
        <w:rPr>
          <w:szCs w:val="22"/>
          <w:lang w:val="hu-HU"/>
        </w:rPr>
        <w:t>0/10 mg hetente) volt.</w:t>
      </w:r>
    </w:p>
    <w:p w14:paraId="7158BEC0" w14:textId="77777777" w:rsidR="00366005" w:rsidRPr="00183B5F" w:rsidRDefault="00366005">
      <w:pPr>
        <w:spacing w:line="240" w:lineRule="auto"/>
      </w:pPr>
    </w:p>
    <w:p w14:paraId="749ABC37" w14:textId="77777777" w:rsidR="00366005" w:rsidRPr="00183B5F" w:rsidRDefault="00943743">
      <w:pPr>
        <w:pStyle w:val="EMEANormal"/>
        <w:rPr>
          <w:szCs w:val="22"/>
          <w:lang w:val="hu-HU"/>
        </w:rPr>
      </w:pPr>
      <w:r w:rsidRPr="00183B5F">
        <w:rPr>
          <w:szCs w:val="22"/>
          <w:lang w:val="hu-HU"/>
        </w:rPr>
        <w:t xml:space="preserve">Az adalimumab expozícióját gyermekeknél populációs farmakokinetikai modellezéssel és szimulációval határozták meg egyéb keresztindikációs gyermekgyógyászati betegek (gyermekkori psoriasis, juvenilis idiopathiás arthritis, gyermekkori Crohn-betegség és </w:t>
      </w:r>
      <w:r w:rsidR="00677908" w:rsidRPr="00183B5F">
        <w:rPr>
          <w:szCs w:val="22"/>
          <w:lang w:val="hu-HU"/>
        </w:rPr>
        <w:t>enthesitis-asszociált</w:t>
      </w:r>
      <w:r w:rsidRPr="00183B5F">
        <w:rPr>
          <w:szCs w:val="22"/>
          <w:lang w:val="hu-HU"/>
        </w:rPr>
        <w:t xml:space="preserve"> arthritis) farmakokinetikája alapján. Nem állnak rendelkezésre klinikai expozíciós adatok a telítő dózis 6 évnél fiatalabb gyermekeknél történő alkalmazásáról. A várható expozíció alapján metotrexát hiányában a telítő dózis a szisztémás expozíció kezdeti növekedéséhez vezethet.</w:t>
      </w:r>
    </w:p>
    <w:p w14:paraId="6F337C8B" w14:textId="77777777" w:rsidR="00366005" w:rsidRPr="00183B5F" w:rsidRDefault="00366005">
      <w:pPr>
        <w:pStyle w:val="EMEANormal"/>
        <w:rPr>
          <w:szCs w:val="22"/>
          <w:lang w:val="hu-HU"/>
        </w:rPr>
      </w:pPr>
    </w:p>
    <w:p w14:paraId="253DD65C" w14:textId="77777777" w:rsidR="00366005" w:rsidRPr="00183B5F" w:rsidRDefault="00943743" w:rsidP="0009469D">
      <w:pPr>
        <w:pStyle w:val="EMEANormal"/>
        <w:rPr>
          <w:szCs w:val="22"/>
          <w:u w:val="single"/>
          <w:lang w:val="hu-HU"/>
        </w:rPr>
      </w:pPr>
      <w:r w:rsidRPr="00183B5F">
        <w:rPr>
          <w:szCs w:val="22"/>
          <w:u w:val="single"/>
          <w:lang w:val="hu-HU"/>
        </w:rPr>
        <w:t>Dózis-hatás összefüggés gyermek</w:t>
      </w:r>
      <w:r w:rsidR="00FD08D3" w:rsidRPr="00183B5F">
        <w:rPr>
          <w:szCs w:val="22"/>
          <w:u w:val="single"/>
          <w:lang w:val="hu-HU"/>
        </w:rPr>
        <w:t>eknél és serdülőknél</w:t>
      </w:r>
    </w:p>
    <w:p w14:paraId="5055569F" w14:textId="77777777" w:rsidR="00FC288C" w:rsidRPr="00183B5F" w:rsidRDefault="00FC288C" w:rsidP="0009469D">
      <w:pPr>
        <w:pStyle w:val="EMEANormal"/>
        <w:rPr>
          <w:szCs w:val="22"/>
          <w:lang w:val="hu-HU"/>
        </w:rPr>
      </w:pPr>
    </w:p>
    <w:p w14:paraId="74E8EB60" w14:textId="77777777" w:rsidR="00366005" w:rsidRPr="00183B5F" w:rsidRDefault="00943743">
      <w:pPr>
        <w:spacing w:line="240" w:lineRule="auto"/>
      </w:pPr>
      <w:r w:rsidRPr="00183B5F">
        <w:t xml:space="preserve">JIA-ban (pJIA és ERA) szenvedő betegeknél végzett klinikai vizsgálati adatok alapján állapították meg a dózis-hatás összefüggést a plazmakoncentrációk és a Pediátriai ACR 50 válasz között. Az adalimumab látszólagos </w:t>
      </w:r>
      <w:r w:rsidR="000C5B43" w:rsidRPr="00183B5F">
        <w:t>plazma</w:t>
      </w:r>
      <w:r w:rsidRPr="00183B5F">
        <w:t>koncentrációja, ami a Pediátriai ACR 50 válasz maximális valószínűsége felének eléréséhez szükséges (EC50)</w:t>
      </w:r>
      <w:r w:rsidR="003331BF" w:rsidRPr="00183B5F">
        <w:t>,</w:t>
      </w:r>
      <w:r w:rsidRPr="00183B5F">
        <w:t xml:space="preserve"> 3 </w:t>
      </w:r>
      <w:r w:rsidR="00CB73C8" w:rsidRPr="00183B5F">
        <w:t>mikrogramm</w:t>
      </w:r>
      <w:r w:rsidRPr="00183B5F">
        <w:t>/ml (95%</w:t>
      </w:r>
      <w:r w:rsidR="003331BF" w:rsidRPr="00183B5F">
        <w:noBreakHyphen/>
        <w:t>os</w:t>
      </w:r>
      <w:r w:rsidRPr="00183B5F">
        <w:t xml:space="preserve"> CI: 1</w:t>
      </w:r>
      <w:r w:rsidRPr="00183B5F">
        <w:noBreakHyphen/>
        <w:t>6 </w:t>
      </w:r>
      <w:r w:rsidR="00CB73C8" w:rsidRPr="00183B5F">
        <w:t>mikrogramm</w:t>
      </w:r>
      <w:r w:rsidRPr="00183B5F">
        <w:t>/ml) volt.</w:t>
      </w:r>
    </w:p>
    <w:p w14:paraId="269AA502" w14:textId="77777777" w:rsidR="00366005" w:rsidRPr="00183B5F" w:rsidRDefault="00366005">
      <w:pPr>
        <w:autoSpaceDE w:val="0"/>
        <w:autoSpaceDN w:val="0"/>
        <w:adjustRightInd w:val="0"/>
        <w:spacing w:line="240" w:lineRule="auto"/>
      </w:pPr>
    </w:p>
    <w:p w14:paraId="15B8FD32" w14:textId="77777777" w:rsidR="00366005" w:rsidRPr="00183B5F" w:rsidRDefault="00943743">
      <w:pPr>
        <w:autoSpaceDE w:val="0"/>
        <w:autoSpaceDN w:val="0"/>
        <w:adjustRightInd w:val="0"/>
        <w:spacing w:line="240" w:lineRule="auto"/>
      </w:pPr>
      <w:r w:rsidRPr="00183B5F">
        <w:t xml:space="preserve">Az adalimumab koncentrációja és hatásossága közötti dózis-hatás összefüggést a súlyos, krónikus plakkos psoriasisban szenvedő gyermekeknél a PASI 75 és a PGA </w:t>
      </w:r>
      <w:r w:rsidR="00F23D70" w:rsidRPr="00183B5F">
        <w:t xml:space="preserve">szerinti </w:t>
      </w:r>
      <w:r w:rsidRPr="00183B5F">
        <w:t xml:space="preserve">tiszta vagy minimális értékre vonatkozóan állapították meg. A </w:t>
      </w:r>
      <w:r w:rsidRPr="00183B5F">
        <w:rPr>
          <w:szCs w:val="22"/>
        </w:rPr>
        <w:t xml:space="preserve">PASI 75 és PGA </w:t>
      </w:r>
      <w:r w:rsidR="00F23D70" w:rsidRPr="00183B5F">
        <w:rPr>
          <w:szCs w:val="22"/>
        </w:rPr>
        <w:t xml:space="preserve">szerinti </w:t>
      </w:r>
      <w:r w:rsidRPr="00183B5F">
        <w:rPr>
          <w:szCs w:val="22"/>
        </w:rPr>
        <w:t xml:space="preserve">tiszta vagy minimális érték emelkedett </w:t>
      </w:r>
      <w:r w:rsidR="00C34634" w:rsidRPr="00183B5F">
        <w:rPr>
          <w:szCs w:val="22"/>
        </w:rPr>
        <w:t xml:space="preserve">a </w:t>
      </w:r>
      <w:r w:rsidRPr="00183B5F">
        <w:rPr>
          <w:szCs w:val="22"/>
        </w:rPr>
        <w:t>növekvő adalimumab-koncentráció</w:t>
      </w:r>
      <w:r w:rsidR="000C5B43" w:rsidRPr="00183B5F">
        <w:rPr>
          <w:szCs w:val="22"/>
        </w:rPr>
        <w:t>kkal</w:t>
      </w:r>
      <w:r w:rsidRPr="00183B5F">
        <w:rPr>
          <w:szCs w:val="22"/>
        </w:rPr>
        <w:t>, mindkettő hasonló látszólagos EC50 értékkel, ami hozzávetőlegesen 4,5 </w:t>
      </w:r>
      <w:r w:rsidR="00CB73C8" w:rsidRPr="00183B5F">
        <w:rPr>
          <w:szCs w:val="22"/>
        </w:rPr>
        <w:t>mikrogramm</w:t>
      </w:r>
      <w:r w:rsidRPr="00183B5F">
        <w:rPr>
          <w:szCs w:val="22"/>
        </w:rPr>
        <w:t>/ml (95%</w:t>
      </w:r>
      <w:r w:rsidR="003331BF" w:rsidRPr="00183B5F">
        <w:rPr>
          <w:szCs w:val="22"/>
        </w:rPr>
        <w:noBreakHyphen/>
        <w:t>os</w:t>
      </w:r>
      <w:r w:rsidRPr="00183B5F">
        <w:rPr>
          <w:szCs w:val="22"/>
        </w:rPr>
        <w:t xml:space="preserve"> CI: 0,4-47,6 illetve 1,9-10,5) volt.</w:t>
      </w:r>
    </w:p>
    <w:p w14:paraId="74D614DE" w14:textId="77777777" w:rsidR="00366005" w:rsidRPr="00183B5F" w:rsidRDefault="00366005">
      <w:pPr>
        <w:autoSpaceDE w:val="0"/>
        <w:autoSpaceDN w:val="0"/>
        <w:adjustRightInd w:val="0"/>
        <w:spacing w:line="240" w:lineRule="auto"/>
      </w:pPr>
    </w:p>
    <w:p w14:paraId="53EB8135" w14:textId="77777777" w:rsidR="00366005" w:rsidRPr="00183B5F" w:rsidRDefault="00943743">
      <w:pPr>
        <w:autoSpaceDE w:val="0"/>
        <w:autoSpaceDN w:val="0"/>
        <w:adjustRightInd w:val="0"/>
        <w:spacing w:line="240" w:lineRule="auto"/>
        <w:rPr>
          <w:u w:val="single"/>
        </w:rPr>
      </w:pPr>
      <w:r w:rsidRPr="00183B5F">
        <w:rPr>
          <w:u w:val="single"/>
        </w:rPr>
        <w:t>Felnőttek</w:t>
      </w:r>
    </w:p>
    <w:p w14:paraId="0CC8B223" w14:textId="77777777" w:rsidR="00366005" w:rsidRPr="00183B5F" w:rsidRDefault="00366005">
      <w:pPr>
        <w:autoSpaceDE w:val="0"/>
        <w:autoSpaceDN w:val="0"/>
        <w:adjustRightInd w:val="0"/>
        <w:spacing w:line="240" w:lineRule="auto"/>
      </w:pPr>
    </w:p>
    <w:p w14:paraId="0A66A111" w14:textId="77777777" w:rsidR="00366005" w:rsidRPr="00183B5F" w:rsidRDefault="00943743">
      <w:pPr>
        <w:keepNext/>
        <w:spacing w:line="240" w:lineRule="auto"/>
        <w:rPr>
          <w:szCs w:val="22"/>
        </w:rPr>
      </w:pPr>
      <w:r w:rsidRPr="00183B5F">
        <w:rPr>
          <w:szCs w:val="22"/>
        </w:rPr>
        <w:t>40 mg adag egyszeri subcutan beadását követően az adalimumab felszívódása és eloszlása lassú volt, a szérumban a csúcskoncentrációt csak a beadást követő 5. napon érte el. Az adalimumab átlagos abszolút biohasznosulása, 40 mg adalimumab subcutan beadását követően, három vizsgálat eredményei alapján 64% volt. 0,25 mg</w:t>
      </w:r>
      <w:r w:rsidR="00127A0B" w:rsidRPr="00183B5F">
        <w:rPr>
          <w:szCs w:val="22"/>
        </w:rPr>
        <w:t>/ttkg</w:t>
      </w:r>
      <w:r w:rsidRPr="00183B5F">
        <w:rPr>
          <w:szCs w:val="22"/>
        </w:rPr>
        <w:noBreakHyphen/>
        <w:t>tól 10 mg</w:t>
      </w:r>
      <w:r w:rsidR="00127A0B" w:rsidRPr="00183B5F">
        <w:rPr>
          <w:szCs w:val="22"/>
        </w:rPr>
        <w:t>/ttkg</w:t>
      </w:r>
      <w:r w:rsidRPr="00183B5F">
        <w:rPr>
          <w:szCs w:val="22"/>
        </w:rPr>
        <w:noBreakHyphen/>
        <w:t>ig terjedő adag egyszeri intravénás beadását követően a szérumkoncentráció az adaggal részarányos volt. 0,5 mg</w:t>
      </w:r>
      <w:r w:rsidR="00127A0B" w:rsidRPr="00183B5F">
        <w:rPr>
          <w:szCs w:val="22"/>
        </w:rPr>
        <w:t>/ttkg</w:t>
      </w:r>
      <w:r w:rsidRPr="00183B5F">
        <w:rPr>
          <w:szCs w:val="22"/>
        </w:rPr>
        <w:noBreakHyphen/>
        <w:t>os adag (~40 mg) beadását követően, a clearence 11 és 15 ml/óra között, az eloszlási térfogat (V</w:t>
      </w:r>
      <w:r w:rsidRPr="00183B5F">
        <w:rPr>
          <w:szCs w:val="22"/>
          <w:vertAlign w:val="subscript"/>
        </w:rPr>
        <w:t>ss</w:t>
      </w:r>
      <w:r w:rsidRPr="00183B5F">
        <w:rPr>
          <w:szCs w:val="22"/>
        </w:rPr>
        <w:t>) 5</w:t>
      </w:r>
      <w:r w:rsidRPr="00183B5F">
        <w:rPr>
          <w:szCs w:val="22"/>
        </w:rPr>
        <w:noBreakHyphen/>
        <w:t xml:space="preserve">6 liter között változott, és az átlagos </w:t>
      </w:r>
      <w:r w:rsidR="003331BF" w:rsidRPr="00183B5F">
        <w:rPr>
          <w:szCs w:val="22"/>
        </w:rPr>
        <w:t>terminális felezési idő</w:t>
      </w:r>
      <w:r w:rsidRPr="00183B5F">
        <w:rPr>
          <w:szCs w:val="22"/>
        </w:rPr>
        <w:t xml:space="preserve"> megközelítőleg két hét volt. Az adalimumab synovialis folyadékban mérhető koncentrációja néhány rheumatoid arthritises beteg vizsgálata alapján, a szérumkoncentráció 31</w:t>
      </w:r>
      <w:r w:rsidRPr="00183B5F">
        <w:rPr>
          <w:szCs w:val="22"/>
        </w:rPr>
        <w:noBreakHyphen/>
        <w:t>96%</w:t>
      </w:r>
      <w:r w:rsidRPr="00183B5F">
        <w:rPr>
          <w:szCs w:val="22"/>
        </w:rPr>
        <w:noBreakHyphen/>
        <w:t>a volt.</w:t>
      </w:r>
    </w:p>
    <w:p w14:paraId="1E3DAD12" w14:textId="77777777" w:rsidR="00366005" w:rsidRPr="00183B5F" w:rsidRDefault="00366005">
      <w:pPr>
        <w:spacing w:line="240" w:lineRule="auto"/>
        <w:rPr>
          <w:szCs w:val="22"/>
        </w:rPr>
      </w:pPr>
    </w:p>
    <w:p w14:paraId="3F253F3D" w14:textId="77777777" w:rsidR="00366005" w:rsidRPr="00183B5F" w:rsidRDefault="00943743">
      <w:pPr>
        <w:spacing w:line="240" w:lineRule="auto"/>
        <w:rPr>
          <w:szCs w:val="22"/>
        </w:rPr>
      </w:pPr>
      <w:r w:rsidRPr="00183B5F">
        <w:rPr>
          <w:szCs w:val="22"/>
        </w:rPr>
        <w:t>Felnőtt rheumatoid arthritises (RA), metotrexáttal nem kezelt betegeknek minden második héten subcutan beadott 40 mg adalimumab után az átlagos legalacsonyabb dinamikus egyensúlyi állapotban mért koncentráció megközelítőleg 5 </w:t>
      </w:r>
      <w:r w:rsidR="00CB73C8" w:rsidRPr="00183B5F">
        <w:rPr>
          <w:szCs w:val="22"/>
        </w:rPr>
        <w:t>mikrogramm</w:t>
      </w:r>
      <w:r w:rsidRPr="00183B5F">
        <w:rPr>
          <w:szCs w:val="22"/>
        </w:rPr>
        <w:t>/ml volt, míg metotrexáttal együtt alkalmazva ez az érték 8</w:t>
      </w:r>
      <w:r w:rsidRPr="00183B5F">
        <w:rPr>
          <w:szCs w:val="22"/>
        </w:rPr>
        <w:noBreakHyphen/>
        <w:t>9 </w:t>
      </w:r>
      <w:r w:rsidR="00CB73C8" w:rsidRPr="00183B5F">
        <w:rPr>
          <w:szCs w:val="22"/>
        </w:rPr>
        <w:t>mikrogramm</w:t>
      </w:r>
      <w:r w:rsidRPr="00183B5F">
        <w:rPr>
          <w:szCs w:val="22"/>
        </w:rPr>
        <w:t xml:space="preserve">/ml volt. A adalimumab dinamikus egyensúlyi állapotban mért </w:t>
      </w:r>
      <w:r w:rsidR="003331BF" w:rsidRPr="00183B5F">
        <w:rPr>
          <w:szCs w:val="22"/>
        </w:rPr>
        <w:t xml:space="preserve">minimális </w:t>
      </w:r>
      <w:r w:rsidRPr="00183B5F">
        <w:rPr>
          <w:szCs w:val="22"/>
        </w:rPr>
        <w:t>szérumkoncentrációja csaknem részarányosan nőtt kéthetenként, illetve hetenként subcutan adott 20, 40 illetve 80 mg dózis adagolásával.</w:t>
      </w:r>
    </w:p>
    <w:p w14:paraId="12F7EDBD" w14:textId="77777777" w:rsidR="003331BF" w:rsidRPr="00183B5F" w:rsidRDefault="003331BF">
      <w:pPr>
        <w:spacing w:line="240" w:lineRule="auto"/>
        <w:rPr>
          <w:szCs w:val="22"/>
        </w:rPr>
      </w:pPr>
    </w:p>
    <w:p w14:paraId="4C6838B0" w14:textId="77777777" w:rsidR="00366005" w:rsidRPr="00183B5F" w:rsidRDefault="00943743">
      <w:pPr>
        <w:spacing w:line="240" w:lineRule="auto"/>
        <w:rPr>
          <w:szCs w:val="22"/>
        </w:rPr>
      </w:pPr>
      <w:r w:rsidRPr="00183B5F">
        <w:rPr>
          <w:szCs w:val="22"/>
        </w:rPr>
        <w:t>Psoriasisos felnőtt betegek esetében a legalacsonyabb egyensúlyi plazmakoncentráció átlagértéke 5 </w:t>
      </w:r>
      <w:r w:rsidR="00A033CB" w:rsidRPr="00183B5F">
        <w:rPr>
          <w:szCs w:val="22"/>
        </w:rPr>
        <w:t>mikrogramm</w:t>
      </w:r>
      <w:r w:rsidRPr="00183B5F">
        <w:rPr>
          <w:szCs w:val="22"/>
        </w:rPr>
        <w:t>/ml volt a kéthetente 40 mg adalimumabbal végzett monoterápiás kezelés esetén.</w:t>
      </w:r>
    </w:p>
    <w:p w14:paraId="55538749" w14:textId="77777777" w:rsidR="00366005" w:rsidRPr="00183B5F" w:rsidRDefault="00366005">
      <w:pPr>
        <w:autoSpaceDE w:val="0"/>
        <w:autoSpaceDN w:val="0"/>
        <w:adjustRightInd w:val="0"/>
        <w:spacing w:line="240" w:lineRule="auto"/>
      </w:pPr>
    </w:p>
    <w:p w14:paraId="0079E313" w14:textId="77777777" w:rsidR="00366005" w:rsidRPr="00183B5F" w:rsidRDefault="00943743">
      <w:pPr>
        <w:spacing w:line="240" w:lineRule="auto"/>
        <w:rPr>
          <w:szCs w:val="22"/>
        </w:rPr>
      </w:pPr>
      <w:r w:rsidRPr="00183B5F">
        <w:rPr>
          <w:szCs w:val="22"/>
        </w:rPr>
        <w:t>Crohn</w:t>
      </w:r>
      <w:r w:rsidRPr="00183B5F">
        <w:rPr>
          <w:szCs w:val="22"/>
        </w:rPr>
        <w:noBreakHyphen/>
      </w:r>
      <w:r w:rsidRPr="00183B5F">
        <w:rPr>
          <w:szCs w:val="22"/>
        </w:rPr>
        <w:t>betegségben szenvedő betegeknél a Humira 80 mg</w:t>
      </w:r>
      <w:r w:rsidRPr="00183B5F">
        <w:rPr>
          <w:szCs w:val="22"/>
        </w:rPr>
        <w:noBreakHyphen/>
        <w:t>os telítő adagja a 0. héten, majd 40 mg a 2. héten hozzávetőlegesen 5,5 </w:t>
      </w:r>
      <w:r w:rsidR="00A033CB" w:rsidRPr="00183B5F">
        <w:rPr>
          <w:szCs w:val="22"/>
        </w:rPr>
        <w:t>mikrogramm</w:t>
      </w:r>
      <w:r w:rsidRPr="00183B5F">
        <w:rPr>
          <w:szCs w:val="22"/>
        </w:rPr>
        <w:t>/ml-es minimális adalimumab</w:t>
      </w:r>
      <w:r w:rsidR="00FD08D3" w:rsidRPr="00183B5F">
        <w:rPr>
          <w:szCs w:val="22"/>
        </w:rPr>
        <w:t>-</w:t>
      </w:r>
      <w:r w:rsidRPr="00183B5F">
        <w:rPr>
          <w:szCs w:val="22"/>
        </w:rPr>
        <w:t>szérumszintet eredményez az indukció időszakában. A 0. héten 160 mg</w:t>
      </w:r>
      <w:r w:rsidR="00E5381A" w:rsidRPr="00183B5F">
        <w:rPr>
          <w:szCs w:val="22"/>
        </w:rPr>
        <w:noBreakHyphen/>
      </w:r>
      <w:r w:rsidRPr="00183B5F">
        <w:rPr>
          <w:szCs w:val="22"/>
        </w:rPr>
        <w:t>os telítő dózist, majd a 2. héten 80 mg Humira</w:t>
      </w:r>
      <w:r w:rsidRPr="00183B5F">
        <w:rPr>
          <w:szCs w:val="22"/>
        </w:rPr>
        <w:noBreakHyphen/>
        <w:t>t adva az adalimumab minimális szérumszintje kb. 12 </w:t>
      </w:r>
      <w:r w:rsidR="00A033CB" w:rsidRPr="00183B5F">
        <w:rPr>
          <w:szCs w:val="22"/>
        </w:rPr>
        <w:t>mikrogramm</w:t>
      </w:r>
      <w:r w:rsidRPr="00183B5F">
        <w:rPr>
          <w:szCs w:val="22"/>
        </w:rPr>
        <w:t>/ml-ot ér el az indukció időszakában. Megközelítőleg 7 </w:t>
      </w:r>
      <w:r w:rsidR="00A033CB" w:rsidRPr="00183B5F">
        <w:rPr>
          <w:szCs w:val="22"/>
        </w:rPr>
        <w:t>mikrogramm</w:t>
      </w:r>
      <w:r w:rsidRPr="00183B5F">
        <w:rPr>
          <w:szCs w:val="22"/>
        </w:rPr>
        <w:t>/ml egyensúlyi minimális szérumszintet mértek olyan Crohn</w:t>
      </w:r>
      <w:r w:rsidRPr="00183B5F">
        <w:rPr>
          <w:szCs w:val="22"/>
        </w:rPr>
        <w:noBreakHyphen/>
        <w:t>betegségben szenvedő betegeknél, akik minden második hé</w:t>
      </w:r>
      <w:r w:rsidRPr="00183B5F">
        <w:rPr>
          <w:szCs w:val="22"/>
        </w:rPr>
        <w:t>ten 40 mg Humira</w:t>
      </w:r>
      <w:r w:rsidRPr="00183B5F">
        <w:rPr>
          <w:szCs w:val="22"/>
        </w:rPr>
        <w:noBreakHyphen/>
        <w:t>t kaptak fenntartó adagként.</w:t>
      </w:r>
    </w:p>
    <w:p w14:paraId="5F09046D" w14:textId="77777777" w:rsidR="00366005" w:rsidRPr="00183B5F" w:rsidRDefault="00366005">
      <w:pPr>
        <w:spacing w:line="240" w:lineRule="auto"/>
        <w:rPr>
          <w:szCs w:val="22"/>
        </w:rPr>
      </w:pPr>
    </w:p>
    <w:p w14:paraId="77FBB019" w14:textId="77777777" w:rsidR="00366005" w:rsidRPr="00183B5F" w:rsidRDefault="00943743">
      <w:pPr>
        <w:spacing w:line="240" w:lineRule="auto"/>
        <w:rPr>
          <w:szCs w:val="22"/>
        </w:rPr>
      </w:pPr>
      <w:r w:rsidRPr="00183B5F">
        <w:rPr>
          <w:szCs w:val="22"/>
        </w:rPr>
        <w:t>Uveitisben szenvedő felnőtt betegeknél a 80 mg</w:t>
      </w:r>
      <w:r w:rsidRPr="00183B5F">
        <w:rPr>
          <w:szCs w:val="22"/>
        </w:rPr>
        <w:noBreakHyphen/>
      </w:r>
      <w:r w:rsidRPr="00183B5F">
        <w:rPr>
          <w:szCs w:val="22"/>
        </w:rPr>
        <w:t>os telítő adag a 0. héten, melyet minden második héten beadott 40 mg követ az 1. héttől kezdve, hozzávetőlegesen 8</w:t>
      </w:r>
      <w:r w:rsidRPr="00183B5F">
        <w:rPr>
          <w:szCs w:val="22"/>
        </w:rPr>
        <w:noBreakHyphen/>
        <w:t>10 </w:t>
      </w:r>
      <w:r w:rsidR="00A033CB" w:rsidRPr="00183B5F">
        <w:rPr>
          <w:szCs w:val="22"/>
        </w:rPr>
        <w:t>mikrogramm</w:t>
      </w:r>
      <w:r w:rsidRPr="00183B5F">
        <w:rPr>
          <w:szCs w:val="22"/>
        </w:rPr>
        <w:t>/ml átlagos egyensúlyi koncentrációt eredményezett.</w:t>
      </w:r>
    </w:p>
    <w:p w14:paraId="0D9FA6F8" w14:textId="77777777" w:rsidR="00E745E9" w:rsidRPr="00183B5F" w:rsidRDefault="00E745E9">
      <w:pPr>
        <w:spacing w:line="240" w:lineRule="auto"/>
        <w:rPr>
          <w:szCs w:val="22"/>
        </w:rPr>
      </w:pPr>
    </w:p>
    <w:p w14:paraId="40D5438C" w14:textId="77777777" w:rsidR="00E745E9" w:rsidRPr="00183B5F" w:rsidRDefault="00943743">
      <w:pPr>
        <w:spacing w:line="240" w:lineRule="auto"/>
        <w:rPr>
          <w:szCs w:val="22"/>
        </w:rPr>
      </w:pPr>
      <w:r w:rsidRPr="00183B5F">
        <w:rPr>
          <w:szCs w:val="22"/>
        </w:rPr>
        <w:t>A populációs farmakokinetikai és farmakokinetikai/farm</w:t>
      </w:r>
      <w:r w:rsidR="00B93237" w:rsidRPr="00183B5F">
        <w:rPr>
          <w:szCs w:val="22"/>
        </w:rPr>
        <w:t>akodinámás</w:t>
      </w:r>
      <w:r w:rsidRPr="00183B5F">
        <w:rPr>
          <w:szCs w:val="22"/>
        </w:rPr>
        <w:t xml:space="preserve"> modellezés és szimuláció </w:t>
      </w:r>
      <w:r w:rsidR="00FB57E7" w:rsidRPr="00183B5F">
        <w:rPr>
          <w:szCs w:val="22"/>
        </w:rPr>
        <w:t>hasonló</w:t>
      </w:r>
      <w:r w:rsidR="008C64B2" w:rsidRPr="00183B5F">
        <w:rPr>
          <w:szCs w:val="22"/>
        </w:rPr>
        <w:t xml:space="preserve"> </w:t>
      </w:r>
      <w:r w:rsidRPr="00183B5F">
        <w:rPr>
          <w:szCs w:val="22"/>
        </w:rPr>
        <w:t>adalimumab</w:t>
      </w:r>
      <w:r w:rsidR="000E46E0" w:rsidRPr="00183B5F">
        <w:rPr>
          <w:szCs w:val="22"/>
        </w:rPr>
        <w:noBreakHyphen/>
      </w:r>
      <w:r w:rsidRPr="00183B5F">
        <w:rPr>
          <w:szCs w:val="22"/>
        </w:rPr>
        <w:t>expozíció</w:t>
      </w:r>
      <w:r w:rsidR="00FB57E7" w:rsidRPr="00183B5F">
        <w:rPr>
          <w:szCs w:val="22"/>
        </w:rPr>
        <w:t>t</w:t>
      </w:r>
      <w:r w:rsidRPr="00183B5F">
        <w:rPr>
          <w:szCs w:val="22"/>
        </w:rPr>
        <w:t xml:space="preserve"> és hatásosság</w:t>
      </w:r>
      <w:r w:rsidR="00FB57E7" w:rsidRPr="00183B5F">
        <w:rPr>
          <w:szCs w:val="22"/>
        </w:rPr>
        <w:t>ot</w:t>
      </w:r>
      <w:r w:rsidR="008C64B2" w:rsidRPr="00183B5F">
        <w:rPr>
          <w:szCs w:val="22"/>
        </w:rPr>
        <w:t xml:space="preserve"> </w:t>
      </w:r>
      <w:r w:rsidR="00FB57E7" w:rsidRPr="00183B5F">
        <w:rPr>
          <w:szCs w:val="22"/>
        </w:rPr>
        <w:t>prognosztizált</w:t>
      </w:r>
      <w:r w:rsidR="00B85F24" w:rsidRPr="00183B5F">
        <w:rPr>
          <w:szCs w:val="22"/>
        </w:rPr>
        <w:t xml:space="preserve"> azoknál a betegeknél, akiket </w:t>
      </w:r>
      <w:r w:rsidR="00D05CAF" w:rsidRPr="00183B5F">
        <w:rPr>
          <w:szCs w:val="22"/>
        </w:rPr>
        <w:t>minden második héten</w:t>
      </w:r>
      <w:r w:rsidR="00B85F24" w:rsidRPr="00183B5F">
        <w:rPr>
          <w:szCs w:val="22"/>
        </w:rPr>
        <w:t xml:space="preserve"> 80 mg</w:t>
      </w:r>
      <w:r w:rsidR="000E46E0" w:rsidRPr="00183B5F">
        <w:rPr>
          <w:szCs w:val="22"/>
        </w:rPr>
        <w:noBreakHyphen/>
      </w:r>
      <w:r w:rsidR="003C567A" w:rsidRPr="00183B5F">
        <w:rPr>
          <w:szCs w:val="22"/>
        </w:rPr>
        <w:t>m</w:t>
      </w:r>
      <w:r w:rsidR="00B85F24" w:rsidRPr="00183B5F">
        <w:rPr>
          <w:szCs w:val="22"/>
        </w:rPr>
        <w:t>al kezeltek</w:t>
      </w:r>
      <w:r w:rsidR="00FB57E7" w:rsidRPr="00183B5F">
        <w:rPr>
          <w:szCs w:val="22"/>
        </w:rPr>
        <w:t>, és azoknál</w:t>
      </w:r>
      <w:r w:rsidR="00B85F24" w:rsidRPr="00183B5F">
        <w:rPr>
          <w:szCs w:val="22"/>
        </w:rPr>
        <w:t>, akiket hetente 40 mg</w:t>
      </w:r>
      <w:r w:rsidR="000800D2" w:rsidRPr="00183B5F">
        <w:rPr>
          <w:szCs w:val="22"/>
        </w:rPr>
        <w:noBreakHyphen/>
      </w:r>
      <w:r w:rsidR="003C567A" w:rsidRPr="00183B5F">
        <w:rPr>
          <w:szCs w:val="22"/>
        </w:rPr>
        <w:t>m</w:t>
      </w:r>
      <w:r w:rsidR="00B85F24" w:rsidRPr="00183B5F">
        <w:rPr>
          <w:szCs w:val="22"/>
        </w:rPr>
        <w:t xml:space="preserve">al kezeltek </w:t>
      </w:r>
      <w:r w:rsidR="002A3882" w:rsidRPr="00183B5F">
        <w:rPr>
          <w:szCs w:val="22"/>
        </w:rPr>
        <w:t xml:space="preserve">(ideértve a </w:t>
      </w:r>
      <w:r w:rsidR="000800D2" w:rsidRPr="00183B5F">
        <w:rPr>
          <w:szCs w:val="22"/>
        </w:rPr>
        <w:t>rheumatoid arthritisben, hidradenitis suppurativában, colitis ulcerosában, Crohn-betegségben vagy psoriasisban</w:t>
      </w:r>
      <w:r w:rsidR="00D05CAF" w:rsidRPr="00183B5F">
        <w:rPr>
          <w:szCs w:val="22"/>
        </w:rPr>
        <w:t xml:space="preserve"> szenvedő felnőtt</w:t>
      </w:r>
      <w:r w:rsidR="000800D2" w:rsidRPr="00183B5F">
        <w:rPr>
          <w:szCs w:val="22"/>
        </w:rPr>
        <w:t xml:space="preserve"> betegeket</w:t>
      </w:r>
      <w:r w:rsidR="002A3882" w:rsidRPr="00183B5F">
        <w:rPr>
          <w:szCs w:val="22"/>
        </w:rPr>
        <w:t>, serdülőkori HS-ben szenvedő betegeket és legalább 40 kg testtömegű</w:t>
      </w:r>
      <w:r w:rsidR="000800D2" w:rsidRPr="00183B5F">
        <w:rPr>
          <w:szCs w:val="22"/>
        </w:rPr>
        <w:t>,</w:t>
      </w:r>
      <w:r w:rsidR="002A3882" w:rsidRPr="00183B5F">
        <w:rPr>
          <w:szCs w:val="22"/>
        </w:rPr>
        <w:t xml:space="preserve"> </w:t>
      </w:r>
      <w:r w:rsidR="00A47E6E" w:rsidRPr="00183B5F">
        <w:rPr>
          <w:szCs w:val="22"/>
        </w:rPr>
        <w:t>Crohn</w:t>
      </w:r>
      <w:r w:rsidR="002A3882" w:rsidRPr="00183B5F">
        <w:rPr>
          <w:szCs w:val="22"/>
        </w:rPr>
        <w:t>-b</w:t>
      </w:r>
      <w:r w:rsidR="00D05CAF" w:rsidRPr="00183B5F">
        <w:rPr>
          <w:szCs w:val="22"/>
        </w:rPr>
        <w:t>etegségben szenvedő gyermekeket</w:t>
      </w:r>
      <w:r w:rsidR="00FB57E7" w:rsidRPr="00183B5F">
        <w:rPr>
          <w:szCs w:val="22"/>
        </w:rPr>
        <w:t xml:space="preserve"> is</w:t>
      </w:r>
      <w:r w:rsidR="002A3882" w:rsidRPr="00183B5F">
        <w:rPr>
          <w:szCs w:val="22"/>
        </w:rPr>
        <w:t>)</w:t>
      </w:r>
      <w:r w:rsidR="00D05CAF" w:rsidRPr="00183B5F">
        <w:rPr>
          <w:szCs w:val="22"/>
        </w:rPr>
        <w:t>.</w:t>
      </w:r>
    </w:p>
    <w:p w14:paraId="508D2853" w14:textId="77777777" w:rsidR="00366005" w:rsidRPr="00183B5F" w:rsidRDefault="00366005">
      <w:pPr>
        <w:spacing w:line="240" w:lineRule="auto"/>
      </w:pPr>
    </w:p>
    <w:p w14:paraId="5250E985" w14:textId="77777777" w:rsidR="00366005" w:rsidRPr="00183B5F" w:rsidRDefault="00943743" w:rsidP="0009469D">
      <w:pPr>
        <w:keepNext/>
        <w:spacing w:line="240" w:lineRule="auto"/>
        <w:rPr>
          <w:szCs w:val="22"/>
          <w:u w:val="single"/>
        </w:rPr>
      </w:pPr>
      <w:r w:rsidRPr="00183B5F">
        <w:rPr>
          <w:szCs w:val="22"/>
          <w:u w:val="single"/>
        </w:rPr>
        <w:t>Elimináció</w:t>
      </w:r>
    </w:p>
    <w:p w14:paraId="051B6657" w14:textId="77777777" w:rsidR="00366005" w:rsidRPr="00183B5F" w:rsidRDefault="00366005" w:rsidP="0009469D">
      <w:pPr>
        <w:keepNext/>
        <w:spacing w:line="240" w:lineRule="auto"/>
        <w:rPr>
          <w:szCs w:val="22"/>
        </w:rPr>
      </w:pPr>
    </w:p>
    <w:p w14:paraId="0731D4FA" w14:textId="77777777" w:rsidR="00366005" w:rsidRPr="00183B5F" w:rsidRDefault="00943743" w:rsidP="0009469D">
      <w:pPr>
        <w:keepNext/>
        <w:spacing w:line="240" w:lineRule="auto"/>
        <w:rPr>
          <w:szCs w:val="22"/>
        </w:rPr>
      </w:pPr>
      <w:r w:rsidRPr="00183B5F">
        <w:rPr>
          <w:szCs w:val="22"/>
        </w:rPr>
        <w:t>Több mint 1300 RA betegen végzett populációs farmakokinetikai vizsgálatokból származó adatok alapján derült ki, hogy a testsúly növekedésével nő az adalimumab-clearence. A testsúlykülönbség korrekciója után úgy látszik, a nemnek és az életkornak minimális hatása van az adalimumab clearence</w:t>
      </w:r>
      <w:r w:rsidRPr="00183B5F">
        <w:rPr>
          <w:szCs w:val="22"/>
        </w:rPr>
        <w:noBreakHyphen/>
        <w:t>ére. A szérumban mérhető, adalimumab</w:t>
      </w:r>
      <w:r w:rsidR="00E5381A" w:rsidRPr="00183B5F">
        <w:rPr>
          <w:szCs w:val="22"/>
        </w:rPr>
        <w:noBreakHyphen/>
      </w:r>
      <w:r w:rsidRPr="00183B5F">
        <w:rPr>
          <w:szCs w:val="22"/>
        </w:rPr>
        <w:t>ellenes antitestekhez (AAA) nem kötődő szabad</w:t>
      </w:r>
      <w:r w:rsidR="003331BF" w:rsidRPr="00183B5F">
        <w:rPr>
          <w:szCs w:val="22"/>
        </w:rPr>
        <w:t xml:space="preserve"> </w:t>
      </w:r>
      <w:r w:rsidRPr="00183B5F">
        <w:rPr>
          <w:szCs w:val="22"/>
        </w:rPr>
        <w:t>adalimumab</w:t>
      </w:r>
      <w:r w:rsidR="00322FDE" w:rsidRPr="00183B5F">
        <w:rPr>
          <w:szCs w:val="22"/>
        </w:rPr>
        <w:t xml:space="preserve"> </w:t>
      </w:r>
      <w:r w:rsidRPr="00183B5F">
        <w:rPr>
          <w:szCs w:val="22"/>
        </w:rPr>
        <w:t>koncentráció</w:t>
      </w:r>
      <w:r w:rsidR="00322FDE" w:rsidRPr="00183B5F">
        <w:rPr>
          <w:szCs w:val="22"/>
        </w:rPr>
        <w:t>ja</w:t>
      </w:r>
      <w:r w:rsidRPr="00183B5F">
        <w:rPr>
          <w:szCs w:val="22"/>
        </w:rPr>
        <w:t xml:space="preserve"> alacsonyabbnak bizonyult olyan betegek esetében, akiknél mérhető volt az AAA szintje.</w:t>
      </w:r>
    </w:p>
    <w:p w14:paraId="1DC4253B" w14:textId="77777777" w:rsidR="00366005" w:rsidRPr="00183B5F" w:rsidRDefault="00366005">
      <w:pPr>
        <w:spacing w:line="240" w:lineRule="auto"/>
      </w:pPr>
    </w:p>
    <w:p w14:paraId="08D51AEF" w14:textId="77777777" w:rsidR="00366005" w:rsidRPr="00183B5F" w:rsidRDefault="00943743">
      <w:pPr>
        <w:spacing w:line="240" w:lineRule="auto"/>
        <w:rPr>
          <w:szCs w:val="22"/>
          <w:u w:val="single"/>
        </w:rPr>
      </w:pPr>
      <w:r w:rsidRPr="00183B5F">
        <w:rPr>
          <w:szCs w:val="22"/>
          <w:u w:val="single"/>
        </w:rPr>
        <w:t>Máj- vagy vesekárosodás</w:t>
      </w:r>
    </w:p>
    <w:p w14:paraId="7276F5C6" w14:textId="77777777" w:rsidR="00366005" w:rsidRPr="00183B5F" w:rsidRDefault="00366005">
      <w:pPr>
        <w:spacing w:line="240" w:lineRule="auto"/>
        <w:rPr>
          <w:szCs w:val="22"/>
        </w:rPr>
      </w:pPr>
    </w:p>
    <w:p w14:paraId="58BF9A8C" w14:textId="77777777" w:rsidR="00366005" w:rsidRPr="00183B5F" w:rsidRDefault="00943743">
      <w:pPr>
        <w:spacing w:line="240" w:lineRule="auto"/>
        <w:rPr>
          <w:szCs w:val="22"/>
        </w:rPr>
      </w:pPr>
      <w:r w:rsidRPr="00183B5F">
        <w:rPr>
          <w:szCs w:val="22"/>
        </w:rPr>
        <w:t>A Humira</w:t>
      </w:r>
      <w:r w:rsidRPr="00183B5F">
        <w:rPr>
          <w:szCs w:val="22"/>
        </w:rPr>
        <w:noBreakHyphen/>
        <w:t>t nem vizsgálták máj- vagy vesekárosodásban szenvedő betegeknél.</w:t>
      </w:r>
    </w:p>
    <w:p w14:paraId="4998E32C" w14:textId="77777777" w:rsidR="00366005" w:rsidRPr="00183B5F" w:rsidRDefault="00366005">
      <w:pPr>
        <w:spacing w:line="240" w:lineRule="auto"/>
      </w:pPr>
    </w:p>
    <w:p w14:paraId="094FE18F" w14:textId="77777777" w:rsidR="00366005" w:rsidRPr="00183B5F" w:rsidRDefault="00943743">
      <w:pPr>
        <w:keepNext/>
        <w:spacing w:line="240" w:lineRule="auto"/>
        <w:rPr>
          <w:b/>
          <w:szCs w:val="22"/>
        </w:rPr>
      </w:pPr>
      <w:r w:rsidRPr="00183B5F">
        <w:rPr>
          <w:b/>
          <w:szCs w:val="22"/>
        </w:rPr>
        <w:t>5.3</w:t>
      </w:r>
      <w:r w:rsidRPr="00183B5F">
        <w:rPr>
          <w:b/>
          <w:szCs w:val="22"/>
        </w:rPr>
        <w:tab/>
        <w:t>A preklinikai biztonságossági vizsgálatok eredményei</w:t>
      </w:r>
    </w:p>
    <w:p w14:paraId="588CE4DE" w14:textId="77777777" w:rsidR="00366005" w:rsidRPr="00183B5F" w:rsidRDefault="00366005">
      <w:pPr>
        <w:keepNext/>
        <w:spacing w:line="240" w:lineRule="auto"/>
        <w:rPr>
          <w:szCs w:val="22"/>
        </w:rPr>
      </w:pPr>
    </w:p>
    <w:p w14:paraId="30350226" w14:textId="77777777" w:rsidR="00366005" w:rsidRPr="00183B5F" w:rsidRDefault="00943743">
      <w:pPr>
        <w:keepNext/>
        <w:spacing w:line="240" w:lineRule="auto"/>
        <w:rPr>
          <w:szCs w:val="22"/>
        </w:rPr>
      </w:pPr>
      <w:r w:rsidRPr="00183B5F">
        <w:rPr>
          <w:szCs w:val="22"/>
        </w:rPr>
        <w:t xml:space="preserve">Egyszeri és ismételt </w:t>
      </w:r>
      <w:r w:rsidR="00322FDE" w:rsidRPr="00183B5F">
        <w:rPr>
          <w:szCs w:val="22"/>
        </w:rPr>
        <w:t xml:space="preserve">adagolású </w:t>
      </w:r>
      <w:r w:rsidRPr="00183B5F">
        <w:rPr>
          <w:szCs w:val="22"/>
        </w:rPr>
        <w:t>dózistoxicitási</w:t>
      </w:r>
      <w:r w:rsidR="00322FDE" w:rsidRPr="00183B5F">
        <w:rPr>
          <w:szCs w:val="22"/>
        </w:rPr>
        <w:t>, valamint</w:t>
      </w:r>
      <w:r w:rsidRPr="00183B5F">
        <w:rPr>
          <w:szCs w:val="22"/>
        </w:rPr>
        <w:t xml:space="preserve"> genotoxicitási vizsgálatok</w:t>
      </w:r>
      <w:r w:rsidR="00322FDE" w:rsidRPr="00183B5F">
        <w:rPr>
          <w:szCs w:val="22"/>
        </w:rPr>
        <w:t>ból származó</w:t>
      </w:r>
      <w:r w:rsidRPr="00183B5F">
        <w:rPr>
          <w:szCs w:val="22"/>
        </w:rPr>
        <w:t xml:space="preserve"> </w:t>
      </w:r>
      <w:r w:rsidR="00322FDE" w:rsidRPr="00183B5F">
        <w:rPr>
          <w:szCs w:val="22"/>
        </w:rPr>
        <w:t xml:space="preserve">nem klinikai jellegű adatok azt igazolták, hogy a készítmény alkalmazásakor humán vonatkozásban </w:t>
      </w:r>
      <w:r w:rsidRPr="00183B5F">
        <w:rPr>
          <w:szCs w:val="22"/>
        </w:rPr>
        <w:t xml:space="preserve">különleges </w:t>
      </w:r>
      <w:r w:rsidR="00322FDE" w:rsidRPr="00183B5F">
        <w:rPr>
          <w:szCs w:val="22"/>
        </w:rPr>
        <w:t>kockázat nem várható</w:t>
      </w:r>
      <w:r w:rsidRPr="00183B5F">
        <w:rPr>
          <w:szCs w:val="22"/>
        </w:rPr>
        <w:t>.</w:t>
      </w:r>
    </w:p>
    <w:p w14:paraId="7CA03C0D" w14:textId="77777777" w:rsidR="00366005" w:rsidRPr="00183B5F" w:rsidRDefault="00366005">
      <w:pPr>
        <w:pStyle w:val="EndnoteText"/>
        <w:tabs>
          <w:tab w:val="clear" w:pos="567"/>
          <w:tab w:val="left" w:pos="708"/>
        </w:tabs>
        <w:suppressAutoHyphens/>
        <w:rPr>
          <w:sz w:val="22"/>
          <w:szCs w:val="22"/>
          <w:lang w:val="hu-HU" w:eastAsia="hu-HU"/>
        </w:rPr>
      </w:pPr>
    </w:p>
    <w:p w14:paraId="2A2CAD2B" w14:textId="77777777" w:rsidR="00366005" w:rsidRPr="00183B5F" w:rsidRDefault="00943743">
      <w:pPr>
        <w:spacing w:line="240" w:lineRule="auto"/>
        <w:rPr>
          <w:szCs w:val="22"/>
        </w:rPr>
      </w:pPr>
      <w:r w:rsidRPr="00183B5F">
        <w:rPr>
          <w:szCs w:val="22"/>
        </w:rPr>
        <w:t xml:space="preserve">Majmokon folytattak vizsgálatot a gyógyszernek az embrionális </w:t>
      </w:r>
      <w:r w:rsidRPr="00183B5F">
        <w:rPr>
          <w:szCs w:val="22"/>
        </w:rPr>
        <w:noBreakHyphen/>
        <w:t xml:space="preserve"> magzati fejlődésre, illetve a perinatalis fejlődésre gyakorolt hatásának felmérésére, aminek során 0</w:t>
      </w:r>
      <w:r w:rsidR="003331BF" w:rsidRPr="00183B5F">
        <w:rPr>
          <w:szCs w:val="22"/>
        </w:rPr>
        <w:t> mg/ttkg</w:t>
      </w:r>
      <w:r w:rsidRPr="00183B5F">
        <w:rPr>
          <w:szCs w:val="22"/>
        </w:rPr>
        <w:t>,</w:t>
      </w:r>
      <w:r w:rsidR="003331BF" w:rsidRPr="00183B5F">
        <w:rPr>
          <w:szCs w:val="22"/>
        </w:rPr>
        <w:t xml:space="preserve"> </w:t>
      </w:r>
      <w:r w:rsidRPr="00183B5F">
        <w:rPr>
          <w:szCs w:val="22"/>
        </w:rPr>
        <w:t>30 mg</w:t>
      </w:r>
      <w:r w:rsidR="00127A0B" w:rsidRPr="00183B5F">
        <w:rPr>
          <w:szCs w:val="22"/>
        </w:rPr>
        <w:t>/ttkg</w:t>
      </w:r>
      <w:r w:rsidRPr="00183B5F">
        <w:rPr>
          <w:szCs w:val="22"/>
        </w:rPr>
        <w:t xml:space="preserve"> illetve 100 mg</w:t>
      </w:r>
      <w:r w:rsidR="00127A0B" w:rsidRPr="00183B5F">
        <w:rPr>
          <w:szCs w:val="22"/>
        </w:rPr>
        <w:t>/ttkg</w:t>
      </w:r>
      <w:r w:rsidRPr="00183B5F">
        <w:rPr>
          <w:szCs w:val="22"/>
        </w:rPr>
        <w:t xml:space="preserve"> dózisú adalimumabot adtak majmoknak (csoportonként 9</w:t>
      </w:r>
      <w:r w:rsidRPr="00183B5F">
        <w:rPr>
          <w:szCs w:val="22"/>
        </w:rPr>
        <w:noBreakHyphen/>
        <w:t xml:space="preserve">17 majom volt), a magzati károsodás minden jele nélkül. Sem karcinogenitási vizsgálatok, sem standard </w:t>
      </w:r>
      <w:r w:rsidR="00171E97" w:rsidRPr="00183B5F">
        <w:rPr>
          <w:szCs w:val="22"/>
        </w:rPr>
        <w:t>termékenységi vagy</w:t>
      </w:r>
      <w:r w:rsidRPr="00183B5F">
        <w:rPr>
          <w:szCs w:val="22"/>
        </w:rPr>
        <w:t xml:space="preserve"> postnatalis toxicitási vizsgálatok nem történtek megfelelő antitestmodell hiányában, mivel az adalimumab a rágcsáló TNF</w:t>
      </w:r>
      <w:r w:rsidRPr="00183B5F">
        <w:rPr>
          <w:szCs w:val="22"/>
        </w:rPr>
        <w:noBreakHyphen/>
        <w:t>fel alacsony keresztreakciót mutat, és ellene a rágcsálókban neutralizáló a</w:t>
      </w:r>
      <w:r w:rsidRPr="00183B5F">
        <w:rPr>
          <w:szCs w:val="22"/>
        </w:rPr>
        <w:t>ntitestek képződnek.</w:t>
      </w:r>
    </w:p>
    <w:p w14:paraId="0EFC1A93" w14:textId="77777777" w:rsidR="00171E97" w:rsidRPr="00183B5F" w:rsidRDefault="00171E97">
      <w:pPr>
        <w:spacing w:line="240" w:lineRule="auto"/>
        <w:rPr>
          <w:szCs w:val="22"/>
        </w:rPr>
      </w:pPr>
    </w:p>
    <w:p w14:paraId="7894259B" w14:textId="77777777" w:rsidR="00366005" w:rsidRPr="00183B5F" w:rsidRDefault="00366005">
      <w:pPr>
        <w:spacing w:line="240" w:lineRule="auto"/>
      </w:pPr>
    </w:p>
    <w:p w14:paraId="6673B1F4" w14:textId="77777777" w:rsidR="00366005" w:rsidRPr="00183B5F" w:rsidRDefault="00943743">
      <w:pPr>
        <w:spacing w:line="240" w:lineRule="auto"/>
        <w:rPr>
          <w:b/>
          <w:szCs w:val="22"/>
        </w:rPr>
      </w:pPr>
      <w:r w:rsidRPr="00183B5F">
        <w:rPr>
          <w:b/>
          <w:szCs w:val="22"/>
        </w:rPr>
        <w:t>6.</w:t>
      </w:r>
      <w:r w:rsidRPr="00183B5F">
        <w:rPr>
          <w:b/>
          <w:szCs w:val="22"/>
        </w:rPr>
        <w:tab/>
        <w:t>GYÓGYSZERÉSZETI JELLEMZŐK</w:t>
      </w:r>
    </w:p>
    <w:p w14:paraId="7F7EC736" w14:textId="77777777" w:rsidR="00366005" w:rsidRPr="00183B5F" w:rsidRDefault="00366005">
      <w:pPr>
        <w:spacing w:line="240" w:lineRule="auto"/>
        <w:rPr>
          <w:szCs w:val="22"/>
        </w:rPr>
      </w:pPr>
    </w:p>
    <w:p w14:paraId="3DAD6033" w14:textId="77777777" w:rsidR="00366005" w:rsidRPr="00183B5F" w:rsidRDefault="00943743">
      <w:pPr>
        <w:spacing w:line="240" w:lineRule="auto"/>
        <w:ind w:left="567" w:hanging="567"/>
        <w:rPr>
          <w:b/>
          <w:szCs w:val="22"/>
        </w:rPr>
      </w:pPr>
      <w:r w:rsidRPr="00183B5F">
        <w:rPr>
          <w:b/>
          <w:szCs w:val="22"/>
        </w:rPr>
        <w:t>6.1</w:t>
      </w:r>
      <w:r w:rsidRPr="00183B5F">
        <w:rPr>
          <w:b/>
          <w:szCs w:val="22"/>
        </w:rPr>
        <w:tab/>
      </w:r>
      <w:r w:rsidRPr="00183B5F">
        <w:rPr>
          <w:b/>
          <w:szCs w:val="22"/>
        </w:rPr>
        <w:t>Segédanyagok felsorolása</w:t>
      </w:r>
    </w:p>
    <w:p w14:paraId="3F50487D" w14:textId="77777777" w:rsidR="00366005" w:rsidRPr="00183B5F" w:rsidRDefault="00366005">
      <w:pPr>
        <w:spacing w:line="240" w:lineRule="auto"/>
        <w:rPr>
          <w:szCs w:val="22"/>
        </w:rPr>
      </w:pPr>
    </w:p>
    <w:p w14:paraId="05F9B396" w14:textId="77777777" w:rsidR="00366005" w:rsidRPr="00183B5F" w:rsidRDefault="00943743">
      <w:pPr>
        <w:spacing w:line="240" w:lineRule="auto"/>
        <w:rPr>
          <w:szCs w:val="22"/>
        </w:rPr>
      </w:pPr>
      <w:r w:rsidRPr="00183B5F">
        <w:rPr>
          <w:szCs w:val="22"/>
        </w:rPr>
        <w:t>Mannit,</w:t>
      </w:r>
    </w:p>
    <w:p w14:paraId="576B429B" w14:textId="77777777" w:rsidR="00366005" w:rsidRPr="00183B5F" w:rsidRDefault="00943743">
      <w:pPr>
        <w:spacing w:line="240" w:lineRule="auto"/>
        <w:rPr>
          <w:szCs w:val="22"/>
        </w:rPr>
      </w:pPr>
      <w:r w:rsidRPr="00183B5F">
        <w:rPr>
          <w:szCs w:val="22"/>
        </w:rPr>
        <w:t>Poliszorbát 80,</w:t>
      </w:r>
    </w:p>
    <w:p w14:paraId="48E7083A" w14:textId="77777777" w:rsidR="00366005" w:rsidRPr="00183B5F" w:rsidRDefault="00943743">
      <w:pPr>
        <w:spacing w:line="240" w:lineRule="auto"/>
        <w:rPr>
          <w:szCs w:val="22"/>
        </w:rPr>
      </w:pPr>
      <w:r w:rsidRPr="00183B5F">
        <w:rPr>
          <w:szCs w:val="22"/>
        </w:rPr>
        <w:t>Injekcióhoz való víz.</w:t>
      </w:r>
    </w:p>
    <w:p w14:paraId="623383B1" w14:textId="77777777" w:rsidR="00366005" w:rsidRPr="00183B5F" w:rsidRDefault="00366005">
      <w:pPr>
        <w:spacing w:line="240" w:lineRule="auto"/>
        <w:rPr>
          <w:szCs w:val="22"/>
        </w:rPr>
      </w:pPr>
    </w:p>
    <w:p w14:paraId="6D500958" w14:textId="77777777" w:rsidR="00366005" w:rsidRPr="00183B5F" w:rsidRDefault="00943743">
      <w:pPr>
        <w:spacing w:line="240" w:lineRule="auto"/>
        <w:rPr>
          <w:b/>
          <w:szCs w:val="22"/>
        </w:rPr>
      </w:pPr>
      <w:r w:rsidRPr="00183B5F">
        <w:rPr>
          <w:b/>
          <w:szCs w:val="22"/>
        </w:rPr>
        <w:t>6.2</w:t>
      </w:r>
      <w:r w:rsidRPr="00183B5F">
        <w:rPr>
          <w:b/>
          <w:szCs w:val="22"/>
        </w:rPr>
        <w:tab/>
        <w:t>Inkompatibilitások</w:t>
      </w:r>
    </w:p>
    <w:p w14:paraId="32837253" w14:textId="77777777" w:rsidR="00366005" w:rsidRPr="00183B5F" w:rsidRDefault="00366005">
      <w:pPr>
        <w:spacing w:line="240" w:lineRule="auto"/>
        <w:rPr>
          <w:szCs w:val="22"/>
        </w:rPr>
      </w:pPr>
    </w:p>
    <w:p w14:paraId="77C5AFA4" w14:textId="77777777" w:rsidR="00366005" w:rsidRPr="00183B5F" w:rsidRDefault="00943743">
      <w:pPr>
        <w:spacing w:line="240" w:lineRule="auto"/>
        <w:rPr>
          <w:szCs w:val="22"/>
        </w:rPr>
      </w:pPr>
      <w:r w:rsidRPr="00183B5F">
        <w:rPr>
          <w:szCs w:val="22"/>
        </w:rPr>
        <w:t>Kompatibilitási vizsgálatok hiányában ez a gyógyszer nem keverhető más gyógyszerekkel.</w:t>
      </w:r>
    </w:p>
    <w:p w14:paraId="75F03071" w14:textId="77777777" w:rsidR="00366005" w:rsidRPr="00183B5F" w:rsidRDefault="00366005">
      <w:pPr>
        <w:spacing w:line="240" w:lineRule="auto"/>
        <w:rPr>
          <w:szCs w:val="22"/>
        </w:rPr>
      </w:pPr>
    </w:p>
    <w:p w14:paraId="1A7F67A6" w14:textId="77777777" w:rsidR="00366005" w:rsidRPr="00183B5F" w:rsidRDefault="00943743">
      <w:pPr>
        <w:spacing w:line="240" w:lineRule="auto"/>
        <w:rPr>
          <w:b/>
          <w:szCs w:val="22"/>
        </w:rPr>
      </w:pPr>
      <w:r w:rsidRPr="00183B5F">
        <w:rPr>
          <w:b/>
          <w:szCs w:val="22"/>
        </w:rPr>
        <w:t>6.3</w:t>
      </w:r>
      <w:r w:rsidRPr="00183B5F">
        <w:rPr>
          <w:b/>
          <w:szCs w:val="22"/>
        </w:rPr>
        <w:tab/>
        <w:t>Felhasználhatósági időtartam</w:t>
      </w:r>
    </w:p>
    <w:p w14:paraId="24B803E1" w14:textId="77777777" w:rsidR="00366005" w:rsidRPr="00183B5F" w:rsidRDefault="00366005">
      <w:pPr>
        <w:spacing w:line="240" w:lineRule="auto"/>
        <w:rPr>
          <w:szCs w:val="22"/>
        </w:rPr>
      </w:pPr>
    </w:p>
    <w:p w14:paraId="42798789" w14:textId="77777777" w:rsidR="00366005" w:rsidRPr="00183B5F" w:rsidRDefault="00943743">
      <w:pPr>
        <w:spacing w:line="240" w:lineRule="auto"/>
        <w:rPr>
          <w:szCs w:val="22"/>
        </w:rPr>
      </w:pPr>
      <w:r w:rsidRPr="00183B5F">
        <w:rPr>
          <w:szCs w:val="22"/>
        </w:rPr>
        <w:t>2 év</w:t>
      </w:r>
    </w:p>
    <w:p w14:paraId="4B516078" w14:textId="77777777" w:rsidR="00366005" w:rsidRPr="00183B5F" w:rsidRDefault="00366005">
      <w:pPr>
        <w:spacing w:line="240" w:lineRule="auto"/>
        <w:rPr>
          <w:szCs w:val="22"/>
        </w:rPr>
      </w:pPr>
    </w:p>
    <w:p w14:paraId="0BEEC34C" w14:textId="77777777" w:rsidR="00366005" w:rsidRPr="00183B5F" w:rsidRDefault="00943743">
      <w:pPr>
        <w:spacing w:line="240" w:lineRule="auto"/>
        <w:ind w:left="567" w:hanging="567"/>
        <w:rPr>
          <w:b/>
          <w:szCs w:val="22"/>
        </w:rPr>
      </w:pPr>
      <w:r w:rsidRPr="00183B5F">
        <w:rPr>
          <w:b/>
          <w:szCs w:val="22"/>
        </w:rPr>
        <w:t>6.4</w:t>
      </w:r>
      <w:r w:rsidRPr="00183B5F">
        <w:rPr>
          <w:b/>
          <w:szCs w:val="22"/>
        </w:rPr>
        <w:tab/>
        <w:t>Különleges tárolási előírások</w:t>
      </w:r>
    </w:p>
    <w:p w14:paraId="61C6FD12" w14:textId="77777777" w:rsidR="00366005" w:rsidRPr="00183B5F" w:rsidRDefault="00366005">
      <w:pPr>
        <w:spacing w:line="240" w:lineRule="auto"/>
        <w:rPr>
          <w:szCs w:val="22"/>
        </w:rPr>
      </w:pPr>
    </w:p>
    <w:p w14:paraId="29E779CD" w14:textId="77777777" w:rsidR="00366005" w:rsidRPr="00183B5F" w:rsidRDefault="00943743">
      <w:pPr>
        <w:spacing w:line="240" w:lineRule="auto"/>
        <w:rPr>
          <w:szCs w:val="22"/>
        </w:rPr>
      </w:pPr>
      <w:r w:rsidRPr="00183B5F">
        <w:rPr>
          <w:szCs w:val="22"/>
        </w:rPr>
        <w:t>Hűtőszekrényben (2°C</w:t>
      </w:r>
      <w:r w:rsidRPr="00183B5F">
        <w:rPr>
          <w:szCs w:val="22"/>
        </w:rPr>
        <w:noBreakHyphen/>
        <w:t>8</w:t>
      </w:r>
      <w:r w:rsidRPr="00183B5F">
        <w:rPr>
          <w:rFonts w:ascii="Symbol" w:hAnsi="Symbol"/>
          <w:szCs w:val="22"/>
        </w:rPr>
        <w:sym w:font="Symbol" w:char="F0B0"/>
      </w:r>
      <w:r w:rsidRPr="00183B5F">
        <w:rPr>
          <w:szCs w:val="22"/>
        </w:rPr>
        <w:t>C) tárolandó. Nem fagyasztható! A fénytől való védelem érdekében az előretöltött fecskendő vagy az előretöltött injekciós toll az eredeti dobozban tárolandó.</w:t>
      </w:r>
    </w:p>
    <w:p w14:paraId="30387448" w14:textId="77777777" w:rsidR="00366005" w:rsidRPr="00183B5F" w:rsidRDefault="00366005">
      <w:pPr>
        <w:spacing w:line="240" w:lineRule="auto"/>
        <w:rPr>
          <w:szCs w:val="22"/>
        </w:rPr>
      </w:pPr>
    </w:p>
    <w:p w14:paraId="00D1BA96" w14:textId="77777777" w:rsidR="00366005" w:rsidRPr="00183B5F" w:rsidRDefault="00943743">
      <w:pPr>
        <w:spacing w:line="240" w:lineRule="auto"/>
        <w:rPr>
          <w:szCs w:val="22"/>
        </w:rPr>
      </w:pPr>
      <w:r w:rsidRPr="00183B5F">
        <w:rPr>
          <w:szCs w:val="22"/>
          <w:lang w:eastAsia="en-US"/>
        </w:rPr>
        <w:t xml:space="preserve">Önmagában a </w:t>
      </w:r>
      <w:r w:rsidRPr="00183B5F">
        <w:rPr>
          <w:szCs w:val="22"/>
        </w:rPr>
        <w:t>Humira előretöltött fecskendő legfeljebb 25</w:t>
      </w:r>
      <w:r w:rsidRPr="00183B5F">
        <w:rPr>
          <w:rFonts w:ascii="Symbol" w:hAnsi="Symbol"/>
          <w:szCs w:val="22"/>
        </w:rPr>
        <w:sym w:font="Symbol" w:char="F0B0"/>
      </w:r>
      <w:r w:rsidRPr="00183B5F">
        <w:rPr>
          <w:szCs w:val="22"/>
        </w:rPr>
        <w:t>C</w:t>
      </w:r>
      <w:r w:rsidRPr="00183B5F">
        <w:rPr>
          <w:szCs w:val="22"/>
        </w:rPr>
        <w:noBreakHyphen/>
        <w:t>on, maximum 14 napig tárolható. A fecskendőt fénytől védeni kell, és meg kell semmisíteni, amennyiben a 14 napos időtartam alatt nem használták fel.</w:t>
      </w:r>
    </w:p>
    <w:p w14:paraId="08EFCA76" w14:textId="77777777" w:rsidR="00366005" w:rsidRPr="00183B5F" w:rsidRDefault="00366005">
      <w:pPr>
        <w:spacing w:line="240" w:lineRule="auto"/>
      </w:pPr>
    </w:p>
    <w:p w14:paraId="7236CCA9" w14:textId="77777777" w:rsidR="00366005" w:rsidRPr="00183B5F" w:rsidRDefault="00943743">
      <w:pPr>
        <w:spacing w:line="240" w:lineRule="auto"/>
        <w:rPr>
          <w:b/>
          <w:szCs w:val="22"/>
        </w:rPr>
      </w:pPr>
      <w:r w:rsidRPr="00183B5F">
        <w:rPr>
          <w:b/>
          <w:szCs w:val="22"/>
        </w:rPr>
        <w:t>6.5</w:t>
      </w:r>
      <w:r w:rsidRPr="00183B5F">
        <w:rPr>
          <w:b/>
          <w:szCs w:val="22"/>
        </w:rPr>
        <w:tab/>
        <w:t>Csomagolás típusa és kiszerelése</w:t>
      </w:r>
    </w:p>
    <w:p w14:paraId="3B5652CA" w14:textId="77777777" w:rsidR="00366005" w:rsidRPr="00183B5F" w:rsidRDefault="00366005">
      <w:pPr>
        <w:pStyle w:val="EndnoteText"/>
        <w:tabs>
          <w:tab w:val="clear" w:pos="567"/>
          <w:tab w:val="left" w:pos="708"/>
        </w:tabs>
        <w:suppressAutoHyphens/>
        <w:rPr>
          <w:sz w:val="22"/>
          <w:szCs w:val="22"/>
          <w:lang w:val="hu-HU" w:eastAsia="hu-HU"/>
        </w:rPr>
      </w:pPr>
    </w:p>
    <w:p w14:paraId="79B2D417" w14:textId="77777777" w:rsidR="00366005" w:rsidRPr="00183B5F" w:rsidRDefault="00943743">
      <w:pPr>
        <w:pStyle w:val="EndnoteText"/>
        <w:tabs>
          <w:tab w:val="clear" w:pos="567"/>
          <w:tab w:val="left" w:pos="708"/>
        </w:tabs>
        <w:suppressAutoHyphens/>
        <w:rPr>
          <w:sz w:val="22"/>
          <w:lang w:val="hu-HU"/>
        </w:rPr>
      </w:pPr>
      <w:r w:rsidRPr="00183B5F">
        <w:rPr>
          <w:sz w:val="22"/>
          <w:lang w:val="hu-HU"/>
        </w:rPr>
        <w:t>Humira 20 mg oldatos injekció egyszer használatos, előretöltött fecskendőben (I. típusú üveg) brómbutil gumitömítéses dugattyúval és tűvédővel ellátott tűvel (termoplasztikus elasztomer)</w:t>
      </w:r>
      <w:r w:rsidRPr="00183B5F">
        <w:rPr>
          <w:sz w:val="22"/>
          <w:szCs w:val="22"/>
          <w:lang w:val="hu-HU"/>
        </w:rPr>
        <w:t>.</w:t>
      </w:r>
    </w:p>
    <w:p w14:paraId="5C7F65D9" w14:textId="77777777" w:rsidR="00366005" w:rsidRPr="00183B5F" w:rsidRDefault="00366005">
      <w:pPr>
        <w:pStyle w:val="EndnoteText"/>
        <w:tabs>
          <w:tab w:val="clear" w:pos="567"/>
          <w:tab w:val="left" w:pos="708"/>
        </w:tabs>
        <w:suppressAutoHyphens/>
        <w:rPr>
          <w:sz w:val="22"/>
          <w:szCs w:val="22"/>
          <w:lang w:val="hu-HU" w:eastAsia="hu-HU"/>
        </w:rPr>
      </w:pPr>
    </w:p>
    <w:p w14:paraId="1E731A77" w14:textId="77777777" w:rsidR="00366005" w:rsidRPr="00183B5F" w:rsidRDefault="00943743">
      <w:pPr>
        <w:keepNext/>
        <w:spacing w:line="240" w:lineRule="auto"/>
        <w:rPr>
          <w:szCs w:val="22"/>
        </w:rPr>
      </w:pPr>
      <w:r w:rsidRPr="00183B5F">
        <w:rPr>
          <w:szCs w:val="22"/>
        </w:rPr>
        <w:t>Csomagolási egységek:</w:t>
      </w:r>
    </w:p>
    <w:p w14:paraId="40CAF889" w14:textId="77777777" w:rsidR="00366005" w:rsidRPr="00183B5F" w:rsidRDefault="00943743">
      <w:pPr>
        <w:numPr>
          <w:ilvl w:val="0"/>
          <w:numId w:val="155"/>
        </w:numPr>
        <w:spacing w:line="240" w:lineRule="auto"/>
        <w:ind w:left="567" w:hanging="567"/>
        <w:rPr>
          <w:szCs w:val="22"/>
        </w:rPr>
      </w:pPr>
      <w:r w:rsidRPr="00183B5F">
        <w:rPr>
          <w:szCs w:val="22"/>
        </w:rPr>
        <w:t>2 előretöltött fecskendő (0,2 ml steril oldat) egy-egy alkoholos törlőkendővel, buborékcsomagolásban.</w:t>
      </w:r>
    </w:p>
    <w:p w14:paraId="45AD672D" w14:textId="77777777" w:rsidR="00366005" w:rsidRPr="00183B5F" w:rsidRDefault="00366005">
      <w:pPr>
        <w:spacing w:line="240" w:lineRule="auto"/>
      </w:pPr>
    </w:p>
    <w:p w14:paraId="285C0729" w14:textId="77777777" w:rsidR="00366005" w:rsidRPr="00183B5F" w:rsidRDefault="00943743">
      <w:pPr>
        <w:keepNext/>
        <w:spacing w:line="240" w:lineRule="auto"/>
        <w:ind w:left="567" w:hanging="567"/>
        <w:rPr>
          <w:b/>
          <w:szCs w:val="22"/>
        </w:rPr>
      </w:pPr>
      <w:r w:rsidRPr="00183B5F">
        <w:rPr>
          <w:b/>
          <w:szCs w:val="22"/>
        </w:rPr>
        <w:t>6.6</w:t>
      </w:r>
      <w:r w:rsidRPr="00183B5F">
        <w:rPr>
          <w:b/>
          <w:szCs w:val="22"/>
        </w:rPr>
        <w:tab/>
      </w:r>
      <w:r w:rsidRPr="00183B5F">
        <w:rPr>
          <w:b/>
          <w:szCs w:val="22"/>
        </w:rPr>
        <w:t>A megsemmisítésre vonatkozó különleges óvintézkedések és egyéb, a készítmény kezelésével kapcsolatos információk</w:t>
      </w:r>
    </w:p>
    <w:p w14:paraId="6D8B7341" w14:textId="77777777" w:rsidR="00366005" w:rsidRPr="00183B5F" w:rsidRDefault="00366005">
      <w:pPr>
        <w:spacing w:line="240" w:lineRule="auto"/>
        <w:rPr>
          <w:szCs w:val="22"/>
        </w:rPr>
      </w:pPr>
    </w:p>
    <w:p w14:paraId="19D169C5" w14:textId="77777777" w:rsidR="00366005" w:rsidRPr="00183B5F" w:rsidRDefault="00943743">
      <w:pPr>
        <w:spacing w:line="240" w:lineRule="auto"/>
        <w:rPr>
          <w:szCs w:val="22"/>
        </w:rPr>
      </w:pPr>
      <w:r w:rsidRPr="00183B5F">
        <w:rPr>
          <w:szCs w:val="22"/>
        </w:rPr>
        <w:t>Bármilyen fel nem használt gyógyszer, illetve hulladékanyag megsemmisítését a gyógyszerekre vonatkozó előírások szerint kell végrehajtani.</w:t>
      </w:r>
    </w:p>
    <w:p w14:paraId="11D36670" w14:textId="77777777" w:rsidR="00366005" w:rsidRPr="00183B5F" w:rsidRDefault="00366005">
      <w:pPr>
        <w:spacing w:line="240" w:lineRule="auto"/>
        <w:rPr>
          <w:szCs w:val="22"/>
        </w:rPr>
      </w:pPr>
    </w:p>
    <w:p w14:paraId="760D8F2E" w14:textId="77777777" w:rsidR="00366005" w:rsidRPr="00183B5F" w:rsidRDefault="00366005">
      <w:pPr>
        <w:spacing w:line="240" w:lineRule="auto"/>
        <w:rPr>
          <w:szCs w:val="22"/>
        </w:rPr>
      </w:pPr>
    </w:p>
    <w:p w14:paraId="013AD645" w14:textId="77777777" w:rsidR="00366005" w:rsidRPr="00183B5F" w:rsidRDefault="00943743">
      <w:pPr>
        <w:spacing w:line="240" w:lineRule="auto"/>
        <w:ind w:left="567" w:hanging="567"/>
        <w:rPr>
          <w:b/>
          <w:szCs w:val="22"/>
        </w:rPr>
      </w:pPr>
      <w:r w:rsidRPr="00183B5F">
        <w:rPr>
          <w:b/>
          <w:szCs w:val="22"/>
        </w:rPr>
        <w:t>7.</w:t>
      </w:r>
      <w:r w:rsidRPr="00183B5F">
        <w:rPr>
          <w:b/>
          <w:szCs w:val="22"/>
        </w:rPr>
        <w:tab/>
        <w:t>A FORGALOMBA HOZATALI ENGEDÉLY JOGOSULTJA</w:t>
      </w:r>
    </w:p>
    <w:p w14:paraId="493AC099" w14:textId="77777777" w:rsidR="00366005" w:rsidRPr="00183B5F" w:rsidRDefault="00366005">
      <w:pPr>
        <w:spacing w:line="240" w:lineRule="auto"/>
        <w:rPr>
          <w:szCs w:val="22"/>
        </w:rPr>
      </w:pPr>
    </w:p>
    <w:p w14:paraId="6DFB9BE0" w14:textId="77777777" w:rsidR="0054572E" w:rsidRPr="00183B5F" w:rsidRDefault="00943743" w:rsidP="0054572E">
      <w:pPr>
        <w:keepNext/>
        <w:suppressAutoHyphens w:val="0"/>
        <w:autoSpaceDE w:val="0"/>
        <w:autoSpaceDN w:val="0"/>
        <w:adjustRightInd w:val="0"/>
        <w:spacing w:line="240" w:lineRule="atLeast"/>
        <w:rPr>
          <w:szCs w:val="22"/>
          <w:lang w:eastAsia="en-GB"/>
        </w:rPr>
      </w:pPr>
      <w:r w:rsidRPr="00183B5F">
        <w:rPr>
          <w:szCs w:val="22"/>
          <w:lang w:eastAsia="en-GB"/>
        </w:rPr>
        <w:t>AbbVie Deutschland GmbH &amp; Co. KG</w:t>
      </w:r>
    </w:p>
    <w:p w14:paraId="6897D410" w14:textId="77777777" w:rsidR="0054572E" w:rsidRPr="00183B5F" w:rsidRDefault="00943743" w:rsidP="0054572E">
      <w:pPr>
        <w:keepNext/>
        <w:suppressAutoHyphens w:val="0"/>
        <w:autoSpaceDE w:val="0"/>
        <w:autoSpaceDN w:val="0"/>
        <w:adjustRightInd w:val="0"/>
        <w:spacing w:line="240" w:lineRule="atLeast"/>
        <w:rPr>
          <w:szCs w:val="22"/>
          <w:lang w:eastAsia="en-GB"/>
        </w:rPr>
      </w:pPr>
      <w:r w:rsidRPr="00183B5F">
        <w:rPr>
          <w:szCs w:val="22"/>
          <w:lang w:eastAsia="en-GB"/>
        </w:rPr>
        <w:t>Knollstrasse</w:t>
      </w:r>
    </w:p>
    <w:p w14:paraId="23AF5509" w14:textId="77777777" w:rsidR="0054572E" w:rsidRPr="00183B5F" w:rsidRDefault="00943743" w:rsidP="0054572E">
      <w:pPr>
        <w:keepNext/>
        <w:suppressAutoHyphens w:val="0"/>
        <w:autoSpaceDE w:val="0"/>
        <w:autoSpaceDN w:val="0"/>
        <w:adjustRightInd w:val="0"/>
        <w:spacing w:line="240" w:lineRule="atLeast"/>
        <w:rPr>
          <w:szCs w:val="22"/>
          <w:lang w:eastAsia="en-GB"/>
        </w:rPr>
      </w:pPr>
      <w:r w:rsidRPr="00183B5F">
        <w:rPr>
          <w:szCs w:val="22"/>
          <w:lang w:eastAsia="en-GB"/>
        </w:rPr>
        <w:t>67061 Ludwigshafen</w:t>
      </w:r>
    </w:p>
    <w:p w14:paraId="185E1157" w14:textId="77777777" w:rsidR="0054572E" w:rsidRPr="00183B5F" w:rsidRDefault="00943743" w:rsidP="0054572E">
      <w:pPr>
        <w:keepNext/>
        <w:suppressAutoHyphens w:val="0"/>
        <w:autoSpaceDE w:val="0"/>
        <w:autoSpaceDN w:val="0"/>
        <w:adjustRightInd w:val="0"/>
        <w:spacing w:line="240" w:lineRule="atLeast"/>
        <w:rPr>
          <w:szCs w:val="22"/>
          <w:lang w:eastAsia="en-GB"/>
        </w:rPr>
      </w:pPr>
      <w:r w:rsidRPr="00183B5F">
        <w:rPr>
          <w:szCs w:val="22"/>
          <w:lang w:eastAsia="en-GB"/>
        </w:rPr>
        <w:t xml:space="preserve">Németország </w:t>
      </w:r>
    </w:p>
    <w:p w14:paraId="6BCBECA0" w14:textId="77777777" w:rsidR="00366005" w:rsidRPr="00183B5F" w:rsidRDefault="00366005">
      <w:pPr>
        <w:tabs>
          <w:tab w:val="left" w:pos="562"/>
        </w:tabs>
        <w:spacing w:line="240" w:lineRule="auto"/>
        <w:rPr>
          <w:szCs w:val="22"/>
        </w:rPr>
      </w:pPr>
    </w:p>
    <w:p w14:paraId="0941B4E8" w14:textId="77777777" w:rsidR="00366005" w:rsidRPr="00183B5F" w:rsidRDefault="00366005">
      <w:pPr>
        <w:tabs>
          <w:tab w:val="left" w:pos="562"/>
        </w:tabs>
        <w:spacing w:line="240" w:lineRule="auto"/>
        <w:rPr>
          <w:szCs w:val="22"/>
        </w:rPr>
      </w:pPr>
    </w:p>
    <w:p w14:paraId="38C5E8A5" w14:textId="77777777" w:rsidR="00366005" w:rsidRPr="00183B5F" w:rsidRDefault="00943743">
      <w:pPr>
        <w:keepNext/>
        <w:spacing w:line="240" w:lineRule="auto"/>
        <w:rPr>
          <w:b/>
          <w:szCs w:val="22"/>
        </w:rPr>
      </w:pPr>
      <w:r w:rsidRPr="00183B5F">
        <w:rPr>
          <w:b/>
          <w:szCs w:val="22"/>
        </w:rPr>
        <w:t>8.</w:t>
      </w:r>
      <w:r w:rsidRPr="00183B5F">
        <w:rPr>
          <w:b/>
          <w:szCs w:val="22"/>
        </w:rPr>
        <w:tab/>
        <w:t>A FORGALOMBA HOZATALI ENGEDÉLY SZÁMA(I)</w:t>
      </w:r>
    </w:p>
    <w:p w14:paraId="1B7ADCE8" w14:textId="77777777" w:rsidR="00366005" w:rsidRPr="00183B5F" w:rsidRDefault="00366005">
      <w:pPr>
        <w:spacing w:line="240" w:lineRule="auto"/>
      </w:pPr>
    </w:p>
    <w:p w14:paraId="53797763" w14:textId="77777777" w:rsidR="00366005" w:rsidRPr="00183B5F" w:rsidRDefault="00943743">
      <w:pPr>
        <w:spacing w:line="240" w:lineRule="auto"/>
      </w:pPr>
      <w:r w:rsidRPr="00183B5F">
        <w:t>EU/1/03/256/022</w:t>
      </w:r>
    </w:p>
    <w:p w14:paraId="75E5F943" w14:textId="77777777" w:rsidR="00366005" w:rsidRPr="00183B5F" w:rsidRDefault="00366005">
      <w:pPr>
        <w:spacing w:line="240" w:lineRule="auto"/>
      </w:pPr>
    </w:p>
    <w:p w14:paraId="1298798D" w14:textId="77777777" w:rsidR="00366005" w:rsidRPr="00183B5F" w:rsidRDefault="00943743">
      <w:pPr>
        <w:keepNext/>
        <w:spacing w:line="240" w:lineRule="auto"/>
        <w:ind w:left="567" w:hanging="567"/>
        <w:rPr>
          <w:b/>
          <w:szCs w:val="22"/>
        </w:rPr>
      </w:pPr>
      <w:r w:rsidRPr="00183B5F">
        <w:rPr>
          <w:b/>
          <w:szCs w:val="22"/>
        </w:rPr>
        <w:t>9.</w:t>
      </w:r>
      <w:r w:rsidRPr="00183B5F">
        <w:rPr>
          <w:b/>
          <w:szCs w:val="22"/>
        </w:rPr>
        <w:tab/>
      </w:r>
      <w:r w:rsidRPr="00183B5F">
        <w:rPr>
          <w:b/>
          <w:szCs w:val="22"/>
        </w:rPr>
        <w:t>A FORGALOMBA HOZATALI ENGEDÉLY ELSŐ KIADÁSÁNAK/MEGÚJÍTÁSÁNAK DÁTUMA</w:t>
      </w:r>
    </w:p>
    <w:p w14:paraId="7E7BD396" w14:textId="77777777" w:rsidR="00366005" w:rsidRPr="00183B5F" w:rsidRDefault="00366005">
      <w:pPr>
        <w:keepNext/>
        <w:spacing w:line="240" w:lineRule="auto"/>
        <w:rPr>
          <w:szCs w:val="22"/>
        </w:rPr>
      </w:pPr>
    </w:p>
    <w:p w14:paraId="6F7118A0" w14:textId="77777777" w:rsidR="00366005" w:rsidRPr="00183B5F" w:rsidRDefault="00943743">
      <w:pPr>
        <w:keepNext/>
        <w:spacing w:line="240" w:lineRule="auto"/>
        <w:rPr>
          <w:rStyle w:val="hps"/>
        </w:rPr>
      </w:pPr>
      <w:r w:rsidRPr="00183B5F">
        <w:rPr>
          <w:szCs w:val="22"/>
        </w:rPr>
        <w:t>Forgalomba hozatali engedély első kiadásának dátuma: 2003.</w:t>
      </w:r>
      <w:r w:rsidRPr="00183B5F">
        <w:rPr>
          <w:rStyle w:val="Heading1Char"/>
          <w:szCs w:val="22"/>
        </w:rPr>
        <w:t xml:space="preserve"> </w:t>
      </w:r>
      <w:r w:rsidRPr="00183B5F">
        <w:rPr>
          <w:rStyle w:val="hps"/>
          <w:szCs w:val="22"/>
        </w:rPr>
        <w:t>szeptember 8.</w:t>
      </w:r>
    </w:p>
    <w:p w14:paraId="60CAAB22" w14:textId="77777777" w:rsidR="00366005" w:rsidRPr="00183B5F" w:rsidRDefault="00943743">
      <w:pPr>
        <w:keepNext/>
        <w:spacing w:line="240" w:lineRule="auto"/>
      </w:pPr>
      <w:r w:rsidRPr="00183B5F">
        <w:rPr>
          <w:szCs w:val="22"/>
        </w:rPr>
        <w:t xml:space="preserve">Forgalomba hozatali engedély legutolsó megújításának dátuma: 2008. </w:t>
      </w:r>
      <w:r w:rsidRPr="00183B5F">
        <w:rPr>
          <w:rStyle w:val="hps"/>
          <w:szCs w:val="22"/>
        </w:rPr>
        <w:t>szeptember 8.</w:t>
      </w:r>
    </w:p>
    <w:p w14:paraId="5A141EAD" w14:textId="77777777" w:rsidR="00366005" w:rsidRPr="00183B5F" w:rsidRDefault="00366005">
      <w:pPr>
        <w:spacing w:line="240" w:lineRule="auto"/>
        <w:rPr>
          <w:szCs w:val="22"/>
        </w:rPr>
      </w:pPr>
    </w:p>
    <w:p w14:paraId="50E9BF31" w14:textId="77777777" w:rsidR="00366005" w:rsidRPr="00183B5F" w:rsidRDefault="00366005">
      <w:pPr>
        <w:spacing w:line="240" w:lineRule="auto"/>
        <w:rPr>
          <w:szCs w:val="22"/>
        </w:rPr>
      </w:pPr>
    </w:p>
    <w:p w14:paraId="3258ADAB" w14:textId="77777777" w:rsidR="00366005" w:rsidRPr="00183B5F" w:rsidRDefault="00943743">
      <w:pPr>
        <w:spacing w:line="240" w:lineRule="auto"/>
        <w:ind w:left="567" w:hanging="567"/>
        <w:rPr>
          <w:b/>
          <w:szCs w:val="22"/>
        </w:rPr>
      </w:pPr>
      <w:r w:rsidRPr="00183B5F">
        <w:rPr>
          <w:b/>
          <w:szCs w:val="22"/>
        </w:rPr>
        <w:t>10.</w:t>
      </w:r>
      <w:r w:rsidRPr="00183B5F">
        <w:rPr>
          <w:b/>
          <w:szCs w:val="22"/>
        </w:rPr>
        <w:tab/>
        <w:t>A SZÖVEG ELLENŐRZÉSÉNEK DÁTUMA</w:t>
      </w:r>
    </w:p>
    <w:p w14:paraId="0F0B3E0F" w14:textId="77777777" w:rsidR="00366005" w:rsidRPr="00183B5F" w:rsidRDefault="00366005">
      <w:pPr>
        <w:spacing w:line="240" w:lineRule="auto"/>
        <w:ind w:left="567" w:hanging="567"/>
        <w:rPr>
          <w:bCs/>
          <w:szCs w:val="22"/>
        </w:rPr>
      </w:pPr>
    </w:p>
    <w:p w14:paraId="3D587D1F" w14:textId="42302340" w:rsidR="00366005" w:rsidRPr="00183B5F" w:rsidRDefault="00943743">
      <w:pPr>
        <w:spacing w:line="240" w:lineRule="auto"/>
        <w:rPr>
          <w:bCs/>
          <w:szCs w:val="22"/>
        </w:rPr>
      </w:pPr>
      <w:r w:rsidRPr="00183B5F">
        <w:rPr>
          <w:bCs/>
          <w:szCs w:val="22"/>
        </w:rPr>
        <w:t>A gyógyszerről részletes információ az Európai Gyógyszerügynökség internetes honlapján (http</w:t>
      </w:r>
      <w:ins w:id="45" w:author="AbbVie_HU_03" w:date="2025-05-14T15:51:00Z">
        <w:r w:rsidR="00063C95">
          <w:rPr>
            <w:bCs/>
            <w:szCs w:val="22"/>
          </w:rPr>
          <w:t>s</w:t>
        </w:r>
      </w:ins>
      <w:r w:rsidRPr="00183B5F">
        <w:rPr>
          <w:bCs/>
          <w:szCs w:val="22"/>
        </w:rPr>
        <w:t>://www.ema.europa.eu) található.</w:t>
      </w:r>
    </w:p>
    <w:p w14:paraId="06C4E688" w14:textId="77777777" w:rsidR="00366005" w:rsidRPr="00183B5F" w:rsidRDefault="00943743">
      <w:pPr>
        <w:suppressAutoHyphens w:val="0"/>
        <w:spacing w:line="240" w:lineRule="auto"/>
      </w:pPr>
      <w:r w:rsidRPr="00183B5F">
        <w:br w:type="page"/>
      </w:r>
    </w:p>
    <w:p w14:paraId="4ACCA1D5" w14:textId="2FF2DBA0" w:rsidR="00FB6710" w:rsidRPr="00183B5F" w:rsidRDefault="00943743" w:rsidP="004062FE">
      <w:pPr>
        <w:spacing w:line="240" w:lineRule="auto"/>
        <w:ind w:left="567" w:hanging="567"/>
        <w:rPr>
          <w:del w:id="46" w:author="AbbVie_HU_03" w:date="2025-05-14T15:27:00Z"/>
          <w:b/>
          <w:szCs w:val="22"/>
        </w:rPr>
      </w:pPr>
      <w:del w:id="47" w:author="AbbVie_HU_03" w:date="2025-05-14T15:27:00Z">
        <w:r w:rsidRPr="00183B5F">
          <w:rPr>
            <w:b/>
            <w:szCs w:val="22"/>
          </w:rPr>
          <w:delText>1.</w:delText>
        </w:r>
        <w:r w:rsidRPr="00183B5F">
          <w:rPr>
            <w:b/>
            <w:szCs w:val="22"/>
          </w:rPr>
          <w:tab/>
          <w:delText>A GYÓGYSZER NEVE</w:delText>
        </w:r>
      </w:del>
    </w:p>
    <w:p w14:paraId="27694B96" w14:textId="12E04E36" w:rsidR="00FB6710" w:rsidRPr="00183B5F" w:rsidRDefault="00FB6710" w:rsidP="004062FE">
      <w:pPr>
        <w:spacing w:line="240" w:lineRule="auto"/>
        <w:rPr>
          <w:del w:id="48" w:author="AbbVie_HU_03" w:date="2025-05-14T15:27:00Z"/>
          <w:szCs w:val="22"/>
        </w:rPr>
      </w:pPr>
    </w:p>
    <w:p w14:paraId="0D857FDA" w14:textId="65047795" w:rsidR="00FB6710" w:rsidRPr="00183B5F" w:rsidRDefault="00943743" w:rsidP="004062FE">
      <w:pPr>
        <w:spacing w:line="240" w:lineRule="auto"/>
        <w:rPr>
          <w:del w:id="49" w:author="AbbVie_HU_03" w:date="2025-05-14T15:27:00Z"/>
          <w:szCs w:val="22"/>
        </w:rPr>
      </w:pPr>
      <w:del w:id="50" w:author="AbbVie_HU_03" w:date="2025-05-14T15:27:00Z">
        <w:r w:rsidRPr="00183B5F">
          <w:rPr>
            <w:szCs w:val="22"/>
          </w:rPr>
          <w:delText>Humira 40 mg</w:delText>
        </w:r>
        <w:r w:rsidR="005F279F" w:rsidRPr="00183B5F">
          <w:rPr>
            <w:szCs w:val="22"/>
          </w:rPr>
          <w:delText>/0,8</w:delText>
        </w:r>
        <w:r w:rsidR="009725A1" w:rsidRPr="00183B5F">
          <w:rPr>
            <w:szCs w:val="22"/>
          </w:rPr>
          <w:delText> </w:delText>
        </w:r>
        <w:r w:rsidR="005F279F" w:rsidRPr="00183B5F">
          <w:rPr>
            <w:szCs w:val="22"/>
          </w:rPr>
          <w:delText>ml</w:delText>
        </w:r>
        <w:r w:rsidRPr="00183B5F">
          <w:rPr>
            <w:szCs w:val="22"/>
          </w:rPr>
          <w:delText xml:space="preserve"> oldatos injekció</w:delText>
        </w:r>
      </w:del>
    </w:p>
    <w:p w14:paraId="5586972D" w14:textId="776C68F7" w:rsidR="00FB6710" w:rsidRPr="00183B5F" w:rsidRDefault="00FB6710" w:rsidP="007C5998">
      <w:pPr>
        <w:spacing w:line="240" w:lineRule="auto"/>
        <w:rPr>
          <w:del w:id="51" w:author="AbbVie_HU_03" w:date="2025-05-14T15:27:00Z"/>
          <w:szCs w:val="22"/>
        </w:rPr>
      </w:pPr>
    </w:p>
    <w:p w14:paraId="2762700B" w14:textId="1503C3C5" w:rsidR="00FB6710" w:rsidRPr="00183B5F" w:rsidRDefault="00FB6710" w:rsidP="004062FE">
      <w:pPr>
        <w:spacing w:line="240" w:lineRule="auto"/>
        <w:rPr>
          <w:del w:id="52" w:author="AbbVie_HU_03" w:date="2025-05-14T15:27:00Z"/>
          <w:szCs w:val="22"/>
        </w:rPr>
      </w:pPr>
    </w:p>
    <w:p w14:paraId="06710F8B" w14:textId="01BAC830" w:rsidR="00FB6710" w:rsidRPr="00183B5F" w:rsidRDefault="00943743" w:rsidP="004062FE">
      <w:pPr>
        <w:spacing w:line="240" w:lineRule="auto"/>
        <w:ind w:left="567" w:hanging="567"/>
        <w:rPr>
          <w:del w:id="53" w:author="AbbVie_HU_03" w:date="2025-05-14T15:27:00Z"/>
          <w:szCs w:val="22"/>
        </w:rPr>
      </w:pPr>
      <w:del w:id="54" w:author="AbbVie_HU_03" w:date="2025-05-14T15:27:00Z">
        <w:r w:rsidRPr="00183B5F">
          <w:rPr>
            <w:b/>
            <w:szCs w:val="22"/>
          </w:rPr>
          <w:delText>2.</w:delText>
        </w:r>
        <w:r w:rsidRPr="00183B5F">
          <w:rPr>
            <w:b/>
            <w:szCs w:val="22"/>
          </w:rPr>
          <w:tab/>
          <w:delText>MINŐSÉGI ÉS MENNYISÉGI ÖSSZETÉTEL</w:delText>
        </w:r>
      </w:del>
    </w:p>
    <w:p w14:paraId="3A6E0E27" w14:textId="759E9CF2" w:rsidR="00FB6710" w:rsidRPr="00183B5F" w:rsidRDefault="00FB6710" w:rsidP="004062FE">
      <w:pPr>
        <w:spacing w:line="240" w:lineRule="auto"/>
        <w:rPr>
          <w:del w:id="55" w:author="AbbVie_HU_03" w:date="2025-05-14T15:27:00Z"/>
          <w:szCs w:val="22"/>
        </w:rPr>
      </w:pPr>
    </w:p>
    <w:p w14:paraId="2B21D306" w14:textId="20CC8E48" w:rsidR="00FB6710" w:rsidRPr="00183B5F" w:rsidRDefault="00943743" w:rsidP="004062FE">
      <w:pPr>
        <w:spacing w:line="240" w:lineRule="auto"/>
        <w:rPr>
          <w:del w:id="56" w:author="AbbVie_HU_03" w:date="2025-05-14T15:27:00Z"/>
          <w:szCs w:val="22"/>
        </w:rPr>
      </w:pPr>
      <w:del w:id="57" w:author="AbbVie_HU_03" w:date="2025-05-14T15:27:00Z">
        <w:r w:rsidRPr="00183B5F">
          <w:rPr>
            <w:szCs w:val="22"/>
          </w:rPr>
          <w:delText>40 mg adalimumab 0,8 ml</w:delText>
        </w:r>
        <w:r w:rsidRPr="00183B5F">
          <w:rPr>
            <w:szCs w:val="22"/>
          </w:rPr>
          <w:noBreakHyphen/>
          <w:delText>es, egyadagos injekciós üvegben.</w:delText>
        </w:r>
      </w:del>
    </w:p>
    <w:p w14:paraId="4BA95363" w14:textId="627B2FBA" w:rsidR="00591E79" w:rsidRPr="00183B5F" w:rsidRDefault="00591E79" w:rsidP="004062FE">
      <w:pPr>
        <w:spacing w:line="240" w:lineRule="auto"/>
        <w:rPr>
          <w:del w:id="58" w:author="AbbVie_HU_03" w:date="2025-05-14T15:27:00Z"/>
          <w:szCs w:val="22"/>
        </w:rPr>
      </w:pPr>
    </w:p>
    <w:p w14:paraId="39F0DE5F" w14:textId="5EF8AE11" w:rsidR="00FB6710" w:rsidRPr="00183B5F" w:rsidRDefault="00943743" w:rsidP="004062FE">
      <w:pPr>
        <w:spacing w:line="240" w:lineRule="auto"/>
        <w:rPr>
          <w:del w:id="59" w:author="AbbVie_HU_03" w:date="2025-05-14T15:27:00Z"/>
          <w:noProof/>
          <w:szCs w:val="22"/>
        </w:rPr>
      </w:pPr>
      <w:del w:id="60" w:author="AbbVie_HU_03" w:date="2025-05-14T15:27:00Z">
        <w:r w:rsidRPr="00183B5F">
          <w:rPr>
            <w:noProof/>
            <w:szCs w:val="22"/>
          </w:rPr>
          <w:delText>Az adalimumab egy rekombináns humán monoklonális antitest, melyet kínai hörcsög petefészek sejtekben állítanak elő.</w:delText>
        </w:r>
      </w:del>
    </w:p>
    <w:p w14:paraId="688FC172" w14:textId="053AA9CE" w:rsidR="00FB6710" w:rsidRPr="00183B5F" w:rsidRDefault="00FB6710" w:rsidP="004062FE">
      <w:pPr>
        <w:pStyle w:val="EndnoteText"/>
        <w:tabs>
          <w:tab w:val="clear" w:pos="567"/>
        </w:tabs>
        <w:suppressAutoHyphens/>
        <w:rPr>
          <w:del w:id="61" w:author="AbbVie_HU_03" w:date="2025-05-14T15:27:00Z"/>
          <w:sz w:val="22"/>
          <w:szCs w:val="22"/>
          <w:lang w:val="hu-HU" w:eastAsia="hu-HU"/>
        </w:rPr>
      </w:pPr>
    </w:p>
    <w:p w14:paraId="6DFD1192" w14:textId="73A01BE5" w:rsidR="00FB6710" w:rsidRPr="00183B5F" w:rsidRDefault="00943743" w:rsidP="004062FE">
      <w:pPr>
        <w:spacing w:line="240" w:lineRule="auto"/>
        <w:rPr>
          <w:del w:id="62" w:author="AbbVie_HU_03" w:date="2025-05-14T15:27:00Z"/>
          <w:szCs w:val="22"/>
        </w:rPr>
      </w:pPr>
      <w:del w:id="63" w:author="AbbVie_HU_03" w:date="2025-05-14T15:27:00Z">
        <w:r w:rsidRPr="00183B5F">
          <w:rPr>
            <w:szCs w:val="22"/>
          </w:rPr>
          <w:delText>A segédanyagok teljes listáját lásd a 6.1 pontban.</w:delText>
        </w:r>
      </w:del>
    </w:p>
    <w:p w14:paraId="2098021B" w14:textId="605B0CFC" w:rsidR="00FB6710" w:rsidRPr="00183B5F" w:rsidRDefault="00FB6710" w:rsidP="004062FE">
      <w:pPr>
        <w:pStyle w:val="EndnoteText"/>
        <w:tabs>
          <w:tab w:val="clear" w:pos="567"/>
        </w:tabs>
        <w:suppressAutoHyphens/>
        <w:rPr>
          <w:del w:id="64" w:author="AbbVie_HU_03" w:date="2025-05-14T15:27:00Z"/>
          <w:sz w:val="22"/>
          <w:szCs w:val="22"/>
          <w:lang w:val="hu-HU" w:eastAsia="hu-HU"/>
        </w:rPr>
      </w:pPr>
    </w:p>
    <w:p w14:paraId="0295873A" w14:textId="200E15DC" w:rsidR="00FB6710" w:rsidRPr="00183B5F" w:rsidRDefault="00FB6710" w:rsidP="004062FE">
      <w:pPr>
        <w:pStyle w:val="EndnoteText"/>
        <w:tabs>
          <w:tab w:val="clear" w:pos="567"/>
        </w:tabs>
        <w:suppressAutoHyphens/>
        <w:rPr>
          <w:del w:id="65" w:author="AbbVie_HU_03" w:date="2025-05-14T15:27:00Z"/>
          <w:sz w:val="22"/>
          <w:szCs w:val="22"/>
          <w:lang w:val="hu-HU" w:eastAsia="hu-HU"/>
        </w:rPr>
      </w:pPr>
    </w:p>
    <w:p w14:paraId="3D715F23" w14:textId="024DA10F" w:rsidR="00FB6710" w:rsidRPr="00183B5F" w:rsidRDefault="00943743" w:rsidP="004062FE">
      <w:pPr>
        <w:spacing w:line="240" w:lineRule="auto"/>
        <w:ind w:left="567" w:hanging="567"/>
        <w:rPr>
          <w:del w:id="66" w:author="AbbVie_HU_03" w:date="2025-05-14T15:27:00Z"/>
          <w:b/>
          <w:szCs w:val="22"/>
        </w:rPr>
      </w:pPr>
      <w:del w:id="67" w:author="AbbVie_HU_03" w:date="2025-05-14T15:27:00Z">
        <w:r w:rsidRPr="00183B5F">
          <w:rPr>
            <w:b/>
            <w:szCs w:val="22"/>
          </w:rPr>
          <w:delText>3.</w:delText>
        </w:r>
        <w:r w:rsidRPr="00183B5F">
          <w:rPr>
            <w:b/>
            <w:szCs w:val="22"/>
          </w:rPr>
          <w:tab/>
          <w:delText>GYÓGYSZERFORMA</w:delText>
        </w:r>
      </w:del>
    </w:p>
    <w:p w14:paraId="415B9BDB" w14:textId="77287F95" w:rsidR="00FB6710" w:rsidRPr="00183B5F" w:rsidRDefault="00FB6710" w:rsidP="004062FE">
      <w:pPr>
        <w:pStyle w:val="EndnoteText"/>
        <w:tabs>
          <w:tab w:val="clear" w:pos="567"/>
        </w:tabs>
        <w:suppressAutoHyphens/>
        <w:rPr>
          <w:del w:id="68" w:author="AbbVie_HU_03" w:date="2025-05-14T15:27:00Z"/>
          <w:sz w:val="22"/>
          <w:szCs w:val="22"/>
          <w:lang w:val="hu-HU" w:eastAsia="hu-HU"/>
        </w:rPr>
      </w:pPr>
    </w:p>
    <w:p w14:paraId="7276FEBE" w14:textId="1AAAACF5" w:rsidR="006F09A4" w:rsidRPr="00183B5F" w:rsidRDefault="00943743" w:rsidP="004062FE">
      <w:pPr>
        <w:pStyle w:val="EndnoteText"/>
        <w:suppressAutoHyphens/>
        <w:rPr>
          <w:del w:id="69" w:author="AbbVie_HU_03" w:date="2025-05-14T15:27:00Z"/>
          <w:sz w:val="22"/>
          <w:szCs w:val="22"/>
          <w:lang w:val="hu-HU" w:eastAsia="hu-HU"/>
        </w:rPr>
      </w:pPr>
      <w:del w:id="70" w:author="AbbVie_HU_03" w:date="2025-05-14T15:27:00Z">
        <w:r w:rsidRPr="00183B5F">
          <w:rPr>
            <w:sz w:val="22"/>
            <w:szCs w:val="22"/>
            <w:lang w:val="hu-HU" w:eastAsia="hu-HU"/>
          </w:rPr>
          <w:delText>Oldatos injekció</w:delText>
        </w:r>
        <w:r w:rsidR="00BB741E" w:rsidRPr="00183B5F">
          <w:rPr>
            <w:sz w:val="22"/>
            <w:szCs w:val="22"/>
            <w:lang w:val="hu-HU" w:eastAsia="hu-HU"/>
          </w:rPr>
          <w:delText xml:space="preserve"> (</w:delText>
        </w:r>
        <w:r w:rsidR="00A0313B" w:rsidRPr="00183B5F">
          <w:rPr>
            <w:sz w:val="22"/>
            <w:szCs w:val="22"/>
            <w:lang w:val="hu-HU" w:eastAsia="hu-HU"/>
          </w:rPr>
          <w:delText>i</w:delText>
        </w:r>
        <w:r w:rsidR="00BB741E" w:rsidRPr="00183B5F">
          <w:rPr>
            <w:sz w:val="22"/>
            <w:szCs w:val="22"/>
            <w:lang w:val="hu-HU" w:eastAsia="hu-HU"/>
          </w:rPr>
          <w:delText>njekció)</w:delText>
        </w:r>
        <w:r w:rsidRPr="00183B5F">
          <w:rPr>
            <w:sz w:val="22"/>
            <w:szCs w:val="22"/>
            <w:lang w:val="hu-HU" w:eastAsia="hu-HU"/>
          </w:rPr>
          <w:delText>.</w:delText>
        </w:r>
      </w:del>
    </w:p>
    <w:p w14:paraId="5A17A539" w14:textId="20B9F38F" w:rsidR="006F09A4" w:rsidRPr="00183B5F" w:rsidRDefault="006F09A4" w:rsidP="004062FE">
      <w:pPr>
        <w:spacing w:line="240" w:lineRule="auto"/>
        <w:rPr>
          <w:del w:id="71" w:author="AbbVie_HU_03" w:date="2025-05-14T15:27:00Z"/>
        </w:rPr>
      </w:pPr>
    </w:p>
    <w:p w14:paraId="582A729E" w14:textId="70C47F62" w:rsidR="00FB6710" w:rsidRPr="00183B5F" w:rsidRDefault="00943743" w:rsidP="004062FE">
      <w:pPr>
        <w:pStyle w:val="EndnoteText"/>
        <w:suppressAutoHyphens/>
        <w:rPr>
          <w:del w:id="72" w:author="AbbVie_HU_03" w:date="2025-05-14T15:27:00Z"/>
          <w:sz w:val="22"/>
          <w:szCs w:val="22"/>
          <w:lang w:val="hu-HU" w:eastAsia="hu-HU"/>
        </w:rPr>
      </w:pPr>
      <w:del w:id="73" w:author="AbbVie_HU_03" w:date="2025-05-14T15:27:00Z">
        <w:r w:rsidRPr="00183B5F">
          <w:rPr>
            <w:sz w:val="22"/>
            <w:szCs w:val="22"/>
            <w:lang w:val="hu-HU" w:eastAsia="hu-HU"/>
          </w:rPr>
          <w:delText xml:space="preserve">Tiszta, </w:delText>
        </w:r>
        <w:r w:rsidR="006F09A4" w:rsidRPr="00183B5F">
          <w:rPr>
            <w:sz w:val="22"/>
            <w:szCs w:val="22"/>
            <w:lang w:val="hu-HU" w:eastAsia="hu-HU"/>
          </w:rPr>
          <w:delText>színtelen oldat.</w:delText>
        </w:r>
      </w:del>
    </w:p>
    <w:p w14:paraId="6F7BFB5A" w14:textId="3D57C40B" w:rsidR="00FB6710" w:rsidRPr="00183B5F" w:rsidRDefault="00FB6710" w:rsidP="004062FE">
      <w:pPr>
        <w:spacing w:line="240" w:lineRule="auto"/>
        <w:rPr>
          <w:del w:id="74" w:author="AbbVie_HU_03" w:date="2025-05-14T15:27:00Z"/>
          <w:szCs w:val="22"/>
        </w:rPr>
      </w:pPr>
    </w:p>
    <w:p w14:paraId="02669161" w14:textId="6B08B422" w:rsidR="00FB6710" w:rsidRPr="00183B5F" w:rsidRDefault="00FB6710" w:rsidP="004062FE">
      <w:pPr>
        <w:spacing w:line="240" w:lineRule="auto"/>
        <w:rPr>
          <w:del w:id="75" w:author="AbbVie_HU_03" w:date="2025-05-14T15:27:00Z"/>
          <w:szCs w:val="22"/>
        </w:rPr>
      </w:pPr>
    </w:p>
    <w:p w14:paraId="33E3D615" w14:textId="6032659C" w:rsidR="00FB6710" w:rsidRPr="00183B5F" w:rsidRDefault="00943743" w:rsidP="004062FE">
      <w:pPr>
        <w:spacing w:line="240" w:lineRule="auto"/>
        <w:ind w:left="567" w:hanging="567"/>
        <w:rPr>
          <w:del w:id="76" w:author="AbbVie_HU_03" w:date="2025-05-14T15:27:00Z"/>
          <w:b/>
          <w:caps/>
          <w:szCs w:val="22"/>
        </w:rPr>
      </w:pPr>
      <w:del w:id="77" w:author="AbbVie_HU_03" w:date="2025-05-14T15:27:00Z">
        <w:r w:rsidRPr="00183B5F">
          <w:rPr>
            <w:b/>
            <w:caps/>
            <w:szCs w:val="22"/>
          </w:rPr>
          <w:delText>4.</w:delText>
        </w:r>
        <w:r w:rsidRPr="00183B5F">
          <w:rPr>
            <w:b/>
            <w:caps/>
            <w:szCs w:val="22"/>
          </w:rPr>
          <w:tab/>
          <w:delText>KLINIKAI JELLEMZŐK</w:delText>
        </w:r>
      </w:del>
    </w:p>
    <w:p w14:paraId="4698C50A" w14:textId="0870EF56" w:rsidR="00FB6710" w:rsidRPr="00183B5F" w:rsidRDefault="00FB6710" w:rsidP="004062FE">
      <w:pPr>
        <w:spacing w:line="240" w:lineRule="auto"/>
        <w:rPr>
          <w:del w:id="78" w:author="AbbVie_HU_03" w:date="2025-05-14T15:27:00Z"/>
          <w:szCs w:val="22"/>
        </w:rPr>
      </w:pPr>
    </w:p>
    <w:p w14:paraId="6DCBE034" w14:textId="12214628" w:rsidR="00FB6710" w:rsidRPr="00183B5F" w:rsidRDefault="00943743" w:rsidP="004062FE">
      <w:pPr>
        <w:spacing w:line="240" w:lineRule="auto"/>
        <w:ind w:left="567" w:hanging="567"/>
        <w:rPr>
          <w:del w:id="79" w:author="AbbVie_HU_03" w:date="2025-05-14T15:27:00Z"/>
          <w:b/>
          <w:szCs w:val="22"/>
        </w:rPr>
      </w:pPr>
      <w:del w:id="80" w:author="AbbVie_HU_03" w:date="2025-05-14T15:27:00Z">
        <w:r w:rsidRPr="00183B5F">
          <w:rPr>
            <w:b/>
            <w:szCs w:val="22"/>
          </w:rPr>
          <w:delText>4.1</w:delText>
        </w:r>
        <w:r w:rsidRPr="00183B5F">
          <w:rPr>
            <w:b/>
            <w:szCs w:val="22"/>
          </w:rPr>
          <w:tab/>
          <w:delText>Terápiás javallatok</w:delText>
        </w:r>
      </w:del>
    </w:p>
    <w:p w14:paraId="41652759" w14:textId="218D2781" w:rsidR="00FB6710" w:rsidRPr="00183B5F" w:rsidRDefault="00FB6710" w:rsidP="004062FE">
      <w:pPr>
        <w:spacing w:line="240" w:lineRule="auto"/>
        <w:ind w:left="567" w:hanging="567"/>
        <w:rPr>
          <w:del w:id="81" w:author="AbbVie_HU_03" w:date="2025-05-14T15:27:00Z"/>
          <w:szCs w:val="22"/>
        </w:rPr>
      </w:pPr>
    </w:p>
    <w:p w14:paraId="60A34FEE" w14:textId="14805F3C" w:rsidR="000C2060" w:rsidRPr="00183B5F" w:rsidRDefault="00943743">
      <w:pPr>
        <w:pStyle w:val="EMEANormal"/>
        <w:rPr>
          <w:del w:id="82" w:author="AbbVie_HU_03" w:date="2025-05-14T15:27:00Z"/>
          <w:szCs w:val="22"/>
          <w:u w:val="single"/>
          <w:lang w:val="hu-HU"/>
        </w:rPr>
      </w:pPr>
      <w:del w:id="83" w:author="AbbVie_HU_03" w:date="2025-05-14T15:27:00Z">
        <w:r w:rsidRPr="00183B5F">
          <w:rPr>
            <w:szCs w:val="22"/>
            <w:u w:val="single"/>
            <w:lang w:val="hu-HU"/>
          </w:rPr>
          <w:delText>Ju</w:delText>
        </w:r>
        <w:r w:rsidR="00076DEB" w:rsidRPr="00183B5F">
          <w:rPr>
            <w:szCs w:val="22"/>
            <w:u w:val="single"/>
            <w:lang w:val="hu-HU"/>
          </w:rPr>
          <w:delText>venilis idiopathiá</w:delText>
        </w:r>
        <w:r w:rsidRPr="00183B5F">
          <w:rPr>
            <w:szCs w:val="22"/>
            <w:u w:val="single"/>
            <w:lang w:val="hu-HU"/>
          </w:rPr>
          <w:delText>s arthritis</w:delText>
        </w:r>
      </w:del>
    </w:p>
    <w:p w14:paraId="743E4C0D" w14:textId="1BD23181" w:rsidR="000C2060" w:rsidRPr="00183B5F" w:rsidRDefault="000C2060">
      <w:pPr>
        <w:pStyle w:val="EMEANormal"/>
        <w:rPr>
          <w:del w:id="84" w:author="AbbVie_HU_03" w:date="2025-05-14T15:27:00Z"/>
          <w:szCs w:val="22"/>
          <w:lang w:val="hu-HU"/>
        </w:rPr>
      </w:pPr>
    </w:p>
    <w:p w14:paraId="14F892D3" w14:textId="4FF6702D" w:rsidR="00FB6710" w:rsidRPr="00183B5F" w:rsidRDefault="00943743">
      <w:pPr>
        <w:pStyle w:val="EMEANormal"/>
        <w:rPr>
          <w:del w:id="85" w:author="AbbVie_HU_03" w:date="2025-05-14T15:27:00Z"/>
          <w:i/>
          <w:szCs w:val="22"/>
          <w:lang w:val="hu-HU"/>
        </w:rPr>
      </w:pPr>
      <w:del w:id="86" w:author="AbbVie_HU_03" w:date="2025-05-14T15:27:00Z">
        <w:r w:rsidRPr="00183B5F">
          <w:rPr>
            <w:i/>
            <w:szCs w:val="22"/>
            <w:lang w:val="hu-HU"/>
          </w:rPr>
          <w:delText>Polyarticularis juvenilis idiopathiás arthritis</w:delText>
        </w:r>
      </w:del>
    </w:p>
    <w:p w14:paraId="1F25651F" w14:textId="3C3A55E6" w:rsidR="00FB6710" w:rsidRPr="00183B5F" w:rsidRDefault="00FB6710" w:rsidP="004062FE">
      <w:pPr>
        <w:spacing w:line="240" w:lineRule="auto"/>
        <w:rPr>
          <w:del w:id="87" w:author="AbbVie_HU_03" w:date="2025-05-14T15:27:00Z"/>
          <w:szCs w:val="22"/>
        </w:rPr>
      </w:pPr>
    </w:p>
    <w:p w14:paraId="78A52023" w14:textId="3CA236AA" w:rsidR="00FB6710" w:rsidRPr="00183B5F" w:rsidRDefault="00943743" w:rsidP="004062FE">
      <w:pPr>
        <w:spacing w:line="240" w:lineRule="auto"/>
        <w:rPr>
          <w:del w:id="88" w:author="AbbVie_HU_03" w:date="2025-05-14T15:27:00Z"/>
          <w:szCs w:val="22"/>
        </w:rPr>
      </w:pPr>
      <w:del w:id="89" w:author="AbbVie_HU_03" w:date="2025-05-14T15:27:00Z">
        <w:r w:rsidRPr="00183B5F">
          <w:rPr>
            <w:szCs w:val="22"/>
          </w:rPr>
          <w:delText>A Humira metotrexáttal kombinálva a polyarticularis juvenilis idiopathiás arthritis kezelésére javall</w:delText>
        </w:r>
        <w:r w:rsidR="00950478" w:rsidRPr="00183B5F">
          <w:rPr>
            <w:szCs w:val="22"/>
          </w:rPr>
          <w:delText>ot</w:delText>
        </w:r>
        <w:r w:rsidRPr="00183B5F">
          <w:rPr>
            <w:szCs w:val="22"/>
          </w:rPr>
          <w:delText xml:space="preserve">t </w:delText>
        </w:r>
        <w:r w:rsidR="006E4B4A" w:rsidRPr="00183B5F">
          <w:rPr>
            <w:szCs w:val="22"/>
          </w:rPr>
          <w:delText>2 </w:delText>
        </w:r>
        <w:r w:rsidRPr="00183B5F">
          <w:rPr>
            <w:szCs w:val="22"/>
          </w:rPr>
          <w:delText xml:space="preserve">éves </w:delText>
        </w:r>
        <w:r w:rsidR="00470E7C" w:rsidRPr="00183B5F">
          <w:rPr>
            <w:szCs w:val="22"/>
          </w:rPr>
          <w:delText xml:space="preserve">kortól olyan </w:delText>
        </w:r>
        <w:r w:rsidR="000C2060" w:rsidRPr="00183B5F">
          <w:rPr>
            <w:szCs w:val="22"/>
          </w:rPr>
          <w:delText>betegeknél</w:delText>
        </w:r>
        <w:r w:rsidRPr="00183B5F">
          <w:rPr>
            <w:szCs w:val="22"/>
          </w:rPr>
          <w:delText>, akik nem reagáltak megfelelően egy vagy több, betegséget befolyásoló reumaellenes szerre (disease-modifying antirheumatic drug, DMARDS). A Humira egyedül is adható metotrexát-intolerancia esetén, vagy ha a további metotrexát-kezelés nem megfelelő (</w:delText>
        </w:r>
        <w:r w:rsidR="00CB0276" w:rsidRPr="00183B5F">
          <w:rPr>
            <w:szCs w:val="22"/>
          </w:rPr>
          <w:delText>a monoterápiá</w:delText>
        </w:r>
        <w:r w:rsidR="00A662D8" w:rsidRPr="00183B5F">
          <w:rPr>
            <w:szCs w:val="22"/>
          </w:rPr>
          <w:delText xml:space="preserve">ban </w:delText>
        </w:r>
        <w:r w:rsidR="00CB0276" w:rsidRPr="00183B5F">
          <w:rPr>
            <w:szCs w:val="22"/>
          </w:rPr>
          <w:delText>mutatott hatásosság</w:delText>
        </w:r>
        <w:r w:rsidR="00A0799B" w:rsidRPr="00183B5F">
          <w:rPr>
            <w:szCs w:val="22"/>
          </w:rPr>
          <w:delText>gal kapcsolatban</w:delText>
        </w:r>
        <w:r w:rsidR="00CB0276" w:rsidRPr="00183B5F">
          <w:rPr>
            <w:szCs w:val="22"/>
          </w:rPr>
          <w:delText xml:space="preserve"> </w:delText>
        </w:r>
        <w:r w:rsidRPr="00183B5F">
          <w:rPr>
            <w:szCs w:val="22"/>
          </w:rPr>
          <w:delText xml:space="preserve">lásd </w:delText>
        </w:r>
        <w:r w:rsidR="00CB0276" w:rsidRPr="00183B5F">
          <w:rPr>
            <w:szCs w:val="22"/>
          </w:rPr>
          <w:delText xml:space="preserve">az </w:delText>
        </w:r>
        <w:r w:rsidRPr="00183B5F">
          <w:rPr>
            <w:szCs w:val="22"/>
          </w:rPr>
          <w:delText>5.1 pont</w:delText>
        </w:r>
        <w:r w:rsidR="00A0799B" w:rsidRPr="00183B5F">
          <w:rPr>
            <w:szCs w:val="22"/>
          </w:rPr>
          <w:delText>ot</w:delText>
        </w:r>
        <w:r w:rsidRPr="00183B5F">
          <w:rPr>
            <w:szCs w:val="22"/>
          </w:rPr>
          <w:delText>).</w:delText>
        </w:r>
        <w:r w:rsidR="00CB0276" w:rsidRPr="00183B5F">
          <w:rPr>
            <w:szCs w:val="22"/>
          </w:rPr>
          <w:delText xml:space="preserve"> A</w:delText>
        </w:r>
        <w:r w:rsidR="00A4210A" w:rsidRPr="00183B5F">
          <w:rPr>
            <w:szCs w:val="22"/>
          </w:rPr>
          <w:delText xml:space="preserve"> Humir</w:delText>
        </w:r>
        <w:r w:rsidR="00E848B7" w:rsidRPr="00183B5F">
          <w:rPr>
            <w:szCs w:val="22"/>
          </w:rPr>
          <w:delText>a</w:delText>
        </w:r>
        <w:r w:rsidR="00F0730A" w:rsidRPr="00183B5F">
          <w:rPr>
            <w:szCs w:val="22"/>
          </w:rPr>
          <w:noBreakHyphen/>
        </w:r>
        <w:r w:rsidR="00A0799B" w:rsidRPr="00183B5F">
          <w:rPr>
            <w:szCs w:val="22"/>
          </w:rPr>
          <w:delText>t</w:delText>
        </w:r>
        <w:r w:rsidR="00CB0276" w:rsidRPr="00183B5F">
          <w:rPr>
            <w:szCs w:val="22"/>
          </w:rPr>
          <w:delText xml:space="preserve"> </w:delText>
        </w:r>
        <w:r w:rsidR="006E4B4A" w:rsidRPr="00183B5F">
          <w:rPr>
            <w:szCs w:val="22"/>
          </w:rPr>
          <w:delText>2 </w:delText>
        </w:r>
        <w:r w:rsidR="00CB0276" w:rsidRPr="00183B5F">
          <w:rPr>
            <w:szCs w:val="22"/>
          </w:rPr>
          <w:delText xml:space="preserve">évesnél fiatalabb </w:delText>
        </w:r>
        <w:r w:rsidR="000C2060" w:rsidRPr="00183B5F">
          <w:rPr>
            <w:szCs w:val="22"/>
          </w:rPr>
          <w:delText xml:space="preserve">betegek </w:delText>
        </w:r>
        <w:r w:rsidR="00CB0276" w:rsidRPr="00183B5F">
          <w:rPr>
            <w:szCs w:val="22"/>
          </w:rPr>
          <w:delText>esetén</w:delText>
        </w:r>
        <w:r w:rsidR="007E1696" w:rsidRPr="00183B5F">
          <w:rPr>
            <w:szCs w:val="22"/>
          </w:rPr>
          <w:delText xml:space="preserve"> nem vizsgálták</w:delText>
        </w:r>
        <w:r w:rsidR="00CB0276" w:rsidRPr="00183B5F">
          <w:rPr>
            <w:szCs w:val="22"/>
          </w:rPr>
          <w:delText>.</w:delText>
        </w:r>
      </w:del>
    </w:p>
    <w:p w14:paraId="71CEE2A9" w14:textId="3617F8CA" w:rsidR="00FB6710" w:rsidRPr="00183B5F" w:rsidRDefault="00FB6710" w:rsidP="004062FE">
      <w:pPr>
        <w:spacing w:line="240" w:lineRule="auto"/>
        <w:rPr>
          <w:del w:id="90" w:author="AbbVie_HU_03" w:date="2025-05-14T15:27:00Z"/>
          <w:b/>
          <w:szCs w:val="22"/>
        </w:rPr>
      </w:pPr>
    </w:p>
    <w:p w14:paraId="28DA68A7" w14:textId="148DE882" w:rsidR="000C2060" w:rsidRPr="00183B5F" w:rsidRDefault="00943743" w:rsidP="004062FE">
      <w:pPr>
        <w:spacing w:line="240" w:lineRule="auto"/>
        <w:rPr>
          <w:del w:id="91" w:author="AbbVie_HU_03" w:date="2025-05-14T15:27:00Z"/>
          <w:i/>
          <w:szCs w:val="22"/>
        </w:rPr>
      </w:pPr>
      <w:del w:id="92" w:author="AbbVie_HU_03" w:date="2025-05-14T15:27:00Z">
        <w:r w:rsidRPr="00183B5F">
          <w:rPr>
            <w:i/>
            <w:szCs w:val="22"/>
          </w:rPr>
          <w:delText>Enthesitis-asszociált arthritis</w:delText>
        </w:r>
      </w:del>
    </w:p>
    <w:p w14:paraId="5DEDA0DD" w14:textId="231D8F0E" w:rsidR="000C2060" w:rsidRPr="00183B5F" w:rsidRDefault="000C2060" w:rsidP="004062FE">
      <w:pPr>
        <w:spacing w:line="240" w:lineRule="auto"/>
        <w:rPr>
          <w:del w:id="93" w:author="AbbVie_HU_03" w:date="2025-05-14T15:27:00Z"/>
          <w:szCs w:val="22"/>
        </w:rPr>
      </w:pPr>
    </w:p>
    <w:p w14:paraId="00412218" w14:textId="4D9C3A4A" w:rsidR="000C2060" w:rsidRPr="00183B5F" w:rsidRDefault="00943743" w:rsidP="004062FE">
      <w:pPr>
        <w:spacing w:line="240" w:lineRule="auto"/>
        <w:rPr>
          <w:del w:id="94" w:author="AbbVie_HU_03" w:date="2025-05-14T15:27:00Z"/>
          <w:szCs w:val="22"/>
        </w:rPr>
      </w:pPr>
      <w:del w:id="95" w:author="AbbVie_HU_03" w:date="2025-05-14T15:27:00Z">
        <w:r w:rsidRPr="00183B5F">
          <w:rPr>
            <w:szCs w:val="22"/>
          </w:rPr>
          <w:delText xml:space="preserve">A Humira az aktív, </w:delText>
        </w:r>
        <w:r w:rsidR="00677908" w:rsidRPr="00183B5F">
          <w:rPr>
            <w:szCs w:val="22"/>
          </w:rPr>
          <w:delText>enthesitis-asszociált</w:delText>
        </w:r>
        <w:r w:rsidRPr="00183B5F">
          <w:rPr>
            <w:szCs w:val="22"/>
          </w:rPr>
          <w:delText xml:space="preserve"> arthritis</w:delText>
        </w:r>
        <w:r w:rsidR="005F2B47" w:rsidRPr="00183B5F">
          <w:rPr>
            <w:szCs w:val="22"/>
          </w:rPr>
          <w:delText xml:space="preserve"> kezelésére javall</w:delText>
        </w:r>
        <w:r w:rsidR="00950478" w:rsidRPr="00183B5F">
          <w:rPr>
            <w:szCs w:val="22"/>
          </w:rPr>
          <w:delText>ot</w:delText>
        </w:r>
        <w:r w:rsidRPr="00183B5F">
          <w:rPr>
            <w:szCs w:val="22"/>
          </w:rPr>
          <w:delText>t 6 éves kortól olyan betegeknél, akik a hagyományos kezelésre nem reagáltak megfelelően vagy azt nem tolerálták (lásd 5.1 pont).</w:delText>
        </w:r>
      </w:del>
    </w:p>
    <w:p w14:paraId="5DC5A418" w14:textId="7D751633" w:rsidR="000C2060" w:rsidRPr="00183B5F" w:rsidRDefault="000C2060" w:rsidP="004062FE">
      <w:pPr>
        <w:spacing w:line="240" w:lineRule="auto"/>
        <w:rPr>
          <w:del w:id="96" w:author="AbbVie_HU_03" w:date="2025-05-14T15:27:00Z"/>
          <w:szCs w:val="22"/>
        </w:rPr>
      </w:pPr>
    </w:p>
    <w:p w14:paraId="02352176" w14:textId="5E40D0D9" w:rsidR="008720C3" w:rsidRPr="00183B5F" w:rsidRDefault="00943743" w:rsidP="004062FE">
      <w:pPr>
        <w:spacing w:line="240" w:lineRule="auto"/>
        <w:rPr>
          <w:del w:id="97" w:author="AbbVie_HU_03" w:date="2025-05-14T15:27:00Z"/>
          <w:szCs w:val="22"/>
          <w:u w:val="single"/>
        </w:rPr>
      </w:pPr>
      <w:del w:id="98" w:author="AbbVie_HU_03" w:date="2025-05-14T15:27:00Z">
        <w:r w:rsidRPr="00183B5F">
          <w:rPr>
            <w:szCs w:val="22"/>
            <w:u w:val="single"/>
          </w:rPr>
          <w:delText>Gyermekkori plakkos psoriasis</w:delText>
        </w:r>
      </w:del>
    </w:p>
    <w:p w14:paraId="4B516D94" w14:textId="779905AC" w:rsidR="008720C3" w:rsidRPr="00183B5F" w:rsidRDefault="008720C3" w:rsidP="004062FE">
      <w:pPr>
        <w:spacing w:line="240" w:lineRule="auto"/>
        <w:rPr>
          <w:del w:id="99" w:author="AbbVie_HU_03" w:date="2025-05-14T15:27:00Z"/>
          <w:szCs w:val="22"/>
        </w:rPr>
      </w:pPr>
    </w:p>
    <w:p w14:paraId="0DE5AC13" w14:textId="673CC4CD" w:rsidR="008720C3" w:rsidRPr="00183B5F" w:rsidRDefault="00943743" w:rsidP="004062FE">
      <w:pPr>
        <w:spacing w:line="240" w:lineRule="auto"/>
        <w:rPr>
          <w:del w:id="100" w:author="AbbVie_HU_03" w:date="2025-05-14T15:27:00Z"/>
          <w:szCs w:val="22"/>
        </w:rPr>
      </w:pPr>
      <w:del w:id="101" w:author="AbbVie_HU_03" w:date="2025-05-14T15:27:00Z">
        <w:r w:rsidRPr="00183B5F">
          <w:rPr>
            <w:szCs w:val="22"/>
          </w:rPr>
          <w:delText xml:space="preserve">A Humira súlyos, krónikus plakkos psoriasis kezelésére javallott olyan </w:delText>
        </w:r>
        <w:r w:rsidR="00563623" w:rsidRPr="00183B5F">
          <w:rPr>
            <w:szCs w:val="22"/>
          </w:rPr>
          <w:delText>4</w:delText>
        </w:r>
        <w:r w:rsidR="00600569" w:rsidRPr="00183B5F">
          <w:rPr>
            <w:szCs w:val="22"/>
          </w:rPr>
          <w:delText> </w:delText>
        </w:r>
        <w:r w:rsidR="00563623" w:rsidRPr="00183B5F">
          <w:rPr>
            <w:szCs w:val="22"/>
          </w:rPr>
          <w:delText xml:space="preserve">év feletti </w:delText>
        </w:r>
        <w:r w:rsidRPr="00183B5F">
          <w:rPr>
            <w:szCs w:val="22"/>
          </w:rPr>
          <w:delText xml:space="preserve">gyermekeknél és </w:delText>
        </w:r>
        <w:r w:rsidR="00563623" w:rsidRPr="00183B5F">
          <w:rPr>
            <w:szCs w:val="22"/>
          </w:rPr>
          <w:delText>serdülőknél</w:delText>
        </w:r>
        <w:r w:rsidRPr="00183B5F">
          <w:rPr>
            <w:szCs w:val="22"/>
          </w:rPr>
          <w:delText>, akik nem megfelelően reagáltak vagy alkalmatlannak bizonyultak a helyi kezelésre és fényterápiá</w:delText>
        </w:r>
        <w:r w:rsidR="00EF6608" w:rsidRPr="00183B5F">
          <w:rPr>
            <w:szCs w:val="22"/>
          </w:rPr>
          <w:delText>k</w:delText>
        </w:r>
        <w:r w:rsidRPr="00183B5F">
          <w:rPr>
            <w:szCs w:val="22"/>
          </w:rPr>
          <w:delText>ra.</w:delText>
        </w:r>
      </w:del>
    </w:p>
    <w:p w14:paraId="3F070F32" w14:textId="2156ECE7" w:rsidR="00FF46F7" w:rsidRPr="00183B5F" w:rsidRDefault="00FF46F7" w:rsidP="00FF46F7">
      <w:pPr>
        <w:spacing w:line="240" w:lineRule="auto"/>
        <w:rPr>
          <w:del w:id="102" w:author="AbbVie_HU_03" w:date="2025-05-14T15:27:00Z"/>
          <w:szCs w:val="22"/>
        </w:rPr>
      </w:pPr>
    </w:p>
    <w:p w14:paraId="0CDED725" w14:textId="1E42F397" w:rsidR="00FF46F7" w:rsidRPr="00183B5F" w:rsidRDefault="00943743" w:rsidP="00FF46F7">
      <w:pPr>
        <w:keepNext/>
        <w:spacing w:line="240" w:lineRule="auto"/>
        <w:rPr>
          <w:del w:id="103" w:author="AbbVie_HU_03" w:date="2025-05-14T15:27:00Z"/>
          <w:szCs w:val="22"/>
          <w:u w:val="single"/>
        </w:rPr>
      </w:pPr>
      <w:del w:id="104" w:author="AbbVie_HU_03" w:date="2025-05-14T15:27:00Z">
        <w:r w:rsidRPr="00183B5F">
          <w:rPr>
            <w:szCs w:val="22"/>
            <w:u w:val="single"/>
          </w:rPr>
          <w:delText>Serdülőkori hidradenitis suppurativa</w:delText>
        </w:r>
      </w:del>
    </w:p>
    <w:p w14:paraId="5BF06215" w14:textId="0987A91F" w:rsidR="00FF46F7" w:rsidRPr="00183B5F" w:rsidRDefault="00FF46F7" w:rsidP="00FF46F7">
      <w:pPr>
        <w:keepNext/>
        <w:spacing w:line="240" w:lineRule="auto"/>
        <w:rPr>
          <w:del w:id="105" w:author="AbbVie_HU_03" w:date="2025-05-14T15:27:00Z"/>
          <w:szCs w:val="22"/>
          <w:u w:val="single"/>
        </w:rPr>
      </w:pPr>
    </w:p>
    <w:p w14:paraId="2FEFAFF3" w14:textId="3F025F7F" w:rsidR="00FF46F7" w:rsidRPr="00183B5F" w:rsidRDefault="00943743" w:rsidP="00FF46F7">
      <w:pPr>
        <w:spacing w:line="240" w:lineRule="auto"/>
        <w:rPr>
          <w:del w:id="106" w:author="AbbVie_HU_03" w:date="2025-05-14T15:27:00Z"/>
          <w:szCs w:val="22"/>
        </w:rPr>
      </w:pPr>
      <w:del w:id="107" w:author="AbbVie_HU_03" w:date="2025-05-14T15:27:00Z">
        <w:r w:rsidRPr="00183B5F">
          <w:rPr>
            <w:szCs w:val="22"/>
          </w:rPr>
          <w:delText>A Humira közepesen súlyos – súlyos aktivitású hidradenitis suppurativa (HS, acne inversa) kezelésére javallott olyan serdülőknél 12 éves kortól, akik nem megfelelően reagáltak a hagyományos, szisztémás HS kezelésre (lásd 5.1 és 5.2 pont).</w:delText>
        </w:r>
      </w:del>
    </w:p>
    <w:p w14:paraId="193DBB78" w14:textId="59165191" w:rsidR="001C63CD" w:rsidRPr="00183B5F" w:rsidRDefault="001C63CD" w:rsidP="004062FE">
      <w:pPr>
        <w:spacing w:line="240" w:lineRule="auto"/>
        <w:rPr>
          <w:del w:id="108" w:author="AbbVie_HU_03" w:date="2025-05-14T15:27:00Z"/>
          <w:szCs w:val="22"/>
        </w:rPr>
      </w:pPr>
    </w:p>
    <w:p w14:paraId="704DBB4A" w14:textId="35C3704E" w:rsidR="004B4B6F" w:rsidRPr="00183B5F" w:rsidRDefault="00943743" w:rsidP="004062FE">
      <w:pPr>
        <w:keepNext/>
        <w:spacing w:line="240" w:lineRule="auto"/>
        <w:rPr>
          <w:del w:id="109" w:author="AbbVie_HU_03" w:date="2025-05-14T15:27:00Z"/>
          <w:szCs w:val="22"/>
          <w:u w:val="single"/>
        </w:rPr>
      </w:pPr>
      <w:del w:id="110" w:author="AbbVie_HU_03" w:date="2025-05-14T15:27:00Z">
        <w:r w:rsidRPr="00183B5F">
          <w:rPr>
            <w:szCs w:val="22"/>
            <w:u w:val="single"/>
          </w:rPr>
          <w:delText>Gyermekkori Crohn</w:delText>
        </w:r>
        <w:r w:rsidR="00320BAE" w:rsidRPr="00183B5F">
          <w:rPr>
            <w:szCs w:val="22"/>
            <w:u w:val="single"/>
          </w:rPr>
          <w:noBreakHyphen/>
        </w:r>
        <w:r w:rsidRPr="00183B5F">
          <w:rPr>
            <w:szCs w:val="22"/>
            <w:u w:val="single"/>
          </w:rPr>
          <w:delText>betegség</w:delText>
        </w:r>
      </w:del>
    </w:p>
    <w:p w14:paraId="7116F7C5" w14:textId="25B8378E" w:rsidR="006C7D2E" w:rsidRPr="00183B5F" w:rsidRDefault="006C7D2E" w:rsidP="004062FE">
      <w:pPr>
        <w:keepNext/>
        <w:spacing w:line="240" w:lineRule="auto"/>
        <w:rPr>
          <w:del w:id="111" w:author="AbbVie_HU_03" w:date="2025-05-14T15:27:00Z"/>
          <w:szCs w:val="22"/>
          <w:u w:val="single"/>
        </w:rPr>
      </w:pPr>
    </w:p>
    <w:p w14:paraId="192C445E" w14:textId="3A59E618" w:rsidR="00B87C91" w:rsidRPr="00183B5F" w:rsidRDefault="00943743" w:rsidP="004062FE">
      <w:pPr>
        <w:spacing w:line="240" w:lineRule="auto"/>
        <w:rPr>
          <w:del w:id="112" w:author="AbbVie_HU_03" w:date="2025-05-14T15:27:00Z"/>
          <w:szCs w:val="22"/>
        </w:rPr>
      </w:pPr>
      <w:del w:id="113" w:author="AbbVie_HU_03" w:date="2025-05-14T15:27:00Z">
        <w:r w:rsidRPr="00183B5F">
          <w:rPr>
            <w:szCs w:val="22"/>
          </w:rPr>
          <w:delText xml:space="preserve">A Humira </w:delText>
        </w:r>
        <w:r w:rsidR="00862E81" w:rsidRPr="00183B5F">
          <w:rPr>
            <w:szCs w:val="22"/>
          </w:rPr>
          <w:delText>közepesen súlyos</w:delText>
        </w:r>
        <w:r w:rsidR="0032753F" w:rsidRPr="00183B5F">
          <w:rPr>
            <w:szCs w:val="22"/>
          </w:rPr>
          <w:delText xml:space="preserve"> </w:delText>
        </w:r>
        <w:r w:rsidR="00862E81" w:rsidRPr="00183B5F">
          <w:rPr>
            <w:szCs w:val="22"/>
          </w:rPr>
          <w:noBreakHyphen/>
          <w:delText> </w:delText>
        </w:r>
        <w:r w:rsidRPr="00183B5F">
          <w:rPr>
            <w:szCs w:val="22"/>
          </w:rPr>
          <w:delText>súlyos aktivitású Crohn</w:delText>
        </w:r>
        <w:r w:rsidR="00320BAE" w:rsidRPr="00183B5F">
          <w:rPr>
            <w:szCs w:val="22"/>
          </w:rPr>
          <w:noBreakHyphen/>
        </w:r>
        <w:r w:rsidRPr="00183B5F">
          <w:rPr>
            <w:szCs w:val="22"/>
          </w:rPr>
          <w:delText>betegség kezelésére javallott olyan gyermekeknél (6</w:delText>
        </w:r>
        <w:r w:rsidR="00470E7C" w:rsidRPr="00183B5F">
          <w:rPr>
            <w:szCs w:val="22"/>
          </w:rPr>
          <w:delText> </w:delText>
        </w:r>
        <w:r w:rsidRPr="00183B5F">
          <w:rPr>
            <w:szCs w:val="22"/>
          </w:rPr>
          <w:delText>éves</w:delText>
        </w:r>
        <w:r w:rsidR="00470E7C" w:rsidRPr="00183B5F">
          <w:rPr>
            <w:szCs w:val="22"/>
          </w:rPr>
          <w:delText xml:space="preserve"> kortól</w:delText>
        </w:r>
        <w:r w:rsidRPr="00183B5F">
          <w:rPr>
            <w:szCs w:val="22"/>
          </w:rPr>
          <w:delText xml:space="preserve">), akik nem reagáltak megfelelően a hagyományos kezelésre, beleértve a primer </w:delText>
        </w:r>
        <w:r w:rsidR="00AA5F0D" w:rsidRPr="00183B5F">
          <w:rPr>
            <w:szCs w:val="22"/>
          </w:rPr>
          <w:delText>étrendi</w:delText>
        </w:r>
        <w:r w:rsidRPr="00183B5F">
          <w:rPr>
            <w:szCs w:val="22"/>
          </w:rPr>
          <w:delText xml:space="preserve"> kezelést, </w:delText>
        </w:r>
        <w:r w:rsidR="00862E81" w:rsidRPr="00183B5F">
          <w:rPr>
            <w:szCs w:val="22"/>
          </w:rPr>
          <w:delText xml:space="preserve">és </w:delText>
        </w:r>
        <w:r w:rsidR="000B3D3D" w:rsidRPr="00183B5F">
          <w:rPr>
            <w:szCs w:val="22"/>
          </w:rPr>
          <w:delText xml:space="preserve">egy </w:delText>
        </w:r>
        <w:r w:rsidRPr="00183B5F">
          <w:rPr>
            <w:szCs w:val="22"/>
          </w:rPr>
          <w:delText>kortikoszteroidot</w:delText>
        </w:r>
        <w:r w:rsidR="00862E81" w:rsidRPr="00183B5F">
          <w:rPr>
            <w:szCs w:val="22"/>
          </w:rPr>
          <w:delText>,</w:delText>
        </w:r>
        <w:r w:rsidRPr="00183B5F">
          <w:rPr>
            <w:szCs w:val="22"/>
          </w:rPr>
          <w:delText xml:space="preserve"> és</w:delText>
        </w:r>
        <w:r w:rsidR="00862E81" w:rsidRPr="00183B5F">
          <w:rPr>
            <w:szCs w:val="22"/>
          </w:rPr>
          <w:delText>/vagy</w:delText>
        </w:r>
        <w:r w:rsidRPr="00183B5F">
          <w:rPr>
            <w:szCs w:val="22"/>
          </w:rPr>
          <w:delText xml:space="preserve"> </w:delText>
        </w:r>
        <w:r w:rsidR="000B3D3D" w:rsidRPr="00183B5F">
          <w:rPr>
            <w:szCs w:val="22"/>
          </w:rPr>
          <w:delText xml:space="preserve">egy </w:delText>
        </w:r>
        <w:r w:rsidRPr="00183B5F">
          <w:rPr>
            <w:szCs w:val="22"/>
          </w:rPr>
          <w:delText>immunmodulá</w:delText>
        </w:r>
        <w:r w:rsidR="00231770" w:rsidRPr="00183B5F">
          <w:rPr>
            <w:szCs w:val="22"/>
          </w:rPr>
          <w:delText>nst</w:delText>
        </w:r>
        <w:r w:rsidR="000B3D3D" w:rsidRPr="00183B5F">
          <w:rPr>
            <w:szCs w:val="22"/>
          </w:rPr>
          <w:delText>,</w:delText>
        </w:r>
        <w:r w:rsidRPr="00183B5F">
          <w:rPr>
            <w:szCs w:val="22"/>
          </w:rPr>
          <w:delText xml:space="preserve"> vagy akik nem </w:delText>
        </w:r>
        <w:r w:rsidR="00231770" w:rsidRPr="00183B5F">
          <w:rPr>
            <w:szCs w:val="22"/>
          </w:rPr>
          <w:delText>tolerálták ezeket a szer</w:delText>
        </w:r>
        <w:r w:rsidR="00034B64" w:rsidRPr="00183B5F">
          <w:rPr>
            <w:szCs w:val="22"/>
          </w:rPr>
          <w:delText>e</w:delText>
        </w:r>
        <w:r w:rsidR="00231770" w:rsidRPr="00183B5F">
          <w:rPr>
            <w:szCs w:val="22"/>
          </w:rPr>
          <w:delText>ket</w:delText>
        </w:r>
        <w:r w:rsidRPr="00183B5F">
          <w:rPr>
            <w:szCs w:val="22"/>
          </w:rPr>
          <w:delText xml:space="preserve">, illetve akiknél ezek </w:delText>
        </w:r>
        <w:r w:rsidR="000B3D3D" w:rsidRPr="00183B5F">
          <w:rPr>
            <w:szCs w:val="22"/>
          </w:rPr>
          <w:delText>a kezelések</w:delText>
        </w:r>
        <w:r w:rsidRPr="00183B5F">
          <w:rPr>
            <w:szCs w:val="22"/>
          </w:rPr>
          <w:delText xml:space="preserve"> kontraindikált</w:delText>
        </w:r>
        <w:r w:rsidR="000B3D3D" w:rsidRPr="00183B5F">
          <w:rPr>
            <w:szCs w:val="22"/>
          </w:rPr>
          <w:delText>ak</w:delText>
        </w:r>
        <w:r w:rsidRPr="00183B5F">
          <w:rPr>
            <w:szCs w:val="22"/>
          </w:rPr>
          <w:delText>.</w:delText>
        </w:r>
      </w:del>
    </w:p>
    <w:p w14:paraId="5247911B" w14:textId="25DD0A60" w:rsidR="009D45EF" w:rsidRPr="00183B5F" w:rsidRDefault="009D45EF">
      <w:pPr>
        <w:spacing w:line="240" w:lineRule="auto"/>
        <w:rPr>
          <w:del w:id="114" w:author="AbbVie_HU_03" w:date="2025-05-14T15:27:00Z"/>
          <w:szCs w:val="22"/>
        </w:rPr>
      </w:pPr>
    </w:p>
    <w:p w14:paraId="1E96932D" w14:textId="1AA981C9" w:rsidR="006E0276" w:rsidRPr="00183B5F" w:rsidRDefault="00943743" w:rsidP="006E0276">
      <w:pPr>
        <w:spacing w:line="240" w:lineRule="auto"/>
        <w:rPr>
          <w:del w:id="115" w:author="AbbVie_HU_03" w:date="2025-05-14T15:27:00Z"/>
          <w:b/>
          <w:iCs/>
          <w:u w:val="single"/>
        </w:rPr>
      </w:pPr>
      <w:del w:id="116" w:author="AbbVie_HU_03" w:date="2025-05-14T15:27:00Z">
        <w:r w:rsidRPr="00183B5F">
          <w:rPr>
            <w:iCs/>
            <w:u w:val="single"/>
          </w:rPr>
          <w:delText>Gyermek</w:delText>
        </w:r>
        <w:r w:rsidR="00DD25C3" w:rsidRPr="00183B5F">
          <w:rPr>
            <w:iCs/>
            <w:u w:val="single"/>
          </w:rPr>
          <w:delText>- és serdülő</w:delText>
        </w:r>
        <w:r w:rsidRPr="00183B5F">
          <w:rPr>
            <w:iCs/>
            <w:u w:val="single"/>
          </w:rPr>
          <w:delText>kori colitis ulcerosa</w:delText>
        </w:r>
      </w:del>
    </w:p>
    <w:p w14:paraId="1198DB13" w14:textId="73E4BA22" w:rsidR="006E0276" w:rsidRPr="00183B5F" w:rsidRDefault="006E0276">
      <w:pPr>
        <w:spacing w:line="240" w:lineRule="auto"/>
        <w:rPr>
          <w:del w:id="117" w:author="AbbVie_HU_03" w:date="2025-05-14T15:27:00Z"/>
          <w:szCs w:val="22"/>
        </w:rPr>
      </w:pPr>
    </w:p>
    <w:p w14:paraId="30192472" w14:textId="6EF4C766" w:rsidR="009D4D26" w:rsidRPr="00183B5F" w:rsidRDefault="00943743" w:rsidP="009D4D26">
      <w:pPr>
        <w:spacing w:line="240" w:lineRule="auto"/>
        <w:rPr>
          <w:del w:id="118" w:author="AbbVie_HU_03" w:date="2025-05-14T15:27:00Z"/>
          <w:szCs w:val="22"/>
        </w:rPr>
      </w:pPr>
      <w:bookmarkStart w:id="119" w:name="_Hlk53149108"/>
      <w:del w:id="120" w:author="AbbVie_HU_03" w:date="2025-05-14T15:27:00Z">
        <w:r w:rsidRPr="00183B5F">
          <w:rPr>
            <w:szCs w:val="22"/>
          </w:rPr>
          <w:delText>A Humira közepesen súlyos – súlyos akt</w:delText>
        </w:r>
        <w:r w:rsidR="003916B1" w:rsidRPr="00183B5F">
          <w:rPr>
            <w:szCs w:val="22"/>
          </w:rPr>
          <w:delText>i</w:delText>
        </w:r>
        <w:r w:rsidRPr="00183B5F">
          <w:rPr>
            <w:szCs w:val="22"/>
          </w:rPr>
          <w:delText>v</w:delText>
        </w:r>
        <w:r w:rsidR="003916B1" w:rsidRPr="00183B5F">
          <w:rPr>
            <w:szCs w:val="22"/>
          </w:rPr>
          <w:delText>itású</w:delText>
        </w:r>
        <w:r w:rsidRPr="00183B5F">
          <w:rPr>
            <w:szCs w:val="22"/>
          </w:rPr>
          <w:delText xml:space="preserve"> colitis ulcerosa kezelésére javallott olyan gyermekeknél </w:delText>
        </w:r>
        <w:r w:rsidR="00DD25C3" w:rsidRPr="00183B5F">
          <w:rPr>
            <w:szCs w:val="22"/>
          </w:rPr>
          <w:delText xml:space="preserve">és serdülőknél </w:delText>
        </w:r>
        <w:r w:rsidRPr="00183B5F">
          <w:rPr>
            <w:szCs w:val="22"/>
          </w:rPr>
          <w:delText>(6 éves kortól), akik a hagyományos kezelésre, köztük kortikoszteroidra és 6</w:delText>
        </w:r>
        <w:r w:rsidRPr="00183B5F">
          <w:rPr>
            <w:szCs w:val="22"/>
          </w:rPr>
          <w:noBreakHyphen/>
          <w:delText>merkaptopurinra (6</w:delText>
        </w:r>
        <w:r w:rsidRPr="00183B5F">
          <w:rPr>
            <w:szCs w:val="22"/>
          </w:rPr>
          <w:noBreakHyphen/>
          <w:delText>MP) vagy azathioprinre (AZA) nem mutattak megfelelő terápiás választ, vagy nem tolerálják ezeket a kezeléseket, illetve orvosi szempontból ellenjavallt ezen gyógyszerek adása.</w:delText>
        </w:r>
        <w:bookmarkEnd w:id="119"/>
      </w:del>
    </w:p>
    <w:p w14:paraId="4F97FA43" w14:textId="3F927769" w:rsidR="009D4D26" w:rsidRPr="00183B5F" w:rsidRDefault="009D4D26">
      <w:pPr>
        <w:spacing w:line="240" w:lineRule="auto"/>
        <w:rPr>
          <w:del w:id="121" w:author="AbbVie_HU_03" w:date="2025-05-14T15:27:00Z"/>
          <w:szCs w:val="22"/>
        </w:rPr>
      </w:pPr>
    </w:p>
    <w:p w14:paraId="1468B5CF" w14:textId="06BE2E89" w:rsidR="009D45EF" w:rsidRPr="00183B5F" w:rsidRDefault="00943743" w:rsidP="004062FE">
      <w:pPr>
        <w:keepNext/>
        <w:spacing w:line="240" w:lineRule="auto"/>
        <w:rPr>
          <w:del w:id="122" w:author="AbbVie_HU_03" w:date="2025-05-14T15:27:00Z"/>
          <w:szCs w:val="22"/>
          <w:u w:val="single"/>
        </w:rPr>
      </w:pPr>
      <w:del w:id="123" w:author="AbbVie_HU_03" w:date="2025-05-14T15:27:00Z">
        <w:r w:rsidRPr="00183B5F">
          <w:rPr>
            <w:szCs w:val="22"/>
            <w:u w:val="single"/>
          </w:rPr>
          <w:delText>Gyermekkori uveitis</w:delText>
        </w:r>
      </w:del>
    </w:p>
    <w:p w14:paraId="10137508" w14:textId="490BE6C1" w:rsidR="009D45EF" w:rsidRPr="00183B5F" w:rsidRDefault="009D45EF" w:rsidP="004062FE">
      <w:pPr>
        <w:keepNext/>
        <w:spacing w:line="240" w:lineRule="auto"/>
        <w:rPr>
          <w:del w:id="124" w:author="AbbVie_HU_03" w:date="2025-05-14T15:27:00Z"/>
          <w:szCs w:val="22"/>
        </w:rPr>
      </w:pPr>
    </w:p>
    <w:p w14:paraId="557D7B89" w14:textId="2065A90F" w:rsidR="009D45EF" w:rsidRPr="00183B5F" w:rsidRDefault="00943743">
      <w:pPr>
        <w:spacing w:line="240" w:lineRule="auto"/>
        <w:rPr>
          <w:del w:id="125" w:author="AbbVie_HU_03" w:date="2025-05-14T15:27:00Z"/>
          <w:szCs w:val="22"/>
        </w:rPr>
      </w:pPr>
      <w:del w:id="126" w:author="AbbVie_HU_03" w:date="2025-05-14T15:27:00Z">
        <w:r w:rsidRPr="00183B5F">
          <w:rPr>
            <w:szCs w:val="22"/>
          </w:rPr>
          <w:delText xml:space="preserve">A Humira a krónikus, </w:delText>
        </w:r>
        <w:r w:rsidR="00ED45A7" w:rsidRPr="00183B5F">
          <w:rPr>
            <w:szCs w:val="22"/>
          </w:rPr>
          <w:delText xml:space="preserve">nem </w:delText>
        </w:r>
        <w:r w:rsidRPr="00183B5F">
          <w:rPr>
            <w:szCs w:val="22"/>
          </w:rPr>
          <w:delText>fertőzéses er</w:delText>
        </w:r>
        <w:r w:rsidR="00CE76E2" w:rsidRPr="00183B5F">
          <w:rPr>
            <w:szCs w:val="22"/>
          </w:rPr>
          <w:delText>e</w:delText>
        </w:r>
        <w:r w:rsidRPr="00183B5F">
          <w:rPr>
            <w:szCs w:val="22"/>
          </w:rPr>
          <w:delText>detű anterior uveitis kezelésére javallott olyan 2 évnél idősebb gyermekek</w:delText>
        </w:r>
        <w:r w:rsidR="00D34421" w:rsidRPr="00183B5F">
          <w:rPr>
            <w:szCs w:val="22"/>
          </w:rPr>
          <w:delText>nél</w:delText>
        </w:r>
        <w:r w:rsidR="008D7521" w:rsidRPr="00183B5F">
          <w:rPr>
            <w:szCs w:val="22"/>
          </w:rPr>
          <w:delText>, akik</w:delText>
        </w:r>
        <w:r w:rsidRPr="00183B5F">
          <w:rPr>
            <w:szCs w:val="22"/>
          </w:rPr>
          <w:delText xml:space="preserve"> nem megfel</w:delText>
        </w:r>
        <w:r w:rsidR="006F700B" w:rsidRPr="00183B5F">
          <w:rPr>
            <w:szCs w:val="22"/>
          </w:rPr>
          <w:delText>el</w:delText>
        </w:r>
        <w:r w:rsidRPr="00183B5F">
          <w:rPr>
            <w:szCs w:val="22"/>
          </w:rPr>
          <w:delText>ően reagál</w:delText>
        </w:r>
        <w:r w:rsidR="00802DCD" w:rsidRPr="00183B5F">
          <w:rPr>
            <w:szCs w:val="22"/>
          </w:rPr>
          <w:delText>t</w:delText>
        </w:r>
        <w:r w:rsidRPr="00183B5F">
          <w:rPr>
            <w:szCs w:val="22"/>
          </w:rPr>
          <w:delText xml:space="preserve">ak </w:delText>
        </w:r>
        <w:r w:rsidR="002C6A2C" w:rsidRPr="00183B5F">
          <w:rPr>
            <w:szCs w:val="22"/>
          </w:rPr>
          <w:delText xml:space="preserve">a hagyományos kezelésre </w:delText>
        </w:r>
        <w:r w:rsidRPr="00183B5F">
          <w:rPr>
            <w:szCs w:val="22"/>
          </w:rPr>
          <w:delText xml:space="preserve">vagy </w:delText>
        </w:r>
        <w:r w:rsidR="002C6A2C" w:rsidRPr="00183B5F">
          <w:rPr>
            <w:szCs w:val="22"/>
          </w:rPr>
          <w:delText xml:space="preserve">nem </w:delText>
        </w:r>
        <w:r w:rsidRPr="00183B5F">
          <w:rPr>
            <w:szCs w:val="22"/>
          </w:rPr>
          <w:delText>tolerá</w:delText>
        </w:r>
        <w:r w:rsidR="002C6A2C" w:rsidRPr="00183B5F">
          <w:rPr>
            <w:szCs w:val="22"/>
          </w:rPr>
          <w:delText>lták azt</w:delText>
        </w:r>
        <w:r w:rsidRPr="00183B5F">
          <w:rPr>
            <w:szCs w:val="22"/>
          </w:rPr>
          <w:delText>, illetve akik</w:delText>
        </w:r>
        <w:r w:rsidR="00997B75" w:rsidRPr="00183B5F">
          <w:rPr>
            <w:szCs w:val="22"/>
          </w:rPr>
          <w:delText>nél</w:delText>
        </w:r>
        <w:r w:rsidRPr="00183B5F">
          <w:rPr>
            <w:szCs w:val="22"/>
          </w:rPr>
          <w:delText xml:space="preserve"> a hagyományos kezelés nem </w:delText>
        </w:r>
        <w:r w:rsidR="005A1C18" w:rsidRPr="00183B5F">
          <w:rPr>
            <w:szCs w:val="22"/>
          </w:rPr>
          <w:delText>alkalmazható</w:delText>
        </w:r>
        <w:r w:rsidRPr="00183B5F">
          <w:rPr>
            <w:szCs w:val="22"/>
          </w:rPr>
          <w:delText>.</w:delText>
        </w:r>
      </w:del>
    </w:p>
    <w:p w14:paraId="49F9297C" w14:textId="77136D34" w:rsidR="00005622" w:rsidRPr="00183B5F" w:rsidRDefault="00005622">
      <w:pPr>
        <w:spacing w:line="240" w:lineRule="auto"/>
        <w:rPr>
          <w:del w:id="127" w:author="AbbVie_HU_03" w:date="2025-05-14T15:27:00Z"/>
          <w:szCs w:val="22"/>
        </w:rPr>
      </w:pPr>
    </w:p>
    <w:p w14:paraId="76B95768" w14:textId="2CDF080E" w:rsidR="00FB6710" w:rsidRPr="00183B5F" w:rsidRDefault="00943743" w:rsidP="004062FE">
      <w:pPr>
        <w:keepNext/>
        <w:spacing w:line="240" w:lineRule="auto"/>
        <w:ind w:left="567" w:hanging="567"/>
        <w:rPr>
          <w:del w:id="128" w:author="AbbVie_HU_03" w:date="2025-05-14T15:27:00Z"/>
          <w:b/>
          <w:szCs w:val="22"/>
        </w:rPr>
      </w:pPr>
      <w:del w:id="129" w:author="AbbVie_HU_03" w:date="2025-05-14T15:27:00Z">
        <w:r w:rsidRPr="00183B5F">
          <w:rPr>
            <w:b/>
            <w:szCs w:val="22"/>
          </w:rPr>
          <w:delText>4.2</w:delText>
        </w:r>
        <w:r w:rsidRPr="00183B5F">
          <w:rPr>
            <w:b/>
            <w:szCs w:val="22"/>
          </w:rPr>
          <w:tab/>
        </w:r>
        <w:r w:rsidRPr="00183B5F">
          <w:rPr>
            <w:b/>
            <w:szCs w:val="22"/>
          </w:rPr>
          <w:delText>Adagolás és alkalmazás</w:delText>
        </w:r>
      </w:del>
    </w:p>
    <w:p w14:paraId="3F5B170F" w14:textId="0344D48F" w:rsidR="00FB6710" w:rsidRPr="00183B5F" w:rsidRDefault="00FB6710" w:rsidP="004062FE">
      <w:pPr>
        <w:keepNext/>
        <w:spacing w:line="240" w:lineRule="auto"/>
        <w:rPr>
          <w:del w:id="130" w:author="AbbVie_HU_03" w:date="2025-05-14T15:27:00Z"/>
          <w:szCs w:val="22"/>
        </w:rPr>
      </w:pPr>
    </w:p>
    <w:p w14:paraId="2490720B" w14:textId="18CBFDFA" w:rsidR="00FB6710" w:rsidRPr="00183B5F" w:rsidRDefault="00943743" w:rsidP="004062FE">
      <w:pPr>
        <w:keepNext/>
        <w:spacing w:line="240" w:lineRule="auto"/>
        <w:rPr>
          <w:del w:id="131" w:author="AbbVie_HU_03" w:date="2025-05-14T15:27:00Z"/>
          <w:szCs w:val="22"/>
        </w:rPr>
      </w:pPr>
      <w:del w:id="132" w:author="AbbVie_HU_03" w:date="2025-05-14T15:27:00Z">
        <w:r w:rsidRPr="00183B5F">
          <w:rPr>
            <w:szCs w:val="22"/>
          </w:rPr>
          <w:delText>Humira</w:delText>
        </w:r>
        <w:r w:rsidR="00F0730A" w:rsidRPr="00183B5F">
          <w:rPr>
            <w:szCs w:val="22"/>
          </w:rPr>
          <w:noBreakHyphen/>
        </w:r>
        <w:r w:rsidRPr="00183B5F">
          <w:rPr>
            <w:szCs w:val="22"/>
          </w:rPr>
          <w:delText>val történő kezelést csak olyan szakorvos kezdhet el, illetve folytathat, aki jártas a</w:delText>
        </w:r>
        <w:r w:rsidR="005F2B47" w:rsidRPr="00183B5F">
          <w:rPr>
            <w:szCs w:val="22"/>
          </w:rPr>
          <w:delText>zoknak a betegségeknek a</w:delText>
        </w:r>
        <w:r w:rsidRPr="00183B5F">
          <w:rPr>
            <w:szCs w:val="22"/>
          </w:rPr>
          <w:delText xml:space="preserve"> diagnosztikájában és kezelésében</w:delText>
        </w:r>
        <w:r w:rsidR="005F2B47" w:rsidRPr="00183B5F">
          <w:rPr>
            <w:szCs w:val="22"/>
          </w:rPr>
          <w:delText>, amikre a Humira javall</w:delText>
        </w:r>
        <w:r w:rsidR="0056561A" w:rsidRPr="00183B5F">
          <w:rPr>
            <w:szCs w:val="22"/>
          </w:rPr>
          <w:delText>ot</w:delText>
        </w:r>
        <w:r w:rsidR="005F2B47" w:rsidRPr="00183B5F">
          <w:rPr>
            <w:szCs w:val="22"/>
          </w:rPr>
          <w:delText>t</w:delText>
        </w:r>
        <w:r w:rsidRPr="00183B5F">
          <w:rPr>
            <w:szCs w:val="22"/>
          </w:rPr>
          <w:delText xml:space="preserve">. </w:delText>
        </w:r>
        <w:r w:rsidR="006245BE" w:rsidRPr="00183B5F">
          <w:rPr>
            <w:szCs w:val="22"/>
          </w:rPr>
          <w:delText>Javasolt, hogy a szemészek a Humira</w:delText>
        </w:r>
        <w:r w:rsidR="006245BE" w:rsidRPr="00183B5F">
          <w:rPr>
            <w:szCs w:val="22"/>
          </w:rPr>
          <w:noBreakHyphen/>
          <w:delText xml:space="preserve">kezelés megkezdése előtt konzultáljanak a megfelelő szakorvossal (lásd 4.4 pont). </w:delText>
        </w:r>
        <w:r w:rsidRPr="00183B5F">
          <w:rPr>
            <w:szCs w:val="22"/>
          </w:rPr>
          <w:delText>A Humira</w:delText>
        </w:r>
        <w:r w:rsidR="00F0730A" w:rsidRPr="00183B5F">
          <w:rPr>
            <w:szCs w:val="22"/>
          </w:rPr>
          <w:noBreakHyphen/>
        </w:r>
        <w:r w:rsidRPr="00183B5F">
          <w:rPr>
            <w:szCs w:val="22"/>
          </w:rPr>
          <w:delText xml:space="preserve">val kezelt betegek egy </w:delText>
        </w:r>
        <w:r w:rsidR="0048779F" w:rsidRPr="00183B5F">
          <w:rPr>
            <w:szCs w:val="22"/>
          </w:rPr>
          <w:delText>Betegemlékeztető</w:delText>
        </w:r>
        <w:r w:rsidRPr="00183B5F">
          <w:rPr>
            <w:szCs w:val="22"/>
          </w:rPr>
          <w:delText xml:space="preserve"> </w:delText>
        </w:r>
        <w:r w:rsidR="00A238A1" w:rsidRPr="00183B5F">
          <w:rPr>
            <w:szCs w:val="22"/>
          </w:rPr>
          <w:delText>Kártyát</w:delText>
        </w:r>
        <w:r w:rsidRPr="00183B5F">
          <w:rPr>
            <w:szCs w:val="22"/>
          </w:rPr>
          <w:delText xml:space="preserve"> kapnak.</w:delText>
        </w:r>
      </w:del>
    </w:p>
    <w:p w14:paraId="5473D06F" w14:textId="64DB28A6" w:rsidR="00FB6710" w:rsidRPr="00183B5F" w:rsidRDefault="00FB6710" w:rsidP="004062FE">
      <w:pPr>
        <w:spacing w:line="240" w:lineRule="auto"/>
        <w:rPr>
          <w:del w:id="133" w:author="AbbVie_HU_03" w:date="2025-05-14T15:27:00Z"/>
          <w:szCs w:val="22"/>
        </w:rPr>
      </w:pPr>
    </w:p>
    <w:p w14:paraId="7A101441" w14:textId="2C8267E9" w:rsidR="00FB6710" w:rsidRPr="00183B5F" w:rsidRDefault="00943743" w:rsidP="004062FE">
      <w:pPr>
        <w:spacing w:line="240" w:lineRule="auto"/>
        <w:rPr>
          <w:del w:id="134" w:author="AbbVie_HU_03" w:date="2025-05-14T15:27:00Z"/>
          <w:szCs w:val="22"/>
        </w:rPr>
      </w:pPr>
      <w:del w:id="135" w:author="AbbVie_HU_03" w:date="2025-05-14T15:27:00Z">
        <w:r w:rsidRPr="00183B5F">
          <w:rPr>
            <w:szCs w:val="22"/>
          </w:rPr>
          <w:delText>A helyes injekciós technika elsajátítása után a betegek, ha az orvos úgy ítéli meg, akár önmaguknak is beadhatják a Humira</w:delText>
        </w:r>
        <w:r w:rsidR="00F0730A" w:rsidRPr="00183B5F">
          <w:rPr>
            <w:szCs w:val="22"/>
          </w:rPr>
          <w:noBreakHyphen/>
        </w:r>
        <w:r w:rsidRPr="00183B5F">
          <w:rPr>
            <w:szCs w:val="22"/>
          </w:rPr>
          <w:delText>t, szükség szerinti orvosi ellenőrzés mellett.</w:delText>
        </w:r>
      </w:del>
    </w:p>
    <w:p w14:paraId="55E5EAF6" w14:textId="21D91EB4" w:rsidR="00BB741E" w:rsidRPr="00183B5F" w:rsidRDefault="00BB741E" w:rsidP="004062FE">
      <w:pPr>
        <w:spacing w:line="240" w:lineRule="auto"/>
        <w:rPr>
          <w:del w:id="136" w:author="AbbVie_HU_03" w:date="2025-05-14T15:27:00Z"/>
          <w:szCs w:val="22"/>
        </w:rPr>
      </w:pPr>
    </w:p>
    <w:p w14:paraId="7073C830" w14:textId="12B107CE" w:rsidR="00BB741E" w:rsidRPr="00183B5F" w:rsidRDefault="00943743" w:rsidP="004062FE">
      <w:pPr>
        <w:spacing w:line="240" w:lineRule="auto"/>
        <w:rPr>
          <w:del w:id="137" w:author="AbbVie_HU_03" w:date="2025-05-14T15:27:00Z"/>
          <w:szCs w:val="22"/>
        </w:rPr>
      </w:pPr>
      <w:del w:id="138" w:author="AbbVie_HU_03" w:date="2025-05-14T15:27:00Z">
        <w:r w:rsidRPr="00183B5F">
          <w:rPr>
            <w:szCs w:val="22"/>
          </w:rPr>
          <w:delText>A Humira</w:delText>
        </w:r>
        <w:r w:rsidRPr="00183B5F">
          <w:rPr>
            <w:szCs w:val="22"/>
          </w:rPr>
          <w:noBreakHyphen/>
          <w:delText xml:space="preserve">kezelés ideje alatt optimalizálni kell a más szerek (pl. kortikoszteroidok és/vagy immunmodulánsok) alkalmazásával végzett </w:delText>
        </w:r>
        <w:r w:rsidR="00A43FB3" w:rsidRPr="00183B5F">
          <w:rPr>
            <w:szCs w:val="22"/>
          </w:rPr>
          <w:delText xml:space="preserve">egyidejű </w:delText>
        </w:r>
        <w:r w:rsidRPr="00183B5F">
          <w:rPr>
            <w:szCs w:val="22"/>
          </w:rPr>
          <w:delText>terápiá</w:delText>
        </w:r>
        <w:r w:rsidR="00A43FB3" w:rsidRPr="00183B5F">
          <w:rPr>
            <w:szCs w:val="22"/>
          </w:rPr>
          <w:delText>ka</w:delText>
        </w:r>
        <w:r w:rsidRPr="00183B5F">
          <w:rPr>
            <w:szCs w:val="22"/>
          </w:rPr>
          <w:delText>t.</w:delText>
        </w:r>
      </w:del>
    </w:p>
    <w:p w14:paraId="24D3DE10" w14:textId="2C852EB2" w:rsidR="00FB6710" w:rsidRPr="00183B5F" w:rsidRDefault="00FB6710">
      <w:pPr>
        <w:spacing w:line="240" w:lineRule="auto"/>
        <w:rPr>
          <w:del w:id="139" w:author="AbbVie_HU_03" w:date="2025-05-14T15:27:00Z"/>
          <w:szCs w:val="22"/>
        </w:rPr>
      </w:pPr>
    </w:p>
    <w:p w14:paraId="6EFAD2C4" w14:textId="6F7C9751" w:rsidR="006F09A4" w:rsidRPr="00183B5F" w:rsidRDefault="00943743" w:rsidP="004062FE">
      <w:pPr>
        <w:keepNext/>
        <w:spacing w:line="240" w:lineRule="auto"/>
        <w:rPr>
          <w:del w:id="140" w:author="AbbVie_HU_03" w:date="2025-05-14T15:27:00Z"/>
          <w:szCs w:val="22"/>
          <w:u w:val="single"/>
        </w:rPr>
      </w:pPr>
      <w:del w:id="141" w:author="AbbVie_HU_03" w:date="2025-05-14T15:27:00Z">
        <w:r w:rsidRPr="00183B5F">
          <w:rPr>
            <w:szCs w:val="22"/>
            <w:u w:val="single"/>
          </w:rPr>
          <w:delText>Adagolás</w:delText>
        </w:r>
      </w:del>
    </w:p>
    <w:p w14:paraId="2774A9EF" w14:textId="19C5FD35" w:rsidR="006F09A4" w:rsidRPr="00183B5F" w:rsidRDefault="006F09A4">
      <w:pPr>
        <w:spacing w:line="240" w:lineRule="auto"/>
        <w:rPr>
          <w:del w:id="142" w:author="AbbVie_HU_03" w:date="2025-05-14T15:27:00Z"/>
          <w:szCs w:val="22"/>
        </w:rPr>
      </w:pPr>
    </w:p>
    <w:p w14:paraId="41A7EBB3" w14:textId="320208E5" w:rsidR="00FB6710" w:rsidRPr="00183B5F" w:rsidRDefault="00943743">
      <w:pPr>
        <w:pStyle w:val="EMEAHeadingUnderline"/>
        <w:keepNext/>
        <w:spacing w:beforeLines="0" w:afterLines="0"/>
        <w:rPr>
          <w:del w:id="143" w:author="AbbVie_HU_03" w:date="2025-05-14T15:27:00Z"/>
          <w:szCs w:val="22"/>
          <w:lang w:val="hu-HU"/>
        </w:rPr>
      </w:pPr>
      <w:del w:id="144" w:author="AbbVie_HU_03" w:date="2025-05-14T15:27:00Z">
        <w:r w:rsidRPr="00183B5F">
          <w:rPr>
            <w:szCs w:val="22"/>
            <w:lang w:val="hu-HU"/>
          </w:rPr>
          <w:delText>Gyermekek</w:delText>
        </w:r>
        <w:r w:rsidR="00160AD5" w:rsidRPr="00183B5F">
          <w:rPr>
            <w:szCs w:val="22"/>
            <w:lang w:val="hu-HU"/>
          </w:rPr>
          <w:delText xml:space="preserve"> és serdülők</w:delText>
        </w:r>
      </w:del>
    </w:p>
    <w:p w14:paraId="6209FC81" w14:textId="131BFB22" w:rsidR="00891560" w:rsidRPr="00183B5F" w:rsidRDefault="00891560">
      <w:pPr>
        <w:pStyle w:val="DefaultText"/>
        <w:keepNext/>
        <w:rPr>
          <w:del w:id="145" w:author="AbbVie_HU_03" w:date="2025-05-14T15:27:00Z"/>
          <w:rFonts w:ascii="Times New Roman" w:hAnsi="Times New Roman"/>
          <w:szCs w:val="22"/>
          <w:lang w:val="hu-HU"/>
        </w:rPr>
      </w:pPr>
    </w:p>
    <w:p w14:paraId="3428CFD5" w14:textId="687BB185" w:rsidR="005F2B47" w:rsidRPr="00183B5F" w:rsidRDefault="00943743">
      <w:pPr>
        <w:pStyle w:val="DefaultText"/>
        <w:keepNext/>
        <w:rPr>
          <w:del w:id="146" w:author="AbbVie_HU_03" w:date="2025-05-14T15:27:00Z"/>
          <w:rFonts w:ascii="Times New Roman" w:hAnsi="Times New Roman"/>
          <w:i/>
          <w:szCs w:val="22"/>
          <w:lang w:val="hu-HU"/>
        </w:rPr>
      </w:pPr>
      <w:del w:id="147" w:author="AbbVie_HU_03" w:date="2025-05-14T15:27:00Z">
        <w:r w:rsidRPr="00183B5F">
          <w:rPr>
            <w:rFonts w:ascii="Times New Roman" w:hAnsi="Times New Roman"/>
            <w:i/>
            <w:szCs w:val="22"/>
            <w:lang w:val="hu-HU"/>
          </w:rPr>
          <w:delText>Juvenilis idiopathi</w:delText>
        </w:r>
        <w:r w:rsidR="00076DEB" w:rsidRPr="00183B5F">
          <w:rPr>
            <w:rFonts w:ascii="Times New Roman" w:hAnsi="Times New Roman"/>
            <w:i/>
            <w:szCs w:val="22"/>
            <w:lang w:val="hu-HU"/>
          </w:rPr>
          <w:delText>á</w:delText>
        </w:r>
        <w:r w:rsidRPr="00183B5F">
          <w:rPr>
            <w:rFonts w:ascii="Times New Roman" w:hAnsi="Times New Roman"/>
            <w:i/>
            <w:szCs w:val="22"/>
            <w:lang w:val="hu-HU"/>
          </w:rPr>
          <w:delText>s arthritis</w:delText>
        </w:r>
      </w:del>
    </w:p>
    <w:p w14:paraId="1CB9F898" w14:textId="6C562B42" w:rsidR="005F2B47" w:rsidRPr="00183B5F" w:rsidRDefault="005F2B47">
      <w:pPr>
        <w:pStyle w:val="DefaultText"/>
        <w:keepNext/>
        <w:rPr>
          <w:del w:id="148" w:author="AbbVie_HU_03" w:date="2025-05-14T15:27:00Z"/>
          <w:rFonts w:ascii="Times New Roman" w:hAnsi="Times New Roman"/>
          <w:szCs w:val="22"/>
          <w:lang w:val="hu-HU"/>
        </w:rPr>
      </w:pPr>
    </w:p>
    <w:p w14:paraId="2582AD5F" w14:textId="6ABDDE15" w:rsidR="00FB6710" w:rsidRPr="00183B5F" w:rsidRDefault="00943743">
      <w:pPr>
        <w:pStyle w:val="DefaultText"/>
        <w:keepNext/>
        <w:rPr>
          <w:del w:id="149" w:author="AbbVie_HU_03" w:date="2025-05-14T15:27:00Z"/>
          <w:rFonts w:ascii="Times New Roman" w:hAnsi="Times New Roman"/>
          <w:i/>
          <w:szCs w:val="22"/>
          <w:u w:val="single"/>
          <w:lang w:val="hu-HU"/>
        </w:rPr>
      </w:pPr>
      <w:del w:id="150" w:author="AbbVie_HU_03" w:date="2025-05-14T15:27:00Z">
        <w:r w:rsidRPr="00183B5F">
          <w:rPr>
            <w:rFonts w:ascii="Times New Roman" w:hAnsi="Times New Roman"/>
            <w:i/>
            <w:szCs w:val="22"/>
            <w:u w:val="single"/>
            <w:lang w:val="hu-HU"/>
          </w:rPr>
          <w:delText>Polyarticularis juvenilis idiopathiás arthritis</w:delText>
        </w:r>
        <w:r w:rsidR="00BE48FA" w:rsidRPr="00183B5F">
          <w:rPr>
            <w:rFonts w:ascii="Times New Roman" w:hAnsi="Times New Roman"/>
            <w:i/>
            <w:szCs w:val="22"/>
            <w:u w:val="single"/>
            <w:lang w:val="hu-HU"/>
          </w:rPr>
          <w:delText xml:space="preserve"> </w:delText>
        </w:r>
        <w:r w:rsidR="006E4B4A" w:rsidRPr="00183B5F">
          <w:rPr>
            <w:rFonts w:ascii="Times New Roman" w:hAnsi="Times New Roman"/>
            <w:i/>
            <w:szCs w:val="22"/>
            <w:u w:val="single"/>
            <w:lang w:val="hu-HU"/>
          </w:rPr>
          <w:delText>2 </w:delText>
        </w:r>
        <w:r w:rsidR="003E356B" w:rsidRPr="00183B5F">
          <w:rPr>
            <w:rFonts w:ascii="Times New Roman" w:hAnsi="Times New Roman"/>
            <w:i/>
            <w:szCs w:val="22"/>
            <w:u w:val="single"/>
            <w:lang w:val="hu-HU"/>
          </w:rPr>
          <w:delText>éves kor</w:delText>
        </w:r>
        <w:r w:rsidR="00BB741E" w:rsidRPr="00183B5F">
          <w:rPr>
            <w:rFonts w:ascii="Times New Roman" w:hAnsi="Times New Roman"/>
            <w:i/>
            <w:szCs w:val="22"/>
            <w:u w:val="single"/>
            <w:lang w:val="hu-HU"/>
          </w:rPr>
          <w:delText>tól</w:delText>
        </w:r>
      </w:del>
    </w:p>
    <w:p w14:paraId="2141DA4C" w14:textId="10FDC8EA" w:rsidR="00FB6710" w:rsidRPr="00183B5F" w:rsidRDefault="00FB6710">
      <w:pPr>
        <w:pStyle w:val="DefaultText"/>
        <w:keepNext/>
        <w:rPr>
          <w:del w:id="151" w:author="AbbVie_HU_03" w:date="2025-05-14T15:27:00Z"/>
          <w:rFonts w:ascii="Times New Roman" w:hAnsi="Times New Roman"/>
          <w:szCs w:val="22"/>
          <w:u w:val="single"/>
          <w:lang w:val="hu-HU"/>
        </w:rPr>
      </w:pPr>
    </w:p>
    <w:p w14:paraId="766065B4" w14:textId="547CCC13" w:rsidR="00B53A7B" w:rsidRPr="00183B5F" w:rsidRDefault="00943743" w:rsidP="0009469D">
      <w:pPr>
        <w:keepNext/>
        <w:spacing w:line="240" w:lineRule="auto"/>
        <w:rPr>
          <w:del w:id="152" w:author="AbbVie_HU_03" w:date="2025-05-14T15:27:00Z"/>
          <w:szCs w:val="22"/>
        </w:rPr>
      </w:pPr>
      <w:del w:id="153" w:author="AbbVie_HU_03" w:date="2025-05-14T15:27:00Z">
        <w:r w:rsidRPr="00183B5F">
          <w:rPr>
            <w:szCs w:val="22"/>
          </w:rPr>
          <w:delText xml:space="preserve">A Humira ajánlott adagja polyarticularis juvenilis idiopathiás arthritisben </w:delText>
        </w:r>
        <w:r w:rsidR="00DD77ED" w:rsidRPr="00183B5F">
          <w:rPr>
            <w:szCs w:val="22"/>
          </w:rPr>
          <w:delText>szenvedő</w:delText>
        </w:r>
        <w:r w:rsidR="00A0313B" w:rsidRPr="00183B5F">
          <w:rPr>
            <w:szCs w:val="22"/>
          </w:rPr>
          <w:delText>,</w:delText>
        </w:r>
        <w:r w:rsidR="00DD77ED" w:rsidRPr="00183B5F">
          <w:rPr>
            <w:szCs w:val="22"/>
          </w:rPr>
          <w:delText xml:space="preserve"> </w:delText>
        </w:r>
        <w:r w:rsidR="00BB741E" w:rsidRPr="00183B5F">
          <w:rPr>
            <w:szCs w:val="22"/>
          </w:rPr>
          <w:delText>2 éves kor felett</w:delText>
        </w:r>
        <w:r w:rsidR="00DD77ED" w:rsidRPr="00183B5F">
          <w:rPr>
            <w:szCs w:val="22"/>
          </w:rPr>
          <w:delText>i</w:delText>
        </w:r>
        <w:r w:rsidR="00BB741E" w:rsidRPr="00183B5F">
          <w:rPr>
            <w:szCs w:val="22"/>
          </w:rPr>
          <w:delText xml:space="preserve"> </w:delText>
        </w:r>
        <w:r w:rsidR="00DD77ED" w:rsidRPr="00183B5F">
          <w:rPr>
            <w:szCs w:val="22"/>
          </w:rPr>
          <w:delText xml:space="preserve">betegeknél a </w:delText>
        </w:r>
        <w:r w:rsidR="00BB741E" w:rsidRPr="00183B5F">
          <w:rPr>
            <w:szCs w:val="22"/>
          </w:rPr>
          <w:delText>testtömegtől függ (1. táblázat)</w:delText>
        </w:r>
        <w:r w:rsidR="00052346" w:rsidRPr="00183B5F">
          <w:rPr>
            <w:szCs w:val="22"/>
          </w:rPr>
          <w:delText>.</w:delText>
        </w:r>
        <w:r w:rsidR="00BB741E" w:rsidRPr="00183B5F">
          <w:rPr>
            <w:szCs w:val="22"/>
          </w:rPr>
          <w:delText xml:space="preserve"> A Humira</w:delText>
        </w:r>
        <w:r w:rsidR="00DD77ED" w:rsidRPr="00183B5F">
          <w:rPr>
            <w:szCs w:val="22"/>
          </w:rPr>
          <w:noBreakHyphen/>
        </w:r>
        <w:r w:rsidR="00BB741E" w:rsidRPr="00183B5F">
          <w:rPr>
            <w:szCs w:val="22"/>
          </w:rPr>
          <w:delText xml:space="preserve">t minden második héten </w:delText>
        </w:r>
        <w:r w:rsidR="00EE0502" w:rsidRPr="00183B5F">
          <w:rPr>
            <w:szCs w:val="22"/>
          </w:rPr>
          <w:delText>subcutan</w:delText>
        </w:r>
        <w:r w:rsidRPr="00183B5F">
          <w:rPr>
            <w:szCs w:val="22"/>
          </w:rPr>
          <w:delText xml:space="preserve"> injekció formájában</w:delText>
        </w:r>
        <w:r w:rsidR="0094177A" w:rsidRPr="00183B5F">
          <w:rPr>
            <w:szCs w:val="22"/>
          </w:rPr>
          <w:delText xml:space="preserve"> </w:delText>
        </w:r>
        <w:r w:rsidR="00DD77ED" w:rsidRPr="00183B5F">
          <w:rPr>
            <w:szCs w:val="22"/>
          </w:rPr>
          <w:delText xml:space="preserve">kell </w:delText>
        </w:r>
        <w:r w:rsidR="0094177A" w:rsidRPr="00183B5F">
          <w:rPr>
            <w:szCs w:val="22"/>
          </w:rPr>
          <w:delText>alkalmaz</w:delText>
        </w:r>
        <w:r w:rsidR="00DD77ED" w:rsidRPr="00183B5F">
          <w:rPr>
            <w:szCs w:val="22"/>
          </w:rPr>
          <w:delText>ni</w:delText>
        </w:r>
        <w:r w:rsidRPr="00183B5F">
          <w:rPr>
            <w:szCs w:val="22"/>
          </w:rPr>
          <w:delText>.</w:delText>
        </w:r>
      </w:del>
    </w:p>
    <w:p w14:paraId="6B2AB142" w14:textId="52ADCF0A" w:rsidR="00BB741E" w:rsidRPr="00183B5F" w:rsidRDefault="00BB741E" w:rsidP="0009469D">
      <w:pPr>
        <w:keepNext/>
        <w:spacing w:line="240" w:lineRule="auto"/>
        <w:rPr>
          <w:del w:id="154" w:author="AbbVie_HU_03" w:date="2025-05-14T15:27:00Z"/>
          <w:szCs w:val="22"/>
        </w:rPr>
      </w:pPr>
    </w:p>
    <w:p w14:paraId="5FDF2F61" w14:textId="18E1F633" w:rsidR="00BB741E" w:rsidRPr="00183B5F" w:rsidRDefault="00943743" w:rsidP="004062FE">
      <w:pPr>
        <w:spacing w:line="240" w:lineRule="auto"/>
        <w:jc w:val="center"/>
        <w:rPr>
          <w:del w:id="155" w:author="AbbVie_HU_03" w:date="2025-05-14T15:27:00Z"/>
          <w:b/>
          <w:szCs w:val="22"/>
        </w:rPr>
      </w:pPr>
      <w:del w:id="156" w:author="AbbVie_HU_03" w:date="2025-05-14T15:27:00Z">
        <w:r w:rsidRPr="00183B5F">
          <w:rPr>
            <w:b/>
            <w:szCs w:val="22"/>
          </w:rPr>
          <w:delText>1. táblázat: A Humira dózisa polyarticularis juvenilis idiopathiás arthritisben szenvedő betegek</w:delText>
        </w:r>
        <w:r w:rsidR="002D1E82" w:rsidRPr="00183B5F">
          <w:rPr>
            <w:b/>
            <w:szCs w:val="22"/>
          </w:rPr>
          <w:delText>nél</w:delText>
        </w:r>
      </w:del>
    </w:p>
    <w:p w14:paraId="10298691" w14:textId="2FAEC72A" w:rsidR="00BB741E" w:rsidRPr="00183B5F" w:rsidRDefault="00BB741E" w:rsidP="004062FE">
      <w:pPr>
        <w:spacing w:line="240" w:lineRule="auto"/>
        <w:rPr>
          <w:del w:id="157" w:author="AbbVie_HU_03" w:date="2025-05-14T15:27:00Z"/>
          <w:szCs w:val="22"/>
        </w:rPr>
      </w:pPr>
    </w:p>
    <w:tbl>
      <w:tblPr>
        <w:tblW w:w="6795" w:type="dxa"/>
        <w:jc w:val="center"/>
        <w:tblLayout w:type="fixed"/>
        <w:tblLook w:val="0000" w:firstRow="0" w:lastRow="0" w:firstColumn="0" w:lastColumn="0" w:noHBand="0" w:noVBand="0"/>
      </w:tblPr>
      <w:tblGrid>
        <w:gridCol w:w="3401"/>
        <w:gridCol w:w="3394"/>
      </w:tblGrid>
      <w:tr w:rsidR="00011D2F" w14:paraId="234D169A" w14:textId="08EB0982" w:rsidTr="00832DC3">
        <w:trPr>
          <w:tblHeader/>
          <w:jc w:val="center"/>
          <w:del w:id="158" w:author="AbbVie_HU_03" w:date="2025-05-14T15:27:00Z"/>
        </w:trPr>
        <w:tc>
          <w:tcPr>
            <w:tcW w:w="3401" w:type="dxa"/>
            <w:tcBorders>
              <w:top w:val="single" w:sz="4" w:space="0" w:color="auto"/>
              <w:bottom w:val="single" w:sz="4" w:space="0" w:color="auto"/>
            </w:tcBorders>
          </w:tcPr>
          <w:p w14:paraId="241C127D" w14:textId="371BE99F" w:rsidR="00BB741E" w:rsidRPr="00183B5F" w:rsidRDefault="00943743" w:rsidP="004062FE">
            <w:pPr>
              <w:pStyle w:val="TableLeft"/>
              <w:spacing w:before="0" w:after="0" w:line="240" w:lineRule="auto"/>
              <w:jc w:val="center"/>
              <w:rPr>
                <w:del w:id="159" w:author="AbbVie_HU_03" w:date="2025-05-14T15:27:00Z"/>
                <w:b/>
                <w:sz w:val="22"/>
                <w:szCs w:val="22"/>
                <w:lang w:val="hu-HU"/>
              </w:rPr>
            </w:pPr>
            <w:del w:id="160" w:author="AbbVie_HU_03" w:date="2025-05-14T15:27:00Z">
              <w:r w:rsidRPr="00183B5F">
                <w:rPr>
                  <w:b/>
                  <w:sz w:val="22"/>
                  <w:szCs w:val="22"/>
                  <w:lang w:val="hu-HU"/>
                </w:rPr>
                <w:delText xml:space="preserve">A beteg testtömege </w:delText>
              </w:r>
            </w:del>
          </w:p>
        </w:tc>
        <w:tc>
          <w:tcPr>
            <w:tcW w:w="3394" w:type="dxa"/>
            <w:tcBorders>
              <w:top w:val="single" w:sz="4" w:space="0" w:color="auto"/>
              <w:bottom w:val="single" w:sz="4" w:space="0" w:color="auto"/>
            </w:tcBorders>
          </w:tcPr>
          <w:p w14:paraId="63FE0685" w14:textId="1FB1F404" w:rsidR="00BB741E" w:rsidRPr="00183B5F" w:rsidRDefault="00943743" w:rsidP="004062FE">
            <w:pPr>
              <w:pStyle w:val="TableLeft"/>
              <w:spacing w:before="0" w:after="0" w:line="240" w:lineRule="auto"/>
              <w:jc w:val="center"/>
              <w:rPr>
                <w:del w:id="161" w:author="AbbVie_HU_03" w:date="2025-05-14T15:27:00Z"/>
                <w:b/>
                <w:sz w:val="22"/>
                <w:szCs w:val="22"/>
                <w:lang w:val="hu-HU"/>
              </w:rPr>
            </w:pPr>
            <w:del w:id="162" w:author="AbbVie_HU_03" w:date="2025-05-14T15:27:00Z">
              <w:r w:rsidRPr="00183B5F">
                <w:rPr>
                  <w:b/>
                  <w:sz w:val="22"/>
                  <w:szCs w:val="22"/>
                  <w:lang w:val="hu-HU"/>
                </w:rPr>
                <w:delText>Adagolási rend</w:delText>
              </w:r>
            </w:del>
          </w:p>
        </w:tc>
      </w:tr>
      <w:tr w:rsidR="00011D2F" w14:paraId="7E08F22D" w14:textId="5FA09FD0" w:rsidTr="00832DC3">
        <w:trPr>
          <w:tblHeader/>
          <w:jc w:val="center"/>
          <w:del w:id="163" w:author="AbbVie_HU_03" w:date="2025-05-14T15:27:00Z"/>
        </w:trPr>
        <w:tc>
          <w:tcPr>
            <w:tcW w:w="3401" w:type="dxa"/>
            <w:tcBorders>
              <w:top w:val="single" w:sz="4" w:space="0" w:color="auto"/>
              <w:bottom w:val="single" w:sz="4" w:space="0" w:color="auto"/>
            </w:tcBorders>
          </w:tcPr>
          <w:p w14:paraId="5F68D634" w14:textId="10D987CC" w:rsidR="00BB741E" w:rsidRPr="00183B5F" w:rsidRDefault="00943743" w:rsidP="004062FE">
            <w:pPr>
              <w:pStyle w:val="TableLeft"/>
              <w:spacing w:before="0" w:after="0" w:line="240" w:lineRule="auto"/>
              <w:jc w:val="center"/>
              <w:rPr>
                <w:del w:id="164" w:author="AbbVie_HU_03" w:date="2025-05-14T15:27:00Z"/>
                <w:b/>
                <w:sz w:val="22"/>
                <w:szCs w:val="22"/>
                <w:lang w:val="hu-HU"/>
              </w:rPr>
            </w:pPr>
            <w:del w:id="165" w:author="AbbVie_HU_03" w:date="2025-05-14T15:27:00Z">
              <w:r w:rsidRPr="00183B5F">
                <w:rPr>
                  <w:sz w:val="22"/>
                  <w:szCs w:val="22"/>
                  <w:lang w:val="hu-HU"/>
                </w:rPr>
                <w:delText>10 kg</w:delText>
              </w:r>
              <w:r w:rsidR="002D1E82" w:rsidRPr="00183B5F">
                <w:rPr>
                  <w:sz w:val="22"/>
                  <w:szCs w:val="22"/>
                  <w:lang w:val="hu-HU"/>
                </w:rPr>
                <w:delText> </w:delText>
              </w:r>
              <w:r w:rsidR="00DD77ED" w:rsidRPr="00183B5F">
                <w:rPr>
                  <w:sz w:val="22"/>
                  <w:szCs w:val="22"/>
                  <w:lang w:val="hu-HU"/>
                </w:rPr>
                <w:noBreakHyphen/>
              </w:r>
              <w:r w:rsidR="002D1E82" w:rsidRPr="00183B5F">
                <w:rPr>
                  <w:sz w:val="22"/>
                  <w:szCs w:val="22"/>
                  <w:lang w:val="hu-HU"/>
                </w:rPr>
                <w:delText> </w:delText>
              </w:r>
              <w:r w:rsidRPr="00183B5F">
                <w:rPr>
                  <w:sz w:val="22"/>
                  <w:szCs w:val="22"/>
                  <w:lang w:val="hu-HU"/>
                </w:rPr>
                <w:delText>&lt;</w:delText>
              </w:r>
              <w:r w:rsidR="00DD77ED" w:rsidRPr="00183B5F">
                <w:rPr>
                  <w:sz w:val="22"/>
                  <w:szCs w:val="22"/>
                  <w:lang w:val="hu-HU"/>
                </w:rPr>
                <w:delText> </w:delText>
              </w:r>
              <w:r w:rsidRPr="00183B5F">
                <w:rPr>
                  <w:sz w:val="22"/>
                  <w:szCs w:val="22"/>
                  <w:lang w:val="hu-HU"/>
                </w:rPr>
                <w:delText>30 kg</w:delText>
              </w:r>
            </w:del>
          </w:p>
        </w:tc>
        <w:tc>
          <w:tcPr>
            <w:tcW w:w="3394" w:type="dxa"/>
            <w:tcBorders>
              <w:top w:val="single" w:sz="4" w:space="0" w:color="auto"/>
              <w:bottom w:val="single" w:sz="4" w:space="0" w:color="auto"/>
            </w:tcBorders>
          </w:tcPr>
          <w:p w14:paraId="53EE74F0" w14:textId="70CC1077" w:rsidR="00BB741E" w:rsidRPr="00183B5F" w:rsidRDefault="00943743" w:rsidP="004062FE">
            <w:pPr>
              <w:pStyle w:val="TableLeft"/>
              <w:spacing w:before="0" w:after="0" w:line="240" w:lineRule="auto"/>
              <w:jc w:val="center"/>
              <w:rPr>
                <w:del w:id="166" w:author="AbbVie_HU_03" w:date="2025-05-14T15:27:00Z"/>
                <w:b/>
                <w:sz w:val="22"/>
                <w:szCs w:val="22"/>
                <w:lang w:val="hu-HU"/>
              </w:rPr>
            </w:pPr>
            <w:del w:id="167" w:author="AbbVie_HU_03" w:date="2025-05-14T15:27:00Z">
              <w:r w:rsidRPr="00183B5F">
                <w:rPr>
                  <w:sz w:val="22"/>
                  <w:szCs w:val="22"/>
                  <w:lang w:val="hu-HU"/>
                </w:rPr>
                <w:delText>20 mg minden második héten</w:delText>
              </w:r>
            </w:del>
          </w:p>
        </w:tc>
      </w:tr>
      <w:tr w:rsidR="00011D2F" w14:paraId="17389509" w14:textId="46135747" w:rsidTr="00832DC3">
        <w:trPr>
          <w:tblHeader/>
          <w:jc w:val="center"/>
          <w:del w:id="168" w:author="AbbVie_HU_03" w:date="2025-05-14T15:27:00Z"/>
        </w:trPr>
        <w:tc>
          <w:tcPr>
            <w:tcW w:w="3401" w:type="dxa"/>
            <w:tcBorders>
              <w:top w:val="single" w:sz="4" w:space="0" w:color="auto"/>
              <w:bottom w:val="single" w:sz="4" w:space="0" w:color="auto"/>
            </w:tcBorders>
          </w:tcPr>
          <w:p w14:paraId="383FA421" w14:textId="314BEEA5" w:rsidR="00BB741E" w:rsidRPr="00183B5F" w:rsidRDefault="00943743" w:rsidP="004062FE">
            <w:pPr>
              <w:pStyle w:val="TableLeft"/>
              <w:spacing w:before="0" w:after="0" w:line="240" w:lineRule="auto"/>
              <w:jc w:val="center"/>
              <w:rPr>
                <w:del w:id="169" w:author="AbbVie_HU_03" w:date="2025-05-14T15:27:00Z"/>
                <w:b/>
                <w:sz w:val="22"/>
                <w:szCs w:val="22"/>
                <w:lang w:val="hu-HU"/>
              </w:rPr>
            </w:pPr>
            <w:del w:id="170" w:author="AbbVie_HU_03" w:date="2025-05-14T15:27:00Z">
              <w:r w:rsidRPr="00183B5F">
                <w:rPr>
                  <w:sz w:val="22"/>
                  <w:szCs w:val="22"/>
                  <w:lang w:val="hu-HU"/>
                </w:rPr>
                <w:delText>≥</w:delText>
              </w:r>
              <w:r w:rsidR="00DD77ED" w:rsidRPr="00183B5F">
                <w:rPr>
                  <w:sz w:val="22"/>
                  <w:szCs w:val="22"/>
                  <w:lang w:val="hu-HU"/>
                </w:rPr>
                <w:delText> </w:delText>
              </w:r>
              <w:r w:rsidRPr="00183B5F">
                <w:rPr>
                  <w:sz w:val="22"/>
                  <w:szCs w:val="22"/>
                  <w:lang w:val="hu-HU"/>
                </w:rPr>
                <w:delText>30 kg</w:delText>
              </w:r>
            </w:del>
          </w:p>
        </w:tc>
        <w:tc>
          <w:tcPr>
            <w:tcW w:w="3394" w:type="dxa"/>
            <w:tcBorders>
              <w:top w:val="single" w:sz="4" w:space="0" w:color="auto"/>
              <w:bottom w:val="single" w:sz="4" w:space="0" w:color="auto"/>
            </w:tcBorders>
          </w:tcPr>
          <w:p w14:paraId="7C886285" w14:textId="60841480" w:rsidR="00BB741E" w:rsidRPr="00183B5F" w:rsidRDefault="00943743" w:rsidP="004062FE">
            <w:pPr>
              <w:pStyle w:val="TableLeft"/>
              <w:spacing w:before="0" w:after="0" w:line="240" w:lineRule="auto"/>
              <w:jc w:val="center"/>
              <w:rPr>
                <w:del w:id="171" w:author="AbbVie_HU_03" w:date="2025-05-14T15:27:00Z"/>
                <w:b/>
                <w:sz w:val="22"/>
                <w:szCs w:val="22"/>
                <w:lang w:val="hu-HU"/>
              </w:rPr>
            </w:pPr>
            <w:del w:id="172" w:author="AbbVie_HU_03" w:date="2025-05-14T15:27:00Z">
              <w:r w:rsidRPr="00183B5F">
                <w:rPr>
                  <w:sz w:val="22"/>
                  <w:szCs w:val="22"/>
                  <w:lang w:val="hu-HU"/>
                </w:rPr>
                <w:delText>40 mg minden második héten</w:delText>
              </w:r>
            </w:del>
          </w:p>
        </w:tc>
      </w:tr>
    </w:tbl>
    <w:p w14:paraId="70BA328A" w14:textId="6F082465" w:rsidR="009B76B8" w:rsidRPr="00183B5F" w:rsidRDefault="009B76B8">
      <w:pPr>
        <w:spacing w:line="240" w:lineRule="auto"/>
        <w:rPr>
          <w:del w:id="173" w:author="AbbVie_HU_03" w:date="2025-05-14T15:27:00Z"/>
          <w:szCs w:val="22"/>
        </w:rPr>
      </w:pPr>
    </w:p>
    <w:p w14:paraId="3231C1C8" w14:textId="09378088" w:rsidR="00FB6710" w:rsidRPr="00183B5F" w:rsidRDefault="00943743">
      <w:pPr>
        <w:spacing w:line="240" w:lineRule="auto"/>
        <w:rPr>
          <w:del w:id="174" w:author="AbbVie_HU_03" w:date="2025-05-14T15:27:00Z"/>
          <w:szCs w:val="22"/>
        </w:rPr>
      </w:pPr>
      <w:del w:id="175" w:author="AbbVie_HU_03" w:date="2025-05-14T15:27:00Z">
        <w:r w:rsidRPr="00183B5F">
          <w:rPr>
            <w:szCs w:val="22"/>
          </w:rPr>
          <w:delText>A rendelkezésre álló adatok arra utalnak, hogy a klinikai választ rendszerint 12</w:delText>
        </w:r>
        <w:r w:rsidR="00F0730A" w:rsidRPr="00183B5F">
          <w:rPr>
            <w:szCs w:val="22"/>
          </w:rPr>
          <w:delText> </w:delText>
        </w:r>
        <w:r w:rsidRPr="00183B5F">
          <w:rPr>
            <w:szCs w:val="22"/>
          </w:rPr>
          <w:delText>hetes kezelési időn belül érik el.</w:delText>
        </w:r>
        <w:r w:rsidR="0005247A" w:rsidRPr="00183B5F">
          <w:rPr>
            <w:szCs w:val="22"/>
          </w:rPr>
          <w:delText xml:space="preserve"> </w:delText>
        </w:r>
        <w:r w:rsidRPr="00183B5F">
          <w:rPr>
            <w:szCs w:val="22"/>
          </w:rPr>
          <w:delText>A kezelés folytatását alaposan meg kell fontolni, ha a beteg ezen időszak alatt nem reagál a kezelésre.</w:delText>
        </w:r>
      </w:del>
    </w:p>
    <w:p w14:paraId="39E3F3FE" w14:textId="314AA0DF" w:rsidR="00F301D2" w:rsidRPr="00183B5F" w:rsidRDefault="00F301D2">
      <w:pPr>
        <w:spacing w:line="240" w:lineRule="auto"/>
        <w:rPr>
          <w:del w:id="176" w:author="AbbVie_HU_03" w:date="2025-05-14T15:27:00Z"/>
          <w:szCs w:val="22"/>
        </w:rPr>
      </w:pPr>
    </w:p>
    <w:p w14:paraId="7914250C" w14:textId="0A812F51" w:rsidR="00F301D2" w:rsidRPr="00183B5F" w:rsidRDefault="00943743">
      <w:pPr>
        <w:spacing w:line="240" w:lineRule="auto"/>
        <w:rPr>
          <w:del w:id="177" w:author="AbbVie_HU_03" w:date="2025-05-14T15:27:00Z"/>
          <w:szCs w:val="22"/>
        </w:rPr>
      </w:pPr>
      <w:del w:id="178" w:author="AbbVie_HU_03" w:date="2025-05-14T15:27:00Z">
        <w:r w:rsidRPr="00183B5F">
          <w:rPr>
            <w:szCs w:val="22"/>
          </w:rPr>
          <w:delText>A Humir</w:delText>
        </w:r>
        <w:r w:rsidR="0056561A" w:rsidRPr="00183B5F">
          <w:rPr>
            <w:szCs w:val="22"/>
          </w:rPr>
          <w:delText>a</w:delText>
        </w:r>
        <w:r w:rsidR="0056561A" w:rsidRPr="00183B5F">
          <w:rPr>
            <w:szCs w:val="22"/>
          </w:rPr>
          <w:noBreakHyphen/>
        </w:r>
        <w:r w:rsidRPr="00183B5F">
          <w:rPr>
            <w:szCs w:val="22"/>
          </w:rPr>
          <w:delText xml:space="preserve">nak 2 évesnél fiatalabb </w:delText>
        </w:r>
        <w:r w:rsidR="005F2B47" w:rsidRPr="00183B5F">
          <w:rPr>
            <w:szCs w:val="22"/>
          </w:rPr>
          <w:delText xml:space="preserve">betegeknél </w:delText>
        </w:r>
        <w:r w:rsidRPr="00183B5F">
          <w:rPr>
            <w:szCs w:val="22"/>
          </w:rPr>
          <w:delText>e</w:delText>
        </w:r>
        <w:r w:rsidR="00891E18" w:rsidRPr="00183B5F">
          <w:rPr>
            <w:szCs w:val="22"/>
          </w:rPr>
          <w:delText>bben a</w:delText>
        </w:r>
        <w:r w:rsidRPr="00183B5F">
          <w:rPr>
            <w:szCs w:val="22"/>
          </w:rPr>
          <w:delText xml:space="preserve"> javallat</w:delText>
        </w:r>
        <w:r w:rsidR="00891E18" w:rsidRPr="00183B5F">
          <w:rPr>
            <w:szCs w:val="22"/>
          </w:rPr>
          <w:delText>ban</w:delText>
        </w:r>
        <w:r w:rsidRPr="00183B5F">
          <w:rPr>
            <w:szCs w:val="22"/>
          </w:rPr>
          <w:delText xml:space="preserve"> nincs releváns alkalmazása.</w:delText>
        </w:r>
      </w:del>
    </w:p>
    <w:p w14:paraId="14DE2C08" w14:textId="1900E123" w:rsidR="00B53A7B" w:rsidRPr="00183B5F" w:rsidRDefault="00B53A7B">
      <w:pPr>
        <w:spacing w:line="240" w:lineRule="auto"/>
        <w:rPr>
          <w:del w:id="179" w:author="AbbVie_HU_03" w:date="2025-05-14T15:27:00Z"/>
          <w:szCs w:val="22"/>
        </w:rPr>
      </w:pPr>
    </w:p>
    <w:p w14:paraId="2A4BED53" w14:textId="4466590A" w:rsidR="00B53A7B" w:rsidRPr="00183B5F" w:rsidRDefault="00943743" w:rsidP="00B53A7B">
      <w:pPr>
        <w:keepNext/>
        <w:spacing w:line="240" w:lineRule="auto"/>
        <w:rPr>
          <w:del w:id="180" w:author="AbbVie_HU_03" w:date="2025-05-14T15:27:00Z"/>
          <w:szCs w:val="22"/>
        </w:rPr>
      </w:pPr>
      <w:del w:id="181" w:author="AbbVie_HU_03" w:date="2025-05-14T15:27:00Z">
        <w:r w:rsidRPr="00183B5F">
          <w:rPr>
            <w:szCs w:val="22"/>
          </w:rPr>
          <w:delText>A Humira más hatáserősségben és/vagy kiszerelésben is elérhető az egyéni terápiás igényeknek megfelelően.</w:delText>
        </w:r>
      </w:del>
    </w:p>
    <w:p w14:paraId="3DDC4864" w14:textId="25729D64" w:rsidR="00FB6710" w:rsidRPr="00183B5F" w:rsidRDefault="00FB6710" w:rsidP="004062FE">
      <w:pPr>
        <w:spacing w:line="240" w:lineRule="auto"/>
        <w:rPr>
          <w:del w:id="182" w:author="AbbVie_HU_03" w:date="2025-05-14T15:27:00Z"/>
          <w:szCs w:val="22"/>
        </w:rPr>
      </w:pPr>
    </w:p>
    <w:p w14:paraId="46D209DB" w14:textId="337CBDBC" w:rsidR="0094177A" w:rsidRPr="00183B5F" w:rsidRDefault="00943743" w:rsidP="004062FE">
      <w:pPr>
        <w:keepNext/>
        <w:spacing w:line="240" w:lineRule="auto"/>
        <w:rPr>
          <w:del w:id="183" w:author="AbbVie_HU_03" w:date="2025-05-14T15:27:00Z"/>
          <w:szCs w:val="22"/>
        </w:rPr>
      </w:pPr>
      <w:del w:id="184" w:author="AbbVie_HU_03" w:date="2025-05-14T15:27:00Z">
        <w:r w:rsidRPr="00183B5F">
          <w:rPr>
            <w:i/>
            <w:szCs w:val="22"/>
            <w:u w:val="single"/>
          </w:rPr>
          <w:delText>Enthesitis-asszociált</w:delText>
        </w:r>
        <w:r w:rsidR="005F2B47" w:rsidRPr="00183B5F">
          <w:rPr>
            <w:i/>
            <w:szCs w:val="22"/>
            <w:u w:val="single"/>
          </w:rPr>
          <w:delText xml:space="preserve"> arthritis</w:delText>
        </w:r>
      </w:del>
    </w:p>
    <w:p w14:paraId="02D0F51F" w14:textId="53879E5A" w:rsidR="0094177A" w:rsidRPr="00183B5F" w:rsidRDefault="0094177A" w:rsidP="004062FE">
      <w:pPr>
        <w:keepNext/>
        <w:spacing w:line="240" w:lineRule="auto"/>
        <w:rPr>
          <w:del w:id="185" w:author="AbbVie_HU_03" w:date="2025-05-14T15:27:00Z"/>
          <w:i/>
          <w:szCs w:val="22"/>
          <w:u w:val="single"/>
        </w:rPr>
      </w:pPr>
    </w:p>
    <w:p w14:paraId="25586295" w14:textId="1BF57E22" w:rsidR="0094177A" w:rsidRPr="00183B5F" w:rsidRDefault="00943743" w:rsidP="004062FE">
      <w:pPr>
        <w:keepNext/>
        <w:spacing w:line="240" w:lineRule="auto"/>
        <w:rPr>
          <w:del w:id="186" w:author="AbbVie_HU_03" w:date="2025-05-14T15:27:00Z"/>
          <w:szCs w:val="22"/>
        </w:rPr>
      </w:pPr>
      <w:del w:id="187" w:author="AbbVie_HU_03" w:date="2025-05-14T15:27:00Z">
        <w:r w:rsidRPr="00183B5F">
          <w:rPr>
            <w:szCs w:val="22"/>
          </w:rPr>
          <w:delText xml:space="preserve">A Humira ajánlott adagja </w:delText>
        </w:r>
        <w:r w:rsidR="00677908" w:rsidRPr="00183B5F">
          <w:rPr>
            <w:szCs w:val="22"/>
          </w:rPr>
          <w:delText>enthesitis-asszociált</w:delText>
        </w:r>
        <w:r w:rsidRPr="00183B5F">
          <w:rPr>
            <w:szCs w:val="22"/>
          </w:rPr>
          <w:delText xml:space="preserve"> arthritisben szenvedő</w:delText>
        </w:r>
        <w:r w:rsidR="002D1E82" w:rsidRPr="00183B5F">
          <w:rPr>
            <w:szCs w:val="22"/>
          </w:rPr>
          <w:delText>,</w:delText>
        </w:r>
        <w:r w:rsidRPr="00183B5F">
          <w:rPr>
            <w:szCs w:val="22"/>
          </w:rPr>
          <w:delText xml:space="preserve"> </w:delText>
        </w:r>
        <w:r w:rsidR="00833522" w:rsidRPr="00183B5F">
          <w:rPr>
            <w:szCs w:val="22"/>
          </w:rPr>
          <w:delText xml:space="preserve">6 éves kor feletti </w:delText>
        </w:r>
        <w:r w:rsidRPr="00183B5F">
          <w:rPr>
            <w:szCs w:val="22"/>
          </w:rPr>
          <w:delText>betegekn</w:delText>
        </w:r>
        <w:r w:rsidR="00833522" w:rsidRPr="00183B5F">
          <w:rPr>
            <w:szCs w:val="22"/>
          </w:rPr>
          <w:delText>él a</w:delText>
        </w:r>
        <w:r w:rsidRPr="00183B5F">
          <w:rPr>
            <w:szCs w:val="22"/>
          </w:rPr>
          <w:delText xml:space="preserve"> </w:delText>
        </w:r>
        <w:r w:rsidR="00BB741E" w:rsidRPr="00183B5F">
          <w:rPr>
            <w:szCs w:val="22"/>
          </w:rPr>
          <w:delText>testtömegtől függ (2. táblázat)</w:delText>
        </w:r>
        <w:r w:rsidRPr="00183B5F">
          <w:rPr>
            <w:szCs w:val="22"/>
          </w:rPr>
          <w:delText>. A Humira</w:delText>
        </w:r>
        <w:r w:rsidR="00DD77ED" w:rsidRPr="00183B5F">
          <w:rPr>
            <w:szCs w:val="22"/>
          </w:rPr>
          <w:noBreakHyphen/>
        </w:r>
        <w:r w:rsidRPr="00183B5F">
          <w:rPr>
            <w:szCs w:val="22"/>
          </w:rPr>
          <w:delText xml:space="preserve">t minden második héten subcutan injekció formájában </w:delText>
        </w:r>
        <w:r w:rsidR="00833522" w:rsidRPr="00183B5F">
          <w:rPr>
            <w:szCs w:val="22"/>
          </w:rPr>
          <w:delText xml:space="preserve">kell </w:delText>
        </w:r>
        <w:r w:rsidRPr="00183B5F">
          <w:rPr>
            <w:szCs w:val="22"/>
          </w:rPr>
          <w:delText>alkalmaz</w:delText>
        </w:r>
        <w:r w:rsidR="00833522" w:rsidRPr="00183B5F">
          <w:rPr>
            <w:szCs w:val="22"/>
          </w:rPr>
          <w:delText>ni</w:delText>
        </w:r>
        <w:r w:rsidRPr="00183B5F">
          <w:rPr>
            <w:szCs w:val="22"/>
          </w:rPr>
          <w:delText>.</w:delText>
        </w:r>
      </w:del>
    </w:p>
    <w:p w14:paraId="4ACAAA13" w14:textId="33F4A5C2" w:rsidR="0094177A" w:rsidRPr="00183B5F" w:rsidRDefault="0094177A" w:rsidP="004062FE">
      <w:pPr>
        <w:keepNext/>
        <w:spacing w:line="240" w:lineRule="auto"/>
        <w:rPr>
          <w:del w:id="188" w:author="AbbVie_HU_03" w:date="2025-05-14T15:27:00Z"/>
          <w:szCs w:val="22"/>
        </w:rPr>
      </w:pPr>
    </w:p>
    <w:p w14:paraId="5BEB715E" w14:textId="3E382B75" w:rsidR="0094177A" w:rsidRPr="00183B5F" w:rsidRDefault="00943743" w:rsidP="004062FE">
      <w:pPr>
        <w:keepNext/>
        <w:spacing w:line="240" w:lineRule="auto"/>
        <w:jc w:val="center"/>
        <w:rPr>
          <w:del w:id="189" w:author="AbbVie_HU_03" w:date="2025-05-14T15:27:00Z"/>
          <w:b/>
          <w:szCs w:val="22"/>
        </w:rPr>
      </w:pPr>
      <w:del w:id="190" w:author="AbbVie_HU_03" w:date="2025-05-14T15:27:00Z">
        <w:r w:rsidRPr="00183B5F">
          <w:rPr>
            <w:b/>
            <w:szCs w:val="22"/>
          </w:rPr>
          <w:delText xml:space="preserve">2. táblázat: A Humira dózisa </w:delText>
        </w:r>
        <w:r w:rsidR="00677908" w:rsidRPr="00183B5F">
          <w:rPr>
            <w:b/>
            <w:szCs w:val="22"/>
          </w:rPr>
          <w:delText>enthesitis-asszociált</w:delText>
        </w:r>
        <w:r w:rsidRPr="00183B5F">
          <w:rPr>
            <w:b/>
            <w:szCs w:val="22"/>
          </w:rPr>
          <w:delText xml:space="preserve"> arthritisben szenvedő betegek</w:delText>
        </w:r>
        <w:r w:rsidR="00833522" w:rsidRPr="00183B5F">
          <w:rPr>
            <w:b/>
            <w:szCs w:val="22"/>
          </w:rPr>
          <w:delText>nél</w:delText>
        </w:r>
      </w:del>
    </w:p>
    <w:p w14:paraId="72691483" w14:textId="0BE80EE9" w:rsidR="0094177A" w:rsidRPr="00183B5F" w:rsidRDefault="0094177A" w:rsidP="004062FE">
      <w:pPr>
        <w:keepNext/>
        <w:spacing w:line="240" w:lineRule="auto"/>
        <w:rPr>
          <w:del w:id="191" w:author="AbbVie_HU_03" w:date="2025-05-14T15:27:00Z"/>
          <w:szCs w:val="22"/>
        </w:rPr>
      </w:pPr>
    </w:p>
    <w:tbl>
      <w:tblPr>
        <w:tblW w:w="6795" w:type="dxa"/>
        <w:jc w:val="center"/>
        <w:tblLayout w:type="fixed"/>
        <w:tblLook w:val="0000" w:firstRow="0" w:lastRow="0" w:firstColumn="0" w:lastColumn="0" w:noHBand="0" w:noVBand="0"/>
      </w:tblPr>
      <w:tblGrid>
        <w:gridCol w:w="3401"/>
        <w:gridCol w:w="3394"/>
      </w:tblGrid>
      <w:tr w:rsidR="00011D2F" w14:paraId="04013437" w14:textId="363F218A" w:rsidTr="00832DC3">
        <w:trPr>
          <w:tblHeader/>
          <w:jc w:val="center"/>
          <w:del w:id="192" w:author="AbbVie_HU_03" w:date="2025-05-14T15:27:00Z"/>
        </w:trPr>
        <w:tc>
          <w:tcPr>
            <w:tcW w:w="3401" w:type="dxa"/>
            <w:tcBorders>
              <w:top w:val="single" w:sz="4" w:space="0" w:color="auto"/>
              <w:bottom w:val="single" w:sz="4" w:space="0" w:color="auto"/>
            </w:tcBorders>
          </w:tcPr>
          <w:p w14:paraId="4444DEF9" w14:textId="286C712E" w:rsidR="0094177A" w:rsidRPr="00183B5F" w:rsidRDefault="00943743" w:rsidP="004062FE">
            <w:pPr>
              <w:pStyle w:val="TableLeft"/>
              <w:spacing w:before="0" w:after="0" w:line="240" w:lineRule="auto"/>
              <w:jc w:val="center"/>
              <w:rPr>
                <w:del w:id="193" w:author="AbbVie_HU_03" w:date="2025-05-14T15:27:00Z"/>
                <w:b/>
                <w:sz w:val="22"/>
                <w:szCs w:val="22"/>
                <w:lang w:val="hu-HU"/>
              </w:rPr>
            </w:pPr>
            <w:del w:id="194" w:author="AbbVie_HU_03" w:date="2025-05-14T15:27:00Z">
              <w:r w:rsidRPr="00183B5F">
                <w:rPr>
                  <w:b/>
                  <w:sz w:val="22"/>
                  <w:szCs w:val="22"/>
                  <w:lang w:val="hu-HU"/>
                </w:rPr>
                <w:delText xml:space="preserve">A beteg testtömege </w:delText>
              </w:r>
            </w:del>
          </w:p>
        </w:tc>
        <w:tc>
          <w:tcPr>
            <w:tcW w:w="3394" w:type="dxa"/>
            <w:tcBorders>
              <w:top w:val="single" w:sz="4" w:space="0" w:color="auto"/>
              <w:bottom w:val="single" w:sz="4" w:space="0" w:color="auto"/>
            </w:tcBorders>
          </w:tcPr>
          <w:p w14:paraId="212ADA30" w14:textId="78001554" w:rsidR="0094177A" w:rsidRPr="00183B5F" w:rsidRDefault="00943743" w:rsidP="004062FE">
            <w:pPr>
              <w:pStyle w:val="TableLeft"/>
              <w:spacing w:before="0" w:after="0" w:line="240" w:lineRule="auto"/>
              <w:jc w:val="center"/>
              <w:rPr>
                <w:del w:id="195" w:author="AbbVie_HU_03" w:date="2025-05-14T15:27:00Z"/>
                <w:b/>
                <w:sz w:val="22"/>
                <w:szCs w:val="22"/>
                <w:lang w:val="hu-HU"/>
              </w:rPr>
            </w:pPr>
            <w:del w:id="196" w:author="AbbVie_HU_03" w:date="2025-05-14T15:27:00Z">
              <w:r w:rsidRPr="00183B5F">
                <w:rPr>
                  <w:b/>
                  <w:sz w:val="22"/>
                  <w:szCs w:val="22"/>
                  <w:lang w:val="hu-HU"/>
                </w:rPr>
                <w:delText>Adagolási rend</w:delText>
              </w:r>
            </w:del>
          </w:p>
        </w:tc>
      </w:tr>
      <w:tr w:rsidR="00011D2F" w14:paraId="2885FD74" w14:textId="7D324298" w:rsidTr="00832DC3">
        <w:trPr>
          <w:tblHeader/>
          <w:jc w:val="center"/>
          <w:del w:id="197" w:author="AbbVie_HU_03" w:date="2025-05-14T15:27:00Z"/>
        </w:trPr>
        <w:tc>
          <w:tcPr>
            <w:tcW w:w="3401" w:type="dxa"/>
            <w:tcBorders>
              <w:top w:val="single" w:sz="4" w:space="0" w:color="auto"/>
              <w:bottom w:val="single" w:sz="4" w:space="0" w:color="auto"/>
            </w:tcBorders>
          </w:tcPr>
          <w:p w14:paraId="3D3CCE1D" w14:textId="60450E66" w:rsidR="0094177A" w:rsidRPr="00183B5F" w:rsidRDefault="00943743" w:rsidP="004062FE">
            <w:pPr>
              <w:pStyle w:val="TableLeft"/>
              <w:spacing w:before="0" w:after="0" w:line="240" w:lineRule="auto"/>
              <w:jc w:val="center"/>
              <w:rPr>
                <w:del w:id="198" w:author="AbbVie_HU_03" w:date="2025-05-14T15:27:00Z"/>
                <w:b/>
                <w:sz w:val="22"/>
                <w:szCs w:val="22"/>
                <w:lang w:val="hu-HU"/>
              </w:rPr>
            </w:pPr>
            <w:del w:id="199" w:author="AbbVie_HU_03" w:date="2025-05-14T15:27:00Z">
              <w:r w:rsidRPr="00183B5F">
                <w:rPr>
                  <w:sz w:val="22"/>
                  <w:szCs w:val="22"/>
                  <w:lang w:val="hu-HU"/>
                </w:rPr>
                <w:delText>15 kg</w:delText>
              </w:r>
              <w:r w:rsidR="002D1E82" w:rsidRPr="00183B5F">
                <w:rPr>
                  <w:sz w:val="22"/>
                  <w:szCs w:val="22"/>
                  <w:lang w:val="hu-HU"/>
                </w:rPr>
                <w:delText> </w:delText>
              </w:r>
              <w:r w:rsidR="00DD77ED" w:rsidRPr="00183B5F">
                <w:rPr>
                  <w:sz w:val="22"/>
                  <w:szCs w:val="22"/>
                  <w:lang w:val="hu-HU"/>
                </w:rPr>
                <w:noBreakHyphen/>
              </w:r>
              <w:r w:rsidR="002D1E82" w:rsidRPr="00183B5F">
                <w:rPr>
                  <w:sz w:val="22"/>
                  <w:szCs w:val="22"/>
                  <w:lang w:val="hu-HU"/>
                </w:rPr>
                <w:delText> </w:delText>
              </w:r>
              <w:r w:rsidRPr="00183B5F">
                <w:rPr>
                  <w:sz w:val="22"/>
                  <w:szCs w:val="22"/>
                  <w:lang w:val="hu-HU"/>
                </w:rPr>
                <w:delText>&lt; 30 kg</w:delText>
              </w:r>
            </w:del>
          </w:p>
        </w:tc>
        <w:tc>
          <w:tcPr>
            <w:tcW w:w="3394" w:type="dxa"/>
            <w:tcBorders>
              <w:top w:val="single" w:sz="4" w:space="0" w:color="auto"/>
              <w:bottom w:val="single" w:sz="4" w:space="0" w:color="auto"/>
            </w:tcBorders>
          </w:tcPr>
          <w:p w14:paraId="60BC07D9" w14:textId="296E07E9" w:rsidR="0094177A" w:rsidRPr="00183B5F" w:rsidRDefault="00943743" w:rsidP="004062FE">
            <w:pPr>
              <w:pStyle w:val="TableLeft"/>
              <w:spacing w:before="0" w:after="0" w:line="240" w:lineRule="auto"/>
              <w:jc w:val="center"/>
              <w:rPr>
                <w:del w:id="200" w:author="AbbVie_HU_03" w:date="2025-05-14T15:27:00Z"/>
                <w:b/>
                <w:sz w:val="22"/>
                <w:szCs w:val="22"/>
                <w:lang w:val="hu-HU"/>
              </w:rPr>
            </w:pPr>
            <w:del w:id="201" w:author="AbbVie_HU_03" w:date="2025-05-14T15:27:00Z">
              <w:r w:rsidRPr="00183B5F">
                <w:rPr>
                  <w:sz w:val="22"/>
                  <w:szCs w:val="22"/>
                  <w:lang w:val="hu-HU"/>
                </w:rPr>
                <w:delText>20 mg minden második héten</w:delText>
              </w:r>
            </w:del>
          </w:p>
        </w:tc>
      </w:tr>
      <w:tr w:rsidR="00011D2F" w14:paraId="4ECFE17D" w14:textId="61DC4D9D" w:rsidTr="00832DC3">
        <w:trPr>
          <w:tblHeader/>
          <w:jc w:val="center"/>
          <w:del w:id="202" w:author="AbbVie_HU_03" w:date="2025-05-14T15:27:00Z"/>
        </w:trPr>
        <w:tc>
          <w:tcPr>
            <w:tcW w:w="3401" w:type="dxa"/>
            <w:tcBorders>
              <w:top w:val="single" w:sz="4" w:space="0" w:color="auto"/>
              <w:bottom w:val="single" w:sz="4" w:space="0" w:color="auto"/>
            </w:tcBorders>
          </w:tcPr>
          <w:p w14:paraId="37591B04" w14:textId="4A5E373F" w:rsidR="0094177A" w:rsidRPr="00183B5F" w:rsidRDefault="00943743" w:rsidP="004062FE">
            <w:pPr>
              <w:pStyle w:val="TableLeft"/>
              <w:spacing w:before="0" w:after="0" w:line="240" w:lineRule="auto"/>
              <w:jc w:val="center"/>
              <w:rPr>
                <w:del w:id="203" w:author="AbbVie_HU_03" w:date="2025-05-14T15:27:00Z"/>
                <w:b/>
                <w:sz w:val="22"/>
                <w:szCs w:val="22"/>
                <w:lang w:val="hu-HU"/>
              </w:rPr>
            </w:pPr>
            <w:del w:id="204" w:author="AbbVie_HU_03" w:date="2025-05-14T15:27:00Z">
              <w:r w:rsidRPr="00183B5F">
                <w:rPr>
                  <w:sz w:val="22"/>
                  <w:szCs w:val="22"/>
                  <w:lang w:val="hu-HU"/>
                </w:rPr>
                <w:delText>≥</w:delText>
              </w:r>
              <w:r w:rsidR="002D1E82" w:rsidRPr="00183B5F">
                <w:rPr>
                  <w:sz w:val="22"/>
                  <w:szCs w:val="22"/>
                  <w:lang w:val="hu-HU"/>
                </w:rPr>
                <w:delText> </w:delText>
              </w:r>
              <w:r w:rsidRPr="00183B5F">
                <w:rPr>
                  <w:sz w:val="22"/>
                  <w:szCs w:val="22"/>
                  <w:lang w:val="hu-HU"/>
                </w:rPr>
                <w:delText>30 kg</w:delText>
              </w:r>
            </w:del>
          </w:p>
        </w:tc>
        <w:tc>
          <w:tcPr>
            <w:tcW w:w="3394" w:type="dxa"/>
            <w:tcBorders>
              <w:top w:val="single" w:sz="4" w:space="0" w:color="auto"/>
              <w:bottom w:val="single" w:sz="4" w:space="0" w:color="auto"/>
            </w:tcBorders>
          </w:tcPr>
          <w:p w14:paraId="706E340E" w14:textId="3D0E1F87" w:rsidR="0094177A" w:rsidRPr="00183B5F" w:rsidRDefault="00943743" w:rsidP="004062FE">
            <w:pPr>
              <w:pStyle w:val="TableLeft"/>
              <w:spacing w:before="0" w:after="0" w:line="240" w:lineRule="auto"/>
              <w:jc w:val="center"/>
              <w:rPr>
                <w:del w:id="205" w:author="AbbVie_HU_03" w:date="2025-05-14T15:27:00Z"/>
                <w:b/>
                <w:sz w:val="22"/>
                <w:szCs w:val="22"/>
                <w:lang w:val="hu-HU"/>
              </w:rPr>
            </w:pPr>
            <w:del w:id="206" w:author="AbbVie_HU_03" w:date="2025-05-14T15:27:00Z">
              <w:r w:rsidRPr="00183B5F">
                <w:rPr>
                  <w:sz w:val="22"/>
                  <w:szCs w:val="22"/>
                  <w:lang w:val="hu-HU"/>
                </w:rPr>
                <w:delText>40 mg minden második héten</w:delText>
              </w:r>
            </w:del>
          </w:p>
        </w:tc>
      </w:tr>
    </w:tbl>
    <w:p w14:paraId="180A618A" w14:textId="5B9A7C7D" w:rsidR="0094177A" w:rsidRPr="00183B5F" w:rsidRDefault="0094177A" w:rsidP="004062FE">
      <w:pPr>
        <w:spacing w:line="240" w:lineRule="auto"/>
        <w:ind w:firstLine="567"/>
        <w:rPr>
          <w:del w:id="207" w:author="AbbVie_HU_03" w:date="2025-05-14T15:27:00Z"/>
          <w:szCs w:val="22"/>
        </w:rPr>
      </w:pPr>
    </w:p>
    <w:p w14:paraId="614C988A" w14:textId="459FBF41" w:rsidR="005F2B47" w:rsidRPr="00183B5F" w:rsidRDefault="00943743" w:rsidP="004062FE">
      <w:pPr>
        <w:spacing w:line="240" w:lineRule="auto"/>
        <w:rPr>
          <w:del w:id="208" w:author="AbbVie_HU_03" w:date="2025-05-14T15:27:00Z"/>
          <w:szCs w:val="22"/>
        </w:rPr>
      </w:pPr>
      <w:del w:id="209" w:author="AbbVie_HU_03" w:date="2025-05-14T15:27:00Z">
        <w:r w:rsidRPr="00183B5F">
          <w:rPr>
            <w:szCs w:val="22"/>
          </w:rPr>
          <w:delText>A Humir</w:delText>
        </w:r>
        <w:r w:rsidR="00CF6334" w:rsidRPr="00183B5F">
          <w:rPr>
            <w:szCs w:val="22"/>
          </w:rPr>
          <w:delText>a</w:delText>
        </w:r>
        <w:r w:rsidR="00CF6334" w:rsidRPr="00183B5F">
          <w:rPr>
            <w:szCs w:val="22"/>
          </w:rPr>
          <w:noBreakHyphen/>
        </w:r>
        <w:r w:rsidRPr="00183B5F">
          <w:rPr>
            <w:szCs w:val="22"/>
          </w:rPr>
          <w:delText xml:space="preserve">t nem vizsgálták </w:delText>
        </w:r>
        <w:r w:rsidR="007B1591" w:rsidRPr="00183B5F">
          <w:rPr>
            <w:szCs w:val="22"/>
          </w:rPr>
          <w:delText xml:space="preserve">6 évesnél fiatalabb, </w:delText>
        </w:r>
        <w:r w:rsidR="00677908" w:rsidRPr="00183B5F">
          <w:rPr>
            <w:szCs w:val="22"/>
          </w:rPr>
          <w:delText>enthesitis-asszociált</w:delText>
        </w:r>
        <w:r w:rsidR="007B1591" w:rsidRPr="00183B5F">
          <w:rPr>
            <w:szCs w:val="22"/>
          </w:rPr>
          <w:delText xml:space="preserve"> arthritisben szenvedő betegeknél.</w:delText>
        </w:r>
      </w:del>
    </w:p>
    <w:p w14:paraId="5284C2D1" w14:textId="1C7900E6" w:rsidR="00B53A7B" w:rsidRPr="00183B5F" w:rsidRDefault="00B53A7B" w:rsidP="004062FE">
      <w:pPr>
        <w:spacing w:line="240" w:lineRule="auto"/>
        <w:rPr>
          <w:del w:id="210" w:author="AbbVie_HU_03" w:date="2025-05-14T15:27:00Z"/>
          <w:szCs w:val="22"/>
        </w:rPr>
      </w:pPr>
    </w:p>
    <w:p w14:paraId="4A32C037" w14:textId="2DEC688D" w:rsidR="00B53A7B" w:rsidRPr="00183B5F" w:rsidRDefault="00943743" w:rsidP="004062FE">
      <w:pPr>
        <w:spacing w:line="240" w:lineRule="auto"/>
        <w:rPr>
          <w:del w:id="211" w:author="AbbVie_HU_03" w:date="2025-05-14T15:27:00Z"/>
          <w:szCs w:val="22"/>
        </w:rPr>
      </w:pPr>
      <w:del w:id="212" w:author="AbbVie_HU_03" w:date="2025-05-14T15:27:00Z">
        <w:r w:rsidRPr="00183B5F">
          <w:rPr>
            <w:szCs w:val="22"/>
          </w:rPr>
          <w:delText>A Humira más hatáserősségben és/vagy kiszerelésben is elérhető az egyéni terápiás igényeknek megfelelően.</w:delText>
        </w:r>
      </w:del>
    </w:p>
    <w:p w14:paraId="1804D43A" w14:textId="6173B14D" w:rsidR="00AC0BC5" w:rsidRPr="00183B5F" w:rsidRDefault="00AC0BC5" w:rsidP="004062FE">
      <w:pPr>
        <w:spacing w:line="240" w:lineRule="auto"/>
        <w:rPr>
          <w:del w:id="213" w:author="AbbVie_HU_03" w:date="2025-05-14T15:27:00Z"/>
          <w:szCs w:val="22"/>
        </w:rPr>
      </w:pPr>
    </w:p>
    <w:p w14:paraId="0C4E6B2C" w14:textId="127B7C5A" w:rsidR="005F2B47" w:rsidRPr="00183B5F" w:rsidRDefault="00943743" w:rsidP="004062FE">
      <w:pPr>
        <w:spacing w:line="240" w:lineRule="auto"/>
        <w:rPr>
          <w:del w:id="214" w:author="AbbVie_HU_03" w:date="2025-05-14T15:27:00Z"/>
          <w:i/>
          <w:szCs w:val="22"/>
        </w:rPr>
      </w:pPr>
      <w:del w:id="215" w:author="AbbVie_HU_03" w:date="2025-05-14T15:27:00Z">
        <w:r w:rsidRPr="00183B5F">
          <w:rPr>
            <w:i/>
            <w:szCs w:val="22"/>
          </w:rPr>
          <w:delText>Gyermekkori plakkos psoriasis</w:delText>
        </w:r>
      </w:del>
    </w:p>
    <w:p w14:paraId="37723001" w14:textId="265E4ADC" w:rsidR="00D43345" w:rsidRPr="00183B5F" w:rsidRDefault="00D43345" w:rsidP="004062FE">
      <w:pPr>
        <w:spacing w:line="240" w:lineRule="auto"/>
        <w:rPr>
          <w:del w:id="216" w:author="AbbVie_HU_03" w:date="2025-05-14T15:27:00Z"/>
          <w:szCs w:val="22"/>
        </w:rPr>
      </w:pPr>
    </w:p>
    <w:p w14:paraId="32A878F8" w14:textId="6D0C0D71" w:rsidR="0094177A" w:rsidRPr="00183B5F" w:rsidRDefault="00943743" w:rsidP="004062FE">
      <w:pPr>
        <w:spacing w:line="240" w:lineRule="auto"/>
        <w:rPr>
          <w:del w:id="217" w:author="AbbVie_HU_03" w:date="2025-05-14T15:27:00Z"/>
          <w:szCs w:val="22"/>
        </w:rPr>
      </w:pPr>
      <w:del w:id="218" w:author="AbbVie_HU_03" w:date="2025-05-14T15:27:00Z">
        <w:r w:rsidRPr="00183B5F">
          <w:rPr>
            <w:szCs w:val="22"/>
          </w:rPr>
          <w:delText>A Humira ajánlott adagja gyermekkori plakkos psoriasisban szenvedő, 4</w:delText>
        </w:r>
        <w:r w:rsidR="002D1E82" w:rsidRPr="00183B5F">
          <w:rPr>
            <w:szCs w:val="22"/>
          </w:rPr>
          <w:noBreakHyphen/>
        </w:r>
        <w:r w:rsidRPr="00183B5F">
          <w:rPr>
            <w:szCs w:val="22"/>
          </w:rPr>
          <w:delText>17 éves betegek</w:delText>
        </w:r>
        <w:r w:rsidR="00833522" w:rsidRPr="00183B5F">
          <w:rPr>
            <w:szCs w:val="22"/>
          </w:rPr>
          <w:delText>nél a</w:delText>
        </w:r>
        <w:r w:rsidRPr="00183B5F">
          <w:rPr>
            <w:szCs w:val="22"/>
          </w:rPr>
          <w:delText xml:space="preserve"> testtömegtől függ (3. táblázat).</w:delText>
        </w:r>
        <w:r w:rsidR="00816DFE" w:rsidRPr="00183B5F">
          <w:rPr>
            <w:szCs w:val="22"/>
          </w:rPr>
          <w:delText xml:space="preserve"> </w:delText>
        </w:r>
        <w:r w:rsidRPr="00183B5F">
          <w:rPr>
            <w:szCs w:val="22"/>
          </w:rPr>
          <w:delText>A Humira</w:delText>
        </w:r>
        <w:r w:rsidR="00DD77ED" w:rsidRPr="00183B5F">
          <w:rPr>
            <w:szCs w:val="22"/>
          </w:rPr>
          <w:noBreakHyphen/>
        </w:r>
        <w:r w:rsidRPr="00183B5F">
          <w:rPr>
            <w:szCs w:val="22"/>
          </w:rPr>
          <w:delText xml:space="preserve">t </w:delText>
        </w:r>
        <w:r w:rsidR="00816DFE" w:rsidRPr="00183B5F">
          <w:rPr>
            <w:szCs w:val="22"/>
          </w:rPr>
          <w:delText xml:space="preserve">subcutan </w:delText>
        </w:r>
        <w:r w:rsidRPr="00183B5F">
          <w:rPr>
            <w:szCs w:val="22"/>
          </w:rPr>
          <w:delText>injekció formájában</w:delText>
        </w:r>
        <w:r w:rsidR="00833522" w:rsidRPr="00183B5F">
          <w:rPr>
            <w:szCs w:val="22"/>
          </w:rPr>
          <w:delText xml:space="preserve"> kell</w:delText>
        </w:r>
        <w:r w:rsidRPr="00183B5F">
          <w:rPr>
            <w:szCs w:val="22"/>
          </w:rPr>
          <w:delText xml:space="preserve"> alkalmaz</w:delText>
        </w:r>
        <w:r w:rsidR="00833522" w:rsidRPr="00183B5F">
          <w:rPr>
            <w:szCs w:val="22"/>
          </w:rPr>
          <w:delText>ni</w:delText>
        </w:r>
        <w:r w:rsidRPr="00183B5F">
          <w:rPr>
            <w:szCs w:val="22"/>
          </w:rPr>
          <w:delText>.</w:delText>
        </w:r>
      </w:del>
    </w:p>
    <w:p w14:paraId="04359D6F" w14:textId="026C86D7" w:rsidR="00C93BD1" w:rsidRPr="00183B5F" w:rsidRDefault="00C93BD1" w:rsidP="004062FE">
      <w:pPr>
        <w:keepNext/>
        <w:spacing w:line="240" w:lineRule="auto"/>
        <w:jc w:val="center"/>
        <w:rPr>
          <w:del w:id="219" w:author="AbbVie_HU_03" w:date="2025-05-14T15:27:00Z"/>
          <w:b/>
          <w:szCs w:val="22"/>
        </w:rPr>
      </w:pPr>
    </w:p>
    <w:p w14:paraId="17E56EEA" w14:textId="2EA51355" w:rsidR="00C93BD1" w:rsidRPr="00183B5F" w:rsidRDefault="00943743" w:rsidP="004062FE">
      <w:pPr>
        <w:keepNext/>
        <w:spacing w:line="240" w:lineRule="auto"/>
        <w:jc w:val="center"/>
        <w:rPr>
          <w:del w:id="220" w:author="AbbVie_HU_03" w:date="2025-05-14T15:27:00Z"/>
          <w:b/>
          <w:szCs w:val="22"/>
        </w:rPr>
      </w:pPr>
      <w:del w:id="221" w:author="AbbVie_HU_03" w:date="2025-05-14T15:27:00Z">
        <w:r w:rsidRPr="00183B5F">
          <w:rPr>
            <w:b/>
            <w:szCs w:val="22"/>
          </w:rPr>
          <w:delText>3. táblázat: A Humira dózisa plakkos psoriasisban szenvedő gyermekek</w:delText>
        </w:r>
        <w:r w:rsidR="00833522" w:rsidRPr="00183B5F">
          <w:rPr>
            <w:b/>
            <w:szCs w:val="22"/>
          </w:rPr>
          <w:delText>nél</w:delText>
        </w:r>
      </w:del>
    </w:p>
    <w:p w14:paraId="57DCB457" w14:textId="0DE364B2" w:rsidR="00C93BD1" w:rsidRPr="00183B5F" w:rsidRDefault="00C93BD1" w:rsidP="004062FE">
      <w:pPr>
        <w:keepNext/>
        <w:spacing w:line="240" w:lineRule="auto"/>
        <w:rPr>
          <w:del w:id="222" w:author="AbbVie_HU_03" w:date="2025-05-14T15:27:00Z"/>
          <w:szCs w:val="22"/>
        </w:rPr>
      </w:pPr>
    </w:p>
    <w:tbl>
      <w:tblPr>
        <w:tblW w:w="6795" w:type="dxa"/>
        <w:jc w:val="center"/>
        <w:tblLayout w:type="fixed"/>
        <w:tblLook w:val="0000" w:firstRow="0" w:lastRow="0" w:firstColumn="0" w:lastColumn="0" w:noHBand="0" w:noVBand="0"/>
      </w:tblPr>
      <w:tblGrid>
        <w:gridCol w:w="3401"/>
        <w:gridCol w:w="3394"/>
      </w:tblGrid>
      <w:tr w:rsidR="00011D2F" w14:paraId="74F00F64" w14:textId="7EEF2D98" w:rsidTr="00832DC3">
        <w:trPr>
          <w:tblHeader/>
          <w:jc w:val="center"/>
          <w:del w:id="223" w:author="AbbVie_HU_03" w:date="2025-05-14T15:27:00Z"/>
        </w:trPr>
        <w:tc>
          <w:tcPr>
            <w:tcW w:w="3401" w:type="dxa"/>
            <w:tcBorders>
              <w:top w:val="single" w:sz="4" w:space="0" w:color="auto"/>
              <w:bottom w:val="single" w:sz="4" w:space="0" w:color="auto"/>
            </w:tcBorders>
          </w:tcPr>
          <w:p w14:paraId="48FF4353" w14:textId="35ACF2DD" w:rsidR="00C93BD1" w:rsidRPr="00183B5F" w:rsidRDefault="00943743" w:rsidP="004062FE">
            <w:pPr>
              <w:pStyle w:val="TableLeft"/>
              <w:spacing w:before="0" w:after="0" w:line="240" w:lineRule="auto"/>
              <w:jc w:val="center"/>
              <w:rPr>
                <w:del w:id="224" w:author="AbbVie_HU_03" w:date="2025-05-14T15:27:00Z"/>
                <w:b/>
                <w:sz w:val="22"/>
                <w:szCs w:val="22"/>
                <w:lang w:val="hu-HU"/>
              </w:rPr>
            </w:pPr>
            <w:del w:id="225" w:author="AbbVie_HU_03" w:date="2025-05-14T15:27:00Z">
              <w:r w:rsidRPr="00183B5F">
                <w:rPr>
                  <w:b/>
                  <w:sz w:val="22"/>
                  <w:szCs w:val="22"/>
                  <w:lang w:val="hu-HU"/>
                </w:rPr>
                <w:delText xml:space="preserve">A beteg testtömege </w:delText>
              </w:r>
            </w:del>
          </w:p>
        </w:tc>
        <w:tc>
          <w:tcPr>
            <w:tcW w:w="3394" w:type="dxa"/>
            <w:tcBorders>
              <w:top w:val="single" w:sz="4" w:space="0" w:color="auto"/>
              <w:bottom w:val="single" w:sz="4" w:space="0" w:color="auto"/>
            </w:tcBorders>
          </w:tcPr>
          <w:p w14:paraId="03C69934" w14:textId="2BC9FCAC" w:rsidR="00C93BD1" w:rsidRPr="00183B5F" w:rsidRDefault="00943743" w:rsidP="004062FE">
            <w:pPr>
              <w:pStyle w:val="TableLeft"/>
              <w:spacing w:before="0" w:after="0" w:line="240" w:lineRule="auto"/>
              <w:jc w:val="center"/>
              <w:rPr>
                <w:del w:id="226" w:author="AbbVie_HU_03" w:date="2025-05-14T15:27:00Z"/>
                <w:b/>
                <w:sz w:val="22"/>
                <w:szCs w:val="22"/>
                <w:lang w:val="hu-HU"/>
              </w:rPr>
            </w:pPr>
            <w:del w:id="227" w:author="AbbVie_HU_03" w:date="2025-05-14T15:27:00Z">
              <w:r w:rsidRPr="00183B5F">
                <w:rPr>
                  <w:b/>
                  <w:sz w:val="22"/>
                  <w:szCs w:val="22"/>
                  <w:lang w:val="hu-HU"/>
                </w:rPr>
                <w:delText>Adagolási rend</w:delText>
              </w:r>
            </w:del>
          </w:p>
        </w:tc>
      </w:tr>
      <w:tr w:rsidR="00011D2F" w14:paraId="5DAF518F" w14:textId="53F3AB88" w:rsidTr="00832DC3">
        <w:trPr>
          <w:tblHeader/>
          <w:jc w:val="center"/>
          <w:del w:id="228" w:author="AbbVie_HU_03" w:date="2025-05-14T15:27:00Z"/>
        </w:trPr>
        <w:tc>
          <w:tcPr>
            <w:tcW w:w="3401" w:type="dxa"/>
            <w:tcBorders>
              <w:top w:val="single" w:sz="4" w:space="0" w:color="auto"/>
              <w:bottom w:val="single" w:sz="4" w:space="0" w:color="auto"/>
            </w:tcBorders>
          </w:tcPr>
          <w:p w14:paraId="388B75AD" w14:textId="1EF6AF58" w:rsidR="00C93BD1" w:rsidRPr="00183B5F" w:rsidRDefault="00943743" w:rsidP="004062FE">
            <w:pPr>
              <w:pStyle w:val="TableLeft"/>
              <w:spacing w:before="0" w:after="0" w:line="240" w:lineRule="auto"/>
              <w:jc w:val="center"/>
              <w:rPr>
                <w:del w:id="229" w:author="AbbVie_HU_03" w:date="2025-05-14T15:27:00Z"/>
                <w:b/>
                <w:sz w:val="22"/>
                <w:szCs w:val="22"/>
                <w:lang w:val="hu-HU"/>
              </w:rPr>
            </w:pPr>
            <w:del w:id="230" w:author="AbbVie_HU_03" w:date="2025-05-14T15:27:00Z">
              <w:r w:rsidRPr="00183B5F">
                <w:rPr>
                  <w:sz w:val="22"/>
                  <w:szCs w:val="22"/>
                  <w:lang w:val="hu-HU"/>
                </w:rPr>
                <w:delText>15 kg</w:delText>
              </w:r>
              <w:r w:rsidR="002D1E82" w:rsidRPr="00183B5F">
                <w:rPr>
                  <w:sz w:val="22"/>
                  <w:szCs w:val="22"/>
                  <w:lang w:val="hu-HU"/>
                </w:rPr>
                <w:delText> </w:delText>
              </w:r>
              <w:r w:rsidR="00DD77ED" w:rsidRPr="00183B5F">
                <w:rPr>
                  <w:sz w:val="22"/>
                  <w:szCs w:val="22"/>
                  <w:lang w:val="hu-HU"/>
                </w:rPr>
                <w:noBreakHyphen/>
              </w:r>
              <w:r w:rsidR="002D1E82" w:rsidRPr="00183B5F">
                <w:rPr>
                  <w:sz w:val="22"/>
                  <w:szCs w:val="22"/>
                  <w:lang w:val="hu-HU"/>
                </w:rPr>
                <w:delText> </w:delText>
              </w:r>
              <w:r w:rsidRPr="00183B5F">
                <w:rPr>
                  <w:sz w:val="22"/>
                  <w:szCs w:val="22"/>
                  <w:lang w:val="hu-HU"/>
                </w:rPr>
                <w:delText>&lt;</w:delText>
              </w:r>
              <w:r w:rsidR="00833522" w:rsidRPr="00183B5F">
                <w:rPr>
                  <w:sz w:val="22"/>
                  <w:szCs w:val="22"/>
                  <w:lang w:val="hu-HU"/>
                </w:rPr>
                <w:delText> </w:delText>
              </w:r>
              <w:r w:rsidRPr="00183B5F">
                <w:rPr>
                  <w:sz w:val="22"/>
                  <w:szCs w:val="22"/>
                  <w:lang w:val="hu-HU"/>
                </w:rPr>
                <w:delText>30 kg</w:delText>
              </w:r>
            </w:del>
          </w:p>
        </w:tc>
        <w:tc>
          <w:tcPr>
            <w:tcW w:w="3394" w:type="dxa"/>
            <w:tcBorders>
              <w:top w:val="single" w:sz="4" w:space="0" w:color="auto"/>
              <w:bottom w:val="single" w:sz="4" w:space="0" w:color="auto"/>
            </w:tcBorders>
          </w:tcPr>
          <w:p w14:paraId="592E3B8C" w14:textId="57D9A74A" w:rsidR="00C93BD1" w:rsidRPr="00183B5F" w:rsidRDefault="00943743" w:rsidP="004062FE">
            <w:pPr>
              <w:pStyle w:val="TableLeft"/>
              <w:spacing w:before="0" w:after="0" w:line="240" w:lineRule="auto"/>
              <w:jc w:val="center"/>
              <w:rPr>
                <w:del w:id="231" w:author="AbbVie_HU_03" w:date="2025-05-14T15:27:00Z"/>
                <w:b/>
                <w:sz w:val="22"/>
                <w:szCs w:val="22"/>
                <w:lang w:val="hu-HU"/>
              </w:rPr>
            </w:pPr>
            <w:del w:id="232" w:author="AbbVie_HU_03" w:date="2025-05-14T15:27:00Z">
              <w:r w:rsidRPr="00183B5F">
                <w:rPr>
                  <w:sz w:val="22"/>
                  <w:szCs w:val="22"/>
                  <w:lang w:val="hu-HU"/>
                </w:rPr>
                <w:delText>A kezdő adag 20 mg, amelyet minden második héten 20 mg követ a kezdő dózis utáni első héttől kezdve</w:delText>
              </w:r>
            </w:del>
          </w:p>
        </w:tc>
      </w:tr>
      <w:tr w:rsidR="00011D2F" w14:paraId="2A2C5B9C" w14:textId="4565915B" w:rsidTr="00832DC3">
        <w:trPr>
          <w:tblHeader/>
          <w:jc w:val="center"/>
          <w:del w:id="233" w:author="AbbVie_HU_03" w:date="2025-05-14T15:27:00Z"/>
        </w:trPr>
        <w:tc>
          <w:tcPr>
            <w:tcW w:w="3401" w:type="dxa"/>
            <w:tcBorders>
              <w:top w:val="single" w:sz="4" w:space="0" w:color="auto"/>
              <w:bottom w:val="single" w:sz="4" w:space="0" w:color="auto"/>
            </w:tcBorders>
          </w:tcPr>
          <w:p w14:paraId="29D8C3C7" w14:textId="500F6297" w:rsidR="00C93BD1" w:rsidRPr="00183B5F" w:rsidRDefault="00943743" w:rsidP="004062FE">
            <w:pPr>
              <w:pStyle w:val="TableLeft"/>
              <w:spacing w:before="0" w:after="0" w:line="240" w:lineRule="auto"/>
              <w:jc w:val="center"/>
              <w:rPr>
                <w:del w:id="234" w:author="AbbVie_HU_03" w:date="2025-05-14T15:27:00Z"/>
                <w:b/>
                <w:sz w:val="22"/>
                <w:szCs w:val="22"/>
                <w:lang w:val="hu-HU"/>
              </w:rPr>
            </w:pPr>
            <w:del w:id="235" w:author="AbbVie_HU_03" w:date="2025-05-14T15:27:00Z">
              <w:r w:rsidRPr="00183B5F">
                <w:rPr>
                  <w:sz w:val="22"/>
                  <w:szCs w:val="22"/>
                  <w:lang w:val="hu-HU"/>
                </w:rPr>
                <w:delText>≥</w:delText>
              </w:r>
              <w:r w:rsidR="00833522" w:rsidRPr="00183B5F">
                <w:rPr>
                  <w:sz w:val="22"/>
                  <w:szCs w:val="22"/>
                  <w:lang w:val="hu-HU"/>
                </w:rPr>
                <w:delText> </w:delText>
              </w:r>
              <w:r w:rsidRPr="00183B5F">
                <w:rPr>
                  <w:sz w:val="22"/>
                  <w:szCs w:val="22"/>
                  <w:lang w:val="hu-HU"/>
                </w:rPr>
                <w:delText>30 kg</w:delText>
              </w:r>
            </w:del>
          </w:p>
        </w:tc>
        <w:tc>
          <w:tcPr>
            <w:tcW w:w="3394" w:type="dxa"/>
            <w:tcBorders>
              <w:top w:val="single" w:sz="4" w:space="0" w:color="auto"/>
              <w:bottom w:val="single" w:sz="4" w:space="0" w:color="auto"/>
            </w:tcBorders>
          </w:tcPr>
          <w:p w14:paraId="7BDB6130" w14:textId="125AEDE8" w:rsidR="00C93BD1" w:rsidRPr="00183B5F" w:rsidRDefault="00943743" w:rsidP="004062FE">
            <w:pPr>
              <w:pStyle w:val="TableLeft"/>
              <w:spacing w:before="0" w:after="0" w:line="240" w:lineRule="auto"/>
              <w:jc w:val="center"/>
              <w:rPr>
                <w:del w:id="236" w:author="AbbVie_HU_03" w:date="2025-05-14T15:27:00Z"/>
                <w:b/>
                <w:sz w:val="22"/>
                <w:szCs w:val="22"/>
                <w:lang w:val="hu-HU"/>
              </w:rPr>
            </w:pPr>
            <w:del w:id="237" w:author="AbbVie_HU_03" w:date="2025-05-14T15:27:00Z">
              <w:r w:rsidRPr="00183B5F">
                <w:rPr>
                  <w:sz w:val="22"/>
                  <w:szCs w:val="22"/>
                  <w:lang w:val="hu-HU"/>
                </w:rPr>
                <w:delText xml:space="preserve">A kezdő adag 40 mg, amelyet minden második héten 40 mg követ a kezdő dózis utáni első héttől kezdve </w:delText>
              </w:r>
            </w:del>
          </w:p>
        </w:tc>
      </w:tr>
    </w:tbl>
    <w:p w14:paraId="02C33C2D" w14:textId="6486331D" w:rsidR="0094177A" w:rsidRPr="00183B5F" w:rsidRDefault="0094177A" w:rsidP="004062FE">
      <w:pPr>
        <w:spacing w:line="240" w:lineRule="auto"/>
        <w:rPr>
          <w:del w:id="238" w:author="AbbVie_HU_03" w:date="2025-05-14T15:27:00Z"/>
          <w:szCs w:val="22"/>
        </w:rPr>
      </w:pPr>
    </w:p>
    <w:p w14:paraId="16E84F49" w14:textId="0C892104" w:rsidR="001832A8" w:rsidRPr="00183B5F" w:rsidRDefault="00943743" w:rsidP="004062FE">
      <w:pPr>
        <w:spacing w:line="240" w:lineRule="auto"/>
        <w:rPr>
          <w:del w:id="239" w:author="AbbVie_HU_03" w:date="2025-05-14T15:27:00Z"/>
          <w:szCs w:val="22"/>
        </w:rPr>
      </w:pPr>
      <w:del w:id="240" w:author="AbbVie_HU_03" w:date="2025-05-14T15:27:00Z">
        <w:r w:rsidRPr="00183B5F">
          <w:rPr>
            <w:szCs w:val="22"/>
          </w:rPr>
          <w:delText>A kezelés folytatását a 16. hét után gondosan mérlegelni kell, ha a beteg nem reagál ennyi idő alatt.</w:delText>
        </w:r>
      </w:del>
    </w:p>
    <w:p w14:paraId="69365B31" w14:textId="03C44609" w:rsidR="00816DFE" w:rsidRPr="00183B5F" w:rsidRDefault="00816DFE" w:rsidP="004062FE">
      <w:pPr>
        <w:spacing w:line="240" w:lineRule="auto"/>
        <w:rPr>
          <w:del w:id="241" w:author="AbbVie_HU_03" w:date="2025-05-14T15:27:00Z"/>
          <w:szCs w:val="22"/>
        </w:rPr>
      </w:pPr>
    </w:p>
    <w:p w14:paraId="65555611" w14:textId="1DCBCC6E" w:rsidR="00816DFE" w:rsidRPr="00183B5F" w:rsidRDefault="00943743" w:rsidP="004062FE">
      <w:pPr>
        <w:spacing w:line="240" w:lineRule="auto"/>
        <w:rPr>
          <w:del w:id="242" w:author="AbbVie_HU_03" w:date="2025-05-14T15:27:00Z"/>
          <w:szCs w:val="22"/>
        </w:rPr>
      </w:pPr>
      <w:del w:id="243" w:author="AbbVie_HU_03" w:date="2025-05-14T15:27:00Z">
        <w:r w:rsidRPr="00183B5F">
          <w:rPr>
            <w:szCs w:val="22"/>
          </w:rPr>
          <w:delText>Amennyiben a Humira</w:delText>
        </w:r>
        <w:r w:rsidRPr="00183B5F">
          <w:rPr>
            <w:szCs w:val="22"/>
          </w:rPr>
          <w:noBreakHyphen/>
        </w:r>
        <w:r w:rsidRPr="00183B5F">
          <w:rPr>
            <w:szCs w:val="22"/>
          </w:rPr>
          <w:delText>kezelés újrakezdése javasolt, a fenti útmutatást kell követni a dózisra és az adagolás időtartamára vonatkozóan.</w:delText>
        </w:r>
      </w:del>
    </w:p>
    <w:p w14:paraId="15D3C044" w14:textId="2E6E52B5" w:rsidR="00816DFE" w:rsidRPr="00183B5F" w:rsidRDefault="00816DFE" w:rsidP="004062FE">
      <w:pPr>
        <w:spacing w:line="240" w:lineRule="auto"/>
        <w:rPr>
          <w:del w:id="244" w:author="AbbVie_HU_03" w:date="2025-05-14T15:27:00Z"/>
          <w:szCs w:val="22"/>
        </w:rPr>
      </w:pPr>
    </w:p>
    <w:p w14:paraId="7783AE5E" w14:textId="7DC0457C" w:rsidR="00816DFE" w:rsidRPr="00183B5F" w:rsidRDefault="00943743" w:rsidP="004062FE">
      <w:pPr>
        <w:spacing w:line="240" w:lineRule="auto"/>
        <w:rPr>
          <w:del w:id="245" w:author="AbbVie_HU_03" w:date="2025-05-14T15:27:00Z"/>
          <w:szCs w:val="22"/>
        </w:rPr>
      </w:pPr>
      <w:del w:id="246" w:author="AbbVie_HU_03" w:date="2025-05-14T15:27:00Z">
        <w:r w:rsidRPr="00183B5F">
          <w:rPr>
            <w:szCs w:val="22"/>
          </w:rPr>
          <w:delText>A Humira biztonságosságát plakkos psoriasisban szenvedő gyermekeknél</w:delText>
        </w:r>
        <w:r w:rsidR="00F31438" w:rsidRPr="00183B5F">
          <w:rPr>
            <w:szCs w:val="22"/>
          </w:rPr>
          <w:delText xml:space="preserve"> átlagosan</w:delText>
        </w:r>
        <w:r w:rsidR="003B7A6F" w:rsidRPr="00183B5F">
          <w:rPr>
            <w:szCs w:val="22"/>
          </w:rPr>
          <w:delText xml:space="preserve"> 13 hónapig vizsgálták</w:delText>
        </w:r>
        <w:r w:rsidRPr="00183B5F">
          <w:rPr>
            <w:szCs w:val="22"/>
          </w:rPr>
          <w:delText>.</w:delText>
        </w:r>
      </w:del>
    </w:p>
    <w:p w14:paraId="11C538CC" w14:textId="54369F0E" w:rsidR="00F31438" w:rsidRPr="00183B5F" w:rsidRDefault="00F31438" w:rsidP="004062FE">
      <w:pPr>
        <w:spacing w:line="240" w:lineRule="auto"/>
        <w:rPr>
          <w:del w:id="247" w:author="AbbVie_HU_03" w:date="2025-05-14T15:27:00Z"/>
          <w:szCs w:val="22"/>
        </w:rPr>
      </w:pPr>
    </w:p>
    <w:p w14:paraId="5620AC45" w14:textId="4CD155BA" w:rsidR="00816DFE" w:rsidRPr="00183B5F" w:rsidRDefault="00943743" w:rsidP="004062FE">
      <w:pPr>
        <w:spacing w:line="240" w:lineRule="auto"/>
        <w:rPr>
          <w:del w:id="248" w:author="AbbVie_HU_03" w:date="2025-05-14T15:27:00Z"/>
          <w:szCs w:val="22"/>
        </w:rPr>
      </w:pPr>
      <w:del w:id="249" w:author="AbbVie_HU_03" w:date="2025-05-14T15:27:00Z">
        <w:r w:rsidRPr="00183B5F">
          <w:rPr>
            <w:szCs w:val="22"/>
          </w:rPr>
          <w:delText>A Humira</w:delText>
        </w:r>
        <w:r w:rsidRPr="00183B5F">
          <w:rPr>
            <w:szCs w:val="22"/>
          </w:rPr>
          <w:noBreakHyphen/>
          <w:delText xml:space="preserve">nak </w:delText>
        </w:r>
        <w:r w:rsidR="00B95333" w:rsidRPr="00183B5F">
          <w:rPr>
            <w:szCs w:val="22"/>
          </w:rPr>
          <w:delText>4 </w:delText>
        </w:r>
        <w:r w:rsidRPr="00183B5F">
          <w:rPr>
            <w:szCs w:val="22"/>
          </w:rPr>
          <w:delText>évesnél fiatalabb gyermekeknél ebben a javallatban nincs releváns alkalmazása.</w:delText>
        </w:r>
      </w:del>
    </w:p>
    <w:p w14:paraId="3E7DBBD1" w14:textId="15D29E9C" w:rsidR="00DA2DE4" w:rsidRPr="00183B5F" w:rsidRDefault="00DA2DE4" w:rsidP="004062FE">
      <w:pPr>
        <w:spacing w:line="240" w:lineRule="auto"/>
        <w:rPr>
          <w:del w:id="250" w:author="AbbVie_HU_03" w:date="2025-05-14T15:27:00Z"/>
          <w:szCs w:val="22"/>
        </w:rPr>
      </w:pPr>
    </w:p>
    <w:p w14:paraId="789B1837" w14:textId="54ED7831" w:rsidR="00DA2DE4" w:rsidRPr="00183B5F" w:rsidRDefault="00943743" w:rsidP="004062FE">
      <w:pPr>
        <w:spacing w:line="240" w:lineRule="auto"/>
        <w:rPr>
          <w:del w:id="251" w:author="AbbVie_HU_03" w:date="2025-05-14T15:27:00Z"/>
          <w:szCs w:val="22"/>
        </w:rPr>
      </w:pPr>
      <w:del w:id="252" w:author="AbbVie_HU_03" w:date="2025-05-14T15:27:00Z">
        <w:r w:rsidRPr="00183B5F">
          <w:rPr>
            <w:szCs w:val="22"/>
          </w:rPr>
          <w:delText>A Humira más hatáserősségben és/vagy kiszerelésben is elérhető az egyéni terápiás igényeknek megfelelően.</w:delText>
        </w:r>
      </w:del>
    </w:p>
    <w:p w14:paraId="70FCE745" w14:textId="3528D302" w:rsidR="009759CF" w:rsidRPr="00183B5F" w:rsidRDefault="009759CF" w:rsidP="004062FE">
      <w:pPr>
        <w:spacing w:line="240" w:lineRule="auto"/>
        <w:rPr>
          <w:del w:id="253" w:author="AbbVie_HU_03" w:date="2025-05-14T15:27:00Z"/>
          <w:szCs w:val="22"/>
        </w:rPr>
      </w:pPr>
    </w:p>
    <w:p w14:paraId="3141347C" w14:textId="166B71FD" w:rsidR="00E53D13" w:rsidRPr="00183B5F" w:rsidRDefault="00943743">
      <w:pPr>
        <w:keepNext/>
        <w:spacing w:line="240" w:lineRule="auto"/>
        <w:rPr>
          <w:del w:id="254" w:author="AbbVie_HU_03" w:date="2025-05-14T15:27:00Z"/>
          <w:i/>
          <w:szCs w:val="22"/>
        </w:rPr>
      </w:pPr>
      <w:del w:id="255" w:author="AbbVie_HU_03" w:date="2025-05-14T15:27:00Z">
        <w:r w:rsidRPr="00183B5F">
          <w:rPr>
            <w:i/>
            <w:szCs w:val="22"/>
          </w:rPr>
          <w:delText>Serdülőkori hidradenitis suppurativa (12 éves kortól, legalább 30</w:delText>
        </w:r>
        <w:r w:rsidR="00052346" w:rsidRPr="00183B5F">
          <w:rPr>
            <w:i/>
            <w:szCs w:val="22"/>
          </w:rPr>
          <w:delText> </w:delText>
        </w:r>
        <w:r w:rsidRPr="00183B5F">
          <w:rPr>
            <w:i/>
            <w:szCs w:val="22"/>
          </w:rPr>
          <w:delText>kg</w:delText>
        </w:r>
        <w:r w:rsidRPr="00183B5F">
          <w:rPr>
            <w:i/>
            <w:szCs w:val="22"/>
          </w:rPr>
          <w:noBreakHyphen/>
        </w:r>
        <w:r w:rsidR="003125C3" w:rsidRPr="00183B5F">
          <w:rPr>
            <w:i/>
            <w:szCs w:val="22"/>
          </w:rPr>
          <w:delText>os betegek</w:delText>
        </w:r>
        <w:r w:rsidR="002713DB" w:rsidRPr="00183B5F">
          <w:rPr>
            <w:i/>
            <w:szCs w:val="22"/>
          </w:rPr>
          <w:delText>)</w:delText>
        </w:r>
      </w:del>
    </w:p>
    <w:p w14:paraId="2D873A9C" w14:textId="3300AF1C" w:rsidR="003125C3" w:rsidRPr="00183B5F" w:rsidRDefault="003125C3">
      <w:pPr>
        <w:keepNext/>
        <w:spacing w:line="240" w:lineRule="auto"/>
        <w:rPr>
          <w:del w:id="256" w:author="AbbVie_HU_03" w:date="2025-05-14T15:27:00Z"/>
          <w:szCs w:val="22"/>
        </w:rPr>
      </w:pPr>
    </w:p>
    <w:p w14:paraId="37E04A0A" w14:textId="42F1228E" w:rsidR="00C93BD1" w:rsidRPr="00183B5F" w:rsidRDefault="00943743">
      <w:pPr>
        <w:spacing w:line="240" w:lineRule="auto"/>
        <w:rPr>
          <w:del w:id="257" w:author="AbbVie_HU_03" w:date="2025-05-14T15:27:00Z"/>
          <w:szCs w:val="22"/>
        </w:rPr>
      </w:pPr>
      <w:del w:id="258" w:author="AbbVie_HU_03" w:date="2025-05-14T15:27:00Z">
        <w:r w:rsidRPr="00183B5F">
          <w:rPr>
            <w:szCs w:val="22"/>
          </w:rPr>
          <w:delText xml:space="preserve">Nem </w:delText>
        </w:r>
        <w:r w:rsidR="006D2236" w:rsidRPr="00183B5F">
          <w:rPr>
            <w:szCs w:val="22"/>
          </w:rPr>
          <w:delText>végeztek</w:delText>
        </w:r>
        <w:r w:rsidRPr="00183B5F">
          <w:rPr>
            <w:szCs w:val="22"/>
          </w:rPr>
          <w:delText xml:space="preserve"> klinikai vizsgálat</w:delText>
        </w:r>
        <w:r w:rsidR="006D2236" w:rsidRPr="00183B5F">
          <w:rPr>
            <w:szCs w:val="22"/>
          </w:rPr>
          <w:delText>okat</w:delText>
        </w:r>
        <w:r w:rsidRPr="00183B5F">
          <w:rPr>
            <w:szCs w:val="22"/>
          </w:rPr>
          <w:delText xml:space="preserve"> </w:delText>
        </w:r>
        <w:r w:rsidR="00770C65" w:rsidRPr="00183B5F">
          <w:rPr>
            <w:szCs w:val="22"/>
          </w:rPr>
          <w:delText>Humira</w:delText>
        </w:r>
        <w:r w:rsidR="00770C65" w:rsidRPr="00183B5F">
          <w:rPr>
            <w:szCs w:val="22"/>
          </w:rPr>
          <w:noBreakHyphen/>
          <w:delText>val HS</w:delText>
        </w:r>
        <w:r w:rsidR="00770C65" w:rsidRPr="00183B5F">
          <w:rPr>
            <w:szCs w:val="22"/>
          </w:rPr>
          <w:noBreakHyphen/>
          <w:delText>ben szenvedő serdülőknél.</w:delText>
        </w:r>
      </w:del>
    </w:p>
    <w:p w14:paraId="32853388" w14:textId="37C76BD7" w:rsidR="00C93BD1" w:rsidRPr="00183B5F" w:rsidRDefault="00C93BD1">
      <w:pPr>
        <w:spacing w:line="240" w:lineRule="auto"/>
        <w:rPr>
          <w:del w:id="259" w:author="AbbVie_HU_03" w:date="2025-05-14T15:27:00Z"/>
          <w:szCs w:val="22"/>
        </w:rPr>
      </w:pPr>
    </w:p>
    <w:p w14:paraId="3B16B057" w14:textId="2BF35244" w:rsidR="003125C3" w:rsidRPr="00183B5F" w:rsidRDefault="00943743">
      <w:pPr>
        <w:spacing w:line="240" w:lineRule="auto"/>
        <w:rPr>
          <w:del w:id="260" w:author="AbbVie_HU_03" w:date="2025-05-14T15:27:00Z"/>
          <w:szCs w:val="22"/>
        </w:rPr>
      </w:pPr>
      <w:del w:id="261" w:author="AbbVie_HU_03" w:date="2025-05-14T15:27:00Z">
        <w:r w:rsidRPr="00183B5F">
          <w:rPr>
            <w:szCs w:val="22"/>
          </w:rPr>
          <w:delText xml:space="preserve">A Humira adagolását ezeknél a betegeknél </w:delText>
        </w:r>
        <w:r w:rsidR="000B25AD" w:rsidRPr="00183B5F">
          <w:rPr>
            <w:szCs w:val="22"/>
          </w:rPr>
          <w:delText>farmakokinetikai modellezéssel és szimulációval határozták meg (lásd 5.2</w:delText>
        </w:r>
        <w:r w:rsidR="006D2236" w:rsidRPr="00183B5F">
          <w:rPr>
            <w:szCs w:val="22"/>
          </w:rPr>
          <w:delText> </w:delText>
        </w:r>
        <w:r w:rsidR="000B25AD" w:rsidRPr="00183B5F">
          <w:rPr>
            <w:szCs w:val="22"/>
          </w:rPr>
          <w:delText>pont).</w:delText>
        </w:r>
      </w:del>
    </w:p>
    <w:p w14:paraId="7077BB77" w14:textId="30A7D5F8" w:rsidR="000B25AD" w:rsidRPr="00183B5F" w:rsidRDefault="000B25AD">
      <w:pPr>
        <w:spacing w:line="240" w:lineRule="auto"/>
        <w:rPr>
          <w:del w:id="262" w:author="AbbVie_HU_03" w:date="2025-05-14T15:27:00Z"/>
          <w:szCs w:val="22"/>
        </w:rPr>
      </w:pPr>
    </w:p>
    <w:p w14:paraId="3C5FB779" w14:textId="31C59D5F" w:rsidR="000B25AD" w:rsidRPr="00183B5F" w:rsidRDefault="00943743">
      <w:pPr>
        <w:spacing w:line="240" w:lineRule="auto"/>
        <w:rPr>
          <w:del w:id="263" w:author="AbbVie_HU_03" w:date="2025-05-14T15:27:00Z"/>
          <w:szCs w:val="22"/>
        </w:rPr>
      </w:pPr>
      <w:del w:id="264" w:author="AbbVie_HU_03" w:date="2025-05-14T15:27:00Z">
        <w:r w:rsidRPr="00183B5F">
          <w:rPr>
            <w:szCs w:val="22"/>
          </w:rPr>
          <w:delText>A Humira ajánlott adagja a 0.</w:delText>
        </w:r>
        <w:r w:rsidR="006D2236" w:rsidRPr="00183B5F">
          <w:rPr>
            <w:szCs w:val="22"/>
          </w:rPr>
          <w:delText> </w:delText>
        </w:r>
        <w:r w:rsidRPr="00183B5F">
          <w:rPr>
            <w:szCs w:val="22"/>
          </w:rPr>
          <w:delText xml:space="preserve">héten 80 mg, amit első héttől kezdve 40 mg </w:delText>
        </w:r>
        <w:r w:rsidRPr="00183B5F">
          <w:rPr>
            <w:i/>
            <w:szCs w:val="22"/>
          </w:rPr>
          <w:delText>subcutan</w:delText>
        </w:r>
        <w:r w:rsidRPr="00183B5F">
          <w:rPr>
            <w:szCs w:val="22"/>
          </w:rPr>
          <w:delText xml:space="preserve"> adott injekció követ minden 2.</w:delText>
        </w:r>
        <w:r w:rsidR="006D2236" w:rsidRPr="00183B5F">
          <w:rPr>
            <w:szCs w:val="22"/>
          </w:rPr>
          <w:delText> </w:delText>
        </w:r>
        <w:r w:rsidRPr="00183B5F">
          <w:rPr>
            <w:szCs w:val="22"/>
          </w:rPr>
          <w:delText>héten.</w:delText>
        </w:r>
      </w:del>
    </w:p>
    <w:p w14:paraId="3F0E5E85" w14:textId="0533147D" w:rsidR="004679B1" w:rsidRPr="00183B5F" w:rsidRDefault="004679B1">
      <w:pPr>
        <w:spacing w:line="240" w:lineRule="auto"/>
        <w:rPr>
          <w:del w:id="265" w:author="AbbVie_HU_03" w:date="2025-05-14T15:27:00Z"/>
          <w:szCs w:val="22"/>
        </w:rPr>
      </w:pPr>
    </w:p>
    <w:p w14:paraId="254CEBAF" w14:textId="2FAE2B1E" w:rsidR="004679B1" w:rsidRPr="00183B5F" w:rsidRDefault="00943743">
      <w:pPr>
        <w:spacing w:line="240" w:lineRule="auto"/>
        <w:rPr>
          <w:del w:id="266" w:author="AbbVie_HU_03" w:date="2025-05-14T15:27:00Z"/>
          <w:szCs w:val="22"/>
        </w:rPr>
      </w:pPr>
      <w:del w:id="267" w:author="AbbVie_HU_03" w:date="2025-05-14T15:27:00Z">
        <w:r w:rsidRPr="00183B5F">
          <w:rPr>
            <w:szCs w:val="22"/>
          </w:rPr>
          <w:delText>Azoknál a serdülőkorú betegeknél</w:delText>
        </w:r>
        <w:r w:rsidR="006D2236" w:rsidRPr="00183B5F">
          <w:rPr>
            <w:szCs w:val="22"/>
          </w:rPr>
          <w:delText>,</w:delText>
        </w:r>
        <w:r w:rsidRPr="00183B5F">
          <w:rPr>
            <w:szCs w:val="22"/>
          </w:rPr>
          <w:delText xml:space="preserve"> akik nem megfelelően reagál</w:delText>
        </w:r>
        <w:r w:rsidR="006D2236" w:rsidRPr="00183B5F">
          <w:rPr>
            <w:szCs w:val="22"/>
          </w:rPr>
          <w:delText>n</w:delText>
        </w:r>
        <w:r w:rsidRPr="00183B5F">
          <w:rPr>
            <w:szCs w:val="22"/>
          </w:rPr>
          <w:delText>ak a kéthetente adagolt 40</w:delText>
        </w:r>
        <w:r w:rsidR="006D2236" w:rsidRPr="00183B5F">
          <w:rPr>
            <w:szCs w:val="22"/>
          </w:rPr>
          <w:delText> </w:delText>
        </w:r>
        <w:r w:rsidRPr="00183B5F">
          <w:rPr>
            <w:szCs w:val="22"/>
          </w:rPr>
          <w:delText xml:space="preserve">mg Humira kezelésre, megfontolandó </w:delText>
        </w:r>
        <w:r w:rsidR="00C97FEF" w:rsidRPr="00183B5F">
          <w:rPr>
            <w:szCs w:val="22"/>
          </w:rPr>
          <w:delText xml:space="preserve">a Humira </w:delText>
        </w:r>
        <w:r w:rsidR="00DA2DE4" w:rsidRPr="00183B5F">
          <w:rPr>
            <w:szCs w:val="22"/>
          </w:rPr>
          <w:delText>adagját</w:delText>
        </w:r>
        <w:r w:rsidR="00C97FEF" w:rsidRPr="00183B5F">
          <w:rPr>
            <w:szCs w:val="22"/>
          </w:rPr>
          <w:delText xml:space="preserve"> heti 40</w:delText>
        </w:r>
        <w:r w:rsidR="006D2236" w:rsidRPr="00183B5F">
          <w:rPr>
            <w:szCs w:val="22"/>
          </w:rPr>
          <w:delText> </w:delText>
        </w:r>
        <w:r w:rsidR="00C97FEF" w:rsidRPr="00183B5F">
          <w:rPr>
            <w:szCs w:val="22"/>
          </w:rPr>
          <w:delText>mg</w:delText>
        </w:r>
        <w:r w:rsidR="006D2236" w:rsidRPr="00183B5F">
          <w:rPr>
            <w:szCs w:val="22"/>
          </w:rPr>
          <w:noBreakHyphen/>
        </w:r>
        <w:r w:rsidR="00C97FEF" w:rsidRPr="00183B5F">
          <w:rPr>
            <w:szCs w:val="22"/>
          </w:rPr>
          <w:delText>ra</w:delText>
        </w:r>
        <w:r w:rsidR="00DA2DE4" w:rsidRPr="00183B5F">
          <w:rPr>
            <w:szCs w:val="22"/>
          </w:rPr>
          <w:delText>, vagy kéthetente 80 mg</w:delText>
        </w:r>
        <w:r w:rsidR="00E5381A" w:rsidRPr="00183B5F">
          <w:rPr>
            <w:szCs w:val="22"/>
          </w:rPr>
          <w:noBreakHyphen/>
        </w:r>
        <w:r w:rsidR="00DA2DE4" w:rsidRPr="00183B5F">
          <w:rPr>
            <w:szCs w:val="22"/>
          </w:rPr>
          <w:delText>ra</w:delText>
        </w:r>
        <w:r w:rsidR="00C97FEF" w:rsidRPr="00183B5F">
          <w:rPr>
            <w:szCs w:val="22"/>
          </w:rPr>
          <w:delText xml:space="preserve"> emelni.</w:delText>
        </w:r>
      </w:del>
    </w:p>
    <w:p w14:paraId="12FA6A79" w14:textId="47B8ECA6" w:rsidR="00C97FEF" w:rsidRPr="00183B5F" w:rsidRDefault="00C97FEF">
      <w:pPr>
        <w:spacing w:line="240" w:lineRule="auto"/>
        <w:rPr>
          <w:del w:id="268" w:author="AbbVie_HU_03" w:date="2025-05-14T15:27:00Z"/>
          <w:szCs w:val="22"/>
        </w:rPr>
      </w:pPr>
    </w:p>
    <w:p w14:paraId="2BD36BE4" w14:textId="676FD5B6" w:rsidR="00C97FEF" w:rsidRPr="00183B5F" w:rsidRDefault="00943743">
      <w:pPr>
        <w:spacing w:line="240" w:lineRule="auto"/>
        <w:rPr>
          <w:del w:id="269" w:author="AbbVie_HU_03" w:date="2025-05-14T15:27:00Z"/>
          <w:szCs w:val="22"/>
        </w:rPr>
      </w:pPr>
      <w:del w:id="270" w:author="AbbVie_HU_03" w:date="2025-05-14T15:27:00Z">
        <w:r w:rsidRPr="00183B5F">
          <w:rPr>
            <w:szCs w:val="22"/>
          </w:rPr>
          <w:delText>Szükség esetén folytatható az antibiotikum szedése a Humira</w:delText>
        </w:r>
        <w:r w:rsidR="00CE76E2" w:rsidRPr="00183B5F">
          <w:rPr>
            <w:szCs w:val="22"/>
          </w:rPr>
          <w:noBreakHyphen/>
        </w:r>
        <w:r w:rsidRPr="00183B5F">
          <w:rPr>
            <w:szCs w:val="22"/>
          </w:rPr>
          <w:delText>kezelés alatt</w:delText>
        </w:r>
        <w:r w:rsidR="00F16589" w:rsidRPr="00183B5F">
          <w:rPr>
            <w:szCs w:val="22"/>
          </w:rPr>
          <w:delText>. Humira</w:delText>
        </w:r>
        <w:r w:rsidR="00CE76E2" w:rsidRPr="00183B5F">
          <w:rPr>
            <w:szCs w:val="22"/>
          </w:rPr>
          <w:noBreakHyphen/>
        </w:r>
        <w:r w:rsidR="00F16589" w:rsidRPr="00183B5F">
          <w:rPr>
            <w:szCs w:val="22"/>
          </w:rPr>
          <w:delText>kezelés alatt javasolt</w:delText>
        </w:r>
        <w:r w:rsidRPr="00183B5F">
          <w:rPr>
            <w:szCs w:val="22"/>
          </w:rPr>
          <w:delText>, hogy a beteg naponta alkalmazzon</w:delText>
        </w:r>
        <w:r w:rsidR="00F16589" w:rsidRPr="00183B5F">
          <w:rPr>
            <w:szCs w:val="22"/>
          </w:rPr>
          <w:delText xml:space="preserve"> helyi fertőtlenítő lemosó</w:delText>
        </w:r>
        <w:r w:rsidRPr="00183B5F">
          <w:rPr>
            <w:szCs w:val="22"/>
          </w:rPr>
          <w:delText>t a HS léziókon</w:delText>
        </w:r>
        <w:r w:rsidR="00F16589" w:rsidRPr="00183B5F">
          <w:rPr>
            <w:szCs w:val="22"/>
          </w:rPr>
          <w:delText>.</w:delText>
        </w:r>
      </w:del>
    </w:p>
    <w:p w14:paraId="68DECBB0" w14:textId="48668527" w:rsidR="00F16589" w:rsidRPr="00183B5F" w:rsidRDefault="00F16589">
      <w:pPr>
        <w:spacing w:line="240" w:lineRule="auto"/>
        <w:rPr>
          <w:del w:id="271" w:author="AbbVie_HU_03" w:date="2025-05-14T15:27:00Z"/>
          <w:szCs w:val="22"/>
        </w:rPr>
      </w:pPr>
    </w:p>
    <w:p w14:paraId="4639122D" w14:textId="538DB3BD" w:rsidR="00F16589" w:rsidRPr="00183B5F" w:rsidRDefault="00943743">
      <w:pPr>
        <w:spacing w:line="240" w:lineRule="auto"/>
        <w:rPr>
          <w:del w:id="272" w:author="AbbVie_HU_03" w:date="2025-05-14T15:27:00Z"/>
          <w:szCs w:val="22"/>
        </w:rPr>
      </w:pPr>
      <w:del w:id="273" w:author="AbbVie_HU_03" w:date="2025-05-14T15:27:00Z">
        <w:r w:rsidRPr="00183B5F">
          <w:rPr>
            <w:szCs w:val="22"/>
          </w:rPr>
          <w:delText>A kezelés folytatását alaposan meg kell fontolni azoknál a betegeknél, akik a 12. hétig nem reagálnak a kezelésre.</w:delText>
        </w:r>
      </w:del>
    </w:p>
    <w:p w14:paraId="167B3020" w14:textId="7E354661" w:rsidR="004306A2" w:rsidRPr="00183B5F" w:rsidRDefault="004306A2">
      <w:pPr>
        <w:spacing w:line="240" w:lineRule="auto"/>
        <w:rPr>
          <w:del w:id="274" w:author="AbbVie_HU_03" w:date="2025-05-14T15:27:00Z"/>
          <w:szCs w:val="22"/>
        </w:rPr>
      </w:pPr>
    </w:p>
    <w:p w14:paraId="0EF2050F" w14:textId="245CAEF8" w:rsidR="00F16589" w:rsidRPr="00183B5F" w:rsidRDefault="00943743">
      <w:pPr>
        <w:spacing w:line="240" w:lineRule="auto"/>
        <w:rPr>
          <w:del w:id="275" w:author="AbbVie_HU_03" w:date="2025-05-14T15:27:00Z"/>
          <w:szCs w:val="22"/>
        </w:rPr>
      </w:pPr>
      <w:del w:id="276" w:author="AbbVie_HU_03" w:date="2025-05-14T15:27:00Z">
        <w:r w:rsidRPr="00183B5F">
          <w:rPr>
            <w:szCs w:val="22"/>
          </w:rPr>
          <w:delText xml:space="preserve">Amennyiben a kezelés megszakadt, a Humira </w:delText>
        </w:r>
        <w:r w:rsidR="004306A2" w:rsidRPr="00183B5F">
          <w:rPr>
            <w:szCs w:val="22"/>
          </w:rPr>
          <w:delText>szükség szerint</w:delText>
        </w:r>
        <w:r w:rsidRPr="00183B5F">
          <w:rPr>
            <w:szCs w:val="22"/>
          </w:rPr>
          <w:delText xml:space="preserve"> újra alkalmazható.</w:delText>
        </w:r>
      </w:del>
    </w:p>
    <w:p w14:paraId="75B8C439" w14:textId="12B11F56" w:rsidR="00F16589" w:rsidRPr="00183B5F" w:rsidRDefault="00F16589">
      <w:pPr>
        <w:spacing w:line="240" w:lineRule="auto"/>
        <w:rPr>
          <w:del w:id="277" w:author="AbbVie_HU_03" w:date="2025-05-14T15:27:00Z"/>
          <w:szCs w:val="22"/>
        </w:rPr>
      </w:pPr>
    </w:p>
    <w:p w14:paraId="4C4CAC40" w14:textId="2AC63330" w:rsidR="00F16589" w:rsidRPr="00183B5F" w:rsidRDefault="00943743">
      <w:pPr>
        <w:spacing w:line="240" w:lineRule="auto"/>
        <w:rPr>
          <w:del w:id="278" w:author="AbbVie_HU_03" w:date="2025-05-14T15:27:00Z"/>
          <w:szCs w:val="22"/>
        </w:rPr>
      </w:pPr>
      <w:del w:id="279" w:author="AbbVie_HU_03" w:date="2025-05-14T15:27:00Z">
        <w:r w:rsidRPr="00183B5F">
          <w:rPr>
            <w:szCs w:val="22"/>
          </w:rPr>
          <w:delText xml:space="preserve">A </w:delText>
        </w:r>
        <w:r w:rsidR="004306A2" w:rsidRPr="00183B5F">
          <w:rPr>
            <w:szCs w:val="22"/>
          </w:rPr>
          <w:delText xml:space="preserve">folyamatos, </w:delText>
        </w:r>
        <w:r w:rsidRPr="00183B5F">
          <w:rPr>
            <w:szCs w:val="22"/>
          </w:rPr>
          <w:delText>hosszú</w:delText>
        </w:r>
        <w:r w:rsidR="004306A2" w:rsidRPr="00183B5F">
          <w:rPr>
            <w:szCs w:val="22"/>
          </w:rPr>
          <w:delText xml:space="preserve"> </w:delText>
        </w:r>
        <w:r w:rsidRPr="00183B5F">
          <w:rPr>
            <w:szCs w:val="22"/>
          </w:rPr>
          <w:delText>távú kezelés előny</w:delText>
        </w:r>
        <w:r w:rsidR="004306A2" w:rsidRPr="00183B5F">
          <w:rPr>
            <w:szCs w:val="22"/>
          </w:rPr>
          <w:delText>ét</w:delText>
        </w:r>
        <w:r w:rsidRPr="00183B5F">
          <w:rPr>
            <w:szCs w:val="22"/>
          </w:rPr>
          <w:delText xml:space="preserve"> és kockázat</w:delText>
        </w:r>
        <w:r w:rsidR="004306A2" w:rsidRPr="00183B5F">
          <w:rPr>
            <w:szCs w:val="22"/>
          </w:rPr>
          <w:delText>át</w:delText>
        </w:r>
        <w:r w:rsidRPr="00183B5F">
          <w:rPr>
            <w:szCs w:val="22"/>
          </w:rPr>
          <w:delText xml:space="preserve"> időszakosan értékelni kell (lásd felnőtt adatok</w:delText>
        </w:r>
        <w:r w:rsidR="004306A2" w:rsidRPr="00183B5F">
          <w:rPr>
            <w:szCs w:val="22"/>
          </w:rPr>
          <w:delText>,</w:delText>
        </w:r>
        <w:r w:rsidRPr="00183B5F">
          <w:rPr>
            <w:szCs w:val="22"/>
          </w:rPr>
          <w:delText xml:space="preserve"> 5.1</w:delText>
        </w:r>
        <w:r w:rsidR="004306A2" w:rsidRPr="00183B5F">
          <w:rPr>
            <w:szCs w:val="22"/>
          </w:rPr>
          <w:delText> </w:delText>
        </w:r>
        <w:r w:rsidRPr="00183B5F">
          <w:rPr>
            <w:szCs w:val="22"/>
          </w:rPr>
          <w:delText>pont).</w:delText>
        </w:r>
      </w:del>
    </w:p>
    <w:p w14:paraId="347902AB" w14:textId="10A683F8" w:rsidR="00F3609A" w:rsidRPr="00183B5F" w:rsidRDefault="00F3609A">
      <w:pPr>
        <w:spacing w:line="240" w:lineRule="auto"/>
        <w:rPr>
          <w:del w:id="280" w:author="AbbVie_HU_03" w:date="2025-05-14T15:27:00Z"/>
          <w:szCs w:val="22"/>
        </w:rPr>
      </w:pPr>
    </w:p>
    <w:p w14:paraId="216837C9" w14:textId="220BD081" w:rsidR="00F3609A" w:rsidRPr="00183B5F" w:rsidRDefault="00943743">
      <w:pPr>
        <w:spacing w:line="240" w:lineRule="auto"/>
        <w:rPr>
          <w:del w:id="281" w:author="AbbVie_HU_03" w:date="2025-05-14T15:27:00Z"/>
          <w:szCs w:val="22"/>
        </w:rPr>
      </w:pPr>
      <w:del w:id="282" w:author="AbbVie_HU_03" w:date="2025-05-14T15:27:00Z">
        <w:r w:rsidRPr="00183B5F">
          <w:rPr>
            <w:szCs w:val="22"/>
          </w:rPr>
          <w:delText>A Humira</w:delText>
        </w:r>
        <w:r w:rsidRPr="00183B5F">
          <w:rPr>
            <w:szCs w:val="22"/>
          </w:rPr>
          <w:noBreakHyphen/>
        </w:r>
        <w:r w:rsidRPr="00183B5F">
          <w:rPr>
            <w:szCs w:val="22"/>
          </w:rPr>
          <w:delText>nak 12 évesnél fiatalabb gyermekeknél ebben a javallatban nincs releváns alkalmazása.</w:delText>
        </w:r>
      </w:del>
    </w:p>
    <w:p w14:paraId="3630CF72" w14:textId="3A4AB842" w:rsidR="00DA2DE4" w:rsidRPr="00183B5F" w:rsidRDefault="00DA2DE4">
      <w:pPr>
        <w:spacing w:line="240" w:lineRule="auto"/>
        <w:rPr>
          <w:del w:id="283" w:author="AbbVie_HU_03" w:date="2025-05-14T15:27:00Z"/>
          <w:szCs w:val="22"/>
        </w:rPr>
      </w:pPr>
    </w:p>
    <w:p w14:paraId="09930F73" w14:textId="09F3999C" w:rsidR="00DA2DE4" w:rsidRPr="00183B5F" w:rsidRDefault="00943743" w:rsidP="00DA2DE4">
      <w:pPr>
        <w:spacing w:line="240" w:lineRule="auto"/>
        <w:rPr>
          <w:del w:id="284" w:author="AbbVie_HU_03" w:date="2025-05-14T15:27:00Z"/>
          <w:szCs w:val="22"/>
        </w:rPr>
      </w:pPr>
      <w:del w:id="285" w:author="AbbVie_HU_03" w:date="2025-05-14T15:27:00Z">
        <w:r w:rsidRPr="00183B5F">
          <w:rPr>
            <w:szCs w:val="22"/>
          </w:rPr>
          <w:delText>A Humira más hatáserősségben és/vagy kiszerelésben is elérhető az egyéni terápiás igényeknek megfelelően.</w:delText>
        </w:r>
      </w:del>
    </w:p>
    <w:p w14:paraId="69C469BE" w14:textId="6158A3AD" w:rsidR="00E53D13" w:rsidRPr="00183B5F" w:rsidRDefault="00E53D13">
      <w:pPr>
        <w:spacing w:line="240" w:lineRule="auto"/>
        <w:rPr>
          <w:del w:id="286" w:author="AbbVie_HU_03" w:date="2025-05-14T15:27:00Z"/>
          <w:i/>
          <w:szCs w:val="22"/>
        </w:rPr>
      </w:pPr>
    </w:p>
    <w:p w14:paraId="2F199C5B" w14:textId="29A746C9" w:rsidR="004B4B6F" w:rsidRPr="00183B5F" w:rsidRDefault="00943743" w:rsidP="004062FE">
      <w:pPr>
        <w:spacing w:line="240" w:lineRule="auto"/>
        <w:rPr>
          <w:del w:id="287" w:author="AbbVie_HU_03" w:date="2025-05-14T15:27:00Z"/>
          <w:i/>
          <w:szCs w:val="22"/>
        </w:rPr>
      </w:pPr>
      <w:del w:id="288" w:author="AbbVie_HU_03" w:date="2025-05-14T15:27:00Z">
        <w:r w:rsidRPr="00183B5F">
          <w:rPr>
            <w:i/>
            <w:szCs w:val="22"/>
          </w:rPr>
          <w:delText>Gyermekkori Crohn</w:delText>
        </w:r>
        <w:r w:rsidR="00320BAE" w:rsidRPr="00183B5F">
          <w:rPr>
            <w:i/>
            <w:szCs w:val="22"/>
          </w:rPr>
          <w:noBreakHyphen/>
        </w:r>
        <w:r w:rsidRPr="00183B5F">
          <w:rPr>
            <w:i/>
            <w:szCs w:val="22"/>
          </w:rPr>
          <w:delText>betegség</w:delText>
        </w:r>
      </w:del>
    </w:p>
    <w:p w14:paraId="04900BFB" w14:textId="11536104" w:rsidR="004B4B6F" w:rsidRPr="00183B5F" w:rsidRDefault="004B4B6F" w:rsidP="004062FE">
      <w:pPr>
        <w:spacing w:line="240" w:lineRule="auto"/>
        <w:rPr>
          <w:del w:id="289" w:author="AbbVie_HU_03" w:date="2025-05-14T15:27:00Z"/>
          <w:szCs w:val="22"/>
        </w:rPr>
      </w:pPr>
    </w:p>
    <w:p w14:paraId="25284326" w14:textId="643F431C" w:rsidR="00C93BD1" w:rsidRPr="00183B5F" w:rsidRDefault="00943743" w:rsidP="004062FE">
      <w:pPr>
        <w:keepNext/>
        <w:spacing w:line="240" w:lineRule="auto"/>
        <w:rPr>
          <w:del w:id="290" w:author="AbbVie_HU_03" w:date="2025-05-14T15:27:00Z"/>
          <w:szCs w:val="22"/>
        </w:rPr>
      </w:pPr>
      <w:del w:id="291" w:author="AbbVie_HU_03" w:date="2025-05-14T15:27:00Z">
        <w:r w:rsidRPr="00183B5F">
          <w:rPr>
            <w:szCs w:val="22"/>
          </w:rPr>
          <w:delText>A Humira ajánlott adagja Crohn</w:delText>
        </w:r>
        <w:r w:rsidR="00DD77ED" w:rsidRPr="00183B5F">
          <w:rPr>
            <w:szCs w:val="22"/>
          </w:rPr>
          <w:noBreakHyphen/>
        </w:r>
        <w:r w:rsidRPr="00183B5F">
          <w:rPr>
            <w:szCs w:val="22"/>
          </w:rPr>
          <w:delText>betegségben szenvedő</w:delText>
        </w:r>
        <w:r w:rsidR="003B3C18" w:rsidRPr="00183B5F">
          <w:rPr>
            <w:szCs w:val="22"/>
          </w:rPr>
          <w:delText>,</w:delText>
        </w:r>
        <w:r w:rsidRPr="00183B5F">
          <w:rPr>
            <w:szCs w:val="22"/>
          </w:rPr>
          <w:delText xml:space="preserve"> 6</w:delText>
        </w:r>
        <w:r w:rsidR="00DD77ED" w:rsidRPr="00183B5F">
          <w:rPr>
            <w:szCs w:val="22"/>
          </w:rPr>
          <w:noBreakHyphen/>
        </w:r>
        <w:r w:rsidRPr="00183B5F">
          <w:rPr>
            <w:szCs w:val="22"/>
          </w:rPr>
          <w:delText>17</w:delText>
        </w:r>
        <w:r w:rsidR="007A2741" w:rsidRPr="00183B5F">
          <w:rPr>
            <w:szCs w:val="22"/>
          </w:rPr>
          <w:delText> </w:delText>
        </w:r>
        <w:r w:rsidRPr="00183B5F">
          <w:rPr>
            <w:szCs w:val="22"/>
          </w:rPr>
          <w:delText>éves betegek</w:delText>
        </w:r>
        <w:r w:rsidR="00834D6B" w:rsidRPr="00183B5F">
          <w:rPr>
            <w:szCs w:val="22"/>
          </w:rPr>
          <w:delText>nél a</w:delText>
        </w:r>
        <w:r w:rsidRPr="00183B5F">
          <w:rPr>
            <w:szCs w:val="22"/>
          </w:rPr>
          <w:delText xml:space="preserve"> testtömegtől függ (4. táblázat). A Humira</w:delText>
        </w:r>
        <w:r w:rsidR="00DD77ED" w:rsidRPr="00183B5F">
          <w:rPr>
            <w:szCs w:val="22"/>
          </w:rPr>
          <w:noBreakHyphen/>
        </w:r>
        <w:r w:rsidRPr="00183B5F">
          <w:rPr>
            <w:szCs w:val="22"/>
          </w:rPr>
          <w:delText>t subcutan injekció formájában</w:delText>
        </w:r>
        <w:r w:rsidR="00834D6B" w:rsidRPr="00183B5F">
          <w:rPr>
            <w:szCs w:val="22"/>
          </w:rPr>
          <w:delText xml:space="preserve"> kell</w:delText>
        </w:r>
        <w:r w:rsidRPr="00183B5F">
          <w:rPr>
            <w:szCs w:val="22"/>
          </w:rPr>
          <w:delText xml:space="preserve"> alkalmaz</w:delText>
        </w:r>
        <w:r w:rsidR="00834D6B" w:rsidRPr="00183B5F">
          <w:rPr>
            <w:szCs w:val="22"/>
          </w:rPr>
          <w:delText>ni</w:delText>
        </w:r>
      </w:del>
    </w:p>
    <w:p w14:paraId="14A4CDAB" w14:textId="69FE7238" w:rsidR="00C93BD1" w:rsidRPr="00183B5F" w:rsidRDefault="00C93BD1" w:rsidP="004062FE">
      <w:pPr>
        <w:keepNext/>
        <w:spacing w:line="240" w:lineRule="auto"/>
        <w:jc w:val="center"/>
        <w:rPr>
          <w:del w:id="292" w:author="AbbVie_HU_03" w:date="2025-05-14T15:27:00Z"/>
          <w:b/>
          <w:szCs w:val="22"/>
        </w:rPr>
      </w:pPr>
    </w:p>
    <w:p w14:paraId="1172C9D4" w14:textId="46B4E0CB" w:rsidR="00C93BD1" w:rsidRPr="00183B5F" w:rsidRDefault="00943743" w:rsidP="004062FE">
      <w:pPr>
        <w:keepNext/>
        <w:spacing w:line="240" w:lineRule="auto"/>
        <w:jc w:val="center"/>
        <w:rPr>
          <w:del w:id="293" w:author="AbbVie_HU_03" w:date="2025-05-14T15:27:00Z"/>
          <w:b/>
          <w:szCs w:val="22"/>
        </w:rPr>
      </w:pPr>
      <w:del w:id="294" w:author="AbbVie_HU_03" w:date="2025-05-14T15:27:00Z">
        <w:r w:rsidRPr="00183B5F">
          <w:rPr>
            <w:b/>
            <w:szCs w:val="22"/>
          </w:rPr>
          <w:delText>4. táblázat: A Humira dózisa Crohn</w:delText>
        </w:r>
        <w:r w:rsidR="00DD77ED" w:rsidRPr="00183B5F">
          <w:rPr>
            <w:b/>
            <w:szCs w:val="22"/>
          </w:rPr>
          <w:noBreakHyphen/>
        </w:r>
        <w:r w:rsidRPr="00183B5F">
          <w:rPr>
            <w:b/>
            <w:szCs w:val="22"/>
          </w:rPr>
          <w:delText>betegségben szenvedő gyermekek</w:delText>
        </w:r>
        <w:r w:rsidR="00834D6B" w:rsidRPr="00183B5F">
          <w:rPr>
            <w:b/>
            <w:szCs w:val="22"/>
          </w:rPr>
          <w:delText>nél</w:delText>
        </w:r>
      </w:del>
    </w:p>
    <w:p w14:paraId="7BB58009" w14:textId="242099E6" w:rsidR="00C93BD1" w:rsidRPr="00183B5F" w:rsidRDefault="00C93BD1" w:rsidP="004062FE">
      <w:pPr>
        <w:keepNext/>
        <w:spacing w:line="240" w:lineRule="auto"/>
        <w:rPr>
          <w:del w:id="295" w:author="AbbVie_HU_03" w:date="2025-05-14T15:27:00Z"/>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63"/>
        <w:gridCol w:w="6312"/>
        <w:gridCol w:w="1480"/>
      </w:tblGrid>
      <w:tr w:rsidR="00011D2F" w14:paraId="451CEEFB" w14:textId="7729ACB4" w:rsidTr="001E3DE7">
        <w:trPr>
          <w:tblHeader/>
          <w:del w:id="296" w:author="AbbVie_HU_03" w:date="2025-05-14T15:27:00Z"/>
        </w:trPr>
        <w:tc>
          <w:tcPr>
            <w:tcW w:w="0" w:type="auto"/>
            <w:tcBorders>
              <w:top w:val="single" w:sz="6" w:space="0" w:color="000000"/>
              <w:left w:val="single" w:sz="6" w:space="0" w:color="000000"/>
              <w:bottom w:val="single" w:sz="6" w:space="0" w:color="000000"/>
              <w:right w:val="single" w:sz="6" w:space="0" w:color="000000"/>
            </w:tcBorders>
            <w:hideMark/>
          </w:tcPr>
          <w:p w14:paraId="7CFDD80B" w14:textId="13B7C6B5" w:rsidR="00C93BD1" w:rsidRPr="00183B5F" w:rsidRDefault="00943743" w:rsidP="004062FE">
            <w:pPr>
              <w:keepNext/>
              <w:spacing w:line="240" w:lineRule="auto"/>
              <w:jc w:val="center"/>
              <w:rPr>
                <w:del w:id="297" w:author="AbbVie_HU_03" w:date="2025-05-14T15:27:00Z"/>
              </w:rPr>
            </w:pPr>
            <w:del w:id="298" w:author="AbbVie_HU_03" w:date="2025-05-14T15:27:00Z">
              <w:r w:rsidRPr="00183B5F">
                <w:rPr>
                  <w:b/>
                </w:rPr>
                <w:delText>A beteg testtömege</w:delText>
              </w:r>
            </w:del>
          </w:p>
        </w:tc>
        <w:tc>
          <w:tcPr>
            <w:tcW w:w="0" w:type="auto"/>
            <w:tcBorders>
              <w:top w:val="single" w:sz="6" w:space="0" w:color="000000"/>
              <w:left w:val="single" w:sz="6" w:space="0" w:color="000000"/>
              <w:bottom w:val="single" w:sz="6" w:space="0" w:color="000000"/>
              <w:right w:val="single" w:sz="6" w:space="0" w:color="000000"/>
            </w:tcBorders>
            <w:hideMark/>
          </w:tcPr>
          <w:p w14:paraId="31562B16" w14:textId="45579A98" w:rsidR="00C93BD1" w:rsidRPr="00183B5F" w:rsidRDefault="00943743" w:rsidP="004062FE">
            <w:pPr>
              <w:keepNext/>
              <w:spacing w:line="240" w:lineRule="auto"/>
              <w:jc w:val="center"/>
              <w:rPr>
                <w:del w:id="299" w:author="AbbVie_HU_03" w:date="2025-05-14T15:27:00Z"/>
              </w:rPr>
            </w:pPr>
            <w:del w:id="300" w:author="AbbVie_HU_03" w:date="2025-05-14T15:27:00Z">
              <w:r w:rsidRPr="00183B5F">
                <w:rPr>
                  <w:b/>
                </w:rPr>
                <w:delText>Indukciós dózis</w:delText>
              </w:r>
            </w:del>
          </w:p>
        </w:tc>
        <w:tc>
          <w:tcPr>
            <w:tcW w:w="0" w:type="auto"/>
            <w:tcBorders>
              <w:top w:val="single" w:sz="6" w:space="0" w:color="000000"/>
              <w:left w:val="single" w:sz="6" w:space="0" w:color="000000"/>
              <w:bottom w:val="single" w:sz="6" w:space="0" w:color="000000"/>
              <w:right w:val="single" w:sz="6" w:space="0" w:color="000000"/>
            </w:tcBorders>
            <w:hideMark/>
          </w:tcPr>
          <w:p w14:paraId="51BFC608" w14:textId="47D5FBCC" w:rsidR="00C93BD1" w:rsidRPr="00183B5F" w:rsidRDefault="00943743" w:rsidP="004062FE">
            <w:pPr>
              <w:keepNext/>
              <w:spacing w:line="240" w:lineRule="auto"/>
              <w:jc w:val="center"/>
              <w:rPr>
                <w:del w:id="301" w:author="AbbVie_HU_03" w:date="2025-05-14T15:27:00Z"/>
              </w:rPr>
            </w:pPr>
            <w:del w:id="302" w:author="AbbVie_HU_03" w:date="2025-05-14T15:27:00Z">
              <w:r w:rsidRPr="00183B5F">
                <w:rPr>
                  <w:b/>
                </w:rPr>
                <w:delText>Fenntartó dózis</w:delText>
              </w:r>
              <w:r w:rsidRPr="00183B5F">
                <w:rPr>
                  <w:b/>
                </w:rPr>
                <w:br/>
                <w:delText>4. héttől kezdve</w:delText>
              </w:r>
            </w:del>
          </w:p>
        </w:tc>
      </w:tr>
      <w:tr w:rsidR="00011D2F" w14:paraId="475F3B49" w14:textId="7DA0F069" w:rsidTr="001E3DE7">
        <w:trPr>
          <w:del w:id="303" w:author="AbbVie_HU_03" w:date="2025-05-14T15:27:00Z"/>
        </w:trPr>
        <w:tc>
          <w:tcPr>
            <w:tcW w:w="0" w:type="auto"/>
            <w:tcBorders>
              <w:top w:val="single" w:sz="6" w:space="0" w:color="000000"/>
              <w:left w:val="single" w:sz="6" w:space="0" w:color="000000"/>
              <w:bottom w:val="single" w:sz="6" w:space="0" w:color="000000"/>
              <w:right w:val="single" w:sz="6" w:space="0" w:color="000000"/>
            </w:tcBorders>
            <w:hideMark/>
          </w:tcPr>
          <w:p w14:paraId="0208F75E" w14:textId="57B1606D" w:rsidR="00C93BD1" w:rsidRPr="00183B5F" w:rsidRDefault="00943743" w:rsidP="004062FE">
            <w:pPr>
              <w:keepNext/>
              <w:spacing w:line="240" w:lineRule="auto"/>
              <w:jc w:val="center"/>
              <w:rPr>
                <w:del w:id="304" w:author="AbbVie_HU_03" w:date="2025-05-14T15:27:00Z"/>
              </w:rPr>
            </w:pPr>
            <w:del w:id="305" w:author="AbbVie_HU_03" w:date="2025-05-14T15:27:00Z">
              <w:r w:rsidRPr="00183B5F">
                <w:delText>&lt;</w:delText>
              </w:r>
              <w:r w:rsidR="00834D6B" w:rsidRPr="00183B5F">
                <w:delText> </w:delText>
              </w:r>
              <w:r w:rsidRPr="00183B5F">
                <w:delText>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2D067F02" w14:textId="39DE55F4" w:rsidR="00C93BD1" w:rsidRPr="00183B5F" w:rsidRDefault="00943743" w:rsidP="004062FE">
            <w:pPr>
              <w:pStyle w:val="ListParagraph"/>
              <w:keepNext/>
              <w:numPr>
                <w:ilvl w:val="0"/>
                <w:numId w:val="145"/>
              </w:numPr>
              <w:suppressAutoHyphens w:val="0"/>
              <w:spacing w:line="240" w:lineRule="auto"/>
              <w:contextualSpacing/>
              <w:rPr>
                <w:del w:id="306" w:author="AbbVie_HU_03" w:date="2025-05-14T15:27:00Z"/>
                <w:szCs w:val="22"/>
              </w:rPr>
            </w:pPr>
            <w:del w:id="307" w:author="AbbVie_HU_03" w:date="2025-05-14T15:27:00Z">
              <w:r w:rsidRPr="00183B5F">
                <w:rPr>
                  <w:szCs w:val="22"/>
                </w:rPr>
                <w:delText>40 mg a 0. héten és 20 mg a 2. héten.</w:delText>
              </w:r>
            </w:del>
          </w:p>
          <w:p w14:paraId="6D43297F" w14:textId="21943A06" w:rsidR="00C93BD1" w:rsidRPr="00183B5F" w:rsidRDefault="00C93BD1" w:rsidP="004062FE">
            <w:pPr>
              <w:keepNext/>
              <w:suppressAutoHyphens w:val="0"/>
              <w:spacing w:line="240" w:lineRule="auto"/>
              <w:rPr>
                <w:del w:id="308" w:author="AbbVie_HU_03" w:date="2025-05-14T15:27:00Z"/>
                <w:szCs w:val="22"/>
              </w:rPr>
            </w:pPr>
          </w:p>
          <w:p w14:paraId="449BDFB4" w14:textId="08AC3EED" w:rsidR="00C93BD1" w:rsidRPr="00183B5F" w:rsidRDefault="00943743" w:rsidP="004062FE">
            <w:pPr>
              <w:keepNext/>
              <w:suppressAutoHyphens w:val="0"/>
              <w:spacing w:line="240" w:lineRule="auto"/>
              <w:rPr>
                <w:del w:id="309" w:author="AbbVie_HU_03" w:date="2025-05-14T15:27:00Z"/>
                <w:szCs w:val="22"/>
              </w:rPr>
            </w:pPr>
            <w:del w:id="310" w:author="AbbVie_HU_03" w:date="2025-05-14T15:27:00Z">
              <w:r w:rsidRPr="00183B5F">
                <w:rPr>
                  <w:szCs w:val="22"/>
                </w:rPr>
                <w:delText>Amennyiben gyorsabb terápiás válaszra van szükség, figyelembe véve, hogy a nagyobb indukciós dózis adásakor a nemkívánatos események kockázata is nagyobb, úgy a következő adagolás alkalmazható:</w:delText>
              </w:r>
            </w:del>
          </w:p>
          <w:p w14:paraId="2AE1CBE4" w14:textId="61406623" w:rsidR="00C93BD1" w:rsidRPr="00183B5F" w:rsidRDefault="00943743" w:rsidP="004062FE">
            <w:pPr>
              <w:keepNext/>
              <w:numPr>
                <w:ilvl w:val="0"/>
                <w:numId w:val="144"/>
              </w:numPr>
              <w:suppressAutoHyphens w:val="0"/>
              <w:spacing w:line="240" w:lineRule="auto"/>
              <w:ind w:left="357" w:hanging="357"/>
              <w:rPr>
                <w:del w:id="311" w:author="AbbVie_HU_03" w:date="2025-05-14T15:27:00Z"/>
                <w:iCs/>
                <w:szCs w:val="22"/>
              </w:rPr>
            </w:pPr>
            <w:del w:id="312" w:author="AbbVie_HU_03" w:date="2025-05-14T15:27:00Z">
              <w:r w:rsidRPr="00183B5F">
                <w:rPr>
                  <w:szCs w:val="22"/>
                </w:rPr>
                <w:delText>80 mg a 0. héten és 40 mg a 2. héten</w:delText>
              </w:r>
            </w:del>
          </w:p>
        </w:tc>
        <w:tc>
          <w:tcPr>
            <w:tcW w:w="0" w:type="auto"/>
            <w:tcBorders>
              <w:top w:val="single" w:sz="6" w:space="0" w:color="000000"/>
              <w:left w:val="single" w:sz="6" w:space="0" w:color="000000"/>
              <w:bottom w:val="single" w:sz="6" w:space="0" w:color="000000"/>
              <w:right w:val="single" w:sz="6" w:space="0" w:color="000000"/>
            </w:tcBorders>
            <w:hideMark/>
          </w:tcPr>
          <w:p w14:paraId="3357B8F4" w14:textId="25A67345" w:rsidR="00C93BD1" w:rsidRPr="00183B5F" w:rsidRDefault="00943743" w:rsidP="004062FE">
            <w:pPr>
              <w:keepNext/>
              <w:suppressAutoHyphens w:val="0"/>
              <w:spacing w:line="240" w:lineRule="auto"/>
              <w:ind w:left="27"/>
              <w:jc w:val="center"/>
              <w:rPr>
                <w:del w:id="313" w:author="AbbVie_HU_03" w:date="2025-05-14T15:27:00Z"/>
              </w:rPr>
            </w:pPr>
            <w:del w:id="314" w:author="AbbVie_HU_03" w:date="2025-05-14T15:27:00Z">
              <w:r w:rsidRPr="00183B5F">
                <w:delText>20 mg minden második héten</w:delText>
              </w:r>
            </w:del>
          </w:p>
        </w:tc>
      </w:tr>
      <w:tr w:rsidR="00011D2F" w14:paraId="532A27C5" w14:textId="71155177" w:rsidTr="001E3DE7">
        <w:trPr>
          <w:del w:id="315" w:author="AbbVie_HU_03" w:date="2025-05-14T15:27:00Z"/>
        </w:trPr>
        <w:tc>
          <w:tcPr>
            <w:tcW w:w="0" w:type="auto"/>
            <w:tcBorders>
              <w:top w:val="single" w:sz="6" w:space="0" w:color="000000"/>
              <w:left w:val="single" w:sz="6" w:space="0" w:color="000000"/>
              <w:bottom w:val="single" w:sz="6" w:space="0" w:color="000000"/>
              <w:right w:val="single" w:sz="6" w:space="0" w:color="000000"/>
            </w:tcBorders>
            <w:hideMark/>
          </w:tcPr>
          <w:p w14:paraId="2B7246C6" w14:textId="6B35BDFC" w:rsidR="00C93BD1" w:rsidRPr="00183B5F" w:rsidRDefault="00943743" w:rsidP="004062FE">
            <w:pPr>
              <w:keepNext/>
              <w:spacing w:line="240" w:lineRule="auto"/>
              <w:jc w:val="center"/>
              <w:rPr>
                <w:del w:id="316" w:author="AbbVie_HU_03" w:date="2025-05-14T15:27:00Z"/>
              </w:rPr>
            </w:pPr>
            <w:del w:id="317" w:author="AbbVie_HU_03" w:date="2025-05-14T15:27:00Z">
              <w:r w:rsidRPr="00183B5F">
                <w:delText>≥</w:delText>
              </w:r>
              <w:r w:rsidR="00834D6B" w:rsidRPr="00183B5F">
                <w:delText> </w:delText>
              </w:r>
              <w:r w:rsidRPr="00183B5F">
                <w:delText>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5A11D8F1" w14:textId="6C8CE3F3" w:rsidR="00C93BD1" w:rsidRPr="00183B5F" w:rsidRDefault="00943743" w:rsidP="004062FE">
            <w:pPr>
              <w:pStyle w:val="ListParagraph"/>
              <w:keepNext/>
              <w:numPr>
                <w:ilvl w:val="0"/>
                <w:numId w:val="144"/>
              </w:numPr>
              <w:suppressAutoHyphens w:val="0"/>
              <w:spacing w:line="240" w:lineRule="auto"/>
              <w:ind w:left="357" w:hanging="357"/>
              <w:contextualSpacing/>
              <w:rPr>
                <w:del w:id="318" w:author="AbbVie_HU_03" w:date="2025-05-14T15:27:00Z"/>
                <w:szCs w:val="22"/>
              </w:rPr>
            </w:pPr>
            <w:del w:id="319" w:author="AbbVie_HU_03" w:date="2025-05-14T15:27:00Z">
              <w:r w:rsidRPr="00183B5F">
                <w:rPr>
                  <w:szCs w:val="22"/>
                </w:rPr>
                <w:delText>80 mg a 0. héten és 40 mg a 2. </w:delText>
              </w:r>
              <w:r w:rsidR="00203AAF" w:rsidRPr="00183B5F">
                <w:rPr>
                  <w:szCs w:val="22"/>
                </w:rPr>
                <w:delText>h</w:delText>
              </w:r>
              <w:r w:rsidRPr="00183B5F">
                <w:rPr>
                  <w:szCs w:val="22"/>
                </w:rPr>
                <w:delText>éten</w:delText>
              </w:r>
            </w:del>
          </w:p>
          <w:p w14:paraId="79BC8C89" w14:textId="7411C2D5" w:rsidR="00C93BD1" w:rsidRPr="00183B5F" w:rsidRDefault="00C93BD1" w:rsidP="004062FE">
            <w:pPr>
              <w:keepNext/>
              <w:suppressAutoHyphens w:val="0"/>
              <w:spacing w:line="240" w:lineRule="auto"/>
              <w:rPr>
                <w:del w:id="320" w:author="AbbVie_HU_03" w:date="2025-05-14T15:27:00Z"/>
                <w:szCs w:val="22"/>
              </w:rPr>
            </w:pPr>
          </w:p>
          <w:p w14:paraId="51684EB1" w14:textId="46B34BB9" w:rsidR="00C93BD1" w:rsidRPr="00183B5F" w:rsidRDefault="00943743" w:rsidP="004062FE">
            <w:pPr>
              <w:keepNext/>
              <w:suppressAutoHyphens w:val="0"/>
              <w:spacing w:line="240" w:lineRule="auto"/>
              <w:rPr>
                <w:del w:id="321" w:author="AbbVie_HU_03" w:date="2025-05-14T15:27:00Z"/>
                <w:szCs w:val="22"/>
              </w:rPr>
            </w:pPr>
            <w:del w:id="322" w:author="AbbVie_HU_03" w:date="2025-05-14T15:27:00Z">
              <w:r w:rsidRPr="00183B5F">
                <w:rPr>
                  <w:szCs w:val="22"/>
                </w:rPr>
                <w:delText>Amennyiben gyorsabb terápiás válaszra van szükség, figyelembe véve, hogy a nagyobb indukciós dózis adásakor a nemkívánatos események kockázata is nagyobb, úgy a következő adagolás alkalmazható:</w:delText>
              </w:r>
            </w:del>
          </w:p>
          <w:p w14:paraId="299FBDEF" w14:textId="55472215" w:rsidR="00C93BD1" w:rsidRPr="00183B5F" w:rsidRDefault="00943743" w:rsidP="004062FE">
            <w:pPr>
              <w:keepNext/>
              <w:numPr>
                <w:ilvl w:val="0"/>
                <w:numId w:val="143"/>
              </w:numPr>
              <w:suppressAutoHyphens w:val="0"/>
              <w:spacing w:line="240" w:lineRule="auto"/>
              <w:ind w:left="357" w:hanging="357"/>
              <w:rPr>
                <w:del w:id="323" w:author="AbbVie_HU_03" w:date="2025-05-14T15:27:00Z"/>
                <w:szCs w:val="22"/>
              </w:rPr>
            </w:pPr>
            <w:del w:id="324" w:author="AbbVie_HU_03" w:date="2025-05-14T15:27:00Z">
              <w:r w:rsidRPr="00183B5F">
                <w:rPr>
                  <w:szCs w:val="22"/>
                </w:rPr>
                <w:delText>160 mg a 0. héten és 80 mg a 2. héten</w:delText>
              </w:r>
            </w:del>
          </w:p>
        </w:tc>
        <w:tc>
          <w:tcPr>
            <w:tcW w:w="0" w:type="auto"/>
            <w:tcBorders>
              <w:top w:val="single" w:sz="6" w:space="0" w:color="000000"/>
              <w:left w:val="single" w:sz="6" w:space="0" w:color="000000"/>
              <w:bottom w:val="single" w:sz="6" w:space="0" w:color="000000"/>
              <w:right w:val="single" w:sz="6" w:space="0" w:color="000000"/>
            </w:tcBorders>
            <w:hideMark/>
          </w:tcPr>
          <w:p w14:paraId="7046474C" w14:textId="27011F2A" w:rsidR="00C93BD1" w:rsidRPr="00183B5F" w:rsidRDefault="00943743" w:rsidP="004062FE">
            <w:pPr>
              <w:keepNext/>
              <w:suppressAutoHyphens w:val="0"/>
              <w:spacing w:line="240" w:lineRule="auto"/>
              <w:ind w:left="36"/>
              <w:jc w:val="center"/>
              <w:rPr>
                <w:del w:id="325" w:author="AbbVie_HU_03" w:date="2025-05-14T15:27:00Z"/>
              </w:rPr>
            </w:pPr>
            <w:del w:id="326" w:author="AbbVie_HU_03" w:date="2025-05-14T15:27:00Z">
              <w:r w:rsidRPr="00183B5F">
                <w:delText>40 mg minden második héten</w:delText>
              </w:r>
            </w:del>
          </w:p>
        </w:tc>
      </w:tr>
    </w:tbl>
    <w:p w14:paraId="13447F78" w14:textId="59E33FCF" w:rsidR="00C93BD1" w:rsidRPr="00183B5F" w:rsidRDefault="00C93BD1" w:rsidP="004062FE">
      <w:pPr>
        <w:spacing w:line="240" w:lineRule="auto"/>
        <w:rPr>
          <w:del w:id="327" w:author="AbbVie_HU_03" w:date="2025-05-14T15:27:00Z"/>
          <w:szCs w:val="22"/>
        </w:rPr>
      </w:pPr>
    </w:p>
    <w:p w14:paraId="45DADC56" w14:textId="78008224" w:rsidR="00C93BD1" w:rsidRPr="00183B5F" w:rsidRDefault="00943743" w:rsidP="004062FE">
      <w:pPr>
        <w:spacing w:line="240" w:lineRule="auto"/>
        <w:rPr>
          <w:del w:id="328" w:author="AbbVie_HU_03" w:date="2025-05-14T15:27:00Z"/>
          <w:szCs w:val="22"/>
        </w:rPr>
      </w:pPr>
      <w:del w:id="329" w:author="AbbVie_HU_03" w:date="2025-05-14T15:27:00Z">
        <w:r w:rsidRPr="00183B5F">
          <w:rPr>
            <w:szCs w:val="22"/>
          </w:rPr>
          <w:delText xml:space="preserve">A nem megfelelően reagáló betegeknél előnyös lehet az adag </w:delText>
        </w:r>
        <w:r w:rsidR="00834D6B" w:rsidRPr="00183B5F">
          <w:rPr>
            <w:szCs w:val="22"/>
          </w:rPr>
          <w:delText>növelése</w:delText>
        </w:r>
        <w:r w:rsidRPr="00183B5F">
          <w:rPr>
            <w:szCs w:val="22"/>
          </w:rPr>
          <w:delText>:</w:delText>
        </w:r>
      </w:del>
    </w:p>
    <w:p w14:paraId="78439C7D" w14:textId="78F588BF" w:rsidR="00C93BD1" w:rsidRPr="00183B5F" w:rsidRDefault="00943743">
      <w:pPr>
        <w:keepNext/>
        <w:numPr>
          <w:ilvl w:val="0"/>
          <w:numId w:val="143"/>
        </w:numPr>
        <w:tabs>
          <w:tab w:val="left" w:pos="540"/>
        </w:tabs>
        <w:spacing w:line="240" w:lineRule="auto"/>
        <w:ind w:left="540" w:hanging="540"/>
        <w:rPr>
          <w:del w:id="330" w:author="AbbVie_HU_03" w:date="2025-05-14T15:27:00Z"/>
        </w:rPr>
      </w:pPr>
      <w:del w:id="331" w:author="AbbVie_HU_03" w:date="2025-05-14T15:27:00Z">
        <w:r w:rsidRPr="00183B5F">
          <w:delText>&lt;</w:delText>
        </w:r>
        <w:r w:rsidR="00834D6B" w:rsidRPr="00183B5F">
          <w:delText> </w:delText>
        </w:r>
        <w:r w:rsidRPr="00183B5F">
          <w:delText>40 kg: 20 mg minden héten</w:delText>
        </w:r>
      </w:del>
    </w:p>
    <w:p w14:paraId="54D77207" w14:textId="0FC088EC" w:rsidR="00C93BD1" w:rsidRPr="00183B5F" w:rsidRDefault="00943743">
      <w:pPr>
        <w:keepNext/>
        <w:numPr>
          <w:ilvl w:val="0"/>
          <w:numId w:val="143"/>
        </w:numPr>
        <w:tabs>
          <w:tab w:val="left" w:pos="540"/>
        </w:tabs>
        <w:spacing w:line="240" w:lineRule="auto"/>
        <w:ind w:left="540" w:hanging="540"/>
        <w:rPr>
          <w:del w:id="332" w:author="AbbVie_HU_03" w:date="2025-05-14T15:27:00Z"/>
        </w:rPr>
      </w:pPr>
      <w:del w:id="333" w:author="AbbVie_HU_03" w:date="2025-05-14T15:27:00Z">
        <w:r w:rsidRPr="00183B5F">
          <w:delText>≥</w:delText>
        </w:r>
        <w:r w:rsidR="00834D6B" w:rsidRPr="00183B5F">
          <w:delText> </w:delText>
        </w:r>
        <w:r w:rsidRPr="00183B5F">
          <w:delText>40 kg: 40 mg minden héten</w:delText>
        </w:r>
        <w:r w:rsidR="00DA2DE4" w:rsidRPr="00183B5F">
          <w:delText xml:space="preserve"> vagy 80 mg minden második héten</w:delText>
        </w:r>
      </w:del>
    </w:p>
    <w:p w14:paraId="683E51E1" w14:textId="68518E30" w:rsidR="00C93BD1" w:rsidRPr="00183B5F" w:rsidRDefault="00C93BD1" w:rsidP="004062FE">
      <w:pPr>
        <w:spacing w:line="240" w:lineRule="auto"/>
        <w:rPr>
          <w:del w:id="334" w:author="AbbVie_HU_03" w:date="2025-05-14T15:27:00Z"/>
          <w:szCs w:val="22"/>
        </w:rPr>
      </w:pPr>
    </w:p>
    <w:p w14:paraId="39D80EB0" w14:textId="24488D1B" w:rsidR="004B4B6F" w:rsidRPr="00183B5F" w:rsidRDefault="00943743" w:rsidP="004062FE">
      <w:pPr>
        <w:spacing w:line="240" w:lineRule="auto"/>
        <w:rPr>
          <w:del w:id="335" w:author="AbbVie_HU_03" w:date="2025-05-14T15:27:00Z"/>
          <w:szCs w:val="22"/>
        </w:rPr>
      </w:pPr>
      <w:del w:id="336" w:author="AbbVie_HU_03" w:date="2025-05-14T15:27:00Z">
        <w:r w:rsidRPr="00183B5F">
          <w:rPr>
            <w:szCs w:val="22"/>
          </w:rPr>
          <w:delText>A kezelés folytatását alaposan meg kell fontolni azoknál a betegeknél, akik a 12.</w:delText>
        </w:r>
        <w:r w:rsidR="00E40B27" w:rsidRPr="00183B5F">
          <w:rPr>
            <w:szCs w:val="22"/>
          </w:rPr>
          <w:delText> </w:delText>
        </w:r>
        <w:r w:rsidRPr="00183B5F">
          <w:rPr>
            <w:szCs w:val="22"/>
          </w:rPr>
          <w:delText>hétig nem reagálnak a kezelésre.</w:delText>
        </w:r>
      </w:del>
    </w:p>
    <w:p w14:paraId="30B849A2" w14:textId="0E5A01CE" w:rsidR="00F301D2" w:rsidRPr="00183B5F" w:rsidRDefault="00F301D2" w:rsidP="004062FE">
      <w:pPr>
        <w:spacing w:line="240" w:lineRule="auto"/>
        <w:rPr>
          <w:del w:id="337" w:author="AbbVie_HU_03" w:date="2025-05-14T15:27:00Z"/>
          <w:szCs w:val="22"/>
        </w:rPr>
      </w:pPr>
    </w:p>
    <w:p w14:paraId="28EDA192" w14:textId="658FEAFD" w:rsidR="00F301D2" w:rsidRPr="00183B5F" w:rsidRDefault="00943743">
      <w:pPr>
        <w:spacing w:line="240" w:lineRule="auto"/>
        <w:rPr>
          <w:del w:id="338" w:author="AbbVie_HU_03" w:date="2025-05-14T15:27:00Z"/>
          <w:szCs w:val="22"/>
        </w:rPr>
      </w:pPr>
      <w:del w:id="339" w:author="AbbVie_HU_03" w:date="2025-05-14T15:27:00Z">
        <w:r w:rsidRPr="00183B5F">
          <w:rPr>
            <w:szCs w:val="22"/>
          </w:rPr>
          <w:delText>A Humir</w:delText>
        </w:r>
        <w:r w:rsidR="007C7621" w:rsidRPr="00183B5F">
          <w:rPr>
            <w:szCs w:val="22"/>
          </w:rPr>
          <w:delText>a</w:delText>
        </w:r>
        <w:r w:rsidR="007C7621" w:rsidRPr="00183B5F">
          <w:rPr>
            <w:szCs w:val="22"/>
          </w:rPr>
          <w:noBreakHyphen/>
        </w:r>
        <w:r w:rsidRPr="00183B5F">
          <w:rPr>
            <w:szCs w:val="22"/>
          </w:rPr>
          <w:delText xml:space="preserve">nak 6 évesnél fiatalabb gyermekeknél </w:delText>
        </w:r>
        <w:r w:rsidR="00891E18" w:rsidRPr="00183B5F">
          <w:rPr>
            <w:szCs w:val="22"/>
          </w:rPr>
          <w:delText xml:space="preserve">ebben a javallatban </w:delText>
        </w:r>
        <w:r w:rsidRPr="00183B5F">
          <w:rPr>
            <w:szCs w:val="22"/>
          </w:rPr>
          <w:delText>nincs releváns alkalmazása.</w:delText>
        </w:r>
      </w:del>
    </w:p>
    <w:p w14:paraId="3F5C3016" w14:textId="5D36DBA0" w:rsidR="00DA2DE4" w:rsidRPr="00183B5F" w:rsidRDefault="00DA2DE4">
      <w:pPr>
        <w:spacing w:line="240" w:lineRule="auto"/>
        <w:rPr>
          <w:del w:id="340" w:author="AbbVie_HU_03" w:date="2025-05-14T15:27:00Z"/>
          <w:szCs w:val="22"/>
        </w:rPr>
      </w:pPr>
    </w:p>
    <w:p w14:paraId="4EAD91DC" w14:textId="086558B4" w:rsidR="00DA2DE4" w:rsidRPr="00183B5F" w:rsidRDefault="00943743">
      <w:pPr>
        <w:spacing w:line="240" w:lineRule="auto"/>
        <w:rPr>
          <w:del w:id="341" w:author="AbbVie_HU_03" w:date="2025-05-14T15:27:00Z"/>
          <w:szCs w:val="22"/>
        </w:rPr>
      </w:pPr>
      <w:del w:id="342" w:author="AbbVie_HU_03" w:date="2025-05-14T15:27:00Z">
        <w:r w:rsidRPr="00183B5F">
          <w:rPr>
            <w:szCs w:val="22"/>
          </w:rPr>
          <w:delText>A Humira más hatáserősségben és/vagy kiszerelésben is elérhető az egyéni terápiás igényeknek megfelelően.</w:delText>
        </w:r>
      </w:del>
    </w:p>
    <w:p w14:paraId="73C184E7" w14:textId="3308938F" w:rsidR="006E0276" w:rsidRPr="00183B5F" w:rsidRDefault="006E0276">
      <w:pPr>
        <w:spacing w:line="240" w:lineRule="auto"/>
        <w:rPr>
          <w:del w:id="343" w:author="AbbVie_HU_03" w:date="2025-05-14T15:27:00Z"/>
          <w:szCs w:val="22"/>
        </w:rPr>
      </w:pPr>
    </w:p>
    <w:p w14:paraId="621485E8" w14:textId="6A9A12EB" w:rsidR="006E0276" w:rsidRPr="00183B5F" w:rsidRDefault="00943743" w:rsidP="006E0276">
      <w:pPr>
        <w:spacing w:line="240" w:lineRule="auto"/>
        <w:rPr>
          <w:del w:id="344" w:author="AbbVie_HU_03" w:date="2025-05-14T15:27:00Z"/>
          <w:b/>
        </w:rPr>
      </w:pPr>
      <w:bookmarkStart w:id="345" w:name="_Hlk53150665"/>
      <w:del w:id="346" w:author="AbbVie_HU_03" w:date="2025-05-14T15:27:00Z">
        <w:r w:rsidRPr="00183B5F">
          <w:rPr>
            <w:i/>
          </w:rPr>
          <w:delText>Gyermek</w:delText>
        </w:r>
        <w:r w:rsidR="00676FB3" w:rsidRPr="00183B5F">
          <w:rPr>
            <w:i/>
          </w:rPr>
          <w:delText>- és serdülő</w:delText>
        </w:r>
        <w:r w:rsidRPr="00183B5F">
          <w:rPr>
            <w:i/>
          </w:rPr>
          <w:delText>kori colitis ulcerosa</w:delText>
        </w:r>
        <w:r w:rsidRPr="00183B5F">
          <w:rPr>
            <w:b/>
          </w:rPr>
          <w:delText xml:space="preserve"> </w:delText>
        </w:r>
      </w:del>
    </w:p>
    <w:p w14:paraId="4861F603" w14:textId="33D4BEA7" w:rsidR="006E0276" w:rsidRPr="00183B5F" w:rsidRDefault="006E0276" w:rsidP="006E0276">
      <w:pPr>
        <w:spacing w:line="240" w:lineRule="auto"/>
        <w:rPr>
          <w:del w:id="347" w:author="AbbVie_HU_03" w:date="2025-05-14T15:27:00Z"/>
          <w:b/>
        </w:rPr>
      </w:pPr>
    </w:p>
    <w:p w14:paraId="7127BE08" w14:textId="0018A391" w:rsidR="006E0276" w:rsidRPr="00183B5F" w:rsidRDefault="00943743" w:rsidP="006E0276">
      <w:pPr>
        <w:spacing w:line="240" w:lineRule="auto"/>
        <w:rPr>
          <w:del w:id="348" w:author="AbbVie_HU_03" w:date="2025-05-14T15:27:00Z"/>
        </w:rPr>
      </w:pPr>
      <w:del w:id="349" w:author="AbbVie_HU_03" w:date="2025-05-14T15:27:00Z">
        <w:r w:rsidRPr="00183B5F">
          <w:delText>A Humira ajánlott adagja colitis ulcerosában szenvedő, 6–17 éves korú betegeknél a testtömegtől függ (5. táblázat). A Humira-t subcutan injekció formájában kell beadni.</w:delText>
        </w:r>
      </w:del>
    </w:p>
    <w:p w14:paraId="1CB23D28" w14:textId="74D0ECBE" w:rsidR="006E0276" w:rsidRPr="00183B5F" w:rsidRDefault="00943743" w:rsidP="006E0276">
      <w:pPr>
        <w:spacing w:line="240" w:lineRule="auto"/>
        <w:rPr>
          <w:del w:id="350" w:author="AbbVie_HU_03" w:date="2025-05-14T15:27:00Z"/>
        </w:rPr>
      </w:pPr>
      <w:del w:id="351" w:author="AbbVie_HU_03" w:date="2025-05-14T15:27:00Z">
        <w:r w:rsidRPr="00183B5F">
          <w:delText xml:space="preserve"> </w:delText>
        </w:r>
      </w:del>
    </w:p>
    <w:p w14:paraId="7CE0F1EF" w14:textId="5E4FFE06" w:rsidR="006E0276" w:rsidRPr="00183B5F" w:rsidRDefault="00943743" w:rsidP="006E0276">
      <w:pPr>
        <w:keepNext/>
        <w:spacing w:line="240" w:lineRule="auto"/>
        <w:jc w:val="center"/>
        <w:rPr>
          <w:del w:id="352" w:author="AbbVie_HU_03" w:date="2025-05-14T15:27:00Z"/>
        </w:rPr>
      </w:pPr>
      <w:del w:id="353" w:author="AbbVie_HU_03" w:date="2025-05-14T15:27:00Z">
        <w:r w:rsidRPr="00183B5F">
          <w:rPr>
            <w:b/>
          </w:rPr>
          <w:delText>5. táblázat</w:delText>
        </w:r>
        <w:r w:rsidR="009D4D26" w:rsidRPr="00183B5F">
          <w:rPr>
            <w:b/>
          </w:rPr>
          <w:delText>:</w:delText>
        </w:r>
        <w:r w:rsidRPr="00183B5F">
          <w:rPr>
            <w:b/>
          </w:rPr>
          <w:delText xml:space="preserve"> A Humira dózisa colitis ulcerosában szenvedő </w:delText>
        </w:r>
        <w:r w:rsidR="009D4D26" w:rsidRPr="00183B5F">
          <w:rPr>
            <w:b/>
          </w:rPr>
          <w:delText>gyermekeknél</w:delText>
        </w:r>
        <w:r w:rsidR="000A27CE" w:rsidRPr="00183B5F">
          <w:rPr>
            <w:b/>
          </w:rPr>
          <w:delText xml:space="preserve"> és serdülőknél</w:delText>
        </w:r>
        <w:r w:rsidRPr="00183B5F">
          <w:rPr>
            <w:b/>
          </w:rPr>
          <w:delText xml:space="preserve"> </w:delText>
        </w:r>
      </w:del>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4"/>
        <w:gridCol w:w="3322"/>
        <w:gridCol w:w="3158"/>
      </w:tblGrid>
      <w:tr w:rsidR="00011D2F" w14:paraId="01F4274E" w14:textId="3F805599" w:rsidTr="00D43146">
        <w:trPr>
          <w:jc w:val="center"/>
          <w:del w:id="354" w:author="AbbVie_HU_03" w:date="2025-05-14T15:27:00Z"/>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CAE45D3" w14:textId="1AE01173" w:rsidR="006E0276" w:rsidRPr="00183B5F" w:rsidRDefault="00943743" w:rsidP="00D43146">
            <w:pPr>
              <w:spacing w:line="240" w:lineRule="auto"/>
              <w:jc w:val="center"/>
              <w:rPr>
                <w:del w:id="355" w:author="AbbVie_HU_03" w:date="2025-05-14T15:27:00Z"/>
                <w:b/>
              </w:rPr>
            </w:pPr>
            <w:del w:id="356" w:author="AbbVie_HU_03" w:date="2025-05-14T15:27:00Z">
              <w:r w:rsidRPr="00183B5F">
                <w:rPr>
                  <w:b/>
                </w:rPr>
                <w:delText>A beteg testtömege</w:delText>
              </w:r>
            </w:del>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24B98DFD" w14:textId="2034C9E3" w:rsidR="006E0276" w:rsidRPr="00183B5F" w:rsidRDefault="00943743" w:rsidP="00D43146">
            <w:pPr>
              <w:spacing w:line="240" w:lineRule="auto"/>
              <w:jc w:val="center"/>
              <w:rPr>
                <w:del w:id="357" w:author="AbbVie_HU_03" w:date="2025-05-14T15:27:00Z"/>
                <w:b/>
              </w:rPr>
            </w:pPr>
            <w:del w:id="358" w:author="AbbVie_HU_03" w:date="2025-05-14T15:27:00Z">
              <w:r w:rsidRPr="00183B5F">
                <w:rPr>
                  <w:b/>
                </w:rPr>
                <w:delText>Indukciós dózis</w:delText>
              </w:r>
            </w:del>
          </w:p>
        </w:tc>
        <w:tc>
          <w:tcPr>
            <w:tcW w:w="1906" w:type="pct"/>
            <w:tcBorders>
              <w:top w:val="single" w:sz="6" w:space="0" w:color="000000"/>
              <w:left w:val="single" w:sz="6" w:space="0" w:color="000000"/>
              <w:bottom w:val="single" w:sz="6" w:space="0" w:color="000000"/>
              <w:right w:val="single" w:sz="6" w:space="0" w:color="000000"/>
            </w:tcBorders>
            <w:hideMark/>
          </w:tcPr>
          <w:p w14:paraId="7D88F0AF" w14:textId="22E53E54" w:rsidR="00B02528" w:rsidRPr="00183B5F" w:rsidRDefault="00943743" w:rsidP="00D43146">
            <w:pPr>
              <w:spacing w:line="240" w:lineRule="auto"/>
              <w:jc w:val="center"/>
              <w:rPr>
                <w:del w:id="359" w:author="AbbVie_HU_03" w:date="2025-05-14T15:27:00Z"/>
                <w:b/>
              </w:rPr>
            </w:pPr>
            <w:del w:id="360" w:author="AbbVie_HU_03" w:date="2025-05-14T15:27:00Z">
              <w:r w:rsidRPr="00183B5F">
                <w:rPr>
                  <w:b/>
                </w:rPr>
                <w:delText>Fenntartó dózis</w:delText>
              </w:r>
            </w:del>
          </w:p>
          <w:p w14:paraId="0986583F" w14:textId="1E3DAF71" w:rsidR="006E0276" w:rsidRPr="00183B5F" w:rsidRDefault="00943743" w:rsidP="00D43146">
            <w:pPr>
              <w:spacing w:line="240" w:lineRule="auto"/>
              <w:jc w:val="center"/>
              <w:rPr>
                <w:del w:id="361" w:author="AbbVie_HU_03" w:date="2025-05-14T15:27:00Z"/>
                <w:b/>
              </w:rPr>
            </w:pPr>
            <w:del w:id="362" w:author="AbbVie_HU_03" w:date="2025-05-14T15:27:00Z">
              <w:r w:rsidRPr="00183B5F">
                <w:rPr>
                  <w:b/>
                </w:rPr>
                <w:delText>4. héttől kezdve*</w:delText>
              </w:r>
            </w:del>
          </w:p>
        </w:tc>
      </w:tr>
      <w:tr w:rsidR="00011D2F" w14:paraId="5E2A87BF" w14:textId="682C131D" w:rsidTr="00D43146">
        <w:trPr>
          <w:jc w:val="center"/>
          <w:del w:id="363" w:author="AbbVie_HU_03" w:date="2025-05-14T15:27:00Z"/>
        </w:trPr>
        <w:tc>
          <w:tcPr>
            <w:tcW w:w="0" w:type="auto"/>
            <w:tcBorders>
              <w:top w:val="single" w:sz="6" w:space="0" w:color="000000"/>
              <w:left w:val="single" w:sz="6" w:space="0" w:color="000000"/>
              <w:bottom w:val="single" w:sz="6" w:space="0" w:color="000000"/>
              <w:right w:val="single" w:sz="6" w:space="0" w:color="000000"/>
            </w:tcBorders>
            <w:hideMark/>
          </w:tcPr>
          <w:p w14:paraId="0E949A94" w14:textId="49754813" w:rsidR="006E0276" w:rsidRPr="00183B5F" w:rsidRDefault="00943743" w:rsidP="00D43146">
            <w:pPr>
              <w:spacing w:line="240" w:lineRule="auto"/>
              <w:jc w:val="center"/>
              <w:rPr>
                <w:del w:id="364" w:author="AbbVie_HU_03" w:date="2025-05-14T15:27:00Z"/>
              </w:rPr>
            </w:pPr>
            <w:del w:id="365" w:author="AbbVie_HU_03" w:date="2025-05-14T15:27:00Z">
              <w:r w:rsidRPr="00183B5F">
                <w:delText>&lt; 40 kg</w:delText>
              </w:r>
            </w:del>
          </w:p>
        </w:tc>
        <w:tc>
          <w:tcPr>
            <w:tcW w:w="2005" w:type="pct"/>
            <w:tcBorders>
              <w:top w:val="single" w:sz="6" w:space="0" w:color="000000"/>
              <w:left w:val="single" w:sz="6" w:space="0" w:color="000000"/>
              <w:bottom w:val="single" w:sz="6" w:space="0" w:color="000000"/>
              <w:right w:val="single" w:sz="6" w:space="0" w:color="000000"/>
            </w:tcBorders>
            <w:hideMark/>
          </w:tcPr>
          <w:p w14:paraId="75FADEEE" w14:textId="34AA348A" w:rsidR="006E0276" w:rsidRPr="00183B5F" w:rsidRDefault="00943743" w:rsidP="006E0276">
            <w:pPr>
              <w:numPr>
                <w:ilvl w:val="0"/>
                <w:numId w:val="231"/>
              </w:numPr>
              <w:suppressAutoHyphens w:val="0"/>
              <w:spacing w:line="240" w:lineRule="auto"/>
              <w:ind w:left="360" w:hanging="210"/>
              <w:rPr>
                <w:del w:id="366" w:author="AbbVie_HU_03" w:date="2025-05-14T15:27:00Z"/>
              </w:rPr>
            </w:pPr>
            <w:del w:id="367" w:author="AbbVie_HU_03" w:date="2025-05-14T15:27:00Z">
              <w:r w:rsidRPr="00183B5F">
                <w:delText>80 mg a 0. héten (két 40 mg-os injekció formájában egy nap</w:delText>
              </w:r>
              <w:r w:rsidR="007B42E9" w:rsidRPr="00183B5F">
                <w:delText>on</w:delText>
              </w:r>
              <w:r w:rsidRPr="00183B5F">
                <w:delText>) és</w:delText>
              </w:r>
            </w:del>
          </w:p>
          <w:p w14:paraId="34474606" w14:textId="3B159ECD" w:rsidR="006E0276" w:rsidRPr="00183B5F" w:rsidRDefault="00943743" w:rsidP="006E0276">
            <w:pPr>
              <w:numPr>
                <w:ilvl w:val="0"/>
                <w:numId w:val="231"/>
              </w:numPr>
              <w:suppressAutoHyphens w:val="0"/>
              <w:spacing w:line="240" w:lineRule="auto"/>
              <w:ind w:left="360" w:hanging="210"/>
              <w:rPr>
                <w:del w:id="368" w:author="AbbVie_HU_03" w:date="2025-05-14T15:27:00Z"/>
              </w:rPr>
            </w:pPr>
            <w:del w:id="369" w:author="AbbVie_HU_03" w:date="2025-05-14T15:27:00Z">
              <w:r w:rsidRPr="00183B5F">
                <w:delText>40 mg a 2. héten (egy 40 mg-os injekció formájában)</w:delText>
              </w:r>
            </w:del>
          </w:p>
        </w:tc>
        <w:tc>
          <w:tcPr>
            <w:tcW w:w="1906" w:type="pct"/>
            <w:tcBorders>
              <w:top w:val="single" w:sz="6" w:space="0" w:color="000000"/>
              <w:left w:val="single" w:sz="6" w:space="0" w:color="000000"/>
              <w:bottom w:val="single" w:sz="6" w:space="0" w:color="000000"/>
              <w:right w:val="single" w:sz="6" w:space="0" w:color="000000"/>
            </w:tcBorders>
            <w:hideMark/>
          </w:tcPr>
          <w:p w14:paraId="2D562DDF" w14:textId="2C7A3ABC" w:rsidR="006E0276" w:rsidRPr="00183B5F" w:rsidRDefault="00943743" w:rsidP="006E0276">
            <w:pPr>
              <w:numPr>
                <w:ilvl w:val="0"/>
                <w:numId w:val="231"/>
              </w:numPr>
              <w:suppressAutoHyphens w:val="0"/>
              <w:spacing w:line="240" w:lineRule="auto"/>
              <w:ind w:left="360" w:hanging="210"/>
              <w:rPr>
                <w:del w:id="370" w:author="AbbVie_HU_03" w:date="2025-05-14T15:27:00Z"/>
              </w:rPr>
            </w:pPr>
            <w:del w:id="371" w:author="AbbVie_HU_03" w:date="2025-05-14T15:27:00Z">
              <w:r w:rsidRPr="00183B5F">
                <w:delText>40 mg minden második héten</w:delText>
              </w:r>
            </w:del>
          </w:p>
        </w:tc>
      </w:tr>
      <w:tr w:rsidR="00011D2F" w14:paraId="0D11166E" w14:textId="10AA45A8" w:rsidTr="00D43146">
        <w:trPr>
          <w:jc w:val="center"/>
          <w:del w:id="372" w:author="AbbVie_HU_03" w:date="2025-05-14T15:27:00Z"/>
        </w:trPr>
        <w:tc>
          <w:tcPr>
            <w:tcW w:w="0" w:type="auto"/>
            <w:tcBorders>
              <w:top w:val="single" w:sz="6" w:space="0" w:color="000000"/>
              <w:left w:val="single" w:sz="6" w:space="0" w:color="000000"/>
              <w:bottom w:val="single" w:sz="4" w:space="0" w:color="auto"/>
              <w:right w:val="single" w:sz="6" w:space="0" w:color="000000"/>
            </w:tcBorders>
            <w:hideMark/>
          </w:tcPr>
          <w:p w14:paraId="20A68C05" w14:textId="02F4A0AF" w:rsidR="006E0276" w:rsidRPr="00183B5F" w:rsidRDefault="00943743" w:rsidP="00D43146">
            <w:pPr>
              <w:spacing w:line="240" w:lineRule="auto"/>
              <w:jc w:val="center"/>
              <w:rPr>
                <w:del w:id="373" w:author="AbbVie_HU_03" w:date="2025-05-14T15:27:00Z"/>
              </w:rPr>
            </w:pPr>
            <w:del w:id="374" w:author="AbbVie_HU_03" w:date="2025-05-14T15:27:00Z">
              <w:r w:rsidRPr="00183B5F">
                <w:delText>≥ 40 kg</w:delText>
              </w:r>
            </w:del>
          </w:p>
        </w:tc>
        <w:tc>
          <w:tcPr>
            <w:tcW w:w="2005" w:type="pct"/>
            <w:tcBorders>
              <w:top w:val="single" w:sz="6" w:space="0" w:color="000000"/>
              <w:left w:val="single" w:sz="6" w:space="0" w:color="000000"/>
              <w:bottom w:val="single" w:sz="4" w:space="0" w:color="auto"/>
              <w:right w:val="single" w:sz="6" w:space="0" w:color="000000"/>
            </w:tcBorders>
            <w:hideMark/>
          </w:tcPr>
          <w:p w14:paraId="3056694B" w14:textId="64094EE6" w:rsidR="006E0276" w:rsidRPr="00183B5F" w:rsidRDefault="00943743" w:rsidP="006E0276">
            <w:pPr>
              <w:numPr>
                <w:ilvl w:val="0"/>
                <w:numId w:val="232"/>
              </w:numPr>
              <w:suppressAutoHyphens w:val="0"/>
              <w:spacing w:line="240" w:lineRule="auto"/>
              <w:ind w:left="360" w:hanging="210"/>
              <w:rPr>
                <w:del w:id="375" w:author="AbbVie_HU_03" w:date="2025-05-14T15:27:00Z"/>
              </w:rPr>
            </w:pPr>
            <w:del w:id="376" w:author="AbbVie_HU_03" w:date="2025-05-14T15:27:00Z">
              <w:r w:rsidRPr="00183B5F">
                <w:delText>160 mg a 0. héten (négy 40 mg</w:delText>
              </w:r>
              <w:r w:rsidR="004B6C84" w:rsidRPr="00183B5F">
                <w:noBreakHyphen/>
                <w:delText>os</w:delText>
              </w:r>
              <w:r w:rsidRPr="00183B5F">
                <w:delText xml:space="preserve"> injekció formájában egy nap</w:delText>
              </w:r>
              <w:r w:rsidR="007B42E9" w:rsidRPr="00183B5F">
                <w:delText>on</w:delText>
              </w:r>
              <w:r w:rsidRPr="00183B5F">
                <w:delText xml:space="preserve"> vagy két 40 mg</w:delText>
              </w:r>
              <w:r w:rsidR="004B6C84" w:rsidRPr="00183B5F">
                <w:noBreakHyphen/>
                <w:delText>os</w:delText>
              </w:r>
              <w:r w:rsidRPr="00183B5F">
                <w:delText xml:space="preserve"> injekció két egymást követő napon</w:delText>
              </w:r>
              <w:r w:rsidR="004B6C84" w:rsidRPr="00183B5F">
                <w:delText xml:space="preserve"> beadva</w:delText>
              </w:r>
              <w:r w:rsidRPr="00183B5F">
                <w:delText>) és</w:delText>
              </w:r>
            </w:del>
          </w:p>
          <w:p w14:paraId="7E12350A" w14:textId="0890138B" w:rsidR="006E0276" w:rsidRPr="00183B5F" w:rsidRDefault="00943743" w:rsidP="006E0276">
            <w:pPr>
              <w:numPr>
                <w:ilvl w:val="0"/>
                <w:numId w:val="232"/>
              </w:numPr>
              <w:suppressAutoHyphens w:val="0"/>
              <w:spacing w:line="240" w:lineRule="auto"/>
              <w:ind w:left="360" w:hanging="210"/>
              <w:rPr>
                <w:del w:id="377" w:author="AbbVie_HU_03" w:date="2025-05-14T15:27:00Z"/>
              </w:rPr>
            </w:pPr>
            <w:del w:id="378" w:author="AbbVie_HU_03" w:date="2025-05-14T15:27:00Z">
              <w:r w:rsidRPr="00183B5F">
                <w:delText>80 mg a 2. héten (két 40 mg-os injekció formájában egy nap</w:delText>
              </w:r>
              <w:r w:rsidR="007B42E9" w:rsidRPr="00183B5F">
                <w:delText>on</w:delText>
              </w:r>
              <w:r w:rsidRPr="00183B5F">
                <w:delText>)</w:delText>
              </w:r>
            </w:del>
          </w:p>
        </w:tc>
        <w:tc>
          <w:tcPr>
            <w:tcW w:w="1906" w:type="pct"/>
            <w:tcBorders>
              <w:top w:val="single" w:sz="6" w:space="0" w:color="000000"/>
              <w:left w:val="single" w:sz="6" w:space="0" w:color="000000"/>
              <w:bottom w:val="single" w:sz="4" w:space="0" w:color="auto"/>
              <w:right w:val="single" w:sz="6" w:space="0" w:color="000000"/>
            </w:tcBorders>
            <w:hideMark/>
          </w:tcPr>
          <w:p w14:paraId="1B89B5D3" w14:textId="36FFDC11" w:rsidR="006E0276" w:rsidRPr="00183B5F" w:rsidRDefault="00943743" w:rsidP="006E0276">
            <w:pPr>
              <w:numPr>
                <w:ilvl w:val="0"/>
                <w:numId w:val="231"/>
              </w:numPr>
              <w:suppressAutoHyphens w:val="0"/>
              <w:spacing w:line="240" w:lineRule="auto"/>
              <w:ind w:left="360" w:hanging="210"/>
              <w:rPr>
                <w:del w:id="379" w:author="AbbVie_HU_03" w:date="2025-05-14T15:27:00Z"/>
              </w:rPr>
            </w:pPr>
            <w:del w:id="380" w:author="AbbVie_HU_03" w:date="2025-05-14T15:27:00Z">
              <w:r w:rsidRPr="00183B5F">
                <w:delText>80 mg minden második héten</w:delText>
              </w:r>
            </w:del>
          </w:p>
        </w:tc>
      </w:tr>
      <w:tr w:rsidR="00011D2F" w14:paraId="121521FA" w14:textId="427BF630" w:rsidTr="00D43146">
        <w:trPr>
          <w:jc w:val="center"/>
          <w:del w:id="381" w:author="AbbVie_HU_03" w:date="2025-05-14T15:27:00Z"/>
        </w:trPr>
        <w:tc>
          <w:tcPr>
            <w:tcW w:w="5000" w:type="pct"/>
            <w:gridSpan w:val="3"/>
            <w:tcBorders>
              <w:top w:val="single" w:sz="4" w:space="0" w:color="auto"/>
              <w:left w:val="nil"/>
              <w:bottom w:val="nil"/>
              <w:right w:val="nil"/>
            </w:tcBorders>
          </w:tcPr>
          <w:p w14:paraId="639624F8" w14:textId="69DF9C4C" w:rsidR="006E0276" w:rsidRPr="00183B5F" w:rsidRDefault="00943743" w:rsidP="00D43146">
            <w:pPr>
              <w:spacing w:line="240" w:lineRule="auto"/>
              <w:rPr>
                <w:del w:id="382" w:author="AbbVie_HU_03" w:date="2025-05-14T15:27:00Z"/>
              </w:rPr>
            </w:pPr>
            <w:del w:id="383" w:author="AbbVie_HU_03" w:date="2025-05-14T15:27:00Z">
              <w:r w:rsidRPr="00183B5F">
                <w:delText xml:space="preserve">*Azoknak </w:delText>
              </w:r>
              <w:r w:rsidR="004B6C84" w:rsidRPr="00183B5F">
                <w:delText>a serdülőknek</w:delText>
              </w:r>
              <w:r w:rsidRPr="00183B5F">
                <w:delText>, akik a Humira-kezelés alatt töltik be 18 éves kor</w:delText>
              </w:r>
              <w:r w:rsidR="004B6C84" w:rsidRPr="00183B5F">
                <w:delText>t</w:delText>
              </w:r>
              <w:r w:rsidRPr="00183B5F">
                <w:delText xml:space="preserve">, folytatniuk kell az előírt fenntartó </w:delText>
              </w:r>
              <w:r w:rsidR="003916B1" w:rsidRPr="00183B5F">
                <w:delText>kezelést</w:delText>
              </w:r>
              <w:r w:rsidRPr="00183B5F">
                <w:delText>.</w:delText>
              </w:r>
            </w:del>
          </w:p>
        </w:tc>
      </w:tr>
    </w:tbl>
    <w:p w14:paraId="4FC52C2A" w14:textId="28A05C77" w:rsidR="006E0276" w:rsidRPr="00183B5F" w:rsidRDefault="006E0276" w:rsidP="006E0276">
      <w:pPr>
        <w:spacing w:line="240" w:lineRule="auto"/>
        <w:rPr>
          <w:del w:id="384" w:author="AbbVie_HU_03" w:date="2025-05-14T15:27:00Z"/>
          <w:lang w:eastAsia="en-US"/>
        </w:rPr>
      </w:pPr>
    </w:p>
    <w:p w14:paraId="5A3C37E0" w14:textId="0023BE9C" w:rsidR="006E0276" w:rsidRPr="00183B5F" w:rsidRDefault="00943743" w:rsidP="006E0276">
      <w:pPr>
        <w:spacing w:line="240" w:lineRule="auto"/>
        <w:rPr>
          <w:del w:id="385" w:author="AbbVie_HU_03" w:date="2025-05-14T15:27:00Z"/>
        </w:rPr>
      </w:pPr>
      <w:del w:id="386" w:author="AbbVie_HU_03" w:date="2025-05-14T15:27:00Z">
        <w:r w:rsidRPr="00183B5F">
          <w:delText>A kezelés folytatását alaposan meg kell fontolni</w:delText>
        </w:r>
        <w:r w:rsidR="004B6C84" w:rsidRPr="00183B5F">
          <w:delText xml:space="preserve"> azoknál a betegeknél, akik </w:delText>
        </w:r>
        <w:r w:rsidR="004B6C84" w:rsidRPr="00183B5F">
          <w:rPr>
            <w:szCs w:val="22"/>
          </w:rPr>
          <w:delText>12. hétig nem reagálnak a kezelésre</w:delText>
        </w:r>
        <w:r w:rsidRPr="00183B5F">
          <w:delText>.</w:delText>
        </w:r>
      </w:del>
    </w:p>
    <w:p w14:paraId="53386670" w14:textId="76540FA8" w:rsidR="006E0276" w:rsidRPr="00183B5F" w:rsidRDefault="006E0276" w:rsidP="006E0276">
      <w:pPr>
        <w:spacing w:line="240" w:lineRule="auto"/>
        <w:rPr>
          <w:del w:id="387" w:author="AbbVie_HU_03" w:date="2025-05-14T15:27:00Z"/>
        </w:rPr>
      </w:pPr>
    </w:p>
    <w:p w14:paraId="35BEBD44" w14:textId="63FD791F" w:rsidR="006E0276" w:rsidRPr="00183B5F" w:rsidRDefault="00943743" w:rsidP="006E0276">
      <w:pPr>
        <w:spacing w:line="240" w:lineRule="auto"/>
        <w:rPr>
          <w:del w:id="388" w:author="AbbVie_HU_03" w:date="2025-05-14T15:27:00Z"/>
        </w:rPr>
      </w:pPr>
      <w:del w:id="389" w:author="AbbVie_HU_03" w:date="2025-05-14T15:27:00Z">
        <w:r w:rsidRPr="00183B5F">
          <w:delText>A Humira-nak 6 évesnél fiatalabb betegeknél ebben a javallatban nincs releváns alkalmazása.</w:delText>
        </w:r>
      </w:del>
    </w:p>
    <w:p w14:paraId="716FA6BA" w14:textId="0E1C9513" w:rsidR="006E0276" w:rsidRPr="00183B5F" w:rsidRDefault="006E0276" w:rsidP="006E0276">
      <w:pPr>
        <w:spacing w:line="240" w:lineRule="auto"/>
        <w:rPr>
          <w:del w:id="390" w:author="AbbVie_HU_03" w:date="2025-05-14T15:27:00Z"/>
        </w:rPr>
      </w:pPr>
    </w:p>
    <w:p w14:paraId="635C2348" w14:textId="164EE72F" w:rsidR="006E0276" w:rsidRPr="00183B5F" w:rsidRDefault="00943743" w:rsidP="006E0276">
      <w:pPr>
        <w:spacing w:line="240" w:lineRule="auto"/>
        <w:rPr>
          <w:del w:id="391" w:author="AbbVie_HU_03" w:date="2025-05-14T15:27:00Z"/>
        </w:rPr>
      </w:pPr>
      <w:del w:id="392" w:author="AbbVie_HU_03" w:date="2025-05-14T15:27:00Z">
        <w:r w:rsidRPr="00183B5F">
          <w:delText>A Humira más hatáserősségben és/vagy kiszerelésben is elérhető az egyéni terápiás igényeknek megfelelően.</w:delText>
        </w:r>
      </w:del>
    </w:p>
    <w:p w14:paraId="60C268C8" w14:textId="6C07A966" w:rsidR="0058175F" w:rsidRPr="00183B5F" w:rsidRDefault="0058175F" w:rsidP="004062FE">
      <w:pPr>
        <w:spacing w:line="240" w:lineRule="auto"/>
        <w:rPr>
          <w:del w:id="393" w:author="AbbVie_HU_03" w:date="2025-05-14T15:27:00Z"/>
          <w:szCs w:val="22"/>
        </w:rPr>
      </w:pPr>
    </w:p>
    <w:bookmarkEnd w:id="345"/>
    <w:p w14:paraId="1D3AA284" w14:textId="69475C9E" w:rsidR="006245BE" w:rsidRPr="00183B5F" w:rsidRDefault="00943743" w:rsidP="004062FE">
      <w:pPr>
        <w:keepNext/>
        <w:spacing w:line="240" w:lineRule="auto"/>
        <w:rPr>
          <w:del w:id="394" w:author="AbbVie_HU_03" w:date="2025-05-14T15:27:00Z"/>
          <w:i/>
          <w:szCs w:val="22"/>
        </w:rPr>
      </w:pPr>
      <w:del w:id="395" w:author="AbbVie_HU_03" w:date="2025-05-14T15:27:00Z">
        <w:r w:rsidRPr="00183B5F">
          <w:rPr>
            <w:i/>
            <w:szCs w:val="22"/>
          </w:rPr>
          <w:delText>Gyermekkori uveitis</w:delText>
        </w:r>
      </w:del>
    </w:p>
    <w:p w14:paraId="6D795DF8" w14:textId="71B8F6E8" w:rsidR="002C7D8C" w:rsidRPr="00183B5F" w:rsidRDefault="002C7D8C" w:rsidP="004062FE">
      <w:pPr>
        <w:keepNext/>
        <w:spacing w:line="240" w:lineRule="auto"/>
        <w:rPr>
          <w:del w:id="396" w:author="AbbVie_HU_03" w:date="2025-05-14T15:27:00Z"/>
          <w:i/>
          <w:szCs w:val="22"/>
        </w:rPr>
      </w:pPr>
    </w:p>
    <w:p w14:paraId="6416DFE3" w14:textId="512C1ACC" w:rsidR="002C7D8C" w:rsidRPr="00183B5F" w:rsidRDefault="00943743" w:rsidP="004062FE">
      <w:pPr>
        <w:spacing w:line="240" w:lineRule="auto"/>
        <w:rPr>
          <w:del w:id="397" w:author="AbbVie_HU_03" w:date="2025-05-14T15:27:00Z"/>
          <w:i/>
          <w:szCs w:val="22"/>
        </w:rPr>
      </w:pPr>
      <w:del w:id="398" w:author="AbbVie_HU_03" w:date="2025-05-14T15:27:00Z">
        <w:r w:rsidRPr="00183B5F">
          <w:rPr>
            <w:szCs w:val="22"/>
          </w:rPr>
          <w:delText>A Humira ajánlott adagja uve</w:delText>
        </w:r>
        <w:r w:rsidR="004C0238" w:rsidRPr="00183B5F">
          <w:rPr>
            <w:szCs w:val="22"/>
          </w:rPr>
          <w:delText>i</w:delText>
        </w:r>
        <w:r w:rsidRPr="00183B5F">
          <w:rPr>
            <w:szCs w:val="22"/>
          </w:rPr>
          <w:delText>tisben szenvedő</w:delText>
        </w:r>
        <w:r w:rsidR="003B3C18" w:rsidRPr="00183B5F">
          <w:rPr>
            <w:szCs w:val="22"/>
          </w:rPr>
          <w:delText>,</w:delText>
        </w:r>
        <w:r w:rsidRPr="00183B5F">
          <w:rPr>
            <w:szCs w:val="22"/>
          </w:rPr>
          <w:delText xml:space="preserve"> 2 évesnél idősebb gyermekek</w:delText>
        </w:r>
        <w:r w:rsidR="005D2E26" w:rsidRPr="00183B5F">
          <w:rPr>
            <w:szCs w:val="22"/>
          </w:rPr>
          <w:delText>nél a</w:delText>
        </w:r>
        <w:r w:rsidRPr="00183B5F">
          <w:rPr>
            <w:szCs w:val="22"/>
          </w:rPr>
          <w:delText xml:space="preserve"> testtömegtől függ (</w:delText>
        </w:r>
        <w:r w:rsidR="00466570" w:rsidRPr="00183B5F">
          <w:rPr>
            <w:szCs w:val="22"/>
          </w:rPr>
          <w:delText>6</w:delText>
        </w:r>
        <w:r w:rsidRPr="00183B5F">
          <w:rPr>
            <w:szCs w:val="22"/>
          </w:rPr>
          <w:delText>. táblázat). A Humira</w:delText>
        </w:r>
        <w:r w:rsidR="00DD77ED" w:rsidRPr="00183B5F">
          <w:rPr>
            <w:szCs w:val="22"/>
          </w:rPr>
          <w:noBreakHyphen/>
        </w:r>
        <w:r w:rsidRPr="00183B5F">
          <w:rPr>
            <w:szCs w:val="22"/>
          </w:rPr>
          <w:delText xml:space="preserve">t subcutan injekció formájában </w:delText>
        </w:r>
        <w:r w:rsidR="005D2E26" w:rsidRPr="00183B5F">
          <w:rPr>
            <w:szCs w:val="22"/>
          </w:rPr>
          <w:delText xml:space="preserve">kell </w:delText>
        </w:r>
        <w:r w:rsidRPr="00183B5F">
          <w:rPr>
            <w:szCs w:val="22"/>
          </w:rPr>
          <w:delText>alkalmaz</w:delText>
        </w:r>
        <w:r w:rsidR="005D2E26" w:rsidRPr="00183B5F">
          <w:rPr>
            <w:szCs w:val="22"/>
          </w:rPr>
          <w:delText>ni</w:delText>
        </w:r>
        <w:r w:rsidRPr="00183B5F">
          <w:rPr>
            <w:szCs w:val="22"/>
          </w:rPr>
          <w:delText>.</w:delText>
        </w:r>
      </w:del>
    </w:p>
    <w:p w14:paraId="5C97FDC6" w14:textId="240CE2BF" w:rsidR="006245BE" w:rsidRPr="00183B5F" w:rsidRDefault="006245BE" w:rsidP="004062FE">
      <w:pPr>
        <w:spacing w:line="240" w:lineRule="auto"/>
        <w:rPr>
          <w:del w:id="399" w:author="AbbVie_HU_03" w:date="2025-05-14T15:27:00Z"/>
          <w:i/>
          <w:szCs w:val="22"/>
        </w:rPr>
      </w:pPr>
    </w:p>
    <w:p w14:paraId="4DEF8DDD" w14:textId="57FE9CFB" w:rsidR="006245BE" w:rsidRPr="00183B5F" w:rsidRDefault="00943743" w:rsidP="004062FE">
      <w:pPr>
        <w:spacing w:line="240" w:lineRule="auto"/>
        <w:rPr>
          <w:del w:id="400" w:author="AbbVie_HU_03" w:date="2025-05-14T15:27:00Z"/>
          <w:szCs w:val="22"/>
        </w:rPr>
      </w:pPr>
      <w:del w:id="401" w:author="AbbVie_HU_03" w:date="2025-05-14T15:27:00Z">
        <w:r w:rsidRPr="00183B5F">
          <w:rPr>
            <w:szCs w:val="22"/>
          </w:rPr>
          <w:delText>Gyermekkori uveitisben nincs tapasztalat az egyidejű metotrexát</w:delText>
        </w:r>
        <w:r w:rsidRPr="00183B5F">
          <w:rPr>
            <w:szCs w:val="22"/>
          </w:rPr>
          <w:noBreakHyphen/>
          <w:delText>kezelés nélküli Humira</w:delText>
        </w:r>
        <w:r w:rsidR="00DD77ED" w:rsidRPr="00183B5F">
          <w:rPr>
            <w:szCs w:val="22"/>
          </w:rPr>
          <w:noBreakHyphen/>
        </w:r>
        <w:r w:rsidR="00D34421" w:rsidRPr="00183B5F">
          <w:rPr>
            <w:szCs w:val="22"/>
          </w:rPr>
          <w:delText>kezeléssel</w:delText>
        </w:r>
        <w:r w:rsidRPr="00183B5F">
          <w:rPr>
            <w:szCs w:val="22"/>
          </w:rPr>
          <w:delText>.</w:delText>
        </w:r>
      </w:del>
    </w:p>
    <w:p w14:paraId="7A223791" w14:textId="5DD92EDC" w:rsidR="002C7D8C" w:rsidRPr="00183B5F" w:rsidRDefault="002C7D8C" w:rsidP="004062FE">
      <w:pPr>
        <w:spacing w:line="240" w:lineRule="auto"/>
        <w:rPr>
          <w:del w:id="402" w:author="AbbVie_HU_03" w:date="2025-05-14T15:27:00Z"/>
          <w:szCs w:val="22"/>
        </w:rPr>
      </w:pPr>
    </w:p>
    <w:p w14:paraId="0DBA9F2E" w14:textId="7DD31AD3" w:rsidR="002C7D8C" w:rsidRPr="00183B5F" w:rsidRDefault="00943743" w:rsidP="004062FE">
      <w:pPr>
        <w:keepNext/>
        <w:spacing w:line="240" w:lineRule="auto"/>
        <w:jc w:val="center"/>
        <w:rPr>
          <w:del w:id="403" w:author="AbbVie_HU_03" w:date="2025-05-14T15:27:00Z"/>
          <w:b/>
          <w:szCs w:val="22"/>
        </w:rPr>
      </w:pPr>
      <w:del w:id="404" w:author="AbbVie_HU_03" w:date="2025-05-14T15:27:00Z">
        <w:r w:rsidRPr="00183B5F">
          <w:rPr>
            <w:b/>
            <w:szCs w:val="22"/>
          </w:rPr>
          <w:delText>6. táblázat: A Humira dózisa uveitisben szenvedő gyermekek</w:delText>
        </w:r>
        <w:r w:rsidR="005D2E26" w:rsidRPr="00183B5F">
          <w:rPr>
            <w:b/>
            <w:szCs w:val="22"/>
          </w:rPr>
          <w:delText>nél</w:delText>
        </w:r>
      </w:del>
    </w:p>
    <w:p w14:paraId="4B795198" w14:textId="26B91CC5" w:rsidR="002C7D8C" w:rsidRPr="00183B5F" w:rsidRDefault="002C7D8C" w:rsidP="004062FE">
      <w:pPr>
        <w:keepNext/>
        <w:spacing w:line="240" w:lineRule="auto"/>
        <w:rPr>
          <w:del w:id="405" w:author="AbbVie_HU_03" w:date="2025-05-14T15:27:00Z"/>
          <w:szCs w:val="22"/>
        </w:rPr>
      </w:pPr>
    </w:p>
    <w:tbl>
      <w:tblPr>
        <w:tblW w:w="6795" w:type="dxa"/>
        <w:jc w:val="center"/>
        <w:tblLayout w:type="fixed"/>
        <w:tblLook w:val="0000" w:firstRow="0" w:lastRow="0" w:firstColumn="0" w:lastColumn="0" w:noHBand="0" w:noVBand="0"/>
      </w:tblPr>
      <w:tblGrid>
        <w:gridCol w:w="3401"/>
        <w:gridCol w:w="3394"/>
      </w:tblGrid>
      <w:tr w:rsidR="00011D2F" w14:paraId="61316995" w14:textId="33B0A09D" w:rsidTr="00832DC3">
        <w:trPr>
          <w:tblHeader/>
          <w:jc w:val="center"/>
          <w:del w:id="406" w:author="AbbVie_HU_03" w:date="2025-05-14T15:27:00Z"/>
        </w:trPr>
        <w:tc>
          <w:tcPr>
            <w:tcW w:w="3401" w:type="dxa"/>
            <w:tcBorders>
              <w:top w:val="single" w:sz="4" w:space="0" w:color="auto"/>
              <w:bottom w:val="single" w:sz="4" w:space="0" w:color="auto"/>
            </w:tcBorders>
          </w:tcPr>
          <w:p w14:paraId="083C22AB" w14:textId="36BAFC2E" w:rsidR="002C7D8C" w:rsidRPr="00183B5F" w:rsidRDefault="00943743" w:rsidP="004062FE">
            <w:pPr>
              <w:pStyle w:val="TableLeft"/>
              <w:spacing w:before="0" w:after="0" w:line="240" w:lineRule="auto"/>
              <w:jc w:val="center"/>
              <w:rPr>
                <w:del w:id="407" w:author="AbbVie_HU_03" w:date="2025-05-14T15:27:00Z"/>
                <w:b/>
                <w:sz w:val="22"/>
                <w:szCs w:val="22"/>
                <w:lang w:val="hu-HU"/>
              </w:rPr>
            </w:pPr>
            <w:del w:id="408" w:author="AbbVie_HU_03" w:date="2025-05-14T15:27:00Z">
              <w:r w:rsidRPr="00183B5F">
                <w:rPr>
                  <w:b/>
                  <w:sz w:val="22"/>
                  <w:szCs w:val="22"/>
                  <w:lang w:val="hu-HU"/>
                </w:rPr>
                <w:delText xml:space="preserve">A beteg testtömege </w:delText>
              </w:r>
            </w:del>
          </w:p>
        </w:tc>
        <w:tc>
          <w:tcPr>
            <w:tcW w:w="3394" w:type="dxa"/>
            <w:tcBorders>
              <w:top w:val="single" w:sz="4" w:space="0" w:color="auto"/>
              <w:bottom w:val="single" w:sz="4" w:space="0" w:color="auto"/>
            </w:tcBorders>
          </w:tcPr>
          <w:p w14:paraId="060AA38F" w14:textId="68919291" w:rsidR="002C7D8C" w:rsidRPr="00183B5F" w:rsidRDefault="00943743" w:rsidP="004062FE">
            <w:pPr>
              <w:pStyle w:val="TableLeft"/>
              <w:spacing w:before="0" w:after="0" w:line="240" w:lineRule="auto"/>
              <w:jc w:val="center"/>
              <w:rPr>
                <w:del w:id="409" w:author="AbbVie_HU_03" w:date="2025-05-14T15:27:00Z"/>
                <w:b/>
                <w:sz w:val="22"/>
                <w:szCs w:val="22"/>
                <w:lang w:val="hu-HU"/>
              </w:rPr>
            </w:pPr>
            <w:del w:id="410" w:author="AbbVie_HU_03" w:date="2025-05-14T15:27:00Z">
              <w:r w:rsidRPr="00183B5F">
                <w:rPr>
                  <w:b/>
                  <w:sz w:val="22"/>
                  <w:szCs w:val="22"/>
                  <w:lang w:val="hu-HU"/>
                </w:rPr>
                <w:delText>Adagolási rend</w:delText>
              </w:r>
            </w:del>
          </w:p>
        </w:tc>
      </w:tr>
      <w:tr w:rsidR="00011D2F" w14:paraId="3A53DC2A" w14:textId="340ED415" w:rsidTr="00832DC3">
        <w:trPr>
          <w:tblHeader/>
          <w:jc w:val="center"/>
          <w:del w:id="411" w:author="AbbVie_HU_03" w:date="2025-05-14T15:27:00Z"/>
        </w:trPr>
        <w:tc>
          <w:tcPr>
            <w:tcW w:w="3401" w:type="dxa"/>
            <w:tcBorders>
              <w:top w:val="single" w:sz="4" w:space="0" w:color="auto"/>
              <w:bottom w:val="single" w:sz="4" w:space="0" w:color="auto"/>
            </w:tcBorders>
          </w:tcPr>
          <w:p w14:paraId="3FAC61A7" w14:textId="0F6462CC" w:rsidR="002C7D8C" w:rsidRPr="00183B5F" w:rsidRDefault="00943743" w:rsidP="004062FE">
            <w:pPr>
              <w:pStyle w:val="TableLeft"/>
              <w:spacing w:before="0" w:after="0" w:line="240" w:lineRule="auto"/>
              <w:jc w:val="center"/>
              <w:rPr>
                <w:del w:id="412" w:author="AbbVie_HU_03" w:date="2025-05-14T15:27:00Z"/>
                <w:b/>
                <w:sz w:val="22"/>
                <w:szCs w:val="22"/>
                <w:lang w:val="hu-HU"/>
              </w:rPr>
            </w:pPr>
            <w:del w:id="413" w:author="AbbVie_HU_03" w:date="2025-05-14T15:27:00Z">
              <w:r w:rsidRPr="00183B5F">
                <w:rPr>
                  <w:sz w:val="22"/>
                  <w:szCs w:val="22"/>
                  <w:lang w:val="hu-HU"/>
                </w:rPr>
                <w:delText>&lt;</w:delText>
              </w:r>
              <w:r w:rsidR="005D2E26" w:rsidRPr="00183B5F">
                <w:rPr>
                  <w:sz w:val="22"/>
                  <w:szCs w:val="22"/>
                  <w:lang w:val="hu-HU"/>
                </w:rPr>
                <w:delText> </w:delText>
              </w:r>
              <w:r w:rsidRPr="00183B5F">
                <w:rPr>
                  <w:sz w:val="22"/>
                  <w:szCs w:val="22"/>
                  <w:lang w:val="hu-HU"/>
                </w:rPr>
                <w:delText>30 kg</w:delText>
              </w:r>
            </w:del>
          </w:p>
        </w:tc>
        <w:tc>
          <w:tcPr>
            <w:tcW w:w="3394" w:type="dxa"/>
            <w:tcBorders>
              <w:top w:val="single" w:sz="4" w:space="0" w:color="auto"/>
              <w:bottom w:val="single" w:sz="4" w:space="0" w:color="auto"/>
            </w:tcBorders>
          </w:tcPr>
          <w:p w14:paraId="532B2C6B" w14:textId="39B6C776" w:rsidR="002C7D8C" w:rsidRPr="00183B5F" w:rsidRDefault="00943743" w:rsidP="004062FE">
            <w:pPr>
              <w:pStyle w:val="TableLeft"/>
              <w:spacing w:before="0" w:after="0" w:line="240" w:lineRule="auto"/>
              <w:jc w:val="center"/>
              <w:rPr>
                <w:del w:id="414" w:author="AbbVie_HU_03" w:date="2025-05-14T15:27:00Z"/>
                <w:b/>
                <w:sz w:val="22"/>
                <w:szCs w:val="22"/>
                <w:lang w:val="hu-HU"/>
              </w:rPr>
            </w:pPr>
            <w:del w:id="415" w:author="AbbVie_HU_03" w:date="2025-05-14T15:27:00Z">
              <w:r w:rsidRPr="00183B5F">
                <w:rPr>
                  <w:sz w:val="22"/>
                  <w:szCs w:val="22"/>
                  <w:lang w:val="hu-HU"/>
                </w:rPr>
                <w:delText>20 mg minden második héten metotrexáttal kombinálva</w:delText>
              </w:r>
            </w:del>
          </w:p>
        </w:tc>
      </w:tr>
      <w:tr w:rsidR="00011D2F" w14:paraId="27AE1E43" w14:textId="014ADDE0" w:rsidTr="00832DC3">
        <w:trPr>
          <w:tblHeader/>
          <w:jc w:val="center"/>
          <w:del w:id="416" w:author="AbbVie_HU_03" w:date="2025-05-14T15:27:00Z"/>
        </w:trPr>
        <w:tc>
          <w:tcPr>
            <w:tcW w:w="3401" w:type="dxa"/>
            <w:tcBorders>
              <w:top w:val="single" w:sz="4" w:space="0" w:color="auto"/>
              <w:bottom w:val="single" w:sz="4" w:space="0" w:color="auto"/>
            </w:tcBorders>
          </w:tcPr>
          <w:p w14:paraId="3E320230" w14:textId="01E12D51" w:rsidR="002C7D8C" w:rsidRPr="00183B5F" w:rsidRDefault="00943743" w:rsidP="004062FE">
            <w:pPr>
              <w:pStyle w:val="TableLeft"/>
              <w:spacing w:before="0" w:after="0" w:line="240" w:lineRule="auto"/>
              <w:jc w:val="center"/>
              <w:rPr>
                <w:del w:id="417" w:author="AbbVie_HU_03" w:date="2025-05-14T15:27:00Z"/>
                <w:b/>
                <w:sz w:val="22"/>
                <w:szCs w:val="22"/>
                <w:lang w:val="hu-HU"/>
              </w:rPr>
            </w:pPr>
            <w:del w:id="418" w:author="AbbVie_HU_03" w:date="2025-05-14T15:27:00Z">
              <w:r w:rsidRPr="00183B5F">
                <w:rPr>
                  <w:sz w:val="22"/>
                  <w:szCs w:val="22"/>
                  <w:lang w:val="hu-HU"/>
                </w:rPr>
                <w:delText>≥</w:delText>
              </w:r>
              <w:r w:rsidR="005D2E26" w:rsidRPr="00183B5F">
                <w:rPr>
                  <w:sz w:val="22"/>
                  <w:szCs w:val="22"/>
                  <w:lang w:val="hu-HU"/>
                </w:rPr>
                <w:delText> </w:delText>
              </w:r>
              <w:r w:rsidRPr="00183B5F">
                <w:rPr>
                  <w:sz w:val="22"/>
                  <w:szCs w:val="22"/>
                  <w:lang w:val="hu-HU"/>
                </w:rPr>
                <w:delText>30 kg</w:delText>
              </w:r>
            </w:del>
          </w:p>
        </w:tc>
        <w:tc>
          <w:tcPr>
            <w:tcW w:w="3394" w:type="dxa"/>
            <w:tcBorders>
              <w:top w:val="single" w:sz="4" w:space="0" w:color="auto"/>
              <w:bottom w:val="single" w:sz="4" w:space="0" w:color="auto"/>
            </w:tcBorders>
          </w:tcPr>
          <w:p w14:paraId="1F8AB77E" w14:textId="6DB985B2" w:rsidR="002C7D8C" w:rsidRPr="00183B5F" w:rsidRDefault="00943743" w:rsidP="004062FE">
            <w:pPr>
              <w:pStyle w:val="TableLeft"/>
              <w:spacing w:before="0" w:after="0" w:line="240" w:lineRule="auto"/>
              <w:jc w:val="center"/>
              <w:rPr>
                <w:del w:id="419" w:author="AbbVie_HU_03" w:date="2025-05-14T15:27:00Z"/>
                <w:b/>
                <w:sz w:val="22"/>
                <w:szCs w:val="22"/>
                <w:lang w:val="hu-HU"/>
              </w:rPr>
            </w:pPr>
            <w:del w:id="420" w:author="AbbVie_HU_03" w:date="2025-05-14T15:27:00Z">
              <w:r w:rsidRPr="00183B5F">
                <w:rPr>
                  <w:sz w:val="22"/>
                  <w:szCs w:val="22"/>
                  <w:lang w:val="hu-HU"/>
                </w:rPr>
                <w:delText>40 mg minden második héten metotrexáttal kombinálva</w:delText>
              </w:r>
            </w:del>
          </w:p>
        </w:tc>
      </w:tr>
    </w:tbl>
    <w:p w14:paraId="5DCBC0BD" w14:textId="302E968B" w:rsidR="002C7D8C" w:rsidRPr="00183B5F" w:rsidRDefault="002C7D8C" w:rsidP="004062FE">
      <w:pPr>
        <w:spacing w:line="240" w:lineRule="auto"/>
        <w:rPr>
          <w:del w:id="421" w:author="AbbVie_HU_03" w:date="2025-05-14T15:27:00Z"/>
          <w:szCs w:val="22"/>
        </w:rPr>
      </w:pPr>
    </w:p>
    <w:p w14:paraId="6CADE8AD" w14:textId="42EAA8D7" w:rsidR="005436AA" w:rsidRPr="00183B5F" w:rsidRDefault="00943743" w:rsidP="004062FE">
      <w:pPr>
        <w:spacing w:line="240" w:lineRule="auto"/>
        <w:rPr>
          <w:del w:id="422" w:author="AbbVie_HU_03" w:date="2025-05-14T15:27:00Z"/>
          <w:szCs w:val="22"/>
        </w:rPr>
      </w:pPr>
      <w:del w:id="423" w:author="AbbVie_HU_03" w:date="2025-05-14T15:27:00Z">
        <w:r w:rsidRPr="00183B5F">
          <w:rPr>
            <w:szCs w:val="22"/>
          </w:rPr>
          <w:delText>A Humira</w:delText>
        </w:r>
        <w:r w:rsidRPr="00183B5F">
          <w:rPr>
            <w:szCs w:val="22"/>
          </w:rPr>
          <w:noBreakHyphen/>
          <w:delText xml:space="preserve">kezelés megkezdésekor </w:delText>
        </w:r>
        <w:r w:rsidR="00C0377F" w:rsidRPr="00183B5F">
          <w:rPr>
            <w:szCs w:val="22"/>
          </w:rPr>
          <w:delText xml:space="preserve">egy </w:delText>
        </w:r>
        <w:r w:rsidRPr="00183B5F">
          <w:rPr>
            <w:szCs w:val="22"/>
          </w:rPr>
          <w:delText>40 mg</w:delText>
        </w:r>
        <w:r w:rsidR="00C0377F" w:rsidRPr="00183B5F">
          <w:rPr>
            <w:szCs w:val="22"/>
          </w:rPr>
          <w:noBreakHyphen/>
          <w:delText>os</w:delText>
        </w:r>
        <w:r w:rsidRPr="00183B5F">
          <w:rPr>
            <w:szCs w:val="22"/>
          </w:rPr>
          <w:delText xml:space="preserve"> telítő dózis</w:delText>
        </w:r>
        <w:r w:rsidR="00C0377F" w:rsidRPr="00183B5F">
          <w:rPr>
            <w:szCs w:val="22"/>
          </w:rPr>
          <w:delText xml:space="preserve"> adható </w:delText>
        </w:r>
        <w:r w:rsidR="002C7D8C" w:rsidRPr="00183B5F">
          <w:rPr>
            <w:szCs w:val="22"/>
          </w:rPr>
          <w:delText>a 30 kg alatti betegeknek</w:delText>
        </w:r>
        <w:r w:rsidR="003B3C18" w:rsidRPr="00183B5F">
          <w:rPr>
            <w:szCs w:val="22"/>
          </w:rPr>
          <w:delText>,</w:delText>
        </w:r>
        <w:r w:rsidR="002C7D8C" w:rsidRPr="00183B5F">
          <w:rPr>
            <w:szCs w:val="22"/>
          </w:rPr>
          <w:delText xml:space="preserve"> vagy egy 80 mg</w:delText>
        </w:r>
        <w:r w:rsidR="002C7D8C" w:rsidRPr="00183B5F">
          <w:rPr>
            <w:szCs w:val="22"/>
          </w:rPr>
          <w:noBreakHyphen/>
          <w:delText>os telítő dózis adható a legalább 30 kg</w:delText>
        </w:r>
        <w:r w:rsidR="00DD77ED" w:rsidRPr="00183B5F">
          <w:rPr>
            <w:szCs w:val="22"/>
          </w:rPr>
          <w:noBreakHyphen/>
        </w:r>
        <w:r w:rsidR="002C7D8C" w:rsidRPr="00183B5F">
          <w:rPr>
            <w:szCs w:val="22"/>
          </w:rPr>
          <w:delText xml:space="preserve">os betegeknek </w:delText>
        </w:r>
        <w:r w:rsidR="00C0377F" w:rsidRPr="00183B5F">
          <w:rPr>
            <w:szCs w:val="22"/>
          </w:rPr>
          <w:delText>egy hé</w:delText>
        </w:r>
        <w:r w:rsidR="00802DCD" w:rsidRPr="00183B5F">
          <w:rPr>
            <w:szCs w:val="22"/>
          </w:rPr>
          <w:delText>ttel a fenntartó kezelés megkez</w:delText>
        </w:r>
        <w:r w:rsidR="00C0377F" w:rsidRPr="00183B5F">
          <w:rPr>
            <w:szCs w:val="22"/>
          </w:rPr>
          <w:delText>d</w:delText>
        </w:r>
        <w:r w:rsidR="00802DCD" w:rsidRPr="00183B5F">
          <w:rPr>
            <w:szCs w:val="22"/>
          </w:rPr>
          <w:delText>é</w:delText>
        </w:r>
        <w:r w:rsidR="00C0377F" w:rsidRPr="00183B5F">
          <w:rPr>
            <w:szCs w:val="22"/>
          </w:rPr>
          <w:delText xml:space="preserve">se előtt. Nem állnak rendelkezésre klinikai adatok </w:delText>
        </w:r>
        <w:r w:rsidR="001A6052" w:rsidRPr="00183B5F">
          <w:rPr>
            <w:szCs w:val="22"/>
          </w:rPr>
          <w:delText xml:space="preserve">a </w:delText>
        </w:r>
        <w:r w:rsidR="00C0377F" w:rsidRPr="00183B5F">
          <w:rPr>
            <w:szCs w:val="22"/>
          </w:rPr>
          <w:delText>Humira telítő adagjának 6 évnél fiat</w:delText>
        </w:r>
        <w:r w:rsidR="008D7521" w:rsidRPr="00183B5F">
          <w:rPr>
            <w:szCs w:val="22"/>
          </w:rPr>
          <w:delText>alabb gyer</w:delText>
        </w:r>
        <w:r w:rsidR="00C0377F" w:rsidRPr="00183B5F">
          <w:rPr>
            <w:szCs w:val="22"/>
          </w:rPr>
          <w:delText>me</w:delText>
        </w:r>
        <w:r w:rsidR="008D7521" w:rsidRPr="00183B5F">
          <w:rPr>
            <w:szCs w:val="22"/>
          </w:rPr>
          <w:delText>ke</w:delText>
        </w:r>
        <w:r w:rsidR="00C0377F" w:rsidRPr="00183B5F">
          <w:rPr>
            <w:szCs w:val="22"/>
          </w:rPr>
          <w:delText>k esetén tör</w:delText>
        </w:r>
        <w:r w:rsidR="00802DCD" w:rsidRPr="00183B5F">
          <w:rPr>
            <w:szCs w:val="22"/>
          </w:rPr>
          <w:delText>t</w:delText>
        </w:r>
        <w:r w:rsidR="00C0377F" w:rsidRPr="00183B5F">
          <w:rPr>
            <w:szCs w:val="22"/>
          </w:rPr>
          <w:delText>énő alkalmazásáról (lásd 5.2 pont).</w:delText>
        </w:r>
      </w:del>
    </w:p>
    <w:p w14:paraId="66C422C4" w14:textId="3F5C1021" w:rsidR="00C0377F" w:rsidRPr="00183B5F" w:rsidRDefault="00C0377F" w:rsidP="004062FE">
      <w:pPr>
        <w:spacing w:line="240" w:lineRule="auto"/>
        <w:rPr>
          <w:del w:id="424" w:author="AbbVie_HU_03" w:date="2025-05-14T15:27:00Z"/>
          <w:szCs w:val="22"/>
        </w:rPr>
      </w:pPr>
    </w:p>
    <w:p w14:paraId="0D76A507" w14:textId="6BE7A5ED" w:rsidR="00C0377F" w:rsidRPr="00183B5F" w:rsidRDefault="00943743" w:rsidP="004062FE">
      <w:pPr>
        <w:spacing w:line="240" w:lineRule="auto"/>
        <w:rPr>
          <w:del w:id="425" w:author="AbbVie_HU_03" w:date="2025-05-14T15:27:00Z"/>
          <w:szCs w:val="22"/>
        </w:rPr>
      </w:pPr>
      <w:del w:id="426" w:author="AbbVie_HU_03" w:date="2025-05-14T15:27:00Z">
        <w:r w:rsidRPr="00183B5F">
          <w:rPr>
            <w:szCs w:val="22"/>
          </w:rPr>
          <w:delText>A Humir</w:delText>
        </w:r>
        <w:r w:rsidR="00ED45A7" w:rsidRPr="00183B5F">
          <w:rPr>
            <w:szCs w:val="22"/>
          </w:rPr>
          <w:delText>a</w:delText>
        </w:r>
        <w:r w:rsidR="00ED45A7" w:rsidRPr="00183B5F">
          <w:rPr>
            <w:szCs w:val="22"/>
          </w:rPr>
          <w:noBreakHyphen/>
        </w:r>
        <w:r w:rsidRPr="00183B5F">
          <w:rPr>
            <w:szCs w:val="22"/>
          </w:rPr>
          <w:delText>nak 2 évesnél fiatalabb gyermekeknél ebben a javallatban nincs releváns alkalmazása.</w:delText>
        </w:r>
      </w:del>
    </w:p>
    <w:p w14:paraId="1BA5BFA2" w14:textId="30D5754D" w:rsidR="005436AA" w:rsidRPr="00183B5F" w:rsidRDefault="005436AA" w:rsidP="004062FE">
      <w:pPr>
        <w:spacing w:line="240" w:lineRule="auto"/>
        <w:rPr>
          <w:del w:id="427" w:author="AbbVie_HU_03" w:date="2025-05-14T15:27:00Z"/>
          <w:szCs w:val="22"/>
        </w:rPr>
      </w:pPr>
    </w:p>
    <w:p w14:paraId="40B56545" w14:textId="4A7D5F34" w:rsidR="00802457" w:rsidRPr="00183B5F" w:rsidRDefault="00943743" w:rsidP="004062FE">
      <w:pPr>
        <w:spacing w:line="240" w:lineRule="auto"/>
        <w:rPr>
          <w:del w:id="428" w:author="AbbVie_HU_03" w:date="2025-05-14T15:27:00Z"/>
          <w:szCs w:val="22"/>
        </w:rPr>
      </w:pPr>
      <w:del w:id="429" w:author="AbbVie_HU_03" w:date="2025-05-14T15:27:00Z">
        <w:r w:rsidRPr="00183B5F">
          <w:rPr>
            <w:szCs w:val="22"/>
          </w:rPr>
          <w:delText>Javasolt a folyamatos, hosszú távú kezelés előnyét és kockázatát évente értékelni (lásd 5.1 pont).</w:delText>
        </w:r>
      </w:del>
    </w:p>
    <w:p w14:paraId="09FAE37C" w14:textId="46BA17FF" w:rsidR="0007145B" w:rsidRPr="00183B5F" w:rsidRDefault="0007145B" w:rsidP="004062FE">
      <w:pPr>
        <w:spacing w:line="240" w:lineRule="auto"/>
        <w:rPr>
          <w:del w:id="430" w:author="AbbVie_HU_03" w:date="2025-05-14T15:27:00Z"/>
          <w:szCs w:val="22"/>
        </w:rPr>
      </w:pPr>
    </w:p>
    <w:p w14:paraId="78F5B03C" w14:textId="2314F0A9" w:rsidR="0007145B" w:rsidRPr="00183B5F" w:rsidRDefault="00943743" w:rsidP="004062FE">
      <w:pPr>
        <w:spacing w:line="240" w:lineRule="auto"/>
        <w:rPr>
          <w:del w:id="431" w:author="AbbVie_HU_03" w:date="2025-05-14T15:27:00Z"/>
          <w:szCs w:val="22"/>
        </w:rPr>
      </w:pPr>
      <w:del w:id="432" w:author="AbbVie_HU_03" w:date="2025-05-14T15:27:00Z">
        <w:r w:rsidRPr="00183B5F">
          <w:rPr>
            <w:szCs w:val="22"/>
          </w:rPr>
          <w:delText>A Humira más hatáserősségben és/vagy kiszerelésben is elérhető az egyéni terápiás igényeknek megfelelően.</w:delText>
        </w:r>
      </w:del>
    </w:p>
    <w:p w14:paraId="0476E3BD" w14:textId="75614FBE" w:rsidR="007D798F" w:rsidRPr="00183B5F" w:rsidRDefault="007D798F" w:rsidP="004062FE">
      <w:pPr>
        <w:spacing w:line="240" w:lineRule="auto"/>
        <w:rPr>
          <w:del w:id="433" w:author="AbbVie_HU_03" w:date="2025-05-14T15:27:00Z"/>
          <w:szCs w:val="22"/>
        </w:rPr>
      </w:pPr>
    </w:p>
    <w:p w14:paraId="600B798A" w14:textId="3A49F60C" w:rsidR="00FB6710" w:rsidRPr="00183B5F" w:rsidRDefault="00943743" w:rsidP="004062FE">
      <w:pPr>
        <w:spacing w:line="240" w:lineRule="auto"/>
        <w:rPr>
          <w:del w:id="434" w:author="AbbVie_HU_03" w:date="2025-05-14T15:27:00Z"/>
          <w:szCs w:val="22"/>
          <w:u w:val="single"/>
        </w:rPr>
      </w:pPr>
      <w:del w:id="435" w:author="AbbVie_HU_03" w:date="2025-05-14T15:27:00Z">
        <w:r w:rsidRPr="00183B5F">
          <w:rPr>
            <w:szCs w:val="22"/>
            <w:u w:val="single"/>
          </w:rPr>
          <w:delText>Vese</w:delText>
        </w:r>
        <w:r w:rsidR="004C0D7B" w:rsidRPr="00183B5F">
          <w:rPr>
            <w:szCs w:val="22"/>
            <w:u w:val="single"/>
          </w:rPr>
          <w:delText>-</w:delText>
        </w:r>
        <w:r w:rsidRPr="00183B5F">
          <w:rPr>
            <w:szCs w:val="22"/>
            <w:u w:val="single"/>
          </w:rPr>
          <w:delText xml:space="preserve"> és/vagy májkárosodás</w:delText>
        </w:r>
      </w:del>
    </w:p>
    <w:p w14:paraId="33427F98" w14:textId="4270EACC" w:rsidR="00FB6710" w:rsidRPr="00183B5F" w:rsidRDefault="00FB6710" w:rsidP="004062FE">
      <w:pPr>
        <w:spacing w:line="240" w:lineRule="auto"/>
        <w:rPr>
          <w:del w:id="436" w:author="AbbVie_HU_03" w:date="2025-05-14T15:27:00Z"/>
          <w:szCs w:val="22"/>
          <w:u w:val="single"/>
        </w:rPr>
      </w:pPr>
    </w:p>
    <w:p w14:paraId="1925C99B" w14:textId="59CBF704" w:rsidR="00FB6710" w:rsidRPr="00183B5F" w:rsidRDefault="00943743" w:rsidP="004062FE">
      <w:pPr>
        <w:pStyle w:val="EndnoteText"/>
        <w:tabs>
          <w:tab w:val="clear" w:pos="567"/>
        </w:tabs>
        <w:suppressAutoHyphens/>
        <w:rPr>
          <w:del w:id="437" w:author="AbbVie_HU_03" w:date="2025-05-14T15:27:00Z"/>
          <w:noProof/>
          <w:sz w:val="22"/>
          <w:szCs w:val="22"/>
          <w:lang w:val="hu-HU"/>
        </w:rPr>
      </w:pPr>
      <w:del w:id="438" w:author="AbbVie_HU_03" w:date="2025-05-14T15:27:00Z">
        <w:r w:rsidRPr="00183B5F">
          <w:rPr>
            <w:sz w:val="22"/>
            <w:lang w:val="hu-HU"/>
          </w:rPr>
          <w:delText>Eze</w:delText>
        </w:r>
        <w:r w:rsidR="008D5D6B" w:rsidRPr="00183B5F">
          <w:rPr>
            <w:sz w:val="22"/>
            <w:lang w:val="hu-HU"/>
          </w:rPr>
          <w:delText>kbe</w:delText>
        </w:r>
        <w:r w:rsidRPr="00183B5F">
          <w:rPr>
            <w:sz w:val="22"/>
            <w:lang w:val="hu-HU"/>
          </w:rPr>
          <w:delText xml:space="preserve">n </w:delText>
        </w:r>
        <w:r w:rsidR="00555350" w:rsidRPr="00183B5F">
          <w:rPr>
            <w:sz w:val="22"/>
            <w:lang w:val="hu-HU"/>
          </w:rPr>
          <w:delText xml:space="preserve">a </w:delText>
        </w:r>
        <w:r w:rsidRPr="00183B5F">
          <w:rPr>
            <w:sz w:val="22"/>
            <w:lang w:val="hu-HU"/>
          </w:rPr>
          <w:delText>betegpopulációkban nem állnak rendelkezésre adatok</w:delText>
        </w:r>
        <w:r w:rsidR="00591E79" w:rsidRPr="00183B5F">
          <w:rPr>
            <w:noProof/>
            <w:sz w:val="22"/>
            <w:szCs w:val="22"/>
            <w:lang w:val="hu-HU"/>
          </w:rPr>
          <w:delText xml:space="preserve">. </w:delText>
        </w:r>
        <w:r w:rsidR="008D5D6B" w:rsidRPr="00183B5F">
          <w:rPr>
            <w:noProof/>
            <w:sz w:val="22"/>
            <w:szCs w:val="22"/>
            <w:lang w:val="hu-HU"/>
          </w:rPr>
          <w:delText>Nincs az adagolásra vonatkozó javaslat</w:delText>
        </w:r>
        <w:r w:rsidR="00405466" w:rsidRPr="00183B5F">
          <w:rPr>
            <w:noProof/>
            <w:sz w:val="22"/>
            <w:szCs w:val="22"/>
            <w:lang w:val="hu-HU"/>
          </w:rPr>
          <w:delText>.</w:delText>
        </w:r>
      </w:del>
    </w:p>
    <w:p w14:paraId="59B3FB8D" w14:textId="00D02874" w:rsidR="00F301D2" w:rsidRPr="00183B5F" w:rsidRDefault="00F301D2" w:rsidP="004062FE">
      <w:pPr>
        <w:spacing w:line="240" w:lineRule="auto"/>
        <w:rPr>
          <w:del w:id="439" w:author="AbbVie_HU_03" w:date="2025-05-14T15:27:00Z"/>
          <w:lang w:eastAsia="x-none"/>
        </w:rPr>
      </w:pPr>
    </w:p>
    <w:p w14:paraId="68C62B8F" w14:textId="12F7014B" w:rsidR="00F301D2" w:rsidRPr="00183B5F" w:rsidRDefault="00943743" w:rsidP="004062FE">
      <w:pPr>
        <w:spacing w:line="240" w:lineRule="auto"/>
        <w:rPr>
          <w:del w:id="440" w:author="AbbVie_HU_03" w:date="2025-05-14T15:27:00Z"/>
          <w:u w:val="single"/>
          <w:lang w:eastAsia="x-none"/>
        </w:rPr>
      </w:pPr>
      <w:del w:id="441" w:author="AbbVie_HU_03" w:date="2025-05-14T15:27:00Z">
        <w:r w:rsidRPr="00183B5F">
          <w:rPr>
            <w:u w:val="single"/>
            <w:lang w:eastAsia="x-none"/>
          </w:rPr>
          <w:delText>Az alkalmazás módja</w:delText>
        </w:r>
      </w:del>
    </w:p>
    <w:p w14:paraId="1581F6E7" w14:textId="28F956B7" w:rsidR="00F301D2" w:rsidRPr="00183B5F" w:rsidRDefault="00F301D2" w:rsidP="004062FE">
      <w:pPr>
        <w:spacing w:line="240" w:lineRule="auto"/>
        <w:rPr>
          <w:del w:id="442" w:author="AbbVie_HU_03" w:date="2025-05-14T15:27:00Z"/>
          <w:u w:val="single"/>
          <w:lang w:eastAsia="x-none"/>
        </w:rPr>
      </w:pPr>
    </w:p>
    <w:p w14:paraId="35E9A940" w14:textId="69273179" w:rsidR="00F301D2" w:rsidRPr="00183B5F" w:rsidRDefault="00943743" w:rsidP="004062FE">
      <w:pPr>
        <w:spacing w:line="240" w:lineRule="auto"/>
        <w:rPr>
          <w:del w:id="443" w:author="AbbVie_HU_03" w:date="2025-05-14T15:27:00Z"/>
          <w:szCs w:val="22"/>
        </w:rPr>
      </w:pPr>
      <w:del w:id="444" w:author="AbbVie_HU_03" w:date="2025-05-14T15:27:00Z">
        <w:r w:rsidRPr="00183B5F">
          <w:rPr>
            <w:lang w:eastAsia="x-none"/>
          </w:rPr>
          <w:delText xml:space="preserve">A Humira </w:delText>
        </w:r>
        <w:r w:rsidR="00891E18" w:rsidRPr="00183B5F">
          <w:rPr>
            <w:szCs w:val="22"/>
          </w:rPr>
          <w:delText>subcutan</w:delText>
        </w:r>
        <w:r w:rsidRPr="00183B5F">
          <w:rPr>
            <w:szCs w:val="22"/>
          </w:rPr>
          <w:delText xml:space="preserve"> injekció formájában kerül beadásra. Az alkalmazásra vonatkozó teljes körű utasítás a betegtájékoztatóban található.</w:delText>
        </w:r>
      </w:del>
    </w:p>
    <w:p w14:paraId="600ED1F7" w14:textId="1FA1EE43" w:rsidR="002C7F89" w:rsidRPr="00183B5F" w:rsidRDefault="002C7F89" w:rsidP="004062FE">
      <w:pPr>
        <w:spacing w:line="240" w:lineRule="auto"/>
        <w:rPr>
          <w:del w:id="445" w:author="AbbVie_HU_03" w:date="2025-05-14T15:27:00Z"/>
          <w:szCs w:val="22"/>
        </w:rPr>
      </w:pPr>
    </w:p>
    <w:p w14:paraId="3399E924" w14:textId="5A662CF7" w:rsidR="00052346" w:rsidRPr="00183B5F" w:rsidRDefault="00943743" w:rsidP="004062FE">
      <w:pPr>
        <w:spacing w:line="240" w:lineRule="auto"/>
        <w:rPr>
          <w:del w:id="446" w:author="AbbVie_HU_03" w:date="2025-05-14T15:27:00Z"/>
          <w:lang w:eastAsia="x-none"/>
        </w:rPr>
      </w:pPr>
      <w:del w:id="447" w:author="AbbVie_HU_03" w:date="2025-05-14T15:27:00Z">
        <w:r w:rsidRPr="00183B5F">
          <w:rPr>
            <w:szCs w:val="22"/>
          </w:rPr>
          <w:delText>A Humira más hatáserősségekben és kiszerelésekben is rendelkezésre áll.</w:delText>
        </w:r>
        <w:r w:rsidRPr="00183B5F">
          <w:rPr>
            <w:lang w:eastAsia="x-none"/>
          </w:rPr>
          <w:delText xml:space="preserve"> </w:delText>
        </w:r>
      </w:del>
    </w:p>
    <w:p w14:paraId="3291DFF2" w14:textId="1CD7F5BF" w:rsidR="00FB6710" w:rsidRPr="00183B5F" w:rsidRDefault="00FB6710" w:rsidP="004062FE">
      <w:pPr>
        <w:spacing w:line="240" w:lineRule="auto"/>
        <w:rPr>
          <w:del w:id="448" w:author="AbbVie_HU_03" w:date="2025-05-14T15:27:00Z"/>
          <w:szCs w:val="22"/>
        </w:rPr>
      </w:pPr>
    </w:p>
    <w:p w14:paraId="214926E6" w14:textId="7C48B165" w:rsidR="00FB6710" w:rsidRPr="00183B5F" w:rsidRDefault="00943743" w:rsidP="004062FE">
      <w:pPr>
        <w:spacing w:line="240" w:lineRule="auto"/>
        <w:ind w:left="567" w:hanging="567"/>
        <w:rPr>
          <w:del w:id="449" w:author="AbbVie_HU_03" w:date="2025-05-14T15:27:00Z"/>
          <w:b/>
          <w:szCs w:val="22"/>
        </w:rPr>
      </w:pPr>
      <w:del w:id="450" w:author="AbbVie_HU_03" w:date="2025-05-14T15:27:00Z">
        <w:r w:rsidRPr="00183B5F">
          <w:rPr>
            <w:b/>
            <w:szCs w:val="22"/>
          </w:rPr>
          <w:delText>4.3</w:delText>
        </w:r>
        <w:r w:rsidRPr="00183B5F">
          <w:rPr>
            <w:b/>
            <w:szCs w:val="22"/>
          </w:rPr>
          <w:tab/>
          <w:delText>Ellenjavallatok</w:delText>
        </w:r>
      </w:del>
    </w:p>
    <w:p w14:paraId="0E66132F" w14:textId="0BCA57B2" w:rsidR="00FB6710" w:rsidRPr="00183B5F" w:rsidRDefault="00FB6710" w:rsidP="004062FE">
      <w:pPr>
        <w:spacing w:line="240" w:lineRule="auto"/>
        <w:rPr>
          <w:del w:id="451" w:author="AbbVie_HU_03" w:date="2025-05-14T15:27:00Z"/>
          <w:szCs w:val="22"/>
        </w:rPr>
      </w:pPr>
    </w:p>
    <w:p w14:paraId="7CFAAC71" w14:textId="26E53420" w:rsidR="00FB6710" w:rsidRPr="00183B5F" w:rsidRDefault="00943743" w:rsidP="004062FE">
      <w:pPr>
        <w:spacing w:line="240" w:lineRule="auto"/>
        <w:rPr>
          <w:del w:id="452" w:author="AbbVie_HU_03" w:date="2025-05-14T15:27:00Z"/>
          <w:szCs w:val="22"/>
        </w:rPr>
      </w:pPr>
      <w:del w:id="453" w:author="AbbVie_HU_03" w:date="2025-05-14T15:27:00Z">
        <w:r w:rsidRPr="00183B5F">
          <w:rPr>
            <w:szCs w:val="22"/>
          </w:rPr>
          <w:delText xml:space="preserve">A készítmény hatóanyagával vagy </w:delText>
        </w:r>
        <w:r w:rsidR="00FC4D05" w:rsidRPr="00183B5F">
          <w:rPr>
            <w:noProof/>
            <w:szCs w:val="24"/>
          </w:rPr>
          <w:delText>a 6.1</w:delText>
        </w:r>
        <w:r w:rsidR="00186D48" w:rsidRPr="00183B5F">
          <w:rPr>
            <w:noProof/>
            <w:szCs w:val="24"/>
          </w:rPr>
          <w:delText> </w:delText>
        </w:r>
        <w:r w:rsidR="00FC4D05" w:rsidRPr="00183B5F">
          <w:rPr>
            <w:noProof/>
            <w:szCs w:val="24"/>
          </w:rPr>
          <w:delText xml:space="preserve">pontban felsorolt </w:delText>
        </w:r>
        <w:r w:rsidRPr="00183B5F">
          <w:rPr>
            <w:szCs w:val="22"/>
          </w:rPr>
          <w:delText>bármely segédanyagával szembeni túlérzékenység.</w:delText>
        </w:r>
      </w:del>
    </w:p>
    <w:p w14:paraId="37B657FF" w14:textId="420D86C4" w:rsidR="00FB6710" w:rsidRPr="00183B5F" w:rsidRDefault="00FB6710" w:rsidP="004062FE">
      <w:pPr>
        <w:spacing w:line="240" w:lineRule="auto"/>
        <w:rPr>
          <w:del w:id="454" w:author="AbbVie_HU_03" w:date="2025-05-14T15:27:00Z"/>
          <w:szCs w:val="22"/>
        </w:rPr>
      </w:pPr>
    </w:p>
    <w:p w14:paraId="695AAFAB" w14:textId="11D4723F" w:rsidR="00FB6710" w:rsidRPr="00183B5F" w:rsidRDefault="00943743" w:rsidP="004062FE">
      <w:pPr>
        <w:spacing w:line="240" w:lineRule="auto"/>
        <w:rPr>
          <w:del w:id="455" w:author="AbbVie_HU_03" w:date="2025-05-14T15:27:00Z"/>
          <w:szCs w:val="22"/>
        </w:rPr>
      </w:pPr>
      <w:del w:id="456" w:author="AbbVie_HU_03" w:date="2025-05-14T15:27:00Z">
        <w:r w:rsidRPr="00183B5F">
          <w:rPr>
            <w:szCs w:val="22"/>
          </w:rPr>
          <w:delText>Aktív tuberkulózis vagy más súlyos fertőzés, mint szepszis vagy opportunista fertőzések (lásd 4.4 pont).</w:delText>
        </w:r>
      </w:del>
    </w:p>
    <w:p w14:paraId="571231C0" w14:textId="1E2F9BA1" w:rsidR="00FB6710" w:rsidRPr="00183B5F" w:rsidRDefault="00FB6710" w:rsidP="004062FE">
      <w:pPr>
        <w:spacing w:line="240" w:lineRule="auto"/>
        <w:rPr>
          <w:del w:id="457" w:author="AbbVie_HU_03" w:date="2025-05-14T15:27:00Z"/>
          <w:szCs w:val="22"/>
        </w:rPr>
      </w:pPr>
    </w:p>
    <w:p w14:paraId="700B6B8A" w14:textId="5C13C48E" w:rsidR="00FB6710" w:rsidRPr="00183B5F" w:rsidRDefault="00943743" w:rsidP="004062FE">
      <w:pPr>
        <w:spacing w:line="240" w:lineRule="auto"/>
        <w:rPr>
          <w:del w:id="458" w:author="AbbVie_HU_03" w:date="2025-05-14T15:27:00Z"/>
          <w:szCs w:val="22"/>
        </w:rPr>
      </w:pPr>
      <w:del w:id="459" w:author="AbbVie_HU_03" w:date="2025-05-14T15:27:00Z">
        <w:r w:rsidRPr="00183B5F">
          <w:rPr>
            <w:szCs w:val="22"/>
          </w:rPr>
          <w:delText>Köz</w:delText>
        </w:r>
        <w:r w:rsidR="001E33D4" w:rsidRPr="00183B5F">
          <w:rPr>
            <w:szCs w:val="22"/>
          </w:rPr>
          <w:delText xml:space="preserve">epesen </w:delText>
        </w:r>
        <w:r w:rsidRPr="00183B5F">
          <w:rPr>
            <w:szCs w:val="22"/>
          </w:rPr>
          <w:delText>súlyos, súlyos szívelégtelenség (NYHA</w:delText>
        </w:r>
        <w:r w:rsidR="004539B0" w:rsidRPr="00183B5F">
          <w:rPr>
            <w:szCs w:val="22"/>
          </w:rPr>
          <w:delText> </w:delText>
        </w:r>
        <w:r w:rsidRPr="00183B5F">
          <w:rPr>
            <w:szCs w:val="22"/>
          </w:rPr>
          <w:delText>III/IV) (lásd 4.4 pont).</w:delText>
        </w:r>
      </w:del>
    </w:p>
    <w:p w14:paraId="01297058" w14:textId="7D686DA0" w:rsidR="00FB6710" w:rsidRPr="00183B5F" w:rsidRDefault="00FB6710" w:rsidP="004062FE">
      <w:pPr>
        <w:spacing w:line="240" w:lineRule="auto"/>
        <w:rPr>
          <w:del w:id="460" w:author="AbbVie_HU_03" w:date="2025-05-14T15:27:00Z"/>
          <w:szCs w:val="22"/>
        </w:rPr>
      </w:pPr>
    </w:p>
    <w:p w14:paraId="2DC77FF7" w14:textId="7A172017" w:rsidR="00FB6710" w:rsidRPr="00183B5F" w:rsidRDefault="00943743" w:rsidP="004062FE">
      <w:pPr>
        <w:spacing w:line="240" w:lineRule="auto"/>
        <w:ind w:left="567" w:hanging="567"/>
        <w:rPr>
          <w:del w:id="461" w:author="AbbVie_HU_03" w:date="2025-05-14T15:27:00Z"/>
          <w:b/>
          <w:szCs w:val="22"/>
        </w:rPr>
      </w:pPr>
      <w:del w:id="462" w:author="AbbVie_HU_03" w:date="2025-05-14T15:27:00Z">
        <w:r w:rsidRPr="00183B5F">
          <w:rPr>
            <w:b/>
            <w:szCs w:val="22"/>
          </w:rPr>
          <w:delText>4.4</w:delText>
        </w:r>
        <w:r w:rsidRPr="00183B5F">
          <w:rPr>
            <w:b/>
            <w:szCs w:val="22"/>
          </w:rPr>
          <w:tab/>
          <w:delText>Különleges figyelmeztetések és az alkalmazással kapcsolatos óvintézkedések</w:delText>
        </w:r>
      </w:del>
    </w:p>
    <w:p w14:paraId="5984EFB6" w14:textId="64370DC3" w:rsidR="00D035BA" w:rsidRPr="00183B5F" w:rsidRDefault="00D035BA">
      <w:pPr>
        <w:pStyle w:val="EMEANormal"/>
        <w:rPr>
          <w:del w:id="463" w:author="AbbVie_HU_03" w:date="2025-05-14T15:27:00Z"/>
          <w:lang w:val="hu-HU"/>
        </w:rPr>
      </w:pPr>
    </w:p>
    <w:p w14:paraId="5BECFB4F" w14:textId="3FDF1905" w:rsidR="00D035BA" w:rsidRPr="00183B5F" w:rsidRDefault="00943743">
      <w:pPr>
        <w:pStyle w:val="EMEANormal"/>
        <w:rPr>
          <w:del w:id="464" w:author="AbbVie_HU_03" w:date="2025-05-14T15:27:00Z"/>
          <w:u w:val="single"/>
          <w:lang w:val="hu-HU"/>
        </w:rPr>
      </w:pPr>
      <w:del w:id="465" w:author="AbbVie_HU_03" w:date="2025-05-14T15:27:00Z">
        <w:r w:rsidRPr="00183B5F">
          <w:rPr>
            <w:u w:val="single"/>
            <w:lang w:val="hu-HU"/>
          </w:rPr>
          <w:delText>Nyomonkövethetőség</w:delText>
        </w:r>
      </w:del>
    </w:p>
    <w:p w14:paraId="2D71F44B" w14:textId="6CCFAD4E" w:rsidR="00FB6710" w:rsidRPr="00183B5F" w:rsidRDefault="00FB6710" w:rsidP="004062FE">
      <w:pPr>
        <w:spacing w:line="240" w:lineRule="auto"/>
        <w:rPr>
          <w:del w:id="466" w:author="AbbVie_HU_03" w:date="2025-05-14T15:27:00Z"/>
          <w:szCs w:val="22"/>
        </w:rPr>
      </w:pPr>
    </w:p>
    <w:p w14:paraId="07B5BEFC" w14:textId="6F3B44BF" w:rsidR="00613486" w:rsidRPr="00183B5F" w:rsidRDefault="00943743" w:rsidP="004062FE">
      <w:pPr>
        <w:spacing w:line="240" w:lineRule="auto"/>
        <w:rPr>
          <w:del w:id="467" w:author="AbbVie_HU_03" w:date="2025-05-14T15:27:00Z"/>
          <w:szCs w:val="22"/>
        </w:rPr>
      </w:pPr>
      <w:del w:id="468" w:author="AbbVie_HU_03" w:date="2025-05-14T15:27:00Z">
        <w:r w:rsidRPr="00183B5F">
          <w:rPr>
            <w:szCs w:val="22"/>
          </w:rPr>
          <w:delText>A biológiai gyógyszerek nyomonkövethetőségének javítása érdekében a gyógyszer nevét és gyártási számát egyértelműen fel kell jegyezni.</w:delText>
        </w:r>
      </w:del>
    </w:p>
    <w:p w14:paraId="626C85F0" w14:textId="4FC9414E" w:rsidR="00613486" w:rsidRPr="00183B5F" w:rsidRDefault="00613486" w:rsidP="004062FE">
      <w:pPr>
        <w:spacing w:line="240" w:lineRule="auto"/>
        <w:rPr>
          <w:del w:id="469" w:author="AbbVie_HU_03" w:date="2025-05-14T15:27:00Z"/>
          <w:szCs w:val="22"/>
          <w:u w:val="single"/>
        </w:rPr>
      </w:pPr>
    </w:p>
    <w:p w14:paraId="785B3175" w14:textId="532C9BFB" w:rsidR="00FB6710" w:rsidRPr="00183B5F" w:rsidRDefault="00943743" w:rsidP="004062FE">
      <w:pPr>
        <w:keepNext/>
        <w:spacing w:line="240" w:lineRule="auto"/>
        <w:rPr>
          <w:del w:id="470" w:author="AbbVie_HU_03" w:date="2025-05-14T15:27:00Z"/>
          <w:szCs w:val="22"/>
          <w:u w:val="single"/>
        </w:rPr>
      </w:pPr>
      <w:del w:id="471" w:author="AbbVie_HU_03" w:date="2025-05-14T15:27:00Z">
        <w:r w:rsidRPr="00183B5F">
          <w:rPr>
            <w:szCs w:val="22"/>
            <w:u w:val="single"/>
          </w:rPr>
          <w:delText>Fertőzések</w:delText>
        </w:r>
      </w:del>
    </w:p>
    <w:p w14:paraId="5D855D92" w14:textId="7168CE1D" w:rsidR="00FB6710" w:rsidRPr="00183B5F" w:rsidRDefault="00FB6710" w:rsidP="004062FE">
      <w:pPr>
        <w:keepNext/>
        <w:spacing w:line="240" w:lineRule="auto"/>
        <w:ind w:firstLine="567"/>
        <w:rPr>
          <w:del w:id="472" w:author="AbbVie_HU_03" w:date="2025-05-14T15:27:00Z"/>
          <w:szCs w:val="22"/>
        </w:rPr>
      </w:pPr>
    </w:p>
    <w:p w14:paraId="6063A4D8" w14:textId="6BEE40FD" w:rsidR="00FB6710" w:rsidRPr="00183B5F" w:rsidRDefault="00943743" w:rsidP="004062FE">
      <w:pPr>
        <w:keepNext/>
        <w:spacing w:line="240" w:lineRule="auto"/>
        <w:rPr>
          <w:del w:id="473" w:author="AbbVie_HU_03" w:date="2025-05-14T15:27:00Z"/>
          <w:szCs w:val="22"/>
        </w:rPr>
      </w:pPr>
      <w:del w:id="474" w:author="AbbVie_HU_03" w:date="2025-05-14T15:27:00Z">
        <w:r w:rsidRPr="00183B5F">
          <w:rPr>
            <w:szCs w:val="22"/>
          </w:rPr>
          <w:delText>A TNF</w:delText>
        </w:r>
        <w:r w:rsidR="0052135D" w:rsidRPr="00183B5F">
          <w:rPr>
            <w:szCs w:val="22"/>
          </w:rPr>
          <w:noBreakHyphen/>
        </w:r>
        <w:r w:rsidR="00CB12B4" w:rsidRPr="00183B5F">
          <w:rPr>
            <w:szCs w:val="22"/>
          </w:rPr>
          <w:delText>antagonistákat</w:delText>
        </w:r>
        <w:r w:rsidR="00C613A3" w:rsidRPr="00183B5F">
          <w:rPr>
            <w:szCs w:val="22"/>
          </w:rPr>
          <w:delText xml:space="preserve"> </w:delText>
        </w:r>
        <w:r w:rsidRPr="00183B5F">
          <w:rPr>
            <w:szCs w:val="22"/>
          </w:rPr>
          <w:delText xml:space="preserve">kapó betegek </w:delText>
        </w:r>
        <w:r w:rsidR="004C2049" w:rsidRPr="00183B5F">
          <w:rPr>
            <w:szCs w:val="22"/>
          </w:rPr>
          <w:delText>fogékonyabbak</w:delText>
        </w:r>
        <w:r w:rsidRPr="00183B5F">
          <w:rPr>
            <w:szCs w:val="22"/>
          </w:rPr>
          <w:delText xml:space="preserve"> a súlyos fertőzésekre. A károsodott légzésfunkció növelheti a fertőzések kialakulásának kockázatát. Ezért a Humira</w:delText>
        </w:r>
        <w:r w:rsidR="0052135D" w:rsidRPr="00183B5F">
          <w:rPr>
            <w:szCs w:val="22"/>
          </w:rPr>
          <w:noBreakHyphen/>
        </w:r>
        <w:r w:rsidRPr="00183B5F">
          <w:rPr>
            <w:szCs w:val="22"/>
          </w:rPr>
          <w:delText>val való kezelés előtt, alatt és után a betegek</w:delText>
        </w:r>
        <w:r w:rsidR="00821CE5" w:rsidRPr="00183B5F">
          <w:rPr>
            <w:szCs w:val="22"/>
          </w:rPr>
          <w:delText>nél</w:delText>
        </w:r>
        <w:r w:rsidRPr="00183B5F">
          <w:rPr>
            <w:szCs w:val="22"/>
          </w:rPr>
          <w:delText xml:space="preserve"> </w:delText>
        </w:r>
        <w:r w:rsidR="00821CE5" w:rsidRPr="00183B5F">
          <w:rPr>
            <w:szCs w:val="22"/>
          </w:rPr>
          <w:delText xml:space="preserve">gondosan figyelni kell </w:delText>
        </w:r>
        <w:r w:rsidRPr="00183B5F">
          <w:rPr>
            <w:szCs w:val="22"/>
          </w:rPr>
          <w:delText>a fertőzések</w:delText>
        </w:r>
        <w:r w:rsidR="00821CE5" w:rsidRPr="00183B5F">
          <w:rPr>
            <w:szCs w:val="22"/>
          </w:rPr>
          <w:delText>et,</w:delText>
        </w:r>
        <w:r w:rsidRPr="00183B5F">
          <w:rPr>
            <w:szCs w:val="22"/>
          </w:rPr>
          <w:delText xml:space="preserve"> beleértve a tuberkulózis</w:delText>
        </w:r>
        <w:r w:rsidR="00821CE5" w:rsidRPr="00183B5F">
          <w:rPr>
            <w:szCs w:val="22"/>
          </w:rPr>
          <w:delText>t is</w:delText>
        </w:r>
        <w:r w:rsidRPr="00183B5F">
          <w:rPr>
            <w:szCs w:val="22"/>
          </w:rPr>
          <w:delText xml:space="preserve">. Tekintettel arra, hogy az adalimumab teljes eliminációja akár </w:delText>
        </w:r>
        <w:r w:rsidR="00B44FE7" w:rsidRPr="00183B5F">
          <w:rPr>
            <w:szCs w:val="22"/>
          </w:rPr>
          <w:delText>négy</w:delText>
        </w:r>
        <w:r w:rsidRPr="00183B5F">
          <w:rPr>
            <w:szCs w:val="22"/>
          </w:rPr>
          <w:delText xml:space="preserve"> hónapot vehet igénybe, a megfigyelés ezen idő alatt is szükséges.</w:delText>
        </w:r>
      </w:del>
    </w:p>
    <w:p w14:paraId="69B7E781" w14:textId="2E4028FD" w:rsidR="00FB6710" w:rsidRPr="00183B5F" w:rsidRDefault="00FB6710" w:rsidP="004062FE">
      <w:pPr>
        <w:spacing w:line="240" w:lineRule="auto"/>
        <w:rPr>
          <w:del w:id="475" w:author="AbbVie_HU_03" w:date="2025-05-14T15:27:00Z"/>
          <w:szCs w:val="22"/>
        </w:rPr>
      </w:pPr>
    </w:p>
    <w:p w14:paraId="4F39356D" w14:textId="12BBA204" w:rsidR="00FB6710" w:rsidRPr="00183B5F" w:rsidRDefault="00943743" w:rsidP="004062FE">
      <w:pPr>
        <w:spacing w:line="240" w:lineRule="auto"/>
        <w:rPr>
          <w:del w:id="476" w:author="AbbVie_HU_03" w:date="2025-05-14T15:27:00Z"/>
          <w:szCs w:val="22"/>
        </w:rPr>
      </w:pPr>
      <w:del w:id="477" w:author="AbbVie_HU_03" w:date="2025-05-14T15:27:00Z">
        <w:r w:rsidRPr="00183B5F">
          <w:rPr>
            <w:szCs w:val="22"/>
          </w:rPr>
          <w:delText>Humira</w:delText>
        </w:r>
        <w:r w:rsidR="00FE665C" w:rsidRPr="00183B5F">
          <w:rPr>
            <w:szCs w:val="22"/>
          </w:rPr>
          <w:noBreakHyphen/>
        </w:r>
        <w:r w:rsidRPr="00183B5F">
          <w:rPr>
            <w:szCs w:val="22"/>
          </w:rPr>
          <w:delText>val való kezelés nem kezdhető aktív fertőzésben szenvedő betegek esetében, beleértve a krónikus és lokális fertőzéseket is, amíg a fertőzés nem gyógyul meg. A tuberkulózis által veszélyeztetett betegeknél és azoknál a betegeknél, akik olyan területekre utaztak, ahol nagy a tuberkulózis vagy az endemiás mycosisok, mint például a histoplasmosis, coccidioidomycosis vagy blastomycosis kockázata, a Humira</w:delText>
        </w:r>
        <w:r w:rsidR="00FE665C" w:rsidRPr="00183B5F">
          <w:rPr>
            <w:szCs w:val="22"/>
          </w:rPr>
          <w:noBreakHyphen/>
        </w:r>
        <w:r w:rsidRPr="00183B5F">
          <w:rPr>
            <w:szCs w:val="22"/>
          </w:rPr>
          <w:delText xml:space="preserve">kezelés kockázatát és előnyét a kezelés megkezdése előtt mérlegelni kell (lásd </w:delText>
        </w:r>
        <w:r w:rsidRPr="00183B5F">
          <w:rPr>
            <w:i/>
            <w:iCs/>
            <w:szCs w:val="22"/>
          </w:rPr>
          <w:delText>Egyéb opportunista fertőzése</w:delText>
        </w:r>
        <w:r w:rsidRPr="00183B5F">
          <w:rPr>
            <w:i/>
            <w:iCs/>
            <w:szCs w:val="22"/>
          </w:rPr>
          <w:delText>k</w:delText>
        </w:r>
        <w:r w:rsidRPr="00183B5F">
          <w:rPr>
            <w:szCs w:val="22"/>
          </w:rPr>
          <w:delText>).</w:delText>
        </w:r>
      </w:del>
    </w:p>
    <w:p w14:paraId="60C37036" w14:textId="43433A8F" w:rsidR="00FB6710" w:rsidRPr="00183B5F" w:rsidRDefault="00FB6710" w:rsidP="004062FE">
      <w:pPr>
        <w:spacing w:line="240" w:lineRule="auto"/>
        <w:rPr>
          <w:del w:id="478" w:author="AbbVie_HU_03" w:date="2025-05-14T15:27:00Z"/>
          <w:szCs w:val="22"/>
        </w:rPr>
      </w:pPr>
    </w:p>
    <w:p w14:paraId="44B4AABF" w14:textId="2DF31F02" w:rsidR="00FB6710" w:rsidRPr="00183B5F" w:rsidRDefault="00943743" w:rsidP="004062FE">
      <w:pPr>
        <w:spacing w:line="240" w:lineRule="auto"/>
        <w:rPr>
          <w:del w:id="479" w:author="AbbVie_HU_03" w:date="2025-05-14T15:27:00Z"/>
          <w:szCs w:val="22"/>
        </w:rPr>
      </w:pPr>
      <w:del w:id="480" w:author="AbbVie_HU_03" w:date="2025-05-14T15:27:00Z">
        <w:r w:rsidRPr="00183B5F">
          <w:rPr>
            <w:szCs w:val="22"/>
          </w:rPr>
          <w:delText>Szoros megfigyelés alatt kell tartani azokat a betegeket, akiknél a Humira</w:delText>
        </w:r>
        <w:r w:rsidR="00FE665C" w:rsidRPr="00183B5F">
          <w:rPr>
            <w:szCs w:val="22"/>
          </w:rPr>
          <w:noBreakHyphen/>
        </w:r>
        <w:r w:rsidRPr="00183B5F">
          <w:rPr>
            <w:szCs w:val="22"/>
          </w:rPr>
          <w:delText>val való kezelés során alakul ki új fertőzés, és teljes diagnosztikus kivizsgáláson kell átesniük. Olyan esetekben, amikor új, súlyos fertőzés vagy sepsis alakul ki a Humira</w:delText>
        </w:r>
        <w:r w:rsidR="00FE665C" w:rsidRPr="00183B5F">
          <w:rPr>
            <w:szCs w:val="22"/>
          </w:rPr>
          <w:noBreakHyphen/>
        </w:r>
        <w:r w:rsidRPr="00183B5F">
          <w:rPr>
            <w:szCs w:val="22"/>
          </w:rPr>
          <w:delText>val való kezelést</w:delText>
        </w:r>
        <w:r w:rsidR="004C2049" w:rsidRPr="00183B5F">
          <w:rPr>
            <w:szCs w:val="22"/>
          </w:rPr>
          <w:delText xml:space="preserve"> meg kell szakítani</w:delText>
        </w:r>
        <w:r w:rsidRPr="00183B5F">
          <w:rPr>
            <w:szCs w:val="22"/>
          </w:rPr>
          <w:delText>, és megfelelő antimikrobiális és gombaellenes kezelést kell kezdeni, amíg a fertőzés meg nem gyógyul. Az orvos különös gonddal döntsön a Humira adása mellett olyan betegek esetében, akiknek az anamnézisében visszatérő, gyakori fertőzések illetve fertőzésekre való hajlamosító tényező szerepel, az immunoszuppresszív szerek egyidejű alkalmazását is beleértve.</w:delText>
        </w:r>
      </w:del>
    </w:p>
    <w:p w14:paraId="62074723" w14:textId="62F9557C" w:rsidR="00FB6710" w:rsidRPr="00183B5F" w:rsidRDefault="00FB6710" w:rsidP="004062FE">
      <w:pPr>
        <w:spacing w:line="240" w:lineRule="auto"/>
        <w:rPr>
          <w:del w:id="481" w:author="AbbVie_HU_03" w:date="2025-05-14T15:27:00Z"/>
          <w:szCs w:val="22"/>
        </w:rPr>
      </w:pPr>
    </w:p>
    <w:p w14:paraId="4C40FD2E" w14:textId="5510A206" w:rsidR="00FB6710" w:rsidRPr="00183B5F" w:rsidRDefault="00943743" w:rsidP="004062FE">
      <w:pPr>
        <w:spacing w:line="240" w:lineRule="auto"/>
        <w:rPr>
          <w:del w:id="482" w:author="AbbVie_HU_03" w:date="2025-05-14T15:27:00Z"/>
          <w:i/>
          <w:iCs/>
          <w:szCs w:val="22"/>
        </w:rPr>
      </w:pPr>
      <w:del w:id="483" w:author="AbbVie_HU_03" w:date="2025-05-14T15:27:00Z">
        <w:r w:rsidRPr="00183B5F">
          <w:rPr>
            <w:i/>
            <w:iCs/>
            <w:szCs w:val="22"/>
          </w:rPr>
          <w:delText>Súlyos fertőzések</w:delText>
        </w:r>
      </w:del>
    </w:p>
    <w:p w14:paraId="743DA407" w14:textId="7A249D16" w:rsidR="00FB6710" w:rsidRPr="00183B5F" w:rsidRDefault="00FB6710" w:rsidP="004062FE">
      <w:pPr>
        <w:spacing w:line="240" w:lineRule="auto"/>
        <w:rPr>
          <w:del w:id="484" w:author="AbbVie_HU_03" w:date="2025-05-14T15:27:00Z"/>
          <w:szCs w:val="22"/>
        </w:rPr>
      </w:pPr>
    </w:p>
    <w:p w14:paraId="7BCA83F8" w14:textId="4FCAFC40" w:rsidR="00FB6710" w:rsidRPr="00183B5F" w:rsidRDefault="00943743" w:rsidP="004062FE">
      <w:pPr>
        <w:spacing w:line="240" w:lineRule="auto"/>
        <w:rPr>
          <w:del w:id="485" w:author="AbbVie_HU_03" w:date="2025-05-14T15:27:00Z"/>
          <w:szCs w:val="22"/>
        </w:rPr>
      </w:pPr>
      <w:del w:id="486" w:author="AbbVie_HU_03" w:date="2025-05-14T15:27:00Z">
        <w:r w:rsidRPr="00183B5F">
          <w:rPr>
            <w:szCs w:val="22"/>
          </w:rPr>
          <w:delText>Humira</w:delText>
        </w:r>
        <w:r w:rsidR="00FE665C" w:rsidRPr="00183B5F">
          <w:rPr>
            <w:szCs w:val="22"/>
          </w:rPr>
          <w:noBreakHyphen/>
        </w:r>
        <w:r w:rsidRPr="00183B5F">
          <w:rPr>
            <w:szCs w:val="22"/>
          </w:rPr>
          <w:delText xml:space="preserve">val kezelt betegeknél leírtak súlyos fertőzéseket, beleértve a sepsist is, melyeket bakteriális, mycobacterialis, invazív gomba-, parazita- és vírusfertőzés, vagy egyéb opportunista fertőzés, például </w:delText>
        </w:r>
        <w:r w:rsidRPr="00183B5F">
          <w:rPr>
            <w:szCs w:val="22"/>
            <w:u w:color="0000FF"/>
          </w:rPr>
          <w:delText>listeriosis</w:delText>
        </w:r>
        <w:r w:rsidR="00C613A3" w:rsidRPr="00183B5F">
          <w:rPr>
            <w:szCs w:val="22"/>
            <w:u w:color="0000FF"/>
          </w:rPr>
          <w:delText>, legionell</w:delText>
        </w:r>
        <w:r w:rsidR="00CB12B4" w:rsidRPr="00183B5F">
          <w:rPr>
            <w:szCs w:val="22"/>
            <w:u w:color="0000FF"/>
          </w:rPr>
          <w:delText>os</w:delText>
        </w:r>
        <w:r w:rsidR="00C613A3" w:rsidRPr="00183B5F">
          <w:rPr>
            <w:szCs w:val="22"/>
            <w:u w:color="0000FF"/>
          </w:rPr>
          <w:delText>is</w:delText>
        </w:r>
        <w:r w:rsidRPr="00183B5F">
          <w:rPr>
            <w:szCs w:val="22"/>
            <w:u w:color="0000FF"/>
          </w:rPr>
          <w:delText xml:space="preserve"> és pneumocystis</w:delText>
        </w:r>
        <w:r w:rsidR="00F24C6D" w:rsidRPr="00183B5F">
          <w:rPr>
            <w:szCs w:val="22"/>
          </w:rPr>
          <w:delText>-</w:delText>
        </w:r>
        <w:r w:rsidRPr="00183B5F">
          <w:rPr>
            <w:szCs w:val="22"/>
          </w:rPr>
          <w:delText>fertőzés okozott</w:delText>
        </w:r>
        <w:r w:rsidR="004C4B0F" w:rsidRPr="00183B5F">
          <w:rPr>
            <w:szCs w:val="22"/>
          </w:rPr>
          <w:delText>.</w:delText>
        </w:r>
      </w:del>
    </w:p>
    <w:p w14:paraId="2335C2CC" w14:textId="393C094E" w:rsidR="00DF7CA1" w:rsidRPr="00183B5F" w:rsidRDefault="00DF7CA1" w:rsidP="004062FE">
      <w:pPr>
        <w:spacing w:line="240" w:lineRule="auto"/>
        <w:rPr>
          <w:del w:id="487" w:author="AbbVie_HU_03" w:date="2025-05-14T15:27:00Z"/>
          <w:szCs w:val="22"/>
        </w:rPr>
      </w:pPr>
    </w:p>
    <w:p w14:paraId="607ECFC5" w14:textId="0DC6AB1D" w:rsidR="00FB6710" w:rsidRPr="00183B5F" w:rsidRDefault="00943743" w:rsidP="004062FE">
      <w:pPr>
        <w:spacing w:line="240" w:lineRule="auto"/>
        <w:rPr>
          <w:del w:id="488" w:author="AbbVie_HU_03" w:date="2025-05-14T15:27:00Z"/>
          <w:szCs w:val="22"/>
        </w:rPr>
      </w:pPr>
      <w:del w:id="489" w:author="AbbVie_HU_03" w:date="2025-05-14T15:27:00Z">
        <w:r w:rsidRPr="00183B5F">
          <w:rPr>
            <w:szCs w:val="22"/>
          </w:rPr>
          <w:delText xml:space="preserve">A klinikai vizsgálatokban további súlyos fertőzéseket köztük pneumoniát, pyelonephritist, septicus arthritist, valamint septicaemiát észleltek. A fertőzésekkel kapcsolatban hospitalizációról vagy fatális kimenetelről számoltak be. </w:delText>
        </w:r>
      </w:del>
    </w:p>
    <w:p w14:paraId="7BF5933A" w14:textId="199F361A" w:rsidR="00FB6710" w:rsidRPr="00183B5F" w:rsidRDefault="00FB6710" w:rsidP="004062FE">
      <w:pPr>
        <w:spacing w:line="240" w:lineRule="auto"/>
        <w:rPr>
          <w:del w:id="490" w:author="AbbVie_HU_03" w:date="2025-05-14T15:27:00Z"/>
          <w:szCs w:val="22"/>
        </w:rPr>
      </w:pPr>
    </w:p>
    <w:p w14:paraId="171E1009" w14:textId="5D80C10C" w:rsidR="00FB6710" w:rsidRPr="00183B5F" w:rsidRDefault="00943743" w:rsidP="004062FE">
      <w:pPr>
        <w:spacing w:line="240" w:lineRule="auto"/>
        <w:rPr>
          <w:del w:id="491" w:author="AbbVie_HU_03" w:date="2025-05-14T15:27:00Z"/>
          <w:i/>
          <w:iCs/>
          <w:szCs w:val="22"/>
        </w:rPr>
      </w:pPr>
      <w:del w:id="492" w:author="AbbVie_HU_03" w:date="2025-05-14T15:27:00Z">
        <w:r w:rsidRPr="00183B5F">
          <w:rPr>
            <w:i/>
            <w:iCs/>
            <w:szCs w:val="22"/>
          </w:rPr>
          <w:delText>Tuberculosis</w:delText>
        </w:r>
      </w:del>
    </w:p>
    <w:p w14:paraId="7759D566" w14:textId="2F7AC8AB" w:rsidR="00FB6710" w:rsidRPr="00183B5F" w:rsidRDefault="00FB6710" w:rsidP="004062FE">
      <w:pPr>
        <w:spacing w:line="240" w:lineRule="auto"/>
        <w:rPr>
          <w:del w:id="493" w:author="AbbVie_HU_03" w:date="2025-05-14T15:27:00Z"/>
          <w:szCs w:val="22"/>
        </w:rPr>
      </w:pPr>
    </w:p>
    <w:p w14:paraId="4C5CA9BB" w14:textId="50DD00F5" w:rsidR="006D531A" w:rsidRPr="00183B5F" w:rsidRDefault="00943743" w:rsidP="004062FE">
      <w:pPr>
        <w:spacing w:line="240" w:lineRule="auto"/>
        <w:rPr>
          <w:del w:id="494" w:author="AbbVie_HU_03" w:date="2025-05-14T15:27:00Z"/>
          <w:szCs w:val="22"/>
        </w:rPr>
      </w:pPr>
      <w:del w:id="495" w:author="AbbVie_HU_03" w:date="2025-05-14T15:27:00Z">
        <w:r w:rsidRPr="00183B5F">
          <w:rPr>
            <w:szCs w:val="22"/>
          </w:rPr>
          <w:delText>Humira</w:delText>
        </w:r>
        <w:r w:rsidR="00FE665C" w:rsidRPr="00183B5F">
          <w:rPr>
            <w:szCs w:val="22"/>
          </w:rPr>
          <w:noBreakHyphen/>
        </w:r>
        <w:r w:rsidRPr="00183B5F">
          <w:rPr>
            <w:szCs w:val="22"/>
          </w:rPr>
          <w:delText>val kezelt betegeknél tuberculosisról szám</w:delText>
        </w:r>
        <w:r w:rsidR="00947333" w:rsidRPr="00183B5F">
          <w:rPr>
            <w:szCs w:val="22"/>
          </w:rPr>
          <w:delText>oltak be, beleértve a reaktivációt</w:delText>
        </w:r>
        <w:r w:rsidRPr="00183B5F">
          <w:rPr>
            <w:szCs w:val="22"/>
          </w:rPr>
          <w:delText xml:space="preserve"> és új tuberculosis kialakulását</w:delText>
        </w:r>
        <w:r w:rsidR="00562B62" w:rsidRPr="00183B5F">
          <w:rPr>
            <w:szCs w:val="22"/>
          </w:rPr>
          <w:delText xml:space="preserve"> is</w:delText>
        </w:r>
        <w:r w:rsidR="00947333" w:rsidRPr="00183B5F">
          <w:rPr>
            <w:szCs w:val="22"/>
          </w:rPr>
          <w:delText>.</w:delText>
        </w:r>
        <w:r w:rsidR="00562B62" w:rsidRPr="00183B5F">
          <w:rPr>
            <w:szCs w:val="22"/>
          </w:rPr>
          <w:delText xml:space="preserve"> </w:delText>
        </w:r>
        <w:r w:rsidR="00225FDF" w:rsidRPr="00183B5F">
          <w:rPr>
            <w:szCs w:val="22"/>
          </w:rPr>
          <w:delText>A bejelentések</w:delText>
        </w:r>
        <w:r w:rsidR="002462C9" w:rsidRPr="00183B5F">
          <w:rPr>
            <w:szCs w:val="22"/>
          </w:rPr>
          <w:delText xml:space="preserve"> pulmon</w:delText>
        </w:r>
        <w:r w:rsidR="00562B62" w:rsidRPr="00183B5F">
          <w:rPr>
            <w:szCs w:val="22"/>
          </w:rPr>
          <w:delText>a</w:delText>
        </w:r>
        <w:r w:rsidR="002462C9" w:rsidRPr="00183B5F">
          <w:rPr>
            <w:szCs w:val="22"/>
          </w:rPr>
          <w:delText xml:space="preserve">lis és </w:delText>
        </w:r>
        <w:r w:rsidR="00FB6710" w:rsidRPr="00183B5F">
          <w:rPr>
            <w:szCs w:val="22"/>
          </w:rPr>
          <w:delText>extrapulmon</w:delText>
        </w:r>
        <w:r w:rsidR="00562B62" w:rsidRPr="00183B5F">
          <w:rPr>
            <w:szCs w:val="22"/>
          </w:rPr>
          <w:delText>a</w:delText>
        </w:r>
        <w:r w:rsidR="00FB6710" w:rsidRPr="00183B5F">
          <w:rPr>
            <w:szCs w:val="22"/>
          </w:rPr>
          <w:delText>lis</w:delText>
        </w:r>
        <w:r w:rsidR="002462C9" w:rsidRPr="00183B5F">
          <w:rPr>
            <w:szCs w:val="22"/>
          </w:rPr>
          <w:delText xml:space="preserve"> (</w:delText>
        </w:r>
        <w:r w:rsidR="00FB6710" w:rsidRPr="00183B5F">
          <w:rPr>
            <w:szCs w:val="22"/>
          </w:rPr>
          <w:delText>azaz disszeminált</w:delText>
        </w:r>
        <w:r w:rsidR="002462C9" w:rsidRPr="00183B5F">
          <w:rPr>
            <w:szCs w:val="22"/>
          </w:rPr>
          <w:delText>) esete</w:delText>
        </w:r>
        <w:r w:rsidR="00947333" w:rsidRPr="00183B5F">
          <w:rPr>
            <w:szCs w:val="22"/>
          </w:rPr>
          <w:delText>k</w:delText>
        </w:r>
        <w:r w:rsidRPr="00183B5F">
          <w:rPr>
            <w:szCs w:val="22"/>
          </w:rPr>
          <w:delText>et ta</w:delText>
        </w:r>
        <w:r w:rsidR="00225FDF" w:rsidRPr="00183B5F">
          <w:rPr>
            <w:szCs w:val="22"/>
          </w:rPr>
          <w:delText>rtalmaztak</w:delText>
        </w:r>
        <w:r w:rsidRPr="00183B5F">
          <w:rPr>
            <w:szCs w:val="22"/>
          </w:rPr>
          <w:delText>.</w:delText>
        </w:r>
      </w:del>
    </w:p>
    <w:p w14:paraId="19E8588E" w14:textId="497A9EEE" w:rsidR="006D531A" w:rsidRPr="00183B5F" w:rsidRDefault="006D531A" w:rsidP="004062FE">
      <w:pPr>
        <w:spacing w:line="240" w:lineRule="auto"/>
        <w:rPr>
          <w:del w:id="496" w:author="AbbVie_HU_03" w:date="2025-05-14T15:27:00Z"/>
          <w:szCs w:val="22"/>
        </w:rPr>
      </w:pPr>
    </w:p>
    <w:p w14:paraId="019A0F77" w14:textId="06E55137" w:rsidR="00FB6710" w:rsidRPr="00183B5F" w:rsidRDefault="00943743" w:rsidP="004062FE">
      <w:pPr>
        <w:spacing w:line="240" w:lineRule="auto"/>
        <w:rPr>
          <w:del w:id="497" w:author="AbbVie_HU_03" w:date="2025-05-14T15:27:00Z"/>
          <w:szCs w:val="22"/>
        </w:rPr>
      </w:pPr>
      <w:del w:id="498" w:author="AbbVie_HU_03" w:date="2025-05-14T15:27:00Z">
        <w:r w:rsidRPr="00183B5F">
          <w:rPr>
            <w:szCs w:val="22"/>
          </w:rPr>
          <w:delText>A Humira</w:delText>
        </w:r>
        <w:r w:rsidR="00FE665C" w:rsidRPr="00183B5F">
          <w:rPr>
            <w:szCs w:val="22"/>
          </w:rPr>
          <w:noBreakHyphen/>
        </w:r>
        <w:r w:rsidRPr="00183B5F">
          <w:rPr>
            <w:szCs w:val="22"/>
          </w:rPr>
          <w:delText>val való kezelés megkezdése előtt minden beteget meg kell vizsgálni aktív és inaktív (</w:delText>
        </w:r>
        <w:r w:rsidR="002462C9" w:rsidRPr="00183B5F">
          <w:rPr>
            <w:szCs w:val="22"/>
          </w:rPr>
          <w:delText>„</w:delText>
        </w:r>
        <w:r w:rsidRPr="00183B5F">
          <w:rPr>
            <w:szCs w:val="22"/>
          </w:rPr>
          <w:delText>látens</w:delText>
        </w:r>
        <w:r w:rsidR="002462C9" w:rsidRPr="00183B5F">
          <w:rPr>
            <w:szCs w:val="22"/>
          </w:rPr>
          <w:delText>”</w:delText>
        </w:r>
        <w:r w:rsidRPr="00183B5F">
          <w:rPr>
            <w:szCs w:val="22"/>
          </w:rPr>
          <w:delText>) tuber</w:delText>
        </w:r>
        <w:r w:rsidR="00FE6439" w:rsidRPr="00183B5F">
          <w:rPr>
            <w:szCs w:val="22"/>
          </w:rPr>
          <w:delText>c</w:delText>
        </w:r>
        <w:r w:rsidRPr="00183B5F">
          <w:rPr>
            <w:szCs w:val="22"/>
          </w:rPr>
          <w:delText>ul</w:delText>
        </w:r>
        <w:r w:rsidR="00FE6439" w:rsidRPr="00183B5F">
          <w:rPr>
            <w:szCs w:val="22"/>
          </w:rPr>
          <w:delText>os</w:delText>
        </w:r>
        <w:r w:rsidRPr="00183B5F">
          <w:rPr>
            <w:szCs w:val="22"/>
          </w:rPr>
          <w:delText>is irányában. A</w:delText>
        </w:r>
        <w:r w:rsidR="009D1AC7" w:rsidRPr="00183B5F">
          <w:rPr>
            <w:szCs w:val="22"/>
          </w:rPr>
          <w:delText xml:space="preserve"> felmérés</w:delText>
        </w:r>
        <w:r w:rsidRPr="00183B5F">
          <w:rPr>
            <w:szCs w:val="22"/>
          </w:rPr>
          <w:delText xml:space="preserve"> során</w:delText>
        </w:r>
        <w:r w:rsidR="009D1AC7" w:rsidRPr="00183B5F">
          <w:rPr>
            <w:szCs w:val="22"/>
          </w:rPr>
          <w:delText xml:space="preserve"> részletesen értékelni kell </w:delText>
        </w:r>
        <w:r w:rsidRPr="00183B5F">
          <w:rPr>
            <w:szCs w:val="22"/>
          </w:rPr>
          <w:delText xml:space="preserve">a beteg </w:delText>
        </w:r>
        <w:r w:rsidR="009D1AC7" w:rsidRPr="00183B5F">
          <w:rPr>
            <w:szCs w:val="22"/>
          </w:rPr>
          <w:delText>tubercul</w:delText>
        </w:r>
        <w:r w:rsidR="00562B62" w:rsidRPr="00183B5F">
          <w:rPr>
            <w:szCs w:val="22"/>
          </w:rPr>
          <w:delText>os</w:delText>
        </w:r>
        <w:r w:rsidR="009D1AC7" w:rsidRPr="00183B5F">
          <w:rPr>
            <w:szCs w:val="22"/>
          </w:rPr>
          <w:delText xml:space="preserve">issal kapcsolatos </w:delText>
        </w:r>
        <w:r w:rsidRPr="00183B5F">
          <w:rPr>
            <w:szCs w:val="22"/>
          </w:rPr>
          <w:delText>kórtörténetét</w:delText>
        </w:r>
        <w:r w:rsidR="009D1AC7" w:rsidRPr="00183B5F">
          <w:rPr>
            <w:szCs w:val="22"/>
          </w:rPr>
          <w:delText xml:space="preserve">, </w:delText>
        </w:r>
        <w:r w:rsidRPr="00183B5F">
          <w:rPr>
            <w:szCs w:val="22"/>
          </w:rPr>
          <w:delText xml:space="preserve">hogy a beteg kapcsolatba </w:delText>
        </w:r>
        <w:r w:rsidR="00E362BD" w:rsidRPr="00183B5F">
          <w:rPr>
            <w:szCs w:val="22"/>
          </w:rPr>
          <w:delText>került</w:delText>
        </w:r>
        <w:r w:rsidRPr="00183B5F">
          <w:rPr>
            <w:szCs w:val="22"/>
          </w:rPr>
          <w:noBreakHyphen/>
          <w:delText>e aktív tuber</w:delText>
        </w:r>
        <w:r w:rsidR="00B64837" w:rsidRPr="00183B5F">
          <w:rPr>
            <w:szCs w:val="22"/>
          </w:rPr>
          <w:delText>c</w:delText>
        </w:r>
        <w:r w:rsidRPr="00183B5F">
          <w:rPr>
            <w:szCs w:val="22"/>
          </w:rPr>
          <w:delText>ul</w:delText>
        </w:r>
        <w:r w:rsidR="00B64837" w:rsidRPr="00183B5F">
          <w:rPr>
            <w:szCs w:val="22"/>
          </w:rPr>
          <w:delText>os</w:delText>
        </w:r>
        <w:r w:rsidRPr="00183B5F">
          <w:rPr>
            <w:szCs w:val="22"/>
          </w:rPr>
          <w:delText xml:space="preserve">isban szenvedő beteggel, </w:delText>
        </w:r>
        <w:r w:rsidR="0004519E" w:rsidRPr="00183B5F">
          <w:rPr>
            <w:szCs w:val="22"/>
          </w:rPr>
          <w:delText xml:space="preserve">valamint, hogy </w:delText>
        </w:r>
        <w:r w:rsidRPr="00183B5F">
          <w:rPr>
            <w:szCs w:val="22"/>
          </w:rPr>
          <w:delText>a múltban vagy jelenleg immunszuppresszív kezelés alatt áll</w:delText>
        </w:r>
        <w:r w:rsidR="00E83D87" w:rsidRPr="00183B5F">
          <w:rPr>
            <w:szCs w:val="22"/>
          </w:rPr>
          <w:delText>t</w:delText>
        </w:r>
        <w:r w:rsidRPr="00183B5F">
          <w:rPr>
            <w:szCs w:val="22"/>
          </w:rPr>
          <w:noBreakHyphen/>
          <w:delText xml:space="preserve">e. Minden beteg esetében a megfelelő szűrővizsgálatok </w:delText>
        </w:r>
        <w:r w:rsidR="00C248A2" w:rsidRPr="00183B5F">
          <w:rPr>
            <w:szCs w:val="22"/>
          </w:rPr>
          <w:delText>(</w:delText>
        </w:r>
        <w:r w:rsidR="00E83D87" w:rsidRPr="00183B5F">
          <w:rPr>
            <w:szCs w:val="22"/>
          </w:rPr>
          <w:delText>úgy mint</w:delText>
        </w:r>
        <w:r w:rsidRPr="00183B5F">
          <w:rPr>
            <w:szCs w:val="22"/>
          </w:rPr>
          <w:delText xml:space="preserve"> tuberkulin bőrteszt és mellkasröntgen</w:delText>
        </w:r>
        <w:r w:rsidR="00C248A2" w:rsidRPr="00183B5F">
          <w:rPr>
            <w:szCs w:val="22"/>
          </w:rPr>
          <w:delText>)</w:delText>
        </w:r>
        <w:r w:rsidRPr="00183B5F">
          <w:rPr>
            <w:szCs w:val="22"/>
          </w:rPr>
          <w:delText xml:space="preserve"> elvégzése szükséges (helyi irányelvek követendők). A szűrővizsgálatok elvégzésének tényét </w:delText>
        </w:r>
        <w:r w:rsidR="00C248A2" w:rsidRPr="00183B5F">
          <w:rPr>
            <w:szCs w:val="22"/>
          </w:rPr>
          <w:delText xml:space="preserve">és </w:delText>
        </w:r>
        <w:r w:rsidR="001B7875" w:rsidRPr="00183B5F">
          <w:rPr>
            <w:szCs w:val="22"/>
          </w:rPr>
          <w:delText xml:space="preserve">azok </w:delText>
        </w:r>
        <w:r w:rsidR="00C248A2" w:rsidRPr="00183B5F">
          <w:rPr>
            <w:szCs w:val="22"/>
          </w:rPr>
          <w:delText xml:space="preserve">eredményét javasolt </w:delText>
        </w:r>
        <w:r w:rsidRPr="00183B5F">
          <w:rPr>
            <w:szCs w:val="22"/>
          </w:rPr>
          <w:delText xml:space="preserve">feltüntetni a </w:delText>
        </w:r>
        <w:r w:rsidR="0048779F" w:rsidRPr="00183B5F">
          <w:rPr>
            <w:szCs w:val="22"/>
          </w:rPr>
          <w:delText>Betegemlékeztető</w:delText>
        </w:r>
        <w:r w:rsidRPr="00183B5F">
          <w:rPr>
            <w:szCs w:val="22"/>
          </w:rPr>
          <w:delText xml:space="preserve"> </w:delText>
        </w:r>
        <w:r w:rsidR="00034515" w:rsidRPr="00183B5F">
          <w:rPr>
            <w:szCs w:val="22"/>
          </w:rPr>
          <w:delText>Kártyá</w:delText>
        </w:r>
        <w:r w:rsidRPr="00183B5F">
          <w:rPr>
            <w:szCs w:val="22"/>
          </w:rPr>
          <w:delText xml:space="preserve">n.A kezelést indikáló orvosnak számolnia kell az álnegatív tuberculin bőrteszt lehetőségével is, különösen </w:delText>
        </w:r>
        <w:r w:rsidR="00034515" w:rsidRPr="00183B5F">
          <w:rPr>
            <w:szCs w:val="22"/>
          </w:rPr>
          <w:delText xml:space="preserve">a </w:delText>
        </w:r>
        <w:r w:rsidRPr="00183B5F">
          <w:rPr>
            <w:szCs w:val="22"/>
          </w:rPr>
          <w:delText>súlyos</w:delText>
        </w:r>
        <w:r w:rsidR="00034515" w:rsidRPr="00183B5F">
          <w:rPr>
            <w:szCs w:val="22"/>
          </w:rPr>
          <w:delText xml:space="preserve"> állapotú</w:delText>
        </w:r>
        <w:r w:rsidRPr="00183B5F">
          <w:rPr>
            <w:szCs w:val="22"/>
          </w:rPr>
          <w:delText xml:space="preserve">, illetve </w:delText>
        </w:r>
        <w:r w:rsidR="00034515" w:rsidRPr="00183B5F">
          <w:rPr>
            <w:szCs w:val="22"/>
          </w:rPr>
          <w:delText xml:space="preserve">az </w:delText>
        </w:r>
        <w:r w:rsidRPr="00183B5F">
          <w:rPr>
            <w:szCs w:val="22"/>
          </w:rPr>
          <w:delText>immundeficiens betegek esetében.</w:delText>
        </w:r>
      </w:del>
    </w:p>
    <w:p w14:paraId="0E4FED79" w14:textId="2669589D" w:rsidR="00FB6710" w:rsidRPr="00183B5F" w:rsidRDefault="00FB6710" w:rsidP="004062FE">
      <w:pPr>
        <w:pStyle w:val="EndnoteText"/>
        <w:tabs>
          <w:tab w:val="clear" w:pos="567"/>
        </w:tabs>
        <w:suppressAutoHyphens/>
        <w:rPr>
          <w:del w:id="499" w:author="AbbVie_HU_03" w:date="2025-05-14T15:27:00Z"/>
          <w:sz w:val="22"/>
          <w:szCs w:val="22"/>
          <w:lang w:val="hu-HU" w:eastAsia="hu-HU"/>
        </w:rPr>
      </w:pPr>
    </w:p>
    <w:p w14:paraId="2B55F900" w14:textId="5F8079A7" w:rsidR="00FB6710" w:rsidRPr="00183B5F" w:rsidRDefault="00943743" w:rsidP="004062FE">
      <w:pPr>
        <w:spacing w:line="240" w:lineRule="auto"/>
        <w:rPr>
          <w:del w:id="500" w:author="AbbVie_HU_03" w:date="2025-05-14T15:27:00Z"/>
          <w:szCs w:val="22"/>
        </w:rPr>
      </w:pPr>
      <w:del w:id="501" w:author="AbbVie_HU_03" w:date="2025-05-14T15:27:00Z">
        <w:r w:rsidRPr="00183B5F">
          <w:rPr>
            <w:szCs w:val="22"/>
          </w:rPr>
          <w:delText>Ha a diagnózis aktív tuber</w:delText>
        </w:r>
        <w:r w:rsidR="00606BF6" w:rsidRPr="00183B5F">
          <w:rPr>
            <w:szCs w:val="22"/>
          </w:rPr>
          <w:delText>c</w:delText>
        </w:r>
        <w:r w:rsidRPr="00183B5F">
          <w:rPr>
            <w:szCs w:val="22"/>
          </w:rPr>
          <w:delText>ul</w:delText>
        </w:r>
        <w:r w:rsidR="00606BF6" w:rsidRPr="00183B5F">
          <w:rPr>
            <w:szCs w:val="22"/>
          </w:rPr>
          <w:delText>os</w:delText>
        </w:r>
        <w:r w:rsidRPr="00183B5F">
          <w:rPr>
            <w:szCs w:val="22"/>
          </w:rPr>
          <w:delText>is, a Humira</w:delText>
        </w:r>
        <w:r w:rsidR="00FE665C" w:rsidRPr="00183B5F">
          <w:rPr>
            <w:szCs w:val="22"/>
          </w:rPr>
          <w:noBreakHyphen/>
        </w:r>
        <w:r w:rsidRPr="00183B5F">
          <w:rPr>
            <w:szCs w:val="22"/>
          </w:rPr>
          <w:delText>kezelést nem szabad</w:delText>
        </w:r>
        <w:r w:rsidR="004C0D7B" w:rsidRPr="00183B5F">
          <w:rPr>
            <w:szCs w:val="22"/>
          </w:rPr>
          <w:delText xml:space="preserve"> </w:delText>
        </w:r>
        <w:r w:rsidRPr="00183B5F">
          <w:rPr>
            <w:szCs w:val="22"/>
          </w:rPr>
          <w:delText>elkezdeni (lásd 4.3 pont).</w:delText>
        </w:r>
      </w:del>
    </w:p>
    <w:p w14:paraId="1C3E4344" w14:textId="5EC7EC5C" w:rsidR="00C248A2" w:rsidRPr="00183B5F" w:rsidRDefault="00C248A2" w:rsidP="004062FE">
      <w:pPr>
        <w:spacing w:line="240" w:lineRule="auto"/>
        <w:rPr>
          <w:del w:id="502" w:author="AbbVie_HU_03" w:date="2025-05-14T15:27:00Z"/>
          <w:szCs w:val="22"/>
        </w:rPr>
      </w:pPr>
    </w:p>
    <w:p w14:paraId="1BA743C3" w14:textId="74CB3D43" w:rsidR="00C248A2" w:rsidRPr="00183B5F" w:rsidRDefault="00943743" w:rsidP="004062FE">
      <w:pPr>
        <w:spacing w:line="240" w:lineRule="auto"/>
        <w:rPr>
          <w:del w:id="503" w:author="AbbVie_HU_03" w:date="2025-05-14T15:27:00Z"/>
          <w:szCs w:val="22"/>
        </w:rPr>
      </w:pPr>
      <w:del w:id="504" w:author="AbbVie_HU_03" w:date="2025-05-14T15:27:00Z">
        <w:r w:rsidRPr="00183B5F">
          <w:rPr>
            <w:szCs w:val="22"/>
          </w:rPr>
          <w:delText>Az alábbiakban felsorolt összes esetben nagyon gondosan mérlegelni kell a Humira</w:delText>
        </w:r>
        <w:r w:rsidR="00FE665C" w:rsidRPr="00183B5F">
          <w:rPr>
            <w:szCs w:val="22"/>
          </w:rPr>
          <w:noBreakHyphen/>
        </w:r>
        <w:r w:rsidRPr="00183B5F">
          <w:rPr>
            <w:szCs w:val="22"/>
          </w:rPr>
          <w:delText xml:space="preserve">kezelés </w:delText>
        </w:r>
        <w:r w:rsidR="0084104C" w:rsidRPr="00183B5F">
          <w:rPr>
            <w:szCs w:val="22"/>
          </w:rPr>
          <w:delText>előny/</w:delText>
        </w:r>
        <w:r w:rsidRPr="00183B5F">
          <w:rPr>
            <w:szCs w:val="22"/>
          </w:rPr>
          <w:delText>kockázat arányát.</w:delText>
        </w:r>
      </w:del>
    </w:p>
    <w:p w14:paraId="7ADF4692" w14:textId="33FA1DE4" w:rsidR="00FB6710" w:rsidRPr="00183B5F" w:rsidRDefault="00FB6710" w:rsidP="004062FE">
      <w:pPr>
        <w:spacing w:line="240" w:lineRule="auto"/>
        <w:ind w:left="567" w:hanging="567"/>
        <w:rPr>
          <w:del w:id="505" w:author="AbbVie_HU_03" w:date="2025-05-14T15:27:00Z"/>
          <w:b/>
          <w:szCs w:val="22"/>
        </w:rPr>
      </w:pPr>
    </w:p>
    <w:p w14:paraId="62A35678" w14:textId="0B91D95B" w:rsidR="00CE76E2" w:rsidRPr="00183B5F" w:rsidRDefault="00943743" w:rsidP="00CE76E2">
      <w:pPr>
        <w:spacing w:line="240" w:lineRule="auto"/>
        <w:rPr>
          <w:del w:id="506" w:author="AbbVie_HU_03" w:date="2025-05-14T15:27:00Z"/>
          <w:szCs w:val="22"/>
        </w:rPr>
      </w:pPr>
      <w:del w:id="507" w:author="AbbVie_HU_03" w:date="2025-05-14T15:27:00Z">
        <w:r w:rsidRPr="00183B5F">
          <w:rPr>
            <w:szCs w:val="22"/>
          </w:rPr>
          <w:delText xml:space="preserve">Látens tuberculosis gyanúja esetén egy, a tuberculosis kezelésében jártas orvossal kell konzultálni. </w:delText>
        </w:r>
      </w:del>
    </w:p>
    <w:p w14:paraId="2F3932C1" w14:textId="754C1E7E" w:rsidR="00CE76E2" w:rsidRPr="00183B5F" w:rsidRDefault="00CE76E2" w:rsidP="004062FE">
      <w:pPr>
        <w:spacing w:line="240" w:lineRule="auto"/>
        <w:ind w:left="567" w:hanging="567"/>
        <w:rPr>
          <w:del w:id="508" w:author="AbbVie_HU_03" w:date="2025-05-14T15:27:00Z"/>
          <w:b/>
          <w:szCs w:val="22"/>
        </w:rPr>
      </w:pPr>
    </w:p>
    <w:p w14:paraId="405CE4F0" w14:textId="2B777E07" w:rsidR="00FB6710" w:rsidRPr="00183B5F" w:rsidRDefault="00943743" w:rsidP="004062FE">
      <w:pPr>
        <w:spacing w:line="240" w:lineRule="auto"/>
        <w:rPr>
          <w:del w:id="509" w:author="AbbVie_HU_03" w:date="2025-05-14T15:27:00Z"/>
          <w:szCs w:val="22"/>
        </w:rPr>
      </w:pPr>
      <w:del w:id="510" w:author="AbbVie_HU_03" w:date="2025-05-14T15:27:00Z">
        <w:r w:rsidRPr="00183B5F">
          <w:rPr>
            <w:szCs w:val="22"/>
          </w:rPr>
          <w:delText>Ha látens tuber</w:delText>
        </w:r>
        <w:r w:rsidR="00FE6439" w:rsidRPr="00183B5F">
          <w:rPr>
            <w:szCs w:val="22"/>
          </w:rPr>
          <w:delText>culos</w:delText>
        </w:r>
        <w:r w:rsidRPr="00183B5F">
          <w:rPr>
            <w:szCs w:val="22"/>
          </w:rPr>
          <w:delText>ist diagnosztizálnak, a helyi ajánlásokkal összhangban lévő, antituber</w:delText>
        </w:r>
        <w:r w:rsidR="00FE6439" w:rsidRPr="00183B5F">
          <w:rPr>
            <w:szCs w:val="22"/>
          </w:rPr>
          <w:delText>k</w:delText>
        </w:r>
        <w:r w:rsidRPr="00183B5F">
          <w:rPr>
            <w:szCs w:val="22"/>
          </w:rPr>
          <w:delText>ulotikus profilaktikus kezelésnek a Humira alkalmazásának megkezdése előtt el kell kezdődnie.</w:delText>
        </w:r>
      </w:del>
    </w:p>
    <w:p w14:paraId="46C7A853" w14:textId="222A8CC4" w:rsidR="00FB6710" w:rsidRPr="00183B5F" w:rsidRDefault="00FB6710" w:rsidP="004062FE">
      <w:pPr>
        <w:spacing w:line="240" w:lineRule="auto"/>
        <w:rPr>
          <w:del w:id="511" w:author="AbbVie_HU_03" w:date="2025-05-14T15:27:00Z"/>
          <w:szCs w:val="22"/>
        </w:rPr>
      </w:pPr>
    </w:p>
    <w:p w14:paraId="74914986" w14:textId="630DE480" w:rsidR="00FB6710" w:rsidRPr="00183B5F" w:rsidRDefault="00943743" w:rsidP="004062FE">
      <w:pPr>
        <w:spacing w:line="240" w:lineRule="auto"/>
        <w:rPr>
          <w:del w:id="512" w:author="AbbVie_HU_03" w:date="2025-05-14T15:27:00Z"/>
          <w:szCs w:val="22"/>
        </w:rPr>
      </w:pPr>
      <w:del w:id="513" w:author="AbbVie_HU_03" w:date="2025-05-14T15:27:00Z">
        <w:r w:rsidRPr="00183B5F">
          <w:rPr>
            <w:szCs w:val="22"/>
          </w:rPr>
          <w:delText>Humira</w:delText>
        </w:r>
        <w:r w:rsidR="00562B62" w:rsidRPr="00183B5F">
          <w:rPr>
            <w:szCs w:val="22"/>
          </w:rPr>
          <w:noBreakHyphen/>
        </w:r>
        <w:r w:rsidRPr="00183B5F">
          <w:rPr>
            <w:szCs w:val="22"/>
          </w:rPr>
          <w:delText>kezelés indítása előtt a</w:delText>
        </w:r>
        <w:r w:rsidR="0075171C" w:rsidRPr="00183B5F">
          <w:rPr>
            <w:szCs w:val="22"/>
          </w:rPr>
          <w:delText>z antituberk</w:delText>
        </w:r>
        <w:r w:rsidRPr="00183B5F">
          <w:rPr>
            <w:szCs w:val="22"/>
          </w:rPr>
          <w:delText xml:space="preserve">ulotikus profilaktikus kezelést azoknál a betegeknél is fontolóra kell venni, </w:delText>
        </w:r>
        <w:r w:rsidR="007204FB" w:rsidRPr="00183B5F">
          <w:rPr>
            <w:szCs w:val="22"/>
          </w:rPr>
          <w:delText xml:space="preserve">akik </w:delText>
        </w:r>
        <w:r w:rsidR="00562B62" w:rsidRPr="00183B5F">
          <w:rPr>
            <w:szCs w:val="22"/>
          </w:rPr>
          <w:delText xml:space="preserve">a </w:delText>
        </w:r>
        <w:r w:rsidRPr="00183B5F">
          <w:rPr>
            <w:szCs w:val="22"/>
          </w:rPr>
          <w:delText>tuber</w:delText>
        </w:r>
        <w:r w:rsidR="00FE6439" w:rsidRPr="00183B5F">
          <w:rPr>
            <w:szCs w:val="22"/>
          </w:rPr>
          <w:delText>culos</w:delText>
        </w:r>
        <w:r w:rsidRPr="00183B5F">
          <w:rPr>
            <w:szCs w:val="22"/>
          </w:rPr>
          <w:delText>is</w:delText>
        </w:r>
        <w:r w:rsidR="00B64288" w:rsidRPr="00183B5F">
          <w:rPr>
            <w:szCs w:val="22"/>
          </w:rPr>
          <w:delText xml:space="preserve"> </w:delText>
        </w:r>
        <w:r w:rsidR="00562B62" w:rsidRPr="00183B5F">
          <w:rPr>
            <w:szCs w:val="22"/>
          </w:rPr>
          <w:delText>több vagy jelentős kockázati tényezőjével rendelkeznek</w:delText>
        </w:r>
        <w:r w:rsidR="00F51BEE" w:rsidRPr="00183B5F">
          <w:rPr>
            <w:szCs w:val="22"/>
          </w:rPr>
          <w:delText xml:space="preserve">, bár a </w:delText>
        </w:r>
        <w:r w:rsidR="007204FB" w:rsidRPr="00183B5F">
          <w:rPr>
            <w:szCs w:val="22"/>
          </w:rPr>
          <w:delText>tuber</w:delText>
        </w:r>
        <w:r w:rsidR="00FE6439" w:rsidRPr="00183B5F">
          <w:rPr>
            <w:szCs w:val="22"/>
          </w:rPr>
          <w:delText>culos</w:delText>
        </w:r>
        <w:r w:rsidR="007204FB" w:rsidRPr="00183B5F">
          <w:rPr>
            <w:szCs w:val="22"/>
          </w:rPr>
          <w:delText>is</w:delText>
        </w:r>
        <w:r w:rsidR="00261256" w:rsidRPr="00183B5F">
          <w:rPr>
            <w:szCs w:val="22"/>
          </w:rPr>
          <w:delText>-</w:delText>
        </w:r>
        <w:r w:rsidR="00F51BEE" w:rsidRPr="00183B5F">
          <w:rPr>
            <w:szCs w:val="22"/>
          </w:rPr>
          <w:delText xml:space="preserve">tesztjük negatív, </w:delText>
        </w:r>
        <w:r w:rsidR="008F0744" w:rsidRPr="00183B5F">
          <w:rPr>
            <w:szCs w:val="22"/>
          </w:rPr>
          <w:delText>valamint akiknek az anamnézisében látens vagy aktív tuber</w:delText>
        </w:r>
        <w:r w:rsidR="00FE6439" w:rsidRPr="00183B5F">
          <w:rPr>
            <w:szCs w:val="22"/>
          </w:rPr>
          <w:delText>culos</w:delText>
        </w:r>
        <w:r w:rsidR="008F0744" w:rsidRPr="00183B5F">
          <w:rPr>
            <w:szCs w:val="22"/>
          </w:rPr>
          <w:delText xml:space="preserve">is szerepel, </w:delText>
        </w:r>
        <w:r w:rsidR="00F51BEE" w:rsidRPr="00183B5F">
          <w:rPr>
            <w:szCs w:val="22"/>
          </w:rPr>
          <w:delText>de annak megfelelő kezelése nem igazolható</w:delText>
        </w:r>
        <w:r w:rsidRPr="00183B5F">
          <w:rPr>
            <w:szCs w:val="22"/>
          </w:rPr>
          <w:delText>.</w:delText>
        </w:r>
      </w:del>
    </w:p>
    <w:p w14:paraId="04BE7D90" w14:textId="2703F7C4" w:rsidR="004F1C53" w:rsidRPr="00183B5F" w:rsidRDefault="004F1C53" w:rsidP="004062FE">
      <w:pPr>
        <w:spacing w:line="240" w:lineRule="auto"/>
        <w:rPr>
          <w:del w:id="514" w:author="AbbVie_HU_03" w:date="2025-05-14T15:27:00Z"/>
          <w:szCs w:val="22"/>
        </w:rPr>
      </w:pPr>
    </w:p>
    <w:p w14:paraId="1AE3B5BC" w14:textId="10E93BB6" w:rsidR="00FB6710" w:rsidRPr="00183B5F" w:rsidRDefault="00943743" w:rsidP="004062FE">
      <w:pPr>
        <w:spacing w:line="240" w:lineRule="auto"/>
        <w:rPr>
          <w:del w:id="515" w:author="AbbVie_HU_03" w:date="2025-05-14T15:27:00Z"/>
          <w:szCs w:val="22"/>
        </w:rPr>
      </w:pPr>
      <w:del w:id="516" w:author="AbbVie_HU_03" w:date="2025-05-14T15:27:00Z">
        <w:r w:rsidRPr="00183B5F">
          <w:rPr>
            <w:szCs w:val="22"/>
          </w:rPr>
          <w:delText>A profilaktikus antituber</w:delText>
        </w:r>
        <w:r w:rsidR="001F66D2" w:rsidRPr="00183B5F">
          <w:rPr>
            <w:szCs w:val="22"/>
          </w:rPr>
          <w:delText>k</w:delText>
        </w:r>
        <w:r w:rsidRPr="00183B5F">
          <w:rPr>
            <w:szCs w:val="22"/>
          </w:rPr>
          <w:delText>uloti</w:delText>
        </w:r>
        <w:r w:rsidR="001F66D2" w:rsidRPr="00183B5F">
          <w:rPr>
            <w:szCs w:val="22"/>
          </w:rPr>
          <w:delText>k</w:delText>
        </w:r>
        <w:r w:rsidRPr="00183B5F">
          <w:rPr>
            <w:szCs w:val="22"/>
          </w:rPr>
          <w:delText xml:space="preserve">us kezelés ellenére előfordultak </w:delText>
        </w:r>
        <w:r w:rsidR="00FE6439" w:rsidRPr="00183B5F">
          <w:rPr>
            <w:szCs w:val="22"/>
          </w:rPr>
          <w:delText>tuberculos</w:delText>
        </w:r>
        <w:r w:rsidRPr="00183B5F">
          <w:rPr>
            <w:szCs w:val="22"/>
          </w:rPr>
          <w:delText xml:space="preserve">is reaktiválódásának esetei </w:delText>
        </w:r>
        <w:r w:rsidR="008F0744" w:rsidRPr="00183B5F">
          <w:rPr>
            <w:szCs w:val="22"/>
          </w:rPr>
          <w:delText>Humir</w:delText>
        </w:r>
        <w:r w:rsidR="00FE665C" w:rsidRPr="00183B5F">
          <w:rPr>
            <w:szCs w:val="22"/>
          </w:rPr>
          <w:delText>a</w:delText>
        </w:r>
        <w:r w:rsidR="00FE665C" w:rsidRPr="00183B5F">
          <w:rPr>
            <w:szCs w:val="22"/>
          </w:rPr>
          <w:noBreakHyphen/>
        </w:r>
        <w:r w:rsidR="008F0744" w:rsidRPr="00183B5F">
          <w:rPr>
            <w:szCs w:val="22"/>
          </w:rPr>
          <w:delText>val kezelt betegeknél</w:delText>
        </w:r>
        <w:r w:rsidRPr="00183B5F">
          <w:rPr>
            <w:szCs w:val="22"/>
          </w:rPr>
          <w:delText>.</w:delText>
        </w:r>
        <w:r w:rsidR="001F66D2" w:rsidRPr="00183B5F">
          <w:rPr>
            <w:szCs w:val="22"/>
          </w:rPr>
          <w:delText xml:space="preserve"> </w:delText>
        </w:r>
        <w:r w:rsidRPr="00183B5F">
          <w:rPr>
            <w:szCs w:val="22"/>
          </w:rPr>
          <w:delText xml:space="preserve">Egyes betegeknél, akiket korábban </w:delText>
        </w:r>
        <w:r w:rsidR="00C5350F" w:rsidRPr="00183B5F">
          <w:rPr>
            <w:szCs w:val="22"/>
          </w:rPr>
          <w:delText>sikeresen kezeltek</w:delText>
        </w:r>
        <w:r w:rsidRPr="00183B5F">
          <w:rPr>
            <w:szCs w:val="22"/>
          </w:rPr>
          <w:delText xml:space="preserve"> aktív tuber</w:delText>
        </w:r>
        <w:r w:rsidR="00FE6439" w:rsidRPr="00183B5F">
          <w:rPr>
            <w:szCs w:val="22"/>
          </w:rPr>
          <w:delText>culosis</w:delText>
        </w:r>
        <w:r w:rsidR="00CC3C43" w:rsidRPr="00183B5F">
          <w:rPr>
            <w:szCs w:val="22"/>
          </w:rPr>
          <w:delText xml:space="preserve"> ellen</w:delText>
        </w:r>
        <w:r w:rsidRPr="00183B5F">
          <w:rPr>
            <w:szCs w:val="22"/>
          </w:rPr>
          <w:delText>, a Humira</w:delText>
        </w:r>
        <w:r w:rsidR="00FE665C" w:rsidRPr="00183B5F">
          <w:rPr>
            <w:szCs w:val="22"/>
          </w:rPr>
          <w:noBreakHyphen/>
        </w:r>
        <w:r w:rsidRPr="00183B5F">
          <w:rPr>
            <w:szCs w:val="22"/>
          </w:rPr>
          <w:delText>kezelés alatt</w:delText>
        </w:r>
        <w:r w:rsidR="008F0744" w:rsidRPr="00183B5F">
          <w:rPr>
            <w:szCs w:val="22"/>
          </w:rPr>
          <w:delText xml:space="preserve"> ismét</w:delText>
        </w:r>
        <w:r w:rsidR="00C5350F" w:rsidRPr="00183B5F">
          <w:rPr>
            <w:szCs w:val="22"/>
          </w:rPr>
          <w:delText xml:space="preserve"> </w:delText>
        </w:r>
        <w:r w:rsidRPr="00183B5F">
          <w:rPr>
            <w:szCs w:val="22"/>
          </w:rPr>
          <w:delText>tuber</w:delText>
        </w:r>
        <w:r w:rsidR="00FE6439" w:rsidRPr="00183B5F">
          <w:rPr>
            <w:szCs w:val="22"/>
          </w:rPr>
          <w:delText>culos</w:delText>
        </w:r>
        <w:r w:rsidRPr="00183B5F">
          <w:rPr>
            <w:szCs w:val="22"/>
          </w:rPr>
          <w:delText>is alakult ki.</w:delText>
        </w:r>
      </w:del>
    </w:p>
    <w:p w14:paraId="2CBFBE85" w14:textId="5EA45F60" w:rsidR="00FB6710" w:rsidRPr="00183B5F" w:rsidRDefault="00FB6710" w:rsidP="004062FE">
      <w:pPr>
        <w:spacing w:line="240" w:lineRule="auto"/>
        <w:rPr>
          <w:del w:id="517" w:author="AbbVie_HU_03" w:date="2025-05-14T15:27:00Z"/>
          <w:b/>
          <w:szCs w:val="22"/>
        </w:rPr>
      </w:pPr>
    </w:p>
    <w:p w14:paraId="52FCCA42" w14:textId="2357F8FC" w:rsidR="00FB6710" w:rsidRPr="00183B5F" w:rsidRDefault="00943743" w:rsidP="004062FE">
      <w:pPr>
        <w:spacing w:line="240" w:lineRule="auto"/>
        <w:rPr>
          <w:del w:id="518" w:author="AbbVie_HU_03" w:date="2025-05-14T15:27:00Z"/>
          <w:szCs w:val="22"/>
        </w:rPr>
      </w:pPr>
      <w:bookmarkStart w:id="519" w:name="_Hlk23496818"/>
      <w:del w:id="520" w:author="AbbVie_HU_03" w:date="2025-05-14T15:27:00Z">
        <w:r w:rsidRPr="00183B5F">
          <w:rPr>
            <w:szCs w:val="22"/>
          </w:rPr>
          <w:delText xml:space="preserve">A betegeket </w:delText>
        </w:r>
        <w:r w:rsidR="00871D73" w:rsidRPr="00183B5F">
          <w:rPr>
            <w:szCs w:val="22"/>
          </w:rPr>
          <w:delText>tájékoztatni kell</w:delText>
        </w:r>
        <w:r w:rsidRPr="00183B5F">
          <w:rPr>
            <w:szCs w:val="22"/>
          </w:rPr>
          <w:delText xml:space="preserve">, hogy </w:delText>
        </w:r>
        <w:r w:rsidR="00B740E5" w:rsidRPr="00183B5F">
          <w:rPr>
            <w:szCs w:val="22"/>
          </w:rPr>
          <w:delText xml:space="preserve">– </w:delText>
        </w:r>
        <w:r w:rsidRPr="00183B5F">
          <w:rPr>
            <w:szCs w:val="22"/>
          </w:rPr>
          <w:delText>Humira</w:delText>
        </w:r>
        <w:r w:rsidR="00FE665C" w:rsidRPr="00183B5F">
          <w:rPr>
            <w:szCs w:val="22"/>
          </w:rPr>
          <w:noBreakHyphen/>
        </w:r>
        <w:r w:rsidRPr="00183B5F">
          <w:rPr>
            <w:szCs w:val="22"/>
          </w:rPr>
          <w:delText>kezelés alatt vagy után</w:delText>
        </w:r>
        <w:r w:rsidR="00B740E5" w:rsidRPr="00183B5F">
          <w:rPr>
            <w:szCs w:val="22"/>
          </w:rPr>
          <w:delText xml:space="preserve"> –</w:delText>
        </w:r>
        <w:r w:rsidRPr="00183B5F">
          <w:rPr>
            <w:szCs w:val="22"/>
          </w:rPr>
          <w:delText xml:space="preserve"> tuber</w:delText>
        </w:r>
        <w:r w:rsidR="00FE6439" w:rsidRPr="00183B5F">
          <w:rPr>
            <w:szCs w:val="22"/>
          </w:rPr>
          <w:delText>culos</w:delText>
        </w:r>
        <w:r w:rsidRPr="00183B5F">
          <w:rPr>
            <w:szCs w:val="22"/>
          </w:rPr>
          <w:delText>isra jellemző tünetek</w:delText>
        </w:r>
        <w:r w:rsidR="004F2328" w:rsidRPr="00183B5F">
          <w:rPr>
            <w:szCs w:val="22"/>
          </w:rPr>
          <w:delText xml:space="preserve"> </w:delText>
        </w:r>
        <w:r w:rsidRPr="00183B5F">
          <w:rPr>
            <w:szCs w:val="22"/>
          </w:rPr>
          <w:delText>(pl. tartós köhögés, fogyás, kisebb fokú láz</w:delText>
        </w:r>
        <w:r w:rsidR="001720E9" w:rsidRPr="00183B5F">
          <w:rPr>
            <w:szCs w:val="22"/>
          </w:rPr>
          <w:delText>, fáradékonyság</w:delText>
        </w:r>
        <w:r w:rsidRPr="00183B5F">
          <w:rPr>
            <w:szCs w:val="22"/>
          </w:rPr>
          <w:delText xml:space="preserve">) </w:delText>
        </w:r>
        <w:r w:rsidR="004F2328" w:rsidRPr="00183B5F">
          <w:rPr>
            <w:szCs w:val="22"/>
          </w:rPr>
          <w:delText xml:space="preserve">fellépése esetén </w:delText>
        </w:r>
        <w:r w:rsidR="008E43F2" w:rsidRPr="00183B5F">
          <w:rPr>
            <w:szCs w:val="22"/>
          </w:rPr>
          <w:delText>for</w:delText>
        </w:r>
        <w:r w:rsidRPr="00183B5F">
          <w:rPr>
            <w:szCs w:val="22"/>
          </w:rPr>
          <w:delText>duljanak orvoshoz.</w:delText>
        </w:r>
      </w:del>
    </w:p>
    <w:bookmarkEnd w:id="519"/>
    <w:p w14:paraId="46E82CEE" w14:textId="542FE848" w:rsidR="005B2F2E" w:rsidRPr="00183B5F" w:rsidRDefault="005B2F2E" w:rsidP="004062FE">
      <w:pPr>
        <w:spacing w:line="240" w:lineRule="auto"/>
        <w:rPr>
          <w:del w:id="521" w:author="AbbVie_HU_03" w:date="2025-05-14T15:27:00Z"/>
          <w:i/>
          <w:iCs/>
          <w:szCs w:val="22"/>
          <w:u w:val="single"/>
        </w:rPr>
      </w:pPr>
    </w:p>
    <w:p w14:paraId="54106FF7" w14:textId="07478BA3" w:rsidR="00FB6710" w:rsidRPr="00183B5F" w:rsidRDefault="00943743" w:rsidP="004062FE">
      <w:pPr>
        <w:spacing w:line="240" w:lineRule="auto"/>
        <w:rPr>
          <w:del w:id="522" w:author="AbbVie_HU_03" w:date="2025-05-14T15:27:00Z"/>
          <w:i/>
          <w:iCs/>
          <w:szCs w:val="22"/>
        </w:rPr>
      </w:pPr>
      <w:del w:id="523" w:author="AbbVie_HU_03" w:date="2025-05-14T15:27:00Z">
        <w:r w:rsidRPr="00183B5F">
          <w:rPr>
            <w:i/>
            <w:iCs/>
            <w:szCs w:val="22"/>
          </w:rPr>
          <w:delText>Egyéb opportunista fertőzések</w:delText>
        </w:r>
      </w:del>
    </w:p>
    <w:p w14:paraId="15A437D7" w14:textId="5EC49FB0" w:rsidR="00FB6710" w:rsidRPr="00183B5F" w:rsidRDefault="00FB6710" w:rsidP="004062FE">
      <w:pPr>
        <w:spacing w:line="240" w:lineRule="auto"/>
        <w:rPr>
          <w:del w:id="524" w:author="AbbVie_HU_03" w:date="2025-05-14T15:27:00Z"/>
          <w:i/>
          <w:iCs/>
          <w:szCs w:val="22"/>
        </w:rPr>
      </w:pPr>
    </w:p>
    <w:p w14:paraId="57FEF62A" w14:textId="5CE612B5" w:rsidR="00FB6710" w:rsidRPr="00183B5F" w:rsidRDefault="00943743" w:rsidP="004062FE">
      <w:pPr>
        <w:autoSpaceDE w:val="0"/>
        <w:autoSpaceDN w:val="0"/>
        <w:adjustRightInd w:val="0"/>
        <w:spacing w:line="240" w:lineRule="auto"/>
        <w:rPr>
          <w:del w:id="525" w:author="AbbVie_HU_03" w:date="2025-05-14T15:27:00Z"/>
          <w:szCs w:val="22"/>
        </w:rPr>
      </w:pPr>
      <w:del w:id="526" w:author="AbbVie_HU_03" w:date="2025-05-14T15:27:00Z">
        <w:r w:rsidRPr="00183B5F">
          <w:rPr>
            <w:szCs w:val="22"/>
          </w:rPr>
          <w:delText>A Humira</w:delText>
        </w:r>
        <w:r w:rsidR="00FE665C" w:rsidRPr="00183B5F">
          <w:rPr>
            <w:szCs w:val="22"/>
          </w:rPr>
          <w:noBreakHyphen/>
        </w:r>
        <w:r w:rsidRPr="00183B5F">
          <w:rPr>
            <w:szCs w:val="22"/>
          </w:rPr>
          <w:delText>kezelést kapó betegeknél opportunista fertőzéseket, köztük invazív gombafertőzéseket észleltek. Ezek a fertőzések a TNF</w:delText>
        </w:r>
        <w:r w:rsidR="00FE665C" w:rsidRPr="00183B5F">
          <w:rPr>
            <w:szCs w:val="22"/>
          </w:rPr>
          <w:noBreakHyphen/>
        </w:r>
        <w:r w:rsidR="00332587" w:rsidRPr="00183B5F">
          <w:rPr>
            <w:szCs w:val="22"/>
          </w:rPr>
          <w:delText>antagonistákat</w:delText>
        </w:r>
        <w:r w:rsidRPr="00183B5F">
          <w:rPr>
            <w:szCs w:val="22"/>
          </w:rPr>
          <w:delText xml:space="preserve"> kapó betegeknél nem kerültek következetesen felismerésre, és ez a megfelelő kezelés </w:delText>
        </w:r>
        <w:r w:rsidR="003B6CBC" w:rsidRPr="00183B5F">
          <w:rPr>
            <w:szCs w:val="22"/>
          </w:rPr>
          <w:delText>késését</w:delText>
        </w:r>
        <w:r w:rsidRPr="00183B5F">
          <w:rPr>
            <w:szCs w:val="22"/>
          </w:rPr>
          <w:delText xml:space="preserve"> eredményezte, ami néha halálos kimenetelhez vezetett. </w:delText>
        </w:r>
      </w:del>
    </w:p>
    <w:p w14:paraId="6B3698E6" w14:textId="0168882B" w:rsidR="00FB6710" w:rsidRPr="00183B5F" w:rsidRDefault="00FB6710" w:rsidP="004062FE">
      <w:pPr>
        <w:autoSpaceDE w:val="0"/>
        <w:autoSpaceDN w:val="0"/>
        <w:adjustRightInd w:val="0"/>
        <w:spacing w:line="240" w:lineRule="auto"/>
        <w:rPr>
          <w:del w:id="527" w:author="AbbVie_HU_03" w:date="2025-05-14T15:27:00Z"/>
          <w:szCs w:val="22"/>
        </w:rPr>
      </w:pPr>
    </w:p>
    <w:p w14:paraId="2894A21F" w14:textId="66424EF1" w:rsidR="00FB6710" w:rsidRPr="00183B5F" w:rsidRDefault="00943743" w:rsidP="004062FE">
      <w:pPr>
        <w:spacing w:line="240" w:lineRule="auto"/>
        <w:rPr>
          <w:del w:id="528" w:author="AbbVie_HU_03" w:date="2025-05-14T15:27:00Z"/>
          <w:szCs w:val="22"/>
        </w:rPr>
      </w:pPr>
      <w:del w:id="529" w:author="AbbVie_HU_03" w:date="2025-05-14T15:27:00Z">
        <w:r w:rsidRPr="00183B5F">
          <w:rPr>
            <w:szCs w:val="22"/>
          </w:rPr>
          <w:delText xml:space="preserve">Azoknál a betegeknél, akiknél olyan </w:delText>
        </w:r>
        <w:r w:rsidR="0080649D" w:rsidRPr="00183B5F">
          <w:rPr>
            <w:szCs w:val="22"/>
          </w:rPr>
          <w:delText xml:space="preserve">jelek </w:delText>
        </w:r>
        <w:r w:rsidRPr="00183B5F">
          <w:rPr>
            <w:szCs w:val="22"/>
          </w:rPr>
          <w:delText>és tünetek alakulnak ki, mint például a láz, rossz közérzet, fogyás, verejtékezés, köhögés, dyspnoe és</w:delText>
        </w:r>
        <w:r w:rsidR="00693327" w:rsidRPr="00183B5F">
          <w:rPr>
            <w:szCs w:val="22"/>
          </w:rPr>
          <w:delText>/</w:delText>
        </w:r>
        <w:r w:rsidRPr="00183B5F">
          <w:rPr>
            <w:szCs w:val="22"/>
          </w:rPr>
          <w:delText>vagy pulmonalis infiltrátumok</w:delText>
        </w:r>
        <w:r w:rsidR="003B6CBC" w:rsidRPr="00183B5F">
          <w:rPr>
            <w:szCs w:val="22"/>
          </w:rPr>
          <w:delText>,</w:delText>
        </w:r>
        <w:r w:rsidRPr="00183B5F">
          <w:rPr>
            <w:szCs w:val="22"/>
          </w:rPr>
          <w:delText xml:space="preserve"> </w:delText>
        </w:r>
        <w:r w:rsidR="00693327" w:rsidRPr="00183B5F">
          <w:rPr>
            <w:szCs w:val="22"/>
          </w:rPr>
          <w:delText>illetve</w:delText>
        </w:r>
        <w:r w:rsidRPr="00183B5F">
          <w:rPr>
            <w:szCs w:val="22"/>
          </w:rPr>
          <w:delText xml:space="preserve"> sokkal vagy anélkül jelentkező egyéb súlyos, szisztémás betegségek, invazív gombafertőzésre kell gyanakodni, és a Humira adását azonnal abba kell hagyni</w:delText>
        </w:r>
        <w:r w:rsidR="00693327" w:rsidRPr="00183B5F">
          <w:rPr>
            <w:szCs w:val="22"/>
          </w:rPr>
          <w:delText>. Eze</w:delText>
        </w:r>
        <w:r w:rsidR="00B75B0F" w:rsidRPr="00183B5F">
          <w:rPr>
            <w:szCs w:val="22"/>
          </w:rPr>
          <w:delText>knél a</w:delText>
        </w:r>
        <w:r w:rsidR="00693327" w:rsidRPr="00183B5F">
          <w:rPr>
            <w:szCs w:val="22"/>
          </w:rPr>
          <w:delText xml:space="preserve"> betegeknél a diagnózis megállapítását és az emp</w:delText>
        </w:r>
        <w:r w:rsidR="00516B92" w:rsidRPr="00183B5F">
          <w:rPr>
            <w:szCs w:val="22"/>
          </w:rPr>
          <w:delText>i</w:delText>
        </w:r>
        <w:r w:rsidR="00693327" w:rsidRPr="00183B5F">
          <w:rPr>
            <w:szCs w:val="22"/>
          </w:rPr>
          <w:delText>rikus gombaellenes kezelés megkezdését olyan szakemberrel történő konzultációt követően kell elvégezni, aki jártas az invazív gombafertőzések kezelésében</w:delText>
        </w:r>
        <w:r w:rsidRPr="00183B5F">
          <w:rPr>
            <w:szCs w:val="22"/>
          </w:rPr>
          <w:delText>.</w:delText>
        </w:r>
      </w:del>
    </w:p>
    <w:p w14:paraId="691C4EC2" w14:textId="18DB5496" w:rsidR="004A4222" w:rsidRPr="00183B5F" w:rsidRDefault="004A4222" w:rsidP="004062FE">
      <w:pPr>
        <w:spacing w:line="240" w:lineRule="auto"/>
        <w:rPr>
          <w:del w:id="530" w:author="AbbVie_HU_03" w:date="2025-05-14T15:27:00Z"/>
          <w:szCs w:val="22"/>
        </w:rPr>
      </w:pPr>
    </w:p>
    <w:p w14:paraId="7E065DF6" w14:textId="62527CC3" w:rsidR="00FB6710" w:rsidRPr="00183B5F" w:rsidRDefault="00943743" w:rsidP="004062FE">
      <w:pPr>
        <w:keepNext/>
        <w:spacing w:line="240" w:lineRule="auto"/>
        <w:rPr>
          <w:del w:id="531" w:author="AbbVie_HU_03" w:date="2025-05-14T15:27:00Z"/>
          <w:szCs w:val="22"/>
        </w:rPr>
      </w:pPr>
      <w:del w:id="532" w:author="AbbVie_HU_03" w:date="2025-05-14T15:27:00Z">
        <w:r w:rsidRPr="00183B5F">
          <w:rPr>
            <w:szCs w:val="22"/>
            <w:u w:val="single"/>
          </w:rPr>
          <w:delText>Hepatitis</w:delText>
        </w:r>
        <w:r w:rsidR="00FE665C" w:rsidRPr="00183B5F">
          <w:rPr>
            <w:szCs w:val="22"/>
            <w:u w:val="single"/>
          </w:rPr>
          <w:delText> </w:delText>
        </w:r>
        <w:r w:rsidRPr="00183B5F">
          <w:rPr>
            <w:szCs w:val="22"/>
            <w:u w:val="single"/>
          </w:rPr>
          <w:delText>B reaktiválódása</w:delText>
        </w:r>
      </w:del>
    </w:p>
    <w:p w14:paraId="554F9F60" w14:textId="1189219B" w:rsidR="00FB6710" w:rsidRPr="00183B5F" w:rsidRDefault="00FB6710" w:rsidP="004062FE">
      <w:pPr>
        <w:keepNext/>
        <w:spacing w:line="240" w:lineRule="auto"/>
        <w:rPr>
          <w:del w:id="533" w:author="AbbVie_HU_03" w:date="2025-05-14T15:27:00Z"/>
          <w:szCs w:val="22"/>
          <w:u w:val="single"/>
        </w:rPr>
      </w:pPr>
    </w:p>
    <w:p w14:paraId="6AA20D33" w14:textId="15C491F0" w:rsidR="009E0E57" w:rsidRPr="00183B5F" w:rsidRDefault="00943743" w:rsidP="004062FE">
      <w:pPr>
        <w:keepNext/>
        <w:spacing w:line="240" w:lineRule="auto"/>
        <w:rPr>
          <w:del w:id="534" w:author="AbbVie_HU_03" w:date="2025-05-14T15:27:00Z"/>
          <w:szCs w:val="22"/>
        </w:rPr>
      </w:pPr>
      <w:del w:id="535" w:author="AbbVie_HU_03" w:date="2025-05-14T15:27:00Z">
        <w:r w:rsidRPr="00183B5F">
          <w:rPr>
            <w:szCs w:val="22"/>
          </w:rPr>
          <w:delText xml:space="preserve">Idült </w:delText>
        </w:r>
        <w:r w:rsidR="00D353A2" w:rsidRPr="00183B5F">
          <w:rPr>
            <w:szCs w:val="22"/>
          </w:rPr>
          <w:delText>h</w:delText>
        </w:r>
        <w:r w:rsidRPr="00183B5F">
          <w:rPr>
            <w:szCs w:val="22"/>
          </w:rPr>
          <w:delText>epatitis</w:delText>
        </w:r>
        <w:r w:rsidR="00FE665C" w:rsidRPr="00183B5F">
          <w:rPr>
            <w:szCs w:val="22"/>
          </w:rPr>
          <w:delText> </w:delText>
        </w:r>
        <w:r w:rsidRPr="00183B5F">
          <w:rPr>
            <w:szCs w:val="22"/>
          </w:rPr>
          <w:delText>B</w:delText>
        </w:r>
        <w:r w:rsidR="003B6CBC" w:rsidRPr="00183B5F">
          <w:rPr>
            <w:szCs w:val="22"/>
          </w:rPr>
          <w:noBreakHyphen/>
        </w:r>
        <w:r w:rsidRPr="00183B5F">
          <w:rPr>
            <w:szCs w:val="22"/>
          </w:rPr>
          <w:delText>vírus</w:delText>
        </w:r>
        <w:r w:rsidR="003B6CBC" w:rsidRPr="00183B5F">
          <w:rPr>
            <w:szCs w:val="22"/>
          </w:rPr>
          <w:delText>-</w:delText>
        </w:r>
        <w:r w:rsidRPr="00183B5F">
          <w:rPr>
            <w:szCs w:val="22"/>
          </w:rPr>
          <w:delText>hordozó betegeknél</w:delText>
        </w:r>
        <w:r w:rsidR="00D353A2" w:rsidRPr="00183B5F">
          <w:rPr>
            <w:szCs w:val="22"/>
          </w:rPr>
          <w:delText xml:space="preserve"> (azaz a felszíni antigén pozitív)</w:delText>
        </w:r>
        <w:r w:rsidRPr="00183B5F">
          <w:rPr>
            <w:szCs w:val="22"/>
          </w:rPr>
          <w:delText xml:space="preserve"> a hepatitis</w:delText>
        </w:r>
        <w:r w:rsidR="00FE665C" w:rsidRPr="00183B5F">
          <w:rPr>
            <w:szCs w:val="22"/>
          </w:rPr>
          <w:delText> </w:delText>
        </w:r>
        <w:r w:rsidRPr="00183B5F">
          <w:rPr>
            <w:szCs w:val="22"/>
          </w:rPr>
          <w:delText xml:space="preserve">B reaktiválódása fordult elő, </w:delText>
        </w:r>
        <w:r w:rsidR="00D353A2" w:rsidRPr="00183B5F">
          <w:rPr>
            <w:szCs w:val="22"/>
          </w:rPr>
          <w:delText xml:space="preserve">amennyiben </w:delText>
        </w:r>
        <w:r w:rsidRPr="00183B5F">
          <w:rPr>
            <w:szCs w:val="22"/>
          </w:rPr>
          <w:delText>TNF</w:delText>
        </w:r>
        <w:r w:rsidR="00FE665C" w:rsidRPr="00183B5F">
          <w:rPr>
            <w:szCs w:val="22"/>
          </w:rPr>
          <w:noBreakHyphen/>
        </w:r>
        <w:r w:rsidRPr="00183B5F">
          <w:rPr>
            <w:szCs w:val="22"/>
          </w:rPr>
          <w:delText>antagonista (köztük Humira)-kezelésben részesültek. Néhány esetben ez halálhoz vezetett. A Humira</w:delText>
        </w:r>
        <w:r w:rsidR="00FE665C" w:rsidRPr="00183B5F">
          <w:rPr>
            <w:szCs w:val="22"/>
          </w:rPr>
          <w:noBreakHyphen/>
        </w:r>
        <w:r w:rsidRPr="00183B5F">
          <w:rPr>
            <w:szCs w:val="22"/>
          </w:rPr>
          <w:delText xml:space="preserve">kezelés elkezdése előtt </w:delText>
        </w:r>
        <w:r w:rsidR="00B3616C" w:rsidRPr="00183B5F">
          <w:rPr>
            <w:szCs w:val="22"/>
          </w:rPr>
          <w:delText xml:space="preserve">a betegeket </w:delText>
        </w:r>
        <w:r w:rsidR="000A456B" w:rsidRPr="00183B5F">
          <w:rPr>
            <w:szCs w:val="22"/>
          </w:rPr>
          <w:delText>HBV-fertőz</w:delText>
        </w:r>
        <w:r w:rsidRPr="00183B5F">
          <w:rPr>
            <w:szCs w:val="22"/>
          </w:rPr>
          <w:delText>és irányában</w:delText>
        </w:r>
        <w:r w:rsidR="00946570" w:rsidRPr="00183B5F">
          <w:rPr>
            <w:szCs w:val="22"/>
          </w:rPr>
          <w:delText xml:space="preserve"> vizsgálni kell</w:delText>
        </w:r>
        <w:r w:rsidRPr="00183B5F">
          <w:rPr>
            <w:szCs w:val="22"/>
          </w:rPr>
          <w:delText xml:space="preserve">. </w:delText>
        </w:r>
        <w:r w:rsidR="000A0081" w:rsidRPr="00183B5F">
          <w:rPr>
            <w:szCs w:val="22"/>
          </w:rPr>
          <w:delText>Azo</w:delText>
        </w:r>
        <w:r w:rsidR="00946570" w:rsidRPr="00183B5F">
          <w:rPr>
            <w:szCs w:val="22"/>
          </w:rPr>
          <w:delText>knál a</w:delText>
        </w:r>
        <w:r w:rsidR="000A0081" w:rsidRPr="00183B5F">
          <w:rPr>
            <w:szCs w:val="22"/>
          </w:rPr>
          <w:delText xml:space="preserve"> betegek</w:delText>
        </w:r>
        <w:r w:rsidR="00946570" w:rsidRPr="00183B5F">
          <w:rPr>
            <w:szCs w:val="22"/>
          </w:rPr>
          <w:delText>nél</w:delText>
        </w:r>
        <w:r w:rsidR="000A0081" w:rsidRPr="00183B5F">
          <w:rPr>
            <w:szCs w:val="22"/>
          </w:rPr>
          <w:delText>, akiknél</w:delText>
        </w:r>
        <w:r w:rsidRPr="00183B5F">
          <w:rPr>
            <w:szCs w:val="22"/>
          </w:rPr>
          <w:delText xml:space="preserve"> a hepatitis</w:delText>
        </w:r>
        <w:r w:rsidR="00FE665C" w:rsidRPr="00183B5F">
          <w:rPr>
            <w:szCs w:val="22"/>
          </w:rPr>
          <w:delText> </w:delText>
        </w:r>
        <w:r w:rsidRPr="00183B5F">
          <w:rPr>
            <w:szCs w:val="22"/>
          </w:rPr>
          <w:delText xml:space="preserve">B </w:delText>
        </w:r>
        <w:r w:rsidR="000A0081" w:rsidRPr="00183B5F">
          <w:rPr>
            <w:szCs w:val="22"/>
          </w:rPr>
          <w:delText xml:space="preserve">infekció </w:delText>
        </w:r>
        <w:r w:rsidRPr="00183B5F">
          <w:rPr>
            <w:szCs w:val="22"/>
          </w:rPr>
          <w:delText>vizsgálat</w:delText>
        </w:r>
        <w:r w:rsidR="00946570" w:rsidRPr="00183B5F">
          <w:rPr>
            <w:szCs w:val="22"/>
          </w:rPr>
          <w:delText>ának</w:delText>
        </w:r>
        <w:r w:rsidRPr="00183B5F">
          <w:rPr>
            <w:szCs w:val="22"/>
          </w:rPr>
          <w:delText xml:space="preserve"> eredménye pozitív, </w:delText>
        </w:r>
        <w:r w:rsidR="000A0081" w:rsidRPr="00183B5F">
          <w:rPr>
            <w:szCs w:val="22"/>
          </w:rPr>
          <w:delText>konzultáció</w:delText>
        </w:r>
        <w:r w:rsidRPr="00183B5F">
          <w:rPr>
            <w:szCs w:val="22"/>
          </w:rPr>
          <w:delText xml:space="preserve"> </w:delText>
        </w:r>
        <w:r w:rsidR="000A0081" w:rsidRPr="00183B5F">
          <w:rPr>
            <w:szCs w:val="22"/>
          </w:rPr>
          <w:delText xml:space="preserve">javasolt </w:delText>
        </w:r>
        <w:r w:rsidRPr="00183B5F">
          <w:rPr>
            <w:szCs w:val="22"/>
          </w:rPr>
          <w:delText>egy, a hepatitis</w:delText>
        </w:r>
        <w:r w:rsidR="00FE665C" w:rsidRPr="00183B5F">
          <w:rPr>
            <w:szCs w:val="22"/>
          </w:rPr>
          <w:delText> </w:delText>
        </w:r>
        <w:r w:rsidRPr="00183B5F">
          <w:rPr>
            <w:szCs w:val="22"/>
          </w:rPr>
          <w:delText>B kezelésében jártas orvos</w:delText>
        </w:r>
        <w:r w:rsidR="000A0081" w:rsidRPr="00183B5F">
          <w:rPr>
            <w:szCs w:val="22"/>
          </w:rPr>
          <w:delText>sal.</w:delText>
        </w:r>
      </w:del>
    </w:p>
    <w:p w14:paraId="65E149DF" w14:textId="311F6C0C" w:rsidR="009E0E57" w:rsidRPr="00183B5F" w:rsidRDefault="009E0E57" w:rsidP="004062FE">
      <w:pPr>
        <w:spacing w:line="240" w:lineRule="auto"/>
        <w:rPr>
          <w:del w:id="536" w:author="AbbVie_HU_03" w:date="2025-05-14T15:27:00Z"/>
          <w:szCs w:val="22"/>
        </w:rPr>
      </w:pPr>
    </w:p>
    <w:p w14:paraId="0EDBE2E1" w14:textId="15ED8700" w:rsidR="00FB6710" w:rsidRPr="00183B5F" w:rsidRDefault="00943743" w:rsidP="004062FE">
      <w:pPr>
        <w:spacing w:line="240" w:lineRule="auto"/>
        <w:rPr>
          <w:del w:id="537" w:author="AbbVie_HU_03" w:date="2025-05-14T15:27:00Z"/>
          <w:szCs w:val="22"/>
        </w:rPr>
      </w:pPr>
      <w:del w:id="538" w:author="AbbVie_HU_03" w:date="2025-05-14T15:27:00Z">
        <w:r w:rsidRPr="00183B5F">
          <w:rPr>
            <w:szCs w:val="22"/>
          </w:rPr>
          <w:delText xml:space="preserve">A Humira terápiára szoruló </w:delText>
        </w:r>
        <w:r w:rsidR="000A456B" w:rsidRPr="00183B5F">
          <w:rPr>
            <w:szCs w:val="22"/>
          </w:rPr>
          <w:delText>HBV-hordo</w:delText>
        </w:r>
        <w:r w:rsidRPr="00183B5F">
          <w:rPr>
            <w:szCs w:val="22"/>
          </w:rPr>
          <w:delText xml:space="preserve">zókat a kezelés ideje alatt, illetve a befejezését követő néhány hónapon keresztül gondosan meg kell figyelni, hogy jelentkeznek-e rajtuk aktív </w:delText>
        </w:r>
        <w:r w:rsidR="000A456B" w:rsidRPr="00183B5F">
          <w:rPr>
            <w:szCs w:val="22"/>
          </w:rPr>
          <w:delText>HBV-fertőz</w:delText>
        </w:r>
        <w:r w:rsidRPr="00183B5F">
          <w:rPr>
            <w:szCs w:val="22"/>
          </w:rPr>
          <w:delText xml:space="preserve">ésre utaló </w:delText>
        </w:r>
        <w:r w:rsidR="0080649D" w:rsidRPr="00183B5F">
          <w:rPr>
            <w:szCs w:val="22"/>
          </w:rPr>
          <w:delText xml:space="preserve">jelek </w:delText>
        </w:r>
        <w:r w:rsidRPr="00183B5F">
          <w:rPr>
            <w:szCs w:val="22"/>
          </w:rPr>
          <w:delText xml:space="preserve">és tünetek. A </w:delText>
        </w:r>
        <w:r w:rsidR="000A456B" w:rsidRPr="00183B5F">
          <w:rPr>
            <w:szCs w:val="22"/>
          </w:rPr>
          <w:delText>HBV-hordo</w:delText>
        </w:r>
        <w:r w:rsidRPr="00183B5F">
          <w:rPr>
            <w:szCs w:val="22"/>
          </w:rPr>
          <w:delText>zóknak a HBV reaktiválódásának megelőzése céljából végzett TNF</w:delText>
        </w:r>
        <w:r w:rsidR="00FE665C" w:rsidRPr="00183B5F">
          <w:rPr>
            <w:szCs w:val="22"/>
          </w:rPr>
          <w:noBreakHyphen/>
        </w:r>
        <w:r w:rsidRPr="00183B5F">
          <w:rPr>
            <w:szCs w:val="22"/>
          </w:rPr>
          <w:delText>antagonista és antiretrovirális szer kombinációjával végzett kezeléséről nem állnak rendelkezésre megfelelő adatok. Azoknál a betegeknél, akiknél a HBV reaktiválódása alakul ki, abba kell hagyni a Humira adását, és hatékony antiretrovirális szer adását, v</w:delText>
        </w:r>
        <w:r w:rsidRPr="00183B5F">
          <w:rPr>
            <w:szCs w:val="22"/>
          </w:rPr>
          <w:delText>alamint megfelelő szupportív kezelést kell kezdeni.</w:delText>
        </w:r>
      </w:del>
    </w:p>
    <w:p w14:paraId="249B96AD" w14:textId="5460DA46" w:rsidR="009E2A2F" w:rsidRPr="00183B5F" w:rsidRDefault="009E2A2F" w:rsidP="004062FE">
      <w:pPr>
        <w:spacing w:line="240" w:lineRule="auto"/>
        <w:rPr>
          <w:del w:id="539" w:author="AbbVie_HU_03" w:date="2025-05-14T15:27:00Z"/>
          <w:szCs w:val="22"/>
          <w:u w:val="single"/>
        </w:rPr>
      </w:pPr>
    </w:p>
    <w:p w14:paraId="7FF02284" w14:textId="517BA219" w:rsidR="00FB6710" w:rsidRPr="00183B5F" w:rsidRDefault="00943743" w:rsidP="004062FE">
      <w:pPr>
        <w:keepNext/>
        <w:spacing w:line="240" w:lineRule="auto"/>
        <w:rPr>
          <w:del w:id="540" w:author="AbbVie_HU_03" w:date="2025-05-14T15:27:00Z"/>
          <w:szCs w:val="22"/>
          <w:u w:val="single"/>
        </w:rPr>
      </w:pPr>
      <w:del w:id="541" w:author="AbbVie_HU_03" w:date="2025-05-14T15:27:00Z">
        <w:r w:rsidRPr="00183B5F">
          <w:rPr>
            <w:szCs w:val="22"/>
            <w:u w:val="single"/>
          </w:rPr>
          <w:delText>Neurológiai vonatkozások</w:delText>
        </w:r>
      </w:del>
    </w:p>
    <w:p w14:paraId="3A692095" w14:textId="0F067F36" w:rsidR="00FB6710" w:rsidRPr="00183B5F" w:rsidRDefault="00FB6710" w:rsidP="004062FE">
      <w:pPr>
        <w:keepNext/>
        <w:spacing w:line="240" w:lineRule="auto"/>
        <w:ind w:left="567" w:hanging="567"/>
        <w:rPr>
          <w:del w:id="542" w:author="AbbVie_HU_03" w:date="2025-05-14T15:27:00Z"/>
          <w:b/>
          <w:szCs w:val="22"/>
        </w:rPr>
      </w:pPr>
    </w:p>
    <w:p w14:paraId="6E13CD11" w14:textId="6092B360" w:rsidR="00FB6710" w:rsidRPr="00183B5F" w:rsidRDefault="00943743" w:rsidP="004062FE">
      <w:pPr>
        <w:spacing w:line="240" w:lineRule="auto"/>
        <w:rPr>
          <w:del w:id="543" w:author="AbbVie_HU_03" w:date="2025-05-14T15:27:00Z"/>
          <w:szCs w:val="22"/>
        </w:rPr>
      </w:pPr>
      <w:del w:id="544" w:author="AbbVie_HU_03" w:date="2025-05-14T15:27:00Z">
        <w:r w:rsidRPr="00183B5F">
          <w:rPr>
            <w:szCs w:val="22"/>
          </w:rPr>
          <w:delText>A TNF</w:delText>
        </w:r>
        <w:r w:rsidRPr="00183B5F">
          <w:rPr>
            <w:szCs w:val="22"/>
          </w:rPr>
          <w:noBreakHyphen/>
          <w:delText>antagonisták, beleértve a Humira</w:delText>
        </w:r>
        <w:r w:rsidR="00FE665C" w:rsidRPr="00183B5F">
          <w:rPr>
            <w:szCs w:val="22"/>
          </w:rPr>
          <w:noBreakHyphen/>
        </w:r>
        <w:r w:rsidRPr="00183B5F">
          <w:rPr>
            <w:szCs w:val="22"/>
          </w:rPr>
          <w:delText xml:space="preserve">t, ritkán a központi idegrendszeri </w:delText>
        </w:r>
        <w:r w:rsidR="001B6725" w:rsidRPr="00183B5F">
          <w:rPr>
            <w:szCs w:val="22"/>
          </w:rPr>
          <w:delText>demyelinisati</w:delText>
        </w:r>
        <w:r w:rsidRPr="00183B5F">
          <w:rPr>
            <w:szCs w:val="22"/>
          </w:rPr>
          <w:delText>ós betegség (közte a sclerosis multiplex</w:delText>
        </w:r>
        <w:r w:rsidR="001720E9" w:rsidRPr="00183B5F">
          <w:rPr>
            <w:szCs w:val="22"/>
          </w:rPr>
          <w:delText xml:space="preserve"> és a</w:delText>
        </w:r>
        <w:r w:rsidR="00C15284" w:rsidRPr="00183B5F">
          <w:rPr>
            <w:szCs w:val="22"/>
          </w:rPr>
          <w:delText>z</w:delText>
        </w:r>
        <w:r w:rsidR="001720E9" w:rsidRPr="00183B5F">
          <w:rPr>
            <w:szCs w:val="22"/>
          </w:rPr>
          <w:delText xml:space="preserve"> </w:delText>
        </w:r>
        <w:r w:rsidR="00C15284" w:rsidRPr="00183B5F">
          <w:rPr>
            <w:szCs w:val="22"/>
          </w:rPr>
          <w:delText xml:space="preserve">opticus </w:delText>
        </w:r>
        <w:r w:rsidR="001720E9" w:rsidRPr="00183B5F">
          <w:rPr>
            <w:szCs w:val="22"/>
          </w:rPr>
          <w:delText>neuritis</w:delText>
        </w:r>
        <w:r w:rsidRPr="00183B5F">
          <w:rPr>
            <w:szCs w:val="22"/>
          </w:rPr>
          <w:delText xml:space="preserve">) </w:delText>
        </w:r>
        <w:r w:rsidR="00B44FE7" w:rsidRPr="00183B5F">
          <w:rPr>
            <w:szCs w:val="22"/>
          </w:rPr>
          <w:delText xml:space="preserve">és a perifériás </w:delText>
        </w:r>
        <w:r w:rsidR="001B6725" w:rsidRPr="00183B5F">
          <w:rPr>
            <w:szCs w:val="22"/>
          </w:rPr>
          <w:delText>demyelinisati</w:delText>
        </w:r>
        <w:r w:rsidR="00B44FE7" w:rsidRPr="00183B5F">
          <w:rPr>
            <w:szCs w:val="22"/>
          </w:rPr>
          <w:delText>ós betegség (közte a Guillan</w:delText>
        </w:r>
        <w:r w:rsidR="00FE665C" w:rsidRPr="00183B5F">
          <w:rPr>
            <w:szCs w:val="22"/>
          </w:rPr>
          <w:noBreakHyphen/>
        </w:r>
        <w:r w:rsidR="00B44FE7" w:rsidRPr="00183B5F">
          <w:rPr>
            <w:szCs w:val="22"/>
          </w:rPr>
          <w:delText xml:space="preserve">Barré szindróma) </w:delText>
        </w:r>
        <w:r w:rsidRPr="00183B5F">
          <w:rPr>
            <w:szCs w:val="22"/>
          </w:rPr>
          <w:delText>klinikai tüneteinek és/vagy radiológiai bizonyítékának új megjelenésével vagy súlyosbodásával társultak. A gyógyszert felíró orvosnak különös gonddal kell eljárnia olyan esetekben, amikor Humira</w:delText>
        </w:r>
        <w:r w:rsidR="00FE665C" w:rsidRPr="00183B5F">
          <w:rPr>
            <w:szCs w:val="22"/>
          </w:rPr>
          <w:noBreakHyphen/>
        </w:r>
        <w:r w:rsidRPr="00183B5F">
          <w:rPr>
            <w:szCs w:val="22"/>
          </w:rPr>
          <w:delText xml:space="preserve">kezelés lehetősége felmerül régi vagy friss központi idegrendszeri </w:delText>
        </w:r>
        <w:r w:rsidR="00B44FE7" w:rsidRPr="00183B5F">
          <w:rPr>
            <w:szCs w:val="22"/>
          </w:rPr>
          <w:delText xml:space="preserve">vagy perifériás </w:delText>
        </w:r>
        <w:r w:rsidR="001B6725" w:rsidRPr="00183B5F">
          <w:rPr>
            <w:szCs w:val="22"/>
          </w:rPr>
          <w:delText>demyelinisati</w:delText>
        </w:r>
        <w:r w:rsidR="00B44FE7" w:rsidRPr="00183B5F">
          <w:rPr>
            <w:szCs w:val="22"/>
          </w:rPr>
          <w:delText xml:space="preserve">ós </w:delText>
        </w:r>
        <w:r w:rsidRPr="00183B5F">
          <w:rPr>
            <w:szCs w:val="22"/>
          </w:rPr>
          <w:delText>betegségben szenvedő betegeknél</w:delText>
        </w:r>
        <w:r w:rsidR="00A34774" w:rsidRPr="00183B5F">
          <w:rPr>
            <w:szCs w:val="22"/>
          </w:rPr>
          <w:delText xml:space="preserve">; </w:delText>
        </w:r>
        <w:r w:rsidR="00012072" w:rsidRPr="00183B5F">
          <w:rPr>
            <w:szCs w:val="22"/>
          </w:rPr>
          <w:delText>ezen betegségek bármelyikének</w:delText>
        </w:r>
        <w:r w:rsidR="00A34774" w:rsidRPr="00183B5F">
          <w:rPr>
            <w:szCs w:val="22"/>
          </w:rPr>
          <w:delText xml:space="preserve"> kialakulása esetén fontolóra kell venni a Humira </w:delText>
        </w:r>
        <w:r w:rsidR="00012072" w:rsidRPr="00183B5F">
          <w:rPr>
            <w:szCs w:val="22"/>
          </w:rPr>
          <w:delText xml:space="preserve">adásának </w:delText>
        </w:r>
        <w:r w:rsidR="00A34774" w:rsidRPr="00183B5F">
          <w:rPr>
            <w:szCs w:val="22"/>
          </w:rPr>
          <w:delText xml:space="preserve">felfüggesztését. </w:delText>
        </w:r>
        <w:r w:rsidR="00012072" w:rsidRPr="00183B5F">
          <w:rPr>
            <w:szCs w:val="22"/>
          </w:rPr>
          <w:delText>Ismert az összefüggés az intermedier uveitis és a központi idegrendszeri demyelini</w:delText>
        </w:r>
        <w:r w:rsidR="009969B2" w:rsidRPr="00183B5F">
          <w:rPr>
            <w:szCs w:val="22"/>
          </w:rPr>
          <w:delText>sat</w:delText>
        </w:r>
        <w:r w:rsidR="00012072" w:rsidRPr="00183B5F">
          <w:rPr>
            <w:szCs w:val="22"/>
          </w:rPr>
          <w:delText xml:space="preserve">iós betegség között. A </w:delText>
        </w:r>
        <w:r w:rsidR="00E532CA" w:rsidRPr="00183B5F">
          <w:rPr>
            <w:szCs w:val="22"/>
          </w:rPr>
          <w:delText xml:space="preserve">nem </w:delText>
        </w:r>
        <w:r w:rsidR="00B34C5D" w:rsidRPr="00183B5F">
          <w:rPr>
            <w:szCs w:val="22"/>
          </w:rPr>
          <w:delText>fertőz</w:delText>
        </w:r>
        <w:r w:rsidR="00AD347E" w:rsidRPr="00183B5F">
          <w:rPr>
            <w:szCs w:val="22"/>
          </w:rPr>
          <w:delText>éses</w:delText>
        </w:r>
        <w:r w:rsidR="00E532CA" w:rsidRPr="00183B5F">
          <w:rPr>
            <w:szCs w:val="22"/>
          </w:rPr>
          <w:delText xml:space="preserve"> eredetű</w:delText>
        </w:r>
        <w:r w:rsidR="00B34C5D" w:rsidRPr="00183B5F">
          <w:rPr>
            <w:szCs w:val="22"/>
          </w:rPr>
          <w:delText xml:space="preserve">, intermedier uveitisben szenvedő betegeknél neurológiai vizsgálatot kell végezni a </w:delText>
        </w:r>
        <w:r w:rsidR="00012072" w:rsidRPr="00183B5F">
          <w:rPr>
            <w:szCs w:val="22"/>
          </w:rPr>
          <w:delText>Humira</w:delText>
        </w:r>
        <w:r w:rsidR="00AC4959" w:rsidRPr="00183B5F">
          <w:rPr>
            <w:szCs w:val="22"/>
          </w:rPr>
          <w:noBreakHyphen/>
        </w:r>
        <w:r w:rsidR="00012072" w:rsidRPr="00183B5F">
          <w:rPr>
            <w:szCs w:val="22"/>
          </w:rPr>
          <w:delText>kezelés megkezdése előtt és a kezelés ideje alatt rendszeres</w:delText>
        </w:r>
        <w:r w:rsidR="00B34C5D" w:rsidRPr="00183B5F">
          <w:rPr>
            <w:szCs w:val="22"/>
          </w:rPr>
          <w:delText>en,</w:delText>
        </w:r>
        <w:r w:rsidR="00012072" w:rsidRPr="00183B5F">
          <w:rPr>
            <w:szCs w:val="22"/>
          </w:rPr>
          <w:delText xml:space="preserve"> a </w:delText>
        </w:r>
        <w:r w:rsidR="00AD347E" w:rsidRPr="00183B5F">
          <w:rPr>
            <w:szCs w:val="22"/>
          </w:rPr>
          <w:delText xml:space="preserve">már </w:delText>
        </w:r>
        <w:r w:rsidR="00012072" w:rsidRPr="00183B5F">
          <w:rPr>
            <w:szCs w:val="22"/>
          </w:rPr>
          <w:delText xml:space="preserve">meglévő vagy kialakuló központi idegrendszeri </w:delText>
        </w:r>
        <w:r w:rsidR="001B6725" w:rsidRPr="00183B5F">
          <w:rPr>
            <w:szCs w:val="22"/>
          </w:rPr>
          <w:delText>demyelinisati</w:delText>
        </w:r>
        <w:r w:rsidR="00012072" w:rsidRPr="00183B5F">
          <w:rPr>
            <w:szCs w:val="22"/>
          </w:rPr>
          <w:delText xml:space="preserve">ós betegség </w:delText>
        </w:r>
        <w:r w:rsidR="00B34C5D" w:rsidRPr="00183B5F">
          <w:rPr>
            <w:szCs w:val="22"/>
          </w:rPr>
          <w:delText>értékelésére.</w:delText>
        </w:r>
      </w:del>
    </w:p>
    <w:p w14:paraId="08AEF652" w14:textId="76F85CE3" w:rsidR="00FB6710" w:rsidRPr="00183B5F" w:rsidRDefault="00FB6710" w:rsidP="004062FE">
      <w:pPr>
        <w:spacing w:line="240" w:lineRule="auto"/>
        <w:rPr>
          <w:del w:id="545" w:author="AbbVie_HU_03" w:date="2025-05-14T15:27:00Z"/>
          <w:b/>
          <w:szCs w:val="22"/>
        </w:rPr>
      </w:pPr>
    </w:p>
    <w:p w14:paraId="3B2C660E" w14:textId="5DB3CDF8" w:rsidR="00FB6710" w:rsidRPr="00183B5F" w:rsidRDefault="00943743" w:rsidP="003D777F">
      <w:pPr>
        <w:keepNext/>
        <w:spacing w:line="240" w:lineRule="auto"/>
        <w:ind w:left="567" w:hanging="567"/>
        <w:rPr>
          <w:del w:id="546" w:author="AbbVie_HU_03" w:date="2025-05-14T15:27:00Z"/>
          <w:szCs w:val="22"/>
          <w:u w:val="single"/>
        </w:rPr>
      </w:pPr>
      <w:del w:id="547" w:author="AbbVie_HU_03" w:date="2025-05-14T15:27:00Z">
        <w:r w:rsidRPr="00183B5F">
          <w:rPr>
            <w:szCs w:val="22"/>
            <w:u w:val="single"/>
          </w:rPr>
          <w:delText>Allergiás reakciók</w:delText>
        </w:r>
      </w:del>
    </w:p>
    <w:p w14:paraId="3153FEC1" w14:textId="55F18A0B" w:rsidR="00FB6710" w:rsidRPr="00183B5F" w:rsidRDefault="00FB6710" w:rsidP="003D777F">
      <w:pPr>
        <w:keepNext/>
        <w:spacing w:line="240" w:lineRule="auto"/>
        <w:ind w:left="567" w:hanging="567"/>
        <w:rPr>
          <w:del w:id="548" w:author="AbbVie_HU_03" w:date="2025-05-14T15:27:00Z"/>
          <w:b/>
          <w:szCs w:val="22"/>
        </w:rPr>
      </w:pPr>
    </w:p>
    <w:p w14:paraId="7E60F984" w14:textId="64A901B9" w:rsidR="00FB6710" w:rsidRPr="00183B5F" w:rsidRDefault="00943743" w:rsidP="004062FE">
      <w:pPr>
        <w:spacing w:line="240" w:lineRule="auto"/>
        <w:rPr>
          <w:del w:id="549" w:author="AbbVie_HU_03" w:date="2025-05-14T15:27:00Z"/>
          <w:szCs w:val="22"/>
        </w:rPr>
      </w:pPr>
      <w:del w:id="550" w:author="AbbVie_HU_03" w:date="2025-05-14T15:27:00Z">
        <w:r w:rsidRPr="00183B5F">
          <w:rPr>
            <w:szCs w:val="22"/>
          </w:rPr>
          <w:delText xml:space="preserve">A klinikai vizsgálatok során </w:delText>
        </w:r>
        <w:r w:rsidR="00FC4D05" w:rsidRPr="00183B5F">
          <w:rPr>
            <w:szCs w:val="22"/>
          </w:rPr>
          <w:delText xml:space="preserve">a </w:delText>
        </w:r>
        <w:r w:rsidRPr="00183B5F">
          <w:rPr>
            <w:szCs w:val="22"/>
          </w:rPr>
          <w:delText xml:space="preserve">Humira </w:delText>
        </w:r>
        <w:r w:rsidR="00FC4D05" w:rsidRPr="00183B5F">
          <w:rPr>
            <w:szCs w:val="22"/>
          </w:rPr>
          <w:delText xml:space="preserve">alkalmazásával összefüggő </w:delText>
        </w:r>
        <w:r w:rsidR="00D6424A" w:rsidRPr="00183B5F">
          <w:rPr>
            <w:szCs w:val="22"/>
          </w:rPr>
          <w:delText xml:space="preserve">súlyos </w:delText>
        </w:r>
        <w:r w:rsidR="005E0D17" w:rsidRPr="00183B5F">
          <w:rPr>
            <w:szCs w:val="22"/>
          </w:rPr>
          <w:delText>allergiás reakciók</w:delText>
        </w:r>
        <w:r w:rsidR="00FC4D05" w:rsidRPr="00183B5F">
          <w:rPr>
            <w:szCs w:val="22"/>
          </w:rPr>
          <w:delText xml:space="preserve"> ritkán fordultak elő</w:delText>
        </w:r>
        <w:r w:rsidRPr="00183B5F">
          <w:rPr>
            <w:szCs w:val="22"/>
          </w:rPr>
          <w:delText xml:space="preserve">. </w:delText>
        </w:r>
        <w:r w:rsidR="00FC4D05" w:rsidRPr="00183B5F">
          <w:rPr>
            <w:szCs w:val="22"/>
          </w:rPr>
          <w:delText xml:space="preserve">Nem súlyos </w:delText>
        </w:r>
        <w:r w:rsidRPr="00183B5F">
          <w:rPr>
            <w:szCs w:val="22"/>
          </w:rPr>
          <w:delText xml:space="preserve">allergiás reakciók </w:delText>
        </w:r>
        <w:r w:rsidR="00186D48" w:rsidRPr="00183B5F">
          <w:rPr>
            <w:szCs w:val="22"/>
          </w:rPr>
          <w:delText>nem gyakran</w:delText>
        </w:r>
        <w:r w:rsidRPr="00183B5F">
          <w:rPr>
            <w:szCs w:val="22"/>
          </w:rPr>
          <w:delText xml:space="preserve"> fordultak elő a Humira</w:delText>
        </w:r>
        <w:r w:rsidR="00FE665C" w:rsidRPr="00183B5F">
          <w:rPr>
            <w:szCs w:val="22"/>
          </w:rPr>
          <w:noBreakHyphen/>
        </w:r>
        <w:r w:rsidRPr="00183B5F">
          <w:rPr>
            <w:szCs w:val="22"/>
          </w:rPr>
          <w:delText>val végzett klinikai vizsgálatok során. Humira alkalmazás</w:delText>
        </w:r>
        <w:r w:rsidR="00FC4D05" w:rsidRPr="00183B5F">
          <w:rPr>
            <w:szCs w:val="22"/>
          </w:rPr>
          <w:delText xml:space="preserve">át követően </w:delText>
        </w:r>
        <w:r w:rsidRPr="00183B5F">
          <w:rPr>
            <w:szCs w:val="22"/>
          </w:rPr>
          <w:delText>jelentettek súlyos allergiás reakciót, beleértve az anafilaxiát. Ha anafilaxiás vagy más súlyos allergiás reakció előfordulna, a Humira adását azonnal abba kell hagyni, és a megfelelő kezelést kell elkezdeni.</w:delText>
        </w:r>
      </w:del>
    </w:p>
    <w:p w14:paraId="69514120" w14:textId="42B40207" w:rsidR="00003E0F" w:rsidRPr="00183B5F" w:rsidRDefault="00003E0F" w:rsidP="004062FE">
      <w:pPr>
        <w:spacing w:line="240" w:lineRule="auto"/>
        <w:rPr>
          <w:del w:id="551" w:author="AbbVie_HU_03" w:date="2025-05-14T15:27:00Z"/>
          <w:szCs w:val="22"/>
        </w:rPr>
      </w:pPr>
    </w:p>
    <w:p w14:paraId="6D3C5259" w14:textId="444C280E" w:rsidR="00FB6710" w:rsidRPr="00183B5F" w:rsidRDefault="00943743" w:rsidP="004062FE">
      <w:pPr>
        <w:keepNext/>
        <w:spacing w:line="240" w:lineRule="auto"/>
        <w:rPr>
          <w:del w:id="552" w:author="AbbVie_HU_03" w:date="2025-05-14T15:27:00Z"/>
          <w:szCs w:val="22"/>
          <w:u w:val="single"/>
        </w:rPr>
      </w:pPr>
      <w:del w:id="553" w:author="AbbVie_HU_03" w:date="2025-05-14T15:27:00Z">
        <w:r w:rsidRPr="00183B5F">
          <w:rPr>
            <w:szCs w:val="22"/>
            <w:u w:val="single"/>
          </w:rPr>
          <w:delText>Immunszuppresszió</w:delText>
        </w:r>
      </w:del>
    </w:p>
    <w:p w14:paraId="3E30057C" w14:textId="38A97C80" w:rsidR="00FB6710" w:rsidRPr="00183B5F" w:rsidRDefault="00FB6710" w:rsidP="004062FE">
      <w:pPr>
        <w:keepNext/>
        <w:spacing w:line="240" w:lineRule="auto"/>
        <w:ind w:left="562" w:hanging="562"/>
        <w:rPr>
          <w:del w:id="554" w:author="AbbVie_HU_03" w:date="2025-05-14T15:27:00Z"/>
          <w:b/>
          <w:szCs w:val="22"/>
        </w:rPr>
      </w:pPr>
    </w:p>
    <w:p w14:paraId="534F4847" w14:textId="7F62A4F8" w:rsidR="00FB6710" w:rsidRPr="00183B5F" w:rsidRDefault="00943743" w:rsidP="004062FE">
      <w:pPr>
        <w:spacing w:line="240" w:lineRule="auto"/>
        <w:rPr>
          <w:del w:id="555" w:author="AbbVie_HU_03" w:date="2025-05-14T15:27:00Z"/>
          <w:szCs w:val="22"/>
        </w:rPr>
      </w:pPr>
      <w:del w:id="556" w:author="AbbVie_HU_03" w:date="2025-05-14T15:27:00Z">
        <w:r w:rsidRPr="00183B5F">
          <w:rPr>
            <w:szCs w:val="22"/>
          </w:rPr>
          <w:delText>Rheumatoid arthritisben szenvedő, Humira</w:delText>
        </w:r>
        <w:r w:rsidR="00FE665C" w:rsidRPr="00183B5F">
          <w:rPr>
            <w:szCs w:val="22"/>
          </w:rPr>
          <w:noBreakHyphen/>
        </w:r>
        <w:r w:rsidRPr="00183B5F">
          <w:rPr>
            <w:szCs w:val="22"/>
          </w:rPr>
          <w:delText>val kezelt 64</w:delText>
        </w:r>
        <w:r w:rsidR="00FE665C" w:rsidRPr="00183B5F">
          <w:rPr>
            <w:szCs w:val="22"/>
          </w:rPr>
          <w:delText> </w:delText>
        </w:r>
        <w:r w:rsidRPr="00183B5F">
          <w:rPr>
            <w:szCs w:val="22"/>
          </w:rPr>
          <w:delText>beteg vizsgálata során nem tapasztaltak csökkent késői típusú hyperszenzitivitási reakciót, alacsonyabb immunglobulin</w:delText>
        </w:r>
        <w:r w:rsidR="001B6725" w:rsidRPr="00183B5F">
          <w:rPr>
            <w:szCs w:val="22"/>
          </w:rPr>
          <w:delText>-</w:delText>
        </w:r>
        <w:r w:rsidRPr="00183B5F">
          <w:rPr>
            <w:szCs w:val="22"/>
          </w:rPr>
          <w:delText>szinteket, illetve nem észleltek változást az effektor</w:delText>
        </w:r>
        <w:r w:rsidRPr="00183B5F">
          <w:rPr>
            <w:szCs w:val="22"/>
          </w:rPr>
          <w:noBreakHyphen/>
          <w:delText>T-, B- és NK</w:delText>
        </w:r>
        <w:r w:rsidRPr="00183B5F">
          <w:rPr>
            <w:szCs w:val="22"/>
          </w:rPr>
          <w:noBreakHyphen/>
          <w:delText>sejtek, monocyták/macrophagok és neutrophilek számában.</w:delText>
        </w:r>
      </w:del>
    </w:p>
    <w:p w14:paraId="2394AAA7" w14:textId="065FAC2B" w:rsidR="00580B33" w:rsidRPr="00183B5F" w:rsidRDefault="00580B33" w:rsidP="004062FE">
      <w:pPr>
        <w:spacing w:line="240" w:lineRule="auto"/>
        <w:rPr>
          <w:del w:id="557" w:author="AbbVie_HU_03" w:date="2025-05-14T15:27:00Z"/>
          <w:szCs w:val="22"/>
        </w:rPr>
      </w:pPr>
    </w:p>
    <w:p w14:paraId="1963A0DC" w14:textId="3EA5D8E0" w:rsidR="00FB6710" w:rsidRPr="00183B5F" w:rsidRDefault="00943743" w:rsidP="004062FE">
      <w:pPr>
        <w:keepNext/>
        <w:spacing w:line="240" w:lineRule="auto"/>
        <w:rPr>
          <w:del w:id="558" w:author="AbbVie_HU_03" w:date="2025-05-14T15:27:00Z"/>
          <w:szCs w:val="22"/>
          <w:u w:val="single"/>
        </w:rPr>
      </w:pPr>
      <w:del w:id="559" w:author="AbbVie_HU_03" w:date="2025-05-14T15:27:00Z">
        <w:r w:rsidRPr="00183B5F">
          <w:rPr>
            <w:szCs w:val="22"/>
            <w:u w:val="single"/>
          </w:rPr>
          <w:delText>Malignus és lymphoproliferativ betegségek</w:delText>
        </w:r>
      </w:del>
    </w:p>
    <w:p w14:paraId="1E1EE9BF" w14:textId="7B7DEBE7" w:rsidR="00FB6710" w:rsidRPr="00183B5F" w:rsidRDefault="00FB6710" w:rsidP="004062FE">
      <w:pPr>
        <w:keepNext/>
        <w:spacing w:line="240" w:lineRule="auto"/>
        <w:rPr>
          <w:del w:id="560" w:author="AbbVie_HU_03" w:date="2025-05-14T15:27:00Z"/>
          <w:szCs w:val="22"/>
          <w:u w:val="single"/>
        </w:rPr>
      </w:pPr>
    </w:p>
    <w:p w14:paraId="22FA055A" w14:textId="27C96EA6" w:rsidR="00FB6710" w:rsidRPr="00183B5F" w:rsidRDefault="00943743" w:rsidP="004062FE">
      <w:pPr>
        <w:spacing w:line="240" w:lineRule="auto"/>
        <w:rPr>
          <w:del w:id="561" w:author="AbbVie_HU_03" w:date="2025-05-14T15:27:00Z"/>
          <w:szCs w:val="22"/>
        </w:rPr>
      </w:pPr>
      <w:del w:id="562" w:author="AbbVie_HU_03" w:date="2025-05-14T15:27:00Z">
        <w:r w:rsidRPr="00183B5F">
          <w:rPr>
            <w:szCs w:val="22"/>
          </w:rPr>
          <w:delText>A TNF</w:delText>
        </w:r>
        <w:r w:rsidR="00FE665C" w:rsidRPr="00183B5F">
          <w:rPr>
            <w:szCs w:val="22"/>
          </w:rPr>
          <w:noBreakHyphen/>
        </w:r>
        <w:r w:rsidR="00332587" w:rsidRPr="00183B5F">
          <w:rPr>
            <w:szCs w:val="22"/>
          </w:rPr>
          <w:delText>antagonistá</w:delText>
        </w:r>
        <w:r w:rsidRPr="00183B5F">
          <w:rPr>
            <w:szCs w:val="22"/>
          </w:rPr>
          <w:delText>kkal végzett klinikai vizsgálatok kontrollos részeiben a TNF</w:delText>
        </w:r>
        <w:r w:rsidR="00FE665C" w:rsidRPr="00183B5F">
          <w:rPr>
            <w:szCs w:val="22"/>
          </w:rPr>
          <w:noBreakHyphen/>
        </w:r>
        <w:r w:rsidR="00332587" w:rsidRPr="00183B5F">
          <w:rPr>
            <w:szCs w:val="22"/>
          </w:rPr>
          <w:delText>antagonistá</w:delText>
        </w:r>
        <w:r w:rsidRPr="00183B5F">
          <w:rPr>
            <w:szCs w:val="22"/>
          </w:rPr>
          <w:delText>t kapott betegek körében nagyobb számban észleltek malignomákat, beleértve a lymphomát, mint a kontro</w:delText>
        </w:r>
        <w:r w:rsidR="0089402C" w:rsidRPr="00183B5F">
          <w:rPr>
            <w:szCs w:val="22"/>
          </w:rPr>
          <w:delText>llcs</w:delText>
        </w:r>
        <w:r w:rsidRPr="00183B5F">
          <w:rPr>
            <w:szCs w:val="22"/>
          </w:rPr>
          <w:delText>oport betegeinél. Ez azonban ritkán fordult elő. Posztmarketing alkalmazás körülményei között TNF</w:delText>
        </w:r>
        <w:r w:rsidR="00FE665C" w:rsidRPr="00183B5F">
          <w:rPr>
            <w:szCs w:val="22"/>
          </w:rPr>
          <w:noBreakHyphen/>
        </w:r>
        <w:r w:rsidRPr="00183B5F">
          <w:rPr>
            <w:szCs w:val="22"/>
          </w:rPr>
          <w:delText>antagonistával kezelt betegek körében leukémi</w:delText>
        </w:r>
        <w:r w:rsidR="001B6725" w:rsidRPr="00183B5F">
          <w:rPr>
            <w:szCs w:val="22"/>
          </w:rPr>
          <w:delText>ás</w:delText>
        </w:r>
        <w:r w:rsidRPr="00183B5F">
          <w:rPr>
            <w:szCs w:val="22"/>
          </w:rPr>
          <w:delText xml:space="preserve"> eseteket jelentettek. A kockázat megítélését nehezíti, hogy a lymphoma és a leukémia háttérkockázata nagyobb olyan rheumatoid arthritisben szenvedő betegeknél, akiknek régóta fennálló, fokozott aktivitású gyulladásos betegségük van. Jelenlegi ismereteink szerint a TNF</w:delText>
        </w:r>
        <w:r w:rsidR="00FE665C" w:rsidRPr="00183B5F">
          <w:rPr>
            <w:szCs w:val="22"/>
          </w:rPr>
          <w:noBreakHyphen/>
        </w:r>
        <w:r w:rsidR="00332587" w:rsidRPr="00183B5F">
          <w:rPr>
            <w:szCs w:val="22"/>
          </w:rPr>
          <w:delText>antagonistá</w:delText>
        </w:r>
        <w:r w:rsidRPr="00183B5F">
          <w:rPr>
            <w:szCs w:val="22"/>
          </w:rPr>
          <w:delText>kkal kezelt betegeknél a ly</w:delText>
        </w:r>
        <w:r w:rsidR="00CA2521" w:rsidRPr="00183B5F">
          <w:rPr>
            <w:szCs w:val="22"/>
          </w:rPr>
          <w:delText>m</w:delText>
        </w:r>
        <w:r w:rsidRPr="00183B5F">
          <w:rPr>
            <w:szCs w:val="22"/>
          </w:rPr>
          <w:delText>phoma</w:delText>
        </w:r>
        <w:r w:rsidR="00003E0F" w:rsidRPr="00183B5F">
          <w:rPr>
            <w:szCs w:val="22"/>
          </w:rPr>
          <w:delText>, leuk</w:delText>
        </w:r>
        <w:r w:rsidR="00B75B0F" w:rsidRPr="00183B5F">
          <w:rPr>
            <w:szCs w:val="22"/>
          </w:rPr>
          <w:delText>ae</w:delText>
        </w:r>
        <w:r w:rsidR="00003E0F" w:rsidRPr="00183B5F">
          <w:rPr>
            <w:szCs w:val="22"/>
          </w:rPr>
          <w:delText>mia</w:delText>
        </w:r>
        <w:r w:rsidRPr="00183B5F">
          <w:rPr>
            <w:szCs w:val="22"/>
          </w:rPr>
          <w:delText xml:space="preserve"> vagy más malignus betegségek kialakulásán</w:delText>
        </w:r>
        <w:r w:rsidRPr="00183B5F">
          <w:rPr>
            <w:szCs w:val="22"/>
          </w:rPr>
          <w:delText>ak lehetséges rizikója nem zárható ki.</w:delText>
        </w:r>
      </w:del>
    </w:p>
    <w:p w14:paraId="6CAC13AD" w14:textId="75A6A2BB" w:rsidR="00FB6710" w:rsidRPr="00183B5F" w:rsidRDefault="00FB6710" w:rsidP="004062FE">
      <w:pPr>
        <w:spacing w:line="240" w:lineRule="auto"/>
        <w:rPr>
          <w:del w:id="563" w:author="AbbVie_HU_03" w:date="2025-05-14T15:27:00Z"/>
          <w:szCs w:val="22"/>
        </w:rPr>
      </w:pPr>
    </w:p>
    <w:p w14:paraId="207BC6B7" w14:textId="5808959E" w:rsidR="0076277D" w:rsidRPr="00183B5F" w:rsidRDefault="00943743">
      <w:pPr>
        <w:pStyle w:val="EMEANormal"/>
        <w:rPr>
          <w:del w:id="564" w:author="AbbVie_HU_03" w:date="2025-05-14T15:27:00Z"/>
          <w:szCs w:val="22"/>
          <w:lang w:val="hu-HU"/>
        </w:rPr>
      </w:pPr>
      <w:del w:id="565" w:author="AbbVie_HU_03" w:date="2025-05-14T15:27:00Z">
        <w:r w:rsidRPr="00183B5F">
          <w:rPr>
            <w:szCs w:val="22"/>
            <w:lang w:val="hu-HU"/>
          </w:rPr>
          <w:delText>A forgalomba hozatalt követő megfigyelés során a TNF</w:delText>
        </w:r>
        <w:r w:rsidRPr="00183B5F">
          <w:rPr>
            <w:szCs w:val="22"/>
            <w:lang w:val="hu-HU"/>
          </w:rPr>
          <w:noBreakHyphen/>
          <w:delText>blokkoló szerekkel, köztük az adalimu</w:delText>
        </w:r>
        <w:r w:rsidR="00CE76E2" w:rsidRPr="00183B5F">
          <w:rPr>
            <w:szCs w:val="22"/>
            <w:lang w:val="hu-HU"/>
          </w:rPr>
          <w:delText>m</w:delText>
        </w:r>
        <w:r w:rsidRPr="00183B5F">
          <w:rPr>
            <w:szCs w:val="22"/>
            <w:lang w:val="hu-HU"/>
          </w:rPr>
          <w:delText>abbal kezelt (a kezelés megkezdése ≤ 18</w:delText>
        </w:r>
        <w:r w:rsidR="00FE665C" w:rsidRPr="00183B5F">
          <w:rPr>
            <w:szCs w:val="22"/>
            <w:lang w:val="hu-HU"/>
          </w:rPr>
          <w:delText> </w:delText>
        </w:r>
        <w:r w:rsidRPr="00183B5F">
          <w:rPr>
            <w:szCs w:val="22"/>
            <w:lang w:val="hu-HU"/>
          </w:rPr>
          <w:delText>éves életkor) gyermekeknél, serdülőknél és fiatal felnőtteknél (22 éves korig) malignitásokról számoltak be, melyek némelyike végzetes kimenetelű volt. Az esetek mintegy fele lymphoma volt. A többi eset sokféle különböző malignitás volt, köztük ritka malignitások is, amelyek rendszerint immunszuppresszió</w:delText>
        </w:r>
        <w:r w:rsidR="00B75B0F" w:rsidRPr="00183B5F">
          <w:rPr>
            <w:szCs w:val="22"/>
            <w:lang w:val="hu-HU"/>
          </w:rPr>
          <w:delText>hoz</w:delText>
        </w:r>
        <w:r w:rsidRPr="00183B5F">
          <w:rPr>
            <w:szCs w:val="22"/>
            <w:lang w:val="hu-HU"/>
          </w:rPr>
          <w:delText xml:space="preserve"> </w:delText>
        </w:r>
        <w:r w:rsidR="00B75B0F" w:rsidRPr="00183B5F">
          <w:rPr>
            <w:szCs w:val="22"/>
            <w:lang w:val="hu-HU"/>
          </w:rPr>
          <w:delText>társultak</w:delText>
        </w:r>
        <w:r w:rsidRPr="00183B5F">
          <w:rPr>
            <w:szCs w:val="22"/>
            <w:lang w:val="hu-HU"/>
          </w:rPr>
          <w:delText>. A TNF</w:delText>
        </w:r>
        <w:r w:rsidRPr="00183B5F">
          <w:rPr>
            <w:szCs w:val="22"/>
            <w:lang w:val="hu-HU"/>
          </w:rPr>
          <w:noBreakHyphen/>
          <w:delText xml:space="preserve">blokkolókkal kezelt gyermekeknél és serdülőknél a malignitások kialakulásának kockázata nem zárható ki. </w:delText>
        </w:r>
      </w:del>
    </w:p>
    <w:p w14:paraId="47831F7D" w14:textId="5C60A889" w:rsidR="00003E0F" w:rsidRPr="00183B5F" w:rsidRDefault="00003E0F" w:rsidP="004062FE">
      <w:pPr>
        <w:spacing w:line="240" w:lineRule="auto"/>
        <w:rPr>
          <w:del w:id="566" w:author="AbbVie_HU_03" w:date="2025-05-14T15:27:00Z"/>
          <w:szCs w:val="22"/>
        </w:rPr>
      </w:pPr>
    </w:p>
    <w:p w14:paraId="0C5BE36B" w14:textId="12874BE7" w:rsidR="00FB6710" w:rsidRPr="00183B5F" w:rsidRDefault="00943743" w:rsidP="004062FE">
      <w:pPr>
        <w:spacing w:line="240" w:lineRule="auto"/>
        <w:rPr>
          <w:del w:id="567" w:author="AbbVie_HU_03" w:date="2025-05-14T15:27:00Z"/>
          <w:szCs w:val="22"/>
        </w:rPr>
      </w:pPr>
      <w:del w:id="568" w:author="AbbVie_HU_03" w:date="2025-05-14T15:27:00Z">
        <w:r w:rsidRPr="00183B5F">
          <w:rPr>
            <w:szCs w:val="22"/>
          </w:rPr>
          <w:delText xml:space="preserve">Adalimumabbal kezelt betegeknél a forgalomba hozatalt követően ritkán </w:delText>
        </w:r>
        <w:r w:rsidR="00AA4D42" w:rsidRPr="00183B5F">
          <w:rPr>
            <w:szCs w:val="22"/>
          </w:rPr>
          <w:delText>hepatosplenicus</w:delText>
        </w:r>
        <w:r w:rsidRPr="00183B5F">
          <w:rPr>
            <w:szCs w:val="22"/>
          </w:rPr>
          <w:delText xml:space="preserve"> T</w:delText>
        </w:r>
        <w:r w:rsidR="00305C86" w:rsidRPr="00183B5F">
          <w:rPr>
            <w:szCs w:val="22"/>
          </w:rPr>
          <w:noBreakHyphen/>
        </w:r>
        <w:r w:rsidRPr="00183B5F">
          <w:rPr>
            <w:szCs w:val="22"/>
          </w:rPr>
          <w:delText>sejtes lymphoma esete</w:delText>
        </w:r>
        <w:r w:rsidR="00C61C07" w:rsidRPr="00183B5F">
          <w:rPr>
            <w:szCs w:val="22"/>
          </w:rPr>
          <w:delText>i</w:delText>
        </w:r>
        <w:r w:rsidRPr="00183B5F">
          <w:rPr>
            <w:szCs w:val="22"/>
          </w:rPr>
          <w:delText>t észlelt</w:delText>
        </w:r>
        <w:r w:rsidR="00C61C07" w:rsidRPr="00183B5F">
          <w:rPr>
            <w:szCs w:val="22"/>
          </w:rPr>
          <w:delText>é</w:delText>
        </w:r>
        <w:r w:rsidRPr="00183B5F">
          <w:rPr>
            <w:szCs w:val="22"/>
          </w:rPr>
          <w:delText>k. A T</w:delText>
        </w:r>
        <w:r w:rsidR="00FE665C" w:rsidRPr="00183B5F">
          <w:rPr>
            <w:szCs w:val="22"/>
          </w:rPr>
          <w:noBreakHyphen/>
        </w:r>
        <w:r w:rsidRPr="00183B5F">
          <w:rPr>
            <w:szCs w:val="22"/>
          </w:rPr>
          <w:delText>sejtes lymphoma e ritkán előforduló típusa nagyon agresszív lefolyású és rendszerint halálos kimenetelű. A Humira</w:delText>
        </w:r>
        <w:r w:rsidR="00FE665C" w:rsidRPr="00183B5F">
          <w:rPr>
            <w:szCs w:val="22"/>
          </w:rPr>
          <w:noBreakHyphen/>
        </w:r>
        <w:r w:rsidRPr="00183B5F">
          <w:rPr>
            <w:szCs w:val="22"/>
          </w:rPr>
          <w:delText xml:space="preserve">kezelés során észlelt </w:delText>
        </w:r>
        <w:r w:rsidR="00AA4D42" w:rsidRPr="00183B5F">
          <w:rPr>
            <w:szCs w:val="22"/>
          </w:rPr>
          <w:delText>hepatosplenicus</w:delText>
        </w:r>
        <w:r w:rsidRPr="00183B5F">
          <w:rPr>
            <w:szCs w:val="22"/>
          </w:rPr>
          <w:delText xml:space="preserve"> T</w:delText>
        </w:r>
        <w:r w:rsidR="00305C86" w:rsidRPr="00183B5F">
          <w:rPr>
            <w:szCs w:val="22"/>
          </w:rPr>
          <w:noBreakHyphen/>
        </w:r>
        <w:r w:rsidRPr="00183B5F">
          <w:rPr>
            <w:szCs w:val="22"/>
          </w:rPr>
          <w:delText>sejtes lymphoma</w:delText>
        </w:r>
        <w:r w:rsidR="003D6A39" w:rsidRPr="00183B5F">
          <w:rPr>
            <w:szCs w:val="22"/>
          </w:rPr>
          <w:delText>-</w:delText>
        </w:r>
        <w:r w:rsidRPr="00183B5F">
          <w:rPr>
            <w:szCs w:val="22"/>
          </w:rPr>
          <w:delText xml:space="preserve">esetek némelyike olyan fiatal felnőtt betegeknél fordult elő, akiket </w:delText>
        </w:r>
        <w:r w:rsidR="00C613A3" w:rsidRPr="00183B5F">
          <w:rPr>
            <w:szCs w:val="22"/>
          </w:rPr>
          <w:delText>gyulladásos bélbetegség miatt</w:delText>
        </w:r>
        <w:r w:rsidRPr="00183B5F">
          <w:rPr>
            <w:szCs w:val="22"/>
          </w:rPr>
          <w:delText xml:space="preserve"> egyidejűleg azatioprinnel, illetve 6</w:delText>
        </w:r>
        <w:r w:rsidR="00FE665C" w:rsidRPr="00183B5F">
          <w:rPr>
            <w:szCs w:val="22"/>
          </w:rPr>
          <w:noBreakHyphen/>
        </w:r>
        <w:r w:rsidRPr="00183B5F">
          <w:rPr>
            <w:szCs w:val="22"/>
          </w:rPr>
          <w:delText xml:space="preserve">merkaptopurinnal kezeltek. </w:delText>
        </w:r>
        <w:r w:rsidR="009E0E57" w:rsidRPr="00183B5F">
          <w:rPr>
            <w:szCs w:val="22"/>
          </w:rPr>
          <w:delText xml:space="preserve">Az azatioprin vagy </w:delText>
        </w:r>
        <w:r w:rsidR="002C398E" w:rsidRPr="00183B5F">
          <w:rPr>
            <w:szCs w:val="22"/>
          </w:rPr>
          <w:delText xml:space="preserve">a </w:delText>
        </w:r>
        <w:r w:rsidR="009E0E57" w:rsidRPr="00183B5F">
          <w:rPr>
            <w:szCs w:val="22"/>
          </w:rPr>
          <w:delText>6</w:delText>
        </w:r>
        <w:r w:rsidR="00CB12B4" w:rsidRPr="00183B5F">
          <w:rPr>
            <w:szCs w:val="22"/>
          </w:rPr>
          <w:noBreakHyphen/>
        </w:r>
        <w:r w:rsidR="009E0E57" w:rsidRPr="00183B5F">
          <w:rPr>
            <w:szCs w:val="22"/>
          </w:rPr>
          <w:delText xml:space="preserve">merkaptopurin </w:delText>
        </w:r>
        <w:r w:rsidR="00D93585" w:rsidRPr="00183B5F">
          <w:rPr>
            <w:szCs w:val="22"/>
          </w:rPr>
          <w:delText>Humira</w:delText>
        </w:r>
        <w:r w:rsidR="00FE665C" w:rsidRPr="00183B5F">
          <w:rPr>
            <w:szCs w:val="22"/>
          </w:rPr>
          <w:noBreakHyphen/>
        </w:r>
        <w:r w:rsidR="00D93585" w:rsidRPr="00183B5F">
          <w:rPr>
            <w:szCs w:val="22"/>
          </w:rPr>
          <w:delText>val</w:delText>
        </w:r>
        <w:r w:rsidR="002C398E" w:rsidRPr="00183B5F">
          <w:rPr>
            <w:szCs w:val="22"/>
          </w:rPr>
          <w:delText xml:space="preserve"> történő egyidejű adásának </w:delText>
        </w:r>
        <w:r w:rsidR="00853A58" w:rsidRPr="00183B5F">
          <w:rPr>
            <w:szCs w:val="22"/>
          </w:rPr>
          <w:delText xml:space="preserve">lehetséges </w:delText>
        </w:r>
        <w:r w:rsidR="002C398E" w:rsidRPr="00183B5F">
          <w:rPr>
            <w:szCs w:val="22"/>
          </w:rPr>
          <w:delText xml:space="preserve">kockázatát alaposan </w:delText>
        </w:r>
        <w:r w:rsidR="00946570" w:rsidRPr="00183B5F">
          <w:rPr>
            <w:szCs w:val="22"/>
          </w:rPr>
          <w:delText>mérlegelni</w:delText>
        </w:r>
        <w:r w:rsidR="002C398E" w:rsidRPr="00183B5F">
          <w:rPr>
            <w:szCs w:val="22"/>
          </w:rPr>
          <w:delText xml:space="preserve"> kell.</w:delText>
        </w:r>
        <w:r w:rsidR="009E0E57" w:rsidRPr="00183B5F">
          <w:rPr>
            <w:szCs w:val="22"/>
          </w:rPr>
          <w:delText xml:space="preserve"> </w:delText>
        </w:r>
        <w:r w:rsidRPr="00183B5F">
          <w:rPr>
            <w:szCs w:val="22"/>
          </w:rPr>
          <w:delText xml:space="preserve">A </w:delText>
        </w:r>
        <w:r w:rsidR="00AA4D42" w:rsidRPr="00183B5F">
          <w:rPr>
            <w:szCs w:val="22"/>
          </w:rPr>
          <w:delText>hepatosplenicus</w:delText>
        </w:r>
        <w:r w:rsidRPr="00183B5F">
          <w:rPr>
            <w:szCs w:val="22"/>
          </w:rPr>
          <w:delText xml:space="preserve"> T</w:delText>
        </w:r>
        <w:r w:rsidR="00FE665C" w:rsidRPr="00183B5F">
          <w:rPr>
            <w:szCs w:val="22"/>
          </w:rPr>
          <w:noBreakHyphen/>
        </w:r>
        <w:r w:rsidRPr="00183B5F">
          <w:rPr>
            <w:szCs w:val="22"/>
          </w:rPr>
          <w:delText xml:space="preserve">sejtes lymphoma kialakulása nem zárható ki a </w:delText>
        </w:r>
        <w:r w:rsidR="00D93585" w:rsidRPr="00183B5F">
          <w:rPr>
            <w:szCs w:val="22"/>
          </w:rPr>
          <w:delText>Humira</w:delText>
        </w:r>
        <w:r w:rsidR="00FE665C" w:rsidRPr="00183B5F">
          <w:rPr>
            <w:szCs w:val="22"/>
          </w:rPr>
          <w:noBreakHyphen/>
        </w:r>
        <w:r w:rsidR="00D93585" w:rsidRPr="00183B5F">
          <w:rPr>
            <w:szCs w:val="22"/>
          </w:rPr>
          <w:delText>val</w:delText>
        </w:r>
        <w:r w:rsidRPr="00183B5F">
          <w:rPr>
            <w:szCs w:val="22"/>
          </w:rPr>
          <w:delText xml:space="preserve"> kezelt betegeknél (lásd 4.8 pont).</w:delText>
        </w:r>
      </w:del>
    </w:p>
    <w:p w14:paraId="3C302DA7" w14:textId="6B779E67" w:rsidR="00FB6710" w:rsidRPr="00183B5F" w:rsidRDefault="00FB6710" w:rsidP="004062FE">
      <w:pPr>
        <w:spacing w:line="240" w:lineRule="auto"/>
        <w:rPr>
          <w:del w:id="569" w:author="AbbVie_HU_03" w:date="2025-05-14T15:27:00Z"/>
          <w:szCs w:val="22"/>
        </w:rPr>
      </w:pPr>
    </w:p>
    <w:p w14:paraId="1F5438D6" w14:textId="3F1474BF" w:rsidR="00FB6710" w:rsidRPr="00183B5F" w:rsidRDefault="00943743" w:rsidP="004062FE">
      <w:pPr>
        <w:spacing w:line="240" w:lineRule="auto"/>
        <w:rPr>
          <w:del w:id="570" w:author="AbbVie_HU_03" w:date="2025-05-14T15:27:00Z"/>
          <w:szCs w:val="22"/>
        </w:rPr>
      </w:pPr>
      <w:del w:id="571" w:author="AbbVie_HU_03" w:date="2025-05-14T15:27:00Z">
        <w:r w:rsidRPr="00183B5F">
          <w:rPr>
            <w:szCs w:val="22"/>
          </w:rPr>
          <w:delText>Ezidáig nem végeztek vizsgálatokat olyan betegek bevonásával, akik kórtörténetében malignitás szerepelt, vagy akiknél a Humira</w:delText>
        </w:r>
        <w:r w:rsidR="00FE665C" w:rsidRPr="00183B5F">
          <w:rPr>
            <w:szCs w:val="22"/>
          </w:rPr>
          <w:noBreakHyphen/>
        </w:r>
        <w:r w:rsidRPr="00183B5F">
          <w:rPr>
            <w:szCs w:val="22"/>
          </w:rPr>
          <w:delText>kezelést malignitás kialakulását követően is folytatták. Ezért ezen betegek Humira</w:delText>
        </w:r>
        <w:r w:rsidR="003C7941" w:rsidRPr="00183B5F">
          <w:rPr>
            <w:szCs w:val="22"/>
          </w:rPr>
          <w:noBreakHyphen/>
        </w:r>
        <w:r w:rsidRPr="00183B5F">
          <w:rPr>
            <w:szCs w:val="22"/>
          </w:rPr>
          <w:delText>kezelésbe való bevonásának mérlegelésekor fokozott elővigyázatosság szükséges (lásd 4.8 pont).</w:delText>
        </w:r>
      </w:del>
    </w:p>
    <w:p w14:paraId="7D15230F" w14:textId="0ECFAB64" w:rsidR="00FB6710" w:rsidRPr="00183B5F" w:rsidRDefault="00FB6710" w:rsidP="004062FE">
      <w:pPr>
        <w:spacing w:line="240" w:lineRule="auto"/>
        <w:rPr>
          <w:del w:id="572" w:author="AbbVie_HU_03" w:date="2025-05-14T15:27:00Z"/>
          <w:szCs w:val="22"/>
        </w:rPr>
      </w:pPr>
    </w:p>
    <w:p w14:paraId="2EEEF4EE" w14:textId="452C1969" w:rsidR="00FB6710" w:rsidRPr="00183B5F" w:rsidRDefault="00943743" w:rsidP="004062FE">
      <w:pPr>
        <w:spacing w:line="240" w:lineRule="auto"/>
        <w:rPr>
          <w:del w:id="573" w:author="AbbVie_HU_03" w:date="2025-05-14T15:27:00Z"/>
          <w:szCs w:val="22"/>
        </w:rPr>
      </w:pPr>
      <w:del w:id="574" w:author="AbbVie_HU_03" w:date="2025-05-14T15:27:00Z">
        <w:r w:rsidRPr="00183B5F">
          <w:rPr>
            <w:szCs w:val="22"/>
          </w:rPr>
          <w:delText>Minden betegnél, de főként azoknál, akiknek az anamnézisében extenzív immunszuppresszív kezelés szerepel, illetve olyan psoriasisos betegeknél, akik PU</w:delText>
        </w:r>
        <w:r w:rsidR="00003E0F" w:rsidRPr="00183B5F">
          <w:rPr>
            <w:szCs w:val="22"/>
          </w:rPr>
          <w:delText>V</w:delText>
        </w:r>
        <w:r w:rsidRPr="00183B5F">
          <w:rPr>
            <w:szCs w:val="22"/>
          </w:rPr>
          <w:delText>A</w:delText>
        </w:r>
        <w:r w:rsidR="003C7941" w:rsidRPr="00183B5F">
          <w:rPr>
            <w:szCs w:val="22"/>
          </w:rPr>
          <w:noBreakHyphen/>
        </w:r>
        <w:r w:rsidRPr="00183B5F">
          <w:rPr>
            <w:szCs w:val="22"/>
          </w:rPr>
          <w:delText>kezelést kaptak, a Humira</w:delText>
        </w:r>
        <w:r w:rsidR="003C7941" w:rsidRPr="00183B5F">
          <w:rPr>
            <w:szCs w:val="22"/>
          </w:rPr>
          <w:noBreakHyphen/>
        </w:r>
        <w:r w:rsidRPr="00183B5F">
          <w:rPr>
            <w:szCs w:val="22"/>
          </w:rPr>
          <w:delText>kezelés kezdete előtt és az alatt vizsgálni kell a nem melanomás bőrrák előfordulását.</w:delText>
        </w:r>
        <w:r w:rsidR="00A36F1C" w:rsidRPr="00183B5F">
          <w:rPr>
            <w:szCs w:val="22"/>
          </w:rPr>
          <w:delText xml:space="preserve"> Melanoma és Merkel</w:delText>
        </w:r>
        <w:r w:rsidR="00305C86" w:rsidRPr="00183B5F">
          <w:rPr>
            <w:szCs w:val="22"/>
          </w:rPr>
          <w:noBreakHyphen/>
        </w:r>
        <w:r w:rsidR="00A36F1C" w:rsidRPr="00183B5F">
          <w:rPr>
            <w:szCs w:val="22"/>
          </w:rPr>
          <w:delText>sejtes carcinoma</w:delText>
        </w:r>
        <w:r w:rsidR="00CA1DCD" w:rsidRPr="00183B5F">
          <w:rPr>
            <w:szCs w:val="22"/>
          </w:rPr>
          <w:delText xml:space="preserve"> előfordulásáról is beszámoltak TNF</w:delText>
        </w:r>
        <w:r w:rsidR="003C7941" w:rsidRPr="00183B5F">
          <w:rPr>
            <w:szCs w:val="22"/>
          </w:rPr>
          <w:noBreakHyphen/>
        </w:r>
        <w:r w:rsidR="00CA1DCD" w:rsidRPr="00183B5F">
          <w:rPr>
            <w:szCs w:val="22"/>
          </w:rPr>
          <w:delText xml:space="preserve">antagonistával kezelt betegeknél, beleértve az adalimumabot </w:delText>
        </w:r>
        <w:r w:rsidR="004B4B6F" w:rsidRPr="00183B5F">
          <w:rPr>
            <w:szCs w:val="22"/>
          </w:rPr>
          <w:delText>is</w:delText>
        </w:r>
        <w:r w:rsidR="00A06445" w:rsidRPr="00183B5F">
          <w:rPr>
            <w:szCs w:val="22"/>
          </w:rPr>
          <w:delText xml:space="preserve"> </w:delText>
        </w:r>
        <w:r w:rsidR="00CA1DCD" w:rsidRPr="00183B5F">
          <w:rPr>
            <w:szCs w:val="22"/>
          </w:rPr>
          <w:delText>(lásd 4.8</w:delText>
        </w:r>
        <w:r w:rsidR="0085402E" w:rsidRPr="00183B5F">
          <w:rPr>
            <w:szCs w:val="22"/>
          </w:rPr>
          <w:delText> </w:delText>
        </w:r>
        <w:r w:rsidR="00CA1DCD" w:rsidRPr="00183B5F">
          <w:rPr>
            <w:szCs w:val="22"/>
          </w:rPr>
          <w:delText>pont).</w:delText>
        </w:r>
      </w:del>
    </w:p>
    <w:p w14:paraId="20371951" w14:textId="47D7BB65" w:rsidR="00FB6710" w:rsidRPr="00183B5F" w:rsidRDefault="00FB6710" w:rsidP="004062FE">
      <w:pPr>
        <w:spacing w:line="240" w:lineRule="auto"/>
        <w:rPr>
          <w:del w:id="575" w:author="AbbVie_HU_03" w:date="2025-05-14T15:27:00Z"/>
          <w:szCs w:val="22"/>
        </w:rPr>
      </w:pPr>
    </w:p>
    <w:p w14:paraId="7CD2FD82" w14:textId="701DD93F" w:rsidR="00FB6710" w:rsidRPr="00183B5F" w:rsidRDefault="00943743" w:rsidP="004062FE">
      <w:pPr>
        <w:spacing w:line="240" w:lineRule="auto"/>
        <w:rPr>
          <w:del w:id="576" w:author="AbbVie_HU_03" w:date="2025-05-14T15:27:00Z"/>
          <w:szCs w:val="22"/>
        </w:rPr>
      </w:pPr>
      <w:del w:id="577" w:author="AbbVie_HU_03" w:date="2025-05-14T15:27:00Z">
        <w:r w:rsidRPr="00183B5F">
          <w:rPr>
            <w:szCs w:val="22"/>
          </w:rPr>
          <w:delText>Egy másik TNF</w:delText>
        </w:r>
        <w:r w:rsidR="003C7941" w:rsidRPr="00183B5F">
          <w:rPr>
            <w:szCs w:val="22"/>
          </w:rPr>
          <w:noBreakHyphen/>
        </w:r>
        <w:r w:rsidR="009D6A95" w:rsidRPr="00183B5F">
          <w:rPr>
            <w:szCs w:val="22"/>
          </w:rPr>
          <w:delText>antagonista</w:delText>
        </w:r>
        <w:r w:rsidR="00C613A3" w:rsidRPr="00183B5F">
          <w:rPr>
            <w:szCs w:val="22"/>
          </w:rPr>
          <w:delText xml:space="preserve"> </w:delText>
        </w:r>
        <w:r w:rsidRPr="00183B5F">
          <w:rPr>
            <w:szCs w:val="22"/>
          </w:rPr>
          <w:delText>szer, az infliximab hatásait köz</w:delText>
        </w:r>
        <w:r w:rsidR="001E33D4" w:rsidRPr="00183B5F">
          <w:rPr>
            <w:szCs w:val="22"/>
          </w:rPr>
          <w:delText xml:space="preserve">epesen </w:delText>
        </w:r>
        <w:r w:rsidRPr="00183B5F">
          <w:rPr>
            <w:szCs w:val="22"/>
          </w:rPr>
          <w:delText xml:space="preserve">súlyos-súlyos idült obstruktív tüdőbetegségben (COPD) értékelték egy </w:delText>
        </w:r>
        <w:r w:rsidR="00003E0F" w:rsidRPr="00183B5F">
          <w:rPr>
            <w:szCs w:val="22"/>
          </w:rPr>
          <w:delText xml:space="preserve">feltáró </w:delText>
        </w:r>
        <w:r w:rsidRPr="00183B5F">
          <w:rPr>
            <w:szCs w:val="22"/>
          </w:rPr>
          <w:delText>klinikai vizsgálattal. Az infliximabbal kezelt betegeken több rosszindulatú (javarészt tüdő-, fej-, vagy nyaki) daganatot észleltek, mint a kontro</w:delText>
        </w:r>
        <w:r w:rsidR="0089402C" w:rsidRPr="00183B5F">
          <w:rPr>
            <w:szCs w:val="22"/>
          </w:rPr>
          <w:delText>llcs</w:delText>
        </w:r>
        <w:r w:rsidRPr="00183B5F">
          <w:rPr>
            <w:szCs w:val="22"/>
          </w:rPr>
          <w:delText>oportban. A kórelőzmény alapján mindegyik beteg erős dohányos volt. Ennélfogva, COPD</w:delText>
        </w:r>
        <w:r w:rsidR="00305C86" w:rsidRPr="00183B5F">
          <w:rPr>
            <w:szCs w:val="22"/>
          </w:rPr>
          <w:noBreakHyphen/>
        </w:r>
        <w:r w:rsidR="007C581D" w:rsidRPr="00183B5F">
          <w:rPr>
            <w:szCs w:val="22"/>
          </w:rPr>
          <w:delText xml:space="preserve">ben </w:delText>
        </w:r>
        <w:r w:rsidRPr="00183B5F">
          <w:rPr>
            <w:szCs w:val="22"/>
          </w:rPr>
          <w:delText>szenvedő, valamint az erős dohányzás miatt rosszindulatú daganat kialakulása szempontjából fokozottan veszélyeztetett betegeken körültekintően kell alkalmazni a TNF</w:delText>
        </w:r>
        <w:r w:rsidR="003C7941" w:rsidRPr="00183B5F">
          <w:rPr>
            <w:szCs w:val="22"/>
          </w:rPr>
          <w:noBreakHyphen/>
        </w:r>
        <w:r w:rsidRPr="00183B5F">
          <w:rPr>
            <w:szCs w:val="22"/>
          </w:rPr>
          <w:delText>antagonistákat.</w:delText>
        </w:r>
      </w:del>
    </w:p>
    <w:p w14:paraId="45545033" w14:textId="44244112" w:rsidR="00C613A3" w:rsidRPr="00183B5F" w:rsidRDefault="00C613A3" w:rsidP="004062FE">
      <w:pPr>
        <w:spacing w:line="240" w:lineRule="auto"/>
        <w:rPr>
          <w:del w:id="578" w:author="AbbVie_HU_03" w:date="2025-05-14T15:27:00Z"/>
          <w:szCs w:val="22"/>
        </w:rPr>
      </w:pPr>
    </w:p>
    <w:p w14:paraId="4E9584A0" w14:textId="0D47C9CF" w:rsidR="00C613A3" w:rsidRPr="00183B5F" w:rsidRDefault="00943743" w:rsidP="004062FE">
      <w:pPr>
        <w:spacing w:line="240" w:lineRule="auto"/>
        <w:rPr>
          <w:del w:id="579" w:author="AbbVie_HU_03" w:date="2025-05-14T15:27:00Z"/>
          <w:szCs w:val="22"/>
        </w:rPr>
      </w:pPr>
      <w:del w:id="580" w:author="AbbVie_HU_03" w:date="2025-05-14T15:27:00Z">
        <w:r w:rsidRPr="00183B5F">
          <w:rPr>
            <w:szCs w:val="22"/>
          </w:rPr>
          <w:delText>A rendelkezésre álló adatok alapján nem ismert, hogy az adalimumab</w:delText>
        </w:r>
        <w:r w:rsidR="00AC51CD" w:rsidRPr="00183B5F">
          <w:rPr>
            <w:szCs w:val="22"/>
          </w:rPr>
          <w:noBreakHyphen/>
        </w:r>
        <w:r w:rsidRPr="00183B5F">
          <w:rPr>
            <w:szCs w:val="22"/>
          </w:rPr>
          <w:delText>kezelés befolyásolja</w:delText>
        </w:r>
        <w:r w:rsidR="00305C86" w:rsidRPr="00183B5F">
          <w:rPr>
            <w:szCs w:val="22"/>
          </w:rPr>
          <w:noBreakHyphen/>
        </w:r>
        <w:r w:rsidRPr="00183B5F">
          <w:rPr>
            <w:szCs w:val="22"/>
          </w:rPr>
          <w:delText xml:space="preserve">e </w:delText>
        </w:r>
        <w:r w:rsidR="00AC51CD" w:rsidRPr="00183B5F">
          <w:rPr>
            <w:szCs w:val="22"/>
          </w:rPr>
          <w:delText xml:space="preserve">a </w:delText>
        </w:r>
        <w:r w:rsidRPr="00183B5F">
          <w:rPr>
            <w:szCs w:val="22"/>
          </w:rPr>
          <w:delText xml:space="preserve">dysplasia vagy </w:delText>
        </w:r>
        <w:r w:rsidR="00AC51CD" w:rsidRPr="00183B5F">
          <w:rPr>
            <w:szCs w:val="22"/>
          </w:rPr>
          <w:delText xml:space="preserve">a </w:delText>
        </w:r>
        <w:r w:rsidRPr="00183B5F">
          <w:rPr>
            <w:szCs w:val="22"/>
          </w:rPr>
          <w:delText>vastagbél</w:delText>
        </w:r>
        <w:r w:rsidR="00AC51CD" w:rsidRPr="00183B5F">
          <w:rPr>
            <w:szCs w:val="22"/>
          </w:rPr>
          <w:delText>rák</w:delText>
        </w:r>
        <w:r w:rsidRPr="00183B5F">
          <w:rPr>
            <w:szCs w:val="22"/>
          </w:rPr>
          <w:delText xml:space="preserve"> kialakulásának kockázatát. </w:delText>
        </w:r>
        <w:r w:rsidR="007D1F57" w:rsidRPr="00183B5F">
          <w:rPr>
            <w:szCs w:val="22"/>
          </w:rPr>
          <w:delText xml:space="preserve">A kezelés megkezdése előtt és a betegség teljes lefolyása alatt </w:delText>
        </w:r>
        <w:r w:rsidR="008D7D61" w:rsidRPr="00183B5F">
          <w:rPr>
            <w:szCs w:val="22"/>
          </w:rPr>
          <w:delText>azo</w:delText>
        </w:r>
        <w:r w:rsidR="00AC51CD" w:rsidRPr="00183B5F">
          <w:rPr>
            <w:szCs w:val="22"/>
          </w:rPr>
          <w:delText>kat a</w:delText>
        </w:r>
        <w:r w:rsidR="007D1F57" w:rsidRPr="00183B5F">
          <w:rPr>
            <w:szCs w:val="22"/>
          </w:rPr>
          <w:delText xml:space="preserve"> c</w:delText>
        </w:r>
        <w:r w:rsidRPr="00183B5F">
          <w:rPr>
            <w:szCs w:val="22"/>
          </w:rPr>
          <w:delText>ol</w:delText>
        </w:r>
        <w:r w:rsidR="00B35083" w:rsidRPr="00183B5F">
          <w:rPr>
            <w:szCs w:val="22"/>
          </w:rPr>
          <w:delText>it</w:delText>
        </w:r>
        <w:r w:rsidRPr="00183B5F">
          <w:rPr>
            <w:szCs w:val="22"/>
          </w:rPr>
          <w:delText>is ulcerosában szenvedő betegeket, akiknél dysplasia vagy vastagbél</w:delText>
        </w:r>
        <w:r w:rsidR="00AC51CD" w:rsidRPr="00183B5F">
          <w:rPr>
            <w:szCs w:val="22"/>
          </w:rPr>
          <w:delText>rák</w:delText>
        </w:r>
        <w:r w:rsidRPr="00183B5F">
          <w:rPr>
            <w:szCs w:val="22"/>
          </w:rPr>
          <w:delText xml:space="preserve"> kialakulásának </w:delText>
        </w:r>
        <w:r w:rsidR="00FA25B2" w:rsidRPr="00183B5F">
          <w:rPr>
            <w:szCs w:val="22"/>
          </w:rPr>
          <w:delText xml:space="preserve">fokozott </w:delText>
        </w:r>
        <w:r w:rsidRPr="00183B5F">
          <w:rPr>
            <w:szCs w:val="22"/>
          </w:rPr>
          <w:delText>kockázata</w:delText>
        </w:r>
        <w:r w:rsidR="00FA25B2" w:rsidRPr="00183B5F">
          <w:rPr>
            <w:szCs w:val="22"/>
          </w:rPr>
          <w:delText xml:space="preserve"> áll fenn</w:delText>
        </w:r>
        <w:r w:rsidRPr="00183B5F">
          <w:rPr>
            <w:szCs w:val="22"/>
          </w:rPr>
          <w:delText xml:space="preserve"> (pl. hosszan fennálló colitis ulcerosában vagy primer cholangitis</w:delText>
        </w:r>
        <w:r w:rsidR="00AC51CD" w:rsidRPr="00183B5F">
          <w:rPr>
            <w:szCs w:val="22"/>
          </w:rPr>
          <w:delText xml:space="preserve"> sclerotisans</w:delText>
        </w:r>
        <w:r w:rsidRPr="00183B5F">
          <w:rPr>
            <w:szCs w:val="22"/>
          </w:rPr>
          <w:delText>b</w:delText>
        </w:r>
        <w:r w:rsidR="00AC51CD" w:rsidRPr="00183B5F">
          <w:rPr>
            <w:szCs w:val="22"/>
          </w:rPr>
          <w:delText>a</w:delText>
        </w:r>
        <w:r w:rsidRPr="00183B5F">
          <w:rPr>
            <w:szCs w:val="22"/>
          </w:rPr>
          <w:delText>n szenvedő betegek</w:delText>
        </w:r>
        <w:r w:rsidR="007D1F57" w:rsidRPr="00183B5F">
          <w:rPr>
            <w:szCs w:val="22"/>
          </w:rPr>
          <w:delText>nél</w:delText>
        </w:r>
        <w:r w:rsidRPr="00183B5F">
          <w:rPr>
            <w:szCs w:val="22"/>
          </w:rPr>
          <w:delText>) vagy akik</w:delText>
        </w:r>
        <w:r w:rsidR="00FA25B2" w:rsidRPr="00183B5F">
          <w:rPr>
            <w:szCs w:val="22"/>
          </w:rPr>
          <w:delText>nek</w:delText>
        </w:r>
        <w:r w:rsidRPr="00183B5F">
          <w:rPr>
            <w:szCs w:val="22"/>
          </w:rPr>
          <w:delText xml:space="preserve"> </w:delText>
        </w:r>
        <w:r w:rsidR="00AC51CD" w:rsidRPr="00183B5F">
          <w:rPr>
            <w:szCs w:val="22"/>
          </w:rPr>
          <w:delText xml:space="preserve">az </w:delText>
        </w:r>
        <w:r w:rsidRPr="00183B5F">
          <w:rPr>
            <w:szCs w:val="22"/>
          </w:rPr>
          <w:delText>anamnézisében dysplasia vagy vastagbél</w:delText>
        </w:r>
        <w:r w:rsidR="00AC51CD" w:rsidRPr="00183B5F">
          <w:rPr>
            <w:szCs w:val="22"/>
          </w:rPr>
          <w:delText>rák</w:delText>
        </w:r>
        <w:r w:rsidRPr="00183B5F">
          <w:rPr>
            <w:szCs w:val="22"/>
          </w:rPr>
          <w:delText xml:space="preserve"> szerepel</w:delText>
        </w:r>
        <w:r w:rsidR="007D1F57" w:rsidRPr="00183B5F">
          <w:rPr>
            <w:szCs w:val="22"/>
          </w:rPr>
          <w:delText>, rendszeresen szűrni kell dysplasia irányában. A szűrővizsgálat során kolonoszkópiát és szövettani mintavételt is kell végezni a helyi ajánlásoknak megfelelően.</w:delText>
        </w:r>
      </w:del>
    </w:p>
    <w:p w14:paraId="590DCEA2" w14:textId="1615AF71" w:rsidR="00FB6710" w:rsidRPr="00183B5F" w:rsidRDefault="00FB6710" w:rsidP="004062FE">
      <w:pPr>
        <w:spacing w:line="240" w:lineRule="auto"/>
        <w:rPr>
          <w:del w:id="581" w:author="AbbVie_HU_03" w:date="2025-05-14T15:27:00Z"/>
          <w:szCs w:val="22"/>
        </w:rPr>
      </w:pPr>
    </w:p>
    <w:p w14:paraId="01BCF4E5" w14:textId="46BF9B7B" w:rsidR="00FB6710" w:rsidRPr="00183B5F" w:rsidRDefault="00943743" w:rsidP="004062FE">
      <w:pPr>
        <w:spacing w:line="240" w:lineRule="auto"/>
        <w:rPr>
          <w:del w:id="582" w:author="AbbVie_HU_03" w:date="2025-05-14T15:27:00Z"/>
          <w:szCs w:val="22"/>
          <w:u w:val="single"/>
        </w:rPr>
      </w:pPr>
      <w:del w:id="583" w:author="AbbVie_HU_03" w:date="2025-05-14T15:27:00Z">
        <w:r w:rsidRPr="00183B5F">
          <w:rPr>
            <w:szCs w:val="22"/>
            <w:u w:val="single"/>
          </w:rPr>
          <w:delText>Hematológiai reakciók</w:delText>
        </w:r>
      </w:del>
    </w:p>
    <w:p w14:paraId="490BB914" w14:textId="3FBC9174" w:rsidR="00FB6710" w:rsidRPr="00183B5F" w:rsidRDefault="00FB6710" w:rsidP="004062FE">
      <w:pPr>
        <w:spacing w:line="240" w:lineRule="auto"/>
        <w:rPr>
          <w:del w:id="584" w:author="AbbVie_HU_03" w:date="2025-05-14T15:27:00Z"/>
          <w:szCs w:val="22"/>
          <w:u w:val="single"/>
        </w:rPr>
      </w:pPr>
    </w:p>
    <w:p w14:paraId="61C7FD79" w14:textId="6BE22E98" w:rsidR="00703E29" w:rsidRPr="00183B5F" w:rsidRDefault="00943743" w:rsidP="004062FE">
      <w:pPr>
        <w:spacing w:line="240" w:lineRule="auto"/>
        <w:rPr>
          <w:del w:id="585" w:author="AbbVie_HU_03" w:date="2025-05-14T15:27:00Z"/>
          <w:szCs w:val="22"/>
        </w:rPr>
      </w:pPr>
      <w:del w:id="586" w:author="AbbVie_HU_03" w:date="2025-05-14T15:27:00Z">
        <w:r w:rsidRPr="00183B5F">
          <w:rPr>
            <w:szCs w:val="22"/>
          </w:rPr>
          <w:delText>TNF</w:delText>
        </w:r>
        <w:r w:rsidR="003C7941" w:rsidRPr="00183B5F">
          <w:rPr>
            <w:szCs w:val="22"/>
          </w:rPr>
          <w:noBreakHyphen/>
        </w:r>
        <w:r w:rsidRPr="00183B5F">
          <w:rPr>
            <w:szCs w:val="22"/>
          </w:rPr>
          <w:delText>antagonisták használata kapcsán ritkán pancytopeniáról számoltak be, belelértve az aplasticus anaemiát is. A Humira kapcsán hematológiai mellékhatásokról, köztük klinikailag jelentős cytopeniáról (pl. thrombocytopenia, leukopenia) számoltak be. Minden betegnél javasolt az azonnali orvosi felügyelet, amennyiben Humira</w:delText>
        </w:r>
        <w:r w:rsidR="003C7941" w:rsidRPr="00183B5F">
          <w:rPr>
            <w:szCs w:val="22"/>
          </w:rPr>
          <w:noBreakHyphen/>
        </w:r>
        <w:r w:rsidRPr="00183B5F">
          <w:rPr>
            <w:szCs w:val="22"/>
          </w:rPr>
          <w:delText>kezelés alatt a vérképváltozásra utaló jelek és tünetek jelentkeznek (pl. állandósult láz, véraláfutások, vérzés, sápadtság). A Humira</w:delText>
        </w:r>
        <w:r w:rsidR="003C7941" w:rsidRPr="00183B5F">
          <w:rPr>
            <w:szCs w:val="22"/>
          </w:rPr>
          <w:noBreakHyphen/>
        </w:r>
        <w:r w:rsidRPr="00183B5F">
          <w:rPr>
            <w:szCs w:val="22"/>
          </w:rPr>
          <w:delText xml:space="preserve">kezelés megszakítását fontolóra kell venni, ha a betegnél </w:delText>
        </w:r>
        <w:r w:rsidRPr="00183B5F">
          <w:rPr>
            <w:szCs w:val="22"/>
          </w:rPr>
          <w:delText>igazolt, jelentős hematológiai eltérések vannak.</w:delText>
        </w:r>
      </w:del>
    </w:p>
    <w:p w14:paraId="5053E731" w14:textId="5F22794C" w:rsidR="007D1F57" w:rsidRPr="00183B5F" w:rsidRDefault="007D1F57" w:rsidP="004062FE">
      <w:pPr>
        <w:spacing w:line="240" w:lineRule="auto"/>
        <w:rPr>
          <w:del w:id="587" w:author="AbbVie_HU_03" w:date="2025-05-14T15:27:00Z"/>
          <w:szCs w:val="22"/>
        </w:rPr>
      </w:pPr>
    </w:p>
    <w:p w14:paraId="3DD933A5" w14:textId="7CF502AE" w:rsidR="00FB6710" w:rsidRPr="00183B5F" w:rsidRDefault="00943743" w:rsidP="004062FE">
      <w:pPr>
        <w:keepNext/>
        <w:spacing w:line="240" w:lineRule="auto"/>
        <w:rPr>
          <w:del w:id="588" w:author="AbbVie_HU_03" w:date="2025-05-14T15:27:00Z"/>
          <w:szCs w:val="22"/>
          <w:u w:val="single"/>
        </w:rPr>
      </w:pPr>
      <w:del w:id="589" w:author="AbbVie_HU_03" w:date="2025-05-14T15:27:00Z">
        <w:r w:rsidRPr="00183B5F">
          <w:rPr>
            <w:szCs w:val="22"/>
            <w:u w:val="single"/>
          </w:rPr>
          <w:delText>Védőoltások</w:delText>
        </w:r>
      </w:del>
    </w:p>
    <w:p w14:paraId="509F098C" w14:textId="5E74D38E" w:rsidR="009E2A2F" w:rsidRPr="00183B5F" w:rsidRDefault="009E2A2F" w:rsidP="004062FE">
      <w:pPr>
        <w:keepNext/>
        <w:spacing w:line="240" w:lineRule="auto"/>
        <w:rPr>
          <w:del w:id="590" w:author="AbbVie_HU_03" w:date="2025-05-14T15:27:00Z"/>
          <w:szCs w:val="22"/>
          <w:u w:val="single"/>
        </w:rPr>
      </w:pPr>
    </w:p>
    <w:p w14:paraId="003E1A14" w14:textId="199BBF27" w:rsidR="00FB6710" w:rsidRPr="00183B5F" w:rsidRDefault="00943743" w:rsidP="004062FE">
      <w:pPr>
        <w:keepNext/>
        <w:spacing w:line="240" w:lineRule="auto"/>
        <w:rPr>
          <w:del w:id="591" w:author="AbbVie_HU_03" w:date="2025-05-14T15:27:00Z"/>
          <w:bCs/>
          <w:szCs w:val="22"/>
        </w:rPr>
      </w:pPr>
      <w:del w:id="592" w:author="AbbVie_HU_03" w:date="2025-05-14T15:27:00Z">
        <w:r w:rsidRPr="00183B5F">
          <w:rPr>
            <w:szCs w:val="22"/>
          </w:rPr>
          <w:delText>Egy vizsgálat 226</w:delText>
        </w:r>
        <w:r w:rsidR="003C7941" w:rsidRPr="00183B5F">
          <w:rPr>
            <w:szCs w:val="22"/>
          </w:rPr>
          <w:delText> </w:delText>
        </w:r>
        <w:r w:rsidRPr="00183B5F">
          <w:rPr>
            <w:szCs w:val="22"/>
          </w:rPr>
          <w:delText xml:space="preserve">rheumatoid arthritises, adalimumabbal vagy placebóval kezelt résztvevőjén hasonló antitestválaszt figyeltek meg a </w:delText>
        </w:r>
        <w:r w:rsidRPr="00183B5F">
          <w:rPr>
            <w:i/>
            <w:szCs w:val="22"/>
          </w:rPr>
          <w:delText>Pneumococcus</w:delText>
        </w:r>
        <w:r w:rsidR="003C7941" w:rsidRPr="00183B5F">
          <w:rPr>
            <w:szCs w:val="22"/>
          </w:rPr>
          <w:delText> </w:delText>
        </w:r>
        <w:r w:rsidRPr="00183B5F">
          <w:rPr>
            <w:szCs w:val="22"/>
          </w:rPr>
          <w:delText>23 szerotípusát tartalmazó standard oltóanyaggal</w:delText>
        </w:r>
        <w:r w:rsidRPr="00183B5F">
          <w:rPr>
            <w:bCs/>
            <w:szCs w:val="22"/>
          </w:rPr>
          <w:delText>, valamint a trivalens influenzavírus</w:delText>
        </w:r>
        <w:r w:rsidR="003B4347" w:rsidRPr="00183B5F">
          <w:rPr>
            <w:bCs/>
            <w:szCs w:val="22"/>
          </w:rPr>
          <w:delText>-</w:delText>
        </w:r>
        <w:r w:rsidRPr="00183B5F">
          <w:rPr>
            <w:bCs/>
            <w:szCs w:val="22"/>
          </w:rPr>
          <w:delText>vakcinával szemben. Nincs adat arról, hogy Humira</w:delText>
        </w:r>
        <w:r w:rsidR="003C7941" w:rsidRPr="00183B5F">
          <w:rPr>
            <w:bCs/>
            <w:szCs w:val="22"/>
          </w:rPr>
          <w:noBreakHyphen/>
        </w:r>
        <w:r w:rsidRPr="00183B5F">
          <w:rPr>
            <w:bCs/>
            <w:szCs w:val="22"/>
          </w:rPr>
          <w:delText xml:space="preserve">val kezelt betegek élő kórokozót tartalmazó vakcinával végzett védőoltása esetén bekövetkezhet-e a fertőzés másodlagos transzmissziója. </w:delText>
        </w:r>
      </w:del>
    </w:p>
    <w:p w14:paraId="697B190D" w14:textId="0700EF8C" w:rsidR="00591E79" w:rsidRPr="00183B5F" w:rsidRDefault="00591E79" w:rsidP="004062FE">
      <w:pPr>
        <w:keepNext/>
        <w:spacing w:line="240" w:lineRule="auto"/>
        <w:rPr>
          <w:del w:id="593" w:author="AbbVie_HU_03" w:date="2025-05-14T15:27:00Z"/>
          <w:bCs/>
          <w:szCs w:val="22"/>
        </w:rPr>
      </w:pPr>
    </w:p>
    <w:p w14:paraId="327CF2DF" w14:textId="7AE4C704" w:rsidR="00FB6710" w:rsidRPr="00183B5F" w:rsidRDefault="00943743" w:rsidP="004062FE">
      <w:pPr>
        <w:autoSpaceDE w:val="0"/>
        <w:autoSpaceDN w:val="0"/>
        <w:adjustRightInd w:val="0"/>
        <w:spacing w:line="240" w:lineRule="auto"/>
        <w:rPr>
          <w:del w:id="594" w:author="AbbVie_HU_03" w:date="2025-05-14T15:27:00Z"/>
          <w:szCs w:val="22"/>
        </w:rPr>
      </w:pPr>
      <w:del w:id="595" w:author="AbbVie_HU_03" w:date="2025-05-14T15:27:00Z">
        <w:r w:rsidRPr="00183B5F">
          <w:rPr>
            <w:szCs w:val="22"/>
          </w:rPr>
          <w:delText xml:space="preserve">Ajánlott, hogy – ha lehetséges -, </w:delText>
        </w:r>
        <w:r w:rsidR="00CA1DCD" w:rsidRPr="00183B5F">
          <w:rPr>
            <w:szCs w:val="22"/>
          </w:rPr>
          <w:delText xml:space="preserve">a </w:delText>
        </w:r>
        <w:r w:rsidR="00CB73C8" w:rsidRPr="00183B5F">
          <w:rPr>
            <w:szCs w:val="22"/>
          </w:rPr>
          <w:delText>gyermekeknél és serdülőknél</w:delText>
        </w:r>
        <w:r w:rsidRPr="00183B5F">
          <w:rPr>
            <w:szCs w:val="22"/>
          </w:rPr>
          <w:delText xml:space="preserve"> a Humira</w:delText>
        </w:r>
        <w:r w:rsidR="003C7941" w:rsidRPr="00183B5F">
          <w:rPr>
            <w:szCs w:val="22"/>
          </w:rPr>
          <w:noBreakHyphen/>
        </w:r>
        <w:r w:rsidRPr="00183B5F">
          <w:rPr>
            <w:szCs w:val="22"/>
          </w:rPr>
          <w:delText xml:space="preserve">kezelés megkezdése előtt adjanak be minden védőoltást a hatályos védőoltási irányelvek alapján. </w:delText>
        </w:r>
      </w:del>
    </w:p>
    <w:p w14:paraId="7E7E337E" w14:textId="35B3D7C5" w:rsidR="00FB6710" w:rsidRPr="00183B5F" w:rsidRDefault="00FB6710" w:rsidP="004062FE">
      <w:pPr>
        <w:spacing w:line="240" w:lineRule="auto"/>
        <w:rPr>
          <w:del w:id="596" w:author="AbbVie_HU_03" w:date="2025-05-14T15:27:00Z"/>
          <w:bCs/>
          <w:szCs w:val="22"/>
        </w:rPr>
      </w:pPr>
    </w:p>
    <w:p w14:paraId="4A8A6AD9" w14:textId="4D3CC6F6" w:rsidR="00703E29" w:rsidRPr="00183B5F" w:rsidRDefault="00943743" w:rsidP="004062FE">
      <w:pPr>
        <w:spacing w:line="240" w:lineRule="auto"/>
        <w:rPr>
          <w:del w:id="597" w:author="AbbVie_HU_03" w:date="2025-05-14T15:27:00Z"/>
          <w:bCs/>
          <w:szCs w:val="22"/>
        </w:rPr>
      </w:pPr>
      <w:del w:id="598" w:author="AbbVie_HU_03" w:date="2025-05-14T15:27:00Z">
        <w:r w:rsidRPr="00183B5F">
          <w:rPr>
            <w:bCs/>
            <w:szCs w:val="22"/>
          </w:rPr>
          <w:delText>A Humira</w:delText>
        </w:r>
        <w:r w:rsidR="003C7941" w:rsidRPr="00183B5F">
          <w:rPr>
            <w:bCs/>
            <w:szCs w:val="22"/>
          </w:rPr>
          <w:noBreakHyphen/>
        </w:r>
        <w:r w:rsidRPr="00183B5F">
          <w:rPr>
            <w:bCs/>
            <w:szCs w:val="22"/>
          </w:rPr>
          <w:delText>val kezelt betegeknek – élő kórokozót tartalmazó vakcinák kivételével – adható egyidejűleg védőoltás.</w:delText>
        </w:r>
        <w:r w:rsidR="001720E9" w:rsidRPr="00183B5F">
          <w:rPr>
            <w:bCs/>
            <w:szCs w:val="22"/>
          </w:rPr>
          <w:delText xml:space="preserve"> </w:delText>
        </w:r>
        <w:r w:rsidR="00C15284" w:rsidRPr="00183B5F">
          <w:rPr>
            <w:bCs/>
            <w:szCs w:val="22"/>
          </w:rPr>
          <w:delText>Az anya terhesség alatti utolsó adalimumab</w:delText>
        </w:r>
        <w:r w:rsidR="00626979" w:rsidRPr="00183B5F">
          <w:rPr>
            <w:bCs/>
            <w:szCs w:val="22"/>
          </w:rPr>
          <w:delText>-</w:delText>
        </w:r>
        <w:r w:rsidR="00C15284" w:rsidRPr="00183B5F">
          <w:rPr>
            <w:bCs/>
            <w:szCs w:val="22"/>
          </w:rPr>
          <w:delText>injekciójától számított 5</w:delText>
        </w:r>
        <w:r w:rsidR="003C7941" w:rsidRPr="00183B5F">
          <w:rPr>
            <w:bCs/>
            <w:szCs w:val="22"/>
          </w:rPr>
          <w:delText> </w:delText>
        </w:r>
        <w:r w:rsidR="00C15284" w:rsidRPr="00183B5F">
          <w:rPr>
            <w:bCs/>
            <w:szCs w:val="22"/>
          </w:rPr>
          <w:delText>hónapig nem javasolt az olyan</w:delText>
        </w:r>
        <w:r w:rsidR="001720E9" w:rsidRPr="00183B5F">
          <w:rPr>
            <w:bCs/>
            <w:szCs w:val="22"/>
          </w:rPr>
          <w:delText xml:space="preserve"> csecsemők </w:delText>
        </w:r>
        <w:r w:rsidR="001F66D2" w:rsidRPr="00183B5F">
          <w:rPr>
            <w:bCs/>
            <w:szCs w:val="22"/>
          </w:rPr>
          <w:delText xml:space="preserve">élő kórokozót tartalmazó vakcinával </w:delText>
        </w:r>
        <w:r w:rsidR="003D777F" w:rsidRPr="00183B5F">
          <w:rPr>
            <w:bCs/>
            <w:szCs w:val="22"/>
          </w:rPr>
          <w:delText>(pl. BCG</w:delText>
        </w:r>
        <w:r w:rsidR="00626979" w:rsidRPr="00183B5F">
          <w:rPr>
            <w:bCs/>
            <w:szCs w:val="22"/>
          </w:rPr>
          <w:delText>-</w:delText>
        </w:r>
        <w:r w:rsidR="003D777F" w:rsidRPr="00183B5F">
          <w:rPr>
            <w:bCs/>
            <w:szCs w:val="22"/>
          </w:rPr>
          <w:delText xml:space="preserve">vakcinával) </w:delText>
        </w:r>
        <w:r w:rsidR="001F66D2" w:rsidRPr="00183B5F">
          <w:rPr>
            <w:bCs/>
            <w:szCs w:val="22"/>
          </w:rPr>
          <w:delText xml:space="preserve">való </w:delText>
        </w:r>
        <w:r w:rsidR="001720E9" w:rsidRPr="00183B5F">
          <w:rPr>
            <w:bCs/>
            <w:szCs w:val="22"/>
          </w:rPr>
          <w:delText xml:space="preserve">oltása, akik </w:delText>
        </w:r>
        <w:r w:rsidR="001720E9" w:rsidRPr="00183B5F">
          <w:rPr>
            <w:bCs/>
            <w:i/>
            <w:szCs w:val="22"/>
          </w:rPr>
          <w:delText>in utero</w:delText>
        </w:r>
        <w:r w:rsidR="001720E9" w:rsidRPr="00183B5F">
          <w:rPr>
            <w:bCs/>
            <w:szCs w:val="22"/>
          </w:rPr>
          <w:delText xml:space="preserve"> adalimumab hatásának voltak kitéve.</w:delText>
        </w:r>
      </w:del>
    </w:p>
    <w:p w14:paraId="3B31ED42" w14:textId="2FA9B278" w:rsidR="00703E29" w:rsidRPr="00183B5F" w:rsidRDefault="00703E29" w:rsidP="004062FE">
      <w:pPr>
        <w:spacing w:line="240" w:lineRule="auto"/>
        <w:rPr>
          <w:del w:id="599" w:author="AbbVie_HU_03" w:date="2025-05-14T15:27:00Z"/>
          <w:bCs/>
          <w:szCs w:val="22"/>
        </w:rPr>
      </w:pPr>
    </w:p>
    <w:p w14:paraId="0567E26F" w14:textId="0B399B23" w:rsidR="009E2A2F" w:rsidRPr="00183B5F" w:rsidRDefault="00943743" w:rsidP="004062FE">
      <w:pPr>
        <w:spacing w:line="240" w:lineRule="auto"/>
        <w:rPr>
          <w:del w:id="600" w:author="AbbVie_HU_03" w:date="2025-05-14T15:27:00Z"/>
          <w:szCs w:val="22"/>
          <w:u w:val="single"/>
        </w:rPr>
      </w:pPr>
      <w:del w:id="601" w:author="AbbVie_HU_03" w:date="2025-05-14T15:27:00Z">
        <w:r w:rsidRPr="00183B5F">
          <w:rPr>
            <w:szCs w:val="22"/>
            <w:u w:val="single"/>
          </w:rPr>
          <w:delText>Pangásos szívelégtelenség</w:delText>
        </w:r>
      </w:del>
    </w:p>
    <w:p w14:paraId="7D666D8C" w14:textId="3C015187" w:rsidR="009E2A2F" w:rsidRPr="00183B5F" w:rsidRDefault="009E2A2F" w:rsidP="004062FE">
      <w:pPr>
        <w:spacing w:line="240" w:lineRule="auto"/>
        <w:rPr>
          <w:del w:id="602" w:author="AbbVie_HU_03" w:date="2025-05-14T15:27:00Z"/>
          <w:szCs w:val="22"/>
          <w:u w:val="single"/>
        </w:rPr>
      </w:pPr>
    </w:p>
    <w:p w14:paraId="5D85A106" w14:textId="1C3BE0BA" w:rsidR="00703E29" w:rsidRPr="00183B5F" w:rsidRDefault="00943743" w:rsidP="004062FE">
      <w:pPr>
        <w:spacing w:line="240" w:lineRule="auto"/>
        <w:rPr>
          <w:del w:id="603" w:author="AbbVie_HU_03" w:date="2025-05-14T15:27:00Z"/>
          <w:szCs w:val="22"/>
        </w:rPr>
      </w:pPr>
      <w:del w:id="604" w:author="AbbVie_HU_03" w:date="2025-05-14T15:27:00Z">
        <w:r w:rsidRPr="00183B5F">
          <w:rPr>
            <w:szCs w:val="22"/>
          </w:rPr>
          <w:delText>Egy másik TNF</w:delText>
        </w:r>
        <w:r w:rsidR="003C7941" w:rsidRPr="00183B5F">
          <w:rPr>
            <w:szCs w:val="22"/>
          </w:rPr>
          <w:noBreakHyphen/>
        </w:r>
        <w:r w:rsidRPr="00183B5F">
          <w:rPr>
            <w:szCs w:val="22"/>
          </w:rPr>
          <w:delText>antagonistával végzett klinikai vizsgálat során a pangásos szívelégtelenség súlyosbodását</w:delText>
        </w:r>
        <w:r w:rsidR="00626979" w:rsidRPr="00183B5F">
          <w:rPr>
            <w:szCs w:val="22"/>
          </w:rPr>
          <w:delText>,</w:delText>
        </w:r>
        <w:r w:rsidRPr="00183B5F">
          <w:rPr>
            <w:szCs w:val="22"/>
          </w:rPr>
          <w:delText xml:space="preserve"> illetve a pangásos szívelégtelenséggel összefüggésben levő halálesetek számának növekedését tapasztalták. A pangásos szívelégtelenség súlyosbodásáról szintén beszámoltak Humira</w:delText>
        </w:r>
        <w:r w:rsidR="00305C86" w:rsidRPr="00183B5F">
          <w:rPr>
            <w:szCs w:val="22"/>
          </w:rPr>
          <w:noBreakHyphen/>
        </w:r>
        <w:r w:rsidRPr="00183B5F">
          <w:rPr>
            <w:szCs w:val="22"/>
          </w:rPr>
          <w:delText>val kezelt betegeknél. A Humira</w:delText>
        </w:r>
        <w:r w:rsidR="003C7941" w:rsidRPr="00183B5F">
          <w:rPr>
            <w:szCs w:val="22"/>
          </w:rPr>
          <w:noBreakHyphen/>
        </w:r>
        <w:r w:rsidRPr="00183B5F">
          <w:rPr>
            <w:szCs w:val="22"/>
          </w:rPr>
          <w:delText>t csak fokozott óvatossággal szabad használni enyhe szívelégtelenségben (NYHA</w:delText>
        </w:r>
        <w:r w:rsidR="003C7941" w:rsidRPr="00183B5F">
          <w:rPr>
            <w:szCs w:val="22"/>
          </w:rPr>
          <w:delText> </w:delText>
        </w:r>
        <w:r w:rsidRPr="00183B5F">
          <w:rPr>
            <w:szCs w:val="22"/>
          </w:rPr>
          <w:delText>I/II</w:delText>
        </w:r>
        <w:r w:rsidR="005F6E2D" w:rsidRPr="00183B5F">
          <w:rPr>
            <w:szCs w:val="22"/>
          </w:rPr>
          <w:delText xml:space="preserve"> stádium</w:delText>
        </w:r>
        <w:r w:rsidRPr="00183B5F">
          <w:rPr>
            <w:szCs w:val="22"/>
          </w:rPr>
          <w:delText>) szenvedők kezelésére. A Humira kontraindikált a köz</w:delText>
        </w:r>
        <w:r w:rsidR="001E33D4" w:rsidRPr="00183B5F">
          <w:rPr>
            <w:szCs w:val="22"/>
          </w:rPr>
          <w:delText xml:space="preserve">epesen </w:delText>
        </w:r>
        <w:r w:rsidRPr="00183B5F">
          <w:rPr>
            <w:szCs w:val="22"/>
          </w:rPr>
          <w:delText>súlyos</w:delText>
        </w:r>
        <w:r w:rsidRPr="00183B5F">
          <w:rPr>
            <w:szCs w:val="22"/>
          </w:rPr>
          <w:noBreakHyphen/>
          <w:delText>súlyos szívelégtelenség eseteiben (lásd 4.3 pont). A H</w:delText>
        </w:r>
        <w:r w:rsidRPr="00183B5F">
          <w:rPr>
            <w:szCs w:val="22"/>
          </w:rPr>
          <w:delText>umira</w:delText>
        </w:r>
        <w:r w:rsidR="003C7941" w:rsidRPr="00183B5F">
          <w:rPr>
            <w:szCs w:val="22"/>
          </w:rPr>
          <w:noBreakHyphen/>
        </w:r>
        <w:r w:rsidRPr="00183B5F">
          <w:rPr>
            <w:szCs w:val="22"/>
          </w:rPr>
          <w:delText>kezelést fel kell függeszteni minden olyan beteg esetében, akinél a pangásos szívelégtelenség rosszabbodása, illetve új tünet megjelenése tapasztalható.</w:delText>
        </w:r>
      </w:del>
    </w:p>
    <w:p w14:paraId="6A7F451C" w14:textId="40290C13" w:rsidR="00703E29" w:rsidRPr="00183B5F" w:rsidRDefault="00703E29" w:rsidP="004062FE">
      <w:pPr>
        <w:spacing w:line="240" w:lineRule="auto"/>
        <w:rPr>
          <w:del w:id="605" w:author="AbbVie_HU_03" w:date="2025-05-14T15:27:00Z"/>
          <w:szCs w:val="22"/>
        </w:rPr>
      </w:pPr>
    </w:p>
    <w:p w14:paraId="2F8B2C86" w14:textId="633D64C6" w:rsidR="009E2A2F" w:rsidRPr="00183B5F" w:rsidRDefault="00943743" w:rsidP="004062FE">
      <w:pPr>
        <w:spacing w:line="240" w:lineRule="auto"/>
        <w:rPr>
          <w:del w:id="606" w:author="AbbVie_HU_03" w:date="2025-05-14T15:27:00Z"/>
          <w:szCs w:val="22"/>
          <w:u w:val="single"/>
        </w:rPr>
      </w:pPr>
      <w:del w:id="607" w:author="AbbVie_HU_03" w:date="2025-05-14T15:27:00Z">
        <w:r w:rsidRPr="00183B5F">
          <w:rPr>
            <w:szCs w:val="22"/>
            <w:u w:val="single"/>
          </w:rPr>
          <w:delText>Autoimmun folyamatok</w:delText>
        </w:r>
      </w:del>
    </w:p>
    <w:p w14:paraId="0937D2FF" w14:textId="454FFE90" w:rsidR="009E2A2F" w:rsidRPr="00183B5F" w:rsidRDefault="009E2A2F" w:rsidP="004062FE">
      <w:pPr>
        <w:spacing w:line="240" w:lineRule="auto"/>
        <w:rPr>
          <w:del w:id="608" w:author="AbbVie_HU_03" w:date="2025-05-14T15:27:00Z"/>
          <w:szCs w:val="22"/>
          <w:u w:val="single"/>
        </w:rPr>
      </w:pPr>
    </w:p>
    <w:p w14:paraId="3DA62A99" w14:textId="33770F72" w:rsidR="00FB6710" w:rsidRPr="00183B5F" w:rsidRDefault="00943743" w:rsidP="004062FE">
      <w:pPr>
        <w:spacing w:line="240" w:lineRule="auto"/>
        <w:rPr>
          <w:del w:id="609" w:author="AbbVie_HU_03" w:date="2025-05-14T15:27:00Z"/>
          <w:szCs w:val="22"/>
        </w:rPr>
      </w:pPr>
      <w:del w:id="610" w:author="AbbVie_HU_03" w:date="2025-05-14T15:27:00Z">
        <w:r w:rsidRPr="00183B5F">
          <w:rPr>
            <w:szCs w:val="22"/>
          </w:rPr>
          <w:delText>A Humira</w:delText>
        </w:r>
        <w:r w:rsidR="003C7941" w:rsidRPr="00183B5F">
          <w:rPr>
            <w:szCs w:val="22"/>
          </w:rPr>
          <w:noBreakHyphen/>
        </w:r>
        <w:r w:rsidRPr="00183B5F">
          <w:rPr>
            <w:szCs w:val="22"/>
          </w:rPr>
          <w:delText>val való kezelés során autoantitestek képződése előfordulhat. A Humira hosszú</w:delText>
        </w:r>
        <w:r w:rsidR="00CE76E2" w:rsidRPr="00183B5F">
          <w:rPr>
            <w:szCs w:val="22"/>
          </w:rPr>
          <w:delText xml:space="preserve"> </w:delText>
        </w:r>
        <w:r w:rsidRPr="00183B5F">
          <w:rPr>
            <w:szCs w:val="22"/>
          </w:rPr>
          <w:delText>távú hatása az autoimmun betegségek kialakulására nem ismert. Ha a Humira alkalmazása után lupus-szerű szindrómára utaló tünetek jelentkeznek, továbbá kettős szálú DNS elleni antitestek jelennek meg, akkor nem szabad folytatni a Humira adását (lásd</w:delText>
        </w:r>
        <w:r w:rsidRPr="00183B5F">
          <w:rPr>
            <w:i/>
            <w:iCs/>
            <w:szCs w:val="22"/>
          </w:rPr>
          <w:delText xml:space="preserve"> </w:delText>
        </w:r>
        <w:r w:rsidRPr="00183B5F">
          <w:rPr>
            <w:szCs w:val="22"/>
          </w:rPr>
          <w:delText>4.8 pont).</w:delText>
        </w:r>
      </w:del>
    </w:p>
    <w:p w14:paraId="2ABCFEA2" w14:textId="79986339" w:rsidR="00FB6710" w:rsidRPr="00183B5F" w:rsidRDefault="00FB6710" w:rsidP="004062FE">
      <w:pPr>
        <w:spacing w:line="240" w:lineRule="auto"/>
        <w:rPr>
          <w:del w:id="611" w:author="AbbVie_HU_03" w:date="2025-05-14T15:27:00Z"/>
          <w:szCs w:val="22"/>
        </w:rPr>
      </w:pPr>
    </w:p>
    <w:p w14:paraId="2F815888" w14:textId="0A2B2FD5" w:rsidR="00FB6710" w:rsidRPr="00183B5F" w:rsidRDefault="00943743" w:rsidP="004062FE">
      <w:pPr>
        <w:spacing w:line="240" w:lineRule="auto"/>
        <w:rPr>
          <w:del w:id="612" w:author="AbbVie_HU_03" w:date="2025-05-14T15:27:00Z"/>
          <w:szCs w:val="22"/>
          <w:u w:val="single"/>
        </w:rPr>
      </w:pPr>
      <w:del w:id="613" w:author="AbbVie_HU_03" w:date="2025-05-14T15:27:00Z">
        <w:r w:rsidRPr="00183B5F">
          <w:rPr>
            <w:szCs w:val="22"/>
            <w:u w:val="single"/>
          </w:rPr>
          <w:delText xml:space="preserve">Biológiai </w:delText>
        </w:r>
        <w:r w:rsidR="0038627A" w:rsidRPr="00183B5F">
          <w:rPr>
            <w:szCs w:val="22"/>
            <w:u w:val="single"/>
          </w:rPr>
          <w:delText xml:space="preserve">reumaellenes betegségmódosító </w:delText>
        </w:r>
        <w:r w:rsidR="00D30E8D" w:rsidRPr="00183B5F">
          <w:rPr>
            <w:szCs w:val="22"/>
            <w:u w:val="single"/>
          </w:rPr>
          <w:delText>gyógyszerek</w:delText>
        </w:r>
        <w:r w:rsidRPr="00183B5F">
          <w:rPr>
            <w:szCs w:val="22"/>
            <w:u w:val="single"/>
          </w:rPr>
          <w:delText xml:space="preserve"> </w:delText>
        </w:r>
        <w:r w:rsidR="0038627A" w:rsidRPr="00183B5F">
          <w:rPr>
            <w:szCs w:val="22"/>
            <w:u w:val="single"/>
          </w:rPr>
          <w:delText xml:space="preserve">(DMARD-ok) </w:delText>
        </w:r>
        <w:r w:rsidR="00175C82" w:rsidRPr="00183B5F">
          <w:rPr>
            <w:szCs w:val="22"/>
            <w:u w:val="single"/>
          </w:rPr>
          <w:delText xml:space="preserve">vagy </w:delText>
        </w:r>
        <w:r w:rsidRPr="00183B5F">
          <w:rPr>
            <w:szCs w:val="22"/>
            <w:u w:val="single"/>
          </w:rPr>
          <w:delText>TNF</w:delText>
        </w:r>
        <w:r w:rsidR="003C7941" w:rsidRPr="00183B5F">
          <w:rPr>
            <w:szCs w:val="22"/>
            <w:u w:val="single"/>
          </w:rPr>
          <w:noBreakHyphen/>
        </w:r>
        <w:r w:rsidRPr="00183B5F">
          <w:rPr>
            <w:szCs w:val="22"/>
            <w:u w:val="single"/>
          </w:rPr>
          <w:delText>antagonisták együttadása</w:delText>
        </w:r>
      </w:del>
    </w:p>
    <w:p w14:paraId="102E1E6B" w14:textId="35D6BE25" w:rsidR="009E2A2F" w:rsidRPr="00183B5F" w:rsidRDefault="009E2A2F" w:rsidP="004062FE">
      <w:pPr>
        <w:spacing w:line="240" w:lineRule="auto"/>
        <w:rPr>
          <w:del w:id="614" w:author="AbbVie_HU_03" w:date="2025-05-14T15:27:00Z"/>
          <w:szCs w:val="22"/>
          <w:u w:val="single"/>
        </w:rPr>
      </w:pPr>
    </w:p>
    <w:p w14:paraId="5451AD83" w14:textId="3F184D68" w:rsidR="00FB6710" w:rsidRPr="00183B5F" w:rsidRDefault="00943743" w:rsidP="004062FE">
      <w:pPr>
        <w:spacing w:line="240" w:lineRule="auto"/>
        <w:rPr>
          <w:del w:id="615" w:author="AbbVie_HU_03" w:date="2025-05-14T15:27:00Z"/>
          <w:szCs w:val="22"/>
        </w:rPr>
      </w:pPr>
      <w:del w:id="616" w:author="AbbVie_HU_03" w:date="2025-05-14T15:27:00Z">
        <w:r w:rsidRPr="00183B5F">
          <w:rPr>
            <w:szCs w:val="22"/>
          </w:rPr>
          <w:delText>Klinikai vizsgálatokban súlyos fertőzéseket tapasztaltak előnyösebb klinikai hatás nélkül anakinra és egy másik TNF</w:delText>
        </w:r>
        <w:r w:rsidR="003C7941" w:rsidRPr="00183B5F">
          <w:rPr>
            <w:szCs w:val="22"/>
          </w:rPr>
          <w:noBreakHyphen/>
        </w:r>
        <w:r w:rsidRPr="00183B5F">
          <w:rPr>
            <w:szCs w:val="22"/>
          </w:rPr>
          <w:delText xml:space="preserve">antagonista, az etanercept együttes adásakor, amennyiben a kombinált kezelés hatását az önmagában adagolt etanercept hatásával hasonlították össze. </w:delText>
        </w:r>
        <w:r w:rsidR="009B6893" w:rsidRPr="00183B5F">
          <w:rPr>
            <w:szCs w:val="22"/>
          </w:rPr>
          <w:delText>Az etanercepttel és anakinrával végzett kombinációs kezelésnél észlelt mellékhatások természete miatt hasonló toxicitás várható az anakinra és más TNF</w:delText>
        </w:r>
        <w:r w:rsidR="009B6893" w:rsidRPr="00183B5F">
          <w:rPr>
            <w:szCs w:val="22"/>
          </w:rPr>
          <w:noBreakHyphen/>
          <w:delText>antagonista kombinációjánál is. Ezért az adalimumab és anakinra kombinációjának alkalmazása nem javasolt (lásd 4.5 pont).</w:delText>
        </w:r>
      </w:del>
    </w:p>
    <w:p w14:paraId="5C7A4EBC" w14:textId="225E6FF7" w:rsidR="00290FAC" w:rsidRPr="00183B5F" w:rsidRDefault="00290FAC" w:rsidP="004062FE">
      <w:pPr>
        <w:spacing w:line="240" w:lineRule="auto"/>
        <w:rPr>
          <w:del w:id="617" w:author="AbbVie_HU_03" w:date="2025-05-14T15:27:00Z"/>
          <w:szCs w:val="22"/>
          <w:u w:val="single"/>
        </w:rPr>
      </w:pPr>
    </w:p>
    <w:p w14:paraId="5B2B5B76" w14:textId="23057841" w:rsidR="00FB6710" w:rsidRPr="00183B5F" w:rsidRDefault="00943743" w:rsidP="004062FE">
      <w:pPr>
        <w:spacing w:line="240" w:lineRule="auto"/>
        <w:rPr>
          <w:del w:id="618" w:author="AbbVie_HU_03" w:date="2025-05-14T15:27:00Z"/>
          <w:szCs w:val="22"/>
        </w:rPr>
      </w:pPr>
      <w:del w:id="619" w:author="AbbVie_HU_03" w:date="2025-05-14T15:27:00Z">
        <w:r w:rsidRPr="00183B5F">
          <w:rPr>
            <w:szCs w:val="22"/>
          </w:rPr>
          <w:delText xml:space="preserve">Az adalimumab és egyéb biológiai </w:delText>
        </w:r>
        <w:r w:rsidR="001667CA" w:rsidRPr="00183B5F">
          <w:rPr>
            <w:szCs w:val="22"/>
          </w:rPr>
          <w:delText>betegségmódosító r</w:delText>
        </w:r>
        <w:r w:rsidR="00C15284" w:rsidRPr="00183B5F">
          <w:rPr>
            <w:szCs w:val="22"/>
          </w:rPr>
          <w:delText>h</w:delText>
        </w:r>
        <w:r w:rsidR="001667CA" w:rsidRPr="00183B5F">
          <w:rPr>
            <w:szCs w:val="22"/>
          </w:rPr>
          <w:delText>eumaellenes</w:delText>
        </w:r>
        <w:r w:rsidRPr="00183B5F">
          <w:rPr>
            <w:szCs w:val="22"/>
          </w:rPr>
          <w:delText xml:space="preserve"> </w:delText>
        </w:r>
        <w:r w:rsidR="00D30E8D" w:rsidRPr="00183B5F">
          <w:rPr>
            <w:szCs w:val="22"/>
          </w:rPr>
          <w:delText xml:space="preserve">gyógyszerek </w:delText>
        </w:r>
        <w:r w:rsidRPr="00183B5F">
          <w:rPr>
            <w:szCs w:val="22"/>
          </w:rPr>
          <w:delText>(pl. anakinra és abatacept) vagy egyéb TNF</w:delText>
        </w:r>
        <w:r w:rsidR="003C7941" w:rsidRPr="00183B5F">
          <w:rPr>
            <w:szCs w:val="22"/>
          </w:rPr>
          <w:noBreakHyphen/>
        </w:r>
        <w:r w:rsidRPr="00183B5F">
          <w:rPr>
            <w:szCs w:val="22"/>
          </w:rPr>
          <w:delText xml:space="preserve">antagonisták egyidejű alkalmazása nem javasolt </w:delText>
        </w:r>
        <w:r w:rsidR="00D30E8D" w:rsidRPr="00183B5F">
          <w:rPr>
            <w:szCs w:val="22"/>
          </w:rPr>
          <w:delText>f</w:delText>
        </w:r>
        <w:r w:rsidRPr="00183B5F">
          <w:rPr>
            <w:szCs w:val="22"/>
          </w:rPr>
          <w:delText>ertőzések</w:delText>
        </w:r>
        <w:r w:rsidR="00893C32" w:rsidRPr="00183B5F">
          <w:rPr>
            <w:szCs w:val="22"/>
          </w:rPr>
          <w:delText xml:space="preserve"> </w:delText>
        </w:r>
        <w:r w:rsidR="009B6893" w:rsidRPr="00183B5F">
          <w:rPr>
            <w:szCs w:val="22"/>
          </w:rPr>
          <w:delText>–</w:delText>
        </w:r>
        <w:r w:rsidRPr="00183B5F">
          <w:rPr>
            <w:szCs w:val="22"/>
          </w:rPr>
          <w:delText xml:space="preserve"> köztük súlyos fertőzések</w:delText>
        </w:r>
        <w:r w:rsidR="00893C32" w:rsidRPr="00183B5F">
          <w:rPr>
            <w:szCs w:val="22"/>
          </w:rPr>
          <w:delText xml:space="preserve"> </w:delText>
        </w:r>
        <w:r w:rsidR="009B6893" w:rsidRPr="00183B5F">
          <w:rPr>
            <w:szCs w:val="22"/>
          </w:rPr>
          <w:delText>–</w:delText>
        </w:r>
        <w:r w:rsidRPr="00183B5F">
          <w:rPr>
            <w:szCs w:val="22"/>
          </w:rPr>
          <w:delText xml:space="preserve"> lehetséges fokozott kockázata és egyéb </w:delText>
        </w:r>
        <w:r w:rsidR="00893C32" w:rsidRPr="00183B5F">
          <w:rPr>
            <w:szCs w:val="22"/>
          </w:rPr>
          <w:delText>potenciális</w:delText>
        </w:r>
        <w:r w:rsidRPr="00183B5F">
          <w:rPr>
            <w:szCs w:val="22"/>
          </w:rPr>
          <w:delText xml:space="preserve"> gyógyszerkölcsönhatások miatt.(lásd 4.5 pont).</w:delText>
        </w:r>
      </w:del>
    </w:p>
    <w:p w14:paraId="29609D8D" w14:textId="23E3239E" w:rsidR="00FB6710" w:rsidRPr="00183B5F" w:rsidRDefault="00FB6710" w:rsidP="004062FE">
      <w:pPr>
        <w:spacing w:line="240" w:lineRule="auto"/>
        <w:rPr>
          <w:del w:id="620" w:author="AbbVie_HU_03" w:date="2025-05-14T15:27:00Z"/>
          <w:szCs w:val="22"/>
        </w:rPr>
      </w:pPr>
    </w:p>
    <w:p w14:paraId="7A890256" w14:textId="5954183A" w:rsidR="00580B33" w:rsidRPr="00183B5F" w:rsidRDefault="00943743" w:rsidP="004062FE">
      <w:pPr>
        <w:spacing w:line="240" w:lineRule="auto"/>
        <w:rPr>
          <w:del w:id="621" w:author="AbbVie_HU_03" w:date="2025-05-14T15:27:00Z"/>
          <w:szCs w:val="22"/>
          <w:u w:val="single"/>
        </w:rPr>
      </w:pPr>
      <w:del w:id="622" w:author="AbbVie_HU_03" w:date="2025-05-14T15:27:00Z">
        <w:r w:rsidRPr="00183B5F">
          <w:rPr>
            <w:szCs w:val="22"/>
            <w:u w:val="single"/>
          </w:rPr>
          <w:delText>Sebészet</w:delText>
        </w:r>
      </w:del>
    </w:p>
    <w:p w14:paraId="752B8E75" w14:textId="0A3248D5" w:rsidR="00580B33" w:rsidRPr="00183B5F" w:rsidRDefault="00580B33" w:rsidP="004062FE">
      <w:pPr>
        <w:spacing w:line="240" w:lineRule="auto"/>
        <w:rPr>
          <w:del w:id="623" w:author="AbbVie_HU_03" w:date="2025-05-14T15:27:00Z"/>
          <w:szCs w:val="22"/>
          <w:u w:val="single"/>
        </w:rPr>
      </w:pPr>
    </w:p>
    <w:p w14:paraId="23050A07" w14:textId="605F8B19" w:rsidR="00FB6710" w:rsidRPr="00183B5F" w:rsidRDefault="00943743" w:rsidP="004062FE">
      <w:pPr>
        <w:spacing w:line="240" w:lineRule="auto"/>
        <w:rPr>
          <w:del w:id="624" w:author="AbbVie_HU_03" w:date="2025-05-14T15:27:00Z"/>
          <w:szCs w:val="22"/>
        </w:rPr>
      </w:pPr>
      <w:del w:id="625" w:author="AbbVie_HU_03" w:date="2025-05-14T15:27:00Z">
        <w:r w:rsidRPr="00183B5F">
          <w:rPr>
            <w:szCs w:val="22"/>
          </w:rPr>
          <w:delText>Sebészeti beavatkozások során Humira</w:delText>
        </w:r>
        <w:r w:rsidR="003C7941" w:rsidRPr="00183B5F">
          <w:rPr>
            <w:szCs w:val="22"/>
          </w:rPr>
          <w:noBreakHyphen/>
        </w:r>
        <w:r w:rsidRPr="00183B5F">
          <w:rPr>
            <w:szCs w:val="22"/>
          </w:rPr>
          <w:delText>val kezelt betegek körében biztonságossági tapasztalatok korlátozottan állnak rendelkezésre. Az adalimumab hosszú felezési idejét a tervezett műtéti beavatkozás során figyelembe kell venni. Humira</w:delText>
        </w:r>
        <w:r w:rsidR="003C7941" w:rsidRPr="00183B5F">
          <w:rPr>
            <w:szCs w:val="22"/>
          </w:rPr>
          <w:noBreakHyphen/>
        </w:r>
        <w:r w:rsidRPr="00183B5F">
          <w:rPr>
            <w:szCs w:val="22"/>
          </w:rPr>
          <w:delText xml:space="preserve">kezelés alatt műtéti beavatkozást igénylő beteget infekció tekintetében szorosan </w:delText>
        </w:r>
        <w:r w:rsidR="003B3F6D" w:rsidRPr="00183B5F">
          <w:rPr>
            <w:szCs w:val="22"/>
          </w:rPr>
          <w:delText>monitorozni</w:delText>
        </w:r>
        <w:r w:rsidRPr="00183B5F">
          <w:rPr>
            <w:szCs w:val="22"/>
          </w:rPr>
          <w:delText xml:space="preserve"> kell és megfelelő módon kell ellátni. </w:delText>
        </w:r>
        <w:r w:rsidR="005F6E2D" w:rsidRPr="00183B5F">
          <w:rPr>
            <w:szCs w:val="22"/>
          </w:rPr>
          <w:delText>A Humira</w:delText>
        </w:r>
        <w:r w:rsidR="00305C86" w:rsidRPr="00183B5F">
          <w:rPr>
            <w:szCs w:val="22"/>
          </w:rPr>
          <w:noBreakHyphen/>
        </w:r>
        <w:r w:rsidR="005F6E2D" w:rsidRPr="00183B5F">
          <w:rPr>
            <w:szCs w:val="22"/>
          </w:rPr>
          <w:delText>val kezelt arthro</w:delText>
        </w:r>
        <w:r w:rsidRPr="00183B5F">
          <w:rPr>
            <w:szCs w:val="22"/>
          </w:rPr>
          <w:delText>plasztik</w:delText>
        </w:r>
        <w:r w:rsidR="00B75B0F" w:rsidRPr="00183B5F">
          <w:rPr>
            <w:szCs w:val="22"/>
          </w:rPr>
          <w:delText>án</w:delText>
        </w:r>
        <w:r w:rsidRPr="00183B5F">
          <w:rPr>
            <w:szCs w:val="22"/>
          </w:rPr>
          <w:delText xml:space="preserve"> </w:delText>
        </w:r>
        <w:r w:rsidR="00B75B0F" w:rsidRPr="00183B5F">
          <w:rPr>
            <w:szCs w:val="22"/>
          </w:rPr>
          <w:delText>áteső</w:delText>
        </w:r>
        <w:r w:rsidR="005F6E2D" w:rsidRPr="00183B5F">
          <w:rPr>
            <w:szCs w:val="22"/>
          </w:rPr>
          <w:delText xml:space="preserve"> </w:delText>
        </w:r>
        <w:r w:rsidR="00B75B0F" w:rsidRPr="00183B5F">
          <w:rPr>
            <w:szCs w:val="22"/>
          </w:rPr>
          <w:delText xml:space="preserve">betegekkel </w:delText>
        </w:r>
        <w:r w:rsidR="005F6E2D" w:rsidRPr="00183B5F">
          <w:rPr>
            <w:szCs w:val="22"/>
          </w:rPr>
          <w:delText>szerzett</w:delText>
        </w:r>
        <w:r w:rsidRPr="00183B5F">
          <w:rPr>
            <w:szCs w:val="22"/>
          </w:rPr>
          <w:delText xml:space="preserve"> biztonságossági tapasztalatok</w:delText>
        </w:r>
        <w:r w:rsidR="005F6E2D" w:rsidRPr="00183B5F">
          <w:rPr>
            <w:szCs w:val="22"/>
          </w:rPr>
          <w:delText xml:space="preserve"> korlátozottak</w:delText>
        </w:r>
        <w:r w:rsidRPr="00183B5F">
          <w:rPr>
            <w:szCs w:val="22"/>
          </w:rPr>
          <w:delText>.</w:delText>
        </w:r>
      </w:del>
    </w:p>
    <w:p w14:paraId="135E7B33" w14:textId="4C682BC7" w:rsidR="00B30A47" w:rsidRPr="00183B5F" w:rsidRDefault="00B30A47" w:rsidP="004062FE">
      <w:pPr>
        <w:spacing w:line="240" w:lineRule="auto"/>
        <w:rPr>
          <w:del w:id="626" w:author="AbbVie_HU_03" w:date="2025-05-14T15:27:00Z"/>
          <w:szCs w:val="22"/>
          <w:u w:val="single"/>
        </w:rPr>
      </w:pPr>
    </w:p>
    <w:p w14:paraId="2AA90009" w14:textId="52EEBB27" w:rsidR="00FB6710" w:rsidRPr="00183B5F" w:rsidRDefault="00943743" w:rsidP="004062FE">
      <w:pPr>
        <w:keepNext/>
        <w:spacing w:line="240" w:lineRule="auto"/>
        <w:rPr>
          <w:del w:id="627" w:author="AbbVie_HU_03" w:date="2025-05-14T15:27:00Z"/>
          <w:szCs w:val="22"/>
          <w:u w:val="single"/>
        </w:rPr>
      </w:pPr>
      <w:del w:id="628" w:author="AbbVie_HU_03" w:date="2025-05-14T15:27:00Z">
        <w:r w:rsidRPr="00183B5F">
          <w:rPr>
            <w:szCs w:val="22"/>
            <w:u w:val="single"/>
          </w:rPr>
          <w:delText>Vékonybél</w:delText>
        </w:r>
        <w:r w:rsidR="003C7941" w:rsidRPr="00183B5F">
          <w:rPr>
            <w:szCs w:val="22"/>
            <w:u w:val="single"/>
          </w:rPr>
          <w:noBreakHyphen/>
        </w:r>
        <w:r w:rsidRPr="00183B5F">
          <w:rPr>
            <w:szCs w:val="22"/>
            <w:u w:val="single"/>
          </w:rPr>
          <w:delText>elzáródás</w:delText>
        </w:r>
      </w:del>
    </w:p>
    <w:p w14:paraId="30732F10" w14:textId="2B8EACB3" w:rsidR="00FB6710" w:rsidRPr="00183B5F" w:rsidRDefault="00FB6710" w:rsidP="004062FE">
      <w:pPr>
        <w:keepNext/>
        <w:spacing w:line="240" w:lineRule="auto"/>
        <w:rPr>
          <w:del w:id="629" w:author="AbbVie_HU_03" w:date="2025-05-14T15:27:00Z"/>
          <w:szCs w:val="22"/>
          <w:u w:val="single"/>
        </w:rPr>
      </w:pPr>
    </w:p>
    <w:p w14:paraId="4DE151D4" w14:textId="6F29AA68" w:rsidR="00FB6710" w:rsidRPr="00183B5F" w:rsidRDefault="00943743" w:rsidP="004062FE">
      <w:pPr>
        <w:keepNext/>
        <w:spacing w:line="240" w:lineRule="auto"/>
        <w:rPr>
          <w:del w:id="630" w:author="AbbVie_HU_03" w:date="2025-05-14T15:27:00Z"/>
          <w:szCs w:val="22"/>
        </w:rPr>
      </w:pPr>
      <w:del w:id="631" w:author="AbbVie_HU_03" w:date="2025-05-14T15:27:00Z">
        <w:r w:rsidRPr="00183B5F">
          <w:rPr>
            <w:szCs w:val="22"/>
          </w:rPr>
          <w:delText>A Crohn</w:delText>
        </w:r>
        <w:r w:rsidR="00305C86" w:rsidRPr="00183B5F">
          <w:rPr>
            <w:szCs w:val="22"/>
          </w:rPr>
          <w:noBreakHyphen/>
        </w:r>
        <w:r w:rsidRPr="00183B5F">
          <w:rPr>
            <w:szCs w:val="22"/>
          </w:rPr>
          <w:delText>betegség kezelés</w:delText>
        </w:r>
        <w:r w:rsidR="005F6E2D" w:rsidRPr="00183B5F">
          <w:rPr>
            <w:szCs w:val="22"/>
          </w:rPr>
          <w:delText xml:space="preserve">ének </w:delText>
        </w:r>
        <w:r w:rsidRPr="00183B5F">
          <w:rPr>
            <w:szCs w:val="22"/>
          </w:rPr>
          <w:delText>hatástalansága műtéti kezelést igénylő, heges szűkület jelenlétére utalhat. A rendelkezésre álló adatok alapján a Humira nem idéz elő bélszűkületet, és nem is súlyosbítja a már kialakult stricturát.</w:delText>
        </w:r>
      </w:del>
    </w:p>
    <w:p w14:paraId="580D03C3" w14:textId="2C7B591C" w:rsidR="004A4222" w:rsidRPr="00183B5F" w:rsidRDefault="004A4222" w:rsidP="004062FE">
      <w:pPr>
        <w:spacing w:line="240" w:lineRule="auto"/>
        <w:rPr>
          <w:del w:id="632" w:author="AbbVie_HU_03" w:date="2025-05-14T15:27:00Z"/>
          <w:szCs w:val="22"/>
        </w:rPr>
      </w:pPr>
    </w:p>
    <w:p w14:paraId="06563034" w14:textId="59CBA1D5" w:rsidR="00FB6710" w:rsidRPr="00183B5F" w:rsidRDefault="00943743" w:rsidP="004062FE">
      <w:pPr>
        <w:keepNext/>
        <w:spacing w:line="240" w:lineRule="auto"/>
        <w:rPr>
          <w:del w:id="633" w:author="AbbVie_HU_03" w:date="2025-05-14T15:27:00Z"/>
          <w:szCs w:val="22"/>
          <w:u w:val="single"/>
        </w:rPr>
      </w:pPr>
      <w:del w:id="634" w:author="AbbVie_HU_03" w:date="2025-05-14T15:27:00Z">
        <w:r w:rsidRPr="00183B5F">
          <w:rPr>
            <w:szCs w:val="22"/>
            <w:u w:val="single"/>
          </w:rPr>
          <w:delText>Idősek</w:delText>
        </w:r>
      </w:del>
    </w:p>
    <w:p w14:paraId="3383DEA2" w14:textId="740C5A58" w:rsidR="00FB6710" w:rsidRPr="00183B5F" w:rsidRDefault="00FB6710" w:rsidP="004062FE">
      <w:pPr>
        <w:keepNext/>
        <w:spacing w:line="240" w:lineRule="auto"/>
        <w:rPr>
          <w:del w:id="635" w:author="AbbVie_HU_03" w:date="2025-05-14T15:27:00Z"/>
          <w:szCs w:val="22"/>
        </w:rPr>
      </w:pPr>
    </w:p>
    <w:p w14:paraId="6500B8FA" w14:textId="28BA6F01" w:rsidR="00B60323" w:rsidRPr="00183B5F" w:rsidRDefault="00943743" w:rsidP="004062FE">
      <w:pPr>
        <w:keepNext/>
        <w:spacing w:line="240" w:lineRule="auto"/>
        <w:rPr>
          <w:del w:id="636" w:author="AbbVie_HU_03" w:date="2025-05-14T15:27:00Z"/>
          <w:szCs w:val="22"/>
        </w:rPr>
      </w:pPr>
      <w:del w:id="637" w:author="AbbVie_HU_03" w:date="2025-05-14T15:27:00Z">
        <w:r w:rsidRPr="00183B5F">
          <w:rPr>
            <w:szCs w:val="22"/>
          </w:rPr>
          <w:delText>A Humira</w:delText>
        </w:r>
        <w:r w:rsidR="00A309F0" w:rsidRPr="00183B5F">
          <w:rPr>
            <w:szCs w:val="22"/>
          </w:rPr>
          <w:noBreakHyphen/>
        </w:r>
        <w:r w:rsidRPr="00183B5F">
          <w:rPr>
            <w:szCs w:val="22"/>
          </w:rPr>
          <w:delText>val kezelt, 65</w:delText>
        </w:r>
        <w:r w:rsidR="003C7941" w:rsidRPr="00183B5F">
          <w:rPr>
            <w:szCs w:val="22"/>
          </w:rPr>
          <w:delText> </w:delText>
        </w:r>
        <w:r w:rsidRPr="00183B5F">
          <w:rPr>
            <w:szCs w:val="22"/>
          </w:rPr>
          <w:delText>éves kor feletti betegeknél a súlyos fertőzések gyakorisága magasabb volt (3,</w:delText>
        </w:r>
        <w:r w:rsidR="00930654" w:rsidRPr="00183B5F">
          <w:rPr>
            <w:szCs w:val="22"/>
          </w:rPr>
          <w:delText>7</w:delText>
        </w:r>
        <w:r w:rsidRPr="00183B5F">
          <w:rPr>
            <w:szCs w:val="22"/>
          </w:rPr>
          <w:delText>%), mint a 65</w:delText>
        </w:r>
        <w:r w:rsidR="003C7941" w:rsidRPr="00183B5F">
          <w:rPr>
            <w:szCs w:val="22"/>
          </w:rPr>
          <w:delText> </w:delText>
        </w:r>
        <w:r w:rsidRPr="00183B5F">
          <w:rPr>
            <w:szCs w:val="22"/>
          </w:rPr>
          <w:delText>évnél fiatalabbaknál (1,</w:delText>
        </w:r>
        <w:r w:rsidR="00930654" w:rsidRPr="00183B5F">
          <w:rPr>
            <w:szCs w:val="22"/>
          </w:rPr>
          <w:delText>5</w:delText>
        </w:r>
        <w:r w:rsidRPr="00183B5F">
          <w:rPr>
            <w:szCs w:val="22"/>
          </w:rPr>
          <w:delText>%). Némelyiküknél ez végzetes volt. Idősek kezelésekor különös figyelmet kell fordítani a fertőzés veszélyére.</w:delText>
        </w:r>
      </w:del>
    </w:p>
    <w:p w14:paraId="67C53DA3" w14:textId="13414F16" w:rsidR="00B60323" w:rsidRPr="00183B5F" w:rsidRDefault="00B60323" w:rsidP="004062FE">
      <w:pPr>
        <w:keepNext/>
        <w:spacing w:line="240" w:lineRule="auto"/>
        <w:rPr>
          <w:del w:id="638" w:author="AbbVie_HU_03" w:date="2025-05-14T15:27:00Z"/>
          <w:szCs w:val="22"/>
        </w:rPr>
      </w:pPr>
    </w:p>
    <w:p w14:paraId="14DA88DC" w14:textId="0DEB4078" w:rsidR="00FB6710" w:rsidRPr="00183B5F" w:rsidRDefault="00943743" w:rsidP="004062FE">
      <w:pPr>
        <w:keepNext/>
        <w:spacing w:line="240" w:lineRule="auto"/>
        <w:rPr>
          <w:del w:id="639" w:author="AbbVie_HU_03" w:date="2025-05-14T15:27:00Z"/>
          <w:szCs w:val="22"/>
        </w:rPr>
      </w:pPr>
      <w:del w:id="640" w:author="AbbVie_HU_03" w:date="2025-05-14T15:27:00Z">
        <w:r w:rsidRPr="00183B5F">
          <w:rPr>
            <w:noProof/>
            <w:szCs w:val="24"/>
            <w:u w:val="single"/>
          </w:rPr>
          <w:delText>Gyermekek</w:delText>
        </w:r>
        <w:r w:rsidR="00160AD5" w:rsidRPr="00183B5F">
          <w:rPr>
            <w:noProof/>
            <w:szCs w:val="24"/>
            <w:u w:val="single"/>
          </w:rPr>
          <w:delText xml:space="preserve"> és serdülők</w:delText>
        </w:r>
      </w:del>
    </w:p>
    <w:p w14:paraId="1EC10FF4" w14:textId="1514E2DC" w:rsidR="00404C48" w:rsidRPr="00183B5F" w:rsidRDefault="00404C48" w:rsidP="004062FE">
      <w:pPr>
        <w:spacing w:line="240" w:lineRule="auto"/>
        <w:rPr>
          <w:del w:id="641" w:author="AbbVie_HU_03" w:date="2025-05-14T15:27:00Z"/>
          <w:szCs w:val="22"/>
        </w:rPr>
      </w:pPr>
    </w:p>
    <w:p w14:paraId="6F8DC7AC" w14:textId="386DE6EB" w:rsidR="00B60323" w:rsidRPr="00183B5F" w:rsidRDefault="00943743" w:rsidP="004062FE">
      <w:pPr>
        <w:keepNext/>
        <w:spacing w:line="240" w:lineRule="auto"/>
        <w:rPr>
          <w:del w:id="642" w:author="AbbVie_HU_03" w:date="2025-05-14T15:27:00Z"/>
          <w:szCs w:val="22"/>
        </w:rPr>
      </w:pPr>
      <w:del w:id="643" w:author="AbbVie_HU_03" w:date="2025-05-14T15:27:00Z">
        <w:r w:rsidRPr="00183B5F">
          <w:rPr>
            <w:szCs w:val="22"/>
          </w:rPr>
          <w:delText>Lásd feljebb a Védőoltások</w:delText>
        </w:r>
        <w:r w:rsidR="00186D48" w:rsidRPr="00183B5F">
          <w:rPr>
            <w:szCs w:val="22"/>
          </w:rPr>
          <w:delText xml:space="preserve"> </w:delText>
        </w:r>
        <w:r w:rsidRPr="00183B5F">
          <w:rPr>
            <w:szCs w:val="22"/>
          </w:rPr>
          <w:delText>részben.</w:delText>
        </w:r>
      </w:del>
    </w:p>
    <w:p w14:paraId="2D320EFE" w14:textId="6B40A7D3" w:rsidR="00D035BA" w:rsidRPr="00183B5F" w:rsidRDefault="00D035BA" w:rsidP="004062FE">
      <w:pPr>
        <w:keepNext/>
        <w:spacing w:line="240" w:lineRule="auto"/>
        <w:rPr>
          <w:del w:id="644" w:author="AbbVie_HU_03" w:date="2025-05-14T15:27:00Z"/>
          <w:szCs w:val="22"/>
        </w:rPr>
      </w:pPr>
    </w:p>
    <w:p w14:paraId="7475E356" w14:textId="2207FDC7" w:rsidR="00D035BA" w:rsidRPr="00183B5F" w:rsidRDefault="00943743" w:rsidP="004062FE">
      <w:pPr>
        <w:keepNext/>
        <w:spacing w:line="240" w:lineRule="auto"/>
        <w:rPr>
          <w:del w:id="645" w:author="AbbVie_HU_03" w:date="2025-05-14T15:27:00Z"/>
          <w:szCs w:val="22"/>
          <w:u w:val="single"/>
        </w:rPr>
      </w:pPr>
      <w:del w:id="646" w:author="AbbVie_HU_03" w:date="2025-05-14T15:27:00Z">
        <w:r w:rsidRPr="00183B5F">
          <w:rPr>
            <w:szCs w:val="22"/>
            <w:u w:val="single"/>
          </w:rPr>
          <w:delText>Ismert hatású segédanyagok</w:delText>
        </w:r>
      </w:del>
    </w:p>
    <w:p w14:paraId="699F5BDE" w14:textId="279F6ED8" w:rsidR="00D035BA" w:rsidRPr="00183B5F" w:rsidRDefault="00D035BA" w:rsidP="004062FE">
      <w:pPr>
        <w:keepNext/>
        <w:spacing w:line="240" w:lineRule="auto"/>
        <w:rPr>
          <w:del w:id="647" w:author="AbbVie_HU_03" w:date="2025-05-14T15:27:00Z"/>
          <w:szCs w:val="22"/>
        </w:rPr>
      </w:pPr>
    </w:p>
    <w:p w14:paraId="219436C8" w14:textId="130B6071" w:rsidR="00052346" w:rsidRPr="00183B5F" w:rsidRDefault="00943743" w:rsidP="004062FE">
      <w:pPr>
        <w:keepNext/>
        <w:spacing w:line="240" w:lineRule="auto"/>
        <w:rPr>
          <w:del w:id="648" w:author="AbbVie_HU_03" w:date="2025-05-14T15:27:00Z"/>
          <w:szCs w:val="22"/>
        </w:rPr>
      </w:pPr>
      <w:del w:id="649" w:author="AbbVie_HU_03" w:date="2025-05-14T15:27:00Z">
        <w:r w:rsidRPr="00183B5F">
          <w:rPr>
            <w:szCs w:val="22"/>
          </w:rPr>
          <w:delText>A készítmény kevesebb, mint 1 mmol (23 mg) per 0,8 ml adag nátriumot tartalmaz, azaz gyakorlatilag nátriummentes.</w:delText>
        </w:r>
      </w:del>
    </w:p>
    <w:p w14:paraId="4E06560C" w14:textId="367F9DA7" w:rsidR="00B60323" w:rsidRPr="00183B5F" w:rsidRDefault="00B60323" w:rsidP="004062FE">
      <w:pPr>
        <w:spacing w:line="240" w:lineRule="auto"/>
        <w:rPr>
          <w:del w:id="650" w:author="AbbVie_HU_03" w:date="2025-05-14T15:27:00Z"/>
          <w:szCs w:val="22"/>
        </w:rPr>
      </w:pPr>
    </w:p>
    <w:p w14:paraId="641FD775" w14:textId="389A704A" w:rsidR="00B72636" w:rsidRPr="00183B5F" w:rsidRDefault="00943743" w:rsidP="004062FE">
      <w:pPr>
        <w:spacing w:line="240" w:lineRule="auto"/>
        <w:rPr>
          <w:del w:id="651" w:author="AbbVie_HU_03" w:date="2025-05-14T15:27:00Z"/>
          <w:b/>
          <w:szCs w:val="22"/>
        </w:rPr>
      </w:pPr>
      <w:del w:id="652" w:author="AbbVie_HU_03" w:date="2025-05-14T15:27:00Z">
        <w:r w:rsidRPr="00183B5F">
          <w:rPr>
            <w:b/>
            <w:szCs w:val="22"/>
          </w:rPr>
          <w:delText>4.5</w:delText>
        </w:r>
        <w:r w:rsidRPr="00183B5F">
          <w:rPr>
            <w:b/>
            <w:szCs w:val="22"/>
          </w:rPr>
          <w:tab/>
          <w:delText>Gyógyszerkölcsönhatások és egyéb interakciók</w:delText>
        </w:r>
      </w:del>
    </w:p>
    <w:p w14:paraId="3499A030" w14:textId="17D2A9A4" w:rsidR="00B72636" w:rsidRPr="00183B5F" w:rsidRDefault="00B72636" w:rsidP="004062FE">
      <w:pPr>
        <w:spacing w:line="240" w:lineRule="auto"/>
        <w:rPr>
          <w:del w:id="653" w:author="AbbVie_HU_03" w:date="2025-05-14T15:27:00Z"/>
          <w:b/>
          <w:szCs w:val="22"/>
        </w:rPr>
      </w:pPr>
    </w:p>
    <w:p w14:paraId="04A30E82" w14:textId="576B34B7" w:rsidR="00B60323" w:rsidRPr="00183B5F" w:rsidRDefault="00943743" w:rsidP="004062FE">
      <w:pPr>
        <w:spacing w:line="240" w:lineRule="auto"/>
        <w:rPr>
          <w:del w:id="654" w:author="AbbVie_HU_03" w:date="2025-05-14T15:27:00Z"/>
          <w:szCs w:val="22"/>
        </w:rPr>
      </w:pPr>
      <w:del w:id="655" w:author="AbbVie_HU_03" w:date="2025-05-14T15:27:00Z">
        <w:r w:rsidRPr="00183B5F">
          <w:rPr>
            <w:szCs w:val="22"/>
          </w:rPr>
          <w:delText>A Humira</w:delText>
        </w:r>
        <w:r w:rsidR="003C7941" w:rsidRPr="00183B5F">
          <w:rPr>
            <w:szCs w:val="22"/>
          </w:rPr>
          <w:noBreakHyphen/>
        </w:r>
        <w:r w:rsidRPr="00183B5F">
          <w:rPr>
            <w:szCs w:val="22"/>
          </w:rPr>
          <w:delText>t vizsgálták monoterápiában, illetve metotrexát</w:delText>
        </w:r>
        <w:r w:rsidR="005F6E2D" w:rsidRPr="00183B5F">
          <w:rPr>
            <w:szCs w:val="22"/>
          </w:rPr>
          <w:delText>tal együtt adva</w:delText>
        </w:r>
        <w:r w:rsidRPr="00183B5F">
          <w:rPr>
            <w:szCs w:val="22"/>
          </w:rPr>
          <w:delText xml:space="preserve"> rheumatoid arthritises, polyarticularis juvenilis idiopathiás arthritises, valamint arthritis psoriaticában szenvedő betegek kör</w:delText>
        </w:r>
        <w:r w:rsidR="005F6E2D" w:rsidRPr="00183B5F">
          <w:rPr>
            <w:szCs w:val="22"/>
          </w:rPr>
          <w:delText>é</w:delText>
        </w:r>
        <w:r w:rsidRPr="00183B5F">
          <w:rPr>
            <w:szCs w:val="22"/>
          </w:rPr>
          <w:delText>ben is. Ha a Humira</w:delText>
        </w:r>
        <w:r w:rsidR="003C7941" w:rsidRPr="00183B5F">
          <w:rPr>
            <w:szCs w:val="22"/>
          </w:rPr>
          <w:noBreakHyphen/>
        </w:r>
        <w:r w:rsidRPr="00183B5F">
          <w:rPr>
            <w:szCs w:val="22"/>
          </w:rPr>
          <w:delText>t kombinációban adták metotrexáttal az antitestképződés alacsonyabb volt, mint monoterápiában. A Humira metotrexát nélküli alkalmazása fokozott antitestképződést, továbbá az adalimumab</w:delText>
        </w:r>
        <w:r w:rsidR="006A387C" w:rsidRPr="00183B5F">
          <w:rPr>
            <w:szCs w:val="22"/>
          </w:rPr>
          <w:noBreakHyphen/>
        </w:r>
        <w:r w:rsidRPr="00183B5F">
          <w:rPr>
            <w:szCs w:val="22"/>
          </w:rPr>
          <w:delText>clearance fokozódását és a hat</w:delText>
        </w:r>
        <w:r w:rsidR="005F6E2D" w:rsidRPr="00183B5F">
          <w:rPr>
            <w:szCs w:val="22"/>
          </w:rPr>
          <w:delText>ásos</w:delText>
        </w:r>
        <w:r w:rsidRPr="00183B5F">
          <w:rPr>
            <w:szCs w:val="22"/>
          </w:rPr>
          <w:delText>ság csökkenését eredményezte (lásd 5.1 pont).</w:delText>
        </w:r>
      </w:del>
    </w:p>
    <w:p w14:paraId="7E70461F" w14:textId="46D22633" w:rsidR="005F6E2D" w:rsidRPr="00183B5F" w:rsidRDefault="005F6E2D" w:rsidP="004062FE">
      <w:pPr>
        <w:spacing w:line="240" w:lineRule="auto"/>
        <w:rPr>
          <w:del w:id="656" w:author="AbbVie_HU_03" w:date="2025-05-14T15:27:00Z"/>
          <w:szCs w:val="22"/>
        </w:rPr>
      </w:pPr>
    </w:p>
    <w:p w14:paraId="343F1C9B" w14:textId="3479331D" w:rsidR="00FB6710" w:rsidRPr="00183B5F" w:rsidRDefault="00943743" w:rsidP="004062FE">
      <w:pPr>
        <w:spacing w:line="240" w:lineRule="auto"/>
        <w:rPr>
          <w:del w:id="657" w:author="AbbVie_HU_03" w:date="2025-05-14T15:27:00Z"/>
          <w:szCs w:val="22"/>
          <w:u w:val="single"/>
        </w:rPr>
      </w:pPr>
      <w:del w:id="658" w:author="AbbVie_HU_03" w:date="2025-05-14T15:27:00Z">
        <w:r w:rsidRPr="00183B5F">
          <w:rPr>
            <w:szCs w:val="22"/>
          </w:rPr>
          <w:delText>A Humira és az anakinra kombinált alkalmazása nem ajánlott (lásd 4.4 pont „</w:delText>
        </w:r>
        <w:r w:rsidR="00B60323" w:rsidRPr="00183B5F">
          <w:rPr>
            <w:szCs w:val="22"/>
          </w:rPr>
          <w:delText xml:space="preserve">Biológiai reumaellenes betegségmódosító gyógyszerek (DMARD-ok) </w:delText>
        </w:r>
        <w:r w:rsidR="00D6424A" w:rsidRPr="00183B5F">
          <w:rPr>
            <w:szCs w:val="22"/>
          </w:rPr>
          <w:delText>vagy</w:delText>
        </w:r>
        <w:r w:rsidR="00B60323" w:rsidRPr="00183B5F">
          <w:rPr>
            <w:szCs w:val="22"/>
          </w:rPr>
          <w:delText xml:space="preserve"> TNF</w:delText>
        </w:r>
        <w:r w:rsidR="003C7941" w:rsidRPr="00183B5F">
          <w:rPr>
            <w:szCs w:val="22"/>
          </w:rPr>
          <w:noBreakHyphen/>
        </w:r>
        <w:r w:rsidR="00B60323" w:rsidRPr="00183B5F">
          <w:rPr>
            <w:szCs w:val="22"/>
          </w:rPr>
          <w:delText>antagonisták együttadása</w:delText>
        </w:r>
        <w:r w:rsidR="00A441E8" w:rsidRPr="00183B5F">
          <w:rPr>
            <w:szCs w:val="22"/>
          </w:rPr>
          <w:delText>”).</w:delText>
        </w:r>
      </w:del>
    </w:p>
    <w:p w14:paraId="74393E32" w14:textId="28AAC092" w:rsidR="00B60323" w:rsidRPr="00183B5F" w:rsidRDefault="00B60323" w:rsidP="004062FE">
      <w:pPr>
        <w:spacing w:line="240" w:lineRule="auto"/>
        <w:rPr>
          <w:del w:id="659" w:author="AbbVie_HU_03" w:date="2025-05-14T15:27:00Z"/>
          <w:szCs w:val="22"/>
        </w:rPr>
      </w:pPr>
    </w:p>
    <w:p w14:paraId="531406D7" w14:textId="1506DAE7" w:rsidR="00FB6710" w:rsidRPr="00183B5F" w:rsidRDefault="00943743" w:rsidP="004062FE">
      <w:pPr>
        <w:spacing w:line="240" w:lineRule="auto"/>
        <w:rPr>
          <w:del w:id="660" w:author="AbbVie_HU_03" w:date="2025-05-14T15:27:00Z"/>
          <w:szCs w:val="22"/>
        </w:rPr>
      </w:pPr>
      <w:del w:id="661" w:author="AbbVie_HU_03" w:date="2025-05-14T15:27:00Z">
        <w:r w:rsidRPr="00183B5F">
          <w:rPr>
            <w:szCs w:val="22"/>
          </w:rPr>
          <w:delText>A Humira és az abatacept kombinált alkalmazása nem ajánlott (lásd a 4.4 pont „</w:delText>
        </w:r>
        <w:r w:rsidR="00A441E8" w:rsidRPr="00183B5F">
          <w:rPr>
            <w:szCs w:val="22"/>
          </w:rPr>
          <w:delText xml:space="preserve">Biológiai reumaellenes betegségmódosító gyógyszerek (DMARD-ok) </w:delText>
        </w:r>
        <w:r w:rsidR="00D6424A" w:rsidRPr="00183B5F">
          <w:rPr>
            <w:szCs w:val="22"/>
          </w:rPr>
          <w:delText>vagy</w:delText>
        </w:r>
        <w:r w:rsidR="00A441E8" w:rsidRPr="00183B5F">
          <w:rPr>
            <w:szCs w:val="22"/>
          </w:rPr>
          <w:delText xml:space="preserve"> TNF</w:delText>
        </w:r>
        <w:r w:rsidR="003C7941" w:rsidRPr="00183B5F">
          <w:rPr>
            <w:szCs w:val="22"/>
          </w:rPr>
          <w:noBreakHyphen/>
        </w:r>
        <w:r w:rsidR="00A441E8" w:rsidRPr="00183B5F">
          <w:rPr>
            <w:szCs w:val="22"/>
          </w:rPr>
          <w:delText>antagonisták együttadása”).</w:delText>
        </w:r>
      </w:del>
    </w:p>
    <w:p w14:paraId="4257378D" w14:textId="43088664" w:rsidR="00397706" w:rsidRPr="00183B5F" w:rsidRDefault="00397706" w:rsidP="004062FE">
      <w:pPr>
        <w:spacing w:line="240" w:lineRule="auto"/>
        <w:rPr>
          <w:del w:id="662" w:author="AbbVie_HU_03" w:date="2025-05-14T15:27:00Z"/>
          <w:szCs w:val="22"/>
        </w:rPr>
      </w:pPr>
    </w:p>
    <w:p w14:paraId="26FB0712" w14:textId="7CE0D3CC" w:rsidR="004B37B2" w:rsidRPr="00183B5F" w:rsidRDefault="00943743" w:rsidP="004B37B2">
      <w:pPr>
        <w:keepNext/>
        <w:spacing w:line="240" w:lineRule="auto"/>
        <w:rPr>
          <w:del w:id="663" w:author="AbbVie_HU_03" w:date="2025-05-14T15:27:00Z"/>
          <w:b/>
          <w:szCs w:val="22"/>
        </w:rPr>
      </w:pPr>
      <w:del w:id="664" w:author="AbbVie_HU_03" w:date="2025-05-14T15:27:00Z">
        <w:r w:rsidRPr="00183B5F">
          <w:rPr>
            <w:b/>
            <w:szCs w:val="22"/>
          </w:rPr>
          <w:delText>4.6</w:delText>
        </w:r>
        <w:r w:rsidRPr="00183B5F">
          <w:rPr>
            <w:b/>
            <w:szCs w:val="22"/>
          </w:rPr>
          <w:tab/>
          <w:delText>Termékenység, terhesség és szoptatás</w:delText>
        </w:r>
      </w:del>
    </w:p>
    <w:p w14:paraId="074B1822" w14:textId="582A3CAF" w:rsidR="004B37B2" w:rsidRPr="00183B5F" w:rsidRDefault="004B37B2" w:rsidP="004B37B2">
      <w:pPr>
        <w:pStyle w:val="EndnoteText"/>
        <w:keepNext/>
        <w:tabs>
          <w:tab w:val="clear" w:pos="567"/>
          <w:tab w:val="left" w:pos="708"/>
        </w:tabs>
        <w:suppressAutoHyphens/>
        <w:rPr>
          <w:del w:id="665" w:author="AbbVie_HU_03" w:date="2025-05-14T15:27:00Z"/>
          <w:sz w:val="22"/>
          <w:szCs w:val="22"/>
          <w:lang w:val="hu-HU" w:eastAsia="hu-HU"/>
        </w:rPr>
      </w:pPr>
    </w:p>
    <w:p w14:paraId="66E9749D" w14:textId="705C39C3" w:rsidR="004B37B2" w:rsidRPr="00183B5F" w:rsidRDefault="00943743" w:rsidP="004B37B2">
      <w:pPr>
        <w:spacing w:line="240" w:lineRule="auto"/>
        <w:rPr>
          <w:del w:id="666" w:author="AbbVie_HU_03" w:date="2025-05-14T15:27:00Z"/>
          <w:szCs w:val="22"/>
          <w:u w:val="single"/>
        </w:rPr>
      </w:pPr>
      <w:del w:id="667" w:author="AbbVie_HU_03" w:date="2025-05-14T15:27:00Z">
        <w:r w:rsidRPr="00183B5F">
          <w:rPr>
            <w:szCs w:val="22"/>
            <w:u w:val="single"/>
          </w:rPr>
          <w:delText>Fogamzóképes korú nők</w:delText>
        </w:r>
      </w:del>
    </w:p>
    <w:p w14:paraId="252BA7F1" w14:textId="1D20F34A" w:rsidR="004B37B2" w:rsidRPr="00183B5F" w:rsidRDefault="004B37B2" w:rsidP="004B37B2">
      <w:pPr>
        <w:spacing w:line="240" w:lineRule="auto"/>
        <w:rPr>
          <w:del w:id="668" w:author="AbbVie_HU_03" w:date="2025-05-14T15:27:00Z"/>
          <w:szCs w:val="22"/>
        </w:rPr>
      </w:pPr>
    </w:p>
    <w:p w14:paraId="16D69A86" w14:textId="1EE8919D" w:rsidR="004B37B2" w:rsidRPr="00183B5F" w:rsidRDefault="00943743" w:rsidP="002A7538">
      <w:pPr>
        <w:spacing w:line="240" w:lineRule="auto"/>
        <w:rPr>
          <w:del w:id="669" w:author="AbbVie_HU_03" w:date="2025-05-14T15:27:00Z"/>
          <w:szCs w:val="22"/>
        </w:rPr>
      </w:pPr>
      <w:del w:id="670" w:author="AbbVie_HU_03" w:date="2025-05-14T15:27:00Z">
        <w:r w:rsidRPr="00183B5F">
          <w:rPr>
            <w:szCs w:val="22"/>
          </w:rPr>
          <w:delText xml:space="preserve">Fogamzóképes korú nőknek fontolóra kell venniük </w:delText>
        </w:r>
        <w:r w:rsidR="002A7538" w:rsidRPr="00183B5F">
          <w:rPr>
            <w:szCs w:val="22"/>
          </w:rPr>
          <w:delText>egy</w:delText>
        </w:r>
        <w:r w:rsidRPr="00183B5F">
          <w:rPr>
            <w:szCs w:val="22"/>
          </w:rPr>
          <w:delText xml:space="preserve"> megfelelő fogamzásgátlás</w:delText>
        </w:r>
        <w:r w:rsidR="002A7538" w:rsidRPr="00183B5F">
          <w:rPr>
            <w:szCs w:val="22"/>
          </w:rPr>
          <w:delText xml:space="preserve"> alkalmazását</w:delText>
        </w:r>
        <w:r w:rsidRPr="00183B5F">
          <w:rPr>
            <w:szCs w:val="22"/>
          </w:rPr>
          <w:delText xml:space="preserve">, és </w:delText>
        </w:r>
        <w:r w:rsidR="002A7538" w:rsidRPr="00183B5F">
          <w:rPr>
            <w:szCs w:val="22"/>
          </w:rPr>
          <w:delText xml:space="preserve">az </w:delText>
        </w:r>
        <w:r w:rsidRPr="00183B5F">
          <w:rPr>
            <w:szCs w:val="22"/>
          </w:rPr>
          <w:delText>alkalmazás</w:delText>
        </w:r>
        <w:r w:rsidR="002A7538" w:rsidRPr="00183B5F">
          <w:rPr>
            <w:szCs w:val="22"/>
          </w:rPr>
          <w:delText xml:space="preserve"> folytatását</w:delText>
        </w:r>
        <w:r w:rsidRPr="00183B5F">
          <w:rPr>
            <w:szCs w:val="22"/>
          </w:rPr>
          <w:delText xml:space="preserve"> az utolsó Humira</w:delText>
        </w:r>
        <w:r w:rsidRPr="00183B5F">
          <w:rPr>
            <w:szCs w:val="22"/>
          </w:rPr>
          <w:noBreakHyphen/>
          <w:delText>kezelés után legalább öt hónapon keresztül.</w:delText>
        </w:r>
      </w:del>
    </w:p>
    <w:p w14:paraId="41F2D594" w14:textId="5B26F572" w:rsidR="004B37B2" w:rsidRPr="00183B5F" w:rsidRDefault="004B37B2" w:rsidP="004B37B2">
      <w:pPr>
        <w:spacing w:line="240" w:lineRule="auto"/>
        <w:rPr>
          <w:del w:id="671" w:author="AbbVie_HU_03" w:date="2025-05-14T15:27:00Z"/>
        </w:rPr>
      </w:pPr>
    </w:p>
    <w:p w14:paraId="1BF872DF" w14:textId="0931F965" w:rsidR="004B37B2" w:rsidRPr="00183B5F" w:rsidRDefault="00943743" w:rsidP="004B37B2">
      <w:pPr>
        <w:keepNext/>
        <w:spacing w:line="240" w:lineRule="auto"/>
        <w:rPr>
          <w:del w:id="672" w:author="AbbVie_HU_03" w:date="2025-05-14T15:27:00Z"/>
          <w:szCs w:val="22"/>
          <w:u w:val="single"/>
        </w:rPr>
      </w:pPr>
      <w:del w:id="673" w:author="AbbVie_HU_03" w:date="2025-05-14T15:27:00Z">
        <w:r w:rsidRPr="00183B5F">
          <w:rPr>
            <w:szCs w:val="22"/>
            <w:u w:val="single"/>
          </w:rPr>
          <w:delText>Terhesség</w:delText>
        </w:r>
      </w:del>
    </w:p>
    <w:p w14:paraId="255BA244" w14:textId="5D395EDF" w:rsidR="004B37B2" w:rsidRPr="00183B5F" w:rsidRDefault="004B37B2" w:rsidP="004B37B2">
      <w:pPr>
        <w:keepNext/>
        <w:spacing w:line="240" w:lineRule="auto"/>
        <w:rPr>
          <w:del w:id="674" w:author="AbbVie_HU_03" w:date="2025-05-14T15:27:00Z"/>
          <w:szCs w:val="22"/>
          <w:u w:val="single"/>
        </w:rPr>
      </w:pPr>
    </w:p>
    <w:p w14:paraId="476CC898" w14:textId="4452F712" w:rsidR="004B37B2" w:rsidRPr="00183B5F" w:rsidRDefault="00943743" w:rsidP="000E0B72">
      <w:pPr>
        <w:keepNext/>
        <w:spacing w:line="240" w:lineRule="auto"/>
        <w:rPr>
          <w:del w:id="675" w:author="AbbVie_HU_03" w:date="2025-05-14T15:27:00Z"/>
          <w:szCs w:val="22"/>
        </w:rPr>
      </w:pPr>
      <w:del w:id="676" w:author="AbbVie_HU_03" w:date="2025-05-14T15:27:00Z">
        <w:r w:rsidRPr="00183B5F">
          <w:rPr>
            <w:szCs w:val="22"/>
          </w:rPr>
          <w:delText>Nagy számú (körülbelül 2100), adalimumab</w:delText>
        </w:r>
        <w:r w:rsidR="000E0B72" w:rsidRPr="00183B5F">
          <w:rPr>
            <w:szCs w:val="22"/>
          </w:rPr>
          <w:noBreakHyphen/>
        </w:r>
        <w:r w:rsidRPr="00183B5F">
          <w:rPr>
            <w:szCs w:val="22"/>
          </w:rPr>
          <w:delText xml:space="preserve">expozíciónak kitett, ismert kimenetelű, élve születéssel végződő terhesség prospektív módon gyűjtött adatai </w:delText>
        </w:r>
        <w:r w:rsidR="00EC4188" w:rsidRPr="00183B5F">
          <w:rPr>
            <w:szCs w:val="22"/>
          </w:rPr>
          <w:delText>–</w:delText>
        </w:r>
        <w:r w:rsidRPr="00183B5F">
          <w:rPr>
            <w:szCs w:val="22"/>
          </w:rPr>
          <w:delText xml:space="preserve"> beleértve több mint 1500 esetet, mikor az első trimeszterben alkalmazták az adalimumabot – nem igazolták a rendellenességek arányának növekedését az újszülöttek</w:delText>
        </w:r>
        <w:r w:rsidR="000E0B72" w:rsidRPr="00183B5F">
          <w:rPr>
            <w:szCs w:val="22"/>
          </w:rPr>
          <w:delText>nél</w:delText>
        </w:r>
        <w:r w:rsidRPr="00183B5F">
          <w:rPr>
            <w:szCs w:val="22"/>
          </w:rPr>
          <w:delText>.</w:delText>
        </w:r>
      </w:del>
    </w:p>
    <w:p w14:paraId="33584A68" w14:textId="3DDD4222" w:rsidR="004B37B2" w:rsidRPr="00183B5F" w:rsidRDefault="004B37B2" w:rsidP="00E87C31">
      <w:pPr>
        <w:spacing w:line="240" w:lineRule="auto"/>
        <w:rPr>
          <w:del w:id="677" w:author="AbbVie_HU_03" w:date="2025-05-14T15:27:00Z"/>
          <w:szCs w:val="22"/>
        </w:rPr>
      </w:pPr>
    </w:p>
    <w:p w14:paraId="5D2B53CB" w14:textId="088FA281" w:rsidR="004B37B2" w:rsidRPr="00183B5F" w:rsidRDefault="00943743" w:rsidP="00E87C31">
      <w:pPr>
        <w:spacing w:line="240" w:lineRule="auto"/>
        <w:rPr>
          <w:del w:id="678" w:author="AbbVie_HU_03" w:date="2025-05-14T15:27:00Z"/>
          <w:szCs w:val="22"/>
        </w:rPr>
      </w:pPr>
      <w:del w:id="679" w:author="AbbVie_HU_03" w:date="2025-05-14T15:27:00Z">
        <w:r w:rsidRPr="00183B5F">
          <w:rPr>
            <w:szCs w:val="22"/>
          </w:rPr>
          <w:delText>Egy prospektív kohorsz regiszterben 257, rheumatoid arthritisben (RA) vagy Crohn-betegségben (CD) szenvedő, a terhességük legalább első trimeszterében adalimumabbal kezelt nőt és 120, RA</w:delText>
        </w:r>
        <w:r w:rsidRPr="00183B5F">
          <w:rPr>
            <w:szCs w:val="22"/>
          </w:rPr>
          <w:noBreakHyphen/>
          <w:delText>ban vagy Crohn-betegségben szenvedő, adalimumabbal nem kezelt nőt vizsgáltak. Az elsődleges végpont a major születési rendellenesség születéskori prevalenciája volt. Azo</w:delText>
        </w:r>
        <w:r w:rsidR="0092091D" w:rsidRPr="00183B5F">
          <w:rPr>
            <w:szCs w:val="22"/>
          </w:rPr>
          <w:delText>knak a</w:delText>
        </w:r>
        <w:r w:rsidRPr="00183B5F">
          <w:rPr>
            <w:szCs w:val="22"/>
          </w:rPr>
          <w:delText xml:space="preserve"> terhességek</w:delText>
        </w:r>
        <w:r w:rsidR="0092091D" w:rsidRPr="00183B5F">
          <w:rPr>
            <w:szCs w:val="22"/>
          </w:rPr>
          <w:delText>nek az</w:delText>
        </w:r>
        <w:r w:rsidRPr="00183B5F">
          <w:rPr>
            <w:szCs w:val="22"/>
          </w:rPr>
          <w:delText xml:space="preserve"> aránya, amelyek kimenetele legalább egy, major fejlődési rendellenességgel élve született csecsemő volt, 6/69 (8,7%) volt az adalimumab-kezelésben részesült RA-s nőknél</w:delText>
        </w:r>
        <w:r w:rsidR="0092091D" w:rsidRPr="00183B5F">
          <w:rPr>
            <w:szCs w:val="22"/>
          </w:rPr>
          <w:delText>,</w:delText>
        </w:r>
        <w:r w:rsidRPr="00183B5F">
          <w:rPr>
            <w:szCs w:val="22"/>
          </w:rPr>
          <w:delText xml:space="preserve"> és 5/74 (6,8%) volt a nem kezelt RA-s nőknél (nem korrigált OR: 1,31; 95</w:delText>
        </w:r>
        <w:r w:rsidR="00CE76E2" w:rsidRPr="00183B5F">
          <w:rPr>
            <w:szCs w:val="22"/>
          </w:rPr>
          <w:delText>%</w:delText>
        </w:r>
        <w:r w:rsidR="00CE76E2" w:rsidRPr="00183B5F">
          <w:rPr>
            <w:szCs w:val="22"/>
          </w:rPr>
          <w:noBreakHyphen/>
          <w:delText>os</w:delText>
        </w:r>
        <w:r w:rsidR="005B6512" w:rsidRPr="00183B5F">
          <w:rPr>
            <w:szCs w:val="22"/>
          </w:rPr>
          <w:delText xml:space="preserve"> </w:delText>
        </w:r>
        <w:r w:rsidR="00EC4188" w:rsidRPr="00183B5F">
          <w:rPr>
            <w:szCs w:val="22"/>
          </w:rPr>
          <w:delText>konfidencia intervallum [CI]</w:delText>
        </w:r>
        <w:r w:rsidRPr="00183B5F">
          <w:rPr>
            <w:szCs w:val="22"/>
          </w:rPr>
          <w:delText xml:space="preserve">: 0,38-4,52), továbbá 16/152 (10,5%) volt </w:delText>
        </w:r>
        <w:r w:rsidRPr="00183B5F">
          <w:rPr>
            <w:szCs w:val="22"/>
          </w:rPr>
          <w:delText>az adalimumab</w:delText>
        </w:r>
        <w:r w:rsidRPr="00183B5F">
          <w:rPr>
            <w:szCs w:val="22"/>
          </w:rPr>
          <w:noBreakHyphen/>
          <w:delText>kezelésben részesült Crohn</w:delText>
        </w:r>
        <w:r w:rsidRPr="00183B5F">
          <w:rPr>
            <w:szCs w:val="22"/>
          </w:rPr>
          <w:noBreakHyphen/>
          <w:delText>beteg nőknél</w:delText>
        </w:r>
        <w:r w:rsidR="0092091D" w:rsidRPr="00183B5F">
          <w:rPr>
            <w:szCs w:val="22"/>
          </w:rPr>
          <w:delText>,</w:delText>
        </w:r>
        <w:r w:rsidRPr="00183B5F">
          <w:rPr>
            <w:szCs w:val="22"/>
          </w:rPr>
          <w:delText xml:space="preserve"> és 3/32 (9,4%) volt a nem kezelt Crohn</w:delText>
        </w:r>
        <w:r w:rsidRPr="00183B5F">
          <w:rPr>
            <w:szCs w:val="22"/>
          </w:rPr>
          <w:noBreakHyphen/>
          <w:delText>beteg nőknél (nem korrigált OR: 1,14; 95%</w:delText>
        </w:r>
        <w:r w:rsidR="00CE76E2" w:rsidRPr="00183B5F">
          <w:rPr>
            <w:szCs w:val="22"/>
          </w:rPr>
          <w:noBreakHyphen/>
          <w:delText>os</w:delText>
        </w:r>
        <w:r w:rsidRPr="00183B5F">
          <w:rPr>
            <w:szCs w:val="22"/>
          </w:rPr>
          <w:delText xml:space="preserve"> CI: 0,31-4,16). A korrigált OR (a kiindulási különbségeket tekintetbe véve) 1,10 volt (95%</w:delText>
        </w:r>
        <w:r w:rsidR="00CE76E2" w:rsidRPr="00183B5F">
          <w:rPr>
            <w:szCs w:val="22"/>
          </w:rPr>
          <w:noBreakHyphen/>
          <w:delText>os</w:delText>
        </w:r>
        <w:r w:rsidRPr="00183B5F">
          <w:rPr>
            <w:szCs w:val="22"/>
          </w:rPr>
          <w:delText xml:space="preserve"> CI: 0,45-2,73) együttesen RA-ban és </w:delText>
        </w:r>
        <w:r w:rsidR="0092091D" w:rsidRPr="00183B5F">
          <w:rPr>
            <w:szCs w:val="22"/>
          </w:rPr>
          <w:delText>Crohn-betegségben</w:delText>
        </w:r>
        <w:r w:rsidRPr="00183B5F">
          <w:rPr>
            <w:szCs w:val="22"/>
          </w:rPr>
          <w:delText>. Nem volt határozott különbség az adalimumabbal kezelt és nem kezelt nők esetében a másodlagos végpontokban, amelyek a spontán abortusz, a minor születési rendellenességek, a koraszülés, a kis születési súly és a súlyos vagy opportunista fertőzések voltak, és nem jelentettek halvaszületést vagy rosszindulatú daganat kialakulást sem. Az adatok értelmezésére hatással lehetnek a regiszter módszertani korlátai, beleértve a kis mintaszámot és a nem</w:delText>
        </w:r>
        <w:r w:rsidR="0092091D" w:rsidRPr="00183B5F">
          <w:rPr>
            <w:szCs w:val="22"/>
          </w:rPr>
          <w:delText xml:space="preserve"> </w:delText>
        </w:r>
        <w:r w:rsidRPr="00183B5F">
          <w:rPr>
            <w:szCs w:val="22"/>
          </w:rPr>
          <w:delText>randomizá</w:delText>
        </w:r>
        <w:r w:rsidRPr="00183B5F">
          <w:rPr>
            <w:szCs w:val="22"/>
          </w:rPr>
          <w:delText>lt elrendezést.</w:delText>
        </w:r>
      </w:del>
    </w:p>
    <w:p w14:paraId="623A6EAE" w14:textId="0959D1DC" w:rsidR="004B37B2" w:rsidRPr="00183B5F" w:rsidRDefault="004B37B2" w:rsidP="004B37B2">
      <w:pPr>
        <w:spacing w:line="240" w:lineRule="auto"/>
        <w:rPr>
          <w:del w:id="680" w:author="AbbVie_HU_03" w:date="2025-05-14T15:27:00Z"/>
          <w:szCs w:val="22"/>
        </w:rPr>
      </w:pPr>
    </w:p>
    <w:p w14:paraId="76B5048A" w14:textId="56E77E3C" w:rsidR="004B37B2" w:rsidRPr="00183B5F" w:rsidRDefault="00943743" w:rsidP="004B37B2">
      <w:pPr>
        <w:spacing w:line="240" w:lineRule="auto"/>
        <w:rPr>
          <w:del w:id="681" w:author="AbbVie_HU_03" w:date="2025-05-14T15:27:00Z"/>
          <w:szCs w:val="22"/>
        </w:rPr>
      </w:pPr>
      <w:del w:id="682" w:author="AbbVie_HU_03" w:date="2025-05-14T15:27:00Z">
        <w:r w:rsidRPr="00183B5F">
          <w:rPr>
            <w:szCs w:val="22"/>
          </w:rPr>
          <w:delText>Majmokban végzett fejlődés toxicitási vizsgálat során anyai, illetve embriótoxicitásra vagy teratogenitásra utaló eltérést nem észleltek. Az adalimumab postnatalis toxicitást okozó hatására vonatkozó preklinikai adatok nem állnak rendelkezésre (lásd 5.3 pont).</w:delText>
        </w:r>
      </w:del>
    </w:p>
    <w:p w14:paraId="197C2197" w14:textId="09E2B2B2" w:rsidR="004B37B2" w:rsidRPr="00183B5F" w:rsidRDefault="004B37B2" w:rsidP="004B37B2">
      <w:pPr>
        <w:spacing w:line="240" w:lineRule="auto"/>
        <w:rPr>
          <w:del w:id="683" w:author="AbbVie_HU_03" w:date="2025-05-14T15:27:00Z"/>
          <w:szCs w:val="22"/>
        </w:rPr>
      </w:pPr>
    </w:p>
    <w:p w14:paraId="4A215048" w14:textId="742FFC75" w:rsidR="004B37B2" w:rsidRPr="00183B5F" w:rsidRDefault="00943743" w:rsidP="004B37B2">
      <w:pPr>
        <w:spacing w:line="240" w:lineRule="auto"/>
        <w:rPr>
          <w:del w:id="684" w:author="AbbVie_HU_03" w:date="2025-05-14T15:27:00Z"/>
          <w:szCs w:val="22"/>
        </w:rPr>
      </w:pPr>
      <w:del w:id="685" w:author="AbbVie_HU_03" w:date="2025-05-14T15:27:00Z">
        <w:r w:rsidRPr="00183B5F">
          <w:rPr>
            <w:szCs w:val="22"/>
          </w:rPr>
          <w:delText>A TNF</w:delText>
        </w:r>
        <w:r w:rsidRPr="00183B5F">
          <w:rPr>
            <w:szCs w:val="22"/>
          </w:rPr>
          <w:noBreakHyphen/>
          <w:delText>alfa</w:delText>
        </w:r>
        <w:r w:rsidR="00C15375" w:rsidRPr="00183B5F">
          <w:rPr>
            <w:szCs w:val="22"/>
          </w:rPr>
          <w:delText>-</w:delText>
        </w:r>
        <w:r w:rsidRPr="00183B5F">
          <w:rPr>
            <w:szCs w:val="22"/>
          </w:rPr>
          <w:delText>gátlást okozó hatása miatt a terhesség alatt adott adalimumab befolyásolhatja az újszülött normális immunreakcióit. Az adalimumab csak akkor alkalmazható terhesség alatt, ha egyértelműen szükséges.</w:delText>
        </w:r>
      </w:del>
    </w:p>
    <w:p w14:paraId="7B11BD5C" w14:textId="6FF5099D" w:rsidR="004B37B2" w:rsidRPr="00183B5F" w:rsidRDefault="004B37B2" w:rsidP="004B37B2">
      <w:pPr>
        <w:spacing w:line="240" w:lineRule="auto"/>
        <w:rPr>
          <w:del w:id="686" w:author="AbbVie_HU_03" w:date="2025-05-14T15:27:00Z"/>
          <w:b/>
          <w:szCs w:val="22"/>
        </w:rPr>
      </w:pPr>
    </w:p>
    <w:p w14:paraId="729A5F24" w14:textId="60A62156" w:rsidR="004B37B2" w:rsidRPr="00183B5F" w:rsidRDefault="00943743" w:rsidP="004B37B2">
      <w:pPr>
        <w:spacing w:line="240" w:lineRule="auto"/>
        <w:rPr>
          <w:del w:id="687" w:author="AbbVie_HU_03" w:date="2025-05-14T15:27:00Z"/>
          <w:szCs w:val="22"/>
        </w:rPr>
      </w:pPr>
      <w:del w:id="688" w:author="AbbVie_HU_03" w:date="2025-05-14T15:27:00Z">
        <w:r w:rsidRPr="00183B5F">
          <w:rPr>
            <w:szCs w:val="22"/>
          </w:rPr>
          <w:delText>A terhesség alatt adalimumabbal kezelt nőknél az adalimumab a placentán átjutva bekerülhet a csecsemő szérumába. Emiatt ezeknél a csecsemőknél fokozott a fertőzések kialakulásának a kockázata. Az intrauterin adalimumab-expozíciónak kitett csecsemőknél az anya által a terhesség alatt kapott utolsó adalimumab</w:delText>
        </w:r>
        <w:r w:rsidR="00626979" w:rsidRPr="00183B5F">
          <w:rPr>
            <w:szCs w:val="22"/>
          </w:rPr>
          <w:delText>-</w:delText>
        </w:r>
        <w:r w:rsidRPr="00183B5F">
          <w:rPr>
            <w:szCs w:val="22"/>
          </w:rPr>
          <w:delText>injekció után 5 hónapig nem ajánlott az élő kórokozót tartalmazó védőoltás (pl. BCG</w:delText>
        </w:r>
        <w:r w:rsidR="00C15375" w:rsidRPr="00183B5F">
          <w:rPr>
            <w:szCs w:val="22"/>
          </w:rPr>
          <w:delText>-</w:delText>
        </w:r>
        <w:r w:rsidRPr="00183B5F">
          <w:rPr>
            <w:szCs w:val="22"/>
          </w:rPr>
          <w:delText>oltás) adása.</w:delText>
        </w:r>
      </w:del>
    </w:p>
    <w:p w14:paraId="2740D780" w14:textId="6059C5B2" w:rsidR="004B37B2" w:rsidRPr="00183B5F" w:rsidRDefault="004B37B2" w:rsidP="004B37B2">
      <w:pPr>
        <w:spacing w:line="240" w:lineRule="auto"/>
        <w:rPr>
          <w:del w:id="689" w:author="AbbVie_HU_03" w:date="2025-05-14T15:27:00Z"/>
          <w:szCs w:val="22"/>
        </w:rPr>
      </w:pPr>
    </w:p>
    <w:p w14:paraId="7D9800DE" w14:textId="3DF6456A" w:rsidR="004B37B2" w:rsidRPr="00183B5F" w:rsidRDefault="00943743" w:rsidP="004B37B2">
      <w:pPr>
        <w:keepNext/>
        <w:spacing w:line="240" w:lineRule="auto"/>
        <w:rPr>
          <w:del w:id="690" w:author="AbbVie_HU_03" w:date="2025-05-14T15:27:00Z"/>
          <w:szCs w:val="22"/>
          <w:u w:val="single"/>
        </w:rPr>
      </w:pPr>
      <w:del w:id="691" w:author="AbbVie_HU_03" w:date="2025-05-14T15:27:00Z">
        <w:r w:rsidRPr="00183B5F">
          <w:rPr>
            <w:szCs w:val="22"/>
            <w:u w:val="single"/>
          </w:rPr>
          <w:delText>Szoptatás</w:delText>
        </w:r>
      </w:del>
    </w:p>
    <w:p w14:paraId="4B664DC4" w14:textId="2BD1D571" w:rsidR="004B37B2" w:rsidRPr="00183B5F" w:rsidRDefault="004B37B2" w:rsidP="004B37B2">
      <w:pPr>
        <w:keepNext/>
        <w:spacing w:line="240" w:lineRule="auto"/>
        <w:rPr>
          <w:del w:id="692" w:author="AbbVie_HU_03" w:date="2025-05-14T15:27:00Z"/>
          <w:b/>
          <w:szCs w:val="22"/>
        </w:rPr>
      </w:pPr>
    </w:p>
    <w:p w14:paraId="2EC241A1" w14:textId="23ADE4B8" w:rsidR="004B37B2" w:rsidRPr="00183B5F" w:rsidRDefault="00943743" w:rsidP="00E87C31">
      <w:pPr>
        <w:rPr>
          <w:del w:id="693" w:author="AbbVie_HU_03" w:date="2025-05-14T15:27:00Z"/>
          <w:szCs w:val="22"/>
        </w:rPr>
      </w:pPr>
      <w:del w:id="694" w:author="AbbVie_HU_03" w:date="2025-05-14T15:27:00Z">
        <w:r w:rsidRPr="00183B5F">
          <w:rPr>
            <w:szCs w:val="22"/>
          </w:rPr>
          <w:delText>A szakirodalomban közzétett korlátozott mennyiségű információ alapján az adalimumab nagyon kis koncentrációban kiválasztódik az anyatejbe, az anyai szérumszint 0,1</w:delText>
        </w:r>
        <w:r w:rsidRPr="00183B5F">
          <w:rPr>
            <w:szCs w:val="22"/>
          </w:rPr>
          <w:noBreakHyphen/>
          <w:delText>1%</w:delText>
        </w:r>
        <w:r w:rsidRPr="00183B5F">
          <w:rPr>
            <w:szCs w:val="22"/>
          </w:rPr>
          <w:noBreakHyphen/>
          <w:delText>ában van jelen. Szájon át adva, az immunglobulin G</w:delText>
        </w:r>
        <w:r w:rsidR="0029612D" w:rsidRPr="00183B5F">
          <w:rPr>
            <w:szCs w:val="22"/>
          </w:rPr>
          <w:delText>-</w:delText>
        </w:r>
        <w:r w:rsidRPr="00183B5F">
          <w:rPr>
            <w:szCs w:val="22"/>
          </w:rPr>
          <w:delText>fehérjék intestin</w:delText>
        </w:r>
        <w:r w:rsidR="0092091D" w:rsidRPr="00183B5F">
          <w:rPr>
            <w:szCs w:val="22"/>
          </w:rPr>
          <w:delText>a</w:delText>
        </w:r>
        <w:r w:rsidRPr="00183B5F">
          <w:rPr>
            <w:szCs w:val="22"/>
          </w:rPr>
          <w:delText>lis proteolízist szenvednek</w:delText>
        </w:r>
        <w:r w:rsidR="0092091D" w:rsidRPr="00183B5F">
          <w:rPr>
            <w:szCs w:val="22"/>
          </w:rPr>
          <w:delText>,</w:delText>
        </w:r>
        <w:r w:rsidRPr="00183B5F">
          <w:rPr>
            <w:szCs w:val="22"/>
          </w:rPr>
          <w:delText xml:space="preserve"> és a biohasznosulásuk csekély. </w:delText>
        </w:r>
        <w:r w:rsidR="0092091D" w:rsidRPr="00183B5F">
          <w:rPr>
            <w:szCs w:val="22"/>
          </w:rPr>
          <w:delText>N</w:delText>
        </w:r>
        <w:r w:rsidRPr="00183B5F">
          <w:rPr>
            <w:szCs w:val="22"/>
          </w:rPr>
          <w:delText>em várható</w:delText>
        </w:r>
        <w:r w:rsidR="0092091D" w:rsidRPr="00183B5F">
          <w:rPr>
            <w:szCs w:val="22"/>
          </w:rPr>
          <w:delText>ak</w:delText>
        </w:r>
        <w:r w:rsidRPr="00183B5F">
          <w:rPr>
            <w:szCs w:val="22"/>
          </w:rPr>
          <w:delText xml:space="preserve"> a szoptatott újszülöttekre/csecsemőkre </w:delText>
        </w:r>
        <w:r w:rsidR="0092091D" w:rsidRPr="00183B5F">
          <w:rPr>
            <w:szCs w:val="22"/>
          </w:rPr>
          <w:delText>gyakorolt hatások</w:delText>
        </w:r>
        <w:r w:rsidRPr="00183B5F">
          <w:rPr>
            <w:szCs w:val="22"/>
          </w:rPr>
          <w:delText>. Következésképpen a Humira alkalmazható szoptatás alatt.</w:delText>
        </w:r>
      </w:del>
    </w:p>
    <w:p w14:paraId="6D5C86C4" w14:textId="612C2B67" w:rsidR="004B37B2" w:rsidRPr="00183B5F" w:rsidRDefault="004B37B2" w:rsidP="004B37B2">
      <w:pPr>
        <w:spacing w:line="240" w:lineRule="auto"/>
        <w:rPr>
          <w:del w:id="695" w:author="AbbVie_HU_03" w:date="2025-05-14T15:27:00Z"/>
          <w:b/>
          <w:szCs w:val="22"/>
        </w:rPr>
      </w:pPr>
    </w:p>
    <w:p w14:paraId="11AAFFC6" w14:textId="24C81054" w:rsidR="004B37B2" w:rsidRPr="00183B5F" w:rsidRDefault="00943743" w:rsidP="004B37B2">
      <w:pPr>
        <w:keepNext/>
        <w:spacing w:line="240" w:lineRule="auto"/>
        <w:rPr>
          <w:del w:id="696" w:author="AbbVie_HU_03" w:date="2025-05-14T15:27:00Z"/>
          <w:szCs w:val="22"/>
          <w:u w:val="single"/>
        </w:rPr>
      </w:pPr>
      <w:del w:id="697" w:author="AbbVie_HU_03" w:date="2025-05-14T15:27:00Z">
        <w:r w:rsidRPr="00183B5F">
          <w:rPr>
            <w:szCs w:val="22"/>
            <w:u w:val="single"/>
          </w:rPr>
          <w:delText>Termékenység</w:delText>
        </w:r>
      </w:del>
    </w:p>
    <w:p w14:paraId="6822F810" w14:textId="2A273D82" w:rsidR="004B37B2" w:rsidRPr="00183B5F" w:rsidRDefault="004B37B2" w:rsidP="004B37B2">
      <w:pPr>
        <w:keepNext/>
        <w:spacing w:line="240" w:lineRule="auto"/>
        <w:rPr>
          <w:del w:id="698" w:author="AbbVie_HU_03" w:date="2025-05-14T15:27:00Z"/>
          <w:szCs w:val="22"/>
        </w:rPr>
      </w:pPr>
    </w:p>
    <w:p w14:paraId="2093734D" w14:textId="24E5ADAD" w:rsidR="004B37B2" w:rsidRPr="00183B5F" w:rsidRDefault="00943743" w:rsidP="004B37B2">
      <w:pPr>
        <w:spacing w:line="240" w:lineRule="auto"/>
        <w:rPr>
          <w:del w:id="699" w:author="AbbVie_HU_03" w:date="2025-05-14T15:27:00Z"/>
          <w:b/>
          <w:szCs w:val="22"/>
        </w:rPr>
      </w:pPr>
      <w:del w:id="700" w:author="AbbVie_HU_03" w:date="2025-05-14T15:27:00Z">
        <w:r w:rsidRPr="00183B5F">
          <w:rPr>
            <w:szCs w:val="22"/>
          </w:rPr>
          <w:delText>Nem áll rendelkezésre preklinikai adat az adalimumab termékenységre gyakorolt hatásával kapcsolatban.</w:delText>
        </w:r>
      </w:del>
    </w:p>
    <w:p w14:paraId="53BB239E" w14:textId="1A447DF9" w:rsidR="00FB6710" w:rsidRPr="00183B5F" w:rsidRDefault="00FB6710" w:rsidP="004062FE">
      <w:pPr>
        <w:spacing w:line="240" w:lineRule="auto"/>
        <w:rPr>
          <w:del w:id="701" w:author="AbbVie_HU_03" w:date="2025-05-14T15:27:00Z"/>
          <w:szCs w:val="22"/>
        </w:rPr>
      </w:pPr>
    </w:p>
    <w:p w14:paraId="4D524BA6" w14:textId="55DFE956" w:rsidR="00FB6710" w:rsidRPr="00183B5F" w:rsidRDefault="00943743" w:rsidP="004062FE">
      <w:pPr>
        <w:spacing w:line="240" w:lineRule="auto"/>
        <w:ind w:left="567" w:hanging="567"/>
        <w:rPr>
          <w:del w:id="702" w:author="AbbVie_HU_03" w:date="2025-05-14T15:27:00Z"/>
          <w:b/>
          <w:szCs w:val="22"/>
        </w:rPr>
      </w:pPr>
      <w:del w:id="703" w:author="AbbVie_HU_03" w:date="2025-05-14T15:27:00Z">
        <w:r w:rsidRPr="00183B5F">
          <w:rPr>
            <w:b/>
            <w:szCs w:val="22"/>
          </w:rPr>
          <w:delText>4.7</w:delText>
        </w:r>
        <w:r w:rsidRPr="00183B5F">
          <w:rPr>
            <w:b/>
            <w:szCs w:val="22"/>
          </w:rPr>
          <w:tab/>
          <w:delText xml:space="preserve">A készítmény hatásai a gépjárművezetéshez és </w:delText>
        </w:r>
        <w:r w:rsidR="00202DBA" w:rsidRPr="00183B5F">
          <w:rPr>
            <w:b/>
            <w:szCs w:val="22"/>
          </w:rPr>
          <w:delText xml:space="preserve">a </w:delText>
        </w:r>
        <w:r w:rsidRPr="00183B5F">
          <w:rPr>
            <w:b/>
            <w:szCs w:val="22"/>
          </w:rPr>
          <w:delText>gépek kezeléséhez szükséges képességekre</w:delText>
        </w:r>
      </w:del>
    </w:p>
    <w:p w14:paraId="692D04AE" w14:textId="0A076F0C" w:rsidR="00FB6710" w:rsidRPr="00183B5F" w:rsidRDefault="00FB6710" w:rsidP="004062FE">
      <w:pPr>
        <w:spacing w:line="240" w:lineRule="auto"/>
        <w:ind w:left="567" w:hanging="567"/>
        <w:rPr>
          <w:del w:id="704" w:author="AbbVie_HU_03" w:date="2025-05-14T15:27:00Z"/>
          <w:szCs w:val="22"/>
        </w:rPr>
      </w:pPr>
    </w:p>
    <w:p w14:paraId="7F197E32" w14:textId="042B8705" w:rsidR="00FB6710" w:rsidRPr="00183B5F" w:rsidRDefault="00943743" w:rsidP="004062FE">
      <w:pPr>
        <w:spacing w:line="240" w:lineRule="auto"/>
        <w:rPr>
          <w:del w:id="705" w:author="AbbVie_HU_03" w:date="2025-05-14T15:27:00Z"/>
          <w:szCs w:val="22"/>
        </w:rPr>
      </w:pPr>
      <w:del w:id="706" w:author="AbbVie_HU_03" w:date="2025-05-14T15:27:00Z">
        <w:r w:rsidRPr="00183B5F">
          <w:rPr>
            <w:szCs w:val="22"/>
          </w:rPr>
          <w:delText xml:space="preserve">A Humira csekély mértékben befolyásolhatja a gépjárművezetéshez és </w:delText>
        </w:r>
        <w:r w:rsidR="00202DBA" w:rsidRPr="00183B5F">
          <w:rPr>
            <w:szCs w:val="22"/>
          </w:rPr>
          <w:delText xml:space="preserve">a </w:delText>
        </w:r>
        <w:r w:rsidRPr="00183B5F">
          <w:rPr>
            <w:szCs w:val="22"/>
          </w:rPr>
          <w:delText xml:space="preserve">gépek </w:delText>
        </w:r>
        <w:r w:rsidRPr="00183B5F">
          <w:rPr>
            <w:noProof/>
            <w:szCs w:val="22"/>
          </w:rPr>
          <w:delText>kezeléséhez</w:delText>
        </w:r>
        <w:r w:rsidRPr="00183B5F">
          <w:rPr>
            <w:szCs w:val="22"/>
          </w:rPr>
          <w:delText xml:space="preserve"> szükséges képességeket. A Humira alkalmazását követően vertigo és látásromlás fordulhat elő (lásd 4.8 pont).</w:delText>
        </w:r>
      </w:del>
    </w:p>
    <w:p w14:paraId="100B2F17" w14:textId="14E78FFA" w:rsidR="00FB6710" w:rsidRPr="00183B5F" w:rsidRDefault="00FB6710" w:rsidP="004062FE">
      <w:pPr>
        <w:spacing w:line="240" w:lineRule="auto"/>
        <w:rPr>
          <w:del w:id="707" w:author="AbbVie_HU_03" w:date="2025-05-14T15:27:00Z"/>
          <w:szCs w:val="22"/>
        </w:rPr>
      </w:pPr>
    </w:p>
    <w:p w14:paraId="181A40A0" w14:textId="01B2B2F6" w:rsidR="00FB6710" w:rsidRPr="00183B5F" w:rsidRDefault="00943743" w:rsidP="00832DC3">
      <w:pPr>
        <w:keepNext/>
        <w:spacing w:line="240" w:lineRule="auto"/>
        <w:rPr>
          <w:del w:id="708" w:author="AbbVie_HU_03" w:date="2025-05-14T15:27:00Z"/>
          <w:b/>
          <w:szCs w:val="22"/>
        </w:rPr>
      </w:pPr>
      <w:del w:id="709" w:author="AbbVie_HU_03" w:date="2025-05-14T15:27:00Z">
        <w:r w:rsidRPr="00183B5F">
          <w:rPr>
            <w:b/>
            <w:szCs w:val="22"/>
          </w:rPr>
          <w:delText>4.8</w:delText>
        </w:r>
        <w:r w:rsidRPr="00183B5F">
          <w:rPr>
            <w:b/>
            <w:szCs w:val="22"/>
          </w:rPr>
          <w:tab/>
          <w:delText>Nemkívánatos hatások, mellékhatások</w:delText>
        </w:r>
      </w:del>
    </w:p>
    <w:p w14:paraId="422E079A" w14:textId="3F883AEB" w:rsidR="004A71B2" w:rsidRPr="00183B5F" w:rsidRDefault="004A71B2" w:rsidP="004062FE">
      <w:pPr>
        <w:keepNext/>
        <w:spacing w:line="240" w:lineRule="auto"/>
        <w:rPr>
          <w:del w:id="710" w:author="AbbVie_HU_03" w:date="2025-05-14T15:27:00Z"/>
          <w:b/>
          <w:szCs w:val="22"/>
        </w:rPr>
      </w:pPr>
    </w:p>
    <w:p w14:paraId="7AE671BD" w14:textId="58AAB95C" w:rsidR="00E338E0" w:rsidRPr="00183B5F" w:rsidRDefault="00943743" w:rsidP="004062FE">
      <w:pPr>
        <w:keepNext/>
        <w:spacing w:line="240" w:lineRule="auto"/>
        <w:rPr>
          <w:del w:id="711" w:author="AbbVie_HU_03" w:date="2025-05-14T15:27:00Z"/>
          <w:szCs w:val="22"/>
          <w:u w:val="single"/>
        </w:rPr>
      </w:pPr>
      <w:del w:id="712" w:author="AbbVie_HU_03" w:date="2025-05-14T15:27:00Z">
        <w:r w:rsidRPr="00183B5F">
          <w:rPr>
            <w:szCs w:val="22"/>
            <w:u w:val="single"/>
          </w:rPr>
          <w:delText>A biztonságossági profil összefoglalása</w:delText>
        </w:r>
      </w:del>
    </w:p>
    <w:p w14:paraId="75A654D8" w14:textId="2895EA52" w:rsidR="00E338E0" w:rsidRPr="00183B5F" w:rsidRDefault="00E338E0" w:rsidP="004062FE">
      <w:pPr>
        <w:keepNext/>
        <w:spacing w:line="240" w:lineRule="auto"/>
        <w:rPr>
          <w:del w:id="713" w:author="AbbVie_HU_03" w:date="2025-05-14T15:27:00Z"/>
          <w:b/>
          <w:szCs w:val="22"/>
        </w:rPr>
      </w:pPr>
    </w:p>
    <w:p w14:paraId="0911E5F9" w14:textId="1228C193" w:rsidR="00FB6710" w:rsidRPr="00183B5F" w:rsidRDefault="00943743" w:rsidP="004062FE">
      <w:pPr>
        <w:spacing w:line="240" w:lineRule="auto"/>
        <w:rPr>
          <w:del w:id="714" w:author="AbbVie_HU_03" w:date="2025-05-14T15:27:00Z"/>
          <w:szCs w:val="22"/>
        </w:rPr>
      </w:pPr>
      <w:del w:id="715" w:author="AbbVie_HU_03" w:date="2025-05-14T15:27:00Z">
        <w:r w:rsidRPr="00183B5F">
          <w:rPr>
            <w:szCs w:val="22"/>
          </w:rPr>
          <w:delText>A Humira</w:delText>
        </w:r>
        <w:r w:rsidR="003C7941" w:rsidRPr="00183B5F">
          <w:rPr>
            <w:szCs w:val="22"/>
          </w:rPr>
          <w:noBreakHyphen/>
        </w:r>
        <w:r w:rsidRPr="00183B5F">
          <w:rPr>
            <w:szCs w:val="22"/>
          </w:rPr>
          <w:delText xml:space="preserve">t </w:delText>
        </w:r>
        <w:r w:rsidR="00243ABA" w:rsidRPr="00183B5F">
          <w:rPr>
            <w:szCs w:val="22"/>
          </w:rPr>
          <w:delText>9</w:delText>
        </w:r>
        <w:r w:rsidR="00930654" w:rsidRPr="00183B5F">
          <w:rPr>
            <w:szCs w:val="22"/>
          </w:rPr>
          <w:delText>506</w:delText>
        </w:r>
        <w:r w:rsidR="00220056" w:rsidRPr="00183B5F">
          <w:rPr>
            <w:szCs w:val="22"/>
          </w:rPr>
          <w:delText> </w:delText>
        </w:r>
        <w:r w:rsidRPr="00183B5F">
          <w:rPr>
            <w:szCs w:val="22"/>
          </w:rPr>
          <w:delText>beteg bevonásával tanulmányozták</w:delText>
        </w:r>
        <w:r w:rsidR="007D1F57" w:rsidRPr="00183B5F">
          <w:rPr>
            <w:szCs w:val="22"/>
          </w:rPr>
          <w:delText xml:space="preserve"> pivotális,</w:delText>
        </w:r>
        <w:r w:rsidRPr="00183B5F">
          <w:rPr>
            <w:szCs w:val="22"/>
          </w:rPr>
          <w:delText xml:space="preserve"> kontrollos és nyílt vizsgálatokban, </w:delText>
        </w:r>
        <w:r w:rsidR="00B75B0F" w:rsidRPr="00183B5F">
          <w:rPr>
            <w:szCs w:val="22"/>
          </w:rPr>
          <w:delText>60 </w:delText>
        </w:r>
        <w:r w:rsidRPr="00183B5F">
          <w:rPr>
            <w:szCs w:val="22"/>
          </w:rPr>
          <w:delText>hónapig</w:delText>
        </w:r>
        <w:r w:rsidR="008167E2" w:rsidRPr="00183B5F">
          <w:rPr>
            <w:szCs w:val="22"/>
          </w:rPr>
          <w:delText xml:space="preserve"> vagy </w:delText>
        </w:r>
        <w:r w:rsidR="00AC51CD" w:rsidRPr="00183B5F">
          <w:rPr>
            <w:szCs w:val="22"/>
          </w:rPr>
          <w:delText>még tovább</w:delText>
        </w:r>
        <w:r w:rsidRPr="00183B5F">
          <w:rPr>
            <w:szCs w:val="22"/>
          </w:rPr>
          <w:delText>. Ezekbe a vizsgálatokba rövidebb vagy hosszabb ideje rheumatoid arthritisben, juvenilis idiopathiás arthritisben</w:delText>
        </w:r>
        <w:r w:rsidR="00220056" w:rsidRPr="00183B5F">
          <w:rPr>
            <w:szCs w:val="22"/>
          </w:rPr>
          <w:delText xml:space="preserve"> (polyarticularis juvenilis idiopathiás arthritisben és </w:delText>
        </w:r>
        <w:r w:rsidR="00677908" w:rsidRPr="00183B5F">
          <w:rPr>
            <w:szCs w:val="22"/>
          </w:rPr>
          <w:delText>enthesitis-asszociált</w:delText>
        </w:r>
        <w:r w:rsidR="00220056" w:rsidRPr="00183B5F">
          <w:rPr>
            <w:szCs w:val="22"/>
          </w:rPr>
          <w:delText xml:space="preserve"> arthritisben)</w:delText>
        </w:r>
        <w:r w:rsidRPr="00183B5F">
          <w:rPr>
            <w:szCs w:val="22"/>
          </w:rPr>
          <w:delText xml:space="preserve">, valamint </w:delText>
        </w:r>
        <w:r w:rsidR="00220056" w:rsidRPr="00183B5F">
          <w:rPr>
            <w:szCs w:val="22"/>
          </w:rPr>
          <w:delText>axialis spondyloarthritisben (</w:delText>
        </w:r>
        <w:r w:rsidRPr="00183B5F">
          <w:rPr>
            <w:szCs w:val="22"/>
          </w:rPr>
          <w:delText>spondylitis ankylopoeticában</w:delText>
        </w:r>
        <w:r w:rsidR="00220056" w:rsidRPr="00183B5F">
          <w:rPr>
            <w:szCs w:val="22"/>
          </w:rPr>
          <w:delText xml:space="preserve"> és</w:delText>
        </w:r>
        <w:r w:rsidRPr="00183B5F">
          <w:rPr>
            <w:szCs w:val="22"/>
          </w:rPr>
          <w:delText xml:space="preserve"> </w:delText>
        </w:r>
        <w:r w:rsidR="001667CA" w:rsidRPr="00183B5F">
          <w:rPr>
            <w:rFonts w:eastAsia="SimSun"/>
            <w:szCs w:val="22"/>
            <w:lang w:eastAsia="zh-CN"/>
          </w:rPr>
          <w:delText xml:space="preserve">a </w:delText>
        </w:r>
        <w:bookmarkStart w:id="716" w:name="OLE_LINK4"/>
        <w:r w:rsidR="001667CA" w:rsidRPr="00183B5F">
          <w:rPr>
            <w:rFonts w:eastAsia="SimSun"/>
            <w:szCs w:val="22"/>
            <w:lang w:eastAsia="zh-CN"/>
          </w:rPr>
          <w:delText>spondylitis ankylopoeticának</w:delText>
        </w:r>
        <w:r w:rsidR="009C4ED5" w:rsidRPr="00183B5F">
          <w:rPr>
            <w:rFonts w:eastAsia="SimSun"/>
            <w:szCs w:val="22"/>
            <w:lang w:eastAsia="zh-CN"/>
          </w:rPr>
          <w:delText xml:space="preserve"> (SPA)</w:delText>
        </w:r>
        <w:r w:rsidR="001667CA" w:rsidRPr="00183B5F">
          <w:rPr>
            <w:rFonts w:eastAsia="SimSun"/>
            <w:szCs w:val="22"/>
            <w:lang w:eastAsia="zh-CN"/>
          </w:rPr>
          <w:delText xml:space="preserve"> megfelelő röntgen</w:delText>
        </w:r>
        <w:r w:rsidR="000B384F" w:rsidRPr="00183B5F">
          <w:rPr>
            <w:rFonts w:eastAsia="SimSun"/>
            <w:szCs w:val="22"/>
            <w:lang w:eastAsia="zh-CN"/>
          </w:rPr>
          <w:delText>eltérés</w:delText>
        </w:r>
        <w:r w:rsidR="001667CA" w:rsidRPr="00183B5F">
          <w:rPr>
            <w:rFonts w:eastAsia="SimSun"/>
            <w:szCs w:val="22"/>
            <w:lang w:eastAsia="zh-CN"/>
          </w:rPr>
          <w:delText>sel nem járó</w:delText>
        </w:r>
        <w:r w:rsidR="000B384F" w:rsidRPr="00183B5F">
          <w:rPr>
            <w:szCs w:val="22"/>
          </w:rPr>
          <w:delText xml:space="preserve"> </w:delText>
        </w:r>
        <w:r w:rsidR="00453EE5" w:rsidRPr="00183B5F">
          <w:rPr>
            <w:szCs w:val="22"/>
          </w:rPr>
          <w:delText>axi</w:delText>
        </w:r>
        <w:r w:rsidR="000B384F" w:rsidRPr="00183B5F">
          <w:rPr>
            <w:szCs w:val="22"/>
          </w:rPr>
          <w:delText>á</w:delText>
        </w:r>
        <w:r w:rsidR="00453EE5" w:rsidRPr="00183B5F">
          <w:rPr>
            <w:szCs w:val="22"/>
          </w:rPr>
          <w:delText>lis spondyl</w:delText>
        </w:r>
        <w:r w:rsidR="00DF7D9E" w:rsidRPr="00183B5F">
          <w:rPr>
            <w:szCs w:val="22"/>
          </w:rPr>
          <w:delText>o</w:delText>
        </w:r>
        <w:r w:rsidR="00453EE5" w:rsidRPr="00183B5F">
          <w:rPr>
            <w:szCs w:val="22"/>
          </w:rPr>
          <w:delText>arthritisben</w:delText>
        </w:r>
        <w:bookmarkEnd w:id="716"/>
        <w:r w:rsidR="00220056" w:rsidRPr="00183B5F">
          <w:rPr>
            <w:szCs w:val="22"/>
          </w:rPr>
          <w:delText>)</w:delText>
        </w:r>
        <w:r w:rsidR="00453EE5" w:rsidRPr="00183B5F">
          <w:rPr>
            <w:szCs w:val="22"/>
          </w:rPr>
          <w:delText xml:space="preserve">, arthritis psoriaticában, </w:delText>
        </w:r>
        <w:r w:rsidRPr="00183B5F">
          <w:rPr>
            <w:szCs w:val="22"/>
          </w:rPr>
          <w:delText>Crohn</w:delText>
        </w:r>
        <w:r w:rsidR="00A309F0" w:rsidRPr="00183B5F">
          <w:rPr>
            <w:szCs w:val="22"/>
          </w:rPr>
          <w:noBreakHyphen/>
        </w:r>
        <w:r w:rsidRPr="00183B5F">
          <w:rPr>
            <w:szCs w:val="22"/>
          </w:rPr>
          <w:delText>betegségben</w:delText>
        </w:r>
        <w:r w:rsidR="00453EE5" w:rsidRPr="00183B5F">
          <w:rPr>
            <w:szCs w:val="22"/>
          </w:rPr>
          <w:delText>, colitis ulcerosában</w:delText>
        </w:r>
        <w:r w:rsidR="00243ABA" w:rsidRPr="00183B5F">
          <w:rPr>
            <w:szCs w:val="22"/>
          </w:rPr>
          <w:delText>,</w:delText>
        </w:r>
        <w:r w:rsidRPr="00183B5F">
          <w:rPr>
            <w:szCs w:val="22"/>
          </w:rPr>
          <w:delText xml:space="preserve"> psoriasisban</w:delText>
        </w:r>
        <w:r w:rsidR="001344D5" w:rsidRPr="00183B5F">
          <w:rPr>
            <w:szCs w:val="22"/>
          </w:rPr>
          <w:delText>,</w:delText>
        </w:r>
        <w:r w:rsidRPr="00183B5F">
          <w:rPr>
            <w:szCs w:val="22"/>
          </w:rPr>
          <w:delText xml:space="preserve"> </w:delText>
        </w:r>
        <w:r w:rsidR="00243ABA" w:rsidRPr="00183B5F">
          <w:rPr>
            <w:szCs w:val="22"/>
          </w:rPr>
          <w:delText>hidradenitis suppurativaban</w:delText>
        </w:r>
        <w:r w:rsidR="00930654" w:rsidRPr="00183B5F">
          <w:rPr>
            <w:szCs w:val="22"/>
          </w:rPr>
          <w:delText xml:space="preserve"> és uveitisben</w:delText>
        </w:r>
        <w:r w:rsidR="00243ABA" w:rsidRPr="00183B5F">
          <w:rPr>
            <w:szCs w:val="22"/>
          </w:rPr>
          <w:delText xml:space="preserve"> </w:delText>
        </w:r>
        <w:r w:rsidRPr="00183B5F">
          <w:rPr>
            <w:szCs w:val="22"/>
          </w:rPr>
          <w:delText xml:space="preserve">szenvedő betegeket választottak be. A pivotális, kontrollos vizsgálatok, amelyek során </w:delText>
        </w:r>
        <w:r w:rsidR="00930654" w:rsidRPr="00183B5F">
          <w:rPr>
            <w:szCs w:val="22"/>
          </w:rPr>
          <w:delText>6089</w:delText>
        </w:r>
        <w:r w:rsidR="00220056" w:rsidRPr="00183B5F">
          <w:rPr>
            <w:szCs w:val="22"/>
          </w:rPr>
          <w:delText> </w:delText>
        </w:r>
        <w:r w:rsidRPr="00183B5F">
          <w:rPr>
            <w:szCs w:val="22"/>
          </w:rPr>
          <w:delText>beteg részesült Humira</w:delText>
        </w:r>
        <w:r w:rsidR="003C7941" w:rsidRPr="00183B5F">
          <w:rPr>
            <w:szCs w:val="22"/>
          </w:rPr>
          <w:noBreakHyphen/>
        </w:r>
        <w:r w:rsidRPr="00183B5F">
          <w:rPr>
            <w:szCs w:val="22"/>
          </w:rPr>
          <w:delText xml:space="preserve">kezelésben és </w:delText>
        </w:r>
        <w:r w:rsidR="008E50F3" w:rsidRPr="00183B5F">
          <w:rPr>
            <w:szCs w:val="22"/>
          </w:rPr>
          <w:delText>3</w:delText>
        </w:r>
        <w:r w:rsidR="00930654" w:rsidRPr="00183B5F">
          <w:rPr>
            <w:szCs w:val="22"/>
          </w:rPr>
          <w:delText>801</w:delText>
        </w:r>
        <w:r w:rsidR="00220056" w:rsidRPr="00183B5F">
          <w:rPr>
            <w:szCs w:val="22"/>
          </w:rPr>
          <w:delText> </w:delText>
        </w:r>
        <w:r w:rsidRPr="00183B5F">
          <w:rPr>
            <w:szCs w:val="22"/>
          </w:rPr>
          <w:delText>beteg kapott placebót vagy aktív összehasonlító gyógyszert a kontrollos periódusban</w:delText>
        </w:r>
        <w:r w:rsidR="004C0D7B" w:rsidRPr="00183B5F">
          <w:rPr>
            <w:szCs w:val="22"/>
          </w:rPr>
          <w:delText xml:space="preserve"> és a spontán </w:delText>
        </w:r>
        <w:r w:rsidR="00F65218" w:rsidRPr="00183B5F">
          <w:rPr>
            <w:szCs w:val="22"/>
          </w:rPr>
          <w:delText xml:space="preserve">jelentés </w:delText>
        </w:r>
        <w:r w:rsidR="004C0D7B" w:rsidRPr="00183B5F">
          <w:rPr>
            <w:szCs w:val="22"/>
          </w:rPr>
          <w:delText>során</w:delText>
        </w:r>
        <w:r w:rsidRPr="00183B5F">
          <w:rPr>
            <w:szCs w:val="22"/>
          </w:rPr>
          <w:delText>.</w:delText>
        </w:r>
      </w:del>
    </w:p>
    <w:p w14:paraId="0EB02C8B" w14:textId="4096DD59" w:rsidR="00FB6710" w:rsidRPr="00183B5F" w:rsidRDefault="00FB6710" w:rsidP="004062FE">
      <w:pPr>
        <w:spacing w:line="240" w:lineRule="auto"/>
        <w:rPr>
          <w:del w:id="717" w:author="AbbVie_HU_03" w:date="2025-05-14T15:27:00Z"/>
          <w:szCs w:val="22"/>
        </w:rPr>
      </w:pPr>
    </w:p>
    <w:p w14:paraId="17A994FC" w14:textId="0B6FD36F" w:rsidR="00FB6710" w:rsidRPr="00183B5F" w:rsidRDefault="00943743" w:rsidP="004062FE">
      <w:pPr>
        <w:spacing w:line="240" w:lineRule="auto"/>
        <w:rPr>
          <w:del w:id="718" w:author="AbbVie_HU_03" w:date="2025-05-14T15:27:00Z"/>
          <w:szCs w:val="22"/>
        </w:rPr>
      </w:pPr>
      <w:del w:id="719" w:author="AbbVie_HU_03" w:date="2025-05-14T15:27:00Z">
        <w:r w:rsidRPr="00183B5F">
          <w:rPr>
            <w:szCs w:val="22"/>
          </w:rPr>
          <w:delText>Azon betegek aránya, akik a pivotális vizsgálatok kettős</w:delText>
        </w:r>
        <w:r w:rsidR="00E5381A" w:rsidRPr="00183B5F">
          <w:rPr>
            <w:szCs w:val="22"/>
          </w:rPr>
          <w:delText xml:space="preserve"> </w:delText>
        </w:r>
        <w:r w:rsidRPr="00183B5F">
          <w:rPr>
            <w:szCs w:val="22"/>
          </w:rPr>
          <w:delText>vak, kontrollos részében mellékhatások miatt abbahagyták a kezelést, a Humira</w:delText>
        </w:r>
        <w:r w:rsidR="003C7941" w:rsidRPr="00183B5F">
          <w:rPr>
            <w:szCs w:val="22"/>
          </w:rPr>
          <w:noBreakHyphen/>
        </w:r>
        <w:r w:rsidRPr="00183B5F">
          <w:rPr>
            <w:szCs w:val="22"/>
          </w:rPr>
          <w:delText xml:space="preserve">val kezelt betegcsoportban </w:delText>
        </w:r>
        <w:r w:rsidR="00243ABA" w:rsidRPr="00183B5F">
          <w:rPr>
            <w:szCs w:val="22"/>
          </w:rPr>
          <w:delText>5,</w:delText>
        </w:r>
        <w:r w:rsidR="00930654" w:rsidRPr="00183B5F">
          <w:rPr>
            <w:szCs w:val="22"/>
          </w:rPr>
          <w:delText>9</w:delText>
        </w:r>
        <w:r w:rsidRPr="00183B5F">
          <w:rPr>
            <w:szCs w:val="22"/>
          </w:rPr>
          <w:delText xml:space="preserve">%, míg a kontroll kezelt betegeknél </w:delText>
        </w:r>
        <w:r w:rsidR="00470E7C" w:rsidRPr="00183B5F">
          <w:rPr>
            <w:szCs w:val="22"/>
          </w:rPr>
          <w:delText>5,</w:delText>
        </w:r>
        <w:r w:rsidR="00243ABA" w:rsidRPr="00183B5F">
          <w:rPr>
            <w:szCs w:val="22"/>
          </w:rPr>
          <w:delText>4</w:delText>
        </w:r>
        <w:r w:rsidRPr="00183B5F">
          <w:rPr>
            <w:szCs w:val="22"/>
          </w:rPr>
          <w:delText>% volt.</w:delText>
        </w:r>
      </w:del>
    </w:p>
    <w:p w14:paraId="5FC53BC5" w14:textId="5C0EFD9F" w:rsidR="004C0D7B" w:rsidRPr="00183B5F" w:rsidRDefault="004C0D7B" w:rsidP="004062FE">
      <w:pPr>
        <w:spacing w:line="240" w:lineRule="auto"/>
        <w:rPr>
          <w:del w:id="720" w:author="AbbVie_HU_03" w:date="2025-05-14T15:27:00Z"/>
          <w:szCs w:val="22"/>
        </w:rPr>
      </w:pPr>
    </w:p>
    <w:p w14:paraId="2C92E58F" w14:textId="531B49B4" w:rsidR="004C0D7B" w:rsidRPr="00183B5F" w:rsidRDefault="00943743" w:rsidP="004062FE">
      <w:pPr>
        <w:spacing w:line="240" w:lineRule="auto"/>
        <w:rPr>
          <w:del w:id="721" w:author="AbbVie_HU_03" w:date="2025-05-14T15:27:00Z"/>
          <w:szCs w:val="22"/>
        </w:rPr>
      </w:pPr>
      <w:del w:id="722" w:author="AbbVie_HU_03" w:date="2025-05-14T15:27:00Z">
        <w:r w:rsidRPr="00183B5F">
          <w:rPr>
            <w:szCs w:val="22"/>
          </w:rPr>
          <w:delText xml:space="preserve">A leggyakoribb </w:delText>
        </w:r>
        <w:r w:rsidR="00D408F7" w:rsidRPr="00183B5F">
          <w:rPr>
            <w:szCs w:val="22"/>
          </w:rPr>
          <w:delText>mellék</w:delText>
        </w:r>
        <w:r w:rsidRPr="00183B5F">
          <w:rPr>
            <w:szCs w:val="22"/>
          </w:rPr>
          <w:delText xml:space="preserve">hatások a fertőzések (pl. </w:delText>
        </w:r>
        <w:r w:rsidR="002B089B" w:rsidRPr="00183B5F">
          <w:rPr>
            <w:szCs w:val="22"/>
          </w:rPr>
          <w:delText>nasopharyngitis</w:delText>
        </w:r>
        <w:r w:rsidRPr="00183B5F">
          <w:rPr>
            <w:szCs w:val="22"/>
          </w:rPr>
          <w:delText>, felső légúti fertőzés és sinusitis), az injekció beadási helyén jelentkező reakciók (erythema, pruritus, suffusio, fájdalom vagy duzzanat), a fejfájás és a mozgásszervi eredetű fájdalom.</w:delText>
        </w:r>
      </w:del>
    </w:p>
    <w:p w14:paraId="1A7D757E" w14:textId="58E76F28" w:rsidR="00DE58E9" w:rsidRPr="00183B5F" w:rsidRDefault="00DE58E9" w:rsidP="004062FE">
      <w:pPr>
        <w:spacing w:line="240" w:lineRule="auto"/>
        <w:rPr>
          <w:del w:id="723" w:author="AbbVie_HU_03" w:date="2025-05-14T15:27:00Z"/>
          <w:szCs w:val="22"/>
        </w:rPr>
      </w:pPr>
    </w:p>
    <w:p w14:paraId="5A1134BE" w14:textId="3A264A23" w:rsidR="000454FB" w:rsidRPr="00183B5F" w:rsidRDefault="00943743" w:rsidP="004062FE">
      <w:pPr>
        <w:spacing w:line="240" w:lineRule="auto"/>
        <w:rPr>
          <w:del w:id="724" w:author="AbbVie_HU_03" w:date="2025-05-14T15:27:00Z"/>
          <w:szCs w:val="22"/>
        </w:rPr>
      </w:pPr>
      <w:del w:id="725" w:author="AbbVie_HU_03" w:date="2025-05-14T15:27:00Z">
        <w:r w:rsidRPr="00183B5F">
          <w:rPr>
            <w:szCs w:val="22"/>
          </w:rPr>
          <w:delText>S</w:delText>
        </w:r>
        <w:r w:rsidR="00DE58E9" w:rsidRPr="00183B5F">
          <w:rPr>
            <w:szCs w:val="22"/>
          </w:rPr>
          <w:delText xml:space="preserve">úlyos </w:delText>
        </w:r>
        <w:r w:rsidR="00F85C07" w:rsidRPr="00183B5F">
          <w:rPr>
            <w:szCs w:val="22"/>
          </w:rPr>
          <w:delText>mellék</w:delText>
        </w:r>
        <w:r w:rsidR="00DE58E9" w:rsidRPr="00183B5F">
          <w:rPr>
            <w:szCs w:val="22"/>
          </w:rPr>
          <w:delText>hatásokról</w:delText>
        </w:r>
        <w:r w:rsidR="00333912" w:rsidRPr="00183B5F">
          <w:rPr>
            <w:szCs w:val="22"/>
          </w:rPr>
          <w:delText xml:space="preserve"> </w:delText>
        </w:r>
        <w:r w:rsidR="00DE58E9" w:rsidRPr="00183B5F">
          <w:rPr>
            <w:szCs w:val="22"/>
          </w:rPr>
          <w:delText>is beszámoltak</w:delText>
        </w:r>
        <w:r w:rsidRPr="00183B5F">
          <w:rPr>
            <w:szCs w:val="22"/>
          </w:rPr>
          <w:delText xml:space="preserve"> a</w:delText>
        </w:r>
        <w:r w:rsidR="00DE58E9" w:rsidRPr="00183B5F">
          <w:rPr>
            <w:szCs w:val="22"/>
          </w:rPr>
          <w:delText xml:space="preserve"> Humira alkalmazása során. </w:delText>
        </w:r>
        <w:r w:rsidR="00C14DF3" w:rsidRPr="00183B5F">
          <w:rPr>
            <w:szCs w:val="22"/>
          </w:rPr>
          <w:delText>A TNF</w:delText>
        </w:r>
        <w:r w:rsidR="003C7941" w:rsidRPr="00183B5F">
          <w:rPr>
            <w:szCs w:val="22"/>
          </w:rPr>
          <w:noBreakHyphen/>
        </w:r>
        <w:r w:rsidR="00DE58E9" w:rsidRPr="00183B5F">
          <w:rPr>
            <w:szCs w:val="22"/>
          </w:rPr>
          <w:delText>antagonisták, így a Humira is befolyásolja</w:delText>
        </w:r>
        <w:r w:rsidR="008E445D" w:rsidRPr="00183B5F">
          <w:rPr>
            <w:szCs w:val="22"/>
          </w:rPr>
          <w:delText xml:space="preserve"> </w:delText>
        </w:r>
        <w:r w:rsidR="00DE58E9" w:rsidRPr="00183B5F">
          <w:rPr>
            <w:szCs w:val="22"/>
          </w:rPr>
          <w:delText>az immunrendszert, és alkalmazásuk megváltoztathatja</w:delText>
        </w:r>
        <w:r w:rsidR="00D441D5" w:rsidRPr="00183B5F">
          <w:rPr>
            <w:szCs w:val="22"/>
          </w:rPr>
          <w:delText xml:space="preserve"> </w:delText>
        </w:r>
        <w:r w:rsidR="00DE58E9" w:rsidRPr="00183B5F">
          <w:rPr>
            <w:szCs w:val="22"/>
          </w:rPr>
          <w:delText>a</w:delText>
        </w:r>
        <w:r w:rsidRPr="00183B5F">
          <w:rPr>
            <w:szCs w:val="22"/>
          </w:rPr>
          <w:delText xml:space="preserve"> szervezet</w:delText>
        </w:r>
        <w:r w:rsidR="00DE58E9" w:rsidRPr="00183B5F">
          <w:rPr>
            <w:szCs w:val="22"/>
          </w:rPr>
          <w:delText xml:space="preserve"> fertőzésekkel és daganatokkal szemben</w:delText>
        </w:r>
        <w:r w:rsidR="00982DDF" w:rsidRPr="00183B5F">
          <w:rPr>
            <w:szCs w:val="22"/>
          </w:rPr>
          <w:delText>i</w:delText>
        </w:r>
        <w:r w:rsidR="00DE58E9" w:rsidRPr="00183B5F">
          <w:rPr>
            <w:szCs w:val="22"/>
          </w:rPr>
          <w:delText xml:space="preserve"> védekezőképességét</w:delText>
        </w:r>
        <w:r w:rsidRPr="00183B5F">
          <w:rPr>
            <w:szCs w:val="22"/>
          </w:rPr>
          <w:delText>. A Humira alkalmazása során beszámoltak fatális és életveszélyes fertőzésekről (beleértve a sepsist, az oppurtunista fertőzés</w:delText>
        </w:r>
        <w:r w:rsidR="002B089B" w:rsidRPr="00183B5F">
          <w:rPr>
            <w:szCs w:val="22"/>
          </w:rPr>
          <w:delText>eke</w:delText>
        </w:r>
        <w:r w:rsidRPr="00183B5F">
          <w:rPr>
            <w:szCs w:val="22"/>
          </w:rPr>
          <w:delText>t és a TBC</w:delText>
        </w:r>
        <w:r w:rsidR="00A309F0" w:rsidRPr="00183B5F">
          <w:rPr>
            <w:szCs w:val="22"/>
          </w:rPr>
          <w:noBreakHyphen/>
        </w:r>
        <w:r w:rsidRPr="00183B5F">
          <w:rPr>
            <w:szCs w:val="22"/>
          </w:rPr>
          <w:delText xml:space="preserve">t), </w:delText>
        </w:r>
        <w:r w:rsidR="00DF3B7D" w:rsidRPr="00183B5F">
          <w:rPr>
            <w:szCs w:val="22"/>
          </w:rPr>
          <w:delText xml:space="preserve">a </w:delText>
        </w:r>
        <w:r w:rsidRPr="00183B5F">
          <w:rPr>
            <w:szCs w:val="22"/>
          </w:rPr>
          <w:delText>HBV reaktivá</w:delText>
        </w:r>
        <w:r w:rsidR="00DF3B7D" w:rsidRPr="00183B5F">
          <w:rPr>
            <w:szCs w:val="22"/>
          </w:rPr>
          <w:delText>l</w:delText>
        </w:r>
        <w:r w:rsidRPr="00183B5F">
          <w:rPr>
            <w:szCs w:val="22"/>
          </w:rPr>
          <w:delText>ó</w:delText>
        </w:r>
        <w:r w:rsidR="00DF3B7D" w:rsidRPr="00183B5F">
          <w:rPr>
            <w:szCs w:val="22"/>
          </w:rPr>
          <w:delText>dásá</w:delText>
        </w:r>
        <w:r w:rsidRPr="00183B5F">
          <w:rPr>
            <w:szCs w:val="22"/>
          </w:rPr>
          <w:delText>ról és különböző</w:delText>
        </w:r>
        <w:r w:rsidR="00DF3B7D" w:rsidRPr="00183B5F">
          <w:rPr>
            <w:szCs w:val="22"/>
          </w:rPr>
          <w:delText xml:space="preserve"> malignus betegségekről</w:delText>
        </w:r>
        <w:r w:rsidRPr="00183B5F">
          <w:rPr>
            <w:szCs w:val="22"/>
          </w:rPr>
          <w:delText xml:space="preserve"> is (beleértve a leukaemiát, a lymphomát és hepatosplenicus T</w:delText>
        </w:r>
        <w:r w:rsidR="003C7941" w:rsidRPr="00183B5F">
          <w:rPr>
            <w:szCs w:val="22"/>
          </w:rPr>
          <w:noBreakHyphen/>
        </w:r>
        <w:r w:rsidRPr="00183B5F">
          <w:rPr>
            <w:szCs w:val="22"/>
          </w:rPr>
          <w:delText>sejtes lymphomát).</w:delText>
        </w:r>
      </w:del>
    </w:p>
    <w:p w14:paraId="61215249" w14:textId="69F6E413" w:rsidR="000454FB" w:rsidRPr="00183B5F" w:rsidRDefault="000454FB" w:rsidP="004062FE">
      <w:pPr>
        <w:spacing w:line="240" w:lineRule="auto"/>
        <w:rPr>
          <w:del w:id="726" w:author="AbbVie_HU_03" w:date="2025-05-14T15:27:00Z"/>
          <w:szCs w:val="22"/>
        </w:rPr>
      </w:pPr>
    </w:p>
    <w:p w14:paraId="565E9E9F" w14:textId="7DEC1E36" w:rsidR="000454FB" w:rsidRPr="00183B5F" w:rsidRDefault="00943743" w:rsidP="004062FE">
      <w:pPr>
        <w:spacing w:line="240" w:lineRule="auto"/>
        <w:rPr>
          <w:del w:id="727" w:author="AbbVie_HU_03" w:date="2025-05-14T15:27:00Z"/>
          <w:szCs w:val="22"/>
        </w:rPr>
      </w:pPr>
      <w:del w:id="728" w:author="AbbVie_HU_03" w:date="2025-05-14T15:27:00Z">
        <w:r w:rsidRPr="00183B5F">
          <w:rPr>
            <w:szCs w:val="22"/>
          </w:rPr>
          <w:delText xml:space="preserve">Súlyos haematologiai, neurológiai és autoimmun </w:delText>
        </w:r>
        <w:r w:rsidR="00AE3397" w:rsidRPr="00183B5F">
          <w:rPr>
            <w:szCs w:val="22"/>
          </w:rPr>
          <w:delText>folyamatokról is beszámoltak, mint pl. pancytopenia, aplasticus anaemia, központi és perifériás demyelinisatiós betegségek néhány esete</w:delText>
        </w:r>
        <w:r w:rsidR="005644D7" w:rsidRPr="00183B5F">
          <w:rPr>
            <w:szCs w:val="22"/>
          </w:rPr>
          <w:delText>, lupus erythemato</w:delText>
        </w:r>
        <w:r w:rsidR="00AE3397" w:rsidRPr="00183B5F">
          <w:rPr>
            <w:szCs w:val="22"/>
          </w:rPr>
          <w:delText>s</w:delText>
        </w:r>
        <w:r w:rsidR="005644D7" w:rsidRPr="00183B5F">
          <w:rPr>
            <w:szCs w:val="22"/>
          </w:rPr>
          <w:delText>us</w:delText>
        </w:r>
        <w:r w:rsidR="00AE3397" w:rsidRPr="00183B5F">
          <w:rPr>
            <w:szCs w:val="22"/>
          </w:rPr>
          <w:delText xml:space="preserve">, </w:delText>
        </w:r>
        <w:r w:rsidR="00501512" w:rsidRPr="00183B5F">
          <w:rPr>
            <w:szCs w:val="22"/>
          </w:rPr>
          <w:delText>lupus</w:delText>
        </w:r>
        <w:r w:rsidR="00A309F0" w:rsidRPr="00183B5F">
          <w:rPr>
            <w:szCs w:val="22"/>
          </w:rPr>
          <w:noBreakHyphen/>
        </w:r>
        <w:r w:rsidR="00C8613B" w:rsidRPr="00183B5F">
          <w:rPr>
            <w:szCs w:val="22"/>
          </w:rPr>
          <w:delText>szal összefüggő</w:delText>
        </w:r>
        <w:r w:rsidR="00501512" w:rsidRPr="00183B5F">
          <w:rPr>
            <w:szCs w:val="22"/>
          </w:rPr>
          <w:delText xml:space="preserve"> b</w:delText>
        </w:r>
        <w:r w:rsidR="00AE3397" w:rsidRPr="00183B5F">
          <w:rPr>
            <w:szCs w:val="22"/>
          </w:rPr>
          <w:delText>e</w:delText>
        </w:r>
        <w:r w:rsidR="00C654E6" w:rsidRPr="00183B5F">
          <w:rPr>
            <w:szCs w:val="22"/>
          </w:rPr>
          <w:delText>te</w:delText>
        </w:r>
        <w:r w:rsidR="00AE3397" w:rsidRPr="00183B5F">
          <w:rPr>
            <w:szCs w:val="22"/>
          </w:rPr>
          <w:delText>gségek és Stevens</w:delText>
        </w:r>
        <w:r w:rsidR="00004B4F" w:rsidRPr="00183B5F">
          <w:rPr>
            <w:szCs w:val="22"/>
          </w:rPr>
          <w:delText>–</w:delText>
        </w:r>
        <w:r w:rsidR="00AE3397" w:rsidRPr="00183B5F">
          <w:rPr>
            <w:szCs w:val="22"/>
          </w:rPr>
          <w:delText>Johnson</w:delText>
        </w:r>
        <w:r w:rsidR="001E33D4" w:rsidRPr="00183B5F">
          <w:rPr>
            <w:szCs w:val="22"/>
          </w:rPr>
          <w:delText>-</w:delText>
        </w:r>
        <w:r w:rsidR="00AE3397" w:rsidRPr="00183B5F">
          <w:rPr>
            <w:szCs w:val="22"/>
          </w:rPr>
          <w:delText>szindróma.</w:delText>
        </w:r>
      </w:del>
    </w:p>
    <w:p w14:paraId="06F82D61" w14:textId="664FE8D6" w:rsidR="004C0D7B" w:rsidRPr="00183B5F" w:rsidRDefault="004C0D7B" w:rsidP="004062FE">
      <w:pPr>
        <w:spacing w:line="240" w:lineRule="auto"/>
        <w:rPr>
          <w:del w:id="729" w:author="AbbVie_HU_03" w:date="2025-05-14T15:27:00Z"/>
          <w:szCs w:val="22"/>
        </w:rPr>
      </w:pPr>
    </w:p>
    <w:p w14:paraId="79F1A020" w14:textId="32EDF1D2" w:rsidR="00A441E8" w:rsidRPr="00183B5F" w:rsidRDefault="00943743" w:rsidP="004062FE">
      <w:pPr>
        <w:keepNext/>
        <w:spacing w:line="240" w:lineRule="auto"/>
        <w:rPr>
          <w:del w:id="730" w:author="AbbVie_HU_03" w:date="2025-05-14T15:27:00Z"/>
          <w:iCs/>
          <w:szCs w:val="22"/>
          <w:u w:val="single"/>
        </w:rPr>
      </w:pPr>
      <w:del w:id="731" w:author="AbbVie_HU_03" w:date="2025-05-14T15:27:00Z">
        <w:r w:rsidRPr="00183B5F">
          <w:rPr>
            <w:iCs/>
            <w:szCs w:val="22"/>
            <w:u w:val="single"/>
          </w:rPr>
          <w:delText>Gyermekek</w:delText>
        </w:r>
        <w:r w:rsidR="00CE76E2" w:rsidRPr="00183B5F">
          <w:rPr>
            <w:iCs/>
            <w:szCs w:val="22"/>
            <w:u w:val="single"/>
          </w:rPr>
          <w:delText xml:space="preserve"> és serdülők</w:delText>
        </w:r>
      </w:del>
    </w:p>
    <w:p w14:paraId="4598ED2D" w14:textId="6D62C606" w:rsidR="00A441E8" w:rsidRPr="00183B5F" w:rsidRDefault="00A441E8" w:rsidP="004062FE">
      <w:pPr>
        <w:keepNext/>
        <w:spacing w:line="240" w:lineRule="auto"/>
        <w:rPr>
          <w:del w:id="732" w:author="AbbVie_HU_03" w:date="2025-05-14T15:27:00Z"/>
          <w:iCs/>
          <w:szCs w:val="22"/>
          <w:u w:val="single"/>
        </w:rPr>
      </w:pPr>
    </w:p>
    <w:p w14:paraId="16CFB370" w14:textId="043F606C" w:rsidR="00FB6710" w:rsidRPr="00183B5F" w:rsidRDefault="00943743" w:rsidP="004062FE">
      <w:pPr>
        <w:keepNext/>
        <w:spacing w:line="240" w:lineRule="auto"/>
        <w:rPr>
          <w:del w:id="733" w:author="AbbVie_HU_03" w:date="2025-05-14T15:27:00Z"/>
          <w:szCs w:val="22"/>
        </w:rPr>
      </w:pPr>
      <w:del w:id="734" w:author="AbbVie_HU_03" w:date="2025-05-14T15:27:00Z">
        <w:r w:rsidRPr="00183B5F">
          <w:rPr>
            <w:szCs w:val="22"/>
          </w:rPr>
          <w:delText xml:space="preserve">Általában véve a </w:delText>
        </w:r>
        <w:r w:rsidR="00004B4F" w:rsidRPr="00183B5F">
          <w:rPr>
            <w:szCs w:val="22"/>
          </w:rPr>
          <w:delText>gyermekeknél és serdülőknél</w:delText>
        </w:r>
        <w:r w:rsidRPr="00183B5F">
          <w:rPr>
            <w:szCs w:val="22"/>
          </w:rPr>
          <w:delText xml:space="preserve"> megfigyelt nemkívánatos események gyakorisága és típusa hasonló volt azokhoz, mint amiket a felnőtt betegeknél észleltek.</w:delText>
        </w:r>
      </w:del>
    </w:p>
    <w:p w14:paraId="39238C3B" w14:textId="0E62C14A" w:rsidR="00A441E8" w:rsidRPr="00183B5F" w:rsidRDefault="00A441E8" w:rsidP="004062FE">
      <w:pPr>
        <w:spacing w:line="240" w:lineRule="auto"/>
        <w:rPr>
          <w:del w:id="735" w:author="AbbVie_HU_03" w:date="2025-05-14T15:27:00Z"/>
          <w:szCs w:val="22"/>
        </w:rPr>
      </w:pPr>
    </w:p>
    <w:p w14:paraId="23C78449" w14:textId="2FAFEFDA" w:rsidR="00A441E8" w:rsidRPr="00183B5F" w:rsidRDefault="00943743" w:rsidP="004062FE">
      <w:pPr>
        <w:keepNext/>
        <w:spacing w:line="240" w:lineRule="auto"/>
        <w:rPr>
          <w:del w:id="736" w:author="AbbVie_HU_03" w:date="2025-05-14T15:27:00Z"/>
          <w:szCs w:val="22"/>
          <w:u w:val="single"/>
        </w:rPr>
      </w:pPr>
      <w:del w:id="737" w:author="AbbVie_HU_03" w:date="2025-05-14T15:27:00Z">
        <w:r w:rsidRPr="00183B5F">
          <w:rPr>
            <w:szCs w:val="22"/>
            <w:u w:val="single"/>
          </w:rPr>
          <w:delText>A mellékhatások táblázatos felsorolása</w:delText>
        </w:r>
      </w:del>
    </w:p>
    <w:p w14:paraId="382A979F" w14:textId="0B914575" w:rsidR="00FB6710" w:rsidRPr="00183B5F" w:rsidRDefault="00FB6710" w:rsidP="004062FE">
      <w:pPr>
        <w:keepNext/>
        <w:spacing w:line="240" w:lineRule="auto"/>
        <w:rPr>
          <w:del w:id="738" w:author="AbbVie_HU_03" w:date="2025-05-14T15:27:00Z"/>
          <w:szCs w:val="22"/>
        </w:rPr>
      </w:pPr>
    </w:p>
    <w:p w14:paraId="550783F4" w14:textId="67BA0376" w:rsidR="00FB6710" w:rsidRPr="00183B5F" w:rsidRDefault="00943743" w:rsidP="004062FE">
      <w:pPr>
        <w:keepNext/>
        <w:spacing w:line="240" w:lineRule="auto"/>
        <w:rPr>
          <w:del w:id="739" w:author="AbbVie_HU_03" w:date="2025-05-14T15:27:00Z"/>
          <w:szCs w:val="22"/>
        </w:rPr>
      </w:pPr>
      <w:del w:id="740" w:author="AbbVie_HU_03" w:date="2025-05-14T15:27:00Z">
        <w:r w:rsidRPr="00183B5F">
          <w:rPr>
            <w:szCs w:val="22"/>
          </w:rPr>
          <w:delText xml:space="preserve">A </w:delText>
        </w:r>
        <w:r w:rsidR="001166BD" w:rsidRPr="00183B5F">
          <w:rPr>
            <w:szCs w:val="22"/>
          </w:rPr>
          <w:delText>7</w:delText>
        </w:r>
        <w:r w:rsidRPr="00183B5F">
          <w:rPr>
            <w:szCs w:val="22"/>
          </w:rPr>
          <w:delText>.</w:delText>
        </w:r>
        <w:r w:rsidR="003C7941" w:rsidRPr="00183B5F">
          <w:rPr>
            <w:szCs w:val="22"/>
          </w:rPr>
          <w:delText> </w:delText>
        </w:r>
        <w:r w:rsidRPr="00183B5F">
          <w:rPr>
            <w:szCs w:val="22"/>
          </w:rPr>
          <w:delText xml:space="preserve">táblázatban a </w:delText>
        </w:r>
        <w:r w:rsidR="008905C0" w:rsidRPr="00183B5F">
          <w:rPr>
            <w:szCs w:val="22"/>
          </w:rPr>
          <w:delText>klinikai vizsgálatok</w:delText>
        </w:r>
        <w:r w:rsidRPr="00183B5F">
          <w:rPr>
            <w:szCs w:val="22"/>
          </w:rPr>
          <w:delText xml:space="preserve"> során</w:delText>
        </w:r>
        <w:r w:rsidR="008905C0" w:rsidRPr="00183B5F">
          <w:rPr>
            <w:szCs w:val="22"/>
          </w:rPr>
          <w:delText xml:space="preserve"> és a forgalomba hozatalt követően észlelt </w:delText>
        </w:r>
        <w:r w:rsidR="00D90C9A" w:rsidRPr="00183B5F">
          <w:rPr>
            <w:szCs w:val="22"/>
          </w:rPr>
          <w:delText>mellékhatások</w:delText>
        </w:r>
        <w:r w:rsidR="008905C0" w:rsidRPr="00183B5F">
          <w:rPr>
            <w:szCs w:val="22"/>
          </w:rPr>
          <w:delText xml:space="preserve"> vannak </w:delText>
        </w:r>
        <w:r w:rsidRPr="00183B5F">
          <w:rPr>
            <w:szCs w:val="22"/>
          </w:rPr>
          <w:delText xml:space="preserve">szervrendszer és gyakoriság szerint </w:delText>
        </w:r>
        <w:r w:rsidR="002B089B" w:rsidRPr="00183B5F">
          <w:rPr>
            <w:szCs w:val="22"/>
          </w:rPr>
          <w:delText xml:space="preserve">felsorolva </w:delText>
        </w:r>
        <w:r w:rsidRPr="00183B5F">
          <w:rPr>
            <w:szCs w:val="22"/>
          </w:rPr>
          <w:delText>nagyon gyakori</w:delText>
        </w:r>
        <w:r w:rsidR="006D14D6" w:rsidRPr="00183B5F">
          <w:rPr>
            <w:szCs w:val="22"/>
          </w:rPr>
          <w:delText xml:space="preserve"> (</w:delText>
        </w:r>
        <w:r w:rsidRPr="00183B5F">
          <w:rPr>
            <w:szCs w:val="22"/>
          </w:rPr>
          <w:delText>≥ 1/10</w:delText>
        </w:r>
        <w:r w:rsidR="006D14D6" w:rsidRPr="00183B5F">
          <w:rPr>
            <w:szCs w:val="22"/>
          </w:rPr>
          <w:delText>)</w:delText>
        </w:r>
        <w:r w:rsidRPr="00183B5F">
          <w:rPr>
            <w:szCs w:val="22"/>
          </w:rPr>
          <w:delText>; gyakori</w:delText>
        </w:r>
        <w:r w:rsidR="006D14D6" w:rsidRPr="00183B5F">
          <w:rPr>
            <w:szCs w:val="22"/>
          </w:rPr>
          <w:delText xml:space="preserve"> (</w:delText>
        </w:r>
        <w:r w:rsidRPr="00183B5F">
          <w:rPr>
            <w:szCs w:val="22"/>
          </w:rPr>
          <w:delText>≥ 1/100 </w:delText>
        </w:r>
        <w:r w:rsidR="00687D2C" w:rsidRPr="00183B5F">
          <w:rPr>
            <w:szCs w:val="22"/>
          </w:rPr>
          <w:noBreakHyphen/>
        </w:r>
        <w:r w:rsidRPr="00183B5F">
          <w:rPr>
            <w:szCs w:val="22"/>
          </w:rPr>
          <w:delText> </w:delText>
        </w:r>
        <w:r w:rsidRPr="00183B5F">
          <w:rPr>
            <w:rFonts w:ascii="Symbol" w:hAnsi="Symbol"/>
            <w:szCs w:val="22"/>
          </w:rPr>
          <w:sym w:font="Symbol" w:char="F03C"/>
        </w:r>
        <w:r w:rsidRPr="00183B5F">
          <w:rPr>
            <w:szCs w:val="22"/>
          </w:rPr>
          <w:delText> 1/10</w:delText>
        </w:r>
        <w:r w:rsidR="006D14D6" w:rsidRPr="00183B5F">
          <w:rPr>
            <w:szCs w:val="22"/>
          </w:rPr>
          <w:delText>)</w:delText>
        </w:r>
        <w:r w:rsidRPr="00183B5F">
          <w:rPr>
            <w:szCs w:val="22"/>
          </w:rPr>
          <w:delText>; nem gyakori</w:delText>
        </w:r>
        <w:r w:rsidR="006D14D6" w:rsidRPr="00183B5F">
          <w:rPr>
            <w:szCs w:val="22"/>
          </w:rPr>
          <w:delText xml:space="preserve"> (</w:delText>
        </w:r>
        <w:r w:rsidRPr="00183B5F">
          <w:rPr>
            <w:szCs w:val="22"/>
          </w:rPr>
          <w:delText>≥ 1/1000 - </w:delText>
        </w:r>
        <w:r w:rsidRPr="00183B5F">
          <w:rPr>
            <w:rFonts w:ascii="Symbol" w:hAnsi="Symbol"/>
            <w:szCs w:val="22"/>
          </w:rPr>
          <w:sym w:font="Symbol" w:char="F0A3"/>
        </w:r>
        <w:r w:rsidRPr="00183B5F">
          <w:rPr>
            <w:szCs w:val="22"/>
          </w:rPr>
          <w:delText> 1/100</w:delText>
        </w:r>
        <w:r w:rsidR="006D14D6" w:rsidRPr="00183B5F">
          <w:rPr>
            <w:szCs w:val="22"/>
          </w:rPr>
          <w:delText>)</w:delText>
        </w:r>
        <w:r w:rsidRPr="00183B5F">
          <w:rPr>
            <w:szCs w:val="22"/>
          </w:rPr>
          <w:delText>, ritka</w:delText>
        </w:r>
        <w:r w:rsidR="006D14D6" w:rsidRPr="00183B5F">
          <w:rPr>
            <w:szCs w:val="22"/>
          </w:rPr>
          <w:delText xml:space="preserve"> (</w:delText>
        </w:r>
        <w:r w:rsidRPr="00183B5F">
          <w:rPr>
            <w:rFonts w:ascii="Symbol" w:hAnsi="Symbol"/>
          </w:rPr>
          <w:sym w:font="Symbol" w:char="F0B3"/>
        </w:r>
        <w:r w:rsidRPr="00183B5F">
          <w:rPr>
            <w:szCs w:val="22"/>
          </w:rPr>
          <w:delText> 1/10 000 – </w:delText>
        </w:r>
        <w:r w:rsidRPr="00183B5F">
          <w:rPr>
            <w:rFonts w:ascii="Symbol" w:hAnsi="Symbol"/>
            <w:szCs w:val="22"/>
          </w:rPr>
          <w:sym w:font="Symbol" w:char="F0A3"/>
        </w:r>
        <w:r w:rsidRPr="00183B5F">
          <w:rPr>
            <w:szCs w:val="22"/>
          </w:rPr>
          <w:delText> 1/1000</w:delText>
        </w:r>
        <w:r w:rsidR="006D14D6" w:rsidRPr="00183B5F">
          <w:rPr>
            <w:szCs w:val="22"/>
          </w:rPr>
          <w:delText>)</w:delText>
        </w:r>
        <w:r w:rsidRPr="00183B5F">
          <w:rPr>
            <w:szCs w:val="22"/>
          </w:rPr>
          <w:delText xml:space="preserve"> és</w:delText>
        </w:r>
        <w:r w:rsidR="00DF3B7D" w:rsidRPr="00183B5F">
          <w:rPr>
            <w:szCs w:val="22"/>
          </w:rPr>
          <w:delText xml:space="preserve"> nem ismert </w:delText>
        </w:r>
        <w:r w:rsidR="00714465" w:rsidRPr="00183B5F">
          <w:rPr>
            <w:szCs w:val="22"/>
          </w:rPr>
          <w:delText>(</w:delText>
        </w:r>
        <w:r w:rsidR="00DF3B7D" w:rsidRPr="00183B5F">
          <w:rPr>
            <w:szCs w:val="22"/>
          </w:rPr>
          <w:delText xml:space="preserve">a </w:delText>
        </w:r>
        <w:r w:rsidR="00004B4F" w:rsidRPr="00183B5F">
          <w:rPr>
            <w:szCs w:val="22"/>
          </w:rPr>
          <w:delText xml:space="preserve">gyakoriság a </w:delText>
        </w:r>
        <w:r w:rsidR="00DF3B7D" w:rsidRPr="00183B5F">
          <w:rPr>
            <w:szCs w:val="22"/>
          </w:rPr>
          <w:delText>rendelkezésre álló adatokból nem állapítható meg</w:delText>
        </w:r>
        <w:r w:rsidRPr="00183B5F">
          <w:rPr>
            <w:szCs w:val="22"/>
          </w:rPr>
          <w:delText>)</w:delText>
        </w:r>
        <w:r w:rsidR="00714465" w:rsidRPr="00183B5F">
          <w:rPr>
            <w:szCs w:val="22"/>
          </w:rPr>
          <w:delText>.</w:delText>
        </w:r>
        <w:r w:rsidRPr="00183B5F">
          <w:rPr>
            <w:szCs w:val="22"/>
          </w:rPr>
          <w:delText xml:space="preserve"> </w:delText>
        </w:r>
        <w:r w:rsidRPr="00183B5F">
          <w:rPr>
            <w:bCs/>
            <w:szCs w:val="22"/>
          </w:rPr>
          <w:delText>Az egyes gyakorisági kategóriákon belül a mellékhatások csökkenő súlyosság szerint kerülnek megadásra</w:delText>
        </w:r>
        <w:r w:rsidRPr="00183B5F">
          <w:rPr>
            <w:szCs w:val="22"/>
          </w:rPr>
          <w:delText>. A különböző indikációk esetén előforduló legnagyobb előfordulási gyakoriság került fel</w:delText>
        </w:r>
        <w:r w:rsidR="006918E4" w:rsidRPr="00183B5F">
          <w:rPr>
            <w:szCs w:val="22"/>
          </w:rPr>
          <w:delText>tüntetésre</w:delText>
        </w:r>
        <w:r w:rsidRPr="00183B5F">
          <w:rPr>
            <w:szCs w:val="22"/>
          </w:rPr>
          <w:delText xml:space="preserve">. A szervrendszeri kategóriák oszlopában csillag (*) jelzi, ha </w:delText>
        </w:r>
        <w:r w:rsidR="005D2E26" w:rsidRPr="00183B5F">
          <w:rPr>
            <w:szCs w:val="22"/>
          </w:rPr>
          <w:delText xml:space="preserve">további információ található </w:delText>
        </w:r>
        <w:r w:rsidRPr="00183B5F">
          <w:rPr>
            <w:szCs w:val="22"/>
          </w:rPr>
          <w:delText>a 4.3, 4.4 és 4.8 pontban.</w:delText>
        </w:r>
      </w:del>
    </w:p>
    <w:p w14:paraId="1C5E15A3" w14:textId="6623B3A3" w:rsidR="00FB6710" w:rsidRPr="00183B5F" w:rsidRDefault="00FB6710" w:rsidP="004062FE">
      <w:pPr>
        <w:suppressAutoHyphens w:val="0"/>
        <w:spacing w:line="240" w:lineRule="auto"/>
        <w:rPr>
          <w:del w:id="741" w:author="AbbVie_HU_03" w:date="2025-05-14T15:27:00Z"/>
          <w:iCs/>
          <w:szCs w:val="22"/>
          <w:lang w:eastAsia="en-GB"/>
        </w:rPr>
      </w:pPr>
    </w:p>
    <w:p w14:paraId="6070DA91" w14:textId="483BFF56" w:rsidR="00FB6710" w:rsidRPr="00183B5F" w:rsidRDefault="00943743" w:rsidP="004062FE">
      <w:pPr>
        <w:keepNext/>
        <w:suppressAutoHyphens w:val="0"/>
        <w:spacing w:line="240" w:lineRule="auto"/>
        <w:ind w:left="360"/>
        <w:jc w:val="center"/>
        <w:rPr>
          <w:del w:id="742" w:author="AbbVie_HU_03" w:date="2025-05-14T15:27:00Z"/>
          <w:b/>
          <w:szCs w:val="22"/>
        </w:rPr>
      </w:pPr>
      <w:del w:id="743" w:author="AbbVie_HU_03" w:date="2025-05-14T15:27:00Z">
        <w:r w:rsidRPr="00183B5F">
          <w:rPr>
            <w:b/>
            <w:szCs w:val="22"/>
          </w:rPr>
          <w:delText>7</w:delText>
        </w:r>
        <w:r w:rsidR="00270B91" w:rsidRPr="00183B5F">
          <w:rPr>
            <w:b/>
            <w:szCs w:val="22"/>
          </w:rPr>
          <w:delText>.</w:delText>
        </w:r>
        <w:r w:rsidR="00703E29" w:rsidRPr="00183B5F">
          <w:rPr>
            <w:b/>
            <w:szCs w:val="22"/>
          </w:rPr>
          <w:delText> </w:delText>
        </w:r>
        <w:r w:rsidRPr="00183B5F">
          <w:rPr>
            <w:b/>
            <w:szCs w:val="22"/>
          </w:rPr>
          <w:delText>táblázat</w:delText>
        </w:r>
      </w:del>
    </w:p>
    <w:p w14:paraId="647DCA09" w14:textId="0B9EB73B" w:rsidR="00FB6710" w:rsidRPr="00183B5F" w:rsidRDefault="00943743" w:rsidP="004062FE">
      <w:pPr>
        <w:keepNext/>
        <w:suppressAutoHyphens w:val="0"/>
        <w:spacing w:line="240" w:lineRule="auto"/>
        <w:jc w:val="center"/>
        <w:rPr>
          <w:del w:id="744" w:author="AbbVie_HU_03" w:date="2025-05-14T15:27:00Z"/>
          <w:b/>
          <w:szCs w:val="22"/>
        </w:rPr>
      </w:pPr>
      <w:del w:id="745" w:author="AbbVie_HU_03" w:date="2025-05-14T15:27:00Z">
        <w:r w:rsidRPr="00183B5F">
          <w:rPr>
            <w:b/>
            <w:szCs w:val="22"/>
          </w:rPr>
          <w:delText>Nemkívánatos hatások</w:delText>
        </w:r>
      </w:del>
    </w:p>
    <w:p w14:paraId="48BCA18C" w14:textId="62E8133F" w:rsidR="00D748DD" w:rsidRPr="00183B5F" w:rsidRDefault="00D748DD" w:rsidP="004062FE">
      <w:pPr>
        <w:keepNext/>
        <w:suppressAutoHyphens w:val="0"/>
        <w:spacing w:line="240" w:lineRule="auto"/>
        <w:jc w:val="center"/>
        <w:rPr>
          <w:del w:id="746" w:author="AbbVie_HU_03" w:date="2025-05-14T15:27:00Z"/>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0"/>
        <w:gridCol w:w="2030"/>
        <w:gridCol w:w="4451"/>
      </w:tblGrid>
      <w:tr w:rsidR="00011D2F" w14:paraId="0013F5F7" w14:textId="111EF468" w:rsidTr="00202B95">
        <w:trPr>
          <w:tblHeader/>
          <w:del w:id="747" w:author="AbbVie_HU_03" w:date="2025-05-14T15:27:00Z"/>
        </w:trPr>
        <w:tc>
          <w:tcPr>
            <w:tcW w:w="2580" w:type="dxa"/>
          </w:tcPr>
          <w:p w14:paraId="078E4F61" w14:textId="6D2AD65A" w:rsidR="00FB6710" w:rsidRPr="00183B5F" w:rsidRDefault="00943743" w:rsidP="004062FE">
            <w:pPr>
              <w:keepNext/>
              <w:widowControl w:val="0"/>
              <w:suppressAutoHyphens w:val="0"/>
              <w:spacing w:line="240" w:lineRule="auto"/>
              <w:jc w:val="center"/>
              <w:rPr>
                <w:del w:id="748" w:author="AbbVie_HU_03" w:date="2025-05-14T15:27:00Z"/>
                <w:b/>
                <w:szCs w:val="22"/>
              </w:rPr>
            </w:pPr>
            <w:del w:id="749" w:author="AbbVie_HU_03" w:date="2025-05-14T15:27:00Z">
              <w:r w:rsidRPr="00183B5F">
                <w:rPr>
                  <w:b/>
                  <w:bCs/>
                  <w:szCs w:val="22"/>
                </w:rPr>
                <w:delText>Szervrendszerenkénti csoportosítás</w:delText>
              </w:r>
            </w:del>
          </w:p>
        </w:tc>
        <w:tc>
          <w:tcPr>
            <w:tcW w:w="2030" w:type="dxa"/>
          </w:tcPr>
          <w:p w14:paraId="7987F5B5" w14:textId="5F9A808C" w:rsidR="00FB6710" w:rsidRPr="00183B5F" w:rsidRDefault="00943743" w:rsidP="004062FE">
            <w:pPr>
              <w:keepNext/>
              <w:widowControl w:val="0"/>
              <w:suppressAutoHyphens w:val="0"/>
              <w:spacing w:line="240" w:lineRule="auto"/>
              <w:jc w:val="center"/>
              <w:rPr>
                <w:del w:id="750" w:author="AbbVie_HU_03" w:date="2025-05-14T15:27:00Z"/>
                <w:b/>
                <w:szCs w:val="22"/>
              </w:rPr>
            </w:pPr>
            <w:del w:id="751" w:author="AbbVie_HU_03" w:date="2025-05-14T15:27:00Z">
              <w:r w:rsidRPr="00183B5F">
                <w:rPr>
                  <w:b/>
                  <w:bCs/>
                  <w:szCs w:val="22"/>
                </w:rPr>
                <w:delText>Gyakoriság</w:delText>
              </w:r>
            </w:del>
          </w:p>
        </w:tc>
        <w:tc>
          <w:tcPr>
            <w:tcW w:w="4451" w:type="dxa"/>
          </w:tcPr>
          <w:p w14:paraId="6FEA06CE" w14:textId="1D564197" w:rsidR="00FB6710" w:rsidRPr="00183B5F" w:rsidRDefault="00943743" w:rsidP="004062FE">
            <w:pPr>
              <w:keepNext/>
              <w:widowControl w:val="0"/>
              <w:suppressAutoHyphens w:val="0"/>
              <w:spacing w:line="240" w:lineRule="auto"/>
              <w:jc w:val="center"/>
              <w:rPr>
                <w:del w:id="752" w:author="AbbVie_HU_03" w:date="2025-05-14T15:27:00Z"/>
                <w:b/>
                <w:szCs w:val="22"/>
              </w:rPr>
            </w:pPr>
            <w:del w:id="753" w:author="AbbVie_HU_03" w:date="2025-05-14T15:27:00Z">
              <w:r w:rsidRPr="00183B5F">
                <w:rPr>
                  <w:b/>
                  <w:bCs/>
                  <w:szCs w:val="22"/>
                </w:rPr>
                <w:delText>Mellékhatás</w:delText>
              </w:r>
            </w:del>
          </w:p>
        </w:tc>
      </w:tr>
      <w:tr w:rsidR="00011D2F" w14:paraId="7D89A1CB" w14:textId="65BE4D75" w:rsidTr="00202B95">
        <w:trPr>
          <w:del w:id="754" w:author="AbbVie_HU_03" w:date="2025-05-14T15:27:00Z"/>
        </w:trPr>
        <w:tc>
          <w:tcPr>
            <w:tcW w:w="2580" w:type="dxa"/>
            <w:vMerge w:val="restart"/>
          </w:tcPr>
          <w:p w14:paraId="18CFB237" w14:textId="449A32B9" w:rsidR="00FB6710" w:rsidRPr="00183B5F" w:rsidRDefault="00943743" w:rsidP="004062FE">
            <w:pPr>
              <w:pStyle w:val="EMEANormal"/>
              <w:widowControl w:val="0"/>
              <w:suppressAutoHyphens w:val="0"/>
              <w:rPr>
                <w:del w:id="755" w:author="AbbVie_HU_03" w:date="2025-05-14T15:27:00Z"/>
                <w:lang w:val="hu-HU"/>
              </w:rPr>
            </w:pPr>
            <w:del w:id="756" w:author="AbbVie_HU_03" w:date="2025-05-14T15:27:00Z">
              <w:r w:rsidRPr="00183B5F">
                <w:rPr>
                  <w:szCs w:val="22"/>
                  <w:lang w:val="hu-HU"/>
                </w:rPr>
                <w:delText>Fertőző bet</w:delText>
              </w:r>
              <w:r w:rsidRPr="00183B5F">
                <w:rPr>
                  <w:lang w:val="hu-HU"/>
                </w:rPr>
                <w:delText>egségek és parazitafertőzések*</w:delText>
              </w:r>
            </w:del>
          </w:p>
          <w:p w14:paraId="72F4A545" w14:textId="6A98C609" w:rsidR="00FB6710" w:rsidRPr="00183B5F" w:rsidRDefault="00FB6710" w:rsidP="004062FE">
            <w:pPr>
              <w:widowControl w:val="0"/>
              <w:suppressAutoHyphens w:val="0"/>
              <w:spacing w:line="240" w:lineRule="auto"/>
              <w:jc w:val="center"/>
              <w:rPr>
                <w:del w:id="757" w:author="AbbVie_HU_03" w:date="2025-05-14T15:27:00Z"/>
              </w:rPr>
            </w:pPr>
          </w:p>
        </w:tc>
        <w:tc>
          <w:tcPr>
            <w:tcW w:w="2030" w:type="dxa"/>
            <w:tcBorders>
              <w:bottom w:val="single" w:sz="4" w:space="0" w:color="auto"/>
            </w:tcBorders>
          </w:tcPr>
          <w:p w14:paraId="2E7545E4" w14:textId="44487A2D" w:rsidR="00FB6710" w:rsidRPr="00183B5F" w:rsidRDefault="00943743" w:rsidP="004062FE">
            <w:pPr>
              <w:pStyle w:val="EMEANormal"/>
              <w:widowControl w:val="0"/>
              <w:suppressAutoHyphens w:val="0"/>
              <w:rPr>
                <w:del w:id="758" w:author="AbbVie_HU_03" w:date="2025-05-14T15:27:00Z"/>
                <w:lang w:val="hu-HU"/>
              </w:rPr>
            </w:pPr>
            <w:del w:id="759" w:author="AbbVie_HU_03" w:date="2025-05-14T15:27:00Z">
              <w:r w:rsidRPr="00183B5F">
                <w:rPr>
                  <w:lang w:val="hu-HU"/>
                </w:rPr>
                <w:delText>Nagyon gyakori</w:delText>
              </w:r>
            </w:del>
          </w:p>
        </w:tc>
        <w:tc>
          <w:tcPr>
            <w:tcW w:w="4451" w:type="dxa"/>
            <w:tcBorders>
              <w:bottom w:val="single" w:sz="4" w:space="0" w:color="auto"/>
            </w:tcBorders>
          </w:tcPr>
          <w:p w14:paraId="64070CF9" w14:textId="35219E2F" w:rsidR="00FB6710" w:rsidRPr="00183B5F" w:rsidRDefault="00943743" w:rsidP="004062FE">
            <w:pPr>
              <w:pStyle w:val="EMEANormal"/>
              <w:widowControl w:val="0"/>
              <w:suppressAutoHyphens w:val="0"/>
              <w:rPr>
                <w:del w:id="760" w:author="AbbVie_HU_03" w:date="2025-05-14T15:27:00Z"/>
                <w:lang w:val="hu-HU"/>
              </w:rPr>
            </w:pPr>
            <w:del w:id="761" w:author="AbbVie_HU_03" w:date="2025-05-14T15:27:00Z">
              <w:r w:rsidRPr="00183B5F">
                <w:rPr>
                  <w:lang w:val="hu-HU"/>
                </w:rPr>
                <w:delText>Légúti fertőzések (beleértve az alsó- és a felső légúti fertőzéseket, pneumoniát, sinusitist, pharyngitist, nasopharyngitist és a herpes vírus okozta pneumoniát is)</w:delText>
              </w:r>
            </w:del>
          </w:p>
        </w:tc>
      </w:tr>
      <w:tr w:rsidR="00011D2F" w14:paraId="4A9BF0E8" w14:textId="4F8E3C0D" w:rsidTr="00202B95">
        <w:trPr>
          <w:del w:id="762" w:author="AbbVie_HU_03" w:date="2025-05-14T15:27:00Z"/>
        </w:trPr>
        <w:tc>
          <w:tcPr>
            <w:tcW w:w="2580" w:type="dxa"/>
            <w:vMerge/>
          </w:tcPr>
          <w:p w14:paraId="2410D3D2" w14:textId="50AE8048" w:rsidR="00FB6710" w:rsidRPr="00183B5F" w:rsidRDefault="00FB6710" w:rsidP="004062FE">
            <w:pPr>
              <w:widowControl w:val="0"/>
              <w:suppressAutoHyphens w:val="0"/>
              <w:spacing w:line="240" w:lineRule="auto"/>
              <w:jc w:val="center"/>
              <w:rPr>
                <w:del w:id="763" w:author="AbbVie_HU_03" w:date="2025-05-14T15:27:00Z"/>
                <w:b/>
              </w:rPr>
            </w:pPr>
          </w:p>
        </w:tc>
        <w:tc>
          <w:tcPr>
            <w:tcW w:w="2030" w:type="dxa"/>
            <w:tcBorders>
              <w:bottom w:val="single" w:sz="4" w:space="0" w:color="auto"/>
            </w:tcBorders>
          </w:tcPr>
          <w:p w14:paraId="349AE87F" w14:textId="246C2911" w:rsidR="00FB6710" w:rsidRPr="00183B5F" w:rsidRDefault="00943743" w:rsidP="004062FE">
            <w:pPr>
              <w:pStyle w:val="EMEANormal"/>
              <w:widowControl w:val="0"/>
              <w:suppressAutoHyphens w:val="0"/>
              <w:rPr>
                <w:del w:id="764" w:author="AbbVie_HU_03" w:date="2025-05-14T15:27:00Z"/>
                <w:lang w:val="hu-HU"/>
              </w:rPr>
            </w:pPr>
            <w:del w:id="765" w:author="AbbVie_HU_03" w:date="2025-05-14T15:27:00Z">
              <w:r w:rsidRPr="00183B5F">
                <w:rPr>
                  <w:lang w:val="hu-HU"/>
                </w:rPr>
                <w:delText>Gyakori</w:delText>
              </w:r>
            </w:del>
          </w:p>
          <w:p w14:paraId="35D6155F" w14:textId="64703848" w:rsidR="00FB6710" w:rsidRPr="00183B5F" w:rsidRDefault="00FB6710" w:rsidP="004062FE">
            <w:pPr>
              <w:pStyle w:val="EMEANormal"/>
              <w:widowControl w:val="0"/>
              <w:suppressAutoHyphens w:val="0"/>
              <w:rPr>
                <w:del w:id="766" w:author="AbbVie_HU_03" w:date="2025-05-14T15:27:00Z"/>
                <w:lang w:val="hu-HU"/>
              </w:rPr>
            </w:pPr>
          </w:p>
        </w:tc>
        <w:tc>
          <w:tcPr>
            <w:tcW w:w="4451" w:type="dxa"/>
            <w:tcBorders>
              <w:bottom w:val="single" w:sz="4" w:space="0" w:color="auto"/>
            </w:tcBorders>
          </w:tcPr>
          <w:p w14:paraId="70FEB10E" w14:textId="7499FE59" w:rsidR="00FB6710" w:rsidRPr="00183B5F" w:rsidRDefault="00943743" w:rsidP="004062FE">
            <w:pPr>
              <w:widowControl w:val="0"/>
              <w:suppressAutoHyphens w:val="0"/>
              <w:spacing w:line="240" w:lineRule="auto"/>
              <w:rPr>
                <w:del w:id="767" w:author="AbbVie_HU_03" w:date="2025-05-14T15:27:00Z"/>
                <w:szCs w:val="22"/>
              </w:rPr>
            </w:pPr>
            <w:del w:id="768" w:author="AbbVie_HU_03" w:date="2025-05-14T15:27:00Z">
              <w:r w:rsidRPr="00183B5F">
                <w:rPr>
                  <w:szCs w:val="22"/>
                </w:rPr>
                <w:delText>Szisztémás fertőzések (beleértve a sepsist, candidiasist és az influenzát is),</w:delText>
              </w:r>
            </w:del>
          </w:p>
          <w:p w14:paraId="75DB543A" w14:textId="179DD6DE" w:rsidR="00FB6710" w:rsidRPr="00183B5F" w:rsidRDefault="00943743" w:rsidP="004062FE">
            <w:pPr>
              <w:widowControl w:val="0"/>
              <w:suppressAutoHyphens w:val="0"/>
              <w:spacing w:line="240" w:lineRule="auto"/>
              <w:rPr>
                <w:del w:id="769" w:author="AbbVie_HU_03" w:date="2025-05-14T15:27:00Z"/>
                <w:szCs w:val="22"/>
              </w:rPr>
            </w:pPr>
            <w:del w:id="770" w:author="AbbVie_HU_03" w:date="2025-05-14T15:27:00Z">
              <w:r w:rsidRPr="00183B5F">
                <w:rPr>
                  <w:szCs w:val="22"/>
                </w:rPr>
                <w:delText>bélfertőzések (beleértve a vírusos gastroenteritist is),</w:delText>
              </w:r>
            </w:del>
          </w:p>
          <w:p w14:paraId="7A3B35DE" w14:textId="0B1AC8CF" w:rsidR="00FB6710" w:rsidRPr="00183B5F" w:rsidRDefault="00943743" w:rsidP="004062FE">
            <w:pPr>
              <w:widowControl w:val="0"/>
              <w:suppressAutoHyphens w:val="0"/>
              <w:spacing w:line="240" w:lineRule="auto"/>
              <w:rPr>
                <w:del w:id="771" w:author="AbbVie_HU_03" w:date="2025-05-14T15:27:00Z"/>
                <w:szCs w:val="22"/>
              </w:rPr>
            </w:pPr>
            <w:del w:id="772" w:author="AbbVie_HU_03" w:date="2025-05-14T15:27:00Z">
              <w:r w:rsidRPr="00183B5F">
                <w:rPr>
                  <w:szCs w:val="22"/>
                </w:rPr>
                <w:delText>bőr- és lágyrészfertőzések (beleértve a paronychiát, cellulitist, impetigót, necrotisáló fasciitist és a herpes zostert is),</w:delText>
              </w:r>
            </w:del>
          </w:p>
          <w:p w14:paraId="4C8E8F24" w14:textId="2AE29739" w:rsidR="00FB6710" w:rsidRPr="00183B5F" w:rsidRDefault="00943743" w:rsidP="004062FE">
            <w:pPr>
              <w:widowControl w:val="0"/>
              <w:suppressAutoHyphens w:val="0"/>
              <w:spacing w:line="240" w:lineRule="auto"/>
              <w:rPr>
                <w:del w:id="773" w:author="AbbVie_HU_03" w:date="2025-05-14T15:27:00Z"/>
                <w:szCs w:val="22"/>
              </w:rPr>
            </w:pPr>
            <w:del w:id="774" w:author="AbbVie_HU_03" w:date="2025-05-14T15:27:00Z">
              <w:r w:rsidRPr="00183B5F">
                <w:rPr>
                  <w:szCs w:val="22"/>
                </w:rPr>
                <w:delText>fülfertőzések,</w:delText>
              </w:r>
            </w:del>
          </w:p>
          <w:p w14:paraId="14163DE9" w14:textId="3A4B7040" w:rsidR="00FB6710" w:rsidRPr="00183B5F" w:rsidRDefault="00943743" w:rsidP="004062FE">
            <w:pPr>
              <w:widowControl w:val="0"/>
              <w:suppressAutoHyphens w:val="0"/>
              <w:spacing w:line="240" w:lineRule="auto"/>
              <w:rPr>
                <w:del w:id="775" w:author="AbbVie_HU_03" w:date="2025-05-14T15:27:00Z"/>
                <w:szCs w:val="22"/>
              </w:rPr>
            </w:pPr>
            <w:del w:id="776" w:author="AbbVie_HU_03" w:date="2025-05-14T15:27:00Z">
              <w:r w:rsidRPr="00183B5F">
                <w:rPr>
                  <w:szCs w:val="22"/>
                </w:rPr>
                <w:delText xml:space="preserve">oralis fertőzések (beleértve a herpes simplexet, oralis herpest és a fogfertőzéseket is), </w:delText>
              </w:r>
            </w:del>
          </w:p>
          <w:p w14:paraId="3451C15A" w14:textId="4EDC9609" w:rsidR="00FB6710" w:rsidRPr="00183B5F" w:rsidRDefault="00943743" w:rsidP="004062FE">
            <w:pPr>
              <w:widowControl w:val="0"/>
              <w:suppressAutoHyphens w:val="0"/>
              <w:spacing w:line="240" w:lineRule="auto"/>
              <w:rPr>
                <w:del w:id="777" w:author="AbbVie_HU_03" w:date="2025-05-14T15:27:00Z"/>
                <w:szCs w:val="22"/>
              </w:rPr>
            </w:pPr>
            <w:del w:id="778" w:author="AbbVie_HU_03" w:date="2025-05-14T15:27:00Z">
              <w:r w:rsidRPr="00183B5F">
                <w:rPr>
                  <w:szCs w:val="22"/>
                </w:rPr>
                <w:delText xml:space="preserve">a nemi szervek fertőzései (beleértve a vulvovaginalis mycoticus fertőzéseket is), </w:delText>
              </w:r>
            </w:del>
          </w:p>
          <w:p w14:paraId="3F736BE4" w14:textId="39EC5A28" w:rsidR="00FB6710" w:rsidRPr="00183B5F" w:rsidRDefault="00943743" w:rsidP="004062FE">
            <w:pPr>
              <w:pStyle w:val="EMEANormal"/>
              <w:widowControl w:val="0"/>
              <w:suppressAutoHyphens w:val="0"/>
              <w:rPr>
                <w:del w:id="779" w:author="AbbVie_HU_03" w:date="2025-05-14T15:27:00Z"/>
                <w:szCs w:val="22"/>
                <w:lang w:val="hu-HU"/>
              </w:rPr>
            </w:pPr>
            <w:del w:id="780" w:author="AbbVie_HU_03" w:date="2025-05-14T15:27:00Z">
              <w:r w:rsidRPr="00183B5F">
                <w:rPr>
                  <w:szCs w:val="22"/>
                  <w:lang w:val="hu-HU"/>
                </w:rPr>
                <w:delText>húgyúti fertőzések (beleértve a pylonephritist is),</w:delText>
              </w:r>
            </w:del>
          </w:p>
          <w:p w14:paraId="49FEEDA2" w14:textId="5A75C24A" w:rsidR="00453EE5" w:rsidRPr="00183B5F" w:rsidRDefault="00943743">
            <w:pPr>
              <w:pStyle w:val="EMEANormal"/>
              <w:widowControl w:val="0"/>
              <w:suppressAutoHyphens w:val="0"/>
              <w:rPr>
                <w:del w:id="781" w:author="AbbVie_HU_03" w:date="2025-05-14T15:27:00Z"/>
                <w:lang w:val="hu-HU"/>
              </w:rPr>
            </w:pPr>
            <w:del w:id="782" w:author="AbbVie_HU_03" w:date="2025-05-14T15:27:00Z">
              <w:r w:rsidRPr="00183B5F">
                <w:rPr>
                  <w:lang w:val="hu-HU"/>
                </w:rPr>
                <w:delText>gombás fertőzések,</w:delText>
              </w:r>
            </w:del>
          </w:p>
          <w:p w14:paraId="53EF3797" w14:textId="35524B12" w:rsidR="00FB6710" w:rsidRPr="00183B5F" w:rsidRDefault="00943743">
            <w:pPr>
              <w:pStyle w:val="EMEANormal"/>
              <w:widowControl w:val="0"/>
              <w:suppressAutoHyphens w:val="0"/>
              <w:rPr>
                <w:del w:id="783" w:author="AbbVie_HU_03" w:date="2025-05-14T15:27:00Z"/>
                <w:lang w:val="hu-HU"/>
              </w:rPr>
            </w:pPr>
            <w:del w:id="784" w:author="AbbVie_HU_03" w:date="2025-05-14T15:27:00Z">
              <w:r w:rsidRPr="00183B5F">
                <w:rPr>
                  <w:lang w:val="hu-HU"/>
                </w:rPr>
                <w:delText>ízületi fertőzések</w:delText>
              </w:r>
            </w:del>
          </w:p>
          <w:p w14:paraId="1B349099" w14:textId="3116B799" w:rsidR="00FB6710" w:rsidRPr="00183B5F" w:rsidRDefault="00FB6710" w:rsidP="004062FE">
            <w:pPr>
              <w:pStyle w:val="EMEANormal"/>
              <w:widowControl w:val="0"/>
              <w:suppressAutoHyphens w:val="0"/>
              <w:rPr>
                <w:del w:id="785" w:author="AbbVie_HU_03" w:date="2025-05-14T15:27:00Z"/>
                <w:lang w:val="hu-HU"/>
              </w:rPr>
            </w:pPr>
          </w:p>
        </w:tc>
      </w:tr>
      <w:tr w:rsidR="00011D2F" w14:paraId="70322F6A" w14:textId="3D687F3F" w:rsidTr="00202B95">
        <w:trPr>
          <w:del w:id="786" w:author="AbbVie_HU_03" w:date="2025-05-14T15:27:00Z"/>
        </w:trPr>
        <w:tc>
          <w:tcPr>
            <w:tcW w:w="2580" w:type="dxa"/>
            <w:vMerge/>
            <w:tcBorders>
              <w:bottom w:val="single" w:sz="4" w:space="0" w:color="auto"/>
            </w:tcBorders>
          </w:tcPr>
          <w:p w14:paraId="5B75DE61" w14:textId="1EA2A5E7" w:rsidR="00FB6710" w:rsidRPr="00183B5F" w:rsidRDefault="00FB6710" w:rsidP="004062FE">
            <w:pPr>
              <w:widowControl w:val="0"/>
              <w:suppressAutoHyphens w:val="0"/>
              <w:spacing w:line="240" w:lineRule="auto"/>
              <w:jc w:val="center"/>
              <w:rPr>
                <w:del w:id="787" w:author="AbbVie_HU_03" w:date="2025-05-14T15:27:00Z"/>
                <w:b/>
              </w:rPr>
            </w:pPr>
          </w:p>
        </w:tc>
        <w:tc>
          <w:tcPr>
            <w:tcW w:w="2030" w:type="dxa"/>
            <w:tcBorders>
              <w:top w:val="single" w:sz="4" w:space="0" w:color="auto"/>
              <w:bottom w:val="single" w:sz="4" w:space="0" w:color="auto"/>
            </w:tcBorders>
          </w:tcPr>
          <w:p w14:paraId="53E110DE" w14:textId="3E86467A" w:rsidR="00FB6710" w:rsidRPr="00183B5F" w:rsidRDefault="00943743">
            <w:pPr>
              <w:pStyle w:val="EMEANormal"/>
              <w:widowControl w:val="0"/>
              <w:suppressAutoHyphens w:val="0"/>
              <w:rPr>
                <w:del w:id="788" w:author="AbbVie_HU_03" w:date="2025-05-14T15:27:00Z"/>
                <w:lang w:val="hu-HU"/>
              </w:rPr>
            </w:pPr>
            <w:del w:id="789" w:author="AbbVie_HU_03" w:date="2025-05-14T15:27:00Z">
              <w:r w:rsidRPr="00183B5F">
                <w:rPr>
                  <w:lang w:val="hu-HU"/>
                </w:rPr>
                <w:delText>Nem gyakori</w:delText>
              </w:r>
            </w:del>
          </w:p>
          <w:p w14:paraId="7C51087C" w14:textId="404A7A81" w:rsidR="00FB6710" w:rsidRPr="00183B5F" w:rsidRDefault="00FB6710">
            <w:pPr>
              <w:pStyle w:val="EMEANormal"/>
              <w:widowControl w:val="0"/>
              <w:suppressAutoHyphens w:val="0"/>
              <w:rPr>
                <w:del w:id="790" w:author="AbbVie_HU_03" w:date="2025-05-14T15:27:00Z"/>
                <w:lang w:val="hu-HU"/>
              </w:rPr>
            </w:pPr>
          </w:p>
        </w:tc>
        <w:tc>
          <w:tcPr>
            <w:tcW w:w="4451" w:type="dxa"/>
            <w:tcBorders>
              <w:top w:val="single" w:sz="4" w:space="0" w:color="auto"/>
              <w:bottom w:val="single" w:sz="4" w:space="0" w:color="auto"/>
            </w:tcBorders>
          </w:tcPr>
          <w:p w14:paraId="4BBF7635" w14:textId="271C7F9D" w:rsidR="00FB6710" w:rsidRPr="00183B5F" w:rsidRDefault="00943743">
            <w:pPr>
              <w:pStyle w:val="EMEANormal"/>
              <w:widowControl w:val="0"/>
              <w:suppressAutoHyphens w:val="0"/>
              <w:rPr>
                <w:del w:id="791" w:author="AbbVie_HU_03" w:date="2025-05-14T15:27:00Z"/>
                <w:lang w:val="hu-HU"/>
              </w:rPr>
            </w:pPr>
            <w:del w:id="792" w:author="AbbVie_HU_03" w:date="2025-05-14T15:27:00Z">
              <w:r w:rsidRPr="00183B5F">
                <w:rPr>
                  <w:lang w:val="hu-HU"/>
                </w:rPr>
                <w:delText>N</w:delText>
              </w:r>
              <w:r w:rsidR="00C14DF3" w:rsidRPr="00183B5F">
                <w:rPr>
                  <w:lang w:val="hu-HU"/>
                </w:rPr>
                <w:delText xml:space="preserve">eurológiai fertőzések (beleértve a vírusos meningitist is), </w:delText>
              </w:r>
              <w:r w:rsidRPr="00183B5F">
                <w:rPr>
                  <w:lang w:val="hu-HU"/>
                </w:rPr>
                <w:delText>opportunista fertőzések és tuberculosis (beleértve a coccidioidomycosist, histoplasmosist és a mycobacterium av</w:delText>
              </w:r>
              <w:r w:rsidR="004C0265" w:rsidRPr="00183B5F">
                <w:rPr>
                  <w:lang w:val="hu-HU"/>
                </w:rPr>
                <w:delText>i</w:delText>
              </w:r>
              <w:r w:rsidRPr="00183B5F">
                <w:rPr>
                  <w:lang w:val="hu-HU"/>
                </w:rPr>
                <w:delText xml:space="preserve">um complex fertőzést is), </w:delText>
              </w:r>
            </w:del>
          </w:p>
          <w:p w14:paraId="0B269E28" w14:textId="5AF39AA3" w:rsidR="00C14DF3" w:rsidRPr="00183B5F" w:rsidRDefault="00943743">
            <w:pPr>
              <w:pStyle w:val="EMEANormal"/>
              <w:widowControl w:val="0"/>
              <w:suppressAutoHyphens w:val="0"/>
              <w:rPr>
                <w:del w:id="793" w:author="AbbVie_HU_03" w:date="2025-05-14T15:27:00Z"/>
                <w:lang w:val="hu-HU"/>
              </w:rPr>
            </w:pPr>
            <w:del w:id="794" w:author="AbbVie_HU_03" w:date="2025-05-14T15:27:00Z">
              <w:r w:rsidRPr="00183B5F">
                <w:rPr>
                  <w:lang w:val="hu-HU"/>
                </w:rPr>
                <w:delText>bakteriális fertőzések,</w:delText>
              </w:r>
            </w:del>
          </w:p>
          <w:p w14:paraId="638E2245" w14:textId="286FDBE1" w:rsidR="00FB6710" w:rsidRPr="00183B5F" w:rsidRDefault="00943743">
            <w:pPr>
              <w:pStyle w:val="EMEANormal"/>
              <w:widowControl w:val="0"/>
              <w:suppressAutoHyphens w:val="0"/>
              <w:rPr>
                <w:del w:id="795" w:author="AbbVie_HU_03" w:date="2025-05-14T15:27:00Z"/>
                <w:b/>
                <w:i/>
                <w:lang w:val="hu-HU"/>
              </w:rPr>
            </w:pPr>
            <w:del w:id="796" w:author="AbbVie_HU_03" w:date="2025-05-14T15:27:00Z">
              <w:r w:rsidRPr="00183B5F">
                <w:rPr>
                  <w:lang w:val="hu-HU"/>
                </w:rPr>
                <w:delText>szemfertőzések,</w:delText>
              </w:r>
            </w:del>
          </w:p>
          <w:p w14:paraId="5EC5A4AE" w14:textId="0D90C233" w:rsidR="00C14DF3" w:rsidRPr="00183B5F" w:rsidRDefault="00943743">
            <w:pPr>
              <w:pStyle w:val="EMEANormal"/>
              <w:widowControl w:val="0"/>
              <w:suppressAutoHyphens w:val="0"/>
              <w:rPr>
                <w:del w:id="797" w:author="AbbVie_HU_03" w:date="2025-05-14T15:27:00Z"/>
                <w:lang w:val="hu-HU"/>
              </w:rPr>
            </w:pPr>
            <w:del w:id="798" w:author="AbbVie_HU_03" w:date="2025-05-14T15:27:00Z">
              <w:r w:rsidRPr="00183B5F">
                <w:rPr>
                  <w:lang w:val="hu-HU"/>
                </w:rPr>
                <w:delText>diverticulitis</w:delText>
              </w:r>
              <w:r w:rsidRPr="00183B5F">
                <w:rPr>
                  <w:vertAlign w:val="superscript"/>
                  <w:lang w:val="hu-HU"/>
                </w:rPr>
                <w:delText>1)</w:delText>
              </w:r>
            </w:del>
          </w:p>
          <w:p w14:paraId="5F4B8B77" w14:textId="0576E62A" w:rsidR="00FB6710" w:rsidRPr="00183B5F" w:rsidRDefault="00FB6710">
            <w:pPr>
              <w:pStyle w:val="EMEANormal"/>
              <w:widowControl w:val="0"/>
              <w:suppressAutoHyphens w:val="0"/>
              <w:rPr>
                <w:del w:id="799" w:author="AbbVie_HU_03" w:date="2025-05-14T15:27:00Z"/>
                <w:lang w:val="hu-HU"/>
              </w:rPr>
            </w:pPr>
          </w:p>
        </w:tc>
      </w:tr>
      <w:tr w:rsidR="00011D2F" w14:paraId="42F84BE7" w14:textId="6DFCCF09" w:rsidTr="00202B95">
        <w:trPr>
          <w:del w:id="800" w:author="AbbVie_HU_03" w:date="2025-05-14T15:27:00Z"/>
        </w:trPr>
        <w:tc>
          <w:tcPr>
            <w:tcW w:w="2580" w:type="dxa"/>
            <w:vMerge w:val="restart"/>
            <w:tcBorders>
              <w:bottom w:val="single" w:sz="4" w:space="0" w:color="auto"/>
            </w:tcBorders>
          </w:tcPr>
          <w:p w14:paraId="5051F7E2" w14:textId="5F93642A" w:rsidR="00FB6710" w:rsidRPr="00183B5F" w:rsidRDefault="00943743" w:rsidP="004062FE">
            <w:pPr>
              <w:widowControl w:val="0"/>
              <w:suppressAutoHyphens w:val="0"/>
              <w:spacing w:line="240" w:lineRule="auto"/>
              <w:rPr>
                <w:del w:id="801" w:author="AbbVie_HU_03" w:date="2025-05-14T15:27:00Z"/>
                <w:szCs w:val="22"/>
              </w:rPr>
            </w:pPr>
            <w:del w:id="802" w:author="AbbVie_HU_03" w:date="2025-05-14T15:27:00Z">
              <w:r w:rsidRPr="00183B5F">
                <w:rPr>
                  <w:szCs w:val="22"/>
                </w:rPr>
                <w:delText>Jó-, rosszindulatú és nem meghatározott daganatok (beleértve a cisztákat és polipokat is)*</w:delText>
              </w:r>
            </w:del>
          </w:p>
        </w:tc>
        <w:tc>
          <w:tcPr>
            <w:tcW w:w="2030" w:type="dxa"/>
            <w:tcBorders>
              <w:bottom w:val="single" w:sz="4" w:space="0" w:color="auto"/>
            </w:tcBorders>
          </w:tcPr>
          <w:p w14:paraId="739F7509" w14:textId="3FBA49A2" w:rsidR="00FB6710" w:rsidRPr="00183B5F" w:rsidRDefault="00943743" w:rsidP="004062FE">
            <w:pPr>
              <w:pStyle w:val="EMEANormal"/>
              <w:widowControl w:val="0"/>
              <w:suppressAutoHyphens w:val="0"/>
              <w:rPr>
                <w:del w:id="803" w:author="AbbVie_HU_03" w:date="2025-05-14T15:27:00Z"/>
                <w:lang w:val="hu-HU"/>
              </w:rPr>
            </w:pPr>
            <w:del w:id="804" w:author="AbbVie_HU_03" w:date="2025-05-14T15:27:00Z">
              <w:r w:rsidRPr="00183B5F">
                <w:rPr>
                  <w:lang w:val="hu-HU"/>
                </w:rPr>
                <w:delText>Gyakori</w:delText>
              </w:r>
            </w:del>
          </w:p>
          <w:p w14:paraId="4759D59A" w14:textId="68A7ADC8" w:rsidR="00FB6710" w:rsidRPr="00183B5F" w:rsidRDefault="00FB6710" w:rsidP="004062FE">
            <w:pPr>
              <w:pStyle w:val="EMEANormal"/>
              <w:widowControl w:val="0"/>
              <w:suppressAutoHyphens w:val="0"/>
              <w:rPr>
                <w:del w:id="805" w:author="AbbVie_HU_03" w:date="2025-05-14T15:27:00Z"/>
                <w:lang w:val="hu-HU"/>
              </w:rPr>
            </w:pPr>
          </w:p>
        </w:tc>
        <w:tc>
          <w:tcPr>
            <w:tcW w:w="4451" w:type="dxa"/>
            <w:tcBorders>
              <w:bottom w:val="single" w:sz="4" w:space="0" w:color="auto"/>
            </w:tcBorders>
          </w:tcPr>
          <w:p w14:paraId="5C644E2F" w14:textId="2888175D" w:rsidR="00233662" w:rsidRPr="00183B5F" w:rsidRDefault="00943743" w:rsidP="004062FE">
            <w:pPr>
              <w:pStyle w:val="EMEANormal"/>
              <w:widowControl w:val="0"/>
              <w:suppressAutoHyphens w:val="0"/>
              <w:rPr>
                <w:del w:id="806" w:author="AbbVie_HU_03" w:date="2025-05-14T15:27:00Z"/>
                <w:lang w:val="hu-HU"/>
              </w:rPr>
            </w:pPr>
            <w:del w:id="807" w:author="AbbVie_HU_03" w:date="2025-05-14T15:27:00Z">
              <w:r w:rsidRPr="00183B5F">
                <w:rPr>
                  <w:lang w:val="hu-HU"/>
                </w:rPr>
                <w:delText>B</w:delText>
              </w:r>
              <w:r w:rsidR="00FB6710" w:rsidRPr="00183B5F">
                <w:rPr>
                  <w:lang w:val="hu-HU"/>
                </w:rPr>
                <w:delText xml:space="preserve">őrrák, kivéve a melanomát (beleértve a basalsejtes carcinomát és a </w:delText>
              </w:r>
              <w:r w:rsidR="00653D1A" w:rsidRPr="00183B5F">
                <w:rPr>
                  <w:lang w:val="hu-HU"/>
                </w:rPr>
                <w:delText>planocellularis</w:delText>
              </w:r>
              <w:r w:rsidR="00FB6710" w:rsidRPr="00183B5F">
                <w:rPr>
                  <w:lang w:val="hu-HU"/>
                </w:rPr>
                <w:delText xml:space="preserve"> carcinomát is)</w:delText>
              </w:r>
              <w:r w:rsidR="00C14DF3" w:rsidRPr="00183B5F">
                <w:rPr>
                  <w:lang w:val="hu-HU"/>
                </w:rPr>
                <w:delText xml:space="preserve">, </w:delText>
              </w:r>
            </w:del>
          </w:p>
          <w:p w14:paraId="0F1847BB" w14:textId="6090F68E" w:rsidR="00C14DF3" w:rsidRPr="00183B5F" w:rsidRDefault="00943743" w:rsidP="004062FE">
            <w:pPr>
              <w:pStyle w:val="EMEANormal"/>
              <w:widowControl w:val="0"/>
              <w:suppressAutoHyphens w:val="0"/>
              <w:rPr>
                <w:del w:id="808" w:author="AbbVie_HU_03" w:date="2025-05-14T15:27:00Z"/>
                <w:lang w:val="hu-HU"/>
              </w:rPr>
            </w:pPr>
            <w:del w:id="809" w:author="AbbVie_HU_03" w:date="2025-05-14T15:27:00Z">
              <w:r w:rsidRPr="00183B5F">
                <w:rPr>
                  <w:lang w:val="hu-HU"/>
                </w:rPr>
                <w:delText>jóindulatú daganat</w:delText>
              </w:r>
            </w:del>
          </w:p>
          <w:p w14:paraId="31847E91" w14:textId="344FA1BE" w:rsidR="00FB6710" w:rsidRPr="00183B5F" w:rsidRDefault="00FB6710" w:rsidP="004062FE">
            <w:pPr>
              <w:pStyle w:val="EMEANormal"/>
              <w:widowControl w:val="0"/>
              <w:suppressAutoHyphens w:val="0"/>
              <w:rPr>
                <w:del w:id="810" w:author="AbbVie_HU_03" w:date="2025-05-14T15:27:00Z"/>
                <w:lang w:val="hu-HU"/>
              </w:rPr>
            </w:pPr>
          </w:p>
        </w:tc>
      </w:tr>
      <w:tr w:rsidR="00011D2F" w14:paraId="3163064C" w14:textId="148AAAEA" w:rsidTr="00202B95">
        <w:trPr>
          <w:del w:id="811" w:author="AbbVie_HU_03" w:date="2025-05-14T15:27:00Z"/>
        </w:trPr>
        <w:tc>
          <w:tcPr>
            <w:tcW w:w="2580" w:type="dxa"/>
            <w:vMerge/>
            <w:tcBorders>
              <w:top w:val="single" w:sz="4" w:space="0" w:color="auto"/>
              <w:bottom w:val="nil"/>
            </w:tcBorders>
          </w:tcPr>
          <w:p w14:paraId="4A84C4D8" w14:textId="169F8462" w:rsidR="00FB6710" w:rsidRPr="00183B5F" w:rsidRDefault="00FB6710" w:rsidP="004062FE">
            <w:pPr>
              <w:widowControl w:val="0"/>
              <w:suppressAutoHyphens w:val="0"/>
              <w:spacing w:line="240" w:lineRule="auto"/>
              <w:jc w:val="center"/>
              <w:rPr>
                <w:del w:id="812" w:author="AbbVie_HU_03" w:date="2025-05-14T15:27:00Z"/>
                <w:b/>
              </w:rPr>
            </w:pPr>
          </w:p>
        </w:tc>
        <w:tc>
          <w:tcPr>
            <w:tcW w:w="2030" w:type="dxa"/>
            <w:tcBorders>
              <w:top w:val="single" w:sz="4" w:space="0" w:color="auto"/>
            </w:tcBorders>
          </w:tcPr>
          <w:p w14:paraId="628069D5" w14:textId="0964608F" w:rsidR="00FB6710" w:rsidRPr="00183B5F" w:rsidRDefault="00943743">
            <w:pPr>
              <w:pStyle w:val="EMEANormal"/>
              <w:widowControl w:val="0"/>
              <w:suppressAutoHyphens w:val="0"/>
              <w:rPr>
                <w:del w:id="813" w:author="AbbVie_HU_03" w:date="2025-05-14T15:27:00Z"/>
                <w:lang w:val="hu-HU"/>
              </w:rPr>
            </w:pPr>
            <w:del w:id="814" w:author="AbbVie_HU_03" w:date="2025-05-14T15:27:00Z">
              <w:r w:rsidRPr="00183B5F">
                <w:rPr>
                  <w:lang w:val="hu-HU"/>
                </w:rPr>
                <w:delText>Nem gyakori</w:delText>
              </w:r>
            </w:del>
          </w:p>
          <w:p w14:paraId="736908A3" w14:textId="6AD915F4" w:rsidR="00FB6710" w:rsidRPr="00183B5F" w:rsidRDefault="00FB6710">
            <w:pPr>
              <w:pStyle w:val="EMEANormal"/>
              <w:widowControl w:val="0"/>
              <w:suppressAutoHyphens w:val="0"/>
              <w:rPr>
                <w:del w:id="815" w:author="AbbVie_HU_03" w:date="2025-05-14T15:27:00Z"/>
                <w:lang w:val="hu-HU"/>
              </w:rPr>
            </w:pPr>
          </w:p>
          <w:p w14:paraId="1F7D4383" w14:textId="252C2C56" w:rsidR="00C14DF3" w:rsidRPr="00183B5F" w:rsidRDefault="00C14DF3">
            <w:pPr>
              <w:pStyle w:val="EMEANormal"/>
              <w:widowControl w:val="0"/>
              <w:suppressAutoHyphens w:val="0"/>
              <w:rPr>
                <w:del w:id="816" w:author="AbbVie_HU_03" w:date="2025-05-14T15:27:00Z"/>
                <w:lang w:val="hu-HU"/>
              </w:rPr>
            </w:pPr>
          </w:p>
          <w:p w14:paraId="2393BA74" w14:textId="2AADB6AF" w:rsidR="00C14DF3" w:rsidRPr="00183B5F" w:rsidRDefault="00C14DF3">
            <w:pPr>
              <w:pStyle w:val="EMEANormal"/>
              <w:widowControl w:val="0"/>
              <w:suppressAutoHyphens w:val="0"/>
              <w:rPr>
                <w:del w:id="817" w:author="AbbVie_HU_03" w:date="2025-05-14T15:27:00Z"/>
                <w:lang w:val="hu-HU"/>
              </w:rPr>
            </w:pPr>
          </w:p>
        </w:tc>
        <w:tc>
          <w:tcPr>
            <w:tcW w:w="4451" w:type="dxa"/>
            <w:tcBorders>
              <w:top w:val="single" w:sz="4" w:space="0" w:color="auto"/>
            </w:tcBorders>
          </w:tcPr>
          <w:p w14:paraId="7564C104" w14:textId="50BD22DC" w:rsidR="00FB6710" w:rsidRPr="00183B5F" w:rsidRDefault="00943743">
            <w:pPr>
              <w:pStyle w:val="EMEANormal"/>
              <w:widowControl w:val="0"/>
              <w:suppressAutoHyphens w:val="0"/>
              <w:rPr>
                <w:del w:id="818" w:author="AbbVie_HU_03" w:date="2025-05-14T15:27:00Z"/>
                <w:lang w:val="hu-HU"/>
              </w:rPr>
            </w:pPr>
            <w:del w:id="819" w:author="AbbVie_HU_03" w:date="2025-05-14T15:27:00Z">
              <w:r w:rsidRPr="00183B5F">
                <w:rPr>
                  <w:lang w:val="hu-HU"/>
                </w:rPr>
                <w:delText xml:space="preserve">Lymphoma**, </w:delText>
              </w:r>
            </w:del>
          </w:p>
          <w:p w14:paraId="354D9E3B" w14:textId="7E7C3D5A" w:rsidR="00FB6710" w:rsidRPr="00183B5F" w:rsidRDefault="00943743">
            <w:pPr>
              <w:pStyle w:val="EMEANormal"/>
              <w:widowControl w:val="0"/>
              <w:suppressAutoHyphens w:val="0"/>
              <w:rPr>
                <w:del w:id="820" w:author="AbbVie_HU_03" w:date="2025-05-14T15:27:00Z"/>
                <w:lang w:val="hu-HU"/>
              </w:rPr>
            </w:pPr>
            <w:del w:id="821" w:author="AbbVie_HU_03" w:date="2025-05-14T15:27:00Z">
              <w:r w:rsidRPr="00183B5F">
                <w:rPr>
                  <w:lang w:val="hu-HU"/>
                </w:rPr>
                <w:delText>solid szervek daganatai (beleértve az emlőrákot, a tüdődaganatot és a pajzsmirigy-dag</w:delText>
              </w:r>
              <w:r w:rsidR="00CE76E2" w:rsidRPr="00183B5F">
                <w:rPr>
                  <w:lang w:val="hu-HU"/>
                </w:rPr>
                <w:delText>a</w:delText>
              </w:r>
              <w:r w:rsidRPr="00183B5F">
                <w:rPr>
                  <w:lang w:val="hu-HU"/>
                </w:rPr>
                <w:delText>natot is),</w:delText>
              </w:r>
            </w:del>
          </w:p>
          <w:p w14:paraId="7DBC06EF" w14:textId="6F97259B" w:rsidR="00CA1DCD" w:rsidRPr="00183B5F" w:rsidRDefault="00943743">
            <w:pPr>
              <w:pStyle w:val="EMEANormal"/>
              <w:widowControl w:val="0"/>
              <w:suppressAutoHyphens w:val="0"/>
              <w:rPr>
                <w:del w:id="822" w:author="AbbVie_HU_03" w:date="2025-05-14T15:27:00Z"/>
                <w:lang w:val="hu-HU"/>
              </w:rPr>
            </w:pPr>
            <w:del w:id="823" w:author="AbbVie_HU_03" w:date="2025-05-14T15:27:00Z">
              <w:r w:rsidRPr="00183B5F">
                <w:rPr>
                  <w:lang w:val="hu-HU"/>
                </w:rPr>
                <w:delText>melanoma**</w:delText>
              </w:r>
            </w:del>
          </w:p>
        </w:tc>
      </w:tr>
      <w:tr w:rsidR="00011D2F" w14:paraId="55CC8C69" w14:textId="664B7FB8" w:rsidTr="00202B95">
        <w:trPr>
          <w:del w:id="824" w:author="AbbVie_HU_03" w:date="2025-05-14T15:27:00Z"/>
        </w:trPr>
        <w:tc>
          <w:tcPr>
            <w:tcW w:w="2580" w:type="dxa"/>
            <w:tcBorders>
              <w:top w:val="nil"/>
              <w:bottom w:val="nil"/>
            </w:tcBorders>
          </w:tcPr>
          <w:p w14:paraId="3EF554AC" w14:textId="26CB9360" w:rsidR="005D2E26" w:rsidRPr="00183B5F" w:rsidRDefault="005D2E26" w:rsidP="004062FE">
            <w:pPr>
              <w:widowControl w:val="0"/>
              <w:suppressAutoHyphens w:val="0"/>
              <w:spacing w:line="240" w:lineRule="auto"/>
              <w:jc w:val="center"/>
              <w:rPr>
                <w:del w:id="825" w:author="AbbVie_HU_03" w:date="2025-05-14T15:27:00Z"/>
                <w:b/>
              </w:rPr>
            </w:pPr>
          </w:p>
        </w:tc>
        <w:tc>
          <w:tcPr>
            <w:tcW w:w="2030" w:type="dxa"/>
            <w:tcBorders>
              <w:top w:val="single" w:sz="4" w:space="0" w:color="auto"/>
            </w:tcBorders>
          </w:tcPr>
          <w:p w14:paraId="64BE13C3" w14:textId="67BDD56D" w:rsidR="005D2E26" w:rsidRPr="00183B5F" w:rsidRDefault="00943743">
            <w:pPr>
              <w:pStyle w:val="EMEANormal"/>
              <w:widowControl w:val="0"/>
              <w:suppressAutoHyphens w:val="0"/>
              <w:rPr>
                <w:del w:id="826" w:author="AbbVie_HU_03" w:date="2025-05-14T15:27:00Z"/>
                <w:lang w:val="hu-HU"/>
              </w:rPr>
            </w:pPr>
            <w:del w:id="827" w:author="AbbVie_HU_03" w:date="2025-05-14T15:27:00Z">
              <w:r w:rsidRPr="00183B5F">
                <w:rPr>
                  <w:lang w:val="hu-HU"/>
                </w:rPr>
                <w:delText>Ritka</w:delText>
              </w:r>
            </w:del>
          </w:p>
          <w:p w14:paraId="6B091267" w14:textId="78B19EF8" w:rsidR="005D2E26" w:rsidRPr="00183B5F" w:rsidRDefault="005D2E26">
            <w:pPr>
              <w:pStyle w:val="EMEANormal"/>
              <w:widowControl w:val="0"/>
              <w:suppressAutoHyphens w:val="0"/>
              <w:rPr>
                <w:del w:id="828" w:author="AbbVie_HU_03" w:date="2025-05-14T15:27:00Z"/>
                <w:lang w:val="hu-HU"/>
              </w:rPr>
            </w:pPr>
          </w:p>
        </w:tc>
        <w:tc>
          <w:tcPr>
            <w:tcW w:w="4451" w:type="dxa"/>
            <w:tcBorders>
              <w:top w:val="single" w:sz="4" w:space="0" w:color="auto"/>
            </w:tcBorders>
          </w:tcPr>
          <w:p w14:paraId="5613EF34" w14:textId="36A15520" w:rsidR="005D2E26" w:rsidRPr="00183B5F" w:rsidRDefault="00943743">
            <w:pPr>
              <w:pStyle w:val="EMEANormal"/>
              <w:widowControl w:val="0"/>
              <w:suppressAutoHyphens w:val="0"/>
              <w:rPr>
                <w:del w:id="829" w:author="AbbVie_HU_03" w:date="2025-05-14T15:27:00Z"/>
                <w:lang w:val="hu-HU"/>
              </w:rPr>
            </w:pPr>
            <w:del w:id="830" w:author="AbbVie_HU_03" w:date="2025-05-14T15:27:00Z">
              <w:r w:rsidRPr="00183B5F">
                <w:rPr>
                  <w:lang w:val="hu-HU"/>
                </w:rPr>
                <w:delText>Leukaemia</w:delText>
              </w:r>
              <w:r w:rsidRPr="00183B5F">
                <w:rPr>
                  <w:vertAlign w:val="superscript"/>
                  <w:lang w:val="hu-HU"/>
                </w:rPr>
                <w:delText>1)</w:delText>
              </w:r>
            </w:del>
          </w:p>
        </w:tc>
      </w:tr>
      <w:tr w:rsidR="00011D2F" w14:paraId="1898D44A" w14:textId="44290727" w:rsidTr="00202B95">
        <w:trPr>
          <w:del w:id="831" w:author="AbbVie_HU_03" w:date="2025-05-14T15:27:00Z"/>
        </w:trPr>
        <w:tc>
          <w:tcPr>
            <w:tcW w:w="2580" w:type="dxa"/>
            <w:tcBorders>
              <w:top w:val="nil"/>
            </w:tcBorders>
          </w:tcPr>
          <w:p w14:paraId="23336EEA" w14:textId="796FA08A" w:rsidR="005D2E26" w:rsidRPr="00183B5F" w:rsidRDefault="005D2E26" w:rsidP="004062FE">
            <w:pPr>
              <w:widowControl w:val="0"/>
              <w:suppressAutoHyphens w:val="0"/>
              <w:spacing w:line="240" w:lineRule="auto"/>
              <w:jc w:val="center"/>
              <w:rPr>
                <w:del w:id="832" w:author="AbbVie_HU_03" w:date="2025-05-14T15:27:00Z"/>
                <w:b/>
              </w:rPr>
            </w:pPr>
          </w:p>
        </w:tc>
        <w:tc>
          <w:tcPr>
            <w:tcW w:w="2030" w:type="dxa"/>
            <w:tcBorders>
              <w:top w:val="single" w:sz="4" w:space="0" w:color="auto"/>
            </w:tcBorders>
          </w:tcPr>
          <w:p w14:paraId="0732C786" w14:textId="15F4A1C1" w:rsidR="005D2E26" w:rsidRPr="00183B5F" w:rsidRDefault="00943743">
            <w:pPr>
              <w:pStyle w:val="EMEANormal"/>
              <w:widowControl w:val="0"/>
              <w:suppressAutoHyphens w:val="0"/>
              <w:rPr>
                <w:del w:id="833" w:author="AbbVie_HU_03" w:date="2025-05-14T15:27:00Z"/>
                <w:lang w:val="hu-HU"/>
              </w:rPr>
            </w:pPr>
            <w:del w:id="834" w:author="AbbVie_HU_03" w:date="2025-05-14T15:27:00Z">
              <w:r w:rsidRPr="00183B5F">
                <w:rPr>
                  <w:lang w:val="hu-HU"/>
                </w:rPr>
                <w:delText>Nem ismert</w:delText>
              </w:r>
            </w:del>
          </w:p>
        </w:tc>
        <w:tc>
          <w:tcPr>
            <w:tcW w:w="4451" w:type="dxa"/>
            <w:tcBorders>
              <w:top w:val="single" w:sz="4" w:space="0" w:color="auto"/>
              <w:bottom w:val="single" w:sz="4" w:space="0" w:color="auto"/>
            </w:tcBorders>
          </w:tcPr>
          <w:p w14:paraId="421D2237" w14:textId="74479C2A" w:rsidR="005D2E26" w:rsidRPr="00183B5F" w:rsidRDefault="00943743">
            <w:pPr>
              <w:pStyle w:val="EMEANormal"/>
              <w:widowControl w:val="0"/>
              <w:suppressAutoHyphens w:val="0"/>
              <w:rPr>
                <w:del w:id="835" w:author="AbbVie_HU_03" w:date="2025-05-14T15:27:00Z"/>
                <w:lang w:val="hu-HU"/>
              </w:rPr>
            </w:pPr>
            <w:del w:id="836" w:author="AbbVie_HU_03" w:date="2025-05-14T15:27:00Z">
              <w:r w:rsidRPr="00183B5F">
                <w:rPr>
                  <w:lang w:val="hu-HU"/>
                </w:rPr>
                <w:delText>Hepatosplenicus T-sejtes lymphoma</w:delText>
              </w:r>
              <w:r w:rsidRPr="00183B5F">
                <w:rPr>
                  <w:vertAlign w:val="superscript"/>
                  <w:lang w:val="hu-HU"/>
                </w:rPr>
                <w:delText>1)</w:delText>
              </w:r>
            </w:del>
          </w:p>
          <w:p w14:paraId="72B67D35" w14:textId="5B3412C7" w:rsidR="00342FE6" w:rsidRPr="00183B5F" w:rsidRDefault="00943743" w:rsidP="00342FE6">
            <w:pPr>
              <w:pStyle w:val="EMEANormal"/>
              <w:widowControl w:val="0"/>
              <w:suppressAutoHyphens w:val="0"/>
              <w:rPr>
                <w:del w:id="837" w:author="AbbVie_HU_03" w:date="2025-05-14T15:27:00Z"/>
                <w:lang w:val="hu-HU"/>
              </w:rPr>
            </w:pPr>
            <w:del w:id="838" w:author="AbbVie_HU_03" w:date="2025-05-14T15:27:00Z">
              <w:r w:rsidRPr="00183B5F">
                <w:rPr>
                  <w:lang w:val="hu-HU"/>
                </w:rPr>
                <w:delText>Merkel-sejtes carcinoma (a bőr neuroendokrin daganata)</w:delText>
              </w:r>
              <w:r w:rsidRPr="00183B5F">
                <w:rPr>
                  <w:vertAlign w:val="superscript"/>
                  <w:lang w:val="hu-HU"/>
                </w:rPr>
                <w:delText xml:space="preserve"> 1)</w:delText>
              </w:r>
              <w:r w:rsidRPr="00183B5F">
                <w:rPr>
                  <w:lang w:val="hu-HU"/>
                </w:rPr>
                <w:delText>,</w:delText>
              </w:r>
            </w:del>
          </w:p>
          <w:p w14:paraId="5DEE434D" w14:textId="498310D1" w:rsidR="005D2E26" w:rsidRPr="00183B5F" w:rsidRDefault="00943743" w:rsidP="00342FE6">
            <w:pPr>
              <w:pStyle w:val="EMEANormal"/>
              <w:widowControl w:val="0"/>
              <w:suppressAutoHyphens w:val="0"/>
              <w:rPr>
                <w:del w:id="839" w:author="AbbVie_HU_03" w:date="2025-05-14T15:27:00Z"/>
                <w:lang w:val="hu-HU"/>
              </w:rPr>
            </w:pPr>
            <w:del w:id="840" w:author="AbbVie_HU_03" w:date="2025-05-14T15:27:00Z">
              <w:r w:rsidRPr="00183B5F">
                <w:rPr>
                  <w:lang w:val="hu-HU"/>
                </w:rPr>
                <w:delText>Kaposi-sarcoma</w:delText>
              </w:r>
            </w:del>
          </w:p>
        </w:tc>
      </w:tr>
      <w:tr w:rsidR="00011D2F" w14:paraId="68EF5A52" w14:textId="713E0162" w:rsidTr="00202B95">
        <w:trPr>
          <w:del w:id="841" w:author="AbbVie_HU_03" w:date="2025-05-14T15:27:00Z"/>
        </w:trPr>
        <w:tc>
          <w:tcPr>
            <w:tcW w:w="2580" w:type="dxa"/>
            <w:vMerge w:val="restart"/>
          </w:tcPr>
          <w:p w14:paraId="3A14E344" w14:textId="40ECCD25" w:rsidR="00FB6710" w:rsidRPr="00183B5F" w:rsidRDefault="00943743" w:rsidP="004062FE">
            <w:pPr>
              <w:widowControl w:val="0"/>
              <w:suppressAutoHyphens w:val="0"/>
              <w:spacing w:line="240" w:lineRule="auto"/>
              <w:rPr>
                <w:del w:id="842" w:author="AbbVie_HU_03" w:date="2025-05-14T15:27:00Z"/>
                <w:szCs w:val="22"/>
              </w:rPr>
            </w:pPr>
            <w:del w:id="843" w:author="AbbVie_HU_03" w:date="2025-05-14T15:27:00Z">
              <w:r w:rsidRPr="00183B5F">
                <w:rPr>
                  <w:szCs w:val="22"/>
                </w:rPr>
                <w:delText>Vérképzőszervi és nyirokrendszeri betegségek és tünetek*</w:delText>
              </w:r>
            </w:del>
          </w:p>
        </w:tc>
        <w:tc>
          <w:tcPr>
            <w:tcW w:w="2030" w:type="dxa"/>
            <w:tcBorders>
              <w:bottom w:val="single" w:sz="4" w:space="0" w:color="auto"/>
            </w:tcBorders>
          </w:tcPr>
          <w:p w14:paraId="4E5F6D03" w14:textId="6D1875AB" w:rsidR="00FB6710" w:rsidRPr="00183B5F" w:rsidRDefault="00943743" w:rsidP="004062FE">
            <w:pPr>
              <w:pStyle w:val="EMEANormal"/>
              <w:widowControl w:val="0"/>
              <w:suppressAutoHyphens w:val="0"/>
              <w:jc w:val="both"/>
              <w:rPr>
                <w:del w:id="844" w:author="AbbVie_HU_03" w:date="2025-05-14T15:27:00Z"/>
                <w:lang w:val="hu-HU"/>
              </w:rPr>
            </w:pPr>
            <w:del w:id="845" w:author="AbbVie_HU_03" w:date="2025-05-14T15:27:00Z">
              <w:r w:rsidRPr="00183B5F">
                <w:rPr>
                  <w:lang w:val="hu-HU"/>
                </w:rPr>
                <w:delText>Nagyon gyakori</w:delText>
              </w:r>
            </w:del>
          </w:p>
          <w:p w14:paraId="3DE5E69B" w14:textId="5E671D20" w:rsidR="00FB6710" w:rsidRPr="00183B5F" w:rsidRDefault="00FB6710" w:rsidP="004062FE">
            <w:pPr>
              <w:pStyle w:val="EMEANormal"/>
              <w:widowControl w:val="0"/>
              <w:suppressAutoHyphens w:val="0"/>
              <w:jc w:val="both"/>
              <w:rPr>
                <w:del w:id="846" w:author="AbbVie_HU_03" w:date="2025-05-14T15:27:00Z"/>
                <w:lang w:val="hu-HU"/>
              </w:rPr>
            </w:pPr>
          </w:p>
        </w:tc>
        <w:tc>
          <w:tcPr>
            <w:tcW w:w="4451" w:type="dxa"/>
            <w:tcBorders>
              <w:top w:val="single" w:sz="4" w:space="0" w:color="auto"/>
              <w:bottom w:val="single" w:sz="4" w:space="0" w:color="auto"/>
            </w:tcBorders>
          </w:tcPr>
          <w:p w14:paraId="37CC8BF8" w14:textId="5CEC1C12" w:rsidR="00FB6710" w:rsidRPr="00183B5F" w:rsidRDefault="00943743" w:rsidP="004062FE">
            <w:pPr>
              <w:widowControl w:val="0"/>
              <w:suppressAutoHyphens w:val="0"/>
              <w:spacing w:line="240" w:lineRule="auto"/>
              <w:rPr>
                <w:del w:id="847" w:author="AbbVie_HU_03" w:date="2025-05-14T15:27:00Z"/>
              </w:rPr>
            </w:pPr>
            <w:del w:id="848" w:author="AbbVie_HU_03" w:date="2025-05-14T15:27:00Z">
              <w:r w:rsidRPr="00183B5F">
                <w:delText>Leukopenia (</w:delText>
              </w:r>
              <w:r w:rsidRPr="00183B5F">
                <w:rPr>
                  <w:szCs w:val="22"/>
                </w:rPr>
                <w:delText xml:space="preserve">beleértve a </w:delText>
              </w:r>
              <w:r w:rsidRPr="00183B5F">
                <w:delText xml:space="preserve">neutropeniát és az agranulocytosist is), </w:delText>
              </w:r>
            </w:del>
          </w:p>
          <w:p w14:paraId="3D2283C2" w14:textId="6D3A5D7F" w:rsidR="00FB6710" w:rsidRPr="00183B5F" w:rsidRDefault="00943743" w:rsidP="004062FE">
            <w:pPr>
              <w:widowControl w:val="0"/>
              <w:suppressAutoHyphens w:val="0"/>
              <w:spacing w:line="240" w:lineRule="auto"/>
              <w:rPr>
                <w:del w:id="849" w:author="AbbVie_HU_03" w:date="2025-05-14T15:27:00Z"/>
              </w:rPr>
            </w:pPr>
            <w:del w:id="850" w:author="AbbVie_HU_03" w:date="2025-05-14T15:27:00Z">
              <w:r w:rsidRPr="00183B5F">
                <w:delText xml:space="preserve">anaemia </w:delText>
              </w:r>
            </w:del>
          </w:p>
          <w:p w14:paraId="70257B12" w14:textId="7321C2E0" w:rsidR="00FB6710" w:rsidRPr="00183B5F" w:rsidRDefault="00FB6710" w:rsidP="004062FE">
            <w:pPr>
              <w:widowControl w:val="0"/>
              <w:suppressAutoHyphens w:val="0"/>
              <w:spacing w:line="240" w:lineRule="auto"/>
              <w:rPr>
                <w:del w:id="851" w:author="AbbVie_HU_03" w:date="2025-05-14T15:27:00Z"/>
                <w:b/>
              </w:rPr>
            </w:pPr>
          </w:p>
        </w:tc>
      </w:tr>
      <w:tr w:rsidR="00011D2F" w14:paraId="7C5BFA08" w14:textId="3D041502" w:rsidTr="00202B95">
        <w:trPr>
          <w:del w:id="852" w:author="AbbVie_HU_03" w:date="2025-05-14T15:27:00Z"/>
        </w:trPr>
        <w:tc>
          <w:tcPr>
            <w:tcW w:w="2580" w:type="dxa"/>
            <w:vMerge/>
          </w:tcPr>
          <w:p w14:paraId="4168F480" w14:textId="72C81019" w:rsidR="00FB6710" w:rsidRPr="00183B5F" w:rsidRDefault="00FB6710" w:rsidP="004062FE">
            <w:pPr>
              <w:widowControl w:val="0"/>
              <w:suppressAutoHyphens w:val="0"/>
              <w:spacing w:line="240" w:lineRule="auto"/>
              <w:jc w:val="center"/>
              <w:rPr>
                <w:del w:id="853" w:author="AbbVie_HU_03" w:date="2025-05-14T15:27:00Z"/>
                <w:b/>
              </w:rPr>
            </w:pPr>
          </w:p>
        </w:tc>
        <w:tc>
          <w:tcPr>
            <w:tcW w:w="2030" w:type="dxa"/>
            <w:tcBorders>
              <w:top w:val="single" w:sz="4" w:space="0" w:color="auto"/>
              <w:bottom w:val="single" w:sz="4" w:space="0" w:color="auto"/>
            </w:tcBorders>
          </w:tcPr>
          <w:p w14:paraId="72789DE0" w14:textId="2E29C3C1" w:rsidR="00FB6710" w:rsidRPr="00183B5F" w:rsidRDefault="00943743">
            <w:pPr>
              <w:pStyle w:val="EMEANormal"/>
              <w:widowControl w:val="0"/>
              <w:suppressAutoHyphens w:val="0"/>
              <w:jc w:val="both"/>
              <w:rPr>
                <w:del w:id="854" w:author="AbbVie_HU_03" w:date="2025-05-14T15:27:00Z"/>
                <w:lang w:val="hu-HU"/>
              </w:rPr>
            </w:pPr>
            <w:del w:id="855" w:author="AbbVie_HU_03" w:date="2025-05-14T15:27:00Z">
              <w:r w:rsidRPr="00183B5F">
                <w:rPr>
                  <w:lang w:val="hu-HU"/>
                </w:rPr>
                <w:delText>Gyakori</w:delText>
              </w:r>
            </w:del>
          </w:p>
        </w:tc>
        <w:tc>
          <w:tcPr>
            <w:tcW w:w="4451" w:type="dxa"/>
            <w:tcBorders>
              <w:top w:val="single" w:sz="4" w:space="0" w:color="auto"/>
              <w:bottom w:val="single" w:sz="4" w:space="0" w:color="auto"/>
            </w:tcBorders>
          </w:tcPr>
          <w:p w14:paraId="184D903D" w14:textId="66313471" w:rsidR="00FB6710" w:rsidRPr="00183B5F" w:rsidRDefault="00943743" w:rsidP="004062FE">
            <w:pPr>
              <w:widowControl w:val="0"/>
              <w:suppressAutoHyphens w:val="0"/>
              <w:spacing w:line="240" w:lineRule="auto"/>
              <w:rPr>
                <w:del w:id="856" w:author="AbbVie_HU_03" w:date="2025-05-14T15:27:00Z"/>
              </w:rPr>
            </w:pPr>
            <w:del w:id="857" w:author="AbbVie_HU_03" w:date="2025-05-14T15:27:00Z">
              <w:r w:rsidRPr="00183B5F">
                <w:delText>L</w:delText>
              </w:r>
              <w:r w:rsidR="00C14DF3" w:rsidRPr="00183B5F">
                <w:delText xml:space="preserve">eukocytosis, </w:delText>
              </w:r>
              <w:r w:rsidRPr="00183B5F">
                <w:delText>thrombocytopenia</w:delText>
              </w:r>
            </w:del>
          </w:p>
          <w:p w14:paraId="72A3435B" w14:textId="08B5AEEB" w:rsidR="00FB6710" w:rsidRPr="00183B5F" w:rsidRDefault="00FB6710" w:rsidP="004062FE">
            <w:pPr>
              <w:widowControl w:val="0"/>
              <w:suppressAutoHyphens w:val="0"/>
              <w:spacing w:line="240" w:lineRule="auto"/>
              <w:rPr>
                <w:del w:id="858" w:author="AbbVie_HU_03" w:date="2025-05-14T15:27:00Z"/>
              </w:rPr>
            </w:pPr>
          </w:p>
        </w:tc>
      </w:tr>
      <w:tr w:rsidR="00011D2F" w14:paraId="3563580D" w14:textId="701C26A6" w:rsidTr="00202B95">
        <w:trPr>
          <w:trHeight w:val="530"/>
          <w:del w:id="859" w:author="AbbVie_HU_03" w:date="2025-05-14T15:27:00Z"/>
        </w:trPr>
        <w:tc>
          <w:tcPr>
            <w:tcW w:w="2580" w:type="dxa"/>
            <w:vMerge/>
            <w:tcBorders>
              <w:bottom w:val="nil"/>
            </w:tcBorders>
          </w:tcPr>
          <w:p w14:paraId="6F940E66" w14:textId="60A6CAF0" w:rsidR="00C14DF3" w:rsidRPr="00183B5F" w:rsidRDefault="00C14DF3" w:rsidP="004062FE">
            <w:pPr>
              <w:widowControl w:val="0"/>
              <w:suppressAutoHyphens w:val="0"/>
              <w:spacing w:line="240" w:lineRule="auto"/>
              <w:jc w:val="center"/>
              <w:rPr>
                <w:del w:id="860" w:author="AbbVie_HU_03" w:date="2025-05-14T15:27:00Z"/>
                <w:b/>
              </w:rPr>
            </w:pPr>
          </w:p>
        </w:tc>
        <w:tc>
          <w:tcPr>
            <w:tcW w:w="2030" w:type="dxa"/>
            <w:tcBorders>
              <w:top w:val="single" w:sz="4" w:space="0" w:color="auto"/>
            </w:tcBorders>
          </w:tcPr>
          <w:p w14:paraId="1DF944E2" w14:textId="76ACE7CC" w:rsidR="00C14DF3" w:rsidRPr="00183B5F" w:rsidRDefault="00943743">
            <w:pPr>
              <w:pStyle w:val="EMEANormal"/>
              <w:widowControl w:val="0"/>
              <w:jc w:val="both"/>
              <w:rPr>
                <w:del w:id="861" w:author="AbbVie_HU_03" w:date="2025-05-14T15:27:00Z"/>
                <w:lang w:val="hu-HU"/>
              </w:rPr>
            </w:pPr>
            <w:del w:id="862" w:author="AbbVie_HU_03" w:date="2025-05-14T15:27:00Z">
              <w:r w:rsidRPr="00183B5F">
                <w:rPr>
                  <w:lang w:val="hu-HU"/>
                </w:rPr>
                <w:delText>Nem gyakori</w:delText>
              </w:r>
            </w:del>
          </w:p>
        </w:tc>
        <w:tc>
          <w:tcPr>
            <w:tcW w:w="4451" w:type="dxa"/>
            <w:tcBorders>
              <w:top w:val="single" w:sz="4" w:space="0" w:color="auto"/>
            </w:tcBorders>
          </w:tcPr>
          <w:p w14:paraId="7ED4663E" w14:textId="5E68A8AF" w:rsidR="00C14DF3" w:rsidRPr="00183B5F" w:rsidRDefault="00943743" w:rsidP="004062FE">
            <w:pPr>
              <w:widowControl w:val="0"/>
              <w:suppressAutoHyphens w:val="0"/>
              <w:spacing w:line="240" w:lineRule="auto"/>
              <w:rPr>
                <w:del w:id="863" w:author="AbbVie_HU_03" w:date="2025-05-14T15:27:00Z"/>
              </w:rPr>
            </w:pPr>
            <w:del w:id="864" w:author="AbbVie_HU_03" w:date="2025-05-14T15:27:00Z">
              <w:r w:rsidRPr="00183B5F">
                <w:delText>Idiopathiás thrombocytopeniás purpura</w:delText>
              </w:r>
            </w:del>
          </w:p>
        </w:tc>
      </w:tr>
      <w:tr w:rsidR="00011D2F" w14:paraId="5E53A2A2" w14:textId="07836947" w:rsidTr="00202B95">
        <w:trPr>
          <w:trHeight w:val="530"/>
          <w:del w:id="865" w:author="AbbVie_HU_03" w:date="2025-05-14T15:27:00Z"/>
        </w:trPr>
        <w:tc>
          <w:tcPr>
            <w:tcW w:w="2580" w:type="dxa"/>
            <w:tcBorders>
              <w:top w:val="nil"/>
            </w:tcBorders>
          </w:tcPr>
          <w:p w14:paraId="3F35CA8E" w14:textId="0303AFC9" w:rsidR="005D2E26" w:rsidRPr="00183B5F" w:rsidRDefault="005D2E26" w:rsidP="004062FE">
            <w:pPr>
              <w:widowControl w:val="0"/>
              <w:suppressAutoHyphens w:val="0"/>
              <w:spacing w:line="240" w:lineRule="auto"/>
              <w:jc w:val="center"/>
              <w:rPr>
                <w:del w:id="866" w:author="AbbVie_HU_03" w:date="2025-05-14T15:27:00Z"/>
                <w:b/>
              </w:rPr>
            </w:pPr>
          </w:p>
        </w:tc>
        <w:tc>
          <w:tcPr>
            <w:tcW w:w="2030" w:type="dxa"/>
            <w:tcBorders>
              <w:top w:val="single" w:sz="4" w:space="0" w:color="auto"/>
            </w:tcBorders>
          </w:tcPr>
          <w:p w14:paraId="0DA88FA4" w14:textId="7B399316" w:rsidR="005D2E26" w:rsidRPr="00183B5F" w:rsidRDefault="00943743" w:rsidP="004062FE">
            <w:pPr>
              <w:pStyle w:val="EMEANormal"/>
              <w:widowControl w:val="0"/>
              <w:jc w:val="both"/>
              <w:rPr>
                <w:del w:id="867" w:author="AbbVie_HU_03" w:date="2025-05-14T15:27:00Z"/>
                <w:lang w:val="hu-HU"/>
              </w:rPr>
            </w:pPr>
            <w:del w:id="868" w:author="AbbVie_HU_03" w:date="2025-05-14T15:27:00Z">
              <w:r w:rsidRPr="00183B5F">
                <w:rPr>
                  <w:lang w:val="hu-HU"/>
                </w:rPr>
                <w:delText>Ritka</w:delText>
              </w:r>
            </w:del>
          </w:p>
        </w:tc>
        <w:tc>
          <w:tcPr>
            <w:tcW w:w="4451" w:type="dxa"/>
            <w:tcBorders>
              <w:top w:val="single" w:sz="4" w:space="0" w:color="auto"/>
              <w:bottom w:val="single" w:sz="4" w:space="0" w:color="auto"/>
            </w:tcBorders>
          </w:tcPr>
          <w:p w14:paraId="169B4931" w14:textId="46ECDA67" w:rsidR="005D2E26" w:rsidRPr="00183B5F" w:rsidRDefault="00943743" w:rsidP="004062FE">
            <w:pPr>
              <w:widowControl w:val="0"/>
              <w:suppressAutoHyphens w:val="0"/>
              <w:spacing w:line="240" w:lineRule="auto"/>
              <w:rPr>
                <w:del w:id="869" w:author="AbbVie_HU_03" w:date="2025-05-14T15:27:00Z"/>
              </w:rPr>
            </w:pPr>
            <w:del w:id="870" w:author="AbbVie_HU_03" w:date="2025-05-14T15:27:00Z">
              <w:r w:rsidRPr="00183B5F">
                <w:delText>Pancytopenia</w:delText>
              </w:r>
            </w:del>
          </w:p>
        </w:tc>
      </w:tr>
      <w:tr w:rsidR="00011D2F" w14:paraId="1AF4B519" w14:textId="10192DC0" w:rsidTr="00202B95">
        <w:trPr>
          <w:del w:id="871" w:author="AbbVie_HU_03" w:date="2025-05-14T15:27:00Z"/>
        </w:trPr>
        <w:tc>
          <w:tcPr>
            <w:tcW w:w="2580" w:type="dxa"/>
            <w:tcBorders>
              <w:bottom w:val="single" w:sz="4" w:space="0" w:color="auto"/>
            </w:tcBorders>
          </w:tcPr>
          <w:p w14:paraId="499305C8" w14:textId="4BE5033A" w:rsidR="00FB6710" w:rsidRPr="00183B5F" w:rsidRDefault="00943743" w:rsidP="004062FE">
            <w:pPr>
              <w:pStyle w:val="EMEANormal"/>
              <w:widowControl w:val="0"/>
              <w:suppressAutoHyphens w:val="0"/>
              <w:rPr>
                <w:del w:id="872" w:author="AbbVie_HU_03" w:date="2025-05-14T15:27:00Z"/>
                <w:lang w:val="hu-HU"/>
              </w:rPr>
            </w:pPr>
            <w:del w:id="873" w:author="AbbVie_HU_03" w:date="2025-05-14T15:27:00Z">
              <w:r w:rsidRPr="00183B5F">
                <w:rPr>
                  <w:szCs w:val="22"/>
                  <w:lang w:val="hu-HU"/>
                </w:rPr>
                <w:delText>Immunrendszeri betegségek és tünetek</w:delText>
              </w:r>
              <w:r w:rsidRPr="00183B5F">
                <w:rPr>
                  <w:lang w:val="hu-HU"/>
                </w:rPr>
                <w:delText>*</w:delText>
              </w:r>
            </w:del>
          </w:p>
        </w:tc>
        <w:tc>
          <w:tcPr>
            <w:tcW w:w="2030" w:type="dxa"/>
            <w:tcBorders>
              <w:bottom w:val="single" w:sz="4" w:space="0" w:color="auto"/>
            </w:tcBorders>
          </w:tcPr>
          <w:p w14:paraId="285196D6" w14:textId="0996CF90" w:rsidR="00FB6710" w:rsidRPr="00183B5F" w:rsidRDefault="00943743" w:rsidP="004062FE">
            <w:pPr>
              <w:pStyle w:val="EMEANormal"/>
              <w:widowControl w:val="0"/>
              <w:suppressAutoHyphens w:val="0"/>
              <w:rPr>
                <w:del w:id="874" w:author="AbbVie_HU_03" w:date="2025-05-14T15:27:00Z"/>
                <w:lang w:val="hu-HU"/>
              </w:rPr>
            </w:pPr>
            <w:del w:id="875" w:author="AbbVie_HU_03" w:date="2025-05-14T15:27:00Z">
              <w:r w:rsidRPr="00183B5F">
                <w:rPr>
                  <w:lang w:val="hu-HU"/>
                </w:rPr>
                <w:delText>Gyakori</w:delText>
              </w:r>
            </w:del>
          </w:p>
          <w:p w14:paraId="5D1446AA" w14:textId="79A58C9E" w:rsidR="00C14DF3" w:rsidRPr="00183B5F" w:rsidRDefault="00C14DF3" w:rsidP="004062FE">
            <w:pPr>
              <w:pStyle w:val="EMEANormal"/>
              <w:widowControl w:val="0"/>
              <w:suppressAutoHyphens w:val="0"/>
              <w:rPr>
                <w:del w:id="876" w:author="AbbVie_HU_03" w:date="2025-05-14T15:27:00Z"/>
                <w:lang w:val="hu-HU"/>
              </w:rPr>
            </w:pPr>
          </w:p>
        </w:tc>
        <w:tc>
          <w:tcPr>
            <w:tcW w:w="4451" w:type="dxa"/>
            <w:tcBorders>
              <w:top w:val="single" w:sz="4" w:space="0" w:color="auto"/>
              <w:bottom w:val="single" w:sz="4" w:space="0" w:color="auto"/>
            </w:tcBorders>
          </w:tcPr>
          <w:p w14:paraId="6DE7C710" w14:textId="18958975" w:rsidR="00FB6710" w:rsidRPr="00183B5F" w:rsidRDefault="00943743" w:rsidP="004062FE">
            <w:pPr>
              <w:pStyle w:val="EMEANormal"/>
              <w:widowControl w:val="0"/>
              <w:suppressAutoHyphens w:val="0"/>
              <w:rPr>
                <w:del w:id="877" w:author="AbbVie_HU_03" w:date="2025-05-14T15:27:00Z"/>
                <w:lang w:val="hu-HU"/>
              </w:rPr>
            </w:pPr>
            <w:del w:id="878" w:author="AbbVie_HU_03" w:date="2025-05-14T15:27:00Z">
              <w:r w:rsidRPr="00183B5F">
                <w:rPr>
                  <w:lang w:val="hu-HU"/>
                </w:rPr>
                <w:delText>Hypersensitivitás,</w:delText>
              </w:r>
            </w:del>
          </w:p>
          <w:p w14:paraId="6FCCB2CF" w14:textId="5C9D0D6E" w:rsidR="00C14DF3" w:rsidRPr="00183B5F" w:rsidRDefault="00943743" w:rsidP="004062FE">
            <w:pPr>
              <w:pStyle w:val="EMEANormal"/>
              <w:widowControl w:val="0"/>
              <w:suppressAutoHyphens w:val="0"/>
              <w:rPr>
                <w:del w:id="879" w:author="AbbVie_HU_03" w:date="2025-05-14T15:27:00Z"/>
                <w:lang w:val="hu-HU"/>
              </w:rPr>
            </w:pPr>
            <w:del w:id="880" w:author="AbbVie_HU_03" w:date="2025-05-14T15:27:00Z">
              <w:r w:rsidRPr="00183B5F">
                <w:rPr>
                  <w:lang w:val="hu-HU"/>
                </w:rPr>
                <w:delText>allergiák (beleértve a szezonális allergiát is)</w:delText>
              </w:r>
            </w:del>
          </w:p>
        </w:tc>
      </w:tr>
      <w:tr w:rsidR="00011D2F" w14:paraId="66B0AF9E" w14:textId="4D9A4B9C" w:rsidTr="00202B95">
        <w:trPr>
          <w:del w:id="881" w:author="AbbVie_HU_03" w:date="2025-05-14T15:27:00Z"/>
        </w:trPr>
        <w:tc>
          <w:tcPr>
            <w:tcW w:w="2580" w:type="dxa"/>
            <w:tcBorders>
              <w:top w:val="single" w:sz="4" w:space="0" w:color="auto"/>
              <w:bottom w:val="nil"/>
            </w:tcBorders>
          </w:tcPr>
          <w:p w14:paraId="38D44A56" w14:textId="30FCCABC" w:rsidR="005D2E26" w:rsidRPr="00183B5F" w:rsidRDefault="005D2E26" w:rsidP="004062FE">
            <w:pPr>
              <w:pStyle w:val="EMEANormal"/>
              <w:widowControl w:val="0"/>
              <w:suppressAutoHyphens w:val="0"/>
              <w:rPr>
                <w:del w:id="882" w:author="AbbVie_HU_03" w:date="2025-05-14T15:27:00Z"/>
                <w:szCs w:val="22"/>
                <w:lang w:val="hu-HU"/>
              </w:rPr>
            </w:pPr>
          </w:p>
        </w:tc>
        <w:tc>
          <w:tcPr>
            <w:tcW w:w="2030" w:type="dxa"/>
            <w:tcBorders>
              <w:bottom w:val="single" w:sz="4" w:space="0" w:color="auto"/>
            </w:tcBorders>
          </w:tcPr>
          <w:p w14:paraId="43349F4E" w14:textId="5B4F1158" w:rsidR="005D2E26" w:rsidRPr="00183B5F" w:rsidRDefault="00943743" w:rsidP="004062FE">
            <w:pPr>
              <w:pStyle w:val="EMEANormal"/>
              <w:widowControl w:val="0"/>
              <w:suppressAutoHyphens w:val="0"/>
              <w:rPr>
                <w:del w:id="883" w:author="AbbVie_HU_03" w:date="2025-05-14T15:27:00Z"/>
                <w:lang w:val="hu-HU"/>
              </w:rPr>
            </w:pPr>
            <w:del w:id="884" w:author="AbbVie_HU_03" w:date="2025-05-14T15:27:00Z">
              <w:r w:rsidRPr="00183B5F">
                <w:rPr>
                  <w:lang w:val="hu-HU"/>
                </w:rPr>
                <w:delText>Nem gyakori</w:delText>
              </w:r>
            </w:del>
          </w:p>
        </w:tc>
        <w:tc>
          <w:tcPr>
            <w:tcW w:w="4451" w:type="dxa"/>
            <w:tcBorders>
              <w:top w:val="single" w:sz="4" w:space="0" w:color="auto"/>
              <w:bottom w:val="single" w:sz="4" w:space="0" w:color="auto"/>
            </w:tcBorders>
          </w:tcPr>
          <w:p w14:paraId="54D059E9" w14:textId="3EA5F0AB" w:rsidR="005D2E26" w:rsidRPr="00183B5F" w:rsidRDefault="00943743" w:rsidP="004062FE">
            <w:pPr>
              <w:pStyle w:val="EMEANormal"/>
              <w:widowControl w:val="0"/>
              <w:suppressAutoHyphens w:val="0"/>
              <w:rPr>
                <w:del w:id="885" w:author="AbbVie_HU_03" w:date="2025-05-14T15:27:00Z"/>
                <w:lang w:val="hu-HU"/>
              </w:rPr>
            </w:pPr>
            <w:del w:id="886" w:author="AbbVie_HU_03" w:date="2025-05-14T15:27:00Z">
              <w:r w:rsidRPr="00183B5F">
                <w:rPr>
                  <w:lang w:val="hu-HU"/>
                </w:rPr>
                <w:delText>Sarcoidosis</w:delText>
              </w:r>
              <w:r w:rsidRPr="00183B5F">
                <w:rPr>
                  <w:vertAlign w:val="superscript"/>
                  <w:lang w:val="hu-HU"/>
                </w:rPr>
                <w:delText>1)</w:delText>
              </w:r>
              <w:r w:rsidRPr="00183B5F">
                <w:rPr>
                  <w:lang w:val="hu-HU"/>
                </w:rPr>
                <w:delText>,</w:delText>
              </w:r>
            </w:del>
          </w:p>
          <w:p w14:paraId="58163308" w14:textId="6EB26A06" w:rsidR="005D2E26" w:rsidRPr="00183B5F" w:rsidRDefault="00943743" w:rsidP="004062FE">
            <w:pPr>
              <w:pStyle w:val="EMEANormal"/>
              <w:widowControl w:val="0"/>
              <w:suppressAutoHyphens w:val="0"/>
              <w:rPr>
                <w:del w:id="887" w:author="AbbVie_HU_03" w:date="2025-05-14T15:27:00Z"/>
                <w:lang w:val="hu-HU"/>
              </w:rPr>
            </w:pPr>
            <w:del w:id="888" w:author="AbbVie_HU_03" w:date="2025-05-14T15:27:00Z">
              <w:r w:rsidRPr="00183B5F">
                <w:rPr>
                  <w:lang w:val="hu-HU"/>
                </w:rPr>
                <w:delText>vasculitis</w:delText>
              </w:r>
            </w:del>
          </w:p>
        </w:tc>
      </w:tr>
      <w:tr w:rsidR="00011D2F" w14:paraId="6307BBE5" w14:textId="24625921" w:rsidTr="00202B95">
        <w:trPr>
          <w:del w:id="889" w:author="AbbVie_HU_03" w:date="2025-05-14T15:27:00Z"/>
        </w:trPr>
        <w:tc>
          <w:tcPr>
            <w:tcW w:w="2580" w:type="dxa"/>
            <w:tcBorders>
              <w:top w:val="nil"/>
            </w:tcBorders>
          </w:tcPr>
          <w:p w14:paraId="234E27F4" w14:textId="33537B03" w:rsidR="005D2E26" w:rsidRPr="00183B5F" w:rsidRDefault="005D2E26" w:rsidP="004062FE">
            <w:pPr>
              <w:pStyle w:val="EMEANormal"/>
              <w:widowControl w:val="0"/>
              <w:suppressAutoHyphens w:val="0"/>
              <w:rPr>
                <w:del w:id="890" w:author="AbbVie_HU_03" w:date="2025-05-14T15:27:00Z"/>
                <w:szCs w:val="22"/>
                <w:lang w:val="hu-HU"/>
              </w:rPr>
            </w:pPr>
          </w:p>
        </w:tc>
        <w:tc>
          <w:tcPr>
            <w:tcW w:w="2030" w:type="dxa"/>
            <w:tcBorders>
              <w:bottom w:val="single" w:sz="4" w:space="0" w:color="auto"/>
            </w:tcBorders>
          </w:tcPr>
          <w:p w14:paraId="085F702B" w14:textId="1851F18C" w:rsidR="005D2E26" w:rsidRPr="00183B5F" w:rsidRDefault="00943743" w:rsidP="004062FE">
            <w:pPr>
              <w:pStyle w:val="EMEANormal"/>
              <w:widowControl w:val="0"/>
              <w:suppressAutoHyphens w:val="0"/>
              <w:rPr>
                <w:del w:id="891" w:author="AbbVie_HU_03" w:date="2025-05-14T15:27:00Z"/>
                <w:lang w:val="hu-HU"/>
              </w:rPr>
            </w:pPr>
            <w:del w:id="892" w:author="AbbVie_HU_03" w:date="2025-05-14T15:27:00Z">
              <w:r w:rsidRPr="00183B5F">
                <w:rPr>
                  <w:lang w:val="hu-HU"/>
                </w:rPr>
                <w:delText>Ritka</w:delText>
              </w:r>
            </w:del>
          </w:p>
        </w:tc>
        <w:tc>
          <w:tcPr>
            <w:tcW w:w="4451" w:type="dxa"/>
            <w:tcBorders>
              <w:top w:val="single" w:sz="4" w:space="0" w:color="auto"/>
              <w:bottom w:val="single" w:sz="4" w:space="0" w:color="auto"/>
            </w:tcBorders>
          </w:tcPr>
          <w:p w14:paraId="505EE1C2" w14:textId="30E6E169" w:rsidR="005D2E26" w:rsidRPr="00183B5F" w:rsidRDefault="00943743" w:rsidP="004062FE">
            <w:pPr>
              <w:pStyle w:val="EMEANormal"/>
              <w:widowControl w:val="0"/>
              <w:suppressAutoHyphens w:val="0"/>
              <w:rPr>
                <w:del w:id="893" w:author="AbbVie_HU_03" w:date="2025-05-14T15:27:00Z"/>
                <w:lang w:val="hu-HU"/>
              </w:rPr>
            </w:pPr>
            <w:del w:id="894" w:author="AbbVie_HU_03" w:date="2025-05-14T15:27:00Z">
              <w:r w:rsidRPr="00183B5F">
                <w:rPr>
                  <w:lang w:val="hu-HU"/>
                </w:rPr>
                <w:delText>Anaphylaxia</w:delText>
              </w:r>
              <w:r w:rsidRPr="00183B5F">
                <w:rPr>
                  <w:vertAlign w:val="superscript"/>
                  <w:lang w:val="hu-HU"/>
                </w:rPr>
                <w:delText>1)</w:delText>
              </w:r>
            </w:del>
          </w:p>
        </w:tc>
      </w:tr>
      <w:tr w:rsidR="00011D2F" w14:paraId="74EA01CA" w14:textId="1CCC0222" w:rsidTr="00202B95">
        <w:trPr>
          <w:del w:id="895" w:author="AbbVie_HU_03" w:date="2025-05-14T15:27:00Z"/>
        </w:trPr>
        <w:tc>
          <w:tcPr>
            <w:tcW w:w="2580" w:type="dxa"/>
            <w:vMerge w:val="restart"/>
          </w:tcPr>
          <w:p w14:paraId="3AC03A07" w14:textId="21136B3A" w:rsidR="00FB6710" w:rsidRPr="00183B5F" w:rsidRDefault="00943743" w:rsidP="004062FE">
            <w:pPr>
              <w:pStyle w:val="EMEANormal"/>
              <w:keepNext/>
              <w:widowControl w:val="0"/>
              <w:suppressAutoHyphens w:val="0"/>
              <w:rPr>
                <w:del w:id="896" w:author="AbbVie_HU_03" w:date="2025-05-14T15:27:00Z"/>
                <w:szCs w:val="22"/>
                <w:lang w:val="hu-HU"/>
              </w:rPr>
            </w:pPr>
            <w:del w:id="897" w:author="AbbVie_HU_03" w:date="2025-05-14T15:27:00Z">
              <w:r w:rsidRPr="00183B5F">
                <w:rPr>
                  <w:szCs w:val="22"/>
                  <w:lang w:val="hu-HU"/>
                </w:rPr>
                <w:delText>Anyagcsere- és táplálkozási betegségek és tünetek</w:delText>
              </w:r>
            </w:del>
          </w:p>
        </w:tc>
        <w:tc>
          <w:tcPr>
            <w:tcW w:w="2030" w:type="dxa"/>
            <w:tcBorders>
              <w:bottom w:val="single" w:sz="4" w:space="0" w:color="auto"/>
            </w:tcBorders>
          </w:tcPr>
          <w:p w14:paraId="7B7EDF5A" w14:textId="43A3B085" w:rsidR="00FB6710" w:rsidRPr="00183B5F" w:rsidRDefault="00943743" w:rsidP="004062FE">
            <w:pPr>
              <w:pStyle w:val="EMEANormal"/>
              <w:keepNext/>
              <w:widowControl w:val="0"/>
              <w:suppressAutoHyphens w:val="0"/>
              <w:rPr>
                <w:del w:id="898" w:author="AbbVie_HU_03" w:date="2025-05-14T15:27:00Z"/>
                <w:lang w:val="hu-HU"/>
              </w:rPr>
            </w:pPr>
            <w:del w:id="899" w:author="AbbVie_HU_03" w:date="2025-05-14T15:27:00Z">
              <w:r w:rsidRPr="00183B5F">
                <w:rPr>
                  <w:lang w:val="hu-HU"/>
                </w:rPr>
                <w:delText>Nagyon gyakori</w:delText>
              </w:r>
            </w:del>
          </w:p>
          <w:p w14:paraId="4D4B8478" w14:textId="79B7BFB9" w:rsidR="00FB6710" w:rsidRPr="00183B5F" w:rsidRDefault="00FB6710" w:rsidP="004062FE">
            <w:pPr>
              <w:pStyle w:val="EMEANormal"/>
              <w:keepNext/>
              <w:widowControl w:val="0"/>
              <w:suppressAutoHyphens w:val="0"/>
              <w:rPr>
                <w:del w:id="900" w:author="AbbVie_HU_03" w:date="2025-05-14T15:27:00Z"/>
                <w:lang w:val="hu-HU"/>
              </w:rPr>
            </w:pPr>
          </w:p>
        </w:tc>
        <w:tc>
          <w:tcPr>
            <w:tcW w:w="4451" w:type="dxa"/>
            <w:tcBorders>
              <w:bottom w:val="single" w:sz="4" w:space="0" w:color="auto"/>
            </w:tcBorders>
          </w:tcPr>
          <w:p w14:paraId="6525C456" w14:textId="3B613F73" w:rsidR="00FB6710" w:rsidRPr="00183B5F" w:rsidRDefault="00943743" w:rsidP="004062FE">
            <w:pPr>
              <w:pStyle w:val="EMEANormal"/>
              <w:keepNext/>
              <w:widowControl w:val="0"/>
              <w:suppressAutoHyphens w:val="0"/>
              <w:rPr>
                <w:del w:id="901" w:author="AbbVie_HU_03" w:date="2025-05-14T15:27:00Z"/>
                <w:lang w:val="hu-HU"/>
              </w:rPr>
            </w:pPr>
            <w:del w:id="902" w:author="AbbVie_HU_03" w:date="2025-05-14T15:27:00Z">
              <w:r w:rsidRPr="00183B5F">
                <w:rPr>
                  <w:lang w:val="hu-HU"/>
                </w:rPr>
                <w:delText xml:space="preserve">Emelkedett lipidszint </w:delText>
              </w:r>
            </w:del>
          </w:p>
        </w:tc>
      </w:tr>
      <w:tr w:rsidR="00011D2F" w14:paraId="25ACECA4" w14:textId="5F141153" w:rsidTr="00202B95">
        <w:trPr>
          <w:trHeight w:val="2304"/>
          <w:del w:id="903" w:author="AbbVie_HU_03" w:date="2025-05-14T15:27:00Z"/>
        </w:trPr>
        <w:tc>
          <w:tcPr>
            <w:tcW w:w="2580" w:type="dxa"/>
            <w:vMerge/>
          </w:tcPr>
          <w:p w14:paraId="50538776" w14:textId="597AA6A5" w:rsidR="007A146E" w:rsidRPr="00183B5F" w:rsidRDefault="007A146E" w:rsidP="004062FE">
            <w:pPr>
              <w:pStyle w:val="EMEANormal"/>
              <w:widowControl w:val="0"/>
              <w:suppressAutoHyphens w:val="0"/>
              <w:rPr>
                <w:del w:id="904" w:author="AbbVie_HU_03" w:date="2025-05-14T15:27:00Z"/>
                <w:lang w:val="hu-HU"/>
              </w:rPr>
            </w:pPr>
          </w:p>
        </w:tc>
        <w:tc>
          <w:tcPr>
            <w:tcW w:w="2030" w:type="dxa"/>
            <w:tcBorders>
              <w:top w:val="single" w:sz="4" w:space="0" w:color="auto"/>
            </w:tcBorders>
          </w:tcPr>
          <w:p w14:paraId="2F80950E" w14:textId="357A5070" w:rsidR="007A146E" w:rsidRPr="00183B5F" w:rsidRDefault="00943743" w:rsidP="004062FE">
            <w:pPr>
              <w:pStyle w:val="EMEANormal"/>
              <w:widowControl w:val="0"/>
              <w:suppressAutoHyphens w:val="0"/>
              <w:rPr>
                <w:del w:id="905" w:author="AbbVie_HU_03" w:date="2025-05-14T15:27:00Z"/>
                <w:lang w:val="hu-HU"/>
              </w:rPr>
            </w:pPr>
            <w:del w:id="906" w:author="AbbVie_HU_03" w:date="2025-05-14T15:27:00Z">
              <w:r w:rsidRPr="00183B5F">
                <w:rPr>
                  <w:lang w:val="hu-HU"/>
                </w:rPr>
                <w:delText>Gyakori</w:delText>
              </w:r>
            </w:del>
          </w:p>
          <w:p w14:paraId="72E31618" w14:textId="306CB18E" w:rsidR="007A146E" w:rsidRPr="00183B5F" w:rsidRDefault="007A146E">
            <w:pPr>
              <w:pStyle w:val="EMEANormal"/>
              <w:widowControl w:val="0"/>
              <w:rPr>
                <w:del w:id="907" w:author="AbbVie_HU_03" w:date="2025-05-14T15:27:00Z"/>
                <w:lang w:val="hu-HU"/>
              </w:rPr>
            </w:pPr>
          </w:p>
        </w:tc>
        <w:tc>
          <w:tcPr>
            <w:tcW w:w="4451" w:type="dxa"/>
            <w:tcBorders>
              <w:top w:val="single" w:sz="4" w:space="0" w:color="auto"/>
            </w:tcBorders>
          </w:tcPr>
          <w:p w14:paraId="0CD39906" w14:textId="5720034A" w:rsidR="007A146E" w:rsidRPr="00183B5F" w:rsidRDefault="00943743" w:rsidP="004062FE">
            <w:pPr>
              <w:pStyle w:val="EMEANormal"/>
              <w:widowControl w:val="0"/>
              <w:suppressAutoHyphens w:val="0"/>
              <w:rPr>
                <w:del w:id="908" w:author="AbbVie_HU_03" w:date="2025-05-14T15:27:00Z"/>
                <w:lang w:val="hu-HU"/>
              </w:rPr>
            </w:pPr>
            <w:del w:id="909" w:author="AbbVie_HU_03" w:date="2025-05-14T15:27:00Z">
              <w:r w:rsidRPr="00183B5F">
                <w:rPr>
                  <w:lang w:val="hu-HU"/>
                </w:rPr>
                <w:delText xml:space="preserve">Hypokalaemia, </w:delText>
              </w:r>
            </w:del>
          </w:p>
          <w:p w14:paraId="2CA229DD" w14:textId="4B1B701E" w:rsidR="007A146E" w:rsidRPr="00183B5F" w:rsidRDefault="00943743" w:rsidP="004062FE">
            <w:pPr>
              <w:pStyle w:val="EMEANormal"/>
              <w:widowControl w:val="0"/>
              <w:suppressAutoHyphens w:val="0"/>
              <w:rPr>
                <w:del w:id="910" w:author="AbbVie_HU_03" w:date="2025-05-14T15:27:00Z"/>
                <w:lang w:val="hu-HU"/>
              </w:rPr>
            </w:pPr>
            <w:del w:id="911" w:author="AbbVie_HU_03" w:date="2025-05-14T15:27:00Z">
              <w:r w:rsidRPr="00183B5F">
                <w:rPr>
                  <w:lang w:val="hu-HU"/>
                </w:rPr>
                <w:delText xml:space="preserve">emelkedett húgysavszint, </w:delText>
              </w:r>
            </w:del>
          </w:p>
          <w:p w14:paraId="642CBCFA" w14:textId="4B937C6C" w:rsidR="007A146E" w:rsidRPr="00183B5F" w:rsidRDefault="00943743" w:rsidP="004062FE">
            <w:pPr>
              <w:pStyle w:val="EMEANormal"/>
              <w:widowControl w:val="0"/>
              <w:suppressAutoHyphens w:val="0"/>
              <w:rPr>
                <w:del w:id="912" w:author="AbbVie_HU_03" w:date="2025-05-14T15:27:00Z"/>
                <w:lang w:val="hu-HU"/>
              </w:rPr>
            </w:pPr>
            <w:del w:id="913" w:author="AbbVie_HU_03" w:date="2025-05-14T15:27:00Z">
              <w:r w:rsidRPr="00183B5F">
                <w:rPr>
                  <w:lang w:val="hu-HU"/>
                </w:rPr>
                <w:delText>kóros nátriumszint a vérben,</w:delText>
              </w:r>
            </w:del>
          </w:p>
          <w:p w14:paraId="235ABDC8" w14:textId="04B42443" w:rsidR="007A146E" w:rsidRPr="00183B5F" w:rsidRDefault="00943743" w:rsidP="004062FE">
            <w:pPr>
              <w:pStyle w:val="EMEANormal"/>
              <w:widowControl w:val="0"/>
              <w:suppressAutoHyphens w:val="0"/>
              <w:rPr>
                <w:del w:id="914" w:author="AbbVie_HU_03" w:date="2025-05-14T15:27:00Z"/>
                <w:lang w:val="hu-HU"/>
              </w:rPr>
            </w:pPr>
            <w:del w:id="915" w:author="AbbVie_HU_03" w:date="2025-05-14T15:27:00Z">
              <w:r w:rsidRPr="00183B5F">
                <w:rPr>
                  <w:lang w:val="hu-HU"/>
                </w:rPr>
                <w:delText>hypocalcaemia</w:delText>
              </w:r>
            </w:del>
          </w:p>
          <w:p w14:paraId="6B2F57E7" w14:textId="606F7A5A" w:rsidR="007A146E" w:rsidRPr="00183B5F" w:rsidRDefault="00943743" w:rsidP="004062FE">
            <w:pPr>
              <w:pStyle w:val="EMEANormal"/>
              <w:widowControl w:val="0"/>
              <w:suppressAutoHyphens w:val="0"/>
              <w:rPr>
                <w:del w:id="916" w:author="AbbVie_HU_03" w:date="2025-05-14T15:27:00Z"/>
                <w:lang w:val="hu-HU"/>
              </w:rPr>
            </w:pPr>
            <w:del w:id="917" w:author="AbbVie_HU_03" w:date="2025-05-14T15:27:00Z">
              <w:r w:rsidRPr="00183B5F">
                <w:rPr>
                  <w:lang w:val="hu-HU"/>
                </w:rPr>
                <w:delText>hyperglykaemia,</w:delText>
              </w:r>
            </w:del>
          </w:p>
          <w:p w14:paraId="124C263E" w14:textId="6A007F8E" w:rsidR="007A146E" w:rsidRPr="00183B5F" w:rsidRDefault="00943743" w:rsidP="004062FE">
            <w:pPr>
              <w:pStyle w:val="EMEANormal"/>
              <w:widowControl w:val="0"/>
              <w:suppressAutoHyphens w:val="0"/>
              <w:rPr>
                <w:del w:id="918" w:author="AbbVie_HU_03" w:date="2025-05-14T15:27:00Z"/>
                <w:lang w:val="hu-HU"/>
              </w:rPr>
            </w:pPr>
            <w:del w:id="919" w:author="AbbVie_HU_03" w:date="2025-05-14T15:27:00Z">
              <w:r w:rsidRPr="00183B5F">
                <w:rPr>
                  <w:lang w:val="hu-HU"/>
                </w:rPr>
                <w:delText>hypophosphataemia,</w:delText>
              </w:r>
            </w:del>
          </w:p>
          <w:p w14:paraId="0E63CC9A" w14:textId="20AE7039" w:rsidR="007A146E" w:rsidRPr="00183B5F" w:rsidRDefault="00943743">
            <w:pPr>
              <w:pStyle w:val="EMEANormal"/>
              <w:widowControl w:val="0"/>
              <w:rPr>
                <w:del w:id="920" w:author="AbbVie_HU_03" w:date="2025-05-14T15:27:00Z"/>
                <w:lang w:val="hu-HU"/>
              </w:rPr>
            </w:pPr>
            <w:del w:id="921" w:author="AbbVie_HU_03" w:date="2025-05-14T15:27:00Z">
              <w:r w:rsidRPr="00183B5F">
                <w:rPr>
                  <w:lang w:val="hu-HU"/>
                </w:rPr>
                <w:delText>deh</w:delText>
              </w:r>
              <w:r w:rsidR="00A06445" w:rsidRPr="00183B5F">
                <w:rPr>
                  <w:lang w:val="hu-HU"/>
                </w:rPr>
                <w:delText>idráció</w:delText>
              </w:r>
            </w:del>
          </w:p>
        </w:tc>
      </w:tr>
      <w:tr w:rsidR="00011D2F" w14:paraId="5DD53ECE" w14:textId="063C567A" w:rsidTr="00202B95">
        <w:trPr>
          <w:del w:id="922" w:author="AbbVie_HU_03" w:date="2025-05-14T15:27:00Z"/>
        </w:trPr>
        <w:tc>
          <w:tcPr>
            <w:tcW w:w="2580" w:type="dxa"/>
            <w:tcBorders>
              <w:bottom w:val="single" w:sz="4" w:space="0" w:color="auto"/>
            </w:tcBorders>
          </w:tcPr>
          <w:p w14:paraId="75FF07FF" w14:textId="5A64417F" w:rsidR="00FB6710" w:rsidRPr="00183B5F" w:rsidRDefault="00943743" w:rsidP="004062FE">
            <w:pPr>
              <w:pStyle w:val="EMEANormal"/>
              <w:widowControl w:val="0"/>
              <w:suppressAutoHyphens w:val="0"/>
              <w:rPr>
                <w:del w:id="923" w:author="AbbVie_HU_03" w:date="2025-05-14T15:27:00Z"/>
                <w:lang w:val="hu-HU"/>
              </w:rPr>
            </w:pPr>
            <w:del w:id="924" w:author="AbbVie_HU_03" w:date="2025-05-14T15:27:00Z">
              <w:r w:rsidRPr="00183B5F">
                <w:rPr>
                  <w:lang w:val="hu-HU"/>
                </w:rPr>
                <w:delText>Pszichiátriai kórképek</w:delText>
              </w:r>
            </w:del>
          </w:p>
        </w:tc>
        <w:tc>
          <w:tcPr>
            <w:tcW w:w="2030" w:type="dxa"/>
            <w:tcBorders>
              <w:bottom w:val="single" w:sz="4" w:space="0" w:color="auto"/>
            </w:tcBorders>
          </w:tcPr>
          <w:p w14:paraId="53E2B939" w14:textId="2E793C21" w:rsidR="00FB6710" w:rsidRPr="00183B5F" w:rsidRDefault="00943743" w:rsidP="004062FE">
            <w:pPr>
              <w:pStyle w:val="EMEANormal"/>
              <w:widowControl w:val="0"/>
              <w:suppressAutoHyphens w:val="0"/>
              <w:rPr>
                <w:del w:id="925" w:author="AbbVie_HU_03" w:date="2025-05-14T15:27:00Z"/>
                <w:lang w:val="hu-HU"/>
              </w:rPr>
            </w:pPr>
            <w:del w:id="926" w:author="AbbVie_HU_03" w:date="2025-05-14T15:27:00Z">
              <w:r w:rsidRPr="00183B5F">
                <w:rPr>
                  <w:lang w:val="hu-HU"/>
                </w:rPr>
                <w:delText>Gyakori</w:delText>
              </w:r>
            </w:del>
          </w:p>
          <w:p w14:paraId="3BE895A6" w14:textId="7C048DA2" w:rsidR="00FB6710" w:rsidRPr="00183B5F" w:rsidRDefault="00FB6710" w:rsidP="004062FE">
            <w:pPr>
              <w:pStyle w:val="EMEANormal"/>
              <w:widowControl w:val="0"/>
              <w:suppressAutoHyphens w:val="0"/>
              <w:rPr>
                <w:del w:id="927" w:author="AbbVie_HU_03" w:date="2025-05-14T15:27:00Z"/>
                <w:lang w:val="hu-HU"/>
              </w:rPr>
            </w:pPr>
          </w:p>
        </w:tc>
        <w:tc>
          <w:tcPr>
            <w:tcW w:w="4451" w:type="dxa"/>
            <w:tcBorders>
              <w:bottom w:val="single" w:sz="4" w:space="0" w:color="auto"/>
            </w:tcBorders>
          </w:tcPr>
          <w:p w14:paraId="64C1E841" w14:textId="6F4B0558" w:rsidR="00FB6710" w:rsidRPr="00183B5F" w:rsidRDefault="00943743" w:rsidP="004062FE">
            <w:pPr>
              <w:pStyle w:val="EMEANormal"/>
              <w:widowControl w:val="0"/>
              <w:suppressAutoHyphens w:val="0"/>
              <w:rPr>
                <w:del w:id="928" w:author="AbbVie_HU_03" w:date="2025-05-14T15:27:00Z"/>
                <w:lang w:val="hu-HU"/>
              </w:rPr>
            </w:pPr>
            <w:del w:id="929" w:author="AbbVie_HU_03" w:date="2025-05-14T15:27:00Z">
              <w:r w:rsidRPr="00183B5F">
                <w:rPr>
                  <w:lang w:val="hu-HU"/>
                </w:rPr>
                <w:delText xml:space="preserve">Hangulatváltozás (beleértve a depressziót is), </w:delText>
              </w:r>
            </w:del>
          </w:p>
          <w:p w14:paraId="7DF7F57A" w14:textId="54C4F886" w:rsidR="00C17B6B" w:rsidRPr="00183B5F" w:rsidRDefault="00943743" w:rsidP="004062FE">
            <w:pPr>
              <w:pStyle w:val="EMEANormal"/>
              <w:widowControl w:val="0"/>
              <w:suppressAutoHyphens w:val="0"/>
              <w:rPr>
                <w:del w:id="930" w:author="AbbVie_HU_03" w:date="2025-05-14T15:27:00Z"/>
                <w:lang w:val="hu-HU"/>
              </w:rPr>
            </w:pPr>
            <w:del w:id="931" w:author="AbbVie_HU_03" w:date="2025-05-14T15:27:00Z">
              <w:r w:rsidRPr="00183B5F">
                <w:rPr>
                  <w:lang w:val="hu-HU"/>
                </w:rPr>
                <w:delText xml:space="preserve">szorongás, </w:delText>
              </w:r>
            </w:del>
          </w:p>
          <w:p w14:paraId="2C9150CB" w14:textId="5B8E8976" w:rsidR="00FB6710" w:rsidRPr="00183B5F" w:rsidRDefault="00943743" w:rsidP="004062FE">
            <w:pPr>
              <w:pStyle w:val="EMEANormal"/>
              <w:widowControl w:val="0"/>
              <w:suppressAutoHyphens w:val="0"/>
              <w:rPr>
                <w:del w:id="932" w:author="AbbVie_HU_03" w:date="2025-05-14T15:27:00Z"/>
                <w:lang w:val="hu-HU"/>
              </w:rPr>
            </w:pPr>
            <w:del w:id="933" w:author="AbbVie_HU_03" w:date="2025-05-14T15:27:00Z">
              <w:r w:rsidRPr="00183B5F">
                <w:rPr>
                  <w:lang w:val="hu-HU"/>
                </w:rPr>
                <w:delText>insomnia</w:delText>
              </w:r>
            </w:del>
          </w:p>
        </w:tc>
      </w:tr>
      <w:tr w:rsidR="00011D2F" w14:paraId="2F3AE564" w14:textId="4CEA619A" w:rsidTr="00202B95">
        <w:trPr>
          <w:del w:id="934" w:author="AbbVie_HU_03" w:date="2025-05-14T15:27:00Z"/>
        </w:trPr>
        <w:tc>
          <w:tcPr>
            <w:tcW w:w="2580" w:type="dxa"/>
            <w:vMerge w:val="restart"/>
          </w:tcPr>
          <w:p w14:paraId="58D7547A" w14:textId="29C59632" w:rsidR="00FB6710" w:rsidRPr="00183B5F" w:rsidRDefault="00943743" w:rsidP="004062FE">
            <w:pPr>
              <w:pStyle w:val="EMEANormal"/>
              <w:widowControl w:val="0"/>
              <w:suppressAutoHyphens w:val="0"/>
              <w:rPr>
                <w:del w:id="935" w:author="AbbVie_HU_03" w:date="2025-05-14T15:27:00Z"/>
                <w:lang w:val="hu-HU"/>
              </w:rPr>
            </w:pPr>
            <w:del w:id="936" w:author="AbbVie_HU_03" w:date="2025-05-14T15:27:00Z">
              <w:r w:rsidRPr="00183B5F">
                <w:rPr>
                  <w:lang w:val="hu-HU"/>
                </w:rPr>
                <w:delText>Idegrendszeri betegségek és tünetek*</w:delText>
              </w:r>
            </w:del>
          </w:p>
        </w:tc>
        <w:tc>
          <w:tcPr>
            <w:tcW w:w="2030" w:type="dxa"/>
            <w:tcBorders>
              <w:bottom w:val="single" w:sz="4" w:space="0" w:color="auto"/>
            </w:tcBorders>
          </w:tcPr>
          <w:p w14:paraId="57D0BEE2" w14:textId="0B7600A5" w:rsidR="00FB6710" w:rsidRPr="00183B5F" w:rsidRDefault="00943743" w:rsidP="004062FE">
            <w:pPr>
              <w:pStyle w:val="EMEANormal"/>
              <w:widowControl w:val="0"/>
              <w:suppressAutoHyphens w:val="0"/>
              <w:rPr>
                <w:del w:id="937" w:author="AbbVie_HU_03" w:date="2025-05-14T15:27:00Z"/>
                <w:lang w:val="hu-HU"/>
              </w:rPr>
            </w:pPr>
            <w:del w:id="938" w:author="AbbVie_HU_03" w:date="2025-05-14T15:27:00Z">
              <w:r w:rsidRPr="00183B5F">
                <w:rPr>
                  <w:lang w:val="hu-HU"/>
                </w:rPr>
                <w:delText>Nagyon gyakori</w:delText>
              </w:r>
            </w:del>
          </w:p>
          <w:p w14:paraId="7E37D9E3" w14:textId="490365A0" w:rsidR="00FB6710" w:rsidRPr="00183B5F" w:rsidRDefault="00FB6710" w:rsidP="004062FE">
            <w:pPr>
              <w:pStyle w:val="EMEANormal"/>
              <w:widowControl w:val="0"/>
              <w:suppressAutoHyphens w:val="0"/>
              <w:rPr>
                <w:del w:id="939" w:author="AbbVie_HU_03" w:date="2025-05-14T15:27:00Z"/>
                <w:lang w:val="hu-HU"/>
              </w:rPr>
            </w:pPr>
          </w:p>
        </w:tc>
        <w:tc>
          <w:tcPr>
            <w:tcW w:w="4451" w:type="dxa"/>
            <w:tcBorders>
              <w:bottom w:val="single" w:sz="4" w:space="0" w:color="auto"/>
            </w:tcBorders>
          </w:tcPr>
          <w:p w14:paraId="3FAEC7FC" w14:textId="1E877042" w:rsidR="00FB6710" w:rsidRPr="00183B5F" w:rsidRDefault="00943743" w:rsidP="004062FE">
            <w:pPr>
              <w:pStyle w:val="EMEANormal"/>
              <w:widowControl w:val="0"/>
              <w:suppressAutoHyphens w:val="0"/>
              <w:rPr>
                <w:del w:id="940" w:author="AbbVie_HU_03" w:date="2025-05-14T15:27:00Z"/>
                <w:lang w:val="hu-HU"/>
              </w:rPr>
            </w:pPr>
            <w:del w:id="941" w:author="AbbVie_HU_03" w:date="2025-05-14T15:27:00Z">
              <w:r w:rsidRPr="00183B5F">
                <w:rPr>
                  <w:lang w:val="hu-HU"/>
                </w:rPr>
                <w:delText>Fejfájás</w:delText>
              </w:r>
            </w:del>
          </w:p>
        </w:tc>
      </w:tr>
      <w:tr w:rsidR="00011D2F" w14:paraId="23B76EB9" w14:textId="6C325E0D" w:rsidTr="00202B95">
        <w:trPr>
          <w:del w:id="942" w:author="AbbVie_HU_03" w:date="2025-05-14T15:27:00Z"/>
        </w:trPr>
        <w:tc>
          <w:tcPr>
            <w:tcW w:w="2580" w:type="dxa"/>
            <w:vMerge/>
            <w:tcBorders>
              <w:bottom w:val="single" w:sz="4" w:space="0" w:color="auto"/>
            </w:tcBorders>
          </w:tcPr>
          <w:p w14:paraId="017EF4D0" w14:textId="56AF31AD" w:rsidR="00FB6710" w:rsidRPr="00183B5F" w:rsidRDefault="00FB6710" w:rsidP="004062FE">
            <w:pPr>
              <w:pStyle w:val="EMEANormal"/>
              <w:widowControl w:val="0"/>
              <w:suppressAutoHyphens w:val="0"/>
              <w:rPr>
                <w:del w:id="943" w:author="AbbVie_HU_03" w:date="2025-05-14T15:27:00Z"/>
                <w:lang w:val="hu-HU"/>
              </w:rPr>
            </w:pPr>
          </w:p>
        </w:tc>
        <w:tc>
          <w:tcPr>
            <w:tcW w:w="2030" w:type="dxa"/>
            <w:tcBorders>
              <w:top w:val="single" w:sz="4" w:space="0" w:color="auto"/>
              <w:bottom w:val="single" w:sz="4" w:space="0" w:color="auto"/>
            </w:tcBorders>
          </w:tcPr>
          <w:p w14:paraId="7E828DF9" w14:textId="323897A2" w:rsidR="00FB6710" w:rsidRPr="00183B5F" w:rsidRDefault="00943743" w:rsidP="004062FE">
            <w:pPr>
              <w:pStyle w:val="EMEANormal"/>
              <w:widowControl w:val="0"/>
              <w:suppressAutoHyphens w:val="0"/>
              <w:rPr>
                <w:del w:id="944" w:author="AbbVie_HU_03" w:date="2025-05-14T15:27:00Z"/>
                <w:lang w:val="hu-HU"/>
              </w:rPr>
            </w:pPr>
            <w:del w:id="945" w:author="AbbVie_HU_03" w:date="2025-05-14T15:27:00Z">
              <w:r w:rsidRPr="00183B5F">
                <w:rPr>
                  <w:lang w:val="hu-HU"/>
                </w:rPr>
                <w:delText>Gyakori</w:delText>
              </w:r>
            </w:del>
          </w:p>
          <w:p w14:paraId="718D956C" w14:textId="401DEC2E" w:rsidR="00FB6710" w:rsidRPr="00183B5F" w:rsidRDefault="00FB6710" w:rsidP="004062FE">
            <w:pPr>
              <w:pStyle w:val="EMEANormal"/>
              <w:widowControl w:val="0"/>
              <w:suppressAutoHyphens w:val="0"/>
              <w:rPr>
                <w:del w:id="946" w:author="AbbVie_HU_03" w:date="2025-05-14T15:27:00Z"/>
                <w:lang w:val="hu-HU"/>
              </w:rPr>
            </w:pPr>
          </w:p>
        </w:tc>
        <w:tc>
          <w:tcPr>
            <w:tcW w:w="4451" w:type="dxa"/>
            <w:tcBorders>
              <w:top w:val="single" w:sz="4" w:space="0" w:color="auto"/>
              <w:bottom w:val="single" w:sz="4" w:space="0" w:color="auto"/>
            </w:tcBorders>
          </w:tcPr>
          <w:p w14:paraId="5FAA414D" w14:textId="13A4DBD3" w:rsidR="00FB6710" w:rsidRPr="00183B5F" w:rsidRDefault="00943743" w:rsidP="004062FE">
            <w:pPr>
              <w:pStyle w:val="EMEANormal"/>
              <w:widowControl w:val="0"/>
              <w:suppressAutoHyphens w:val="0"/>
              <w:rPr>
                <w:del w:id="947" w:author="AbbVie_HU_03" w:date="2025-05-14T15:27:00Z"/>
                <w:lang w:val="hu-HU"/>
              </w:rPr>
            </w:pPr>
            <w:del w:id="948" w:author="AbbVie_HU_03" w:date="2025-05-14T15:27:00Z">
              <w:r w:rsidRPr="00183B5F">
                <w:rPr>
                  <w:lang w:val="hu-HU"/>
                </w:rPr>
                <w:delText>Paraesthesiák (beleértve a hypa</w:delText>
              </w:r>
              <w:r w:rsidR="00F4121D" w:rsidRPr="00183B5F">
                <w:rPr>
                  <w:lang w:val="hu-HU"/>
                </w:rPr>
                <w:delText>e</w:delText>
              </w:r>
              <w:r w:rsidRPr="00183B5F">
                <w:rPr>
                  <w:lang w:val="hu-HU"/>
                </w:rPr>
                <w:delText>sthesiát is),</w:delText>
              </w:r>
            </w:del>
          </w:p>
          <w:p w14:paraId="2198048F" w14:textId="49AE9697" w:rsidR="00FB6710" w:rsidRPr="00183B5F" w:rsidRDefault="00943743" w:rsidP="004062FE">
            <w:pPr>
              <w:pStyle w:val="EMEANormal"/>
              <w:widowControl w:val="0"/>
              <w:suppressAutoHyphens w:val="0"/>
              <w:rPr>
                <w:del w:id="949" w:author="AbbVie_HU_03" w:date="2025-05-14T15:27:00Z"/>
                <w:lang w:val="hu-HU"/>
              </w:rPr>
            </w:pPr>
            <w:del w:id="950" w:author="AbbVie_HU_03" w:date="2025-05-14T15:27:00Z">
              <w:r w:rsidRPr="00183B5F">
                <w:rPr>
                  <w:lang w:val="hu-HU"/>
                </w:rPr>
                <w:delText>migr</w:delText>
              </w:r>
              <w:r w:rsidR="00761819" w:rsidRPr="00183B5F">
                <w:rPr>
                  <w:lang w:val="hu-HU"/>
                </w:rPr>
                <w:delText>é</w:delText>
              </w:r>
              <w:r w:rsidRPr="00183B5F">
                <w:rPr>
                  <w:lang w:val="hu-HU"/>
                </w:rPr>
                <w:delText>n,</w:delText>
              </w:r>
            </w:del>
          </w:p>
          <w:p w14:paraId="5FF3B6C4" w14:textId="57D39CC7" w:rsidR="00FB6710" w:rsidRPr="00183B5F" w:rsidRDefault="00943743" w:rsidP="004062FE">
            <w:pPr>
              <w:pStyle w:val="EMEANormal"/>
              <w:widowControl w:val="0"/>
              <w:suppressAutoHyphens w:val="0"/>
              <w:rPr>
                <w:del w:id="951" w:author="AbbVie_HU_03" w:date="2025-05-14T15:27:00Z"/>
                <w:lang w:val="hu-HU"/>
              </w:rPr>
            </w:pPr>
            <w:del w:id="952" w:author="AbbVie_HU_03" w:date="2025-05-14T15:27:00Z">
              <w:r w:rsidRPr="00183B5F">
                <w:rPr>
                  <w:lang w:val="hu-HU"/>
                </w:rPr>
                <w:delText>I</w:delText>
              </w:r>
              <w:r w:rsidR="00453EE5" w:rsidRPr="00183B5F">
                <w:rPr>
                  <w:lang w:val="hu-HU"/>
                </w:rPr>
                <w:delText>deggyök</w:delText>
              </w:r>
              <w:r w:rsidR="00F12F0A" w:rsidRPr="00183B5F">
                <w:rPr>
                  <w:lang w:val="hu-HU"/>
                </w:rPr>
                <w:delText>-</w:delText>
              </w:r>
              <w:r w:rsidR="00453EE5" w:rsidRPr="00183B5F">
                <w:rPr>
                  <w:lang w:val="hu-HU"/>
                </w:rPr>
                <w:delText>kompresszió</w:delText>
              </w:r>
            </w:del>
          </w:p>
        </w:tc>
      </w:tr>
      <w:tr w:rsidR="00011D2F" w14:paraId="0A212672" w14:textId="0FD5600F" w:rsidTr="00202B95">
        <w:trPr>
          <w:del w:id="953" w:author="AbbVie_HU_03" w:date="2025-05-14T15:27:00Z"/>
        </w:trPr>
        <w:tc>
          <w:tcPr>
            <w:tcW w:w="2580" w:type="dxa"/>
            <w:vMerge/>
            <w:tcBorders>
              <w:top w:val="single" w:sz="4" w:space="0" w:color="auto"/>
            </w:tcBorders>
          </w:tcPr>
          <w:p w14:paraId="4F1F69CD" w14:textId="634EF7CE" w:rsidR="00FB6710" w:rsidRPr="00183B5F" w:rsidRDefault="00FB6710" w:rsidP="004062FE">
            <w:pPr>
              <w:widowControl w:val="0"/>
              <w:suppressAutoHyphens w:val="0"/>
              <w:spacing w:line="240" w:lineRule="auto"/>
              <w:jc w:val="center"/>
              <w:rPr>
                <w:del w:id="954" w:author="AbbVie_HU_03" w:date="2025-05-14T15:27:00Z"/>
                <w:b/>
              </w:rPr>
            </w:pPr>
          </w:p>
        </w:tc>
        <w:tc>
          <w:tcPr>
            <w:tcW w:w="2030" w:type="dxa"/>
            <w:tcBorders>
              <w:top w:val="single" w:sz="4" w:space="0" w:color="auto"/>
              <w:bottom w:val="single" w:sz="4" w:space="0" w:color="auto"/>
            </w:tcBorders>
          </w:tcPr>
          <w:p w14:paraId="032AB8F7" w14:textId="08992428" w:rsidR="00FB6710" w:rsidRPr="00183B5F" w:rsidRDefault="00943743">
            <w:pPr>
              <w:pStyle w:val="EMEANormal"/>
              <w:widowControl w:val="0"/>
              <w:suppressAutoHyphens w:val="0"/>
              <w:rPr>
                <w:del w:id="955" w:author="AbbVie_HU_03" w:date="2025-05-14T15:27:00Z"/>
                <w:lang w:val="hu-HU"/>
              </w:rPr>
            </w:pPr>
            <w:del w:id="956" w:author="AbbVie_HU_03" w:date="2025-05-14T15:27:00Z">
              <w:r w:rsidRPr="00183B5F">
                <w:rPr>
                  <w:lang w:val="hu-HU"/>
                </w:rPr>
                <w:delText>Nem gyakori</w:delText>
              </w:r>
            </w:del>
          </w:p>
          <w:p w14:paraId="190686E4" w14:textId="760CD07E" w:rsidR="00FB6710" w:rsidRPr="00183B5F" w:rsidRDefault="00FB6710">
            <w:pPr>
              <w:pStyle w:val="EMEANormal"/>
              <w:widowControl w:val="0"/>
              <w:suppressAutoHyphens w:val="0"/>
              <w:rPr>
                <w:del w:id="957" w:author="AbbVie_HU_03" w:date="2025-05-14T15:27:00Z"/>
                <w:lang w:val="hu-HU"/>
              </w:rPr>
            </w:pPr>
          </w:p>
        </w:tc>
        <w:tc>
          <w:tcPr>
            <w:tcW w:w="4451" w:type="dxa"/>
            <w:tcBorders>
              <w:top w:val="single" w:sz="4" w:space="0" w:color="auto"/>
              <w:bottom w:val="single" w:sz="4" w:space="0" w:color="auto"/>
            </w:tcBorders>
          </w:tcPr>
          <w:p w14:paraId="2A71A449" w14:textId="122F5FC6" w:rsidR="00B93B67" w:rsidRPr="00183B5F" w:rsidRDefault="00943743">
            <w:pPr>
              <w:pStyle w:val="EMEANormal"/>
              <w:widowControl w:val="0"/>
              <w:suppressAutoHyphens w:val="0"/>
              <w:rPr>
                <w:del w:id="958" w:author="AbbVie_HU_03" w:date="2025-05-14T15:27:00Z"/>
                <w:lang w:val="hu-HU"/>
              </w:rPr>
            </w:pPr>
            <w:del w:id="959" w:author="AbbVie_HU_03" w:date="2025-05-14T15:27:00Z">
              <w:r w:rsidRPr="00183B5F">
                <w:rPr>
                  <w:lang w:val="hu-HU"/>
                </w:rPr>
                <w:delText>Cerebrovascularis történések</w:delText>
              </w:r>
              <w:r w:rsidR="00714465" w:rsidRPr="00183B5F">
                <w:rPr>
                  <w:vertAlign w:val="superscript"/>
                  <w:lang w:val="hu-HU"/>
                </w:rPr>
                <w:delText>1)</w:delText>
              </w:r>
              <w:r w:rsidRPr="00183B5F">
                <w:rPr>
                  <w:lang w:val="hu-HU"/>
                </w:rPr>
                <w:delText>,</w:delText>
              </w:r>
            </w:del>
          </w:p>
          <w:p w14:paraId="64B84BA0" w14:textId="6798C2CD" w:rsidR="00C12BAE" w:rsidRPr="00183B5F" w:rsidRDefault="00943743">
            <w:pPr>
              <w:pStyle w:val="EMEANormal"/>
              <w:widowControl w:val="0"/>
              <w:suppressAutoHyphens w:val="0"/>
              <w:rPr>
                <w:del w:id="960" w:author="AbbVie_HU_03" w:date="2025-05-14T15:27:00Z"/>
                <w:lang w:val="hu-HU"/>
              </w:rPr>
            </w:pPr>
            <w:del w:id="961" w:author="AbbVie_HU_03" w:date="2025-05-14T15:27:00Z">
              <w:r w:rsidRPr="00183B5F">
                <w:rPr>
                  <w:lang w:val="hu-HU"/>
                </w:rPr>
                <w:delText>tremor,</w:delText>
              </w:r>
            </w:del>
          </w:p>
          <w:p w14:paraId="0D3A216E" w14:textId="50CE27B0" w:rsidR="00FB6710" w:rsidRPr="00183B5F" w:rsidRDefault="00943743">
            <w:pPr>
              <w:pStyle w:val="EMEANormal"/>
              <w:widowControl w:val="0"/>
              <w:suppressAutoHyphens w:val="0"/>
              <w:rPr>
                <w:del w:id="962" w:author="AbbVie_HU_03" w:date="2025-05-14T15:27:00Z"/>
                <w:lang w:val="hu-HU"/>
              </w:rPr>
            </w:pPr>
            <w:del w:id="963" w:author="AbbVie_HU_03" w:date="2025-05-14T15:27:00Z">
              <w:r w:rsidRPr="00183B5F">
                <w:rPr>
                  <w:lang w:val="hu-HU"/>
                </w:rPr>
                <w:delText>neuropathia</w:delText>
              </w:r>
            </w:del>
          </w:p>
        </w:tc>
      </w:tr>
      <w:tr w:rsidR="00011D2F" w14:paraId="7CDF52F9" w14:textId="1B6C1744" w:rsidTr="00202B95">
        <w:trPr>
          <w:del w:id="964" w:author="AbbVie_HU_03" w:date="2025-05-14T15:27:00Z"/>
        </w:trPr>
        <w:tc>
          <w:tcPr>
            <w:tcW w:w="2580" w:type="dxa"/>
            <w:vMerge/>
            <w:tcBorders>
              <w:bottom w:val="single" w:sz="4" w:space="0" w:color="auto"/>
            </w:tcBorders>
          </w:tcPr>
          <w:p w14:paraId="34CCA0B5" w14:textId="07D2E01E" w:rsidR="00FB6710" w:rsidRPr="00183B5F" w:rsidRDefault="00FB6710" w:rsidP="004062FE">
            <w:pPr>
              <w:widowControl w:val="0"/>
              <w:suppressAutoHyphens w:val="0"/>
              <w:spacing w:line="240" w:lineRule="auto"/>
              <w:jc w:val="center"/>
              <w:rPr>
                <w:del w:id="965" w:author="AbbVie_HU_03" w:date="2025-05-14T15:27:00Z"/>
                <w:b/>
              </w:rPr>
            </w:pPr>
          </w:p>
        </w:tc>
        <w:tc>
          <w:tcPr>
            <w:tcW w:w="2030" w:type="dxa"/>
            <w:tcBorders>
              <w:top w:val="single" w:sz="4" w:space="0" w:color="auto"/>
              <w:bottom w:val="single" w:sz="4" w:space="0" w:color="auto"/>
            </w:tcBorders>
          </w:tcPr>
          <w:p w14:paraId="293E098F" w14:textId="7050EEB6" w:rsidR="00FB6710" w:rsidRPr="00183B5F" w:rsidRDefault="00943743">
            <w:pPr>
              <w:pStyle w:val="EMEANormal"/>
              <w:widowControl w:val="0"/>
              <w:suppressAutoHyphens w:val="0"/>
              <w:rPr>
                <w:del w:id="966" w:author="AbbVie_HU_03" w:date="2025-05-14T15:27:00Z"/>
                <w:lang w:val="hu-HU"/>
              </w:rPr>
            </w:pPr>
            <w:del w:id="967" w:author="AbbVie_HU_03" w:date="2025-05-14T15:27:00Z">
              <w:r w:rsidRPr="00183B5F">
                <w:rPr>
                  <w:lang w:val="hu-HU"/>
                </w:rPr>
                <w:delText>Ritka</w:delText>
              </w:r>
            </w:del>
          </w:p>
          <w:p w14:paraId="4C018991" w14:textId="6BE2A5EA" w:rsidR="00FB6710" w:rsidRPr="00183B5F" w:rsidRDefault="00FB6710">
            <w:pPr>
              <w:pStyle w:val="EMEANormal"/>
              <w:widowControl w:val="0"/>
              <w:suppressAutoHyphens w:val="0"/>
              <w:rPr>
                <w:del w:id="968" w:author="AbbVie_HU_03" w:date="2025-05-14T15:27:00Z"/>
                <w:lang w:val="hu-HU"/>
              </w:rPr>
            </w:pPr>
          </w:p>
        </w:tc>
        <w:tc>
          <w:tcPr>
            <w:tcW w:w="4451" w:type="dxa"/>
            <w:tcBorders>
              <w:top w:val="single" w:sz="4" w:space="0" w:color="auto"/>
              <w:bottom w:val="single" w:sz="4" w:space="0" w:color="auto"/>
            </w:tcBorders>
          </w:tcPr>
          <w:p w14:paraId="7207589D" w14:textId="4A322C85" w:rsidR="00FB6710" w:rsidRPr="00183B5F" w:rsidRDefault="00943743">
            <w:pPr>
              <w:pStyle w:val="EMEANormal"/>
              <w:widowControl w:val="0"/>
              <w:suppressAutoHyphens w:val="0"/>
              <w:rPr>
                <w:del w:id="969" w:author="AbbVie_HU_03" w:date="2025-05-14T15:27:00Z"/>
                <w:lang w:val="hu-HU"/>
              </w:rPr>
            </w:pPr>
            <w:del w:id="970" w:author="AbbVie_HU_03" w:date="2025-05-14T15:27:00Z">
              <w:r w:rsidRPr="00183B5F">
                <w:rPr>
                  <w:lang w:val="hu-HU"/>
                </w:rPr>
                <w:delText>Sclerosis multiplex</w:delText>
              </w:r>
              <w:r w:rsidR="00B93B67" w:rsidRPr="00183B5F">
                <w:rPr>
                  <w:lang w:val="hu-HU"/>
                </w:rPr>
                <w:delText>,</w:delText>
              </w:r>
            </w:del>
          </w:p>
          <w:p w14:paraId="1EDF702E" w14:textId="56587ACE" w:rsidR="00B93B67" w:rsidRPr="00183B5F" w:rsidRDefault="00943743">
            <w:pPr>
              <w:pStyle w:val="EMEANormal"/>
              <w:widowControl w:val="0"/>
              <w:suppressAutoHyphens w:val="0"/>
              <w:rPr>
                <w:del w:id="971" w:author="AbbVie_HU_03" w:date="2025-05-14T15:27:00Z"/>
                <w:lang w:val="hu-HU"/>
              </w:rPr>
            </w:pPr>
            <w:del w:id="972" w:author="AbbVie_HU_03" w:date="2025-05-14T15:27:00Z">
              <w:r w:rsidRPr="00183B5F">
                <w:rPr>
                  <w:lang w:val="hu-HU"/>
                </w:rPr>
                <w:delText>demyelinisatiós betegségek (pl. neuritis nervi optici, Guilla</w:delText>
              </w:r>
              <w:r w:rsidR="00510DAE" w:rsidRPr="00183B5F">
                <w:rPr>
                  <w:lang w:val="hu-HU"/>
                </w:rPr>
                <w:delText>i</w:delText>
              </w:r>
              <w:r w:rsidRPr="00183B5F">
                <w:rPr>
                  <w:lang w:val="hu-HU"/>
                </w:rPr>
                <w:delText>n</w:delText>
              </w:r>
              <w:r w:rsidR="00F12F0A" w:rsidRPr="00183B5F">
                <w:rPr>
                  <w:lang w:val="hu-HU"/>
                </w:rPr>
                <w:delText>–</w:delText>
              </w:r>
              <w:r w:rsidRPr="00183B5F">
                <w:rPr>
                  <w:lang w:val="hu-HU"/>
                </w:rPr>
                <w:delText>Barré-szindróma)</w:delText>
              </w:r>
              <w:r w:rsidRPr="00183B5F">
                <w:rPr>
                  <w:vertAlign w:val="superscript"/>
                  <w:lang w:val="hu-HU"/>
                </w:rPr>
                <w:delText>1)</w:delText>
              </w:r>
            </w:del>
          </w:p>
        </w:tc>
      </w:tr>
      <w:tr w:rsidR="00011D2F" w14:paraId="6E7D4DAD" w14:textId="6820AE5B" w:rsidTr="00202B95">
        <w:trPr>
          <w:del w:id="973" w:author="AbbVie_HU_03" w:date="2025-05-14T15:27:00Z"/>
        </w:trPr>
        <w:tc>
          <w:tcPr>
            <w:tcW w:w="2580" w:type="dxa"/>
            <w:vMerge w:val="restart"/>
            <w:tcBorders>
              <w:bottom w:val="single" w:sz="4" w:space="0" w:color="auto"/>
            </w:tcBorders>
          </w:tcPr>
          <w:p w14:paraId="1E7F187D" w14:textId="57D32556" w:rsidR="00FB6710" w:rsidRPr="00183B5F" w:rsidRDefault="00943743" w:rsidP="004062FE">
            <w:pPr>
              <w:pStyle w:val="EMEANormal"/>
              <w:widowControl w:val="0"/>
              <w:suppressAutoHyphens w:val="0"/>
              <w:rPr>
                <w:del w:id="974" w:author="AbbVie_HU_03" w:date="2025-05-14T15:27:00Z"/>
                <w:lang w:val="hu-HU"/>
              </w:rPr>
            </w:pPr>
            <w:del w:id="975" w:author="AbbVie_HU_03" w:date="2025-05-14T15:27:00Z">
              <w:r w:rsidRPr="00183B5F">
                <w:rPr>
                  <w:lang w:val="hu-HU"/>
                </w:rPr>
                <w:delText>Szembetegségek és szemészeti tünetek</w:delText>
              </w:r>
            </w:del>
          </w:p>
        </w:tc>
        <w:tc>
          <w:tcPr>
            <w:tcW w:w="2030" w:type="dxa"/>
            <w:tcBorders>
              <w:bottom w:val="single" w:sz="4" w:space="0" w:color="auto"/>
            </w:tcBorders>
          </w:tcPr>
          <w:p w14:paraId="0CDB3AF8" w14:textId="3981F6EE" w:rsidR="00FB6710" w:rsidRPr="00183B5F" w:rsidRDefault="00943743" w:rsidP="004062FE">
            <w:pPr>
              <w:pStyle w:val="EMEANormal"/>
              <w:widowControl w:val="0"/>
              <w:suppressAutoHyphens w:val="0"/>
              <w:rPr>
                <w:del w:id="976" w:author="AbbVie_HU_03" w:date="2025-05-14T15:27:00Z"/>
                <w:lang w:val="hu-HU"/>
              </w:rPr>
            </w:pPr>
            <w:del w:id="977" w:author="AbbVie_HU_03" w:date="2025-05-14T15:27:00Z">
              <w:r w:rsidRPr="00183B5F">
                <w:rPr>
                  <w:lang w:val="hu-HU"/>
                </w:rPr>
                <w:delText>Gyakori</w:delText>
              </w:r>
            </w:del>
          </w:p>
          <w:p w14:paraId="5172017A" w14:textId="49EACB72" w:rsidR="00FB6710" w:rsidRPr="00183B5F" w:rsidRDefault="00FB6710" w:rsidP="004062FE">
            <w:pPr>
              <w:pStyle w:val="EMEANormal"/>
              <w:widowControl w:val="0"/>
              <w:suppressAutoHyphens w:val="0"/>
              <w:rPr>
                <w:del w:id="978" w:author="AbbVie_HU_03" w:date="2025-05-14T15:27:00Z"/>
                <w:lang w:val="hu-HU"/>
              </w:rPr>
            </w:pPr>
          </w:p>
        </w:tc>
        <w:tc>
          <w:tcPr>
            <w:tcW w:w="4451" w:type="dxa"/>
            <w:tcBorders>
              <w:bottom w:val="single" w:sz="4" w:space="0" w:color="auto"/>
            </w:tcBorders>
          </w:tcPr>
          <w:p w14:paraId="1DAF86CE" w14:textId="3EE1EBAE" w:rsidR="00FB6710" w:rsidRPr="00183B5F" w:rsidRDefault="00943743" w:rsidP="004062FE">
            <w:pPr>
              <w:pStyle w:val="EMEANormal"/>
              <w:widowControl w:val="0"/>
              <w:suppressAutoHyphens w:val="0"/>
              <w:rPr>
                <w:del w:id="979" w:author="AbbVie_HU_03" w:date="2025-05-14T15:27:00Z"/>
                <w:lang w:val="hu-HU"/>
              </w:rPr>
            </w:pPr>
            <w:del w:id="980" w:author="AbbVie_HU_03" w:date="2025-05-14T15:27:00Z">
              <w:r w:rsidRPr="00183B5F">
                <w:rPr>
                  <w:lang w:val="hu-HU"/>
                </w:rPr>
                <w:delText>Látásromlás,</w:delText>
              </w:r>
            </w:del>
          </w:p>
          <w:p w14:paraId="71D34C5F" w14:textId="3CA37305" w:rsidR="00FB6710" w:rsidRPr="00183B5F" w:rsidRDefault="00943743" w:rsidP="004062FE">
            <w:pPr>
              <w:pStyle w:val="EMEANormal"/>
              <w:widowControl w:val="0"/>
              <w:suppressAutoHyphens w:val="0"/>
              <w:rPr>
                <w:del w:id="981" w:author="AbbVie_HU_03" w:date="2025-05-14T15:27:00Z"/>
                <w:lang w:val="hu-HU"/>
              </w:rPr>
            </w:pPr>
            <w:del w:id="982" w:author="AbbVie_HU_03" w:date="2025-05-14T15:27:00Z">
              <w:r w:rsidRPr="00183B5F">
                <w:rPr>
                  <w:lang w:val="hu-HU"/>
                </w:rPr>
                <w:delText>conjunctivitis,</w:delText>
              </w:r>
            </w:del>
          </w:p>
          <w:p w14:paraId="5225D9E9" w14:textId="05EF8267" w:rsidR="00453EE5" w:rsidRPr="00183B5F" w:rsidRDefault="00943743">
            <w:pPr>
              <w:pStyle w:val="EMEANormal"/>
              <w:widowControl w:val="0"/>
              <w:suppressAutoHyphens w:val="0"/>
              <w:rPr>
                <w:del w:id="983" w:author="AbbVie_HU_03" w:date="2025-05-14T15:27:00Z"/>
                <w:lang w:val="hu-HU"/>
              </w:rPr>
            </w:pPr>
            <w:del w:id="984" w:author="AbbVie_HU_03" w:date="2025-05-14T15:27:00Z">
              <w:r w:rsidRPr="00183B5F">
                <w:rPr>
                  <w:lang w:val="hu-HU"/>
                </w:rPr>
                <w:delText>blepharitis,</w:delText>
              </w:r>
            </w:del>
          </w:p>
          <w:p w14:paraId="1125B429" w14:textId="289E9E03" w:rsidR="00FB6710" w:rsidRPr="00183B5F" w:rsidRDefault="00943743" w:rsidP="004062FE">
            <w:pPr>
              <w:pStyle w:val="EMEANormal"/>
              <w:widowControl w:val="0"/>
              <w:suppressAutoHyphens w:val="0"/>
              <w:rPr>
                <w:del w:id="985" w:author="AbbVie_HU_03" w:date="2025-05-14T15:27:00Z"/>
                <w:lang w:val="hu-HU"/>
              </w:rPr>
            </w:pPr>
            <w:del w:id="986" w:author="AbbVie_HU_03" w:date="2025-05-14T15:27:00Z">
              <w:r w:rsidRPr="00183B5F">
                <w:rPr>
                  <w:lang w:val="hu-HU"/>
                </w:rPr>
                <w:delText>szem</w:delText>
              </w:r>
              <w:r w:rsidR="001D644D" w:rsidRPr="00183B5F">
                <w:rPr>
                  <w:lang w:val="hu-HU"/>
                </w:rPr>
                <w:delText>környéki duzzanat</w:delText>
              </w:r>
            </w:del>
          </w:p>
        </w:tc>
      </w:tr>
      <w:tr w:rsidR="00011D2F" w14:paraId="44A59163" w14:textId="321A1811" w:rsidTr="00202B95">
        <w:trPr>
          <w:del w:id="987" w:author="AbbVie_HU_03" w:date="2025-05-14T15:27:00Z"/>
        </w:trPr>
        <w:tc>
          <w:tcPr>
            <w:tcW w:w="2580" w:type="dxa"/>
            <w:vMerge/>
            <w:tcBorders>
              <w:top w:val="single" w:sz="4" w:space="0" w:color="auto"/>
            </w:tcBorders>
          </w:tcPr>
          <w:p w14:paraId="5819DC4F" w14:textId="48CDCE05" w:rsidR="00FB6710" w:rsidRPr="00183B5F" w:rsidRDefault="00FB6710" w:rsidP="004062FE">
            <w:pPr>
              <w:widowControl w:val="0"/>
              <w:suppressAutoHyphens w:val="0"/>
              <w:spacing w:line="240" w:lineRule="auto"/>
              <w:jc w:val="center"/>
              <w:rPr>
                <w:del w:id="988" w:author="AbbVie_HU_03" w:date="2025-05-14T15:27:00Z"/>
                <w:b/>
              </w:rPr>
            </w:pPr>
          </w:p>
        </w:tc>
        <w:tc>
          <w:tcPr>
            <w:tcW w:w="2030" w:type="dxa"/>
            <w:tcBorders>
              <w:top w:val="single" w:sz="4" w:space="0" w:color="auto"/>
            </w:tcBorders>
          </w:tcPr>
          <w:p w14:paraId="7325A347" w14:textId="43958DE1" w:rsidR="00FB6710" w:rsidRPr="00183B5F" w:rsidRDefault="00943743">
            <w:pPr>
              <w:pStyle w:val="EMEANormal"/>
              <w:widowControl w:val="0"/>
              <w:suppressAutoHyphens w:val="0"/>
              <w:rPr>
                <w:del w:id="989" w:author="AbbVie_HU_03" w:date="2025-05-14T15:27:00Z"/>
                <w:lang w:val="hu-HU"/>
              </w:rPr>
            </w:pPr>
            <w:del w:id="990" w:author="AbbVie_HU_03" w:date="2025-05-14T15:27:00Z">
              <w:r w:rsidRPr="00183B5F">
                <w:rPr>
                  <w:lang w:val="hu-HU"/>
                </w:rPr>
                <w:delText>Nem gyakori</w:delText>
              </w:r>
            </w:del>
          </w:p>
        </w:tc>
        <w:tc>
          <w:tcPr>
            <w:tcW w:w="4451" w:type="dxa"/>
            <w:tcBorders>
              <w:top w:val="single" w:sz="4" w:space="0" w:color="auto"/>
            </w:tcBorders>
          </w:tcPr>
          <w:p w14:paraId="05F5E02B" w14:textId="126E720D" w:rsidR="00FB6710" w:rsidRPr="00183B5F" w:rsidRDefault="00943743">
            <w:pPr>
              <w:pStyle w:val="EMEANormal"/>
              <w:widowControl w:val="0"/>
              <w:suppressAutoHyphens w:val="0"/>
              <w:rPr>
                <w:del w:id="991" w:author="AbbVie_HU_03" w:date="2025-05-14T15:27:00Z"/>
                <w:lang w:val="hu-HU"/>
              </w:rPr>
            </w:pPr>
            <w:del w:id="992" w:author="AbbVie_HU_03" w:date="2025-05-14T15:27:00Z">
              <w:r w:rsidRPr="00183B5F">
                <w:rPr>
                  <w:lang w:val="hu-HU"/>
                </w:rPr>
                <w:delText>Diplopia</w:delText>
              </w:r>
            </w:del>
          </w:p>
        </w:tc>
      </w:tr>
      <w:tr w:rsidR="00011D2F" w14:paraId="0AACFFA0" w14:textId="0F012B85" w:rsidTr="00202B95">
        <w:trPr>
          <w:del w:id="993" w:author="AbbVie_HU_03" w:date="2025-05-14T15:27:00Z"/>
        </w:trPr>
        <w:tc>
          <w:tcPr>
            <w:tcW w:w="2580" w:type="dxa"/>
            <w:vMerge w:val="restart"/>
          </w:tcPr>
          <w:p w14:paraId="1EC74C8C" w14:textId="3A2F5A70" w:rsidR="00FB6710" w:rsidRPr="00183B5F" w:rsidRDefault="00943743" w:rsidP="004062FE">
            <w:pPr>
              <w:pStyle w:val="EMEANormal"/>
              <w:widowControl w:val="0"/>
              <w:suppressAutoHyphens w:val="0"/>
              <w:rPr>
                <w:del w:id="994" w:author="AbbVie_HU_03" w:date="2025-05-14T15:27:00Z"/>
                <w:szCs w:val="22"/>
                <w:lang w:val="hu-HU"/>
              </w:rPr>
            </w:pPr>
            <w:del w:id="995" w:author="AbbVie_HU_03" w:date="2025-05-14T15:27:00Z">
              <w:r w:rsidRPr="00183B5F">
                <w:rPr>
                  <w:szCs w:val="22"/>
                  <w:lang w:val="hu-HU"/>
                </w:rPr>
                <w:delText xml:space="preserve">A fül és az egyensúly-érzékelő szerv betegségei és tünetei </w:delText>
              </w:r>
            </w:del>
          </w:p>
        </w:tc>
        <w:tc>
          <w:tcPr>
            <w:tcW w:w="2030" w:type="dxa"/>
            <w:tcBorders>
              <w:bottom w:val="nil"/>
            </w:tcBorders>
          </w:tcPr>
          <w:p w14:paraId="5ED05892" w14:textId="23F86315" w:rsidR="00FB6710" w:rsidRPr="00183B5F" w:rsidRDefault="00943743" w:rsidP="004062FE">
            <w:pPr>
              <w:pStyle w:val="EMEANormal"/>
              <w:widowControl w:val="0"/>
              <w:suppressAutoHyphens w:val="0"/>
              <w:rPr>
                <w:del w:id="996" w:author="AbbVie_HU_03" w:date="2025-05-14T15:27:00Z"/>
                <w:lang w:val="hu-HU"/>
              </w:rPr>
            </w:pPr>
            <w:del w:id="997" w:author="AbbVie_HU_03" w:date="2025-05-14T15:27:00Z">
              <w:r w:rsidRPr="00183B5F">
                <w:rPr>
                  <w:lang w:val="hu-HU"/>
                </w:rPr>
                <w:delText>Gyakori</w:delText>
              </w:r>
            </w:del>
          </w:p>
        </w:tc>
        <w:tc>
          <w:tcPr>
            <w:tcW w:w="4451" w:type="dxa"/>
            <w:tcBorders>
              <w:bottom w:val="nil"/>
            </w:tcBorders>
          </w:tcPr>
          <w:p w14:paraId="79E2BE57" w14:textId="4789DD72" w:rsidR="00FB6710" w:rsidRPr="00183B5F" w:rsidRDefault="00943743" w:rsidP="004062FE">
            <w:pPr>
              <w:pStyle w:val="EMEANormal"/>
              <w:widowControl w:val="0"/>
              <w:suppressAutoHyphens w:val="0"/>
              <w:rPr>
                <w:del w:id="998" w:author="AbbVie_HU_03" w:date="2025-05-14T15:27:00Z"/>
                <w:lang w:val="hu-HU"/>
              </w:rPr>
            </w:pPr>
            <w:del w:id="999" w:author="AbbVie_HU_03" w:date="2025-05-14T15:27:00Z">
              <w:r w:rsidRPr="00183B5F">
                <w:rPr>
                  <w:lang w:val="hu-HU"/>
                </w:rPr>
                <w:delText>Vertigo</w:delText>
              </w:r>
            </w:del>
          </w:p>
        </w:tc>
      </w:tr>
      <w:tr w:rsidR="00011D2F" w14:paraId="6D00E500" w14:textId="7FB29B97" w:rsidTr="00202B95">
        <w:trPr>
          <w:del w:id="1000" w:author="AbbVie_HU_03" w:date="2025-05-14T15:27:00Z"/>
        </w:trPr>
        <w:tc>
          <w:tcPr>
            <w:tcW w:w="2580" w:type="dxa"/>
            <w:vMerge/>
          </w:tcPr>
          <w:p w14:paraId="29D765E2" w14:textId="3AEF3D45" w:rsidR="00FB6710" w:rsidRPr="00183B5F" w:rsidRDefault="00FB6710" w:rsidP="004062FE">
            <w:pPr>
              <w:widowControl w:val="0"/>
              <w:suppressAutoHyphens w:val="0"/>
              <w:spacing w:line="240" w:lineRule="auto"/>
              <w:jc w:val="center"/>
              <w:rPr>
                <w:del w:id="1001" w:author="AbbVie_HU_03" w:date="2025-05-14T15:27:00Z"/>
                <w:b/>
              </w:rPr>
            </w:pPr>
          </w:p>
        </w:tc>
        <w:tc>
          <w:tcPr>
            <w:tcW w:w="2030" w:type="dxa"/>
            <w:tcBorders>
              <w:top w:val="nil"/>
              <w:bottom w:val="single" w:sz="4" w:space="0" w:color="auto"/>
            </w:tcBorders>
          </w:tcPr>
          <w:p w14:paraId="476C50E3" w14:textId="4E0BDA66" w:rsidR="00FB6710" w:rsidRPr="00183B5F" w:rsidRDefault="00943743">
            <w:pPr>
              <w:pStyle w:val="EMEANormal"/>
              <w:widowControl w:val="0"/>
              <w:suppressAutoHyphens w:val="0"/>
              <w:rPr>
                <w:del w:id="1002" w:author="AbbVie_HU_03" w:date="2025-05-14T15:27:00Z"/>
                <w:lang w:val="hu-HU"/>
              </w:rPr>
            </w:pPr>
            <w:del w:id="1003" w:author="AbbVie_HU_03" w:date="2025-05-14T15:27:00Z">
              <w:r w:rsidRPr="00183B5F">
                <w:rPr>
                  <w:lang w:val="hu-HU"/>
                </w:rPr>
                <w:delText>Nem gyakori</w:delText>
              </w:r>
            </w:del>
          </w:p>
          <w:p w14:paraId="216800BD" w14:textId="37C65E09" w:rsidR="00FB6710" w:rsidRPr="00183B5F" w:rsidRDefault="00FB6710">
            <w:pPr>
              <w:pStyle w:val="EMEANormal"/>
              <w:widowControl w:val="0"/>
              <w:suppressAutoHyphens w:val="0"/>
              <w:rPr>
                <w:del w:id="1004" w:author="AbbVie_HU_03" w:date="2025-05-14T15:27:00Z"/>
                <w:lang w:val="hu-HU"/>
              </w:rPr>
            </w:pPr>
          </w:p>
        </w:tc>
        <w:tc>
          <w:tcPr>
            <w:tcW w:w="4451" w:type="dxa"/>
            <w:tcBorders>
              <w:top w:val="nil"/>
              <w:bottom w:val="single" w:sz="4" w:space="0" w:color="auto"/>
            </w:tcBorders>
          </w:tcPr>
          <w:p w14:paraId="2DF11832" w14:textId="6AA3BC55" w:rsidR="00FB6710" w:rsidRPr="00183B5F" w:rsidRDefault="00943743">
            <w:pPr>
              <w:pStyle w:val="EMEANormal"/>
              <w:widowControl w:val="0"/>
              <w:suppressAutoHyphens w:val="0"/>
              <w:rPr>
                <w:del w:id="1005" w:author="AbbVie_HU_03" w:date="2025-05-14T15:27:00Z"/>
                <w:lang w:val="hu-HU"/>
              </w:rPr>
            </w:pPr>
            <w:del w:id="1006" w:author="AbbVie_HU_03" w:date="2025-05-14T15:27:00Z">
              <w:r w:rsidRPr="00183B5F">
                <w:rPr>
                  <w:lang w:val="hu-HU"/>
                </w:rPr>
                <w:delText xml:space="preserve">Süketség, </w:delText>
              </w:r>
            </w:del>
          </w:p>
          <w:p w14:paraId="1539FF39" w14:textId="252E63AD" w:rsidR="00FB6710" w:rsidRPr="00183B5F" w:rsidRDefault="00943743">
            <w:pPr>
              <w:pStyle w:val="EMEANormal"/>
              <w:widowControl w:val="0"/>
              <w:suppressAutoHyphens w:val="0"/>
              <w:rPr>
                <w:del w:id="1007" w:author="AbbVie_HU_03" w:date="2025-05-14T15:27:00Z"/>
                <w:lang w:val="hu-HU"/>
              </w:rPr>
            </w:pPr>
            <w:del w:id="1008" w:author="AbbVie_HU_03" w:date="2025-05-14T15:27:00Z">
              <w:r w:rsidRPr="00183B5F">
                <w:rPr>
                  <w:lang w:val="hu-HU"/>
                </w:rPr>
                <w:delText>tinnitus</w:delText>
              </w:r>
            </w:del>
          </w:p>
        </w:tc>
      </w:tr>
      <w:tr w:rsidR="00011D2F" w14:paraId="5E5760C7" w14:textId="1591D923" w:rsidTr="00202B95">
        <w:trPr>
          <w:del w:id="1009" w:author="AbbVie_HU_03" w:date="2025-05-14T15:27:00Z"/>
        </w:trPr>
        <w:tc>
          <w:tcPr>
            <w:tcW w:w="2580" w:type="dxa"/>
            <w:vMerge w:val="restart"/>
          </w:tcPr>
          <w:p w14:paraId="565E3326" w14:textId="066037E3" w:rsidR="00FB6710" w:rsidRPr="00183B5F" w:rsidRDefault="00943743" w:rsidP="004062FE">
            <w:pPr>
              <w:pStyle w:val="EMEANormal"/>
              <w:widowControl w:val="0"/>
              <w:suppressAutoHyphens w:val="0"/>
              <w:rPr>
                <w:del w:id="1010" w:author="AbbVie_HU_03" w:date="2025-05-14T15:27:00Z"/>
                <w:szCs w:val="22"/>
                <w:lang w:val="hu-HU"/>
              </w:rPr>
            </w:pPr>
            <w:del w:id="1011" w:author="AbbVie_HU_03" w:date="2025-05-14T15:27:00Z">
              <w:r w:rsidRPr="00183B5F">
                <w:rPr>
                  <w:szCs w:val="22"/>
                  <w:lang w:val="hu-HU"/>
                </w:rPr>
                <w:delText xml:space="preserve">Szívbetegségek és a szívvel kapcsolatos tünetek* </w:delText>
              </w:r>
            </w:del>
          </w:p>
        </w:tc>
        <w:tc>
          <w:tcPr>
            <w:tcW w:w="2030" w:type="dxa"/>
            <w:tcBorders>
              <w:bottom w:val="single" w:sz="4" w:space="0" w:color="auto"/>
            </w:tcBorders>
          </w:tcPr>
          <w:p w14:paraId="76DD2646" w14:textId="7FFAB35F" w:rsidR="00FB6710" w:rsidRPr="00183B5F" w:rsidRDefault="00943743" w:rsidP="004062FE">
            <w:pPr>
              <w:pStyle w:val="EMEANormal"/>
              <w:widowControl w:val="0"/>
              <w:suppressAutoHyphens w:val="0"/>
              <w:rPr>
                <w:del w:id="1012" w:author="AbbVie_HU_03" w:date="2025-05-14T15:27:00Z"/>
                <w:lang w:val="hu-HU"/>
              </w:rPr>
            </w:pPr>
            <w:del w:id="1013" w:author="AbbVie_HU_03" w:date="2025-05-14T15:27:00Z">
              <w:r w:rsidRPr="00183B5F">
                <w:rPr>
                  <w:lang w:val="hu-HU"/>
                </w:rPr>
                <w:delText>Gyakori</w:delText>
              </w:r>
            </w:del>
          </w:p>
        </w:tc>
        <w:tc>
          <w:tcPr>
            <w:tcW w:w="4451" w:type="dxa"/>
            <w:tcBorders>
              <w:bottom w:val="single" w:sz="4" w:space="0" w:color="auto"/>
            </w:tcBorders>
          </w:tcPr>
          <w:p w14:paraId="1D1233BB" w14:textId="203E6ABF" w:rsidR="00FB6710" w:rsidRPr="00183B5F" w:rsidRDefault="00943743" w:rsidP="004062FE">
            <w:pPr>
              <w:pStyle w:val="EMEANormal"/>
              <w:widowControl w:val="0"/>
              <w:suppressAutoHyphens w:val="0"/>
              <w:rPr>
                <w:del w:id="1014" w:author="AbbVie_HU_03" w:date="2025-05-14T15:27:00Z"/>
                <w:lang w:val="hu-HU"/>
              </w:rPr>
            </w:pPr>
            <w:del w:id="1015" w:author="AbbVie_HU_03" w:date="2025-05-14T15:27:00Z">
              <w:r w:rsidRPr="00183B5F">
                <w:rPr>
                  <w:lang w:val="hu-HU"/>
                </w:rPr>
                <w:delText>Tachycardia</w:delText>
              </w:r>
            </w:del>
          </w:p>
        </w:tc>
      </w:tr>
      <w:tr w:rsidR="00011D2F" w14:paraId="223315B1" w14:textId="5E48F0E0" w:rsidTr="00202B95">
        <w:trPr>
          <w:del w:id="1016" w:author="AbbVie_HU_03" w:date="2025-05-14T15:27:00Z"/>
        </w:trPr>
        <w:tc>
          <w:tcPr>
            <w:tcW w:w="2580" w:type="dxa"/>
            <w:vMerge/>
          </w:tcPr>
          <w:p w14:paraId="592895F2" w14:textId="1743CC97" w:rsidR="00FB6710" w:rsidRPr="00183B5F" w:rsidRDefault="00FB6710" w:rsidP="004062FE">
            <w:pPr>
              <w:pStyle w:val="EMEANormal"/>
              <w:widowControl w:val="0"/>
              <w:suppressAutoHyphens w:val="0"/>
              <w:rPr>
                <w:del w:id="1017" w:author="AbbVie_HU_03" w:date="2025-05-14T15:27:00Z"/>
                <w:lang w:val="hu-HU"/>
              </w:rPr>
            </w:pPr>
          </w:p>
        </w:tc>
        <w:tc>
          <w:tcPr>
            <w:tcW w:w="2030" w:type="dxa"/>
            <w:tcBorders>
              <w:top w:val="single" w:sz="4" w:space="0" w:color="auto"/>
              <w:bottom w:val="single" w:sz="4" w:space="0" w:color="auto"/>
            </w:tcBorders>
          </w:tcPr>
          <w:p w14:paraId="050D5516" w14:textId="3A77E77A" w:rsidR="00FB6710" w:rsidRPr="00183B5F" w:rsidRDefault="00943743" w:rsidP="004062FE">
            <w:pPr>
              <w:pStyle w:val="EMEANormal"/>
              <w:widowControl w:val="0"/>
              <w:suppressAutoHyphens w:val="0"/>
              <w:rPr>
                <w:del w:id="1018" w:author="AbbVie_HU_03" w:date="2025-05-14T15:27:00Z"/>
                <w:lang w:val="hu-HU"/>
              </w:rPr>
            </w:pPr>
            <w:del w:id="1019" w:author="AbbVie_HU_03" w:date="2025-05-14T15:27:00Z">
              <w:r w:rsidRPr="00183B5F">
                <w:rPr>
                  <w:lang w:val="hu-HU"/>
                </w:rPr>
                <w:delText>Nem gyakori</w:delText>
              </w:r>
            </w:del>
          </w:p>
          <w:p w14:paraId="6B85DD3E" w14:textId="24F7F629" w:rsidR="00FB6710" w:rsidRPr="00183B5F" w:rsidRDefault="00FB6710" w:rsidP="004062FE">
            <w:pPr>
              <w:pStyle w:val="EMEANormal"/>
              <w:widowControl w:val="0"/>
              <w:suppressAutoHyphens w:val="0"/>
              <w:rPr>
                <w:del w:id="1020" w:author="AbbVie_HU_03" w:date="2025-05-14T15:27:00Z"/>
                <w:lang w:val="hu-HU"/>
              </w:rPr>
            </w:pPr>
          </w:p>
        </w:tc>
        <w:tc>
          <w:tcPr>
            <w:tcW w:w="4451" w:type="dxa"/>
            <w:tcBorders>
              <w:top w:val="single" w:sz="4" w:space="0" w:color="auto"/>
              <w:bottom w:val="single" w:sz="4" w:space="0" w:color="auto"/>
            </w:tcBorders>
          </w:tcPr>
          <w:p w14:paraId="098592D5" w14:textId="3B2831D5" w:rsidR="00230035" w:rsidRPr="00183B5F" w:rsidRDefault="00943743" w:rsidP="004062FE">
            <w:pPr>
              <w:pStyle w:val="EMEANormal"/>
              <w:widowControl w:val="0"/>
              <w:suppressAutoHyphens w:val="0"/>
              <w:rPr>
                <w:del w:id="1021" w:author="AbbVie_HU_03" w:date="2025-05-14T15:27:00Z"/>
                <w:lang w:val="hu-HU"/>
              </w:rPr>
            </w:pPr>
            <w:del w:id="1022" w:author="AbbVie_HU_03" w:date="2025-05-14T15:27:00Z">
              <w:r w:rsidRPr="00183B5F">
                <w:rPr>
                  <w:lang w:val="hu-HU"/>
                </w:rPr>
                <w:delText>Myocardialis infar</w:delText>
              </w:r>
              <w:r w:rsidR="002B089B" w:rsidRPr="00183B5F">
                <w:rPr>
                  <w:lang w:val="hu-HU"/>
                </w:rPr>
                <w:delText>c</w:delText>
              </w:r>
              <w:r w:rsidRPr="00183B5F">
                <w:rPr>
                  <w:lang w:val="hu-HU"/>
                </w:rPr>
                <w:delText>tus</w:delText>
              </w:r>
              <w:r w:rsidR="00714465" w:rsidRPr="00183B5F">
                <w:rPr>
                  <w:vertAlign w:val="superscript"/>
                  <w:lang w:val="hu-HU"/>
                </w:rPr>
                <w:delText>1)</w:delText>
              </w:r>
              <w:r w:rsidRPr="00183B5F">
                <w:rPr>
                  <w:lang w:val="hu-HU"/>
                </w:rPr>
                <w:delText>,</w:delText>
              </w:r>
            </w:del>
          </w:p>
          <w:p w14:paraId="645E99DE" w14:textId="4BFF0F47" w:rsidR="00FB6710" w:rsidRPr="00183B5F" w:rsidRDefault="00943743" w:rsidP="004062FE">
            <w:pPr>
              <w:pStyle w:val="EMEANormal"/>
              <w:widowControl w:val="0"/>
              <w:suppressAutoHyphens w:val="0"/>
              <w:rPr>
                <w:del w:id="1023" w:author="AbbVie_HU_03" w:date="2025-05-14T15:27:00Z"/>
                <w:lang w:val="hu-HU"/>
              </w:rPr>
            </w:pPr>
            <w:del w:id="1024" w:author="AbbVie_HU_03" w:date="2025-05-14T15:27:00Z">
              <w:r w:rsidRPr="00183B5F">
                <w:rPr>
                  <w:lang w:val="hu-HU"/>
                </w:rPr>
                <w:delText>arrhythmia,</w:delText>
              </w:r>
            </w:del>
          </w:p>
          <w:p w14:paraId="1C41C519" w14:textId="17A2DEC5" w:rsidR="00FB6710" w:rsidRPr="00183B5F" w:rsidRDefault="00943743" w:rsidP="004062FE">
            <w:pPr>
              <w:pStyle w:val="EMEANormal"/>
              <w:widowControl w:val="0"/>
              <w:suppressAutoHyphens w:val="0"/>
              <w:rPr>
                <w:del w:id="1025" w:author="AbbVie_HU_03" w:date="2025-05-14T15:27:00Z"/>
                <w:lang w:val="hu-HU"/>
              </w:rPr>
            </w:pPr>
            <w:del w:id="1026" w:author="AbbVie_HU_03" w:date="2025-05-14T15:27:00Z">
              <w:r w:rsidRPr="00183B5F">
                <w:rPr>
                  <w:lang w:val="hu-HU"/>
                </w:rPr>
                <w:delText>pangásos szívelégtelenség</w:delText>
              </w:r>
            </w:del>
          </w:p>
        </w:tc>
      </w:tr>
      <w:tr w:rsidR="00011D2F" w14:paraId="77D456BD" w14:textId="282B6515" w:rsidTr="00202B95">
        <w:trPr>
          <w:del w:id="1027" w:author="AbbVie_HU_03" w:date="2025-05-14T15:27:00Z"/>
        </w:trPr>
        <w:tc>
          <w:tcPr>
            <w:tcW w:w="2580" w:type="dxa"/>
            <w:vMerge/>
          </w:tcPr>
          <w:p w14:paraId="1CD3F754" w14:textId="2F4D9BE4" w:rsidR="00FB6710" w:rsidRPr="00183B5F" w:rsidRDefault="00FB6710" w:rsidP="004062FE">
            <w:pPr>
              <w:widowControl w:val="0"/>
              <w:suppressAutoHyphens w:val="0"/>
              <w:spacing w:line="240" w:lineRule="auto"/>
              <w:jc w:val="center"/>
              <w:rPr>
                <w:del w:id="1028" w:author="AbbVie_HU_03" w:date="2025-05-14T15:27:00Z"/>
                <w:b/>
              </w:rPr>
            </w:pPr>
          </w:p>
        </w:tc>
        <w:tc>
          <w:tcPr>
            <w:tcW w:w="2030" w:type="dxa"/>
            <w:tcBorders>
              <w:top w:val="single" w:sz="4" w:space="0" w:color="auto"/>
              <w:bottom w:val="single" w:sz="4" w:space="0" w:color="auto"/>
            </w:tcBorders>
          </w:tcPr>
          <w:p w14:paraId="0AC404B2" w14:textId="06DDBF14" w:rsidR="00FB6710" w:rsidRPr="00183B5F" w:rsidRDefault="00943743">
            <w:pPr>
              <w:pStyle w:val="EMEANormal"/>
              <w:widowControl w:val="0"/>
              <w:suppressAutoHyphens w:val="0"/>
              <w:rPr>
                <w:del w:id="1029" w:author="AbbVie_HU_03" w:date="2025-05-14T15:27:00Z"/>
                <w:lang w:val="hu-HU"/>
              </w:rPr>
            </w:pPr>
            <w:del w:id="1030" w:author="AbbVie_HU_03" w:date="2025-05-14T15:27:00Z">
              <w:r w:rsidRPr="00183B5F">
                <w:rPr>
                  <w:lang w:val="hu-HU"/>
                </w:rPr>
                <w:delText>Ritka</w:delText>
              </w:r>
            </w:del>
          </w:p>
        </w:tc>
        <w:tc>
          <w:tcPr>
            <w:tcW w:w="4451" w:type="dxa"/>
            <w:tcBorders>
              <w:top w:val="single" w:sz="4" w:space="0" w:color="auto"/>
              <w:bottom w:val="single" w:sz="4" w:space="0" w:color="auto"/>
            </w:tcBorders>
          </w:tcPr>
          <w:p w14:paraId="1CF4D677" w14:textId="5E2AB9EB" w:rsidR="00FB6710" w:rsidRPr="00183B5F" w:rsidRDefault="00943743">
            <w:pPr>
              <w:pStyle w:val="EMEANormal"/>
              <w:widowControl w:val="0"/>
              <w:suppressAutoHyphens w:val="0"/>
              <w:rPr>
                <w:del w:id="1031" w:author="AbbVie_HU_03" w:date="2025-05-14T15:27:00Z"/>
                <w:lang w:val="hu-HU"/>
              </w:rPr>
            </w:pPr>
            <w:del w:id="1032" w:author="AbbVie_HU_03" w:date="2025-05-14T15:27:00Z">
              <w:r w:rsidRPr="00183B5F">
                <w:rPr>
                  <w:lang w:val="hu-HU"/>
                </w:rPr>
                <w:delText>Szívleállás</w:delText>
              </w:r>
            </w:del>
          </w:p>
        </w:tc>
      </w:tr>
      <w:tr w:rsidR="00011D2F" w14:paraId="46C662CC" w14:textId="186C8EA5" w:rsidTr="00202B95">
        <w:trPr>
          <w:del w:id="1033" w:author="AbbVie_HU_03" w:date="2025-05-14T15:27:00Z"/>
        </w:trPr>
        <w:tc>
          <w:tcPr>
            <w:tcW w:w="2580" w:type="dxa"/>
            <w:vMerge w:val="restart"/>
          </w:tcPr>
          <w:p w14:paraId="281083C0" w14:textId="3C40F63A" w:rsidR="00FB6710" w:rsidRPr="00183B5F" w:rsidRDefault="00943743" w:rsidP="004062FE">
            <w:pPr>
              <w:pStyle w:val="EMEANormal"/>
              <w:widowControl w:val="0"/>
              <w:suppressAutoHyphens w:val="0"/>
              <w:rPr>
                <w:del w:id="1034" w:author="AbbVie_HU_03" w:date="2025-05-14T15:27:00Z"/>
                <w:lang w:val="hu-HU"/>
              </w:rPr>
            </w:pPr>
            <w:del w:id="1035" w:author="AbbVie_HU_03" w:date="2025-05-14T15:27:00Z">
              <w:r w:rsidRPr="00183B5F">
                <w:rPr>
                  <w:lang w:val="hu-HU"/>
                </w:rPr>
                <w:delText>Érbetegségek és tünetek</w:delText>
              </w:r>
            </w:del>
          </w:p>
        </w:tc>
        <w:tc>
          <w:tcPr>
            <w:tcW w:w="2030" w:type="dxa"/>
            <w:tcBorders>
              <w:bottom w:val="single" w:sz="4" w:space="0" w:color="auto"/>
            </w:tcBorders>
          </w:tcPr>
          <w:p w14:paraId="1C9B3697" w14:textId="7182F6CF" w:rsidR="00FB6710" w:rsidRPr="00183B5F" w:rsidRDefault="00943743" w:rsidP="004062FE">
            <w:pPr>
              <w:pStyle w:val="EMEANormal"/>
              <w:widowControl w:val="0"/>
              <w:suppressAutoHyphens w:val="0"/>
              <w:rPr>
                <w:del w:id="1036" w:author="AbbVie_HU_03" w:date="2025-05-14T15:27:00Z"/>
                <w:lang w:val="hu-HU"/>
              </w:rPr>
            </w:pPr>
            <w:del w:id="1037" w:author="AbbVie_HU_03" w:date="2025-05-14T15:27:00Z">
              <w:r w:rsidRPr="00183B5F">
                <w:rPr>
                  <w:lang w:val="hu-HU"/>
                </w:rPr>
                <w:delText>Gyakori</w:delText>
              </w:r>
            </w:del>
          </w:p>
          <w:p w14:paraId="098A1088" w14:textId="48434A73" w:rsidR="00FB6710" w:rsidRPr="00183B5F" w:rsidRDefault="00FB6710" w:rsidP="004062FE">
            <w:pPr>
              <w:pStyle w:val="EMEANormal"/>
              <w:widowControl w:val="0"/>
              <w:suppressAutoHyphens w:val="0"/>
              <w:rPr>
                <w:del w:id="1038" w:author="AbbVie_HU_03" w:date="2025-05-14T15:27:00Z"/>
                <w:lang w:val="hu-HU"/>
              </w:rPr>
            </w:pPr>
          </w:p>
        </w:tc>
        <w:tc>
          <w:tcPr>
            <w:tcW w:w="4451" w:type="dxa"/>
            <w:tcBorders>
              <w:bottom w:val="single" w:sz="4" w:space="0" w:color="auto"/>
            </w:tcBorders>
          </w:tcPr>
          <w:p w14:paraId="10A8E470" w14:textId="0E67A5E6" w:rsidR="00FB6710" w:rsidRPr="00183B5F" w:rsidRDefault="00943743" w:rsidP="004062FE">
            <w:pPr>
              <w:pStyle w:val="EMEANormal"/>
              <w:widowControl w:val="0"/>
              <w:suppressAutoHyphens w:val="0"/>
              <w:rPr>
                <w:del w:id="1039" w:author="AbbVie_HU_03" w:date="2025-05-14T15:27:00Z"/>
                <w:lang w:val="hu-HU"/>
              </w:rPr>
            </w:pPr>
            <w:del w:id="1040" w:author="AbbVie_HU_03" w:date="2025-05-14T15:27:00Z">
              <w:r w:rsidRPr="00183B5F">
                <w:rPr>
                  <w:lang w:val="hu-HU"/>
                </w:rPr>
                <w:delText xml:space="preserve">Hypertensio, </w:delText>
              </w:r>
            </w:del>
          </w:p>
          <w:p w14:paraId="3A50448D" w14:textId="6C176151" w:rsidR="00FB6710" w:rsidRPr="00183B5F" w:rsidRDefault="00943743" w:rsidP="004062FE">
            <w:pPr>
              <w:pStyle w:val="EMEANormal"/>
              <w:widowControl w:val="0"/>
              <w:suppressAutoHyphens w:val="0"/>
              <w:rPr>
                <w:del w:id="1041" w:author="AbbVie_HU_03" w:date="2025-05-14T15:27:00Z"/>
                <w:lang w:val="hu-HU"/>
              </w:rPr>
            </w:pPr>
            <w:del w:id="1042" w:author="AbbVie_HU_03" w:date="2025-05-14T15:27:00Z">
              <w:r w:rsidRPr="00183B5F">
                <w:rPr>
                  <w:lang w:val="hu-HU"/>
                </w:rPr>
                <w:delText xml:space="preserve">kipirulás, </w:delText>
              </w:r>
            </w:del>
          </w:p>
          <w:p w14:paraId="3462A0FA" w14:textId="2A7CFFC2" w:rsidR="00FB6710" w:rsidRPr="00183B5F" w:rsidRDefault="00943743" w:rsidP="004062FE">
            <w:pPr>
              <w:pStyle w:val="EMEANormal"/>
              <w:widowControl w:val="0"/>
              <w:suppressAutoHyphens w:val="0"/>
              <w:rPr>
                <w:del w:id="1043" w:author="AbbVie_HU_03" w:date="2025-05-14T15:27:00Z"/>
                <w:lang w:val="hu-HU"/>
              </w:rPr>
            </w:pPr>
            <w:del w:id="1044" w:author="AbbVie_HU_03" w:date="2025-05-14T15:27:00Z">
              <w:r w:rsidRPr="00183B5F">
                <w:rPr>
                  <w:lang w:val="hu-HU"/>
                </w:rPr>
                <w:delText>haematoma</w:delText>
              </w:r>
            </w:del>
          </w:p>
        </w:tc>
      </w:tr>
      <w:tr w:rsidR="00011D2F" w14:paraId="128B7C2E" w14:textId="6ED731B6" w:rsidTr="00202B95">
        <w:trPr>
          <w:del w:id="1045" w:author="AbbVie_HU_03" w:date="2025-05-14T15:27:00Z"/>
        </w:trPr>
        <w:tc>
          <w:tcPr>
            <w:tcW w:w="2580" w:type="dxa"/>
            <w:vMerge/>
          </w:tcPr>
          <w:p w14:paraId="43C90CFE" w14:textId="17A90944" w:rsidR="00FB6710" w:rsidRPr="00183B5F" w:rsidRDefault="00FB6710" w:rsidP="004062FE">
            <w:pPr>
              <w:pStyle w:val="EMEANormal"/>
              <w:widowControl w:val="0"/>
              <w:suppressAutoHyphens w:val="0"/>
              <w:rPr>
                <w:del w:id="1046" w:author="AbbVie_HU_03" w:date="2025-05-14T15:27:00Z"/>
                <w:lang w:val="hu-HU"/>
              </w:rPr>
            </w:pPr>
          </w:p>
        </w:tc>
        <w:tc>
          <w:tcPr>
            <w:tcW w:w="2030" w:type="dxa"/>
            <w:tcBorders>
              <w:top w:val="single" w:sz="4" w:space="0" w:color="auto"/>
              <w:bottom w:val="single" w:sz="4" w:space="0" w:color="auto"/>
            </w:tcBorders>
          </w:tcPr>
          <w:p w14:paraId="130440CC" w14:textId="2D975482" w:rsidR="00FB6710" w:rsidRPr="00183B5F" w:rsidRDefault="00943743">
            <w:pPr>
              <w:pStyle w:val="EMEANormal"/>
              <w:widowControl w:val="0"/>
              <w:suppressAutoHyphens w:val="0"/>
              <w:rPr>
                <w:del w:id="1047" w:author="AbbVie_HU_03" w:date="2025-05-14T15:27:00Z"/>
                <w:lang w:val="hu-HU"/>
              </w:rPr>
            </w:pPr>
            <w:del w:id="1048" w:author="AbbVie_HU_03" w:date="2025-05-14T15:27:00Z">
              <w:r w:rsidRPr="00183B5F">
                <w:rPr>
                  <w:lang w:val="hu-HU"/>
                </w:rPr>
                <w:delText>Nem gyakori</w:delText>
              </w:r>
            </w:del>
          </w:p>
        </w:tc>
        <w:tc>
          <w:tcPr>
            <w:tcW w:w="4451" w:type="dxa"/>
            <w:tcBorders>
              <w:top w:val="single" w:sz="4" w:space="0" w:color="auto"/>
              <w:bottom w:val="single" w:sz="4" w:space="0" w:color="auto"/>
            </w:tcBorders>
          </w:tcPr>
          <w:p w14:paraId="25368164" w14:textId="703ED581" w:rsidR="00230035" w:rsidRPr="00183B5F" w:rsidRDefault="00943743">
            <w:pPr>
              <w:pStyle w:val="EMEANormal"/>
              <w:widowControl w:val="0"/>
              <w:suppressAutoHyphens w:val="0"/>
              <w:rPr>
                <w:del w:id="1049" w:author="AbbVie_HU_03" w:date="2025-05-14T15:27:00Z"/>
                <w:lang w:val="hu-HU"/>
              </w:rPr>
            </w:pPr>
            <w:del w:id="1050" w:author="AbbVie_HU_03" w:date="2025-05-14T15:27:00Z">
              <w:r w:rsidRPr="00183B5F">
                <w:rPr>
                  <w:lang w:val="hu-HU"/>
                </w:rPr>
                <w:delText>Aorta aneurysma,</w:delText>
              </w:r>
            </w:del>
          </w:p>
          <w:p w14:paraId="370EA468" w14:textId="30BACAAB" w:rsidR="00FB6710" w:rsidRPr="00183B5F" w:rsidRDefault="00943743">
            <w:pPr>
              <w:pStyle w:val="EMEANormal"/>
              <w:widowControl w:val="0"/>
              <w:suppressAutoHyphens w:val="0"/>
              <w:rPr>
                <w:del w:id="1051" w:author="AbbVie_HU_03" w:date="2025-05-14T15:27:00Z"/>
                <w:lang w:val="hu-HU"/>
              </w:rPr>
            </w:pPr>
            <w:del w:id="1052" w:author="AbbVie_HU_03" w:date="2025-05-14T15:27:00Z">
              <w:r w:rsidRPr="00183B5F">
                <w:rPr>
                  <w:lang w:val="hu-HU"/>
                </w:rPr>
                <w:delText>arteriás occlusio,</w:delText>
              </w:r>
            </w:del>
          </w:p>
          <w:p w14:paraId="47C603C5" w14:textId="0A90C4B6" w:rsidR="00FB6710" w:rsidRPr="00183B5F" w:rsidRDefault="00943743">
            <w:pPr>
              <w:pStyle w:val="EMEANormal"/>
              <w:widowControl w:val="0"/>
              <w:suppressAutoHyphens w:val="0"/>
              <w:rPr>
                <w:del w:id="1053" w:author="AbbVie_HU_03" w:date="2025-05-14T15:27:00Z"/>
                <w:lang w:val="hu-HU"/>
              </w:rPr>
            </w:pPr>
            <w:del w:id="1054" w:author="AbbVie_HU_03" w:date="2025-05-14T15:27:00Z">
              <w:r w:rsidRPr="00183B5F">
                <w:rPr>
                  <w:lang w:val="hu-HU"/>
                </w:rPr>
                <w:delText>thrombophlebitis</w:delText>
              </w:r>
            </w:del>
          </w:p>
        </w:tc>
      </w:tr>
      <w:tr w:rsidR="00011D2F" w14:paraId="58A1FF04" w14:textId="5EAB370A" w:rsidTr="00202B95">
        <w:trPr>
          <w:del w:id="1055" w:author="AbbVie_HU_03" w:date="2025-05-14T15:27:00Z"/>
        </w:trPr>
        <w:tc>
          <w:tcPr>
            <w:tcW w:w="2580" w:type="dxa"/>
            <w:vMerge w:val="restart"/>
          </w:tcPr>
          <w:p w14:paraId="0C279B80" w14:textId="66F95147" w:rsidR="00FB6710" w:rsidRPr="00183B5F" w:rsidRDefault="00943743" w:rsidP="004062FE">
            <w:pPr>
              <w:pStyle w:val="EMEANormal"/>
              <w:widowControl w:val="0"/>
              <w:suppressAutoHyphens w:val="0"/>
              <w:rPr>
                <w:del w:id="1056" w:author="AbbVie_HU_03" w:date="2025-05-14T15:27:00Z"/>
                <w:szCs w:val="22"/>
                <w:lang w:val="hu-HU"/>
              </w:rPr>
            </w:pPr>
            <w:del w:id="1057" w:author="AbbVie_HU_03" w:date="2025-05-14T15:27:00Z">
              <w:r w:rsidRPr="00183B5F">
                <w:rPr>
                  <w:szCs w:val="22"/>
                  <w:lang w:val="hu-HU"/>
                </w:rPr>
                <w:delText>Légzőrendszeri, mellkasi és mediastinalis betegségek és tünetek*</w:delText>
              </w:r>
            </w:del>
          </w:p>
        </w:tc>
        <w:tc>
          <w:tcPr>
            <w:tcW w:w="2030" w:type="dxa"/>
            <w:tcBorders>
              <w:bottom w:val="single" w:sz="4" w:space="0" w:color="auto"/>
            </w:tcBorders>
          </w:tcPr>
          <w:p w14:paraId="6685261C" w14:textId="4B2D5EFA" w:rsidR="00FB6710" w:rsidRPr="00183B5F" w:rsidRDefault="00943743" w:rsidP="004062FE">
            <w:pPr>
              <w:pStyle w:val="EMEANormal"/>
              <w:widowControl w:val="0"/>
              <w:suppressAutoHyphens w:val="0"/>
              <w:rPr>
                <w:del w:id="1058" w:author="AbbVie_HU_03" w:date="2025-05-14T15:27:00Z"/>
                <w:lang w:val="hu-HU"/>
              </w:rPr>
            </w:pPr>
            <w:del w:id="1059" w:author="AbbVie_HU_03" w:date="2025-05-14T15:27:00Z">
              <w:r w:rsidRPr="00183B5F">
                <w:rPr>
                  <w:lang w:val="hu-HU"/>
                </w:rPr>
                <w:delText>Gyakori</w:delText>
              </w:r>
            </w:del>
          </w:p>
          <w:p w14:paraId="1D13EB3F" w14:textId="26A17AC8" w:rsidR="00FB6710" w:rsidRPr="00183B5F" w:rsidRDefault="00FB6710" w:rsidP="004062FE">
            <w:pPr>
              <w:pStyle w:val="EMEANormal"/>
              <w:widowControl w:val="0"/>
              <w:suppressAutoHyphens w:val="0"/>
              <w:rPr>
                <w:del w:id="1060" w:author="AbbVie_HU_03" w:date="2025-05-14T15:27:00Z"/>
                <w:lang w:val="hu-HU"/>
              </w:rPr>
            </w:pPr>
          </w:p>
        </w:tc>
        <w:tc>
          <w:tcPr>
            <w:tcW w:w="4451" w:type="dxa"/>
            <w:tcBorders>
              <w:bottom w:val="single" w:sz="4" w:space="0" w:color="auto"/>
            </w:tcBorders>
          </w:tcPr>
          <w:p w14:paraId="20349905" w14:textId="656D3C8D" w:rsidR="00FB6710" w:rsidRPr="00183B5F" w:rsidRDefault="00943743" w:rsidP="004062FE">
            <w:pPr>
              <w:pStyle w:val="EMEANormal"/>
              <w:widowControl w:val="0"/>
              <w:suppressAutoHyphens w:val="0"/>
              <w:rPr>
                <w:del w:id="1061" w:author="AbbVie_HU_03" w:date="2025-05-14T15:27:00Z"/>
                <w:lang w:val="hu-HU"/>
              </w:rPr>
            </w:pPr>
            <w:del w:id="1062" w:author="AbbVie_HU_03" w:date="2025-05-14T15:27:00Z">
              <w:r w:rsidRPr="00183B5F">
                <w:rPr>
                  <w:lang w:val="hu-HU"/>
                </w:rPr>
                <w:delText xml:space="preserve">Asthma, </w:delText>
              </w:r>
            </w:del>
          </w:p>
          <w:p w14:paraId="1CDF1316" w14:textId="0F1272F8" w:rsidR="00FB6710" w:rsidRPr="00183B5F" w:rsidRDefault="00943743" w:rsidP="004062FE">
            <w:pPr>
              <w:pStyle w:val="EMEANormal"/>
              <w:widowControl w:val="0"/>
              <w:suppressAutoHyphens w:val="0"/>
              <w:rPr>
                <w:del w:id="1063" w:author="AbbVie_HU_03" w:date="2025-05-14T15:27:00Z"/>
                <w:lang w:val="hu-HU"/>
              </w:rPr>
            </w:pPr>
            <w:del w:id="1064" w:author="AbbVie_HU_03" w:date="2025-05-14T15:27:00Z">
              <w:r w:rsidRPr="00183B5F">
                <w:rPr>
                  <w:lang w:val="hu-HU"/>
                </w:rPr>
                <w:delText>dyspnoe,</w:delText>
              </w:r>
            </w:del>
          </w:p>
          <w:p w14:paraId="34EBE44C" w14:textId="6543373E" w:rsidR="00FB6710" w:rsidRPr="00183B5F" w:rsidRDefault="00943743" w:rsidP="004062FE">
            <w:pPr>
              <w:pStyle w:val="EMEANormal"/>
              <w:widowControl w:val="0"/>
              <w:suppressAutoHyphens w:val="0"/>
              <w:rPr>
                <w:del w:id="1065" w:author="AbbVie_HU_03" w:date="2025-05-14T15:27:00Z"/>
                <w:lang w:val="hu-HU"/>
              </w:rPr>
            </w:pPr>
            <w:del w:id="1066" w:author="AbbVie_HU_03" w:date="2025-05-14T15:27:00Z">
              <w:r w:rsidRPr="00183B5F">
                <w:rPr>
                  <w:lang w:val="hu-HU"/>
                </w:rPr>
                <w:delText>köhögés</w:delText>
              </w:r>
            </w:del>
          </w:p>
        </w:tc>
      </w:tr>
      <w:tr w:rsidR="00011D2F" w14:paraId="34608EF3" w14:textId="0BDC5E7A" w:rsidTr="00202B95">
        <w:trPr>
          <w:del w:id="1067" w:author="AbbVie_HU_03" w:date="2025-05-14T15:27:00Z"/>
        </w:trPr>
        <w:tc>
          <w:tcPr>
            <w:tcW w:w="2580" w:type="dxa"/>
            <w:vMerge/>
            <w:tcBorders>
              <w:bottom w:val="nil"/>
            </w:tcBorders>
          </w:tcPr>
          <w:p w14:paraId="59C11A43" w14:textId="696B5B96" w:rsidR="00FB6710" w:rsidRPr="00183B5F" w:rsidRDefault="00FB6710" w:rsidP="004062FE">
            <w:pPr>
              <w:widowControl w:val="0"/>
              <w:suppressAutoHyphens w:val="0"/>
              <w:spacing w:line="240" w:lineRule="auto"/>
              <w:jc w:val="center"/>
              <w:rPr>
                <w:del w:id="1068" w:author="AbbVie_HU_03" w:date="2025-05-14T15:27:00Z"/>
                <w:b/>
              </w:rPr>
            </w:pPr>
          </w:p>
        </w:tc>
        <w:tc>
          <w:tcPr>
            <w:tcW w:w="2030" w:type="dxa"/>
            <w:tcBorders>
              <w:top w:val="single" w:sz="4" w:space="0" w:color="auto"/>
              <w:bottom w:val="single" w:sz="4" w:space="0" w:color="auto"/>
            </w:tcBorders>
          </w:tcPr>
          <w:p w14:paraId="60196610" w14:textId="27DF807E" w:rsidR="00FB6710" w:rsidRPr="00183B5F" w:rsidRDefault="00943743">
            <w:pPr>
              <w:pStyle w:val="EMEANormal"/>
              <w:widowControl w:val="0"/>
              <w:suppressAutoHyphens w:val="0"/>
              <w:rPr>
                <w:del w:id="1069" w:author="AbbVie_HU_03" w:date="2025-05-14T15:27:00Z"/>
                <w:lang w:val="hu-HU"/>
              </w:rPr>
            </w:pPr>
            <w:del w:id="1070" w:author="AbbVie_HU_03" w:date="2025-05-14T15:27:00Z">
              <w:r w:rsidRPr="00183B5F">
                <w:rPr>
                  <w:lang w:val="hu-HU"/>
                </w:rPr>
                <w:delText>Nem gyakori</w:delText>
              </w:r>
            </w:del>
          </w:p>
          <w:p w14:paraId="496D58F7" w14:textId="44512D3A" w:rsidR="00FB6710" w:rsidRPr="00183B5F" w:rsidRDefault="00FB6710">
            <w:pPr>
              <w:pStyle w:val="EMEANormal"/>
              <w:widowControl w:val="0"/>
              <w:suppressAutoHyphens w:val="0"/>
              <w:rPr>
                <w:del w:id="1071" w:author="AbbVie_HU_03" w:date="2025-05-14T15:27:00Z"/>
                <w:lang w:val="hu-HU"/>
              </w:rPr>
            </w:pPr>
          </w:p>
          <w:p w14:paraId="02FADDD1" w14:textId="7940E089" w:rsidR="00920BB6" w:rsidRPr="00183B5F" w:rsidRDefault="00920BB6">
            <w:pPr>
              <w:pStyle w:val="EMEANormal"/>
              <w:widowControl w:val="0"/>
              <w:suppressAutoHyphens w:val="0"/>
              <w:rPr>
                <w:del w:id="1072" w:author="AbbVie_HU_03" w:date="2025-05-14T15:27:00Z"/>
                <w:lang w:val="hu-HU"/>
              </w:rPr>
            </w:pPr>
          </w:p>
          <w:p w14:paraId="6D1C457C" w14:textId="48F2D923" w:rsidR="00920BB6" w:rsidRPr="00183B5F" w:rsidRDefault="00920BB6">
            <w:pPr>
              <w:pStyle w:val="EMEANormal"/>
              <w:widowControl w:val="0"/>
              <w:suppressAutoHyphens w:val="0"/>
              <w:rPr>
                <w:del w:id="1073" w:author="AbbVie_HU_03" w:date="2025-05-14T15:27:00Z"/>
                <w:lang w:val="hu-HU"/>
              </w:rPr>
            </w:pPr>
          </w:p>
          <w:p w14:paraId="70A2867B" w14:textId="2780E6D0" w:rsidR="00920BB6" w:rsidRPr="00183B5F" w:rsidRDefault="00920BB6">
            <w:pPr>
              <w:pStyle w:val="EMEANormal"/>
              <w:widowControl w:val="0"/>
              <w:suppressAutoHyphens w:val="0"/>
              <w:rPr>
                <w:del w:id="1074" w:author="AbbVie_HU_03" w:date="2025-05-14T15:27:00Z"/>
                <w:lang w:val="hu-HU"/>
              </w:rPr>
            </w:pPr>
          </w:p>
        </w:tc>
        <w:tc>
          <w:tcPr>
            <w:tcW w:w="4451" w:type="dxa"/>
            <w:tcBorders>
              <w:top w:val="single" w:sz="4" w:space="0" w:color="auto"/>
              <w:bottom w:val="single" w:sz="4" w:space="0" w:color="auto"/>
            </w:tcBorders>
          </w:tcPr>
          <w:p w14:paraId="260E04C3" w14:textId="345EAA6B" w:rsidR="00230035" w:rsidRPr="00183B5F" w:rsidRDefault="00943743">
            <w:pPr>
              <w:pStyle w:val="EMEANormal"/>
              <w:widowControl w:val="0"/>
              <w:suppressAutoHyphens w:val="0"/>
              <w:rPr>
                <w:del w:id="1075" w:author="AbbVie_HU_03" w:date="2025-05-14T15:27:00Z"/>
                <w:lang w:val="hu-HU"/>
              </w:rPr>
            </w:pPr>
            <w:del w:id="1076" w:author="AbbVie_HU_03" w:date="2025-05-14T15:27:00Z">
              <w:r w:rsidRPr="00183B5F">
                <w:rPr>
                  <w:lang w:val="hu-HU"/>
                </w:rPr>
                <w:delText>Tüdőembólia</w:delText>
              </w:r>
              <w:r w:rsidRPr="00183B5F">
                <w:rPr>
                  <w:vertAlign w:val="superscript"/>
                  <w:lang w:val="hu-HU"/>
                </w:rPr>
                <w:delText>1)</w:delText>
              </w:r>
              <w:r w:rsidRPr="00183B5F">
                <w:rPr>
                  <w:lang w:val="hu-HU"/>
                </w:rPr>
                <w:delText>,</w:delText>
              </w:r>
            </w:del>
          </w:p>
          <w:p w14:paraId="02D96BDC" w14:textId="15E80D37" w:rsidR="00230035" w:rsidRPr="00183B5F" w:rsidRDefault="00943743">
            <w:pPr>
              <w:pStyle w:val="EMEANormal"/>
              <w:widowControl w:val="0"/>
              <w:suppressAutoHyphens w:val="0"/>
              <w:rPr>
                <w:del w:id="1077" w:author="AbbVie_HU_03" w:date="2025-05-14T15:27:00Z"/>
                <w:lang w:val="hu-HU"/>
              </w:rPr>
            </w:pPr>
            <w:del w:id="1078" w:author="AbbVie_HU_03" w:date="2025-05-14T15:27:00Z">
              <w:r w:rsidRPr="00183B5F">
                <w:rPr>
                  <w:lang w:val="hu-HU"/>
                </w:rPr>
                <w:delText>interstitialis tüdőbetegség,</w:delText>
              </w:r>
            </w:del>
          </w:p>
          <w:p w14:paraId="6A0B812E" w14:textId="6772C03A" w:rsidR="00FB6710" w:rsidRPr="00183B5F" w:rsidRDefault="00943743">
            <w:pPr>
              <w:pStyle w:val="EMEANormal"/>
              <w:widowControl w:val="0"/>
              <w:suppressAutoHyphens w:val="0"/>
              <w:rPr>
                <w:del w:id="1079" w:author="AbbVie_HU_03" w:date="2025-05-14T15:27:00Z"/>
                <w:lang w:val="hu-HU"/>
              </w:rPr>
            </w:pPr>
            <w:del w:id="1080" w:author="AbbVie_HU_03" w:date="2025-05-14T15:27:00Z">
              <w:r w:rsidRPr="00183B5F">
                <w:rPr>
                  <w:lang w:val="hu-HU"/>
                </w:rPr>
                <w:delText>krónikus obstruktív tüdőbetegség,</w:delText>
              </w:r>
            </w:del>
          </w:p>
          <w:p w14:paraId="5667ACA3" w14:textId="6C02689D" w:rsidR="00FB6710" w:rsidRPr="00183B5F" w:rsidRDefault="00943743">
            <w:pPr>
              <w:pStyle w:val="EMEANormal"/>
              <w:widowControl w:val="0"/>
              <w:suppressAutoHyphens w:val="0"/>
              <w:rPr>
                <w:del w:id="1081" w:author="AbbVie_HU_03" w:date="2025-05-14T15:27:00Z"/>
                <w:lang w:val="hu-HU"/>
              </w:rPr>
            </w:pPr>
            <w:del w:id="1082" w:author="AbbVie_HU_03" w:date="2025-05-14T15:27:00Z">
              <w:r w:rsidRPr="00183B5F">
                <w:rPr>
                  <w:lang w:val="hu-HU"/>
                </w:rPr>
                <w:delText>pneumonitis</w:delText>
              </w:r>
              <w:r w:rsidR="00230035" w:rsidRPr="00183B5F">
                <w:rPr>
                  <w:lang w:val="hu-HU"/>
                </w:rPr>
                <w:delText>,</w:delText>
              </w:r>
            </w:del>
          </w:p>
          <w:p w14:paraId="6256BB69" w14:textId="21DBE491" w:rsidR="00920BB6" w:rsidRPr="00183B5F" w:rsidRDefault="00943743">
            <w:pPr>
              <w:pStyle w:val="EMEANormal"/>
              <w:widowControl w:val="0"/>
              <w:suppressAutoHyphens w:val="0"/>
              <w:rPr>
                <w:del w:id="1083" w:author="AbbVie_HU_03" w:date="2025-05-14T15:27:00Z"/>
                <w:lang w:val="hu-HU"/>
              </w:rPr>
            </w:pPr>
            <w:del w:id="1084" w:author="AbbVie_HU_03" w:date="2025-05-14T15:27:00Z">
              <w:r w:rsidRPr="00183B5F">
                <w:rPr>
                  <w:lang w:val="hu-HU"/>
                </w:rPr>
                <w:delText>pleuralis folyadékgyülem</w:delText>
              </w:r>
              <w:r w:rsidRPr="00183B5F">
                <w:rPr>
                  <w:vertAlign w:val="superscript"/>
                  <w:lang w:val="hu-HU"/>
                </w:rPr>
                <w:delText>1)</w:delText>
              </w:r>
            </w:del>
          </w:p>
        </w:tc>
      </w:tr>
      <w:tr w:rsidR="00011D2F" w14:paraId="67B7E83F" w14:textId="7310F889" w:rsidTr="00202B95">
        <w:trPr>
          <w:del w:id="1085" w:author="AbbVie_HU_03" w:date="2025-05-14T15:27:00Z"/>
        </w:trPr>
        <w:tc>
          <w:tcPr>
            <w:tcW w:w="2580" w:type="dxa"/>
            <w:tcBorders>
              <w:top w:val="nil"/>
              <w:bottom w:val="single" w:sz="4" w:space="0" w:color="auto"/>
            </w:tcBorders>
          </w:tcPr>
          <w:p w14:paraId="7758D804" w14:textId="202132F5" w:rsidR="001165C9" w:rsidRPr="00183B5F" w:rsidRDefault="001165C9" w:rsidP="004062FE">
            <w:pPr>
              <w:widowControl w:val="0"/>
              <w:suppressAutoHyphens w:val="0"/>
              <w:spacing w:line="240" w:lineRule="auto"/>
              <w:jc w:val="center"/>
              <w:rPr>
                <w:del w:id="1086" w:author="AbbVie_HU_03" w:date="2025-05-14T15:27:00Z"/>
                <w:b/>
              </w:rPr>
            </w:pPr>
          </w:p>
        </w:tc>
        <w:tc>
          <w:tcPr>
            <w:tcW w:w="2030" w:type="dxa"/>
            <w:tcBorders>
              <w:top w:val="single" w:sz="4" w:space="0" w:color="auto"/>
              <w:bottom w:val="single" w:sz="4" w:space="0" w:color="auto"/>
            </w:tcBorders>
          </w:tcPr>
          <w:p w14:paraId="26640631" w14:textId="5DFC6B02" w:rsidR="001165C9" w:rsidRPr="00183B5F" w:rsidRDefault="00943743">
            <w:pPr>
              <w:pStyle w:val="EMEANormal"/>
              <w:widowControl w:val="0"/>
              <w:suppressAutoHyphens w:val="0"/>
              <w:rPr>
                <w:del w:id="1087" w:author="AbbVie_HU_03" w:date="2025-05-14T15:27:00Z"/>
                <w:lang w:val="hu-HU"/>
              </w:rPr>
            </w:pPr>
            <w:del w:id="1088" w:author="AbbVie_HU_03" w:date="2025-05-14T15:27:00Z">
              <w:r w:rsidRPr="00183B5F">
                <w:rPr>
                  <w:lang w:val="hu-HU"/>
                </w:rPr>
                <w:delText>Ritka</w:delText>
              </w:r>
            </w:del>
          </w:p>
        </w:tc>
        <w:tc>
          <w:tcPr>
            <w:tcW w:w="4451" w:type="dxa"/>
            <w:tcBorders>
              <w:top w:val="single" w:sz="4" w:space="0" w:color="auto"/>
              <w:bottom w:val="single" w:sz="4" w:space="0" w:color="auto"/>
            </w:tcBorders>
          </w:tcPr>
          <w:p w14:paraId="664E5FA3" w14:textId="78FBE870" w:rsidR="001165C9" w:rsidRPr="00183B5F" w:rsidRDefault="00943743">
            <w:pPr>
              <w:pStyle w:val="EMEANormal"/>
              <w:widowControl w:val="0"/>
              <w:suppressAutoHyphens w:val="0"/>
              <w:rPr>
                <w:del w:id="1089" w:author="AbbVie_HU_03" w:date="2025-05-14T15:27:00Z"/>
                <w:lang w:val="hu-HU"/>
              </w:rPr>
            </w:pPr>
            <w:del w:id="1090" w:author="AbbVie_HU_03" w:date="2025-05-14T15:27:00Z">
              <w:r w:rsidRPr="00183B5F">
                <w:rPr>
                  <w:lang w:val="hu-HU"/>
                </w:rPr>
                <w:delText>Tüdőfibrosis</w:delText>
              </w:r>
              <w:r w:rsidRPr="00183B5F">
                <w:rPr>
                  <w:vertAlign w:val="superscript"/>
                  <w:lang w:val="hu-HU"/>
                </w:rPr>
                <w:delText>1)</w:delText>
              </w:r>
            </w:del>
          </w:p>
        </w:tc>
      </w:tr>
      <w:tr w:rsidR="00011D2F" w14:paraId="020B4A92" w14:textId="6C8FAC42" w:rsidTr="00202B95">
        <w:trPr>
          <w:del w:id="1091" w:author="AbbVie_HU_03" w:date="2025-05-14T15:27:00Z"/>
        </w:trPr>
        <w:tc>
          <w:tcPr>
            <w:tcW w:w="2580" w:type="dxa"/>
            <w:vMerge w:val="restart"/>
            <w:tcBorders>
              <w:bottom w:val="single" w:sz="4" w:space="0" w:color="auto"/>
            </w:tcBorders>
          </w:tcPr>
          <w:p w14:paraId="1555B8A4" w14:textId="5670753D" w:rsidR="00FB6710" w:rsidRPr="00183B5F" w:rsidRDefault="00943743" w:rsidP="004062FE">
            <w:pPr>
              <w:pStyle w:val="EMEANormal"/>
              <w:widowControl w:val="0"/>
              <w:suppressAutoHyphens w:val="0"/>
              <w:rPr>
                <w:del w:id="1092" w:author="AbbVie_HU_03" w:date="2025-05-14T15:27:00Z"/>
                <w:lang w:val="hu-HU"/>
              </w:rPr>
            </w:pPr>
            <w:del w:id="1093" w:author="AbbVie_HU_03" w:date="2025-05-14T15:27:00Z">
              <w:r w:rsidRPr="00183B5F">
                <w:rPr>
                  <w:lang w:val="hu-HU"/>
                </w:rPr>
                <w:delText>Emésztőrendszeri betegségek és tünetek</w:delText>
              </w:r>
            </w:del>
          </w:p>
        </w:tc>
        <w:tc>
          <w:tcPr>
            <w:tcW w:w="2030" w:type="dxa"/>
            <w:tcBorders>
              <w:bottom w:val="single" w:sz="4" w:space="0" w:color="auto"/>
            </w:tcBorders>
          </w:tcPr>
          <w:p w14:paraId="149939CE" w14:textId="683F5414" w:rsidR="00FB6710" w:rsidRPr="00183B5F" w:rsidRDefault="00943743" w:rsidP="004062FE">
            <w:pPr>
              <w:pStyle w:val="EMEANormal"/>
              <w:widowControl w:val="0"/>
              <w:suppressAutoHyphens w:val="0"/>
              <w:rPr>
                <w:del w:id="1094" w:author="AbbVie_HU_03" w:date="2025-05-14T15:27:00Z"/>
                <w:lang w:val="hu-HU"/>
              </w:rPr>
            </w:pPr>
            <w:del w:id="1095" w:author="AbbVie_HU_03" w:date="2025-05-14T15:27:00Z">
              <w:r w:rsidRPr="00183B5F">
                <w:rPr>
                  <w:lang w:val="hu-HU"/>
                </w:rPr>
                <w:delText>Nagyon gyakori</w:delText>
              </w:r>
            </w:del>
          </w:p>
          <w:p w14:paraId="554B5F96" w14:textId="60898052" w:rsidR="00FB6710" w:rsidRPr="00183B5F" w:rsidRDefault="00FB6710" w:rsidP="004062FE">
            <w:pPr>
              <w:pStyle w:val="EMEANormal"/>
              <w:widowControl w:val="0"/>
              <w:suppressAutoHyphens w:val="0"/>
              <w:rPr>
                <w:del w:id="1096" w:author="AbbVie_HU_03" w:date="2025-05-14T15:27:00Z"/>
                <w:lang w:val="hu-HU"/>
              </w:rPr>
            </w:pPr>
          </w:p>
        </w:tc>
        <w:tc>
          <w:tcPr>
            <w:tcW w:w="4451" w:type="dxa"/>
            <w:tcBorders>
              <w:bottom w:val="single" w:sz="4" w:space="0" w:color="auto"/>
            </w:tcBorders>
          </w:tcPr>
          <w:p w14:paraId="479EEFD5" w14:textId="7ED6FEAE" w:rsidR="00FB6710" w:rsidRPr="00183B5F" w:rsidRDefault="00943743" w:rsidP="004062FE">
            <w:pPr>
              <w:pStyle w:val="EMEANormal"/>
              <w:widowControl w:val="0"/>
              <w:suppressAutoHyphens w:val="0"/>
              <w:rPr>
                <w:del w:id="1097" w:author="AbbVie_HU_03" w:date="2025-05-14T15:27:00Z"/>
                <w:lang w:val="hu-HU"/>
              </w:rPr>
            </w:pPr>
            <w:del w:id="1098" w:author="AbbVie_HU_03" w:date="2025-05-14T15:27:00Z">
              <w:r w:rsidRPr="00183B5F">
                <w:rPr>
                  <w:lang w:val="hu-HU"/>
                </w:rPr>
                <w:delText xml:space="preserve">Hasi fájdalom, </w:delText>
              </w:r>
            </w:del>
          </w:p>
          <w:p w14:paraId="37639F43" w14:textId="191A9652" w:rsidR="00FB6710" w:rsidRPr="00183B5F" w:rsidRDefault="00943743" w:rsidP="004062FE">
            <w:pPr>
              <w:pStyle w:val="EMEANormal"/>
              <w:widowControl w:val="0"/>
              <w:suppressAutoHyphens w:val="0"/>
              <w:rPr>
                <w:del w:id="1099" w:author="AbbVie_HU_03" w:date="2025-05-14T15:27:00Z"/>
                <w:lang w:val="hu-HU"/>
              </w:rPr>
            </w:pPr>
            <w:del w:id="1100" w:author="AbbVie_HU_03" w:date="2025-05-14T15:27:00Z">
              <w:r w:rsidRPr="00183B5F">
                <w:rPr>
                  <w:lang w:val="hu-HU"/>
                </w:rPr>
                <w:delText>hányinger és hányás</w:delText>
              </w:r>
            </w:del>
          </w:p>
          <w:p w14:paraId="03E1A1DD" w14:textId="2C0590C5" w:rsidR="00FB6710" w:rsidRPr="00183B5F" w:rsidRDefault="00FB6710" w:rsidP="004062FE">
            <w:pPr>
              <w:pStyle w:val="EMEANormal"/>
              <w:widowControl w:val="0"/>
              <w:suppressAutoHyphens w:val="0"/>
              <w:rPr>
                <w:del w:id="1101" w:author="AbbVie_HU_03" w:date="2025-05-14T15:27:00Z"/>
                <w:lang w:val="hu-HU"/>
              </w:rPr>
            </w:pPr>
          </w:p>
        </w:tc>
      </w:tr>
      <w:tr w:rsidR="00011D2F" w14:paraId="3B503573" w14:textId="71A8C1F6" w:rsidTr="00202B95">
        <w:trPr>
          <w:del w:id="1102" w:author="AbbVie_HU_03" w:date="2025-05-14T15:27:00Z"/>
        </w:trPr>
        <w:tc>
          <w:tcPr>
            <w:tcW w:w="2580" w:type="dxa"/>
            <w:vMerge/>
            <w:tcBorders>
              <w:top w:val="single" w:sz="4" w:space="0" w:color="auto"/>
            </w:tcBorders>
          </w:tcPr>
          <w:p w14:paraId="063867C2" w14:textId="5ED03FE2" w:rsidR="00FB6710" w:rsidRPr="00183B5F" w:rsidRDefault="00FB6710" w:rsidP="004062FE">
            <w:pPr>
              <w:widowControl w:val="0"/>
              <w:suppressAutoHyphens w:val="0"/>
              <w:spacing w:line="240" w:lineRule="auto"/>
              <w:jc w:val="center"/>
              <w:rPr>
                <w:del w:id="1103" w:author="AbbVie_HU_03" w:date="2025-05-14T15:27:00Z"/>
                <w:b/>
              </w:rPr>
            </w:pPr>
          </w:p>
        </w:tc>
        <w:tc>
          <w:tcPr>
            <w:tcW w:w="2030" w:type="dxa"/>
            <w:tcBorders>
              <w:top w:val="single" w:sz="4" w:space="0" w:color="auto"/>
              <w:bottom w:val="single" w:sz="4" w:space="0" w:color="auto"/>
            </w:tcBorders>
          </w:tcPr>
          <w:p w14:paraId="3CF1311B" w14:textId="1E37C01E" w:rsidR="00FB6710" w:rsidRPr="00183B5F" w:rsidRDefault="00943743">
            <w:pPr>
              <w:pStyle w:val="EMEANormal"/>
              <w:widowControl w:val="0"/>
              <w:suppressAutoHyphens w:val="0"/>
              <w:rPr>
                <w:del w:id="1104" w:author="AbbVie_HU_03" w:date="2025-05-14T15:27:00Z"/>
                <w:lang w:val="hu-HU"/>
              </w:rPr>
            </w:pPr>
            <w:del w:id="1105" w:author="AbbVie_HU_03" w:date="2025-05-14T15:27:00Z">
              <w:r w:rsidRPr="00183B5F">
                <w:rPr>
                  <w:lang w:val="hu-HU"/>
                </w:rPr>
                <w:delText>Gyakori</w:delText>
              </w:r>
            </w:del>
          </w:p>
          <w:p w14:paraId="0BF5A90D" w14:textId="5BD20541" w:rsidR="00FB6710" w:rsidRPr="00183B5F" w:rsidRDefault="00FB6710">
            <w:pPr>
              <w:pStyle w:val="EMEANormal"/>
              <w:widowControl w:val="0"/>
              <w:suppressAutoHyphens w:val="0"/>
              <w:rPr>
                <w:del w:id="1106" w:author="AbbVie_HU_03" w:date="2025-05-14T15:27:00Z"/>
                <w:lang w:val="hu-HU"/>
              </w:rPr>
            </w:pPr>
          </w:p>
        </w:tc>
        <w:tc>
          <w:tcPr>
            <w:tcW w:w="4451" w:type="dxa"/>
            <w:tcBorders>
              <w:top w:val="single" w:sz="4" w:space="0" w:color="auto"/>
              <w:bottom w:val="single" w:sz="4" w:space="0" w:color="auto"/>
            </w:tcBorders>
          </w:tcPr>
          <w:p w14:paraId="6A631084" w14:textId="308CF6B2" w:rsidR="00FB6710" w:rsidRPr="00183B5F" w:rsidRDefault="00943743">
            <w:pPr>
              <w:pStyle w:val="EMEANormal"/>
              <w:widowControl w:val="0"/>
              <w:suppressAutoHyphens w:val="0"/>
              <w:rPr>
                <w:del w:id="1107" w:author="AbbVie_HU_03" w:date="2025-05-14T15:27:00Z"/>
                <w:lang w:val="hu-HU"/>
              </w:rPr>
            </w:pPr>
            <w:del w:id="1108" w:author="AbbVie_HU_03" w:date="2025-05-14T15:27:00Z">
              <w:r w:rsidRPr="00183B5F">
                <w:rPr>
                  <w:lang w:val="hu-HU"/>
                </w:rPr>
                <w:delText xml:space="preserve">Gastrointestinalis vérzés, </w:delText>
              </w:r>
            </w:del>
          </w:p>
          <w:p w14:paraId="757D8C04" w14:textId="1193D010" w:rsidR="00FB6710" w:rsidRPr="00183B5F" w:rsidRDefault="00943743">
            <w:pPr>
              <w:pStyle w:val="EMEANormal"/>
              <w:widowControl w:val="0"/>
              <w:suppressAutoHyphens w:val="0"/>
              <w:rPr>
                <w:del w:id="1109" w:author="AbbVie_HU_03" w:date="2025-05-14T15:27:00Z"/>
                <w:lang w:val="hu-HU"/>
              </w:rPr>
            </w:pPr>
            <w:del w:id="1110" w:author="AbbVie_HU_03" w:date="2025-05-14T15:27:00Z">
              <w:r w:rsidRPr="00183B5F">
                <w:rPr>
                  <w:lang w:val="hu-HU"/>
                </w:rPr>
                <w:delText xml:space="preserve">dyspepsia, </w:delText>
              </w:r>
            </w:del>
          </w:p>
          <w:p w14:paraId="6C715D27" w14:textId="4C8EDA8B" w:rsidR="00FB6710" w:rsidRPr="00183B5F" w:rsidRDefault="00943743">
            <w:pPr>
              <w:pStyle w:val="EMEANormal"/>
              <w:widowControl w:val="0"/>
              <w:suppressAutoHyphens w:val="0"/>
              <w:rPr>
                <w:del w:id="1111" w:author="AbbVie_HU_03" w:date="2025-05-14T15:27:00Z"/>
                <w:lang w:val="hu-HU"/>
              </w:rPr>
            </w:pPr>
            <w:del w:id="1112" w:author="AbbVie_HU_03" w:date="2025-05-14T15:27:00Z">
              <w:r w:rsidRPr="00183B5F">
                <w:rPr>
                  <w:lang w:val="hu-HU"/>
                </w:rPr>
                <w:delText>gastrooesophagealis reflux betegség,</w:delText>
              </w:r>
            </w:del>
          </w:p>
          <w:p w14:paraId="540F89FE" w14:textId="306A47B9" w:rsidR="00FB6710" w:rsidRPr="00183B5F" w:rsidRDefault="00943743">
            <w:pPr>
              <w:pStyle w:val="EMEANormal"/>
              <w:widowControl w:val="0"/>
              <w:suppressAutoHyphens w:val="0"/>
              <w:rPr>
                <w:del w:id="1113" w:author="AbbVie_HU_03" w:date="2025-05-14T15:27:00Z"/>
                <w:lang w:val="hu-HU"/>
              </w:rPr>
            </w:pPr>
            <w:del w:id="1114" w:author="AbbVie_HU_03" w:date="2025-05-14T15:27:00Z">
              <w:r w:rsidRPr="00183B5F">
                <w:rPr>
                  <w:lang w:val="hu-HU"/>
                </w:rPr>
                <w:delText>sicca-szindróma</w:delText>
              </w:r>
            </w:del>
          </w:p>
          <w:p w14:paraId="732DB39B" w14:textId="784E5F3E" w:rsidR="00FB6710" w:rsidRPr="00183B5F" w:rsidRDefault="00FB6710">
            <w:pPr>
              <w:pStyle w:val="EMEANormal"/>
              <w:widowControl w:val="0"/>
              <w:suppressAutoHyphens w:val="0"/>
              <w:rPr>
                <w:del w:id="1115" w:author="AbbVie_HU_03" w:date="2025-05-14T15:27:00Z"/>
                <w:lang w:val="hu-HU"/>
              </w:rPr>
            </w:pPr>
          </w:p>
        </w:tc>
      </w:tr>
      <w:tr w:rsidR="00011D2F" w14:paraId="484EBE19" w14:textId="2F83BBFC" w:rsidTr="00202B95">
        <w:trPr>
          <w:del w:id="1116" w:author="AbbVie_HU_03" w:date="2025-05-14T15:27:00Z"/>
        </w:trPr>
        <w:tc>
          <w:tcPr>
            <w:tcW w:w="2580" w:type="dxa"/>
            <w:vMerge/>
            <w:tcBorders>
              <w:bottom w:val="nil"/>
            </w:tcBorders>
          </w:tcPr>
          <w:p w14:paraId="0F1F453C" w14:textId="7225DEB2" w:rsidR="00FB6710" w:rsidRPr="00183B5F" w:rsidRDefault="00FB6710" w:rsidP="004062FE">
            <w:pPr>
              <w:widowControl w:val="0"/>
              <w:suppressAutoHyphens w:val="0"/>
              <w:spacing w:line="240" w:lineRule="auto"/>
              <w:jc w:val="center"/>
              <w:rPr>
                <w:del w:id="1117" w:author="AbbVie_HU_03" w:date="2025-05-14T15:27:00Z"/>
                <w:b/>
              </w:rPr>
            </w:pPr>
          </w:p>
        </w:tc>
        <w:tc>
          <w:tcPr>
            <w:tcW w:w="2030" w:type="dxa"/>
            <w:tcBorders>
              <w:top w:val="single" w:sz="4" w:space="0" w:color="auto"/>
              <w:bottom w:val="single" w:sz="4" w:space="0" w:color="auto"/>
            </w:tcBorders>
          </w:tcPr>
          <w:p w14:paraId="3DAFDB13" w14:textId="0E431421" w:rsidR="00FB6710" w:rsidRPr="00183B5F" w:rsidRDefault="00943743">
            <w:pPr>
              <w:pStyle w:val="EMEANormal"/>
              <w:widowControl w:val="0"/>
              <w:suppressAutoHyphens w:val="0"/>
              <w:rPr>
                <w:del w:id="1118" w:author="AbbVie_HU_03" w:date="2025-05-14T15:27:00Z"/>
                <w:lang w:val="hu-HU"/>
              </w:rPr>
            </w:pPr>
            <w:del w:id="1119" w:author="AbbVie_HU_03" w:date="2025-05-14T15:27:00Z">
              <w:r w:rsidRPr="00183B5F">
                <w:rPr>
                  <w:lang w:val="hu-HU"/>
                </w:rPr>
                <w:delText>Nem gyakori</w:delText>
              </w:r>
            </w:del>
          </w:p>
          <w:p w14:paraId="1E743E4C" w14:textId="3E67EEC9" w:rsidR="00FB6710" w:rsidRPr="00183B5F" w:rsidRDefault="00FB6710">
            <w:pPr>
              <w:pStyle w:val="EMEANormal"/>
              <w:widowControl w:val="0"/>
              <w:suppressAutoHyphens w:val="0"/>
              <w:rPr>
                <w:del w:id="1120" w:author="AbbVie_HU_03" w:date="2025-05-14T15:27:00Z"/>
                <w:lang w:val="hu-HU"/>
              </w:rPr>
            </w:pPr>
          </w:p>
          <w:p w14:paraId="6C86ADA4" w14:textId="344062B9" w:rsidR="00141699" w:rsidRPr="00183B5F" w:rsidRDefault="00141699">
            <w:pPr>
              <w:pStyle w:val="EMEANormal"/>
              <w:widowControl w:val="0"/>
              <w:suppressAutoHyphens w:val="0"/>
              <w:rPr>
                <w:del w:id="1121" w:author="AbbVie_HU_03" w:date="2025-05-14T15:27:00Z"/>
                <w:lang w:val="hu-HU"/>
              </w:rPr>
            </w:pPr>
          </w:p>
        </w:tc>
        <w:tc>
          <w:tcPr>
            <w:tcW w:w="4451" w:type="dxa"/>
            <w:tcBorders>
              <w:top w:val="single" w:sz="4" w:space="0" w:color="auto"/>
              <w:bottom w:val="single" w:sz="4" w:space="0" w:color="auto"/>
            </w:tcBorders>
          </w:tcPr>
          <w:p w14:paraId="05C06A16" w14:textId="27D90153" w:rsidR="00FB6710" w:rsidRPr="00183B5F" w:rsidRDefault="00943743">
            <w:pPr>
              <w:pStyle w:val="EMEANormal"/>
              <w:widowControl w:val="0"/>
              <w:suppressAutoHyphens w:val="0"/>
              <w:rPr>
                <w:del w:id="1122" w:author="AbbVie_HU_03" w:date="2025-05-14T15:27:00Z"/>
                <w:lang w:val="hu-HU"/>
              </w:rPr>
            </w:pPr>
            <w:del w:id="1123" w:author="AbbVie_HU_03" w:date="2025-05-14T15:27:00Z">
              <w:r w:rsidRPr="00183B5F">
                <w:rPr>
                  <w:lang w:val="hu-HU"/>
                </w:rPr>
                <w:delText xml:space="preserve">Pancreatitis, </w:delText>
              </w:r>
            </w:del>
          </w:p>
          <w:p w14:paraId="41B28B0F" w14:textId="6D410A87" w:rsidR="00FB6710" w:rsidRPr="00183B5F" w:rsidRDefault="00943743">
            <w:pPr>
              <w:pStyle w:val="EMEANormal"/>
              <w:widowControl w:val="0"/>
              <w:suppressAutoHyphens w:val="0"/>
              <w:rPr>
                <w:del w:id="1124" w:author="AbbVie_HU_03" w:date="2025-05-14T15:27:00Z"/>
                <w:lang w:val="hu-HU"/>
              </w:rPr>
            </w:pPr>
            <w:del w:id="1125" w:author="AbbVie_HU_03" w:date="2025-05-14T15:27:00Z">
              <w:r w:rsidRPr="00183B5F">
                <w:rPr>
                  <w:lang w:val="hu-HU"/>
                </w:rPr>
                <w:delText>dysphagia</w:delText>
              </w:r>
            </w:del>
          </w:p>
          <w:p w14:paraId="798D99B5" w14:textId="255B02B6" w:rsidR="00141699" w:rsidRPr="00183B5F" w:rsidRDefault="00943743">
            <w:pPr>
              <w:pStyle w:val="EMEANormal"/>
              <w:widowControl w:val="0"/>
              <w:suppressAutoHyphens w:val="0"/>
              <w:rPr>
                <w:del w:id="1126" w:author="AbbVie_HU_03" w:date="2025-05-14T15:27:00Z"/>
                <w:lang w:val="hu-HU"/>
              </w:rPr>
            </w:pPr>
            <w:del w:id="1127" w:author="AbbVie_HU_03" w:date="2025-05-14T15:27:00Z">
              <w:r w:rsidRPr="00183B5F">
                <w:rPr>
                  <w:lang w:val="hu-HU"/>
                </w:rPr>
                <w:delText>arc-oedema</w:delText>
              </w:r>
            </w:del>
          </w:p>
        </w:tc>
      </w:tr>
      <w:tr w:rsidR="00011D2F" w14:paraId="107790F1" w14:textId="65A64FA1" w:rsidTr="00202B95">
        <w:trPr>
          <w:del w:id="1128" w:author="AbbVie_HU_03" w:date="2025-05-14T15:27:00Z"/>
        </w:trPr>
        <w:tc>
          <w:tcPr>
            <w:tcW w:w="2580" w:type="dxa"/>
            <w:tcBorders>
              <w:top w:val="nil"/>
              <w:bottom w:val="single" w:sz="4" w:space="0" w:color="auto"/>
            </w:tcBorders>
          </w:tcPr>
          <w:p w14:paraId="0FDF9CFA" w14:textId="6BCF9167" w:rsidR="001165C9" w:rsidRPr="00183B5F" w:rsidRDefault="001165C9" w:rsidP="004062FE">
            <w:pPr>
              <w:widowControl w:val="0"/>
              <w:suppressAutoHyphens w:val="0"/>
              <w:spacing w:line="240" w:lineRule="auto"/>
              <w:jc w:val="center"/>
              <w:rPr>
                <w:del w:id="1129" w:author="AbbVie_HU_03" w:date="2025-05-14T15:27:00Z"/>
                <w:b/>
              </w:rPr>
            </w:pPr>
          </w:p>
        </w:tc>
        <w:tc>
          <w:tcPr>
            <w:tcW w:w="2030" w:type="dxa"/>
            <w:tcBorders>
              <w:top w:val="single" w:sz="4" w:space="0" w:color="auto"/>
              <w:bottom w:val="single" w:sz="4" w:space="0" w:color="auto"/>
            </w:tcBorders>
          </w:tcPr>
          <w:p w14:paraId="1095D8C6" w14:textId="3FB9945B" w:rsidR="001165C9" w:rsidRPr="00183B5F" w:rsidRDefault="00943743">
            <w:pPr>
              <w:pStyle w:val="EMEANormal"/>
              <w:widowControl w:val="0"/>
              <w:suppressAutoHyphens w:val="0"/>
              <w:rPr>
                <w:del w:id="1130" w:author="AbbVie_HU_03" w:date="2025-05-14T15:27:00Z"/>
                <w:lang w:val="hu-HU"/>
              </w:rPr>
            </w:pPr>
            <w:del w:id="1131" w:author="AbbVie_HU_03" w:date="2025-05-14T15:27:00Z">
              <w:r w:rsidRPr="00183B5F">
                <w:rPr>
                  <w:lang w:val="hu-HU"/>
                </w:rPr>
                <w:delText>Ritka</w:delText>
              </w:r>
            </w:del>
          </w:p>
        </w:tc>
        <w:tc>
          <w:tcPr>
            <w:tcW w:w="4451" w:type="dxa"/>
            <w:tcBorders>
              <w:top w:val="single" w:sz="4" w:space="0" w:color="auto"/>
              <w:bottom w:val="single" w:sz="4" w:space="0" w:color="auto"/>
            </w:tcBorders>
          </w:tcPr>
          <w:p w14:paraId="5FA9CF03" w14:textId="1BF37398" w:rsidR="001165C9" w:rsidRPr="00183B5F" w:rsidRDefault="00943743">
            <w:pPr>
              <w:pStyle w:val="EMEANormal"/>
              <w:widowControl w:val="0"/>
              <w:suppressAutoHyphens w:val="0"/>
              <w:rPr>
                <w:del w:id="1132" w:author="AbbVie_HU_03" w:date="2025-05-14T15:27:00Z"/>
                <w:lang w:val="hu-HU"/>
              </w:rPr>
            </w:pPr>
            <w:del w:id="1133" w:author="AbbVie_HU_03" w:date="2025-05-14T15:27:00Z">
              <w:r w:rsidRPr="00183B5F">
                <w:rPr>
                  <w:lang w:val="hu-HU"/>
                </w:rPr>
                <w:delText>Bélperforatio</w:delText>
              </w:r>
              <w:r w:rsidRPr="00183B5F">
                <w:rPr>
                  <w:vertAlign w:val="superscript"/>
                  <w:lang w:val="hu-HU"/>
                </w:rPr>
                <w:delText>1)</w:delText>
              </w:r>
            </w:del>
          </w:p>
        </w:tc>
      </w:tr>
      <w:tr w:rsidR="00011D2F" w14:paraId="4BBB7AC4" w14:textId="0275A0ED" w:rsidTr="00202B95">
        <w:trPr>
          <w:del w:id="1134" w:author="AbbVie_HU_03" w:date="2025-05-14T15:27:00Z"/>
        </w:trPr>
        <w:tc>
          <w:tcPr>
            <w:tcW w:w="2580" w:type="dxa"/>
            <w:vMerge w:val="restart"/>
            <w:tcBorders>
              <w:bottom w:val="single" w:sz="4" w:space="0" w:color="auto"/>
            </w:tcBorders>
          </w:tcPr>
          <w:p w14:paraId="560021C6" w14:textId="00D57B4D" w:rsidR="00FB6710" w:rsidRPr="00183B5F" w:rsidRDefault="00943743" w:rsidP="004062FE">
            <w:pPr>
              <w:pStyle w:val="EMEANormal"/>
              <w:widowControl w:val="0"/>
              <w:suppressAutoHyphens w:val="0"/>
              <w:rPr>
                <w:del w:id="1135" w:author="AbbVie_HU_03" w:date="2025-05-14T15:27:00Z"/>
                <w:szCs w:val="22"/>
                <w:lang w:val="hu-HU"/>
              </w:rPr>
            </w:pPr>
            <w:del w:id="1136" w:author="AbbVie_HU_03" w:date="2025-05-14T15:27:00Z">
              <w:r w:rsidRPr="00183B5F">
                <w:rPr>
                  <w:szCs w:val="22"/>
                  <w:lang w:val="hu-HU"/>
                </w:rPr>
                <w:delText>Máj- és epebetegségek, illetve tünetek*</w:delText>
              </w:r>
            </w:del>
          </w:p>
        </w:tc>
        <w:tc>
          <w:tcPr>
            <w:tcW w:w="2030" w:type="dxa"/>
            <w:tcBorders>
              <w:bottom w:val="single" w:sz="4" w:space="0" w:color="auto"/>
            </w:tcBorders>
          </w:tcPr>
          <w:p w14:paraId="5E1C99EC" w14:textId="119B09A8" w:rsidR="00FB6710" w:rsidRPr="00183B5F" w:rsidRDefault="00943743" w:rsidP="004062FE">
            <w:pPr>
              <w:pStyle w:val="EMEANormal"/>
              <w:widowControl w:val="0"/>
              <w:suppressAutoHyphens w:val="0"/>
              <w:rPr>
                <w:del w:id="1137" w:author="AbbVie_HU_03" w:date="2025-05-14T15:27:00Z"/>
                <w:lang w:val="hu-HU"/>
              </w:rPr>
            </w:pPr>
            <w:del w:id="1138" w:author="AbbVie_HU_03" w:date="2025-05-14T15:27:00Z">
              <w:r w:rsidRPr="00183B5F">
                <w:rPr>
                  <w:lang w:val="hu-HU"/>
                </w:rPr>
                <w:delText>Nagyon gyakori</w:delText>
              </w:r>
            </w:del>
          </w:p>
        </w:tc>
        <w:tc>
          <w:tcPr>
            <w:tcW w:w="4451" w:type="dxa"/>
            <w:tcBorders>
              <w:bottom w:val="single" w:sz="4" w:space="0" w:color="auto"/>
            </w:tcBorders>
          </w:tcPr>
          <w:p w14:paraId="0A49C948" w14:textId="16B6EB82" w:rsidR="00FB6710" w:rsidRPr="00183B5F" w:rsidRDefault="00943743" w:rsidP="004062FE">
            <w:pPr>
              <w:pStyle w:val="EMEANormal"/>
              <w:widowControl w:val="0"/>
              <w:suppressAutoHyphens w:val="0"/>
              <w:rPr>
                <w:del w:id="1139" w:author="AbbVie_HU_03" w:date="2025-05-14T15:27:00Z"/>
                <w:lang w:val="hu-HU"/>
              </w:rPr>
            </w:pPr>
            <w:del w:id="1140" w:author="AbbVie_HU_03" w:date="2025-05-14T15:27:00Z">
              <w:r w:rsidRPr="00183B5F">
                <w:rPr>
                  <w:lang w:val="hu-HU"/>
                </w:rPr>
                <w:delText xml:space="preserve">Emelkedett májenzimszintek </w:delText>
              </w:r>
            </w:del>
          </w:p>
        </w:tc>
      </w:tr>
      <w:tr w:rsidR="00011D2F" w14:paraId="52DAD3D5" w14:textId="221B848E" w:rsidTr="00202B95">
        <w:trPr>
          <w:del w:id="1141" w:author="AbbVie_HU_03" w:date="2025-05-14T15:27:00Z"/>
        </w:trPr>
        <w:tc>
          <w:tcPr>
            <w:tcW w:w="2580" w:type="dxa"/>
            <w:vMerge/>
            <w:tcBorders>
              <w:top w:val="single" w:sz="4" w:space="0" w:color="auto"/>
              <w:bottom w:val="nil"/>
            </w:tcBorders>
          </w:tcPr>
          <w:p w14:paraId="7261801A" w14:textId="75AB52E3" w:rsidR="00FB6710" w:rsidRPr="00183B5F" w:rsidRDefault="00FB6710" w:rsidP="004062FE">
            <w:pPr>
              <w:pStyle w:val="EMEANormal"/>
              <w:widowControl w:val="0"/>
              <w:suppressAutoHyphens w:val="0"/>
              <w:rPr>
                <w:del w:id="1142" w:author="AbbVie_HU_03" w:date="2025-05-14T15:27:00Z"/>
                <w:lang w:val="hu-HU"/>
              </w:rPr>
            </w:pPr>
          </w:p>
        </w:tc>
        <w:tc>
          <w:tcPr>
            <w:tcW w:w="2030" w:type="dxa"/>
            <w:tcBorders>
              <w:top w:val="single" w:sz="4" w:space="0" w:color="auto"/>
              <w:bottom w:val="single" w:sz="4" w:space="0" w:color="auto"/>
            </w:tcBorders>
          </w:tcPr>
          <w:p w14:paraId="217C498D" w14:textId="0280133F" w:rsidR="00FB6710" w:rsidRPr="00183B5F" w:rsidRDefault="00943743">
            <w:pPr>
              <w:pStyle w:val="EMEANormal"/>
              <w:widowControl w:val="0"/>
              <w:suppressAutoHyphens w:val="0"/>
              <w:rPr>
                <w:del w:id="1143" w:author="AbbVie_HU_03" w:date="2025-05-14T15:27:00Z"/>
                <w:lang w:val="hu-HU"/>
              </w:rPr>
            </w:pPr>
            <w:del w:id="1144" w:author="AbbVie_HU_03" w:date="2025-05-14T15:27:00Z">
              <w:r w:rsidRPr="00183B5F">
                <w:rPr>
                  <w:lang w:val="hu-HU"/>
                </w:rPr>
                <w:delText>Nem gyakori</w:delText>
              </w:r>
            </w:del>
          </w:p>
          <w:p w14:paraId="381E7379" w14:textId="066EFCE8" w:rsidR="008B78D5" w:rsidRPr="00183B5F" w:rsidRDefault="008B78D5">
            <w:pPr>
              <w:pStyle w:val="EMEANormal"/>
              <w:widowControl w:val="0"/>
              <w:suppressAutoHyphens w:val="0"/>
              <w:rPr>
                <w:del w:id="1145" w:author="AbbVie_HU_03" w:date="2025-05-14T15:27:00Z"/>
                <w:lang w:val="hu-HU"/>
              </w:rPr>
            </w:pPr>
          </w:p>
          <w:p w14:paraId="0340CD37" w14:textId="6AE8F96B" w:rsidR="008B78D5" w:rsidRPr="00183B5F" w:rsidRDefault="008B78D5">
            <w:pPr>
              <w:pStyle w:val="EMEANormal"/>
              <w:widowControl w:val="0"/>
              <w:suppressAutoHyphens w:val="0"/>
              <w:rPr>
                <w:del w:id="1146" w:author="AbbVie_HU_03" w:date="2025-05-14T15:27:00Z"/>
                <w:lang w:val="hu-HU"/>
              </w:rPr>
            </w:pPr>
          </w:p>
        </w:tc>
        <w:tc>
          <w:tcPr>
            <w:tcW w:w="4451" w:type="dxa"/>
            <w:tcBorders>
              <w:top w:val="single" w:sz="4" w:space="0" w:color="auto"/>
              <w:bottom w:val="single" w:sz="4" w:space="0" w:color="auto"/>
            </w:tcBorders>
          </w:tcPr>
          <w:p w14:paraId="680D6BCE" w14:textId="77C9C1A4" w:rsidR="00FB6710" w:rsidRPr="00183B5F" w:rsidRDefault="00943743">
            <w:pPr>
              <w:pStyle w:val="EMEANormal"/>
              <w:widowControl w:val="0"/>
              <w:suppressAutoHyphens w:val="0"/>
              <w:rPr>
                <w:del w:id="1147" w:author="AbbVie_HU_03" w:date="2025-05-14T15:27:00Z"/>
                <w:lang w:val="hu-HU"/>
              </w:rPr>
            </w:pPr>
            <w:del w:id="1148" w:author="AbbVie_HU_03" w:date="2025-05-14T15:27:00Z">
              <w:r w:rsidRPr="00183B5F">
                <w:rPr>
                  <w:lang w:val="hu-HU"/>
                </w:rPr>
                <w:delText xml:space="preserve">Cholecystitis és cholelithiasis, </w:delText>
              </w:r>
            </w:del>
          </w:p>
          <w:p w14:paraId="65ED99D9" w14:textId="08A5FBB8" w:rsidR="00141699" w:rsidRPr="00183B5F" w:rsidRDefault="00943743">
            <w:pPr>
              <w:pStyle w:val="EMEANormal"/>
              <w:widowControl w:val="0"/>
              <w:suppressAutoHyphens w:val="0"/>
              <w:rPr>
                <w:del w:id="1149" w:author="AbbVie_HU_03" w:date="2025-05-14T15:27:00Z"/>
                <w:lang w:val="hu-HU"/>
              </w:rPr>
            </w:pPr>
            <w:del w:id="1150" w:author="AbbVie_HU_03" w:date="2025-05-14T15:27:00Z">
              <w:r w:rsidRPr="00183B5F">
                <w:rPr>
                  <w:lang w:val="hu-HU"/>
                </w:rPr>
                <w:delText>steatosis hepatis,</w:delText>
              </w:r>
            </w:del>
          </w:p>
          <w:p w14:paraId="67340CC5" w14:textId="0C833F2E" w:rsidR="00312519" w:rsidRPr="00183B5F" w:rsidRDefault="00943743" w:rsidP="004062FE">
            <w:pPr>
              <w:pStyle w:val="EMEANormal"/>
              <w:widowControl w:val="0"/>
              <w:rPr>
                <w:del w:id="1151" w:author="AbbVie_HU_03" w:date="2025-05-14T15:27:00Z"/>
                <w:lang w:val="hu-HU"/>
              </w:rPr>
            </w:pPr>
            <w:del w:id="1152" w:author="AbbVie_HU_03" w:date="2025-05-14T15:27:00Z">
              <w:r w:rsidRPr="00183B5F">
                <w:rPr>
                  <w:lang w:val="hu-HU"/>
                </w:rPr>
                <w:delText xml:space="preserve">emelkedett bilirubinszint  </w:delText>
              </w:r>
            </w:del>
          </w:p>
        </w:tc>
      </w:tr>
      <w:tr w:rsidR="00011D2F" w14:paraId="74E887C0" w14:textId="2C3D9C9E" w:rsidTr="00202B95">
        <w:trPr>
          <w:del w:id="1153" w:author="AbbVie_HU_03" w:date="2025-05-14T15:27:00Z"/>
        </w:trPr>
        <w:tc>
          <w:tcPr>
            <w:tcW w:w="2580" w:type="dxa"/>
            <w:tcBorders>
              <w:top w:val="nil"/>
              <w:bottom w:val="nil"/>
            </w:tcBorders>
          </w:tcPr>
          <w:p w14:paraId="2FFD6C4B" w14:textId="14B901F2" w:rsidR="001165C9" w:rsidRPr="00183B5F" w:rsidRDefault="001165C9" w:rsidP="004062FE">
            <w:pPr>
              <w:pStyle w:val="EMEANormal"/>
              <w:widowControl w:val="0"/>
              <w:suppressAutoHyphens w:val="0"/>
              <w:rPr>
                <w:del w:id="1154" w:author="AbbVie_HU_03" w:date="2025-05-14T15:27:00Z"/>
                <w:lang w:val="hu-HU"/>
              </w:rPr>
            </w:pPr>
          </w:p>
        </w:tc>
        <w:tc>
          <w:tcPr>
            <w:tcW w:w="2030" w:type="dxa"/>
            <w:tcBorders>
              <w:top w:val="single" w:sz="4" w:space="0" w:color="auto"/>
              <w:bottom w:val="single" w:sz="4" w:space="0" w:color="auto"/>
            </w:tcBorders>
          </w:tcPr>
          <w:p w14:paraId="283051E3" w14:textId="5DC74CE2" w:rsidR="001165C9" w:rsidRPr="00183B5F" w:rsidRDefault="00943743">
            <w:pPr>
              <w:pStyle w:val="EMEANormal"/>
              <w:widowControl w:val="0"/>
              <w:suppressAutoHyphens w:val="0"/>
              <w:rPr>
                <w:del w:id="1155" w:author="AbbVie_HU_03" w:date="2025-05-14T15:27:00Z"/>
                <w:lang w:val="hu-HU"/>
              </w:rPr>
            </w:pPr>
            <w:del w:id="1156" w:author="AbbVie_HU_03" w:date="2025-05-14T15:27:00Z">
              <w:r w:rsidRPr="00183B5F">
                <w:rPr>
                  <w:lang w:val="hu-HU"/>
                </w:rPr>
                <w:delText>Ritka</w:delText>
              </w:r>
            </w:del>
          </w:p>
        </w:tc>
        <w:tc>
          <w:tcPr>
            <w:tcW w:w="4451" w:type="dxa"/>
            <w:tcBorders>
              <w:top w:val="single" w:sz="4" w:space="0" w:color="auto"/>
              <w:bottom w:val="single" w:sz="4" w:space="0" w:color="auto"/>
            </w:tcBorders>
          </w:tcPr>
          <w:p w14:paraId="60C246BB" w14:textId="63D2EBBF" w:rsidR="001165C9" w:rsidRPr="00183B5F" w:rsidRDefault="00943743">
            <w:pPr>
              <w:pStyle w:val="EMEANormal"/>
              <w:widowControl w:val="0"/>
              <w:suppressAutoHyphens w:val="0"/>
              <w:rPr>
                <w:del w:id="1157" w:author="AbbVie_HU_03" w:date="2025-05-14T15:27:00Z"/>
                <w:lang w:val="hu-HU"/>
              </w:rPr>
            </w:pPr>
            <w:del w:id="1158" w:author="AbbVie_HU_03" w:date="2025-05-14T15:27:00Z">
              <w:r w:rsidRPr="00183B5F">
                <w:rPr>
                  <w:lang w:val="hu-HU"/>
                </w:rPr>
                <w:delText>Hepatitis</w:delText>
              </w:r>
            </w:del>
          </w:p>
          <w:p w14:paraId="182068E6" w14:textId="1A4FF258" w:rsidR="001165C9" w:rsidRPr="00183B5F" w:rsidRDefault="00943743">
            <w:pPr>
              <w:pStyle w:val="EMEANormal"/>
              <w:widowControl w:val="0"/>
              <w:suppressAutoHyphens w:val="0"/>
              <w:rPr>
                <w:del w:id="1159" w:author="AbbVie_HU_03" w:date="2025-05-14T15:27:00Z"/>
                <w:lang w:val="hu-HU"/>
              </w:rPr>
            </w:pPr>
            <w:del w:id="1160" w:author="AbbVie_HU_03" w:date="2025-05-14T15:27:00Z">
              <w:r w:rsidRPr="00183B5F">
                <w:rPr>
                  <w:lang w:val="hu-HU"/>
                </w:rPr>
                <w:delText>a hepatitis B reaktiválódása</w:delText>
              </w:r>
              <w:r w:rsidRPr="00183B5F">
                <w:rPr>
                  <w:vertAlign w:val="superscript"/>
                  <w:lang w:val="hu-HU"/>
                </w:rPr>
                <w:delText>1)</w:delText>
              </w:r>
            </w:del>
          </w:p>
          <w:p w14:paraId="2E6507C9" w14:textId="5F7525F2" w:rsidR="001165C9" w:rsidRPr="00183B5F" w:rsidRDefault="00943743">
            <w:pPr>
              <w:pStyle w:val="EMEANormal"/>
              <w:widowControl w:val="0"/>
              <w:suppressAutoHyphens w:val="0"/>
              <w:rPr>
                <w:del w:id="1161" w:author="AbbVie_HU_03" w:date="2025-05-14T15:27:00Z"/>
                <w:lang w:val="hu-HU"/>
              </w:rPr>
            </w:pPr>
            <w:del w:id="1162" w:author="AbbVie_HU_03" w:date="2025-05-14T15:27:00Z">
              <w:r w:rsidRPr="00183B5F">
                <w:rPr>
                  <w:lang w:val="hu-HU"/>
                </w:rPr>
                <w:delText>autoimmun hepatitis</w:delText>
              </w:r>
              <w:r w:rsidRPr="00183B5F">
                <w:rPr>
                  <w:vertAlign w:val="superscript"/>
                  <w:lang w:val="hu-HU"/>
                </w:rPr>
                <w:delText>1)</w:delText>
              </w:r>
            </w:del>
          </w:p>
        </w:tc>
      </w:tr>
      <w:tr w:rsidR="00011D2F" w14:paraId="5DEE0C46" w14:textId="052AB938" w:rsidTr="00202B95">
        <w:trPr>
          <w:del w:id="1163" w:author="AbbVie_HU_03" w:date="2025-05-14T15:27:00Z"/>
        </w:trPr>
        <w:tc>
          <w:tcPr>
            <w:tcW w:w="2580" w:type="dxa"/>
            <w:tcBorders>
              <w:top w:val="nil"/>
            </w:tcBorders>
          </w:tcPr>
          <w:p w14:paraId="17ACD9DF" w14:textId="52AE1BDC" w:rsidR="001165C9" w:rsidRPr="00183B5F" w:rsidRDefault="001165C9" w:rsidP="004062FE">
            <w:pPr>
              <w:pStyle w:val="EMEANormal"/>
              <w:widowControl w:val="0"/>
              <w:suppressAutoHyphens w:val="0"/>
              <w:rPr>
                <w:del w:id="1164" w:author="AbbVie_HU_03" w:date="2025-05-14T15:27:00Z"/>
                <w:lang w:val="hu-HU"/>
              </w:rPr>
            </w:pPr>
          </w:p>
        </w:tc>
        <w:tc>
          <w:tcPr>
            <w:tcW w:w="2030" w:type="dxa"/>
            <w:tcBorders>
              <w:top w:val="single" w:sz="4" w:space="0" w:color="auto"/>
              <w:bottom w:val="single" w:sz="4" w:space="0" w:color="auto"/>
            </w:tcBorders>
          </w:tcPr>
          <w:p w14:paraId="5D2F0312" w14:textId="6220C2E1" w:rsidR="001165C9" w:rsidRPr="00183B5F" w:rsidRDefault="00943743">
            <w:pPr>
              <w:pStyle w:val="EMEANormal"/>
              <w:widowControl w:val="0"/>
              <w:suppressAutoHyphens w:val="0"/>
              <w:rPr>
                <w:del w:id="1165" w:author="AbbVie_HU_03" w:date="2025-05-14T15:27:00Z"/>
                <w:lang w:val="hu-HU"/>
              </w:rPr>
            </w:pPr>
            <w:del w:id="1166" w:author="AbbVie_HU_03" w:date="2025-05-14T15:27:00Z">
              <w:r w:rsidRPr="00183B5F">
                <w:rPr>
                  <w:lang w:val="hu-HU"/>
                </w:rPr>
                <w:delText>Nem ismert</w:delText>
              </w:r>
            </w:del>
          </w:p>
        </w:tc>
        <w:tc>
          <w:tcPr>
            <w:tcW w:w="4451" w:type="dxa"/>
            <w:tcBorders>
              <w:top w:val="single" w:sz="4" w:space="0" w:color="auto"/>
              <w:bottom w:val="single" w:sz="4" w:space="0" w:color="auto"/>
            </w:tcBorders>
          </w:tcPr>
          <w:p w14:paraId="6F95B92E" w14:textId="585D0F8F" w:rsidR="001165C9" w:rsidRPr="00183B5F" w:rsidRDefault="00943743">
            <w:pPr>
              <w:pStyle w:val="EMEANormal"/>
              <w:widowControl w:val="0"/>
              <w:suppressAutoHyphens w:val="0"/>
              <w:rPr>
                <w:del w:id="1167" w:author="AbbVie_HU_03" w:date="2025-05-14T15:27:00Z"/>
                <w:lang w:val="hu-HU"/>
              </w:rPr>
            </w:pPr>
            <w:del w:id="1168" w:author="AbbVie_HU_03" w:date="2025-05-14T15:27:00Z">
              <w:r w:rsidRPr="00183B5F">
                <w:rPr>
                  <w:lang w:val="hu-HU"/>
                </w:rPr>
                <w:delText>Májelégtelenség</w:delText>
              </w:r>
              <w:r w:rsidRPr="00183B5F">
                <w:rPr>
                  <w:vertAlign w:val="superscript"/>
                  <w:lang w:val="hu-HU"/>
                </w:rPr>
                <w:delText>1)</w:delText>
              </w:r>
            </w:del>
          </w:p>
        </w:tc>
      </w:tr>
      <w:tr w:rsidR="00011D2F" w14:paraId="0B57CFC9" w14:textId="69597A5F" w:rsidTr="00202B95">
        <w:trPr>
          <w:del w:id="1169" w:author="AbbVie_HU_03" w:date="2025-05-14T15:27:00Z"/>
        </w:trPr>
        <w:tc>
          <w:tcPr>
            <w:tcW w:w="2580" w:type="dxa"/>
            <w:vMerge w:val="restart"/>
          </w:tcPr>
          <w:p w14:paraId="1059CF4C" w14:textId="3337A7C6" w:rsidR="00FB6710" w:rsidRPr="00183B5F" w:rsidRDefault="00943743" w:rsidP="004062FE">
            <w:pPr>
              <w:pStyle w:val="EMEANormal"/>
              <w:keepNext/>
              <w:widowControl w:val="0"/>
              <w:suppressAutoHyphens w:val="0"/>
              <w:rPr>
                <w:del w:id="1170" w:author="AbbVie_HU_03" w:date="2025-05-14T15:27:00Z"/>
                <w:szCs w:val="22"/>
                <w:lang w:val="hu-HU"/>
              </w:rPr>
            </w:pPr>
            <w:del w:id="1171" w:author="AbbVie_HU_03" w:date="2025-05-14T15:27:00Z">
              <w:r w:rsidRPr="00183B5F">
                <w:rPr>
                  <w:szCs w:val="22"/>
                  <w:lang w:val="hu-HU"/>
                </w:rPr>
                <w:delText>A bőr és a bőr alatti szövet betegségei és tünetei</w:delText>
              </w:r>
            </w:del>
          </w:p>
        </w:tc>
        <w:tc>
          <w:tcPr>
            <w:tcW w:w="2030" w:type="dxa"/>
            <w:tcBorders>
              <w:bottom w:val="single" w:sz="4" w:space="0" w:color="auto"/>
            </w:tcBorders>
          </w:tcPr>
          <w:p w14:paraId="60723F5E" w14:textId="2C6C68DD" w:rsidR="00FB6710" w:rsidRPr="00183B5F" w:rsidRDefault="00943743" w:rsidP="004062FE">
            <w:pPr>
              <w:pStyle w:val="EMEANormal"/>
              <w:keepNext/>
              <w:widowControl w:val="0"/>
              <w:suppressAutoHyphens w:val="0"/>
              <w:rPr>
                <w:del w:id="1172" w:author="AbbVie_HU_03" w:date="2025-05-14T15:27:00Z"/>
                <w:lang w:val="hu-HU"/>
              </w:rPr>
            </w:pPr>
            <w:del w:id="1173" w:author="AbbVie_HU_03" w:date="2025-05-14T15:27:00Z">
              <w:r w:rsidRPr="00183B5F">
                <w:rPr>
                  <w:lang w:val="hu-HU"/>
                </w:rPr>
                <w:delText>Nagyon gyakori</w:delText>
              </w:r>
            </w:del>
          </w:p>
        </w:tc>
        <w:tc>
          <w:tcPr>
            <w:tcW w:w="4451" w:type="dxa"/>
            <w:tcBorders>
              <w:bottom w:val="single" w:sz="4" w:space="0" w:color="auto"/>
            </w:tcBorders>
          </w:tcPr>
          <w:p w14:paraId="19F5F229" w14:textId="4F076278" w:rsidR="00FB6710" w:rsidRPr="00183B5F" w:rsidRDefault="00943743">
            <w:pPr>
              <w:pStyle w:val="EMEANormal"/>
              <w:keepNext/>
              <w:widowControl w:val="0"/>
              <w:suppressAutoHyphens w:val="0"/>
              <w:rPr>
                <w:del w:id="1174" w:author="AbbVie_HU_03" w:date="2025-05-14T15:27:00Z"/>
                <w:lang w:val="hu-HU"/>
              </w:rPr>
            </w:pPr>
            <w:del w:id="1175" w:author="AbbVie_HU_03" w:date="2025-05-14T15:27:00Z">
              <w:r w:rsidRPr="00183B5F">
                <w:rPr>
                  <w:lang w:val="hu-HU"/>
                </w:rPr>
                <w:delText>Bőrkiütés (beleértve az exfoliativ bőrkiütést is)</w:delText>
              </w:r>
            </w:del>
          </w:p>
        </w:tc>
      </w:tr>
      <w:tr w:rsidR="00011D2F" w14:paraId="517A8691" w14:textId="59DD45EE" w:rsidTr="00202B95">
        <w:trPr>
          <w:del w:id="1176" w:author="AbbVie_HU_03" w:date="2025-05-14T15:27:00Z"/>
        </w:trPr>
        <w:tc>
          <w:tcPr>
            <w:tcW w:w="2580" w:type="dxa"/>
            <w:vMerge/>
          </w:tcPr>
          <w:p w14:paraId="42CB1109" w14:textId="28B8741E" w:rsidR="00FB6710" w:rsidRPr="00183B5F" w:rsidRDefault="00FB6710" w:rsidP="004062FE">
            <w:pPr>
              <w:widowControl w:val="0"/>
              <w:suppressAutoHyphens w:val="0"/>
              <w:spacing w:line="240" w:lineRule="auto"/>
              <w:jc w:val="center"/>
              <w:rPr>
                <w:del w:id="1177" w:author="AbbVie_HU_03" w:date="2025-05-14T15:27:00Z"/>
                <w:b/>
              </w:rPr>
            </w:pPr>
          </w:p>
        </w:tc>
        <w:tc>
          <w:tcPr>
            <w:tcW w:w="2030" w:type="dxa"/>
            <w:tcBorders>
              <w:top w:val="single" w:sz="4" w:space="0" w:color="auto"/>
              <w:bottom w:val="single" w:sz="4" w:space="0" w:color="auto"/>
            </w:tcBorders>
          </w:tcPr>
          <w:p w14:paraId="035956E5" w14:textId="31FDDE60" w:rsidR="00FB6710" w:rsidRPr="00183B5F" w:rsidRDefault="00943743">
            <w:pPr>
              <w:pStyle w:val="EMEANormal"/>
              <w:widowControl w:val="0"/>
              <w:suppressAutoHyphens w:val="0"/>
              <w:rPr>
                <w:del w:id="1178" w:author="AbbVie_HU_03" w:date="2025-05-14T15:27:00Z"/>
                <w:lang w:val="hu-HU"/>
              </w:rPr>
            </w:pPr>
            <w:del w:id="1179" w:author="AbbVie_HU_03" w:date="2025-05-14T15:27:00Z">
              <w:r w:rsidRPr="00183B5F">
                <w:rPr>
                  <w:lang w:val="hu-HU"/>
                </w:rPr>
                <w:delText>Gyakori</w:delText>
              </w:r>
            </w:del>
          </w:p>
          <w:p w14:paraId="156753C1" w14:textId="7348C531" w:rsidR="00FB6710" w:rsidRPr="00183B5F" w:rsidRDefault="00FB6710">
            <w:pPr>
              <w:pStyle w:val="EMEANormal"/>
              <w:widowControl w:val="0"/>
              <w:suppressAutoHyphens w:val="0"/>
              <w:rPr>
                <w:del w:id="1180" w:author="AbbVie_HU_03" w:date="2025-05-14T15:27:00Z"/>
                <w:lang w:val="hu-HU"/>
              </w:rPr>
            </w:pPr>
          </w:p>
        </w:tc>
        <w:tc>
          <w:tcPr>
            <w:tcW w:w="4451" w:type="dxa"/>
            <w:tcBorders>
              <w:top w:val="single" w:sz="4" w:space="0" w:color="auto"/>
              <w:bottom w:val="single" w:sz="4" w:space="0" w:color="auto"/>
            </w:tcBorders>
          </w:tcPr>
          <w:p w14:paraId="3804CE4F" w14:textId="1525FCCC" w:rsidR="002B089B" w:rsidRPr="00183B5F" w:rsidRDefault="00943743">
            <w:pPr>
              <w:pStyle w:val="EMEANormal"/>
              <w:widowControl w:val="0"/>
              <w:suppressAutoHyphens w:val="0"/>
              <w:rPr>
                <w:del w:id="1181" w:author="AbbVie_HU_03" w:date="2025-05-14T15:27:00Z"/>
                <w:lang w:val="hu-HU"/>
              </w:rPr>
            </w:pPr>
            <w:del w:id="1182" w:author="AbbVie_HU_03" w:date="2025-05-14T15:27:00Z">
              <w:r w:rsidRPr="00183B5F">
                <w:rPr>
                  <w:lang w:val="hu-HU"/>
                </w:rPr>
                <w:delText>Súlyosbodó</w:delText>
              </w:r>
              <w:r w:rsidR="005644D7" w:rsidRPr="00183B5F">
                <w:rPr>
                  <w:lang w:val="hu-HU"/>
                </w:rPr>
                <w:delText>, illetve újonnan kialakul</w:delText>
              </w:r>
              <w:r w:rsidRPr="00183B5F">
                <w:rPr>
                  <w:lang w:val="hu-HU"/>
                </w:rPr>
                <w:delText>ó</w:delText>
              </w:r>
              <w:r w:rsidR="005644D7" w:rsidRPr="00183B5F">
                <w:rPr>
                  <w:lang w:val="hu-HU"/>
                </w:rPr>
                <w:delText xml:space="preserve"> </w:delText>
              </w:r>
              <w:r w:rsidRPr="00183B5F">
                <w:rPr>
                  <w:lang w:val="hu-HU"/>
                </w:rPr>
                <w:delText xml:space="preserve">psoriasis </w:delText>
              </w:r>
              <w:r w:rsidR="005644D7" w:rsidRPr="00183B5F">
                <w:rPr>
                  <w:lang w:val="hu-HU"/>
                </w:rPr>
                <w:delText>(beleértve a palmoplantaris pustulosus psoriasist)</w:delText>
              </w:r>
              <w:r w:rsidR="005644D7" w:rsidRPr="00183B5F">
                <w:rPr>
                  <w:vertAlign w:val="superscript"/>
                  <w:lang w:val="hu-HU"/>
                </w:rPr>
                <w:delText>1)</w:delText>
              </w:r>
              <w:r w:rsidR="005644D7" w:rsidRPr="00183B5F">
                <w:rPr>
                  <w:lang w:val="hu-HU"/>
                </w:rPr>
                <w:delText>,</w:delText>
              </w:r>
            </w:del>
          </w:p>
          <w:p w14:paraId="2B6B7335" w14:textId="122E7FB1" w:rsidR="00FB6710" w:rsidRPr="00183B5F" w:rsidRDefault="00943743">
            <w:pPr>
              <w:pStyle w:val="EMEANormal"/>
              <w:widowControl w:val="0"/>
              <w:suppressAutoHyphens w:val="0"/>
              <w:rPr>
                <w:del w:id="1183" w:author="AbbVie_HU_03" w:date="2025-05-14T15:27:00Z"/>
                <w:lang w:val="hu-HU"/>
              </w:rPr>
            </w:pPr>
            <w:del w:id="1184" w:author="AbbVie_HU_03" w:date="2025-05-14T15:27:00Z">
              <w:r w:rsidRPr="00183B5F">
                <w:rPr>
                  <w:lang w:val="hu-HU"/>
                </w:rPr>
                <w:delText>urticaria,</w:delText>
              </w:r>
            </w:del>
          </w:p>
          <w:p w14:paraId="542F8F2B" w14:textId="25281B59" w:rsidR="00FB6710" w:rsidRPr="00183B5F" w:rsidRDefault="00943743">
            <w:pPr>
              <w:pStyle w:val="EMEANormal"/>
              <w:widowControl w:val="0"/>
              <w:suppressAutoHyphens w:val="0"/>
              <w:rPr>
                <w:del w:id="1185" w:author="AbbVie_HU_03" w:date="2025-05-14T15:27:00Z"/>
                <w:lang w:val="hu-HU"/>
              </w:rPr>
            </w:pPr>
            <w:del w:id="1186" w:author="AbbVie_HU_03" w:date="2025-05-14T15:27:00Z">
              <w:r w:rsidRPr="00183B5F">
                <w:rPr>
                  <w:lang w:val="hu-HU"/>
                </w:rPr>
                <w:delText xml:space="preserve">suffusio (beleértve a purpurát is), </w:delText>
              </w:r>
            </w:del>
          </w:p>
          <w:p w14:paraId="3F94596F" w14:textId="40EFFD78" w:rsidR="00FB6710" w:rsidRPr="00183B5F" w:rsidRDefault="00943743">
            <w:pPr>
              <w:pStyle w:val="EMEANormal"/>
              <w:widowControl w:val="0"/>
              <w:suppressAutoHyphens w:val="0"/>
              <w:rPr>
                <w:del w:id="1187" w:author="AbbVie_HU_03" w:date="2025-05-14T15:27:00Z"/>
                <w:lang w:val="hu-HU"/>
              </w:rPr>
            </w:pPr>
            <w:del w:id="1188" w:author="AbbVie_HU_03" w:date="2025-05-14T15:27:00Z">
              <w:r w:rsidRPr="00183B5F">
                <w:rPr>
                  <w:lang w:val="hu-HU"/>
                </w:rPr>
                <w:delText>dermatitis (beleértve az e</w:delText>
              </w:r>
              <w:r w:rsidR="00761819" w:rsidRPr="00183B5F">
                <w:rPr>
                  <w:lang w:val="hu-HU"/>
                </w:rPr>
                <w:delText>k</w:delText>
              </w:r>
              <w:r w:rsidRPr="00183B5F">
                <w:rPr>
                  <w:lang w:val="hu-HU"/>
                </w:rPr>
                <w:delText>zemát is),</w:delText>
              </w:r>
            </w:del>
          </w:p>
          <w:p w14:paraId="3937D7FC" w14:textId="757EC17E" w:rsidR="00FB6710" w:rsidRPr="00183B5F" w:rsidRDefault="00943743">
            <w:pPr>
              <w:pStyle w:val="EMEANormal"/>
              <w:widowControl w:val="0"/>
              <w:suppressAutoHyphens w:val="0"/>
              <w:rPr>
                <w:del w:id="1189" w:author="AbbVie_HU_03" w:date="2025-05-14T15:27:00Z"/>
                <w:lang w:val="hu-HU"/>
              </w:rPr>
            </w:pPr>
            <w:del w:id="1190" w:author="AbbVie_HU_03" w:date="2025-05-14T15:27:00Z">
              <w:r w:rsidRPr="00183B5F">
                <w:rPr>
                  <w:lang w:val="hu-HU"/>
                </w:rPr>
                <w:delText xml:space="preserve">onychoclasia, </w:delText>
              </w:r>
            </w:del>
          </w:p>
          <w:p w14:paraId="2E659E2A" w14:textId="4B4B84CA" w:rsidR="00FB6710" w:rsidRPr="00183B5F" w:rsidRDefault="00943743">
            <w:pPr>
              <w:pStyle w:val="EMEANormal"/>
              <w:widowControl w:val="0"/>
              <w:suppressAutoHyphens w:val="0"/>
              <w:rPr>
                <w:del w:id="1191" w:author="AbbVie_HU_03" w:date="2025-05-14T15:27:00Z"/>
                <w:lang w:val="hu-HU"/>
              </w:rPr>
            </w:pPr>
            <w:del w:id="1192" w:author="AbbVie_HU_03" w:date="2025-05-14T15:27:00Z">
              <w:r w:rsidRPr="00183B5F">
                <w:rPr>
                  <w:lang w:val="hu-HU"/>
                </w:rPr>
                <w:delText>hyperhydrosis</w:delText>
              </w:r>
              <w:r w:rsidR="005644D7" w:rsidRPr="00183B5F">
                <w:rPr>
                  <w:lang w:val="hu-HU"/>
                </w:rPr>
                <w:delText>,</w:delText>
              </w:r>
            </w:del>
          </w:p>
          <w:p w14:paraId="0B716CE7" w14:textId="644EB757" w:rsidR="005644D7" w:rsidRPr="00183B5F" w:rsidRDefault="00943743">
            <w:pPr>
              <w:pStyle w:val="EMEANormal"/>
              <w:widowControl w:val="0"/>
              <w:suppressAutoHyphens w:val="0"/>
              <w:rPr>
                <w:del w:id="1193" w:author="AbbVie_HU_03" w:date="2025-05-14T15:27:00Z"/>
                <w:lang w:val="hu-HU"/>
              </w:rPr>
            </w:pPr>
            <w:del w:id="1194" w:author="AbbVie_HU_03" w:date="2025-05-14T15:27:00Z">
              <w:r w:rsidRPr="00183B5F">
                <w:rPr>
                  <w:lang w:val="hu-HU"/>
                </w:rPr>
                <w:delText>alopecia</w:delText>
              </w:r>
              <w:r w:rsidRPr="00183B5F">
                <w:rPr>
                  <w:vertAlign w:val="superscript"/>
                  <w:lang w:val="hu-HU"/>
                </w:rPr>
                <w:delText>1)</w:delText>
              </w:r>
            </w:del>
          </w:p>
          <w:p w14:paraId="196BA3E0" w14:textId="33C9A575" w:rsidR="005644D7" w:rsidRPr="00183B5F" w:rsidRDefault="00943743">
            <w:pPr>
              <w:pStyle w:val="EMEANormal"/>
              <w:widowControl w:val="0"/>
              <w:suppressAutoHyphens w:val="0"/>
              <w:rPr>
                <w:del w:id="1195" w:author="AbbVie_HU_03" w:date="2025-05-14T15:27:00Z"/>
                <w:lang w:val="hu-HU"/>
              </w:rPr>
            </w:pPr>
            <w:del w:id="1196" w:author="AbbVie_HU_03" w:date="2025-05-14T15:27:00Z">
              <w:r w:rsidRPr="00183B5F">
                <w:rPr>
                  <w:lang w:val="hu-HU"/>
                </w:rPr>
                <w:delText>pruritus</w:delText>
              </w:r>
            </w:del>
          </w:p>
        </w:tc>
      </w:tr>
      <w:tr w:rsidR="00011D2F" w14:paraId="648A00A9" w14:textId="71512153" w:rsidTr="00202B95">
        <w:trPr>
          <w:del w:id="1197" w:author="AbbVie_HU_03" w:date="2025-05-14T15:27:00Z"/>
        </w:trPr>
        <w:tc>
          <w:tcPr>
            <w:tcW w:w="2580" w:type="dxa"/>
            <w:vMerge/>
            <w:tcBorders>
              <w:bottom w:val="nil"/>
            </w:tcBorders>
          </w:tcPr>
          <w:p w14:paraId="6489395F" w14:textId="18D09FCB" w:rsidR="00FB6710" w:rsidRPr="00183B5F" w:rsidRDefault="00FB6710" w:rsidP="004062FE">
            <w:pPr>
              <w:widowControl w:val="0"/>
              <w:suppressAutoHyphens w:val="0"/>
              <w:spacing w:line="240" w:lineRule="auto"/>
              <w:jc w:val="center"/>
              <w:rPr>
                <w:del w:id="1198" w:author="AbbVie_HU_03" w:date="2025-05-14T15:27:00Z"/>
                <w:b/>
              </w:rPr>
            </w:pPr>
          </w:p>
        </w:tc>
        <w:tc>
          <w:tcPr>
            <w:tcW w:w="2030" w:type="dxa"/>
            <w:tcBorders>
              <w:top w:val="single" w:sz="4" w:space="0" w:color="auto"/>
              <w:bottom w:val="single" w:sz="4" w:space="0" w:color="auto"/>
            </w:tcBorders>
          </w:tcPr>
          <w:p w14:paraId="7F6AE366" w14:textId="03C88807" w:rsidR="00FB6710" w:rsidRPr="00183B5F" w:rsidRDefault="00943743">
            <w:pPr>
              <w:pStyle w:val="EMEANormal"/>
              <w:widowControl w:val="0"/>
              <w:suppressAutoHyphens w:val="0"/>
              <w:rPr>
                <w:del w:id="1199" w:author="AbbVie_HU_03" w:date="2025-05-14T15:27:00Z"/>
                <w:lang w:val="hu-HU"/>
              </w:rPr>
            </w:pPr>
            <w:del w:id="1200" w:author="AbbVie_HU_03" w:date="2025-05-14T15:27:00Z">
              <w:r w:rsidRPr="00183B5F">
                <w:rPr>
                  <w:lang w:val="hu-HU"/>
                </w:rPr>
                <w:delText>Nem gyakori</w:delText>
              </w:r>
            </w:del>
          </w:p>
          <w:p w14:paraId="42A2C3DB" w14:textId="3F172A7E" w:rsidR="00715920" w:rsidRPr="00183B5F" w:rsidRDefault="00715920">
            <w:pPr>
              <w:pStyle w:val="EMEANormal"/>
              <w:widowControl w:val="0"/>
              <w:suppressAutoHyphens w:val="0"/>
              <w:rPr>
                <w:del w:id="1201" w:author="AbbVie_HU_03" w:date="2025-05-14T15:27:00Z"/>
                <w:lang w:val="hu-HU"/>
              </w:rPr>
            </w:pPr>
          </w:p>
        </w:tc>
        <w:tc>
          <w:tcPr>
            <w:tcW w:w="4451" w:type="dxa"/>
            <w:tcBorders>
              <w:top w:val="single" w:sz="4" w:space="0" w:color="auto"/>
              <w:bottom w:val="single" w:sz="4" w:space="0" w:color="auto"/>
            </w:tcBorders>
          </w:tcPr>
          <w:p w14:paraId="79406F83" w14:textId="235D5032" w:rsidR="00FB6710" w:rsidRPr="00183B5F" w:rsidRDefault="00943743">
            <w:pPr>
              <w:pStyle w:val="EMEANormal"/>
              <w:widowControl w:val="0"/>
              <w:suppressAutoHyphens w:val="0"/>
              <w:rPr>
                <w:del w:id="1202" w:author="AbbVie_HU_03" w:date="2025-05-14T15:27:00Z"/>
                <w:lang w:val="hu-HU"/>
              </w:rPr>
            </w:pPr>
            <w:del w:id="1203" w:author="AbbVie_HU_03" w:date="2025-05-14T15:27:00Z">
              <w:r w:rsidRPr="00183B5F">
                <w:rPr>
                  <w:lang w:val="hu-HU"/>
                </w:rPr>
                <w:delText>Éjszakai verítékezés,</w:delText>
              </w:r>
            </w:del>
          </w:p>
          <w:p w14:paraId="3802F551" w14:textId="493780B3" w:rsidR="00715920" w:rsidRPr="00183B5F" w:rsidRDefault="00943743">
            <w:pPr>
              <w:pStyle w:val="EMEANormal"/>
              <w:widowControl w:val="0"/>
              <w:suppressAutoHyphens w:val="0"/>
              <w:rPr>
                <w:del w:id="1204" w:author="AbbVie_HU_03" w:date="2025-05-14T15:27:00Z"/>
                <w:lang w:val="hu-HU"/>
              </w:rPr>
            </w:pPr>
            <w:del w:id="1205" w:author="AbbVie_HU_03" w:date="2025-05-14T15:27:00Z">
              <w:r w:rsidRPr="00183B5F">
                <w:rPr>
                  <w:lang w:val="hu-HU"/>
                </w:rPr>
                <w:delText>hegesedés</w:delText>
              </w:r>
            </w:del>
          </w:p>
        </w:tc>
      </w:tr>
      <w:tr w:rsidR="00011D2F" w14:paraId="44A0A697" w14:textId="04030852" w:rsidTr="00202B95">
        <w:trPr>
          <w:del w:id="1206" w:author="AbbVie_HU_03" w:date="2025-05-14T15:27:00Z"/>
        </w:trPr>
        <w:tc>
          <w:tcPr>
            <w:tcW w:w="2580" w:type="dxa"/>
            <w:tcBorders>
              <w:top w:val="nil"/>
              <w:bottom w:val="nil"/>
            </w:tcBorders>
          </w:tcPr>
          <w:p w14:paraId="1D48443D" w14:textId="5078663C" w:rsidR="001165C9" w:rsidRPr="00183B5F" w:rsidRDefault="001165C9" w:rsidP="004062FE">
            <w:pPr>
              <w:widowControl w:val="0"/>
              <w:suppressAutoHyphens w:val="0"/>
              <w:spacing w:line="240" w:lineRule="auto"/>
              <w:jc w:val="center"/>
              <w:rPr>
                <w:del w:id="1207" w:author="AbbVie_HU_03" w:date="2025-05-14T15:27:00Z"/>
                <w:b/>
              </w:rPr>
            </w:pPr>
          </w:p>
        </w:tc>
        <w:tc>
          <w:tcPr>
            <w:tcW w:w="2030" w:type="dxa"/>
            <w:tcBorders>
              <w:top w:val="single" w:sz="4" w:space="0" w:color="auto"/>
              <w:bottom w:val="single" w:sz="4" w:space="0" w:color="auto"/>
            </w:tcBorders>
          </w:tcPr>
          <w:p w14:paraId="786EA0C3" w14:textId="5EE24CB5" w:rsidR="001165C9" w:rsidRPr="00183B5F" w:rsidRDefault="00943743">
            <w:pPr>
              <w:pStyle w:val="EMEANormal"/>
              <w:widowControl w:val="0"/>
              <w:suppressAutoHyphens w:val="0"/>
              <w:rPr>
                <w:del w:id="1208" w:author="AbbVie_HU_03" w:date="2025-05-14T15:27:00Z"/>
                <w:lang w:val="hu-HU"/>
              </w:rPr>
            </w:pPr>
            <w:del w:id="1209" w:author="AbbVie_HU_03" w:date="2025-05-14T15:27:00Z">
              <w:r w:rsidRPr="00183B5F">
                <w:rPr>
                  <w:lang w:val="hu-HU"/>
                </w:rPr>
                <w:delText>Ritka</w:delText>
              </w:r>
            </w:del>
          </w:p>
        </w:tc>
        <w:tc>
          <w:tcPr>
            <w:tcW w:w="4451" w:type="dxa"/>
            <w:tcBorders>
              <w:top w:val="single" w:sz="4" w:space="0" w:color="auto"/>
              <w:bottom w:val="single" w:sz="4" w:space="0" w:color="auto"/>
            </w:tcBorders>
          </w:tcPr>
          <w:p w14:paraId="471A596B" w14:textId="08035776" w:rsidR="001165C9" w:rsidRPr="00183B5F" w:rsidRDefault="00943743">
            <w:pPr>
              <w:pStyle w:val="EMEANormal"/>
              <w:widowControl w:val="0"/>
              <w:suppressAutoHyphens w:val="0"/>
              <w:rPr>
                <w:del w:id="1210" w:author="AbbVie_HU_03" w:date="2025-05-14T15:27:00Z"/>
                <w:lang w:val="hu-HU"/>
              </w:rPr>
            </w:pPr>
            <w:del w:id="1211" w:author="AbbVie_HU_03" w:date="2025-05-14T15:27:00Z">
              <w:r w:rsidRPr="00183B5F">
                <w:rPr>
                  <w:lang w:val="hu-HU"/>
                </w:rPr>
                <w:delText>Erythema multiforme</w:delText>
              </w:r>
              <w:r w:rsidRPr="00183B5F">
                <w:rPr>
                  <w:vertAlign w:val="superscript"/>
                  <w:lang w:val="hu-HU"/>
                </w:rPr>
                <w:delText>1)</w:delText>
              </w:r>
              <w:r w:rsidRPr="00183B5F">
                <w:rPr>
                  <w:lang w:val="hu-HU"/>
                </w:rPr>
                <w:delText>,</w:delText>
              </w:r>
            </w:del>
          </w:p>
          <w:p w14:paraId="58E52C05" w14:textId="0DBE279C" w:rsidR="001165C9" w:rsidRPr="00183B5F" w:rsidRDefault="00943743">
            <w:pPr>
              <w:pStyle w:val="EMEANormal"/>
              <w:widowControl w:val="0"/>
              <w:suppressAutoHyphens w:val="0"/>
              <w:rPr>
                <w:del w:id="1212" w:author="AbbVie_HU_03" w:date="2025-05-14T15:27:00Z"/>
                <w:lang w:val="hu-HU"/>
              </w:rPr>
            </w:pPr>
            <w:del w:id="1213" w:author="AbbVie_HU_03" w:date="2025-05-14T15:27:00Z">
              <w:r w:rsidRPr="00183B5F">
                <w:rPr>
                  <w:lang w:val="hu-HU"/>
                </w:rPr>
                <w:delText>Stevens</w:delText>
              </w:r>
              <w:r w:rsidR="00004B4F" w:rsidRPr="00183B5F">
                <w:rPr>
                  <w:lang w:val="hu-HU"/>
                </w:rPr>
                <w:delText>–</w:delText>
              </w:r>
              <w:r w:rsidRPr="00183B5F">
                <w:rPr>
                  <w:lang w:val="hu-HU"/>
                </w:rPr>
                <w:delText>Johnson</w:delText>
              </w:r>
              <w:r w:rsidR="001E33D4" w:rsidRPr="00183B5F">
                <w:rPr>
                  <w:lang w:val="hu-HU"/>
                </w:rPr>
                <w:delText>-</w:delText>
              </w:r>
              <w:r w:rsidRPr="00183B5F">
                <w:rPr>
                  <w:lang w:val="hu-HU"/>
                </w:rPr>
                <w:delText>szindróma</w:delText>
              </w:r>
              <w:r w:rsidRPr="00183B5F">
                <w:rPr>
                  <w:vertAlign w:val="superscript"/>
                  <w:lang w:val="hu-HU"/>
                </w:rPr>
                <w:delText>1)</w:delText>
              </w:r>
              <w:r w:rsidRPr="00183B5F">
                <w:rPr>
                  <w:lang w:val="hu-HU"/>
                </w:rPr>
                <w:delText>,</w:delText>
              </w:r>
            </w:del>
          </w:p>
          <w:p w14:paraId="6AD6A6F6" w14:textId="79222682" w:rsidR="001165C9" w:rsidRPr="00183B5F" w:rsidRDefault="00943743">
            <w:pPr>
              <w:pStyle w:val="EMEANormal"/>
              <w:widowControl w:val="0"/>
              <w:rPr>
                <w:del w:id="1214" w:author="AbbVie_HU_03" w:date="2025-05-14T15:27:00Z"/>
                <w:lang w:val="hu-HU"/>
              </w:rPr>
            </w:pPr>
            <w:del w:id="1215" w:author="AbbVie_HU_03" w:date="2025-05-14T15:27:00Z">
              <w:r w:rsidRPr="00183B5F">
                <w:rPr>
                  <w:lang w:val="hu-HU"/>
                </w:rPr>
                <w:delText>angiooedema</w:delText>
              </w:r>
              <w:r w:rsidRPr="00183B5F">
                <w:rPr>
                  <w:vertAlign w:val="superscript"/>
                  <w:lang w:val="hu-HU"/>
                </w:rPr>
                <w:delText>1)</w:delText>
              </w:r>
              <w:r w:rsidRPr="00183B5F">
                <w:rPr>
                  <w:lang w:val="hu-HU"/>
                </w:rPr>
                <w:delText>,</w:delText>
              </w:r>
            </w:del>
          </w:p>
          <w:p w14:paraId="47D021D4" w14:textId="495DC623" w:rsidR="001165C9" w:rsidRPr="00183B5F" w:rsidRDefault="00943743">
            <w:pPr>
              <w:pStyle w:val="EMEANormal"/>
              <w:widowControl w:val="0"/>
              <w:suppressAutoHyphens w:val="0"/>
              <w:rPr>
                <w:del w:id="1216" w:author="AbbVie_HU_03" w:date="2025-05-14T15:27:00Z"/>
                <w:vertAlign w:val="superscript"/>
                <w:lang w:val="hu-HU"/>
              </w:rPr>
            </w:pPr>
            <w:del w:id="1217" w:author="AbbVie_HU_03" w:date="2025-05-14T15:27:00Z">
              <w:r w:rsidRPr="00183B5F">
                <w:rPr>
                  <w:lang w:val="hu-HU"/>
                </w:rPr>
                <w:delText>cutan vasculitis</w:delText>
              </w:r>
              <w:r w:rsidRPr="00183B5F">
                <w:rPr>
                  <w:vertAlign w:val="superscript"/>
                  <w:lang w:val="hu-HU"/>
                </w:rPr>
                <w:delText>1)</w:delText>
              </w:r>
            </w:del>
          </w:p>
          <w:p w14:paraId="16AEA29A" w14:textId="5121428D" w:rsidR="00C036E3" w:rsidRPr="00183B5F" w:rsidRDefault="00943743">
            <w:pPr>
              <w:pStyle w:val="EMEANormal"/>
              <w:widowControl w:val="0"/>
              <w:suppressAutoHyphens w:val="0"/>
              <w:rPr>
                <w:del w:id="1218" w:author="AbbVie_HU_03" w:date="2025-05-14T15:27:00Z"/>
                <w:lang w:val="hu-HU"/>
              </w:rPr>
            </w:pPr>
            <w:del w:id="1219" w:author="AbbVie_HU_03" w:date="2025-05-14T15:27:00Z">
              <w:r w:rsidRPr="00183B5F">
                <w:rPr>
                  <w:lang w:val="hu-HU"/>
                </w:rPr>
                <w:delText>lichenoid bőrreakció</w:delText>
              </w:r>
              <w:r w:rsidRPr="00183B5F">
                <w:rPr>
                  <w:vertAlign w:val="superscript"/>
                  <w:lang w:val="hu-HU"/>
                </w:rPr>
                <w:delText>1)</w:delText>
              </w:r>
            </w:del>
          </w:p>
        </w:tc>
      </w:tr>
      <w:tr w:rsidR="00011D2F" w14:paraId="15449855" w14:textId="0A8AD0F6" w:rsidTr="00202B95">
        <w:trPr>
          <w:del w:id="1220" w:author="AbbVie_HU_03" w:date="2025-05-14T15:27:00Z"/>
        </w:trPr>
        <w:tc>
          <w:tcPr>
            <w:tcW w:w="2580" w:type="dxa"/>
            <w:tcBorders>
              <w:top w:val="nil"/>
              <w:bottom w:val="single" w:sz="4" w:space="0" w:color="auto"/>
            </w:tcBorders>
          </w:tcPr>
          <w:p w14:paraId="6223D4FB" w14:textId="0362F740" w:rsidR="001165C9" w:rsidRPr="00183B5F" w:rsidRDefault="001165C9" w:rsidP="004062FE">
            <w:pPr>
              <w:widowControl w:val="0"/>
              <w:suppressAutoHyphens w:val="0"/>
              <w:spacing w:line="240" w:lineRule="auto"/>
              <w:jc w:val="center"/>
              <w:rPr>
                <w:del w:id="1221" w:author="AbbVie_HU_03" w:date="2025-05-14T15:27:00Z"/>
                <w:b/>
              </w:rPr>
            </w:pPr>
          </w:p>
        </w:tc>
        <w:tc>
          <w:tcPr>
            <w:tcW w:w="2030" w:type="dxa"/>
            <w:tcBorders>
              <w:top w:val="single" w:sz="4" w:space="0" w:color="auto"/>
              <w:bottom w:val="single" w:sz="4" w:space="0" w:color="auto"/>
            </w:tcBorders>
          </w:tcPr>
          <w:p w14:paraId="13AE9121" w14:textId="457D0906" w:rsidR="001165C9" w:rsidRPr="00183B5F" w:rsidRDefault="00943743">
            <w:pPr>
              <w:pStyle w:val="EMEANormal"/>
              <w:widowControl w:val="0"/>
              <w:suppressAutoHyphens w:val="0"/>
              <w:rPr>
                <w:del w:id="1222" w:author="AbbVie_HU_03" w:date="2025-05-14T15:27:00Z"/>
                <w:lang w:val="hu-HU"/>
              </w:rPr>
            </w:pPr>
            <w:del w:id="1223" w:author="AbbVie_HU_03" w:date="2025-05-14T15:27:00Z">
              <w:r w:rsidRPr="00183B5F">
                <w:rPr>
                  <w:lang w:val="hu-HU"/>
                </w:rPr>
                <w:delText>Nem ismert</w:delText>
              </w:r>
            </w:del>
          </w:p>
        </w:tc>
        <w:tc>
          <w:tcPr>
            <w:tcW w:w="4451" w:type="dxa"/>
            <w:tcBorders>
              <w:top w:val="single" w:sz="4" w:space="0" w:color="auto"/>
              <w:bottom w:val="single" w:sz="4" w:space="0" w:color="auto"/>
            </w:tcBorders>
          </w:tcPr>
          <w:p w14:paraId="2B0260B4" w14:textId="185EDE82" w:rsidR="001165C9" w:rsidRPr="00183B5F" w:rsidRDefault="00943743">
            <w:pPr>
              <w:pStyle w:val="EMEANormal"/>
              <w:widowControl w:val="0"/>
              <w:suppressAutoHyphens w:val="0"/>
              <w:rPr>
                <w:del w:id="1224" w:author="AbbVie_HU_03" w:date="2025-05-14T15:27:00Z"/>
                <w:lang w:val="hu-HU"/>
              </w:rPr>
            </w:pPr>
            <w:del w:id="1225" w:author="AbbVie_HU_03" w:date="2025-05-14T15:27:00Z">
              <w:r w:rsidRPr="00183B5F">
                <w:rPr>
                  <w:lang w:val="hu-HU"/>
                </w:rPr>
                <w:delText>Dermatomyositis tüneteinek súlyosbodása</w:delText>
              </w:r>
              <w:r w:rsidRPr="00183B5F">
                <w:rPr>
                  <w:vertAlign w:val="superscript"/>
                  <w:lang w:val="hu-HU"/>
                </w:rPr>
                <w:delText>1)</w:delText>
              </w:r>
            </w:del>
          </w:p>
        </w:tc>
      </w:tr>
      <w:tr w:rsidR="00011D2F" w14:paraId="06FC6B74" w14:textId="000120CD" w:rsidTr="00202B95">
        <w:trPr>
          <w:del w:id="1226" w:author="AbbVie_HU_03" w:date="2025-05-14T15:27:00Z"/>
        </w:trPr>
        <w:tc>
          <w:tcPr>
            <w:tcW w:w="2580" w:type="dxa"/>
            <w:vMerge w:val="restart"/>
          </w:tcPr>
          <w:p w14:paraId="0394BE8A" w14:textId="4869C3AB" w:rsidR="00FB6710" w:rsidRPr="00183B5F" w:rsidRDefault="00943743" w:rsidP="004062FE">
            <w:pPr>
              <w:pStyle w:val="EMEANormal"/>
              <w:widowControl w:val="0"/>
              <w:suppressAutoHyphens w:val="0"/>
              <w:rPr>
                <w:del w:id="1227" w:author="AbbVie_HU_03" w:date="2025-05-14T15:27:00Z"/>
                <w:szCs w:val="22"/>
                <w:lang w:val="hu-HU"/>
              </w:rPr>
            </w:pPr>
            <w:del w:id="1228" w:author="AbbVie_HU_03" w:date="2025-05-14T15:27:00Z">
              <w:r w:rsidRPr="00183B5F">
                <w:rPr>
                  <w:szCs w:val="22"/>
                  <w:lang w:val="hu-HU"/>
                </w:rPr>
                <w:delText>A csont- és izomrendszer, valamint a kötőszövet betegségei és tünetei</w:delText>
              </w:r>
            </w:del>
          </w:p>
        </w:tc>
        <w:tc>
          <w:tcPr>
            <w:tcW w:w="2030" w:type="dxa"/>
            <w:tcBorders>
              <w:bottom w:val="single" w:sz="4" w:space="0" w:color="auto"/>
            </w:tcBorders>
          </w:tcPr>
          <w:p w14:paraId="7C5E5672" w14:textId="1C565134" w:rsidR="00FB6710" w:rsidRPr="00183B5F" w:rsidRDefault="00943743" w:rsidP="004062FE">
            <w:pPr>
              <w:pStyle w:val="EMEANormal"/>
              <w:widowControl w:val="0"/>
              <w:suppressAutoHyphens w:val="0"/>
              <w:rPr>
                <w:del w:id="1229" w:author="AbbVie_HU_03" w:date="2025-05-14T15:27:00Z"/>
                <w:lang w:val="hu-HU"/>
              </w:rPr>
            </w:pPr>
            <w:del w:id="1230" w:author="AbbVie_HU_03" w:date="2025-05-14T15:27:00Z">
              <w:r w:rsidRPr="00183B5F">
                <w:rPr>
                  <w:lang w:val="hu-HU"/>
                </w:rPr>
                <w:delText>Nagyon gyakori</w:delText>
              </w:r>
            </w:del>
          </w:p>
          <w:p w14:paraId="4A275AF6" w14:textId="3675FE53" w:rsidR="00FB6710" w:rsidRPr="00183B5F" w:rsidRDefault="00FB6710" w:rsidP="004062FE">
            <w:pPr>
              <w:pStyle w:val="EMEANormal"/>
              <w:widowControl w:val="0"/>
              <w:suppressAutoHyphens w:val="0"/>
              <w:rPr>
                <w:del w:id="1231" w:author="AbbVie_HU_03" w:date="2025-05-14T15:27:00Z"/>
                <w:lang w:val="hu-HU"/>
              </w:rPr>
            </w:pPr>
          </w:p>
        </w:tc>
        <w:tc>
          <w:tcPr>
            <w:tcW w:w="4451" w:type="dxa"/>
            <w:tcBorders>
              <w:bottom w:val="single" w:sz="4" w:space="0" w:color="auto"/>
            </w:tcBorders>
          </w:tcPr>
          <w:p w14:paraId="62D95978" w14:textId="13E76605" w:rsidR="00FB6710" w:rsidRPr="00183B5F" w:rsidRDefault="00943743" w:rsidP="004062FE">
            <w:pPr>
              <w:pStyle w:val="EMEANormal"/>
              <w:widowControl w:val="0"/>
              <w:suppressAutoHyphens w:val="0"/>
              <w:rPr>
                <w:del w:id="1232" w:author="AbbVie_HU_03" w:date="2025-05-14T15:27:00Z"/>
                <w:lang w:val="hu-HU"/>
              </w:rPr>
            </w:pPr>
            <w:del w:id="1233" w:author="AbbVie_HU_03" w:date="2025-05-14T15:27:00Z">
              <w:r w:rsidRPr="00183B5F">
                <w:rPr>
                  <w:lang w:val="hu-HU"/>
                </w:rPr>
                <w:delText>Mozgásszervi eredetű fájdalom</w:delText>
              </w:r>
            </w:del>
          </w:p>
          <w:p w14:paraId="474A4316" w14:textId="2F4187BD" w:rsidR="00FB6710" w:rsidRPr="00183B5F" w:rsidRDefault="00FB6710" w:rsidP="004062FE">
            <w:pPr>
              <w:pStyle w:val="EMEANormal"/>
              <w:widowControl w:val="0"/>
              <w:suppressAutoHyphens w:val="0"/>
              <w:rPr>
                <w:del w:id="1234" w:author="AbbVie_HU_03" w:date="2025-05-14T15:27:00Z"/>
                <w:lang w:val="hu-HU"/>
              </w:rPr>
            </w:pPr>
          </w:p>
        </w:tc>
      </w:tr>
      <w:tr w:rsidR="00011D2F" w14:paraId="11E14FE8" w14:textId="5948B0BE" w:rsidTr="00202B95">
        <w:trPr>
          <w:del w:id="1235" w:author="AbbVie_HU_03" w:date="2025-05-14T15:27:00Z"/>
        </w:trPr>
        <w:tc>
          <w:tcPr>
            <w:tcW w:w="2580" w:type="dxa"/>
            <w:vMerge/>
            <w:tcBorders>
              <w:bottom w:val="single" w:sz="4" w:space="0" w:color="auto"/>
            </w:tcBorders>
          </w:tcPr>
          <w:p w14:paraId="1CB2E70F" w14:textId="4654025C" w:rsidR="00FB6710" w:rsidRPr="00183B5F" w:rsidRDefault="00FB6710" w:rsidP="004062FE">
            <w:pPr>
              <w:pStyle w:val="EMEANormal"/>
              <w:widowControl w:val="0"/>
              <w:suppressAutoHyphens w:val="0"/>
              <w:rPr>
                <w:del w:id="1236" w:author="AbbVie_HU_03" w:date="2025-05-14T15:27:00Z"/>
                <w:lang w:val="hu-HU"/>
              </w:rPr>
            </w:pPr>
          </w:p>
        </w:tc>
        <w:tc>
          <w:tcPr>
            <w:tcW w:w="2030" w:type="dxa"/>
            <w:tcBorders>
              <w:top w:val="single" w:sz="4" w:space="0" w:color="auto"/>
              <w:bottom w:val="single" w:sz="4" w:space="0" w:color="auto"/>
            </w:tcBorders>
          </w:tcPr>
          <w:p w14:paraId="1656DA7B" w14:textId="20BC7187" w:rsidR="00FB6710" w:rsidRPr="00183B5F" w:rsidRDefault="00943743" w:rsidP="004062FE">
            <w:pPr>
              <w:pStyle w:val="EMEANormal"/>
              <w:widowControl w:val="0"/>
              <w:suppressAutoHyphens w:val="0"/>
              <w:rPr>
                <w:del w:id="1237" w:author="AbbVie_HU_03" w:date="2025-05-14T15:27:00Z"/>
                <w:lang w:val="hu-HU"/>
              </w:rPr>
            </w:pPr>
            <w:del w:id="1238" w:author="AbbVie_HU_03" w:date="2025-05-14T15:27:00Z">
              <w:r w:rsidRPr="00183B5F">
                <w:rPr>
                  <w:lang w:val="hu-HU"/>
                </w:rPr>
                <w:delText>Gyakori</w:delText>
              </w:r>
            </w:del>
          </w:p>
        </w:tc>
        <w:tc>
          <w:tcPr>
            <w:tcW w:w="4451" w:type="dxa"/>
            <w:tcBorders>
              <w:top w:val="single" w:sz="4" w:space="0" w:color="auto"/>
              <w:bottom w:val="single" w:sz="4" w:space="0" w:color="auto"/>
            </w:tcBorders>
          </w:tcPr>
          <w:p w14:paraId="1D0864B9" w14:textId="6CD8328B" w:rsidR="00FB6710" w:rsidRPr="00183B5F" w:rsidRDefault="00943743" w:rsidP="004062FE">
            <w:pPr>
              <w:pStyle w:val="EMEANormal"/>
              <w:widowControl w:val="0"/>
              <w:suppressAutoHyphens w:val="0"/>
              <w:rPr>
                <w:del w:id="1239" w:author="AbbVie_HU_03" w:date="2025-05-14T15:27:00Z"/>
                <w:lang w:val="hu-HU"/>
              </w:rPr>
            </w:pPr>
            <w:del w:id="1240" w:author="AbbVie_HU_03" w:date="2025-05-14T15:27:00Z">
              <w:r w:rsidRPr="00183B5F">
                <w:rPr>
                  <w:lang w:val="hu-HU"/>
                </w:rPr>
                <w:delText>Izomspasmus (beleértve a kreatin</w:delText>
              </w:r>
              <w:r w:rsidRPr="00183B5F">
                <w:rPr>
                  <w:lang w:val="hu-HU"/>
                </w:rPr>
                <w:noBreakHyphen/>
                <w:delText>foszfokináz</w:delText>
              </w:r>
              <w:r w:rsidR="00817F95" w:rsidRPr="00183B5F">
                <w:rPr>
                  <w:lang w:val="hu-HU"/>
                </w:rPr>
                <w:noBreakHyphen/>
              </w:r>
              <w:r w:rsidRPr="00183B5F">
                <w:rPr>
                  <w:lang w:val="hu-HU"/>
                </w:rPr>
                <w:delText xml:space="preserve">szint emelkedését is a vérben) </w:delText>
              </w:r>
            </w:del>
          </w:p>
          <w:p w14:paraId="660CBDFC" w14:textId="3D17E8BF" w:rsidR="00FB6710" w:rsidRPr="00183B5F" w:rsidRDefault="00FB6710" w:rsidP="004062FE">
            <w:pPr>
              <w:pStyle w:val="EMEANormal"/>
              <w:widowControl w:val="0"/>
              <w:suppressAutoHyphens w:val="0"/>
              <w:rPr>
                <w:del w:id="1241" w:author="AbbVie_HU_03" w:date="2025-05-14T15:27:00Z"/>
                <w:lang w:val="hu-HU"/>
              </w:rPr>
            </w:pPr>
          </w:p>
        </w:tc>
      </w:tr>
      <w:tr w:rsidR="00011D2F" w14:paraId="3FA003ED" w14:textId="3B29BE61" w:rsidTr="00202B95">
        <w:trPr>
          <w:trHeight w:val="483"/>
          <w:del w:id="1242" w:author="AbbVie_HU_03" w:date="2025-05-14T15:27:00Z"/>
        </w:trPr>
        <w:tc>
          <w:tcPr>
            <w:tcW w:w="2580" w:type="dxa"/>
            <w:vMerge/>
            <w:tcBorders>
              <w:top w:val="single" w:sz="4" w:space="0" w:color="auto"/>
              <w:bottom w:val="nil"/>
            </w:tcBorders>
          </w:tcPr>
          <w:p w14:paraId="0BC32537" w14:textId="54B13C31" w:rsidR="00C12BAE" w:rsidRPr="00183B5F" w:rsidRDefault="00C12BAE" w:rsidP="004062FE">
            <w:pPr>
              <w:widowControl w:val="0"/>
              <w:suppressAutoHyphens w:val="0"/>
              <w:spacing w:line="240" w:lineRule="auto"/>
              <w:jc w:val="center"/>
              <w:rPr>
                <w:del w:id="1243" w:author="AbbVie_HU_03" w:date="2025-05-14T15:27:00Z"/>
                <w:b/>
              </w:rPr>
            </w:pPr>
          </w:p>
        </w:tc>
        <w:tc>
          <w:tcPr>
            <w:tcW w:w="2030" w:type="dxa"/>
            <w:tcBorders>
              <w:top w:val="single" w:sz="4" w:space="0" w:color="auto"/>
            </w:tcBorders>
          </w:tcPr>
          <w:p w14:paraId="58776FB8" w14:textId="10C76521" w:rsidR="00C12BAE" w:rsidRPr="00183B5F" w:rsidRDefault="00943743" w:rsidP="004062FE">
            <w:pPr>
              <w:pStyle w:val="EMEANormal"/>
              <w:widowControl w:val="0"/>
              <w:suppressAutoHyphens w:val="0"/>
              <w:rPr>
                <w:del w:id="1244" w:author="AbbVie_HU_03" w:date="2025-05-14T15:27:00Z"/>
                <w:lang w:val="hu-HU"/>
              </w:rPr>
            </w:pPr>
            <w:del w:id="1245" w:author="AbbVie_HU_03" w:date="2025-05-14T15:27:00Z">
              <w:r w:rsidRPr="00183B5F">
                <w:rPr>
                  <w:lang w:val="hu-HU"/>
                </w:rPr>
                <w:delText>Nem gyakori</w:delText>
              </w:r>
            </w:del>
          </w:p>
        </w:tc>
        <w:tc>
          <w:tcPr>
            <w:tcW w:w="4451" w:type="dxa"/>
            <w:tcBorders>
              <w:top w:val="single" w:sz="4" w:space="0" w:color="auto"/>
            </w:tcBorders>
          </w:tcPr>
          <w:p w14:paraId="7905BD48" w14:textId="4B27F048" w:rsidR="00C12BAE" w:rsidRPr="00183B5F" w:rsidRDefault="00943743">
            <w:pPr>
              <w:pStyle w:val="EMEANormal"/>
              <w:widowControl w:val="0"/>
              <w:suppressAutoHyphens w:val="0"/>
              <w:rPr>
                <w:del w:id="1246" w:author="AbbVie_HU_03" w:date="2025-05-14T15:27:00Z"/>
                <w:lang w:val="hu-HU"/>
              </w:rPr>
            </w:pPr>
            <w:del w:id="1247" w:author="AbbVie_HU_03" w:date="2025-05-14T15:27:00Z">
              <w:r w:rsidRPr="00183B5F">
                <w:rPr>
                  <w:lang w:val="hu-HU"/>
                </w:rPr>
                <w:delText>Rhabdomyolysis,</w:delText>
              </w:r>
            </w:del>
          </w:p>
          <w:p w14:paraId="6C3B7262" w14:textId="06105216" w:rsidR="00C12BAE" w:rsidRPr="00183B5F" w:rsidRDefault="00943743" w:rsidP="004062FE">
            <w:pPr>
              <w:pStyle w:val="EMEANormal"/>
              <w:widowControl w:val="0"/>
              <w:suppressAutoHyphens w:val="0"/>
              <w:rPr>
                <w:del w:id="1248" w:author="AbbVie_HU_03" w:date="2025-05-14T15:27:00Z"/>
                <w:lang w:val="hu-HU"/>
              </w:rPr>
            </w:pPr>
            <w:del w:id="1249" w:author="AbbVie_HU_03" w:date="2025-05-14T15:27:00Z">
              <w:r w:rsidRPr="00183B5F">
                <w:rPr>
                  <w:lang w:val="hu-HU"/>
                </w:rPr>
                <w:delText>szisztémás lupus erythematosus</w:delText>
              </w:r>
            </w:del>
          </w:p>
        </w:tc>
      </w:tr>
      <w:tr w:rsidR="00011D2F" w14:paraId="6107AA26" w14:textId="2879C3A2" w:rsidTr="00202B95">
        <w:trPr>
          <w:trHeight w:val="406"/>
          <w:del w:id="1250" w:author="AbbVie_HU_03" w:date="2025-05-14T15:27:00Z"/>
        </w:trPr>
        <w:tc>
          <w:tcPr>
            <w:tcW w:w="2580" w:type="dxa"/>
            <w:tcBorders>
              <w:top w:val="nil"/>
            </w:tcBorders>
          </w:tcPr>
          <w:p w14:paraId="78C36B58" w14:textId="4B796568" w:rsidR="001165C9" w:rsidRPr="00183B5F" w:rsidRDefault="001165C9" w:rsidP="004062FE">
            <w:pPr>
              <w:widowControl w:val="0"/>
              <w:suppressAutoHyphens w:val="0"/>
              <w:spacing w:line="240" w:lineRule="auto"/>
              <w:jc w:val="center"/>
              <w:rPr>
                <w:del w:id="1251" w:author="AbbVie_HU_03" w:date="2025-05-14T15:27:00Z"/>
                <w:b/>
              </w:rPr>
            </w:pPr>
          </w:p>
        </w:tc>
        <w:tc>
          <w:tcPr>
            <w:tcW w:w="2030" w:type="dxa"/>
            <w:tcBorders>
              <w:top w:val="single" w:sz="4" w:space="0" w:color="auto"/>
            </w:tcBorders>
          </w:tcPr>
          <w:p w14:paraId="7BF9FD69" w14:textId="692D8CEF" w:rsidR="001165C9" w:rsidRPr="00183B5F" w:rsidRDefault="00943743">
            <w:pPr>
              <w:pStyle w:val="EMEANormal"/>
              <w:widowControl w:val="0"/>
              <w:suppressAutoHyphens w:val="0"/>
              <w:rPr>
                <w:del w:id="1252" w:author="AbbVie_HU_03" w:date="2025-05-14T15:27:00Z"/>
                <w:lang w:val="hu-HU"/>
              </w:rPr>
            </w:pPr>
            <w:del w:id="1253" w:author="AbbVie_HU_03" w:date="2025-05-14T15:27:00Z">
              <w:r w:rsidRPr="00183B5F">
                <w:rPr>
                  <w:lang w:val="hu-HU"/>
                </w:rPr>
                <w:delText>Ritka</w:delText>
              </w:r>
            </w:del>
          </w:p>
        </w:tc>
        <w:tc>
          <w:tcPr>
            <w:tcW w:w="4451" w:type="dxa"/>
            <w:tcBorders>
              <w:top w:val="single" w:sz="4" w:space="0" w:color="auto"/>
            </w:tcBorders>
          </w:tcPr>
          <w:p w14:paraId="407B9B75" w14:textId="09F21E1C" w:rsidR="001165C9" w:rsidRPr="00183B5F" w:rsidRDefault="00943743">
            <w:pPr>
              <w:pStyle w:val="EMEANormal"/>
              <w:widowControl w:val="0"/>
              <w:suppressAutoHyphens w:val="0"/>
              <w:rPr>
                <w:del w:id="1254" w:author="AbbVie_HU_03" w:date="2025-05-14T15:27:00Z"/>
                <w:lang w:val="hu-HU"/>
              </w:rPr>
            </w:pPr>
            <w:del w:id="1255" w:author="AbbVie_HU_03" w:date="2025-05-14T15:27:00Z">
              <w:r w:rsidRPr="00183B5F">
                <w:rPr>
                  <w:lang w:val="hu-HU"/>
                </w:rPr>
                <w:delText>Lupus-szerű szindróma</w:delText>
              </w:r>
              <w:r w:rsidRPr="00183B5F">
                <w:rPr>
                  <w:vertAlign w:val="superscript"/>
                  <w:lang w:val="hu-HU"/>
                </w:rPr>
                <w:delText>1)</w:delText>
              </w:r>
            </w:del>
          </w:p>
        </w:tc>
      </w:tr>
      <w:tr w:rsidR="00011D2F" w14:paraId="03E71B38" w14:textId="33487765" w:rsidTr="00202B95">
        <w:trPr>
          <w:del w:id="1256" w:author="AbbVie_HU_03" w:date="2025-05-14T15:27:00Z"/>
        </w:trPr>
        <w:tc>
          <w:tcPr>
            <w:tcW w:w="2580" w:type="dxa"/>
            <w:vMerge w:val="restart"/>
          </w:tcPr>
          <w:p w14:paraId="7E175B0D" w14:textId="203ABDE9" w:rsidR="00FB6710" w:rsidRPr="00183B5F" w:rsidRDefault="00943743" w:rsidP="004062FE">
            <w:pPr>
              <w:pStyle w:val="EMEANormal"/>
              <w:widowControl w:val="0"/>
              <w:suppressAutoHyphens w:val="0"/>
              <w:rPr>
                <w:del w:id="1257" w:author="AbbVie_HU_03" w:date="2025-05-14T15:27:00Z"/>
                <w:szCs w:val="22"/>
                <w:lang w:val="hu-HU"/>
              </w:rPr>
            </w:pPr>
            <w:del w:id="1258" w:author="AbbVie_HU_03" w:date="2025-05-14T15:27:00Z">
              <w:r w:rsidRPr="00183B5F">
                <w:rPr>
                  <w:szCs w:val="22"/>
                  <w:lang w:val="hu-HU"/>
                </w:rPr>
                <w:delText>Vese- és húgyúti betegségek és tünetek</w:delText>
              </w:r>
            </w:del>
          </w:p>
        </w:tc>
        <w:tc>
          <w:tcPr>
            <w:tcW w:w="2030" w:type="dxa"/>
            <w:tcBorders>
              <w:bottom w:val="single" w:sz="4" w:space="0" w:color="auto"/>
            </w:tcBorders>
          </w:tcPr>
          <w:p w14:paraId="610D0D76" w14:textId="3F3956BD" w:rsidR="00FB6710" w:rsidRPr="00183B5F" w:rsidRDefault="00943743" w:rsidP="004062FE">
            <w:pPr>
              <w:pStyle w:val="EMEANormal"/>
              <w:widowControl w:val="0"/>
              <w:suppressAutoHyphens w:val="0"/>
              <w:rPr>
                <w:del w:id="1259" w:author="AbbVie_HU_03" w:date="2025-05-14T15:27:00Z"/>
                <w:lang w:val="hu-HU"/>
              </w:rPr>
            </w:pPr>
            <w:del w:id="1260" w:author="AbbVie_HU_03" w:date="2025-05-14T15:27:00Z">
              <w:r w:rsidRPr="00183B5F">
                <w:rPr>
                  <w:lang w:val="hu-HU"/>
                </w:rPr>
                <w:delText>Gyakori</w:delText>
              </w:r>
            </w:del>
          </w:p>
          <w:p w14:paraId="4CCA5EEE" w14:textId="15C16EB3" w:rsidR="00FB6710" w:rsidRPr="00183B5F" w:rsidRDefault="00FB6710" w:rsidP="004062FE">
            <w:pPr>
              <w:pStyle w:val="EMEANormal"/>
              <w:widowControl w:val="0"/>
              <w:suppressAutoHyphens w:val="0"/>
              <w:rPr>
                <w:del w:id="1261" w:author="AbbVie_HU_03" w:date="2025-05-14T15:27:00Z"/>
                <w:lang w:val="hu-HU"/>
              </w:rPr>
            </w:pPr>
          </w:p>
        </w:tc>
        <w:tc>
          <w:tcPr>
            <w:tcW w:w="4451" w:type="dxa"/>
            <w:tcBorders>
              <w:bottom w:val="single" w:sz="4" w:space="0" w:color="auto"/>
            </w:tcBorders>
          </w:tcPr>
          <w:p w14:paraId="0AA89BFE" w14:textId="5E59DB74" w:rsidR="00FB6710" w:rsidRPr="00183B5F" w:rsidRDefault="00943743" w:rsidP="004062FE">
            <w:pPr>
              <w:pStyle w:val="EMEANormal"/>
              <w:widowControl w:val="0"/>
              <w:suppressAutoHyphens w:val="0"/>
              <w:rPr>
                <w:del w:id="1262" w:author="AbbVie_HU_03" w:date="2025-05-14T15:27:00Z"/>
                <w:lang w:val="hu-HU"/>
              </w:rPr>
            </w:pPr>
            <w:del w:id="1263" w:author="AbbVie_HU_03" w:date="2025-05-14T15:27:00Z">
              <w:r w:rsidRPr="00183B5F">
                <w:rPr>
                  <w:lang w:val="hu-HU"/>
                </w:rPr>
                <w:delText>Beszűkült vesefunkció</w:delText>
              </w:r>
              <w:r w:rsidR="00545DD1" w:rsidRPr="00183B5F">
                <w:rPr>
                  <w:lang w:val="hu-HU"/>
                </w:rPr>
                <w:delText>,</w:delText>
              </w:r>
            </w:del>
          </w:p>
          <w:p w14:paraId="0175165A" w14:textId="45003044" w:rsidR="00FB6710" w:rsidRPr="00183B5F" w:rsidRDefault="00943743" w:rsidP="004062FE">
            <w:pPr>
              <w:pStyle w:val="EMEANormal"/>
              <w:widowControl w:val="0"/>
              <w:suppressAutoHyphens w:val="0"/>
              <w:rPr>
                <w:del w:id="1264" w:author="AbbVie_HU_03" w:date="2025-05-14T15:27:00Z"/>
                <w:lang w:val="hu-HU"/>
              </w:rPr>
            </w:pPr>
            <w:del w:id="1265" w:author="AbbVie_HU_03" w:date="2025-05-14T15:27:00Z">
              <w:r w:rsidRPr="00183B5F">
                <w:rPr>
                  <w:lang w:val="hu-HU"/>
                </w:rPr>
                <w:delText>haematuria</w:delText>
              </w:r>
            </w:del>
          </w:p>
        </w:tc>
      </w:tr>
      <w:tr w:rsidR="00011D2F" w14:paraId="5A84D9D2" w14:textId="51997947" w:rsidTr="00202B95">
        <w:trPr>
          <w:del w:id="1266" w:author="AbbVie_HU_03" w:date="2025-05-14T15:27:00Z"/>
        </w:trPr>
        <w:tc>
          <w:tcPr>
            <w:tcW w:w="2580" w:type="dxa"/>
            <w:vMerge/>
          </w:tcPr>
          <w:p w14:paraId="540BE060" w14:textId="7E193D99" w:rsidR="00FB6710" w:rsidRPr="00183B5F" w:rsidRDefault="00FB6710" w:rsidP="004062FE">
            <w:pPr>
              <w:widowControl w:val="0"/>
              <w:suppressAutoHyphens w:val="0"/>
              <w:spacing w:line="240" w:lineRule="auto"/>
              <w:jc w:val="center"/>
              <w:rPr>
                <w:del w:id="1267" w:author="AbbVie_HU_03" w:date="2025-05-14T15:27:00Z"/>
                <w:b/>
              </w:rPr>
            </w:pPr>
          </w:p>
        </w:tc>
        <w:tc>
          <w:tcPr>
            <w:tcW w:w="2030" w:type="dxa"/>
            <w:tcBorders>
              <w:top w:val="single" w:sz="4" w:space="0" w:color="auto"/>
            </w:tcBorders>
          </w:tcPr>
          <w:p w14:paraId="66ABAE94" w14:textId="70600FDF" w:rsidR="00FB6710" w:rsidRPr="00183B5F" w:rsidRDefault="00943743">
            <w:pPr>
              <w:pStyle w:val="EMEANormal"/>
              <w:widowControl w:val="0"/>
              <w:suppressAutoHyphens w:val="0"/>
              <w:rPr>
                <w:del w:id="1268" w:author="AbbVie_HU_03" w:date="2025-05-14T15:27:00Z"/>
                <w:lang w:val="hu-HU"/>
              </w:rPr>
            </w:pPr>
            <w:del w:id="1269" w:author="AbbVie_HU_03" w:date="2025-05-14T15:27:00Z">
              <w:r w:rsidRPr="00183B5F">
                <w:rPr>
                  <w:lang w:val="hu-HU"/>
                </w:rPr>
                <w:delText>Nem gyakori</w:delText>
              </w:r>
            </w:del>
          </w:p>
        </w:tc>
        <w:tc>
          <w:tcPr>
            <w:tcW w:w="4451" w:type="dxa"/>
            <w:tcBorders>
              <w:top w:val="single" w:sz="4" w:space="0" w:color="auto"/>
            </w:tcBorders>
          </w:tcPr>
          <w:p w14:paraId="63554D56" w14:textId="346CEBA9" w:rsidR="00FB6710" w:rsidRPr="00183B5F" w:rsidRDefault="00943743">
            <w:pPr>
              <w:pStyle w:val="EMEANormal"/>
              <w:widowControl w:val="0"/>
              <w:suppressAutoHyphens w:val="0"/>
              <w:rPr>
                <w:del w:id="1270" w:author="AbbVie_HU_03" w:date="2025-05-14T15:27:00Z"/>
                <w:lang w:val="hu-HU"/>
              </w:rPr>
            </w:pPr>
            <w:del w:id="1271" w:author="AbbVie_HU_03" w:date="2025-05-14T15:27:00Z">
              <w:r w:rsidRPr="00183B5F">
                <w:rPr>
                  <w:lang w:val="hu-HU"/>
                </w:rPr>
                <w:delText>Nocturia</w:delText>
              </w:r>
            </w:del>
          </w:p>
        </w:tc>
      </w:tr>
      <w:tr w:rsidR="00011D2F" w14:paraId="1DC09CD2" w14:textId="50B939A4" w:rsidTr="00202B95">
        <w:trPr>
          <w:del w:id="1272" w:author="AbbVie_HU_03" w:date="2025-05-14T15:27:00Z"/>
        </w:trPr>
        <w:tc>
          <w:tcPr>
            <w:tcW w:w="2580" w:type="dxa"/>
          </w:tcPr>
          <w:p w14:paraId="35A5379D" w14:textId="06C4957A" w:rsidR="00FB6710" w:rsidRPr="00183B5F" w:rsidRDefault="00943743" w:rsidP="004062FE">
            <w:pPr>
              <w:pStyle w:val="EMEANormal"/>
              <w:widowControl w:val="0"/>
              <w:suppressAutoHyphens w:val="0"/>
              <w:rPr>
                <w:del w:id="1273" w:author="AbbVie_HU_03" w:date="2025-05-14T15:27:00Z"/>
                <w:szCs w:val="22"/>
                <w:lang w:val="hu-HU"/>
              </w:rPr>
            </w:pPr>
            <w:del w:id="1274" w:author="AbbVie_HU_03" w:date="2025-05-14T15:27:00Z">
              <w:r w:rsidRPr="00183B5F">
                <w:rPr>
                  <w:szCs w:val="22"/>
                  <w:lang w:val="hu-HU"/>
                </w:rPr>
                <w:delText>A nemi szervekkel és az emlőkkel kapcsolatos betegségek és tünetek</w:delText>
              </w:r>
            </w:del>
          </w:p>
        </w:tc>
        <w:tc>
          <w:tcPr>
            <w:tcW w:w="2030" w:type="dxa"/>
          </w:tcPr>
          <w:p w14:paraId="1E535236" w14:textId="2B36B939" w:rsidR="00FB6710" w:rsidRPr="00183B5F" w:rsidRDefault="00943743" w:rsidP="004062FE">
            <w:pPr>
              <w:pStyle w:val="EMEANormal"/>
              <w:widowControl w:val="0"/>
              <w:suppressAutoHyphens w:val="0"/>
              <w:rPr>
                <w:del w:id="1275" w:author="AbbVie_HU_03" w:date="2025-05-14T15:27:00Z"/>
                <w:lang w:val="hu-HU"/>
              </w:rPr>
            </w:pPr>
            <w:del w:id="1276" w:author="AbbVie_HU_03" w:date="2025-05-14T15:27:00Z">
              <w:r w:rsidRPr="00183B5F">
                <w:rPr>
                  <w:lang w:val="hu-HU"/>
                </w:rPr>
                <w:delText>Nem gyakori</w:delText>
              </w:r>
            </w:del>
          </w:p>
        </w:tc>
        <w:tc>
          <w:tcPr>
            <w:tcW w:w="4451" w:type="dxa"/>
          </w:tcPr>
          <w:p w14:paraId="7D85A2BA" w14:textId="79514CC8" w:rsidR="00FB6710" w:rsidRPr="00183B5F" w:rsidRDefault="00943743" w:rsidP="004062FE">
            <w:pPr>
              <w:pStyle w:val="EMEANormal"/>
              <w:widowControl w:val="0"/>
              <w:suppressAutoHyphens w:val="0"/>
              <w:rPr>
                <w:del w:id="1277" w:author="AbbVie_HU_03" w:date="2025-05-14T15:27:00Z"/>
                <w:lang w:val="hu-HU"/>
              </w:rPr>
            </w:pPr>
            <w:del w:id="1278" w:author="AbbVie_HU_03" w:date="2025-05-14T15:27:00Z">
              <w:r w:rsidRPr="00183B5F">
                <w:rPr>
                  <w:lang w:val="hu-HU"/>
                </w:rPr>
                <w:delText>Erectilis dysfunctio</w:delText>
              </w:r>
            </w:del>
          </w:p>
          <w:p w14:paraId="0AC0B3DB" w14:textId="3EFB7B62" w:rsidR="00FB6710" w:rsidRPr="00183B5F" w:rsidRDefault="00FB6710" w:rsidP="004062FE">
            <w:pPr>
              <w:pStyle w:val="EMEANormal"/>
              <w:widowControl w:val="0"/>
              <w:suppressAutoHyphens w:val="0"/>
              <w:rPr>
                <w:del w:id="1279" w:author="AbbVie_HU_03" w:date="2025-05-14T15:27:00Z"/>
                <w:lang w:val="hu-HU"/>
              </w:rPr>
            </w:pPr>
          </w:p>
        </w:tc>
      </w:tr>
      <w:tr w:rsidR="00011D2F" w14:paraId="7A98DAE2" w14:textId="518BF134" w:rsidTr="00202B95">
        <w:trPr>
          <w:del w:id="1280" w:author="AbbVie_HU_03" w:date="2025-05-14T15:27:00Z"/>
        </w:trPr>
        <w:tc>
          <w:tcPr>
            <w:tcW w:w="2580" w:type="dxa"/>
            <w:vMerge w:val="restart"/>
          </w:tcPr>
          <w:p w14:paraId="014CE9FA" w14:textId="2BA2E8D9" w:rsidR="00FB6710" w:rsidRPr="00183B5F" w:rsidRDefault="00943743" w:rsidP="004062FE">
            <w:pPr>
              <w:pStyle w:val="EMEANormal"/>
              <w:widowControl w:val="0"/>
              <w:suppressAutoHyphens w:val="0"/>
              <w:rPr>
                <w:del w:id="1281" w:author="AbbVie_HU_03" w:date="2025-05-14T15:27:00Z"/>
                <w:szCs w:val="22"/>
                <w:lang w:val="hu-HU"/>
              </w:rPr>
            </w:pPr>
            <w:del w:id="1282" w:author="AbbVie_HU_03" w:date="2025-05-14T15:27:00Z">
              <w:r w:rsidRPr="00183B5F">
                <w:rPr>
                  <w:szCs w:val="22"/>
                  <w:lang w:val="hu-HU"/>
                </w:rPr>
                <w:delText>Általános tünetek, az alkalmazás helyén fellépő reakciók*</w:delText>
              </w:r>
            </w:del>
          </w:p>
        </w:tc>
        <w:tc>
          <w:tcPr>
            <w:tcW w:w="2030" w:type="dxa"/>
            <w:tcBorders>
              <w:bottom w:val="single" w:sz="4" w:space="0" w:color="auto"/>
            </w:tcBorders>
          </w:tcPr>
          <w:p w14:paraId="7EB8CC72" w14:textId="55F12FBA" w:rsidR="00FB6710" w:rsidRPr="00183B5F" w:rsidRDefault="00943743" w:rsidP="004062FE">
            <w:pPr>
              <w:pStyle w:val="EMEANormal"/>
              <w:widowControl w:val="0"/>
              <w:suppressAutoHyphens w:val="0"/>
              <w:rPr>
                <w:del w:id="1283" w:author="AbbVie_HU_03" w:date="2025-05-14T15:27:00Z"/>
                <w:lang w:val="hu-HU"/>
              </w:rPr>
            </w:pPr>
            <w:del w:id="1284" w:author="AbbVie_HU_03" w:date="2025-05-14T15:27:00Z">
              <w:r w:rsidRPr="00183B5F">
                <w:rPr>
                  <w:lang w:val="hu-HU"/>
                </w:rPr>
                <w:delText>Nagyon gyakori</w:delText>
              </w:r>
            </w:del>
          </w:p>
          <w:p w14:paraId="12882D33" w14:textId="20C0CA04" w:rsidR="00FB6710" w:rsidRPr="00183B5F" w:rsidRDefault="00FB6710" w:rsidP="004062FE">
            <w:pPr>
              <w:pStyle w:val="EMEANormal"/>
              <w:widowControl w:val="0"/>
              <w:suppressAutoHyphens w:val="0"/>
              <w:rPr>
                <w:del w:id="1285" w:author="AbbVie_HU_03" w:date="2025-05-14T15:27:00Z"/>
                <w:lang w:val="hu-HU"/>
              </w:rPr>
            </w:pPr>
          </w:p>
        </w:tc>
        <w:tc>
          <w:tcPr>
            <w:tcW w:w="4451" w:type="dxa"/>
            <w:tcBorders>
              <w:bottom w:val="single" w:sz="4" w:space="0" w:color="auto"/>
            </w:tcBorders>
          </w:tcPr>
          <w:p w14:paraId="0D3ABF3E" w14:textId="16A43B2A" w:rsidR="00FB6710" w:rsidRPr="00183B5F" w:rsidRDefault="00943743" w:rsidP="004062FE">
            <w:pPr>
              <w:pStyle w:val="EMEANormal"/>
              <w:widowControl w:val="0"/>
              <w:suppressAutoHyphens w:val="0"/>
              <w:rPr>
                <w:del w:id="1286" w:author="AbbVie_HU_03" w:date="2025-05-14T15:27:00Z"/>
                <w:lang w:val="hu-HU"/>
              </w:rPr>
            </w:pPr>
            <w:del w:id="1287" w:author="AbbVie_HU_03" w:date="2025-05-14T15:27:00Z">
              <w:r w:rsidRPr="00183B5F">
                <w:rPr>
                  <w:lang w:val="hu-HU"/>
                </w:rPr>
                <w:delText>Az injekció beadási helyén jelentkező reakció (beleértve az injekció beadási helyén jelentkező reakciót erythemát is)</w:delText>
              </w:r>
            </w:del>
          </w:p>
          <w:p w14:paraId="21C76C77" w14:textId="357E839D" w:rsidR="00FB6710" w:rsidRPr="00183B5F" w:rsidRDefault="00FB6710" w:rsidP="004062FE">
            <w:pPr>
              <w:pStyle w:val="EMEANormal"/>
              <w:widowControl w:val="0"/>
              <w:suppressAutoHyphens w:val="0"/>
              <w:rPr>
                <w:del w:id="1288" w:author="AbbVie_HU_03" w:date="2025-05-14T15:27:00Z"/>
                <w:lang w:val="hu-HU"/>
              </w:rPr>
            </w:pPr>
          </w:p>
        </w:tc>
      </w:tr>
      <w:tr w:rsidR="00011D2F" w14:paraId="430B1AC0" w14:textId="2065E4EE" w:rsidTr="00202B95">
        <w:trPr>
          <w:del w:id="1289" w:author="AbbVie_HU_03" w:date="2025-05-14T15:27:00Z"/>
        </w:trPr>
        <w:tc>
          <w:tcPr>
            <w:tcW w:w="2580" w:type="dxa"/>
            <w:vMerge/>
          </w:tcPr>
          <w:p w14:paraId="5511FF25" w14:textId="00B14990" w:rsidR="00FB6710" w:rsidRPr="00183B5F" w:rsidRDefault="00FB6710" w:rsidP="004062FE">
            <w:pPr>
              <w:widowControl w:val="0"/>
              <w:suppressAutoHyphens w:val="0"/>
              <w:spacing w:line="240" w:lineRule="auto"/>
              <w:jc w:val="center"/>
              <w:rPr>
                <w:del w:id="1290" w:author="AbbVie_HU_03" w:date="2025-05-14T15:27:00Z"/>
                <w:b/>
              </w:rPr>
            </w:pPr>
          </w:p>
        </w:tc>
        <w:tc>
          <w:tcPr>
            <w:tcW w:w="2030" w:type="dxa"/>
            <w:tcBorders>
              <w:top w:val="single" w:sz="4" w:space="0" w:color="auto"/>
              <w:bottom w:val="single" w:sz="4" w:space="0" w:color="auto"/>
            </w:tcBorders>
          </w:tcPr>
          <w:p w14:paraId="2E760FC6" w14:textId="6FA830ED" w:rsidR="00FB6710" w:rsidRPr="00183B5F" w:rsidRDefault="00943743">
            <w:pPr>
              <w:pStyle w:val="EMEANormal"/>
              <w:widowControl w:val="0"/>
              <w:suppressAutoHyphens w:val="0"/>
              <w:rPr>
                <w:del w:id="1291" w:author="AbbVie_HU_03" w:date="2025-05-14T15:27:00Z"/>
                <w:lang w:val="hu-HU"/>
              </w:rPr>
            </w:pPr>
            <w:del w:id="1292" w:author="AbbVie_HU_03" w:date="2025-05-14T15:27:00Z">
              <w:r w:rsidRPr="00183B5F">
                <w:rPr>
                  <w:lang w:val="hu-HU"/>
                </w:rPr>
                <w:delText>Gyakori</w:delText>
              </w:r>
            </w:del>
          </w:p>
          <w:p w14:paraId="0247F6E6" w14:textId="2269F83C" w:rsidR="00FB6710" w:rsidRPr="00183B5F" w:rsidRDefault="00FB6710">
            <w:pPr>
              <w:pStyle w:val="EMEANormal"/>
              <w:widowControl w:val="0"/>
              <w:suppressAutoHyphens w:val="0"/>
              <w:rPr>
                <w:del w:id="1293" w:author="AbbVie_HU_03" w:date="2025-05-14T15:27:00Z"/>
                <w:lang w:val="hu-HU"/>
              </w:rPr>
            </w:pPr>
          </w:p>
        </w:tc>
        <w:tc>
          <w:tcPr>
            <w:tcW w:w="4451" w:type="dxa"/>
            <w:tcBorders>
              <w:top w:val="single" w:sz="4" w:space="0" w:color="auto"/>
              <w:bottom w:val="single" w:sz="4" w:space="0" w:color="auto"/>
            </w:tcBorders>
          </w:tcPr>
          <w:p w14:paraId="1DD79279" w14:textId="78475D86" w:rsidR="00FB6710" w:rsidRPr="00183B5F" w:rsidRDefault="00943743">
            <w:pPr>
              <w:pStyle w:val="EMEANormal"/>
              <w:widowControl w:val="0"/>
              <w:suppressAutoHyphens w:val="0"/>
              <w:rPr>
                <w:del w:id="1294" w:author="AbbVie_HU_03" w:date="2025-05-14T15:27:00Z"/>
                <w:lang w:val="hu-HU"/>
              </w:rPr>
            </w:pPr>
            <w:del w:id="1295" w:author="AbbVie_HU_03" w:date="2025-05-14T15:27:00Z">
              <w:r w:rsidRPr="00183B5F">
                <w:rPr>
                  <w:lang w:val="hu-HU"/>
                </w:rPr>
                <w:delText xml:space="preserve">Mellkasi fájdalom, </w:delText>
              </w:r>
            </w:del>
          </w:p>
          <w:p w14:paraId="721AF948" w14:textId="7E7DB06E" w:rsidR="00FB6710" w:rsidRPr="00183B5F" w:rsidRDefault="00943743">
            <w:pPr>
              <w:pStyle w:val="EMEANormal"/>
              <w:widowControl w:val="0"/>
              <w:suppressAutoHyphens w:val="0"/>
              <w:rPr>
                <w:del w:id="1296" w:author="AbbVie_HU_03" w:date="2025-05-14T15:27:00Z"/>
                <w:lang w:val="hu-HU"/>
              </w:rPr>
            </w:pPr>
            <w:del w:id="1297" w:author="AbbVie_HU_03" w:date="2025-05-14T15:27:00Z">
              <w:r w:rsidRPr="00183B5F">
                <w:rPr>
                  <w:lang w:val="hu-HU"/>
                </w:rPr>
                <w:delText>oedema</w:delText>
              </w:r>
              <w:r w:rsidR="007C46C7" w:rsidRPr="00183B5F">
                <w:rPr>
                  <w:lang w:val="hu-HU"/>
                </w:rPr>
                <w:delText>,</w:delText>
              </w:r>
            </w:del>
          </w:p>
          <w:p w14:paraId="0FDA4163" w14:textId="25CC0EF0" w:rsidR="007C46C7" w:rsidRPr="00183B5F" w:rsidRDefault="00943743">
            <w:pPr>
              <w:pStyle w:val="EMEANormal"/>
              <w:widowControl w:val="0"/>
              <w:suppressAutoHyphens w:val="0"/>
              <w:rPr>
                <w:del w:id="1298" w:author="AbbVie_HU_03" w:date="2025-05-14T15:27:00Z"/>
                <w:lang w:val="hu-HU"/>
              </w:rPr>
            </w:pPr>
            <w:del w:id="1299" w:author="AbbVie_HU_03" w:date="2025-05-14T15:27:00Z">
              <w:r w:rsidRPr="00183B5F">
                <w:rPr>
                  <w:lang w:val="hu-HU"/>
                </w:rPr>
                <w:delText>láz</w:delText>
              </w:r>
              <w:r w:rsidRPr="00183B5F">
                <w:rPr>
                  <w:vertAlign w:val="superscript"/>
                  <w:lang w:val="hu-HU"/>
                </w:rPr>
                <w:delText>1)</w:delText>
              </w:r>
            </w:del>
          </w:p>
        </w:tc>
      </w:tr>
      <w:tr w:rsidR="00011D2F" w14:paraId="5266C236" w14:textId="2E806F56" w:rsidTr="00202B95">
        <w:trPr>
          <w:del w:id="1300" w:author="AbbVie_HU_03" w:date="2025-05-14T15:27:00Z"/>
        </w:trPr>
        <w:tc>
          <w:tcPr>
            <w:tcW w:w="2580" w:type="dxa"/>
            <w:vMerge/>
          </w:tcPr>
          <w:p w14:paraId="1C0E22E6" w14:textId="000C4CD7" w:rsidR="00FB6710" w:rsidRPr="00183B5F" w:rsidRDefault="00FB6710" w:rsidP="004062FE">
            <w:pPr>
              <w:widowControl w:val="0"/>
              <w:suppressAutoHyphens w:val="0"/>
              <w:spacing w:line="240" w:lineRule="auto"/>
              <w:jc w:val="center"/>
              <w:rPr>
                <w:del w:id="1301" w:author="AbbVie_HU_03" w:date="2025-05-14T15:27:00Z"/>
                <w:b/>
              </w:rPr>
            </w:pPr>
          </w:p>
        </w:tc>
        <w:tc>
          <w:tcPr>
            <w:tcW w:w="2030" w:type="dxa"/>
            <w:tcBorders>
              <w:top w:val="single" w:sz="4" w:space="0" w:color="auto"/>
            </w:tcBorders>
          </w:tcPr>
          <w:p w14:paraId="655DA1A7" w14:textId="7714710F" w:rsidR="00FB6710" w:rsidRPr="00183B5F" w:rsidRDefault="00943743">
            <w:pPr>
              <w:pStyle w:val="EMEANormal"/>
              <w:widowControl w:val="0"/>
              <w:suppressAutoHyphens w:val="0"/>
              <w:rPr>
                <w:del w:id="1302" w:author="AbbVie_HU_03" w:date="2025-05-14T15:27:00Z"/>
                <w:lang w:val="hu-HU"/>
              </w:rPr>
            </w:pPr>
            <w:del w:id="1303" w:author="AbbVie_HU_03" w:date="2025-05-14T15:27:00Z">
              <w:r w:rsidRPr="00183B5F">
                <w:rPr>
                  <w:lang w:val="hu-HU"/>
                </w:rPr>
                <w:delText>Nem gyakori</w:delText>
              </w:r>
            </w:del>
          </w:p>
          <w:p w14:paraId="540F642D" w14:textId="66423BDE" w:rsidR="00FB6710" w:rsidRPr="00183B5F" w:rsidRDefault="00FB6710">
            <w:pPr>
              <w:pStyle w:val="EMEANormal"/>
              <w:widowControl w:val="0"/>
              <w:suppressAutoHyphens w:val="0"/>
              <w:rPr>
                <w:del w:id="1304" w:author="AbbVie_HU_03" w:date="2025-05-14T15:27:00Z"/>
                <w:lang w:val="hu-HU"/>
              </w:rPr>
            </w:pPr>
          </w:p>
        </w:tc>
        <w:tc>
          <w:tcPr>
            <w:tcW w:w="4451" w:type="dxa"/>
            <w:tcBorders>
              <w:top w:val="single" w:sz="4" w:space="0" w:color="auto"/>
            </w:tcBorders>
          </w:tcPr>
          <w:p w14:paraId="6D82EA63" w14:textId="08793F5C" w:rsidR="00FB6710" w:rsidRPr="00183B5F" w:rsidRDefault="00943743">
            <w:pPr>
              <w:pStyle w:val="EMEANormal"/>
              <w:widowControl w:val="0"/>
              <w:suppressAutoHyphens w:val="0"/>
              <w:rPr>
                <w:del w:id="1305" w:author="AbbVie_HU_03" w:date="2025-05-14T15:27:00Z"/>
                <w:lang w:val="hu-HU"/>
              </w:rPr>
            </w:pPr>
            <w:del w:id="1306" w:author="AbbVie_HU_03" w:date="2025-05-14T15:27:00Z">
              <w:r w:rsidRPr="00183B5F">
                <w:rPr>
                  <w:lang w:val="hu-HU"/>
                </w:rPr>
                <w:delText>Gyulladás</w:delText>
              </w:r>
            </w:del>
          </w:p>
        </w:tc>
      </w:tr>
      <w:tr w:rsidR="00011D2F" w14:paraId="0BE4AD01" w14:textId="33A5BAD8" w:rsidTr="00202B95">
        <w:trPr>
          <w:del w:id="1307" w:author="AbbVie_HU_03" w:date="2025-05-14T15:27:00Z"/>
        </w:trPr>
        <w:tc>
          <w:tcPr>
            <w:tcW w:w="2580" w:type="dxa"/>
            <w:vMerge w:val="restart"/>
          </w:tcPr>
          <w:p w14:paraId="4B358156" w14:textId="66AFDBEF" w:rsidR="00796272" w:rsidRPr="00183B5F" w:rsidRDefault="00943743" w:rsidP="004062FE">
            <w:pPr>
              <w:pStyle w:val="EMEANormal"/>
              <w:widowControl w:val="0"/>
              <w:suppressAutoHyphens w:val="0"/>
              <w:rPr>
                <w:del w:id="1308" w:author="AbbVie_HU_03" w:date="2025-05-14T15:27:00Z"/>
                <w:szCs w:val="22"/>
                <w:lang w:val="hu-HU"/>
              </w:rPr>
            </w:pPr>
            <w:del w:id="1309" w:author="AbbVie_HU_03" w:date="2025-05-14T15:27:00Z">
              <w:r w:rsidRPr="00183B5F">
                <w:rPr>
                  <w:szCs w:val="22"/>
                  <w:lang w:val="hu-HU"/>
                </w:rPr>
                <w:delText>Laboratóriumi és egyéb vizsgálatok eredményei*</w:delText>
              </w:r>
            </w:del>
          </w:p>
        </w:tc>
        <w:tc>
          <w:tcPr>
            <w:tcW w:w="2030" w:type="dxa"/>
          </w:tcPr>
          <w:p w14:paraId="5EAF9369" w14:textId="12E5717D" w:rsidR="00796272" w:rsidRPr="00183B5F" w:rsidRDefault="00943743" w:rsidP="004062FE">
            <w:pPr>
              <w:pStyle w:val="EMEANormal"/>
              <w:widowControl w:val="0"/>
              <w:suppressAutoHyphens w:val="0"/>
              <w:rPr>
                <w:del w:id="1310" w:author="AbbVie_HU_03" w:date="2025-05-14T15:27:00Z"/>
                <w:lang w:val="hu-HU"/>
              </w:rPr>
            </w:pPr>
            <w:del w:id="1311" w:author="AbbVie_HU_03" w:date="2025-05-14T15:27:00Z">
              <w:r w:rsidRPr="00183B5F">
                <w:rPr>
                  <w:lang w:val="hu-HU"/>
                </w:rPr>
                <w:delText>Gyakori</w:delText>
              </w:r>
            </w:del>
          </w:p>
        </w:tc>
        <w:tc>
          <w:tcPr>
            <w:tcW w:w="4451" w:type="dxa"/>
          </w:tcPr>
          <w:p w14:paraId="10B714D0" w14:textId="2977E587" w:rsidR="00796272" w:rsidRPr="00183B5F" w:rsidRDefault="00943743" w:rsidP="004062FE">
            <w:pPr>
              <w:pStyle w:val="EMEANormal"/>
              <w:widowControl w:val="0"/>
              <w:suppressAutoHyphens w:val="0"/>
              <w:rPr>
                <w:del w:id="1312" w:author="AbbVie_HU_03" w:date="2025-05-14T15:27:00Z"/>
                <w:lang w:val="hu-HU"/>
              </w:rPr>
            </w:pPr>
            <w:del w:id="1313" w:author="AbbVie_HU_03" w:date="2025-05-14T15:27:00Z">
              <w:r w:rsidRPr="00183B5F">
                <w:rPr>
                  <w:lang w:val="hu-HU"/>
                </w:rPr>
                <w:delText xml:space="preserve">Véralvadási zavar vagy vérzékenység (beleértve az aktivált parciális thromboplastin-idő megnyúlását is), </w:delText>
              </w:r>
            </w:del>
          </w:p>
          <w:p w14:paraId="5AA63817" w14:textId="49680E6D" w:rsidR="00796272" w:rsidRPr="00183B5F" w:rsidRDefault="00943743" w:rsidP="004062FE">
            <w:pPr>
              <w:pStyle w:val="EMEANormal"/>
              <w:widowControl w:val="0"/>
              <w:suppressAutoHyphens w:val="0"/>
              <w:rPr>
                <w:del w:id="1314" w:author="AbbVie_HU_03" w:date="2025-05-14T15:27:00Z"/>
                <w:lang w:val="hu-HU"/>
              </w:rPr>
            </w:pPr>
            <w:del w:id="1315" w:author="AbbVie_HU_03" w:date="2025-05-14T15:27:00Z">
              <w:r w:rsidRPr="00183B5F">
                <w:rPr>
                  <w:lang w:val="hu-HU"/>
                </w:rPr>
                <w:delText xml:space="preserve">Az autoantitest-vizsgálat pozitívvá válása (beleértve a kettős szálú DNS-ellenes antitestet is), </w:delText>
              </w:r>
            </w:del>
          </w:p>
          <w:p w14:paraId="35C2C3F7" w14:textId="3036714F" w:rsidR="00796272" w:rsidRPr="00183B5F" w:rsidRDefault="00943743" w:rsidP="004062FE">
            <w:pPr>
              <w:pStyle w:val="EMEANormal"/>
              <w:widowControl w:val="0"/>
              <w:suppressAutoHyphens w:val="0"/>
              <w:rPr>
                <w:del w:id="1316" w:author="AbbVie_HU_03" w:date="2025-05-14T15:27:00Z"/>
                <w:lang w:val="hu-HU"/>
              </w:rPr>
            </w:pPr>
            <w:del w:id="1317" w:author="AbbVie_HU_03" w:date="2025-05-14T15:27:00Z">
              <w:r w:rsidRPr="00183B5F">
                <w:rPr>
                  <w:lang w:val="hu-HU"/>
                </w:rPr>
                <w:delText>a vér laktát</w:delText>
              </w:r>
              <w:r w:rsidRPr="00183B5F">
                <w:rPr>
                  <w:lang w:val="hu-HU"/>
                </w:rPr>
                <w:noBreakHyphen/>
                <w:delText xml:space="preserve">dehidrogenáz-szintjének emelkedése </w:delText>
              </w:r>
            </w:del>
          </w:p>
        </w:tc>
      </w:tr>
      <w:tr w:rsidR="00011D2F" w14:paraId="487D7FA0" w14:textId="1375B5BD" w:rsidTr="00796272">
        <w:trPr>
          <w:del w:id="1318" w:author="AbbVie_HU_03" w:date="2025-05-14T15:27:00Z"/>
        </w:trPr>
        <w:tc>
          <w:tcPr>
            <w:tcW w:w="2580" w:type="dxa"/>
            <w:vMerge/>
          </w:tcPr>
          <w:p w14:paraId="5ECDC3C5" w14:textId="77FDAD75" w:rsidR="00796272" w:rsidRPr="00183B5F" w:rsidRDefault="00796272" w:rsidP="004062FE">
            <w:pPr>
              <w:pStyle w:val="EMEANormal"/>
              <w:widowControl w:val="0"/>
              <w:suppressAutoHyphens w:val="0"/>
              <w:rPr>
                <w:del w:id="1319" w:author="AbbVie_HU_03" w:date="2025-05-14T15:27:00Z"/>
                <w:szCs w:val="22"/>
                <w:lang w:val="hu-HU"/>
              </w:rPr>
            </w:pPr>
          </w:p>
        </w:tc>
        <w:tc>
          <w:tcPr>
            <w:tcW w:w="2030" w:type="dxa"/>
          </w:tcPr>
          <w:p w14:paraId="16DC568D" w14:textId="0E807813" w:rsidR="00796272" w:rsidRPr="00183B5F" w:rsidRDefault="00943743" w:rsidP="004062FE">
            <w:pPr>
              <w:pStyle w:val="EMEANormal"/>
              <w:widowControl w:val="0"/>
              <w:suppressAutoHyphens w:val="0"/>
              <w:rPr>
                <w:del w:id="1320" w:author="AbbVie_HU_03" w:date="2025-05-14T15:27:00Z"/>
                <w:lang w:val="hu-HU"/>
              </w:rPr>
            </w:pPr>
            <w:del w:id="1321" w:author="AbbVie_HU_03" w:date="2025-05-14T15:27:00Z">
              <w:r w:rsidRPr="00183B5F">
                <w:rPr>
                  <w:lang w:val="hu-HU"/>
                </w:rPr>
                <w:delText>Nem ismert</w:delText>
              </w:r>
            </w:del>
          </w:p>
        </w:tc>
        <w:tc>
          <w:tcPr>
            <w:tcW w:w="4451" w:type="dxa"/>
          </w:tcPr>
          <w:p w14:paraId="1DF12DFA" w14:textId="0615F571" w:rsidR="00796272" w:rsidRPr="00183B5F" w:rsidRDefault="00943743" w:rsidP="004062FE">
            <w:pPr>
              <w:pStyle w:val="EMEANormal"/>
              <w:widowControl w:val="0"/>
              <w:suppressAutoHyphens w:val="0"/>
              <w:rPr>
                <w:del w:id="1322" w:author="AbbVie_HU_03" w:date="2025-05-14T15:27:00Z"/>
                <w:lang w:val="hu-HU"/>
              </w:rPr>
            </w:pPr>
            <w:del w:id="1323" w:author="AbbVie_HU_03" w:date="2025-05-14T15:27:00Z">
              <w:r w:rsidRPr="00183B5F">
                <w:rPr>
                  <w:lang w:val="hu-HU"/>
                </w:rPr>
                <w:delText>Testtömeg növekedése</w:delText>
              </w:r>
              <w:r w:rsidRPr="00FD6A32">
                <w:rPr>
                  <w:vertAlign w:val="superscript"/>
                  <w:lang w:val="hu-HU"/>
                </w:rPr>
                <w:delText>2)</w:delText>
              </w:r>
            </w:del>
          </w:p>
        </w:tc>
      </w:tr>
      <w:tr w:rsidR="00011D2F" w14:paraId="540F8419" w14:textId="1D3B12AF" w:rsidTr="00202B95">
        <w:trPr>
          <w:del w:id="1324" w:author="AbbVie_HU_03" w:date="2025-05-14T15:27:00Z"/>
        </w:trPr>
        <w:tc>
          <w:tcPr>
            <w:tcW w:w="2580" w:type="dxa"/>
          </w:tcPr>
          <w:p w14:paraId="1195F29F" w14:textId="4BEE3CA0" w:rsidR="00FB6710" w:rsidRPr="00183B5F" w:rsidRDefault="00943743" w:rsidP="004062FE">
            <w:pPr>
              <w:pStyle w:val="EMEANormal"/>
              <w:keepNext/>
              <w:widowControl w:val="0"/>
              <w:suppressAutoHyphens w:val="0"/>
              <w:rPr>
                <w:del w:id="1325" w:author="AbbVie_HU_03" w:date="2025-05-14T15:27:00Z"/>
                <w:szCs w:val="22"/>
                <w:lang w:val="hu-HU"/>
              </w:rPr>
            </w:pPr>
            <w:del w:id="1326" w:author="AbbVie_HU_03" w:date="2025-05-14T15:27:00Z">
              <w:r w:rsidRPr="00183B5F">
                <w:rPr>
                  <w:szCs w:val="22"/>
                  <w:lang w:val="hu-HU"/>
                </w:rPr>
                <w:delText>Sérülés, mérgezés és a beavatkozással kapcsolatos szövődmények</w:delText>
              </w:r>
            </w:del>
          </w:p>
        </w:tc>
        <w:tc>
          <w:tcPr>
            <w:tcW w:w="2030" w:type="dxa"/>
          </w:tcPr>
          <w:p w14:paraId="40897AE7" w14:textId="311A0114" w:rsidR="00FB6710" w:rsidRPr="00183B5F" w:rsidRDefault="00943743" w:rsidP="004062FE">
            <w:pPr>
              <w:pStyle w:val="EMEANormal"/>
              <w:keepNext/>
              <w:widowControl w:val="0"/>
              <w:suppressAutoHyphens w:val="0"/>
              <w:rPr>
                <w:del w:id="1327" w:author="AbbVie_HU_03" w:date="2025-05-14T15:27:00Z"/>
                <w:lang w:val="hu-HU"/>
              </w:rPr>
            </w:pPr>
            <w:del w:id="1328" w:author="AbbVie_HU_03" w:date="2025-05-14T15:27:00Z">
              <w:r w:rsidRPr="00183B5F">
                <w:rPr>
                  <w:lang w:val="hu-HU"/>
                </w:rPr>
                <w:delText>Gyakori</w:delText>
              </w:r>
            </w:del>
          </w:p>
        </w:tc>
        <w:tc>
          <w:tcPr>
            <w:tcW w:w="4451" w:type="dxa"/>
          </w:tcPr>
          <w:p w14:paraId="753CD225" w14:textId="468FD9BE" w:rsidR="004A6A7C" w:rsidRPr="00183B5F" w:rsidRDefault="00943743" w:rsidP="004062FE">
            <w:pPr>
              <w:pStyle w:val="EMEANormal"/>
              <w:keepNext/>
              <w:widowControl w:val="0"/>
              <w:suppressAutoHyphens w:val="0"/>
              <w:rPr>
                <w:del w:id="1329" w:author="AbbVie_HU_03" w:date="2025-05-14T15:27:00Z"/>
                <w:lang w:val="hu-HU"/>
              </w:rPr>
            </w:pPr>
            <w:del w:id="1330" w:author="AbbVie_HU_03" w:date="2025-05-14T15:27:00Z">
              <w:r w:rsidRPr="00183B5F">
                <w:rPr>
                  <w:lang w:val="hu-HU"/>
                </w:rPr>
                <w:delText>Sebgyógyulási zavar</w:delText>
              </w:r>
            </w:del>
          </w:p>
          <w:p w14:paraId="3956DAAA" w14:textId="17A12CA9" w:rsidR="00FB6710" w:rsidRPr="00183B5F" w:rsidRDefault="00FB6710" w:rsidP="004062FE">
            <w:pPr>
              <w:pStyle w:val="EMEANormal"/>
              <w:keepNext/>
              <w:widowControl w:val="0"/>
              <w:suppressAutoHyphens w:val="0"/>
              <w:rPr>
                <w:del w:id="1331" w:author="AbbVie_HU_03" w:date="2025-05-14T15:27:00Z"/>
                <w:lang w:val="hu-HU"/>
              </w:rPr>
            </w:pPr>
          </w:p>
        </w:tc>
      </w:tr>
    </w:tbl>
    <w:p w14:paraId="724B92D6" w14:textId="3DB2B7E5" w:rsidR="00FB6710" w:rsidRPr="00183B5F" w:rsidRDefault="00943743" w:rsidP="004062FE">
      <w:pPr>
        <w:keepNext/>
        <w:suppressAutoHyphens w:val="0"/>
        <w:spacing w:line="240" w:lineRule="auto"/>
        <w:rPr>
          <w:del w:id="1332" w:author="AbbVie_HU_03" w:date="2025-05-14T15:27:00Z"/>
          <w:szCs w:val="22"/>
        </w:rPr>
      </w:pPr>
      <w:del w:id="1333" w:author="AbbVie_HU_03" w:date="2025-05-14T15:27:00Z">
        <w:r w:rsidRPr="00183B5F">
          <w:rPr>
            <w:szCs w:val="22"/>
          </w:rPr>
          <w:delText>* a 4.3, 4.4 és 4.8 pontban további információ található.</w:delText>
        </w:r>
      </w:del>
    </w:p>
    <w:p w14:paraId="584D2130" w14:textId="659AE29D" w:rsidR="00FB6710" w:rsidRPr="00183B5F" w:rsidRDefault="00943743">
      <w:pPr>
        <w:pStyle w:val="EMEAHeadingUnderline"/>
        <w:keepNext/>
        <w:suppressAutoHyphens w:val="0"/>
        <w:spacing w:beforeLines="0" w:afterLines="0"/>
        <w:rPr>
          <w:del w:id="1334" w:author="AbbVie_HU_03" w:date="2025-05-14T15:27:00Z"/>
          <w:szCs w:val="22"/>
          <w:u w:val="none"/>
          <w:lang w:val="hu-HU"/>
        </w:rPr>
      </w:pPr>
      <w:del w:id="1335" w:author="AbbVie_HU_03" w:date="2025-05-14T15:27:00Z">
        <w:r w:rsidRPr="00183B5F">
          <w:rPr>
            <w:szCs w:val="22"/>
            <w:u w:val="none"/>
            <w:lang w:val="hu-HU"/>
          </w:rPr>
          <w:delText>** a nyílt, kiterjesztett vizsgálatokat is beleértve.</w:delText>
        </w:r>
      </w:del>
    </w:p>
    <w:p w14:paraId="21FF1B9C" w14:textId="08BF5DE8" w:rsidR="00B10F96" w:rsidRPr="00183B5F" w:rsidRDefault="00943743">
      <w:pPr>
        <w:pStyle w:val="EMEANormal"/>
        <w:keepNext/>
        <w:rPr>
          <w:del w:id="1336" w:author="AbbVie_HU_03" w:date="2025-05-14T15:27:00Z"/>
          <w:szCs w:val="22"/>
          <w:lang w:val="hu-HU"/>
        </w:rPr>
      </w:pPr>
      <w:del w:id="1337" w:author="AbbVie_HU_03" w:date="2025-05-14T15:27:00Z">
        <w:r w:rsidRPr="00183B5F">
          <w:rPr>
            <w:szCs w:val="22"/>
            <w:vertAlign w:val="superscript"/>
            <w:lang w:val="hu-HU"/>
          </w:rPr>
          <w:delText>1)</w:delText>
        </w:r>
        <w:r w:rsidR="007F6AFB" w:rsidRPr="00183B5F">
          <w:rPr>
            <w:szCs w:val="22"/>
            <w:vertAlign w:val="superscript"/>
            <w:lang w:val="hu-HU"/>
          </w:rPr>
          <w:delText xml:space="preserve"> </w:delText>
        </w:r>
        <w:r w:rsidRPr="00183B5F">
          <w:rPr>
            <w:szCs w:val="22"/>
            <w:lang w:val="hu-HU"/>
          </w:rPr>
          <w:delText xml:space="preserve">a spontán </w:delText>
        </w:r>
        <w:r w:rsidR="00CE76E2" w:rsidRPr="00183B5F">
          <w:rPr>
            <w:szCs w:val="22"/>
            <w:lang w:val="hu-HU"/>
          </w:rPr>
          <w:delText xml:space="preserve">jelentéseket </w:delText>
        </w:r>
        <w:r w:rsidRPr="00183B5F">
          <w:rPr>
            <w:szCs w:val="22"/>
            <w:lang w:val="hu-HU"/>
          </w:rPr>
          <w:delText>is beleértve.</w:delText>
        </w:r>
      </w:del>
    </w:p>
    <w:p w14:paraId="52D2FC19" w14:textId="001E5F3C" w:rsidR="00796272" w:rsidRPr="00183B5F" w:rsidRDefault="00943743">
      <w:pPr>
        <w:pStyle w:val="EMEANormal"/>
        <w:keepNext/>
        <w:rPr>
          <w:del w:id="1338" w:author="AbbVie_HU_03" w:date="2025-05-14T15:27:00Z"/>
          <w:szCs w:val="22"/>
          <w:lang w:val="hu-HU"/>
        </w:rPr>
      </w:pPr>
      <w:del w:id="1339" w:author="AbbVie_HU_03" w:date="2025-05-14T15:27:00Z">
        <w:r w:rsidRPr="00FD6A32">
          <w:rPr>
            <w:vertAlign w:val="superscript"/>
            <w:lang w:val="hu-HU"/>
          </w:rPr>
          <w:delText>2)</w:delText>
        </w:r>
        <w:r w:rsidRPr="00183B5F">
          <w:rPr>
            <w:lang w:val="hu-HU"/>
          </w:rPr>
          <w:delText xml:space="preserve"> 4–6 hónapos kezelési időszak alatt a kiindulási értékhez képest a testtömeg átlagos változása az adalimumab esetében +0,3 kg és +1,0 kg között volt a felnőtt indikációkban, míg a placebo esetében ugyanez –0,4 kg és +0,4 kg között volt. Vizsgálatok hosszú távú kiterjesztési szakaszában 5-6 kg-os testtömegnövekedést is megfigyeltek átlagosan kb. 1-2 év expozíció során, kontrollcsoport nélkül, különösen a Crohn</w:delText>
        </w:r>
        <w:r w:rsidR="008F5634" w:rsidRPr="00183B5F">
          <w:rPr>
            <w:lang w:val="hu-HU"/>
          </w:rPr>
          <w:delText>-</w:delText>
        </w:r>
        <w:r w:rsidRPr="00183B5F">
          <w:rPr>
            <w:lang w:val="hu-HU"/>
          </w:rPr>
          <w:delText>betegségben és a colitis ulcerosában szenvedő betegek esetében. Ennek a hatásnak a mechanizmusa nem</w:delText>
        </w:r>
        <w:r w:rsidRPr="00183B5F">
          <w:rPr>
            <w:lang w:val="hu-HU"/>
          </w:rPr>
          <w:delText xml:space="preserve"> tisztázott, de összefügghet az adalimumab gyulladáscsökkentő hatásával.</w:delText>
        </w:r>
      </w:del>
    </w:p>
    <w:p w14:paraId="031E2F6A" w14:textId="283826B6" w:rsidR="00822DD6" w:rsidRPr="00183B5F" w:rsidRDefault="00822DD6" w:rsidP="004062FE">
      <w:pPr>
        <w:keepNext/>
        <w:spacing w:line="240" w:lineRule="auto"/>
        <w:rPr>
          <w:del w:id="1340" w:author="AbbVie_HU_03" w:date="2025-05-14T15:27:00Z"/>
          <w:szCs w:val="22"/>
          <w:u w:val="single"/>
        </w:rPr>
      </w:pPr>
    </w:p>
    <w:p w14:paraId="380DB14D" w14:textId="4EFE7603" w:rsidR="00822DD6" w:rsidRPr="00183B5F" w:rsidRDefault="00943743" w:rsidP="004062FE">
      <w:pPr>
        <w:keepNext/>
        <w:spacing w:line="240" w:lineRule="auto"/>
        <w:rPr>
          <w:del w:id="1341" w:author="AbbVie_HU_03" w:date="2025-05-14T15:27:00Z"/>
          <w:szCs w:val="22"/>
          <w:u w:val="single"/>
        </w:rPr>
      </w:pPr>
      <w:del w:id="1342" w:author="AbbVie_HU_03" w:date="2025-05-14T15:27:00Z">
        <w:r w:rsidRPr="00183B5F">
          <w:rPr>
            <w:szCs w:val="22"/>
            <w:u w:val="single"/>
          </w:rPr>
          <w:delText>Hidradenitis suppurativa</w:delText>
        </w:r>
      </w:del>
    </w:p>
    <w:p w14:paraId="0057AEDF" w14:textId="13022370" w:rsidR="00822DD6" w:rsidRPr="00183B5F" w:rsidRDefault="00822DD6" w:rsidP="004062FE">
      <w:pPr>
        <w:keepNext/>
        <w:spacing w:line="240" w:lineRule="auto"/>
        <w:rPr>
          <w:del w:id="1343" w:author="AbbVie_HU_03" w:date="2025-05-14T15:27:00Z"/>
          <w:szCs w:val="22"/>
          <w:u w:val="single"/>
        </w:rPr>
      </w:pPr>
    </w:p>
    <w:p w14:paraId="3EDC479A" w14:textId="764A9AAC" w:rsidR="00822DD6" w:rsidRPr="00183B5F" w:rsidRDefault="00943743" w:rsidP="004062FE">
      <w:pPr>
        <w:keepNext/>
        <w:spacing w:line="240" w:lineRule="auto"/>
        <w:rPr>
          <w:del w:id="1344" w:author="AbbVie_HU_03" w:date="2025-05-14T15:27:00Z"/>
          <w:szCs w:val="22"/>
        </w:rPr>
      </w:pPr>
      <w:del w:id="1345" w:author="AbbVie_HU_03" w:date="2025-05-14T15:27:00Z">
        <w:r w:rsidRPr="00183B5F">
          <w:rPr>
            <w:szCs w:val="22"/>
          </w:rPr>
          <w:delText>A biztonságossági profil a minden héten Humira</w:delText>
        </w:r>
        <w:r w:rsidRPr="00183B5F">
          <w:rPr>
            <w:szCs w:val="22"/>
          </w:rPr>
          <w:noBreakHyphen/>
          <w:delText>val kezelt, HS</w:delText>
        </w:r>
        <w:r w:rsidRPr="00183B5F">
          <w:rPr>
            <w:szCs w:val="22"/>
          </w:rPr>
          <w:noBreakHyphen/>
          <w:delText>ben szenvedő betegek esetén megegyezett a Humira ismert biztonságossági profiljával.</w:delText>
        </w:r>
      </w:del>
    </w:p>
    <w:p w14:paraId="23B3A754" w14:textId="271CADF9" w:rsidR="00822DD6" w:rsidRPr="00183B5F" w:rsidRDefault="00822DD6" w:rsidP="004062FE">
      <w:pPr>
        <w:keepNext/>
        <w:spacing w:line="240" w:lineRule="auto"/>
        <w:rPr>
          <w:del w:id="1346" w:author="AbbVie_HU_03" w:date="2025-05-14T15:27:00Z"/>
          <w:szCs w:val="22"/>
          <w:u w:val="single"/>
        </w:rPr>
      </w:pPr>
    </w:p>
    <w:p w14:paraId="3E271536" w14:textId="61B658B2" w:rsidR="00822DD6" w:rsidRPr="00183B5F" w:rsidRDefault="00943743" w:rsidP="004062FE">
      <w:pPr>
        <w:keepNext/>
        <w:spacing w:line="240" w:lineRule="auto"/>
        <w:rPr>
          <w:del w:id="1347" w:author="AbbVie_HU_03" w:date="2025-05-14T15:27:00Z"/>
          <w:szCs w:val="22"/>
          <w:u w:val="single"/>
        </w:rPr>
      </w:pPr>
      <w:del w:id="1348" w:author="AbbVie_HU_03" w:date="2025-05-14T15:27:00Z">
        <w:r w:rsidRPr="00183B5F">
          <w:rPr>
            <w:szCs w:val="22"/>
            <w:u w:val="single"/>
          </w:rPr>
          <w:delText>Uveitis</w:delText>
        </w:r>
      </w:del>
    </w:p>
    <w:p w14:paraId="7C658E55" w14:textId="2B758A0B" w:rsidR="00822DD6" w:rsidRPr="00183B5F" w:rsidRDefault="00822DD6" w:rsidP="004062FE">
      <w:pPr>
        <w:keepNext/>
        <w:spacing w:line="240" w:lineRule="auto"/>
        <w:rPr>
          <w:del w:id="1349" w:author="AbbVie_HU_03" w:date="2025-05-14T15:27:00Z"/>
          <w:szCs w:val="22"/>
          <w:u w:val="single"/>
        </w:rPr>
      </w:pPr>
    </w:p>
    <w:p w14:paraId="5F124B49" w14:textId="7114D052" w:rsidR="00822DD6" w:rsidRPr="00183B5F" w:rsidRDefault="00943743" w:rsidP="004062FE">
      <w:pPr>
        <w:keepNext/>
        <w:spacing w:line="240" w:lineRule="auto"/>
        <w:rPr>
          <w:del w:id="1350" w:author="AbbVie_HU_03" w:date="2025-05-14T15:27:00Z"/>
          <w:szCs w:val="22"/>
        </w:rPr>
      </w:pPr>
      <w:del w:id="1351" w:author="AbbVie_HU_03" w:date="2025-05-14T15:27:00Z">
        <w:r w:rsidRPr="00183B5F">
          <w:rPr>
            <w:szCs w:val="22"/>
          </w:rPr>
          <w:delText>A biztonságossági profil a minden második héten Humira</w:delText>
        </w:r>
        <w:r w:rsidRPr="00183B5F">
          <w:rPr>
            <w:szCs w:val="22"/>
          </w:rPr>
          <w:noBreakHyphen/>
          <w:delText>val kezelt, uveitisben szenvedő betegek esetén megegyezett a Humira ismert biztonságossági profiljával.</w:delText>
        </w:r>
      </w:del>
    </w:p>
    <w:p w14:paraId="5BDF2BD3" w14:textId="4688BB58" w:rsidR="003F49C3" w:rsidRPr="00183B5F" w:rsidRDefault="003F49C3">
      <w:pPr>
        <w:pStyle w:val="EMEANormal"/>
        <w:suppressAutoHyphens w:val="0"/>
        <w:rPr>
          <w:del w:id="1352" w:author="AbbVie_HU_03" w:date="2025-05-14T15:27:00Z"/>
          <w:szCs w:val="22"/>
          <w:lang w:val="hu-HU"/>
        </w:rPr>
      </w:pPr>
    </w:p>
    <w:p w14:paraId="1BA1249B" w14:textId="2C40CDC4" w:rsidR="00A441E8" w:rsidRPr="00183B5F" w:rsidRDefault="00943743" w:rsidP="004062FE">
      <w:pPr>
        <w:pStyle w:val="EMEANormal"/>
        <w:keepNext/>
        <w:suppressAutoHyphens w:val="0"/>
        <w:rPr>
          <w:del w:id="1353" w:author="AbbVie_HU_03" w:date="2025-05-14T15:27:00Z"/>
          <w:szCs w:val="22"/>
          <w:u w:val="single"/>
          <w:lang w:val="hu-HU"/>
        </w:rPr>
      </w:pPr>
      <w:del w:id="1354" w:author="AbbVie_HU_03" w:date="2025-05-14T15:27:00Z">
        <w:r w:rsidRPr="00183B5F">
          <w:rPr>
            <w:szCs w:val="22"/>
            <w:u w:val="single"/>
            <w:lang w:val="hu-HU"/>
          </w:rPr>
          <w:delText>Kiválasztott mellékhatások leírása</w:delText>
        </w:r>
      </w:del>
    </w:p>
    <w:p w14:paraId="100617D1" w14:textId="4D229E69" w:rsidR="00A441E8" w:rsidRPr="00183B5F" w:rsidRDefault="00A441E8" w:rsidP="004062FE">
      <w:pPr>
        <w:pStyle w:val="EMEANormal"/>
        <w:keepNext/>
        <w:suppressAutoHyphens w:val="0"/>
        <w:rPr>
          <w:del w:id="1355" w:author="AbbVie_HU_03" w:date="2025-05-14T15:27:00Z"/>
          <w:szCs w:val="22"/>
          <w:lang w:val="hu-HU"/>
        </w:rPr>
      </w:pPr>
    </w:p>
    <w:p w14:paraId="54CC67AB" w14:textId="55EA38B0" w:rsidR="00FB6710" w:rsidRPr="00183B5F" w:rsidRDefault="00943743" w:rsidP="004062FE">
      <w:pPr>
        <w:pStyle w:val="EMEANormal"/>
        <w:keepNext/>
        <w:suppressAutoHyphens w:val="0"/>
        <w:rPr>
          <w:del w:id="1356" w:author="AbbVie_HU_03" w:date="2025-05-14T15:27:00Z"/>
          <w:i/>
          <w:szCs w:val="22"/>
          <w:lang w:val="hu-HU"/>
        </w:rPr>
      </w:pPr>
      <w:del w:id="1357" w:author="AbbVie_HU_03" w:date="2025-05-14T15:27:00Z">
        <w:r w:rsidRPr="00183B5F">
          <w:rPr>
            <w:i/>
            <w:szCs w:val="22"/>
            <w:lang w:val="hu-HU"/>
          </w:rPr>
          <w:delText>Az injekció helyén fellépő reakció</w:delText>
        </w:r>
      </w:del>
    </w:p>
    <w:p w14:paraId="40B1F48C" w14:textId="158DAC01" w:rsidR="00FB6710" w:rsidRPr="00183B5F" w:rsidRDefault="00FB6710" w:rsidP="004062FE">
      <w:pPr>
        <w:keepNext/>
        <w:suppressAutoHyphens w:val="0"/>
        <w:spacing w:line="240" w:lineRule="auto"/>
        <w:rPr>
          <w:del w:id="1358" w:author="AbbVie_HU_03" w:date="2025-05-14T15:27:00Z"/>
          <w:b/>
          <w:szCs w:val="22"/>
        </w:rPr>
      </w:pPr>
    </w:p>
    <w:p w14:paraId="05FF6825" w14:textId="6E7CFB0B" w:rsidR="00FB6710" w:rsidRPr="00183B5F" w:rsidRDefault="00943743" w:rsidP="004062FE">
      <w:pPr>
        <w:suppressAutoHyphens w:val="0"/>
        <w:spacing w:line="240" w:lineRule="auto"/>
        <w:rPr>
          <w:del w:id="1359" w:author="AbbVie_HU_03" w:date="2025-05-14T15:27:00Z"/>
          <w:szCs w:val="22"/>
        </w:rPr>
      </w:pPr>
      <w:del w:id="1360" w:author="AbbVie_HU_03" w:date="2025-05-14T15:27:00Z">
        <w:r w:rsidRPr="00183B5F">
          <w:rPr>
            <w:szCs w:val="22"/>
          </w:rPr>
          <w:delText>A</w:delText>
        </w:r>
        <w:r w:rsidR="002D17EA" w:rsidRPr="00183B5F">
          <w:rPr>
            <w:szCs w:val="22"/>
          </w:rPr>
          <w:delText xml:space="preserve"> </w:delText>
        </w:r>
        <w:r w:rsidR="00EC420B" w:rsidRPr="00183B5F">
          <w:rPr>
            <w:szCs w:val="22"/>
          </w:rPr>
          <w:delText>felnőttek és</w:delText>
        </w:r>
        <w:r w:rsidRPr="00183B5F">
          <w:rPr>
            <w:szCs w:val="22"/>
          </w:rPr>
          <w:delText xml:space="preserve"> </w:delText>
        </w:r>
        <w:r w:rsidR="00EC420B" w:rsidRPr="00183B5F">
          <w:rPr>
            <w:szCs w:val="22"/>
          </w:rPr>
          <w:delText>gyermekek</w:delText>
        </w:r>
        <w:r w:rsidR="00A06445" w:rsidRPr="00183B5F">
          <w:rPr>
            <w:szCs w:val="22"/>
          </w:rPr>
          <w:delText xml:space="preserve"> bevonásával</w:delText>
        </w:r>
        <w:r w:rsidR="00EC420B" w:rsidRPr="00183B5F">
          <w:rPr>
            <w:szCs w:val="22"/>
          </w:rPr>
          <w:delText xml:space="preserve"> végzett </w:delText>
        </w:r>
        <w:r w:rsidRPr="00183B5F">
          <w:rPr>
            <w:szCs w:val="22"/>
          </w:rPr>
          <w:delText>pivotális, kontrollos vizsgálatokban, a Humira</w:delText>
        </w:r>
        <w:r w:rsidR="00612F54" w:rsidRPr="00183B5F">
          <w:rPr>
            <w:szCs w:val="22"/>
          </w:rPr>
          <w:noBreakHyphen/>
        </w:r>
        <w:r w:rsidRPr="00183B5F">
          <w:rPr>
            <w:szCs w:val="22"/>
          </w:rPr>
          <w:delText xml:space="preserve">val kezelt betegek </w:delText>
        </w:r>
        <w:r w:rsidR="007C46C7" w:rsidRPr="00183B5F">
          <w:rPr>
            <w:szCs w:val="22"/>
          </w:rPr>
          <w:delText>1</w:delText>
        </w:r>
        <w:r w:rsidR="00243ABA" w:rsidRPr="00183B5F">
          <w:rPr>
            <w:szCs w:val="22"/>
          </w:rPr>
          <w:delText>2,9</w:delText>
        </w:r>
        <w:r w:rsidRPr="00183B5F">
          <w:rPr>
            <w:szCs w:val="22"/>
          </w:rPr>
          <w:delText>%</w:delText>
        </w:r>
        <w:r w:rsidRPr="00183B5F">
          <w:rPr>
            <w:szCs w:val="22"/>
          </w:rPr>
          <w:noBreakHyphen/>
        </w:r>
        <w:r w:rsidRPr="00183B5F">
          <w:rPr>
            <w:szCs w:val="22"/>
          </w:rPr>
          <w:delText>ánál alakult ki lokális reakció az injekció helyén (bőrpír és/vagy viszketés, vér</w:delText>
        </w:r>
        <w:r w:rsidR="006918E4" w:rsidRPr="00183B5F">
          <w:rPr>
            <w:szCs w:val="22"/>
          </w:rPr>
          <w:delText>zés</w:delText>
        </w:r>
        <w:r w:rsidRPr="00183B5F">
          <w:rPr>
            <w:szCs w:val="22"/>
          </w:rPr>
          <w:delText>, fájdalom vagy duzzadás), míg a placebo</w:delText>
        </w:r>
        <w:r w:rsidR="00F73409" w:rsidRPr="00183B5F">
          <w:rPr>
            <w:szCs w:val="22"/>
          </w:rPr>
          <w:delText>-</w:delText>
        </w:r>
        <w:r w:rsidRPr="00183B5F">
          <w:rPr>
            <w:szCs w:val="22"/>
          </w:rPr>
          <w:delText xml:space="preserve"> vagy aktív kontroll</w:delText>
        </w:r>
        <w:r w:rsidR="001D2134" w:rsidRPr="00183B5F">
          <w:rPr>
            <w:szCs w:val="22"/>
          </w:rPr>
          <w:delText>-</w:delText>
        </w:r>
        <w:r w:rsidRPr="00183B5F">
          <w:rPr>
            <w:szCs w:val="22"/>
          </w:rPr>
          <w:delText xml:space="preserve">csoportban a betegek </w:delText>
        </w:r>
        <w:r w:rsidR="007C46C7" w:rsidRPr="00183B5F">
          <w:rPr>
            <w:szCs w:val="22"/>
          </w:rPr>
          <w:delText>7,</w:delText>
        </w:r>
        <w:r w:rsidR="00930654" w:rsidRPr="00183B5F">
          <w:rPr>
            <w:szCs w:val="22"/>
          </w:rPr>
          <w:delText>2</w:delText>
        </w:r>
        <w:r w:rsidRPr="00183B5F">
          <w:rPr>
            <w:szCs w:val="22"/>
          </w:rPr>
          <w:delText>%</w:delText>
        </w:r>
        <w:r w:rsidRPr="00183B5F">
          <w:rPr>
            <w:szCs w:val="22"/>
          </w:rPr>
          <w:noBreakHyphen/>
          <w:delText>ánál. A helyi reakciók általában nem tették szükségessé a kezelés felfüggesztését.</w:delText>
        </w:r>
      </w:del>
    </w:p>
    <w:p w14:paraId="324AF948" w14:textId="4BB7CD08" w:rsidR="00B30A47" w:rsidRPr="00183B5F" w:rsidRDefault="00B30A47" w:rsidP="004062FE">
      <w:pPr>
        <w:spacing w:line="240" w:lineRule="auto"/>
        <w:ind w:left="567" w:hanging="567"/>
        <w:rPr>
          <w:del w:id="1361" w:author="AbbVie_HU_03" w:date="2025-05-14T15:27:00Z"/>
          <w:szCs w:val="22"/>
          <w:u w:val="single"/>
        </w:rPr>
      </w:pPr>
    </w:p>
    <w:p w14:paraId="014A0E96" w14:textId="1DA94294" w:rsidR="00FB6710" w:rsidRPr="00183B5F" w:rsidRDefault="00943743" w:rsidP="004062FE">
      <w:pPr>
        <w:spacing w:line="240" w:lineRule="auto"/>
        <w:ind w:left="567" w:hanging="567"/>
        <w:rPr>
          <w:del w:id="1362" w:author="AbbVie_HU_03" w:date="2025-05-14T15:27:00Z"/>
          <w:i/>
          <w:szCs w:val="22"/>
        </w:rPr>
      </w:pPr>
      <w:del w:id="1363" w:author="AbbVie_HU_03" w:date="2025-05-14T15:27:00Z">
        <w:r w:rsidRPr="00183B5F">
          <w:rPr>
            <w:i/>
            <w:szCs w:val="22"/>
          </w:rPr>
          <w:delText>Fertőzések</w:delText>
        </w:r>
      </w:del>
    </w:p>
    <w:p w14:paraId="111E324A" w14:textId="016BEB48" w:rsidR="00FB6710" w:rsidRPr="00183B5F" w:rsidRDefault="00FB6710" w:rsidP="004062FE">
      <w:pPr>
        <w:spacing w:line="240" w:lineRule="auto"/>
        <w:ind w:left="567" w:hanging="567"/>
        <w:rPr>
          <w:del w:id="1364" w:author="AbbVie_HU_03" w:date="2025-05-14T15:27:00Z"/>
          <w:szCs w:val="22"/>
        </w:rPr>
      </w:pPr>
    </w:p>
    <w:p w14:paraId="4E7BF149" w14:textId="7346F171" w:rsidR="00FB6710" w:rsidRPr="00183B5F" w:rsidRDefault="00943743" w:rsidP="004062FE">
      <w:pPr>
        <w:spacing w:line="240" w:lineRule="auto"/>
        <w:rPr>
          <w:del w:id="1365" w:author="AbbVie_HU_03" w:date="2025-05-14T15:27:00Z"/>
          <w:szCs w:val="22"/>
        </w:rPr>
      </w:pPr>
      <w:del w:id="1366" w:author="AbbVie_HU_03" w:date="2025-05-14T15:27:00Z">
        <w:r w:rsidRPr="00183B5F">
          <w:rPr>
            <w:szCs w:val="22"/>
          </w:rPr>
          <w:delText>A</w:delText>
        </w:r>
        <w:r w:rsidR="00EC420B" w:rsidRPr="00183B5F">
          <w:rPr>
            <w:szCs w:val="22"/>
          </w:rPr>
          <w:delText xml:space="preserve"> felnőttek és gyermekek</w:delText>
        </w:r>
        <w:r w:rsidR="00A06445" w:rsidRPr="00183B5F">
          <w:rPr>
            <w:szCs w:val="22"/>
          </w:rPr>
          <w:delText xml:space="preserve"> bevonásával </w:delText>
        </w:r>
        <w:r w:rsidR="00EC420B" w:rsidRPr="00183B5F">
          <w:rPr>
            <w:szCs w:val="22"/>
          </w:rPr>
          <w:delText>végzett</w:delText>
        </w:r>
        <w:r w:rsidRPr="00183B5F">
          <w:rPr>
            <w:szCs w:val="22"/>
          </w:rPr>
          <w:delText xml:space="preserve"> pivotális, kontrollos vizsgálatokban a fertőzések arányszáma a Humira</w:delText>
        </w:r>
        <w:r w:rsidR="00376A3C" w:rsidRPr="00183B5F">
          <w:rPr>
            <w:szCs w:val="22"/>
          </w:rPr>
          <w:noBreakHyphen/>
        </w:r>
        <w:r w:rsidRPr="00183B5F">
          <w:rPr>
            <w:szCs w:val="22"/>
          </w:rPr>
          <w:delText>val kezelt csoportban betegévenként 1,</w:delText>
        </w:r>
        <w:r w:rsidR="00CE76E2" w:rsidRPr="00183B5F">
          <w:rPr>
            <w:szCs w:val="22"/>
          </w:rPr>
          <w:delText>51</w:delText>
        </w:r>
        <w:r w:rsidR="00376A3C" w:rsidRPr="00183B5F">
          <w:rPr>
            <w:szCs w:val="22"/>
          </w:rPr>
          <w:delText> </w:delText>
        </w:r>
        <w:r w:rsidRPr="00183B5F">
          <w:rPr>
            <w:szCs w:val="22"/>
          </w:rPr>
          <w:delText>volt, míg betegévenként 1,</w:delText>
        </w:r>
        <w:r w:rsidR="003C25C8" w:rsidRPr="00183B5F">
          <w:rPr>
            <w:szCs w:val="22"/>
          </w:rPr>
          <w:delText>4</w:delText>
        </w:r>
        <w:r w:rsidR="00CE76E2" w:rsidRPr="00183B5F">
          <w:rPr>
            <w:szCs w:val="22"/>
          </w:rPr>
          <w:delText>6</w:delText>
        </w:r>
        <w:r w:rsidR="00376A3C" w:rsidRPr="00183B5F">
          <w:rPr>
            <w:szCs w:val="22"/>
          </w:rPr>
          <w:delText> </w:delText>
        </w:r>
        <w:r w:rsidRPr="00183B5F">
          <w:rPr>
            <w:szCs w:val="22"/>
          </w:rPr>
          <w:delText>volt a placeb</w:delText>
        </w:r>
        <w:r w:rsidR="001D2134" w:rsidRPr="00183B5F">
          <w:rPr>
            <w:szCs w:val="22"/>
          </w:rPr>
          <w:delText>óval</w:delText>
        </w:r>
        <w:r w:rsidRPr="00183B5F">
          <w:rPr>
            <w:szCs w:val="22"/>
          </w:rPr>
          <w:delText xml:space="preserve"> és az aktív kontroll-készítménnyel kezelt betegek csoportjában. A fertőzések döntő többsége nasopharyngitis, felső légúti</w:delText>
        </w:r>
        <w:r w:rsidR="001D2134" w:rsidRPr="00183B5F">
          <w:rPr>
            <w:szCs w:val="22"/>
          </w:rPr>
          <w:delText xml:space="preserve"> fertőzés</w:delText>
        </w:r>
        <w:r w:rsidRPr="00183B5F">
          <w:rPr>
            <w:szCs w:val="22"/>
          </w:rPr>
          <w:delText xml:space="preserve"> </w:delText>
        </w:r>
        <w:r w:rsidR="00EC420B" w:rsidRPr="00183B5F">
          <w:rPr>
            <w:szCs w:val="22"/>
          </w:rPr>
          <w:delText xml:space="preserve">és </w:delText>
        </w:r>
        <w:r w:rsidR="00243ABA" w:rsidRPr="00183B5F">
          <w:rPr>
            <w:szCs w:val="22"/>
          </w:rPr>
          <w:delText xml:space="preserve">sinusitis </w:delText>
        </w:r>
        <w:r w:rsidRPr="00183B5F">
          <w:rPr>
            <w:szCs w:val="22"/>
          </w:rPr>
          <w:delText>volt. A Humira</w:delText>
        </w:r>
        <w:r w:rsidR="00376A3C" w:rsidRPr="00183B5F">
          <w:rPr>
            <w:szCs w:val="22"/>
          </w:rPr>
          <w:noBreakHyphen/>
        </w:r>
        <w:r w:rsidRPr="00183B5F">
          <w:rPr>
            <w:szCs w:val="22"/>
          </w:rPr>
          <w:delText>kezelést a fertőzés megszűnését követően a betegek nagy részénél folytatni lehetett.</w:delText>
        </w:r>
      </w:del>
    </w:p>
    <w:p w14:paraId="03E46FE7" w14:textId="03A96747" w:rsidR="008A4BDC" w:rsidRPr="00183B5F" w:rsidRDefault="008A4BDC" w:rsidP="004062FE">
      <w:pPr>
        <w:spacing w:line="240" w:lineRule="auto"/>
        <w:rPr>
          <w:del w:id="1367" w:author="AbbVie_HU_03" w:date="2025-05-14T15:27:00Z"/>
          <w:szCs w:val="22"/>
        </w:rPr>
      </w:pPr>
    </w:p>
    <w:p w14:paraId="6DA59BC6" w14:textId="39EF90AA" w:rsidR="00FB6710" w:rsidRPr="00183B5F" w:rsidRDefault="00943743" w:rsidP="004062FE">
      <w:pPr>
        <w:spacing w:line="240" w:lineRule="auto"/>
        <w:rPr>
          <w:del w:id="1368" w:author="AbbVie_HU_03" w:date="2025-05-14T15:27:00Z"/>
          <w:szCs w:val="22"/>
        </w:rPr>
      </w:pPr>
      <w:del w:id="1369" w:author="AbbVie_HU_03" w:date="2025-05-14T15:27:00Z">
        <w:r w:rsidRPr="00183B5F">
          <w:rPr>
            <w:szCs w:val="22"/>
          </w:rPr>
          <w:delText>A súlyos fertőzések incidenciája 0,0</w:delText>
        </w:r>
        <w:r w:rsidR="00EC420B" w:rsidRPr="00183B5F">
          <w:rPr>
            <w:szCs w:val="22"/>
          </w:rPr>
          <w:delText>4</w:delText>
        </w:r>
        <w:r w:rsidR="00376A3C" w:rsidRPr="00183B5F">
          <w:rPr>
            <w:szCs w:val="22"/>
          </w:rPr>
          <w:delText> </w:delText>
        </w:r>
        <w:r w:rsidRPr="00183B5F">
          <w:rPr>
            <w:szCs w:val="22"/>
          </w:rPr>
          <w:delText>volt betegévenként a Humira</w:delText>
        </w:r>
        <w:r w:rsidR="00376A3C" w:rsidRPr="00183B5F">
          <w:rPr>
            <w:szCs w:val="22"/>
          </w:rPr>
          <w:noBreakHyphen/>
        </w:r>
        <w:r w:rsidR="00CE76E2" w:rsidRPr="00183B5F">
          <w:rPr>
            <w:szCs w:val="22"/>
          </w:rPr>
          <w:delText>val kezeltek</w:delText>
        </w:r>
        <w:r w:rsidRPr="00183B5F">
          <w:rPr>
            <w:szCs w:val="22"/>
          </w:rPr>
          <w:delText xml:space="preserve"> csoportjában, míg 0,03</w:delText>
        </w:r>
        <w:r w:rsidR="00376A3C" w:rsidRPr="00183B5F">
          <w:rPr>
            <w:szCs w:val="22"/>
          </w:rPr>
          <w:delText> </w:delText>
        </w:r>
        <w:r w:rsidRPr="00183B5F">
          <w:rPr>
            <w:szCs w:val="22"/>
          </w:rPr>
          <w:delText>volt betegévenként a placebóval és az aktív kontroll</w:delText>
        </w:r>
        <w:r w:rsidR="00CE76E2" w:rsidRPr="00183B5F">
          <w:rPr>
            <w:szCs w:val="22"/>
          </w:rPr>
          <w:delText>al</w:delText>
        </w:r>
        <w:r w:rsidRPr="00183B5F">
          <w:rPr>
            <w:szCs w:val="22"/>
          </w:rPr>
          <w:delText xml:space="preserve"> kezelt betegek csoportjában.</w:delText>
        </w:r>
      </w:del>
    </w:p>
    <w:p w14:paraId="0555F73D" w14:textId="368D9942" w:rsidR="00FB6710" w:rsidRPr="00183B5F" w:rsidRDefault="00FB6710" w:rsidP="004062FE">
      <w:pPr>
        <w:spacing w:line="240" w:lineRule="auto"/>
        <w:rPr>
          <w:del w:id="1370" w:author="AbbVie_HU_03" w:date="2025-05-14T15:27:00Z"/>
          <w:szCs w:val="22"/>
        </w:rPr>
      </w:pPr>
    </w:p>
    <w:p w14:paraId="4DFA9FD3" w14:textId="20935414" w:rsidR="00FB6710" w:rsidRPr="00183B5F" w:rsidRDefault="00943743" w:rsidP="004062FE">
      <w:pPr>
        <w:spacing w:line="240" w:lineRule="auto"/>
        <w:rPr>
          <w:del w:id="1371" w:author="AbbVie_HU_03" w:date="2025-05-14T15:27:00Z"/>
          <w:szCs w:val="22"/>
        </w:rPr>
      </w:pPr>
      <w:del w:id="1372" w:author="AbbVie_HU_03" w:date="2025-05-14T15:27:00Z">
        <w:r w:rsidRPr="00183B5F">
          <w:rPr>
            <w:szCs w:val="22"/>
          </w:rPr>
          <w:delText>A Humira</w:delText>
        </w:r>
        <w:r w:rsidR="00376A3C" w:rsidRPr="00183B5F">
          <w:rPr>
            <w:szCs w:val="22"/>
          </w:rPr>
          <w:noBreakHyphen/>
        </w:r>
        <w:r w:rsidRPr="00183B5F">
          <w:rPr>
            <w:szCs w:val="22"/>
          </w:rPr>
          <w:delText xml:space="preserve">val </w:delText>
        </w:r>
        <w:r w:rsidR="00EC420B" w:rsidRPr="00183B5F">
          <w:rPr>
            <w:szCs w:val="22"/>
          </w:rPr>
          <w:delText>felnőttek</w:delText>
        </w:r>
        <w:r w:rsidR="00A06445" w:rsidRPr="00183B5F">
          <w:rPr>
            <w:szCs w:val="22"/>
          </w:rPr>
          <w:delText xml:space="preserve"> </w:delText>
        </w:r>
        <w:r w:rsidR="00EC420B" w:rsidRPr="00183B5F">
          <w:rPr>
            <w:szCs w:val="22"/>
          </w:rPr>
          <w:delText>és gyermekek</w:delText>
        </w:r>
        <w:r w:rsidR="00A06445" w:rsidRPr="00183B5F">
          <w:rPr>
            <w:szCs w:val="22"/>
          </w:rPr>
          <w:delText xml:space="preserve"> bevonásával</w:delText>
        </w:r>
        <w:r w:rsidR="00EC420B" w:rsidRPr="00183B5F">
          <w:rPr>
            <w:szCs w:val="22"/>
          </w:rPr>
          <w:delText xml:space="preserve"> </w:delText>
        </w:r>
        <w:r w:rsidRPr="00183B5F">
          <w:rPr>
            <w:szCs w:val="22"/>
          </w:rPr>
          <w:delText xml:space="preserve">végzett </w:delText>
        </w:r>
        <w:r w:rsidR="002D17EA" w:rsidRPr="00183B5F">
          <w:rPr>
            <w:szCs w:val="22"/>
          </w:rPr>
          <w:delText>kontrollos</w:delText>
        </w:r>
        <w:r w:rsidR="001D2134" w:rsidRPr="00183B5F">
          <w:rPr>
            <w:szCs w:val="22"/>
          </w:rPr>
          <w:delText>, valamint</w:delText>
        </w:r>
        <w:r w:rsidRPr="00183B5F">
          <w:rPr>
            <w:szCs w:val="22"/>
          </w:rPr>
          <w:delText xml:space="preserve"> nyílt vizsgálatokban súlyos fertőzésekről (beleértve halálos kimenetelű fertőzést, amely csak ritkán fordult elő) számoltak be többek között tuber</w:delText>
        </w:r>
        <w:r w:rsidR="00FE6439" w:rsidRPr="00183B5F">
          <w:rPr>
            <w:szCs w:val="22"/>
          </w:rPr>
          <w:delText>culosi</w:delText>
        </w:r>
        <w:r w:rsidRPr="00183B5F">
          <w:rPr>
            <w:szCs w:val="22"/>
          </w:rPr>
          <w:delText>sról (miliaris és extrapulmon</w:delText>
        </w:r>
        <w:r w:rsidR="001D2134" w:rsidRPr="00183B5F">
          <w:rPr>
            <w:szCs w:val="22"/>
          </w:rPr>
          <w:delText>a</w:delText>
        </w:r>
        <w:r w:rsidRPr="00183B5F">
          <w:rPr>
            <w:szCs w:val="22"/>
          </w:rPr>
          <w:delText xml:space="preserve">lis előfordulással) és invazív opportunista fertőzésekről (pl. disszeminált vagy extrapulmonalis histoplasmosis, </w:delText>
        </w:r>
        <w:r w:rsidRPr="00183B5F">
          <w:rPr>
            <w:szCs w:val="22"/>
            <w:u w:color="0000FF"/>
          </w:rPr>
          <w:delText>blastomycosis, coccidioidomycosis, pneumocyst</w:delText>
        </w:r>
        <w:r w:rsidR="006918E4" w:rsidRPr="00183B5F">
          <w:rPr>
            <w:szCs w:val="22"/>
            <w:u w:color="0000FF"/>
          </w:rPr>
          <w:delText>os</w:delText>
        </w:r>
        <w:r w:rsidRPr="00183B5F">
          <w:rPr>
            <w:szCs w:val="22"/>
            <w:u w:color="0000FF"/>
          </w:rPr>
          <w:delText>is</w:delText>
        </w:r>
        <w:r w:rsidRPr="00183B5F">
          <w:rPr>
            <w:szCs w:val="22"/>
          </w:rPr>
          <w:delText xml:space="preserve">, </w:delText>
        </w:r>
        <w:r w:rsidRPr="00183B5F">
          <w:rPr>
            <w:szCs w:val="22"/>
            <w:u w:color="0000FF"/>
          </w:rPr>
          <w:delText>candidiasis</w:delText>
        </w:r>
        <w:r w:rsidRPr="00183B5F">
          <w:rPr>
            <w:szCs w:val="22"/>
          </w:rPr>
          <w:delText>, aspergillosis és listeriosis). A tuber</w:delText>
        </w:r>
        <w:r w:rsidR="00FE6439" w:rsidRPr="00183B5F">
          <w:rPr>
            <w:szCs w:val="22"/>
          </w:rPr>
          <w:delText>culosi</w:delText>
        </w:r>
        <w:r w:rsidRPr="00183B5F">
          <w:rPr>
            <w:szCs w:val="22"/>
          </w:rPr>
          <w:delText>sos megbetegedések többsége a Humira</w:delText>
        </w:r>
        <w:r w:rsidR="00376A3C" w:rsidRPr="00183B5F">
          <w:rPr>
            <w:szCs w:val="22"/>
          </w:rPr>
          <w:noBreakHyphen/>
        </w:r>
        <w:r w:rsidRPr="00183B5F">
          <w:rPr>
            <w:szCs w:val="22"/>
          </w:rPr>
          <w:delText>kezelés első 8</w:delText>
        </w:r>
        <w:r w:rsidR="00376A3C" w:rsidRPr="00183B5F">
          <w:rPr>
            <w:szCs w:val="22"/>
          </w:rPr>
          <w:delText> </w:delText>
        </w:r>
        <w:r w:rsidRPr="00183B5F">
          <w:rPr>
            <w:szCs w:val="22"/>
          </w:rPr>
          <w:delText xml:space="preserve">hónapjában következett be és </w:delText>
        </w:r>
        <w:r w:rsidR="006918E4" w:rsidRPr="00183B5F">
          <w:rPr>
            <w:szCs w:val="22"/>
          </w:rPr>
          <w:delText>a látens</w:delText>
        </w:r>
        <w:r w:rsidRPr="00183B5F">
          <w:rPr>
            <w:szCs w:val="22"/>
          </w:rPr>
          <w:delText xml:space="preserve"> betegség kiújulásaként manifesztálódhatott.</w:delText>
        </w:r>
      </w:del>
    </w:p>
    <w:p w14:paraId="22D23221" w14:textId="4F0D4341" w:rsidR="00FB6710" w:rsidRPr="00183B5F" w:rsidRDefault="00FB6710" w:rsidP="004062FE">
      <w:pPr>
        <w:spacing w:line="240" w:lineRule="auto"/>
        <w:rPr>
          <w:del w:id="1373" w:author="AbbVie_HU_03" w:date="2025-05-14T15:27:00Z"/>
          <w:szCs w:val="22"/>
          <w:u w:val="single"/>
        </w:rPr>
      </w:pPr>
    </w:p>
    <w:p w14:paraId="74D9D29C" w14:textId="264FE1CC" w:rsidR="00FB6710" w:rsidRPr="00183B5F" w:rsidRDefault="00943743" w:rsidP="004062FE">
      <w:pPr>
        <w:spacing w:line="240" w:lineRule="auto"/>
        <w:rPr>
          <w:del w:id="1374" w:author="AbbVie_HU_03" w:date="2025-05-14T15:27:00Z"/>
          <w:i/>
          <w:szCs w:val="22"/>
        </w:rPr>
      </w:pPr>
      <w:del w:id="1375" w:author="AbbVie_HU_03" w:date="2025-05-14T15:27:00Z">
        <w:r w:rsidRPr="00183B5F">
          <w:rPr>
            <w:i/>
            <w:szCs w:val="22"/>
          </w:rPr>
          <w:delText>Rosszindulatú és lymphoproliferativ betegségek</w:delText>
        </w:r>
      </w:del>
    </w:p>
    <w:p w14:paraId="63719478" w14:textId="61960F2C" w:rsidR="00FB6710" w:rsidRPr="00183B5F" w:rsidRDefault="00FB6710" w:rsidP="004062FE">
      <w:pPr>
        <w:spacing w:line="240" w:lineRule="auto"/>
        <w:rPr>
          <w:del w:id="1376" w:author="AbbVie_HU_03" w:date="2025-05-14T15:27:00Z"/>
          <w:szCs w:val="22"/>
          <w:u w:val="single"/>
        </w:rPr>
      </w:pPr>
    </w:p>
    <w:p w14:paraId="1759ABB8" w14:textId="0BFD8B80" w:rsidR="00FB6710" w:rsidRPr="00183B5F" w:rsidRDefault="00943743" w:rsidP="004062FE">
      <w:pPr>
        <w:spacing w:line="240" w:lineRule="auto"/>
        <w:rPr>
          <w:del w:id="1377" w:author="AbbVie_HU_03" w:date="2025-05-14T15:27:00Z"/>
          <w:szCs w:val="22"/>
        </w:rPr>
      </w:pPr>
      <w:del w:id="1378" w:author="AbbVie_HU_03" w:date="2025-05-14T15:27:00Z">
        <w:r w:rsidRPr="00183B5F">
          <w:rPr>
            <w:szCs w:val="22"/>
          </w:rPr>
          <w:delText>Humira</w:delText>
        </w:r>
        <w:r w:rsidR="00376A3C" w:rsidRPr="00183B5F">
          <w:rPr>
            <w:szCs w:val="22"/>
          </w:rPr>
          <w:noBreakHyphen/>
        </w:r>
        <w:r w:rsidRPr="00183B5F">
          <w:rPr>
            <w:szCs w:val="22"/>
          </w:rPr>
          <w:delText xml:space="preserve">val juvenilis idiopathiás arthritisben </w:delText>
        </w:r>
        <w:r w:rsidR="00310911" w:rsidRPr="00183B5F">
          <w:rPr>
            <w:szCs w:val="22"/>
          </w:rPr>
          <w:delText xml:space="preserve">(polyarticularis juvenilis idiopathiás arthritisben és </w:delText>
        </w:r>
        <w:r w:rsidR="00677908" w:rsidRPr="00183B5F">
          <w:rPr>
            <w:szCs w:val="22"/>
          </w:rPr>
          <w:delText>enthesitis-asszociált</w:delText>
        </w:r>
        <w:r w:rsidR="00310911" w:rsidRPr="00183B5F">
          <w:rPr>
            <w:szCs w:val="22"/>
          </w:rPr>
          <w:delText xml:space="preserve"> arthritisben) </w:delText>
        </w:r>
        <w:r w:rsidRPr="00183B5F">
          <w:rPr>
            <w:szCs w:val="22"/>
          </w:rPr>
          <w:delText>szenvedő betegek körében végzett vizsgálat</w:delText>
        </w:r>
        <w:r w:rsidR="00C172E4" w:rsidRPr="00183B5F">
          <w:rPr>
            <w:szCs w:val="22"/>
          </w:rPr>
          <w:delText>ok</w:delText>
        </w:r>
        <w:r w:rsidRPr="00183B5F">
          <w:rPr>
            <w:szCs w:val="22"/>
          </w:rPr>
          <w:delText xml:space="preserve">ban </w:delText>
        </w:r>
        <w:r w:rsidR="00310911" w:rsidRPr="00183B5F">
          <w:rPr>
            <w:szCs w:val="22"/>
          </w:rPr>
          <w:delText>655,6</w:delText>
        </w:r>
        <w:r w:rsidR="00AD00D2" w:rsidRPr="00183B5F">
          <w:rPr>
            <w:szCs w:val="22"/>
          </w:rPr>
          <w:delText> </w:delText>
        </w:r>
        <w:r w:rsidRPr="00183B5F">
          <w:rPr>
            <w:szCs w:val="22"/>
          </w:rPr>
          <w:delText>betegévnyi expozíciónak kitett</w:delText>
        </w:r>
        <w:r w:rsidR="00E97B8A" w:rsidRPr="00183B5F">
          <w:rPr>
            <w:szCs w:val="22"/>
          </w:rPr>
          <w:delText>,</w:delText>
        </w:r>
        <w:r w:rsidRPr="00183B5F">
          <w:rPr>
            <w:szCs w:val="22"/>
          </w:rPr>
          <w:delText xml:space="preserve"> </w:delText>
        </w:r>
        <w:r w:rsidR="00310911" w:rsidRPr="00183B5F">
          <w:rPr>
            <w:szCs w:val="22"/>
          </w:rPr>
          <w:delText xml:space="preserve">249 pediátriai </w:delText>
        </w:r>
        <w:r w:rsidRPr="00183B5F">
          <w:rPr>
            <w:szCs w:val="22"/>
          </w:rPr>
          <w:delText>betegnél</w:delText>
        </w:r>
        <w:r w:rsidR="00A441E8" w:rsidRPr="00183B5F">
          <w:rPr>
            <w:szCs w:val="22"/>
          </w:rPr>
          <w:delText xml:space="preserve"> </w:delText>
        </w:r>
        <w:r w:rsidRPr="00183B5F">
          <w:rPr>
            <w:szCs w:val="22"/>
          </w:rPr>
          <w:delText>nem figyeltek meg malignitást.</w:delText>
        </w:r>
        <w:r w:rsidR="00EC420B" w:rsidRPr="00183B5F">
          <w:rPr>
            <w:szCs w:val="22"/>
          </w:rPr>
          <w:delText xml:space="preserve"> Ezen kívül Crohn</w:delText>
        </w:r>
        <w:r w:rsidR="008667C2" w:rsidRPr="00183B5F">
          <w:rPr>
            <w:szCs w:val="22"/>
          </w:rPr>
          <w:noBreakHyphen/>
        </w:r>
        <w:r w:rsidR="00EC420B" w:rsidRPr="00183B5F">
          <w:rPr>
            <w:szCs w:val="22"/>
          </w:rPr>
          <w:delText>betegségben szenvedő betegek</w:delText>
        </w:r>
        <w:r w:rsidR="00A06445" w:rsidRPr="00183B5F">
          <w:rPr>
            <w:szCs w:val="22"/>
          </w:rPr>
          <w:delText xml:space="preserve"> körében</w:delText>
        </w:r>
        <w:r w:rsidR="001764B8" w:rsidRPr="00183B5F">
          <w:rPr>
            <w:szCs w:val="22"/>
          </w:rPr>
          <w:delText xml:space="preserve"> Humira</w:delText>
        </w:r>
        <w:r w:rsidR="00376A3C" w:rsidRPr="00183B5F">
          <w:rPr>
            <w:szCs w:val="22"/>
          </w:rPr>
          <w:noBreakHyphen/>
        </w:r>
        <w:r w:rsidR="001764B8" w:rsidRPr="00183B5F">
          <w:rPr>
            <w:szCs w:val="22"/>
          </w:rPr>
          <w:delText>val</w:delText>
        </w:r>
        <w:r w:rsidR="00EC420B" w:rsidRPr="00183B5F">
          <w:rPr>
            <w:szCs w:val="22"/>
          </w:rPr>
          <w:delText xml:space="preserve"> végzett vizsgálat</w:delText>
        </w:r>
        <w:r w:rsidR="00862E81" w:rsidRPr="00183B5F">
          <w:rPr>
            <w:szCs w:val="22"/>
          </w:rPr>
          <w:delText>ok</w:delText>
        </w:r>
        <w:r w:rsidR="00EC420B" w:rsidRPr="00183B5F">
          <w:rPr>
            <w:szCs w:val="22"/>
          </w:rPr>
          <w:delText xml:space="preserve">ban </w:delText>
        </w:r>
        <w:r w:rsidR="00862E81" w:rsidRPr="00183B5F">
          <w:rPr>
            <w:szCs w:val="22"/>
          </w:rPr>
          <w:delText>498,1</w:delText>
        </w:r>
        <w:r w:rsidR="00C95D70" w:rsidRPr="00183B5F">
          <w:rPr>
            <w:szCs w:val="22"/>
          </w:rPr>
          <w:delText> </w:delText>
        </w:r>
        <w:r w:rsidR="00EC420B" w:rsidRPr="00183B5F">
          <w:rPr>
            <w:szCs w:val="22"/>
          </w:rPr>
          <w:delText>betegévnyi expozíciónak kitett</w:delText>
        </w:r>
        <w:r w:rsidR="00E97B8A" w:rsidRPr="00183B5F">
          <w:rPr>
            <w:szCs w:val="22"/>
          </w:rPr>
          <w:delText>,</w:delText>
        </w:r>
        <w:r w:rsidR="00EC420B" w:rsidRPr="00183B5F">
          <w:rPr>
            <w:szCs w:val="22"/>
          </w:rPr>
          <w:delText xml:space="preserve"> 192</w:delText>
        </w:r>
        <w:r w:rsidR="00C95D70" w:rsidRPr="00183B5F">
          <w:rPr>
            <w:szCs w:val="22"/>
          </w:rPr>
          <w:delText> </w:delText>
        </w:r>
        <w:r w:rsidR="00CE76E2" w:rsidRPr="00183B5F">
          <w:rPr>
            <w:szCs w:val="22"/>
          </w:rPr>
          <w:delText xml:space="preserve">pediátriai </w:delText>
        </w:r>
        <w:r w:rsidR="00EC420B" w:rsidRPr="00183B5F">
          <w:rPr>
            <w:szCs w:val="22"/>
          </w:rPr>
          <w:delText>betegnél nem figyeltek meg malignitást.</w:delText>
        </w:r>
        <w:r w:rsidR="008B288B" w:rsidRPr="00183B5F">
          <w:rPr>
            <w:szCs w:val="22"/>
          </w:rPr>
          <w:delText xml:space="preserve"> </w:delText>
        </w:r>
        <w:r w:rsidR="005D5300" w:rsidRPr="00183B5F">
          <w:rPr>
            <w:szCs w:val="22"/>
          </w:rPr>
          <w:delText>K</w:delText>
        </w:r>
        <w:r w:rsidR="008B288B" w:rsidRPr="00183B5F">
          <w:rPr>
            <w:szCs w:val="22"/>
          </w:rPr>
          <w:delText>rónikus plakkos psoriasisban szenvedő gyermekeknél Humira</w:delText>
        </w:r>
        <w:r w:rsidR="005D5300" w:rsidRPr="00183B5F">
          <w:rPr>
            <w:szCs w:val="22"/>
          </w:rPr>
          <w:noBreakHyphen/>
        </w:r>
        <w:r w:rsidR="008B288B" w:rsidRPr="00183B5F">
          <w:rPr>
            <w:szCs w:val="22"/>
          </w:rPr>
          <w:delText>val végzett vizsgálatban</w:delText>
        </w:r>
        <w:r w:rsidR="003B7A6F" w:rsidRPr="00183B5F">
          <w:rPr>
            <w:szCs w:val="22"/>
          </w:rPr>
          <w:delText xml:space="preserve"> 80 </w:delText>
        </w:r>
        <w:r w:rsidR="008B288B" w:rsidRPr="00183B5F">
          <w:rPr>
            <w:szCs w:val="22"/>
          </w:rPr>
          <w:delText>be</w:delText>
        </w:r>
        <w:r w:rsidR="003B7A6F" w:rsidRPr="00183B5F">
          <w:rPr>
            <w:szCs w:val="22"/>
          </w:rPr>
          <w:delText>tegévnyi expozíciónak kitett</w:delText>
        </w:r>
        <w:r w:rsidR="00E97B8A" w:rsidRPr="00183B5F">
          <w:rPr>
            <w:szCs w:val="22"/>
          </w:rPr>
          <w:delText>,</w:delText>
        </w:r>
        <w:r w:rsidR="003B7A6F" w:rsidRPr="00183B5F">
          <w:rPr>
            <w:szCs w:val="22"/>
          </w:rPr>
          <w:delText xml:space="preserve"> 77 </w:delText>
        </w:r>
        <w:r w:rsidR="008B288B" w:rsidRPr="00183B5F">
          <w:rPr>
            <w:szCs w:val="22"/>
          </w:rPr>
          <w:delText>pediátriai betegnél nem figyeltek meg malignitást.</w:delText>
        </w:r>
        <w:r w:rsidR="00802457" w:rsidRPr="00183B5F">
          <w:rPr>
            <w:szCs w:val="22"/>
          </w:rPr>
          <w:delText xml:space="preserve"> </w:delText>
        </w:r>
        <w:r w:rsidR="001166BD" w:rsidRPr="00183B5F">
          <w:rPr>
            <w:rStyle w:val="normaltextrun"/>
            <w:shd w:val="clear" w:color="auto" w:fill="FFFFFF"/>
          </w:rPr>
          <w:delText>Egy Humira-vizsgálat során 65,3 betegévnyi expozíciónak kitett, colitis ulcerosában szenvedő</w:delText>
        </w:r>
        <w:r w:rsidR="007B42E9" w:rsidRPr="00183B5F">
          <w:rPr>
            <w:rStyle w:val="normaltextrun"/>
            <w:shd w:val="clear" w:color="auto" w:fill="FFFFFF"/>
          </w:rPr>
          <w:delText>,</w:delText>
        </w:r>
        <w:r w:rsidR="001166BD" w:rsidRPr="00183B5F">
          <w:rPr>
            <w:rStyle w:val="normaltextrun"/>
            <w:shd w:val="clear" w:color="auto" w:fill="FFFFFF"/>
          </w:rPr>
          <w:delText xml:space="preserve"> 93 </w:delText>
        </w:r>
        <w:r w:rsidR="00162ACF" w:rsidRPr="00183B5F">
          <w:rPr>
            <w:rStyle w:val="normaltextrun"/>
            <w:shd w:val="clear" w:color="auto" w:fill="FFFFFF"/>
          </w:rPr>
          <w:delText>gyermek</w:delText>
        </w:r>
        <w:r w:rsidR="00543A52" w:rsidRPr="00183B5F">
          <w:rPr>
            <w:rStyle w:val="normaltextrun"/>
            <w:shd w:val="clear" w:color="auto" w:fill="FFFFFF"/>
          </w:rPr>
          <w:delText>- és serdülő</w:delText>
        </w:r>
        <w:r w:rsidR="00162ACF" w:rsidRPr="00183B5F">
          <w:rPr>
            <w:rStyle w:val="normaltextrun"/>
            <w:shd w:val="clear" w:color="auto" w:fill="FFFFFF"/>
          </w:rPr>
          <w:delText>korú</w:delText>
        </w:r>
        <w:r w:rsidR="001166BD" w:rsidRPr="00183B5F">
          <w:rPr>
            <w:rStyle w:val="normaltextrun"/>
            <w:shd w:val="clear" w:color="auto" w:fill="FFFFFF"/>
          </w:rPr>
          <w:delText xml:space="preserve"> betegnél nem figyeltek meg malignitást. </w:delText>
        </w:r>
        <w:r w:rsidR="00802457" w:rsidRPr="00183B5F">
          <w:rPr>
            <w:szCs w:val="22"/>
          </w:rPr>
          <w:delText>Uveitisben szenvedő gyermekeknél Humira</w:delText>
        </w:r>
        <w:r w:rsidR="00802457" w:rsidRPr="00183B5F">
          <w:rPr>
            <w:szCs w:val="22"/>
          </w:rPr>
          <w:noBreakHyphen/>
          <w:delText>val végzett vizsgálatban 58,4 betegévnyi expozíciónak kitett</w:delText>
        </w:r>
        <w:r w:rsidR="008D5D6B" w:rsidRPr="00183B5F">
          <w:rPr>
            <w:szCs w:val="22"/>
          </w:rPr>
          <w:delText>,</w:delText>
        </w:r>
        <w:r w:rsidR="00802457" w:rsidRPr="00183B5F">
          <w:rPr>
            <w:szCs w:val="22"/>
          </w:rPr>
          <w:delText xml:space="preserve"> 60 </w:delText>
        </w:r>
        <w:r w:rsidR="00CE76E2" w:rsidRPr="00183B5F">
          <w:rPr>
            <w:szCs w:val="22"/>
          </w:rPr>
          <w:delText>pediátriai</w:delText>
        </w:r>
        <w:r w:rsidR="00802457" w:rsidRPr="00183B5F">
          <w:rPr>
            <w:szCs w:val="22"/>
          </w:rPr>
          <w:delText xml:space="preserve"> betegnél nem figyeltek meg malignitást.</w:delText>
        </w:r>
      </w:del>
    </w:p>
    <w:p w14:paraId="661D6970" w14:textId="18DD6EEB" w:rsidR="00EC420B" w:rsidRPr="00183B5F" w:rsidRDefault="00EC420B" w:rsidP="004062FE">
      <w:pPr>
        <w:spacing w:line="240" w:lineRule="auto"/>
        <w:rPr>
          <w:del w:id="1379" w:author="AbbVie_HU_03" w:date="2025-05-14T15:27:00Z"/>
          <w:szCs w:val="22"/>
        </w:rPr>
      </w:pPr>
    </w:p>
    <w:p w14:paraId="1162E55A" w14:textId="6E9955BD" w:rsidR="00FB6710" w:rsidRPr="00183B5F" w:rsidRDefault="00943743" w:rsidP="004062FE">
      <w:pPr>
        <w:spacing w:line="240" w:lineRule="auto"/>
        <w:rPr>
          <w:del w:id="1380" w:author="AbbVie_HU_03" w:date="2025-05-14T15:27:00Z"/>
          <w:szCs w:val="22"/>
        </w:rPr>
      </w:pPr>
      <w:del w:id="1381" w:author="AbbVie_HU_03" w:date="2025-05-14T15:27:00Z">
        <w:r w:rsidRPr="00183B5F">
          <w:rPr>
            <w:szCs w:val="22"/>
          </w:rPr>
          <w:delText>A Humira hatásait közepes</w:delText>
        </w:r>
        <w:r w:rsidR="006918E4" w:rsidRPr="00183B5F">
          <w:rPr>
            <w:szCs w:val="22"/>
          </w:rPr>
          <w:delText>en</w:delText>
        </w:r>
        <w:r w:rsidR="00CE76E2" w:rsidRPr="00183B5F">
          <w:rPr>
            <w:szCs w:val="22"/>
          </w:rPr>
          <w:delText xml:space="preserve"> súlyos</w:delText>
        </w:r>
        <w:r w:rsidR="006918E4" w:rsidRPr="00183B5F">
          <w:rPr>
            <w:szCs w:val="22"/>
          </w:rPr>
          <w:delText xml:space="preserve"> vagy súlyos </w:delText>
        </w:r>
        <w:r w:rsidR="00C73C4C" w:rsidRPr="00183B5F">
          <w:rPr>
            <w:szCs w:val="22"/>
          </w:rPr>
          <w:delText>aktivitású</w:delText>
        </w:r>
        <w:r w:rsidRPr="00183B5F">
          <w:rPr>
            <w:szCs w:val="22"/>
          </w:rPr>
          <w:delText xml:space="preserve"> rheumatoid arthritisben, </w:delText>
        </w:r>
        <w:r w:rsidR="00C12BAE" w:rsidRPr="00183B5F">
          <w:rPr>
            <w:szCs w:val="22"/>
          </w:rPr>
          <w:delText xml:space="preserve">spondylitis ankylopoeticában, </w:delText>
        </w:r>
        <w:r w:rsidR="009C4ED5" w:rsidRPr="00183B5F">
          <w:rPr>
            <w:rFonts w:eastAsia="SimSun"/>
            <w:szCs w:val="22"/>
            <w:lang w:eastAsia="zh-CN"/>
          </w:rPr>
          <w:delText>spondylitis ankylopoeticának (SPA) megfelelő röntgeneltéréssel nem járó</w:delText>
        </w:r>
        <w:r w:rsidR="009C4ED5" w:rsidRPr="00183B5F">
          <w:rPr>
            <w:szCs w:val="22"/>
          </w:rPr>
          <w:delText xml:space="preserve"> axiális spondyloarthritisben</w:delText>
        </w:r>
        <w:r w:rsidR="007C46C7" w:rsidRPr="00183B5F">
          <w:rPr>
            <w:szCs w:val="22"/>
          </w:rPr>
          <w:delText xml:space="preserve">, </w:delText>
        </w:r>
        <w:r w:rsidRPr="00183B5F">
          <w:rPr>
            <w:szCs w:val="22"/>
          </w:rPr>
          <w:delText>arthritis psoriaticában,</w:delText>
        </w:r>
        <w:r w:rsidR="00C12BAE" w:rsidRPr="00183B5F">
          <w:rPr>
            <w:szCs w:val="22"/>
          </w:rPr>
          <w:delText xml:space="preserve"> psoriasisban,</w:delText>
        </w:r>
        <w:r w:rsidR="00243ABA" w:rsidRPr="00183B5F">
          <w:rPr>
            <w:szCs w:val="22"/>
          </w:rPr>
          <w:delText xml:space="preserve"> hidradenitis suppurativában,</w:delText>
        </w:r>
        <w:r w:rsidRPr="00183B5F">
          <w:rPr>
            <w:szCs w:val="22"/>
          </w:rPr>
          <w:delText xml:space="preserve"> Crohn</w:delText>
        </w:r>
        <w:r w:rsidR="00612F54" w:rsidRPr="00183B5F">
          <w:rPr>
            <w:szCs w:val="22"/>
          </w:rPr>
          <w:noBreakHyphen/>
        </w:r>
        <w:r w:rsidRPr="00183B5F">
          <w:rPr>
            <w:szCs w:val="22"/>
          </w:rPr>
          <w:delText>betegségben</w:delText>
        </w:r>
        <w:r w:rsidR="005B06DC" w:rsidRPr="00183B5F">
          <w:rPr>
            <w:szCs w:val="22"/>
          </w:rPr>
          <w:delText>,</w:delText>
        </w:r>
        <w:r w:rsidRPr="00183B5F">
          <w:rPr>
            <w:szCs w:val="22"/>
          </w:rPr>
          <w:delText xml:space="preserve"> </w:delText>
        </w:r>
        <w:r w:rsidR="00C12BAE" w:rsidRPr="00183B5F">
          <w:rPr>
            <w:szCs w:val="22"/>
          </w:rPr>
          <w:delText xml:space="preserve">colitis ulcerosában </w:delText>
        </w:r>
        <w:r w:rsidR="0084798A" w:rsidRPr="00183B5F">
          <w:rPr>
            <w:szCs w:val="22"/>
          </w:rPr>
          <w:delText xml:space="preserve">és uveitisben </w:delText>
        </w:r>
        <w:r w:rsidRPr="00183B5F">
          <w:rPr>
            <w:szCs w:val="22"/>
          </w:rPr>
          <w:delText>szenvedő betegeken értékelő legalább 12</w:delText>
        </w:r>
        <w:r w:rsidR="00A44DB6" w:rsidRPr="00183B5F">
          <w:rPr>
            <w:szCs w:val="22"/>
          </w:rPr>
          <w:delText> hét</w:delText>
        </w:r>
        <w:r w:rsidRPr="00183B5F">
          <w:rPr>
            <w:szCs w:val="22"/>
          </w:rPr>
          <w:delText xml:space="preserve"> időtartamú</w:delText>
        </w:r>
        <w:r w:rsidR="00EC420B" w:rsidRPr="00183B5F">
          <w:rPr>
            <w:szCs w:val="22"/>
          </w:rPr>
          <w:delText>, felnőttek</w:delText>
        </w:r>
        <w:r w:rsidR="00A06445" w:rsidRPr="00183B5F">
          <w:rPr>
            <w:szCs w:val="22"/>
          </w:rPr>
          <w:delText xml:space="preserve"> körében</w:delText>
        </w:r>
        <w:r w:rsidR="00EC420B" w:rsidRPr="00183B5F">
          <w:rPr>
            <w:szCs w:val="22"/>
          </w:rPr>
          <w:delText xml:space="preserve"> végzett</w:delText>
        </w:r>
        <w:r w:rsidRPr="00183B5F">
          <w:rPr>
            <w:szCs w:val="22"/>
          </w:rPr>
          <w:delText xml:space="preserve"> pivotális vizsgálatok kontroll</w:delText>
        </w:r>
        <w:r w:rsidR="00573D37" w:rsidRPr="00183B5F">
          <w:rPr>
            <w:szCs w:val="22"/>
          </w:rPr>
          <w:delText>os</w:delText>
        </w:r>
        <w:r w:rsidRPr="00183B5F">
          <w:rPr>
            <w:szCs w:val="22"/>
          </w:rPr>
          <w:delText xml:space="preserve"> szakaszaiban a következőképpen alakult a rosszindulatú daganatok gyakorisága (a lymphoma és a nem melanomás bőrrák kivételével): az 1000</w:delText>
        </w:r>
        <w:r w:rsidR="00376A3C" w:rsidRPr="00183B5F">
          <w:rPr>
            <w:szCs w:val="22"/>
          </w:rPr>
          <w:delText> </w:delText>
        </w:r>
        <w:r w:rsidRPr="00183B5F">
          <w:rPr>
            <w:szCs w:val="22"/>
          </w:rPr>
          <w:delText>betegévre számított gyakoriság (95%</w:delText>
        </w:r>
        <w:r w:rsidR="00612F54" w:rsidRPr="00183B5F">
          <w:rPr>
            <w:szCs w:val="22"/>
          </w:rPr>
          <w:noBreakHyphen/>
        </w:r>
        <w:r w:rsidRPr="00183B5F">
          <w:rPr>
            <w:szCs w:val="22"/>
          </w:rPr>
          <w:delText xml:space="preserve">os konfidencia intervallum) a </w:delText>
        </w:r>
        <w:r w:rsidR="00243ABA" w:rsidRPr="00183B5F">
          <w:rPr>
            <w:szCs w:val="22"/>
          </w:rPr>
          <w:delText>5</w:delText>
        </w:r>
        <w:r w:rsidR="0084798A" w:rsidRPr="00183B5F">
          <w:rPr>
            <w:szCs w:val="22"/>
          </w:rPr>
          <w:delText>291</w:delText>
        </w:r>
        <w:r w:rsidR="00AD00D2" w:rsidRPr="00183B5F">
          <w:rPr>
            <w:szCs w:val="22"/>
          </w:rPr>
          <w:delText> </w:delText>
        </w:r>
        <w:r w:rsidRPr="00183B5F">
          <w:rPr>
            <w:szCs w:val="22"/>
          </w:rPr>
          <w:delText>Humira</w:delText>
        </w:r>
        <w:r w:rsidR="00376A3C" w:rsidRPr="00183B5F">
          <w:rPr>
            <w:szCs w:val="22"/>
          </w:rPr>
          <w:noBreakHyphen/>
        </w:r>
        <w:r w:rsidRPr="00183B5F">
          <w:rPr>
            <w:szCs w:val="22"/>
          </w:rPr>
          <w:delText xml:space="preserve">val kezelt beteg esetében </w:delText>
        </w:r>
        <w:r w:rsidR="00EC420B" w:rsidRPr="00183B5F">
          <w:rPr>
            <w:szCs w:val="22"/>
          </w:rPr>
          <w:delText>6,</w:delText>
        </w:r>
        <w:r w:rsidR="0084798A" w:rsidRPr="00183B5F">
          <w:rPr>
            <w:szCs w:val="22"/>
          </w:rPr>
          <w:delText>8</w:delText>
        </w:r>
        <w:r w:rsidR="00243ABA" w:rsidRPr="00183B5F">
          <w:rPr>
            <w:szCs w:val="22"/>
          </w:rPr>
          <w:delText xml:space="preserve"> (</w:delText>
        </w:r>
        <w:r w:rsidR="0084798A" w:rsidRPr="00183B5F">
          <w:rPr>
            <w:szCs w:val="22"/>
          </w:rPr>
          <w:delText>4,4</w:delText>
        </w:r>
        <w:r w:rsidR="00243ABA" w:rsidRPr="00183B5F">
          <w:rPr>
            <w:szCs w:val="22"/>
          </w:rPr>
          <w:delText xml:space="preserve">; </w:delText>
        </w:r>
        <w:r w:rsidR="0084798A" w:rsidRPr="00183B5F">
          <w:rPr>
            <w:szCs w:val="22"/>
          </w:rPr>
          <w:delText>10,5</w:delText>
        </w:r>
        <w:r w:rsidRPr="00183B5F">
          <w:rPr>
            <w:szCs w:val="22"/>
          </w:rPr>
          <w:delText xml:space="preserve">) míg az </w:delText>
        </w:r>
        <w:r w:rsidR="00243ABA" w:rsidRPr="00183B5F">
          <w:rPr>
            <w:szCs w:val="22"/>
          </w:rPr>
          <w:delText>3</w:delText>
        </w:r>
        <w:r w:rsidR="0084798A" w:rsidRPr="00183B5F">
          <w:rPr>
            <w:szCs w:val="22"/>
          </w:rPr>
          <w:delText>444</w:delText>
        </w:r>
        <w:r w:rsidR="00C95D70" w:rsidRPr="00183B5F">
          <w:rPr>
            <w:szCs w:val="22"/>
          </w:rPr>
          <w:delText> </w:delText>
        </w:r>
        <w:r w:rsidRPr="00183B5F">
          <w:rPr>
            <w:szCs w:val="22"/>
          </w:rPr>
          <w:delText>fős kontro</w:delText>
        </w:r>
        <w:r w:rsidR="0089402C" w:rsidRPr="00183B5F">
          <w:rPr>
            <w:szCs w:val="22"/>
          </w:rPr>
          <w:delText>llcs</w:delText>
        </w:r>
        <w:r w:rsidRPr="00183B5F">
          <w:rPr>
            <w:szCs w:val="22"/>
          </w:rPr>
          <w:delText xml:space="preserve">oportban </w:delText>
        </w:r>
        <w:r w:rsidR="00243ABA" w:rsidRPr="00183B5F">
          <w:rPr>
            <w:szCs w:val="22"/>
          </w:rPr>
          <w:delText>6,</w:delText>
        </w:r>
        <w:r w:rsidR="0084798A" w:rsidRPr="00183B5F">
          <w:rPr>
            <w:szCs w:val="22"/>
          </w:rPr>
          <w:delText>3</w:delText>
        </w:r>
        <w:r w:rsidR="00243ABA" w:rsidRPr="00183B5F">
          <w:rPr>
            <w:szCs w:val="22"/>
          </w:rPr>
          <w:delText xml:space="preserve"> (3,</w:delText>
        </w:r>
        <w:r w:rsidR="0084798A" w:rsidRPr="00183B5F">
          <w:rPr>
            <w:szCs w:val="22"/>
          </w:rPr>
          <w:delText>4</w:delText>
        </w:r>
        <w:r w:rsidR="00243ABA" w:rsidRPr="00183B5F">
          <w:rPr>
            <w:szCs w:val="22"/>
          </w:rPr>
          <w:delText>; 1</w:delText>
        </w:r>
        <w:r w:rsidR="0084798A" w:rsidRPr="00183B5F">
          <w:rPr>
            <w:szCs w:val="22"/>
          </w:rPr>
          <w:delText>1,8</w:delText>
        </w:r>
        <w:r w:rsidRPr="00183B5F">
          <w:rPr>
            <w:szCs w:val="22"/>
          </w:rPr>
          <w:delText>) volt. (A kezelés medián időtartama a Humira</w:delText>
        </w:r>
        <w:r w:rsidR="00376A3C" w:rsidRPr="00183B5F">
          <w:rPr>
            <w:szCs w:val="22"/>
          </w:rPr>
          <w:noBreakHyphen/>
        </w:r>
        <w:r w:rsidRPr="00183B5F">
          <w:rPr>
            <w:szCs w:val="22"/>
          </w:rPr>
          <w:delText xml:space="preserve">csoportban </w:delText>
        </w:r>
        <w:r w:rsidR="005B06DC" w:rsidRPr="00183B5F">
          <w:rPr>
            <w:szCs w:val="22"/>
          </w:rPr>
          <w:delText>4,0</w:delText>
        </w:r>
        <w:r w:rsidRPr="00183B5F">
          <w:rPr>
            <w:szCs w:val="22"/>
          </w:rPr>
          <w:delText> hónap, a kontro</w:delText>
        </w:r>
        <w:r w:rsidR="0089402C" w:rsidRPr="00183B5F">
          <w:rPr>
            <w:szCs w:val="22"/>
          </w:rPr>
          <w:delText>llcs</w:delText>
        </w:r>
        <w:r w:rsidRPr="00183B5F">
          <w:rPr>
            <w:szCs w:val="22"/>
          </w:rPr>
          <w:delText xml:space="preserve">oportban </w:delText>
        </w:r>
        <w:r w:rsidR="005B06DC" w:rsidRPr="00183B5F">
          <w:rPr>
            <w:szCs w:val="22"/>
          </w:rPr>
          <w:delText>3,8</w:delText>
        </w:r>
        <w:r w:rsidRPr="00183B5F">
          <w:rPr>
            <w:szCs w:val="22"/>
          </w:rPr>
          <w:delText> hónap volt.) A nem melanomás bőrrák 1000</w:delText>
        </w:r>
        <w:r w:rsidR="00376A3C" w:rsidRPr="00183B5F">
          <w:rPr>
            <w:szCs w:val="22"/>
          </w:rPr>
          <w:delText> </w:delText>
        </w:r>
        <w:r w:rsidRPr="00183B5F">
          <w:rPr>
            <w:szCs w:val="22"/>
          </w:rPr>
          <w:delText>betegévre számított gyakorisága (95%</w:delText>
        </w:r>
        <w:r w:rsidR="00D57F0A" w:rsidRPr="00183B5F">
          <w:rPr>
            <w:szCs w:val="22"/>
          </w:rPr>
          <w:noBreakHyphen/>
        </w:r>
        <w:r w:rsidRPr="00183B5F">
          <w:rPr>
            <w:szCs w:val="22"/>
          </w:rPr>
          <w:delText xml:space="preserve">os konfidencia intervallum) </w:delText>
        </w:r>
        <w:r w:rsidR="006918E4" w:rsidRPr="00183B5F">
          <w:rPr>
            <w:szCs w:val="22"/>
          </w:rPr>
          <w:delText>a Humira</w:delText>
        </w:r>
        <w:r w:rsidR="00376A3C" w:rsidRPr="00183B5F">
          <w:rPr>
            <w:szCs w:val="22"/>
          </w:rPr>
          <w:noBreakHyphen/>
        </w:r>
        <w:r w:rsidR="006918E4" w:rsidRPr="00183B5F">
          <w:rPr>
            <w:szCs w:val="22"/>
          </w:rPr>
          <w:delText>val kezelt betegek esetében</w:delText>
        </w:r>
        <w:r w:rsidRPr="00183B5F">
          <w:rPr>
            <w:szCs w:val="22"/>
          </w:rPr>
          <w:delText xml:space="preserve"> </w:delText>
        </w:r>
        <w:r w:rsidR="0084798A" w:rsidRPr="00183B5F">
          <w:rPr>
            <w:szCs w:val="22"/>
          </w:rPr>
          <w:delText>8,8</w:delText>
        </w:r>
        <w:r w:rsidR="003C25C8" w:rsidRPr="00183B5F">
          <w:rPr>
            <w:szCs w:val="22"/>
          </w:rPr>
          <w:delText xml:space="preserve"> </w:delText>
        </w:r>
        <w:r w:rsidRPr="00183B5F">
          <w:rPr>
            <w:szCs w:val="22"/>
          </w:rPr>
          <w:delText>(</w:delText>
        </w:r>
        <w:r w:rsidR="00BB14AC" w:rsidRPr="00183B5F">
          <w:rPr>
            <w:szCs w:val="22"/>
          </w:rPr>
          <w:delText>6,</w:delText>
        </w:r>
        <w:r w:rsidR="0084798A" w:rsidRPr="00183B5F">
          <w:rPr>
            <w:szCs w:val="22"/>
          </w:rPr>
          <w:delText>0</w:delText>
        </w:r>
        <w:r w:rsidR="00FD12E7" w:rsidRPr="00183B5F">
          <w:rPr>
            <w:szCs w:val="22"/>
          </w:rPr>
          <w:delText>; 13,</w:delText>
        </w:r>
        <w:r w:rsidR="0084798A" w:rsidRPr="00183B5F">
          <w:rPr>
            <w:szCs w:val="22"/>
          </w:rPr>
          <w:delText>0</w:delText>
        </w:r>
        <w:r w:rsidRPr="00183B5F">
          <w:rPr>
            <w:szCs w:val="22"/>
          </w:rPr>
          <w:delText>)</w:delText>
        </w:r>
        <w:r w:rsidR="006918E4" w:rsidRPr="00183B5F">
          <w:rPr>
            <w:szCs w:val="22"/>
          </w:rPr>
          <w:delText>, míg a kontrollcsoportban</w:delText>
        </w:r>
        <w:r w:rsidRPr="00183B5F">
          <w:rPr>
            <w:szCs w:val="22"/>
          </w:rPr>
          <w:delText xml:space="preserve"> </w:delText>
        </w:r>
        <w:r w:rsidR="00FD12E7" w:rsidRPr="00183B5F">
          <w:rPr>
            <w:szCs w:val="22"/>
          </w:rPr>
          <w:delText>3,</w:delText>
        </w:r>
        <w:r w:rsidR="0084798A" w:rsidRPr="00183B5F">
          <w:rPr>
            <w:szCs w:val="22"/>
          </w:rPr>
          <w:delText>2</w:delText>
        </w:r>
        <w:r w:rsidR="00FD12E7" w:rsidRPr="00183B5F">
          <w:rPr>
            <w:szCs w:val="22"/>
          </w:rPr>
          <w:delText xml:space="preserve"> (1,</w:delText>
        </w:r>
        <w:r w:rsidR="0084798A" w:rsidRPr="00183B5F">
          <w:rPr>
            <w:szCs w:val="22"/>
          </w:rPr>
          <w:delText>3</w:delText>
        </w:r>
        <w:r w:rsidR="00FD12E7" w:rsidRPr="00183B5F">
          <w:rPr>
            <w:szCs w:val="22"/>
          </w:rPr>
          <w:delText xml:space="preserve">; </w:delText>
        </w:r>
        <w:r w:rsidR="0084798A" w:rsidRPr="00183B5F">
          <w:rPr>
            <w:szCs w:val="22"/>
          </w:rPr>
          <w:delText>7,6</w:delText>
        </w:r>
        <w:r w:rsidRPr="00183B5F">
          <w:rPr>
            <w:szCs w:val="22"/>
          </w:rPr>
          <w:delText xml:space="preserve">) volt. E bőrrákok közül a </w:delText>
        </w:r>
        <w:r w:rsidR="008C1D03" w:rsidRPr="00183B5F">
          <w:rPr>
            <w:szCs w:val="22"/>
          </w:rPr>
          <w:delText>laphám</w:delText>
        </w:r>
        <w:r w:rsidR="00573D37" w:rsidRPr="00183B5F">
          <w:rPr>
            <w:szCs w:val="22"/>
          </w:rPr>
          <w:delText>-</w:delText>
        </w:r>
        <w:r w:rsidRPr="00183B5F">
          <w:rPr>
            <w:szCs w:val="22"/>
          </w:rPr>
          <w:delText>carcinoma 1000</w:delText>
        </w:r>
        <w:r w:rsidR="00376A3C" w:rsidRPr="00183B5F">
          <w:rPr>
            <w:szCs w:val="22"/>
          </w:rPr>
          <w:delText> </w:delText>
        </w:r>
        <w:r w:rsidRPr="00183B5F">
          <w:rPr>
            <w:szCs w:val="22"/>
          </w:rPr>
          <w:delText>betegévre számított gyakorisága (95%</w:delText>
        </w:r>
        <w:r w:rsidR="00612F54" w:rsidRPr="00183B5F">
          <w:rPr>
            <w:szCs w:val="22"/>
          </w:rPr>
          <w:noBreakHyphen/>
        </w:r>
        <w:r w:rsidRPr="00183B5F">
          <w:rPr>
            <w:szCs w:val="22"/>
          </w:rPr>
          <w:delText>os konfidencia intervallum) a Humira</w:delText>
        </w:r>
        <w:r w:rsidRPr="00183B5F">
          <w:rPr>
            <w:szCs w:val="22"/>
          </w:rPr>
          <w:noBreakHyphen/>
          <w:delText>csoportban</w:delText>
        </w:r>
        <w:r w:rsidR="00170006" w:rsidRPr="00183B5F">
          <w:rPr>
            <w:szCs w:val="22"/>
          </w:rPr>
          <w:delText xml:space="preserve"> </w:delText>
        </w:r>
        <w:r w:rsidR="00BB14AC" w:rsidRPr="00183B5F">
          <w:rPr>
            <w:szCs w:val="22"/>
          </w:rPr>
          <w:delText>2,</w:delText>
        </w:r>
        <w:r w:rsidR="003344C3" w:rsidRPr="00183B5F">
          <w:rPr>
            <w:szCs w:val="22"/>
          </w:rPr>
          <w:delText>7</w:delText>
        </w:r>
        <w:r w:rsidR="00FD12E7" w:rsidRPr="00183B5F">
          <w:rPr>
            <w:szCs w:val="22"/>
          </w:rPr>
          <w:delText xml:space="preserve"> (1,</w:delText>
        </w:r>
        <w:r w:rsidR="003344C3" w:rsidRPr="00183B5F">
          <w:rPr>
            <w:szCs w:val="22"/>
          </w:rPr>
          <w:delText>4</w:delText>
        </w:r>
        <w:r w:rsidR="00FD12E7" w:rsidRPr="00183B5F">
          <w:rPr>
            <w:szCs w:val="22"/>
          </w:rPr>
          <w:delText>; 5,</w:delText>
        </w:r>
        <w:r w:rsidR="003344C3" w:rsidRPr="00183B5F">
          <w:rPr>
            <w:szCs w:val="22"/>
          </w:rPr>
          <w:delText>4</w:delText>
        </w:r>
        <w:r w:rsidRPr="00183B5F">
          <w:rPr>
            <w:szCs w:val="22"/>
          </w:rPr>
          <w:delText>), a kontro</w:delText>
        </w:r>
        <w:r w:rsidR="0089402C" w:rsidRPr="00183B5F">
          <w:rPr>
            <w:szCs w:val="22"/>
          </w:rPr>
          <w:delText>llcs</w:delText>
        </w:r>
        <w:r w:rsidRPr="00183B5F">
          <w:rPr>
            <w:szCs w:val="22"/>
          </w:rPr>
          <w:delText>oportban 0,</w:delText>
        </w:r>
        <w:r w:rsidR="003344C3" w:rsidRPr="00183B5F">
          <w:rPr>
            <w:szCs w:val="22"/>
          </w:rPr>
          <w:delText xml:space="preserve">6 </w:delText>
        </w:r>
        <w:r w:rsidRPr="00183B5F">
          <w:rPr>
            <w:szCs w:val="22"/>
          </w:rPr>
          <w:delText>(0,1</w:delText>
        </w:r>
        <w:r w:rsidR="00FD12E7" w:rsidRPr="00183B5F">
          <w:rPr>
            <w:szCs w:val="22"/>
          </w:rPr>
          <w:delText>;</w:delText>
        </w:r>
        <w:r w:rsidR="003C4BCB" w:rsidRPr="00183B5F">
          <w:rPr>
            <w:szCs w:val="22"/>
          </w:rPr>
          <w:delText xml:space="preserve"> </w:delText>
        </w:r>
        <w:r w:rsidR="00FD12E7" w:rsidRPr="00183B5F">
          <w:rPr>
            <w:szCs w:val="22"/>
          </w:rPr>
          <w:delText>4,</w:delText>
        </w:r>
        <w:r w:rsidR="003344C3" w:rsidRPr="00183B5F">
          <w:rPr>
            <w:szCs w:val="22"/>
          </w:rPr>
          <w:delText>5</w:delText>
        </w:r>
        <w:r w:rsidRPr="00183B5F">
          <w:rPr>
            <w:szCs w:val="22"/>
          </w:rPr>
          <w:delText>) volt. A lymphomák 1000</w:delText>
        </w:r>
        <w:r w:rsidR="00376A3C" w:rsidRPr="00183B5F">
          <w:rPr>
            <w:szCs w:val="22"/>
          </w:rPr>
          <w:delText> </w:delText>
        </w:r>
        <w:r w:rsidRPr="00183B5F">
          <w:rPr>
            <w:szCs w:val="22"/>
          </w:rPr>
          <w:delText>betegévre vetített gyakorisága (95%</w:delText>
        </w:r>
        <w:r w:rsidR="00612F54" w:rsidRPr="00183B5F">
          <w:rPr>
            <w:szCs w:val="22"/>
          </w:rPr>
          <w:noBreakHyphen/>
        </w:r>
        <w:r w:rsidRPr="00183B5F">
          <w:rPr>
            <w:szCs w:val="22"/>
          </w:rPr>
          <w:delText>os konfidencia intervallum) a Humira</w:delText>
        </w:r>
        <w:r w:rsidR="00376A3C" w:rsidRPr="00183B5F">
          <w:rPr>
            <w:szCs w:val="22"/>
          </w:rPr>
          <w:noBreakHyphen/>
        </w:r>
        <w:r w:rsidRPr="00183B5F">
          <w:rPr>
            <w:szCs w:val="22"/>
          </w:rPr>
          <w:delText>val kezelt betegek körében 0,</w:delText>
        </w:r>
        <w:r w:rsidR="003C25C8" w:rsidRPr="00183B5F">
          <w:rPr>
            <w:szCs w:val="22"/>
          </w:rPr>
          <w:delText xml:space="preserve">7 </w:delText>
        </w:r>
        <w:r w:rsidRPr="00183B5F">
          <w:rPr>
            <w:szCs w:val="22"/>
          </w:rPr>
          <w:delText>(0,2</w:delText>
        </w:r>
        <w:r w:rsidR="00FD12E7" w:rsidRPr="00183B5F">
          <w:rPr>
            <w:szCs w:val="22"/>
          </w:rPr>
          <w:delText>;</w:delText>
        </w:r>
        <w:r w:rsidRPr="00183B5F">
          <w:rPr>
            <w:szCs w:val="22"/>
          </w:rPr>
          <w:delText xml:space="preserve"> </w:delText>
        </w:r>
        <w:r w:rsidR="00FD12E7" w:rsidRPr="00183B5F">
          <w:rPr>
            <w:szCs w:val="22"/>
          </w:rPr>
          <w:delText>2,</w:delText>
        </w:r>
        <w:r w:rsidR="003344C3" w:rsidRPr="00183B5F">
          <w:rPr>
            <w:szCs w:val="22"/>
          </w:rPr>
          <w:delText>7</w:delText>
        </w:r>
        <w:r w:rsidRPr="00183B5F">
          <w:rPr>
            <w:szCs w:val="22"/>
          </w:rPr>
          <w:delText xml:space="preserve">) , a kontrollok esetében </w:delText>
        </w:r>
        <w:r w:rsidR="00FD12E7" w:rsidRPr="00183B5F">
          <w:rPr>
            <w:szCs w:val="22"/>
          </w:rPr>
          <w:delText>0,</w:delText>
        </w:r>
        <w:r w:rsidR="003344C3" w:rsidRPr="00183B5F">
          <w:rPr>
            <w:szCs w:val="22"/>
          </w:rPr>
          <w:delText>6</w:delText>
        </w:r>
        <w:r w:rsidR="00FD12E7" w:rsidRPr="00183B5F">
          <w:rPr>
            <w:szCs w:val="22"/>
          </w:rPr>
          <w:delText xml:space="preserve"> (0,1; 4,</w:delText>
        </w:r>
        <w:r w:rsidR="003344C3" w:rsidRPr="00183B5F">
          <w:rPr>
            <w:szCs w:val="22"/>
          </w:rPr>
          <w:delText>5</w:delText>
        </w:r>
        <w:r w:rsidRPr="00183B5F">
          <w:rPr>
            <w:szCs w:val="22"/>
          </w:rPr>
          <w:delText>) volt.</w:delText>
        </w:r>
      </w:del>
    </w:p>
    <w:p w14:paraId="1A05643F" w14:textId="0B7B196B" w:rsidR="00FB6710" w:rsidRPr="00183B5F" w:rsidRDefault="00FB6710" w:rsidP="004062FE">
      <w:pPr>
        <w:spacing w:line="240" w:lineRule="auto"/>
        <w:rPr>
          <w:del w:id="1382" w:author="AbbVie_HU_03" w:date="2025-05-14T15:27:00Z"/>
          <w:szCs w:val="22"/>
        </w:rPr>
      </w:pPr>
    </w:p>
    <w:p w14:paraId="5BE3815A" w14:textId="1AB0C6EA" w:rsidR="00FB6710" w:rsidRPr="00183B5F" w:rsidRDefault="00943743" w:rsidP="004062FE">
      <w:pPr>
        <w:spacing w:line="240" w:lineRule="auto"/>
        <w:rPr>
          <w:del w:id="1383" w:author="AbbVie_HU_03" w:date="2025-05-14T15:27:00Z"/>
          <w:szCs w:val="22"/>
        </w:rPr>
      </w:pPr>
      <w:del w:id="1384" w:author="AbbVie_HU_03" w:date="2025-05-14T15:27:00Z">
        <w:r w:rsidRPr="00183B5F">
          <w:rPr>
            <w:szCs w:val="22"/>
          </w:rPr>
          <w:delText xml:space="preserve">E vizsgálatok kontrollos szakaszai és </w:delText>
        </w:r>
        <w:r w:rsidR="00445668" w:rsidRPr="00183B5F">
          <w:rPr>
            <w:szCs w:val="22"/>
          </w:rPr>
          <w:delText xml:space="preserve">a </w:delText>
        </w:r>
        <w:r w:rsidRPr="00183B5F">
          <w:rPr>
            <w:szCs w:val="22"/>
          </w:rPr>
          <w:delText>folyamatban lévő</w:delText>
        </w:r>
        <w:r w:rsidR="00B67295" w:rsidRPr="00183B5F">
          <w:rPr>
            <w:szCs w:val="22"/>
          </w:rPr>
          <w:delText>, valamint befejezett</w:delText>
        </w:r>
        <w:r w:rsidRPr="00183B5F">
          <w:rPr>
            <w:szCs w:val="22"/>
          </w:rPr>
          <w:delText xml:space="preserve"> nyílt kiterjesztéses vizsgálatok összevont értékelése</w:delText>
        </w:r>
        <w:r w:rsidR="006918E4" w:rsidRPr="00183B5F">
          <w:rPr>
            <w:szCs w:val="22"/>
          </w:rPr>
          <w:delText xml:space="preserve"> során, melyben</w:delText>
        </w:r>
        <w:r w:rsidRPr="00183B5F">
          <w:rPr>
            <w:szCs w:val="22"/>
          </w:rPr>
          <w:delText xml:space="preserve"> összesen </w:delText>
        </w:r>
        <w:r w:rsidR="00FD12E7" w:rsidRPr="00183B5F">
          <w:rPr>
            <w:szCs w:val="22"/>
          </w:rPr>
          <w:delText>6</w:delText>
        </w:r>
        <w:r w:rsidR="003344C3" w:rsidRPr="00183B5F">
          <w:rPr>
            <w:szCs w:val="22"/>
          </w:rPr>
          <w:delText>427</w:delText>
        </w:r>
        <w:r w:rsidR="00F965EC" w:rsidRPr="00183B5F">
          <w:rPr>
            <w:szCs w:val="22"/>
          </w:rPr>
          <w:delText> </w:delText>
        </w:r>
        <w:r w:rsidRPr="00183B5F">
          <w:rPr>
            <w:szCs w:val="22"/>
          </w:rPr>
          <w:delText>beteg</w:delText>
        </w:r>
        <w:r w:rsidR="006918E4" w:rsidRPr="00183B5F">
          <w:rPr>
            <w:szCs w:val="22"/>
          </w:rPr>
          <w:delText>et</w:delText>
        </w:r>
        <w:r w:rsidRPr="00183B5F">
          <w:rPr>
            <w:szCs w:val="22"/>
          </w:rPr>
          <w:delText xml:space="preserve"> kb. 3,</w:delText>
        </w:r>
        <w:r w:rsidR="003344C3" w:rsidRPr="00183B5F">
          <w:rPr>
            <w:szCs w:val="22"/>
          </w:rPr>
          <w:delText>3</w:delText>
        </w:r>
        <w:r w:rsidR="00EC420B" w:rsidRPr="00183B5F">
          <w:rPr>
            <w:szCs w:val="22"/>
          </w:rPr>
          <w:delText> </w:delText>
        </w:r>
        <w:r w:rsidRPr="00183B5F">
          <w:rPr>
            <w:szCs w:val="22"/>
          </w:rPr>
          <w:delText>év medián időtartam</w:delText>
        </w:r>
        <w:r w:rsidR="006918E4" w:rsidRPr="00183B5F">
          <w:rPr>
            <w:szCs w:val="22"/>
          </w:rPr>
          <w:delText>ig követtek (</w:delText>
        </w:r>
        <w:r w:rsidRPr="00183B5F">
          <w:rPr>
            <w:szCs w:val="22"/>
          </w:rPr>
          <w:delText xml:space="preserve">több mint </w:delText>
        </w:r>
        <w:r w:rsidR="00F965EC" w:rsidRPr="00183B5F">
          <w:rPr>
            <w:szCs w:val="22"/>
          </w:rPr>
          <w:delText>2</w:delText>
        </w:r>
        <w:r w:rsidR="0035788B" w:rsidRPr="00183B5F">
          <w:rPr>
            <w:szCs w:val="22"/>
          </w:rPr>
          <w:delText>6</w:delText>
        </w:r>
        <w:r w:rsidR="009C2511" w:rsidRPr="00183B5F">
          <w:rPr>
            <w:szCs w:val="22"/>
          </w:rPr>
          <w:delText> </w:delText>
        </w:r>
        <w:r w:rsidR="0035788B" w:rsidRPr="00183B5F">
          <w:rPr>
            <w:szCs w:val="22"/>
          </w:rPr>
          <w:delText>439</w:delText>
        </w:r>
        <w:r w:rsidR="00253114" w:rsidRPr="00183B5F">
          <w:rPr>
            <w:szCs w:val="22"/>
          </w:rPr>
          <w:delText> </w:delText>
        </w:r>
        <w:r w:rsidRPr="00183B5F">
          <w:rPr>
            <w:szCs w:val="22"/>
          </w:rPr>
          <w:delText>betegév</w:delText>
        </w:r>
        <w:r w:rsidR="006918E4" w:rsidRPr="00183B5F">
          <w:rPr>
            <w:szCs w:val="22"/>
          </w:rPr>
          <w:delText>), a rosszindulatú daganatok</w:delText>
        </w:r>
        <w:r w:rsidRPr="00183B5F">
          <w:rPr>
            <w:szCs w:val="22"/>
          </w:rPr>
          <w:delText xml:space="preserve"> </w:delText>
        </w:r>
        <w:r w:rsidR="00CE76E2" w:rsidRPr="00183B5F">
          <w:rPr>
            <w:szCs w:val="22"/>
          </w:rPr>
          <w:delText xml:space="preserve">(a lymphoma és a nem melanomás bőrrák kivételével) </w:delText>
        </w:r>
        <w:r w:rsidRPr="00183B5F">
          <w:rPr>
            <w:szCs w:val="22"/>
          </w:rPr>
          <w:delText>1000</w:delText>
        </w:r>
        <w:r w:rsidR="00376A3C" w:rsidRPr="00183B5F">
          <w:rPr>
            <w:szCs w:val="22"/>
          </w:rPr>
          <w:delText> </w:delText>
        </w:r>
        <w:r w:rsidRPr="00183B5F">
          <w:rPr>
            <w:szCs w:val="22"/>
          </w:rPr>
          <w:delText xml:space="preserve">betegévre számított gyakorisága </w:delText>
        </w:r>
        <w:r w:rsidR="00EC420B" w:rsidRPr="00183B5F">
          <w:rPr>
            <w:szCs w:val="22"/>
          </w:rPr>
          <w:delText>8,</w:delText>
        </w:r>
        <w:r w:rsidR="00FD12E7" w:rsidRPr="00183B5F">
          <w:rPr>
            <w:szCs w:val="22"/>
          </w:rPr>
          <w:delText>5</w:delText>
        </w:r>
        <w:r w:rsidR="00F965EC" w:rsidRPr="00183B5F">
          <w:rPr>
            <w:szCs w:val="22"/>
          </w:rPr>
          <w:delText xml:space="preserve"> </w:delText>
        </w:r>
        <w:r w:rsidRPr="00183B5F">
          <w:rPr>
            <w:szCs w:val="22"/>
          </w:rPr>
          <w:delText>volt. A nem melanomás bőrrák 1000</w:delText>
        </w:r>
        <w:r w:rsidR="00376A3C" w:rsidRPr="00183B5F">
          <w:rPr>
            <w:szCs w:val="22"/>
          </w:rPr>
          <w:delText> </w:delText>
        </w:r>
        <w:r w:rsidRPr="00183B5F">
          <w:rPr>
            <w:szCs w:val="22"/>
          </w:rPr>
          <w:delText xml:space="preserve">betegévre vetített, megfigyelt aránya kb. </w:delText>
        </w:r>
        <w:r w:rsidR="00FD12E7" w:rsidRPr="00183B5F">
          <w:rPr>
            <w:szCs w:val="22"/>
          </w:rPr>
          <w:delText>9,</w:delText>
        </w:r>
        <w:r w:rsidR="003344C3" w:rsidRPr="00183B5F">
          <w:rPr>
            <w:szCs w:val="22"/>
          </w:rPr>
          <w:delText>6</w:delText>
        </w:r>
        <w:r w:rsidRPr="00183B5F">
          <w:rPr>
            <w:szCs w:val="22"/>
          </w:rPr>
          <w:delText xml:space="preserve">, míg a lymphomáké </w:delText>
        </w:r>
        <w:r w:rsidR="00445668" w:rsidRPr="00183B5F">
          <w:rPr>
            <w:szCs w:val="22"/>
          </w:rPr>
          <w:delText xml:space="preserve">kb. </w:delText>
        </w:r>
        <w:r w:rsidRPr="00183B5F">
          <w:rPr>
            <w:szCs w:val="22"/>
          </w:rPr>
          <w:delText>1,</w:delText>
        </w:r>
        <w:r w:rsidR="00FD12E7" w:rsidRPr="00183B5F">
          <w:rPr>
            <w:szCs w:val="22"/>
          </w:rPr>
          <w:delText xml:space="preserve">3 </w:delText>
        </w:r>
        <w:r w:rsidRPr="00183B5F">
          <w:rPr>
            <w:szCs w:val="22"/>
          </w:rPr>
          <w:delText>volt.</w:delText>
        </w:r>
      </w:del>
    </w:p>
    <w:p w14:paraId="41E649F0" w14:textId="0ACBC286" w:rsidR="00FB6710" w:rsidRPr="00183B5F" w:rsidRDefault="00FB6710" w:rsidP="004062FE">
      <w:pPr>
        <w:pStyle w:val="EndnoteText"/>
        <w:tabs>
          <w:tab w:val="clear" w:pos="567"/>
        </w:tabs>
        <w:suppressAutoHyphens/>
        <w:rPr>
          <w:del w:id="1385" w:author="AbbVie_HU_03" w:date="2025-05-14T15:27:00Z"/>
          <w:sz w:val="22"/>
          <w:szCs w:val="22"/>
          <w:lang w:val="hu-HU" w:eastAsia="hu-HU"/>
        </w:rPr>
      </w:pPr>
    </w:p>
    <w:p w14:paraId="3AAF59C6" w14:textId="5065A53B" w:rsidR="00AA4D42" w:rsidRPr="00183B5F" w:rsidRDefault="00943743" w:rsidP="00AA4D42">
      <w:pPr>
        <w:spacing w:line="240" w:lineRule="auto"/>
        <w:rPr>
          <w:del w:id="1386" w:author="AbbVie_HU_03" w:date="2025-05-14T15:27:00Z"/>
          <w:szCs w:val="22"/>
        </w:rPr>
      </w:pPr>
      <w:del w:id="1387" w:author="AbbVie_HU_03" w:date="2025-05-14T15:27:00Z">
        <w:r w:rsidRPr="00183B5F">
          <w:rPr>
            <w:szCs w:val="22"/>
          </w:rPr>
          <w:delText xml:space="preserve">A Humira forgalomba hozatala után (2003. január és 2010. december között), javarészt rheumatoid arthritises betegeken szerzett tapasztalatok alapján, a </w:delText>
        </w:r>
        <w:r w:rsidR="00BE646F">
          <w:rPr>
            <w:szCs w:val="22"/>
          </w:rPr>
          <w:delText>spontán jelent</w:delText>
        </w:r>
        <w:r w:rsidR="003D342C">
          <w:rPr>
            <w:szCs w:val="22"/>
          </w:rPr>
          <w:delText>ésekből származó,</w:delText>
        </w:r>
        <w:r w:rsidR="00BE646F">
          <w:rPr>
            <w:szCs w:val="22"/>
          </w:rPr>
          <w:delText xml:space="preserve"> </w:delText>
        </w:r>
        <w:r w:rsidRPr="00183B5F">
          <w:rPr>
            <w:szCs w:val="22"/>
          </w:rPr>
          <w:delText>rosszindulatú daganatok</w:delText>
        </w:r>
        <w:r w:rsidR="003D342C">
          <w:rPr>
            <w:szCs w:val="22"/>
          </w:rPr>
          <w:delText>ra vonatkozó</w:delText>
        </w:r>
        <w:r w:rsidRPr="00183B5F">
          <w:rPr>
            <w:szCs w:val="22"/>
          </w:rPr>
          <w:delText xml:space="preserve"> bejelent</w:delText>
        </w:r>
        <w:r w:rsidR="003D342C">
          <w:rPr>
            <w:szCs w:val="22"/>
          </w:rPr>
          <w:delText>ések</w:delText>
        </w:r>
        <w:r w:rsidRPr="00183B5F">
          <w:rPr>
            <w:szCs w:val="22"/>
          </w:rPr>
          <w:delText xml:space="preserve"> gyakorisága kb. 2,7/1000 beteg-kezelési év. A </w:delText>
        </w:r>
        <w:r w:rsidR="00BE646F">
          <w:rPr>
            <w:szCs w:val="22"/>
          </w:rPr>
          <w:delText>spontán jelent</w:delText>
        </w:r>
        <w:r w:rsidR="003D342C">
          <w:rPr>
            <w:szCs w:val="22"/>
          </w:rPr>
          <w:delText>ésekből származó,</w:delText>
        </w:r>
        <w:r w:rsidR="00BE646F">
          <w:rPr>
            <w:szCs w:val="22"/>
          </w:rPr>
          <w:delText xml:space="preserve"> </w:delText>
        </w:r>
        <w:r w:rsidRPr="00183B5F">
          <w:rPr>
            <w:szCs w:val="22"/>
          </w:rPr>
          <w:delText>nem melanomás bőrrák</w:delText>
        </w:r>
        <w:r w:rsidR="003D342C">
          <w:rPr>
            <w:szCs w:val="22"/>
          </w:rPr>
          <w:delText>ra</w:delText>
        </w:r>
        <w:r w:rsidRPr="00183B5F">
          <w:rPr>
            <w:szCs w:val="22"/>
          </w:rPr>
          <w:delText xml:space="preserve"> </w:delText>
        </w:r>
        <w:r w:rsidR="00BE646F">
          <w:rPr>
            <w:szCs w:val="22"/>
          </w:rPr>
          <w:delText>és a lymphomák</w:delText>
        </w:r>
        <w:r w:rsidR="003D342C">
          <w:rPr>
            <w:szCs w:val="22"/>
          </w:rPr>
          <w:delText>ra vonatkozó bejelentések gyakorisága</w:delText>
        </w:r>
        <w:r w:rsidR="00BE646F">
          <w:rPr>
            <w:szCs w:val="22"/>
          </w:rPr>
          <w:delText xml:space="preserve"> </w:delText>
        </w:r>
        <w:r w:rsidRPr="00183B5F">
          <w:rPr>
            <w:szCs w:val="22"/>
          </w:rPr>
          <w:delText>1000 beteg-kezelési évre számít</w:delText>
        </w:r>
        <w:r w:rsidR="003D342C">
          <w:rPr>
            <w:szCs w:val="22"/>
          </w:rPr>
          <w:delText>va</w:delText>
        </w:r>
        <w:r w:rsidRPr="00183B5F">
          <w:rPr>
            <w:szCs w:val="22"/>
          </w:rPr>
          <w:delText xml:space="preserve"> 0,2, </w:delText>
        </w:r>
        <w:r w:rsidR="00BE646F">
          <w:rPr>
            <w:szCs w:val="22"/>
          </w:rPr>
          <w:delText>illetve</w:delText>
        </w:r>
        <w:r w:rsidRPr="00183B5F">
          <w:rPr>
            <w:szCs w:val="22"/>
          </w:rPr>
          <w:delText xml:space="preserve"> 0,3 volt (lásd</w:delText>
        </w:r>
        <w:r w:rsidRPr="00183B5F">
          <w:rPr>
            <w:i/>
            <w:iCs/>
            <w:szCs w:val="22"/>
          </w:rPr>
          <w:delText xml:space="preserve"> </w:delText>
        </w:r>
        <w:r w:rsidRPr="00183B5F">
          <w:rPr>
            <w:szCs w:val="22"/>
          </w:rPr>
          <w:delText>a 4.4 pontban).</w:delText>
        </w:r>
      </w:del>
    </w:p>
    <w:p w14:paraId="7413D5BF" w14:textId="66809D40" w:rsidR="00FB6710" w:rsidRPr="00183B5F" w:rsidRDefault="00FB6710" w:rsidP="004062FE">
      <w:pPr>
        <w:spacing w:line="240" w:lineRule="auto"/>
        <w:rPr>
          <w:del w:id="1388" w:author="AbbVie_HU_03" w:date="2025-05-14T15:27:00Z"/>
          <w:szCs w:val="22"/>
        </w:rPr>
      </w:pPr>
    </w:p>
    <w:p w14:paraId="37FBF1E7" w14:textId="18C42587" w:rsidR="00FB6710" w:rsidRPr="00183B5F" w:rsidRDefault="00943743" w:rsidP="004062FE">
      <w:pPr>
        <w:spacing w:line="240" w:lineRule="auto"/>
        <w:rPr>
          <w:del w:id="1389" w:author="AbbVie_HU_03" w:date="2025-05-14T15:27:00Z"/>
          <w:szCs w:val="22"/>
        </w:rPr>
      </w:pPr>
      <w:del w:id="1390" w:author="AbbVie_HU_03" w:date="2025-05-14T15:27:00Z">
        <w:r w:rsidRPr="00183B5F">
          <w:rPr>
            <w:szCs w:val="22"/>
          </w:rPr>
          <w:delText xml:space="preserve">Adalimumabbal kezelt betegeknél a forgalomba hozatalt követően ritkán </w:delText>
        </w:r>
        <w:r w:rsidR="00AA4D42" w:rsidRPr="00183B5F">
          <w:rPr>
            <w:szCs w:val="22"/>
          </w:rPr>
          <w:delText>hepatosplenicus</w:delText>
        </w:r>
        <w:r w:rsidRPr="00183B5F">
          <w:rPr>
            <w:szCs w:val="22"/>
          </w:rPr>
          <w:delText xml:space="preserve"> T</w:delText>
        </w:r>
        <w:r w:rsidR="00612F54" w:rsidRPr="00183B5F">
          <w:rPr>
            <w:szCs w:val="22"/>
          </w:rPr>
          <w:noBreakHyphen/>
        </w:r>
        <w:r w:rsidRPr="00183B5F">
          <w:rPr>
            <w:szCs w:val="22"/>
          </w:rPr>
          <w:delText>sejtes lymphomát jelentettek (lásd 4.4 pont).</w:delText>
        </w:r>
      </w:del>
    </w:p>
    <w:p w14:paraId="577C0BF3" w14:textId="37E06B35" w:rsidR="00FB6710" w:rsidRPr="00183B5F" w:rsidRDefault="00FB6710" w:rsidP="004062FE">
      <w:pPr>
        <w:spacing w:line="240" w:lineRule="auto"/>
        <w:rPr>
          <w:del w:id="1391" w:author="AbbVie_HU_03" w:date="2025-05-14T15:27:00Z"/>
          <w:szCs w:val="22"/>
        </w:rPr>
      </w:pPr>
    </w:p>
    <w:p w14:paraId="4CE34BBC" w14:textId="6BA8443E" w:rsidR="00FB6710" w:rsidRPr="00183B5F" w:rsidRDefault="00943743" w:rsidP="004062FE">
      <w:pPr>
        <w:keepNext/>
        <w:spacing w:line="240" w:lineRule="auto"/>
        <w:rPr>
          <w:del w:id="1392" w:author="AbbVie_HU_03" w:date="2025-05-14T15:27:00Z"/>
          <w:i/>
          <w:szCs w:val="22"/>
        </w:rPr>
      </w:pPr>
      <w:del w:id="1393" w:author="AbbVie_HU_03" w:date="2025-05-14T15:27:00Z">
        <w:r w:rsidRPr="00183B5F">
          <w:rPr>
            <w:i/>
            <w:szCs w:val="22"/>
          </w:rPr>
          <w:delText>Autoantitestek</w:delText>
        </w:r>
      </w:del>
    </w:p>
    <w:p w14:paraId="46DD38B3" w14:textId="314EE0D5" w:rsidR="00FB6710" w:rsidRPr="00183B5F" w:rsidRDefault="00FB6710" w:rsidP="004062FE">
      <w:pPr>
        <w:keepNext/>
        <w:spacing w:line="240" w:lineRule="auto"/>
        <w:rPr>
          <w:del w:id="1394" w:author="AbbVie_HU_03" w:date="2025-05-14T15:27:00Z"/>
          <w:szCs w:val="22"/>
        </w:rPr>
      </w:pPr>
    </w:p>
    <w:p w14:paraId="2FD4F6DB" w14:textId="7A46E507" w:rsidR="00FB6710" w:rsidRPr="00183B5F" w:rsidRDefault="00943743" w:rsidP="004062FE">
      <w:pPr>
        <w:keepNext/>
        <w:spacing w:line="240" w:lineRule="auto"/>
        <w:rPr>
          <w:del w:id="1395" w:author="AbbVie_HU_03" w:date="2025-05-14T15:27:00Z"/>
          <w:szCs w:val="22"/>
        </w:rPr>
      </w:pPr>
      <w:del w:id="1396" w:author="AbbVie_HU_03" w:date="2025-05-14T15:27:00Z">
        <w:r w:rsidRPr="00183B5F">
          <w:rPr>
            <w:szCs w:val="22"/>
          </w:rPr>
          <w:delText>A betegektől vett vérsavómintákban különböző időpontokban vizsgálták az autoantitesteket az I</w:delText>
        </w:r>
        <w:r w:rsidR="00D57F0A" w:rsidRPr="00183B5F">
          <w:rPr>
            <w:szCs w:val="22"/>
          </w:rPr>
          <w:delText> </w:delText>
        </w:r>
        <w:r w:rsidR="00D57F0A" w:rsidRPr="00183B5F">
          <w:rPr>
            <w:szCs w:val="22"/>
          </w:rPr>
          <w:noBreakHyphen/>
          <w:delText> </w:delText>
        </w:r>
        <w:r w:rsidRPr="00183B5F">
          <w:rPr>
            <w:szCs w:val="22"/>
          </w:rPr>
          <w:delText>V</w:delText>
        </w:r>
        <w:r w:rsidR="00D57F0A" w:rsidRPr="00183B5F">
          <w:rPr>
            <w:szCs w:val="22"/>
          </w:rPr>
          <w:delText> </w:delText>
        </w:r>
        <w:r w:rsidRPr="00183B5F">
          <w:rPr>
            <w:szCs w:val="22"/>
          </w:rPr>
          <w:delText>rheumatoid arthritis vizsgálatokban. Ezekben a vizsgálatokban, a negatív kiindulási antinukleáris antitest titerrel rendelkező betegek közül a Humira</w:delText>
        </w:r>
        <w:r w:rsidR="00376A3C" w:rsidRPr="00183B5F">
          <w:rPr>
            <w:szCs w:val="22"/>
          </w:rPr>
          <w:noBreakHyphen/>
        </w:r>
        <w:r w:rsidRPr="00183B5F">
          <w:rPr>
            <w:szCs w:val="22"/>
          </w:rPr>
          <w:delText>val kezeltek 11,9%</w:delText>
        </w:r>
        <w:r w:rsidRPr="00183B5F">
          <w:rPr>
            <w:szCs w:val="22"/>
          </w:rPr>
          <w:noBreakHyphen/>
          <w:delText xml:space="preserve">ánál, míg a </w:delText>
        </w:r>
        <w:r w:rsidR="00E017F2" w:rsidRPr="00183B5F">
          <w:rPr>
            <w:szCs w:val="22"/>
          </w:rPr>
          <w:delText>placebóval vagy aktív kontrollal</w:delText>
        </w:r>
        <w:r w:rsidRPr="00183B5F">
          <w:rPr>
            <w:szCs w:val="22"/>
          </w:rPr>
          <w:delText xml:space="preserve"> kezelt betegek 8,1%</w:delText>
        </w:r>
        <w:r w:rsidRPr="00183B5F">
          <w:rPr>
            <w:szCs w:val="22"/>
          </w:rPr>
          <w:noBreakHyphen/>
          <w:delText>ánál fejlődött ki antinukleáris antitest titer pozitivitás a 24.</w:delText>
        </w:r>
        <w:r w:rsidR="00A44DB6" w:rsidRPr="00183B5F">
          <w:rPr>
            <w:szCs w:val="22"/>
          </w:rPr>
          <w:delText> hét</w:delText>
        </w:r>
        <w:r w:rsidRPr="00183B5F">
          <w:rPr>
            <w:szCs w:val="22"/>
          </w:rPr>
          <w:delText>re. Az összes rheumatoid arthritis és arthritis psoriatica vizsgálatban a 3441 Humira</w:delText>
        </w:r>
        <w:r w:rsidR="00376A3C" w:rsidRPr="00183B5F">
          <w:rPr>
            <w:szCs w:val="22"/>
          </w:rPr>
          <w:noBreakHyphen/>
        </w:r>
        <w:r w:rsidRPr="00183B5F">
          <w:rPr>
            <w:szCs w:val="22"/>
          </w:rPr>
          <w:delText>val kezelt beteg közül 2</w:delText>
        </w:r>
        <w:r w:rsidR="00376A3C" w:rsidRPr="00183B5F">
          <w:rPr>
            <w:szCs w:val="22"/>
          </w:rPr>
          <w:noBreakHyphen/>
        </w:r>
        <w:r w:rsidRPr="00183B5F">
          <w:rPr>
            <w:szCs w:val="22"/>
          </w:rPr>
          <w:delText>nél alakultak ki újonnan fellépő lupus-szerű szindróma klinikai jelei. A beteg állapota javult</w:delText>
        </w:r>
        <w:r w:rsidRPr="00183B5F">
          <w:rPr>
            <w:szCs w:val="22"/>
          </w:rPr>
          <w:delText>, amint a kezelést abbahagyták. Egy beteg esetében sem alakult ki lupus</w:delText>
        </w:r>
        <w:r w:rsidRPr="00183B5F">
          <w:rPr>
            <w:szCs w:val="22"/>
          </w:rPr>
          <w:noBreakHyphen/>
          <w:delText>nephritis vagy központi idegrendszeri tünet.</w:delText>
        </w:r>
      </w:del>
    </w:p>
    <w:p w14:paraId="180F0282" w14:textId="0CCD2971" w:rsidR="004A71B2" w:rsidRPr="00183B5F" w:rsidRDefault="004A71B2" w:rsidP="004062FE">
      <w:pPr>
        <w:spacing w:line="240" w:lineRule="auto"/>
        <w:rPr>
          <w:del w:id="1397" w:author="AbbVie_HU_03" w:date="2025-05-14T15:27:00Z"/>
          <w:szCs w:val="22"/>
        </w:rPr>
      </w:pPr>
    </w:p>
    <w:p w14:paraId="12DFEBA1" w14:textId="4910C161" w:rsidR="00FB6710" w:rsidRPr="00183B5F" w:rsidRDefault="00943743" w:rsidP="004062FE">
      <w:pPr>
        <w:pStyle w:val="EMEANormal"/>
        <w:keepNext/>
        <w:widowControl w:val="0"/>
        <w:rPr>
          <w:del w:id="1398" w:author="AbbVie_HU_03" w:date="2025-05-14T15:27:00Z"/>
          <w:i/>
          <w:szCs w:val="22"/>
          <w:lang w:val="hu-HU"/>
        </w:rPr>
      </w:pPr>
      <w:del w:id="1399" w:author="AbbVie_HU_03" w:date="2025-05-14T15:27:00Z">
        <w:r w:rsidRPr="00183B5F">
          <w:rPr>
            <w:i/>
            <w:szCs w:val="22"/>
            <w:lang w:val="hu-HU"/>
          </w:rPr>
          <w:delText xml:space="preserve">Hepatobiliaris </w:delText>
        </w:r>
        <w:r w:rsidR="003A28DD" w:rsidRPr="00183B5F">
          <w:rPr>
            <w:i/>
            <w:szCs w:val="22"/>
            <w:lang w:val="hu-HU"/>
          </w:rPr>
          <w:delText>események</w:delText>
        </w:r>
      </w:del>
    </w:p>
    <w:p w14:paraId="335F2E05" w14:textId="22D793B6" w:rsidR="00FB6710" w:rsidRPr="00183B5F" w:rsidRDefault="00FB6710" w:rsidP="004062FE">
      <w:pPr>
        <w:keepNext/>
        <w:spacing w:line="240" w:lineRule="auto"/>
        <w:rPr>
          <w:del w:id="1400" w:author="AbbVie_HU_03" w:date="2025-05-14T15:27:00Z"/>
          <w:szCs w:val="22"/>
        </w:rPr>
      </w:pPr>
    </w:p>
    <w:p w14:paraId="657547F0" w14:textId="02CE8D30" w:rsidR="00FB6710" w:rsidRPr="00183B5F" w:rsidRDefault="00943743" w:rsidP="004062FE">
      <w:pPr>
        <w:spacing w:line="240" w:lineRule="auto"/>
        <w:rPr>
          <w:del w:id="1401" w:author="AbbVie_HU_03" w:date="2025-05-14T15:27:00Z"/>
          <w:szCs w:val="22"/>
        </w:rPr>
      </w:pPr>
      <w:del w:id="1402" w:author="AbbVie_HU_03" w:date="2025-05-14T15:27:00Z">
        <w:r w:rsidRPr="00183B5F">
          <w:rPr>
            <w:szCs w:val="22"/>
          </w:rPr>
          <w:delText>Rheumatoid arthritisben és arthritis psoriaticában szenvedő betegeknél végzett</w:delText>
        </w:r>
        <w:r w:rsidR="00646C00" w:rsidRPr="00183B5F">
          <w:rPr>
            <w:szCs w:val="22"/>
          </w:rPr>
          <w:delText>,</w:delText>
        </w:r>
        <w:r w:rsidR="00BB6BFF" w:rsidRPr="00183B5F">
          <w:rPr>
            <w:szCs w:val="22"/>
          </w:rPr>
          <w:delText xml:space="preserve"> </w:delText>
        </w:r>
        <w:r w:rsidR="00ED247D" w:rsidRPr="00183B5F">
          <w:rPr>
            <w:szCs w:val="22"/>
          </w:rPr>
          <w:delText>III. fázisú</w:delText>
        </w:r>
        <w:r w:rsidRPr="00183B5F">
          <w:rPr>
            <w:szCs w:val="22"/>
          </w:rPr>
          <w:delText xml:space="preserve"> klinikai vizsgálatokban</w:delText>
        </w:r>
        <w:r w:rsidR="0039688D" w:rsidRPr="00183B5F">
          <w:rPr>
            <w:szCs w:val="22"/>
          </w:rPr>
          <w:delText xml:space="preserve"> </w:delText>
        </w:r>
        <w:r w:rsidR="00E45EB4" w:rsidRPr="00183B5F">
          <w:rPr>
            <w:szCs w:val="22"/>
          </w:rPr>
          <w:delText xml:space="preserve">a </w:delText>
        </w:r>
        <w:r w:rsidR="0039688D" w:rsidRPr="00183B5F">
          <w:rPr>
            <w:szCs w:val="22"/>
          </w:rPr>
          <w:delText>4-104</w:delText>
        </w:r>
        <w:r w:rsidR="00376A3C" w:rsidRPr="00183B5F">
          <w:rPr>
            <w:szCs w:val="22"/>
          </w:rPr>
          <w:delText> </w:delText>
        </w:r>
        <w:r w:rsidR="0039688D" w:rsidRPr="00183B5F">
          <w:rPr>
            <w:szCs w:val="22"/>
          </w:rPr>
          <w:delText>hetes e</w:delText>
        </w:r>
        <w:r w:rsidR="00E45EB4" w:rsidRPr="00183B5F">
          <w:rPr>
            <w:szCs w:val="22"/>
          </w:rPr>
          <w:delText>llenőrzött</w:delText>
        </w:r>
        <w:r w:rsidR="0039688D" w:rsidRPr="00183B5F">
          <w:rPr>
            <w:szCs w:val="22"/>
          </w:rPr>
          <w:delText xml:space="preserve"> </w:delText>
        </w:r>
        <w:r w:rsidR="00E45EB4" w:rsidRPr="00183B5F">
          <w:rPr>
            <w:szCs w:val="22"/>
          </w:rPr>
          <w:delText>periódusban</w:delText>
        </w:r>
        <w:r w:rsidR="0039688D" w:rsidRPr="00183B5F">
          <w:rPr>
            <w:szCs w:val="22"/>
          </w:rPr>
          <w:delText xml:space="preserve"> </w:delText>
        </w:r>
        <w:r w:rsidRPr="00183B5F">
          <w:rPr>
            <w:szCs w:val="22"/>
          </w:rPr>
          <w:delText xml:space="preserve">a </w:delText>
        </w:r>
        <w:r w:rsidR="00934342" w:rsidRPr="00183B5F">
          <w:rPr>
            <w:szCs w:val="22"/>
          </w:rPr>
          <w:delText>GPT</w:delText>
        </w:r>
        <w:r w:rsidR="00677908" w:rsidRPr="00183B5F">
          <w:rPr>
            <w:szCs w:val="22"/>
          </w:rPr>
          <w:delText xml:space="preserve"> (</w:delText>
        </w:r>
        <w:r w:rsidR="00934342" w:rsidRPr="00183B5F">
          <w:rPr>
            <w:szCs w:val="22"/>
          </w:rPr>
          <w:delText>ALAT</w:delText>
        </w:r>
        <w:r w:rsidR="00677908" w:rsidRPr="00183B5F">
          <w:rPr>
            <w:szCs w:val="22"/>
          </w:rPr>
          <w:delText>)-</w:delText>
        </w:r>
        <w:r w:rsidR="00CE76E2" w:rsidRPr="00183B5F">
          <w:rPr>
            <w:szCs w:val="22"/>
          </w:rPr>
          <w:delText>szint</w:delText>
        </w:r>
        <w:r w:rsidR="006F144D" w:rsidRPr="00183B5F">
          <w:rPr>
            <w:szCs w:val="22"/>
          </w:rPr>
          <w:delText xml:space="preserve"> a normálérték felső határának </w:delText>
        </w:r>
        <w:r w:rsidRPr="00183B5F">
          <w:rPr>
            <w:szCs w:val="22"/>
          </w:rPr>
          <w:delText>≥</w:delText>
        </w:r>
        <w:r w:rsidR="00C31C9F" w:rsidRPr="00183B5F">
          <w:rPr>
            <w:szCs w:val="22"/>
          </w:rPr>
          <w:delText> </w:delText>
        </w:r>
        <w:r w:rsidRPr="00183B5F">
          <w:rPr>
            <w:szCs w:val="22"/>
          </w:rPr>
          <w:delText>3</w:delText>
        </w:r>
        <w:r w:rsidR="006F144D" w:rsidRPr="00183B5F">
          <w:rPr>
            <w:szCs w:val="22"/>
          </w:rPr>
          <w:noBreakHyphen/>
          <w:delText>szorosára történő</w:delText>
        </w:r>
        <w:r w:rsidRPr="00183B5F">
          <w:rPr>
            <w:szCs w:val="22"/>
          </w:rPr>
          <w:delText xml:space="preserve"> </w:delText>
        </w:r>
        <w:r w:rsidR="006D6423" w:rsidRPr="00183B5F">
          <w:rPr>
            <w:szCs w:val="22"/>
          </w:rPr>
          <w:delText>emelkedése</w:delText>
        </w:r>
        <w:r w:rsidR="00C73C4C" w:rsidRPr="00183B5F">
          <w:rPr>
            <w:szCs w:val="22"/>
          </w:rPr>
          <w:delText xml:space="preserve"> </w:delText>
        </w:r>
        <w:r w:rsidRPr="00183B5F">
          <w:rPr>
            <w:szCs w:val="22"/>
          </w:rPr>
          <w:delText>a Humira</w:delText>
        </w:r>
        <w:r w:rsidR="00376A3C" w:rsidRPr="00183B5F">
          <w:rPr>
            <w:szCs w:val="22"/>
          </w:rPr>
          <w:noBreakHyphen/>
        </w:r>
        <w:r w:rsidRPr="00183B5F">
          <w:rPr>
            <w:szCs w:val="22"/>
          </w:rPr>
          <w:delText>val kezeltek 3,7%</w:delText>
        </w:r>
        <w:r w:rsidRPr="00183B5F">
          <w:rPr>
            <w:szCs w:val="22"/>
          </w:rPr>
          <w:noBreakHyphen/>
          <w:delText>ánál, míg a kontroll</w:delText>
        </w:r>
        <w:r w:rsidR="006F144D" w:rsidRPr="00183B5F">
          <w:rPr>
            <w:szCs w:val="22"/>
          </w:rPr>
          <w:delText>kezelést kapó betegek</w:delText>
        </w:r>
        <w:r w:rsidRPr="00183B5F">
          <w:rPr>
            <w:szCs w:val="22"/>
          </w:rPr>
          <w:delText xml:space="preserve"> 1,6%</w:delText>
        </w:r>
        <w:r w:rsidR="00376A3C" w:rsidRPr="00183B5F">
          <w:rPr>
            <w:szCs w:val="22"/>
          </w:rPr>
          <w:noBreakHyphen/>
        </w:r>
        <w:r w:rsidR="006F144D" w:rsidRPr="00183B5F">
          <w:rPr>
            <w:szCs w:val="22"/>
          </w:rPr>
          <w:delText>á</w:delText>
        </w:r>
        <w:r w:rsidRPr="00183B5F">
          <w:rPr>
            <w:szCs w:val="22"/>
          </w:rPr>
          <w:delText>nál fordult elő.</w:delText>
        </w:r>
      </w:del>
    </w:p>
    <w:p w14:paraId="5F559F06" w14:textId="490B1B84" w:rsidR="00EC420B" w:rsidRPr="00183B5F" w:rsidRDefault="00EC420B" w:rsidP="004062FE">
      <w:pPr>
        <w:spacing w:line="240" w:lineRule="auto"/>
        <w:rPr>
          <w:del w:id="1403" w:author="AbbVie_HU_03" w:date="2025-05-14T15:27:00Z"/>
          <w:szCs w:val="22"/>
        </w:rPr>
      </w:pPr>
    </w:p>
    <w:p w14:paraId="72C2850A" w14:textId="50570046" w:rsidR="00266E81" w:rsidRPr="00183B5F" w:rsidRDefault="00943743">
      <w:pPr>
        <w:spacing w:line="240" w:lineRule="auto"/>
        <w:rPr>
          <w:del w:id="1404" w:author="AbbVie_HU_03" w:date="2025-05-14T15:27:00Z"/>
          <w:szCs w:val="22"/>
        </w:rPr>
      </w:pPr>
      <w:del w:id="1405" w:author="AbbVie_HU_03" w:date="2025-05-14T15:27:00Z">
        <w:r w:rsidRPr="00183B5F">
          <w:rPr>
            <w:szCs w:val="22"/>
          </w:rPr>
          <w:delText>Polyarticularis juvenilis</w:delText>
        </w:r>
        <w:r w:rsidR="00076DEB" w:rsidRPr="00183B5F">
          <w:rPr>
            <w:szCs w:val="22"/>
          </w:rPr>
          <w:delText xml:space="preserve"> idiopathiá</w:delText>
        </w:r>
        <w:r w:rsidRPr="00183B5F">
          <w:rPr>
            <w:szCs w:val="22"/>
          </w:rPr>
          <w:delText>s arthritisben szenvedő</w:delText>
        </w:r>
        <w:r w:rsidR="005D7645" w:rsidRPr="00183B5F">
          <w:rPr>
            <w:szCs w:val="22"/>
          </w:rPr>
          <w:delText>,</w:delText>
        </w:r>
        <w:r w:rsidRPr="00183B5F">
          <w:rPr>
            <w:szCs w:val="22"/>
          </w:rPr>
          <w:delText xml:space="preserve"> 4</w:delText>
        </w:r>
        <w:r w:rsidRPr="00183B5F">
          <w:rPr>
            <w:szCs w:val="22"/>
          </w:rPr>
          <w:noBreakHyphen/>
          <w:delText xml:space="preserve">17 éves és </w:delText>
        </w:r>
        <w:r w:rsidR="00677908" w:rsidRPr="00183B5F">
          <w:rPr>
            <w:szCs w:val="22"/>
          </w:rPr>
          <w:delText>enthesitis-asszociált</w:delText>
        </w:r>
        <w:r w:rsidRPr="00183B5F">
          <w:rPr>
            <w:szCs w:val="22"/>
          </w:rPr>
          <w:delText xml:space="preserve"> arthritisben szenvedő 6</w:delText>
        </w:r>
        <w:r w:rsidRPr="00183B5F">
          <w:rPr>
            <w:szCs w:val="22"/>
          </w:rPr>
          <w:noBreakHyphen/>
          <w:delText>17 éves betegeknél Humir</w:delText>
        </w:r>
        <w:r w:rsidR="008667C2" w:rsidRPr="00183B5F">
          <w:rPr>
            <w:szCs w:val="22"/>
          </w:rPr>
          <w:delText>a</w:delText>
        </w:r>
        <w:r w:rsidR="008667C2" w:rsidRPr="00183B5F">
          <w:rPr>
            <w:szCs w:val="22"/>
          </w:rPr>
          <w:noBreakHyphen/>
        </w:r>
        <w:r w:rsidRPr="00183B5F">
          <w:rPr>
            <w:szCs w:val="22"/>
          </w:rPr>
          <w:delText xml:space="preserve">val végzett kontrollos </w:delText>
        </w:r>
        <w:r w:rsidR="00ED247D" w:rsidRPr="00183B5F">
          <w:rPr>
            <w:szCs w:val="22"/>
          </w:rPr>
          <w:delText>III. fázisú</w:delText>
        </w:r>
        <w:r w:rsidRPr="00183B5F">
          <w:rPr>
            <w:szCs w:val="22"/>
          </w:rPr>
          <w:delText xml:space="preserve">. vizsgálatok során a </w:delText>
        </w:r>
        <w:r w:rsidR="00D55D7C" w:rsidRPr="00183B5F">
          <w:rPr>
            <w:szCs w:val="22"/>
          </w:rPr>
          <w:delText>Humir</w:delText>
        </w:r>
        <w:r w:rsidR="00612F54" w:rsidRPr="00183B5F">
          <w:rPr>
            <w:szCs w:val="22"/>
          </w:rPr>
          <w:delText>a</w:delText>
        </w:r>
        <w:r w:rsidR="008638B7" w:rsidRPr="00183B5F">
          <w:rPr>
            <w:szCs w:val="22"/>
          </w:rPr>
          <w:noBreakHyphen/>
        </w:r>
        <w:r w:rsidR="00D55D7C" w:rsidRPr="00183B5F">
          <w:rPr>
            <w:szCs w:val="22"/>
          </w:rPr>
          <w:delText xml:space="preserve">val kezelt </w:delText>
        </w:r>
        <w:r w:rsidRPr="00183B5F">
          <w:rPr>
            <w:szCs w:val="22"/>
          </w:rPr>
          <w:delText>betegek 6,1</w:delText>
        </w:r>
        <w:r w:rsidRPr="00183B5F">
          <w:delText>%</w:delText>
        </w:r>
        <w:r w:rsidRPr="00183B5F">
          <w:noBreakHyphen/>
          <w:delText>nál</w:delText>
        </w:r>
        <w:r w:rsidR="00D55D7C" w:rsidRPr="00183B5F">
          <w:delText xml:space="preserve"> és a kontrollkezelésben részesülő betegek 1,3%</w:delText>
        </w:r>
        <w:r w:rsidR="00D55D7C" w:rsidRPr="00183B5F">
          <w:noBreakHyphen/>
          <w:delText xml:space="preserve">ánál a </w:delText>
        </w:r>
        <w:r w:rsidR="00934342" w:rsidRPr="00183B5F">
          <w:rPr>
            <w:szCs w:val="22"/>
          </w:rPr>
          <w:delText>GPT </w:delText>
        </w:r>
        <w:r w:rsidR="00677908" w:rsidRPr="00183B5F">
          <w:rPr>
            <w:szCs w:val="22"/>
          </w:rPr>
          <w:delText>(</w:delText>
        </w:r>
        <w:r w:rsidR="00934342" w:rsidRPr="00183B5F">
          <w:rPr>
            <w:szCs w:val="22"/>
          </w:rPr>
          <w:delText>ALAT</w:delText>
        </w:r>
        <w:r w:rsidR="00677908" w:rsidRPr="00183B5F">
          <w:rPr>
            <w:szCs w:val="22"/>
          </w:rPr>
          <w:delText>)-</w:delText>
        </w:r>
        <w:r w:rsidR="00D55D7C" w:rsidRPr="00183B5F">
          <w:rPr>
            <w:szCs w:val="22"/>
          </w:rPr>
          <w:delText>szint a normálérték felső határának ≥ 3</w:delText>
        </w:r>
        <w:r w:rsidR="00D55D7C" w:rsidRPr="00183B5F">
          <w:rPr>
            <w:szCs w:val="22"/>
          </w:rPr>
          <w:noBreakHyphen/>
          <w:delText xml:space="preserve">szorosára emelkedett. A legtöbb </w:delText>
        </w:r>
        <w:r w:rsidR="00934342" w:rsidRPr="00183B5F">
          <w:rPr>
            <w:szCs w:val="22"/>
          </w:rPr>
          <w:delText>GPT</w:delText>
        </w:r>
        <w:r w:rsidR="00677908" w:rsidRPr="00183B5F">
          <w:rPr>
            <w:szCs w:val="22"/>
          </w:rPr>
          <w:delText> (</w:delText>
        </w:r>
        <w:r w:rsidR="00934342" w:rsidRPr="00183B5F">
          <w:rPr>
            <w:szCs w:val="22"/>
          </w:rPr>
          <w:delText>ALAT</w:delText>
        </w:r>
        <w:r w:rsidR="00677908" w:rsidRPr="00183B5F">
          <w:rPr>
            <w:szCs w:val="22"/>
          </w:rPr>
          <w:delText>)-</w:delText>
        </w:r>
        <w:r w:rsidR="00D55D7C" w:rsidRPr="00183B5F">
          <w:rPr>
            <w:szCs w:val="22"/>
          </w:rPr>
          <w:delText>szint emelkedés együttadott metotrexát</w:delText>
        </w:r>
        <w:r w:rsidR="00D55D7C" w:rsidRPr="00183B5F">
          <w:rPr>
            <w:szCs w:val="22"/>
          </w:rPr>
          <w:noBreakHyphen/>
          <w:delText>kezelés mellett fordult elő. Poly</w:delText>
        </w:r>
        <w:r w:rsidR="00076DEB" w:rsidRPr="00183B5F">
          <w:rPr>
            <w:szCs w:val="22"/>
          </w:rPr>
          <w:delText>articularis juvenilis idiopathiá</w:delText>
        </w:r>
        <w:r w:rsidR="00D55D7C" w:rsidRPr="00183B5F">
          <w:rPr>
            <w:szCs w:val="22"/>
          </w:rPr>
          <w:delText>s arthritisben szenvedő</w:delText>
        </w:r>
        <w:r w:rsidR="005D7645" w:rsidRPr="00183B5F">
          <w:rPr>
            <w:szCs w:val="22"/>
          </w:rPr>
          <w:delText>,</w:delText>
        </w:r>
        <w:r w:rsidR="00D55D7C" w:rsidRPr="00183B5F">
          <w:rPr>
            <w:szCs w:val="22"/>
          </w:rPr>
          <w:delText xml:space="preserve"> 2</w:delText>
        </w:r>
        <w:r w:rsidR="00CE76E2" w:rsidRPr="00183B5F">
          <w:rPr>
            <w:szCs w:val="22"/>
          </w:rPr>
          <w:delText> </w:delText>
        </w:r>
        <w:r w:rsidR="00D55D7C" w:rsidRPr="00183B5F">
          <w:rPr>
            <w:szCs w:val="22"/>
          </w:rPr>
          <w:noBreakHyphen/>
        </w:r>
        <w:r w:rsidR="00CE76E2" w:rsidRPr="00183B5F">
          <w:rPr>
            <w:szCs w:val="22"/>
          </w:rPr>
          <w:delText> </w:delText>
        </w:r>
        <w:r w:rsidR="00923894" w:rsidRPr="00183B5F">
          <w:rPr>
            <w:szCs w:val="22"/>
          </w:rPr>
          <w:delText>&lt;</w:delText>
        </w:r>
        <w:r w:rsidR="00D55D7C" w:rsidRPr="00183B5F">
          <w:rPr>
            <w:szCs w:val="22"/>
          </w:rPr>
          <w:delText>4</w:delText>
        </w:r>
        <w:r w:rsidR="00923894" w:rsidRPr="00183B5F">
          <w:rPr>
            <w:szCs w:val="22"/>
          </w:rPr>
          <w:delText xml:space="preserve"> éves </w:delText>
        </w:r>
        <w:r w:rsidR="00D55D7C" w:rsidRPr="00183B5F">
          <w:rPr>
            <w:szCs w:val="22"/>
          </w:rPr>
          <w:delText>betegeknél Humir</w:delText>
        </w:r>
        <w:r w:rsidR="008638B7" w:rsidRPr="00183B5F">
          <w:rPr>
            <w:szCs w:val="22"/>
          </w:rPr>
          <w:delText>a</w:delText>
        </w:r>
        <w:r w:rsidR="008638B7" w:rsidRPr="00183B5F">
          <w:rPr>
            <w:szCs w:val="22"/>
          </w:rPr>
          <w:noBreakHyphen/>
        </w:r>
        <w:r w:rsidR="00D55D7C" w:rsidRPr="00183B5F">
          <w:rPr>
            <w:szCs w:val="22"/>
          </w:rPr>
          <w:delText xml:space="preserve">val végzett kontrollos </w:delText>
        </w:r>
        <w:r w:rsidR="00ED247D" w:rsidRPr="00183B5F">
          <w:rPr>
            <w:szCs w:val="22"/>
          </w:rPr>
          <w:delText>III. fázisú</w:delText>
        </w:r>
        <w:r w:rsidR="00D55D7C" w:rsidRPr="00183B5F">
          <w:rPr>
            <w:szCs w:val="22"/>
          </w:rPr>
          <w:delText xml:space="preserve"> vizsgálatok során nem fordult elő</w:delText>
        </w:r>
        <w:r w:rsidR="00BF18DF" w:rsidRPr="00183B5F">
          <w:rPr>
            <w:szCs w:val="22"/>
          </w:rPr>
          <w:delText>, hogy</w:delText>
        </w:r>
        <w:r w:rsidR="00D55D7C" w:rsidRPr="00183B5F">
          <w:rPr>
            <w:szCs w:val="22"/>
          </w:rPr>
          <w:delText xml:space="preserve"> </w:delText>
        </w:r>
        <w:r w:rsidR="00BF18DF" w:rsidRPr="00183B5F">
          <w:rPr>
            <w:szCs w:val="22"/>
          </w:rPr>
          <w:delText xml:space="preserve">a </w:delText>
        </w:r>
        <w:r w:rsidR="00934342" w:rsidRPr="00183B5F">
          <w:rPr>
            <w:szCs w:val="22"/>
          </w:rPr>
          <w:delText xml:space="preserve">GPT </w:delText>
        </w:r>
        <w:r w:rsidR="00677908" w:rsidRPr="00183B5F">
          <w:rPr>
            <w:szCs w:val="22"/>
          </w:rPr>
          <w:delText>(</w:delText>
        </w:r>
        <w:r w:rsidR="00934342" w:rsidRPr="00183B5F">
          <w:rPr>
            <w:szCs w:val="22"/>
          </w:rPr>
          <w:delText>ALAT</w:delText>
        </w:r>
        <w:r w:rsidR="00677908" w:rsidRPr="00183B5F">
          <w:rPr>
            <w:szCs w:val="22"/>
          </w:rPr>
          <w:delText>)-</w:delText>
        </w:r>
        <w:r w:rsidR="00D55D7C" w:rsidRPr="00183B5F">
          <w:rPr>
            <w:szCs w:val="22"/>
          </w:rPr>
          <w:delText>szint a normálérték felső határának ≥ 3</w:delText>
        </w:r>
        <w:r w:rsidR="00D55D7C" w:rsidRPr="00183B5F">
          <w:rPr>
            <w:szCs w:val="22"/>
          </w:rPr>
          <w:noBreakHyphen/>
          <w:delText xml:space="preserve">szorosára </w:delText>
        </w:r>
        <w:r w:rsidR="00BF18DF" w:rsidRPr="00183B5F">
          <w:rPr>
            <w:szCs w:val="22"/>
          </w:rPr>
          <w:delText>emelkedett.</w:delText>
        </w:r>
      </w:del>
    </w:p>
    <w:p w14:paraId="2B76C4FF" w14:textId="34B26F8C" w:rsidR="00D55D7C" w:rsidRPr="00183B5F" w:rsidRDefault="00D55D7C">
      <w:pPr>
        <w:spacing w:line="240" w:lineRule="auto"/>
        <w:rPr>
          <w:del w:id="1406" w:author="AbbVie_HU_03" w:date="2025-05-14T15:27:00Z"/>
        </w:rPr>
      </w:pPr>
    </w:p>
    <w:p w14:paraId="067047ED" w14:textId="0DC2181B" w:rsidR="00411945" w:rsidRPr="00183B5F" w:rsidRDefault="00943743" w:rsidP="004062FE">
      <w:pPr>
        <w:spacing w:line="240" w:lineRule="auto"/>
        <w:rPr>
          <w:del w:id="1407" w:author="AbbVie_HU_03" w:date="2025-05-14T15:27:00Z"/>
          <w:i/>
          <w:szCs w:val="22"/>
        </w:rPr>
      </w:pPr>
      <w:del w:id="1408" w:author="AbbVie_HU_03" w:date="2025-05-14T15:27:00Z">
        <w:r w:rsidRPr="00183B5F">
          <w:rPr>
            <w:szCs w:val="22"/>
          </w:rPr>
          <w:delText>Crohn</w:delText>
        </w:r>
        <w:r w:rsidR="008638B7" w:rsidRPr="00183B5F">
          <w:rPr>
            <w:szCs w:val="22"/>
          </w:rPr>
          <w:noBreakHyphen/>
        </w:r>
        <w:r w:rsidRPr="00183B5F">
          <w:rPr>
            <w:szCs w:val="22"/>
          </w:rPr>
          <w:delText xml:space="preserve">betegségben </w:delText>
        </w:r>
        <w:r w:rsidR="00266E81" w:rsidRPr="00183B5F">
          <w:rPr>
            <w:szCs w:val="22"/>
          </w:rPr>
          <w:delText>és colitis ulcerosában</w:delText>
        </w:r>
        <w:r w:rsidR="00441891" w:rsidRPr="00183B5F">
          <w:rPr>
            <w:szCs w:val="22"/>
          </w:rPr>
          <w:delText xml:space="preserve"> szenvedő betegeknél Humir</w:delText>
        </w:r>
        <w:r w:rsidR="008638B7" w:rsidRPr="00183B5F">
          <w:rPr>
            <w:szCs w:val="22"/>
          </w:rPr>
          <w:delText>a</w:delText>
        </w:r>
        <w:r w:rsidR="008638B7" w:rsidRPr="00183B5F">
          <w:rPr>
            <w:szCs w:val="22"/>
          </w:rPr>
          <w:noBreakHyphen/>
        </w:r>
        <w:r w:rsidR="00441891" w:rsidRPr="00183B5F">
          <w:rPr>
            <w:szCs w:val="22"/>
          </w:rPr>
          <w:delText>val végzett, 4-52</w:delText>
        </w:r>
        <w:r w:rsidR="00376A3C" w:rsidRPr="00183B5F">
          <w:rPr>
            <w:szCs w:val="22"/>
          </w:rPr>
          <w:delText> </w:delText>
        </w:r>
        <w:r w:rsidR="00441891" w:rsidRPr="00183B5F">
          <w:rPr>
            <w:szCs w:val="22"/>
          </w:rPr>
          <w:delText>hetes</w:delText>
        </w:r>
        <w:r w:rsidR="00646C00" w:rsidRPr="00183B5F">
          <w:rPr>
            <w:szCs w:val="22"/>
          </w:rPr>
          <w:delText>,</w:delText>
        </w:r>
        <w:r w:rsidR="00ED247D" w:rsidRPr="00183B5F">
          <w:rPr>
            <w:szCs w:val="22"/>
          </w:rPr>
          <w:delText>III. fázisú</w:delText>
        </w:r>
        <w:r w:rsidR="00441891" w:rsidRPr="00183B5F">
          <w:rPr>
            <w:szCs w:val="22"/>
          </w:rPr>
          <w:delText xml:space="preserve"> </w:delText>
        </w:r>
        <w:r w:rsidR="0072236B" w:rsidRPr="00183B5F">
          <w:rPr>
            <w:szCs w:val="22"/>
          </w:rPr>
          <w:delText xml:space="preserve">kontrollos </w:delText>
        </w:r>
        <w:r w:rsidR="00441891" w:rsidRPr="00183B5F">
          <w:rPr>
            <w:szCs w:val="22"/>
          </w:rPr>
          <w:delText xml:space="preserve">vizsgálatokban a </w:delText>
        </w:r>
        <w:r w:rsidR="00934342" w:rsidRPr="00183B5F">
          <w:rPr>
            <w:szCs w:val="22"/>
          </w:rPr>
          <w:delText>GPT</w:delText>
        </w:r>
        <w:r w:rsidR="00677908" w:rsidRPr="00183B5F">
          <w:rPr>
            <w:szCs w:val="22"/>
          </w:rPr>
          <w:delText xml:space="preserve"> (</w:delText>
        </w:r>
        <w:r w:rsidR="00934342" w:rsidRPr="00183B5F">
          <w:rPr>
            <w:szCs w:val="22"/>
          </w:rPr>
          <w:delText>ALAT</w:delText>
        </w:r>
        <w:r w:rsidR="00677908" w:rsidRPr="00183B5F">
          <w:rPr>
            <w:szCs w:val="22"/>
          </w:rPr>
          <w:delText>)-</w:delText>
        </w:r>
        <w:r w:rsidR="00D55D7C" w:rsidRPr="00183B5F">
          <w:rPr>
            <w:szCs w:val="22"/>
          </w:rPr>
          <w:delText>szint</w:delText>
        </w:r>
        <w:r w:rsidR="006F144D" w:rsidRPr="00183B5F">
          <w:rPr>
            <w:szCs w:val="22"/>
          </w:rPr>
          <w:delText>nek a normálérték felső határának ≥ 3</w:delText>
        </w:r>
        <w:r w:rsidR="006F144D" w:rsidRPr="00183B5F">
          <w:rPr>
            <w:szCs w:val="22"/>
          </w:rPr>
          <w:noBreakHyphen/>
          <w:delText xml:space="preserve">szorosára történő </w:delText>
        </w:r>
        <w:r w:rsidR="00441891" w:rsidRPr="00183B5F">
          <w:rPr>
            <w:szCs w:val="22"/>
          </w:rPr>
          <w:delText>emelkedése a Humira</w:delText>
        </w:r>
        <w:r w:rsidR="006F144D" w:rsidRPr="00183B5F">
          <w:rPr>
            <w:szCs w:val="22"/>
          </w:rPr>
          <w:noBreakHyphen/>
        </w:r>
        <w:r w:rsidR="00441891" w:rsidRPr="00183B5F">
          <w:rPr>
            <w:szCs w:val="22"/>
          </w:rPr>
          <w:delText>val kezelt</w:delText>
        </w:r>
        <w:r w:rsidR="00CB3161" w:rsidRPr="00183B5F">
          <w:rPr>
            <w:szCs w:val="22"/>
          </w:rPr>
          <w:delText xml:space="preserve"> beteg</w:delText>
        </w:r>
        <w:r w:rsidR="00441891" w:rsidRPr="00183B5F">
          <w:rPr>
            <w:szCs w:val="22"/>
          </w:rPr>
          <w:delText>ek 0,9%</w:delText>
        </w:r>
        <w:r w:rsidR="00441891" w:rsidRPr="00183B5F">
          <w:rPr>
            <w:szCs w:val="22"/>
          </w:rPr>
          <w:noBreakHyphen/>
          <w:delText>ánál,</w:delText>
        </w:r>
        <w:r w:rsidR="0072236B" w:rsidRPr="00183B5F">
          <w:rPr>
            <w:szCs w:val="22"/>
          </w:rPr>
          <w:delText xml:space="preserve"> valamint a kontrollal </w:delText>
        </w:r>
        <w:r w:rsidR="00441891" w:rsidRPr="00183B5F">
          <w:rPr>
            <w:szCs w:val="22"/>
          </w:rPr>
          <w:delText>kezelt betegek 0,9%</w:delText>
        </w:r>
        <w:r w:rsidR="008638B7" w:rsidRPr="00183B5F">
          <w:rPr>
            <w:szCs w:val="22"/>
          </w:rPr>
          <w:noBreakHyphen/>
        </w:r>
        <w:r w:rsidR="00CB3161" w:rsidRPr="00183B5F">
          <w:rPr>
            <w:szCs w:val="22"/>
          </w:rPr>
          <w:delText>á</w:delText>
        </w:r>
        <w:r w:rsidR="00441891" w:rsidRPr="00183B5F">
          <w:rPr>
            <w:szCs w:val="22"/>
          </w:rPr>
          <w:delText>nál fordult elő</w:delText>
        </w:r>
        <w:r w:rsidR="00441891" w:rsidRPr="00183B5F">
          <w:rPr>
            <w:i/>
            <w:szCs w:val="22"/>
          </w:rPr>
          <w:delText>.</w:delText>
        </w:r>
      </w:del>
    </w:p>
    <w:p w14:paraId="1C84080C" w14:textId="6A237FD3" w:rsidR="00411945" w:rsidRPr="00183B5F" w:rsidRDefault="00411945" w:rsidP="004062FE">
      <w:pPr>
        <w:spacing w:line="240" w:lineRule="auto"/>
        <w:rPr>
          <w:del w:id="1409" w:author="AbbVie_HU_03" w:date="2025-05-14T15:27:00Z"/>
          <w:i/>
          <w:szCs w:val="22"/>
        </w:rPr>
      </w:pPr>
    </w:p>
    <w:p w14:paraId="103569A3" w14:textId="5BA20A4C" w:rsidR="007B2226" w:rsidRPr="00183B5F" w:rsidRDefault="00943743" w:rsidP="004062FE">
      <w:pPr>
        <w:spacing w:line="240" w:lineRule="auto"/>
        <w:rPr>
          <w:del w:id="1410" w:author="AbbVie_HU_03" w:date="2025-05-14T15:27:00Z"/>
          <w:szCs w:val="22"/>
        </w:rPr>
      </w:pPr>
      <w:del w:id="1411" w:author="AbbVie_HU_03" w:date="2025-05-14T15:27:00Z">
        <w:r w:rsidRPr="00183B5F">
          <w:rPr>
            <w:szCs w:val="22"/>
          </w:rPr>
          <w:delText>A g</w:delText>
        </w:r>
        <w:r w:rsidR="00411945" w:rsidRPr="00183B5F">
          <w:rPr>
            <w:szCs w:val="22"/>
          </w:rPr>
          <w:delText>yermekkori Crohn</w:delText>
        </w:r>
        <w:r w:rsidR="008638B7" w:rsidRPr="00183B5F">
          <w:rPr>
            <w:szCs w:val="22"/>
          </w:rPr>
          <w:noBreakHyphen/>
        </w:r>
        <w:r w:rsidR="00411945" w:rsidRPr="00183B5F">
          <w:rPr>
            <w:szCs w:val="22"/>
          </w:rPr>
          <w:delText>betegségben szenvedő betegeknél</w:delText>
        </w:r>
        <w:r w:rsidR="00317E80" w:rsidRPr="00183B5F">
          <w:rPr>
            <w:szCs w:val="22"/>
          </w:rPr>
          <w:delText xml:space="preserve"> Humira</w:delText>
        </w:r>
        <w:r w:rsidR="00317E80" w:rsidRPr="00183B5F">
          <w:rPr>
            <w:szCs w:val="22"/>
          </w:rPr>
          <w:noBreakHyphen/>
        </w:r>
        <w:r w:rsidR="00411945" w:rsidRPr="00183B5F">
          <w:rPr>
            <w:szCs w:val="22"/>
          </w:rPr>
          <w:delText xml:space="preserve">val végzett </w:delText>
        </w:r>
        <w:r w:rsidR="00ED247D" w:rsidRPr="00183B5F">
          <w:rPr>
            <w:szCs w:val="22"/>
          </w:rPr>
          <w:delText>III. fázisú</w:delText>
        </w:r>
        <w:r w:rsidR="00411945" w:rsidRPr="00183B5F">
          <w:rPr>
            <w:szCs w:val="22"/>
          </w:rPr>
          <w:delText xml:space="preserve"> vizsgálatban</w:delText>
        </w:r>
        <w:r w:rsidRPr="00183B5F">
          <w:rPr>
            <w:szCs w:val="22"/>
          </w:rPr>
          <w:delText xml:space="preserve"> két, testsúlyra korrigált fenntartó </w:delText>
        </w:r>
        <w:r w:rsidR="00121AAD" w:rsidRPr="00183B5F">
          <w:rPr>
            <w:szCs w:val="22"/>
          </w:rPr>
          <w:delText>adagolási rend</w:delText>
        </w:r>
        <w:r w:rsidRPr="00183B5F">
          <w:rPr>
            <w:szCs w:val="22"/>
          </w:rPr>
          <w:delText xml:space="preserve"> hatásosságát és biztonságosságát vizsgálták 52 kezelési hétig, testsúlyra korrigált indukciós kezelést követően</w:delText>
        </w:r>
        <w:r w:rsidR="00AF66BA" w:rsidRPr="00183B5F">
          <w:rPr>
            <w:szCs w:val="22"/>
          </w:rPr>
          <w:delText>. A vizsgálatok során</w:delText>
        </w:r>
        <w:r w:rsidRPr="00183B5F">
          <w:rPr>
            <w:szCs w:val="22"/>
          </w:rPr>
          <w:delText xml:space="preserve"> </w:delText>
        </w:r>
        <w:r w:rsidR="008A4BDC" w:rsidRPr="00183B5F">
          <w:rPr>
            <w:szCs w:val="22"/>
          </w:rPr>
          <w:delText>a betegek 2,6%</w:delText>
        </w:r>
        <w:r w:rsidR="008638B7" w:rsidRPr="00183B5F">
          <w:rPr>
            <w:szCs w:val="22"/>
          </w:rPr>
          <w:noBreakHyphen/>
        </w:r>
        <w:r w:rsidR="008A4BDC" w:rsidRPr="00183B5F">
          <w:rPr>
            <w:szCs w:val="22"/>
          </w:rPr>
          <w:delText xml:space="preserve">ánál </w:delText>
        </w:r>
        <w:r w:rsidRPr="00183B5F">
          <w:rPr>
            <w:szCs w:val="22"/>
          </w:rPr>
          <w:delText>(5/192), akik közül 4 egyidejűleg immunszup</w:delText>
        </w:r>
        <w:r w:rsidR="00C21F5A" w:rsidRPr="00183B5F">
          <w:rPr>
            <w:szCs w:val="22"/>
          </w:rPr>
          <w:delText>p</w:delText>
        </w:r>
        <w:r w:rsidRPr="00183B5F">
          <w:rPr>
            <w:szCs w:val="22"/>
          </w:rPr>
          <w:delText xml:space="preserve">resszánst is kapott, a </w:delText>
        </w:r>
        <w:r w:rsidR="00934342" w:rsidRPr="00183B5F">
          <w:rPr>
            <w:szCs w:val="22"/>
          </w:rPr>
          <w:delText xml:space="preserve">GPT </w:delText>
        </w:r>
        <w:r w:rsidR="00677908" w:rsidRPr="00183B5F">
          <w:rPr>
            <w:szCs w:val="22"/>
          </w:rPr>
          <w:delText>(</w:delText>
        </w:r>
        <w:r w:rsidR="00934342" w:rsidRPr="00183B5F">
          <w:rPr>
            <w:szCs w:val="22"/>
          </w:rPr>
          <w:delText>ALAT</w:delText>
        </w:r>
        <w:r w:rsidR="00677908" w:rsidRPr="00183B5F">
          <w:rPr>
            <w:szCs w:val="22"/>
          </w:rPr>
          <w:delText>)-</w:delText>
        </w:r>
        <w:r w:rsidR="00CE76E2" w:rsidRPr="00183B5F">
          <w:rPr>
            <w:szCs w:val="22"/>
          </w:rPr>
          <w:delText>szint</w:delText>
        </w:r>
        <w:r w:rsidRPr="00183B5F">
          <w:rPr>
            <w:szCs w:val="22"/>
          </w:rPr>
          <w:delText xml:space="preserve"> a normálérték felső határának</w:delText>
        </w:r>
        <w:r w:rsidR="008638B7" w:rsidRPr="00183B5F">
          <w:rPr>
            <w:szCs w:val="22"/>
          </w:rPr>
          <w:delText> </w:delText>
        </w:r>
        <w:r w:rsidRPr="00183B5F">
          <w:rPr>
            <w:szCs w:val="22"/>
          </w:rPr>
          <w:delText xml:space="preserve"> ≥</w:delText>
        </w:r>
        <w:r w:rsidR="008638B7" w:rsidRPr="00183B5F">
          <w:rPr>
            <w:szCs w:val="22"/>
          </w:rPr>
          <w:delText> </w:delText>
        </w:r>
        <w:r w:rsidRPr="00183B5F">
          <w:rPr>
            <w:szCs w:val="22"/>
          </w:rPr>
          <w:delText>3 szorosára emelked</w:delText>
        </w:r>
        <w:r w:rsidR="00AF66BA" w:rsidRPr="00183B5F">
          <w:rPr>
            <w:szCs w:val="22"/>
          </w:rPr>
          <w:delText xml:space="preserve">ett. </w:delText>
        </w:r>
      </w:del>
    </w:p>
    <w:p w14:paraId="6C224B4F" w14:textId="7271F2ED" w:rsidR="007B2226" w:rsidRPr="00183B5F" w:rsidRDefault="007B2226" w:rsidP="004062FE">
      <w:pPr>
        <w:spacing w:line="240" w:lineRule="auto"/>
        <w:rPr>
          <w:del w:id="1412" w:author="AbbVie_HU_03" w:date="2025-05-14T15:27:00Z"/>
          <w:szCs w:val="22"/>
        </w:rPr>
      </w:pPr>
    </w:p>
    <w:p w14:paraId="7AAFFF45" w14:textId="07CCD915" w:rsidR="00987E43" w:rsidRPr="00183B5F" w:rsidRDefault="00943743" w:rsidP="004062FE">
      <w:pPr>
        <w:spacing w:line="240" w:lineRule="auto"/>
        <w:rPr>
          <w:del w:id="1413" w:author="AbbVie_HU_03" w:date="2025-05-14T15:27:00Z"/>
          <w:szCs w:val="22"/>
        </w:rPr>
      </w:pPr>
      <w:del w:id="1414" w:author="AbbVie_HU_03" w:date="2025-05-14T15:27:00Z">
        <w:r w:rsidRPr="00183B5F">
          <w:rPr>
            <w:szCs w:val="22"/>
          </w:rPr>
          <w:delText>Plakkos psoriasisban szenvedő be</w:delText>
        </w:r>
        <w:r w:rsidR="00764258" w:rsidRPr="00183B5F">
          <w:rPr>
            <w:szCs w:val="22"/>
          </w:rPr>
          <w:delText>tegeknél Humira</w:delText>
        </w:r>
        <w:r w:rsidR="00191DD8" w:rsidRPr="00183B5F">
          <w:rPr>
            <w:szCs w:val="22"/>
          </w:rPr>
          <w:noBreakHyphen/>
        </w:r>
        <w:r w:rsidR="003B7A6F" w:rsidRPr="00183B5F">
          <w:rPr>
            <w:szCs w:val="22"/>
          </w:rPr>
          <w:delText>val végzett, 12</w:delText>
        </w:r>
        <w:r w:rsidR="003B7A6F" w:rsidRPr="00183B5F">
          <w:rPr>
            <w:szCs w:val="22"/>
          </w:rPr>
          <w:noBreakHyphen/>
          <w:delText>24 </w:delText>
        </w:r>
        <w:r w:rsidR="00764258" w:rsidRPr="00183B5F">
          <w:rPr>
            <w:szCs w:val="22"/>
          </w:rPr>
          <w:delText xml:space="preserve">hetes, </w:delText>
        </w:r>
        <w:r w:rsidR="00ED247D" w:rsidRPr="00183B5F">
          <w:rPr>
            <w:szCs w:val="22"/>
          </w:rPr>
          <w:delText>III. fázisú</w:delText>
        </w:r>
        <w:r w:rsidR="00764258" w:rsidRPr="00183B5F">
          <w:rPr>
            <w:szCs w:val="22"/>
          </w:rPr>
          <w:delText xml:space="preserve"> vizsgálatokban a </w:delText>
        </w:r>
        <w:r w:rsidR="00934342" w:rsidRPr="00183B5F">
          <w:rPr>
            <w:szCs w:val="22"/>
          </w:rPr>
          <w:delText xml:space="preserve">GPT </w:delText>
        </w:r>
        <w:r w:rsidR="00677908" w:rsidRPr="00183B5F">
          <w:rPr>
            <w:szCs w:val="22"/>
          </w:rPr>
          <w:delText>(</w:delText>
        </w:r>
        <w:r w:rsidR="00934342" w:rsidRPr="00183B5F">
          <w:rPr>
            <w:szCs w:val="22"/>
          </w:rPr>
          <w:delText>ALAT</w:delText>
        </w:r>
        <w:r w:rsidR="00677908" w:rsidRPr="00183B5F">
          <w:rPr>
            <w:szCs w:val="22"/>
          </w:rPr>
          <w:delText>)-</w:delText>
        </w:r>
        <w:r w:rsidR="00CE76E2" w:rsidRPr="00183B5F">
          <w:rPr>
            <w:szCs w:val="22"/>
          </w:rPr>
          <w:delText>szint</w:delText>
        </w:r>
        <w:r w:rsidRPr="00183B5F">
          <w:rPr>
            <w:szCs w:val="22"/>
          </w:rPr>
          <w:delText xml:space="preserve"> </w:delText>
        </w:r>
        <w:r w:rsidR="003B7A6F" w:rsidRPr="00183B5F">
          <w:rPr>
            <w:szCs w:val="22"/>
          </w:rPr>
          <w:delText>a normálérték felső határának ≥ 3</w:delText>
        </w:r>
        <w:r w:rsidR="003B7A6F" w:rsidRPr="00183B5F">
          <w:rPr>
            <w:szCs w:val="22"/>
          </w:rPr>
          <w:noBreakHyphen/>
        </w:r>
        <w:r w:rsidRPr="00183B5F">
          <w:rPr>
            <w:szCs w:val="22"/>
          </w:rPr>
          <w:delText>szoros</w:delText>
        </w:r>
        <w:r w:rsidR="003B7A6F" w:rsidRPr="00183B5F">
          <w:rPr>
            <w:szCs w:val="22"/>
          </w:rPr>
          <w:delText>ára történő emelkedése a Humira</w:delText>
        </w:r>
        <w:r w:rsidR="003B7A6F" w:rsidRPr="00183B5F">
          <w:rPr>
            <w:szCs w:val="22"/>
          </w:rPr>
          <w:noBreakHyphen/>
          <w:delText>val kezelt betegek 1,8%</w:delText>
        </w:r>
        <w:r w:rsidR="003B7A6F" w:rsidRPr="00183B5F">
          <w:rPr>
            <w:szCs w:val="22"/>
          </w:rPr>
          <w:noBreakHyphen/>
        </w:r>
        <w:r w:rsidRPr="00183B5F">
          <w:rPr>
            <w:szCs w:val="22"/>
          </w:rPr>
          <w:delText xml:space="preserve">ánál, </w:delText>
        </w:r>
        <w:r w:rsidR="00CE76E2" w:rsidRPr="00183B5F">
          <w:rPr>
            <w:szCs w:val="22"/>
          </w:rPr>
          <w:delText xml:space="preserve">a </w:delText>
        </w:r>
        <w:r w:rsidRPr="00183B5F">
          <w:rPr>
            <w:szCs w:val="22"/>
          </w:rPr>
          <w:delText>kontroll</w:delText>
        </w:r>
        <w:r w:rsidR="000922A3" w:rsidRPr="00183B5F">
          <w:rPr>
            <w:szCs w:val="22"/>
          </w:rPr>
          <w:delText>-</w:delText>
        </w:r>
        <w:r w:rsidRPr="00183B5F">
          <w:rPr>
            <w:szCs w:val="22"/>
          </w:rPr>
          <w:delText>ke</w:delText>
        </w:r>
        <w:r w:rsidR="003B7A6F" w:rsidRPr="00183B5F">
          <w:rPr>
            <w:szCs w:val="22"/>
          </w:rPr>
          <w:delText>zelés mellett a betegek 1,8%</w:delText>
        </w:r>
        <w:r w:rsidR="003B7A6F" w:rsidRPr="00183B5F">
          <w:rPr>
            <w:szCs w:val="22"/>
          </w:rPr>
          <w:noBreakHyphen/>
        </w:r>
        <w:r w:rsidRPr="00183B5F">
          <w:rPr>
            <w:szCs w:val="22"/>
          </w:rPr>
          <w:delText>ánál fordult elő.</w:delText>
        </w:r>
      </w:del>
    </w:p>
    <w:p w14:paraId="4CE0F7B8" w14:textId="58B0A1AA" w:rsidR="00987E43" w:rsidRPr="00183B5F" w:rsidRDefault="00987E43" w:rsidP="004062FE">
      <w:pPr>
        <w:spacing w:line="240" w:lineRule="auto"/>
        <w:rPr>
          <w:del w:id="1415" w:author="AbbVie_HU_03" w:date="2025-05-14T15:27:00Z"/>
          <w:szCs w:val="22"/>
        </w:rPr>
      </w:pPr>
    </w:p>
    <w:p w14:paraId="6D8C3F35" w14:textId="3A138B4B" w:rsidR="00987E43" w:rsidRPr="00183B5F" w:rsidRDefault="00943743">
      <w:pPr>
        <w:spacing w:line="240" w:lineRule="auto"/>
        <w:rPr>
          <w:del w:id="1416" w:author="AbbVie_HU_03" w:date="2025-05-14T15:27:00Z"/>
          <w:szCs w:val="22"/>
        </w:rPr>
      </w:pPr>
      <w:del w:id="1417" w:author="AbbVie_HU_03" w:date="2025-05-14T15:27:00Z">
        <w:r w:rsidRPr="00183B5F">
          <w:rPr>
            <w:szCs w:val="22"/>
          </w:rPr>
          <w:delText>Plakkos psoriasisban szenvedő pediátriai betegeknél Humira</w:delText>
        </w:r>
        <w:r w:rsidR="00191DD8" w:rsidRPr="00183B5F">
          <w:rPr>
            <w:szCs w:val="22"/>
          </w:rPr>
          <w:noBreakHyphen/>
        </w:r>
        <w:r w:rsidRPr="00183B5F">
          <w:rPr>
            <w:szCs w:val="22"/>
          </w:rPr>
          <w:delText xml:space="preserve">val végzett </w:delText>
        </w:r>
        <w:r w:rsidR="00ED247D" w:rsidRPr="00183B5F">
          <w:rPr>
            <w:szCs w:val="22"/>
          </w:rPr>
          <w:delText>III. fázisú</w:delText>
        </w:r>
        <w:r w:rsidRPr="00183B5F">
          <w:rPr>
            <w:szCs w:val="22"/>
          </w:rPr>
          <w:delText xml:space="preserve"> vizsgálatok során nem fordult elő a </w:delText>
        </w:r>
        <w:r w:rsidR="00934342" w:rsidRPr="00183B5F">
          <w:rPr>
            <w:szCs w:val="22"/>
          </w:rPr>
          <w:delText>GPT</w:delText>
        </w:r>
        <w:r w:rsidR="00677908" w:rsidRPr="00183B5F">
          <w:rPr>
            <w:szCs w:val="22"/>
          </w:rPr>
          <w:delText xml:space="preserve"> (</w:delText>
        </w:r>
        <w:r w:rsidR="00934342" w:rsidRPr="00183B5F">
          <w:rPr>
            <w:szCs w:val="22"/>
          </w:rPr>
          <w:delText>ALAT</w:delText>
        </w:r>
        <w:r w:rsidR="00677908" w:rsidRPr="00183B5F">
          <w:rPr>
            <w:szCs w:val="22"/>
          </w:rPr>
          <w:delText>)-</w:delText>
        </w:r>
        <w:r w:rsidRPr="00183B5F">
          <w:rPr>
            <w:szCs w:val="22"/>
          </w:rPr>
          <w:delText>szint</w:delText>
        </w:r>
        <w:r w:rsidR="00600569" w:rsidRPr="00183B5F">
          <w:rPr>
            <w:szCs w:val="22"/>
          </w:rPr>
          <w:delText>nek a</w:delText>
        </w:r>
        <w:r w:rsidRPr="00183B5F">
          <w:rPr>
            <w:szCs w:val="22"/>
          </w:rPr>
          <w:delText xml:space="preserve"> normálérték felső határának ≥ 3</w:delText>
        </w:r>
        <w:r w:rsidRPr="00183B5F">
          <w:rPr>
            <w:szCs w:val="22"/>
          </w:rPr>
          <w:noBreakHyphen/>
          <w:delText xml:space="preserve">szorosára </w:delText>
        </w:r>
        <w:r w:rsidR="00600569" w:rsidRPr="00183B5F">
          <w:rPr>
            <w:szCs w:val="22"/>
          </w:rPr>
          <w:delText xml:space="preserve">való </w:delText>
        </w:r>
        <w:r w:rsidRPr="00183B5F">
          <w:rPr>
            <w:szCs w:val="22"/>
          </w:rPr>
          <w:delText>emelked</w:delText>
        </w:r>
        <w:r w:rsidR="00222175" w:rsidRPr="00183B5F">
          <w:rPr>
            <w:szCs w:val="22"/>
          </w:rPr>
          <w:delText>ése</w:delText>
        </w:r>
        <w:r w:rsidRPr="00183B5F">
          <w:rPr>
            <w:szCs w:val="22"/>
          </w:rPr>
          <w:delText>.</w:delText>
        </w:r>
      </w:del>
    </w:p>
    <w:p w14:paraId="3861CDA3" w14:textId="1AD3962A" w:rsidR="001777C7" w:rsidRPr="00183B5F" w:rsidRDefault="001777C7" w:rsidP="004062FE">
      <w:pPr>
        <w:spacing w:line="240" w:lineRule="auto"/>
        <w:rPr>
          <w:del w:id="1418" w:author="AbbVie_HU_03" w:date="2025-05-14T15:27:00Z"/>
          <w:szCs w:val="22"/>
        </w:rPr>
      </w:pPr>
    </w:p>
    <w:p w14:paraId="1B1AC9F2" w14:textId="566CD41E" w:rsidR="00016E66" w:rsidRPr="00183B5F" w:rsidRDefault="00943743" w:rsidP="004062FE">
      <w:pPr>
        <w:spacing w:line="240" w:lineRule="auto"/>
        <w:rPr>
          <w:del w:id="1419" w:author="AbbVie_HU_03" w:date="2025-05-14T15:27:00Z"/>
          <w:szCs w:val="22"/>
        </w:rPr>
      </w:pPr>
      <w:del w:id="1420" w:author="AbbVie_HU_03" w:date="2025-05-14T15:27:00Z">
        <w:r w:rsidRPr="00183B5F">
          <w:rPr>
            <w:szCs w:val="22"/>
          </w:rPr>
          <w:delText xml:space="preserve">Hidradenitis suppurativában szenvedő betegeknél </w:delText>
        </w:r>
        <w:r w:rsidR="00C541B1" w:rsidRPr="00183B5F">
          <w:rPr>
            <w:szCs w:val="22"/>
          </w:rPr>
          <w:delText xml:space="preserve">a </w:delText>
        </w:r>
        <w:r w:rsidRPr="00183B5F">
          <w:rPr>
            <w:szCs w:val="22"/>
          </w:rPr>
          <w:delText>Humira</w:delText>
        </w:r>
        <w:r w:rsidR="00191DD8" w:rsidRPr="00183B5F">
          <w:rPr>
            <w:szCs w:val="22"/>
          </w:rPr>
          <w:noBreakHyphen/>
        </w:r>
        <w:r w:rsidRPr="00183B5F">
          <w:rPr>
            <w:szCs w:val="22"/>
          </w:rPr>
          <w:delText xml:space="preserve">val </w:delText>
        </w:r>
        <w:r w:rsidR="00FA6EEF" w:rsidRPr="00183B5F">
          <w:rPr>
            <w:szCs w:val="22"/>
          </w:rPr>
          <w:delText>(kezdő dózis a 0. </w:delText>
        </w:r>
        <w:r w:rsidR="00B356D1" w:rsidRPr="00183B5F">
          <w:rPr>
            <w:szCs w:val="22"/>
          </w:rPr>
          <w:delText>h</w:delText>
        </w:r>
        <w:r w:rsidR="00FA6EEF" w:rsidRPr="00183B5F">
          <w:rPr>
            <w:szCs w:val="22"/>
          </w:rPr>
          <w:delText>éten 160 mg</w:delText>
        </w:r>
        <w:r w:rsidR="00B12F45" w:rsidRPr="00183B5F">
          <w:rPr>
            <w:szCs w:val="22"/>
          </w:rPr>
          <w:delText xml:space="preserve"> és </w:delText>
        </w:r>
        <w:r w:rsidR="00B356D1" w:rsidRPr="00183B5F">
          <w:rPr>
            <w:szCs w:val="22"/>
          </w:rPr>
          <w:delText xml:space="preserve">a 2. héten </w:delText>
        </w:r>
        <w:r w:rsidR="00B12F45" w:rsidRPr="00183B5F">
          <w:rPr>
            <w:szCs w:val="22"/>
          </w:rPr>
          <w:delText xml:space="preserve">80 mg, melyet </w:delText>
        </w:r>
        <w:r w:rsidR="007F00E9" w:rsidRPr="00183B5F">
          <w:rPr>
            <w:szCs w:val="22"/>
          </w:rPr>
          <w:delText xml:space="preserve">a 4. héttől kezdve </w:delText>
        </w:r>
        <w:r w:rsidR="00B12F45" w:rsidRPr="00183B5F">
          <w:rPr>
            <w:szCs w:val="22"/>
          </w:rPr>
          <w:delText xml:space="preserve">hetente 40 mg követ) </w:delText>
        </w:r>
        <w:r w:rsidRPr="00183B5F">
          <w:rPr>
            <w:szCs w:val="22"/>
          </w:rPr>
          <w:delText xml:space="preserve">végzett </w:delText>
        </w:r>
        <w:r w:rsidR="00575931" w:rsidRPr="00183B5F">
          <w:rPr>
            <w:szCs w:val="22"/>
          </w:rPr>
          <w:delText>kontroll</w:delText>
        </w:r>
        <w:r w:rsidR="007F00E9" w:rsidRPr="00183B5F">
          <w:rPr>
            <w:szCs w:val="22"/>
          </w:rPr>
          <w:delText>os</w:delText>
        </w:r>
        <w:r w:rsidR="00575931" w:rsidRPr="00183B5F">
          <w:rPr>
            <w:szCs w:val="22"/>
          </w:rPr>
          <w:delText xml:space="preserve"> vizsgálatokban</w:delText>
        </w:r>
        <w:r w:rsidR="00A14AC3" w:rsidRPr="00183B5F">
          <w:rPr>
            <w:szCs w:val="22"/>
          </w:rPr>
          <w:delText>, a</w:delText>
        </w:r>
        <w:r w:rsidR="00575931" w:rsidRPr="00183B5F">
          <w:rPr>
            <w:szCs w:val="22"/>
          </w:rPr>
          <w:delText xml:space="preserve"> </w:delText>
        </w:r>
        <w:r w:rsidR="00A14AC3" w:rsidRPr="00183B5F">
          <w:rPr>
            <w:szCs w:val="22"/>
          </w:rPr>
          <w:delText>12</w:delText>
        </w:r>
        <w:r w:rsidR="00A14AC3" w:rsidRPr="00183B5F">
          <w:rPr>
            <w:szCs w:val="22"/>
          </w:rPr>
          <w:noBreakHyphen/>
          <w:delText xml:space="preserve">16 hetes kontrollperiódusban </w:delText>
        </w:r>
        <w:r w:rsidR="00575931" w:rsidRPr="00183B5F">
          <w:rPr>
            <w:szCs w:val="22"/>
          </w:rPr>
          <w:delText xml:space="preserve">a </w:delText>
        </w:r>
        <w:r w:rsidR="00934342" w:rsidRPr="00183B5F">
          <w:rPr>
            <w:szCs w:val="22"/>
          </w:rPr>
          <w:delText xml:space="preserve">GPT </w:delText>
        </w:r>
        <w:r w:rsidR="00677908" w:rsidRPr="00183B5F">
          <w:rPr>
            <w:szCs w:val="22"/>
          </w:rPr>
          <w:delText>(</w:delText>
        </w:r>
        <w:r w:rsidR="00934342" w:rsidRPr="00183B5F">
          <w:rPr>
            <w:szCs w:val="22"/>
          </w:rPr>
          <w:delText>ALAT</w:delText>
        </w:r>
        <w:r w:rsidR="00677908" w:rsidRPr="00183B5F">
          <w:rPr>
            <w:szCs w:val="22"/>
          </w:rPr>
          <w:delText>)-</w:delText>
        </w:r>
        <w:r w:rsidR="00C24D84" w:rsidRPr="00183B5F">
          <w:rPr>
            <w:szCs w:val="22"/>
          </w:rPr>
          <w:delText>szint</w:delText>
        </w:r>
        <w:r w:rsidR="00575931" w:rsidRPr="00183B5F">
          <w:rPr>
            <w:szCs w:val="22"/>
          </w:rPr>
          <w:delText xml:space="preserve"> normálérték felső határának ≥ 3</w:delText>
        </w:r>
        <w:r w:rsidR="00575931" w:rsidRPr="00183B5F">
          <w:rPr>
            <w:szCs w:val="22"/>
          </w:rPr>
          <w:noBreakHyphen/>
          <w:delText>szorosára történő emelkedése a Humira</w:delText>
        </w:r>
        <w:r w:rsidR="00575931" w:rsidRPr="00183B5F">
          <w:rPr>
            <w:szCs w:val="22"/>
          </w:rPr>
          <w:noBreakHyphen/>
          <w:delText>val kezelt betegek 0,3%</w:delText>
        </w:r>
        <w:r w:rsidR="00575931" w:rsidRPr="00183B5F">
          <w:rPr>
            <w:szCs w:val="22"/>
          </w:rPr>
          <w:noBreakHyphen/>
          <w:delText xml:space="preserve">ánál, </w:delText>
        </w:r>
        <w:r w:rsidR="00033CA2" w:rsidRPr="00183B5F">
          <w:rPr>
            <w:szCs w:val="22"/>
          </w:rPr>
          <w:delText xml:space="preserve">míg a </w:delText>
        </w:r>
        <w:r w:rsidR="00575931" w:rsidRPr="00183B5F">
          <w:rPr>
            <w:szCs w:val="22"/>
          </w:rPr>
          <w:delText>kontroll</w:delText>
        </w:r>
        <w:r w:rsidR="00033CA2" w:rsidRPr="00183B5F">
          <w:rPr>
            <w:szCs w:val="22"/>
          </w:rPr>
          <w:delText>al</w:delText>
        </w:r>
        <w:r w:rsidR="00575931" w:rsidRPr="00183B5F">
          <w:rPr>
            <w:szCs w:val="22"/>
          </w:rPr>
          <w:delText xml:space="preserve"> kezel</w:delText>
        </w:r>
        <w:r w:rsidR="00033CA2" w:rsidRPr="00183B5F">
          <w:rPr>
            <w:szCs w:val="22"/>
          </w:rPr>
          <w:delText>t</w:delText>
        </w:r>
        <w:r w:rsidR="00575931" w:rsidRPr="00183B5F">
          <w:rPr>
            <w:szCs w:val="22"/>
          </w:rPr>
          <w:delText xml:space="preserve"> betegek 0,6%</w:delText>
        </w:r>
        <w:r w:rsidR="00575931" w:rsidRPr="00183B5F">
          <w:rPr>
            <w:szCs w:val="22"/>
          </w:rPr>
          <w:noBreakHyphen/>
          <w:delText>ánál fordult elő.</w:delText>
        </w:r>
      </w:del>
    </w:p>
    <w:p w14:paraId="6DC219AF" w14:textId="28126D73" w:rsidR="00822DD6" w:rsidRPr="00183B5F" w:rsidRDefault="00822DD6" w:rsidP="004062FE">
      <w:pPr>
        <w:spacing w:line="240" w:lineRule="auto"/>
        <w:rPr>
          <w:del w:id="1421" w:author="AbbVie_HU_03" w:date="2025-05-14T15:27:00Z"/>
          <w:szCs w:val="22"/>
        </w:rPr>
      </w:pPr>
    </w:p>
    <w:p w14:paraId="4A60476F" w14:textId="6E1503DA" w:rsidR="00822DD6" w:rsidRPr="00183B5F" w:rsidRDefault="00943743" w:rsidP="004062FE">
      <w:pPr>
        <w:spacing w:line="240" w:lineRule="auto"/>
        <w:rPr>
          <w:del w:id="1422" w:author="AbbVie_HU_03" w:date="2025-05-14T15:27:00Z"/>
          <w:szCs w:val="22"/>
        </w:rPr>
      </w:pPr>
      <w:del w:id="1423" w:author="AbbVie_HU_03" w:date="2025-05-14T15:27:00Z">
        <w:r w:rsidRPr="00183B5F">
          <w:rPr>
            <w:szCs w:val="22"/>
          </w:rPr>
          <w:delText xml:space="preserve">Uveitisben szenvedő </w:delText>
        </w:r>
        <w:r w:rsidR="001B24BF" w:rsidRPr="00183B5F">
          <w:rPr>
            <w:szCs w:val="22"/>
          </w:rPr>
          <w:delText xml:space="preserve">felnőtt </w:delText>
        </w:r>
        <w:r w:rsidRPr="00183B5F">
          <w:rPr>
            <w:szCs w:val="22"/>
          </w:rPr>
          <w:delText>betegeknél a Humira</w:delText>
        </w:r>
        <w:r w:rsidR="003B3C18" w:rsidRPr="00183B5F">
          <w:rPr>
            <w:szCs w:val="22"/>
          </w:rPr>
          <w:noBreakHyphen/>
        </w:r>
        <w:r w:rsidRPr="00183B5F">
          <w:rPr>
            <w:szCs w:val="22"/>
          </w:rPr>
          <w:delText>val (kezdő dózis a 0. héten 80 mg, melyet az 1. héttől kezdve minden második héten adott 40 mg követett) végzett, 80 hétig tartó kontrollos vizsgálatokban, a Humira</w:delText>
        </w:r>
        <w:r w:rsidRPr="00183B5F">
          <w:rPr>
            <w:szCs w:val="22"/>
          </w:rPr>
          <w:noBreakHyphen/>
          <w:delText xml:space="preserve">val kezelt betegeknél 166,5 nap, a kontrollcsoportnál 105 nap medián expozíciós idő esetén, a </w:delText>
        </w:r>
        <w:r w:rsidR="00934342" w:rsidRPr="00183B5F">
          <w:rPr>
            <w:szCs w:val="22"/>
          </w:rPr>
          <w:delText xml:space="preserve">GPT </w:delText>
        </w:r>
        <w:r w:rsidR="00677908" w:rsidRPr="00183B5F">
          <w:rPr>
            <w:szCs w:val="22"/>
          </w:rPr>
          <w:delText>(</w:delText>
        </w:r>
        <w:r w:rsidR="00934342" w:rsidRPr="00183B5F">
          <w:rPr>
            <w:szCs w:val="22"/>
          </w:rPr>
          <w:delText>ALAT</w:delText>
        </w:r>
        <w:r w:rsidR="00677908" w:rsidRPr="00183B5F">
          <w:rPr>
            <w:szCs w:val="22"/>
          </w:rPr>
          <w:delText>)-</w:delText>
        </w:r>
        <w:r w:rsidRPr="00183B5F">
          <w:rPr>
            <w:szCs w:val="22"/>
          </w:rPr>
          <w:delText>szint normálérték felső határának ≥ 3</w:delText>
        </w:r>
        <w:r w:rsidRPr="00183B5F">
          <w:rPr>
            <w:szCs w:val="22"/>
          </w:rPr>
          <w:noBreakHyphen/>
          <w:delText>szorosára való emelkedése a Humira</w:delText>
        </w:r>
        <w:r w:rsidRPr="00183B5F">
          <w:rPr>
            <w:szCs w:val="22"/>
          </w:rPr>
          <w:noBreakHyphen/>
          <w:delText>val kezelt betegek 2,4%</w:delText>
        </w:r>
        <w:r w:rsidRPr="00183B5F">
          <w:rPr>
            <w:szCs w:val="22"/>
          </w:rPr>
          <w:noBreakHyphen/>
          <w:delText>ánál, a kontrollkezelés mellett a betegek 2,4%</w:delText>
        </w:r>
        <w:r w:rsidRPr="00183B5F">
          <w:rPr>
            <w:szCs w:val="22"/>
          </w:rPr>
          <w:noBreakHyphen/>
          <w:delText>ánál fordult elő.</w:delText>
        </w:r>
      </w:del>
    </w:p>
    <w:p w14:paraId="6AA146B6" w14:textId="3741A716" w:rsidR="00106CEA" w:rsidRPr="00183B5F" w:rsidRDefault="00106CEA" w:rsidP="00557B72">
      <w:pPr>
        <w:spacing w:line="240" w:lineRule="auto"/>
        <w:rPr>
          <w:del w:id="1424" w:author="AbbVie_HU_03" w:date="2025-05-14T15:27:00Z"/>
          <w:rStyle w:val="normaltextrun"/>
          <w:shd w:val="clear" w:color="auto" w:fill="FFFFFF"/>
        </w:rPr>
      </w:pPr>
      <w:bookmarkStart w:id="1425" w:name="_Hlk53159073"/>
    </w:p>
    <w:p w14:paraId="4822A8B5" w14:textId="74E4147F" w:rsidR="002A6D4E" w:rsidRPr="00183B5F" w:rsidRDefault="00943743" w:rsidP="00FC288C">
      <w:pPr>
        <w:rPr>
          <w:del w:id="1426" w:author="AbbVie_HU_03" w:date="2025-05-14T15:27:00Z"/>
          <w:rStyle w:val="normaltextrun"/>
        </w:rPr>
      </w:pPr>
      <w:bookmarkStart w:id="1427" w:name="_Hlk53159428"/>
      <w:del w:id="1428" w:author="AbbVie_HU_03" w:date="2025-05-14T15:27:00Z">
        <w:r w:rsidRPr="00183B5F">
          <w:rPr>
            <w:shd w:val="clear" w:color="auto" w:fill="FFFFFF"/>
          </w:rPr>
          <w:delText>Egy gyermek</w:delText>
        </w:r>
        <w:r w:rsidR="00676FB3" w:rsidRPr="00183B5F">
          <w:rPr>
            <w:shd w:val="clear" w:color="auto" w:fill="FFFFFF"/>
          </w:rPr>
          <w:delText>- és serdülő</w:delText>
        </w:r>
        <w:r w:rsidRPr="00183B5F">
          <w:rPr>
            <w:shd w:val="clear" w:color="auto" w:fill="FFFFFF"/>
          </w:rPr>
          <w:delText>kori colitis ulcerosában szenvedő betegek körében (N=93) Humira</w:delText>
        </w:r>
        <w:r w:rsidRPr="00183B5F">
          <w:rPr>
            <w:shd w:val="clear" w:color="auto" w:fill="FFFFFF"/>
          </w:rPr>
          <w:noBreakHyphen/>
          <w:delText>val végzett, kontrollált fázis</w:delText>
        </w:r>
        <w:r w:rsidR="00C828A0" w:rsidRPr="00183B5F">
          <w:rPr>
            <w:shd w:val="clear" w:color="auto" w:fill="FFFFFF"/>
          </w:rPr>
          <w:delText xml:space="preserve"> III.</w:delText>
        </w:r>
        <w:r w:rsidRPr="00183B5F">
          <w:rPr>
            <w:shd w:val="clear" w:color="auto" w:fill="FFFFFF"/>
          </w:rPr>
          <w:delText xml:space="preserve"> vizsgálatban a következő adagolási sémák hatásosságát és biztonságosságát értékelték: a 0. és 1. héten a testtömeghez igazított 2,4 mg/ttkg (legfeljebb 160 mg), és a 2. héten 1,2 mg/ttkg (legfeljebb 80 mg) indukciós dózis (N=63), vagy a 0. héten 2,4 mg/ttkg (legfeljebb 160 mg), az 1. héten placebo, a 2. héten 1,2 mg/ttkg (legfeljebb 80 mg) indukciós dózis (N=30), amit minden második héten adott 0,6 mg/ttkg (l</w:delText>
        </w:r>
        <w:r w:rsidRPr="00183B5F">
          <w:rPr>
            <w:shd w:val="clear" w:color="auto" w:fill="FFFFFF"/>
          </w:rPr>
          <w:delText>egfeljebb 40 mg) fenntartó dózis (N=31), vagy hetente adott 0,6 mg/ttkg (legfeljebb 40 mg) fenntartó dózis (N=32) követ. A fenti dózisok mellett a betegek 1,1%</w:delText>
        </w:r>
        <w:r w:rsidRPr="00183B5F">
          <w:rPr>
            <w:shd w:val="clear" w:color="auto" w:fill="FFFFFF"/>
          </w:rPr>
          <w:noBreakHyphen/>
          <w:delText xml:space="preserve">ánál (1/93) az ALAT a </w:delText>
        </w:r>
        <w:r w:rsidRPr="00183B5F">
          <w:delText>normálérték felső határának ≥ 3</w:delText>
        </w:r>
        <w:r w:rsidRPr="00183B5F">
          <w:noBreakHyphen/>
          <w:delText>szorosára emelkedett.</w:delText>
        </w:r>
      </w:del>
    </w:p>
    <w:bookmarkEnd w:id="1427"/>
    <w:p w14:paraId="74AEF381" w14:textId="6CF34059" w:rsidR="00557B72" w:rsidRPr="00183B5F" w:rsidRDefault="00557B72" w:rsidP="004062FE">
      <w:pPr>
        <w:spacing w:line="240" w:lineRule="auto"/>
        <w:rPr>
          <w:del w:id="1429" w:author="AbbVie_HU_03" w:date="2025-05-14T15:27:00Z"/>
          <w:szCs w:val="22"/>
        </w:rPr>
      </w:pPr>
    </w:p>
    <w:bookmarkEnd w:id="1425"/>
    <w:p w14:paraId="76C08E33" w14:textId="5668AB05" w:rsidR="00CF5C88" w:rsidRPr="00183B5F" w:rsidRDefault="00943743" w:rsidP="004062FE">
      <w:pPr>
        <w:spacing w:line="240" w:lineRule="auto"/>
        <w:rPr>
          <w:del w:id="1430" w:author="AbbVie_HU_03" w:date="2025-05-14T15:27:00Z"/>
          <w:szCs w:val="22"/>
        </w:rPr>
      </w:pPr>
      <w:del w:id="1431" w:author="AbbVie_HU_03" w:date="2025-05-14T15:27:00Z">
        <w:r w:rsidRPr="00183B5F">
          <w:rPr>
            <w:szCs w:val="22"/>
          </w:rPr>
          <w:delText xml:space="preserve">A klinikai vizsgálatokban a magasabb </w:delText>
        </w:r>
        <w:r w:rsidR="000258FB" w:rsidRPr="00183B5F">
          <w:rPr>
            <w:szCs w:val="22"/>
          </w:rPr>
          <w:delText xml:space="preserve">GPT </w:delText>
        </w:r>
        <w:r w:rsidR="00677908" w:rsidRPr="00183B5F">
          <w:rPr>
            <w:szCs w:val="22"/>
          </w:rPr>
          <w:delText>(</w:delText>
        </w:r>
        <w:r w:rsidR="00934342" w:rsidRPr="00183B5F">
          <w:rPr>
            <w:szCs w:val="22"/>
          </w:rPr>
          <w:delText>ALAT</w:delText>
        </w:r>
        <w:r w:rsidR="00677908" w:rsidRPr="00183B5F">
          <w:rPr>
            <w:szCs w:val="22"/>
          </w:rPr>
          <w:delText>)-</w:delText>
        </w:r>
        <w:r w:rsidR="00C24D84" w:rsidRPr="00183B5F">
          <w:rPr>
            <w:szCs w:val="22"/>
          </w:rPr>
          <w:delText>szintű</w:delText>
        </w:r>
        <w:r w:rsidRPr="00183B5F">
          <w:rPr>
            <w:szCs w:val="22"/>
          </w:rPr>
          <w:delText xml:space="preserve"> betegek tünetme</w:delText>
        </w:r>
        <w:r w:rsidR="00FB2C3C" w:rsidRPr="00183B5F">
          <w:rPr>
            <w:szCs w:val="22"/>
          </w:rPr>
          <w:delText>n</w:delText>
        </w:r>
        <w:r w:rsidRPr="00183B5F">
          <w:rPr>
            <w:szCs w:val="22"/>
          </w:rPr>
          <w:delText>tesek voltak valamennyi indikációban. Az esetek többségében az emelkedés átmeneti volt</w:delText>
        </w:r>
        <w:r w:rsidR="00CB3161" w:rsidRPr="00183B5F">
          <w:rPr>
            <w:szCs w:val="22"/>
          </w:rPr>
          <w:delText>,</w:delText>
        </w:r>
        <w:r w:rsidRPr="00183B5F">
          <w:rPr>
            <w:szCs w:val="22"/>
          </w:rPr>
          <w:delText xml:space="preserve"> és a kezelés folytatása mellett</w:delText>
        </w:r>
        <w:r w:rsidR="00CB3161" w:rsidRPr="00183B5F">
          <w:rPr>
            <w:szCs w:val="22"/>
          </w:rPr>
          <w:delText xml:space="preserve"> megszűnt</w:delText>
        </w:r>
        <w:r w:rsidRPr="00183B5F">
          <w:rPr>
            <w:szCs w:val="22"/>
          </w:rPr>
          <w:delText>.</w:delText>
        </w:r>
        <w:r w:rsidR="00CB3161" w:rsidRPr="00183B5F">
          <w:rPr>
            <w:szCs w:val="22"/>
          </w:rPr>
          <w:delText xml:space="preserve"> </w:delText>
        </w:r>
        <w:r w:rsidR="00AE3EE1" w:rsidRPr="00183B5F">
          <w:rPr>
            <w:szCs w:val="22"/>
          </w:rPr>
          <w:delText>A forgalomba hozatalt követően</w:delText>
        </w:r>
        <w:r w:rsidR="004A6AFA" w:rsidRPr="00183B5F">
          <w:rPr>
            <w:szCs w:val="22"/>
          </w:rPr>
          <w:delText xml:space="preserve"> </w:delText>
        </w:r>
        <w:r w:rsidRPr="00183B5F">
          <w:rPr>
            <w:szCs w:val="22"/>
          </w:rPr>
          <w:delText>is beszámoltak májelégtelenségről és kevésbé súlyos</w:delText>
        </w:r>
        <w:r w:rsidR="00CB3161" w:rsidRPr="00183B5F">
          <w:rPr>
            <w:szCs w:val="22"/>
          </w:rPr>
          <w:delText>, olyan</w:delText>
        </w:r>
        <w:r w:rsidRPr="00183B5F">
          <w:rPr>
            <w:szCs w:val="22"/>
          </w:rPr>
          <w:delText xml:space="preserve"> májbetegségekről</w:delText>
        </w:r>
        <w:r w:rsidR="00CB3161" w:rsidRPr="00183B5F">
          <w:rPr>
            <w:szCs w:val="22"/>
          </w:rPr>
          <w:delText xml:space="preserve"> is</w:delText>
        </w:r>
        <w:r w:rsidRPr="00183B5F">
          <w:rPr>
            <w:szCs w:val="22"/>
          </w:rPr>
          <w:delText>, am</w:delText>
        </w:r>
        <w:r w:rsidR="00CB3161" w:rsidRPr="00183B5F">
          <w:rPr>
            <w:szCs w:val="22"/>
          </w:rPr>
          <w:delText>elye</w:delText>
        </w:r>
        <w:r w:rsidRPr="00183B5F">
          <w:rPr>
            <w:szCs w:val="22"/>
          </w:rPr>
          <w:delText xml:space="preserve">k </w:delText>
        </w:r>
        <w:r w:rsidR="00CB3161" w:rsidRPr="00183B5F">
          <w:rPr>
            <w:szCs w:val="22"/>
          </w:rPr>
          <w:delText xml:space="preserve">megelőzhetik </w:delText>
        </w:r>
        <w:r w:rsidRPr="00183B5F">
          <w:rPr>
            <w:szCs w:val="22"/>
          </w:rPr>
          <w:delText>a májelégtelenséget, mint p</w:delText>
        </w:r>
        <w:r w:rsidR="00635602" w:rsidRPr="00183B5F">
          <w:rPr>
            <w:szCs w:val="22"/>
          </w:rPr>
          <w:delText>é</w:delText>
        </w:r>
        <w:r w:rsidRPr="00183B5F">
          <w:rPr>
            <w:szCs w:val="22"/>
          </w:rPr>
          <w:delText>l</w:delText>
        </w:r>
        <w:r w:rsidR="00635602" w:rsidRPr="00183B5F">
          <w:rPr>
            <w:szCs w:val="22"/>
          </w:rPr>
          <w:delText>dául</w:delText>
        </w:r>
        <w:r w:rsidRPr="00183B5F">
          <w:rPr>
            <w:szCs w:val="22"/>
          </w:rPr>
          <w:delText xml:space="preserve"> </w:delText>
        </w:r>
        <w:r w:rsidR="00CB3161" w:rsidRPr="00183B5F">
          <w:rPr>
            <w:szCs w:val="22"/>
          </w:rPr>
          <w:delText xml:space="preserve">a </w:delText>
        </w:r>
        <w:r w:rsidRPr="00183B5F">
          <w:rPr>
            <w:szCs w:val="22"/>
          </w:rPr>
          <w:delText xml:space="preserve">hepatitis, </w:delText>
        </w:r>
        <w:r w:rsidR="00CB3161" w:rsidRPr="00183B5F">
          <w:rPr>
            <w:szCs w:val="22"/>
          </w:rPr>
          <w:delText>beleértve az</w:delText>
        </w:r>
        <w:r w:rsidR="002C1F66" w:rsidRPr="00183B5F">
          <w:rPr>
            <w:szCs w:val="22"/>
          </w:rPr>
          <w:delText xml:space="preserve"> autoimmun </w:delText>
        </w:r>
        <w:r w:rsidR="00CB3161" w:rsidRPr="00183B5F">
          <w:rPr>
            <w:szCs w:val="22"/>
          </w:rPr>
          <w:delText>hepatitist</w:delText>
        </w:r>
        <w:r w:rsidR="00C938A2" w:rsidRPr="00183B5F">
          <w:rPr>
            <w:szCs w:val="22"/>
          </w:rPr>
          <w:delText xml:space="preserve"> </w:delText>
        </w:r>
        <w:r w:rsidRPr="00183B5F">
          <w:rPr>
            <w:szCs w:val="22"/>
          </w:rPr>
          <w:delText xml:space="preserve">az </w:delText>
        </w:r>
        <w:r w:rsidR="002C1F66" w:rsidRPr="00183B5F">
          <w:rPr>
            <w:szCs w:val="22"/>
          </w:rPr>
          <w:delText>adalimumabbal kezelt betegeknél.</w:delText>
        </w:r>
      </w:del>
    </w:p>
    <w:p w14:paraId="541C41EC" w14:textId="0875BB0F" w:rsidR="001777C7" w:rsidRPr="00183B5F" w:rsidRDefault="001777C7" w:rsidP="004062FE">
      <w:pPr>
        <w:spacing w:line="240" w:lineRule="auto"/>
        <w:rPr>
          <w:del w:id="1432" w:author="AbbVie_HU_03" w:date="2025-05-14T15:27:00Z"/>
          <w:szCs w:val="22"/>
        </w:rPr>
      </w:pPr>
    </w:p>
    <w:p w14:paraId="5B19DD44" w14:textId="573D7577" w:rsidR="00CF5C88" w:rsidRPr="00183B5F" w:rsidRDefault="00943743" w:rsidP="00FE0197">
      <w:pPr>
        <w:keepNext/>
        <w:spacing w:line="240" w:lineRule="auto"/>
        <w:rPr>
          <w:del w:id="1433" w:author="AbbVie_HU_03" w:date="2025-05-14T15:27:00Z"/>
          <w:szCs w:val="22"/>
          <w:u w:val="single"/>
        </w:rPr>
      </w:pPr>
      <w:del w:id="1434" w:author="AbbVie_HU_03" w:date="2025-05-14T15:27:00Z">
        <w:r w:rsidRPr="00183B5F">
          <w:rPr>
            <w:szCs w:val="22"/>
            <w:u w:val="single"/>
          </w:rPr>
          <w:delText>Egyidejű azatioprin/6</w:delText>
        </w:r>
        <w:r w:rsidR="002B03EB" w:rsidRPr="00183B5F">
          <w:rPr>
            <w:szCs w:val="22"/>
            <w:u w:val="single"/>
          </w:rPr>
          <w:noBreakHyphen/>
        </w:r>
        <w:r w:rsidRPr="00183B5F">
          <w:rPr>
            <w:szCs w:val="22"/>
            <w:u w:val="single"/>
          </w:rPr>
          <w:delText>merkaptopurin</w:delText>
        </w:r>
        <w:r w:rsidR="00714FE6" w:rsidRPr="00183B5F">
          <w:rPr>
            <w:szCs w:val="22"/>
            <w:u w:val="single"/>
          </w:rPr>
          <w:delText>-</w:delText>
        </w:r>
        <w:r w:rsidRPr="00183B5F">
          <w:rPr>
            <w:szCs w:val="22"/>
            <w:u w:val="single"/>
          </w:rPr>
          <w:delText>kezelés</w:delText>
        </w:r>
      </w:del>
    </w:p>
    <w:p w14:paraId="0A4A4E13" w14:textId="6BD0329D" w:rsidR="00CF5C88" w:rsidRPr="00183B5F" w:rsidRDefault="00CF5C88" w:rsidP="004062FE">
      <w:pPr>
        <w:spacing w:line="240" w:lineRule="auto"/>
        <w:rPr>
          <w:del w:id="1435" w:author="AbbVie_HU_03" w:date="2025-05-14T15:27:00Z"/>
          <w:szCs w:val="22"/>
        </w:rPr>
      </w:pPr>
    </w:p>
    <w:p w14:paraId="5FA1F69B" w14:textId="2628BBE2" w:rsidR="00CF5C88" w:rsidRPr="00183B5F" w:rsidRDefault="00943743" w:rsidP="004062FE">
      <w:pPr>
        <w:spacing w:line="240" w:lineRule="auto"/>
        <w:rPr>
          <w:del w:id="1436" w:author="AbbVie_HU_03" w:date="2025-05-14T15:27:00Z"/>
          <w:szCs w:val="22"/>
        </w:rPr>
      </w:pPr>
      <w:del w:id="1437" w:author="AbbVie_HU_03" w:date="2025-05-14T15:27:00Z">
        <w:r w:rsidRPr="00183B5F">
          <w:rPr>
            <w:szCs w:val="22"/>
          </w:rPr>
          <w:delText>Felnőtt</w:delText>
        </w:r>
        <w:r w:rsidR="00611006" w:rsidRPr="00183B5F">
          <w:rPr>
            <w:szCs w:val="22"/>
          </w:rPr>
          <w:delText>kori</w:delText>
        </w:r>
        <w:r w:rsidRPr="00183B5F">
          <w:rPr>
            <w:szCs w:val="22"/>
          </w:rPr>
          <w:delText xml:space="preserve"> Crohn</w:delText>
        </w:r>
        <w:r w:rsidR="008638B7" w:rsidRPr="00183B5F">
          <w:rPr>
            <w:szCs w:val="22"/>
          </w:rPr>
          <w:noBreakHyphen/>
        </w:r>
        <w:r w:rsidRPr="00183B5F">
          <w:rPr>
            <w:szCs w:val="22"/>
          </w:rPr>
          <w:delText xml:space="preserve">betegségben végzett vizsgálatok során a rosszindulatú </w:delText>
        </w:r>
        <w:r w:rsidR="00611006" w:rsidRPr="00183B5F">
          <w:rPr>
            <w:szCs w:val="22"/>
          </w:rPr>
          <w:delText>daganatokkal</w:delText>
        </w:r>
        <w:r w:rsidRPr="00183B5F">
          <w:rPr>
            <w:szCs w:val="22"/>
          </w:rPr>
          <w:delText xml:space="preserve"> és súlyos fertőzésekkel kapcsolatos nemkívánatos események nagyobb gyakoriságát észlelt</w:delText>
        </w:r>
        <w:r w:rsidR="006B185F" w:rsidRPr="00183B5F">
          <w:rPr>
            <w:szCs w:val="22"/>
          </w:rPr>
          <w:delText>é</w:delText>
        </w:r>
        <w:r w:rsidRPr="00183B5F">
          <w:rPr>
            <w:szCs w:val="22"/>
          </w:rPr>
          <w:delText>k Humira és azatioprin/6</w:delText>
        </w:r>
        <w:r w:rsidR="002B03EB" w:rsidRPr="00183B5F">
          <w:rPr>
            <w:szCs w:val="22"/>
          </w:rPr>
          <w:noBreakHyphen/>
        </w:r>
        <w:r w:rsidRPr="00183B5F">
          <w:rPr>
            <w:szCs w:val="22"/>
          </w:rPr>
          <w:delText>merkaptopurin kombinációs kezelés során</w:delText>
        </w:r>
        <w:r w:rsidR="006B185F" w:rsidRPr="00183B5F">
          <w:rPr>
            <w:szCs w:val="22"/>
          </w:rPr>
          <w:delText>, mint</w:delText>
        </w:r>
        <w:r w:rsidRPr="00183B5F">
          <w:rPr>
            <w:szCs w:val="22"/>
          </w:rPr>
          <w:delText xml:space="preserve"> az önmagában adott Humira</w:delText>
        </w:r>
        <w:r w:rsidR="002B03EB" w:rsidRPr="00183B5F">
          <w:rPr>
            <w:szCs w:val="22"/>
          </w:rPr>
          <w:noBreakHyphen/>
        </w:r>
        <w:r w:rsidRPr="00183B5F">
          <w:rPr>
            <w:szCs w:val="22"/>
          </w:rPr>
          <w:delText>kezelés</w:delText>
        </w:r>
        <w:r w:rsidR="005D3930" w:rsidRPr="00183B5F">
          <w:rPr>
            <w:szCs w:val="22"/>
          </w:rPr>
          <w:delText xml:space="preserve"> esetén</w:delText>
        </w:r>
        <w:r w:rsidRPr="00183B5F">
          <w:rPr>
            <w:szCs w:val="22"/>
          </w:rPr>
          <w:delText>.</w:delText>
        </w:r>
      </w:del>
    </w:p>
    <w:p w14:paraId="637E91FE" w14:textId="03BC9244" w:rsidR="003F49C3" w:rsidRPr="00183B5F" w:rsidRDefault="003F49C3">
      <w:pPr>
        <w:pStyle w:val="EMEANormal"/>
        <w:suppressAutoHyphens w:val="0"/>
        <w:rPr>
          <w:del w:id="1438" w:author="AbbVie_HU_03" w:date="2025-05-14T15:27:00Z"/>
          <w:szCs w:val="22"/>
          <w:lang w:val="hu-HU"/>
        </w:rPr>
      </w:pPr>
    </w:p>
    <w:p w14:paraId="09B39684" w14:textId="6D404A71" w:rsidR="00317E80" w:rsidRPr="00183B5F" w:rsidRDefault="00943743">
      <w:pPr>
        <w:spacing w:line="240" w:lineRule="auto"/>
        <w:rPr>
          <w:del w:id="1439" w:author="AbbVie_HU_03" w:date="2025-05-14T15:27:00Z"/>
          <w:szCs w:val="22"/>
          <w:u w:val="single"/>
        </w:rPr>
      </w:pPr>
      <w:del w:id="1440" w:author="AbbVie_HU_03" w:date="2025-05-14T15:27:00Z">
        <w:r w:rsidRPr="00183B5F">
          <w:rPr>
            <w:szCs w:val="22"/>
            <w:u w:val="single"/>
          </w:rPr>
          <w:delText>Feltételezett mellékhatások bejelentése</w:delText>
        </w:r>
      </w:del>
    </w:p>
    <w:p w14:paraId="49A2063E" w14:textId="5674B96D" w:rsidR="00317E80" w:rsidRPr="00183B5F" w:rsidRDefault="00317E80">
      <w:pPr>
        <w:spacing w:line="240" w:lineRule="auto"/>
        <w:rPr>
          <w:del w:id="1441" w:author="AbbVie_HU_03" w:date="2025-05-14T15:27:00Z"/>
          <w:szCs w:val="22"/>
          <w:u w:val="single"/>
        </w:rPr>
      </w:pPr>
    </w:p>
    <w:p w14:paraId="67D64C84" w14:textId="4B1F77E9" w:rsidR="00317E80" w:rsidRPr="00183B5F" w:rsidRDefault="00943743">
      <w:pPr>
        <w:spacing w:line="240" w:lineRule="auto"/>
        <w:rPr>
          <w:del w:id="1442" w:author="AbbVie_HU_03" w:date="2025-05-14T15:27:00Z"/>
          <w:szCs w:val="22"/>
        </w:rPr>
      </w:pPr>
      <w:del w:id="1443" w:author="AbbVie_HU_03" w:date="2025-05-14T15:27:00Z">
        <w:r w:rsidRPr="00183B5F">
          <w:rPr>
            <w:szCs w:val="22"/>
          </w:rPr>
          <w:delTex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delText>
        </w:r>
        <w:r w:rsidR="006F459E">
          <w:fldChar w:fldCharType="begin"/>
        </w:r>
        <w:r w:rsidR="006F459E">
          <w:delInstrText>HYPERLINK "http://www.ema.europa.eu/docs/en_GB/document_library/Template_or_form/2013/03/WC500139752.doc"</w:delInstrText>
        </w:r>
        <w:r w:rsidR="006F459E">
          <w:fldChar w:fldCharType="separate"/>
        </w:r>
        <w:r w:rsidR="006F459E" w:rsidRPr="00183B5F">
          <w:rPr>
            <w:rStyle w:val="Hyperlink"/>
            <w:highlight w:val="lightGray"/>
          </w:rPr>
          <w:delText>V. függelékben</w:delText>
        </w:r>
        <w:r w:rsidR="006F459E">
          <w:fldChar w:fldCharType="end"/>
        </w:r>
        <w:r w:rsidR="006F459E" w:rsidRPr="00183B5F">
          <w:rPr>
            <w:highlight w:val="lightGray"/>
          </w:rPr>
          <w:delText xml:space="preserve"> található elérhetőségek valamelyikén keresztül</w:delText>
        </w:r>
        <w:r w:rsidRPr="00183B5F">
          <w:rPr>
            <w:szCs w:val="22"/>
          </w:rPr>
          <w:delText>.</w:delText>
        </w:r>
      </w:del>
    </w:p>
    <w:p w14:paraId="2342558C" w14:textId="1147FB11" w:rsidR="00317E80" w:rsidRPr="00183B5F" w:rsidRDefault="00317E80">
      <w:pPr>
        <w:pStyle w:val="EMEANormal"/>
        <w:suppressAutoHyphens w:val="0"/>
        <w:rPr>
          <w:del w:id="1444" w:author="AbbVie_HU_03" w:date="2025-05-14T15:27:00Z"/>
          <w:szCs w:val="22"/>
          <w:lang w:val="hu-HU"/>
        </w:rPr>
      </w:pPr>
    </w:p>
    <w:p w14:paraId="42D89D6C" w14:textId="2E4449AF" w:rsidR="00FB6710" w:rsidRPr="00183B5F" w:rsidRDefault="00943743" w:rsidP="004062FE">
      <w:pPr>
        <w:keepNext/>
        <w:spacing w:line="240" w:lineRule="auto"/>
        <w:ind w:left="567" w:hanging="567"/>
        <w:rPr>
          <w:del w:id="1445" w:author="AbbVie_HU_03" w:date="2025-05-14T15:27:00Z"/>
          <w:b/>
          <w:szCs w:val="22"/>
        </w:rPr>
      </w:pPr>
      <w:del w:id="1446" w:author="AbbVie_HU_03" w:date="2025-05-14T15:27:00Z">
        <w:r w:rsidRPr="00183B5F">
          <w:rPr>
            <w:b/>
            <w:szCs w:val="22"/>
          </w:rPr>
          <w:delText>4.9</w:delText>
        </w:r>
        <w:r w:rsidRPr="00183B5F">
          <w:rPr>
            <w:b/>
            <w:szCs w:val="22"/>
          </w:rPr>
          <w:tab/>
          <w:delText>Túladagolás</w:delText>
        </w:r>
      </w:del>
    </w:p>
    <w:p w14:paraId="0B1C0F9B" w14:textId="0CCB9D10" w:rsidR="00FB6710" w:rsidRPr="00183B5F" w:rsidRDefault="00FB6710" w:rsidP="004062FE">
      <w:pPr>
        <w:keepNext/>
        <w:spacing w:line="240" w:lineRule="auto"/>
        <w:rPr>
          <w:del w:id="1447" w:author="AbbVie_HU_03" w:date="2025-05-14T15:27:00Z"/>
          <w:szCs w:val="22"/>
        </w:rPr>
      </w:pPr>
    </w:p>
    <w:p w14:paraId="4E8F58D7" w14:textId="69E852B3" w:rsidR="00FB6710" w:rsidRPr="00183B5F" w:rsidRDefault="00943743" w:rsidP="004062FE">
      <w:pPr>
        <w:spacing w:line="240" w:lineRule="auto"/>
        <w:rPr>
          <w:del w:id="1448" w:author="AbbVie_HU_03" w:date="2025-05-14T15:27:00Z"/>
          <w:szCs w:val="22"/>
        </w:rPr>
      </w:pPr>
      <w:del w:id="1449" w:author="AbbVie_HU_03" w:date="2025-05-14T15:27:00Z">
        <w:r w:rsidRPr="00183B5F">
          <w:rPr>
            <w:szCs w:val="22"/>
          </w:rPr>
          <w:delText>A klinikai vizsgálatok során nem észlelt</w:delText>
        </w:r>
        <w:r w:rsidR="00196BE7" w:rsidRPr="00183B5F">
          <w:rPr>
            <w:szCs w:val="22"/>
          </w:rPr>
          <w:delText>é</w:delText>
        </w:r>
        <w:r w:rsidRPr="00183B5F">
          <w:rPr>
            <w:szCs w:val="22"/>
          </w:rPr>
          <w:delText>k dóziskorlátozó toxicitásra utaló jele</w:delText>
        </w:r>
        <w:r w:rsidR="00196BE7" w:rsidRPr="00183B5F">
          <w:rPr>
            <w:szCs w:val="22"/>
          </w:rPr>
          <w:delText>i</w:delText>
        </w:r>
        <w:r w:rsidRPr="00183B5F">
          <w:rPr>
            <w:szCs w:val="22"/>
          </w:rPr>
          <w:delText>t. A legmagasabb vizsgált dózis az intravénásan beadott 10 mg</w:delText>
        </w:r>
        <w:r w:rsidR="00127A0B" w:rsidRPr="00183B5F">
          <w:rPr>
            <w:szCs w:val="22"/>
          </w:rPr>
          <w:delText>/ttkg</w:delText>
        </w:r>
        <w:r w:rsidRPr="00183B5F">
          <w:rPr>
            <w:szCs w:val="22"/>
          </w:rPr>
          <w:delText>-os dózis többszöröse volt, amely az ajánlott dózis kb.</w:delText>
        </w:r>
        <w:r w:rsidR="00BE1F94" w:rsidRPr="00183B5F">
          <w:rPr>
            <w:szCs w:val="22"/>
          </w:rPr>
          <w:delText> </w:delText>
        </w:r>
        <w:r w:rsidRPr="00183B5F">
          <w:rPr>
            <w:szCs w:val="22"/>
          </w:rPr>
          <w:delText>15</w:delText>
        </w:r>
        <w:r w:rsidR="002B03EB" w:rsidRPr="00183B5F">
          <w:rPr>
            <w:szCs w:val="22"/>
          </w:rPr>
          <w:noBreakHyphen/>
        </w:r>
        <w:r w:rsidRPr="00183B5F">
          <w:rPr>
            <w:szCs w:val="22"/>
          </w:rPr>
          <w:delText>szörösét teszi ki.</w:delText>
        </w:r>
      </w:del>
    </w:p>
    <w:p w14:paraId="6C501E66" w14:textId="10B98302" w:rsidR="00443BC1" w:rsidRPr="00183B5F" w:rsidRDefault="00443BC1" w:rsidP="004062FE">
      <w:pPr>
        <w:spacing w:line="240" w:lineRule="auto"/>
        <w:rPr>
          <w:del w:id="1450" w:author="AbbVie_HU_03" w:date="2025-05-14T15:27:00Z"/>
          <w:b/>
          <w:szCs w:val="22"/>
        </w:rPr>
      </w:pPr>
    </w:p>
    <w:p w14:paraId="58AB1747" w14:textId="37E39F5F" w:rsidR="00443BC1" w:rsidRPr="00183B5F" w:rsidRDefault="00443BC1" w:rsidP="004062FE">
      <w:pPr>
        <w:spacing w:line="240" w:lineRule="auto"/>
        <w:rPr>
          <w:del w:id="1451" w:author="AbbVie_HU_03" w:date="2025-05-14T15:27:00Z"/>
          <w:b/>
          <w:szCs w:val="22"/>
        </w:rPr>
      </w:pPr>
    </w:p>
    <w:p w14:paraId="36A8F21C" w14:textId="05EEBECA" w:rsidR="00FB6710" w:rsidRPr="00183B5F" w:rsidRDefault="00943743" w:rsidP="004062FE">
      <w:pPr>
        <w:keepNext/>
        <w:spacing w:line="240" w:lineRule="auto"/>
        <w:rPr>
          <w:del w:id="1452" w:author="AbbVie_HU_03" w:date="2025-05-14T15:27:00Z"/>
          <w:b/>
          <w:szCs w:val="22"/>
        </w:rPr>
      </w:pPr>
      <w:del w:id="1453" w:author="AbbVie_HU_03" w:date="2025-05-14T15:27:00Z">
        <w:r w:rsidRPr="00183B5F">
          <w:rPr>
            <w:b/>
            <w:szCs w:val="22"/>
          </w:rPr>
          <w:delText>5.</w:delText>
        </w:r>
        <w:r w:rsidRPr="00183B5F">
          <w:rPr>
            <w:b/>
            <w:szCs w:val="22"/>
          </w:rPr>
          <w:tab/>
          <w:delText>FARMAKOLÓGIAI TULAJDONSÁGOK</w:delText>
        </w:r>
      </w:del>
    </w:p>
    <w:p w14:paraId="0A5CE48E" w14:textId="3319F5B8" w:rsidR="00FB6710" w:rsidRPr="00183B5F" w:rsidRDefault="00FB6710" w:rsidP="004062FE">
      <w:pPr>
        <w:keepNext/>
        <w:spacing w:line="240" w:lineRule="auto"/>
        <w:rPr>
          <w:del w:id="1454" w:author="AbbVie_HU_03" w:date="2025-05-14T15:27:00Z"/>
          <w:szCs w:val="22"/>
        </w:rPr>
      </w:pPr>
    </w:p>
    <w:p w14:paraId="28B8E0E5" w14:textId="0AFB9CF3" w:rsidR="00FB6710" w:rsidRPr="00183B5F" w:rsidRDefault="00943743" w:rsidP="004062FE">
      <w:pPr>
        <w:keepNext/>
        <w:spacing w:line="240" w:lineRule="auto"/>
        <w:ind w:left="567" w:hanging="567"/>
        <w:rPr>
          <w:del w:id="1455" w:author="AbbVie_HU_03" w:date="2025-05-14T15:27:00Z"/>
          <w:b/>
          <w:szCs w:val="22"/>
        </w:rPr>
      </w:pPr>
      <w:del w:id="1456" w:author="AbbVie_HU_03" w:date="2025-05-14T15:27:00Z">
        <w:r w:rsidRPr="00183B5F">
          <w:rPr>
            <w:b/>
            <w:szCs w:val="22"/>
          </w:rPr>
          <w:delText>5.1</w:delText>
        </w:r>
        <w:r w:rsidRPr="00183B5F">
          <w:rPr>
            <w:b/>
            <w:szCs w:val="22"/>
          </w:rPr>
          <w:tab/>
          <w:delText>Farmakodinámiás tulajdonságok</w:delText>
        </w:r>
      </w:del>
    </w:p>
    <w:p w14:paraId="57988BB4" w14:textId="71C0DD28" w:rsidR="00C91D8F" w:rsidRPr="00183B5F" w:rsidRDefault="00C91D8F" w:rsidP="004062FE">
      <w:pPr>
        <w:keepNext/>
        <w:spacing w:line="240" w:lineRule="auto"/>
        <w:ind w:left="567" w:hanging="567"/>
        <w:rPr>
          <w:del w:id="1457" w:author="AbbVie_HU_03" w:date="2025-05-14T15:27:00Z"/>
          <w:b/>
          <w:szCs w:val="22"/>
        </w:rPr>
      </w:pPr>
    </w:p>
    <w:p w14:paraId="1234626B" w14:textId="0656E695" w:rsidR="00FB6710" w:rsidRPr="00183B5F" w:rsidRDefault="00943743" w:rsidP="004062FE">
      <w:pPr>
        <w:keepNext/>
        <w:spacing w:line="240" w:lineRule="auto"/>
        <w:rPr>
          <w:del w:id="1458" w:author="AbbVie_HU_03" w:date="2025-05-14T15:27:00Z"/>
          <w:szCs w:val="22"/>
        </w:rPr>
      </w:pPr>
      <w:del w:id="1459" w:author="AbbVie_HU_03" w:date="2025-05-14T15:27:00Z">
        <w:r w:rsidRPr="00183B5F">
          <w:rPr>
            <w:szCs w:val="22"/>
          </w:rPr>
          <w:delText xml:space="preserve">Farmakoterápiás csoport: </w:delText>
        </w:r>
        <w:r w:rsidR="003062BF" w:rsidRPr="00183B5F">
          <w:rPr>
            <w:szCs w:val="22"/>
          </w:rPr>
          <w:delText>Immunszup</w:delText>
        </w:r>
        <w:r w:rsidR="00073099" w:rsidRPr="00183B5F">
          <w:rPr>
            <w:szCs w:val="22"/>
          </w:rPr>
          <w:delText>p</w:delText>
        </w:r>
        <w:r w:rsidR="003062BF" w:rsidRPr="00183B5F">
          <w:rPr>
            <w:szCs w:val="22"/>
          </w:rPr>
          <w:delText xml:space="preserve">resszánsok, </w:delText>
        </w:r>
        <w:r w:rsidR="003B7A6F" w:rsidRPr="00183B5F">
          <w:rPr>
            <w:szCs w:val="22"/>
          </w:rPr>
          <w:delText>Tumor</w:delText>
        </w:r>
        <w:r w:rsidR="00AB03A9" w:rsidRPr="00183B5F">
          <w:rPr>
            <w:szCs w:val="22"/>
          </w:rPr>
          <w:delText>n</w:delText>
        </w:r>
        <w:r w:rsidR="003B7A6F" w:rsidRPr="00183B5F">
          <w:rPr>
            <w:szCs w:val="22"/>
          </w:rPr>
          <w:delText>ekrózis</w:delText>
        </w:r>
        <w:r w:rsidR="00AB03A9" w:rsidRPr="00183B5F">
          <w:rPr>
            <w:szCs w:val="22"/>
          </w:rPr>
          <w:noBreakHyphen/>
          <w:delText>f</w:delText>
        </w:r>
        <w:r w:rsidR="003B7A6F" w:rsidRPr="00183B5F">
          <w:rPr>
            <w:szCs w:val="22"/>
          </w:rPr>
          <w:delText>aktor</w:delText>
        </w:r>
        <w:r w:rsidR="00AB03A9" w:rsidRPr="00183B5F">
          <w:rPr>
            <w:szCs w:val="22"/>
          </w:rPr>
          <w:noBreakHyphen/>
        </w:r>
        <w:r w:rsidR="003B7A6F" w:rsidRPr="00183B5F">
          <w:rPr>
            <w:szCs w:val="22"/>
          </w:rPr>
          <w:delText>alfa (TNF</w:delText>
        </w:r>
        <w:r w:rsidR="003B7A6F" w:rsidRPr="00183B5F">
          <w:rPr>
            <w:szCs w:val="22"/>
          </w:rPr>
          <w:noBreakHyphen/>
        </w:r>
        <w:r w:rsidR="003062BF" w:rsidRPr="00183B5F">
          <w:rPr>
            <w:szCs w:val="22"/>
          </w:rPr>
          <w:delText>α</w:delText>
        </w:r>
        <w:r w:rsidR="00764258" w:rsidRPr="00183B5F">
          <w:rPr>
            <w:szCs w:val="22"/>
          </w:rPr>
          <w:delText>)</w:delText>
        </w:r>
        <w:r w:rsidR="00764258" w:rsidRPr="00183B5F">
          <w:rPr>
            <w:szCs w:val="22"/>
          </w:rPr>
          <w:noBreakHyphen/>
        </w:r>
        <w:r w:rsidR="003062BF" w:rsidRPr="00183B5F">
          <w:rPr>
            <w:szCs w:val="22"/>
          </w:rPr>
          <w:delText>gátlók</w:delText>
        </w:r>
        <w:r w:rsidRPr="00183B5F">
          <w:rPr>
            <w:szCs w:val="22"/>
          </w:rPr>
          <w:delText xml:space="preserve"> ATC</w:delText>
        </w:r>
        <w:r w:rsidR="002B03EB" w:rsidRPr="00183B5F">
          <w:rPr>
            <w:szCs w:val="22"/>
          </w:rPr>
          <w:delText> </w:delText>
        </w:r>
        <w:r w:rsidRPr="00183B5F">
          <w:rPr>
            <w:szCs w:val="22"/>
          </w:rPr>
          <w:delText>kód:</w:delText>
        </w:r>
        <w:r w:rsidR="002B03EB" w:rsidRPr="00183B5F">
          <w:rPr>
            <w:szCs w:val="22"/>
          </w:rPr>
          <w:delText> </w:delText>
        </w:r>
        <w:r w:rsidRPr="00183B5F">
          <w:rPr>
            <w:szCs w:val="22"/>
          </w:rPr>
          <w:delText>L04AB04</w:delText>
        </w:r>
      </w:del>
    </w:p>
    <w:p w14:paraId="7EB0572B" w14:textId="4ED895E7" w:rsidR="0013172E" w:rsidRPr="00183B5F" w:rsidRDefault="0013172E" w:rsidP="004062FE">
      <w:pPr>
        <w:keepNext/>
        <w:spacing w:line="240" w:lineRule="auto"/>
        <w:rPr>
          <w:del w:id="1460" w:author="AbbVie_HU_03" w:date="2025-05-14T15:27:00Z"/>
          <w:szCs w:val="22"/>
          <w:u w:val="single"/>
        </w:rPr>
      </w:pPr>
    </w:p>
    <w:p w14:paraId="4E0D0495" w14:textId="03141A24" w:rsidR="00FB6710" w:rsidRPr="00183B5F" w:rsidRDefault="00943743" w:rsidP="004062FE">
      <w:pPr>
        <w:keepNext/>
        <w:spacing w:line="240" w:lineRule="auto"/>
        <w:rPr>
          <w:del w:id="1461" w:author="AbbVie_HU_03" w:date="2025-05-14T15:27:00Z"/>
          <w:szCs w:val="22"/>
          <w:u w:val="single"/>
        </w:rPr>
      </w:pPr>
      <w:del w:id="1462" w:author="AbbVie_HU_03" w:date="2025-05-14T15:27:00Z">
        <w:r w:rsidRPr="00183B5F">
          <w:rPr>
            <w:szCs w:val="22"/>
            <w:u w:val="single"/>
          </w:rPr>
          <w:delText>Hatásmechanizmus</w:delText>
        </w:r>
      </w:del>
    </w:p>
    <w:p w14:paraId="64759AA0" w14:textId="353B8071" w:rsidR="00B30A47" w:rsidRPr="00183B5F" w:rsidRDefault="00B30A47" w:rsidP="004062FE">
      <w:pPr>
        <w:spacing w:line="240" w:lineRule="auto"/>
        <w:rPr>
          <w:del w:id="1463" w:author="AbbVie_HU_03" w:date="2025-05-14T15:27:00Z"/>
          <w:szCs w:val="22"/>
        </w:rPr>
      </w:pPr>
    </w:p>
    <w:p w14:paraId="0EB9C571" w14:textId="0E1555E6" w:rsidR="00FB6710" w:rsidRPr="00183B5F" w:rsidRDefault="00943743" w:rsidP="004062FE">
      <w:pPr>
        <w:spacing w:line="240" w:lineRule="auto"/>
        <w:rPr>
          <w:del w:id="1464" w:author="AbbVie_HU_03" w:date="2025-05-14T15:27:00Z"/>
          <w:szCs w:val="22"/>
        </w:rPr>
      </w:pPr>
      <w:del w:id="1465" w:author="AbbVie_HU_03" w:date="2025-05-14T15:27:00Z">
        <w:r w:rsidRPr="00183B5F">
          <w:rPr>
            <w:szCs w:val="22"/>
          </w:rPr>
          <w:delText>Az adalimumab specifikusan kötődik a TNF</w:delText>
        </w:r>
        <w:r w:rsidRPr="00183B5F">
          <w:rPr>
            <w:szCs w:val="22"/>
          </w:rPr>
          <w:noBreakHyphen/>
          <w:delText>hez és semlegesíti a TNF</w:delText>
        </w:r>
        <w:r w:rsidR="002B03EB" w:rsidRPr="00183B5F">
          <w:rPr>
            <w:szCs w:val="22"/>
          </w:rPr>
          <w:delText> </w:delText>
        </w:r>
        <w:r w:rsidRPr="00183B5F">
          <w:rPr>
            <w:szCs w:val="22"/>
          </w:rPr>
          <w:delText>biológiai hatását</w:delText>
        </w:r>
        <w:r w:rsidR="006D6423" w:rsidRPr="00183B5F">
          <w:rPr>
            <w:szCs w:val="22"/>
          </w:rPr>
          <w:delText xml:space="preserve"> azáltal, hogy</w:delText>
        </w:r>
        <w:r w:rsidRPr="00183B5F">
          <w:rPr>
            <w:szCs w:val="22"/>
          </w:rPr>
          <w:delText xml:space="preserve"> megakadályoz</w:delText>
        </w:r>
        <w:r w:rsidR="006D6423" w:rsidRPr="00183B5F">
          <w:rPr>
            <w:szCs w:val="22"/>
          </w:rPr>
          <w:delText>z</w:delText>
        </w:r>
        <w:r w:rsidRPr="00183B5F">
          <w:rPr>
            <w:szCs w:val="22"/>
          </w:rPr>
          <w:delText>a a TNF</w:delText>
        </w:r>
        <w:r w:rsidR="002B03EB" w:rsidRPr="00183B5F">
          <w:rPr>
            <w:szCs w:val="22"/>
          </w:rPr>
          <w:delText> </w:delText>
        </w:r>
        <w:r w:rsidRPr="00183B5F">
          <w:rPr>
            <w:szCs w:val="22"/>
          </w:rPr>
          <w:delText>interakcióját a p55 és p75 sejtfelszíni TNF</w:delText>
        </w:r>
        <w:r w:rsidR="007F0C9D" w:rsidRPr="00183B5F">
          <w:rPr>
            <w:szCs w:val="22"/>
          </w:rPr>
          <w:noBreakHyphen/>
        </w:r>
        <w:r w:rsidRPr="00183B5F">
          <w:rPr>
            <w:szCs w:val="22"/>
          </w:rPr>
          <w:delText>receptorokkal.</w:delText>
        </w:r>
      </w:del>
    </w:p>
    <w:p w14:paraId="07D84750" w14:textId="638D1E3C" w:rsidR="00FB6710" w:rsidRPr="00183B5F" w:rsidRDefault="00FB6710" w:rsidP="004062FE">
      <w:pPr>
        <w:spacing w:line="240" w:lineRule="auto"/>
        <w:rPr>
          <w:del w:id="1466" w:author="AbbVie_HU_03" w:date="2025-05-14T15:27:00Z"/>
          <w:szCs w:val="22"/>
        </w:rPr>
      </w:pPr>
    </w:p>
    <w:p w14:paraId="0F347193" w14:textId="61808473" w:rsidR="00FB6710" w:rsidRPr="00183B5F" w:rsidRDefault="00943743" w:rsidP="004062FE">
      <w:pPr>
        <w:spacing w:line="240" w:lineRule="auto"/>
        <w:rPr>
          <w:del w:id="1467" w:author="AbbVie_HU_03" w:date="2025-05-14T15:27:00Z"/>
          <w:szCs w:val="22"/>
        </w:rPr>
      </w:pPr>
      <w:del w:id="1468" w:author="AbbVie_HU_03" w:date="2025-05-14T15:27:00Z">
        <w:r w:rsidRPr="00183B5F">
          <w:rPr>
            <w:szCs w:val="22"/>
          </w:rPr>
          <w:delText>Továbbá az adalimumab módosítja a</w:delText>
        </w:r>
        <w:r w:rsidR="006D6423" w:rsidRPr="00183B5F">
          <w:rPr>
            <w:szCs w:val="22"/>
          </w:rPr>
          <w:delText>zokat a</w:delText>
        </w:r>
        <w:r w:rsidRPr="00183B5F">
          <w:rPr>
            <w:szCs w:val="22"/>
          </w:rPr>
          <w:delText xml:space="preserve"> biológiai válaszokat, melyeket a TNF indukál, illetve szabályoz, beleértve a leukocyták vándorlásáért felelős adhéziós molekulák szintjeinek változtatását (ELAM</w:delText>
        </w:r>
        <w:r w:rsidRPr="00183B5F">
          <w:rPr>
            <w:szCs w:val="22"/>
          </w:rPr>
          <w:noBreakHyphen/>
          <w:delText>1, VCAM</w:delText>
        </w:r>
        <w:r w:rsidRPr="00183B5F">
          <w:rPr>
            <w:szCs w:val="22"/>
          </w:rPr>
          <w:noBreakHyphen/>
          <w:delText>1 és ICAM</w:delText>
        </w:r>
        <w:r w:rsidRPr="00183B5F">
          <w:rPr>
            <w:szCs w:val="22"/>
          </w:rPr>
          <w:noBreakHyphen/>
          <w:delText>1, melyek IC</w:delText>
        </w:r>
        <w:r w:rsidRPr="00183B5F">
          <w:rPr>
            <w:szCs w:val="22"/>
            <w:vertAlign w:val="subscript"/>
          </w:rPr>
          <w:delText>50</w:delText>
        </w:r>
        <w:r w:rsidRPr="00183B5F">
          <w:rPr>
            <w:szCs w:val="22"/>
          </w:rPr>
          <w:delText xml:space="preserve"> értékei 0,1 - 0,2 nM).</w:delText>
        </w:r>
      </w:del>
    </w:p>
    <w:p w14:paraId="69F5E001" w14:textId="1A661695" w:rsidR="00FB6710" w:rsidRPr="00183B5F" w:rsidRDefault="00FB6710" w:rsidP="004062FE">
      <w:pPr>
        <w:spacing w:line="240" w:lineRule="auto"/>
        <w:rPr>
          <w:del w:id="1469" w:author="AbbVie_HU_03" w:date="2025-05-14T15:27:00Z"/>
          <w:szCs w:val="22"/>
          <w:u w:val="single"/>
        </w:rPr>
      </w:pPr>
    </w:p>
    <w:p w14:paraId="189F6AC5" w14:textId="217B0EC4" w:rsidR="00FB6710" w:rsidRPr="00183B5F" w:rsidRDefault="00943743" w:rsidP="004062FE">
      <w:pPr>
        <w:keepNext/>
        <w:spacing w:line="240" w:lineRule="auto"/>
        <w:rPr>
          <w:del w:id="1470" w:author="AbbVie_HU_03" w:date="2025-05-14T15:27:00Z"/>
          <w:szCs w:val="22"/>
          <w:u w:val="single"/>
        </w:rPr>
      </w:pPr>
      <w:del w:id="1471" w:author="AbbVie_HU_03" w:date="2025-05-14T15:27:00Z">
        <w:r w:rsidRPr="00183B5F">
          <w:rPr>
            <w:szCs w:val="22"/>
            <w:u w:val="single"/>
          </w:rPr>
          <w:delText>Farmakodinámiás hatás</w:delText>
        </w:r>
        <w:r w:rsidR="00A441E8" w:rsidRPr="00183B5F">
          <w:rPr>
            <w:szCs w:val="22"/>
            <w:u w:val="single"/>
          </w:rPr>
          <w:delText>ok</w:delText>
        </w:r>
      </w:del>
    </w:p>
    <w:p w14:paraId="36CFCA54" w14:textId="08F24588" w:rsidR="00FB6710" w:rsidRPr="00183B5F" w:rsidRDefault="00FB6710" w:rsidP="004062FE">
      <w:pPr>
        <w:pStyle w:val="EndnoteText"/>
        <w:keepNext/>
        <w:tabs>
          <w:tab w:val="clear" w:pos="567"/>
        </w:tabs>
        <w:suppressAutoHyphens/>
        <w:rPr>
          <w:del w:id="1472" w:author="AbbVie_HU_03" w:date="2025-05-14T15:27:00Z"/>
          <w:sz w:val="22"/>
          <w:szCs w:val="22"/>
          <w:lang w:val="hu-HU" w:eastAsia="hu-HU"/>
        </w:rPr>
      </w:pPr>
    </w:p>
    <w:p w14:paraId="5C91CC49" w14:textId="142FEEA1" w:rsidR="00FB6710" w:rsidRPr="00183B5F" w:rsidRDefault="00943743" w:rsidP="004062FE">
      <w:pPr>
        <w:keepNext/>
        <w:spacing w:line="240" w:lineRule="auto"/>
        <w:rPr>
          <w:del w:id="1473" w:author="AbbVie_HU_03" w:date="2025-05-14T15:27:00Z"/>
          <w:szCs w:val="22"/>
        </w:rPr>
      </w:pPr>
      <w:del w:id="1474" w:author="AbbVie_HU_03" w:date="2025-05-14T15:27:00Z">
        <w:r w:rsidRPr="00183B5F">
          <w:rPr>
            <w:szCs w:val="22"/>
          </w:rPr>
          <w:delText>A rheumatoid arthritisben szenvedő betegek Humira</w:delText>
        </w:r>
        <w:r w:rsidR="002B03EB" w:rsidRPr="00183B5F">
          <w:rPr>
            <w:szCs w:val="22"/>
          </w:rPr>
          <w:noBreakHyphen/>
        </w:r>
        <w:r w:rsidRPr="00183B5F">
          <w:rPr>
            <w:szCs w:val="22"/>
          </w:rPr>
          <w:delText>val való kezelését követően gyors csökkenés tapasztalható az akutfázis</w:delText>
        </w:r>
        <w:r w:rsidR="00F4121D" w:rsidRPr="00183B5F">
          <w:rPr>
            <w:szCs w:val="22"/>
          </w:rPr>
          <w:delText>-</w:delText>
        </w:r>
        <w:r w:rsidRPr="00183B5F">
          <w:rPr>
            <w:szCs w:val="22"/>
          </w:rPr>
          <w:delText>fehérjék (C</w:delText>
        </w:r>
        <w:r w:rsidR="00C24D84" w:rsidRPr="00183B5F">
          <w:rPr>
            <w:szCs w:val="22"/>
          </w:rPr>
          <w:noBreakHyphen/>
        </w:r>
        <w:r w:rsidRPr="00183B5F">
          <w:rPr>
            <w:szCs w:val="22"/>
          </w:rPr>
          <w:delText>reaktív protein</w:delText>
        </w:r>
        <w:r w:rsidR="00C24D84" w:rsidRPr="00183B5F">
          <w:rPr>
            <w:szCs w:val="22"/>
          </w:rPr>
          <w:delText xml:space="preserve"> </w:delText>
        </w:r>
        <w:r w:rsidRPr="00183B5F">
          <w:rPr>
            <w:szCs w:val="22"/>
          </w:rPr>
          <w:noBreakHyphen/>
        </w:r>
        <w:r w:rsidR="00C24D84" w:rsidRPr="00183B5F">
          <w:rPr>
            <w:szCs w:val="22"/>
          </w:rPr>
          <w:delText xml:space="preserve"> </w:delText>
        </w:r>
        <w:r w:rsidRPr="00183B5F">
          <w:rPr>
            <w:szCs w:val="22"/>
          </w:rPr>
          <w:delText>CRP), a süllyedés, illetve a citokinek (IL</w:delText>
        </w:r>
        <w:r w:rsidRPr="00183B5F">
          <w:rPr>
            <w:szCs w:val="22"/>
          </w:rPr>
          <w:noBreakHyphen/>
          <w:delText>6) szintjeiben</w:delText>
        </w:r>
        <w:r w:rsidR="00281ED2" w:rsidRPr="00183B5F">
          <w:rPr>
            <w:szCs w:val="22"/>
          </w:rPr>
          <w:delText>,</w:delText>
        </w:r>
        <w:r w:rsidRPr="00183B5F">
          <w:rPr>
            <w:szCs w:val="22"/>
          </w:rPr>
          <w:delText xml:space="preserve"> összehasonlítva a kezelés előtti kiindulási értékekkel. A porcszövet pusztulását eredményező szöveti remodelingért felelős matrix metalloproteinázok (MMP</w:delText>
        </w:r>
        <w:r w:rsidRPr="00183B5F">
          <w:rPr>
            <w:szCs w:val="22"/>
          </w:rPr>
          <w:noBreakHyphen/>
          <w:delText>1 és MMP</w:delText>
        </w:r>
        <w:r w:rsidRPr="00183B5F">
          <w:rPr>
            <w:szCs w:val="22"/>
          </w:rPr>
          <w:noBreakHyphen/>
          <w:delText>3) szérumszintjeiben is csökkenés tapasztalható a Humira alkalmazása után. A Humira</w:delText>
        </w:r>
        <w:r w:rsidR="002B03EB" w:rsidRPr="00183B5F">
          <w:rPr>
            <w:szCs w:val="22"/>
          </w:rPr>
          <w:noBreakHyphen/>
        </w:r>
        <w:r w:rsidRPr="00183B5F">
          <w:rPr>
            <w:szCs w:val="22"/>
          </w:rPr>
          <w:delText xml:space="preserve">val kezelt betegeknél rendszerint a krónikus gyulladás hematológiai </w:delText>
        </w:r>
        <w:r w:rsidR="00281ED2" w:rsidRPr="00183B5F">
          <w:rPr>
            <w:szCs w:val="22"/>
          </w:rPr>
          <w:delText>paraméterei</w:delText>
        </w:r>
        <w:r w:rsidRPr="00183B5F">
          <w:rPr>
            <w:szCs w:val="22"/>
          </w:rPr>
          <w:delText>ben is javulás tapasztalható.</w:delText>
        </w:r>
      </w:del>
    </w:p>
    <w:p w14:paraId="6056E934" w14:textId="0DE24985" w:rsidR="00266E81" w:rsidRPr="00183B5F" w:rsidRDefault="00266E81" w:rsidP="004062FE">
      <w:pPr>
        <w:spacing w:line="240" w:lineRule="auto"/>
        <w:rPr>
          <w:del w:id="1475" w:author="AbbVie_HU_03" w:date="2025-05-14T15:27:00Z"/>
          <w:szCs w:val="22"/>
        </w:rPr>
      </w:pPr>
    </w:p>
    <w:p w14:paraId="013D642F" w14:textId="4BBAC4BD" w:rsidR="00FB6710" w:rsidRPr="00183B5F" w:rsidRDefault="00943743" w:rsidP="004062FE">
      <w:pPr>
        <w:spacing w:line="240" w:lineRule="auto"/>
        <w:rPr>
          <w:del w:id="1476" w:author="AbbVie_HU_03" w:date="2025-05-14T15:27:00Z"/>
          <w:szCs w:val="22"/>
        </w:rPr>
      </w:pPr>
      <w:del w:id="1477" w:author="AbbVie_HU_03" w:date="2025-05-14T15:27:00Z">
        <w:r w:rsidRPr="00183B5F">
          <w:rPr>
            <w:szCs w:val="22"/>
          </w:rPr>
          <w:delText>Polyarticularis juvenilis idiopathiás arthritisben, Crohn</w:delText>
        </w:r>
        <w:r w:rsidR="008638B7" w:rsidRPr="00183B5F">
          <w:rPr>
            <w:szCs w:val="22"/>
          </w:rPr>
          <w:noBreakHyphen/>
        </w:r>
        <w:r w:rsidRPr="00183B5F">
          <w:rPr>
            <w:szCs w:val="22"/>
          </w:rPr>
          <w:delText>betegségben</w:delText>
        </w:r>
        <w:r w:rsidR="00575931" w:rsidRPr="00183B5F">
          <w:rPr>
            <w:szCs w:val="22"/>
          </w:rPr>
          <w:delText>,</w:delText>
        </w:r>
        <w:r w:rsidRPr="00183B5F">
          <w:rPr>
            <w:szCs w:val="22"/>
          </w:rPr>
          <w:delText xml:space="preserve"> colitis ulcerosában </w:delText>
        </w:r>
        <w:r w:rsidR="00575931" w:rsidRPr="00183B5F">
          <w:rPr>
            <w:szCs w:val="22"/>
          </w:rPr>
          <w:delText xml:space="preserve">és hidradenitis suppurativában  </w:delText>
        </w:r>
        <w:r w:rsidRPr="00183B5F">
          <w:rPr>
            <w:szCs w:val="22"/>
          </w:rPr>
          <w:delText>is a CRP</w:delText>
        </w:r>
        <w:r w:rsidR="000A7B6A" w:rsidRPr="00183B5F">
          <w:rPr>
            <w:szCs w:val="22"/>
          </w:rPr>
          <w:noBreakHyphen/>
        </w:r>
        <w:r w:rsidRPr="00183B5F">
          <w:rPr>
            <w:szCs w:val="22"/>
          </w:rPr>
          <w:delText xml:space="preserve">szint gyors csökkenését figyelték meg </w:delText>
        </w:r>
        <w:r w:rsidR="00C24D84" w:rsidRPr="00183B5F">
          <w:rPr>
            <w:szCs w:val="22"/>
          </w:rPr>
          <w:delText xml:space="preserve">a </w:delText>
        </w:r>
        <w:r w:rsidRPr="00183B5F">
          <w:rPr>
            <w:szCs w:val="22"/>
          </w:rPr>
          <w:delText>Humira</w:delText>
        </w:r>
        <w:r w:rsidR="00AA4A88" w:rsidRPr="00183B5F">
          <w:rPr>
            <w:szCs w:val="22"/>
          </w:rPr>
          <w:noBreakHyphen/>
        </w:r>
        <w:r w:rsidRPr="00183B5F">
          <w:rPr>
            <w:szCs w:val="22"/>
          </w:rPr>
          <w:delText>kezelést követően. Crohn</w:delText>
        </w:r>
        <w:r w:rsidR="008638B7" w:rsidRPr="00183B5F">
          <w:rPr>
            <w:szCs w:val="22"/>
          </w:rPr>
          <w:noBreakHyphen/>
        </w:r>
        <w:r w:rsidRPr="00183B5F">
          <w:rPr>
            <w:szCs w:val="22"/>
          </w:rPr>
          <w:delText>betegségben szenvedő betegeknél a gyulladásos markereket expresszáló sejtek számának csökkenését figyelték meg a vastagbélben, beleértve a TNFα csökkent expresszióját is. A bélnyálkahártya endoszkópos vizsgálatai az adalimumabbal kezelt betegeknél a nyálkahártya gyógyulására utaló bizonyítékot mutattak.</w:delText>
        </w:r>
      </w:del>
    </w:p>
    <w:p w14:paraId="2B390EF4" w14:textId="571A5E40" w:rsidR="00FB6710" w:rsidRPr="00183B5F" w:rsidRDefault="00FB6710" w:rsidP="004062FE">
      <w:pPr>
        <w:spacing w:line="240" w:lineRule="auto"/>
        <w:rPr>
          <w:del w:id="1478" w:author="AbbVie_HU_03" w:date="2025-05-14T15:27:00Z"/>
          <w:b/>
          <w:szCs w:val="22"/>
        </w:rPr>
      </w:pPr>
    </w:p>
    <w:p w14:paraId="46FF831A" w14:textId="4BA3B804" w:rsidR="00FB6710" w:rsidRPr="00183B5F" w:rsidRDefault="00943743" w:rsidP="00FC288C">
      <w:pPr>
        <w:keepNext/>
        <w:spacing w:line="240" w:lineRule="auto"/>
        <w:rPr>
          <w:del w:id="1479" w:author="AbbVie_HU_03" w:date="2025-05-14T15:27:00Z"/>
          <w:szCs w:val="22"/>
          <w:u w:val="single"/>
        </w:rPr>
      </w:pPr>
      <w:del w:id="1480" w:author="AbbVie_HU_03" w:date="2025-05-14T15:27:00Z">
        <w:r w:rsidRPr="00183B5F">
          <w:rPr>
            <w:szCs w:val="22"/>
            <w:u w:val="single"/>
          </w:rPr>
          <w:delText xml:space="preserve">Klinikai </w:delText>
        </w:r>
        <w:r w:rsidR="00A441E8" w:rsidRPr="00183B5F">
          <w:rPr>
            <w:noProof/>
            <w:szCs w:val="24"/>
            <w:u w:val="single"/>
          </w:rPr>
          <w:delText>hatásosság és biztonságosság</w:delText>
        </w:r>
      </w:del>
    </w:p>
    <w:p w14:paraId="53556754" w14:textId="62D75A20" w:rsidR="005C7317" w:rsidRPr="00183B5F" w:rsidRDefault="005C7317" w:rsidP="00FC288C">
      <w:pPr>
        <w:keepNext/>
        <w:spacing w:line="240" w:lineRule="auto"/>
        <w:rPr>
          <w:del w:id="1481" w:author="AbbVie_HU_03" w:date="2025-05-14T15:27:00Z"/>
          <w:szCs w:val="22"/>
        </w:rPr>
      </w:pPr>
    </w:p>
    <w:p w14:paraId="0E69F2D0" w14:textId="51DFF01C" w:rsidR="00FB6710" w:rsidRPr="00183B5F" w:rsidRDefault="00943743" w:rsidP="00FC288C">
      <w:pPr>
        <w:keepNext/>
        <w:spacing w:line="240" w:lineRule="auto"/>
        <w:rPr>
          <w:del w:id="1482" w:author="AbbVie_HU_03" w:date="2025-05-14T15:27:00Z"/>
          <w:i/>
          <w:szCs w:val="22"/>
        </w:rPr>
      </w:pPr>
      <w:del w:id="1483" w:author="AbbVie_HU_03" w:date="2025-05-14T15:27:00Z">
        <w:r w:rsidRPr="00183B5F">
          <w:rPr>
            <w:i/>
            <w:szCs w:val="22"/>
          </w:rPr>
          <w:delText>Felnőttkori rheumatoid arthritis</w:delText>
        </w:r>
      </w:del>
    </w:p>
    <w:p w14:paraId="1194BB41" w14:textId="170B544A" w:rsidR="00FB6710" w:rsidRPr="00183B5F" w:rsidRDefault="00FB6710" w:rsidP="00FC288C">
      <w:pPr>
        <w:keepNext/>
        <w:spacing w:line="240" w:lineRule="auto"/>
        <w:rPr>
          <w:del w:id="1484" w:author="AbbVie_HU_03" w:date="2025-05-14T15:27:00Z"/>
          <w:szCs w:val="22"/>
          <w:u w:val="single"/>
        </w:rPr>
      </w:pPr>
    </w:p>
    <w:p w14:paraId="11E06E1B" w14:textId="0AAFCA9F" w:rsidR="00317E80" w:rsidRPr="00183B5F" w:rsidRDefault="00943743" w:rsidP="004062FE">
      <w:pPr>
        <w:spacing w:line="240" w:lineRule="auto"/>
        <w:rPr>
          <w:del w:id="1485" w:author="AbbVie_HU_03" w:date="2025-05-14T15:27:00Z"/>
          <w:szCs w:val="22"/>
        </w:rPr>
      </w:pPr>
      <w:del w:id="1486" w:author="AbbVie_HU_03" w:date="2025-05-14T15:27:00Z">
        <w:r w:rsidRPr="00183B5F">
          <w:rPr>
            <w:szCs w:val="22"/>
          </w:rPr>
          <w:delText>A Humira</w:delText>
        </w:r>
        <w:r w:rsidR="0051687D" w:rsidRPr="00183B5F">
          <w:rPr>
            <w:szCs w:val="22"/>
          </w:rPr>
          <w:noBreakHyphen/>
        </w:r>
        <w:r w:rsidRPr="00183B5F">
          <w:rPr>
            <w:szCs w:val="22"/>
          </w:rPr>
          <w:delText>t több mint 3000</w:delText>
        </w:r>
        <w:r w:rsidR="002160C3" w:rsidRPr="00183B5F">
          <w:rPr>
            <w:szCs w:val="22"/>
          </w:rPr>
          <w:delText> </w:delText>
        </w:r>
        <w:r w:rsidRPr="00183B5F">
          <w:rPr>
            <w:szCs w:val="22"/>
          </w:rPr>
          <w:delText>betegen vizsgálták az összes rheumatoid arthritis</w:delText>
        </w:r>
        <w:r w:rsidR="00390600" w:rsidRPr="00183B5F">
          <w:rPr>
            <w:szCs w:val="22"/>
          </w:rPr>
          <w:delText>ben folytatott</w:delText>
        </w:r>
        <w:r w:rsidRPr="00183B5F">
          <w:rPr>
            <w:szCs w:val="22"/>
          </w:rPr>
          <w:delText xml:space="preserve"> klinikai vizsgálat során. A Humira hatásosságát és biztonságosságát öt randomizált, </w:delText>
        </w:r>
        <w:r w:rsidR="00E5381A" w:rsidRPr="00183B5F">
          <w:rPr>
            <w:szCs w:val="22"/>
          </w:rPr>
          <w:delText>kettős vak</w:delText>
        </w:r>
        <w:r w:rsidRPr="00183B5F">
          <w:rPr>
            <w:szCs w:val="22"/>
          </w:rPr>
          <w:delText xml:space="preserve"> és </w:delText>
        </w:r>
        <w:r w:rsidR="008511AE" w:rsidRPr="00183B5F">
          <w:rPr>
            <w:szCs w:val="22"/>
          </w:rPr>
          <w:delText>megfelelő kontrollt alka</w:delText>
        </w:r>
        <w:r w:rsidR="00A32269" w:rsidRPr="00183B5F">
          <w:rPr>
            <w:szCs w:val="22"/>
          </w:rPr>
          <w:delText>l</w:delText>
        </w:r>
        <w:r w:rsidR="008511AE" w:rsidRPr="00183B5F">
          <w:rPr>
            <w:szCs w:val="22"/>
          </w:rPr>
          <w:delText>mazó</w:delText>
        </w:r>
        <w:r w:rsidRPr="00183B5F">
          <w:rPr>
            <w:szCs w:val="22"/>
          </w:rPr>
          <w:delText xml:space="preserve"> vizsgálat során vizsgálták. Néhány beteg </w:delText>
        </w:r>
        <w:r w:rsidR="00390600" w:rsidRPr="00183B5F">
          <w:rPr>
            <w:szCs w:val="22"/>
          </w:rPr>
          <w:delText xml:space="preserve">akár </w:delText>
        </w:r>
        <w:r w:rsidRPr="00183B5F">
          <w:rPr>
            <w:szCs w:val="22"/>
          </w:rPr>
          <w:delText>120 hónapig tartó kezelést kapott.</w:delText>
        </w:r>
      </w:del>
    </w:p>
    <w:p w14:paraId="69ECABD7" w14:textId="14FCDB01" w:rsidR="00FB6710" w:rsidRPr="00183B5F" w:rsidRDefault="00FB6710" w:rsidP="004062FE">
      <w:pPr>
        <w:spacing w:line="240" w:lineRule="auto"/>
        <w:rPr>
          <w:del w:id="1487" w:author="AbbVie_HU_03" w:date="2025-05-14T15:27:00Z"/>
          <w:szCs w:val="22"/>
        </w:rPr>
      </w:pPr>
    </w:p>
    <w:p w14:paraId="3789537D" w14:textId="43DFE989" w:rsidR="00FB6710" w:rsidRPr="00183B5F" w:rsidRDefault="00943743" w:rsidP="004062FE">
      <w:pPr>
        <w:spacing w:line="240" w:lineRule="auto"/>
        <w:rPr>
          <w:del w:id="1488" w:author="AbbVie_HU_03" w:date="2025-05-14T15:27:00Z"/>
          <w:szCs w:val="22"/>
        </w:rPr>
      </w:pPr>
      <w:del w:id="1489" w:author="AbbVie_HU_03" w:date="2025-05-14T15:27:00Z">
        <w:r w:rsidRPr="00183B5F">
          <w:rPr>
            <w:szCs w:val="22"/>
          </w:rPr>
          <w:delText>Az RA</w:delText>
        </w:r>
        <w:r w:rsidR="0051687D" w:rsidRPr="00183B5F">
          <w:rPr>
            <w:szCs w:val="22"/>
          </w:rPr>
          <w:delText> </w:delText>
        </w:r>
        <w:r w:rsidRPr="00183B5F">
          <w:rPr>
            <w:szCs w:val="22"/>
          </w:rPr>
          <w:delText>I vizsgálatban 271</w:delText>
        </w:r>
        <w:r w:rsidR="002160C3" w:rsidRPr="00183B5F">
          <w:rPr>
            <w:szCs w:val="22"/>
          </w:rPr>
          <w:delText> </w:delText>
        </w:r>
        <w:r w:rsidRPr="00183B5F">
          <w:rPr>
            <w:szCs w:val="22"/>
          </w:rPr>
          <w:delText>beteget értékeltek. A résztvevők mind köz</w:delText>
        </w:r>
        <w:r w:rsidR="00F73409" w:rsidRPr="00183B5F">
          <w:rPr>
            <w:szCs w:val="22"/>
          </w:rPr>
          <w:delText xml:space="preserve">epesen </w:delText>
        </w:r>
        <w:r w:rsidRPr="00183B5F">
          <w:rPr>
            <w:szCs w:val="22"/>
          </w:rPr>
          <w:delText>súlyos</w:delText>
        </w:r>
        <w:r w:rsidRPr="00183B5F">
          <w:rPr>
            <w:szCs w:val="22"/>
          </w:rPr>
          <w:noBreakHyphen/>
          <w:delText>súlyos aktív rheumatoid arthritisben szenvedő 18</w:delText>
        </w:r>
        <w:r w:rsidR="002160C3" w:rsidRPr="00183B5F">
          <w:rPr>
            <w:szCs w:val="22"/>
          </w:rPr>
          <w:delText> </w:delText>
        </w:r>
        <w:r w:rsidRPr="00183B5F">
          <w:rPr>
            <w:szCs w:val="22"/>
          </w:rPr>
          <w:delText>éves és idősebb betegek voltak, akiknél legalább egy betegséget befolyásoló reumaellenes gyógyszer nem járt eredménnyel</w:delText>
        </w:r>
        <w:r w:rsidR="00821DCB" w:rsidRPr="00183B5F">
          <w:rPr>
            <w:szCs w:val="22"/>
          </w:rPr>
          <w:delText>,</w:delText>
        </w:r>
        <w:r w:rsidRPr="00183B5F">
          <w:rPr>
            <w:szCs w:val="22"/>
          </w:rPr>
          <w:delText xml:space="preserve"> és </w:delText>
        </w:r>
        <w:r w:rsidR="00E75009" w:rsidRPr="00183B5F">
          <w:rPr>
            <w:szCs w:val="22"/>
          </w:rPr>
          <w:delText xml:space="preserve">korábban </w:delText>
        </w:r>
        <w:r w:rsidRPr="00183B5F">
          <w:rPr>
            <w:szCs w:val="22"/>
          </w:rPr>
          <w:delText>a metotrexát heti 12,5</w:delText>
        </w:r>
        <w:r w:rsidR="002160C3" w:rsidRPr="00183B5F">
          <w:rPr>
            <w:szCs w:val="22"/>
          </w:rPr>
          <w:noBreakHyphen/>
        </w:r>
        <w:r w:rsidRPr="00183B5F">
          <w:rPr>
            <w:szCs w:val="22"/>
          </w:rPr>
          <w:delText>25 mg</w:delText>
        </w:r>
        <w:r w:rsidR="00E5381A" w:rsidRPr="00183B5F">
          <w:rPr>
            <w:szCs w:val="22"/>
          </w:rPr>
          <w:noBreakHyphen/>
        </w:r>
        <w:r w:rsidRPr="00183B5F">
          <w:rPr>
            <w:szCs w:val="22"/>
          </w:rPr>
          <w:delText>os (10 mg metotrexát intoleran</w:delText>
        </w:r>
        <w:r w:rsidR="00C24D84" w:rsidRPr="00183B5F">
          <w:rPr>
            <w:szCs w:val="22"/>
          </w:rPr>
          <w:delText>c</w:delText>
        </w:r>
        <w:r w:rsidRPr="00183B5F">
          <w:rPr>
            <w:szCs w:val="22"/>
          </w:rPr>
          <w:delText xml:space="preserve">ia esetén) dózisaival sem lehetett kielégítő hatást elérni, és </w:delText>
        </w:r>
        <w:r w:rsidR="00E75009" w:rsidRPr="00183B5F">
          <w:rPr>
            <w:szCs w:val="22"/>
          </w:rPr>
          <w:delText xml:space="preserve">akiknél a metotrexát dózisa a vizsgálatot megelőzően stabilan </w:delText>
        </w:r>
        <w:r w:rsidRPr="00183B5F">
          <w:rPr>
            <w:szCs w:val="22"/>
          </w:rPr>
          <w:delText>heti 10</w:delText>
        </w:r>
        <w:r w:rsidRPr="00183B5F">
          <w:rPr>
            <w:szCs w:val="22"/>
          </w:rPr>
          <w:noBreakHyphen/>
          <w:delText xml:space="preserve">25 mg </w:delText>
        </w:r>
        <w:r w:rsidR="00E75009" w:rsidRPr="00183B5F">
          <w:rPr>
            <w:szCs w:val="22"/>
          </w:rPr>
          <w:delText>volt.</w:delText>
        </w:r>
        <w:r w:rsidRPr="00183B5F">
          <w:rPr>
            <w:szCs w:val="22"/>
          </w:rPr>
          <w:delText xml:space="preserve"> A vizsgálat során 20, 40 illetve 80 mg Humira</w:delText>
        </w:r>
        <w:r w:rsidR="0051687D" w:rsidRPr="00183B5F">
          <w:rPr>
            <w:szCs w:val="22"/>
          </w:rPr>
          <w:noBreakHyphen/>
        </w:r>
        <w:r w:rsidRPr="00183B5F">
          <w:rPr>
            <w:szCs w:val="22"/>
          </w:rPr>
          <w:delText>t vagy placebót kaptak minden második héten, 24</w:delText>
        </w:r>
        <w:r w:rsidR="00A44DB6" w:rsidRPr="00183B5F">
          <w:rPr>
            <w:szCs w:val="22"/>
          </w:rPr>
          <w:delText> hét</w:delText>
        </w:r>
        <w:r w:rsidRPr="00183B5F">
          <w:rPr>
            <w:szCs w:val="22"/>
          </w:rPr>
          <w:delText>en át.</w:delText>
        </w:r>
      </w:del>
    </w:p>
    <w:p w14:paraId="2A54A9F8" w14:textId="000F0A36" w:rsidR="004A71B2" w:rsidRPr="00183B5F" w:rsidRDefault="004A71B2" w:rsidP="004062FE">
      <w:pPr>
        <w:spacing w:line="240" w:lineRule="auto"/>
        <w:rPr>
          <w:del w:id="1490" w:author="AbbVie_HU_03" w:date="2025-05-14T15:27:00Z"/>
          <w:szCs w:val="22"/>
        </w:rPr>
      </w:pPr>
    </w:p>
    <w:p w14:paraId="0D09547B" w14:textId="58FD3AEB" w:rsidR="00FB6710" w:rsidRPr="00183B5F" w:rsidRDefault="00943743" w:rsidP="004062FE">
      <w:pPr>
        <w:spacing w:line="240" w:lineRule="auto"/>
        <w:rPr>
          <w:del w:id="1491" w:author="AbbVie_HU_03" w:date="2025-05-14T15:27:00Z"/>
          <w:szCs w:val="22"/>
        </w:rPr>
      </w:pPr>
      <w:del w:id="1492" w:author="AbbVie_HU_03" w:date="2025-05-14T15:27:00Z">
        <w:r w:rsidRPr="00183B5F">
          <w:rPr>
            <w:szCs w:val="22"/>
          </w:rPr>
          <w:delText>Az RA</w:delText>
        </w:r>
        <w:r w:rsidR="0051687D" w:rsidRPr="00183B5F">
          <w:rPr>
            <w:szCs w:val="22"/>
          </w:rPr>
          <w:delText> </w:delText>
        </w:r>
        <w:r w:rsidRPr="00183B5F">
          <w:rPr>
            <w:szCs w:val="22"/>
          </w:rPr>
          <w:delText>II vizsgálatban 544</w:delText>
        </w:r>
        <w:r w:rsidR="002160C3" w:rsidRPr="00183B5F">
          <w:rPr>
            <w:szCs w:val="22"/>
          </w:rPr>
          <w:delText> </w:delText>
        </w:r>
        <w:r w:rsidRPr="00183B5F">
          <w:rPr>
            <w:szCs w:val="22"/>
          </w:rPr>
          <w:delText>beteget értékeltek. A betegek mind köz</w:delText>
        </w:r>
        <w:r w:rsidR="00F73409" w:rsidRPr="00183B5F">
          <w:rPr>
            <w:szCs w:val="22"/>
          </w:rPr>
          <w:delText xml:space="preserve">epesen </w:delText>
        </w:r>
        <w:r w:rsidRPr="00183B5F">
          <w:rPr>
            <w:szCs w:val="22"/>
          </w:rPr>
          <w:delText>súlyos</w:delText>
        </w:r>
        <w:r w:rsidRPr="00183B5F">
          <w:rPr>
            <w:szCs w:val="22"/>
          </w:rPr>
          <w:noBreakHyphen/>
          <w:delText>súlyos rheumatoid arthritisben szenvedtek, 18</w:delText>
        </w:r>
        <w:r w:rsidR="002160C3" w:rsidRPr="00183B5F">
          <w:rPr>
            <w:szCs w:val="22"/>
          </w:rPr>
          <w:delText> </w:delText>
        </w:r>
        <w:r w:rsidRPr="00183B5F">
          <w:rPr>
            <w:szCs w:val="22"/>
          </w:rPr>
          <w:delText>éves</w:delText>
        </w:r>
        <w:r w:rsidR="00E75009" w:rsidRPr="00183B5F">
          <w:rPr>
            <w:szCs w:val="22"/>
          </w:rPr>
          <w:delText>ek</w:delText>
        </w:r>
        <w:r w:rsidRPr="00183B5F">
          <w:rPr>
            <w:szCs w:val="22"/>
          </w:rPr>
          <w:delText xml:space="preserve"> </w:delText>
        </w:r>
        <w:r w:rsidR="00E75009" w:rsidRPr="00183B5F">
          <w:rPr>
            <w:szCs w:val="22"/>
          </w:rPr>
          <w:delText xml:space="preserve">vagy annál idősebbek voltak és </w:delText>
        </w:r>
        <w:r w:rsidRPr="00183B5F">
          <w:rPr>
            <w:szCs w:val="22"/>
          </w:rPr>
          <w:delText xml:space="preserve">esetükben legalább egy betegséget befolyásoló reumaellenes gyógyszer alkalmazása nem járt eredménnyel. </w:delText>
        </w:r>
        <w:r w:rsidR="00E75009" w:rsidRPr="00183B5F">
          <w:rPr>
            <w:szCs w:val="22"/>
          </w:rPr>
          <w:delText>20</w:delText>
        </w:r>
        <w:r w:rsidR="00006163" w:rsidRPr="00183B5F">
          <w:rPr>
            <w:szCs w:val="22"/>
          </w:rPr>
          <w:delText>,</w:delText>
        </w:r>
        <w:r w:rsidR="00E75009" w:rsidRPr="00183B5F">
          <w:rPr>
            <w:szCs w:val="22"/>
          </w:rPr>
          <w:delText xml:space="preserve"> </w:delText>
        </w:r>
        <w:r w:rsidRPr="00183B5F">
          <w:rPr>
            <w:szCs w:val="22"/>
          </w:rPr>
          <w:delText>illetve 40 mg Humira</w:delText>
        </w:r>
        <w:r w:rsidR="0051687D" w:rsidRPr="00183B5F">
          <w:rPr>
            <w:szCs w:val="22"/>
          </w:rPr>
          <w:noBreakHyphen/>
        </w:r>
        <w:r w:rsidRPr="00183B5F">
          <w:rPr>
            <w:szCs w:val="22"/>
          </w:rPr>
          <w:delText>t kaptak subcutan injekció formájában minden második héten, placebóval az alternáló heteken vagy minden héten 26</w:delText>
        </w:r>
        <w:r w:rsidR="00A44DB6" w:rsidRPr="00183B5F">
          <w:rPr>
            <w:szCs w:val="22"/>
          </w:rPr>
          <w:delText> hét</w:delText>
        </w:r>
        <w:r w:rsidRPr="00183B5F">
          <w:rPr>
            <w:szCs w:val="22"/>
          </w:rPr>
          <w:delText>en át; illetve placebót kaptak minden héten azonos időtartamban. Egyéb betegséget befolyásoló reumaellenes gyógyszert nem kaphattak.</w:delText>
        </w:r>
      </w:del>
    </w:p>
    <w:p w14:paraId="39FAADCD" w14:textId="05CA2218" w:rsidR="00FB6710" w:rsidRPr="00183B5F" w:rsidRDefault="00FB6710" w:rsidP="004062FE">
      <w:pPr>
        <w:spacing w:line="240" w:lineRule="auto"/>
        <w:rPr>
          <w:del w:id="1493" w:author="AbbVie_HU_03" w:date="2025-05-14T15:27:00Z"/>
          <w:szCs w:val="22"/>
        </w:rPr>
      </w:pPr>
    </w:p>
    <w:p w14:paraId="60EA7760" w14:textId="70815875" w:rsidR="00FB6710" w:rsidRPr="00183B5F" w:rsidRDefault="00943743" w:rsidP="004062FE">
      <w:pPr>
        <w:pStyle w:val="BodyText"/>
        <w:spacing w:line="240" w:lineRule="auto"/>
        <w:rPr>
          <w:del w:id="1494" w:author="AbbVie_HU_03" w:date="2025-05-14T15:27:00Z"/>
          <w:lang w:val="hu-HU"/>
        </w:rPr>
      </w:pPr>
      <w:del w:id="1495" w:author="AbbVie_HU_03" w:date="2025-05-14T15:27:00Z">
        <w:r w:rsidRPr="00183B5F">
          <w:rPr>
            <w:lang w:val="hu-HU"/>
          </w:rPr>
          <w:delText>Az RA</w:delText>
        </w:r>
        <w:r w:rsidR="0051687D" w:rsidRPr="00183B5F">
          <w:rPr>
            <w:bCs/>
            <w:iCs/>
            <w:szCs w:val="22"/>
            <w:lang w:val="hu-HU"/>
          </w:rPr>
          <w:delText> </w:delText>
        </w:r>
        <w:r w:rsidRPr="00183B5F">
          <w:rPr>
            <w:lang w:val="hu-HU"/>
          </w:rPr>
          <w:delText>III vizsgálatban 619</w:delText>
        </w:r>
        <w:r w:rsidR="0051687D" w:rsidRPr="00183B5F">
          <w:rPr>
            <w:bCs/>
            <w:iCs/>
            <w:szCs w:val="22"/>
            <w:lang w:val="hu-HU"/>
          </w:rPr>
          <w:delText> </w:delText>
        </w:r>
        <w:r w:rsidRPr="00183B5F">
          <w:rPr>
            <w:lang w:val="hu-HU"/>
          </w:rPr>
          <w:delText xml:space="preserve">közepesen súlyos és súlyos aktív rheumatoid arthritisben szenvedő, </w:delText>
        </w:r>
        <w:r w:rsidRPr="00183B5F">
          <w:rPr>
            <w:rFonts w:ascii="Symbol" w:hAnsi="Symbol"/>
            <w:lang w:val="hu-HU"/>
          </w:rPr>
          <w:sym w:font="Symbol" w:char="F0B3"/>
        </w:r>
        <w:r w:rsidRPr="00183B5F">
          <w:rPr>
            <w:szCs w:val="22"/>
            <w:lang w:val="hu-HU"/>
          </w:rPr>
          <w:delText> 18</w:delText>
        </w:r>
        <w:r w:rsidR="0051687D" w:rsidRPr="00183B5F">
          <w:rPr>
            <w:szCs w:val="22"/>
            <w:lang w:val="hu-HU"/>
          </w:rPr>
          <w:delText> </w:delText>
        </w:r>
        <w:r w:rsidRPr="00183B5F">
          <w:rPr>
            <w:szCs w:val="22"/>
            <w:lang w:val="hu-HU"/>
          </w:rPr>
          <w:delText>éves beteget értékeltek, akik nem megfelelően reagáltak a 1</w:delText>
        </w:r>
        <w:r w:rsidR="00E75009" w:rsidRPr="00183B5F">
          <w:rPr>
            <w:szCs w:val="22"/>
            <w:lang w:val="hu-HU"/>
          </w:rPr>
          <w:delText>2</w:delText>
        </w:r>
        <w:r w:rsidRPr="00183B5F">
          <w:rPr>
            <w:szCs w:val="22"/>
            <w:lang w:val="hu-HU"/>
          </w:rPr>
          <w:delText>,5 – 25 mg közötti metotrexát dózisokra, vagy nem tolerálták a hetenkénti 10 mg metotrexátot</w:delText>
        </w:r>
        <w:r w:rsidRPr="00183B5F">
          <w:rPr>
            <w:lang w:val="hu-HU"/>
          </w:rPr>
          <w:delText>. Ebben a vizsgálatban a betegeket három csoportra osztották. Az első csoportba tartozók placebo injekciót kaptak minden héten 52</w:delText>
        </w:r>
        <w:r w:rsidR="00A44DB6" w:rsidRPr="00183B5F">
          <w:rPr>
            <w:lang w:val="hu-HU"/>
          </w:rPr>
          <w:delText> hét</w:delText>
        </w:r>
        <w:r w:rsidRPr="00183B5F">
          <w:rPr>
            <w:lang w:val="hu-HU"/>
          </w:rPr>
          <w:delText>en át. A második csoport tagjai 20 mg Humira</w:delText>
        </w:r>
        <w:r w:rsidR="00B02D6A" w:rsidRPr="00183B5F">
          <w:rPr>
            <w:bCs/>
            <w:iCs/>
            <w:szCs w:val="22"/>
            <w:lang w:val="hu-HU"/>
          </w:rPr>
          <w:noBreakHyphen/>
        </w:r>
        <w:r w:rsidRPr="00183B5F">
          <w:rPr>
            <w:lang w:val="hu-HU"/>
          </w:rPr>
          <w:delText>t kaptak hetente</w:delText>
        </w:r>
        <w:r w:rsidR="00006163" w:rsidRPr="00183B5F">
          <w:rPr>
            <w:lang w:val="hu-HU"/>
          </w:rPr>
          <w:delText>,</w:delText>
        </w:r>
        <w:r w:rsidRPr="00183B5F">
          <w:rPr>
            <w:lang w:val="hu-HU"/>
          </w:rPr>
          <w:delText xml:space="preserve"> 52</w:delText>
        </w:r>
        <w:r w:rsidR="00A44DB6" w:rsidRPr="00183B5F">
          <w:rPr>
            <w:lang w:val="hu-HU"/>
          </w:rPr>
          <w:delText> hét</w:delText>
        </w:r>
        <w:r w:rsidRPr="00183B5F">
          <w:rPr>
            <w:lang w:val="hu-HU"/>
          </w:rPr>
          <w:delText>en át. A harmadik csoport 40 mg Humira</w:delText>
        </w:r>
        <w:r w:rsidR="00B02D6A" w:rsidRPr="00183B5F">
          <w:rPr>
            <w:bCs/>
            <w:iCs/>
            <w:szCs w:val="22"/>
            <w:lang w:val="hu-HU"/>
          </w:rPr>
          <w:noBreakHyphen/>
        </w:r>
        <w:r w:rsidRPr="00183B5F">
          <w:rPr>
            <w:lang w:val="hu-HU"/>
          </w:rPr>
          <w:delText xml:space="preserve">t kapott minden második héten és placebo injekciót az alternáló heteken. </w:delText>
        </w:r>
        <w:r w:rsidR="00317E80" w:rsidRPr="00183B5F">
          <w:rPr>
            <w:bCs/>
            <w:iCs/>
            <w:szCs w:val="22"/>
            <w:lang w:val="hu-HU"/>
          </w:rPr>
          <w:delText>Az első 52 hetes kezelést</w:delText>
        </w:r>
        <w:r w:rsidR="00317E80" w:rsidRPr="00183B5F">
          <w:rPr>
            <w:lang w:val="hu-HU"/>
          </w:rPr>
          <w:delText xml:space="preserve"> </w:delText>
        </w:r>
        <w:r w:rsidRPr="00183B5F">
          <w:rPr>
            <w:lang w:val="hu-HU"/>
          </w:rPr>
          <w:delText xml:space="preserve">követően </w:delText>
        </w:r>
        <w:r w:rsidR="00317E80" w:rsidRPr="00183B5F">
          <w:rPr>
            <w:bCs/>
            <w:iCs/>
            <w:szCs w:val="22"/>
            <w:lang w:val="hu-HU"/>
          </w:rPr>
          <w:delText>457</w:delText>
        </w:r>
        <w:r w:rsidR="00C34B35" w:rsidRPr="00183B5F">
          <w:rPr>
            <w:bCs/>
            <w:iCs/>
            <w:szCs w:val="22"/>
            <w:lang w:val="hu-HU"/>
          </w:rPr>
          <w:delText> </w:delText>
        </w:r>
        <w:r w:rsidRPr="00183B5F">
          <w:rPr>
            <w:lang w:val="hu-HU"/>
          </w:rPr>
          <w:delText>beteget egy nyílt, kiterjesztett fáz</w:delText>
        </w:r>
        <w:r w:rsidR="00C24D84" w:rsidRPr="00183B5F">
          <w:rPr>
            <w:lang w:val="hu-HU"/>
          </w:rPr>
          <w:delText>i</w:delText>
        </w:r>
        <w:r w:rsidRPr="00183B5F">
          <w:rPr>
            <w:lang w:val="hu-HU"/>
          </w:rPr>
          <w:delText>sba választották be, melynek során kéthetente 40 mg Humira-t</w:delText>
        </w:r>
        <w:r w:rsidR="00317E80" w:rsidRPr="00183B5F">
          <w:rPr>
            <w:bCs/>
            <w:iCs/>
            <w:szCs w:val="22"/>
            <w:lang w:val="hu-HU"/>
          </w:rPr>
          <w:delText>/ metotrexátot</w:delText>
        </w:r>
        <w:r w:rsidRPr="00183B5F">
          <w:rPr>
            <w:lang w:val="hu-HU"/>
          </w:rPr>
          <w:delText xml:space="preserve"> kaptak, legfeljebb </w:delText>
        </w:r>
        <w:r w:rsidR="00EC420B" w:rsidRPr="00183B5F">
          <w:rPr>
            <w:lang w:val="hu-HU"/>
          </w:rPr>
          <w:delText>10</w:delText>
        </w:r>
        <w:r w:rsidR="00464B96" w:rsidRPr="00183B5F">
          <w:rPr>
            <w:lang w:val="hu-HU"/>
          </w:rPr>
          <w:delText> </w:delText>
        </w:r>
        <w:r w:rsidR="00EC420B" w:rsidRPr="00183B5F">
          <w:rPr>
            <w:lang w:val="hu-HU"/>
          </w:rPr>
          <w:delText>évig</w:delText>
        </w:r>
        <w:r w:rsidRPr="00183B5F">
          <w:rPr>
            <w:lang w:val="hu-HU"/>
          </w:rPr>
          <w:delText>.</w:delText>
        </w:r>
      </w:del>
    </w:p>
    <w:p w14:paraId="1DF278EA" w14:textId="2D2B7325" w:rsidR="00FB6710" w:rsidRPr="00183B5F" w:rsidRDefault="00FB6710" w:rsidP="004062FE">
      <w:pPr>
        <w:pStyle w:val="BodyText"/>
        <w:spacing w:line="240" w:lineRule="auto"/>
        <w:rPr>
          <w:del w:id="1496" w:author="AbbVie_HU_03" w:date="2025-05-14T15:27:00Z"/>
          <w:b/>
          <w:i/>
          <w:lang w:val="hu-HU"/>
        </w:rPr>
      </w:pPr>
    </w:p>
    <w:p w14:paraId="7A157714" w14:textId="0501FB30" w:rsidR="00FB6710" w:rsidRPr="00183B5F" w:rsidRDefault="00943743" w:rsidP="004062FE">
      <w:pPr>
        <w:spacing w:line="240" w:lineRule="auto"/>
        <w:rPr>
          <w:del w:id="1497" w:author="AbbVie_HU_03" w:date="2025-05-14T15:27:00Z"/>
          <w:szCs w:val="22"/>
        </w:rPr>
      </w:pPr>
      <w:del w:id="1498" w:author="AbbVie_HU_03" w:date="2025-05-14T15:27:00Z">
        <w:r w:rsidRPr="00183B5F">
          <w:rPr>
            <w:szCs w:val="22"/>
          </w:rPr>
          <w:delText>Az RA</w:delText>
        </w:r>
        <w:r w:rsidR="00B02D6A" w:rsidRPr="00183B5F">
          <w:rPr>
            <w:szCs w:val="22"/>
          </w:rPr>
          <w:delText> </w:delText>
        </w:r>
        <w:r w:rsidRPr="00183B5F">
          <w:rPr>
            <w:szCs w:val="22"/>
          </w:rPr>
          <w:delText>IV vizsgálat elsősorban a kezelés biztonságosságát volt hivatott felmérni. Ebbe a vizsgálatba 636</w:delText>
        </w:r>
        <w:r w:rsidR="00B02D6A" w:rsidRPr="00183B5F">
          <w:rPr>
            <w:szCs w:val="22"/>
          </w:rPr>
          <w:delText> </w:delText>
        </w:r>
        <w:r w:rsidRPr="00183B5F">
          <w:rPr>
            <w:szCs w:val="22"/>
          </w:rPr>
          <w:delText>köz</w:delText>
        </w:r>
        <w:r w:rsidR="00F73409" w:rsidRPr="00183B5F">
          <w:rPr>
            <w:szCs w:val="22"/>
          </w:rPr>
          <w:delText xml:space="preserve">epesen </w:delText>
        </w:r>
        <w:r w:rsidRPr="00183B5F">
          <w:rPr>
            <w:szCs w:val="22"/>
          </w:rPr>
          <w:delText>súlyos</w:delText>
        </w:r>
        <w:r w:rsidRPr="00183B5F">
          <w:rPr>
            <w:szCs w:val="22"/>
          </w:rPr>
          <w:noBreakHyphen/>
          <w:delText>súlyos rheumatoid arthritisben szenvedő, 18</w:delText>
        </w:r>
        <w:r w:rsidR="00C34B35" w:rsidRPr="00183B5F">
          <w:rPr>
            <w:szCs w:val="22"/>
          </w:rPr>
          <w:delText> </w:delText>
        </w:r>
        <w:r w:rsidRPr="00183B5F">
          <w:rPr>
            <w:szCs w:val="22"/>
          </w:rPr>
          <w:delText>éves és 18</w:delText>
        </w:r>
        <w:r w:rsidR="00C34B35" w:rsidRPr="00183B5F">
          <w:rPr>
            <w:szCs w:val="22"/>
          </w:rPr>
          <w:delText> </w:delText>
        </w:r>
        <w:r w:rsidRPr="00183B5F">
          <w:rPr>
            <w:szCs w:val="22"/>
          </w:rPr>
          <w:delText>évesnél idősebb beteget vontak be. A vizsgálatban részt vevő betegek vagy soha nem szedtek betegséget befolyásoló reumaellenes szereket, vagy a korábban alkalmazott anti</w:delText>
        </w:r>
        <w:r w:rsidRPr="00183B5F">
          <w:rPr>
            <w:szCs w:val="22"/>
          </w:rPr>
          <w:noBreakHyphen/>
          <w:delText>rheumás kezelésüket folytatták, ha a kezelés legalább 28</w:delText>
        </w:r>
        <w:r w:rsidR="00B8361B" w:rsidRPr="00183B5F">
          <w:rPr>
            <w:szCs w:val="22"/>
          </w:rPr>
          <w:delText> </w:delText>
        </w:r>
        <w:r w:rsidRPr="00183B5F">
          <w:rPr>
            <w:szCs w:val="22"/>
          </w:rPr>
          <w:delText>napig változatlan volt. A kezelések metotrexát, leflunomid, hidroxiklorokin, szulfaszalazin és/vagy aranysók alkalmazását foglalták magukba. A betegeket 40 mg Humira vagy placebo adására randomizálták, a kezelést minden második héten 24</w:delText>
        </w:r>
        <w:r w:rsidR="00A44DB6" w:rsidRPr="00183B5F">
          <w:rPr>
            <w:szCs w:val="22"/>
          </w:rPr>
          <w:delText> hét</w:delText>
        </w:r>
        <w:r w:rsidRPr="00183B5F">
          <w:rPr>
            <w:szCs w:val="22"/>
          </w:rPr>
          <w:delText>en át kapták.</w:delText>
        </w:r>
      </w:del>
    </w:p>
    <w:p w14:paraId="248644CF" w14:textId="380E10D8" w:rsidR="00FB6710" w:rsidRPr="00183B5F" w:rsidRDefault="00FB6710" w:rsidP="004062FE">
      <w:pPr>
        <w:spacing w:line="240" w:lineRule="auto"/>
        <w:rPr>
          <w:del w:id="1499" w:author="AbbVie_HU_03" w:date="2025-05-14T15:27:00Z"/>
          <w:szCs w:val="22"/>
        </w:rPr>
      </w:pPr>
    </w:p>
    <w:p w14:paraId="4E0A8D7E" w14:textId="2164BED3" w:rsidR="00BA7970" w:rsidRPr="00183B5F" w:rsidRDefault="00943743" w:rsidP="004062FE">
      <w:pPr>
        <w:tabs>
          <w:tab w:val="left" w:pos="3780"/>
        </w:tabs>
        <w:spacing w:line="240" w:lineRule="auto"/>
        <w:rPr>
          <w:del w:id="1500" w:author="AbbVie_HU_03" w:date="2025-05-14T15:27:00Z"/>
          <w:szCs w:val="22"/>
        </w:rPr>
      </w:pPr>
      <w:del w:id="1501" w:author="AbbVie_HU_03" w:date="2025-05-14T15:27:00Z">
        <w:r w:rsidRPr="00183B5F">
          <w:rPr>
            <w:szCs w:val="22"/>
          </w:rPr>
          <w:delText>Az RA</w:delText>
        </w:r>
        <w:r w:rsidR="00B8361B" w:rsidRPr="00183B5F">
          <w:rPr>
            <w:szCs w:val="22"/>
          </w:rPr>
          <w:delText> </w:delText>
        </w:r>
        <w:r w:rsidRPr="00183B5F">
          <w:rPr>
            <w:szCs w:val="22"/>
          </w:rPr>
          <w:delText>V vizsgálatban 799</w:delText>
        </w:r>
        <w:r w:rsidR="00B8361B" w:rsidRPr="00183B5F">
          <w:rPr>
            <w:szCs w:val="22"/>
          </w:rPr>
          <w:delText> </w:delText>
        </w:r>
        <w:r w:rsidRPr="00183B5F">
          <w:rPr>
            <w:szCs w:val="22"/>
          </w:rPr>
          <w:delText>felnőtt, köz</w:delText>
        </w:r>
        <w:r w:rsidR="00F73409" w:rsidRPr="00183B5F">
          <w:rPr>
            <w:szCs w:val="22"/>
          </w:rPr>
          <w:delText xml:space="preserve">epesen </w:delText>
        </w:r>
        <w:r w:rsidRPr="00183B5F">
          <w:rPr>
            <w:szCs w:val="22"/>
          </w:rPr>
          <w:delText>súlyos-súlyos, aktív</w:delText>
        </w:r>
        <w:r w:rsidR="005C406C" w:rsidRPr="00183B5F">
          <w:rPr>
            <w:szCs w:val="22"/>
          </w:rPr>
          <w:delText>,</w:delText>
        </w:r>
        <w:r w:rsidRPr="00183B5F">
          <w:rPr>
            <w:szCs w:val="22"/>
          </w:rPr>
          <w:delText xml:space="preserve"> korai (</w:delText>
        </w:r>
        <w:r w:rsidR="00E75009" w:rsidRPr="00183B5F">
          <w:rPr>
            <w:szCs w:val="22"/>
          </w:rPr>
          <w:delText xml:space="preserve">a </w:delText>
        </w:r>
        <w:r w:rsidRPr="00183B5F">
          <w:rPr>
            <w:szCs w:val="22"/>
          </w:rPr>
          <w:delText xml:space="preserve">betegség </w:delText>
        </w:r>
        <w:r w:rsidR="00E75009" w:rsidRPr="00183B5F">
          <w:rPr>
            <w:szCs w:val="22"/>
          </w:rPr>
          <w:delText xml:space="preserve">átlagos fennállási ideje kevesebb mint </w:delText>
        </w:r>
        <w:r w:rsidRPr="00183B5F">
          <w:rPr>
            <w:szCs w:val="22"/>
          </w:rPr>
          <w:delText>9</w:delText>
        </w:r>
        <w:r w:rsidR="00B8361B" w:rsidRPr="00183B5F">
          <w:rPr>
            <w:szCs w:val="22"/>
          </w:rPr>
          <w:delText> </w:delText>
        </w:r>
        <w:r w:rsidRPr="00183B5F">
          <w:rPr>
            <w:szCs w:val="22"/>
          </w:rPr>
          <w:delText>hónap) rheumatoid arthritisben szenvedő, metotrexáttal még nem kezelt beteget vizsgáltak. A vizsgálat 104</w:delText>
        </w:r>
        <w:r w:rsidR="00A44DB6" w:rsidRPr="00183B5F">
          <w:rPr>
            <w:szCs w:val="22"/>
          </w:rPr>
          <w:delText> hét</w:delText>
        </w:r>
        <w:r w:rsidRPr="00183B5F">
          <w:rPr>
            <w:szCs w:val="22"/>
          </w:rPr>
          <w:delText>ig tartó időszaka alatt a kéthetente egyszer metotrexát</w:delText>
        </w:r>
        <w:r w:rsidR="005C406C" w:rsidRPr="00183B5F">
          <w:rPr>
            <w:szCs w:val="22"/>
          </w:rPr>
          <w:delText>-</w:delText>
        </w:r>
        <w:r w:rsidRPr="00183B5F">
          <w:rPr>
            <w:szCs w:val="22"/>
          </w:rPr>
          <w:delText xml:space="preserve">kombinációban adott 40 mg Humira, 40 mg </w:delText>
        </w:r>
        <w:r w:rsidR="005C406C" w:rsidRPr="00183B5F">
          <w:rPr>
            <w:szCs w:val="22"/>
          </w:rPr>
          <w:delText>Humira-monoterá</w:delText>
        </w:r>
        <w:r w:rsidRPr="00183B5F">
          <w:rPr>
            <w:szCs w:val="22"/>
          </w:rPr>
          <w:delText xml:space="preserve">pia, illetve </w:delText>
        </w:r>
        <w:r w:rsidR="001A6E66" w:rsidRPr="00183B5F">
          <w:rPr>
            <w:szCs w:val="22"/>
          </w:rPr>
          <w:delText>metotrexát-mono</w:delText>
        </w:r>
        <w:r w:rsidRPr="00183B5F">
          <w:rPr>
            <w:szCs w:val="22"/>
          </w:rPr>
          <w:delText>terápia hatását vizsgálták arra vonatkozóan, hogy a betegség</w:delText>
        </w:r>
        <w:r w:rsidR="00E75009" w:rsidRPr="00183B5F">
          <w:rPr>
            <w:szCs w:val="22"/>
          </w:rPr>
          <w:delText xml:space="preserve"> okozta jelek és tünetek mérséklődnek-e</w:delText>
        </w:r>
        <w:r w:rsidRPr="00183B5F">
          <w:rPr>
            <w:szCs w:val="22"/>
          </w:rPr>
          <w:delText>, illetve rheumatoid arthritisben az ízületi károsodás előrehaladásának folyamata csökken-e.</w:delText>
        </w:r>
        <w:r w:rsidR="00562B35" w:rsidRPr="00183B5F">
          <w:rPr>
            <w:szCs w:val="22"/>
          </w:rPr>
          <w:delText xml:space="preserve"> Az első 104</w:delText>
        </w:r>
        <w:r w:rsidR="00460D33" w:rsidRPr="00183B5F">
          <w:rPr>
            <w:szCs w:val="22"/>
          </w:rPr>
          <w:delText xml:space="preserve"> hét befejezését követően 497</w:delText>
        </w:r>
        <w:r w:rsidR="00E15856" w:rsidRPr="00183B5F">
          <w:rPr>
            <w:szCs w:val="22"/>
          </w:rPr>
          <w:delText xml:space="preserve"> </w:delText>
        </w:r>
        <w:r w:rsidR="00562B35" w:rsidRPr="00183B5F">
          <w:rPr>
            <w:szCs w:val="22"/>
          </w:rPr>
          <w:delText>beteget vontak be egy nyílt kiterjesztésű vizsgálatba, a</w:delText>
        </w:r>
        <w:r w:rsidR="000B7AD3" w:rsidRPr="00183B5F">
          <w:rPr>
            <w:szCs w:val="22"/>
          </w:rPr>
          <w:delText>melyben</w:delText>
        </w:r>
        <w:r w:rsidR="00562B35" w:rsidRPr="00183B5F">
          <w:rPr>
            <w:szCs w:val="22"/>
          </w:rPr>
          <w:delText xml:space="preserve"> 40 mg Humira</w:delText>
        </w:r>
        <w:r w:rsidR="00562B35" w:rsidRPr="00183B5F">
          <w:rPr>
            <w:szCs w:val="22"/>
          </w:rPr>
          <w:noBreakHyphen/>
          <w:delText xml:space="preserve">t </w:delText>
        </w:r>
        <w:r w:rsidR="000B7AD3" w:rsidRPr="00183B5F">
          <w:rPr>
            <w:szCs w:val="22"/>
          </w:rPr>
          <w:delText>alkalmaztak</w:delText>
        </w:r>
        <w:r w:rsidR="00562B35" w:rsidRPr="00183B5F">
          <w:rPr>
            <w:szCs w:val="22"/>
          </w:rPr>
          <w:delText xml:space="preserve"> minden 2. héten</w:delText>
        </w:r>
        <w:r w:rsidR="005C406C" w:rsidRPr="00183B5F">
          <w:rPr>
            <w:szCs w:val="22"/>
          </w:rPr>
          <w:delText>,</w:delText>
        </w:r>
        <w:r w:rsidR="000B7AD3" w:rsidRPr="00183B5F">
          <w:rPr>
            <w:szCs w:val="22"/>
          </w:rPr>
          <w:delText xml:space="preserve"> legfeljebb 10 évig</w:delText>
        </w:r>
        <w:r w:rsidR="00F52856" w:rsidRPr="00183B5F">
          <w:rPr>
            <w:szCs w:val="22"/>
          </w:rPr>
          <w:delText>.</w:delText>
        </w:r>
      </w:del>
    </w:p>
    <w:p w14:paraId="05E301E1" w14:textId="30F957C1" w:rsidR="00FB6710" w:rsidRPr="00183B5F" w:rsidRDefault="00FB6710" w:rsidP="004062FE">
      <w:pPr>
        <w:spacing w:line="240" w:lineRule="auto"/>
        <w:rPr>
          <w:del w:id="1502" w:author="AbbVie_HU_03" w:date="2025-05-14T15:27:00Z"/>
          <w:szCs w:val="22"/>
        </w:rPr>
      </w:pPr>
    </w:p>
    <w:p w14:paraId="70CBC5D0" w14:textId="4B412574" w:rsidR="00FB6710" w:rsidRPr="00183B5F" w:rsidRDefault="00943743" w:rsidP="004062FE">
      <w:pPr>
        <w:spacing w:line="240" w:lineRule="auto"/>
        <w:rPr>
          <w:del w:id="1503" w:author="AbbVie_HU_03" w:date="2025-05-14T15:27:00Z"/>
          <w:szCs w:val="22"/>
        </w:rPr>
      </w:pPr>
      <w:del w:id="1504" w:author="AbbVie_HU_03" w:date="2025-05-14T15:27:00Z">
        <w:r w:rsidRPr="00183B5F">
          <w:rPr>
            <w:szCs w:val="22"/>
          </w:rPr>
          <w:delText>Az RA</w:delText>
        </w:r>
        <w:r w:rsidR="00B8361B" w:rsidRPr="00183B5F">
          <w:rPr>
            <w:szCs w:val="22"/>
          </w:rPr>
          <w:delText> </w:delText>
        </w:r>
        <w:r w:rsidRPr="00183B5F">
          <w:rPr>
            <w:szCs w:val="22"/>
          </w:rPr>
          <w:delText>I,</w:delText>
        </w:r>
        <w:r w:rsidR="00B8361B" w:rsidRPr="00183B5F">
          <w:rPr>
            <w:szCs w:val="22"/>
          </w:rPr>
          <w:delText> </w:delText>
        </w:r>
        <w:r w:rsidRPr="00183B5F">
          <w:rPr>
            <w:szCs w:val="22"/>
          </w:rPr>
          <w:delText>II, és</w:delText>
        </w:r>
        <w:r w:rsidR="00B8361B" w:rsidRPr="00183B5F">
          <w:rPr>
            <w:szCs w:val="22"/>
          </w:rPr>
          <w:delText> </w:delText>
        </w:r>
        <w:r w:rsidRPr="00183B5F">
          <w:rPr>
            <w:szCs w:val="22"/>
          </w:rPr>
          <w:delText>III vizsgálatokban az elsődleges végpont, míg az RA</w:delText>
        </w:r>
        <w:r w:rsidR="00B8361B" w:rsidRPr="00183B5F">
          <w:rPr>
            <w:szCs w:val="22"/>
          </w:rPr>
          <w:delText> </w:delText>
        </w:r>
        <w:r w:rsidRPr="00183B5F">
          <w:rPr>
            <w:szCs w:val="22"/>
          </w:rPr>
          <w:delText>IV vizsgálatban a másodlagos végpont azon betegek százalékos aránya volt, akik</w:delText>
        </w:r>
        <w:r w:rsidR="00E75009" w:rsidRPr="00183B5F">
          <w:rPr>
            <w:szCs w:val="22"/>
          </w:rPr>
          <w:delText>nél</w:delText>
        </w:r>
        <w:r w:rsidRPr="00183B5F">
          <w:rPr>
            <w:szCs w:val="22"/>
          </w:rPr>
          <w:delText xml:space="preserve"> a 24</w:delText>
        </w:r>
        <w:r w:rsidR="005D174E" w:rsidRPr="00183B5F">
          <w:rPr>
            <w:szCs w:val="22"/>
          </w:rPr>
          <w:delText>,</w:delText>
        </w:r>
        <w:r w:rsidRPr="00183B5F">
          <w:rPr>
            <w:szCs w:val="22"/>
          </w:rPr>
          <w:delText xml:space="preserve"> illetve 26</w:delText>
        </w:r>
        <w:r w:rsidR="00A44DB6" w:rsidRPr="00183B5F">
          <w:rPr>
            <w:szCs w:val="22"/>
          </w:rPr>
          <w:delText> hét</w:delText>
        </w:r>
        <w:r w:rsidRPr="00183B5F">
          <w:rPr>
            <w:szCs w:val="22"/>
          </w:rPr>
          <w:delText xml:space="preserve"> leteltével </w:delText>
        </w:r>
        <w:r w:rsidR="00E75009" w:rsidRPr="00183B5F">
          <w:rPr>
            <w:szCs w:val="22"/>
          </w:rPr>
          <w:delText xml:space="preserve">kialakult az </w:delText>
        </w:r>
        <w:r w:rsidRPr="00183B5F">
          <w:rPr>
            <w:szCs w:val="22"/>
          </w:rPr>
          <w:delText>ACR</w:delText>
        </w:r>
        <w:r w:rsidR="00B8361B" w:rsidRPr="00183B5F">
          <w:rPr>
            <w:szCs w:val="22"/>
          </w:rPr>
          <w:delText> </w:delText>
        </w:r>
        <w:r w:rsidRPr="00183B5F">
          <w:rPr>
            <w:szCs w:val="22"/>
          </w:rPr>
          <w:delText>20 válasz. Az V. vizsgálatban az elsődleges végpont az ACR</w:delText>
        </w:r>
        <w:r w:rsidR="00B8361B" w:rsidRPr="00183B5F">
          <w:rPr>
            <w:szCs w:val="22"/>
          </w:rPr>
          <w:delText> </w:delText>
        </w:r>
        <w:r w:rsidRPr="00183B5F">
          <w:rPr>
            <w:szCs w:val="22"/>
          </w:rPr>
          <w:delText>50 választ adó betegek százalékos aránya volt a vizsgálat 52.</w:delText>
        </w:r>
        <w:r w:rsidR="00B8361B" w:rsidRPr="00183B5F">
          <w:rPr>
            <w:szCs w:val="22"/>
          </w:rPr>
          <w:delText> </w:delText>
        </w:r>
        <w:r w:rsidRPr="00183B5F">
          <w:rPr>
            <w:szCs w:val="22"/>
          </w:rPr>
          <w:delText>hetében. Az RA</w:delText>
        </w:r>
        <w:r w:rsidR="00B8361B" w:rsidRPr="00183B5F">
          <w:rPr>
            <w:szCs w:val="22"/>
          </w:rPr>
          <w:delText> </w:delText>
        </w:r>
        <w:r w:rsidRPr="00183B5F">
          <w:rPr>
            <w:szCs w:val="22"/>
          </w:rPr>
          <w:delText>III és RA</w:delText>
        </w:r>
        <w:r w:rsidR="00B8361B" w:rsidRPr="00183B5F">
          <w:rPr>
            <w:szCs w:val="22"/>
          </w:rPr>
          <w:delText> </w:delText>
        </w:r>
        <w:r w:rsidRPr="00183B5F">
          <w:rPr>
            <w:szCs w:val="22"/>
          </w:rPr>
          <w:delText xml:space="preserve">V vizsgálatban </w:delText>
        </w:r>
        <w:r w:rsidR="00E75009" w:rsidRPr="00183B5F">
          <w:rPr>
            <w:szCs w:val="22"/>
          </w:rPr>
          <w:delText>további</w:delText>
        </w:r>
        <w:r w:rsidRPr="00183B5F">
          <w:rPr>
            <w:szCs w:val="22"/>
          </w:rPr>
          <w:delText xml:space="preserve"> elsődleges végpontot jelentett </w:delText>
        </w:r>
        <w:r w:rsidR="00E75009" w:rsidRPr="00183B5F">
          <w:rPr>
            <w:szCs w:val="22"/>
          </w:rPr>
          <w:delText xml:space="preserve">az </w:delText>
        </w:r>
        <w:r w:rsidRPr="00183B5F">
          <w:rPr>
            <w:szCs w:val="22"/>
          </w:rPr>
          <w:delText>52</w:delText>
        </w:r>
        <w:r w:rsidR="00E75009" w:rsidRPr="00183B5F">
          <w:rPr>
            <w:szCs w:val="22"/>
          </w:rPr>
          <w:delText>.</w:delText>
        </w:r>
        <w:r w:rsidR="00A44DB6" w:rsidRPr="00183B5F">
          <w:rPr>
            <w:szCs w:val="22"/>
          </w:rPr>
          <w:delText> hét</w:delText>
        </w:r>
        <w:r w:rsidR="00E75009" w:rsidRPr="00183B5F">
          <w:rPr>
            <w:szCs w:val="22"/>
          </w:rPr>
          <w:delText>re</w:delText>
        </w:r>
        <w:r w:rsidRPr="00183B5F">
          <w:rPr>
            <w:szCs w:val="22"/>
          </w:rPr>
          <w:delText xml:space="preserve"> a betegség progressziójának lassulása (röntgenfelvételek alapján). Az RA</w:delText>
        </w:r>
        <w:r w:rsidR="00B8361B" w:rsidRPr="00183B5F">
          <w:rPr>
            <w:szCs w:val="22"/>
          </w:rPr>
          <w:delText> </w:delText>
        </w:r>
        <w:r w:rsidRPr="00183B5F">
          <w:rPr>
            <w:szCs w:val="22"/>
          </w:rPr>
          <w:delText>III</w:delText>
        </w:r>
        <w:r w:rsidR="005D174E" w:rsidRPr="00183B5F">
          <w:rPr>
            <w:szCs w:val="22"/>
          </w:rPr>
          <w:delText> </w:delText>
        </w:r>
        <w:r w:rsidRPr="00183B5F">
          <w:rPr>
            <w:szCs w:val="22"/>
          </w:rPr>
          <w:delText>vizsgálatban elsődleges végpont volt még az életminőség megváltozása.</w:delText>
        </w:r>
      </w:del>
    </w:p>
    <w:p w14:paraId="5470BBCA" w14:textId="1D46AE68" w:rsidR="00FB6710" w:rsidRPr="00183B5F" w:rsidRDefault="00FB6710" w:rsidP="004062FE">
      <w:pPr>
        <w:spacing w:line="240" w:lineRule="auto"/>
        <w:rPr>
          <w:del w:id="1505" w:author="AbbVie_HU_03" w:date="2025-05-14T15:27:00Z"/>
          <w:szCs w:val="22"/>
        </w:rPr>
      </w:pPr>
    </w:p>
    <w:p w14:paraId="03E11EB6" w14:textId="258688DF" w:rsidR="00FB6710" w:rsidRPr="00183B5F" w:rsidRDefault="00943743" w:rsidP="004062FE">
      <w:pPr>
        <w:keepNext/>
        <w:spacing w:line="240" w:lineRule="auto"/>
        <w:rPr>
          <w:del w:id="1506" w:author="AbbVie_HU_03" w:date="2025-05-14T15:27:00Z"/>
          <w:i/>
          <w:szCs w:val="22"/>
          <w:u w:val="single"/>
        </w:rPr>
      </w:pPr>
      <w:del w:id="1507" w:author="AbbVie_HU_03" w:date="2025-05-14T15:27:00Z">
        <w:r w:rsidRPr="00183B5F">
          <w:rPr>
            <w:i/>
            <w:szCs w:val="22"/>
            <w:u w:val="single"/>
          </w:rPr>
          <w:delText>ACR-válasz</w:delText>
        </w:r>
      </w:del>
    </w:p>
    <w:p w14:paraId="6E63D5ED" w14:textId="353DA85B" w:rsidR="00FB6710" w:rsidRPr="00183B5F" w:rsidRDefault="00FB6710" w:rsidP="004062FE">
      <w:pPr>
        <w:keepNext/>
        <w:spacing w:line="240" w:lineRule="auto"/>
        <w:rPr>
          <w:del w:id="1508" w:author="AbbVie_HU_03" w:date="2025-05-14T15:27:00Z"/>
          <w:i/>
          <w:szCs w:val="22"/>
        </w:rPr>
      </w:pPr>
    </w:p>
    <w:p w14:paraId="0712CC94" w14:textId="5F9F1D6C" w:rsidR="004A4222" w:rsidRPr="00183B5F" w:rsidRDefault="00943743" w:rsidP="004062FE">
      <w:pPr>
        <w:keepNext/>
        <w:spacing w:line="240" w:lineRule="auto"/>
        <w:rPr>
          <w:del w:id="1509" w:author="AbbVie_HU_03" w:date="2025-05-14T15:27:00Z"/>
          <w:szCs w:val="22"/>
        </w:rPr>
      </w:pPr>
      <w:del w:id="1510" w:author="AbbVie_HU_03" w:date="2025-05-14T15:27:00Z">
        <w:r w:rsidRPr="00183B5F">
          <w:rPr>
            <w:szCs w:val="22"/>
          </w:rPr>
          <w:delText>Az ACR</w:delText>
        </w:r>
        <w:r w:rsidR="00B8361B" w:rsidRPr="00183B5F">
          <w:rPr>
            <w:szCs w:val="22"/>
          </w:rPr>
          <w:delText> </w:delText>
        </w:r>
        <w:r w:rsidRPr="00183B5F">
          <w:rPr>
            <w:szCs w:val="22"/>
          </w:rPr>
          <w:delText>20,</w:delText>
        </w:r>
        <w:r w:rsidR="00B8361B" w:rsidRPr="00183B5F">
          <w:rPr>
            <w:szCs w:val="22"/>
          </w:rPr>
          <w:delText> </w:delText>
        </w:r>
        <w:r w:rsidRPr="00183B5F">
          <w:rPr>
            <w:szCs w:val="22"/>
          </w:rPr>
          <w:delText>50 vagy</w:delText>
        </w:r>
        <w:r w:rsidR="00B8361B" w:rsidRPr="00183B5F">
          <w:rPr>
            <w:szCs w:val="22"/>
          </w:rPr>
          <w:delText> </w:delText>
        </w:r>
        <w:r w:rsidRPr="00183B5F">
          <w:rPr>
            <w:szCs w:val="22"/>
          </w:rPr>
          <w:delText>70 választ produkáló Humira</w:delText>
        </w:r>
        <w:r w:rsidRPr="00183B5F">
          <w:rPr>
            <w:szCs w:val="22"/>
          </w:rPr>
          <w:noBreakHyphen/>
        </w:r>
        <w:r w:rsidRPr="00183B5F">
          <w:rPr>
            <w:szCs w:val="22"/>
          </w:rPr>
          <w:delText>kezelt betegek százalékos aránya állandó volt az RA</w:delText>
        </w:r>
        <w:r w:rsidR="00B8361B" w:rsidRPr="00183B5F">
          <w:rPr>
            <w:szCs w:val="22"/>
          </w:rPr>
          <w:delText> </w:delText>
        </w:r>
        <w:r w:rsidRPr="00183B5F">
          <w:rPr>
            <w:szCs w:val="22"/>
          </w:rPr>
          <w:delText>I,</w:delText>
        </w:r>
        <w:r w:rsidR="00B8361B" w:rsidRPr="00183B5F">
          <w:rPr>
            <w:szCs w:val="22"/>
          </w:rPr>
          <w:delText> </w:delText>
        </w:r>
        <w:r w:rsidRPr="00183B5F">
          <w:rPr>
            <w:szCs w:val="22"/>
          </w:rPr>
          <w:delText>II, és</w:delText>
        </w:r>
        <w:r w:rsidR="00B8361B" w:rsidRPr="00183B5F">
          <w:rPr>
            <w:szCs w:val="22"/>
          </w:rPr>
          <w:delText> </w:delText>
        </w:r>
        <w:r w:rsidRPr="00183B5F">
          <w:rPr>
            <w:szCs w:val="22"/>
          </w:rPr>
          <w:delText>III vizsgálatokban. Minden második héten adott 40 mg</w:delText>
        </w:r>
        <w:r w:rsidRPr="00183B5F">
          <w:rPr>
            <w:szCs w:val="22"/>
          </w:rPr>
          <w:noBreakHyphen/>
          <w:delText>os dózissal elért eredmények összefoglalása található a</w:delText>
        </w:r>
        <w:r w:rsidR="004753C1" w:rsidRPr="00183B5F">
          <w:rPr>
            <w:szCs w:val="22"/>
          </w:rPr>
          <w:delText xml:space="preserve"> </w:delText>
        </w:r>
        <w:r w:rsidR="00557B72" w:rsidRPr="00183B5F">
          <w:rPr>
            <w:szCs w:val="22"/>
          </w:rPr>
          <w:delText>8</w:delText>
        </w:r>
        <w:r w:rsidRPr="00183B5F">
          <w:rPr>
            <w:szCs w:val="22"/>
          </w:rPr>
          <w:delText>.</w:delText>
        </w:r>
        <w:r w:rsidR="007C4B4D" w:rsidRPr="00183B5F">
          <w:rPr>
            <w:szCs w:val="22"/>
          </w:rPr>
          <w:delText> </w:delText>
        </w:r>
        <w:r w:rsidRPr="00183B5F">
          <w:rPr>
            <w:szCs w:val="22"/>
          </w:rPr>
          <w:delText>táblázatban.</w:delText>
        </w:r>
      </w:del>
    </w:p>
    <w:p w14:paraId="773EF765" w14:textId="7638A63A" w:rsidR="00FB6710" w:rsidRPr="00183B5F" w:rsidRDefault="00FB6710" w:rsidP="004062FE">
      <w:pPr>
        <w:spacing w:line="240" w:lineRule="auto"/>
        <w:rPr>
          <w:del w:id="1511" w:author="AbbVie_HU_03" w:date="2025-05-14T15:27:00Z"/>
          <w:szCs w:val="22"/>
        </w:rPr>
      </w:pPr>
    </w:p>
    <w:p w14:paraId="45A5CF48" w14:textId="7592250C" w:rsidR="00FB6710" w:rsidRPr="00183B5F" w:rsidRDefault="00943743" w:rsidP="004062FE">
      <w:pPr>
        <w:keepNext/>
        <w:tabs>
          <w:tab w:val="left" w:pos="1530"/>
        </w:tabs>
        <w:spacing w:line="240" w:lineRule="auto"/>
        <w:jc w:val="both"/>
        <w:rPr>
          <w:del w:id="1512" w:author="AbbVie_HU_03" w:date="2025-05-14T15:27:00Z"/>
          <w:b/>
          <w:szCs w:val="22"/>
        </w:rPr>
      </w:pPr>
      <w:del w:id="1513" w:author="AbbVie_HU_03" w:date="2025-05-14T15:27:00Z">
        <w:r w:rsidRPr="00183B5F">
          <w:rPr>
            <w:szCs w:val="22"/>
          </w:rPr>
          <w:tab/>
        </w:r>
        <w:r w:rsidR="00557B72" w:rsidRPr="00183B5F">
          <w:rPr>
            <w:b/>
            <w:szCs w:val="22"/>
          </w:rPr>
          <w:delText>8</w:delText>
        </w:r>
        <w:r w:rsidRPr="00183B5F">
          <w:rPr>
            <w:b/>
            <w:szCs w:val="22"/>
          </w:rPr>
          <w:delText>.</w:delText>
        </w:r>
        <w:r w:rsidR="007C4B4D" w:rsidRPr="00183B5F">
          <w:rPr>
            <w:b/>
            <w:szCs w:val="22"/>
          </w:rPr>
          <w:delText> </w:delText>
        </w:r>
        <w:r w:rsidRPr="00183B5F">
          <w:rPr>
            <w:b/>
            <w:szCs w:val="22"/>
          </w:rPr>
          <w:delText xml:space="preserve">táblázat </w:delText>
        </w:r>
        <w:r w:rsidR="005D174E" w:rsidRPr="00183B5F">
          <w:rPr>
            <w:b/>
            <w:szCs w:val="22"/>
          </w:rPr>
          <w:delText>ACR-válasz</w:delText>
        </w:r>
        <w:r w:rsidRPr="00183B5F">
          <w:rPr>
            <w:b/>
            <w:szCs w:val="22"/>
          </w:rPr>
          <w:delText xml:space="preserve"> placebokontrollos vizsgálatokban</w:delText>
        </w:r>
      </w:del>
    </w:p>
    <w:tbl>
      <w:tblPr>
        <w:tblW w:w="9214" w:type="dxa"/>
        <w:tblInd w:w="8" w:type="dxa"/>
        <w:tblLayout w:type="fixed"/>
        <w:tblCellMar>
          <w:left w:w="0" w:type="dxa"/>
          <w:right w:w="0" w:type="dxa"/>
        </w:tblCellMar>
        <w:tblLook w:val="0000" w:firstRow="0" w:lastRow="0" w:firstColumn="0" w:lastColumn="0" w:noHBand="0" w:noVBand="0"/>
      </w:tblPr>
      <w:tblGrid>
        <w:gridCol w:w="1159"/>
        <w:gridCol w:w="1393"/>
        <w:gridCol w:w="1417"/>
        <w:gridCol w:w="1071"/>
        <w:gridCol w:w="1197"/>
        <w:gridCol w:w="1418"/>
        <w:gridCol w:w="1559"/>
      </w:tblGrid>
      <w:tr w:rsidR="00011D2F" w14:paraId="64636188" w14:textId="52F603CF">
        <w:trPr>
          <w:del w:id="1514" w:author="AbbVie_HU_03" w:date="2025-05-14T15:27:00Z"/>
        </w:trPr>
        <w:tc>
          <w:tcPr>
            <w:tcW w:w="9214" w:type="dxa"/>
            <w:gridSpan w:val="7"/>
            <w:tcBorders>
              <w:bottom w:val="single" w:sz="4" w:space="0" w:color="auto"/>
            </w:tcBorders>
          </w:tcPr>
          <w:p w14:paraId="050DE516" w14:textId="71285713" w:rsidR="00FB6710" w:rsidRPr="00183B5F" w:rsidRDefault="00943743" w:rsidP="004062FE">
            <w:pPr>
              <w:keepNext/>
              <w:spacing w:line="240" w:lineRule="auto"/>
              <w:jc w:val="center"/>
              <w:rPr>
                <w:del w:id="1515" w:author="AbbVie_HU_03" w:date="2025-05-14T15:27:00Z"/>
                <w:b/>
                <w:bCs/>
                <w:szCs w:val="22"/>
              </w:rPr>
            </w:pPr>
            <w:del w:id="1516" w:author="AbbVie_HU_03" w:date="2025-05-14T15:27:00Z">
              <w:r w:rsidRPr="00183B5F">
                <w:rPr>
                  <w:b/>
                  <w:bCs/>
                  <w:szCs w:val="22"/>
                </w:rPr>
                <w:delText>(Betegek százaléka)</w:delText>
              </w:r>
            </w:del>
          </w:p>
          <w:p w14:paraId="011A2E00" w14:textId="33A16D97" w:rsidR="00FB6710" w:rsidRPr="00183B5F" w:rsidRDefault="00FB6710" w:rsidP="004062FE">
            <w:pPr>
              <w:keepNext/>
              <w:spacing w:line="240" w:lineRule="auto"/>
              <w:jc w:val="center"/>
              <w:rPr>
                <w:del w:id="1517" w:author="AbbVie_HU_03" w:date="2025-05-14T15:27:00Z"/>
                <w:b/>
                <w:bCs/>
                <w:szCs w:val="22"/>
              </w:rPr>
            </w:pPr>
          </w:p>
        </w:tc>
      </w:tr>
      <w:tr w:rsidR="00011D2F" w14:paraId="780D4DC2" w14:textId="74CD5D56">
        <w:trPr>
          <w:cantSplit/>
          <w:del w:id="1518" w:author="AbbVie_HU_03" w:date="2025-05-14T15:27:00Z"/>
        </w:trPr>
        <w:tc>
          <w:tcPr>
            <w:tcW w:w="1159" w:type="dxa"/>
            <w:tcBorders>
              <w:top w:val="single" w:sz="4" w:space="0" w:color="auto"/>
              <w:left w:val="single" w:sz="4" w:space="0" w:color="auto"/>
              <w:right w:val="single" w:sz="6" w:space="0" w:color="auto"/>
            </w:tcBorders>
          </w:tcPr>
          <w:p w14:paraId="53A18CB3" w14:textId="7F12BCCF" w:rsidR="00FB6710" w:rsidRPr="00183B5F" w:rsidRDefault="00943743">
            <w:pPr>
              <w:pStyle w:val="In-texttable"/>
              <w:spacing w:line="240" w:lineRule="auto"/>
              <w:rPr>
                <w:del w:id="1519" w:author="AbbVie_HU_03" w:date="2025-05-14T15:27:00Z"/>
                <w:rFonts w:ascii="Times New Roman" w:hAnsi="Times New Roman"/>
                <w:sz w:val="22"/>
                <w:szCs w:val="22"/>
                <w:lang w:val="hu-HU"/>
              </w:rPr>
            </w:pPr>
            <w:del w:id="1520" w:author="AbbVie_HU_03" w:date="2025-05-14T15:27:00Z">
              <w:r w:rsidRPr="00183B5F">
                <w:rPr>
                  <w:rFonts w:ascii="Times New Roman" w:hAnsi="Times New Roman"/>
                  <w:sz w:val="22"/>
                  <w:szCs w:val="22"/>
                  <w:lang w:val="hu-HU"/>
                </w:rPr>
                <w:delText>Válasz</w:delText>
              </w:r>
            </w:del>
          </w:p>
        </w:tc>
        <w:tc>
          <w:tcPr>
            <w:tcW w:w="2810" w:type="dxa"/>
            <w:gridSpan w:val="2"/>
            <w:tcBorders>
              <w:top w:val="single" w:sz="4" w:space="0" w:color="auto"/>
              <w:left w:val="single" w:sz="6" w:space="0" w:color="auto"/>
              <w:bottom w:val="single" w:sz="6" w:space="0" w:color="auto"/>
              <w:right w:val="single" w:sz="6" w:space="0" w:color="auto"/>
            </w:tcBorders>
          </w:tcPr>
          <w:p w14:paraId="779FA2B7" w14:textId="01EF80A2" w:rsidR="00FB6710" w:rsidRPr="00183B5F" w:rsidRDefault="00943743">
            <w:pPr>
              <w:pStyle w:val="In-texttable"/>
              <w:spacing w:line="240" w:lineRule="auto"/>
              <w:jc w:val="center"/>
              <w:rPr>
                <w:del w:id="1521" w:author="AbbVie_HU_03" w:date="2025-05-14T15:27:00Z"/>
                <w:rFonts w:ascii="Times New Roman" w:hAnsi="Times New Roman"/>
                <w:sz w:val="22"/>
                <w:szCs w:val="22"/>
                <w:lang w:val="hu-HU"/>
              </w:rPr>
            </w:pPr>
            <w:del w:id="1522" w:author="AbbVie_HU_03" w:date="2025-05-14T15:27:00Z">
              <w:r w:rsidRPr="00183B5F">
                <w:rPr>
                  <w:rFonts w:ascii="Times New Roman" w:hAnsi="Times New Roman"/>
                  <w:sz w:val="22"/>
                  <w:szCs w:val="22"/>
                  <w:lang w:val="hu-HU"/>
                </w:rPr>
                <w:delText>RA I vizsgálat</w:delText>
              </w:r>
              <w:r w:rsidRPr="00183B5F">
                <w:rPr>
                  <w:rFonts w:ascii="Times New Roman" w:hAnsi="Times New Roman"/>
                  <w:sz w:val="22"/>
                  <w:szCs w:val="22"/>
                  <w:vertAlign w:val="superscript"/>
                  <w:lang w:val="hu-HU"/>
                </w:rPr>
                <w:delText>a**</w:delText>
              </w:r>
            </w:del>
          </w:p>
        </w:tc>
        <w:tc>
          <w:tcPr>
            <w:tcW w:w="2268" w:type="dxa"/>
            <w:gridSpan w:val="2"/>
            <w:tcBorders>
              <w:top w:val="single" w:sz="4" w:space="0" w:color="auto"/>
              <w:left w:val="single" w:sz="6" w:space="0" w:color="auto"/>
              <w:bottom w:val="single" w:sz="6" w:space="0" w:color="auto"/>
              <w:right w:val="single" w:sz="6" w:space="0" w:color="auto"/>
            </w:tcBorders>
          </w:tcPr>
          <w:p w14:paraId="423231B4" w14:textId="755F213B" w:rsidR="00FB6710" w:rsidRPr="00183B5F" w:rsidRDefault="00943743">
            <w:pPr>
              <w:pStyle w:val="In-texttable"/>
              <w:spacing w:line="240" w:lineRule="auto"/>
              <w:jc w:val="center"/>
              <w:rPr>
                <w:del w:id="1523" w:author="AbbVie_HU_03" w:date="2025-05-14T15:27:00Z"/>
                <w:rFonts w:ascii="Times New Roman" w:hAnsi="Times New Roman"/>
                <w:sz w:val="22"/>
                <w:szCs w:val="22"/>
                <w:lang w:val="hu-HU"/>
              </w:rPr>
            </w:pPr>
            <w:del w:id="1524" w:author="AbbVie_HU_03" w:date="2025-05-14T15:27:00Z">
              <w:r w:rsidRPr="00183B5F">
                <w:rPr>
                  <w:rFonts w:ascii="Times New Roman" w:hAnsi="Times New Roman"/>
                  <w:sz w:val="22"/>
                  <w:szCs w:val="22"/>
                  <w:lang w:val="hu-HU"/>
                </w:rPr>
                <w:delText>RA II vizsgálat</w:delText>
              </w:r>
              <w:r w:rsidRPr="00183B5F">
                <w:rPr>
                  <w:rFonts w:ascii="Times New Roman" w:hAnsi="Times New Roman"/>
                  <w:sz w:val="22"/>
                  <w:szCs w:val="22"/>
                  <w:vertAlign w:val="superscript"/>
                  <w:lang w:val="hu-HU"/>
                </w:rPr>
                <w:delText>a**</w:delText>
              </w:r>
            </w:del>
          </w:p>
        </w:tc>
        <w:tc>
          <w:tcPr>
            <w:tcW w:w="2977" w:type="dxa"/>
            <w:gridSpan w:val="2"/>
            <w:tcBorders>
              <w:top w:val="single" w:sz="4" w:space="0" w:color="auto"/>
              <w:left w:val="single" w:sz="6" w:space="0" w:color="auto"/>
              <w:bottom w:val="single" w:sz="6" w:space="0" w:color="auto"/>
              <w:right w:val="single" w:sz="4" w:space="0" w:color="auto"/>
            </w:tcBorders>
          </w:tcPr>
          <w:p w14:paraId="1AA99D89" w14:textId="0A1578F1" w:rsidR="00FB6710" w:rsidRPr="00183B5F" w:rsidRDefault="00943743">
            <w:pPr>
              <w:pStyle w:val="In-texttable"/>
              <w:spacing w:line="240" w:lineRule="auto"/>
              <w:jc w:val="center"/>
              <w:rPr>
                <w:del w:id="1525" w:author="AbbVie_HU_03" w:date="2025-05-14T15:27:00Z"/>
                <w:rFonts w:ascii="Times New Roman" w:hAnsi="Times New Roman"/>
                <w:sz w:val="22"/>
                <w:szCs w:val="22"/>
                <w:lang w:val="hu-HU"/>
              </w:rPr>
            </w:pPr>
            <w:del w:id="1526" w:author="AbbVie_HU_03" w:date="2025-05-14T15:27:00Z">
              <w:r w:rsidRPr="00183B5F">
                <w:rPr>
                  <w:rFonts w:ascii="Times New Roman" w:hAnsi="Times New Roman"/>
                  <w:sz w:val="22"/>
                  <w:szCs w:val="22"/>
                  <w:lang w:val="hu-HU"/>
                </w:rPr>
                <w:delText>RA III vizsgálat</w:delText>
              </w:r>
              <w:r w:rsidRPr="00183B5F">
                <w:rPr>
                  <w:rFonts w:ascii="Times New Roman" w:hAnsi="Times New Roman"/>
                  <w:sz w:val="22"/>
                  <w:szCs w:val="22"/>
                  <w:vertAlign w:val="superscript"/>
                  <w:lang w:val="hu-HU"/>
                </w:rPr>
                <w:delText>a**</w:delText>
              </w:r>
            </w:del>
          </w:p>
        </w:tc>
      </w:tr>
      <w:tr w:rsidR="00011D2F" w14:paraId="251C71EF" w14:textId="5904968D">
        <w:trPr>
          <w:cantSplit/>
          <w:del w:id="1527" w:author="AbbVie_HU_03" w:date="2025-05-14T15:27:00Z"/>
        </w:trPr>
        <w:tc>
          <w:tcPr>
            <w:tcW w:w="1159" w:type="dxa"/>
            <w:tcBorders>
              <w:left w:val="single" w:sz="4" w:space="0" w:color="auto"/>
              <w:bottom w:val="single" w:sz="6" w:space="0" w:color="auto"/>
              <w:right w:val="single" w:sz="6" w:space="0" w:color="auto"/>
            </w:tcBorders>
          </w:tcPr>
          <w:p w14:paraId="316D0623" w14:textId="05829765" w:rsidR="00FB6710" w:rsidRPr="00183B5F" w:rsidRDefault="00FB6710">
            <w:pPr>
              <w:pStyle w:val="In-texttable"/>
              <w:spacing w:line="240" w:lineRule="auto"/>
              <w:rPr>
                <w:del w:id="1528" w:author="AbbVie_HU_03" w:date="2025-05-14T15:27:00Z"/>
                <w:rFonts w:ascii="Times New Roman" w:hAnsi="Times New Roman"/>
                <w:sz w:val="22"/>
                <w:szCs w:val="22"/>
                <w:lang w:val="hu-HU"/>
              </w:rPr>
            </w:pPr>
          </w:p>
        </w:tc>
        <w:tc>
          <w:tcPr>
            <w:tcW w:w="1393" w:type="dxa"/>
            <w:tcBorders>
              <w:top w:val="single" w:sz="6" w:space="0" w:color="auto"/>
              <w:left w:val="single" w:sz="6" w:space="0" w:color="auto"/>
              <w:bottom w:val="single" w:sz="6" w:space="0" w:color="auto"/>
            </w:tcBorders>
          </w:tcPr>
          <w:p w14:paraId="3E912D87" w14:textId="7A87A0D8" w:rsidR="00C67C60" w:rsidRPr="00183B5F" w:rsidRDefault="00943743">
            <w:pPr>
              <w:pStyle w:val="In-texttable"/>
              <w:spacing w:line="240" w:lineRule="auto"/>
              <w:jc w:val="center"/>
              <w:rPr>
                <w:del w:id="1529" w:author="AbbVie_HU_03" w:date="2025-05-14T15:27:00Z"/>
                <w:rFonts w:ascii="Times New Roman" w:hAnsi="Times New Roman"/>
                <w:sz w:val="22"/>
                <w:szCs w:val="22"/>
                <w:lang w:val="hu-HU"/>
              </w:rPr>
            </w:pPr>
            <w:del w:id="1530" w:author="AbbVie_HU_03" w:date="2025-05-14T15:27:00Z">
              <w:r w:rsidRPr="00183B5F">
                <w:rPr>
                  <w:rFonts w:ascii="Times New Roman" w:hAnsi="Times New Roman"/>
                  <w:sz w:val="22"/>
                  <w:szCs w:val="22"/>
                  <w:lang w:val="hu-HU"/>
                </w:rPr>
                <w:delText xml:space="preserve">Placebo/ </w:delText>
              </w:r>
            </w:del>
          </w:p>
          <w:p w14:paraId="628C7273" w14:textId="0707443A" w:rsidR="00FB6710" w:rsidRPr="00183B5F" w:rsidRDefault="00943743">
            <w:pPr>
              <w:pStyle w:val="In-texttable"/>
              <w:spacing w:line="240" w:lineRule="auto"/>
              <w:jc w:val="center"/>
              <w:rPr>
                <w:del w:id="1531" w:author="AbbVie_HU_03" w:date="2025-05-14T15:27:00Z"/>
                <w:rFonts w:ascii="Times New Roman" w:hAnsi="Times New Roman"/>
                <w:sz w:val="22"/>
                <w:szCs w:val="22"/>
                <w:lang w:val="hu-HU"/>
              </w:rPr>
            </w:pPr>
            <w:del w:id="1532" w:author="AbbVie_HU_03" w:date="2025-05-14T15:27:00Z">
              <w:r w:rsidRPr="00183B5F">
                <w:rPr>
                  <w:rFonts w:ascii="Times New Roman" w:hAnsi="Times New Roman"/>
                  <w:sz w:val="22"/>
                  <w:szCs w:val="22"/>
                  <w:lang w:val="hu-HU"/>
                </w:rPr>
                <w:delText>MTX</w:delText>
              </w:r>
              <w:r w:rsidRPr="00183B5F">
                <w:rPr>
                  <w:rFonts w:ascii="Times New Roman" w:hAnsi="Times New Roman"/>
                  <w:sz w:val="22"/>
                  <w:szCs w:val="22"/>
                  <w:vertAlign w:val="superscript"/>
                  <w:lang w:val="hu-HU"/>
                </w:rPr>
                <w:delText>c</w:delText>
              </w:r>
            </w:del>
          </w:p>
          <w:p w14:paraId="410FA0E3" w14:textId="3E62309E" w:rsidR="00FB6710" w:rsidRPr="00183B5F" w:rsidRDefault="00943743">
            <w:pPr>
              <w:pStyle w:val="In-texttable"/>
              <w:spacing w:line="240" w:lineRule="auto"/>
              <w:jc w:val="center"/>
              <w:rPr>
                <w:del w:id="1533" w:author="AbbVie_HU_03" w:date="2025-05-14T15:27:00Z"/>
                <w:rFonts w:ascii="Times New Roman" w:hAnsi="Times New Roman"/>
                <w:sz w:val="22"/>
                <w:szCs w:val="22"/>
                <w:lang w:val="hu-HU"/>
              </w:rPr>
            </w:pPr>
            <w:del w:id="1534" w:author="AbbVie_HU_03" w:date="2025-05-14T15:27:00Z">
              <w:r w:rsidRPr="00183B5F">
                <w:rPr>
                  <w:rFonts w:ascii="Times New Roman" w:hAnsi="Times New Roman"/>
                  <w:sz w:val="22"/>
                  <w:szCs w:val="22"/>
                  <w:lang w:val="hu-HU"/>
                </w:rPr>
                <w:delText>n = 60</w:delText>
              </w:r>
            </w:del>
          </w:p>
        </w:tc>
        <w:tc>
          <w:tcPr>
            <w:tcW w:w="1417" w:type="dxa"/>
            <w:tcBorders>
              <w:top w:val="single" w:sz="6" w:space="0" w:color="auto"/>
              <w:bottom w:val="single" w:sz="6" w:space="0" w:color="auto"/>
              <w:right w:val="single" w:sz="6" w:space="0" w:color="auto"/>
            </w:tcBorders>
          </w:tcPr>
          <w:p w14:paraId="0F9BE8A7" w14:textId="5B67C5B4" w:rsidR="00FB6710" w:rsidRPr="00183B5F" w:rsidRDefault="00943743">
            <w:pPr>
              <w:pStyle w:val="In-texttable"/>
              <w:spacing w:line="240" w:lineRule="auto"/>
              <w:jc w:val="center"/>
              <w:rPr>
                <w:del w:id="1535" w:author="AbbVie_HU_03" w:date="2025-05-14T15:27:00Z"/>
                <w:rFonts w:ascii="Times New Roman" w:hAnsi="Times New Roman"/>
                <w:sz w:val="22"/>
                <w:lang w:val="hu-HU"/>
              </w:rPr>
            </w:pPr>
            <w:del w:id="1536" w:author="AbbVie_HU_03" w:date="2025-05-14T15:27:00Z">
              <w:r w:rsidRPr="00183B5F">
                <w:rPr>
                  <w:rFonts w:ascii="Times New Roman" w:hAnsi="Times New Roman"/>
                  <w:sz w:val="22"/>
                  <w:lang w:val="hu-HU"/>
                </w:rPr>
                <w:delText>Humira</w:delText>
              </w:r>
              <w:r w:rsidRPr="00183B5F">
                <w:rPr>
                  <w:rFonts w:ascii="Times New Roman" w:hAnsi="Times New Roman"/>
                  <w:sz w:val="22"/>
                  <w:vertAlign w:val="superscript"/>
                  <w:lang w:val="hu-HU"/>
                </w:rPr>
                <w:delText>b</w:delText>
              </w:r>
              <w:r w:rsidRPr="00183B5F">
                <w:rPr>
                  <w:rFonts w:ascii="Times New Roman" w:hAnsi="Times New Roman"/>
                  <w:sz w:val="22"/>
                  <w:lang w:val="hu-HU"/>
                </w:rPr>
                <w:delText>/ MTX</w:delText>
              </w:r>
              <w:r w:rsidRPr="00183B5F">
                <w:rPr>
                  <w:rFonts w:ascii="Times New Roman" w:hAnsi="Times New Roman"/>
                  <w:sz w:val="22"/>
                  <w:vertAlign w:val="superscript"/>
                  <w:lang w:val="hu-HU"/>
                </w:rPr>
                <w:delText>c</w:delText>
              </w:r>
            </w:del>
          </w:p>
          <w:p w14:paraId="6B390D61" w14:textId="3ECF9CCD" w:rsidR="00FB6710" w:rsidRPr="00183B5F" w:rsidRDefault="00943743">
            <w:pPr>
              <w:pStyle w:val="In-texttable"/>
              <w:spacing w:line="240" w:lineRule="auto"/>
              <w:jc w:val="center"/>
              <w:rPr>
                <w:del w:id="1537" w:author="AbbVie_HU_03" w:date="2025-05-14T15:27:00Z"/>
                <w:rFonts w:ascii="Times New Roman" w:hAnsi="Times New Roman"/>
                <w:sz w:val="22"/>
                <w:lang w:val="hu-HU"/>
              </w:rPr>
            </w:pPr>
            <w:del w:id="1538" w:author="AbbVie_HU_03" w:date="2025-05-14T15:27:00Z">
              <w:r w:rsidRPr="00183B5F">
                <w:rPr>
                  <w:rFonts w:ascii="Times New Roman" w:hAnsi="Times New Roman"/>
                  <w:sz w:val="22"/>
                  <w:lang w:val="hu-HU"/>
                </w:rPr>
                <w:delText>n = 63</w:delText>
              </w:r>
            </w:del>
          </w:p>
        </w:tc>
        <w:tc>
          <w:tcPr>
            <w:tcW w:w="1071" w:type="dxa"/>
            <w:tcBorders>
              <w:top w:val="single" w:sz="6" w:space="0" w:color="auto"/>
              <w:left w:val="single" w:sz="6" w:space="0" w:color="auto"/>
              <w:bottom w:val="single" w:sz="6" w:space="0" w:color="auto"/>
            </w:tcBorders>
          </w:tcPr>
          <w:p w14:paraId="06C343B8" w14:textId="6CCC1479" w:rsidR="00FB6710" w:rsidRPr="00183B5F" w:rsidRDefault="00943743">
            <w:pPr>
              <w:pStyle w:val="In-texttable"/>
              <w:spacing w:line="240" w:lineRule="auto"/>
              <w:jc w:val="center"/>
              <w:rPr>
                <w:del w:id="1539" w:author="AbbVie_HU_03" w:date="2025-05-14T15:27:00Z"/>
                <w:rFonts w:ascii="Times New Roman" w:hAnsi="Times New Roman"/>
                <w:sz w:val="22"/>
                <w:lang w:val="hu-HU"/>
              </w:rPr>
            </w:pPr>
            <w:del w:id="1540" w:author="AbbVie_HU_03" w:date="2025-05-14T15:27:00Z">
              <w:r w:rsidRPr="00183B5F">
                <w:rPr>
                  <w:rFonts w:ascii="Times New Roman" w:hAnsi="Times New Roman"/>
                  <w:sz w:val="22"/>
                  <w:lang w:val="hu-HU"/>
                </w:rPr>
                <w:delText>Placebo</w:delText>
              </w:r>
            </w:del>
          </w:p>
          <w:p w14:paraId="0C099887" w14:textId="162093A5" w:rsidR="00FB6710" w:rsidRPr="00183B5F" w:rsidRDefault="00943743">
            <w:pPr>
              <w:pStyle w:val="In-texttable"/>
              <w:spacing w:line="240" w:lineRule="auto"/>
              <w:jc w:val="center"/>
              <w:rPr>
                <w:del w:id="1541" w:author="AbbVie_HU_03" w:date="2025-05-14T15:27:00Z"/>
                <w:rFonts w:ascii="Times New Roman" w:hAnsi="Times New Roman"/>
                <w:sz w:val="22"/>
                <w:lang w:val="hu-HU"/>
              </w:rPr>
            </w:pPr>
            <w:del w:id="1542" w:author="AbbVie_HU_03" w:date="2025-05-14T15:27:00Z">
              <w:r w:rsidRPr="00183B5F">
                <w:rPr>
                  <w:rFonts w:ascii="Times New Roman" w:hAnsi="Times New Roman"/>
                  <w:sz w:val="22"/>
                  <w:lang w:val="hu-HU"/>
                </w:rPr>
                <w:delText>n = 110</w:delText>
              </w:r>
            </w:del>
          </w:p>
        </w:tc>
        <w:tc>
          <w:tcPr>
            <w:tcW w:w="1197" w:type="dxa"/>
            <w:tcBorders>
              <w:top w:val="single" w:sz="6" w:space="0" w:color="auto"/>
              <w:bottom w:val="single" w:sz="6" w:space="0" w:color="auto"/>
              <w:right w:val="single" w:sz="6" w:space="0" w:color="auto"/>
            </w:tcBorders>
          </w:tcPr>
          <w:p w14:paraId="672D2CBC" w14:textId="1D6D589D" w:rsidR="00FB6710" w:rsidRPr="00183B5F" w:rsidRDefault="00943743">
            <w:pPr>
              <w:pStyle w:val="In-texttable"/>
              <w:spacing w:line="240" w:lineRule="auto"/>
              <w:jc w:val="center"/>
              <w:rPr>
                <w:del w:id="1543" w:author="AbbVie_HU_03" w:date="2025-05-14T15:27:00Z"/>
                <w:rFonts w:ascii="Times New Roman" w:hAnsi="Times New Roman"/>
                <w:sz w:val="22"/>
                <w:lang w:val="hu-HU"/>
              </w:rPr>
            </w:pPr>
            <w:del w:id="1544" w:author="AbbVie_HU_03" w:date="2025-05-14T15:27:00Z">
              <w:r w:rsidRPr="00183B5F">
                <w:rPr>
                  <w:rFonts w:ascii="Times New Roman" w:hAnsi="Times New Roman"/>
                  <w:sz w:val="22"/>
                  <w:lang w:val="hu-HU"/>
                </w:rPr>
                <w:delText>Humira</w:delText>
              </w:r>
              <w:r w:rsidRPr="00183B5F">
                <w:rPr>
                  <w:rFonts w:ascii="Times New Roman" w:hAnsi="Times New Roman"/>
                  <w:sz w:val="22"/>
                  <w:vertAlign w:val="superscript"/>
                  <w:lang w:val="hu-HU"/>
                </w:rPr>
                <w:delText>b</w:delText>
              </w:r>
            </w:del>
          </w:p>
          <w:p w14:paraId="4B1A2341" w14:textId="56022E63" w:rsidR="00FB6710" w:rsidRPr="00183B5F" w:rsidRDefault="00943743">
            <w:pPr>
              <w:pStyle w:val="In-texttable"/>
              <w:spacing w:line="240" w:lineRule="auto"/>
              <w:jc w:val="center"/>
              <w:rPr>
                <w:del w:id="1545" w:author="AbbVie_HU_03" w:date="2025-05-14T15:27:00Z"/>
                <w:rFonts w:ascii="Times New Roman" w:hAnsi="Times New Roman"/>
                <w:sz w:val="22"/>
                <w:lang w:val="hu-HU"/>
              </w:rPr>
            </w:pPr>
            <w:del w:id="1546" w:author="AbbVie_HU_03" w:date="2025-05-14T15:27:00Z">
              <w:r w:rsidRPr="00183B5F">
                <w:rPr>
                  <w:rFonts w:ascii="Times New Roman" w:hAnsi="Times New Roman"/>
                  <w:sz w:val="22"/>
                  <w:lang w:val="hu-HU"/>
                </w:rPr>
                <w:delText>n = 113</w:delText>
              </w:r>
            </w:del>
          </w:p>
        </w:tc>
        <w:tc>
          <w:tcPr>
            <w:tcW w:w="1418" w:type="dxa"/>
            <w:tcBorders>
              <w:top w:val="single" w:sz="6" w:space="0" w:color="auto"/>
              <w:left w:val="single" w:sz="6" w:space="0" w:color="auto"/>
              <w:bottom w:val="single" w:sz="6" w:space="0" w:color="auto"/>
            </w:tcBorders>
          </w:tcPr>
          <w:p w14:paraId="44C7513A" w14:textId="0986977B" w:rsidR="00C67C60" w:rsidRPr="00183B5F" w:rsidRDefault="00943743">
            <w:pPr>
              <w:pStyle w:val="In-texttable"/>
              <w:spacing w:line="240" w:lineRule="auto"/>
              <w:jc w:val="center"/>
              <w:rPr>
                <w:del w:id="1547" w:author="AbbVie_HU_03" w:date="2025-05-14T15:27:00Z"/>
                <w:rFonts w:ascii="Times New Roman" w:hAnsi="Times New Roman"/>
                <w:sz w:val="22"/>
                <w:szCs w:val="22"/>
                <w:lang w:val="hu-HU"/>
              </w:rPr>
            </w:pPr>
            <w:del w:id="1548" w:author="AbbVie_HU_03" w:date="2025-05-14T15:27:00Z">
              <w:r w:rsidRPr="00183B5F">
                <w:rPr>
                  <w:rFonts w:ascii="Times New Roman" w:hAnsi="Times New Roman"/>
                  <w:sz w:val="22"/>
                  <w:szCs w:val="22"/>
                  <w:lang w:val="hu-HU"/>
                </w:rPr>
                <w:delText xml:space="preserve">Placebo/ </w:delText>
              </w:r>
            </w:del>
          </w:p>
          <w:p w14:paraId="2D83E507" w14:textId="7E68B8CC" w:rsidR="00FB6710" w:rsidRPr="00183B5F" w:rsidRDefault="00943743">
            <w:pPr>
              <w:pStyle w:val="In-texttable"/>
              <w:spacing w:line="240" w:lineRule="auto"/>
              <w:jc w:val="center"/>
              <w:rPr>
                <w:del w:id="1549" w:author="AbbVie_HU_03" w:date="2025-05-14T15:27:00Z"/>
                <w:rFonts w:ascii="Times New Roman" w:hAnsi="Times New Roman"/>
                <w:sz w:val="22"/>
                <w:szCs w:val="22"/>
                <w:lang w:val="hu-HU"/>
              </w:rPr>
            </w:pPr>
            <w:del w:id="1550" w:author="AbbVie_HU_03" w:date="2025-05-14T15:27:00Z">
              <w:r w:rsidRPr="00183B5F">
                <w:rPr>
                  <w:rFonts w:ascii="Times New Roman" w:hAnsi="Times New Roman"/>
                  <w:sz w:val="22"/>
                  <w:szCs w:val="22"/>
                  <w:lang w:val="hu-HU"/>
                </w:rPr>
                <w:delText>MTX</w:delText>
              </w:r>
              <w:r w:rsidRPr="00183B5F">
                <w:rPr>
                  <w:rFonts w:ascii="Times New Roman" w:hAnsi="Times New Roman"/>
                  <w:sz w:val="22"/>
                  <w:szCs w:val="22"/>
                  <w:vertAlign w:val="superscript"/>
                  <w:lang w:val="hu-HU"/>
                </w:rPr>
                <w:delText>c</w:delText>
              </w:r>
            </w:del>
          </w:p>
          <w:p w14:paraId="37F617E8" w14:textId="4A1C4BA3" w:rsidR="00FB6710" w:rsidRPr="00183B5F" w:rsidRDefault="00943743">
            <w:pPr>
              <w:pStyle w:val="In-texttable"/>
              <w:spacing w:line="240" w:lineRule="auto"/>
              <w:jc w:val="center"/>
              <w:rPr>
                <w:del w:id="1551" w:author="AbbVie_HU_03" w:date="2025-05-14T15:27:00Z"/>
                <w:rFonts w:ascii="Times New Roman" w:hAnsi="Times New Roman"/>
                <w:sz w:val="22"/>
                <w:szCs w:val="22"/>
                <w:lang w:val="hu-HU"/>
              </w:rPr>
            </w:pPr>
            <w:del w:id="1552" w:author="AbbVie_HU_03" w:date="2025-05-14T15:27:00Z">
              <w:r w:rsidRPr="00183B5F">
                <w:rPr>
                  <w:rFonts w:ascii="Times New Roman" w:hAnsi="Times New Roman"/>
                  <w:sz w:val="22"/>
                  <w:szCs w:val="22"/>
                  <w:lang w:val="hu-HU"/>
                </w:rPr>
                <w:delText>n = 200</w:delText>
              </w:r>
            </w:del>
          </w:p>
        </w:tc>
        <w:tc>
          <w:tcPr>
            <w:tcW w:w="1559" w:type="dxa"/>
            <w:tcBorders>
              <w:top w:val="single" w:sz="6" w:space="0" w:color="auto"/>
              <w:bottom w:val="single" w:sz="6" w:space="0" w:color="auto"/>
              <w:right w:val="single" w:sz="4" w:space="0" w:color="auto"/>
            </w:tcBorders>
          </w:tcPr>
          <w:p w14:paraId="76FFFB5D" w14:textId="3088B325" w:rsidR="00FB6710" w:rsidRPr="00183B5F" w:rsidRDefault="00943743">
            <w:pPr>
              <w:pStyle w:val="In-texttable"/>
              <w:spacing w:line="240" w:lineRule="auto"/>
              <w:jc w:val="center"/>
              <w:rPr>
                <w:del w:id="1553" w:author="AbbVie_HU_03" w:date="2025-05-14T15:27:00Z"/>
                <w:rFonts w:ascii="Times New Roman" w:hAnsi="Times New Roman"/>
                <w:sz w:val="22"/>
                <w:lang w:val="hu-HU"/>
              </w:rPr>
            </w:pPr>
            <w:del w:id="1554" w:author="AbbVie_HU_03" w:date="2025-05-14T15:27:00Z">
              <w:r w:rsidRPr="00183B5F">
                <w:rPr>
                  <w:rFonts w:ascii="Times New Roman" w:hAnsi="Times New Roman"/>
                  <w:sz w:val="22"/>
                  <w:lang w:val="hu-HU"/>
                </w:rPr>
                <w:delText>Humira</w:delText>
              </w:r>
              <w:r w:rsidRPr="00183B5F">
                <w:rPr>
                  <w:rFonts w:ascii="Times New Roman" w:hAnsi="Times New Roman"/>
                  <w:sz w:val="22"/>
                  <w:vertAlign w:val="superscript"/>
                  <w:lang w:val="hu-HU"/>
                </w:rPr>
                <w:delText>b</w:delText>
              </w:r>
              <w:r w:rsidRPr="00183B5F">
                <w:rPr>
                  <w:rFonts w:ascii="Times New Roman" w:hAnsi="Times New Roman"/>
                  <w:sz w:val="22"/>
                  <w:lang w:val="hu-HU"/>
                </w:rPr>
                <w:delText>/ MTX</w:delText>
              </w:r>
              <w:r w:rsidRPr="00183B5F">
                <w:rPr>
                  <w:rFonts w:ascii="Times New Roman" w:hAnsi="Times New Roman"/>
                  <w:sz w:val="22"/>
                  <w:vertAlign w:val="superscript"/>
                  <w:lang w:val="hu-HU"/>
                </w:rPr>
                <w:delText>c</w:delText>
              </w:r>
            </w:del>
          </w:p>
          <w:p w14:paraId="555B280E" w14:textId="3DAAB593" w:rsidR="00FB6710" w:rsidRPr="00183B5F" w:rsidRDefault="00943743">
            <w:pPr>
              <w:pStyle w:val="In-texttable"/>
              <w:spacing w:line="240" w:lineRule="auto"/>
              <w:jc w:val="center"/>
              <w:rPr>
                <w:del w:id="1555" w:author="AbbVie_HU_03" w:date="2025-05-14T15:27:00Z"/>
                <w:rFonts w:ascii="Times New Roman" w:hAnsi="Times New Roman"/>
                <w:sz w:val="22"/>
                <w:lang w:val="hu-HU"/>
              </w:rPr>
            </w:pPr>
            <w:del w:id="1556" w:author="AbbVie_HU_03" w:date="2025-05-14T15:27:00Z">
              <w:r w:rsidRPr="00183B5F">
                <w:rPr>
                  <w:rFonts w:ascii="Times New Roman" w:hAnsi="Times New Roman"/>
                  <w:sz w:val="22"/>
                  <w:lang w:val="hu-HU"/>
                </w:rPr>
                <w:delText>n = 207</w:delText>
              </w:r>
            </w:del>
          </w:p>
        </w:tc>
      </w:tr>
      <w:tr w:rsidR="00011D2F" w14:paraId="508833AE" w14:textId="572472D1">
        <w:trPr>
          <w:cantSplit/>
          <w:del w:id="1557" w:author="AbbVie_HU_03" w:date="2025-05-14T15:27:00Z"/>
        </w:trPr>
        <w:tc>
          <w:tcPr>
            <w:tcW w:w="1159" w:type="dxa"/>
            <w:tcBorders>
              <w:left w:val="single" w:sz="4" w:space="0" w:color="auto"/>
              <w:right w:val="single" w:sz="6" w:space="0" w:color="auto"/>
            </w:tcBorders>
          </w:tcPr>
          <w:p w14:paraId="4F4BB74A" w14:textId="572077C0" w:rsidR="00FB6710" w:rsidRPr="00183B5F" w:rsidRDefault="00943743">
            <w:pPr>
              <w:pStyle w:val="In-texttable"/>
              <w:tabs>
                <w:tab w:val="left" w:pos="144"/>
              </w:tabs>
              <w:spacing w:line="240" w:lineRule="auto"/>
              <w:rPr>
                <w:del w:id="1558" w:author="AbbVie_HU_03" w:date="2025-05-14T15:27:00Z"/>
                <w:rFonts w:ascii="Times New Roman" w:hAnsi="Times New Roman"/>
                <w:sz w:val="22"/>
                <w:szCs w:val="22"/>
                <w:lang w:val="hu-HU"/>
              </w:rPr>
            </w:pPr>
            <w:del w:id="1559" w:author="AbbVie_HU_03" w:date="2025-05-14T15:27:00Z">
              <w:r w:rsidRPr="00183B5F">
                <w:rPr>
                  <w:rFonts w:ascii="Times New Roman" w:hAnsi="Times New Roman"/>
                  <w:sz w:val="22"/>
                  <w:szCs w:val="22"/>
                  <w:lang w:val="hu-HU"/>
                </w:rPr>
                <w:delText>ACR</w:delText>
              </w:r>
              <w:r w:rsidR="00B8361B" w:rsidRPr="00183B5F">
                <w:rPr>
                  <w:rFonts w:ascii="Times New Roman" w:hAnsi="Times New Roman"/>
                  <w:sz w:val="22"/>
                  <w:szCs w:val="22"/>
                  <w:lang w:val="hu-HU"/>
                </w:rPr>
                <w:delText> </w:delText>
              </w:r>
              <w:r w:rsidRPr="00183B5F">
                <w:rPr>
                  <w:rFonts w:ascii="Times New Roman" w:hAnsi="Times New Roman"/>
                  <w:sz w:val="22"/>
                  <w:szCs w:val="22"/>
                  <w:lang w:val="hu-HU"/>
                </w:rPr>
                <w:delText>20</w:delText>
              </w:r>
            </w:del>
          </w:p>
        </w:tc>
        <w:tc>
          <w:tcPr>
            <w:tcW w:w="1393" w:type="dxa"/>
            <w:tcBorders>
              <w:left w:val="single" w:sz="6" w:space="0" w:color="auto"/>
            </w:tcBorders>
          </w:tcPr>
          <w:p w14:paraId="26C36714" w14:textId="139EEB00" w:rsidR="00FB6710" w:rsidRPr="00183B5F" w:rsidRDefault="00FB6710">
            <w:pPr>
              <w:pStyle w:val="In-texttable"/>
              <w:spacing w:line="240" w:lineRule="auto"/>
              <w:jc w:val="center"/>
              <w:rPr>
                <w:del w:id="1560" w:author="AbbVie_HU_03" w:date="2025-05-14T15:27:00Z"/>
                <w:rFonts w:ascii="Times New Roman" w:hAnsi="Times New Roman"/>
                <w:sz w:val="22"/>
                <w:szCs w:val="22"/>
                <w:lang w:val="hu-HU"/>
              </w:rPr>
            </w:pPr>
          </w:p>
        </w:tc>
        <w:tc>
          <w:tcPr>
            <w:tcW w:w="1417" w:type="dxa"/>
            <w:tcBorders>
              <w:right w:val="single" w:sz="6" w:space="0" w:color="auto"/>
            </w:tcBorders>
          </w:tcPr>
          <w:p w14:paraId="315631E6" w14:textId="52AA2834" w:rsidR="00FB6710" w:rsidRPr="00183B5F" w:rsidRDefault="00FB6710">
            <w:pPr>
              <w:pStyle w:val="In-texttable"/>
              <w:spacing w:line="240" w:lineRule="auto"/>
              <w:jc w:val="center"/>
              <w:rPr>
                <w:del w:id="1561" w:author="AbbVie_HU_03" w:date="2025-05-14T15:27:00Z"/>
                <w:rFonts w:ascii="Times New Roman" w:hAnsi="Times New Roman"/>
                <w:sz w:val="22"/>
                <w:szCs w:val="22"/>
                <w:lang w:val="hu-HU"/>
              </w:rPr>
            </w:pPr>
          </w:p>
        </w:tc>
        <w:tc>
          <w:tcPr>
            <w:tcW w:w="1071" w:type="dxa"/>
            <w:tcBorders>
              <w:left w:val="single" w:sz="6" w:space="0" w:color="auto"/>
            </w:tcBorders>
          </w:tcPr>
          <w:p w14:paraId="52C510E8" w14:textId="64D53E7C" w:rsidR="00FB6710" w:rsidRPr="00183B5F" w:rsidRDefault="00FB6710">
            <w:pPr>
              <w:pStyle w:val="In-texttable"/>
              <w:spacing w:line="240" w:lineRule="auto"/>
              <w:jc w:val="center"/>
              <w:rPr>
                <w:del w:id="1562" w:author="AbbVie_HU_03" w:date="2025-05-14T15:27:00Z"/>
                <w:rFonts w:ascii="Times New Roman" w:hAnsi="Times New Roman"/>
                <w:sz w:val="22"/>
                <w:szCs w:val="22"/>
                <w:lang w:val="hu-HU"/>
              </w:rPr>
            </w:pPr>
          </w:p>
        </w:tc>
        <w:tc>
          <w:tcPr>
            <w:tcW w:w="1197" w:type="dxa"/>
            <w:tcBorders>
              <w:right w:val="single" w:sz="6" w:space="0" w:color="auto"/>
            </w:tcBorders>
          </w:tcPr>
          <w:p w14:paraId="6D2671A4" w14:textId="63CB14F4" w:rsidR="00FB6710" w:rsidRPr="00183B5F" w:rsidRDefault="00FB6710">
            <w:pPr>
              <w:pStyle w:val="In-texttable"/>
              <w:spacing w:line="240" w:lineRule="auto"/>
              <w:jc w:val="center"/>
              <w:rPr>
                <w:del w:id="1563" w:author="AbbVie_HU_03" w:date="2025-05-14T15:27:00Z"/>
                <w:rFonts w:ascii="Times New Roman" w:hAnsi="Times New Roman"/>
                <w:sz w:val="22"/>
                <w:szCs w:val="22"/>
                <w:lang w:val="hu-HU"/>
              </w:rPr>
            </w:pPr>
          </w:p>
        </w:tc>
        <w:tc>
          <w:tcPr>
            <w:tcW w:w="1418" w:type="dxa"/>
            <w:tcBorders>
              <w:top w:val="single" w:sz="6" w:space="0" w:color="auto"/>
              <w:left w:val="single" w:sz="6" w:space="0" w:color="auto"/>
            </w:tcBorders>
          </w:tcPr>
          <w:p w14:paraId="76E286DA" w14:textId="00EFC2CA" w:rsidR="00FB6710" w:rsidRPr="00183B5F" w:rsidRDefault="00FB6710">
            <w:pPr>
              <w:pStyle w:val="In-texttable"/>
              <w:spacing w:line="240" w:lineRule="auto"/>
              <w:jc w:val="center"/>
              <w:rPr>
                <w:del w:id="1564" w:author="AbbVie_HU_03" w:date="2025-05-14T15:27:00Z"/>
                <w:rFonts w:ascii="Times New Roman" w:hAnsi="Times New Roman"/>
                <w:sz w:val="22"/>
                <w:szCs w:val="22"/>
                <w:lang w:val="hu-HU"/>
              </w:rPr>
            </w:pPr>
          </w:p>
        </w:tc>
        <w:tc>
          <w:tcPr>
            <w:tcW w:w="1559" w:type="dxa"/>
            <w:tcBorders>
              <w:top w:val="single" w:sz="6" w:space="0" w:color="auto"/>
              <w:right w:val="single" w:sz="4" w:space="0" w:color="auto"/>
            </w:tcBorders>
          </w:tcPr>
          <w:p w14:paraId="6B5C5726" w14:textId="09107350" w:rsidR="00FB6710" w:rsidRPr="00183B5F" w:rsidRDefault="00FB6710">
            <w:pPr>
              <w:pStyle w:val="In-texttable"/>
              <w:spacing w:line="240" w:lineRule="auto"/>
              <w:jc w:val="center"/>
              <w:rPr>
                <w:del w:id="1565" w:author="AbbVie_HU_03" w:date="2025-05-14T15:27:00Z"/>
                <w:rFonts w:ascii="Times New Roman" w:hAnsi="Times New Roman"/>
                <w:sz w:val="22"/>
                <w:szCs w:val="22"/>
                <w:lang w:val="hu-HU"/>
              </w:rPr>
            </w:pPr>
          </w:p>
        </w:tc>
      </w:tr>
      <w:tr w:rsidR="00011D2F" w14:paraId="38D727F1" w14:textId="6C27A654">
        <w:trPr>
          <w:cantSplit/>
          <w:del w:id="1566" w:author="AbbVie_HU_03" w:date="2025-05-14T15:27:00Z"/>
        </w:trPr>
        <w:tc>
          <w:tcPr>
            <w:tcW w:w="1159" w:type="dxa"/>
            <w:tcBorders>
              <w:left w:val="single" w:sz="4" w:space="0" w:color="auto"/>
              <w:right w:val="single" w:sz="6" w:space="0" w:color="auto"/>
            </w:tcBorders>
          </w:tcPr>
          <w:p w14:paraId="14338330" w14:textId="05A3ABC6" w:rsidR="00FB6710" w:rsidRPr="00183B5F" w:rsidRDefault="00943743" w:rsidP="004062FE">
            <w:pPr>
              <w:pStyle w:val="In-texttable"/>
              <w:tabs>
                <w:tab w:val="left" w:pos="144"/>
              </w:tabs>
              <w:spacing w:line="240" w:lineRule="auto"/>
              <w:rPr>
                <w:del w:id="1567" w:author="AbbVie_HU_03" w:date="2025-05-14T15:27:00Z"/>
                <w:rFonts w:ascii="Times New Roman" w:hAnsi="Times New Roman"/>
                <w:sz w:val="22"/>
                <w:lang w:val="hu-HU"/>
              </w:rPr>
            </w:pPr>
            <w:del w:id="1568" w:author="AbbVie_HU_03" w:date="2025-05-14T15:27:00Z">
              <w:r w:rsidRPr="00183B5F">
                <w:rPr>
                  <w:rFonts w:ascii="Times New Roman" w:hAnsi="Times New Roman"/>
                  <w:sz w:val="22"/>
                  <w:szCs w:val="22"/>
                  <w:lang w:val="hu-HU"/>
                </w:rPr>
                <w:tab/>
              </w:r>
              <w:r w:rsidRPr="00183B5F">
                <w:rPr>
                  <w:rFonts w:ascii="Times New Roman" w:hAnsi="Times New Roman"/>
                  <w:sz w:val="22"/>
                  <w:lang w:val="hu-HU"/>
                </w:rPr>
                <w:delText>6</w:delText>
              </w:r>
              <w:r w:rsidR="00B8361B" w:rsidRPr="00183B5F">
                <w:rPr>
                  <w:rFonts w:ascii="Times New Roman" w:hAnsi="Times New Roman"/>
                  <w:sz w:val="22"/>
                  <w:lang w:val="hu-HU"/>
                </w:rPr>
                <w:delText> </w:delText>
              </w:r>
              <w:r w:rsidRPr="00183B5F">
                <w:rPr>
                  <w:rFonts w:ascii="Times New Roman" w:hAnsi="Times New Roman"/>
                  <w:sz w:val="22"/>
                  <w:lang w:val="hu-HU"/>
                </w:rPr>
                <w:delText>hónap</w:delText>
              </w:r>
            </w:del>
          </w:p>
        </w:tc>
        <w:tc>
          <w:tcPr>
            <w:tcW w:w="1393" w:type="dxa"/>
            <w:tcBorders>
              <w:left w:val="single" w:sz="6" w:space="0" w:color="auto"/>
            </w:tcBorders>
          </w:tcPr>
          <w:p w14:paraId="173C8E46" w14:textId="1B66ACF0" w:rsidR="00FB6710" w:rsidRPr="00183B5F" w:rsidRDefault="00943743" w:rsidP="004062FE">
            <w:pPr>
              <w:pStyle w:val="In-texttable"/>
              <w:tabs>
                <w:tab w:val="decimal" w:pos="259"/>
              </w:tabs>
              <w:spacing w:line="240" w:lineRule="auto"/>
              <w:jc w:val="center"/>
              <w:rPr>
                <w:del w:id="1569" w:author="AbbVie_HU_03" w:date="2025-05-14T15:27:00Z"/>
                <w:rFonts w:ascii="Times New Roman" w:hAnsi="Times New Roman"/>
                <w:sz w:val="22"/>
                <w:lang w:val="hu-HU"/>
              </w:rPr>
            </w:pPr>
            <w:del w:id="1570" w:author="AbbVie_HU_03" w:date="2025-05-14T15:27:00Z">
              <w:r w:rsidRPr="00183B5F">
                <w:rPr>
                  <w:rFonts w:ascii="Times New Roman" w:hAnsi="Times New Roman"/>
                  <w:sz w:val="22"/>
                  <w:lang w:val="hu-HU"/>
                </w:rPr>
                <w:delText>13,3%</w:delText>
              </w:r>
            </w:del>
          </w:p>
        </w:tc>
        <w:tc>
          <w:tcPr>
            <w:tcW w:w="1417" w:type="dxa"/>
            <w:tcBorders>
              <w:right w:val="single" w:sz="6" w:space="0" w:color="auto"/>
            </w:tcBorders>
          </w:tcPr>
          <w:p w14:paraId="092AD200" w14:textId="5CE4F42F" w:rsidR="00FB6710" w:rsidRPr="00183B5F" w:rsidRDefault="00943743" w:rsidP="004062FE">
            <w:pPr>
              <w:pStyle w:val="In-texttable"/>
              <w:tabs>
                <w:tab w:val="decimal" w:pos="250"/>
              </w:tabs>
              <w:spacing w:line="240" w:lineRule="auto"/>
              <w:jc w:val="center"/>
              <w:rPr>
                <w:del w:id="1571" w:author="AbbVie_HU_03" w:date="2025-05-14T15:27:00Z"/>
                <w:rFonts w:ascii="Times New Roman" w:hAnsi="Times New Roman"/>
                <w:sz w:val="22"/>
                <w:lang w:val="hu-HU"/>
              </w:rPr>
            </w:pPr>
            <w:del w:id="1572" w:author="AbbVie_HU_03" w:date="2025-05-14T15:27:00Z">
              <w:r w:rsidRPr="00183B5F">
                <w:rPr>
                  <w:rFonts w:ascii="Times New Roman" w:hAnsi="Times New Roman"/>
                  <w:sz w:val="22"/>
                  <w:lang w:val="hu-HU"/>
                </w:rPr>
                <w:delText>65,1%</w:delText>
              </w:r>
            </w:del>
          </w:p>
        </w:tc>
        <w:tc>
          <w:tcPr>
            <w:tcW w:w="1071" w:type="dxa"/>
            <w:tcBorders>
              <w:left w:val="single" w:sz="6" w:space="0" w:color="auto"/>
            </w:tcBorders>
          </w:tcPr>
          <w:p w14:paraId="4AC6F0D0" w14:textId="69740751" w:rsidR="00FB6710" w:rsidRPr="00183B5F" w:rsidRDefault="00943743" w:rsidP="004062FE">
            <w:pPr>
              <w:pStyle w:val="In-texttable"/>
              <w:spacing w:line="240" w:lineRule="auto"/>
              <w:jc w:val="center"/>
              <w:rPr>
                <w:del w:id="1573" w:author="AbbVie_HU_03" w:date="2025-05-14T15:27:00Z"/>
                <w:rFonts w:ascii="Times New Roman" w:hAnsi="Times New Roman"/>
                <w:sz w:val="22"/>
                <w:lang w:val="hu-HU"/>
              </w:rPr>
            </w:pPr>
            <w:del w:id="1574" w:author="AbbVie_HU_03" w:date="2025-05-14T15:27:00Z">
              <w:r w:rsidRPr="00183B5F">
                <w:rPr>
                  <w:rFonts w:ascii="Times New Roman" w:hAnsi="Times New Roman"/>
                  <w:sz w:val="22"/>
                  <w:lang w:val="hu-HU"/>
                </w:rPr>
                <w:delText>19,1%</w:delText>
              </w:r>
            </w:del>
          </w:p>
        </w:tc>
        <w:tc>
          <w:tcPr>
            <w:tcW w:w="1197" w:type="dxa"/>
            <w:tcBorders>
              <w:right w:val="single" w:sz="6" w:space="0" w:color="auto"/>
            </w:tcBorders>
          </w:tcPr>
          <w:p w14:paraId="4D1138D9" w14:textId="581CDD71" w:rsidR="00FB6710" w:rsidRPr="00183B5F" w:rsidRDefault="00943743" w:rsidP="004062FE">
            <w:pPr>
              <w:pStyle w:val="In-texttable"/>
              <w:tabs>
                <w:tab w:val="decimal" w:pos="205"/>
              </w:tabs>
              <w:spacing w:line="240" w:lineRule="auto"/>
              <w:jc w:val="center"/>
              <w:rPr>
                <w:del w:id="1575" w:author="AbbVie_HU_03" w:date="2025-05-14T15:27:00Z"/>
                <w:rFonts w:ascii="Times New Roman" w:hAnsi="Times New Roman"/>
                <w:sz w:val="22"/>
                <w:lang w:val="hu-HU"/>
              </w:rPr>
            </w:pPr>
            <w:del w:id="1576" w:author="AbbVie_HU_03" w:date="2025-05-14T15:27:00Z">
              <w:r w:rsidRPr="00183B5F">
                <w:rPr>
                  <w:rFonts w:ascii="Times New Roman" w:hAnsi="Times New Roman"/>
                  <w:sz w:val="22"/>
                  <w:lang w:val="hu-HU"/>
                </w:rPr>
                <w:delText>46,0%</w:delText>
              </w:r>
            </w:del>
          </w:p>
        </w:tc>
        <w:tc>
          <w:tcPr>
            <w:tcW w:w="1418" w:type="dxa"/>
            <w:tcBorders>
              <w:left w:val="single" w:sz="6" w:space="0" w:color="auto"/>
            </w:tcBorders>
          </w:tcPr>
          <w:p w14:paraId="28BEBC24" w14:textId="42ED5934" w:rsidR="00FB6710" w:rsidRPr="00183B5F" w:rsidRDefault="00943743" w:rsidP="004062FE">
            <w:pPr>
              <w:pStyle w:val="In-texttable"/>
              <w:tabs>
                <w:tab w:val="decimal" w:pos="144"/>
              </w:tabs>
              <w:spacing w:line="240" w:lineRule="auto"/>
              <w:jc w:val="center"/>
              <w:rPr>
                <w:del w:id="1577" w:author="AbbVie_HU_03" w:date="2025-05-14T15:27:00Z"/>
                <w:rFonts w:ascii="Times New Roman" w:hAnsi="Times New Roman"/>
                <w:sz w:val="22"/>
                <w:lang w:val="hu-HU"/>
              </w:rPr>
            </w:pPr>
            <w:del w:id="1578" w:author="AbbVie_HU_03" w:date="2025-05-14T15:27:00Z">
              <w:r w:rsidRPr="00183B5F">
                <w:rPr>
                  <w:rFonts w:ascii="Times New Roman" w:hAnsi="Times New Roman"/>
                  <w:sz w:val="22"/>
                  <w:lang w:val="hu-HU"/>
                </w:rPr>
                <w:delText>29,5%</w:delText>
              </w:r>
            </w:del>
          </w:p>
        </w:tc>
        <w:tc>
          <w:tcPr>
            <w:tcW w:w="1559" w:type="dxa"/>
            <w:tcBorders>
              <w:right w:val="single" w:sz="4" w:space="0" w:color="auto"/>
            </w:tcBorders>
          </w:tcPr>
          <w:p w14:paraId="38448CB7" w14:textId="32AB2E9A" w:rsidR="00FB6710" w:rsidRPr="00183B5F" w:rsidRDefault="00943743" w:rsidP="004062FE">
            <w:pPr>
              <w:pStyle w:val="In-texttable"/>
              <w:tabs>
                <w:tab w:val="decimal" w:pos="95"/>
              </w:tabs>
              <w:spacing w:line="240" w:lineRule="auto"/>
              <w:jc w:val="center"/>
              <w:rPr>
                <w:del w:id="1579" w:author="AbbVie_HU_03" w:date="2025-05-14T15:27:00Z"/>
                <w:rFonts w:ascii="Times New Roman" w:hAnsi="Times New Roman"/>
                <w:sz w:val="22"/>
                <w:lang w:val="hu-HU"/>
              </w:rPr>
            </w:pPr>
            <w:del w:id="1580" w:author="AbbVie_HU_03" w:date="2025-05-14T15:27:00Z">
              <w:r w:rsidRPr="00183B5F">
                <w:rPr>
                  <w:rFonts w:ascii="Times New Roman" w:hAnsi="Times New Roman"/>
                  <w:sz w:val="22"/>
                  <w:lang w:val="hu-HU"/>
                </w:rPr>
                <w:delText>63,3%</w:delText>
              </w:r>
            </w:del>
          </w:p>
        </w:tc>
      </w:tr>
      <w:tr w:rsidR="00011D2F" w14:paraId="3205DCD5" w14:textId="0B0DAF10">
        <w:trPr>
          <w:cantSplit/>
          <w:del w:id="1581" w:author="AbbVie_HU_03" w:date="2025-05-14T15:27:00Z"/>
        </w:trPr>
        <w:tc>
          <w:tcPr>
            <w:tcW w:w="1159" w:type="dxa"/>
            <w:tcBorders>
              <w:left w:val="single" w:sz="4" w:space="0" w:color="auto"/>
              <w:right w:val="single" w:sz="6" w:space="0" w:color="auto"/>
            </w:tcBorders>
          </w:tcPr>
          <w:p w14:paraId="31240BC3" w14:textId="76937F57" w:rsidR="00FB6710" w:rsidRPr="00183B5F" w:rsidRDefault="00943743" w:rsidP="004062FE">
            <w:pPr>
              <w:pStyle w:val="In-texttable"/>
              <w:tabs>
                <w:tab w:val="left" w:pos="144"/>
              </w:tabs>
              <w:spacing w:line="240" w:lineRule="auto"/>
              <w:rPr>
                <w:del w:id="1582" w:author="AbbVie_HU_03" w:date="2025-05-14T15:27:00Z"/>
                <w:rFonts w:ascii="Times New Roman" w:hAnsi="Times New Roman"/>
                <w:sz w:val="22"/>
                <w:lang w:val="hu-HU"/>
              </w:rPr>
            </w:pPr>
            <w:del w:id="1583" w:author="AbbVie_HU_03" w:date="2025-05-14T15:27:00Z">
              <w:r w:rsidRPr="00183B5F">
                <w:rPr>
                  <w:rFonts w:ascii="Times New Roman" w:hAnsi="Times New Roman"/>
                  <w:sz w:val="22"/>
                  <w:lang w:val="hu-HU"/>
                </w:rPr>
                <w:tab/>
                <w:delText>12</w:delText>
              </w:r>
              <w:r w:rsidR="00B8361B" w:rsidRPr="00183B5F">
                <w:rPr>
                  <w:rFonts w:ascii="Times New Roman" w:hAnsi="Times New Roman"/>
                  <w:sz w:val="22"/>
                  <w:lang w:val="hu-HU"/>
                </w:rPr>
                <w:delText> </w:delText>
              </w:r>
              <w:r w:rsidRPr="00183B5F">
                <w:rPr>
                  <w:rFonts w:ascii="Times New Roman" w:hAnsi="Times New Roman"/>
                  <w:sz w:val="22"/>
                  <w:lang w:val="hu-HU"/>
                </w:rPr>
                <w:delText>hónap</w:delText>
              </w:r>
            </w:del>
          </w:p>
        </w:tc>
        <w:tc>
          <w:tcPr>
            <w:tcW w:w="1393" w:type="dxa"/>
            <w:tcBorders>
              <w:left w:val="single" w:sz="6" w:space="0" w:color="auto"/>
            </w:tcBorders>
          </w:tcPr>
          <w:p w14:paraId="4EE40F0E" w14:textId="0CF3DC21" w:rsidR="00FB6710" w:rsidRPr="00183B5F" w:rsidRDefault="00943743" w:rsidP="004062FE">
            <w:pPr>
              <w:pStyle w:val="In-texttable"/>
              <w:tabs>
                <w:tab w:val="decimal" w:pos="259"/>
              </w:tabs>
              <w:spacing w:line="240" w:lineRule="auto"/>
              <w:jc w:val="center"/>
              <w:rPr>
                <w:del w:id="1584" w:author="AbbVie_HU_03" w:date="2025-05-14T15:27:00Z"/>
                <w:rFonts w:ascii="Times New Roman" w:hAnsi="Times New Roman"/>
                <w:sz w:val="22"/>
                <w:lang w:val="hu-HU"/>
              </w:rPr>
            </w:pPr>
            <w:del w:id="1585" w:author="AbbVie_HU_03" w:date="2025-05-14T15:27:00Z">
              <w:r w:rsidRPr="00183B5F">
                <w:rPr>
                  <w:rFonts w:ascii="Times New Roman" w:hAnsi="Times New Roman"/>
                  <w:sz w:val="22"/>
                  <w:lang w:val="hu-HU"/>
                </w:rPr>
                <w:delText>NA</w:delText>
              </w:r>
            </w:del>
          </w:p>
        </w:tc>
        <w:tc>
          <w:tcPr>
            <w:tcW w:w="1417" w:type="dxa"/>
            <w:tcBorders>
              <w:right w:val="single" w:sz="6" w:space="0" w:color="auto"/>
            </w:tcBorders>
          </w:tcPr>
          <w:p w14:paraId="1E227669" w14:textId="6961E2F5" w:rsidR="00FB6710" w:rsidRPr="00183B5F" w:rsidRDefault="00943743" w:rsidP="004062FE">
            <w:pPr>
              <w:pStyle w:val="In-texttable"/>
              <w:tabs>
                <w:tab w:val="decimal" w:pos="250"/>
              </w:tabs>
              <w:spacing w:line="240" w:lineRule="auto"/>
              <w:jc w:val="center"/>
              <w:rPr>
                <w:del w:id="1586" w:author="AbbVie_HU_03" w:date="2025-05-14T15:27:00Z"/>
                <w:rFonts w:ascii="Times New Roman" w:hAnsi="Times New Roman"/>
                <w:sz w:val="22"/>
                <w:lang w:val="hu-HU"/>
              </w:rPr>
            </w:pPr>
            <w:del w:id="1587" w:author="AbbVie_HU_03" w:date="2025-05-14T15:27:00Z">
              <w:r w:rsidRPr="00183B5F">
                <w:rPr>
                  <w:rFonts w:ascii="Times New Roman" w:hAnsi="Times New Roman"/>
                  <w:sz w:val="22"/>
                  <w:lang w:val="hu-HU"/>
                </w:rPr>
                <w:delText>NA</w:delText>
              </w:r>
            </w:del>
          </w:p>
        </w:tc>
        <w:tc>
          <w:tcPr>
            <w:tcW w:w="1071" w:type="dxa"/>
            <w:tcBorders>
              <w:left w:val="single" w:sz="6" w:space="0" w:color="auto"/>
            </w:tcBorders>
          </w:tcPr>
          <w:p w14:paraId="2B256A52" w14:textId="7C872C7D" w:rsidR="00FB6710" w:rsidRPr="00183B5F" w:rsidRDefault="00943743" w:rsidP="004062FE">
            <w:pPr>
              <w:pStyle w:val="In-texttable"/>
              <w:spacing w:line="240" w:lineRule="auto"/>
              <w:jc w:val="center"/>
              <w:rPr>
                <w:del w:id="1588" w:author="AbbVie_HU_03" w:date="2025-05-14T15:27:00Z"/>
                <w:rFonts w:ascii="Times New Roman" w:hAnsi="Times New Roman"/>
                <w:sz w:val="22"/>
                <w:lang w:val="hu-HU"/>
              </w:rPr>
            </w:pPr>
            <w:del w:id="1589" w:author="AbbVie_HU_03" w:date="2025-05-14T15:27:00Z">
              <w:r w:rsidRPr="00183B5F">
                <w:rPr>
                  <w:rFonts w:ascii="Times New Roman" w:hAnsi="Times New Roman"/>
                  <w:sz w:val="22"/>
                  <w:lang w:val="hu-HU"/>
                </w:rPr>
                <w:delText>NA</w:delText>
              </w:r>
            </w:del>
          </w:p>
        </w:tc>
        <w:tc>
          <w:tcPr>
            <w:tcW w:w="1197" w:type="dxa"/>
            <w:tcBorders>
              <w:right w:val="single" w:sz="6" w:space="0" w:color="auto"/>
            </w:tcBorders>
          </w:tcPr>
          <w:p w14:paraId="556C8CE7" w14:textId="0D72FD2B" w:rsidR="00FB6710" w:rsidRPr="00183B5F" w:rsidRDefault="00943743" w:rsidP="004062FE">
            <w:pPr>
              <w:pStyle w:val="In-texttable"/>
              <w:tabs>
                <w:tab w:val="decimal" w:pos="205"/>
              </w:tabs>
              <w:spacing w:line="240" w:lineRule="auto"/>
              <w:jc w:val="center"/>
              <w:rPr>
                <w:del w:id="1590" w:author="AbbVie_HU_03" w:date="2025-05-14T15:27:00Z"/>
                <w:rFonts w:ascii="Times New Roman" w:hAnsi="Times New Roman"/>
                <w:sz w:val="22"/>
                <w:lang w:val="hu-HU"/>
              </w:rPr>
            </w:pPr>
            <w:del w:id="1591" w:author="AbbVie_HU_03" w:date="2025-05-14T15:27:00Z">
              <w:r w:rsidRPr="00183B5F">
                <w:rPr>
                  <w:rFonts w:ascii="Times New Roman" w:hAnsi="Times New Roman"/>
                  <w:sz w:val="22"/>
                  <w:lang w:val="hu-HU"/>
                </w:rPr>
                <w:delText>NA</w:delText>
              </w:r>
            </w:del>
          </w:p>
        </w:tc>
        <w:tc>
          <w:tcPr>
            <w:tcW w:w="1418" w:type="dxa"/>
            <w:tcBorders>
              <w:left w:val="single" w:sz="6" w:space="0" w:color="auto"/>
            </w:tcBorders>
          </w:tcPr>
          <w:p w14:paraId="40664DD7" w14:textId="02B6A2AD" w:rsidR="00FB6710" w:rsidRPr="00183B5F" w:rsidRDefault="00943743" w:rsidP="004062FE">
            <w:pPr>
              <w:pStyle w:val="In-texttable"/>
              <w:tabs>
                <w:tab w:val="decimal" w:pos="144"/>
              </w:tabs>
              <w:spacing w:line="240" w:lineRule="auto"/>
              <w:jc w:val="center"/>
              <w:rPr>
                <w:del w:id="1592" w:author="AbbVie_HU_03" w:date="2025-05-14T15:27:00Z"/>
                <w:rFonts w:ascii="Times New Roman" w:hAnsi="Times New Roman"/>
                <w:sz w:val="22"/>
                <w:lang w:val="hu-HU"/>
              </w:rPr>
            </w:pPr>
            <w:del w:id="1593" w:author="AbbVie_HU_03" w:date="2025-05-14T15:27:00Z">
              <w:r w:rsidRPr="00183B5F">
                <w:rPr>
                  <w:rFonts w:ascii="Times New Roman" w:hAnsi="Times New Roman"/>
                  <w:sz w:val="22"/>
                  <w:lang w:val="hu-HU"/>
                </w:rPr>
                <w:delText>24,0%</w:delText>
              </w:r>
            </w:del>
          </w:p>
        </w:tc>
        <w:tc>
          <w:tcPr>
            <w:tcW w:w="1559" w:type="dxa"/>
            <w:tcBorders>
              <w:right w:val="single" w:sz="4" w:space="0" w:color="auto"/>
            </w:tcBorders>
          </w:tcPr>
          <w:p w14:paraId="2FC4F55E" w14:textId="08FA72AB" w:rsidR="00FB6710" w:rsidRPr="00183B5F" w:rsidRDefault="00943743" w:rsidP="004062FE">
            <w:pPr>
              <w:pStyle w:val="In-texttable"/>
              <w:tabs>
                <w:tab w:val="decimal" w:pos="95"/>
              </w:tabs>
              <w:spacing w:line="240" w:lineRule="auto"/>
              <w:jc w:val="center"/>
              <w:rPr>
                <w:del w:id="1594" w:author="AbbVie_HU_03" w:date="2025-05-14T15:27:00Z"/>
                <w:rFonts w:ascii="Times New Roman" w:hAnsi="Times New Roman"/>
                <w:sz w:val="22"/>
                <w:lang w:val="hu-HU"/>
              </w:rPr>
            </w:pPr>
            <w:del w:id="1595" w:author="AbbVie_HU_03" w:date="2025-05-14T15:27:00Z">
              <w:r w:rsidRPr="00183B5F">
                <w:rPr>
                  <w:rFonts w:ascii="Times New Roman" w:hAnsi="Times New Roman"/>
                  <w:sz w:val="22"/>
                  <w:lang w:val="hu-HU"/>
                </w:rPr>
                <w:delText>58,9%</w:delText>
              </w:r>
            </w:del>
          </w:p>
        </w:tc>
      </w:tr>
      <w:tr w:rsidR="00011D2F" w14:paraId="3F12B412" w14:textId="1A732FC1">
        <w:trPr>
          <w:cantSplit/>
          <w:del w:id="1596" w:author="AbbVie_HU_03" w:date="2025-05-14T15:27:00Z"/>
        </w:trPr>
        <w:tc>
          <w:tcPr>
            <w:tcW w:w="1159" w:type="dxa"/>
            <w:tcBorders>
              <w:left w:val="single" w:sz="4" w:space="0" w:color="auto"/>
              <w:right w:val="single" w:sz="6" w:space="0" w:color="auto"/>
            </w:tcBorders>
          </w:tcPr>
          <w:p w14:paraId="25F5AE5F" w14:textId="7F917205" w:rsidR="00FB6710" w:rsidRPr="00183B5F" w:rsidRDefault="00943743" w:rsidP="004062FE">
            <w:pPr>
              <w:pStyle w:val="In-texttable"/>
              <w:tabs>
                <w:tab w:val="left" w:pos="144"/>
              </w:tabs>
              <w:spacing w:line="240" w:lineRule="auto"/>
              <w:rPr>
                <w:del w:id="1597" w:author="AbbVie_HU_03" w:date="2025-05-14T15:27:00Z"/>
                <w:rFonts w:ascii="Times New Roman" w:hAnsi="Times New Roman"/>
                <w:sz w:val="22"/>
                <w:lang w:val="hu-HU"/>
              </w:rPr>
            </w:pPr>
            <w:del w:id="1598" w:author="AbbVie_HU_03" w:date="2025-05-14T15:27:00Z">
              <w:r w:rsidRPr="00183B5F">
                <w:rPr>
                  <w:rFonts w:ascii="Times New Roman" w:hAnsi="Times New Roman"/>
                  <w:sz w:val="22"/>
                  <w:lang w:val="hu-HU"/>
                </w:rPr>
                <w:delText>ACR</w:delText>
              </w:r>
              <w:r w:rsidR="00B8361B" w:rsidRPr="00183B5F">
                <w:rPr>
                  <w:rFonts w:ascii="Times New Roman" w:hAnsi="Times New Roman"/>
                  <w:sz w:val="22"/>
                  <w:lang w:val="hu-HU"/>
                </w:rPr>
                <w:delText> </w:delText>
              </w:r>
              <w:r w:rsidRPr="00183B5F">
                <w:rPr>
                  <w:rFonts w:ascii="Times New Roman" w:hAnsi="Times New Roman"/>
                  <w:sz w:val="22"/>
                  <w:lang w:val="hu-HU"/>
                </w:rPr>
                <w:delText>50</w:delText>
              </w:r>
            </w:del>
          </w:p>
        </w:tc>
        <w:tc>
          <w:tcPr>
            <w:tcW w:w="1393" w:type="dxa"/>
            <w:tcBorders>
              <w:left w:val="single" w:sz="6" w:space="0" w:color="auto"/>
            </w:tcBorders>
          </w:tcPr>
          <w:p w14:paraId="5D2F47EE" w14:textId="09D023CE" w:rsidR="00FB6710" w:rsidRPr="00183B5F" w:rsidRDefault="00FB6710" w:rsidP="004062FE">
            <w:pPr>
              <w:pStyle w:val="In-texttable"/>
              <w:tabs>
                <w:tab w:val="decimal" w:pos="259"/>
              </w:tabs>
              <w:spacing w:line="240" w:lineRule="auto"/>
              <w:jc w:val="center"/>
              <w:rPr>
                <w:del w:id="1599" w:author="AbbVie_HU_03" w:date="2025-05-14T15:27:00Z"/>
                <w:rFonts w:ascii="Times New Roman" w:hAnsi="Times New Roman"/>
                <w:sz w:val="22"/>
                <w:lang w:val="hu-HU"/>
              </w:rPr>
            </w:pPr>
          </w:p>
        </w:tc>
        <w:tc>
          <w:tcPr>
            <w:tcW w:w="1417" w:type="dxa"/>
            <w:tcBorders>
              <w:right w:val="single" w:sz="6" w:space="0" w:color="auto"/>
            </w:tcBorders>
          </w:tcPr>
          <w:p w14:paraId="79E751FF" w14:textId="10FA3E3A" w:rsidR="00FB6710" w:rsidRPr="00183B5F" w:rsidRDefault="00FB6710" w:rsidP="004062FE">
            <w:pPr>
              <w:pStyle w:val="In-texttable"/>
              <w:tabs>
                <w:tab w:val="decimal" w:pos="250"/>
              </w:tabs>
              <w:spacing w:line="240" w:lineRule="auto"/>
              <w:jc w:val="center"/>
              <w:rPr>
                <w:del w:id="1600" w:author="AbbVie_HU_03" w:date="2025-05-14T15:27:00Z"/>
                <w:rFonts w:ascii="Times New Roman" w:hAnsi="Times New Roman"/>
                <w:sz w:val="22"/>
                <w:lang w:val="hu-HU"/>
              </w:rPr>
            </w:pPr>
          </w:p>
        </w:tc>
        <w:tc>
          <w:tcPr>
            <w:tcW w:w="1071" w:type="dxa"/>
            <w:tcBorders>
              <w:left w:val="single" w:sz="6" w:space="0" w:color="auto"/>
            </w:tcBorders>
          </w:tcPr>
          <w:p w14:paraId="3A4189FD" w14:textId="6B31E6DF" w:rsidR="00FB6710" w:rsidRPr="00183B5F" w:rsidRDefault="00FB6710" w:rsidP="004062FE">
            <w:pPr>
              <w:pStyle w:val="In-texttable"/>
              <w:spacing w:line="240" w:lineRule="auto"/>
              <w:jc w:val="center"/>
              <w:rPr>
                <w:del w:id="1601" w:author="AbbVie_HU_03" w:date="2025-05-14T15:27:00Z"/>
                <w:rFonts w:ascii="Times New Roman" w:hAnsi="Times New Roman"/>
                <w:sz w:val="22"/>
                <w:lang w:val="hu-HU"/>
              </w:rPr>
            </w:pPr>
          </w:p>
        </w:tc>
        <w:tc>
          <w:tcPr>
            <w:tcW w:w="1197" w:type="dxa"/>
            <w:tcBorders>
              <w:right w:val="single" w:sz="6" w:space="0" w:color="auto"/>
            </w:tcBorders>
          </w:tcPr>
          <w:p w14:paraId="7F578D8B" w14:textId="7472F4DE" w:rsidR="00FB6710" w:rsidRPr="00183B5F" w:rsidRDefault="00FB6710" w:rsidP="004062FE">
            <w:pPr>
              <w:pStyle w:val="In-texttable"/>
              <w:tabs>
                <w:tab w:val="decimal" w:pos="205"/>
              </w:tabs>
              <w:spacing w:line="240" w:lineRule="auto"/>
              <w:jc w:val="center"/>
              <w:rPr>
                <w:del w:id="1602" w:author="AbbVie_HU_03" w:date="2025-05-14T15:27:00Z"/>
                <w:rFonts w:ascii="Times New Roman" w:hAnsi="Times New Roman"/>
                <w:sz w:val="22"/>
                <w:lang w:val="hu-HU"/>
              </w:rPr>
            </w:pPr>
          </w:p>
        </w:tc>
        <w:tc>
          <w:tcPr>
            <w:tcW w:w="1418" w:type="dxa"/>
            <w:tcBorders>
              <w:left w:val="single" w:sz="6" w:space="0" w:color="auto"/>
            </w:tcBorders>
          </w:tcPr>
          <w:p w14:paraId="5CDDF725" w14:textId="7928CC3A" w:rsidR="00FB6710" w:rsidRPr="00183B5F" w:rsidRDefault="00FB6710" w:rsidP="004062FE">
            <w:pPr>
              <w:pStyle w:val="In-texttable"/>
              <w:tabs>
                <w:tab w:val="decimal" w:pos="144"/>
              </w:tabs>
              <w:spacing w:line="240" w:lineRule="auto"/>
              <w:jc w:val="center"/>
              <w:rPr>
                <w:del w:id="1603" w:author="AbbVie_HU_03" w:date="2025-05-14T15:27:00Z"/>
                <w:rFonts w:ascii="Times New Roman" w:hAnsi="Times New Roman"/>
                <w:sz w:val="22"/>
                <w:lang w:val="hu-HU"/>
              </w:rPr>
            </w:pPr>
          </w:p>
        </w:tc>
        <w:tc>
          <w:tcPr>
            <w:tcW w:w="1559" w:type="dxa"/>
            <w:tcBorders>
              <w:right w:val="single" w:sz="4" w:space="0" w:color="auto"/>
            </w:tcBorders>
          </w:tcPr>
          <w:p w14:paraId="4A5F24C7" w14:textId="2D2FB659" w:rsidR="00FB6710" w:rsidRPr="00183B5F" w:rsidRDefault="00FB6710" w:rsidP="004062FE">
            <w:pPr>
              <w:pStyle w:val="In-texttable"/>
              <w:tabs>
                <w:tab w:val="decimal" w:pos="95"/>
              </w:tabs>
              <w:spacing w:line="240" w:lineRule="auto"/>
              <w:jc w:val="center"/>
              <w:rPr>
                <w:del w:id="1604" w:author="AbbVie_HU_03" w:date="2025-05-14T15:27:00Z"/>
                <w:rFonts w:ascii="Times New Roman" w:hAnsi="Times New Roman"/>
                <w:sz w:val="22"/>
                <w:lang w:val="hu-HU"/>
              </w:rPr>
            </w:pPr>
          </w:p>
        </w:tc>
      </w:tr>
      <w:tr w:rsidR="00011D2F" w14:paraId="0257C45C" w14:textId="6DFFF7B8">
        <w:trPr>
          <w:cantSplit/>
          <w:del w:id="1605" w:author="AbbVie_HU_03" w:date="2025-05-14T15:27:00Z"/>
        </w:trPr>
        <w:tc>
          <w:tcPr>
            <w:tcW w:w="1159" w:type="dxa"/>
            <w:tcBorders>
              <w:left w:val="single" w:sz="4" w:space="0" w:color="auto"/>
              <w:right w:val="single" w:sz="6" w:space="0" w:color="auto"/>
            </w:tcBorders>
          </w:tcPr>
          <w:p w14:paraId="4B92DED8" w14:textId="155544CF" w:rsidR="00FB6710" w:rsidRPr="00183B5F" w:rsidRDefault="00943743" w:rsidP="004062FE">
            <w:pPr>
              <w:pStyle w:val="In-texttable"/>
              <w:tabs>
                <w:tab w:val="left" w:pos="144"/>
              </w:tabs>
              <w:spacing w:line="240" w:lineRule="auto"/>
              <w:rPr>
                <w:del w:id="1606" w:author="AbbVie_HU_03" w:date="2025-05-14T15:27:00Z"/>
                <w:rFonts w:ascii="Times New Roman" w:hAnsi="Times New Roman"/>
                <w:sz w:val="22"/>
                <w:lang w:val="hu-HU"/>
              </w:rPr>
            </w:pPr>
            <w:del w:id="1607" w:author="AbbVie_HU_03" w:date="2025-05-14T15:27:00Z">
              <w:r w:rsidRPr="00183B5F">
                <w:rPr>
                  <w:rFonts w:ascii="Times New Roman" w:hAnsi="Times New Roman"/>
                  <w:sz w:val="22"/>
                  <w:lang w:val="hu-HU"/>
                </w:rPr>
                <w:tab/>
                <w:delText>6</w:delText>
              </w:r>
              <w:r w:rsidR="00B8361B" w:rsidRPr="00183B5F">
                <w:rPr>
                  <w:rFonts w:ascii="Times New Roman" w:hAnsi="Times New Roman"/>
                  <w:sz w:val="22"/>
                  <w:lang w:val="hu-HU"/>
                </w:rPr>
                <w:delText> </w:delText>
              </w:r>
              <w:r w:rsidRPr="00183B5F">
                <w:rPr>
                  <w:rFonts w:ascii="Times New Roman" w:hAnsi="Times New Roman"/>
                  <w:sz w:val="22"/>
                  <w:lang w:val="hu-HU"/>
                </w:rPr>
                <w:delText>hónap</w:delText>
              </w:r>
            </w:del>
          </w:p>
        </w:tc>
        <w:tc>
          <w:tcPr>
            <w:tcW w:w="1393" w:type="dxa"/>
            <w:tcBorders>
              <w:left w:val="single" w:sz="6" w:space="0" w:color="auto"/>
            </w:tcBorders>
          </w:tcPr>
          <w:p w14:paraId="5C7BE92C" w14:textId="6A8CABD5" w:rsidR="00FB6710" w:rsidRPr="00183B5F" w:rsidRDefault="00943743" w:rsidP="004062FE">
            <w:pPr>
              <w:pStyle w:val="In-texttable"/>
              <w:tabs>
                <w:tab w:val="decimal" w:pos="259"/>
              </w:tabs>
              <w:spacing w:line="240" w:lineRule="auto"/>
              <w:jc w:val="center"/>
              <w:rPr>
                <w:del w:id="1608" w:author="AbbVie_HU_03" w:date="2025-05-14T15:27:00Z"/>
                <w:rFonts w:ascii="Times New Roman" w:hAnsi="Times New Roman"/>
                <w:sz w:val="22"/>
                <w:lang w:val="hu-HU"/>
              </w:rPr>
            </w:pPr>
            <w:del w:id="1609" w:author="AbbVie_HU_03" w:date="2025-05-14T15:27:00Z">
              <w:r w:rsidRPr="00183B5F">
                <w:rPr>
                  <w:rFonts w:ascii="Times New Roman" w:hAnsi="Times New Roman"/>
                  <w:sz w:val="22"/>
                  <w:lang w:val="hu-HU"/>
                </w:rPr>
                <w:delText>6,7%</w:delText>
              </w:r>
            </w:del>
          </w:p>
        </w:tc>
        <w:tc>
          <w:tcPr>
            <w:tcW w:w="1417" w:type="dxa"/>
            <w:tcBorders>
              <w:right w:val="single" w:sz="6" w:space="0" w:color="auto"/>
            </w:tcBorders>
          </w:tcPr>
          <w:p w14:paraId="18AD1B9F" w14:textId="387BB32E" w:rsidR="00FB6710" w:rsidRPr="00183B5F" w:rsidRDefault="00943743" w:rsidP="004062FE">
            <w:pPr>
              <w:pStyle w:val="In-texttable"/>
              <w:tabs>
                <w:tab w:val="decimal" w:pos="250"/>
              </w:tabs>
              <w:spacing w:line="240" w:lineRule="auto"/>
              <w:jc w:val="center"/>
              <w:rPr>
                <w:del w:id="1610" w:author="AbbVie_HU_03" w:date="2025-05-14T15:27:00Z"/>
                <w:rFonts w:ascii="Times New Roman" w:hAnsi="Times New Roman"/>
                <w:sz w:val="22"/>
                <w:lang w:val="hu-HU"/>
              </w:rPr>
            </w:pPr>
            <w:del w:id="1611" w:author="AbbVie_HU_03" w:date="2025-05-14T15:27:00Z">
              <w:r w:rsidRPr="00183B5F">
                <w:rPr>
                  <w:rFonts w:ascii="Times New Roman" w:hAnsi="Times New Roman"/>
                  <w:sz w:val="22"/>
                  <w:lang w:val="hu-HU"/>
                </w:rPr>
                <w:delText>52,4%</w:delText>
              </w:r>
            </w:del>
          </w:p>
        </w:tc>
        <w:tc>
          <w:tcPr>
            <w:tcW w:w="1071" w:type="dxa"/>
            <w:tcBorders>
              <w:left w:val="single" w:sz="6" w:space="0" w:color="auto"/>
            </w:tcBorders>
          </w:tcPr>
          <w:p w14:paraId="4409660C" w14:textId="1A43F2D3" w:rsidR="00FB6710" w:rsidRPr="00183B5F" w:rsidRDefault="00943743" w:rsidP="004062FE">
            <w:pPr>
              <w:pStyle w:val="In-texttable"/>
              <w:spacing w:line="240" w:lineRule="auto"/>
              <w:jc w:val="center"/>
              <w:rPr>
                <w:del w:id="1612" w:author="AbbVie_HU_03" w:date="2025-05-14T15:27:00Z"/>
                <w:rFonts w:ascii="Times New Roman" w:hAnsi="Times New Roman"/>
                <w:sz w:val="22"/>
                <w:lang w:val="hu-HU"/>
              </w:rPr>
            </w:pPr>
            <w:del w:id="1613" w:author="AbbVie_HU_03" w:date="2025-05-14T15:27:00Z">
              <w:r w:rsidRPr="00183B5F">
                <w:rPr>
                  <w:rFonts w:ascii="Times New Roman" w:hAnsi="Times New Roman"/>
                  <w:sz w:val="22"/>
                  <w:lang w:val="hu-HU"/>
                </w:rPr>
                <w:delText>8,2%</w:delText>
              </w:r>
            </w:del>
          </w:p>
        </w:tc>
        <w:tc>
          <w:tcPr>
            <w:tcW w:w="1197" w:type="dxa"/>
            <w:tcBorders>
              <w:right w:val="single" w:sz="6" w:space="0" w:color="auto"/>
            </w:tcBorders>
          </w:tcPr>
          <w:p w14:paraId="379CB88C" w14:textId="6A0659DC" w:rsidR="00FB6710" w:rsidRPr="00183B5F" w:rsidRDefault="00943743" w:rsidP="004062FE">
            <w:pPr>
              <w:pStyle w:val="In-texttable"/>
              <w:tabs>
                <w:tab w:val="decimal" w:pos="205"/>
              </w:tabs>
              <w:spacing w:line="240" w:lineRule="auto"/>
              <w:jc w:val="center"/>
              <w:rPr>
                <w:del w:id="1614" w:author="AbbVie_HU_03" w:date="2025-05-14T15:27:00Z"/>
                <w:rFonts w:ascii="Times New Roman" w:hAnsi="Times New Roman"/>
                <w:sz w:val="22"/>
                <w:lang w:val="hu-HU"/>
              </w:rPr>
            </w:pPr>
            <w:del w:id="1615" w:author="AbbVie_HU_03" w:date="2025-05-14T15:27:00Z">
              <w:r w:rsidRPr="00183B5F">
                <w:rPr>
                  <w:rFonts w:ascii="Times New Roman" w:hAnsi="Times New Roman"/>
                  <w:sz w:val="22"/>
                  <w:lang w:val="hu-HU"/>
                </w:rPr>
                <w:delText>22,1%</w:delText>
              </w:r>
            </w:del>
          </w:p>
        </w:tc>
        <w:tc>
          <w:tcPr>
            <w:tcW w:w="1418" w:type="dxa"/>
            <w:tcBorders>
              <w:left w:val="single" w:sz="6" w:space="0" w:color="auto"/>
            </w:tcBorders>
          </w:tcPr>
          <w:p w14:paraId="126092B4" w14:textId="1F408499" w:rsidR="00FB6710" w:rsidRPr="00183B5F" w:rsidRDefault="00943743" w:rsidP="004062FE">
            <w:pPr>
              <w:pStyle w:val="In-texttable"/>
              <w:tabs>
                <w:tab w:val="decimal" w:pos="144"/>
              </w:tabs>
              <w:spacing w:line="240" w:lineRule="auto"/>
              <w:jc w:val="center"/>
              <w:rPr>
                <w:del w:id="1616" w:author="AbbVie_HU_03" w:date="2025-05-14T15:27:00Z"/>
                <w:rFonts w:ascii="Times New Roman" w:hAnsi="Times New Roman"/>
                <w:sz w:val="22"/>
                <w:lang w:val="hu-HU"/>
              </w:rPr>
            </w:pPr>
            <w:del w:id="1617" w:author="AbbVie_HU_03" w:date="2025-05-14T15:27:00Z">
              <w:r w:rsidRPr="00183B5F">
                <w:rPr>
                  <w:rFonts w:ascii="Times New Roman" w:hAnsi="Times New Roman"/>
                  <w:sz w:val="22"/>
                  <w:lang w:val="hu-HU"/>
                </w:rPr>
                <w:delText>9,5%</w:delText>
              </w:r>
            </w:del>
          </w:p>
        </w:tc>
        <w:tc>
          <w:tcPr>
            <w:tcW w:w="1559" w:type="dxa"/>
            <w:tcBorders>
              <w:right w:val="single" w:sz="4" w:space="0" w:color="auto"/>
            </w:tcBorders>
          </w:tcPr>
          <w:p w14:paraId="1DE8AD94" w14:textId="6A9194A2" w:rsidR="00FB6710" w:rsidRPr="00183B5F" w:rsidRDefault="00943743" w:rsidP="004062FE">
            <w:pPr>
              <w:pStyle w:val="In-texttable"/>
              <w:tabs>
                <w:tab w:val="decimal" w:pos="95"/>
              </w:tabs>
              <w:spacing w:line="240" w:lineRule="auto"/>
              <w:jc w:val="center"/>
              <w:rPr>
                <w:del w:id="1618" w:author="AbbVie_HU_03" w:date="2025-05-14T15:27:00Z"/>
                <w:rFonts w:ascii="Times New Roman" w:hAnsi="Times New Roman"/>
                <w:sz w:val="22"/>
                <w:lang w:val="hu-HU"/>
              </w:rPr>
            </w:pPr>
            <w:del w:id="1619" w:author="AbbVie_HU_03" w:date="2025-05-14T15:27:00Z">
              <w:r w:rsidRPr="00183B5F">
                <w:rPr>
                  <w:rFonts w:ascii="Times New Roman" w:hAnsi="Times New Roman"/>
                  <w:sz w:val="22"/>
                  <w:lang w:val="hu-HU"/>
                </w:rPr>
                <w:delText>39,1%</w:delText>
              </w:r>
            </w:del>
          </w:p>
        </w:tc>
      </w:tr>
      <w:tr w:rsidR="00011D2F" w14:paraId="21EEE34F" w14:textId="79479DDE">
        <w:trPr>
          <w:cantSplit/>
          <w:del w:id="1620" w:author="AbbVie_HU_03" w:date="2025-05-14T15:27:00Z"/>
        </w:trPr>
        <w:tc>
          <w:tcPr>
            <w:tcW w:w="1159" w:type="dxa"/>
            <w:tcBorders>
              <w:left w:val="single" w:sz="4" w:space="0" w:color="auto"/>
              <w:right w:val="single" w:sz="6" w:space="0" w:color="auto"/>
            </w:tcBorders>
          </w:tcPr>
          <w:p w14:paraId="7C14BCBC" w14:textId="7D76E9EC" w:rsidR="00FB6710" w:rsidRPr="00183B5F" w:rsidRDefault="00943743" w:rsidP="004062FE">
            <w:pPr>
              <w:pStyle w:val="In-texttable"/>
              <w:tabs>
                <w:tab w:val="left" w:pos="144"/>
              </w:tabs>
              <w:spacing w:line="240" w:lineRule="auto"/>
              <w:rPr>
                <w:del w:id="1621" w:author="AbbVie_HU_03" w:date="2025-05-14T15:27:00Z"/>
                <w:rFonts w:ascii="Times New Roman" w:hAnsi="Times New Roman"/>
                <w:sz w:val="22"/>
                <w:lang w:val="hu-HU"/>
              </w:rPr>
            </w:pPr>
            <w:del w:id="1622" w:author="AbbVie_HU_03" w:date="2025-05-14T15:27:00Z">
              <w:r w:rsidRPr="00183B5F">
                <w:rPr>
                  <w:rFonts w:ascii="Times New Roman" w:hAnsi="Times New Roman"/>
                  <w:sz w:val="22"/>
                  <w:lang w:val="hu-HU"/>
                </w:rPr>
                <w:tab/>
                <w:delText>12</w:delText>
              </w:r>
              <w:r w:rsidR="00B8361B" w:rsidRPr="00183B5F">
                <w:rPr>
                  <w:rFonts w:ascii="Times New Roman" w:hAnsi="Times New Roman"/>
                  <w:sz w:val="22"/>
                  <w:lang w:val="hu-HU"/>
                </w:rPr>
                <w:delText> </w:delText>
              </w:r>
              <w:r w:rsidRPr="00183B5F">
                <w:rPr>
                  <w:rFonts w:ascii="Times New Roman" w:hAnsi="Times New Roman"/>
                  <w:sz w:val="22"/>
                  <w:lang w:val="hu-HU"/>
                </w:rPr>
                <w:delText>hónap</w:delText>
              </w:r>
            </w:del>
          </w:p>
        </w:tc>
        <w:tc>
          <w:tcPr>
            <w:tcW w:w="1393" w:type="dxa"/>
            <w:tcBorders>
              <w:left w:val="single" w:sz="6" w:space="0" w:color="auto"/>
            </w:tcBorders>
          </w:tcPr>
          <w:p w14:paraId="429964CC" w14:textId="4E2EB4B5" w:rsidR="00FB6710" w:rsidRPr="00183B5F" w:rsidRDefault="00943743" w:rsidP="004062FE">
            <w:pPr>
              <w:pStyle w:val="In-texttable"/>
              <w:tabs>
                <w:tab w:val="decimal" w:pos="259"/>
              </w:tabs>
              <w:spacing w:line="240" w:lineRule="auto"/>
              <w:jc w:val="center"/>
              <w:rPr>
                <w:del w:id="1623" w:author="AbbVie_HU_03" w:date="2025-05-14T15:27:00Z"/>
                <w:rFonts w:ascii="Times New Roman" w:hAnsi="Times New Roman"/>
                <w:sz w:val="22"/>
                <w:lang w:val="hu-HU"/>
              </w:rPr>
            </w:pPr>
            <w:del w:id="1624" w:author="AbbVie_HU_03" w:date="2025-05-14T15:27:00Z">
              <w:r w:rsidRPr="00183B5F">
                <w:rPr>
                  <w:rFonts w:ascii="Times New Roman" w:hAnsi="Times New Roman"/>
                  <w:sz w:val="22"/>
                  <w:lang w:val="hu-HU"/>
                </w:rPr>
                <w:delText>NA</w:delText>
              </w:r>
            </w:del>
          </w:p>
        </w:tc>
        <w:tc>
          <w:tcPr>
            <w:tcW w:w="1417" w:type="dxa"/>
            <w:tcBorders>
              <w:right w:val="single" w:sz="6" w:space="0" w:color="auto"/>
            </w:tcBorders>
          </w:tcPr>
          <w:p w14:paraId="11BCB144" w14:textId="1336AA7C" w:rsidR="00FB6710" w:rsidRPr="00183B5F" w:rsidRDefault="00943743" w:rsidP="004062FE">
            <w:pPr>
              <w:pStyle w:val="In-texttable"/>
              <w:tabs>
                <w:tab w:val="decimal" w:pos="250"/>
              </w:tabs>
              <w:spacing w:line="240" w:lineRule="auto"/>
              <w:jc w:val="center"/>
              <w:rPr>
                <w:del w:id="1625" w:author="AbbVie_HU_03" w:date="2025-05-14T15:27:00Z"/>
                <w:rFonts w:ascii="Times New Roman" w:hAnsi="Times New Roman"/>
                <w:sz w:val="22"/>
                <w:lang w:val="hu-HU"/>
              </w:rPr>
            </w:pPr>
            <w:del w:id="1626" w:author="AbbVie_HU_03" w:date="2025-05-14T15:27:00Z">
              <w:r w:rsidRPr="00183B5F">
                <w:rPr>
                  <w:rFonts w:ascii="Times New Roman" w:hAnsi="Times New Roman"/>
                  <w:sz w:val="22"/>
                  <w:lang w:val="hu-HU"/>
                </w:rPr>
                <w:delText>NA</w:delText>
              </w:r>
            </w:del>
          </w:p>
        </w:tc>
        <w:tc>
          <w:tcPr>
            <w:tcW w:w="1071" w:type="dxa"/>
            <w:tcBorders>
              <w:left w:val="single" w:sz="6" w:space="0" w:color="auto"/>
            </w:tcBorders>
          </w:tcPr>
          <w:p w14:paraId="0EE9384D" w14:textId="64C06423" w:rsidR="00FB6710" w:rsidRPr="00183B5F" w:rsidRDefault="00943743" w:rsidP="004062FE">
            <w:pPr>
              <w:pStyle w:val="In-texttable"/>
              <w:spacing w:line="240" w:lineRule="auto"/>
              <w:jc w:val="center"/>
              <w:rPr>
                <w:del w:id="1627" w:author="AbbVie_HU_03" w:date="2025-05-14T15:27:00Z"/>
                <w:rFonts w:ascii="Times New Roman" w:hAnsi="Times New Roman"/>
                <w:sz w:val="22"/>
                <w:lang w:val="hu-HU"/>
              </w:rPr>
            </w:pPr>
            <w:del w:id="1628" w:author="AbbVie_HU_03" w:date="2025-05-14T15:27:00Z">
              <w:r w:rsidRPr="00183B5F">
                <w:rPr>
                  <w:rFonts w:ascii="Times New Roman" w:hAnsi="Times New Roman"/>
                  <w:sz w:val="22"/>
                  <w:lang w:val="hu-HU"/>
                </w:rPr>
                <w:delText>NA</w:delText>
              </w:r>
            </w:del>
          </w:p>
        </w:tc>
        <w:tc>
          <w:tcPr>
            <w:tcW w:w="1197" w:type="dxa"/>
            <w:tcBorders>
              <w:right w:val="single" w:sz="6" w:space="0" w:color="auto"/>
            </w:tcBorders>
          </w:tcPr>
          <w:p w14:paraId="24219719" w14:textId="6662D8FD" w:rsidR="00FB6710" w:rsidRPr="00183B5F" w:rsidRDefault="00943743" w:rsidP="004062FE">
            <w:pPr>
              <w:pStyle w:val="In-texttable"/>
              <w:tabs>
                <w:tab w:val="decimal" w:pos="205"/>
              </w:tabs>
              <w:spacing w:line="240" w:lineRule="auto"/>
              <w:jc w:val="center"/>
              <w:rPr>
                <w:del w:id="1629" w:author="AbbVie_HU_03" w:date="2025-05-14T15:27:00Z"/>
                <w:rFonts w:ascii="Times New Roman" w:hAnsi="Times New Roman"/>
                <w:sz w:val="22"/>
                <w:lang w:val="hu-HU"/>
              </w:rPr>
            </w:pPr>
            <w:del w:id="1630" w:author="AbbVie_HU_03" w:date="2025-05-14T15:27:00Z">
              <w:r w:rsidRPr="00183B5F">
                <w:rPr>
                  <w:rFonts w:ascii="Times New Roman" w:hAnsi="Times New Roman"/>
                  <w:sz w:val="22"/>
                  <w:lang w:val="hu-HU"/>
                </w:rPr>
                <w:delText>NA</w:delText>
              </w:r>
            </w:del>
          </w:p>
        </w:tc>
        <w:tc>
          <w:tcPr>
            <w:tcW w:w="1418" w:type="dxa"/>
            <w:tcBorders>
              <w:left w:val="single" w:sz="6" w:space="0" w:color="auto"/>
            </w:tcBorders>
          </w:tcPr>
          <w:p w14:paraId="37AE6B9B" w14:textId="0FF848DE" w:rsidR="00FB6710" w:rsidRPr="00183B5F" w:rsidRDefault="00943743" w:rsidP="004062FE">
            <w:pPr>
              <w:pStyle w:val="In-texttable"/>
              <w:tabs>
                <w:tab w:val="decimal" w:pos="144"/>
              </w:tabs>
              <w:spacing w:line="240" w:lineRule="auto"/>
              <w:jc w:val="center"/>
              <w:rPr>
                <w:del w:id="1631" w:author="AbbVie_HU_03" w:date="2025-05-14T15:27:00Z"/>
                <w:rFonts w:ascii="Times New Roman" w:hAnsi="Times New Roman"/>
                <w:sz w:val="22"/>
                <w:lang w:val="hu-HU"/>
              </w:rPr>
            </w:pPr>
            <w:del w:id="1632" w:author="AbbVie_HU_03" w:date="2025-05-14T15:27:00Z">
              <w:r w:rsidRPr="00183B5F">
                <w:rPr>
                  <w:rFonts w:ascii="Times New Roman" w:hAnsi="Times New Roman"/>
                  <w:sz w:val="22"/>
                  <w:lang w:val="hu-HU"/>
                </w:rPr>
                <w:delText>9,5%</w:delText>
              </w:r>
            </w:del>
          </w:p>
        </w:tc>
        <w:tc>
          <w:tcPr>
            <w:tcW w:w="1559" w:type="dxa"/>
            <w:tcBorders>
              <w:right w:val="single" w:sz="4" w:space="0" w:color="auto"/>
            </w:tcBorders>
          </w:tcPr>
          <w:p w14:paraId="3962E4C3" w14:textId="5BDE469B" w:rsidR="00FB6710" w:rsidRPr="00183B5F" w:rsidRDefault="00943743" w:rsidP="004062FE">
            <w:pPr>
              <w:pStyle w:val="In-texttable"/>
              <w:tabs>
                <w:tab w:val="decimal" w:pos="95"/>
              </w:tabs>
              <w:spacing w:line="240" w:lineRule="auto"/>
              <w:jc w:val="center"/>
              <w:rPr>
                <w:del w:id="1633" w:author="AbbVie_HU_03" w:date="2025-05-14T15:27:00Z"/>
                <w:rFonts w:ascii="Times New Roman" w:hAnsi="Times New Roman"/>
                <w:sz w:val="22"/>
                <w:lang w:val="hu-HU"/>
              </w:rPr>
            </w:pPr>
            <w:del w:id="1634" w:author="AbbVie_HU_03" w:date="2025-05-14T15:27:00Z">
              <w:r w:rsidRPr="00183B5F">
                <w:rPr>
                  <w:rFonts w:ascii="Times New Roman" w:hAnsi="Times New Roman"/>
                  <w:sz w:val="22"/>
                  <w:lang w:val="hu-HU"/>
                </w:rPr>
                <w:delText>41,5%</w:delText>
              </w:r>
            </w:del>
          </w:p>
        </w:tc>
      </w:tr>
      <w:tr w:rsidR="00011D2F" w14:paraId="5AB9FA31" w14:textId="358C3C1D">
        <w:trPr>
          <w:cantSplit/>
          <w:del w:id="1635" w:author="AbbVie_HU_03" w:date="2025-05-14T15:27:00Z"/>
        </w:trPr>
        <w:tc>
          <w:tcPr>
            <w:tcW w:w="1159" w:type="dxa"/>
            <w:tcBorders>
              <w:left w:val="single" w:sz="4" w:space="0" w:color="auto"/>
              <w:right w:val="single" w:sz="6" w:space="0" w:color="auto"/>
            </w:tcBorders>
          </w:tcPr>
          <w:p w14:paraId="649318B3" w14:textId="144862B3" w:rsidR="00FB6710" w:rsidRPr="00183B5F" w:rsidRDefault="00943743" w:rsidP="004062FE">
            <w:pPr>
              <w:pStyle w:val="In-texttable"/>
              <w:tabs>
                <w:tab w:val="left" w:pos="144"/>
              </w:tabs>
              <w:spacing w:line="240" w:lineRule="auto"/>
              <w:rPr>
                <w:del w:id="1636" w:author="AbbVie_HU_03" w:date="2025-05-14T15:27:00Z"/>
                <w:rFonts w:ascii="Times New Roman" w:hAnsi="Times New Roman"/>
                <w:sz w:val="22"/>
                <w:lang w:val="hu-HU"/>
              </w:rPr>
            </w:pPr>
            <w:del w:id="1637" w:author="AbbVie_HU_03" w:date="2025-05-14T15:27:00Z">
              <w:r w:rsidRPr="00202B95">
                <w:rPr>
                  <w:noProof/>
                  <w:lang w:val="en-GB"/>
                </w:rPr>
                <mc:AlternateContent>
                  <mc:Choice Requires="wps">
                    <w:drawing>
                      <wp:anchor distT="0" distB="0" distL="114300" distR="114300" simplePos="0" relativeHeight="251660288" behindDoc="0" locked="0" layoutInCell="0" allowOverlap="1" wp14:anchorId="71AE189B" wp14:editId="3EF2F835">
                        <wp:simplePos x="0" y="0"/>
                        <wp:positionH relativeFrom="column">
                          <wp:posOffset>-4972050</wp:posOffset>
                        </wp:positionH>
                        <wp:positionV relativeFrom="paragraph">
                          <wp:posOffset>38735</wp:posOffset>
                        </wp:positionV>
                        <wp:extent cx="3543300" cy="342900"/>
                        <wp:effectExtent l="0" t="0" r="0" b="0"/>
                        <wp:wrapNone/>
                        <wp:docPr id="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C0217E" w14:textId="77777777" w:rsidR="00117602" w:rsidRDefault="00117602">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1AE189B" id="Text Box 6" o:spid="_x0000_s1028" type="#_x0000_t202" style="position:absolute;margin-left:-391.5pt;margin-top:3.05pt;width:279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" o:allowincell="f" stroked="f">
                        <v:textbox>
                          <w:txbxContent>
                            <w:p w14:paraId="65C0217E" w14:textId="77777777" w:rsidR="00117602" w:rsidRDefault="00117602">
                              <w:pPr>
                                <w:rPr>
                                  <w:sz w:val="20"/>
                                </w:rPr>
                              </w:pPr>
                            </w:p>
                          </w:txbxContent>
                        </v:textbox>
                      </v:shape>
                    </w:pict>
                  </mc:Fallback>
                </mc:AlternateContent>
              </w:r>
              <w:r w:rsidR="00FB6710" w:rsidRPr="00183B5F">
                <w:rPr>
                  <w:rFonts w:ascii="Times New Roman" w:hAnsi="Times New Roman"/>
                  <w:sz w:val="22"/>
                  <w:lang w:val="hu-HU"/>
                </w:rPr>
                <w:delText>ACR</w:delText>
              </w:r>
              <w:r w:rsidR="00B8361B" w:rsidRPr="00183B5F">
                <w:rPr>
                  <w:rFonts w:ascii="Times New Roman" w:hAnsi="Times New Roman"/>
                  <w:sz w:val="22"/>
                  <w:lang w:val="hu-HU"/>
                </w:rPr>
                <w:delText> </w:delText>
              </w:r>
              <w:r w:rsidR="00FB6710" w:rsidRPr="00183B5F">
                <w:rPr>
                  <w:rFonts w:ascii="Times New Roman" w:hAnsi="Times New Roman"/>
                  <w:sz w:val="22"/>
                  <w:lang w:val="hu-HU"/>
                </w:rPr>
                <w:delText>70</w:delText>
              </w:r>
            </w:del>
          </w:p>
        </w:tc>
        <w:tc>
          <w:tcPr>
            <w:tcW w:w="1393" w:type="dxa"/>
            <w:tcBorders>
              <w:left w:val="single" w:sz="6" w:space="0" w:color="auto"/>
            </w:tcBorders>
          </w:tcPr>
          <w:p w14:paraId="7A278468" w14:textId="37FF1C3C" w:rsidR="00FB6710" w:rsidRPr="00183B5F" w:rsidRDefault="00FB6710" w:rsidP="004062FE">
            <w:pPr>
              <w:pStyle w:val="In-texttable"/>
              <w:tabs>
                <w:tab w:val="decimal" w:pos="259"/>
              </w:tabs>
              <w:spacing w:line="240" w:lineRule="auto"/>
              <w:jc w:val="center"/>
              <w:rPr>
                <w:del w:id="1638" w:author="AbbVie_HU_03" w:date="2025-05-14T15:27:00Z"/>
                <w:rFonts w:ascii="Times New Roman" w:hAnsi="Times New Roman"/>
                <w:sz w:val="22"/>
                <w:lang w:val="hu-HU"/>
              </w:rPr>
            </w:pPr>
          </w:p>
        </w:tc>
        <w:tc>
          <w:tcPr>
            <w:tcW w:w="1417" w:type="dxa"/>
            <w:tcBorders>
              <w:right w:val="single" w:sz="6" w:space="0" w:color="auto"/>
            </w:tcBorders>
          </w:tcPr>
          <w:p w14:paraId="590F93DF" w14:textId="50EAEDE8" w:rsidR="00FB6710" w:rsidRPr="00183B5F" w:rsidRDefault="00FB6710" w:rsidP="004062FE">
            <w:pPr>
              <w:pStyle w:val="In-texttable"/>
              <w:tabs>
                <w:tab w:val="decimal" w:pos="250"/>
              </w:tabs>
              <w:spacing w:line="240" w:lineRule="auto"/>
              <w:jc w:val="center"/>
              <w:rPr>
                <w:del w:id="1639" w:author="AbbVie_HU_03" w:date="2025-05-14T15:27:00Z"/>
                <w:rFonts w:ascii="Times New Roman" w:hAnsi="Times New Roman"/>
                <w:sz w:val="22"/>
                <w:lang w:val="hu-HU"/>
              </w:rPr>
            </w:pPr>
          </w:p>
        </w:tc>
        <w:tc>
          <w:tcPr>
            <w:tcW w:w="1071" w:type="dxa"/>
            <w:tcBorders>
              <w:left w:val="single" w:sz="6" w:space="0" w:color="auto"/>
            </w:tcBorders>
          </w:tcPr>
          <w:p w14:paraId="45A8C939" w14:textId="5FB5BB64" w:rsidR="00FB6710" w:rsidRPr="00183B5F" w:rsidRDefault="00FB6710" w:rsidP="004062FE">
            <w:pPr>
              <w:pStyle w:val="In-texttable"/>
              <w:spacing w:line="240" w:lineRule="auto"/>
              <w:jc w:val="center"/>
              <w:rPr>
                <w:del w:id="1640" w:author="AbbVie_HU_03" w:date="2025-05-14T15:27:00Z"/>
                <w:rFonts w:ascii="Times New Roman" w:hAnsi="Times New Roman"/>
                <w:sz w:val="22"/>
                <w:lang w:val="hu-HU"/>
              </w:rPr>
            </w:pPr>
          </w:p>
        </w:tc>
        <w:tc>
          <w:tcPr>
            <w:tcW w:w="1197" w:type="dxa"/>
            <w:tcBorders>
              <w:right w:val="single" w:sz="6" w:space="0" w:color="auto"/>
            </w:tcBorders>
          </w:tcPr>
          <w:p w14:paraId="773C692B" w14:textId="59E2CA90" w:rsidR="00FB6710" w:rsidRPr="00183B5F" w:rsidRDefault="00FB6710" w:rsidP="004062FE">
            <w:pPr>
              <w:pStyle w:val="In-texttable"/>
              <w:tabs>
                <w:tab w:val="decimal" w:pos="205"/>
              </w:tabs>
              <w:spacing w:line="240" w:lineRule="auto"/>
              <w:jc w:val="center"/>
              <w:rPr>
                <w:del w:id="1641" w:author="AbbVie_HU_03" w:date="2025-05-14T15:27:00Z"/>
                <w:rFonts w:ascii="Times New Roman" w:hAnsi="Times New Roman"/>
                <w:sz w:val="22"/>
                <w:lang w:val="hu-HU"/>
              </w:rPr>
            </w:pPr>
          </w:p>
        </w:tc>
        <w:tc>
          <w:tcPr>
            <w:tcW w:w="1418" w:type="dxa"/>
            <w:tcBorders>
              <w:left w:val="single" w:sz="6" w:space="0" w:color="auto"/>
            </w:tcBorders>
          </w:tcPr>
          <w:p w14:paraId="639B922D" w14:textId="6C81CAFB" w:rsidR="00FB6710" w:rsidRPr="00183B5F" w:rsidRDefault="00FB6710" w:rsidP="004062FE">
            <w:pPr>
              <w:pStyle w:val="In-texttable"/>
              <w:tabs>
                <w:tab w:val="decimal" w:pos="144"/>
              </w:tabs>
              <w:spacing w:line="240" w:lineRule="auto"/>
              <w:jc w:val="center"/>
              <w:rPr>
                <w:del w:id="1642" w:author="AbbVie_HU_03" w:date="2025-05-14T15:27:00Z"/>
                <w:rFonts w:ascii="Times New Roman" w:hAnsi="Times New Roman"/>
                <w:sz w:val="22"/>
                <w:lang w:val="hu-HU"/>
              </w:rPr>
            </w:pPr>
          </w:p>
        </w:tc>
        <w:tc>
          <w:tcPr>
            <w:tcW w:w="1559" w:type="dxa"/>
            <w:tcBorders>
              <w:right w:val="single" w:sz="4" w:space="0" w:color="auto"/>
            </w:tcBorders>
          </w:tcPr>
          <w:p w14:paraId="6243B66A" w14:textId="4A54E2C3" w:rsidR="00FB6710" w:rsidRPr="00183B5F" w:rsidRDefault="00FB6710" w:rsidP="004062FE">
            <w:pPr>
              <w:pStyle w:val="In-texttable"/>
              <w:tabs>
                <w:tab w:val="decimal" w:pos="95"/>
              </w:tabs>
              <w:spacing w:line="240" w:lineRule="auto"/>
              <w:jc w:val="center"/>
              <w:rPr>
                <w:del w:id="1643" w:author="AbbVie_HU_03" w:date="2025-05-14T15:27:00Z"/>
                <w:rFonts w:ascii="Times New Roman" w:hAnsi="Times New Roman"/>
                <w:sz w:val="22"/>
                <w:lang w:val="hu-HU"/>
              </w:rPr>
            </w:pPr>
          </w:p>
        </w:tc>
      </w:tr>
      <w:tr w:rsidR="00011D2F" w14:paraId="688ED567" w14:textId="167EB50C">
        <w:trPr>
          <w:cantSplit/>
          <w:del w:id="1644" w:author="AbbVie_HU_03" w:date="2025-05-14T15:27:00Z"/>
        </w:trPr>
        <w:tc>
          <w:tcPr>
            <w:tcW w:w="1159" w:type="dxa"/>
            <w:tcBorders>
              <w:left w:val="single" w:sz="4" w:space="0" w:color="auto"/>
              <w:right w:val="single" w:sz="6" w:space="0" w:color="auto"/>
            </w:tcBorders>
          </w:tcPr>
          <w:p w14:paraId="2BC0030B" w14:textId="4FEC18C4" w:rsidR="00FB6710" w:rsidRPr="00183B5F" w:rsidRDefault="00943743" w:rsidP="004062FE">
            <w:pPr>
              <w:pStyle w:val="In-texttable"/>
              <w:tabs>
                <w:tab w:val="left" w:pos="144"/>
              </w:tabs>
              <w:spacing w:line="240" w:lineRule="auto"/>
              <w:rPr>
                <w:del w:id="1645" w:author="AbbVie_HU_03" w:date="2025-05-14T15:27:00Z"/>
                <w:rFonts w:ascii="Times New Roman" w:hAnsi="Times New Roman"/>
                <w:sz w:val="22"/>
                <w:lang w:val="hu-HU"/>
              </w:rPr>
            </w:pPr>
            <w:del w:id="1646" w:author="AbbVie_HU_03" w:date="2025-05-14T15:27:00Z">
              <w:r w:rsidRPr="00183B5F">
                <w:rPr>
                  <w:rFonts w:ascii="Times New Roman" w:hAnsi="Times New Roman"/>
                  <w:sz w:val="22"/>
                  <w:lang w:val="hu-HU"/>
                </w:rPr>
                <w:tab/>
                <w:delText>6</w:delText>
              </w:r>
              <w:r w:rsidR="00B8361B" w:rsidRPr="00183B5F">
                <w:rPr>
                  <w:rFonts w:ascii="Times New Roman" w:hAnsi="Times New Roman"/>
                  <w:sz w:val="22"/>
                  <w:lang w:val="hu-HU"/>
                </w:rPr>
                <w:delText> </w:delText>
              </w:r>
              <w:r w:rsidRPr="00183B5F">
                <w:rPr>
                  <w:rFonts w:ascii="Times New Roman" w:hAnsi="Times New Roman"/>
                  <w:sz w:val="22"/>
                  <w:lang w:val="hu-HU"/>
                </w:rPr>
                <w:delText>hónap</w:delText>
              </w:r>
            </w:del>
          </w:p>
        </w:tc>
        <w:tc>
          <w:tcPr>
            <w:tcW w:w="1393" w:type="dxa"/>
            <w:tcBorders>
              <w:left w:val="single" w:sz="6" w:space="0" w:color="auto"/>
            </w:tcBorders>
          </w:tcPr>
          <w:p w14:paraId="00417D4A" w14:textId="33E9650F" w:rsidR="00FB6710" w:rsidRPr="00183B5F" w:rsidRDefault="00943743" w:rsidP="004062FE">
            <w:pPr>
              <w:pStyle w:val="In-texttable"/>
              <w:tabs>
                <w:tab w:val="decimal" w:pos="259"/>
              </w:tabs>
              <w:spacing w:line="240" w:lineRule="auto"/>
              <w:jc w:val="center"/>
              <w:rPr>
                <w:del w:id="1647" w:author="AbbVie_HU_03" w:date="2025-05-14T15:27:00Z"/>
                <w:rFonts w:ascii="Times New Roman" w:hAnsi="Times New Roman"/>
                <w:sz w:val="22"/>
                <w:lang w:val="hu-HU"/>
              </w:rPr>
            </w:pPr>
            <w:del w:id="1648" w:author="AbbVie_HU_03" w:date="2025-05-14T15:27:00Z">
              <w:r w:rsidRPr="00183B5F">
                <w:rPr>
                  <w:rFonts w:ascii="Times New Roman" w:hAnsi="Times New Roman"/>
                  <w:sz w:val="22"/>
                  <w:lang w:val="hu-HU"/>
                </w:rPr>
                <w:delText>3,3%</w:delText>
              </w:r>
            </w:del>
          </w:p>
        </w:tc>
        <w:tc>
          <w:tcPr>
            <w:tcW w:w="1417" w:type="dxa"/>
            <w:tcBorders>
              <w:right w:val="single" w:sz="6" w:space="0" w:color="auto"/>
            </w:tcBorders>
          </w:tcPr>
          <w:p w14:paraId="6B702D83" w14:textId="16249836" w:rsidR="00FB6710" w:rsidRPr="00183B5F" w:rsidRDefault="00943743" w:rsidP="004062FE">
            <w:pPr>
              <w:pStyle w:val="In-texttable"/>
              <w:tabs>
                <w:tab w:val="decimal" w:pos="250"/>
              </w:tabs>
              <w:spacing w:line="240" w:lineRule="auto"/>
              <w:jc w:val="center"/>
              <w:rPr>
                <w:del w:id="1649" w:author="AbbVie_HU_03" w:date="2025-05-14T15:27:00Z"/>
                <w:rFonts w:ascii="Times New Roman" w:hAnsi="Times New Roman"/>
                <w:sz w:val="22"/>
                <w:lang w:val="hu-HU"/>
              </w:rPr>
            </w:pPr>
            <w:del w:id="1650" w:author="AbbVie_HU_03" w:date="2025-05-14T15:27:00Z">
              <w:r w:rsidRPr="00183B5F">
                <w:rPr>
                  <w:rFonts w:ascii="Times New Roman" w:hAnsi="Times New Roman"/>
                  <w:sz w:val="22"/>
                  <w:lang w:val="hu-HU"/>
                </w:rPr>
                <w:delText>23,8%</w:delText>
              </w:r>
            </w:del>
          </w:p>
        </w:tc>
        <w:tc>
          <w:tcPr>
            <w:tcW w:w="1071" w:type="dxa"/>
            <w:tcBorders>
              <w:left w:val="single" w:sz="6" w:space="0" w:color="auto"/>
            </w:tcBorders>
          </w:tcPr>
          <w:p w14:paraId="498EEC2F" w14:textId="562C6778" w:rsidR="00FB6710" w:rsidRPr="00183B5F" w:rsidRDefault="00943743" w:rsidP="004062FE">
            <w:pPr>
              <w:pStyle w:val="In-texttable"/>
              <w:spacing w:line="240" w:lineRule="auto"/>
              <w:jc w:val="center"/>
              <w:rPr>
                <w:del w:id="1651" w:author="AbbVie_HU_03" w:date="2025-05-14T15:27:00Z"/>
                <w:rFonts w:ascii="Times New Roman" w:hAnsi="Times New Roman"/>
                <w:sz w:val="22"/>
                <w:lang w:val="hu-HU"/>
              </w:rPr>
            </w:pPr>
            <w:del w:id="1652" w:author="AbbVie_HU_03" w:date="2025-05-14T15:27:00Z">
              <w:r w:rsidRPr="00183B5F">
                <w:rPr>
                  <w:rFonts w:ascii="Times New Roman" w:hAnsi="Times New Roman"/>
                  <w:sz w:val="22"/>
                  <w:lang w:val="hu-HU"/>
                </w:rPr>
                <w:delText>1,8%</w:delText>
              </w:r>
            </w:del>
          </w:p>
        </w:tc>
        <w:tc>
          <w:tcPr>
            <w:tcW w:w="1197" w:type="dxa"/>
            <w:tcBorders>
              <w:right w:val="single" w:sz="6" w:space="0" w:color="auto"/>
            </w:tcBorders>
          </w:tcPr>
          <w:p w14:paraId="0B079707" w14:textId="530D518A" w:rsidR="00FB6710" w:rsidRPr="00183B5F" w:rsidRDefault="00943743" w:rsidP="004062FE">
            <w:pPr>
              <w:pStyle w:val="In-texttable"/>
              <w:tabs>
                <w:tab w:val="decimal" w:pos="205"/>
              </w:tabs>
              <w:spacing w:line="240" w:lineRule="auto"/>
              <w:jc w:val="center"/>
              <w:rPr>
                <w:del w:id="1653" w:author="AbbVie_HU_03" w:date="2025-05-14T15:27:00Z"/>
                <w:rFonts w:ascii="Times New Roman" w:hAnsi="Times New Roman"/>
                <w:sz w:val="22"/>
                <w:lang w:val="hu-HU"/>
              </w:rPr>
            </w:pPr>
            <w:del w:id="1654" w:author="AbbVie_HU_03" w:date="2025-05-14T15:27:00Z">
              <w:r w:rsidRPr="00183B5F">
                <w:rPr>
                  <w:rFonts w:ascii="Times New Roman" w:hAnsi="Times New Roman"/>
                  <w:sz w:val="22"/>
                  <w:lang w:val="hu-HU"/>
                </w:rPr>
                <w:delText>12,4%</w:delText>
              </w:r>
            </w:del>
          </w:p>
        </w:tc>
        <w:tc>
          <w:tcPr>
            <w:tcW w:w="1418" w:type="dxa"/>
            <w:tcBorders>
              <w:left w:val="single" w:sz="6" w:space="0" w:color="auto"/>
            </w:tcBorders>
          </w:tcPr>
          <w:p w14:paraId="3D3993C0" w14:textId="695E3515" w:rsidR="00FB6710" w:rsidRPr="00183B5F" w:rsidRDefault="00943743" w:rsidP="004062FE">
            <w:pPr>
              <w:pStyle w:val="In-texttable"/>
              <w:tabs>
                <w:tab w:val="decimal" w:pos="144"/>
              </w:tabs>
              <w:spacing w:line="240" w:lineRule="auto"/>
              <w:jc w:val="center"/>
              <w:rPr>
                <w:del w:id="1655" w:author="AbbVie_HU_03" w:date="2025-05-14T15:27:00Z"/>
                <w:rFonts w:ascii="Times New Roman" w:hAnsi="Times New Roman"/>
                <w:sz w:val="22"/>
                <w:lang w:val="hu-HU"/>
              </w:rPr>
            </w:pPr>
            <w:del w:id="1656" w:author="AbbVie_HU_03" w:date="2025-05-14T15:27:00Z">
              <w:r w:rsidRPr="00183B5F">
                <w:rPr>
                  <w:rFonts w:ascii="Times New Roman" w:hAnsi="Times New Roman"/>
                  <w:sz w:val="22"/>
                  <w:lang w:val="hu-HU"/>
                </w:rPr>
                <w:delText>2,5%</w:delText>
              </w:r>
            </w:del>
          </w:p>
        </w:tc>
        <w:tc>
          <w:tcPr>
            <w:tcW w:w="1559" w:type="dxa"/>
            <w:tcBorders>
              <w:right w:val="single" w:sz="4" w:space="0" w:color="auto"/>
            </w:tcBorders>
          </w:tcPr>
          <w:p w14:paraId="64E60D08" w14:textId="26C96043" w:rsidR="00FB6710" w:rsidRPr="00183B5F" w:rsidRDefault="00943743" w:rsidP="004062FE">
            <w:pPr>
              <w:pStyle w:val="In-texttable"/>
              <w:tabs>
                <w:tab w:val="decimal" w:pos="95"/>
              </w:tabs>
              <w:spacing w:line="240" w:lineRule="auto"/>
              <w:jc w:val="center"/>
              <w:rPr>
                <w:del w:id="1657" w:author="AbbVie_HU_03" w:date="2025-05-14T15:27:00Z"/>
                <w:rFonts w:ascii="Times New Roman" w:hAnsi="Times New Roman"/>
                <w:sz w:val="22"/>
                <w:lang w:val="hu-HU"/>
              </w:rPr>
            </w:pPr>
            <w:del w:id="1658" w:author="AbbVie_HU_03" w:date="2025-05-14T15:27:00Z">
              <w:r w:rsidRPr="00183B5F">
                <w:rPr>
                  <w:rFonts w:ascii="Times New Roman" w:hAnsi="Times New Roman"/>
                  <w:sz w:val="22"/>
                  <w:lang w:val="hu-HU"/>
                </w:rPr>
                <w:delText>20,8%</w:delText>
              </w:r>
            </w:del>
          </w:p>
        </w:tc>
      </w:tr>
      <w:tr w:rsidR="00011D2F" w14:paraId="6AECE54A" w14:textId="424C8DCA">
        <w:trPr>
          <w:cantSplit/>
          <w:del w:id="1659" w:author="AbbVie_HU_03" w:date="2025-05-14T15:27:00Z"/>
        </w:trPr>
        <w:tc>
          <w:tcPr>
            <w:tcW w:w="1159" w:type="dxa"/>
            <w:tcBorders>
              <w:left w:val="single" w:sz="4" w:space="0" w:color="auto"/>
              <w:bottom w:val="single" w:sz="4" w:space="0" w:color="auto"/>
              <w:right w:val="single" w:sz="6" w:space="0" w:color="auto"/>
            </w:tcBorders>
          </w:tcPr>
          <w:p w14:paraId="4A9DC707" w14:textId="309709B7" w:rsidR="00FB6710" w:rsidRPr="00183B5F" w:rsidRDefault="00943743" w:rsidP="004062FE">
            <w:pPr>
              <w:pStyle w:val="In-texttable"/>
              <w:tabs>
                <w:tab w:val="left" w:pos="144"/>
              </w:tabs>
              <w:spacing w:line="240" w:lineRule="auto"/>
              <w:rPr>
                <w:del w:id="1660" w:author="AbbVie_HU_03" w:date="2025-05-14T15:27:00Z"/>
                <w:rFonts w:ascii="Times New Roman" w:hAnsi="Times New Roman"/>
                <w:sz w:val="22"/>
                <w:lang w:val="hu-HU"/>
              </w:rPr>
            </w:pPr>
            <w:del w:id="1661" w:author="AbbVie_HU_03" w:date="2025-05-14T15:27:00Z">
              <w:r w:rsidRPr="00183B5F">
                <w:rPr>
                  <w:rFonts w:ascii="Times New Roman" w:hAnsi="Times New Roman"/>
                  <w:sz w:val="22"/>
                  <w:lang w:val="hu-HU"/>
                </w:rPr>
                <w:tab/>
                <w:delText>12</w:delText>
              </w:r>
              <w:r w:rsidR="00B8361B" w:rsidRPr="00183B5F">
                <w:rPr>
                  <w:rFonts w:ascii="Times New Roman" w:hAnsi="Times New Roman"/>
                  <w:sz w:val="22"/>
                  <w:lang w:val="hu-HU"/>
                </w:rPr>
                <w:delText> </w:delText>
              </w:r>
              <w:r w:rsidRPr="00183B5F">
                <w:rPr>
                  <w:rFonts w:ascii="Times New Roman" w:hAnsi="Times New Roman"/>
                  <w:sz w:val="22"/>
                  <w:lang w:val="hu-HU"/>
                </w:rPr>
                <w:delText>hónap</w:delText>
              </w:r>
            </w:del>
          </w:p>
        </w:tc>
        <w:tc>
          <w:tcPr>
            <w:tcW w:w="1393" w:type="dxa"/>
            <w:tcBorders>
              <w:left w:val="single" w:sz="6" w:space="0" w:color="auto"/>
              <w:bottom w:val="single" w:sz="4" w:space="0" w:color="auto"/>
            </w:tcBorders>
          </w:tcPr>
          <w:p w14:paraId="21E945FD" w14:textId="531FF189" w:rsidR="00FB6710" w:rsidRPr="00183B5F" w:rsidRDefault="00943743" w:rsidP="004062FE">
            <w:pPr>
              <w:pStyle w:val="In-texttable"/>
              <w:tabs>
                <w:tab w:val="decimal" w:pos="259"/>
              </w:tabs>
              <w:spacing w:line="240" w:lineRule="auto"/>
              <w:jc w:val="center"/>
              <w:rPr>
                <w:del w:id="1662" w:author="AbbVie_HU_03" w:date="2025-05-14T15:27:00Z"/>
                <w:rFonts w:ascii="Times New Roman" w:hAnsi="Times New Roman"/>
                <w:sz w:val="22"/>
                <w:lang w:val="hu-HU"/>
              </w:rPr>
            </w:pPr>
            <w:del w:id="1663" w:author="AbbVie_HU_03" w:date="2025-05-14T15:27:00Z">
              <w:r w:rsidRPr="00183B5F">
                <w:rPr>
                  <w:rFonts w:ascii="Times New Roman" w:hAnsi="Times New Roman"/>
                  <w:sz w:val="22"/>
                  <w:lang w:val="hu-HU"/>
                </w:rPr>
                <w:delText>NA</w:delText>
              </w:r>
            </w:del>
          </w:p>
        </w:tc>
        <w:tc>
          <w:tcPr>
            <w:tcW w:w="1417" w:type="dxa"/>
            <w:tcBorders>
              <w:bottom w:val="single" w:sz="4" w:space="0" w:color="auto"/>
              <w:right w:val="single" w:sz="6" w:space="0" w:color="auto"/>
            </w:tcBorders>
          </w:tcPr>
          <w:p w14:paraId="0D2ECAB6" w14:textId="15FBA232" w:rsidR="00FB6710" w:rsidRPr="00183B5F" w:rsidRDefault="00943743" w:rsidP="004062FE">
            <w:pPr>
              <w:pStyle w:val="In-texttable"/>
              <w:tabs>
                <w:tab w:val="decimal" w:pos="250"/>
              </w:tabs>
              <w:spacing w:line="240" w:lineRule="auto"/>
              <w:jc w:val="center"/>
              <w:rPr>
                <w:del w:id="1664" w:author="AbbVie_HU_03" w:date="2025-05-14T15:27:00Z"/>
                <w:rFonts w:ascii="Times New Roman" w:hAnsi="Times New Roman"/>
                <w:sz w:val="22"/>
                <w:lang w:val="hu-HU"/>
              </w:rPr>
            </w:pPr>
            <w:del w:id="1665" w:author="AbbVie_HU_03" w:date="2025-05-14T15:27:00Z">
              <w:r w:rsidRPr="00183B5F">
                <w:rPr>
                  <w:rFonts w:ascii="Times New Roman" w:hAnsi="Times New Roman"/>
                  <w:sz w:val="22"/>
                  <w:lang w:val="hu-HU"/>
                </w:rPr>
                <w:delText>NA</w:delText>
              </w:r>
            </w:del>
          </w:p>
        </w:tc>
        <w:tc>
          <w:tcPr>
            <w:tcW w:w="1071" w:type="dxa"/>
            <w:tcBorders>
              <w:left w:val="single" w:sz="6" w:space="0" w:color="auto"/>
              <w:bottom w:val="single" w:sz="4" w:space="0" w:color="auto"/>
            </w:tcBorders>
          </w:tcPr>
          <w:p w14:paraId="57236CC0" w14:textId="59A53076" w:rsidR="00FB6710" w:rsidRPr="00183B5F" w:rsidRDefault="00943743" w:rsidP="004062FE">
            <w:pPr>
              <w:pStyle w:val="In-texttable"/>
              <w:spacing w:line="240" w:lineRule="auto"/>
              <w:jc w:val="center"/>
              <w:rPr>
                <w:del w:id="1666" w:author="AbbVie_HU_03" w:date="2025-05-14T15:27:00Z"/>
                <w:rFonts w:ascii="Times New Roman" w:hAnsi="Times New Roman"/>
                <w:sz w:val="22"/>
                <w:lang w:val="hu-HU"/>
              </w:rPr>
            </w:pPr>
            <w:del w:id="1667" w:author="AbbVie_HU_03" w:date="2025-05-14T15:27:00Z">
              <w:r w:rsidRPr="00183B5F">
                <w:rPr>
                  <w:rFonts w:ascii="Times New Roman" w:hAnsi="Times New Roman"/>
                  <w:sz w:val="22"/>
                  <w:lang w:val="hu-HU"/>
                </w:rPr>
                <w:delText>NA</w:delText>
              </w:r>
            </w:del>
          </w:p>
        </w:tc>
        <w:tc>
          <w:tcPr>
            <w:tcW w:w="1197" w:type="dxa"/>
            <w:tcBorders>
              <w:bottom w:val="single" w:sz="4" w:space="0" w:color="auto"/>
              <w:right w:val="single" w:sz="6" w:space="0" w:color="auto"/>
            </w:tcBorders>
          </w:tcPr>
          <w:p w14:paraId="050FEA47" w14:textId="27C264B3" w:rsidR="00FB6710" w:rsidRPr="00183B5F" w:rsidRDefault="00943743" w:rsidP="004062FE">
            <w:pPr>
              <w:pStyle w:val="In-texttable"/>
              <w:tabs>
                <w:tab w:val="decimal" w:pos="205"/>
              </w:tabs>
              <w:spacing w:line="240" w:lineRule="auto"/>
              <w:jc w:val="center"/>
              <w:rPr>
                <w:del w:id="1668" w:author="AbbVie_HU_03" w:date="2025-05-14T15:27:00Z"/>
                <w:rFonts w:ascii="Times New Roman" w:hAnsi="Times New Roman"/>
                <w:sz w:val="22"/>
                <w:lang w:val="hu-HU"/>
              </w:rPr>
            </w:pPr>
            <w:del w:id="1669" w:author="AbbVie_HU_03" w:date="2025-05-14T15:27:00Z">
              <w:r w:rsidRPr="00183B5F">
                <w:rPr>
                  <w:rFonts w:ascii="Times New Roman" w:hAnsi="Times New Roman"/>
                  <w:sz w:val="22"/>
                  <w:lang w:val="hu-HU"/>
                </w:rPr>
                <w:delText>NA</w:delText>
              </w:r>
            </w:del>
          </w:p>
        </w:tc>
        <w:tc>
          <w:tcPr>
            <w:tcW w:w="1418" w:type="dxa"/>
            <w:tcBorders>
              <w:left w:val="single" w:sz="6" w:space="0" w:color="auto"/>
              <w:bottom w:val="single" w:sz="4" w:space="0" w:color="auto"/>
            </w:tcBorders>
          </w:tcPr>
          <w:p w14:paraId="4E9B682E" w14:textId="309778B9" w:rsidR="00FB6710" w:rsidRPr="00183B5F" w:rsidRDefault="00943743" w:rsidP="004062FE">
            <w:pPr>
              <w:pStyle w:val="In-texttable"/>
              <w:tabs>
                <w:tab w:val="decimal" w:pos="144"/>
              </w:tabs>
              <w:spacing w:line="240" w:lineRule="auto"/>
              <w:jc w:val="center"/>
              <w:rPr>
                <w:del w:id="1670" w:author="AbbVie_HU_03" w:date="2025-05-14T15:27:00Z"/>
                <w:rFonts w:ascii="Times New Roman" w:hAnsi="Times New Roman"/>
                <w:sz w:val="22"/>
                <w:lang w:val="hu-HU"/>
              </w:rPr>
            </w:pPr>
            <w:del w:id="1671" w:author="AbbVie_HU_03" w:date="2025-05-14T15:27:00Z">
              <w:r w:rsidRPr="00183B5F">
                <w:rPr>
                  <w:rFonts w:ascii="Times New Roman" w:hAnsi="Times New Roman"/>
                  <w:sz w:val="22"/>
                  <w:lang w:val="hu-HU"/>
                </w:rPr>
                <w:delText>4,5%</w:delText>
              </w:r>
            </w:del>
          </w:p>
        </w:tc>
        <w:tc>
          <w:tcPr>
            <w:tcW w:w="1559" w:type="dxa"/>
            <w:tcBorders>
              <w:bottom w:val="single" w:sz="4" w:space="0" w:color="auto"/>
              <w:right w:val="single" w:sz="4" w:space="0" w:color="auto"/>
            </w:tcBorders>
          </w:tcPr>
          <w:p w14:paraId="3AF88401" w14:textId="7E9F59FF" w:rsidR="00FB6710" w:rsidRPr="00183B5F" w:rsidRDefault="00943743" w:rsidP="004062FE">
            <w:pPr>
              <w:pStyle w:val="In-texttable"/>
              <w:tabs>
                <w:tab w:val="decimal" w:pos="95"/>
              </w:tabs>
              <w:spacing w:line="240" w:lineRule="auto"/>
              <w:jc w:val="center"/>
              <w:rPr>
                <w:del w:id="1672" w:author="AbbVie_HU_03" w:date="2025-05-14T15:27:00Z"/>
                <w:rFonts w:ascii="Times New Roman" w:hAnsi="Times New Roman"/>
                <w:sz w:val="22"/>
                <w:lang w:val="hu-HU"/>
              </w:rPr>
            </w:pPr>
            <w:del w:id="1673" w:author="AbbVie_HU_03" w:date="2025-05-14T15:27:00Z">
              <w:r w:rsidRPr="00183B5F">
                <w:rPr>
                  <w:rFonts w:ascii="Times New Roman" w:hAnsi="Times New Roman"/>
                  <w:sz w:val="22"/>
                  <w:lang w:val="hu-HU"/>
                </w:rPr>
                <w:delText>23,2%</w:delText>
              </w:r>
            </w:del>
          </w:p>
        </w:tc>
      </w:tr>
      <w:tr w:rsidR="00011D2F" w14:paraId="4BE499F5" w14:textId="68016D37">
        <w:trPr>
          <w:cantSplit/>
          <w:del w:id="1674" w:author="AbbVie_HU_03" w:date="2025-05-14T15:27:00Z"/>
        </w:trPr>
        <w:tc>
          <w:tcPr>
            <w:tcW w:w="9214" w:type="dxa"/>
            <w:gridSpan w:val="7"/>
            <w:tcBorders>
              <w:top w:val="single" w:sz="4" w:space="0" w:color="auto"/>
            </w:tcBorders>
          </w:tcPr>
          <w:p w14:paraId="1D253A4D" w14:textId="7CD15394" w:rsidR="00FB6710" w:rsidRPr="00183B5F" w:rsidRDefault="00943743" w:rsidP="004062FE">
            <w:pPr>
              <w:pStyle w:val="EndnoteText"/>
              <w:keepNext/>
              <w:tabs>
                <w:tab w:val="clear" w:pos="567"/>
              </w:tabs>
              <w:suppressAutoHyphens/>
              <w:rPr>
                <w:del w:id="1675" w:author="AbbVie_HU_03" w:date="2025-05-14T15:27:00Z"/>
                <w:sz w:val="22"/>
                <w:szCs w:val="22"/>
                <w:lang w:val="hu-HU" w:eastAsia="hu-HU"/>
              </w:rPr>
            </w:pPr>
            <w:del w:id="1676" w:author="AbbVie_HU_03" w:date="2025-05-14T15:27:00Z">
              <w:r w:rsidRPr="00183B5F">
                <w:rPr>
                  <w:sz w:val="22"/>
                  <w:szCs w:val="22"/>
                  <w:vertAlign w:val="superscript"/>
                  <w:lang w:val="hu-HU" w:eastAsia="hu-HU"/>
                </w:rPr>
                <w:delText>a</w:delText>
              </w:r>
              <w:r w:rsidR="000C5AA9" w:rsidRPr="00183B5F">
                <w:rPr>
                  <w:sz w:val="22"/>
                  <w:szCs w:val="22"/>
                  <w:vertAlign w:val="superscript"/>
                  <w:lang w:val="hu-HU" w:eastAsia="hu-HU"/>
                </w:rPr>
                <w:delText xml:space="preserve"> </w:delText>
              </w:r>
              <w:r w:rsidRPr="00183B5F">
                <w:rPr>
                  <w:sz w:val="22"/>
                  <w:szCs w:val="22"/>
                  <w:lang w:val="hu-HU" w:eastAsia="hu-HU"/>
                </w:rPr>
                <w:delText>RA</w:delText>
              </w:r>
              <w:r w:rsidR="00B8361B" w:rsidRPr="00183B5F">
                <w:rPr>
                  <w:sz w:val="22"/>
                  <w:szCs w:val="22"/>
                  <w:lang w:val="hu-HU" w:eastAsia="hu-HU"/>
                </w:rPr>
                <w:delText> </w:delText>
              </w:r>
              <w:r w:rsidRPr="00183B5F">
                <w:rPr>
                  <w:sz w:val="22"/>
                  <w:szCs w:val="22"/>
                  <w:lang w:val="hu-HU" w:eastAsia="hu-HU"/>
                </w:rPr>
                <w:delText>I vizsgálat 24.</w:delText>
              </w:r>
              <w:r w:rsidR="00A44DB6" w:rsidRPr="00183B5F">
                <w:rPr>
                  <w:sz w:val="22"/>
                  <w:szCs w:val="22"/>
                  <w:lang w:val="hu-HU" w:eastAsia="hu-HU"/>
                </w:rPr>
                <w:delText> hét</w:delText>
              </w:r>
              <w:r w:rsidRPr="00183B5F">
                <w:rPr>
                  <w:sz w:val="22"/>
                  <w:szCs w:val="22"/>
                  <w:lang w:val="hu-HU" w:eastAsia="hu-HU"/>
                </w:rPr>
                <w:delText>en, RA</w:delText>
              </w:r>
              <w:r w:rsidR="00B8361B" w:rsidRPr="00183B5F">
                <w:rPr>
                  <w:sz w:val="22"/>
                  <w:szCs w:val="22"/>
                  <w:lang w:val="hu-HU" w:eastAsia="hu-HU"/>
                </w:rPr>
                <w:delText> </w:delText>
              </w:r>
              <w:r w:rsidRPr="00183B5F">
                <w:rPr>
                  <w:sz w:val="22"/>
                  <w:szCs w:val="22"/>
                  <w:lang w:val="hu-HU" w:eastAsia="hu-HU"/>
                </w:rPr>
                <w:delText>II vizsgálat 26.</w:delText>
              </w:r>
              <w:r w:rsidR="00A44DB6" w:rsidRPr="00183B5F">
                <w:rPr>
                  <w:sz w:val="22"/>
                  <w:szCs w:val="22"/>
                  <w:lang w:val="hu-HU" w:eastAsia="hu-HU"/>
                </w:rPr>
                <w:delText> hét</w:delText>
              </w:r>
              <w:r w:rsidRPr="00183B5F">
                <w:rPr>
                  <w:sz w:val="22"/>
                  <w:szCs w:val="22"/>
                  <w:lang w:val="hu-HU" w:eastAsia="hu-HU"/>
                </w:rPr>
                <w:delText>en, RA</w:delText>
              </w:r>
              <w:r w:rsidR="00B8361B" w:rsidRPr="00183B5F">
                <w:rPr>
                  <w:sz w:val="22"/>
                  <w:szCs w:val="22"/>
                  <w:lang w:val="hu-HU" w:eastAsia="hu-HU"/>
                </w:rPr>
                <w:delText> </w:delText>
              </w:r>
              <w:r w:rsidRPr="00183B5F">
                <w:rPr>
                  <w:sz w:val="22"/>
                  <w:szCs w:val="22"/>
                  <w:lang w:val="hu-HU" w:eastAsia="hu-HU"/>
                </w:rPr>
                <w:delText>III vizsgálat 24. és 52.</w:delText>
              </w:r>
              <w:r w:rsidR="00A44DB6" w:rsidRPr="00183B5F">
                <w:rPr>
                  <w:sz w:val="22"/>
                  <w:szCs w:val="22"/>
                  <w:lang w:val="hu-HU" w:eastAsia="hu-HU"/>
                </w:rPr>
                <w:delText> hét</w:delText>
              </w:r>
              <w:r w:rsidRPr="00183B5F">
                <w:rPr>
                  <w:sz w:val="22"/>
                  <w:szCs w:val="22"/>
                  <w:lang w:val="hu-HU" w:eastAsia="hu-HU"/>
                </w:rPr>
                <w:delText>en</w:delText>
              </w:r>
            </w:del>
          </w:p>
          <w:p w14:paraId="383A5D89" w14:textId="2998B3A5" w:rsidR="00FB6710" w:rsidRPr="00183B5F" w:rsidRDefault="00943743" w:rsidP="004062FE">
            <w:pPr>
              <w:pStyle w:val="EndnoteText"/>
              <w:keepNext/>
              <w:tabs>
                <w:tab w:val="clear" w:pos="567"/>
              </w:tabs>
              <w:suppressAutoHyphens/>
              <w:rPr>
                <w:del w:id="1677" w:author="AbbVie_HU_03" w:date="2025-05-14T15:27:00Z"/>
                <w:sz w:val="22"/>
                <w:szCs w:val="22"/>
                <w:lang w:val="hu-HU" w:eastAsia="hu-HU"/>
              </w:rPr>
            </w:pPr>
            <w:del w:id="1678" w:author="AbbVie_HU_03" w:date="2025-05-14T15:27:00Z">
              <w:r w:rsidRPr="00183B5F">
                <w:rPr>
                  <w:sz w:val="22"/>
                  <w:szCs w:val="22"/>
                  <w:vertAlign w:val="superscript"/>
                  <w:lang w:val="hu-HU" w:eastAsia="hu-HU"/>
                </w:rPr>
                <w:delText>b</w:delText>
              </w:r>
              <w:r w:rsidR="000C5AA9" w:rsidRPr="00183B5F">
                <w:rPr>
                  <w:sz w:val="22"/>
                  <w:szCs w:val="22"/>
                  <w:vertAlign w:val="superscript"/>
                  <w:lang w:val="hu-HU" w:eastAsia="hu-HU"/>
                </w:rPr>
                <w:delText xml:space="preserve"> </w:delText>
              </w:r>
              <w:r w:rsidRPr="00183B5F">
                <w:rPr>
                  <w:sz w:val="22"/>
                  <w:szCs w:val="22"/>
                  <w:lang w:val="hu-HU" w:eastAsia="hu-HU"/>
                </w:rPr>
                <w:delText>40 mg Humira minden második héten alkalmazva</w:delText>
              </w:r>
            </w:del>
          </w:p>
          <w:p w14:paraId="32232823" w14:textId="0B840BF0" w:rsidR="00FB6710" w:rsidRPr="00183B5F" w:rsidRDefault="00943743" w:rsidP="004062FE">
            <w:pPr>
              <w:pStyle w:val="EndnoteText"/>
              <w:keepNext/>
              <w:tabs>
                <w:tab w:val="clear" w:pos="567"/>
              </w:tabs>
              <w:suppressAutoHyphens/>
              <w:rPr>
                <w:del w:id="1679" w:author="AbbVie_HU_03" w:date="2025-05-14T15:27:00Z"/>
                <w:sz w:val="22"/>
                <w:szCs w:val="22"/>
                <w:lang w:val="hu-HU" w:eastAsia="hu-HU"/>
              </w:rPr>
            </w:pPr>
            <w:del w:id="1680" w:author="AbbVie_HU_03" w:date="2025-05-14T15:27:00Z">
              <w:r w:rsidRPr="00183B5F">
                <w:rPr>
                  <w:sz w:val="22"/>
                  <w:szCs w:val="22"/>
                  <w:vertAlign w:val="superscript"/>
                  <w:lang w:val="hu-HU" w:eastAsia="hu-HU"/>
                </w:rPr>
                <w:delText>c</w:delText>
              </w:r>
              <w:r w:rsidR="000C5AA9" w:rsidRPr="00183B5F">
                <w:rPr>
                  <w:sz w:val="22"/>
                  <w:szCs w:val="22"/>
                  <w:vertAlign w:val="superscript"/>
                  <w:lang w:val="hu-HU" w:eastAsia="hu-HU"/>
                </w:rPr>
                <w:delText xml:space="preserve"> </w:delText>
              </w:r>
              <w:r w:rsidRPr="00183B5F">
                <w:rPr>
                  <w:sz w:val="22"/>
                  <w:szCs w:val="22"/>
                  <w:lang w:val="hu-HU" w:eastAsia="hu-HU"/>
                </w:rPr>
                <w:delText>MTX =</w:delText>
              </w:r>
              <w:r w:rsidRPr="00183B5F">
                <w:rPr>
                  <w:sz w:val="22"/>
                  <w:lang w:val="hu-HU"/>
                </w:rPr>
                <w:delText> metotrexát</w:delText>
              </w:r>
            </w:del>
          </w:p>
          <w:p w14:paraId="09C7989D" w14:textId="42F99117" w:rsidR="00FB6710" w:rsidRPr="00183B5F" w:rsidRDefault="00943743" w:rsidP="004062FE">
            <w:pPr>
              <w:pStyle w:val="EndnoteText"/>
              <w:keepNext/>
              <w:tabs>
                <w:tab w:val="clear" w:pos="567"/>
              </w:tabs>
              <w:suppressAutoHyphens/>
              <w:rPr>
                <w:del w:id="1681" w:author="AbbVie_HU_03" w:date="2025-05-14T15:27:00Z"/>
                <w:sz w:val="22"/>
                <w:lang w:val="hu-HU"/>
              </w:rPr>
            </w:pPr>
            <w:del w:id="1682" w:author="AbbVie_HU_03" w:date="2025-05-14T15:27:00Z">
              <w:r w:rsidRPr="00183B5F">
                <w:rPr>
                  <w:sz w:val="22"/>
                  <w:vertAlign w:val="superscript"/>
                  <w:lang w:val="hu-HU"/>
                </w:rPr>
                <w:delText>**</w:delText>
              </w:r>
              <w:r w:rsidR="000C5AA9" w:rsidRPr="00183B5F">
                <w:rPr>
                  <w:sz w:val="22"/>
                  <w:vertAlign w:val="superscript"/>
                  <w:lang w:val="hu-HU"/>
                </w:rPr>
                <w:delText xml:space="preserve"> </w:delText>
              </w:r>
              <w:r w:rsidRPr="00183B5F">
                <w:rPr>
                  <w:sz w:val="22"/>
                  <w:lang w:val="hu-HU"/>
                </w:rPr>
                <w:delText xml:space="preserve">p &lt; 0,01, Humira </w:delText>
              </w:r>
              <w:r w:rsidRPr="00183B5F">
                <w:rPr>
                  <w:i/>
                  <w:sz w:val="22"/>
                  <w:lang w:val="hu-HU"/>
                </w:rPr>
                <w:delText>versus</w:delText>
              </w:r>
              <w:r w:rsidRPr="00183B5F">
                <w:rPr>
                  <w:sz w:val="22"/>
                  <w:lang w:val="hu-HU"/>
                </w:rPr>
                <w:delText xml:space="preserve"> placebo</w:delText>
              </w:r>
            </w:del>
          </w:p>
          <w:p w14:paraId="493686F7" w14:textId="5E39BC80" w:rsidR="00FB6710" w:rsidRPr="00183B5F" w:rsidRDefault="00943743" w:rsidP="004062FE">
            <w:pPr>
              <w:keepNext/>
              <w:spacing w:line="240" w:lineRule="auto"/>
              <w:rPr>
                <w:del w:id="1683" w:author="AbbVie_HU_03" w:date="2025-05-14T15:27:00Z"/>
                <w:szCs w:val="22"/>
              </w:rPr>
            </w:pPr>
            <w:del w:id="1684" w:author="AbbVie_HU_03" w:date="2025-05-14T15:27:00Z">
              <w:r w:rsidRPr="00183B5F">
                <w:rPr>
                  <w:szCs w:val="22"/>
                </w:rPr>
                <w:delText>NA: nincs adat</w:delText>
              </w:r>
            </w:del>
          </w:p>
        </w:tc>
      </w:tr>
    </w:tbl>
    <w:p w14:paraId="1BF318E2" w14:textId="19C7B458" w:rsidR="00FB6710" w:rsidRPr="00183B5F" w:rsidRDefault="00FB6710" w:rsidP="004062FE">
      <w:pPr>
        <w:spacing w:line="240" w:lineRule="auto"/>
        <w:rPr>
          <w:del w:id="1685" w:author="AbbVie_HU_03" w:date="2025-05-14T15:27:00Z"/>
          <w:szCs w:val="22"/>
        </w:rPr>
      </w:pPr>
    </w:p>
    <w:p w14:paraId="580E5783" w14:textId="2B56938F" w:rsidR="00FB6710" w:rsidRPr="00183B5F" w:rsidRDefault="00943743" w:rsidP="004062FE">
      <w:pPr>
        <w:spacing w:line="240" w:lineRule="auto"/>
        <w:rPr>
          <w:del w:id="1686" w:author="AbbVie_HU_03" w:date="2025-05-14T15:27:00Z"/>
          <w:szCs w:val="22"/>
        </w:rPr>
      </w:pPr>
      <w:del w:id="1687" w:author="AbbVie_HU_03" w:date="2025-05-14T15:27:00Z">
        <w:r w:rsidRPr="00183B5F">
          <w:rPr>
            <w:szCs w:val="22"/>
          </w:rPr>
          <w:delText>Az RA</w:delText>
        </w:r>
        <w:r w:rsidR="00B8361B" w:rsidRPr="00183B5F">
          <w:rPr>
            <w:szCs w:val="22"/>
          </w:rPr>
          <w:delText> </w:delText>
        </w:r>
        <w:r w:rsidRPr="00183B5F">
          <w:rPr>
            <w:szCs w:val="22"/>
          </w:rPr>
          <w:delText xml:space="preserve">I </w:delText>
        </w:r>
        <w:r w:rsidR="002C1F5C" w:rsidRPr="00183B5F">
          <w:rPr>
            <w:szCs w:val="22"/>
          </w:rPr>
          <w:delText>–</w:delText>
        </w:r>
        <w:r w:rsidRPr="00183B5F">
          <w:rPr>
            <w:szCs w:val="22"/>
          </w:rPr>
          <w:delText xml:space="preserve"> IV vizsgálatokban az </w:delText>
        </w:r>
        <w:r w:rsidR="005D174E" w:rsidRPr="00183B5F">
          <w:rPr>
            <w:szCs w:val="22"/>
          </w:rPr>
          <w:delText>ACR-válasz</w:delText>
        </w:r>
        <w:r w:rsidRPr="00183B5F">
          <w:rPr>
            <w:szCs w:val="22"/>
          </w:rPr>
          <w:delText xml:space="preserve">t alkotó kritériumok (duzzadt és érzékeny ízületek száma, a beteg és az orvos értékelése a betegség aktivitásáról és a fájdalomról, rokkantsági index (HAQ), CRP (mg/dl) érték) mindegyike </w:delText>
        </w:r>
        <w:r w:rsidR="009126D0" w:rsidRPr="00183B5F">
          <w:rPr>
            <w:szCs w:val="22"/>
          </w:rPr>
          <w:delText xml:space="preserve">egyedileg </w:delText>
        </w:r>
        <w:r w:rsidRPr="00183B5F">
          <w:rPr>
            <w:szCs w:val="22"/>
          </w:rPr>
          <w:delText xml:space="preserve">is javulást mutatott </w:delText>
        </w:r>
        <w:r w:rsidR="00903BD3" w:rsidRPr="00183B5F">
          <w:rPr>
            <w:szCs w:val="22"/>
          </w:rPr>
          <w:delText xml:space="preserve">a </w:delText>
        </w:r>
        <w:r w:rsidRPr="00183B5F">
          <w:rPr>
            <w:szCs w:val="22"/>
          </w:rPr>
          <w:delText>24</w:delText>
        </w:r>
        <w:r w:rsidR="00903BD3" w:rsidRPr="00183B5F">
          <w:rPr>
            <w:szCs w:val="22"/>
          </w:rPr>
          <w:delText>.</w:delText>
        </w:r>
        <w:r w:rsidRPr="00183B5F">
          <w:rPr>
            <w:szCs w:val="22"/>
          </w:rPr>
          <w:delText xml:space="preserve"> illetve 26</w:delText>
        </w:r>
        <w:r w:rsidR="00903BD3" w:rsidRPr="00183B5F">
          <w:rPr>
            <w:szCs w:val="22"/>
          </w:rPr>
          <w:delText>.</w:delText>
        </w:r>
        <w:r w:rsidR="00A44DB6" w:rsidRPr="00183B5F">
          <w:rPr>
            <w:szCs w:val="22"/>
          </w:rPr>
          <w:delText> hét</w:delText>
        </w:r>
        <w:r w:rsidR="00903BD3" w:rsidRPr="00183B5F">
          <w:rPr>
            <w:szCs w:val="22"/>
          </w:rPr>
          <w:delText>en</w:delText>
        </w:r>
        <w:r w:rsidRPr="00183B5F">
          <w:rPr>
            <w:szCs w:val="22"/>
          </w:rPr>
          <w:delText xml:space="preserve"> elteltével a placebocsoporthoz képest. A</w:delText>
        </w:r>
        <w:r w:rsidR="00C67C60" w:rsidRPr="00183B5F">
          <w:rPr>
            <w:szCs w:val="22"/>
          </w:rPr>
          <w:delText>z RA</w:delText>
        </w:r>
        <w:r w:rsidRPr="00183B5F">
          <w:rPr>
            <w:szCs w:val="22"/>
          </w:rPr>
          <w:delText xml:space="preserve"> III vizsgálatban ez a javuló tendencia 52</w:delText>
        </w:r>
        <w:r w:rsidR="00A44DB6" w:rsidRPr="00183B5F">
          <w:rPr>
            <w:szCs w:val="22"/>
          </w:rPr>
          <w:delText> hét</w:delText>
        </w:r>
        <w:r w:rsidRPr="00183B5F">
          <w:rPr>
            <w:szCs w:val="22"/>
          </w:rPr>
          <w:delText xml:space="preserve">en át tartott. </w:delText>
        </w:r>
      </w:del>
    </w:p>
    <w:p w14:paraId="39402C62" w14:textId="3367A546" w:rsidR="00EC420B" w:rsidRPr="00183B5F" w:rsidRDefault="00EC420B" w:rsidP="004062FE">
      <w:pPr>
        <w:spacing w:line="240" w:lineRule="auto"/>
        <w:rPr>
          <w:del w:id="1688" w:author="AbbVie_HU_03" w:date="2025-05-14T15:27:00Z"/>
          <w:szCs w:val="22"/>
        </w:rPr>
      </w:pPr>
    </w:p>
    <w:p w14:paraId="6DF385BD" w14:textId="13195BEA" w:rsidR="00EC420B" w:rsidRPr="00183B5F" w:rsidRDefault="00943743" w:rsidP="004062FE">
      <w:pPr>
        <w:spacing w:line="240" w:lineRule="auto"/>
        <w:rPr>
          <w:del w:id="1689" w:author="AbbVie_HU_03" w:date="2025-05-14T15:27:00Z"/>
          <w:szCs w:val="22"/>
        </w:rPr>
      </w:pPr>
      <w:del w:id="1690" w:author="AbbVie_HU_03" w:date="2025-05-14T15:27:00Z">
        <w:r w:rsidRPr="00183B5F">
          <w:rPr>
            <w:szCs w:val="22"/>
          </w:rPr>
          <w:delText>Az RA</w:delText>
        </w:r>
        <w:r w:rsidR="00B8361B" w:rsidRPr="00183B5F">
          <w:rPr>
            <w:szCs w:val="22"/>
          </w:rPr>
          <w:delText> </w:delText>
        </w:r>
        <w:r w:rsidRPr="00183B5F">
          <w:rPr>
            <w:szCs w:val="22"/>
          </w:rPr>
          <w:delText>III vizsgálat nyílt kiterjeszt</w:delText>
        </w:r>
        <w:r w:rsidR="003D04DA" w:rsidRPr="00183B5F">
          <w:rPr>
            <w:szCs w:val="22"/>
          </w:rPr>
          <w:delText>ésének</w:delText>
        </w:r>
        <w:r w:rsidR="000F3502" w:rsidRPr="00183B5F">
          <w:rPr>
            <w:szCs w:val="22"/>
          </w:rPr>
          <w:delText xml:space="preserve"> legfeljebb 10</w:delText>
        </w:r>
        <w:r w:rsidR="00652D95" w:rsidRPr="00183B5F">
          <w:rPr>
            <w:szCs w:val="22"/>
          </w:rPr>
          <w:delText> </w:delText>
        </w:r>
        <w:r w:rsidR="000F3502" w:rsidRPr="00183B5F">
          <w:rPr>
            <w:szCs w:val="22"/>
          </w:rPr>
          <w:delText>éves követési</w:delText>
        </w:r>
        <w:r w:rsidRPr="00183B5F">
          <w:rPr>
            <w:szCs w:val="22"/>
          </w:rPr>
          <w:delText xml:space="preserve"> fázisában az </w:delText>
        </w:r>
        <w:r w:rsidR="005D174E" w:rsidRPr="00183B5F">
          <w:rPr>
            <w:szCs w:val="22"/>
          </w:rPr>
          <w:delText>ACR-válasz</w:delText>
        </w:r>
        <w:r w:rsidRPr="00183B5F">
          <w:rPr>
            <w:szCs w:val="22"/>
          </w:rPr>
          <w:delText>t adó betegek többségénél fennmaradt a válasz</w:delText>
        </w:r>
        <w:r w:rsidR="000F3502" w:rsidRPr="00183B5F">
          <w:rPr>
            <w:szCs w:val="22"/>
          </w:rPr>
          <w:delText>.</w:delText>
        </w:r>
        <w:r w:rsidR="001F3012" w:rsidRPr="00183B5F">
          <w:rPr>
            <w:szCs w:val="22"/>
          </w:rPr>
          <w:delText xml:space="preserve"> </w:delText>
        </w:r>
        <w:r w:rsidR="00121AAD" w:rsidRPr="00183B5F">
          <w:rPr>
            <w:szCs w:val="22"/>
          </w:rPr>
          <w:delText xml:space="preserve">A </w:delText>
        </w:r>
        <w:r w:rsidR="00AB03A9" w:rsidRPr="00183B5F">
          <w:rPr>
            <w:szCs w:val="22"/>
          </w:rPr>
          <w:delText>Humira</w:delText>
        </w:r>
        <w:r w:rsidR="00AB03A9" w:rsidRPr="00183B5F">
          <w:rPr>
            <w:szCs w:val="22"/>
          </w:rPr>
          <w:noBreakHyphen/>
          <w:delText xml:space="preserve">ra randomizált, </w:delText>
        </w:r>
        <w:r w:rsidR="001F3012" w:rsidRPr="00183B5F">
          <w:rPr>
            <w:szCs w:val="22"/>
          </w:rPr>
          <w:delText xml:space="preserve">minden második héten </w:delText>
        </w:r>
        <w:r w:rsidR="0046616D" w:rsidRPr="00183B5F">
          <w:rPr>
            <w:szCs w:val="22"/>
          </w:rPr>
          <w:delText>40</w:delText>
        </w:r>
        <w:r w:rsidR="00AB03A9" w:rsidRPr="00183B5F">
          <w:rPr>
            <w:szCs w:val="22"/>
          </w:rPr>
          <w:delText> </w:delText>
        </w:r>
        <w:r w:rsidR="0046616D" w:rsidRPr="00183B5F">
          <w:rPr>
            <w:szCs w:val="22"/>
          </w:rPr>
          <w:delText>mg</w:delText>
        </w:r>
        <w:r w:rsidR="00AB03A9" w:rsidRPr="00183B5F">
          <w:rPr>
            <w:szCs w:val="22"/>
          </w:rPr>
          <w:noBreakHyphen/>
        </w:r>
        <w:r w:rsidR="0046616D" w:rsidRPr="00183B5F">
          <w:rPr>
            <w:szCs w:val="22"/>
          </w:rPr>
          <w:delText>m</w:delText>
        </w:r>
        <w:r w:rsidR="001F3012" w:rsidRPr="00183B5F">
          <w:rPr>
            <w:szCs w:val="22"/>
          </w:rPr>
          <w:delText>al kezelt</w:delText>
        </w:r>
        <w:r w:rsidR="00121AAD" w:rsidRPr="00183B5F">
          <w:rPr>
            <w:szCs w:val="22"/>
          </w:rPr>
          <w:delText xml:space="preserve"> 207</w:delText>
        </w:r>
        <w:r w:rsidR="00B8361B" w:rsidRPr="00183B5F">
          <w:rPr>
            <w:szCs w:val="22"/>
          </w:rPr>
          <w:delText> </w:delText>
        </w:r>
        <w:r w:rsidR="00121AAD" w:rsidRPr="00183B5F">
          <w:rPr>
            <w:szCs w:val="22"/>
          </w:rPr>
          <w:delText>beteg közül</w:delText>
        </w:r>
        <w:r w:rsidR="001F3012" w:rsidRPr="00183B5F">
          <w:rPr>
            <w:szCs w:val="22"/>
          </w:rPr>
          <w:delText xml:space="preserve"> </w:delText>
        </w:r>
        <w:r w:rsidRPr="00183B5F">
          <w:rPr>
            <w:szCs w:val="22"/>
          </w:rPr>
          <w:delText>114</w:delText>
        </w:r>
        <w:r w:rsidR="00B8361B" w:rsidRPr="00183B5F">
          <w:rPr>
            <w:szCs w:val="22"/>
          </w:rPr>
          <w:delText> </w:delText>
        </w:r>
        <w:r w:rsidRPr="00183B5F">
          <w:rPr>
            <w:szCs w:val="22"/>
          </w:rPr>
          <w:delText>beteg folytatta a 2</w:delText>
        </w:r>
        <w:r w:rsidR="00652D95" w:rsidRPr="00183B5F">
          <w:rPr>
            <w:szCs w:val="22"/>
          </w:rPr>
          <w:delText> </w:delText>
        </w:r>
        <w:r w:rsidRPr="00183B5F">
          <w:rPr>
            <w:szCs w:val="22"/>
          </w:rPr>
          <w:delText>hetenkénti 40</w:delText>
        </w:r>
        <w:r w:rsidR="00331329" w:rsidRPr="00183B5F">
          <w:rPr>
            <w:szCs w:val="22"/>
          </w:rPr>
          <w:delText> m</w:delText>
        </w:r>
        <w:r w:rsidRPr="00183B5F">
          <w:rPr>
            <w:szCs w:val="22"/>
          </w:rPr>
          <w:delText>g</w:delText>
        </w:r>
        <w:r w:rsidR="006A1F1A" w:rsidRPr="00183B5F">
          <w:rPr>
            <w:szCs w:val="22"/>
          </w:rPr>
          <w:noBreakHyphen/>
        </w:r>
        <w:r w:rsidRPr="00183B5F">
          <w:rPr>
            <w:szCs w:val="22"/>
          </w:rPr>
          <w:delText>os Humira</w:delText>
        </w:r>
        <w:r w:rsidR="003D04DA" w:rsidRPr="00183B5F">
          <w:rPr>
            <w:szCs w:val="22"/>
          </w:rPr>
          <w:noBreakHyphen/>
        </w:r>
        <w:r w:rsidRPr="00183B5F">
          <w:rPr>
            <w:szCs w:val="22"/>
          </w:rPr>
          <w:delText>kezelést 5</w:delText>
        </w:r>
        <w:r w:rsidR="00B8361B" w:rsidRPr="00183B5F">
          <w:rPr>
            <w:szCs w:val="22"/>
          </w:rPr>
          <w:delText> </w:delText>
        </w:r>
        <w:r w:rsidRPr="00183B5F">
          <w:rPr>
            <w:szCs w:val="22"/>
          </w:rPr>
          <w:delText xml:space="preserve">éven keresztül. Közülük 86 (75,4%) </w:delText>
        </w:r>
        <w:r w:rsidR="000F3502" w:rsidRPr="00183B5F">
          <w:rPr>
            <w:szCs w:val="22"/>
          </w:rPr>
          <w:delText>mutatott</w:delText>
        </w:r>
        <w:r w:rsidRPr="00183B5F">
          <w:rPr>
            <w:szCs w:val="22"/>
          </w:rPr>
          <w:delText xml:space="preserve"> ACR</w:delText>
        </w:r>
        <w:r w:rsidR="00B8361B" w:rsidRPr="00183B5F">
          <w:rPr>
            <w:szCs w:val="22"/>
          </w:rPr>
          <w:delText> </w:delText>
        </w:r>
        <w:r w:rsidRPr="00183B5F">
          <w:rPr>
            <w:szCs w:val="22"/>
          </w:rPr>
          <w:delText>20 választ, 72</w:delText>
        </w:r>
        <w:r w:rsidR="00B8361B" w:rsidRPr="00183B5F">
          <w:rPr>
            <w:szCs w:val="22"/>
          </w:rPr>
          <w:delText> </w:delText>
        </w:r>
        <w:r w:rsidRPr="00183B5F">
          <w:rPr>
            <w:szCs w:val="22"/>
          </w:rPr>
          <w:delText>beteg (63,2%) ACR</w:delText>
        </w:r>
        <w:r w:rsidR="00B8361B" w:rsidRPr="00183B5F">
          <w:rPr>
            <w:szCs w:val="22"/>
          </w:rPr>
          <w:delText> </w:delText>
        </w:r>
        <w:r w:rsidRPr="00183B5F">
          <w:rPr>
            <w:szCs w:val="22"/>
          </w:rPr>
          <w:delText>50 választ és 41</w:delText>
        </w:r>
        <w:r w:rsidR="00B8361B" w:rsidRPr="00183B5F">
          <w:rPr>
            <w:szCs w:val="22"/>
          </w:rPr>
          <w:delText> </w:delText>
        </w:r>
        <w:r w:rsidRPr="00183B5F">
          <w:rPr>
            <w:szCs w:val="22"/>
          </w:rPr>
          <w:delText>beteg (36%) ACR</w:delText>
        </w:r>
        <w:r w:rsidR="00B8361B" w:rsidRPr="00183B5F">
          <w:rPr>
            <w:szCs w:val="22"/>
          </w:rPr>
          <w:delText> </w:delText>
        </w:r>
        <w:r w:rsidRPr="00183B5F">
          <w:rPr>
            <w:szCs w:val="22"/>
          </w:rPr>
          <w:delText>70</w:delText>
        </w:r>
        <w:r w:rsidR="000F3502" w:rsidRPr="00183B5F">
          <w:rPr>
            <w:szCs w:val="22"/>
          </w:rPr>
          <w:delText xml:space="preserve"> </w:delText>
        </w:r>
        <w:r w:rsidRPr="00183B5F">
          <w:rPr>
            <w:szCs w:val="22"/>
          </w:rPr>
          <w:delText>választ. A 207</w:delText>
        </w:r>
        <w:r w:rsidR="00B8361B" w:rsidRPr="00183B5F">
          <w:rPr>
            <w:szCs w:val="22"/>
          </w:rPr>
          <w:delText> </w:delText>
        </w:r>
        <w:r w:rsidRPr="00183B5F">
          <w:rPr>
            <w:szCs w:val="22"/>
          </w:rPr>
          <w:delText>beteg közül 81</w:delText>
        </w:r>
        <w:r w:rsidR="00B8361B" w:rsidRPr="00183B5F">
          <w:rPr>
            <w:szCs w:val="22"/>
          </w:rPr>
          <w:delText> </w:delText>
        </w:r>
        <w:r w:rsidRPr="00183B5F">
          <w:rPr>
            <w:szCs w:val="22"/>
          </w:rPr>
          <w:delText>beteg folytatta a 2</w:delText>
        </w:r>
        <w:r w:rsidR="003D04DA" w:rsidRPr="00183B5F">
          <w:rPr>
            <w:szCs w:val="22"/>
          </w:rPr>
          <w:delText> </w:delText>
        </w:r>
        <w:r w:rsidRPr="00183B5F">
          <w:rPr>
            <w:szCs w:val="22"/>
          </w:rPr>
          <w:delText>hetenkénti 40</w:delText>
        </w:r>
        <w:r w:rsidR="00331329" w:rsidRPr="00183B5F">
          <w:rPr>
            <w:szCs w:val="22"/>
          </w:rPr>
          <w:delText> </w:delText>
        </w:r>
        <w:r w:rsidRPr="00183B5F">
          <w:rPr>
            <w:szCs w:val="22"/>
          </w:rPr>
          <w:delText>mg</w:delText>
        </w:r>
        <w:r w:rsidR="006A1F1A" w:rsidRPr="00183B5F">
          <w:rPr>
            <w:szCs w:val="22"/>
          </w:rPr>
          <w:noBreakHyphen/>
        </w:r>
        <w:r w:rsidRPr="00183B5F">
          <w:rPr>
            <w:szCs w:val="22"/>
          </w:rPr>
          <w:delText>os Humira kezelést 10</w:delText>
        </w:r>
        <w:r w:rsidR="00331329" w:rsidRPr="00183B5F">
          <w:rPr>
            <w:szCs w:val="22"/>
          </w:rPr>
          <w:delText> </w:delText>
        </w:r>
        <w:r w:rsidRPr="00183B5F">
          <w:rPr>
            <w:szCs w:val="22"/>
          </w:rPr>
          <w:delText>éven keresztül. Közülük 64</w:delText>
        </w:r>
        <w:r w:rsidR="00B8361B" w:rsidRPr="00183B5F">
          <w:rPr>
            <w:szCs w:val="22"/>
          </w:rPr>
          <w:delText> </w:delText>
        </w:r>
        <w:r w:rsidRPr="00183B5F">
          <w:rPr>
            <w:szCs w:val="22"/>
          </w:rPr>
          <w:delText>beteg (79,0%) adott ACR</w:delText>
        </w:r>
        <w:r w:rsidR="00B8361B" w:rsidRPr="00183B5F">
          <w:rPr>
            <w:szCs w:val="22"/>
          </w:rPr>
          <w:delText> </w:delText>
        </w:r>
        <w:r w:rsidRPr="00183B5F">
          <w:rPr>
            <w:szCs w:val="22"/>
          </w:rPr>
          <w:delText>20 választ, 56</w:delText>
        </w:r>
        <w:r w:rsidR="00B8361B" w:rsidRPr="00183B5F">
          <w:rPr>
            <w:szCs w:val="22"/>
          </w:rPr>
          <w:delText> </w:delText>
        </w:r>
        <w:r w:rsidRPr="00183B5F">
          <w:rPr>
            <w:szCs w:val="22"/>
          </w:rPr>
          <w:delText>beteg (69,1%) ACR</w:delText>
        </w:r>
        <w:r w:rsidR="00B8361B" w:rsidRPr="00183B5F">
          <w:rPr>
            <w:szCs w:val="22"/>
          </w:rPr>
          <w:delText> </w:delText>
        </w:r>
        <w:r w:rsidRPr="00183B5F">
          <w:rPr>
            <w:szCs w:val="22"/>
          </w:rPr>
          <w:delText>50 választ és 43</w:delText>
        </w:r>
        <w:r w:rsidR="00B8361B" w:rsidRPr="00183B5F">
          <w:rPr>
            <w:szCs w:val="22"/>
          </w:rPr>
          <w:delText> </w:delText>
        </w:r>
        <w:r w:rsidRPr="00183B5F">
          <w:rPr>
            <w:szCs w:val="22"/>
          </w:rPr>
          <w:delText>beteg (53,1%) ACR</w:delText>
        </w:r>
        <w:r w:rsidR="00B8361B" w:rsidRPr="00183B5F">
          <w:rPr>
            <w:szCs w:val="22"/>
          </w:rPr>
          <w:delText> </w:delText>
        </w:r>
        <w:r w:rsidRPr="00183B5F">
          <w:rPr>
            <w:szCs w:val="22"/>
          </w:rPr>
          <w:delText>70 választ.</w:delText>
        </w:r>
      </w:del>
    </w:p>
    <w:p w14:paraId="325E9135" w14:textId="4EE7D25C" w:rsidR="00FB6710" w:rsidRPr="00183B5F" w:rsidRDefault="00FB6710" w:rsidP="004062FE">
      <w:pPr>
        <w:spacing w:line="240" w:lineRule="auto"/>
        <w:rPr>
          <w:del w:id="1691" w:author="AbbVie_HU_03" w:date="2025-05-14T15:27:00Z"/>
          <w:szCs w:val="22"/>
        </w:rPr>
      </w:pPr>
    </w:p>
    <w:p w14:paraId="70F5674E" w14:textId="51A631FB" w:rsidR="00FB6710" w:rsidRPr="00183B5F" w:rsidRDefault="00943743" w:rsidP="004062FE">
      <w:pPr>
        <w:spacing w:line="240" w:lineRule="auto"/>
        <w:rPr>
          <w:del w:id="1692" w:author="AbbVie_HU_03" w:date="2025-05-14T15:27:00Z"/>
          <w:szCs w:val="22"/>
        </w:rPr>
      </w:pPr>
      <w:del w:id="1693" w:author="AbbVie_HU_03" w:date="2025-05-14T15:27:00Z">
        <w:r w:rsidRPr="00183B5F">
          <w:rPr>
            <w:szCs w:val="22"/>
          </w:rPr>
          <w:delText>Az RA</w:delText>
        </w:r>
        <w:r w:rsidR="00B8361B" w:rsidRPr="00183B5F">
          <w:rPr>
            <w:szCs w:val="22"/>
          </w:rPr>
          <w:delText> </w:delText>
        </w:r>
        <w:r w:rsidRPr="00183B5F">
          <w:rPr>
            <w:szCs w:val="22"/>
          </w:rPr>
          <w:delText>IV vizsgálatban, a Humira</w:delText>
        </w:r>
        <w:r w:rsidR="00B8361B" w:rsidRPr="00183B5F">
          <w:rPr>
            <w:szCs w:val="22"/>
          </w:rPr>
          <w:noBreakHyphen/>
        </w:r>
        <w:r w:rsidRPr="00183B5F">
          <w:rPr>
            <w:szCs w:val="22"/>
          </w:rPr>
          <w:delText>val és a standard terápiával kezelt betegek szignifikánsan jobb ACR</w:delText>
        </w:r>
        <w:r w:rsidR="00B8361B" w:rsidRPr="00183B5F">
          <w:rPr>
            <w:szCs w:val="22"/>
          </w:rPr>
          <w:delText> </w:delText>
        </w:r>
        <w:r w:rsidRPr="00183B5F">
          <w:rPr>
            <w:szCs w:val="22"/>
          </w:rPr>
          <w:delText>20</w:delText>
        </w:r>
        <w:r w:rsidR="008624BD" w:rsidRPr="00183B5F">
          <w:rPr>
            <w:szCs w:val="22"/>
          </w:rPr>
          <w:noBreakHyphen/>
        </w:r>
        <w:r w:rsidRPr="00183B5F">
          <w:rPr>
            <w:szCs w:val="22"/>
          </w:rPr>
          <w:delText>as választ értek el mint a placebóval és a</w:delText>
        </w:r>
        <w:r w:rsidR="00903BD3" w:rsidRPr="00183B5F">
          <w:rPr>
            <w:szCs w:val="22"/>
          </w:rPr>
          <w:delText xml:space="preserve"> standard</w:delText>
        </w:r>
        <w:r w:rsidRPr="00183B5F">
          <w:rPr>
            <w:szCs w:val="22"/>
          </w:rPr>
          <w:delText xml:space="preserve"> terápiával kezeltek (p &lt; 0,001).</w:delText>
        </w:r>
      </w:del>
    </w:p>
    <w:p w14:paraId="11891F5D" w14:textId="6FD85867" w:rsidR="00FB6710" w:rsidRPr="00183B5F" w:rsidRDefault="00FB6710" w:rsidP="004062FE">
      <w:pPr>
        <w:spacing w:line="240" w:lineRule="auto"/>
        <w:rPr>
          <w:del w:id="1694" w:author="AbbVie_HU_03" w:date="2025-05-14T15:27:00Z"/>
          <w:szCs w:val="22"/>
        </w:rPr>
      </w:pPr>
    </w:p>
    <w:p w14:paraId="5484E85C" w14:textId="0D0D90D8" w:rsidR="00FB6710" w:rsidRPr="00183B5F" w:rsidRDefault="00943743" w:rsidP="004062FE">
      <w:pPr>
        <w:spacing w:line="240" w:lineRule="auto"/>
        <w:rPr>
          <w:del w:id="1695" w:author="AbbVie_HU_03" w:date="2025-05-14T15:27:00Z"/>
          <w:szCs w:val="22"/>
        </w:rPr>
      </w:pPr>
      <w:del w:id="1696" w:author="AbbVie_HU_03" w:date="2025-05-14T15:27:00Z">
        <w:r w:rsidRPr="00183B5F">
          <w:rPr>
            <w:szCs w:val="22"/>
          </w:rPr>
          <w:delText>Az RA</w:delText>
        </w:r>
        <w:r w:rsidR="00B8361B" w:rsidRPr="00183B5F">
          <w:rPr>
            <w:szCs w:val="22"/>
          </w:rPr>
          <w:delText> </w:delText>
        </w:r>
        <w:r w:rsidRPr="00183B5F">
          <w:rPr>
            <w:szCs w:val="22"/>
          </w:rPr>
          <w:delText xml:space="preserve">I </w:delText>
        </w:r>
        <w:r w:rsidR="002C1F5C" w:rsidRPr="00183B5F">
          <w:rPr>
            <w:szCs w:val="22"/>
          </w:rPr>
          <w:delText>–</w:delText>
        </w:r>
        <w:r w:rsidRPr="00183B5F">
          <w:rPr>
            <w:szCs w:val="22"/>
          </w:rPr>
          <w:delText xml:space="preserve"> IV vizsgálatban, a Humira</w:delText>
        </w:r>
        <w:r w:rsidR="00B8361B" w:rsidRPr="00183B5F">
          <w:rPr>
            <w:szCs w:val="22"/>
          </w:rPr>
          <w:noBreakHyphen/>
        </w:r>
        <w:r w:rsidRPr="00183B5F">
          <w:rPr>
            <w:szCs w:val="22"/>
          </w:rPr>
          <w:delText>val kezelt betegek statisztikailag szignifikánsan jobb ACR</w:delText>
        </w:r>
        <w:r w:rsidR="00B8361B" w:rsidRPr="00183B5F">
          <w:rPr>
            <w:szCs w:val="22"/>
          </w:rPr>
          <w:delText> </w:delText>
        </w:r>
        <w:r w:rsidRPr="00183B5F">
          <w:rPr>
            <w:szCs w:val="22"/>
          </w:rPr>
          <w:delText>20 és 50 választ értek el a placebocsoporttal összehasonlítva, már egy vagy két héttel a vizsgálat kezdete után.</w:delText>
        </w:r>
      </w:del>
    </w:p>
    <w:p w14:paraId="09D2E665" w14:textId="5C7A70B4" w:rsidR="00FB6710" w:rsidRPr="00183B5F" w:rsidRDefault="00FB6710" w:rsidP="004062FE">
      <w:pPr>
        <w:spacing w:line="240" w:lineRule="auto"/>
        <w:rPr>
          <w:del w:id="1697" w:author="AbbVie_HU_03" w:date="2025-05-14T15:27:00Z"/>
          <w:szCs w:val="22"/>
        </w:rPr>
      </w:pPr>
    </w:p>
    <w:p w14:paraId="7ADD636A" w14:textId="0440A5D7" w:rsidR="00FB6710" w:rsidRPr="00183B5F" w:rsidRDefault="00943743" w:rsidP="004062FE">
      <w:pPr>
        <w:spacing w:line="240" w:lineRule="auto"/>
        <w:rPr>
          <w:del w:id="1698" w:author="AbbVie_HU_03" w:date="2025-05-14T15:27:00Z"/>
          <w:szCs w:val="22"/>
        </w:rPr>
      </w:pPr>
      <w:del w:id="1699" w:author="AbbVie_HU_03" w:date="2025-05-14T15:27:00Z">
        <w:r w:rsidRPr="00183B5F">
          <w:rPr>
            <w:szCs w:val="22"/>
          </w:rPr>
          <w:delText>Az RA</w:delText>
        </w:r>
        <w:r w:rsidR="00B8361B" w:rsidRPr="00183B5F">
          <w:rPr>
            <w:szCs w:val="22"/>
          </w:rPr>
          <w:delText> </w:delText>
        </w:r>
        <w:r w:rsidRPr="00183B5F">
          <w:rPr>
            <w:szCs w:val="22"/>
          </w:rPr>
          <w:delText xml:space="preserve">V vizsgálatban, amelybe </w:delText>
        </w:r>
        <w:r w:rsidR="001A6E66" w:rsidRPr="00183B5F">
          <w:rPr>
            <w:szCs w:val="22"/>
          </w:rPr>
          <w:delText>metotrexát-keze</w:delText>
        </w:r>
        <w:r w:rsidRPr="00183B5F">
          <w:rPr>
            <w:szCs w:val="22"/>
          </w:rPr>
          <w:delText>lés</w:delText>
        </w:r>
        <w:r w:rsidR="009126D0" w:rsidRPr="00183B5F">
          <w:rPr>
            <w:szCs w:val="22"/>
          </w:rPr>
          <w:delText>ben korábban nem részesült</w:delText>
        </w:r>
        <w:r w:rsidRPr="00183B5F">
          <w:rPr>
            <w:szCs w:val="22"/>
          </w:rPr>
          <w:delText xml:space="preserve"> korai rheumatoid arthritises betegeket vontak be, a </w:delText>
        </w:r>
        <w:r w:rsidR="009126D0" w:rsidRPr="00183B5F">
          <w:rPr>
            <w:szCs w:val="22"/>
          </w:rPr>
          <w:delText xml:space="preserve">Humira/metotrexát </w:delText>
        </w:r>
        <w:r w:rsidRPr="00183B5F">
          <w:rPr>
            <w:szCs w:val="22"/>
          </w:rPr>
          <w:delText xml:space="preserve">kombinációs kezelés gyorsabb és jelentősen nagyobb </w:delText>
        </w:r>
        <w:r w:rsidR="005D174E" w:rsidRPr="00183B5F">
          <w:rPr>
            <w:szCs w:val="22"/>
          </w:rPr>
          <w:delText>ACR-válasz</w:delText>
        </w:r>
        <w:r w:rsidRPr="00183B5F">
          <w:rPr>
            <w:szCs w:val="22"/>
          </w:rPr>
          <w:delText xml:space="preserve">t adott, mint a metotrexát, vagy a </w:delText>
        </w:r>
        <w:r w:rsidR="005C406C" w:rsidRPr="00183B5F">
          <w:rPr>
            <w:szCs w:val="22"/>
          </w:rPr>
          <w:delText>Humira-monoterá</w:delText>
        </w:r>
        <w:r w:rsidRPr="00183B5F">
          <w:rPr>
            <w:szCs w:val="22"/>
          </w:rPr>
          <w:delText>pia az 52.</w:delText>
        </w:r>
        <w:r w:rsidR="00A44DB6" w:rsidRPr="00183B5F">
          <w:rPr>
            <w:szCs w:val="22"/>
          </w:rPr>
          <w:delText> hét</w:delText>
        </w:r>
        <w:r w:rsidRPr="00183B5F">
          <w:rPr>
            <w:szCs w:val="22"/>
          </w:rPr>
          <w:delText>en és a hatás fennmaradt a 104.</w:delText>
        </w:r>
        <w:r w:rsidR="00A44DB6" w:rsidRPr="00183B5F">
          <w:rPr>
            <w:szCs w:val="22"/>
          </w:rPr>
          <w:delText> hét</w:delText>
        </w:r>
        <w:r w:rsidRPr="00183B5F">
          <w:rPr>
            <w:szCs w:val="22"/>
          </w:rPr>
          <w:delText xml:space="preserve">ig (lásd </w:delText>
        </w:r>
        <w:r w:rsidR="00557B72" w:rsidRPr="00183B5F">
          <w:rPr>
            <w:szCs w:val="22"/>
          </w:rPr>
          <w:delText>9</w:delText>
        </w:r>
        <w:r w:rsidRPr="00183B5F">
          <w:rPr>
            <w:szCs w:val="22"/>
          </w:rPr>
          <w:delText>.</w:delText>
        </w:r>
        <w:r w:rsidR="007C4B4D" w:rsidRPr="00183B5F">
          <w:rPr>
            <w:szCs w:val="22"/>
          </w:rPr>
          <w:delText> </w:delText>
        </w:r>
        <w:r w:rsidRPr="00183B5F">
          <w:rPr>
            <w:szCs w:val="22"/>
          </w:rPr>
          <w:delText>táblázat).</w:delText>
        </w:r>
      </w:del>
    </w:p>
    <w:p w14:paraId="1A3BD897" w14:textId="3F26CF65" w:rsidR="00FB6710" w:rsidRPr="00183B5F" w:rsidRDefault="00FB6710" w:rsidP="004062FE">
      <w:pPr>
        <w:spacing w:line="240" w:lineRule="auto"/>
        <w:rPr>
          <w:del w:id="1700" w:author="AbbVie_HU_03" w:date="2025-05-14T15:27:00Z"/>
          <w:szCs w:val="22"/>
        </w:rPr>
      </w:pPr>
    </w:p>
    <w:p w14:paraId="04F0CEBC" w14:textId="5A4B977C" w:rsidR="00E74050" w:rsidRPr="00183B5F" w:rsidRDefault="00943743" w:rsidP="004062FE">
      <w:pPr>
        <w:keepNext/>
        <w:spacing w:line="240" w:lineRule="auto"/>
        <w:jc w:val="center"/>
        <w:rPr>
          <w:del w:id="1701" w:author="AbbVie_HU_03" w:date="2025-05-14T15:27:00Z"/>
          <w:b/>
          <w:bCs/>
          <w:szCs w:val="22"/>
        </w:rPr>
      </w:pPr>
      <w:del w:id="1702" w:author="AbbVie_HU_03" w:date="2025-05-14T15:27:00Z">
        <w:r w:rsidRPr="00183B5F">
          <w:rPr>
            <w:b/>
            <w:bCs/>
            <w:szCs w:val="22"/>
          </w:rPr>
          <w:delText>9</w:delText>
        </w:r>
        <w:r w:rsidR="00FB6710" w:rsidRPr="00183B5F">
          <w:rPr>
            <w:b/>
            <w:bCs/>
            <w:szCs w:val="22"/>
          </w:rPr>
          <w:delText>.</w:delText>
        </w:r>
        <w:r w:rsidR="007C4B4D" w:rsidRPr="00183B5F">
          <w:rPr>
            <w:b/>
            <w:bCs/>
            <w:szCs w:val="22"/>
          </w:rPr>
          <w:delText> </w:delText>
        </w:r>
        <w:r w:rsidR="00FB6710" w:rsidRPr="00183B5F">
          <w:rPr>
            <w:b/>
            <w:bCs/>
            <w:szCs w:val="22"/>
          </w:rPr>
          <w:delText xml:space="preserve">táblázat </w:delText>
        </w:r>
      </w:del>
    </w:p>
    <w:p w14:paraId="2537A66A" w14:textId="0131C80F" w:rsidR="00FB6710" w:rsidRPr="00183B5F" w:rsidRDefault="00943743" w:rsidP="004062FE">
      <w:pPr>
        <w:keepNext/>
        <w:spacing w:line="240" w:lineRule="auto"/>
        <w:jc w:val="center"/>
        <w:rPr>
          <w:del w:id="1703" w:author="AbbVie_HU_03" w:date="2025-05-14T15:27:00Z"/>
          <w:b/>
          <w:bCs/>
          <w:szCs w:val="22"/>
        </w:rPr>
      </w:pPr>
      <w:del w:id="1704" w:author="AbbVie_HU_03" w:date="2025-05-14T15:27:00Z">
        <w:r w:rsidRPr="00183B5F">
          <w:rPr>
            <w:b/>
            <w:bCs/>
            <w:szCs w:val="22"/>
          </w:rPr>
          <w:delText>ACR-válasz az RA V vizsgálatban (a betegek százaléka)</w:delText>
        </w:r>
      </w:del>
    </w:p>
    <w:p w14:paraId="62F7F91D" w14:textId="6DD489EA" w:rsidR="00FB6710" w:rsidRPr="00183B5F" w:rsidRDefault="00FB6710" w:rsidP="004062FE">
      <w:pPr>
        <w:keepNext/>
        <w:spacing w:line="240" w:lineRule="auto"/>
        <w:jc w:val="center"/>
        <w:rPr>
          <w:del w:id="1705" w:author="AbbVie_HU_03" w:date="2025-05-14T15:27:00Z"/>
          <w:b/>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94"/>
        <w:gridCol w:w="1299"/>
        <w:gridCol w:w="1299"/>
        <w:gridCol w:w="1460"/>
        <w:gridCol w:w="1291"/>
        <w:gridCol w:w="1287"/>
        <w:gridCol w:w="1354"/>
      </w:tblGrid>
      <w:tr w:rsidR="00011D2F" w14:paraId="713EE8E5" w14:textId="20C2DE81" w:rsidTr="0056242A">
        <w:trPr>
          <w:cantSplit/>
          <w:tblHeader/>
          <w:del w:id="1706" w:author="AbbVie_HU_03" w:date="2025-05-14T15:27:00Z"/>
        </w:trPr>
        <w:tc>
          <w:tcPr>
            <w:tcW w:w="1310" w:type="dxa"/>
          </w:tcPr>
          <w:p w14:paraId="5E1CA7BF" w14:textId="77865063" w:rsidR="00FB6710" w:rsidRPr="00183B5F" w:rsidRDefault="00943743" w:rsidP="004062FE">
            <w:pPr>
              <w:keepNext/>
              <w:spacing w:line="240" w:lineRule="auto"/>
              <w:rPr>
                <w:del w:id="1707" w:author="AbbVie_HU_03" w:date="2025-05-14T15:27:00Z"/>
                <w:b/>
                <w:szCs w:val="22"/>
              </w:rPr>
            </w:pPr>
            <w:del w:id="1708" w:author="AbbVie_HU_03" w:date="2025-05-14T15:27:00Z">
              <w:r w:rsidRPr="00183B5F">
                <w:rPr>
                  <w:b/>
                  <w:szCs w:val="22"/>
                </w:rPr>
                <w:delText>Válasz</w:delText>
              </w:r>
            </w:del>
          </w:p>
        </w:tc>
        <w:tc>
          <w:tcPr>
            <w:tcW w:w="1310" w:type="dxa"/>
          </w:tcPr>
          <w:p w14:paraId="0C5C3EE7" w14:textId="339EC0B6" w:rsidR="00FB6710" w:rsidRPr="00183B5F" w:rsidRDefault="00943743" w:rsidP="004062FE">
            <w:pPr>
              <w:keepNext/>
              <w:spacing w:line="240" w:lineRule="auto"/>
              <w:rPr>
                <w:del w:id="1709" w:author="AbbVie_HU_03" w:date="2025-05-14T15:27:00Z"/>
                <w:b/>
                <w:szCs w:val="22"/>
              </w:rPr>
            </w:pPr>
            <w:del w:id="1710" w:author="AbbVie_HU_03" w:date="2025-05-14T15:27:00Z">
              <w:r w:rsidRPr="00183B5F">
                <w:rPr>
                  <w:b/>
                  <w:szCs w:val="22"/>
                </w:rPr>
                <w:delText>MTX (n</w:delText>
              </w:r>
              <w:r w:rsidR="00EE2699" w:rsidRPr="00183B5F">
                <w:rPr>
                  <w:b/>
                  <w:szCs w:val="22"/>
                </w:rPr>
                <w:delText> </w:delText>
              </w:r>
              <w:r w:rsidRPr="00183B5F">
                <w:rPr>
                  <w:b/>
                  <w:szCs w:val="22"/>
                </w:rPr>
                <w:delText>=</w:delText>
              </w:r>
              <w:r w:rsidR="00EE2699" w:rsidRPr="00183B5F">
                <w:rPr>
                  <w:b/>
                  <w:szCs w:val="22"/>
                </w:rPr>
                <w:delText> </w:delText>
              </w:r>
              <w:r w:rsidRPr="00183B5F">
                <w:rPr>
                  <w:b/>
                  <w:szCs w:val="22"/>
                </w:rPr>
                <w:delText>257)</w:delText>
              </w:r>
            </w:del>
          </w:p>
        </w:tc>
        <w:tc>
          <w:tcPr>
            <w:tcW w:w="1310" w:type="dxa"/>
          </w:tcPr>
          <w:p w14:paraId="49E5E8B4" w14:textId="5BD9C9B2" w:rsidR="00FB6710" w:rsidRPr="00183B5F" w:rsidRDefault="00943743" w:rsidP="004062FE">
            <w:pPr>
              <w:keepNext/>
              <w:spacing w:line="240" w:lineRule="auto"/>
              <w:rPr>
                <w:del w:id="1711" w:author="AbbVie_HU_03" w:date="2025-05-14T15:27:00Z"/>
                <w:b/>
                <w:szCs w:val="22"/>
              </w:rPr>
            </w:pPr>
            <w:del w:id="1712" w:author="AbbVie_HU_03" w:date="2025-05-14T15:27:00Z">
              <w:r w:rsidRPr="00183B5F">
                <w:rPr>
                  <w:b/>
                  <w:szCs w:val="22"/>
                </w:rPr>
                <w:delText>Humira (n</w:delText>
              </w:r>
              <w:r w:rsidR="00EE2699" w:rsidRPr="00183B5F">
                <w:rPr>
                  <w:b/>
                  <w:szCs w:val="22"/>
                </w:rPr>
                <w:delText> </w:delText>
              </w:r>
              <w:r w:rsidRPr="00183B5F">
                <w:rPr>
                  <w:b/>
                  <w:szCs w:val="22"/>
                </w:rPr>
                <w:delText>=</w:delText>
              </w:r>
              <w:r w:rsidR="00EE2699" w:rsidRPr="00183B5F">
                <w:rPr>
                  <w:b/>
                  <w:szCs w:val="22"/>
                </w:rPr>
                <w:delText> </w:delText>
              </w:r>
              <w:r w:rsidRPr="00183B5F">
                <w:rPr>
                  <w:b/>
                  <w:szCs w:val="22"/>
                </w:rPr>
                <w:delText>274)</w:delText>
              </w:r>
            </w:del>
          </w:p>
        </w:tc>
        <w:tc>
          <w:tcPr>
            <w:tcW w:w="1363" w:type="dxa"/>
          </w:tcPr>
          <w:p w14:paraId="141D117E" w14:textId="66776279" w:rsidR="00FB6710" w:rsidRPr="00183B5F" w:rsidRDefault="00943743" w:rsidP="004062FE">
            <w:pPr>
              <w:keepNext/>
              <w:spacing w:line="240" w:lineRule="auto"/>
              <w:rPr>
                <w:del w:id="1713" w:author="AbbVie_HU_03" w:date="2025-05-14T15:27:00Z"/>
                <w:b/>
                <w:szCs w:val="22"/>
              </w:rPr>
            </w:pPr>
            <w:del w:id="1714" w:author="AbbVie_HU_03" w:date="2025-05-14T15:27:00Z">
              <w:r w:rsidRPr="00183B5F">
                <w:rPr>
                  <w:b/>
                  <w:szCs w:val="22"/>
                </w:rPr>
                <w:delText>Humira/MTX (n</w:delText>
              </w:r>
              <w:r w:rsidR="00EE2699" w:rsidRPr="00183B5F">
                <w:rPr>
                  <w:b/>
                  <w:szCs w:val="22"/>
                </w:rPr>
                <w:delText> </w:delText>
              </w:r>
              <w:r w:rsidRPr="00183B5F">
                <w:rPr>
                  <w:b/>
                  <w:szCs w:val="22"/>
                </w:rPr>
                <w:delText>=</w:delText>
              </w:r>
              <w:r w:rsidR="00EE2699" w:rsidRPr="00183B5F">
                <w:rPr>
                  <w:b/>
                  <w:szCs w:val="22"/>
                </w:rPr>
                <w:delText> </w:delText>
              </w:r>
              <w:r w:rsidRPr="00183B5F">
                <w:rPr>
                  <w:b/>
                  <w:szCs w:val="22"/>
                </w:rPr>
                <w:delText>268)</w:delText>
              </w:r>
            </w:del>
          </w:p>
        </w:tc>
        <w:tc>
          <w:tcPr>
            <w:tcW w:w="1308" w:type="dxa"/>
          </w:tcPr>
          <w:p w14:paraId="3A34C8EB" w14:textId="1A346B45" w:rsidR="00FB6710" w:rsidRPr="00183B5F" w:rsidRDefault="00943743" w:rsidP="004062FE">
            <w:pPr>
              <w:keepNext/>
              <w:spacing w:line="240" w:lineRule="auto"/>
              <w:rPr>
                <w:del w:id="1715" w:author="AbbVie_HU_03" w:date="2025-05-14T15:27:00Z"/>
                <w:b/>
                <w:szCs w:val="22"/>
              </w:rPr>
            </w:pPr>
            <w:del w:id="1716" w:author="AbbVie_HU_03" w:date="2025-05-14T15:27:00Z">
              <w:r w:rsidRPr="00183B5F">
                <w:rPr>
                  <w:b/>
                  <w:szCs w:val="22"/>
                </w:rPr>
                <w:delText xml:space="preserve">p-érték </w:delText>
              </w:r>
              <w:r w:rsidRPr="00183B5F">
                <w:rPr>
                  <w:b/>
                  <w:szCs w:val="22"/>
                  <w:vertAlign w:val="superscript"/>
                </w:rPr>
                <w:delText>a</w:delText>
              </w:r>
            </w:del>
          </w:p>
        </w:tc>
        <w:tc>
          <w:tcPr>
            <w:tcW w:w="1304" w:type="dxa"/>
          </w:tcPr>
          <w:p w14:paraId="160CB76A" w14:textId="1EA9A711" w:rsidR="00FB6710" w:rsidRPr="00183B5F" w:rsidRDefault="00943743" w:rsidP="004062FE">
            <w:pPr>
              <w:keepNext/>
              <w:spacing w:line="240" w:lineRule="auto"/>
              <w:rPr>
                <w:del w:id="1717" w:author="AbbVie_HU_03" w:date="2025-05-14T15:27:00Z"/>
                <w:b/>
                <w:szCs w:val="22"/>
              </w:rPr>
            </w:pPr>
            <w:del w:id="1718" w:author="AbbVie_HU_03" w:date="2025-05-14T15:27:00Z">
              <w:r w:rsidRPr="00183B5F">
                <w:rPr>
                  <w:b/>
                  <w:szCs w:val="22"/>
                </w:rPr>
                <w:delText xml:space="preserve">p-érték </w:delText>
              </w:r>
              <w:r w:rsidRPr="00183B5F">
                <w:rPr>
                  <w:b/>
                  <w:szCs w:val="22"/>
                  <w:vertAlign w:val="superscript"/>
                </w:rPr>
                <w:delText>b</w:delText>
              </w:r>
            </w:del>
          </w:p>
        </w:tc>
        <w:tc>
          <w:tcPr>
            <w:tcW w:w="1379" w:type="dxa"/>
          </w:tcPr>
          <w:p w14:paraId="00E52166" w14:textId="65E1C156" w:rsidR="00FB6710" w:rsidRPr="00183B5F" w:rsidRDefault="00943743" w:rsidP="004062FE">
            <w:pPr>
              <w:keepNext/>
              <w:spacing w:line="240" w:lineRule="auto"/>
              <w:rPr>
                <w:del w:id="1719" w:author="AbbVie_HU_03" w:date="2025-05-14T15:27:00Z"/>
                <w:b/>
                <w:szCs w:val="22"/>
              </w:rPr>
            </w:pPr>
            <w:del w:id="1720" w:author="AbbVie_HU_03" w:date="2025-05-14T15:27:00Z">
              <w:r w:rsidRPr="00183B5F">
                <w:rPr>
                  <w:b/>
                  <w:szCs w:val="22"/>
                </w:rPr>
                <w:delText xml:space="preserve">p-érték </w:delText>
              </w:r>
              <w:r w:rsidRPr="00183B5F">
                <w:rPr>
                  <w:b/>
                  <w:szCs w:val="22"/>
                  <w:vertAlign w:val="superscript"/>
                </w:rPr>
                <w:delText>c</w:delText>
              </w:r>
            </w:del>
          </w:p>
        </w:tc>
      </w:tr>
      <w:tr w:rsidR="00011D2F" w14:paraId="6EB113D3" w14:textId="36F281C5">
        <w:trPr>
          <w:del w:id="1721" w:author="AbbVie_HU_03" w:date="2025-05-14T15:27:00Z"/>
        </w:trPr>
        <w:tc>
          <w:tcPr>
            <w:tcW w:w="1310" w:type="dxa"/>
          </w:tcPr>
          <w:p w14:paraId="157984CB" w14:textId="11586FB1" w:rsidR="00FB6710" w:rsidRPr="00183B5F" w:rsidRDefault="00943743" w:rsidP="004062FE">
            <w:pPr>
              <w:keepNext/>
              <w:spacing w:line="240" w:lineRule="auto"/>
              <w:rPr>
                <w:del w:id="1722" w:author="AbbVie_HU_03" w:date="2025-05-14T15:27:00Z"/>
                <w:szCs w:val="22"/>
              </w:rPr>
            </w:pPr>
            <w:del w:id="1723" w:author="AbbVie_HU_03" w:date="2025-05-14T15:27:00Z">
              <w:r w:rsidRPr="00183B5F">
                <w:rPr>
                  <w:szCs w:val="22"/>
                </w:rPr>
                <w:delText>ACR</w:delText>
              </w:r>
              <w:r w:rsidR="00B8361B" w:rsidRPr="00183B5F">
                <w:rPr>
                  <w:szCs w:val="22"/>
                </w:rPr>
                <w:delText> </w:delText>
              </w:r>
              <w:r w:rsidRPr="00183B5F">
                <w:rPr>
                  <w:szCs w:val="22"/>
                </w:rPr>
                <w:delText>20</w:delText>
              </w:r>
            </w:del>
          </w:p>
        </w:tc>
        <w:tc>
          <w:tcPr>
            <w:tcW w:w="1310" w:type="dxa"/>
          </w:tcPr>
          <w:p w14:paraId="71E81877" w14:textId="08C191CD" w:rsidR="00FB6710" w:rsidRPr="00183B5F" w:rsidRDefault="00FB6710" w:rsidP="004062FE">
            <w:pPr>
              <w:keepNext/>
              <w:spacing w:line="240" w:lineRule="auto"/>
              <w:jc w:val="center"/>
              <w:rPr>
                <w:del w:id="1724" w:author="AbbVie_HU_03" w:date="2025-05-14T15:27:00Z"/>
                <w:szCs w:val="22"/>
              </w:rPr>
            </w:pPr>
          </w:p>
        </w:tc>
        <w:tc>
          <w:tcPr>
            <w:tcW w:w="1310" w:type="dxa"/>
          </w:tcPr>
          <w:p w14:paraId="6FFF7A53" w14:textId="0503174E" w:rsidR="00FB6710" w:rsidRPr="00183B5F" w:rsidRDefault="00FB6710" w:rsidP="004062FE">
            <w:pPr>
              <w:keepNext/>
              <w:spacing w:line="240" w:lineRule="auto"/>
              <w:jc w:val="center"/>
              <w:rPr>
                <w:del w:id="1725" w:author="AbbVie_HU_03" w:date="2025-05-14T15:27:00Z"/>
                <w:szCs w:val="22"/>
              </w:rPr>
            </w:pPr>
          </w:p>
        </w:tc>
        <w:tc>
          <w:tcPr>
            <w:tcW w:w="1363" w:type="dxa"/>
          </w:tcPr>
          <w:p w14:paraId="3704ADFA" w14:textId="62A1B6CB" w:rsidR="00FB6710" w:rsidRPr="00183B5F" w:rsidRDefault="00FB6710" w:rsidP="004062FE">
            <w:pPr>
              <w:keepNext/>
              <w:spacing w:line="240" w:lineRule="auto"/>
              <w:jc w:val="center"/>
              <w:rPr>
                <w:del w:id="1726" w:author="AbbVie_HU_03" w:date="2025-05-14T15:27:00Z"/>
                <w:szCs w:val="22"/>
              </w:rPr>
            </w:pPr>
          </w:p>
        </w:tc>
        <w:tc>
          <w:tcPr>
            <w:tcW w:w="1308" w:type="dxa"/>
          </w:tcPr>
          <w:p w14:paraId="499311FB" w14:textId="70EE7112" w:rsidR="00FB6710" w:rsidRPr="00183B5F" w:rsidRDefault="00FB6710" w:rsidP="004062FE">
            <w:pPr>
              <w:keepNext/>
              <w:spacing w:line="240" w:lineRule="auto"/>
              <w:jc w:val="center"/>
              <w:rPr>
                <w:del w:id="1727" w:author="AbbVie_HU_03" w:date="2025-05-14T15:27:00Z"/>
                <w:szCs w:val="22"/>
              </w:rPr>
            </w:pPr>
          </w:p>
        </w:tc>
        <w:tc>
          <w:tcPr>
            <w:tcW w:w="1304" w:type="dxa"/>
          </w:tcPr>
          <w:p w14:paraId="2A25B2EF" w14:textId="0674ABE4" w:rsidR="00FB6710" w:rsidRPr="00183B5F" w:rsidRDefault="00FB6710" w:rsidP="004062FE">
            <w:pPr>
              <w:keepNext/>
              <w:spacing w:line="240" w:lineRule="auto"/>
              <w:jc w:val="center"/>
              <w:rPr>
                <w:del w:id="1728" w:author="AbbVie_HU_03" w:date="2025-05-14T15:27:00Z"/>
                <w:szCs w:val="22"/>
              </w:rPr>
            </w:pPr>
          </w:p>
        </w:tc>
        <w:tc>
          <w:tcPr>
            <w:tcW w:w="1379" w:type="dxa"/>
          </w:tcPr>
          <w:p w14:paraId="034E521F" w14:textId="44F2F01E" w:rsidR="00FB6710" w:rsidRPr="00183B5F" w:rsidRDefault="00FB6710" w:rsidP="004062FE">
            <w:pPr>
              <w:keepNext/>
              <w:spacing w:line="240" w:lineRule="auto"/>
              <w:jc w:val="center"/>
              <w:rPr>
                <w:del w:id="1729" w:author="AbbVie_HU_03" w:date="2025-05-14T15:27:00Z"/>
                <w:szCs w:val="22"/>
              </w:rPr>
            </w:pPr>
          </w:p>
        </w:tc>
      </w:tr>
      <w:tr w:rsidR="00011D2F" w14:paraId="2121E2F1" w14:textId="7A979356">
        <w:trPr>
          <w:del w:id="1730" w:author="AbbVie_HU_03" w:date="2025-05-14T15:27:00Z"/>
        </w:trPr>
        <w:tc>
          <w:tcPr>
            <w:tcW w:w="1310" w:type="dxa"/>
          </w:tcPr>
          <w:p w14:paraId="1A527813" w14:textId="40CB6C6F" w:rsidR="00FB6710" w:rsidRPr="00183B5F" w:rsidRDefault="00943743" w:rsidP="004062FE">
            <w:pPr>
              <w:keepNext/>
              <w:spacing w:line="240" w:lineRule="auto"/>
              <w:jc w:val="right"/>
              <w:rPr>
                <w:del w:id="1731" w:author="AbbVie_HU_03" w:date="2025-05-14T15:27:00Z"/>
                <w:szCs w:val="22"/>
              </w:rPr>
            </w:pPr>
            <w:del w:id="1732" w:author="AbbVie_HU_03" w:date="2025-05-14T15:27:00Z">
              <w:r w:rsidRPr="00183B5F">
                <w:rPr>
                  <w:szCs w:val="22"/>
                </w:rPr>
                <w:delText>52.</w:delText>
              </w:r>
              <w:r w:rsidR="00A44DB6" w:rsidRPr="00183B5F">
                <w:rPr>
                  <w:szCs w:val="22"/>
                </w:rPr>
                <w:delText> hét</w:delText>
              </w:r>
            </w:del>
          </w:p>
        </w:tc>
        <w:tc>
          <w:tcPr>
            <w:tcW w:w="1310" w:type="dxa"/>
          </w:tcPr>
          <w:p w14:paraId="68D52307" w14:textId="789F09AD" w:rsidR="00FB6710" w:rsidRPr="00183B5F" w:rsidRDefault="00943743" w:rsidP="004062FE">
            <w:pPr>
              <w:keepNext/>
              <w:spacing w:line="240" w:lineRule="auto"/>
              <w:jc w:val="center"/>
              <w:rPr>
                <w:del w:id="1733" w:author="AbbVie_HU_03" w:date="2025-05-14T15:27:00Z"/>
                <w:szCs w:val="22"/>
              </w:rPr>
            </w:pPr>
            <w:del w:id="1734" w:author="AbbVie_HU_03" w:date="2025-05-14T15:27:00Z">
              <w:r w:rsidRPr="00183B5F">
                <w:rPr>
                  <w:szCs w:val="22"/>
                </w:rPr>
                <w:delText>62,6%</w:delText>
              </w:r>
            </w:del>
          </w:p>
        </w:tc>
        <w:tc>
          <w:tcPr>
            <w:tcW w:w="1310" w:type="dxa"/>
          </w:tcPr>
          <w:p w14:paraId="53ADB13D" w14:textId="12D5E610" w:rsidR="00FB6710" w:rsidRPr="00183B5F" w:rsidRDefault="00943743" w:rsidP="004062FE">
            <w:pPr>
              <w:keepNext/>
              <w:spacing w:line="240" w:lineRule="auto"/>
              <w:jc w:val="center"/>
              <w:rPr>
                <w:del w:id="1735" w:author="AbbVie_HU_03" w:date="2025-05-14T15:27:00Z"/>
                <w:szCs w:val="22"/>
              </w:rPr>
            </w:pPr>
            <w:del w:id="1736" w:author="AbbVie_HU_03" w:date="2025-05-14T15:27:00Z">
              <w:r w:rsidRPr="00183B5F">
                <w:rPr>
                  <w:szCs w:val="22"/>
                </w:rPr>
                <w:delText>54,4%</w:delText>
              </w:r>
            </w:del>
          </w:p>
        </w:tc>
        <w:tc>
          <w:tcPr>
            <w:tcW w:w="1363" w:type="dxa"/>
          </w:tcPr>
          <w:p w14:paraId="49754800" w14:textId="7FC108BF" w:rsidR="00FB6710" w:rsidRPr="00183B5F" w:rsidRDefault="00943743" w:rsidP="004062FE">
            <w:pPr>
              <w:keepNext/>
              <w:spacing w:line="240" w:lineRule="auto"/>
              <w:jc w:val="center"/>
              <w:rPr>
                <w:del w:id="1737" w:author="AbbVie_HU_03" w:date="2025-05-14T15:27:00Z"/>
                <w:szCs w:val="22"/>
              </w:rPr>
            </w:pPr>
            <w:del w:id="1738" w:author="AbbVie_HU_03" w:date="2025-05-14T15:27:00Z">
              <w:r w:rsidRPr="00183B5F">
                <w:rPr>
                  <w:szCs w:val="22"/>
                </w:rPr>
                <w:delText>72,8%</w:delText>
              </w:r>
            </w:del>
          </w:p>
        </w:tc>
        <w:tc>
          <w:tcPr>
            <w:tcW w:w="1308" w:type="dxa"/>
          </w:tcPr>
          <w:p w14:paraId="335815D9" w14:textId="6D0F0329" w:rsidR="00FB6710" w:rsidRPr="00183B5F" w:rsidRDefault="00943743" w:rsidP="004062FE">
            <w:pPr>
              <w:keepNext/>
              <w:spacing w:line="240" w:lineRule="auto"/>
              <w:jc w:val="center"/>
              <w:rPr>
                <w:del w:id="1739" w:author="AbbVie_HU_03" w:date="2025-05-14T15:27:00Z"/>
                <w:szCs w:val="22"/>
              </w:rPr>
            </w:pPr>
            <w:del w:id="1740" w:author="AbbVie_HU_03" w:date="2025-05-14T15:27:00Z">
              <w:r w:rsidRPr="00183B5F">
                <w:rPr>
                  <w:szCs w:val="22"/>
                </w:rPr>
                <w:delText>0,013</w:delText>
              </w:r>
            </w:del>
          </w:p>
        </w:tc>
        <w:tc>
          <w:tcPr>
            <w:tcW w:w="1304" w:type="dxa"/>
          </w:tcPr>
          <w:p w14:paraId="554AE43F" w14:textId="3730AEB2" w:rsidR="00FB6710" w:rsidRPr="00183B5F" w:rsidRDefault="00943743" w:rsidP="004062FE">
            <w:pPr>
              <w:keepNext/>
              <w:spacing w:line="240" w:lineRule="auto"/>
              <w:jc w:val="center"/>
              <w:rPr>
                <w:del w:id="1741" w:author="AbbVie_HU_03" w:date="2025-05-14T15:27:00Z"/>
                <w:szCs w:val="22"/>
              </w:rPr>
            </w:pPr>
            <w:del w:id="1742" w:author="AbbVie_HU_03" w:date="2025-05-14T15:27:00Z">
              <w:r w:rsidRPr="00183B5F">
                <w:rPr>
                  <w:szCs w:val="22"/>
                </w:rPr>
                <w:delText>&lt; 0,001</w:delText>
              </w:r>
            </w:del>
          </w:p>
        </w:tc>
        <w:tc>
          <w:tcPr>
            <w:tcW w:w="1379" w:type="dxa"/>
          </w:tcPr>
          <w:p w14:paraId="35232A7E" w14:textId="6C6505AC" w:rsidR="00FB6710" w:rsidRPr="00183B5F" w:rsidRDefault="00943743" w:rsidP="004062FE">
            <w:pPr>
              <w:keepNext/>
              <w:spacing w:line="240" w:lineRule="auto"/>
              <w:jc w:val="center"/>
              <w:rPr>
                <w:del w:id="1743" w:author="AbbVie_HU_03" w:date="2025-05-14T15:27:00Z"/>
                <w:szCs w:val="22"/>
              </w:rPr>
            </w:pPr>
            <w:del w:id="1744" w:author="AbbVie_HU_03" w:date="2025-05-14T15:27:00Z">
              <w:r w:rsidRPr="00183B5F">
                <w:rPr>
                  <w:szCs w:val="22"/>
                </w:rPr>
                <w:delText>0,043</w:delText>
              </w:r>
            </w:del>
          </w:p>
        </w:tc>
      </w:tr>
      <w:tr w:rsidR="00011D2F" w14:paraId="3FCD2C23" w14:textId="1383F3EB">
        <w:trPr>
          <w:del w:id="1745" w:author="AbbVie_HU_03" w:date="2025-05-14T15:27:00Z"/>
        </w:trPr>
        <w:tc>
          <w:tcPr>
            <w:tcW w:w="1310" w:type="dxa"/>
          </w:tcPr>
          <w:p w14:paraId="2C0BEFC0" w14:textId="1EB3D00A" w:rsidR="00FB6710" w:rsidRPr="00183B5F" w:rsidRDefault="00943743" w:rsidP="004062FE">
            <w:pPr>
              <w:keepNext/>
              <w:spacing w:line="240" w:lineRule="auto"/>
              <w:jc w:val="right"/>
              <w:rPr>
                <w:del w:id="1746" w:author="AbbVie_HU_03" w:date="2025-05-14T15:27:00Z"/>
                <w:szCs w:val="22"/>
              </w:rPr>
            </w:pPr>
            <w:del w:id="1747" w:author="AbbVie_HU_03" w:date="2025-05-14T15:27:00Z">
              <w:r w:rsidRPr="00183B5F">
                <w:rPr>
                  <w:szCs w:val="22"/>
                </w:rPr>
                <w:delText>104.</w:delText>
              </w:r>
              <w:r w:rsidR="00A44DB6" w:rsidRPr="00183B5F">
                <w:rPr>
                  <w:szCs w:val="22"/>
                </w:rPr>
                <w:delText> hét</w:delText>
              </w:r>
            </w:del>
          </w:p>
        </w:tc>
        <w:tc>
          <w:tcPr>
            <w:tcW w:w="1310" w:type="dxa"/>
          </w:tcPr>
          <w:p w14:paraId="60F95511" w14:textId="1B7AA1F1" w:rsidR="00FB6710" w:rsidRPr="00183B5F" w:rsidRDefault="00943743" w:rsidP="004062FE">
            <w:pPr>
              <w:keepNext/>
              <w:spacing w:line="240" w:lineRule="auto"/>
              <w:jc w:val="center"/>
              <w:rPr>
                <w:del w:id="1748" w:author="AbbVie_HU_03" w:date="2025-05-14T15:27:00Z"/>
                <w:szCs w:val="22"/>
              </w:rPr>
            </w:pPr>
            <w:del w:id="1749" w:author="AbbVie_HU_03" w:date="2025-05-14T15:27:00Z">
              <w:r w:rsidRPr="00183B5F">
                <w:rPr>
                  <w:szCs w:val="22"/>
                </w:rPr>
                <w:delText>56,0%</w:delText>
              </w:r>
            </w:del>
          </w:p>
        </w:tc>
        <w:tc>
          <w:tcPr>
            <w:tcW w:w="1310" w:type="dxa"/>
          </w:tcPr>
          <w:p w14:paraId="58414F7B" w14:textId="7A22841A" w:rsidR="00FB6710" w:rsidRPr="00183B5F" w:rsidRDefault="00943743" w:rsidP="004062FE">
            <w:pPr>
              <w:keepNext/>
              <w:spacing w:line="240" w:lineRule="auto"/>
              <w:jc w:val="center"/>
              <w:rPr>
                <w:del w:id="1750" w:author="AbbVie_HU_03" w:date="2025-05-14T15:27:00Z"/>
                <w:szCs w:val="22"/>
              </w:rPr>
            </w:pPr>
            <w:del w:id="1751" w:author="AbbVie_HU_03" w:date="2025-05-14T15:27:00Z">
              <w:r w:rsidRPr="00183B5F">
                <w:rPr>
                  <w:szCs w:val="22"/>
                </w:rPr>
                <w:delText>49,3%</w:delText>
              </w:r>
            </w:del>
          </w:p>
        </w:tc>
        <w:tc>
          <w:tcPr>
            <w:tcW w:w="1363" w:type="dxa"/>
          </w:tcPr>
          <w:p w14:paraId="5C930782" w14:textId="4EFCC53E" w:rsidR="00FB6710" w:rsidRPr="00183B5F" w:rsidRDefault="00943743" w:rsidP="004062FE">
            <w:pPr>
              <w:keepNext/>
              <w:spacing w:line="240" w:lineRule="auto"/>
              <w:jc w:val="center"/>
              <w:rPr>
                <w:del w:id="1752" w:author="AbbVie_HU_03" w:date="2025-05-14T15:27:00Z"/>
                <w:szCs w:val="22"/>
              </w:rPr>
            </w:pPr>
            <w:del w:id="1753" w:author="AbbVie_HU_03" w:date="2025-05-14T15:27:00Z">
              <w:r w:rsidRPr="00183B5F">
                <w:rPr>
                  <w:szCs w:val="22"/>
                </w:rPr>
                <w:delText>69,4%</w:delText>
              </w:r>
            </w:del>
          </w:p>
        </w:tc>
        <w:tc>
          <w:tcPr>
            <w:tcW w:w="1308" w:type="dxa"/>
          </w:tcPr>
          <w:p w14:paraId="0F9400AA" w14:textId="5679F892" w:rsidR="00FB6710" w:rsidRPr="00183B5F" w:rsidRDefault="00943743" w:rsidP="004062FE">
            <w:pPr>
              <w:keepNext/>
              <w:spacing w:line="240" w:lineRule="auto"/>
              <w:jc w:val="center"/>
              <w:rPr>
                <w:del w:id="1754" w:author="AbbVie_HU_03" w:date="2025-05-14T15:27:00Z"/>
                <w:szCs w:val="22"/>
              </w:rPr>
            </w:pPr>
            <w:del w:id="1755" w:author="AbbVie_HU_03" w:date="2025-05-14T15:27:00Z">
              <w:r w:rsidRPr="00183B5F">
                <w:rPr>
                  <w:szCs w:val="22"/>
                </w:rPr>
                <w:delText>0,002</w:delText>
              </w:r>
            </w:del>
          </w:p>
        </w:tc>
        <w:tc>
          <w:tcPr>
            <w:tcW w:w="1304" w:type="dxa"/>
          </w:tcPr>
          <w:p w14:paraId="3BEA2597" w14:textId="1A51DBBF" w:rsidR="00FB6710" w:rsidRPr="00183B5F" w:rsidRDefault="00943743" w:rsidP="004062FE">
            <w:pPr>
              <w:keepNext/>
              <w:spacing w:line="240" w:lineRule="auto"/>
              <w:jc w:val="center"/>
              <w:rPr>
                <w:del w:id="1756" w:author="AbbVie_HU_03" w:date="2025-05-14T15:27:00Z"/>
                <w:szCs w:val="22"/>
              </w:rPr>
            </w:pPr>
            <w:del w:id="1757" w:author="AbbVie_HU_03" w:date="2025-05-14T15:27:00Z">
              <w:r w:rsidRPr="00183B5F">
                <w:rPr>
                  <w:szCs w:val="22"/>
                </w:rPr>
                <w:delText>&lt; 0,001</w:delText>
              </w:r>
            </w:del>
          </w:p>
        </w:tc>
        <w:tc>
          <w:tcPr>
            <w:tcW w:w="1379" w:type="dxa"/>
          </w:tcPr>
          <w:p w14:paraId="20B0F5AA" w14:textId="1B36771A" w:rsidR="00FB6710" w:rsidRPr="00183B5F" w:rsidRDefault="00943743" w:rsidP="004062FE">
            <w:pPr>
              <w:keepNext/>
              <w:spacing w:line="240" w:lineRule="auto"/>
              <w:jc w:val="center"/>
              <w:rPr>
                <w:del w:id="1758" w:author="AbbVie_HU_03" w:date="2025-05-14T15:27:00Z"/>
                <w:szCs w:val="22"/>
              </w:rPr>
            </w:pPr>
            <w:del w:id="1759" w:author="AbbVie_HU_03" w:date="2025-05-14T15:27:00Z">
              <w:r w:rsidRPr="00183B5F">
                <w:rPr>
                  <w:szCs w:val="22"/>
                </w:rPr>
                <w:delText>0,140</w:delText>
              </w:r>
            </w:del>
          </w:p>
        </w:tc>
      </w:tr>
      <w:tr w:rsidR="00011D2F" w14:paraId="5D16A619" w14:textId="04A59DC4">
        <w:trPr>
          <w:del w:id="1760" w:author="AbbVie_HU_03" w:date="2025-05-14T15:27:00Z"/>
        </w:trPr>
        <w:tc>
          <w:tcPr>
            <w:tcW w:w="1310" w:type="dxa"/>
          </w:tcPr>
          <w:p w14:paraId="3D230917" w14:textId="3AFF80EE" w:rsidR="00FB6710" w:rsidRPr="00183B5F" w:rsidRDefault="00943743" w:rsidP="004062FE">
            <w:pPr>
              <w:keepNext/>
              <w:spacing w:line="240" w:lineRule="auto"/>
              <w:rPr>
                <w:del w:id="1761" w:author="AbbVie_HU_03" w:date="2025-05-14T15:27:00Z"/>
                <w:szCs w:val="22"/>
              </w:rPr>
            </w:pPr>
            <w:del w:id="1762" w:author="AbbVie_HU_03" w:date="2025-05-14T15:27:00Z">
              <w:r w:rsidRPr="00183B5F">
                <w:rPr>
                  <w:szCs w:val="22"/>
                </w:rPr>
                <w:delText>ACR</w:delText>
              </w:r>
              <w:r w:rsidR="00B8361B" w:rsidRPr="00183B5F">
                <w:rPr>
                  <w:szCs w:val="22"/>
                </w:rPr>
                <w:delText> </w:delText>
              </w:r>
              <w:r w:rsidRPr="00183B5F">
                <w:rPr>
                  <w:szCs w:val="22"/>
                </w:rPr>
                <w:delText>50</w:delText>
              </w:r>
            </w:del>
          </w:p>
        </w:tc>
        <w:tc>
          <w:tcPr>
            <w:tcW w:w="1310" w:type="dxa"/>
          </w:tcPr>
          <w:p w14:paraId="0420910C" w14:textId="77020FB0" w:rsidR="00FB6710" w:rsidRPr="00183B5F" w:rsidRDefault="00FB6710" w:rsidP="004062FE">
            <w:pPr>
              <w:keepNext/>
              <w:spacing w:line="240" w:lineRule="auto"/>
              <w:jc w:val="center"/>
              <w:rPr>
                <w:del w:id="1763" w:author="AbbVie_HU_03" w:date="2025-05-14T15:27:00Z"/>
                <w:szCs w:val="22"/>
              </w:rPr>
            </w:pPr>
          </w:p>
        </w:tc>
        <w:tc>
          <w:tcPr>
            <w:tcW w:w="1310" w:type="dxa"/>
          </w:tcPr>
          <w:p w14:paraId="70693D18" w14:textId="2520BBFD" w:rsidR="00FB6710" w:rsidRPr="00183B5F" w:rsidRDefault="00FB6710" w:rsidP="004062FE">
            <w:pPr>
              <w:keepNext/>
              <w:spacing w:line="240" w:lineRule="auto"/>
              <w:jc w:val="center"/>
              <w:rPr>
                <w:del w:id="1764" w:author="AbbVie_HU_03" w:date="2025-05-14T15:27:00Z"/>
                <w:szCs w:val="22"/>
              </w:rPr>
            </w:pPr>
          </w:p>
        </w:tc>
        <w:tc>
          <w:tcPr>
            <w:tcW w:w="1363" w:type="dxa"/>
          </w:tcPr>
          <w:p w14:paraId="1059A35B" w14:textId="73D8A5DC" w:rsidR="00FB6710" w:rsidRPr="00183B5F" w:rsidRDefault="00FB6710" w:rsidP="004062FE">
            <w:pPr>
              <w:keepNext/>
              <w:spacing w:line="240" w:lineRule="auto"/>
              <w:jc w:val="center"/>
              <w:rPr>
                <w:del w:id="1765" w:author="AbbVie_HU_03" w:date="2025-05-14T15:27:00Z"/>
                <w:szCs w:val="22"/>
              </w:rPr>
            </w:pPr>
          </w:p>
        </w:tc>
        <w:tc>
          <w:tcPr>
            <w:tcW w:w="1308" w:type="dxa"/>
          </w:tcPr>
          <w:p w14:paraId="59DC813F" w14:textId="595FD7AA" w:rsidR="00FB6710" w:rsidRPr="00183B5F" w:rsidRDefault="00FB6710" w:rsidP="004062FE">
            <w:pPr>
              <w:keepNext/>
              <w:spacing w:line="240" w:lineRule="auto"/>
              <w:jc w:val="center"/>
              <w:rPr>
                <w:del w:id="1766" w:author="AbbVie_HU_03" w:date="2025-05-14T15:27:00Z"/>
                <w:szCs w:val="22"/>
              </w:rPr>
            </w:pPr>
          </w:p>
        </w:tc>
        <w:tc>
          <w:tcPr>
            <w:tcW w:w="1304" w:type="dxa"/>
          </w:tcPr>
          <w:p w14:paraId="7B5727A6" w14:textId="4CE18094" w:rsidR="00FB6710" w:rsidRPr="00183B5F" w:rsidRDefault="00FB6710" w:rsidP="004062FE">
            <w:pPr>
              <w:keepNext/>
              <w:spacing w:line="240" w:lineRule="auto"/>
              <w:jc w:val="center"/>
              <w:rPr>
                <w:del w:id="1767" w:author="AbbVie_HU_03" w:date="2025-05-14T15:27:00Z"/>
                <w:szCs w:val="22"/>
              </w:rPr>
            </w:pPr>
          </w:p>
        </w:tc>
        <w:tc>
          <w:tcPr>
            <w:tcW w:w="1379" w:type="dxa"/>
          </w:tcPr>
          <w:p w14:paraId="5998FC5F" w14:textId="020E9638" w:rsidR="00FB6710" w:rsidRPr="00183B5F" w:rsidRDefault="00FB6710" w:rsidP="004062FE">
            <w:pPr>
              <w:keepNext/>
              <w:spacing w:line="240" w:lineRule="auto"/>
              <w:jc w:val="center"/>
              <w:rPr>
                <w:del w:id="1768" w:author="AbbVie_HU_03" w:date="2025-05-14T15:27:00Z"/>
                <w:szCs w:val="22"/>
              </w:rPr>
            </w:pPr>
          </w:p>
        </w:tc>
      </w:tr>
      <w:tr w:rsidR="00011D2F" w14:paraId="2BB1C7EC" w14:textId="03376501">
        <w:trPr>
          <w:del w:id="1769" w:author="AbbVie_HU_03" w:date="2025-05-14T15:27:00Z"/>
        </w:trPr>
        <w:tc>
          <w:tcPr>
            <w:tcW w:w="1310" w:type="dxa"/>
          </w:tcPr>
          <w:p w14:paraId="48EEE1E7" w14:textId="7F968A7A" w:rsidR="00FB6710" w:rsidRPr="00183B5F" w:rsidRDefault="00943743" w:rsidP="004062FE">
            <w:pPr>
              <w:keepNext/>
              <w:spacing w:line="240" w:lineRule="auto"/>
              <w:jc w:val="right"/>
              <w:rPr>
                <w:del w:id="1770" w:author="AbbVie_HU_03" w:date="2025-05-14T15:27:00Z"/>
                <w:szCs w:val="22"/>
              </w:rPr>
            </w:pPr>
            <w:del w:id="1771" w:author="AbbVie_HU_03" w:date="2025-05-14T15:27:00Z">
              <w:r w:rsidRPr="00183B5F">
                <w:rPr>
                  <w:szCs w:val="22"/>
                </w:rPr>
                <w:delText>52.</w:delText>
              </w:r>
              <w:r w:rsidR="00A44DB6" w:rsidRPr="00183B5F">
                <w:rPr>
                  <w:szCs w:val="22"/>
                </w:rPr>
                <w:delText> hét</w:delText>
              </w:r>
            </w:del>
          </w:p>
        </w:tc>
        <w:tc>
          <w:tcPr>
            <w:tcW w:w="1310" w:type="dxa"/>
          </w:tcPr>
          <w:p w14:paraId="0F5D2613" w14:textId="6081D104" w:rsidR="00FB6710" w:rsidRPr="00183B5F" w:rsidRDefault="00943743" w:rsidP="004062FE">
            <w:pPr>
              <w:keepNext/>
              <w:spacing w:line="240" w:lineRule="auto"/>
              <w:jc w:val="center"/>
              <w:rPr>
                <w:del w:id="1772" w:author="AbbVie_HU_03" w:date="2025-05-14T15:27:00Z"/>
                <w:szCs w:val="22"/>
              </w:rPr>
            </w:pPr>
            <w:del w:id="1773" w:author="AbbVie_HU_03" w:date="2025-05-14T15:27:00Z">
              <w:r w:rsidRPr="00183B5F">
                <w:rPr>
                  <w:szCs w:val="22"/>
                </w:rPr>
                <w:delText>45,9%</w:delText>
              </w:r>
            </w:del>
          </w:p>
        </w:tc>
        <w:tc>
          <w:tcPr>
            <w:tcW w:w="1310" w:type="dxa"/>
          </w:tcPr>
          <w:p w14:paraId="038A6180" w14:textId="7B5802A1" w:rsidR="00FB6710" w:rsidRPr="00183B5F" w:rsidRDefault="00943743" w:rsidP="004062FE">
            <w:pPr>
              <w:keepNext/>
              <w:spacing w:line="240" w:lineRule="auto"/>
              <w:jc w:val="center"/>
              <w:rPr>
                <w:del w:id="1774" w:author="AbbVie_HU_03" w:date="2025-05-14T15:27:00Z"/>
                <w:szCs w:val="22"/>
              </w:rPr>
            </w:pPr>
            <w:del w:id="1775" w:author="AbbVie_HU_03" w:date="2025-05-14T15:27:00Z">
              <w:r w:rsidRPr="00183B5F">
                <w:rPr>
                  <w:szCs w:val="22"/>
                </w:rPr>
                <w:delText>41,2%</w:delText>
              </w:r>
            </w:del>
          </w:p>
        </w:tc>
        <w:tc>
          <w:tcPr>
            <w:tcW w:w="1363" w:type="dxa"/>
          </w:tcPr>
          <w:p w14:paraId="6ECB209F" w14:textId="48BB5846" w:rsidR="00FB6710" w:rsidRPr="00183B5F" w:rsidRDefault="00943743" w:rsidP="004062FE">
            <w:pPr>
              <w:keepNext/>
              <w:spacing w:line="240" w:lineRule="auto"/>
              <w:jc w:val="center"/>
              <w:rPr>
                <w:del w:id="1776" w:author="AbbVie_HU_03" w:date="2025-05-14T15:27:00Z"/>
                <w:szCs w:val="22"/>
              </w:rPr>
            </w:pPr>
            <w:del w:id="1777" w:author="AbbVie_HU_03" w:date="2025-05-14T15:27:00Z">
              <w:r w:rsidRPr="00183B5F">
                <w:rPr>
                  <w:szCs w:val="22"/>
                </w:rPr>
                <w:delText>61,6%</w:delText>
              </w:r>
            </w:del>
          </w:p>
        </w:tc>
        <w:tc>
          <w:tcPr>
            <w:tcW w:w="1308" w:type="dxa"/>
          </w:tcPr>
          <w:p w14:paraId="01AF6BA7" w14:textId="7C7A9C83" w:rsidR="00FB6710" w:rsidRPr="00183B5F" w:rsidRDefault="00943743" w:rsidP="004062FE">
            <w:pPr>
              <w:keepNext/>
              <w:spacing w:line="240" w:lineRule="auto"/>
              <w:jc w:val="center"/>
              <w:rPr>
                <w:del w:id="1778" w:author="AbbVie_HU_03" w:date="2025-05-14T15:27:00Z"/>
                <w:szCs w:val="22"/>
              </w:rPr>
            </w:pPr>
            <w:del w:id="1779" w:author="AbbVie_HU_03" w:date="2025-05-14T15:27:00Z">
              <w:r w:rsidRPr="00183B5F">
                <w:rPr>
                  <w:szCs w:val="22"/>
                </w:rPr>
                <w:delText>&lt; 0,001</w:delText>
              </w:r>
            </w:del>
          </w:p>
        </w:tc>
        <w:tc>
          <w:tcPr>
            <w:tcW w:w="1304" w:type="dxa"/>
          </w:tcPr>
          <w:p w14:paraId="41C18AC2" w14:textId="713FCECE" w:rsidR="00FB6710" w:rsidRPr="00183B5F" w:rsidRDefault="00943743" w:rsidP="004062FE">
            <w:pPr>
              <w:keepNext/>
              <w:spacing w:line="240" w:lineRule="auto"/>
              <w:jc w:val="center"/>
              <w:rPr>
                <w:del w:id="1780" w:author="AbbVie_HU_03" w:date="2025-05-14T15:27:00Z"/>
                <w:szCs w:val="22"/>
              </w:rPr>
            </w:pPr>
            <w:del w:id="1781" w:author="AbbVie_HU_03" w:date="2025-05-14T15:27:00Z">
              <w:r w:rsidRPr="00183B5F">
                <w:rPr>
                  <w:szCs w:val="22"/>
                </w:rPr>
                <w:delText>&lt; 0,001</w:delText>
              </w:r>
            </w:del>
          </w:p>
        </w:tc>
        <w:tc>
          <w:tcPr>
            <w:tcW w:w="1379" w:type="dxa"/>
          </w:tcPr>
          <w:p w14:paraId="38F50AF2" w14:textId="31A0DC7D" w:rsidR="00FB6710" w:rsidRPr="00183B5F" w:rsidRDefault="00943743" w:rsidP="004062FE">
            <w:pPr>
              <w:keepNext/>
              <w:spacing w:line="240" w:lineRule="auto"/>
              <w:jc w:val="center"/>
              <w:rPr>
                <w:del w:id="1782" w:author="AbbVie_HU_03" w:date="2025-05-14T15:27:00Z"/>
                <w:szCs w:val="22"/>
              </w:rPr>
            </w:pPr>
            <w:del w:id="1783" w:author="AbbVie_HU_03" w:date="2025-05-14T15:27:00Z">
              <w:r w:rsidRPr="00183B5F">
                <w:rPr>
                  <w:szCs w:val="22"/>
                </w:rPr>
                <w:delText>0,317</w:delText>
              </w:r>
            </w:del>
          </w:p>
        </w:tc>
      </w:tr>
      <w:tr w:rsidR="00011D2F" w14:paraId="4B460CC4" w14:textId="36604973">
        <w:trPr>
          <w:del w:id="1784" w:author="AbbVie_HU_03" w:date="2025-05-14T15:27:00Z"/>
        </w:trPr>
        <w:tc>
          <w:tcPr>
            <w:tcW w:w="1310" w:type="dxa"/>
          </w:tcPr>
          <w:p w14:paraId="5E4F72B0" w14:textId="6F9ABC7C" w:rsidR="00FB6710" w:rsidRPr="00183B5F" w:rsidRDefault="00943743" w:rsidP="004062FE">
            <w:pPr>
              <w:keepNext/>
              <w:spacing w:line="240" w:lineRule="auto"/>
              <w:jc w:val="right"/>
              <w:rPr>
                <w:del w:id="1785" w:author="AbbVie_HU_03" w:date="2025-05-14T15:27:00Z"/>
                <w:szCs w:val="22"/>
              </w:rPr>
            </w:pPr>
            <w:del w:id="1786" w:author="AbbVie_HU_03" w:date="2025-05-14T15:27:00Z">
              <w:r w:rsidRPr="00183B5F">
                <w:rPr>
                  <w:szCs w:val="22"/>
                </w:rPr>
                <w:delText>104.</w:delText>
              </w:r>
              <w:r w:rsidR="00A44DB6" w:rsidRPr="00183B5F">
                <w:rPr>
                  <w:szCs w:val="22"/>
                </w:rPr>
                <w:delText> hét</w:delText>
              </w:r>
            </w:del>
          </w:p>
        </w:tc>
        <w:tc>
          <w:tcPr>
            <w:tcW w:w="1310" w:type="dxa"/>
          </w:tcPr>
          <w:p w14:paraId="28EFAE7E" w14:textId="42487C00" w:rsidR="00FB6710" w:rsidRPr="00183B5F" w:rsidRDefault="00943743" w:rsidP="004062FE">
            <w:pPr>
              <w:keepNext/>
              <w:spacing w:line="240" w:lineRule="auto"/>
              <w:jc w:val="center"/>
              <w:rPr>
                <w:del w:id="1787" w:author="AbbVie_HU_03" w:date="2025-05-14T15:27:00Z"/>
                <w:szCs w:val="22"/>
              </w:rPr>
            </w:pPr>
            <w:del w:id="1788" w:author="AbbVie_HU_03" w:date="2025-05-14T15:27:00Z">
              <w:r w:rsidRPr="00183B5F">
                <w:rPr>
                  <w:szCs w:val="22"/>
                </w:rPr>
                <w:delText>42,8%</w:delText>
              </w:r>
            </w:del>
          </w:p>
        </w:tc>
        <w:tc>
          <w:tcPr>
            <w:tcW w:w="1310" w:type="dxa"/>
          </w:tcPr>
          <w:p w14:paraId="0E05E879" w14:textId="6A5AD113" w:rsidR="00FB6710" w:rsidRPr="00183B5F" w:rsidRDefault="00943743" w:rsidP="004062FE">
            <w:pPr>
              <w:keepNext/>
              <w:spacing w:line="240" w:lineRule="auto"/>
              <w:jc w:val="center"/>
              <w:rPr>
                <w:del w:id="1789" w:author="AbbVie_HU_03" w:date="2025-05-14T15:27:00Z"/>
                <w:szCs w:val="22"/>
              </w:rPr>
            </w:pPr>
            <w:del w:id="1790" w:author="AbbVie_HU_03" w:date="2025-05-14T15:27:00Z">
              <w:r w:rsidRPr="00183B5F">
                <w:rPr>
                  <w:szCs w:val="22"/>
                </w:rPr>
                <w:delText>36,9%</w:delText>
              </w:r>
            </w:del>
          </w:p>
        </w:tc>
        <w:tc>
          <w:tcPr>
            <w:tcW w:w="1363" w:type="dxa"/>
          </w:tcPr>
          <w:p w14:paraId="13B4357D" w14:textId="46420FE1" w:rsidR="00FB6710" w:rsidRPr="00183B5F" w:rsidRDefault="00943743" w:rsidP="004062FE">
            <w:pPr>
              <w:keepNext/>
              <w:spacing w:line="240" w:lineRule="auto"/>
              <w:jc w:val="center"/>
              <w:rPr>
                <w:del w:id="1791" w:author="AbbVie_HU_03" w:date="2025-05-14T15:27:00Z"/>
                <w:szCs w:val="22"/>
              </w:rPr>
            </w:pPr>
            <w:del w:id="1792" w:author="AbbVie_HU_03" w:date="2025-05-14T15:27:00Z">
              <w:r w:rsidRPr="00183B5F">
                <w:rPr>
                  <w:szCs w:val="22"/>
                </w:rPr>
                <w:delText>59,0%</w:delText>
              </w:r>
            </w:del>
          </w:p>
        </w:tc>
        <w:tc>
          <w:tcPr>
            <w:tcW w:w="1308" w:type="dxa"/>
          </w:tcPr>
          <w:p w14:paraId="0374B37D" w14:textId="02738B3D" w:rsidR="00FB6710" w:rsidRPr="00183B5F" w:rsidRDefault="00943743" w:rsidP="004062FE">
            <w:pPr>
              <w:keepNext/>
              <w:spacing w:line="240" w:lineRule="auto"/>
              <w:jc w:val="center"/>
              <w:rPr>
                <w:del w:id="1793" w:author="AbbVie_HU_03" w:date="2025-05-14T15:27:00Z"/>
                <w:szCs w:val="22"/>
              </w:rPr>
            </w:pPr>
            <w:del w:id="1794" w:author="AbbVie_HU_03" w:date="2025-05-14T15:27:00Z">
              <w:r w:rsidRPr="00183B5F">
                <w:rPr>
                  <w:szCs w:val="22"/>
                </w:rPr>
                <w:delText>&lt; 0,001</w:delText>
              </w:r>
            </w:del>
          </w:p>
        </w:tc>
        <w:tc>
          <w:tcPr>
            <w:tcW w:w="1304" w:type="dxa"/>
          </w:tcPr>
          <w:p w14:paraId="2F1662EE" w14:textId="1DF10CEE" w:rsidR="00FB6710" w:rsidRPr="00183B5F" w:rsidRDefault="00943743" w:rsidP="004062FE">
            <w:pPr>
              <w:keepNext/>
              <w:spacing w:line="240" w:lineRule="auto"/>
              <w:jc w:val="center"/>
              <w:rPr>
                <w:del w:id="1795" w:author="AbbVie_HU_03" w:date="2025-05-14T15:27:00Z"/>
                <w:szCs w:val="22"/>
              </w:rPr>
            </w:pPr>
            <w:del w:id="1796" w:author="AbbVie_HU_03" w:date="2025-05-14T15:27:00Z">
              <w:r w:rsidRPr="00183B5F">
                <w:rPr>
                  <w:szCs w:val="22"/>
                </w:rPr>
                <w:delText>&lt; 0,001</w:delText>
              </w:r>
            </w:del>
          </w:p>
        </w:tc>
        <w:tc>
          <w:tcPr>
            <w:tcW w:w="1379" w:type="dxa"/>
          </w:tcPr>
          <w:p w14:paraId="08DE17DC" w14:textId="1527E3F1" w:rsidR="00FB6710" w:rsidRPr="00183B5F" w:rsidRDefault="00943743" w:rsidP="004062FE">
            <w:pPr>
              <w:keepNext/>
              <w:spacing w:line="240" w:lineRule="auto"/>
              <w:jc w:val="center"/>
              <w:rPr>
                <w:del w:id="1797" w:author="AbbVie_HU_03" w:date="2025-05-14T15:27:00Z"/>
                <w:szCs w:val="22"/>
              </w:rPr>
            </w:pPr>
            <w:del w:id="1798" w:author="AbbVie_HU_03" w:date="2025-05-14T15:27:00Z">
              <w:r w:rsidRPr="00183B5F">
                <w:rPr>
                  <w:szCs w:val="22"/>
                </w:rPr>
                <w:delText>0,162</w:delText>
              </w:r>
            </w:del>
          </w:p>
        </w:tc>
      </w:tr>
      <w:tr w:rsidR="00011D2F" w14:paraId="04C92764" w14:textId="07F91D0B">
        <w:trPr>
          <w:del w:id="1799" w:author="AbbVie_HU_03" w:date="2025-05-14T15:27:00Z"/>
        </w:trPr>
        <w:tc>
          <w:tcPr>
            <w:tcW w:w="1310" w:type="dxa"/>
          </w:tcPr>
          <w:p w14:paraId="59649DBC" w14:textId="6C39E96C" w:rsidR="00FB6710" w:rsidRPr="00183B5F" w:rsidRDefault="00943743" w:rsidP="004062FE">
            <w:pPr>
              <w:keepNext/>
              <w:spacing w:line="240" w:lineRule="auto"/>
              <w:rPr>
                <w:del w:id="1800" w:author="AbbVie_HU_03" w:date="2025-05-14T15:27:00Z"/>
                <w:szCs w:val="22"/>
              </w:rPr>
            </w:pPr>
            <w:del w:id="1801" w:author="AbbVie_HU_03" w:date="2025-05-14T15:27:00Z">
              <w:r w:rsidRPr="00183B5F">
                <w:rPr>
                  <w:szCs w:val="22"/>
                </w:rPr>
                <w:delText>ACR</w:delText>
              </w:r>
              <w:r w:rsidR="00B8361B" w:rsidRPr="00183B5F">
                <w:rPr>
                  <w:szCs w:val="22"/>
                </w:rPr>
                <w:delText> </w:delText>
              </w:r>
              <w:r w:rsidRPr="00183B5F">
                <w:rPr>
                  <w:szCs w:val="22"/>
                </w:rPr>
                <w:delText>70</w:delText>
              </w:r>
            </w:del>
          </w:p>
        </w:tc>
        <w:tc>
          <w:tcPr>
            <w:tcW w:w="1310" w:type="dxa"/>
          </w:tcPr>
          <w:p w14:paraId="040409AC" w14:textId="04BCBEB6" w:rsidR="00FB6710" w:rsidRPr="00183B5F" w:rsidRDefault="00FB6710" w:rsidP="004062FE">
            <w:pPr>
              <w:keepNext/>
              <w:spacing w:line="240" w:lineRule="auto"/>
              <w:jc w:val="center"/>
              <w:rPr>
                <w:del w:id="1802" w:author="AbbVie_HU_03" w:date="2025-05-14T15:27:00Z"/>
                <w:szCs w:val="22"/>
              </w:rPr>
            </w:pPr>
          </w:p>
        </w:tc>
        <w:tc>
          <w:tcPr>
            <w:tcW w:w="1310" w:type="dxa"/>
          </w:tcPr>
          <w:p w14:paraId="29F3ACD4" w14:textId="57ED03F0" w:rsidR="00FB6710" w:rsidRPr="00183B5F" w:rsidRDefault="00FB6710" w:rsidP="004062FE">
            <w:pPr>
              <w:keepNext/>
              <w:spacing w:line="240" w:lineRule="auto"/>
              <w:jc w:val="center"/>
              <w:rPr>
                <w:del w:id="1803" w:author="AbbVie_HU_03" w:date="2025-05-14T15:27:00Z"/>
                <w:szCs w:val="22"/>
              </w:rPr>
            </w:pPr>
          </w:p>
        </w:tc>
        <w:tc>
          <w:tcPr>
            <w:tcW w:w="1363" w:type="dxa"/>
          </w:tcPr>
          <w:p w14:paraId="043A1457" w14:textId="3ABCF464" w:rsidR="00FB6710" w:rsidRPr="00183B5F" w:rsidRDefault="00FB6710" w:rsidP="004062FE">
            <w:pPr>
              <w:keepNext/>
              <w:spacing w:line="240" w:lineRule="auto"/>
              <w:jc w:val="center"/>
              <w:rPr>
                <w:del w:id="1804" w:author="AbbVie_HU_03" w:date="2025-05-14T15:27:00Z"/>
                <w:szCs w:val="22"/>
              </w:rPr>
            </w:pPr>
          </w:p>
        </w:tc>
        <w:tc>
          <w:tcPr>
            <w:tcW w:w="1308" w:type="dxa"/>
          </w:tcPr>
          <w:p w14:paraId="432B007B" w14:textId="7DF870DF" w:rsidR="00FB6710" w:rsidRPr="00183B5F" w:rsidRDefault="00FB6710" w:rsidP="004062FE">
            <w:pPr>
              <w:keepNext/>
              <w:spacing w:line="240" w:lineRule="auto"/>
              <w:jc w:val="center"/>
              <w:rPr>
                <w:del w:id="1805" w:author="AbbVie_HU_03" w:date="2025-05-14T15:27:00Z"/>
                <w:szCs w:val="22"/>
              </w:rPr>
            </w:pPr>
          </w:p>
        </w:tc>
        <w:tc>
          <w:tcPr>
            <w:tcW w:w="1304" w:type="dxa"/>
          </w:tcPr>
          <w:p w14:paraId="63BE5555" w14:textId="3F0F2554" w:rsidR="00FB6710" w:rsidRPr="00183B5F" w:rsidRDefault="00FB6710" w:rsidP="004062FE">
            <w:pPr>
              <w:keepNext/>
              <w:spacing w:line="240" w:lineRule="auto"/>
              <w:jc w:val="center"/>
              <w:rPr>
                <w:del w:id="1806" w:author="AbbVie_HU_03" w:date="2025-05-14T15:27:00Z"/>
                <w:szCs w:val="22"/>
              </w:rPr>
            </w:pPr>
          </w:p>
        </w:tc>
        <w:tc>
          <w:tcPr>
            <w:tcW w:w="1379" w:type="dxa"/>
          </w:tcPr>
          <w:p w14:paraId="17DC983D" w14:textId="4317ED58" w:rsidR="00FB6710" w:rsidRPr="00183B5F" w:rsidRDefault="00FB6710" w:rsidP="004062FE">
            <w:pPr>
              <w:keepNext/>
              <w:spacing w:line="240" w:lineRule="auto"/>
              <w:jc w:val="center"/>
              <w:rPr>
                <w:del w:id="1807" w:author="AbbVie_HU_03" w:date="2025-05-14T15:27:00Z"/>
                <w:szCs w:val="22"/>
              </w:rPr>
            </w:pPr>
          </w:p>
        </w:tc>
      </w:tr>
      <w:tr w:rsidR="00011D2F" w14:paraId="74038737" w14:textId="5B900082">
        <w:trPr>
          <w:del w:id="1808" w:author="AbbVie_HU_03" w:date="2025-05-14T15:27:00Z"/>
        </w:trPr>
        <w:tc>
          <w:tcPr>
            <w:tcW w:w="1310" w:type="dxa"/>
          </w:tcPr>
          <w:p w14:paraId="33F8E8E4" w14:textId="07E58209" w:rsidR="00FB6710" w:rsidRPr="00183B5F" w:rsidRDefault="00943743" w:rsidP="004062FE">
            <w:pPr>
              <w:keepNext/>
              <w:spacing w:line="240" w:lineRule="auto"/>
              <w:jc w:val="right"/>
              <w:rPr>
                <w:del w:id="1809" w:author="AbbVie_HU_03" w:date="2025-05-14T15:27:00Z"/>
                <w:szCs w:val="22"/>
              </w:rPr>
            </w:pPr>
            <w:del w:id="1810" w:author="AbbVie_HU_03" w:date="2025-05-14T15:27:00Z">
              <w:r w:rsidRPr="00183B5F">
                <w:rPr>
                  <w:szCs w:val="22"/>
                </w:rPr>
                <w:delText>52.</w:delText>
              </w:r>
              <w:r w:rsidR="00A44DB6" w:rsidRPr="00183B5F">
                <w:rPr>
                  <w:szCs w:val="22"/>
                </w:rPr>
                <w:delText> hét</w:delText>
              </w:r>
            </w:del>
          </w:p>
        </w:tc>
        <w:tc>
          <w:tcPr>
            <w:tcW w:w="1310" w:type="dxa"/>
          </w:tcPr>
          <w:p w14:paraId="6F0B4A31" w14:textId="258112D9" w:rsidR="00FB6710" w:rsidRPr="00183B5F" w:rsidRDefault="00943743" w:rsidP="004062FE">
            <w:pPr>
              <w:keepNext/>
              <w:spacing w:line="240" w:lineRule="auto"/>
              <w:jc w:val="center"/>
              <w:rPr>
                <w:del w:id="1811" w:author="AbbVie_HU_03" w:date="2025-05-14T15:27:00Z"/>
                <w:szCs w:val="22"/>
              </w:rPr>
            </w:pPr>
            <w:del w:id="1812" w:author="AbbVie_HU_03" w:date="2025-05-14T15:27:00Z">
              <w:r w:rsidRPr="00183B5F">
                <w:rPr>
                  <w:szCs w:val="22"/>
                </w:rPr>
                <w:delText>27,2%</w:delText>
              </w:r>
            </w:del>
          </w:p>
        </w:tc>
        <w:tc>
          <w:tcPr>
            <w:tcW w:w="1310" w:type="dxa"/>
          </w:tcPr>
          <w:p w14:paraId="1F2A3210" w14:textId="5DE6E64E" w:rsidR="00FB6710" w:rsidRPr="00183B5F" w:rsidRDefault="00943743" w:rsidP="004062FE">
            <w:pPr>
              <w:keepNext/>
              <w:spacing w:line="240" w:lineRule="auto"/>
              <w:jc w:val="center"/>
              <w:rPr>
                <w:del w:id="1813" w:author="AbbVie_HU_03" w:date="2025-05-14T15:27:00Z"/>
                <w:szCs w:val="22"/>
              </w:rPr>
            </w:pPr>
            <w:del w:id="1814" w:author="AbbVie_HU_03" w:date="2025-05-14T15:27:00Z">
              <w:r w:rsidRPr="00183B5F">
                <w:rPr>
                  <w:szCs w:val="22"/>
                </w:rPr>
                <w:delText>25,9%</w:delText>
              </w:r>
            </w:del>
          </w:p>
        </w:tc>
        <w:tc>
          <w:tcPr>
            <w:tcW w:w="1363" w:type="dxa"/>
          </w:tcPr>
          <w:p w14:paraId="30CF57D2" w14:textId="6777BB24" w:rsidR="00FB6710" w:rsidRPr="00183B5F" w:rsidRDefault="00943743" w:rsidP="004062FE">
            <w:pPr>
              <w:keepNext/>
              <w:spacing w:line="240" w:lineRule="auto"/>
              <w:jc w:val="center"/>
              <w:rPr>
                <w:del w:id="1815" w:author="AbbVie_HU_03" w:date="2025-05-14T15:27:00Z"/>
                <w:szCs w:val="22"/>
              </w:rPr>
            </w:pPr>
            <w:del w:id="1816" w:author="AbbVie_HU_03" w:date="2025-05-14T15:27:00Z">
              <w:r w:rsidRPr="00183B5F">
                <w:rPr>
                  <w:szCs w:val="22"/>
                </w:rPr>
                <w:delText>45,5%</w:delText>
              </w:r>
            </w:del>
          </w:p>
        </w:tc>
        <w:tc>
          <w:tcPr>
            <w:tcW w:w="1308" w:type="dxa"/>
          </w:tcPr>
          <w:p w14:paraId="1D68DC1F" w14:textId="513172B5" w:rsidR="00FB6710" w:rsidRPr="00183B5F" w:rsidRDefault="00943743" w:rsidP="004062FE">
            <w:pPr>
              <w:keepNext/>
              <w:spacing w:line="240" w:lineRule="auto"/>
              <w:jc w:val="center"/>
              <w:rPr>
                <w:del w:id="1817" w:author="AbbVie_HU_03" w:date="2025-05-14T15:27:00Z"/>
                <w:szCs w:val="22"/>
              </w:rPr>
            </w:pPr>
            <w:del w:id="1818" w:author="AbbVie_HU_03" w:date="2025-05-14T15:27:00Z">
              <w:r w:rsidRPr="00183B5F">
                <w:rPr>
                  <w:szCs w:val="22"/>
                </w:rPr>
                <w:delText>&lt; 0,001</w:delText>
              </w:r>
            </w:del>
          </w:p>
        </w:tc>
        <w:tc>
          <w:tcPr>
            <w:tcW w:w="1304" w:type="dxa"/>
          </w:tcPr>
          <w:p w14:paraId="5AD15A04" w14:textId="3A786367" w:rsidR="00FB6710" w:rsidRPr="00183B5F" w:rsidRDefault="00943743" w:rsidP="004062FE">
            <w:pPr>
              <w:keepNext/>
              <w:spacing w:line="240" w:lineRule="auto"/>
              <w:jc w:val="center"/>
              <w:rPr>
                <w:del w:id="1819" w:author="AbbVie_HU_03" w:date="2025-05-14T15:27:00Z"/>
                <w:szCs w:val="22"/>
              </w:rPr>
            </w:pPr>
            <w:del w:id="1820" w:author="AbbVie_HU_03" w:date="2025-05-14T15:27:00Z">
              <w:r w:rsidRPr="00183B5F">
                <w:rPr>
                  <w:szCs w:val="22"/>
                </w:rPr>
                <w:delText>&lt; 0,001</w:delText>
              </w:r>
            </w:del>
          </w:p>
        </w:tc>
        <w:tc>
          <w:tcPr>
            <w:tcW w:w="1379" w:type="dxa"/>
          </w:tcPr>
          <w:p w14:paraId="2C77339B" w14:textId="4E097310" w:rsidR="00FB6710" w:rsidRPr="00183B5F" w:rsidRDefault="00943743" w:rsidP="004062FE">
            <w:pPr>
              <w:keepNext/>
              <w:spacing w:line="240" w:lineRule="auto"/>
              <w:jc w:val="center"/>
              <w:rPr>
                <w:del w:id="1821" w:author="AbbVie_HU_03" w:date="2025-05-14T15:27:00Z"/>
                <w:szCs w:val="22"/>
              </w:rPr>
            </w:pPr>
            <w:del w:id="1822" w:author="AbbVie_HU_03" w:date="2025-05-14T15:27:00Z">
              <w:r w:rsidRPr="00183B5F">
                <w:rPr>
                  <w:szCs w:val="22"/>
                </w:rPr>
                <w:delText>0,656</w:delText>
              </w:r>
            </w:del>
          </w:p>
        </w:tc>
      </w:tr>
      <w:tr w:rsidR="00011D2F" w14:paraId="2222C82F" w14:textId="4BF6F593">
        <w:trPr>
          <w:del w:id="1823" w:author="AbbVie_HU_03" w:date="2025-05-14T15:27:00Z"/>
        </w:trPr>
        <w:tc>
          <w:tcPr>
            <w:tcW w:w="1310" w:type="dxa"/>
          </w:tcPr>
          <w:p w14:paraId="466734E1" w14:textId="6663243C" w:rsidR="00FB6710" w:rsidRPr="00183B5F" w:rsidRDefault="00943743" w:rsidP="004062FE">
            <w:pPr>
              <w:keepNext/>
              <w:spacing w:line="240" w:lineRule="auto"/>
              <w:jc w:val="right"/>
              <w:rPr>
                <w:del w:id="1824" w:author="AbbVie_HU_03" w:date="2025-05-14T15:27:00Z"/>
                <w:szCs w:val="22"/>
              </w:rPr>
            </w:pPr>
            <w:del w:id="1825" w:author="AbbVie_HU_03" w:date="2025-05-14T15:27:00Z">
              <w:r w:rsidRPr="00183B5F">
                <w:rPr>
                  <w:szCs w:val="22"/>
                </w:rPr>
                <w:delText>104.</w:delText>
              </w:r>
              <w:r w:rsidR="00A44DB6" w:rsidRPr="00183B5F">
                <w:rPr>
                  <w:szCs w:val="22"/>
                </w:rPr>
                <w:delText> hét</w:delText>
              </w:r>
            </w:del>
          </w:p>
        </w:tc>
        <w:tc>
          <w:tcPr>
            <w:tcW w:w="1310" w:type="dxa"/>
          </w:tcPr>
          <w:p w14:paraId="006464CC" w14:textId="225B1307" w:rsidR="00FB6710" w:rsidRPr="00183B5F" w:rsidRDefault="00943743" w:rsidP="004062FE">
            <w:pPr>
              <w:keepNext/>
              <w:spacing w:line="240" w:lineRule="auto"/>
              <w:jc w:val="center"/>
              <w:rPr>
                <w:del w:id="1826" w:author="AbbVie_HU_03" w:date="2025-05-14T15:27:00Z"/>
                <w:szCs w:val="22"/>
              </w:rPr>
            </w:pPr>
            <w:del w:id="1827" w:author="AbbVie_HU_03" w:date="2025-05-14T15:27:00Z">
              <w:r w:rsidRPr="00183B5F">
                <w:rPr>
                  <w:szCs w:val="22"/>
                </w:rPr>
                <w:delText>28,4%</w:delText>
              </w:r>
            </w:del>
          </w:p>
        </w:tc>
        <w:tc>
          <w:tcPr>
            <w:tcW w:w="1310" w:type="dxa"/>
          </w:tcPr>
          <w:p w14:paraId="267B9D69" w14:textId="5CE17ED1" w:rsidR="00FB6710" w:rsidRPr="00183B5F" w:rsidRDefault="00943743" w:rsidP="004062FE">
            <w:pPr>
              <w:keepNext/>
              <w:spacing w:line="240" w:lineRule="auto"/>
              <w:jc w:val="center"/>
              <w:rPr>
                <w:del w:id="1828" w:author="AbbVie_HU_03" w:date="2025-05-14T15:27:00Z"/>
                <w:szCs w:val="22"/>
              </w:rPr>
            </w:pPr>
            <w:del w:id="1829" w:author="AbbVie_HU_03" w:date="2025-05-14T15:27:00Z">
              <w:r w:rsidRPr="00183B5F">
                <w:rPr>
                  <w:szCs w:val="22"/>
                </w:rPr>
                <w:delText>28,1%</w:delText>
              </w:r>
            </w:del>
          </w:p>
        </w:tc>
        <w:tc>
          <w:tcPr>
            <w:tcW w:w="1363" w:type="dxa"/>
          </w:tcPr>
          <w:p w14:paraId="6F527A91" w14:textId="7136C30C" w:rsidR="00FB6710" w:rsidRPr="00183B5F" w:rsidRDefault="00943743" w:rsidP="004062FE">
            <w:pPr>
              <w:keepNext/>
              <w:spacing w:line="240" w:lineRule="auto"/>
              <w:jc w:val="center"/>
              <w:rPr>
                <w:del w:id="1830" w:author="AbbVie_HU_03" w:date="2025-05-14T15:27:00Z"/>
                <w:szCs w:val="22"/>
              </w:rPr>
            </w:pPr>
            <w:del w:id="1831" w:author="AbbVie_HU_03" w:date="2025-05-14T15:27:00Z">
              <w:r w:rsidRPr="00183B5F">
                <w:rPr>
                  <w:szCs w:val="22"/>
                </w:rPr>
                <w:delText>46,6%</w:delText>
              </w:r>
            </w:del>
          </w:p>
        </w:tc>
        <w:tc>
          <w:tcPr>
            <w:tcW w:w="1308" w:type="dxa"/>
          </w:tcPr>
          <w:p w14:paraId="4A350875" w14:textId="6CA48C64" w:rsidR="00FB6710" w:rsidRPr="00183B5F" w:rsidRDefault="00943743" w:rsidP="004062FE">
            <w:pPr>
              <w:keepNext/>
              <w:spacing w:line="240" w:lineRule="auto"/>
              <w:jc w:val="center"/>
              <w:rPr>
                <w:del w:id="1832" w:author="AbbVie_HU_03" w:date="2025-05-14T15:27:00Z"/>
                <w:szCs w:val="22"/>
              </w:rPr>
            </w:pPr>
            <w:del w:id="1833" w:author="AbbVie_HU_03" w:date="2025-05-14T15:27:00Z">
              <w:r w:rsidRPr="00183B5F">
                <w:rPr>
                  <w:szCs w:val="22"/>
                </w:rPr>
                <w:delText>&lt; 0,001</w:delText>
              </w:r>
            </w:del>
          </w:p>
        </w:tc>
        <w:tc>
          <w:tcPr>
            <w:tcW w:w="1304" w:type="dxa"/>
          </w:tcPr>
          <w:p w14:paraId="6F924D0A" w14:textId="554DAD17" w:rsidR="00FB6710" w:rsidRPr="00183B5F" w:rsidRDefault="00943743" w:rsidP="004062FE">
            <w:pPr>
              <w:keepNext/>
              <w:spacing w:line="240" w:lineRule="auto"/>
              <w:jc w:val="center"/>
              <w:rPr>
                <w:del w:id="1834" w:author="AbbVie_HU_03" w:date="2025-05-14T15:27:00Z"/>
                <w:szCs w:val="22"/>
              </w:rPr>
            </w:pPr>
            <w:del w:id="1835" w:author="AbbVie_HU_03" w:date="2025-05-14T15:27:00Z">
              <w:r w:rsidRPr="00183B5F">
                <w:rPr>
                  <w:szCs w:val="22"/>
                </w:rPr>
                <w:delText>&lt; 0,001</w:delText>
              </w:r>
            </w:del>
          </w:p>
        </w:tc>
        <w:tc>
          <w:tcPr>
            <w:tcW w:w="1379" w:type="dxa"/>
          </w:tcPr>
          <w:p w14:paraId="5AA25EFC" w14:textId="426230CD" w:rsidR="00FB6710" w:rsidRPr="00183B5F" w:rsidRDefault="00943743" w:rsidP="004062FE">
            <w:pPr>
              <w:keepNext/>
              <w:spacing w:line="240" w:lineRule="auto"/>
              <w:jc w:val="center"/>
              <w:rPr>
                <w:del w:id="1836" w:author="AbbVie_HU_03" w:date="2025-05-14T15:27:00Z"/>
                <w:szCs w:val="22"/>
              </w:rPr>
            </w:pPr>
            <w:del w:id="1837" w:author="AbbVie_HU_03" w:date="2025-05-14T15:27:00Z">
              <w:r w:rsidRPr="00183B5F">
                <w:rPr>
                  <w:szCs w:val="22"/>
                </w:rPr>
                <w:delText>0,864</w:delText>
              </w:r>
            </w:del>
          </w:p>
        </w:tc>
      </w:tr>
    </w:tbl>
    <w:p w14:paraId="2B66765D" w14:textId="31E2F2BA" w:rsidR="00FB6710" w:rsidRPr="00183B5F" w:rsidRDefault="00943743" w:rsidP="004062FE">
      <w:pPr>
        <w:keepNext/>
        <w:pBdr>
          <w:left w:val="single" w:sz="4" w:space="4" w:color="auto"/>
          <w:bottom w:val="single" w:sz="4" w:space="1" w:color="auto"/>
          <w:right w:val="single" w:sz="4" w:space="4" w:color="auto"/>
        </w:pBdr>
        <w:tabs>
          <w:tab w:val="left" w:pos="142"/>
        </w:tabs>
        <w:spacing w:line="240" w:lineRule="auto"/>
        <w:ind w:left="142" w:hanging="142"/>
        <w:rPr>
          <w:del w:id="1838" w:author="AbbVie_HU_03" w:date="2025-05-14T15:27:00Z"/>
          <w:szCs w:val="22"/>
        </w:rPr>
      </w:pPr>
      <w:del w:id="1839" w:author="AbbVie_HU_03" w:date="2025-05-14T15:27:00Z">
        <w:r w:rsidRPr="00183B5F">
          <w:rPr>
            <w:szCs w:val="22"/>
            <w:vertAlign w:val="superscript"/>
          </w:rPr>
          <w:delText>a</w:delText>
        </w:r>
        <w:r w:rsidR="008E2D2A" w:rsidRPr="00183B5F">
          <w:rPr>
            <w:szCs w:val="22"/>
          </w:rPr>
          <w:tab/>
        </w:r>
        <w:r w:rsidRPr="00183B5F">
          <w:rPr>
            <w:szCs w:val="22"/>
          </w:rPr>
          <w:delText>a p</w:delText>
        </w:r>
        <w:r w:rsidR="00B8361B" w:rsidRPr="00183B5F">
          <w:rPr>
            <w:szCs w:val="22"/>
          </w:rPr>
          <w:noBreakHyphen/>
        </w:r>
        <w:r w:rsidRPr="00183B5F">
          <w:rPr>
            <w:szCs w:val="22"/>
          </w:rPr>
          <w:delText xml:space="preserve">érték a </w:delText>
        </w:r>
        <w:r w:rsidR="001A6E66" w:rsidRPr="00183B5F">
          <w:rPr>
            <w:szCs w:val="22"/>
          </w:rPr>
          <w:delText>metotrexát-mono</w:delText>
        </w:r>
        <w:r w:rsidRPr="00183B5F">
          <w:rPr>
            <w:szCs w:val="22"/>
          </w:rPr>
          <w:delText xml:space="preserve">terápia és a Humira/metotrexát kombinációs terápia páros összehasonlítása </w:delText>
        </w:r>
        <w:r w:rsidR="001A6E66" w:rsidRPr="00183B5F">
          <w:rPr>
            <w:szCs w:val="22"/>
          </w:rPr>
          <w:delText>alapján, Mann</w:delText>
        </w:r>
        <w:r w:rsidR="00B8361B" w:rsidRPr="00183B5F">
          <w:rPr>
            <w:szCs w:val="22"/>
          </w:rPr>
          <w:noBreakHyphen/>
        </w:r>
        <w:r w:rsidRPr="00183B5F">
          <w:rPr>
            <w:szCs w:val="22"/>
          </w:rPr>
          <w:delText xml:space="preserve">Whitney </w:delText>
        </w:r>
        <w:r w:rsidR="001A6E66" w:rsidRPr="00183B5F">
          <w:rPr>
            <w:szCs w:val="22"/>
          </w:rPr>
          <w:delText>U-teszt</w:delText>
        </w:r>
        <w:r w:rsidRPr="00183B5F">
          <w:rPr>
            <w:szCs w:val="22"/>
          </w:rPr>
          <w:delText xml:space="preserve"> szerint</w:delText>
        </w:r>
      </w:del>
    </w:p>
    <w:p w14:paraId="14D7859C" w14:textId="5450A717" w:rsidR="00FB6710" w:rsidRPr="00183B5F" w:rsidRDefault="00943743" w:rsidP="004062FE">
      <w:pPr>
        <w:keepNext/>
        <w:pBdr>
          <w:left w:val="single" w:sz="4" w:space="4" w:color="auto"/>
          <w:bottom w:val="single" w:sz="4" w:space="1" w:color="auto"/>
          <w:right w:val="single" w:sz="4" w:space="4" w:color="auto"/>
        </w:pBdr>
        <w:tabs>
          <w:tab w:val="left" w:pos="142"/>
        </w:tabs>
        <w:spacing w:line="240" w:lineRule="auto"/>
        <w:ind w:left="142" w:hanging="142"/>
        <w:rPr>
          <w:del w:id="1840" w:author="AbbVie_HU_03" w:date="2025-05-14T15:27:00Z"/>
          <w:szCs w:val="22"/>
        </w:rPr>
      </w:pPr>
      <w:del w:id="1841" w:author="AbbVie_HU_03" w:date="2025-05-14T15:27:00Z">
        <w:r w:rsidRPr="00183B5F">
          <w:rPr>
            <w:szCs w:val="22"/>
            <w:vertAlign w:val="superscript"/>
          </w:rPr>
          <w:delText>b</w:delText>
        </w:r>
        <w:r w:rsidR="008E2D2A" w:rsidRPr="00183B5F">
          <w:rPr>
            <w:szCs w:val="22"/>
          </w:rPr>
          <w:tab/>
        </w:r>
        <w:r w:rsidRPr="00183B5F">
          <w:rPr>
            <w:szCs w:val="22"/>
          </w:rPr>
          <w:delText>a p</w:delText>
        </w:r>
        <w:r w:rsidR="00B8361B" w:rsidRPr="00183B5F">
          <w:rPr>
            <w:szCs w:val="22"/>
          </w:rPr>
          <w:noBreakHyphen/>
        </w:r>
        <w:r w:rsidRPr="00183B5F">
          <w:rPr>
            <w:szCs w:val="22"/>
          </w:rPr>
          <w:delText xml:space="preserve">érték a </w:delText>
        </w:r>
        <w:r w:rsidR="005C406C" w:rsidRPr="00183B5F">
          <w:rPr>
            <w:szCs w:val="22"/>
          </w:rPr>
          <w:delText>Humira-monoterá</w:delText>
        </w:r>
        <w:r w:rsidRPr="00183B5F">
          <w:rPr>
            <w:szCs w:val="22"/>
          </w:rPr>
          <w:delText xml:space="preserve">pia és a Humira/metotrexát kombinációs terápia páros összehasonlítása </w:delText>
        </w:r>
        <w:r w:rsidR="001A6E66" w:rsidRPr="00183B5F">
          <w:rPr>
            <w:szCs w:val="22"/>
          </w:rPr>
          <w:delText>alapján, Mann</w:delText>
        </w:r>
        <w:r w:rsidR="00B8361B" w:rsidRPr="00183B5F">
          <w:rPr>
            <w:szCs w:val="22"/>
          </w:rPr>
          <w:noBreakHyphen/>
        </w:r>
        <w:r w:rsidRPr="00183B5F">
          <w:rPr>
            <w:szCs w:val="22"/>
          </w:rPr>
          <w:delText xml:space="preserve">Whitney </w:delText>
        </w:r>
        <w:r w:rsidR="001A6E66" w:rsidRPr="00183B5F">
          <w:rPr>
            <w:szCs w:val="22"/>
          </w:rPr>
          <w:delText>U-teszt</w:delText>
        </w:r>
        <w:r w:rsidRPr="00183B5F">
          <w:rPr>
            <w:szCs w:val="22"/>
          </w:rPr>
          <w:delText xml:space="preserve"> szerint</w:delText>
        </w:r>
      </w:del>
    </w:p>
    <w:p w14:paraId="2B2D7183" w14:textId="027258DC" w:rsidR="00FB6710" w:rsidRPr="00183B5F" w:rsidRDefault="00943743" w:rsidP="004062FE">
      <w:pPr>
        <w:keepNext/>
        <w:pBdr>
          <w:left w:val="single" w:sz="4" w:space="4" w:color="auto"/>
          <w:bottom w:val="single" w:sz="4" w:space="1" w:color="auto"/>
          <w:right w:val="single" w:sz="4" w:space="4" w:color="auto"/>
        </w:pBdr>
        <w:spacing w:line="240" w:lineRule="auto"/>
        <w:ind w:left="142" w:hanging="142"/>
        <w:rPr>
          <w:del w:id="1842" w:author="AbbVie_HU_03" w:date="2025-05-14T15:27:00Z"/>
          <w:szCs w:val="22"/>
        </w:rPr>
      </w:pPr>
      <w:del w:id="1843" w:author="AbbVie_HU_03" w:date="2025-05-14T15:27:00Z">
        <w:r w:rsidRPr="00183B5F">
          <w:rPr>
            <w:szCs w:val="22"/>
            <w:vertAlign w:val="superscript"/>
          </w:rPr>
          <w:delText>c</w:delText>
        </w:r>
        <w:r w:rsidR="008E2D2A" w:rsidRPr="00183B5F">
          <w:rPr>
            <w:szCs w:val="22"/>
            <w:vertAlign w:val="superscript"/>
          </w:rPr>
          <w:tab/>
        </w:r>
        <w:r w:rsidRPr="00183B5F">
          <w:rPr>
            <w:szCs w:val="22"/>
          </w:rPr>
          <w:delText>a p</w:delText>
        </w:r>
        <w:r w:rsidR="00B8361B" w:rsidRPr="00183B5F">
          <w:rPr>
            <w:szCs w:val="22"/>
          </w:rPr>
          <w:noBreakHyphen/>
        </w:r>
        <w:r w:rsidRPr="00183B5F">
          <w:rPr>
            <w:szCs w:val="22"/>
          </w:rPr>
          <w:delText xml:space="preserve">érték a </w:delText>
        </w:r>
        <w:r w:rsidR="005C406C" w:rsidRPr="00183B5F">
          <w:rPr>
            <w:szCs w:val="22"/>
          </w:rPr>
          <w:delText>Humira-monoterá</w:delText>
        </w:r>
        <w:r w:rsidRPr="00183B5F">
          <w:rPr>
            <w:szCs w:val="22"/>
          </w:rPr>
          <w:delText xml:space="preserve">pia és a </w:delText>
        </w:r>
        <w:r w:rsidR="001A6E66" w:rsidRPr="00183B5F">
          <w:rPr>
            <w:szCs w:val="22"/>
          </w:rPr>
          <w:delText>metotrexát-mono</w:delText>
        </w:r>
        <w:r w:rsidRPr="00183B5F">
          <w:rPr>
            <w:szCs w:val="22"/>
          </w:rPr>
          <w:delText xml:space="preserve">terápia páros összehasonlítása </w:delText>
        </w:r>
        <w:r w:rsidR="001A6E66" w:rsidRPr="00183B5F">
          <w:rPr>
            <w:szCs w:val="22"/>
          </w:rPr>
          <w:delText>alapján, Mann</w:delText>
        </w:r>
        <w:r w:rsidR="00B8361B" w:rsidRPr="00183B5F">
          <w:rPr>
            <w:szCs w:val="22"/>
          </w:rPr>
          <w:noBreakHyphen/>
        </w:r>
        <w:r w:rsidRPr="00183B5F">
          <w:rPr>
            <w:szCs w:val="22"/>
          </w:rPr>
          <w:delText xml:space="preserve">Whitney </w:delText>
        </w:r>
        <w:r w:rsidR="001A6E66" w:rsidRPr="00183B5F">
          <w:rPr>
            <w:szCs w:val="22"/>
          </w:rPr>
          <w:delText>U-teszt</w:delText>
        </w:r>
        <w:r w:rsidRPr="00183B5F">
          <w:rPr>
            <w:szCs w:val="22"/>
          </w:rPr>
          <w:delText xml:space="preserve"> szerint</w:delText>
        </w:r>
      </w:del>
    </w:p>
    <w:p w14:paraId="09687F24" w14:textId="77C7AB30" w:rsidR="004A71B2" w:rsidRPr="00183B5F" w:rsidRDefault="004A71B2" w:rsidP="004062FE">
      <w:pPr>
        <w:spacing w:line="240" w:lineRule="auto"/>
        <w:rPr>
          <w:del w:id="1844" w:author="AbbVie_HU_03" w:date="2025-05-14T15:27:00Z"/>
          <w:szCs w:val="22"/>
        </w:rPr>
      </w:pPr>
    </w:p>
    <w:p w14:paraId="08E245AC" w14:textId="79466DD4" w:rsidR="00BA7970" w:rsidRPr="00183B5F" w:rsidRDefault="00943743" w:rsidP="004062FE">
      <w:pPr>
        <w:spacing w:line="240" w:lineRule="auto"/>
        <w:rPr>
          <w:del w:id="1845" w:author="AbbVie_HU_03" w:date="2025-05-14T15:27:00Z"/>
          <w:szCs w:val="22"/>
        </w:rPr>
      </w:pPr>
      <w:del w:id="1846" w:author="AbbVie_HU_03" w:date="2025-05-14T15:27:00Z">
        <w:r w:rsidRPr="00183B5F">
          <w:rPr>
            <w:szCs w:val="22"/>
          </w:rPr>
          <w:delText>Az RA </w:delText>
        </w:r>
        <w:r w:rsidR="008063B3" w:rsidRPr="00183B5F">
          <w:rPr>
            <w:szCs w:val="22"/>
          </w:rPr>
          <w:delText xml:space="preserve">V vizsgálat nyílt </w:delText>
        </w:r>
        <w:r w:rsidR="000B7AD3" w:rsidRPr="00183B5F">
          <w:rPr>
            <w:szCs w:val="22"/>
          </w:rPr>
          <w:delText xml:space="preserve">elrendezésű </w:delText>
        </w:r>
        <w:r w:rsidR="008063B3" w:rsidRPr="00183B5F">
          <w:rPr>
            <w:szCs w:val="22"/>
          </w:rPr>
          <w:delText>kiterjesztésé</w:delText>
        </w:r>
        <w:r w:rsidR="000B7AD3" w:rsidRPr="00183B5F">
          <w:rPr>
            <w:szCs w:val="22"/>
          </w:rPr>
          <w:delText>ben</w:delText>
        </w:r>
        <w:r w:rsidR="008063B3" w:rsidRPr="00183B5F">
          <w:rPr>
            <w:szCs w:val="22"/>
          </w:rPr>
          <w:delText xml:space="preserve"> </w:delText>
        </w:r>
        <w:r w:rsidR="006C3095" w:rsidRPr="00183B5F">
          <w:rPr>
            <w:szCs w:val="22"/>
          </w:rPr>
          <w:delText xml:space="preserve">az </w:delText>
        </w:r>
        <w:r w:rsidR="005D174E" w:rsidRPr="00183B5F">
          <w:rPr>
            <w:szCs w:val="22"/>
          </w:rPr>
          <w:delText>ACR-válasz</w:delText>
        </w:r>
        <w:r w:rsidR="000B7AD3" w:rsidRPr="00183B5F">
          <w:rPr>
            <w:szCs w:val="22"/>
          </w:rPr>
          <w:delText xml:space="preserve"> aránya fennmaradt a legfeljebb 10 éves követés alatt</w:delText>
        </w:r>
        <w:r w:rsidR="008063B3" w:rsidRPr="00183B5F">
          <w:rPr>
            <w:szCs w:val="22"/>
          </w:rPr>
          <w:delText xml:space="preserve">. </w:delText>
        </w:r>
        <w:r w:rsidR="00551131" w:rsidRPr="00183B5F">
          <w:rPr>
            <w:szCs w:val="22"/>
          </w:rPr>
          <w:delText xml:space="preserve">Az </w:delText>
        </w:r>
        <w:r w:rsidRPr="00183B5F">
          <w:rPr>
            <w:szCs w:val="22"/>
          </w:rPr>
          <w:delText>542 betegből, akiket 2 </w:delText>
        </w:r>
        <w:r w:rsidR="00551131" w:rsidRPr="00183B5F">
          <w:rPr>
            <w:szCs w:val="22"/>
          </w:rPr>
          <w:delText>hetente 40 mg Hum</w:delText>
        </w:r>
        <w:r w:rsidRPr="00183B5F">
          <w:rPr>
            <w:szCs w:val="22"/>
          </w:rPr>
          <w:delText>ira</w:delText>
        </w:r>
        <w:r w:rsidRPr="00183B5F">
          <w:rPr>
            <w:szCs w:val="22"/>
          </w:rPr>
          <w:noBreakHyphen/>
          <w:delText>ra randomizáltak, 170 </w:delText>
        </w:r>
        <w:r w:rsidR="006C3095" w:rsidRPr="00183B5F">
          <w:rPr>
            <w:szCs w:val="22"/>
          </w:rPr>
          <w:delText>betegnél folytatták</w:delText>
        </w:r>
        <w:r w:rsidR="00551131" w:rsidRPr="00183B5F">
          <w:rPr>
            <w:szCs w:val="22"/>
          </w:rPr>
          <w:delText xml:space="preserve"> a 40 mg Humira</w:delText>
        </w:r>
        <w:r w:rsidR="001A6E66" w:rsidRPr="00183B5F">
          <w:rPr>
            <w:szCs w:val="22"/>
          </w:rPr>
          <w:delText>-</w:delText>
        </w:r>
        <w:r w:rsidR="00551131" w:rsidRPr="00183B5F">
          <w:rPr>
            <w:szCs w:val="22"/>
          </w:rPr>
          <w:delText>kezelést minden 2.</w:delText>
        </w:r>
        <w:r w:rsidRPr="00183B5F">
          <w:rPr>
            <w:szCs w:val="22"/>
          </w:rPr>
          <w:delText> </w:delText>
        </w:r>
        <w:r w:rsidR="00551131" w:rsidRPr="00183B5F">
          <w:rPr>
            <w:szCs w:val="22"/>
          </w:rPr>
          <w:delText>h</w:delText>
        </w:r>
        <w:r w:rsidRPr="00183B5F">
          <w:rPr>
            <w:szCs w:val="22"/>
          </w:rPr>
          <w:delText>éten, 10 </w:delText>
        </w:r>
        <w:r w:rsidR="00551131" w:rsidRPr="00183B5F">
          <w:rPr>
            <w:szCs w:val="22"/>
          </w:rPr>
          <w:delText>éven keresztül</w:delText>
        </w:r>
        <w:r w:rsidR="006C3095" w:rsidRPr="00183B5F">
          <w:rPr>
            <w:szCs w:val="22"/>
          </w:rPr>
          <w:delText xml:space="preserve">. </w:delText>
        </w:r>
        <w:r w:rsidR="000B7AD3" w:rsidRPr="00183B5F">
          <w:rPr>
            <w:szCs w:val="22"/>
          </w:rPr>
          <w:delText>K</w:delText>
        </w:r>
        <w:r w:rsidRPr="00183B5F">
          <w:rPr>
            <w:szCs w:val="22"/>
          </w:rPr>
          <w:delText>özül</w:delText>
        </w:r>
        <w:r w:rsidR="000B7AD3" w:rsidRPr="00183B5F">
          <w:rPr>
            <w:szCs w:val="22"/>
          </w:rPr>
          <w:delText>ük</w:delText>
        </w:r>
        <w:r w:rsidRPr="00183B5F">
          <w:rPr>
            <w:szCs w:val="22"/>
          </w:rPr>
          <w:delText xml:space="preserve"> 154 beteg (90,6%) adott ACR 20 választ, 127 </w:delText>
        </w:r>
        <w:r w:rsidR="006C3095" w:rsidRPr="00183B5F">
          <w:rPr>
            <w:szCs w:val="22"/>
          </w:rPr>
          <w:delText xml:space="preserve">beteg (74,7%) </w:delText>
        </w:r>
        <w:r w:rsidRPr="00183B5F">
          <w:rPr>
            <w:szCs w:val="22"/>
          </w:rPr>
          <w:delText>adott ACR 50 választ és 102 beteg (60,0%) adott ACR 70 választ.</w:delText>
        </w:r>
      </w:del>
    </w:p>
    <w:p w14:paraId="6B9796CC" w14:textId="1DF05694" w:rsidR="00F05063" w:rsidRPr="00183B5F" w:rsidRDefault="00F05063" w:rsidP="004062FE">
      <w:pPr>
        <w:spacing w:line="240" w:lineRule="auto"/>
        <w:rPr>
          <w:del w:id="1847" w:author="AbbVie_HU_03" w:date="2025-05-14T15:27:00Z"/>
          <w:szCs w:val="22"/>
        </w:rPr>
      </w:pPr>
    </w:p>
    <w:p w14:paraId="3180FC9B" w14:textId="36E64903" w:rsidR="00FB6710" w:rsidRPr="00183B5F" w:rsidRDefault="00943743" w:rsidP="004062FE">
      <w:pPr>
        <w:spacing w:line="240" w:lineRule="auto"/>
        <w:rPr>
          <w:del w:id="1848" w:author="AbbVie_HU_03" w:date="2025-05-14T15:27:00Z"/>
          <w:szCs w:val="22"/>
        </w:rPr>
      </w:pPr>
      <w:del w:id="1849" w:author="AbbVie_HU_03" w:date="2025-05-14T15:27:00Z">
        <w:r w:rsidRPr="00183B5F">
          <w:rPr>
            <w:szCs w:val="22"/>
          </w:rPr>
          <w:delText>Az 52.</w:delText>
        </w:r>
        <w:r w:rsidR="00A44DB6" w:rsidRPr="00183B5F">
          <w:rPr>
            <w:szCs w:val="22"/>
          </w:rPr>
          <w:delText> hét</w:delText>
        </w:r>
        <w:r w:rsidRPr="00183B5F">
          <w:rPr>
            <w:szCs w:val="22"/>
          </w:rPr>
          <w:delText>en a Humira/metotrexát kombinációval kezelt betegek 42,9%</w:delText>
        </w:r>
        <w:r w:rsidR="00B8361B" w:rsidRPr="00183B5F">
          <w:rPr>
            <w:szCs w:val="22"/>
          </w:rPr>
          <w:noBreakHyphen/>
        </w:r>
        <w:r w:rsidRPr="00183B5F">
          <w:rPr>
            <w:szCs w:val="22"/>
          </w:rPr>
          <w:delText>a klinikai remisszióba került (DAS28</w:delText>
        </w:r>
        <w:r w:rsidR="00F05063" w:rsidRPr="00183B5F">
          <w:rPr>
            <w:szCs w:val="22"/>
          </w:rPr>
          <w:delText xml:space="preserve"> (CRP)</w:delText>
        </w:r>
        <w:r w:rsidRPr="00183B5F">
          <w:rPr>
            <w:szCs w:val="22"/>
          </w:rPr>
          <w:delText xml:space="preserve"> &lt; 2,6) összehasonlítva a </w:delText>
        </w:r>
        <w:r w:rsidR="001A6E66" w:rsidRPr="00183B5F">
          <w:rPr>
            <w:szCs w:val="22"/>
          </w:rPr>
          <w:delText>metotrexát-mono</w:delText>
        </w:r>
        <w:r w:rsidRPr="00183B5F">
          <w:rPr>
            <w:szCs w:val="22"/>
          </w:rPr>
          <w:delText xml:space="preserve">terápiát kapó 20,6% és </w:delText>
        </w:r>
        <w:r w:rsidR="005C406C" w:rsidRPr="00183B5F">
          <w:rPr>
            <w:szCs w:val="22"/>
          </w:rPr>
          <w:delText>Humira-monoterá</w:delText>
        </w:r>
        <w:r w:rsidRPr="00183B5F">
          <w:rPr>
            <w:szCs w:val="22"/>
          </w:rPr>
          <w:delText xml:space="preserve">piában részesült 23,4% beteggel. A Humira/metotrexát kombinációs terápia klinikailag és statisztikailag jobb volt, mint a metotrexát (p &lt; 0,001) és </w:delText>
        </w:r>
        <w:r w:rsidR="005C406C" w:rsidRPr="00183B5F">
          <w:rPr>
            <w:szCs w:val="22"/>
          </w:rPr>
          <w:delText>Humira-monoterá</w:delText>
        </w:r>
        <w:r w:rsidRPr="00183B5F">
          <w:rPr>
            <w:szCs w:val="22"/>
          </w:rPr>
          <w:delText>pia (p &lt; 0,001) a</w:delText>
        </w:r>
        <w:r w:rsidR="009126D0" w:rsidRPr="00183B5F">
          <w:rPr>
            <w:szCs w:val="22"/>
          </w:rPr>
          <w:delText>z</w:delText>
        </w:r>
        <w:r w:rsidRPr="00183B5F">
          <w:rPr>
            <w:szCs w:val="22"/>
          </w:rPr>
          <w:delText xml:space="preserve"> alacsony betegség</w:delText>
        </w:r>
        <w:r w:rsidR="009126D0" w:rsidRPr="00183B5F">
          <w:rPr>
            <w:szCs w:val="22"/>
          </w:rPr>
          <w:delText>aktivitási</w:delText>
        </w:r>
        <w:r w:rsidRPr="00183B5F">
          <w:rPr>
            <w:szCs w:val="22"/>
          </w:rPr>
          <w:delText xml:space="preserve"> szint </w:delText>
        </w:r>
        <w:r w:rsidR="009126D0" w:rsidRPr="00183B5F">
          <w:rPr>
            <w:szCs w:val="22"/>
          </w:rPr>
          <w:delText xml:space="preserve">elérése tekintetében, </w:delText>
        </w:r>
        <w:r w:rsidRPr="00183B5F">
          <w:rPr>
            <w:szCs w:val="22"/>
          </w:rPr>
          <w:delText xml:space="preserve">amennyiben korai </w:delText>
        </w:r>
        <w:r w:rsidR="00903BD3" w:rsidRPr="00183B5F">
          <w:rPr>
            <w:szCs w:val="22"/>
          </w:rPr>
          <w:delText xml:space="preserve">közepesen súlyos </w:delText>
        </w:r>
        <w:r w:rsidR="002C1F5C" w:rsidRPr="00183B5F">
          <w:rPr>
            <w:szCs w:val="22"/>
          </w:rPr>
          <w:delText>–</w:delText>
        </w:r>
        <w:r w:rsidR="00903BD3" w:rsidRPr="00183B5F">
          <w:rPr>
            <w:szCs w:val="22"/>
          </w:rPr>
          <w:delText xml:space="preserve"> </w:delText>
        </w:r>
        <w:r w:rsidRPr="00183B5F">
          <w:rPr>
            <w:szCs w:val="22"/>
          </w:rPr>
          <w:delText>súlyos rheumatoid arthritisük volt. A két monoterápiás karon kapott válasz hasonló volt (p = 0,447).</w:delText>
        </w:r>
        <w:r w:rsidR="00C62D9D" w:rsidRPr="00183B5F">
          <w:rPr>
            <w:szCs w:val="22"/>
          </w:rPr>
          <w:delText xml:space="preserve"> Az eredetileg </w:delText>
        </w:r>
        <w:r w:rsidR="005C406C" w:rsidRPr="00183B5F">
          <w:rPr>
            <w:szCs w:val="22"/>
          </w:rPr>
          <w:delText>Humira-monoterá</w:delText>
        </w:r>
        <w:r w:rsidR="00C62D9D" w:rsidRPr="00183B5F">
          <w:rPr>
            <w:szCs w:val="22"/>
          </w:rPr>
          <w:delText>piára vagy Humira/methotrexát kombinációra randomizált 342 beteg közül, akik beléptek a nyílt kiterjesztés</w:delText>
        </w:r>
        <w:r w:rsidR="001D17B2" w:rsidRPr="00183B5F">
          <w:rPr>
            <w:szCs w:val="22"/>
          </w:rPr>
          <w:delText>es</w:delText>
        </w:r>
        <w:r w:rsidR="00C62D9D" w:rsidRPr="00183B5F">
          <w:rPr>
            <w:szCs w:val="22"/>
          </w:rPr>
          <w:delText xml:space="preserve"> vizsgálatba, 171 beteg fejezte be a 10 éves Humira</w:delText>
        </w:r>
        <w:r w:rsidR="00D646B9" w:rsidRPr="00183B5F">
          <w:rPr>
            <w:szCs w:val="22"/>
          </w:rPr>
          <w:delText>-</w:delText>
        </w:r>
        <w:r w:rsidR="00C62D9D" w:rsidRPr="00183B5F">
          <w:rPr>
            <w:szCs w:val="22"/>
          </w:rPr>
          <w:delText xml:space="preserve">kezelést. </w:delText>
        </w:r>
        <w:r w:rsidR="001D17B2" w:rsidRPr="00183B5F">
          <w:rPr>
            <w:szCs w:val="22"/>
          </w:rPr>
          <w:delText>K</w:delText>
        </w:r>
        <w:r w:rsidR="00C62D9D" w:rsidRPr="00183B5F">
          <w:rPr>
            <w:szCs w:val="22"/>
          </w:rPr>
          <w:delText>özül</w:delText>
        </w:r>
        <w:r w:rsidR="001D17B2" w:rsidRPr="00183B5F">
          <w:rPr>
            <w:szCs w:val="22"/>
          </w:rPr>
          <w:delText>ük</w:delText>
        </w:r>
        <w:r w:rsidR="00C62D9D" w:rsidRPr="00183B5F">
          <w:rPr>
            <w:szCs w:val="22"/>
          </w:rPr>
          <w:delText xml:space="preserve"> 109 beteg (63,7%) került remisszióba a 10 év alatt.</w:delText>
        </w:r>
      </w:del>
    </w:p>
    <w:p w14:paraId="3C67A0BF" w14:textId="3B8BBE13" w:rsidR="00FB6710" w:rsidRPr="00183B5F" w:rsidRDefault="00FB6710" w:rsidP="004062FE">
      <w:pPr>
        <w:spacing w:line="240" w:lineRule="auto"/>
        <w:rPr>
          <w:del w:id="1850" w:author="AbbVie_HU_03" w:date="2025-05-14T15:27:00Z"/>
          <w:szCs w:val="22"/>
        </w:rPr>
      </w:pPr>
    </w:p>
    <w:p w14:paraId="6E8EA270" w14:textId="704779B6" w:rsidR="00FB6710" w:rsidRPr="00183B5F" w:rsidRDefault="00943743" w:rsidP="004062FE">
      <w:pPr>
        <w:spacing w:line="240" w:lineRule="auto"/>
        <w:rPr>
          <w:del w:id="1851" w:author="AbbVie_HU_03" w:date="2025-05-14T15:27:00Z"/>
          <w:i/>
          <w:szCs w:val="22"/>
          <w:u w:val="single"/>
        </w:rPr>
      </w:pPr>
      <w:del w:id="1852" w:author="AbbVie_HU_03" w:date="2025-05-14T15:27:00Z">
        <w:r w:rsidRPr="00183B5F">
          <w:rPr>
            <w:i/>
            <w:szCs w:val="22"/>
            <w:u w:val="single"/>
          </w:rPr>
          <w:delText>Radiológiai válasz</w:delText>
        </w:r>
      </w:del>
    </w:p>
    <w:p w14:paraId="70FAA7D5" w14:textId="01153F85" w:rsidR="00FB6710" w:rsidRPr="00183B5F" w:rsidRDefault="00FB6710" w:rsidP="004062FE">
      <w:pPr>
        <w:spacing w:line="240" w:lineRule="auto"/>
        <w:rPr>
          <w:del w:id="1853" w:author="AbbVie_HU_03" w:date="2025-05-14T15:27:00Z"/>
          <w:szCs w:val="22"/>
        </w:rPr>
      </w:pPr>
    </w:p>
    <w:p w14:paraId="5B058E0A" w14:textId="4B261297" w:rsidR="00D96353" w:rsidRPr="00183B5F" w:rsidRDefault="00943743" w:rsidP="004062FE">
      <w:pPr>
        <w:spacing w:line="240" w:lineRule="auto"/>
        <w:rPr>
          <w:del w:id="1854" w:author="AbbVie_HU_03" w:date="2025-05-14T15:27:00Z"/>
          <w:szCs w:val="22"/>
        </w:rPr>
      </w:pPr>
      <w:del w:id="1855" w:author="AbbVie_HU_03" w:date="2025-05-14T15:27:00Z">
        <w:r w:rsidRPr="00183B5F">
          <w:rPr>
            <w:szCs w:val="22"/>
          </w:rPr>
          <w:delText>Az RA</w:delText>
        </w:r>
        <w:r w:rsidR="00B8361B" w:rsidRPr="00183B5F">
          <w:rPr>
            <w:szCs w:val="22"/>
          </w:rPr>
          <w:delText> </w:delText>
        </w:r>
        <w:r w:rsidRPr="00183B5F">
          <w:rPr>
            <w:szCs w:val="22"/>
          </w:rPr>
          <w:delText>III vizsgálatban, amelyben a Humira</w:delText>
        </w:r>
        <w:r w:rsidR="00B8361B" w:rsidRPr="00183B5F">
          <w:rPr>
            <w:szCs w:val="22"/>
          </w:rPr>
          <w:noBreakHyphen/>
        </w:r>
        <w:r w:rsidRPr="00183B5F">
          <w:rPr>
            <w:szCs w:val="22"/>
          </w:rPr>
          <w:delText>val kezelt betegek rheumatoid arthritise átlagosan 11</w:delText>
        </w:r>
        <w:r w:rsidR="00776939" w:rsidRPr="00183B5F">
          <w:rPr>
            <w:szCs w:val="22"/>
          </w:rPr>
          <w:delText> </w:delText>
        </w:r>
        <w:r w:rsidRPr="00183B5F">
          <w:rPr>
            <w:szCs w:val="22"/>
          </w:rPr>
          <w:delText xml:space="preserve">éve </w:delText>
        </w:r>
        <w:r w:rsidR="009126D0" w:rsidRPr="00183B5F">
          <w:rPr>
            <w:szCs w:val="22"/>
          </w:rPr>
          <w:delText xml:space="preserve">állt </w:delText>
        </w:r>
        <w:r w:rsidRPr="00183B5F">
          <w:rPr>
            <w:szCs w:val="22"/>
          </w:rPr>
          <w:delText>fenn, az ízületek szerkezeti károsodását radiológiailag értékelték és a változást módosított teljes Sharp</w:delText>
        </w:r>
        <w:r w:rsidR="00117647" w:rsidRPr="00183B5F">
          <w:rPr>
            <w:szCs w:val="22"/>
          </w:rPr>
          <w:delText>-</w:delText>
        </w:r>
        <w:r w:rsidRPr="00183B5F">
          <w:rPr>
            <w:szCs w:val="22"/>
          </w:rPr>
          <w:delText>pontértékkel (Total Sharp Score, TSS) és összetevőivel</w:delText>
        </w:r>
        <w:r w:rsidR="009126D0" w:rsidRPr="00183B5F">
          <w:rPr>
            <w:szCs w:val="22"/>
          </w:rPr>
          <w:delText>,</w:delText>
        </w:r>
        <w:r w:rsidRPr="00183B5F">
          <w:rPr>
            <w:szCs w:val="22"/>
          </w:rPr>
          <w:delText xml:space="preserve"> az eróziós pontértékkel és az ízületi rés beszűkülésének pontértékével fejezték ki. Humira</w:delText>
        </w:r>
        <w:r w:rsidR="00B8361B" w:rsidRPr="00183B5F">
          <w:rPr>
            <w:szCs w:val="22"/>
          </w:rPr>
          <w:noBreakHyphen/>
        </w:r>
        <w:r w:rsidRPr="00183B5F">
          <w:rPr>
            <w:szCs w:val="22"/>
          </w:rPr>
          <w:delText>val/metotrexáttal kezelt betegeknél szignifikánsan kisebb mértékű radiológiai progressziót mutattak ki</w:delText>
        </w:r>
        <w:r w:rsidR="009126D0" w:rsidRPr="00183B5F">
          <w:rPr>
            <w:szCs w:val="22"/>
          </w:rPr>
          <w:delText xml:space="preserve"> </w:delText>
        </w:r>
        <w:r w:rsidRPr="00183B5F">
          <w:rPr>
            <w:szCs w:val="22"/>
          </w:rPr>
          <w:delText>a 6</w:delText>
        </w:r>
        <w:r w:rsidR="009126D0" w:rsidRPr="00183B5F">
          <w:rPr>
            <w:szCs w:val="22"/>
          </w:rPr>
          <w:delText>.</w:delText>
        </w:r>
        <w:r w:rsidRPr="00183B5F">
          <w:rPr>
            <w:szCs w:val="22"/>
          </w:rPr>
          <w:delText xml:space="preserve"> és 12</w:delText>
        </w:r>
        <w:r w:rsidR="009126D0" w:rsidRPr="00183B5F">
          <w:rPr>
            <w:szCs w:val="22"/>
          </w:rPr>
          <w:delText>.</w:delText>
        </w:r>
        <w:r w:rsidR="00B32F77" w:rsidRPr="00183B5F">
          <w:rPr>
            <w:szCs w:val="22"/>
          </w:rPr>
          <w:delText> </w:delText>
        </w:r>
        <w:r w:rsidRPr="00183B5F">
          <w:rPr>
            <w:szCs w:val="22"/>
          </w:rPr>
          <w:delText>hónap</w:delText>
        </w:r>
        <w:r w:rsidR="009126D0" w:rsidRPr="00183B5F">
          <w:rPr>
            <w:szCs w:val="22"/>
          </w:rPr>
          <w:delText>ban, mint a</w:delText>
        </w:r>
        <w:r w:rsidRPr="00183B5F">
          <w:rPr>
            <w:szCs w:val="22"/>
          </w:rPr>
          <w:delText xml:space="preserve"> csak metotrexáttal kezelt b</w:delText>
        </w:r>
        <w:r w:rsidRPr="00183B5F">
          <w:rPr>
            <w:szCs w:val="22"/>
          </w:rPr>
          <w:delText>etegeknél (lásd</w:delText>
        </w:r>
        <w:r w:rsidRPr="00183B5F">
          <w:rPr>
            <w:i/>
            <w:iCs/>
            <w:szCs w:val="22"/>
          </w:rPr>
          <w:delText xml:space="preserve"> </w:delText>
        </w:r>
        <w:r w:rsidR="008E0A9B" w:rsidRPr="00183B5F">
          <w:rPr>
            <w:szCs w:val="22"/>
          </w:rPr>
          <w:delText>10</w:delText>
        </w:r>
        <w:r w:rsidRPr="00183B5F">
          <w:rPr>
            <w:szCs w:val="22"/>
          </w:rPr>
          <w:delText>.</w:delText>
        </w:r>
        <w:r w:rsidR="009821E7" w:rsidRPr="00183B5F">
          <w:rPr>
            <w:szCs w:val="22"/>
          </w:rPr>
          <w:delText> </w:delText>
        </w:r>
        <w:r w:rsidRPr="00183B5F">
          <w:rPr>
            <w:szCs w:val="22"/>
          </w:rPr>
          <w:delText>táblázat).</w:delText>
        </w:r>
      </w:del>
    </w:p>
    <w:p w14:paraId="7F26F29E" w14:textId="0EA3F56A" w:rsidR="00D96353" w:rsidRPr="00183B5F" w:rsidRDefault="00D96353" w:rsidP="004062FE">
      <w:pPr>
        <w:spacing w:line="240" w:lineRule="auto"/>
        <w:rPr>
          <w:del w:id="1856" w:author="AbbVie_HU_03" w:date="2025-05-14T15:27:00Z"/>
          <w:szCs w:val="22"/>
        </w:rPr>
      </w:pPr>
    </w:p>
    <w:p w14:paraId="14368133" w14:textId="2E2297E6" w:rsidR="00FB6710" w:rsidRPr="00183B5F" w:rsidRDefault="00943743" w:rsidP="004062FE">
      <w:pPr>
        <w:spacing w:line="240" w:lineRule="auto"/>
        <w:rPr>
          <w:del w:id="1857" w:author="AbbVie_HU_03" w:date="2025-05-14T15:27:00Z"/>
          <w:szCs w:val="22"/>
        </w:rPr>
      </w:pPr>
      <w:del w:id="1858" w:author="AbbVie_HU_03" w:date="2025-05-14T15:27:00Z">
        <w:r w:rsidRPr="00183B5F">
          <w:rPr>
            <w:szCs w:val="22"/>
          </w:rPr>
          <w:delText>A</w:delText>
        </w:r>
        <w:r w:rsidR="00C27071" w:rsidRPr="00183B5F">
          <w:rPr>
            <w:szCs w:val="22"/>
          </w:rPr>
          <w:delText>z RA</w:delText>
        </w:r>
        <w:r w:rsidR="00B8361B" w:rsidRPr="00183B5F">
          <w:rPr>
            <w:szCs w:val="22"/>
          </w:rPr>
          <w:delText> </w:delText>
        </w:r>
        <w:r w:rsidR="00C27071" w:rsidRPr="00183B5F">
          <w:rPr>
            <w:szCs w:val="22"/>
          </w:rPr>
          <w:delText>III vizsgálat</w:delText>
        </w:r>
        <w:r w:rsidRPr="00183B5F">
          <w:rPr>
            <w:szCs w:val="22"/>
          </w:rPr>
          <w:delText xml:space="preserve"> nyílt, kiterjesztett fázis</w:delText>
        </w:r>
        <w:r w:rsidR="00C27071" w:rsidRPr="00183B5F">
          <w:rPr>
            <w:szCs w:val="22"/>
          </w:rPr>
          <w:delText>ában</w:delText>
        </w:r>
        <w:r w:rsidRPr="00183B5F">
          <w:rPr>
            <w:szCs w:val="22"/>
          </w:rPr>
          <w:delText xml:space="preserve"> a strukturális károsodás progressziójának csökkent mértéke </w:delText>
        </w:r>
        <w:r w:rsidR="00D96353" w:rsidRPr="00183B5F">
          <w:rPr>
            <w:szCs w:val="22"/>
          </w:rPr>
          <w:delText>8 és 10</w:delText>
        </w:r>
        <w:r w:rsidR="00331329" w:rsidRPr="00183B5F">
          <w:rPr>
            <w:szCs w:val="22"/>
          </w:rPr>
          <w:delText> </w:delText>
        </w:r>
        <w:r w:rsidR="00D96353" w:rsidRPr="00183B5F">
          <w:rPr>
            <w:szCs w:val="22"/>
          </w:rPr>
          <w:delText>évig</w:delText>
        </w:r>
        <w:r w:rsidRPr="00183B5F">
          <w:rPr>
            <w:szCs w:val="22"/>
          </w:rPr>
          <w:delText xml:space="preserve"> fenntartható a betegek egy részénél. Az eredetileg minden második héten 40 mg Humira-val kezelt 207</w:delText>
        </w:r>
        <w:r w:rsidR="003B1EA1" w:rsidRPr="00183B5F">
          <w:rPr>
            <w:szCs w:val="22"/>
          </w:rPr>
          <w:delText> </w:delText>
        </w:r>
        <w:r w:rsidRPr="00183B5F">
          <w:rPr>
            <w:szCs w:val="22"/>
          </w:rPr>
          <w:delText xml:space="preserve">beteg közül </w:delText>
        </w:r>
        <w:r w:rsidR="00D96353" w:rsidRPr="00183B5F">
          <w:rPr>
            <w:szCs w:val="22"/>
          </w:rPr>
          <w:delText>81</w:delText>
        </w:r>
        <w:r w:rsidR="00B8361B" w:rsidRPr="00183B5F">
          <w:rPr>
            <w:szCs w:val="22"/>
          </w:rPr>
          <w:noBreakHyphen/>
        </w:r>
        <w:r w:rsidR="00D96353" w:rsidRPr="00183B5F">
          <w:rPr>
            <w:szCs w:val="22"/>
          </w:rPr>
          <w:delText>et</w:delText>
        </w:r>
        <w:r w:rsidRPr="00183B5F">
          <w:rPr>
            <w:szCs w:val="22"/>
          </w:rPr>
          <w:delText xml:space="preserve"> értékeltek radiológiailag a </w:delText>
        </w:r>
        <w:r w:rsidR="00D96353" w:rsidRPr="00183B5F">
          <w:rPr>
            <w:szCs w:val="22"/>
          </w:rPr>
          <w:delText>8</w:delText>
        </w:r>
        <w:r w:rsidRPr="00183B5F">
          <w:rPr>
            <w:szCs w:val="22"/>
          </w:rPr>
          <w:delText>.</w:delText>
        </w:r>
        <w:r w:rsidR="00331329" w:rsidRPr="00183B5F">
          <w:rPr>
            <w:szCs w:val="22"/>
          </w:rPr>
          <w:delText> </w:delText>
        </w:r>
        <w:r w:rsidRPr="00183B5F">
          <w:rPr>
            <w:szCs w:val="22"/>
          </w:rPr>
          <w:delText>év</w:delText>
        </w:r>
        <w:r w:rsidR="009126D0" w:rsidRPr="00183B5F">
          <w:rPr>
            <w:szCs w:val="22"/>
          </w:rPr>
          <w:delText>ben</w:delText>
        </w:r>
        <w:r w:rsidRPr="00183B5F">
          <w:rPr>
            <w:szCs w:val="22"/>
          </w:rPr>
          <w:delText xml:space="preserve">. Közülük </w:delText>
        </w:r>
        <w:r w:rsidR="00D96353" w:rsidRPr="00183B5F">
          <w:rPr>
            <w:szCs w:val="22"/>
          </w:rPr>
          <w:delText>48</w:delText>
        </w:r>
        <w:r w:rsidR="00331329" w:rsidRPr="00183B5F">
          <w:rPr>
            <w:szCs w:val="22"/>
          </w:rPr>
          <w:delText> </w:delText>
        </w:r>
        <w:r w:rsidRPr="00183B5F">
          <w:rPr>
            <w:szCs w:val="22"/>
          </w:rPr>
          <w:delText>betegnél nem észlelték a strukturális károsodás progresszióját, melynek definíciója a Teljes Sharp</w:delText>
        </w:r>
        <w:r w:rsidR="00117647" w:rsidRPr="00183B5F">
          <w:rPr>
            <w:szCs w:val="22"/>
          </w:rPr>
          <w:delText>-</w:delText>
        </w:r>
        <w:r w:rsidRPr="00183B5F">
          <w:rPr>
            <w:szCs w:val="22"/>
          </w:rPr>
          <w:delText>pontértékben bekövetkezett 0</w:delText>
        </w:r>
        <w:r w:rsidR="00D96353" w:rsidRPr="00183B5F">
          <w:rPr>
            <w:szCs w:val="22"/>
          </w:rPr>
          <w:delText>,5</w:delText>
        </w:r>
        <w:r w:rsidRPr="00183B5F">
          <w:rPr>
            <w:szCs w:val="22"/>
          </w:rPr>
          <w:delText xml:space="preserve"> vagy még alacsonyabb változás volt</w:delText>
        </w:r>
        <w:r w:rsidR="00D96353" w:rsidRPr="00183B5F">
          <w:rPr>
            <w:szCs w:val="22"/>
          </w:rPr>
          <w:delText xml:space="preserve"> a kiindulási értékhez képest</w:delText>
        </w:r>
        <w:r w:rsidRPr="00183B5F">
          <w:rPr>
            <w:szCs w:val="22"/>
          </w:rPr>
          <w:delText>.</w:delText>
        </w:r>
        <w:r w:rsidR="00D96353" w:rsidRPr="00183B5F">
          <w:rPr>
            <w:szCs w:val="22"/>
          </w:rPr>
          <w:delText xml:space="preserve"> Az eredetileg minden második héten 40 mg Humira</w:delText>
        </w:r>
        <w:r w:rsidR="005A4B87" w:rsidRPr="00183B5F">
          <w:rPr>
            <w:szCs w:val="22"/>
          </w:rPr>
          <w:noBreakHyphen/>
        </w:r>
        <w:r w:rsidR="00D96353" w:rsidRPr="00183B5F">
          <w:rPr>
            <w:szCs w:val="22"/>
          </w:rPr>
          <w:delText>val kezelt 207</w:delText>
        </w:r>
        <w:r w:rsidR="005A4B87" w:rsidRPr="00183B5F">
          <w:rPr>
            <w:szCs w:val="22"/>
          </w:rPr>
          <w:delText> </w:delText>
        </w:r>
        <w:r w:rsidR="00D96353" w:rsidRPr="00183B5F">
          <w:rPr>
            <w:szCs w:val="22"/>
          </w:rPr>
          <w:delText>beteg közül 79</w:delText>
        </w:r>
        <w:r w:rsidR="005A4B87" w:rsidRPr="00183B5F">
          <w:rPr>
            <w:szCs w:val="22"/>
          </w:rPr>
          <w:noBreakHyphen/>
        </w:r>
        <w:r w:rsidR="00D96353" w:rsidRPr="00183B5F">
          <w:rPr>
            <w:szCs w:val="22"/>
          </w:rPr>
          <w:delText>et értékeltek radiológiailag a 10.</w:delText>
        </w:r>
        <w:r w:rsidR="00331329" w:rsidRPr="00183B5F">
          <w:rPr>
            <w:szCs w:val="22"/>
          </w:rPr>
          <w:delText> </w:delText>
        </w:r>
        <w:r w:rsidR="00D96353" w:rsidRPr="00183B5F">
          <w:rPr>
            <w:szCs w:val="22"/>
          </w:rPr>
          <w:delText>évben. Közülük 40</w:delText>
        </w:r>
        <w:r w:rsidR="005A4B87" w:rsidRPr="00183B5F">
          <w:rPr>
            <w:szCs w:val="22"/>
          </w:rPr>
          <w:delText> </w:delText>
        </w:r>
        <w:r w:rsidR="00D96353" w:rsidRPr="00183B5F">
          <w:rPr>
            <w:szCs w:val="22"/>
          </w:rPr>
          <w:delText>betegnél nem észlelték a strukturális károsodás progresszióját, melynek definíciója a Teljes Sharp</w:delText>
        </w:r>
        <w:r w:rsidR="00117647" w:rsidRPr="00183B5F">
          <w:rPr>
            <w:szCs w:val="22"/>
          </w:rPr>
          <w:delText>-</w:delText>
        </w:r>
        <w:r w:rsidR="00D96353" w:rsidRPr="00183B5F">
          <w:rPr>
            <w:szCs w:val="22"/>
          </w:rPr>
          <w:delText xml:space="preserve">pontértékben bekövetkezett 0,5 vagy </w:delText>
        </w:r>
        <w:r w:rsidR="000F3502" w:rsidRPr="00183B5F">
          <w:rPr>
            <w:szCs w:val="22"/>
          </w:rPr>
          <w:delText>ennél</w:delText>
        </w:r>
        <w:r w:rsidR="00D96353" w:rsidRPr="00183B5F">
          <w:rPr>
            <w:szCs w:val="22"/>
          </w:rPr>
          <w:delText xml:space="preserve"> alacsonyabb változás volt a kiindulási értékhez képest.</w:delText>
        </w:r>
      </w:del>
    </w:p>
    <w:p w14:paraId="0A07474A" w14:textId="002A1F6F" w:rsidR="00233C2E" w:rsidRPr="00183B5F" w:rsidRDefault="00233C2E" w:rsidP="004062FE">
      <w:pPr>
        <w:pStyle w:val="EndnoteText"/>
        <w:tabs>
          <w:tab w:val="clear" w:pos="567"/>
        </w:tabs>
        <w:suppressAutoHyphens/>
        <w:rPr>
          <w:del w:id="1859" w:author="AbbVie_HU_03" w:date="2025-05-14T15:27:00Z"/>
          <w:sz w:val="22"/>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430"/>
        <w:gridCol w:w="1790"/>
        <w:gridCol w:w="2000"/>
        <w:gridCol w:w="1548"/>
      </w:tblGrid>
      <w:tr w:rsidR="00011D2F" w14:paraId="4077418D" w14:textId="59B4FCD7">
        <w:trPr>
          <w:cantSplit/>
          <w:del w:id="1860" w:author="AbbVie_HU_03" w:date="2025-05-14T15:27:00Z"/>
        </w:trPr>
        <w:tc>
          <w:tcPr>
            <w:tcW w:w="8856" w:type="dxa"/>
            <w:gridSpan w:val="5"/>
            <w:tcBorders>
              <w:top w:val="nil"/>
              <w:left w:val="nil"/>
              <w:right w:val="nil"/>
            </w:tcBorders>
          </w:tcPr>
          <w:p w14:paraId="5446997B" w14:textId="165B6EB4" w:rsidR="00E74050" w:rsidRPr="00183B5F" w:rsidRDefault="00943743" w:rsidP="004062FE">
            <w:pPr>
              <w:pStyle w:val="EndnoteText"/>
              <w:keepNext/>
              <w:tabs>
                <w:tab w:val="clear" w:pos="567"/>
              </w:tabs>
              <w:suppressAutoHyphens/>
              <w:jc w:val="center"/>
              <w:rPr>
                <w:del w:id="1861" w:author="AbbVie_HU_03" w:date="2025-05-14T15:27:00Z"/>
                <w:b/>
                <w:bCs/>
                <w:sz w:val="22"/>
                <w:szCs w:val="22"/>
                <w:lang w:val="hu-HU" w:eastAsia="hu-HU"/>
              </w:rPr>
            </w:pPr>
            <w:del w:id="1862" w:author="AbbVie_HU_03" w:date="2025-05-14T15:27:00Z">
              <w:r w:rsidRPr="00183B5F">
                <w:rPr>
                  <w:b/>
                  <w:bCs/>
                  <w:sz w:val="22"/>
                  <w:szCs w:val="22"/>
                  <w:lang w:val="hu-HU" w:eastAsia="hu-HU"/>
                </w:rPr>
                <w:delText>10</w:delText>
              </w:r>
              <w:r w:rsidR="00142F6B" w:rsidRPr="00183B5F">
                <w:rPr>
                  <w:b/>
                  <w:bCs/>
                  <w:sz w:val="22"/>
                  <w:szCs w:val="22"/>
                  <w:lang w:val="hu-HU" w:eastAsia="hu-HU"/>
                </w:rPr>
                <w:delText>.</w:delText>
              </w:r>
              <w:r w:rsidR="00AD3595" w:rsidRPr="00183B5F">
                <w:rPr>
                  <w:b/>
                  <w:bCs/>
                  <w:sz w:val="22"/>
                  <w:szCs w:val="22"/>
                  <w:lang w:val="hu-HU" w:eastAsia="hu-HU"/>
                </w:rPr>
                <w:delText> </w:delText>
              </w:r>
              <w:r w:rsidR="00142F6B" w:rsidRPr="00183B5F">
                <w:rPr>
                  <w:b/>
                  <w:bCs/>
                  <w:sz w:val="22"/>
                  <w:szCs w:val="22"/>
                  <w:lang w:val="hu-HU" w:eastAsia="hu-HU"/>
                </w:rPr>
                <w:delText>táblázat</w:delText>
              </w:r>
            </w:del>
          </w:p>
          <w:p w14:paraId="337AD4FB" w14:textId="5AF03F0A" w:rsidR="00142F6B" w:rsidRPr="00183B5F" w:rsidRDefault="00943743" w:rsidP="004062FE">
            <w:pPr>
              <w:pStyle w:val="EndnoteText"/>
              <w:keepNext/>
              <w:tabs>
                <w:tab w:val="clear" w:pos="567"/>
              </w:tabs>
              <w:suppressAutoHyphens/>
              <w:jc w:val="center"/>
              <w:rPr>
                <w:del w:id="1863" w:author="AbbVie_HU_03" w:date="2025-05-14T15:27:00Z"/>
                <w:b/>
                <w:bCs/>
                <w:strike/>
                <w:sz w:val="22"/>
                <w:szCs w:val="22"/>
                <w:lang w:val="hu-HU" w:eastAsia="hu-HU"/>
              </w:rPr>
            </w:pPr>
            <w:del w:id="1864" w:author="AbbVie_HU_03" w:date="2025-05-14T15:27:00Z">
              <w:r w:rsidRPr="00183B5F">
                <w:rPr>
                  <w:b/>
                  <w:bCs/>
                  <w:sz w:val="22"/>
                  <w:szCs w:val="22"/>
                  <w:lang w:val="hu-HU" w:eastAsia="hu-HU"/>
                </w:rPr>
                <w:delText>Az RA</w:delText>
              </w:r>
              <w:r w:rsidR="005A4B87" w:rsidRPr="00183B5F">
                <w:rPr>
                  <w:b/>
                  <w:bCs/>
                  <w:sz w:val="22"/>
                  <w:szCs w:val="22"/>
                  <w:lang w:val="hu-HU" w:eastAsia="hu-HU"/>
                </w:rPr>
                <w:delText> </w:delText>
              </w:r>
              <w:r w:rsidRPr="00183B5F">
                <w:rPr>
                  <w:b/>
                  <w:bCs/>
                  <w:sz w:val="22"/>
                  <w:szCs w:val="22"/>
                  <w:lang w:val="hu-HU" w:eastAsia="hu-HU"/>
                </w:rPr>
                <w:delText>III vizsgálatban észlelt radiológiai változások átlaga 12</w:delText>
              </w:r>
              <w:r w:rsidR="005A4B87" w:rsidRPr="00183B5F">
                <w:rPr>
                  <w:b/>
                  <w:bCs/>
                  <w:sz w:val="22"/>
                  <w:szCs w:val="22"/>
                  <w:lang w:val="hu-HU" w:eastAsia="hu-HU"/>
                </w:rPr>
                <w:delText> </w:delText>
              </w:r>
              <w:r w:rsidRPr="00183B5F">
                <w:rPr>
                  <w:b/>
                  <w:bCs/>
                  <w:sz w:val="22"/>
                  <w:szCs w:val="22"/>
                  <w:lang w:val="hu-HU" w:eastAsia="hu-HU"/>
                </w:rPr>
                <w:delText>hónapot követően</w:delText>
              </w:r>
            </w:del>
          </w:p>
          <w:p w14:paraId="0A497E19" w14:textId="4DAF50A1" w:rsidR="00142F6B" w:rsidRPr="00183B5F" w:rsidRDefault="00142F6B" w:rsidP="004062FE">
            <w:pPr>
              <w:keepNext/>
              <w:spacing w:line="240" w:lineRule="auto"/>
              <w:jc w:val="center"/>
              <w:rPr>
                <w:del w:id="1865" w:author="AbbVie_HU_03" w:date="2025-05-14T15:27:00Z"/>
                <w:b/>
                <w:bCs/>
                <w:szCs w:val="22"/>
              </w:rPr>
            </w:pPr>
          </w:p>
        </w:tc>
      </w:tr>
      <w:tr w:rsidR="00011D2F" w14:paraId="7700B618" w14:textId="3E9076AE">
        <w:trPr>
          <w:del w:id="1866" w:author="AbbVie_HU_03" w:date="2025-05-14T15:27:00Z"/>
        </w:trPr>
        <w:tc>
          <w:tcPr>
            <w:tcW w:w="2088" w:type="dxa"/>
          </w:tcPr>
          <w:p w14:paraId="3A1A881A" w14:textId="0F54A178" w:rsidR="00142F6B" w:rsidRPr="00183B5F" w:rsidRDefault="00142F6B" w:rsidP="004062FE">
            <w:pPr>
              <w:keepNext/>
              <w:spacing w:line="240" w:lineRule="auto"/>
              <w:jc w:val="center"/>
              <w:rPr>
                <w:del w:id="1867" w:author="AbbVie_HU_03" w:date="2025-05-14T15:27:00Z"/>
                <w:szCs w:val="22"/>
              </w:rPr>
            </w:pPr>
          </w:p>
        </w:tc>
        <w:tc>
          <w:tcPr>
            <w:tcW w:w="1430" w:type="dxa"/>
          </w:tcPr>
          <w:p w14:paraId="26E42B08" w14:textId="285BAABF" w:rsidR="00142F6B" w:rsidRPr="00183B5F" w:rsidRDefault="00943743" w:rsidP="004062FE">
            <w:pPr>
              <w:keepNext/>
              <w:spacing w:line="240" w:lineRule="auto"/>
              <w:rPr>
                <w:del w:id="1868" w:author="AbbVie_HU_03" w:date="2025-05-14T15:27:00Z"/>
                <w:szCs w:val="22"/>
              </w:rPr>
            </w:pPr>
            <w:del w:id="1869" w:author="AbbVie_HU_03" w:date="2025-05-14T15:27:00Z">
              <w:r w:rsidRPr="00183B5F">
                <w:rPr>
                  <w:szCs w:val="22"/>
                </w:rPr>
                <w:delText>Placebo/</w:delText>
              </w:r>
            </w:del>
          </w:p>
          <w:p w14:paraId="1A53A6BA" w14:textId="49F22EA5" w:rsidR="00142F6B" w:rsidRPr="00183B5F" w:rsidRDefault="00943743" w:rsidP="004062FE">
            <w:pPr>
              <w:keepNext/>
              <w:spacing w:line="240" w:lineRule="auto"/>
              <w:rPr>
                <w:del w:id="1870" w:author="AbbVie_HU_03" w:date="2025-05-14T15:27:00Z"/>
                <w:szCs w:val="22"/>
                <w:vertAlign w:val="superscript"/>
              </w:rPr>
            </w:pPr>
            <w:del w:id="1871" w:author="AbbVie_HU_03" w:date="2025-05-14T15:27:00Z">
              <w:r w:rsidRPr="00183B5F">
                <w:rPr>
                  <w:szCs w:val="22"/>
                </w:rPr>
                <w:delText>MTX</w:delText>
              </w:r>
              <w:r w:rsidRPr="00183B5F">
                <w:rPr>
                  <w:szCs w:val="22"/>
                  <w:vertAlign w:val="superscript"/>
                </w:rPr>
                <w:delText>a</w:delText>
              </w:r>
            </w:del>
          </w:p>
        </w:tc>
        <w:tc>
          <w:tcPr>
            <w:tcW w:w="1790" w:type="dxa"/>
          </w:tcPr>
          <w:p w14:paraId="162FF8BA" w14:textId="3B7F8FA5" w:rsidR="00142F6B" w:rsidRPr="00183B5F" w:rsidRDefault="00943743" w:rsidP="004062FE">
            <w:pPr>
              <w:keepNext/>
              <w:spacing w:line="240" w:lineRule="auto"/>
              <w:jc w:val="center"/>
              <w:rPr>
                <w:del w:id="1872" w:author="AbbVie_HU_03" w:date="2025-05-14T15:27:00Z"/>
                <w:szCs w:val="22"/>
              </w:rPr>
            </w:pPr>
            <w:del w:id="1873" w:author="AbbVie_HU_03" w:date="2025-05-14T15:27:00Z">
              <w:r w:rsidRPr="00183B5F">
                <w:rPr>
                  <w:szCs w:val="22"/>
                </w:rPr>
                <w:delText>Humira/MTX</w:delText>
              </w:r>
            </w:del>
          </w:p>
          <w:p w14:paraId="4965B22A" w14:textId="1E7A8E0F" w:rsidR="00142F6B" w:rsidRPr="00183B5F" w:rsidRDefault="00943743" w:rsidP="004062FE">
            <w:pPr>
              <w:keepNext/>
              <w:spacing w:line="240" w:lineRule="auto"/>
              <w:jc w:val="center"/>
              <w:rPr>
                <w:del w:id="1874" w:author="AbbVie_HU_03" w:date="2025-05-14T15:27:00Z"/>
                <w:szCs w:val="22"/>
              </w:rPr>
            </w:pPr>
            <w:del w:id="1875" w:author="AbbVie_HU_03" w:date="2025-05-14T15:27:00Z">
              <w:r w:rsidRPr="00183B5F">
                <w:rPr>
                  <w:szCs w:val="22"/>
                </w:rPr>
                <w:delText>40 mg kéthetente</w:delText>
              </w:r>
            </w:del>
          </w:p>
        </w:tc>
        <w:tc>
          <w:tcPr>
            <w:tcW w:w="2000" w:type="dxa"/>
          </w:tcPr>
          <w:p w14:paraId="5D70D0BE" w14:textId="0D25B3E2" w:rsidR="00142F6B" w:rsidRPr="00183B5F" w:rsidRDefault="00943743" w:rsidP="004062FE">
            <w:pPr>
              <w:keepNext/>
              <w:spacing w:line="240" w:lineRule="auto"/>
              <w:jc w:val="center"/>
              <w:rPr>
                <w:del w:id="1876" w:author="AbbVie_HU_03" w:date="2025-05-14T15:27:00Z"/>
                <w:szCs w:val="22"/>
              </w:rPr>
            </w:pPr>
            <w:del w:id="1877" w:author="AbbVie_HU_03" w:date="2025-05-14T15:27:00Z">
              <w:r w:rsidRPr="00183B5F">
                <w:rPr>
                  <w:szCs w:val="22"/>
                </w:rPr>
                <w:delText>Placebo/MTX-Humira/MTX (95%-os konfidencia intervallum)</w:delText>
              </w:r>
              <w:r w:rsidR="00C67C60" w:rsidRPr="00183B5F">
                <w:rPr>
                  <w:szCs w:val="22"/>
                  <w:vertAlign w:val="superscript"/>
                </w:rPr>
                <w:delText xml:space="preserve"> b</w:delText>
              </w:r>
            </w:del>
          </w:p>
        </w:tc>
        <w:tc>
          <w:tcPr>
            <w:tcW w:w="1548" w:type="dxa"/>
          </w:tcPr>
          <w:p w14:paraId="4C0500E9" w14:textId="1CA9F108" w:rsidR="00142F6B" w:rsidRPr="00183B5F" w:rsidRDefault="00943743" w:rsidP="004062FE">
            <w:pPr>
              <w:keepNext/>
              <w:spacing w:line="240" w:lineRule="auto"/>
              <w:jc w:val="center"/>
              <w:rPr>
                <w:del w:id="1878" w:author="AbbVie_HU_03" w:date="2025-05-14T15:27:00Z"/>
                <w:szCs w:val="22"/>
              </w:rPr>
            </w:pPr>
            <w:del w:id="1879" w:author="AbbVie_HU_03" w:date="2025-05-14T15:27:00Z">
              <w:r w:rsidRPr="00183B5F">
                <w:rPr>
                  <w:szCs w:val="22"/>
                </w:rPr>
                <w:delText>p-érték</w:delText>
              </w:r>
            </w:del>
          </w:p>
        </w:tc>
      </w:tr>
      <w:tr w:rsidR="00011D2F" w14:paraId="0FF4D9A5" w14:textId="7EFD223B">
        <w:trPr>
          <w:del w:id="1880" w:author="AbbVie_HU_03" w:date="2025-05-14T15:27:00Z"/>
        </w:trPr>
        <w:tc>
          <w:tcPr>
            <w:tcW w:w="2088" w:type="dxa"/>
          </w:tcPr>
          <w:p w14:paraId="7156B38C" w14:textId="4393F3F1" w:rsidR="00142F6B" w:rsidRPr="00183B5F" w:rsidRDefault="00943743" w:rsidP="004062FE">
            <w:pPr>
              <w:spacing w:line="240" w:lineRule="auto"/>
              <w:jc w:val="center"/>
              <w:rPr>
                <w:del w:id="1881" w:author="AbbVie_HU_03" w:date="2025-05-14T15:27:00Z"/>
                <w:szCs w:val="22"/>
              </w:rPr>
            </w:pPr>
            <w:del w:id="1882" w:author="AbbVie_HU_03" w:date="2025-05-14T15:27:00Z">
              <w:r w:rsidRPr="00183B5F">
                <w:rPr>
                  <w:szCs w:val="22"/>
                </w:rPr>
                <w:delText>Teljes Sharp</w:delText>
              </w:r>
              <w:r w:rsidR="005E4FD2" w:rsidRPr="00183B5F">
                <w:rPr>
                  <w:szCs w:val="22"/>
                </w:rPr>
                <w:delText>-</w:delText>
              </w:r>
              <w:r w:rsidRPr="00183B5F">
                <w:rPr>
                  <w:szCs w:val="22"/>
                </w:rPr>
                <w:delText>pontérték</w:delText>
              </w:r>
            </w:del>
          </w:p>
        </w:tc>
        <w:tc>
          <w:tcPr>
            <w:tcW w:w="1430" w:type="dxa"/>
          </w:tcPr>
          <w:p w14:paraId="2632F361" w14:textId="5728F39C" w:rsidR="00142F6B" w:rsidRPr="00183B5F" w:rsidRDefault="00943743" w:rsidP="004062FE">
            <w:pPr>
              <w:spacing w:line="240" w:lineRule="auto"/>
              <w:jc w:val="center"/>
              <w:rPr>
                <w:del w:id="1883" w:author="AbbVie_HU_03" w:date="2025-05-14T15:27:00Z"/>
                <w:szCs w:val="22"/>
              </w:rPr>
            </w:pPr>
            <w:del w:id="1884" w:author="AbbVie_HU_03" w:date="2025-05-14T15:27:00Z">
              <w:r w:rsidRPr="00183B5F">
                <w:rPr>
                  <w:szCs w:val="22"/>
                </w:rPr>
                <w:delText>2,7</w:delText>
              </w:r>
            </w:del>
          </w:p>
        </w:tc>
        <w:tc>
          <w:tcPr>
            <w:tcW w:w="1790" w:type="dxa"/>
          </w:tcPr>
          <w:p w14:paraId="0BAF8AE9" w14:textId="53478429" w:rsidR="00142F6B" w:rsidRPr="00183B5F" w:rsidRDefault="00943743" w:rsidP="004062FE">
            <w:pPr>
              <w:spacing w:line="240" w:lineRule="auto"/>
              <w:jc w:val="center"/>
              <w:rPr>
                <w:del w:id="1885" w:author="AbbVie_HU_03" w:date="2025-05-14T15:27:00Z"/>
                <w:szCs w:val="22"/>
              </w:rPr>
            </w:pPr>
            <w:del w:id="1886" w:author="AbbVie_HU_03" w:date="2025-05-14T15:27:00Z">
              <w:r w:rsidRPr="00183B5F">
                <w:rPr>
                  <w:szCs w:val="22"/>
                </w:rPr>
                <w:delText>0,1</w:delText>
              </w:r>
            </w:del>
          </w:p>
        </w:tc>
        <w:tc>
          <w:tcPr>
            <w:tcW w:w="2000" w:type="dxa"/>
          </w:tcPr>
          <w:p w14:paraId="6870C8BC" w14:textId="18920E54" w:rsidR="00142F6B" w:rsidRPr="00183B5F" w:rsidRDefault="00943743">
            <w:pPr>
              <w:spacing w:line="240" w:lineRule="auto"/>
              <w:jc w:val="center"/>
              <w:rPr>
                <w:del w:id="1887" w:author="AbbVie_HU_03" w:date="2025-05-14T15:27:00Z"/>
                <w:szCs w:val="22"/>
              </w:rPr>
            </w:pPr>
            <w:del w:id="1888" w:author="AbbVie_HU_03" w:date="2025-05-14T15:27:00Z">
              <w:r w:rsidRPr="00183B5F">
                <w:rPr>
                  <w:szCs w:val="22"/>
                </w:rPr>
                <w:delText>2,6 (1,4</w:delText>
              </w:r>
              <w:r w:rsidR="00C67C60" w:rsidRPr="00183B5F">
                <w:rPr>
                  <w:szCs w:val="22"/>
                </w:rPr>
                <w:delText>;</w:delText>
              </w:r>
              <w:r w:rsidRPr="00183B5F">
                <w:rPr>
                  <w:szCs w:val="22"/>
                </w:rPr>
                <w:delText xml:space="preserve"> 3,8) </w:delText>
              </w:r>
            </w:del>
          </w:p>
        </w:tc>
        <w:tc>
          <w:tcPr>
            <w:tcW w:w="1548" w:type="dxa"/>
          </w:tcPr>
          <w:p w14:paraId="49D1C810" w14:textId="41F56A55" w:rsidR="00142F6B" w:rsidRPr="00183B5F" w:rsidRDefault="00943743" w:rsidP="004062FE">
            <w:pPr>
              <w:spacing w:line="240" w:lineRule="auto"/>
              <w:jc w:val="center"/>
              <w:rPr>
                <w:del w:id="1889" w:author="AbbVie_HU_03" w:date="2025-05-14T15:27:00Z"/>
                <w:szCs w:val="22"/>
                <w:vertAlign w:val="superscript"/>
              </w:rPr>
            </w:pPr>
            <w:del w:id="1890" w:author="AbbVie_HU_03" w:date="2025-05-14T15:27:00Z">
              <w:r w:rsidRPr="00183B5F">
                <w:rPr>
                  <w:szCs w:val="22"/>
                </w:rPr>
                <w:delText>&lt; 0,001</w:delText>
              </w:r>
              <w:r w:rsidRPr="00183B5F">
                <w:rPr>
                  <w:szCs w:val="22"/>
                  <w:vertAlign w:val="superscript"/>
                </w:rPr>
                <w:delText>c</w:delText>
              </w:r>
            </w:del>
          </w:p>
        </w:tc>
      </w:tr>
      <w:tr w:rsidR="00011D2F" w14:paraId="3C8FFAAC" w14:textId="6E9FE30C">
        <w:trPr>
          <w:del w:id="1891" w:author="AbbVie_HU_03" w:date="2025-05-14T15:27:00Z"/>
        </w:trPr>
        <w:tc>
          <w:tcPr>
            <w:tcW w:w="2088" w:type="dxa"/>
          </w:tcPr>
          <w:p w14:paraId="3F4E3B86" w14:textId="24035589" w:rsidR="00142F6B" w:rsidRPr="00183B5F" w:rsidRDefault="00943743" w:rsidP="004062FE">
            <w:pPr>
              <w:spacing w:line="240" w:lineRule="auto"/>
              <w:jc w:val="center"/>
              <w:rPr>
                <w:del w:id="1892" w:author="AbbVie_HU_03" w:date="2025-05-14T15:27:00Z"/>
                <w:szCs w:val="22"/>
              </w:rPr>
            </w:pPr>
            <w:del w:id="1893" w:author="AbbVie_HU_03" w:date="2025-05-14T15:27:00Z">
              <w:r w:rsidRPr="00183B5F">
                <w:rPr>
                  <w:szCs w:val="22"/>
                </w:rPr>
                <w:delText>Eróziós pontérték</w:delText>
              </w:r>
            </w:del>
          </w:p>
        </w:tc>
        <w:tc>
          <w:tcPr>
            <w:tcW w:w="1430" w:type="dxa"/>
          </w:tcPr>
          <w:p w14:paraId="374E6071" w14:textId="0CF8C6AC" w:rsidR="00142F6B" w:rsidRPr="00183B5F" w:rsidRDefault="00943743" w:rsidP="004062FE">
            <w:pPr>
              <w:spacing w:line="240" w:lineRule="auto"/>
              <w:jc w:val="center"/>
              <w:rPr>
                <w:del w:id="1894" w:author="AbbVie_HU_03" w:date="2025-05-14T15:27:00Z"/>
                <w:szCs w:val="22"/>
              </w:rPr>
            </w:pPr>
            <w:del w:id="1895" w:author="AbbVie_HU_03" w:date="2025-05-14T15:27:00Z">
              <w:r w:rsidRPr="00183B5F">
                <w:rPr>
                  <w:szCs w:val="22"/>
                </w:rPr>
                <w:delText>1,6</w:delText>
              </w:r>
            </w:del>
          </w:p>
        </w:tc>
        <w:tc>
          <w:tcPr>
            <w:tcW w:w="1790" w:type="dxa"/>
          </w:tcPr>
          <w:p w14:paraId="54D6A3F2" w14:textId="44241D33" w:rsidR="00142F6B" w:rsidRPr="00183B5F" w:rsidRDefault="00943743" w:rsidP="004062FE">
            <w:pPr>
              <w:spacing w:line="240" w:lineRule="auto"/>
              <w:jc w:val="center"/>
              <w:rPr>
                <w:del w:id="1896" w:author="AbbVie_HU_03" w:date="2025-05-14T15:27:00Z"/>
                <w:szCs w:val="22"/>
              </w:rPr>
            </w:pPr>
            <w:del w:id="1897" w:author="AbbVie_HU_03" w:date="2025-05-14T15:27:00Z">
              <w:r w:rsidRPr="00183B5F">
                <w:rPr>
                  <w:szCs w:val="22"/>
                </w:rPr>
                <w:delText>0,0</w:delText>
              </w:r>
            </w:del>
          </w:p>
        </w:tc>
        <w:tc>
          <w:tcPr>
            <w:tcW w:w="2000" w:type="dxa"/>
          </w:tcPr>
          <w:p w14:paraId="495C4D09" w14:textId="70FF23E1" w:rsidR="00142F6B" w:rsidRPr="00183B5F" w:rsidRDefault="00943743">
            <w:pPr>
              <w:spacing w:line="240" w:lineRule="auto"/>
              <w:jc w:val="center"/>
              <w:rPr>
                <w:del w:id="1898" w:author="AbbVie_HU_03" w:date="2025-05-14T15:27:00Z"/>
                <w:szCs w:val="22"/>
              </w:rPr>
            </w:pPr>
            <w:del w:id="1899" w:author="AbbVie_HU_03" w:date="2025-05-14T15:27:00Z">
              <w:r w:rsidRPr="00183B5F">
                <w:rPr>
                  <w:szCs w:val="22"/>
                </w:rPr>
                <w:delText>1,6 (0,9</w:delText>
              </w:r>
              <w:r w:rsidR="00C67C60" w:rsidRPr="00183B5F">
                <w:rPr>
                  <w:szCs w:val="22"/>
                </w:rPr>
                <w:delText>;</w:delText>
              </w:r>
              <w:r w:rsidRPr="00183B5F">
                <w:rPr>
                  <w:szCs w:val="22"/>
                </w:rPr>
                <w:delText xml:space="preserve"> 2,2)</w:delText>
              </w:r>
            </w:del>
          </w:p>
        </w:tc>
        <w:tc>
          <w:tcPr>
            <w:tcW w:w="1548" w:type="dxa"/>
          </w:tcPr>
          <w:p w14:paraId="75042F1A" w14:textId="1CE74071" w:rsidR="00142F6B" w:rsidRPr="00183B5F" w:rsidRDefault="00943743" w:rsidP="004062FE">
            <w:pPr>
              <w:spacing w:line="240" w:lineRule="auto"/>
              <w:jc w:val="center"/>
              <w:rPr>
                <w:del w:id="1900" w:author="AbbVie_HU_03" w:date="2025-05-14T15:27:00Z"/>
                <w:szCs w:val="22"/>
              </w:rPr>
            </w:pPr>
            <w:del w:id="1901" w:author="AbbVie_HU_03" w:date="2025-05-14T15:27:00Z">
              <w:r w:rsidRPr="00183B5F">
                <w:rPr>
                  <w:szCs w:val="22"/>
                </w:rPr>
                <w:delText>&lt; 0,001</w:delText>
              </w:r>
            </w:del>
          </w:p>
        </w:tc>
      </w:tr>
      <w:tr w:rsidR="00011D2F" w14:paraId="18C25A97" w14:textId="46D4A484">
        <w:trPr>
          <w:del w:id="1902" w:author="AbbVie_HU_03" w:date="2025-05-14T15:27:00Z"/>
        </w:trPr>
        <w:tc>
          <w:tcPr>
            <w:tcW w:w="2088" w:type="dxa"/>
          </w:tcPr>
          <w:p w14:paraId="7A9066A2" w14:textId="6E95F488" w:rsidR="00142F6B" w:rsidRPr="00183B5F" w:rsidRDefault="00943743" w:rsidP="004062FE">
            <w:pPr>
              <w:spacing w:line="240" w:lineRule="auto"/>
              <w:jc w:val="center"/>
              <w:rPr>
                <w:del w:id="1903" w:author="AbbVie_HU_03" w:date="2025-05-14T15:27:00Z"/>
                <w:szCs w:val="22"/>
              </w:rPr>
            </w:pPr>
            <w:del w:id="1904" w:author="AbbVie_HU_03" w:date="2025-05-14T15:27:00Z">
              <w:r w:rsidRPr="00183B5F">
                <w:rPr>
                  <w:szCs w:val="22"/>
                </w:rPr>
                <w:delText>JSN</w:delText>
              </w:r>
              <w:r w:rsidRPr="00183B5F">
                <w:rPr>
                  <w:szCs w:val="22"/>
                  <w:vertAlign w:val="superscript"/>
                </w:rPr>
                <w:delText>d</w:delText>
              </w:r>
              <w:r w:rsidR="005E4FD2" w:rsidRPr="00183B5F">
                <w:rPr>
                  <w:szCs w:val="22"/>
                </w:rPr>
                <w:delText>-</w:delText>
              </w:r>
              <w:r w:rsidRPr="00183B5F">
                <w:rPr>
                  <w:szCs w:val="22"/>
                </w:rPr>
                <w:delText>pontérték</w:delText>
              </w:r>
            </w:del>
          </w:p>
        </w:tc>
        <w:tc>
          <w:tcPr>
            <w:tcW w:w="1430" w:type="dxa"/>
          </w:tcPr>
          <w:p w14:paraId="10BE4001" w14:textId="7C4968EB" w:rsidR="00142F6B" w:rsidRPr="00183B5F" w:rsidRDefault="00943743" w:rsidP="004062FE">
            <w:pPr>
              <w:spacing w:line="240" w:lineRule="auto"/>
              <w:jc w:val="center"/>
              <w:rPr>
                <w:del w:id="1905" w:author="AbbVie_HU_03" w:date="2025-05-14T15:27:00Z"/>
                <w:szCs w:val="22"/>
              </w:rPr>
            </w:pPr>
            <w:del w:id="1906" w:author="AbbVie_HU_03" w:date="2025-05-14T15:27:00Z">
              <w:r w:rsidRPr="00183B5F">
                <w:rPr>
                  <w:szCs w:val="22"/>
                </w:rPr>
                <w:delText>1,0</w:delText>
              </w:r>
            </w:del>
          </w:p>
        </w:tc>
        <w:tc>
          <w:tcPr>
            <w:tcW w:w="1790" w:type="dxa"/>
          </w:tcPr>
          <w:p w14:paraId="6DAA103F" w14:textId="0515C6BD" w:rsidR="00142F6B" w:rsidRPr="00183B5F" w:rsidRDefault="00943743" w:rsidP="004062FE">
            <w:pPr>
              <w:spacing w:line="240" w:lineRule="auto"/>
              <w:jc w:val="center"/>
              <w:rPr>
                <w:del w:id="1907" w:author="AbbVie_HU_03" w:date="2025-05-14T15:27:00Z"/>
                <w:szCs w:val="22"/>
              </w:rPr>
            </w:pPr>
            <w:del w:id="1908" w:author="AbbVie_HU_03" w:date="2025-05-14T15:27:00Z">
              <w:r w:rsidRPr="00183B5F">
                <w:rPr>
                  <w:szCs w:val="22"/>
                </w:rPr>
                <w:delText>0,1</w:delText>
              </w:r>
            </w:del>
          </w:p>
        </w:tc>
        <w:tc>
          <w:tcPr>
            <w:tcW w:w="2000" w:type="dxa"/>
          </w:tcPr>
          <w:p w14:paraId="303E2F55" w14:textId="044DA3A9" w:rsidR="00142F6B" w:rsidRPr="00183B5F" w:rsidRDefault="00943743">
            <w:pPr>
              <w:spacing w:line="240" w:lineRule="auto"/>
              <w:jc w:val="center"/>
              <w:rPr>
                <w:del w:id="1909" w:author="AbbVie_HU_03" w:date="2025-05-14T15:27:00Z"/>
                <w:szCs w:val="22"/>
              </w:rPr>
            </w:pPr>
            <w:del w:id="1910" w:author="AbbVie_HU_03" w:date="2025-05-14T15:27:00Z">
              <w:r w:rsidRPr="00183B5F">
                <w:rPr>
                  <w:szCs w:val="22"/>
                </w:rPr>
                <w:delText>0,9 (0,3</w:delText>
              </w:r>
              <w:r w:rsidR="00C67C60" w:rsidRPr="00183B5F">
                <w:rPr>
                  <w:szCs w:val="22"/>
                </w:rPr>
                <w:delText>;</w:delText>
              </w:r>
              <w:r w:rsidRPr="00183B5F">
                <w:rPr>
                  <w:szCs w:val="22"/>
                </w:rPr>
                <w:delText xml:space="preserve"> 1,4)</w:delText>
              </w:r>
            </w:del>
          </w:p>
        </w:tc>
        <w:tc>
          <w:tcPr>
            <w:tcW w:w="1548" w:type="dxa"/>
          </w:tcPr>
          <w:p w14:paraId="5CAA9FD3" w14:textId="6D8FF5C6" w:rsidR="00142F6B" w:rsidRPr="00183B5F" w:rsidRDefault="00943743" w:rsidP="004062FE">
            <w:pPr>
              <w:spacing w:line="240" w:lineRule="auto"/>
              <w:jc w:val="center"/>
              <w:rPr>
                <w:del w:id="1911" w:author="AbbVie_HU_03" w:date="2025-05-14T15:27:00Z"/>
                <w:szCs w:val="22"/>
              </w:rPr>
            </w:pPr>
            <w:del w:id="1912" w:author="AbbVie_HU_03" w:date="2025-05-14T15:27:00Z">
              <w:r w:rsidRPr="00183B5F">
                <w:rPr>
                  <w:szCs w:val="22"/>
                </w:rPr>
                <w:delText>0,002</w:delText>
              </w:r>
            </w:del>
          </w:p>
        </w:tc>
      </w:tr>
    </w:tbl>
    <w:p w14:paraId="731A0CC6" w14:textId="2F5525F3" w:rsidR="00142F6B" w:rsidRPr="00183B5F" w:rsidRDefault="00943743" w:rsidP="004062FE">
      <w:pPr>
        <w:pStyle w:val="In-textfootnote"/>
        <w:keepNext w:val="0"/>
        <w:spacing w:before="0" w:line="240" w:lineRule="auto"/>
        <w:rPr>
          <w:del w:id="1913" w:author="AbbVie_HU_03" w:date="2025-05-14T15:27:00Z"/>
          <w:rFonts w:ascii="Times New Roman" w:hAnsi="Times New Roman"/>
          <w:sz w:val="22"/>
          <w:szCs w:val="22"/>
          <w:lang w:val="hu-HU"/>
        </w:rPr>
      </w:pPr>
      <w:del w:id="1914" w:author="AbbVie_HU_03" w:date="2025-05-14T15:27:00Z">
        <w:r w:rsidRPr="00183B5F">
          <w:rPr>
            <w:rFonts w:ascii="Times New Roman" w:hAnsi="Times New Roman"/>
            <w:b/>
            <w:bCs/>
            <w:sz w:val="22"/>
            <w:szCs w:val="22"/>
            <w:vertAlign w:val="superscript"/>
            <w:lang w:val="hu-HU"/>
          </w:rPr>
          <w:delText>a</w:delText>
        </w:r>
        <w:r w:rsidRPr="00183B5F">
          <w:rPr>
            <w:rFonts w:ascii="Times New Roman" w:hAnsi="Times New Roman"/>
            <w:sz w:val="22"/>
            <w:szCs w:val="22"/>
            <w:lang w:val="hu-HU"/>
          </w:rPr>
          <w:delText>metotrexát</w:delText>
        </w:r>
      </w:del>
    </w:p>
    <w:p w14:paraId="4968F16E" w14:textId="4EF56F72" w:rsidR="00142F6B" w:rsidRPr="00183B5F" w:rsidRDefault="00943743" w:rsidP="004062FE">
      <w:pPr>
        <w:pStyle w:val="In-textfootnote"/>
        <w:keepNext w:val="0"/>
        <w:spacing w:before="0" w:line="240" w:lineRule="auto"/>
        <w:rPr>
          <w:del w:id="1915" w:author="AbbVie_HU_03" w:date="2025-05-14T15:27:00Z"/>
          <w:rFonts w:ascii="Times New Roman" w:hAnsi="Times New Roman"/>
          <w:sz w:val="22"/>
          <w:szCs w:val="22"/>
          <w:lang w:val="hu-HU"/>
        </w:rPr>
      </w:pPr>
      <w:del w:id="1916" w:author="AbbVie_HU_03" w:date="2025-05-14T15:27:00Z">
        <w:r w:rsidRPr="00183B5F">
          <w:rPr>
            <w:rFonts w:ascii="Times New Roman" w:hAnsi="Times New Roman"/>
            <w:sz w:val="22"/>
            <w:szCs w:val="22"/>
            <w:vertAlign w:val="superscript"/>
            <w:lang w:val="hu-HU"/>
          </w:rPr>
          <w:delText>b</w:delText>
        </w:r>
        <w:r w:rsidRPr="00183B5F">
          <w:rPr>
            <w:rFonts w:ascii="Times New Roman" w:hAnsi="Times New Roman"/>
            <w:sz w:val="22"/>
            <w:szCs w:val="22"/>
            <w:lang w:val="hu-HU"/>
          </w:rPr>
          <w:delText>95%</w:delText>
        </w:r>
        <w:r w:rsidR="00B02D6A" w:rsidRPr="00183B5F">
          <w:rPr>
            <w:rFonts w:ascii="Times New Roman" w:hAnsi="Times New Roman"/>
            <w:sz w:val="22"/>
            <w:szCs w:val="22"/>
            <w:lang w:val="hu-HU"/>
          </w:rPr>
          <w:noBreakHyphen/>
        </w:r>
        <w:r w:rsidRPr="00183B5F">
          <w:rPr>
            <w:rFonts w:ascii="Times New Roman" w:hAnsi="Times New Roman"/>
            <w:sz w:val="22"/>
            <w:szCs w:val="22"/>
            <w:lang w:val="hu-HU"/>
          </w:rPr>
          <w:delText xml:space="preserve">os konfidencia intervallum a metotrexát és a Humira </w:delText>
        </w:r>
        <w:r w:rsidR="00903BD3" w:rsidRPr="00183B5F">
          <w:rPr>
            <w:rFonts w:ascii="Times New Roman" w:hAnsi="Times New Roman"/>
            <w:sz w:val="22"/>
            <w:szCs w:val="22"/>
            <w:lang w:val="hu-HU"/>
          </w:rPr>
          <w:delText xml:space="preserve">pontértékeinek </w:delText>
        </w:r>
        <w:r w:rsidRPr="00183B5F">
          <w:rPr>
            <w:rFonts w:ascii="Times New Roman" w:hAnsi="Times New Roman"/>
            <w:sz w:val="22"/>
            <w:szCs w:val="22"/>
            <w:lang w:val="hu-HU"/>
          </w:rPr>
          <w:delText>változása közötti különbségre</w:delText>
        </w:r>
      </w:del>
    </w:p>
    <w:p w14:paraId="5A02D935" w14:textId="4532C7F4" w:rsidR="00142F6B" w:rsidRPr="00183B5F" w:rsidRDefault="00943743" w:rsidP="004062FE">
      <w:pPr>
        <w:pStyle w:val="In-textfootnote"/>
        <w:keepNext w:val="0"/>
        <w:spacing w:before="0" w:line="240" w:lineRule="auto"/>
        <w:rPr>
          <w:del w:id="1917" w:author="AbbVie_HU_03" w:date="2025-05-14T15:27:00Z"/>
          <w:rFonts w:ascii="Times New Roman" w:hAnsi="Times New Roman"/>
          <w:sz w:val="22"/>
          <w:szCs w:val="22"/>
          <w:lang w:val="hu-HU"/>
        </w:rPr>
      </w:pPr>
      <w:del w:id="1918" w:author="AbbVie_HU_03" w:date="2025-05-14T15:27:00Z">
        <w:r w:rsidRPr="00183B5F">
          <w:rPr>
            <w:rFonts w:ascii="Times New Roman" w:hAnsi="Times New Roman"/>
            <w:sz w:val="22"/>
            <w:szCs w:val="22"/>
            <w:vertAlign w:val="superscript"/>
            <w:lang w:val="hu-HU"/>
          </w:rPr>
          <w:delText>c</w:delText>
        </w:r>
        <w:r w:rsidRPr="00183B5F">
          <w:rPr>
            <w:rFonts w:ascii="Times New Roman" w:hAnsi="Times New Roman"/>
            <w:sz w:val="22"/>
            <w:szCs w:val="22"/>
            <w:lang w:val="hu-HU"/>
          </w:rPr>
          <w:delText>rank analízis alapján</w:delText>
        </w:r>
      </w:del>
    </w:p>
    <w:p w14:paraId="3A53B4B3" w14:textId="118D7282" w:rsidR="00142F6B" w:rsidRPr="00183B5F" w:rsidRDefault="00943743" w:rsidP="004062FE">
      <w:pPr>
        <w:pStyle w:val="In-textfootnote"/>
        <w:keepNext w:val="0"/>
        <w:spacing w:before="0" w:line="240" w:lineRule="auto"/>
        <w:ind w:left="0" w:firstLine="0"/>
        <w:rPr>
          <w:del w:id="1919" w:author="AbbVie_HU_03" w:date="2025-05-14T15:27:00Z"/>
          <w:rFonts w:ascii="Times New Roman" w:hAnsi="Times New Roman"/>
          <w:sz w:val="22"/>
          <w:szCs w:val="22"/>
          <w:lang w:val="hu-HU"/>
        </w:rPr>
      </w:pPr>
      <w:del w:id="1920" w:author="AbbVie_HU_03" w:date="2025-05-14T15:27:00Z">
        <w:r w:rsidRPr="00183B5F">
          <w:rPr>
            <w:rFonts w:ascii="Times New Roman" w:hAnsi="Times New Roman"/>
            <w:sz w:val="22"/>
            <w:szCs w:val="22"/>
            <w:vertAlign w:val="superscript"/>
            <w:lang w:val="hu-HU"/>
          </w:rPr>
          <w:delText>d</w:delText>
        </w:r>
        <w:r w:rsidRPr="00183B5F">
          <w:rPr>
            <w:rFonts w:ascii="Times New Roman" w:hAnsi="Times New Roman"/>
            <w:sz w:val="22"/>
            <w:szCs w:val="22"/>
            <w:lang w:val="hu-HU"/>
          </w:rPr>
          <w:delText>Ízületi rés beszűkülése (JS</w:delText>
        </w:r>
        <w:r w:rsidR="009126D0" w:rsidRPr="00183B5F">
          <w:rPr>
            <w:rFonts w:ascii="Times New Roman" w:hAnsi="Times New Roman"/>
            <w:sz w:val="22"/>
            <w:szCs w:val="22"/>
            <w:lang w:val="hu-HU"/>
          </w:rPr>
          <w:delText>N</w:delText>
        </w:r>
        <w:r w:rsidRPr="00183B5F">
          <w:rPr>
            <w:rFonts w:ascii="Times New Roman" w:hAnsi="Times New Roman"/>
            <w:sz w:val="22"/>
            <w:szCs w:val="22"/>
            <w:lang w:val="hu-HU"/>
          </w:rPr>
          <w:delText>-Joint Space Narrowing)</w:delText>
        </w:r>
      </w:del>
    </w:p>
    <w:p w14:paraId="384806D4" w14:textId="7A6E9DB8" w:rsidR="00FB6710" w:rsidRPr="00183B5F" w:rsidRDefault="00FB6710" w:rsidP="004062FE">
      <w:pPr>
        <w:pStyle w:val="In-textfootnote"/>
        <w:keepNext w:val="0"/>
        <w:spacing w:before="0" w:line="240" w:lineRule="auto"/>
        <w:ind w:left="0" w:firstLine="0"/>
        <w:rPr>
          <w:del w:id="1921" w:author="AbbVie_HU_03" w:date="2025-05-14T15:27:00Z"/>
          <w:rFonts w:ascii="Times New Roman" w:hAnsi="Times New Roman"/>
          <w:sz w:val="22"/>
          <w:szCs w:val="22"/>
          <w:lang w:val="hu-HU"/>
        </w:rPr>
      </w:pPr>
    </w:p>
    <w:p w14:paraId="3E3AB7A6" w14:textId="2B9EB41E" w:rsidR="00FB6710" w:rsidRPr="00183B5F" w:rsidRDefault="00943743" w:rsidP="004062FE">
      <w:pPr>
        <w:pStyle w:val="In-textfootnote"/>
        <w:keepNext w:val="0"/>
        <w:spacing w:before="0" w:line="240" w:lineRule="auto"/>
        <w:rPr>
          <w:del w:id="1922" w:author="AbbVie_HU_03" w:date="2025-05-14T15:27:00Z"/>
          <w:rFonts w:ascii="Times New Roman" w:hAnsi="Times New Roman"/>
          <w:sz w:val="22"/>
          <w:szCs w:val="22"/>
          <w:lang w:val="hu-HU"/>
        </w:rPr>
      </w:pPr>
      <w:del w:id="1923" w:author="AbbVie_HU_03" w:date="2025-05-14T15:27:00Z">
        <w:r w:rsidRPr="00183B5F">
          <w:rPr>
            <w:rFonts w:ascii="Times New Roman" w:hAnsi="Times New Roman"/>
            <w:sz w:val="22"/>
            <w:szCs w:val="22"/>
            <w:lang w:val="hu-HU"/>
          </w:rPr>
          <w:delText>Az RA</w:delText>
        </w:r>
        <w:r w:rsidR="005A4B87" w:rsidRPr="00183B5F">
          <w:rPr>
            <w:rFonts w:ascii="Times New Roman" w:hAnsi="Times New Roman"/>
            <w:sz w:val="22"/>
            <w:szCs w:val="22"/>
            <w:lang w:val="hu-HU"/>
          </w:rPr>
          <w:delText> </w:delText>
        </w:r>
        <w:r w:rsidRPr="00183B5F">
          <w:rPr>
            <w:rFonts w:ascii="Times New Roman" w:hAnsi="Times New Roman"/>
            <w:sz w:val="22"/>
            <w:szCs w:val="22"/>
            <w:lang w:val="hu-HU"/>
          </w:rPr>
          <w:delText xml:space="preserve">V vizsgálatban az ízületi károsodást radiológiailag is </w:delText>
        </w:r>
        <w:r w:rsidR="00903BD3" w:rsidRPr="00183B5F">
          <w:rPr>
            <w:rFonts w:ascii="Times New Roman" w:hAnsi="Times New Roman"/>
            <w:sz w:val="22"/>
            <w:szCs w:val="22"/>
            <w:lang w:val="hu-HU"/>
          </w:rPr>
          <w:delText xml:space="preserve">értékelték </w:delText>
        </w:r>
        <w:r w:rsidRPr="00183B5F">
          <w:rPr>
            <w:rFonts w:ascii="Times New Roman" w:hAnsi="Times New Roman"/>
            <w:sz w:val="22"/>
            <w:szCs w:val="22"/>
            <w:lang w:val="hu-HU"/>
          </w:rPr>
          <w:delText>és módosított teljes Sharp</w:delText>
        </w:r>
        <w:r w:rsidR="005E4FD2" w:rsidRPr="00183B5F">
          <w:rPr>
            <w:rFonts w:ascii="Times New Roman" w:hAnsi="Times New Roman"/>
            <w:sz w:val="22"/>
            <w:szCs w:val="22"/>
            <w:lang w:val="hu-HU"/>
          </w:rPr>
          <w:delText>-</w:delText>
        </w:r>
        <w:r w:rsidRPr="00183B5F">
          <w:rPr>
            <w:rFonts w:ascii="Times New Roman" w:hAnsi="Times New Roman"/>
            <w:sz w:val="22"/>
            <w:szCs w:val="22"/>
            <w:lang w:val="hu-HU"/>
          </w:rPr>
          <w:delText xml:space="preserve">pontokban fejezték ki (lásd </w:delText>
        </w:r>
        <w:r w:rsidR="00557B72" w:rsidRPr="00183B5F">
          <w:rPr>
            <w:rFonts w:ascii="Times New Roman" w:hAnsi="Times New Roman"/>
            <w:sz w:val="22"/>
            <w:szCs w:val="22"/>
            <w:lang w:val="hu-HU"/>
          </w:rPr>
          <w:delText>11</w:delText>
        </w:r>
        <w:r w:rsidRPr="00183B5F">
          <w:rPr>
            <w:rFonts w:ascii="Times New Roman" w:hAnsi="Times New Roman"/>
            <w:sz w:val="22"/>
            <w:szCs w:val="22"/>
            <w:lang w:val="hu-HU"/>
          </w:rPr>
          <w:delText>.</w:delText>
        </w:r>
        <w:r w:rsidR="00AD3595" w:rsidRPr="00183B5F">
          <w:rPr>
            <w:rFonts w:ascii="Times New Roman" w:hAnsi="Times New Roman"/>
            <w:sz w:val="22"/>
            <w:szCs w:val="22"/>
            <w:lang w:val="hu-HU"/>
          </w:rPr>
          <w:delText> </w:delText>
        </w:r>
        <w:r w:rsidRPr="00183B5F">
          <w:rPr>
            <w:rFonts w:ascii="Times New Roman" w:hAnsi="Times New Roman"/>
            <w:sz w:val="22"/>
            <w:szCs w:val="22"/>
            <w:lang w:val="hu-HU"/>
          </w:rPr>
          <w:delText>tábl</w:delText>
        </w:r>
        <w:r w:rsidR="00F91CBD" w:rsidRPr="00183B5F">
          <w:rPr>
            <w:rFonts w:ascii="Times New Roman" w:hAnsi="Times New Roman"/>
            <w:sz w:val="22"/>
            <w:szCs w:val="22"/>
            <w:lang w:val="hu-HU"/>
          </w:rPr>
          <w:delText>ázat</w:delText>
        </w:r>
        <w:r w:rsidRPr="00183B5F">
          <w:rPr>
            <w:rFonts w:ascii="Times New Roman" w:hAnsi="Times New Roman"/>
            <w:sz w:val="22"/>
            <w:szCs w:val="22"/>
            <w:lang w:val="hu-HU"/>
          </w:rPr>
          <w:delText>).</w:delText>
        </w:r>
      </w:del>
    </w:p>
    <w:p w14:paraId="6DA443D4" w14:textId="0270BE8A" w:rsidR="00FB6710" w:rsidRPr="00183B5F" w:rsidRDefault="00FB6710" w:rsidP="004062FE">
      <w:pPr>
        <w:pStyle w:val="In-textfootnote"/>
        <w:keepNext w:val="0"/>
        <w:spacing w:before="0" w:line="240" w:lineRule="auto"/>
        <w:rPr>
          <w:del w:id="1924" w:author="AbbVie_HU_03" w:date="2025-05-14T15:27:00Z"/>
          <w:rFonts w:ascii="Times New Roman" w:hAnsi="Times New Roman"/>
          <w:sz w:val="22"/>
          <w:szCs w:val="22"/>
          <w:lang w:val="hu-HU"/>
        </w:rPr>
      </w:pPr>
    </w:p>
    <w:p w14:paraId="51CB04C4" w14:textId="37D2BE2B" w:rsidR="00E74050" w:rsidRPr="00183B5F" w:rsidRDefault="00943743" w:rsidP="004062FE">
      <w:pPr>
        <w:pStyle w:val="In-textfootnote"/>
        <w:keepNext w:val="0"/>
        <w:suppressAutoHyphens/>
        <w:overflowPunct/>
        <w:autoSpaceDE/>
        <w:autoSpaceDN/>
        <w:adjustRightInd/>
        <w:spacing w:before="0" w:line="240" w:lineRule="auto"/>
        <w:ind w:left="0" w:firstLine="0"/>
        <w:jc w:val="center"/>
        <w:textAlignment w:val="auto"/>
        <w:rPr>
          <w:del w:id="1925" w:author="AbbVie_HU_03" w:date="2025-05-14T15:27:00Z"/>
          <w:rFonts w:ascii="Times New Roman" w:hAnsi="Times New Roman"/>
          <w:b/>
          <w:bCs/>
          <w:sz w:val="22"/>
          <w:szCs w:val="22"/>
          <w:lang w:val="hu-HU"/>
        </w:rPr>
      </w:pPr>
      <w:del w:id="1926" w:author="AbbVie_HU_03" w:date="2025-05-14T15:27:00Z">
        <w:r w:rsidRPr="00183B5F">
          <w:rPr>
            <w:rFonts w:ascii="Times New Roman" w:hAnsi="Times New Roman"/>
            <w:b/>
            <w:bCs/>
            <w:sz w:val="22"/>
            <w:szCs w:val="22"/>
            <w:lang w:val="hu-HU"/>
          </w:rPr>
          <w:delText>11</w:delText>
        </w:r>
        <w:r w:rsidR="00FB6710" w:rsidRPr="00183B5F">
          <w:rPr>
            <w:rFonts w:ascii="Times New Roman" w:hAnsi="Times New Roman"/>
            <w:b/>
            <w:bCs/>
            <w:sz w:val="22"/>
            <w:szCs w:val="22"/>
            <w:lang w:val="hu-HU"/>
          </w:rPr>
          <w:delText>.</w:delText>
        </w:r>
        <w:r w:rsidR="00AD3595" w:rsidRPr="00183B5F">
          <w:rPr>
            <w:rFonts w:ascii="Times New Roman" w:hAnsi="Times New Roman"/>
            <w:b/>
            <w:bCs/>
            <w:sz w:val="22"/>
            <w:szCs w:val="22"/>
            <w:lang w:val="hu-HU"/>
          </w:rPr>
          <w:delText> </w:delText>
        </w:r>
        <w:r w:rsidR="00FB6710" w:rsidRPr="00183B5F">
          <w:rPr>
            <w:rFonts w:ascii="Times New Roman" w:hAnsi="Times New Roman"/>
            <w:b/>
            <w:bCs/>
            <w:sz w:val="22"/>
            <w:szCs w:val="22"/>
            <w:lang w:val="hu-HU"/>
          </w:rPr>
          <w:delText xml:space="preserve">táblázat </w:delText>
        </w:r>
      </w:del>
    </w:p>
    <w:p w14:paraId="7482AAA4" w14:textId="7E2058FE" w:rsidR="00FB6710" w:rsidRPr="00183B5F" w:rsidRDefault="00943743" w:rsidP="004062FE">
      <w:pPr>
        <w:pStyle w:val="In-textfootnote"/>
        <w:keepNext w:val="0"/>
        <w:suppressAutoHyphens/>
        <w:overflowPunct/>
        <w:autoSpaceDE/>
        <w:autoSpaceDN/>
        <w:adjustRightInd/>
        <w:spacing w:before="0" w:line="240" w:lineRule="auto"/>
        <w:ind w:left="0" w:firstLine="0"/>
        <w:jc w:val="center"/>
        <w:textAlignment w:val="auto"/>
        <w:rPr>
          <w:del w:id="1927" w:author="AbbVie_HU_03" w:date="2025-05-14T15:27:00Z"/>
          <w:rFonts w:ascii="Times New Roman" w:hAnsi="Times New Roman"/>
          <w:b/>
          <w:bCs/>
          <w:sz w:val="22"/>
          <w:szCs w:val="22"/>
          <w:lang w:val="hu-HU"/>
        </w:rPr>
      </w:pPr>
      <w:del w:id="1928" w:author="AbbVie_HU_03" w:date="2025-05-14T15:27:00Z">
        <w:r w:rsidRPr="00183B5F">
          <w:rPr>
            <w:rFonts w:ascii="Times New Roman" w:hAnsi="Times New Roman"/>
            <w:b/>
            <w:bCs/>
            <w:sz w:val="22"/>
            <w:szCs w:val="22"/>
            <w:lang w:val="hu-HU"/>
          </w:rPr>
          <w:delText>Átlagos radiológiai változások az 52.</w:delText>
        </w:r>
        <w:r w:rsidR="00A44DB6" w:rsidRPr="00183B5F">
          <w:rPr>
            <w:rFonts w:ascii="Times New Roman" w:hAnsi="Times New Roman"/>
            <w:b/>
            <w:bCs/>
            <w:sz w:val="22"/>
            <w:szCs w:val="22"/>
            <w:lang w:val="hu-HU"/>
          </w:rPr>
          <w:delText> hét</w:delText>
        </w:r>
        <w:r w:rsidRPr="00183B5F">
          <w:rPr>
            <w:rFonts w:ascii="Times New Roman" w:hAnsi="Times New Roman"/>
            <w:b/>
            <w:bCs/>
            <w:sz w:val="22"/>
            <w:szCs w:val="22"/>
            <w:lang w:val="hu-HU"/>
          </w:rPr>
          <w:delText>en az RA</w:delText>
        </w:r>
        <w:r w:rsidR="005A4B87" w:rsidRPr="00183B5F">
          <w:rPr>
            <w:rFonts w:ascii="Times New Roman" w:hAnsi="Times New Roman"/>
            <w:b/>
            <w:bCs/>
            <w:sz w:val="22"/>
            <w:szCs w:val="22"/>
            <w:lang w:val="hu-HU"/>
          </w:rPr>
          <w:delText> </w:delText>
        </w:r>
        <w:r w:rsidRPr="00183B5F">
          <w:rPr>
            <w:rFonts w:ascii="Times New Roman" w:hAnsi="Times New Roman"/>
            <w:b/>
            <w:bCs/>
            <w:sz w:val="22"/>
            <w:szCs w:val="22"/>
            <w:lang w:val="hu-HU"/>
          </w:rPr>
          <w:delText>V vizsgálatban</w:delText>
        </w:r>
      </w:del>
    </w:p>
    <w:p w14:paraId="53D954CE" w14:textId="3A030A0D" w:rsidR="00FB6710" w:rsidRPr="00183B5F" w:rsidRDefault="00FB6710" w:rsidP="004062FE">
      <w:pPr>
        <w:spacing w:line="240" w:lineRule="auto"/>
        <w:rPr>
          <w:del w:id="1929" w:author="AbbVie_HU_03" w:date="2025-05-14T15:27:00Z"/>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8"/>
        <w:gridCol w:w="1319"/>
        <w:gridCol w:w="1319"/>
        <w:gridCol w:w="1439"/>
        <w:gridCol w:w="1242"/>
        <w:gridCol w:w="1232"/>
        <w:gridCol w:w="1242"/>
      </w:tblGrid>
      <w:tr w:rsidR="00011D2F" w14:paraId="74AAFD0C" w14:textId="7CD228BE">
        <w:trPr>
          <w:del w:id="1930" w:author="AbbVie_HU_03" w:date="2025-05-14T15:27:00Z"/>
        </w:trPr>
        <w:tc>
          <w:tcPr>
            <w:tcW w:w="1303" w:type="dxa"/>
          </w:tcPr>
          <w:p w14:paraId="53974D29" w14:textId="21A55F47" w:rsidR="00FB6710" w:rsidRPr="00183B5F" w:rsidRDefault="00FB6710" w:rsidP="004062FE">
            <w:pPr>
              <w:spacing w:line="240" w:lineRule="auto"/>
              <w:rPr>
                <w:del w:id="1931" w:author="AbbVie_HU_03" w:date="2025-05-14T15:27:00Z"/>
                <w:szCs w:val="22"/>
              </w:rPr>
            </w:pPr>
          </w:p>
        </w:tc>
        <w:tc>
          <w:tcPr>
            <w:tcW w:w="1322" w:type="dxa"/>
          </w:tcPr>
          <w:p w14:paraId="6E77EE11" w14:textId="1F6C2CAB" w:rsidR="00FB6710" w:rsidRPr="00183B5F" w:rsidRDefault="00943743" w:rsidP="004062FE">
            <w:pPr>
              <w:spacing w:line="240" w:lineRule="auto"/>
              <w:rPr>
                <w:del w:id="1932" w:author="AbbVie_HU_03" w:date="2025-05-14T15:27:00Z"/>
                <w:szCs w:val="22"/>
              </w:rPr>
            </w:pPr>
            <w:del w:id="1933" w:author="AbbVie_HU_03" w:date="2025-05-14T15:27:00Z">
              <w:r w:rsidRPr="00183B5F">
                <w:rPr>
                  <w:szCs w:val="22"/>
                </w:rPr>
                <w:delText>MTX n</w:delText>
              </w:r>
              <w:r w:rsidR="00EE2699" w:rsidRPr="00183B5F">
                <w:rPr>
                  <w:szCs w:val="22"/>
                </w:rPr>
                <w:delText> </w:delText>
              </w:r>
              <w:r w:rsidRPr="00183B5F">
                <w:rPr>
                  <w:szCs w:val="22"/>
                </w:rPr>
                <w:delText>=</w:delText>
              </w:r>
              <w:r w:rsidR="00EE2699" w:rsidRPr="00183B5F">
                <w:rPr>
                  <w:szCs w:val="22"/>
                </w:rPr>
                <w:delText> </w:delText>
              </w:r>
              <w:r w:rsidRPr="00183B5F">
                <w:rPr>
                  <w:szCs w:val="22"/>
                </w:rPr>
                <w:delText>257 (95%-os konfidencia intervallum</w:delText>
              </w:r>
              <w:r w:rsidR="00903BD3" w:rsidRPr="00183B5F">
                <w:rPr>
                  <w:szCs w:val="22"/>
                </w:rPr>
                <w:delText>)</w:delText>
              </w:r>
            </w:del>
          </w:p>
        </w:tc>
        <w:tc>
          <w:tcPr>
            <w:tcW w:w="1322" w:type="dxa"/>
          </w:tcPr>
          <w:p w14:paraId="09F4E9A8" w14:textId="0628C697" w:rsidR="00FB6710" w:rsidRPr="00183B5F" w:rsidRDefault="00943743" w:rsidP="004062FE">
            <w:pPr>
              <w:spacing w:line="240" w:lineRule="auto"/>
              <w:rPr>
                <w:del w:id="1934" w:author="AbbVie_HU_03" w:date="2025-05-14T15:27:00Z"/>
                <w:szCs w:val="22"/>
              </w:rPr>
            </w:pPr>
            <w:del w:id="1935" w:author="AbbVie_HU_03" w:date="2025-05-14T15:27:00Z">
              <w:r w:rsidRPr="00183B5F">
                <w:rPr>
                  <w:szCs w:val="22"/>
                </w:rPr>
                <w:delText>Humira n</w:delText>
              </w:r>
              <w:r w:rsidR="00EE2699" w:rsidRPr="00183B5F">
                <w:rPr>
                  <w:szCs w:val="22"/>
                </w:rPr>
                <w:delText> </w:delText>
              </w:r>
              <w:r w:rsidRPr="00183B5F">
                <w:rPr>
                  <w:szCs w:val="22"/>
                </w:rPr>
                <w:delText>=</w:delText>
              </w:r>
              <w:r w:rsidR="00EE2699" w:rsidRPr="00183B5F">
                <w:rPr>
                  <w:szCs w:val="22"/>
                </w:rPr>
                <w:delText> </w:delText>
              </w:r>
              <w:r w:rsidRPr="00183B5F">
                <w:rPr>
                  <w:szCs w:val="22"/>
                </w:rPr>
                <w:delText>274 (95%-os konfidencia intervallum)</w:delText>
              </w:r>
            </w:del>
          </w:p>
        </w:tc>
        <w:tc>
          <w:tcPr>
            <w:tcW w:w="1439" w:type="dxa"/>
          </w:tcPr>
          <w:p w14:paraId="13B47FAA" w14:textId="24530588" w:rsidR="00FB6710" w:rsidRPr="00183B5F" w:rsidRDefault="00943743" w:rsidP="004062FE">
            <w:pPr>
              <w:spacing w:line="240" w:lineRule="auto"/>
              <w:rPr>
                <w:del w:id="1936" w:author="AbbVie_HU_03" w:date="2025-05-14T15:27:00Z"/>
                <w:szCs w:val="22"/>
              </w:rPr>
            </w:pPr>
            <w:del w:id="1937" w:author="AbbVie_HU_03" w:date="2025-05-14T15:27:00Z">
              <w:r w:rsidRPr="00183B5F">
                <w:rPr>
                  <w:szCs w:val="22"/>
                </w:rPr>
                <w:delText>Humira/MTX n</w:delText>
              </w:r>
              <w:r w:rsidR="00EE2699" w:rsidRPr="00183B5F">
                <w:rPr>
                  <w:szCs w:val="22"/>
                </w:rPr>
                <w:delText> </w:delText>
              </w:r>
              <w:r w:rsidRPr="00183B5F">
                <w:rPr>
                  <w:szCs w:val="22"/>
                </w:rPr>
                <w:delText>=</w:delText>
              </w:r>
              <w:r w:rsidR="00EE2699" w:rsidRPr="00183B5F">
                <w:rPr>
                  <w:szCs w:val="22"/>
                </w:rPr>
                <w:delText> </w:delText>
              </w:r>
              <w:r w:rsidRPr="00183B5F">
                <w:rPr>
                  <w:szCs w:val="22"/>
                </w:rPr>
                <w:delText>268 (95%-os konfidencia intervallum)</w:delText>
              </w:r>
            </w:del>
          </w:p>
        </w:tc>
        <w:tc>
          <w:tcPr>
            <w:tcW w:w="1300" w:type="dxa"/>
          </w:tcPr>
          <w:p w14:paraId="0E9267FD" w14:textId="5BBF0E06" w:rsidR="00FB6710" w:rsidRPr="00183B5F" w:rsidRDefault="00943743" w:rsidP="004062FE">
            <w:pPr>
              <w:spacing w:line="240" w:lineRule="auto"/>
              <w:rPr>
                <w:del w:id="1938" w:author="AbbVie_HU_03" w:date="2025-05-14T15:27:00Z"/>
                <w:szCs w:val="22"/>
              </w:rPr>
            </w:pPr>
            <w:del w:id="1939" w:author="AbbVie_HU_03" w:date="2025-05-14T15:27:00Z">
              <w:r w:rsidRPr="00183B5F">
                <w:rPr>
                  <w:szCs w:val="22"/>
                </w:rPr>
                <w:delText xml:space="preserve">p-érték </w:delText>
              </w:r>
              <w:r w:rsidRPr="00183B5F">
                <w:rPr>
                  <w:szCs w:val="22"/>
                  <w:vertAlign w:val="superscript"/>
                </w:rPr>
                <w:delText>a</w:delText>
              </w:r>
            </w:del>
          </w:p>
        </w:tc>
        <w:tc>
          <w:tcPr>
            <w:tcW w:w="1299" w:type="dxa"/>
          </w:tcPr>
          <w:p w14:paraId="21AC1679" w14:textId="599ACA0F" w:rsidR="00FB6710" w:rsidRPr="00183B5F" w:rsidRDefault="00943743" w:rsidP="004062FE">
            <w:pPr>
              <w:spacing w:line="240" w:lineRule="auto"/>
              <w:rPr>
                <w:del w:id="1940" w:author="AbbVie_HU_03" w:date="2025-05-14T15:27:00Z"/>
                <w:szCs w:val="22"/>
              </w:rPr>
            </w:pPr>
            <w:del w:id="1941" w:author="AbbVie_HU_03" w:date="2025-05-14T15:27:00Z">
              <w:r w:rsidRPr="00183B5F">
                <w:rPr>
                  <w:szCs w:val="22"/>
                </w:rPr>
                <w:delText xml:space="preserve">p-érték </w:delText>
              </w:r>
              <w:r w:rsidRPr="00183B5F">
                <w:rPr>
                  <w:szCs w:val="22"/>
                  <w:vertAlign w:val="superscript"/>
                </w:rPr>
                <w:delText>b</w:delText>
              </w:r>
            </w:del>
          </w:p>
        </w:tc>
        <w:tc>
          <w:tcPr>
            <w:tcW w:w="1300" w:type="dxa"/>
          </w:tcPr>
          <w:p w14:paraId="61E6F752" w14:textId="2E2FDA30" w:rsidR="00FB6710" w:rsidRPr="00183B5F" w:rsidRDefault="00943743" w:rsidP="004062FE">
            <w:pPr>
              <w:spacing w:line="240" w:lineRule="auto"/>
              <w:rPr>
                <w:del w:id="1942" w:author="AbbVie_HU_03" w:date="2025-05-14T15:27:00Z"/>
                <w:szCs w:val="22"/>
              </w:rPr>
            </w:pPr>
            <w:del w:id="1943" w:author="AbbVie_HU_03" w:date="2025-05-14T15:27:00Z">
              <w:r w:rsidRPr="00183B5F">
                <w:rPr>
                  <w:szCs w:val="22"/>
                </w:rPr>
                <w:delText xml:space="preserve">p-érték </w:delText>
              </w:r>
              <w:r w:rsidRPr="00183B5F">
                <w:rPr>
                  <w:szCs w:val="22"/>
                  <w:vertAlign w:val="superscript"/>
                </w:rPr>
                <w:delText>c</w:delText>
              </w:r>
            </w:del>
          </w:p>
        </w:tc>
      </w:tr>
      <w:tr w:rsidR="00011D2F" w14:paraId="01A6119A" w14:textId="27A0676D">
        <w:trPr>
          <w:del w:id="1944" w:author="AbbVie_HU_03" w:date="2025-05-14T15:27:00Z"/>
        </w:trPr>
        <w:tc>
          <w:tcPr>
            <w:tcW w:w="1303" w:type="dxa"/>
          </w:tcPr>
          <w:p w14:paraId="5EBAA3A7" w14:textId="00CD3760" w:rsidR="00FB6710" w:rsidRPr="00183B5F" w:rsidRDefault="00943743" w:rsidP="004062FE">
            <w:pPr>
              <w:spacing w:line="240" w:lineRule="auto"/>
              <w:rPr>
                <w:del w:id="1945" w:author="AbbVie_HU_03" w:date="2025-05-14T15:27:00Z"/>
                <w:szCs w:val="22"/>
              </w:rPr>
            </w:pPr>
            <w:del w:id="1946" w:author="AbbVie_HU_03" w:date="2025-05-14T15:27:00Z">
              <w:r w:rsidRPr="00183B5F">
                <w:rPr>
                  <w:szCs w:val="22"/>
                </w:rPr>
                <w:delText>Teljes Sharp</w:delText>
              </w:r>
              <w:r w:rsidR="005E4FD2" w:rsidRPr="00183B5F">
                <w:rPr>
                  <w:szCs w:val="22"/>
                </w:rPr>
                <w:delText>-</w:delText>
              </w:r>
              <w:r w:rsidRPr="00183B5F">
                <w:rPr>
                  <w:szCs w:val="22"/>
                </w:rPr>
                <w:delText>pont</w:delText>
              </w:r>
              <w:r w:rsidR="00903BD3" w:rsidRPr="00183B5F">
                <w:rPr>
                  <w:szCs w:val="22"/>
                </w:rPr>
                <w:delText>érték</w:delText>
              </w:r>
            </w:del>
          </w:p>
        </w:tc>
        <w:tc>
          <w:tcPr>
            <w:tcW w:w="1322" w:type="dxa"/>
          </w:tcPr>
          <w:p w14:paraId="392525E5" w14:textId="23D1084E" w:rsidR="00FB6710" w:rsidRPr="00183B5F" w:rsidRDefault="00943743" w:rsidP="004062FE">
            <w:pPr>
              <w:spacing w:line="240" w:lineRule="auto"/>
              <w:rPr>
                <w:del w:id="1947" w:author="AbbVie_HU_03" w:date="2025-05-14T15:27:00Z"/>
                <w:szCs w:val="22"/>
              </w:rPr>
            </w:pPr>
            <w:del w:id="1948" w:author="AbbVie_HU_03" w:date="2025-05-14T15:27:00Z">
              <w:r w:rsidRPr="00183B5F">
                <w:rPr>
                  <w:szCs w:val="22"/>
                </w:rPr>
                <w:delText>5,7 (4,2-7,3)</w:delText>
              </w:r>
            </w:del>
          </w:p>
        </w:tc>
        <w:tc>
          <w:tcPr>
            <w:tcW w:w="1322" w:type="dxa"/>
          </w:tcPr>
          <w:p w14:paraId="612B8F11" w14:textId="7BEC5A4B" w:rsidR="00FB6710" w:rsidRPr="00183B5F" w:rsidRDefault="00943743" w:rsidP="004062FE">
            <w:pPr>
              <w:spacing w:line="240" w:lineRule="auto"/>
              <w:rPr>
                <w:del w:id="1949" w:author="AbbVie_HU_03" w:date="2025-05-14T15:27:00Z"/>
                <w:szCs w:val="22"/>
              </w:rPr>
            </w:pPr>
            <w:del w:id="1950" w:author="AbbVie_HU_03" w:date="2025-05-14T15:27:00Z">
              <w:r w:rsidRPr="00183B5F">
                <w:rPr>
                  <w:szCs w:val="22"/>
                </w:rPr>
                <w:delText>3,0 (1,7-4,3)</w:delText>
              </w:r>
            </w:del>
          </w:p>
        </w:tc>
        <w:tc>
          <w:tcPr>
            <w:tcW w:w="1439" w:type="dxa"/>
          </w:tcPr>
          <w:p w14:paraId="5F1C66F3" w14:textId="7969E9B3" w:rsidR="00FB6710" w:rsidRPr="00183B5F" w:rsidRDefault="00943743" w:rsidP="004062FE">
            <w:pPr>
              <w:spacing w:line="240" w:lineRule="auto"/>
              <w:rPr>
                <w:del w:id="1951" w:author="AbbVie_HU_03" w:date="2025-05-14T15:27:00Z"/>
                <w:szCs w:val="22"/>
              </w:rPr>
            </w:pPr>
            <w:del w:id="1952" w:author="AbbVie_HU_03" w:date="2025-05-14T15:27:00Z">
              <w:r w:rsidRPr="00183B5F">
                <w:rPr>
                  <w:szCs w:val="22"/>
                </w:rPr>
                <w:delText>1,3 (0,5-2,1)</w:delText>
              </w:r>
            </w:del>
          </w:p>
        </w:tc>
        <w:tc>
          <w:tcPr>
            <w:tcW w:w="1300" w:type="dxa"/>
          </w:tcPr>
          <w:p w14:paraId="5FA66812" w14:textId="3F84D050" w:rsidR="00FB6710" w:rsidRPr="00183B5F" w:rsidRDefault="00943743" w:rsidP="004062FE">
            <w:pPr>
              <w:spacing w:line="240" w:lineRule="auto"/>
              <w:rPr>
                <w:del w:id="1953" w:author="AbbVie_HU_03" w:date="2025-05-14T15:27:00Z"/>
                <w:szCs w:val="22"/>
              </w:rPr>
            </w:pPr>
            <w:del w:id="1954" w:author="AbbVie_HU_03" w:date="2025-05-14T15:27:00Z">
              <w:r w:rsidRPr="00183B5F">
                <w:rPr>
                  <w:szCs w:val="22"/>
                </w:rPr>
                <w:delText>&lt; 0,001</w:delText>
              </w:r>
            </w:del>
          </w:p>
        </w:tc>
        <w:tc>
          <w:tcPr>
            <w:tcW w:w="1299" w:type="dxa"/>
          </w:tcPr>
          <w:p w14:paraId="0DF354AE" w14:textId="416E6AF8" w:rsidR="00FB6710" w:rsidRPr="00183B5F" w:rsidRDefault="00943743" w:rsidP="004062FE">
            <w:pPr>
              <w:spacing w:line="240" w:lineRule="auto"/>
              <w:rPr>
                <w:del w:id="1955" w:author="AbbVie_HU_03" w:date="2025-05-14T15:27:00Z"/>
                <w:szCs w:val="22"/>
              </w:rPr>
            </w:pPr>
            <w:del w:id="1956" w:author="AbbVie_HU_03" w:date="2025-05-14T15:27:00Z">
              <w:r w:rsidRPr="00183B5F">
                <w:rPr>
                  <w:szCs w:val="22"/>
                </w:rPr>
                <w:delText>0,0020</w:delText>
              </w:r>
            </w:del>
          </w:p>
        </w:tc>
        <w:tc>
          <w:tcPr>
            <w:tcW w:w="1300" w:type="dxa"/>
          </w:tcPr>
          <w:p w14:paraId="4B045E64" w14:textId="5FFDD34F" w:rsidR="00FB6710" w:rsidRPr="00183B5F" w:rsidRDefault="00943743" w:rsidP="004062FE">
            <w:pPr>
              <w:spacing w:line="240" w:lineRule="auto"/>
              <w:rPr>
                <w:del w:id="1957" w:author="AbbVie_HU_03" w:date="2025-05-14T15:27:00Z"/>
                <w:szCs w:val="22"/>
              </w:rPr>
            </w:pPr>
            <w:del w:id="1958" w:author="AbbVie_HU_03" w:date="2025-05-14T15:27:00Z">
              <w:r w:rsidRPr="00183B5F">
                <w:rPr>
                  <w:szCs w:val="22"/>
                </w:rPr>
                <w:delText>&lt; 0,001</w:delText>
              </w:r>
            </w:del>
          </w:p>
        </w:tc>
      </w:tr>
      <w:tr w:rsidR="00011D2F" w14:paraId="610C5A68" w14:textId="1D910145">
        <w:trPr>
          <w:del w:id="1959" w:author="AbbVie_HU_03" w:date="2025-05-14T15:27:00Z"/>
        </w:trPr>
        <w:tc>
          <w:tcPr>
            <w:tcW w:w="1303" w:type="dxa"/>
          </w:tcPr>
          <w:p w14:paraId="5AFDEA4E" w14:textId="3AA32C48" w:rsidR="00FB6710" w:rsidRPr="00183B5F" w:rsidRDefault="00943743" w:rsidP="004062FE">
            <w:pPr>
              <w:spacing w:line="240" w:lineRule="auto"/>
              <w:rPr>
                <w:del w:id="1960" w:author="AbbVie_HU_03" w:date="2025-05-14T15:27:00Z"/>
                <w:szCs w:val="22"/>
              </w:rPr>
            </w:pPr>
            <w:del w:id="1961" w:author="AbbVie_HU_03" w:date="2025-05-14T15:27:00Z">
              <w:r w:rsidRPr="00183B5F">
                <w:rPr>
                  <w:szCs w:val="22"/>
                </w:rPr>
                <w:delText>Eróziós pont</w:delText>
              </w:r>
              <w:r w:rsidR="00903BD3" w:rsidRPr="00183B5F">
                <w:rPr>
                  <w:szCs w:val="22"/>
                </w:rPr>
                <w:delText>érték</w:delText>
              </w:r>
            </w:del>
          </w:p>
        </w:tc>
        <w:tc>
          <w:tcPr>
            <w:tcW w:w="1322" w:type="dxa"/>
          </w:tcPr>
          <w:p w14:paraId="5A12965D" w14:textId="4B91BFED" w:rsidR="00FB6710" w:rsidRPr="00183B5F" w:rsidRDefault="00943743" w:rsidP="004062FE">
            <w:pPr>
              <w:spacing w:line="240" w:lineRule="auto"/>
              <w:rPr>
                <w:del w:id="1962" w:author="AbbVie_HU_03" w:date="2025-05-14T15:27:00Z"/>
                <w:szCs w:val="22"/>
              </w:rPr>
            </w:pPr>
            <w:del w:id="1963" w:author="AbbVie_HU_03" w:date="2025-05-14T15:27:00Z">
              <w:r w:rsidRPr="00183B5F">
                <w:rPr>
                  <w:szCs w:val="22"/>
                </w:rPr>
                <w:delText>3,7 (2,7-4,7)</w:delText>
              </w:r>
            </w:del>
          </w:p>
        </w:tc>
        <w:tc>
          <w:tcPr>
            <w:tcW w:w="1322" w:type="dxa"/>
          </w:tcPr>
          <w:p w14:paraId="161F65E6" w14:textId="1D16256D" w:rsidR="00FB6710" w:rsidRPr="00183B5F" w:rsidRDefault="00943743" w:rsidP="004062FE">
            <w:pPr>
              <w:spacing w:line="240" w:lineRule="auto"/>
              <w:rPr>
                <w:del w:id="1964" w:author="AbbVie_HU_03" w:date="2025-05-14T15:27:00Z"/>
                <w:szCs w:val="22"/>
              </w:rPr>
            </w:pPr>
            <w:del w:id="1965" w:author="AbbVie_HU_03" w:date="2025-05-14T15:27:00Z">
              <w:r w:rsidRPr="00183B5F">
                <w:rPr>
                  <w:szCs w:val="22"/>
                </w:rPr>
                <w:delText>1,7 (1,0-2,4)</w:delText>
              </w:r>
            </w:del>
          </w:p>
        </w:tc>
        <w:tc>
          <w:tcPr>
            <w:tcW w:w="1439" w:type="dxa"/>
          </w:tcPr>
          <w:p w14:paraId="4D94E28C" w14:textId="11D657D9" w:rsidR="00FB6710" w:rsidRPr="00183B5F" w:rsidRDefault="00943743" w:rsidP="004062FE">
            <w:pPr>
              <w:spacing w:line="240" w:lineRule="auto"/>
              <w:rPr>
                <w:del w:id="1966" w:author="AbbVie_HU_03" w:date="2025-05-14T15:27:00Z"/>
                <w:szCs w:val="22"/>
              </w:rPr>
            </w:pPr>
            <w:del w:id="1967" w:author="AbbVie_HU_03" w:date="2025-05-14T15:27:00Z">
              <w:r w:rsidRPr="00183B5F">
                <w:rPr>
                  <w:szCs w:val="22"/>
                </w:rPr>
                <w:delText>0,8 (0,4-1,2)</w:delText>
              </w:r>
            </w:del>
          </w:p>
        </w:tc>
        <w:tc>
          <w:tcPr>
            <w:tcW w:w="1300" w:type="dxa"/>
          </w:tcPr>
          <w:p w14:paraId="63C40553" w14:textId="5C242F4C" w:rsidR="00FB6710" w:rsidRPr="00183B5F" w:rsidRDefault="00943743" w:rsidP="004062FE">
            <w:pPr>
              <w:spacing w:line="240" w:lineRule="auto"/>
              <w:rPr>
                <w:del w:id="1968" w:author="AbbVie_HU_03" w:date="2025-05-14T15:27:00Z"/>
                <w:szCs w:val="22"/>
              </w:rPr>
            </w:pPr>
            <w:del w:id="1969" w:author="AbbVie_HU_03" w:date="2025-05-14T15:27:00Z">
              <w:r w:rsidRPr="00183B5F">
                <w:rPr>
                  <w:szCs w:val="22"/>
                </w:rPr>
                <w:delText>&lt; 0,001</w:delText>
              </w:r>
            </w:del>
          </w:p>
        </w:tc>
        <w:tc>
          <w:tcPr>
            <w:tcW w:w="1299" w:type="dxa"/>
          </w:tcPr>
          <w:p w14:paraId="720D33A4" w14:textId="2E15C66E" w:rsidR="00FB6710" w:rsidRPr="00183B5F" w:rsidRDefault="00943743" w:rsidP="004062FE">
            <w:pPr>
              <w:spacing w:line="240" w:lineRule="auto"/>
              <w:rPr>
                <w:del w:id="1970" w:author="AbbVie_HU_03" w:date="2025-05-14T15:27:00Z"/>
                <w:szCs w:val="22"/>
              </w:rPr>
            </w:pPr>
            <w:del w:id="1971" w:author="AbbVie_HU_03" w:date="2025-05-14T15:27:00Z">
              <w:r w:rsidRPr="00183B5F">
                <w:rPr>
                  <w:szCs w:val="22"/>
                </w:rPr>
                <w:delText>0,0082</w:delText>
              </w:r>
            </w:del>
          </w:p>
        </w:tc>
        <w:tc>
          <w:tcPr>
            <w:tcW w:w="1300" w:type="dxa"/>
          </w:tcPr>
          <w:p w14:paraId="7F830965" w14:textId="4AF469F0" w:rsidR="00FB6710" w:rsidRPr="00183B5F" w:rsidRDefault="00943743" w:rsidP="004062FE">
            <w:pPr>
              <w:spacing w:line="240" w:lineRule="auto"/>
              <w:rPr>
                <w:del w:id="1972" w:author="AbbVie_HU_03" w:date="2025-05-14T15:27:00Z"/>
                <w:szCs w:val="22"/>
              </w:rPr>
            </w:pPr>
            <w:del w:id="1973" w:author="AbbVie_HU_03" w:date="2025-05-14T15:27:00Z">
              <w:r w:rsidRPr="00183B5F">
                <w:rPr>
                  <w:szCs w:val="22"/>
                </w:rPr>
                <w:delText>&lt; 0,001</w:delText>
              </w:r>
            </w:del>
          </w:p>
        </w:tc>
      </w:tr>
      <w:tr w:rsidR="00011D2F" w14:paraId="71DC6CD4" w14:textId="75D4CEED">
        <w:trPr>
          <w:del w:id="1974" w:author="AbbVie_HU_03" w:date="2025-05-14T15:27:00Z"/>
        </w:trPr>
        <w:tc>
          <w:tcPr>
            <w:tcW w:w="1303" w:type="dxa"/>
          </w:tcPr>
          <w:p w14:paraId="31F52538" w14:textId="1CEA1174" w:rsidR="00FB6710" w:rsidRPr="00183B5F" w:rsidRDefault="00943743" w:rsidP="004062FE">
            <w:pPr>
              <w:spacing w:line="240" w:lineRule="auto"/>
              <w:rPr>
                <w:del w:id="1975" w:author="AbbVie_HU_03" w:date="2025-05-14T15:27:00Z"/>
                <w:szCs w:val="22"/>
              </w:rPr>
            </w:pPr>
            <w:del w:id="1976" w:author="AbbVie_HU_03" w:date="2025-05-14T15:27:00Z">
              <w:r w:rsidRPr="00183B5F">
                <w:rPr>
                  <w:szCs w:val="22"/>
                </w:rPr>
                <w:delText>JSN</w:delText>
              </w:r>
              <w:r w:rsidR="00095F2C" w:rsidRPr="00183B5F">
                <w:rPr>
                  <w:szCs w:val="22"/>
                </w:rPr>
                <w:delText>-</w:delText>
              </w:r>
              <w:r w:rsidRPr="00183B5F">
                <w:rPr>
                  <w:szCs w:val="22"/>
                </w:rPr>
                <w:delText>pont</w:delText>
              </w:r>
              <w:r w:rsidR="00903BD3" w:rsidRPr="00183B5F">
                <w:rPr>
                  <w:szCs w:val="22"/>
                </w:rPr>
                <w:delText>érték</w:delText>
              </w:r>
            </w:del>
          </w:p>
        </w:tc>
        <w:tc>
          <w:tcPr>
            <w:tcW w:w="1322" w:type="dxa"/>
          </w:tcPr>
          <w:p w14:paraId="24A19C3A" w14:textId="206FD773" w:rsidR="00FB6710" w:rsidRPr="00183B5F" w:rsidRDefault="00943743" w:rsidP="004062FE">
            <w:pPr>
              <w:spacing w:line="240" w:lineRule="auto"/>
              <w:rPr>
                <w:del w:id="1977" w:author="AbbVie_HU_03" w:date="2025-05-14T15:27:00Z"/>
                <w:szCs w:val="22"/>
              </w:rPr>
            </w:pPr>
            <w:del w:id="1978" w:author="AbbVie_HU_03" w:date="2025-05-14T15:27:00Z">
              <w:r w:rsidRPr="00183B5F">
                <w:rPr>
                  <w:szCs w:val="22"/>
                </w:rPr>
                <w:delText>2,0 (1,2-2,8)</w:delText>
              </w:r>
            </w:del>
          </w:p>
        </w:tc>
        <w:tc>
          <w:tcPr>
            <w:tcW w:w="1322" w:type="dxa"/>
          </w:tcPr>
          <w:p w14:paraId="66F33077" w14:textId="59516D67" w:rsidR="00FB6710" w:rsidRPr="00183B5F" w:rsidRDefault="00943743" w:rsidP="004062FE">
            <w:pPr>
              <w:spacing w:line="240" w:lineRule="auto"/>
              <w:rPr>
                <w:del w:id="1979" w:author="AbbVie_HU_03" w:date="2025-05-14T15:27:00Z"/>
                <w:szCs w:val="22"/>
              </w:rPr>
            </w:pPr>
            <w:del w:id="1980" w:author="AbbVie_HU_03" w:date="2025-05-14T15:27:00Z">
              <w:r w:rsidRPr="00183B5F">
                <w:rPr>
                  <w:szCs w:val="22"/>
                </w:rPr>
                <w:delText>1,3 (0,5-2,1)</w:delText>
              </w:r>
            </w:del>
          </w:p>
        </w:tc>
        <w:tc>
          <w:tcPr>
            <w:tcW w:w="1439" w:type="dxa"/>
          </w:tcPr>
          <w:p w14:paraId="1A972571" w14:textId="3D019CF4" w:rsidR="00FB6710" w:rsidRPr="00183B5F" w:rsidRDefault="00943743" w:rsidP="004062FE">
            <w:pPr>
              <w:spacing w:line="240" w:lineRule="auto"/>
              <w:rPr>
                <w:del w:id="1981" w:author="AbbVie_HU_03" w:date="2025-05-14T15:27:00Z"/>
                <w:szCs w:val="22"/>
              </w:rPr>
            </w:pPr>
            <w:del w:id="1982" w:author="AbbVie_HU_03" w:date="2025-05-14T15:27:00Z">
              <w:r w:rsidRPr="00183B5F">
                <w:rPr>
                  <w:szCs w:val="22"/>
                </w:rPr>
                <w:delText>0,5 (0-1,0)</w:delText>
              </w:r>
            </w:del>
          </w:p>
        </w:tc>
        <w:tc>
          <w:tcPr>
            <w:tcW w:w="1300" w:type="dxa"/>
          </w:tcPr>
          <w:p w14:paraId="33841C38" w14:textId="4B8C0660" w:rsidR="00FB6710" w:rsidRPr="00183B5F" w:rsidRDefault="00943743" w:rsidP="004062FE">
            <w:pPr>
              <w:spacing w:line="240" w:lineRule="auto"/>
              <w:rPr>
                <w:del w:id="1983" w:author="AbbVie_HU_03" w:date="2025-05-14T15:27:00Z"/>
                <w:szCs w:val="22"/>
              </w:rPr>
            </w:pPr>
            <w:del w:id="1984" w:author="AbbVie_HU_03" w:date="2025-05-14T15:27:00Z">
              <w:r w:rsidRPr="00183B5F">
                <w:rPr>
                  <w:szCs w:val="22"/>
                </w:rPr>
                <w:delText>&lt; 0,001</w:delText>
              </w:r>
            </w:del>
          </w:p>
        </w:tc>
        <w:tc>
          <w:tcPr>
            <w:tcW w:w="1299" w:type="dxa"/>
          </w:tcPr>
          <w:p w14:paraId="6E3B64B6" w14:textId="284E6E70" w:rsidR="00FB6710" w:rsidRPr="00183B5F" w:rsidRDefault="00943743" w:rsidP="004062FE">
            <w:pPr>
              <w:spacing w:line="240" w:lineRule="auto"/>
              <w:rPr>
                <w:del w:id="1985" w:author="AbbVie_HU_03" w:date="2025-05-14T15:27:00Z"/>
                <w:szCs w:val="22"/>
              </w:rPr>
            </w:pPr>
            <w:del w:id="1986" w:author="AbbVie_HU_03" w:date="2025-05-14T15:27:00Z">
              <w:r w:rsidRPr="00183B5F">
                <w:rPr>
                  <w:szCs w:val="22"/>
                </w:rPr>
                <w:delText>0,0037</w:delText>
              </w:r>
            </w:del>
          </w:p>
        </w:tc>
        <w:tc>
          <w:tcPr>
            <w:tcW w:w="1300" w:type="dxa"/>
          </w:tcPr>
          <w:p w14:paraId="7793882F" w14:textId="747CE11B" w:rsidR="00FB6710" w:rsidRPr="00183B5F" w:rsidRDefault="00943743" w:rsidP="004062FE">
            <w:pPr>
              <w:spacing w:line="240" w:lineRule="auto"/>
              <w:rPr>
                <w:del w:id="1987" w:author="AbbVie_HU_03" w:date="2025-05-14T15:27:00Z"/>
                <w:szCs w:val="22"/>
              </w:rPr>
            </w:pPr>
            <w:del w:id="1988" w:author="AbbVie_HU_03" w:date="2025-05-14T15:27:00Z">
              <w:r w:rsidRPr="00183B5F">
                <w:rPr>
                  <w:szCs w:val="22"/>
                </w:rPr>
                <w:delText>0,151</w:delText>
              </w:r>
            </w:del>
          </w:p>
        </w:tc>
      </w:tr>
    </w:tbl>
    <w:p w14:paraId="304807AA" w14:textId="777A904F" w:rsidR="00FB6710" w:rsidRPr="00183B5F" w:rsidRDefault="00943743" w:rsidP="00832DC3">
      <w:pPr>
        <w:spacing w:line="240" w:lineRule="auto"/>
        <w:ind w:left="142" w:hanging="142"/>
        <w:rPr>
          <w:del w:id="1989" w:author="AbbVie_HU_03" w:date="2025-05-14T15:27:00Z"/>
          <w:szCs w:val="22"/>
        </w:rPr>
      </w:pPr>
      <w:del w:id="1990" w:author="AbbVie_HU_03" w:date="2025-05-14T15:27:00Z">
        <w:r w:rsidRPr="00183B5F">
          <w:rPr>
            <w:szCs w:val="22"/>
            <w:vertAlign w:val="superscript"/>
          </w:rPr>
          <w:delText>a</w:delText>
        </w:r>
        <w:r w:rsidRPr="00183B5F">
          <w:rPr>
            <w:szCs w:val="22"/>
          </w:rPr>
          <w:delText> </w:delText>
        </w:r>
        <w:r w:rsidR="00D97615" w:rsidRPr="00183B5F">
          <w:rPr>
            <w:szCs w:val="22"/>
          </w:rPr>
          <w:tab/>
        </w:r>
        <w:r w:rsidRPr="00183B5F">
          <w:rPr>
            <w:szCs w:val="22"/>
          </w:rPr>
          <w:delText>a p</w:delText>
        </w:r>
        <w:r w:rsidR="005A4B87" w:rsidRPr="00183B5F">
          <w:rPr>
            <w:szCs w:val="22"/>
          </w:rPr>
          <w:noBreakHyphen/>
        </w:r>
        <w:r w:rsidRPr="00183B5F">
          <w:rPr>
            <w:szCs w:val="22"/>
          </w:rPr>
          <w:delText xml:space="preserve">érték a </w:delText>
        </w:r>
        <w:r w:rsidR="001A6E66" w:rsidRPr="00183B5F">
          <w:rPr>
            <w:szCs w:val="22"/>
          </w:rPr>
          <w:delText>metotrexát-mono</w:delText>
        </w:r>
        <w:r w:rsidRPr="00183B5F">
          <w:rPr>
            <w:szCs w:val="22"/>
          </w:rPr>
          <w:delText xml:space="preserve">terápia és a Humira/metotrexát kombinációs terápia páros összehasonlítása </w:delText>
        </w:r>
        <w:r w:rsidR="001A6E66" w:rsidRPr="00183B5F">
          <w:rPr>
            <w:szCs w:val="22"/>
          </w:rPr>
          <w:delText>alapján, Mann</w:delText>
        </w:r>
        <w:r w:rsidR="005A4B87" w:rsidRPr="00183B5F">
          <w:rPr>
            <w:szCs w:val="22"/>
          </w:rPr>
          <w:noBreakHyphen/>
        </w:r>
        <w:r w:rsidRPr="00183B5F">
          <w:rPr>
            <w:szCs w:val="22"/>
          </w:rPr>
          <w:delText xml:space="preserve">Whitney </w:delText>
        </w:r>
        <w:r w:rsidR="001A6E66" w:rsidRPr="00183B5F">
          <w:rPr>
            <w:szCs w:val="22"/>
          </w:rPr>
          <w:delText>U-teszt</w:delText>
        </w:r>
        <w:r w:rsidRPr="00183B5F">
          <w:rPr>
            <w:szCs w:val="22"/>
          </w:rPr>
          <w:delText xml:space="preserve"> szerint</w:delText>
        </w:r>
      </w:del>
    </w:p>
    <w:p w14:paraId="565AC7F8" w14:textId="0DE28F03" w:rsidR="00FB6710" w:rsidRPr="00183B5F" w:rsidRDefault="00943743" w:rsidP="00832DC3">
      <w:pPr>
        <w:spacing w:line="240" w:lineRule="auto"/>
        <w:ind w:left="142" w:hanging="142"/>
        <w:rPr>
          <w:del w:id="1991" w:author="AbbVie_HU_03" w:date="2025-05-14T15:27:00Z"/>
          <w:szCs w:val="22"/>
        </w:rPr>
      </w:pPr>
      <w:del w:id="1992" w:author="AbbVie_HU_03" w:date="2025-05-14T15:27:00Z">
        <w:r w:rsidRPr="00183B5F">
          <w:rPr>
            <w:szCs w:val="22"/>
            <w:vertAlign w:val="superscript"/>
          </w:rPr>
          <w:delText>b</w:delText>
        </w:r>
        <w:r w:rsidRPr="00183B5F">
          <w:rPr>
            <w:szCs w:val="22"/>
          </w:rPr>
          <w:delText> </w:delText>
        </w:r>
        <w:r w:rsidR="00D97615" w:rsidRPr="00183B5F">
          <w:rPr>
            <w:szCs w:val="22"/>
          </w:rPr>
          <w:tab/>
        </w:r>
        <w:r w:rsidRPr="00183B5F">
          <w:rPr>
            <w:szCs w:val="22"/>
          </w:rPr>
          <w:delText>a p</w:delText>
        </w:r>
        <w:r w:rsidR="005A4B87" w:rsidRPr="00183B5F">
          <w:rPr>
            <w:szCs w:val="22"/>
          </w:rPr>
          <w:noBreakHyphen/>
        </w:r>
        <w:r w:rsidRPr="00183B5F">
          <w:rPr>
            <w:szCs w:val="22"/>
          </w:rPr>
          <w:delText xml:space="preserve">érték a </w:delText>
        </w:r>
        <w:r w:rsidR="005C406C" w:rsidRPr="00183B5F">
          <w:rPr>
            <w:szCs w:val="22"/>
          </w:rPr>
          <w:delText>Humira-monoterá</w:delText>
        </w:r>
        <w:r w:rsidRPr="00183B5F">
          <w:rPr>
            <w:szCs w:val="22"/>
          </w:rPr>
          <w:delText xml:space="preserve">pia és a Humira/metotrexát kombinációs terápia páros összehasonlítása </w:delText>
        </w:r>
        <w:r w:rsidR="001A6E66" w:rsidRPr="00183B5F">
          <w:rPr>
            <w:szCs w:val="22"/>
          </w:rPr>
          <w:delText>alapján, Mann</w:delText>
        </w:r>
        <w:r w:rsidR="005A4B87" w:rsidRPr="00183B5F">
          <w:rPr>
            <w:szCs w:val="22"/>
          </w:rPr>
          <w:noBreakHyphen/>
        </w:r>
        <w:r w:rsidRPr="00183B5F">
          <w:rPr>
            <w:szCs w:val="22"/>
          </w:rPr>
          <w:delText xml:space="preserve">Whitney </w:delText>
        </w:r>
        <w:r w:rsidR="001A6E66" w:rsidRPr="00183B5F">
          <w:rPr>
            <w:szCs w:val="22"/>
          </w:rPr>
          <w:delText>U-teszt</w:delText>
        </w:r>
        <w:r w:rsidRPr="00183B5F">
          <w:rPr>
            <w:szCs w:val="22"/>
          </w:rPr>
          <w:delText xml:space="preserve"> szerint</w:delText>
        </w:r>
      </w:del>
    </w:p>
    <w:p w14:paraId="73B64C4F" w14:textId="09B9DC15" w:rsidR="00FB6710" w:rsidRPr="00183B5F" w:rsidRDefault="00943743" w:rsidP="00832DC3">
      <w:pPr>
        <w:spacing w:line="240" w:lineRule="auto"/>
        <w:ind w:left="142" w:hanging="142"/>
        <w:rPr>
          <w:del w:id="1993" w:author="AbbVie_HU_03" w:date="2025-05-14T15:27:00Z"/>
          <w:szCs w:val="22"/>
        </w:rPr>
      </w:pPr>
      <w:del w:id="1994" w:author="AbbVie_HU_03" w:date="2025-05-14T15:27:00Z">
        <w:r w:rsidRPr="00183B5F">
          <w:rPr>
            <w:szCs w:val="22"/>
            <w:vertAlign w:val="superscript"/>
          </w:rPr>
          <w:delText>c</w:delText>
        </w:r>
        <w:r w:rsidRPr="00183B5F">
          <w:rPr>
            <w:szCs w:val="22"/>
          </w:rPr>
          <w:delText> </w:delText>
        </w:r>
        <w:r w:rsidR="00D97615" w:rsidRPr="00183B5F">
          <w:rPr>
            <w:szCs w:val="22"/>
          </w:rPr>
          <w:tab/>
        </w:r>
        <w:r w:rsidRPr="00183B5F">
          <w:rPr>
            <w:szCs w:val="22"/>
          </w:rPr>
          <w:delText>a p</w:delText>
        </w:r>
        <w:r w:rsidR="005A4B87" w:rsidRPr="00183B5F">
          <w:rPr>
            <w:szCs w:val="22"/>
          </w:rPr>
          <w:noBreakHyphen/>
        </w:r>
        <w:r w:rsidRPr="00183B5F">
          <w:rPr>
            <w:szCs w:val="22"/>
          </w:rPr>
          <w:delText xml:space="preserve">érték a </w:delText>
        </w:r>
        <w:r w:rsidR="005C406C" w:rsidRPr="00183B5F">
          <w:rPr>
            <w:szCs w:val="22"/>
          </w:rPr>
          <w:delText>Humira-monoterá</w:delText>
        </w:r>
        <w:r w:rsidRPr="00183B5F">
          <w:rPr>
            <w:szCs w:val="22"/>
          </w:rPr>
          <w:delText xml:space="preserve">pia és a </w:delText>
        </w:r>
        <w:r w:rsidR="001A6E66" w:rsidRPr="00183B5F">
          <w:rPr>
            <w:szCs w:val="22"/>
          </w:rPr>
          <w:delText>metotrexát-mono</w:delText>
        </w:r>
        <w:r w:rsidR="009126D0" w:rsidRPr="00183B5F">
          <w:rPr>
            <w:szCs w:val="22"/>
          </w:rPr>
          <w:delText xml:space="preserve">terápia </w:delText>
        </w:r>
        <w:r w:rsidRPr="00183B5F">
          <w:rPr>
            <w:szCs w:val="22"/>
          </w:rPr>
          <w:delText xml:space="preserve">páros összehasonlítása </w:delText>
        </w:r>
        <w:r w:rsidR="001A6E66" w:rsidRPr="00183B5F">
          <w:rPr>
            <w:szCs w:val="22"/>
          </w:rPr>
          <w:delText>alapján, Mann</w:delText>
        </w:r>
        <w:r w:rsidR="005A4B87" w:rsidRPr="00183B5F">
          <w:rPr>
            <w:szCs w:val="22"/>
          </w:rPr>
          <w:noBreakHyphen/>
        </w:r>
        <w:r w:rsidRPr="00183B5F">
          <w:rPr>
            <w:szCs w:val="22"/>
          </w:rPr>
          <w:delText xml:space="preserve">Whitney </w:delText>
        </w:r>
        <w:r w:rsidR="001A6E66" w:rsidRPr="00183B5F">
          <w:rPr>
            <w:szCs w:val="22"/>
          </w:rPr>
          <w:delText>U-teszt</w:delText>
        </w:r>
        <w:r w:rsidRPr="00183B5F">
          <w:rPr>
            <w:szCs w:val="22"/>
          </w:rPr>
          <w:delText xml:space="preserve"> szerint</w:delText>
        </w:r>
      </w:del>
    </w:p>
    <w:p w14:paraId="339A5D06" w14:textId="3A3CCC13" w:rsidR="00FB6710" w:rsidRPr="00183B5F" w:rsidRDefault="00FB6710" w:rsidP="004062FE">
      <w:pPr>
        <w:spacing w:line="240" w:lineRule="auto"/>
        <w:rPr>
          <w:del w:id="1995" w:author="AbbVie_HU_03" w:date="2025-05-14T15:27:00Z"/>
          <w:szCs w:val="22"/>
          <w:u w:val="single"/>
        </w:rPr>
      </w:pPr>
    </w:p>
    <w:p w14:paraId="43EF7F6E" w14:textId="7400C4F0" w:rsidR="00FB6710" w:rsidRPr="00183B5F" w:rsidRDefault="00943743" w:rsidP="004062FE">
      <w:pPr>
        <w:spacing w:line="240" w:lineRule="auto"/>
        <w:rPr>
          <w:del w:id="1996" w:author="AbbVie_HU_03" w:date="2025-05-14T15:27:00Z"/>
          <w:szCs w:val="22"/>
        </w:rPr>
      </w:pPr>
      <w:del w:id="1997" w:author="AbbVie_HU_03" w:date="2025-05-14T15:27:00Z">
        <w:r w:rsidRPr="00183B5F">
          <w:rPr>
            <w:szCs w:val="22"/>
          </w:rPr>
          <w:delText>Ötvenkét, illetve 104</w:delText>
        </w:r>
        <w:r w:rsidR="00A44DB6" w:rsidRPr="00183B5F">
          <w:rPr>
            <w:szCs w:val="22"/>
          </w:rPr>
          <w:delText> hét</w:delText>
        </w:r>
        <w:r w:rsidRPr="00183B5F">
          <w:rPr>
            <w:szCs w:val="22"/>
          </w:rPr>
          <w:delText xml:space="preserve">ig tartó kezelés után a progresszió nélküli betegek százaléka (a módosított </w:delText>
        </w:r>
        <w:r w:rsidR="005E4FD2" w:rsidRPr="00183B5F">
          <w:rPr>
            <w:szCs w:val="22"/>
          </w:rPr>
          <w:delText xml:space="preserve">teljes </w:delText>
        </w:r>
        <w:r w:rsidRPr="00183B5F">
          <w:rPr>
            <w:szCs w:val="22"/>
          </w:rPr>
          <w:delText>Sharp</w:delText>
        </w:r>
        <w:r w:rsidR="005E4FD2" w:rsidRPr="00183B5F">
          <w:rPr>
            <w:szCs w:val="22"/>
          </w:rPr>
          <w:delText>-</w:delText>
        </w:r>
        <w:r w:rsidRPr="00183B5F">
          <w:rPr>
            <w:szCs w:val="22"/>
          </w:rPr>
          <w:delText>pont</w:delText>
        </w:r>
        <w:r w:rsidR="00903BD3" w:rsidRPr="00183B5F">
          <w:rPr>
            <w:szCs w:val="22"/>
          </w:rPr>
          <w:delText>érték</w:delText>
        </w:r>
        <w:r w:rsidRPr="00183B5F">
          <w:rPr>
            <w:szCs w:val="22"/>
          </w:rPr>
          <w:delText xml:space="preserve"> </w:delText>
        </w:r>
        <w:r w:rsidR="009126D0" w:rsidRPr="00183B5F">
          <w:rPr>
            <w:szCs w:val="22"/>
          </w:rPr>
          <w:delText xml:space="preserve">változása a kiinduláshoz képest </w:delText>
        </w:r>
        <w:r w:rsidR="00EF76C8" w:rsidRPr="00183B5F">
          <w:rPr>
            <w:szCs w:val="22"/>
          </w:rPr>
          <w:delText>≤</w:delText>
        </w:r>
        <w:r w:rsidRPr="00183B5F">
          <w:rPr>
            <w:szCs w:val="22"/>
          </w:rPr>
          <w:delText xml:space="preserve"> 0,5) </w:delText>
        </w:r>
        <w:r w:rsidR="00903BD3" w:rsidRPr="00183B5F">
          <w:rPr>
            <w:szCs w:val="22"/>
          </w:rPr>
          <w:delText xml:space="preserve">szignifikánsan </w:delText>
        </w:r>
        <w:r w:rsidRPr="00183B5F">
          <w:rPr>
            <w:szCs w:val="22"/>
          </w:rPr>
          <w:delText>magasabb volt a Humira/metotrexát kombinációs kezelésben részesült betegeknél (</w:delText>
        </w:r>
        <w:r w:rsidR="00EF76C8" w:rsidRPr="00183B5F">
          <w:rPr>
            <w:szCs w:val="22"/>
          </w:rPr>
          <w:delText xml:space="preserve">rendre </w:delText>
        </w:r>
        <w:r w:rsidRPr="00183B5F">
          <w:rPr>
            <w:szCs w:val="22"/>
          </w:rPr>
          <w:delText xml:space="preserve">63,8%, illetve 61,2%) összehasonlítva a </w:delText>
        </w:r>
        <w:r w:rsidR="001A6E66" w:rsidRPr="00183B5F">
          <w:rPr>
            <w:szCs w:val="22"/>
          </w:rPr>
          <w:delText>metotrexát-mono</w:delText>
        </w:r>
        <w:r w:rsidRPr="00183B5F">
          <w:rPr>
            <w:szCs w:val="22"/>
          </w:rPr>
          <w:delText>terápia eredményével (</w:delText>
        </w:r>
        <w:r w:rsidR="00EF76C8" w:rsidRPr="00183B5F">
          <w:rPr>
            <w:szCs w:val="22"/>
          </w:rPr>
          <w:delText xml:space="preserve">rendre </w:delText>
        </w:r>
        <w:r w:rsidRPr="00183B5F">
          <w:rPr>
            <w:szCs w:val="22"/>
          </w:rPr>
          <w:delText>37,4% és 33,</w:delText>
        </w:r>
        <w:r w:rsidR="00EF76C8" w:rsidRPr="00183B5F">
          <w:rPr>
            <w:szCs w:val="22"/>
          </w:rPr>
          <w:delText>5</w:delText>
        </w:r>
        <w:r w:rsidRPr="00183B5F">
          <w:rPr>
            <w:szCs w:val="22"/>
          </w:rPr>
          <w:delText xml:space="preserve">%, p &lt; 0,001) és </w:delText>
        </w:r>
        <w:r w:rsidR="005C406C" w:rsidRPr="00183B5F">
          <w:rPr>
            <w:szCs w:val="22"/>
          </w:rPr>
          <w:delText>Humira-monoterá</w:delText>
        </w:r>
        <w:r w:rsidRPr="00183B5F">
          <w:rPr>
            <w:szCs w:val="22"/>
          </w:rPr>
          <w:delText>piával (50,7%, p &lt; 0,002 és 44,5%, p &lt; 0,001).</w:delText>
        </w:r>
      </w:del>
    </w:p>
    <w:p w14:paraId="55F8670A" w14:textId="5C90282B" w:rsidR="009B2EAD" w:rsidRPr="00183B5F" w:rsidRDefault="009B2EAD" w:rsidP="004062FE">
      <w:pPr>
        <w:spacing w:line="240" w:lineRule="auto"/>
        <w:rPr>
          <w:del w:id="1998" w:author="AbbVie_HU_03" w:date="2025-05-14T15:27:00Z"/>
          <w:szCs w:val="22"/>
        </w:rPr>
      </w:pPr>
    </w:p>
    <w:p w14:paraId="3595E0CC" w14:textId="4FE5AEB8" w:rsidR="009B2EAD" w:rsidRPr="00183B5F" w:rsidRDefault="00943743" w:rsidP="004062FE">
      <w:pPr>
        <w:spacing w:line="240" w:lineRule="auto"/>
        <w:rPr>
          <w:del w:id="1999" w:author="AbbVie_HU_03" w:date="2025-05-14T15:27:00Z"/>
          <w:szCs w:val="22"/>
        </w:rPr>
      </w:pPr>
      <w:del w:id="2000" w:author="AbbVie_HU_03" w:date="2025-05-14T15:27:00Z">
        <w:r w:rsidRPr="00183B5F">
          <w:rPr>
            <w:szCs w:val="22"/>
          </w:rPr>
          <w:delText xml:space="preserve">Az RA V </w:delText>
        </w:r>
        <w:r w:rsidR="001D17B2" w:rsidRPr="00183B5F">
          <w:rPr>
            <w:szCs w:val="22"/>
          </w:rPr>
          <w:delText xml:space="preserve">vizsgálat </w:delText>
        </w:r>
        <w:r w:rsidR="000E3131" w:rsidRPr="00183B5F">
          <w:rPr>
            <w:szCs w:val="22"/>
          </w:rPr>
          <w:delText xml:space="preserve">nyílt </w:delText>
        </w:r>
        <w:r w:rsidR="001D17B2" w:rsidRPr="00183B5F">
          <w:rPr>
            <w:szCs w:val="22"/>
          </w:rPr>
          <w:delText xml:space="preserve">elrendezésű </w:delText>
        </w:r>
        <w:r w:rsidR="000E3131" w:rsidRPr="00183B5F">
          <w:rPr>
            <w:szCs w:val="22"/>
          </w:rPr>
          <w:delText>kiterjeszt</w:delText>
        </w:r>
        <w:r w:rsidR="001D17B2" w:rsidRPr="00183B5F">
          <w:rPr>
            <w:szCs w:val="22"/>
          </w:rPr>
          <w:delText>ésének</w:delText>
        </w:r>
        <w:r w:rsidR="00BD4C56" w:rsidRPr="00183B5F">
          <w:rPr>
            <w:szCs w:val="22"/>
          </w:rPr>
          <w:delText xml:space="preserve"> 10.</w:delText>
        </w:r>
        <w:r w:rsidR="001D17B2" w:rsidRPr="00183B5F">
          <w:rPr>
            <w:szCs w:val="22"/>
          </w:rPr>
          <w:delText> </w:delText>
        </w:r>
        <w:r w:rsidR="00BD4C56" w:rsidRPr="00183B5F">
          <w:rPr>
            <w:szCs w:val="22"/>
          </w:rPr>
          <w:delText>év</w:delText>
        </w:r>
        <w:r w:rsidR="000E3131" w:rsidRPr="00183B5F">
          <w:rPr>
            <w:szCs w:val="22"/>
          </w:rPr>
          <w:delText>é</w:delText>
        </w:r>
        <w:r w:rsidR="00BD4C56" w:rsidRPr="00183B5F">
          <w:rPr>
            <w:szCs w:val="22"/>
          </w:rPr>
          <w:delText xml:space="preserve">ben a módosított </w:delText>
        </w:r>
        <w:r w:rsidR="00BA7970" w:rsidRPr="00183B5F">
          <w:rPr>
            <w:szCs w:val="22"/>
          </w:rPr>
          <w:delText>teljes</w:delText>
        </w:r>
        <w:r w:rsidR="00BD4C56" w:rsidRPr="00183B5F">
          <w:rPr>
            <w:szCs w:val="22"/>
          </w:rPr>
          <w:delText xml:space="preserve"> Sharp</w:delText>
        </w:r>
        <w:r w:rsidR="005E4FD2" w:rsidRPr="00183B5F">
          <w:rPr>
            <w:szCs w:val="22"/>
          </w:rPr>
          <w:delText>-</w:delText>
        </w:r>
        <w:r w:rsidR="00BD4C56" w:rsidRPr="00183B5F">
          <w:rPr>
            <w:szCs w:val="22"/>
          </w:rPr>
          <w:delText>pont</w:delText>
        </w:r>
        <w:r w:rsidR="00903BD3" w:rsidRPr="00183B5F">
          <w:rPr>
            <w:szCs w:val="22"/>
          </w:rPr>
          <w:delText>érték</w:delText>
        </w:r>
        <w:r w:rsidR="00BD4C56" w:rsidRPr="00183B5F">
          <w:rPr>
            <w:szCs w:val="22"/>
          </w:rPr>
          <w:delText xml:space="preserve"> </w:delText>
        </w:r>
        <w:r w:rsidR="000E3131" w:rsidRPr="00183B5F">
          <w:rPr>
            <w:szCs w:val="22"/>
          </w:rPr>
          <w:delText xml:space="preserve">átlagos változása a kiinduláshoz képest </w:delText>
        </w:r>
        <w:r w:rsidR="001D17B2" w:rsidRPr="00183B5F">
          <w:rPr>
            <w:szCs w:val="22"/>
          </w:rPr>
          <w:delText xml:space="preserve">az eredetileg </w:delText>
        </w:r>
        <w:r w:rsidR="001A6E66" w:rsidRPr="00183B5F">
          <w:rPr>
            <w:szCs w:val="22"/>
          </w:rPr>
          <w:delText>metotrexát-mono</w:delText>
        </w:r>
        <w:r w:rsidR="001D17B2" w:rsidRPr="00183B5F">
          <w:rPr>
            <w:szCs w:val="22"/>
          </w:rPr>
          <w:delText xml:space="preserve">terápiára, </w:delText>
        </w:r>
        <w:r w:rsidR="005C406C" w:rsidRPr="00183B5F">
          <w:rPr>
            <w:szCs w:val="22"/>
          </w:rPr>
          <w:delText>Humira-monoterá</w:delText>
        </w:r>
        <w:r w:rsidR="001D17B2" w:rsidRPr="00183B5F">
          <w:rPr>
            <w:szCs w:val="22"/>
          </w:rPr>
          <w:delText xml:space="preserve">piára és Humira/metotrexát kombinációs terápiára randomizált betegeknél </w:delText>
        </w:r>
        <w:r w:rsidR="00460D33" w:rsidRPr="00183B5F">
          <w:rPr>
            <w:szCs w:val="22"/>
          </w:rPr>
          <w:delText xml:space="preserve">sorrendben </w:delText>
        </w:r>
        <w:r w:rsidR="000E3131" w:rsidRPr="00183B5F">
          <w:rPr>
            <w:szCs w:val="22"/>
          </w:rPr>
          <w:delText>10,8; 9,2 és 3,9 volt.</w:delText>
        </w:r>
        <w:r w:rsidR="000F111F" w:rsidRPr="00183B5F">
          <w:rPr>
            <w:szCs w:val="22"/>
          </w:rPr>
          <w:delText xml:space="preserve"> A radiológiai </w:delText>
        </w:r>
        <w:r w:rsidR="00C86E6B" w:rsidRPr="00183B5F">
          <w:rPr>
            <w:szCs w:val="22"/>
          </w:rPr>
          <w:delText>progressziót nem mutató</w:delText>
        </w:r>
        <w:r w:rsidR="000F111F" w:rsidRPr="00183B5F">
          <w:rPr>
            <w:szCs w:val="22"/>
          </w:rPr>
          <w:delText xml:space="preserve"> </w:delText>
        </w:r>
        <w:r w:rsidR="00FB4C2B" w:rsidRPr="00183B5F">
          <w:rPr>
            <w:szCs w:val="22"/>
          </w:rPr>
          <w:delText xml:space="preserve">betegeknél az arány </w:delText>
        </w:r>
        <w:r w:rsidR="00460D33" w:rsidRPr="00183B5F">
          <w:rPr>
            <w:szCs w:val="22"/>
          </w:rPr>
          <w:delText xml:space="preserve">sorrendben </w:delText>
        </w:r>
        <w:r w:rsidR="00FB4C2B" w:rsidRPr="00183B5F">
          <w:rPr>
            <w:szCs w:val="22"/>
          </w:rPr>
          <w:delText>31,3%, 23,7% és 36,7% volt.</w:delText>
        </w:r>
      </w:del>
    </w:p>
    <w:p w14:paraId="51DDB6BE" w14:textId="396CA8D4" w:rsidR="00FB6710" w:rsidRPr="00183B5F" w:rsidRDefault="00FB6710" w:rsidP="004062FE">
      <w:pPr>
        <w:spacing w:line="240" w:lineRule="auto"/>
        <w:rPr>
          <w:del w:id="2001" w:author="AbbVie_HU_03" w:date="2025-05-14T15:27:00Z"/>
          <w:szCs w:val="22"/>
          <w:u w:val="single"/>
        </w:rPr>
      </w:pPr>
    </w:p>
    <w:p w14:paraId="41B87F8C" w14:textId="3E5A6650" w:rsidR="00FB6710" w:rsidRPr="00183B5F" w:rsidRDefault="00943743" w:rsidP="004062FE">
      <w:pPr>
        <w:keepNext/>
        <w:spacing w:line="240" w:lineRule="auto"/>
        <w:rPr>
          <w:del w:id="2002" w:author="AbbVie_HU_03" w:date="2025-05-14T15:27:00Z"/>
          <w:i/>
          <w:szCs w:val="22"/>
          <w:u w:val="single"/>
        </w:rPr>
      </w:pPr>
      <w:del w:id="2003" w:author="AbbVie_HU_03" w:date="2025-05-14T15:27:00Z">
        <w:r w:rsidRPr="00183B5F">
          <w:rPr>
            <w:i/>
            <w:szCs w:val="22"/>
            <w:u w:val="single"/>
          </w:rPr>
          <w:delText>Életminőség és fizikai aktivitás</w:delText>
        </w:r>
      </w:del>
    </w:p>
    <w:p w14:paraId="5E02069C" w14:textId="2D13D1A5" w:rsidR="00FB6710" w:rsidRPr="00183B5F" w:rsidRDefault="00FB6710" w:rsidP="004062FE">
      <w:pPr>
        <w:keepNext/>
        <w:spacing w:line="240" w:lineRule="auto"/>
        <w:rPr>
          <w:del w:id="2004" w:author="AbbVie_HU_03" w:date="2025-05-14T15:27:00Z"/>
          <w:szCs w:val="22"/>
        </w:rPr>
      </w:pPr>
    </w:p>
    <w:p w14:paraId="0EC465F7" w14:textId="0B89032F" w:rsidR="00FB6710" w:rsidRPr="00183B5F" w:rsidRDefault="00943743" w:rsidP="004062FE">
      <w:pPr>
        <w:keepNext/>
        <w:spacing w:line="240" w:lineRule="auto"/>
        <w:rPr>
          <w:del w:id="2005" w:author="AbbVie_HU_03" w:date="2025-05-14T15:27:00Z"/>
          <w:szCs w:val="22"/>
        </w:rPr>
      </w:pPr>
      <w:del w:id="2006" w:author="AbbVie_HU_03" w:date="2025-05-14T15:27:00Z">
        <w:r w:rsidRPr="00183B5F">
          <w:rPr>
            <w:szCs w:val="22"/>
          </w:rPr>
          <w:delText xml:space="preserve">Az Egészségfelmérő Kérdőív (Health Assessment Questionnaire-HAQ) rokkantsági indexének segítségével a négy eredeti </w:delText>
        </w:r>
        <w:r w:rsidR="00EF76C8" w:rsidRPr="00183B5F">
          <w:rPr>
            <w:szCs w:val="22"/>
          </w:rPr>
          <w:delText xml:space="preserve">és </w:delText>
        </w:r>
        <w:r w:rsidR="008511AE" w:rsidRPr="00183B5F">
          <w:rPr>
            <w:szCs w:val="22"/>
          </w:rPr>
          <w:delText>megfelelő kontrollt alk</w:delText>
        </w:r>
        <w:r w:rsidR="00A32269" w:rsidRPr="00183B5F">
          <w:rPr>
            <w:szCs w:val="22"/>
          </w:rPr>
          <w:delText>a</w:delText>
        </w:r>
        <w:r w:rsidR="008511AE" w:rsidRPr="00183B5F">
          <w:rPr>
            <w:szCs w:val="22"/>
          </w:rPr>
          <w:delText>lmazó</w:delText>
        </w:r>
        <w:r w:rsidR="00EF76C8" w:rsidRPr="00183B5F">
          <w:rPr>
            <w:szCs w:val="22"/>
          </w:rPr>
          <w:delText xml:space="preserve"> </w:delText>
        </w:r>
        <w:r w:rsidRPr="00183B5F">
          <w:rPr>
            <w:szCs w:val="22"/>
          </w:rPr>
          <w:delText xml:space="preserve">vizsgálatban </w:delText>
        </w:r>
        <w:r w:rsidR="00EF76C8" w:rsidRPr="00183B5F">
          <w:rPr>
            <w:szCs w:val="22"/>
          </w:rPr>
          <w:delText>meg</w:delText>
        </w:r>
        <w:r w:rsidRPr="00183B5F">
          <w:rPr>
            <w:szCs w:val="22"/>
          </w:rPr>
          <w:delText>vizsgálták az egészségfüggő életminőséget és fizikális működést, illetve az RA</w:delText>
        </w:r>
        <w:r w:rsidR="005A4B87" w:rsidRPr="00183B5F">
          <w:rPr>
            <w:szCs w:val="22"/>
          </w:rPr>
          <w:delText> </w:delText>
        </w:r>
        <w:r w:rsidRPr="00183B5F">
          <w:rPr>
            <w:szCs w:val="22"/>
          </w:rPr>
          <w:delText>III vizsgálatban ez egy előre megállapított elsődleges végpontja volt a vizsgálatnak az 52.</w:delText>
        </w:r>
        <w:r w:rsidR="00A44DB6" w:rsidRPr="00183B5F">
          <w:rPr>
            <w:szCs w:val="22"/>
          </w:rPr>
          <w:delText> hét</w:delText>
        </w:r>
        <w:r w:rsidRPr="00183B5F">
          <w:rPr>
            <w:szCs w:val="22"/>
          </w:rPr>
          <w:delText xml:space="preserve">en. A Humira, adagolási módtól és dózistól függetlenül, </w:delText>
        </w:r>
        <w:r w:rsidR="00EF76C8" w:rsidRPr="00183B5F">
          <w:rPr>
            <w:szCs w:val="22"/>
          </w:rPr>
          <w:delText xml:space="preserve">mind a négy vizsgálatban a kiinduláshoz viszonyítva </w:delText>
        </w:r>
        <w:r w:rsidRPr="00183B5F">
          <w:rPr>
            <w:szCs w:val="22"/>
          </w:rPr>
          <w:delText>a vizsgált hat hónap alatt statisztikailag szignifikáns javulást eredményezett a HAQ rokkantsági indexében a placebóval összehasonlítva</w:delText>
        </w:r>
        <w:r w:rsidR="00EF76C8" w:rsidRPr="00183B5F">
          <w:rPr>
            <w:szCs w:val="22"/>
          </w:rPr>
          <w:delText>,</w:delText>
        </w:r>
        <w:r w:rsidRPr="00183B5F">
          <w:rPr>
            <w:szCs w:val="22"/>
          </w:rPr>
          <w:delText xml:space="preserve"> és az RA</w:delText>
        </w:r>
        <w:r w:rsidR="005A4B87" w:rsidRPr="00183B5F">
          <w:rPr>
            <w:szCs w:val="22"/>
          </w:rPr>
          <w:delText> </w:delText>
        </w:r>
        <w:r w:rsidRPr="00183B5F">
          <w:rPr>
            <w:szCs w:val="22"/>
          </w:rPr>
          <w:delText>III vizsgálatban ugyanezt észlelték az 52.</w:delText>
        </w:r>
        <w:r w:rsidR="00A44DB6" w:rsidRPr="00183B5F">
          <w:rPr>
            <w:szCs w:val="22"/>
          </w:rPr>
          <w:delText> hét</w:delText>
        </w:r>
        <w:r w:rsidRPr="00183B5F">
          <w:rPr>
            <w:szCs w:val="22"/>
          </w:rPr>
          <w:delText>en. A Rövid Egészségfelmérés (Short Form Health Survey (SF 36)) eredményei is alátámasztják a fentieket,</w:delText>
        </w:r>
        <w:r w:rsidR="00EF76C8" w:rsidRPr="00183B5F">
          <w:rPr>
            <w:szCs w:val="22"/>
          </w:rPr>
          <w:delText xml:space="preserve"> a kéthetente alkalmazott 40 mg dózis esetében</w:delText>
        </w:r>
        <w:r w:rsidRPr="00183B5F">
          <w:rPr>
            <w:szCs w:val="22"/>
          </w:rPr>
          <w:delText xml:space="preserve"> </w:delText>
        </w:r>
        <w:r w:rsidR="009E121E" w:rsidRPr="00183B5F">
          <w:rPr>
            <w:szCs w:val="22"/>
          </w:rPr>
          <w:delText>a</w:delText>
        </w:r>
        <w:r w:rsidRPr="00183B5F">
          <w:rPr>
            <w:szCs w:val="22"/>
          </w:rPr>
          <w:delText xml:space="preserve"> fizikális komponensre (PCS) adott értékek, illetve a fájdalmat valamint a vitalitást mérő értékek is statisztikaila</w:delText>
        </w:r>
        <w:r w:rsidRPr="00183B5F">
          <w:rPr>
            <w:szCs w:val="22"/>
          </w:rPr>
          <w:delText>g szignifikáns javulást mutattak</w:delText>
        </w:r>
        <w:r w:rsidR="009E121E" w:rsidRPr="00183B5F">
          <w:rPr>
            <w:szCs w:val="22"/>
          </w:rPr>
          <w:delText>.</w:delText>
        </w:r>
        <w:r w:rsidRPr="00183B5F">
          <w:rPr>
            <w:szCs w:val="22"/>
          </w:rPr>
          <w:delText xml:space="preserve"> A krónikus betegségek terápiájának funkcionális felmérését szolgáló kérdőívben</w:delText>
        </w:r>
        <w:r w:rsidR="009E121E" w:rsidRPr="00183B5F">
          <w:rPr>
            <w:szCs w:val="22"/>
          </w:rPr>
          <w:delText xml:space="preserve"> (FACIT)</w:delText>
        </w:r>
        <w:r w:rsidRPr="00183B5F">
          <w:rPr>
            <w:szCs w:val="22"/>
          </w:rPr>
          <w:delText xml:space="preserve"> a fáradtságra adott értékek alapján statisztikailag jelentős javulás állapítható meg mindhárom vizsgálatban, amelyben ezt kiértékelték (RA</w:delText>
        </w:r>
        <w:r w:rsidR="005A4B87" w:rsidRPr="00183B5F">
          <w:rPr>
            <w:szCs w:val="22"/>
          </w:rPr>
          <w:delText> </w:delText>
        </w:r>
        <w:r w:rsidRPr="00183B5F">
          <w:rPr>
            <w:szCs w:val="22"/>
          </w:rPr>
          <w:delText>I,</w:delText>
        </w:r>
        <w:r w:rsidR="005A4B87" w:rsidRPr="00183B5F">
          <w:rPr>
            <w:szCs w:val="22"/>
          </w:rPr>
          <w:delText> </w:delText>
        </w:r>
        <w:r w:rsidRPr="00183B5F">
          <w:rPr>
            <w:szCs w:val="22"/>
          </w:rPr>
          <w:delText>III,</w:delText>
        </w:r>
        <w:r w:rsidR="005A4B87" w:rsidRPr="00183B5F">
          <w:rPr>
            <w:szCs w:val="22"/>
          </w:rPr>
          <w:delText> </w:delText>
        </w:r>
        <w:r w:rsidRPr="00183B5F">
          <w:rPr>
            <w:szCs w:val="22"/>
          </w:rPr>
          <w:delText>IV vizsgálatok).</w:delText>
        </w:r>
      </w:del>
    </w:p>
    <w:p w14:paraId="1F887FA9" w14:textId="224BD7F3" w:rsidR="00FB6710" w:rsidRPr="00183B5F" w:rsidRDefault="00FB6710" w:rsidP="004062FE">
      <w:pPr>
        <w:spacing w:line="240" w:lineRule="auto"/>
        <w:rPr>
          <w:del w:id="2007" w:author="AbbVie_HU_03" w:date="2025-05-14T15:27:00Z"/>
          <w:szCs w:val="22"/>
        </w:rPr>
      </w:pPr>
    </w:p>
    <w:p w14:paraId="52964272" w14:textId="16F80A3E" w:rsidR="00FB6710" w:rsidRPr="00183B5F" w:rsidRDefault="00943743" w:rsidP="004062FE">
      <w:pPr>
        <w:spacing w:line="240" w:lineRule="auto"/>
        <w:rPr>
          <w:del w:id="2008" w:author="AbbVie_HU_03" w:date="2025-05-14T15:27:00Z"/>
          <w:szCs w:val="22"/>
        </w:rPr>
      </w:pPr>
      <w:del w:id="2009" w:author="AbbVie_HU_03" w:date="2025-05-14T15:27:00Z">
        <w:r w:rsidRPr="00183B5F">
          <w:rPr>
            <w:szCs w:val="22"/>
          </w:rPr>
          <w:delText>Az RA</w:delText>
        </w:r>
        <w:r w:rsidR="005A4B87" w:rsidRPr="00183B5F">
          <w:rPr>
            <w:szCs w:val="22"/>
          </w:rPr>
          <w:delText> </w:delText>
        </w:r>
        <w:r w:rsidRPr="00183B5F">
          <w:rPr>
            <w:szCs w:val="22"/>
          </w:rPr>
          <w:delText xml:space="preserve">III vizsgálatban a nyílt kezelés során a </w:delText>
        </w:r>
        <w:r w:rsidR="00D96353" w:rsidRPr="00183B5F">
          <w:rPr>
            <w:szCs w:val="22"/>
          </w:rPr>
          <w:delText>betegek többsége, akik</w:delText>
        </w:r>
        <w:r w:rsidR="00B321A9" w:rsidRPr="00183B5F">
          <w:rPr>
            <w:szCs w:val="22"/>
          </w:rPr>
          <w:delText>nél</w:delText>
        </w:r>
        <w:r w:rsidR="00D96353" w:rsidRPr="00183B5F">
          <w:rPr>
            <w:szCs w:val="22"/>
          </w:rPr>
          <w:delText xml:space="preserve"> a </w:delText>
        </w:r>
        <w:r w:rsidRPr="00183B5F">
          <w:rPr>
            <w:szCs w:val="22"/>
          </w:rPr>
          <w:delText xml:space="preserve">fizikai funkció </w:delText>
        </w:r>
        <w:r w:rsidR="009E121E" w:rsidRPr="00183B5F">
          <w:rPr>
            <w:szCs w:val="22"/>
          </w:rPr>
          <w:delText>javulás</w:delText>
        </w:r>
        <w:r w:rsidR="00B321A9" w:rsidRPr="00183B5F">
          <w:rPr>
            <w:szCs w:val="22"/>
          </w:rPr>
          <w:delText>a volt megfigyelhető</w:delText>
        </w:r>
        <w:r w:rsidR="003D04DA" w:rsidRPr="00183B5F">
          <w:rPr>
            <w:szCs w:val="22"/>
          </w:rPr>
          <w:delText>,</w:delText>
        </w:r>
        <w:r w:rsidR="00D96353" w:rsidRPr="00183B5F">
          <w:rPr>
            <w:szCs w:val="22"/>
          </w:rPr>
          <w:delText xml:space="preserve"> és folytatták a kezelést, a javulás 520 </w:delText>
        </w:r>
        <w:r w:rsidR="00A44DB6" w:rsidRPr="00183B5F">
          <w:rPr>
            <w:szCs w:val="22"/>
          </w:rPr>
          <w:delText>hét</w:delText>
        </w:r>
        <w:r w:rsidRPr="00183B5F">
          <w:rPr>
            <w:szCs w:val="22"/>
          </w:rPr>
          <w:delText>en (</w:delText>
        </w:r>
        <w:r w:rsidR="00D96353" w:rsidRPr="00183B5F">
          <w:rPr>
            <w:szCs w:val="22"/>
          </w:rPr>
          <w:delText>12</w:delText>
        </w:r>
        <w:r w:rsidRPr="00183B5F">
          <w:rPr>
            <w:szCs w:val="22"/>
          </w:rPr>
          <w:delText>0</w:delText>
        </w:r>
        <w:r w:rsidR="005A4B87" w:rsidRPr="00183B5F">
          <w:rPr>
            <w:szCs w:val="22"/>
          </w:rPr>
          <w:delText> </w:delText>
        </w:r>
        <w:r w:rsidRPr="00183B5F">
          <w:rPr>
            <w:szCs w:val="22"/>
          </w:rPr>
          <w:delText>hónap) keresztül fenn</w:delText>
        </w:r>
        <w:r w:rsidR="00903BD3" w:rsidRPr="00183B5F">
          <w:rPr>
            <w:szCs w:val="22"/>
          </w:rPr>
          <w:delText>maradt</w:delText>
        </w:r>
        <w:r w:rsidRPr="00183B5F">
          <w:rPr>
            <w:szCs w:val="22"/>
          </w:rPr>
          <w:delText>. Az életminőség javulását legfeljebb 156</w:delText>
        </w:r>
        <w:r w:rsidR="00A44DB6" w:rsidRPr="00183B5F">
          <w:rPr>
            <w:szCs w:val="22"/>
          </w:rPr>
          <w:delText> hét</w:delText>
        </w:r>
        <w:r w:rsidRPr="00183B5F">
          <w:rPr>
            <w:szCs w:val="22"/>
          </w:rPr>
          <w:delText>ig (36</w:delText>
        </w:r>
        <w:r w:rsidR="005A4B87" w:rsidRPr="00183B5F">
          <w:rPr>
            <w:szCs w:val="22"/>
          </w:rPr>
          <w:delText> </w:delText>
        </w:r>
        <w:r w:rsidRPr="00183B5F">
          <w:rPr>
            <w:szCs w:val="22"/>
          </w:rPr>
          <w:delText>hónap) mérték, és a javulás ezalatt az idő alatt fennmaradt.</w:delText>
        </w:r>
      </w:del>
    </w:p>
    <w:p w14:paraId="697FF743" w14:textId="44AD9BA7" w:rsidR="00FB6710" w:rsidRPr="00183B5F" w:rsidRDefault="00FB6710" w:rsidP="004062FE">
      <w:pPr>
        <w:spacing w:line="240" w:lineRule="auto"/>
        <w:rPr>
          <w:del w:id="2010" w:author="AbbVie_HU_03" w:date="2025-05-14T15:27:00Z"/>
          <w:szCs w:val="22"/>
        </w:rPr>
      </w:pPr>
    </w:p>
    <w:p w14:paraId="6D3DBC19" w14:textId="527D9FB2" w:rsidR="00CE5EC7" w:rsidRPr="00183B5F" w:rsidRDefault="00943743" w:rsidP="004062FE">
      <w:pPr>
        <w:pStyle w:val="EMEAHeadingUnderline"/>
        <w:tabs>
          <w:tab w:val="clear" w:pos="562"/>
        </w:tabs>
        <w:spacing w:beforeLines="0" w:afterLines="0"/>
        <w:rPr>
          <w:del w:id="2011" w:author="AbbVie_HU_03" w:date="2025-05-14T15:27:00Z"/>
          <w:szCs w:val="22"/>
          <w:u w:val="none"/>
          <w:lang w:val="hu-HU"/>
        </w:rPr>
      </w:pPr>
      <w:del w:id="2012" w:author="AbbVie_HU_03" w:date="2025-05-14T15:27:00Z">
        <w:r w:rsidRPr="00183B5F">
          <w:rPr>
            <w:szCs w:val="22"/>
            <w:u w:val="none"/>
            <w:lang w:val="hu-HU"/>
          </w:rPr>
          <w:delText>Az RA</w:delText>
        </w:r>
        <w:r w:rsidR="005A4B87" w:rsidRPr="00183B5F">
          <w:rPr>
            <w:szCs w:val="22"/>
            <w:u w:val="none"/>
            <w:lang w:val="hu-HU"/>
          </w:rPr>
          <w:delText> </w:delText>
        </w:r>
        <w:r w:rsidRPr="00183B5F">
          <w:rPr>
            <w:szCs w:val="22"/>
            <w:u w:val="none"/>
            <w:lang w:val="hu-HU"/>
          </w:rPr>
          <w:delText>V vizsgálatban az 52.</w:delText>
        </w:r>
        <w:r w:rsidR="00A44DB6" w:rsidRPr="00183B5F">
          <w:rPr>
            <w:szCs w:val="22"/>
            <w:u w:val="none"/>
            <w:lang w:val="hu-HU"/>
          </w:rPr>
          <w:delText> hét</w:delText>
        </w:r>
        <w:r w:rsidRPr="00183B5F">
          <w:rPr>
            <w:szCs w:val="22"/>
            <w:u w:val="none"/>
            <w:lang w:val="hu-HU"/>
          </w:rPr>
          <w:delText>en a HAQ rokkantsági indexben és az SF</w:delText>
        </w:r>
        <w:r w:rsidR="005A4B87" w:rsidRPr="00183B5F">
          <w:rPr>
            <w:szCs w:val="22"/>
            <w:u w:val="none"/>
            <w:lang w:val="hu-HU"/>
          </w:rPr>
          <w:delText> </w:delText>
        </w:r>
        <w:r w:rsidRPr="00183B5F">
          <w:rPr>
            <w:szCs w:val="22"/>
            <w:u w:val="none"/>
            <w:lang w:val="hu-HU"/>
          </w:rPr>
          <w:delText>36 fizikai összetevőiben mutatkozó javulás nagyobb volt (p &lt; 0,001) a Humira/metotrexát kombinációs kezelést kapott csoportban, mint a metotrexát</w:delText>
        </w:r>
        <w:r w:rsidR="00287AD5" w:rsidRPr="00183B5F">
          <w:rPr>
            <w:szCs w:val="22"/>
            <w:u w:val="none"/>
            <w:lang w:val="hu-HU"/>
          </w:rPr>
          <w:delText>-</w:delText>
        </w:r>
        <w:r w:rsidRPr="00183B5F">
          <w:rPr>
            <w:szCs w:val="22"/>
            <w:u w:val="none"/>
            <w:lang w:val="hu-HU"/>
          </w:rPr>
          <w:delText xml:space="preserve"> és </w:delText>
        </w:r>
        <w:r w:rsidR="005C406C" w:rsidRPr="00183B5F">
          <w:rPr>
            <w:szCs w:val="22"/>
            <w:u w:val="none"/>
            <w:lang w:val="hu-HU"/>
          </w:rPr>
          <w:delText>Humira-monoterá</w:delText>
        </w:r>
        <w:r w:rsidRPr="00183B5F">
          <w:rPr>
            <w:szCs w:val="22"/>
            <w:u w:val="none"/>
            <w:lang w:val="hu-HU"/>
          </w:rPr>
          <w:delText>piákban. Ezek a változások a 104.</w:delText>
        </w:r>
        <w:r w:rsidR="00A44DB6" w:rsidRPr="00183B5F">
          <w:rPr>
            <w:szCs w:val="22"/>
            <w:u w:val="none"/>
            <w:lang w:val="hu-HU"/>
          </w:rPr>
          <w:delText> hét</w:delText>
        </w:r>
        <w:r w:rsidRPr="00183B5F">
          <w:rPr>
            <w:szCs w:val="22"/>
            <w:u w:val="none"/>
            <w:lang w:val="hu-HU"/>
          </w:rPr>
          <w:delText>ig fennálltak.</w:delText>
        </w:r>
        <w:r w:rsidR="00514443" w:rsidRPr="00183B5F">
          <w:rPr>
            <w:szCs w:val="22"/>
            <w:u w:val="none"/>
            <w:lang w:val="hu-HU"/>
          </w:rPr>
          <w:delText xml:space="preserve"> </w:delText>
        </w:r>
        <w:r w:rsidR="00C86E6B" w:rsidRPr="00183B5F">
          <w:rPr>
            <w:szCs w:val="22"/>
            <w:u w:val="none"/>
            <w:lang w:val="hu-HU"/>
          </w:rPr>
          <w:delText>A 250 betegnél, a</w:delText>
        </w:r>
        <w:r w:rsidR="00B976A4" w:rsidRPr="00183B5F">
          <w:rPr>
            <w:szCs w:val="22"/>
            <w:u w:val="none"/>
            <w:lang w:val="hu-HU"/>
          </w:rPr>
          <w:delText>kik befej</w:delText>
        </w:r>
        <w:r w:rsidR="00C86E6B" w:rsidRPr="00183B5F">
          <w:rPr>
            <w:szCs w:val="22"/>
            <w:u w:val="none"/>
            <w:lang w:val="hu-HU"/>
          </w:rPr>
          <w:delText>ezték a nyílt elrendezésű kiterjesztéses vizsgálatot, a</w:delText>
        </w:r>
        <w:r w:rsidR="00514443" w:rsidRPr="00183B5F">
          <w:rPr>
            <w:szCs w:val="22"/>
            <w:u w:val="none"/>
            <w:lang w:val="hu-HU"/>
          </w:rPr>
          <w:delText xml:space="preserve"> fizikai funkció </w:delText>
        </w:r>
        <w:r w:rsidR="00C86E6B" w:rsidRPr="00183B5F">
          <w:rPr>
            <w:szCs w:val="22"/>
            <w:u w:val="none"/>
            <w:lang w:val="hu-HU"/>
          </w:rPr>
          <w:delText>javulása a kezelés 10 éve alatt fennmaradt</w:delText>
        </w:r>
        <w:r w:rsidR="00514443" w:rsidRPr="00183B5F">
          <w:rPr>
            <w:szCs w:val="22"/>
            <w:u w:val="none"/>
            <w:lang w:val="hu-HU"/>
          </w:rPr>
          <w:delText>.</w:delText>
        </w:r>
      </w:del>
    </w:p>
    <w:p w14:paraId="74660776" w14:textId="3864574A" w:rsidR="00106CEA" w:rsidRPr="00183B5F" w:rsidRDefault="00106CEA" w:rsidP="00FC288C">
      <w:pPr>
        <w:pStyle w:val="EMEANormal"/>
        <w:rPr>
          <w:del w:id="2013" w:author="AbbVie_HU_03" w:date="2025-05-14T15:27:00Z"/>
          <w:lang w:val="hu-HU"/>
        </w:rPr>
      </w:pPr>
    </w:p>
    <w:p w14:paraId="093927CA" w14:textId="45B19C0A" w:rsidR="00AB03A9" w:rsidRPr="00183B5F" w:rsidRDefault="00943743">
      <w:pPr>
        <w:pStyle w:val="EMEANormal"/>
        <w:keepNext/>
        <w:rPr>
          <w:del w:id="2014" w:author="AbbVie_HU_03" w:date="2025-05-14T15:27:00Z"/>
          <w:i/>
          <w:szCs w:val="22"/>
          <w:lang w:val="hu-HU"/>
        </w:rPr>
      </w:pPr>
      <w:del w:id="2015" w:author="AbbVie_HU_03" w:date="2025-05-14T15:27:00Z">
        <w:r w:rsidRPr="00183B5F">
          <w:rPr>
            <w:i/>
            <w:szCs w:val="22"/>
            <w:lang w:val="hu-HU"/>
          </w:rPr>
          <w:delText>Felnőttkori plakkos psoriasis</w:delText>
        </w:r>
      </w:del>
    </w:p>
    <w:p w14:paraId="70B835D7" w14:textId="49BC1881" w:rsidR="00AB03A9" w:rsidRPr="00183B5F" w:rsidRDefault="00AB03A9">
      <w:pPr>
        <w:pStyle w:val="EMEANormal"/>
        <w:keepNext/>
        <w:rPr>
          <w:del w:id="2016" w:author="AbbVie_HU_03" w:date="2025-05-14T15:27:00Z"/>
          <w:szCs w:val="22"/>
          <w:lang w:val="hu-HU"/>
        </w:rPr>
      </w:pPr>
    </w:p>
    <w:p w14:paraId="65F6618E" w14:textId="3F4995E3" w:rsidR="00AB03A9" w:rsidRPr="00183B5F" w:rsidRDefault="00943743">
      <w:pPr>
        <w:pStyle w:val="EMEANormal"/>
        <w:keepNext/>
        <w:rPr>
          <w:del w:id="2017" w:author="AbbVie_HU_03" w:date="2025-05-14T15:27:00Z"/>
          <w:szCs w:val="22"/>
          <w:lang w:val="hu-HU"/>
        </w:rPr>
      </w:pPr>
      <w:del w:id="2018" w:author="AbbVie_HU_03" w:date="2025-05-14T15:27:00Z">
        <w:r w:rsidRPr="00183B5F">
          <w:rPr>
            <w:szCs w:val="22"/>
            <w:lang w:val="hu-HU"/>
          </w:rPr>
          <w:delText xml:space="preserve">A Humira biztonságosságát és hatásosságát randomizált, </w:delText>
        </w:r>
        <w:r w:rsidR="00E5381A" w:rsidRPr="00183B5F">
          <w:rPr>
            <w:szCs w:val="22"/>
            <w:lang w:val="hu-HU"/>
          </w:rPr>
          <w:delText>kettős vak</w:delText>
        </w:r>
        <w:r w:rsidRPr="00183B5F">
          <w:rPr>
            <w:szCs w:val="22"/>
            <w:lang w:val="hu-HU"/>
          </w:rPr>
          <w:delText xml:space="preserve"> vizsgálatokban értékelték olyan krónikus, plakkos psoriasisban szenvedő felnőtt betegek körében (≥ 10% testfelület</w:delText>
        </w:r>
        <w:r w:rsidRPr="00183B5F">
          <w:rPr>
            <w:szCs w:val="22"/>
            <w:lang w:val="hu-HU"/>
          </w:rPr>
          <w:noBreakHyphen/>
          <w:delText>érintettség és ≥ 12, ill. ≥ 10 PASI), akik szisztémás vagy fototerápiás kezelésre vártak. A Psoriasis I és II vizsgálatokba beválogatott betegek 73%</w:delText>
        </w:r>
        <w:r w:rsidRPr="00183B5F">
          <w:rPr>
            <w:szCs w:val="22"/>
            <w:lang w:val="hu-HU"/>
          </w:rPr>
          <w:noBreakHyphen/>
          <w:delText xml:space="preserve">a kapott már korábban szisztémás kezelést vagy fototerápiát. A Humira biztonságosságát és hatásosságát </w:delText>
        </w:r>
        <w:r w:rsidR="0050349B" w:rsidRPr="00183B5F">
          <w:rPr>
            <w:szCs w:val="22"/>
            <w:lang w:val="hu-HU"/>
          </w:rPr>
          <w:delText xml:space="preserve">egy randomizált </w:delText>
        </w:r>
        <w:r w:rsidR="00E5381A" w:rsidRPr="00183B5F">
          <w:rPr>
            <w:szCs w:val="22"/>
            <w:lang w:val="hu-HU"/>
          </w:rPr>
          <w:delText>kettős vak</w:delText>
        </w:r>
        <w:r w:rsidR="0050349B" w:rsidRPr="00183B5F">
          <w:rPr>
            <w:szCs w:val="22"/>
            <w:lang w:val="hu-HU"/>
          </w:rPr>
          <w:delText xml:space="preserve"> vizsgálatban (Psoriasis III vizsgálat) értékelték, </w:delText>
        </w:r>
        <w:r w:rsidRPr="00183B5F">
          <w:rPr>
            <w:szCs w:val="22"/>
            <w:lang w:val="hu-HU"/>
          </w:rPr>
          <w:delText>köze</w:delText>
        </w:r>
        <w:r w:rsidR="001E0E17" w:rsidRPr="00183B5F">
          <w:rPr>
            <w:szCs w:val="22"/>
            <w:lang w:val="hu-HU"/>
          </w:rPr>
          <w:delText>pes</w:delText>
        </w:r>
        <w:r w:rsidR="001E0E17" w:rsidRPr="00183B5F">
          <w:rPr>
            <w:szCs w:val="22"/>
            <w:lang w:val="hu-HU"/>
          </w:rPr>
          <w:noBreakHyphen/>
          <w:delText xml:space="preserve">súlyos, kézfej és/vagy </w:delText>
        </w:r>
        <w:r w:rsidRPr="00183B5F">
          <w:rPr>
            <w:szCs w:val="22"/>
            <w:lang w:val="hu-HU"/>
          </w:rPr>
          <w:delText>láb</w:delText>
        </w:r>
        <w:r w:rsidR="001E0E17" w:rsidRPr="00183B5F">
          <w:rPr>
            <w:szCs w:val="22"/>
            <w:lang w:val="hu-HU"/>
          </w:rPr>
          <w:delText>fej</w:delText>
        </w:r>
        <w:r w:rsidRPr="00183B5F">
          <w:rPr>
            <w:szCs w:val="22"/>
            <w:lang w:val="hu-HU"/>
          </w:rPr>
          <w:delText xml:space="preserve"> érintettségű krónikus plakko</w:delText>
        </w:r>
        <w:r w:rsidRPr="00183B5F">
          <w:rPr>
            <w:szCs w:val="22"/>
            <w:lang w:val="hu-HU"/>
          </w:rPr>
          <w:delText>s psoriasisb</w:delText>
        </w:r>
        <w:r w:rsidR="0050349B" w:rsidRPr="00183B5F">
          <w:rPr>
            <w:szCs w:val="22"/>
            <w:lang w:val="hu-HU"/>
          </w:rPr>
          <w:delText>an szenvedő felnőtt betegeknél, akik szisztémás kezelésre vártak.</w:delText>
        </w:r>
      </w:del>
    </w:p>
    <w:p w14:paraId="38096685" w14:textId="0507EF6C" w:rsidR="00AB03A9" w:rsidRPr="00183B5F" w:rsidRDefault="00AB03A9">
      <w:pPr>
        <w:pStyle w:val="EMEANormal"/>
        <w:rPr>
          <w:del w:id="2019" w:author="AbbVie_HU_03" w:date="2025-05-14T15:27:00Z"/>
          <w:szCs w:val="22"/>
          <w:lang w:val="hu-HU"/>
        </w:rPr>
      </w:pPr>
    </w:p>
    <w:p w14:paraId="5BAEBF4D" w14:textId="37919DD0" w:rsidR="00AB03A9" w:rsidRPr="00183B5F" w:rsidRDefault="00943743">
      <w:pPr>
        <w:pStyle w:val="EMEANormal"/>
        <w:rPr>
          <w:del w:id="2020" w:author="AbbVie_HU_03" w:date="2025-05-14T15:27:00Z"/>
          <w:szCs w:val="22"/>
          <w:lang w:val="hu-HU"/>
        </w:rPr>
      </w:pPr>
      <w:del w:id="2021" w:author="AbbVie_HU_03" w:date="2025-05-14T15:27:00Z">
        <w:r w:rsidRPr="00183B5F">
          <w:rPr>
            <w:szCs w:val="22"/>
            <w:lang w:val="hu-HU"/>
          </w:rPr>
          <w:delText>A Psoriasis I (REVEAL) vizsgálatban 1212 beteg állapotát értékelték három kezelési időszakban. Az „A” időszakban a betegek placebót vagy 80 mg kezdő dózisú Humira</w:delText>
        </w:r>
        <w:r w:rsidRPr="00183B5F">
          <w:rPr>
            <w:szCs w:val="22"/>
            <w:lang w:val="hu-HU"/>
          </w:rPr>
          <w:noBreakHyphen/>
          <w:delText>t kaptak, amelyet egy héttel a kezdő dózist követően minden második héten 40 mg adaggal folytattak. Tizenhat</w:delText>
        </w:r>
        <w:r w:rsidR="0050349B" w:rsidRPr="00183B5F">
          <w:rPr>
            <w:szCs w:val="22"/>
            <w:lang w:val="hu-HU"/>
          </w:rPr>
          <w:delText xml:space="preserve"> </w:delText>
        </w:r>
        <w:r w:rsidRPr="00183B5F">
          <w:rPr>
            <w:szCs w:val="22"/>
            <w:lang w:val="hu-HU"/>
          </w:rPr>
          <w:delText>het</w:delText>
        </w:r>
        <w:r w:rsidR="0050349B" w:rsidRPr="00183B5F">
          <w:rPr>
            <w:szCs w:val="22"/>
            <w:lang w:val="hu-HU"/>
          </w:rPr>
          <w:delText>es kezelés után a legalább PASI </w:delText>
        </w:r>
        <w:r w:rsidRPr="00183B5F">
          <w:rPr>
            <w:szCs w:val="22"/>
            <w:lang w:val="hu-HU"/>
          </w:rPr>
          <w:delText>75 választ (a kiindulási értékhez képest legalább 75%</w:delText>
        </w:r>
        <w:r w:rsidRPr="00183B5F">
          <w:rPr>
            <w:szCs w:val="22"/>
            <w:lang w:val="hu-HU"/>
          </w:rPr>
          <w:noBreakHyphen/>
          <w:delText>os PASI</w:delText>
        </w:r>
        <w:r w:rsidR="00110863" w:rsidRPr="00183B5F">
          <w:rPr>
            <w:szCs w:val="22"/>
            <w:lang w:val="hu-HU"/>
          </w:rPr>
          <w:delText>-</w:delText>
        </w:r>
        <w:r w:rsidRPr="00183B5F">
          <w:rPr>
            <w:szCs w:val="22"/>
            <w:lang w:val="hu-HU"/>
          </w:rPr>
          <w:delText>pontszám-javulást) mutató betegek egy „B” időszakba léptek, amelyben nyílt elrendezésben, minden második héten 40 mg Humira</w:delText>
        </w:r>
        <w:r w:rsidRPr="00183B5F">
          <w:rPr>
            <w:szCs w:val="22"/>
            <w:lang w:val="hu-HU"/>
          </w:rPr>
          <w:noBreakHyphen/>
          <w:delText>t kaptak. A 33. héten ≥ P</w:delText>
        </w:r>
        <w:r w:rsidR="001028BB" w:rsidRPr="00183B5F">
          <w:rPr>
            <w:szCs w:val="22"/>
            <w:lang w:val="hu-HU"/>
          </w:rPr>
          <w:delText>ASI </w:delText>
        </w:r>
        <w:r w:rsidRPr="00183B5F">
          <w:rPr>
            <w:szCs w:val="22"/>
            <w:lang w:val="hu-HU"/>
          </w:rPr>
          <w:delText>75 választ mutató és eredetileg az „A” időszakban aktív kezelést kapók közé randomizált betegeket a „C” időszakban újrarandomizálták, hogy további 19 héten át minden második héten 40 mg Humira</w:delText>
        </w:r>
        <w:r w:rsidR="00A76E60" w:rsidRPr="00183B5F">
          <w:rPr>
            <w:szCs w:val="22"/>
            <w:lang w:val="hu-HU"/>
          </w:rPr>
          <w:noBreakHyphen/>
        </w:r>
        <w:r w:rsidRPr="00183B5F">
          <w:rPr>
            <w:szCs w:val="22"/>
            <w:lang w:val="hu-HU"/>
          </w:rPr>
          <w:delText xml:space="preserve">t </w:delText>
        </w:r>
        <w:r w:rsidR="005949DF" w:rsidRPr="00183B5F">
          <w:rPr>
            <w:szCs w:val="22"/>
            <w:lang w:val="hu-HU"/>
          </w:rPr>
          <w:delText xml:space="preserve">vagy placebót </w:delText>
        </w:r>
        <w:r w:rsidRPr="00183B5F">
          <w:rPr>
            <w:szCs w:val="22"/>
            <w:lang w:val="hu-HU"/>
          </w:rPr>
          <w:delText>kapjanak. Minden kezelési csoportot figyelembe véve a ki</w:delText>
        </w:r>
        <w:r w:rsidR="0050349B" w:rsidRPr="00183B5F">
          <w:rPr>
            <w:szCs w:val="22"/>
            <w:lang w:val="hu-HU"/>
          </w:rPr>
          <w:delText xml:space="preserve">indulási PASI </w:delText>
        </w:r>
        <w:r w:rsidRPr="00183B5F">
          <w:rPr>
            <w:szCs w:val="22"/>
            <w:lang w:val="hu-HU"/>
          </w:rPr>
          <w:delText>érték 18,9 volt, míg a kiindulási PGA pontszám a „közepestől” (a vizsgálatban résztvevők 53%-a) a „súlyosig” (41%) és a „nagyon súlyosig” (6%) terjedt.</w:delText>
        </w:r>
      </w:del>
    </w:p>
    <w:p w14:paraId="59EDD5A5" w14:textId="6860118C" w:rsidR="00AB03A9" w:rsidRPr="00183B5F" w:rsidRDefault="00AB03A9">
      <w:pPr>
        <w:pStyle w:val="EMEANormal"/>
        <w:rPr>
          <w:del w:id="2022" w:author="AbbVie_HU_03" w:date="2025-05-14T15:27:00Z"/>
          <w:szCs w:val="22"/>
          <w:lang w:val="hu-HU"/>
        </w:rPr>
      </w:pPr>
    </w:p>
    <w:p w14:paraId="142A11A1" w14:textId="72DCCC40" w:rsidR="00AB03A9" w:rsidRPr="00183B5F" w:rsidRDefault="00943743">
      <w:pPr>
        <w:pStyle w:val="EMEANormal"/>
        <w:rPr>
          <w:del w:id="2023" w:author="AbbVie_HU_03" w:date="2025-05-14T15:27:00Z"/>
          <w:szCs w:val="22"/>
          <w:lang w:val="hu-HU"/>
        </w:rPr>
      </w:pPr>
      <w:del w:id="2024" w:author="AbbVie_HU_03" w:date="2025-05-14T15:27:00Z">
        <w:r w:rsidRPr="00183B5F">
          <w:rPr>
            <w:szCs w:val="22"/>
            <w:lang w:val="hu-HU"/>
          </w:rPr>
          <w:delText xml:space="preserve">A Psoriasis II vizsgálatban (CHAMPION) a Humira hatásosságát és biztonságosságát a metotrexátéval és a placebóéval hasonlították össze 271 beteg részvételével. A betegek placebót </w:delText>
        </w:r>
        <w:r w:rsidR="0050349B" w:rsidRPr="00183B5F">
          <w:rPr>
            <w:szCs w:val="22"/>
            <w:lang w:val="hu-HU"/>
          </w:rPr>
          <w:delText xml:space="preserve">vagy </w:delText>
        </w:r>
        <w:r w:rsidRPr="00183B5F">
          <w:rPr>
            <w:szCs w:val="22"/>
            <w:lang w:val="hu-HU"/>
          </w:rPr>
          <w:delText>egy kezdeti, 7,5 </w:delText>
        </w:r>
        <w:r w:rsidR="0050349B" w:rsidRPr="00183B5F">
          <w:rPr>
            <w:szCs w:val="22"/>
            <w:lang w:val="hu-HU"/>
          </w:rPr>
          <w:delText>mg</w:delText>
        </w:r>
        <w:r w:rsidR="0050349B" w:rsidRPr="00183B5F">
          <w:rPr>
            <w:szCs w:val="22"/>
            <w:lang w:val="hu-HU"/>
          </w:rPr>
          <w:noBreakHyphen/>
        </w:r>
        <w:r w:rsidRPr="00183B5F">
          <w:rPr>
            <w:szCs w:val="22"/>
            <w:lang w:val="hu-HU"/>
          </w:rPr>
          <w:delText>o</w:delText>
        </w:r>
        <w:r w:rsidR="0050349B" w:rsidRPr="00183B5F">
          <w:rPr>
            <w:szCs w:val="22"/>
            <w:lang w:val="hu-HU"/>
          </w:rPr>
          <w:delText>s metotrexát</w:delText>
        </w:r>
        <w:r w:rsidR="00110863" w:rsidRPr="00183B5F">
          <w:rPr>
            <w:szCs w:val="22"/>
            <w:lang w:val="hu-HU"/>
          </w:rPr>
          <w:delText>-</w:delText>
        </w:r>
        <w:r w:rsidR="0050349B" w:rsidRPr="00183B5F">
          <w:rPr>
            <w:szCs w:val="22"/>
            <w:lang w:val="hu-HU"/>
          </w:rPr>
          <w:delText>dózist kaptak, és e</w:delText>
        </w:r>
        <w:r w:rsidRPr="00183B5F">
          <w:rPr>
            <w:szCs w:val="22"/>
            <w:lang w:val="hu-HU"/>
          </w:rPr>
          <w:delText>zt követően az adagot legfeljebb a 12. hétig, 25 mg</w:delText>
        </w:r>
        <w:r w:rsidRPr="00183B5F">
          <w:rPr>
            <w:szCs w:val="22"/>
            <w:lang w:val="hu-HU"/>
          </w:rPr>
          <w:noBreakHyphen/>
          <w:delText>os maximális dózisig emelték, vagy egy 80 </w:delText>
        </w:r>
        <w:r w:rsidR="0050349B" w:rsidRPr="00183B5F">
          <w:rPr>
            <w:szCs w:val="22"/>
            <w:lang w:val="hu-HU"/>
          </w:rPr>
          <w:delText>mg</w:delText>
        </w:r>
        <w:r w:rsidR="0050349B" w:rsidRPr="00183B5F">
          <w:rPr>
            <w:szCs w:val="22"/>
            <w:lang w:val="hu-HU"/>
          </w:rPr>
          <w:noBreakHyphen/>
        </w:r>
        <w:r w:rsidRPr="00183B5F">
          <w:rPr>
            <w:szCs w:val="22"/>
            <w:lang w:val="hu-HU"/>
          </w:rPr>
          <w:delText>os Humira kezdő dózisban részesültek, amit 16 hétig kéthetente 40 mg</w:delText>
        </w:r>
        <w:r w:rsidRPr="00183B5F">
          <w:rPr>
            <w:szCs w:val="22"/>
            <w:lang w:val="hu-HU"/>
          </w:rPr>
          <w:noBreakHyphen/>
          <w:delText>os adag követett (egy héttel a kezdő dózis beadása után kezdve). Nincs a Humira</w:delText>
        </w:r>
        <w:r w:rsidRPr="00183B5F">
          <w:rPr>
            <w:szCs w:val="22"/>
            <w:lang w:val="hu-HU"/>
          </w:rPr>
          <w:noBreakHyphen/>
        </w:r>
        <w:r w:rsidR="0050349B" w:rsidRPr="00183B5F">
          <w:rPr>
            <w:szCs w:val="22"/>
            <w:lang w:val="hu-HU"/>
          </w:rPr>
          <w:delText>t</w:delText>
        </w:r>
        <w:r w:rsidRPr="00183B5F">
          <w:rPr>
            <w:szCs w:val="22"/>
            <w:lang w:val="hu-HU"/>
          </w:rPr>
          <w:delText xml:space="preserve"> és a </w:delText>
        </w:r>
        <w:r w:rsidR="001A6E66" w:rsidRPr="00183B5F">
          <w:rPr>
            <w:szCs w:val="22"/>
            <w:lang w:val="hu-HU"/>
          </w:rPr>
          <w:delText>metotrexát-keze</w:delText>
        </w:r>
        <w:r w:rsidRPr="00183B5F">
          <w:rPr>
            <w:szCs w:val="22"/>
            <w:lang w:val="hu-HU"/>
          </w:rPr>
          <w:delText>lést 16 hétnél hosszabb idő után összehasonlító adat. A metotrexátot szedő és ≥ PASI 50 választ a 8. és/vagy a 12. héten elérő betegeknél nem növelték tovább a dózist. Minden kezelési cs</w:delText>
        </w:r>
        <w:r w:rsidRPr="00183B5F">
          <w:rPr>
            <w:szCs w:val="22"/>
            <w:lang w:val="hu-HU"/>
          </w:rPr>
          <w:delText>oportot figyelembe</w:delText>
        </w:r>
        <w:r w:rsidR="0047618A" w:rsidRPr="00183B5F">
          <w:rPr>
            <w:szCs w:val="22"/>
            <w:lang w:val="hu-HU"/>
          </w:rPr>
          <w:delText xml:space="preserve"> </w:delText>
        </w:r>
        <w:r w:rsidRPr="00183B5F">
          <w:rPr>
            <w:szCs w:val="22"/>
            <w:lang w:val="hu-HU"/>
          </w:rPr>
          <w:delText>véve az átlagos PASI</w:delText>
        </w:r>
        <w:r w:rsidR="00110863" w:rsidRPr="00183B5F">
          <w:rPr>
            <w:szCs w:val="22"/>
            <w:lang w:val="hu-HU"/>
          </w:rPr>
          <w:delText>-</w:delText>
        </w:r>
        <w:r w:rsidRPr="00183B5F">
          <w:rPr>
            <w:szCs w:val="22"/>
            <w:lang w:val="hu-HU"/>
          </w:rPr>
          <w:delText>pontszám 19,7 volt, míg a kiindulási PGA</w:delText>
        </w:r>
        <w:r w:rsidR="00110863" w:rsidRPr="00183B5F">
          <w:rPr>
            <w:szCs w:val="22"/>
            <w:lang w:val="hu-HU"/>
          </w:rPr>
          <w:noBreakHyphen/>
        </w:r>
        <w:r w:rsidRPr="00183B5F">
          <w:rPr>
            <w:szCs w:val="22"/>
            <w:lang w:val="hu-HU"/>
          </w:rPr>
          <w:delText>pontszám az „enyhétől” (&lt; 1%) a „közepesen át” (48%) a „súlyosig” (46%) és a „nagyon súlyosig” (6%) terjedt.</w:delText>
        </w:r>
      </w:del>
    </w:p>
    <w:p w14:paraId="2CF31C8A" w14:textId="1B94AD16" w:rsidR="0050349B" w:rsidRPr="00183B5F" w:rsidRDefault="0050349B">
      <w:pPr>
        <w:pStyle w:val="EMEANormal"/>
        <w:rPr>
          <w:del w:id="2025" w:author="AbbVie_HU_03" w:date="2025-05-14T15:27:00Z"/>
          <w:szCs w:val="22"/>
          <w:lang w:val="hu-HU"/>
        </w:rPr>
      </w:pPr>
    </w:p>
    <w:p w14:paraId="059AA5D0" w14:textId="5A01BB80" w:rsidR="00AB03A9" w:rsidRPr="00183B5F" w:rsidRDefault="00943743">
      <w:pPr>
        <w:pStyle w:val="EMEANormal"/>
        <w:rPr>
          <w:del w:id="2026" w:author="AbbVie_HU_03" w:date="2025-05-14T15:27:00Z"/>
          <w:szCs w:val="22"/>
          <w:lang w:val="hu-HU"/>
        </w:rPr>
      </w:pPr>
      <w:del w:id="2027" w:author="AbbVie_HU_03" w:date="2025-05-14T15:27:00Z">
        <w:r w:rsidRPr="00183B5F">
          <w:rPr>
            <w:szCs w:val="22"/>
            <w:lang w:val="hu-HU"/>
          </w:rPr>
          <w:delText xml:space="preserve">Az összes </w:delText>
        </w:r>
        <w:r w:rsidR="0050349B" w:rsidRPr="00183B5F">
          <w:rPr>
            <w:szCs w:val="22"/>
            <w:lang w:val="hu-HU"/>
          </w:rPr>
          <w:delText>II</w:delText>
        </w:r>
        <w:r w:rsidR="00ED247D" w:rsidRPr="00183B5F">
          <w:rPr>
            <w:szCs w:val="22"/>
            <w:lang w:val="hu-HU"/>
          </w:rPr>
          <w:delText>.</w:delText>
        </w:r>
        <w:r w:rsidRPr="00183B5F">
          <w:rPr>
            <w:szCs w:val="22"/>
            <w:lang w:val="hu-HU"/>
          </w:rPr>
          <w:delText xml:space="preserve"> és </w:delText>
        </w:r>
        <w:r w:rsidR="00ED247D" w:rsidRPr="00183B5F">
          <w:rPr>
            <w:szCs w:val="22"/>
            <w:lang w:val="hu-HU"/>
          </w:rPr>
          <w:delText>III. fázisú</w:delText>
        </w:r>
        <w:r w:rsidRPr="00183B5F">
          <w:rPr>
            <w:szCs w:val="22"/>
            <w:lang w:val="hu-HU"/>
          </w:rPr>
          <w:delText xml:space="preserve"> psoriasis vizsgálatban részt</w:delText>
        </w:r>
        <w:r w:rsidR="00B52567" w:rsidRPr="00183B5F">
          <w:rPr>
            <w:szCs w:val="22"/>
            <w:lang w:val="hu-HU"/>
          </w:rPr>
          <w:delText xml:space="preserve"> </w:delText>
        </w:r>
        <w:r w:rsidRPr="00183B5F">
          <w:rPr>
            <w:szCs w:val="22"/>
            <w:lang w:val="hu-HU"/>
          </w:rPr>
          <w:delText>vevő beteg alkalmas volt egy nyílt elrendezésű kiterjesztéses vizsgálatba való beválogatásra, amelyben a Humira</w:delText>
        </w:r>
        <w:r w:rsidRPr="00183B5F">
          <w:rPr>
            <w:szCs w:val="22"/>
            <w:lang w:val="hu-HU"/>
          </w:rPr>
          <w:noBreakHyphen/>
          <w:delText>t legalább további 108 héten át adták.</w:delText>
        </w:r>
      </w:del>
    </w:p>
    <w:p w14:paraId="18D7E193" w14:textId="0F830CD9" w:rsidR="00AB03A9" w:rsidRPr="00183B5F" w:rsidRDefault="00AB03A9">
      <w:pPr>
        <w:pStyle w:val="EMEANormal"/>
        <w:rPr>
          <w:del w:id="2028" w:author="AbbVie_HU_03" w:date="2025-05-14T15:27:00Z"/>
          <w:szCs w:val="22"/>
          <w:lang w:val="hu-HU"/>
        </w:rPr>
      </w:pPr>
    </w:p>
    <w:p w14:paraId="2CF5830B" w14:textId="073281FC" w:rsidR="00AB03A9" w:rsidRPr="00183B5F" w:rsidRDefault="00943743">
      <w:pPr>
        <w:pStyle w:val="EMEANormal"/>
        <w:rPr>
          <w:del w:id="2029" w:author="AbbVie_HU_03" w:date="2025-05-14T15:27:00Z"/>
          <w:szCs w:val="22"/>
          <w:lang w:val="hu-HU"/>
        </w:rPr>
      </w:pPr>
      <w:del w:id="2030" w:author="AbbVie_HU_03" w:date="2025-05-14T15:27:00Z">
        <w:r w:rsidRPr="00183B5F">
          <w:rPr>
            <w:szCs w:val="22"/>
            <w:lang w:val="hu-HU"/>
          </w:rPr>
          <w:delText>A Psoriasis I és II vizsgálatokban az elsődleges végpont azon betegek aránya volt, akik a kiindulási időponttól a 16. hétig P</w:delText>
        </w:r>
        <w:r w:rsidR="001028BB" w:rsidRPr="00183B5F">
          <w:rPr>
            <w:szCs w:val="22"/>
            <w:lang w:val="hu-HU"/>
          </w:rPr>
          <w:delText>ASI </w:delText>
        </w:r>
        <w:r w:rsidRPr="00183B5F">
          <w:rPr>
            <w:szCs w:val="22"/>
            <w:lang w:val="hu-HU"/>
          </w:rPr>
          <w:delText xml:space="preserve">75 választ értek el (lásd </w:delText>
        </w:r>
        <w:r w:rsidR="006C274D" w:rsidRPr="00183B5F">
          <w:rPr>
            <w:szCs w:val="22"/>
            <w:lang w:val="hu-HU"/>
          </w:rPr>
          <w:delText>12</w:delText>
        </w:r>
        <w:r w:rsidRPr="00183B5F">
          <w:rPr>
            <w:szCs w:val="22"/>
            <w:lang w:val="hu-HU"/>
          </w:rPr>
          <w:delText xml:space="preserve">. és </w:delText>
        </w:r>
        <w:r w:rsidR="006C274D" w:rsidRPr="00183B5F">
          <w:rPr>
            <w:szCs w:val="22"/>
            <w:lang w:val="hu-HU"/>
          </w:rPr>
          <w:delText>13</w:delText>
        </w:r>
        <w:r w:rsidRPr="00183B5F">
          <w:rPr>
            <w:szCs w:val="22"/>
            <w:lang w:val="hu-HU"/>
          </w:rPr>
          <w:delText>.</w:delText>
        </w:r>
        <w:r w:rsidR="0054427D" w:rsidRPr="00183B5F">
          <w:rPr>
            <w:szCs w:val="22"/>
            <w:lang w:val="hu-HU"/>
          </w:rPr>
          <w:delText> táblázat</w:delText>
        </w:r>
        <w:r w:rsidRPr="00183B5F">
          <w:rPr>
            <w:szCs w:val="22"/>
            <w:lang w:val="hu-HU"/>
          </w:rPr>
          <w:delText>).</w:delText>
        </w:r>
      </w:del>
    </w:p>
    <w:p w14:paraId="61B11124" w14:textId="37B15872" w:rsidR="00AB03A9" w:rsidRPr="00183B5F" w:rsidRDefault="00AB03A9">
      <w:pPr>
        <w:pStyle w:val="EMEANormal"/>
        <w:rPr>
          <w:del w:id="2031" w:author="AbbVie_HU_03" w:date="2025-05-14T15:27:00Z"/>
          <w:szCs w:val="22"/>
          <w:lang w:val="hu-HU"/>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620"/>
        <w:gridCol w:w="2352"/>
      </w:tblGrid>
      <w:tr w:rsidR="00011D2F" w14:paraId="382B644F" w14:textId="2BCC608D" w:rsidTr="001E0E17">
        <w:trPr>
          <w:cantSplit/>
          <w:jc w:val="center"/>
          <w:del w:id="2032" w:author="AbbVie_HU_03" w:date="2025-05-14T15:27:00Z"/>
        </w:trPr>
        <w:tc>
          <w:tcPr>
            <w:tcW w:w="6949" w:type="dxa"/>
            <w:gridSpan w:val="3"/>
            <w:tcBorders>
              <w:top w:val="nil"/>
              <w:left w:val="nil"/>
              <w:right w:val="nil"/>
            </w:tcBorders>
          </w:tcPr>
          <w:p w14:paraId="60EB6B3E" w14:textId="0BB9F45F" w:rsidR="00AB03A9" w:rsidRPr="00183B5F" w:rsidRDefault="00943743">
            <w:pPr>
              <w:pStyle w:val="DefaultText"/>
              <w:jc w:val="center"/>
              <w:rPr>
                <w:del w:id="2033" w:author="AbbVie_HU_03" w:date="2025-05-14T15:27:00Z"/>
                <w:rFonts w:ascii="Times New Roman" w:hAnsi="Times New Roman"/>
                <w:b/>
                <w:bCs w:val="0"/>
                <w:szCs w:val="22"/>
                <w:lang w:val="hu-HU"/>
              </w:rPr>
            </w:pPr>
            <w:del w:id="2034" w:author="AbbVie_HU_03" w:date="2025-05-14T15:27:00Z">
              <w:r w:rsidRPr="00183B5F">
                <w:rPr>
                  <w:rFonts w:ascii="Times New Roman" w:hAnsi="Times New Roman"/>
                  <w:b/>
                  <w:bCs w:val="0"/>
                  <w:szCs w:val="22"/>
                  <w:lang w:val="hu-HU"/>
                </w:rPr>
                <w:delText>1</w:delText>
              </w:r>
              <w:r w:rsidR="006C274D" w:rsidRPr="00183B5F">
                <w:rPr>
                  <w:rFonts w:ascii="Times New Roman" w:hAnsi="Times New Roman"/>
                  <w:b/>
                  <w:bCs w:val="0"/>
                  <w:szCs w:val="22"/>
                  <w:lang w:val="hu-HU"/>
                </w:rPr>
                <w:delText>2</w:delText>
              </w:r>
              <w:r w:rsidR="0054427D" w:rsidRPr="00183B5F">
                <w:rPr>
                  <w:rFonts w:ascii="Times New Roman" w:hAnsi="Times New Roman"/>
                  <w:b/>
                  <w:bCs w:val="0"/>
                  <w:szCs w:val="22"/>
                  <w:lang w:val="hu-HU"/>
                </w:rPr>
                <w:delText>. táblázat</w:delText>
              </w:r>
            </w:del>
          </w:p>
          <w:p w14:paraId="427E0935" w14:textId="7D4F65F1" w:rsidR="00AB03A9" w:rsidRPr="00183B5F" w:rsidRDefault="00943743">
            <w:pPr>
              <w:pStyle w:val="DefaultText"/>
              <w:jc w:val="center"/>
              <w:rPr>
                <w:del w:id="2035" w:author="AbbVie_HU_03" w:date="2025-05-14T15:27:00Z"/>
                <w:rFonts w:ascii="Times New Roman" w:hAnsi="Times New Roman"/>
                <w:b/>
                <w:bCs w:val="0"/>
                <w:szCs w:val="22"/>
                <w:lang w:val="hu-HU"/>
              </w:rPr>
            </w:pPr>
            <w:del w:id="2036" w:author="AbbVie_HU_03" w:date="2025-05-14T15:27:00Z">
              <w:r w:rsidRPr="00183B5F">
                <w:rPr>
                  <w:rFonts w:ascii="Times New Roman" w:hAnsi="Times New Roman"/>
                  <w:b/>
                  <w:bCs w:val="0"/>
                  <w:szCs w:val="22"/>
                  <w:lang w:val="hu-HU"/>
                </w:rPr>
                <w:delText>Psoriasis I (REVEAL) vizsgálat</w:delText>
              </w:r>
            </w:del>
          </w:p>
          <w:p w14:paraId="78340E5E" w14:textId="20F4A259" w:rsidR="00AB03A9" w:rsidRPr="00183B5F" w:rsidRDefault="00943743">
            <w:pPr>
              <w:pStyle w:val="DefaultText"/>
              <w:jc w:val="center"/>
              <w:rPr>
                <w:del w:id="2037" w:author="AbbVie_HU_03" w:date="2025-05-14T15:27:00Z"/>
                <w:rFonts w:ascii="Times New Roman" w:hAnsi="Times New Roman"/>
                <w:b/>
                <w:bCs w:val="0"/>
                <w:szCs w:val="22"/>
                <w:lang w:val="hu-HU"/>
              </w:rPr>
            </w:pPr>
            <w:del w:id="2038" w:author="AbbVie_HU_03" w:date="2025-05-14T15:27:00Z">
              <w:r w:rsidRPr="00183B5F">
                <w:rPr>
                  <w:rFonts w:ascii="Times New Roman" w:hAnsi="Times New Roman"/>
                  <w:b/>
                  <w:bCs w:val="0"/>
                  <w:szCs w:val="22"/>
                  <w:lang w:val="hu-HU"/>
                </w:rPr>
                <w:delText>Hatásossági eredmények a 16. héten</w:delText>
              </w:r>
            </w:del>
          </w:p>
          <w:p w14:paraId="00181D5F" w14:textId="6404EB86" w:rsidR="00AB03A9" w:rsidRPr="00183B5F" w:rsidRDefault="00AB03A9">
            <w:pPr>
              <w:pStyle w:val="DefaultText"/>
              <w:jc w:val="center"/>
              <w:rPr>
                <w:del w:id="2039" w:author="AbbVie_HU_03" w:date="2025-05-14T15:27:00Z"/>
                <w:rFonts w:ascii="Times New Roman" w:hAnsi="Times New Roman"/>
                <w:b/>
                <w:bCs w:val="0"/>
                <w:szCs w:val="22"/>
                <w:u w:val="single"/>
                <w:lang w:val="hu-HU"/>
              </w:rPr>
            </w:pPr>
          </w:p>
        </w:tc>
      </w:tr>
      <w:tr w:rsidR="00011D2F" w14:paraId="2E09D294" w14:textId="5B79A0E3" w:rsidTr="001E0E17">
        <w:trPr>
          <w:cantSplit/>
          <w:jc w:val="center"/>
          <w:del w:id="2040" w:author="AbbVie_HU_03" w:date="2025-05-14T15:27:00Z"/>
        </w:trPr>
        <w:tc>
          <w:tcPr>
            <w:tcW w:w="2977" w:type="dxa"/>
            <w:vAlign w:val="center"/>
          </w:tcPr>
          <w:p w14:paraId="73B3F746" w14:textId="5AA0D823" w:rsidR="00AB03A9" w:rsidRPr="00183B5F" w:rsidRDefault="00AB03A9">
            <w:pPr>
              <w:pStyle w:val="DefaultText"/>
              <w:rPr>
                <w:del w:id="2041" w:author="AbbVie_HU_03" w:date="2025-05-14T15:27:00Z"/>
                <w:rFonts w:ascii="Times New Roman" w:hAnsi="Times New Roman"/>
                <w:b/>
                <w:bCs w:val="0"/>
                <w:szCs w:val="22"/>
                <w:lang w:val="hu-HU"/>
              </w:rPr>
            </w:pPr>
          </w:p>
        </w:tc>
        <w:tc>
          <w:tcPr>
            <w:tcW w:w="1620" w:type="dxa"/>
            <w:vAlign w:val="center"/>
          </w:tcPr>
          <w:p w14:paraId="5A223855" w14:textId="34113AB4" w:rsidR="00AB03A9" w:rsidRPr="00183B5F" w:rsidRDefault="00943743">
            <w:pPr>
              <w:pStyle w:val="DefaultText"/>
              <w:jc w:val="center"/>
              <w:rPr>
                <w:del w:id="2042" w:author="AbbVie_HU_03" w:date="2025-05-14T15:27:00Z"/>
                <w:rFonts w:ascii="Times New Roman" w:hAnsi="Times New Roman"/>
                <w:b/>
                <w:lang w:val="hu-HU"/>
              </w:rPr>
            </w:pPr>
            <w:del w:id="2043" w:author="AbbVie_HU_03" w:date="2025-05-14T15:27:00Z">
              <w:r w:rsidRPr="00183B5F">
                <w:rPr>
                  <w:rFonts w:ascii="Times New Roman" w:hAnsi="Times New Roman"/>
                  <w:b/>
                  <w:lang w:val="hu-HU"/>
                </w:rPr>
                <w:delText>Placebo</w:delText>
              </w:r>
            </w:del>
          </w:p>
          <w:p w14:paraId="6DD7F11D" w14:textId="3D49C75F" w:rsidR="00AB03A9" w:rsidRPr="00183B5F" w:rsidRDefault="00943743">
            <w:pPr>
              <w:pStyle w:val="DefaultText"/>
              <w:jc w:val="center"/>
              <w:rPr>
                <w:del w:id="2044" w:author="AbbVie_HU_03" w:date="2025-05-14T15:27:00Z"/>
                <w:rFonts w:ascii="Times New Roman" w:hAnsi="Times New Roman"/>
                <w:b/>
                <w:lang w:val="hu-HU"/>
              </w:rPr>
            </w:pPr>
            <w:del w:id="2045" w:author="AbbVie_HU_03" w:date="2025-05-14T15:27:00Z">
              <w:r w:rsidRPr="00183B5F">
                <w:rPr>
                  <w:rFonts w:ascii="Times New Roman" w:hAnsi="Times New Roman"/>
                  <w:b/>
                  <w:lang w:val="hu-HU"/>
                </w:rPr>
                <w:delText>N = 398</w:delText>
              </w:r>
            </w:del>
          </w:p>
          <w:p w14:paraId="1049D661" w14:textId="06AC26CA" w:rsidR="00AB03A9" w:rsidRPr="00183B5F" w:rsidRDefault="00943743">
            <w:pPr>
              <w:pStyle w:val="DefaultText"/>
              <w:jc w:val="center"/>
              <w:rPr>
                <w:del w:id="2046" w:author="AbbVie_HU_03" w:date="2025-05-14T15:27:00Z"/>
                <w:rFonts w:ascii="Times New Roman" w:hAnsi="Times New Roman"/>
                <w:b/>
                <w:lang w:val="hu-HU"/>
              </w:rPr>
            </w:pPr>
            <w:del w:id="2047" w:author="AbbVie_HU_03" w:date="2025-05-14T15:27:00Z">
              <w:r w:rsidRPr="00183B5F">
                <w:rPr>
                  <w:rFonts w:ascii="Times New Roman" w:hAnsi="Times New Roman"/>
                  <w:b/>
                  <w:lang w:val="hu-HU"/>
                </w:rPr>
                <w:delText>n (%)</w:delText>
              </w:r>
            </w:del>
          </w:p>
        </w:tc>
        <w:tc>
          <w:tcPr>
            <w:tcW w:w="2352" w:type="dxa"/>
            <w:vAlign w:val="center"/>
          </w:tcPr>
          <w:p w14:paraId="7BB20FFE" w14:textId="08730760" w:rsidR="00AB03A9" w:rsidRPr="00183B5F" w:rsidRDefault="00943743">
            <w:pPr>
              <w:pStyle w:val="DefaultText"/>
              <w:jc w:val="center"/>
              <w:rPr>
                <w:del w:id="2048" w:author="AbbVie_HU_03" w:date="2025-05-14T15:27:00Z"/>
                <w:rFonts w:ascii="Times New Roman" w:hAnsi="Times New Roman"/>
                <w:b/>
                <w:lang w:val="hu-HU"/>
              </w:rPr>
            </w:pPr>
            <w:del w:id="2049" w:author="AbbVie_HU_03" w:date="2025-05-14T15:27:00Z">
              <w:r w:rsidRPr="00183B5F">
                <w:rPr>
                  <w:rFonts w:ascii="Times New Roman" w:hAnsi="Times New Roman"/>
                  <w:b/>
                  <w:lang w:val="hu-HU"/>
                </w:rPr>
                <w:delText>Humira 40 mg minden második héten</w:delText>
              </w:r>
            </w:del>
          </w:p>
          <w:p w14:paraId="791C6B6C" w14:textId="413AC529" w:rsidR="00AB03A9" w:rsidRPr="00183B5F" w:rsidRDefault="00943743">
            <w:pPr>
              <w:pStyle w:val="DefaultText"/>
              <w:jc w:val="center"/>
              <w:rPr>
                <w:del w:id="2050" w:author="AbbVie_HU_03" w:date="2025-05-14T15:27:00Z"/>
                <w:rFonts w:ascii="Times New Roman" w:hAnsi="Times New Roman"/>
                <w:b/>
                <w:lang w:val="hu-HU"/>
              </w:rPr>
            </w:pPr>
            <w:del w:id="2051" w:author="AbbVie_HU_03" w:date="2025-05-14T15:27:00Z">
              <w:r w:rsidRPr="00183B5F">
                <w:rPr>
                  <w:rFonts w:ascii="Times New Roman" w:hAnsi="Times New Roman"/>
                  <w:b/>
                  <w:lang w:val="hu-HU"/>
                </w:rPr>
                <w:delText>N = 814</w:delText>
              </w:r>
            </w:del>
          </w:p>
          <w:p w14:paraId="5251FAA8" w14:textId="5761BC17" w:rsidR="00AB03A9" w:rsidRPr="00183B5F" w:rsidRDefault="00943743">
            <w:pPr>
              <w:pStyle w:val="DefaultText"/>
              <w:jc w:val="center"/>
              <w:rPr>
                <w:del w:id="2052" w:author="AbbVie_HU_03" w:date="2025-05-14T15:27:00Z"/>
                <w:rFonts w:ascii="Times New Roman" w:hAnsi="Times New Roman"/>
                <w:b/>
                <w:lang w:val="hu-HU"/>
              </w:rPr>
            </w:pPr>
            <w:del w:id="2053" w:author="AbbVie_HU_03" w:date="2025-05-14T15:27:00Z">
              <w:r w:rsidRPr="00183B5F">
                <w:rPr>
                  <w:rFonts w:ascii="Times New Roman" w:hAnsi="Times New Roman"/>
                  <w:b/>
                  <w:lang w:val="hu-HU"/>
                </w:rPr>
                <w:delText>n (%)</w:delText>
              </w:r>
            </w:del>
          </w:p>
        </w:tc>
      </w:tr>
      <w:tr w:rsidR="00011D2F" w14:paraId="73396AC2" w14:textId="40255EAB" w:rsidTr="001E0E17">
        <w:trPr>
          <w:cantSplit/>
          <w:jc w:val="center"/>
          <w:del w:id="2054" w:author="AbbVie_HU_03" w:date="2025-05-14T15:27:00Z"/>
        </w:trPr>
        <w:tc>
          <w:tcPr>
            <w:tcW w:w="2977" w:type="dxa"/>
          </w:tcPr>
          <w:p w14:paraId="49E03F8C" w14:textId="15BC970C" w:rsidR="00AB03A9" w:rsidRPr="00183B5F" w:rsidRDefault="00943743" w:rsidP="006B2397">
            <w:pPr>
              <w:pStyle w:val="DefaultText"/>
              <w:ind w:firstLine="225"/>
              <w:rPr>
                <w:del w:id="2055" w:author="AbbVie_HU_03" w:date="2025-05-14T15:27:00Z"/>
                <w:rFonts w:ascii="Times New Roman" w:hAnsi="Times New Roman"/>
                <w:b/>
                <w:lang w:val="hu-HU"/>
              </w:rPr>
            </w:pPr>
            <w:del w:id="2056" w:author="AbbVie_HU_03" w:date="2025-05-14T15:27:00Z">
              <w:r w:rsidRPr="00183B5F">
                <w:rPr>
                  <w:rFonts w:ascii="Symbol" w:hAnsi="Symbol"/>
                  <w:b/>
                  <w:lang w:val="hu-HU"/>
                </w:rPr>
                <w:sym w:font="Symbol" w:char="F0B3"/>
              </w:r>
              <w:r w:rsidRPr="00183B5F">
                <w:rPr>
                  <w:rFonts w:ascii="Times New Roman" w:hAnsi="Times New Roman"/>
                  <w:b/>
                  <w:lang w:val="hu-HU"/>
                </w:rPr>
                <w:delText xml:space="preserve"> </w:delText>
              </w:r>
              <w:r w:rsidR="001028BB" w:rsidRPr="00183B5F">
                <w:rPr>
                  <w:rFonts w:ascii="Times New Roman" w:hAnsi="Times New Roman"/>
                  <w:b/>
                  <w:lang w:val="hu-HU"/>
                </w:rPr>
                <w:delText>PASI </w:delText>
              </w:r>
              <w:r w:rsidRPr="00183B5F">
                <w:rPr>
                  <w:rFonts w:ascii="Times New Roman" w:hAnsi="Times New Roman"/>
                  <w:b/>
                  <w:lang w:val="hu-HU"/>
                </w:rPr>
                <w:delText>75</w:delText>
              </w:r>
              <w:r w:rsidRPr="00183B5F">
                <w:rPr>
                  <w:rFonts w:ascii="Times New Roman" w:hAnsi="Times New Roman"/>
                  <w:b/>
                  <w:vertAlign w:val="superscript"/>
                  <w:lang w:val="hu-HU"/>
                </w:rPr>
                <w:delText>a</w:delText>
              </w:r>
            </w:del>
          </w:p>
        </w:tc>
        <w:tc>
          <w:tcPr>
            <w:tcW w:w="1620" w:type="dxa"/>
          </w:tcPr>
          <w:p w14:paraId="3AF2B826" w14:textId="0F67CC6C" w:rsidR="00AB03A9" w:rsidRPr="00183B5F" w:rsidRDefault="00943743">
            <w:pPr>
              <w:pStyle w:val="DefaultText"/>
              <w:jc w:val="center"/>
              <w:rPr>
                <w:del w:id="2057" w:author="AbbVie_HU_03" w:date="2025-05-14T15:27:00Z"/>
                <w:rFonts w:ascii="Times New Roman" w:hAnsi="Times New Roman"/>
                <w:lang w:val="hu-HU"/>
              </w:rPr>
            </w:pPr>
            <w:del w:id="2058" w:author="AbbVie_HU_03" w:date="2025-05-14T15:27:00Z">
              <w:r w:rsidRPr="00183B5F">
                <w:rPr>
                  <w:rFonts w:ascii="Times New Roman" w:hAnsi="Times New Roman"/>
                  <w:lang w:val="hu-HU"/>
                </w:rPr>
                <w:delText>26 (6,5)</w:delText>
              </w:r>
            </w:del>
          </w:p>
        </w:tc>
        <w:tc>
          <w:tcPr>
            <w:tcW w:w="2352" w:type="dxa"/>
          </w:tcPr>
          <w:p w14:paraId="0C8F5EED" w14:textId="6646AB45" w:rsidR="00AB03A9" w:rsidRPr="00183B5F" w:rsidRDefault="00943743">
            <w:pPr>
              <w:pStyle w:val="DefaultText"/>
              <w:jc w:val="center"/>
              <w:rPr>
                <w:del w:id="2059" w:author="AbbVie_HU_03" w:date="2025-05-14T15:27:00Z"/>
                <w:rFonts w:ascii="Times New Roman" w:hAnsi="Times New Roman"/>
                <w:lang w:val="hu-HU"/>
              </w:rPr>
            </w:pPr>
            <w:del w:id="2060" w:author="AbbVie_HU_03" w:date="2025-05-14T15:27:00Z">
              <w:r w:rsidRPr="00183B5F">
                <w:rPr>
                  <w:rFonts w:ascii="Times New Roman" w:hAnsi="Times New Roman"/>
                  <w:lang w:val="hu-HU"/>
                </w:rPr>
                <w:delText>578 (70,9)</w:delText>
              </w:r>
              <w:r w:rsidRPr="00183B5F">
                <w:rPr>
                  <w:rFonts w:ascii="Times New Roman" w:hAnsi="Times New Roman"/>
                  <w:vertAlign w:val="superscript"/>
                  <w:lang w:val="hu-HU"/>
                </w:rPr>
                <w:delText>b</w:delText>
              </w:r>
            </w:del>
          </w:p>
        </w:tc>
      </w:tr>
      <w:tr w:rsidR="00011D2F" w14:paraId="75D39D4D" w14:textId="2F52FD9F" w:rsidTr="001E0E17">
        <w:trPr>
          <w:cantSplit/>
          <w:trHeight w:val="70"/>
          <w:jc w:val="center"/>
          <w:del w:id="2061" w:author="AbbVie_HU_03" w:date="2025-05-14T15:27:00Z"/>
        </w:trPr>
        <w:tc>
          <w:tcPr>
            <w:tcW w:w="2977" w:type="dxa"/>
          </w:tcPr>
          <w:p w14:paraId="7CC18B4F" w14:textId="41660E7E" w:rsidR="00AB03A9" w:rsidRPr="00183B5F" w:rsidRDefault="00943743" w:rsidP="006B2397">
            <w:pPr>
              <w:pStyle w:val="DefaultText"/>
              <w:ind w:firstLine="225"/>
              <w:rPr>
                <w:del w:id="2062" w:author="AbbVie_HU_03" w:date="2025-05-14T15:27:00Z"/>
                <w:rFonts w:ascii="Times New Roman" w:hAnsi="Times New Roman"/>
                <w:b/>
                <w:lang w:val="hu-HU"/>
              </w:rPr>
            </w:pPr>
            <w:del w:id="2063" w:author="AbbVie_HU_03" w:date="2025-05-14T15:27:00Z">
              <w:r w:rsidRPr="00183B5F">
                <w:rPr>
                  <w:rFonts w:ascii="Times New Roman" w:hAnsi="Times New Roman"/>
                  <w:b/>
                  <w:lang w:val="hu-HU"/>
                </w:rPr>
                <w:delText>PASI 100</w:delText>
              </w:r>
            </w:del>
          </w:p>
        </w:tc>
        <w:tc>
          <w:tcPr>
            <w:tcW w:w="1620" w:type="dxa"/>
          </w:tcPr>
          <w:p w14:paraId="280A5933" w14:textId="4CBC5E8A" w:rsidR="00AB03A9" w:rsidRPr="00183B5F" w:rsidRDefault="00943743">
            <w:pPr>
              <w:pStyle w:val="DefaultText"/>
              <w:jc w:val="center"/>
              <w:rPr>
                <w:del w:id="2064" w:author="AbbVie_HU_03" w:date="2025-05-14T15:27:00Z"/>
                <w:rFonts w:ascii="Times New Roman" w:hAnsi="Times New Roman"/>
                <w:lang w:val="hu-HU"/>
              </w:rPr>
            </w:pPr>
            <w:del w:id="2065" w:author="AbbVie_HU_03" w:date="2025-05-14T15:27:00Z">
              <w:r w:rsidRPr="00183B5F">
                <w:rPr>
                  <w:rFonts w:ascii="Times New Roman" w:hAnsi="Times New Roman"/>
                  <w:lang w:val="hu-HU"/>
                </w:rPr>
                <w:delText>3 (0,8)</w:delText>
              </w:r>
            </w:del>
          </w:p>
        </w:tc>
        <w:tc>
          <w:tcPr>
            <w:tcW w:w="2352" w:type="dxa"/>
          </w:tcPr>
          <w:p w14:paraId="300CCAFA" w14:textId="106C8C67" w:rsidR="00AB03A9" w:rsidRPr="00183B5F" w:rsidRDefault="00943743">
            <w:pPr>
              <w:pStyle w:val="DefaultText"/>
              <w:jc w:val="center"/>
              <w:rPr>
                <w:del w:id="2066" w:author="AbbVie_HU_03" w:date="2025-05-14T15:27:00Z"/>
                <w:rFonts w:ascii="Times New Roman" w:hAnsi="Times New Roman"/>
                <w:lang w:val="hu-HU"/>
              </w:rPr>
            </w:pPr>
            <w:del w:id="2067" w:author="AbbVie_HU_03" w:date="2025-05-14T15:27:00Z">
              <w:r w:rsidRPr="00183B5F">
                <w:rPr>
                  <w:rFonts w:ascii="Times New Roman" w:hAnsi="Times New Roman"/>
                  <w:lang w:val="hu-HU"/>
                </w:rPr>
                <w:delText>163 (20,0)</w:delText>
              </w:r>
              <w:r w:rsidRPr="00183B5F">
                <w:rPr>
                  <w:rFonts w:ascii="Times New Roman" w:hAnsi="Times New Roman"/>
                  <w:vertAlign w:val="superscript"/>
                  <w:lang w:val="hu-HU"/>
                </w:rPr>
                <w:delText>b</w:delText>
              </w:r>
            </w:del>
          </w:p>
        </w:tc>
      </w:tr>
      <w:tr w:rsidR="00011D2F" w14:paraId="0DE1CF67" w14:textId="610671C5" w:rsidTr="001E0E17">
        <w:trPr>
          <w:cantSplit/>
          <w:jc w:val="center"/>
          <w:del w:id="2068" w:author="AbbVie_HU_03" w:date="2025-05-14T15:27:00Z"/>
        </w:trPr>
        <w:tc>
          <w:tcPr>
            <w:tcW w:w="2977" w:type="dxa"/>
          </w:tcPr>
          <w:p w14:paraId="524693EC" w14:textId="175BB789" w:rsidR="00AB03A9" w:rsidRPr="00183B5F" w:rsidRDefault="00943743" w:rsidP="006B2397">
            <w:pPr>
              <w:pStyle w:val="DefaultText"/>
              <w:ind w:firstLine="225"/>
              <w:rPr>
                <w:del w:id="2069" w:author="AbbVie_HU_03" w:date="2025-05-14T15:27:00Z"/>
                <w:rFonts w:ascii="Times New Roman" w:hAnsi="Times New Roman"/>
                <w:b/>
                <w:lang w:val="hu-HU"/>
              </w:rPr>
            </w:pPr>
            <w:del w:id="2070" w:author="AbbVie_HU_03" w:date="2025-05-14T15:27:00Z">
              <w:r w:rsidRPr="00183B5F">
                <w:rPr>
                  <w:rFonts w:ascii="Times New Roman" w:hAnsi="Times New Roman"/>
                  <w:b/>
                  <w:lang w:val="hu-HU"/>
                </w:rPr>
                <w:delText>PGA: tiszta/minimális</w:delText>
              </w:r>
            </w:del>
          </w:p>
        </w:tc>
        <w:tc>
          <w:tcPr>
            <w:tcW w:w="1620" w:type="dxa"/>
          </w:tcPr>
          <w:p w14:paraId="78A5B5CC" w14:textId="7E163D61" w:rsidR="00AB03A9" w:rsidRPr="00183B5F" w:rsidRDefault="00943743">
            <w:pPr>
              <w:pStyle w:val="DefaultText"/>
              <w:jc w:val="center"/>
              <w:rPr>
                <w:del w:id="2071" w:author="AbbVie_HU_03" w:date="2025-05-14T15:27:00Z"/>
                <w:rFonts w:ascii="Times New Roman" w:hAnsi="Times New Roman"/>
                <w:lang w:val="hu-HU"/>
              </w:rPr>
            </w:pPr>
            <w:del w:id="2072" w:author="AbbVie_HU_03" w:date="2025-05-14T15:27:00Z">
              <w:r w:rsidRPr="00183B5F">
                <w:rPr>
                  <w:rFonts w:ascii="Times New Roman" w:hAnsi="Times New Roman"/>
                  <w:lang w:val="hu-HU"/>
                </w:rPr>
                <w:delText>17 (4,3)</w:delText>
              </w:r>
            </w:del>
          </w:p>
        </w:tc>
        <w:tc>
          <w:tcPr>
            <w:tcW w:w="2352" w:type="dxa"/>
          </w:tcPr>
          <w:p w14:paraId="083C56FD" w14:textId="7BE0255E" w:rsidR="00AB03A9" w:rsidRPr="00183B5F" w:rsidRDefault="00943743">
            <w:pPr>
              <w:pStyle w:val="DefaultText"/>
              <w:jc w:val="center"/>
              <w:rPr>
                <w:del w:id="2073" w:author="AbbVie_HU_03" w:date="2025-05-14T15:27:00Z"/>
                <w:rFonts w:ascii="Times New Roman" w:hAnsi="Times New Roman"/>
                <w:lang w:val="hu-HU"/>
              </w:rPr>
            </w:pPr>
            <w:del w:id="2074" w:author="AbbVie_HU_03" w:date="2025-05-14T15:27:00Z">
              <w:r w:rsidRPr="00183B5F">
                <w:rPr>
                  <w:rFonts w:ascii="Times New Roman" w:hAnsi="Times New Roman"/>
                  <w:lang w:val="hu-HU"/>
                </w:rPr>
                <w:delText>506 (62,2)</w:delText>
              </w:r>
              <w:r w:rsidRPr="00183B5F">
                <w:rPr>
                  <w:rFonts w:ascii="Times New Roman" w:hAnsi="Times New Roman"/>
                  <w:vertAlign w:val="superscript"/>
                  <w:lang w:val="hu-HU"/>
                </w:rPr>
                <w:delText>b</w:delText>
              </w:r>
            </w:del>
          </w:p>
        </w:tc>
      </w:tr>
      <w:tr w:rsidR="00011D2F" w14:paraId="75E2BC17" w14:textId="0E20B881" w:rsidTr="001E0E17">
        <w:trPr>
          <w:cantSplit/>
          <w:jc w:val="center"/>
          <w:del w:id="2075" w:author="AbbVie_HU_03" w:date="2025-05-14T15:27:00Z"/>
        </w:trPr>
        <w:tc>
          <w:tcPr>
            <w:tcW w:w="6949" w:type="dxa"/>
            <w:gridSpan w:val="3"/>
          </w:tcPr>
          <w:p w14:paraId="2ADE4B55" w14:textId="688EEDA3" w:rsidR="00AB03A9" w:rsidRPr="00183B5F" w:rsidRDefault="00943743">
            <w:pPr>
              <w:pStyle w:val="DefaultText"/>
              <w:rPr>
                <w:del w:id="2076" w:author="AbbVie_HU_03" w:date="2025-05-14T15:27:00Z"/>
                <w:rFonts w:ascii="Times New Roman" w:hAnsi="Times New Roman"/>
                <w:szCs w:val="22"/>
                <w:lang w:val="hu-HU"/>
              </w:rPr>
            </w:pPr>
            <w:del w:id="2077" w:author="AbbVie_HU_03" w:date="2025-05-14T15:27:00Z">
              <w:r w:rsidRPr="00183B5F">
                <w:rPr>
                  <w:rFonts w:ascii="Times New Roman" w:hAnsi="Times New Roman"/>
                  <w:szCs w:val="22"/>
                  <w:vertAlign w:val="superscript"/>
                  <w:lang w:val="hu-HU"/>
                </w:rPr>
                <w:delText>a</w:delText>
              </w:r>
              <w:r w:rsidR="001028BB" w:rsidRPr="00183B5F">
                <w:rPr>
                  <w:rFonts w:ascii="Times New Roman" w:hAnsi="Times New Roman"/>
                  <w:szCs w:val="22"/>
                  <w:lang w:val="hu-HU"/>
                </w:rPr>
                <w:delText xml:space="preserve"> A PASI </w:delText>
              </w:r>
              <w:r w:rsidRPr="00183B5F">
                <w:rPr>
                  <w:rFonts w:ascii="Times New Roman" w:hAnsi="Times New Roman"/>
                  <w:szCs w:val="22"/>
                  <w:lang w:val="hu-HU"/>
                </w:rPr>
                <w:delText>75 választ elért betegek százalékos aránya középértékre korrigált arány formájában került kiszámításra</w:delText>
              </w:r>
            </w:del>
          </w:p>
          <w:p w14:paraId="2CFCB61A" w14:textId="4C30FB2D" w:rsidR="00AB03A9" w:rsidRPr="00183B5F" w:rsidRDefault="00943743">
            <w:pPr>
              <w:pStyle w:val="DefaultText"/>
              <w:rPr>
                <w:del w:id="2078" w:author="AbbVie_HU_03" w:date="2025-05-14T15:27:00Z"/>
                <w:rFonts w:ascii="Times New Roman" w:hAnsi="Times New Roman"/>
                <w:lang w:val="hu-HU"/>
              </w:rPr>
            </w:pPr>
            <w:del w:id="2079" w:author="AbbVie_HU_03" w:date="2025-05-14T15:27:00Z">
              <w:r w:rsidRPr="00183B5F">
                <w:rPr>
                  <w:rFonts w:ascii="Times New Roman" w:hAnsi="Times New Roman"/>
                  <w:vertAlign w:val="superscript"/>
                  <w:lang w:val="hu-HU"/>
                </w:rPr>
                <w:delText>b</w:delText>
              </w:r>
              <w:r w:rsidRPr="00183B5F">
                <w:rPr>
                  <w:rFonts w:ascii="Times New Roman" w:hAnsi="Times New Roman"/>
                  <w:lang w:val="hu-HU"/>
                </w:rPr>
                <w:delText xml:space="preserve"> p &lt; 0,001, Humira vs. placebo</w:delText>
              </w:r>
            </w:del>
          </w:p>
        </w:tc>
      </w:tr>
    </w:tbl>
    <w:p w14:paraId="1656A47C" w14:textId="1852E776" w:rsidR="00AB03A9" w:rsidRPr="00183B5F" w:rsidRDefault="00AB03A9">
      <w:pPr>
        <w:pStyle w:val="EMEANormal"/>
        <w:rPr>
          <w:del w:id="2080" w:author="AbbVie_HU_03" w:date="2025-05-14T15:27:00Z"/>
          <w:szCs w:val="22"/>
          <w:lang w:val="hu-HU"/>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9"/>
        <w:gridCol w:w="1645"/>
        <w:gridCol w:w="1344"/>
        <w:gridCol w:w="2348"/>
      </w:tblGrid>
      <w:tr w:rsidR="00011D2F" w14:paraId="2F6E2731" w14:textId="392B8A02" w:rsidTr="001E0E17">
        <w:trPr>
          <w:cantSplit/>
          <w:jc w:val="center"/>
          <w:del w:id="2081" w:author="AbbVie_HU_03" w:date="2025-05-14T15:27:00Z"/>
        </w:trPr>
        <w:tc>
          <w:tcPr>
            <w:tcW w:w="7046" w:type="dxa"/>
            <w:gridSpan w:val="4"/>
            <w:tcBorders>
              <w:top w:val="nil"/>
              <w:left w:val="nil"/>
              <w:right w:val="nil"/>
            </w:tcBorders>
          </w:tcPr>
          <w:p w14:paraId="14F0F2B4" w14:textId="1E9137CC" w:rsidR="00AB03A9" w:rsidRPr="00183B5F" w:rsidRDefault="00943743">
            <w:pPr>
              <w:pStyle w:val="DefaultText"/>
              <w:keepNext/>
              <w:jc w:val="center"/>
              <w:rPr>
                <w:del w:id="2082" w:author="AbbVie_HU_03" w:date="2025-05-14T15:27:00Z"/>
                <w:rFonts w:ascii="Times New Roman" w:hAnsi="Times New Roman"/>
                <w:b/>
                <w:lang w:val="hu-HU"/>
              </w:rPr>
            </w:pPr>
            <w:del w:id="2083" w:author="AbbVie_HU_03" w:date="2025-05-14T15:27:00Z">
              <w:r w:rsidRPr="00183B5F">
                <w:rPr>
                  <w:rFonts w:ascii="Times New Roman" w:hAnsi="Times New Roman"/>
                  <w:b/>
                  <w:lang w:val="hu-HU"/>
                </w:rPr>
                <w:delText xml:space="preserve">13. táblázat </w:delText>
              </w:r>
            </w:del>
          </w:p>
          <w:p w14:paraId="7A9BAC11" w14:textId="285062C8" w:rsidR="00AB03A9" w:rsidRPr="00183B5F" w:rsidRDefault="00943743">
            <w:pPr>
              <w:pStyle w:val="DefaultText"/>
              <w:keepNext/>
              <w:jc w:val="center"/>
              <w:rPr>
                <w:del w:id="2084" w:author="AbbVie_HU_03" w:date="2025-05-14T15:27:00Z"/>
                <w:rFonts w:ascii="Times New Roman" w:hAnsi="Times New Roman"/>
                <w:b/>
                <w:lang w:val="hu-HU"/>
              </w:rPr>
            </w:pPr>
            <w:del w:id="2085" w:author="AbbVie_HU_03" w:date="2025-05-14T15:27:00Z">
              <w:r w:rsidRPr="00183B5F">
                <w:rPr>
                  <w:rFonts w:ascii="Times New Roman" w:hAnsi="Times New Roman"/>
                  <w:b/>
                  <w:lang w:val="hu-HU"/>
                </w:rPr>
                <w:delText>Psoriasis II (CHAMPION) vizsgálat</w:delText>
              </w:r>
            </w:del>
          </w:p>
          <w:p w14:paraId="41250FB9" w14:textId="7017EF6A" w:rsidR="00AB03A9" w:rsidRPr="00183B5F" w:rsidRDefault="00943743">
            <w:pPr>
              <w:pStyle w:val="DefaultText"/>
              <w:keepNext/>
              <w:jc w:val="center"/>
              <w:rPr>
                <w:del w:id="2086" w:author="AbbVie_HU_03" w:date="2025-05-14T15:27:00Z"/>
                <w:rFonts w:ascii="Times New Roman" w:hAnsi="Times New Roman"/>
                <w:b/>
                <w:lang w:val="hu-HU"/>
              </w:rPr>
            </w:pPr>
            <w:del w:id="2087" w:author="AbbVie_HU_03" w:date="2025-05-14T15:27:00Z">
              <w:r w:rsidRPr="00183B5F">
                <w:rPr>
                  <w:rFonts w:ascii="Times New Roman" w:hAnsi="Times New Roman"/>
                  <w:b/>
                  <w:lang w:val="hu-HU"/>
                </w:rPr>
                <w:delText>Hatásossági eredmények a 16. héten</w:delText>
              </w:r>
            </w:del>
          </w:p>
          <w:p w14:paraId="45D8F650" w14:textId="6148993C" w:rsidR="00AB03A9" w:rsidRPr="00183B5F" w:rsidRDefault="00AB03A9">
            <w:pPr>
              <w:pStyle w:val="DefaultText"/>
              <w:keepNext/>
              <w:jc w:val="center"/>
              <w:rPr>
                <w:del w:id="2088" w:author="AbbVie_HU_03" w:date="2025-05-14T15:27:00Z"/>
                <w:rFonts w:ascii="Times New Roman" w:hAnsi="Times New Roman"/>
                <w:u w:val="single"/>
                <w:lang w:val="hu-HU"/>
              </w:rPr>
            </w:pPr>
          </w:p>
        </w:tc>
      </w:tr>
      <w:tr w:rsidR="00011D2F" w14:paraId="322548D1" w14:textId="5C2D0376" w:rsidTr="001E0E17">
        <w:trPr>
          <w:cantSplit/>
          <w:jc w:val="center"/>
          <w:del w:id="2089" w:author="AbbVie_HU_03" w:date="2025-05-14T15:27:00Z"/>
        </w:trPr>
        <w:tc>
          <w:tcPr>
            <w:tcW w:w="1639" w:type="dxa"/>
          </w:tcPr>
          <w:p w14:paraId="2FE24B42" w14:textId="565A4831" w:rsidR="00AB03A9" w:rsidRPr="00183B5F" w:rsidRDefault="00AB03A9">
            <w:pPr>
              <w:pStyle w:val="DefaultText"/>
              <w:keepNext/>
              <w:jc w:val="center"/>
              <w:rPr>
                <w:del w:id="2090" w:author="AbbVie_HU_03" w:date="2025-05-14T15:27:00Z"/>
                <w:rFonts w:ascii="Times New Roman" w:hAnsi="Times New Roman"/>
                <w:b/>
                <w:lang w:val="hu-HU"/>
              </w:rPr>
            </w:pPr>
          </w:p>
        </w:tc>
        <w:tc>
          <w:tcPr>
            <w:tcW w:w="1668" w:type="dxa"/>
            <w:vAlign w:val="center"/>
          </w:tcPr>
          <w:p w14:paraId="176DEF42" w14:textId="1C198245" w:rsidR="00AB03A9" w:rsidRPr="00183B5F" w:rsidRDefault="00943743">
            <w:pPr>
              <w:pStyle w:val="DefaultText"/>
              <w:keepNext/>
              <w:jc w:val="center"/>
              <w:rPr>
                <w:del w:id="2091" w:author="AbbVie_HU_03" w:date="2025-05-14T15:27:00Z"/>
                <w:rFonts w:ascii="Times New Roman" w:hAnsi="Times New Roman"/>
                <w:b/>
                <w:lang w:val="hu-HU"/>
              </w:rPr>
            </w:pPr>
            <w:del w:id="2092" w:author="AbbVie_HU_03" w:date="2025-05-14T15:27:00Z">
              <w:r w:rsidRPr="00183B5F">
                <w:rPr>
                  <w:rFonts w:ascii="Times New Roman" w:hAnsi="Times New Roman"/>
                  <w:b/>
                  <w:lang w:val="hu-HU"/>
                </w:rPr>
                <w:delText>Placebo</w:delText>
              </w:r>
            </w:del>
          </w:p>
          <w:p w14:paraId="6F806701" w14:textId="44B7AF3B" w:rsidR="00AB03A9" w:rsidRPr="00183B5F" w:rsidRDefault="00943743">
            <w:pPr>
              <w:pStyle w:val="DefaultText"/>
              <w:keepNext/>
              <w:jc w:val="center"/>
              <w:rPr>
                <w:del w:id="2093" w:author="AbbVie_HU_03" w:date="2025-05-14T15:27:00Z"/>
                <w:rFonts w:ascii="Times New Roman" w:hAnsi="Times New Roman"/>
                <w:b/>
                <w:lang w:val="hu-HU"/>
              </w:rPr>
            </w:pPr>
            <w:del w:id="2094" w:author="AbbVie_HU_03" w:date="2025-05-14T15:27:00Z">
              <w:r w:rsidRPr="00183B5F">
                <w:rPr>
                  <w:rFonts w:ascii="Times New Roman" w:hAnsi="Times New Roman"/>
                  <w:b/>
                  <w:lang w:val="hu-HU"/>
                </w:rPr>
                <w:delText>N = 53</w:delText>
              </w:r>
            </w:del>
          </w:p>
          <w:p w14:paraId="2BFC7BC3" w14:textId="4D872DA2" w:rsidR="00AB03A9" w:rsidRPr="00183B5F" w:rsidRDefault="00943743">
            <w:pPr>
              <w:pStyle w:val="DefaultText"/>
              <w:keepNext/>
              <w:jc w:val="center"/>
              <w:rPr>
                <w:del w:id="2095" w:author="AbbVie_HU_03" w:date="2025-05-14T15:27:00Z"/>
                <w:rFonts w:ascii="Times New Roman" w:hAnsi="Times New Roman"/>
                <w:b/>
                <w:lang w:val="hu-HU"/>
              </w:rPr>
            </w:pPr>
            <w:del w:id="2096" w:author="AbbVie_HU_03" w:date="2025-05-14T15:27:00Z">
              <w:r w:rsidRPr="00183B5F">
                <w:rPr>
                  <w:rFonts w:ascii="Times New Roman" w:hAnsi="Times New Roman"/>
                  <w:b/>
                  <w:lang w:val="hu-HU"/>
                </w:rPr>
                <w:delText>n (%)</w:delText>
              </w:r>
            </w:del>
          </w:p>
        </w:tc>
        <w:tc>
          <w:tcPr>
            <w:tcW w:w="1347" w:type="dxa"/>
            <w:vAlign w:val="center"/>
          </w:tcPr>
          <w:p w14:paraId="1024BEFC" w14:textId="39A542A1" w:rsidR="00AB03A9" w:rsidRPr="00183B5F" w:rsidRDefault="00943743">
            <w:pPr>
              <w:pStyle w:val="DefaultText"/>
              <w:keepNext/>
              <w:jc w:val="center"/>
              <w:rPr>
                <w:del w:id="2097" w:author="AbbVie_HU_03" w:date="2025-05-14T15:27:00Z"/>
                <w:rFonts w:ascii="Times New Roman" w:hAnsi="Times New Roman"/>
                <w:b/>
                <w:lang w:val="hu-HU"/>
              </w:rPr>
            </w:pPr>
            <w:del w:id="2098" w:author="AbbVie_HU_03" w:date="2025-05-14T15:27:00Z">
              <w:r w:rsidRPr="00183B5F">
                <w:rPr>
                  <w:rFonts w:ascii="Times New Roman" w:hAnsi="Times New Roman"/>
                  <w:b/>
                  <w:lang w:val="hu-HU"/>
                </w:rPr>
                <w:delText>Metotrexát</w:delText>
              </w:r>
            </w:del>
          </w:p>
          <w:p w14:paraId="6CBF8689" w14:textId="73A3F447" w:rsidR="00AB03A9" w:rsidRPr="00183B5F" w:rsidRDefault="00943743">
            <w:pPr>
              <w:pStyle w:val="DefaultText"/>
              <w:keepNext/>
              <w:jc w:val="center"/>
              <w:rPr>
                <w:del w:id="2099" w:author="AbbVie_HU_03" w:date="2025-05-14T15:27:00Z"/>
                <w:rFonts w:ascii="Times New Roman" w:hAnsi="Times New Roman"/>
                <w:b/>
                <w:lang w:val="hu-HU"/>
              </w:rPr>
            </w:pPr>
            <w:del w:id="2100" w:author="AbbVie_HU_03" w:date="2025-05-14T15:27:00Z">
              <w:r w:rsidRPr="00183B5F">
                <w:rPr>
                  <w:rFonts w:ascii="Times New Roman" w:hAnsi="Times New Roman"/>
                  <w:b/>
                  <w:lang w:val="hu-HU"/>
                </w:rPr>
                <w:delText>N = 110</w:delText>
              </w:r>
            </w:del>
          </w:p>
          <w:p w14:paraId="0A99306E" w14:textId="53C38275" w:rsidR="00AB03A9" w:rsidRPr="00183B5F" w:rsidRDefault="00943743">
            <w:pPr>
              <w:pStyle w:val="DefaultText"/>
              <w:keepNext/>
              <w:jc w:val="center"/>
              <w:rPr>
                <w:del w:id="2101" w:author="AbbVie_HU_03" w:date="2025-05-14T15:27:00Z"/>
                <w:rFonts w:ascii="Times New Roman" w:hAnsi="Times New Roman"/>
                <w:b/>
                <w:lang w:val="hu-HU"/>
              </w:rPr>
            </w:pPr>
            <w:del w:id="2102" w:author="AbbVie_HU_03" w:date="2025-05-14T15:27:00Z">
              <w:r w:rsidRPr="00183B5F">
                <w:rPr>
                  <w:rFonts w:ascii="Times New Roman" w:hAnsi="Times New Roman"/>
                  <w:b/>
                  <w:lang w:val="hu-HU"/>
                </w:rPr>
                <w:delText>n (%)</w:delText>
              </w:r>
            </w:del>
          </w:p>
        </w:tc>
        <w:tc>
          <w:tcPr>
            <w:tcW w:w="2392" w:type="dxa"/>
            <w:vAlign w:val="center"/>
          </w:tcPr>
          <w:p w14:paraId="31E3ACC6" w14:textId="12BD1B8A" w:rsidR="00AB03A9" w:rsidRPr="00183B5F" w:rsidRDefault="00943743">
            <w:pPr>
              <w:pStyle w:val="DefaultText"/>
              <w:keepNext/>
              <w:jc w:val="center"/>
              <w:rPr>
                <w:del w:id="2103" w:author="AbbVie_HU_03" w:date="2025-05-14T15:27:00Z"/>
                <w:rFonts w:ascii="Times New Roman" w:hAnsi="Times New Roman"/>
                <w:b/>
                <w:lang w:val="hu-HU"/>
              </w:rPr>
            </w:pPr>
            <w:del w:id="2104" w:author="AbbVie_HU_03" w:date="2025-05-14T15:27:00Z">
              <w:r w:rsidRPr="00183B5F">
                <w:rPr>
                  <w:rFonts w:ascii="Times New Roman" w:hAnsi="Times New Roman"/>
                  <w:b/>
                  <w:lang w:val="hu-HU"/>
                </w:rPr>
                <w:delText xml:space="preserve">Humira 40 mg </w:delText>
              </w:r>
            </w:del>
          </w:p>
          <w:p w14:paraId="06680658" w14:textId="62C8E5B4" w:rsidR="00AB03A9" w:rsidRPr="00183B5F" w:rsidRDefault="00943743">
            <w:pPr>
              <w:pStyle w:val="DefaultText"/>
              <w:keepNext/>
              <w:jc w:val="center"/>
              <w:rPr>
                <w:del w:id="2105" w:author="AbbVie_HU_03" w:date="2025-05-14T15:27:00Z"/>
                <w:rFonts w:ascii="Times New Roman" w:hAnsi="Times New Roman"/>
                <w:b/>
                <w:lang w:val="hu-HU"/>
              </w:rPr>
            </w:pPr>
            <w:del w:id="2106" w:author="AbbVie_HU_03" w:date="2025-05-14T15:27:00Z">
              <w:r w:rsidRPr="00183B5F">
                <w:rPr>
                  <w:rFonts w:ascii="Times New Roman" w:hAnsi="Times New Roman"/>
                  <w:b/>
                  <w:lang w:val="hu-HU"/>
                </w:rPr>
                <w:delText>minden második héten</w:delText>
              </w:r>
            </w:del>
          </w:p>
          <w:p w14:paraId="5FC80C59" w14:textId="2229E961" w:rsidR="00AB03A9" w:rsidRPr="00183B5F" w:rsidRDefault="00943743">
            <w:pPr>
              <w:pStyle w:val="DefaultText"/>
              <w:keepNext/>
              <w:jc w:val="center"/>
              <w:rPr>
                <w:del w:id="2107" w:author="AbbVie_HU_03" w:date="2025-05-14T15:27:00Z"/>
                <w:rFonts w:ascii="Times New Roman" w:hAnsi="Times New Roman"/>
                <w:b/>
                <w:lang w:val="hu-HU"/>
              </w:rPr>
            </w:pPr>
            <w:del w:id="2108" w:author="AbbVie_HU_03" w:date="2025-05-14T15:27:00Z">
              <w:r w:rsidRPr="00183B5F">
                <w:rPr>
                  <w:rFonts w:ascii="Times New Roman" w:hAnsi="Times New Roman"/>
                  <w:b/>
                  <w:lang w:val="hu-HU"/>
                </w:rPr>
                <w:delText>N = 108</w:delText>
              </w:r>
            </w:del>
          </w:p>
          <w:p w14:paraId="188E9CE2" w14:textId="19FEB9DD" w:rsidR="00AB03A9" w:rsidRPr="00183B5F" w:rsidRDefault="00943743">
            <w:pPr>
              <w:pStyle w:val="DefaultText"/>
              <w:keepNext/>
              <w:jc w:val="center"/>
              <w:rPr>
                <w:del w:id="2109" w:author="AbbVie_HU_03" w:date="2025-05-14T15:27:00Z"/>
                <w:rFonts w:ascii="Times New Roman" w:hAnsi="Times New Roman"/>
                <w:b/>
                <w:lang w:val="hu-HU"/>
              </w:rPr>
            </w:pPr>
            <w:del w:id="2110" w:author="AbbVie_HU_03" w:date="2025-05-14T15:27:00Z">
              <w:r w:rsidRPr="00183B5F">
                <w:rPr>
                  <w:rFonts w:ascii="Times New Roman" w:hAnsi="Times New Roman"/>
                  <w:b/>
                  <w:lang w:val="hu-HU"/>
                </w:rPr>
                <w:delText>n (%)</w:delText>
              </w:r>
            </w:del>
          </w:p>
        </w:tc>
      </w:tr>
      <w:tr w:rsidR="00011D2F" w14:paraId="7D91DAFC" w14:textId="00294159" w:rsidTr="001E0E17">
        <w:trPr>
          <w:cantSplit/>
          <w:jc w:val="center"/>
          <w:del w:id="2111" w:author="AbbVie_HU_03" w:date="2025-05-14T15:27:00Z"/>
        </w:trPr>
        <w:tc>
          <w:tcPr>
            <w:tcW w:w="1639" w:type="dxa"/>
          </w:tcPr>
          <w:p w14:paraId="5B67550A" w14:textId="5D0A44A9" w:rsidR="00AB03A9" w:rsidRPr="00183B5F" w:rsidRDefault="00943743" w:rsidP="006B2397">
            <w:pPr>
              <w:pStyle w:val="DefaultText"/>
              <w:keepNext/>
              <w:ind w:firstLine="225"/>
              <w:rPr>
                <w:del w:id="2112" w:author="AbbVie_HU_03" w:date="2025-05-14T15:27:00Z"/>
                <w:rFonts w:ascii="Times New Roman" w:hAnsi="Times New Roman"/>
                <w:b/>
                <w:lang w:val="hu-HU"/>
              </w:rPr>
            </w:pPr>
            <w:del w:id="2113" w:author="AbbVie_HU_03" w:date="2025-05-14T15:27:00Z">
              <w:r w:rsidRPr="00183B5F">
                <w:rPr>
                  <w:rFonts w:ascii="Symbol" w:hAnsi="Symbol"/>
                  <w:b/>
                  <w:lang w:val="hu-HU"/>
                </w:rPr>
                <w:sym w:font="Symbol" w:char="F0B3"/>
              </w:r>
              <w:r w:rsidR="001028BB" w:rsidRPr="00183B5F">
                <w:rPr>
                  <w:rFonts w:ascii="Times New Roman" w:hAnsi="Times New Roman"/>
                  <w:b/>
                  <w:lang w:val="hu-HU"/>
                </w:rPr>
                <w:delText>PASI </w:delText>
              </w:r>
              <w:r w:rsidRPr="00183B5F">
                <w:rPr>
                  <w:rFonts w:ascii="Times New Roman" w:hAnsi="Times New Roman"/>
                  <w:b/>
                  <w:lang w:val="hu-HU"/>
                </w:rPr>
                <w:delText>75</w:delText>
              </w:r>
            </w:del>
          </w:p>
        </w:tc>
        <w:tc>
          <w:tcPr>
            <w:tcW w:w="1668" w:type="dxa"/>
          </w:tcPr>
          <w:p w14:paraId="263635AE" w14:textId="0177FA5E" w:rsidR="00AB03A9" w:rsidRPr="00183B5F" w:rsidRDefault="00943743">
            <w:pPr>
              <w:pStyle w:val="DefaultText"/>
              <w:keepNext/>
              <w:jc w:val="center"/>
              <w:rPr>
                <w:del w:id="2114" w:author="AbbVie_HU_03" w:date="2025-05-14T15:27:00Z"/>
                <w:rFonts w:ascii="Times New Roman" w:hAnsi="Times New Roman"/>
                <w:lang w:val="hu-HU"/>
              </w:rPr>
            </w:pPr>
            <w:del w:id="2115" w:author="AbbVie_HU_03" w:date="2025-05-14T15:27:00Z">
              <w:r w:rsidRPr="00183B5F">
                <w:rPr>
                  <w:rFonts w:ascii="Times New Roman" w:hAnsi="Times New Roman"/>
                  <w:lang w:val="hu-HU"/>
                </w:rPr>
                <w:delText>10 (18,9)</w:delText>
              </w:r>
            </w:del>
          </w:p>
        </w:tc>
        <w:tc>
          <w:tcPr>
            <w:tcW w:w="1347" w:type="dxa"/>
          </w:tcPr>
          <w:p w14:paraId="08B60DE9" w14:textId="2E361DE7" w:rsidR="00AB03A9" w:rsidRPr="00183B5F" w:rsidRDefault="00943743">
            <w:pPr>
              <w:pStyle w:val="DefaultText"/>
              <w:keepNext/>
              <w:jc w:val="center"/>
              <w:rPr>
                <w:del w:id="2116" w:author="AbbVie_HU_03" w:date="2025-05-14T15:27:00Z"/>
                <w:rFonts w:ascii="Times New Roman" w:hAnsi="Times New Roman"/>
                <w:lang w:val="hu-HU"/>
              </w:rPr>
            </w:pPr>
            <w:del w:id="2117" w:author="AbbVie_HU_03" w:date="2025-05-14T15:27:00Z">
              <w:r w:rsidRPr="00183B5F">
                <w:rPr>
                  <w:rFonts w:ascii="Times New Roman" w:hAnsi="Times New Roman"/>
                  <w:lang w:val="hu-HU"/>
                </w:rPr>
                <w:delText>39 (35,5)</w:delText>
              </w:r>
            </w:del>
          </w:p>
        </w:tc>
        <w:tc>
          <w:tcPr>
            <w:tcW w:w="2392" w:type="dxa"/>
          </w:tcPr>
          <w:p w14:paraId="4B4051E0" w14:textId="27443EC8" w:rsidR="00AB03A9" w:rsidRPr="00183B5F" w:rsidRDefault="00943743">
            <w:pPr>
              <w:pStyle w:val="DefaultText"/>
              <w:keepNext/>
              <w:jc w:val="center"/>
              <w:rPr>
                <w:del w:id="2118" w:author="AbbVie_HU_03" w:date="2025-05-14T15:27:00Z"/>
                <w:rFonts w:ascii="Times New Roman" w:hAnsi="Times New Roman"/>
                <w:lang w:val="hu-HU"/>
              </w:rPr>
            </w:pPr>
            <w:del w:id="2119" w:author="AbbVie_HU_03" w:date="2025-05-14T15:27:00Z">
              <w:r w:rsidRPr="00183B5F">
                <w:rPr>
                  <w:rFonts w:ascii="Times New Roman" w:hAnsi="Times New Roman"/>
                  <w:lang w:val="hu-HU"/>
                </w:rPr>
                <w:delText>86 (79,6)</w:delText>
              </w:r>
              <w:r w:rsidRPr="00183B5F">
                <w:rPr>
                  <w:rFonts w:ascii="Times New Roman" w:hAnsi="Times New Roman"/>
                  <w:vertAlign w:val="superscript"/>
                  <w:lang w:val="hu-HU"/>
                </w:rPr>
                <w:delText xml:space="preserve"> a, b</w:delText>
              </w:r>
            </w:del>
          </w:p>
        </w:tc>
      </w:tr>
      <w:tr w:rsidR="00011D2F" w14:paraId="1EA53F7B" w14:textId="7BC86656" w:rsidTr="001E0E17">
        <w:trPr>
          <w:cantSplit/>
          <w:jc w:val="center"/>
          <w:del w:id="2120" w:author="AbbVie_HU_03" w:date="2025-05-14T15:27:00Z"/>
        </w:trPr>
        <w:tc>
          <w:tcPr>
            <w:tcW w:w="1639" w:type="dxa"/>
          </w:tcPr>
          <w:p w14:paraId="5F8AE2DE" w14:textId="6363FB60" w:rsidR="00AB03A9" w:rsidRPr="00183B5F" w:rsidRDefault="00943743" w:rsidP="006B2397">
            <w:pPr>
              <w:pStyle w:val="DefaultText"/>
              <w:keepNext/>
              <w:ind w:firstLine="225"/>
              <w:rPr>
                <w:del w:id="2121" w:author="AbbVie_HU_03" w:date="2025-05-14T15:27:00Z"/>
                <w:rFonts w:ascii="Times New Roman" w:hAnsi="Times New Roman"/>
                <w:b/>
                <w:lang w:val="hu-HU"/>
              </w:rPr>
            </w:pPr>
            <w:del w:id="2122" w:author="AbbVie_HU_03" w:date="2025-05-14T15:27:00Z">
              <w:r w:rsidRPr="00183B5F">
                <w:rPr>
                  <w:rFonts w:ascii="Times New Roman" w:hAnsi="Times New Roman"/>
                  <w:b/>
                  <w:lang w:val="hu-HU"/>
                </w:rPr>
                <w:delText>PASI 100</w:delText>
              </w:r>
            </w:del>
          </w:p>
        </w:tc>
        <w:tc>
          <w:tcPr>
            <w:tcW w:w="1668" w:type="dxa"/>
          </w:tcPr>
          <w:p w14:paraId="6E2E3916" w14:textId="1E149989" w:rsidR="00AB03A9" w:rsidRPr="00183B5F" w:rsidRDefault="00943743">
            <w:pPr>
              <w:pStyle w:val="DefaultText"/>
              <w:keepNext/>
              <w:jc w:val="center"/>
              <w:rPr>
                <w:del w:id="2123" w:author="AbbVie_HU_03" w:date="2025-05-14T15:27:00Z"/>
                <w:rFonts w:ascii="Times New Roman" w:hAnsi="Times New Roman"/>
                <w:lang w:val="hu-HU"/>
              </w:rPr>
            </w:pPr>
            <w:del w:id="2124" w:author="AbbVie_HU_03" w:date="2025-05-14T15:27:00Z">
              <w:r w:rsidRPr="00183B5F">
                <w:rPr>
                  <w:rFonts w:ascii="Times New Roman" w:hAnsi="Times New Roman"/>
                  <w:lang w:val="hu-HU"/>
                </w:rPr>
                <w:delText>1 (1,9)</w:delText>
              </w:r>
            </w:del>
          </w:p>
        </w:tc>
        <w:tc>
          <w:tcPr>
            <w:tcW w:w="1347" w:type="dxa"/>
          </w:tcPr>
          <w:p w14:paraId="7E50E40B" w14:textId="5EEF13DA" w:rsidR="00AB03A9" w:rsidRPr="00183B5F" w:rsidRDefault="00943743">
            <w:pPr>
              <w:pStyle w:val="DefaultText"/>
              <w:keepNext/>
              <w:jc w:val="center"/>
              <w:rPr>
                <w:del w:id="2125" w:author="AbbVie_HU_03" w:date="2025-05-14T15:27:00Z"/>
                <w:rFonts w:ascii="Times New Roman" w:hAnsi="Times New Roman"/>
                <w:lang w:val="hu-HU"/>
              </w:rPr>
            </w:pPr>
            <w:del w:id="2126" w:author="AbbVie_HU_03" w:date="2025-05-14T15:27:00Z">
              <w:r w:rsidRPr="00183B5F">
                <w:rPr>
                  <w:rFonts w:ascii="Times New Roman" w:hAnsi="Times New Roman"/>
                  <w:lang w:val="hu-HU"/>
                </w:rPr>
                <w:delText>8 (7,3)</w:delText>
              </w:r>
            </w:del>
          </w:p>
        </w:tc>
        <w:tc>
          <w:tcPr>
            <w:tcW w:w="2392" w:type="dxa"/>
          </w:tcPr>
          <w:p w14:paraId="00497F4C" w14:textId="49D14171" w:rsidR="00AB03A9" w:rsidRPr="00183B5F" w:rsidRDefault="00943743">
            <w:pPr>
              <w:pStyle w:val="DefaultText"/>
              <w:keepNext/>
              <w:jc w:val="center"/>
              <w:rPr>
                <w:del w:id="2127" w:author="AbbVie_HU_03" w:date="2025-05-14T15:27:00Z"/>
                <w:rFonts w:ascii="Times New Roman" w:hAnsi="Times New Roman"/>
                <w:lang w:val="hu-HU"/>
              </w:rPr>
            </w:pPr>
            <w:del w:id="2128" w:author="AbbVie_HU_03" w:date="2025-05-14T15:27:00Z">
              <w:r w:rsidRPr="00183B5F">
                <w:rPr>
                  <w:rFonts w:ascii="Times New Roman" w:hAnsi="Times New Roman"/>
                  <w:lang w:val="hu-HU"/>
                </w:rPr>
                <w:delText>18 (16,7)</w:delText>
              </w:r>
              <w:r w:rsidRPr="00183B5F">
                <w:rPr>
                  <w:rFonts w:ascii="Times New Roman" w:hAnsi="Times New Roman"/>
                  <w:vertAlign w:val="superscript"/>
                  <w:lang w:val="hu-HU"/>
                </w:rPr>
                <w:delText xml:space="preserve"> c, d</w:delText>
              </w:r>
            </w:del>
          </w:p>
        </w:tc>
      </w:tr>
      <w:tr w:rsidR="00011D2F" w14:paraId="79EDDB90" w14:textId="446CE7AB" w:rsidTr="001E0E17">
        <w:trPr>
          <w:cantSplit/>
          <w:jc w:val="center"/>
          <w:del w:id="2129" w:author="AbbVie_HU_03" w:date="2025-05-14T15:27:00Z"/>
        </w:trPr>
        <w:tc>
          <w:tcPr>
            <w:tcW w:w="1639" w:type="dxa"/>
          </w:tcPr>
          <w:p w14:paraId="4481265B" w14:textId="08285C3D" w:rsidR="00AB03A9" w:rsidRPr="00183B5F" w:rsidRDefault="00943743" w:rsidP="006B2397">
            <w:pPr>
              <w:pStyle w:val="DefaultText"/>
              <w:keepNext/>
              <w:ind w:firstLine="225"/>
              <w:rPr>
                <w:del w:id="2130" w:author="AbbVie_HU_03" w:date="2025-05-14T15:27:00Z"/>
                <w:rFonts w:ascii="Times New Roman" w:hAnsi="Times New Roman"/>
                <w:b/>
                <w:lang w:val="hu-HU"/>
              </w:rPr>
            </w:pPr>
            <w:del w:id="2131" w:author="AbbVie_HU_03" w:date="2025-05-14T15:27:00Z">
              <w:r w:rsidRPr="00183B5F">
                <w:rPr>
                  <w:rFonts w:ascii="Times New Roman" w:hAnsi="Times New Roman"/>
                  <w:b/>
                  <w:lang w:val="hu-HU"/>
                </w:rPr>
                <w:delText>PGA: tiszta/minimális</w:delText>
              </w:r>
            </w:del>
          </w:p>
        </w:tc>
        <w:tc>
          <w:tcPr>
            <w:tcW w:w="1668" w:type="dxa"/>
          </w:tcPr>
          <w:p w14:paraId="29A93CAA" w14:textId="0633460E" w:rsidR="00AB03A9" w:rsidRPr="00183B5F" w:rsidRDefault="00943743">
            <w:pPr>
              <w:pStyle w:val="DefaultText"/>
              <w:keepNext/>
              <w:jc w:val="center"/>
              <w:rPr>
                <w:del w:id="2132" w:author="AbbVie_HU_03" w:date="2025-05-14T15:27:00Z"/>
                <w:rFonts w:ascii="Times New Roman" w:hAnsi="Times New Roman"/>
                <w:lang w:val="hu-HU"/>
              </w:rPr>
            </w:pPr>
            <w:del w:id="2133" w:author="AbbVie_HU_03" w:date="2025-05-14T15:27:00Z">
              <w:r w:rsidRPr="00183B5F">
                <w:rPr>
                  <w:rFonts w:ascii="Times New Roman" w:hAnsi="Times New Roman"/>
                  <w:lang w:val="hu-HU"/>
                </w:rPr>
                <w:delText>6 (11,3)</w:delText>
              </w:r>
            </w:del>
          </w:p>
        </w:tc>
        <w:tc>
          <w:tcPr>
            <w:tcW w:w="1347" w:type="dxa"/>
          </w:tcPr>
          <w:p w14:paraId="5C8903CC" w14:textId="171EBC71" w:rsidR="00AB03A9" w:rsidRPr="00183B5F" w:rsidRDefault="00943743">
            <w:pPr>
              <w:pStyle w:val="DefaultText"/>
              <w:keepNext/>
              <w:jc w:val="center"/>
              <w:rPr>
                <w:del w:id="2134" w:author="AbbVie_HU_03" w:date="2025-05-14T15:27:00Z"/>
                <w:rFonts w:ascii="Times New Roman" w:hAnsi="Times New Roman"/>
                <w:lang w:val="hu-HU"/>
              </w:rPr>
            </w:pPr>
            <w:del w:id="2135" w:author="AbbVie_HU_03" w:date="2025-05-14T15:27:00Z">
              <w:r w:rsidRPr="00183B5F">
                <w:rPr>
                  <w:rFonts w:ascii="Times New Roman" w:hAnsi="Times New Roman"/>
                  <w:lang w:val="hu-HU"/>
                </w:rPr>
                <w:delText>33 (30,0)</w:delText>
              </w:r>
            </w:del>
          </w:p>
        </w:tc>
        <w:tc>
          <w:tcPr>
            <w:tcW w:w="2392" w:type="dxa"/>
          </w:tcPr>
          <w:p w14:paraId="0F63923D" w14:textId="70B0A9BF" w:rsidR="00AB03A9" w:rsidRPr="00183B5F" w:rsidRDefault="00943743">
            <w:pPr>
              <w:pStyle w:val="DefaultText"/>
              <w:keepNext/>
              <w:jc w:val="center"/>
              <w:rPr>
                <w:del w:id="2136" w:author="AbbVie_HU_03" w:date="2025-05-14T15:27:00Z"/>
                <w:rFonts w:ascii="Times New Roman" w:hAnsi="Times New Roman"/>
                <w:lang w:val="hu-HU"/>
              </w:rPr>
            </w:pPr>
            <w:del w:id="2137" w:author="AbbVie_HU_03" w:date="2025-05-14T15:27:00Z">
              <w:r w:rsidRPr="00183B5F">
                <w:rPr>
                  <w:rFonts w:ascii="Times New Roman" w:hAnsi="Times New Roman"/>
                  <w:lang w:val="hu-HU"/>
                </w:rPr>
                <w:delText>79 (73,1)</w:delText>
              </w:r>
              <w:r w:rsidRPr="00183B5F">
                <w:rPr>
                  <w:rFonts w:ascii="Times New Roman" w:hAnsi="Times New Roman"/>
                  <w:vertAlign w:val="superscript"/>
                  <w:lang w:val="hu-HU"/>
                </w:rPr>
                <w:delText xml:space="preserve"> a, b</w:delText>
              </w:r>
            </w:del>
          </w:p>
        </w:tc>
      </w:tr>
      <w:tr w:rsidR="00011D2F" w14:paraId="4B04B1B0" w14:textId="47808D3E" w:rsidTr="001E0E17">
        <w:trPr>
          <w:cantSplit/>
          <w:jc w:val="center"/>
          <w:del w:id="2138" w:author="AbbVie_HU_03" w:date="2025-05-14T15:27:00Z"/>
        </w:trPr>
        <w:tc>
          <w:tcPr>
            <w:tcW w:w="7046" w:type="dxa"/>
            <w:gridSpan w:val="4"/>
          </w:tcPr>
          <w:p w14:paraId="350D265D" w14:textId="298EC62D" w:rsidR="00AB03A9" w:rsidRPr="00183B5F" w:rsidRDefault="00943743">
            <w:pPr>
              <w:pStyle w:val="DefaultText"/>
              <w:keepNext/>
              <w:rPr>
                <w:del w:id="2139" w:author="AbbVie_HU_03" w:date="2025-05-14T15:27:00Z"/>
                <w:rFonts w:ascii="Times New Roman" w:hAnsi="Times New Roman"/>
                <w:szCs w:val="22"/>
                <w:lang w:val="hu-HU"/>
              </w:rPr>
            </w:pPr>
            <w:del w:id="2140" w:author="AbbVie_HU_03" w:date="2025-05-14T15:27:00Z">
              <w:r w:rsidRPr="00183B5F">
                <w:rPr>
                  <w:rFonts w:ascii="Times New Roman" w:hAnsi="Times New Roman"/>
                  <w:szCs w:val="22"/>
                  <w:vertAlign w:val="superscript"/>
                  <w:lang w:val="hu-HU"/>
                </w:rPr>
                <w:delText>a</w:delText>
              </w:r>
              <w:r w:rsidRPr="00183B5F">
                <w:rPr>
                  <w:rFonts w:ascii="Times New Roman" w:hAnsi="Times New Roman"/>
                  <w:szCs w:val="22"/>
                  <w:lang w:val="hu-HU"/>
                </w:rPr>
                <w:delText xml:space="preserve"> p &lt; 0,001 Humira vs. placebo</w:delText>
              </w:r>
            </w:del>
          </w:p>
          <w:p w14:paraId="54858BC9" w14:textId="57C2B247" w:rsidR="00AB03A9" w:rsidRPr="00183B5F" w:rsidRDefault="00943743">
            <w:pPr>
              <w:pStyle w:val="DefaultText"/>
              <w:keepNext/>
              <w:rPr>
                <w:del w:id="2141" w:author="AbbVie_HU_03" w:date="2025-05-14T15:27:00Z"/>
                <w:rFonts w:ascii="Times New Roman" w:hAnsi="Times New Roman"/>
                <w:szCs w:val="22"/>
                <w:lang w:val="hu-HU"/>
              </w:rPr>
            </w:pPr>
            <w:del w:id="2142" w:author="AbbVie_HU_03" w:date="2025-05-14T15:27:00Z">
              <w:r w:rsidRPr="00183B5F">
                <w:rPr>
                  <w:rFonts w:ascii="Times New Roman" w:hAnsi="Times New Roman"/>
                  <w:szCs w:val="22"/>
                  <w:vertAlign w:val="superscript"/>
                  <w:lang w:val="hu-HU"/>
                </w:rPr>
                <w:delText>b</w:delText>
              </w:r>
              <w:r w:rsidRPr="00183B5F">
                <w:rPr>
                  <w:rFonts w:ascii="Times New Roman" w:hAnsi="Times New Roman"/>
                  <w:szCs w:val="22"/>
                  <w:lang w:val="hu-HU"/>
                </w:rPr>
                <w:delText xml:space="preserve"> p &lt; 0,001 Humira vs. metotrexát</w:delText>
              </w:r>
            </w:del>
          </w:p>
          <w:p w14:paraId="22507B3C" w14:textId="1BC2D0B3" w:rsidR="00AB03A9" w:rsidRPr="00183B5F" w:rsidRDefault="00943743">
            <w:pPr>
              <w:pStyle w:val="DefaultText"/>
              <w:keepNext/>
              <w:rPr>
                <w:del w:id="2143" w:author="AbbVie_HU_03" w:date="2025-05-14T15:27:00Z"/>
                <w:rFonts w:ascii="Times New Roman" w:hAnsi="Times New Roman"/>
                <w:szCs w:val="22"/>
                <w:lang w:val="hu-HU"/>
              </w:rPr>
            </w:pPr>
            <w:del w:id="2144" w:author="AbbVie_HU_03" w:date="2025-05-14T15:27:00Z">
              <w:r w:rsidRPr="00183B5F">
                <w:rPr>
                  <w:rFonts w:ascii="Times New Roman" w:hAnsi="Times New Roman"/>
                  <w:szCs w:val="22"/>
                  <w:vertAlign w:val="superscript"/>
                  <w:lang w:val="hu-HU"/>
                </w:rPr>
                <w:delText>c</w:delText>
              </w:r>
              <w:r w:rsidRPr="00183B5F">
                <w:rPr>
                  <w:rFonts w:ascii="Times New Roman" w:hAnsi="Times New Roman"/>
                  <w:szCs w:val="22"/>
                  <w:lang w:val="hu-HU"/>
                </w:rPr>
                <w:delText xml:space="preserve"> p &lt; 0,01 Humira vs. placebo</w:delText>
              </w:r>
            </w:del>
          </w:p>
          <w:p w14:paraId="04945EC7" w14:textId="4518123D" w:rsidR="00AB03A9" w:rsidRPr="00183B5F" w:rsidRDefault="00943743">
            <w:pPr>
              <w:pStyle w:val="DefaultText"/>
              <w:keepNext/>
              <w:rPr>
                <w:del w:id="2145" w:author="AbbVie_HU_03" w:date="2025-05-14T15:27:00Z"/>
                <w:rFonts w:ascii="Times New Roman" w:hAnsi="Times New Roman"/>
                <w:szCs w:val="22"/>
                <w:lang w:val="hu-HU"/>
              </w:rPr>
            </w:pPr>
            <w:del w:id="2146" w:author="AbbVie_HU_03" w:date="2025-05-14T15:27:00Z">
              <w:r w:rsidRPr="00183B5F">
                <w:rPr>
                  <w:rFonts w:ascii="Times New Roman" w:hAnsi="Times New Roman"/>
                  <w:szCs w:val="22"/>
                  <w:vertAlign w:val="superscript"/>
                  <w:lang w:val="hu-HU"/>
                </w:rPr>
                <w:delText>d</w:delText>
              </w:r>
              <w:r w:rsidRPr="00183B5F">
                <w:rPr>
                  <w:rFonts w:ascii="Times New Roman" w:hAnsi="Times New Roman"/>
                  <w:szCs w:val="22"/>
                  <w:lang w:val="hu-HU"/>
                </w:rPr>
                <w:delText xml:space="preserve"> p &lt; 0,05 Humira vs. metotrexát</w:delText>
              </w:r>
            </w:del>
          </w:p>
        </w:tc>
      </w:tr>
    </w:tbl>
    <w:p w14:paraId="0E218C06" w14:textId="29B7709F" w:rsidR="00AB03A9" w:rsidRPr="00183B5F" w:rsidRDefault="00AB03A9">
      <w:pPr>
        <w:pStyle w:val="EMEANormal"/>
        <w:rPr>
          <w:del w:id="2147" w:author="AbbVie_HU_03" w:date="2025-05-14T15:27:00Z"/>
          <w:szCs w:val="22"/>
          <w:lang w:val="hu-HU"/>
        </w:rPr>
      </w:pPr>
    </w:p>
    <w:p w14:paraId="380588EA" w14:textId="6FF9E77F" w:rsidR="00AB03A9" w:rsidRPr="00183B5F" w:rsidRDefault="00943743">
      <w:pPr>
        <w:pStyle w:val="EMEANormal"/>
        <w:rPr>
          <w:del w:id="2148" w:author="AbbVie_HU_03" w:date="2025-05-14T15:27:00Z"/>
          <w:szCs w:val="22"/>
          <w:lang w:val="hu-HU"/>
        </w:rPr>
      </w:pPr>
      <w:del w:id="2149" w:author="AbbVie_HU_03" w:date="2025-05-14T15:27:00Z">
        <w:r w:rsidRPr="00183B5F">
          <w:rPr>
            <w:szCs w:val="22"/>
            <w:lang w:val="hu-HU"/>
          </w:rPr>
          <w:delText>A Psoriasis I vizsgálatban a PASI</w:delText>
        </w:r>
        <w:r w:rsidR="001028BB" w:rsidRPr="00183B5F">
          <w:rPr>
            <w:szCs w:val="22"/>
            <w:lang w:val="hu-HU"/>
          </w:rPr>
          <w:delText> </w:delText>
        </w:r>
        <w:r w:rsidRPr="00183B5F">
          <w:rPr>
            <w:szCs w:val="22"/>
            <w:lang w:val="hu-HU"/>
          </w:rPr>
          <w:delText xml:space="preserve">75 </w:delText>
        </w:r>
        <w:r w:rsidR="00764A6C" w:rsidRPr="00183B5F">
          <w:rPr>
            <w:szCs w:val="22"/>
            <w:lang w:val="hu-HU"/>
          </w:rPr>
          <w:delText>választ elérők</w:delText>
        </w:r>
        <w:r w:rsidRPr="00183B5F">
          <w:rPr>
            <w:szCs w:val="22"/>
            <w:lang w:val="hu-HU"/>
          </w:rPr>
          <w:delText xml:space="preserve"> és a 33. héten újra placebóra randomizált betegek 28%</w:delText>
        </w:r>
        <w:r w:rsidR="00CD2359" w:rsidRPr="00183B5F">
          <w:rPr>
            <w:szCs w:val="22"/>
            <w:lang w:val="hu-HU"/>
          </w:rPr>
          <w:noBreakHyphen/>
        </w:r>
        <w:r w:rsidRPr="00183B5F">
          <w:rPr>
            <w:szCs w:val="22"/>
            <w:lang w:val="hu-HU"/>
          </w:rPr>
          <w:delText xml:space="preserve">ánál „a megfelelő </w:delText>
        </w:r>
        <w:r w:rsidR="00B52567" w:rsidRPr="00183B5F">
          <w:rPr>
            <w:szCs w:val="22"/>
            <w:lang w:val="hu-HU"/>
          </w:rPr>
          <w:delText xml:space="preserve">terápiás válasz </w:delText>
        </w:r>
        <w:r w:rsidRPr="00183B5F">
          <w:rPr>
            <w:szCs w:val="22"/>
            <w:lang w:val="hu-HU"/>
          </w:rPr>
          <w:delText xml:space="preserve">elvesztését” </w:delText>
        </w:r>
        <w:r w:rsidR="00764A6C" w:rsidRPr="00183B5F">
          <w:rPr>
            <w:szCs w:val="22"/>
            <w:lang w:val="hu-HU"/>
          </w:rPr>
          <w:delText xml:space="preserve">tapasztalták </w:delText>
        </w:r>
        <w:r w:rsidRPr="00183B5F">
          <w:rPr>
            <w:szCs w:val="22"/>
            <w:lang w:val="hu-HU"/>
          </w:rPr>
          <w:delText>(a PASI</w:delText>
        </w:r>
        <w:r w:rsidR="00110863" w:rsidRPr="00183B5F">
          <w:rPr>
            <w:szCs w:val="22"/>
            <w:lang w:val="hu-HU"/>
          </w:rPr>
          <w:delText>-</w:delText>
        </w:r>
        <w:r w:rsidRPr="00183B5F">
          <w:rPr>
            <w:szCs w:val="22"/>
            <w:lang w:val="hu-HU"/>
          </w:rPr>
          <w:delText>pontszám a 33. hét után és az 52. héten vagy előtte, amely a kiindulási értékhez képest &lt; PASI</w:delText>
        </w:r>
        <w:r w:rsidR="00CD2359" w:rsidRPr="00183B5F">
          <w:rPr>
            <w:szCs w:val="22"/>
            <w:lang w:val="hu-HU"/>
          </w:rPr>
          <w:delText> </w:delText>
        </w:r>
        <w:r w:rsidRPr="00183B5F">
          <w:rPr>
            <w:szCs w:val="22"/>
            <w:lang w:val="hu-HU"/>
          </w:rPr>
          <w:delText>50 választ eredményez, a 33. héthez viszonyítva minimum 6 PASI</w:delText>
        </w:r>
        <w:r w:rsidR="00B52567" w:rsidRPr="00183B5F">
          <w:rPr>
            <w:szCs w:val="22"/>
            <w:lang w:val="hu-HU"/>
          </w:rPr>
          <w:delText>-</w:delText>
        </w:r>
        <w:r w:rsidRPr="00183B5F">
          <w:rPr>
            <w:szCs w:val="22"/>
            <w:lang w:val="hu-HU"/>
          </w:rPr>
          <w:delText>pontos növekedéssel), a Humira kezelést folytató betegeknél észlelt 5%</w:delText>
        </w:r>
        <w:r w:rsidRPr="00183B5F">
          <w:rPr>
            <w:szCs w:val="22"/>
            <w:lang w:val="hu-HU"/>
          </w:rPr>
          <w:noBreakHyphen/>
          <w:delText>kal szemben (p &lt; 0,001). Azok közül a betegek közül, akik</w:delText>
        </w:r>
        <w:r w:rsidR="00764A6C" w:rsidRPr="00183B5F">
          <w:rPr>
            <w:szCs w:val="22"/>
            <w:lang w:val="hu-HU"/>
          </w:rPr>
          <w:delText>nél</w:delText>
        </w:r>
        <w:r w:rsidRPr="00183B5F">
          <w:rPr>
            <w:szCs w:val="22"/>
            <w:lang w:val="hu-HU"/>
          </w:rPr>
          <w:delText xml:space="preserve"> a placebóra randomizálást követően elvesztették a megfelelő </w:delText>
        </w:r>
        <w:r w:rsidR="00764A6C" w:rsidRPr="00183B5F">
          <w:rPr>
            <w:szCs w:val="22"/>
            <w:lang w:val="hu-HU"/>
          </w:rPr>
          <w:delText>kontrollt</w:delText>
        </w:r>
        <w:r w:rsidRPr="00183B5F">
          <w:rPr>
            <w:szCs w:val="22"/>
            <w:lang w:val="hu-HU"/>
          </w:rPr>
          <w:delText>, és akiket beválogattak a nyílt elrendezésű kiterjesztéses vizsgálatba, a 12, illetve 24 hetes újbóli kezelést követően sorrendben 38% (25/66) és 55% (3</w:delText>
        </w:r>
        <w:r w:rsidRPr="00183B5F">
          <w:rPr>
            <w:szCs w:val="22"/>
            <w:lang w:val="hu-HU"/>
          </w:rPr>
          <w:delText xml:space="preserve">6/66) </w:delText>
        </w:r>
        <w:r w:rsidR="00764A6C" w:rsidRPr="00183B5F">
          <w:rPr>
            <w:szCs w:val="22"/>
            <w:lang w:val="hu-HU"/>
          </w:rPr>
          <w:delText>alakult ki ismét a</w:delText>
        </w:r>
        <w:r w:rsidR="001028BB" w:rsidRPr="00183B5F">
          <w:rPr>
            <w:szCs w:val="22"/>
            <w:lang w:val="hu-HU"/>
          </w:rPr>
          <w:delText xml:space="preserve"> PASI </w:delText>
        </w:r>
        <w:r w:rsidR="00764A6C" w:rsidRPr="00183B5F">
          <w:rPr>
            <w:szCs w:val="22"/>
            <w:lang w:val="hu-HU"/>
          </w:rPr>
          <w:delText>75 válasz</w:delText>
        </w:r>
        <w:r w:rsidRPr="00183B5F">
          <w:rPr>
            <w:szCs w:val="22"/>
            <w:lang w:val="hu-HU"/>
          </w:rPr>
          <w:delText>.</w:delText>
        </w:r>
      </w:del>
    </w:p>
    <w:p w14:paraId="47623E77" w14:textId="6132E58D" w:rsidR="00AB03A9" w:rsidRPr="00183B5F" w:rsidRDefault="00AB03A9">
      <w:pPr>
        <w:pStyle w:val="EMEANormal"/>
        <w:rPr>
          <w:del w:id="2150" w:author="AbbVie_HU_03" w:date="2025-05-14T15:27:00Z"/>
          <w:szCs w:val="22"/>
          <w:lang w:val="hu-HU"/>
        </w:rPr>
      </w:pPr>
    </w:p>
    <w:p w14:paraId="1F0343AF" w14:textId="1AE64633" w:rsidR="00AB03A9" w:rsidRPr="00183B5F" w:rsidRDefault="00943743">
      <w:pPr>
        <w:pStyle w:val="EMEANormal"/>
        <w:rPr>
          <w:del w:id="2151" w:author="AbbVie_HU_03" w:date="2025-05-14T15:27:00Z"/>
          <w:szCs w:val="22"/>
          <w:lang w:val="hu-HU"/>
        </w:rPr>
      </w:pPr>
      <w:del w:id="2152" w:author="AbbVie_HU_03" w:date="2025-05-14T15:27:00Z">
        <w:r w:rsidRPr="00183B5F">
          <w:rPr>
            <w:szCs w:val="22"/>
            <w:lang w:val="hu-HU"/>
          </w:rPr>
          <w:delText>Összesen 233</w:delText>
        </w:r>
        <w:r w:rsidR="00CD2359" w:rsidRPr="00183B5F">
          <w:rPr>
            <w:szCs w:val="22"/>
            <w:lang w:val="hu-HU"/>
          </w:rPr>
          <w:delText> </w:delText>
        </w:r>
        <w:r w:rsidRPr="00183B5F">
          <w:rPr>
            <w:szCs w:val="22"/>
            <w:lang w:val="hu-HU"/>
          </w:rPr>
          <w:delText xml:space="preserve">beteg, akik a 16. és a 33. héten </w:delText>
        </w:r>
        <w:r w:rsidR="001028BB" w:rsidRPr="00183B5F">
          <w:rPr>
            <w:szCs w:val="22"/>
            <w:lang w:val="hu-HU"/>
          </w:rPr>
          <w:delText>PASI </w:delText>
        </w:r>
        <w:r w:rsidRPr="00183B5F">
          <w:rPr>
            <w:szCs w:val="22"/>
            <w:lang w:val="hu-HU"/>
          </w:rPr>
          <w:delText>75 reszponderek voltak, részesült folyamatos Humira kezelésben 52 héten át a Psoriasis I vizsgálatban, és folytatta a Humira alkalmazását a nyílt elrendezésű kite</w:delText>
        </w:r>
        <w:r w:rsidR="001028BB" w:rsidRPr="00183B5F">
          <w:rPr>
            <w:szCs w:val="22"/>
            <w:lang w:val="hu-HU"/>
          </w:rPr>
          <w:delText>rjesztéses vizsgálatban. A PASI </w:delText>
        </w:r>
        <w:r w:rsidRPr="00183B5F">
          <w:rPr>
            <w:szCs w:val="22"/>
            <w:lang w:val="hu-HU"/>
          </w:rPr>
          <w:delText>75 és a tiszta vagy minimális PGA terápiás válaszarány ezeknél a betegeknél 74,7%, illetve 59,0% volt a nyílt elrendezésű kezelés további 108 hetes időszakát követően (összesen 160 hét). Egy olyan elemzésben, amelyben non</w:delText>
        </w:r>
        <w:r w:rsidR="00CD2359" w:rsidRPr="00183B5F">
          <w:rPr>
            <w:szCs w:val="22"/>
            <w:lang w:val="hu-HU"/>
          </w:rPr>
          <w:noBreakHyphen/>
        </w:r>
        <w:r w:rsidRPr="00183B5F">
          <w:rPr>
            <w:szCs w:val="22"/>
            <w:lang w:val="hu-HU"/>
          </w:rPr>
          <w:delText>reszpondernek tekintettek minden olyan beteget, aki nemkí</w:delText>
        </w:r>
        <w:r w:rsidRPr="00183B5F">
          <w:rPr>
            <w:szCs w:val="22"/>
            <w:lang w:val="hu-HU"/>
          </w:rPr>
          <w:delText>vánatos események vagy a hatásosság hiánya miatt idő előtt abbahagyta a vizsgálatot, vagy akinél dózis</w:delText>
        </w:r>
        <w:r w:rsidR="001028BB" w:rsidRPr="00183B5F">
          <w:rPr>
            <w:szCs w:val="22"/>
            <w:lang w:val="hu-HU"/>
          </w:rPr>
          <w:delText>eszkalációra került sor, a PASI </w:delText>
        </w:r>
        <w:r w:rsidRPr="00183B5F">
          <w:rPr>
            <w:szCs w:val="22"/>
            <w:lang w:val="hu-HU"/>
          </w:rPr>
          <w:delText>75 és a tiszta vagy minimális PGA terápiás válaszarány 69,6%, illetve 55,7% volt a nyílt elrendezésű kezelés további 108 hetes időszakát követően (összesen 160 hét).</w:delText>
        </w:r>
      </w:del>
    </w:p>
    <w:p w14:paraId="5B484BFE" w14:textId="0F1FCF13" w:rsidR="00AB03A9" w:rsidRPr="00183B5F" w:rsidRDefault="00AB03A9">
      <w:pPr>
        <w:pStyle w:val="EMEANormal"/>
        <w:rPr>
          <w:del w:id="2153" w:author="AbbVie_HU_03" w:date="2025-05-14T15:27:00Z"/>
          <w:szCs w:val="22"/>
          <w:lang w:val="hu-HU"/>
        </w:rPr>
      </w:pPr>
    </w:p>
    <w:p w14:paraId="7F982AAF" w14:textId="37EAEC4F" w:rsidR="00AB03A9" w:rsidRPr="00183B5F" w:rsidRDefault="00943743">
      <w:pPr>
        <w:pStyle w:val="EMEANormal"/>
        <w:rPr>
          <w:del w:id="2154" w:author="AbbVie_HU_03" w:date="2025-05-14T15:27:00Z"/>
          <w:szCs w:val="22"/>
          <w:lang w:val="hu-HU"/>
        </w:rPr>
      </w:pPr>
      <w:del w:id="2155" w:author="AbbVie_HU_03" w:date="2025-05-14T15:27:00Z">
        <w:r w:rsidRPr="00183B5F">
          <w:rPr>
            <w:szCs w:val="22"/>
            <w:lang w:val="hu-HU"/>
          </w:rPr>
          <w:delText xml:space="preserve">Összesen 347 stabil reszponder vett részt egy, a kezelés abbahagyását majd újrakezdését elemző nyílt elrendezésű kiterjesztéses vizsgálatban. A kezelés abbahagyásának időszakában </w:delText>
        </w:r>
        <w:r w:rsidR="000C44F7" w:rsidRPr="00183B5F">
          <w:rPr>
            <w:szCs w:val="22"/>
            <w:lang w:val="hu-HU"/>
          </w:rPr>
          <w:delText>a psoriasis tüneteinek visszatéréséig, a</w:delText>
        </w:r>
        <w:r w:rsidRPr="00183B5F">
          <w:rPr>
            <w:szCs w:val="22"/>
            <w:lang w:val="hu-HU"/>
          </w:rPr>
          <w:delText xml:space="preserve"> relapsusig („közepes” vagy rosszabb PGA</w:delText>
        </w:r>
        <w:r w:rsidRPr="00183B5F">
          <w:rPr>
            <w:szCs w:val="22"/>
            <w:lang w:val="hu-HU"/>
          </w:rPr>
          <w:noBreakHyphen/>
          <w:delText xml:space="preserve">ra csökkenés) kb. 5 hónapos medián időtartam </w:delText>
        </w:r>
        <w:r w:rsidR="000C44F7" w:rsidRPr="00183B5F">
          <w:rPr>
            <w:szCs w:val="22"/>
            <w:lang w:val="hu-HU"/>
          </w:rPr>
          <w:delText>telt el</w:delText>
        </w:r>
        <w:r w:rsidRPr="00183B5F">
          <w:rPr>
            <w:szCs w:val="22"/>
            <w:lang w:val="hu-HU"/>
          </w:rPr>
          <w:delText>. A megvonás</w:delText>
        </w:r>
        <w:r w:rsidR="00CD2359" w:rsidRPr="00183B5F">
          <w:rPr>
            <w:szCs w:val="22"/>
            <w:lang w:val="hu-HU"/>
          </w:rPr>
          <w:delText>os</w:delText>
        </w:r>
        <w:r w:rsidRPr="00183B5F">
          <w:rPr>
            <w:szCs w:val="22"/>
            <w:lang w:val="hu-HU"/>
          </w:rPr>
          <w:delText xml:space="preserve"> időszakban ezek közül a betegek közül egynél sem alakult ki rebound hatás. Az összes olyan beteg 76,5%</w:delText>
        </w:r>
        <w:r w:rsidRPr="00183B5F">
          <w:rPr>
            <w:szCs w:val="22"/>
            <w:lang w:val="hu-HU"/>
          </w:rPr>
          <w:noBreakHyphen/>
          <w:delText>ánál (218/285), akik újból elkezdték a kezelést, „tiszta” vagy „minimális” PGA terápiás válasz alakult ki 16 héttel a kezelés újrakezdése után, függetlenül attól, hogy volt</w:delText>
        </w:r>
        <w:r w:rsidR="00CD2359" w:rsidRPr="00183B5F">
          <w:rPr>
            <w:szCs w:val="22"/>
            <w:lang w:val="hu-HU"/>
          </w:rPr>
          <w:noBreakHyphen/>
        </w:r>
        <w:r w:rsidRPr="00183B5F">
          <w:rPr>
            <w:szCs w:val="22"/>
            <w:lang w:val="hu-HU"/>
          </w:rPr>
          <w:delText>e relapsusuk a kezelés abbahagyása során (69,1% [123/178] olyan betegeknél, akiknek volt relapsusuk és 88,8% [95/107] olyan</w:delText>
        </w:r>
        <w:r w:rsidR="000C44F7" w:rsidRPr="00183B5F">
          <w:rPr>
            <w:szCs w:val="22"/>
            <w:lang w:val="hu-HU"/>
          </w:rPr>
          <w:delText xml:space="preserve"> betegeknél</w:delText>
        </w:r>
        <w:r w:rsidRPr="00183B5F">
          <w:rPr>
            <w:szCs w:val="22"/>
            <w:lang w:val="hu-HU"/>
          </w:rPr>
          <w:delText>, akiknek nem volt relapsusuk a kezelés abbahagyásának időszakában). Hasonló bizonságossági profilt f</w:delText>
        </w:r>
        <w:r w:rsidRPr="00183B5F">
          <w:rPr>
            <w:szCs w:val="22"/>
            <w:lang w:val="hu-HU"/>
          </w:rPr>
          <w:delText xml:space="preserve">igyeltek meg a kezelés újrakezdése során, mint </w:delText>
        </w:r>
        <w:r w:rsidR="000C44F7" w:rsidRPr="00183B5F">
          <w:rPr>
            <w:szCs w:val="22"/>
            <w:lang w:val="hu-HU"/>
          </w:rPr>
          <w:delText xml:space="preserve">az </w:delText>
        </w:r>
        <w:r w:rsidRPr="00183B5F">
          <w:rPr>
            <w:szCs w:val="22"/>
            <w:lang w:val="hu-HU"/>
          </w:rPr>
          <w:delText>abbahagyás előtt.</w:delText>
        </w:r>
      </w:del>
    </w:p>
    <w:p w14:paraId="0BAA6C7F" w14:textId="4A786FFC" w:rsidR="00AB03A9" w:rsidRPr="00183B5F" w:rsidRDefault="00AB03A9">
      <w:pPr>
        <w:pStyle w:val="EMEANormal"/>
        <w:rPr>
          <w:del w:id="2156" w:author="AbbVie_HU_03" w:date="2025-05-14T15:27:00Z"/>
          <w:szCs w:val="22"/>
          <w:lang w:val="hu-HU"/>
        </w:rPr>
      </w:pPr>
    </w:p>
    <w:p w14:paraId="2410ED6D" w14:textId="3420AE32" w:rsidR="00AB03A9" w:rsidRPr="00183B5F" w:rsidRDefault="00943743">
      <w:pPr>
        <w:pStyle w:val="EMEANormal"/>
        <w:rPr>
          <w:del w:id="2157" w:author="AbbVie_HU_03" w:date="2025-05-14T15:27:00Z"/>
          <w:szCs w:val="22"/>
          <w:lang w:val="hu-HU"/>
        </w:rPr>
      </w:pPr>
      <w:del w:id="2158" w:author="AbbVie_HU_03" w:date="2025-05-14T15:27:00Z">
        <w:r w:rsidRPr="00183B5F">
          <w:rPr>
            <w:szCs w:val="22"/>
            <w:lang w:val="hu-HU"/>
          </w:rPr>
          <w:delText>A placebóhoz (I és II vizsgálat) és a metotrexáthoz (II vizsgálat) képest a kiindulási értéktől számítva a 16. héten a bőrgyógyászati életminőségi index (DLQI – Dermatology Life Quality Index) jelentős javulását igazolták. Az I. vizsgálatban az SF 36 fizikális és mentális összetevő összesített pontszámaként kifejezett javulás szintén jelentős volt a placebóhoz képest.</w:delText>
        </w:r>
      </w:del>
    </w:p>
    <w:p w14:paraId="3871254C" w14:textId="64C7939F" w:rsidR="00AB03A9" w:rsidRPr="00183B5F" w:rsidRDefault="00AB03A9">
      <w:pPr>
        <w:pStyle w:val="EMEANormal"/>
        <w:rPr>
          <w:del w:id="2159" w:author="AbbVie_HU_03" w:date="2025-05-14T15:27:00Z"/>
          <w:szCs w:val="22"/>
          <w:lang w:val="hu-HU"/>
        </w:rPr>
      </w:pPr>
    </w:p>
    <w:p w14:paraId="67B09F03" w14:textId="2D16BE81" w:rsidR="00AB03A9" w:rsidRPr="00183B5F" w:rsidRDefault="00943743">
      <w:pPr>
        <w:pStyle w:val="EMEANormal"/>
        <w:rPr>
          <w:del w:id="2160" w:author="AbbVie_HU_03" w:date="2025-05-14T15:27:00Z"/>
          <w:szCs w:val="22"/>
          <w:lang w:val="hu-HU"/>
        </w:rPr>
      </w:pPr>
      <w:del w:id="2161" w:author="AbbVie_HU_03" w:date="2025-05-14T15:27:00Z">
        <w:r w:rsidRPr="00183B5F">
          <w:rPr>
            <w:szCs w:val="22"/>
            <w:lang w:val="hu-HU"/>
          </w:rPr>
          <w:delText>Egy nyílt elrendezésű vizsgálatban, amelyben a betegek dózisát a kéthetenkénti 40 mg</w:delText>
        </w:r>
        <w:r w:rsidR="00CD2359" w:rsidRPr="00183B5F">
          <w:rPr>
            <w:szCs w:val="22"/>
            <w:lang w:val="hu-HU"/>
          </w:rPr>
          <w:noBreakHyphen/>
        </w:r>
        <w:r w:rsidRPr="00183B5F">
          <w:rPr>
            <w:szCs w:val="22"/>
            <w:lang w:val="hu-HU"/>
          </w:rPr>
          <w:delText>ról heti 40 mg</w:delText>
        </w:r>
        <w:r w:rsidRPr="00183B5F">
          <w:rPr>
            <w:szCs w:val="22"/>
            <w:lang w:val="hu-HU"/>
          </w:rPr>
          <w:noBreakHyphen/>
          <w:delText>ra növelték az 50% alatti PASI</w:delText>
        </w:r>
        <w:r w:rsidR="00C67724" w:rsidRPr="00183B5F">
          <w:rPr>
            <w:szCs w:val="22"/>
            <w:lang w:val="hu-HU"/>
          </w:rPr>
          <w:delText>-</w:delText>
        </w:r>
        <w:r w:rsidRPr="00183B5F">
          <w:rPr>
            <w:szCs w:val="22"/>
            <w:lang w:val="hu-HU"/>
          </w:rPr>
          <w:delText xml:space="preserve">válasz miatt, </w:delText>
        </w:r>
        <w:r w:rsidR="00973351" w:rsidRPr="00183B5F">
          <w:rPr>
            <w:szCs w:val="22"/>
            <w:lang w:val="hu-HU"/>
          </w:rPr>
          <w:delText>26,4% (</w:delText>
        </w:r>
        <w:r w:rsidRPr="00183B5F">
          <w:rPr>
            <w:szCs w:val="22"/>
            <w:lang w:val="hu-HU"/>
          </w:rPr>
          <w:delText>9</w:delText>
        </w:r>
        <w:r w:rsidR="00B8607D" w:rsidRPr="00183B5F">
          <w:rPr>
            <w:szCs w:val="22"/>
            <w:lang w:val="hu-HU"/>
          </w:rPr>
          <w:delText>2</w:delText>
        </w:r>
        <w:r w:rsidRPr="00183B5F">
          <w:rPr>
            <w:szCs w:val="22"/>
            <w:lang w:val="hu-HU"/>
          </w:rPr>
          <w:delText>/349 </w:delText>
        </w:r>
        <w:r w:rsidR="001028BB" w:rsidRPr="00183B5F">
          <w:rPr>
            <w:szCs w:val="22"/>
            <w:lang w:val="hu-HU"/>
          </w:rPr>
          <w:delText>beteg</w:delText>
        </w:r>
        <w:r w:rsidR="00973351" w:rsidRPr="00183B5F">
          <w:rPr>
            <w:szCs w:val="22"/>
            <w:lang w:val="hu-HU"/>
          </w:rPr>
          <w:delText>)</w:delText>
        </w:r>
        <w:r w:rsidR="001028BB" w:rsidRPr="00183B5F">
          <w:rPr>
            <w:szCs w:val="22"/>
            <w:lang w:val="hu-HU"/>
          </w:rPr>
          <w:delText xml:space="preserve"> </w:delText>
        </w:r>
        <w:r w:rsidR="00B8607D" w:rsidRPr="00183B5F">
          <w:rPr>
            <w:szCs w:val="22"/>
            <w:lang w:val="hu-HU"/>
          </w:rPr>
          <w:delText xml:space="preserve">és </w:delText>
        </w:r>
        <w:r w:rsidR="00B35F87" w:rsidRPr="00183B5F">
          <w:rPr>
            <w:szCs w:val="22"/>
            <w:lang w:val="hu-HU"/>
          </w:rPr>
          <w:delText>37,8% (</w:delText>
        </w:r>
        <w:r w:rsidR="00B8607D" w:rsidRPr="00183B5F">
          <w:rPr>
            <w:szCs w:val="22"/>
            <w:lang w:val="hu-HU"/>
          </w:rPr>
          <w:delText>132/349 beteg</w:delText>
        </w:r>
        <w:r w:rsidR="00B35F87" w:rsidRPr="00183B5F">
          <w:rPr>
            <w:szCs w:val="22"/>
            <w:lang w:val="hu-HU"/>
          </w:rPr>
          <w:delText>)</w:delText>
        </w:r>
        <w:r w:rsidR="00B8607D" w:rsidRPr="00183B5F">
          <w:rPr>
            <w:szCs w:val="22"/>
            <w:lang w:val="hu-HU"/>
          </w:rPr>
          <w:delText xml:space="preserve"> </w:delText>
        </w:r>
        <w:r w:rsidR="001028BB" w:rsidRPr="00183B5F">
          <w:rPr>
            <w:szCs w:val="22"/>
            <w:lang w:val="hu-HU"/>
          </w:rPr>
          <w:delText>ért el PASI </w:delText>
        </w:r>
        <w:r w:rsidRPr="00183B5F">
          <w:rPr>
            <w:szCs w:val="22"/>
            <w:lang w:val="hu-HU"/>
          </w:rPr>
          <w:delText>75 választ</w:delText>
        </w:r>
        <w:r w:rsidR="00B35F87" w:rsidRPr="00183B5F">
          <w:rPr>
            <w:szCs w:val="22"/>
            <w:lang w:val="hu-HU"/>
          </w:rPr>
          <w:delText xml:space="preserve"> a 12., illetve a 24. héten</w:delText>
        </w:r>
        <w:r w:rsidRPr="00183B5F">
          <w:rPr>
            <w:szCs w:val="22"/>
            <w:lang w:val="hu-HU"/>
          </w:rPr>
          <w:delText>.</w:delText>
        </w:r>
      </w:del>
    </w:p>
    <w:p w14:paraId="7DD11E16" w14:textId="5C973035" w:rsidR="00AB03A9" w:rsidRPr="00183B5F" w:rsidRDefault="00AB03A9">
      <w:pPr>
        <w:pStyle w:val="EMEANormal"/>
        <w:rPr>
          <w:del w:id="2162" w:author="AbbVie_HU_03" w:date="2025-05-14T15:27:00Z"/>
          <w:szCs w:val="22"/>
          <w:lang w:val="hu-HU"/>
        </w:rPr>
      </w:pPr>
    </w:p>
    <w:p w14:paraId="5A7C36B0" w14:textId="00D84C20" w:rsidR="00AB03A9" w:rsidRPr="00183B5F" w:rsidRDefault="00943743">
      <w:pPr>
        <w:pStyle w:val="EMEANormal"/>
        <w:rPr>
          <w:del w:id="2163" w:author="AbbVie_HU_03" w:date="2025-05-14T15:27:00Z"/>
          <w:szCs w:val="22"/>
          <w:lang w:val="hu-HU"/>
        </w:rPr>
      </w:pPr>
      <w:del w:id="2164" w:author="AbbVie_HU_03" w:date="2025-05-14T15:27:00Z">
        <w:r w:rsidRPr="00183B5F">
          <w:rPr>
            <w:szCs w:val="22"/>
            <w:lang w:val="hu-HU"/>
          </w:rPr>
          <w:delText>A Psoriasis III vizsgálatban (REACH) a Humira hatásosságát és biztonságosságát a placeb</w:delText>
        </w:r>
        <w:r w:rsidR="00CD2359" w:rsidRPr="00183B5F">
          <w:rPr>
            <w:szCs w:val="22"/>
            <w:lang w:val="hu-HU"/>
          </w:rPr>
          <w:delText>ó</w:delText>
        </w:r>
        <w:r w:rsidRPr="00183B5F">
          <w:rPr>
            <w:szCs w:val="22"/>
            <w:lang w:val="hu-HU"/>
          </w:rPr>
          <w:delText>val hasonlították össze 7</w:delText>
        </w:r>
        <w:r w:rsidR="00862E81" w:rsidRPr="00183B5F">
          <w:rPr>
            <w:szCs w:val="22"/>
            <w:lang w:val="hu-HU"/>
          </w:rPr>
          <w:delText>2</w:delText>
        </w:r>
        <w:r w:rsidR="00CD2359" w:rsidRPr="00183B5F">
          <w:rPr>
            <w:szCs w:val="22"/>
            <w:lang w:val="hu-HU"/>
          </w:rPr>
          <w:delText> </w:delText>
        </w:r>
        <w:r w:rsidR="00421908" w:rsidRPr="00183B5F">
          <w:rPr>
            <w:szCs w:val="22"/>
            <w:lang w:val="hu-HU"/>
          </w:rPr>
          <w:delText xml:space="preserve">betegnél, akik </w:delText>
        </w:r>
        <w:r w:rsidRPr="00183B5F">
          <w:rPr>
            <w:szCs w:val="22"/>
            <w:lang w:val="hu-HU"/>
          </w:rPr>
          <w:delText>a közepestől a súlyosig terjedő krónikus plakkos psoriasisban szenved</w:delText>
        </w:r>
        <w:r w:rsidR="00421908" w:rsidRPr="00183B5F">
          <w:rPr>
            <w:szCs w:val="22"/>
            <w:lang w:val="hu-HU"/>
          </w:rPr>
          <w:delText>tek</w:delText>
        </w:r>
        <w:r w:rsidRPr="00183B5F">
          <w:rPr>
            <w:szCs w:val="22"/>
            <w:lang w:val="hu-HU"/>
          </w:rPr>
          <w:delText xml:space="preserve"> kéz</w:delText>
        </w:r>
        <w:r w:rsidR="00FE5A94" w:rsidRPr="00183B5F">
          <w:rPr>
            <w:szCs w:val="22"/>
            <w:lang w:val="hu-HU"/>
          </w:rPr>
          <w:delText>fej</w:delText>
        </w:r>
        <w:r w:rsidRPr="00183B5F">
          <w:rPr>
            <w:szCs w:val="22"/>
            <w:lang w:val="hu-HU"/>
          </w:rPr>
          <w:delText xml:space="preserve"> és/vagy láb</w:delText>
        </w:r>
        <w:r w:rsidR="00FE5A94" w:rsidRPr="00183B5F">
          <w:rPr>
            <w:szCs w:val="22"/>
            <w:lang w:val="hu-HU"/>
          </w:rPr>
          <w:delText>fej</w:delText>
        </w:r>
        <w:r w:rsidRPr="00183B5F">
          <w:rPr>
            <w:szCs w:val="22"/>
            <w:lang w:val="hu-HU"/>
          </w:rPr>
          <w:delText xml:space="preserve"> </w:delText>
        </w:r>
        <w:r w:rsidR="00421908" w:rsidRPr="00183B5F">
          <w:rPr>
            <w:szCs w:val="22"/>
            <w:lang w:val="hu-HU"/>
          </w:rPr>
          <w:delText>érintettséggel</w:delText>
        </w:r>
        <w:r w:rsidRPr="00183B5F">
          <w:rPr>
            <w:szCs w:val="22"/>
            <w:lang w:val="hu-HU"/>
          </w:rPr>
          <w:delText>. A betegek kezdő adagja 80 mg Humira volt, melyet 16 hétig kéthetente 40 mg</w:delText>
        </w:r>
        <w:r w:rsidRPr="00183B5F">
          <w:rPr>
            <w:szCs w:val="22"/>
            <w:lang w:val="hu-HU"/>
          </w:rPr>
          <w:noBreakHyphen/>
          <w:delText>os adag Humira vagy placebo követett (egy héttel a kezdő dózis beadása után kezdve). A 16. héten a Humira</w:delText>
        </w:r>
        <w:r w:rsidRPr="00183B5F">
          <w:rPr>
            <w:szCs w:val="22"/>
            <w:lang w:val="hu-HU"/>
          </w:rPr>
          <w:noBreakHyphen/>
          <w:delText xml:space="preserve">t kapó betegek statisztikailag szignifikánsan nagyobb arányban értek el </w:delText>
        </w:r>
        <w:r w:rsidR="00421908" w:rsidRPr="00183B5F">
          <w:rPr>
            <w:szCs w:val="22"/>
            <w:lang w:val="hu-HU"/>
          </w:rPr>
          <w:delText>„</w:delText>
        </w:r>
        <w:r w:rsidRPr="00183B5F">
          <w:rPr>
            <w:szCs w:val="22"/>
            <w:lang w:val="hu-HU"/>
          </w:rPr>
          <w:delText>tiszta</w:delText>
        </w:r>
        <w:r w:rsidR="00421908" w:rsidRPr="00183B5F">
          <w:rPr>
            <w:szCs w:val="22"/>
            <w:lang w:val="hu-HU"/>
          </w:rPr>
          <w:delText>”</w:delText>
        </w:r>
        <w:r w:rsidRPr="00183B5F">
          <w:rPr>
            <w:szCs w:val="22"/>
            <w:lang w:val="hu-HU"/>
          </w:rPr>
          <w:delText xml:space="preserve"> vagy </w:delText>
        </w:r>
        <w:r w:rsidR="00421908" w:rsidRPr="00183B5F">
          <w:rPr>
            <w:szCs w:val="22"/>
            <w:lang w:val="hu-HU"/>
          </w:rPr>
          <w:delText xml:space="preserve">„majdnem </w:delText>
        </w:r>
        <w:r w:rsidRPr="00183B5F">
          <w:rPr>
            <w:szCs w:val="22"/>
            <w:lang w:val="hu-HU"/>
          </w:rPr>
          <w:delText>tiszta</w:delText>
        </w:r>
        <w:r w:rsidR="00421908" w:rsidRPr="00183B5F">
          <w:rPr>
            <w:szCs w:val="22"/>
            <w:lang w:val="hu-HU"/>
          </w:rPr>
          <w:delText>”</w:delText>
        </w:r>
        <w:r w:rsidRPr="00183B5F">
          <w:rPr>
            <w:szCs w:val="22"/>
            <w:lang w:val="hu-HU"/>
          </w:rPr>
          <w:delText xml:space="preserve"> </w:delText>
        </w:r>
        <w:r w:rsidR="00421908" w:rsidRPr="00183B5F">
          <w:rPr>
            <w:szCs w:val="22"/>
            <w:lang w:val="hu-HU"/>
          </w:rPr>
          <w:delText>PGA</w:delText>
        </w:r>
        <w:r w:rsidR="00F23D70" w:rsidRPr="00183B5F">
          <w:rPr>
            <w:szCs w:val="22"/>
            <w:lang w:val="hu-HU"/>
          </w:rPr>
          <w:delText>-</w:delText>
        </w:r>
        <w:r w:rsidRPr="00183B5F">
          <w:rPr>
            <w:szCs w:val="22"/>
            <w:lang w:val="hu-HU"/>
          </w:rPr>
          <w:delText>értéket kéz</w:delText>
        </w:r>
        <w:r w:rsidR="00FE5A94" w:rsidRPr="00183B5F">
          <w:rPr>
            <w:szCs w:val="22"/>
            <w:lang w:val="hu-HU"/>
          </w:rPr>
          <w:delText>fejek</w:delText>
        </w:r>
        <w:r w:rsidRPr="00183B5F">
          <w:rPr>
            <w:szCs w:val="22"/>
            <w:lang w:val="hu-HU"/>
          </w:rPr>
          <w:delText xml:space="preserve"> és/vagy láb</w:delText>
        </w:r>
        <w:r w:rsidR="00FE5A94" w:rsidRPr="00183B5F">
          <w:rPr>
            <w:szCs w:val="22"/>
            <w:lang w:val="hu-HU"/>
          </w:rPr>
          <w:delText>fejek</w:delText>
        </w:r>
        <w:r w:rsidRPr="00183B5F">
          <w:rPr>
            <w:szCs w:val="22"/>
            <w:lang w:val="hu-HU"/>
          </w:rPr>
          <w:delText xml:space="preserve"> érintettségnél, mint a placeb</w:delText>
        </w:r>
        <w:r w:rsidR="00CD2359" w:rsidRPr="00183B5F">
          <w:rPr>
            <w:szCs w:val="22"/>
            <w:lang w:val="hu-HU"/>
          </w:rPr>
          <w:delText>ó</w:delText>
        </w:r>
        <w:r w:rsidRPr="00183B5F">
          <w:rPr>
            <w:szCs w:val="22"/>
            <w:lang w:val="hu-HU"/>
          </w:rPr>
          <w:delText>t kapó betegek (30,6% versus 4,3%, illetve [P</w:delText>
        </w:r>
        <w:r w:rsidR="00994AB3" w:rsidRPr="00183B5F">
          <w:rPr>
            <w:szCs w:val="22"/>
            <w:lang w:val="hu-HU"/>
          </w:rPr>
          <w:delText> </w:delText>
        </w:r>
        <w:r w:rsidRPr="00183B5F">
          <w:rPr>
            <w:szCs w:val="22"/>
            <w:lang w:val="hu-HU"/>
          </w:rPr>
          <w:delText>=</w:delText>
        </w:r>
        <w:r w:rsidR="00994AB3" w:rsidRPr="00183B5F">
          <w:rPr>
            <w:szCs w:val="22"/>
            <w:lang w:val="hu-HU"/>
          </w:rPr>
          <w:delText> </w:delText>
        </w:r>
        <w:r w:rsidRPr="00183B5F">
          <w:rPr>
            <w:szCs w:val="22"/>
            <w:lang w:val="hu-HU"/>
          </w:rPr>
          <w:delText>0,014]).</w:delText>
        </w:r>
      </w:del>
    </w:p>
    <w:p w14:paraId="6A4AF226" w14:textId="04ED1D34" w:rsidR="00D97615" w:rsidRPr="00183B5F" w:rsidRDefault="00D97615">
      <w:pPr>
        <w:pStyle w:val="EMEANormal"/>
        <w:rPr>
          <w:del w:id="2165" w:author="AbbVie_HU_03" w:date="2025-05-14T15:27:00Z"/>
          <w:szCs w:val="22"/>
          <w:lang w:val="hu-HU"/>
        </w:rPr>
      </w:pPr>
    </w:p>
    <w:p w14:paraId="58389171" w14:textId="09570B63" w:rsidR="00B112D4" w:rsidRPr="00183B5F" w:rsidRDefault="00943743">
      <w:pPr>
        <w:pStyle w:val="gtcbodytext"/>
        <w:spacing w:before="0" w:after="0" w:line="240" w:lineRule="auto"/>
        <w:rPr>
          <w:del w:id="2166" w:author="AbbVie_HU_03" w:date="2025-05-14T15:27:00Z"/>
          <w:sz w:val="22"/>
          <w:szCs w:val="22"/>
          <w:lang w:val="hu-HU"/>
        </w:rPr>
      </w:pPr>
      <w:del w:id="2167" w:author="AbbVie_HU_03" w:date="2025-05-14T15:27:00Z">
        <w:r w:rsidRPr="00183B5F">
          <w:rPr>
            <w:sz w:val="22"/>
            <w:szCs w:val="22"/>
            <w:lang w:val="hu-HU"/>
          </w:rPr>
          <w:delText>A Psoriasis IV vizsgálatban a Humira hatásosságát és biztonságosságát placebóval hasonlították össze 217 felnőtt, köz</w:delText>
        </w:r>
        <w:r w:rsidR="00F73409" w:rsidRPr="00183B5F">
          <w:rPr>
            <w:sz w:val="22"/>
            <w:szCs w:val="22"/>
            <w:lang w:val="hu-HU"/>
          </w:rPr>
          <w:delText xml:space="preserve">epesen </w:delText>
        </w:r>
        <w:r w:rsidRPr="00183B5F">
          <w:rPr>
            <w:sz w:val="22"/>
            <w:szCs w:val="22"/>
            <w:lang w:val="hu-HU"/>
          </w:rPr>
          <w:delText>súlyos-súlyos köröm</w:delText>
        </w:r>
        <w:r w:rsidR="004E5E6A" w:rsidRPr="00183B5F">
          <w:rPr>
            <w:sz w:val="22"/>
            <w:szCs w:val="22"/>
            <w:lang w:val="hu-HU"/>
          </w:rPr>
          <w:delText>-</w:delText>
        </w:r>
        <w:r w:rsidRPr="00183B5F">
          <w:rPr>
            <w:sz w:val="22"/>
            <w:szCs w:val="22"/>
            <w:lang w:val="hu-HU"/>
          </w:rPr>
          <w:delText xml:space="preserve">psoriasisban szenvedő </w:delText>
        </w:r>
        <w:r w:rsidR="00A1688C" w:rsidRPr="00183B5F">
          <w:rPr>
            <w:sz w:val="22"/>
            <w:szCs w:val="22"/>
            <w:lang w:val="hu-HU"/>
          </w:rPr>
          <w:delText xml:space="preserve">felnőtt </w:delText>
        </w:r>
        <w:r w:rsidRPr="00183B5F">
          <w:rPr>
            <w:sz w:val="22"/>
            <w:szCs w:val="22"/>
            <w:lang w:val="hu-HU"/>
          </w:rPr>
          <w:delText xml:space="preserve">betegnél. A betegek 80 mg </w:delText>
        </w:r>
        <w:r w:rsidR="00A1688C" w:rsidRPr="00183B5F">
          <w:rPr>
            <w:sz w:val="22"/>
            <w:szCs w:val="22"/>
            <w:lang w:val="hu-HU"/>
          </w:rPr>
          <w:delText xml:space="preserve">kezdő dózist követően kéthetente 40 mg </w:delText>
        </w:r>
        <w:r w:rsidRPr="00183B5F">
          <w:rPr>
            <w:sz w:val="22"/>
            <w:szCs w:val="22"/>
            <w:lang w:val="hu-HU"/>
          </w:rPr>
          <w:delText>Humira</w:delText>
        </w:r>
        <w:r w:rsidR="00A1688C" w:rsidRPr="00183B5F">
          <w:rPr>
            <w:sz w:val="22"/>
            <w:szCs w:val="22"/>
            <w:lang w:val="hu-HU"/>
          </w:rPr>
          <w:noBreakHyphen/>
          <w:delText>t</w:delText>
        </w:r>
        <w:r w:rsidRPr="00183B5F">
          <w:rPr>
            <w:sz w:val="22"/>
            <w:szCs w:val="22"/>
            <w:lang w:val="hu-HU"/>
          </w:rPr>
          <w:delText xml:space="preserve"> </w:delText>
        </w:r>
        <w:r w:rsidR="00A1688C" w:rsidRPr="00183B5F">
          <w:rPr>
            <w:sz w:val="22"/>
            <w:szCs w:val="22"/>
            <w:lang w:val="hu-HU"/>
          </w:rPr>
          <w:delText>kaptak (egy héttel a kezdő dózis beadása után kezdve)</w:delText>
        </w:r>
        <w:r w:rsidRPr="00183B5F">
          <w:rPr>
            <w:sz w:val="22"/>
            <w:szCs w:val="22"/>
            <w:lang w:val="hu-HU"/>
          </w:rPr>
          <w:delText>, vagy placebo</w:delText>
        </w:r>
        <w:r w:rsidR="00A1688C" w:rsidRPr="00183B5F">
          <w:rPr>
            <w:sz w:val="22"/>
            <w:szCs w:val="22"/>
            <w:lang w:val="hu-HU"/>
          </w:rPr>
          <w:delText>kezelésben részesültek 26 hétig, amelyet</w:delText>
        </w:r>
        <w:r w:rsidRPr="00183B5F">
          <w:rPr>
            <w:sz w:val="22"/>
            <w:szCs w:val="22"/>
            <w:lang w:val="hu-HU"/>
          </w:rPr>
          <w:delText xml:space="preserve"> nyílt elrendezés</w:delText>
        </w:r>
        <w:r w:rsidR="00A1688C" w:rsidRPr="00183B5F">
          <w:rPr>
            <w:sz w:val="22"/>
            <w:szCs w:val="22"/>
            <w:lang w:val="hu-HU"/>
          </w:rPr>
          <w:delText>ű Humira</w:delText>
        </w:r>
        <w:r w:rsidR="004E5E6A" w:rsidRPr="00183B5F">
          <w:rPr>
            <w:sz w:val="22"/>
            <w:szCs w:val="22"/>
            <w:lang w:val="hu-HU"/>
          </w:rPr>
          <w:delText>-</w:delText>
        </w:r>
        <w:r w:rsidR="00A1688C" w:rsidRPr="00183B5F">
          <w:rPr>
            <w:sz w:val="22"/>
            <w:szCs w:val="22"/>
            <w:lang w:val="hu-HU"/>
          </w:rPr>
          <w:delText>kezelés követett</w:delText>
        </w:r>
        <w:r w:rsidRPr="00183B5F">
          <w:rPr>
            <w:sz w:val="22"/>
            <w:szCs w:val="22"/>
            <w:lang w:val="hu-HU"/>
          </w:rPr>
          <w:delText xml:space="preserve"> további 26 hét</w:delText>
        </w:r>
        <w:r w:rsidR="00A1688C" w:rsidRPr="00183B5F">
          <w:rPr>
            <w:sz w:val="22"/>
            <w:szCs w:val="22"/>
            <w:lang w:val="hu-HU"/>
          </w:rPr>
          <w:delText>en át</w:delText>
        </w:r>
        <w:r w:rsidRPr="00183B5F">
          <w:rPr>
            <w:sz w:val="22"/>
            <w:szCs w:val="22"/>
            <w:lang w:val="hu-HU"/>
          </w:rPr>
          <w:delText>. A köröm</w:delText>
        </w:r>
        <w:r w:rsidR="004E5E6A" w:rsidRPr="00183B5F">
          <w:rPr>
            <w:sz w:val="22"/>
            <w:szCs w:val="22"/>
            <w:lang w:val="hu-HU"/>
          </w:rPr>
          <w:delText>-</w:delText>
        </w:r>
        <w:r w:rsidRPr="00183B5F">
          <w:rPr>
            <w:sz w:val="22"/>
            <w:szCs w:val="22"/>
            <w:lang w:val="hu-HU"/>
          </w:rPr>
          <w:delText>psoriasis értékelése tartalmazta a módosított köröm</w:delText>
        </w:r>
        <w:r w:rsidR="004E5E6A" w:rsidRPr="00183B5F">
          <w:rPr>
            <w:sz w:val="22"/>
            <w:szCs w:val="22"/>
            <w:lang w:val="hu-HU"/>
          </w:rPr>
          <w:delText>-</w:delText>
        </w:r>
        <w:r w:rsidRPr="00183B5F">
          <w:rPr>
            <w:sz w:val="22"/>
            <w:szCs w:val="22"/>
            <w:lang w:val="hu-HU"/>
          </w:rPr>
          <w:delText>psoriasis súlyossági indexet (mNAPSI, Modified Nail Psoriasis Severity Index), a köröm</w:delText>
        </w:r>
        <w:r w:rsidR="004E5E6A" w:rsidRPr="00183B5F">
          <w:rPr>
            <w:sz w:val="22"/>
            <w:szCs w:val="22"/>
            <w:lang w:val="hu-HU"/>
          </w:rPr>
          <w:delText>-</w:delText>
        </w:r>
        <w:r w:rsidRPr="00183B5F">
          <w:rPr>
            <w:sz w:val="22"/>
            <w:szCs w:val="22"/>
            <w:lang w:val="hu-HU"/>
          </w:rPr>
          <w:delText>psoriasis kezelőorvosok általi globális értékelését (PGA-F, Physician’s Global Assessment of Fingernail Psoriasis) és a köröm</w:delText>
        </w:r>
        <w:r w:rsidR="004E5E6A" w:rsidRPr="00183B5F">
          <w:rPr>
            <w:sz w:val="22"/>
            <w:szCs w:val="22"/>
            <w:lang w:val="hu-HU"/>
          </w:rPr>
          <w:delText>-</w:delText>
        </w:r>
        <w:r w:rsidRPr="00183B5F">
          <w:rPr>
            <w:sz w:val="22"/>
            <w:szCs w:val="22"/>
            <w:lang w:val="hu-HU"/>
          </w:rPr>
          <w:delText xml:space="preserve">psoriasis súlyossági indexet (NAPSI) (lásd </w:delText>
        </w:r>
        <w:r w:rsidR="006C274D" w:rsidRPr="00183B5F">
          <w:rPr>
            <w:sz w:val="22"/>
            <w:szCs w:val="22"/>
            <w:lang w:val="hu-HU"/>
          </w:rPr>
          <w:delText>14</w:delText>
        </w:r>
        <w:r w:rsidRPr="00183B5F">
          <w:rPr>
            <w:sz w:val="22"/>
            <w:szCs w:val="22"/>
            <w:lang w:val="hu-HU"/>
          </w:rPr>
          <w:delText xml:space="preserve">. táblázat). </w:delText>
        </w:r>
        <w:r w:rsidR="00A1688C" w:rsidRPr="00183B5F">
          <w:rPr>
            <w:sz w:val="22"/>
            <w:szCs w:val="22"/>
            <w:lang w:val="hu-HU"/>
          </w:rPr>
          <w:delText>A</w:delText>
        </w:r>
        <w:r w:rsidRPr="00183B5F">
          <w:rPr>
            <w:sz w:val="22"/>
            <w:szCs w:val="22"/>
            <w:lang w:val="hu-HU"/>
          </w:rPr>
          <w:delText xml:space="preserve"> Humira </w:delText>
        </w:r>
        <w:r w:rsidR="00A1688C" w:rsidRPr="00183B5F">
          <w:rPr>
            <w:sz w:val="22"/>
            <w:szCs w:val="22"/>
            <w:lang w:val="hu-HU"/>
          </w:rPr>
          <w:delText>köröm</w:delText>
        </w:r>
        <w:r w:rsidR="004E5E6A" w:rsidRPr="00183B5F">
          <w:rPr>
            <w:sz w:val="22"/>
            <w:szCs w:val="22"/>
            <w:lang w:val="hu-HU"/>
          </w:rPr>
          <w:delText>-</w:delText>
        </w:r>
        <w:r w:rsidR="00A1688C" w:rsidRPr="00183B5F">
          <w:rPr>
            <w:sz w:val="22"/>
            <w:szCs w:val="22"/>
            <w:lang w:val="hu-HU"/>
          </w:rPr>
          <w:delText>psoriasisban kifejtett kedvező</w:delText>
        </w:r>
        <w:r w:rsidRPr="00183B5F">
          <w:rPr>
            <w:sz w:val="22"/>
            <w:szCs w:val="22"/>
            <w:lang w:val="hu-HU"/>
          </w:rPr>
          <w:delText xml:space="preserve"> hatását különböző mértékű bőrér</w:delText>
        </w:r>
        <w:r w:rsidRPr="00183B5F">
          <w:rPr>
            <w:sz w:val="22"/>
            <w:szCs w:val="22"/>
            <w:lang w:val="hu-HU"/>
          </w:rPr>
          <w:delText xml:space="preserve">intettség </w:delText>
        </w:r>
        <w:r w:rsidR="00A1688C" w:rsidRPr="00183B5F">
          <w:rPr>
            <w:sz w:val="22"/>
            <w:szCs w:val="22"/>
            <w:lang w:val="hu-HU"/>
          </w:rPr>
          <w:delText>mellett</w:delText>
        </w:r>
        <w:r w:rsidRPr="00183B5F">
          <w:rPr>
            <w:sz w:val="22"/>
            <w:szCs w:val="22"/>
            <w:lang w:val="hu-HU"/>
          </w:rPr>
          <w:delText xml:space="preserve"> (BSA≥10% (a betegek 60%</w:delText>
        </w:r>
        <w:r w:rsidRPr="00183B5F">
          <w:rPr>
            <w:sz w:val="22"/>
            <w:szCs w:val="22"/>
            <w:lang w:val="hu-HU"/>
          </w:rPr>
          <w:noBreakHyphen/>
          <w:delText>a) és BSA&lt;10% és ≥5% (a betegek 40%</w:delText>
        </w:r>
        <w:r w:rsidRPr="00183B5F">
          <w:rPr>
            <w:sz w:val="22"/>
            <w:szCs w:val="22"/>
            <w:lang w:val="hu-HU"/>
          </w:rPr>
          <w:noBreakHyphen/>
          <w:delText>a)</w:delText>
        </w:r>
        <w:r w:rsidR="005949DF" w:rsidRPr="00183B5F">
          <w:rPr>
            <w:sz w:val="22"/>
            <w:szCs w:val="22"/>
            <w:lang w:val="hu-HU"/>
          </w:rPr>
          <w:delText>)</w:delText>
        </w:r>
        <w:r w:rsidR="00A1688C" w:rsidRPr="00183B5F">
          <w:rPr>
            <w:sz w:val="22"/>
            <w:szCs w:val="22"/>
            <w:lang w:val="hu-HU"/>
          </w:rPr>
          <w:delText xml:space="preserve"> igazolták</w:delText>
        </w:r>
        <w:r w:rsidRPr="00183B5F">
          <w:rPr>
            <w:sz w:val="22"/>
            <w:szCs w:val="22"/>
            <w:lang w:val="hu-HU"/>
          </w:rPr>
          <w:delText>.</w:delText>
        </w:r>
      </w:del>
    </w:p>
    <w:p w14:paraId="0D307CA3" w14:textId="6B5C7EFF" w:rsidR="00B112D4" w:rsidRPr="00183B5F" w:rsidRDefault="00B112D4">
      <w:pPr>
        <w:pStyle w:val="gtcbodytext"/>
        <w:spacing w:before="0" w:after="0" w:line="240" w:lineRule="auto"/>
        <w:rPr>
          <w:del w:id="2168" w:author="AbbVie_HU_03" w:date="2025-05-14T15:27:00Z"/>
          <w:sz w:val="22"/>
          <w:szCs w:val="22"/>
          <w:lang w:val="hu-HU"/>
        </w:rPr>
      </w:pPr>
    </w:p>
    <w:p w14:paraId="182A31DD" w14:textId="1D3B2976" w:rsidR="00B112D4" w:rsidRPr="00183B5F" w:rsidRDefault="00943743" w:rsidP="00FE0197">
      <w:pPr>
        <w:pStyle w:val="gtctabletitleotherwise"/>
        <w:keepNext/>
        <w:spacing w:before="0"/>
        <w:rPr>
          <w:del w:id="2169" w:author="AbbVie_HU_03" w:date="2025-05-14T15:27:00Z"/>
          <w:bCs w:val="0"/>
          <w:sz w:val="22"/>
          <w:szCs w:val="22"/>
          <w:lang w:val="hu-HU"/>
        </w:rPr>
      </w:pPr>
      <w:del w:id="2170" w:author="AbbVie_HU_03" w:date="2025-05-14T15:27:00Z">
        <w:r w:rsidRPr="00183B5F">
          <w:rPr>
            <w:bCs w:val="0"/>
            <w:sz w:val="22"/>
            <w:szCs w:val="22"/>
            <w:lang w:val="hu-HU"/>
          </w:rPr>
          <w:delText>14.</w:delText>
        </w:r>
        <w:r w:rsidR="00160AD5" w:rsidRPr="00183B5F">
          <w:rPr>
            <w:bCs w:val="0"/>
            <w:sz w:val="22"/>
            <w:szCs w:val="22"/>
            <w:lang w:val="hu-HU"/>
          </w:rPr>
          <w:delText> </w:delText>
        </w:r>
        <w:r w:rsidRPr="00183B5F">
          <w:rPr>
            <w:bCs w:val="0"/>
            <w:sz w:val="22"/>
            <w:szCs w:val="22"/>
            <w:lang w:val="hu-HU"/>
          </w:rPr>
          <w:delText>táblázat</w:delText>
        </w:r>
      </w:del>
    </w:p>
    <w:p w14:paraId="25C7AB0D" w14:textId="26EBE7F8" w:rsidR="00B112D4" w:rsidRPr="00183B5F" w:rsidRDefault="00943743" w:rsidP="00FE0197">
      <w:pPr>
        <w:pStyle w:val="gtctabletitleotherwise"/>
        <w:keepNext/>
        <w:spacing w:before="0"/>
        <w:rPr>
          <w:del w:id="2171" w:author="AbbVie_HU_03" w:date="2025-05-14T15:27:00Z"/>
          <w:sz w:val="22"/>
          <w:szCs w:val="22"/>
          <w:lang w:val="hu-HU"/>
        </w:rPr>
      </w:pPr>
      <w:del w:id="2172" w:author="AbbVie_HU_03" w:date="2025-05-14T15:27:00Z">
        <w:r w:rsidRPr="00183B5F">
          <w:rPr>
            <w:bCs w:val="0"/>
            <w:sz w:val="22"/>
            <w:szCs w:val="22"/>
            <w:lang w:val="hu-HU"/>
          </w:rPr>
          <w:delText>Psoriasis IV vizsgálat hatásossági eredmények a 16., 26. és 52.</w:delText>
        </w:r>
        <w:r w:rsidR="00160AD5" w:rsidRPr="00183B5F">
          <w:rPr>
            <w:bCs w:val="0"/>
            <w:sz w:val="22"/>
            <w:szCs w:val="22"/>
            <w:lang w:val="hu-HU"/>
          </w:rPr>
          <w:delText> </w:delText>
        </w:r>
        <w:r w:rsidRPr="00183B5F">
          <w:rPr>
            <w:bCs w:val="0"/>
            <w:sz w:val="22"/>
            <w:szCs w:val="22"/>
            <w:lang w:val="hu-HU"/>
          </w:rPr>
          <w:delText>héten</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080"/>
        <w:gridCol w:w="1260"/>
        <w:gridCol w:w="990"/>
        <w:gridCol w:w="1260"/>
        <w:gridCol w:w="2268"/>
      </w:tblGrid>
      <w:tr w:rsidR="00011D2F" w14:paraId="513E9ED0" w14:textId="0143AAD3" w:rsidTr="00B112D4">
        <w:trPr>
          <w:del w:id="2173" w:author="AbbVie_HU_03" w:date="2025-05-14T15:27:00Z"/>
        </w:trPr>
        <w:tc>
          <w:tcPr>
            <w:tcW w:w="2718" w:type="dxa"/>
            <w:vMerge w:val="restart"/>
          </w:tcPr>
          <w:p w14:paraId="77F9DB4D" w14:textId="785DB1D7" w:rsidR="00B112D4" w:rsidRPr="00183B5F" w:rsidRDefault="00943743" w:rsidP="00FE0197">
            <w:pPr>
              <w:pStyle w:val="gtctablespaceafter"/>
              <w:keepNext/>
              <w:spacing w:after="0"/>
              <w:rPr>
                <w:del w:id="2174" w:author="AbbVie_HU_03" w:date="2025-05-14T15:27:00Z"/>
                <w:sz w:val="22"/>
                <w:szCs w:val="22"/>
                <w:lang w:val="hu-HU"/>
              </w:rPr>
            </w:pPr>
            <w:del w:id="2175" w:author="AbbVie_HU_03" w:date="2025-05-14T15:27:00Z">
              <w:r w:rsidRPr="00183B5F">
                <w:rPr>
                  <w:sz w:val="22"/>
                  <w:szCs w:val="22"/>
                  <w:lang w:val="hu-HU"/>
                </w:rPr>
                <w:delText>Végpont</w:delText>
              </w:r>
            </w:del>
          </w:p>
        </w:tc>
        <w:tc>
          <w:tcPr>
            <w:tcW w:w="2340" w:type="dxa"/>
            <w:gridSpan w:val="2"/>
          </w:tcPr>
          <w:p w14:paraId="475F010C" w14:textId="6D523699" w:rsidR="00B112D4" w:rsidRPr="00183B5F" w:rsidRDefault="00943743" w:rsidP="00FE0197">
            <w:pPr>
              <w:pStyle w:val="gtctablespaceafter"/>
              <w:keepNext/>
              <w:spacing w:after="0"/>
              <w:jc w:val="center"/>
              <w:rPr>
                <w:del w:id="2176" w:author="AbbVie_HU_03" w:date="2025-05-14T15:27:00Z"/>
                <w:sz w:val="22"/>
                <w:szCs w:val="22"/>
                <w:lang w:val="hu-HU"/>
              </w:rPr>
            </w:pPr>
            <w:del w:id="2177" w:author="AbbVie_HU_03" w:date="2025-05-14T15:27:00Z">
              <w:r w:rsidRPr="00183B5F">
                <w:rPr>
                  <w:sz w:val="22"/>
                  <w:szCs w:val="22"/>
                  <w:lang w:val="hu-HU"/>
                </w:rPr>
                <w:delText>16. hét</w:delText>
              </w:r>
            </w:del>
          </w:p>
          <w:p w14:paraId="22B80EBD" w14:textId="1CB3DC7F" w:rsidR="00B112D4" w:rsidRPr="00183B5F" w:rsidRDefault="00943743" w:rsidP="00FE0197">
            <w:pPr>
              <w:pStyle w:val="gtctablespaceafter"/>
              <w:keepNext/>
              <w:spacing w:after="0"/>
              <w:jc w:val="center"/>
              <w:rPr>
                <w:del w:id="2178" w:author="AbbVie_HU_03" w:date="2025-05-14T15:27:00Z"/>
                <w:sz w:val="22"/>
                <w:szCs w:val="22"/>
                <w:lang w:val="hu-HU"/>
              </w:rPr>
            </w:pPr>
            <w:del w:id="2179" w:author="AbbVie_HU_03" w:date="2025-05-14T15:27:00Z">
              <w:r w:rsidRPr="00183B5F">
                <w:rPr>
                  <w:sz w:val="22"/>
                  <w:szCs w:val="22"/>
                  <w:lang w:val="hu-HU"/>
                </w:rPr>
                <w:delText>Placebokontrollos</w:delText>
              </w:r>
            </w:del>
          </w:p>
        </w:tc>
        <w:tc>
          <w:tcPr>
            <w:tcW w:w="2250" w:type="dxa"/>
            <w:gridSpan w:val="2"/>
          </w:tcPr>
          <w:p w14:paraId="0A1A3949" w14:textId="25A5FA74" w:rsidR="00B112D4" w:rsidRPr="00183B5F" w:rsidRDefault="00943743" w:rsidP="00FE0197">
            <w:pPr>
              <w:pStyle w:val="gtctablespaceafter"/>
              <w:keepNext/>
              <w:spacing w:after="0"/>
              <w:jc w:val="center"/>
              <w:rPr>
                <w:del w:id="2180" w:author="AbbVie_HU_03" w:date="2025-05-14T15:27:00Z"/>
                <w:sz w:val="22"/>
                <w:szCs w:val="22"/>
                <w:lang w:val="hu-HU"/>
              </w:rPr>
            </w:pPr>
            <w:del w:id="2181" w:author="AbbVie_HU_03" w:date="2025-05-14T15:27:00Z">
              <w:r w:rsidRPr="00183B5F">
                <w:rPr>
                  <w:sz w:val="22"/>
                  <w:szCs w:val="22"/>
                  <w:lang w:val="hu-HU"/>
                </w:rPr>
                <w:delText xml:space="preserve">26. hét </w:delText>
              </w:r>
            </w:del>
          </w:p>
          <w:p w14:paraId="2B146A15" w14:textId="0F381A5A" w:rsidR="00B112D4" w:rsidRPr="00183B5F" w:rsidRDefault="00943743" w:rsidP="00FE0197">
            <w:pPr>
              <w:pStyle w:val="gtctablespaceafter"/>
              <w:keepNext/>
              <w:spacing w:after="0"/>
              <w:jc w:val="center"/>
              <w:rPr>
                <w:del w:id="2182" w:author="AbbVie_HU_03" w:date="2025-05-14T15:27:00Z"/>
                <w:sz w:val="22"/>
                <w:szCs w:val="22"/>
                <w:lang w:val="hu-HU"/>
              </w:rPr>
            </w:pPr>
            <w:del w:id="2183" w:author="AbbVie_HU_03" w:date="2025-05-14T15:27:00Z">
              <w:r w:rsidRPr="00183B5F">
                <w:rPr>
                  <w:sz w:val="22"/>
                  <w:szCs w:val="22"/>
                  <w:lang w:val="hu-HU"/>
                </w:rPr>
                <w:delText>Placebokontrollos</w:delText>
              </w:r>
            </w:del>
          </w:p>
        </w:tc>
        <w:tc>
          <w:tcPr>
            <w:tcW w:w="2268" w:type="dxa"/>
          </w:tcPr>
          <w:p w14:paraId="493662D2" w14:textId="1CFAAC61" w:rsidR="00B112D4" w:rsidRPr="00183B5F" w:rsidRDefault="00943743" w:rsidP="00FE0197">
            <w:pPr>
              <w:pStyle w:val="gtctablespaceafter"/>
              <w:keepNext/>
              <w:spacing w:after="0"/>
              <w:jc w:val="center"/>
              <w:rPr>
                <w:del w:id="2184" w:author="AbbVie_HU_03" w:date="2025-05-14T15:27:00Z"/>
                <w:sz w:val="22"/>
                <w:szCs w:val="22"/>
                <w:lang w:val="hu-HU"/>
              </w:rPr>
            </w:pPr>
            <w:del w:id="2185" w:author="AbbVie_HU_03" w:date="2025-05-14T15:27:00Z">
              <w:r w:rsidRPr="00183B5F">
                <w:rPr>
                  <w:sz w:val="22"/>
                  <w:szCs w:val="22"/>
                  <w:lang w:val="hu-HU"/>
                </w:rPr>
                <w:delText>52. hét</w:delText>
              </w:r>
            </w:del>
          </w:p>
          <w:p w14:paraId="4679FF29" w14:textId="2887EAB3" w:rsidR="00B112D4" w:rsidRPr="00183B5F" w:rsidRDefault="00943743" w:rsidP="00FE0197">
            <w:pPr>
              <w:pStyle w:val="gtctablespaceafter"/>
              <w:keepNext/>
              <w:spacing w:after="0"/>
              <w:jc w:val="center"/>
              <w:rPr>
                <w:del w:id="2186" w:author="AbbVie_HU_03" w:date="2025-05-14T15:27:00Z"/>
                <w:sz w:val="22"/>
                <w:szCs w:val="22"/>
                <w:lang w:val="hu-HU"/>
              </w:rPr>
            </w:pPr>
            <w:del w:id="2187" w:author="AbbVie_HU_03" w:date="2025-05-14T15:27:00Z">
              <w:r w:rsidRPr="00183B5F">
                <w:rPr>
                  <w:sz w:val="22"/>
                  <w:szCs w:val="22"/>
                  <w:lang w:val="hu-HU"/>
                </w:rPr>
                <w:delText>Nyílt elrendezés</w:delText>
              </w:r>
            </w:del>
          </w:p>
        </w:tc>
      </w:tr>
      <w:tr w:rsidR="00011D2F" w14:paraId="15A685B6" w14:textId="734FC290" w:rsidTr="00B112D4">
        <w:trPr>
          <w:del w:id="2188" w:author="AbbVie_HU_03" w:date="2025-05-14T15:27:00Z"/>
        </w:trPr>
        <w:tc>
          <w:tcPr>
            <w:tcW w:w="2718" w:type="dxa"/>
            <w:vMerge/>
          </w:tcPr>
          <w:p w14:paraId="6A5F6003" w14:textId="1BFD134E" w:rsidR="00B112D4" w:rsidRPr="00183B5F" w:rsidRDefault="00B112D4" w:rsidP="00FE0197">
            <w:pPr>
              <w:pStyle w:val="gtctablespaceafter"/>
              <w:keepNext/>
              <w:spacing w:after="0"/>
              <w:rPr>
                <w:del w:id="2189" w:author="AbbVie_HU_03" w:date="2025-05-14T15:27:00Z"/>
                <w:sz w:val="22"/>
                <w:szCs w:val="22"/>
                <w:lang w:val="hu-HU"/>
              </w:rPr>
            </w:pPr>
          </w:p>
        </w:tc>
        <w:tc>
          <w:tcPr>
            <w:tcW w:w="1080" w:type="dxa"/>
          </w:tcPr>
          <w:p w14:paraId="67F333BF" w14:textId="36F088CF" w:rsidR="00B112D4" w:rsidRPr="00183B5F" w:rsidRDefault="00943743" w:rsidP="00FE0197">
            <w:pPr>
              <w:pStyle w:val="gtctablespaceafter"/>
              <w:keepNext/>
              <w:spacing w:after="0"/>
              <w:jc w:val="center"/>
              <w:rPr>
                <w:del w:id="2190" w:author="AbbVie_HU_03" w:date="2025-05-14T15:27:00Z"/>
                <w:sz w:val="22"/>
                <w:szCs w:val="22"/>
                <w:lang w:val="hu-HU"/>
              </w:rPr>
            </w:pPr>
            <w:del w:id="2191" w:author="AbbVie_HU_03" w:date="2025-05-14T15:27:00Z">
              <w:r w:rsidRPr="00183B5F">
                <w:rPr>
                  <w:sz w:val="22"/>
                  <w:lang w:val="hu-HU"/>
                </w:rPr>
                <w:delText>Placebo</w:delText>
              </w:r>
              <w:r w:rsidRPr="00183B5F">
                <w:rPr>
                  <w:sz w:val="22"/>
                  <w:lang w:val="hu-HU"/>
                </w:rPr>
                <w:br/>
                <w:delText>N</w:delText>
              </w:r>
              <w:r w:rsidR="00994AB3" w:rsidRPr="00183B5F">
                <w:rPr>
                  <w:sz w:val="22"/>
                  <w:lang w:val="hu-HU"/>
                </w:rPr>
                <w:delText> </w:delText>
              </w:r>
              <w:r w:rsidRPr="00183B5F">
                <w:rPr>
                  <w:sz w:val="22"/>
                  <w:lang w:val="hu-HU"/>
                </w:rPr>
                <w:delText>=</w:delText>
              </w:r>
              <w:r w:rsidR="00994AB3" w:rsidRPr="00183B5F">
                <w:rPr>
                  <w:sz w:val="22"/>
                  <w:lang w:val="hu-HU"/>
                </w:rPr>
                <w:delText> </w:delText>
              </w:r>
              <w:r w:rsidRPr="00183B5F">
                <w:rPr>
                  <w:sz w:val="22"/>
                  <w:lang w:val="hu-HU"/>
                </w:rPr>
                <w:delText>108</w:delText>
              </w:r>
            </w:del>
          </w:p>
        </w:tc>
        <w:tc>
          <w:tcPr>
            <w:tcW w:w="1260" w:type="dxa"/>
          </w:tcPr>
          <w:p w14:paraId="78150C5C" w14:textId="2C697BA9" w:rsidR="00B112D4" w:rsidRPr="00183B5F" w:rsidRDefault="00943743" w:rsidP="00FE0197">
            <w:pPr>
              <w:pStyle w:val="In-texttable"/>
              <w:spacing w:line="240" w:lineRule="auto"/>
              <w:jc w:val="center"/>
              <w:rPr>
                <w:del w:id="2192" w:author="AbbVie_HU_03" w:date="2025-05-14T15:27:00Z"/>
                <w:rFonts w:ascii="Times New Roman" w:hAnsi="Times New Roman"/>
                <w:sz w:val="22"/>
                <w:lang w:val="hu-HU"/>
              </w:rPr>
            </w:pPr>
            <w:del w:id="2193" w:author="AbbVie_HU_03" w:date="2025-05-14T15:27:00Z">
              <w:r w:rsidRPr="00183B5F">
                <w:rPr>
                  <w:rFonts w:ascii="Times New Roman" w:hAnsi="Times New Roman"/>
                  <w:sz w:val="22"/>
                  <w:lang w:val="hu-HU"/>
                </w:rPr>
                <w:delText>Humira</w:delText>
              </w:r>
            </w:del>
          </w:p>
          <w:p w14:paraId="5A882DCA" w14:textId="7CB177D7" w:rsidR="00B112D4" w:rsidRPr="00183B5F" w:rsidRDefault="00943743" w:rsidP="00FE0197">
            <w:pPr>
              <w:pStyle w:val="gtctablespaceafter"/>
              <w:keepNext/>
              <w:spacing w:after="0"/>
              <w:jc w:val="center"/>
              <w:rPr>
                <w:del w:id="2194" w:author="AbbVie_HU_03" w:date="2025-05-14T15:27:00Z"/>
                <w:sz w:val="22"/>
                <w:szCs w:val="22"/>
                <w:lang w:val="hu-HU"/>
              </w:rPr>
            </w:pPr>
            <w:del w:id="2195" w:author="AbbVie_HU_03" w:date="2025-05-14T15:27:00Z">
              <w:r w:rsidRPr="00183B5F">
                <w:rPr>
                  <w:sz w:val="22"/>
                  <w:lang w:val="hu-HU"/>
                </w:rPr>
                <w:delText xml:space="preserve">40 mg kéthetente </w:delText>
              </w:r>
              <w:r w:rsidRPr="00183B5F">
                <w:rPr>
                  <w:sz w:val="22"/>
                  <w:lang w:val="hu-HU"/>
                </w:rPr>
                <w:br/>
                <w:delText>N</w:delText>
              </w:r>
              <w:r w:rsidR="00994AB3" w:rsidRPr="00183B5F">
                <w:rPr>
                  <w:sz w:val="22"/>
                  <w:lang w:val="hu-HU"/>
                </w:rPr>
                <w:delText> </w:delText>
              </w:r>
              <w:r w:rsidRPr="00183B5F">
                <w:rPr>
                  <w:sz w:val="22"/>
                  <w:lang w:val="hu-HU"/>
                </w:rPr>
                <w:delText>=</w:delText>
              </w:r>
              <w:r w:rsidR="00994AB3" w:rsidRPr="00183B5F">
                <w:rPr>
                  <w:sz w:val="22"/>
                  <w:lang w:val="hu-HU"/>
                </w:rPr>
                <w:delText> </w:delText>
              </w:r>
              <w:r w:rsidRPr="00183B5F">
                <w:rPr>
                  <w:sz w:val="22"/>
                  <w:lang w:val="hu-HU"/>
                </w:rPr>
                <w:delText>109</w:delText>
              </w:r>
            </w:del>
          </w:p>
        </w:tc>
        <w:tc>
          <w:tcPr>
            <w:tcW w:w="990" w:type="dxa"/>
          </w:tcPr>
          <w:p w14:paraId="35518EB4" w14:textId="4A76F425" w:rsidR="00B112D4" w:rsidRPr="00183B5F" w:rsidRDefault="00943743" w:rsidP="00FE0197">
            <w:pPr>
              <w:pStyle w:val="gtctablespaceafter"/>
              <w:keepNext/>
              <w:spacing w:after="0"/>
              <w:jc w:val="center"/>
              <w:rPr>
                <w:del w:id="2196" w:author="AbbVie_HU_03" w:date="2025-05-14T15:27:00Z"/>
                <w:sz w:val="22"/>
                <w:szCs w:val="22"/>
                <w:lang w:val="hu-HU"/>
              </w:rPr>
            </w:pPr>
            <w:del w:id="2197" w:author="AbbVie_HU_03" w:date="2025-05-14T15:27:00Z">
              <w:r w:rsidRPr="00183B5F">
                <w:rPr>
                  <w:sz w:val="22"/>
                  <w:lang w:val="hu-HU"/>
                </w:rPr>
                <w:delText>Placebo</w:delText>
              </w:r>
              <w:r w:rsidRPr="00183B5F">
                <w:rPr>
                  <w:sz w:val="22"/>
                  <w:lang w:val="hu-HU"/>
                </w:rPr>
                <w:br/>
                <w:delText>N</w:delText>
              </w:r>
              <w:r w:rsidR="00994AB3" w:rsidRPr="00183B5F">
                <w:rPr>
                  <w:sz w:val="22"/>
                  <w:lang w:val="hu-HU"/>
                </w:rPr>
                <w:delText> </w:delText>
              </w:r>
              <w:r w:rsidRPr="00183B5F">
                <w:rPr>
                  <w:sz w:val="22"/>
                  <w:lang w:val="hu-HU"/>
                </w:rPr>
                <w:delText>=</w:delText>
              </w:r>
              <w:r w:rsidR="00994AB3" w:rsidRPr="00183B5F">
                <w:rPr>
                  <w:sz w:val="22"/>
                  <w:lang w:val="hu-HU"/>
                </w:rPr>
                <w:delText> </w:delText>
              </w:r>
              <w:r w:rsidRPr="00183B5F">
                <w:rPr>
                  <w:sz w:val="22"/>
                  <w:lang w:val="hu-HU"/>
                </w:rPr>
                <w:delText>108</w:delText>
              </w:r>
            </w:del>
          </w:p>
        </w:tc>
        <w:tc>
          <w:tcPr>
            <w:tcW w:w="1260" w:type="dxa"/>
          </w:tcPr>
          <w:p w14:paraId="14DC4D96" w14:textId="02D7AF1D" w:rsidR="00B112D4" w:rsidRPr="00183B5F" w:rsidRDefault="00943743" w:rsidP="00FE0197">
            <w:pPr>
              <w:pStyle w:val="In-texttable"/>
              <w:spacing w:line="240" w:lineRule="auto"/>
              <w:jc w:val="center"/>
              <w:rPr>
                <w:del w:id="2198" w:author="AbbVie_HU_03" w:date="2025-05-14T15:27:00Z"/>
                <w:rFonts w:ascii="Times New Roman" w:hAnsi="Times New Roman"/>
                <w:sz w:val="22"/>
                <w:lang w:val="hu-HU"/>
              </w:rPr>
            </w:pPr>
            <w:del w:id="2199" w:author="AbbVie_HU_03" w:date="2025-05-14T15:27:00Z">
              <w:r w:rsidRPr="00183B5F">
                <w:rPr>
                  <w:rFonts w:ascii="Times New Roman" w:hAnsi="Times New Roman"/>
                  <w:sz w:val="22"/>
                  <w:lang w:val="hu-HU"/>
                </w:rPr>
                <w:delText>Humira</w:delText>
              </w:r>
            </w:del>
          </w:p>
          <w:p w14:paraId="62991DD3" w14:textId="15BD5954" w:rsidR="00B112D4" w:rsidRPr="00183B5F" w:rsidRDefault="00943743" w:rsidP="00FE0197">
            <w:pPr>
              <w:pStyle w:val="gtctablespaceafter"/>
              <w:keepNext/>
              <w:spacing w:after="0"/>
              <w:jc w:val="center"/>
              <w:rPr>
                <w:del w:id="2200" w:author="AbbVie_HU_03" w:date="2025-05-14T15:27:00Z"/>
                <w:sz w:val="22"/>
                <w:szCs w:val="22"/>
                <w:lang w:val="hu-HU"/>
              </w:rPr>
            </w:pPr>
            <w:del w:id="2201" w:author="AbbVie_HU_03" w:date="2025-05-14T15:27:00Z">
              <w:r w:rsidRPr="00183B5F">
                <w:rPr>
                  <w:sz w:val="22"/>
                  <w:lang w:val="hu-HU"/>
                </w:rPr>
                <w:delText xml:space="preserve">40 mg kéthetente </w:delText>
              </w:r>
              <w:r w:rsidRPr="00183B5F">
                <w:rPr>
                  <w:sz w:val="22"/>
                  <w:lang w:val="hu-HU"/>
                </w:rPr>
                <w:br/>
                <w:delText>N</w:delText>
              </w:r>
              <w:r w:rsidR="00994AB3" w:rsidRPr="00183B5F">
                <w:rPr>
                  <w:sz w:val="22"/>
                  <w:lang w:val="hu-HU"/>
                </w:rPr>
                <w:delText> </w:delText>
              </w:r>
              <w:r w:rsidRPr="00183B5F">
                <w:rPr>
                  <w:sz w:val="22"/>
                  <w:lang w:val="hu-HU"/>
                </w:rPr>
                <w:delText>=</w:delText>
              </w:r>
              <w:r w:rsidR="00994AB3" w:rsidRPr="00183B5F">
                <w:rPr>
                  <w:sz w:val="22"/>
                  <w:lang w:val="hu-HU"/>
                </w:rPr>
                <w:delText> </w:delText>
              </w:r>
              <w:r w:rsidRPr="00183B5F">
                <w:rPr>
                  <w:sz w:val="22"/>
                  <w:lang w:val="hu-HU"/>
                </w:rPr>
                <w:delText>109</w:delText>
              </w:r>
            </w:del>
          </w:p>
        </w:tc>
        <w:tc>
          <w:tcPr>
            <w:tcW w:w="2268" w:type="dxa"/>
          </w:tcPr>
          <w:p w14:paraId="271A198C" w14:textId="783AB0A3" w:rsidR="00B112D4" w:rsidRPr="00183B5F" w:rsidRDefault="00943743" w:rsidP="00FE0197">
            <w:pPr>
              <w:pStyle w:val="In-texttable"/>
              <w:spacing w:line="240" w:lineRule="auto"/>
              <w:jc w:val="center"/>
              <w:rPr>
                <w:del w:id="2202" w:author="AbbVie_HU_03" w:date="2025-05-14T15:27:00Z"/>
                <w:rFonts w:ascii="Times New Roman" w:hAnsi="Times New Roman"/>
                <w:sz w:val="22"/>
                <w:lang w:val="hu-HU"/>
              </w:rPr>
            </w:pPr>
            <w:del w:id="2203" w:author="AbbVie_HU_03" w:date="2025-05-14T15:27:00Z">
              <w:r w:rsidRPr="00183B5F">
                <w:rPr>
                  <w:rFonts w:ascii="Times New Roman" w:hAnsi="Times New Roman"/>
                  <w:sz w:val="22"/>
                  <w:lang w:val="hu-HU"/>
                </w:rPr>
                <w:delText>Humira</w:delText>
              </w:r>
            </w:del>
          </w:p>
          <w:p w14:paraId="2F52C6EF" w14:textId="45980049" w:rsidR="00B112D4" w:rsidRPr="00183B5F" w:rsidRDefault="00943743" w:rsidP="00FE0197">
            <w:pPr>
              <w:pStyle w:val="gtctablespaceafter"/>
              <w:keepNext/>
              <w:spacing w:after="0"/>
              <w:jc w:val="center"/>
              <w:rPr>
                <w:del w:id="2204" w:author="AbbVie_HU_03" w:date="2025-05-14T15:27:00Z"/>
                <w:sz w:val="22"/>
                <w:szCs w:val="22"/>
                <w:lang w:val="hu-HU"/>
              </w:rPr>
            </w:pPr>
            <w:del w:id="2205" w:author="AbbVie_HU_03" w:date="2025-05-14T15:27:00Z">
              <w:r w:rsidRPr="00183B5F">
                <w:rPr>
                  <w:sz w:val="22"/>
                  <w:lang w:val="hu-HU"/>
                </w:rPr>
                <w:delText xml:space="preserve">40 mg kéthetente </w:delText>
              </w:r>
              <w:r w:rsidRPr="00183B5F">
                <w:rPr>
                  <w:sz w:val="22"/>
                  <w:lang w:val="hu-HU"/>
                </w:rPr>
                <w:br/>
                <w:delText>N</w:delText>
              </w:r>
              <w:r w:rsidR="00994AB3" w:rsidRPr="00183B5F">
                <w:rPr>
                  <w:sz w:val="22"/>
                  <w:lang w:val="hu-HU"/>
                </w:rPr>
                <w:delText> </w:delText>
              </w:r>
              <w:r w:rsidRPr="00183B5F">
                <w:rPr>
                  <w:sz w:val="22"/>
                  <w:lang w:val="hu-HU"/>
                </w:rPr>
                <w:delText>=</w:delText>
              </w:r>
              <w:r w:rsidR="00994AB3" w:rsidRPr="00183B5F">
                <w:rPr>
                  <w:sz w:val="22"/>
                  <w:lang w:val="hu-HU"/>
                </w:rPr>
                <w:delText> </w:delText>
              </w:r>
              <w:r w:rsidRPr="00183B5F">
                <w:rPr>
                  <w:sz w:val="22"/>
                  <w:lang w:val="hu-HU"/>
                </w:rPr>
                <w:delText>80</w:delText>
              </w:r>
            </w:del>
          </w:p>
        </w:tc>
      </w:tr>
      <w:tr w:rsidR="00011D2F" w14:paraId="46C61796" w14:textId="5F5C0A63" w:rsidTr="00B112D4">
        <w:trPr>
          <w:del w:id="2206" w:author="AbbVie_HU_03" w:date="2025-05-14T15:27:00Z"/>
        </w:trPr>
        <w:tc>
          <w:tcPr>
            <w:tcW w:w="2718" w:type="dxa"/>
          </w:tcPr>
          <w:p w14:paraId="30644426" w14:textId="41E956A1" w:rsidR="00B112D4" w:rsidRPr="00183B5F" w:rsidRDefault="00943743" w:rsidP="00FE0197">
            <w:pPr>
              <w:pStyle w:val="gtctablespaceafter"/>
              <w:keepNext/>
              <w:spacing w:after="0"/>
              <w:rPr>
                <w:del w:id="2207" w:author="AbbVie_HU_03" w:date="2025-05-14T15:27:00Z"/>
                <w:sz w:val="22"/>
                <w:szCs w:val="22"/>
                <w:lang w:val="hu-HU"/>
              </w:rPr>
            </w:pPr>
            <w:del w:id="2208" w:author="AbbVie_HU_03" w:date="2025-05-14T15:27:00Z">
              <w:r w:rsidRPr="00183B5F">
                <w:rPr>
                  <w:sz w:val="22"/>
                  <w:lang w:val="hu-HU"/>
                </w:rPr>
                <w:delText>≥ mNAPSI 75 (%)</w:delText>
              </w:r>
            </w:del>
          </w:p>
        </w:tc>
        <w:tc>
          <w:tcPr>
            <w:tcW w:w="1080" w:type="dxa"/>
          </w:tcPr>
          <w:p w14:paraId="11974604" w14:textId="2398DD37" w:rsidR="00B112D4" w:rsidRPr="00183B5F" w:rsidRDefault="00943743" w:rsidP="00FE0197">
            <w:pPr>
              <w:pStyle w:val="gtctablespaceafter"/>
              <w:keepNext/>
              <w:spacing w:after="0"/>
              <w:jc w:val="center"/>
              <w:rPr>
                <w:del w:id="2209" w:author="AbbVie_HU_03" w:date="2025-05-14T15:27:00Z"/>
                <w:sz w:val="22"/>
                <w:szCs w:val="22"/>
                <w:lang w:val="hu-HU"/>
              </w:rPr>
            </w:pPr>
            <w:del w:id="2210" w:author="AbbVie_HU_03" w:date="2025-05-14T15:27:00Z">
              <w:r w:rsidRPr="00183B5F">
                <w:rPr>
                  <w:sz w:val="22"/>
                  <w:szCs w:val="22"/>
                  <w:lang w:val="hu-HU"/>
                </w:rPr>
                <w:delText>2,9</w:delText>
              </w:r>
            </w:del>
          </w:p>
        </w:tc>
        <w:tc>
          <w:tcPr>
            <w:tcW w:w="1260" w:type="dxa"/>
          </w:tcPr>
          <w:p w14:paraId="7365C39E" w14:textId="6B5C70C3" w:rsidR="00B112D4" w:rsidRPr="00183B5F" w:rsidRDefault="00943743" w:rsidP="00FE0197">
            <w:pPr>
              <w:pStyle w:val="gtctablespaceafter"/>
              <w:keepNext/>
              <w:spacing w:after="0"/>
              <w:jc w:val="center"/>
              <w:rPr>
                <w:del w:id="2211" w:author="AbbVie_HU_03" w:date="2025-05-14T15:27:00Z"/>
                <w:sz w:val="22"/>
                <w:szCs w:val="22"/>
                <w:lang w:val="hu-HU"/>
              </w:rPr>
            </w:pPr>
            <w:del w:id="2212" w:author="AbbVie_HU_03" w:date="2025-05-14T15:27:00Z">
              <w:r w:rsidRPr="00183B5F">
                <w:rPr>
                  <w:sz w:val="22"/>
                  <w:szCs w:val="22"/>
                  <w:lang w:val="hu-HU"/>
                </w:rPr>
                <w:delText>26,0</w:delText>
              </w:r>
              <w:r w:rsidRPr="00183B5F">
                <w:rPr>
                  <w:sz w:val="22"/>
                  <w:szCs w:val="22"/>
                  <w:vertAlign w:val="superscript"/>
                  <w:lang w:val="hu-HU"/>
                </w:rPr>
                <w:delText>a</w:delText>
              </w:r>
            </w:del>
          </w:p>
        </w:tc>
        <w:tc>
          <w:tcPr>
            <w:tcW w:w="990" w:type="dxa"/>
          </w:tcPr>
          <w:p w14:paraId="220E7F22" w14:textId="54030C13" w:rsidR="00B112D4" w:rsidRPr="00183B5F" w:rsidRDefault="00943743" w:rsidP="00FE0197">
            <w:pPr>
              <w:keepNext/>
              <w:spacing w:line="240" w:lineRule="auto"/>
              <w:jc w:val="center"/>
              <w:rPr>
                <w:del w:id="2213" w:author="AbbVie_HU_03" w:date="2025-05-14T15:27:00Z"/>
                <w:szCs w:val="22"/>
              </w:rPr>
            </w:pPr>
            <w:del w:id="2214" w:author="AbbVie_HU_03" w:date="2025-05-14T15:27:00Z">
              <w:r w:rsidRPr="00183B5F">
                <w:rPr>
                  <w:szCs w:val="22"/>
                </w:rPr>
                <w:delText>3,4</w:delText>
              </w:r>
            </w:del>
          </w:p>
        </w:tc>
        <w:tc>
          <w:tcPr>
            <w:tcW w:w="1260" w:type="dxa"/>
          </w:tcPr>
          <w:p w14:paraId="21300336" w14:textId="69CC64D4" w:rsidR="00B112D4" w:rsidRPr="00183B5F" w:rsidRDefault="00943743" w:rsidP="00FE0197">
            <w:pPr>
              <w:keepNext/>
              <w:spacing w:line="240" w:lineRule="auto"/>
              <w:jc w:val="center"/>
              <w:rPr>
                <w:del w:id="2215" w:author="AbbVie_HU_03" w:date="2025-05-14T15:27:00Z"/>
                <w:szCs w:val="22"/>
              </w:rPr>
            </w:pPr>
            <w:del w:id="2216" w:author="AbbVie_HU_03" w:date="2025-05-14T15:27:00Z">
              <w:r w:rsidRPr="00183B5F">
                <w:rPr>
                  <w:szCs w:val="22"/>
                </w:rPr>
                <w:delText>46,6</w:delText>
              </w:r>
              <w:r w:rsidRPr="00183B5F">
                <w:rPr>
                  <w:szCs w:val="22"/>
                  <w:vertAlign w:val="superscript"/>
                </w:rPr>
                <w:delText>a</w:delText>
              </w:r>
            </w:del>
          </w:p>
        </w:tc>
        <w:tc>
          <w:tcPr>
            <w:tcW w:w="2268" w:type="dxa"/>
          </w:tcPr>
          <w:p w14:paraId="49F7E983" w14:textId="2DE90470" w:rsidR="00B112D4" w:rsidRPr="00183B5F" w:rsidRDefault="00943743" w:rsidP="00FE0197">
            <w:pPr>
              <w:pStyle w:val="gtctablespaceafter"/>
              <w:keepNext/>
              <w:spacing w:after="0"/>
              <w:jc w:val="center"/>
              <w:rPr>
                <w:del w:id="2217" w:author="AbbVie_HU_03" w:date="2025-05-14T15:27:00Z"/>
                <w:sz w:val="22"/>
                <w:szCs w:val="22"/>
                <w:lang w:val="hu-HU"/>
              </w:rPr>
            </w:pPr>
            <w:del w:id="2218" w:author="AbbVie_HU_03" w:date="2025-05-14T15:27:00Z">
              <w:r w:rsidRPr="00183B5F">
                <w:rPr>
                  <w:sz w:val="22"/>
                  <w:szCs w:val="22"/>
                  <w:lang w:val="hu-HU"/>
                </w:rPr>
                <w:delText>65,0</w:delText>
              </w:r>
            </w:del>
          </w:p>
        </w:tc>
      </w:tr>
      <w:tr w:rsidR="00011D2F" w14:paraId="07F91395" w14:textId="509E4AC6" w:rsidTr="00B112D4">
        <w:trPr>
          <w:del w:id="2219" w:author="AbbVie_HU_03" w:date="2025-05-14T15:27:00Z"/>
        </w:trPr>
        <w:tc>
          <w:tcPr>
            <w:tcW w:w="2718" w:type="dxa"/>
          </w:tcPr>
          <w:p w14:paraId="3883BCE5" w14:textId="122ABA23" w:rsidR="00B112D4" w:rsidRPr="00183B5F" w:rsidRDefault="00943743" w:rsidP="00FE0197">
            <w:pPr>
              <w:pStyle w:val="gtctablespaceafter"/>
              <w:keepNext/>
              <w:spacing w:after="0"/>
              <w:rPr>
                <w:del w:id="2220" w:author="AbbVie_HU_03" w:date="2025-05-14T15:27:00Z"/>
                <w:sz w:val="22"/>
                <w:szCs w:val="22"/>
                <w:lang w:val="hu-HU"/>
              </w:rPr>
            </w:pPr>
            <w:del w:id="2221" w:author="AbbVie_HU_03" w:date="2025-05-14T15:27:00Z">
              <w:r w:rsidRPr="00183B5F">
                <w:rPr>
                  <w:sz w:val="22"/>
                  <w:szCs w:val="22"/>
                  <w:lang w:val="hu-HU"/>
                </w:rPr>
                <w:delText>PGA-F tiszta/minimális és ≥2</w:delText>
              </w:r>
              <w:r w:rsidR="004E5E6A" w:rsidRPr="00183B5F">
                <w:rPr>
                  <w:sz w:val="22"/>
                  <w:szCs w:val="22"/>
                  <w:lang w:val="hu-HU"/>
                </w:rPr>
                <w:delText xml:space="preserve"> </w:delText>
              </w:r>
              <w:r w:rsidRPr="00183B5F">
                <w:rPr>
                  <w:sz w:val="22"/>
                  <w:szCs w:val="22"/>
                  <w:lang w:val="hu-HU"/>
                </w:rPr>
                <w:delText>fokozatú javulás (%)</w:delText>
              </w:r>
            </w:del>
          </w:p>
        </w:tc>
        <w:tc>
          <w:tcPr>
            <w:tcW w:w="1080" w:type="dxa"/>
          </w:tcPr>
          <w:p w14:paraId="30F26A25" w14:textId="33233247" w:rsidR="00B112D4" w:rsidRPr="00183B5F" w:rsidRDefault="00943743" w:rsidP="00FE0197">
            <w:pPr>
              <w:pStyle w:val="gtctablespaceafter"/>
              <w:keepNext/>
              <w:spacing w:after="0"/>
              <w:jc w:val="center"/>
              <w:rPr>
                <w:del w:id="2222" w:author="AbbVie_HU_03" w:date="2025-05-14T15:27:00Z"/>
                <w:sz w:val="22"/>
                <w:szCs w:val="22"/>
                <w:lang w:val="hu-HU"/>
              </w:rPr>
            </w:pPr>
            <w:del w:id="2223" w:author="AbbVie_HU_03" w:date="2025-05-14T15:27:00Z">
              <w:r w:rsidRPr="00183B5F">
                <w:rPr>
                  <w:sz w:val="22"/>
                  <w:szCs w:val="22"/>
                  <w:lang w:val="hu-HU"/>
                </w:rPr>
                <w:delText>2,9</w:delText>
              </w:r>
            </w:del>
          </w:p>
        </w:tc>
        <w:tc>
          <w:tcPr>
            <w:tcW w:w="1260" w:type="dxa"/>
          </w:tcPr>
          <w:p w14:paraId="5EDED5D2" w14:textId="2D0BEEF3" w:rsidR="00B112D4" w:rsidRPr="00183B5F" w:rsidRDefault="00943743" w:rsidP="00FE0197">
            <w:pPr>
              <w:pStyle w:val="gtctablespaceafter"/>
              <w:keepNext/>
              <w:spacing w:after="0"/>
              <w:jc w:val="center"/>
              <w:rPr>
                <w:del w:id="2224" w:author="AbbVie_HU_03" w:date="2025-05-14T15:27:00Z"/>
                <w:sz w:val="22"/>
                <w:szCs w:val="22"/>
                <w:lang w:val="hu-HU"/>
              </w:rPr>
            </w:pPr>
            <w:del w:id="2225" w:author="AbbVie_HU_03" w:date="2025-05-14T15:27:00Z">
              <w:r w:rsidRPr="00183B5F">
                <w:rPr>
                  <w:sz w:val="22"/>
                  <w:szCs w:val="22"/>
                  <w:lang w:val="hu-HU"/>
                </w:rPr>
                <w:delText>29,7</w:delText>
              </w:r>
              <w:r w:rsidRPr="00183B5F">
                <w:rPr>
                  <w:sz w:val="22"/>
                  <w:szCs w:val="22"/>
                  <w:vertAlign w:val="superscript"/>
                  <w:lang w:val="hu-HU"/>
                </w:rPr>
                <w:delText>a</w:delText>
              </w:r>
            </w:del>
          </w:p>
        </w:tc>
        <w:tc>
          <w:tcPr>
            <w:tcW w:w="990" w:type="dxa"/>
          </w:tcPr>
          <w:p w14:paraId="25BDC4F7" w14:textId="06CA74A0" w:rsidR="00B112D4" w:rsidRPr="00183B5F" w:rsidRDefault="00943743" w:rsidP="00FE0197">
            <w:pPr>
              <w:keepNext/>
              <w:spacing w:line="240" w:lineRule="auto"/>
              <w:jc w:val="center"/>
              <w:rPr>
                <w:del w:id="2226" w:author="AbbVie_HU_03" w:date="2025-05-14T15:27:00Z"/>
                <w:szCs w:val="22"/>
              </w:rPr>
            </w:pPr>
            <w:del w:id="2227" w:author="AbbVie_HU_03" w:date="2025-05-14T15:27:00Z">
              <w:r w:rsidRPr="00183B5F">
                <w:rPr>
                  <w:szCs w:val="22"/>
                </w:rPr>
                <w:delText>6,9</w:delText>
              </w:r>
            </w:del>
          </w:p>
        </w:tc>
        <w:tc>
          <w:tcPr>
            <w:tcW w:w="1260" w:type="dxa"/>
          </w:tcPr>
          <w:p w14:paraId="7C39EBE1" w14:textId="3E62BF64" w:rsidR="00B112D4" w:rsidRPr="00183B5F" w:rsidRDefault="00943743" w:rsidP="00FE0197">
            <w:pPr>
              <w:keepNext/>
              <w:spacing w:line="240" w:lineRule="auto"/>
              <w:jc w:val="center"/>
              <w:rPr>
                <w:del w:id="2228" w:author="AbbVie_HU_03" w:date="2025-05-14T15:27:00Z"/>
                <w:szCs w:val="22"/>
              </w:rPr>
            </w:pPr>
            <w:del w:id="2229" w:author="AbbVie_HU_03" w:date="2025-05-14T15:27:00Z">
              <w:r w:rsidRPr="00183B5F">
                <w:rPr>
                  <w:szCs w:val="22"/>
                </w:rPr>
                <w:delText>48,9</w:delText>
              </w:r>
              <w:r w:rsidRPr="00183B5F">
                <w:rPr>
                  <w:szCs w:val="22"/>
                  <w:vertAlign w:val="superscript"/>
                </w:rPr>
                <w:delText>a</w:delText>
              </w:r>
            </w:del>
          </w:p>
        </w:tc>
        <w:tc>
          <w:tcPr>
            <w:tcW w:w="2268" w:type="dxa"/>
          </w:tcPr>
          <w:p w14:paraId="551B00C3" w14:textId="769F1966" w:rsidR="00B112D4" w:rsidRPr="00183B5F" w:rsidRDefault="00943743" w:rsidP="00FE0197">
            <w:pPr>
              <w:pStyle w:val="gtctablespaceafter"/>
              <w:keepNext/>
              <w:spacing w:after="0"/>
              <w:jc w:val="center"/>
              <w:rPr>
                <w:del w:id="2230" w:author="AbbVie_HU_03" w:date="2025-05-14T15:27:00Z"/>
                <w:sz w:val="22"/>
                <w:szCs w:val="22"/>
                <w:lang w:val="hu-HU"/>
              </w:rPr>
            </w:pPr>
            <w:del w:id="2231" w:author="AbbVie_HU_03" w:date="2025-05-14T15:27:00Z">
              <w:r w:rsidRPr="00183B5F">
                <w:rPr>
                  <w:sz w:val="22"/>
                  <w:szCs w:val="22"/>
                  <w:lang w:val="hu-HU"/>
                </w:rPr>
                <w:delText>61,3</w:delText>
              </w:r>
            </w:del>
          </w:p>
        </w:tc>
      </w:tr>
      <w:tr w:rsidR="00011D2F" w14:paraId="21CBAA55" w14:textId="1547B10D" w:rsidTr="00B112D4">
        <w:trPr>
          <w:del w:id="2232" w:author="AbbVie_HU_03" w:date="2025-05-14T15:27:00Z"/>
        </w:trPr>
        <w:tc>
          <w:tcPr>
            <w:tcW w:w="2718" w:type="dxa"/>
          </w:tcPr>
          <w:p w14:paraId="7970ED54" w14:textId="2B809CFE" w:rsidR="00B112D4" w:rsidRPr="00183B5F" w:rsidRDefault="00943743" w:rsidP="00FE0197">
            <w:pPr>
              <w:pStyle w:val="gtctablespaceafter"/>
              <w:keepNext/>
              <w:spacing w:after="0"/>
              <w:rPr>
                <w:del w:id="2233" w:author="AbbVie_HU_03" w:date="2025-05-14T15:27:00Z"/>
                <w:sz w:val="22"/>
                <w:szCs w:val="22"/>
                <w:lang w:val="hu-HU"/>
              </w:rPr>
            </w:pPr>
            <w:del w:id="2234" w:author="AbbVie_HU_03" w:date="2025-05-14T15:27:00Z">
              <w:r w:rsidRPr="00183B5F">
                <w:rPr>
                  <w:sz w:val="22"/>
                  <w:szCs w:val="22"/>
                  <w:lang w:val="hu-HU"/>
                </w:rPr>
                <w:delText>Teljes köröm NAPSI százalékos változása (%)</w:delText>
              </w:r>
            </w:del>
          </w:p>
        </w:tc>
        <w:tc>
          <w:tcPr>
            <w:tcW w:w="1080" w:type="dxa"/>
          </w:tcPr>
          <w:p w14:paraId="7C4DA42D" w14:textId="0ABD64D9" w:rsidR="00B112D4" w:rsidRPr="00183B5F" w:rsidRDefault="00943743" w:rsidP="00FE0197">
            <w:pPr>
              <w:pStyle w:val="gtctablespaceafter"/>
              <w:keepNext/>
              <w:spacing w:after="0"/>
              <w:jc w:val="center"/>
              <w:rPr>
                <w:del w:id="2235" w:author="AbbVie_HU_03" w:date="2025-05-14T15:27:00Z"/>
                <w:sz w:val="22"/>
                <w:szCs w:val="22"/>
                <w:lang w:val="hu-HU"/>
              </w:rPr>
            </w:pPr>
            <w:del w:id="2236" w:author="AbbVie_HU_03" w:date="2025-05-14T15:27:00Z">
              <w:r w:rsidRPr="00183B5F">
                <w:rPr>
                  <w:sz w:val="22"/>
                  <w:szCs w:val="22"/>
                  <w:lang w:val="hu-HU"/>
                </w:rPr>
                <w:delText>-7,8</w:delText>
              </w:r>
            </w:del>
          </w:p>
        </w:tc>
        <w:tc>
          <w:tcPr>
            <w:tcW w:w="1260" w:type="dxa"/>
          </w:tcPr>
          <w:p w14:paraId="49A04B82" w14:textId="4A394761" w:rsidR="00B112D4" w:rsidRPr="00183B5F" w:rsidRDefault="00943743" w:rsidP="00FE0197">
            <w:pPr>
              <w:pStyle w:val="gtctablespaceafter"/>
              <w:keepNext/>
              <w:spacing w:after="0"/>
              <w:jc w:val="center"/>
              <w:rPr>
                <w:del w:id="2237" w:author="AbbVie_HU_03" w:date="2025-05-14T15:27:00Z"/>
                <w:sz w:val="22"/>
                <w:szCs w:val="22"/>
                <w:lang w:val="hu-HU"/>
              </w:rPr>
            </w:pPr>
            <w:del w:id="2238" w:author="AbbVie_HU_03" w:date="2025-05-14T15:27:00Z">
              <w:r w:rsidRPr="00183B5F">
                <w:rPr>
                  <w:sz w:val="22"/>
                  <w:szCs w:val="22"/>
                  <w:lang w:val="hu-HU"/>
                </w:rPr>
                <w:delText>-44,2</w:delText>
              </w:r>
              <w:r w:rsidRPr="00183B5F">
                <w:rPr>
                  <w:sz w:val="22"/>
                  <w:szCs w:val="22"/>
                  <w:vertAlign w:val="superscript"/>
                  <w:lang w:val="hu-HU"/>
                </w:rPr>
                <w:delText xml:space="preserve"> a</w:delText>
              </w:r>
            </w:del>
          </w:p>
        </w:tc>
        <w:tc>
          <w:tcPr>
            <w:tcW w:w="990" w:type="dxa"/>
          </w:tcPr>
          <w:p w14:paraId="257D8921" w14:textId="0E634394" w:rsidR="00B112D4" w:rsidRPr="00183B5F" w:rsidRDefault="00943743" w:rsidP="00FE0197">
            <w:pPr>
              <w:keepNext/>
              <w:spacing w:line="240" w:lineRule="auto"/>
              <w:jc w:val="center"/>
              <w:rPr>
                <w:del w:id="2239" w:author="AbbVie_HU_03" w:date="2025-05-14T15:27:00Z"/>
                <w:szCs w:val="22"/>
              </w:rPr>
            </w:pPr>
            <w:del w:id="2240" w:author="AbbVie_HU_03" w:date="2025-05-14T15:27:00Z">
              <w:r w:rsidRPr="00183B5F">
                <w:rPr>
                  <w:szCs w:val="22"/>
                </w:rPr>
                <w:delText>-11,5</w:delText>
              </w:r>
            </w:del>
          </w:p>
        </w:tc>
        <w:tc>
          <w:tcPr>
            <w:tcW w:w="1260" w:type="dxa"/>
          </w:tcPr>
          <w:p w14:paraId="5C0274BA" w14:textId="488DD89F" w:rsidR="00B112D4" w:rsidRPr="00183B5F" w:rsidRDefault="00943743" w:rsidP="00FE0197">
            <w:pPr>
              <w:keepNext/>
              <w:spacing w:line="240" w:lineRule="auto"/>
              <w:jc w:val="center"/>
              <w:rPr>
                <w:del w:id="2241" w:author="AbbVie_HU_03" w:date="2025-05-14T15:27:00Z"/>
                <w:szCs w:val="22"/>
              </w:rPr>
            </w:pPr>
            <w:del w:id="2242" w:author="AbbVie_HU_03" w:date="2025-05-14T15:27:00Z">
              <w:r w:rsidRPr="00183B5F">
                <w:rPr>
                  <w:szCs w:val="22"/>
                </w:rPr>
                <w:delText>-56,2</w:delText>
              </w:r>
              <w:r w:rsidRPr="00183B5F">
                <w:rPr>
                  <w:szCs w:val="22"/>
                  <w:vertAlign w:val="superscript"/>
                </w:rPr>
                <w:delText>a</w:delText>
              </w:r>
            </w:del>
          </w:p>
        </w:tc>
        <w:tc>
          <w:tcPr>
            <w:tcW w:w="2268" w:type="dxa"/>
          </w:tcPr>
          <w:p w14:paraId="6544F72F" w14:textId="3F1B4C37" w:rsidR="00B112D4" w:rsidRPr="00183B5F" w:rsidRDefault="00943743" w:rsidP="00FE0197">
            <w:pPr>
              <w:pStyle w:val="gtctablespaceafter"/>
              <w:keepNext/>
              <w:spacing w:after="0"/>
              <w:jc w:val="center"/>
              <w:rPr>
                <w:del w:id="2243" w:author="AbbVie_HU_03" w:date="2025-05-14T15:27:00Z"/>
                <w:sz w:val="22"/>
                <w:szCs w:val="22"/>
                <w:lang w:val="hu-HU"/>
              </w:rPr>
            </w:pPr>
            <w:del w:id="2244" w:author="AbbVie_HU_03" w:date="2025-05-14T15:27:00Z">
              <w:r w:rsidRPr="00183B5F">
                <w:rPr>
                  <w:sz w:val="22"/>
                  <w:szCs w:val="22"/>
                  <w:lang w:val="hu-HU"/>
                </w:rPr>
                <w:delText>-72,2</w:delText>
              </w:r>
            </w:del>
          </w:p>
        </w:tc>
      </w:tr>
      <w:tr w:rsidR="00011D2F" w14:paraId="75965C66" w14:textId="7C08721C" w:rsidTr="00B112D4">
        <w:trPr>
          <w:del w:id="2245" w:author="AbbVie_HU_03" w:date="2025-05-14T15:27:00Z"/>
        </w:trPr>
        <w:tc>
          <w:tcPr>
            <w:tcW w:w="9576" w:type="dxa"/>
            <w:gridSpan w:val="6"/>
          </w:tcPr>
          <w:p w14:paraId="1D5233B5" w14:textId="4CBFFAE1" w:rsidR="00B112D4" w:rsidRPr="00183B5F" w:rsidRDefault="00943743">
            <w:pPr>
              <w:pStyle w:val="gtctablespaceafter"/>
              <w:spacing w:after="0"/>
              <w:rPr>
                <w:del w:id="2246" w:author="AbbVie_HU_03" w:date="2025-05-14T15:27:00Z"/>
                <w:sz w:val="22"/>
                <w:szCs w:val="22"/>
                <w:lang w:val="hu-HU"/>
              </w:rPr>
            </w:pPr>
            <w:del w:id="2247" w:author="AbbVie_HU_03" w:date="2025-05-14T15:27:00Z">
              <w:r w:rsidRPr="00183B5F">
                <w:rPr>
                  <w:sz w:val="22"/>
                  <w:szCs w:val="22"/>
                  <w:vertAlign w:val="superscript"/>
                  <w:lang w:val="hu-HU"/>
                </w:rPr>
                <w:delText>a</w:delText>
              </w:r>
              <w:r w:rsidRPr="00183B5F">
                <w:rPr>
                  <w:sz w:val="22"/>
                  <w:szCs w:val="22"/>
                  <w:lang w:val="hu-HU"/>
                </w:rPr>
                <w:delText xml:space="preserve"> p&lt;0,001, Humira </w:delText>
              </w:r>
              <w:r w:rsidRPr="00183B5F">
                <w:rPr>
                  <w:i/>
                  <w:sz w:val="22"/>
                  <w:szCs w:val="22"/>
                  <w:lang w:val="hu-HU"/>
                </w:rPr>
                <w:delText>vs.</w:delText>
              </w:r>
              <w:r w:rsidRPr="00183B5F">
                <w:rPr>
                  <w:sz w:val="22"/>
                  <w:szCs w:val="22"/>
                  <w:lang w:val="hu-HU"/>
                </w:rPr>
                <w:delText xml:space="preserve"> placebo </w:delText>
              </w:r>
            </w:del>
          </w:p>
        </w:tc>
      </w:tr>
    </w:tbl>
    <w:p w14:paraId="2463B75B" w14:textId="6B0E9D59" w:rsidR="00B112D4" w:rsidRPr="00183B5F" w:rsidRDefault="00B112D4">
      <w:pPr>
        <w:pStyle w:val="gtctablespaceafter"/>
        <w:spacing w:after="0"/>
        <w:rPr>
          <w:del w:id="2248" w:author="AbbVie_HU_03" w:date="2025-05-14T15:27:00Z"/>
          <w:sz w:val="22"/>
          <w:szCs w:val="22"/>
          <w:lang w:val="hu-HU"/>
        </w:rPr>
      </w:pPr>
    </w:p>
    <w:p w14:paraId="207DF31B" w14:textId="689DF2C2" w:rsidR="00B112D4" w:rsidRPr="00183B5F" w:rsidRDefault="00943743">
      <w:pPr>
        <w:pStyle w:val="EMEANormal"/>
        <w:rPr>
          <w:del w:id="2249" w:author="AbbVie_HU_03" w:date="2025-05-14T15:27:00Z"/>
          <w:szCs w:val="22"/>
          <w:lang w:val="hu-HU"/>
        </w:rPr>
      </w:pPr>
      <w:del w:id="2250" w:author="AbbVie_HU_03" w:date="2025-05-14T15:27:00Z">
        <w:r w:rsidRPr="00183B5F">
          <w:rPr>
            <w:szCs w:val="22"/>
            <w:lang w:val="hu-HU"/>
          </w:rPr>
          <w:delText>A Humira</w:delText>
        </w:r>
        <w:r w:rsidR="00160AD5" w:rsidRPr="00183B5F">
          <w:rPr>
            <w:szCs w:val="22"/>
            <w:lang w:val="hu-HU"/>
          </w:rPr>
          <w:noBreakHyphen/>
        </w:r>
        <w:r w:rsidRPr="00183B5F">
          <w:rPr>
            <w:szCs w:val="22"/>
            <w:lang w:val="hu-HU"/>
          </w:rPr>
          <w:delText xml:space="preserve">val kezelt betegeknél a bőrgyógyászati életminőségi index (DLQI) statisztikailag szignifikáns javulást mutatott a 26. héten a placebóhoz képest. </w:delText>
        </w:r>
      </w:del>
    </w:p>
    <w:p w14:paraId="1AE40C82" w14:textId="0E76EFDF" w:rsidR="00F3609A" w:rsidRPr="00183B5F" w:rsidRDefault="00F3609A">
      <w:pPr>
        <w:pStyle w:val="EMEANormal"/>
        <w:rPr>
          <w:del w:id="2251" w:author="AbbVie_HU_03" w:date="2025-05-14T15:27:00Z"/>
          <w:i/>
          <w:szCs w:val="22"/>
          <w:lang w:val="hu-HU"/>
        </w:rPr>
      </w:pPr>
    </w:p>
    <w:p w14:paraId="39C08575" w14:textId="1E72BEA8" w:rsidR="00F3609A" w:rsidRPr="00183B5F" w:rsidRDefault="00943743">
      <w:pPr>
        <w:pStyle w:val="EMEANormal"/>
        <w:rPr>
          <w:del w:id="2252" w:author="AbbVie_HU_03" w:date="2025-05-14T15:27:00Z"/>
          <w:i/>
          <w:szCs w:val="22"/>
          <w:lang w:val="hu-HU"/>
        </w:rPr>
      </w:pPr>
      <w:del w:id="2253" w:author="AbbVie_HU_03" w:date="2025-05-14T15:27:00Z">
        <w:r w:rsidRPr="00183B5F">
          <w:rPr>
            <w:i/>
            <w:szCs w:val="22"/>
            <w:lang w:val="hu-HU"/>
          </w:rPr>
          <w:delText>Felnőtt</w:delText>
        </w:r>
        <w:r w:rsidR="00595C21" w:rsidRPr="00183B5F">
          <w:rPr>
            <w:i/>
            <w:szCs w:val="22"/>
            <w:lang w:val="hu-HU"/>
          </w:rPr>
          <w:delText>kori</w:delText>
        </w:r>
        <w:r w:rsidRPr="00183B5F">
          <w:rPr>
            <w:i/>
            <w:szCs w:val="22"/>
            <w:lang w:val="hu-HU"/>
          </w:rPr>
          <w:delText xml:space="preserve"> hidradenitis suppurativa</w:delText>
        </w:r>
      </w:del>
    </w:p>
    <w:p w14:paraId="29CCB61E" w14:textId="3308F917" w:rsidR="004C3E02" w:rsidRPr="00183B5F" w:rsidRDefault="004C3E02">
      <w:pPr>
        <w:pStyle w:val="EMEANormal"/>
        <w:rPr>
          <w:del w:id="2254" w:author="AbbVie_HU_03" w:date="2025-05-14T15:27:00Z"/>
          <w:szCs w:val="22"/>
          <w:lang w:val="hu-HU"/>
        </w:rPr>
      </w:pPr>
    </w:p>
    <w:p w14:paraId="2D7363DB" w14:textId="605A72D4" w:rsidR="004C3E02" w:rsidRPr="00183B5F" w:rsidRDefault="00943743" w:rsidP="004062FE">
      <w:pPr>
        <w:spacing w:line="240" w:lineRule="auto"/>
        <w:rPr>
          <w:del w:id="2255" w:author="AbbVie_HU_03" w:date="2025-05-14T15:27:00Z"/>
          <w:szCs w:val="22"/>
        </w:rPr>
      </w:pPr>
      <w:del w:id="2256" w:author="AbbVie_HU_03" w:date="2025-05-14T15:27:00Z">
        <w:r w:rsidRPr="00183B5F">
          <w:rPr>
            <w:szCs w:val="22"/>
          </w:rPr>
          <w:delText xml:space="preserve">A Humira biztonságosságát és hatásosságát olyan közepesen súlyos </w:delText>
        </w:r>
        <w:r w:rsidR="002C1F5C" w:rsidRPr="00183B5F">
          <w:rPr>
            <w:szCs w:val="22"/>
          </w:rPr>
          <w:delText>–</w:delText>
        </w:r>
        <w:r w:rsidRPr="00183B5F">
          <w:rPr>
            <w:szCs w:val="22"/>
          </w:rPr>
          <w:delText xml:space="preserve"> súlyos aktivitású hidradenitis suppurativában (HS) szenvedő felnőtt betegeknél értékelték randomizált, </w:delText>
        </w:r>
        <w:r w:rsidR="00E5381A" w:rsidRPr="00183B5F">
          <w:rPr>
            <w:szCs w:val="22"/>
          </w:rPr>
          <w:delText>kettős vak</w:delText>
        </w:r>
        <w:r w:rsidRPr="00183B5F">
          <w:rPr>
            <w:szCs w:val="22"/>
          </w:rPr>
          <w:delText>, placebokontrollos vizsgálat</w:delText>
        </w:r>
        <w:r w:rsidR="005949DF" w:rsidRPr="00183B5F">
          <w:rPr>
            <w:szCs w:val="22"/>
          </w:rPr>
          <w:delText>okkal és egy nyílt kiterjesztéses vizsgálat</w:delText>
        </w:r>
        <w:r w:rsidRPr="00183B5F">
          <w:rPr>
            <w:szCs w:val="22"/>
          </w:rPr>
          <w:delText xml:space="preserve">tal, akik a 3 hónapos szisztémás antibiotikum kezelést nem tolerálták, ellenjavallt volt náluk, vagy nem adtak </w:delText>
        </w:r>
        <w:r w:rsidR="00AA4185" w:rsidRPr="00183B5F">
          <w:rPr>
            <w:szCs w:val="22"/>
          </w:rPr>
          <w:delText>megfelelő</w:delText>
        </w:r>
        <w:r w:rsidRPr="00183B5F">
          <w:rPr>
            <w:szCs w:val="22"/>
          </w:rPr>
          <w:delText xml:space="preserve"> választ. A HS</w:delText>
        </w:r>
        <w:r w:rsidRPr="00183B5F">
          <w:rPr>
            <w:szCs w:val="22"/>
          </w:rPr>
          <w:noBreakHyphen/>
          <w:delText>I és H</w:delText>
        </w:r>
        <w:r w:rsidR="005949DF" w:rsidRPr="00183B5F">
          <w:rPr>
            <w:szCs w:val="22"/>
          </w:rPr>
          <w:delText>S</w:delText>
        </w:r>
        <w:r w:rsidRPr="00183B5F">
          <w:rPr>
            <w:szCs w:val="22"/>
          </w:rPr>
          <w:noBreakHyphen/>
          <w:delText>II</w:delText>
        </w:r>
        <w:r w:rsidRPr="00183B5F">
          <w:rPr>
            <w:szCs w:val="22"/>
          </w:rPr>
          <w:noBreakHyphen/>
          <w:delText>es betegeknek legalább 3 tályoggal vagy gyulladásos csomóval járó Hurley Stage II vagy Hurley Stage III stádiumú betegségük</w:delText>
        </w:r>
        <w:r w:rsidR="00AA4185" w:rsidRPr="00183B5F">
          <w:rPr>
            <w:szCs w:val="22"/>
          </w:rPr>
          <w:delText xml:space="preserve"> </w:delText>
        </w:r>
        <w:r w:rsidRPr="00183B5F">
          <w:rPr>
            <w:szCs w:val="22"/>
          </w:rPr>
          <w:delText>volt.</w:delText>
        </w:r>
      </w:del>
    </w:p>
    <w:p w14:paraId="3ECAA2EC" w14:textId="08F408C9" w:rsidR="004C3E02" w:rsidRPr="00183B5F" w:rsidRDefault="004C3E02" w:rsidP="004062FE">
      <w:pPr>
        <w:spacing w:line="240" w:lineRule="auto"/>
        <w:rPr>
          <w:del w:id="2257" w:author="AbbVie_HU_03" w:date="2025-05-14T15:27:00Z"/>
          <w:szCs w:val="22"/>
        </w:rPr>
      </w:pPr>
    </w:p>
    <w:p w14:paraId="7ED913D1" w14:textId="1D6D1FA7" w:rsidR="004C3E02" w:rsidRPr="00183B5F" w:rsidRDefault="00943743" w:rsidP="004062FE">
      <w:pPr>
        <w:spacing w:line="240" w:lineRule="auto"/>
        <w:rPr>
          <w:del w:id="2258" w:author="AbbVie_HU_03" w:date="2025-05-14T15:27:00Z"/>
          <w:color w:val="000000"/>
        </w:rPr>
      </w:pPr>
      <w:del w:id="2259" w:author="AbbVie_HU_03" w:date="2025-05-14T15:27:00Z">
        <w:r w:rsidRPr="00183B5F">
          <w:rPr>
            <w:szCs w:val="22"/>
          </w:rPr>
          <w:delText>A HS</w:delText>
        </w:r>
        <w:r w:rsidRPr="00183B5F">
          <w:rPr>
            <w:szCs w:val="22"/>
          </w:rPr>
          <w:noBreakHyphen/>
          <w:delText>I vizsgálat (PIONEER I) 307 beteget értékelt 2 kezelési periódusban. Az A periódusban a betegek 160 mg telítő dózisú placebót vagy Humira</w:delText>
        </w:r>
        <w:r w:rsidRPr="00183B5F">
          <w:rPr>
            <w:szCs w:val="22"/>
          </w:rPr>
          <w:noBreakHyphen/>
          <w:delText>t kaptak a 0. héten, 80 mg</w:delText>
        </w:r>
        <w:r w:rsidRPr="00183B5F">
          <w:rPr>
            <w:szCs w:val="22"/>
          </w:rPr>
          <w:noBreakHyphen/>
          <w:delText>ot a 2. héten és 40 mg</w:delText>
        </w:r>
        <w:r w:rsidRPr="00183B5F">
          <w:rPr>
            <w:szCs w:val="22"/>
          </w:rPr>
          <w:noBreakHyphen/>
          <w:delText>ot minden héten a 4</w:delText>
        </w:r>
        <w:r w:rsidRPr="00183B5F">
          <w:rPr>
            <w:szCs w:val="22"/>
          </w:rPr>
          <w:noBreakHyphen/>
          <w:delText>11. hétig. A vizsgálat alatt  antibiotikum együttes alkalmazása</w:delText>
        </w:r>
        <w:r w:rsidR="00220442" w:rsidRPr="00183B5F">
          <w:rPr>
            <w:szCs w:val="22"/>
          </w:rPr>
          <w:delText xml:space="preserve"> nem volt megengedett</w:delText>
        </w:r>
        <w:r w:rsidRPr="00183B5F">
          <w:rPr>
            <w:szCs w:val="22"/>
          </w:rPr>
          <w:delText>. A 12 hétig tartó terápia után azokat a betegeket</w:delText>
        </w:r>
        <w:r w:rsidR="00220442" w:rsidRPr="00183B5F">
          <w:rPr>
            <w:szCs w:val="22"/>
          </w:rPr>
          <w:delText>,</w:delText>
        </w:r>
        <w:r w:rsidRPr="00183B5F">
          <w:rPr>
            <w:szCs w:val="22"/>
          </w:rPr>
          <w:delText xml:space="preserve"> akik az A periódusban Humira</w:delText>
        </w:r>
        <w:r w:rsidRPr="00183B5F">
          <w:rPr>
            <w:szCs w:val="22"/>
          </w:rPr>
          <w:noBreakHyphen/>
        </w:r>
        <w:r w:rsidRPr="00183B5F">
          <w:rPr>
            <w:szCs w:val="22"/>
          </w:rPr>
          <w:delText>t kaptak,  a B periódusban ismét randomizálták, a 3 kezelési csoport egyikébe (</w:delText>
        </w:r>
        <w:r w:rsidRPr="00183B5F">
          <w:rPr>
            <w:color w:val="000000"/>
          </w:rPr>
          <w:delText>40 mg Humira minden héten, 40 mg Humira minden második héten, vagy placebo 12</w:delText>
        </w:r>
        <w:r w:rsidRPr="00183B5F">
          <w:rPr>
            <w:color w:val="000000"/>
          </w:rPr>
          <w:noBreakHyphen/>
          <w:delText>35. hétig). Az A periódusban véletlenszerűen placebót kapó betegek a B periódusban 40 mg Humira</w:delText>
        </w:r>
        <w:r w:rsidRPr="00183B5F">
          <w:rPr>
            <w:color w:val="000000"/>
          </w:rPr>
          <w:noBreakHyphen/>
          <w:delText>t kaptak minden héten.</w:delText>
        </w:r>
      </w:del>
    </w:p>
    <w:p w14:paraId="68DA4231" w14:textId="7E640FB9" w:rsidR="004C3E02" w:rsidRPr="00183B5F" w:rsidRDefault="004C3E02" w:rsidP="004062FE">
      <w:pPr>
        <w:spacing w:line="240" w:lineRule="auto"/>
        <w:rPr>
          <w:del w:id="2260" w:author="AbbVie_HU_03" w:date="2025-05-14T15:27:00Z"/>
          <w:color w:val="000000"/>
        </w:rPr>
      </w:pPr>
    </w:p>
    <w:p w14:paraId="182A4904" w14:textId="0ADC85C7" w:rsidR="004C3E02" w:rsidRPr="00183B5F" w:rsidRDefault="00943743" w:rsidP="004062FE">
      <w:pPr>
        <w:spacing w:line="240" w:lineRule="auto"/>
        <w:rPr>
          <w:del w:id="2261" w:author="AbbVie_HU_03" w:date="2025-05-14T15:27:00Z"/>
          <w:color w:val="000000"/>
        </w:rPr>
      </w:pPr>
      <w:del w:id="2262" w:author="AbbVie_HU_03" w:date="2025-05-14T15:27:00Z">
        <w:r w:rsidRPr="00183B5F">
          <w:rPr>
            <w:color w:val="000000"/>
          </w:rPr>
          <w:delText>A HS</w:delText>
        </w:r>
        <w:r w:rsidRPr="00183B5F">
          <w:rPr>
            <w:color w:val="000000"/>
          </w:rPr>
          <w:noBreakHyphen/>
          <w:delText>II (PIONEER II) vizsgálat 326 beteget értékelt 2 kezelési periódusban. Az A periódusban a betegek 160 mg telítő dózisú placebót vagy Humira</w:delText>
        </w:r>
        <w:r w:rsidRPr="00183B5F">
          <w:rPr>
            <w:color w:val="000000"/>
          </w:rPr>
          <w:noBreakHyphen/>
          <w:delText>t kaptak a 0. héten, 80 mg</w:delText>
        </w:r>
        <w:r w:rsidR="005949DF" w:rsidRPr="00183B5F">
          <w:rPr>
            <w:color w:val="000000"/>
          </w:rPr>
          <w:delText>-</w:delText>
        </w:r>
        <w:r w:rsidRPr="00183B5F">
          <w:rPr>
            <w:color w:val="000000"/>
          </w:rPr>
          <w:delText>ot a 2. héten és 40 mg</w:delText>
        </w:r>
        <w:r w:rsidRPr="00183B5F">
          <w:rPr>
            <w:color w:val="000000"/>
          </w:rPr>
          <w:noBreakHyphen/>
          <w:delText>ot minden héten a 4</w:delText>
        </w:r>
        <w:r w:rsidRPr="00183B5F">
          <w:rPr>
            <w:color w:val="000000"/>
          </w:rPr>
          <w:noBreakHyphen/>
          <w:delText>11. hétig. A betegek 19,3%</w:delText>
        </w:r>
        <w:r w:rsidRPr="00183B5F">
          <w:rPr>
            <w:color w:val="000000"/>
          </w:rPr>
          <w:noBreakHyphen/>
          <w:delText>a folytatta a kiindulási orális antibiotikum terápiát a vizsgálat alatt. A 12 hétig tartó terápia után azokat a betegeket, akik az A periódusban Humira</w:delText>
        </w:r>
        <w:r w:rsidRPr="00183B5F">
          <w:rPr>
            <w:color w:val="000000"/>
          </w:rPr>
          <w:noBreakHyphen/>
          <w:delText xml:space="preserve">t kaptak, </w:delText>
        </w:r>
        <w:r w:rsidR="00220442" w:rsidRPr="00183B5F">
          <w:rPr>
            <w:color w:val="000000"/>
          </w:rPr>
          <w:delText>-</w:delText>
        </w:r>
        <w:r w:rsidRPr="00183B5F">
          <w:rPr>
            <w:color w:val="000000"/>
          </w:rPr>
          <w:delText xml:space="preserve"> a B periódusban ismét randomizálták, a 3 kezelési csoport egyikébe (40 mg Humira minden héten, 40 mg Humira mi</w:delText>
        </w:r>
        <w:r w:rsidRPr="00183B5F">
          <w:rPr>
            <w:color w:val="000000"/>
          </w:rPr>
          <w:delText>nden második héten, vagy placebo a 12</w:delText>
        </w:r>
        <w:r w:rsidRPr="00183B5F">
          <w:rPr>
            <w:color w:val="000000"/>
          </w:rPr>
          <w:noBreakHyphen/>
          <w:delText>35. hétig). Az A periódusban véletlenszerűen placebót kapó betegeknek a B periódusban is placebót adtak.</w:delText>
        </w:r>
      </w:del>
    </w:p>
    <w:p w14:paraId="293FD18E" w14:textId="4904E827" w:rsidR="004C3E02" w:rsidRPr="00183B5F" w:rsidRDefault="004C3E02" w:rsidP="004062FE">
      <w:pPr>
        <w:spacing w:line="240" w:lineRule="auto"/>
        <w:rPr>
          <w:del w:id="2263" w:author="AbbVie_HU_03" w:date="2025-05-14T15:27:00Z"/>
          <w:color w:val="000000"/>
        </w:rPr>
      </w:pPr>
    </w:p>
    <w:p w14:paraId="105709C8" w14:textId="45FD0A10" w:rsidR="004C3E02" w:rsidRPr="00183B5F" w:rsidRDefault="00943743" w:rsidP="004062FE">
      <w:pPr>
        <w:spacing w:line="240" w:lineRule="auto"/>
        <w:rPr>
          <w:del w:id="2264" w:author="AbbVie_HU_03" w:date="2025-05-14T15:27:00Z"/>
          <w:color w:val="000000"/>
        </w:rPr>
      </w:pPr>
      <w:del w:id="2265" w:author="AbbVie_HU_03" w:date="2025-05-14T15:27:00Z">
        <w:r w:rsidRPr="00183B5F">
          <w:rPr>
            <w:color w:val="000000"/>
          </w:rPr>
          <w:delText>A HS</w:delText>
        </w:r>
        <w:r w:rsidRPr="00183B5F">
          <w:rPr>
            <w:color w:val="000000"/>
          </w:rPr>
          <w:noBreakHyphen/>
          <w:delText>I és HS</w:delText>
        </w:r>
        <w:r w:rsidRPr="00183B5F">
          <w:rPr>
            <w:color w:val="000000"/>
          </w:rPr>
          <w:noBreakHyphen/>
          <w:delText>II vizsgálatban részt vevő betegek jogosultak voltak egy nyílt, meghosszabított vizsgálatba bekerülni, melyben 40 mg Humira</w:delText>
        </w:r>
        <w:r w:rsidRPr="00183B5F">
          <w:rPr>
            <w:color w:val="000000"/>
          </w:rPr>
          <w:noBreakHyphen/>
          <w:delText xml:space="preserve">t kaptak minden héten. </w:delText>
        </w:r>
        <w:r w:rsidR="008817DD" w:rsidRPr="00183B5F">
          <w:rPr>
            <w:color w:val="000000"/>
          </w:rPr>
          <w:delText xml:space="preserve">Az átlagos expozíció </w:delText>
        </w:r>
        <w:r w:rsidR="006F700B" w:rsidRPr="00183B5F">
          <w:rPr>
            <w:color w:val="000000"/>
          </w:rPr>
          <w:delText>a teljes,</w:delText>
        </w:r>
        <w:r w:rsidR="008817DD" w:rsidRPr="00183B5F">
          <w:rPr>
            <w:color w:val="000000"/>
          </w:rPr>
          <w:delText xml:space="preserve"> adalimumab</w:delText>
        </w:r>
        <w:r w:rsidR="006F700B" w:rsidRPr="00183B5F">
          <w:rPr>
            <w:color w:val="000000"/>
          </w:rPr>
          <w:delText>bal</w:delText>
        </w:r>
        <w:r w:rsidR="005307DD" w:rsidRPr="00183B5F">
          <w:rPr>
            <w:color w:val="000000"/>
          </w:rPr>
          <w:delText xml:space="preserve"> </w:delText>
        </w:r>
        <w:r w:rsidR="006F700B" w:rsidRPr="00183B5F">
          <w:rPr>
            <w:color w:val="000000"/>
          </w:rPr>
          <w:delText>kezelt</w:delText>
        </w:r>
        <w:r w:rsidR="008817DD" w:rsidRPr="00183B5F">
          <w:rPr>
            <w:color w:val="000000"/>
          </w:rPr>
          <w:delText xml:space="preserve"> populációban 762 nap volt. </w:delText>
        </w:r>
        <w:r w:rsidRPr="00183B5F">
          <w:rPr>
            <w:color w:val="000000"/>
          </w:rPr>
          <w:delText>A 3 vizsgálat alatt a betegek helyi fertőtlenítő lemosót használtak naponta.</w:delText>
        </w:r>
      </w:del>
    </w:p>
    <w:p w14:paraId="761F0549" w14:textId="1777DE6F" w:rsidR="004C3E02" w:rsidRPr="00183B5F" w:rsidRDefault="004C3E02">
      <w:pPr>
        <w:pStyle w:val="EMEANormal"/>
        <w:rPr>
          <w:del w:id="2266" w:author="AbbVie_HU_03" w:date="2025-05-14T15:27:00Z"/>
          <w:szCs w:val="22"/>
          <w:lang w:val="hu-HU"/>
        </w:rPr>
      </w:pPr>
    </w:p>
    <w:p w14:paraId="1F1AB43D" w14:textId="5D523AB2" w:rsidR="004C3E02" w:rsidRPr="00183B5F" w:rsidRDefault="00943743" w:rsidP="004062FE">
      <w:pPr>
        <w:spacing w:line="240" w:lineRule="auto"/>
        <w:rPr>
          <w:del w:id="2267" w:author="AbbVie_HU_03" w:date="2025-05-14T15:27:00Z"/>
          <w:i/>
          <w:color w:val="000000"/>
          <w:u w:val="single"/>
        </w:rPr>
      </w:pPr>
      <w:del w:id="2268" w:author="AbbVie_HU_03" w:date="2025-05-14T15:27:00Z">
        <w:r w:rsidRPr="00183B5F">
          <w:rPr>
            <w:i/>
            <w:color w:val="000000"/>
            <w:u w:val="single"/>
          </w:rPr>
          <w:delText>Klinikai válasz</w:delText>
        </w:r>
      </w:del>
    </w:p>
    <w:p w14:paraId="5E813F3B" w14:textId="36A2A34B" w:rsidR="004C3E02" w:rsidRPr="00183B5F" w:rsidRDefault="004C3E02" w:rsidP="004062FE">
      <w:pPr>
        <w:spacing w:line="240" w:lineRule="auto"/>
        <w:rPr>
          <w:del w:id="2269" w:author="AbbVie_HU_03" w:date="2025-05-14T15:27:00Z"/>
          <w:i/>
          <w:color w:val="000000"/>
          <w:u w:val="single"/>
        </w:rPr>
      </w:pPr>
    </w:p>
    <w:p w14:paraId="1F63A7AE" w14:textId="75C42B4F" w:rsidR="004C3E02" w:rsidRPr="00183B5F" w:rsidRDefault="00943743" w:rsidP="004062FE">
      <w:pPr>
        <w:spacing w:line="240" w:lineRule="auto"/>
        <w:rPr>
          <w:del w:id="2270" w:author="AbbVie_HU_03" w:date="2025-05-14T15:27:00Z"/>
          <w:color w:val="000000"/>
        </w:rPr>
      </w:pPr>
      <w:del w:id="2271" w:author="AbbVie_HU_03" w:date="2025-05-14T15:27:00Z">
        <w:r w:rsidRPr="00183B5F">
          <w:rPr>
            <w:color w:val="000000"/>
          </w:rPr>
          <w:delText xml:space="preserve">A gyulladásos léziók csökkenését és a tályogok és váladékozó fistulák romlásának megelőzését a Hidradenitis suppurativa klinikai válasszal értékelték (HiSCR – </w:delText>
        </w:r>
        <w:r w:rsidRPr="00183B5F">
          <w:rPr>
            <w:rFonts w:eastAsia="MS Mincho"/>
            <w:szCs w:val="22"/>
            <w:lang w:eastAsia="ja-JP"/>
          </w:rPr>
          <w:delText>Hidradenitis Suppurativa Clinical Response</w:delText>
        </w:r>
        <w:r w:rsidRPr="00183B5F">
          <w:rPr>
            <w:color w:val="000000"/>
          </w:rPr>
          <w:delText>;  az összes tályog és gyulladásos góc számá</w:delText>
        </w:r>
        <w:r w:rsidR="00220442" w:rsidRPr="00183B5F">
          <w:rPr>
            <w:color w:val="000000"/>
          </w:rPr>
          <w:delText>nak legalább 50%-os csökkenése</w:delText>
        </w:r>
        <w:r w:rsidRPr="00183B5F">
          <w:rPr>
            <w:color w:val="000000"/>
          </w:rPr>
          <w:delText>, a tályogok és váladékozó fistulák számának növekedése nélkül</w:delText>
        </w:r>
        <w:r w:rsidR="00220442" w:rsidRPr="00183B5F">
          <w:rPr>
            <w:color w:val="000000"/>
          </w:rPr>
          <w:delText>,</w:delText>
        </w:r>
        <w:r w:rsidR="00A56E30" w:rsidRPr="00183B5F">
          <w:rPr>
            <w:color w:val="000000"/>
          </w:rPr>
          <w:delText xml:space="preserve"> a </w:delText>
        </w:r>
        <w:r w:rsidR="00220442" w:rsidRPr="00183B5F">
          <w:rPr>
            <w:color w:val="000000"/>
          </w:rPr>
          <w:delText>vizsgálat megkezdéséhez</w:delText>
        </w:r>
        <w:r w:rsidRPr="00183B5F">
          <w:rPr>
            <w:color w:val="000000"/>
          </w:rPr>
          <w:delText xml:space="preserve"> képest). A HS</w:delText>
        </w:r>
        <w:r w:rsidRPr="00183B5F">
          <w:rPr>
            <w:color w:val="000000"/>
          </w:rPr>
          <w:noBreakHyphen/>
          <w:delText xml:space="preserve">sel összefüggő bőrfájdalom csökkenését egy numerikus skála segítségével értékelték azoknál a betegeknél, akik </w:delText>
        </w:r>
        <w:r w:rsidR="005949DF" w:rsidRPr="00183B5F">
          <w:rPr>
            <w:color w:val="000000"/>
          </w:rPr>
          <w:delText>a</w:delText>
        </w:r>
        <w:r w:rsidRPr="00183B5F">
          <w:rPr>
            <w:color w:val="000000"/>
          </w:rPr>
          <w:delText xml:space="preserve"> 11 pontos skálán 3 vagy magasabb kiindulási pontszámmal léptek be a vizsgálatba.</w:delText>
        </w:r>
      </w:del>
    </w:p>
    <w:p w14:paraId="4D24919B" w14:textId="01BE66C5" w:rsidR="004C3E02" w:rsidRPr="00183B5F" w:rsidRDefault="004C3E02" w:rsidP="004062FE">
      <w:pPr>
        <w:spacing w:line="240" w:lineRule="auto"/>
        <w:rPr>
          <w:del w:id="2272" w:author="AbbVie_HU_03" w:date="2025-05-14T15:27:00Z"/>
          <w:color w:val="000000"/>
        </w:rPr>
      </w:pPr>
    </w:p>
    <w:p w14:paraId="0EF2C785" w14:textId="6BECDD32" w:rsidR="004C3E02" w:rsidRPr="00183B5F" w:rsidRDefault="00943743" w:rsidP="004062FE">
      <w:pPr>
        <w:spacing w:line="240" w:lineRule="auto"/>
        <w:rPr>
          <w:del w:id="2273" w:author="AbbVie_HU_03" w:date="2025-05-14T15:27:00Z"/>
          <w:color w:val="000000"/>
        </w:rPr>
      </w:pPr>
      <w:del w:id="2274" w:author="AbbVie_HU_03" w:date="2025-05-14T15:27:00Z">
        <w:r w:rsidRPr="00183B5F">
          <w:rPr>
            <w:color w:val="000000"/>
          </w:rPr>
          <w:delText>A 12. héten jelentősen nagyobb volt az aránya azoknak a Humira</w:delText>
        </w:r>
        <w:r w:rsidRPr="00183B5F">
          <w:rPr>
            <w:color w:val="000000"/>
          </w:rPr>
          <w:noBreakHyphen/>
          <w:delText>val kezelt betegeknek a placebót kapó betegekhez képest, akik elérték a HiSCR-t. A 12. héten a HS</w:delText>
        </w:r>
        <w:r w:rsidRPr="00183B5F">
          <w:rPr>
            <w:color w:val="000000"/>
          </w:rPr>
          <w:noBreakHyphen/>
          <w:delText>II vizsgálatban résztvevő betegek jelentősen nagyobb arányánál tapasztalt</w:delText>
        </w:r>
        <w:r w:rsidR="00220442" w:rsidRPr="00183B5F">
          <w:rPr>
            <w:color w:val="000000"/>
          </w:rPr>
          <w:delText>á</w:delText>
        </w:r>
        <w:r w:rsidRPr="00183B5F">
          <w:rPr>
            <w:color w:val="000000"/>
          </w:rPr>
          <w:delText>k</w:delText>
        </w:r>
        <w:r w:rsidR="00220442" w:rsidRPr="00183B5F">
          <w:rPr>
            <w:color w:val="000000"/>
          </w:rPr>
          <w:delText xml:space="preserve"> a HS-sel összefüggő bőrfájdalom</w:delText>
        </w:r>
        <w:r w:rsidRPr="00183B5F">
          <w:rPr>
            <w:color w:val="000000"/>
          </w:rPr>
          <w:delText xml:space="preserve"> klinikailag jelentős csökkenés</w:delText>
        </w:r>
        <w:r w:rsidR="00220442" w:rsidRPr="00183B5F">
          <w:rPr>
            <w:color w:val="000000"/>
          </w:rPr>
          <w:delText>é</w:delText>
        </w:r>
        <w:r w:rsidRPr="00183B5F">
          <w:rPr>
            <w:color w:val="000000"/>
          </w:rPr>
          <w:delText xml:space="preserve">t (lásd </w:delText>
        </w:r>
        <w:r w:rsidR="00293353" w:rsidRPr="00183B5F">
          <w:rPr>
            <w:color w:val="000000"/>
          </w:rPr>
          <w:delText>15</w:delText>
        </w:r>
        <w:r w:rsidRPr="00183B5F">
          <w:rPr>
            <w:color w:val="000000"/>
          </w:rPr>
          <w:delText>. táblázat). A Humira</w:delText>
        </w:r>
        <w:r w:rsidRPr="00183B5F">
          <w:rPr>
            <w:color w:val="000000"/>
          </w:rPr>
          <w:noBreakHyphen/>
        </w:r>
        <w:r w:rsidRPr="00183B5F">
          <w:rPr>
            <w:color w:val="000000"/>
          </w:rPr>
          <w:delText>val kezelt betegeknél a kezelés első 12 hete alatt jelentősen lecsökkent a betegség kiújulásának kockázata.</w:delText>
        </w:r>
      </w:del>
    </w:p>
    <w:p w14:paraId="12DCF57D" w14:textId="78EEBA41" w:rsidR="004C3E02" w:rsidRPr="00183B5F" w:rsidRDefault="004C3E02" w:rsidP="004062FE">
      <w:pPr>
        <w:spacing w:line="240" w:lineRule="auto"/>
        <w:rPr>
          <w:del w:id="2275" w:author="AbbVie_HU_03" w:date="2025-05-14T15:27:00Z"/>
          <w:color w:val="000000"/>
        </w:rPr>
      </w:pPr>
    </w:p>
    <w:p w14:paraId="41C26A6B" w14:textId="37CE1B8F" w:rsidR="004C3E02" w:rsidRPr="00183B5F" w:rsidRDefault="00943743" w:rsidP="004062FE">
      <w:pPr>
        <w:keepNext/>
        <w:spacing w:line="240" w:lineRule="auto"/>
        <w:jc w:val="center"/>
        <w:rPr>
          <w:del w:id="2276" w:author="AbbVie_HU_03" w:date="2025-05-14T15:27:00Z"/>
          <w:b/>
          <w:color w:val="000000"/>
        </w:rPr>
      </w:pPr>
      <w:del w:id="2277" w:author="AbbVie_HU_03" w:date="2025-05-14T15:27:00Z">
        <w:r w:rsidRPr="00183B5F">
          <w:rPr>
            <w:b/>
            <w:color w:val="000000"/>
          </w:rPr>
          <w:delText>15. táblázat: Hatékonysági eredmények a 12. </w:delText>
        </w:r>
        <w:r w:rsidR="005949DF" w:rsidRPr="00183B5F">
          <w:rPr>
            <w:b/>
            <w:color w:val="000000"/>
          </w:rPr>
          <w:delText>h</w:delText>
        </w:r>
        <w:r w:rsidRPr="00183B5F">
          <w:rPr>
            <w:b/>
            <w:color w:val="000000"/>
          </w:rPr>
          <w:delText>éten, HS I és II vizsgálat</w:delText>
        </w:r>
      </w:del>
    </w:p>
    <w:p w14:paraId="5A795294" w14:textId="7904137D" w:rsidR="004C3E02" w:rsidRPr="00183B5F" w:rsidRDefault="004C3E02" w:rsidP="004062FE">
      <w:pPr>
        <w:keepNext/>
        <w:spacing w:line="240" w:lineRule="auto"/>
        <w:jc w:val="center"/>
        <w:rPr>
          <w:del w:id="2278" w:author="AbbVie_HU_03" w:date="2025-05-14T15:27:00Z"/>
          <w:b/>
          <w:color w:val="000000"/>
        </w:rPr>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011D2F" w14:paraId="12AC09EF" w14:textId="046009EB" w:rsidTr="004C3E02">
        <w:trPr>
          <w:jc w:val="center"/>
          <w:del w:id="2279" w:author="AbbVie_HU_03" w:date="2025-05-14T15:27:00Z"/>
        </w:trPr>
        <w:tc>
          <w:tcPr>
            <w:tcW w:w="2847" w:type="dxa"/>
            <w:vMerge w:val="restart"/>
            <w:tcMar>
              <w:top w:w="0" w:type="dxa"/>
              <w:left w:w="115" w:type="dxa"/>
              <w:bottom w:w="0" w:type="dxa"/>
              <w:right w:w="115" w:type="dxa"/>
            </w:tcMar>
            <w:vAlign w:val="bottom"/>
          </w:tcPr>
          <w:p w14:paraId="7B61CB15" w14:textId="2C6C9ABF" w:rsidR="004C3E02" w:rsidRPr="00183B5F" w:rsidRDefault="004C3E02" w:rsidP="004062FE">
            <w:pPr>
              <w:keepNext/>
              <w:widowControl w:val="0"/>
              <w:spacing w:line="240" w:lineRule="auto"/>
              <w:rPr>
                <w:del w:id="2280" w:author="AbbVie_HU_03" w:date="2025-05-14T15:27:00Z"/>
                <w:b/>
              </w:rPr>
            </w:pPr>
          </w:p>
        </w:tc>
        <w:tc>
          <w:tcPr>
            <w:tcW w:w="3186" w:type="dxa"/>
            <w:gridSpan w:val="2"/>
            <w:tcMar>
              <w:top w:w="0" w:type="dxa"/>
              <w:left w:w="115" w:type="dxa"/>
              <w:bottom w:w="0" w:type="dxa"/>
              <w:right w:w="115" w:type="dxa"/>
            </w:tcMar>
            <w:vAlign w:val="bottom"/>
          </w:tcPr>
          <w:p w14:paraId="71B8E43B" w14:textId="1475745E" w:rsidR="004C3E02" w:rsidRPr="00183B5F" w:rsidRDefault="00943743" w:rsidP="004062FE">
            <w:pPr>
              <w:keepNext/>
              <w:widowControl w:val="0"/>
              <w:spacing w:line="240" w:lineRule="auto"/>
              <w:jc w:val="center"/>
              <w:rPr>
                <w:del w:id="2281" w:author="AbbVie_HU_03" w:date="2025-05-14T15:27:00Z"/>
                <w:b/>
                <w:bCs/>
              </w:rPr>
            </w:pPr>
            <w:del w:id="2282" w:author="AbbVie_HU_03" w:date="2025-05-14T15:27:00Z">
              <w:r w:rsidRPr="00183B5F">
                <w:rPr>
                  <w:b/>
                  <w:bCs/>
                </w:rPr>
                <w:delText>HS I vizsgálat</w:delText>
              </w:r>
            </w:del>
          </w:p>
        </w:tc>
        <w:tc>
          <w:tcPr>
            <w:tcW w:w="3260" w:type="dxa"/>
            <w:gridSpan w:val="2"/>
            <w:tcMar>
              <w:top w:w="0" w:type="dxa"/>
              <w:left w:w="115" w:type="dxa"/>
              <w:bottom w:w="0" w:type="dxa"/>
              <w:right w:w="115" w:type="dxa"/>
            </w:tcMar>
            <w:vAlign w:val="bottom"/>
          </w:tcPr>
          <w:p w14:paraId="5D189229" w14:textId="43328689" w:rsidR="004C3E02" w:rsidRPr="00183B5F" w:rsidRDefault="00943743" w:rsidP="004062FE">
            <w:pPr>
              <w:keepNext/>
              <w:widowControl w:val="0"/>
              <w:spacing w:line="240" w:lineRule="auto"/>
              <w:jc w:val="center"/>
              <w:rPr>
                <w:del w:id="2283" w:author="AbbVie_HU_03" w:date="2025-05-14T15:27:00Z"/>
                <w:b/>
                <w:bCs/>
              </w:rPr>
            </w:pPr>
            <w:del w:id="2284" w:author="AbbVie_HU_03" w:date="2025-05-14T15:27:00Z">
              <w:r w:rsidRPr="00183B5F">
                <w:rPr>
                  <w:b/>
                  <w:bCs/>
                </w:rPr>
                <w:delText>HS II vizsgálat</w:delText>
              </w:r>
            </w:del>
          </w:p>
        </w:tc>
      </w:tr>
      <w:tr w:rsidR="00011D2F" w14:paraId="53FCF547" w14:textId="0CA6CAC6" w:rsidTr="004C3E02">
        <w:trPr>
          <w:jc w:val="center"/>
          <w:del w:id="2285" w:author="AbbVie_HU_03" w:date="2025-05-14T15:27:00Z"/>
        </w:trPr>
        <w:tc>
          <w:tcPr>
            <w:tcW w:w="2847" w:type="dxa"/>
            <w:vMerge/>
            <w:tcMar>
              <w:top w:w="0" w:type="dxa"/>
              <w:left w:w="115" w:type="dxa"/>
              <w:bottom w:w="0" w:type="dxa"/>
              <w:right w:w="115" w:type="dxa"/>
            </w:tcMar>
            <w:vAlign w:val="center"/>
            <w:hideMark/>
          </w:tcPr>
          <w:p w14:paraId="6D05E3E6" w14:textId="73692F2B" w:rsidR="004C3E02" w:rsidRPr="00183B5F" w:rsidRDefault="004C3E02" w:rsidP="004062FE">
            <w:pPr>
              <w:keepNext/>
              <w:widowControl w:val="0"/>
              <w:spacing w:line="240" w:lineRule="auto"/>
              <w:rPr>
                <w:del w:id="2286" w:author="AbbVie_HU_03" w:date="2025-05-14T15:27:00Z"/>
              </w:rPr>
            </w:pPr>
          </w:p>
        </w:tc>
        <w:tc>
          <w:tcPr>
            <w:tcW w:w="1440" w:type="dxa"/>
            <w:tcMar>
              <w:top w:w="0" w:type="dxa"/>
              <w:left w:w="115" w:type="dxa"/>
              <w:bottom w:w="0" w:type="dxa"/>
              <w:right w:w="115" w:type="dxa"/>
            </w:tcMar>
            <w:vAlign w:val="bottom"/>
            <w:hideMark/>
          </w:tcPr>
          <w:p w14:paraId="1604D2BD" w14:textId="2B2B9A50" w:rsidR="004C3E02" w:rsidRPr="00183B5F" w:rsidRDefault="00943743" w:rsidP="004062FE">
            <w:pPr>
              <w:keepNext/>
              <w:widowControl w:val="0"/>
              <w:spacing w:line="240" w:lineRule="auto"/>
              <w:jc w:val="center"/>
              <w:rPr>
                <w:del w:id="2287" w:author="AbbVie_HU_03" w:date="2025-05-14T15:27:00Z"/>
              </w:rPr>
            </w:pPr>
            <w:del w:id="2288" w:author="AbbVie_HU_03" w:date="2025-05-14T15:27:00Z">
              <w:r w:rsidRPr="00183B5F">
                <w:rPr>
                  <w:b/>
                  <w:bCs/>
                </w:rPr>
                <w:delText>Placebo</w:delText>
              </w:r>
            </w:del>
          </w:p>
        </w:tc>
        <w:tc>
          <w:tcPr>
            <w:tcW w:w="1746" w:type="dxa"/>
            <w:tcMar>
              <w:top w:w="0" w:type="dxa"/>
              <w:left w:w="115" w:type="dxa"/>
              <w:bottom w:w="0" w:type="dxa"/>
              <w:right w:w="115" w:type="dxa"/>
            </w:tcMar>
            <w:vAlign w:val="bottom"/>
            <w:hideMark/>
          </w:tcPr>
          <w:p w14:paraId="52154A97" w14:textId="4CD29FDF" w:rsidR="004C3E02" w:rsidRPr="00183B5F" w:rsidRDefault="00943743" w:rsidP="004062FE">
            <w:pPr>
              <w:keepNext/>
              <w:widowControl w:val="0"/>
              <w:spacing w:line="240" w:lineRule="auto"/>
              <w:jc w:val="center"/>
              <w:rPr>
                <w:del w:id="2289" w:author="AbbVie_HU_03" w:date="2025-05-14T15:27:00Z"/>
                <w:b/>
                <w:bCs/>
              </w:rPr>
            </w:pPr>
            <w:del w:id="2290" w:author="AbbVie_HU_03" w:date="2025-05-14T15:27:00Z">
              <w:r w:rsidRPr="00183B5F">
                <w:rPr>
                  <w:b/>
                  <w:bCs/>
                </w:rPr>
                <w:delText>Humira 40</w:delText>
              </w:r>
              <w:r w:rsidR="009E7E35" w:rsidRPr="00183B5F">
                <w:rPr>
                  <w:b/>
                  <w:bCs/>
                </w:rPr>
                <w:delText> </w:delText>
              </w:r>
              <w:r w:rsidRPr="00183B5F">
                <w:rPr>
                  <w:b/>
                  <w:bCs/>
                </w:rPr>
                <w:delText xml:space="preserve">mg </w:delText>
              </w:r>
              <w:r w:rsidR="005949DF" w:rsidRPr="00183B5F">
                <w:rPr>
                  <w:b/>
                  <w:bCs/>
                </w:rPr>
                <w:delText>h</w:delText>
              </w:r>
              <w:r w:rsidRPr="00183B5F">
                <w:rPr>
                  <w:b/>
                  <w:bCs/>
                </w:rPr>
                <w:delText>etente</w:delText>
              </w:r>
            </w:del>
          </w:p>
        </w:tc>
        <w:tc>
          <w:tcPr>
            <w:tcW w:w="1404" w:type="dxa"/>
            <w:tcMar>
              <w:top w:w="0" w:type="dxa"/>
              <w:left w:w="115" w:type="dxa"/>
              <w:bottom w:w="0" w:type="dxa"/>
              <w:right w:w="115" w:type="dxa"/>
            </w:tcMar>
            <w:vAlign w:val="bottom"/>
            <w:hideMark/>
          </w:tcPr>
          <w:p w14:paraId="15DB69F6" w14:textId="4A99AA95" w:rsidR="004C3E02" w:rsidRPr="00183B5F" w:rsidRDefault="00943743" w:rsidP="004062FE">
            <w:pPr>
              <w:keepNext/>
              <w:widowControl w:val="0"/>
              <w:spacing w:line="240" w:lineRule="auto"/>
              <w:jc w:val="center"/>
              <w:rPr>
                <w:del w:id="2291" w:author="AbbVie_HU_03" w:date="2025-05-14T15:27:00Z"/>
                <w:b/>
                <w:bCs/>
              </w:rPr>
            </w:pPr>
            <w:del w:id="2292" w:author="AbbVie_HU_03" w:date="2025-05-14T15:27:00Z">
              <w:r w:rsidRPr="00183B5F">
                <w:rPr>
                  <w:b/>
                  <w:bCs/>
                </w:rPr>
                <w:delText xml:space="preserve">Placebo </w:delText>
              </w:r>
            </w:del>
          </w:p>
        </w:tc>
        <w:tc>
          <w:tcPr>
            <w:tcW w:w="1856" w:type="dxa"/>
            <w:tcMar>
              <w:top w:w="0" w:type="dxa"/>
              <w:left w:w="115" w:type="dxa"/>
              <w:bottom w:w="0" w:type="dxa"/>
              <w:right w:w="115" w:type="dxa"/>
            </w:tcMar>
            <w:vAlign w:val="bottom"/>
            <w:hideMark/>
          </w:tcPr>
          <w:p w14:paraId="1D7CB373" w14:textId="584FE8E7" w:rsidR="004C3E02" w:rsidRPr="00183B5F" w:rsidRDefault="00943743" w:rsidP="004062FE">
            <w:pPr>
              <w:keepNext/>
              <w:widowControl w:val="0"/>
              <w:spacing w:line="240" w:lineRule="auto"/>
              <w:jc w:val="center"/>
              <w:rPr>
                <w:del w:id="2293" w:author="AbbVie_HU_03" w:date="2025-05-14T15:27:00Z"/>
                <w:b/>
                <w:bCs/>
              </w:rPr>
            </w:pPr>
            <w:del w:id="2294" w:author="AbbVie_HU_03" w:date="2025-05-14T15:27:00Z">
              <w:r w:rsidRPr="00183B5F">
                <w:rPr>
                  <w:b/>
                  <w:bCs/>
                </w:rPr>
                <w:delText>Humira 40</w:delText>
              </w:r>
              <w:r w:rsidR="009E7E35" w:rsidRPr="00183B5F">
                <w:rPr>
                  <w:b/>
                  <w:bCs/>
                </w:rPr>
                <w:delText> </w:delText>
              </w:r>
              <w:r w:rsidRPr="00183B5F">
                <w:rPr>
                  <w:b/>
                  <w:bCs/>
                </w:rPr>
                <w:delText xml:space="preserve">mg </w:delText>
              </w:r>
              <w:r w:rsidR="005949DF" w:rsidRPr="00183B5F">
                <w:rPr>
                  <w:b/>
                  <w:bCs/>
                </w:rPr>
                <w:delText>h</w:delText>
              </w:r>
              <w:r w:rsidRPr="00183B5F">
                <w:rPr>
                  <w:b/>
                  <w:bCs/>
                </w:rPr>
                <w:delText>etente</w:delText>
              </w:r>
            </w:del>
          </w:p>
        </w:tc>
      </w:tr>
      <w:tr w:rsidR="00011D2F" w14:paraId="1E41E283" w14:textId="42CA24DF" w:rsidTr="004C3E02">
        <w:trPr>
          <w:trHeight w:val="755"/>
          <w:jc w:val="center"/>
          <w:del w:id="2295" w:author="AbbVie_HU_03" w:date="2025-05-14T15:27:00Z"/>
        </w:trPr>
        <w:tc>
          <w:tcPr>
            <w:tcW w:w="2847" w:type="dxa"/>
            <w:tcMar>
              <w:top w:w="0" w:type="dxa"/>
              <w:left w:w="115" w:type="dxa"/>
              <w:bottom w:w="0" w:type="dxa"/>
              <w:right w:w="115" w:type="dxa"/>
            </w:tcMar>
            <w:vAlign w:val="center"/>
            <w:hideMark/>
          </w:tcPr>
          <w:p w14:paraId="2A5A8EF8" w14:textId="489DB8E5" w:rsidR="004C3E02" w:rsidRPr="00183B5F" w:rsidRDefault="00943743" w:rsidP="004062FE">
            <w:pPr>
              <w:keepNext/>
              <w:widowControl w:val="0"/>
              <w:spacing w:line="240" w:lineRule="auto"/>
              <w:rPr>
                <w:del w:id="2296" w:author="AbbVie_HU_03" w:date="2025-05-14T15:27:00Z"/>
              </w:rPr>
            </w:pPr>
            <w:del w:id="2297" w:author="AbbVie_HU_03" w:date="2025-05-14T15:27:00Z">
              <w:r w:rsidRPr="00183B5F">
                <w:delText xml:space="preserve">Hidradenitis suppurativa klinikai </w:delText>
              </w:r>
              <w:r w:rsidR="005949DF" w:rsidRPr="00183B5F">
                <w:delText>v</w:delText>
              </w:r>
              <w:r w:rsidRPr="00183B5F">
                <w:delText>álasz (HiSCR)</w:delText>
              </w:r>
              <w:r w:rsidRPr="00183B5F">
                <w:rPr>
                  <w:vertAlign w:val="superscript"/>
                </w:rPr>
                <w:delText>a</w:delText>
              </w:r>
              <w:r w:rsidRPr="00183B5F">
                <w:delText xml:space="preserve"> </w:delText>
              </w:r>
            </w:del>
          </w:p>
          <w:p w14:paraId="6F2B8254" w14:textId="65CB1204" w:rsidR="004C3E02" w:rsidRPr="00183B5F" w:rsidRDefault="004C3E02" w:rsidP="004062FE">
            <w:pPr>
              <w:keepNext/>
              <w:widowControl w:val="0"/>
              <w:spacing w:line="240" w:lineRule="auto"/>
              <w:rPr>
                <w:del w:id="2298" w:author="AbbVie_HU_03" w:date="2025-05-14T15:27:00Z"/>
              </w:rPr>
            </w:pPr>
          </w:p>
        </w:tc>
        <w:tc>
          <w:tcPr>
            <w:tcW w:w="1440" w:type="dxa"/>
            <w:tcMar>
              <w:top w:w="0" w:type="dxa"/>
              <w:left w:w="115" w:type="dxa"/>
              <w:bottom w:w="0" w:type="dxa"/>
              <w:right w:w="115" w:type="dxa"/>
            </w:tcMar>
            <w:hideMark/>
          </w:tcPr>
          <w:p w14:paraId="7333C03B" w14:textId="2A7AF2EB" w:rsidR="004C3E02" w:rsidRPr="00183B5F" w:rsidRDefault="00943743" w:rsidP="004062FE">
            <w:pPr>
              <w:keepNext/>
              <w:widowControl w:val="0"/>
              <w:spacing w:line="240" w:lineRule="auto"/>
              <w:jc w:val="center"/>
              <w:rPr>
                <w:del w:id="2299" w:author="AbbVie_HU_03" w:date="2025-05-14T15:27:00Z"/>
              </w:rPr>
            </w:pPr>
            <w:del w:id="2300" w:author="AbbVie_HU_03" w:date="2025-05-14T15:27:00Z">
              <w:r w:rsidRPr="00183B5F">
                <w:delText>N</w:delText>
              </w:r>
              <w:r w:rsidR="008817DD" w:rsidRPr="00183B5F">
                <w:delText> </w:delText>
              </w:r>
              <w:r w:rsidRPr="00183B5F">
                <w:delText>=</w:delText>
              </w:r>
              <w:r w:rsidR="008817DD" w:rsidRPr="00183B5F">
                <w:delText> </w:delText>
              </w:r>
              <w:r w:rsidRPr="00183B5F">
                <w:delText>154</w:delText>
              </w:r>
              <w:r w:rsidRPr="00183B5F">
                <w:br/>
                <w:delText>40 (26,0%)</w:delText>
              </w:r>
            </w:del>
          </w:p>
        </w:tc>
        <w:tc>
          <w:tcPr>
            <w:tcW w:w="1746" w:type="dxa"/>
            <w:tcMar>
              <w:top w:w="0" w:type="dxa"/>
              <w:left w:w="115" w:type="dxa"/>
              <w:bottom w:w="0" w:type="dxa"/>
              <w:right w:w="115" w:type="dxa"/>
            </w:tcMar>
            <w:hideMark/>
          </w:tcPr>
          <w:p w14:paraId="2362910B" w14:textId="24FF35B1" w:rsidR="004C3E02" w:rsidRPr="00183B5F" w:rsidRDefault="00943743" w:rsidP="004062FE">
            <w:pPr>
              <w:keepNext/>
              <w:widowControl w:val="0"/>
              <w:spacing w:line="240" w:lineRule="auto"/>
              <w:jc w:val="center"/>
              <w:rPr>
                <w:del w:id="2301" w:author="AbbVie_HU_03" w:date="2025-05-14T15:27:00Z"/>
              </w:rPr>
            </w:pPr>
            <w:del w:id="2302" w:author="AbbVie_HU_03" w:date="2025-05-14T15:27:00Z">
              <w:r w:rsidRPr="00183B5F">
                <w:delText>N</w:delText>
              </w:r>
              <w:r w:rsidR="008817DD" w:rsidRPr="00183B5F">
                <w:delText> </w:delText>
              </w:r>
              <w:r w:rsidRPr="00183B5F">
                <w:delText>=</w:delText>
              </w:r>
              <w:r w:rsidR="008817DD" w:rsidRPr="00183B5F">
                <w:delText> </w:delText>
              </w:r>
              <w:r w:rsidRPr="00183B5F">
                <w:delText>153</w:delText>
              </w:r>
              <w:r w:rsidRPr="00183B5F">
                <w:br/>
                <w:delText xml:space="preserve">64 (41,8%) </w:delText>
              </w:r>
              <w:r w:rsidRPr="00183B5F">
                <w:rPr>
                  <w:vertAlign w:val="superscript"/>
                </w:rPr>
                <w:delText>*</w:delText>
              </w:r>
            </w:del>
          </w:p>
        </w:tc>
        <w:tc>
          <w:tcPr>
            <w:tcW w:w="1404" w:type="dxa"/>
            <w:tcMar>
              <w:top w:w="0" w:type="dxa"/>
              <w:left w:w="115" w:type="dxa"/>
              <w:bottom w:w="0" w:type="dxa"/>
              <w:right w:w="115" w:type="dxa"/>
            </w:tcMar>
          </w:tcPr>
          <w:p w14:paraId="17632558" w14:textId="51895A9A" w:rsidR="004C3E02" w:rsidRPr="00183B5F" w:rsidRDefault="00943743" w:rsidP="004062FE">
            <w:pPr>
              <w:keepNext/>
              <w:widowControl w:val="0"/>
              <w:spacing w:line="240" w:lineRule="auto"/>
              <w:jc w:val="center"/>
              <w:rPr>
                <w:del w:id="2303" w:author="AbbVie_HU_03" w:date="2025-05-14T15:27:00Z"/>
              </w:rPr>
            </w:pPr>
            <w:del w:id="2304" w:author="AbbVie_HU_03" w:date="2025-05-14T15:27:00Z">
              <w:r w:rsidRPr="00183B5F">
                <w:delText>N = 163</w:delText>
              </w:r>
            </w:del>
          </w:p>
          <w:p w14:paraId="519C6C59" w14:textId="629DC66D" w:rsidR="004C3E02" w:rsidRPr="00183B5F" w:rsidRDefault="00943743" w:rsidP="004062FE">
            <w:pPr>
              <w:keepNext/>
              <w:widowControl w:val="0"/>
              <w:spacing w:line="240" w:lineRule="auto"/>
              <w:jc w:val="center"/>
              <w:rPr>
                <w:del w:id="2305" w:author="AbbVie_HU_03" w:date="2025-05-14T15:27:00Z"/>
              </w:rPr>
            </w:pPr>
            <w:del w:id="2306" w:author="AbbVie_HU_03" w:date="2025-05-14T15:27:00Z">
              <w:r w:rsidRPr="00183B5F">
                <w:delText>45 (27,6%)</w:delText>
              </w:r>
            </w:del>
          </w:p>
        </w:tc>
        <w:tc>
          <w:tcPr>
            <w:tcW w:w="1856" w:type="dxa"/>
            <w:tcMar>
              <w:top w:w="0" w:type="dxa"/>
              <w:left w:w="115" w:type="dxa"/>
              <w:bottom w:w="0" w:type="dxa"/>
              <w:right w:w="115" w:type="dxa"/>
            </w:tcMar>
          </w:tcPr>
          <w:p w14:paraId="78F561D4" w14:textId="6EFF097E" w:rsidR="004C3E02" w:rsidRPr="00183B5F" w:rsidRDefault="00943743" w:rsidP="004062FE">
            <w:pPr>
              <w:keepNext/>
              <w:widowControl w:val="0"/>
              <w:spacing w:line="240" w:lineRule="auto"/>
              <w:jc w:val="center"/>
              <w:rPr>
                <w:del w:id="2307" w:author="AbbVie_HU_03" w:date="2025-05-14T15:27:00Z"/>
              </w:rPr>
            </w:pPr>
            <w:del w:id="2308" w:author="AbbVie_HU_03" w:date="2025-05-14T15:27:00Z">
              <w:r w:rsidRPr="00183B5F">
                <w:delText>N = 163</w:delText>
              </w:r>
            </w:del>
          </w:p>
          <w:p w14:paraId="78B6F780" w14:textId="126188CF" w:rsidR="004C3E02" w:rsidRPr="00183B5F" w:rsidRDefault="00943743" w:rsidP="004062FE">
            <w:pPr>
              <w:keepNext/>
              <w:widowControl w:val="0"/>
              <w:spacing w:line="240" w:lineRule="auto"/>
              <w:jc w:val="center"/>
              <w:rPr>
                <w:del w:id="2309" w:author="AbbVie_HU_03" w:date="2025-05-14T15:27:00Z"/>
              </w:rPr>
            </w:pPr>
            <w:del w:id="2310" w:author="AbbVie_HU_03" w:date="2025-05-14T15:27:00Z">
              <w:r w:rsidRPr="00183B5F">
                <w:delText xml:space="preserve">96 (58,9%) </w:delText>
              </w:r>
              <w:r w:rsidRPr="00183B5F">
                <w:rPr>
                  <w:vertAlign w:val="superscript"/>
                </w:rPr>
                <w:delText>***</w:delText>
              </w:r>
            </w:del>
          </w:p>
        </w:tc>
      </w:tr>
      <w:tr w:rsidR="00011D2F" w14:paraId="467C1EF5" w14:textId="51600D29" w:rsidTr="004C3E02">
        <w:trPr>
          <w:jc w:val="center"/>
          <w:del w:id="2311" w:author="AbbVie_HU_03" w:date="2025-05-14T15:27:00Z"/>
        </w:trPr>
        <w:tc>
          <w:tcPr>
            <w:tcW w:w="2847" w:type="dxa"/>
            <w:tcMar>
              <w:top w:w="0" w:type="dxa"/>
              <w:left w:w="115" w:type="dxa"/>
              <w:bottom w:w="0" w:type="dxa"/>
              <w:right w:w="115" w:type="dxa"/>
            </w:tcMar>
            <w:vAlign w:val="center"/>
            <w:hideMark/>
          </w:tcPr>
          <w:p w14:paraId="609B7C8D" w14:textId="1B6FE3EE" w:rsidR="004C3E02" w:rsidRPr="00183B5F" w:rsidRDefault="00943743" w:rsidP="004062FE">
            <w:pPr>
              <w:keepNext/>
              <w:widowControl w:val="0"/>
              <w:spacing w:line="240" w:lineRule="auto"/>
              <w:rPr>
                <w:del w:id="2312" w:author="AbbVie_HU_03" w:date="2025-05-14T15:27:00Z"/>
              </w:rPr>
            </w:pPr>
            <w:del w:id="2313" w:author="AbbVie_HU_03" w:date="2025-05-14T15:27:00Z">
              <w:r w:rsidRPr="00183B5F">
                <w:delText xml:space="preserve">≥30%-os </w:delText>
              </w:r>
              <w:r w:rsidR="00220442" w:rsidRPr="00183B5F">
                <w:delText xml:space="preserve">bőrfájdalom </w:delText>
              </w:r>
              <w:r w:rsidRPr="00183B5F">
                <w:delText>csökkenés</w:delText>
              </w:r>
              <w:r w:rsidR="00693A80" w:rsidRPr="00183B5F">
                <w:rPr>
                  <w:vertAlign w:val="superscript"/>
                </w:rPr>
                <w:delText>b</w:delText>
              </w:r>
            </w:del>
          </w:p>
        </w:tc>
        <w:tc>
          <w:tcPr>
            <w:tcW w:w="1440" w:type="dxa"/>
            <w:tcMar>
              <w:top w:w="0" w:type="dxa"/>
              <w:left w:w="115" w:type="dxa"/>
              <w:bottom w:w="0" w:type="dxa"/>
              <w:right w:w="115" w:type="dxa"/>
            </w:tcMar>
            <w:hideMark/>
          </w:tcPr>
          <w:p w14:paraId="48061992" w14:textId="7BD55D1E" w:rsidR="004C3E02" w:rsidRPr="00183B5F" w:rsidRDefault="00943743" w:rsidP="004062FE">
            <w:pPr>
              <w:keepNext/>
              <w:widowControl w:val="0"/>
              <w:spacing w:line="240" w:lineRule="auto"/>
              <w:jc w:val="center"/>
              <w:rPr>
                <w:del w:id="2314" w:author="AbbVie_HU_03" w:date="2025-05-14T15:27:00Z"/>
              </w:rPr>
            </w:pPr>
            <w:del w:id="2315" w:author="AbbVie_HU_03" w:date="2025-05-14T15:27:00Z">
              <w:r w:rsidRPr="00183B5F">
                <w:delText>N</w:delText>
              </w:r>
              <w:r w:rsidR="008817DD" w:rsidRPr="00183B5F">
                <w:delText> </w:delText>
              </w:r>
              <w:r w:rsidRPr="00183B5F">
                <w:delText>=</w:delText>
              </w:r>
              <w:r w:rsidR="008817DD" w:rsidRPr="00183B5F">
                <w:delText> </w:delText>
              </w:r>
              <w:r w:rsidRPr="00183B5F">
                <w:delText>109</w:delText>
              </w:r>
              <w:r w:rsidRPr="00183B5F">
                <w:br/>
                <w:delText>27 (24,8%)</w:delText>
              </w:r>
            </w:del>
          </w:p>
        </w:tc>
        <w:tc>
          <w:tcPr>
            <w:tcW w:w="1746" w:type="dxa"/>
            <w:tcMar>
              <w:top w:w="0" w:type="dxa"/>
              <w:left w:w="115" w:type="dxa"/>
              <w:bottom w:w="0" w:type="dxa"/>
              <w:right w:w="115" w:type="dxa"/>
            </w:tcMar>
            <w:hideMark/>
          </w:tcPr>
          <w:p w14:paraId="2D0FC28B" w14:textId="426C8045" w:rsidR="004C3E02" w:rsidRPr="00183B5F" w:rsidRDefault="00943743" w:rsidP="004062FE">
            <w:pPr>
              <w:keepNext/>
              <w:widowControl w:val="0"/>
              <w:spacing w:line="240" w:lineRule="auto"/>
              <w:jc w:val="center"/>
              <w:rPr>
                <w:del w:id="2316" w:author="AbbVie_HU_03" w:date="2025-05-14T15:27:00Z"/>
              </w:rPr>
            </w:pPr>
            <w:del w:id="2317" w:author="AbbVie_HU_03" w:date="2025-05-14T15:27:00Z">
              <w:r w:rsidRPr="00183B5F">
                <w:delText>N</w:delText>
              </w:r>
              <w:r w:rsidR="008817DD" w:rsidRPr="00183B5F">
                <w:delText> </w:delText>
              </w:r>
              <w:r w:rsidRPr="00183B5F">
                <w:delText>=</w:delText>
              </w:r>
              <w:r w:rsidR="008817DD" w:rsidRPr="00183B5F">
                <w:delText> </w:delText>
              </w:r>
              <w:r w:rsidRPr="00183B5F">
                <w:delText>122</w:delText>
              </w:r>
              <w:r w:rsidRPr="00183B5F">
                <w:br/>
                <w:delText>34 (27,9%)</w:delText>
              </w:r>
            </w:del>
          </w:p>
        </w:tc>
        <w:tc>
          <w:tcPr>
            <w:tcW w:w="1404" w:type="dxa"/>
            <w:tcMar>
              <w:top w:w="0" w:type="dxa"/>
              <w:left w:w="115" w:type="dxa"/>
              <w:bottom w:w="0" w:type="dxa"/>
              <w:right w:w="115" w:type="dxa"/>
            </w:tcMar>
          </w:tcPr>
          <w:p w14:paraId="50A7136E" w14:textId="24BD2DD8" w:rsidR="004C3E02" w:rsidRPr="00183B5F" w:rsidRDefault="00943743" w:rsidP="004062FE">
            <w:pPr>
              <w:keepNext/>
              <w:widowControl w:val="0"/>
              <w:spacing w:line="240" w:lineRule="auto"/>
              <w:jc w:val="center"/>
              <w:rPr>
                <w:del w:id="2318" w:author="AbbVie_HU_03" w:date="2025-05-14T15:27:00Z"/>
              </w:rPr>
            </w:pPr>
            <w:del w:id="2319" w:author="AbbVie_HU_03" w:date="2025-05-14T15:27:00Z">
              <w:r w:rsidRPr="00183B5F">
                <w:delText>N = 111</w:delText>
              </w:r>
            </w:del>
          </w:p>
          <w:p w14:paraId="34A140FF" w14:textId="43F3D3C3" w:rsidR="004C3E02" w:rsidRPr="00183B5F" w:rsidRDefault="00943743" w:rsidP="004062FE">
            <w:pPr>
              <w:keepNext/>
              <w:widowControl w:val="0"/>
              <w:spacing w:line="240" w:lineRule="auto"/>
              <w:jc w:val="center"/>
              <w:rPr>
                <w:del w:id="2320" w:author="AbbVie_HU_03" w:date="2025-05-14T15:27:00Z"/>
              </w:rPr>
            </w:pPr>
            <w:del w:id="2321" w:author="AbbVie_HU_03" w:date="2025-05-14T15:27:00Z">
              <w:r w:rsidRPr="00183B5F">
                <w:delText>23 (20,7%)</w:delText>
              </w:r>
            </w:del>
          </w:p>
        </w:tc>
        <w:tc>
          <w:tcPr>
            <w:tcW w:w="1856" w:type="dxa"/>
            <w:tcMar>
              <w:top w:w="0" w:type="dxa"/>
              <w:left w:w="115" w:type="dxa"/>
              <w:bottom w:w="0" w:type="dxa"/>
              <w:right w:w="115" w:type="dxa"/>
            </w:tcMar>
          </w:tcPr>
          <w:p w14:paraId="29474EE7" w14:textId="03A92A7F" w:rsidR="004C3E02" w:rsidRPr="00183B5F" w:rsidRDefault="00943743" w:rsidP="004062FE">
            <w:pPr>
              <w:keepNext/>
              <w:widowControl w:val="0"/>
              <w:spacing w:line="240" w:lineRule="auto"/>
              <w:jc w:val="center"/>
              <w:rPr>
                <w:del w:id="2322" w:author="AbbVie_HU_03" w:date="2025-05-14T15:27:00Z"/>
              </w:rPr>
            </w:pPr>
            <w:del w:id="2323" w:author="AbbVie_HU_03" w:date="2025-05-14T15:27:00Z">
              <w:r w:rsidRPr="00183B5F">
                <w:delText>N = 105</w:delText>
              </w:r>
            </w:del>
          </w:p>
          <w:p w14:paraId="2FAACCB6" w14:textId="1CAA6E8E" w:rsidR="004C3E02" w:rsidRPr="00183B5F" w:rsidRDefault="00943743" w:rsidP="004062FE">
            <w:pPr>
              <w:keepNext/>
              <w:widowControl w:val="0"/>
              <w:spacing w:line="240" w:lineRule="auto"/>
              <w:jc w:val="center"/>
              <w:rPr>
                <w:del w:id="2324" w:author="AbbVie_HU_03" w:date="2025-05-14T15:27:00Z"/>
              </w:rPr>
            </w:pPr>
            <w:del w:id="2325" w:author="AbbVie_HU_03" w:date="2025-05-14T15:27:00Z">
              <w:r w:rsidRPr="00183B5F">
                <w:delText xml:space="preserve">48 (45,7%) </w:delText>
              </w:r>
              <w:r w:rsidRPr="00183B5F">
                <w:rPr>
                  <w:vertAlign w:val="superscript"/>
                </w:rPr>
                <w:delText>***</w:delText>
              </w:r>
            </w:del>
          </w:p>
        </w:tc>
      </w:tr>
      <w:tr w:rsidR="00011D2F" w14:paraId="13DB40EB" w14:textId="4A435A6F" w:rsidTr="004C3E02">
        <w:trPr>
          <w:jc w:val="center"/>
          <w:del w:id="2326" w:author="AbbVie_HU_03" w:date="2025-05-14T15:27:00Z"/>
        </w:trPr>
        <w:tc>
          <w:tcPr>
            <w:tcW w:w="9293" w:type="dxa"/>
            <w:gridSpan w:val="5"/>
            <w:tcMar>
              <w:top w:w="0" w:type="dxa"/>
              <w:left w:w="115" w:type="dxa"/>
              <w:bottom w:w="0" w:type="dxa"/>
              <w:right w:w="115" w:type="dxa"/>
            </w:tcMar>
            <w:vAlign w:val="center"/>
          </w:tcPr>
          <w:p w14:paraId="22BC89BA" w14:textId="4C86BBC7" w:rsidR="004C3E02" w:rsidRPr="00183B5F" w:rsidRDefault="00943743" w:rsidP="00E87C31">
            <w:pPr>
              <w:keepNext/>
              <w:widowControl w:val="0"/>
              <w:spacing w:line="240" w:lineRule="auto"/>
              <w:ind w:left="-4"/>
              <w:rPr>
                <w:del w:id="2327" w:author="AbbVie_HU_03" w:date="2025-05-14T15:27:00Z"/>
              </w:rPr>
            </w:pPr>
            <w:del w:id="2328" w:author="AbbVie_HU_03" w:date="2025-05-14T15:27:00Z">
              <w:r w:rsidRPr="00183B5F">
                <w:delText xml:space="preserve">* </w:delText>
              </w:r>
              <w:r w:rsidRPr="00183B5F">
                <w:rPr>
                  <w:i/>
                </w:rPr>
                <w:delText>P</w:delText>
              </w:r>
              <w:r w:rsidRPr="00183B5F">
                <w:delText xml:space="preserve"> &lt; 0</w:delText>
              </w:r>
              <w:r w:rsidR="00220442" w:rsidRPr="00183B5F">
                <w:delText>,</w:delText>
              </w:r>
              <w:r w:rsidRPr="00183B5F">
                <w:delText>05, ***</w:delText>
              </w:r>
              <w:r w:rsidRPr="00183B5F">
                <w:rPr>
                  <w:i/>
                </w:rPr>
                <w:delText xml:space="preserve">P </w:delText>
              </w:r>
              <w:r w:rsidRPr="00183B5F">
                <w:delText>&lt; 0</w:delText>
              </w:r>
              <w:r w:rsidR="00220442" w:rsidRPr="00183B5F">
                <w:delText>,</w:delText>
              </w:r>
              <w:r w:rsidRPr="00183B5F">
                <w:delText xml:space="preserve">001, Humira versus placebo </w:delText>
              </w:r>
            </w:del>
          </w:p>
          <w:p w14:paraId="35FC6D8D" w14:textId="3ABE318B" w:rsidR="004C3E02" w:rsidRPr="00183B5F" w:rsidRDefault="00943743" w:rsidP="00E87C31">
            <w:pPr>
              <w:keepNext/>
              <w:keepLines/>
              <w:widowControl w:val="0"/>
              <w:suppressAutoHyphens w:val="0"/>
              <w:spacing w:line="240" w:lineRule="auto"/>
              <w:rPr>
                <w:del w:id="2329" w:author="AbbVie_HU_03" w:date="2025-05-14T15:27:00Z"/>
              </w:rPr>
            </w:pPr>
            <w:del w:id="2330" w:author="AbbVie_HU_03" w:date="2025-05-14T15:27:00Z">
              <w:r w:rsidRPr="00183B5F">
                <w:rPr>
                  <w:vertAlign w:val="superscript"/>
                </w:rPr>
                <w:delText>a</w:delText>
              </w:r>
              <w:r w:rsidRPr="00183B5F">
                <w:delText xml:space="preserve"> </w:delText>
              </w:r>
              <w:r w:rsidRPr="00183B5F">
                <w:rPr>
                  <w:color w:val="000000"/>
                </w:rPr>
                <w:delText>Az összes randomizált betegnél</w:delText>
              </w:r>
              <w:r w:rsidRPr="00183B5F">
                <w:delText>.</w:delText>
              </w:r>
            </w:del>
          </w:p>
          <w:p w14:paraId="300390EA" w14:textId="366B37AB" w:rsidR="004C3E02" w:rsidRPr="00183B5F" w:rsidRDefault="00943743" w:rsidP="00E87C31">
            <w:pPr>
              <w:keepNext/>
              <w:suppressAutoHyphens w:val="0"/>
              <w:spacing w:line="240" w:lineRule="auto"/>
              <w:textAlignment w:val="baseline"/>
              <w:rPr>
                <w:del w:id="2331" w:author="AbbVie_HU_03" w:date="2025-05-14T15:27:00Z"/>
              </w:rPr>
            </w:pPr>
            <w:del w:id="2332" w:author="AbbVie_HU_03" w:date="2025-05-14T15:27:00Z">
              <w:r w:rsidRPr="00183B5F">
                <w:rPr>
                  <w:vertAlign w:val="superscript"/>
                </w:rPr>
                <w:delText xml:space="preserve">b </w:delText>
              </w:r>
              <w:r w:rsidRPr="00183B5F">
                <w:rPr>
                  <w:color w:val="000000"/>
                </w:rPr>
                <w:delText>Azoknál a betegeknél, akiknél a vizsgálat megkezdésekor a HS</w:delText>
              </w:r>
              <w:r w:rsidRPr="00183B5F">
                <w:rPr>
                  <w:color w:val="000000"/>
                </w:rPr>
                <w:noBreakHyphen/>
              </w:r>
              <w:r w:rsidRPr="00183B5F">
                <w:rPr>
                  <w:color w:val="000000"/>
                </w:rPr>
                <w:delText>sel összefüggő bőrfájdalom értéke ≥ 3 a 0</w:delText>
              </w:r>
              <w:r w:rsidRPr="00183B5F">
                <w:rPr>
                  <w:color w:val="000000"/>
                </w:rPr>
                <w:noBreakHyphen/>
                <w:delText>10</w:delText>
              </w:r>
              <w:r w:rsidRPr="00183B5F">
                <w:rPr>
                  <w:color w:val="000000"/>
                </w:rPr>
                <w:noBreakHyphen/>
                <w:delText xml:space="preserve">ig terjedő Numerikus </w:delText>
              </w:r>
              <w:r w:rsidR="005949DF" w:rsidRPr="00183B5F">
                <w:rPr>
                  <w:color w:val="000000"/>
                </w:rPr>
                <w:delText>s</w:delText>
              </w:r>
              <w:r w:rsidRPr="00183B5F">
                <w:rPr>
                  <w:color w:val="000000"/>
                </w:rPr>
                <w:delText>kála alapján: 0</w:delText>
              </w:r>
              <w:r w:rsidR="00994AB3" w:rsidRPr="00183B5F">
                <w:rPr>
                  <w:color w:val="000000"/>
                </w:rPr>
                <w:delText> </w:delText>
              </w:r>
              <w:r w:rsidRPr="00183B5F">
                <w:rPr>
                  <w:color w:val="000000"/>
                </w:rPr>
                <w:delText>=</w:delText>
              </w:r>
              <w:r w:rsidR="00994AB3" w:rsidRPr="00183B5F">
                <w:rPr>
                  <w:color w:val="000000"/>
                </w:rPr>
                <w:delText> </w:delText>
              </w:r>
              <w:r w:rsidR="00220442" w:rsidRPr="00183B5F">
                <w:rPr>
                  <w:color w:val="000000"/>
                </w:rPr>
                <w:delText xml:space="preserve">nincs </w:delText>
              </w:r>
              <w:r w:rsidRPr="00183B5F">
                <w:rPr>
                  <w:color w:val="000000"/>
                </w:rPr>
                <w:delText>bőrfájdalom , 10</w:delText>
              </w:r>
              <w:r w:rsidR="00994AB3" w:rsidRPr="00183B5F">
                <w:rPr>
                  <w:color w:val="000000"/>
                </w:rPr>
                <w:delText> </w:delText>
              </w:r>
              <w:r w:rsidRPr="00183B5F">
                <w:rPr>
                  <w:color w:val="000000"/>
                </w:rPr>
                <w:delText>=</w:delText>
              </w:r>
              <w:r w:rsidR="00994AB3" w:rsidRPr="00183B5F">
                <w:rPr>
                  <w:color w:val="000000"/>
                </w:rPr>
                <w:delText> </w:delText>
              </w:r>
              <w:r w:rsidRPr="00183B5F">
                <w:rPr>
                  <w:color w:val="000000"/>
                </w:rPr>
                <w:delText>olyan súlyos bőrfájdalom, amit csak el lehet képzelni</w:delText>
              </w:r>
              <w:r w:rsidRPr="00183B5F">
                <w:delText>.</w:delText>
              </w:r>
            </w:del>
          </w:p>
        </w:tc>
      </w:tr>
    </w:tbl>
    <w:p w14:paraId="5D563E07" w14:textId="14F140D3" w:rsidR="004C3E02" w:rsidRPr="00183B5F" w:rsidRDefault="004C3E02" w:rsidP="004062FE">
      <w:pPr>
        <w:spacing w:line="240" w:lineRule="auto"/>
        <w:jc w:val="center"/>
        <w:rPr>
          <w:del w:id="2333" w:author="AbbVie_HU_03" w:date="2025-05-14T15:27:00Z"/>
          <w:b/>
          <w:color w:val="000000"/>
        </w:rPr>
      </w:pPr>
    </w:p>
    <w:p w14:paraId="50967765" w14:textId="74AF01C3" w:rsidR="004C3E02" w:rsidRPr="00183B5F" w:rsidRDefault="00943743" w:rsidP="004062FE">
      <w:pPr>
        <w:spacing w:line="240" w:lineRule="auto"/>
        <w:rPr>
          <w:del w:id="2334" w:author="AbbVie_HU_03" w:date="2025-05-14T15:27:00Z"/>
          <w:color w:val="000000"/>
        </w:rPr>
      </w:pPr>
      <w:del w:id="2335" w:author="AbbVie_HU_03" w:date="2025-05-14T15:27:00Z">
        <w:r w:rsidRPr="00183B5F">
          <w:rPr>
            <w:color w:val="000000"/>
          </w:rPr>
          <w:delText>A minden héten 40 mg Humira adagolásán alapuló kezelés jelentősen lecsökkentette a tályogok és váladékozó fistulák romlásának kockázatát. A HS</w:delText>
        </w:r>
        <w:r w:rsidR="005949DF" w:rsidRPr="00183B5F">
          <w:rPr>
            <w:color w:val="000000"/>
          </w:rPr>
          <w:noBreakHyphen/>
        </w:r>
        <w:r w:rsidRPr="00183B5F">
          <w:rPr>
            <w:color w:val="000000"/>
          </w:rPr>
          <w:delText>I és</w:delText>
        </w:r>
        <w:r w:rsidR="001E5EBB" w:rsidRPr="00183B5F">
          <w:rPr>
            <w:color w:val="000000"/>
          </w:rPr>
          <w:delText xml:space="preserve"> </w:delText>
        </w:r>
        <w:r w:rsidRPr="00183B5F">
          <w:rPr>
            <w:color w:val="000000"/>
          </w:rPr>
          <w:delText>HS</w:delText>
        </w:r>
        <w:r w:rsidR="005949DF" w:rsidRPr="00183B5F">
          <w:rPr>
            <w:color w:val="000000"/>
          </w:rPr>
          <w:noBreakHyphen/>
        </w:r>
        <w:r w:rsidRPr="00183B5F">
          <w:rPr>
            <w:color w:val="000000"/>
          </w:rPr>
          <w:delText>II vizsgálat első 12 hetében megközelítőleg kétszer annyi, a placebocsoportba tartozó betegnél tapasztaltak romló tályogokat (23,0% vs 11,4%) és váladékozó fistulák (30,0% vs 13,9%), mint a Humira csoport betegeinél.</w:delText>
        </w:r>
      </w:del>
    </w:p>
    <w:p w14:paraId="376F4A43" w14:textId="78E381F5" w:rsidR="004C3E02" w:rsidRPr="00183B5F" w:rsidRDefault="004C3E02" w:rsidP="004062FE">
      <w:pPr>
        <w:spacing w:line="240" w:lineRule="auto"/>
        <w:rPr>
          <w:del w:id="2336" w:author="AbbVie_HU_03" w:date="2025-05-14T15:27:00Z"/>
          <w:color w:val="000000"/>
        </w:rPr>
      </w:pPr>
    </w:p>
    <w:p w14:paraId="4380CDBF" w14:textId="33917E08" w:rsidR="004C3E02" w:rsidRPr="00183B5F" w:rsidRDefault="00943743" w:rsidP="004062FE">
      <w:pPr>
        <w:spacing w:line="240" w:lineRule="auto"/>
        <w:rPr>
          <w:del w:id="2337" w:author="AbbVie_HU_03" w:date="2025-05-14T15:27:00Z"/>
          <w:color w:val="000000"/>
        </w:rPr>
      </w:pPr>
      <w:del w:id="2338" w:author="AbbVie_HU_03" w:date="2025-05-14T15:27:00Z">
        <w:r w:rsidRPr="00183B5F">
          <w:rPr>
            <w:color w:val="000000"/>
          </w:rPr>
          <w:delText>A bőr</w:delText>
        </w:r>
        <w:r w:rsidRPr="00183B5F">
          <w:rPr>
            <w:color w:val="000000"/>
          </w:rPr>
          <w:noBreakHyphen/>
          <w:delText>specifikus egészséggel kapcsolatos életminőségben bekövetkező számottevő javulást mutattak ki a placebóhoz képest a 12. héten a kiindulási értékéhez képest a Dermatológiai Élet Minőség Index</w:delText>
        </w:r>
        <w:r w:rsidRPr="00183B5F">
          <w:rPr>
            <w:color w:val="000000"/>
          </w:rPr>
          <w:noBreakHyphen/>
          <w:delText>szel (DLQI; HS</w:delText>
        </w:r>
        <w:r w:rsidRPr="00183B5F">
          <w:rPr>
            <w:color w:val="000000"/>
          </w:rPr>
          <w:noBreakHyphen/>
          <w:delText>I és HS</w:delText>
        </w:r>
        <w:r w:rsidRPr="00183B5F">
          <w:rPr>
            <w:color w:val="000000"/>
          </w:rPr>
          <w:noBreakHyphen/>
          <w:delText>II vizsgálat), a beteg gyógyszeres kezeléssel való általános megelégedettségében a Kezelési Elégedettségi Kérdőív – gyógyszerelés részével (TSQM, HS-I és HS</w:delText>
        </w:r>
        <w:r w:rsidR="005949DF" w:rsidRPr="00183B5F">
          <w:rPr>
            <w:color w:val="000000"/>
          </w:rPr>
          <w:noBreakHyphen/>
        </w:r>
        <w:r w:rsidRPr="00183B5F">
          <w:rPr>
            <w:color w:val="000000"/>
          </w:rPr>
          <w:delText>II vizsgálatok) és a fizikai egészségben az SF</w:delText>
        </w:r>
        <w:r w:rsidRPr="00183B5F">
          <w:rPr>
            <w:color w:val="000000"/>
          </w:rPr>
          <w:noBreakHyphen/>
          <w:delText>36 fizikai komponens összefoglaló pontszám által (HS</w:delText>
        </w:r>
        <w:r w:rsidRPr="00183B5F">
          <w:rPr>
            <w:color w:val="000000"/>
          </w:rPr>
          <w:noBreakHyphen/>
          <w:delText>I vizsgálat).</w:delText>
        </w:r>
      </w:del>
    </w:p>
    <w:p w14:paraId="3F61F752" w14:textId="6F9CCD93" w:rsidR="004C3E02" w:rsidRPr="00183B5F" w:rsidRDefault="004C3E02" w:rsidP="004062FE">
      <w:pPr>
        <w:spacing w:line="240" w:lineRule="auto"/>
        <w:rPr>
          <w:del w:id="2339" w:author="AbbVie_HU_03" w:date="2025-05-14T15:27:00Z"/>
          <w:color w:val="000000"/>
        </w:rPr>
      </w:pPr>
    </w:p>
    <w:p w14:paraId="2C59E3F3" w14:textId="0726E541" w:rsidR="004C3E02" w:rsidRPr="00183B5F" w:rsidRDefault="00943743" w:rsidP="004062FE">
      <w:pPr>
        <w:spacing w:line="240" w:lineRule="auto"/>
        <w:rPr>
          <w:del w:id="2340" w:author="AbbVie_HU_03" w:date="2025-05-14T15:27:00Z"/>
          <w:rFonts w:eastAsia="Calibri"/>
          <w:szCs w:val="22"/>
        </w:rPr>
      </w:pPr>
      <w:del w:id="2341" w:author="AbbVie_HU_03" w:date="2025-05-14T15:27:00Z">
        <w:r w:rsidRPr="00183B5F">
          <w:rPr>
            <w:color w:val="000000"/>
          </w:rPr>
          <w:delText>Azoknál a betegeknél akik a 12. héten legalább részlegesen reagáltak a heti 40 mg Humira</w:delText>
        </w:r>
        <w:r w:rsidRPr="00183B5F">
          <w:rPr>
            <w:color w:val="000000"/>
          </w:rPr>
          <w:noBreakHyphen/>
          <w:delText xml:space="preserve">ra, a 36. hétre a </w:delText>
        </w:r>
        <w:r w:rsidRPr="00183B5F">
          <w:rPr>
            <w:rFonts w:eastAsia="Calibri"/>
            <w:szCs w:val="22"/>
          </w:rPr>
          <w:delText xml:space="preserve">HiSCR arány magasabb volt azoknál, akik hetente folytatták a Humira alkalmazását, mint azoknál, akiknél az adagolás gyakorisága kéthetenkéntire csökkent, vagy akiknél abbahagyták a kezelést (lásd </w:delText>
        </w:r>
        <w:r w:rsidR="00293353" w:rsidRPr="00183B5F">
          <w:rPr>
            <w:rFonts w:eastAsia="Calibri"/>
            <w:szCs w:val="22"/>
          </w:rPr>
          <w:delText>16</w:delText>
        </w:r>
        <w:r w:rsidRPr="00183B5F">
          <w:rPr>
            <w:rFonts w:eastAsia="Calibri"/>
            <w:szCs w:val="22"/>
          </w:rPr>
          <w:delText>. táblázat).</w:delText>
        </w:r>
      </w:del>
    </w:p>
    <w:p w14:paraId="0F8AAEFB" w14:textId="7A3593B3" w:rsidR="004C3E02" w:rsidRPr="00183B5F" w:rsidRDefault="004C3E02" w:rsidP="004062FE">
      <w:pPr>
        <w:spacing w:line="240" w:lineRule="auto"/>
        <w:rPr>
          <w:del w:id="2342" w:author="AbbVie_HU_03" w:date="2025-05-14T15:27:00Z"/>
          <w:rFonts w:eastAsia="Calibri"/>
          <w:szCs w:val="22"/>
        </w:rPr>
      </w:pPr>
    </w:p>
    <w:p w14:paraId="56679485" w14:textId="79B36DC6" w:rsidR="004C3E02" w:rsidRPr="00183B5F" w:rsidRDefault="00943743" w:rsidP="004062FE">
      <w:pPr>
        <w:pStyle w:val="NormalWeb"/>
        <w:keepNext/>
        <w:spacing w:line="240" w:lineRule="auto"/>
        <w:jc w:val="center"/>
        <w:rPr>
          <w:del w:id="2343" w:author="AbbVie_HU_03" w:date="2025-05-14T15:27:00Z"/>
          <w:b/>
          <w:color w:val="000000"/>
          <w:sz w:val="22"/>
          <w:szCs w:val="22"/>
        </w:rPr>
      </w:pPr>
      <w:del w:id="2344" w:author="AbbVie_HU_03" w:date="2025-05-14T15:27:00Z">
        <w:r w:rsidRPr="00183B5F">
          <w:rPr>
            <w:b/>
            <w:color w:val="000000"/>
            <w:sz w:val="22"/>
            <w:szCs w:val="22"/>
          </w:rPr>
          <w:delText>16. táblázat: A HiSCR</w:delText>
        </w:r>
        <w:r w:rsidRPr="00183B5F">
          <w:rPr>
            <w:b/>
            <w:color w:val="000000"/>
            <w:sz w:val="22"/>
            <w:szCs w:val="22"/>
          </w:rPr>
          <w:noBreakHyphen/>
          <w:delText>t</w:delText>
        </w:r>
        <w:r w:rsidR="005532E8" w:rsidRPr="00183B5F">
          <w:rPr>
            <w:sz w:val="22"/>
            <w:vertAlign w:val="superscript"/>
          </w:rPr>
          <w:delText xml:space="preserve"> b</w:delText>
        </w:r>
        <w:r w:rsidRPr="00183B5F">
          <w:rPr>
            <w:b/>
            <w:color w:val="000000"/>
            <w:sz w:val="22"/>
            <w:szCs w:val="22"/>
          </w:rPr>
          <w:delText xml:space="preserve"> elérő betegek</w:delText>
        </w:r>
        <w:r w:rsidR="005532E8" w:rsidRPr="00183B5F">
          <w:rPr>
            <w:sz w:val="22"/>
            <w:vertAlign w:val="superscript"/>
          </w:rPr>
          <w:delText xml:space="preserve"> a</w:delText>
        </w:r>
        <w:r w:rsidRPr="00183B5F">
          <w:rPr>
            <w:b/>
            <w:color w:val="000000"/>
            <w:sz w:val="22"/>
            <w:szCs w:val="22"/>
          </w:rPr>
          <w:delText xml:space="preserve"> aránya a 24. és 36. héten a heti Humira adagolás megváltoztatása után a 12. héten</w:delText>
        </w:r>
      </w:del>
    </w:p>
    <w:p w14:paraId="5EB99B24" w14:textId="73873E3C" w:rsidR="004C3E02" w:rsidRPr="00183B5F" w:rsidRDefault="004C3E02" w:rsidP="004062FE">
      <w:pPr>
        <w:keepNext/>
        <w:spacing w:line="240" w:lineRule="auto"/>
        <w:rPr>
          <w:del w:id="2345" w:author="AbbVie_HU_03" w:date="2025-05-14T15:27:00Z"/>
          <w:color w:val="00000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1980"/>
        <w:gridCol w:w="1980"/>
        <w:gridCol w:w="1855"/>
      </w:tblGrid>
      <w:tr w:rsidR="00011D2F" w14:paraId="4D245B53" w14:textId="690DDBDE" w:rsidTr="004C3E02">
        <w:trPr>
          <w:tblHeader/>
          <w:jc w:val="center"/>
          <w:del w:id="2346" w:author="AbbVie_HU_03" w:date="2025-05-14T15:27:00Z"/>
        </w:trPr>
        <w:tc>
          <w:tcPr>
            <w:tcW w:w="1437" w:type="dxa"/>
            <w:vAlign w:val="bottom"/>
          </w:tcPr>
          <w:p w14:paraId="11819257" w14:textId="266B8700" w:rsidR="004C3E02" w:rsidRPr="00183B5F" w:rsidRDefault="004C3E02" w:rsidP="004062FE">
            <w:pPr>
              <w:pStyle w:val="TableLeft"/>
              <w:spacing w:before="0" w:after="0" w:line="240" w:lineRule="auto"/>
              <w:rPr>
                <w:del w:id="2347" w:author="AbbVie_HU_03" w:date="2025-05-14T15:27:00Z"/>
                <w:b/>
                <w:sz w:val="22"/>
                <w:lang w:val="hu-HU"/>
              </w:rPr>
            </w:pPr>
          </w:p>
        </w:tc>
        <w:tc>
          <w:tcPr>
            <w:tcW w:w="1980" w:type="dxa"/>
            <w:vAlign w:val="bottom"/>
          </w:tcPr>
          <w:p w14:paraId="32D7DA6A" w14:textId="5F373554" w:rsidR="004C3E02" w:rsidRPr="00183B5F" w:rsidRDefault="00943743" w:rsidP="004062FE">
            <w:pPr>
              <w:pStyle w:val="TableLeft"/>
              <w:spacing w:before="0" w:after="0" w:line="240" w:lineRule="auto"/>
              <w:jc w:val="center"/>
              <w:rPr>
                <w:del w:id="2348" w:author="AbbVie_HU_03" w:date="2025-05-14T15:27:00Z"/>
                <w:b/>
                <w:sz w:val="22"/>
                <w:lang w:val="hu-HU"/>
              </w:rPr>
            </w:pPr>
            <w:del w:id="2349" w:author="AbbVie_HU_03" w:date="2025-05-14T15:27:00Z">
              <w:r w:rsidRPr="00183B5F">
                <w:rPr>
                  <w:b/>
                  <w:sz w:val="22"/>
                  <w:lang w:val="hu-HU"/>
                </w:rPr>
                <w:delText>Placebo</w:delText>
              </w:r>
              <w:r w:rsidRPr="00183B5F">
                <w:rPr>
                  <w:b/>
                  <w:sz w:val="22"/>
                  <w:lang w:val="hu-HU"/>
                </w:rPr>
                <w:br/>
                <w:delText>(kezelés megszakítva)</w:delText>
              </w:r>
              <w:r w:rsidRPr="00183B5F">
                <w:rPr>
                  <w:b/>
                  <w:sz w:val="22"/>
                  <w:lang w:val="hu-HU"/>
                </w:rPr>
                <w:br/>
                <w:delText>N</w:delText>
              </w:r>
              <w:r w:rsidR="009D5AC1" w:rsidRPr="00183B5F">
                <w:rPr>
                  <w:b/>
                  <w:sz w:val="22"/>
                  <w:lang w:val="hu-HU"/>
                </w:rPr>
                <w:delText> </w:delText>
              </w:r>
              <w:r w:rsidRPr="00183B5F">
                <w:rPr>
                  <w:b/>
                  <w:sz w:val="22"/>
                  <w:lang w:val="hu-HU"/>
                </w:rPr>
                <w:delText>=</w:delText>
              </w:r>
              <w:r w:rsidR="009D5AC1" w:rsidRPr="00183B5F">
                <w:rPr>
                  <w:b/>
                  <w:sz w:val="22"/>
                  <w:lang w:val="hu-HU"/>
                </w:rPr>
                <w:delText> </w:delText>
              </w:r>
              <w:r w:rsidRPr="00183B5F">
                <w:rPr>
                  <w:b/>
                  <w:sz w:val="22"/>
                  <w:lang w:val="hu-HU"/>
                </w:rPr>
                <w:delText>73</w:delText>
              </w:r>
            </w:del>
          </w:p>
        </w:tc>
        <w:tc>
          <w:tcPr>
            <w:tcW w:w="1980" w:type="dxa"/>
            <w:vAlign w:val="bottom"/>
          </w:tcPr>
          <w:p w14:paraId="1DE2E0F0" w14:textId="1477A178" w:rsidR="004C3E02" w:rsidRPr="00183B5F" w:rsidRDefault="00943743" w:rsidP="004062FE">
            <w:pPr>
              <w:pStyle w:val="TableLeft"/>
              <w:spacing w:before="0" w:after="0" w:line="240" w:lineRule="auto"/>
              <w:jc w:val="center"/>
              <w:rPr>
                <w:del w:id="2350" w:author="AbbVie_HU_03" w:date="2025-05-14T15:27:00Z"/>
                <w:b/>
                <w:sz w:val="22"/>
                <w:lang w:val="hu-HU"/>
              </w:rPr>
            </w:pPr>
            <w:del w:id="2351" w:author="AbbVie_HU_03" w:date="2025-05-14T15:27:00Z">
              <w:r w:rsidRPr="00183B5F">
                <w:rPr>
                  <w:b/>
                  <w:sz w:val="22"/>
                  <w:lang w:val="hu-HU"/>
                </w:rPr>
                <w:delText>Humira 40</w:delText>
              </w:r>
              <w:r w:rsidR="009E7E35" w:rsidRPr="00183B5F">
                <w:rPr>
                  <w:b/>
                  <w:sz w:val="22"/>
                  <w:lang w:val="hu-HU"/>
                </w:rPr>
                <w:delText> </w:delText>
              </w:r>
              <w:r w:rsidRPr="00183B5F">
                <w:rPr>
                  <w:b/>
                  <w:sz w:val="22"/>
                  <w:lang w:val="hu-HU"/>
                </w:rPr>
                <w:delText>mg</w:delText>
              </w:r>
              <w:r w:rsidRPr="00183B5F">
                <w:rPr>
                  <w:b/>
                  <w:sz w:val="22"/>
                  <w:lang w:val="hu-HU"/>
                </w:rPr>
                <w:br/>
                <w:delText>minden 2. héten</w:delText>
              </w:r>
              <w:r w:rsidRPr="00183B5F">
                <w:rPr>
                  <w:b/>
                  <w:sz w:val="22"/>
                  <w:lang w:val="hu-HU"/>
                </w:rPr>
                <w:br/>
                <w:delText>N</w:delText>
              </w:r>
              <w:r w:rsidR="009D5AC1" w:rsidRPr="00183B5F">
                <w:rPr>
                  <w:b/>
                  <w:sz w:val="22"/>
                  <w:lang w:val="hu-HU"/>
                </w:rPr>
                <w:delText> </w:delText>
              </w:r>
              <w:r w:rsidRPr="00183B5F">
                <w:rPr>
                  <w:b/>
                  <w:sz w:val="22"/>
                  <w:lang w:val="hu-HU"/>
                </w:rPr>
                <w:delText>=</w:delText>
              </w:r>
              <w:r w:rsidR="009D5AC1" w:rsidRPr="00183B5F">
                <w:rPr>
                  <w:b/>
                  <w:sz w:val="22"/>
                  <w:lang w:val="hu-HU"/>
                </w:rPr>
                <w:delText> </w:delText>
              </w:r>
              <w:r w:rsidRPr="00183B5F">
                <w:rPr>
                  <w:b/>
                  <w:sz w:val="22"/>
                  <w:lang w:val="hu-HU"/>
                </w:rPr>
                <w:delText>70</w:delText>
              </w:r>
            </w:del>
          </w:p>
        </w:tc>
        <w:tc>
          <w:tcPr>
            <w:tcW w:w="1855" w:type="dxa"/>
            <w:vAlign w:val="bottom"/>
          </w:tcPr>
          <w:p w14:paraId="23DC1528" w14:textId="1251D966" w:rsidR="004C3E02" w:rsidRPr="00183B5F" w:rsidRDefault="00943743" w:rsidP="004062FE">
            <w:pPr>
              <w:pStyle w:val="TableLeft"/>
              <w:spacing w:before="0" w:after="0" w:line="240" w:lineRule="auto"/>
              <w:jc w:val="center"/>
              <w:rPr>
                <w:del w:id="2352" w:author="AbbVie_HU_03" w:date="2025-05-14T15:27:00Z"/>
                <w:b/>
                <w:sz w:val="22"/>
                <w:lang w:val="hu-HU"/>
              </w:rPr>
            </w:pPr>
            <w:del w:id="2353" w:author="AbbVie_HU_03" w:date="2025-05-14T15:27:00Z">
              <w:r w:rsidRPr="00183B5F">
                <w:rPr>
                  <w:b/>
                  <w:sz w:val="22"/>
                  <w:lang w:val="hu-HU"/>
                </w:rPr>
                <w:delText>Humira 40</w:delText>
              </w:r>
              <w:r w:rsidR="009E7E35" w:rsidRPr="00183B5F">
                <w:rPr>
                  <w:b/>
                  <w:sz w:val="22"/>
                  <w:lang w:val="hu-HU"/>
                </w:rPr>
                <w:delText> </w:delText>
              </w:r>
              <w:r w:rsidRPr="00183B5F">
                <w:rPr>
                  <w:b/>
                  <w:sz w:val="22"/>
                  <w:lang w:val="hu-HU"/>
                </w:rPr>
                <w:delText>mg</w:delText>
              </w:r>
              <w:r w:rsidRPr="00183B5F">
                <w:rPr>
                  <w:b/>
                  <w:sz w:val="22"/>
                  <w:lang w:val="hu-HU"/>
                </w:rPr>
                <w:br/>
                <w:delText>hetente</w:delText>
              </w:r>
              <w:r w:rsidRPr="00183B5F">
                <w:rPr>
                  <w:b/>
                  <w:sz w:val="22"/>
                  <w:lang w:val="hu-HU"/>
                </w:rPr>
                <w:br/>
                <w:delText>N</w:delText>
              </w:r>
              <w:r w:rsidR="009D5AC1" w:rsidRPr="00183B5F">
                <w:rPr>
                  <w:b/>
                  <w:sz w:val="22"/>
                  <w:lang w:val="hu-HU"/>
                </w:rPr>
                <w:delText> </w:delText>
              </w:r>
              <w:r w:rsidRPr="00183B5F">
                <w:rPr>
                  <w:b/>
                  <w:sz w:val="22"/>
                  <w:lang w:val="hu-HU"/>
                </w:rPr>
                <w:delText>=</w:delText>
              </w:r>
              <w:r w:rsidR="009D5AC1" w:rsidRPr="00183B5F">
                <w:rPr>
                  <w:b/>
                  <w:sz w:val="22"/>
                  <w:lang w:val="hu-HU"/>
                </w:rPr>
                <w:delText> </w:delText>
              </w:r>
              <w:r w:rsidRPr="00183B5F">
                <w:rPr>
                  <w:b/>
                  <w:sz w:val="22"/>
                  <w:lang w:val="hu-HU"/>
                </w:rPr>
                <w:delText>70</w:delText>
              </w:r>
            </w:del>
          </w:p>
        </w:tc>
      </w:tr>
      <w:tr w:rsidR="00011D2F" w14:paraId="46A553F9" w14:textId="02672381" w:rsidTr="004C3E02">
        <w:trPr>
          <w:jc w:val="center"/>
          <w:del w:id="2354" w:author="AbbVie_HU_03" w:date="2025-05-14T15:27:00Z"/>
        </w:trPr>
        <w:tc>
          <w:tcPr>
            <w:tcW w:w="1437" w:type="dxa"/>
          </w:tcPr>
          <w:p w14:paraId="06D0570C" w14:textId="73CC8D90" w:rsidR="004C3E02" w:rsidRPr="00183B5F" w:rsidRDefault="00943743" w:rsidP="004062FE">
            <w:pPr>
              <w:pStyle w:val="TableLeft"/>
              <w:spacing w:before="0" w:after="0" w:line="240" w:lineRule="auto"/>
              <w:rPr>
                <w:del w:id="2355" w:author="AbbVie_HU_03" w:date="2025-05-14T15:27:00Z"/>
                <w:sz w:val="22"/>
                <w:lang w:val="hu-HU"/>
              </w:rPr>
            </w:pPr>
            <w:del w:id="2356" w:author="AbbVie_HU_03" w:date="2025-05-14T15:27:00Z">
              <w:r w:rsidRPr="00183B5F">
                <w:rPr>
                  <w:sz w:val="22"/>
                  <w:lang w:val="hu-HU"/>
                </w:rPr>
                <w:delText>24. hét</w:delText>
              </w:r>
            </w:del>
          </w:p>
        </w:tc>
        <w:tc>
          <w:tcPr>
            <w:tcW w:w="1980" w:type="dxa"/>
          </w:tcPr>
          <w:p w14:paraId="01A81D50" w14:textId="3B9E2FCD" w:rsidR="004C3E02" w:rsidRPr="00183B5F" w:rsidRDefault="00943743" w:rsidP="004062FE">
            <w:pPr>
              <w:pStyle w:val="TableLeft"/>
              <w:spacing w:before="0" w:after="0" w:line="240" w:lineRule="auto"/>
              <w:jc w:val="center"/>
              <w:rPr>
                <w:del w:id="2357" w:author="AbbVie_HU_03" w:date="2025-05-14T15:27:00Z"/>
                <w:sz w:val="22"/>
                <w:lang w:val="hu-HU"/>
              </w:rPr>
            </w:pPr>
            <w:del w:id="2358" w:author="AbbVie_HU_03" w:date="2025-05-14T15:27:00Z">
              <w:r w:rsidRPr="00183B5F">
                <w:rPr>
                  <w:sz w:val="22"/>
                  <w:lang w:val="hu-HU"/>
                </w:rPr>
                <w:delText>24 (32,9%)</w:delText>
              </w:r>
            </w:del>
          </w:p>
        </w:tc>
        <w:tc>
          <w:tcPr>
            <w:tcW w:w="1980" w:type="dxa"/>
          </w:tcPr>
          <w:p w14:paraId="29793126" w14:textId="19CF67A0" w:rsidR="004C3E02" w:rsidRPr="00183B5F" w:rsidRDefault="00943743" w:rsidP="004062FE">
            <w:pPr>
              <w:pStyle w:val="TableLeft"/>
              <w:spacing w:before="0" w:after="0" w:line="240" w:lineRule="auto"/>
              <w:jc w:val="center"/>
              <w:rPr>
                <w:del w:id="2359" w:author="AbbVie_HU_03" w:date="2025-05-14T15:27:00Z"/>
                <w:sz w:val="22"/>
                <w:lang w:val="hu-HU"/>
              </w:rPr>
            </w:pPr>
            <w:del w:id="2360" w:author="AbbVie_HU_03" w:date="2025-05-14T15:27:00Z">
              <w:r w:rsidRPr="00183B5F">
                <w:rPr>
                  <w:sz w:val="22"/>
                  <w:lang w:val="hu-HU"/>
                </w:rPr>
                <w:delText>36 (51,4%)</w:delText>
              </w:r>
            </w:del>
          </w:p>
        </w:tc>
        <w:tc>
          <w:tcPr>
            <w:tcW w:w="1855" w:type="dxa"/>
          </w:tcPr>
          <w:p w14:paraId="295F434B" w14:textId="2823D9CC" w:rsidR="004C3E02" w:rsidRPr="00183B5F" w:rsidRDefault="00943743" w:rsidP="004062FE">
            <w:pPr>
              <w:pStyle w:val="TableLeft"/>
              <w:spacing w:before="0" w:after="0" w:line="240" w:lineRule="auto"/>
              <w:jc w:val="center"/>
              <w:rPr>
                <w:del w:id="2361" w:author="AbbVie_HU_03" w:date="2025-05-14T15:27:00Z"/>
                <w:sz w:val="22"/>
                <w:lang w:val="hu-HU"/>
              </w:rPr>
            </w:pPr>
            <w:del w:id="2362" w:author="AbbVie_HU_03" w:date="2025-05-14T15:27:00Z">
              <w:r w:rsidRPr="00183B5F">
                <w:rPr>
                  <w:sz w:val="22"/>
                  <w:lang w:val="hu-HU"/>
                </w:rPr>
                <w:delText>40 (57,1%)</w:delText>
              </w:r>
            </w:del>
          </w:p>
        </w:tc>
      </w:tr>
      <w:tr w:rsidR="00011D2F" w14:paraId="5972CA86" w14:textId="523FDBE9" w:rsidTr="004C3E02">
        <w:trPr>
          <w:jc w:val="center"/>
          <w:del w:id="2363" w:author="AbbVie_HU_03" w:date="2025-05-14T15:27:00Z"/>
        </w:trPr>
        <w:tc>
          <w:tcPr>
            <w:tcW w:w="1437" w:type="dxa"/>
          </w:tcPr>
          <w:p w14:paraId="4F9350BC" w14:textId="5E0E63A3" w:rsidR="004C3E02" w:rsidRPr="00183B5F" w:rsidRDefault="00943743" w:rsidP="004062FE">
            <w:pPr>
              <w:pStyle w:val="TableLeft"/>
              <w:spacing w:before="0" w:after="0" w:line="240" w:lineRule="auto"/>
              <w:rPr>
                <w:del w:id="2364" w:author="AbbVie_HU_03" w:date="2025-05-14T15:27:00Z"/>
                <w:sz w:val="22"/>
                <w:lang w:val="hu-HU"/>
              </w:rPr>
            </w:pPr>
            <w:del w:id="2365" w:author="AbbVie_HU_03" w:date="2025-05-14T15:27:00Z">
              <w:r w:rsidRPr="00183B5F">
                <w:rPr>
                  <w:sz w:val="22"/>
                  <w:lang w:val="hu-HU"/>
                </w:rPr>
                <w:delText>36. hét</w:delText>
              </w:r>
            </w:del>
          </w:p>
        </w:tc>
        <w:tc>
          <w:tcPr>
            <w:tcW w:w="1980" w:type="dxa"/>
          </w:tcPr>
          <w:p w14:paraId="618D1336" w14:textId="5829F25D" w:rsidR="004C3E02" w:rsidRPr="00183B5F" w:rsidRDefault="00943743" w:rsidP="004062FE">
            <w:pPr>
              <w:pStyle w:val="TableLeft"/>
              <w:spacing w:before="0" w:after="0" w:line="240" w:lineRule="auto"/>
              <w:jc w:val="center"/>
              <w:rPr>
                <w:del w:id="2366" w:author="AbbVie_HU_03" w:date="2025-05-14T15:27:00Z"/>
                <w:sz w:val="22"/>
                <w:lang w:val="hu-HU"/>
              </w:rPr>
            </w:pPr>
            <w:del w:id="2367" w:author="AbbVie_HU_03" w:date="2025-05-14T15:27:00Z">
              <w:r w:rsidRPr="00183B5F">
                <w:rPr>
                  <w:sz w:val="22"/>
                  <w:lang w:val="hu-HU"/>
                </w:rPr>
                <w:delText>22 (30,1%)</w:delText>
              </w:r>
            </w:del>
          </w:p>
        </w:tc>
        <w:tc>
          <w:tcPr>
            <w:tcW w:w="1980" w:type="dxa"/>
          </w:tcPr>
          <w:p w14:paraId="7C26F36D" w14:textId="30960186" w:rsidR="004C3E02" w:rsidRPr="00183B5F" w:rsidRDefault="00943743" w:rsidP="004062FE">
            <w:pPr>
              <w:pStyle w:val="TableLeft"/>
              <w:spacing w:before="0" w:after="0" w:line="240" w:lineRule="auto"/>
              <w:jc w:val="center"/>
              <w:rPr>
                <w:del w:id="2368" w:author="AbbVie_HU_03" w:date="2025-05-14T15:27:00Z"/>
                <w:sz w:val="22"/>
                <w:lang w:val="hu-HU"/>
              </w:rPr>
            </w:pPr>
            <w:del w:id="2369" w:author="AbbVie_HU_03" w:date="2025-05-14T15:27:00Z">
              <w:r w:rsidRPr="00183B5F">
                <w:rPr>
                  <w:sz w:val="22"/>
                  <w:lang w:val="hu-HU"/>
                </w:rPr>
                <w:delText>28 (40,0%)</w:delText>
              </w:r>
            </w:del>
          </w:p>
        </w:tc>
        <w:tc>
          <w:tcPr>
            <w:tcW w:w="1855" w:type="dxa"/>
          </w:tcPr>
          <w:p w14:paraId="7D55A39D" w14:textId="7D481AFA" w:rsidR="004C3E02" w:rsidRPr="00183B5F" w:rsidRDefault="00943743" w:rsidP="004062FE">
            <w:pPr>
              <w:pStyle w:val="TableLeft"/>
              <w:spacing w:before="0" w:after="0" w:line="240" w:lineRule="auto"/>
              <w:jc w:val="center"/>
              <w:rPr>
                <w:del w:id="2370" w:author="AbbVie_HU_03" w:date="2025-05-14T15:27:00Z"/>
                <w:sz w:val="22"/>
                <w:lang w:val="hu-HU"/>
              </w:rPr>
            </w:pPr>
            <w:del w:id="2371" w:author="AbbVie_HU_03" w:date="2025-05-14T15:27:00Z">
              <w:r w:rsidRPr="00183B5F">
                <w:rPr>
                  <w:sz w:val="22"/>
                  <w:lang w:val="hu-HU"/>
                </w:rPr>
                <w:delText>39 (55,7%)</w:delText>
              </w:r>
            </w:del>
          </w:p>
        </w:tc>
      </w:tr>
      <w:tr w:rsidR="00011D2F" w14:paraId="6D7B65EF" w14:textId="679B1474" w:rsidTr="004C3E02">
        <w:trPr>
          <w:jc w:val="center"/>
          <w:del w:id="2372" w:author="AbbVie_HU_03" w:date="2025-05-14T15:27:00Z"/>
        </w:trPr>
        <w:tc>
          <w:tcPr>
            <w:tcW w:w="7252" w:type="dxa"/>
            <w:gridSpan w:val="4"/>
          </w:tcPr>
          <w:p w14:paraId="23D066B3" w14:textId="7640A561" w:rsidR="004C3E02" w:rsidRPr="00183B5F" w:rsidRDefault="00943743" w:rsidP="004062FE">
            <w:pPr>
              <w:pStyle w:val="TableFootnoteLetter"/>
              <w:keepNext/>
              <w:numPr>
                <w:ilvl w:val="0"/>
                <w:numId w:val="0"/>
              </w:numPr>
              <w:tabs>
                <w:tab w:val="left" w:pos="423"/>
              </w:tabs>
              <w:spacing w:before="0" w:line="240" w:lineRule="auto"/>
              <w:ind w:left="423"/>
              <w:rPr>
                <w:del w:id="2373" w:author="AbbVie_HU_03" w:date="2025-05-14T15:27:00Z"/>
                <w:rFonts w:ascii="Times New Roman" w:hAnsi="Times New Roman"/>
                <w:sz w:val="22"/>
                <w:lang w:val="hu-HU"/>
              </w:rPr>
            </w:pPr>
            <w:del w:id="2374" w:author="AbbVie_HU_03" w:date="2025-05-14T15:27:00Z">
              <w:r w:rsidRPr="00183B5F">
                <w:rPr>
                  <w:rFonts w:ascii="Times New Roman" w:hAnsi="Times New Roman"/>
                  <w:sz w:val="22"/>
                  <w:vertAlign w:val="superscript"/>
                  <w:lang w:val="hu-HU"/>
                </w:rPr>
                <w:delText>a</w:delText>
              </w:r>
              <w:r w:rsidRPr="00183B5F">
                <w:rPr>
                  <w:rFonts w:ascii="Times New Roman" w:hAnsi="Times New Roman"/>
                  <w:sz w:val="22"/>
                  <w:lang w:val="hu-HU"/>
                </w:rPr>
                <w:delText xml:space="preserve"> Betegek, akik legalább részleges választ adtak a heti 40 mg Humira</w:delText>
              </w:r>
              <w:r w:rsidRPr="00183B5F">
                <w:rPr>
                  <w:rFonts w:ascii="Times New Roman" w:hAnsi="Times New Roman"/>
                  <w:sz w:val="22"/>
                  <w:lang w:val="hu-HU"/>
                </w:rPr>
                <w:noBreakHyphen/>
                <w:delText>ra a 12. hét után</w:delText>
              </w:r>
            </w:del>
          </w:p>
          <w:p w14:paraId="0D00A9B6" w14:textId="41D370CC" w:rsidR="004C3E02" w:rsidRPr="00183B5F" w:rsidRDefault="00943743" w:rsidP="004062FE">
            <w:pPr>
              <w:pStyle w:val="TableFootnoteLetter"/>
              <w:keepNext/>
              <w:numPr>
                <w:ilvl w:val="0"/>
                <w:numId w:val="0"/>
              </w:numPr>
              <w:tabs>
                <w:tab w:val="left" w:pos="423"/>
              </w:tabs>
              <w:spacing w:before="0" w:line="240" w:lineRule="auto"/>
              <w:ind w:left="423"/>
              <w:rPr>
                <w:del w:id="2375" w:author="AbbVie_HU_03" w:date="2025-05-14T15:27:00Z"/>
                <w:rFonts w:ascii="Times New Roman" w:hAnsi="Times New Roman"/>
                <w:sz w:val="22"/>
                <w:lang w:val="hu-HU"/>
              </w:rPr>
            </w:pPr>
            <w:del w:id="2376" w:author="AbbVie_HU_03" w:date="2025-05-14T15:27:00Z">
              <w:r w:rsidRPr="00183B5F">
                <w:rPr>
                  <w:rFonts w:ascii="Times New Roman" w:hAnsi="Times New Roman"/>
                  <w:sz w:val="22"/>
                  <w:vertAlign w:val="superscript"/>
                  <w:lang w:val="hu-HU"/>
                </w:rPr>
                <w:delText>b</w:delText>
              </w:r>
              <w:r w:rsidRPr="00183B5F">
                <w:rPr>
                  <w:rFonts w:ascii="Times New Roman" w:hAnsi="Times New Roman"/>
                  <w:sz w:val="22"/>
                  <w:lang w:val="hu-HU"/>
                </w:rPr>
                <w:delText xml:space="preserve"> Azoknál a betegeknél, akik megfeleltek a válaszreakció megszűnésének </w:delText>
              </w:r>
              <w:r w:rsidR="005949DF" w:rsidRPr="00183B5F">
                <w:rPr>
                  <w:rFonts w:ascii="Times New Roman" w:hAnsi="Times New Roman"/>
                  <w:sz w:val="22"/>
                  <w:lang w:val="hu-HU"/>
                </w:rPr>
                <w:delText xml:space="preserve">vagy a javulás hiányának </w:delText>
              </w:r>
              <w:r w:rsidRPr="00183B5F">
                <w:rPr>
                  <w:rFonts w:ascii="Times New Roman" w:hAnsi="Times New Roman"/>
                  <w:sz w:val="22"/>
                  <w:lang w:val="hu-HU"/>
                </w:rPr>
                <w:delText>protokollban meghatározott kritériumainak, leállították a kezelést, és nem reagálóknak számítottak.</w:delText>
              </w:r>
            </w:del>
          </w:p>
        </w:tc>
      </w:tr>
    </w:tbl>
    <w:p w14:paraId="32027238" w14:textId="436C97E2" w:rsidR="004C3E02" w:rsidRPr="00183B5F" w:rsidRDefault="004C3E02" w:rsidP="004062FE">
      <w:pPr>
        <w:spacing w:line="240" w:lineRule="auto"/>
        <w:rPr>
          <w:del w:id="2377" w:author="AbbVie_HU_03" w:date="2025-05-14T15:27:00Z"/>
          <w:color w:val="000000"/>
        </w:rPr>
      </w:pPr>
    </w:p>
    <w:p w14:paraId="22E49381" w14:textId="7F214AAA" w:rsidR="004C3E02" w:rsidRPr="00183B5F" w:rsidRDefault="00943743" w:rsidP="004062FE">
      <w:pPr>
        <w:spacing w:line="240" w:lineRule="auto"/>
        <w:rPr>
          <w:del w:id="2378" w:author="AbbVie_HU_03" w:date="2025-05-14T15:27:00Z"/>
          <w:color w:val="000000"/>
        </w:rPr>
      </w:pPr>
      <w:del w:id="2379" w:author="AbbVie_HU_03" w:date="2025-05-14T15:27:00Z">
        <w:r w:rsidRPr="00183B5F">
          <w:rPr>
            <w:color w:val="000000"/>
          </w:rPr>
          <w:delText xml:space="preserve">Azoknál a betegeknél, akik legalább részlegesen reagáltak a 12. héten, és akik folyamatos heti Humira terápiát kaptak, a HiSCR arány a 48. héten </w:delText>
        </w:r>
        <w:r w:rsidR="0088145E" w:rsidRPr="00183B5F">
          <w:rPr>
            <w:color w:val="000000"/>
          </w:rPr>
          <w:delText>68,3</w:delText>
        </w:r>
        <w:r w:rsidRPr="00183B5F">
          <w:rPr>
            <w:color w:val="000000"/>
          </w:rPr>
          <w:delText>%</w:delText>
        </w:r>
        <w:r w:rsidR="00ED45A7" w:rsidRPr="00183B5F">
          <w:rPr>
            <w:color w:val="000000"/>
          </w:rPr>
          <w:delText>,</w:delText>
        </w:r>
        <w:r w:rsidR="0088145E" w:rsidRPr="00183B5F">
          <w:rPr>
            <w:color w:val="000000"/>
          </w:rPr>
          <w:delText xml:space="preserve"> a 96. héten </w:delText>
        </w:r>
        <w:r w:rsidR="005307DD" w:rsidRPr="00183B5F">
          <w:rPr>
            <w:color w:val="000000"/>
          </w:rPr>
          <w:delText xml:space="preserve">pedig </w:delText>
        </w:r>
        <w:r w:rsidR="0088145E" w:rsidRPr="00183B5F">
          <w:rPr>
            <w:color w:val="000000"/>
          </w:rPr>
          <w:delText>65,1%</w:delText>
        </w:r>
        <w:r w:rsidRPr="00183B5F">
          <w:rPr>
            <w:color w:val="000000"/>
          </w:rPr>
          <w:delText> volt.</w:delText>
        </w:r>
        <w:r w:rsidR="0088145E" w:rsidRPr="00183B5F">
          <w:rPr>
            <w:color w:val="000000"/>
          </w:rPr>
          <w:delText xml:space="preserve"> </w:delText>
        </w:r>
        <w:r w:rsidR="008D7521" w:rsidRPr="00183B5F">
          <w:rPr>
            <w:color w:val="000000"/>
          </w:rPr>
          <w:delText xml:space="preserve">A </w:delText>
        </w:r>
        <w:r w:rsidR="006F700B" w:rsidRPr="00183B5F">
          <w:rPr>
            <w:color w:val="000000"/>
          </w:rPr>
          <w:delText xml:space="preserve">heti </w:delText>
        </w:r>
        <w:r w:rsidR="008D7521" w:rsidRPr="00183B5F">
          <w:rPr>
            <w:color w:val="000000"/>
          </w:rPr>
          <w:delText>40 mg Humira</w:delText>
        </w:r>
        <w:r w:rsidR="008D7521" w:rsidRPr="00183B5F">
          <w:rPr>
            <w:color w:val="000000"/>
          </w:rPr>
          <w:noBreakHyphen/>
          <w:delText>val történő hosszabb távú kezelés során a 96. hétig nem azonosítottak új</w:delText>
        </w:r>
        <w:r w:rsidR="006F700B" w:rsidRPr="00183B5F">
          <w:rPr>
            <w:color w:val="000000"/>
          </w:rPr>
          <w:delText>,</w:delText>
        </w:r>
        <w:r w:rsidR="008D7521" w:rsidRPr="00183B5F">
          <w:rPr>
            <w:color w:val="000000"/>
          </w:rPr>
          <w:delText xml:space="preserve"> biztonság</w:delText>
        </w:r>
        <w:r w:rsidR="006F700B" w:rsidRPr="00183B5F">
          <w:rPr>
            <w:color w:val="000000"/>
          </w:rPr>
          <w:delText>osság</w:delText>
        </w:r>
        <w:r w:rsidR="00CA2474" w:rsidRPr="00183B5F">
          <w:rPr>
            <w:color w:val="000000"/>
          </w:rPr>
          <w:delText>i</w:delText>
        </w:r>
        <w:r w:rsidR="008D7521" w:rsidRPr="00183B5F">
          <w:rPr>
            <w:color w:val="000000"/>
          </w:rPr>
          <w:delText xml:space="preserve"> eseményt.</w:delText>
        </w:r>
      </w:del>
    </w:p>
    <w:p w14:paraId="35FB8871" w14:textId="3B3A5E49" w:rsidR="004C3E02" w:rsidRPr="00183B5F" w:rsidRDefault="004C3E02">
      <w:pPr>
        <w:suppressAutoHyphens w:val="0"/>
        <w:spacing w:line="240" w:lineRule="auto"/>
        <w:rPr>
          <w:del w:id="2380" w:author="AbbVie_HU_03" w:date="2025-05-14T15:27:00Z"/>
          <w:color w:val="000000"/>
        </w:rPr>
      </w:pPr>
    </w:p>
    <w:p w14:paraId="0DAE22F5" w14:textId="31A1F160" w:rsidR="004C3E02" w:rsidRPr="00183B5F" w:rsidRDefault="00943743">
      <w:pPr>
        <w:suppressAutoHyphens w:val="0"/>
        <w:spacing w:line="240" w:lineRule="auto"/>
        <w:rPr>
          <w:del w:id="2381" w:author="AbbVie_HU_03" w:date="2025-05-14T15:27:00Z"/>
          <w:sz w:val="24"/>
        </w:rPr>
      </w:pPr>
      <w:del w:id="2382" w:author="AbbVie_HU_03" w:date="2025-05-14T15:27:00Z">
        <w:r w:rsidRPr="00183B5F">
          <w:rPr>
            <w:color w:val="000000"/>
          </w:rPr>
          <w:delText>Azoknál a betegeknél, akiknél a 12. héten leállították a Humira kezelést a HS</w:delText>
        </w:r>
        <w:r w:rsidRPr="00183B5F">
          <w:rPr>
            <w:color w:val="000000"/>
          </w:rPr>
          <w:noBreakHyphen/>
          <w:delText>I és HS</w:delText>
        </w:r>
        <w:r w:rsidRPr="00183B5F">
          <w:rPr>
            <w:color w:val="000000"/>
          </w:rPr>
          <w:noBreakHyphen/>
          <w:delText>II vizsgálatban, a HiSCR arány 12 héttel a 40 mg Humira heti adagolásának újbóli bevezetése után visszatért hasonló szintre, mint amit a leállítás előtt megfigyeltek (56,0%).</w:delText>
        </w:r>
      </w:del>
    </w:p>
    <w:p w14:paraId="6C7FC48D" w14:textId="2CB5C179" w:rsidR="00AB03A9" w:rsidRPr="00183B5F" w:rsidRDefault="00AB03A9" w:rsidP="004062FE">
      <w:pPr>
        <w:pStyle w:val="EMEAHeadingUnderline"/>
        <w:tabs>
          <w:tab w:val="clear" w:pos="562"/>
        </w:tabs>
        <w:spacing w:beforeLines="0" w:afterLines="0"/>
        <w:rPr>
          <w:del w:id="2383" w:author="AbbVie_HU_03" w:date="2025-05-14T15:27:00Z"/>
          <w:szCs w:val="22"/>
          <w:lang w:val="hu-HU"/>
        </w:rPr>
      </w:pPr>
    </w:p>
    <w:p w14:paraId="7CA45439" w14:textId="262A1383" w:rsidR="00464B96" w:rsidRPr="00183B5F" w:rsidRDefault="00943743" w:rsidP="004062FE">
      <w:pPr>
        <w:spacing w:line="240" w:lineRule="auto"/>
        <w:rPr>
          <w:del w:id="2384" w:author="AbbVie_HU_03" w:date="2025-05-14T15:27:00Z"/>
          <w:i/>
          <w:szCs w:val="22"/>
        </w:rPr>
      </w:pPr>
      <w:del w:id="2385" w:author="AbbVie_HU_03" w:date="2025-05-14T15:27:00Z">
        <w:r w:rsidRPr="00183B5F">
          <w:rPr>
            <w:i/>
            <w:szCs w:val="22"/>
          </w:rPr>
          <w:delText>Fenőttkori Crohn</w:delText>
        </w:r>
        <w:r w:rsidR="00B74377" w:rsidRPr="00183B5F">
          <w:rPr>
            <w:i/>
            <w:szCs w:val="22"/>
          </w:rPr>
          <w:noBreakHyphen/>
        </w:r>
        <w:r w:rsidRPr="00183B5F">
          <w:rPr>
            <w:i/>
            <w:szCs w:val="22"/>
          </w:rPr>
          <w:delText>betegség</w:delText>
        </w:r>
      </w:del>
    </w:p>
    <w:p w14:paraId="47400A6A" w14:textId="373B57B7" w:rsidR="00735487" w:rsidRPr="00183B5F" w:rsidRDefault="00735487" w:rsidP="004062FE">
      <w:pPr>
        <w:spacing w:line="240" w:lineRule="auto"/>
        <w:rPr>
          <w:del w:id="2386" w:author="AbbVie_HU_03" w:date="2025-05-14T15:27:00Z"/>
          <w:szCs w:val="22"/>
        </w:rPr>
      </w:pPr>
    </w:p>
    <w:p w14:paraId="7EDC5A26" w14:textId="197F6B2F" w:rsidR="00735487" w:rsidRPr="00183B5F" w:rsidRDefault="00943743" w:rsidP="004062FE">
      <w:pPr>
        <w:spacing w:line="240" w:lineRule="auto"/>
        <w:rPr>
          <w:del w:id="2387" w:author="AbbVie_HU_03" w:date="2025-05-14T15:27:00Z"/>
          <w:szCs w:val="22"/>
        </w:rPr>
      </w:pPr>
      <w:del w:id="2388" w:author="AbbVie_HU_03" w:date="2025-05-14T15:27:00Z">
        <w:r w:rsidRPr="00183B5F">
          <w:rPr>
            <w:szCs w:val="22"/>
          </w:rPr>
          <w:delText>A Humira biztonságosságát és hat</w:delText>
        </w:r>
        <w:r w:rsidR="00F2548D" w:rsidRPr="00183B5F">
          <w:rPr>
            <w:szCs w:val="22"/>
          </w:rPr>
          <w:delText>ásos</w:delText>
        </w:r>
        <w:r w:rsidRPr="00183B5F">
          <w:rPr>
            <w:szCs w:val="22"/>
          </w:rPr>
          <w:delText>ságát több mint 1500, köz</w:delText>
        </w:r>
        <w:r w:rsidR="00931CE1" w:rsidRPr="00183B5F">
          <w:rPr>
            <w:szCs w:val="22"/>
          </w:rPr>
          <w:delText>e</w:delText>
        </w:r>
        <w:r w:rsidRPr="00183B5F">
          <w:rPr>
            <w:szCs w:val="22"/>
          </w:rPr>
          <w:delText>p</w:delText>
        </w:r>
        <w:r w:rsidR="00931CE1" w:rsidRPr="00183B5F">
          <w:rPr>
            <w:szCs w:val="22"/>
          </w:rPr>
          <w:delText xml:space="preserve">esen </w:delText>
        </w:r>
        <w:r w:rsidRPr="00183B5F">
          <w:rPr>
            <w:szCs w:val="22"/>
          </w:rPr>
          <w:delText>súlyos</w:delText>
        </w:r>
        <w:r w:rsidR="00931CE1" w:rsidRPr="00183B5F">
          <w:rPr>
            <w:szCs w:val="22"/>
          </w:rPr>
          <w:delText xml:space="preserve"> </w:delText>
        </w:r>
        <w:r w:rsidR="002C1F5C" w:rsidRPr="00183B5F">
          <w:rPr>
            <w:szCs w:val="22"/>
          </w:rPr>
          <w:delText>–</w:delText>
        </w:r>
        <w:r w:rsidR="00931CE1" w:rsidRPr="00183B5F">
          <w:rPr>
            <w:szCs w:val="22"/>
          </w:rPr>
          <w:delText xml:space="preserve"> </w:delText>
        </w:r>
        <w:r w:rsidRPr="00183B5F">
          <w:rPr>
            <w:szCs w:val="22"/>
          </w:rPr>
          <w:delText>súlyos aktivitású Crohn</w:delText>
        </w:r>
        <w:r w:rsidR="00F2548D" w:rsidRPr="00183B5F">
          <w:rPr>
            <w:szCs w:val="22"/>
          </w:rPr>
          <w:noBreakHyphen/>
        </w:r>
        <w:r w:rsidRPr="00183B5F">
          <w:rPr>
            <w:szCs w:val="22"/>
          </w:rPr>
          <w:delText xml:space="preserve">betegségben (CDAI [Crohn’s Disease Activity Index – </w:delText>
        </w:r>
        <w:r w:rsidRPr="00183B5F">
          <w:rPr>
            <w:bCs/>
            <w:szCs w:val="22"/>
          </w:rPr>
          <w:delText>Crohn</w:delText>
        </w:r>
        <w:r w:rsidR="00B74377" w:rsidRPr="00183B5F">
          <w:rPr>
            <w:b/>
            <w:bCs/>
            <w:szCs w:val="22"/>
          </w:rPr>
          <w:noBreakHyphen/>
        </w:r>
        <w:r w:rsidRPr="00183B5F">
          <w:rPr>
            <w:szCs w:val="22"/>
          </w:rPr>
          <w:delText xml:space="preserve">betegség aktivitási index] </w:delText>
        </w:r>
        <w:r w:rsidR="00566101" w:rsidRPr="00183B5F">
          <w:rPr>
            <w:szCs w:val="22"/>
          </w:rPr>
          <w:delText>≥ </w:delText>
        </w:r>
        <w:r w:rsidRPr="00183B5F">
          <w:rPr>
            <w:szCs w:val="22"/>
          </w:rPr>
          <w:delText>220 – </w:delText>
        </w:r>
        <w:r w:rsidR="00566101" w:rsidRPr="00183B5F">
          <w:rPr>
            <w:szCs w:val="22"/>
          </w:rPr>
          <w:delText>≤ </w:delText>
        </w:r>
        <w:r w:rsidRPr="00183B5F">
          <w:rPr>
            <w:szCs w:val="22"/>
          </w:rPr>
          <w:delText>450) szenvedő beteg</w:delText>
        </w:r>
        <w:r w:rsidR="00396131" w:rsidRPr="00183B5F">
          <w:rPr>
            <w:szCs w:val="22"/>
          </w:rPr>
          <w:delText>nél</w:delText>
        </w:r>
        <w:r w:rsidRPr="00183B5F">
          <w:rPr>
            <w:szCs w:val="22"/>
          </w:rPr>
          <w:delText xml:space="preserve"> értékelték randomizált, </w:delText>
        </w:r>
        <w:r w:rsidR="00E5381A" w:rsidRPr="00183B5F">
          <w:rPr>
            <w:szCs w:val="22"/>
          </w:rPr>
          <w:delText>kettős vak</w:delText>
        </w:r>
        <w:r w:rsidRPr="00183B5F">
          <w:rPr>
            <w:szCs w:val="22"/>
          </w:rPr>
          <w:delText>, placebokontrollos vizsgálattal. Az aminoszalicilátok, kortikoszteroidok és/vagy immunmodulánsok alkalmazását változatlan dózisban engedélyezték</w:delText>
        </w:r>
        <w:r w:rsidR="00F2548D" w:rsidRPr="00183B5F">
          <w:rPr>
            <w:szCs w:val="22"/>
          </w:rPr>
          <w:delText>. E</w:delText>
        </w:r>
        <w:r w:rsidRPr="00183B5F">
          <w:rPr>
            <w:szCs w:val="22"/>
          </w:rPr>
          <w:delText xml:space="preserve"> szerek legalább egyikét a betegek 80%</w:delText>
        </w:r>
        <w:r w:rsidR="00F41513" w:rsidRPr="00183B5F">
          <w:rPr>
            <w:szCs w:val="22"/>
          </w:rPr>
          <w:noBreakHyphen/>
        </w:r>
        <w:r w:rsidRPr="00183B5F">
          <w:rPr>
            <w:szCs w:val="22"/>
          </w:rPr>
          <w:delText>a továbbra is kapta.</w:delText>
        </w:r>
      </w:del>
    </w:p>
    <w:p w14:paraId="667B553E" w14:textId="483FA977" w:rsidR="00735487" w:rsidRPr="00183B5F" w:rsidRDefault="00735487" w:rsidP="004062FE">
      <w:pPr>
        <w:spacing w:line="240" w:lineRule="auto"/>
        <w:rPr>
          <w:del w:id="2389" w:author="AbbVie_HU_03" w:date="2025-05-14T15:27:00Z"/>
          <w:szCs w:val="22"/>
        </w:rPr>
      </w:pPr>
    </w:p>
    <w:p w14:paraId="24822C07" w14:textId="2824E714" w:rsidR="00735487" w:rsidRPr="00183B5F" w:rsidRDefault="00943743" w:rsidP="004062FE">
      <w:pPr>
        <w:spacing w:line="240" w:lineRule="auto"/>
        <w:rPr>
          <w:del w:id="2390" w:author="AbbVie_HU_03" w:date="2025-05-14T15:27:00Z"/>
          <w:szCs w:val="22"/>
        </w:rPr>
      </w:pPr>
      <w:del w:id="2391" w:author="AbbVie_HU_03" w:date="2025-05-14T15:27:00Z">
        <w:r w:rsidRPr="00183B5F">
          <w:rPr>
            <w:szCs w:val="22"/>
          </w:rPr>
          <w:delText>A klinikai remisszió indukcióját (meghatározás szerint CDAI &lt; 150) két vizsgálat</w:delText>
        </w:r>
        <w:r w:rsidR="00B50780" w:rsidRPr="00183B5F">
          <w:rPr>
            <w:szCs w:val="22"/>
          </w:rPr>
          <w:delText>,</w:delText>
        </w:r>
        <w:r w:rsidRPr="00183B5F">
          <w:rPr>
            <w:szCs w:val="22"/>
          </w:rPr>
          <w:delText xml:space="preserve"> a CD</w:delText>
        </w:r>
        <w:r w:rsidR="007F0DA8" w:rsidRPr="00183B5F">
          <w:rPr>
            <w:szCs w:val="22"/>
          </w:rPr>
          <w:delText> </w:delText>
        </w:r>
        <w:r w:rsidRPr="00183B5F">
          <w:rPr>
            <w:szCs w:val="22"/>
          </w:rPr>
          <w:delText>I (CLASSIC</w:delText>
        </w:r>
        <w:r w:rsidR="007F0DA8" w:rsidRPr="00183B5F">
          <w:rPr>
            <w:szCs w:val="22"/>
          </w:rPr>
          <w:delText> </w:delText>
        </w:r>
        <w:r w:rsidRPr="00183B5F">
          <w:rPr>
            <w:szCs w:val="22"/>
          </w:rPr>
          <w:delText>I) és a CD</w:delText>
        </w:r>
        <w:r w:rsidR="00F41513" w:rsidRPr="00183B5F">
          <w:rPr>
            <w:szCs w:val="22"/>
          </w:rPr>
          <w:delText> </w:delText>
        </w:r>
        <w:r w:rsidRPr="00183B5F">
          <w:rPr>
            <w:szCs w:val="22"/>
          </w:rPr>
          <w:delText>II (GAIN) értékelte. A CD</w:delText>
        </w:r>
        <w:r w:rsidR="00F41513" w:rsidRPr="00183B5F">
          <w:rPr>
            <w:szCs w:val="22"/>
          </w:rPr>
          <w:delText> </w:delText>
        </w:r>
        <w:r w:rsidRPr="00183B5F">
          <w:rPr>
            <w:szCs w:val="22"/>
          </w:rPr>
          <w:delText>I vizsgálatban 299, TNF</w:delText>
        </w:r>
        <w:r w:rsidR="00F41513" w:rsidRPr="00183B5F">
          <w:rPr>
            <w:szCs w:val="22"/>
          </w:rPr>
          <w:noBreakHyphen/>
        </w:r>
        <w:r w:rsidRPr="00183B5F">
          <w:rPr>
            <w:szCs w:val="22"/>
          </w:rPr>
          <w:delText>antagonistával korábban még nem kezelt beteget soroltak véletlenszerűen a négy terápiás csoport valamelyikébe (placebokezelés a 0. és a 2. héten; 160 mg Humira a 0. és 80 mg a 2. héten; 80 mg Humira a 0. és 40 mg a 2. héten; 40 mg Humira a 0. és 20 mg a 2. héten). A CD</w:delText>
        </w:r>
        <w:r w:rsidR="00F41513" w:rsidRPr="00183B5F">
          <w:rPr>
            <w:szCs w:val="22"/>
          </w:rPr>
          <w:delText> </w:delText>
        </w:r>
        <w:r w:rsidRPr="00183B5F">
          <w:rPr>
            <w:szCs w:val="22"/>
          </w:rPr>
          <w:delText>II vizsgálatban 325</w:delText>
        </w:r>
        <w:r w:rsidR="003A436A" w:rsidRPr="00183B5F">
          <w:rPr>
            <w:szCs w:val="22"/>
          </w:rPr>
          <w:delText> </w:delText>
        </w:r>
        <w:r w:rsidRPr="00183B5F">
          <w:rPr>
            <w:szCs w:val="22"/>
          </w:rPr>
          <w:delText>beteget, akinél hatástalanná vált az infliximab, vagy infliximab-intolerancia állt fenn, véletlenszerű besorolás alapján a 0. héten 160 mg, illetve a 2. héten 80 mg Humira</w:delText>
        </w:r>
        <w:r w:rsidR="000D594B" w:rsidRPr="00183B5F">
          <w:rPr>
            <w:szCs w:val="22"/>
          </w:rPr>
          <w:noBreakHyphen/>
        </w:r>
        <w:r w:rsidRPr="00183B5F">
          <w:rPr>
            <w:szCs w:val="22"/>
          </w:rPr>
          <w:delText>val vagy a 0. és a 2. héten adott placebóval kezel</w:delText>
        </w:r>
        <w:r w:rsidRPr="00183B5F">
          <w:rPr>
            <w:szCs w:val="22"/>
          </w:rPr>
          <w:delText>tek. A primer nem reagálókat kizárták a vizsgálatokból, ezért ezeket a betegeket a továbbiakban nem értékelték.</w:delText>
        </w:r>
      </w:del>
    </w:p>
    <w:p w14:paraId="30DFCFBA" w14:textId="2AC1A90F" w:rsidR="00735487" w:rsidRPr="00183B5F" w:rsidRDefault="00735487" w:rsidP="004062FE">
      <w:pPr>
        <w:spacing w:line="240" w:lineRule="auto"/>
        <w:rPr>
          <w:del w:id="2392" w:author="AbbVie_HU_03" w:date="2025-05-14T15:27:00Z"/>
          <w:szCs w:val="22"/>
        </w:rPr>
      </w:pPr>
    </w:p>
    <w:p w14:paraId="1530DB7A" w14:textId="3ABDA5D4" w:rsidR="00735487" w:rsidRPr="00183B5F" w:rsidRDefault="00943743" w:rsidP="004062FE">
      <w:pPr>
        <w:spacing w:line="240" w:lineRule="auto"/>
        <w:rPr>
          <w:del w:id="2393" w:author="AbbVie_HU_03" w:date="2025-05-14T15:27:00Z"/>
          <w:szCs w:val="22"/>
        </w:rPr>
      </w:pPr>
      <w:del w:id="2394" w:author="AbbVie_HU_03" w:date="2025-05-14T15:27:00Z">
        <w:r w:rsidRPr="00183B5F">
          <w:rPr>
            <w:szCs w:val="22"/>
          </w:rPr>
          <w:delText>A klinikai remisszió fenntartását a CD</w:delText>
        </w:r>
        <w:r w:rsidR="00F41513" w:rsidRPr="00183B5F">
          <w:rPr>
            <w:szCs w:val="22"/>
          </w:rPr>
          <w:delText> </w:delText>
        </w:r>
        <w:r w:rsidRPr="00183B5F">
          <w:rPr>
            <w:szCs w:val="22"/>
          </w:rPr>
          <w:delText>III (CHARM) vizsgálat értékelte. A CD</w:delText>
        </w:r>
        <w:r w:rsidR="00F41513" w:rsidRPr="00183B5F">
          <w:rPr>
            <w:szCs w:val="22"/>
          </w:rPr>
          <w:delText> </w:delText>
        </w:r>
        <w:r w:rsidRPr="00183B5F">
          <w:rPr>
            <w:szCs w:val="22"/>
          </w:rPr>
          <w:delText>III vizsgálatban 854</w:delText>
        </w:r>
        <w:r w:rsidR="007F0DA8" w:rsidRPr="00183B5F">
          <w:rPr>
            <w:szCs w:val="22"/>
          </w:rPr>
          <w:delText> </w:delText>
        </w:r>
        <w:r w:rsidRPr="00183B5F">
          <w:rPr>
            <w:szCs w:val="22"/>
          </w:rPr>
          <w:delText xml:space="preserve">beteget kezeltek nyílt vizsgálati elrendezésben, a 0. héten 80 mg, a 2. héten 40 mg dózissal. A 4. héten a résztvevőket véletlenszerűen sorolták be </w:delText>
        </w:r>
        <w:r w:rsidR="00665490" w:rsidRPr="00183B5F">
          <w:rPr>
            <w:szCs w:val="22"/>
          </w:rPr>
          <w:delText xml:space="preserve">a </w:delText>
        </w:r>
        <w:r w:rsidRPr="00183B5F">
          <w:rPr>
            <w:szCs w:val="22"/>
          </w:rPr>
          <w:delText>minden második héten 40 mg</w:delText>
        </w:r>
        <w:r w:rsidR="00665490" w:rsidRPr="00183B5F">
          <w:rPr>
            <w:szCs w:val="22"/>
          </w:rPr>
          <w:noBreakHyphen/>
          <w:delText>os</w:delText>
        </w:r>
        <w:r w:rsidRPr="00183B5F">
          <w:rPr>
            <w:szCs w:val="22"/>
          </w:rPr>
          <w:delText xml:space="preserve"> dózissal, </w:delText>
        </w:r>
        <w:r w:rsidR="00665490" w:rsidRPr="00183B5F">
          <w:rPr>
            <w:szCs w:val="22"/>
          </w:rPr>
          <w:delText xml:space="preserve">a </w:delText>
        </w:r>
        <w:r w:rsidRPr="00183B5F">
          <w:rPr>
            <w:szCs w:val="22"/>
          </w:rPr>
          <w:delText>hetente 40 mg</w:delText>
        </w:r>
        <w:r w:rsidR="00665490" w:rsidRPr="00183B5F">
          <w:rPr>
            <w:szCs w:val="22"/>
          </w:rPr>
          <w:noBreakHyphen/>
          <w:delText>os</w:delText>
        </w:r>
        <w:r w:rsidRPr="00183B5F">
          <w:rPr>
            <w:szCs w:val="22"/>
          </w:rPr>
          <w:delText xml:space="preserve"> dózissal vagy placebóval kezelt csoportba, összességében 56</w:delText>
        </w:r>
        <w:r w:rsidR="007F0DA8" w:rsidRPr="00183B5F">
          <w:rPr>
            <w:szCs w:val="22"/>
          </w:rPr>
          <w:delText> </w:delText>
        </w:r>
        <w:r w:rsidRPr="00183B5F">
          <w:rPr>
            <w:szCs w:val="22"/>
          </w:rPr>
          <w:delText>hetes vizsgálati időtartammal. A kezelés 4.</w:delText>
        </w:r>
        <w:r w:rsidR="007F0DA8" w:rsidRPr="00183B5F">
          <w:rPr>
            <w:szCs w:val="22"/>
          </w:rPr>
          <w:delText> </w:delText>
        </w:r>
        <w:r w:rsidRPr="00183B5F">
          <w:rPr>
            <w:szCs w:val="22"/>
          </w:rPr>
          <w:delText xml:space="preserve">hetében a klinikailag reagáló (a CDAI </w:delText>
        </w:r>
        <w:r w:rsidR="00566101" w:rsidRPr="00183B5F">
          <w:rPr>
            <w:szCs w:val="22"/>
          </w:rPr>
          <w:delText>≥ </w:delText>
        </w:r>
        <w:r w:rsidRPr="00183B5F">
          <w:rPr>
            <w:szCs w:val="22"/>
          </w:rPr>
          <w:delText>70 pontos csökkenése) betegek csoportját rétegezték, és eredményeiket a kezelésre a 4. hétig klinik</w:delText>
        </w:r>
        <w:r w:rsidRPr="00183B5F">
          <w:rPr>
            <w:szCs w:val="22"/>
          </w:rPr>
          <w:delText>ailag nem reagáló betegekétől különválasztva értékelték. A 8. hét után engedélyezték a kortikoszteroid fokozatos csökkentését.</w:delText>
        </w:r>
      </w:del>
    </w:p>
    <w:p w14:paraId="0E60A70C" w14:textId="188F83A5" w:rsidR="00CB64F6" w:rsidRPr="00183B5F" w:rsidRDefault="00CB64F6">
      <w:pPr>
        <w:pStyle w:val="EMEANormal"/>
        <w:rPr>
          <w:del w:id="2395" w:author="AbbVie_HU_03" w:date="2025-05-14T15:27:00Z"/>
          <w:szCs w:val="22"/>
          <w:lang w:val="hu-HU"/>
        </w:rPr>
      </w:pPr>
    </w:p>
    <w:p w14:paraId="2CF53507" w14:textId="031AAEC6" w:rsidR="00194701" w:rsidRPr="00183B5F" w:rsidRDefault="00943743">
      <w:pPr>
        <w:pStyle w:val="EMEANormal"/>
        <w:rPr>
          <w:del w:id="2396" w:author="AbbVie_HU_03" w:date="2025-05-14T15:27:00Z"/>
          <w:szCs w:val="22"/>
          <w:lang w:val="hu-HU"/>
        </w:rPr>
      </w:pPr>
      <w:del w:id="2397" w:author="AbbVie_HU_03" w:date="2025-05-14T15:27:00Z">
        <w:r w:rsidRPr="00183B5F">
          <w:rPr>
            <w:szCs w:val="22"/>
            <w:lang w:val="hu-HU"/>
          </w:rPr>
          <w:delText>A CD</w:delText>
        </w:r>
        <w:r w:rsidR="00F41513" w:rsidRPr="00183B5F">
          <w:rPr>
            <w:szCs w:val="22"/>
            <w:lang w:val="hu-HU"/>
          </w:rPr>
          <w:delText> </w:delText>
        </w:r>
        <w:r w:rsidRPr="00183B5F">
          <w:rPr>
            <w:szCs w:val="22"/>
            <w:lang w:val="hu-HU"/>
          </w:rPr>
          <w:delText>I és a CD</w:delText>
        </w:r>
        <w:r w:rsidR="00F41513" w:rsidRPr="00183B5F">
          <w:rPr>
            <w:szCs w:val="22"/>
            <w:lang w:val="hu-HU"/>
          </w:rPr>
          <w:delText> </w:delText>
        </w:r>
        <w:r w:rsidRPr="00183B5F">
          <w:rPr>
            <w:szCs w:val="22"/>
            <w:lang w:val="hu-HU"/>
          </w:rPr>
          <w:delText xml:space="preserve">II vizsgálat során kiváltott remisszió gyakoriságát és a kezelésre reagáló betegek arányát </w:delText>
        </w:r>
        <w:r w:rsidR="00665490" w:rsidRPr="00183B5F">
          <w:rPr>
            <w:szCs w:val="22"/>
            <w:lang w:val="hu-HU"/>
          </w:rPr>
          <w:delText xml:space="preserve">a </w:delText>
        </w:r>
        <w:r w:rsidR="00293353" w:rsidRPr="00183B5F">
          <w:rPr>
            <w:szCs w:val="22"/>
            <w:lang w:val="hu-HU"/>
          </w:rPr>
          <w:delText>17</w:delText>
        </w:r>
        <w:r w:rsidR="00665490" w:rsidRPr="00183B5F">
          <w:rPr>
            <w:szCs w:val="22"/>
            <w:lang w:val="hu-HU"/>
          </w:rPr>
          <w:delText>. táblázat mutatja be</w:delText>
        </w:r>
        <w:r w:rsidRPr="00183B5F">
          <w:rPr>
            <w:szCs w:val="22"/>
            <w:lang w:val="hu-HU"/>
          </w:rPr>
          <w:delText>.</w:delText>
        </w:r>
      </w:del>
    </w:p>
    <w:p w14:paraId="560013D3" w14:textId="31AFA5D1" w:rsidR="00FB4AF5" w:rsidRPr="00183B5F" w:rsidRDefault="00FB4AF5">
      <w:pPr>
        <w:pStyle w:val="EMEANormal"/>
        <w:rPr>
          <w:del w:id="2398" w:author="AbbVie_HU_03" w:date="2025-05-14T15:27:00Z"/>
          <w:szCs w:val="22"/>
          <w:lang w:val="hu-HU"/>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1"/>
        <w:gridCol w:w="1192"/>
        <w:gridCol w:w="1249"/>
        <w:gridCol w:w="1176"/>
        <w:gridCol w:w="1494"/>
        <w:gridCol w:w="1816"/>
      </w:tblGrid>
      <w:tr w:rsidR="00011D2F" w14:paraId="71915065" w14:textId="6660F823" w:rsidTr="00D126CF">
        <w:trPr>
          <w:cantSplit/>
          <w:del w:id="2399" w:author="AbbVie_HU_03" w:date="2025-05-14T15:27:00Z"/>
        </w:trPr>
        <w:tc>
          <w:tcPr>
            <w:tcW w:w="9238" w:type="dxa"/>
            <w:gridSpan w:val="6"/>
            <w:tcBorders>
              <w:top w:val="nil"/>
              <w:left w:val="nil"/>
              <w:right w:val="nil"/>
            </w:tcBorders>
          </w:tcPr>
          <w:p w14:paraId="5C056E07" w14:textId="60D35AD9" w:rsidR="00CB64F6" w:rsidRPr="00183B5F" w:rsidRDefault="00943743">
            <w:pPr>
              <w:pStyle w:val="TableText"/>
              <w:keepNext w:val="0"/>
              <w:spacing w:before="0" w:after="0" w:line="240" w:lineRule="auto"/>
              <w:jc w:val="center"/>
              <w:rPr>
                <w:del w:id="2400" w:author="AbbVie_HU_03" w:date="2025-05-14T15:27:00Z"/>
                <w:b/>
                <w:bCs/>
                <w:sz w:val="22"/>
                <w:szCs w:val="22"/>
                <w:lang w:val="hu-HU"/>
              </w:rPr>
            </w:pPr>
            <w:del w:id="2401" w:author="AbbVie_HU_03" w:date="2025-05-14T15:27:00Z">
              <w:r w:rsidRPr="00183B5F">
                <w:rPr>
                  <w:b/>
                  <w:bCs/>
                  <w:sz w:val="22"/>
                  <w:szCs w:val="22"/>
                  <w:lang w:val="hu-HU"/>
                </w:rPr>
                <w:delText>17.</w:delText>
              </w:r>
              <w:r w:rsidR="0086404C" w:rsidRPr="00183B5F">
                <w:rPr>
                  <w:b/>
                  <w:bCs/>
                  <w:sz w:val="22"/>
                  <w:szCs w:val="22"/>
                  <w:lang w:val="hu-HU"/>
                </w:rPr>
                <w:delText> </w:delText>
              </w:r>
              <w:r w:rsidRPr="00183B5F">
                <w:rPr>
                  <w:b/>
                  <w:bCs/>
                  <w:sz w:val="22"/>
                  <w:szCs w:val="22"/>
                  <w:lang w:val="hu-HU"/>
                </w:rPr>
                <w:delText>táblázat</w:delText>
              </w:r>
            </w:del>
          </w:p>
          <w:p w14:paraId="575ADD5B" w14:textId="4E0A801F" w:rsidR="00CB64F6" w:rsidRPr="00183B5F" w:rsidRDefault="00943743">
            <w:pPr>
              <w:pStyle w:val="TableText"/>
              <w:keepNext w:val="0"/>
              <w:spacing w:before="0" w:after="0" w:line="240" w:lineRule="auto"/>
              <w:jc w:val="center"/>
              <w:rPr>
                <w:del w:id="2402" w:author="AbbVie_HU_03" w:date="2025-05-14T15:27:00Z"/>
                <w:b/>
                <w:bCs/>
                <w:sz w:val="22"/>
                <w:szCs w:val="22"/>
                <w:lang w:val="hu-HU"/>
              </w:rPr>
            </w:pPr>
            <w:del w:id="2403" w:author="AbbVie_HU_03" w:date="2025-05-14T15:27:00Z">
              <w:r w:rsidRPr="00183B5F">
                <w:rPr>
                  <w:b/>
                  <w:bCs/>
                  <w:sz w:val="22"/>
                  <w:szCs w:val="22"/>
                  <w:lang w:val="hu-HU"/>
                </w:rPr>
                <w:delText>Klinikai remisszió és válasz</w:delText>
              </w:r>
              <w:r w:rsidR="00665490" w:rsidRPr="00183B5F">
                <w:rPr>
                  <w:b/>
                  <w:bCs/>
                  <w:sz w:val="22"/>
                  <w:szCs w:val="22"/>
                  <w:lang w:val="hu-HU"/>
                </w:rPr>
                <w:delText>reakció</w:delText>
              </w:r>
              <w:r w:rsidRPr="00183B5F">
                <w:rPr>
                  <w:b/>
                  <w:bCs/>
                  <w:sz w:val="22"/>
                  <w:szCs w:val="22"/>
                  <w:lang w:val="hu-HU"/>
                </w:rPr>
                <w:delText xml:space="preserve"> indukció</w:delText>
              </w:r>
            </w:del>
          </w:p>
          <w:p w14:paraId="53EACB97" w14:textId="095D9670" w:rsidR="00CB64F6" w:rsidRPr="00183B5F" w:rsidRDefault="00943743">
            <w:pPr>
              <w:pStyle w:val="TableText"/>
              <w:keepNext w:val="0"/>
              <w:spacing w:before="0" w:after="0" w:line="240" w:lineRule="auto"/>
              <w:jc w:val="center"/>
              <w:rPr>
                <w:del w:id="2404" w:author="AbbVie_HU_03" w:date="2025-05-14T15:27:00Z"/>
                <w:b/>
                <w:bCs/>
                <w:sz w:val="22"/>
                <w:szCs w:val="22"/>
                <w:lang w:val="hu-HU"/>
              </w:rPr>
            </w:pPr>
            <w:del w:id="2405" w:author="AbbVie_HU_03" w:date="2025-05-14T15:27:00Z">
              <w:r w:rsidRPr="00183B5F">
                <w:rPr>
                  <w:b/>
                  <w:bCs/>
                  <w:sz w:val="22"/>
                  <w:szCs w:val="22"/>
                  <w:lang w:val="hu-HU"/>
                </w:rPr>
                <w:delText>(Betegek százaléka)</w:delText>
              </w:r>
            </w:del>
          </w:p>
        </w:tc>
      </w:tr>
      <w:tr w:rsidR="00011D2F" w14:paraId="4C033996" w14:textId="6B2F522D" w:rsidTr="00D126CF">
        <w:trPr>
          <w:cantSplit/>
          <w:del w:id="2406" w:author="AbbVie_HU_03" w:date="2025-05-14T15:27:00Z"/>
        </w:trPr>
        <w:tc>
          <w:tcPr>
            <w:tcW w:w="2416" w:type="dxa"/>
          </w:tcPr>
          <w:p w14:paraId="6EC62C26" w14:textId="311C526C" w:rsidR="00CB64F6" w:rsidRPr="00183B5F" w:rsidRDefault="00CB64F6" w:rsidP="004062FE">
            <w:pPr>
              <w:pStyle w:val="TableText"/>
              <w:keepNext w:val="0"/>
              <w:spacing w:before="0" w:after="0" w:line="240" w:lineRule="auto"/>
              <w:rPr>
                <w:del w:id="2407" w:author="AbbVie_HU_03" w:date="2025-05-14T15:27:00Z"/>
                <w:b/>
                <w:bCs/>
                <w:sz w:val="22"/>
                <w:szCs w:val="22"/>
                <w:lang w:val="hu-HU"/>
              </w:rPr>
            </w:pPr>
          </w:p>
        </w:tc>
        <w:tc>
          <w:tcPr>
            <w:tcW w:w="3412" w:type="dxa"/>
            <w:gridSpan w:val="3"/>
          </w:tcPr>
          <w:p w14:paraId="43989894" w14:textId="691478F2" w:rsidR="00CB64F6" w:rsidRPr="00183B5F" w:rsidRDefault="00943743" w:rsidP="004062FE">
            <w:pPr>
              <w:pStyle w:val="TableText"/>
              <w:spacing w:before="0" w:after="0" w:line="240" w:lineRule="auto"/>
              <w:rPr>
                <w:del w:id="2408" w:author="AbbVie_HU_03" w:date="2025-05-14T15:27:00Z"/>
                <w:b/>
                <w:bCs/>
                <w:sz w:val="22"/>
                <w:szCs w:val="22"/>
                <w:lang w:val="hu-HU"/>
              </w:rPr>
            </w:pPr>
            <w:del w:id="2409" w:author="AbbVie_HU_03" w:date="2025-05-14T15:27:00Z">
              <w:r w:rsidRPr="00183B5F">
                <w:rPr>
                  <w:b/>
                  <w:bCs/>
                  <w:sz w:val="22"/>
                  <w:szCs w:val="22"/>
                  <w:lang w:val="hu-HU"/>
                </w:rPr>
                <w:delText>CD I vizsgálat: Infliximab-naív betegek</w:delText>
              </w:r>
            </w:del>
          </w:p>
        </w:tc>
        <w:tc>
          <w:tcPr>
            <w:tcW w:w="3410" w:type="dxa"/>
            <w:gridSpan w:val="2"/>
          </w:tcPr>
          <w:p w14:paraId="50223976" w14:textId="6C9D5769" w:rsidR="00CB64F6" w:rsidRPr="00183B5F" w:rsidRDefault="00943743" w:rsidP="004062FE">
            <w:pPr>
              <w:pStyle w:val="TableText"/>
              <w:spacing w:before="0" w:after="0" w:line="240" w:lineRule="auto"/>
              <w:rPr>
                <w:del w:id="2410" w:author="AbbVie_HU_03" w:date="2025-05-14T15:27:00Z"/>
                <w:b/>
                <w:bCs/>
                <w:sz w:val="22"/>
                <w:szCs w:val="22"/>
                <w:lang w:val="hu-HU"/>
              </w:rPr>
            </w:pPr>
            <w:del w:id="2411" w:author="AbbVie_HU_03" w:date="2025-05-14T15:27:00Z">
              <w:r w:rsidRPr="00183B5F">
                <w:rPr>
                  <w:b/>
                  <w:bCs/>
                  <w:sz w:val="22"/>
                  <w:szCs w:val="22"/>
                  <w:lang w:val="hu-HU"/>
                </w:rPr>
                <w:delText>CD II vizsgálat: Infliximabbal már kezelt betegek</w:delText>
              </w:r>
            </w:del>
          </w:p>
        </w:tc>
      </w:tr>
      <w:tr w:rsidR="00011D2F" w14:paraId="2F970B4A" w14:textId="283C4C2D" w:rsidTr="00D126CF">
        <w:trPr>
          <w:cantSplit/>
          <w:del w:id="2412" w:author="AbbVie_HU_03" w:date="2025-05-14T15:27:00Z"/>
        </w:trPr>
        <w:tc>
          <w:tcPr>
            <w:tcW w:w="2416" w:type="dxa"/>
          </w:tcPr>
          <w:p w14:paraId="32C5018A" w14:textId="11706C15" w:rsidR="00CB64F6" w:rsidRPr="00183B5F" w:rsidRDefault="00CB64F6" w:rsidP="004062FE">
            <w:pPr>
              <w:pStyle w:val="TableText"/>
              <w:keepNext w:val="0"/>
              <w:spacing w:before="0" w:after="0" w:line="240" w:lineRule="auto"/>
              <w:jc w:val="center"/>
              <w:rPr>
                <w:del w:id="2413" w:author="AbbVie_HU_03" w:date="2025-05-14T15:27:00Z"/>
                <w:b/>
                <w:bCs/>
                <w:sz w:val="22"/>
                <w:szCs w:val="22"/>
                <w:lang w:val="hu-HU"/>
              </w:rPr>
            </w:pPr>
          </w:p>
        </w:tc>
        <w:tc>
          <w:tcPr>
            <w:tcW w:w="1212" w:type="dxa"/>
          </w:tcPr>
          <w:p w14:paraId="4AD8E100" w14:textId="0DB08E01" w:rsidR="00CB64F6" w:rsidRPr="00183B5F" w:rsidRDefault="00943743" w:rsidP="004062FE">
            <w:pPr>
              <w:pStyle w:val="TableText"/>
              <w:keepNext w:val="0"/>
              <w:spacing w:before="0" w:after="0" w:line="240" w:lineRule="auto"/>
              <w:jc w:val="center"/>
              <w:rPr>
                <w:del w:id="2414" w:author="AbbVie_HU_03" w:date="2025-05-14T15:27:00Z"/>
                <w:b/>
                <w:bCs/>
                <w:sz w:val="22"/>
                <w:szCs w:val="22"/>
                <w:lang w:val="hu-HU"/>
              </w:rPr>
            </w:pPr>
            <w:del w:id="2415" w:author="AbbVie_HU_03" w:date="2025-05-14T15:27:00Z">
              <w:r w:rsidRPr="00183B5F">
                <w:rPr>
                  <w:b/>
                  <w:bCs/>
                  <w:sz w:val="22"/>
                  <w:szCs w:val="22"/>
                  <w:lang w:val="hu-HU"/>
                </w:rPr>
                <w:delText>Placebo</w:delText>
              </w:r>
            </w:del>
          </w:p>
          <w:p w14:paraId="7D3C9CFB" w14:textId="06372EDA" w:rsidR="00CB64F6" w:rsidRPr="00183B5F" w:rsidRDefault="00943743" w:rsidP="004062FE">
            <w:pPr>
              <w:pStyle w:val="TableText"/>
              <w:keepNext w:val="0"/>
              <w:spacing w:before="0" w:after="0" w:line="240" w:lineRule="auto"/>
              <w:jc w:val="center"/>
              <w:rPr>
                <w:del w:id="2416" w:author="AbbVie_HU_03" w:date="2025-05-14T15:27:00Z"/>
                <w:b/>
                <w:bCs/>
                <w:sz w:val="22"/>
                <w:szCs w:val="22"/>
                <w:lang w:val="hu-HU"/>
              </w:rPr>
            </w:pPr>
            <w:del w:id="2417" w:author="AbbVie_HU_03" w:date="2025-05-14T15:27:00Z">
              <w:r w:rsidRPr="00183B5F">
                <w:rPr>
                  <w:b/>
                  <w:bCs/>
                  <w:sz w:val="22"/>
                  <w:szCs w:val="22"/>
                  <w:lang w:val="hu-HU"/>
                </w:rPr>
                <w:delText>N</w:delText>
              </w:r>
              <w:r w:rsidR="00665490" w:rsidRPr="00183B5F">
                <w:rPr>
                  <w:b/>
                  <w:bCs/>
                  <w:sz w:val="22"/>
                  <w:szCs w:val="22"/>
                  <w:lang w:val="hu-HU"/>
                </w:rPr>
                <w:delText> </w:delText>
              </w:r>
              <w:r w:rsidRPr="00183B5F">
                <w:rPr>
                  <w:b/>
                  <w:bCs/>
                  <w:sz w:val="22"/>
                  <w:szCs w:val="22"/>
                  <w:lang w:val="hu-HU"/>
                </w:rPr>
                <w:delText>=</w:delText>
              </w:r>
              <w:r w:rsidR="00665490" w:rsidRPr="00183B5F">
                <w:rPr>
                  <w:b/>
                  <w:bCs/>
                  <w:sz w:val="22"/>
                  <w:szCs w:val="22"/>
                  <w:lang w:val="hu-HU"/>
                </w:rPr>
                <w:delText> </w:delText>
              </w:r>
              <w:r w:rsidRPr="00183B5F">
                <w:rPr>
                  <w:b/>
                  <w:bCs/>
                  <w:sz w:val="22"/>
                  <w:szCs w:val="22"/>
                  <w:lang w:val="hu-HU"/>
                </w:rPr>
                <w:delText>74</w:delText>
              </w:r>
            </w:del>
          </w:p>
        </w:tc>
        <w:tc>
          <w:tcPr>
            <w:tcW w:w="1264" w:type="dxa"/>
          </w:tcPr>
          <w:p w14:paraId="195F3D2D" w14:textId="27C4D1D0" w:rsidR="00CB64F6" w:rsidRPr="00183B5F" w:rsidRDefault="00943743" w:rsidP="004062FE">
            <w:pPr>
              <w:pStyle w:val="TableText"/>
              <w:keepNext w:val="0"/>
              <w:spacing w:before="0" w:after="0" w:line="240" w:lineRule="auto"/>
              <w:jc w:val="center"/>
              <w:rPr>
                <w:del w:id="2418" w:author="AbbVie_HU_03" w:date="2025-05-14T15:27:00Z"/>
                <w:b/>
                <w:bCs/>
                <w:sz w:val="22"/>
                <w:szCs w:val="22"/>
                <w:lang w:val="hu-HU"/>
              </w:rPr>
            </w:pPr>
            <w:del w:id="2419" w:author="AbbVie_HU_03" w:date="2025-05-14T15:27:00Z">
              <w:r w:rsidRPr="00183B5F">
                <w:rPr>
                  <w:b/>
                  <w:bCs/>
                  <w:sz w:val="22"/>
                  <w:szCs w:val="22"/>
                  <w:lang w:val="hu-HU"/>
                </w:rPr>
                <w:delText>Humira</w:delText>
              </w:r>
            </w:del>
          </w:p>
          <w:p w14:paraId="75BAA1B7" w14:textId="7632132E" w:rsidR="00CB64F6" w:rsidRPr="00183B5F" w:rsidRDefault="00943743" w:rsidP="004062FE">
            <w:pPr>
              <w:pStyle w:val="TableText"/>
              <w:keepNext w:val="0"/>
              <w:spacing w:before="0" w:after="0" w:line="240" w:lineRule="auto"/>
              <w:jc w:val="center"/>
              <w:rPr>
                <w:del w:id="2420" w:author="AbbVie_HU_03" w:date="2025-05-14T15:27:00Z"/>
                <w:b/>
                <w:bCs/>
                <w:sz w:val="22"/>
                <w:szCs w:val="22"/>
                <w:lang w:val="hu-HU"/>
              </w:rPr>
            </w:pPr>
            <w:del w:id="2421" w:author="AbbVie_HU_03" w:date="2025-05-14T15:27:00Z">
              <w:r w:rsidRPr="00183B5F">
                <w:rPr>
                  <w:b/>
                  <w:bCs/>
                  <w:sz w:val="22"/>
                  <w:szCs w:val="22"/>
                  <w:lang w:val="hu-HU"/>
                </w:rPr>
                <w:delText>80/40 mg</w:delText>
              </w:r>
            </w:del>
          </w:p>
          <w:p w14:paraId="13DAD66E" w14:textId="3DCE5A02" w:rsidR="00CB64F6" w:rsidRPr="00183B5F" w:rsidRDefault="00943743" w:rsidP="004062FE">
            <w:pPr>
              <w:pStyle w:val="TableText"/>
              <w:keepNext w:val="0"/>
              <w:spacing w:before="0" w:after="0" w:line="240" w:lineRule="auto"/>
              <w:jc w:val="center"/>
              <w:rPr>
                <w:del w:id="2422" w:author="AbbVie_HU_03" w:date="2025-05-14T15:27:00Z"/>
                <w:b/>
                <w:bCs/>
                <w:sz w:val="22"/>
                <w:szCs w:val="22"/>
                <w:lang w:val="hu-HU"/>
              </w:rPr>
            </w:pPr>
            <w:del w:id="2423" w:author="AbbVie_HU_03" w:date="2025-05-14T15:27:00Z">
              <w:r w:rsidRPr="00183B5F">
                <w:rPr>
                  <w:b/>
                  <w:bCs/>
                  <w:sz w:val="22"/>
                  <w:szCs w:val="22"/>
                  <w:lang w:val="hu-HU"/>
                </w:rPr>
                <w:delText>N</w:delText>
              </w:r>
              <w:r w:rsidR="009D5AC1" w:rsidRPr="00183B5F">
                <w:rPr>
                  <w:b/>
                  <w:bCs/>
                  <w:sz w:val="22"/>
                  <w:szCs w:val="22"/>
                  <w:lang w:val="hu-HU"/>
                </w:rPr>
                <w:delText> </w:delText>
              </w:r>
              <w:r w:rsidRPr="00183B5F">
                <w:rPr>
                  <w:b/>
                  <w:bCs/>
                  <w:sz w:val="22"/>
                  <w:szCs w:val="22"/>
                  <w:lang w:val="hu-HU"/>
                </w:rPr>
                <w:delText>=</w:delText>
              </w:r>
              <w:r w:rsidR="009D5AC1" w:rsidRPr="00183B5F">
                <w:rPr>
                  <w:b/>
                  <w:bCs/>
                  <w:sz w:val="22"/>
                  <w:szCs w:val="22"/>
                  <w:lang w:val="hu-HU"/>
                </w:rPr>
                <w:delText> </w:delText>
              </w:r>
              <w:r w:rsidRPr="00183B5F">
                <w:rPr>
                  <w:b/>
                  <w:bCs/>
                  <w:sz w:val="22"/>
                  <w:szCs w:val="22"/>
                  <w:lang w:val="hu-HU"/>
                </w:rPr>
                <w:delText>75</w:delText>
              </w:r>
            </w:del>
          </w:p>
        </w:tc>
        <w:tc>
          <w:tcPr>
            <w:tcW w:w="936" w:type="dxa"/>
          </w:tcPr>
          <w:p w14:paraId="4D60F1A2" w14:textId="6585E10E" w:rsidR="00CB64F6" w:rsidRPr="00183B5F" w:rsidRDefault="00943743" w:rsidP="004062FE">
            <w:pPr>
              <w:pStyle w:val="TableText"/>
              <w:keepNext w:val="0"/>
              <w:spacing w:before="0" w:after="0" w:line="240" w:lineRule="auto"/>
              <w:jc w:val="center"/>
              <w:rPr>
                <w:del w:id="2424" w:author="AbbVie_HU_03" w:date="2025-05-14T15:27:00Z"/>
                <w:b/>
                <w:bCs/>
                <w:sz w:val="22"/>
                <w:szCs w:val="22"/>
                <w:lang w:val="hu-HU"/>
              </w:rPr>
            </w:pPr>
            <w:del w:id="2425" w:author="AbbVie_HU_03" w:date="2025-05-14T15:27:00Z">
              <w:r w:rsidRPr="00183B5F">
                <w:rPr>
                  <w:b/>
                  <w:bCs/>
                  <w:sz w:val="22"/>
                  <w:szCs w:val="22"/>
                  <w:lang w:val="hu-HU"/>
                </w:rPr>
                <w:delText xml:space="preserve">Humira </w:delText>
              </w:r>
            </w:del>
          </w:p>
          <w:p w14:paraId="1B22AC1F" w14:textId="4F89BB5F" w:rsidR="00CB64F6" w:rsidRPr="00183B5F" w:rsidRDefault="00943743" w:rsidP="004062FE">
            <w:pPr>
              <w:pStyle w:val="TableText"/>
              <w:keepNext w:val="0"/>
              <w:spacing w:before="0" w:after="0" w:line="240" w:lineRule="auto"/>
              <w:jc w:val="center"/>
              <w:rPr>
                <w:del w:id="2426" w:author="AbbVie_HU_03" w:date="2025-05-14T15:27:00Z"/>
                <w:b/>
                <w:bCs/>
                <w:sz w:val="22"/>
                <w:szCs w:val="22"/>
                <w:lang w:val="hu-HU"/>
              </w:rPr>
            </w:pPr>
            <w:del w:id="2427" w:author="AbbVie_HU_03" w:date="2025-05-14T15:27:00Z">
              <w:r w:rsidRPr="00183B5F">
                <w:rPr>
                  <w:b/>
                  <w:bCs/>
                  <w:sz w:val="22"/>
                  <w:szCs w:val="22"/>
                  <w:lang w:val="hu-HU"/>
                </w:rPr>
                <w:delText>160/80 mg N</w:delText>
              </w:r>
              <w:r w:rsidR="00665490" w:rsidRPr="00183B5F">
                <w:rPr>
                  <w:b/>
                  <w:bCs/>
                  <w:sz w:val="22"/>
                  <w:szCs w:val="22"/>
                  <w:lang w:val="hu-HU"/>
                </w:rPr>
                <w:delText> </w:delText>
              </w:r>
              <w:r w:rsidRPr="00183B5F">
                <w:rPr>
                  <w:b/>
                  <w:bCs/>
                  <w:sz w:val="22"/>
                  <w:szCs w:val="22"/>
                  <w:lang w:val="hu-HU"/>
                </w:rPr>
                <w:delText>=</w:delText>
              </w:r>
              <w:r w:rsidR="00665490" w:rsidRPr="00183B5F">
                <w:rPr>
                  <w:b/>
                  <w:bCs/>
                  <w:sz w:val="22"/>
                  <w:szCs w:val="22"/>
                  <w:lang w:val="hu-HU"/>
                </w:rPr>
                <w:delText> </w:delText>
              </w:r>
              <w:r w:rsidRPr="00183B5F">
                <w:rPr>
                  <w:b/>
                  <w:bCs/>
                  <w:sz w:val="22"/>
                  <w:szCs w:val="22"/>
                  <w:lang w:val="hu-HU"/>
                </w:rPr>
                <w:delText>76</w:delText>
              </w:r>
            </w:del>
          </w:p>
        </w:tc>
        <w:tc>
          <w:tcPr>
            <w:tcW w:w="1540" w:type="dxa"/>
          </w:tcPr>
          <w:p w14:paraId="1C31D3B1" w14:textId="20E0D9F0" w:rsidR="00CB64F6" w:rsidRPr="00183B5F" w:rsidRDefault="00943743" w:rsidP="004062FE">
            <w:pPr>
              <w:pStyle w:val="TableText"/>
              <w:keepNext w:val="0"/>
              <w:spacing w:before="0" w:after="0" w:line="240" w:lineRule="auto"/>
              <w:jc w:val="center"/>
              <w:rPr>
                <w:del w:id="2428" w:author="AbbVie_HU_03" w:date="2025-05-14T15:27:00Z"/>
                <w:b/>
                <w:bCs/>
                <w:sz w:val="22"/>
                <w:szCs w:val="22"/>
                <w:lang w:val="hu-HU"/>
              </w:rPr>
            </w:pPr>
            <w:del w:id="2429" w:author="AbbVie_HU_03" w:date="2025-05-14T15:27:00Z">
              <w:r w:rsidRPr="00183B5F">
                <w:rPr>
                  <w:b/>
                  <w:bCs/>
                  <w:sz w:val="22"/>
                  <w:szCs w:val="22"/>
                  <w:lang w:val="hu-HU"/>
                </w:rPr>
                <w:delText>Placebo</w:delText>
              </w:r>
            </w:del>
          </w:p>
          <w:p w14:paraId="3E92EA25" w14:textId="09E6CCDC" w:rsidR="00CB64F6" w:rsidRPr="00183B5F" w:rsidRDefault="00943743" w:rsidP="004062FE">
            <w:pPr>
              <w:pStyle w:val="TableText"/>
              <w:keepNext w:val="0"/>
              <w:spacing w:before="0" w:after="0" w:line="240" w:lineRule="auto"/>
              <w:jc w:val="center"/>
              <w:rPr>
                <w:del w:id="2430" w:author="AbbVie_HU_03" w:date="2025-05-14T15:27:00Z"/>
                <w:b/>
                <w:bCs/>
                <w:sz w:val="22"/>
                <w:szCs w:val="22"/>
                <w:lang w:val="hu-HU"/>
              </w:rPr>
            </w:pPr>
            <w:del w:id="2431" w:author="AbbVie_HU_03" w:date="2025-05-14T15:27:00Z">
              <w:r w:rsidRPr="00183B5F">
                <w:rPr>
                  <w:b/>
                  <w:bCs/>
                  <w:sz w:val="22"/>
                  <w:szCs w:val="22"/>
                  <w:lang w:val="hu-HU"/>
                </w:rPr>
                <w:delText>N</w:delText>
              </w:r>
              <w:r w:rsidR="00665490" w:rsidRPr="00183B5F">
                <w:rPr>
                  <w:b/>
                  <w:bCs/>
                  <w:sz w:val="22"/>
                  <w:szCs w:val="22"/>
                  <w:lang w:val="hu-HU"/>
                </w:rPr>
                <w:delText> </w:delText>
              </w:r>
              <w:r w:rsidRPr="00183B5F">
                <w:rPr>
                  <w:b/>
                  <w:bCs/>
                  <w:sz w:val="22"/>
                  <w:szCs w:val="22"/>
                  <w:lang w:val="hu-HU"/>
                </w:rPr>
                <w:delText>=</w:delText>
              </w:r>
              <w:r w:rsidR="00665490" w:rsidRPr="00183B5F">
                <w:rPr>
                  <w:b/>
                  <w:bCs/>
                  <w:sz w:val="22"/>
                  <w:szCs w:val="22"/>
                  <w:lang w:val="hu-HU"/>
                </w:rPr>
                <w:delText> </w:delText>
              </w:r>
              <w:r w:rsidRPr="00183B5F">
                <w:rPr>
                  <w:b/>
                  <w:bCs/>
                  <w:sz w:val="22"/>
                  <w:szCs w:val="22"/>
                  <w:lang w:val="hu-HU"/>
                </w:rPr>
                <w:delText>166</w:delText>
              </w:r>
            </w:del>
          </w:p>
        </w:tc>
        <w:tc>
          <w:tcPr>
            <w:tcW w:w="1870" w:type="dxa"/>
          </w:tcPr>
          <w:p w14:paraId="252D53CD" w14:textId="20774AC6" w:rsidR="00CB64F6" w:rsidRPr="00183B5F" w:rsidRDefault="00943743" w:rsidP="004062FE">
            <w:pPr>
              <w:pStyle w:val="TableText"/>
              <w:keepNext w:val="0"/>
              <w:spacing w:before="0" w:after="0" w:line="240" w:lineRule="auto"/>
              <w:jc w:val="center"/>
              <w:rPr>
                <w:del w:id="2432" w:author="AbbVie_HU_03" w:date="2025-05-14T15:27:00Z"/>
                <w:b/>
                <w:bCs/>
                <w:sz w:val="22"/>
                <w:szCs w:val="22"/>
                <w:lang w:val="hu-HU"/>
              </w:rPr>
            </w:pPr>
            <w:del w:id="2433" w:author="AbbVie_HU_03" w:date="2025-05-14T15:27:00Z">
              <w:r w:rsidRPr="00183B5F">
                <w:rPr>
                  <w:b/>
                  <w:bCs/>
                  <w:sz w:val="22"/>
                  <w:szCs w:val="22"/>
                  <w:lang w:val="hu-HU"/>
                </w:rPr>
                <w:delText xml:space="preserve">Humira </w:delText>
              </w:r>
            </w:del>
          </w:p>
          <w:p w14:paraId="56F4A874" w14:textId="09EE788F" w:rsidR="00CB64F6" w:rsidRPr="00183B5F" w:rsidRDefault="00943743" w:rsidP="004062FE">
            <w:pPr>
              <w:pStyle w:val="TableText"/>
              <w:keepNext w:val="0"/>
              <w:spacing w:before="0" w:after="0" w:line="240" w:lineRule="auto"/>
              <w:jc w:val="center"/>
              <w:rPr>
                <w:del w:id="2434" w:author="AbbVie_HU_03" w:date="2025-05-14T15:27:00Z"/>
                <w:b/>
                <w:bCs/>
                <w:sz w:val="22"/>
                <w:szCs w:val="22"/>
                <w:lang w:val="hu-HU"/>
              </w:rPr>
            </w:pPr>
            <w:del w:id="2435" w:author="AbbVie_HU_03" w:date="2025-05-14T15:27:00Z">
              <w:r w:rsidRPr="00183B5F">
                <w:rPr>
                  <w:b/>
                  <w:bCs/>
                  <w:sz w:val="22"/>
                  <w:szCs w:val="22"/>
                  <w:lang w:val="hu-HU"/>
                </w:rPr>
                <w:delText>160/80 mg</w:delText>
              </w:r>
            </w:del>
          </w:p>
          <w:p w14:paraId="02EF40D6" w14:textId="373931E7" w:rsidR="00CB64F6" w:rsidRPr="00183B5F" w:rsidRDefault="00943743" w:rsidP="004062FE">
            <w:pPr>
              <w:pStyle w:val="TableText"/>
              <w:keepNext w:val="0"/>
              <w:spacing w:before="0" w:after="0" w:line="240" w:lineRule="auto"/>
              <w:jc w:val="center"/>
              <w:rPr>
                <w:del w:id="2436" w:author="AbbVie_HU_03" w:date="2025-05-14T15:27:00Z"/>
                <w:b/>
                <w:bCs/>
                <w:sz w:val="22"/>
                <w:szCs w:val="22"/>
                <w:lang w:val="hu-HU"/>
              </w:rPr>
            </w:pPr>
            <w:del w:id="2437" w:author="AbbVie_HU_03" w:date="2025-05-14T15:27:00Z">
              <w:r w:rsidRPr="00183B5F">
                <w:rPr>
                  <w:b/>
                  <w:bCs/>
                  <w:sz w:val="22"/>
                  <w:szCs w:val="22"/>
                  <w:lang w:val="hu-HU"/>
                </w:rPr>
                <w:delText>N</w:delText>
              </w:r>
              <w:r w:rsidR="00665490" w:rsidRPr="00183B5F">
                <w:rPr>
                  <w:b/>
                  <w:bCs/>
                  <w:sz w:val="22"/>
                  <w:szCs w:val="22"/>
                  <w:lang w:val="hu-HU"/>
                </w:rPr>
                <w:delText> </w:delText>
              </w:r>
              <w:r w:rsidRPr="00183B5F">
                <w:rPr>
                  <w:b/>
                  <w:bCs/>
                  <w:sz w:val="22"/>
                  <w:szCs w:val="22"/>
                  <w:lang w:val="hu-HU"/>
                </w:rPr>
                <w:delText>=</w:delText>
              </w:r>
              <w:r w:rsidR="00665490" w:rsidRPr="00183B5F">
                <w:rPr>
                  <w:b/>
                  <w:bCs/>
                  <w:sz w:val="22"/>
                  <w:szCs w:val="22"/>
                  <w:lang w:val="hu-HU"/>
                </w:rPr>
                <w:delText> </w:delText>
              </w:r>
              <w:r w:rsidRPr="00183B5F">
                <w:rPr>
                  <w:b/>
                  <w:bCs/>
                  <w:sz w:val="22"/>
                  <w:szCs w:val="22"/>
                  <w:lang w:val="hu-HU"/>
                </w:rPr>
                <w:delText>159</w:delText>
              </w:r>
            </w:del>
          </w:p>
        </w:tc>
      </w:tr>
      <w:tr w:rsidR="00011D2F" w14:paraId="0287D621" w14:textId="559AFA4F" w:rsidTr="00D126CF">
        <w:trPr>
          <w:cantSplit/>
          <w:del w:id="2438" w:author="AbbVie_HU_03" w:date="2025-05-14T15:27:00Z"/>
        </w:trPr>
        <w:tc>
          <w:tcPr>
            <w:tcW w:w="2416" w:type="dxa"/>
            <w:vAlign w:val="bottom"/>
          </w:tcPr>
          <w:p w14:paraId="5098DC8B" w14:textId="27E2B65F" w:rsidR="00CB64F6" w:rsidRPr="00183B5F" w:rsidRDefault="00943743" w:rsidP="004062FE">
            <w:pPr>
              <w:pStyle w:val="TableText"/>
              <w:keepNext w:val="0"/>
              <w:spacing w:before="0" w:after="0" w:line="240" w:lineRule="auto"/>
              <w:rPr>
                <w:del w:id="2439" w:author="AbbVie_HU_03" w:date="2025-05-14T15:27:00Z"/>
                <w:sz w:val="22"/>
                <w:szCs w:val="22"/>
                <w:lang w:val="hu-HU"/>
              </w:rPr>
            </w:pPr>
            <w:del w:id="2440" w:author="AbbVie_HU_03" w:date="2025-05-14T15:27:00Z">
              <w:r w:rsidRPr="00183B5F">
                <w:rPr>
                  <w:sz w:val="22"/>
                  <w:szCs w:val="22"/>
                  <w:lang w:val="hu-HU"/>
                </w:rPr>
                <w:delText>4. hét</w:delText>
              </w:r>
            </w:del>
          </w:p>
        </w:tc>
        <w:tc>
          <w:tcPr>
            <w:tcW w:w="1212" w:type="dxa"/>
            <w:vAlign w:val="bottom"/>
          </w:tcPr>
          <w:p w14:paraId="135195FE" w14:textId="3F7B2777" w:rsidR="00CB64F6" w:rsidRPr="00183B5F" w:rsidRDefault="00CB64F6" w:rsidP="004062FE">
            <w:pPr>
              <w:pStyle w:val="TableText"/>
              <w:keepNext w:val="0"/>
              <w:spacing w:before="0" w:after="0" w:line="240" w:lineRule="auto"/>
              <w:rPr>
                <w:del w:id="2441" w:author="AbbVie_HU_03" w:date="2025-05-14T15:27:00Z"/>
                <w:sz w:val="22"/>
                <w:szCs w:val="22"/>
                <w:lang w:val="hu-HU"/>
              </w:rPr>
            </w:pPr>
          </w:p>
        </w:tc>
        <w:tc>
          <w:tcPr>
            <w:tcW w:w="1264" w:type="dxa"/>
            <w:vAlign w:val="bottom"/>
          </w:tcPr>
          <w:p w14:paraId="3BF3EE6A" w14:textId="72A5C89C" w:rsidR="00CB64F6" w:rsidRPr="00183B5F" w:rsidRDefault="00CB64F6" w:rsidP="004062FE">
            <w:pPr>
              <w:pStyle w:val="TableText"/>
              <w:keepNext w:val="0"/>
              <w:spacing w:before="0" w:after="0" w:line="240" w:lineRule="auto"/>
              <w:rPr>
                <w:del w:id="2442" w:author="AbbVie_HU_03" w:date="2025-05-14T15:27:00Z"/>
                <w:sz w:val="22"/>
                <w:szCs w:val="22"/>
                <w:lang w:val="hu-HU"/>
              </w:rPr>
            </w:pPr>
          </w:p>
        </w:tc>
        <w:tc>
          <w:tcPr>
            <w:tcW w:w="936" w:type="dxa"/>
            <w:vAlign w:val="bottom"/>
          </w:tcPr>
          <w:p w14:paraId="180E3ABE" w14:textId="5D0DF458" w:rsidR="00CB64F6" w:rsidRPr="00183B5F" w:rsidRDefault="00CB64F6" w:rsidP="004062FE">
            <w:pPr>
              <w:pStyle w:val="TableText"/>
              <w:keepNext w:val="0"/>
              <w:spacing w:before="0" w:after="0" w:line="240" w:lineRule="auto"/>
              <w:rPr>
                <w:del w:id="2443" w:author="AbbVie_HU_03" w:date="2025-05-14T15:27:00Z"/>
                <w:sz w:val="22"/>
                <w:szCs w:val="22"/>
                <w:lang w:val="hu-HU"/>
              </w:rPr>
            </w:pPr>
          </w:p>
        </w:tc>
        <w:tc>
          <w:tcPr>
            <w:tcW w:w="1540" w:type="dxa"/>
            <w:vAlign w:val="bottom"/>
          </w:tcPr>
          <w:p w14:paraId="74F04384" w14:textId="7B63AE8E" w:rsidR="00CB64F6" w:rsidRPr="00183B5F" w:rsidRDefault="00CB64F6" w:rsidP="004062FE">
            <w:pPr>
              <w:pStyle w:val="TableText"/>
              <w:keepNext w:val="0"/>
              <w:spacing w:before="0" w:after="0" w:line="240" w:lineRule="auto"/>
              <w:rPr>
                <w:del w:id="2444" w:author="AbbVie_HU_03" w:date="2025-05-14T15:27:00Z"/>
                <w:sz w:val="22"/>
                <w:szCs w:val="22"/>
                <w:lang w:val="hu-HU"/>
              </w:rPr>
            </w:pPr>
          </w:p>
        </w:tc>
        <w:tc>
          <w:tcPr>
            <w:tcW w:w="1870" w:type="dxa"/>
            <w:vAlign w:val="bottom"/>
          </w:tcPr>
          <w:p w14:paraId="405B1D82" w14:textId="3A2C6E94" w:rsidR="00CB64F6" w:rsidRPr="00183B5F" w:rsidRDefault="00CB64F6" w:rsidP="004062FE">
            <w:pPr>
              <w:pStyle w:val="TableText"/>
              <w:keepNext w:val="0"/>
              <w:spacing w:before="0" w:after="0" w:line="240" w:lineRule="auto"/>
              <w:rPr>
                <w:del w:id="2445" w:author="AbbVie_HU_03" w:date="2025-05-14T15:27:00Z"/>
                <w:sz w:val="22"/>
                <w:szCs w:val="22"/>
                <w:lang w:val="hu-HU"/>
              </w:rPr>
            </w:pPr>
          </w:p>
        </w:tc>
      </w:tr>
      <w:tr w:rsidR="00011D2F" w14:paraId="0E142154" w14:textId="413C3DC8" w:rsidTr="00D126CF">
        <w:trPr>
          <w:cantSplit/>
          <w:del w:id="2446" w:author="AbbVie_HU_03" w:date="2025-05-14T15:27:00Z"/>
        </w:trPr>
        <w:tc>
          <w:tcPr>
            <w:tcW w:w="2416" w:type="dxa"/>
            <w:vAlign w:val="bottom"/>
          </w:tcPr>
          <w:p w14:paraId="302E518F" w14:textId="434BE762" w:rsidR="00CB64F6" w:rsidRPr="00183B5F" w:rsidRDefault="00943743" w:rsidP="004062FE">
            <w:pPr>
              <w:pStyle w:val="TableText"/>
              <w:spacing w:before="0" w:after="0" w:line="240" w:lineRule="auto"/>
              <w:rPr>
                <w:del w:id="2447" w:author="AbbVie_HU_03" w:date="2025-05-14T15:27:00Z"/>
                <w:sz w:val="22"/>
                <w:szCs w:val="22"/>
                <w:lang w:val="hu-HU"/>
              </w:rPr>
            </w:pPr>
            <w:del w:id="2448" w:author="AbbVie_HU_03" w:date="2025-05-14T15:27:00Z">
              <w:r w:rsidRPr="00183B5F">
                <w:rPr>
                  <w:sz w:val="22"/>
                  <w:szCs w:val="22"/>
                  <w:lang w:val="hu-HU"/>
                </w:rPr>
                <w:delText>Klinikai remisszió</w:delText>
              </w:r>
            </w:del>
          </w:p>
        </w:tc>
        <w:tc>
          <w:tcPr>
            <w:tcW w:w="1212" w:type="dxa"/>
            <w:vAlign w:val="bottom"/>
          </w:tcPr>
          <w:p w14:paraId="7BFB9CCF" w14:textId="4521B301" w:rsidR="00CB64F6" w:rsidRPr="00183B5F" w:rsidRDefault="00943743" w:rsidP="004062FE">
            <w:pPr>
              <w:pStyle w:val="TableText"/>
              <w:keepNext w:val="0"/>
              <w:spacing w:before="0" w:after="0" w:line="240" w:lineRule="auto"/>
              <w:jc w:val="center"/>
              <w:rPr>
                <w:del w:id="2449" w:author="AbbVie_HU_03" w:date="2025-05-14T15:27:00Z"/>
                <w:sz w:val="22"/>
                <w:szCs w:val="22"/>
                <w:lang w:val="hu-HU"/>
              </w:rPr>
            </w:pPr>
            <w:del w:id="2450" w:author="AbbVie_HU_03" w:date="2025-05-14T15:27:00Z">
              <w:r w:rsidRPr="00183B5F">
                <w:rPr>
                  <w:sz w:val="22"/>
                  <w:szCs w:val="22"/>
                  <w:lang w:val="hu-HU"/>
                </w:rPr>
                <w:delText>12%</w:delText>
              </w:r>
            </w:del>
          </w:p>
        </w:tc>
        <w:tc>
          <w:tcPr>
            <w:tcW w:w="1264" w:type="dxa"/>
            <w:vAlign w:val="bottom"/>
          </w:tcPr>
          <w:p w14:paraId="7EBBBB70" w14:textId="13F9B597" w:rsidR="00CB64F6" w:rsidRPr="00183B5F" w:rsidRDefault="00943743" w:rsidP="004062FE">
            <w:pPr>
              <w:pStyle w:val="TableText"/>
              <w:keepNext w:val="0"/>
              <w:spacing w:before="0" w:after="0" w:line="240" w:lineRule="auto"/>
              <w:jc w:val="center"/>
              <w:rPr>
                <w:del w:id="2451" w:author="AbbVie_HU_03" w:date="2025-05-14T15:27:00Z"/>
                <w:bCs/>
                <w:iCs/>
                <w:sz w:val="22"/>
                <w:szCs w:val="22"/>
                <w:lang w:val="hu-HU"/>
              </w:rPr>
            </w:pPr>
            <w:del w:id="2452" w:author="AbbVie_HU_03" w:date="2025-05-14T15:27:00Z">
              <w:r w:rsidRPr="00183B5F">
                <w:rPr>
                  <w:bCs/>
                  <w:iCs/>
                  <w:sz w:val="22"/>
                  <w:szCs w:val="22"/>
                  <w:lang w:val="hu-HU"/>
                </w:rPr>
                <w:delText>24%</w:delText>
              </w:r>
            </w:del>
          </w:p>
        </w:tc>
        <w:tc>
          <w:tcPr>
            <w:tcW w:w="936" w:type="dxa"/>
            <w:vAlign w:val="bottom"/>
          </w:tcPr>
          <w:p w14:paraId="0312BCD7" w14:textId="74820C83" w:rsidR="00CB64F6" w:rsidRPr="00183B5F" w:rsidRDefault="00943743" w:rsidP="004062FE">
            <w:pPr>
              <w:pStyle w:val="TableText"/>
              <w:keepNext w:val="0"/>
              <w:spacing w:before="0" w:after="0" w:line="240" w:lineRule="auto"/>
              <w:jc w:val="center"/>
              <w:rPr>
                <w:del w:id="2453" w:author="AbbVie_HU_03" w:date="2025-05-14T15:27:00Z"/>
                <w:bCs/>
                <w:iCs/>
                <w:sz w:val="22"/>
                <w:szCs w:val="22"/>
                <w:lang w:val="hu-HU"/>
              </w:rPr>
            </w:pPr>
            <w:del w:id="2454" w:author="AbbVie_HU_03" w:date="2025-05-14T15:27:00Z">
              <w:r w:rsidRPr="00183B5F">
                <w:rPr>
                  <w:sz w:val="22"/>
                  <w:szCs w:val="22"/>
                  <w:lang w:val="hu-HU"/>
                </w:rPr>
                <w:delText>36%</w:delText>
              </w:r>
              <w:r w:rsidRPr="00183B5F">
                <w:rPr>
                  <w:sz w:val="22"/>
                  <w:szCs w:val="22"/>
                  <w:vertAlign w:val="superscript"/>
                  <w:lang w:val="hu-HU"/>
                </w:rPr>
                <w:delText>*</w:delText>
              </w:r>
            </w:del>
          </w:p>
        </w:tc>
        <w:tc>
          <w:tcPr>
            <w:tcW w:w="1540" w:type="dxa"/>
            <w:vAlign w:val="bottom"/>
          </w:tcPr>
          <w:p w14:paraId="00E32F0B" w14:textId="3FD1BBD6" w:rsidR="00CB64F6" w:rsidRPr="00183B5F" w:rsidRDefault="00943743" w:rsidP="004062FE">
            <w:pPr>
              <w:pStyle w:val="TableText"/>
              <w:keepNext w:val="0"/>
              <w:spacing w:before="0" w:after="0" w:line="240" w:lineRule="auto"/>
              <w:jc w:val="center"/>
              <w:rPr>
                <w:del w:id="2455" w:author="AbbVie_HU_03" w:date="2025-05-14T15:27:00Z"/>
                <w:sz w:val="22"/>
                <w:szCs w:val="22"/>
                <w:lang w:val="hu-HU"/>
              </w:rPr>
            </w:pPr>
            <w:del w:id="2456" w:author="AbbVie_HU_03" w:date="2025-05-14T15:27:00Z">
              <w:r w:rsidRPr="00183B5F">
                <w:rPr>
                  <w:sz w:val="22"/>
                  <w:szCs w:val="22"/>
                  <w:lang w:val="hu-HU"/>
                </w:rPr>
                <w:delText>7%</w:delText>
              </w:r>
            </w:del>
          </w:p>
        </w:tc>
        <w:tc>
          <w:tcPr>
            <w:tcW w:w="1870" w:type="dxa"/>
            <w:vAlign w:val="bottom"/>
          </w:tcPr>
          <w:p w14:paraId="26906F8C" w14:textId="3FE4A289" w:rsidR="00CB64F6" w:rsidRPr="00183B5F" w:rsidRDefault="00943743" w:rsidP="004062FE">
            <w:pPr>
              <w:pStyle w:val="TableText"/>
              <w:keepNext w:val="0"/>
              <w:spacing w:before="0" w:after="0" w:line="240" w:lineRule="auto"/>
              <w:jc w:val="center"/>
              <w:rPr>
                <w:del w:id="2457" w:author="AbbVie_HU_03" w:date="2025-05-14T15:27:00Z"/>
                <w:sz w:val="22"/>
                <w:szCs w:val="22"/>
                <w:lang w:val="hu-HU"/>
              </w:rPr>
            </w:pPr>
            <w:del w:id="2458" w:author="AbbVie_HU_03" w:date="2025-05-14T15:27:00Z">
              <w:r w:rsidRPr="00183B5F">
                <w:rPr>
                  <w:sz w:val="22"/>
                  <w:szCs w:val="22"/>
                  <w:lang w:val="hu-HU"/>
                </w:rPr>
                <w:delText>21%</w:delText>
              </w:r>
              <w:r w:rsidRPr="00183B5F">
                <w:rPr>
                  <w:sz w:val="22"/>
                  <w:szCs w:val="22"/>
                  <w:vertAlign w:val="superscript"/>
                  <w:lang w:val="hu-HU"/>
                </w:rPr>
                <w:delText>*</w:delText>
              </w:r>
            </w:del>
          </w:p>
        </w:tc>
      </w:tr>
      <w:tr w:rsidR="00011D2F" w14:paraId="0FC9E2DA" w14:textId="37395D2A" w:rsidTr="00D126CF">
        <w:trPr>
          <w:cantSplit/>
          <w:del w:id="2459" w:author="AbbVie_HU_03" w:date="2025-05-14T15:27:00Z"/>
        </w:trPr>
        <w:tc>
          <w:tcPr>
            <w:tcW w:w="2416" w:type="dxa"/>
            <w:tcBorders>
              <w:bottom w:val="single" w:sz="4" w:space="0" w:color="auto"/>
            </w:tcBorders>
          </w:tcPr>
          <w:p w14:paraId="354F412F" w14:textId="403522C2" w:rsidR="00CB64F6" w:rsidRPr="00183B5F" w:rsidRDefault="00943743" w:rsidP="004062FE">
            <w:pPr>
              <w:pStyle w:val="TableText"/>
              <w:spacing w:before="0" w:after="0" w:line="240" w:lineRule="auto"/>
              <w:rPr>
                <w:del w:id="2460" w:author="AbbVie_HU_03" w:date="2025-05-14T15:27:00Z"/>
                <w:sz w:val="22"/>
                <w:szCs w:val="22"/>
                <w:lang w:val="hu-HU"/>
              </w:rPr>
            </w:pPr>
            <w:del w:id="2461" w:author="AbbVie_HU_03" w:date="2025-05-14T15:27:00Z">
              <w:r w:rsidRPr="00183B5F">
                <w:rPr>
                  <w:sz w:val="22"/>
                  <w:szCs w:val="22"/>
                  <w:lang w:val="hu-HU"/>
                </w:rPr>
                <w:delText>Klinikai válasz (CR</w:delText>
              </w:r>
              <w:r w:rsidR="000135CA" w:rsidRPr="00183B5F">
                <w:rPr>
                  <w:sz w:val="22"/>
                  <w:szCs w:val="22"/>
                  <w:lang w:val="hu-HU"/>
                </w:rPr>
                <w:noBreakHyphen/>
              </w:r>
              <w:r w:rsidRPr="00183B5F">
                <w:rPr>
                  <w:sz w:val="22"/>
                  <w:szCs w:val="22"/>
                  <w:lang w:val="hu-HU"/>
                </w:rPr>
                <w:delText>100)</w:delText>
              </w:r>
            </w:del>
          </w:p>
        </w:tc>
        <w:tc>
          <w:tcPr>
            <w:tcW w:w="1212" w:type="dxa"/>
            <w:tcBorders>
              <w:bottom w:val="single" w:sz="4" w:space="0" w:color="auto"/>
            </w:tcBorders>
          </w:tcPr>
          <w:p w14:paraId="3C8489F8" w14:textId="34895EF6" w:rsidR="00CB64F6" w:rsidRPr="00183B5F" w:rsidRDefault="00943743" w:rsidP="004062FE">
            <w:pPr>
              <w:pStyle w:val="TableText"/>
              <w:keepNext w:val="0"/>
              <w:spacing w:before="0" w:after="0" w:line="240" w:lineRule="auto"/>
              <w:jc w:val="center"/>
              <w:rPr>
                <w:del w:id="2462" w:author="AbbVie_HU_03" w:date="2025-05-14T15:27:00Z"/>
                <w:sz w:val="22"/>
                <w:szCs w:val="22"/>
                <w:lang w:val="hu-HU"/>
              </w:rPr>
            </w:pPr>
            <w:del w:id="2463" w:author="AbbVie_HU_03" w:date="2025-05-14T15:27:00Z">
              <w:r w:rsidRPr="00183B5F">
                <w:rPr>
                  <w:sz w:val="22"/>
                  <w:szCs w:val="22"/>
                  <w:lang w:val="hu-HU"/>
                </w:rPr>
                <w:delText>24%</w:delText>
              </w:r>
            </w:del>
          </w:p>
        </w:tc>
        <w:tc>
          <w:tcPr>
            <w:tcW w:w="1264" w:type="dxa"/>
            <w:tcBorders>
              <w:bottom w:val="single" w:sz="4" w:space="0" w:color="auto"/>
            </w:tcBorders>
          </w:tcPr>
          <w:p w14:paraId="43ADC1C7" w14:textId="26F9E9AC" w:rsidR="00CB64F6" w:rsidRPr="00183B5F" w:rsidRDefault="00943743" w:rsidP="004062FE">
            <w:pPr>
              <w:pStyle w:val="TableText"/>
              <w:keepNext w:val="0"/>
              <w:spacing w:before="0" w:after="0" w:line="240" w:lineRule="auto"/>
              <w:jc w:val="center"/>
              <w:rPr>
                <w:del w:id="2464" w:author="AbbVie_HU_03" w:date="2025-05-14T15:27:00Z"/>
                <w:sz w:val="22"/>
                <w:szCs w:val="22"/>
                <w:lang w:val="hu-HU"/>
              </w:rPr>
            </w:pPr>
            <w:del w:id="2465" w:author="AbbVie_HU_03" w:date="2025-05-14T15:27:00Z">
              <w:r w:rsidRPr="00183B5F">
                <w:rPr>
                  <w:sz w:val="22"/>
                  <w:szCs w:val="22"/>
                  <w:lang w:val="hu-HU"/>
                </w:rPr>
                <w:delText>37%</w:delText>
              </w:r>
            </w:del>
          </w:p>
        </w:tc>
        <w:tc>
          <w:tcPr>
            <w:tcW w:w="936" w:type="dxa"/>
            <w:tcBorders>
              <w:bottom w:val="single" w:sz="4" w:space="0" w:color="auto"/>
            </w:tcBorders>
          </w:tcPr>
          <w:p w14:paraId="7BEFC6CE" w14:textId="4173BB19" w:rsidR="00CB64F6" w:rsidRPr="00183B5F" w:rsidRDefault="00943743" w:rsidP="004062FE">
            <w:pPr>
              <w:pStyle w:val="TableText"/>
              <w:keepNext w:val="0"/>
              <w:spacing w:before="0" w:after="0" w:line="240" w:lineRule="auto"/>
              <w:jc w:val="center"/>
              <w:rPr>
                <w:del w:id="2466" w:author="AbbVie_HU_03" w:date="2025-05-14T15:27:00Z"/>
                <w:sz w:val="22"/>
                <w:szCs w:val="22"/>
                <w:lang w:val="hu-HU"/>
              </w:rPr>
            </w:pPr>
            <w:del w:id="2467" w:author="AbbVie_HU_03" w:date="2025-05-14T15:27:00Z">
              <w:r w:rsidRPr="00183B5F">
                <w:rPr>
                  <w:sz w:val="22"/>
                  <w:szCs w:val="22"/>
                  <w:lang w:val="hu-HU"/>
                </w:rPr>
                <w:delText>49%</w:delText>
              </w:r>
              <w:r w:rsidRPr="00183B5F">
                <w:rPr>
                  <w:sz w:val="22"/>
                  <w:szCs w:val="22"/>
                  <w:vertAlign w:val="superscript"/>
                  <w:lang w:val="hu-HU"/>
                </w:rPr>
                <w:delText>**</w:delText>
              </w:r>
            </w:del>
          </w:p>
        </w:tc>
        <w:tc>
          <w:tcPr>
            <w:tcW w:w="1540" w:type="dxa"/>
            <w:tcBorders>
              <w:bottom w:val="single" w:sz="4" w:space="0" w:color="auto"/>
            </w:tcBorders>
          </w:tcPr>
          <w:p w14:paraId="38AAD309" w14:textId="41B40EE5" w:rsidR="00CB64F6" w:rsidRPr="00183B5F" w:rsidRDefault="00943743" w:rsidP="004062FE">
            <w:pPr>
              <w:pStyle w:val="TableText"/>
              <w:keepNext w:val="0"/>
              <w:spacing w:before="0" w:after="0" w:line="240" w:lineRule="auto"/>
              <w:jc w:val="center"/>
              <w:rPr>
                <w:del w:id="2468" w:author="AbbVie_HU_03" w:date="2025-05-14T15:27:00Z"/>
                <w:sz w:val="22"/>
                <w:szCs w:val="22"/>
                <w:lang w:val="hu-HU"/>
              </w:rPr>
            </w:pPr>
            <w:del w:id="2469" w:author="AbbVie_HU_03" w:date="2025-05-14T15:27:00Z">
              <w:r w:rsidRPr="00183B5F">
                <w:rPr>
                  <w:sz w:val="22"/>
                  <w:szCs w:val="22"/>
                  <w:lang w:val="hu-HU"/>
                </w:rPr>
                <w:delText>25%</w:delText>
              </w:r>
            </w:del>
          </w:p>
        </w:tc>
        <w:tc>
          <w:tcPr>
            <w:tcW w:w="1870" w:type="dxa"/>
            <w:tcBorders>
              <w:bottom w:val="single" w:sz="4" w:space="0" w:color="auto"/>
            </w:tcBorders>
          </w:tcPr>
          <w:p w14:paraId="0C6EC009" w14:textId="174B1A37" w:rsidR="00CB64F6" w:rsidRPr="00183B5F" w:rsidRDefault="00943743" w:rsidP="004062FE">
            <w:pPr>
              <w:pStyle w:val="TableText"/>
              <w:keepNext w:val="0"/>
              <w:spacing w:before="0" w:after="0" w:line="240" w:lineRule="auto"/>
              <w:jc w:val="center"/>
              <w:rPr>
                <w:del w:id="2470" w:author="AbbVie_HU_03" w:date="2025-05-14T15:27:00Z"/>
                <w:sz w:val="22"/>
                <w:szCs w:val="22"/>
                <w:lang w:val="hu-HU"/>
              </w:rPr>
            </w:pPr>
            <w:del w:id="2471" w:author="AbbVie_HU_03" w:date="2025-05-14T15:27:00Z">
              <w:r w:rsidRPr="00183B5F">
                <w:rPr>
                  <w:sz w:val="22"/>
                  <w:szCs w:val="22"/>
                  <w:lang w:val="hu-HU"/>
                </w:rPr>
                <w:delText>38%</w:delText>
              </w:r>
              <w:r w:rsidRPr="00183B5F">
                <w:rPr>
                  <w:sz w:val="22"/>
                  <w:szCs w:val="22"/>
                  <w:vertAlign w:val="superscript"/>
                  <w:lang w:val="hu-HU"/>
                </w:rPr>
                <w:delText>**</w:delText>
              </w:r>
            </w:del>
          </w:p>
        </w:tc>
      </w:tr>
      <w:tr w:rsidR="00011D2F" w14:paraId="382D7D7C" w14:textId="38D1BE49" w:rsidTr="00D126CF">
        <w:trPr>
          <w:cantSplit/>
          <w:del w:id="2472" w:author="AbbVie_HU_03" w:date="2025-05-14T15:27:00Z"/>
        </w:trPr>
        <w:tc>
          <w:tcPr>
            <w:tcW w:w="9238" w:type="dxa"/>
            <w:gridSpan w:val="6"/>
            <w:tcBorders>
              <w:left w:val="nil"/>
              <w:bottom w:val="nil"/>
              <w:right w:val="nil"/>
            </w:tcBorders>
          </w:tcPr>
          <w:p w14:paraId="4F1086E8" w14:textId="3636C1B3" w:rsidR="00CB64F6" w:rsidRPr="00183B5F" w:rsidRDefault="00943743" w:rsidP="004062FE">
            <w:pPr>
              <w:pStyle w:val="TableText"/>
              <w:keepNext w:val="0"/>
              <w:spacing w:before="0" w:after="0" w:line="240" w:lineRule="auto"/>
              <w:rPr>
                <w:del w:id="2473" w:author="AbbVie_HU_03" w:date="2025-05-14T15:27:00Z"/>
                <w:sz w:val="22"/>
                <w:szCs w:val="22"/>
                <w:lang w:val="hu-HU"/>
              </w:rPr>
            </w:pPr>
            <w:del w:id="2474" w:author="AbbVie_HU_03" w:date="2025-05-14T15:27:00Z">
              <w:r w:rsidRPr="00183B5F">
                <w:rPr>
                  <w:sz w:val="22"/>
                  <w:szCs w:val="22"/>
                  <w:lang w:val="hu-HU"/>
                </w:rPr>
                <w:delText>Az összes p</w:delText>
              </w:r>
              <w:r w:rsidR="000D594B" w:rsidRPr="00183B5F">
                <w:rPr>
                  <w:sz w:val="22"/>
                  <w:szCs w:val="22"/>
                  <w:lang w:val="hu-HU"/>
                </w:rPr>
                <w:noBreakHyphen/>
              </w:r>
              <w:r w:rsidRPr="00183B5F">
                <w:rPr>
                  <w:sz w:val="22"/>
                  <w:szCs w:val="22"/>
                  <w:lang w:val="hu-HU"/>
                </w:rPr>
                <w:delText xml:space="preserve">érték a Humira </w:delText>
              </w:r>
              <w:r w:rsidRPr="00183B5F">
                <w:rPr>
                  <w:i/>
                  <w:sz w:val="22"/>
                  <w:szCs w:val="22"/>
                  <w:lang w:val="hu-HU"/>
                </w:rPr>
                <w:delText>versus</w:delText>
              </w:r>
              <w:r w:rsidRPr="00183B5F">
                <w:rPr>
                  <w:sz w:val="22"/>
                  <w:szCs w:val="22"/>
                  <w:lang w:val="hu-HU"/>
                </w:rPr>
                <w:delText xml:space="preserve"> placebokezelés során regisztrált arányok páronkénti összehasonlításaira vonatkozik.</w:delText>
              </w:r>
            </w:del>
          </w:p>
          <w:p w14:paraId="48145796" w14:textId="61DD4D80" w:rsidR="00CB64F6" w:rsidRPr="00183B5F" w:rsidRDefault="00943743" w:rsidP="004062FE">
            <w:pPr>
              <w:pStyle w:val="TableText"/>
              <w:keepNext w:val="0"/>
              <w:spacing w:before="0" w:after="0" w:line="240" w:lineRule="auto"/>
              <w:rPr>
                <w:del w:id="2475" w:author="AbbVie_HU_03" w:date="2025-05-14T15:27:00Z"/>
                <w:sz w:val="22"/>
                <w:szCs w:val="22"/>
                <w:lang w:val="hu-HU"/>
              </w:rPr>
            </w:pPr>
            <w:del w:id="2476" w:author="AbbVie_HU_03" w:date="2025-05-14T15:27:00Z">
              <w:r w:rsidRPr="00183B5F">
                <w:rPr>
                  <w:sz w:val="22"/>
                  <w:szCs w:val="22"/>
                  <w:vertAlign w:val="superscript"/>
                  <w:lang w:val="hu-HU"/>
                </w:rPr>
                <w:delText>*</w:delText>
              </w:r>
              <w:r w:rsidRPr="00183B5F">
                <w:rPr>
                  <w:sz w:val="22"/>
                  <w:szCs w:val="22"/>
                  <w:lang w:val="hu-HU"/>
                </w:rPr>
                <w:tab/>
                <w:delText>p &lt; 0</w:delText>
              </w:r>
              <w:r w:rsidR="00665490" w:rsidRPr="00183B5F">
                <w:rPr>
                  <w:sz w:val="22"/>
                  <w:szCs w:val="22"/>
                  <w:lang w:val="hu-HU"/>
                </w:rPr>
                <w:delText>,</w:delText>
              </w:r>
              <w:r w:rsidRPr="00183B5F">
                <w:rPr>
                  <w:sz w:val="22"/>
                  <w:szCs w:val="22"/>
                  <w:lang w:val="hu-HU"/>
                </w:rPr>
                <w:delText>001</w:delText>
              </w:r>
            </w:del>
          </w:p>
          <w:p w14:paraId="4F70DF25" w14:textId="3B9E0926" w:rsidR="00CB64F6" w:rsidRPr="00183B5F" w:rsidRDefault="00943743" w:rsidP="004062FE">
            <w:pPr>
              <w:pStyle w:val="TableText"/>
              <w:keepNext w:val="0"/>
              <w:spacing w:before="0" w:after="0" w:line="240" w:lineRule="auto"/>
              <w:rPr>
                <w:del w:id="2477" w:author="AbbVie_HU_03" w:date="2025-05-14T15:27:00Z"/>
                <w:sz w:val="22"/>
                <w:szCs w:val="22"/>
                <w:lang w:val="hu-HU"/>
              </w:rPr>
            </w:pPr>
            <w:del w:id="2478" w:author="AbbVie_HU_03" w:date="2025-05-14T15:27:00Z">
              <w:r w:rsidRPr="00183B5F">
                <w:rPr>
                  <w:sz w:val="22"/>
                  <w:szCs w:val="22"/>
                  <w:vertAlign w:val="superscript"/>
                  <w:lang w:val="hu-HU"/>
                </w:rPr>
                <w:delText>**</w:delText>
              </w:r>
              <w:r w:rsidRPr="00183B5F">
                <w:rPr>
                  <w:sz w:val="22"/>
                  <w:szCs w:val="22"/>
                  <w:lang w:val="hu-HU"/>
                </w:rPr>
                <w:tab/>
                <w:delText>p &lt; 0</w:delText>
              </w:r>
              <w:r w:rsidR="00665490" w:rsidRPr="00183B5F">
                <w:rPr>
                  <w:sz w:val="22"/>
                  <w:szCs w:val="22"/>
                  <w:lang w:val="hu-HU"/>
                </w:rPr>
                <w:delText>,</w:delText>
              </w:r>
              <w:r w:rsidRPr="00183B5F">
                <w:rPr>
                  <w:sz w:val="22"/>
                  <w:szCs w:val="22"/>
                  <w:lang w:val="hu-HU"/>
                </w:rPr>
                <w:delText>01</w:delText>
              </w:r>
            </w:del>
          </w:p>
        </w:tc>
      </w:tr>
    </w:tbl>
    <w:p w14:paraId="4433DF3B" w14:textId="617DDB4C" w:rsidR="00194701" w:rsidRPr="00183B5F" w:rsidRDefault="00194701">
      <w:pPr>
        <w:pStyle w:val="EMEANormal"/>
        <w:rPr>
          <w:del w:id="2479" w:author="AbbVie_HU_03" w:date="2025-05-14T15:27:00Z"/>
          <w:szCs w:val="22"/>
          <w:lang w:val="hu-HU"/>
        </w:rPr>
      </w:pPr>
    </w:p>
    <w:p w14:paraId="1507A477" w14:textId="2C0B97BA" w:rsidR="00CB64F6" w:rsidRPr="00183B5F" w:rsidRDefault="00943743" w:rsidP="004062FE">
      <w:pPr>
        <w:suppressAutoHyphens w:val="0"/>
        <w:spacing w:line="240" w:lineRule="auto"/>
        <w:rPr>
          <w:del w:id="2480" w:author="AbbVie_HU_03" w:date="2025-05-14T15:27:00Z"/>
          <w:szCs w:val="22"/>
        </w:rPr>
      </w:pPr>
      <w:del w:id="2481" w:author="AbbVie_HU_03" w:date="2025-05-14T15:27:00Z">
        <w:r w:rsidRPr="00183B5F">
          <w:rPr>
            <w:szCs w:val="22"/>
          </w:rPr>
          <w:delText xml:space="preserve">A 160/80 mg, illetve a 80/40 mg dózisú indukciós kezelések után a 8. héten hasonló remissziós rátát </w:delText>
        </w:r>
        <w:r w:rsidR="009C3571" w:rsidRPr="00183B5F">
          <w:rPr>
            <w:szCs w:val="22"/>
          </w:rPr>
          <w:delText>figyeltek meg, és</w:delText>
        </w:r>
        <w:r w:rsidRPr="00183B5F">
          <w:rPr>
            <w:szCs w:val="22"/>
          </w:rPr>
          <w:delText xml:space="preserve"> a 160/80 mg dózis</w:delText>
        </w:r>
        <w:r w:rsidR="000135CA" w:rsidRPr="00183B5F">
          <w:rPr>
            <w:szCs w:val="22"/>
          </w:rPr>
          <w:delText>s</w:delText>
        </w:r>
        <w:r w:rsidRPr="00183B5F">
          <w:rPr>
            <w:szCs w:val="22"/>
          </w:rPr>
          <w:delText>al kezelt csoportban gyakrabban észleltek mellékhatásokat.</w:delText>
        </w:r>
      </w:del>
    </w:p>
    <w:p w14:paraId="613D2E63" w14:textId="53C8917C" w:rsidR="00CB64F6" w:rsidRPr="00183B5F" w:rsidRDefault="00CB64F6" w:rsidP="004062FE">
      <w:pPr>
        <w:suppressAutoHyphens w:val="0"/>
        <w:spacing w:line="240" w:lineRule="auto"/>
        <w:rPr>
          <w:del w:id="2482" w:author="AbbVie_HU_03" w:date="2025-05-14T15:27:00Z"/>
          <w:szCs w:val="22"/>
        </w:rPr>
      </w:pPr>
    </w:p>
    <w:p w14:paraId="03297EE9" w14:textId="159486CB" w:rsidR="00CB64F6" w:rsidRPr="00183B5F" w:rsidRDefault="00943743" w:rsidP="004062FE">
      <w:pPr>
        <w:spacing w:line="240" w:lineRule="auto"/>
        <w:rPr>
          <w:del w:id="2483" w:author="AbbVie_HU_03" w:date="2025-05-14T15:27:00Z"/>
          <w:szCs w:val="22"/>
        </w:rPr>
      </w:pPr>
      <w:del w:id="2484" w:author="AbbVie_HU_03" w:date="2025-05-14T15:27:00Z">
        <w:r w:rsidRPr="00183B5F">
          <w:rPr>
            <w:szCs w:val="22"/>
          </w:rPr>
          <w:delText>A CD</w:delText>
        </w:r>
        <w:r w:rsidR="00330A18" w:rsidRPr="00183B5F">
          <w:rPr>
            <w:szCs w:val="22"/>
          </w:rPr>
          <w:delText> </w:delText>
        </w:r>
        <w:r w:rsidRPr="00183B5F">
          <w:rPr>
            <w:szCs w:val="22"/>
          </w:rPr>
          <w:delText>III vizsgálat 4.</w:delText>
        </w:r>
        <w:r w:rsidR="00330A18" w:rsidRPr="00183B5F">
          <w:rPr>
            <w:szCs w:val="22"/>
          </w:rPr>
          <w:delText> </w:delText>
        </w:r>
        <w:r w:rsidRPr="00183B5F">
          <w:rPr>
            <w:szCs w:val="22"/>
          </w:rPr>
          <w:delText>hetében a betegek 58%</w:delText>
        </w:r>
        <w:r w:rsidR="000D594B" w:rsidRPr="00183B5F">
          <w:rPr>
            <w:szCs w:val="22"/>
          </w:rPr>
          <w:noBreakHyphen/>
        </w:r>
        <w:r w:rsidRPr="00183B5F">
          <w:rPr>
            <w:szCs w:val="22"/>
          </w:rPr>
          <w:delText>án (499/854) mutatkozott klinikai hatás</w:delText>
        </w:r>
        <w:r w:rsidR="009C3571" w:rsidRPr="00183B5F">
          <w:rPr>
            <w:szCs w:val="22"/>
          </w:rPr>
          <w:delText>, és ők kerültek be</w:delText>
        </w:r>
        <w:r w:rsidRPr="00183B5F">
          <w:rPr>
            <w:szCs w:val="22"/>
          </w:rPr>
          <w:delText xml:space="preserve"> a</w:delText>
        </w:r>
        <w:r w:rsidR="009C3571" w:rsidRPr="00183B5F">
          <w:rPr>
            <w:szCs w:val="22"/>
          </w:rPr>
          <w:delText>z</w:delText>
        </w:r>
        <w:r w:rsidRPr="00183B5F">
          <w:rPr>
            <w:szCs w:val="22"/>
          </w:rPr>
          <w:delText xml:space="preserve"> </w:delText>
        </w:r>
        <w:r w:rsidR="009C3571" w:rsidRPr="00183B5F">
          <w:rPr>
            <w:szCs w:val="22"/>
          </w:rPr>
          <w:delText>elsődleges</w:delText>
        </w:r>
        <w:r w:rsidRPr="00183B5F">
          <w:rPr>
            <w:szCs w:val="22"/>
          </w:rPr>
          <w:delText xml:space="preserve"> elemzés</w:delText>
        </w:r>
        <w:r w:rsidR="009C3571" w:rsidRPr="00183B5F">
          <w:rPr>
            <w:szCs w:val="22"/>
          </w:rPr>
          <w:delText>be</w:delText>
        </w:r>
        <w:r w:rsidRPr="00183B5F">
          <w:rPr>
            <w:szCs w:val="22"/>
          </w:rPr>
          <w:delText>. A kezelésre a 4. héten klinikailag reagáló betegek 48%</w:delText>
        </w:r>
        <w:r w:rsidR="00330A18" w:rsidRPr="00183B5F">
          <w:rPr>
            <w:szCs w:val="22"/>
          </w:rPr>
          <w:noBreakHyphen/>
        </w:r>
        <w:r w:rsidRPr="00183B5F">
          <w:rPr>
            <w:szCs w:val="22"/>
          </w:rPr>
          <w:delText>át korábban már kezelték más TNF</w:delText>
        </w:r>
        <w:r w:rsidR="00330A18" w:rsidRPr="00183B5F">
          <w:rPr>
            <w:szCs w:val="22"/>
          </w:rPr>
          <w:noBreakHyphen/>
        </w:r>
        <w:r w:rsidRPr="00183B5F">
          <w:rPr>
            <w:szCs w:val="22"/>
          </w:rPr>
          <w:delText xml:space="preserve">antagonistával. A tartós remissziót, illetve </w:delText>
        </w:r>
        <w:r w:rsidR="009C3571" w:rsidRPr="00183B5F">
          <w:rPr>
            <w:szCs w:val="22"/>
          </w:rPr>
          <w:delText>válaszadási arányokat</w:delText>
        </w:r>
        <w:r w:rsidRPr="00183B5F">
          <w:rPr>
            <w:szCs w:val="22"/>
          </w:rPr>
          <w:delText xml:space="preserve"> a </w:delText>
        </w:r>
        <w:r w:rsidR="001E5EBB" w:rsidRPr="00183B5F">
          <w:rPr>
            <w:szCs w:val="22"/>
          </w:rPr>
          <w:delText>18</w:delText>
        </w:r>
        <w:r w:rsidRPr="00183B5F">
          <w:rPr>
            <w:szCs w:val="22"/>
          </w:rPr>
          <w:delText xml:space="preserve">. táblázat mutatja be. A klinikai remisszióban lévő betegek aránya viszonylag állandó maradt, függetlenül a </w:delText>
        </w:r>
        <w:r w:rsidR="009C3571" w:rsidRPr="00183B5F">
          <w:rPr>
            <w:szCs w:val="22"/>
          </w:rPr>
          <w:delText xml:space="preserve">korábbi </w:delText>
        </w:r>
        <w:r w:rsidRPr="00183B5F">
          <w:rPr>
            <w:szCs w:val="22"/>
          </w:rPr>
          <w:delText>TNF</w:delText>
        </w:r>
        <w:r w:rsidR="00330A18" w:rsidRPr="00183B5F">
          <w:rPr>
            <w:szCs w:val="22"/>
          </w:rPr>
          <w:noBreakHyphen/>
        </w:r>
        <w:r w:rsidRPr="00183B5F">
          <w:rPr>
            <w:szCs w:val="22"/>
          </w:rPr>
          <w:delText xml:space="preserve">antagonista expozíciótól. </w:delText>
        </w:r>
      </w:del>
    </w:p>
    <w:p w14:paraId="69F6562E" w14:textId="7E03E9FE" w:rsidR="00CB64F6" w:rsidRPr="00183B5F" w:rsidRDefault="00CB64F6" w:rsidP="004062FE">
      <w:pPr>
        <w:spacing w:line="240" w:lineRule="auto"/>
        <w:rPr>
          <w:del w:id="2485" w:author="AbbVie_HU_03" w:date="2025-05-14T15:27:00Z"/>
          <w:szCs w:val="22"/>
        </w:rPr>
      </w:pPr>
    </w:p>
    <w:p w14:paraId="2A5522FE" w14:textId="397999CB" w:rsidR="00CB64F6" w:rsidRPr="00183B5F" w:rsidRDefault="00943743" w:rsidP="004062FE">
      <w:pPr>
        <w:spacing w:line="240" w:lineRule="auto"/>
        <w:rPr>
          <w:del w:id="2486" w:author="AbbVie_HU_03" w:date="2025-05-14T15:27:00Z"/>
          <w:szCs w:val="22"/>
        </w:rPr>
      </w:pPr>
      <w:del w:id="2487" w:author="AbbVie_HU_03" w:date="2025-05-14T15:27:00Z">
        <w:r w:rsidRPr="00183B5F">
          <w:rPr>
            <w:szCs w:val="22"/>
          </w:rPr>
          <w:delText>Az 56. hétre a placebóhoz képest az adalimumab esetén statisztikailag szignifikánsan csökkent a betegséggel összefüggő hospitalizációk és műtétek száma.</w:delText>
        </w:r>
      </w:del>
    </w:p>
    <w:p w14:paraId="1F2C338E" w14:textId="090DD365" w:rsidR="009450BF" w:rsidRPr="00183B5F" w:rsidRDefault="009450BF">
      <w:pPr>
        <w:pStyle w:val="EMEANormal"/>
        <w:rPr>
          <w:del w:id="2488" w:author="AbbVie_HU_03" w:date="2025-05-14T15:27:00Z"/>
          <w:szCs w:val="22"/>
          <w:lang w:val="hu-H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15"/>
        <w:gridCol w:w="1740"/>
        <w:gridCol w:w="1916"/>
        <w:gridCol w:w="1692"/>
      </w:tblGrid>
      <w:tr w:rsidR="00011D2F" w14:paraId="7425A8D3" w14:textId="17453270" w:rsidTr="00D126CF">
        <w:trPr>
          <w:cantSplit/>
          <w:del w:id="2489" w:author="AbbVie_HU_03" w:date="2025-05-14T15:27:00Z"/>
        </w:trPr>
        <w:tc>
          <w:tcPr>
            <w:tcW w:w="9020" w:type="dxa"/>
            <w:gridSpan w:val="4"/>
            <w:tcBorders>
              <w:top w:val="nil"/>
              <w:left w:val="nil"/>
              <w:right w:val="nil"/>
            </w:tcBorders>
          </w:tcPr>
          <w:p w14:paraId="7DC29AC9" w14:textId="4908399B" w:rsidR="00CB64F6" w:rsidRPr="00183B5F" w:rsidRDefault="00943743">
            <w:pPr>
              <w:pStyle w:val="TableText"/>
              <w:spacing w:before="0" w:after="0" w:line="240" w:lineRule="auto"/>
              <w:jc w:val="center"/>
              <w:rPr>
                <w:del w:id="2490" w:author="AbbVie_HU_03" w:date="2025-05-14T15:27:00Z"/>
                <w:b/>
                <w:bCs/>
                <w:sz w:val="22"/>
                <w:szCs w:val="22"/>
                <w:lang w:val="hu-HU"/>
              </w:rPr>
            </w:pPr>
            <w:del w:id="2491" w:author="AbbVie_HU_03" w:date="2025-05-14T15:27:00Z">
              <w:r w:rsidRPr="00183B5F">
                <w:rPr>
                  <w:b/>
                  <w:bCs/>
                  <w:sz w:val="22"/>
                  <w:szCs w:val="22"/>
                  <w:lang w:val="hu-HU"/>
                </w:rPr>
                <w:delText>18.</w:delText>
              </w:r>
              <w:r w:rsidR="0086404C" w:rsidRPr="00183B5F">
                <w:rPr>
                  <w:b/>
                  <w:bCs/>
                  <w:sz w:val="22"/>
                  <w:szCs w:val="22"/>
                  <w:lang w:val="hu-HU"/>
                </w:rPr>
                <w:delText> </w:delText>
              </w:r>
              <w:r w:rsidRPr="00183B5F">
                <w:rPr>
                  <w:b/>
                  <w:bCs/>
                  <w:sz w:val="22"/>
                  <w:szCs w:val="22"/>
                  <w:lang w:val="hu-HU"/>
                </w:rPr>
                <w:delText>táblázat</w:delText>
              </w:r>
            </w:del>
          </w:p>
          <w:p w14:paraId="2DB906CF" w14:textId="43398245" w:rsidR="00CB64F6" w:rsidRPr="00183B5F" w:rsidRDefault="00943743">
            <w:pPr>
              <w:pStyle w:val="TableText"/>
              <w:spacing w:before="0" w:after="0" w:line="240" w:lineRule="auto"/>
              <w:jc w:val="center"/>
              <w:rPr>
                <w:del w:id="2492" w:author="AbbVie_HU_03" w:date="2025-05-14T15:27:00Z"/>
                <w:b/>
                <w:bCs/>
                <w:sz w:val="22"/>
                <w:szCs w:val="22"/>
                <w:lang w:val="hu-HU"/>
              </w:rPr>
            </w:pPr>
            <w:del w:id="2493" w:author="AbbVie_HU_03" w:date="2025-05-14T15:27:00Z">
              <w:r w:rsidRPr="00183B5F">
                <w:rPr>
                  <w:b/>
                  <w:bCs/>
                  <w:sz w:val="22"/>
                  <w:szCs w:val="22"/>
                  <w:lang w:val="hu-HU"/>
                </w:rPr>
                <w:delText>A klinikai remisszió és válasz fenntartása</w:delText>
              </w:r>
            </w:del>
          </w:p>
          <w:p w14:paraId="2E46FB5B" w14:textId="1DE5E314" w:rsidR="00CB64F6" w:rsidRPr="00183B5F" w:rsidRDefault="00943743">
            <w:pPr>
              <w:pStyle w:val="TableText"/>
              <w:spacing w:before="0" w:after="0" w:line="240" w:lineRule="auto"/>
              <w:jc w:val="center"/>
              <w:rPr>
                <w:del w:id="2494" w:author="AbbVie_HU_03" w:date="2025-05-14T15:27:00Z"/>
                <w:b/>
                <w:bCs/>
                <w:sz w:val="22"/>
                <w:szCs w:val="22"/>
                <w:lang w:val="hu-HU"/>
              </w:rPr>
            </w:pPr>
            <w:del w:id="2495" w:author="AbbVie_HU_03" w:date="2025-05-14T15:27:00Z">
              <w:r w:rsidRPr="00183B5F">
                <w:rPr>
                  <w:b/>
                  <w:bCs/>
                  <w:sz w:val="22"/>
                  <w:szCs w:val="22"/>
                  <w:lang w:val="hu-HU"/>
                </w:rPr>
                <w:delText>(Betegek százaléka)</w:delText>
              </w:r>
            </w:del>
          </w:p>
        </w:tc>
      </w:tr>
      <w:tr w:rsidR="00011D2F" w14:paraId="35B89A0D" w14:textId="6E6CE4C4" w:rsidTr="00D126CF">
        <w:trPr>
          <w:del w:id="2496" w:author="AbbVie_HU_03" w:date="2025-05-14T15:27:00Z"/>
        </w:trPr>
        <w:tc>
          <w:tcPr>
            <w:tcW w:w="3641" w:type="dxa"/>
          </w:tcPr>
          <w:p w14:paraId="63CA8D87" w14:textId="54ACA0B1" w:rsidR="00CB64F6" w:rsidRPr="00183B5F" w:rsidRDefault="00CB64F6" w:rsidP="004062FE">
            <w:pPr>
              <w:pStyle w:val="TableText"/>
              <w:spacing w:before="0" w:after="0" w:line="240" w:lineRule="auto"/>
              <w:rPr>
                <w:del w:id="2497" w:author="AbbVie_HU_03" w:date="2025-05-14T15:27:00Z"/>
                <w:b/>
                <w:bCs/>
                <w:sz w:val="22"/>
                <w:szCs w:val="22"/>
                <w:lang w:val="hu-HU"/>
              </w:rPr>
            </w:pPr>
          </w:p>
        </w:tc>
        <w:tc>
          <w:tcPr>
            <w:tcW w:w="1751" w:type="dxa"/>
          </w:tcPr>
          <w:p w14:paraId="6CA45D04" w14:textId="2151D3D6" w:rsidR="00CB64F6" w:rsidRPr="00183B5F" w:rsidRDefault="00943743" w:rsidP="004062FE">
            <w:pPr>
              <w:pStyle w:val="TableText"/>
              <w:spacing w:before="0" w:after="0" w:line="240" w:lineRule="auto"/>
              <w:jc w:val="center"/>
              <w:rPr>
                <w:del w:id="2498" w:author="AbbVie_HU_03" w:date="2025-05-14T15:27:00Z"/>
                <w:b/>
                <w:bCs/>
                <w:sz w:val="22"/>
                <w:szCs w:val="22"/>
                <w:lang w:val="hu-HU"/>
              </w:rPr>
            </w:pPr>
            <w:del w:id="2499" w:author="AbbVie_HU_03" w:date="2025-05-14T15:27:00Z">
              <w:r w:rsidRPr="00183B5F">
                <w:rPr>
                  <w:b/>
                  <w:bCs/>
                  <w:sz w:val="22"/>
                  <w:szCs w:val="22"/>
                  <w:lang w:val="hu-HU"/>
                </w:rPr>
                <w:delText>Placebo</w:delText>
              </w:r>
            </w:del>
          </w:p>
        </w:tc>
        <w:tc>
          <w:tcPr>
            <w:tcW w:w="1928" w:type="dxa"/>
          </w:tcPr>
          <w:p w14:paraId="78914EA5" w14:textId="6A989712" w:rsidR="00CB64F6" w:rsidRPr="00183B5F" w:rsidRDefault="00943743" w:rsidP="004062FE">
            <w:pPr>
              <w:pStyle w:val="TableText"/>
              <w:spacing w:before="0" w:after="0" w:line="240" w:lineRule="auto"/>
              <w:jc w:val="center"/>
              <w:rPr>
                <w:del w:id="2500" w:author="AbbVie_HU_03" w:date="2025-05-14T15:27:00Z"/>
                <w:b/>
                <w:bCs/>
                <w:sz w:val="22"/>
                <w:szCs w:val="22"/>
                <w:lang w:val="hu-HU"/>
              </w:rPr>
            </w:pPr>
            <w:del w:id="2501" w:author="AbbVie_HU_03" w:date="2025-05-14T15:27:00Z">
              <w:r w:rsidRPr="00183B5F">
                <w:rPr>
                  <w:b/>
                  <w:bCs/>
                  <w:sz w:val="22"/>
                  <w:szCs w:val="22"/>
                  <w:lang w:val="hu-HU"/>
                </w:rPr>
                <w:delText>40 mg Humira</w:delText>
              </w:r>
              <w:r w:rsidRPr="00183B5F">
                <w:rPr>
                  <w:b/>
                  <w:bCs/>
                  <w:sz w:val="22"/>
                  <w:szCs w:val="22"/>
                  <w:lang w:val="hu-HU"/>
                </w:rPr>
                <w:br/>
                <w:delText>2</w:delText>
              </w:r>
              <w:r w:rsidR="0086404C" w:rsidRPr="00183B5F">
                <w:rPr>
                  <w:b/>
                  <w:bCs/>
                  <w:sz w:val="22"/>
                  <w:szCs w:val="22"/>
                  <w:lang w:val="hu-HU"/>
                </w:rPr>
                <w:delText> </w:delText>
              </w:r>
              <w:r w:rsidRPr="00183B5F">
                <w:rPr>
                  <w:b/>
                  <w:bCs/>
                  <w:sz w:val="22"/>
                  <w:szCs w:val="22"/>
                  <w:lang w:val="hu-HU"/>
                </w:rPr>
                <w:delText>hetente</w:delText>
              </w:r>
            </w:del>
          </w:p>
        </w:tc>
        <w:tc>
          <w:tcPr>
            <w:tcW w:w="1700" w:type="dxa"/>
          </w:tcPr>
          <w:p w14:paraId="79831B3B" w14:textId="42EF3910" w:rsidR="00CB64F6" w:rsidRPr="00183B5F" w:rsidRDefault="00943743" w:rsidP="004062FE">
            <w:pPr>
              <w:pStyle w:val="TableText"/>
              <w:spacing w:before="0" w:after="0" w:line="240" w:lineRule="auto"/>
              <w:jc w:val="center"/>
              <w:rPr>
                <w:del w:id="2502" w:author="AbbVie_HU_03" w:date="2025-05-14T15:27:00Z"/>
                <w:b/>
                <w:bCs/>
                <w:sz w:val="22"/>
                <w:szCs w:val="22"/>
                <w:lang w:val="hu-HU"/>
              </w:rPr>
            </w:pPr>
            <w:del w:id="2503" w:author="AbbVie_HU_03" w:date="2025-05-14T15:27:00Z">
              <w:r w:rsidRPr="00183B5F">
                <w:rPr>
                  <w:b/>
                  <w:bCs/>
                  <w:sz w:val="22"/>
                  <w:szCs w:val="22"/>
                  <w:lang w:val="hu-HU"/>
                </w:rPr>
                <w:delText>40 mg Humira</w:delText>
              </w:r>
              <w:r w:rsidRPr="00183B5F">
                <w:rPr>
                  <w:b/>
                  <w:bCs/>
                  <w:sz w:val="22"/>
                  <w:szCs w:val="22"/>
                  <w:lang w:val="hu-HU"/>
                </w:rPr>
                <w:br/>
                <w:delText>hetente</w:delText>
              </w:r>
            </w:del>
          </w:p>
        </w:tc>
      </w:tr>
      <w:tr w:rsidR="00011D2F" w14:paraId="5CFFBCDD" w14:textId="3EF3599D" w:rsidTr="00D126CF">
        <w:trPr>
          <w:del w:id="2504" w:author="AbbVie_HU_03" w:date="2025-05-14T15:27:00Z"/>
        </w:trPr>
        <w:tc>
          <w:tcPr>
            <w:tcW w:w="3641" w:type="dxa"/>
          </w:tcPr>
          <w:p w14:paraId="05FAA2B1" w14:textId="0D71B5BF" w:rsidR="00CB64F6" w:rsidRPr="00183B5F" w:rsidRDefault="00943743" w:rsidP="004062FE">
            <w:pPr>
              <w:pStyle w:val="TableText"/>
              <w:spacing w:before="0" w:after="0" w:line="240" w:lineRule="auto"/>
              <w:rPr>
                <w:del w:id="2505" w:author="AbbVie_HU_03" w:date="2025-05-14T15:27:00Z"/>
                <w:b/>
                <w:bCs/>
                <w:sz w:val="22"/>
                <w:szCs w:val="22"/>
                <w:lang w:val="hu-HU"/>
              </w:rPr>
            </w:pPr>
            <w:del w:id="2506" w:author="AbbVie_HU_03" w:date="2025-05-14T15:27:00Z">
              <w:r w:rsidRPr="00183B5F">
                <w:rPr>
                  <w:b/>
                  <w:bCs/>
                  <w:sz w:val="22"/>
                  <w:szCs w:val="22"/>
                  <w:lang w:val="hu-HU"/>
                </w:rPr>
                <w:delText>26.</w:delText>
              </w:r>
              <w:r w:rsidR="0086404C" w:rsidRPr="00183B5F">
                <w:rPr>
                  <w:b/>
                  <w:bCs/>
                  <w:sz w:val="22"/>
                  <w:szCs w:val="22"/>
                  <w:lang w:val="hu-HU"/>
                </w:rPr>
                <w:delText> </w:delText>
              </w:r>
              <w:r w:rsidRPr="00183B5F">
                <w:rPr>
                  <w:b/>
                  <w:bCs/>
                  <w:sz w:val="22"/>
                  <w:szCs w:val="22"/>
                  <w:lang w:val="hu-HU"/>
                </w:rPr>
                <w:delText>hét</w:delText>
              </w:r>
            </w:del>
          </w:p>
        </w:tc>
        <w:tc>
          <w:tcPr>
            <w:tcW w:w="1751" w:type="dxa"/>
          </w:tcPr>
          <w:p w14:paraId="7B401C17" w14:textId="6813BF15" w:rsidR="00CB64F6" w:rsidRPr="00183B5F" w:rsidRDefault="00943743" w:rsidP="004062FE">
            <w:pPr>
              <w:pStyle w:val="TableText"/>
              <w:spacing w:before="0" w:after="0" w:line="240" w:lineRule="auto"/>
              <w:jc w:val="center"/>
              <w:rPr>
                <w:del w:id="2507" w:author="AbbVie_HU_03" w:date="2025-05-14T15:27:00Z"/>
                <w:b/>
                <w:bCs/>
                <w:sz w:val="22"/>
                <w:szCs w:val="22"/>
                <w:lang w:val="hu-HU"/>
              </w:rPr>
            </w:pPr>
            <w:del w:id="2508" w:author="AbbVie_HU_03" w:date="2025-05-14T15:27:00Z">
              <w:r w:rsidRPr="00183B5F">
                <w:rPr>
                  <w:b/>
                  <w:bCs/>
                  <w:sz w:val="22"/>
                  <w:szCs w:val="22"/>
                  <w:lang w:val="hu-HU"/>
                </w:rPr>
                <w:delText>N</w:delText>
              </w:r>
              <w:r w:rsidR="00EE2699" w:rsidRPr="00183B5F">
                <w:rPr>
                  <w:b/>
                  <w:bCs/>
                  <w:sz w:val="22"/>
                  <w:szCs w:val="22"/>
                  <w:lang w:val="hu-HU"/>
                </w:rPr>
                <w:delText> </w:delText>
              </w:r>
              <w:r w:rsidRPr="00183B5F">
                <w:rPr>
                  <w:b/>
                  <w:bCs/>
                  <w:sz w:val="22"/>
                  <w:szCs w:val="22"/>
                  <w:lang w:val="hu-HU"/>
                </w:rPr>
                <w:delText>=</w:delText>
              </w:r>
              <w:r w:rsidR="00EE2699" w:rsidRPr="00183B5F">
                <w:rPr>
                  <w:b/>
                  <w:bCs/>
                  <w:sz w:val="22"/>
                  <w:szCs w:val="22"/>
                  <w:lang w:val="hu-HU"/>
                </w:rPr>
                <w:delText> </w:delText>
              </w:r>
              <w:r w:rsidRPr="00183B5F">
                <w:rPr>
                  <w:b/>
                  <w:bCs/>
                  <w:sz w:val="22"/>
                  <w:szCs w:val="22"/>
                  <w:lang w:val="hu-HU"/>
                </w:rPr>
                <w:delText>170</w:delText>
              </w:r>
            </w:del>
          </w:p>
        </w:tc>
        <w:tc>
          <w:tcPr>
            <w:tcW w:w="1928" w:type="dxa"/>
          </w:tcPr>
          <w:p w14:paraId="65829C9C" w14:textId="130BB16D" w:rsidR="00CB64F6" w:rsidRPr="00183B5F" w:rsidRDefault="00943743" w:rsidP="004062FE">
            <w:pPr>
              <w:pStyle w:val="TableText"/>
              <w:spacing w:before="0" w:after="0" w:line="240" w:lineRule="auto"/>
              <w:jc w:val="center"/>
              <w:rPr>
                <w:del w:id="2509" w:author="AbbVie_HU_03" w:date="2025-05-14T15:27:00Z"/>
                <w:b/>
                <w:bCs/>
                <w:sz w:val="22"/>
                <w:szCs w:val="22"/>
                <w:lang w:val="hu-HU"/>
              </w:rPr>
            </w:pPr>
            <w:del w:id="2510" w:author="AbbVie_HU_03" w:date="2025-05-14T15:27:00Z">
              <w:r w:rsidRPr="00183B5F">
                <w:rPr>
                  <w:b/>
                  <w:bCs/>
                  <w:sz w:val="22"/>
                  <w:szCs w:val="22"/>
                  <w:lang w:val="hu-HU"/>
                </w:rPr>
                <w:delText>N</w:delText>
              </w:r>
              <w:r w:rsidR="00EE2699" w:rsidRPr="00183B5F">
                <w:rPr>
                  <w:b/>
                  <w:bCs/>
                  <w:sz w:val="22"/>
                  <w:szCs w:val="22"/>
                  <w:lang w:val="hu-HU"/>
                </w:rPr>
                <w:delText> </w:delText>
              </w:r>
              <w:r w:rsidRPr="00183B5F">
                <w:rPr>
                  <w:b/>
                  <w:bCs/>
                  <w:sz w:val="22"/>
                  <w:szCs w:val="22"/>
                  <w:lang w:val="hu-HU"/>
                </w:rPr>
                <w:delText>=</w:delText>
              </w:r>
              <w:r w:rsidR="00EE2699" w:rsidRPr="00183B5F">
                <w:rPr>
                  <w:b/>
                  <w:bCs/>
                  <w:sz w:val="22"/>
                  <w:szCs w:val="22"/>
                  <w:lang w:val="hu-HU"/>
                </w:rPr>
                <w:delText> </w:delText>
              </w:r>
              <w:r w:rsidRPr="00183B5F">
                <w:rPr>
                  <w:b/>
                  <w:bCs/>
                  <w:sz w:val="22"/>
                  <w:szCs w:val="22"/>
                  <w:lang w:val="hu-HU"/>
                </w:rPr>
                <w:delText>172</w:delText>
              </w:r>
            </w:del>
          </w:p>
        </w:tc>
        <w:tc>
          <w:tcPr>
            <w:tcW w:w="1700" w:type="dxa"/>
          </w:tcPr>
          <w:p w14:paraId="5EBEE90F" w14:textId="0B14FB24" w:rsidR="00CB64F6" w:rsidRPr="00183B5F" w:rsidRDefault="00943743" w:rsidP="004062FE">
            <w:pPr>
              <w:pStyle w:val="TableText"/>
              <w:spacing w:before="0" w:after="0" w:line="240" w:lineRule="auto"/>
              <w:jc w:val="center"/>
              <w:rPr>
                <w:del w:id="2511" w:author="AbbVie_HU_03" w:date="2025-05-14T15:27:00Z"/>
                <w:b/>
                <w:bCs/>
                <w:sz w:val="22"/>
                <w:szCs w:val="22"/>
                <w:lang w:val="hu-HU"/>
              </w:rPr>
            </w:pPr>
            <w:del w:id="2512" w:author="AbbVie_HU_03" w:date="2025-05-14T15:27:00Z">
              <w:r w:rsidRPr="00183B5F">
                <w:rPr>
                  <w:b/>
                  <w:bCs/>
                  <w:sz w:val="22"/>
                  <w:szCs w:val="22"/>
                  <w:lang w:val="hu-HU"/>
                </w:rPr>
                <w:delText>N</w:delText>
              </w:r>
              <w:r w:rsidR="00EE2699" w:rsidRPr="00183B5F">
                <w:rPr>
                  <w:b/>
                  <w:bCs/>
                  <w:sz w:val="22"/>
                  <w:szCs w:val="22"/>
                  <w:lang w:val="hu-HU"/>
                </w:rPr>
                <w:delText> </w:delText>
              </w:r>
              <w:r w:rsidRPr="00183B5F">
                <w:rPr>
                  <w:b/>
                  <w:bCs/>
                  <w:sz w:val="22"/>
                  <w:szCs w:val="22"/>
                  <w:lang w:val="hu-HU"/>
                </w:rPr>
                <w:delText>=</w:delText>
              </w:r>
              <w:r w:rsidR="00EE2699" w:rsidRPr="00183B5F">
                <w:rPr>
                  <w:b/>
                  <w:bCs/>
                  <w:sz w:val="22"/>
                  <w:szCs w:val="22"/>
                  <w:lang w:val="hu-HU"/>
                </w:rPr>
                <w:delText> </w:delText>
              </w:r>
              <w:r w:rsidRPr="00183B5F">
                <w:rPr>
                  <w:b/>
                  <w:bCs/>
                  <w:sz w:val="22"/>
                  <w:szCs w:val="22"/>
                  <w:lang w:val="hu-HU"/>
                </w:rPr>
                <w:delText>157</w:delText>
              </w:r>
            </w:del>
          </w:p>
        </w:tc>
      </w:tr>
      <w:tr w:rsidR="00011D2F" w14:paraId="0692804B" w14:textId="7AEA1395" w:rsidTr="00D126CF">
        <w:trPr>
          <w:del w:id="2513" w:author="AbbVie_HU_03" w:date="2025-05-14T15:27:00Z"/>
        </w:trPr>
        <w:tc>
          <w:tcPr>
            <w:tcW w:w="3641" w:type="dxa"/>
          </w:tcPr>
          <w:p w14:paraId="59FD5103" w14:textId="57E74104" w:rsidR="00CB64F6" w:rsidRPr="00183B5F" w:rsidRDefault="00943743" w:rsidP="004062FE">
            <w:pPr>
              <w:pStyle w:val="TableText"/>
              <w:spacing w:before="0" w:after="0" w:line="240" w:lineRule="auto"/>
              <w:rPr>
                <w:del w:id="2514" w:author="AbbVie_HU_03" w:date="2025-05-14T15:27:00Z"/>
                <w:sz w:val="22"/>
                <w:szCs w:val="22"/>
                <w:lang w:val="hu-HU"/>
              </w:rPr>
            </w:pPr>
            <w:del w:id="2515" w:author="AbbVie_HU_03" w:date="2025-05-14T15:27:00Z">
              <w:r w:rsidRPr="00183B5F">
                <w:rPr>
                  <w:sz w:val="22"/>
                  <w:szCs w:val="22"/>
                  <w:lang w:val="hu-HU"/>
                </w:rPr>
                <w:delText>Klinikai remisszió</w:delText>
              </w:r>
            </w:del>
          </w:p>
        </w:tc>
        <w:tc>
          <w:tcPr>
            <w:tcW w:w="1751" w:type="dxa"/>
          </w:tcPr>
          <w:p w14:paraId="6619BB0D" w14:textId="2CE69B8F" w:rsidR="00CB64F6" w:rsidRPr="00183B5F" w:rsidRDefault="00943743" w:rsidP="004062FE">
            <w:pPr>
              <w:pStyle w:val="TableText"/>
              <w:spacing w:before="0" w:after="0" w:line="240" w:lineRule="auto"/>
              <w:jc w:val="center"/>
              <w:rPr>
                <w:del w:id="2516" w:author="AbbVie_HU_03" w:date="2025-05-14T15:27:00Z"/>
                <w:sz w:val="22"/>
                <w:szCs w:val="22"/>
                <w:lang w:val="hu-HU"/>
              </w:rPr>
            </w:pPr>
            <w:del w:id="2517" w:author="AbbVie_HU_03" w:date="2025-05-14T15:27:00Z">
              <w:r w:rsidRPr="00183B5F">
                <w:rPr>
                  <w:sz w:val="22"/>
                  <w:szCs w:val="22"/>
                  <w:lang w:val="hu-HU"/>
                </w:rPr>
                <w:delText>17%</w:delText>
              </w:r>
            </w:del>
          </w:p>
        </w:tc>
        <w:tc>
          <w:tcPr>
            <w:tcW w:w="1928" w:type="dxa"/>
          </w:tcPr>
          <w:p w14:paraId="0429CF32" w14:textId="2F074A57" w:rsidR="00CB64F6" w:rsidRPr="00183B5F" w:rsidRDefault="00943743" w:rsidP="004062FE">
            <w:pPr>
              <w:pStyle w:val="TableText"/>
              <w:spacing w:before="0" w:after="0" w:line="240" w:lineRule="auto"/>
              <w:jc w:val="center"/>
              <w:rPr>
                <w:del w:id="2518" w:author="AbbVie_HU_03" w:date="2025-05-14T15:27:00Z"/>
                <w:sz w:val="22"/>
                <w:szCs w:val="22"/>
                <w:lang w:val="hu-HU"/>
              </w:rPr>
            </w:pPr>
            <w:del w:id="2519" w:author="AbbVie_HU_03" w:date="2025-05-14T15:27:00Z">
              <w:r w:rsidRPr="00183B5F">
                <w:rPr>
                  <w:sz w:val="22"/>
                  <w:szCs w:val="22"/>
                  <w:lang w:val="hu-HU"/>
                </w:rPr>
                <w:delText>40%*</w:delText>
              </w:r>
            </w:del>
          </w:p>
        </w:tc>
        <w:tc>
          <w:tcPr>
            <w:tcW w:w="1700" w:type="dxa"/>
          </w:tcPr>
          <w:p w14:paraId="52FE731A" w14:textId="4B3CEA01" w:rsidR="00CB64F6" w:rsidRPr="00183B5F" w:rsidRDefault="00943743" w:rsidP="004062FE">
            <w:pPr>
              <w:pStyle w:val="TableText"/>
              <w:spacing w:before="0" w:after="0" w:line="240" w:lineRule="auto"/>
              <w:jc w:val="center"/>
              <w:rPr>
                <w:del w:id="2520" w:author="AbbVie_HU_03" w:date="2025-05-14T15:27:00Z"/>
                <w:sz w:val="22"/>
                <w:szCs w:val="22"/>
                <w:lang w:val="hu-HU"/>
              </w:rPr>
            </w:pPr>
            <w:del w:id="2521" w:author="AbbVie_HU_03" w:date="2025-05-14T15:27:00Z">
              <w:r w:rsidRPr="00183B5F">
                <w:rPr>
                  <w:sz w:val="22"/>
                  <w:szCs w:val="22"/>
                  <w:lang w:val="hu-HU"/>
                </w:rPr>
                <w:delText>47%*</w:delText>
              </w:r>
            </w:del>
          </w:p>
        </w:tc>
      </w:tr>
      <w:tr w:rsidR="00011D2F" w14:paraId="3C48FA13" w14:textId="78DE7A07" w:rsidTr="00D126CF">
        <w:trPr>
          <w:del w:id="2522" w:author="AbbVie_HU_03" w:date="2025-05-14T15:27:00Z"/>
        </w:trPr>
        <w:tc>
          <w:tcPr>
            <w:tcW w:w="3641" w:type="dxa"/>
          </w:tcPr>
          <w:p w14:paraId="3D507A8A" w14:textId="33CCA27D" w:rsidR="00CB64F6" w:rsidRPr="00183B5F" w:rsidRDefault="00943743" w:rsidP="004062FE">
            <w:pPr>
              <w:pStyle w:val="TableText"/>
              <w:spacing w:before="0" w:after="0" w:line="240" w:lineRule="auto"/>
              <w:rPr>
                <w:del w:id="2523" w:author="AbbVie_HU_03" w:date="2025-05-14T15:27:00Z"/>
                <w:sz w:val="22"/>
                <w:szCs w:val="22"/>
                <w:lang w:val="hu-HU"/>
              </w:rPr>
            </w:pPr>
            <w:del w:id="2524" w:author="AbbVie_HU_03" w:date="2025-05-14T15:27:00Z">
              <w:r w:rsidRPr="00183B5F">
                <w:rPr>
                  <w:sz w:val="22"/>
                  <w:szCs w:val="22"/>
                  <w:lang w:val="hu-HU"/>
                </w:rPr>
                <w:delText>Klinikai válasz (CR-100)</w:delText>
              </w:r>
            </w:del>
          </w:p>
        </w:tc>
        <w:tc>
          <w:tcPr>
            <w:tcW w:w="1751" w:type="dxa"/>
          </w:tcPr>
          <w:p w14:paraId="5379C9F0" w14:textId="3F13140B" w:rsidR="00CB64F6" w:rsidRPr="00183B5F" w:rsidRDefault="00943743" w:rsidP="004062FE">
            <w:pPr>
              <w:pStyle w:val="TableText"/>
              <w:spacing w:before="0" w:after="0" w:line="240" w:lineRule="auto"/>
              <w:jc w:val="center"/>
              <w:rPr>
                <w:del w:id="2525" w:author="AbbVie_HU_03" w:date="2025-05-14T15:27:00Z"/>
                <w:sz w:val="22"/>
                <w:szCs w:val="22"/>
                <w:lang w:val="hu-HU"/>
              </w:rPr>
            </w:pPr>
            <w:del w:id="2526" w:author="AbbVie_HU_03" w:date="2025-05-14T15:27:00Z">
              <w:r w:rsidRPr="00183B5F">
                <w:rPr>
                  <w:sz w:val="22"/>
                  <w:szCs w:val="22"/>
                  <w:lang w:val="hu-HU"/>
                </w:rPr>
                <w:delText>27%</w:delText>
              </w:r>
            </w:del>
          </w:p>
        </w:tc>
        <w:tc>
          <w:tcPr>
            <w:tcW w:w="1928" w:type="dxa"/>
          </w:tcPr>
          <w:p w14:paraId="0244D2CF" w14:textId="1AC5400D" w:rsidR="00CB64F6" w:rsidRPr="00183B5F" w:rsidRDefault="00943743" w:rsidP="004062FE">
            <w:pPr>
              <w:pStyle w:val="TableText"/>
              <w:spacing w:before="0" w:after="0" w:line="240" w:lineRule="auto"/>
              <w:jc w:val="center"/>
              <w:rPr>
                <w:del w:id="2527" w:author="AbbVie_HU_03" w:date="2025-05-14T15:27:00Z"/>
                <w:sz w:val="22"/>
                <w:szCs w:val="22"/>
                <w:lang w:val="hu-HU"/>
              </w:rPr>
            </w:pPr>
            <w:del w:id="2528" w:author="AbbVie_HU_03" w:date="2025-05-14T15:27:00Z">
              <w:r w:rsidRPr="00183B5F">
                <w:rPr>
                  <w:sz w:val="22"/>
                  <w:szCs w:val="22"/>
                  <w:lang w:val="hu-HU"/>
                </w:rPr>
                <w:delText>52%*</w:delText>
              </w:r>
            </w:del>
          </w:p>
        </w:tc>
        <w:tc>
          <w:tcPr>
            <w:tcW w:w="1700" w:type="dxa"/>
          </w:tcPr>
          <w:p w14:paraId="255801C7" w14:textId="029713C7" w:rsidR="00CB64F6" w:rsidRPr="00183B5F" w:rsidRDefault="00943743" w:rsidP="004062FE">
            <w:pPr>
              <w:pStyle w:val="TableText"/>
              <w:spacing w:before="0" w:after="0" w:line="240" w:lineRule="auto"/>
              <w:jc w:val="center"/>
              <w:rPr>
                <w:del w:id="2529" w:author="AbbVie_HU_03" w:date="2025-05-14T15:27:00Z"/>
                <w:sz w:val="22"/>
                <w:szCs w:val="22"/>
                <w:lang w:val="hu-HU"/>
              </w:rPr>
            </w:pPr>
            <w:del w:id="2530" w:author="AbbVie_HU_03" w:date="2025-05-14T15:27:00Z">
              <w:r w:rsidRPr="00183B5F">
                <w:rPr>
                  <w:sz w:val="22"/>
                  <w:szCs w:val="22"/>
                  <w:lang w:val="hu-HU"/>
                </w:rPr>
                <w:delText>52%*</w:delText>
              </w:r>
            </w:del>
          </w:p>
        </w:tc>
      </w:tr>
      <w:tr w:rsidR="00011D2F" w14:paraId="4167DF4F" w14:textId="387DCCFD" w:rsidTr="00D126CF">
        <w:trPr>
          <w:del w:id="2531" w:author="AbbVie_HU_03" w:date="2025-05-14T15:27:00Z"/>
        </w:trPr>
        <w:tc>
          <w:tcPr>
            <w:tcW w:w="3641" w:type="dxa"/>
          </w:tcPr>
          <w:p w14:paraId="56AE8005" w14:textId="3C7FD91B" w:rsidR="00CB64F6" w:rsidRPr="00183B5F" w:rsidRDefault="00943743" w:rsidP="004062FE">
            <w:pPr>
              <w:pStyle w:val="TableText"/>
              <w:spacing w:before="0" w:after="0" w:line="240" w:lineRule="auto"/>
              <w:ind w:left="360"/>
              <w:rPr>
                <w:del w:id="2532" w:author="AbbVie_HU_03" w:date="2025-05-14T15:27:00Z"/>
                <w:sz w:val="22"/>
                <w:szCs w:val="22"/>
                <w:lang w:val="hu-HU"/>
              </w:rPr>
            </w:pPr>
            <w:del w:id="2533" w:author="AbbVie_HU_03" w:date="2025-05-14T15:27:00Z">
              <w:r w:rsidRPr="00183B5F">
                <w:rPr>
                  <w:sz w:val="22"/>
                  <w:szCs w:val="22"/>
                  <w:lang w:val="hu-HU"/>
                </w:rPr>
                <w:delText xml:space="preserve">Szteroid nélkül is </w:delText>
              </w:r>
              <w:r w:rsidR="008F1752" w:rsidRPr="00183B5F">
                <w:rPr>
                  <w:sz w:val="22"/>
                  <w:lang w:val="hu-HU"/>
                </w:rPr>
                <w:delText>≥90</w:delText>
              </w:r>
              <w:r w:rsidR="009C3571" w:rsidRPr="00183B5F">
                <w:rPr>
                  <w:sz w:val="22"/>
                  <w:szCs w:val="22"/>
                  <w:lang w:val="hu-HU"/>
                </w:rPr>
                <w:delText> </w:delText>
              </w:r>
              <w:r w:rsidRPr="00183B5F">
                <w:rPr>
                  <w:sz w:val="22"/>
                  <w:szCs w:val="22"/>
                  <w:lang w:val="hu-HU"/>
                </w:rPr>
                <w:delText>napja remisszióban lévő betegek</w:delText>
              </w:r>
              <w:r w:rsidRPr="00183B5F">
                <w:rPr>
                  <w:sz w:val="22"/>
                  <w:szCs w:val="22"/>
                  <w:vertAlign w:val="superscript"/>
                  <w:lang w:val="hu-HU"/>
                </w:rPr>
                <w:delText>a</w:delText>
              </w:r>
            </w:del>
          </w:p>
        </w:tc>
        <w:tc>
          <w:tcPr>
            <w:tcW w:w="1751" w:type="dxa"/>
          </w:tcPr>
          <w:p w14:paraId="7F7226D7" w14:textId="3B4DB5F4" w:rsidR="00CB64F6" w:rsidRPr="00183B5F" w:rsidRDefault="00943743" w:rsidP="004062FE">
            <w:pPr>
              <w:pStyle w:val="TableText"/>
              <w:spacing w:before="0" w:after="0" w:line="240" w:lineRule="auto"/>
              <w:jc w:val="center"/>
              <w:rPr>
                <w:del w:id="2534" w:author="AbbVie_HU_03" w:date="2025-05-14T15:27:00Z"/>
                <w:sz w:val="22"/>
                <w:szCs w:val="22"/>
                <w:lang w:val="hu-HU"/>
              </w:rPr>
            </w:pPr>
            <w:del w:id="2535" w:author="AbbVie_HU_03" w:date="2025-05-14T15:27:00Z">
              <w:r w:rsidRPr="00183B5F">
                <w:rPr>
                  <w:sz w:val="22"/>
                  <w:szCs w:val="22"/>
                  <w:lang w:val="hu-HU"/>
                </w:rPr>
                <w:delText>3% (2/66)</w:delText>
              </w:r>
            </w:del>
          </w:p>
        </w:tc>
        <w:tc>
          <w:tcPr>
            <w:tcW w:w="1928" w:type="dxa"/>
          </w:tcPr>
          <w:p w14:paraId="5948FCF1" w14:textId="4AFD04A8" w:rsidR="00CB64F6" w:rsidRPr="00183B5F" w:rsidRDefault="00943743" w:rsidP="004062FE">
            <w:pPr>
              <w:pStyle w:val="TableText"/>
              <w:spacing w:before="0" w:after="0" w:line="240" w:lineRule="auto"/>
              <w:jc w:val="center"/>
              <w:rPr>
                <w:del w:id="2536" w:author="AbbVie_HU_03" w:date="2025-05-14T15:27:00Z"/>
                <w:sz w:val="22"/>
                <w:szCs w:val="22"/>
                <w:lang w:val="hu-HU"/>
              </w:rPr>
            </w:pPr>
            <w:del w:id="2537" w:author="AbbVie_HU_03" w:date="2025-05-14T15:27:00Z">
              <w:r w:rsidRPr="00183B5F">
                <w:rPr>
                  <w:sz w:val="22"/>
                  <w:szCs w:val="22"/>
                  <w:lang w:val="hu-HU"/>
                </w:rPr>
                <w:delText>19% (11/58)**</w:delText>
              </w:r>
            </w:del>
          </w:p>
        </w:tc>
        <w:tc>
          <w:tcPr>
            <w:tcW w:w="1700" w:type="dxa"/>
          </w:tcPr>
          <w:p w14:paraId="601C86AF" w14:textId="47C054B0" w:rsidR="00CB64F6" w:rsidRPr="00183B5F" w:rsidRDefault="00943743" w:rsidP="004062FE">
            <w:pPr>
              <w:pStyle w:val="TableText"/>
              <w:spacing w:before="0" w:after="0" w:line="240" w:lineRule="auto"/>
              <w:jc w:val="center"/>
              <w:rPr>
                <w:del w:id="2538" w:author="AbbVie_HU_03" w:date="2025-05-14T15:27:00Z"/>
                <w:sz w:val="22"/>
                <w:szCs w:val="22"/>
                <w:lang w:val="hu-HU"/>
              </w:rPr>
            </w:pPr>
            <w:del w:id="2539" w:author="AbbVie_HU_03" w:date="2025-05-14T15:27:00Z">
              <w:r w:rsidRPr="00183B5F">
                <w:rPr>
                  <w:sz w:val="22"/>
                  <w:szCs w:val="22"/>
                  <w:lang w:val="hu-HU"/>
                </w:rPr>
                <w:delText>15% (11/74)**</w:delText>
              </w:r>
            </w:del>
          </w:p>
        </w:tc>
      </w:tr>
      <w:tr w:rsidR="00011D2F" w14:paraId="53E223CE" w14:textId="5F1E820D" w:rsidTr="00D126CF">
        <w:trPr>
          <w:del w:id="2540" w:author="AbbVie_HU_03" w:date="2025-05-14T15:27:00Z"/>
        </w:trPr>
        <w:tc>
          <w:tcPr>
            <w:tcW w:w="3641" w:type="dxa"/>
          </w:tcPr>
          <w:p w14:paraId="48EEBD94" w14:textId="5C421724" w:rsidR="00CB64F6" w:rsidRPr="00183B5F" w:rsidRDefault="00943743" w:rsidP="004062FE">
            <w:pPr>
              <w:pStyle w:val="TableText"/>
              <w:spacing w:before="0" w:after="0" w:line="240" w:lineRule="auto"/>
              <w:rPr>
                <w:del w:id="2541" w:author="AbbVie_HU_03" w:date="2025-05-14T15:27:00Z"/>
                <w:b/>
                <w:bCs/>
                <w:sz w:val="22"/>
                <w:szCs w:val="22"/>
                <w:lang w:val="hu-HU"/>
              </w:rPr>
            </w:pPr>
            <w:del w:id="2542" w:author="AbbVie_HU_03" w:date="2025-05-14T15:27:00Z">
              <w:r w:rsidRPr="00183B5F">
                <w:rPr>
                  <w:b/>
                  <w:bCs/>
                  <w:sz w:val="22"/>
                  <w:szCs w:val="22"/>
                  <w:lang w:val="hu-HU"/>
                </w:rPr>
                <w:delText>56.</w:delText>
              </w:r>
              <w:r w:rsidR="0086404C" w:rsidRPr="00183B5F">
                <w:rPr>
                  <w:b/>
                  <w:bCs/>
                  <w:sz w:val="22"/>
                  <w:szCs w:val="22"/>
                  <w:lang w:val="hu-HU"/>
                </w:rPr>
                <w:delText> </w:delText>
              </w:r>
              <w:r w:rsidRPr="00183B5F">
                <w:rPr>
                  <w:b/>
                  <w:bCs/>
                  <w:sz w:val="22"/>
                  <w:szCs w:val="22"/>
                  <w:lang w:val="hu-HU"/>
                </w:rPr>
                <w:delText>hét</w:delText>
              </w:r>
            </w:del>
          </w:p>
        </w:tc>
        <w:tc>
          <w:tcPr>
            <w:tcW w:w="1751" w:type="dxa"/>
          </w:tcPr>
          <w:p w14:paraId="09EBB57B" w14:textId="669AAB22" w:rsidR="00CB64F6" w:rsidRPr="00183B5F" w:rsidRDefault="00943743" w:rsidP="004062FE">
            <w:pPr>
              <w:pStyle w:val="TableText"/>
              <w:spacing w:before="0" w:after="0" w:line="240" w:lineRule="auto"/>
              <w:jc w:val="center"/>
              <w:rPr>
                <w:del w:id="2543" w:author="AbbVie_HU_03" w:date="2025-05-14T15:27:00Z"/>
                <w:b/>
                <w:bCs/>
                <w:sz w:val="22"/>
                <w:szCs w:val="22"/>
                <w:lang w:val="hu-HU"/>
              </w:rPr>
            </w:pPr>
            <w:del w:id="2544" w:author="AbbVie_HU_03" w:date="2025-05-14T15:27:00Z">
              <w:r w:rsidRPr="00183B5F">
                <w:rPr>
                  <w:b/>
                  <w:bCs/>
                  <w:sz w:val="22"/>
                  <w:szCs w:val="22"/>
                  <w:lang w:val="hu-HU"/>
                </w:rPr>
                <w:delText>N</w:delText>
              </w:r>
              <w:r w:rsidR="00EE2699" w:rsidRPr="00183B5F">
                <w:rPr>
                  <w:b/>
                  <w:bCs/>
                  <w:sz w:val="22"/>
                  <w:szCs w:val="22"/>
                  <w:lang w:val="hu-HU"/>
                </w:rPr>
                <w:delText> </w:delText>
              </w:r>
              <w:r w:rsidRPr="00183B5F">
                <w:rPr>
                  <w:b/>
                  <w:bCs/>
                  <w:sz w:val="22"/>
                  <w:szCs w:val="22"/>
                  <w:lang w:val="hu-HU"/>
                </w:rPr>
                <w:delText>=</w:delText>
              </w:r>
              <w:r w:rsidR="00EE2699" w:rsidRPr="00183B5F">
                <w:rPr>
                  <w:b/>
                  <w:bCs/>
                  <w:sz w:val="22"/>
                  <w:szCs w:val="22"/>
                  <w:lang w:val="hu-HU"/>
                </w:rPr>
                <w:delText> </w:delText>
              </w:r>
              <w:r w:rsidRPr="00183B5F">
                <w:rPr>
                  <w:b/>
                  <w:bCs/>
                  <w:sz w:val="22"/>
                  <w:szCs w:val="22"/>
                  <w:lang w:val="hu-HU"/>
                </w:rPr>
                <w:delText>170</w:delText>
              </w:r>
            </w:del>
          </w:p>
        </w:tc>
        <w:tc>
          <w:tcPr>
            <w:tcW w:w="1928" w:type="dxa"/>
          </w:tcPr>
          <w:p w14:paraId="329DD393" w14:textId="6AB722F4" w:rsidR="00CB64F6" w:rsidRPr="00183B5F" w:rsidRDefault="00943743" w:rsidP="004062FE">
            <w:pPr>
              <w:pStyle w:val="TableText"/>
              <w:spacing w:before="0" w:after="0" w:line="240" w:lineRule="auto"/>
              <w:jc w:val="center"/>
              <w:rPr>
                <w:del w:id="2545" w:author="AbbVie_HU_03" w:date="2025-05-14T15:27:00Z"/>
                <w:b/>
                <w:bCs/>
                <w:sz w:val="22"/>
                <w:szCs w:val="22"/>
                <w:lang w:val="hu-HU"/>
              </w:rPr>
            </w:pPr>
            <w:del w:id="2546" w:author="AbbVie_HU_03" w:date="2025-05-14T15:27:00Z">
              <w:r w:rsidRPr="00183B5F">
                <w:rPr>
                  <w:b/>
                  <w:bCs/>
                  <w:sz w:val="22"/>
                  <w:szCs w:val="22"/>
                  <w:lang w:val="hu-HU"/>
                </w:rPr>
                <w:delText>N</w:delText>
              </w:r>
              <w:r w:rsidR="00EE2699" w:rsidRPr="00183B5F">
                <w:rPr>
                  <w:b/>
                  <w:bCs/>
                  <w:sz w:val="22"/>
                  <w:szCs w:val="22"/>
                  <w:lang w:val="hu-HU"/>
                </w:rPr>
                <w:delText> </w:delText>
              </w:r>
              <w:r w:rsidRPr="00183B5F">
                <w:rPr>
                  <w:b/>
                  <w:bCs/>
                  <w:sz w:val="22"/>
                  <w:szCs w:val="22"/>
                  <w:lang w:val="hu-HU"/>
                </w:rPr>
                <w:delText>=</w:delText>
              </w:r>
              <w:r w:rsidR="00EE2699" w:rsidRPr="00183B5F">
                <w:rPr>
                  <w:b/>
                  <w:bCs/>
                  <w:sz w:val="22"/>
                  <w:szCs w:val="22"/>
                  <w:lang w:val="hu-HU"/>
                </w:rPr>
                <w:delText> </w:delText>
              </w:r>
              <w:r w:rsidRPr="00183B5F">
                <w:rPr>
                  <w:b/>
                  <w:bCs/>
                  <w:sz w:val="22"/>
                  <w:szCs w:val="22"/>
                  <w:lang w:val="hu-HU"/>
                </w:rPr>
                <w:delText>172</w:delText>
              </w:r>
            </w:del>
          </w:p>
        </w:tc>
        <w:tc>
          <w:tcPr>
            <w:tcW w:w="1700" w:type="dxa"/>
          </w:tcPr>
          <w:p w14:paraId="6BCA8877" w14:textId="0B1FD441" w:rsidR="00CB64F6" w:rsidRPr="00183B5F" w:rsidRDefault="00943743" w:rsidP="004062FE">
            <w:pPr>
              <w:pStyle w:val="TableText"/>
              <w:spacing w:before="0" w:after="0" w:line="240" w:lineRule="auto"/>
              <w:jc w:val="center"/>
              <w:rPr>
                <w:del w:id="2547" w:author="AbbVie_HU_03" w:date="2025-05-14T15:27:00Z"/>
                <w:b/>
                <w:bCs/>
                <w:sz w:val="22"/>
                <w:szCs w:val="22"/>
                <w:lang w:val="hu-HU"/>
              </w:rPr>
            </w:pPr>
            <w:del w:id="2548" w:author="AbbVie_HU_03" w:date="2025-05-14T15:27:00Z">
              <w:r w:rsidRPr="00183B5F">
                <w:rPr>
                  <w:b/>
                  <w:bCs/>
                  <w:sz w:val="22"/>
                  <w:szCs w:val="22"/>
                  <w:lang w:val="hu-HU"/>
                </w:rPr>
                <w:delText>N</w:delText>
              </w:r>
              <w:r w:rsidR="00EE2699" w:rsidRPr="00183B5F">
                <w:rPr>
                  <w:b/>
                  <w:bCs/>
                  <w:sz w:val="22"/>
                  <w:szCs w:val="22"/>
                  <w:lang w:val="hu-HU"/>
                </w:rPr>
                <w:delText> </w:delText>
              </w:r>
              <w:r w:rsidRPr="00183B5F">
                <w:rPr>
                  <w:b/>
                  <w:bCs/>
                  <w:sz w:val="22"/>
                  <w:szCs w:val="22"/>
                  <w:lang w:val="hu-HU"/>
                </w:rPr>
                <w:delText>=</w:delText>
              </w:r>
              <w:r w:rsidR="00EE2699" w:rsidRPr="00183B5F">
                <w:rPr>
                  <w:b/>
                  <w:bCs/>
                  <w:sz w:val="22"/>
                  <w:szCs w:val="22"/>
                  <w:lang w:val="hu-HU"/>
                </w:rPr>
                <w:delText> </w:delText>
              </w:r>
              <w:r w:rsidRPr="00183B5F">
                <w:rPr>
                  <w:b/>
                  <w:bCs/>
                  <w:sz w:val="22"/>
                  <w:szCs w:val="22"/>
                  <w:lang w:val="hu-HU"/>
                </w:rPr>
                <w:delText>157</w:delText>
              </w:r>
            </w:del>
          </w:p>
        </w:tc>
      </w:tr>
      <w:tr w:rsidR="00011D2F" w14:paraId="6961CE21" w14:textId="182044E3" w:rsidTr="00D126CF">
        <w:trPr>
          <w:del w:id="2549" w:author="AbbVie_HU_03" w:date="2025-05-14T15:27:00Z"/>
        </w:trPr>
        <w:tc>
          <w:tcPr>
            <w:tcW w:w="3641" w:type="dxa"/>
          </w:tcPr>
          <w:p w14:paraId="2584894D" w14:textId="5961224D" w:rsidR="00CB64F6" w:rsidRPr="00183B5F" w:rsidRDefault="00943743" w:rsidP="004062FE">
            <w:pPr>
              <w:pStyle w:val="TableText"/>
              <w:spacing w:before="0" w:after="0" w:line="240" w:lineRule="auto"/>
              <w:rPr>
                <w:del w:id="2550" w:author="AbbVie_HU_03" w:date="2025-05-14T15:27:00Z"/>
                <w:sz w:val="22"/>
                <w:szCs w:val="22"/>
                <w:lang w:val="hu-HU"/>
              </w:rPr>
            </w:pPr>
            <w:del w:id="2551" w:author="AbbVie_HU_03" w:date="2025-05-14T15:27:00Z">
              <w:r w:rsidRPr="00183B5F">
                <w:rPr>
                  <w:sz w:val="22"/>
                  <w:szCs w:val="22"/>
                  <w:lang w:val="hu-HU"/>
                </w:rPr>
                <w:delText>Klinikai remisszió</w:delText>
              </w:r>
            </w:del>
          </w:p>
        </w:tc>
        <w:tc>
          <w:tcPr>
            <w:tcW w:w="1751" w:type="dxa"/>
          </w:tcPr>
          <w:p w14:paraId="6894254A" w14:textId="551FEED3" w:rsidR="00CB64F6" w:rsidRPr="00183B5F" w:rsidRDefault="00943743" w:rsidP="004062FE">
            <w:pPr>
              <w:pStyle w:val="TableText"/>
              <w:spacing w:before="0" w:after="0" w:line="240" w:lineRule="auto"/>
              <w:jc w:val="center"/>
              <w:rPr>
                <w:del w:id="2552" w:author="AbbVie_HU_03" w:date="2025-05-14T15:27:00Z"/>
                <w:sz w:val="22"/>
                <w:szCs w:val="22"/>
                <w:lang w:val="hu-HU"/>
              </w:rPr>
            </w:pPr>
            <w:del w:id="2553" w:author="AbbVie_HU_03" w:date="2025-05-14T15:27:00Z">
              <w:r w:rsidRPr="00183B5F">
                <w:rPr>
                  <w:sz w:val="22"/>
                  <w:szCs w:val="22"/>
                  <w:lang w:val="hu-HU"/>
                </w:rPr>
                <w:delText>12%</w:delText>
              </w:r>
            </w:del>
          </w:p>
        </w:tc>
        <w:tc>
          <w:tcPr>
            <w:tcW w:w="1928" w:type="dxa"/>
          </w:tcPr>
          <w:p w14:paraId="16676B51" w14:textId="1204053D" w:rsidR="00CB64F6" w:rsidRPr="00183B5F" w:rsidRDefault="00943743" w:rsidP="004062FE">
            <w:pPr>
              <w:pStyle w:val="TableText"/>
              <w:spacing w:before="0" w:after="0" w:line="240" w:lineRule="auto"/>
              <w:jc w:val="center"/>
              <w:rPr>
                <w:del w:id="2554" w:author="AbbVie_HU_03" w:date="2025-05-14T15:27:00Z"/>
                <w:sz w:val="22"/>
                <w:szCs w:val="22"/>
                <w:lang w:val="hu-HU"/>
              </w:rPr>
            </w:pPr>
            <w:del w:id="2555" w:author="AbbVie_HU_03" w:date="2025-05-14T15:27:00Z">
              <w:r w:rsidRPr="00183B5F">
                <w:rPr>
                  <w:sz w:val="22"/>
                  <w:szCs w:val="22"/>
                  <w:lang w:val="hu-HU"/>
                </w:rPr>
                <w:delText>36%*</w:delText>
              </w:r>
            </w:del>
          </w:p>
        </w:tc>
        <w:tc>
          <w:tcPr>
            <w:tcW w:w="1700" w:type="dxa"/>
          </w:tcPr>
          <w:p w14:paraId="188CB754" w14:textId="07530CD7" w:rsidR="00CB64F6" w:rsidRPr="00183B5F" w:rsidRDefault="00943743" w:rsidP="004062FE">
            <w:pPr>
              <w:pStyle w:val="TableText"/>
              <w:spacing w:before="0" w:after="0" w:line="240" w:lineRule="auto"/>
              <w:jc w:val="center"/>
              <w:rPr>
                <w:del w:id="2556" w:author="AbbVie_HU_03" w:date="2025-05-14T15:27:00Z"/>
                <w:sz w:val="22"/>
                <w:szCs w:val="22"/>
                <w:lang w:val="hu-HU"/>
              </w:rPr>
            </w:pPr>
            <w:del w:id="2557" w:author="AbbVie_HU_03" w:date="2025-05-14T15:27:00Z">
              <w:r w:rsidRPr="00183B5F">
                <w:rPr>
                  <w:sz w:val="22"/>
                  <w:szCs w:val="22"/>
                  <w:lang w:val="hu-HU"/>
                </w:rPr>
                <w:delText>41%*</w:delText>
              </w:r>
            </w:del>
          </w:p>
        </w:tc>
      </w:tr>
      <w:tr w:rsidR="00011D2F" w14:paraId="1CE9BEBE" w14:textId="059FFF52" w:rsidTr="00D126CF">
        <w:trPr>
          <w:del w:id="2558" w:author="AbbVie_HU_03" w:date="2025-05-14T15:27:00Z"/>
        </w:trPr>
        <w:tc>
          <w:tcPr>
            <w:tcW w:w="3641" w:type="dxa"/>
          </w:tcPr>
          <w:p w14:paraId="682DC62A" w14:textId="6B49DDCC" w:rsidR="00CB64F6" w:rsidRPr="00183B5F" w:rsidRDefault="00943743" w:rsidP="004062FE">
            <w:pPr>
              <w:pStyle w:val="TableText"/>
              <w:spacing w:before="0" w:after="0" w:line="240" w:lineRule="auto"/>
              <w:rPr>
                <w:del w:id="2559" w:author="AbbVie_HU_03" w:date="2025-05-14T15:27:00Z"/>
                <w:sz w:val="22"/>
                <w:szCs w:val="22"/>
                <w:lang w:val="hu-HU"/>
              </w:rPr>
            </w:pPr>
            <w:del w:id="2560" w:author="AbbVie_HU_03" w:date="2025-05-14T15:27:00Z">
              <w:r w:rsidRPr="00183B5F">
                <w:rPr>
                  <w:sz w:val="22"/>
                  <w:szCs w:val="22"/>
                  <w:lang w:val="hu-HU"/>
                </w:rPr>
                <w:delText>Klinikai válasz (CR-100)</w:delText>
              </w:r>
            </w:del>
          </w:p>
        </w:tc>
        <w:tc>
          <w:tcPr>
            <w:tcW w:w="1751" w:type="dxa"/>
          </w:tcPr>
          <w:p w14:paraId="3F1834F7" w14:textId="15FD6910" w:rsidR="00CB64F6" w:rsidRPr="00183B5F" w:rsidRDefault="00943743" w:rsidP="004062FE">
            <w:pPr>
              <w:pStyle w:val="TableText"/>
              <w:spacing w:before="0" w:after="0" w:line="240" w:lineRule="auto"/>
              <w:jc w:val="center"/>
              <w:rPr>
                <w:del w:id="2561" w:author="AbbVie_HU_03" w:date="2025-05-14T15:27:00Z"/>
                <w:sz w:val="22"/>
                <w:szCs w:val="22"/>
                <w:lang w:val="hu-HU"/>
              </w:rPr>
            </w:pPr>
            <w:del w:id="2562" w:author="AbbVie_HU_03" w:date="2025-05-14T15:27:00Z">
              <w:r w:rsidRPr="00183B5F">
                <w:rPr>
                  <w:sz w:val="22"/>
                  <w:szCs w:val="22"/>
                  <w:lang w:val="hu-HU"/>
                </w:rPr>
                <w:delText>17%</w:delText>
              </w:r>
            </w:del>
          </w:p>
        </w:tc>
        <w:tc>
          <w:tcPr>
            <w:tcW w:w="1928" w:type="dxa"/>
          </w:tcPr>
          <w:p w14:paraId="1EB4BD4D" w14:textId="5EA1103C" w:rsidR="00CB64F6" w:rsidRPr="00183B5F" w:rsidRDefault="00943743" w:rsidP="004062FE">
            <w:pPr>
              <w:pStyle w:val="TableText"/>
              <w:spacing w:before="0" w:after="0" w:line="240" w:lineRule="auto"/>
              <w:jc w:val="center"/>
              <w:rPr>
                <w:del w:id="2563" w:author="AbbVie_HU_03" w:date="2025-05-14T15:27:00Z"/>
                <w:sz w:val="22"/>
                <w:szCs w:val="22"/>
                <w:lang w:val="hu-HU"/>
              </w:rPr>
            </w:pPr>
            <w:del w:id="2564" w:author="AbbVie_HU_03" w:date="2025-05-14T15:27:00Z">
              <w:r w:rsidRPr="00183B5F">
                <w:rPr>
                  <w:sz w:val="22"/>
                  <w:szCs w:val="22"/>
                  <w:lang w:val="hu-HU"/>
                </w:rPr>
                <w:delText>41%*</w:delText>
              </w:r>
            </w:del>
          </w:p>
        </w:tc>
        <w:tc>
          <w:tcPr>
            <w:tcW w:w="1700" w:type="dxa"/>
          </w:tcPr>
          <w:p w14:paraId="16CEF716" w14:textId="577A3069" w:rsidR="00CB64F6" w:rsidRPr="00183B5F" w:rsidRDefault="00943743" w:rsidP="004062FE">
            <w:pPr>
              <w:pStyle w:val="TableText"/>
              <w:spacing w:before="0" w:after="0" w:line="240" w:lineRule="auto"/>
              <w:jc w:val="center"/>
              <w:rPr>
                <w:del w:id="2565" w:author="AbbVie_HU_03" w:date="2025-05-14T15:27:00Z"/>
                <w:sz w:val="22"/>
                <w:szCs w:val="22"/>
                <w:lang w:val="hu-HU"/>
              </w:rPr>
            </w:pPr>
            <w:del w:id="2566" w:author="AbbVie_HU_03" w:date="2025-05-14T15:27:00Z">
              <w:r w:rsidRPr="00183B5F">
                <w:rPr>
                  <w:sz w:val="22"/>
                  <w:szCs w:val="22"/>
                  <w:lang w:val="hu-HU"/>
                </w:rPr>
                <w:delText>48%*</w:delText>
              </w:r>
            </w:del>
          </w:p>
        </w:tc>
      </w:tr>
      <w:tr w:rsidR="00011D2F" w14:paraId="1B029BC5" w14:textId="62BDB3F6" w:rsidTr="00673624">
        <w:trPr>
          <w:del w:id="2567" w:author="AbbVie_HU_03" w:date="2025-05-14T15:27:00Z"/>
        </w:trPr>
        <w:tc>
          <w:tcPr>
            <w:tcW w:w="3641" w:type="dxa"/>
            <w:tcBorders>
              <w:bottom w:val="single" w:sz="4" w:space="0" w:color="auto"/>
            </w:tcBorders>
          </w:tcPr>
          <w:p w14:paraId="4E4737E5" w14:textId="76C2A132" w:rsidR="00CB64F6" w:rsidRPr="00183B5F" w:rsidRDefault="00943743" w:rsidP="004062FE">
            <w:pPr>
              <w:pStyle w:val="TableText"/>
              <w:spacing w:before="0" w:after="0" w:line="240" w:lineRule="auto"/>
              <w:ind w:left="360"/>
              <w:rPr>
                <w:del w:id="2568" w:author="AbbVie_HU_03" w:date="2025-05-14T15:27:00Z"/>
                <w:sz w:val="22"/>
                <w:szCs w:val="22"/>
                <w:lang w:val="hu-HU"/>
              </w:rPr>
            </w:pPr>
            <w:del w:id="2569" w:author="AbbVie_HU_03" w:date="2025-05-14T15:27:00Z">
              <w:r w:rsidRPr="00183B5F">
                <w:rPr>
                  <w:sz w:val="22"/>
                  <w:szCs w:val="22"/>
                  <w:lang w:val="hu-HU"/>
                </w:rPr>
                <w:delText xml:space="preserve">Szteroid nélkül is </w:delText>
              </w:r>
              <w:r w:rsidR="008F1752" w:rsidRPr="00183B5F">
                <w:rPr>
                  <w:sz w:val="22"/>
                  <w:lang w:val="hu-HU"/>
                </w:rPr>
                <w:delText>≥90</w:delText>
              </w:r>
              <w:r w:rsidR="009C3571" w:rsidRPr="00183B5F">
                <w:rPr>
                  <w:sz w:val="22"/>
                  <w:szCs w:val="22"/>
                  <w:lang w:val="hu-HU"/>
                </w:rPr>
                <w:delText> </w:delText>
              </w:r>
              <w:r w:rsidRPr="00183B5F">
                <w:rPr>
                  <w:sz w:val="22"/>
                  <w:szCs w:val="22"/>
                  <w:lang w:val="hu-HU"/>
                </w:rPr>
                <w:delText>napja remisszióban lévő betegek</w:delText>
              </w:r>
              <w:r w:rsidRPr="00183B5F">
                <w:rPr>
                  <w:sz w:val="22"/>
                  <w:szCs w:val="22"/>
                  <w:vertAlign w:val="superscript"/>
                  <w:lang w:val="hu-HU"/>
                </w:rPr>
                <w:delText>a</w:delText>
              </w:r>
            </w:del>
          </w:p>
        </w:tc>
        <w:tc>
          <w:tcPr>
            <w:tcW w:w="1751" w:type="dxa"/>
            <w:tcBorders>
              <w:bottom w:val="single" w:sz="4" w:space="0" w:color="auto"/>
            </w:tcBorders>
          </w:tcPr>
          <w:p w14:paraId="1D3820DD" w14:textId="0AE57736" w:rsidR="00CB64F6" w:rsidRPr="00183B5F" w:rsidRDefault="00943743" w:rsidP="004062FE">
            <w:pPr>
              <w:pStyle w:val="TableText"/>
              <w:spacing w:before="0" w:after="0" w:line="240" w:lineRule="auto"/>
              <w:jc w:val="center"/>
              <w:rPr>
                <w:del w:id="2570" w:author="AbbVie_HU_03" w:date="2025-05-14T15:27:00Z"/>
                <w:sz w:val="22"/>
                <w:szCs w:val="22"/>
                <w:lang w:val="hu-HU"/>
              </w:rPr>
            </w:pPr>
            <w:del w:id="2571" w:author="AbbVie_HU_03" w:date="2025-05-14T15:27:00Z">
              <w:r w:rsidRPr="00183B5F">
                <w:rPr>
                  <w:sz w:val="22"/>
                  <w:szCs w:val="22"/>
                  <w:lang w:val="hu-HU"/>
                </w:rPr>
                <w:delText>5% (3/66)</w:delText>
              </w:r>
            </w:del>
          </w:p>
        </w:tc>
        <w:tc>
          <w:tcPr>
            <w:tcW w:w="1928" w:type="dxa"/>
            <w:tcBorders>
              <w:bottom w:val="single" w:sz="4" w:space="0" w:color="auto"/>
            </w:tcBorders>
          </w:tcPr>
          <w:p w14:paraId="0D517B81" w14:textId="498EA3D4" w:rsidR="00CB64F6" w:rsidRPr="00183B5F" w:rsidRDefault="00943743" w:rsidP="004062FE">
            <w:pPr>
              <w:pStyle w:val="TableText"/>
              <w:spacing w:before="0" w:after="0" w:line="240" w:lineRule="auto"/>
              <w:jc w:val="center"/>
              <w:rPr>
                <w:del w:id="2572" w:author="AbbVie_HU_03" w:date="2025-05-14T15:27:00Z"/>
                <w:sz w:val="22"/>
                <w:szCs w:val="22"/>
                <w:lang w:val="hu-HU"/>
              </w:rPr>
            </w:pPr>
            <w:del w:id="2573" w:author="AbbVie_HU_03" w:date="2025-05-14T15:27:00Z">
              <w:r w:rsidRPr="00183B5F">
                <w:rPr>
                  <w:sz w:val="22"/>
                  <w:szCs w:val="22"/>
                  <w:lang w:val="hu-HU"/>
                </w:rPr>
                <w:delText>29% (17/58)*</w:delText>
              </w:r>
            </w:del>
          </w:p>
        </w:tc>
        <w:tc>
          <w:tcPr>
            <w:tcW w:w="1700" w:type="dxa"/>
            <w:tcBorders>
              <w:bottom w:val="single" w:sz="4" w:space="0" w:color="auto"/>
            </w:tcBorders>
          </w:tcPr>
          <w:p w14:paraId="09FBC6B4" w14:textId="45A4EA4F" w:rsidR="00CB64F6" w:rsidRPr="00183B5F" w:rsidRDefault="00943743" w:rsidP="004062FE">
            <w:pPr>
              <w:pStyle w:val="TableText"/>
              <w:spacing w:before="0" w:after="0" w:line="240" w:lineRule="auto"/>
              <w:jc w:val="center"/>
              <w:rPr>
                <w:del w:id="2574" w:author="AbbVie_HU_03" w:date="2025-05-14T15:27:00Z"/>
                <w:sz w:val="22"/>
                <w:szCs w:val="22"/>
                <w:lang w:val="hu-HU"/>
              </w:rPr>
            </w:pPr>
            <w:del w:id="2575" w:author="AbbVie_HU_03" w:date="2025-05-14T15:27:00Z">
              <w:r w:rsidRPr="00183B5F">
                <w:rPr>
                  <w:sz w:val="22"/>
                  <w:szCs w:val="22"/>
                  <w:lang w:val="hu-HU"/>
                </w:rPr>
                <w:delText>20% (15/74)**</w:delText>
              </w:r>
            </w:del>
          </w:p>
        </w:tc>
      </w:tr>
      <w:tr w:rsidR="00011D2F" w14:paraId="240E285F" w14:textId="439E8954" w:rsidTr="00673624">
        <w:trPr>
          <w:cantSplit/>
          <w:del w:id="2576" w:author="AbbVie_HU_03" w:date="2025-05-14T15:27:00Z"/>
        </w:trPr>
        <w:tc>
          <w:tcPr>
            <w:tcW w:w="9020" w:type="dxa"/>
            <w:gridSpan w:val="4"/>
            <w:tcBorders>
              <w:left w:val="nil"/>
              <w:bottom w:val="nil"/>
              <w:right w:val="nil"/>
            </w:tcBorders>
          </w:tcPr>
          <w:p w14:paraId="4E1E86C5" w14:textId="2A7F3E22" w:rsidR="00CB64F6" w:rsidRPr="00183B5F" w:rsidRDefault="00943743" w:rsidP="004062FE">
            <w:pPr>
              <w:pStyle w:val="TableText"/>
              <w:keepNext w:val="0"/>
              <w:spacing w:before="0" w:after="0" w:line="240" w:lineRule="auto"/>
              <w:rPr>
                <w:del w:id="2577" w:author="AbbVie_HU_03" w:date="2025-05-14T15:27:00Z"/>
                <w:sz w:val="22"/>
                <w:szCs w:val="22"/>
                <w:lang w:val="hu-HU"/>
              </w:rPr>
            </w:pPr>
            <w:del w:id="2578" w:author="AbbVie_HU_03" w:date="2025-05-14T15:27:00Z">
              <w:r w:rsidRPr="00183B5F">
                <w:rPr>
                  <w:sz w:val="22"/>
                  <w:szCs w:val="22"/>
                  <w:lang w:val="hu-HU"/>
                </w:rPr>
                <w:delText>*</w:delText>
              </w:r>
              <w:r w:rsidRPr="00183B5F">
                <w:rPr>
                  <w:sz w:val="22"/>
                  <w:szCs w:val="22"/>
                  <w:lang w:val="hu-HU"/>
                </w:rPr>
                <w:tab/>
                <w:delText>p &lt; 0</w:delText>
              </w:r>
              <w:r w:rsidR="007C758D" w:rsidRPr="00183B5F">
                <w:rPr>
                  <w:sz w:val="22"/>
                  <w:szCs w:val="22"/>
                  <w:lang w:val="hu-HU"/>
                </w:rPr>
                <w:delText>,</w:delText>
              </w:r>
              <w:r w:rsidRPr="00183B5F">
                <w:rPr>
                  <w:sz w:val="22"/>
                  <w:szCs w:val="22"/>
                  <w:lang w:val="hu-HU"/>
                </w:rPr>
                <w:delText>001 Humira</w:delText>
              </w:r>
              <w:r w:rsidR="00330A18" w:rsidRPr="00183B5F">
                <w:rPr>
                  <w:sz w:val="22"/>
                  <w:szCs w:val="22"/>
                  <w:lang w:val="hu-HU"/>
                </w:rPr>
                <w:noBreakHyphen/>
              </w:r>
              <w:r w:rsidRPr="00183B5F">
                <w:rPr>
                  <w:sz w:val="22"/>
                  <w:szCs w:val="22"/>
                  <w:lang w:val="hu-HU"/>
                </w:rPr>
                <w:delText xml:space="preserve">val </w:delText>
              </w:r>
              <w:r w:rsidRPr="00183B5F">
                <w:rPr>
                  <w:i/>
                  <w:sz w:val="22"/>
                  <w:szCs w:val="22"/>
                  <w:lang w:val="hu-HU"/>
                </w:rPr>
                <w:delText>versus</w:delText>
              </w:r>
              <w:r w:rsidRPr="00183B5F">
                <w:rPr>
                  <w:sz w:val="22"/>
                  <w:szCs w:val="22"/>
                  <w:lang w:val="hu-HU"/>
                </w:rPr>
                <w:delText xml:space="preserve"> placebóval kezelt csoportokban regisztrált arányok páronkénti összehasonlítása</w:delText>
              </w:r>
            </w:del>
          </w:p>
          <w:p w14:paraId="042501DF" w14:textId="1B4615A0" w:rsidR="00CB64F6" w:rsidRPr="00183B5F" w:rsidRDefault="00943743" w:rsidP="004062FE">
            <w:pPr>
              <w:pStyle w:val="TableText"/>
              <w:keepNext w:val="0"/>
              <w:spacing w:before="0" w:after="0" w:line="240" w:lineRule="auto"/>
              <w:rPr>
                <w:del w:id="2579" w:author="AbbVie_HU_03" w:date="2025-05-14T15:27:00Z"/>
                <w:sz w:val="22"/>
                <w:szCs w:val="22"/>
                <w:lang w:val="hu-HU"/>
              </w:rPr>
            </w:pPr>
            <w:del w:id="2580" w:author="AbbVie_HU_03" w:date="2025-05-14T15:27:00Z">
              <w:r w:rsidRPr="00183B5F">
                <w:rPr>
                  <w:sz w:val="22"/>
                  <w:szCs w:val="22"/>
                  <w:lang w:val="hu-HU"/>
                </w:rPr>
                <w:delText>**</w:delText>
              </w:r>
              <w:r w:rsidRPr="00183B5F">
                <w:rPr>
                  <w:sz w:val="22"/>
                  <w:szCs w:val="22"/>
                  <w:lang w:val="hu-HU"/>
                </w:rPr>
                <w:tab/>
                <w:delText>p &lt; 0</w:delText>
              </w:r>
              <w:r w:rsidR="007C758D" w:rsidRPr="00183B5F">
                <w:rPr>
                  <w:sz w:val="22"/>
                  <w:szCs w:val="22"/>
                  <w:lang w:val="hu-HU"/>
                </w:rPr>
                <w:delText>,</w:delText>
              </w:r>
              <w:r w:rsidRPr="00183B5F">
                <w:rPr>
                  <w:sz w:val="22"/>
                  <w:szCs w:val="22"/>
                  <w:lang w:val="hu-HU"/>
                </w:rPr>
                <w:delText>02 Humira</w:delText>
              </w:r>
              <w:r w:rsidR="00330A18" w:rsidRPr="00183B5F">
                <w:rPr>
                  <w:sz w:val="22"/>
                  <w:szCs w:val="22"/>
                  <w:lang w:val="hu-HU"/>
                </w:rPr>
                <w:noBreakHyphen/>
              </w:r>
              <w:r w:rsidRPr="00183B5F">
                <w:rPr>
                  <w:sz w:val="22"/>
                  <w:szCs w:val="22"/>
                  <w:lang w:val="hu-HU"/>
                </w:rPr>
                <w:delText xml:space="preserve">val </w:delText>
              </w:r>
              <w:r w:rsidRPr="00183B5F">
                <w:rPr>
                  <w:i/>
                  <w:sz w:val="22"/>
                  <w:szCs w:val="22"/>
                  <w:lang w:val="hu-HU"/>
                </w:rPr>
                <w:delText>versus</w:delText>
              </w:r>
              <w:r w:rsidRPr="00183B5F">
                <w:rPr>
                  <w:sz w:val="22"/>
                  <w:szCs w:val="22"/>
                  <w:lang w:val="hu-HU"/>
                </w:rPr>
                <w:delText xml:space="preserve"> placebóval kezelt csoportokban regisztrált arányok páronkénti összehasonlítása</w:delText>
              </w:r>
            </w:del>
          </w:p>
          <w:p w14:paraId="1AC5745F" w14:textId="58FB815C" w:rsidR="00CB64F6" w:rsidRPr="00183B5F" w:rsidRDefault="00943743" w:rsidP="004062FE">
            <w:pPr>
              <w:pStyle w:val="TableText"/>
              <w:spacing w:before="0" w:after="0" w:line="240" w:lineRule="auto"/>
              <w:rPr>
                <w:del w:id="2581" w:author="AbbVie_HU_03" w:date="2025-05-14T15:27:00Z"/>
                <w:sz w:val="22"/>
                <w:szCs w:val="22"/>
                <w:lang w:val="hu-HU"/>
              </w:rPr>
            </w:pPr>
            <w:del w:id="2582" w:author="AbbVie_HU_03" w:date="2025-05-14T15:27:00Z">
              <w:r w:rsidRPr="00183B5F">
                <w:rPr>
                  <w:sz w:val="22"/>
                  <w:szCs w:val="22"/>
                  <w:vertAlign w:val="superscript"/>
                  <w:lang w:val="hu-HU"/>
                </w:rPr>
                <w:delText>a</w:delText>
              </w:r>
              <w:r w:rsidRPr="00183B5F">
                <w:rPr>
                  <w:sz w:val="22"/>
                  <w:szCs w:val="22"/>
                  <w:vertAlign w:val="superscript"/>
                  <w:lang w:val="hu-HU"/>
                </w:rPr>
                <w:tab/>
              </w:r>
              <w:r w:rsidRPr="00183B5F">
                <w:rPr>
                  <w:sz w:val="22"/>
                  <w:szCs w:val="22"/>
                  <w:lang w:val="hu-HU"/>
                </w:rPr>
                <w:delText>A vizsgálat kezdetekor kortikoszteroidokkal kezelt betegek közül.</w:delText>
              </w:r>
            </w:del>
          </w:p>
        </w:tc>
      </w:tr>
    </w:tbl>
    <w:p w14:paraId="4E2F7F68" w14:textId="34072C5D" w:rsidR="00B71E0F" w:rsidRPr="00183B5F" w:rsidRDefault="00B71E0F">
      <w:pPr>
        <w:pStyle w:val="EMEANormal"/>
        <w:rPr>
          <w:del w:id="2583" w:author="AbbVie_HU_03" w:date="2025-05-14T15:27:00Z"/>
          <w:szCs w:val="22"/>
          <w:lang w:val="hu-HU"/>
        </w:rPr>
      </w:pPr>
    </w:p>
    <w:p w14:paraId="0F3789C8" w14:textId="494F3414" w:rsidR="00CB64F6" w:rsidRPr="00183B5F" w:rsidRDefault="00943743">
      <w:pPr>
        <w:pStyle w:val="EMEANormal"/>
        <w:rPr>
          <w:del w:id="2584" w:author="AbbVie_HU_03" w:date="2025-05-14T15:27:00Z"/>
          <w:szCs w:val="22"/>
          <w:lang w:val="hu-HU"/>
        </w:rPr>
      </w:pPr>
      <w:del w:id="2585" w:author="AbbVie_HU_03" w:date="2025-05-14T15:27:00Z">
        <w:r w:rsidRPr="00183B5F">
          <w:rPr>
            <w:szCs w:val="22"/>
            <w:lang w:val="hu-HU"/>
          </w:rPr>
          <w:delText>A kezelésre a 4. hétig nem reagáló betegek közül a fenntartó Humira</w:delText>
        </w:r>
        <w:r w:rsidR="00330A18" w:rsidRPr="00183B5F">
          <w:rPr>
            <w:szCs w:val="22"/>
            <w:lang w:val="hu-HU"/>
          </w:rPr>
          <w:noBreakHyphen/>
        </w:r>
        <w:r w:rsidRPr="00183B5F">
          <w:rPr>
            <w:szCs w:val="22"/>
            <w:lang w:val="hu-HU"/>
          </w:rPr>
          <w:delText>kezelésben részesülők 43%</w:delText>
        </w:r>
        <w:r w:rsidR="00330A18" w:rsidRPr="00183B5F">
          <w:rPr>
            <w:szCs w:val="22"/>
            <w:lang w:val="hu-HU"/>
          </w:rPr>
          <w:noBreakHyphen/>
        </w:r>
        <w:r w:rsidRPr="00183B5F">
          <w:rPr>
            <w:szCs w:val="22"/>
            <w:lang w:val="hu-HU"/>
          </w:rPr>
          <w:delText>án</w:delText>
        </w:r>
        <w:r w:rsidR="007C758D" w:rsidRPr="00183B5F">
          <w:rPr>
            <w:szCs w:val="22"/>
            <w:lang w:val="hu-HU"/>
          </w:rPr>
          <w:delText>ál</w:delText>
        </w:r>
        <w:r w:rsidRPr="00183B5F">
          <w:rPr>
            <w:szCs w:val="22"/>
            <w:lang w:val="hu-HU"/>
          </w:rPr>
          <w:delText>, míg a placebokezelésben részesülők 30%</w:delText>
        </w:r>
        <w:r w:rsidR="00330A18" w:rsidRPr="00183B5F">
          <w:rPr>
            <w:szCs w:val="22"/>
            <w:lang w:val="hu-HU"/>
          </w:rPr>
          <w:noBreakHyphen/>
        </w:r>
        <w:r w:rsidRPr="00183B5F">
          <w:rPr>
            <w:szCs w:val="22"/>
            <w:lang w:val="hu-HU"/>
          </w:rPr>
          <w:delText>án</w:delText>
        </w:r>
        <w:r w:rsidR="007C758D" w:rsidRPr="00183B5F">
          <w:rPr>
            <w:szCs w:val="22"/>
            <w:lang w:val="hu-HU"/>
          </w:rPr>
          <w:delText>ál</w:delText>
        </w:r>
        <w:r w:rsidRPr="00183B5F">
          <w:rPr>
            <w:szCs w:val="22"/>
            <w:lang w:val="hu-HU"/>
          </w:rPr>
          <w:delText xml:space="preserve"> jelentkezett terápiás hatás a 12. hétig. Ezek az eredmények amellett szólnak, hogy egyes, a kezelésre a 4. hétig nem reagáló betegek fenntartó kezelését előnyös lehet a 12. hétig folytatni. A kezelést a 12. héten túl is folytatva már nem nőtt számottevően a kezelésre reagálók aránya (lásd 4.2 pont).</w:delText>
        </w:r>
      </w:del>
    </w:p>
    <w:p w14:paraId="60AD7EB1" w14:textId="7E8DC784" w:rsidR="00CB64F6" w:rsidRPr="00183B5F" w:rsidRDefault="00CB64F6">
      <w:pPr>
        <w:pStyle w:val="EMEANormal"/>
        <w:rPr>
          <w:del w:id="2586" w:author="AbbVie_HU_03" w:date="2025-05-14T15:27:00Z"/>
          <w:szCs w:val="22"/>
          <w:lang w:val="hu-HU"/>
        </w:rPr>
      </w:pPr>
    </w:p>
    <w:p w14:paraId="7AE23F9D" w14:textId="73DA20C3" w:rsidR="00B71E0F" w:rsidRPr="00183B5F" w:rsidRDefault="00943743">
      <w:pPr>
        <w:pStyle w:val="EMEANormal"/>
        <w:rPr>
          <w:del w:id="2587" w:author="AbbVie_HU_03" w:date="2025-05-14T15:27:00Z"/>
          <w:szCs w:val="22"/>
          <w:lang w:val="hu-HU"/>
        </w:rPr>
      </w:pPr>
      <w:del w:id="2588" w:author="AbbVie_HU_03" w:date="2025-05-14T15:27:00Z">
        <w:r w:rsidRPr="00183B5F">
          <w:rPr>
            <w:szCs w:val="22"/>
            <w:lang w:val="hu-HU"/>
          </w:rPr>
          <w:delText>A CD</w:delText>
        </w:r>
        <w:r w:rsidR="00330A18" w:rsidRPr="00183B5F">
          <w:rPr>
            <w:szCs w:val="22"/>
            <w:lang w:val="hu-HU"/>
          </w:rPr>
          <w:delText> </w:delText>
        </w:r>
        <w:r w:rsidRPr="00183B5F">
          <w:rPr>
            <w:szCs w:val="22"/>
            <w:lang w:val="hu-HU"/>
          </w:rPr>
          <w:delText>I vizsgálat 117/276</w:delText>
        </w:r>
        <w:r w:rsidR="00330A18" w:rsidRPr="00183B5F">
          <w:rPr>
            <w:szCs w:val="22"/>
            <w:lang w:val="hu-HU"/>
          </w:rPr>
          <w:delText> </w:delText>
        </w:r>
        <w:r w:rsidRPr="00183B5F">
          <w:rPr>
            <w:szCs w:val="22"/>
            <w:lang w:val="hu-HU"/>
          </w:rPr>
          <w:delText>betegét, míg a CD</w:delText>
        </w:r>
        <w:r w:rsidR="00330A18" w:rsidRPr="00183B5F">
          <w:rPr>
            <w:szCs w:val="22"/>
            <w:lang w:val="hu-HU"/>
          </w:rPr>
          <w:delText> </w:delText>
        </w:r>
        <w:r w:rsidRPr="00183B5F">
          <w:rPr>
            <w:szCs w:val="22"/>
            <w:lang w:val="hu-HU"/>
          </w:rPr>
          <w:delText>II és</w:delText>
        </w:r>
        <w:r w:rsidR="00330A18" w:rsidRPr="00183B5F">
          <w:rPr>
            <w:szCs w:val="22"/>
            <w:lang w:val="hu-HU"/>
          </w:rPr>
          <w:delText> </w:delText>
        </w:r>
        <w:r w:rsidRPr="00183B5F">
          <w:rPr>
            <w:szCs w:val="22"/>
            <w:lang w:val="hu-HU"/>
          </w:rPr>
          <w:delText>III vizsgálat 272/777</w:delText>
        </w:r>
        <w:r w:rsidR="000D594B" w:rsidRPr="00183B5F">
          <w:rPr>
            <w:szCs w:val="22"/>
            <w:lang w:val="hu-HU"/>
          </w:rPr>
          <w:delText> </w:delText>
        </w:r>
        <w:r w:rsidRPr="00183B5F">
          <w:rPr>
            <w:szCs w:val="22"/>
            <w:lang w:val="hu-HU"/>
          </w:rPr>
          <w:delText xml:space="preserve">betegét követték </w:delText>
        </w:r>
        <w:r w:rsidR="007C758D" w:rsidRPr="00183B5F">
          <w:rPr>
            <w:szCs w:val="22"/>
            <w:lang w:val="hu-HU"/>
          </w:rPr>
          <w:delText xml:space="preserve">a </w:delText>
        </w:r>
        <w:r w:rsidRPr="00183B5F">
          <w:rPr>
            <w:szCs w:val="22"/>
            <w:lang w:val="hu-HU"/>
          </w:rPr>
          <w:delText>nyílt adalimumab</w:delText>
        </w:r>
        <w:r w:rsidRPr="00183B5F">
          <w:rPr>
            <w:szCs w:val="22"/>
            <w:lang w:val="hu-HU"/>
          </w:rPr>
          <w:noBreakHyphen/>
          <w:delText>kezelés alatt legalább 3 éven keresztül. Sorrendben 88, illetve 189</w:delText>
        </w:r>
        <w:r w:rsidR="00330A18" w:rsidRPr="00183B5F">
          <w:rPr>
            <w:szCs w:val="22"/>
            <w:lang w:val="hu-HU"/>
          </w:rPr>
          <w:delText> </w:delText>
        </w:r>
        <w:r w:rsidRPr="00183B5F">
          <w:rPr>
            <w:szCs w:val="22"/>
            <w:lang w:val="hu-HU"/>
          </w:rPr>
          <w:delText>betegnél maradt fent a klinikai remisszió. Sorrendben 102 és 233</w:delText>
        </w:r>
        <w:r w:rsidR="00330A18" w:rsidRPr="00183B5F">
          <w:rPr>
            <w:szCs w:val="22"/>
            <w:lang w:val="hu-HU"/>
          </w:rPr>
          <w:delText> </w:delText>
        </w:r>
        <w:r w:rsidRPr="00183B5F">
          <w:rPr>
            <w:szCs w:val="22"/>
            <w:lang w:val="hu-HU"/>
          </w:rPr>
          <w:delText>betegnél maradt fent a klinikai válasz (CR</w:delText>
        </w:r>
        <w:r w:rsidR="000D594B" w:rsidRPr="00183B5F">
          <w:rPr>
            <w:szCs w:val="22"/>
            <w:lang w:val="hu-HU"/>
          </w:rPr>
          <w:noBreakHyphen/>
        </w:r>
        <w:r w:rsidRPr="00183B5F">
          <w:rPr>
            <w:szCs w:val="22"/>
            <w:lang w:val="hu-HU"/>
          </w:rPr>
          <w:delText>100).</w:delText>
        </w:r>
      </w:del>
    </w:p>
    <w:p w14:paraId="54AF58C7" w14:textId="1227C81D" w:rsidR="00AA7D88" w:rsidRPr="00183B5F" w:rsidRDefault="00AA7D88">
      <w:pPr>
        <w:pStyle w:val="EMEANormal"/>
        <w:rPr>
          <w:del w:id="2589" w:author="AbbVie_HU_03" w:date="2025-05-14T15:27:00Z"/>
          <w:szCs w:val="22"/>
          <w:lang w:val="hu-HU"/>
        </w:rPr>
      </w:pPr>
    </w:p>
    <w:p w14:paraId="65EDB61D" w14:textId="4E697A17" w:rsidR="00AA7D88" w:rsidRPr="00183B5F" w:rsidRDefault="00943743">
      <w:pPr>
        <w:pStyle w:val="EMEANormal"/>
        <w:keepNext/>
        <w:rPr>
          <w:del w:id="2590" w:author="AbbVie_HU_03" w:date="2025-05-14T15:27:00Z"/>
          <w:i/>
          <w:szCs w:val="22"/>
          <w:u w:val="single"/>
          <w:lang w:val="hu-HU"/>
        </w:rPr>
      </w:pPr>
      <w:del w:id="2591" w:author="AbbVie_HU_03" w:date="2025-05-14T15:27:00Z">
        <w:r w:rsidRPr="00183B5F">
          <w:rPr>
            <w:i/>
            <w:szCs w:val="22"/>
            <w:u w:val="single"/>
            <w:lang w:val="hu-HU"/>
          </w:rPr>
          <w:delText>Életminőség</w:delText>
        </w:r>
      </w:del>
    </w:p>
    <w:p w14:paraId="6B705EFC" w14:textId="3F7DACE1" w:rsidR="00464B96" w:rsidRPr="00183B5F" w:rsidRDefault="00464B96">
      <w:pPr>
        <w:pStyle w:val="EMEANormal"/>
        <w:keepNext/>
        <w:rPr>
          <w:del w:id="2592" w:author="AbbVie_HU_03" w:date="2025-05-14T15:27:00Z"/>
          <w:szCs w:val="22"/>
          <w:u w:val="single"/>
          <w:lang w:val="hu-HU"/>
        </w:rPr>
      </w:pPr>
    </w:p>
    <w:p w14:paraId="50F8CB54" w14:textId="4C44ED40" w:rsidR="00CE5EC7" w:rsidRPr="00183B5F" w:rsidRDefault="00943743">
      <w:pPr>
        <w:pStyle w:val="EMEANormal"/>
        <w:rPr>
          <w:del w:id="2593" w:author="AbbVie_HU_03" w:date="2025-05-14T15:27:00Z"/>
          <w:bCs/>
          <w:szCs w:val="22"/>
          <w:lang w:val="hu-HU"/>
        </w:rPr>
      </w:pPr>
      <w:del w:id="2594" w:author="AbbVie_HU_03" w:date="2025-05-14T15:27:00Z">
        <w:r w:rsidRPr="00183B5F">
          <w:rPr>
            <w:szCs w:val="22"/>
            <w:lang w:val="hu-HU"/>
          </w:rPr>
          <w:delText>A CD</w:delText>
        </w:r>
        <w:r w:rsidR="00330A18" w:rsidRPr="00183B5F">
          <w:rPr>
            <w:szCs w:val="22"/>
            <w:lang w:val="hu-HU"/>
          </w:rPr>
          <w:delText> </w:delText>
        </w:r>
        <w:r w:rsidRPr="00183B5F">
          <w:rPr>
            <w:szCs w:val="22"/>
            <w:lang w:val="hu-HU"/>
          </w:rPr>
          <w:delText>I és a CD</w:delText>
        </w:r>
        <w:r w:rsidR="00330A18" w:rsidRPr="00183B5F">
          <w:rPr>
            <w:szCs w:val="22"/>
            <w:lang w:val="hu-HU"/>
          </w:rPr>
          <w:delText> </w:delText>
        </w:r>
        <w:r w:rsidRPr="00183B5F">
          <w:rPr>
            <w:szCs w:val="22"/>
            <w:lang w:val="hu-HU"/>
          </w:rPr>
          <w:delText xml:space="preserve">II vizsgálatban statisztikailag szignifikáns javulást értek el a betegségspecifikus Gyulladásos bélbetegség kérdőív (IBDQ – </w:delText>
        </w:r>
        <w:r w:rsidRPr="00183B5F">
          <w:rPr>
            <w:bCs/>
            <w:szCs w:val="22"/>
            <w:lang w:val="hu-HU"/>
          </w:rPr>
          <w:delText>Inflammatory Bowel Disease Questionnaire) összpontszámában a kezelés 4.</w:delText>
        </w:r>
        <w:r w:rsidR="00F3529B" w:rsidRPr="00183B5F">
          <w:rPr>
            <w:bCs/>
            <w:szCs w:val="22"/>
            <w:lang w:val="hu-HU"/>
          </w:rPr>
          <w:delText> </w:delText>
        </w:r>
        <w:r w:rsidRPr="00183B5F">
          <w:rPr>
            <w:bCs/>
            <w:szCs w:val="22"/>
            <w:lang w:val="hu-HU"/>
          </w:rPr>
          <w:delText>hetében azoknál a betegeknél, akiket</w:delText>
        </w:r>
        <w:r w:rsidRPr="00183B5F">
          <w:rPr>
            <w:szCs w:val="22"/>
            <w:lang w:val="hu-HU"/>
          </w:rPr>
          <w:delText xml:space="preserve"> véletlenszerűen a Humira 80/40 mg, illetve Humira 160/80 mg csoportba soroltak be, a</w:delText>
        </w:r>
        <w:r w:rsidRPr="00183B5F">
          <w:rPr>
            <w:bCs/>
            <w:szCs w:val="22"/>
            <w:lang w:val="hu-HU"/>
          </w:rPr>
          <w:delText xml:space="preserve"> placebocsoportba sorolt betegekével összehasonlítva, és ezt észlelték a CD</w:delText>
        </w:r>
        <w:r w:rsidR="00330A18" w:rsidRPr="00183B5F">
          <w:rPr>
            <w:bCs/>
            <w:szCs w:val="22"/>
            <w:lang w:val="hu-HU"/>
          </w:rPr>
          <w:delText> </w:delText>
        </w:r>
        <w:r w:rsidRPr="00183B5F">
          <w:rPr>
            <w:bCs/>
            <w:szCs w:val="22"/>
            <w:lang w:val="hu-HU"/>
          </w:rPr>
          <w:delText>III vizsgálat során is a 26.</w:delText>
        </w:r>
        <w:r w:rsidR="00D47B60" w:rsidRPr="00183B5F">
          <w:rPr>
            <w:bCs/>
            <w:szCs w:val="22"/>
            <w:lang w:val="hu-HU"/>
          </w:rPr>
          <w:delText> </w:delText>
        </w:r>
        <w:r w:rsidRPr="00183B5F">
          <w:rPr>
            <w:bCs/>
            <w:szCs w:val="22"/>
            <w:lang w:val="hu-HU"/>
          </w:rPr>
          <w:delText>és az 56. héten az adalimumabbal, illetve placebóval kezelt betegcsoportokban.</w:delText>
        </w:r>
      </w:del>
    </w:p>
    <w:p w14:paraId="739D3100" w14:textId="0B4E7FFA" w:rsidR="00590771" w:rsidRPr="00183B5F" w:rsidRDefault="00590771" w:rsidP="00FC288C">
      <w:pPr>
        <w:pStyle w:val="EMEANormal"/>
        <w:rPr>
          <w:del w:id="2595" w:author="AbbVie_HU_03" w:date="2025-05-14T15:27:00Z"/>
          <w:b/>
          <w:szCs w:val="22"/>
          <w:lang w:val="hu-HU"/>
        </w:rPr>
      </w:pPr>
    </w:p>
    <w:p w14:paraId="706DC4E2" w14:textId="05791CB2" w:rsidR="00C323AA" w:rsidRPr="00183B5F" w:rsidRDefault="00943743">
      <w:pPr>
        <w:pStyle w:val="EMEANormal"/>
        <w:rPr>
          <w:del w:id="2596" w:author="AbbVie_HU_03" w:date="2025-05-14T15:27:00Z"/>
          <w:i/>
          <w:szCs w:val="22"/>
          <w:u w:val="single"/>
          <w:lang w:val="hu-HU"/>
        </w:rPr>
      </w:pPr>
      <w:del w:id="2597" w:author="AbbVie_HU_03" w:date="2025-05-14T15:27:00Z">
        <w:r w:rsidRPr="00183B5F">
          <w:rPr>
            <w:i/>
            <w:szCs w:val="22"/>
            <w:u w:val="single"/>
            <w:lang w:val="hu-HU"/>
          </w:rPr>
          <w:delText>Felnőttkori uveitis</w:delText>
        </w:r>
      </w:del>
    </w:p>
    <w:p w14:paraId="3E2703EB" w14:textId="124E9AAE" w:rsidR="00AE2E56" w:rsidRPr="00183B5F" w:rsidRDefault="00AE2E56">
      <w:pPr>
        <w:pStyle w:val="EMEANormal"/>
        <w:rPr>
          <w:del w:id="2598" w:author="AbbVie_HU_03" w:date="2025-05-14T15:27:00Z"/>
          <w:i/>
          <w:szCs w:val="22"/>
          <w:u w:val="single"/>
          <w:lang w:val="hu-HU"/>
        </w:rPr>
      </w:pPr>
    </w:p>
    <w:p w14:paraId="79CE24E9" w14:textId="293D498C" w:rsidR="00B87E56" w:rsidRPr="00183B5F" w:rsidRDefault="00943743">
      <w:pPr>
        <w:pStyle w:val="EMEANormal"/>
        <w:rPr>
          <w:del w:id="2599" w:author="AbbVie_HU_03" w:date="2025-05-14T15:27:00Z"/>
          <w:szCs w:val="22"/>
          <w:lang w:val="hu-HU"/>
        </w:rPr>
      </w:pPr>
      <w:del w:id="2600" w:author="AbbVie_HU_03" w:date="2025-05-14T15:27:00Z">
        <w:r w:rsidRPr="00183B5F">
          <w:rPr>
            <w:szCs w:val="22"/>
            <w:lang w:val="hu-HU"/>
          </w:rPr>
          <w:delText xml:space="preserve">A Humira biztonságosságát és hatásosságát nem fertőzéses eredetű, intermedier, posterior és panuveitisben szenvedő felnőtt betegeknél (az izolált anterior uveitisben szenvedő betegek kizárásra kerültek), két randomizált, </w:delText>
        </w:r>
        <w:r w:rsidR="00E5381A" w:rsidRPr="00183B5F">
          <w:rPr>
            <w:szCs w:val="22"/>
            <w:lang w:val="hu-HU"/>
          </w:rPr>
          <w:delText>kettős vak</w:delText>
        </w:r>
        <w:r w:rsidRPr="00183B5F">
          <w:rPr>
            <w:szCs w:val="22"/>
            <w:lang w:val="hu-HU"/>
          </w:rPr>
          <w:delText>, placebokontrollos vizsgálatban (UV I és II) értékelték. A betegek vagy placebót vagy 80 mg Humira</w:delText>
        </w:r>
        <w:r w:rsidRPr="00183B5F">
          <w:rPr>
            <w:szCs w:val="22"/>
            <w:lang w:val="hu-HU"/>
          </w:rPr>
          <w:noBreakHyphen/>
          <w:delText>t kaptak kezdő dózisként, melyet a kezdő dózis beadásától számított egy hét múlva minden második héten adott 40 mg Humira követett. Egy nem biológiai immunszuppresszív szer állandó dózisban történő együttes alkalmazása megengedett volt.</w:delText>
        </w:r>
      </w:del>
    </w:p>
    <w:p w14:paraId="746AF6FA" w14:textId="2F3B4013" w:rsidR="00B87E56" w:rsidRPr="00183B5F" w:rsidRDefault="00B87E56">
      <w:pPr>
        <w:pStyle w:val="EMEANormal"/>
        <w:rPr>
          <w:del w:id="2601" w:author="AbbVie_HU_03" w:date="2025-05-14T15:27:00Z"/>
          <w:szCs w:val="22"/>
          <w:lang w:val="hu-HU"/>
        </w:rPr>
      </w:pPr>
    </w:p>
    <w:p w14:paraId="4691CA3C" w14:textId="51C685E7" w:rsidR="00B87E56" w:rsidRPr="00183B5F" w:rsidRDefault="00943743">
      <w:pPr>
        <w:pStyle w:val="EMEANormal"/>
        <w:rPr>
          <w:del w:id="2602" w:author="AbbVie_HU_03" w:date="2025-05-14T15:27:00Z"/>
          <w:szCs w:val="22"/>
          <w:lang w:val="hu-HU"/>
        </w:rPr>
      </w:pPr>
      <w:del w:id="2603" w:author="AbbVie_HU_03" w:date="2025-05-14T15:27:00Z">
        <w:r w:rsidRPr="00183B5F">
          <w:rPr>
            <w:szCs w:val="22"/>
            <w:lang w:val="hu-HU"/>
          </w:rPr>
          <w:delText>Az UV I vizsgálatban 217, kortikoszteroid</w:delText>
        </w:r>
        <w:r w:rsidR="009F6211" w:rsidRPr="00183B5F">
          <w:rPr>
            <w:szCs w:val="22"/>
            <w:lang w:val="hu-HU"/>
          </w:rPr>
          <w:delText>-</w:delText>
        </w:r>
        <w:r w:rsidRPr="00183B5F">
          <w:rPr>
            <w:szCs w:val="22"/>
            <w:lang w:val="hu-HU"/>
          </w:rPr>
          <w:delText>kezelés (napi 10</w:delText>
        </w:r>
        <w:r w:rsidRPr="00183B5F">
          <w:rPr>
            <w:szCs w:val="22"/>
            <w:lang w:val="hu-HU"/>
          </w:rPr>
          <w:noBreakHyphen/>
          <w:delText>60 mg prednizon</w:delText>
        </w:r>
        <w:r w:rsidRPr="00183B5F">
          <w:rPr>
            <w:i/>
            <w:szCs w:val="22"/>
            <w:lang w:val="hu-HU"/>
          </w:rPr>
          <w:delText xml:space="preserve"> per os</w:delText>
        </w:r>
        <w:r w:rsidRPr="00183B5F">
          <w:rPr>
            <w:szCs w:val="22"/>
            <w:lang w:val="hu-HU"/>
          </w:rPr>
          <w:delText xml:space="preserve">) ellenére aktív uveitisben szenvedő beteget értékeltek. Minden beteg két hétig napi 60 mg prednizont kapott a vizsgálat kezdetekor, melyet kötelező fokozatos dóziscsökkentés követett, ami a 15. hétig a kortikoszteroid teljes elhagyásával fejeződött be. </w:delText>
        </w:r>
      </w:del>
    </w:p>
    <w:p w14:paraId="62082B8C" w14:textId="480BC263" w:rsidR="00B87E56" w:rsidRPr="00183B5F" w:rsidRDefault="00B87E56">
      <w:pPr>
        <w:pStyle w:val="EMEANormal"/>
        <w:rPr>
          <w:del w:id="2604" w:author="AbbVie_HU_03" w:date="2025-05-14T15:27:00Z"/>
          <w:szCs w:val="22"/>
          <w:lang w:val="hu-HU"/>
        </w:rPr>
      </w:pPr>
    </w:p>
    <w:p w14:paraId="6E7B8C33" w14:textId="4F0335CE" w:rsidR="00B87E56" w:rsidRPr="00183B5F" w:rsidRDefault="00943743">
      <w:pPr>
        <w:pStyle w:val="EMEANormal"/>
        <w:rPr>
          <w:del w:id="2605" w:author="AbbVie_HU_03" w:date="2025-05-14T15:27:00Z"/>
          <w:szCs w:val="22"/>
          <w:lang w:val="hu-HU"/>
        </w:rPr>
      </w:pPr>
      <w:del w:id="2606" w:author="AbbVie_HU_03" w:date="2025-05-14T15:27:00Z">
        <w:r w:rsidRPr="00183B5F">
          <w:rPr>
            <w:szCs w:val="22"/>
            <w:lang w:val="hu-HU"/>
          </w:rPr>
          <w:delText>Az UV II vizsgálatban 226, inaktív uveitisben szenvedő</w:delText>
        </w:r>
        <w:r w:rsidR="00CA2474" w:rsidRPr="00183B5F">
          <w:rPr>
            <w:szCs w:val="22"/>
            <w:lang w:val="hu-HU"/>
          </w:rPr>
          <w:delText xml:space="preserve"> olyan</w:delText>
        </w:r>
        <w:r w:rsidRPr="00183B5F">
          <w:rPr>
            <w:szCs w:val="22"/>
            <w:lang w:val="hu-HU"/>
          </w:rPr>
          <w:delText xml:space="preserve"> beteget értékeltek, akik hosszú távú kortikoszteroid-kezelést (napi 10</w:delText>
        </w:r>
        <w:r w:rsidRPr="00183B5F">
          <w:rPr>
            <w:szCs w:val="22"/>
            <w:lang w:val="hu-HU"/>
          </w:rPr>
          <w:noBreakHyphen/>
          <w:delText>35 mg prednizon</w:delText>
        </w:r>
        <w:r w:rsidRPr="00183B5F">
          <w:rPr>
            <w:i/>
            <w:szCs w:val="22"/>
            <w:lang w:val="hu-HU"/>
          </w:rPr>
          <w:delText xml:space="preserve"> per os</w:delText>
        </w:r>
        <w:r w:rsidRPr="00183B5F">
          <w:rPr>
            <w:szCs w:val="22"/>
            <w:lang w:val="hu-HU"/>
          </w:rPr>
          <w:delText>) igényeltek a vizsgálat megkezdésekor betegségük egyensúlyban tartásához. A betegek később kötelező, fokozatos dózicsökkentésen estek át, ami a 19. hétig a kortikoszteroid teljes elhagyásával fejeződött be.</w:delText>
        </w:r>
      </w:del>
    </w:p>
    <w:p w14:paraId="14BE616A" w14:textId="4933ECA3" w:rsidR="00B87E56" w:rsidRPr="00183B5F" w:rsidRDefault="00B87E56">
      <w:pPr>
        <w:pStyle w:val="EMEANormal"/>
        <w:rPr>
          <w:del w:id="2607" w:author="AbbVie_HU_03" w:date="2025-05-14T15:27:00Z"/>
          <w:szCs w:val="22"/>
          <w:lang w:val="hu-HU"/>
        </w:rPr>
      </w:pPr>
    </w:p>
    <w:p w14:paraId="66ABCDBD" w14:textId="642F55BB" w:rsidR="00B87E56" w:rsidRPr="00183B5F" w:rsidRDefault="00943743">
      <w:pPr>
        <w:pStyle w:val="EMEANormal"/>
        <w:rPr>
          <w:del w:id="2608" w:author="AbbVie_HU_03" w:date="2025-05-14T15:27:00Z"/>
          <w:szCs w:val="22"/>
          <w:lang w:val="hu-HU"/>
        </w:rPr>
      </w:pPr>
      <w:del w:id="2609" w:author="AbbVie_HU_03" w:date="2025-05-14T15:27:00Z">
        <w:r w:rsidRPr="00183B5F">
          <w:rPr>
            <w:szCs w:val="22"/>
            <w:lang w:val="hu-HU"/>
          </w:rPr>
          <w:delText>Az elsődleges hatásossági végpont mindkét vizsgálatban a „kezelés eredménytelenségéig eltelt idő” volt. A kezelés eredménytelensége definíció szerint egy többkomponensű kimenetel, mely az alábbi komponensekből tevődött össze: gyulladásos chorioretinalis és/vagy gyulladásos retinalis vascularis léziók, elülső csarnoki sejtszint, üvegtesti homály mértéke és a legjobb korrigált látásélesség.</w:delText>
        </w:r>
      </w:del>
    </w:p>
    <w:p w14:paraId="6800A845" w14:textId="06F8C0B4" w:rsidR="00F73409" w:rsidRPr="00183B5F" w:rsidRDefault="00F73409" w:rsidP="00F73409">
      <w:pPr>
        <w:pStyle w:val="EMEANormal"/>
        <w:rPr>
          <w:del w:id="2610" w:author="AbbVie_HU_03" w:date="2025-05-14T15:27:00Z"/>
          <w:szCs w:val="22"/>
          <w:lang w:val="hu-HU"/>
        </w:rPr>
      </w:pPr>
      <w:bookmarkStart w:id="2611" w:name="_Hlk10117867"/>
    </w:p>
    <w:p w14:paraId="7C444C62" w14:textId="77895F43" w:rsidR="00F73409" w:rsidRPr="00183B5F" w:rsidRDefault="00943743" w:rsidP="00F73409">
      <w:pPr>
        <w:pStyle w:val="EMEANormal"/>
        <w:rPr>
          <w:del w:id="2612" w:author="AbbVie_HU_03" w:date="2025-05-14T15:27:00Z"/>
          <w:szCs w:val="22"/>
          <w:lang w:val="hu-HU"/>
        </w:rPr>
      </w:pPr>
      <w:del w:id="2613" w:author="AbbVie_HU_03" w:date="2025-05-14T15:27:00Z">
        <w:r w:rsidRPr="00183B5F">
          <w:rPr>
            <w:szCs w:val="22"/>
            <w:lang w:val="hu-HU"/>
          </w:rPr>
          <w:delText>Az UV I és az UV II vizsgálatot befejező betegek alkalmasak voltak egy nem kontrollos, hosszú távú, kiterjesztéses vizsgálatba való beválasztásra, melyet eredetileg 78 hetesre terveztek. A betegek a 78. héten túl is kaphatták a vizsgálati gyógyszert, egészen addig, amíg jogosulttá váltak a Humira</w:delText>
        </w:r>
        <w:r w:rsidRPr="00183B5F">
          <w:rPr>
            <w:szCs w:val="22"/>
            <w:lang w:val="hu-HU"/>
          </w:rPr>
          <w:noBreakHyphen/>
          <w:delText>ellátásra.</w:delText>
        </w:r>
      </w:del>
    </w:p>
    <w:bookmarkEnd w:id="2611"/>
    <w:p w14:paraId="63334C54" w14:textId="0E7B3573" w:rsidR="00AE2E56" w:rsidRPr="00183B5F" w:rsidRDefault="00AE2E56">
      <w:pPr>
        <w:pStyle w:val="EMEANormal"/>
        <w:rPr>
          <w:del w:id="2614" w:author="AbbVie_HU_03" w:date="2025-05-14T15:27:00Z"/>
          <w:i/>
          <w:szCs w:val="22"/>
          <w:u w:val="single"/>
          <w:lang w:val="hu-HU"/>
        </w:rPr>
      </w:pPr>
    </w:p>
    <w:p w14:paraId="42040EC1" w14:textId="47705239" w:rsidR="00B87E56" w:rsidRPr="00183B5F" w:rsidRDefault="00943743">
      <w:pPr>
        <w:pStyle w:val="EMEANormal"/>
        <w:rPr>
          <w:del w:id="2615" w:author="AbbVie_HU_03" w:date="2025-05-14T15:27:00Z"/>
          <w:i/>
          <w:szCs w:val="22"/>
          <w:u w:val="single"/>
          <w:lang w:val="hu-HU"/>
        </w:rPr>
      </w:pPr>
      <w:del w:id="2616" w:author="AbbVie_HU_03" w:date="2025-05-14T15:27:00Z">
        <w:r w:rsidRPr="00183B5F">
          <w:rPr>
            <w:i/>
            <w:szCs w:val="22"/>
            <w:u w:val="single"/>
            <w:lang w:val="hu-HU"/>
          </w:rPr>
          <w:delText>Klinikai válasz</w:delText>
        </w:r>
      </w:del>
    </w:p>
    <w:p w14:paraId="30B6CC98" w14:textId="3B0F33DE" w:rsidR="00B87E56" w:rsidRPr="00183B5F" w:rsidRDefault="00B87E56">
      <w:pPr>
        <w:pStyle w:val="EMEANormal"/>
        <w:rPr>
          <w:del w:id="2617" w:author="AbbVie_HU_03" w:date="2025-05-14T15:27:00Z"/>
          <w:i/>
          <w:szCs w:val="22"/>
          <w:u w:val="single"/>
          <w:lang w:val="hu-HU"/>
        </w:rPr>
      </w:pPr>
    </w:p>
    <w:p w14:paraId="6FD3ABD2" w14:textId="15E408C7" w:rsidR="00B87E56" w:rsidRPr="00183B5F" w:rsidRDefault="00943743">
      <w:pPr>
        <w:pStyle w:val="EMEANormal"/>
        <w:rPr>
          <w:del w:id="2618" w:author="AbbVie_HU_03" w:date="2025-05-14T15:27:00Z"/>
          <w:szCs w:val="22"/>
          <w:lang w:val="hu-HU"/>
        </w:rPr>
      </w:pPr>
      <w:del w:id="2619" w:author="AbbVie_HU_03" w:date="2025-05-14T15:27:00Z">
        <w:r w:rsidRPr="00183B5F">
          <w:rPr>
            <w:szCs w:val="22"/>
            <w:lang w:val="hu-HU"/>
          </w:rPr>
          <w:delText>Mindkét vizsgálat eredményei a kezelés eredménytelensége kockázatának a statisztikailag szignifikáns csökkenését igazolták a Humira</w:delText>
        </w:r>
        <w:r w:rsidRPr="00183B5F">
          <w:rPr>
            <w:szCs w:val="22"/>
            <w:lang w:val="hu-HU"/>
          </w:rPr>
          <w:noBreakHyphen/>
          <w:delText xml:space="preserve">val kezelt betegeknél, a placebóval kezelt betegekhez képest (lásd </w:delText>
        </w:r>
        <w:r w:rsidR="001E5EBB" w:rsidRPr="00183B5F">
          <w:rPr>
            <w:szCs w:val="22"/>
            <w:lang w:val="hu-HU"/>
          </w:rPr>
          <w:delText>19</w:delText>
        </w:r>
        <w:r w:rsidRPr="00183B5F">
          <w:rPr>
            <w:szCs w:val="22"/>
            <w:lang w:val="hu-HU"/>
          </w:rPr>
          <w:delText xml:space="preserve">. táblázat). A kezelés eredménytelenségének arányát tekintve mindkét vizsgálat kimutatta a Humira korai és fenntartott hatását a placebóval szemben (lásd </w:delText>
        </w:r>
        <w:r w:rsidR="001E5EBB" w:rsidRPr="00183B5F">
          <w:rPr>
            <w:szCs w:val="22"/>
            <w:lang w:val="hu-HU"/>
          </w:rPr>
          <w:delText>1</w:delText>
        </w:r>
        <w:r w:rsidRPr="00183B5F">
          <w:rPr>
            <w:szCs w:val="22"/>
            <w:lang w:val="hu-HU"/>
          </w:rPr>
          <w:delText>. ábra).</w:delText>
        </w:r>
      </w:del>
    </w:p>
    <w:p w14:paraId="267397DE" w14:textId="6831843F" w:rsidR="00B87E56" w:rsidRPr="00183B5F" w:rsidRDefault="00B87E56">
      <w:pPr>
        <w:pStyle w:val="EMEANormal"/>
        <w:rPr>
          <w:del w:id="2620" w:author="AbbVie_HU_03" w:date="2025-05-14T15:27:00Z"/>
          <w:szCs w:val="22"/>
          <w:lang w:val="hu-HU"/>
        </w:rPr>
      </w:pPr>
    </w:p>
    <w:p w14:paraId="3B95EDCD" w14:textId="1C2D44C0" w:rsidR="00B87E56" w:rsidRPr="00183B5F" w:rsidRDefault="00943743">
      <w:pPr>
        <w:pStyle w:val="EMEANormal"/>
        <w:keepNext/>
        <w:jc w:val="center"/>
        <w:rPr>
          <w:del w:id="2621" w:author="AbbVie_HU_03" w:date="2025-05-14T15:27:00Z"/>
          <w:b/>
          <w:szCs w:val="22"/>
          <w:lang w:val="hu-HU"/>
        </w:rPr>
      </w:pPr>
      <w:del w:id="2622" w:author="AbbVie_HU_03" w:date="2025-05-14T15:27:00Z">
        <w:r w:rsidRPr="00183B5F">
          <w:rPr>
            <w:b/>
            <w:szCs w:val="22"/>
            <w:lang w:val="hu-HU"/>
          </w:rPr>
          <w:delText xml:space="preserve">19. táblázat </w:delText>
        </w:r>
      </w:del>
    </w:p>
    <w:p w14:paraId="01D09643" w14:textId="6B75923A" w:rsidR="00B87E56" w:rsidRPr="00183B5F" w:rsidRDefault="00943743">
      <w:pPr>
        <w:pStyle w:val="EMEANormal"/>
        <w:keepNext/>
        <w:jc w:val="center"/>
        <w:rPr>
          <w:del w:id="2623" w:author="AbbVie_HU_03" w:date="2025-05-14T15:27:00Z"/>
          <w:b/>
          <w:szCs w:val="22"/>
          <w:lang w:val="hu-HU"/>
        </w:rPr>
      </w:pPr>
      <w:del w:id="2624" w:author="AbbVie_HU_03" w:date="2025-05-14T15:27:00Z">
        <w:r w:rsidRPr="00183B5F">
          <w:rPr>
            <w:b/>
            <w:szCs w:val="22"/>
            <w:lang w:val="hu-HU"/>
          </w:rPr>
          <w:delText>A kezelés eredménytelenségéig eltelt idő az UV I és UV II vizsgálatban</w:delText>
        </w:r>
      </w:del>
    </w:p>
    <w:p w14:paraId="3A213213" w14:textId="1877A852" w:rsidR="00B87E56" w:rsidRPr="00183B5F" w:rsidRDefault="00B87E56">
      <w:pPr>
        <w:pStyle w:val="EMEANormal"/>
        <w:keepNext/>
        <w:jc w:val="center"/>
        <w:rPr>
          <w:del w:id="2625" w:author="AbbVie_HU_03" w:date="2025-05-14T15:27:00Z"/>
          <w:b/>
          <w:szCs w:val="22"/>
          <w:lang w:val="hu-HU"/>
        </w:rPr>
      </w:pPr>
    </w:p>
    <w:tbl>
      <w:tblPr>
        <w:tblW w:w="0" w:type="auto"/>
        <w:tblBorders>
          <w:top w:val="single" w:sz="4" w:space="0" w:color="auto"/>
          <w:bottom w:val="single" w:sz="4" w:space="0" w:color="auto"/>
        </w:tblBorders>
        <w:tblLook w:val="04A0" w:firstRow="1" w:lastRow="0" w:firstColumn="1" w:lastColumn="0" w:noHBand="0" w:noVBand="1"/>
      </w:tblPr>
      <w:tblGrid>
        <w:gridCol w:w="2198"/>
        <w:gridCol w:w="684"/>
        <w:gridCol w:w="1267"/>
        <w:gridCol w:w="1855"/>
        <w:gridCol w:w="946"/>
        <w:gridCol w:w="1080"/>
        <w:gridCol w:w="1041"/>
      </w:tblGrid>
      <w:tr w:rsidR="00011D2F" w14:paraId="6F5A81DC" w14:textId="1F3E3C58" w:rsidTr="00EC5013">
        <w:trPr>
          <w:del w:id="2626" w:author="AbbVie_HU_03" w:date="2025-05-14T15:27:00Z"/>
        </w:trPr>
        <w:tc>
          <w:tcPr>
            <w:tcW w:w="2268" w:type="dxa"/>
            <w:tcBorders>
              <w:top w:val="single" w:sz="4" w:space="0" w:color="auto"/>
              <w:bottom w:val="single" w:sz="4" w:space="0" w:color="auto"/>
            </w:tcBorders>
          </w:tcPr>
          <w:p w14:paraId="268AE36A" w14:textId="0CC25E3E" w:rsidR="00B87E56" w:rsidRPr="00183B5F" w:rsidRDefault="00943743">
            <w:pPr>
              <w:pStyle w:val="EMEANormal"/>
              <w:keepNext/>
              <w:rPr>
                <w:del w:id="2627" w:author="AbbVie_HU_03" w:date="2025-05-14T15:27:00Z"/>
                <w:b/>
                <w:szCs w:val="22"/>
                <w:lang w:val="hu-HU"/>
              </w:rPr>
            </w:pPr>
            <w:del w:id="2628" w:author="AbbVie_HU_03" w:date="2025-05-14T15:27:00Z">
              <w:r w:rsidRPr="00183B5F">
                <w:rPr>
                  <w:b/>
                  <w:szCs w:val="22"/>
                  <w:lang w:val="hu-HU"/>
                </w:rPr>
                <w:delText>Elemzés</w:delText>
              </w:r>
            </w:del>
          </w:p>
          <w:p w14:paraId="39432230" w14:textId="5BD124E5" w:rsidR="00B87E56" w:rsidRPr="00183B5F" w:rsidRDefault="00943743">
            <w:pPr>
              <w:pStyle w:val="EMEANormal"/>
              <w:keepNext/>
              <w:rPr>
                <w:del w:id="2629" w:author="AbbVie_HU_03" w:date="2025-05-14T15:27:00Z"/>
                <w:b/>
                <w:szCs w:val="22"/>
                <w:lang w:val="hu-HU"/>
              </w:rPr>
            </w:pPr>
            <w:del w:id="2630" w:author="AbbVie_HU_03" w:date="2025-05-14T15:27:00Z">
              <w:r w:rsidRPr="00183B5F">
                <w:rPr>
                  <w:b/>
                  <w:szCs w:val="22"/>
                  <w:lang w:val="hu-HU"/>
                </w:rPr>
                <w:tab/>
                <w:delText>Kezelés</w:delText>
              </w:r>
            </w:del>
          </w:p>
        </w:tc>
        <w:tc>
          <w:tcPr>
            <w:tcW w:w="720" w:type="dxa"/>
            <w:tcBorders>
              <w:top w:val="single" w:sz="4" w:space="0" w:color="auto"/>
              <w:bottom w:val="single" w:sz="4" w:space="0" w:color="auto"/>
            </w:tcBorders>
          </w:tcPr>
          <w:p w14:paraId="5F836C9E" w14:textId="5855D0D1" w:rsidR="00B87E56" w:rsidRPr="00183B5F" w:rsidRDefault="00943743">
            <w:pPr>
              <w:pStyle w:val="EMEANormal"/>
              <w:keepNext/>
              <w:rPr>
                <w:del w:id="2631" w:author="AbbVie_HU_03" w:date="2025-05-14T15:27:00Z"/>
                <w:b/>
                <w:szCs w:val="22"/>
                <w:lang w:val="hu-HU"/>
              </w:rPr>
            </w:pPr>
            <w:del w:id="2632" w:author="AbbVie_HU_03" w:date="2025-05-14T15:27:00Z">
              <w:r w:rsidRPr="00183B5F">
                <w:rPr>
                  <w:b/>
                  <w:szCs w:val="22"/>
                  <w:lang w:val="hu-HU"/>
                </w:rPr>
                <w:delText>N</w:delText>
              </w:r>
            </w:del>
          </w:p>
        </w:tc>
        <w:tc>
          <w:tcPr>
            <w:tcW w:w="1170" w:type="dxa"/>
            <w:tcBorders>
              <w:top w:val="single" w:sz="4" w:space="0" w:color="auto"/>
              <w:bottom w:val="single" w:sz="4" w:space="0" w:color="auto"/>
            </w:tcBorders>
          </w:tcPr>
          <w:p w14:paraId="4FEAD9CA" w14:textId="6F00E5E8" w:rsidR="00B87E56" w:rsidRPr="00183B5F" w:rsidRDefault="00943743">
            <w:pPr>
              <w:pStyle w:val="EMEANormal"/>
              <w:keepNext/>
              <w:rPr>
                <w:del w:id="2633" w:author="AbbVie_HU_03" w:date="2025-05-14T15:27:00Z"/>
                <w:b/>
                <w:szCs w:val="22"/>
                <w:lang w:val="hu-HU"/>
              </w:rPr>
            </w:pPr>
            <w:del w:id="2634" w:author="AbbVie_HU_03" w:date="2025-05-14T15:27:00Z">
              <w:r w:rsidRPr="00183B5F">
                <w:rPr>
                  <w:b/>
                  <w:szCs w:val="22"/>
                  <w:lang w:val="hu-HU"/>
                </w:rPr>
                <w:delText>Eredmény-telenség</w:delText>
              </w:r>
              <w:r w:rsidRPr="00183B5F">
                <w:rPr>
                  <w:b/>
                  <w:szCs w:val="22"/>
                  <w:lang w:val="hu-HU"/>
                </w:rPr>
                <w:br/>
                <w:delText>N (%)</w:delText>
              </w:r>
            </w:del>
          </w:p>
        </w:tc>
        <w:tc>
          <w:tcPr>
            <w:tcW w:w="1890" w:type="dxa"/>
            <w:tcBorders>
              <w:top w:val="single" w:sz="4" w:space="0" w:color="auto"/>
              <w:bottom w:val="single" w:sz="4" w:space="0" w:color="auto"/>
            </w:tcBorders>
          </w:tcPr>
          <w:p w14:paraId="7FB205E7" w14:textId="2A782514" w:rsidR="00B87E56" w:rsidRPr="00183B5F" w:rsidRDefault="00943743">
            <w:pPr>
              <w:pStyle w:val="EMEANormal"/>
              <w:keepNext/>
              <w:rPr>
                <w:del w:id="2635" w:author="AbbVie_HU_03" w:date="2025-05-14T15:27:00Z"/>
                <w:b/>
                <w:szCs w:val="22"/>
                <w:lang w:val="hu-HU"/>
              </w:rPr>
            </w:pPr>
            <w:del w:id="2636" w:author="AbbVie_HU_03" w:date="2025-05-14T15:27:00Z">
              <w:r w:rsidRPr="00183B5F">
                <w:rPr>
                  <w:b/>
                  <w:szCs w:val="22"/>
                  <w:lang w:val="hu-HU"/>
                </w:rPr>
                <w:delText xml:space="preserve">Eredménytelen-ségig eltelt idő </w:delText>
              </w:r>
              <w:r w:rsidR="00396131" w:rsidRPr="00183B5F">
                <w:rPr>
                  <w:b/>
                  <w:szCs w:val="22"/>
                  <w:lang w:val="hu-HU"/>
                </w:rPr>
                <w:delText xml:space="preserve">mediánja </w:delText>
              </w:r>
              <w:r w:rsidRPr="00183B5F">
                <w:rPr>
                  <w:b/>
                  <w:szCs w:val="22"/>
                  <w:lang w:val="hu-HU"/>
                </w:rPr>
                <w:delText>(hónap)</w:delText>
              </w:r>
            </w:del>
          </w:p>
        </w:tc>
        <w:tc>
          <w:tcPr>
            <w:tcW w:w="720" w:type="dxa"/>
            <w:tcBorders>
              <w:top w:val="single" w:sz="4" w:space="0" w:color="auto"/>
              <w:bottom w:val="single" w:sz="4" w:space="0" w:color="auto"/>
            </w:tcBorders>
          </w:tcPr>
          <w:p w14:paraId="6B9961DB" w14:textId="708C4108" w:rsidR="00B87E56" w:rsidRPr="00183B5F" w:rsidRDefault="00943743">
            <w:pPr>
              <w:pStyle w:val="EMEANormal"/>
              <w:keepNext/>
              <w:rPr>
                <w:del w:id="2637" w:author="AbbVie_HU_03" w:date="2025-05-14T15:27:00Z"/>
                <w:b/>
                <w:szCs w:val="22"/>
                <w:lang w:val="hu-HU"/>
              </w:rPr>
            </w:pPr>
            <w:del w:id="2638" w:author="AbbVie_HU_03" w:date="2025-05-14T15:27:00Z">
              <w:r w:rsidRPr="00183B5F">
                <w:rPr>
                  <w:b/>
                  <w:szCs w:val="22"/>
                  <w:lang w:val="hu-HU"/>
                </w:rPr>
                <w:delText>Relatív</w:delText>
              </w:r>
            </w:del>
          </w:p>
          <w:p w14:paraId="764C00F9" w14:textId="0018AB05" w:rsidR="00B87E56" w:rsidRPr="00183B5F" w:rsidRDefault="00943743">
            <w:pPr>
              <w:pStyle w:val="EMEANormal"/>
              <w:keepNext/>
              <w:rPr>
                <w:del w:id="2639" w:author="AbbVie_HU_03" w:date="2025-05-14T15:27:00Z"/>
                <w:b/>
                <w:szCs w:val="22"/>
                <w:lang w:val="hu-HU"/>
              </w:rPr>
            </w:pPr>
            <w:del w:id="2640" w:author="AbbVie_HU_03" w:date="2025-05-14T15:27:00Z">
              <w:r w:rsidRPr="00183B5F">
                <w:rPr>
                  <w:b/>
                  <w:szCs w:val="22"/>
                  <w:lang w:val="hu-HU"/>
                </w:rPr>
                <w:delText>hazárd</w:delText>
              </w:r>
              <w:r w:rsidRPr="00183B5F">
                <w:rPr>
                  <w:b/>
                  <w:szCs w:val="22"/>
                  <w:vertAlign w:val="superscript"/>
                  <w:lang w:val="hu-HU"/>
                </w:rPr>
                <w:delText>a</w:delText>
              </w:r>
              <w:r w:rsidRPr="00183B5F">
                <w:rPr>
                  <w:b/>
                  <w:szCs w:val="22"/>
                  <w:lang w:val="hu-HU"/>
                </w:rPr>
                <w:delText xml:space="preserve"> (HR)</w:delText>
              </w:r>
            </w:del>
          </w:p>
        </w:tc>
        <w:tc>
          <w:tcPr>
            <w:tcW w:w="1170" w:type="dxa"/>
            <w:tcBorders>
              <w:top w:val="single" w:sz="4" w:space="0" w:color="auto"/>
              <w:bottom w:val="single" w:sz="4" w:space="0" w:color="auto"/>
            </w:tcBorders>
          </w:tcPr>
          <w:p w14:paraId="5CCE3862" w14:textId="3664DEC6" w:rsidR="00B87E56" w:rsidRPr="00183B5F" w:rsidRDefault="00943743">
            <w:pPr>
              <w:pStyle w:val="EMEANormal"/>
              <w:keepNext/>
              <w:rPr>
                <w:del w:id="2641" w:author="AbbVie_HU_03" w:date="2025-05-14T15:27:00Z"/>
                <w:b/>
                <w:szCs w:val="22"/>
                <w:lang w:val="hu-HU"/>
              </w:rPr>
            </w:pPr>
            <w:del w:id="2642" w:author="AbbVie_HU_03" w:date="2025-05-14T15:27:00Z">
              <w:r w:rsidRPr="00183B5F">
                <w:rPr>
                  <w:b/>
                  <w:szCs w:val="22"/>
                  <w:lang w:val="hu-HU"/>
                </w:rPr>
                <w:delText>HR</w:delText>
              </w:r>
              <w:r w:rsidRPr="00183B5F">
                <w:rPr>
                  <w:b/>
                  <w:szCs w:val="22"/>
                  <w:vertAlign w:val="superscript"/>
                  <w:lang w:val="hu-HU"/>
                </w:rPr>
                <w:delText>a</w:delText>
              </w:r>
              <w:r w:rsidRPr="00183B5F">
                <w:rPr>
                  <w:b/>
                  <w:szCs w:val="22"/>
                  <w:lang w:val="hu-HU"/>
                </w:rPr>
                <w:delText xml:space="preserve"> 95%-os CI</w:delText>
              </w:r>
            </w:del>
          </w:p>
        </w:tc>
        <w:tc>
          <w:tcPr>
            <w:tcW w:w="1080" w:type="dxa"/>
            <w:tcBorders>
              <w:top w:val="single" w:sz="4" w:space="0" w:color="auto"/>
              <w:bottom w:val="single" w:sz="4" w:space="0" w:color="auto"/>
            </w:tcBorders>
          </w:tcPr>
          <w:p w14:paraId="6E55DF0A" w14:textId="3D4F1DFD" w:rsidR="00B87E56" w:rsidRPr="00183B5F" w:rsidRDefault="00943743">
            <w:pPr>
              <w:pStyle w:val="EMEANormal"/>
              <w:keepNext/>
              <w:rPr>
                <w:del w:id="2643" w:author="AbbVie_HU_03" w:date="2025-05-14T15:27:00Z"/>
                <w:b/>
                <w:szCs w:val="22"/>
                <w:lang w:val="hu-HU"/>
              </w:rPr>
            </w:pPr>
            <w:del w:id="2644" w:author="AbbVie_HU_03" w:date="2025-05-14T15:27:00Z">
              <w:r w:rsidRPr="00183B5F">
                <w:rPr>
                  <w:b/>
                  <w:i/>
                  <w:szCs w:val="22"/>
                  <w:lang w:val="hu-HU"/>
                </w:rPr>
                <w:delText>P</w:delText>
              </w:r>
              <w:r w:rsidRPr="00183B5F">
                <w:rPr>
                  <w:b/>
                  <w:szCs w:val="22"/>
                  <w:lang w:val="hu-HU"/>
                </w:rPr>
                <w:delText xml:space="preserve"> érték</w:delText>
              </w:r>
              <w:r w:rsidRPr="00183B5F">
                <w:rPr>
                  <w:szCs w:val="22"/>
                  <w:vertAlign w:val="superscript"/>
                  <w:lang w:val="hu-HU"/>
                </w:rPr>
                <w:delText xml:space="preserve"> b</w:delText>
              </w:r>
            </w:del>
          </w:p>
        </w:tc>
      </w:tr>
      <w:tr w:rsidR="00011D2F" w14:paraId="4899A422" w14:textId="0E521EF3" w:rsidTr="00EC5013">
        <w:trPr>
          <w:del w:id="2645" w:author="AbbVie_HU_03" w:date="2025-05-14T15:27:00Z"/>
        </w:trPr>
        <w:tc>
          <w:tcPr>
            <w:tcW w:w="9018" w:type="dxa"/>
            <w:gridSpan w:val="7"/>
            <w:tcBorders>
              <w:top w:val="single" w:sz="4" w:space="0" w:color="auto"/>
              <w:bottom w:val="nil"/>
            </w:tcBorders>
          </w:tcPr>
          <w:p w14:paraId="7E34BF3E" w14:textId="096BF992" w:rsidR="00B87E56" w:rsidRPr="00183B5F" w:rsidRDefault="00943743">
            <w:pPr>
              <w:pStyle w:val="EMEANormal"/>
              <w:keepNext/>
              <w:rPr>
                <w:del w:id="2646" w:author="AbbVie_HU_03" w:date="2025-05-14T15:27:00Z"/>
                <w:b/>
                <w:szCs w:val="22"/>
                <w:lang w:val="hu-HU"/>
              </w:rPr>
            </w:pPr>
            <w:del w:id="2647" w:author="AbbVie_HU_03" w:date="2025-05-14T15:27:00Z">
              <w:r w:rsidRPr="00183B5F">
                <w:rPr>
                  <w:b/>
                  <w:szCs w:val="22"/>
                  <w:lang w:val="hu-HU"/>
                </w:rPr>
                <w:delText>A kezelés eredménytelenségéig eltelt idő a 6. héten vagy azt követően az UV I vizsgálatban</w:delText>
              </w:r>
            </w:del>
          </w:p>
        </w:tc>
      </w:tr>
      <w:tr w:rsidR="00011D2F" w14:paraId="5723A99D" w14:textId="7955BDED" w:rsidTr="00EC5013">
        <w:trPr>
          <w:del w:id="2648" w:author="AbbVie_HU_03" w:date="2025-05-14T15:27:00Z"/>
        </w:trPr>
        <w:tc>
          <w:tcPr>
            <w:tcW w:w="2988" w:type="dxa"/>
            <w:gridSpan w:val="2"/>
            <w:tcBorders>
              <w:top w:val="nil"/>
              <w:bottom w:val="nil"/>
            </w:tcBorders>
          </w:tcPr>
          <w:p w14:paraId="493A9ADF" w14:textId="056AC63F" w:rsidR="00B87E56" w:rsidRPr="00183B5F" w:rsidRDefault="00943743">
            <w:pPr>
              <w:pStyle w:val="EMEANormal"/>
              <w:keepNext/>
              <w:rPr>
                <w:del w:id="2649" w:author="AbbVie_HU_03" w:date="2025-05-14T15:27:00Z"/>
                <w:szCs w:val="22"/>
                <w:lang w:val="hu-HU"/>
              </w:rPr>
            </w:pPr>
            <w:del w:id="2650" w:author="AbbVie_HU_03" w:date="2025-05-14T15:27:00Z">
              <w:r w:rsidRPr="00183B5F">
                <w:rPr>
                  <w:szCs w:val="22"/>
                  <w:lang w:val="hu-HU"/>
                </w:rPr>
                <w:delText>Elsődleges elemzés (ITT)</w:delText>
              </w:r>
            </w:del>
          </w:p>
        </w:tc>
        <w:tc>
          <w:tcPr>
            <w:tcW w:w="1170" w:type="dxa"/>
            <w:tcBorders>
              <w:top w:val="nil"/>
              <w:bottom w:val="nil"/>
            </w:tcBorders>
          </w:tcPr>
          <w:p w14:paraId="685433C7" w14:textId="6C44253E" w:rsidR="00B87E56" w:rsidRPr="00183B5F" w:rsidRDefault="00B87E56">
            <w:pPr>
              <w:pStyle w:val="EMEANormal"/>
              <w:keepNext/>
              <w:rPr>
                <w:del w:id="2651" w:author="AbbVie_HU_03" w:date="2025-05-14T15:27:00Z"/>
                <w:szCs w:val="22"/>
                <w:lang w:val="hu-HU"/>
              </w:rPr>
            </w:pPr>
          </w:p>
        </w:tc>
        <w:tc>
          <w:tcPr>
            <w:tcW w:w="1890" w:type="dxa"/>
            <w:tcBorders>
              <w:top w:val="nil"/>
              <w:bottom w:val="nil"/>
            </w:tcBorders>
          </w:tcPr>
          <w:p w14:paraId="0153402C" w14:textId="0D55AADF" w:rsidR="00B87E56" w:rsidRPr="00183B5F" w:rsidRDefault="00B87E56">
            <w:pPr>
              <w:pStyle w:val="EMEANormal"/>
              <w:keepNext/>
              <w:rPr>
                <w:del w:id="2652" w:author="AbbVie_HU_03" w:date="2025-05-14T15:27:00Z"/>
                <w:szCs w:val="22"/>
                <w:lang w:val="hu-HU"/>
              </w:rPr>
            </w:pPr>
          </w:p>
        </w:tc>
        <w:tc>
          <w:tcPr>
            <w:tcW w:w="720" w:type="dxa"/>
            <w:tcBorders>
              <w:top w:val="nil"/>
              <w:bottom w:val="nil"/>
            </w:tcBorders>
          </w:tcPr>
          <w:p w14:paraId="71D19A85" w14:textId="2A88DD7E" w:rsidR="00B87E56" w:rsidRPr="00183B5F" w:rsidRDefault="00B87E56">
            <w:pPr>
              <w:pStyle w:val="EMEANormal"/>
              <w:keepNext/>
              <w:rPr>
                <w:del w:id="2653" w:author="AbbVie_HU_03" w:date="2025-05-14T15:27:00Z"/>
                <w:szCs w:val="22"/>
                <w:lang w:val="hu-HU"/>
              </w:rPr>
            </w:pPr>
          </w:p>
        </w:tc>
        <w:tc>
          <w:tcPr>
            <w:tcW w:w="1170" w:type="dxa"/>
            <w:tcBorders>
              <w:top w:val="nil"/>
              <w:bottom w:val="nil"/>
            </w:tcBorders>
          </w:tcPr>
          <w:p w14:paraId="1121C58D" w14:textId="5FA5F241" w:rsidR="00B87E56" w:rsidRPr="00183B5F" w:rsidRDefault="00B87E56">
            <w:pPr>
              <w:pStyle w:val="EMEANormal"/>
              <w:keepNext/>
              <w:rPr>
                <w:del w:id="2654" w:author="AbbVie_HU_03" w:date="2025-05-14T15:27:00Z"/>
                <w:szCs w:val="22"/>
                <w:lang w:val="hu-HU"/>
              </w:rPr>
            </w:pPr>
          </w:p>
        </w:tc>
        <w:tc>
          <w:tcPr>
            <w:tcW w:w="1080" w:type="dxa"/>
            <w:tcBorders>
              <w:top w:val="nil"/>
              <w:bottom w:val="nil"/>
            </w:tcBorders>
          </w:tcPr>
          <w:p w14:paraId="57A45A29" w14:textId="7C4B8C63" w:rsidR="00B87E56" w:rsidRPr="00183B5F" w:rsidRDefault="00B87E56">
            <w:pPr>
              <w:pStyle w:val="EMEANormal"/>
              <w:keepNext/>
              <w:rPr>
                <w:del w:id="2655" w:author="AbbVie_HU_03" w:date="2025-05-14T15:27:00Z"/>
                <w:szCs w:val="22"/>
                <w:lang w:val="hu-HU"/>
              </w:rPr>
            </w:pPr>
          </w:p>
        </w:tc>
      </w:tr>
      <w:tr w:rsidR="00011D2F" w14:paraId="037E43DE" w14:textId="32D43A94" w:rsidTr="00EC5013">
        <w:trPr>
          <w:del w:id="2656" w:author="AbbVie_HU_03" w:date="2025-05-14T15:27:00Z"/>
        </w:trPr>
        <w:tc>
          <w:tcPr>
            <w:tcW w:w="2268" w:type="dxa"/>
            <w:tcBorders>
              <w:top w:val="nil"/>
              <w:bottom w:val="nil"/>
            </w:tcBorders>
          </w:tcPr>
          <w:p w14:paraId="0E2EDA42" w14:textId="44EB208B" w:rsidR="00B87E56" w:rsidRPr="00183B5F" w:rsidRDefault="00943743">
            <w:pPr>
              <w:pStyle w:val="EMEANormal"/>
              <w:keepNext/>
              <w:rPr>
                <w:del w:id="2657" w:author="AbbVie_HU_03" w:date="2025-05-14T15:27:00Z"/>
                <w:szCs w:val="22"/>
                <w:lang w:val="hu-HU"/>
              </w:rPr>
            </w:pPr>
            <w:del w:id="2658" w:author="AbbVie_HU_03" w:date="2025-05-14T15:27:00Z">
              <w:r w:rsidRPr="00183B5F">
                <w:rPr>
                  <w:szCs w:val="22"/>
                  <w:lang w:val="hu-HU"/>
                </w:rPr>
                <w:tab/>
                <w:delText>Placebo</w:delText>
              </w:r>
            </w:del>
          </w:p>
        </w:tc>
        <w:tc>
          <w:tcPr>
            <w:tcW w:w="720" w:type="dxa"/>
            <w:tcBorders>
              <w:top w:val="nil"/>
              <w:bottom w:val="nil"/>
            </w:tcBorders>
          </w:tcPr>
          <w:p w14:paraId="3677D0DF" w14:textId="0BC48FA1" w:rsidR="00B87E56" w:rsidRPr="00183B5F" w:rsidRDefault="00943743">
            <w:pPr>
              <w:pStyle w:val="EMEANormal"/>
              <w:keepNext/>
              <w:rPr>
                <w:del w:id="2659" w:author="AbbVie_HU_03" w:date="2025-05-14T15:27:00Z"/>
                <w:szCs w:val="22"/>
                <w:lang w:val="hu-HU"/>
              </w:rPr>
            </w:pPr>
            <w:del w:id="2660" w:author="AbbVie_HU_03" w:date="2025-05-14T15:27:00Z">
              <w:r w:rsidRPr="00183B5F">
                <w:rPr>
                  <w:szCs w:val="22"/>
                  <w:lang w:val="hu-HU"/>
                </w:rPr>
                <w:delText>107</w:delText>
              </w:r>
            </w:del>
          </w:p>
        </w:tc>
        <w:tc>
          <w:tcPr>
            <w:tcW w:w="1170" w:type="dxa"/>
            <w:tcBorders>
              <w:top w:val="nil"/>
              <w:bottom w:val="nil"/>
            </w:tcBorders>
          </w:tcPr>
          <w:p w14:paraId="2D94CC03" w14:textId="7CA60E0F" w:rsidR="00B87E56" w:rsidRPr="00183B5F" w:rsidRDefault="00943743">
            <w:pPr>
              <w:pStyle w:val="EMEANormal"/>
              <w:keepNext/>
              <w:rPr>
                <w:del w:id="2661" w:author="AbbVie_HU_03" w:date="2025-05-14T15:27:00Z"/>
                <w:szCs w:val="22"/>
                <w:lang w:val="hu-HU"/>
              </w:rPr>
            </w:pPr>
            <w:del w:id="2662" w:author="AbbVie_HU_03" w:date="2025-05-14T15:27:00Z">
              <w:r w:rsidRPr="00183B5F">
                <w:rPr>
                  <w:szCs w:val="22"/>
                  <w:lang w:val="hu-HU"/>
                </w:rPr>
                <w:delText>84 (78,5)</w:delText>
              </w:r>
            </w:del>
          </w:p>
        </w:tc>
        <w:tc>
          <w:tcPr>
            <w:tcW w:w="1890" w:type="dxa"/>
            <w:tcBorders>
              <w:top w:val="nil"/>
              <w:bottom w:val="nil"/>
            </w:tcBorders>
          </w:tcPr>
          <w:p w14:paraId="40635021" w14:textId="1D44C808" w:rsidR="00B87E56" w:rsidRPr="00183B5F" w:rsidRDefault="00943743">
            <w:pPr>
              <w:pStyle w:val="EMEANormal"/>
              <w:keepNext/>
              <w:rPr>
                <w:del w:id="2663" w:author="AbbVie_HU_03" w:date="2025-05-14T15:27:00Z"/>
                <w:szCs w:val="22"/>
                <w:lang w:val="hu-HU"/>
              </w:rPr>
            </w:pPr>
            <w:del w:id="2664" w:author="AbbVie_HU_03" w:date="2025-05-14T15:27:00Z">
              <w:r w:rsidRPr="00183B5F">
                <w:rPr>
                  <w:szCs w:val="22"/>
                  <w:lang w:val="hu-HU"/>
                </w:rPr>
                <w:delText>3,0</w:delText>
              </w:r>
            </w:del>
          </w:p>
        </w:tc>
        <w:tc>
          <w:tcPr>
            <w:tcW w:w="720" w:type="dxa"/>
            <w:tcBorders>
              <w:top w:val="nil"/>
              <w:bottom w:val="nil"/>
            </w:tcBorders>
          </w:tcPr>
          <w:p w14:paraId="3D05CEF1" w14:textId="7ED77F03" w:rsidR="00B87E56" w:rsidRPr="00183B5F" w:rsidRDefault="00943743">
            <w:pPr>
              <w:pStyle w:val="EMEANormal"/>
              <w:keepNext/>
              <w:rPr>
                <w:del w:id="2665" w:author="AbbVie_HU_03" w:date="2025-05-14T15:27:00Z"/>
                <w:szCs w:val="22"/>
                <w:lang w:val="hu-HU"/>
              </w:rPr>
            </w:pPr>
            <w:del w:id="2666" w:author="AbbVie_HU_03" w:date="2025-05-14T15:27:00Z">
              <w:r w:rsidRPr="00183B5F">
                <w:rPr>
                  <w:szCs w:val="22"/>
                  <w:lang w:val="hu-HU"/>
                </w:rPr>
                <w:delText>--</w:delText>
              </w:r>
            </w:del>
          </w:p>
        </w:tc>
        <w:tc>
          <w:tcPr>
            <w:tcW w:w="1170" w:type="dxa"/>
            <w:tcBorders>
              <w:top w:val="nil"/>
              <w:bottom w:val="nil"/>
            </w:tcBorders>
          </w:tcPr>
          <w:p w14:paraId="22E0BBEF" w14:textId="6083BBA9" w:rsidR="00B87E56" w:rsidRPr="00183B5F" w:rsidRDefault="00943743">
            <w:pPr>
              <w:pStyle w:val="EMEANormal"/>
              <w:keepNext/>
              <w:rPr>
                <w:del w:id="2667" w:author="AbbVie_HU_03" w:date="2025-05-14T15:27:00Z"/>
                <w:szCs w:val="22"/>
                <w:lang w:val="hu-HU"/>
              </w:rPr>
            </w:pPr>
            <w:del w:id="2668" w:author="AbbVie_HU_03" w:date="2025-05-14T15:27:00Z">
              <w:r w:rsidRPr="00183B5F">
                <w:rPr>
                  <w:szCs w:val="22"/>
                  <w:lang w:val="hu-HU"/>
                </w:rPr>
                <w:delText>--</w:delText>
              </w:r>
            </w:del>
          </w:p>
        </w:tc>
        <w:tc>
          <w:tcPr>
            <w:tcW w:w="1080" w:type="dxa"/>
            <w:tcBorders>
              <w:top w:val="nil"/>
              <w:bottom w:val="nil"/>
            </w:tcBorders>
          </w:tcPr>
          <w:p w14:paraId="22968523" w14:textId="34942821" w:rsidR="00B87E56" w:rsidRPr="00183B5F" w:rsidRDefault="00943743">
            <w:pPr>
              <w:pStyle w:val="EMEANormal"/>
              <w:keepNext/>
              <w:rPr>
                <w:del w:id="2669" w:author="AbbVie_HU_03" w:date="2025-05-14T15:27:00Z"/>
                <w:szCs w:val="22"/>
                <w:lang w:val="hu-HU"/>
              </w:rPr>
            </w:pPr>
            <w:del w:id="2670" w:author="AbbVie_HU_03" w:date="2025-05-14T15:27:00Z">
              <w:r w:rsidRPr="00183B5F">
                <w:rPr>
                  <w:szCs w:val="22"/>
                  <w:lang w:val="hu-HU"/>
                </w:rPr>
                <w:delText>--</w:delText>
              </w:r>
            </w:del>
          </w:p>
        </w:tc>
      </w:tr>
      <w:tr w:rsidR="00011D2F" w14:paraId="4F773229" w14:textId="6E28B0CB" w:rsidTr="00EC5013">
        <w:trPr>
          <w:del w:id="2671" w:author="AbbVie_HU_03" w:date="2025-05-14T15:27:00Z"/>
        </w:trPr>
        <w:tc>
          <w:tcPr>
            <w:tcW w:w="2268" w:type="dxa"/>
            <w:tcBorders>
              <w:top w:val="nil"/>
              <w:bottom w:val="single" w:sz="4" w:space="0" w:color="auto"/>
            </w:tcBorders>
          </w:tcPr>
          <w:p w14:paraId="1DFE5F50" w14:textId="6616EA68" w:rsidR="00B87E56" w:rsidRPr="00183B5F" w:rsidRDefault="00943743">
            <w:pPr>
              <w:pStyle w:val="EMEANormal"/>
              <w:keepNext/>
              <w:rPr>
                <w:del w:id="2672" w:author="AbbVie_HU_03" w:date="2025-05-14T15:27:00Z"/>
                <w:szCs w:val="22"/>
                <w:lang w:val="hu-HU"/>
              </w:rPr>
            </w:pPr>
            <w:del w:id="2673" w:author="AbbVie_HU_03" w:date="2025-05-14T15:27:00Z">
              <w:r w:rsidRPr="00183B5F">
                <w:rPr>
                  <w:szCs w:val="22"/>
                  <w:lang w:val="hu-HU"/>
                </w:rPr>
                <w:tab/>
                <w:delText>Adalimumab</w:delText>
              </w:r>
            </w:del>
          </w:p>
        </w:tc>
        <w:tc>
          <w:tcPr>
            <w:tcW w:w="720" w:type="dxa"/>
            <w:tcBorders>
              <w:top w:val="nil"/>
              <w:bottom w:val="single" w:sz="4" w:space="0" w:color="auto"/>
            </w:tcBorders>
          </w:tcPr>
          <w:p w14:paraId="429B345D" w14:textId="58F72CCC" w:rsidR="00B87E56" w:rsidRPr="00183B5F" w:rsidRDefault="00943743">
            <w:pPr>
              <w:pStyle w:val="EMEANormal"/>
              <w:keepNext/>
              <w:rPr>
                <w:del w:id="2674" w:author="AbbVie_HU_03" w:date="2025-05-14T15:27:00Z"/>
                <w:szCs w:val="22"/>
                <w:lang w:val="hu-HU"/>
              </w:rPr>
            </w:pPr>
            <w:del w:id="2675" w:author="AbbVie_HU_03" w:date="2025-05-14T15:27:00Z">
              <w:r w:rsidRPr="00183B5F">
                <w:rPr>
                  <w:szCs w:val="22"/>
                  <w:lang w:val="hu-HU"/>
                </w:rPr>
                <w:delText>110</w:delText>
              </w:r>
            </w:del>
          </w:p>
        </w:tc>
        <w:tc>
          <w:tcPr>
            <w:tcW w:w="1170" w:type="dxa"/>
            <w:tcBorders>
              <w:top w:val="nil"/>
              <w:bottom w:val="single" w:sz="4" w:space="0" w:color="auto"/>
            </w:tcBorders>
          </w:tcPr>
          <w:p w14:paraId="5734A562" w14:textId="1996D6B7" w:rsidR="00B87E56" w:rsidRPr="00183B5F" w:rsidRDefault="00943743">
            <w:pPr>
              <w:pStyle w:val="EMEANormal"/>
              <w:keepNext/>
              <w:rPr>
                <w:del w:id="2676" w:author="AbbVie_HU_03" w:date="2025-05-14T15:27:00Z"/>
                <w:szCs w:val="22"/>
                <w:lang w:val="hu-HU"/>
              </w:rPr>
            </w:pPr>
            <w:del w:id="2677" w:author="AbbVie_HU_03" w:date="2025-05-14T15:27:00Z">
              <w:r w:rsidRPr="00183B5F">
                <w:rPr>
                  <w:szCs w:val="22"/>
                  <w:lang w:val="hu-HU"/>
                </w:rPr>
                <w:delText>60 (54,5)</w:delText>
              </w:r>
            </w:del>
          </w:p>
        </w:tc>
        <w:tc>
          <w:tcPr>
            <w:tcW w:w="1890" w:type="dxa"/>
            <w:tcBorders>
              <w:top w:val="nil"/>
              <w:bottom w:val="single" w:sz="4" w:space="0" w:color="auto"/>
            </w:tcBorders>
          </w:tcPr>
          <w:p w14:paraId="19B97306" w14:textId="0A54F6FB" w:rsidR="00B87E56" w:rsidRPr="00183B5F" w:rsidRDefault="00943743">
            <w:pPr>
              <w:pStyle w:val="EMEANormal"/>
              <w:keepNext/>
              <w:rPr>
                <w:del w:id="2678" w:author="AbbVie_HU_03" w:date="2025-05-14T15:27:00Z"/>
                <w:szCs w:val="22"/>
                <w:lang w:val="hu-HU"/>
              </w:rPr>
            </w:pPr>
            <w:del w:id="2679" w:author="AbbVie_HU_03" w:date="2025-05-14T15:27:00Z">
              <w:r w:rsidRPr="00183B5F">
                <w:rPr>
                  <w:szCs w:val="22"/>
                  <w:lang w:val="hu-HU"/>
                </w:rPr>
                <w:delText>5,6</w:delText>
              </w:r>
            </w:del>
          </w:p>
        </w:tc>
        <w:tc>
          <w:tcPr>
            <w:tcW w:w="720" w:type="dxa"/>
            <w:tcBorders>
              <w:top w:val="nil"/>
              <w:bottom w:val="single" w:sz="4" w:space="0" w:color="auto"/>
            </w:tcBorders>
          </w:tcPr>
          <w:p w14:paraId="7A7E7F86" w14:textId="56E22112" w:rsidR="00B87E56" w:rsidRPr="00183B5F" w:rsidRDefault="00943743">
            <w:pPr>
              <w:pStyle w:val="EMEANormal"/>
              <w:keepNext/>
              <w:rPr>
                <w:del w:id="2680" w:author="AbbVie_HU_03" w:date="2025-05-14T15:27:00Z"/>
                <w:szCs w:val="22"/>
                <w:lang w:val="hu-HU"/>
              </w:rPr>
            </w:pPr>
            <w:del w:id="2681" w:author="AbbVie_HU_03" w:date="2025-05-14T15:27:00Z">
              <w:r w:rsidRPr="00183B5F">
                <w:rPr>
                  <w:szCs w:val="22"/>
                  <w:lang w:val="hu-HU"/>
                </w:rPr>
                <w:delText>0,50</w:delText>
              </w:r>
            </w:del>
          </w:p>
        </w:tc>
        <w:tc>
          <w:tcPr>
            <w:tcW w:w="1170" w:type="dxa"/>
            <w:tcBorders>
              <w:top w:val="nil"/>
              <w:bottom w:val="single" w:sz="4" w:space="0" w:color="auto"/>
            </w:tcBorders>
          </w:tcPr>
          <w:p w14:paraId="61EF296B" w14:textId="205B68BB" w:rsidR="00B87E56" w:rsidRPr="00183B5F" w:rsidRDefault="00943743">
            <w:pPr>
              <w:pStyle w:val="EMEANormal"/>
              <w:keepNext/>
              <w:rPr>
                <w:del w:id="2682" w:author="AbbVie_HU_03" w:date="2025-05-14T15:27:00Z"/>
                <w:szCs w:val="22"/>
                <w:lang w:val="hu-HU"/>
              </w:rPr>
            </w:pPr>
            <w:del w:id="2683" w:author="AbbVie_HU_03" w:date="2025-05-14T15:27:00Z">
              <w:r w:rsidRPr="00183B5F">
                <w:rPr>
                  <w:szCs w:val="22"/>
                  <w:lang w:val="hu-HU"/>
                </w:rPr>
                <w:delText>0,36; 0,70</w:delText>
              </w:r>
              <w:r w:rsidRPr="00183B5F">
                <w:rPr>
                  <w:szCs w:val="22"/>
                  <w:vertAlign w:val="superscript"/>
                  <w:lang w:val="hu-HU"/>
                </w:rPr>
                <w:delText xml:space="preserve"> </w:delText>
              </w:r>
            </w:del>
          </w:p>
        </w:tc>
        <w:tc>
          <w:tcPr>
            <w:tcW w:w="1080" w:type="dxa"/>
            <w:tcBorders>
              <w:top w:val="nil"/>
              <w:bottom w:val="single" w:sz="4" w:space="0" w:color="auto"/>
            </w:tcBorders>
          </w:tcPr>
          <w:p w14:paraId="2F14E3E2" w14:textId="03E11D2B" w:rsidR="00B87E56" w:rsidRPr="00183B5F" w:rsidRDefault="00943743">
            <w:pPr>
              <w:pStyle w:val="EMEANormal"/>
              <w:keepNext/>
              <w:rPr>
                <w:del w:id="2684" w:author="AbbVie_HU_03" w:date="2025-05-14T15:27:00Z"/>
                <w:szCs w:val="22"/>
                <w:lang w:val="hu-HU"/>
              </w:rPr>
            </w:pPr>
            <w:del w:id="2685" w:author="AbbVie_HU_03" w:date="2025-05-14T15:27:00Z">
              <w:r w:rsidRPr="00183B5F">
                <w:rPr>
                  <w:szCs w:val="22"/>
                  <w:lang w:val="hu-HU"/>
                </w:rPr>
                <w:delText>&lt; 0,001</w:delText>
              </w:r>
            </w:del>
          </w:p>
        </w:tc>
      </w:tr>
      <w:tr w:rsidR="00011D2F" w14:paraId="78B31E64" w14:textId="1BD78730" w:rsidTr="00EC5013">
        <w:tblPrEx>
          <w:tblBorders>
            <w:left w:val="single" w:sz="4" w:space="0" w:color="auto"/>
            <w:right w:val="single" w:sz="4" w:space="0" w:color="auto"/>
            <w:insideH w:val="single" w:sz="4" w:space="0" w:color="auto"/>
            <w:insideV w:val="single" w:sz="4" w:space="0" w:color="auto"/>
          </w:tblBorders>
        </w:tblPrEx>
        <w:trPr>
          <w:del w:id="2686" w:author="AbbVie_HU_03" w:date="2025-05-14T15:27:00Z"/>
        </w:trPr>
        <w:tc>
          <w:tcPr>
            <w:tcW w:w="9018" w:type="dxa"/>
            <w:gridSpan w:val="7"/>
            <w:tcBorders>
              <w:left w:val="nil"/>
              <w:bottom w:val="nil"/>
              <w:right w:val="nil"/>
            </w:tcBorders>
          </w:tcPr>
          <w:p w14:paraId="2ACC3FAA" w14:textId="60619D2C" w:rsidR="00B87E56" w:rsidRPr="00183B5F" w:rsidRDefault="00943743">
            <w:pPr>
              <w:pStyle w:val="EMEANormal"/>
              <w:keepNext/>
              <w:rPr>
                <w:del w:id="2687" w:author="AbbVie_HU_03" w:date="2025-05-14T15:27:00Z"/>
                <w:b/>
                <w:szCs w:val="22"/>
                <w:lang w:val="hu-HU"/>
              </w:rPr>
            </w:pPr>
            <w:del w:id="2688" w:author="AbbVie_HU_03" w:date="2025-05-14T15:27:00Z">
              <w:r w:rsidRPr="00183B5F">
                <w:rPr>
                  <w:b/>
                  <w:szCs w:val="22"/>
                  <w:lang w:val="hu-HU"/>
                </w:rPr>
                <w:delText>A kezelés eredménytelenségéig eltelt idő a 2.</w:delText>
              </w:r>
              <w:r w:rsidRPr="00183B5F">
                <w:rPr>
                  <w:lang w:val="hu-HU"/>
                </w:rPr>
                <w:delText> </w:delText>
              </w:r>
              <w:r w:rsidRPr="00183B5F">
                <w:rPr>
                  <w:b/>
                  <w:szCs w:val="22"/>
                  <w:lang w:val="hu-HU"/>
                </w:rPr>
                <w:delText>héten vagy azt követően az UV II vizsgálatban</w:delText>
              </w:r>
            </w:del>
          </w:p>
        </w:tc>
      </w:tr>
      <w:tr w:rsidR="00011D2F" w14:paraId="246B5EB6" w14:textId="346C27C4" w:rsidTr="00EC5013">
        <w:tblPrEx>
          <w:tblBorders>
            <w:left w:val="single" w:sz="4" w:space="0" w:color="auto"/>
            <w:right w:val="single" w:sz="4" w:space="0" w:color="auto"/>
            <w:insideH w:val="single" w:sz="4" w:space="0" w:color="auto"/>
            <w:insideV w:val="single" w:sz="4" w:space="0" w:color="auto"/>
          </w:tblBorders>
        </w:tblPrEx>
        <w:trPr>
          <w:del w:id="2689" w:author="AbbVie_HU_03" w:date="2025-05-14T15:27:00Z"/>
        </w:trPr>
        <w:tc>
          <w:tcPr>
            <w:tcW w:w="2988" w:type="dxa"/>
            <w:gridSpan w:val="2"/>
            <w:tcBorders>
              <w:top w:val="nil"/>
              <w:left w:val="nil"/>
              <w:bottom w:val="nil"/>
              <w:right w:val="nil"/>
            </w:tcBorders>
          </w:tcPr>
          <w:p w14:paraId="0AA1E708" w14:textId="1D810381" w:rsidR="00B87E56" w:rsidRPr="00183B5F" w:rsidRDefault="00943743">
            <w:pPr>
              <w:pStyle w:val="EMEANormal"/>
              <w:keepNext/>
              <w:rPr>
                <w:del w:id="2690" w:author="AbbVie_HU_03" w:date="2025-05-14T15:27:00Z"/>
                <w:szCs w:val="22"/>
                <w:lang w:val="hu-HU"/>
              </w:rPr>
            </w:pPr>
            <w:del w:id="2691" w:author="AbbVie_HU_03" w:date="2025-05-14T15:27:00Z">
              <w:r w:rsidRPr="00183B5F">
                <w:rPr>
                  <w:szCs w:val="22"/>
                  <w:lang w:val="hu-HU"/>
                </w:rPr>
                <w:delText>Elsődleges elemzés (ITT)</w:delText>
              </w:r>
            </w:del>
          </w:p>
        </w:tc>
        <w:tc>
          <w:tcPr>
            <w:tcW w:w="1170" w:type="dxa"/>
            <w:tcBorders>
              <w:top w:val="nil"/>
              <w:left w:val="nil"/>
              <w:bottom w:val="nil"/>
              <w:right w:val="nil"/>
            </w:tcBorders>
          </w:tcPr>
          <w:p w14:paraId="0028C566" w14:textId="79702B2D" w:rsidR="00B87E56" w:rsidRPr="00183B5F" w:rsidRDefault="00B87E56">
            <w:pPr>
              <w:pStyle w:val="EMEANormal"/>
              <w:keepNext/>
              <w:rPr>
                <w:del w:id="2692" w:author="AbbVie_HU_03" w:date="2025-05-14T15:27:00Z"/>
                <w:szCs w:val="22"/>
                <w:lang w:val="hu-HU"/>
              </w:rPr>
            </w:pPr>
          </w:p>
        </w:tc>
        <w:tc>
          <w:tcPr>
            <w:tcW w:w="1890" w:type="dxa"/>
            <w:tcBorders>
              <w:top w:val="nil"/>
              <w:left w:val="nil"/>
              <w:bottom w:val="nil"/>
              <w:right w:val="nil"/>
            </w:tcBorders>
          </w:tcPr>
          <w:p w14:paraId="372982F7" w14:textId="5F3549D8" w:rsidR="00B87E56" w:rsidRPr="00183B5F" w:rsidRDefault="00B87E56">
            <w:pPr>
              <w:pStyle w:val="EMEANormal"/>
              <w:keepNext/>
              <w:rPr>
                <w:del w:id="2693" w:author="AbbVie_HU_03" w:date="2025-05-14T15:27:00Z"/>
                <w:szCs w:val="22"/>
                <w:lang w:val="hu-HU"/>
              </w:rPr>
            </w:pPr>
          </w:p>
        </w:tc>
        <w:tc>
          <w:tcPr>
            <w:tcW w:w="720" w:type="dxa"/>
            <w:tcBorders>
              <w:top w:val="nil"/>
              <w:left w:val="nil"/>
              <w:bottom w:val="nil"/>
              <w:right w:val="nil"/>
            </w:tcBorders>
          </w:tcPr>
          <w:p w14:paraId="4E921E50" w14:textId="1A5EBDE9" w:rsidR="00B87E56" w:rsidRPr="00183B5F" w:rsidRDefault="00B87E56">
            <w:pPr>
              <w:pStyle w:val="EMEANormal"/>
              <w:keepNext/>
              <w:rPr>
                <w:del w:id="2694" w:author="AbbVie_HU_03" w:date="2025-05-14T15:27:00Z"/>
                <w:szCs w:val="22"/>
                <w:lang w:val="hu-HU"/>
              </w:rPr>
            </w:pPr>
          </w:p>
        </w:tc>
        <w:tc>
          <w:tcPr>
            <w:tcW w:w="1170" w:type="dxa"/>
            <w:tcBorders>
              <w:top w:val="nil"/>
              <w:left w:val="nil"/>
              <w:bottom w:val="nil"/>
              <w:right w:val="nil"/>
            </w:tcBorders>
          </w:tcPr>
          <w:p w14:paraId="56A1D075" w14:textId="3FA85056" w:rsidR="00B87E56" w:rsidRPr="00183B5F" w:rsidRDefault="00B87E56">
            <w:pPr>
              <w:pStyle w:val="EMEANormal"/>
              <w:keepNext/>
              <w:rPr>
                <w:del w:id="2695" w:author="AbbVie_HU_03" w:date="2025-05-14T15:27:00Z"/>
                <w:szCs w:val="22"/>
                <w:lang w:val="hu-HU"/>
              </w:rPr>
            </w:pPr>
          </w:p>
        </w:tc>
        <w:tc>
          <w:tcPr>
            <w:tcW w:w="1080" w:type="dxa"/>
            <w:tcBorders>
              <w:top w:val="nil"/>
              <w:left w:val="nil"/>
              <w:bottom w:val="nil"/>
              <w:right w:val="nil"/>
            </w:tcBorders>
          </w:tcPr>
          <w:p w14:paraId="18C6F9D7" w14:textId="371ED207" w:rsidR="00B87E56" w:rsidRPr="00183B5F" w:rsidRDefault="00B87E56">
            <w:pPr>
              <w:pStyle w:val="EMEANormal"/>
              <w:keepNext/>
              <w:rPr>
                <w:del w:id="2696" w:author="AbbVie_HU_03" w:date="2025-05-14T15:27:00Z"/>
                <w:szCs w:val="22"/>
                <w:lang w:val="hu-HU"/>
              </w:rPr>
            </w:pPr>
          </w:p>
        </w:tc>
      </w:tr>
      <w:tr w:rsidR="00011D2F" w14:paraId="2CCAC930" w14:textId="2D50372E" w:rsidTr="00EC5013">
        <w:tblPrEx>
          <w:tblBorders>
            <w:left w:val="single" w:sz="4" w:space="0" w:color="auto"/>
            <w:right w:val="single" w:sz="4" w:space="0" w:color="auto"/>
            <w:insideH w:val="single" w:sz="4" w:space="0" w:color="auto"/>
            <w:insideV w:val="single" w:sz="4" w:space="0" w:color="auto"/>
          </w:tblBorders>
        </w:tblPrEx>
        <w:trPr>
          <w:del w:id="2697" w:author="AbbVie_HU_03" w:date="2025-05-14T15:27:00Z"/>
        </w:trPr>
        <w:tc>
          <w:tcPr>
            <w:tcW w:w="2268" w:type="dxa"/>
            <w:tcBorders>
              <w:top w:val="nil"/>
              <w:left w:val="nil"/>
              <w:bottom w:val="nil"/>
              <w:right w:val="nil"/>
            </w:tcBorders>
          </w:tcPr>
          <w:p w14:paraId="461D2909" w14:textId="57FB5264" w:rsidR="00B87E56" w:rsidRPr="00183B5F" w:rsidRDefault="00943743">
            <w:pPr>
              <w:pStyle w:val="EMEANormal"/>
              <w:keepNext/>
              <w:rPr>
                <w:del w:id="2698" w:author="AbbVie_HU_03" w:date="2025-05-14T15:27:00Z"/>
                <w:szCs w:val="22"/>
                <w:lang w:val="hu-HU"/>
              </w:rPr>
            </w:pPr>
            <w:del w:id="2699" w:author="AbbVie_HU_03" w:date="2025-05-14T15:27:00Z">
              <w:r w:rsidRPr="00183B5F">
                <w:rPr>
                  <w:szCs w:val="22"/>
                  <w:lang w:val="hu-HU"/>
                </w:rPr>
                <w:tab/>
                <w:delText>Placebo</w:delText>
              </w:r>
            </w:del>
          </w:p>
        </w:tc>
        <w:tc>
          <w:tcPr>
            <w:tcW w:w="720" w:type="dxa"/>
            <w:tcBorders>
              <w:top w:val="nil"/>
              <w:left w:val="nil"/>
              <w:bottom w:val="nil"/>
              <w:right w:val="nil"/>
            </w:tcBorders>
          </w:tcPr>
          <w:p w14:paraId="67BC0B98" w14:textId="671E7D45" w:rsidR="00B87E56" w:rsidRPr="00183B5F" w:rsidRDefault="00943743">
            <w:pPr>
              <w:pStyle w:val="EMEANormal"/>
              <w:keepNext/>
              <w:rPr>
                <w:del w:id="2700" w:author="AbbVie_HU_03" w:date="2025-05-14T15:27:00Z"/>
                <w:szCs w:val="22"/>
                <w:lang w:val="hu-HU"/>
              </w:rPr>
            </w:pPr>
            <w:del w:id="2701" w:author="AbbVie_HU_03" w:date="2025-05-14T15:27:00Z">
              <w:r w:rsidRPr="00183B5F">
                <w:rPr>
                  <w:szCs w:val="22"/>
                  <w:lang w:val="hu-HU"/>
                </w:rPr>
                <w:delText>111</w:delText>
              </w:r>
            </w:del>
          </w:p>
        </w:tc>
        <w:tc>
          <w:tcPr>
            <w:tcW w:w="1170" w:type="dxa"/>
            <w:tcBorders>
              <w:top w:val="nil"/>
              <w:left w:val="nil"/>
              <w:bottom w:val="nil"/>
              <w:right w:val="nil"/>
            </w:tcBorders>
          </w:tcPr>
          <w:p w14:paraId="3415B171" w14:textId="224B100E" w:rsidR="00B87E56" w:rsidRPr="00183B5F" w:rsidRDefault="00943743">
            <w:pPr>
              <w:pStyle w:val="EMEANormal"/>
              <w:keepNext/>
              <w:rPr>
                <w:del w:id="2702" w:author="AbbVie_HU_03" w:date="2025-05-14T15:27:00Z"/>
                <w:szCs w:val="22"/>
                <w:lang w:val="hu-HU"/>
              </w:rPr>
            </w:pPr>
            <w:del w:id="2703" w:author="AbbVie_HU_03" w:date="2025-05-14T15:27:00Z">
              <w:r w:rsidRPr="00183B5F">
                <w:rPr>
                  <w:szCs w:val="22"/>
                  <w:lang w:val="hu-HU"/>
                </w:rPr>
                <w:delText>61 (55,0)</w:delText>
              </w:r>
            </w:del>
          </w:p>
        </w:tc>
        <w:tc>
          <w:tcPr>
            <w:tcW w:w="1890" w:type="dxa"/>
            <w:tcBorders>
              <w:top w:val="nil"/>
              <w:left w:val="nil"/>
              <w:bottom w:val="nil"/>
              <w:right w:val="nil"/>
            </w:tcBorders>
          </w:tcPr>
          <w:p w14:paraId="3F45131E" w14:textId="6D3EA74E" w:rsidR="00B87E56" w:rsidRPr="00183B5F" w:rsidRDefault="00943743">
            <w:pPr>
              <w:pStyle w:val="EMEANormal"/>
              <w:keepNext/>
              <w:rPr>
                <w:del w:id="2704" w:author="AbbVie_HU_03" w:date="2025-05-14T15:27:00Z"/>
                <w:szCs w:val="22"/>
                <w:lang w:val="hu-HU"/>
              </w:rPr>
            </w:pPr>
            <w:del w:id="2705" w:author="AbbVie_HU_03" w:date="2025-05-14T15:27:00Z">
              <w:r w:rsidRPr="00183B5F">
                <w:rPr>
                  <w:szCs w:val="22"/>
                  <w:lang w:val="hu-HU"/>
                </w:rPr>
                <w:delText>8,3</w:delText>
              </w:r>
            </w:del>
          </w:p>
        </w:tc>
        <w:tc>
          <w:tcPr>
            <w:tcW w:w="720" w:type="dxa"/>
            <w:tcBorders>
              <w:top w:val="nil"/>
              <w:left w:val="nil"/>
              <w:bottom w:val="nil"/>
              <w:right w:val="nil"/>
            </w:tcBorders>
          </w:tcPr>
          <w:p w14:paraId="57FB4249" w14:textId="3B0F2D67" w:rsidR="00B87E56" w:rsidRPr="00183B5F" w:rsidRDefault="00943743">
            <w:pPr>
              <w:pStyle w:val="EMEANormal"/>
              <w:keepNext/>
              <w:rPr>
                <w:del w:id="2706" w:author="AbbVie_HU_03" w:date="2025-05-14T15:27:00Z"/>
                <w:szCs w:val="22"/>
                <w:lang w:val="hu-HU"/>
              </w:rPr>
            </w:pPr>
            <w:del w:id="2707" w:author="AbbVie_HU_03" w:date="2025-05-14T15:27:00Z">
              <w:r w:rsidRPr="00183B5F">
                <w:rPr>
                  <w:szCs w:val="22"/>
                  <w:lang w:val="hu-HU"/>
                </w:rPr>
                <w:delText>--</w:delText>
              </w:r>
            </w:del>
          </w:p>
        </w:tc>
        <w:tc>
          <w:tcPr>
            <w:tcW w:w="1170" w:type="dxa"/>
            <w:tcBorders>
              <w:top w:val="nil"/>
              <w:left w:val="nil"/>
              <w:bottom w:val="nil"/>
              <w:right w:val="nil"/>
            </w:tcBorders>
          </w:tcPr>
          <w:p w14:paraId="5D2AC2EF" w14:textId="4A964F55" w:rsidR="00B87E56" w:rsidRPr="00183B5F" w:rsidRDefault="00943743">
            <w:pPr>
              <w:pStyle w:val="EMEANormal"/>
              <w:keepNext/>
              <w:rPr>
                <w:del w:id="2708" w:author="AbbVie_HU_03" w:date="2025-05-14T15:27:00Z"/>
                <w:szCs w:val="22"/>
                <w:lang w:val="hu-HU"/>
              </w:rPr>
            </w:pPr>
            <w:del w:id="2709" w:author="AbbVie_HU_03" w:date="2025-05-14T15:27:00Z">
              <w:r w:rsidRPr="00183B5F">
                <w:rPr>
                  <w:szCs w:val="22"/>
                  <w:lang w:val="hu-HU"/>
                </w:rPr>
                <w:delText>--</w:delText>
              </w:r>
            </w:del>
          </w:p>
        </w:tc>
        <w:tc>
          <w:tcPr>
            <w:tcW w:w="1080" w:type="dxa"/>
            <w:tcBorders>
              <w:top w:val="nil"/>
              <w:left w:val="nil"/>
              <w:bottom w:val="nil"/>
              <w:right w:val="nil"/>
            </w:tcBorders>
          </w:tcPr>
          <w:p w14:paraId="4C85318D" w14:textId="3AD23536" w:rsidR="00B87E56" w:rsidRPr="00183B5F" w:rsidRDefault="00943743">
            <w:pPr>
              <w:pStyle w:val="EMEANormal"/>
              <w:keepNext/>
              <w:rPr>
                <w:del w:id="2710" w:author="AbbVie_HU_03" w:date="2025-05-14T15:27:00Z"/>
                <w:szCs w:val="22"/>
                <w:lang w:val="hu-HU"/>
              </w:rPr>
            </w:pPr>
            <w:del w:id="2711" w:author="AbbVie_HU_03" w:date="2025-05-14T15:27:00Z">
              <w:r w:rsidRPr="00183B5F">
                <w:rPr>
                  <w:szCs w:val="22"/>
                  <w:lang w:val="hu-HU"/>
                </w:rPr>
                <w:delText>--</w:delText>
              </w:r>
            </w:del>
          </w:p>
        </w:tc>
      </w:tr>
      <w:tr w:rsidR="00011D2F" w14:paraId="23FA2DDD" w14:textId="13C30D2C" w:rsidTr="00EC5013">
        <w:tblPrEx>
          <w:tblBorders>
            <w:left w:val="single" w:sz="4" w:space="0" w:color="auto"/>
            <w:right w:val="single" w:sz="4" w:space="0" w:color="auto"/>
            <w:insideH w:val="single" w:sz="4" w:space="0" w:color="auto"/>
            <w:insideV w:val="single" w:sz="4" w:space="0" w:color="auto"/>
          </w:tblBorders>
        </w:tblPrEx>
        <w:trPr>
          <w:del w:id="2712" w:author="AbbVie_HU_03" w:date="2025-05-14T15:27:00Z"/>
        </w:trPr>
        <w:tc>
          <w:tcPr>
            <w:tcW w:w="2268" w:type="dxa"/>
            <w:tcBorders>
              <w:top w:val="nil"/>
              <w:left w:val="nil"/>
              <w:bottom w:val="single" w:sz="4" w:space="0" w:color="auto"/>
              <w:right w:val="nil"/>
            </w:tcBorders>
          </w:tcPr>
          <w:p w14:paraId="7A94FD8B" w14:textId="30AB9ADA" w:rsidR="00B87E56" w:rsidRPr="00183B5F" w:rsidRDefault="00943743">
            <w:pPr>
              <w:pStyle w:val="EMEANormal"/>
              <w:keepNext/>
              <w:rPr>
                <w:del w:id="2713" w:author="AbbVie_HU_03" w:date="2025-05-14T15:27:00Z"/>
                <w:szCs w:val="22"/>
                <w:lang w:val="hu-HU"/>
              </w:rPr>
            </w:pPr>
            <w:del w:id="2714" w:author="AbbVie_HU_03" w:date="2025-05-14T15:27:00Z">
              <w:r w:rsidRPr="00183B5F">
                <w:rPr>
                  <w:szCs w:val="22"/>
                  <w:lang w:val="hu-HU"/>
                </w:rPr>
                <w:tab/>
                <w:delText>Adalimumab</w:delText>
              </w:r>
            </w:del>
          </w:p>
        </w:tc>
        <w:tc>
          <w:tcPr>
            <w:tcW w:w="720" w:type="dxa"/>
            <w:tcBorders>
              <w:top w:val="nil"/>
              <w:left w:val="nil"/>
              <w:bottom w:val="single" w:sz="4" w:space="0" w:color="auto"/>
              <w:right w:val="nil"/>
            </w:tcBorders>
          </w:tcPr>
          <w:p w14:paraId="40CFA5CC" w14:textId="05CF9378" w:rsidR="00B87E56" w:rsidRPr="00183B5F" w:rsidRDefault="00943743">
            <w:pPr>
              <w:pStyle w:val="EMEANormal"/>
              <w:keepNext/>
              <w:rPr>
                <w:del w:id="2715" w:author="AbbVie_HU_03" w:date="2025-05-14T15:27:00Z"/>
                <w:szCs w:val="22"/>
                <w:lang w:val="hu-HU"/>
              </w:rPr>
            </w:pPr>
            <w:del w:id="2716" w:author="AbbVie_HU_03" w:date="2025-05-14T15:27:00Z">
              <w:r w:rsidRPr="00183B5F">
                <w:rPr>
                  <w:szCs w:val="22"/>
                  <w:lang w:val="hu-HU"/>
                </w:rPr>
                <w:delText>115</w:delText>
              </w:r>
            </w:del>
          </w:p>
        </w:tc>
        <w:tc>
          <w:tcPr>
            <w:tcW w:w="1170" w:type="dxa"/>
            <w:tcBorders>
              <w:top w:val="nil"/>
              <w:left w:val="nil"/>
              <w:bottom w:val="single" w:sz="4" w:space="0" w:color="auto"/>
              <w:right w:val="nil"/>
            </w:tcBorders>
          </w:tcPr>
          <w:p w14:paraId="791856F3" w14:textId="7E8B4F66" w:rsidR="00B87E56" w:rsidRPr="00183B5F" w:rsidRDefault="00943743">
            <w:pPr>
              <w:pStyle w:val="EMEANormal"/>
              <w:keepNext/>
              <w:rPr>
                <w:del w:id="2717" w:author="AbbVie_HU_03" w:date="2025-05-14T15:27:00Z"/>
                <w:szCs w:val="22"/>
                <w:lang w:val="hu-HU"/>
              </w:rPr>
            </w:pPr>
            <w:del w:id="2718" w:author="AbbVie_HU_03" w:date="2025-05-14T15:27:00Z">
              <w:r w:rsidRPr="00183B5F">
                <w:rPr>
                  <w:szCs w:val="22"/>
                  <w:lang w:val="hu-HU"/>
                </w:rPr>
                <w:delText>45 (39,1)</w:delText>
              </w:r>
            </w:del>
          </w:p>
        </w:tc>
        <w:tc>
          <w:tcPr>
            <w:tcW w:w="1890" w:type="dxa"/>
            <w:tcBorders>
              <w:top w:val="nil"/>
              <w:left w:val="nil"/>
              <w:bottom w:val="single" w:sz="4" w:space="0" w:color="auto"/>
              <w:right w:val="nil"/>
            </w:tcBorders>
          </w:tcPr>
          <w:p w14:paraId="35CCB24C" w14:textId="4F1DA1A0" w:rsidR="00B87E56" w:rsidRPr="00183B5F" w:rsidRDefault="00943743">
            <w:pPr>
              <w:pStyle w:val="EMEANormal"/>
              <w:keepNext/>
              <w:rPr>
                <w:del w:id="2719" w:author="AbbVie_HU_03" w:date="2025-05-14T15:27:00Z"/>
                <w:szCs w:val="22"/>
                <w:lang w:val="hu-HU"/>
              </w:rPr>
            </w:pPr>
            <w:del w:id="2720" w:author="AbbVie_HU_03" w:date="2025-05-14T15:27:00Z">
              <w:r w:rsidRPr="00183B5F">
                <w:rPr>
                  <w:szCs w:val="22"/>
                  <w:lang w:val="hu-HU"/>
                </w:rPr>
                <w:delText>NB</w:delText>
              </w:r>
              <w:r w:rsidRPr="00183B5F">
                <w:rPr>
                  <w:szCs w:val="22"/>
                  <w:vertAlign w:val="superscript"/>
                  <w:lang w:val="hu-HU"/>
                </w:rPr>
                <w:delText>c</w:delText>
              </w:r>
            </w:del>
          </w:p>
        </w:tc>
        <w:tc>
          <w:tcPr>
            <w:tcW w:w="720" w:type="dxa"/>
            <w:tcBorders>
              <w:top w:val="nil"/>
              <w:left w:val="nil"/>
              <w:bottom w:val="single" w:sz="4" w:space="0" w:color="auto"/>
              <w:right w:val="nil"/>
            </w:tcBorders>
          </w:tcPr>
          <w:p w14:paraId="08E0D791" w14:textId="0DD69074" w:rsidR="00B87E56" w:rsidRPr="00183B5F" w:rsidRDefault="00943743">
            <w:pPr>
              <w:pStyle w:val="EMEANormal"/>
              <w:keepNext/>
              <w:rPr>
                <w:del w:id="2721" w:author="AbbVie_HU_03" w:date="2025-05-14T15:27:00Z"/>
                <w:szCs w:val="22"/>
                <w:lang w:val="hu-HU"/>
              </w:rPr>
            </w:pPr>
            <w:del w:id="2722" w:author="AbbVie_HU_03" w:date="2025-05-14T15:27:00Z">
              <w:r w:rsidRPr="00183B5F">
                <w:rPr>
                  <w:szCs w:val="22"/>
                  <w:lang w:val="hu-HU"/>
                </w:rPr>
                <w:delText>0,57</w:delText>
              </w:r>
            </w:del>
          </w:p>
        </w:tc>
        <w:tc>
          <w:tcPr>
            <w:tcW w:w="1170" w:type="dxa"/>
            <w:tcBorders>
              <w:top w:val="nil"/>
              <w:left w:val="nil"/>
              <w:bottom w:val="single" w:sz="4" w:space="0" w:color="auto"/>
              <w:right w:val="nil"/>
            </w:tcBorders>
          </w:tcPr>
          <w:p w14:paraId="34BA93DE" w14:textId="25558946" w:rsidR="00B87E56" w:rsidRPr="00183B5F" w:rsidRDefault="00943743">
            <w:pPr>
              <w:pStyle w:val="EMEANormal"/>
              <w:keepNext/>
              <w:rPr>
                <w:del w:id="2723" w:author="AbbVie_HU_03" w:date="2025-05-14T15:27:00Z"/>
                <w:szCs w:val="22"/>
                <w:lang w:val="hu-HU"/>
              </w:rPr>
            </w:pPr>
            <w:del w:id="2724" w:author="AbbVie_HU_03" w:date="2025-05-14T15:27:00Z">
              <w:r w:rsidRPr="00183B5F">
                <w:rPr>
                  <w:szCs w:val="22"/>
                  <w:lang w:val="hu-HU"/>
                </w:rPr>
                <w:delText>0,39; 0,84</w:delText>
              </w:r>
            </w:del>
          </w:p>
        </w:tc>
        <w:tc>
          <w:tcPr>
            <w:tcW w:w="1080" w:type="dxa"/>
            <w:tcBorders>
              <w:top w:val="nil"/>
              <w:left w:val="nil"/>
              <w:bottom w:val="single" w:sz="4" w:space="0" w:color="auto"/>
              <w:right w:val="nil"/>
            </w:tcBorders>
          </w:tcPr>
          <w:p w14:paraId="74C77C58" w14:textId="15706443" w:rsidR="00B87E56" w:rsidRPr="00183B5F" w:rsidRDefault="00943743">
            <w:pPr>
              <w:pStyle w:val="EMEANormal"/>
              <w:keepNext/>
              <w:rPr>
                <w:del w:id="2725" w:author="AbbVie_HU_03" w:date="2025-05-14T15:27:00Z"/>
                <w:szCs w:val="22"/>
                <w:lang w:val="hu-HU"/>
              </w:rPr>
            </w:pPr>
            <w:del w:id="2726" w:author="AbbVie_HU_03" w:date="2025-05-14T15:27:00Z">
              <w:r w:rsidRPr="00183B5F">
                <w:rPr>
                  <w:szCs w:val="22"/>
                  <w:lang w:val="hu-HU"/>
                </w:rPr>
                <w:delText>0,004</w:delText>
              </w:r>
            </w:del>
          </w:p>
        </w:tc>
      </w:tr>
    </w:tbl>
    <w:p w14:paraId="4FBE2E5B" w14:textId="4DAF701C" w:rsidR="00B87E56" w:rsidRPr="00183B5F" w:rsidRDefault="00943743">
      <w:pPr>
        <w:pStyle w:val="EMEANormal"/>
        <w:keepNext/>
        <w:rPr>
          <w:del w:id="2727" w:author="AbbVie_HU_03" w:date="2025-05-14T15:27:00Z"/>
          <w:szCs w:val="22"/>
          <w:lang w:val="hu-HU"/>
        </w:rPr>
      </w:pPr>
      <w:del w:id="2728" w:author="AbbVie_HU_03" w:date="2025-05-14T15:27:00Z">
        <w:r w:rsidRPr="00183B5F">
          <w:rPr>
            <w:szCs w:val="22"/>
            <w:lang w:val="hu-HU"/>
          </w:rPr>
          <w:delText>Megjegyzés: Eseménynek értékelték a kezelés eredménytelenségét a 6. héten vagy azt követően (UV I vizsgálat) vagy a 2. héten vagy azt követően (UV II vizsgálat). Azoknak a betegeknek az adatait cenzorálták a vizsgálat abbahagyásakor, akik nem a kezelés eredménytelensége miatt hagyták abba a vizsgálatot.</w:delText>
        </w:r>
      </w:del>
    </w:p>
    <w:p w14:paraId="4E05464E" w14:textId="1E376E2E" w:rsidR="00B87E56" w:rsidRPr="00183B5F" w:rsidRDefault="00943743" w:rsidP="009F6211">
      <w:pPr>
        <w:pStyle w:val="EMEANormal"/>
        <w:keepNext/>
        <w:tabs>
          <w:tab w:val="clear" w:pos="562"/>
          <w:tab w:val="left" w:pos="426"/>
        </w:tabs>
        <w:ind w:left="426" w:hanging="426"/>
        <w:rPr>
          <w:del w:id="2729" w:author="AbbVie_HU_03" w:date="2025-05-14T15:27:00Z"/>
          <w:szCs w:val="22"/>
          <w:lang w:val="hu-HU"/>
        </w:rPr>
      </w:pPr>
      <w:del w:id="2730" w:author="AbbVie_HU_03" w:date="2025-05-14T15:27:00Z">
        <w:r w:rsidRPr="00183B5F">
          <w:rPr>
            <w:szCs w:val="22"/>
            <w:vertAlign w:val="superscript"/>
            <w:lang w:val="hu-HU"/>
          </w:rPr>
          <w:delText>a</w:delText>
        </w:r>
        <w:r w:rsidRPr="00183B5F">
          <w:rPr>
            <w:szCs w:val="22"/>
            <w:lang w:val="hu-HU"/>
          </w:rPr>
          <w:tab/>
          <w:delText xml:space="preserve">az adalimumab placebóval szembeni relatív hazárd értéke </w:delText>
        </w:r>
        <w:r w:rsidR="009F6211" w:rsidRPr="00183B5F">
          <w:rPr>
            <w:szCs w:val="22"/>
            <w:lang w:val="hu-HU"/>
          </w:rPr>
          <w:delText>(</w:delText>
        </w:r>
        <w:r w:rsidRPr="00183B5F">
          <w:rPr>
            <w:szCs w:val="22"/>
            <w:lang w:val="hu-HU"/>
          </w:rPr>
          <w:delText>arányos hazárd regresszióból, a kezelést faktorként figyelembe véve</w:delText>
        </w:r>
        <w:r w:rsidR="009F6211" w:rsidRPr="00183B5F">
          <w:rPr>
            <w:szCs w:val="22"/>
            <w:lang w:val="hu-HU"/>
          </w:rPr>
          <w:delText>)</w:delText>
        </w:r>
        <w:r w:rsidRPr="00183B5F">
          <w:rPr>
            <w:szCs w:val="22"/>
            <w:lang w:val="hu-HU"/>
          </w:rPr>
          <w:delText>.</w:delText>
        </w:r>
      </w:del>
    </w:p>
    <w:p w14:paraId="3B66F1BB" w14:textId="45E735AC" w:rsidR="00B87E56" w:rsidRPr="00183B5F" w:rsidRDefault="00943743" w:rsidP="009F6211">
      <w:pPr>
        <w:pStyle w:val="EMEANormal"/>
        <w:keepNext/>
        <w:tabs>
          <w:tab w:val="clear" w:pos="562"/>
          <w:tab w:val="left" w:pos="426"/>
        </w:tabs>
        <w:rPr>
          <w:del w:id="2731" w:author="AbbVie_HU_03" w:date="2025-05-14T15:27:00Z"/>
          <w:szCs w:val="22"/>
          <w:lang w:val="hu-HU"/>
        </w:rPr>
      </w:pPr>
      <w:del w:id="2732" w:author="AbbVie_HU_03" w:date="2025-05-14T15:27:00Z">
        <w:r w:rsidRPr="00183B5F">
          <w:rPr>
            <w:szCs w:val="22"/>
            <w:vertAlign w:val="superscript"/>
            <w:lang w:val="hu-HU"/>
          </w:rPr>
          <w:delText>b</w:delText>
        </w:r>
        <w:r w:rsidRPr="00183B5F">
          <w:rPr>
            <w:szCs w:val="22"/>
            <w:lang w:val="hu-HU"/>
          </w:rPr>
          <w:tab/>
        </w:r>
        <w:r w:rsidR="006F113E" w:rsidRPr="00183B5F">
          <w:rPr>
            <w:szCs w:val="22"/>
            <w:lang w:val="hu-HU"/>
          </w:rPr>
          <w:delText>L</w:delText>
        </w:r>
        <w:r w:rsidRPr="00183B5F">
          <w:rPr>
            <w:szCs w:val="22"/>
            <w:lang w:val="hu-HU"/>
          </w:rPr>
          <w:delText>ograng</w:delText>
        </w:r>
        <w:r w:rsidR="00CA2474" w:rsidRPr="00183B5F">
          <w:rPr>
            <w:szCs w:val="22"/>
            <w:lang w:val="hu-HU"/>
          </w:rPr>
          <w:noBreakHyphen/>
        </w:r>
        <w:r w:rsidRPr="00183B5F">
          <w:rPr>
            <w:szCs w:val="22"/>
            <w:lang w:val="hu-HU"/>
          </w:rPr>
          <w:delText xml:space="preserve">próbából meghatározott 2-oldalas </w:delText>
        </w:r>
        <w:r w:rsidRPr="00183B5F">
          <w:rPr>
            <w:i/>
            <w:szCs w:val="22"/>
            <w:lang w:val="hu-HU"/>
          </w:rPr>
          <w:delText>P</w:delText>
        </w:r>
        <w:r w:rsidRPr="00183B5F">
          <w:rPr>
            <w:szCs w:val="22"/>
            <w:lang w:val="hu-HU"/>
          </w:rPr>
          <w:noBreakHyphen/>
          <w:delText>érték.</w:delText>
        </w:r>
      </w:del>
    </w:p>
    <w:p w14:paraId="77547323" w14:textId="6DE90C10" w:rsidR="00B87E56" w:rsidRPr="00183B5F" w:rsidRDefault="00943743" w:rsidP="009F6211">
      <w:pPr>
        <w:pStyle w:val="EMEANormal"/>
        <w:tabs>
          <w:tab w:val="clear" w:pos="562"/>
          <w:tab w:val="left" w:pos="426"/>
        </w:tabs>
        <w:rPr>
          <w:del w:id="2733" w:author="AbbVie_HU_03" w:date="2025-05-14T15:27:00Z"/>
          <w:szCs w:val="22"/>
          <w:lang w:val="hu-HU"/>
        </w:rPr>
      </w:pPr>
      <w:del w:id="2734" w:author="AbbVie_HU_03" w:date="2025-05-14T15:27:00Z">
        <w:r w:rsidRPr="00183B5F">
          <w:rPr>
            <w:szCs w:val="22"/>
            <w:vertAlign w:val="superscript"/>
            <w:lang w:val="hu-HU"/>
          </w:rPr>
          <w:delText>c</w:delText>
        </w:r>
        <w:r w:rsidRPr="00183B5F">
          <w:rPr>
            <w:szCs w:val="22"/>
            <w:lang w:val="hu-HU"/>
          </w:rPr>
          <w:tab/>
        </w:r>
        <w:r w:rsidRPr="00183B5F">
          <w:rPr>
            <w:szCs w:val="22"/>
            <w:lang w:val="hu-HU"/>
          </w:rPr>
          <w:delText>NB = nem becsülhető. A veszélyeztetett betegek kevesebb mint felénél történt esemény</w:delText>
        </w:r>
        <w:r w:rsidR="006F113E" w:rsidRPr="00183B5F">
          <w:rPr>
            <w:szCs w:val="22"/>
            <w:lang w:val="hu-HU"/>
          </w:rPr>
          <w:delText>.</w:delText>
        </w:r>
      </w:del>
    </w:p>
    <w:p w14:paraId="7DD20E9B" w14:textId="2080B0EF" w:rsidR="006F113E" w:rsidRPr="00183B5F" w:rsidRDefault="006F113E">
      <w:pPr>
        <w:pStyle w:val="EMEANormal"/>
        <w:rPr>
          <w:del w:id="2735" w:author="AbbVie_HU_03" w:date="2025-05-14T15:27:00Z"/>
          <w:szCs w:val="22"/>
          <w:lang w:val="hu-HU"/>
        </w:rPr>
      </w:pPr>
    </w:p>
    <w:p w14:paraId="7E874B1D" w14:textId="714FC368" w:rsidR="0059112B" w:rsidRPr="00183B5F" w:rsidRDefault="00943743" w:rsidP="00FC288C">
      <w:pPr>
        <w:pStyle w:val="EMEANormal"/>
        <w:keepNext/>
        <w:ind w:left="360"/>
        <w:jc w:val="center"/>
        <w:rPr>
          <w:del w:id="2736" w:author="AbbVie_HU_03" w:date="2025-05-14T15:27:00Z"/>
          <w:b/>
          <w:szCs w:val="22"/>
          <w:lang w:val="hu-HU"/>
        </w:rPr>
      </w:pPr>
      <w:del w:id="2737" w:author="AbbVie_HU_03" w:date="2025-05-14T15:27:00Z">
        <w:r w:rsidRPr="00183B5F">
          <w:rPr>
            <w:b/>
            <w:szCs w:val="22"/>
            <w:lang w:val="hu-HU"/>
          </w:rPr>
          <w:delText>1.</w:delText>
        </w:r>
        <w:r w:rsidR="009C775E" w:rsidRPr="00183B5F">
          <w:rPr>
            <w:b/>
            <w:szCs w:val="22"/>
            <w:lang w:val="hu-HU"/>
          </w:rPr>
          <w:delText> </w:delText>
        </w:r>
        <w:r w:rsidRPr="00183B5F">
          <w:rPr>
            <w:b/>
            <w:szCs w:val="22"/>
            <w:lang w:val="hu-HU"/>
          </w:rPr>
          <w:delText>ábra: A kezelés eredménytelenségéig eltelt időt a 6. héten vagy azt követően (UV I vizsgálat) illetve a 2. héten vagy azt követően (UV II vizsgálat) bemutató Kaplan-Meier görbék</w:delText>
        </w:r>
      </w:del>
    </w:p>
    <w:p w14:paraId="27598CA6" w14:textId="1C085A54" w:rsidR="0059112B" w:rsidRPr="00183B5F" w:rsidRDefault="0059112B">
      <w:pPr>
        <w:pStyle w:val="EMEANormal"/>
        <w:keepNext/>
        <w:jc w:val="center"/>
        <w:rPr>
          <w:del w:id="2738" w:author="AbbVie_HU_03" w:date="2025-05-14T15:27:00Z"/>
          <w:b/>
          <w:szCs w:val="22"/>
          <w:lang w:val="hu-HU"/>
        </w:rPr>
      </w:pPr>
    </w:p>
    <w:tbl>
      <w:tblPr>
        <w:tblW w:w="9481" w:type="dxa"/>
        <w:tblLayout w:type="fixed"/>
        <w:tblLook w:val="04A0" w:firstRow="1" w:lastRow="0" w:firstColumn="1" w:lastColumn="0" w:noHBand="0" w:noVBand="1"/>
      </w:tblPr>
      <w:tblGrid>
        <w:gridCol w:w="675"/>
        <w:gridCol w:w="3496"/>
        <w:gridCol w:w="1170"/>
        <w:gridCol w:w="1350"/>
        <w:gridCol w:w="900"/>
        <w:gridCol w:w="1890"/>
      </w:tblGrid>
      <w:tr w:rsidR="00011D2F" w14:paraId="0C67E62D" w14:textId="36B514F1" w:rsidTr="00EC5013">
        <w:trPr>
          <w:cantSplit/>
          <w:trHeight w:val="3806"/>
          <w:del w:id="2739" w:author="AbbVie_HU_03" w:date="2025-05-14T15:27:00Z"/>
        </w:trPr>
        <w:tc>
          <w:tcPr>
            <w:tcW w:w="675" w:type="dxa"/>
            <w:textDirection w:val="btLr"/>
            <w:vAlign w:val="bottom"/>
          </w:tcPr>
          <w:p w14:paraId="3175928C" w14:textId="0A74EBB4" w:rsidR="0059112B" w:rsidRPr="00183B5F" w:rsidRDefault="00943743">
            <w:pPr>
              <w:pStyle w:val="EMEANormal"/>
              <w:keepNext/>
              <w:ind w:left="113" w:right="113"/>
              <w:jc w:val="center"/>
              <w:rPr>
                <w:del w:id="2740" w:author="AbbVie_HU_03" w:date="2025-05-14T15:27:00Z"/>
                <w:b/>
                <w:szCs w:val="22"/>
                <w:lang w:val="hu-HU"/>
              </w:rPr>
            </w:pPr>
            <w:del w:id="2741" w:author="AbbVie_HU_03" w:date="2025-05-14T15:27:00Z">
              <w:r w:rsidRPr="00183B5F">
                <w:rPr>
                  <w:b/>
                  <w:szCs w:val="22"/>
                  <w:lang w:val="hu-HU"/>
                </w:rPr>
                <w:delText>KEZELÉS EREDMÉNYTELENSÉGÉMEK ARÁNYA (%)</w:delText>
              </w:r>
            </w:del>
          </w:p>
        </w:tc>
        <w:tc>
          <w:tcPr>
            <w:tcW w:w="8806" w:type="dxa"/>
            <w:gridSpan w:val="5"/>
            <w:vAlign w:val="bottom"/>
          </w:tcPr>
          <w:p w14:paraId="0683E153" w14:textId="76ABC518" w:rsidR="0059112B" w:rsidRPr="00183B5F" w:rsidRDefault="00943743">
            <w:pPr>
              <w:pStyle w:val="EMEANormal"/>
              <w:keepNext/>
              <w:rPr>
                <w:del w:id="2742" w:author="AbbVie_HU_03" w:date="2025-05-14T15:27:00Z"/>
                <w:szCs w:val="22"/>
                <w:lang w:val="hu-HU"/>
              </w:rPr>
            </w:pPr>
            <w:del w:id="2743" w:author="AbbVie_HU_03" w:date="2025-05-14T15:27:00Z">
              <w:r w:rsidRPr="00202B95">
                <w:rPr>
                  <w:noProof/>
                  <w:lang w:val="en-GB"/>
                </w:rPr>
                <w:drawing>
                  <wp:inline distT="0" distB="0" distL="0" distR="0" wp14:anchorId="0A28D383" wp14:editId="5B46FC4A">
                    <wp:extent cx="5486400" cy="2209800"/>
                    <wp:effectExtent l="0" t="0" r="0" b="0"/>
                    <wp:docPr id="18" name="Picture 18"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Humira Uveitis Figure 5_6"/>
                            <pic:cNvPicPr>
                              <a:picLocks noChangeAspect="1" noChangeArrowheads="1"/>
                            </pic:cNvPicPr>
                          </pic:nvPicPr>
                          <pic:blipFill>
                            <a:blip r:embed="rId11" r:link="rId12">
                              <a:extLst>
                                <a:ext uri="{28A0092B-C50C-407E-A947-70E740481C1C}">
                                  <a14:useLocalDpi xmlns:a14="http://schemas.microsoft.com/office/drawing/2010/main" val="0"/>
                                </a:ext>
                              </a:extLst>
                            </a:blip>
                            <a:stretch>
                              <a:fillRect/>
                            </a:stretch>
                          </pic:blipFill>
                          <pic:spPr bwMode="auto">
                            <a:xfrm>
                              <a:off x="0" y="0"/>
                              <a:ext cx="5486400" cy="2209800"/>
                            </a:xfrm>
                            <a:prstGeom prst="rect">
                              <a:avLst/>
                            </a:prstGeom>
                            <a:noFill/>
                            <a:ln>
                              <a:noFill/>
                            </a:ln>
                          </pic:spPr>
                        </pic:pic>
                      </a:graphicData>
                    </a:graphic>
                  </wp:inline>
                </w:drawing>
              </w:r>
            </w:del>
          </w:p>
        </w:tc>
      </w:tr>
      <w:tr w:rsidR="00011D2F" w14:paraId="607495BF" w14:textId="44FA3D41" w:rsidTr="00EC5013">
        <w:trPr>
          <w:del w:id="2744" w:author="AbbVie_HU_03" w:date="2025-05-14T15:27:00Z"/>
        </w:trPr>
        <w:tc>
          <w:tcPr>
            <w:tcW w:w="675" w:type="dxa"/>
          </w:tcPr>
          <w:p w14:paraId="08F60898" w14:textId="5BF138B1" w:rsidR="0059112B" w:rsidRPr="00183B5F" w:rsidRDefault="0059112B">
            <w:pPr>
              <w:pStyle w:val="EMEANormal"/>
              <w:rPr>
                <w:del w:id="2745" w:author="AbbVie_HU_03" w:date="2025-05-14T15:27:00Z"/>
                <w:szCs w:val="22"/>
                <w:lang w:val="hu-HU"/>
              </w:rPr>
            </w:pPr>
          </w:p>
        </w:tc>
        <w:tc>
          <w:tcPr>
            <w:tcW w:w="8806" w:type="dxa"/>
            <w:gridSpan w:val="5"/>
          </w:tcPr>
          <w:p w14:paraId="61B46431" w14:textId="60CA1E53" w:rsidR="0059112B" w:rsidRPr="00183B5F" w:rsidRDefault="00943743">
            <w:pPr>
              <w:pStyle w:val="EMEANormal"/>
              <w:jc w:val="center"/>
              <w:rPr>
                <w:del w:id="2746" w:author="AbbVie_HU_03" w:date="2025-05-14T15:27:00Z"/>
                <w:b/>
                <w:szCs w:val="22"/>
                <w:lang w:val="hu-HU"/>
              </w:rPr>
            </w:pPr>
            <w:del w:id="2747" w:author="AbbVie_HU_03" w:date="2025-05-14T15:27:00Z">
              <w:r w:rsidRPr="00183B5F">
                <w:rPr>
                  <w:b/>
                  <w:szCs w:val="22"/>
                  <w:lang w:val="hu-HU"/>
                </w:rPr>
                <w:delText>IDŐ (HÓNAP)</w:delText>
              </w:r>
            </w:del>
          </w:p>
        </w:tc>
      </w:tr>
      <w:tr w:rsidR="00011D2F" w14:paraId="58E6FA54" w14:textId="3B95AE12" w:rsidTr="00EC5013">
        <w:trPr>
          <w:del w:id="2748" w:author="AbbVie_HU_03" w:date="2025-05-14T15:27:00Z"/>
        </w:trPr>
        <w:tc>
          <w:tcPr>
            <w:tcW w:w="675" w:type="dxa"/>
          </w:tcPr>
          <w:p w14:paraId="73A1BA71" w14:textId="4F0CBE0E" w:rsidR="0059112B" w:rsidRPr="00183B5F" w:rsidRDefault="0059112B">
            <w:pPr>
              <w:pStyle w:val="EMEANormal"/>
              <w:rPr>
                <w:del w:id="2749" w:author="AbbVie_HU_03" w:date="2025-05-14T15:27:00Z"/>
                <w:szCs w:val="22"/>
                <w:lang w:val="hu-HU"/>
              </w:rPr>
            </w:pPr>
          </w:p>
        </w:tc>
        <w:tc>
          <w:tcPr>
            <w:tcW w:w="3496" w:type="dxa"/>
          </w:tcPr>
          <w:p w14:paraId="1E7A7D22" w14:textId="62AC0F73" w:rsidR="0059112B" w:rsidRPr="00183B5F" w:rsidRDefault="00943743">
            <w:pPr>
              <w:pStyle w:val="EMEANormal"/>
              <w:rPr>
                <w:del w:id="2750" w:author="AbbVie_HU_03" w:date="2025-05-14T15:27:00Z"/>
                <w:szCs w:val="22"/>
                <w:lang w:val="hu-HU"/>
              </w:rPr>
            </w:pPr>
            <w:del w:id="2751" w:author="AbbVie_HU_03" w:date="2025-05-14T15:27:00Z">
              <w:r w:rsidRPr="00183B5F">
                <w:rPr>
                  <w:szCs w:val="22"/>
                  <w:lang w:val="hu-HU"/>
                </w:rPr>
                <w:delText>UV I vizsgálat                  Kezelés</w:delText>
              </w:r>
            </w:del>
          </w:p>
        </w:tc>
        <w:tc>
          <w:tcPr>
            <w:tcW w:w="1170" w:type="dxa"/>
          </w:tcPr>
          <w:p w14:paraId="5C1F5366" w14:textId="5375440C" w:rsidR="0059112B" w:rsidRPr="00183B5F" w:rsidRDefault="00943743">
            <w:pPr>
              <w:pStyle w:val="EMEANormal"/>
              <w:jc w:val="right"/>
              <w:rPr>
                <w:del w:id="2752" w:author="AbbVie_HU_03" w:date="2025-05-14T15:27:00Z"/>
                <w:szCs w:val="22"/>
                <w:lang w:val="hu-HU"/>
              </w:rPr>
            </w:pPr>
            <w:del w:id="2753" w:author="AbbVie_HU_03" w:date="2025-05-14T15:27:00Z">
              <w:r w:rsidRPr="00202B95">
                <w:rPr>
                  <w:noProof/>
                  <w:lang w:val="en-GB"/>
                </w:rPr>
                <w:drawing>
                  <wp:inline distT="0" distB="0" distL="0" distR="0" wp14:anchorId="4D498976" wp14:editId="192B40E5">
                    <wp:extent cx="396875" cy="180975"/>
                    <wp:effectExtent l="0" t="0" r="3175" b="9525"/>
                    <wp:docPr id="26" name="Picture 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5"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96875" cy="180975"/>
                            </a:xfrm>
                            <a:prstGeom prst="rect">
                              <a:avLst/>
                            </a:prstGeom>
                            <a:noFill/>
                            <a:ln>
                              <a:noFill/>
                            </a:ln>
                          </pic:spPr>
                        </pic:pic>
                      </a:graphicData>
                    </a:graphic>
                  </wp:inline>
                </w:drawing>
              </w:r>
            </w:del>
          </w:p>
        </w:tc>
        <w:tc>
          <w:tcPr>
            <w:tcW w:w="1350" w:type="dxa"/>
          </w:tcPr>
          <w:p w14:paraId="38CF45EC" w14:textId="7667791F" w:rsidR="0059112B" w:rsidRPr="00183B5F" w:rsidRDefault="00943743">
            <w:pPr>
              <w:pStyle w:val="EMEANormal"/>
              <w:rPr>
                <w:del w:id="2754" w:author="AbbVie_HU_03" w:date="2025-05-14T15:27:00Z"/>
                <w:szCs w:val="22"/>
                <w:lang w:val="hu-HU"/>
              </w:rPr>
            </w:pPr>
            <w:del w:id="2755" w:author="AbbVie_HU_03" w:date="2025-05-14T15:27:00Z">
              <w:r w:rsidRPr="00183B5F">
                <w:rPr>
                  <w:szCs w:val="22"/>
                  <w:lang w:val="hu-HU"/>
                </w:rPr>
                <w:delText>Placebo</w:delText>
              </w:r>
            </w:del>
          </w:p>
        </w:tc>
        <w:tc>
          <w:tcPr>
            <w:tcW w:w="900" w:type="dxa"/>
          </w:tcPr>
          <w:p w14:paraId="02BA4EB9" w14:textId="3244582C" w:rsidR="0059112B" w:rsidRPr="00183B5F" w:rsidRDefault="00943743">
            <w:pPr>
              <w:pStyle w:val="EMEANormal"/>
              <w:jc w:val="right"/>
              <w:rPr>
                <w:del w:id="2756" w:author="AbbVie_HU_03" w:date="2025-05-14T15:27:00Z"/>
                <w:szCs w:val="22"/>
                <w:lang w:val="hu-HU"/>
              </w:rPr>
            </w:pPr>
            <w:del w:id="2757" w:author="AbbVie_HU_03" w:date="2025-05-14T15:27:00Z">
              <w:r w:rsidRPr="00202B95">
                <w:rPr>
                  <w:noProof/>
                  <w:lang w:val="en-GB"/>
                </w:rPr>
                <w:drawing>
                  <wp:inline distT="0" distB="0" distL="0" distR="0" wp14:anchorId="2B65608B" wp14:editId="6B3575AE">
                    <wp:extent cx="560705" cy="180975"/>
                    <wp:effectExtent l="0" t="0" r="0" b="9525"/>
                    <wp:docPr id="27" name="Picture 4"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4" descr="Humira Uveitis Figure 5_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60705" cy="180975"/>
                            </a:xfrm>
                            <a:prstGeom prst="rect">
                              <a:avLst/>
                            </a:prstGeom>
                            <a:noFill/>
                            <a:ln>
                              <a:noFill/>
                            </a:ln>
                          </pic:spPr>
                        </pic:pic>
                      </a:graphicData>
                    </a:graphic>
                  </wp:inline>
                </w:drawing>
              </w:r>
            </w:del>
          </w:p>
        </w:tc>
        <w:tc>
          <w:tcPr>
            <w:tcW w:w="1890" w:type="dxa"/>
          </w:tcPr>
          <w:p w14:paraId="406AB678" w14:textId="670B67B0" w:rsidR="0059112B" w:rsidRPr="00183B5F" w:rsidRDefault="00943743">
            <w:pPr>
              <w:pStyle w:val="EMEANormal"/>
              <w:rPr>
                <w:del w:id="2758" w:author="AbbVie_HU_03" w:date="2025-05-14T15:27:00Z"/>
                <w:szCs w:val="22"/>
                <w:lang w:val="hu-HU"/>
              </w:rPr>
            </w:pPr>
            <w:del w:id="2759" w:author="AbbVie_HU_03" w:date="2025-05-14T15:27:00Z">
              <w:r w:rsidRPr="00183B5F">
                <w:rPr>
                  <w:szCs w:val="22"/>
                  <w:lang w:val="hu-HU"/>
                </w:rPr>
                <w:delText>Adalimumab</w:delText>
              </w:r>
            </w:del>
          </w:p>
        </w:tc>
      </w:tr>
    </w:tbl>
    <w:p w14:paraId="301E461A" w14:textId="7843BEEE" w:rsidR="006F113E" w:rsidRPr="00183B5F" w:rsidRDefault="006F113E">
      <w:pPr>
        <w:pStyle w:val="EMEANormal"/>
        <w:rPr>
          <w:del w:id="2760" w:author="AbbVie_HU_03" w:date="2025-05-14T15:27:00Z"/>
          <w:szCs w:val="22"/>
          <w:lang w:val="hu-HU"/>
        </w:rPr>
      </w:pPr>
    </w:p>
    <w:tbl>
      <w:tblPr>
        <w:tblW w:w="9481" w:type="dxa"/>
        <w:tblLayout w:type="fixed"/>
        <w:tblLook w:val="04A0" w:firstRow="1" w:lastRow="0" w:firstColumn="1" w:lastColumn="0" w:noHBand="0" w:noVBand="1"/>
      </w:tblPr>
      <w:tblGrid>
        <w:gridCol w:w="675"/>
        <w:gridCol w:w="3496"/>
        <w:gridCol w:w="1170"/>
        <w:gridCol w:w="1350"/>
        <w:gridCol w:w="900"/>
        <w:gridCol w:w="1890"/>
      </w:tblGrid>
      <w:tr w:rsidR="00011D2F" w14:paraId="04844985" w14:textId="6D0A182B" w:rsidTr="00EC5013">
        <w:trPr>
          <w:trHeight w:val="3869"/>
          <w:del w:id="2761" w:author="AbbVie_HU_03" w:date="2025-05-14T15:27:00Z"/>
        </w:trPr>
        <w:tc>
          <w:tcPr>
            <w:tcW w:w="675" w:type="dxa"/>
            <w:textDirection w:val="btLr"/>
            <w:vAlign w:val="bottom"/>
          </w:tcPr>
          <w:p w14:paraId="14742844" w14:textId="6441C110" w:rsidR="00EC5013" w:rsidRPr="00183B5F" w:rsidRDefault="00943743">
            <w:pPr>
              <w:pStyle w:val="EMEANormal"/>
              <w:jc w:val="center"/>
              <w:rPr>
                <w:del w:id="2762" w:author="AbbVie_HU_03" w:date="2025-05-14T15:27:00Z"/>
                <w:szCs w:val="22"/>
                <w:lang w:val="hu-HU"/>
              </w:rPr>
            </w:pPr>
            <w:del w:id="2763" w:author="AbbVie_HU_03" w:date="2025-05-14T15:27:00Z">
              <w:r w:rsidRPr="00183B5F">
                <w:rPr>
                  <w:b/>
                  <w:szCs w:val="22"/>
                  <w:lang w:val="hu-HU"/>
                </w:rPr>
                <w:delText>KEZELÉS EREDMÉNYTELENSÉGÉNEK ARÁNYA (%)</w:delText>
              </w:r>
            </w:del>
          </w:p>
        </w:tc>
        <w:tc>
          <w:tcPr>
            <w:tcW w:w="8806" w:type="dxa"/>
            <w:gridSpan w:val="5"/>
            <w:vAlign w:val="bottom"/>
          </w:tcPr>
          <w:p w14:paraId="473983DB" w14:textId="2EB190BB" w:rsidR="00EC5013" w:rsidRPr="00183B5F" w:rsidRDefault="00943743">
            <w:pPr>
              <w:pStyle w:val="EMEANormal"/>
              <w:rPr>
                <w:del w:id="2764" w:author="AbbVie_HU_03" w:date="2025-05-14T15:27:00Z"/>
                <w:szCs w:val="22"/>
                <w:lang w:val="hu-HU"/>
              </w:rPr>
            </w:pPr>
            <w:del w:id="2765" w:author="AbbVie_HU_03" w:date="2025-05-14T15:27:00Z">
              <w:r w:rsidRPr="00202B95">
                <w:rPr>
                  <w:noProof/>
                  <w:lang w:val="en-GB"/>
                </w:rPr>
                <w:drawing>
                  <wp:inline distT="0" distB="0" distL="0" distR="0" wp14:anchorId="7CF09575" wp14:editId="34A2B672">
                    <wp:extent cx="5486400" cy="2179955"/>
                    <wp:effectExtent l="0" t="0" r="0" b="0"/>
                    <wp:docPr id="29" name="Picture 29"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3" descr="Humira Uveitis Figure 5_7"/>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486400" cy="2179955"/>
                            </a:xfrm>
                            <a:prstGeom prst="rect">
                              <a:avLst/>
                            </a:prstGeom>
                            <a:noFill/>
                            <a:ln>
                              <a:noFill/>
                            </a:ln>
                          </pic:spPr>
                        </pic:pic>
                      </a:graphicData>
                    </a:graphic>
                  </wp:inline>
                </w:drawing>
              </w:r>
            </w:del>
          </w:p>
        </w:tc>
      </w:tr>
      <w:tr w:rsidR="00011D2F" w14:paraId="7C05FADA" w14:textId="70FB6200" w:rsidTr="00EC5013">
        <w:trPr>
          <w:del w:id="2766" w:author="AbbVie_HU_03" w:date="2025-05-14T15:27:00Z"/>
        </w:trPr>
        <w:tc>
          <w:tcPr>
            <w:tcW w:w="675" w:type="dxa"/>
          </w:tcPr>
          <w:p w14:paraId="62052870" w14:textId="374E1957" w:rsidR="00EC5013" w:rsidRPr="00183B5F" w:rsidRDefault="00EC5013">
            <w:pPr>
              <w:pStyle w:val="EMEANormal"/>
              <w:rPr>
                <w:del w:id="2767" w:author="AbbVie_HU_03" w:date="2025-05-14T15:27:00Z"/>
                <w:szCs w:val="22"/>
                <w:lang w:val="hu-HU"/>
              </w:rPr>
            </w:pPr>
          </w:p>
        </w:tc>
        <w:tc>
          <w:tcPr>
            <w:tcW w:w="8806" w:type="dxa"/>
            <w:gridSpan w:val="5"/>
          </w:tcPr>
          <w:p w14:paraId="7AED4892" w14:textId="06010A78" w:rsidR="00EC5013" w:rsidRPr="00183B5F" w:rsidRDefault="00943743">
            <w:pPr>
              <w:pStyle w:val="EMEANormal"/>
              <w:jc w:val="center"/>
              <w:rPr>
                <w:del w:id="2768" w:author="AbbVie_HU_03" w:date="2025-05-14T15:27:00Z"/>
                <w:b/>
                <w:szCs w:val="22"/>
                <w:lang w:val="hu-HU"/>
              </w:rPr>
            </w:pPr>
            <w:del w:id="2769" w:author="AbbVie_HU_03" w:date="2025-05-14T15:27:00Z">
              <w:r w:rsidRPr="00183B5F">
                <w:rPr>
                  <w:b/>
                  <w:szCs w:val="22"/>
                  <w:lang w:val="hu-HU"/>
                </w:rPr>
                <w:delText>IDŐ (HÓNAP)</w:delText>
              </w:r>
            </w:del>
          </w:p>
        </w:tc>
      </w:tr>
      <w:tr w:rsidR="00011D2F" w14:paraId="5648CD35" w14:textId="16D4B66F" w:rsidTr="00EC5013">
        <w:trPr>
          <w:trHeight w:val="369"/>
          <w:del w:id="2770" w:author="AbbVie_HU_03" w:date="2025-05-14T15:27:00Z"/>
        </w:trPr>
        <w:tc>
          <w:tcPr>
            <w:tcW w:w="675" w:type="dxa"/>
          </w:tcPr>
          <w:p w14:paraId="0C757A1B" w14:textId="76EB93FB" w:rsidR="00EC5013" w:rsidRPr="00183B5F" w:rsidRDefault="00EC5013">
            <w:pPr>
              <w:pStyle w:val="EMEANormal"/>
              <w:rPr>
                <w:del w:id="2771" w:author="AbbVie_HU_03" w:date="2025-05-14T15:27:00Z"/>
                <w:szCs w:val="22"/>
                <w:lang w:val="hu-HU"/>
              </w:rPr>
            </w:pPr>
          </w:p>
        </w:tc>
        <w:tc>
          <w:tcPr>
            <w:tcW w:w="3496" w:type="dxa"/>
          </w:tcPr>
          <w:p w14:paraId="11DA097F" w14:textId="3060BDA8" w:rsidR="00EC5013" w:rsidRPr="00183B5F" w:rsidRDefault="00943743">
            <w:pPr>
              <w:pStyle w:val="EMEANormal"/>
              <w:rPr>
                <w:del w:id="2772" w:author="AbbVie_HU_03" w:date="2025-05-14T15:27:00Z"/>
                <w:szCs w:val="22"/>
                <w:lang w:val="hu-HU"/>
              </w:rPr>
            </w:pPr>
            <w:del w:id="2773" w:author="AbbVie_HU_03" w:date="2025-05-14T15:27:00Z">
              <w:r w:rsidRPr="00183B5F">
                <w:rPr>
                  <w:szCs w:val="22"/>
                  <w:lang w:val="hu-HU"/>
                </w:rPr>
                <w:delText>UV II vizsgálat                  Kezelés</w:delText>
              </w:r>
            </w:del>
          </w:p>
        </w:tc>
        <w:tc>
          <w:tcPr>
            <w:tcW w:w="1170" w:type="dxa"/>
          </w:tcPr>
          <w:p w14:paraId="74AAFCA3" w14:textId="398C6758" w:rsidR="00EC5013" w:rsidRPr="00183B5F" w:rsidRDefault="00943743">
            <w:pPr>
              <w:pStyle w:val="EMEANormal"/>
              <w:jc w:val="right"/>
              <w:rPr>
                <w:del w:id="2774" w:author="AbbVie_HU_03" w:date="2025-05-14T15:27:00Z"/>
                <w:szCs w:val="22"/>
                <w:lang w:val="hu-HU"/>
              </w:rPr>
            </w:pPr>
            <w:del w:id="2775" w:author="AbbVie_HU_03" w:date="2025-05-14T15:27:00Z">
              <w:r w:rsidRPr="00202B95">
                <w:rPr>
                  <w:noProof/>
                  <w:lang w:val="en-GB"/>
                </w:rPr>
                <w:drawing>
                  <wp:inline distT="0" distB="0" distL="0" distR="0" wp14:anchorId="613E0083" wp14:editId="22A69E46">
                    <wp:extent cx="396875" cy="180975"/>
                    <wp:effectExtent l="0" t="0" r="3175" b="9525"/>
                    <wp:docPr id="30" name="Picture 2"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96875" cy="180975"/>
                            </a:xfrm>
                            <a:prstGeom prst="rect">
                              <a:avLst/>
                            </a:prstGeom>
                            <a:noFill/>
                            <a:ln>
                              <a:noFill/>
                            </a:ln>
                          </pic:spPr>
                        </pic:pic>
                      </a:graphicData>
                    </a:graphic>
                  </wp:inline>
                </w:drawing>
              </w:r>
            </w:del>
          </w:p>
        </w:tc>
        <w:tc>
          <w:tcPr>
            <w:tcW w:w="1350" w:type="dxa"/>
          </w:tcPr>
          <w:p w14:paraId="5EAAFF8F" w14:textId="00A3C1DC" w:rsidR="00EC5013" w:rsidRPr="00183B5F" w:rsidRDefault="00943743">
            <w:pPr>
              <w:pStyle w:val="EMEANormal"/>
              <w:rPr>
                <w:del w:id="2776" w:author="AbbVie_HU_03" w:date="2025-05-14T15:27:00Z"/>
                <w:szCs w:val="22"/>
                <w:lang w:val="hu-HU"/>
              </w:rPr>
            </w:pPr>
            <w:del w:id="2777" w:author="AbbVie_HU_03" w:date="2025-05-14T15:27:00Z">
              <w:r w:rsidRPr="00183B5F">
                <w:rPr>
                  <w:szCs w:val="22"/>
                  <w:lang w:val="hu-HU"/>
                </w:rPr>
                <w:delText>Placebo</w:delText>
              </w:r>
            </w:del>
          </w:p>
        </w:tc>
        <w:tc>
          <w:tcPr>
            <w:tcW w:w="900" w:type="dxa"/>
          </w:tcPr>
          <w:p w14:paraId="611B0503" w14:textId="06C0D0BB" w:rsidR="00EC5013" w:rsidRPr="00183B5F" w:rsidRDefault="00943743">
            <w:pPr>
              <w:pStyle w:val="EMEANormal"/>
              <w:jc w:val="right"/>
              <w:rPr>
                <w:del w:id="2778" w:author="AbbVie_HU_03" w:date="2025-05-14T15:27:00Z"/>
                <w:szCs w:val="22"/>
                <w:lang w:val="hu-HU"/>
              </w:rPr>
            </w:pPr>
            <w:del w:id="2779" w:author="AbbVie_HU_03" w:date="2025-05-14T15:27:00Z">
              <w:r w:rsidRPr="00202B95">
                <w:rPr>
                  <w:noProof/>
                  <w:lang w:val="en-GB"/>
                </w:rPr>
                <w:drawing>
                  <wp:inline distT="0" distB="0" distL="0" distR="0" wp14:anchorId="6D12A07E" wp14:editId="7EA40365">
                    <wp:extent cx="560705" cy="180975"/>
                    <wp:effectExtent l="0" t="0" r="0" b="9525"/>
                    <wp:docPr id="60" name="Picture 60"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 descr="Humira Uveitis Figure 5_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60705" cy="180975"/>
                            </a:xfrm>
                            <a:prstGeom prst="rect">
                              <a:avLst/>
                            </a:prstGeom>
                            <a:noFill/>
                            <a:ln>
                              <a:noFill/>
                            </a:ln>
                          </pic:spPr>
                        </pic:pic>
                      </a:graphicData>
                    </a:graphic>
                  </wp:inline>
                </w:drawing>
              </w:r>
            </w:del>
          </w:p>
        </w:tc>
        <w:tc>
          <w:tcPr>
            <w:tcW w:w="1890" w:type="dxa"/>
          </w:tcPr>
          <w:p w14:paraId="649C2BCA" w14:textId="5D761A1D" w:rsidR="00EC5013" w:rsidRPr="00183B5F" w:rsidRDefault="00943743">
            <w:pPr>
              <w:pStyle w:val="EMEANormal"/>
              <w:rPr>
                <w:del w:id="2780" w:author="AbbVie_HU_03" w:date="2025-05-14T15:27:00Z"/>
                <w:szCs w:val="22"/>
                <w:lang w:val="hu-HU"/>
              </w:rPr>
            </w:pPr>
            <w:del w:id="2781" w:author="AbbVie_HU_03" w:date="2025-05-14T15:27:00Z">
              <w:r w:rsidRPr="00183B5F">
                <w:rPr>
                  <w:szCs w:val="22"/>
                  <w:lang w:val="hu-HU"/>
                </w:rPr>
                <w:delText>Adalimumab</w:delText>
              </w:r>
            </w:del>
          </w:p>
        </w:tc>
      </w:tr>
      <w:tr w:rsidR="00011D2F" w14:paraId="62CF2344" w14:textId="47007243" w:rsidTr="00EC5013">
        <w:trPr>
          <w:trHeight w:val="629"/>
          <w:del w:id="2782" w:author="AbbVie_HU_03" w:date="2025-05-14T15:27:00Z"/>
        </w:trPr>
        <w:tc>
          <w:tcPr>
            <w:tcW w:w="9481" w:type="dxa"/>
            <w:gridSpan w:val="6"/>
            <w:vAlign w:val="center"/>
          </w:tcPr>
          <w:p w14:paraId="41F54884" w14:textId="140E2BE7" w:rsidR="00EC5013" w:rsidRPr="00183B5F" w:rsidRDefault="00943743">
            <w:pPr>
              <w:pStyle w:val="EMEANormal"/>
              <w:rPr>
                <w:del w:id="2783" w:author="AbbVie_HU_03" w:date="2025-05-14T15:27:00Z"/>
                <w:szCs w:val="22"/>
                <w:lang w:val="hu-HU"/>
              </w:rPr>
            </w:pPr>
            <w:del w:id="2784" w:author="AbbVie_HU_03" w:date="2025-05-14T15:27:00Z">
              <w:r w:rsidRPr="00183B5F">
                <w:rPr>
                  <w:szCs w:val="22"/>
                  <w:lang w:val="hu-HU"/>
                </w:rPr>
                <w:delText xml:space="preserve">Megjegyzés: P# = Placebo (Esemény száma/Veszélyeztetett betegek száma); A# = HUMIRA (Esemény </w:delText>
              </w:r>
            </w:del>
          </w:p>
          <w:p w14:paraId="79EBB6C2" w14:textId="4B81A0BE" w:rsidR="00EC5013" w:rsidRPr="00183B5F" w:rsidRDefault="00943743">
            <w:pPr>
              <w:pStyle w:val="EMEANormal"/>
              <w:rPr>
                <w:del w:id="2785" w:author="AbbVie_HU_03" w:date="2025-05-14T15:27:00Z"/>
                <w:szCs w:val="22"/>
                <w:lang w:val="hu-HU"/>
              </w:rPr>
            </w:pPr>
            <w:del w:id="2786" w:author="AbbVie_HU_03" w:date="2025-05-14T15:27:00Z">
              <w:r w:rsidRPr="00183B5F">
                <w:rPr>
                  <w:szCs w:val="22"/>
                  <w:lang w:val="hu-HU"/>
                </w:rPr>
                <w:delText>száma/Veszélyeztetett betegek száma).</w:delText>
              </w:r>
            </w:del>
          </w:p>
        </w:tc>
      </w:tr>
    </w:tbl>
    <w:p w14:paraId="3F88CC08" w14:textId="772C5AFD" w:rsidR="00EC5013" w:rsidRPr="00183B5F" w:rsidRDefault="00EC5013">
      <w:pPr>
        <w:pStyle w:val="EMEANormal"/>
        <w:rPr>
          <w:del w:id="2787" w:author="AbbVie_HU_03" w:date="2025-05-14T15:27:00Z"/>
          <w:lang w:val="hu-HU"/>
        </w:rPr>
      </w:pPr>
    </w:p>
    <w:p w14:paraId="7E08310F" w14:textId="1305251F" w:rsidR="00EC5013" w:rsidRPr="00183B5F" w:rsidRDefault="00943743">
      <w:pPr>
        <w:pStyle w:val="EMEANormal"/>
        <w:rPr>
          <w:del w:id="2788" w:author="AbbVie_HU_03" w:date="2025-05-14T15:27:00Z"/>
          <w:lang w:val="hu-HU"/>
        </w:rPr>
      </w:pPr>
      <w:del w:id="2789" w:author="AbbVie_HU_03" w:date="2025-05-14T15:27:00Z">
        <w:r w:rsidRPr="00183B5F">
          <w:rPr>
            <w:lang w:val="hu-HU"/>
          </w:rPr>
          <w:delText>Az UV I vizsgálatban statisztikailag szignifikáns különbségeket figyeltek meg az adalimumab javára a placebóhoz képest a kezelés eredménytelenségének valamennyi komponensét tekintve. Az UV II vizsgálatban csak a látásélesség esetén figyeltek meg statisztikailag szignifikáns különbséget, de a többi komponens esetében is az adalimumab</w:delText>
        </w:r>
        <w:r w:rsidRPr="00183B5F">
          <w:rPr>
            <w:lang w:val="hu-HU"/>
          </w:rPr>
          <w:noBreakHyphen/>
          <w:delText>kezelés számszerű előnye igazolódott.</w:delText>
        </w:r>
      </w:del>
    </w:p>
    <w:p w14:paraId="1B4F0AB5" w14:textId="476DCA1D" w:rsidR="00201CF7" w:rsidRPr="00183B5F" w:rsidRDefault="00201CF7">
      <w:pPr>
        <w:pStyle w:val="EMEANormal"/>
        <w:rPr>
          <w:del w:id="2790" w:author="AbbVie_HU_03" w:date="2025-05-14T15:27:00Z"/>
          <w:lang w:val="hu-HU"/>
        </w:rPr>
      </w:pPr>
    </w:p>
    <w:p w14:paraId="425A77C7" w14:textId="32C70A92" w:rsidR="00F73409" w:rsidRPr="00183B5F" w:rsidRDefault="00943743" w:rsidP="00F73409">
      <w:pPr>
        <w:pStyle w:val="EMEANormal"/>
        <w:rPr>
          <w:del w:id="2791" w:author="AbbVie_HU_03" w:date="2025-05-14T15:27:00Z"/>
          <w:lang w:val="hu-HU"/>
        </w:rPr>
      </w:pPr>
      <w:del w:id="2792" w:author="AbbVie_HU_03" w:date="2025-05-14T15:27:00Z">
        <w:r w:rsidRPr="00183B5F">
          <w:rPr>
            <w:lang w:val="hu-HU"/>
          </w:rPr>
          <w:delText>Az UV I és UV II vizsgálat nem kontrollos, hosszú távú kiterjesztésében résztvevő 424 beteg közül 60 bizonyult vizsgálatra alkalmatlannak (például adminisztratív eltérések miatt, vagy mert a diabéteszes retinopathia másodlagos komplikációi alakultak ki náluk, szürkehályog</w:delText>
        </w:r>
        <w:r w:rsidRPr="00183B5F">
          <w:rPr>
            <w:lang w:val="hu-HU"/>
          </w:rPr>
          <w:noBreakHyphen/>
          <w:delText>műtét vagy vitrektómia következtében), és került kizárásra a hatásosság elsődleges elemzéséből. A 364 vizsgálatban maradó beteg közül 269 értékelésre alkalmas beteg (74%) érte el a 78 hetet a nyílt elrendezésű adalimumab</w:delText>
        </w:r>
        <w:r w:rsidR="006B34D6" w:rsidRPr="00183B5F">
          <w:rPr>
            <w:lang w:val="hu-HU"/>
          </w:rPr>
          <w:delText>-</w:delText>
        </w:r>
        <w:r w:rsidRPr="00183B5F">
          <w:rPr>
            <w:lang w:val="hu-HU"/>
          </w:rPr>
          <w:delText>kezelés során. A</w:delText>
        </w:r>
        <w:r w:rsidRPr="00183B5F">
          <w:rPr>
            <w:szCs w:val="22"/>
            <w:lang w:val="hu-HU"/>
          </w:rPr>
          <w:delText xml:space="preserve"> megfigyelt adatok elemzése alapján</w:delText>
        </w:r>
        <w:r w:rsidRPr="00183B5F">
          <w:rPr>
            <w:lang w:val="hu-HU"/>
          </w:rPr>
          <w:delText xml:space="preserve"> 216 beteg (80,3%) volt nyugalmi állapotban (aktív gyulladásos elváltozás nélkül, </w:delText>
        </w:r>
        <w:r w:rsidRPr="00183B5F">
          <w:rPr>
            <w:szCs w:val="22"/>
            <w:lang w:val="hu-HU"/>
          </w:rPr>
          <w:delText xml:space="preserve">elülső csarnoki sejtszint </w:delText>
        </w:r>
        <w:r w:rsidRPr="00183B5F">
          <w:rPr>
            <w:lang w:val="hu-HU"/>
          </w:rPr>
          <w:delText>≤ 0,5+</w:delText>
        </w:r>
        <w:r w:rsidRPr="00183B5F">
          <w:rPr>
            <w:szCs w:val="22"/>
            <w:lang w:val="hu-HU"/>
          </w:rPr>
          <w:delText xml:space="preserve">, üvegtesti homály mértéke </w:delText>
        </w:r>
        <w:r w:rsidRPr="00183B5F">
          <w:rPr>
            <w:lang w:val="hu-HU"/>
          </w:rPr>
          <w:delText>≤ 0,5+), napi folyamatos ≤ 7,5 mg szteroid dózis mellett, és 178 beteg (66,2%) szteroidkezelés nél</w:delText>
        </w:r>
        <w:r w:rsidRPr="00183B5F">
          <w:rPr>
            <w:lang w:val="hu-HU"/>
          </w:rPr>
          <w:delText xml:space="preserve">küli nyugalmi állapotban volt. </w:delText>
        </w:r>
        <w:r w:rsidRPr="00183B5F">
          <w:rPr>
            <w:szCs w:val="22"/>
            <w:lang w:val="hu-HU"/>
          </w:rPr>
          <w:delText xml:space="preserve">A legjobb korrigált látásélesség javult vagy változatlan maradt </w:delText>
        </w:r>
        <w:r w:rsidRPr="00183B5F">
          <w:rPr>
            <w:lang w:val="hu-HU"/>
          </w:rPr>
          <w:delText>(kevesebb mint 5 értéket romlott) a szemek 88,6%</w:delText>
        </w:r>
        <w:r w:rsidRPr="00183B5F">
          <w:rPr>
            <w:lang w:val="hu-HU"/>
          </w:rPr>
          <w:noBreakHyphen/>
          <w:delText>a esetében a 78. héten. A 78. hetet követően az adatok általában konzisztensek voltak ezekkel az eredményekkel, de a bevont betegek száma ez után az idő után csökkent. Összességében a vizsgálatot abbahagyó betegek 18%-a mellékhatások, 8%-a az adalimumab</w:delText>
        </w:r>
        <w:r w:rsidRPr="00183B5F">
          <w:rPr>
            <w:lang w:val="hu-HU"/>
          </w:rPr>
          <w:noBreakHyphen/>
          <w:delText>kezelésre adott elégtelen válasz miatt hagyta abba a kezelést.</w:delText>
        </w:r>
      </w:del>
    </w:p>
    <w:p w14:paraId="23B1E5B6" w14:textId="18ED431B" w:rsidR="00F73409" w:rsidRPr="00183B5F" w:rsidRDefault="00F73409">
      <w:pPr>
        <w:pStyle w:val="EMEANormal"/>
        <w:rPr>
          <w:del w:id="2793" w:author="AbbVie_HU_03" w:date="2025-05-14T15:27:00Z"/>
          <w:lang w:val="hu-HU"/>
        </w:rPr>
      </w:pPr>
    </w:p>
    <w:p w14:paraId="7AC6377A" w14:textId="28054C26" w:rsidR="00EC5013" w:rsidRPr="00183B5F" w:rsidRDefault="00943743">
      <w:pPr>
        <w:pStyle w:val="EMEANormal"/>
        <w:rPr>
          <w:del w:id="2794" w:author="AbbVie_HU_03" w:date="2025-05-14T15:27:00Z"/>
          <w:i/>
          <w:szCs w:val="22"/>
          <w:u w:val="single"/>
          <w:lang w:val="hu-HU"/>
        </w:rPr>
      </w:pPr>
      <w:del w:id="2795" w:author="AbbVie_HU_03" w:date="2025-05-14T15:27:00Z">
        <w:r w:rsidRPr="00183B5F">
          <w:rPr>
            <w:i/>
            <w:szCs w:val="22"/>
            <w:u w:val="single"/>
            <w:lang w:val="hu-HU"/>
          </w:rPr>
          <w:delText>Életminőség</w:delText>
        </w:r>
      </w:del>
    </w:p>
    <w:p w14:paraId="214B44A6" w14:textId="6E470E3E" w:rsidR="00EC5013" w:rsidRPr="00183B5F" w:rsidRDefault="00EC5013">
      <w:pPr>
        <w:pStyle w:val="EMEANormal"/>
        <w:rPr>
          <w:del w:id="2796" w:author="AbbVie_HU_03" w:date="2025-05-14T15:27:00Z"/>
          <w:i/>
          <w:szCs w:val="22"/>
          <w:u w:val="single"/>
          <w:lang w:val="hu-HU"/>
        </w:rPr>
      </w:pPr>
    </w:p>
    <w:p w14:paraId="5F955B8F" w14:textId="423D9014" w:rsidR="00EC5013" w:rsidRPr="00183B5F" w:rsidRDefault="00943743">
      <w:pPr>
        <w:pStyle w:val="EMEANormal"/>
        <w:rPr>
          <w:del w:id="2797" w:author="AbbVie_HU_03" w:date="2025-05-14T15:27:00Z"/>
          <w:lang w:val="hu-HU"/>
        </w:rPr>
      </w:pPr>
      <w:del w:id="2798" w:author="AbbVie_HU_03" w:date="2025-05-14T15:27:00Z">
        <w:r w:rsidRPr="00183B5F">
          <w:rPr>
            <w:lang w:val="hu-HU"/>
          </w:rPr>
          <w:delText>A betegek által jelentett, látásfunkcióval összefüggő kimenetelt mindkét vizsgálatban a NEI VFQ</w:delText>
        </w:r>
        <w:r w:rsidRPr="00183B5F">
          <w:rPr>
            <w:lang w:val="hu-HU"/>
          </w:rPr>
          <w:noBreakHyphen/>
          <w:delText xml:space="preserve">25 (National Eye Institute Vizuális Funkciós Kérdőíve) felhasználásával mérték fel. A Humira számszerű előnyt mutatott az alpontok többségében, és statisztikailag szignifikáns </w:delText>
        </w:r>
        <w:r w:rsidR="00396131" w:rsidRPr="00183B5F">
          <w:rPr>
            <w:lang w:val="hu-HU"/>
          </w:rPr>
          <w:delText xml:space="preserve">átlagos </w:delText>
        </w:r>
        <w:r w:rsidRPr="00183B5F">
          <w:rPr>
            <w:lang w:val="hu-HU"/>
          </w:rPr>
          <w:delText>különbség mutatkozott a megszokott látás, szemfájdalom, közellátás, mentális egészség és az összpontszámok átlaga tekintetében az UV I vizsgálatban</w:delText>
        </w:r>
        <w:r w:rsidR="00CA2474" w:rsidRPr="00183B5F">
          <w:rPr>
            <w:lang w:val="hu-HU"/>
          </w:rPr>
          <w:delText>,</w:delText>
        </w:r>
        <w:r w:rsidRPr="00183B5F">
          <w:rPr>
            <w:lang w:val="hu-HU"/>
          </w:rPr>
          <w:delText xml:space="preserve"> és</w:delText>
        </w:r>
        <w:r w:rsidR="00CA2474" w:rsidRPr="00183B5F">
          <w:rPr>
            <w:lang w:val="hu-HU"/>
          </w:rPr>
          <w:delText xml:space="preserve"> a</w:delText>
        </w:r>
        <w:r w:rsidRPr="00183B5F">
          <w:rPr>
            <w:lang w:val="hu-HU"/>
          </w:rPr>
          <w:delText xml:space="preserve"> megszokott látás és mentális egészség vonatkozásában az UV II vizsgálatban. A látással összefüggő hatások közül nem mutatott számszerű előnyt a Humira a színlátás vonatkozás</w:delText>
        </w:r>
        <w:r w:rsidRPr="00183B5F">
          <w:rPr>
            <w:lang w:val="hu-HU"/>
          </w:rPr>
          <w:delText>ában az UV I vizsgálatban és a színlátás, a perifériás látás és a közellátás vonatkozásában az UV II vizsgálatban.</w:delText>
        </w:r>
      </w:del>
    </w:p>
    <w:p w14:paraId="7FE6732F" w14:textId="4ECD1519" w:rsidR="00AE2E56" w:rsidRPr="00183B5F" w:rsidRDefault="00AE2E56">
      <w:pPr>
        <w:pStyle w:val="EMEANormal"/>
        <w:rPr>
          <w:del w:id="2799" w:author="AbbVie_HU_03" w:date="2025-05-14T15:27:00Z"/>
          <w:i/>
          <w:szCs w:val="22"/>
          <w:u w:val="single"/>
          <w:lang w:val="hu-HU"/>
        </w:rPr>
      </w:pPr>
    </w:p>
    <w:p w14:paraId="46DDC40A" w14:textId="5AF75144" w:rsidR="00FB6710" w:rsidRPr="00183B5F" w:rsidRDefault="00943743" w:rsidP="004062FE">
      <w:pPr>
        <w:keepNext/>
        <w:spacing w:line="240" w:lineRule="auto"/>
        <w:rPr>
          <w:del w:id="2800" w:author="AbbVie_HU_03" w:date="2025-05-14T15:27:00Z"/>
          <w:szCs w:val="22"/>
          <w:u w:val="single"/>
        </w:rPr>
      </w:pPr>
      <w:del w:id="2801" w:author="AbbVie_HU_03" w:date="2025-05-14T15:27:00Z">
        <w:r w:rsidRPr="00183B5F">
          <w:rPr>
            <w:szCs w:val="22"/>
            <w:u w:val="single"/>
          </w:rPr>
          <w:delText>Immunogenitás</w:delText>
        </w:r>
      </w:del>
    </w:p>
    <w:p w14:paraId="44B6981D" w14:textId="5CF57AFD" w:rsidR="00263786" w:rsidRPr="00183B5F" w:rsidRDefault="00263786" w:rsidP="004062FE">
      <w:pPr>
        <w:keepNext/>
        <w:spacing w:line="240" w:lineRule="auto"/>
        <w:rPr>
          <w:del w:id="2802" w:author="AbbVie_HU_03" w:date="2025-05-14T15:27:00Z"/>
          <w:szCs w:val="22"/>
          <w:u w:val="single"/>
        </w:rPr>
      </w:pPr>
    </w:p>
    <w:p w14:paraId="2BF65A44" w14:textId="464C858B" w:rsidR="00FB6710" w:rsidRPr="00183B5F" w:rsidRDefault="00943743" w:rsidP="004062FE">
      <w:pPr>
        <w:keepNext/>
        <w:spacing w:line="240" w:lineRule="auto"/>
        <w:rPr>
          <w:del w:id="2803" w:author="AbbVie_HU_03" w:date="2025-05-14T15:27:00Z"/>
          <w:szCs w:val="22"/>
        </w:rPr>
      </w:pPr>
      <w:del w:id="2804" w:author="AbbVie_HU_03" w:date="2025-05-14T15:27:00Z">
        <w:r w:rsidRPr="00183B5F">
          <w:rPr>
            <w:szCs w:val="22"/>
          </w:rPr>
          <w:delText>Adalimumab</w:delText>
        </w:r>
        <w:r w:rsidR="00022AEF" w:rsidRPr="00183B5F">
          <w:rPr>
            <w:szCs w:val="22"/>
          </w:rPr>
          <w:noBreakHyphen/>
        </w:r>
        <w:r w:rsidRPr="00183B5F">
          <w:rPr>
            <w:szCs w:val="22"/>
          </w:rPr>
          <w:delText>ellenes antiestek képződése az adalimumab clearance-ének növekedésével és a ha</w:delText>
        </w:r>
        <w:r w:rsidR="009E121E" w:rsidRPr="00183B5F">
          <w:rPr>
            <w:szCs w:val="22"/>
          </w:rPr>
          <w:delText>tásosságának</w:delText>
        </w:r>
        <w:r w:rsidRPr="00183B5F">
          <w:rPr>
            <w:szCs w:val="22"/>
          </w:rPr>
          <w:delText xml:space="preserve"> csökkenésével jár. Az adalimumab</w:delText>
        </w:r>
        <w:r w:rsidR="00E5381A" w:rsidRPr="00183B5F">
          <w:rPr>
            <w:szCs w:val="22"/>
          </w:rPr>
          <w:noBreakHyphen/>
        </w:r>
        <w:r w:rsidRPr="00183B5F">
          <w:rPr>
            <w:szCs w:val="22"/>
          </w:rPr>
          <w:delText>ellenes antitestek jelenléte és a mellékhatások előfordulása között nincs nyilvánvaló összefüggés.</w:delText>
        </w:r>
      </w:del>
    </w:p>
    <w:p w14:paraId="24F1B25B" w14:textId="00ABF96C" w:rsidR="00FB6710" w:rsidRPr="00183B5F" w:rsidRDefault="00FB6710" w:rsidP="004062FE">
      <w:pPr>
        <w:keepNext/>
        <w:spacing w:line="240" w:lineRule="auto"/>
        <w:rPr>
          <w:del w:id="2805" w:author="AbbVie_HU_03" w:date="2025-05-14T15:27:00Z"/>
          <w:szCs w:val="22"/>
        </w:rPr>
      </w:pPr>
    </w:p>
    <w:p w14:paraId="675403C1" w14:textId="4813B2B3" w:rsidR="00FB6710" w:rsidRPr="00183B5F" w:rsidRDefault="00943743" w:rsidP="004062FE">
      <w:pPr>
        <w:spacing w:line="240" w:lineRule="auto"/>
        <w:rPr>
          <w:del w:id="2806" w:author="AbbVie_HU_03" w:date="2025-05-14T15:27:00Z"/>
          <w:szCs w:val="22"/>
        </w:rPr>
      </w:pPr>
      <w:del w:id="2807" w:author="AbbVie_HU_03" w:date="2025-05-14T15:27:00Z">
        <w:r w:rsidRPr="00183B5F">
          <w:rPr>
            <w:szCs w:val="22"/>
          </w:rPr>
          <w:delText>Polyarticularis juvenilis idiopathiás arthritis</w:delText>
        </w:r>
        <w:r w:rsidR="0001781F" w:rsidRPr="00183B5F">
          <w:rPr>
            <w:szCs w:val="22"/>
          </w:rPr>
          <w:delText>ben szenvedő</w:delText>
        </w:r>
        <w:r w:rsidR="005D7645" w:rsidRPr="00183B5F">
          <w:rPr>
            <w:szCs w:val="22"/>
          </w:rPr>
          <w:delText>,</w:delText>
        </w:r>
        <w:r w:rsidR="0001781F" w:rsidRPr="00183B5F">
          <w:rPr>
            <w:szCs w:val="22"/>
          </w:rPr>
          <w:delText xml:space="preserve"> 4</w:delText>
        </w:r>
        <w:r w:rsidR="0001781F" w:rsidRPr="00183B5F">
          <w:rPr>
            <w:szCs w:val="22"/>
          </w:rPr>
          <w:noBreakHyphen/>
          <w:delText>17 év</w:delText>
        </w:r>
        <w:r w:rsidRPr="00183B5F">
          <w:rPr>
            <w:szCs w:val="22"/>
          </w:rPr>
          <w:delText xml:space="preserve">es, adalimumabbal kezelt betegek körében </w:delText>
        </w:r>
        <w:r w:rsidR="0001781F" w:rsidRPr="00183B5F">
          <w:rPr>
            <w:szCs w:val="22"/>
          </w:rPr>
          <w:delText>15,8%</w:delText>
        </w:r>
        <w:r w:rsidR="0001781F" w:rsidRPr="00183B5F">
          <w:rPr>
            <w:szCs w:val="22"/>
          </w:rPr>
          <w:noBreakHyphen/>
        </w:r>
        <w:r w:rsidR="00396131" w:rsidRPr="00183B5F">
          <w:rPr>
            <w:szCs w:val="22"/>
          </w:rPr>
          <w:delText>nál</w:delText>
        </w:r>
        <w:r w:rsidR="0001781F" w:rsidRPr="00183B5F">
          <w:rPr>
            <w:szCs w:val="22"/>
          </w:rPr>
          <w:delText xml:space="preserve"> (27/</w:delText>
        </w:r>
        <w:r w:rsidRPr="00183B5F">
          <w:rPr>
            <w:szCs w:val="22"/>
          </w:rPr>
          <w:delText>171</w:delText>
        </w:r>
        <w:r w:rsidR="0001781F" w:rsidRPr="00183B5F">
          <w:rPr>
            <w:szCs w:val="22"/>
          </w:rPr>
          <w:delText>)</w:delText>
        </w:r>
        <w:r w:rsidRPr="00183B5F">
          <w:rPr>
            <w:szCs w:val="22"/>
          </w:rPr>
          <w:delText xml:space="preserve"> mutattak ki adalimumab</w:delText>
        </w:r>
        <w:r w:rsidR="00E5381A" w:rsidRPr="00183B5F">
          <w:rPr>
            <w:szCs w:val="22"/>
          </w:rPr>
          <w:noBreakHyphen/>
        </w:r>
        <w:r w:rsidR="009E121E" w:rsidRPr="00183B5F">
          <w:rPr>
            <w:szCs w:val="22"/>
          </w:rPr>
          <w:delText>ellenes</w:delText>
        </w:r>
        <w:r w:rsidRPr="00183B5F">
          <w:rPr>
            <w:szCs w:val="22"/>
          </w:rPr>
          <w:delText xml:space="preserve"> antitesteket. Az</w:delText>
        </w:r>
        <w:r w:rsidR="007F2B04" w:rsidRPr="00183B5F">
          <w:rPr>
            <w:szCs w:val="22"/>
          </w:rPr>
          <w:delText>oknál a</w:delText>
        </w:r>
        <w:r w:rsidRPr="00183B5F">
          <w:rPr>
            <w:szCs w:val="22"/>
          </w:rPr>
          <w:delText xml:space="preserve"> betegeknél</w:delText>
        </w:r>
        <w:r w:rsidR="007F2B04" w:rsidRPr="00183B5F">
          <w:rPr>
            <w:szCs w:val="22"/>
          </w:rPr>
          <w:delText xml:space="preserve">, akik nem kaptak egyidejűleg metotrexátot, </w:delText>
        </w:r>
        <w:r w:rsidRPr="00183B5F">
          <w:rPr>
            <w:szCs w:val="22"/>
          </w:rPr>
          <w:delText xml:space="preserve">az incidencia </w:delText>
        </w:r>
        <w:r w:rsidR="0001781F" w:rsidRPr="00183B5F">
          <w:rPr>
            <w:szCs w:val="22"/>
          </w:rPr>
          <w:delText>25,6% (</w:delText>
        </w:r>
        <w:r w:rsidRPr="00183B5F">
          <w:rPr>
            <w:szCs w:val="22"/>
          </w:rPr>
          <w:delText>22/86</w:delText>
        </w:r>
        <w:r w:rsidR="0001781F" w:rsidRPr="00183B5F">
          <w:rPr>
            <w:szCs w:val="22"/>
          </w:rPr>
          <w:delText>)</w:delText>
        </w:r>
        <w:r w:rsidRPr="00183B5F">
          <w:rPr>
            <w:szCs w:val="22"/>
          </w:rPr>
          <w:delText xml:space="preserve"> volt, szemben az </w:delText>
        </w:r>
        <w:r w:rsidR="0001781F" w:rsidRPr="00183B5F">
          <w:rPr>
            <w:szCs w:val="22"/>
          </w:rPr>
          <w:delText>5,9%</w:delText>
        </w:r>
        <w:r w:rsidR="0001781F" w:rsidRPr="00183B5F">
          <w:rPr>
            <w:szCs w:val="22"/>
          </w:rPr>
          <w:noBreakHyphen/>
          <w:delText>kal (</w:delText>
        </w:r>
        <w:r w:rsidRPr="00183B5F">
          <w:rPr>
            <w:szCs w:val="22"/>
          </w:rPr>
          <w:delText>5/85</w:delText>
        </w:r>
        <w:r w:rsidR="0001781F" w:rsidRPr="00183B5F">
          <w:rPr>
            <w:szCs w:val="22"/>
          </w:rPr>
          <w:delText>)</w:delText>
        </w:r>
        <w:r w:rsidRPr="00183B5F">
          <w:rPr>
            <w:szCs w:val="22"/>
          </w:rPr>
          <w:delText>, amikor az adalimumabot a metotrexát-kezelés mellett alkalmazták.</w:delText>
        </w:r>
        <w:r w:rsidR="00AD5CEA" w:rsidRPr="00183B5F">
          <w:rPr>
            <w:szCs w:val="22"/>
          </w:rPr>
          <w:delText xml:space="preserve"> Polyarticularis juvenilis idiopathiás arthritisben szenvedő</w:delText>
        </w:r>
        <w:r w:rsidR="00902FFB" w:rsidRPr="00183B5F">
          <w:rPr>
            <w:szCs w:val="22"/>
          </w:rPr>
          <w:delText>,</w:delText>
        </w:r>
        <w:r w:rsidR="00AD5CEA" w:rsidRPr="00183B5F">
          <w:rPr>
            <w:szCs w:val="22"/>
          </w:rPr>
          <w:delText xml:space="preserve"> 2 </w:delText>
        </w:r>
        <w:r w:rsidR="00AD5CEA" w:rsidRPr="00183B5F">
          <w:rPr>
            <w:szCs w:val="22"/>
          </w:rPr>
          <w:noBreakHyphen/>
          <w:delText> &lt;4 év közötti vagy 4 év</w:delText>
        </w:r>
        <w:r w:rsidR="00902FFB" w:rsidRPr="00183B5F">
          <w:rPr>
            <w:szCs w:val="22"/>
          </w:rPr>
          <w:delText>es</w:delText>
        </w:r>
        <w:r w:rsidR="00AD5CEA" w:rsidRPr="00183B5F">
          <w:rPr>
            <w:szCs w:val="22"/>
          </w:rPr>
          <w:delText xml:space="preserve"> és a</w:delText>
        </w:r>
        <w:r w:rsidR="002C1F5C" w:rsidRPr="00183B5F">
          <w:rPr>
            <w:szCs w:val="22"/>
          </w:rPr>
          <w:delText xml:space="preserve"> </w:delText>
        </w:r>
        <w:r w:rsidR="00AD5CEA" w:rsidRPr="00183B5F">
          <w:rPr>
            <w:szCs w:val="22"/>
          </w:rPr>
          <w:delText>feletti, 15 kg alatti betegek 7%</w:delText>
        </w:r>
        <w:r w:rsidR="00AD5CEA" w:rsidRPr="00183B5F">
          <w:rPr>
            <w:szCs w:val="22"/>
          </w:rPr>
          <w:noBreakHyphen/>
          <w:delText>á</w:delText>
        </w:r>
        <w:r w:rsidR="00F75338" w:rsidRPr="00183B5F">
          <w:rPr>
            <w:szCs w:val="22"/>
          </w:rPr>
          <w:delText>nál</w:delText>
        </w:r>
        <w:r w:rsidR="00AD5CEA" w:rsidRPr="00183B5F">
          <w:rPr>
            <w:szCs w:val="22"/>
          </w:rPr>
          <w:delText xml:space="preserve"> (1/15) mutattak ki adalimumab</w:delText>
        </w:r>
        <w:r w:rsidR="00022AEF" w:rsidRPr="00183B5F">
          <w:rPr>
            <w:szCs w:val="22"/>
          </w:rPr>
          <w:noBreakHyphen/>
        </w:r>
        <w:r w:rsidR="00AD5CEA" w:rsidRPr="00183B5F">
          <w:rPr>
            <w:szCs w:val="22"/>
          </w:rPr>
          <w:delText>ellenes antitesteket</w:delText>
        </w:r>
        <w:r w:rsidR="00902FFB" w:rsidRPr="00183B5F">
          <w:rPr>
            <w:szCs w:val="22"/>
          </w:rPr>
          <w:delText>,</w:delText>
        </w:r>
        <w:r w:rsidR="00AD5CEA" w:rsidRPr="00183B5F">
          <w:rPr>
            <w:szCs w:val="22"/>
          </w:rPr>
          <w:delText xml:space="preserve"> és egy beteg részesült egyidejű metotrexát-</w:delText>
        </w:r>
        <w:r w:rsidR="00902FFB" w:rsidRPr="00183B5F">
          <w:rPr>
            <w:szCs w:val="22"/>
          </w:rPr>
          <w:delText>kezelésben</w:delText>
        </w:r>
        <w:r w:rsidR="00AD5CEA" w:rsidRPr="00183B5F">
          <w:rPr>
            <w:szCs w:val="22"/>
          </w:rPr>
          <w:delText>.</w:delText>
        </w:r>
      </w:del>
    </w:p>
    <w:p w14:paraId="1D20F3E2" w14:textId="36BB5B70" w:rsidR="00FB6710" w:rsidRPr="00183B5F" w:rsidRDefault="00FB6710" w:rsidP="004062FE">
      <w:pPr>
        <w:spacing w:line="240" w:lineRule="auto"/>
        <w:rPr>
          <w:del w:id="2808" w:author="AbbVie_HU_03" w:date="2025-05-14T15:27:00Z"/>
          <w:szCs w:val="22"/>
        </w:rPr>
      </w:pPr>
    </w:p>
    <w:p w14:paraId="1438E6BE" w14:textId="7E954812" w:rsidR="007F2B04" w:rsidRPr="00183B5F" w:rsidRDefault="00943743" w:rsidP="004062FE">
      <w:pPr>
        <w:spacing w:line="240" w:lineRule="auto"/>
        <w:rPr>
          <w:del w:id="2809" w:author="AbbVie_HU_03" w:date="2025-05-14T15:27:00Z"/>
          <w:szCs w:val="22"/>
        </w:rPr>
      </w:pPr>
      <w:del w:id="2810" w:author="AbbVie_HU_03" w:date="2025-05-14T15:27:00Z">
        <w:r w:rsidRPr="00183B5F">
          <w:rPr>
            <w:szCs w:val="22"/>
          </w:rPr>
          <w:delText>Enthesitis-asszociált arthritisben szenvedő</w:delText>
        </w:r>
        <w:r w:rsidR="00396131" w:rsidRPr="00183B5F">
          <w:rPr>
            <w:szCs w:val="22"/>
          </w:rPr>
          <w:delText>, adalimumabbal kezelt</w:delText>
        </w:r>
        <w:r w:rsidRPr="00183B5F">
          <w:rPr>
            <w:szCs w:val="22"/>
          </w:rPr>
          <w:delText xml:space="preserve"> betegek 10,9%</w:delText>
        </w:r>
        <w:r w:rsidRPr="00183B5F">
          <w:rPr>
            <w:szCs w:val="22"/>
          </w:rPr>
          <w:noBreakHyphen/>
        </w:r>
        <w:r w:rsidR="00F54FD1" w:rsidRPr="00183B5F">
          <w:rPr>
            <w:szCs w:val="22"/>
          </w:rPr>
          <w:delText>ánál</w:delText>
        </w:r>
        <w:r w:rsidRPr="00183B5F">
          <w:rPr>
            <w:szCs w:val="22"/>
          </w:rPr>
          <w:delText xml:space="preserve"> (5/46) azonosítottak adalimumab</w:delText>
        </w:r>
        <w:r w:rsidRPr="00183B5F">
          <w:rPr>
            <w:szCs w:val="22"/>
          </w:rPr>
          <w:noBreakHyphen/>
        </w:r>
        <w:r w:rsidRPr="00183B5F">
          <w:rPr>
            <w:szCs w:val="22"/>
          </w:rPr>
          <w:delText>ellenes antitesteket. Azoknál a betegeknél, akik nem kaptak egyidejűleg metotrexátot, az incidencia 13,6% (3/22) volt, szemben a 8,3%</w:delText>
        </w:r>
        <w:r w:rsidRPr="00183B5F">
          <w:rPr>
            <w:szCs w:val="22"/>
          </w:rPr>
          <w:noBreakHyphen/>
          <w:delText>kal (2/24), amikor az adalimumabot a metotrexát</w:delText>
        </w:r>
        <w:r w:rsidR="00F54FD1" w:rsidRPr="00183B5F">
          <w:rPr>
            <w:szCs w:val="22"/>
          </w:rPr>
          <w:noBreakHyphen/>
        </w:r>
        <w:r w:rsidRPr="00183B5F">
          <w:rPr>
            <w:szCs w:val="22"/>
          </w:rPr>
          <w:delText>kezelés mellett alkalmazták.</w:delText>
        </w:r>
      </w:del>
    </w:p>
    <w:p w14:paraId="65F8BEFE" w14:textId="3FFADB44" w:rsidR="007F2B04" w:rsidRPr="00183B5F" w:rsidRDefault="007F2B04" w:rsidP="004062FE">
      <w:pPr>
        <w:spacing w:line="240" w:lineRule="auto"/>
        <w:rPr>
          <w:del w:id="2811" w:author="AbbVie_HU_03" w:date="2025-05-14T15:27:00Z"/>
          <w:szCs w:val="22"/>
        </w:rPr>
      </w:pPr>
    </w:p>
    <w:p w14:paraId="12C40A6A" w14:textId="628E1492" w:rsidR="00BA6A42" w:rsidRPr="00183B5F" w:rsidRDefault="00943743" w:rsidP="004062FE">
      <w:pPr>
        <w:spacing w:line="240" w:lineRule="auto"/>
        <w:rPr>
          <w:del w:id="2812" w:author="AbbVie_HU_03" w:date="2025-05-14T15:27:00Z"/>
          <w:szCs w:val="22"/>
        </w:rPr>
      </w:pPr>
      <w:del w:id="2813" w:author="AbbVie_HU_03" w:date="2025-05-14T15:27:00Z">
        <w:r w:rsidRPr="00183B5F">
          <w:rPr>
            <w:szCs w:val="22"/>
          </w:rPr>
          <w:delText>A</w:delText>
        </w:r>
        <w:r w:rsidR="00855880" w:rsidRPr="00183B5F">
          <w:rPr>
            <w:szCs w:val="22"/>
          </w:rPr>
          <w:delText xml:space="preserve"> reumatoid arthritis</w:delText>
        </w:r>
        <w:r w:rsidR="00330A18" w:rsidRPr="00183B5F">
          <w:rPr>
            <w:szCs w:val="22"/>
          </w:rPr>
          <w:delText> </w:delText>
        </w:r>
        <w:r w:rsidRPr="00183B5F">
          <w:rPr>
            <w:szCs w:val="22"/>
          </w:rPr>
          <w:delText>I,</w:delText>
        </w:r>
        <w:r w:rsidR="00330A18" w:rsidRPr="00183B5F">
          <w:rPr>
            <w:szCs w:val="22"/>
          </w:rPr>
          <w:delText> </w:delText>
        </w:r>
        <w:r w:rsidRPr="00183B5F">
          <w:rPr>
            <w:szCs w:val="22"/>
          </w:rPr>
          <w:delText>II és</w:delText>
        </w:r>
        <w:r w:rsidR="00330A18" w:rsidRPr="00183B5F">
          <w:rPr>
            <w:szCs w:val="22"/>
          </w:rPr>
          <w:delText> </w:delText>
        </w:r>
        <w:r w:rsidRPr="00183B5F">
          <w:rPr>
            <w:szCs w:val="22"/>
          </w:rPr>
          <w:delText>III vizsgálatban a betegeknél több időpontban vizsgálták az adalimumab</w:delText>
        </w:r>
        <w:r w:rsidR="00F54FD1" w:rsidRPr="00183B5F">
          <w:rPr>
            <w:szCs w:val="22"/>
          </w:rPr>
          <w:noBreakHyphen/>
        </w:r>
        <w:r w:rsidR="00F91CBD" w:rsidRPr="00183B5F">
          <w:rPr>
            <w:szCs w:val="22"/>
          </w:rPr>
          <w:delText>ellenes antitestek</w:delText>
        </w:r>
        <w:r w:rsidRPr="00183B5F">
          <w:rPr>
            <w:szCs w:val="22"/>
          </w:rPr>
          <w:delText xml:space="preserve"> jelenlétét a 6</w:delText>
        </w:r>
        <w:r w:rsidR="00154EFB" w:rsidRPr="00183B5F">
          <w:rPr>
            <w:szCs w:val="22"/>
          </w:rPr>
          <w:delText> </w:delText>
        </w:r>
        <w:r w:rsidRPr="00183B5F">
          <w:rPr>
            <w:szCs w:val="22"/>
          </w:rPr>
          <w:delText>–</w:delText>
        </w:r>
        <w:r w:rsidR="00154EFB" w:rsidRPr="00183B5F">
          <w:rPr>
            <w:szCs w:val="22"/>
          </w:rPr>
          <w:delText> </w:delText>
        </w:r>
        <w:r w:rsidRPr="00183B5F">
          <w:rPr>
            <w:szCs w:val="22"/>
          </w:rPr>
          <w:delText>12</w:delText>
        </w:r>
        <w:r w:rsidR="00154EFB" w:rsidRPr="00183B5F">
          <w:rPr>
            <w:szCs w:val="22"/>
          </w:rPr>
          <w:delText> </w:delText>
        </w:r>
        <w:r w:rsidRPr="00183B5F">
          <w:rPr>
            <w:szCs w:val="22"/>
          </w:rPr>
          <w:delText>hónapos időszak folyamán.</w:delText>
        </w:r>
        <w:r w:rsidR="00984EBD" w:rsidRPr="00183B5F">
          <w:rPr>
            <w:szCs w:val="22"/>
          </w:rPr>
          <w:delText xml:space="preserve"> A pivotális vizsgálatokban </w:delText>
        </w:r>
        <w:r w:rsidR="00D648D8" w:rsidRPr="00183B5F">
          <w:rPr>
            <w:szCs w:val="22"/>
          </w:rPr>
          <w:delText>adalimumab</w:delText>
        </w:r>
        <w:r w:rsidR="005D44EE" w:rsidRPr="00183B5F">
          <w:rPr>
            <w:szCs w:val="22"/>
          </w:rPr>
          <w:noBreakHyphen/>
        </w:r>
        <w:r w:rsidR="00F91CBD" w:rsidRPr="00183B5F">
          <w:rPr>
            <w:szCs w:val="22"/>
          </w:rPr>
          <w:delText>ellenes</w:delText>
        </w:r>
        <w:r w:rsidR="00D648D8" w:rsidRPr="00183B5F">
          <w:rPr>
            <w:szCs w:val="22"/>
          </w:rPr>
          <w:delText xml:space="preserve"> antitesteket </w:delText>
        </w:r>
        <w:r w:rsidR="00396131" w:rsidRPr="00183B5F">
          <w:rPr>
            <w:szCs w:val="22"/>
          </w:rPr>
          <w:delText xml:space="preserve">az adalimumabbal kezelt betegek </w:delText>
        </w:r>
        <w:r w:rsidR="00822452" w:rsidRPr="00183B5F">
          <w:rPr>
            <w:szCs w:val="22"/>
          </w:rPr>
          <w:delText>5,5%</w:delText>
        </w:r>
        <w:r w:rsidR="00822452" w:rsidRPr="00183B5F">
          <w:rPr>
            <w:szCs w:val="22"/>
          </w:rPr>
          <w:noBreakHyphen/>
          <w:delText>ban (58/</w:delText>
        </w:r>
        <w:r w:rsidR="00984EBD" w:rsidRPr="00183B5F">
          <w:rPr>
            <w:szCs w:val="22"/>
          </w:rPr>
          <w:delText>1053</w:delText>
        </w:r>
        <w:r w:rsidR="00822452" w:rsidRPr="00183B5F">
          <w:rPr>
            <w:szCs w:val="22"/>
          </w:rPr>
          <w:delText>)</w:delText>
        </w:r>
        <w:r w:rsidR="00984EBD" w:rsidRPr="00183B5F">
          <w:rPr>
            <w:szCs w:val="22"/>
          </w:rPr>
          <w:delText xml:space="preserve"> észleltek, szemben a placeb</w:delText>
        </w:r>
        <w:r w:rsidR="005D44EE" w:rsidRPr="00183B5F">
          <w:rPr>
            <w:szCs w:val="22"/>
          </w:rPr>
          <w:delText>o</w:delText>
        </w:r>
        <w:r w:rsidR="00F91CBD" w:rsidRPr="00183B5F">
          <w:rPr>
            <w:szCs w:val="22"/>
          </w:rPr>
          <w:delText>csoportban</w:delText>
        </w:r>
        <w:r w:rsidR="00984EBD" w:rsidRPr="00183B5F">
          <w:rPr>
            <w:szCs w:val="22"/>
          </w:rPr>
          <w:delText xml:space="preserve"> </w:delText>
        </w:r>
        <w:r w:rsidR="00F91CBD" w:rsidRPr="00183B5F">
          <w:rPr>
            <w:szCs w:val="22"/>
          </w:rPr>
          <w:delText>észlelt</w:delText>
        </w:r>
        <w:r w:rsidR="00984EBD" w:rsidRPr="00183B5F">
          <w:rPr>
            <w:szCs w:val="22"/>
          </w:rPr>
          <w:delText xml:space="preserve"> 0,5%</w:delText>
        </w:r>
        <w:r w:rsidR="00822452" w:rsidRPr="00183B5F">
          <w:rPr>
            <w:szCs w:val="22"/>
          </w:rPr>
          <w:noBreakHyphen/>
          <w:delText>kal (2/370</w:delText>
        </w:r>
        <w:r w:rsidR="00984EBD" w:rsidRPr="00183B5F">
          <w:rPr>
            <w:szCs w:val="22"/>
          </w:rPr>
          <w:delText>). A</w:delText>
        </w:r>
        <w:r w:rsidR="005D44EE" w:rsidRPr="00183B5F">
          <w:rPr>
            <w:szCs w:val="22"/>
          </w:rPr>
          <w:delText>z egyidejűleg</w:delText>
        </w:r>
        <w:r w:rsidR="002520DD" w:rsidRPr="00183B5F">
          <w:rPr>
            <w:szCs w:val="22"/>
          </w:rPr>
          <w:delText xml:space="preserve"> </w:delText>
        </w:r>
        <w:r w:rsidR="00984EBD" w:rsidRPr="00183B5F">
          <w:rPr>
            <w:szCs w:val="22"/>
          </w:rPr>
          <w:delText>metotrexát</w:delText>
        </w:r>
        <w:r w:rsidR="005D44EE" w:rsidRPr="00183B5F">
          <w:rPr>
            <w:szCs w:val="22"/>
          </w:rPr>
          <w:noBreakHyphen/>
        </w:r>
        <w:r w:rsidR="00984EBD" w:rsidRPr="00183B5F">
          <w:rPr>
            <w:szCs w:val="22"/>
          </w:rPr>
          <w:delText>kezelésben nem részesült betege</w:delText>
        </w:r>
        <w:r w:rsidR="00D4012A" w:rsidRPr="00183B5F">
          <w:rPr>
            <w:szCs w:val="22"/>
          </w:rPr>
          <w:delText>knél az incidencia 12,4% volt, szemben a 0,6%</w:delText>
        </w:r>
        <w:r w:rsidR="00330A18" w:rsidRPr="00183B5F">
          <w:rPr>
            <w:szCs w:val="22"/>
          </w:rPr>
          <w:noBreakHyphen/>
        </w:r>
        <w:r w:rsidR="00D4012A" w:rsidRPr="00183B5F">
          <w:rPr>
            <w:szCs w:val="22"/>
          </w:rPr>
          <w:delText>os incidenciával azoknál, akiknél az adalimumabot a metotrexát</w:delText>
        </w:r>
        <w:r w:rsidR="005D44EE" w:rsidRPr="00183B5F">
          <w:rPr>
            <w:szCs w:val="22"/>
          </w:rPr>
          <w:noBreakHyphen/>
        </w:r>
        <w:r w:rsidR="00D4012A" w:rsidRPr="00183B5F">
          <w:rPr>
            <w:szCs w:val="22"/>
          </w:rPr>
          <w:delText>kezelés</w:delText>
        </w:r>
        <w:r w:rsidR="00B23978" w:rsidRPr="00183B5F">
          <w:rPr>
            <w:szCs w:val="22"/>
          </w:rPr>
          <w:delText>sel kombinációban alkalmazták.</w:delText>
        </w:r>
      </w:del>
    </w:p>
    <w:p w14:paraId="05D04CD1" w14:textId="7FB8119B" w:rsidR="00DF1548" w:rsidRPr="00183B5F" w:rsidRDefault="00DF1548" w:rsidP="004062FE">
      <w:pPr>
        <w:spacing w:line="240" w:lineRule="auto"/>
        <w:rPr>
          <w:del w:id="2814" w:author="AbbVie_HU_03" w:date="2025-05-14T15:27:00Z"/>
          <w:szCs w:val="22"/>
        </w:rPr>
      </w:pPr>
    </w:p>
    <w:p w14:paraId="231FAC45" w14:textId="26F5F658" w:rsidR="00DF1548" w:rsidRPr="00183B5F" w:rsidRDefault="00943743" w:rsidP="004062FE">
      <w:pPr>
        <w:spacing w:line="240" w:lineRule="auto"/>
        <w:rPr>
          <w:del w:id="2815" w:author="AbbVie_HU_03" w:date="2025-05-14T15:27:00Z"/>
          <w:szCs w:val="22"/>
        </w:rPr>
      </w:pPr>
      <w:del w:id="2816" w:author="AbbVie_HU_03" w:date="2025-05-14T15:27:00Z">
        <w:r w:rsidRPr="00183B5F">
          <w:rPr>
            <w:szCs w:val="22"/>
          </w:rPr>
          <w:delText>Gyermekkori psoriasisban szenvedő</w:delText>
        </w:r>
        <w:r w:rsidR="00CD2359" w:rsidRPr="00183B5F">
          <w:rPr>
            <w:szCs w:val="22"/>
          </w:rPr>
          <w:delText>,</w:delText>
        </w:r>
        <w:r w:rsidRPr="00183B5F">
          <w:rPr>
            <w:szCs w:val="22"/>
          </w:rPr>
          <w:delText xml:space="preserve"> 0,8 mg</w:delText>
        </w:r>
        <w:r w:rsidR="00127A0B" w:rsidRPr="00183B5F">
          <w:rPr>
            <w:szCs w:val="22"/>
          </w:rPr>
          <w:delText>/ttkg</w:delText>
        </w:r>
        <w:r w:rsidRPr="00183B5F">
          <w:rPr>
            <w:szCs w:val="22"/>
          </w:rPr>
          <w:delText xml:space="preserve"> adalimumab</w:delText>
        </w:r>
        <w:r w:rsidR="002D38D3" w:rsidRPr="00183B5F">
          <w:rPr>
            <w:szCs w:val="22"/>
          </w:rPr>
          <w:delText>-</w:delText>
        </w:r>
        <w:r w:rsidRPr="00183B5F">
          <w:rPr>
            <w:szCs w:val="22"/>
          </w:rPr>
          <w:delText>monoterápiával kezelt betegek 13%</w:delText>
        </w:r>
        <w:r w:rsidRPr="00183B5F">
          <w:rPr>
            <w:szCs w:val="22"/>
          </w:rPr>
          <w:noBreakHyphen/>
          <w:delText>ánál (5/38</w:delText>
        </w:r>
        <w:r w:rsidR="008645A3" w:rsidRPr="00183B5F">
          <w:rPr>
            <w:szCs w:val="22"/>
          </w:rPr>
          <w:delText> beteg</w:delText>
        </w:r>
        <w:r w:rsidRPr="00183B5F">
          <w:rPr>
            <w:szCs w:val="22"/>
          </w:rPr>
          <w:delText>) azonosítottak adalimumab</w:delText>
        </w:r>
        <w:r w:rsidRPr="00183B5F">
          <w:rPr>
            <w:szCs w:val="22"/>
          </w:rPr>
          <w:noBreakHyphen/>
          <w:delText>ellenes antitesteket.</w:delText>
        </w:r>
      </w:del>
    </w:p>
    <w:p w14:paraId="11208B57" w14:textId="44F85440" w:rsidR="00DF1548" w:rsidRPr="00183B5F" w:rsidRDefault="00DF1548" w:rsidP="004062FE">
      <w:pPr>
        <w:spacing w:line="240" w:lineRule="auto"/>
        <w:rPr>
          <w:del w:id="2817" w:author="AbbVie_HU_03" w:date="2025-05-14T15:27:00Z"/>
          <w:szCs w:val="22"/>
        </w:rPr>
      </w:pPr>
    </w:p>
    <w:p w14:paraId="288E4BE5" w14:textId="1116DD0A" w:rsidR="00902FFB" w:rsidRPr="00183B5F" w:rsidRDefault="00943743" w:rsidP="004062FE">
      <w:pPr>
        <w:spacing w:line="240" w:lineRule="auto"/>
        <w:rPr>
          <w:del w:id="2818" w:author="AbbVie_HU_03" w:date="2025-05-14T15:27:00Z"/>
          <w:szCs w:val="22"/>
        </w:rPr>
      </w:pPr>
      <w:del w:id="2819" w:author="AbbVie_HU_03" w:date="2025-05-14T15:27:00Z">
        <w:r w:rsidRPr="00183B5F">
          <w:rPr>
            <w:szCs w:val="22"/>
          </w:rPr>
          <w:delText>Psoriasisban szenvedő, adalimumab</w:delText>
        </w:r>
        <w:r w:rsidR="002D38D3" w:rsidRPr="00183B5F">
          <w:rPr>
            <w:szCs w:val="22"/>
          </w:rPr>
          <w:delText>-</w:delText>
        </w:r>
        <w:r w:rsidRPr="00183B5F">
          <w:rPr>
            <w:szCs w:val="22"/>
          </w:rPr>
          <w:delText>monoterápiával kezelt felnőttek 8,4%</w:delText>
        </w:r>
        <w:r w:rsidRPr="00183B5F">
          <w:rPr>
            <w:szCs w:val="22"/>
          </w:rPr>
          <w:noBreakHyphen/>
          <w:delText>ánál (77/920</w:delText>
        </w:r>
        <w:r w:rsidR="008645A3" w:rsidRPr="00183B5F">
          <w:rPr>
            <w:szCs w:val="22"/>
          </w:rPr>
          <w:delText> beteg</w:delText>
        </w:r>
        <w:r w:rsidRPr="00183B5F">
          <w:rPr>
            <w:szCs w:val="22"/>
          </w:rPr>
          <w:delText>) azonosítottak adalimumab</w:delText>
        </w:r>
        <w:r w:rsidRPr="00183B5F">
          <w:rPr>
            <w:szCs w:val="22"/>
          </w:rPr>
          <w:noBreakHyphen/>
          <w:delText>ellenes antitesteket.</w:delText>
        </w:r>
      </w:del>
    </w:p>
    <w:p w14:paraId="76024803" w14:textId="352A95BC" w:rsidR="004901E3" w:rsidRPr="00183B5F" w:rsidRDefault="004901E3" w:rsidP="004062FE">
      <w:pPr>
        <w:spacing w:line="240" w:lineRule="auto"/>
        <w:rPr>
          <w:del w:id="2820" w:author="AbbVie_HU_03" w:date="2025-05-14T15:27:00Z"/>
          <w:szCs w:val="22"/>
        </w:rPr>
      </w:pPr>
    </w:p>
    <w:p w14:paraId="5091814B" w14:textId="1563FEA1" w:rsidR="00AD5CEA" w:rsidRPr="00183B5F" w:rsidRDefault="00943743" w:rsidP="004062FE">
      <w:pPr>
        <w:spacing w:line="240" w:lineRule="auto"/>
        <w:rPr>
          <w:del w:id="2821" w:author="AbbVie_HU_03" w:date="2025-05-14T15:27:00Z"/>
          <w:szCs w:val="22"/>
        </w:rPr>
      </w:pPr>
      <w:del w:id="2822" w:author="AbbVie_HU_03" w:date="2025-05-14T15:27:00Z">
        <w:r w:rsidRPr="00183B5F">
          <w:rPr>
            <w:szCs w:val="22"/>
          </w:rPr>
          <w:delText>Azoknál a hosszú időn át adalimumab</w:delText>
        </w:r>
        <w:r w:rsidR="002D38D3" w:rsidRPr="00183B5F">
          <w:rPr>
            <w:szCs w:val="22"/>
          </w:rPr>
          <w:delText>-</w:delText>
        </w:r>
        <w:r w:rsidRPr="00183B5F">
          <w:rPr>
            <w:szCs w:val="22"/>
          </w:rPr>
          <w:delText>monoterápiát kapó, plakkos psoriasisos felnőtt betegeknél, akik részt</w:delText>
        </w:r>
        <w:r w:rsidR="00F75338" w:rsidRPr="00183B5F">
          <w:rPr>
            <w:szCs w:val="22"/>
          </w:rPr>
          <w:delText xml:space="preserve"> </w:delText>
        </w:r>
        <w:r w:rsidRPr="00183B5F">
          <w:rPr>
            <w:szCs w:val="22"/>
          </w:rPr>
          <w:delText>vettek a kezelés abbahagyását</w:delText>
        </w:r>
        <w:r w:rsidR="00902FFB" w:rsidRPr="00183B5F">
          <w:rPr>
            <w:szCs w:val="22"/>
          </w:rPr>
          <w:delText>,</w:delText>
        </w:r>
        <w:r w:rsidRPr="00183B5F">
          <w:rPr>
            <w:szCs w:val="22"/>
          </w:rPr>
          <w:delText xml:space="preserve"> majd újrakezdését értékelő vizsgálatban, az újrakezdést </w:delText>
        </w:r>
        <w:r w:rsidR="002D38D3" w:rsidRPr="00183B5F">
          <w:rPr>
            <w:szCs w:val="22"/>
          </w:rPr>
          <w:delText>követően az adalimumab</w:delText>
        </w:r>
        <w:r w:rsidR="002D38D3" w:rsidRPr="00183B5F">
          <w:rPr>
            <w:szCs w:val="22"/>
          </w:rPr>
          <w:noBreakHyphen/>
          <w:delText>ellenes antitestek aránya</w:delText>
        </w:r>
        <w:r w:rsidRPr="00183B5F">
          <w:rPr>
            <w:szCs w:val="22"/>
          </w:rPr>
          <w:delText xml:space="preserve"> (482 beteg közül 11; 2,3%) hasonló volt a kezelés abbahagyása előtti arányhoz (590 beteg közül 11; 1,9%).</w:delText>
        </w:r>
      </w:del>
    </w:p>
    <w:p w14:paraId="7919EACA" w14:textId="382C1146" w:rsidR="00AD5CEA" w:rsidRPr="00183B5F" w:rsidRDefault="00AD5CEA" w:rsidP="004062FE">
      <w:pPr>
        <w:spacing w:line="240" w:lineRule="auto"/>
        <w:rPr>
          <w:del w:id="2823" w:author="AbbVie_HU_03" w:date="2025-05-14T15:27:00Z"/>
          <w:szCs w:val="22"/>
        </w:rPr>
      </w:pPr>
    </w:p>
    <w:p w14:paraId="725151B3" w14:textId="5D766037" w:rsidR="00862E81" w:rsidRPr="00183B5F" w:rsidRDefault="00943743" w:rsidP="004062FE">
      <w:pPr>
        <w:spacing w:line="240" w:lineRule="auto"/>
        <w:rPr>
          <w:del w:id="2824" w:author="AbbVie_HU_03" w:date="2025-05-14T15:27:00Z"/>
          <w:szCs w:val="22"/>
        </w:rPr>
      </w:pPr>
      <w:del w:id="2825" w:author="AbbVie_HU_03" w:date="2025-05-14T15:27:00Z">
        <w:r w:rsidRPr="00183B5F">
          <w:rPr>
            <w:szCs w:val="22"/>
          </w:rPr>
          <w:delText xml:space="preserve">Közepesen súlyos </w:delText>
        </w:r>
        <w:r w:rsidR="002C1F5C" w:rsidRPr="00183B5F">
          <w:rPr>
            <w:szCs w:val="22"/>
          </w:rPr>
          <w:delText>–</w:delText>
        </w:r>
        <w:r w:rsidRPr="00183B5F">
          <w:rPr>
            <w:szCs w:val="22"/>
          </w:rPr>
          <w:delText xml:space="preserve"> súlyos aktivitású Crohn</w:delText>
        </w:r>
        <w:r w:rsidR="00703FA3" w:rsidRPr="00183B5F">
          <w:rPr>
            <w:szCs w:val="22"/>
          </w:rPr>
          <w:delText>-</w:delText>
        </w:r>
        <w:r w:rsidRPr="00183B5F">
          <w:rPr>
            <w:szCs w:val="22"/>
          </w:rPr>
          <w:delText>betegségben szenvedő gyermekeknél az adalimumab</w:delText>
        </w:r>
        <w:r w:rsidR="001C2086" w:rsidRPr="00183B5F">
          <w:rPr>
            <w:szCs w:val="22"/>
          </w:rPr>
          <w:delText>-ellenes</w:delText>
        </w:r>
        <w:r w:rsidRPr="00183B5F">
          <w:rPr>
            <w:szCs w:val="22"/>
          </w:rPr>
          <w:delText xml:space="preserve"> antitest kialakulásának aránya adalimumabot kapó betegeknél 3,3% volt.</w:delText>
        </w:r>
      </w:del>
    </w:p>
    <w:p w14:paraId="34B825DB" w14:textId="21560323" w:rsidR="00AD5CEA" w:rsidRPr="00183B5F" w:rsidRDefault="00AD5CEA" w:rsidP="004062FE">
      <w:pPr>
        <w:spacing w:line="240" w:lineRule="auto"/>
        <w:rPr>
          <w:del w:id="2826" w:author="AbbVie_HU_03" w:date="2025-05-14T15:27:00Z"/>
          <w:szCs w:val="22"/>
        </w:rPr>
      </w:pPr>
    </w:p>
    <w:p w14:paraId="179116B5" w14:textId="73650FA8" w:rsidR="00AD5CEA" w:rsidRPr="00183B5F" w:rsidRDefault="00943743" w:rsidP="004062FE">
      <w:pPr>
        <w:spacing w:line="240" w:lineRule="auto"/>
        <w:rPr>
          <w:del w:id="2827" w:author="AbbVie_HU_03" w:date="2025-05-14T15:27:00Z"/>
          <w:szCs w:val="22"/>
        </w:rPr>
      </w:pPr>
      <w:del w:id="2828" w:author="AbbVie_HU_03" w:date="2025-05-14T15:27:00Z">
        <w:r w:rsidRPr="00183B5F">
          <w:rPr>
            <w:szCs w:val="22"/>
          </w:rPr>
          <w:delText>A 269, Crohn</w:delText>
        </w:r>
        <w:r w:rsidRPr="00183B5F">
          <w:rPr>
            <w:szCs w:val="22"/>
          </w:rPr>
          <w:noBreakHyphen/>
          <w:delText>betegségben szenvedő beteg közül 7</w:delText>
        </w:r>
        <w:r w:rsidR="00AF3DE6" w:rsidRPr="00183B5F">
          <w:rPr>
            <w:szCs w:val="22"/>
          </w:rPr>
          <w:delText> </w:delText>
        </w:r>
        <w:r w:rsidRPr="00183B5F">
          <w:rPr>
            <w:szCs w:val="22"/>
          </w:rPr>
          <w:delText>beteg</w:delText>
        </w:r>
        <w:r w:rsidR="00F75338" w:rsidRPr="00183B5F">
          <w:rPr>
            <w:szCs w:val="22"/>
          </w:rPr>
          <w:delText>nél</w:delText>
        </w:r>
        <w:r w:rsidR="00AF3DE6" w:rsidRPr="00183B5F">
          <w:rPr>
            <w:szCs w:val="22"/>
          </w:rPr>
          <w:delText xml:space="preserve"> (2,6%)</w:delText>
        </w:r>
        <w:r w:rsidR="00F75338" w:rsidRPr="00183B5F">
          <w:rPr>
            <w:szCs w:val="22"/>
          </w:rPr>
          <w:delText xml:space="preserve"> azonosítottak</w:delText>
        </w:r>
        <w:r w:rsidRPr="00183B5F">
          <w:rPr>
            <w:szCs w:val="22"/>
          </w:rPr>
          <w:delText xml:space="preserve"> adalimumab</w:delText>
        </w:r>
        <w:r w:rsidR="001C2086" w:rsidRPr="00183B5F">
          <w:rPr>
            <w:szCs w:val="22"/>
          </w:rPr>
          <w:delText>-ellenes</w:delText>
        </w:r>
        <w:r w:rsidRPr="00183B5F">
          <w:rPr>
            <w:szCs w:val="22"/>
          </w:rPr>
          <w:delText xml:space="preserve"> antitesteket.</w:delText>
        </w:r>
      </w:del>
    </w:p>
    <w:p w14:paraId="3420D08E" w14:textId="07168BDB" w:rsidR="00AD5CEA" w:rsidRPr="00183B5F" w:rsidRDefault="00AD5CEA" w:rsidP="004062FE">
      <w:pPr>
        <w:spacing w:line="240" w:lineRule="auto"/>
        <w:rPr>
          <w:del w:id="2829" w:author="AbbVie_HU_03" w:date="2025-05-14T15:27:00Z"/>
          <w:szCs w:val="22"/>
        </w:rPr>
      </w:pPr>
    </w:p>
    <w:p w14:paraId="69EDB744" w14:textId="422CBF85" w:rsidR="00AD5CEA" w:rsidRPr="00183B5F" w:rsidRDefault="00943743" w:rsidP="004062FE">
      <w:pPr>
        <w:spacing w:line="240" w:lineRule="auto"/>
        <w:rPr>
          <w:del w:id="2830" w:author="AbbVie_HU_03" w:date="2025-05-14T15:27:00Z"/>
          <w:szCs w:val="22"/>
        </w:rPr>
      </w:pPr>
      <w:del w:id="2831" w:author="AbbVie_HU_03" w:date="2025-05-14T15:27:00Z">
        <w:r w:rsidRPr="00183B5F">
          <w:rPr>
            <w:szCs w:val="22"/>
          </w:rPr>
          <w:delText>A nem fertőzéses eredetű uveitisben szenvedő, adalimumabbal kezelt</w:delText>
        </w:r>
        <w:r w:rsidR="007809D6" w:rsidRPr="00183B5F">
          <w:rPr>
            <w:szCs w:val="22"/>
          </w:rPr>
          <w:delText xml:space="preserve"> felnőtt</w:delText>
        </w:r>
        <w:r w:rsidRPr="00183B5F">
          <w:rPr>
            <w:szCs w:val="22"/>
          </w:rPr>
          <w:delText xml:space="preserve"> betegek 4,8%</w:delText>
        </w:r>
        <w:r w:rsidRPr="00183B5F">
          <w:rPr>
            <w:szCs w:val="22"/>
          </w:rPr>
          <w:noBreakHyphen/>
          <w:delText>ánál (12/249) azonosítottak adalimumab</w:delText>
        </w:r>
        <w:r w:rsidRPr="00183B5F">
          <w:rPr>
            <w:szCs w:val="22"/>
          </w:rPr>
          <w:noBreakHyphen/>
          <w:delText>ellenes antitesteket.</w:delText>
        </w:r>
      </w:del>
    </w:p>
    <w:p w14:paraId="5F9CAA2E" w14:textId="49BC1D5E" w:rsidR="00862E81" w:rsidRPr="00183B5F" w:rsidRDefault="00862E81" w:rsidP="004062FE">
      <w:pPr>
        <w:spacing w:line="240" w:lineRule="auto"/>
        <w:rPr>
          <w:del w:id="2832" w:author="AbbVie_HU_03" w:date="2025-05-14T15:27:00Z"/>
          <w:szCs w:val="22"/>
        </w:rPr>
      </w:pPr>
    </w:p>
    <w:p w14:paraId="183997EE" w14:textId="214267C8" w:rsidR="00557B72" w:rsidRPr="00183B5F" w:rsidRDefault="00943743" w:rsidP="004062FE">
      <w:pPr>
        <w:spacing w:line="240" w:lineRule="auto"/>
        <w:rPr>
          <w:del w:id="2833" w:author="AbbVie_HU_03" w:date="2025-05-14T15:27:00Z"/>
        </w:rPr>
      </w:pPr>
      <w:del w:id="2834" w:author="AbbVie_HU_03" w:date="2025-05-14T15:27:00Z">
        <w:r w:rsidRPr="00183B5F">
          <w:delText xml:space="preserve">Közepesen súlyos </w:delText>
        </w:r>
        <w:r w:rsidR="009C775E" w:rsidRPr="00183B5F">
          <w:rPr>
            <w:szCs w:val="22"/>
          </w:rPr>
          <w:delText>–</w:delText>
        </w:r>
        <w:r w:rsidRPr="00183B5F">
          <w:delText xml:space="preserve"> súlyos akt</w:delText>
        </w:r>
        <w:r w:rsidR="00543A52" w:rsidRPr="00183B5F">
          <w:delText>ivitású</w:delText>
        </w:r>
        <w:r w:rsidRPr="00183B5F">
          <w:delText xml:space="preserve"> gyermek</w:delText>
        </w:r>
        <w:r w:rsidR="0006073D" w:rsidRPr="00183B5F">
          <w:delText>-</w:delText>
        </w:r>
        <w:r w:rsidR="00DD7ECF" w:rsidRPr="00183B5F">
          <w:delText xml:space="preserve"> és serdülő</w:delText>
        </w:r>
        <w:r w:rsidRPr="00183B5F">
          <w:delText xml:space="preserve">kori colitis ulcerosában szenvedő betegeknél az adalimumab elleni antitestek </w:delText>
        </w:r>
        <w:r w:rsidR="0050596A" w:rsidRPr="00183B5F">
          <w:delText>kialakulásának</w:delText>
        </w:r>
        <w:r w:rsidRPr="00183B5F">
          <w:delText xml:space="preserve"> aránya az adalimumabbal kezelt betegeknél 3% volt.</w:delText>
        </w:r>
      </w:del>
    </w:p>
    <w:p w14:paraId="74864A8B" w14:textId="0B9436D5" w:rsidR="00557B72" w:rsidRPr="00183B5F" w:rsidRDefault="00557B72" w:rsidP="004062FE">
      <w:pPr>
        <w:spacing w:line="240" w:lineRule="auto"/>
        <w:rPr>
          <w:del w:id="2835" w:author="AbbVie_HU_03" w:date="2025-05-14T15:27:00Z"/>
          <w:szCs w:val="22"/>
        </w:rPr>
      </w:pPr>
    </w:p>
    <w:p w14:paraId="5EE6A277" w14:textId="64E5C851" w:rsidR="00FB6710" w:rsidRPr="00183B5F" w:rsidRDefault="00943743" w:rsidP="004062FE">
      <w:pPr>
        <w:spacing w:line="240" w:lineRule="auto"/>
        <w:rPr>
          <w:del w:id="2836" w:author="AbbVie_HU_03" w:date="2025-05-14T15:27:00Z"/>
          <w:szCs w:val="22"/>
        </w:rPr>
      </w:pPr>
      <w:del w:id="2837" w:author="AbbVie_HU_03" w:date="2025-05-14T15:27:00Z">
        <w:r w:rsidRPr="00183B5F">
          <w:rPr>
            <w:szCs w:val="22"/>
          </w:rPr>
          <w:delText>Az immunogenitási vizsgálatok termékspecifikusak, így az antitestráták összehasonlítása más termékekével nem helyes.</w:delText>
        </w:r>
      </w:del>
    </w:p>
    <w:p w14:paraId="50F3A5B1" w14:textId="5E42C508" w:rsidR="0019097A" w:rsidRPr="00183B5F" w:rsidRDefault="0019097A">
      <w:pPr>
        <w:spacing w:line="240" w:lineRule="auto"/>
        <w:rPr>
          <w:del w:id="2838" w:author="AbbVie_HU_03" w:date="2025-05-14T15:27:00Z"/>
          <w:szCs w:val="22"/>
        </w:rPr>
      </w:pPr>
    </w:p>
    <w:p w14:paraId="2E2857CF" w14:textId="0A204BAC" w:rsidR="0019097A" w:rsidRPr="00183B5F" w:rsidRDefault="00943743">
      <w:pPr>
        <w:keepNext/>
        <w:spacing w:line="240" w:lineRule="auto"/>
        <w:rPr>
          <w:del w:id="2839" w:author="AbbVie_HU_03" w:date="2025-05-14T15:27:00Z"/>
          <w:szCs w:val="22"/>
          <w:u w:val="single"/>
        </w:rPr>
      </w:pPr>
      <w:del w:id="2840" w:author="AbbVie_HU_03" w:date="2025-05-14T15:27:00Z">
        <w:r w:rsidRPr="00183B5F">
          <w:rPr>
            <w:szCs w:val="22"/>
            <w:u w:val="single"/>
          </w:rPr>
          <w:delText>Gyermekek</w:delText>
        </w:r>
        <w:r w:rsidR="002309F9" w:rsidRPr="00183B5F">
          <w:rPr>
            <w:szCs w:val="22"/>
            <w:u w:val="single"/>
          </w:rPr>
          <w:delText xml:space="preserve"> és serdülők</w:delText>
        </w:r>
        <w:r w:rsidRPr="00183B5F">
          <w:rPr>
            <w:szCs w:val="22"/>
            <w:u w:val="single"/>
          </w:rPr>
          <w:delText>:</w:delText>
        </w:r>
      </w:del>
    </w:p>
    <w:p w14:paraId="5CBD783D" w14:textId="1403B54B" w:rsidR="00FF46F7" w:rsidRPr="00183B5F" w:rsidRDefault="00FF46F7" w:rsidP="00FF46F7">
      <w:pPr>
        <w:spacing w:line="240" w:lineRule="auto"/>
        <w:rPr>
          <w:del w:id="2841" w:author="AbbVie_HU_03" w:date="2025-05-14T15:27:00Z"/>
          <w:szCs w:val="22"/>
          <w:u w:val="single"/>
        </w:rPr>
      </w:pPr>
    </w:p>
    <w:p w14:paraId="6BBAA668" w14:textId="7E5E1F60" w:rsidR="00FF46F7" w:rsidRPr="00183B5F" w:rsidRDefault="00943743" w:rsidP="00FF46F7">
      <w:pPr>
        <w:pStyle w:val="BodyText3"/>
        <w:spacing w:line="240" w:lineRule="auto"/>
        <w:jc w:val="left"/>
        <w:rPr>
          <w:del w:id="2842" w:author="AbbVie_HU_03" w:date="2025-05-14T15:27:00Z"/>
          <w:bCs/>
          <w:i/>
          <w:iCs/>
          <w:sz w:val="22"/>
          <w:szCs w:val="22"/>
          <w:lang w:val="hu-HU"/>
        </w:rPr>
      </w:pPr>
      <w:del w:id="2843" w:author="AbbVie_HU_03" w:date="2025-05-14T15:27:00Z">
        <w:r w:rsidRPr="00183B5F">
          <w:rPr>
            <w:bCs/>
            <w:i/>
            <w:iCs/>
            <w:sz w:val="22"/>
            <w:szCs w:val="22"/>
            <w:lang w:val="hu-HU"/>
          </w:rPr>
          <w:delText>Juvenilis idiopathiás arthritis (JIA)</w:delText>
        </w:r>
      </w:del>
    </w:p>
    <w:p w14:paraId="728ED359" w14:textId="7BE6AE77" w:rsidR="00FF46F7" w:rsidRPr="00183B5F" w:rsidRDefault="00FF46F7" w:rsidP="00FF46F7">
      <w:pPr>
        <w:spacing w:line="240" w:lineRule="auto"/>
        <w:rPr>
          <w:del w:id="2844" w:author="AbbVie_HU_03" w:date="2025-05-14T15:27:00Z"/>
          <w:szCs w:val="22"/>
          <w:u w:val="single"/>
        </w:rPr>
      </w:pPr>
    </w:p>
    <w:p w14:paraId="6C4EE900" w14:textId="7246EA46" w:rsidR="00FF46F7" w:rsidRPr="00183B5F" w:rsidRDefault="00943743" w:rsidP="00FF46F7">
      <w:pPr>
        <w:pStyle w:val="BodyText3"/>
        <w:spacing w:line="240" w:lineRule="auto"/>
        <w:jc w:val="left"/>
        <w:rPr>
          <w:del w:id="2845" w:author="AbbVie_HU_03" w:date="2025-05-14T15:27:00Z"/>
          <w:bCs/>
          <w:i/>
          <w:iCs/>
          <w:sz w:val="22"/>
          <w:szCs w:val="22"/>
          <w:u w:val="single"/>
          <w:lang w:val="hu-HU"/>
        </w:rPr>
      </w:pPr>
      <w:del w:id="2846" w:author="AbbVie_HU_03" w:date="2025-05-14T15:27:00Z">
        <w:r w:rsidRPr="00183B5F">
          <w:rPr>
            <w:bCs/>
            <w:i/>
            <w:iCs/>
            <w:sz w:val="22"/>
            <w:szCs w:val="22"/>
            <w:u w:val="single"/>
            <w:lang w:val="hu-HU"/>
          </w:rPr>
          <w:delText>Polyarticularis juvenilis idiopathiás arthritis (pJIA)</w:delText>
        </w:r>
      </w:del>
    </w:p>
    <w:p w14:paraId="2A4DA5F4" w14:textId="25967A77" w:rsidR="00FF46F7" w:rsidRPr="00183B5F" w:rsidRDefault="00FF46F7" w:rsidP="00FF46F7">
      <w:pPr>
        <w:pStyle w:val="BodyText3"/>
        <w:spacing w:line="240" w:lineRule="auto"/>
        <w:jc w:val="left"/>
        <w:rPr>
          <w:del w:id="2847" w:author="AbbVie_HU_03" w:date="2025-05-14T15:27:00Z"/>
          <w:bCs/>
          <w:i/>
          <w:iCs/>
          <w:sz w:val="22"/>
          <w:szCs w:val="22"/>
          <w:u w:val="single"/>
          <w:lang w:val="hu-HU"/>
        </w:rPr>
      </w:pPr>
    </w:p>
    <w:p w14:paraId="7FE44C57" w14:textId="69557F8D" w:rsidR="00FF46F7" w:rsidRPr="00183B5F" w:rsidRDefault="00943743" w:rsidP="00FF46F7">
      <w:pPr>
        <w:pStyle w:val="BodyText3"/>
        <w:spacing w:line="240" w:lineRule="auto"/>
        <w:jc w:val="left"/>
        <w:rPr>
          <w:del w:id="2848" w:author="AbbVie_HU_03" w:date="2025-05-14T15:27:00Z"/>
          <w:bCs/>
          <w:iCs/>
          <w:sz w:val="22"/>
          <w:szCs w:val="22"/>
          <w:lang w:val="hu-HU"/>
        </w:rPr>
      </w:pPr>
      <w:del w:id="2849" w:author="AbbVie_HU_03" w:date="2025-05-14T15:27:00Z">
        <w:r w:rsidRPr="00183B5F">
          <w:rPr>
            <w:bCs/>
            <w:iCs/>
            <w:sz w:val="22"/>
            <w:szCs w:val="22"/>
            <w:lang w:val="hu-HU"/>
          </w:rPr>
          <w:delText>A Humira biztonságosságát és hatásosságát két vizsgálatban (pJIA I és II) értékelték aktív polyarticularis juvenilis idiopathiás arthritisben szenvedő gyermekeknél, akiknél a JIA kezdeti formája eltért (leggyakrabban rheumatoid faktor pozitív vagy negatív polyarthritis és extendált oligoarthritis fordult elő).</w:delText>
        </w:r>
      </w:del>
    </w:p>
    <w:p w14:paraId="7451A97A" w14:textId="100B43E7" w:rsidR="00FF46F7" w:rsidRPr="00183B5F" w:rsidRDefault="00FF46F7" w:rsidP="00FF46F7">
      <w:pPr>
        <w:pStyle w:val="BodyText3"/>
        <w:spacing w:line="240" w:lineRule="auto"/>
        <w:jc w:val="left"/>
        <w:rPr>
          <w:del w:id="2850" w:author="AbbVie_HU_03" w:date="2025-05-14T15:27:00Z"/>
          <w:bCs/>
          <w:iCs/>
          <w:sz w:val="22"/>
          <w:szCs w:val="22"/>
          <w:u w:val="single"/>
          <w:lang w:val="hu-HU"/>
        </w:rPr>
      </w:pPr>
    </w:p>
    <w:p w14:paraId="7BDFA188" w14:textId="6A97DA38" w:rsidR="00FF46F7" w:rsidRPr="00183B5F" w:rsidRDefault="00943743" w:rsidP="00FF46F7">
      <w:pPr>
        <w:pStyle w:val="BodyText3"/>
        <w:keepNext/>
        <w:spacing w:line="240" w:lineRule="auto"/>
        <w:jc w:val="left"/>
        <w:rPr>
          <w:del w:id="2851" w:author="AbbVie_HU_03" w:date="2025-05-14T15:27:00Z"/>
          <w:sz w:val="22"/>
          <w:lang w:val="hu-HU"/>
        </w:rPr>
      </w:pPr>
      <w:del w:id="2852" w:author="AbbVie_HU_03" w:date="2025-05-14T15:27:00Z">
        <w:r w:rsidRPr="00183B5F">
          <w:rPr>
            <w:bCs/>
            <w:iCs/>
            <w:sz w:val="22"/>
            <w:szCs w:val="22"/>
            <w:lang w:val="hu-HU"/>
          </w:rPr>
          <w:delText>pJIA I</w:delText>
        </w:r>
      </w:del>
    </w:p>
    <w:p w14:paraId="4D44D41E" w14:textId="5E9B884F" w:rsidR="00FF46F7" w:rsidRPr="00183B5F" w:rsidRDefault="00FF46F7" w:rsidP="00FF46F7">
      <w:pPr>
        <w:pStyle w:val="BodyText3"/>
        <w:keepNext/>
        <w:spacing w:line="240" w:lineRule="auto"/>
        <w:jc w:val="left"/>
        <w:rPr>
          <w:del w:id="2853" w:author="AbbVie_HU_03" w:date="2025-05-14T15:27:00Z"/>
          <w:sz w:val="22"/>
          <w:lang w:val="hu-HU"/>
        </w:rPr>
      </w:pPr>
    </w:p>
    <w:p w14:paraId="648A6A86" w14:textId="3E2EDBC2" w:rsidR="00FF46F7" w:rsidRPr="00183B5F" w:rsidRDefault="00943743" w:rsidP="00DC7942">
      <w:pPr>
        <w:pStyle w:val="BodyText3"/>
        <w:spacing w:line="240" w:lineRule="auto"/>
        <w:jc w:val="left"/>
        <w:rPr>
          <w:del w:id="2854" w:author="AbbVie_HU_03" w:date="2025-05-14T15:27:00Z"/>
          <w:bCs/>
          <w:iCs/>
          <w:sz w:val="22"/>
          <w:szCs w:val="22"/>
          <w:lang w:val="hu-HU"/>
        </w:rPr>
      </w:pPr>
      <w:del w:id="2855" w:author="AbbVie_HU_03" w:date="2025-05-14T15:27:00Z">
        <w:r w:rsidRPr="00183B5F">
          <w:rPr>
            <w:sz w:val="22"/>
            <w:lang w:val="hu-HU"/>
          </w:rPr>
          <w:delText>A Humira biztonságosságát és hatásosságát egy multicentrikus, randomizált, kettős vak, párhuzamos csoportos vizsgálatban értékelték 171 (4 – 17 éves) polyarticularis JIA</w:delText>
        </w:r>
        <w:r w:rsidRPr="00183B5F">
          <w:rPr>
            <w:bCs/>
            <w:iCs/>
            <w:sz w:val="22"/>
            <w:szCs w:val="22"/>
            <w:lang w:val="hu-HU"/>
          </w:rPr>
          <w:noBreakHyphen/>
        </w:r>
        <w:r w:rsidRPr="00183B5F">
          <w:rPr>
            <w:sz w:val="22"/>
            <w:lang w:val="hu-HU"/>
          </w:rPr>
          <w:delText>ban szenvedő gyermek esetében. A nyílt elrendezésű bevezetési szakaszban (OL</w:delText>
        </w:r>
        <w:r w:rsidRPr="00183B5F">
          <w:rPr>
            <w:bCs/>
            <w:iCs/>
            <w:sz w:val="22"/>
            <w:szCs w:val="22"/>
            <w:lang w:val="hu-HU"/>
          </w:rPr>
          <w:delText> </w:delText>
        </w:r>
        <w:r w:rsidRPr="00183B5F">
          <w:rPr>
            <w:sz w:val="22"/>
            <w:lang w:val="hu-HU"/>
          </w:rPr>
          <w:delText>LI) részt vevő betegeket két csoportba, a MTX</w:delText>
        </w:r>
        <w:r w:rsidRPr="00183B5F">
          <w:rPr>
            <w:bCs/>
            <w:iCs/>
            <w:sz w:val="22"/>
            <w:szCs w:val="22"/>
            <w:lang w:val="hu-HU"/>
          </w:rPr>
          <w:noBreakHyphen/>
        </w:r>
        <w:r w:rsidRPr="00183B5F">
          <w:rPr>
            <w:sz w:val="22"/>
            <w:lang w:val="hu-HU"/>
          </w:rPr>
          <w:delText>tal (metotrexát) kezelt és MTX</w:delText>
        </w:r>
        <w:r w:rsidRPr="00183B5F">
          <w:rPr>
            <w:bCs/>
            <w:iCs/>
            <w:sz w:val="22"/>
            <w:szCs w:val="22"/>
            <w:lang w:val="hu-HU"/>
          </w:rPr>
          <w:noBreakHyphen/>
        </w:r>
        <w:r w:rsidRPr="00183B5F">
          <w:rPr>
            <w:sz w:val="22"/>
            <w:lang w:val="hu-HU"/>
          </w:rPr>
          <w:delText>tal nem kezelt csoportba különítették el. A nem-MTX csoportba azok a betegek tartoztak, akik korábban még nem részesültek MTX</w:delText>
        </w:r>
        <w:r w:rsidRPr="00183B5F">
          <w:rPr>
            <w:sz w:val="22"/>
            <w:lang w:val="hu-HU"/>
          </w:rPr>
          <w:noBreakHyphen/>
          <w:delText>kezelésben (naive), vagy a vizsgálati gyógyszer alkalmazása előtt legalább két héttel abbahagyták a MTX</w:delText>
        </w:r>
        <w:r w:rsidRPr="00183B5F">
          <w:rPr>
            <w:bCs/>
            <w:iCs/>
            <w:sz w:val="22"/>
            <w:szCs w:val="22"/>
            <w:lang w:val="hu-HU"/>
          </w:rPr>
          <w:noBreakHyphen/>
        </w:r>
        <w:r w:rsidRPr="00183B5F">
          <w:rPr>
            <w:sz w:val="22"/>
            <w:lang w:val="hu-HU"/>
          </w:rPr>
          <w:delText>kezelésüket. A betegeknél továbbra is stabil dózisokban alkalmaztak nem szteroid gyulladásgátlókat (NSAID) és/vagy prednizont (</w:delText>
        </w:r>
        <w:r w:rsidRPr="00183B5F">
          <w:rPr>
            <w:bCs/>
            <w:iCs/>
            <w:sz w:val="22"/>
            <w:szCs w:val="22"/>
            <w:lang w:val="hu-HU"/>
          </w:rPr>
          <w:delText> </w:delText>
        </w:r>
        <w:r w:rsidRPr="00183B5F">
          <w:rPr>
            <w:rFonts w:ascii="Symbol" w:hAnsi="Symbol"/>
            <w:sz w:val="22"/>
            <w:lang w:val="hu-HU"/>
          </w:rPr>
          <w:sym w:font="Symbol" w:char="F0A3"/>
        </w:r>
        <w:r w:rsidRPr="00183B5F">
          <w:rPr>
            <w:bCs/>
            <w:iCs/>
            <w:sz w:val="22"/>
            <w:szCs w:val="22"/>
            <w:lang w:val="hu-HU"/>
          </w:rPr>
          <w:delText> </w:delText>
        </w:r>
        <w:r w:rsidRPr="00183B5F">
          <w:rPr>
            <w:sz w:val="22"/>
            <w:lang w:val="hu-HU"/>
          </w:rPr>
          <w:delText>0,2 mg/ttkg/nap vagy maximum 10 mg/nap). Az OL</w:delText>
        </w:r>
        <w:r w:rsidRPr="00183B5F">
          <w:rPr>
            <w:bCs/>
            <w:iCs/>
            <w:sz w:val="22"/>
            <w:szCs w:val="22"/>
            <w:lang w:val="hu-HU"/>
          </w:rPr>
          <w:delText> </w:delText>
        </w:r>
        <w:r w:rsidRPr="00183B5F">
          <w:rPr>
            <w:sz w:val="22"/>
            <w:lang w:val="hu-HU"/>
          </w:rPr>
          <w:delText>LI szakaszban minden beteg 24 mg/m</w:delText>
        </w:r>
        <w:r w:rsidRPr="00183B5F">
          <w:rPr>
            <w:sz w:val="22"/>
            <w:vertAlign w:val="superscript"/>
            <w:lang w:val="hu-HU"/>
          </w:rPr>
          <w:delText>2</w:delText>
        </w:r>
        <w:r w:rsidRPr="00183B5F">
          <w:rPr>
            <w:sz w:val="22"/>
            <w:lang w:val="hu-HU"/>
          </w:rPr>
          <w:delText>,</w:delText>
        </w:r>
        <w:r w:rsidRPr="00183B5F">
          <w:rPr>
            <w:bCs/>
            <w:iCs/>
            <w:sz w:val="22"/>
            <w:szCs w:val="22"/>
            <w:lang w:val="hu-HU"/>
          </w:rPr>
          <w:delText xml:space="preserve"> </w:delText>
        </w:r>
        <w:r w:rsidRPr="00183B5F">
          <w:rPr>
            <w:sz w:val="22"/>
            <w:lang w:val="hu-HU"/>
          </w:rPr>
          <w:delText>legfeljebb 40 mg Humira</w:delText>
        </w:r>
        <w:r w:rsidRPr="00183B5F">
          <w:rPr>
            <w:bCs/>
            <w:iCs/>
            <w:sz w:val="22"/>
            <w:szCs w:val="22"/>
            <w:lang w:val="hu-HU"/>
          </w:rPr>
          <w:noBreakHyphen/>
        </w:r>
        <w:r w:rsidRPr="00183B5F">
          <w:rPr>
            <w:sz w:val="22"/>
            <w:lang w:val="hu-HU"/>
          </w:rPr>
          <w:delText>t kapott kéthetente, 16 héten keresztül. A betegek életkor szerinti megoszlását és az OL</w:delText>
        </w:r>
        <w:r w:rsidRPr="00183B5F">
          <w:rPr>
            <w:bCs/>
            <w:iCs/>
            <w:sz w:val="22"/>
            <w:szCs w:val="22"/>
            <w:lang w:val="hu-HU"/>
          </w:rPr>
          <w:delText> </w:delText>
        </w:r>
        <w:r w:rsidRPr="00183B5F">
          <w:rPr>
            <w:sz w:val="22"/>
            <w:lang w:val="hu-HU"/>
          </w:rPr>
          <w:delText xml:space="preserve">LI szakaszban kapott legkisebb, medián, illetve legnagyobb dózist a </w:delText>
        </w:r>
        <w:r w:rsidR="00DC7942" w:rsidRPr="00183B5F">
          <w:rPr>
            <w:bCs/>
            <w:iCs/>
            <w:sz w:val="22"/>
            <w:szCs w:val="22"/>
            <w:lang w:val="hu-HU"/>
          </w:rPr>
          <w:delText>20</w:delText>
        </w:r>
        <w:r w:rsidRPr="00183B5F">
          <w:rPr>
            <w:sz w:val="22"/>
            <w:lang w:val="hu-HU"/>
          </w:rPr>
          <w:delText>. táblázat mutatja.</w:delText>
        </w:r>
      </w:del>
    </w:p>
    <w:p w14:paraId="2D25788A" w14:textId="26B18702" w:rsidR="00FF46F7" w:rsidRPr="00183B5F" w:rsidRDefault="00FF46F7" w:rsidP="00FF46F7">
      <w:pPr>
        <w:tabs>
          <w:tab w:val="left" w:pos="6840"/>
        </w:tabs>
        <w:autoSpaceDE w:val="0"/>
        <w:autoSpaceDN w:val="0"/>
        <w:adjustRightInd w:val="0"/>
        <w:spacing w:line="240" w:lineRule="auto"/>
        <w:ind w:right="53"/>
        <w:rPr>
          <w:del w:id="2856" w:author="AbbVie_HU_03" w:date="2025-05-14T15:27:00Z"/>
          <w:szCs w:val="22"/>
        </w:rPr>
      </w:pPr>
    </w:p>
    <w:p w14:paraId="118E0227" w14:textId="323FCBD1" w:rsidR="00FF46F7" w:rsidRPr="00183B5F" w:rsidRDefault="00943743" w:rsidP="00FF46F7">
      <w:pPr>
        <w:pStyle w:val="BodyTextIndent"/>
        <w:keepNext/>
        <w:ind w:left="110" w:right="58" w:firstLine="0"/>
        <w:jc w:val="center"/>
        <w:rPr>
          <w:del w:id="2857" w:author="AbbVie_HU_03" w:date="2025-05-14T15:27:00Z"/>
          <w:b/>
          <w:lang w:val="hu-HU"/>
        </w:rPr>
      </w:pPr>
      <w:del w:id="2858" w:author="AbbVie_HU_03" w:date="2025-05-14T15:27:00Z">
        <w:r w:rsidRPr="00183B5F">
          <w:rPr>
            <w:b/>
            <w:szCs w:val="22"/>
            <w:lang w:val="hu-HU"/>
          </w:rPr>
          <w:delText>20</w:delText>
        </w:r>
        <w:r w:rsidRPr="00183B5F">
          <w:rPr>
            <w:b/>
            <w:lang w:val="hu-HU"/>
          </w:rPr>
          <w:delText>. táblázat</w:delText>
        </w:r>
      </w:del>
    </w:p>
    <w:p w14:paraId="0FF5589B" w14:textId="2A9AAA0E" w:rsidR="00FF46F7" w:rsidRPr="00183B5F" w:rsidRDefault="00943743" w:rsidP="00FF46F7">
      <w:pPr>
        <w:pStyle w:val="BodyTextIndent"/>
        <w:keepNext/>
        <w:ind w:left="110" w:right="58" w:firstLine="0"/>
        <w:jc w:val="center"/>
        <w:rPr>
          <w:del w:id="2859" w:author="AbbVie_HU_03" w:date="2025-05-14T15:27:00Z"/>
          <w:b/>
          <w:lang w:val="hu-HU"/>
        </w:rPr>
      </w:pPr>
      <w:del w:id="2860" w:author="AbbVie_HU_03" w:date="2025-05-14T15:27:00Z">
        <w:r w:rsidRPr="00183B5F">
          <w:rPr>
            <w:b/>
            <w:lang w:val="hu-HU"/>
          </w:rPr>
          <w:delText>A betegek megoszlása az életkor szerint és az OL</w:delText>
        </w:r>
        <w:r w:rsidRPr="00183B5F">
          <w:rPr>
            <w:b/>
            <w:szCs w:val="22"/>
            <w:lang w:val="hu-HU"/>
          </w:rPr>
          <w:delText> </w:delText>
        </w:r>
        <w:r w:rsidRPr="00183B5F">
          <w:rPr>
            <w:b/>
            <w:lang w:val="hu-HU"/>
          </w:rPr>
          <w:delText>LI szakaszban kapott adalimumab-dózis</w:delText>
        </w:r>
      </w:del>
    </w:p>
    <w:p w14:paraId="5254DBE5" w14:textId="0A7AB2D5" w:rsidR="00FF46F7" w:rsidRPr="00183B5F" w:rsidRDefault="00FF46F7" w:rsidP="00FF46F7">
      <w:pPr>
        <w:pStyle w:val="BodyTextIndent"/>
        <w:keepNext/>
        <w:ind w:left="110" w:right="58" w:firstLine="0"/>
        <w:jc w:val="center"/>
        <w:rPr>
          <w:del w:id="2861" w:author="AbbVie_HU_03" w:date="2025-05-14T15:27:00Z"/>
          <w:b/>
          <w:lang w:val="hu-HU"/>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5"/>
        <w:gridCol w:w="3432"/>
        <w:gridCol w:w="3144"/>
      </w:tblGrid>
      <w:tr w:rsidR="00011D2F" w14:paraId="0AC8BA17" w14:textId="499F3E00" w:rsidTr="00FF46F7">
        <w:trPr>
          <w:cantSplit/>
          <w:del w:id="2862" w:author="AbbVie_HU_03" w:date="2025-05-14T15:27:00Z"/>
        </w:trPr>
        <w:tc>
          <w:tcPr>
            <w:tcW w:w="2418" w:type="dxa"/>
          </w:tcPr>
          <w:p w14:paraId="1C84B2C4" w14:textId="35DEFF05" w:rsidR="00FF46F7" w:rsidRPr="00183B5F" w:rsidRDefault="00943743" w:rsidP="00FF46F7">
            <w:pPr>
              <w:pStyle w:val="BodyTextIndent"/>
              <w:keepNext/>
              <w:ind w:left="0" w:right="58" w:firstLine="0"/>
              <w:rPr>
                <w:del w:id="2863" w:author="AbbVie_HU_03" w:date="2025-05-14T15:27:00Z"/>
                <w:b/>
                <w:lang w:val="hu-HU"/>
              </w:rPr>
            </w:pPr>
            <w:del w:id="2864" w:author="AbbVie_HU_03" w:date="2025-05-14T15:27:00Z">
              <w:r w:rsidRPr="00183B5F">
                <w:rPr>
                  <w:b/>
                  <w:lang w:val="hu-HU"/>
                </w:rPr>
                <w:delText>Korcsoport</w:delText>
              </w:r>
            </w:del>
          </w:p>
        </w:tc>
        <w:tc>
          <w:tcPr>
            <w:tcW w:w="3520" w:type="dxa"/>
          </w:tcPr>
          <w:p w14:paraId="29CAC320" w14:textId="1FD5D0DB" w:rsidR="00FF46F7" w:rsidRPr="00183B5F" w:rsidRDefault="00943743" w:rsidP="00FF46F7">
            <w:pPr>
              <w:pStyle w:val="BodyTextIndent"/>
              <w:keepNext/>
              <w:ind w:left="0" w:right="58" w:firstLine="0"/>
              <w:rPr>
                <w:del w:id="2865" w:author="AbbVie_HU_03" w:date="2025-05-14T15:27:00Z"/>
                <w:b/>
                <w:lang w:val="hu-HU"/>
              </w:rPr>
            </w:pPr>
            <w:del w:id="2866" w:author="AbbVie_HU_03" w:date="2025-05-14T15:27:00Z">
              <w:r w:rsidRPr="00183B5F">
                <w:rPr>
                  <w:b/>
                  <w:lang w:val="hu-HU"/>
                </w:rPr>
                <w:delText>A betegek száma a kiindulási időpontban (%)</w:delText>
              </w:r>
            </w:del>
          </w:p>
        </w:tc>
        <w:tc>
          <w:tcPr>
            <w:tcW w:w="3239" w:type="dxa"/>
          </w:tcPr>
          <w:p w14:paraId="62AC65C2" w14:textId="49AB3F11" w:rsidR="00FF46F7" w:rsidRPr="00183B5F" w:rsidRDefault="00943743" w:rsidP="00FF46F7">
            <w:pPr>
              <w:pStyle w:val="BodyTextIndent"/>
              <w:keepNext/>
              <w:ind w:left="0" w:right="58" w:firstLine="0"/>
              <w:rPr>
                <w:del w:id="2867" w:author="AbbVie_HU_03" w:date="2025-05-14T15:27:00Z"/>
                <w:b/>
                <w:lang w:val="hu-HU"/>
              </w:rPr>
            </w:pPr>
            <w:del w:id="2868" w:author="AbbVie_HU_03" w:date="2025-05-14T15:27:00Z">
              <w:r w:rsidRPr="00183B5F">
                <w:rPr>
                  <w:b/>
                  <w:lang w:val="hu-HU"/>
                </w:rPr>
                <w:delText>A legkisebb, medián, illetve legnagyobb dózis</w:delText>
              </w:r>
            </w:del>
          </w:p>
        </w:tc>
      </w:tr>
      <w:tr w:rsidR="00011D2F" w14:paraId="014B6286" w14:textId="28171A0E" w:rsidTr="00FF46F7">
        <w:trPr>
          <w:cantSplit/>
          <w:del w:id="2869" w:author="AbbVie_HU_03" w:date="2025-05-14T15:27:00Z"/>
        </w:trPr>
        <w:tc>
          <w:tcPr>
            <w:tcW w:w="2418" w:type="dxa"/>
          </w:tcPr>
          <w:p w14:paraId="5197CC70" w14:textId="785A0715" w:rsidR="00FF46F7" w:rsidRPr="00183B5F" w:rsidRDefault="00943743" w:rsidP="00FF46F7">
            <w:pPr>
              <w:pStyle w:val="BodyTextIndent"/>
              <w:keepNext/>
              <w:ind w:left="0" w:right="58" w:firstLine="0"/>
              <w:rPr>
                <w:del w:id="2870" w:author="AbbVie_HU_03" w:date="2025-05-14T15:27:00Z"/>
                <w:lang w:val="hu-HU"/>
              </w:rPr>
            </w:pPr>
            <w:del w:id="2871" w:author="AbbVie_HU_03" w:date="2025-05-14T15:27:00Z">
              <w:r w:rsidRPr="00183B5F">
                <w:rPr>
                  <w:lang w:val="hu-HU"/>
                </w:rPr>
                <w:delText>4 – 7 évesek</w:delText>
              </w:r>
            </w:del>
          </w:p>
        </w:tc>
        <w:tc>
          <w:tcPr>
            <w:tcW w:w="3520" w:type="dxa"/>
          </w:tcPr>
          <w:p w14:paraId="478AB47C" w14:textId="05E99B8B" w:rsidR="00FF46F7" w:rsidRPr="00183B5F" w:rsidRDefault="00943743" w:rsidP="00FF46F7">
            <w:pPr>
              <w:pStyle w:val="BodyTextIndent"/>
              <w:keepNext/>
              <w:ind w:left="0" w:right="58" w:firstLine="0"/>
              <w:rPr>
                <w:del w:id="2872" w:author="AbbVie_HU_03" w:date="2025-05-14T15:27:00Z"/>
                <w:lang w:val="hu-HU"/>
              </w:rPr>
            </w:pPr>
            <w:del w:id="2873" w:author="AbbVie_HU_03" w:date="2025-05-14T15:27:00Z">
              <w:r w:rsidRPr="00183B5F">
                <w:rPr>
                  <w:lang w:val="hu-HU"/>
                </w:rPr>
                <w:delText>31 (18,1)</w:delText>
              </w:r>
            </w:del>
          </w:p>
        </w:tc>
        <w:tc>
          <w:tcPr>
            <w:tcW w:w="3239" w:type="dxa"/>
          </w:tcPr>
          <w:p w14:paraId="2F3AE40C" w14:textId="2EBD1D3B" w:rsidR="00FF46F7" w:rsidRPr="00183B5F" w:rsidRDefault="00943743" w:rsidP="00FF46F7">
            <w:pPr>
              <w:pStyle w:val="BodyTextIndent"/>
              <w:keepNext/>
              <w:ind w:left="0" w:right="58" w:firstLine="0"/>
              <w:rPr>
                <w:del w:id="2874" w:author="AbbVie_HU_03" w:date="2025-05-14T15:27:00Z"/>
                <w:lang w:val="hu-HU"/>
              </w:rPr>
            </w:pPr>
            <w:del w:id="2875" w:author="AbbVie_HU_03" w:date="2025-05-14T15:27:00Z">
              <w:r w:rsidRPr="00183B5F">
                <w:rPr>
                  <w:lang w:val="hu-HU"/>
                </w:rPr>
                <w:delText>10, 20, ill. 25 mg</w:delText>
              </w:r>
            </w:del>
          </w:p>
        </w:tc>
      </w:tr>
      <w:tr w:rsidR="00011D2F" w14:paraId="082B8AF3" w14:textId="137F1A37" w:rsidTr="00FF46F7">
        <w:trPr>
          <w:cantSplit/>
          <w:del w:id="2876" w:author="AbbVie_HU_03" w:date="2025-05-14T15:27:00Z"/>
        </w:trPr>
        <w:tc>
          <w:tcPr>
            <w:tcW w:w="2418" w:type="dxa"/>
          </w:tcPr>
          <w:p w14:paraId="440F7111" w14:textId="140B1EDA" w:rsidR="00FF46F7" w:rsidRPr="00183B5F" w:rsidRDefault="00943743" w:rsidP="00FF46F7">
            <w:pPr>
              <w:pStyle w:val="BodyTextIndent"/>
              <w:ind w:left="0" w:right="53" w:firstLine="0"/>
              <w:rPr>
                <w:del w:id="2877" w:author="AbbVie_HU_03" w:date="2025-05-14T15:27:00Z"/>
                <w:lang w:val="hu-HU"/>
              </w:rPr>
            </w:pPr>
            <w:del w:id="2878" w:author="AbbVie_HU_03" w:date="2025-05-14T15:27:00Z">
              <w:r w:rsidRPr="00183B5F">
                <w:rPr>
                  <w:lang w:val="hu-HU"/>
                </w:rPr>
                <w:delText>8 – 12 évesek</w:delText>
              </w:r>
            </w:del>
          </w:p>
        </w:tc>
        <w:tc>
          <w:tcPr>
            <w:tcW w:w="3520" w:type="dxa"/>
          </w:tcPr>
          <w:p w14:paraId="1F717079" w14:textId="0D534B2E" w:rsidR="00FF46F7" w:rsidRPr="00183B5F" w:rsidRDefault="00943743" w:rsidP="00FF46F7">
            <w:pPr>
              <w:pStyle w:val="BodyTextIndent"/>
              <w:ind w:left="0" w:right="53" w:firstLine="0"/>
              <w:rPr>
                <w:del w:id="2879" w:author="AbbVie_HU_03" w:date="2025-05-14T15:27:00Z"/>
                <w:lang w:val="hu-HU"/>
              </w:rPr>
            </w:pPr>
            <w:del w:id="2880" w:author="AbbVie_HU_03" w:date="2025-05-14T15:27:00Z">
              <w:r w:rsidRPr="00183B5F">
                <w:rPr>
                  <w:lang w:val="hu-HU"/>
                </w:rPr>
                <w:delText>71 (41,5)</w:delText>
              </w:r>
            </w:del>
          </w:p>
        </w:tc>
        <w:tc>
          <w:tcPr>
            <w:tcW w:w="3239" w:type="dxa"/>
          </w:tcPr>
          <w:p w14:paraId="5DF481FC" w14:textId="46F3D6AA" w:rsidR="00FF46F7" w:rsidRPr="00183B5F" w:rsidRDefault="00943743" w:rsidP="00FF46F7">
            <w:pPr>
              <w:pStyle w:val="BodyTextIndent"/>
              <w:ind w:left="0" w:right="53" w:firstLine="0"/>
              <w:rPr>
                <w:del w:id="2881" w:author="AbbVie_HU_03" w:date="2025-05-14T15:27:00Z"/>
                <w:lang w:val="hu-HU"/>
              </w:rPr>
            </w:pPr>
            <w:del w:id="2882" w:author="AbbVie_HU_03" w:date="2025-05-14T15:27:00Z">
              <w:r w:rsidRPr="00183B5F">
                <w:rPr>
                  <w:lang w:val="hu-HU"/>
                </w:rPr>
                <w:delText>20, 25, ill. 40 mg</w:delText>
              </w:r>
            </w:del>
          </w:p>
        </w:tc>
      </w:tr>
      <w:tr w:rsidR="00011D2F" w14:paraId="48CAFB12" w14:textId="2F5863FC" w:rsidTr="00FF46F7">
        <w:trPr>
          <w:cantSplit/>
          <w:del w:id="2883" w:author="AbbVie_HU_03" w:date="2025-05-14T15:27:00Z"/>
        </w:trPr>
        <w:tc>
          <w:tcPr>
            <w:tcW w:w="2418" w:type="dxa"/>
          </w:tcPr>
          <w:p w14:paraId="097E3D0F" w14:textId="1C5FE46E" w:rsidR="00FF46F7" w:rsidRPr="00183B5F" w:rsidRDefault="00943743" w:rsidP="00FF46F7">
            <w:pPr>
              <w:pStyle w:val="BodyTextIndent"/>
              <w:ind w:left="0" w:right="53" w:firstLine="0"/>
              <w:rPr>
                <w:del w:id="2884" w:author="AbbVie_HU_03" w:date="2025-05-14T15:27:00Z"/>
                <w:lang w:val="hu-HU"/>
              </w:rPr>
            </w:pPr>
            <w:del w:id="2885" w:author="AbbVie_HU_03" w:date="2025-05-14T15:27:00Z">
              <w:r w:rsidRPr="00183B5F">
                <w:rPr>
                  <w:lang w:val="hu-HU"/>
                </w:rPr>
                <w:delText>13 – 17 évesek</w:delText>
              </w:r>
            </w:del>
          </w:p>
        </w:tc>
        <w:tc>
          <w:tcPr>
            <w:tcW w:w="3520" w:type="dxa"/>
          </w:tcPr>
          <w:p w14:paraId="4AF92571" w14:textId="7D06FB0A" w:rsidR="00FF46F7" w:rsidRPr="00183B5F" w:rsidRDefault="00943743" w:rsidP="00FF46F7">
            <w:pPr>
              <w:pStyle w:val="BodyTextIndent"/>
              <w:ind w:left="0" w:right="53" w:firstLine="0"/>
              <w:rPr>
                <w:del w:id="2886" w:author="AbbVie_HU_03" w:date="2025-05-14T15:27:00Z"/>
                <w:lang w:val="hu-HU"/>
              </w:rPr>
            </w:pPr>
            <w:del w:id="2887" w:author="AbbVie_HU_03" w:date="2025-05-14T15:27:00Z">
              <w:r w:rsidRPr="00183B5F">
                <w:rPr>
                  <w:lang w:val="hu-HU"/>
                </w:rPr>
                <w:delText>69 (40,4)</w:delText>
              </w:r>
            </w:del>
          </w:p>
        </w:tc>
        <w:tc>
          <w:tcPr>
            <w:tcW w:w="3239" w:type="dxa"/>
          </w:tcPr>
          <w:p w14:paraId="531E3458" w14:textId="2C576207" w:rsidR="00FF46F7" w:rsidRPr="00183B5F" w:rsidRDefault="00943743" w:rsidP="00FF46F7">
            <w:pPr>
              <w:pStyle w:val="BodyTextIndent"/>
              <w:ind w:left="0" w:right="53" w:firstLine="0"/>
              <w:rPr>
                <w:del w:id="2888" w:author="AbbVie_HU_03" w:date="2025-05-14T15:27:00Z"/>
                <w:lang w:val="hu-HU"/>
              </w:rPr>
            </w:pPr>
            <w:del w:id="2889" w:author="AbbVie_HU_03" w:date="2025-05-14T15:27:00Z">
              <w:r w:rsidRPr="00183B5F">
                <w:rPr>
                  <w:lang w:val="hu-HU"/>
                </w:rPr>
                <w:delText>25, 40, ill. 40 mg</w:delText>
              </w:r>
            </w:del>
          </w:p>
        </w:tc>
      </w:tr>
    </w:tbl>
    <w:p w14:paraId="2E0EB8FB" w14:textId="6D009249" w:rsidR="00FF46F7" w:rsidRPr="00183B5F" w:rsidRDefault="00FF46F7" w:rsidP="00FF46F7">
      <w:pPr>
        <w:tabs>
          <w:tab w:val="left" w:pos="6840"/>
        </w:tabs>
        <w:autoSpaceDE w:val="0"/>
        <w:autoSpaceDN w:val="0"/>
        <w:adjustRightInd w:val="0"/>
        <w:spacing w:line="240" w:lineRule="auto"/>
        <w:ind w:right="53"/>
        <w:rPr>
          <w:del w:id="2890" w:author="AbbVie_HU_03" w:date="2025-05-14T15:27:00Z"/>
          <w:szCs w:val="22"/>
        </w:rPr>
      </w:pPr>
    </w:p>
    <w:p w14:paraId="05DB4E0D" w14:textId="4D97176D" w:rsidR="00FF46F7" w:rsidRPr="00183B5F" w:rsidRDefault="00943743" w:rsidP="00FF46F7">
      <w:pPr>
        <w:tabs>
          <w:tab w:val="left" w:pos="6840"/>
        </w:tabs>
        <w:autoSpaceDE w:val="0"/>
        <w:autoSpaceDN w:val="0"/>
        <w:adjustRightInd w:val="0"/>
        <w:spacing w:line="240" w:lineRule="auto"/>
        <w:ind w:right="53"/>
        <w:rPr>
          <w:del w:id="2891" w:author="AbbVie_HU_03" w:date="2025-05-14T15:27:00Z"/>
          <w:szCs w:val="22"/>
        </w:rPr>
      </w:pPr>
      <w:del w:id="2892" w:author="AbbVie_HU_03" w:date="2025-05-14T15:27:00Z">
        <w:r w:rsidRPr="00183B5F">
          <w:rPr>
            <w:szCs w:val="22"/>
          </w:rPr>
          <w:delText>Azok a betegek, akik 16. héten Pediátriai ACR 30 választ mutattak, alkalmasak voltak arra, hogy véletlenszerűen besorolják őket a kettős vak (DB) fázisba, melyben minden második héten 24 mg/m</w:delText>
        </w:r>
        <w:r w:rsidRPr="00183B5F">
          <w:rPr>
            <w:szCs w:val="22"/>
            <w:vertAlign w:val="superscript"/>
          </w:rPr>
          <w:delText>2</w:delText>
        </w:r>
        <w:r w:rsidRPr="00183B5F">
          <w:rPr>
            <w:szCs w:val="22"/>
          </w:rPr>
          <w:delText>, de legfeljebb 40 mg Humira</w:delText>
        </w:r>
        <w:r w:rsidRPr="00183B5F">
          <w:rPr>
            <w:szCs w:val="22"/>
          </w:rPr>
          <w:noBreakHyphen/>
          <w:delText>t vagy placebót kaptak további 32 héten át, vagy a betegség fellángolásáig. A betegség fellángolásának kritériumait a következőképpen határozták meg: a 6 Pediátriai ACR-alapkritérium közül 3 vagy több esetében legalább 30%</w:delText>
        </w:r>
        <w:r w:rsidRPr="00183B5F">
          <w:rPr>
            <w:szCs w:val="22"/>
          </w:rPr>
          <w:noBreakHyphen/>
          <w:delText>os romlás a kiindulási állapothoz képest, legalább 2 vagy több aktív ízület megléte, és a 6 kritérium közül legfeljebb 1</w:delText>
        </w:r>
        <w:r w:rsidRPr="00183B5F">
          <w:rPr>
            <w:szCs w:val="22"/>
          </w:rPr>
          <w:noBreakHyphen/>
          <w:delText>ben észlelhető 30%</w:delText>
        </w:r>
        <w:r w:rsidRPr="00183B5F">
          <w:rPr>
            <w:szCs w:val="22"/>
          </w:rPr>
          <w:noBreakHyphen/>
          <w:delText xml:space="preserve">nál nagyobb mértékű javulás. A 32. hét után vagy a betegség fellángolása esetén a betegek alkalmasak voltak arra, hogy </w:delText>
        </w:r>
        <w:r w:rsidRPr="00183B5F">
          <w:rPr>
            <w:szCs w:val="22"/>
          </w:rPr>
          <w:delText>beválasszák őket a nyílt kiterjesztéses fázisba.</w:delText>
        </w:r>
      </w:del>
    </w:p>
    <w:p w14:paraId="494E0C88" w14:textId="386A827C" w:rsidR="00FF46F7" w:rsidRPr="00183B5F" w:rsidRDefault="00FF46F7" w:rsidP="00FF46F7">
      <w:pPr>
        <w:tabs>
          <w:tab w:val="left" w:pos="6840"/>
        </w:tabs>
        <w:autoSpaceDE w:val="0"/>
        <w:autoSpaceDN w:val="0"/>
        <w:adjustRightInd w:val="0"/>
        <w:spacing w:line="240" w:lineRule="auto"/>
        <w:ind w:right="53"/>
        <w:rPr>
          <w:del w:id="2893" w:author="AbbVie_HU_03" w:date="2025-05-14T15:27:00Z"/>
          <w:szCs w:val="22"/>
        </w:rPr>
      </w:pPr>
    </w:p>
    <w:p w14:paraId="5243A601" w14:textId="70EB4C20" w:rsidR="00FF46F7" w:rsidRPr="00183B5F" w:rsidRDefault="00943743" w:rsidP="00FF46F7">
      <w:pPr>
        <w:pStyle w:val="BodyTextIndent"/>
        <w:keepNext/>
        <w:ind w:left="110" w:right="58" w:firstLine="0"/>
        <w:jc w:val="center"/>
        <w:rPr>
          <w:del w:id="2894" w:author="AbbVie_HU_03" w:date="2025-05-14T15:27:00Z"/>
          <w:b/>
          <w:lang w:val="hu-HU"/>
        </w:rPr>
      </w:pPr>
      <w:del w:id="2895" w:author="AbbVie_HU_03" w:date="2025-05-14T15:27:00Z">
        <w:r w:rsidRPr="00183B5F">
          <w:rPr>
            <w:b/>
            <w:szCs w:val="22"/>
            <w:lang w:val="hu-HU"/>
          </w:rPr>
          <w:delText>21</w:delText>
        </w:r>
        <w:r w:rsidRPr="00183B5F">
          <w:rPr>
            <w:b/>
            <w:lang w:val="hu-HU"/>
          </w:rPr>
          <w:delText>. táblázat</w:delText>
        </w:r>
      </w:del>
    </w:p>
    <w:p w14:paraId="08446416" w14:textId="4A09256F" w:rsidR="00FF46F7" w:rsidRPr="00183B5F" w:rsidRDefault="00943743" w:rsidP="00FF46F7">
      <w:pPr>
        <w:pStyle w:val="BodyTextIndent"/>
        <w:keepNext/>
        <w:ind w:left="110" w:right="58" w:firstLine="0"/>
        <w:jc w:val="center"/>
        <w:rPr>
          <w:del w:id="2896" w:author="AbbVie_HU_03" w:date="2025-05-14T15:27:00Z"/>
          <w:b/>
          <w:lang w:val="hu-HU"/>
        </w:rPr>
      </w:pPr>
      <w:del w:id="2897" w:author="AbbVie_HU_03" w:date="2025-05-14T15:27:00Z">
        <w:r w:rsidRPr="00183B5F">
          <w:rPr>
            <w:b/>
            <w:lang w:val="hu-HU"/>
          </w:rPr>
          <w:delText>Pediátriai ACR</w:delText>
        </w:r>
        <w:r w:rsidRPr="00183B5F">
          <w:rPr>
            <w:b/>
            <w:szCs w:val="22"/>
            <w:lang w:val="hu-HU"/>
          </w:rPr>
          <w:delText> </w:delText>
        </w:r>
        <w:r w:rsidRPr="00183B5F">
          <w:rPr>
            <w:b/>
            <w:lang w:val="hu-HU"/>
          </w:rPr>
          <w:delText>30 válasz a JIA-vizsgálatban</w:delText>
        </w:r>
      </w:del>
    </w:p>
    <w:p w14:paraId="42C04CCD" w14:textId="5BEDF1BC" w:rsidR="00FF46F7" w:rsidRPr="00183B5F" w:rsidRDefault="00FF46F7" w:rsidP="00FF46F7">
      <w:pPr>
        <w:pStyle w:val="BodyTextIndent"/>
        <w:keepNext/>
        <w:ind w:left="110" w:right="58" w:firstLine="0"/>
        <w:jc w:val="center"/>
        <w:rPr>
          <w:del w:id="2898" w:author="AbbVie_HU_03" w:date="2025-05-14T15:27:00Z"/>
          <w:b/>
          <w:lang w:val="hu-HU"/>
        </w:rPr>
      </w:pPr>
    </w:p>
    <w:tbl>
      <w:tblPr>
        <w:tblW w:w="935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8"/>
        <w:gridCol w:w="1760"/>
        <w:gridCol w:w="1760"/>
        <w:gridCol w:w="1650"/>
        <w:gridCol w:w="1766"/>
      </w:tblGrid>
      <w:tr w:rsidR="00011D2F" w14:paraId="1E02DBD4" w14:textId="0260CC2A" w:rsidTr="00FF46F7">
        <w:trPr>
          <w:cantSplit/>
          <w:del w:id="2899" w:author="AbbVie_HU_03" w:date="2025-05-14T15:27:00Z"/>
        </w:trPr>
        <w:tc>
          <w:tcPr>
            <w:tcW w:w="2418" w:type="dxa"/>
          </w:tcPr>
          <w:p w14:paraId="664F1FC6" w14:textId="36D9002F" w:rsidR="00FF46F7" w:rsidRPr="00183B5F" w:rsidRDefault="00943743" w:rsidP="00FF46F7">
            <w:pPr>
              <w:pStyle w:val="BodyTextIndent"/>
              <w:keepNext/>
              <w:ind w:left="0" w:right="58" w:firstLine="0"/>
              <w:rPr>
                <w:del w:id="2900" w:author="AbbVie_HU_03" w:date="2025-05-14T15:27:00Z"/>
                <w:b/>
                <w:lang w:val="hu-HU"/>
              </w:rPr>
            </w:pPr>
            <w:del w:id="2901" w:author="AbbVie_HU_03" w:date="2025-05-14T15:27:00Z">
              <w:r w:rsidRPr="00183B5F">
                <w:rPr>
                  <w:b/>
                  <w:lang w:val="hu-HU"/>
                </w:rPr>
                <w:delText>Betegcsoport</w:delText>
              </w:r>
            </w:del>
          </w:p>
        </w:tc>
        <w:tc>
          <w:tcPr>
            <w:tcW w:w="3520" w:type="dxa"/>
            <w:gridSpan w:val="2"/>
          </w:tcPr>
          <w:p w14:paraId="0482DDD4" w14:textId="2692257F" w:rsidR="00FF46F7" w:rsidRPr="00183B5F" w:rsidRDefault="00943743" w:rsidP="00FF46F7">
            <w:pPr>
              <w:pStyle w:val="BodyTextIndent"/>
              <w:keepNext/>
              <w:ind w:left="0" w:right="58" w:firstLine="0"/>
              <w:jc w:val="center"/>
              <w:rPr>
                <w:del w:id="2902" w:author="AbbVie_HU_03" w:date="2025-05-14T15:27:00Z"/>
                <w:b/>
                <w:lang w:val="hu-HU"/>
              </w:rPr>
            </w:pPr>
            <w:del w:id="2903" w:author="AbbVie_HU_03" w:date="2025-05-14T15:27:00Z">
              <w:r w:rsidRPr="00183B5F">
                <w:rPr>
                  <w:b/>
                  <w:lang w:val="hu-HU"/>
                </w:rPr>
                <w:delText>MTX-tal kezelt</w:delText>
              </w:r>
            </w:del>
          </w:p>
        </w:tc>
        <w:tc>
          <w:tcPr>
            <w:tcW w:w="3416" w:type="dxa"/>
            <w:gridSpan w:val="2"/>
          </w:tcPr>
          <w:p w14:paraId="2B84BAE6" w14:textId="79851AC4" w:rsidR="00FF46F7" w:rsidRPr="00183B5F" w:rsidRDefault="00943743" w:rsidP="00FF46F7">
            <w:pPr>
              <w:pStyle w:val="BodyTextIndent"/>
              <w:keepNext/>
              <w:ind w:left="0" w:right="58" w:firstLine="0"/>
              <w:jc w:val="center"/>
              <w:rPr>
                <w:del w:id="2904" w:author="AbbVie_HU_03" w:date="2025-05-14T15:27:00Z"/>
                <w:b/>
                <w:lang w:val="hu-HU"/>
              </w:rPr>
            </w:pPr>
            <w:del w:id="2905" w:author="AbbVie_HU_03" w:date="2025-05-14T15:27:00Z">
              <w:r w:rsidRPr="00183B5F">
                <w:rPr>
                  <w:b/>
                  <w:lang w:val="hu-HU"/>
                </w:rPr>
                <w:delText>MTX-tal nem kezelt</w:delText>
              </w:r>
            </w:del>
          </w:p>
        </w:tc>
      </w:tr>
      <w:tr w:rsidR="00011D2F" w14:paraId="43D89EE3" w14:textId="51B1E1BF" w:rsidTr="00FF46F7">
        <w:trPr>
          <w:cantSplit/>
          <w:del w:id="2906" w:author="AbbVie_HU_03" w:date="2025-05-14T15:27:00Z"/>
        </w:trPr>
        <w:tc>
          <w:tcPr>
            <w:tcW w:w="2418" w:type="dxa"/>
          </w:tcPr>
          <w:p w14:paraId="6EB8186C" w14:textId="4BCCAB0E" w:rsidR="00FF46F7" w:rsidRPr="00183B5F" w:rsidRDefault="00943743" w:rsidP="00FF46F7">
            <w:pPr>
              <w:pStyle w:val="BodyTextIndent"/>
              <w:keepNext/>
              <w:ind w:left="0" w:right="58" w:firstLine="0"/>
              <w:rPr>
                <w:del w:id="2907" w:author="AbbVie_HU_03" w:date="2025-05-14T15:27:00Z"/>
                <w:b/>
                <w:lang w:val="hu-HU"/>
              </w:rPr>
            </w:pPr>
            <w:del w:id="2908" w:author="AbbVie_HU_03" w:date="2025-05-14T15:27:00Z">
              <w:r w:rsidRPr="00183B5F">
                <w:rPr>
                  <w:b/>
                  <w:lang w:val="hu-HU"/>
                </w:rPr>
                <w:delText>Szakasz</w:delText>
              </w:r>
            </w:del>
          </w:p>
        </w:tc>
        <w:tc>
          <w:tcPr>
            <w:tcW w:w="3520" w:type="dxa"/>
            <w:gridSpan w:val="2"/>
          </w:tcPr>
          <w:p w14:paraId="278DE138" w14:textId="5D640146" w:rsidR="00FF46F7" w:rsidRPr="00183B5F" w:rsidRDefault="00943743" w:rsidP="00FF46F7">
            <w:pPr>
              <w:pStyle w:val="BodyTextIndent"/>
              <w:keepNext/>
              <w:ind w:left="0" w:right="58" w:firstLine="0"/>
              <w:jc w:val="center"/>
              <w:rPr>
                <w:del w:id="2909" w:author="AbbVie_HU_03" w:date="2025-05-14T15:27:00Z"/>
                <w:lang w:val="hu-HU"/>
              </w:rPr>
            </w:pPr>
            <w:del w:id="2910" w:author="AbbVie_HU_03" w:date="2025-05-14T15:27:00Z">
              <w:r w:rsidRPr="00183B5F">
                <w:rPr>
                  <w:lang w:val="hu-HU"/>
                </w:rPr>
                <w:delText xml:space="preserve">h </w:delText>
              </w:r>
            </w:del>
          </w:p>
        </w:tc>
        <w:tc>
          <w:tcPr>
            <w:tcW w:w="3416" w:type="dxa"/>
            <w:gridSpan w:val="2"/>
          </w:tcPr>
          <w:p w14:paraId="0905F019" w14:textId="6091BAA3" w:rsidR="00FF46F7" w:rsidRPr="00183B5F" w:rsidRDefault="00FF46F7" w:rsidP="00FF46F7">
            <w:pPr>
              <w:pStyle w:val="BodyTextIndent"/>
              <w:keepNext/>
              <w:ind w:left="0" w:right="58" w:firstLine="0"/>
              <w:jc w:val="center"/>
              <w:rPr>
                <w:del w:id="2911" w:author="AbbVie_HU_03" w:date="2025-05-14T15:27:00Z"/>
                <w:lang w:val="hu-HU"/>
              </w:rPr>
            </w:pPr>
          </w:p>
        </w:tc>
      </w:tr>
      <w:tr w:rsidR="00011D2F" w14:paraId="6A2F555D" w14:textId="7E42802F" w:rsidTr="00FF46F7">
        <w:trPr>
          <w:cantSplit/>
          <w:del w:id="2912" w:author="AbbVie_HU_03" w:date="2025-05-14T15:27:00Z"/>
        </w:trPr>
        <w:tc>
          <w:tcPr>
            <w:tcW w:w="2418" w:type="dxa"/>
          </w:tcPr>
          <w:p w14:paraId="68543FF5" w14:textId="77114A2E" w:rsidR="00FF46F7" w:rsidRPr="00183B5F" w:rsidRDefault="00943743" w:rsidP="00FF46F7">
            <w:pPr>
              <w:pStyle w:val="BodyTextIndent"/>
              <w:keepNext/>
              <w:ind w:left="0" w:right="58" w:firstLine="0"/>
              <w:rPr>
                <w:del w:id="2913" w:author="AbbVie_HU_03" w:date="2025-05-14T15:27:00Z"/>
                <w:lang w:val="hu-HU"/>
              </w:rPr>
            </w:pPr>
            <w:del w:id="2914" w:author="AbbVie_HU_03" w:date="2025-05-14T15:27:00Z">
              <w:r w:rsidRPr="00183B5F">
                <w:rPr>
                  <w:lang w:val="hu-HU"/>
                </w:rPr>
                <w:delText>OL-LI, 16 hét</w:delText>
              </w:r>
            </w:del>
          </w:p>
        </w:tc>
        <w:tc>
          <w:tcPr>
            <w:tcW w:w="3520" w:type="dxa"/>
            <w:gridSpan w:val="2"/>
          </w:tcPr>
          <w:p w14:paraId="03267D83" w14:textId="6D57C064" w:rsidR="00FF46F7" w:rsidRPr="00183B5F" w:rsidRDefault="00FF46F7" w:rsidP="00FF46F7">
            <w:pPr>
              <w:pStyle w:val="BodyTextIndent"/>
              <w:keepNext/>
              <w:ind w:left="0" w:right="58" w:firstLine="0"/>
              <w:jc w:val="center"/>
              <w:rPr>
                <w:del w:id="2915" w:author="AbbVie_HU_03" w:date="2025-05-14T15:27:00Z"/>
                <w:lang w:val="hu-HU"/>
              </w:rPr>
            </w:pPr>
          </w:p>
        </w:tc>
        <w:tc>
          <w:tcPr>
            <w:tcW w:w="3416" w:type="dxa"/>
            <w:gridSpan w:val="2"/>
          </w:tcPr>
          <w:p w14:paraId="76A9C674" w14:textId="5A7CBBEE" w:rsidR="00FF46F7" w:rsidRPr="00183B5F" w:rsidRDefault="00FF46F7" w:rsidP="00FF46F7">
            <w:pPr>
              <w:pStyle w:val="BodyTextIndent"/>
              <w:keepNext/>
              <w:ind w:left="0" w:right="58" w:firstLine="0"/>
              <w:jc w:val="center"/>
              <w:rPr>
                <w:del w:id="2916" w:author="AbbVie_HU_03" w:date="2025-05-14T15:27:00Z"/>
                <w:lang w:val="hu-HU"/>
              </w:rPr>
            </w:pPr>
          </w:p>
        </w:tc>
      </w:tr>
      <w:tr w:rsidR="00011D2F" w14:paraId="05312AB8" w14:textId="31CD1A4F" w:rsidTr="00FF46F7">
        <w:trPr>
          <w:cantSplit/>
          <w:del w:id="2917" w:author="AbbVie_HU_03" w:date="2025-05-14T15:27:00Z"/>
        </w:trPr>
        <w:tc>
          <w:tcPr>
            <w:tcW w:w="2418" w:type="dxa"/>
          </w:tcPr>
          <w:p w14:paraId="34EAC00E" w14:textId="25E312AD" w:rsidR="00FF46F7" w:rsidRPr="00183B5F" w:rsidRDefault="00943743" w:rsidP="00FF46F7">
            <w:pPr>
              <w:pStyle w:val="BodyTextIndent"/>
              <w:ind w:right="53" w:firstLine="0"/>
              <w:rPr>
                <w:del w:id="2918" w:author="AbbVie_HU_03" w:date="2025-05-14T15:27:00Z"/>
                <w:lang w:val="hu-HU"/>
              </w:rPr>
            </w:pPr>
            <w:del w:id="2919" w:author="AbbVie_HU_03" w:date="2025-05-14T15:27:00Z">
              <w:r w:rsidRPr="00183B5F">
                <w:rPr>
                  <w:lang w:val="hu-HU"/>
                </w:rPr>
                <w:delText>Pediátriai ACR 30 válasz (n/N)</w:delText>
              </w:r>
            </w:del>
          </w:p>
        </w:tc>
        <w:tc>
          <w:tcPr>
            <w:tcW w:w="3520" w:type="dxa"/>
            <w:gridSpan w:val="2"/>
          </w:tcPr>
          <w:p w14:paraId="2CD6A8D0" w14:textId="09B5F2D0" w:rsidR="00FF46F7" w:rsidRPr="00183B5F" w:rsidRDefault="00943743" w:rsidP="00FF46F7">
            <w:pPr>
              <w:pStyle w:val="BodyTextIndent"/>
              <w:ind w:left="0" w:right="53" w:firstLine="0"/>
              <w:jc w:val="center"/>
              <w:rPr>
                <w:del w:id="2920" w:author="AbbVie_HU_03" w:date="2025-05-14T15:27:00Z"/>
                <w:lang w:val="hu-HU"/>
              </w:rPr>
            </w:pPr>
            <w:del w:id="2921" w:author="AbbVie_HU_03" w:date="2025-05-14T15:27:00Z">
              <w:r w:rsidRPr="00183B5F">
                <w:rPr>
                  <w:lang w:val="hu-HU"/>
                </w:rPr>
                <w:delText>94,1% (80/85)</w:delText>
              </w:r>
            </w:del>
          </w:p>
        </w:tc>
        <w:tc>
          <w:tcPr>
            <w:tcW w:w="3416" w:type="dxa"/>
            <w:gridSpan w:val="2"/>
          </w:tcPr>
          <w:p w14:paraId="4216F13B" w14:textId="0032A413" w:rsidR="00FF46F7" w:rsidRPr="00183B5F" w:rsidRDefault="00943743" w:rsidP="00FF46F7">
            <w:pPr>
              <w:pStyle w:val="BodyTextIndent"/>
              <w:ind w:left="0" w:right="53" w:firstLine="0"/>
              <w:jc w:val="center"/>
              <w:rPr>
                <w:del w:id="2922" w:author="AbbVie_HU_03" w:date="2025-05-14T15:27:00Z"/>
                <w:lang w:val="hu-HU"/>
              </w:rPr>
            </w:pPr>
            <w:del w:id="2923" w:author="AbbVie_HU_03" w:date="2025-05-14T15:27:00Z">
              <w:r w:rsidRPr="00183B5F">
                <w:rPr>
                  <w:lang w:val="hu-HU"/>
                </w:rPr>
                <w:delText>74,4% (64/86)</w:delText>
              </w:r>
            </w:del>
          </w:p>
        </w:tc>
      </w:tr>
      <w:tr w:rsidR="00011D2F" w14:paraId="2AE82A60" w14:textId="43702C3D" w:rsidTr="00FF46F7">
        <w:trPr>
          <w:cantSplit/>
          <w:del w:id="2924" w:author="AbbVie_HU_03" w:date="2025-05-14T15:27:00Z"/>
        </w:trPr>
        <w:tc>
          <w:tcPr>
            <w:tcW w:w="9354" w:type="dxa"/>
            <w:gridSpan w:val="5"/>
          </w:tcPr>
          <w:p w14:paraId="4A4096DB" w14:textId="09E22348" w:rsidR="00FF46F7" w:rsidRPr="00183B5F" w:rsidRDefault="00943743" w:rsidP="00FF46F7">
            <w:pPr>
              <w:pStyle w:val="BodyTextIndent"/>
              <w:ind w:left="0" w:right="53" w:firstLine="0"/>
              <w:jc w:val="center"/>
              <w:rPr>
                <w:del w:id="2925" w:author="AbbVie_HU_03" w:date="2025-05-14T15:27:00Z"/>
                <w:lang w:val="hu-HU"/>
              </w:rPr>
            </w:pPr>
            <w:del w:id="2926" w:author="AbbVie_HU_03" w:date="2025-05-14T15:27:00Z">
              <w:r w:rsidRPr="00183B5F">
                <w:rPr>
                  <w:lang w:val="hu-HU"/>
                </w:rPr>
                <w:delText>Hatásossági végpontok</w:delText>
              </w:r>
            </w:del>
          </w:p>
        </w:tc>
      </w:tr>
      <w:tr w:rsidR="00011D2F" w14:paraId="0FB16238" w14:textId="4EBC0B52" w:rsidTr="00FF46F7">
        <w:trPr>
          <w:del w:id="2927" w:author="AbbVie_HU_03" w:date="2025-05-14T15:27:00Z"/>
        </w:trPr>
        <w:tc>
          <w:tcPr>
            <w:tcW w:w="2418" w:type="dxa"/>
          </w:tcPr>
          <w:p w14:paraId="27AE5E0C" w14:textId="4FD92650" w:rsidR="00FF46F7" w:rsidRPr="00183B5F" w:rsidRDefault="00943743" w:rsidP="00FF46F7">
            <w:pPr>
              <w:pStyle w:val="BodyTextIndent"/>
              <w:ind w:left="0" w:right="53" w:firstLine="0"/>
              <w:rPr>
                <w:del w:id="2928" w:author="AbbVie_HU_03" w:date="2025-05-14T15:27:00Z"/>
                <w:lang w:val="hu-HU"/>
              </w:rPr>
            </w:pPr>
            <w:del w:id="2929" w:author="AbbVie_HU_03" w:date="2025-05-14T15:27:00Z">
              <w:r w:rsidRPr="00183B5F">
                <w:rPr>
                  <w:lang w:val="hu-HU"/>
                </w:rPr>
                <w:delText>Kettős vak, 32 hét</w:delText>
              </w:r>
            </w:del>
          </w:p>
        </w:tc>
        <w:tc>
          <w:tcPr>
            <w:tcW w:w="1760" w:type="dxa"/>
          </w:tcPr>
          <w:p w14:paraId="675ABC89" w14:textId="02FE3BA2" w:rsidR="00FF46F7" w:rsidRPr="00183B5F" w:rsidRDefault="00943743" w:rsidP="00FF46F7">
            <w:pPr>
              <w:pStyle w:val="BodyTextIndent"/>
              <w:ind w:left="0" w:right="53" w:firstLine="0"/>
              <w:rPr>
                <w:del w:id="2930" w:author="AbbVie_HU_03" w:date="2025-05-14T15:27:00Z"/>
                <w:lang w:val="hu-HU"/>
              </w:rPr>
            </w:pPr>
            <w:del w:id="2931" w:author="AbbVie_HU_03" w:date="2025-05-14T15:27:00Z">
              <w:r w:rsidRPr="00183B5F">
                <w:rPr>
                  <w:lang w:val="hu-HU"/>
                </w:rPr>
                <w:delText>Humira / MTX</w:delText>
              </w:r>
            </w:del>
          </w:p>
          <w:p w14:paraId="1EFFCD3B" w14:textId="49247D3F" w:rsidR="00FF46F7" w:rsidRPr="00183B5F" w:rsidRDefault="00943743" w:rsidP="00FF46F7">
            <w:pPr>
              <w:pStyle w:val="BodyTextIndent"/>
              <w:ind w:left="0" w:right="53" w:firstLine="0"/>
              <w:rPr>
                <w:del w:id="2932" w:author="AbbVie_HU_03" w:date="2025-05-14T15:27:00Z"/>
                <w:lang w:val="hu-HU"/>
              </w:rPr>
            </w:pPr>
            <w:del w:id="2933" w:author="AbbVie_HU_03" w:date="2025-05-14T15:27:00Z">
              <w:r w:rsidRPr="00183B5F">
                <w:rPr>
                  <w:lang w:val="hu-HU"/>
                </w:rPr>
                <w:delText>(N</w:delText>
              </w:r>
              <w:r w:rsidRPr="00183B5F">
                <w:rPr>
                  <w:b/>
                  <w:lang w:val="hu-HU"/>
                </w:rPr>
                <w:delText> </w:delText>
              </w:r>
              <w:r w:rsidRPr="00183B5F">
                <w:rPr>
                  <w:lang w:val="hu-HU"/>
                </w:rPr>
                <w:delText>= 38)</w:delText>
              </w:r>
            </w:del>
          </w:p>
          <w:p w14:paraId="567114C4" w14:textId="17E5BF1E" w:rsidR="00FF46F7" w:rsidRPr="00183B5F" w:rsidRDefault="00FF46F7" w:rsidP="00FF46F7">
            <w:pPr>
              <w:pStyle w:val="BodyTextIndent"/>
              <w:ind w:left="0" w:right="53" w:firstLine="0"/>
              <w:rPr>
                <w:del w:id="2934" w:author="AbbVie_HU_03" w:date="2025-05-14T15:27:00Z"/>
                <w:lang w:val="hu-HU"/>
              </w:rPr>
            </w:pPr>
          </w:p>
        </w:tc>
        <w:tc>
          <w:tcPr>
            <w:tcW w:w="1760" w:type="dxa"/>
          </w:tcPr>
          <w:p w14:paraId="4B369638" w14:textId="6273DB4B" w:rsidR="00FF46F7" w:rsidRPr="00183B5F" w:rsidRDefault="00943743" w:rsidP="00FF46F7">
            <w:pPr>
              <w:pStyle w:val="BodyTextIndent"/>
              <w:ind w:left="0" w:right="53" w:firstLine="0"/>
              <w:rPr>
                <w:del w:id="2935" w:author="AbbVie_HU_03" w:date="2025-05-14T15:27:00Z"/>
                <w:lang w:val="hu-HU"/>
              </w:rPr>
            </w:pPr>
            <w:del w:id="2936" w:author="AbbVie_HU_03" w:date="2025-05-14T15:27:00Z">
              <w:r w:rsidRPr="00183B5F">
                <w:rPr>
                  <w:lang w:val="hu-HU"/>
                </w:rPr>
                <w:delText>Placebo / MTX</w:delText>
              </w:r>
            </w:del>
          </w:p>
          <w:p w14:paraId="082DB538" w14:textId="41EBBFA3" w:rsidR="00FF46F7" w:rsidRPr="00183B5F" w:rsidRDefault="00943743" w:rsidP="00FF46F7">
            <w:pPr>
              <w:pStyle w:val="BodyTextIndent"/>
              <w:ind w:left="0" w:right="53" w:firstLine="0"/>
              <w:rPr>
                <w:del w:id="2937" w:author="AbbVie_HU_03" w:date="2025-05-14T15:27:00Z"/>
                <w:lang w:val="hu-HU"/>
              </w:rPr>
            </w:pPr>
            <w:del w:id="2938" w:author="AbbVie_HU_03" w:date="2025-05-14T15:27:00Z">
              <w:r w:rsidRPr="00183B5F">
                <w:rPr>
                  <w:lang w:val="hu-HU"/>
                </w:rPr>
                <w:delText>(N = 37)</w:delText>
              </w:r>
            </w:del>
          </w:p>
        </w:tc>
        <w:tc>
          <w:tcPr>
            <w:tcW w:w="1650" w:type="dxa"/>
          </w:tcPr>
          <w:p w14:paraId="5C8DD4C6" w14:textId="4F3CCCE3" w:rsidR="00FF46F7" w:rsidRPr="00183B5F" w:rsidRDefault="00943743" w:rsidP="00FF46F7">
            <w:pPr>
              <w:pStyle w:val="BodyTextIndent"/>
              <w:ind w:left="0" w:right="53" w:firstLine="0"/>
              <w:rPr>
                <w:del w:id="2939" w:author="AbbVie_HU_03" w:date="2025-05-14T15:27:00Z"/>
                <w:lang w:val="hu-HU"/>
              </w:rPr>
            </w:pPr>
            <w:del w:id="2940" w:author="AbbVie_HU_03" w:date="2025-05-14T15:27:00Z">
              <w:r w:rsidRPr="00183B5F">
                <w:rPr>
                  <w:lang w:val="hu-HU"/>
                </w:rPr>
                <w:delText xml:space="preserve">Humira </w:delText>
              </w:r>
            </w:del>
          </w:p>
          <w:p w14:paraId="482888F2" w14:textId="3DF82DAC" w:rsidR="00FF46F7" w:rsidRPr="00183B5F" w:rsidRDefault="00943743" w:rsidP="00FF46F7">
            <w:pPr>
              <w:pStyle w:val="BodyTextIndent"/>
              <w:ind w:left="0" w:right="53" w:firstLine="0"/>
              <w:rPr>
                <w:del w:id="2941" w:author="AbbVie_HU_03" w:date="2025-05-14T15:27:00Z"/>
                <w:lang w:val="hu-HU"/>
              </w:rPr>
            </w:pPr>
            <w:del w:id="2942" w:author="AbbVie_HU_03" w:date="2025-05-14T15:27:00Z">
              <w:r w:rsidRPr="00183B5F">
                <w:rPr>
                  <w:lang w:val="hu-HU"/>
                </w:rPr>
                <w:delText>(N = 30)</w:delText>
              </w:r>
            </w:del>
          </w:p>
        </w:tc>
        <w:tc>
          <w:tcPr>
            <w:tcW w:w="1766" w:type="dxa"/>
          </w:tcPr>
          <w:p w14:paraId="561A7DA9" w14:textId="26606910" w:rsidR="00FF46F7" w:rsidRPr="00183B5F" w:rsidRDefault="00943743" w:rsidP="00FF46F7">
            <w:pPr>
              <w:pStyle w:val="BodyTextIndent"/>
              <w:ind w:left="0" w:right="53" w:firstLine="0"/>
              <w:rPr>
                <w:del w:id="2943" w:author="AbbVie_HU_03" w:date="2025-05-14T15:27:00Z"/>
                <w:lang w:val="hu-HU"/>
              </w:rPr>
            </w:pPr>
            <w:del w:id="2944" w:author="AbbVie_HU_03" w:date="2025-05-14T15:27:00Z">
              <w:r w:rsidRPr="00183B5F">
                <w:rPr>
                  <w:lang w:val="hu-HU"/>
                </w:rPr>
                <w:delText>Placebo</w:delText>
              </w:r>
            </w:del>
          </w:p>
          <w:p w14:paraId="51539CC0" w14:textId="544AA580" w:rsidR="00FF46F7" w:rsidRPr="00183B5F" w:rsidRDefault="00943743" w:rsidP="00FF46F7">
            <w:pPr>
              <w:pStyle w:val="BodyTextIndent"/>
              <w:ind w:left="0" w:right="53" w:firstLine="0"/>
              <w:rPr>
                <w:del w:id="2945" w:author="AbbVie_HU_03" w:date="2025-05-14T15:27:00Z"/>
                <w:lang w:val="hu-HU"/>
              </w:rPr>
            </w:pPr>
            <w:del w:id="2946" w:author="AbbVie_HU_03" w:date="2025-05-14T15:27:00Z">
              <w:r w:rsidRPr="00183B5F">
                <w:rPr>
                  <w:lang w:val="hu-HU"/>
                </w:rPr>
                <w:delText>(N = 28)</w:delText>
              </w:r>
            </w:del>
          </w:p>
        </w:tc>
      </w:tr>
      <w:tr w:rsidR="00011D2F" w14:paraId="6A0B7C5D" w14:textId="69D3BC3F" w:rsidTr="00FF46F7">
        <w:trPr>
          <w:del w:id="2947" w:author="AbbVie_HU_03" w:date="2025-05-14T15:27:00Z"/>
        </w:trPr>
        <w:tc>
          <w:tcPr>
            <w:tcW w:w="2418" w:type="dxa"/>
          </w:tcPr>
          <w:p w14:paraId="2311CA79" w14:textId="3E46C849" w:rsidR="00FF46F7" w:rsidRPr="00183B5F" w:rsidRDefault="00943743" w:rsidP="00FF46F7">
            <w:pPr>
              <w:pStyle w:val="BodyTextIndent"/>
              <w:ind w:right="53" w:firstLine="0"/>
              <w:rPr>
                <w:del w:id="2948" w:author="AbbVie_HU_03" w:date="2025-05-14T15:27:00Z"/>
                <w:lang w:val="hu-HU"/>
              </w:rPr>
            </w:pPr>
            <w:del w:id="2949" w:author="AbbVie_HU_03" w:date="2025-05-14T15:27:00Z">
              <w:r w:rsidRPr="00183B5F">
                <w:rPr>
                  <w:lang w:val="hu-HU"/>
                </w:rPr>
                <w:delText>A betegség fellángolása a 32. hét végén</w:delText>
              </w:r>
              <w:r w:rsidRPr="00183B5F">
                <w:rPr>
                  <w:vertAlign w:val="superscript"/>
                  <w:lang w:val="hu-HU"/>
                </w:rPr>
                <w:delText>a</w:delText>
              </w:r>
              <w:r w:rsidRPr="00183B5F">
                <w:rPr>
                  <w:lang w:val="hu-HU"/>
                </w:rPr>
                <w:delText xml:space="preserve"> (n/N)</w:delText>
              </w:r>
            </w:del>
          </w:p>
        </w:tc>
        <w:tc>
          <w:tcPr>
            <w:tcW w:w="1760" w:type="dxa"/>
          </w:tcPr>
          <w:p w14:paraId="7C914C69" w14:textId="586C36CF" w:rsidR="00FF46F7" w:rsidRPr="00183B5F" w:rsidRDefault="00943743" w:rsidP="00FF46F7">
            <w:pPr>
              <w:pStyle w:val="BodyTextIndent"/>
              <w:ind w:left="0" w:right="53" w:firstLine="0"/>
              <w:rPr>
                <w:del w:id="2950" w:author="AbbVie_HU_03" w:date="2025-05-14T15:27:00Z"/>
                <w:lang w:val="hu-HU"/>
              </w:rPr>
            </w:pPr>
            <w:del w:id="2951" w:author="AbbVie_HU_03" w:date="2025-05-14T15:27:00Z">
              <w:r w:rsidRPr="00183B5F">
                <w:rPr>
                  <w:lang w:val="hu-HU"/>
                </w:rPr>
                <w:delText>36,8% (14/38)</w:delText>
              </w:r>
            </w:del>
          </w:p>
        </w:tc>
        <w:tc>
          <w:tcPr>
            <w:tcW w:w="1760" w:type="dxa"/>
          </w:tcPr>
          <w:p w14:paraId="6D2D4AC8" w14:textId="70FF6E41" w:rsidR="00FF46F7" w:rsidRPr="00183B5F" w:rsidRDefault="00943743" w:rsidP="00FF46F7">
            <w:pPr>
              <w:pStyle w:val="BodyTextIndent"/>
              <w:ind w:left="0" w:right="53" w:firstLine="0"/>
              <w:rPr>
                <w:del w:id="2952" w:author="AbbVie_HU_03" w:date="2025-05-14T15:27:00Z"/>
                <w:lang w:val="hu-HU"/>
              </w:rPr>
            </w:pPr>
            <w:del w:id="2953" w:author="AbbVie_HU_03" w:date="2025-05-14T15:27:00Z">
              <w:r w:rsidRPr="00183B5F">
                <w:rPr>
                  <w:lang w:val="hu-HU"/>
                </w:rPr>
                <w:delText>64,9% (24/37)</w:delText>
              </w:r>
              <w:r w:rsidRPr="00183B5F">
                <w:rPr>
                  <w:vertAlign w:val="superscript"/>
                  <w:lang w:val="hu-HU"/>
                </w:rPr>
                <w:delText>b</w:delText>
              </w:r>
            </w:del>
          </w:p>
        </w:tc>
        <w:tc>
          <w:tcPr>
            <w:tcW w:w="1650" w:type="dxa"/>
          </w:tcPr>
          <w:p w14:paraId="7D9AD78F" w14:textId="2CC81E25" w:rsidR="00FF46F7" w:rsidRPr="00183B5F" w:rsidRDefault="00943743" w:rsidP="00FF46F7">
            <w:pPr>
              <w:pStyle w:val="BodyTextIndent"/>
              <w:ind w:left="0" w:right="53" w:firstLine="0"/>
              <w:rPr>
                <w:del w:id="2954" w:author="AbbVie_HU_03" w:date="2025-05-14T15:27:00Z"/>
                <w:lang w:val="hu-HU"/>
              </w:rPr>
            </w:pPr>
            <w:del w:id="2955" w:author="AbbVie_HU_03" w:date="2025-05-14T15:27:00Z">
              <w:r w:rsidRPr="00183B5F">
                <w:rPr>
                  <w:lang w:val="hu-HU"/>
                </w:rPr>
                <w:delText>43,3% (13/30)</w:delText>
              </w:r>
            </w:del>
          </w:p>
        </w:tc>
        <w:tc>
          <w:tcPr>
            <w:tcW w:w="1766" w:type="dxa"/>
          </w:tcPr>
          <w:p w14:paraId="384C815C" w14:textId="4962AEAB" w:rsidR="00FF46F7" w:rsidRPr="00183B5F" w:rsidRDefault="00943743" w:rsidP="00FF46F7">
            <w:pPr>
              <w:pStyle w:val="BodyTextIndent"/>
              <w:ind w:left="0" w:right="53" w:firstLine="0"/>
              <w:rPr>
                <w:del w:id="2956" w:author="AbbVie_HU_03" w:date="2025-05-14T15:27:00Z"/>
                <w:lang w:val="hu-HU"/>
              </w:rPr>
            </w:pPr>
            <w:del w:id="2957" w:author="AbbVie_HU_03" w:date="2025-05-14T15:27:00Z">
              <w:r w:rsidRPr="00183B5F">
                <w:rPr>
                  <w:lang w:val="hu-HU"/>
                </w:rPr>
                <w:delText>71,4% (20/28)</w:delText>
              </w:r>
              <w:r w:rsidRPr="00183B5F">
                <w:rPr>
                  <w:vertAlign w:val="superscript"/>
                  <w:lang w:val="hu-HU"/>
                </w:rPr>
                <w:delText>c</w:delText>
              </w:r>
            </w:del>
          </w:p>
        </w:tc>
      </w:tr>
      <w:tr w:rsidR="00011D2F" w14:paraId="65C0F6E8" w14:textId="480D9176" w:rsidTr="00FF46F7">
        <w:trPr>
          <w:del w:id="2958" w:author="AbbVie_HU_03" w:date="2025-05-14T15:27:00Z"/>
        </w:trPr>
        <w:tc>
          <w:tcPr>
            <w:tcW w:w="2418" w:type="dxa"/>
          </w:tcPr>
          <w:p w14:paraId="55AEE2BC" w14:textId="71982917" w:rsidR="00FF46F7" w:rsidRPr="00183B5F" w:rsidRDefault="00943743" w:rsidP="00FF46F7">
            <w:pPr>
              <w:pStyle w:val="BodyTextIndent"/>
              <w:ind w:right="53" w:firstLine="0"/>
              <w:rPr>
                <w:del w:id="2959" w:author="AbbVie_HU_03" w:date="2025-05-14T15:27:00Z"/>
                <w:lang w:val="hu-HU"/>
              </w:rPr>
            </w:pPr>
            <w:del w:id="2960" w:author="AbbVie_HU_03" w:date="2025-05-14T15:27:00Z">
              <w:r w:rsidRPr="00183B5F">
                <w:rPr>
                  <w:lang w:val="hu-HU"/>
                </w:rPr>
                <w:delText xml:space="preserve">A betegség fellángolásáig eltelt medián időtartam </w:delText>
              </w:r>
            </w:del>
          </w:p>
        </w:tc>
        <w:tc>
          <w:tcPr>
            <w:tcW w:w="1760" w:type="dxa"/>
          </w:tcPr>
          <w:p w14:paraId="313D362B" w14:textId="7ABFC8FE" w:rsidR="00FF46F7" w:rsidRPr="00183B5F" w:rsidRDefault="00943743" w:rsidP="00FF46F7">
            <w:pPr>
              <w:pStyle w:val="BodyTextIndent"/>
              <w:ind w:left="0" w:right="53" w:firstLine="0"/>
              <w:rPr>
                <w:del w:id="2961" w:author="AbbVie_HU_03" w:date="2025-05-14T15:27:00Z"/>
                <w:lang w:val="hu-HU"/>
              </w:rPr>
            </w:pPr>
            <w:del w:id="2962" w:author="AbbVie_HU_03" w:date="2025-05-14T15:27:00Z">
              <w:r w:rsidRPr="00183B5F">
                <w:rPr>
                  <w:lang w:val="hu-HU"/>
                </w:rPr>
                <w:delText>&gt; 32 hét</w:delText>
              </w:r>
            </w:del>
          </w:p>
        </w:tc>
        <w:tc>
          <w:tcPr>
            <w:tcW w:w="1760" w:type="dxa"/>
          </w:tcPr>
          <w:p w14:paraId="1453CA5E" w14:textId="3E25CAA4" w:rsidR="00FF46F7" w:rsidRPr="00183B5F" w:rsidRDefault="00943743" w:rsidP="00FF46F7">
            <w:pPr>
              <w:pStyle w:val="BodyTextIndent"/>
              <w:ind w:left="0" w:right="53" w:firstLine="0"/>
              <w:rPr>
                <w:del w:id="2963" w:author="AbbVie_HU_03" w:date="2025-05-14T15:27:00Z"/>
                <w:lang w:val="hu-HU"/>
              </w:rPr>
            </w:pPr>
            <w:del w:id="2964" w:author="AbbVie_HU_03" w:date="2025-05-14T15:27:00Z">
              <w:r w:rsidRPr="00183B5F">
                <w:rPr>
                  <w:lang w:val="hu-HU"/>
                </w:rPr>
                <w:delText>20 hét</w:delText>
              </w:r>
            </w:del>
          </w:p>
        </w:tc>
        <w:tc>
          <w:tcPr>
            <w:tcW w:w="1650" w:type="dxa"/>
          </w:tcPr>
          <w:p w14:paraId="6D873B35" w14:textId="6B470958" w:rsidR="00FF46F7" w:rsidRPr="00183B5F" w:rsidRDefault="00943743" w:rsidP="00FF46F7">
            <w:pPr>
              <w:pStyle w:val="BodyTextIndent"/>
              <w:ind w:left="0" w:right="53" w:firstLine="0"/>
              <w:rPr>
                <w:del w:id="2965" w:author="AbbVie_HU_03" w:date="2025-05-14T15:27:00Z"/>
                <w:lang w:val="hu-HU"/>
              </w:rPr>
            </w:pPr>
            <w:del w:id="2966" w:author="AbbVie_HU_03" w:date="2025-05-14T15:27:00Z">
              <w:r w:rsidRPr="00183B5F">
                <w:rPr>
                  <w:lang w:val="hu-HU"/>
                </w:rPr>
                <w:delText>&gt;32 hét</w:delText>
              </w:r>
            </w:del>
          </w:p>
        </w:tc>
        <w:tc>
          <w:tcPr>
            <w:tcW w:w="1766" w:type="dxa"/>
          </w:tcPr>
          <w:p w14:paraId="77F74FE5" w14:textId="3A9D853F" w:rsidR="00FF46F7" w:rsidRPr="00183B5F" w:rsidRDefault="00943743" w:rsidP="00FF46F7">
            <w:pPr>
              <w:pStyle w:val="BodyTextIndent"/>
              <w:ind w:left="0" w:right="53" w:firstLine="0"/>
              <w:rPr>
                <w:del w:id="2967" w:author="AbbVie_HU_03" w:date="2025-05-14T15:27:00Z"/>
                <w:lang w:val="hu-HU"/>
              </w:rPr>
            </w:pPr>
            <w:del w:id="2968" w:author="AbbVie_HU_03" w:date="2025-05-14T15:27:00Z">
              <w:r w:rsidRPr="00183B5F">
                <w:rPr>
                  <w:lang w:val="hu-HU"/>
                </w:rPr>
                <w:delText>14 hét</w:delText>
              </w:r>
            </w:del>
          </w:p>
        </w:tc>
      </w:tr>
    </w:tbl>
    <w:p w14:paraId="36CCFFB8" w14:textId="2E91AA75" w:rsidR="00FF46F7" w:rsidRPr="00183B5F" w:rsidRDefault="00943743" w:rsidP="00FF46F7">
      <w:pPr>
        <w:pStyle w:val="BodyTextIndent"/>
        <w:ind w:left="110" w:right="53" w:firstLine="0"/>
        <w:rPr>
          <w:del w:id="2969" w:author="AbbVie_HU_03" w:date="2025-05-14T15:27:00Z"/>
          <w:lang w:val="hu-HU"/>
        </w:rPr>
      </w:pPr>
      <w:del w:id="2970" w:author="AbbVie_HU_03" w:date="2025-05-14T15:27:00Z">
        <w:r w:rsidRPr="00183B5F">
          <w:rPr>
            <w:vertAlign w:val="superscript"/>
            <w:lang w:val="hu-HU"/>
          </w:rPr>
          <w:delText xml:space="preserve">a </w:delText>
        </w:r>
        <w:r w:rsidRPr="00183B5F">
          <w:rPr>
            <w:lang w:val="hu-HU"/>
          </w:rPr>
          <w:delText xml:space="preserve">A 48. heti Pediátriai ACR 30/50/70 válaszok szignifikánsan magasabbak, mint a placebóval kezelt betegeknél kapott értékek </w:delText>
        </w:r>
      </w:del>
    </w:p>
    <w:p w14:paraId="717AFCB9" w14:textId="05358841" w:rsidR="00FF46F7" w:rsidRPr="00183B5F" w:rsidRDefault="00943743" w:rsidP="00FF46F7">
      <w:pPr>
        <w:pStyle w:val="BodyTextIndent"/>
        <w:ind w:left="110" w:right="53" w:firstLine="0"/>
        <w:rPr>
          <w:del w:id="2971" w:author="AbbVie_HU_03" w:date="2025-05-14T15:27:00Z"/>
          <w:lang w:val="hu-HU"/>
        </w:rPr>
      </w:pPr>
      <w:del w:id="2972" w:author="AbbVie_HU_03" w:date="2025-05-14T15:27:00Z">
        <w:r w:rsidRPr="00183B5F">
          <w:rPr>
            <w:vertAlign w:val="superscript"/>
            <w:lang w:val="hu-HU"/>
          </w:rPr>
          <w:delText>b</w:delText>
        </w:r>
        <w:r w:rsidRPr="00183B5F">
          <w:rPr>
            <w:lang w:val="hu-HU"/>
          </w:rPr>
          <w:delText xml:space="preserve"> p = 0,015</w:delText>
        </w:r>
      </w:del>
    </w:p>
    <w:p w14:paraId="163E3EF8" w14:textId="27176184" w:rsidR="00FF46F7" w:rsidRPr="00183B5F" w:rsidRDefault="00943743" w:rsidP="00FF46F7">
      <w:pPr>
        <w:pStyle w:val="BodyTextIndent"/>
        <w:ind w:left="110" w:right="53" w:firstLine="0"/>
        <w:rPr>
          <w:del w:id="2973" w:author="AbbVie_HU_03" w:date="2025-05-14T15:27:00Z"/>
          <w:lang w:val="hu-HU"/>
        </w:rPr>
      </w:pPr>
      <w:del w:id="2974" w:author="AbbVie_HU_03" w:date="2025-05-14T15:27:00Z">
        <w:r w:rsidRPr="00183B5F">
          <w:rPr>
            <w:vertAlign w:val="superscript"/>
            <w:lang w:val="hu-HU"/>
          </w:rPr>
          <w:delText>c</w:delText>
        </w:r>
        <w:r w:rsidRPr="00183B5F">
          <w:rPr>
            <w:lang w:val="hu-HU"/>
          </w:rPr>
          <w:delText xml:space="preserve"> p = 0,031</w:delText>
        </w:r>
      </w:del>
    </w:p>
    <w:p w14:paraId="6D026A03" w14:textId="4704D607" w:rsidR="00FF46F7" w:rsidRPr="00183B5F" w:rsidRDefault="00FF46F7" w:rsidP="00FF46F7">
      <w:pPr>
        <w:pStyle w:val="BodyTextIndent"/>
        <w:ind w:right="53"/>
        <w:rPr>
          <w:del w:id="2975" w:author="AbbVie_HU_03" w:date="2025-05-14T15:27:00Z"/>
          <w:b/>
          <w:lang w:val="hu-HU"/>
        </w:rPr>
      </w:pPr>
    </w:p>
    <w:p w14:paraId="10A9DE98" w14:textId="4BB96142" w:rsidR="00FF46F7" w:rsidRPr="00183B5F" w:rsidRDefault="00943743" w:rsidP="00FF46F7">
      <w:pPr>
        <w:pStyle w:val="BodyTextIndent"/>
        <w:ind w:left="0" w:right="53" w:firstLine="0"/>
        <w:rPr>
          <w:del w:id="2976" w:author="AbbVie_HU_03" w:date="2025-05-14T15:27:00Z"/>
          <w:lang w:val="hu-HU"/>
        </w:rPr>
      </w:pPr>
      <w:del w:id="2977" w:author="AbbVie_HU_03" w:date="2025-05-14T15:27:00Z">
        <w:r w:rsidRPr="00183B5F">
          <w:rPr>
            <w:lang w:val="hu-HU"/>
          </w:rPr>
          <w:delText>Azok közül, akiknél terápiás válasz alakult ki a 16. héten (n = 144), a Pediátriai</w:delText>
        </w:r>
        <w:r w:rsidRPr="00183B5F">
          <w:rPr>
            <w:bCs/>
            <w:szCs w:val="22"/>
            <w:lang w:val="hu-HU"/>
          </w:rPr>
          <w:delText> </w:delText>
        </w:r>
        <w:r w:rsidRPr="00183B5F">
          <w:rPr>
            <w:lang w:val="hu-HU"/>
          </w:rPr>
          <w:delText>ACR 30/50/70/90 válaszok a nyílt kiterjesztéses szakaszban akár 6 éven át fennmaradtak azoknál, akik Humira</w:delText>
        </w:r>
        <w:r w:rsidRPr="00183B5F">
          <w:rPr>
            <w:bCs/>
            <w:szCs w:val="22"/>
            <w:lang w:val="hu-HU"/>
          </w:rPr>
          <w:noBreakHyphen/>
        </w:r>
        <w:r w:rsidRPr="00183B5F">
          <w:rPr>
            <w:lang w:val="hu-HU"/>
          </w:rPr>
          <w:delText>t kaptak a vizsgálat teljes ideje alatt. Összesen 19 beteget kezeltek 6 évig vagy ennél hosszabb ideig, közülük 11-en tartoztak a 4 – 12 évesek, míg 8-an a 13 – 17 évesek kiindulási korcsoportjába.</w:delText>
        </w:r>
      </w:del>
    </w:p>
    <w:p w14:paraId="5FCD171A" w14:textId="21D4FB1E" w:rsidR="00FF46F7" w:rsidRPr="00183B5F" w:rsidRDefault="00FF46F7" w:rsidP="00FF46F7">
      <w:pPr>
        <w:pStyle w:val="EMEANormal"/>
        <w:rPr>
          <w:del w:id="2978" w:author="AbbVie_HU_03" w:date="2025-05-14T15:27:00Z"/>
          <w:lang w:val="hu-HU"/>
        </w:rPr>
      </w:pPr>
    </w:p>
    <w:p w14:paraId="59FC2EE3" w14:textId="13426F8A" w:rsidR="00FF46F7" w:rsidRPr="00183B5F" w:rsidRDefault="00943743" w:rsidP="00FF46F7">
      <w:pPr>
        <w:pStyle w:val="EMEANormal"/>
        <w:rPr>
          <w:del w:id="2979" w:author="AbbVie_HU_03" w:date="2025-05-14T15:27:00Z"/>
          <w:lang w:val="hu-HU"/>
        </w:rPr>
      </w:pPr>
      <w:del w:id="2980" w:author="AbbVie_HU_03" w:date="2025-05-14T15:27:00Z">
        <w:r w:rsidRPr="00183B5F">
          <w:rPr>
            <w:lang w:val="hu-HU"/>
          </w:rPr>
          <w:delText>A Humira és MTX kombinációjával kezelteknél az összesített terápiás válaszok általában jobbak voltak és kevesebb betegnél alakultak ki antitestek, mint azoknál, akik a Humira</w:delText>
        </w:r>
        <w:r w:rsidRPr="00183B5F">
          <w:rPr>
            <w:lang w:val="hu-HU"/>
          </w:rPr>
          <w:noBreakHyphen/>
          <w:delText>t önmagában kapták. Ezeket az eredményeket figyelembe véve a Humira alkalmazása MTX</w:delText>
        </w:r>
        <w:r w:rsidRPr="00183B5F">
          <w:rPr>
            <w:lang w:val="hu-HU"/>
          </w:rPr>
          <w:noBreakHyphen/>
          <w:delText>kombinációban, illetve monoterápiaként olyan betegeknél ajánlott, akiknél az MTX alkalmazása nem megfelelő (lásd 4.2 pont).</w:delText>
        </w:r>
      </w:del>
    </w:p>
    <w:p w14:paraId="3A9FB0A1" w14:textId="76BDAA7E" w:rsidR="00FF46F7" w:rsidRPr="00183B5F" w:rsidRDefault="00FF46F7" w:rsidP="00FF46F7">
      <w:pPr>
        <w:pStyle w:val="EMEANormal"/>
        <w:rPr>
          <w:del w:id="2981" w:author="AbbVie_HU_03" w:date="2025-05-14T15:27:00Z"/>
          <w:lang w:val="hu-HU"/>
        </w:rPr>
      </w:pPr>
    </w:p>
    <w:p w14:paraId="1B47D520" w14:textId="47D32891" w:rsidR="00FF46F7" w:rsidRPr="00183B5F" w:rsidRDefault="00943743" w:rsidP="00FF46F7">
      <w:pPr>
        <w:pStyle w:val="EMEANormal"/>
        <w:keepNext/>
        <w:rPr>
          <w:del w:id="2982" w:author="AbbVie_HU_03" w:date="2025-05-14T15:27:00Z"/>
          <w:lang w:val="hu-HU"/>
        </w:rPr>
      </w:pPr>
      <w:del w:id="2983" w:author="AbbVie_HU_03" w:date="2025-05-14T15:27:00Z">
        <w:r w:rsidRPr="00183B5F">
          <w:rPr>
            <w:lang w:val="hu-HU"/>
          </w:rPr>
          <w:delText>pJIA II</w:delText>
        </w:r>
      </w:del>
    </w:p>
    <w:p w14:paraId="2DC7EECA" w14:textId="0AC81374" w:rsidR="00FF46F7" w:rsidRPr="00183B5F" w:rsidRDefault="00FF46F7" w:rsidP="00FF46F7">
      <w:pPr>
        <w:pStyle w:val="EMEANormal"/>
        <w:keepNext/>
        <w:rPr>
          <w:del w:id="2984" w:author="AbbVie_HU_03" w:date="2025-05-14T15:27:00Z"/>
          <w:lang w:val="hu-HU"/>
        </w:rPr>
      </w:pPr>
    </w:p>
    <w:p w14:paraId="6A207DC4" w14:textId="7AF1AB86" w:rsidR="00FF46F7" w:rsidRPr="00183B5F" w:rsidRDefault="00943743" w:rsidP="00FF46F7">
      <w:pPr>
        <w:pStyle w:val="EMEANormal"/>
        <w:keepNext/>
        <w:rPr>
          <w:del w:id="2985" w:author="AbbVie_HU_03" w:date="2025-05-14T15:27:00Z"/>
          <w:szCs w:val="22"/>
          <w:lang w:val="hu-HU"/>
        </w:rPr>
      </w:pPr>
      <w:del w:id="2986" w:author="AbbVie_HU_03" w:date="2025-05-14T15:27:00Z">
        <w:r w:rsidRPr="00183B5F">
          <w:rPr>
            <w:lang w:val="hu-HU"/>
          </w:rPr>
          <w:delText xml:space="preserve">A Humira biztonságosságát és hatásosságát egy nyílt, </w:delText>
        </w:r>
        <w:r w:rsidRPr="00183B5F">
          <w:rPr>
            <w:szCs w:val="22"/>
            <w:lang w:val="hu-HU"/>
          </w:rPr>
          <w:delText>multicentrikus vizsgálatban értékelték, amelyet 32 olyan gyermek bevonásával végeztek (életkoruk 2 </w:delText>
        </w:r>
        <w:r w:rsidRPr="00183B5F">
          <w:rPr>
            <w:szCs w:val="22"/>
            <w:lang w:val="hu-HU"/>
          </w:rPr>
          <w:noBreakHyphen/>
          <w:delText> &lt;4 év vagy 4 év és a feletti, testtömegük &lt; 15 kg volt), akik közepesen súlyos vagy súlyos, aktív pJIA</w:delText>
        </w:r>
        <w:r w:rsidRPr="00183B5F">
          <w:rPr>
            <w:szCs w:val="22"/>
            <w:lang w:val="hu-HU"/>
          </w:rPr>
          <w:noBreakHyphen/>
          <w:delText>ban szenvedtek. A betegek 24 mg/testfelszín m</w:delText>
        </w:r>
        <w:r w:rsidRPr="00183B5F">
          <w:rPr>
            <w:szCs w:val="22"/>
            <w:vertAlign w:val="superscript"/>
            <w:lang w:val="hu-HU"/>
          </w:rPr>
          <w:delText>2</w:delText>
        </w:r>
        <w:r w:rsidRPr="00183B5F">
          <w:rPr>
            <w:szCs w:val="22"/>
            <w:lang w:val="hu-HU"/>
          </w:rPr>
          <w:delText>, kéthetente legfeljebb 20 mg egyszeri adag Humira</w:delText>
        </w:r>
        <w:r w:rsidRPr="00183B5F">
          <w:rPr>
            <w:szCs w:val="22"/>
            <w:lang w:val="hu-HU"/>
          </w:rPr>
          <w:noBreakHyphen/>
        </w:r>
        <w:r w:rsidRPr="00183B5F">
          <w:rPr>
            <w:szCs w:val="22"/>
            <w:lang w:val="hu-HU"/>
          </w:rPr>
          <w:delText>t kaptak sc. injekció formájában legalább 24 hétig. A vizsgálat alatt a legtöbb betegnél alkalmaztak kísérő MTX</w:delText>
        </w:r>
        <w:r w:rsidRPr="00183B5F">
          <w:rPr>
            <w:szCs w:val="22"/>
            <w:lang w:val="hu-HU"/>
          </w:rPr>
          <w:noBreakHyphen/>
          <w:delText>ot, néhány betegnél pedig kortikoszteroidok vagy nem szteroid gyulladásgátlók (NSAID) alkalmazásáról számoltak be.</w:delText>
        </w:r>
      </w:del>
    </w:p>
    <w:p w14:paraId="7B85C5DB" w14:textId="244E3E73" w:rsidR="00FF46F7" w:rsidRPr="00183B5F" w:rsidRDefault="00FF46F7" w:rsidP="00FF46F7">
      <w:pPr>
        <w:pStyle w:val="EMEANormal"/>
        <w:rPr>
          <w:del w:id="2987" w:author="AbbVie_HU_03" w:date="2025-05-14T15:27:00Z"/>
          <w:szCs w:val="22"/>
          <w:lang w:val="hu-HU"/>
        </w:rPr>
      </w:pPr>
    </w:p>
    <w:p w14:paraId="560453D9" w14:textId="26E6AEC5" w:rsidR="00FF46F7" w:rsidRPr="00183B5F" w:rsidRDefault="00943743" w:rsidP="00FF46F7">
      <w:pPr>
        <w:pStyle w:val="EMEANormal"/>
        <w:rPr>
          <w:del w:id="2988" w:author="AbbVie_HU_03" w:date="2025-05-14T15:27:00Z"/>
          <w:lang w:val="hu-HU"/>
        </w:rPr>
      </w:pPr>
      <w:del w:id="2989" w:author="AbbVie_HU_03" w:date="2025-05-14T15:27:00Z">
        <w:r w:rsidRPr="00183B5F">
          <w:rPr>
            <w:szCs w:val="22"/>
            <w:lang w:val="hu-HU"/>
          </w:rPr>
          <w:delText xml:space="preserve">A Pediátriai ACR 30 válasz a 12. héten 93,5%, a 24. héten pedig 90,0% volt a megfigyelt adatok elemzése alapján. A Pediátriai ACR 50/70/90 választ elérő betegek aránya a 12. héten 90,3%/61,3%/38,7%, a 24. héten 83,3%/73,3%/36,7% volt. </w:delText>
        </w:r>
        <w:r w:rsidRPr="00183B5F">
          <w:rPr>
            <w:lang w:val="hu-HU"/>
          </w:rPr>
          <w:delText>Azok közül, akiknél terápiás válasz (Pediátriai ACR 30 ) alakult ki a 24. héten (n = 27 a 30 betegből), a Pediátriai ACR 30 válasz a nyílt kiterjesztéses szakaszban akár 60 hétig fennmaradt azoknál, akik Humira</w:delText>
        </w:r>
        <w:r w:rsidRPr="00183B5F">
          <w:rPr>
            <w:lang w:val="hu-HU"/>
          </w:rPr>
          <w:noBreakHyphen/>
          <w:delText>t kaptak ebben az időszakban. Összesen 20 beteget kezeltek 60 hétig vagy ennél hosszabb ideig.</w:delText>
        </w:r>
      </w:del>
    </w:p>
    <w:p w14:paraId="7F119E3E" w14:textId="7ACB7688" w:rsidR="00FF46F7" w:rsidRPr="00183B5F" w:rsidRDefault="00FF46F7" w:rsidP="00FF46F7">
      <w:pPr>
        <w:spacing w:line="240" w:lineRule="auto"/>
        <w:rPr>
          <w:del w:id="2990" w:author="AbbVie_HU_03" w:date="2025-05-14T15:27:00Z"/>
          <w:szCs w:val="22"/>
          <w:u w:val="single"/>
        </w:rPr>
      </w:pPr>
    </w:p>
    <w:p w14:paraId="61F0BEBC" w14:textId="144038BB" w:rsidR="00FF46F7" w:rsidRPr="00183B5F" w:rsidRDefault="00943743" w:rsidP="00FF46F7">
      <w:pPr>
        <w:keepNext/>
        <w:spacing w:line="240" w:lineRule="auto"/>
        <w:rPr>
          <w:del w:id="2991" w:author="AbbVie_HU_03" w:date="2025-05-14T15:27:00Z"/>
          <w:i/>
          <w:szCs w:val="22"/>
          <w:u w:val="single"/>
        </w:rPr>
      </w:pPr>
      <w:del w:id="2992" w:author="AbbVie_HU_03" w:date="2025-05-14T15:27:00Z">
        <w:r w:rsidRPr="00183B5F">
          <w:rPr>
            <w:i/>
            <w:szCs w:val="22"/>
            <w:u w:val="single"/>
          </w:rPr>
          <w:delText>Enthesitis-asszociált arthritis</w:delText>
        </w:r>
      </w:del>
    </w:p>
    <w:p w14:paraId="6BD22935" w14:textId="7ECD12D4" w:rsidR="00FF46F7" w:rsidRPr="00183B5F" w:rsidRDefault="00FF46F7" w:rsidP="00FF46F7">
      <w:pPr>
        <w:keepNext/>
        <w:spacing w:line="240" w:lineRule="auto"/>
        <w:rPr>
          <w:del w:id="2993" w:author="AbbVie_HU_03" w:date="2025-05-14T15:27:00Z"/>
          <w:szCs w:val="22"/>
          <w:u w:val="single"/>
        </w:rPr>
      </w:pPr>
    </w:p>
    <w:p w14:paraId="7883BA35" w14:textId="7E3906E6" w:rsidR="00FF46F7" w:rsidRPr="00183B5F" w:rsidRDefault="00943743" w:rsidP="00FF46F7">
      <w:pPr>
        <w:pStyle w:val="EMEANormal"/>
        <w:keepNext/>
        <w:rPr>
          <w:del w:id="2994" w:author="AbbVie_HU_03" w:date="2025-05-14T15:27:00Z"/>
          <w:szCs w:val="22"/>
          <w:lang w:val="hu-HU"/>
        </w:rPr>
      </w:pPr>
      <w:del w:id="2995" w:author="AbbVie_HU_03" w:date="2025-05-14T15:27:00Z">
        <w:r w:rsidRPr="00183B5F">
          <w:rPr>
            <w:lang w:val="hu-HU"/>
          </w:rPr>
          <w:delText xml:space="preserve">A Humira biztonságosságát és hatásosságát egy </w:delText>
        </w:r>
        <w:r w:rsidRPr="00183B5F">
          <w:rPr>
            <w:szCs w:val="22"/>
            <w:lang w:val="hu-HU"/>
          </w:rPr>
          <w:delText>multicentrikus, randomizált, kettős vak vizsgálatban értékelték, amelyet 46 olyan beteg bevonásával végeztek (életkoruk 6</w:delText>
        </w:r>
        <w:r w:rsidRPr="00183B5F">
          <w:rPr>
            <w:szCs w:val="22"/>
            <w:lang w:val="hu-HU"/>
          </w:rPr>
          <w:noBreakHyphen/>
          <w:delText>17 év), akik közepesen súlyos enthesitis-asszociált arthritisben szenvedtek. A betegek vagy 24 mg/testfelszín m</w:delText>
        </w:r>
        <w:r w:rsidRPr="00183B5F">
          <w:rPr>
            <w:szCs w:val="22"/>
            <w:vertAlign w:val="superscript"/>
            <w:lang w:val="hu-HU"/>
          </w:rPr>
          <w:delText>2</w:delText>
        </w:r>
        <w:r w:rsidRPr="00183B5F">
          <w:rPr>
            <w:szCs w:val="22"/>
            <w:lang w:val="hu-HU"/>
          </w:rPr>
          <w:delText>, kéthetente legfeljebb 40 mg Humira</w:delText>
        </w:r>
        <w:r w:rsidRPr="00183B5F">
          <w:rPr>
            <w:szCs w:val="22"/>
            <w:lang w:val="hu-HU"/>
          </w:rPr>
          <w:noBreakHyphen/>
          <w:delText>t vagy placebót kaptak 12 hétig. A kettős vak szakaszt egy nyílt szakasz követte, ami alatt a betegek 24 mg/testfelszín m</w:delText>
        </w:r>
        <w:r w:rsidRPr="00183B5F">
          <w:rPr>
            <w:szCs w:val="22"/>
            <w:vertAlign w:val="superscript"/>
            <w:lang w:val="hu-HU"/>
          </w:rPr>
          <w:delText>2</w:delText>
        </w:r>
        <w:r w:rsidRPr="00183B5F">
          <w:rPr>
            <w:szCs w:val="22"/>
            <w:lang w:val="hu-HU"/>
          </w:rPr>
          <w:delText>, kéthetente legfeljebb 40 mg subcutan Humira</w:delText>
        </w:r>
        <w:r w:rsidRPr="00183B5F">
          <w:rPr>
            <w:szCs w:val="22"/>
            <w:lang w:val="hu-HU"/>
          </w:rPr>
          <w:noBreakHyphen/>
          <w:delText>t kaptak további 192 hétig. Az elsődleges végpont a kiindulási értékek és</w:delText>
        </w:r>
        <w:r w:rsidRPr="00183B5F">
          <w:rPr>
            <w:szCs w:val="22"/>
            <w:lang w:val="hu-HU"/>
          </w:rPr>
          <w:delText xml:space="preserve"> a 12. heti értékek közötti százalékos változás volt az aktív arthritises ízületek számában (ahol a duzzanatot nem az ízületi deformitás okozza vagy olyan ízület, amelynek mozgása korlátozott és fájdalmas és/vagy duzzadt). Az elsődleges végpont teljesült, a Humira</w:delText>
        </w:r>
        <w:r w:rsidRPr="00183B5F">
          <w:rPr>
            <w:szCs w:val="22"/>
            <w:lang w:val="hu-HU"/>
          </w:rPr>
          <w:noBreakHyphen/>
          <w:delText xml:space="preserve">csoportban az átlagos százalékos változás (csökkenés) </w:delText>
        </w:r>
        <w:r w:rsidRPr="00183B5F">
          <w:rPr>
            <w:szCs w:val="22"/>
            <w:lang w:val="hu-HU"/>
          </w:rPr>
          <w:noBreakHyphen/>
          <w:delText xml:space="preserve">62,6% (medián százalékos változás -88,9%) volt, a placebocsoportban pedig </w:delText>
        </w:r>
        <w:r w:rsidRPr="00183B5F">
          <w:rPr>
            <w:szCs w:val="22"/>
            <w:lang w:val="hu-HU"/>
          </w:rPr>
          <w:noBreakHyphen/>
          <w:delText xml:space="preserve">11,6% (medián százalékos változás </w:delText>
        </w:r>
        <w:r w:rsidRPr="00183B5F">
          <w:rPr>
            <w:szCs w:val="22"/>
            <w:lang w:val="hu-HU"/>
          </w:rPr>
          <w:noBreakHyphen/>
          <w:delText>50,0%) volt. Az aktív arthritises ízületek számának javulása a Humira-csoportban 3</w:delText>
        </w:r>
        <w:r w:rsidRPr="00183B5F">
          <w:rPr>
            <w:szCs w:val="22"/>
            <w:lang w:val="hu-HU"/>
          </w:rPr>
          <w:delText>1 betegből a vizsgálatban maradó 26</w:delText>
        </w:r>
        <w:r w:rsidRPr="00183B5F">
          <w:rPr>
            <w:szCs w:val="22"/>
            <w:lang w:val="hu-HU"/>
          </w:rPr>
          <w:noBreakHyphen/>
          <w:delText>nál (84%) megmaradt a nyílt szakaszban a 156. hétig. Bár statisztikailag nem szignifikáns, de a betegek többsége klinikai javulást mutatott a másodlagos végpontok tekintetében is, pl. az enthesitis által érintett részek számában, az érzékeny ízületek számában, a duzzadt ízületek számában, a pediátriai ACR 50 válaszban és a pediátriai ACR 70 válaszban.</w:delText>
        </w:r>
      </w:del>
    </w:p>
    <w:p w14:paraId="708B6914" w14:textId="6CCA9AD1" w:rsidR="00044AE0" w:rsidRPr="00183B5F" w:rsidRDefault="00044AE0" w:rsidP="00044AE0">
      <w:pPr>
        <w:pStyle w:val="EMEAHeadingUnderline"/>
        <w:tabs>
          <w:tab w:val="clear" w:pos="562"/>
        </w:tabs>
        <w:spacing w:beforeLines="0" w:afterLines="0"/>
        <w:rPr>
          <w:del w:id="2996" w:author="AbbVie_HU_03" w:date="2025-05-14T15:27:00Z"/>
          <w:szCs w:val="22"/>
          <w:u w:val="none"/>
          <w:lang w:val="hu-HU"/>
        </w:rPr>
      </w:pPr>
    </w:p>
    <w:p w14:paraId="2F4B1EC6" w14:textId="6EE9681A" w:rsidR="00044AE0" w:rsidRPr="00183B5F" w:rsidRDefault="00943743" w:rsidP="00044AE0">
      <w:pPr>
        <w:pStyle w:val="EMEANormal"/>
        <w:rPr>
          <w:del w:id="2997" w:author="AbbVie_HU_03" w:date="2025-05-14T15:27:00Z"/>
          <w:i/>
          <w:szCs w:val="22"/>
          <w:lang w:val="hu-HU"/>
        </w:rPr>
      </w:pPr>
      <w:del w:id="2998" w:author="AbbVie_HU_03" w:date="2025-05-14T15:27:00Z">
        <w:r w:rsidRPr="00183B5F">
          <w:rPr>
            <w:i/>
            <w:szCs w:val="22"/>
            <w:lang w:val="hu-HU"/>
          </w:rPr>
          <w:delText>Gyermekkori plakkos psoriasis</w:delText>
        </w:r>
      </w:del>
    </w:p>
    <w:p w14:paraId="6FE86B2B" w14:textId="0B4B948D" w:rsidR="00044AE0" w:rsidRPr="00183B5F" w:rsidRDefault="00044AE0" w:rsidP="00044AE0">
      <w:pPr>
        <w:pStyle w:val="EMEANormal"/>
        <w:rPr>
          <w:del w:id="2999" w:author="AbbVie_HU_03" w:date="2025-05-14T15:27:00Z"/>
          <w:szCs w:val="22"/>
          <w:lang w:val="hu-HU"/>
        </w:rPr>
      </w:pPr>
    </w:p>
    <w:p w14:paraId="42643746" w14:textId="3746C85A" w:rsidR="00044AE0" w:rsidRPr="00183B5F" w:rsidRDefault="00943743" w:rsidP="00044AE0">
      <w:pPr>
        <w:pStyle w:val="EMEANormal"/>
        <w:rPr>
          <w:del w:id="3000" w:author="AbbVie_HU_03" w:date="2025-05-14T15:27:00Z"/>
          <w:szCs w:val="22"/>
          <w:lang w:val="hu-HU"/>
        </w:rPr>
      </w:pPr>
      <w:del w:id="3001" w:author="AbbVie_HU_03" w:date="2025-05-14T15:27:00Z">
        <w:r w:rsidRPr="00183B5F">
          <w:rPr>
            <w:szCs w:val="22"/>
            <w:lang w:val="hu-HU"/>
          </w:rPr>
          <w:delText>A Humira hatásosságát egy randomizált, kettős vak, kontrollos vizsgálattal értékelték, amelyet 114 olyan, 4 évnél idősebb, súlyos krónikus plakkos psoriasisban szenvedő gyermek (az orvos által végzett globális értékelés [Physician’s Global Assessment, PGA] szerint ≥ 4, vagy &gt; 20%-os testfelületi érintettség, vagy &gt; 10%-os testfelületi érintettség nagyon vastag elváltozásokkal, vagy psoriasisos terület és súlyossági index (</w:delText>
        </w:r>
        <w:r w:rsidRPr="00183B5F">
          <w:rPr>
            <w:lang w:val="hu-HU"/>
          </w:rPr>
          <w:delText xml:space="preserve">Psoriasis Area and Severity Index, </w:delText>
        </w:r>
        <w:r w:rsidRPr="00183B5F">
          <w:rPr>
            <w:szCs w:val="22"/>
            <w:lang w:val="hu-HU"/>
          </w:rPr>
          <w:delText>PASI) ≥ 20, vagy PASI ≥ 10 klinikailag jelentős arc-, genitális vagy kézfej/lábfej-érintettséggel) bevonásával végeztek, akiknél a helyi kezelés és fényterápia vagy a fototerápia hatástalan volt.</w:delText>
        </w:r>
      </w:del>
    </w:p>
    <w:p w14:paraId="19A94C94" w14:textId="3180E5CF" w:rsidR="00044AE0" w:rsidRPr="00183B5F" w:rsidRDefault="00044AE0" w:rsidP="00044AE0">
      <w:pPr>
        <w:pStyle w:val="EMEANormal"/>
        <w:rPr>
          <w:del w:id="3002" w:author="AbbVie_HU_03" w:date="2025-05-14T15:27:00Z"/>
          <w:szCs w:val="22"/>
          <w:lang w:val="hu-HU"/>
        </w:rPr>
      </w:pPr>
    </w:p>
    <w:p w14:paraId="0EEB7C92" w14:textId="5E7A0B85" w:rsidR="00044AE0" w:rsidRPr="00183B5F" w:rsidRDefault="00943743" w:rsidP="00044AE0">
      <w:pPr>
        <w:pStyle w:val="EMEANormal"/>
        <w:rPr>
          <w:del w:id="3003" w:author="AbbVie_HU_03" w:date="2025-05-14T15:27:00Z"/>
          <w:szCs w:val="22"/>
          <w:lang w:val="hu-HU"/>
        </w:rPr>
      </w:pPr>
      <w:del w:id="3004" w:author="AbbVie_HU_03" w:date="2025-05-14T15:27:00Z">
        <w:r w:rsidRPr="00183B5F">
          <w:rPr>
            <w:szCs w:val="22"/>
            <w:lang w:val="hu-HU"/>
          </w:rPr>
          <w:delText>A betegek 0,8 mg/ttkg (legfeljebb 40 mg), 40 mg/ttkg (legfeljebb 20 mg) Humira</w:delText>
        </w:r>
        <w:r w:rsidRPr="00183B5F">
          <w:rPr>
            <w:szCs w:val="22"/>
            <w:lang w:val="hu-HU"/>
          </w:rPr>
          <w:noBreakHyphen/>
          <w:delText>t kaptak két hetente vagy 0,1</w:delText>
        </w:r>
        <w:r w:rsidRPr="00183B5F">
          <w:rPr>
            <w:szCs w:val="22"/>
            <w:lang w:val="hu-HU"/>
          </w:rPr>
          <w:noBreakHyphen/>
          <w:delText>0,4 mg/ttkg (legfeljebb 25 mg) metotrexátot hetente. Tizenhat hetes kezelés után több, 0,8 mg/ttkg Humira</w:delText>
        </w:r>
        <w:r w:rsidRPr="00183B5F">
          <w:rPr>
            <w:szCs w:val="22"/>
            <w:lang w:val="hu-HU"/>
          </w:rPr>
          <w:noBreakHyphen/>
          <w:delText>ra randomizált beteg mutatott pozitív hatásossági választ ( pl. PASI 75), mint a kéthetente 0,4 mg/ttkg Humira</w:delText>
        </w:r>
        <w:r w:rsidRPr="00183B5F">
          <w:rPr>
            <w:szCs w:val="22"/>
            <w:lang w:val="hu-HU"/>
          </w:rPr>
          <w:noBreakHyphen/>
          <w:delText>val vagy metotrexáttal kezelt betegek.</w:delText>
        </w:r>
      </w:del>
    </w:p>
    <w:p w14:paraId="7B16A65B" w14:textId="0B18D95E" w:rsidR="00044AE0" w:rsidRPr="00183B5F" w:rsidRDefault="00044AE0" w:rsidP="00044AE0">
      <w:pPr>
        <w:pStyle w:val="EMEANormal"/>
        <w:rPr>
          <w:del w:id="3005" w:author="AbbVie_HU_03" w:date="2025-05-14T15:27:00Z"/>
          <w:szCs w:val="22"/>
          <w:lang w:val="hu-HU"/>
        </w:rPr>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464"/>
        <w:gridCol w:w="1554"/>
        <w:gridCol w:w="3070"/>
      </w:tblGrid>
      <w:tr w:rsidR="00011D2F" w14:paraId="6FE4153E" w14:textId="244F0001" w:rsidTr="00044AE0">
        <w:trPr>
          <w:jc w:val="center"/>
          <w:del w:id="3006" w:author="AbbVie_HU_03" w:date="2025-05-14T15:27:00Z"/>
        </w:trPr>
        <w:tc>
          <w:tcPr>
            <w:tcW w:w="5000" w:type="pct"/>
            <w:gridSpan w:val="3"/>
            <w:tcBorders>
              <w:top w:val="nil"/>
              <w:left w:val="nil"/>
              <w:bottom w:val="nil"/>
              <w:right w:val="nil"/>
            </w:tcBorders>
            <w:vAlign w:val="center"/>
          </w:tcPr>
          <w:p w14:paraId="2EF8EF8A" w14:textId="10A880A8" w:rsidR="00044AE0" w:rsidRPr="00183B5F" w:rsidRDefault="00943743" w:rsidP="00044AE0">
            <w:pPr>
              <w:keepNext/>
              <w:autoSpaceDE w:val="0"/>
              <w:autoSpaceDN w:val="0"/>
              <w:adjustRightInd w:val="0"/>
              <w:spacing w:line="240" w:lineRule="auto"/>
              <w:jc w:val="center"/>
              <w:rPr>
                <w:del w:id="3007" w:author="AbbVie_HU_03" w:date="2025-05-14T15:27:00Z"/>
                <w:b/>
                <w:bCs/>
                <w:szCs w:val="22"/>
              </w:rPr>
            </w:pPr>
            <w:del w:id="3008" w:author="AbbVie_HU_03" w:date="2025-05-14T15:27:00Z">
              <w:r w:rsidRPr="00183B5F">
                <w:rPr>
                  <w:rStyle w:val="gtcbold9"/>
                  <w:bCs w:val="0"/>
                  <w:szCs w:val="22"/>
                </w:rPr>
                <w:delText xml:space="preserve">22. táblázat: </w:delText>
              </w:r>
              <w:r w:rsidRPr="00183B5F">
                <w:rPr>
                  <w:b/>
                  <w:bCs/>
                  <w:szCs w:val="22"/>
                </w:rPr>
                <w:delText>Gyermekkori plakkos psoriasis</w:delText>
              </w:r>
            </w:del>
          </w:p>
          <w:p w14:paraId="1F0A4BFD" w14:textId="13CF374E" w:rsidR="00044AE0" w:rsidRPr="00183B5F" w:rsidRDefault="00943743" w:rsidP="00044AE0">
            <w:pPr>
              <w:keepNext/>
              <w:autoSpaceDE w:val="0"/>
              <w:autoSpaceDN w:val="0"/>
              <w:adjustRightInd w:val="0"/>
              <w:spacing w:line="240" w:lineRule="auto"/>
              <w:jc w:val="center"/>
              <w:rPr>
                <w:del w:id="3009" w:author="AbbVie_HU_03" w:date="2025-05-14T15:27:00Z"/>
                <w:b/>
                <w:bCs/>
                <w:szCs w:val="22"/>
              </w:rPr>
            </w:pPr>
            <w:del w:id="3010" w:author="AbbVie_HU_03" w:date="2025-05-14T15:27:00Z">
              <w:r w:rsidRPr="00183B5F">
                <w:rPr>
                  <w:b/>
                  <w:bCs/>
                  <w:szCs w:val="22"/>
                </w:rPr>
                <w:delText>Hatásossági eredmények a 16. héten</w:delText>
              </w:r>
            </w:del>
          </w:p>
          <w:p w14:paraId="6911EDFE" w14:textId="0F8960B0" w:rsidR="00044AE0" w:rsidRPr="00183B5F" w:rsidRDefault="00044AE0" w:rsidP="00044AE0">
            <w:pPr>
              <w:keepNext/>
              <w:spacing w:line="240" w:lineRule="auto"/>
              <w:jc w:val="center"/>
              <w:rPr>
                <w:del w:id="3011" w:author="AbbVie_HU_03" w:date="2025-05-14T15:27:00Z"/>
                <w:b/>
                <w:szCs w:val="22"/>
              </w:rPr>
            </w:pPr>
          </w:p>
        </w:tc>
      </w:tr>
      <w:tr w:rsidR="00011D2F" w14:paraId="24E71BAC" w14:textId="4576D238" w:rsidTr="00044AE0">
        <w:trPr>
          <w:jc w:val="center"/>
          <w:del w:id="3012" w:author="AbbVie_HU_03" w:date="2025-05-14T15:27:00Z"/>
        </w:trPr>
        <w:tc>
          <w:tcPr>
            <w:tcW w:w="0" w:type="auto"/>
            <w:tcBorders>
              <w:top w:val="single" w:sz="6" w:space="0" w:color="000000"/>
              <w:left w:val="single" w:sz="6" w:space="0" w:color="000000"/>
              <w:bottom w:val="outset" w:sz="6" w:space="0" w:color="auto"/>
              <w:right w:val="outset" w:sz="6" w:space="0" w:color="auto"/>
            </w:tcBorders>
            <w:vAlign w:val="center"/>
          </w:tcPr>
          <w:p w14:paraId="1C0FE1EA" w14:textId="05BFE575" w:rsidR="00044AE0" w:rsidRPr="00183B5F" w:rsidRDefault="00044AE0" w:rsidP="00044AE0">
            <w:pPr>
              <w:keepNext/>
              <w:spacing w:line="240" w:lineRule="auto"/>
              <w:rPr>
                <w:del w:id="3013" w:author="AbbVie_HU_03" w:date="2025-05-14T15:27:00Z"/>
                <w:szCs w:val="22"/>
              </w:rPr>
            </w:pPr>
          </w:p>
        </w:tc>
        <w:tc>
          <w:tcPr>
            <w:tcW w:w="0" w:type="auto"/>
            <w:tcBorders>
              <w:top w:val="single" w:sz="6" w:space="0" w:color="000000"/>
              <w:left w:val="single" w:sz="6" w:space="0" w:color="000000"/>
              <w:bottom w:val="outset" w:sz="6" w:space="0" w:color="auto"/>
              <w:right w:val="outset" w:sz="6" w:space="0" w:color="auto"/>
            </w:tcBorders>
            <w:vAlign w:val="center"/>
          </w:tcPr>
          <w:p w14:paraId="285A8130" w14:textId="545D0E7E" w:rsidR="00044AE0" w:rsidRPr="00183B5F" w:rsidRDefault="00943743" w:rsidP="00044AE0">
            <w:pPr>
              <w:keepNext/>
              <w:spacing w:line="240" w:lineRule="auto"/>
              <w:jc w:val="center"/>
              <w:rPr>
                <w:del w:id="3014" w:author="AbbVie_HU_03" w:date="2025-05-14T15:27:00Z"/>
                <w:szCs w:val="22"/>
              </w:rPr>
            </w:pPr>
            <w:del w:id="3015" w:author="AbbVie_HU_03" w:date="2025-05-14T15:27:00Z">
              <w:r w:rsidRPr="00183B5F">
                <w:rPr>
                  <w:szCs w:val="22"/>
                </w:rPr>
                <w:delText>MTX</w:delText>
              </w:r>
              <w:r w:rsidRPr="00183B5F">
                <w:rPr>
                  <w:szCs w:val="22"/>
                  <w:vertAlign w:val="superscript"/>
                </w:rPr>
                <w:delText>a</w:delText>
              </w:r>
              <w:r w:rsidRPr="00183B5F">
                <w:rPr>
                  <w:szCs w:val="22"/>
                </w:rPr>
                <w:br/>
                <w:delText xml:space="preserve">N = 37 </w:delText>
              </w:r>
            </w:del>
          </w:p>
        </w:tc>
        <w:tc>
          <w:tcPr>
            <w:tcW w:w="1898" w:type="pct"/>
            <w:tcBorders>
              <w:top w:val="single" w:sz="6" w:space="0" w:color="000000"/>
              <w:left w:val="single" w:sz="6" w:space="0" w:color="000000"/>
              <w:bottom w:val="outset" w:sz="6" w:space="0" w:color="auto"/>
              <w:right w:val="single" w:sz="6" w:space="0" w:color="000000"/>
            </w:tcBorders>
            <w:vAlign w:val="center"/>
          </w:tcPr>
          <w:p w14:paraId="331AC43D" w14:textId="111A9FF2" w:rsidR="00044AE0" w:rsidRPr="00183B5F" w:rsidRDefault="00943743" w:rsidP="00044AE0">
            <w:pPr>
              <w:keepNext/>
              <w:spacing w:line="240" w:lineRule="auto"/>
              <w:jc w:val="center"/>
              <w:rPr>
                <w:del w:id="3016" w:author="AbbVie_HU_03" w:date="2025-05-14T15:27:00Z"/>
              </w:rPr>
            </w:pPr>
            <w:del w:id="3017" w:author="AbbVie_HU_03" w:date="2025-05-14T15:27:00Z">
              <w:r w:rsidRPr="00183B5F">
                <w:delText>Humira 0,8 mg/ttkg kéthetente</w:delText>
              </w:r>
              <w:r w:rsidRPr="00183B5F">
                <w:br/>
                <w:delText xml:space="preserve">N = 38 </w:delText>
              </w:r>
            </w:del>
          </w:p>
        </w:tc>
      </w:tr>
      <w:tr w:rsidR="00011D2F" w14:paraId="4EF76CE3" w14:textId="2F2B76D7" w:rsidTr="00044AE0">
        <w:trPr>
          <w:jc w:val="center"/>
          <w:del w:id="3018" w:author="AbbVie_HU_03" w:date="2025-05-14T15:27:00Z"/>
        </w:trPr>
        <w:tc>
          <w:tcPr>
            <w:tcW w:w="0" w:type="auto"/>
            <w:tcBorders>
              <w:top w:val="single" w:sz="6" w:space="0" w:color="000000"/>
              <w:left w:val="single" w:sz="6" w:space="0" w:color="000000"/>
              <w:bottom w:val="outset" w:sz="6" w:space="0" w:color="auto"/>
              <w:right w:val="outset" w:sz="6" w:space="0" w:color="auto"/>
            </w:tcBorders>
            <w:vAlign w:val="center"/>
          </w:tcPr>
          <w:p w14:paraId="511D6236" w14:textId="358F1D8D" w:rsidR="00044AE0" w:rsidRPr="00183B5F" w:rsidRDefault="00943743" w:rsidP="00044AE0">
            <w:pPr>
              <w:spacing w:line="240" w:lineRule="auto"/>
              <w:rPr>
                <w:del w:id="3019" w:author="AbbVie_HU_03" w:date="2025-05-14T15:27:00Z"/>
                <w:szCs w:val="22"/>
              </w:rPr>
            </w:pPr>
            <w:del w:id="3020" w:author="AbbVie_HU_03" w:date="2025-05-14T15:27:00Z">
              <w:r w:rsidRPr="00183B5F">
                <w:rPr>
                  <w:szCs w:val="22"/>
                </w:rPr>
                <w:delText> </w:delText>
              </w:r>
              <w:r w:rsidRPr="00183B5F">
                <w:rPr>
                  <w:szCs w:val="22"/>
                </w:rPr>
                <w:delText>PASI 75</w:delText>
              </w:r>
              <w:r w:rsidRPr="00183B5F">
                <w:rPr>
                  <w:szCs w:val="22"/>
                  <w:vertAlign w:val="superscript"/>
                </w:rPr>
                <w:delText>b</w:delText>
              </w:r>
            </w:del>
          </w:p>
        </w:tc>
        <w:tc>
          <w:tcPr>
            <w:tcW w:w="0" w:type="auto"/>
            <w:tcBorders>
              <w:top w:val="single" w:sz="6" w:space="0" w:color="000000"/>
              <w:left w:val="single" w:sz="6" w:space="0" w:color="000000"/>
              <w:bottom w:val="outset" w:sz="6" w:space="0" w:color="auto"/>
              <w:right w:val="outset" w:sz="6" w:space="0" w:color="auto"/>
            </w:tcBorders>
            <w:vAlign w:val="center"/>
          </w:tcPr>
          <w:p w14:paraId="6F4D8B74" w14:textId="58E37D55" w:rsidR="00044AE0" w:rsidRPr="00183B5F" w:rsidRDefault="00943743" w:rsidP="00044AE0">
            <w:pPr>
              <w:spacing w:line="240" w:lineRule="auto"/>
              <w:jc w:val="center"/>
              <w:rPr>
                <w:del w:id="3021" w:author="AbbVie_HU_03" w:date="2025-05-14T15:27:00Z"/>
                <w:szCs w:val="22"/>
              </w:rPr>
            </w:pPr>
            <w:del w:id="3022" w:author="AbbVie_HU_03" w:date="2025-05-14T15:27:00Z">
              <w:r w:rsidRPr="00183B5F">
                <w:rPr>
                  <w:szCs w:val="22"/>
                </w:rPr>
                <w:delText>12 (32,4%)</w:delText>
              </w:r>
            </w:del>
          </w:p>
        </w:tc>
        <w:tc>
          <w:tcPr>
            <w:tcW w:w="1898" w:type="pct"/>
            <w:tcBorders>
              <w:top w:val="single" w:sz="6" w:space="0" w:color="000000"/>
              <w:left w:val="single" w:sz="6" w:space="0" w:color="000000"/>
              <w:bottom w:val="outset" w:sz="6" w:space="0" w:color="auto"/>
              <w:right w:val="single" w:sz="6" w:space="0" w:color="000000"/>
            </w:tcBorders>
            <w:vAlign w:val="center"/>
          </w:tcPr>
          <w:p w14:paraId="0CEBD92E" w14:textId="3F8A13EE" w:rsidR="00044AE0" w:rsidRPr="00183B5F" w:rsidRDefault="00943743" w:rsidP="00044AE0">
            <w:pPr>
              <w:spacing w:line="240" w:lineRule="auto"/>
              <w:jc w:val="center"/>
              <w:rPr>
                <w:del w:id="3023" w:author="AbbVie_HU_03" w:date="2025-05-14T15:27:00Z"/>
                <w:szCs w:val="22"/>
              </w:rPr>
            </w:pPr>
            <w:del w:id="3024" w:author="AbbVie_HU_03" w:date="2025-05-14T15:27:00Z">
              <w:r w:rsidRPr="00183B5F">
                <w:rPr>
                  <w:szCs w:val="22"/>
                </w:rPr>
                <w:delText>22 (57,9%)</w:delText>
              </w:r>
            </w:del>
          </w:p>
        </w:tc>
      </w:tr>
      <w:tr w:rsidR="00011D2F" w14:paraId="48BF6569" w14:textId="3995DC61" w:rsidTr="00044AE0">
        <w:trPr>
          <w:jc w:val="center"/>
          <w:del w:id="3025" w:author="AbbVie_HU_03" w:date="2025-05-14T15:27:00Z"/>
        </w:trPr>
        <w:tc>
          <w:tcPr>
            <w:tcW w:w="0" w:type="auto"/>
            <w:tcBorders>
              <w:top w:val="single" w:sz="6" w:space="0" w:color="000000"/>
              <w:left w:val="single" w:sz="6" w:space="0" w:color="000000"/>
              <w:bottom w:val="single" w:sz="6" w:space="0" w:color="000000"/>
              <w:right w:val="outset" w:sz="6" w:space="0" w:color="auto"/>
            </w:tcBorders>
            <w:vAlign w:val="center"/>
          </w:tcPr>
          <w:p w14:paraId="05191CA1" w14:textId="5FD47263" w:rsidR="00044AE0" w:rsidRPr="00183B5F" w:rsidRDefault="00943743" w:rsidP="00044AE0">
            <w:pPr>
              <w:spacing w:line="240" w:lineRule="auto"/>
              <w:rPr>
                <w:del w:id="3026" w:author="AbbVie_HU_03" w:date="2025-05-14T15:27:00Z"/>
                <w:szCs w:val="22"/>
              </w:rPr>
            </w:pPr>
            <w:del w:id="3027" w:author="AbbVie_HU_03" w:date="2025-05-14T15:27:00Z">
              <w:r w:rsidRPr="00183B5F">
                <w:rPr>
                  <w:szCs w:val="22"/>
                </w:rPr>
                <w:delText> </w:delText>
              </w:r>
              <w:r w:rsidRPr="00183B5F">
                <w:rPr>
                  <w:szCs w:val="22"/>
                </w:rPr>
                <w:delText>PGA: tiszta/minimális</w:delText>
              </w:r>
              <w:r w:rsidRPr="00183B5F">
                <w:rPr>
                  <w:szCs w:val="22"/>
                  <w:vertAlign w:val="superscript"/>
                </w:rPr>
                <w:delText>c</w:delText>
              </w:r>
            </w:del>
          </w:p>
        </w:tc>
        <w:tc>
          <w:tcPr>
            <w:tcW w:w="0" w:type="auto"/>
            <w:tcBorders>
              <w:top w:val="single" w:sz="6" w:space="0" w:color="000000"/>
              <w:left w:val="single" w:sz="6" w:space="0" w:color="000000"/>
              <w:bottom w:val="single" w:sz="6" w:space="0" w:color="000000"/>
              <w:right w:val="outset" w:sz="6" w:space="0" w:color="auto"/>
            </w:tcBorders>
            <w:vAlign w:val="center"/>
          </w:tcPr>
          <w:p w14:paraId="2F6C1000" w14:textId="33BBAA8D" w:rsidR="00044AE0" w:rsidRPr="00183B5F" w:rsidRDefault="00943743" w:rsidP="00044AE0">
            <w:pPr>
              <w:spacing w:line="240" w:lineRule="auto"/>
              <w:jc w:val="center"/>
              <w:rPr>
                <w:del w:id="3028" w:author="AbbVie_HU_03" w:date="2025-05-14T15:27:00Z"/>
                <w:szCs w:val="22"/>
              </w:rPr>
            </w:pPr>
            <w:del w:id="3029" w:author="AbbVie_HU_03" w:date="2025-05-14T15:27:00Z">
              <w:r w:rsidRPr="00183B5F">
                <w:rPr>
                  <w:szCs w:val="22"/>
                </w:rPr>
                <w:delText>15 (40,5%)</w:delText>
              </w:r>
            </w:del>
          </w:p>
        </w:tc>
        <w:tc>
          <w:tcPr>
            <w:tcW w:w="1898" w:type="pct"/>
            <w:tcBorders>
              <w:top w:val="single" w:sz="6" w:space="0" w:color="000000"/>
              <w:left w:val="single" w:sz="6" w:space="0" w:color="000000"/>
              <w:bottom w:val="single" w:sz="6" w:space="0" w:color="000000"/>
              <w:right w:val="single" w:sz="6" w:space="0" w:color="000000"/>
            </w:tcBorders>
            <w:vAlign w:val="center"/>
          </w:tcPr>
          <w:p w14:paraId="5FAE9CBA" w14:textId="038C5497" w:rsidR="00044AE0" w:rsidRPr="00183B5F" w:rsidRDefault="00943743" w:rsidP="00044AE0">
            <w:pPr>
              <w:spacing w:line="240" w:lineRule="auto"/>
              <w:jc w:val="center"/>
              <w:rPr>
                <w:del w:id="3030" w:author="AbbVie_HU_03" w:date="2025-05-14T15:27:00Z"/>
                <w:szCs w:val="22"/>
              </w:rPr>
            </w:pPr>
            <w:del w:id="3031" w:author="AbbVie_HU_03" w:date="2025-05-14T15:27:00Z">
              <w:r w:rsidRPr="00183B5F">
                <w:rPr>
                  <w:szCs w:val="22"/>
                </w:rPr>
                <w:delText>23 (60,5%)</w:delText>
              </w:r>
            </w:del>
          </w:p>
        </w:tc>
      </w:tr>
      <w:tr w:rsidR="00011D2F" w14:paraId="4006385E" w14:textId="7E55CCB2" w:rsidTr="00044AE0">
        <w:trPr>
          <w:jc w:val="center"/>
          <w:del w:id="3032" w:author="AbbVie_HU_03" w:date="2025-05-14T15:27:00Z"/>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71A23ED0" w14:textId="0344C837" w:rsidR="00044AE0" w:rsidRPr="00183B5F" w:rsidRDefault="00943743" w:rsidP="00044AE0">
            <w:pPr>
              <w:spacing w:line="240" w:lineRule="auto"/>
              <w:rPr>
                <w:del w:id="3033" w:author="AbbVie_HU_03" w:date="2025-05-14T15:27:00Z"/>
              </w:rPr>
            </w:pPr>
            <w:del w:id="3034" w:author="AbbVie_HU_03" w:date="2025-05-14T15:27:00Z">
              <w:r w:rsidRPr="00183B5F">
                <w:rPr>
                  <w:vertAlign w:val="superscript"/>
                </w:rPr>
                <w:delText xml:space="preserve">a </w:delText>
              </w:r>
              <w:r w:rsidRPr="00183B5F">
                <w:delText>MTX = metotrexát</w:delText>
              </w:r>
            </w:del>
          </w:p>
          <w:p w14:paraId="7850B150" w14:textId="237CE60B" w:rsidR="00044AE0" w:rsidRPr="00183B5F" w:rsidRDefault="00943743" w:rsidP="00044AE0">
            <w:pPr>
              <w:spacing w:line="240" w:lineRule="auto"/>
              <w:rPr>
                <w:del w:id="3035" w:author="AbbVie_HU_03" w:date="2025-05-14T15:27:00Z"/>
              </w:rPr>
            </w:pPr>
            <w:del w:id="3036" w:author="AbbVie_HU_03" w:date="2025-05-14T15:27:00Z">
              <w:r w:rsidRPr="00183B5F">
                <w:rPr>
                  <w:vertAlign w:val="superscript"/>
                </w:rPr>
                <w:delText>b</w:delText>
              </w:r>
              <w:r w:rsidRPr="00183B5F">
                <w:delText xml:space="preserve"> P = 0,027, Humira 0,8 mg/ttkg vs. MTX</w:delText>
              </w:r>
            </w:del>
          </w:p>
          <w:p w14:paraId="4AAF3EBA" w14:textId="75D4C350" w:rsidR="00044AE0" w:rsidRPr="00183B5F" w:rsidRDefault="00943743" w:rsidP="00044AE0">
            <w:pPr>
              <w:spacing w:line="240" w:lineRule="auto"/>
              <w:rPr>
                <w:del w:id="3037" w:author="AbbVie_HU_03" w:date="2025-05-14T15:27:00Z"/>
              </w:rPr>
            </w:pPr>
            <w:del w:id="3038" w:author="AbbVie_HU_03" w:date="2025-05-14T15:27:00Z">
              <w:r w:rsidRPr="00183B5F">
                <w:rPr>
                  <w:vertAlign w:val="superscript"/>
                </w:rPr>
                <w:delText>c</w:delText>
              </w:r>
              <w:r w:rsidRPr="00183B5F">
                <w:delText xml:space="preserve"> P = 0,083, Humira 0,8 mg/ttkg vs. MTX</w:delText>
              </w:r>
            </w:del>
          </w:p>
        </w:tc>
      </w:tr>
    </w:tbl>
    <w:p w14:paraId="49AD3CF9" w14:textId="3C9AB396" w:rsidR="00044AE0" w:rsidRPr="00183B5F" w:rsidRDefault="00044AE0" w:rsidP="00044AE0">
      <w:pPr>
        <w:pStyle w:val="EMEANormal"/>
        <w:rPr>
          <w:del w:id="3039" w:author="AbbVie_HU_03" w:date="2025-05-14T15:27:00Z"/>
          <w:szCs w:val="22"/>
          <w:lang w:val="hu-HU"/>
        </w:rPr>
      </w:pPr>
    </w:p>
    <w:p w14:paraId="1608F999" w14:textId="2EB8083E" w:rsidR="00044AE0" w:rsidRPr="00183B5F" w:rsidRDefault="00943743" w:rsidP="00044AE0">
      <w:pPr>
        <w:pStyle w:val="EMEANormal"/>
        <w:rPr>
          <w:del w:id="3040" w:author="AbbVie_HU_03" w:date="2025-05-14T15:27:00Z"/>
          <w:szCs w:val="22"/>
          <w:lang w:val="hu-HU"/>
        </w:rPr>
      </w:pPr>
      <w:del w:id="3041" w:author="AbbVie_HU_03" w:date="2025-05-14T15:27:00Z">
        <w:r w:rsidRPr="00183B5F">
          <w:rPr>
            <w:szCs w:val="22"/>
            <w:lang w:val="hu-HU"/>
          </w:rPr>
          <w:delText>Azoknál a betegeknél, akik elérték a PASI 75 és a PGA szerinti tiszta vagy minimális értéket, felfüggesztették a kezelést legfeljebb 36 hétre, és az állapotuk romlását monitorozták (pl. a PGA-érték rosszabbodását legalább 2 értékkel). Majd további 16 héten át a betegeket kéthetente 0,8 mg/ttkg adalimumabbal kezelték, és az ez alatt megfigyelt válaszértékek hasonlóak voltak az előzőleg végzett kettős vak vizsgálathoz: 78,9%</w:delText>
        </w:r>
        <w:r w:rsidRPr="00183B5F">
          <w:rPr>
            <w:szCs w:val="22"/>
            <w:lang w:val="hu-HU"/>
          </w:rPr>
          <w:noBreakHyphen/>
          <w:delText>nál alakult ki PASI 75 válasz (19 betegből 15) és 52,6%</w:delText>
        </w:r>
        <w:r w:rsidRPr="00183B5F">
          <w:rPr>
            <w:szCs w:val="22"/>
            <w:lang w:val="hu-HU"/>
          </w:rPr>
          <w:noBreakHyphen/>
          <w:delText>nál alakult ki PGA szerinti tiszta vagy minimális (19 betegből 10) válasz.</w:delText>
        </w:r>
      </w:del>
    </w:p>
    <w:p w14:paraId="715C0D97" w14:textId="65210159" w:rsidR="00044AE0" w:rsidRPr="00183B5F" w:rsidRDefault="00044AE0" w:rsidP="00044AE0">
      <w:pPr>
        <w:pStyle w:val="EMEANormal"/>
        <w:rPr>
          <w:del w:id="3042" w:author="AbbVie_HU_03" w:date="2025-05-14T15:27:00Z"/>
          <w:szCs w:val="22"/>
          <w:lang w:val="hu-HU"/>
        </w:rPr>
      </w:pPr>
    </w:p>
    <w:p w14:paraId="73823DBB" w14:textId="5ADC1CF7" w:rsidR="00044AE0" w:rsidRPr="00183B5F" w:rsidRDefault="00943743" w:rsidP="00044AE0">
      <w:pPr>
        <w:pStyle w:val="EMEANormal"/>
        <w:rPr>
          <w:del w:id="3043" w:author="AbbVie_HU_03" w:date="2025-05-14T15:27:00Z"/>
          <w:szCs w:val="22"/>
          <w:lang w:val="hu-HU"/>
        </w:rPr>
      </w:pPr>
      <w:del w:id="3044" w:author="AbbVie_HU_03" w:date="2025-05-14T15:27:00Z">
        <w:r w:rsidRPr="00183B5F">
          <w:rPr>
            <w:szCs w:val="22"/>
            <w:lang w:val="hu-HU"/>
          </w:rPr>
          <w:delText>A vizsgálat nyílt szakaszában, a PASI 75 és PGA szerinti tiszta vagy minimális értéket legfeljebb további 52 hétig fennmaradt új biztonsági esemény nélkül.</w:delText>
        </w:r>
      </w:del>
    </w:p>
    <w:p w14:paraId="66873414" w14:textId="4950139C" w:rsidR="00044AE0" w:rsidRPr="00183B5F" w:rsidRDefault="00044AE0" w:rsidP="00044AE0">
      <w:pPr>
        <w:pStyle w:val="EMEANormal"/>
        <w:rPr>
          <w:del w:id="3045" w:author="AbbVie_HU_03" w:date="2025-05-14T15:27:00Z"/>
          <w:szCs w:val="22"/>
          <w:lang w:val="hu-HU"/>
        </w:rPr>
      </w:pPr>
    </w:p>
    <w:p w14:paraId="6BE5DAEC" w14:textId="338647DB" w:rsidR="003F5BB1" w:rsidRPr="00183B5F" w:rsidRDefault="00943743" w:rsidP="003F5BB1">
      <w:pPr>
        <w:pStyle w:val="EMEANormal"/>
        <w:rPr>
          <w:del w:id="3046" w:author="AbbVie_HU_03" w:date="2025-05-14T15:27:00Z"/>
          <w:i/>
          <w:szCs w:val="22"/>
          <w:lang w:val="hu-HU"/>
        </w:rPr>
      </w:pPr>
      <w:del w:id="3047" w:author="AbbVie_HU_03" w:date="2025-05-14T15:27:00Z">
        <w:r w:rsidRPr="00183B5F">
          <w:rPr>
            <w:i/>
            <w:szCs w:val="22"/>
            <w:lang w:val="hu-HU"/>
          </w:rPr>
          <w:delText>Serdülőkori hidradenitis suppurativa</w:delText>
        </w:r>
      </w:del>
    </w:p>
    <w:p w14:paraId="6C0C9302" w14:textId="417F769F" w:rsidR="003F5BB1" w:rsidRPr="00183B5F" w:rsidRDefault="003F5BB1" w:rsidP="003F5BB1">
      <w:pPr>
        <w:pStyle w:val="EMEANormal"/>
        <w:rPr>
          <w:del w:id="3048" w:author="AbbVie_HU_03" w:date="2025-05-14T15:27:00Z"/>
          <w:i/>
          <w:szCs w:val="22"/>
          <w:lang w:val="hu-HU"/>
        </w:rPr>
      </w:pPr>
    </w:p>
    <w:p w14:paraId="3970968F" w14:textId="1A212C34" w:rsidR="003F5BB1" w:rsidRPr="00183B5F" w:rsidRDefault="00943743" w:rsidP="003F5BB1">
      <w:pPr>
        <w:pStyle w:val="EMEANormal"/>
        <w:rPr>
          <w:del w:id="3049" w:author="AbbVie_HU_03" w:date="2025-05-14T15:27:00Z"/>
          <w:szCs w:val="22"/>
          <w:lang w:val="hu-HU"/>
        </w:rPr>
      </w:pPr>
      <w:del w:id="3050" w:author="AbbVie_HU_03" w:date="2025-05-14T15:27:00Z">
        <w:r w:rsidRPr="00183B5F">
          <w:rPr>
            <w:szCs w:val="22"/>
            <w:lang w:val="hu-HU"/>
          </w:rPr>
          <w:delText>A Humira-val nem folytattak klinikai vizsgálatokat HS-ben szenvedő serdülőkorú betegeknél. Az adalimumab hatásossága a HS-ben szenvedő serdülőkorú betegeknél a felnőtt HS betegeknél mutatott hatásosság és expozíciós válasz alapján előre látható, valamint annak a valószínűsége alapján, hogy betegség lefolyása, a kórélettan és a gyógyszer hatása lényegében megegyezik a felnőtteknél észlelttel, az azonos expozíciós szinteken. A serdülőkori HS</w:delText>
        </w:r>
        <w:r w:rsidRPr="00183B5F">
          <w:rPr>
            <w:szCs w:val="22"/>
            <w:lang w:val="hu-HU"/>
          </w:rPr>
          <w:noBreakHyphen/>
          <w:delText>ben ajánlott adalimumab adag biztonságosságának alapja az adalimumab keresztindikációs biztonságossági profilja mind a felnőtt, mind gyermekgyógyászati betegeknél, azonos vagy gyakoribb adagolás mellett (lásd 5.2 pont).</w:delText>
        </w:r>
      </w:del>
    </w:p>
    <w:p w14:paraId="2F4CB5E8" w14:textId="05A98828" w:rsidR="006C274D" w:rsidRPr="00183B5F" w:rsidRDefault="006C274D" w:rsidP="00D43146">
      <w:pPr>
        <w:pStyle w:val="EMEANormal"/>
        <w:rPr>
          <w:del w:id="3051" w:author="AbbVie_HU_03" w:date="2025-05-14T15:27:00Z"/>
          <w:szCs w:val="22"/>
          <w:lang w:val="hu-HU"/>
        </w:rPr>
      </w:pPr>
    </w:p>
    <w:p w14:paraId="2CEB4379" w14:textId="4BFB228F" w:rsidR="00AA7EC1" w:rsidRPr="00183B5F" w:rsidRDefault="00943743" w:rsidP="00AA7EC1">
      <w:pPr>
        <w:pStyle w:val="EMEAHeadingUnderline"/>
        <w:tabs>
          <w:tab w:val="clear" w:pos="562"/>
        </w:tabs>
        <w:spacing w:beforeLines="0" w:afterLines="0"/>
        <w:rPr>
          <w:del w:id="3052" w:author="AbbVie_HU_03" w:date="2025-05-14T15:27:00Z"/>
          <w:i/>
          <w:szCs w:val="22"/>
          <w:u w:val="none"/>
          <w:lang w:val="hu-HU"/>
        </w:rPr>
      </w:pPr>
      <w:del w:id="3053" w:author="AbbVie_HU_03" w:date="2025-05-14T15:27:00Z">
        <w:r w:rsidRPr="00183B5F">
          <w:rPr>
            <w:i/>
            <w:szCs w:val="22"/>
            <w:u w:val="none"/>
            <w:lang w:val="hu-HU"/>
          </w:rPr>
          <w:delText>Gyermekkori Crohn</w:delText>
        </w:r>
        <w:r w:rsidRPr="00183B5F">
          <w:rPr>
            <w:i/>
            <w:szCs w:val="22"/>
            <w:u w:val="none"/>
            <w:lang w:val="hu-HU"/>
          </w:rPr>
          <w:noBreakHyphen/>
          <w:delText>betegség</w:delText>
        </w:r>
      </w:del>
    </w:p>
    <w:p w14:paraId="588849A7" w14:textId="3C27CCBB" w:rsidR="00AA7EC1" w:rsidRPr="00183B5F" w:rsidRDefault="00943743" w:rsidP="00AA7EC1">
      <w:pPr>
        <w:pStyle w:val="EMEAHeadingUnderline"/>
        <w:tabs>
          <w:tab w:val="clear" w:pos="562"/>
        </w:tabs>
        <w:spacing w:beforeLines="0" w:afterLines="0"/>
        <w:rPr>
          <w:del w:id="3054" w:author="AbbVie_HU_03" w:date="2025-05-14T15:27:00Z"/>
          <w:szCs w:val="22"/>
          <w:u w:val="none"/>
          <w:lang w:val="hu-HU"/>
        </w:rPr>
      </w:pPr>
      <w:del w:id="3055" w:author="AbbVie_HU_03" w:date="2025-05-14T15:27:00Z">
        <w:r w:rsidRPr="00183B5F">
          <w:rPr>
            <w:szCs w:val="22"/>
            <w:lang w:val="hu-HU"/>
          </w:rPr>
          <w:br/>
        </w:r>
        <w:r w:rsidRPr="00183B5F">
          <w:rPr>
            <w:szCs w:val="22"/>
            <w:u w:val="none"/>
            <w:lang w:val="hu-HU"/>
          </w:rPr>
          <w:delText>Egy multicentrikus, randomizált, kettős vak klinikai vizsgálatban tanulmányozták az indukciós és fenntartó Humira</w:delText>
        </w:r>
        <w:r w:rsidRPr="00183B5F">
          <w:rPr>
            <w:szCs w:val="22"/>
            <w:u w:val="none"/>
            <w:lang w:val="hu-HU"/>
          </w:rPr>
          <w:noBreakHyphen/>
          <w:delText>kezelés hatásosságát és biztonságosságát testtömegre illesztett dózisokkal (&lt; 40 kg vagy ≥ 40 kg) 192, 6-17 éves korú (bezárólag), közepesen súlyos-súlyos aktivitású Crohn</w:delText>
        </w:r>
        <w:r w:rsidRPr="00183B5F">
          <w:rPr>
            <w:szCs w:val="22"/>
            <w:u w:val="none"/>
            <w:lang w:val="hu-HU"/>
          </w:rPr>
          <w:noBreakHyphen/>
          <w:delText>betegségben (CD) szenvedő gyermekeknél, mely a definíció szerint PCDAI (Gyermekkori Crohn</w:delText>
        </w:r>
        <w:r w:rsidRPr="00183B5F">
          <w:rPr>
            <w:szCs w:val="22"/>
            <w:u w:val="none"/>
            <w:lang w:val="hu-HU"/>
          </w:rPr>
          <w:noBreakHyphen/>
          <w:delText>betegség Aktivitási Index)-pontszám &gt; 30 esetén állt fenn. Beválasztási kritérium volt, hogy a betegek nem reagáltak a CD hagyományos ke</w:delText>
        </w:r>
        <w:r w:rsidRPr="00183B5F">
          <w:rPr>
            <w:szCs w:val="22"/>
            <w:u w:val="none"/>
            <w:lang w:val="hu-HU"/>
          </w:rPr>
          <w:delText>zelésére (beleértve egy kortikoszteroidot és/vagy egy immunmodulátort). Az infliximab hatásának megszűnése vagy az arra kialakuló intolerancia a kórtörténetben megengedett volt.</w:delText>
        </w:r>
      </w:del>
    </w:p>
    <w:p w14:paraId="7F7E7D8E" w14:textId="5DE5EE6F" w:rsidR="00AA7EC1" w:rsidRPr="00183B5F" w:rsidRDefault="00AA7EC1" w:rsidP="00AA7EC1">
      <w:pPr>
        <w:pStyle w:val="EMEANormal"/>
        <w:rPr>
          <w:del w:id="3056" w:author="AbbVie_HU_03" w:date="2025-05-14T15:27:00Z"/>
          <w:szCs w:val="22"/>
          <w:lang w:val="hu-HU"/>
        </w:rPr>
      </w:pPr>
    </w:p>
    <w:p w14:paraId="32A3B463" w14:textId="640CC8CB" w:rsidR="00AA7EC1" w:rsidRPr="00183B5F" w:rsidRDefault="00943743" w:rsidP="00AA7EC1">
      <w:pPr>
        <w:pStyle w:val="EMEANormal"/>
        <w:rPr>
          <w:del w:id="3057" w:author="AbbVie_HU_03" w:date="2025-05-14T15:27:00Z"/>
          <w:szCs w:val="22"/>
          <w:lang w:val="hu-HU"/>
        </w:rPr>
      </w:pPr>
      <w:del w:id="3058" w:author="AbbVie_HU_03" w:date="2025-05-14T15:27:00Z">
        <w:r w:rsidRPr="00183B5F">
          <w:rPr>
            <w:szCs w:val="22"/>
            <w:lang w:val="hu-HU"/>
          </w:rPr>
          <w:delText>Minden beteg nyílt indukciós kezelést kapott a kiindulási testtömegnek megfelelő dózisban: a 0. héten 160 mg és a 2. héten 80 mg a legalább 40 kg testtömegű betegeknél, valamint 80 és 40 mg a 40 kg alatti testtömegű betegeknél.</w:delText>
        </w:r>
      </w:del>
    </w:p>
    <w:p w14:paraId="4D4C00EC" w14:textId="59801260" w:rsidR="00AA7EC1" w:rsidRPr="00183B5F" w:rsidRDefault="00AA7EC1" w:rsidP="00AA7EC1">
      <w:pPr>
        <w:pStyle w:val="EMEANormal"/>
        <w:rPr>
          <w:del w:id="3059" w:author="AbbVie_HU_03" w:date="2025-05-14T15:27:00Z"/>
          <w:szCs w:val="22"/>
          <w:lang w:val="hu-HU"/>
        </w:rPr>
      </w:pPr>
    </w:p>
    <w:p w14:paraId="77CC3818" w14:textId="6E99B255" w:rsidR="00AA7EC1" w:rsidRPr="00183B5F" w:rsidRDefault="00943743" w:rsidP="004B7A7F">
      <w:pPr>
        <w:pStyle w:val="EMEANormal"/>
        <w:rPr>
          <w:del w:id="3060" w:author="AbbVie_HU_03" w:date="2025-05-14T15:27:00Z"/>
          <w:szCs w:val="22"/>
          <w:lang w:val="hu-HU"/>
        </w:rPr>
      </w:pPr>
      <w:del w:id="3061" w:author="AbbVie_HU_03" w:date="2025-05-14T15:27:00Z">
        <w:r w:rsidRPr="00183B5F">
          <w:rPr>
            <w:szCs w:val="22"/>
            <w:lang w:val="hu-HU"/>
          </w:rPr>
          <w:delText>A 4. héten a betegeket az aktuális testtömegük alapján Alacsony dózisú vagy Standard dózisú fenntartó kezelési sémákra randomizálták 1:1 arányban (</w:delText>
        </w:r>
        <w:r w:rsidR="004B7A7F" w:rsidRPr="00183B5F">
          <w:rPr>
            <w:szCs w:val="22"/>
            <w:lang w:val="hu-HU"/>
          </w:rPr>
          <w:delText>23</w:delText>
        </w:r>
        <w:r w:rsidRPr="00183B5F">
          <w:rPr>
            <w:szCs w:val="22"/>
            <w:lang w:val="hu-HU"/>
          </w:rPr>
          <w:delText>. táblázat).</w:delText>
        </w:r>
      </w:del>
    </w:p>
    <w:p w14:paraId="7090F32B" w14:textId="195B63F0" w:rsidR="00AA7EC1" w:rsidRPr="00183B5F" w:rsidRDefault="00AA7EC1" w:rsidP="00AA7EC1">
      <w:pPr>
        <w:pStyle w:val="EMEANormal"/>
        <w:rPr>
          <w:del w:id="3062" w:author="AbbVie_HU_03" w:date="2025-05-14T15:27:00Z"/>
          <w:szCs w:val="22"/>
          <w:lang w:val="hu-H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
        <w:gridCol w:w="1210"/>
        <w:gridCol w:w="1210"/>
      </w:tblGrid>
      <w:tr w:rsidR="00011D2F" w14:paraId="38F9000E" w14:textId="01D08C9F" w:rsidTr="00EA31F3">
        <w:trPr>
          <w:trHeight w:val="263"/>
          <w:jc w:val="center"/>
          <w:del w:id="3063" w:author="AbbVie_HU_03" w:date="2025-05-14T15:27:00Z"/>
        </w:trPr>
        <w:tc>
          <w:tcPr>
            <w:tcW w:w="3408" w:type="dxa"/>
            <w:gridSpan w:val="3"/>
          </w:tcPr>
          <w:p w14:paraId="03CD9B9B" w14:textId="73D37DD2" w:rsidR="00AA7EC1" w:rsidRPr="00183B5F" w:rsidRDefault="00943743" w:rsidP="00EA31F3">
            <w:pPr>
              <w:pStyle w:val="EMEANormal"/>
              <w:keepNext/>
              <w:jc w:val="center"/>
              <w:rPr>
                <w:del w:id="3064" w:author="AbbVie_HU_03" w:date="2025-05-14T15:27:00Z"/>
                <w:b/>
                <w:szCs w:val="22"/>
                <w:lang w:val="hu-HU"/>
              </w:rPr>
            </w:pPr>
            <w:del w:id="3065" w:author="AbbVie_HU_03" w:date="2025-05-14T15:27:00Z">
              <w:r w:rsidRPr="00183B5F">
                <w:rPr>
                  <w:b/>
                  <w:szCs w:val="22"/>
                  <w:lang w:val="hu-HU"/>
                </w:rPr>
                <w:delText>23. táblázat</w:delText>
              </w:r>
            </w:del>
          </w:p>
          <w:p w14:paraId="01D73AD7" w14:textId="6C75E49F" w:rsidR="00AA7EC1" w:rsidRPr="00183B5F" w:rsidRDefault="00943743" w:rsidP="00EA31F3">
            <w:pPr>
              <w:pStyle w:val="EMEANormal"/>
              <w:keepNext/>
              <w:jc w:val="center"/>
              <w:rPr>
                <w:del w:id="3066" w:author="AbbVie_HU_03" w:date="2025-05-14T15:27:00Z"/>
                <w:szCs w:val="22"/>
                <w:lang w:val="hu-HU"/>
              </w:rPr>
            </w:pPr>
            <w:del w:id="3067" w:author="AbbVie_HU_03" w:date="2025-05-14T15:27:00Z">
              <w:r w:rsidRPr="00183B5F">
                <w:rPr>
                  <w:b/>
                  <w:szCs w:val="22"/>
                  <w:lang w:val="hu-HU"/>
                </w:rPr>
                <w:delText>Fenntartó kezelési séma</w:delText>
              </w:r>
            </w:del>
          </w:p>
        </w:tc>
      </w:tr>
      <w:tr w:rsidR="00011D2F" w14:paraId="5FEF07F3" w14:textId="52156753" w:rsidTr="00EA31F3">
        <w:trPr>
          <w:jc w:val="center"/>
          <w:del w:id="3068" w:author="AbbVie_HU_03" w:date="2025-05-14T15:27:00Z"/>
        </w:trPr>
        <w:tc>
          <w:tcPr>
            <w:tcW w:w="988" w:type="dxa"/>
          </w:tcPr>
          <w:p w14:paraId="4383EA89" w14:textId="38938E76" w:rsidR="00AA7EC1" w:rsidRPr="00183B5F" w:rsidRDefault="00943743" w:rsidP="00EA31F3">
            <w:pPr>
              <w:pStyle w:val="EMEANormal"/>
              <w:rPr>
                <w:del w:id="3069" w:author="AbbVie_HU_03" w:date="2025-05-14T15:27:00Z"/>
                <w:b/>
                <w:szCs w:val="22"/>
                <w:lang w:val="hu-HU"/>
              </w:rPr>
            </w:pPr>
            <w:del w:id="3070" w:author="AbbVie_HU_03" w:date="2025-05-14T15:27:00Z">
              <w:r w:rsidRPr="00183B5F">
                <w:rPr>
                  <w:b/>
                  <w:szCs w:val="22"/>
                  <w:lang w:val="hu-HU"/>
                </w:rPr>
                <w:delText>A beteg testtömege</w:delText>
              </w:r>
            </w:del>
          </w:p>
        </w:tc>
        <w:tc>
          <w:tcPr>
            <w:tcW w:w="1210" w:type="dxa"/>
          </w:tcPr>
          <w:p w14:paraId="36C96542" w14:textId="4859D75E" w:rsidR="00AA7EC1" w:rsidRPr="00183B5F" w:rsidRDefault="00943743" w:rsidP="00EA31F3">
            <w:pPr>
              <w:pStyle w:val="EMEANormal"/>
              <w:keepNext/>
              <w:rPr>
                <w:del w:id="3071" w:author="AbbVie_HU_03" w:date="2025-05-14T15:27:00Z"/>
                <w:b/>
                <w:szCs w:val="22"/>
                <w:lang w:val="hu-HU"/>
              </w:rPr>
            </w:pPr>
            <w:del w:id="3072" w:author="AbbVie_HU_03" w:date="2025-05-14T15:27:00Z">
              <w:r w:rsidRPr="00183B5F">
                <w:rPr>
                  <w:b/>
                  <w:szCs w:val="22"/>
                  <w:lang w:val="hu-HU"/>
                </w:rPr>
                <w:delText>Alacsony dózis</w:delText>
              </w:r>
            </w:del>
          </w:p>
        </w:tc>
        <w:tc>
          <w:tcPr>
            <w:tcW w:w="1210" w:type="dxa"/>
          </w:tcPr>
          <w:p w14:paraId="673E667F" w14:textId="01B9DB0E" w:rsidR="00AA7EC1" w:rsidRPr="00183B5F" w:rsidRDefault="00943743" w:rsidP="00EA31F3">
            <w:pPr>
              <w:pStyle w:val="EMEANormal"/>
              <w:keepNext/>
              <w:rPr>
                <w:del w:id="3073" w:author="AbbVie_HU_03" w:date="2025-05-14T15:27:00Z"/>
                <w:b/>
                <w:szCs w:val="22"/>
                <w:lang w:val="hu-HU"/>
              </w:rPr>
            </w:pPr>
            <w:del w:id="3074" w:author="AbbVie_HU_03" w:date="2025-05-14T15:27:00Z">
              <w:r w:rsidRPr="00183B5F">
                <w:rPr>
                  <w:b/>
                  <w:szCs w:val="22"/>
                  <w:lang w:val="hu-HU"/>
                </w:rPr>
                <w:delText>Standard dózis</w:delText>
              </w:r>
            </w:del>
          </w:p>
        </w:tc>
      </w:tr>
      <w:tr w:rsidR="00011D2F" w14:paraId="6F421949" w14:textId="1B3C13EE" w:rsidTr="00EA31F3">
        <w:trPr>
          <w:jc w:val="center"/>
          <w:del w:id="3075" w:author="AbbVie_HU_03" w:date="2025-05-14T15:27:00Z"/>
        </w:trPr>
        <w:tc>
          <w:tcPr>
            <w:tcW w:w="988" w:type="dxa"/>
          </w:tcPr>
          <w:p w14:paraId="7010F21B" w14:textId="4ED1C8C6" w:rsidR="00AA7EC1" w:rsidRPr="00183B5F" w:rsidRDefault="00943743" w:rsidP="00EA31F3">
            <w:pPr>
              <w:pStyle w:val="EMEANormal"/>
              <w:rPr>
                <w:del w:id="3076" w:author="AbbVie_HU_03" w:date="2025-05-14T15:27:00Z"/>
                <w:szCs w:val="22"/>
                <w:lang w:val="hu-HU"/>
              </w:rPr>
            </w:pPr>
            <w:del w:id="3077" w:author="AbbVie_HU_03" w:date="2025-05-14T15:27:00Z">
              <w:r w:rsidRPr="00183B5F">
                <w:rPr>
                  <w:szCs w:val="22"/>
                  <w:lang w:val="hu-HU"/>
                </w:rPr>
                <w:delText>&lt; 40 kg</w:delText>
              </w:r>
            </w:del>
          </w:p>
        </w:tc>
        <w:tc>
          <w:tcPr>
            <w:tcW w:w="1210" w:type="dxa"/>
          </w:tcPr>
          <w:p w14:paraId="5524E72D" w14:textId="44B010A0" w:rsidR="00AA7EC1" w:rsidRPr="00183B5F" w:rsidRDefault="00943743" w:rsidP="00EA31F3">
            <w:pPr>
              <w:pStyle w:val="EMEANormal"/>
              <w:rPr>
                <w:del w:id="3078" w:author="AbbVie_HU_03" w:date="2025-05-14T15:27:00Z"/>
                <w:szCs w:val="22"/>
                <w:lang w:val="hu-HU"/>
              </w:rPr>
            </w:pPr>
            <w:del w:id="3079" w:author="AbbVie_HU_03" w:date="2025-05-14T15:27:00Z">
              <w:r w:rsidRPr="00183B5F">
                <w:rPr>
                  <w:szCs w:val="22"/>
                  <w:lang w:val="hu-HU"/>
                </w:rPr>
                <w:delText>10 mg</w:delText>
              </w:r>
            </w:del>
          </w:p>
          <w:p w14:paraId="03C57C72" w14:textId="4ABA17D7" w:rsidR="00AA7EC1" w:rsidRPr="00183B5F" w:rsidRDefault="00943743" w:rsidP="00EA31F3">
            <w:pPr>
              <w:pStyle w:val="EMEANormal"/>
              <w:rPr>
                <w:del w:id="3080" w:author="AbbVie_HU_03" w:date="2025-05-14T15:27:00Z"/>
                <w:szCs w:val="22"/>
                <w:lang w:val="hu-HU"/>
              </w:rPr>
            </w:pPr>
            <w:del w:id="3081" w:author="AbbVie_HU_03" w:date="2025-05-14T15:27:00Z">
              <w:r w:rsidRPr="00183B5F">
                <w:rPr>
                  <w:szCs w:val="22"/>
                  <w:lang w:val="hu-HU"/>
                </w:rPr>
                <w:delText>kéthetente</w:delText>
              </w:r>
            </w:del>
          </w:p>
        </w:tc>
        <w:tc>
          <w:tcPr>
            <w:tcW w:w="1210" w:type="dxa"/>
          </w:tcPr>
          <w:p w14:paraId="4A43E5C0" w14:textId="62A637AA" w:rsidR="00AA7EC1" w:rsidRPr="00183B5F" w:rsidRDefault="00943743" w:rsidP="00EA31F3">
            <w:pPr>
              <w:pStyle w:val="EMEANormal"/>
              <w:rPr>
                <w:del w:id="3082" w:author="AbbVie_HU_03" w:date="2025-05-14T15:27:00Z"/>
                <w:szCs w:val="22"/>
                <w:lang w:val="hu-HU"/>
              </w:rPr>
            </w:pPr>
            <w:del w:id="3083" w:author="AbbVie_HU_03" w:date="2025-05-14T15:27:00Z">
              <w:r w:rsidRPr="00183B5F">
                <w:rPr>
                  <w:szCs w:val="22"/>
                  <w:lang w:val="hu-HU"/>
                </w:rPr>
                <w:delText>20 mg</w:delText>
              </w:r>
            </w:del>
          </w:p>
          <w:p w14:paraId="29D1C367" w14:textId="5CB4B2CC" w:rsidR="00AA7EC1" w:rsidRPr="00183B5F" w:rsidRDefault="00943743" w:rsidP="00EA31F3">
            <w:pPr>
              <w:pStyle w:val="EMEANormal"/>
              <w:rPr>
                <w:del w:id="3084" w:author="AbbVie_HU_03" w:date="2025-05-14T15:27:00Z"/>
                <w:szCs w:val="22"/>
                <w:lang w:val="hu-HU"/>
              </w:rPr>
            </w:pPr>
            <w:del w:id="3085" w:author="AbbVie_HU_03" w:date="2025-05-14T15:27:00Z">
              <w:r w:rsidRPr="00183B5F">
                <w:rPr>
                  <w:szCs w:val="22"/>
                  <w:lang w:val="hu-HU"/>
                </w:rPr>
                <w:delText>kéthetente</w:delText>
              </w:r>
            </w:del>
          </w:p>
        </w:tc>
      </w:tr>
      <w:tr w:rsidR="00011D2F" w14:paraId="6DDED7D8" w14:textId="18E57DCD" w:rsidTr="00EA31F3">
        <w:trPr>
          <w:jc w:val="center"/>
          <w:del w:id="3086" w:author="AbbVie_HU_03" w:date="2025-05-14T15:27:00Z"/>
        </w:trPr>
        <w:tc>
          <w:tcPr>
            <w:tcW w:w="988" w:type="dxa"/>
          </w:tcPr>
          <w:p w14:paraId="55D101AD" w14:textId="1216049F" w:rsidR="00AA7EC1" w:rsidRPr="00183B5F" w:rsidRDefault="00943743" w:rsidP="00EA31F3">
            <w:pPr>
              <w:pStyle w:val="EMEANormal"/>
              <w:rPr>
                <w:del w:id="3087" w:author="AbbVie_HU_03" w:date="2025-05-14T15:27:00Z"/>
                <w:szCs w:val="22"/>
                <w:lang w:val="hu-HU"/>
              </w:rPr>
            </w:pPr>
            <w:del w:id="3088" w:author="AbbVie_HU_03" w:date="2025-05-14T15:27:00Z">
              <w:r w:rsidRPr="00183B5F">
                <w:rPr>
                  <w:szCs w:val="22"/>
                  <w:lang w:val="hu-HU"/>
                </w:rPr>
                <w:delText>≥ 40 kg</w:delText>
              </w:r>
            </w:del>
          </w:p>
        </w:tc>
        <w:tc>
          <w:tcPr>
            <w:tcW w:w="1210" w:type="dxa"/>
          </w:tcPr>
          <w:p w14:paraId="4E3A22F0" w14:textId="562607DD" w:rsidR="00AA7EC1" w:rsidRPr="00183B5F" w:rsidRDefault="00943743" w:rsidP="00EA31F3">
            <w:pPr>
              <w:pStyle w:val="EMEANormal"/>
              <w:rPr>
                <w:del w:id="3089" w:author="AbbVie_HU_03" w:date="2025-05-14T15:27:00Z"/>
                <w:szCs w:val="22"/>
                <w:lang w:val="hu-HU"/>
              </w:rPr>
            </w:pPr>
            <w:del w:id="3090" w:author="AbbVie_HU_03" w:date="2025-05-14T15:27:00Z">
              <w:r w:rsidRPr="00183B5F">
                <w:rPr>
                  <w:szCs w:val="22"/>
                  <w:lang w:val="hu-HU"/>
                </w:rPr>
                <w:delText>20 mg</w:delText>
              </w:r>
            </w:del>
          </w:p>
          <w:p w14:paraId="275B29E8" w14:textId="3D33B8F4" w:rsidR="00AA7EC1" w:rsidRPr="00183B5F" w:rsidRDefault="00943743" w:rsidP="00EA31F3">
            <w:pPr>
              <w:pStyle w:val="EMEANormal"/>
              <w:rPr>
                <w:del w:id="3091" w:author="AbbVie_HU_03" w:date="2025-05-14T15:27:00Z"/>
                <w:szCs w:val="22"/>
                <w:lang w:val="hu-HU"/>
              </w:rPr>
            </w:pPr>
            <w:del w:id="3092" w:author="AbbVie_HU_03" w:date="2025-05-14T15:27:00Z">
              <w:r w:rsidRPr="00183B5F">
                <w:rPr>
                  <w:szCs w:val="22"/>
                  <w:lang w:val="hu-HU"/>
                </w:rPr>
                <w:delText>kéthetente</w:delText>
              </w:r>
            </w:del>
          </w:p>
        </w:tc>
        <w:tc>
          <w:tcPr>
            <w:tcW w:w="1210" w:type="dxa"/>
          </w:tcPr>
          <w:p w14:paraId="6F635F27" w14:textId="556D83ED" w:rsidR="00AA7EC1" w:rsidRPr="00183B5F" w:rsidRDefault="00943743" w:rsidP="00EA31F3">
            <w:pPr>
              <w:pStyle w:val="EMEANormal"/>
              <w:rPr>
                <w:del w:id="3093" w:author="AbbVie_HU_03" w:date="2025-05-14T15:27:00Z"/>
                <w:szCs w:val="22"/>
                <w:lang w:val="hu-HU"/>
              </w:rPr>
            </w:pPr>
            <w:del w:id="3094" w:author="AbbVie_HU_03" w:date="2025-05-14T15:27:00Z">
              <w:r w:rsidRPr="00183B5F">
                <w:rPr>
                  <w:szCs w:val="22"/>
                  <w:lang w:val="hu-HU"/>
                </w:rPr>
                <w:delText>40 mg</w:delText>
              </w:r>
            </w:del>
          </w:p>
          <w:p w14:paraId="52464C02" w14:textId="13E6D0D0" w:rsidR="00AA7EC1" w:rsidRPr="00183B5F" w:rsidRDefault="00943743" w:rsidP="00EA31F3">
            <w:pPr>
              <w:pStyle w:val="EMEANormal"/>
              <w:rPr>
                <w:del w:id="3095" w:author="AbbVie_HU_03" w:date="2025-05-14T15:27:00Z"/>
                <w:lang w:val="hu-HU"/>
              </w:rPr>
            </w:pPr>
            <w:del w:id="3096" w:author="AbbVie_HU_03" w:date="2025-05-14T15:27:00Z">
              <w:r w:rsidRPr="00183B5F">
                <w:rPr>
                  <w:szCs w:val="22"/>
                  <w:lang w:val="hu-HU"/>
                </w:rPr>
                <w:delText>kétheten</w:delText>
              </w:r>
              <w:r w:rsidRPr="00183B5F">
                <w:rPr>
                  <w:lang w:val="hu-HU"/>
                </w:rPr>
                <w:delText>te</w:delText>
              </w:r>
            </w:del>
          </w:p>
        </w:tc>
      </w:tr>
    </w:tbl>
    <w:p w14:paraId="190B619F" w14:textId="3717EAD4" w:rsidR="00AA7EC1" w:rsidRPr="00183B5F" w:rsidRDefault="00AA7EC1" w:rsidP="00AA7EC1">
      <w:pPr>
        <w:pStyle w:val="EMEANormal"/>
        <w:rPr>
          <w:del w:id="3097" w:author="AbbVie_HU_03" w:date="2025-05-14T15:27:00Z"/>
          <w:szCs w:val="22"/>
          <w:lang w:val="hu-HU"/>
        </w:rPr>
      </w:pPr>
    </w:p>
    <w:p w14:paraId="64ACD6D1" w14:textId="185FEEBE" w:rsidR="00AA7EC1" w:rsidRPr="00183B5F" w:rsidRDefault="00943743" w:rsidP="00AA7EC1">
      <w:pPr>
        <w:pStyle w:val="EMEANormal"/>
        <w:keepNext/>
        <w:rPr>
          <w:del w:id="3098" w:author="AbbVie_HU_03" w:date="2025-05-14T15:27:00Z"/>
          <w:i/>
          <w:szCs w:val="22"/>
          <w:u w:val="single"/>
          <w:lang w:val="hu-HU"/>
        </w:rPr>
      </w:pPr>
      <w:del w:id="3099" w:author="AbbVie_HU_03" w:date="2025-05-14T15:27:00Z">
        <w:r w:rsidRPr="00183B5F">
          <w:rPr>
            <w:i/>
            <w:szCs w:val="22"/>
            <w:u w:val="single"/>
            <w:lang w:val="hu-HU"/>
          </w:rPr>
          <w:delText>Hatásossági eredmények</w:delText>
        </w:r>
      </w:del>
    </w:p>
    <w:p w14:paraId="55BA09C2" w14:textId="3356B78E" w:rsidR="00AA7EC1" w:rsidRPr="00183B5F" w:rsidRDefault="00AA7EC1" w:rsidP="00AA7EC1">
      <w:pPr>
        <w:pStyle w:val="EMEANormal"/>
        <w:keepNext/>
        <w:rPr>
          <w:del w:id="3100" w:author="AbbVie_HU_03" w:date="2025-05-14T15:27:00Z"/>
          <w:i/>
          <w:szCs w:val="22"/>
          <w:lang w:val="hu-HU"/>
        </w:rPr>
      </w:pPr>
    </w:p>
    <w:p w14:paraId="5D153EA7" w14:textId="639CDEA6" w:rsidR="00AA7EC1" w:rsidRPr="00183B5F" w:rsidRDefault="00943743" w:rsidP="00AA7EC1">
      <w:pPr>
        <w:pStyle w:val="EMEANormal"/>
        <w:keepNext/>
        <w:rPr>
          <w:del w:id="3101" w:author="AbbVie_HU_03" w:date="2025-05-14T15:27:00Z"/>
          <w:szCs w:val="22"/>
          <w:lang w:val="hu-HU"/>
        </w:rPr>
      </w:pPr>
      <w:del w:id="3102" w:author="AbbVie_HU_03" w:date="2025-05-14T15:27:00Z">
        <w:r w:rsidRPr="00183B5F">
          <w:rPr>
            <w:szCs w:val="22"/>
            <w:lang w:val="hu-HU"/>
          </w:rPr>
          <w:delText>A vizsgálat elsődleges végpontja a 26. hétre elért remisszió volt, mely a definíció szerint a PCDAI</w:delText>
        </w:r>
        <w:r w:rsidRPr="00183B5F">
          <w:rPr>
            <w:szCs w:val="22"/>
            <w:lang w:val="hu-HU"/>
          </w:rPr>
          <w:noBreakHyphen/>
          <w:delText>pontszám ≤ 10.</w:delText>
        </w:r>
      </w:del>
    </w:p>
    <w:p w14:paraId="13116B15" w14:textId="14167115" w:rsidR="00AA7EC1" w:rsidRPr="00183B5F" w:rsidRDefault="00AA7EC1" w:rsidP="00AA7EC1">
      <w:pPr>
        <w:pStyle w:val="EMEANormal"/>
        <w:rPr>
          <w:del w:id="3103" w:author="AbbVie_HU_03" w:date="2025-05-14T15:27:00Z"/>
          <w:szCs w:val="22"/>
          <w:lang w:val="hu-HU"/>
        </w:rPr>
      </w:pPr>
    </w:p>
    <w:p w14:paraId="1E45B303" w14:textId="4437F2B3" w:rsidR="00AA7EC1" w:rsidRPr="00183B5F" w:rsidRDefault="00943743" w:rsidP="004B7A7F">
      <w:pPr>
        <w:pStyle w:val="EMEANormal"/>
        <w:rPr>
          <w:del w:id="3104" w:author="AbbVie_HU_03" w:date="2025-05-14T15:27:00Z"/>
          <w:szCs w:val="22"/>
          <w:lang w:val="hu-HU"/>
        </w:rPr>
      </w:pPr>
      <w:del w:id="3105" w:author="AbbVie_HU_03" w:date="2025-05-14T15:27:00Z">
        <w:r w:rsidRPr="00183B5F">
          <w:rPr>
            <w:szCs w:val="22"/>
            <w:lang w:val="hu-HU"/>
          </w:rPr>
          <w:delText xml:space="preserve">A klinikai remisszió és a klinikai válasz (meghatározás szerint a PCDAI-pontszám a kiindulási értéktől számított, legalább 15 pontos csökkenése) mértéke a </w:delText>
        </w:r>
        <w:r w:rsidR="004B7A7F" w:rsidRPr="00183B5F">
          <w:rPr>
            <w:szCs w:val="22"/>
            <w:lang w:val="hu-HU"/>
          </w:rPr>
          <w:delText>24</w:delText>
        </w:r>
        <w:r w:rsidRPr="00183B5F">
          <w:rPr>
            <w:szCs w:val="22"/>
            <w:lang w:val="hu-HU"/>
          </w:rPr>
          <w:delText xml:space="preserve">. táblázatban van feltüntetve. A kortikoszteroidok vagy az immunmodulátorok elhagyásának arányait a </w:delText>
        </w:r>
        <w:r w:rsidR="004B7A7F" w:rsidRPr="00183B5F">
          <w:rPr>
            <w:szCs w:val="22"/>
            <w:lang w:val="hu-HU"/>
          </w:rPr>
          <w:delText>25</w:delText>
        </w:r>
        <w:r w:rsidRPr="00183B5F">
          <w:rPr>
            <w:szCs w:val="22"/>
            <w:lang w:val="hu-HU"/>
          </w:rPr>
          <w:delText>. táblázat tartalmazza.</w:delText>
        </w:r>
      </w:del>
    </w:p>
    <w:p w14:paraId="72F13E46" w14:textId="31668436" w:rsidR="00AA7EC1" w:rsidRPr="00183B5F" w:rsidRDefault="00AA7EC1" w:rsidP="00AA7EC1">
      <w:pPr>
        <w:pStyle w:val="EMEANormal"/>
        <w:keepNext/>
        <w:rPr>
          <w:del w:id="3106" w:author="AbbVie_HU_03" w:date="2025-05-14T15:27:00Z"/>
          <w:szCs w:val="22"/>
          <w:lang w:val="hu-HU"/>
        </w:rPr>
      </w:pPr>
    </w:p>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011D2F" w14:paraId="4791DE41" w14:textId="119DDAE8" w:rsidTr="00EA31F3">
        <w:trPr>
          <w:jc w:val="center"/>
          <w:del w:id="3107" w:author="AbbVie_HU_03" w:date="2025-05-14T15:27:00Z"/>
        </w:trPr>
        <w:tc>
          <w:tcPr>
            <w:tcW w:w="6673" w:type="dxa"/>
            <w:gridSpan w:val="4"/>
            <w:tcBorders>
              <w:top w:val="single" w:sz="6" w:space="0" w:color="000000"/>
              <w:left w:val="single" w:sz="6" w:space="0" w:color="000000"/>
              <w:bottom w:val="single" w:sz="6" w:space="0" w:color="000000"/>
              <w:right w:val="single" w:sz="6" w:space="0" w:color="000000"/>
            </w:tcBorders>
          </w:tcPr>
          <w:p w14:paraId="2BEEE882" w14:textId="7FE7E866" w:rsidR="00AA7EC1" w:rsidRPr="00183B5F" w:rsidRDefault="00943743" w:rsidP="00FE0197">
            <w:pPr>
              <w:keepLines/>
              <w:tabs>
                <w:tab w:val="left" w:pos="-878"/>
              </w:tabs>
              <w:suppressAutoHyphens w:val="0"/>
              <w:autoSpaceDE w:val="0"/>
              <w:autoSpaceDN w:val="0"/>
              <w:adjustRightInd w:val="0"/>
              <w:spacing w:line="240" w:lineRule="auto"/>
              <w:ind w:left="14"/>
              <w:jc w:val="center"/>
              <w:rPr>
                <w:del w:id="3108" w:author="AbbVie_HU_03" w:date="2025-05-14T15:27:00Z"/>
                <w:b/>
                <w:bCs/>
                <w:szCs w:val="22"/>
              </w:rPr>
            </w:pPr>
            <w:del w:id="3109" w:author="AbbVie_HU_03" w:date="2025-05-14T15:27:00Z">
              <w:r w:rsidRPr="00183B5F">
                <w:rPr>
                  <w:b/>
                  <w:bCs/>
                  <w:szCs w:val="22"/>
                </w:rPr>
                <w:delText>24. táblázat</w:delText>
              </w:r>
            </w:del>
          </w:p>
          <w:p w14:paraId="075A9E6B" w14:textId="64175122" w:rsidR="00AA7EC1" w:rsidRPr="00183B5F" w:rsidRDefault="00943743" w:rsidP="00FE0197">
            <w:pPr>
              <w:keepLines/>
              <w:tabs>
                <w:tab w:val="left" w:pos="-878"/>
              </w:tabs>
              <w:suppressAutoHyphens w:val="0"/>
              <w:autoSpaceDE w:val="0"/>
              <w:autoSpaceDN w:val="0"/>
              <w:adjustRightInd w:val="0"/>
              <w:spacing w:line="240" w:lineRule="auto"/>
              <w:ind w:left="14"/>
              <w:jc w:val="center"/>
              <w:rPr>
                <w:del w:id="3110" w:author="AbbVie_HU_03" w:date="2025-05-14T15:27:00Z"/>
                <w:b/>
                <w:bCs/>
                <w:szCs w:val="22"/>
              </w:rPr>
            </w:pPr>
            <w:del w:id="3111" w:author="AbbVie_HU_03" w:date="2025-05-14T15:27:00Z">
              <w:r w:rsidRPr="00183B5F">
                <w:rPr>
                  <w:b/>
                  <w:bCs/>
                  <w:szCs w:val="22"/>
                </w:rPr>
                <w:delText>Gyermekkori CD Vizsgálat</w:delText>
              </w:r>
            </w:del>
          </w:p>
          <w:p w14:paraId="3A7C2485" w14:textId="3BA059B2" w:rsidR="00AA7EC1" w:rsidRPr="00183B5F" w:rsidRDefault="00943743" w:rsidP="00FE0197">
            <w:pPr>
              <w:keepLines/>
              <w:tabs>
                <w:tab w:val="left" w:pos="-878"/>
              </w:tabs>
              <w:suppressAutoHyphens w:val="0"/>
              <w:autoSpaceDE w:val="0"/>
              <w:autoSpaceDN w:val="0"/>
              <w:adjustRightInd w:val="0"/>
              <w:spacing w:line="240" w:lineRule="auto"/>
              <w:ind w:left="14"/>
              <w:jc w:val="center"/>
              <w:rPr>
                <w:del w:id="3112" w:author="AbbVie_HU_03" w:date="2025-05-14T15:27:00Z"/>
                <w:b/>
                <w:bCs/>
                <w:szCs w:val="22"/>
              </w:rPr>
            </w:pPr>
            <w:del w:id="3113" w:author="AbbVie_HU_03" w:date="2025-05-14T15:27:00Z">
              <w:r w:rsidRPr="00183B5F">
                <w:rPr>
                  <w:b/>
                  <w:bCs/>
                  <w:szCs w:val="22"/>
                </w:rPr>
                <w:delText xml:space="preserve">PCDAI </w:delText>
              </w:r>
              <w:r w:rsidRPr="00183B5F">
                <w:rPr>
                  <w:b/>
                  <w:szCs w:val="22"/>
                </w:rPr>
                <w:delText xml:space="preserve">Klinikai </w:delText>
              </w:r>
              <w:r w:rsidRPr="00183B5F">
                <w:rPr>
                  <w:b/>
                  <w:bCs/>
                  <w:szCs w:val="22"/>
                </w:rPr>
                <w:delText>remisszió és válasz</w:delText>
              </w:r>
            </w:del>
          </w:p>
        </w:tc>
      </w:tr>
      <w:tr w:rsidR="00011D2F" w14:paraId="3FD0D963" w14:textId="30B794F4" w:rsidTr="00EA31F3">
        <w:trPr>
          <w:jc w:val="center"/>
          <w:del w:id="3114" w:author="AbbVie_HU_03" w:date="2025-05-14T15:27:00Z"/>
        </w:trPr>
        <w:tc>
          <w:tcPr>
            <w:tcW w:w="2321" w:type="dxa"/>
            <w:tcBorders>
              <w:top w:val="single" w:sz="6" w:space="0" w:color="000000"/>
              <w:left w:val="single" w:sz="6" w:space="0" w:color="000000"/>
              <w:bottom w:val="single" w:sz="6" w:space="0" w:color="000000"/>
              <w:right w:val="single" w:sz="6" w:space="0" w:color="000000"/>
            </w:tcBorders>
          </w:tcPr>
          <w:p w14:paraId="42083895" w14:textId="6FE3B691" w:rsidR="00AA7EC1" w:rsidRPr="00183B5F" w:rsidRDefault="00AA7EC1" w:rsidP="00FE0197">
            <w:pPr>
              <w:keepLines/>
              <w:tabs>
                <w:tab w:val="left" w:pos="-1080"/>
              </w:tabs>
              <w:suppressAutoHyphens w:val="0"/>
              <w:autoSpaceDE w:val="0"/>
              <w:autoSpaceDN w:val="0"/>
              <w:adjustRightInd w:val="0"/>
              <w:spacing w:line="240" w:lineRule="auto"/>
              <w:ind w:left="14"/>
              <w:jc w:val="center"/>
              <w:rPr>
                <w:del w:id="3115" w:author="AbbVie_HU_03" w:date="2025-05-14T15:27:00Z"/>
                <w:b/>
                <w:bCs/>
                <w:szCs w:val="22"/>
              </w:rPr>
            </w:pPr>
          </w:p>
        </w:tc>
        <w:tc>
          <w:tcPr>
            <w:tcW w:w="1614" w:type="dxa"/>
            <w:tcBorders>
              <w:top w:val="single" w:sz="6" w:space="0" w:color="000000"/>
              <w:left w:val="single" w:sz="6" w:space="0" w:color="000000"/>
              <w:bottom w:val="single" w:sz="6" w:space="0" w:color="000000"/>
              <w:right w:val="single" w:sz="6" w:space="0" w:color="000000"/>
            </w:tcBorders>
          </w:tcPr>
          <w:p w14:paraId="506F8538" w14:textId="5EAFCB92" w:rsidR="00AA7EC1" w:rsidRPr="00183B5F" w:rsidRDefault="00943743" w:rsidP="00FE0197">
            <w:pPr>
              <w:keepLines/>
              <w:tabs>
                <w:tab w:val="left" w:pos="-1080"/>
              </w:tabs>
              <w:suppressAutoHyphens w:val="0"/>
              <w:autoSpaceDE w:val="0"/>
              <w:autoSpaceDN w:val="0"/>
              <w:adjustRightInd w:val="0"/>
              <w:spacing w:line="240" w:lineRule="auto"/>
              <w:ind w:left="14"/>
              <w:jc w:val="center"/>
              <w:rPr>
                <w:del w:id="3116" w:author="AbbVie_HU_03" w:date="2025-05-14T15:27:00Z"/>
                <w:b/>
              </w:rPr>
            </w:pPr>
            <w:del w:id="3117" w:author="AbbVie_HU_03" w:date="2025-05-14T15:27:00Z">
              <w:r w:rsidRPr="00183B5F">
                <w:rPr>
                  <w:b/>
                </w:rPr>
                <w:delText>Standard dózis</w:delText>
              </w:r>
            </w:del>
          </w:p>
          <w:p w14:paraId="61568E0F" w14:textId="37753A12" w:rsidR="00AA7EC1" w:rsidRPr="00183B5F" w:rsidRDefault="00943743" w:rsidP="00FE0197">
            <w:pPr>
              <w:keepLines/>
              <w:tabs>
                <w:tab w:val="left" w:pos="-1080"/>
              </w:tabs>
              <w:suppressAutoHyphens w:val="0"/>
              <w:autoSpaceDE w:val="0"/>
              <w:autoSpaceDN w:val="0"/>
              <w:adjustRightInd w:val="0"/>
              <w:spacing w:line="240" w:lineRule="auto"/>
              <w:ind w:left="14"/>
              <w:jc w:val="center"/>
              <w:rPr>
                <w:del w:id="3118" w:author="AbbVie_HU_03" w:date="2025-05-14T15:27:00Z"/>
                <w:b/>
              </w:rPr>
            </w:pPr>
            <w:del w:id="3119" w:author="AbbVie_HU_03" w:date="2025-05-14T15:27:00Z">
              <w:r w:rsidRPr="00183B5F">
                <w:rPr>
                  <w:b/>
                </w:rPr>
                <w:delText>40/20 mg</w:delText>
              </w:r>
            </w:del>
          </w:p>
          <w:p w14:paraId="5094B1AF" w14:textId="1A436DFA" w:rsidR="00AA7EC1" w:rsidRPr="00183B5F" w:rsidRDefault="00943743" w:rsidP="00FE0197">
            <w:pPr>
              <w:keepLines/>
              <w:tabs>
                <w:tab w:val="left" w:pos="-1080"/>
              </w:tabs>
              <w:suppressAutoHyphens w:val="0"/>
              <w:autoSpaceDE w:val="0"/>
              <w:autoSpaceDN w:val="0"/>
              <w:adjustRightInd w:val="0"/>
              <w:spacing w:line="240" w:lineRule="auto"/>
              <w:ind w:left="14"/>
              <w:jc w:val="center"/>
              <w:rPr>
                <w:del w:id="3120" w:author="AbbVie_HU_03" w:date="2025-05-14T15:27:00Z"/>
                <w:b/>
              </w:rPr>
            </w:pPr>
            <w:del w:id="3121" w:author="AbbVie_HU_03" w:date="2025-05-14T15:27:00Z">
              <w:r w:rsidRPr="00183B5F">
                <w:rPr>
                  <w:b/>
                </w:rPr>
                <w:delText xml:space="preserve">kéthetente </w:delText>
              </w:r>
            </w:del>
          </w:p>
          <w:p w14:paraId="7371776A" w14:textId="27087704" w:rsidR="00AA7EC1" w:rsidRPr="00183B5F" w:rsidRDefault="00943743" w:rsidP="00FE0197">
            <w:pPr>
              <w:keepLines/>
              <w:tabs>
                <w:tab w:val="left" w:pos="-1080"/>
              </w:tabs>
              <w:suppressAutoHyphens w:val="0"/>
              <w:autoSpaceDE w:val="0"/>
              <w:autoSpaceDN w:val="0"/>
              <w:adjustRightInd w:val="0"/>
              <w:spacing w:line="240" w:lineRule="auto"/>
              <w:ind w:left="14"/>
              <w:jc w:val="center"/>
              <w:rPr>
                <w:del w:id="3122" w:author="AbbVie_HU_03" w:date="2025-05-14T15:27:00Z"/>
                <w:b/>
              </w:rPr>
            </w:pPr>
            <w:del w:id="3123" w:author="AbbVie_HU_03" w:date="2025-05-14T15:27:00Z">
              <w:r w:rsidRPr="00183B5F">
                <w:rPr>
                  <w:b/>
                </w:rPr>
                <w:delText>N = 93</w:delText>
              </w:r>
            </w:del>
          </w:p>
        </w:tc>
        <w:tc>
          <w:tcPr>
            <w:tcW w:w="1591" w:type="dxa"/>
            <w:tcBorders>
              <w:top w:val="single" w:sz="6" w:space="0" w:color="000000"/>
              <w:left w:val="single" w:sz="6" w:space="0" w:color="000000"/>
              <w:bottom w:val="single" w:sz="6" w:space="0" w:color="000000"/>
              <w:right w:val="single" w:sz="6" w:space="0" w:color="000000"/>
            </w:tcBorders>
          </w:tcPr>
          <w:p w14:paraId="62FF0C7A" w14:textId="1C006B42" w:rsidR="00AA7EC1" w:rsidRPr="00183B5F" w:rsidRDefault="00943743" w:rsidP="00FE0197">
            <w:pPr>
              <w:keepLines/>
              <w:tabs>
                <w:tab w:val="left" w:pos="-1080"/>
              </w:tabs>
              <w:suppressAutoHyphens w:val="0"/>
              <w:autoSpaceDE w:val="0"/>
              <w:autoSpaceDN w:val="0"/>
              <w:adjustRightInd w:val="0"/>
              <w:spacing w:line="240" w:lineRule="auto"/>
              <w:ind w:left="14"/>
              <w:jc w:val="center"/>
              <w:rPr>
                <w:del w:id="3124" w:author="AbbVie_HU_03" w:date="2025-05-14T15:27:00Z"/>
                <w:b/>
                <w:bCs/>
                <w:szCs w:val="22"/>
              </w:rPr>
            </w:pPr>
            <w:del w:id="3125" w:author="AbbVie_HU_03" w:date="2025-05-14T15:27:00Z">
              <w:r w:rsidRPr="00183B5F">
                <w:rPr>
                  <w:b/>
                  <w:bCs/>
                  <w:szCs w:val="22"/>
                </w:rPr>
                <w:delText>Alacsony dózis</w:delText>
              </w:r>
            </w:del>
          </w:p>
          <w:p w14:paraId="6D8E7E9B" w14:textId="6E82E120" w:rsidR="00AA7EC1" w:rsidRPr="00183B5F" w:rsidRDefault="00943743" w:rsidP="00FE0197">
            <w:pPr>
              <w:keepLines/>
              <w:tabs>
                <w:tab w:val="left" w:pos="-1080"/>
              </w:tabs>
              <w:suppressAutoHyphens w:val="0"/>
              <w:autoSpaceDE w:val="0"/>
              <w:autoSpaceDN w:val="0"/>
              <w:adjustRightInd w:val="0"/>
              <w:spacing w:line="240" w:lineRule="auto"/>
              <w:ind w:left="14"/>
              <w:jc w:val="center"/>
              <w:rPr>
                <w:del w:id="3126" w:author="AbbVie_HU_03" w:date="2025-05-14T15:27:00Z"/>
                <w:b/>
                <w:bCs/>
                <w:szCs w:val="22"/>
              </w:rPr>
            </w:pPr>
            <w:del w:id="3127" w:author="AbbVie_HU_03" w:date="2025-05-14T15:27:00Z">
              <w:r w:rsidRPr="00183B5F">
                <w:rPr>
                  <w:b/>
                  <w:bCs/>
                  <w:szCs w:val="22"/>
                </w:rPr>
                <w:delText>20/10 mg</w:delText>
              </w:r>
            </w:del>
          </w:p>
          <w:p w14:paraId="0E9BFBCB" w14:textId="5965962C" w:rsidR="00AA7EC1" w:rsidRPr="00183B5F" w:rsidRDefault="00943743" w:rsidP="00FE0197">
            <w:pPr>
              <w:keepLines/>
              <w:tabs>
                <w:tab w:val="left" w:pos="-1080"/>
              </w:tabs>
              <w:suppressAutoHyphens w:val="0"/>
              <w:autoSpaceDE w:val="0"/>
              <w:autoSpaceDN w:val="0"/>
              <w:adjustRightInd w:val="0"/>
              <w:spacing w:line="240" w:lineRule="auto"/>
              <w:ind w:left="14"/>
              <w:jc w:val="center"/>
              <w:rPr>
                <w:del w:id="3128" w:author="AbbVie_HU_03" w:date="2025-05-14T15:27:00Z"/>
                <w:b/>
                <w:bCs/>
                <w:szCs w:val="22"/>
              </w:rPr>
            </w:pPr>
            <w:del w:id="3129" w:author="AbbVie_HU_03" w:date="2025-05-14T15:27:00Z">
              <w:r w:rsidRPr="00183B5F">
                <w:rPr>
                  <w:b/>
                  <w:bCs/>
                  <w:szCs w:val="22"/>
                </w:rPr>
                <w:delText xml:space="preserve">kéthetente </w:delText>
              </w:r>
            </w:del>
          </w:p>
          <w:p w14:paraId="11175B6A" w14:textId="6F66591B" w:rsidR="00AA7EC1" w:rsidRPr="00183B5F" w:rsidRDefault="00943743" w:rsidP="00FE0197">
            <w:pPr>
              <w:keepLines/>
              <w:tabs>
                <w:tab w:val="left" w:pos="-1080"/>
              </w:tabs>
              <w:suppressAutoHyphens w:val="0"/>
              <w:autoSpaceDE w:val="0"/>
              <w:autoSpaceDN w:val="0"/>
              <w:adjustRightInd w:val="0"/>
              <w:spacing w:line="240" w:lineRule="auto"/>
              <w:ind w:left="14"/>
              <w:jc w:val="center"/>
              <w:rPr>
                <w:del w:id="3130" w:author="AbbVie_HU_03" w:date="2025-05-14T15:27:00Z"/>
                <w:b/>
                <w:bCs/>
                <w:szCs w:val="22"/>
              </w:rPr>
            </w:pPr>
            <w:del w:id="3131" w:author="AbbVie_HU_03" w:date="2025-05-14T15:27:00Z">
              <w:r w:rsidRPr="00183B5F">
                <w:rPr>
                  <w:b/>
                  <w:bCs/>
                  <w:szCs w:val="22"/>
                </w:rPr>
                <w:delText>N = 95</w:delText>
              </w:r>
            </w:del>
          </w:p>
        </w:tc>
        <w:tc>
          <w:tcPr>
            <w:tcW w:w="1147" w:type="dxa"/>
            <w:tcBorders>
              <w:top w:val="single" w:sz="6" w:space="0" w:color="000000"/>
              <w:left w:val="single" w:sz="6" w:space="0" w:color="000000"/>
              <w:bottom w:val="single" w:sz="6" w:space="0" w:color="000000"/>
              <w:right w:val="single" w:sz="6" w:space="0" w:color="000000"/>
            </w:tcBorders>
          </w:tcPr>
          <w:p w14:paraId="481A9B9E" w14:textId="56B6751C" w:rsidR="00AA7EC1" w:rsidRPr="00183B5F" w:rsidRDefault="00943743" w:rsidP="00FE0197">
            <w:pPr>
              <w:keepLines/>
              <w:tabs>
                <w:tab w:val="left" w:pos="-1080"/>
              </w:tabs>
              <w:suppressAutoHyphens w:val="0"/>
              <w:autoSpaceDE w:val="0"/>
              <w:autoSpaceDN w:val="0"/>
              <w:adjustRightInd w:val="0"/>
              <w:spacing w:line="240" w:lineRule="auto"/>
              <w:ind w:left="14"/>
              <w:jc w:val="center"/>
              <w:rPr>
                <w:del w:id="3132" w:author="AbbVie_HU_03" w:date="2025-05-14T15:27:00Z"/>
                <w:szCs w:val="22"/>
              </w:rPr>
            </w:pPr>
            <w:del w:id="3133" w:author="AbbVie_HU_03" w:date="2025-05-14T15:27:00Z">
              <w:r w:rsidRPr="00183B5F">
                <w:rPr>
                  <w:b/>
                  <w:bCs/>
                  <w:szCs w:val="22"/>
                </w:rPr>
                <w:delText>p</w:delText>
              </w:r>
              <w:r w:rsidRPr="00183B5F">
                <w:rPr>
                  <w:b/>
                  <w:bCs/>
                  <w:szCs w:val="22"/>
                </w:rPr>
                <w:noBreakHyphen/>
                <w:delText>érték</w:delText>
              </w:r>
              <w:r w:rsidRPr="00183B5F">
                <w:rPr>
                  <w:szCs w:val="22"/>
                </w:rPr>
                <w:delText>*</w:delText>
              </w:r>
            </w:del>
          </w:p>
        </w:tc>
      </w:tr>
      <w:tr w:rsidR="00011D2F" w14:paraId="4A44118C" w14:textId="2D7BADC8" w:rsidTr="00EA31F3">
        <w:trPr>
          <w:jc w:val="center"/>
          <w:del w:id="3134" w:author="AbbVie_HU_03" w:date="2025-05-14T15:27:00Z"/>
        </w:trPr>
        <w:tc>
          <w:tcPr>
            <w:tcW w:w="2321" w:type="dxa"/>
            <w:tcBorders>
              <w:top w:val="single" w:sz="6" w:space="0" w:color="000000"/>
              <w:left w:val="single" w:sz="6" w:space="0" w:color="000000"/>
              <w:bottom w:val="single" w:sz="6" w:space="0" w:color="000000"/>
              <w:right w:val="single" w:sz="6" w:space="0" w:color="000000"/>
            </w:tcBorders>
            <w:vAlign w:val="bottom"/>
          </w:tcPr>
          <w:p w14:paraId="4A306E66" w14:textId="067253A5" w:rsidR="00AA7EC1" w:rsidRPr="00183B5F" w:rsidRDefault="00943743" w:rsidP="00FE0197">
            <w:pPr>
              <w:keepLines/>
              <w:tabs>
                <w:tab w:val="left" w:pos="-1080"/>
              </w:tabs>
              <w:suppressAutoHyphens w:val="0"/>
              <w:autoSpaceDE w:val="0"/>
              <w:autoSpaceDN w:val="0"/>
              <w:adjustRightInd w:val="0"/>
              <w:spacing w:line="240" w:lineRule="auto"/>
              <w:ind w:left="14"/>
              <w:rPr>
                <w:del w:id="3135" w:author="AbbVie_HU_03" w:date="2025-05-14T15:27:00Z"/>
                <w:b/>
                <w:bCs/>
                <w:szCs w:val="22"/>
              </w:rPr>
            </w:pPr>
            <w:del w:id="3136" w:author="AbbVie_HU_03" w:date="2025-05-14T15:27:00Z">
              <w:r w:rsidRPr="00183B5F">
                <w:rPr>
                  <w:b/>
                  <w:bCs/>
                  <w:szCs w:val="22"/>
                </w:rPr>
                <w:delText>26. hét</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3F082B2D" w14:textId="6AFF8A26" w:rsidR="00AA7EC1" w:rsidRPr="00183B5F" w:rsidRDefault="00AA7EC1" w:rsidP="00FE0197">
            <w:pPr>
              <w:keepLines/>
              <w:tabs>
                <w:tab w:val="left" w:pos="-1080"/>
              </w:tabs>
              <w:suppressAutoHyphens w:val="0"/>
              <w:autoSpaceDE w:val="0"/>
              <w:autoSpaceDN w:val="0"/>
              <w:adjustRightInd w:val="0"/>
              <w:spacing w:line="240" w:lineRule="auto"/>
              <w:ind w:left="14"/>
              <w:jc w:val="center"/>
              <w:rPr>
                <w:del w:id="3137" w:author="AbbVie_HU_03" w:date="2025-05-14T15:27:00Z"/>
                <w:b/>
                <w:bCs/>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376D3B4F" w14:textId="6863D042" w:rsidR="00AA7EC1" w:rsidRPr="00183B5F" w:rsidRDefault="00AA7EC1" w:rsidP="00FE0197">
            <w:pPr>
              <w:keepLines/>
              <w:tabs>
                <w:tab w:val="left" w:pos="-1080"/>
              </w:tabs>
              <w:suppressAutoHyphens w:val="0"/>
              <w:autoSpaceDE w:val="0"/>
              <w:autoSpaceDN w:val="0"/>
              <w:adjustRightInd w:val="0"/>
              <w:spacing w:line="240" w:lineRule="auto"/>
              <w:ind w:left="14"/>
              <w:jc w:val="center"/>
              <w:rPr>
                <w:del w:id="3138" w:author="AbbVie_HU_03" w:date="2025-05-14T15:27:00Z"/>
                <w:b/>
                <w:bCs/>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748916FE" w14:textId="583968F0" w:rsidR="00AA7EC1" w:rsidRPr="00183B5F" w:rsidRDefault="00AA7EC1" w:rsidP="00FE0197">
            <w:pPr>
              <w:keepLines/>
              <w:suppressAutoHyphens w:val="0"/>
              <w:autoSpaceDE w:val="0"/>
              <w:autoSpaceDN w:val="0"/>
              <w:adjustRightInd w:val="0"/>
              <w:spacing w:line="240" w:lineRule="auto"/>
              <w:ind w:left="14"/>
              <w:rPr>
                <w:del w:id="3139" w:author="AbbVie_HU_03" w:date="2025-05-14T15:27:00Z"/>
                <w:b/>
                <w:bCs/>
                <w:szCs w:val="22"/>
              </w:rPr>
            </w:pPr>
          </w:p>
        </w:tc>
      </w:tr>
      <w:tr w:rsidR="00011D2F" w14:paraId="024BAB1E" w14:textId="3FDDD867" w:rsidTr="00EA31F3">
        <w:trPr>
          <w:jc w:val="center"/>
          <w:del w:id="3140" w:author="AbbVie_HU_03" w:date="2025-05-14T15:27:00Z"/>
        </w:trPr>
        <w:tc>
          <w:tcPr>
            <w:tcW w:w="2321" w:type="dxa"/>
            <w:tcBorders>
              <w:top w:val="single" w:sz="6" w:space="0" w:color="000000"/>
              <w:left w:val="single" w:sz="6" w:space="0" w:color="000000"/>
              <w:bottom w:val="single" w:sz="6" w:space="0" w:color="000000"/>
              <w:right w:val="single" w:sz="6" w:space="0" w:color="000000"/>
            </w:tcBorders>
            <w:vAlign w:val="bottom"/>
          </w:tcPr>
          <w:p w14:paraId="30620AB1" w14:textId="6D437215" w:rsidR="00AA7EC1" w:rsidRPr="00183B5F" w:rsidRDefault="00943743" w:rsidP="00FE0197">
            <w:pPr>
              <w:keepLines/>
              <w:tabs>
                <w:tab w:val="left" w:pos="-1080"/>
              </w:tabs>
              <w:suppressAutoHyphens w:val="0"/>
              <w:autoSpaceDE w:val="0"/>
              <w:autoSpaceDN w:val="0"/>
              <w:adjustRightInd w:val="0"/>
              <w:spacing w:line="240" w:lineRule="auto"/>
              <w:ind w:left="15"/>
              <w:rPr>
                <w:del w:id="3141" w:author="AbbVie_HU_03" w:date="2025-05-14T15:27:00Z"/>
                <w:szCs w:val="22"/>
              </w:rPr>
            </w:pPr>
            <w:del w:id="3142" w:author="AbbVie_HU_03" w:date="2025-05-14T15:27:00Z">
              <w:r w:rsidRPr="00183B5F">
                <w:rPr>
                  <w:szCs w:val="22"/>
                </w:rPr>
                <w:delText xml:space="preserve">   Klinikai remisszió</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3C40F22E" w14:textId="753CD770" w:rsidR="00AA7EC1" w:rsidRPr="00183B5F" w:rsidRDefault="00943743" w:rsidP="00FE0197">
            <w:pPr>
              <w:keepLines/>
              <w:tabs>
                <w:tab w:val="left" w:pos="-1080"/>
              </w:tabs>
              <w:suppressAutoHyphens w:val="0"/>
              <w:autoSpaceDE w:val="0"/>
              <w:autoSpaceDN w:val="0"/>
              <w:adjustRightInd w:val="0"/>
              <w:spacing w:line="240" w:lineRule="auto"/>
              <w:ind w:left="15"/>
              <w:jc w:val="center"/>
              <w:rPr>
                <w:del w:id="3143" w:author="AbbVie_HU_03" w:date="2025-05-14T15:27:00Z"/>
                <w:szCs w:val="22"/>
              </w:rPr>
            </w:pPr>
            <w:del w:id="3144" w:author="AbbVie_HU_03" w:date="2025-05-14T15:27:00Z">
              <w:r w:rsidRPr="00183B5F">
                <w:rPr>
                  <w:szCs w:val="22"/>
                </w:rPr>
                <w:delText>38,7%</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14:paraId="2297AC4C" w14:textId="40309F29" w:rsidR="00AA7EC1" w:rsidRPr="00183B5F" w:rsidRDefault="00943743" w:rsidP="00FE0197">
            <w:pPr>
              <w:keepLines/>
              <w:tabs>
                <w:tab w:val="left" w:pos="-1080"/>
              </w:tabs>
              <w:suppressAutoHyphens w:val="0"/>
              <w:autoSpaceDE w:val="0"/>
              <w:autoSpaceDN w:val="0"/>
              <w:adjustRightInd w:val="0"/>
              <w:spacing w:line="240" w:lineRule="auto"/>
              <w:ind w:left="15"/>
              <w:jc w:val="center"/>
              <w:rPr>
                <w:del w:id="3145" w:author="AbbVie_HU_03" w:date="2025-05-14T15:27:00Z"/>
                <w:szCs w:val="22"/>
              </w:rPr>
            </w:pPr>
            <w:del w:id="3146" w:author="AbbVie_HU_03" w:date="2025-05-14T15:27:00Z">
              <w:r w:rsidRPr="00183B5F">
                <w:rPr>
                  <w:szCs w:val="22"/>
                </w:rPr>
                <w:delText>28,4%</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14:paraId="2FB9B46E" w14:textId="2ED1C0CA" w:rsidR="00AA7EC1" w:rsidRPr="00183B5F" w:rsidRDefault="00943743" w:rsidP="00FE0197">
            <w:pPr>
              <w:keepLines/>
              <w:tabs>
                <w:tab w:val="left" w:pos="-1080"/>
              </w:tabs>
              <w:suppressAutoHyphens w:val="0"/>
              <w:autoSpaceDE w:val="0"/>
              <w:autoSpaceDN w:val="0"/>
              <w:adjustRightInd w:val="0"/>
              <w:spacing w:line="240" w:lineRule="auto"/>
              <w:ind w:left="15"/>
              <w:jc w:val="center"/>
              <w:rPr>
                <w:del w:id="3147" w:author="AbbVie_HU_03" w:date="2025-05-14T15:27:00Z"/>
                <w:szCs w:val="22"/>
              </w:rPr>
            </w:pPr>
            <w:del w:id="3148" w:author="AbbVie_HU_03" w:date="2025-05-14T15:27:00Z">
              <w:r w:rsidRPr="00183B5F">
                <w:rPr>
                  <w:szCs w:val="22"/>
                </w:rPr>
                <w:delText>0,075</w:delText>
              </w:r>
            </w:del>
          </w:p>
        </w:tc>
      </w:tr>
      <w:tr w:rsidR="00011D2F" w14:paraId="40654690" w14:textId="0E0F7C40" w:rsidTr="00EA31F3">
        <w:trPr>
          <w:jc w:val="center"/>
          <w:del w:id="3149" w:author="AbbVie_HU_03" w:date="2025-05-14T15:27:00Z"/>
        </w:trPr>
        <w:tc>
          <w:tcPr>
            <w:tcW w:w="2321" w:type="dxa"/>
            <w:tcBorders>
              <w:top w:val="single" w:sz="6" w:space="0" w:color="000000"/>
              <w:left w:val="single" w:sz="6" w:space="0" w:color="000000"/>
              <w:bottom w:val="single" w:sz="6" w:space="0" w:color="000000"/>
              <w:right w:val="single" w:sz="6" w:space="0" w:color="000000"/>
            </w:tcBorders>
          </w:tcPr>
          <w:p w14:paraId="2BF0587E" w14:textId="3E554194" w:rsidR="00AA7EC1" w:rsidRPr="00183B5F" w:rsidRDefault="00943743" w:rsidP="00FE0197">
            <w:pPr>
              <w:keepLines/>
              <w:tabs>
                <w:tab w:val="left" w:pos="-1080"/>
              </w:tabs>
              <w:suppressAutoHyphens w:val="0"/>
              <w:autoSpaceDE w:val="0"/>
              <w:autoSpaceDN w:val="0"/>
              <w:adjustRightInd w:val="0"/>
              <w:spacing w:line="240" w:lineRule="auto"/>
              <w:ind w:left="15"/>
              <w:rPr>
                <w:del w:id="3150" w:author="AbbVie_HU_03" w:date="2025-05-14T15:27:00Z"/>
                <w:szCs w:val="22"/>
              </w:rPr>
            </w:pPr>
            <w:del w:id="3151" w:author="AbbVie_HU_03" w:date="2025-05-14T15:27:00Z">
              <w:r w:rsidRPr="00183B5F">
                <w:rPr>
                  <w:szCs w:val="22"/>
                </w:rPr>
                <w:delText xml:space="preserve">   Klinikai válasz </w:delText>
              </w:r>
            </w:del>
          </w:p>
        </w:tc>
        <w:tc>
          <w:tcPr>
            <w:tcW w:w="1614" w:type="dxa"/>
            <w:tcBorders>
              <w:top w:val="single" w:sz="6" w:space="0" w:color="000000"/>
              <w:left w:val="single" w:sz="6" w:space="0" w:color="000000"/>
              <w:bottom w:val="single" w:sz="6" w:space="0" w:color="000000"/>
              <w:right w:val="single" w:sz="6" w:space="0" w:color="000000"/>
            </w:tcBorders>
          </w:tcPr>
          <w:p w14:paraId="3E7FB543" w14:textId="09BAECA8" w:rsidR="00AA7EC1" w:rsidRPr="00183B5F" w:rsidRDefault="00943743" w:rsidP="00FE0197">
            <w:pPr>
              <w:keepLines/>
              <w:tabs>
                <w:tab w:val="left" w:pos="-1080"/>
              </w:tabs>
              <w:suppressAutoHyphens w:val="0"/>
              <w:autoSpaceDE w:val="0"/>
              <w:autoSpaceDN w:val="0"/>
              <w:adjustRightInd w:val="0"/>
              <w:spacing w:line="240" w:lineRule="auto"/>
              <w:ind w:left="15"/>
              <w:jc w:val="center"/>
              <w:rPr>
                <w:del w:id="3152" w:author="AbbVie_HU_03" w:date="2025-05-14T15:27:00Z"/>
                <w:szCs w:val="22"/>
              </w:rPr>
            </w:pPr>
            <w:del w:id="3153" w:author="AbbVie_HU_03" w:date="2025-05-14T15:27:00Z">
              <w:r w:rsidRPr="00183B5F">
                <w:rPr>
                  <w:szCs w:val="22"/>
                </w:rPr>
                <w:delText>59,1%</w:delText>
              </w:r>
            </w:del>
          </w:p>
        </w:tc>
        <w:tc>
          <w:tcPr>
            <w:tcW w:w="1591" w:type="dxa"/>
            <w:tcBorders>
              <w:top w:val="single" w:sz="6" w:space="0" w:color="000000"/>
              <w:left w:val="single" w:sz="6" w:space="0" w:color="000000"/>
              <w:bottom w:val="single" w:sz="6" w:space="0" w:color="000000"/>
              <w:right w:val="single" w:sz="6" w:space="0" w:color="000000"/>
            </w:tcBorders>
          </w:tcPr>
          <w:p w14:paraId="4459B3DD" w14:textId="5218D6C1" w:rsidR="00AA7EC1" w:rsidRPr="00183B5F" w:rsidRDefault="00943743" w:rsidP="00FE0197">
            <w:pPr>
              <w:keepLines/>
              <w:tabs>
                <w:tab w:val="left" w:pos="-1080"/>
              </w:tabs>
              <w:suppressAutoHyphens w:val="0"/>
              <w:autoSpaceDE w:val="0"/>
              <w:autoSpaceDN w:val="0"/>
              <w:adjustRightInd w:val="0"/>
              <w:spacing w:line="240" w:lineRule="auto"/>
              <w:ind w:left="15"/>
              <w:jc w:val="center"/>
              <w:rPr>
                <w:del w:id="3154" w:author="AbbVie_HU_03" w:date="2025-05-14T15:27:00Z"/>
                <w:szCs w:val="22"/>
              </w:rPr>
            </w:pPr>
            <w:del w:id="3155" w:author="AbbVie_HU_03" w:date="2025-05-14T15:27:00Z">
              <w:r w:rsidRPr="00183B5F">
                <w:rPr>
                  <w:szCs w:val="22"/>
                </w:rPr>
                <w:delText>48,4%</w:delText>
              </w:r>
            </w:del>
          </w:p>
        </w:tc>
        <w:tc>
          <w:tcPr>
            <w:tcW w:w="1147" w:type="dxa"/>
            <w:tcBorders>
              <w:top w:val="single" w:sz="6" w:space="0" w:color="000000"/>
              <w:left w:val="single" w:sz="6" w:space="0" w:color="000000"/>
              <w:bottom w:val="single" w:sz="6" w:space="0" w:color="000000"/>
              <w:right w:val="single" w:sz="6" w:space="0" w:color="000000"/>
            </w:tcBorders>
          </w:tcPr>
          <w:p w14:paraId="40560E09" w14:textId="25B78FAC" w:rsidR="00AA7EC1" w:rsidRPr="00183B5F" w:rsidRDefault="00943743" w:rsidP="00FE0197">
            <w:pPr>
              <w:keepLines/>
              <w:tabs>
                <w:tab w:val="left" w:pos="-1080"/>
              </w:tabs>
              <w:suppressAutoHyphens w:val="0"/>
              <w:autoSpaceDE w:val="0"/>
              <w:autoSpaceDN w:val="0"/>
              <w:adjustRightInd w:val="0"/>
              <w:spacing w:line="240" w:lineRule="auto"/>
              <w:ind w:left="15"/>
              <w:jc w:val="center"/>
              <w:rPr>
                <w:del w:id="3156" w:author="AbbVie_HU_03" w:date="2025-05-14T15:27:00Z"/>
                <w:szCs w:val="22"/>
              </w:rPr>
            </w:pPr>
            <w:del w:id="3157" w:author="AbbVie_HU_03" w:date="2025-05-14T15:27:00Z">
              <w:r w:rsidRPr="00183B5F">
                <w:rPr>
                  <w:szCs w:val="22"/>
                </w:rPr>
                <w:delText>0,073</w:delText>
              </w:r>
            </w:del>
          </w:p>
        </w:tc>
      </w:tr>
      <w:tr w:rsidR="00011D2F" w14:paraId="0C44511C" w14:textId="0AA4A837" w:rsidTr="00EA31F3">
        <w:trPr>
          <w:jc w:val="center"/>
          <w:del w:id="3158" w:author="AbbVie_HU_03" w:date="2025-05-14T15:27:00Z"/>
        </w:trPr>
        <w:tc>
          <w:tcPr>
            <w:tcW w:w="2321" w:type="dxa"/>
            <w:tcBorders>
              <w:top w:val="single" w:sz="6" w:space="0" w:color="000000"/>
              <w:left w:val="single" w:sz="6" w:space="0" w:color="000000"/>
              <w:bottom w:val="single" w:sz="6" w:space="0" w:color="000000"/>
              <w:right w:val="single" w:sz="6" w:space="0" w:color="000000"/>
            </w:tcBorders>
            <w:vAlign w:val="bottom"/>
          </w:tcPr>
          <w:p w14:paraId="0850CD3F" w14:textId="3D0919B8" w:rsidR="00AA7EC1" w:rsidRPr="00183B5F" w:rsidRDefault="00943743" w:rsidP="00FE0197">
            <w:pPr>
              <w:keepLines/>
              <w:tabs>
                <w:tab w:val="left" w:pos="-1080"/>
              </w:tabs>
              <w:suppressAutoHyphens w:val="0"/>
              <w:autoSpaceDE w:val="0"/>
              <w:autoSpaceDN w:val="0"/>
              <w:adjustRightInd w:val="0"/>
              <w:spacing w:line="240" w:lineRule="auto"/>
              <w:ind w:left="15"/>
              <w:rPr>
                <w:del w:id="3159" w:author="AbbVie_HU_03" w:date="2025-05-14T15:27:00Z"/>
                <w:b/>
                <w:bCs/>
                <w:szCs w:val="22"/>
              </w:rPr>
            </w:pPr>
            <w:del w:id="3160" w:author="AbbVie_HU_03" w:date="2025-05-14T15:27:00Z">
              <w:r w:rsidRPr="00183B5F">
                <w:rPr>
                  <w:b/>
                  <w:bCs/>
                  <w:szCs w:val="22"/>
                </w:rPr>
                <w:delText>52. hét</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1EDE8F94" w14:textId="212C75C6" w:rsidR="00AA7EC1" w:rsidRPr="00183B5F" w:rsidRDefault="00AA7EC1" w:rsidP="00FE0197">
            <w:pPr>
              <w:keepLines/>
              <w:tabs>
                <w:tab w:val="left" w:pos="-1080"/>
              </w:tabs>
              <w:suppressAutoHyphens w:val="0"/>
              <w:autoSpaceDE w:val="0"/>
              <w:autoSpaceDN w:val="0"/>
              <w:adjustRightInd w:val="0"/>
              <w:spacing w:line="240" w:lineRule="auto"/>
              <w:ind w:left="15"/>
              <w:jc w:val="center"/>
              <w:rPr>
                <w:del w:id="3161" w:author="AbbVie_HU_03" w:date="2025-05-14T15:27:00Z"/>
                <w:b/>
                <w:bCs/>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5B36E240" w14:textId="41AEF3D0" w:rsidR="00AA7EC1" w:rsidRPr="00183B5F" w:rsidRDefault="00AA7EC1" w:rsidP="00FE0197">
            <w:pPr>
              <w:keepLines/>
              <w:tabs>
                <w:tab w:val="left" w:pos="-1080"/>
              </w:tabs>
              <w:suppressAutoHyphens w:val="0"/>
              <w:autoSpaceDE w:val="0"/>
              <w:autoSpaceDN w:val="0"/>
              <w:adjustRightInd w:val="0"/>
              <w:spacing w:line="240" w:lineRule="auto"/>
              <w:ind w:left="15"/>
              <w:jc w:val="center"/>
              <w:rPr>
                <w:del w:id="3162" w:author="AbbVie_HU_03" w:date="2025-05-14T15:27:00Z"/>
                <w:b/>
                <w:bCs/>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6392A802" w14:textId="6FCC45F5" w:rsidR="00AA7EC1" w:rsidRPr="00183B5F" w:rsidRDefault="00AA7EC1" w:rsidP="00FE0197">
            <w:pPr>
              <w:suppressAutoHyphens w:val="0"/>
              <w:autoSpaceDE w:val="0"/>
              <w:autoSpaceDN w:val="0"/>
              <w:adjustRightInd w:val="0"/>
              <w:spacing w:line="240" w:lineRule="auto"/>
              <w:ind w:left="15"/>
              <w:rPr>
                <w:del w:id="3163" w:author="AbbVie_HU_03" w:date="2025-05-14T15:27:00Z"/>
                <w:b/>
                <w:bCs/>
                <w:szCs w:val="22"/>
              </w:rPr>
            </w:pPr>
          </w:p>
        </w:tc>
      </w:tr>
      <w:tr w:rsidR="00011D2F" w14:paraId="2264E90F" w14:textId="7895BBBD" w:rsidTr="00EA31F3">
        <w:trPr>
          <w:jc w:val="center"/>
          <w:del w:id="3164" w:author="AbbVie_HU_03" w:date="2025-05-14T15:27:00Z"/>
        </w:trPr>
        <w:tc>
          <w:tcPr>
            <w:tcW w:w="2321" w:type="dxa"/>
            <w:tcBorders>
              <w:top w:val="single" w:sz="6" w:space="0" w:color="000000"/>
              <w:left w:val="single" w:sz="6" w:space="0" w:color="000000"/>
              <w:bottom w:val="single" w:sz="6" w:space="0" w:color="000000"/>
              <w:right w:val="single" w:sz="6" w:space="0" w:color="000000"/>
            </w:tcBorders>
            <w:vAlign w:val="bottom"/>
          </w:tcPr>
          <w:p w14:paraId="33E866BB" w14:textId="521D402C" w:rsidR="00AA7EC1" w:rsidRPr="00183B5F" w:rsidRDefault="00943743" w:rsidP="00FE0197">
            <w:pPr>
              <w:keepLines/>
              <w:tabs>
                <w:tab w:val="left" w:pos="-1080"/>
              </w:tabs>
              <w:suppressAutoHyphens w:val="0"/>
              <w:autoSpaceDE w:val="0"/>
              <w:autoSpaceDN w:val="0"/>
              <w:adjustRightInd w:val="0"/>
              <w:spacing w:line="240" w:lineRule="auto"/>
              <w:ind w:left="15"/>
              <w:rPr>
                <w:del w:id="3165" w:author="AbbVie_HU_03" w:date="2025-05-14T15:27:00Z"/>
                <w:szCs w:val="22"/>
              </w:rPr>
            </w:pPr>
            <w:del w:id="3166" w:author="AbbVie_HU_03" w:date="2025-05-14T15:27:00Z">
              <w:r w:rsidRPr="00183B5F">
                <w:rPr>
                  <w:szCs w:val="22"/>
                </w:rPr>
                <w:delText xml:space="preserve">   Klinikai remisszió</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75B9D950" w14:textId="2841DA68" w:rsidR="00AA7EC1" w:rsidRPr="00183B5F" w:rsidRDefault="00943743" w:rsidP="00FE0197">
            <w:pPr>
              <w:keepLines/>
              <w:tabs>
                <w:tab w:val="left" w:pos="-1080"/>
              </w:tabs>
              <w:suppressAutoHyphens w:val="0"/>
              <w:autoSpaceDE w:val="0"/>
              <w:autoSpaceDN w:val="0"/>
              <w:adjustRightInd w:val="0"/>
              <w:spacing w:line="240" w:lineRule="auto"/>
              <w:ind w:left="15"/>
              <w:jc w:val="center"/>
              <w:rPr>
                <w:del w:id="3167" w:author="AbbVie_HU_03" w:date="2025-05-14T15:27:00Z"/>
                <w:szCs w:val="22"/>
              </w:rPr>
            </w:pPr>
            <w:del w:id="3168" w:author="AbbVie_HU_03" w:date="2025-05-14T15:27:00Z">
              <w:r w:rsidRPr="00183B5F">
                <w:rPr>
                  <w:szCs w:val="22"/>
                </w:rPr>
                <w:delText>33,3%</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14:paraId="75D2D9E8" w14:textId="0C822379" w:rsidR="00AA7EC1" w:rsidRPr="00183B5F" w:rsidRDefault="00943743" w:rsidP="00FE0197">
            <w:pPr>
              <w:keepLines/>
              <w:tabs>
                <w:tab w:val="left" w:pos="-1080"/>
              </w:tabs>
              <w:suppressAutoHyphens w:val="0"/>
              <w:autoSpaceDE w:val="0"/>
              <w:autoSpaceDN w:val="0"/>
              <w:adjustRightInd w:val="0"/>
              <w:spacing w:line="240" w:lineRule="auto"/>
              <w:ind w:left="15"/>
              <w:jc w:val="center"/>
              <w:rPr>
                <w:del w:id="3169" w:author="AbbVie_HU_03" w:date="2025-05-14T15:27:00Z"/>
                <w:szCs w:val="22"/>
              </w:rPr>
            </w:pPr>
            <w:del w:id="3170" w:author="AbbVie_HU_03" w:date="2025-05-14T15:27:00Z">
              <w:r w:rsidRPr="00183B5F">
                <w:rPr>
                  <w:szCs w:val="22"/>
                </w:rPr>
                <w:delText>23,2%</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14:paraId="34FE7F42" w14:textId="0B132597" w:rsidR="00AA7EC1" w:rsidRPr="00183B5F" w:rsidRDefault="00943743" w:rsidP="00FE0197">
            <w:pPr>
              <w:keepLines/>
              <w:tabs>
                <w:tab w:val="left" w:pos="-1080"/>
              </w:tabs>
              <w:suppressAutoHyphens w:val="0"/>
              <w:autoSpaceDE w:val="0"/>
              <w:autoSpaceDN w:val="0"/>
              <w:adjustRightInd w:val="0"/>
              <w:spacing w:line="240" w:lineRule="auto"/>
              <w:ind w:left="15"/>
              <w:jc w:val="center"/>
              <w:rPr>
                <w:del w:id="3171" w:author="AbbVie_HU_03" w:date="2025-05-14T15:27:00Z"/>
                <w:szCs w:val="22"/>
              </w:rPr>
            </w:pPr>
            <w:del w:id="3172" w:author="AbbVie_HU_03" w:date="2025-05-14T15:27:00Z">
              <w:r w:rsidRPr="00183B5F">
                <w:rPr>
                  <w:szCs w:val="22"/>
                </w:rPr>
                <w:delText>0,100</w:delText>
              </w:r>
            </w:del>
          </w:p>
        </w:tc>
      </w:tr>
      <w:tr w:rsidR="00011D2F" w14:paraId="44D85234" w14:textId="0C0A442D" w:rsidTr="00EA31F3">
        <w:trPr>
          <w:jc w:val="center"/>
          <w:del w:id="3173" w:author="AbbVie_HU_03" w:date="2025-05-14T15:27:00Z"/>
        </w:trPr>
        <w:tc>
          <w:tcPr>
            <w:tcW w:w="2321" w:type="dxa"/>
            <w:tcBorders>
              <w:top w:val="single" w:sz="6" w:space="0" w:color="000000"/>
              <w:left w:val="single" w:sz="6" w:space="0" w:color="000000"/>
              <w:bottom w:val="single" w:sz="6" w:space="0" w:color="000000"/>
              <w:right w:val="single" w:sz="6" w:space="0" w:color="000000"/>
            </w:tcBorders>
          </w:tcPr>
          <w:p w14:paraId="144DB560" w14:textId="56524BC2" w:rsidR="00AA7EC1" w:rsidRPr="00183B5F" w:rsidRDefault="00943743" w:rsidP="00FE0197">
            <w:pPr>
              <w:keepLines/>
              <w:tabs>
                <w:tab w:val="left" w:pos="-1080"/>
              </w:tabs>
              <w:suppressAutoHyphens w:val="0"/>
              <w:autoSpaceDE w:val="0"/>
              <w:autoSpaceDN w:val="0"/>
              <w:adjustRightInd w:val="0"/>
              <w:spacing w:line="240" w:lineRule="auto"/>
              <w:ind w:left="15"/>
              <w:rPr>
                <w:del w:id="3174" w:author="AbbVie_HU_03" w:date="2025-05-14T15:27:00Z"/>
                <w:szCs w:val="22"/>
              </w:rPr>
            </w:pPr>
            <w:del w:id="3175" w:author="AbbVie_HU_03" w:date="2025-05-14T15:27:00Z">
              <w:r w:rsidRPr="00183B5F">
                <w:rPr>
                  <w:szCs w:val="22"/>
                </w:rPr>
                <w:delText xml:space="preserve">   Klinikai válasz</w:delText>
              </w:r>
            </w:del>
          </w:p>
        </w:tc>
        <w:tc>
          <w:tcPr>
            <w:tcW w:w="1614" w:type="dxa"/>
            <w:tcBorders>
              <w:top w:val="single" w:sz="6" w:space="0" w:color="000000"/>
              <w:left w:val="single" w:sz="6" w:space="0" w:color="000000"/>
              <w:bottom w:val="single" w:sz="6" w:space="0" w:color="000000"/>
              <w:right w:val="single" w:sz="6" w:space="0" w:color="000000"/>
            </w:tcBorders>
          </w:tcPr>
          <w:p w14:paraId="0433DDF3" w14:textId="2E40C0A5" w:rsidR="00AA7EC1" w:rsidRPr="00183B5F" w:rsidRDefault="00943743" w:rsidP="00FE0197">
            <w:pPr>
              <w:keepLines/>
              <w:tabs>
                <w:tab w:val="left" w:pos="-1080"/>
              </w:tabs>
              <w:suppressAutoHyphens w:val="0"/>
              <w:autoSpaceDE w:val="0"/>
              <w:autoSpaceDN w:val="0"/>
              <w:adjustRightInd w:val="0"/>
              <w:spacing w:line="240" w:lineRule="auto"/>
              <w:ind w:left="15"/>
              <w:jc w:val="center"/>
              <w:rPr>
                <w:del w:id="3176" w:author="AbbVie_HU_03" w:date="2025-05-14T15:27:00Z"/>
                <w:szCs w:val="22"/>
              </w:rPr>
            </w:pPr>
            <w:del w:id="3177" w:author="AbbVie_HU_03" w:date="2025-05-14T15:27:00Z">
              <w:r w:rsidRPr="00183B5F">
                <w:rPr>
                  <w:szCs w:val="22"/>
                </w:rPr>
                <w:delText>41,9%</w:delText>
              </w:r>
            </w:del>
          </w:p>
        </w:tc>
        <w:tc>
          <w:tcPr>
            <w:tcW w:w="1591" w:type="dxa"/>
            <w:tcBorders>
              <w:top w:val="single" w:sz="6" w:space="0" w:color="000000"/>
              <w:left w:val="single" w:sz="6" w:space="0" w:color="000000"/>
              <w:bottom w:val="single" w:sz="6" w:space="0" w:color="000000"/>
              <w:right w:val="single" w:sz="6" w:space="0" w:color="000000"/>
            </w:tcBorders>
          </w:tcPr>
          <w:p w14:paraId="54D65DFC" w14:textId="66D2F883" w:rsidR="00AA7EC1" w:rsidRPr="00183B5F" w:rsidRDefault="00943743" w:rsidP="00FE0197">
            <w:pPr>
              <w:keepLines/>
              <w:tabs>
                <w:tab w:val="left" w:pos="-1080"/>
              </w:tabs>
              <w:suppressAutoHyphens w:val="0"/>
              <w:autoSpaceDE w:val="0"/>
              <w:autoSpaceDN w:val="0"/>
              <w:adjustRightInd w:val="0"/>
              <w:spacing w:line="240" w:lineRule="auto"/>
              <w:ind w:left="15"/>
              <w:jc w:val="center"/>
              <w:rPr>
                <w:del w:id="3178" w:author="AbbVie_HU_03" w:date="2025-05-14T15:27:00Z"/>
                <w:szCs w:val="22"/>
              </w:rPr>
            </w:pPr>
            <w:del w:id="3179" w:author="AbbVie_HU_03" w:date="2025-05-14T15:27:00Z">
              <w:r w:rsidRPr="00183B5F">
                <w:rPr>
                  <w:szCs w:val="22"/>
                </w:rPr>
                <w:delText>28,4%</w:delText>
              </w:r>
            </w:del>
          </w:p>
        </w:tc>
        <w:tc>
          <w:tcPr>
            <w:tcW w:w="1147" w:type="dxa"/>
            <w:tcBorders>
              <w:top w:val="single" w:sz="6" w:space="0" w:color="000000"/>
              <w:left w:val="single" w:sz="6" w:space="0" w:color="000000"/>
              <w:bottom w:val="single" w:sz="6" w:space="0" w:color="000000"/>
              <w:right w:val="single" w:sz="6" w:space="0" w:color="000000"/>
            </w:tcBorders>
          </w:tcPr>
          <w:p w14:paraId="3EE07AEB" w14:textId="4FFF3111" w:rsidR="00AA7EC1" w:rsidRPr="00183B5F" w:rsidRDefault="00943743" w:rsidP="00FE0197">
            <w:pPr>
              <w:keepLines/>
              <w:tabs>
                <w:tab w:val="left" w:pos="-1080"/>
              </w:tabs>
              <w:suppressAutoHyphens w:val="0"/>
              <w:autoSpaceDE w:val="0"/>
              <w:autoSpaceDN w:val="0"/>
              <w:adjustRightInd w:val="0"/>
              <w:spacing w:line="240" w:lineRule="auto"/>
              <w:ind w:left="15"/>
              <w:jc w:val="center"/>
              <w:rPr>
                <w:del w:id="3180" w:author="AbbVie_HU_03" w:date="2025-05-14T15:27:00Z"/>
                <w:szCs w:val="22"/>
              </w:rPr>
            </w:pPr>
            <w:del w:id="3181" w:author="AbbVie_HU_03" w:date="2025-05-14T15:27:00Z">
              <w:r w:rsidRPr="00183B5F">
                <w:rPr>
                  <w:szCs w:val="22"/>
                </w:rPr>
                <w:delText>0,038</w:delText>
              </w:r>
            </w:del>
          </w:p>
        </w:tc>
      </w:tr>
      <w:tr w:rsidR="00011D2F" w14:paraId="6FD36B17" w14:textId="762F3564" w:rsidTr="00EA31F3">
        <w:trPr>
          <w:jc w:val="center"/>
          <w:del w:id="3182" w:author="AbbVie_HU_03" w:date="2025-05-14T15:27:00Z"/>
        </w:trPr>
        <w:tc>
          <w:tcPr>
            <w:tcW w:w="6673" w:type="dxa"/>
            <w:gridSpan w:val="4"/>
            <w:tcBorders>
              <w:top w:val="single" w:sz="6" w:space="0" w:color="000000"/>
              <w:left w:val="single" w:sz="6" w:space="0" w:color="000000"/>
              <w:bottom w:val="single" w:sz="6" w:space="0" w:color="000000"/>
              <w:right w:val="single" w:sz="6" w:space="0" w:color="000000"/>
            </w:tcBorders>
          </w:tcPr>
          <w:p w14:paraId="39D65DA6" w14:textId="3F8F43F7" w:rsidR="00AA7EC1" w:rsidRPr="00183B5F" w:rsidRDefault="00943743" w:rsidP="00FE0197">
            <w:pPr>
              <w:keepLines/>
              <w:tabs>
                <w:tab w:val="left" w:pos="-1080"/>
              </w:tabs>
              <w:suppressAutoHyphens w:val="0"/>
              <w:autoSpaceDE w:val="0"/>
              <w:autoSpaceDN w:val="0"/>
              <w:adjustRightInd w:val="0"/>
              <w:spacing w:line="240" w:lineRule="auto"/>
              <w:ind w:left="15"/>
              <w:rPr>
                <w:del w:id="3183" w:author="AbbVie_HU_03" w:date="2025-05-14T15:27:00Z"/>
                <w:szCs w:val="22"/>
              </w:rPr>
            </w:pPr>
            <w:del w:id="3184" w:author="AbbVie_HU_03" w:date="2025-05-14T15:27:00Z">
              <w:r w:rsidRPr="00183B5F">
                <w:rPr>
                  <w:szCs w:val="22"/>
                </w:rPr>
                <w:delText>* p</w:delText>
              </w:r>
              <w:r w:rsidRPr="00183B5F">
                <w:rPr>
                  <w:szCs w:val="22"/>
                </w:rPr>
                <w:noBreakHyphen/>
                <w:delText xml:space="preserve">érték a Standard dózis </w:delText>
              </w:r>
              <w:r w:rsidRPr="00183B5F">
                <w:rPr>
                  <w:i/>
                  <w:iCs/>
                  <w:szCs w:val="22"/>
                </w:rPr>
                <w:delText>versus</w:delText>
              </w:r>
              <w:r w:rsidRPr="00183B5F">
                <w:rPr>
                  <w:szCs w:val="22"/>
                </w:rPr>
                <w:delText xml:space="preserve"> az Alacsony dózis összehasonlítása esetén.</w:delText>
              </w:r>
            </w:del>
          </w:p>
        </w:tc>
      </w:tr>
    </w:tbl>
    <w:p w14:paraId="1CC03DA1" w14:textId="0C20354B" w:rsidR="00AA7EC1" w:rsidRPr="00183B5F" w:rsidRDefault="00AA7EC1" w:rsidP="00AA7EC1">
      <w:pPr>
        <w:pStyle w:val="EMEANormal"/>
        <w:rPr>
          <w:del w:id="3185" w:author="AbbVie_HU_03" w:date="2025-05-14T15:27:00Z"/>
          <w:szCs w:val="22"/>
          <w:lang w:val="hu-HU"/>
        </w:rPr>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011D2F" w14:paraId="7BB3F591" w14:textId="01282997" w:rsidTr="00EA31F3">
        <w:trPr>
          <w:jc w:val="center"/>
          <w:del w:id="3186" w:author="AbbVie_HU_03" w:date="2025-05-14T15:27:00Z"/>
        </w:trPr>
        <w:tc>
          <w:tcPr>
            <w:tcW w:w="8440" w:type="dxa"/>
            <w:gridSpan w:val="4"/>
            <w:tcBorders>
              <w:top w:val="single" w:sz="6" w:space="0" w:color="000000"/>
              <w:left w:val="single" w:sz="6" w:space="0" w:color="000000"/>
              <w:bottom w:val="single" w:sz="6" w:space="0" w:color="000000"/>
              <w:right w:val="single" w:sz="6" w:space="0" w:color="000000"/>
            </w:tcBorders>
          </w:tcPr>
          <w:p w14:paraId="16090F19" w14:textId="5E980857" w:rsidR="00AA7EC1" w:rsidRPr="00183B5F" w:rsidRDefault="00943743" w:rsidP="004B7A7F">
            <w:pPr>
              <w:keepNext/>
              <w:tabs>
                <w:tab w:val="left" w:pos="-878"/>
              </w:tabs>
              <w:suppressAutoHyphens w:val="0"/>
              <w:autoSpaceDE w:val="0"/>
              <w:autoSpaceDN w:val="0"/>
              <w:adjustRightInd w:val="0"/>
              <w:spacing w:line="240" w:lineRule="auto"/>
              <w:jc w:val="center"/>
              <w:rPr>
                <w:del w:id="3187" w:author="AbbVie_HU_03" w:date="2025-05-14T15:27:00Z"/>
                <w:b/>
                <w:bCs/>
                <w:szCs w:val="22"/>
              </w:rPr>
            </w:pPr>
            <w:del w:id="3188" w:author="AbbVie_HU_03" w:date="2025-05-14T15:27:00Z">
              <w:r w:rsidRPr="00183B5F">
                <w:rPr>
                  <w:b/>
                  <w:bCs/>
                  <w:szCs w:val="22"/>
                </w:rPr>
                <w:delText>2</w:delText>
              </w:r>
              <w:r w:rsidR="004B7A7F" w:rsidRPr="00183B5F">
                <w:rPr>
                  <w:b/>
                  <w:bCs/>
                  <w:szCs w:val="22"/>
                </w:rPr>
                <w:delText>5</w:delText>
              </w:r>
              <w:r w:rsidRPr="00183B5F">
                <w:rPr>
                  <w:b/>
                  <w:bCs/>
                  <w:szCs w:val="22"/>
                </w:rPr>
                <w:delText>. táblázat</w:delText>
              </w:r>
            </w:del>
          </w:p>
          <w:p w14:paraId="7495021A" w14:textId="4A1B3C71" w:rsidR="00AA7EC1" w:rsidRPr="00183B5F" w:rsidRDefault="00943743" w:rsidP="00EA31F3">
            <w:pPr>
              <w:keepNext/>
              <w:tabs>
                <w:tab w:val="left" w:pos="-878"/>
              </w:tabs>
              <w:suppressAutoHyphens w:val="0"/>
              <w:autoSpaceDE w:val="0"/>
              <w:autoSpaceDN w:val="0"/>
              <w:adjustRightInd w:val="0"/>
              <w:spacing w:line="240" w:lineRule="auto"/>
              <w:jc w:val="center"/>
              <w:rPr>
                <w:del w:id="3189" w:author="AbbVie_HU_03" w:date="2025-05-14T15:27:00Z"/>
                <w:b/>
                <w:bCs/>
                <w:szCs w:val="22"/>
              </w:rPr>
            </w:pPr>
            <w:del w:id="3190" w:author="AbbVie_HU_03" w:date="2025-05-14T15:27:00Z">
              <w:r w:rsidRPr="00183B5F">
                <w:rPr>
                  <w:b/>
                  <w:bCs/>
                  <w:szCs w:val="22"/>
                </w:rPr>
                <w:delText>Gyermekkori CD Vizsgálat</w:delText>
              </w:r>
            </w:del>
          </w:p>
          <w:p w14:paraId="137E9F5A" w14:textId="71A9261D" w:rsidR="00AA7EC1" w:rsidRPr="00183B5F" w:rsidRDefault="00943743" w:rsidP="00EA31F3">
            <w:pPr>
              <w:keepNext/>
              <w:tabs>
                <w:tab w:val="left" w:pos="-878"/>
              </w:tabs>
              <w:suppressAutoHyphens w:val="0"/>
              <w:autoSpaceDE w:val="0"/>
              <w:autoSpaceDN w:val="0"/>
              <w:adjustRightInd w:val="0"/>
              <w:spacing w:line="240" w:lineRule="auto"/>
              <w:jc w:val="center"/>
              <w:rPr>
                <w:del w:id="3191" w:author="AbbVie_HU_03" w:date="2025-05-14T15:27:00Z"/>
                <w:b/>
                <w:bCs/>
                <w:szCs w:val="22"/>
              </w:rPr>
            </w:pPr>
            <w:del w:id="3192" w:author="AbbVie_HU_03" w:date="2025-05-14T15:27:00Z">
              <w:r w:rsidRPr="00183B5F">
                <w:rPr>
                  <w:b/>
                  <w:bCs/>
                  <w:szCs w:val="22"/>
                </w:rPr>
                <w:delText>Kortikoszteroidok vagy immunmodulátorok elhagyása és fistula-remisszió</w:delText>
              </w:r>
            </w:del>
          </w:p>
        </w:tc>
      </w:tr>
      <w:tr w:rsidR="00011D2F" w14:paraId="1EDB1A39" w14:textId="46639E6E" w:rsidTr="00EA31F3">
        <w:trPr>
          <w:jc w:val="center"/>
          <w:del w:id="3193" w:author="AbbVie_HU_03" w:date="2025-05-14T15:27:00Z"/>
        </w:trPr>
        <w:tc>
          <w:tcPr>
            <w:tcW w:w="4025" w:type="dxa"/>
            <w:tcBorders>
              <w:top w:val="single" w:sz="6" w:space="0" w:color="000000"/>
              <w:left w:val="single" w:sz="6" w:space="0" w:color="000000"/>
              <w:bottom w:val="single" w:sz="6" w:space="0" w:color="000000"/>
              <w:right w:val="single" w:sz="6" w:space="0" w:color="000000"/>
            </w:tcBorders>
          </w:tcPr>
          <w:p w14:paraId="41E0AC85" w14:textId="7CD02D7D" w:rsidR="00AA7EC1" w:rsidRPr="00183B5F" w:rsidRDefault="00AA7EC1" w:rsidP="00EA31F3">
            <w:pPr>
              <w:keepNext/>
              <w:keepLines/>
              <w:tabs>
                <w:tab w:val="left" w:pos="-1080"/>
              </w:tabs>
              <w:suppressAutoHyphens w:val="0"/>
              <w:autoSpaceDE w:val="0"/>
              <w:autoSpaceDN w:val="0"/>
              <w:adjustRightInd w:val="0"/>
              <w:spacing w:line="240" w:lineRule="auto"/>
              <w:jc w:val="center"/>
              <w:rPr>
                <w:del w:id="3194" w:author="AbbVie_HU_03" w:date="2025-05-14T15:27:00Z"/>
                <w:b/>
                <w:bCs/>
                <w:szCs w:val="22"/>
              </w:rPr>
            </w:pPr>
          </w:p>
        </w:tc>
        <w:tc>
          <w:tcPr>
            <w:tcW w:w="1656" w:type="dxa"/>
            <w:tcBorders>
              <w:top w:val="single" w:sz="6" w:space="0" w:color="000000"/>
              <w:left w:val="single" w:sz="6" w:space="0" w:color="000000"/>
              <w:bottom w:val="single" w:sz="6" w:space="0" w:color="000000"/>
              <w:right w:val="single" w:sz="6" w:space="0" w:color="000000"/>
            </w:tcBorders>
          </w:tcPr>
          <w:p w14:paraId="63473312" w14:textId="6F9B026C" w:rsidR="00AA7EC1" w:rsidRPr="00183B5F" w:rsidRDefault="00943743" w:rsidP="00EA31F3">
            <w:pPr>
              <w:keepNext/>
              <w:keepLines/>
              <w:tabs>
                <w:tab w:val="left" w:pos="-1080"/>
              </w:tabs>
              <w:suppressAutoHyphens w:val="0"/>
              <w:autoSpaceDE w:val="0"/>
              <w:autoSpaceDN w:val="0"/>
              <w:adjustRightInd w:val="0"/>
              <w:spacing w:line="240" w:lineRule="auto"/>
              <w:ind w:left="15"/>
              <w:jc w:val="center"/>
              <w:rPr>
                <w:del w:id="3195" w:author="AbbVie_HU_03" w:date="2025-05-14T15:27:00Z"/>
                <w:b/>
                <w:bCs/>
                <w:szCs w:val="22"/>
              </w:rPr>
            </w:pPr>
            <w:del w:id="3196" w:author="AbbVie_HU_03" w:date="2025-05-14T15:27:00Z">
              <w:r w:rsidRPr="00183B5F">
                <w:rPr>
                  <w:b/>
                  <w:bCs/>
                  <w:szCs w:val="22"/>
                </w:rPr>
                <w:delText>Standard dózis</w:delText>
              </w:r>
            </w:del>
          </w:p>
          <w:p w14:paraId="3D7F21B1" w14:textId="599B16F4" w:rsidR="00AA7EC1" w:rsidRPr="00183B5F" w:rsidRDefault="00943743" w:rsidP="00EA31F3">
            <w:pPr>
              <w:keepNext/>
              <w:keepLines/>
              <w:tabs>
                <w:tab w:val="left" w:pos="-1080"/>
              </w:tabs>
              <w:suppressAutoHyphens w:val="0"/>
              <w:autoSpaceDE w:val="0"/>
              <w:autoSpaceDN w:val="0"/>
              <w:adjustRightInd w:val="0"/>
              <w:spacing w:line="240" w:lineRule="auto"/>
              <w:ind w:left="15"/>
              <w:jc w:val="center"/>
              <w:rPr>
                <w:del w:id="3197" w:author="AbbVie_HU_03" w:date="2025-05-14T15:27:00Z"/>
                <w:b/>
                <w:bCs/>
                <w:szCs w:val="22"/>
              </w:rPr>
            </w:pPr>
            <w:del w:id="3198" w:author="AbbVie_HU_03" w:date="2025-05-14T15:27:00Z">
              <w:r w:rsidRPr="00183B5F">
                <w:rPr>
                  <w:b/>
                  <w:bCs/>
                  <w:szCs w:val="22"/>
                </w:rPr>
                <w:delText>40/20 mg</w:delText>
              </w:r>
            </w:del>
          </w:p>
          <w:p w14:paraId="513C4935" w14:textId="15D9A7F8" w:rsidR="00AA7EC1" w:rsidRPr="00183B5F" w:rsidRDefault="00943743" w:rsidP="00EA31F3">
            <w:pPr>
              <w:keepNext/>
              <w:keepLines/>
              <w:tabs>
                <w:tab w:val="left" w:pos="-1080"/>
              </w:tabs>
              <w:suppressAutoHyphens w:val="0"/>
              <w:autoSpaceDE w:val="0"/>
              <w:autoSpaceDN w:val="0"/>
              <w:adjustRightInd w:val="0"/>
              <w:spacing w:line="240" w:lineRule="auto"/>
              <w:ind w:left="15"/>
              <w:jc w:val="center"/>
              <w:rPr>
                <w:del w:id="3199" w:author="AbbVie_HU_03" w:date="2025-05-14T15:27:00Z"/>
                <w:b/>
                <w:bCs/>
                <w:szCs w:val="22"/>
              </w:rPr>
            </w:pPr>
            <w:del w:id="3200" w:author="AbbVie_HU_03" w:date="2025-05-14T15:27:00Z">
              <w:r w:rsidRPr="00183B5F">
                <w:rPr>
                  <w:b/>
                  <w:bCs/>
                  <w:szCs w:val="22"/>
                </w:rPr>
                <w:delText xml:space="preserve">kéthetente </w:delText>
              </w:r>
            </w:del>
          </w:p>
        </w:tc>
        <w:tc>
          <w:tcPr>
            <w:tcW w:w="1619" w:type="dxa"/>
            <w:tcBorders>
              <w:top w:val="single" w:sz="6" w:space="0" w:color="000000"/>
              <w:left w:val="single" w:sz="6" w:space="0" w:color="000000"/>
              <w:bottom w:val="single" w:sz="6" w:space="0" w:color="000000"/>
              <w:right w:val="single" w:sz="6" w:space="0" w:color="000000"/>
            </w:tcBorders>
          </w:tcPr>
          <w:p w14:paraId="10D16227" w14:textId="58114E9C" w:rsidR="00AA7EC1" w:rsidRPr="00183B5F" w:rsidRDefault="00943743" w:rsidP="00EA31F3">
            <w:pPr>
              <w:keepNext/>
              <w:keepLines/>
              <w:tabs>
                <w:tab w:val="left" w:pos="-1080"/>
              </w:tabs>
              <w:suppressAutoHyphens w:val="0"/>
              <w:autoSpaceDE w:val="0"/>
              <w:autoSpaceDN w:val="0"/>
              <w:adjustRightInd w:val="0"/>
              <w:spacing w:line="240" w:lineRule="auto"/>
              <w:ind w:left="15"/>
              <w:jc w:val="center"/>
              <w:rPr>
                <w:del w:id="3201" w:author="AbbVie_HU_03" w:date="2025-05-14T15:27:00Z"/>
                <w:b/>
                <w:bCs/>
                <w:szCs w:val="22"/>
              </w:rPr>
            </w:pPr>
            <w:del w:id="3202" w:author="AbbVie_HU_03" w:date="2025-05-14T15:27:00Z">
              <w:r w:rsidRPr="00183B5F">
                <w:rPr>
                  <w:b/>
                  <w:bCs/>
                  <w:szCs w:val="22"/>
                </w:rPr>
                <w:delText>Alacsony dózis</w:delText>
              </w:r>
            </w:del>
          </w:p>
          <w:p w14:paraId="4BAF3B39" w14:textId="781FCB98" w:rsidR="00AA7EC1" w:rsidRPr="00183B5F" w:rsidRDefault="00943743" w:rsidP="00EA31F3">
            <w:pPr>
              <w:keepNext/>
              <w:keepLines/>
              <w:tabs>
                <w:tab w:val="left" w:pos="-1080"/>
              </w:tabs>
              <w:suppressAutoHyphens w:val="0"/>
              <w:autoSpaceDE w:val="0"/>
              <w:autoSpaceDN w:val="0"/>
              <w:adjustRightInd w:val="0"/>
              <w:spacing w:line="240" w:lineRule="auto"/>
              <w:ind w:left="15"/>
              <w:jc w:val="center"/>
              <w:rPr>
                <w:del w:id="3203" w:author="AbbVie_HU_03" w:date="2025-05-14T15:27:00Z"/>
                <w:b/>
                <w:bCs/>
                <w:szCs w:val="22"/>
              </w:rPr>
            </w:pPr>
            <w:del w:id="3204" w:author="AbbVie_HU_03" w:date="2025-05-14T15:27:00Z">
              <w:r w:rsidRPr="00183B5F">
                <w:rPr>
                  <w:b/>
                  <w:bCs/>
                  <w:szCs w:val="22"/>
                </w:rPr>
                <w:delText>20/10 mg</w:delText>
              </w:r>
            </w:del>
          </w:p>
          <w:p w14:paraId="1C7FD75F" w14:textId="01A1BB45" w:rsidR="00AA7EC1" w:rsidRPr="00183B5F" w:rsidRDefault="00943743" w:rsidP="00EA31F3">
            <w:pPr>
              <w:keepNext/>
              <w:keepLines/>
              <w:tabs>
                <w:tab w:val="left" w:pos="-1080"/>
              </w:tabs>
              <w:suppressAutoHyphens w:val="0"/>
              <w:autoSpaceDE w:val="0"/>
              <w:autoSpaceDN w:val="0"/>
              <w:adjustRightInd w:val="0"/>
              <w:spacing w:line="240" w:lineRule="auto"/>
              <w:ind w:left="15"/>
              <w:jc w:val="center"/>
              <w:rPr>
                <w:del w:id="3205" w:author="AbbVie_HU_03" w:date="2025-05-14T15:27:00Z"/>
                <w:b/>
                <w:bCs/>
                <w:szCs w:val="22"/>
              </w:rPr>
            </w:pPr>
            <w:del w:id="3206" w:author="AbbVie_HU_03" w:date="2025-05-14T15:27:00Z">
              <w:r w:rsidRPr="00183B5F">
                <w:rPr>
                  <w:b/>
                  <w:bCs/>
                  <w:szCs w:val="22"/>
                </w:rPr>
                <w:delText xml:space="preserve">kéthetente </w:delText>
              </w:r>
            </w:del>
          </w:p>
        </w:tc>
        <w:tc>
          <w:tcPr>
            <w:tcW w:w="1140" w:type="dxa"/>
            <w:tcBorders>
              <w:top w:val="single" w:sz="6" w:space="0" w:color="000000"/>
              <w:left w:val="single" w:sz="6" w:space="0" w:color="000000"/>
              <w:bottom w:val="single" w:sz="6" w:space="0" w:color="000000"/>
              <w:right w:val="single" w:sz="6" w:space="0" w:color="000000"/>
            </w:tcBorders>
          </w:tcPr>
          <w:p w14:paraId="6F760CEF" w14:textId="068F66B3" w:rsidR="00AA7EC1" w:rsidRPr="00183B5F" w:rsidRDefault="00943743" w:rsidP="00EA31F3">
            <w:pPr>
              <w:keepNext/>
              <w:keepLines/>
              <w:tabs>
                <w:tab w:val="left" w:pos="-1080"/>
              </w:tabs>
              <w:suppressAutoHyphens w:val="0"/>
              <w:autoSpaceDE w:val="0"/>
              <w:autoSpaceDN w:val="0"/>
              <w:adjustRightInd w:val="0"/>
              <w:spacing w:line="240" w:lineRule="auto"/>
              <w:ind w:left="15"/>
              <w:jc w:val="center"/>
              <w:rPr>
                <w:del w:id="3207" w:author="AbbVie_HU_03" w:date="2025-05-14T15:27:00Z"/>
                <w:b/>
                <w:bCs/>
                <w:szCs w:val="22"/>
              </w:rPr>
            </w:pPr>
            <w:del w:id="3208" w:author="AbbVie_HU_03" w:date="2025-05-14T15:27:00Z">
              <w:r w:rsidRPr="00183B5F">
                <w:rPr>
                  <w:b/>
                  <w:bCs/>
                  <w:szCs w:val="22"/>
                </w:rPr>
                <w:delText>p</w:delText>
              </w:r>
              <w:r w:rsidRPr="00183B5F">
                <w:rPr>
                  <w:b/>
                  <w:bCs/>
                  <w:szCs w:val="22"/>
                </w:rPr>
                <w:noBreakHyphen/>
                <w:delText>érték</w:delText>
              </w:r>
              <w:r w:rsidRPr="00183B5F">
                <w:rPr>
                  <w:b/>
                  <w:bCs/>
                  <w:szCs w:val="22"/>
                  <w:vertAlign w:val="superscript"/>
                </w:rPr>
                <w:delText>1</w:delText>
              </w:r>
            </w:del>
          </w:p>
        </w:tc>
      </w:tr>
      <w:tr w:rsidR="00011D2F" w14:paraId="48D70ED7" w14:textId="623CD7A7" w:rsidTr="00EA31F3">
        <w:trPr>
          <w:jc w:val="center"/>
          <w:del w:id="3209" w:author="AbbVie_HU_03" w:date="2025-05-14T15:27:00Z"/>
        </w:trPr>
        <w:tc>
          <w:tcPr>
            <w:tcW w:w="4025" w:type="dxa"/>
            <w:tcBorders>
              <w:top w:val="single" w:sz="6" w:space="0" w:color="000000"/>
              <w:left w:val="single" w:sz="6" w:space="0" w:color="000000"/>
              <w:bottom w:val="single" w:sz="6" w:space="0" w:color="000000"/>
              <w:right w:val="single" w:sz="6" w:space="0" w:color="000000"/>
            </w:tcBorders>
            <w:vAlign w:val="bottom"/>
          </w:tcPr>
          <w:p w14:paraId="5689B7AD" w14:textId="035831B7" w:rsidR="00AA7EC1" w:rsidRPr="00183B5F" w:rsidRDefault="00943743" w:rsidP="00EA31F3">
            <w:pPr>
              <w:keepNext/>
              <w:keepLines/>
              <w:tabs>
                <w:tab w:val="left" w:pos="-1080"/>
              </w:tabs>
              <w:suppressAutoHyphens w:val="0"/>
              <w:autoSpaceDE w:val="0"/>
              <w:autoSpaceDN w:val="0"/>
              <w:adjustRightInd w:val="0"/>
              <w:spacing w:line="240" w:lineRule="auto"/>
              <w:rPr>
                <w:del w:id="3210" w:author="AbbVie_HU_03" w:date="2025-05-14T15:27:00Z"/>
                <w:b/>
                <w:szCs w:val="22"/>
              </w:rPr>
            </w:pPr>
            <w:del w:id="3211" w:author="AbbVie_HU_03" w:date="2025-05-14T15:27:00Z">
              <w:r w:rsidRPr="00183B5F">
                <w:rPr>
                  <w:b/>
                  <w:szCs w:val="22"/>
                </w:rPr>
                <w:delText>Kortikoszteroidok elhagyása</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7C583FCF" w14:textId="3668E018" w:rsidR="00AA7EC1" w:rsidRPr="00183B5F" w:rsidRDefault="00943743" w:rsidP="00EA31F3">
            <w:pPr>
              <w:keepNext/>
              <w:keepLines/>
              <w:tabs>
                <w:tab w:val="left" w:pos="-1080"/>
              </w:tabs>
              <w:suppressAutoHyphens w:val="0"/>
              <w:autoSpaceDE w:val="0"/>
              <w:autoSpaceDN w:val="0"/>
              <w:adjustRightInd w:val="0"/>
              <w:spacing w:line="240" w:lineRule="auto"/>
              <w:ind w:left="15"/>
              <w:jc w:val="center"/>
              <w:rPr>
                <w:del w:id="3212" w:author="AbbVie_HU_03" w:date="2025-05-14T15:27:00Z"/>
                <w:b/>
                <w:szCs w:val="22"/>
              </w:rPr>
            </w:pPr>
            <w:del w:id="3213" w:author="AbbVie_HU_03" w:date="2025-05-14T15:27:00Z">
              <w:r w:rsidRPr="00183B5F">
                <w:rPr>
                  <w:b/>
                  <w:szCs w:val="22"/>
                </w:rPr>
                <w:delText>N = 33</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6094F1D7" w14:textId="2560D967" w:rsidR="00AA7EC1" w:rsidRPr="00183B5F" w:rsidRDefault="00943743" w:rsidP="00EA31F3">
            <w:pPr>
              <w:keepNext/>
              <w:keepLines/>
              <w:tabs>
                <w:tab w:val="left" w:pos="-1080"/>
              </w:tabs>
              <w:suppressAutoHyphens w:val="0"/>
              <w:autoSpaceDE w:val="0"/>
              <w:autoSpaceDN w:val="0"/>
              <w:adjustRightInd w:val="0"/>
              <w:spacing w:line="240" w:lineRule="auto"/>
              <w:ind w:left="15"/>
              <w:jc w:val="center"/>
              <w:rPr>
                <w:del w:id="3214" w:author="AbbVie_HU_03" w:date="2025-05-14T15:27:00Z"/>
                <w:b/>
                <w:szCs w:val="22"/>
              </w:rPr>
            </w:pPr>
            <w:del w:id="3215" w:author="AbbVie_HU_03" w:date="2025-05-14T15:27:00Z">
              <w:r w:rsidRPr="00183B5F">
                <w:rPr>
                  <w:b/>
                  <w:szCs w:val="22"/>
                </w:rPr>
                <w:delText>N = 38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4D0EB8DF" w14:textId="0F80FB7E" w:rsidR="00AA7EC1" w:rsidRPr="00183B5F" w:rsidRDefault="00AA7EC1" w:rsidP="00EA31F3">
            <w:pPr>
              <w:keepNext/>
              <w:suppressAutoHyphens w:val="0"/>
              <w:autoSpaceDE w:val="0"/>
              <w:autoSpaceDN w:val="0"/>
              <w:adjustRightInd w:val="0"/>
              <w:spacing w:line="240" w:lineRule="auto"/>
              <w:ind w:left="15"/>
              <w:rPr>
                <w:del w:id="3216" w:author="AbbVie_HU_03" w:date="2025-05-14T15:27:00Z"/>
                <w:b/>
                <w:szCs w:val="22"/>
              </w:rPr>
            </w:pPr>
          </w:p>
        </w:tc>
      </w:tr>
      <w:tr w:rsidR="00011D2F" w14:paraId="35B7B71A" w14:textId="60700735" w:rsidTr="00EA31F3">
        <w:trPr>
          <w:jc w:val="center"/>
          <w:del w:id="3217" w:author="AbbVie_HU_03" w:date="2025-05-14T15:27:00Z"/>
        </w:trPr>
        <w:tc>
          <w:tcPr>
            <w:tcW w:w="4025" w:type="dxa"/>
            <w:tcBorders>
              <w:top w:val="single" w:sz="6" w:space="0" w:color="000000"/>
              <w:left w:val="single" w:sz="6" w:space="0" w:color="000000"/>
              <w:bottom w:val="single" w:sz="6" w:space="0" w:color="000000"/>
              <w:right w:val="single" w:sz="6" w:space="0" w:color="000000"/>
            </w:tcBorders>
            <w:vAlign w:val="bottom"/>
          </w:tcPr>
          <w:p w14:paraId="7D61210C" w14:textId="116B04CF" w:rsidR="00AA7EC1" w:rsidRPr="00183B5F" w:rsidRDefault="00943743" w:rsidP="00EA31F3">
            <w:pPr>
              <w:keepLines/>
              <w:tabs>
                <w:tab w:val="left" w:pos="-1080"/>
              </w:tabs>
              <w:suppressAutoHyphens w:val="0"/>
              <w:autoSpaceDE w:val="0"/>
              <w:autoSpaceDN w:val="0"/>
              <w:adjustRightInd w:val="0"/>
              <w:spacing w:line="240" w:lineRule="auto"/>
              <w:rPr>
                <w:del w:id="3218" w:author="AbbVie_HU_03" w:date="2025-05-14T15:27:00Z"/>
                <w:bCs/>
                <w:szCs w:val="22"/>
              </w:rPr>
            </w:pPr>
            <w:del w:id="3219" w:author="AbbVie_HU_03" w:date="2025-05-14T15:27:00Z">
              <w:r w:rsidRPr="00183B5F">
                <w:rPr>
                  <w:bCs/>
                  <w:szCs w:val="22"/>
                </w:rPr>
                <w:delText>26. hét</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123DCC7D" w14:textId="23A02B85" w:rsidR="00AA7EC1" w:rsidRPr="00183B5F" w:rsidRDefault="00943743" w:rsidP="00EA31F3">
            <w:pPr>
              <w:keepLines/>
              <w:tabs>
                <w:tab w:val="left" w:pos="-1080"/>
              </w:tabs>
              <w:suppressAutoHyphens w:val="0"/>
              <w:autoSpaceDE w:val="0"/>
              <w:autoSpaceDN w:val="0"/>
              <w:adjustRightInd w:val="0"/>
              <w:spacing w:line="240" w:lineRule="auto"/>
              <w:ind w:left="15"/>
              <w:jc w:val="center"/>
              <w:rPr>
                <w:del w:id="3220" w:author="AbbVie_HU_03" w:date="2025-05-14T15:27:00Z"/>
                <w:szCs w:val="22"/>
              </w:rPr>
            </w:pPr>
            <w:del w:id="3221" w:author="AbbVie_HU_03" w:date="2025-05-14T15:27:00Z">
              <w:r w:rsidRPr="00183B5F">
                <w:rPr>
                  <w:szCs w:val="22"/>
                </w:rPr>
                <w:delText>84,8%</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67DA8617" w14:textId="1E749A81" w:rsidR="00AA7EC1" w:rsidRPr="00183B5F" w:rsidRDefault="00943743" w:rsidP="00EA31F3">
            <w:pPr>
              <w:keepLines/>
              <w:tabs>
                <w:tab w:val="left" w:pos="-1080"/>
              </w:tabs>
              <w:suppressAutoHyphens w:val="0"/>
              <w:autoSpaceDE w:val="0"/>
              <w:autoSpaceDN w:val="0"/>
              <w:adjustRightInd w:val="0"/>
              <w:spacing w:line="240" w:lineRule="auto"/>
              <w:ind w:left="15"/>
              <w:jc w:val="center"/>
              <w:rPr>
                <w:del w:id="3222" w:author="AbbVie_HU_03" w:date="2025-05-14T15:27:00Z"/>
                <w:szCs w:val="22"/>
              </w:rPr>
            </w:pPr>
            <w:del w:id="3223" w:author="AbbVie_HU_03" w:date="2025-05-14T15:27:00Z">
              <w:r w:rsidRPr="00183B5F">
                <w:rPr>
                  <w:szCs w:val="22"/>
                </w:rPr>
                <w:delText>65,8%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4557006A" w14:textId="1C14AE50" w:rsidR="00AA7EC1" w:rsidRPr="00183B5F" w:rsidRDefault="00943743" w:rsidP="00EA31F3">
            <w:pPr>
              <w:keepLines/>
              <w:tabs>
                <w:tab w:val="left" w:pos="-1080"/>
              </w:tabs>
              <w:suppressAutoHyphens w:val="0"/>
              <w:autoSpaceDE w:val="0"/>
              <w:autoSpaceDN w:val="0"/>
              <w:adjustRightInd w:val="0"/>
              <w:spacing w:line="240" w:lineRule="auto"/>
              <w:ind w:left="15"/>
              <w:jc w:val="center"/>
              <w:rPr>
                <w:del w:id="3224" w:author="AbbVie_HU_03" w:date="2025-05-14T15:27:00Z"/>
                <w:szCs w:val="22"/>
              </w:rPr>
            </w:pPr>
            <w:del w:id="3225" w:author="AbbVie_HU_03" w:date="2025-05-14T15:27:00Z">
              <w:r w:rsidRPr="00183B5F">
                <w:rPr>
                  <w:szCs w:val="22"/>
                </w:rPr>
                <w:delText>0,066</w:delText>
              </w:r>
            </w:del>
          </w:p>
        </w:tc>
      </w:tr>
      <w:tr w:rsidR="00011D2F" w14:paraId="584E6406" w14:textId="516A1557" w:rsidTr="00EA31F3">
        <w:trPr>
          <w:jc w:val="center"/>
          <w:del w:id="3226" w:author="AbbVie_HU_03" w:date="2025-05-14T15:27:00Z"/>
        </w:trPr>
        <w:tc>
          <w:tcPr>
            <w:tcW w:w="4025" w:type="dxa"/>
            <w:tcBorders>
              <w:top w:val="single" w:sz="6" w:space="0" w:color="000000"/>
              <w:left w:val="single" w:sz="6" w:space="0" w:color="000000"/>
              <w:bottom w:val="single" w:sz="6" w:space="0" w:color="000000"/>
              <w:right w:val="single" w:sz="6" w:space="0" w:color="000000"/>
            </w:tcBorders>
            <w:vAlign w:val="bottom"/>
          </w:tcPr>
          <w:p w14:paraId="63F83D0E" w14:textId="2DC6C98E" w:rsidR="00AA7EC1" w:rsidRPr="00183B5F" w:rsidRDefault="00943743" w:rsidP="00EA31F3">
            <w:pPr>
              <w:keepLines/>
              <w:tabs>
                <w:tab w:val="left" w:pos="-1080"/>
              </w:tabs>
              <w:suppressAutoHyphens w:val="0"/>
              <w:autoSpaceDE w:val="0"/>
              <w:autoSpaceDN w:val="0"/>
              <w:adjustRightInd w:val="0"/>
              <w:spacing w:line="240" w:lineRule="auto"/>
              <w:rPr>
                <w:del w:id="3227" w:author="AbbVie_HU_03" w:date="2025-05-14T15:27:00Z"/>
                <w:bCs/>
                <w:szCs w:val="22"/>
              </w:rPr>
            </w:pPr>
            <w:del w:id="3228" w:author="AbbVie_HU_03" w:date="2025-05-14T15:27:00Z">
              <w:r w:rsidRPr="00183B5F">
                <w:rPr>
                  <w:bCs/>
                  <w:szCs w:val="22"/>
                </w:rPr>
                <w:delText>52. hét</w:delText>
              </w:r>
            </w:del>
          </w:p>
        </w:tc>
        <w:tc>
          <w:tcPr>
            <w:tcW w:w="1656" w:type="dxa"/>
            <w:tcBorders>
              <w:top w:val="single" w:sz="6" w:space="0" w:color="000000"/>
              <w:left w:val="single" w:sz="6" w:space="0" w:color="000000"/>
              <w:bottom w:val="single" w:sz="6" w:space="0" w:color="000000"/>
              <w:right w:val="single" w:sz="6" w:space="0" w:color="000000"/>
            </w:tcBorders>
          </w:tcPr>
          <w:p w14:paraId="454B2F68" w14:textId="319FD83F" w:rsidR="00AA7EC1" w:rsidRPr="00183B5F" w:rsidRDefault="00943743" w:rsidP="00EA31F3">
            <w:pPr>
              <w:keepLines/>
              <w:tabs>
                <w:tab w:val="left" w:pos="-1080"/>
              </w:tabs>
              <w:suppressAutoHyphens w:val="0"/>
              <w:autoSpaceDE w:val="0"/>
              <w:autoSpaceDN w:val="0"/>
              <w:adjustRightInd w:val="0"/>
              <w:spacing w:line="240" w:lineRule="auto"/>
              <w:ind w:left="15"/>
              <w:jc w:val="center"/>
              <w:rPr>
                <w:del w:id="3229" w:author="AbbVie_HU_03" w:date="2025-05-14T15:27:00Z"/>
                <w:szCs w:val="22"/>
              </w:rPr>
            </w:pPr>
            <w:del w:id="3230" w:author="AbbVie_HU_03" w:date="2025-05-14T15:27:00Z">
              <w:r w:rsidRPr="00183B5F">
                <w:rPr>
                  <w:szCs w:val="22"/>
                </w:rPr>
                <w:delText>69,7%</w:delText>
              </w:r>
            </w:del>
          </w:p>
        </w:tc>
        <w:tc>
          <w:tcPr>
            <w:tcW w:w="1619" w:type="dxa"/>
            <w:tcBorders>
              <w:top w:val="single" w:sz="6" w:space="0" w:color="000000"/>
              <w:left w:val="single" w:sz="6" w:space="0" w:color="000000"/>
              <w:bottom w:val="single" w:sz="6" w:space="0" w:color="000000"/>
              <w:right w:val="single" w:sz="6" w:space="0" w:color="000000"/>
            </w:tcBorders>
          </w:tcPr>
          <w:p w14:paraId="70668324" w14:textId="5F19EF10" w:rsidR="00AA7EC1" w:rsidRPr="00183B5F" w:rsidRDefault="00943743" w:rsidP="00EA31F3">
            <w:pPr>
              <w:keepLines/>
              <w:tabs>
                <w:tab w:val="left" w:pos="-1080"/>
              </w:tabs>
              <w:suppressAutoHyphens w:val="0"/>
              <w:autoSpaceDE w:val="0"/>
              <w:autoSpaceDN w:val="0"/>
              <w:adjustRightInd w:val="0"/>
              <w:spacing w:line="240" w:lineRule="auto"/>
              <w:ind w:left="15"/>
              <w:jc w:val="center"/>
              <w:rPr>
                <w:del w:id="3231" w:author="AbbVie_HU_03" w:date="2025-05-14T15:27:00Z"/>
                <w:szCs w:val="22"/>
              </w:rPr>
            </w:pPr>
            <w:del w:id="3232" w:author="AbbVie_HU_03" w:date="2025-05-14T15:27:00Z">
              <w:r w:rsidRPr="00183B5F">
                <w:rPr>
                  <w:szCs w:val="22"/>
                </w:rPr>
                <w:delText>60,5%</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27C1FE88" w14:textId="59209111" w:rsidR="00AA7EC1" w:rsidRPr="00183B5F" w:rsidRDefault="00943743" w:rsidP="00EA31F3">
            <w:pPr>
              <w:keepLines/>
              <w:tabs>
                <w:tab w:val="left" w:pos="-1080"/>
              </w:tabs>
              <w:suppressAutoHyphens w:val="0"/>
              <w:autoSpaceDE w:val="0"/>
              <w:autoSpaceDN w:val="0"/>
              <w:adjustRightInd w:val="0"/>
              <w:spacing w:line="240" w:lineRule="auto"/>
              <w:ind w:left="15"/>
              <w:jc w:val="center"/>
              <w:rPr>
                <w:del w:id="3233" w:author="AbbVie_HU_03" w:date="2025-05-14T15:27:00Z"/>
                <w:szCs w:val="22"/>
              </w:rPr>
            </w:pPr>
            <w:del w:id="3234" w:author="AbbVie_HU_03" w:date="2025-05-14T15:27:00Z">
              <w:r w:rsidRPr="00183B5F">
                <w:rPr>
                  <w:szCs w:val="22"/>
                </w:rPr>
                <w:delText>0,420</w:delText>
              </w:r>
            </w:del>
          </w:p>
        </w:tc>
      </w:tr>
      <w:tr w:rsidR="00011D2F" w14:paraId="50FBF2D1" w14:textId="523489D0" w:rsidTr="00EA31F3">
        <w:trPr>
          <w:jc w:val="center"/>
          <w:del w:id="3235" w:author="AbbVie_HU_03" w:date="2025-05-14T15:27:00Z"/>
        </w:trPr>
        <w:tc>
          <w:tcPr>
            <w:tcW w:w="4025" w:type="dxa"/>
            <w:tcBorders>
              <w:top w:val="single" w:sz="6" w:space="0" w:color="000000"/>
              <w:left w:val="single" w:sz="6" w:space="0" w:color="000000"/>
              <w:bottom w:val="single" w:sz="6" w:space="0" w:color="000000"/>
              <w:right w:val="single" w:sz="6" w:space="0" w:color="000000"/>
            </w:tcBorders>
            <w:vAlign w:val="bottom"/>
          </w:tcPr>
          <w:p w14:paraId="526011FF" w14:textId="32620DD7" w:rsidR="00AA7EC1" w:rsidRPr="00183B5F" w:rsidRDefault="00943743" w:rsidP="00EA31F3">
            <w:pPr>
              <w:keepLines/>
              <w:tabs>
                <w:tab w:val="left" w:pos="-1080"/>
              </w:tabs>
              <w:suppressAutoHyphens w:val="0"/>
              <w:autoSpaceDE w:val="0"/>
              <w:autoSpaceDN w:val="0"/>
              <w:adjustRightInd w:val="0"/>
              <w:spacing w:line="240" w:lineRule="auto"/>
              <w:rPr>
                <w:del w:id="3236" w:author="AbbVie_HU_03" w:date="2025-05-14T15:27:00Z"/>
                <w:b/>
                <w:szCs w:val="22"/>
              </w:rPr>
            </w:pPr>
            <w:del w:id="3237" w:author="AbbVie_HU_03" w:date="2025-05-14T15:27:00Z">
              <w:r w:rsidRPr="00183B5F">
                <w:rPr>
                  <w:b/>
                  <w:szCs w:val="22"/>
                </w:rPr>
                <w:delText>Immunmodulátorok elhagyása</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4A9F38FB" w14:textId="4E2D544C" w:rsidR="00AA7EC1" w:rsidRPr="00183B5F" w:rsidRDefault="00943743" w:rsidP="00EA31F3">
            <w:pPr>
              <w:keepLines/>
              <w:tabs>
                <w:tab w:val="left" w:pos="-1080"/>
              </w:tabs>
              <w:suppressAutoHyphens w:val="0"/>
              <w:autoSpaceDE w:val="0"/>
              <w:autoSpaceDN w:val="0"/>
              <w:adjustRightInd w:val="0"/>
              <w:spacing w:line="240" w:lineRule="auto"/>
              <w:ind w:left="15"/>
              <w:jc w:val="center"/>
              <w:rPr>
                <w:del w:id="3238" w:author="AbbVie_HU_03" w:date="2025-05-14T15:27:00Z"/>
                <w:b/>
                <w:szCs w:val="22"/>
              </w:rPr>
            </w:pPr>
            <w:del w:id="3239" w:author="AbbVie_HU_03" w:date="2025-05-14T15:27:00Z">
              <w:r w:rsidRPr="00183B5F">
                <w:rPr>
                  <w:b/>
                  <w:szCs w:val="22"/>
                </w:rPr>
                <w:delText>N = 60</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5959CAC0" w14:textId="0FA3B551" w:rsidR="00AA7EC1" w:rsidRPr="00183B5F" w:rsidRDefault="00943743" w:rsidP="00EA31F3">
            <w:pPr>
              <w:keepLines/>
              <w:tabs>
                <w:tab w:val="left" w:pos="-1080"/>
              </w:tabs>
              <w:suppressAutoHyphens w:val="0"/>
              <w:autoSpaceDE w:val="0"/>
              <w:autoSpaceDN w:val="0"/>
              <w:adjustRightInd w:val="0"/>
              <w:spacing w:line="240" w:lineRule="auto"/>
              <w:ind w:left="15"/>
              <w:jc w:val="center"/>
              <w:rPr>
                <w:del w:id="3240" w:author="AbbVie_HU_03" w:date="2025-05-14T15:27:00Z"/>
                <w:b/>
                <w:szCs w:val="22"/>
              </w:rPr>
            </w:pPr>
            <w:del w:id="3241" w:author="AbbVie_HU_03" w:date="2025-05-14T15:27:00Z">
              <w:r w:rsidRPr="00183B5F">
                <w:rPr>
                  <w:b/>
                  <w:szCs w:val="22"/>
                </w:rPr>
                <w:delText>N = 57</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64C41239" w14:textId="166F985B" w:rsidR="00AA7EC1" w:rsidRPr="00183B5F" w:rsidRDefault="00AA7EC1" w:rsidP="00EA31F3">
            <w:pPr>
              <w:suppressAutoHyphens w:val="0"/>
              <w:autoSpaceDE w:val="0"/>
              <w:autoSpaceDN w:val="0"/>
              <w:adjustRightInd w:val="0"/>
              <w:spacing w:line="240" w:lineRule="auto"/>
              <w:ind w:left="15"/>
              <w:rPr>
                <w:del w:id="3242" w:author="AbbVie_HU_03" w:date="2025-05-14T15:27:00Z"/>
                <w:b/>
                <w:szCs w:val="22"/>
              </w:rPr>
            </w:pPr>
          </w:p>
        </w:tc>
      </w:tr>
      <w:tr w:rsidR="00011D2F" w14:paraId="04405611" w14:textId="3AF4F39F" w:rsidTr="00EA31F3">
        <w:trPr>
          <w:jc w:val="center"/>
          <w:del w:id="3243" w:author="AbbVie_HU_03" w:date="2025-05-14T15:27:00Z"/>
        </w:trPr>
        <w:tc>
          <w:tcPr>
            <w:tcW w:w="4025" w:type="dxa"/>
            <w:tcBorders>
              <w:top w:val="single" w:sz="6" w:space="0" w:color="000000"/>
              <w:left w:val="single" w:sz="6" w:space="0" w:color="000000"/>
              <w:bottom w:val="single" w:sz="6" w:space="0" w:color="000000"/>
              <w:right w:val="single" w:sz="6" w:space="0" w:color="000000"/>
            </w:tcBorders>
          </w:tcPr>
          <w:p w14:paraId="6C9F1B28" w14:textId="10368C55" w:rsidR="00AA7EC1" w:rsidRPr="00183B5F" w:rsidRDefault="00943743" w:rsidP="00EA31F3">
            <w:pPr>
              <w:keepLines/>
              <w:tabs>
                <w:tab w:val="left" w:pos="-1080"/>
              </w:tabs>
              <w:suppressAutoHyphens w:val="0"/>
              <w:autoSpaceDE w:val="0"/>
              <w:autoSpaceDN w:val="0"/>
              <w:adjustRightInd w:val="0"/>
              <w:spacing w:line="240" w:lineRule="auto"/>
              <w:rPr>
                <w:del w:id="3244" w:author="AbbVie_HU_03" w:date="2025-05-14T15:27:00Z"/>
                <w:bCs/>
                <w:szCs w:val="22"/>
              </w:rPr>
            </w:pPr>
            <w:del w:id="3245" w:author="AbbVie_HU_03" w:date="2025-05-14T15:27:00Z">
              <w:r w:rsidRPr="00183B5F">
                <w:rPr>
                  <w:bCs/>
                  <w:szCs w:val="22"/>
                </w:rPr>
                <w:delText>52. hét</w:delText>
              </w:r>
            </w:del>
          </w:p>
        </w:tc>
        <w:tc>
          <w:tcPr>
            <w:tcW w:w="1656" w:type="dxa"/>
            <w:tcBorders>
              <w:top w:val="single" w:sz="6" w:space="0" w:color="000000"/>
              <w:left w:val="single" w:sz="6" w:space="0" w:color="000000"/>
              <w:bottom w:val="single" w:sz="6" w:space="0" w:color="000000"/>
              <w:right w:val="single" w:sz="6" w:space="0" w:color="000000"/>
            </w:tcBorders>
          </w:tcPr>
          <w:p w14:paraId="2EE1C891" w14:textId="2EA0CB4D" w:rsidR="00AA7EC1" w:rsidRPr="00183B5F" w:rsidRDefault="00943743" w:rsidP="00EA31F3">
            <w:pPr>
              <w:keepLines/>
              <w:tabs>
                <w:tab w:val="left" w:pos="-1080"/>
              </w:tabs>
              <w:suppressAutoHyphens w:val="0"/>
              <w:autoSpaceDE w:val="0"/>
              <w:autoSpaceDN w:val="0"/>
              <w:adjustRightInd w:val="0"/>
              <w:spacing w:line="240" w:lineRule="auto"/>
              <w:ind w:left="15"/>
              <w:jc w:val="center"/>
              <w:rPr>
                <w:del w:id="3246" w:author="AbbVie_HU_03" w:date="2025-05-14T15:27:00Z"/>
                <w:szCs w:val="22"/>
              </w:rPr>
            </w:pPr>
            <w:del w:id="3247" w:author="AbbVie_HU_03" w:date="2025-05-14T15:27:00Z">
              <w:r w:rsidRPr="00183B5F">
                <w:rPr>
                  <w:szCs w:val="22"/>
                </w:rPr>
                <w:delText>30,0%</w:delText>
              </w:r>
            </w:del>
          </w:p>
        </w:tc>
        <w:tc>
          <w:tcPr>
            <w:tcW w:w="1619" w:type="dxa"/>
            <w:tcBorders>
              <w:top w:val="single" w:sz="6" w:space="0" w:color="000000"/>
              <w:left w:val="single" w:sz="6" w:space="0" w:color="000000"/>
              <w:bottom w:val="single" w:sz="6" w:space="0" w:color="000000"/>
              <w:right w:val="single" w:sz="6" w:space="0" w:color="000000"/>
            </w:tcBorders>
          </w:tcPr>
          <w:p w14:paraId="26D8200B" w14:textId="55D5F9E5" w:rsidR="00AA7EC1" w:rsidRPr="00183B5F" w:rsidRDefault="00943743" w:rsidP="00EA31F3">
            <w:pPr>
              <w:keepLines/>
              <w:tabs>
                <w:tab w:val="left" w:pos="-1080"/>
              </w:tabs>
              <w:suppressAutoHyphens w:val="0"/>
              <w:autoSpaceDE w:val="0"/>
              <w:autoSpaceDN w:val="0"/>
              <w:adjustRightInd w:val="0"/>
              <w:spacing w:line="240" w:lineRule="auto"/>
              <w:ind w:left="15"/>
              <w:jc w:val="center"/>
              <w:rPr>
                <w:del w:id="3248" w:author="AbbVie_HU_03" w:date="2025-05-14T15:27:00Z"/>
                <w:szCs w:val="22"/>
              </w:rPr>
            </w:pPr>
            <w:del w:id="3249" w:author="AbbVie_HU_03" w:date="2025-05-14T15:27:00Z">
              <w:r w:rsidRPr="00183B5F">
                <w:rPr>
                  <w:szCs w:val="22"/>
                </w:rPr>
                <w:delText>29,8%</w:delText>
              </w:r>
            </w:del>
          </w:p>
        </w:tc>
        <w:tc>
          <w:tcPr>
            <w:tcW w:w="1140" w:type="dxa"/>
            <w:tcBorders>
              <w:top w:val="single" w:sz="6" w:space="0" w:color="000000"/>
              <w:left w:val="single" w:sz="6" w:space="0" w:color="000000"/>
              <w:bottom w:val="single" w:sz="6" w:space="0" w:color="000000"/>
              <w:right w:val="single" w:sz="6" w:space="0" w:color="000000"/>
            </w:tcBorders>
          </w:tcPr>
          <w:p w14:paraId="4C5216C5" w14:textId="1F207353" w:rsidR="00AA7EC1" w:rsidRPr="00183B5F" w:rsidRDefault="00943743" w:rsidP="00EA31F3">
            <w:pPr>
              <w:keepLines/>
              <w:tabs>
                <w:tab w:val="left" w:pos="-1080"/>
              </w:tabs>
              <w:suppressAutoHyphens w:val="0"/>
              <w:autoSpaceDE w:val="0"/>
              <w:autoSpaceDN w:val="0"/>
              <w:adjustRightInd w:val="0"/>
              <w:spacing w:line="240" w:lineRule="auto"/>
              <w:ind w:left="15"/>
              <w:jc w:val="center"/>
              <w:rPr>
                <w:del w:id="3250" w:author="AbbVie_HU_03" w:date="2025-05-14T15:27:00Z"/>
                <w:szCs w:val="22"/>
              </w:rPr>
            </w:pPr>
            <w:del w:id="3251" w:author="AbbVie_HU_03" w:date="2025-05-14T15:27:00Z">
              <w:r w:rsidRPr="00183B5F">
                <w:rPr>
                  <w:szCs w:val="22"/>
                </w:rPr>
                <w:delText>0,983</w:delText>
              </w:r>
            </w:del>
          </w:p>
        </w:tc>
      </w:tr>
      <w:tr w:rsidR="00011D2F" w14:paraId="3F153174" w14:textId="4C78129C" w:rsidTr="00EA31F3">
        <w:trPr>
          <w:jc w:val="center"/>
          <w:del w:id="3252" w:author="AbbVie_HU_03" w:date="2025-05-14T15:27:00Z"/>
        </w:trPr>
        <w:tc>
          <w:tcPr>
            <w:tcW w:w="4025" w:type="dxa"/>
            <w:tcBorders>
              <w:top w:val="single" w:sz="6" w:space="0" w:color="000000"/>
              <w:left w:val="single" w:sz="6" w:space="0" w:color="000000"/>
              <w:bottom w:val="single" w:sz="6" w:space="0" w:color="000000"/>
              <w:right w:val="single" w:sz="6" w:space="0" w:color="000000"/>
            </w:tcBorders>
          </w:tcPr>
          <w:p w14:paraId="33327D21" w14:textId="24B3976C" w:rsidR="00AA7EC1" w:rsidRPr="00183B5F" w:rsidRDefault="00943743" w:rsidP="00EA31F3">
            <w:pPr>
              <w:keepLines/>
              <w:tabs>
                <w:tab w:val="left" w:pos="-1080"/>
              </w:tabs>
              <w:suppressAutoHyphens w:val="0"/>
              <w:autoSpaceDE w:val="0"/>
              <w:autoSpaceDN w:val="0"/>
              <w:adjustRightInd w:val="0"/>
              <w:spacing w:line="240" w:lineRule="auto"/>
              <w:rPr>
                <w:del w:id="3253" w:author="AbbVie_HU_03" w:date="2025-05-14T15:27:00Z"/>
                <w:b/>
                <w:bCs/>
                <w:szCs w:val="22"/>
              </w:rPr>
            </w:pPr>
            <w:del w:id="3254" w:author="AbbVie_HU_03" w:date="2025-05-14T15:27:00Z">
              <w:r w:rsidRPr="00183B5F">
                <w:rPr>
                  <w:b/>
                  <w:szCs w:val="22"/>
                </w:rPr>
                <w:delText>Fistul</w:delText>
              </w:r>
              <w:r w:rsidRPr="00183B5F">
                <w:rPr>
                  <w:b/>
                </w:rPr>
                <w:delText>a-remisszió</w:delText>
              </w:r>
              <w:r w:rsidRPr="00183B5F">
                <w:rPr>
                  <w:b/>
                  <w:vertAlign w:val="superscript"/>
                </w:rPr>
                <w:delText>3</w:delText>
              </w:r>
            </w:del>
          </w:p>
        </w:tc>
        <w:tc>
          <w:tcPr>
            <w:tcW w:w="1656" w:type="dxa"/>
            <w:tcBorders>
              <w:top w:val="single" w:sz="6" w:space="0" w:color="000000"/>
              <w:left w:val="single" w:sz="6" w:space="0" w:color="000000"/>
              <w:bottom w:val="single" w:sz="6" w:space="0" w:color="000000"/>
              <w:right w:val="single" w:sz="6" w:space="0" w:color="000000"/>
            </w:tcBorders>
          </w:tcPr>
          <w:p w14:paraId="32F7223F" w14:textId="4FBFD481" w:rsidR="00AA7EC1" w:rsidRPr="00183B5F" w:rsidRDefault="00943743" w:rsidP="00EA31F3">
            <w:pPr>
              <w:keepLines/>
              <w:tabs>
                <w:tab w:val="left" w:pos="-1080"/>
              </w:tabs>
              <w:suppressAutoHyphens w:val="0"/>
              <w:autoSpaceDE w:val="0"/>
              <w:autoSpaceDN w:val="0"/>
              <w:adjustRightInd w:val="0"/>
              <w:spacing w:line="240" w:lineRule="auto"/>
              <w:ind w:left="15"/>
              <w:jc w:val="center"/>
              <w:rPr>
                <w:del w:id="3255" w:author="AbbVie_HU_03" w:date="2025-05-14T15:27:00Z"/>
                <w:b/>
                <w:szCs w:val="22"/>
              </w:rPr>
            </w:pPr>
            <w:del w:id="3256" w:author="AbbVie_HU_03" w:date="2025-05-14T15:27:00Z">
              <w:r w:rsidRPr="00183B5F">
                <w:rPr>
                  <w:b/>
                  <w:szCs w:val="22"/>
                </w:rPr>
                <w:delText>N = 15</w:delText>
              </w:r>
            </w:del>
          </w:p>
        </w:tc>
        <w:tc>
          <w:tcPr>
            <w:tcW w:w="1619" w:type="dxa"/>
            <w:tcBorders>
              <w:top w:val="single" w:sz="6" w:space="0" w:color="000000"/>
              <w:left w:val="single" w:sz="6" w:space="0" w:color="000000"/>
              <w:bottom w:val="single" w:sz="6" w:space="0" w:color="000000"/>
              <w:right w:val="single" w:sz="6" w:space="0" w:color="000000"/>
            </w:tcBorders>
          </w:tcPr>
          <w:p w14:paraId="4DE99AC2" w14:textId="248EE36B" w:rsidR="00AA7EC1" w:rsidRPr="00183B5F" w:rsidRDefault="00943743" w:rsidP="00EA31F3">
            <w:pPr>
              <w:keepLines/>
              <w:tabs>
                <w:tab w:val="left" w:pos="-1080"/>
              </w:tabs>
              <w:suppressAutoHyphens w:val="0"/>
              <w:autoSpaceDE w:val="0"/>
              <w:autoSpaceDN w:val="0"/>
              <w:adjustRightInd w:val="0"/>
              <w:spacing w:line="240" w:lineRule="auto"/>
              <w:ind w:left="15"/>
              <w:jc w:val="center"/>
              <w:rPr>
                <w:del w:id="3257" w:author="AbbVie_HU_03" w:date="2025-05-14T15:27:00Z"/>
                <w:b/>
                <w:szCs w:val="22"/>
              </w:rPr>
            </w:pPr>
            <w:del w:id="3258" w:author="AbbVie_HU_03" w:date="2025-05-14T15:27:00Z">
              <w:r w:rsidRPr="00183B5F">
                <w:rPr>
                  <w:b/>
                  <w:szCs w:val="22"/>
                </w:rPr>
                <w:delText>N = 21</w:delText>
              </w:r>
            </w:del>
          </w:p>
        </w:tc>
        <w:tc>
          <w:tcPr>
            <w:tcW w:w="1140" w:type="dxa"/>
            <w:tcBorders>
              <w:top w:val="single" w:sz="6" w:space="0" w:color="000000"/>
              <w:left w:val="single" w:sz="6" w:space="0" w:color="000000"/>
              <w:bottom w:val="single" w:sz="6" w:space="0" w:color="000000"/>
              <w:right w:val="single" w:sz="6" w:space="0" w:color="000000"/>
            </w:tcBorders>
          </w:tcPr>
          <w:p w14:paraId="15E2F672" w14:textId="18B75657" w:rsidR="00AA7EC1" w:rsidRPr="00183B5F" w:rsidRDefault="00AA7EC1" w:rsidP="00EA31F3">
            <w:pPr>
              <w:keepLines/>
              <w:tabs>
                <w:tab w:val="left" w:pos="-1080"/>
              </w:tabs>
              <w:suppressAutoHyphens w:val="0"/>
              <w:autoSpaceDE w:val="0"/>
              <w:autoSpaceDN w:val="0"/>
              <w:adjustRightInd w:val="0"/>
              <w:spacing w:line="240" w:lineRule="auto"/>
              <w:ind w:left="15"/>
              <w:jc w:val="center"/>
              <w:rPr>
                <w:del w:id="3259" w:author="AbbVie_HU_03" w:date="2025-05-14T15:27:00Z"/>
                <w:szCs w:val="22"/>
              </w:rPr>
            </w:pPr>
          </w:p>
        </w:tc>
      </w:tr>
      <w:tr w:rsidR="00011D2F" w14:paraId="7FCB3FE3" w14:textId="14D4B906" w:rsidTr="00EA31F3">
        <w:trPr>
          <w:jc w:val="center"/>
          <w:del w:id="3260" w:author="AbbVie_HU_03" w:date="2025-05-14T15:27:00Z"/>
        </w:trPr>
        <w:tc>
          <w:tcPr>
            <w:tcW w:w="4025" w:type="dxa"/>
            <w:tcBorders>
              <w:top w:val="single" w:sz="6" w:space="0" w:color="000000"/>
              <w:left w:val="single" w:sz="6" w:space="0" w:color="000000"/>
              <w:bottom w:val="single" w:sz="6" w:space="0" w:color="000000"/>
              <w:right w:val="single" w:sz="6" w:space="0" w:color="000000"/>
            </w:tcBorders>
          </w:tcPr>
          <w:p w14:paraId="2B171844" w14:textId="74701307" w:rsidR="00AA7EC1" w:rsidRPr="00183B5F" w:rsidRDefault="00943743" w:rsidP="00EA31F3">
            <w:pPr>
              <w:keepLines/>
              <w:tabs>
                <w:tab w:val="left" w:pos="-1080"/>
              </w:tabs>
              <w:suppressAutoHyphens w:val="0"/>
              <w:autoSpaceDE w:val="0"/>
              <w:autoSpaceDN w:val="0"/>
              <w:adjustRightInd w:val="0"/>
              <w:spacing w:line="240" w:lineRule="auto"/>
              <w:rPr>
                <w:del w:id="3261" w:author="AbbVie_HU_03" w:date="2025-05-14T15:27:00Z"/>
                <w:bCs/>
                <w:szCs w:val="22"/>
              </w:rPr>
            </w:pPr>
            <w:del w:id="3262" w:author="AbbVie_HU_03" w:date="2025-05-14T15:27:00Z">
              <w:r w:rsidRPr="00183B5F">
                <w:rPr>
                  <w:bCs/>
                  <w:szCs w:val="22"/>
                </w:rPr>
                <w:delText>26. hét</w:delText>
              </w:r>
            </w:del>
          </w:p>
        </w:tc>
        <w:tc>
          <w:tcPr>
            <w:tcW w:w="1656" w:type="dxa"/>
            <w:tcBorders>
              <w:top w:val="single" w:sz="6" w:space="0" w:color="000000"/>
              <w:left w:val="single" w:sz="6" w:space="0" w:color="000000"/>
              <w:bottom w:val="single" w:sz="6" w:space="0" w:color="000000"/>
              <w:right w:val="single" w:sz="6" w:space="0" w:color="000000"/>
            </w:tcBorders>
          </w:tcPr>
          <w:p w14:paraId="300ABC79" w14:textId="5AB5E7DB" w:rsidR="00AA7EC1" w:rsidRPr="00183B5F" w:rsidRDefault="00943743" w:rsidP="00EA31F3">
            <w:pPr>
              <w:keepLines/>
              <w:tabs>
                <w:tab w:val="left" w:pos="-1080"/>
              </w:tabs>
              <w:suppressAutoHyphens w:val="0"/>
              <w:autoSpaceDE w:val="0"/>
              <w:autoSpaceDN w:val="0"/>
              <w:adjustRightInd w:val="0"/>
              <w:spacing w:line="240" w:lineRule="auto"/>
              <w:ind w:left="15"/>
              <w:jc w:val="center"/>
              <w:rPr>
                <w:del w:id="3263" w:author="AbbVie_HU_03" w:date="2025-05-14T15:27:00Z"/>
                <w:szCs w:val="22"/>
              </w:rPr>
            </w:pPr>
            <w:del w:id="3264" w:author="AbbVie_HU_03" w:date="2025-05-14T15:27:00Z">
              <w:r w:rsidRPr="00183B5F">
                <w:rPr>
                  <w:szCs w:val="22"/>
                </w:rPr>
                <w:delText>46,7%</w:delText>
              </w:r>
            </w:del>
          </w:p>
        </w:tc>
        <w:tc>
          <w:tcPr>
            <w:tcW w:w="1619" w:type="dxa"/>
            <w:tcBorders>
              <w:top w:val="single" w:sz="6" w:space="0" w:color="000000"/>
              <w:left w:val="single" w:sz="6" w:space="0" w:color="000000"/>
              <w:bottom w:val="single" w:sz="6" w:space="0" w:color="000000"/>
              <w:right w:val="single" w:sz="6" w:space="0" w:color="000000"/>
            </w:tcBorders>
          </w:tcPr>
          <w:p w14:paraId="26ED4AA5" w14:textId="21752194" w:rsidR="00AA7EC1" w:rsidRPr="00183B5F" w:rsidRDefault="00943743" w:rsidP="00EA31F3">
            <w:pPr>
              <w:keepLines/>
              <w:tabs>
                <w:tab w:val="left" w:pos="-1080"/>
              </w:tabs>
              <w:suppressAutoHyphens w:val="0"/>
              <w:autoSpaceDE w:val="0"/>
              <w:autoSpaceDN w:val="0"/>
              <w:adjustRightInd w:val="0"/>
              <w:spacing w:line="240" w:lineRule="auto"/>
              <w:ind w:left="15"/>
              <w:jc w:val="center"/>
              <w:rPr>
                <w:del w:id="3265" w:author="AbbVie_HU_03" w:date="2025-05-14T15:27:00Z"/>
                <w:szCs w:val="22"/>
              </w:rPr>
            </w:pPr>
            <w:del w:id="3266" w:author="AbbVie_HU_03" w:date="2025-05-14T15:27:00Z">
              <w:r w:rsidRPr="00183B5F">
                <w:rPr>
                  <w:szCs w:val="22"/>
                </w:rPr>
                <w:delText>38,1%</w:delText>
              </w:r>
            </w:del>
          </w:p>
        </w:tc>
        <w:tc>
          <w:tcPr>
            <w:tcW w:w="1140" w:type="dxa"/>
            <w:tcBorders>
              <w:top w:val="single" w:sz="6" w:space="0" w:color="000000"/>
              <w:left w:val="single" w:sz="6" w:space="0" w:color="000000"/>
              <w:bottom w:val="single" w:sz="6" w:space="0" w:color="000000"/>
              <w:right w:val="single" w:sz="6" w:space="0" w:color="000000"/>
            </w:tcBorders>
          </w:tcPr>
          <w:p w14:paraId="785569DD" w14:textId="05D9EFE4" w:rsidR="00AA7EC1" w:rsidRPr="00183B5F" w:rsidRDefault="00943743" w:rsidP="00EA31F3">
            <w:pPr>
              <w:keepLines/>
              <w:tabs>
                <w:tab w:val="left" w:pos="-1080"/>
              </w:tabs>
              <w:suppressAutoHyphens w:val="0"/>
              <w:autoSpaceDE w:val="0"/>
              <w:autoSpaceDN w:val="0"/>
              <w:adjustRightInd w:val="0"/>
              <w:spacing w:line="240" w:lineRule="auto"/>
              <w:ind w:left="15"/>
              <w:jc w:val="center"/>
              <w:rPr>
                <w:del w:id="3267" w:author="AbbVie_HU_03" w:date="2025-05-14T15:27:00Z"/>
                <w:szCs w:val="22"/>
              </w:rPr>
            </w:pPr>
            <w:del w:id="3268" w:author="AbbVie_HU_03" w:date="2025-05-14T15:27:00Z">
              <w:r w:rsidRPr="00183B5F">
                <w:rPr>
                  <w:szCs w:val="22"/>
                </w:rPr>
                <w:delText>0,608</w:delText>
              </w:r>
            </w:del>
          </w:p>
        </w:tc>
      </w:tr>
      <w:tr w:rsidR="00011D2F" w14:paraId="04CFD7DE" w14:textId="6F9DC5FF" w:rsidTr="00EA31F3">
        <w:trPr>
          <w:jc w:val="center"/>
          <w:del w:id="3269" w:author="AbbVie_HU_03" w:date="2025-05-14T15:27:00Z"/>
        </w:trPr>
        <w:tc>
          <w:tcPr>
            <w:tcW w:w="4025" w:type="dxa"/>
            <w:tcBorders>
              <w:top w:val="single" w:sz="6" w:space="0" w:color="000000"/>
              <w:left w:val="single" w:sz="6" w:space="0" w:color="000000"/>
              <w:bottom w:val="single" w:sz="4" w:space="0" w:color="auto"/>
              <w:right w:val="single" w:sz="6" w:space="0" w:color="000000"/>
            </w:tcBorders>
          </w:tcPr>
          <w:p w14:paraId="335EEA5E" w14:textId="6540F3DA" w:rsidR="00AA7EC1" w:rsidRPr="00183B5F" w:rsidRDefault="00943743" w:rsidP="00EA31F3">
            <w:pPr>
              <w:keepLines/>
              <w:tabs>
                <w:tab w:val="left" w:pos="-1080"/>
              </w:tabs>
              <w:suppressAutoHyphens w:val="0"/>
              <w:autoSpaceDE w:val="0"/>
              <w:autoSpaceDN w:val="0"/>
              <w:adjustRightInd w:val="0"/>
              <w:spacing w:line="240" w:lineRule="auto"/>
              <w:rPr>
                <w:del w:id="3270" w:author="AbbVie_HU_03" w:date="2025-05-14T15:27:00Z"/>
                <w:bCs/>
                <w:szCs w:val="22"/>
              </w:rPr>
            </w:pPr>
            <w:del w:id="3271" w:author="AbbVie_HU_03" w:date="2025-05-14T15:27:00Z">
              <w:r w:rsidRPr="00183B5F">
                <w:rPr>
                  <w:szCs w:val="22"/>
                </w:rPr>
                <w:delText>52. hét</w:delText>
              </w:r>
            </w:del>
          </w:p>
        </w:tc>
        <w:tc>
          <w:tcPr>
            <w:tcW w:w="1656" w:type="dxa"/>
            <w:tcBorders>
              <w:top w:val="single" w:sz="6" w:space="0" w:color="000000"/>
              <w:left w:val="single" w:sz="6" w:space="0" w:color="000000"/>
              <w:bottom w:val="single" w:sz="4" w:space="0" w:color="auto"/>
              <w:right w:val="single" w:sz="6" w:space="0" w:color="000000"/>
            </w:tcBorders>
          </w:tcPr>
          <w:p w14:paraId="5B51D836" w14:textId="00C61863" w:rsidR="00AA7EC1" w:rsidRPr="00183B5F" w:rsidRDefault="00943743" w:rsidP="00EA31F3">
            <w:pPr>
              <w:keepLines/>
              <w:tabs>
                <w:tab w:val="left" w:pos="-1080"/>
              </w:tabs>
              <w:suppressAutoHyphens w:val="0"/>
              <w:autoSpaceDE w:val="0"/>
              <w:autoSpaceDN w:val="0"/>
              <w:adjustRightInd w:val="0"/>
              <w:spacing w:line="240" w:lineRule="auto"/>
              <w:ind w:left="15"/>
              <w:jc w:val="center"/>
              <w:rPr>
                <w:del w:id="3272" w:author="AbbVie_HU_03" w:date="2025-05-14T15:27:00Z"/>
                <w:szCs w:val="22"/>
              </w:rPr>
            </w:pPr>
            <w:del w:id="3273" w:author="AbbVie_HU_03" w:date="2025-05-14T15:27:00Z">
              <w:r w:rsidRPr="00183B5F">
                <w:rPr>
                  <w:szCs w:val="22"/>
                </w:rPr>
                <w:delText>40,0%</w:delText>
              </w:r>
            </w:del>
          </w:p>
        </w:tc>
        <w:tc>
          <w:tcPr>
            <w:tcW w:w="1619" w:type="dxa"/>
            <w:tcBorders>
              <w:top w:val="single" w:sz="6" w:space="0" w:color="000000"/>
              <w:left w:val="single" w:sz="6" w:space="0" w:color="000000"/>
              <w:bottom w:val="single" w:sz="4" w:space="0" w:color="auto"/>
              <w:right w:val="single" w:sz="6" w:space="0" w:color="000000"/>
            </w:tcBorders>
          </w:tcPr>
          <w:p w14:paraId="6DE07511" w14:textId="4F8708C6" w:rsidR="00AA7EC1" w:rsidRPr="00183B5F" w:rsidRDefault="00943743" w:rsidP="00EA31F3">
            <w:pPr>
              <w:keepLines/>
              <w:tabs>
                <w:tab w:val="left" w:pos="-1080"/>
              </w:tabs>
              <w:suppressAutoHyphens w:val="0"/>
              <w:autoSpaceDE w:val="0"/>
              <w:autoSpaceDN w:val="0"/>
              <w:adjustRightInd w:val="0"/>
              <w:spacing w:line="240" w:lineRule="auto"/>
              <w:ind w:left="15"/>
              <w:jc w:val="center"/>
              <w:rPr>
                <w:del w:id="3274" w:author="AbbVie_HU_03" w:date="2025-05-14T15:27:00Z"/>
                <w:szCs w:val="22"/>
              </w:rPr>
            </w:pPr>
            <w:del w:id="3275" w:author="AbbVie_HU_03" w:date="2025-05-14T15:27:00Z">
              <w:r w:rsidRPr="00183B5F">
                <w:rPr>
                  <w:szCs w:val="22"/>
                </w:rPr>
                <w:delText>23,8%</w:delText>
              </w:r>
            </w:del>
          </w:p>
        </w:tc>
        <w:tc>
          <w:tcPr>
            <w:tcW w:w="1140" w:type="dxa"/>
            <w:tcBorders>
              <w:top w:val="single" w:sz="6" w:space="0" w:color="000000"/>
              <w:left w:val="single" w:sz="6" w:space="0" w:color="000000"/>
              <w:bottom w:val="single" w:sz="4" w:space="0" w:color="auto"/>
              <w:right w:val="single" w:sz="6" w:space="0" w:color="000000"/>
            </w:tcBorders>
          </w:tcPr>
          <w:p w14:paraId="56F80B21" w14:textId="629E57DE" w:rsidR="00AA7EC1" w:rsidRPr="00183B5F" w:rsidRDefault="00943743" w:rsidP="00EA31F3">
            <w:pPr>
              <w:keepLines/>
              <w:tabs>
                <w:tab w:val="left" w:pos="-1080"/>
              </w:tabs>
              <w:suppressAutoHyphens w:val="0"/>
              <w:autoSpaceDE w:val="0"/>
              <w:autoSpaceDN w:val="0"/>
              <w:adjustRightInd w:val="0"/>
              <w:spacing w:line="240" w:lineRule="auto"/>
              <w:ind w:left="15"/>
              <w:jc w:val="center"/>
              <w:rPr>
                <w:del w:id="3276" w:author="AbbVie_HU_03" w:date="2025-05-14T15:27:00Z"/>
                <w:szCs w:val="22"/>
              </w:rPr>
            </w:pPr>
            <w:del w:id="3277" w:author="AbbVie_HU_03" w:date="2025-05-14T15:27:00Z">
              <w:r w:rsidRPr="00183B5F">
                <w:rPr>
                  <w:szCs w:val="22"/>
                </w:rPr>
                <w:delText>0,303</w:delText>
              </w:r>
            </w:del>
          </w:p>
        </w:tc>
      </w:tr>
      <w:tr w:rsidR="00011D2F" w14:paraId="4E669421" w14:textId="2F3D86EC" w:rsidTr="00EA31F3">
        <w:trPr>
          <w:trHeight w:val="177"/>
          <w:jc w:val="center"/>
          <w:del w:id="3278" w:author="AbbVie_HU_03" w:date="2025-05-14T15:27:00Z"/>
        </w:trPr>
        <w:tc>
          <w:tcPr>
            <w:tcW w:w="8440" w:type="dxa"/>
            <w:gridSpan w:val="4"/>
            <w:tcBorders>
              <w:top w:val="single" w:sz="4" w:space="0" w:color="auto"/>
            </w:tcBorders>
          </w:tcPr>
          <w:p w14:paraId="34992230" w14:textId="33E18C6E" w:rsidR="00AA7EC1" w:rsidRPr="00183B5F" w:rsidRDefault="00943743" w:rsidP="00FC288C">
            <w:pPr>
              <w:keepLines/>
              <w:tabs>
                <w:tab w:val="left" w:pos="-1080"/>
              </w:tabs>
              <w:suppressAutoHyphens w:val="0"/>
              <w:autoSpaceDE w:val="0"/>
              <w:autoSpaceDN w:val="0"/>
              <w:adjustRightInd w:val="0"/>
              <w:spacing w:line="240" w:lineRule="auto"/>
              <w:rPr>
                <w:del w:id="3279" w:author="AbbVie_HU_03" w:date="2025-05-14T15:27:00Z"/>
                <w:szCs w:val="22"/>
              </w:rPr>
            </w:pPr>
            <w:del w:id="3280" w:author="AbbVie_HU_03" w:date="2025-05-14T15:27:00Z">
              <w:r w:rsidRPr="00183B5F">
                <w:rPr>
                  <w:szCs w:val="22"/>
                  <w:vertAlign w:val="superscript"/>
                </w:rPr>
                <w:delText>1</w:delText>
              </w:r>
              <w:r w:rsidRPr="00183B5F">
                <w:rPr>
                  <w:szCs w:val="22"/>
                </w:rPr>
                <w:delText xml:space="preserve">   p</w:delText>
              </w:r>
              <w:r w:rsidRPr="00183B5F">
                <w:rPr>
                  <w:szCs w:val="22"/>
                </w:rPr>
                <w:noBreakHyphen/>
                <w:delText xml:space="preserve">érték a standard dózis </w:delText>
              </w:r>
              <w:r w:rsidRPr="00183B5F">
                <w:rPr>
                  <w:i/>
                  <w:iCs/>
                  <w:szCs w:val="22"/>
                </w:rPr>
                <w:delText xml:space="preserve">versus </w:delText>
              </w:r>
              <w:r w:rsidRPr="00183B5F">
                <w:rPr>
                  <w:iCs/>
                  <w:szCs w:val="22"/>
                </w:rPr>
                <w:delText>az</w:delText>
              </w:r>
              <w:r w:rsidRPr="00183B5F">
                <w:rPr>
                  <w:i/>
                  <w:iCs/>
                  <w:szCs w:val="22"/>
                </w:rPr>
                <w:delText xml:space="preserve"> </w:delText>
              </w:r>
              <w:r w:rsidRPr="00183B5F">
                <w:rPr>
                  <w:iCs/>
                  <w:szCs w:val="22"/>
                </w:rPr>
                <w:delText>Alacsony</w:delText>
              </w:r>
              <w:r w:rsidRPr="00183B5F">
                <w:rPr>
                  <w:szCs w:val="22"/>
                </w:rPr>
                <w:delText xml:space="preserve"> dózis összehasonlítása esetén.</w:delText>
              </w:r>
            </w:del>
          </w:p>
          <w:p w14:paraId="71C14A4D" w14:textId="79C2B1F3" w:rsidR="00AA7EC1" w:rsidRPr="00183B5F" w:rsidRDefault="00943743" w:rsidP="00EA31F3">
            <w:pPr>
              <w:keepLines/>
              <w:tabs>
                <w:tab w:val="left" w:pos="-1080"/>
              </w:tabs>
              <w:suppressAutoHyphens w:val="0"/>
              <w:autoSpaceDE w:val="0"/>
              <w:autoSpaceDN w:val="0"/>
              <w:adjustRightInd w:val="0"/>
              <w:spacing w:line="240" w:lineRule="auto"/>
              <w:rPr>
                <w:del w:id="3281" w:author="AbbVie_HU_03" w:date="2025-05-14T15:27:00Z"/>
                <w:szCs w:val="22"/>
              </w:rPr>
            </w:pPr>
            <w:del w:id="3282" w:author="AbbVie_HU_03" w:date="2025-05-14T15:27:00Z">
              <w:r w:rsidRPr="00183B5F">
                <w:rPr>
                  <w:szCs w:val="22"/>
                  <w:vertAlign w:val="superscript"/>
                </w:rPr>
                <w:delText xml:space="preserve"> 2</w:delText>
              </w:r>
              <w:r w:rsidRPr="00183B5F">
                <w:rPr>
                  <w:szCs w:val="22"/>
                </w:rPr>
                <w:delText xml:space="preserve">  Az immunszuppresszív kezelést csak a 26. héten vagy azt követően lehetett felfüggeszteni a vizsgáló orvos megítélése alapján, ha a beteg teljesítette a klinikai válasz kritériumait. </w:delText>
              </w:r>
            </w:del>
          </w:p>
          <w:p w14:paraId="1F4C5506" w14:textId="7C284073" w:rsidR="00AA7EC1" w:rsidRPr="00183B5F" w:rsidRDefault="00943743" w:rsidP="00EA31F3">
            <w:pPr>
              <w:keepLines/>
              <w:tabs>
                <w:tab w:val="left" w:pos="-1080"/>
              </w:tabs>
              <w:suppressAutoHyphens w:val="0"/>
              <w:autoSpaceDE w:val="0"/>
              <w:autoSpaceDN w:val="0"/>
              <w:adjustRightInd w:val="0"/>
              <w:spacing w:line="240" w:lineRule="auto"/>
              <w:rPr>
                <w:del w:id="3283" w:author="AbbVie_HU_03" w:date="2025-05-14T15:27:00Z"/>
                <w:szCs w:val="22"/>
              </w:rPr>
            </w:pPr>
            <w:del w:id="3284" w:author="AbbVie_HU_03" w:date="2025-05-14T15:27:00Z">
              <w:r w:rsidRPr="00183B5F">
                <w:rPr>
                  <w:szCs w:val="22"/>
                  <w:vertAlign w:val="superscript"/>
                </w:rPr>
                <w:delText>3</w:delText>
              </w:r>
              <w:r w:rsidRPr="00183B5F">
                <w:rPr>
                  <w:szCs w:val="22"/>
                </w:rPr>
                <w:delText xml:space="preserve">  Meghatározás szerint valamennyi, a vizsgálat megkezdésekor váladékozó fistula záródása legalább 2, egymást követő kontrollvizsgálat alkalmával.</w:delText>
              </w:r>
            </w:del>
          </w:p>
        </w:tc>
      </w:tr>
    </w:tbl>
    <w:p w14:paraId="504DA4BB" w14:textId="666DCB0C" w:rsidR="00AA7EC1" w:rsidRPr="00183B5F" w:rsidRDefault="00AA7EC1" w:rsidP="00AA7EC1">
      <w:pPr>
        <w:pStyle w:val="EMEANormal"/>
        <w:rPr>
          <w:del w:id="3285" w:author="AbbVie_HU_03" w:date="2025-05-14T15:27:00Z"/>
          <w:szCs w:val="22"/>
          <w:lang w:val="hu-HU"/>
        </w:rPr>
      </w:pPr>
    </w:p>
    <w:p w14:paraId="4DB5859B" w14:textId="0EE9E700" w:rsidR="00AA7EC1" w:rsidRPr="00183B5F" w:rsidRDefault="00943743" w:rsidP="00AA7EC1">
      <w:pPr>
        <w:pStyle w:val="EMEANormal"/>
        <w:rPr>
          <w:del w:id="3286" w:author="AbbVie_HU_03" w:date="2025-05-14T15:27:00Z"/>
          <w:szCs w:val="22"/>
          <w:lang w:val="hu-HU"/>
        </w:rPr>
      </w:pPr>
      <w:del w:id="3287" w:author="AbbVie_HU_03" w:date="2025-05-14T15:27:00Z">
        <w:r w:rsidRPr="00183B5F">
          <w:rPr>
            <w:szCs w:val="22"/>
            <w:lang w:val="hu-HU"/>
          </w:rPr>
          <w:delText>Mindkét kezelési csoportban a testtömeg</w:delText>
        </w:r>
        <w:r w:rsidRPr="00183B5F">
          <w:rPr>
            <w:szCs w:val="22"/>
            <w:lang w:val="hu-HU"/>
          </w:rPr>
          <w:noBreakHyphen/>
          <w:delText>index és a növekedési sebesség kiindulási értékhez viszonyított, statisztikailag szignifikáns  emelkedését (javulását) észlelték a 26. és az 52. héten.</w:delText>
        </w:r>
      </w:del>
    </w:p>
    <w:p w14:paraId="47D365D2" w14:textId="3E4FA7B1" w:rsidR="00AA7EC1" w:rsidRPr="00183B5F" w:rsidRDefault="00AA7EC1" w:rsidP="00AA7EC1">
      <w:pPr>
        <w:pStyle w:val="EMEANormal"/>
        <w:rPr>
          <w:del w:id="3288" w:author="AbbVie_HU_03" w:date="2025-05-14T15:27:00Z"/>
          <w:szCs w:val="22"/>
          <w:lang w:val="hu-HU"/>
        </w:rPr>
      </w:pPr>
    </w:p>
    <w:p w14:paraId="13F61351" w14:textId="2532ED37" w:rsidR="00AA7EC1" w:rsidRPr="00183B5F" w:rsidRDefault="00943743" w:rsidP="00AA7EC1">
      <w:pPr>
        <w:pStyle w:val="EMEANormal"/>
        <w:rPr>
          <w:del w:id="3289" w:author="AbbVie_HU_03" w:date="2025-05-14T15:27:00Z"/>
          <w:szCs w:val="22"/>
          <w:lang w:val="hu-HU"/>
        </w:rPr>
      </w:pPr>
      <w:del w:id="3290" w:author="AbbVie_HU_03" w:date="2025-05-14T15:27:00Z">
        <w:r w:rsidRPr="00183B5F">
          <w:rPr>
            <w:szCs w:val="22"/>
            <w:lang w:val="hu-HU"/>
          </w:rPr>
          <w:delText>Mindkét kezelési csoportban az életminőségi paraméterek (köztük az IMPACT III-t) kiindulási értékhez viszonyított, statisztikailag szignifikáns és klinikailag jelentős javulását is megfigyelték.</w:delText>
        </w:r>
      </w:del>
    </w:p>
    <w:p w14:paraId="624FBEB9" w14:textId="2DC32CED" w:rsidR="00AA7EC1" w:rsidRPr="00183B5F" w:rsidRDefault="00AA7EC1" w:rsidP="00AA7EC1">
      <w:pPr>
        <w:pStyle w:val="EMEANormal"/>
        <w:rPr>
          <w:del w:id="3291" w:author="AbbVie_HU_03" w:date="2025-05-14T15:27:00Z"/>
          <w:szCs w:val="22"/>
          <w:lang w:val="hu-HU"/>
        </w:rPr>
      </w:pPr>
    </w:p>
    <w:p w14:paraId="2854B72B" w14:textId="22B6F529" w:rsidR="00AA7EC1" w:rsidRPr="00183B5F" w:rsidRDefault="00943743" w:rsidP="00AA7EC1">
      <w:pPr>
        <w:pStyle w:val="EMEANormal"/>
        <w:rPr>
          <w:del w:id="3292" w:author="AbbVie_HU_03" w:date="2025-05-14T15:27:00Z"/>
          <w:szCs w:val="22"/>
          <w:lang w:val="hu-HU"/>
        </w:rPr>
      </w:pPr>
      <w:del w:id="3293" w:author="AbbVie_HU_03" w:date="2025-05-14T15:27:00Z">
        <w:r w:rsidRPr="00183B5F">
          <w:rPr>
            <w:szCs w:val="22"/>
            <w:lang w:val="hu-HU"/>
          </w:rPr>
          <w:delText>A gyermekkori CD vizsgálatból 100 beteg (n = 100) egy további, nyílt elrendezésű, hosszú távú vizsgálatban vett részt. Az 5 évig tartó adalimumab</w:delText>
        </w:r>
        <w:r w:rsidRPr="00183B5F">
          <w:rPr>
            <w:szCs w:val="22"/>
            <w:lang w:val="hu-HU"/>
          </w:rPr>
          <w:noBreakHyphen/>
          <w:delText>kezelés után, a vizsgálatban továbbra is részt vevő 50 beteg 74,0%</w:delText>
        </w:r>
        <w:r w:rsidRPr="00183B5F">
          <w:rPr>
            <w:szCs w:val="22"/>
            <w:lang w:val="hu-HU"/>
          </w:rPr>
          <w:noBreakHyphen/>
          <w:delText>ánál (37/50) fennmaradt a klinikai remisszió, és 92%-uk (46/50) adott PCDAI szerinti klinikai választ.</w:delText>
        </w:r>
      </w:del>
    </w:p>
    <w:p w14:paraId="5503BF0B" w14:textId="5FE7E8F4" w:rsidR="00AA7EC1" w:rsidRPr="00183B5F" w:rsidRDefault="00AA7EC1" w:rsidP="00AA7EC1">
      <w:pPr>
        <w:pStyle w:val="EMEANormal"/>
        <w:rPr>
          <w:del w:id="3294" w:author="AbbVie_HU_03" w:date="2025-05-14T15:27:00Z"/>
          <w:szCs w:val="22"/>
          <w:lang w:val="hu-HU"/>
        </w:rPr>
      </w:pPr>
    </w:p>
    <w:p w14:paraId="0BC4DB59" w14:textId="5B20FB02" w:rsidR="00293353" w:rsidRPr="00183B5F" w:rsidRDefault="00943743" w:rsidP="00293353">
      <w:pPr>
        <w:keepNext/>
        <w:spacing w:line="240" w:lineRule="auto"/>
        <w:rPr>
          <w:del w:id="3295" w:author="AbbVie_HU_03" w:date="2025-05-14T15:27:00Z"/>
          <w:bCs/>
          <w:i/>
        </w:rPr>
      </w:pPr>
      <w:bookmarkStart w:id="3296" w:name="_Hlk53166233"/>
      <w:del w:id="3297" w:author="AbbVie_HU_03" w:date="2025-05-14T15:27:00Z">
        <w:r w:rsidRPr="00183B5F">
          <w:rPr>
            <w:i/>
          </w:rPr>
          <w:delText>Gyermek</w:delText>
        </w:r>
        <w:r w:rsidR="00D21153" w:rsidRPr="00183B5F">
          <w:rPr>
            <w:i/>
          </w:rPr>
          <w:delText>- és serdülő</w:delText>
        </w:r>
        <w:r w:rsidRPr="00183B5F">
          <w:rPr>
            <w:i/>
          </w:rPr>
          <w:delText>kori colitis ulcerosa</w:delText>
        </w:r>
      </w:del>
    </w:p>
    <w:p w14:paraId="1A1F8A59" w14:textId="1B4A527F" w:rsidR="00293353" w:rsidRPr="00183B5F" w:rsidRDefault="00293353" w:rsidP="00293353">
      <w:pPr>
        <w:keepNext/>
        <w:spacing w:line="240" w:lineRule="auto"/>
        <w:rPr>
          <w:del w:id="3298" w:author="AbbVie_HU_03" w:date="2025-05-14T15:27:00Z"/>
          <w:bCs/>
          <w:i/>
        </w:rPr>
      </w:pPr>
    </w:p>
    <w:p w14:paraId="470B47D5" w14:textId="4EC1CADD" w:rsidR="00293353" w:rsidRPr="00183B5F" w:rsidRDefault="00943743" w:rsidP="00293353">
      <w:pPr>
        <w:spacing w:line="240" w:lineRule="auto"/>
        <w:rPr>
          <w:del w:id="3299" w:author="AbbVie_HU_03" w:date="2025-05-14T15:27:00Z"/>
        </w:rPr>
      </w:pPr>
      <w:del w:id="3300" w:author="AbbVie_HU_03" w:date="2025-05-14T15:27:00Z">
        <w:r w:rsidRPr="00183B5F">
          <w:delText xml:space="preserve">A Humira biztonságosságát és hatásosságát </w:delText>
        </w:r>
        <w:r w:rsidR="00017878" w:rsidRPr="00183B5F">
          <w:delText xml:space="preserve">egy </w:delText>
        </w:r>
        <w:r w:rsidRPr="00183B5F">
          <w:delText>multicentrikus, randomizált, kettős</w:delText>
        </w:r>
        <w:r w:rsidR="009C775E" w:rsidRPr="00183B5F">
          <w:delText xml:space="preserve"> </w:delText>
        </w:r>
        <w:r w:rsidRPr="00183B5F">
          <w:delText>vak vizsgálatban értékelték, 93, köz</w:delText>
        </w:r>
        <w:r w:rsidR="002355CF" w:rsidRPr="00183B5F">
          <w:delText xml:space="preserve">epesen </w:delText>
        </w:r>
        <w:r w:rsidRPr="00183B5F">
          <w:delText xml:space="preserve">súlyos </w:delText>
        </w:r>
        <w:r w:rsidR="009C775E" w:rsidRPr="00183B5F">
          <w:noBreakHyphen/>
        </w:r>
        <w:r w:rsidRPr="00183B5F">
          <w:delText xml:space="preserve"> súlyos </w:delText>
        </w:r>
        <w:r w:rsidR="003916B1" w:rsidRPr="00183B5F">
          <w:delText xml:space="preserve">aktivitású </w:delText>
        </w:r>
        <w:r w:rsidRPr="00183B5F">
          <w:delText>colitis ulcerosában szenvedő</w:delText>
        </w:r>
        <w:r w:rsidR="002355CF" w:rsidRPr="00183B5F">
          <w:delText xml:space="preserve"> (Mayo</w:delText>
        </w:r>
        <w:r w:rsidR="002355CF" w:rsidRPr="00183B5F">
          <w:noBreakHyphen/>
          <w:delText xml:space="preserve">pontszám 6–12, endoszkópiás alpontszám 2–3, amelyet központilag </w:delText>
        </w:r>
        <w:r w:rsidR="003916B1" w:rsidRPr="00183B5F">
          <w:delText>értékelt</w:delText>
        </w:r>
        <w:r w:rsidR="002355CF" w:rsidRPr="00183B5F">
          <w:delText xml:space="preserve"> endoszkópiával igazoltak),</w:delText>
        </w:r>
        <w:r w:rsidRPr="00183B5F">
          <w:delText xml:space="preserve"> </w:delText>
        </w:r>
        <w:r w:rsidR="00017878" w:rsidRPr="00183B5F">
          <w:delText>5–17 éves gyermeknél</w:delText>
        </w:r>
        <w:r w:rsidR="00D21153" w:rsidRPr="00183B5F">
          <w:delText xml:space="preserve"> és serdülőknél</w:delText>
        </w:r>
        <w:r w:rsidRPr="00183B5F">
          <w:delText>, akik</w:delText>
        </w:r>
        <w:r w:rsidR="00017878" w:rsidRPr="00183B5F">
          <w:delText xml:space="preserve"> nem adtak megfelelő terápiás választ</w:delText>
        </w:r>
        <w:r w:rsidRPr="00183B5F">
          <w:delText xml:space="preserve"> a hagyományos terápiára vagy intolerancia lépett fel</w:delText>
        </w:r>
        <w:r w:rsidR="003916B1" w:rsidRPr="00183B5F">
          <w:delText xml:space="preserve"> azokkal szemben</w:delText>
        </w:r>
        <w:r w:rsidRPr="00183B5F">
          <w:delText>. A vizsgálatban részt vevő betegek körülbelül 16%-ánál sikertelen volt a korábbi anti</w:delText>
        </w:r>
        <w:r w:rsidR="002355CF" w:rsidRPr="00183B5F">
          <w:noBreakHyphen/>
        </w:r>
        <w:r w:rsidRPr="00183B5F">
          <w:delText>TNF</w:delText>
        </w:r>
        <w:r w:rsidR="002355CF" w:rsidRPr="00183B5F">
          <w:noBreakHyphen/>
        </w:r>
        <w:r w:rsidRPr="00183B5F">
          <w:delText xml:space="preserve">kezelés. Azok a betegek, akik a bevonáskor kortikoszteroidot kaptak, a 4. hét után </w:delText>
        </w:r>
        <w:r w:rsidR="002355CF" w:rsidRPr="00183B5F">
          <w:delText xml:space="preserve">fokozatosan </w:delText>
        </w:r>
        <w:r w:rsidRPr="00183B5F">
          <w:delText xml:space="preserve">csökkenthették </w:delText>
        </w:r>
        <w:r w:rsidR="00C96EE0" w:rsidRPr="00183B5F">
          <w:delText xml:space="preserve">a </w:delText>
        </w:r>
        <w:r w:rsidRPr="00183B5F">
          <w:delText>kortikoszteroid-kezelést.</w:delText>
        </w:r>
      </w:del>
    </w:p>
    <w:p w14:paraId="16CF8582" w14:textId="7B9063C9" w:rsidR="00293353" w:rsidRPr="00183B5F" w:rsidRDefault="00293353" w:rsidP="00293353">
      <w:pPr>
        <w:spacing w:line="240" w:lineRule="auto"/>
        <w:rPr>
          <w:del w:id="3301" w:author="AbbVie_HU_03" w:date="2025-05-14T15:27:00Z"/>
        </w:rPr>
      </w:pPr>
    </w:p>
    <w:p w14:paraId="32417883" w14:textId="4127E2CA" w:rsidR="00293353" w:rsidRPr="00183B5F" w:rsidRDefault="00943743" w:rsidP="00293353">
      <w:pPr>
        <w:spacing w:line="240" w:lineRule="auto"/>
        <w:rPr>
          <w:del w:id="3302" w:author="AbbVie_HU_03" w:date="2025-05-14T15:27:00Z"/>
          <w:rStyle w:val="eop"/>
          <w:shd w:val="clear" w:color="auto" w:fill="FFFFFF"/>
        </w:rPr>
      </w:pPr>
      <w:del w:id="3303" w:author="AbbVie_HU_03" w:date="2025-05-14T15:27:00Z">
        <w:r w:rsidRPr="00183B5F">
          <w:rPr>
            <w:rStyle w:val="normaltextrun"/>
            <w:shd w:val="clear" w:color="auto" w:fill="FFFFFF"/>
          </w:rPr>
          <w:delText xml:space="preserve">A vizsgálat indukciós periódusában 77 beteget randomizáltak </w:delText>
        </w:r>
        <w:r w:rsidR="00424298" w:rsidRPr="00183B5F">
          <w:rPr>
            <w:rStyle w:val="normaltextrun"/>
            <w:shd w:val="clear" w:color="auto" w:fill="FFFFFF"/>
          </w:rPr>
          <w:delText xml:space="preserve">kettős vak Humira-kezelésre </w:delText>
        </w:r>
        <w:r w:rsidRPr="00183B5F">
          <w:rPr>
            <w:rStyle w:val="normaltextrun"/>
            <w:shd w:val="clear" w:color="auto" w:fill="FFFFFF"/>
          </w:rPr>
          <w:delText>3:2 arányban</w:delText>
        </w:r>
        <w:r w:rsidR="00C96EE0" w:rsidRPr="00183B5F">
          <w:rPr>
            <w:rStyle w:val="normaltextrun"/>
            <w:shd w:val="clear" w:color="auto" w:fill="FFFFFF"/>
          </w:rPr>
          <w:delText xml:space="preserve"> a következő kezelési karokra:</w:delText>
        </w:r>
        <w:r w:rsidRPr="00183B5F">
          <w:rPr>
            <w:rStyle w:val="normaltextrun"/>
            <w:shd w:val="clear" w:color="auto" w:fill="FFFFFF"/>
          </w:rPr>
          <w:delText xml:space="preserve"> </w:delText>
        </w:r>
        <w:r w:rsidR="000642A2" w:rsidRPr="00183B5F">
          <w:rPr>
            <w:rStyle w:val="normaltextrun"/>
            <w:shd w:val="clear" w:color="auto" w:fill="FFFFFF"/>
          </w:rPr>
          <w:delText xml:space="preserve">indukciós dózisként </w:delText>
        </w:r>
        <w:r w:rsidRPr="00183B5F">
          <w:rPr>
            <w:rStyle w:val="normaltextrun"/>
            <w:shd w:val="clear" w:color="auto" w:fill="FFFFFF"/>
          </w:rPr>
          <w:delText>a 0. és az 1. héten 2,4 mg/</w:delText>
        </w:r>
        <w:r w:rsidR="002B6005" w:rsidRPr="00183B5F">
          <w:rPr>
            <w:rStyle w:val="normaltextrun"/>
            <w:shd w:val="clear" w:color="auto" w:fill="FFFFFF"/>
          </w:rPr>
          <w:delText>tt</w:delText>
        </w:r>
        <w:r w:rsidRPr="00183B5F">
          <w:rPr>
            <w:rStyle w:val="normaltextrun"/>
            <w:shd w:val="clear" w:color="auto" w:fill="FFFFFF"/>
          </w:rPr>
          <w:delText>kg</w:delText>
        </w:r>
        <w:r w:rsidR="000642A2" w:rsidRPr="00183B5F">
          <w:rPr>
            <w:rStyle w:val="normaltextrun"/>
            <w:shd w:val="clear" w:color="auto" w:fill="FFFFFF"/>
          </w:rPr>
          <w:delText>-os</w:delText>
        </w:r>
        <w:r w:rsidRPr="00183B5F">
          <w:rPr>
            <w:rStyle w:val="normaltextrun"/>
            <w:shd w:val="clear" w:color="auto" w:fill="FFFFFF"/>
          </w:rPr>
          <w:delText xml:space="preserve"> (</w:delText>
        </w:r>
        <w:r w:rsidR="00424298" w:rsidRPr="00183B5F">
          <w:rPr>
            <w:rStyle w:val="normaltextrun"/>
            <w:shd w:val="clear" w:color="auto" w:fill="FFFFFF"/>
          </w:rPr>
          <w:delText>legfeljebb</w:delText>
        </w:r>
        <w:r w:rsidRPr="00183B5F">
          <w:rPr>
            <w:rStyle w:val="normaltextrun"/>
            <w:shd w:val="clear" w:color="auto" w:fill="FFFFFF"/>
          </w:rPr>
          <w:delText xml:space="preserve"> 160 mg) és </w:delText>
        </w:r>
        <w:r w:rsidR="000642A2" w:rsidRPr="00183B5F">
          <w:rPr>
            <w:rStyle w:val="normaltextrun"/>
            <w:shd w:val="clear" w:color="auto" w:fill="FFFFFF"/>
          </w:rPr>
          <w:delText xml:space="preserve">a 2. héten </w:delText>
        </w:r>
        <w:r w:rsidRPr="00183B5F">
          <w:rPr>
            <w:rStyle w:val="normaltextrun"/>
            <w:shd w:val="clear" w:color="auto" w:fill="FFFFFF"/>
          </w:rPr>
          <w:delText>1,2</w:delText>
        </w:r>
        <w:r w:rsidR="000642A2" w:rsidRPr="00183B5F">
          <w:rPr>
            <w:rStyle w:val="normaltextrun"/>
            <w:shd w:val="clear" w:color="auto" w:fill="FFFFFF"/>
          </w:rPr>
          <w:delText> </w:delText>
        </w:r>
        <w:r w:rsidRPr="00183B5F">
          <w:rPr>
            <w:rStyle w:val="normaltextrun"/>
            <w:shd w:val="clear" w:color="auto" w:fill="FFFFFF"/>
          </w:rPr>
          <w:delText>mg/</w:delText>
        </w:r>
        <w:r w:rsidR="000642A2" w:rsidRPr="00183B5F">
          <w:rPr>
            <w:rStyle w:val="normaltextrun"/>
            <w:shd w:val="clear" w:color="auto" w:fill="FFFFFF"/>
          </w:rPr>
          <w:delText>tt</w:delText>
        </w:r>
        <w:r w:rsidRPr="00183B5F">
          <w:rPr>
            <w:rStyle w:val="normaltextrun"/>
            <w:shd w:val="clear" w:color="auto" w:fill="FFFFFF"/>
          </w:rPr>
          <w:delText>kg</w:delText>
        </w:r>
        <w:r w:rsidR="000642A2" w:rsidRPr="00183B5F">
          <w:rPr>
            <w:rStyle w:val="normaltextrun"/>
            <w:shd w:val="clear" w:color="auto" w:fill="FFFFFF"/>
          </w:rPr>
          <w:delText>-os</w:delText>
        </w:r>
        <w:r w:rsidRPr="00183B5F">
          <w:rPr>
            <w:rStyle w:val="normaltextrun"/>
            <w:shd w:val="clear" w:color="auto" w:fill="FFFFFF"/>
          </w:rPr>
          <w:delText xml:space="preserve"> (</w:delText>
        </w:r>
        <w:r w:rsidR="00424298" w:rsidRPr="00183B5F">
          <w:rPr>
            <w:rStyle w:val="normaltextrun"/>
            <w:shd w:val="clear" w:color="auto" w:fill="FFFFFF"/>
          </w:rPr>
          <w:delText xml:space="preserve">legfeljebb </w:delText>
        </w:r>
        <w:r w:rsidRPr="00183B5F">
          <w:rPr>
            <w:rStyle w:val="normaltextrun"/>
            <w:shd w:val="clear" w:color="auto" w:fill="FFFFFF"/>
          </w:rPr>
          <w:delText>80 mg)</w:delText>
        </w:r>
        <w:r w:rsidR="000642A2" w:rsidRPr="00183B5F">
          <w:rPr>
            <w:rStyle w:val="normaltextrun"/>
            <w:shd w:val="clear" w:color="auto" w:fill="FFFFFF"/>
          </w:rPr>
          <w:delText xml:space="preserve"> adagot</w:delText>
        </w:r>
        <w:r w:rsidRPr="00183B5F">
          <w:rPr>
            <w:rStyle w:val="normaltextrun"/>
            <w:shd w:val="clear" w:color="auto" w:fill="FFFFFF"/>
          </w:rPr>
          <w:delText xml:space="preserve">; vagy </w:delText>
        </w:r>
        <w:r w:rsidR="000642A2" w:rsidRPr="00183B5F">
          <w:rPr>
            <w:rStyle w:val="normaltextrun"/>
            <w:shd w:val="clear" w:color="auto" w:fill="FFFFFF"/>
          </w:rPr>
          <w:delText xml:space="preserve">a 0. héten </w:delText>
        </w:r>
        <w:r w:rsidRPr="00183B5F">
          <w:rPr>
            <w:rStyle w:val="normaltextrun"/>
            <w:shd w:val="clear" w:color="auto" w:fill="FFFFFF"/>
          </w:rPr>
          <w:delText>2,4 mg/</w:delText>
        </w:r>
        <w:r w:rsidR="002B6005" w:rsidRPr="00183B5F">
          <w:rPr>
            <w:rStyle w:val="normaltextrun"/>
            <w:shd w:val="clear" w:color="auto" w:fill="FFFFFF"/>
          </w:rPr>
          <w:delText>tt</w:delText>
        </w:r>
        <w:r w:rsidRPr="00183B5F">
          <w:rPr>
            <w:rStyle w:val="normaltextrun"/>
            <w:shd w:val="clear" w:color="auto" w:fill="FFFFFF"/>
          </w:rPr>
          <w:delText>kg</w:delText>
        </w:r>
        <w:r w:rsidR="000642A2" w:rsidRPr="00183B5F">
          <w:rPr>
            <w:rStyle w:val="normaltextrun"/>
            <w:shd w:val="clear" w:color="auto" w:fill="FFFFFF"/>
          </w:rPr>
          <w:noBreakHyphen/>
          <w:delText>os</w:delText>
        </w:r>
        <w:r w:rsidRPr="00183B5F">
          <w:rPr>
            <w:rStyle w:val="normaltextrun"/>
            <w:shd w:val="clear" w:color="auto" w:fill="FFFFFF"/>
          </w:rPr>
          <w:delText xml:space="preserve"> (</w:delText>
        </w:r>
        <w:r w:rsidR="00424298" w:rsidRPr="00183B5F">
          <w:rPr>
            <w:rStyle w:val="normaltextrun"/>
            <w:shd w:val="clear" w:color="auto" w:fill="FFFFFF"/>
          </w:rPr>
          <w:delText>legfeljebb</w:delText>
        </w:r>
        <w:r w:rsidRPr="00183B5F">
          <w:rPr>
            <w:rStyle w:val="normaltextrun"/>
            <w:shd w:val="clear" w:color="auto" w:fill="FFFFFF"/>
          </w:rPr>
          <w:delText xml:space="preserve"> 160 mg), a</w:delText>
        </w:r>
        <w:r w:rsidR="000642A2" w:rsidRPr="00183B5F">
          <w:rPr>
            <w:rStyle w:val="normaltextrun"/>
            <w:shd w:val="clear" w:color="auto" w:fill="FFFFFF"/>
          </w:rPr>
          <w:delText>z 1. héten</w:delText>
        </w:r>
        <w:r w:rsidRPr="00183B5F">
          <w:rPr>
            <w:rStyle w:val="normaltextrun"/>
            <w:shd w:val="clear" w:color="auto" w:fill="FFFFFF"/>
          </w:rPr>
          <w:delText xml:space="preserve"> placeb</w:delText>
        </w:r>
        <w:r w:rsidR="000642A2" w:rsidRPr="00183B5F">
          <w:rPr>
            <w:rStyle w:val="normaltextrun"/>
            <w:shd w:val="clear" w:color="auto" w:fill="FFFFFF"/>
          </w:rPr>
          <w:delText>ót</w:delText>
        </w:r>
        <w:r w:rsidRPr="00183B5F">
          <w:rPr>
            <w:rStyle w:val="normaltextrun"/>
            <w:shd w:val="clear" w:color="auto" w:fill="FFFFFF"/>
          </w:rPr>
          <w:delText xml:space="preserve"> és </w:delText>
        </w:r>
        <w:r w:rsidR="000642A2" w:rsidRPr="00183B5F">
          <w:rPr>
            <w:rStyle w:val="normaltextrun"/>
            <w:shd w:val="clear" w:color="auto" w:fill="FFFFFF"/>
          </w:rPr>
          <w:delText xml:space="preserve">a 2. héten </w:delText>
        </w:r>
        <w:r w:rsidRPr="00183B5F">
          <w:rPr>
            <w:rStyle w:val="normaltextrun"/>
            <w:shd w:val="clear" w:color="auto" w:fill="FFFFFF"/>
          </w:rPr>
          <w:delText>1,2 mg/</w:delText>
        </w:r>
        <w:r w:rsidR="002B6005" w:rsidRPr="00183B5F">
          <w:rPr>
            <w:rStyle w:val="normaltextrun"/>
            <w:shd w:val="clear" w:color="auto" w:fill="FFFFFF"/>
          </w:rPr>
          <w:delText>tt</w:delText>
        </w:r>
        <w:r w:rsidRPr="00183B5F">
          <w:rPr>
            <w:rStyle w:val="normaltextrun"/>
            <w:shd w:val="clear" w:color="auto" w:fill="FFFFFF"/>
          </w:rPr>
          <w:delText>kg</w:delText>
        </w:r>
        <w:r w:rsidR="000642A2" w:rsidRPr="00183B5F">
          <w:rPr>
            <w:rStyle w:val="normaltextrun"/>
            <w:shd w:val="clear" w:color="auto" w:fill="FFFFFF"/>
          </w:rPr>
          <w:noBreakHyphen/>
          <w:delText>os</w:delText>
        </w:r>
        <w:r w:rsidRPr="00183B5F">
          <w:rPr>
            <w:rStyle w:val="normaltextrun"/>
            <w:shd w:val="clear" w:color="auto" w:fill="FFFFFF"/>
          </w:rPr>
          <w:delText xml:space="preserve"> (</w:delText>
        </w:r>
        <w:r w:rsidR="00424298" w:rsidRPr="00183B5F">
          <w:rPr>
            <w:rStyle w:val="normaltextrun"/>
            <w:shd w:val="clear" w:color="auto" w:fill="FFFFFF"/>
          </w:rPr>
          <w:delText>legfeljebb</w:delText>
        </w:r>
        <w:r w:rsidRPr="00183B5F">
          <w:rPr>
            <w:rStyle w:val="normaltextrun"/>
            <w:shd w:val="clear" w:color="auto" w:fill="FFFFFF"/>
          </w:rPr>
          <w:delText xml:space="preserve"> 80 mg) </w:delText>
        </w:r>
        <w:r w:rsidR="000642A2" w:rsidRPr="00183B5F">
          <w:rPr>
            <w:rStyle w:val="normaltextrun"/>
            <w:shd w:val="clear" w:color="auto" w:fill="FFFFFF"/>
          </w:rPr>
          <w:delText>dózist kaptak</w:delText>
        </w:r>
        <w:r w:rsidR="00281D72" w:rsidRPr="00183B5F">
          <w:rPr>
            <w:rStyle w:val="normaltextrun"/>
            <w:shd w:val="clear" w:color="auto" w:fill="FFFFFF"/>
          </w:rPr>
          <w:delText>.</w:delText>
        </w:r>
        <w:r w:rsidR="000642A2" w:rsidRPr="00183B5F">
          <w:rPr>
            <w:rStyle w:val="normaltextrun"/>
            <w:shd w:val="clear" w:color="auto" w:fill="FFFFFF"/>
          </w:rPr>
          <w:delText xml:space="preserve"> </w:delText>
        </w:r>
        <w:r w:rsidRPr="00183B5F">
          <w:rPr>
            <w:rStyle w:val="normaltextrun"/>
            <w:shd w:val="clear" w:color="auto" w:fill="FFFFFF"/>
          </w:rPr>
          <w:delText>Mindkét csoport 0,6 mg/</w:delText>
        </w:r>
        <w:r w:rsidR="002B6005" w:rsidRPr="00183B5F">
          <w:rPr>
            <w:rStyle w:val="normaltextrun"/>
            <w:shd w:val="clear" w:color="auto" w:fill="FFFFFF"/>
          </w:rPr>
          <w:delText>tt</w:delText>
        </w:r>
        <w:r w:rsidRPr="00183B5F">
          <w:rPr>
            <w:rStyle w:val="normaltextrun"/>
            <w:shd w:val="clear" w:color="auto" w:fill="FFFFFF"/>
          </w:rPr>
          <w:delText>kg-o</w:delText>
        </w:r>
        <w:r w:rsidR="000642A2" w:rsidRPr="00183B5F">
          <w:rPr>
            <w:rStyle w:val="normaltextrun"/>
            <w:shd w:val="clear" w:color="auto" w:fill="FFFFFF"/>
          </w:rPr>
          <w:delText>s</w:delText>
        </w:r>
        <w:r w:rsidRPr="00183B5F">
          <w:rPr>
            <w:rStyle w:val="normaltextrun"/>
            <w:shd w:val="clear" w:color="auto" w:fill="FFFFFF"/>
          </w:rPr>
          <w:delText xml:space="preserve"> (</w:delText>
        </w:r>
        <w:r w:rsidR="00424298" w:rsidRPr="00183B5F">
          <w:rPr>
            <w:rStyle w:val="normaltextrun"/>
            <w:shd w:val="clear" w:color="auto" w:fill="FFFFFF"/>
          </w:rPr>
          <w:delText>legfeljebb</w:delText>
        </w:r>
        <w:r w:rsidRPr="00183B5F">
          <w:rPr>
            <w:rStyle w:val="normaltextrun"/>
            <w:shd w:val="clear" w:color="auto" w:fill="FFFFFF"/>
          </w:rPr>
          <w:delText xml:space="preserve"> 40 mg) </w:delText>
        </w:r>
        <w:r w:rsidR="000642A2" w:rsidRPr="00183B5F">
          <w:rPr>
            <w:rStyle w:val="normaltextrun"/>
            <w:shd w:val="clear" w:color="auto" w:fill="FFFFFF"/>
          </w:rPr>
          <w:delText xml:space="preserve">dózist </w:delText>
        </w:r>
        <w:r w:rsidRPr="00183B5F">
          <w:rPr>
            <w:rStyle w:val="normaltextrun"/>
            <w:shd w:val="clear" w:color="auto" w:fill="FFFFFF"/>
          </w:rPr>
          <w:delText>kapott a 4. és a 6. héten.</w:delText>
        </w:r>
        <w:r w:rsidR="00E3744A" w:rsidRPr="00183B5F">
          <w:rPr>
            <w:rStyle w:val="normaltextrun"/>
            <w:shd w:val="clear" w:color="auto" w:fill="FFFFFF"/>
          </w:rPr>
          <w:delText xml:space="preserve"> </w:delText>
        </w:r>
        <w:r w:rsidRPr="00183B5F">
          <w:rPr>
            <w:rStyle w:val="normaltextrun"/>
            <w:shd w:val="clear" w:color="auto" w:fill="FFFFFF"/>
          </w:rPr>
          <w:delText>A vizsgálat</w:delText>
        </w:r>
        <w:r w:rsidR="000642A2" w:rsidRPr="00183B5F">
          <w:rPr>
            <w:rStyle w:val="normaltextrun"/>
            <w:shd w:val="clear" w:color="auto" w:fill="FFFFFF"/>
          </w:rPr>
          <w:delText>i</w:delText>
        </w:r>
        <w:r w:rsidRPr="00183B5F">
          <w:rPr>
            <w:rStyle w:val="normaltextrun"/>
            <w:shd w:val="clear" w:color="auto" w:fill="FFFFFF"/>
          </w:rPr>
          <w:delText xml:space="preserve"> elrendezés módosítását követően az indukciós periódusba bevont további 16 beteg nyílt</w:delText>
        </w:r>
        <w:r w:rsidR="001043DB" w:rsidRPr="00183B5F">
          <w:rPr>
            <w:rStyle w:val="normaltextrun"/>
            <w:shd w:val="clear" w:color="auto" w:fill="FFFFFF"/>
          </w:rPr>
          <w:delText xml:space="preserve"> elrendezésben</w:delText>
        </w:r>
        <w:r w:rsidRPr="00183B5F">
          <w:rPr>
            <w:rStyle w:val="normaltextrun"/>
            <w:shd w:val="clear" w:color="auto" w:fill="FFFFFF"/>
          </w:rPr>
          <w:delText xml:space="preserve"> </w:delText>
        </w:r>
        <w:r w:rsidR="001043DB" w:rsidRPr="00183B5F">
          <w:rPr>
            <w:rStyle w:val="normaltextrun"/>
            <w:shd w:val="clear" w:color="auto" w:fill="FFFFFF"/>
          </w:rPr>
          <w:delText xml:space="preserve">kapta a </w:delText>
        </w:r>
        <w:r w:rsidRPr="00183B5F">
          <w:rPr>
            <w:rStyle w:val="normaltextrun"/>
            <w:shd w:val="clear" w:color="auto" w:fill="FFFFFF"/>
          </w:rPr>
          <w:delText>Humira</w:delText>
        </w:r>
        <w:r w:rsidR="00424298" w:rsidRPr="00183B5F">
          <w:rPr>
            <w:rStyle w:val="normaltextrun"/>
            <w:shd w:val="clear" w:color="auto" w:fill="FFFFFF"/>
          </w:rPr>
          <w:noBreakHyphen/>
        </w:r>
        <w:r w:rsidRPr="00183B5F">
          <w:rPr>
            <w:rStyle w:val="normaltextrun"/>
            <w:shd w:val="clear" w:color="auto" w:fill="FFFFFF"/>
          </w:rPr>
          <w:delText>kezelést</w:delText>
        </w:r>
        <w:r w:rsidR="00424298" w:rsidRPr="00183B5F">
          <w:rPr>
            <w:rStyle w:val="normaltextrun"/>
            <w:shd w:val="clear" w:color="auto" w:fill="FFFFFF"/>
          </w:rPr>
          <w:delText>:</w:delText>
        </w:r>
        <w:r w:rsidRPr="00183B5F">
          <w:rPr>
            <w:rStyle w:val="normaltextrun"/>
            <w:shd w:val="clear" w:color="auto" w:fill="FFFFFF"/>
          </w:rPr>
          <w:delText xml:space="preserve"> </w:delText>
        </w:r>
        <w:r w:rsidR="00424298" w:rsidRPr="00183B5F">
          <w:rPr>
            <w:rStyle w:val="normaltextrun"/>
            <w:shd w:val="clear" w:color="auto" w:fill="FFFFFF"/>
          </w:rPr>
          <w:delText xml:space="preserve">a </w:delText>
        </w:r>
        <w:r w:rsidR="001043DB" w:rsidRPr="00183B5F">
          <w:rPr>
            <w:rStyle w:val="normaltextrun"/>
            <w:shd w:val="clear" w:color="auto" w:fill="FFFFFF"/>
          </w:rPr>
          <w:delText xml:space="preserve">0. héten és az 1. héten </w:delText>
        </w:r>
        <w:r w:rsidRPr="00183B5F">
          <w:rPr>
            <w:rStyle w:val="normaltextrun"/>
            <w:shd w:val="clear" w:color="auto" w:fill="FFFFFF"/>
          </w:rPr>
          <w:delText>2,4 mg/</w:delText>
        </w:r>
        <w:r w:rsidR="002B6005" w:rsidRPr="00183B5F">
          <w:rPr>
            <w:rStyle w:val="normaltextrun"/>
            <w:shd w:val="clear" w:color="auto" w:fill="FFFFFF"/>
          </w:rPr>
          <w:delText>tt</w:delText>
        </w:r>
        <w:r w:rsidRPr="00183B5F">
          <w:rPr>
            <w:rStyle w:val="normaltextrun"/>
            <w:shd w:val="clear" w:color="auto" w:fill="FFFFFF"/>
          </w:rPr>
          <w:delText>kg-os (legfeljebb 160 mg)</w:delText>
        </w:r>
        <w:r w:rsidR="001043DB" w:rsidRPr="00183B5F">
          <w:rPr>
            <w:rStyle w:val="normaltextrun"/>
            <w:shd w:val="clear" w:color="auto" w:fill="FFFFFF"/>
          </w:rPr>
          <w:delText>,</w:delText>
        </w:r>
        <w:r w:rsidRPr="00183B5F">
          <w:rPr>
            <w:rStyle w:val="normaltextrun"/>
            <w:shd w:val="clear" w:color="auto" w:fill="FFFFFF"/>
          </w:rPr>
          <w:delText xml:space="preserve"> a 2. héten 1,2 mg/</w:delText>
        </w:r>
        <w:r w:rsidR="002B6005" w:rsidRPr="00183B5F">
          <w:rPr>
            <w:rStyle w:val="normaltextrun"/>
            <w:shd w:val="clear" w:color="auto" w:fill="FFFFFF"/>
          </w:rPr>
          <w:delText>tt</w:delText>
        </w:r>
        <w:r w:rsidRPr="00183B5F">
          <w:rPr>
            <w:rStyle w:val="normaltextrun"/>
            <w:shd w:val="clear" w:color="auto" w:fill="FFFFFF"/>
          </w:rPr>
          <w:delText>kg</w:delText>
        </w:r>
        <w:r w:rsidR="00424298" w:rsidRPr="00183B5F">
          <w:rPr>
            <w:rStyle w:val="normaltextrun"/>
            <w:shd w:val="clear" w:color="auto" w:fill="FFFFFF"/>
          </w:rPr>
          <w:noBreakHyphen/>
        </w:r>
        <w:r w:rsidRPr="00183B5F">
          <w:rPr>
            <w:rStyle w:val="normaltextrun"/>
            <w:shd w:val="clear" w:color="auto" w:fill="FFFFFF"/>
          </w:rPr>
          <w:delText>os (</w:delText>
        </w:r>
        <w:r w:rsidR="00424298" w:rsidRPr="00183B5F">
          <w:rPr>
            <w:rStyle w:val="normaltextrun"/>
            <w:shd w:val="clear" w:color="auto" w:fill="FFFFFF"/>
          </w:rPr>
          <w:delText>legfeljebb</w:delText>
        </w:r>
        <w:r w:rsidRPr="00183B5F">
          <w:rPr>
            <w:rStyle w:val="normaltextrun"/>
            <w:shd w:val="clear" w:color="auto" w:fill="FFFFFF"/>
          </w:rPr>
          <w:delText xml:space="preserve"> 80 mg) </w:delText>
        </w:r>
        <w:r w:rsidR="001043DB" w:rsidRPr="00183B5F">
          <w:rPr>
            <w:rStyle w:val="normaltextrun"/>
            <w:shd w:val="clear" w:color="auto" w:fill="FFFFFF"/>
          </w:rPr>
          <w:delText xml:space="preserve">indukciós </w:delText>
        </w:r>
        <w:r w:rsidRPr="00183B5F">
          <w:rPr>
            <w:rStyle w:val="normaltextrun"/>
            <w:shd w:val="clear" w:color="auto" w:fill="FFFFFF"/>
          </w:rPr>
          <w:delText>dózissal</w:delText>
        </w:r>
        <w:r w:rsidR="00424298" w:rsidRPr="00183B5F">
          <w:rPr>
            <w:rStyle w:val="normaltextrun"/>
            <w:shd w:val="clear" w:color="auto" w:fill="FFFFFF"/>
          </w:rPr>
          <w:delText xml:space="preserve"> kezdve</w:delText>
        </w:r>
        <w:r w:rsidRPr="00183B5F">
          <w:rPr>
            <w:rStyle w:val="normaltextrun"/>
            <w:shd w:val="clear" w:color="auto" w:fill="FFFFFF"/>
          </w:rPr>
          <w:delText>.</w:delText>
        </w:r>
      </w:del>
    </w:p>
    <w:p w14:paraId="14B8FA7B" w14:textId="32343FAB" w:rsidR="00293353" w:rsidRPr="00183B5F" w:rsidRDefault="00293353" w:rsidP="00293353">
      <w:pPr>
        <w:spacing w:line="240" w:lineRule="auto"/>
        <w:rPr>
          <w:del w:id="3304" w:author="AbbVie_HU_03" w:date="2025-05-14T15:27:00Z"/>
        </w:rPr>
      </w:pPr>
    </w:p>
    <w:p w14:paraId="176DFFB3" w14:textId="5471FF8C" w:rsidR="00293353" w:rsidRPr="00183B5F" w:rsidRDefault="00943743" w:rsidP="00293353">
      <w:pPr>
        <w:spacing w:line="240" w:lineRule="auto"/>
        <w:rPr>
          <w:del w:id="3305" w:author="AbbVie_HU_03" w:date="2025-05-14T15:27:00Z"/>
          <w:rStyle w:val="normaltextrun"/>
          <w:shd w:val="clear" w:color="auto" w:fill="FFFFFF"/>
        </w:rPr>
      </w:pPr>
      <w:del w:id="3306" w:author="AbbVie_HU_03" w:date="2025-05-14T15:27:00Z">
        <w:r w:rsidRPr="00183B5F">
          <w:rPr>
            <w:shd w:val="clear" w:color="auto" w:fill="FFFFFF"/>
          </w:rPr>
          <w:delText xml:space="preserve">A 8. héten 62, a részleges Mayo-pontszám (PMS) szerint </w:delText>
        </w:r>
        <w:r w:rsidR="00283844" w:rsidRPr="00183B5F">
          <w:rPr>
            <w:shd w:val="clear" w:color="auto" w:fill="FFFFFF"/>
          </w:rPr>
          <w:delText xml:space="preserve">klinikai választ mutató </w:delText>
        </w:r>
        <w:r w:rsidRPr="00183B5F">
          <w:rPr>
            <w:shd w:val="clear" w:color="auto" w:fill="FFFFFF"/>
          </w:rPr>
          <w:delText>(</w:delText>
        </w:r>
        <w:r w:rsidR="001043DB" w:rsidRPr="00183B5F">
          <w:rPr>
            <w:shd w:val="clear" w:color="auto" w:fill="FFFFFF"/>
          </w:rPr>
          <w:delText xml:space="preserve">a kiinduláshoz képest a PMS </w:delText>
        </w:r>
        <w:r w:rsidRPr="00183B5F">
          <w:rPr>
            <w:shd w:val="clear" w:color="auto" w:fill="FFFFFF"/>
          </w:rPr>
          <w:delText xml:space="preserve">≥ 2 pontos és ≥ 30%-os csökkenése) beteget randomizáltak egyenlő </w:delText>
        </w:r>
        <w:r w:rsidR="001043DB" w:rsidRPr="00183B5F">
          <w:rPr>
            <w:shd w:val="clear" w:color="auto" w:fill="FFFFFF"/>
          </w:rPr>
          <w:delText>arányban</w:delText>
        </w:r>
        <w:r w:rsidRPr="00183B5F">
          <w:rPr>
            <w:shd w:val="clear" w:color="auto" w:fill="FFFFFF"/>
          </w:rPr>
          <w:delText xml:space="preserve"> kettős</w:delText>
        </w:r>
        <w:r w:rsidR="001043DB" w:rsidRPr="00183B5F">
          <w:rPr>
            <w:shd w:val="clear" w:color="auto" w:fill="FFFFFF"/>
          </w:rPr>
          <w:delText xml:space="preserve"> </w:delText>
        </w:r>
        <w:r w:rsidRPr="00183B5F">
          <w:rPr>
            <w:shd w:val="clear" w:color="auto" w:fill="FFFFFF"/>
          </w:rPr>
          <w:delText xml:space="preserve">vak </w:delText>
        </w:r>
        <w:r w:rsidR="00343C76" w:rsidRPr="00183B5F">
          <w:rPr>
            <w:shd w:val="clear" w:color="auto" w:fill="FFFFFF"/>
          </w:rPr>
          <w:delText xml:space="preserve">Humira </w:delText>
        </w:r>
        <w:r w:rsidRPr="00183B5F">
          <w:rPr>
            <w:shd w:val="clear" w:color="auto" w:fill="FFFFFF"/>
          </w:rPr>
          <w:delText>fenntartó kezelésre</w:delText>
        </w:r>
        <w:r w:rsidR="00343C76" w:rsidRPr="00183B5F">
          <w:rPr>
            <w:shd w:val="clear" w:color="auto" w:fill="FFFFFF"/>
          </w:rPr>
          <w:delText>:</w:delText>
        </w:r>
        <w:r w:rsidR="001043DB" w:rsidRPr="00183B5F">
          <w:rPr>
            <w:shd w:val="clear" w:color="auto" w:fill="FFFFFF"/>
          </w:rPr>
          <w:delText xml:space="preserve"> hetente adott </w:delText>
        </w:r>
        <w:r w:rsidRPr="00183B5F">
          <w:rPr>
            <w:shd w:val="clear" w:color="auto" w:fill="FFFFFF"/>
          </w:rPr>
          <w:delText>0,6 mg/</w:delText>
        </w:r>
        <w:r w:rsidR="002B6005" w:rsidRPr="00183B5F">
          <w:rPr>
            <w:shd w:val="clear" w:color="auto" w:fill="FFFFFF"/>
          </w:rPr>
          <w:delText>tt</w:delText>
        </w:r>
        <w:r w:rsidRPr="00183B5F">
          <w:rPr>
            <w:shd w:val="clear" w:color="auto" w:fill="FFFFFF"/>
          </w:rPr>
          <w:delText>kg</w:delText>
        </w:r>
        <w:r w:rsidR="00343C76" w:rsidRPr="00183B5F">
          <w:rPr>
            <w:shd w:val="clear" w:color="auto" w:fill="FFFFFF"/>
          </w:rPr>
          <w:noBreakHyphen/>
          <w:delText>os</w:delText>
        </w:r>
        <w:r w:rsidRPr="00183B5F">
          <w:rPr>
            <w:shd w:val="clear" w:color="auto" w:fill="FFFFFF"/>
          </w:rPr>
          <w:delText xml:space="preserve"> (maximum 40 mg) dózisra</w:delText>
        </w:r>
        <w:r w:rsidRPr="00183B5F">
          <w:rPr>
            <w:rStyle w:val="normaltextrun"/>
            <w:shd w:val="clear" w:color="auto" w:fill="FFFFFF"/>
          </w:rPr>
          <w:delText>,</w:delText>
        </w:r>
        <w:r w:rsidR="00343C76" w:rsidRPr="00183B5F">
          <w:rPr>
            <w:rStyle w:val="normaltextrun"/>
            <w:shd w:val="clear" w:color="auto" w:fill="FFFFFF"/>
          </w:rPr>
          <w:delText xml:space="preserve"> vagy</w:delText>
        </w:r>
        <w:r w:rsidRPr="00183B5F">
          <w:rPr>
            <w:rStyle w:val="normaltextrun"/>
            <w:shd w:val="clear" w:color="auto" w:fill="FFFFFF"/>
          </w:rPr>
          <w:delText xml:space="preserve"> </w:delText>
        </w:r>
        <w:r w:rsidR="001043DB" w:rsidRPr="00183B5F">
          <w:rPr>
            <w:rStyle w:val="normaltextrun"/>
            <w:shd w:val="clear" w:color="auto" w:fill="FFFFFF"/>
          </w:rPr>
          <w:delText xml:space="preserve">minden második héten adott </w:delText>
        </w:r>
        <w:r w:rsidRPr="00183B5F">
          <w:rPr>
            <w:rStyle w:val="normaltextrun"/>
            <w:shd w:val="clear" w:color="auto" w:fill="FFFFFF"/>
          </w:rPr>
          <w:delText>0,6 mg/</w:delText>
        </w:r>
        <w:r w:rsidR="001043DB" w:rsidRPr="00183B5F">
          <w:rPr>
            <w:rStyle w:val="normaltextrun"/>
            <w:shd w:val="clear" w:color="auto" w:fill="FFFFFF"/>
          </w:rPr>
          <w:delText>tt</w:delText>
        </w:r>
        <w:r w:rsidRPr="00183B5F">
          <w:rPr>
            <w:rStyle w:val="normaltextrun"/>
            <w:shd w:val="clear" w:color="auto" w:fill="FFFFFF"/>
          </w:rPr>
          <w:delText>kg</w:delText>
        </w:r>
        <w:r w:rsidR="00343C76" w:rsidRPr="00183B5F">
          <w:rPr>
            <w:rStyle w:val="normaltextrun"/>
            <w:shd w:val="clear" w:color="auto" w:fill="FFFFFF"/>
          </w:rPr>
          <w:delText>-os</w:delText>
        </w:r>
        <w:r w:rsidRPr="00183B5F">
          <w:rPr>
            <w:rStyle w:val="normaltextrun"/>
            <w:shd w:val="clear" w:color="auto" w:fill="FFFFFF"/>
          </w:rPr>
          <w:delText xml:space="preserve"> (maximum 40 mg)</w:delText>
        </w:r>
        <w:r w:rsidR="00343C76" w:rsidRPr="00183B5F">
          <w:rPr>
            <w:rStyle w:val="normaltextrun"/>
            <w:shd w:val="clear" w:color="auto" w:fill="FFFFFF"/>
          </w:rPr>
          <w:delText xml:space="preserve"> </w:delText>
        </w:r>
        <w:r w:rsidRPr="00183B5F">
          <w:rPr>
            <w:rStyle w:val="normaltextrun"/>
            <w:shd w:val="clear" w:color="auto" w:fill="FFFFFF"/>
          </w:rPr>
          <w:delText>dózisra.</w:delText>
        </w:r>
        <w:r w:rsidR="001043DB" w:rsidRPr="00183B5F">
          <w:rPr>
            <w:rStyle w:val="normaltextrun"/>
            <w:shd w:val="clear" w:color="auto" w:fill="FFFFFF"/>
          </w:rPr>
          <w:delText xml:space="preserve"> </w:delText>
        </w:r>
        <w:r w:rsidRPr="00183B5F">
          <w:rPr>
            <w:rStyle w:val="normaltextrun"/>
            <w:shd w:val="clear" w:color="auto" w:fill="FFFFFF"/>
          </w:rPr>
          <w:delText>A vizsgálat</w:delText>
        </w:r>
        <w:r w:rsidR="001043DB" w:rsidRPr="00183B5F">
          <w:rPr>
            <w:rStyle w:val="normaltextrun"/>
            <w:shd w:val="clear" w:color="auto" w:fill="FFFFFF"/>
          </w:rPr>
          <w:delText>i</w:delText>
        </w:r>
        <w:r w:rsidRPr="00183B5F">
          <w:rPr>
            <w:rStyle w:val="normaltextrun"/>
            <w:shd w:val="clear" w:color="auto" w:fill="FFFFFF"/>
          </w:rPr>
          <w:delText xml:space="preserve"> elrendezés módosítását megelőzően további 12</w:delText>
        </w:r>
        <w:r w:rsidR="001043DB" w:rsidRPr="00183B5F">
          <w:rPr>
            <w:rStyle w:val="normaltextrun"/>
            <w:shd w:val="clear" w:color="auto" w:fill="FFFFFF"/>
          </w:rPr>
          <w:delText>, PMS szerint klinikai választ mutató beteget placebóra</w:delText>
        </w:r>
        <w:r w:rsidRPr="00183B5F">
          <w:rPr>
            <w:rStyle w:val="normaltextrun"/>
            <w:shd w:val="clear" w:color="auto" w:fill="FFFFFF"/>
          </w:rPr>
          <w:delText xml:space="preserve"> randomizáltak, de </w:delText>
        </w:r>
        <w:r w:rsidR="001043DB" w:rsidRPr="00183B5F">
          <w:rPr>
            <w:rStyle w:val="normaltextrun"/>
            <w:shd w:val="clear" w:color="auto" w:fill="FFFFFF"/>
          </w:rPr>
          <w:delText>őket</w:delText>
        </w:r>
        <w:r w:rsidRPr="00183B5F">
          <w:rPr>
            <w:rStyle w:val="normaltextrun"/>
            <w:shd w:val="clear" w:color="auto" w:fill="FFFFFF"/>
          </w:rPr>
          <w:delText xml:space="preserve"> nem vett</w:delText>
        </w:r>
        <w:r w:rsidR="001043DB" w:rsidRPr="00183B5F">
          <w:rPr>
            <w:rStyle w:val="normaltextrun"/>
            <w:shd w:val="clear" w:color="auto" w:fill="FFFFFF"/>
          </w:rPr>
          <w:delText>é</w:delText>
        </w:r>
        <w:r w:rsidRPr="00183B5F">
          <w:rPr>
            <w:rStyle w:val="normaltextrun"/>
            <w:shd w:val="clear" w:color="auto" w:fill="FFFFFF"/>
          </w:rPr>
          <w:delText>k be a hatásosságot megerősítő elemzésbe.</w:delText>
        </w:r>
      </w:del>
    </w:p>
    <w:p w14:paraId="71F746A6" w14:textId="3465851D" w:rsidR="00293353" w:rsidRPr="00183B5F" w:rsidRDefault="00293353" w:rsidP="00293353">
      <w:pPr>
        <w:spacing w:line="240" w:lineRule="auto"/>
        <w:rPr>
          <w:del w:id="3307" w:author="AbbVie_HU_03" w:date="2025-05-14T15:27:00Z"/>
          <w:shd w:val="clear" w:color="auto" w:fill="FFFFFF"/>
        </w:rPr>
      </w:pPr>
    </w:p>
    <w:p w14:paraId="365E393A" w14:textId="7C7E984D" w:rsidR="00293353" w:rsidRPr="00183B5F" w:rsidRDefault="00943743" w:rsidP="00293353">
      <w:pPr>
        <w:spacing w:line="240" w:lineRule="auto"/>
        <w:rPr>
          <w:del w:id="3308" w:author="AbbVie_HU_03" w:date="2025-05-14T15:27:00Z"/>
        </w:rPr>
      </w:pPr>
      <w:del w:id="3309" w:author="AbbVie_HU_03" w:date="2025-05-14T15:27:00Z">
        <w:r w:rsidRPr="00183B5F">
          <w:delText xml:space="preserve">A betegség fellángolását a PMS legalább 3 pontos (a </w:delText>
        </w:r>
        <w:r w:rsidR="002355CF" w:rsidRPr="00183B5F">
          <w:delText xml:space="preserve">8. héten </w:delText>
        </w:r>
        <w:r w:rsidRPr="00183B5F">
          <w:delText>0–2-es PMS</w:delText>
        </w:r>
        <w:r w:rsidR="002355CF" w:rsidRPr="00183B5F">
          <w:delText xml:space="preserve"> pontszámú</w:delText>
        </w:r>
        <w:r w:rsidRPr="00183B5F">
          <w:delText xml:space="preserve"> betegeknél), legalább 2 pontos (a 8. héten 3–4-es PMS pontszámú betegeknél) vagy legalább 1 pontos (</w:delText>
        </w:r>
        <w:r w:rsidR="002355CF" w:rsidRPr="00183B5F">
          <w:delText xml:space="preserve">a 8. héten </w:delText>
        </w:r>
        <w:r w:rsidRPr="00183B5F">
          <w:delText>5–6</w:delText>
        </w:r>
        <w:r w:rsidR="002355CF" w:rsidRPr="00183B5F">
          <w:noBreakHyphen/>
          <w:delText>os pontszámú betegeknél</w:delText>
        </w:r>
        <w:r w:rsidRPr="00183B5F">
          <w:delText>)</w:delText>
        </w:r>
        <w:r w:rsidR="002355CF" w:rsidRPr="00183B5F">
          <w:delText xml:space="preserve"> növekedésével határozták meg.</w:delText>
        </w:r>
      </w:del>
    </w:p>
    <w:p w14:paraId="57C647B3" w14:textId="1FA5B284" w:rsidR="00293353" w:rsidRPr="00183B5F" w:rsidRDefault="00293353" w:rsidP="00293353">
      <w:pPr>
        <w:spacing w:line="240" w:lineRule="auto"/>
        <w:rPr>
          <w:del w:id="3310" w:author="AbbVie_HU_03" w:date="2025-05-14T15:27:00Z"/>
        </w:rPr>
      </w:pPr>
    </w:p>
    <w:p w14:paraId="6CB991DD" w14:textId="70A5C570" w:rsidR="00293353" w:rsidRPr="00183B5F" w:rsidRDefault="00943743" w:rsidP="00293353">
      <w:pPr>
        <w:spacing w:line="240" w:lineRule="auto"/>
        <w:rPr>
          <w:del w:id="3311" w:author="AbbVie_HU_03" w:date="2025-05-14T15:27:00Z"/>
        </w:rPr>
      </w:pPr>
      <w:del w:id="3312" w:author="AbbVie_HU_03" w:date="2025-05-14T15:27:00Z">
        <w:r w:rsidRPr="00183B5F">
          <w:delText>Azokat a betegeket, akiknél a 12. héten vagy azt követően teljesült a betegség fellángolásának kritériuma, 2,4 mg/</w:delText>
        </w:r>
        <w:r w:rsidR="002B6005" w:rsidRPr="00183B5F">
          <w:delText>tt</w:delText>
        </w:r>
        <w:r w:rsidRPr="00183B5F">
          <w:delText xml:space="preserve">kg (maximum 160 mg) </w:delText>
        </w:r>
        <w:r w:rsidR="007B13D0" w:rsidRPr="00183B5F">
          <w:delText>ismételt</w:delText>
        </w:r>
        <w:r w:rsidR="002355CF" w:rsidRPr="00183B5F">
          <w:delText xml:space="preserve"> indukciós dózisra </w:delText>
        </w:r>
        <w:r w:rsidRPr="00183B5F">
          <w:delText>vagy 0,6 mg/</w:delText>
        </w:r>
        <w:r w:rsidR="002B6005" w:rsidRPr="00183B5F">
          <w:delText>tt</w:delText>
        </w:r>
        <w:r w:rsidRPr="00183B5F">
          <w:delText>kg (legfeljebb 40 mg) dózisra</w:delText>
        </w:r>
        <w:r w:rsidR="002355CF" w:rsidRPr="00183B5F">
          <w:delText xml:space="preserve"> randomizálták</w:delText>
        </w:r>
        <w:r w:rsidRPr="00183B5F">
          <w:delText xml:space="preserve">, </w:delText>
        </w:r>
        <w:r w:rsidR="00283844" w:rsidRPr="00183B5F">
          <w:delText>majd a továbbiakban</w:delText>
        </w:r>
        <w:r w:rsidR="00343C76" w:rsidRPr="00183B5F">
          <w:delText xml:space="preserve"> </w:delText>
        </w:r>
        <w:r w:rsidRPr="00183B5F">
          <w:delText>ők</w:delText>
        </w:r>
        <w:r w:rsidR="00283844" w:rsidRPr="00183B5F">
          <w:delText>et</w:delText>
        </w:r>
        <w:r w:rsidRPr="00183B5F">
          <w:delText xml:space="preserve"> </w:delText>
        </w:r>
        <w:r w:rsidR="002355CF" w:rsidRPr="00183B5F">
          <w:delText>a számukra meghatározott</w:delText>
        </w:r>
        <w:r w:rsidRPr="00183B5F">
          <w:delText xml:space="preserve"> fenntartó adagolási </w:delText>
        </w:r>
        <w:r w:rsidR="00343C76" w:rsidRPr="00183B5F">
          <w:delText>sémával kezelték</w:delText>
        </w:r>
        <w:r w:rsidRPr="00183B5F">
          <w:delText>.</w:delText>
        </w:r>
        <w:bookmarkEnd w:id="3296"/>
      </w:del>
    </w:p>
    <w:p w14:paraId="261DC472" w14:textId="311E0802" w:rsidR="00293353" w:rsidRPr="00183B5F" w:rsidRDefault="00943743" w:rsidP="00293353">
      <w:pPr>
        <w:pStyle w:val="gtcbodytext"/>
        <w:spacing w:after="0" w:line="240" w:lineRule="auto"/>
        <w:rPr>
          <w:del w:id="3313" w:author="AbbVie_HU_03" w:date="2025-05-14T15:27:00Z"/>
          <w:i/>
          <w:sz w:val="22"/>
          <w:szCs w:val="22"/>
          <w:lang w:val="hu-HU"/>
        </w:rPr>
      </w:pPr>
      <w:del w:id="3314" w:author="AbbVie_HU_03" w:date="2025-05-14T15:27:00Z">
        <w:r w:rsidRPr="00183B5F">
          <w:rPr>
            <w:i/>
            <w:sz w:val="22"/>
            <w:lang w:val="hu-HU"/>
          </w:rPr>
          <w:delText>Hatásossági eredmények</w:delText>
        </w:r>
      </w:del>
    </w:p>
    <w:p w14:paraId="5F061850" w14:textId="6825F0AB" w:rsidR="00293353" w:rsidRPr="00183B5F" w:rsidRDefault="00293353" w:rsidP="00293353">
      <w:pPr>
        <w:pStyle w:val="gtcbodytext"/>
        <w:spacing w:before="0" w:after="0" w:line="240" w:lineRule="auto"/>
        <w:rPr>
          <w:del w:id="3315" w:author="AbbVie_HU_03" w:date="2025-05-14T15:27:00Z"/>
          <w:i/>
          <w:sz w:val="22"/>
          <w:szCs w:val="22"/>
          <w:lang w:val="hu-HU"/>
        </w:rPr>
      </w:pPr>
    </w:p>
    <w:p w14:paraId="07DF992C" w14:textId="4778F659" w:rsidR="00293353" w:rsidRPr="00183B5F" w:rsidRDefault="00943743" w:rsidP="00293353">
      <w:pPr>
        <w:spacing w:line="240" w:lineRule="auto"/>
        <w:textAlignment w:val="baseline"/>
        <w:rPr>
          <w:del w:id="3316" w:author="AbbVie_HU_03" w:date="2025-05-14T15:27:00Z"/>
        </w:rPr>
      </w:pPr>
      <w:del w:id="3317" w:author="AbbVie_HU_03" w:date="2025-05-14T15:27:00Z">
        <w:r w:rsidRPr="00183B5F">
          <w:delText xml:space="preserve">A vizsgálat elsődleges </w:delText>
        </w:r>
        <w:r w:rsidR="00343C76" w:rsidRPr="00183B5F">
          <w:delText xml:space="preserve">kompozit </w:delText>
        </w:r>
        <w:r w:rsidRPr="00183B5F">
          <w:delText xml:space="preserve">végpontjai </w:delText>
        </w:r>
        <w:r w:rsidR="00CD3282" w:rsidRPr="00183B5F">
          <w:delText xml:space="preserve">a következők voltak: </w:delText>
        </w:r>
        <w:r w:rsidRPr="00183B5F">
          <w:delText xml:space="preserve">a PMS szerinti klinikai remisszió (PMS ≤ 2, és nincs </w:delText>
        </w:r>
        <w:r w:rsidR="00A84DFB" w:rsidRPr="00183B5F">
          <w:delText xml:space="preserve">olyan </w:delText>
        </w:r>
        <w:r w:rsidRPr="00183B5F">
          <w:delText>egyedi alpontszám</w:delText>
        </w:r>
        <w:r w:rsidR="00A84DFB" w:rsidRPr="00183B5F">
          <w:delText>, ami</w:delText>
        </w:r>
        <w:r w:rsidRPr="00183B5F">
          <w:delText xml:space="preserve"> &gt; 1) a 8. héten, és az FMS szerinti (Full Mayo Score) (meghatározva: Mayo-pontszám ≤ 2, és nincs </w:delText>
        </w:r>
        <w:r w:rsidR="00A84DFB" w:rsidRPr="00183B5F">
          <w:delText xml:space="preserve">olyan </w:delText>
        </w:r>
        <w:r w:rsidRPr="00183B5F">
          <w:delText>egyedi alpontszám</w:delText>
        </w:r>
        <w:r w:rsidR="00A84DFB" w:rsidRPr="00183B5F">
          <w:delText>, ami</w:delText>
        </w:r>
        <w:r w:rsidRPr="00183B5F">
          <w:delText xml:space="preserve"> &gt; 1) klinikai remisszió az 52. héten azoknál a betegeknél, akik a 8. héten PMS szerinti klinikai választ értek el.</w:delText>
        </w:r>
      </w:del>
    </w:p>
    <w:p w14:paraId="2803D3E0" w14:textId="32EA488F" w:rsidR="00293353" w:rsidRPr="00183B5F" w:rsidRDefault="00943743" w:rsidP="00293353">
      <w:pPr>
        <w:spacing w:line="240" w:lineRule="auto"/>
        <w:textAlignment w:val="baseline"/>
        <w:rPr>
          <w:del w:id="3318" w:author="AbbVie_HU_03" w:date="2025-05-14T15:27:00Z"/>
        </w:rPr>
      </w:pPr>
      <w:bookmarkStart w:id="3319" w:name="_Hlk53504563"/>
      <w:del w:id="3320" w:author="AbbVie_HU_03" w:date="2025-05-14T15:27:00Z">
        <w:r w:rsidRPr="00183B5F">
          <w:delText>A PMS szerinti klinikai remisszió arányát a 8. héten a Humira kettős</w:delText>
        </w:r>
        <w:r w:rsidR="00CD3282" w:rsidRPr="00183B5F">
          <w:delText xml:space="preserve"> </w:delText>
        </w:r>
        <w:r w:rsidRPr="00183B5F">
          <w:delText xml:space="preserve">vak indukciós csoport mindegyikében lévő betegeknél </w:delText>
        </w:r>
        <w:r w:rsidR="00A31545" w:rsidRPr="00183B5F">
          <w:delText xml:space="preserve"> a </w:delText>
        </w:r>
        <w:r w:rsidRPr="00183B5F">
          <w:delText>26. táblázat</w:delText>
        </w:r>
        <w:r w:rsidR="00A31545" w:rsidRPr="00183B5F">
          <w:delText xml:space="preserve"> mutatja be</w:delText>
        </w:r>
        <w:r w:rsidRPr="00183B5F">
          <w:delText>.</w:delText>
        </w:r>
      </w:del>
    </w:p>
    <w:bookmarkEnd w:id="3319"/>
    <w:p w14:paraId="35E3F644" w14:textId="332FE27C" w:rsidR="00293353" w:rsidRPr="00183B5F" w:rsidRDefault="00943743" w:rsidP="00293353">
      <w:pPr>
        <w:pStyle w:val="gtcbodytext"/>
        <w:spacing w:after="0" w:line="240" w:lineRule="auto"/>
        <w:jc w:val="center"/>
        <w:rPr>
          <w:del w:id="3321" w:author="AbbVie_HU_03" w:date="2025-05-14T15:27:00Z"/>
          <w:b/>
          <w:sz w:val="22"/>
          <w:lang w:val="hu-HU"/>
        </w:rPr>
      </w:pPr>
      <w:del w:id="3322" w:author="AbbVie_HU_03" w:date="2025-05-14T15:27:00Z">
        <w:r w:rsidRPr="00183B5F">
          <w:rPr>
            <w:b/>
            <w:sz w:val="22"/>
            <w:lang w:val="hu-HU"/>
          </w:rPr>
          <w:delText>26. táblázat: A PMS szerint klinikai remisszió 8 hét alatt</w:delText>
        </w:r>
      </w:del>
    </w:p>
    <w:tbl>
      <w:tblPr>
        <w:tblW w:w="4246" w:type="pct"/>
        <w:jc w:val="center"/>
        <w:tblLook w:val="04A0" w:firstRow="1" w:lastRow="0" w:firstColumn="1" w:lastColumn="0" w:noHBand="0" w:noVBand="1"/>
      </w:tblPr>
      <w:tblGrid>
        <w:gridCol w:w="1904"/>
        <w:gridCol w:w="2867"/>
        <w:gridCol w:w="2919"/>
      </w:tblGrid>
      <w:tr w:rsidR="00011D2F" w14:paraId="409CCE6D" w14:textId="2822FDEA" w:rsidTr="00293353">
        <w:trPr>
          <w:jc w:val="center"/>
          <w:del w:id="3323" w:author="AbbVie_HU_03" w:date="2025-05-14T15:27: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56B69E5" w14:textId="4F107029" w:rsidR="00293353" w:rsidRPr="00183B5F" w:rsidRDefault="00293353" w:rsidP="00293353">
            <w:pPr>
              <w:spacing w:line="240" w:lineRule="auto"/>
              <w:rPr>
                <w:del w:id="3324" w:author="AbbVie_HU_03" w:date="2025-05-14T15:27:00Z"/>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4CA2BD8" w14:textId="1E71C541" w:rsidR="00293353" w:rsidRPr="00183B5F" w:rsidRDefault="00943743" w:rsidP="00293353">
            <w:pPr>
              <w:pStyle w:val="paragraph0"/>
              <w:spacing w:before="0" w:beforeAutospacing="0" w:after="0" w:afterAutospacing="0"/>
              <w:jc w:val="center"/>
              <w:textAlignment w:val="baseline"/>
              <w:rPr>
                <w:del w:id="3325" w:author="AbbVie_HU_03" w:date="2025-05-14T15:27:00Z"/>
                <w:b/>
                <w:bCs/>
                <w:sz w:val="22"/>
                <w:szCs w:val="22"/>
              </w:rPr>
            </w:pPr>
            <w:del w:id="3326" w:author="AbbVie_HU_03" w:date="2025-05-14T15:27:00Z">
              <w:r w:rsidRPr="00183B5F">
                <w:rPr>
                  <w:rStyle w:val="spellingerror"/>
                  <w:b/>
                  <w:bCs/>
                  <w:sz w:val="22"/>
                </w:rPr>
                <w:delText>Humira</w:delText>
              </w:r>
              <w:r w:rsidRPr="00183B5F">
                <w:rPr>
                  <w:rStyle w:val="spellingerror"/>
                  <w:b/>
                  <w:bCs/>
                  <w:sz w:val="22"/>
                  <w:vertAlign w:val="superscript"/>
                </w:rPr>
                <w:delText>a</w:delText>
              </w:r>
              <w:r w:rsidRPr="00183B5F">
                <w:rPr>
                  <w:rStyle w:val="eop"/>
                  <w:b/>
                  <w:bCs/>
                </w:rPr>
                <w:delText> </w:delText>
              </w:r>
            </w:del>
          </w:p>
          <w:p w14:paraId="5B00B30B" w14:textId="7E4704B2" w:rsidR="00293353" w:rsidRPr="00183B5F" w:rsidRDefault="00943743" w:rsidP="00293353">
            <w:pPr>
              <w:spacing w:line="240" w:lineRule="auto"/>
              <w:jc w:val="center"/>
              <w:rPr>
                <w:del w:id="3327" w:author="AbbVie_HU_03" w:date="2025-05-14T15:27:00Z"/>
                <w:rStyle w:val="eop"/>
                <w:b/>
                <w:bCs/>
              </w:rPr>
            </w:pPr>
            <w:del w:id="3328" w:author="AbbVie_HU_03" w:date="2025-05-14T15:27:00Z">
              <w:r w:rsidRPr="00183B5F">
                <w:rPr>
                  <w:rStyle w:val="normaltextrun"/>
                  <w:b/>
                  <w:bCs/>
                </w:rPr>
                <w:delText>Legfeljebb 160 mg a 0. héten / placebo az 1. héten</w:delText>
              </w:r>
              <w:r w:rsidRPr="00183B5F">
                <w:rPr>
                  <w:rStyle w:val="eop"/>
                  <w:b/>
                  <w:bCs/>
                </w:rPr>
                <w:delText> </w:delText>
              </w:r>
            </w:del>
          </w:p>
          <w:p w14:paraId="44E181F7" w14:textId="6CA78CE1" w:rsidR="00293353" w:rsidRPr="00183B5F" w:rsidRDefault="00943743" w:rsidP="00293353">
            <w:pPr>
              <w:spacing w:line="240" w:lineRule="auto"/>
              <w:jc w:val="center"/>
              <w:rPr>
                <w:del w:id="3329" w:author="AbbVie_HU_03" w:date="2025-05-14T15:27:00Z"/>
              </w:rPr>
            </w:pPr>
            <w:del w:id="3330" w:author="AbbVie_HU_03" w:date="2025-05-14T15:27:00Z">
              <w:r w:rsidRPr="00183B5F">
                <w:rPr>
                  <w:rStyle w:val="eop"/>
                </w:rPr>
                <w:delText>N=30</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A43B9D3" w14:textId="1A567380" w:rsidR="00293353" w:rsidRPr="00183B5F" w:rsidRDefault="00943743" w:rsidP="00293353">
            <w:pPr>
              <w:pStyle w:val="paragraph0"/>
              <w:spacing w:before="0" w:beforeAutospacing="0" w:after="0" w:afterAutospacing="0"/>
              <w:jc w:val="center"/>
              <w:textAlignment w:val="baseline"/>
              <w:rPr>
                <w:del w:id="3331" w:author="AbbVie_HU_03" w:date="2025-05-14T15:27:00Z"/>
                <w:b/>
                <w:bCs/>
                <w:sz w:val="22"/>
                <w:szCs w:val="22"/>
              </w:rPr>
            </w:pPr>
            <w:del w:id="3332" w:author="AbbVie_HU_03" w:date="2025-05-14T15:27:00Z">
              <w:r w:rsidRPr="00183B5F">
                <w:rPr>
                  <w:rStyle w:val="spellingerror"/>
                  <w:b/>
                  <w:bCs/>
                  <w:sz w:val="22"/>
                </w:rPr>
                <w:delText>Humira</w:delText>
              </w:r>
              <w:r w:rsidRPr="00183B5F">
                <w:rPr>
                  <w:rStyle w:val="spellingerror"/>
                  <w:b/>
                  <w:bCs/>
                  <w:sz w:val="22"/>
                  <w:vertAlign w:val="superscript"/>
                </w:rPr>
                <w:delText>b</w:delText>
              </w:r>
              <w:r w:rsidRPr="00183B5F">
                <w:rPr>
                  <w:rStyle w:val="normaltextrun"/>
                  <w:b/>
                  <w:bCs/>
                  <w:sz w:val="22"/>
                  <w:vertAlign w:val="superscript"/>
                </w:rPr>
                <w:delText>, c</w:delText>
              </w:r>
              <w:r w:rsidRPr="00183B5F">
                <w:rPr>
                  <w:rStyle w:val="eop"/>
                  <w:b/>
                  <w:bCs/>
                </w:rPr>
                <w:delText> </w:delText>
              </w:r>
            </w:del>
          </w:p>
          <w:p w14:paraId="333C8601" w14:textId="0D554300" w:rsidR="00293353" w:rsidRPr="00183B5F" w:rsidRDefault="00943743" w:rsidP="00293353">
            <w:pPr>
              <w:spacing w:line="240" w:lineRule="auto"/>
              <w:jc w:val="center"/>
              <w:rPr>
                <w:del w:id="3333" w:author="AbbVie_HU_03" w:date="2025-05-14T15:27:00Z"/>
                <w:rStyle w:val="eop"/>
                <w:b/>
                <w:bCs/>
              </w:rPr>
            </w:pPr>
            <w:del w:id="3334" w:author="AbbVie_HU_03" w:date="2025-05-14T15:27:00Z">
              <w:r w:rsidRPr="00183B5F">
                <w:rPr>
                  <w:rStyle w:val="normaltextrun"/>
                  <w:b/>
                  <w:bCs/>
                </w:rPr>
                <w:delText>Legfeljebb 160 mg a 0. és az 1. héten</w:delText>
              </w:r>
              <w:r w:rsidRPr="00183B5F">
                <w:rPr>
                  <w:rStyle w:val="eop"/>
                  <w:b/>
                  <w:bCs/>
                </w:rPr>
                <w:delText> </w:delText>
              </w:r>
            </w:del>
          </w:p>
          <w:p w14:paraId="33EDB09A" w14:textId="382CC233" w:rsidR="00293353" w:rsidRPr="00183B5F" w:rsidRDefault="00943743" w:rsidP="00293353">
            <w:pPr>
              <w:spacing w:line="240" w:lineRule="auto"/>
              <w:jc w:val="center"/>
              <w:rPr>
                <w:del w:id="3335" w:author="AbbVie_HU_03" w:date="2025-05-14T15:27:00Z"/>
              </w:rPr>
            </w:pPr>
            <w:del w:id="3336" w:author="AbbVie_HU_03" w:date="2025-05-14T15:27:00Z">
              <w:r w:rsidRPr="00183B5F">
                <w:rPr>
                  <w:rStyle w:val="eop"/>
                </w:rPr>
                <w:delText>N=47</w:delText>
              </w:r>
            </w:del>
          </w:p>
        </w:tc>
      </w:tr>
      <w:tr w:rsidR="00011D2F" w14:paraId="2474C83A" w14:textId="6270E398" w:rsidTr="00293353">
        <w:trPr>
          <w:jc w:val="center"/>
          <w:del w:id="3337" w:author="AbbVie_HU_03" w:date="2025-05-14T15:27: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AA7F434" w14:textId="2F239097" w:rsidR="00293353" w:rsidRPr="00183B5F" w:rsidRDefault="00943743" w:rsidP="00293353">
            <w:pPr>
              <w:spacing w:line="240" w:lineRule="auto"/>
              <w:rPr>
                <w:del w:id="3338" w:author="AbbVie_HU_03" w:date="2025-05-14T15:27:00Z"/>
              </w:rPr>
            </w:pPr>
            <w:del w:id="3339" w:author="AbbVie_HU_03" w:date="2025-05-14T15:27:00Z">
              <w:r w:rsidRPr="00183B5F">
                <w:delText>Klinikai remisszió</w:delText>
              </w:r>
            </w:del>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850491A" w14:textId="6C0D26BE" w:rsidR="00293353" w:rsidRPr="00183B5F" w:rsidRDefault="00943743" w:rsidP="00293353">
            <w:pPr>
              <w:spacing w:line="240" w:lineRule="auto"/>
              <w:jc w:val="center"/>
              <w:rPr>
                <w:del w:id="3340" w:author="AbbVie_HU_03" w:date="2025-05-14T15:27:00Z"/>
              </w:rPr>
            </w:pPr>
            <w:del w:id="3341" w:author="AbbVie_HU_03" w:date="2025-05-14T15:27:00Z">
              <w:r w:rsidRPr="00183B5F">
                <w:delText>13/30 (43,3%)</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B115EF6" w14:textId="05DF4BF0" w:rsidR="00293353" w:rsidRPr="00183B5F" w:rsidRDefault="00943743" w:rsidP="00293353">
            <w:pPr>
              <w:spacing w:line="240" w:lineRule="auto"/>
              <w:jc w:val="center"/>
              <w:rPr>
                <w:del w:id="3342" w:author="AbbVie_HU_03" w:date="2025-05-14T15:27:00Z"/>
                <w:vertAlign w:val="superscript"/>
              </w:rPr>
            </w:pPr>
            <w:del w:id="3343" w:author="AbbVie_HU_03" w:date="2025-05-14T15:27:00Z">
              <w:r w:rsidRPr="00183B5F">
                <w:delText>28/47 (59,6%)</w:delText>
              </w:r>
            </w:del>
          </w:p>
        </w:tc>
      </w:tr>
      <w:tr w:rsidR="00011D2F" w14:paraId="38CE872D" w14:textId="3DBD75C7" w:rsidTr="00293353">
        <w:trPr>
          <w:trHeight w:val="2517"/>
          <w:jc w:val="center"/>
          <w:del w:id="3344" w:author="AbbVie_HU_03" w:date="2025-05-14T15:27:00Z"/>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F323023" w14:textId="2F767D59" w:rsidR="00293353" w:rsidRPr="00183B5F" w:rsidRDefault="00943743" w:rsidP="00293353">
            <w:pPr>
              <w:pStyle w:val="paragraph0"/>
              <w:spacing w:before="0" w:beforeAutospacing="0" w:after="0" w:afterAutospacing="0"/>
              <w:textAlignment w:val="baseline"/>
              <w:rPr>
                <w:del w:id="3345" w:author="AbbVie_HU_03" w:date="2025-05-14T15:27:00Z"/>
                <w:sz w:val="22"/>
                <w:szCs w:val="22"/>
              </w:rPr>
            </w:pPr>
            <w:del w:id="3346" w:author="AbbVie_HU_03" w:date="2025-05-14T15:27:00Z">
              <w:r w:rsidRPr="00183B5F">
                <w:rPr>
                  <w:rStyle w:val="normaltextrun"/>
                  <w:sz w:val="22"/>
                  <w:vertAlign w:val="superscript"/>
                </w:rPr>
                <w:delText>a</w:delText>
              </w:r>
              <w:r w:rsidR="00CD3282" w:rsidRPr="00183B5F">
                <w:rPr>
                  <w:rStyle w:val="normaltextrun"/>
                  <w:sz w:val="22"/>
                  <w:vertAlign w:val="superscript"/>
                </w:rPr>
                <w:delText> </w:delText>
              </w:r>
              <w:r w:rsidRPr="00183B5F">
                <w:rPr>
                  <w:rStyle w:val="normaltextrun"/>
                  <w:sz w:val="22"/>
                </w:rPr>
                <w:delText>Humira 2,4 mg/</w:delText>
              </w:r>
              <w:r w:rsidR="002B6005" w:rsidRPr="00183B5F">
                <w:rPr>
                  <w:rStyle w:val="normaltextrun"/>
                  <w:sz w:val="22"/>
                </w:rPr>
                <w:delText>tt</w:delText>
              </w:r>
              <w:r w:rsidRPr="00183B5F">
                <w:rPr>
                  <w:rStyle w:val="normaltextrun"/>
                  <w:sz w:val="22"/>
                </w:rPr>
                <w:delText>kg (</w:delText>
              </w:r>
              <w:r w:rsidR="00CD3282" w:rsidRPr="00183B5F">
                <w:rPr>
                  <w:rStyle w:val="normaltextrun"/>
                  <w:sz w:val="22"/>
                </w:rPr>
                <w:delText>legfeljebb</w:delText>
              </w:r>
              <w:r w:rsidRPr="00183B5F">
                <w:rPr>
                  <w:rStyle w:val="normaltextrun"/>
                  <w:sz w:val="22"/>
                </w:rPr>
                <w:delText xml:space="preserve"> 160 mg) a 0. héten, placebo az 1. héten és 1,2 mg/</w:delText>
              </w:r>
              <w:r w:rsidR="00CD3282" w:rsidRPr="00183B5F">
                <w:rPr>
                  <w:rStyle w:val="normaltextrun"/>
                  <w:sz w:val="22"/>
                </w:rPr>
                <w:delText>tt</w:delText>
              </w:r>
              <w:r w:rsidRPr="00183B5F">
                <w:rPr>
                  <w:rStyle w:val="normaltextrun"/>
                  <w:sz w:val="22"/>
                </w:rPr>
                <w:delText>kg (</w:delText>
              </w:r>
              <w:r w:rsidR="00CD3282" w:rsidRPr="00183B5F">
                <w:rPr>
                  <w:rStyle w:val="normaltextrun"/>
                  <w:sz w:val="22"/>
                </w:rPr>
                <w:delText>legfeljebb</w:delText>
              </w:r>
              <w:r w:rsidRPr="00183B5F">
                <w:rPr>
                  <w:rStyle w:val="normaltextrun"/>
                  <w:sz w:val="22"/>
                </w:rPr>
                <w:delText xml:space="preserve"> 80 mg) a 2. héten</w:delText>
              </w:r>
              <w:r w:rsidRPr="00183B5F">
                <w:rPr>
                  <w:rStyle w:val="eop"/>
                </w:rPr>
                <w:delText> </w:delText>
              </w:r>
            </w:del>
          </w:p>
          <w:p w14:paraId="336D8B1A" w14:textId="7E51E2F5" w:rsidR="00293353" w:rsidRPr="00183B5F" w:rsidRDefault="00943743" w:rsidP="00293353">
            <w:pPr>
              <w:pStyle w:val="paragraph0"/>
              <w:spacing w:before="0" w:beforeAutospacing="0" w:after="0" w:afterAutospacing="0"/>
              <w:textAlignment w:val="baseline"/>
              <w:rPr>
                <w:del w:id="3347" w:author="AbbVie_HU_03" w:date="2025-05-14T15:27:00Z"/>
                <w:sz w:val="22"/>
                <w:szCs w:val="22"/>
              </w:rPr>
            </w:pPr>
            <w:del w:id="3348" w:author="AbbVie_HU_03" w:date="2025-05-14T15:27:00Z">
              <w:r w:rsidRPr="00183B5F">
                <w:rPr>
                  <w:rStyle w:val="normaltextrun"/>
                  <w:sz w:val="22"/>
                  <w:vertAlign w:val="superscript"/>
                </w:rPr>
                <w:delText>b</w:delText>
              </w:r>
              <w:r w:rsidR="00CD3282" w:rsidRPr="00183B5F">
                <w:rPr>
                  <w:rStyle w:val="normaltextrun"/>
                  <w:sz w:val="22"/>
                  <w:vertAlign w:val="superscript"/>
                </w:rPr>
                <w:delText> </w:delText>
              </w:r>
              <w:r w:rsidRPr="00183B5F">
                <w:rPr>
                  <w:rStyle w:val="normaltextrun"/>
                  <w:sz w:val="22"/>
                </w:rPr>
                <w:delText>Humira 2,4 mg/</w:delText>
              </w:r>
              <w:r w:rsidR="002B6005" w:rsidRPr="00183B5F">
                <w:rPr>
                  <w:rStyle w:val="normaltextrun"/>
                  <w:sz w:val="22"/>
                </w:rPr>
                <w:delText>tt</w:delText>
              </w:r>
              <w:r w:rsidRPr="00183B5F">
                <w:rPr>
                  <w:rStyle w:val="normaltextrun"/>
                  <w:sz w:val="22"/>
                </w:rPr>
                <w:delText>kg (</w:delText>
              </w:r>
              <w:r w:rsidR="00CD3282" w:rsidRPr="00183B5F">
                <w:rPr>
                  <w:rStyle w:val="normaltextrun"/>
                  <w:sz w:val="22"/>
                </w:rPr>
                <w:delText>legfeljebb</w:delText>
              </w:r>
              <w:r w:rsidRPr="00183B5F">
                <w:rPr>
                  <w:rStyle w:val="normaltextrun"/>
                  <w:sz w:val="22"/>
                </w:rPr>
                <w:delText xml:space="preserve"> 160 mg) a 0. és az 1. héten és 1,2 mg/</w:delText>
              </w:r>
              <w:r w:rsidR="00CD3282" w:rsidRPr="00183B5F">
                <w:rPr>
                  <w:rStyle w:val="normaltextrun"/>
                  <w:sz w:val="22"/>
                </w:rPr>
                <w:delText>tt</w:delText>
              </w:r>
              <w:r w:rsidRPr="00183B5F">
                <w:rPr>
                  <w:rStyle w:val="normaltextrun"/>
                  <w:sz w:val="22"/>
                </w:rPr>
                <w:delText>kg (</w:delText>
              </w:r>
              <w:r w:rsidR="00CD3282" w:rsidRPr="00183B5F">
                <w:rPr>
                  <w:rStyle w:val="normaltextrun"/>
                  <w:sz w:val="22"/>
                </w:rPr>
                <w:delText>legfeljebb</w:delText>
              </w:r>
              <w:r w:rsidRPr="00183B5F">
                <w:rPr>
                  <w:rStyle w:val="normaltextrun"/>
                  <w:sz w:val="22"/>
                </w:rPr>
                <w:delText xml:space="preserve"> 80 mg) a 2. héten</w:delText>
              </w:r>
              <w:r w:rsidRPr="00183B5F">
                <w:rPr>
                  <w:rStyle w:val="eop"/>
                </w:rPr>
                <w:delText> </w:delText>
              </w:r>
            </w:del>
          </w:p>
          <w:p w14:paraId="0C7E3CDD" w14:textId="1ECD6E65" w:rsidR="00293353" w:rsidRPr="00183B5F" w:rsidRDefault="00943743" w:rsidP="00293353">
            <w:pPr>
              <w:pStyle w:val="paragraph0"/>
              <w:spacing w:before="0" w:beforeAutospacing="0" w:after="0" w:afterAutospacing="0"/>
              <w:textAlignment w:val="baseline"/>
              <w:rPr>
                <w:del w:id="3349" w:author="AbbVie_HU_03" w:date="2025-05-14T15:27:00Z"/>
                <w:sz w:val="22"/>
                <w:szCs w:val="22"/>
              </w:rPr>
            </w:pPr>
            <w:del w:id="3350" w:author="AbbVie_HU_03" w:date="2025-05-14T15:27:00Z">
              <w:r w:rsidRPr="00183B5F">
                <w:rPr>
                  <w:rStyle w:val="normaltextrun"/>
                  <w:sz w:val="22"/>
                  <w:vertAlign w:val="superscript"/>
                </w:rPr>
                <w:delText>c</w:delText>
              </w:r>
              <w:r w:rsidR="00CD3282" w:rsidRPr="00183B5F">
                <w:rPr>
                  <w:rStyle w:val="normaltextrun"/>
                  <w:sz w:val="22"/>
                  <w:vertAlign w:val="superscript"/>
                </w:rPr>
                <w:delText> </w:delText>
              </w:r>
              <w:r w:rsidRPr="00183B5F">
                <w:rPr>
                  <w:rStyle w:val="normaltextrun"/>
                  <w:sz w:val="22"/>
                </w:rPr>
                <w:delText>Nem tartalmazza a nyílt</w:delText>
              </w:r>
              <w:r w:rsidR="00CD3282" w:rsidRPr="00183B5F">
                <w:rPr>
                  <w:rStyle w:val="normaltextrun"/>
                  <w:sz w:val="22"/>
                </w:rPr>
                <w:delText xml:space="preserve"> elrendezésű</w:delText>
              </w:r>
              <w:r w:rsidRPr="00183B5F">
                <w:rPr>
                  <w:rStyle w:val="normaltextrun"/>
                  <w:sz w:val="22"/>
                </w:rPr>
                <w:delText xml:space="preserve"> </w:delText>
              </w:r>
              <w:r w:rsidR="00CD3282" w:rsidRPr="00183B5F">
                <w:rPr>
                  <w:rStyle w:val="normaltextrun"/>
                  <w:sz w:val="22"/>
                </w:rPr>
                <w:delText xml:space="preserve">Humira </w:delText>
              </w:r>
              <w:r w:rsidRPr="00183B5F">
                <w:rPr>
                  <w:rStyle w:val="normaltextrun"/>
                  <w:sz w:val="22"/>
                </w:rPr>
                <w:delText>indukciós dózist: 2,4 mg/</w:delText>
              </w:r>
              <w:r w:rsidR="002B6005" w:rsidRPr="00183B5F">
                <w:rPr>
                  <w:rStyle w:val="normaltextrun"/>
                  <w:sz w:val="22"/>
                </w:rPr>
                <w:delText>tt</w:delText>
              </w:r>
              <w:r w:rsidRPr="00183B5F">
                <w:rPr>
                  <w:rStyle w:val="normaltextrun"/>
                  <w:sz w:val="22"/>
                </w:rPr>
                <w:delText>kg (</w:delText>
              </w:r>
              <w:r w:rsidR="00CD3282" w:rsidRPr="00183B5F">
                <w:rPr>
                  <w:rStyle w:val="normaltextrun"/>
                  <w:sz w:val="22"/>
                </w:rPr>
                <w:delText>legfeljebb</w:delText>
              </w:r>
              <w:r w:rsidRPr="00183B5F">
                <w:rPr>
                  <w:rStyle w:val="normaltextrun"/>
                  <w:sz w:val="22"/>
                </w:rPr>
                <w:delText xml:space="preserve"> 160 mg) a 0. héten, placebo az 1. héten és 1,2 mg/</w:delText>
              </w:r>
              <w:r w:rsidR="00CD3282" w:rsidRPr="00183B5F">
                <w:rPr>
                  <w:rStyle w:val="normaltextrun"/>
                  <w:sz w:val="22"/>
                </w:rPr>
                <w:delText>tt</w:delText>
              </w:r>
              <w:r w:rsidRPr="00183B5F">
                <w:rPr>
                  <w:rStyle w:val="normaltextrun"/>
                  <w:sz w:val="22"/>
                </w:rPr>
                <w:delText>kg (</w:delText>
              </w:r>
              <w:r w:rsidR="00CD3282" w:rsidRPr="00183B5F">
                <w:rPr>
                  <w:rStyle w:val="normaltextrun"/>
                  <w:sz w:val="22"/>
                </w:rPr>
                <w:delText>legfeljebb</w:delText>
              </w:r>
              <w:r w:rsidRPr="00183B5F">
                <w:rPr>
                  <w:rStyle w:val="normaltextrun"/>
                  <w:sz w:val="22"/>
                </w:rPr>
                <w:delText xml:space="preserve"> 80 mg) a 2. héten</w:delText>
              </w:r>
            </w:del>
          </w:p>
          <w:p w14:paraId="61F1AAA6" w14:textId="717B0600" w:rsidR="00293353" w:rsidRPr="00183B5F" w:rsidRDefault="00943743" w:rsidP="00293353">
            <w:pPr>
              <w:pStyle w:val="paragraph0"/>
              <w:spacing w:before="0" w:beforeAutospacing="0" w:after="0" w:afterAutospacing="0"/>
              <w:textAlignment w:val="baseline"/>
              <w:rPr>
                <w:del w:id="3351" w:author="AbbVie_HU_03" w:date="2025-05-14T15:27:00Z"/>
                <w:sz w:val="22"/>
                <w:szCs w:val="22"/>
              </w:rPr>
            </w:pPr>
            <w:del w:id="3352" w:author="AbbVie_HU_03" w:date="2025-05-14T15:27:00Z">
              <w:r w:rsidRPr="00183B5F">
                <w:rPr>
                  <w:rStyle w:val="normaltextrun"/>
                  <w:sz w:val="22"/>
                </w:rPr>
                <w:delText>1. megjegyzés: Mindkét indukciós csoport 0,6 mg/</w:delText>
              </w:r>
              <w:r w:rsidR="002B6005" w:rsidRPr="00183B5F">
                <w:rPr>
                  <w:rStyle w:val="normaltextrun"/>
                  <w:sz w:val="22"/>
                </w:rPr>
                <w:delText>tt</w:delText>
              </w:r>
              <w:r w:rsidRPr="00183B5F">
                <w:rPr>
                  <w:rStyle w:val="normaltextrun"/>
                  <w:sz w:val="22"/>
                </w:rPr>
                <w:delText>kg-ot (</w:delText>
              </w:r>
              <w:r w:rsidR="00CD3282" w:rsidRPr="00183B5F">
                <w:rPr>
                  <w:rStyle w:val="normaltextrun"/>
                  <w:sz w:val="22"/>
                </w:rPr>
                <w:delText>legfeljebb</w:delText>
              </w:r>
              <w:r w:rsidRPr="00183B5F">
                <w:rPr>
                  <w:rStyle w:val="normaltextrun"/>
                  <w:sz w:val="22"/>
                </w:rPr>
                <w:delText xml:space="preserve"> 40 mg) kapott a 4. és a 6. héten</w:delText>
              </w:r>
              <w:r w:rsidRPr="00183B5F">
                <w:rPr>
                  <w:rStyle w:val="eop"/>
                </w:rPr>
                <w:delText> </w:delText>
              </w:r>
            </w:del>
          </w:p>
          <w:p w14:paraId="0F2C7D45" w14:textId="42C94088" w:rsidR="00293353" w:rsidRPr="00183B5F" w:rsidRDefault="00943743" w:rsidP="00293353">
            <w:pPr>
              <w:pStyle w:val="paragraph0"/>
              <w:spacing w:before="0" w:beforeAutospacing="0" w:after="0" w:afterAutospacing="0"/>
              <w:textAlignment w:val="baseline"/>
              <w:rPr>
                <w:del w:id="3353" w:author="AbbVie_HU_03" w:date="2025-05-14T15:27:00Z"/>
                <w:sz w:val="22"/>
                <w:szCs w:val="22"/>
              </w:rPr>
            </w:pPr>
            <w:del w:id="3354" w:author="AbbVie_HU_03" w:date="2025-05-14T15:27:00Z">
              <w:r w:rsidRPr="00183B5F">
                <w:rPr>
                  <w:rStyle w:val="normaltextrun"/>
                  <w:sz w:val="22"/>
                </w:rPr>
                <w:delText xml:space="preserve">2. megjegyzés: </w:delText>
              </w:r>
              <w:r w:rsidR="00CD3282" w:rsidRPr="00183B5F">
                <w:rPr>
                  <w:rStyle w:val="normaltextrun"/>
                  <w:sz w:val="22"/>
                </w:rPr>
                <w:delText>A</w:delText>
              </w:r>
              <w:r w:rsidRPr="00183B5F">
                <w:rPr>
                  <w:rStyle w:val="normaltextrun"/>
                  <w:sz w:val="22"/>
                </w:rPr>
                <w:delText xml:space="preserve"> 8. héten hiányzó </w:delText>
              </w:r>
              <w:r w:rsidR="00CD3282" w:rsidRPr="00183B5F">
                <w:rPr>
                  <w:rStyle w:val="normaltextrun"/>
                  <w:sz w:val="22"/>
                </w:rPr>
                <w:delText>értékek</w:delText>
              </w:r>
              <w:r w:rsidRPr="00183B5F">
                <w:rPr>
                  <w:rStyle w:val="normaltextrun"/>
                  <w:sz w:val="22"/>
                </w:rPr>
                <w:delText xml:space="preserve"> esetén </w:delText>
              </w:r>
              <w:r w:rsidR="00CD3282" w:rsidRPr="00183B5F">
                <w:rPr>
                  <w:rStyle w:val="normaltextrun"/>
                  <w:sz w:val="22"/>
                </w:rPr>
                <w:delText xml:space="preserve">úgy tekintették, hogy </w:delText>
              </w:r>
              <w:r w:rsidRPr="00183B5F">
                <w:rPr>
                  <w:rStyle w:val="normaltextrun"/>
                  <w:sz w:val="22"/>
                </w:rPr>
                <w:delText>a betegek nem teljesítették a végpontot</w:delText>
              </w:r>
              <w:r w:rsidRPr="00183B5F">
                <w:rPr>
                  <w:rStyle w:val="eop"/>
                </w:rPr>
                <w:delText> </w:delText>
              </w:r>
            </w:del>
          </w:p>
        </w:tc>
      </w:tr>
    </w:tbl>
    <w:p w14:paraId="66248B48" w14:textId="285C1B00" w:rsidR="00293353" w:rsidRPr="00183B5F" w:rsidRDefault="00293353" w:rsidP="00293353">
      <w:pPr>
        <w:spacing w:line="240" w:lineRule="auto"/>
        <w:rPr>
          <w:del w:id="3355" w:author="AbbVie_HU_03" w:date="2025-05-14T15:27:00Z"/>
          <w:rStyle w:val="normaltextrun"/>
          <w:shd w:val="clear" w:color="auto" w:fill="FFFFFF"/>
        </w:rPr>
      </w:pPr>
    </w:p>
    <w:p w14:paraId="2300435E" w14:textId="209240AA" w:rsidR="00293353" w:rsidRPr="00183B5F" w:rsidRDefault="00943743" w:rsidP="00293353">
      <w:pPr>
        <w:spacing w:line="240" w:lineRule="auto"/>
        <w:rPr>
          <w:del w:id="3356" w:author="AbbVie_HU_03" w:date="2025-05-14T15:27:00Z"/>
        </w:rPr>
      </w:pPr>
      <w:del w:id="3357" w:author="AbbVie_HU_03" w:date="2025-05-14T15:27:00Z">
        <w:r w:rsidRPr="00183B5F">
          <w:rPr>
            <w:rStyle w:val="normaltextrun"/>
            <w:shd w:val="clear" w:color="auto" w:fill="FFFFFF"/>
          </w:rPr>
          <w:delText>Az 52. h</w:delText>
        </w:r>
        <w:r w:rsidR="00025E81" w:rsidRPr="00183B5F">
          <w:rPr>
            <w:rStyle w:val="normaltextrun"/>
            <w:shd w:val="clear" w:color="auto" w:fill="FFFFFF"/>
          </w:rPr>
          <w:delText>éten értékelték a</w:delText>
        </w:r>
        <w:r w:rsidR="00DD2923" w:rsidRPr="00183B5F">
          <w:rPr>
            <w:rStyle w:val="normaltextrun"/>
            <w:shd w:val="clear" w:color="auto" w:fill="FFFFFF"/>
          </w:rPr>
          <w:delText>z FMS szerinti</w:delText>
        </w:r>
        <w:r w:rsidRPr="00183B5F">
          <w:rPr>
            <w:rStyle w:val="normaltextrun"/>
            <w:shd w:val="clear" w:color="auto" w:fill="FFFFFF"/>
          </w:rPr>
          <w:delText xml:space="preserve"> klinikai remisszió</w:delText>
        </w:r>
        <w:r w:rsidR="00025E81" w:rsidRPr="00183B5F">
          <w:rPr>
            <w:rStyle w:val="normaltextrun"/>
            <w:shd w:val="clear" w:color="auto" w:fill="FFFFFF"/>
          </w:rPr>
          <w:delText>t</w:delText>
        </w:r>
        <w:r w:rsidRPr="00183B5F">
          <w:rPr>
            <w:rStyle w:val="normaltextrun"/>
            <w:shd w:val="clear" w:color="auto" w:fill="FFFFFF"/>
          </w:rPr>
          <w:delText xml:space="preserve"> a 8. héten</w:delText>
        </w:r>
        <w:r w:rsidR="00DD2923" w:rsidRPr="00183B5F">
          <w:rPr>
            <w:rStyle w:val="normaltextrun"/>
            <w:shd w:val="clear" w:color="auto" w:fill="FFFFFF"/>
          </w:rPr>
          <w:delText xml:space="preserve"> </w:delText>
        </w:r>
        <w:r w:rsidR="00C96EE0" w:rsidRPr="00183B5F">
          <w:rPr>
            <w:rStyle w:val="normaltextrun"/>
            <w:shd w:val="clear" w:color="auto" w:fill="FFFFFF"/>
          </w:rPr>
          <w:delText>választ mutatóknál</w:delText>
        </w:r>
        <w:r w:rsidRPr="00183B5F">
          <w:rPr>
            <w:rStyle w:val="normaltextrun"/>
            <w:shd w:val="clear" w:color="auto" w:fill="FFFFFF"/>
          </w:rPr>
          <w:delText>, az FMS szerinti klinikai válasz</w:delText>
        </w:r>
        <w:r w:rsidR="00025E81" w:rsidRPr="00183B5F">
          <w:rPr>
            <w:rStyle w:val="normaltextrun"/>
            <w:shd w:val="clear" w:color="auto" w:fill="FFFFFF"/>
          </w:rPr>
          <w:delText>t</w:delText>
        </w:r>
        <w:r w:rsidRPr="00183B5F">
          <w:rPr>
            <w:rStyle w:val="normaltextrun"/>
            <w:shd w:val="clear" w:color="auto" w:fill="FFFFFF"/>
          </w:rPr>
          <w:delText xml:space="preserve"> (a Mayo Score ≥ 3 pontos és </w:delText>
        </w:r>
        <w:r w:rsidR="00025E81" w:rsidRPr="00183B5F">
          <w:rPr>
            <w:rStyle w:val="normaltextrun"/>
            <w:shd w:val="clear" w:color="auto" w:fill="FFFFFF"/>
          </w:rPr>
          <w:delText xml:space="preserve">≥ 30%-os csökkenése </w:delText>
        </w:r>
        <w:r w:rsidRPr="00183B5F">
          <w:rPr>
            <w:rStyle w:val="normaltextrun"/>
            <w:shd w:val="clear" w:color="auto" w:fill="FFFFFF"/>
          </w:rPr>
          <w:delText xml:space="preserve">a kiindulási értékhez képest) a 8. héten </w:delText>
        </w:r>
        <w:r w:rsidR="00C96EE0" w:rsidRPr="00183B5F">
          <w:rPr>
            <w:shd w:val="clear" w:color="auto" w:fill="FFFFFF"/>
          </w:rPr>
          <w:delText>választ mutatóknál</w:delText>
        </w:r>
        <w:r w:rsidRPr="00183B5F">
          <w:rPr>
            <w:rStyle w:val="normaltextrun"/>
            <w:shd w:val="clear" w:color="auto" w:fill="FFFFFF"/>
          </w:rPr>
          <w:delText>, a nyálkahártya gyógyulás</w:delText>
        </w:r>
        <w:r w:rsidR="00025E81" w:rsidRPr="00183B5F">
          <w:rPr>
            <w:rStyle w:val="normaltextrun"/>
            <w:shd w:val="clear" w:color="auto" w:fill="FFFFFF"/>
          </w:rPr>
          <w:delText>t</w:delText>
        </w:r>
        <w:r w:rsidRPr="00183B5F">
          <w:rPr>
            <w:rStyle w:val="normaltextrun"/>
            <w:shd w:val="clear" w:color="auto" w:fill="FFFFFF"/>
          </w:rPr>
          <w:delText xml:space="preserve"> (Mayo endoszkópiás </w:delText>
        </w:r>
        <w:r w:rsidR="007112E4" w:rsidRPr="00183B5F">
          <w:rPr>
            <w:rStyle w:val="normaltextrun"/>
            <w:shd w:val="clear" w:color="auto" w:fill="FFFFFF"/>
          </w:rPr>
          <w:delText>al</w:delText>
        </w:r>
        <w:r w:rsidRPr="00183B5F">
          <w:rPr>
            <w:rStyle w:val="normaltextrun"/>
            <w:shd w:val="clear" w:color="auto" w:fill="FFFFFF"/>
          </w:rPr>
          <w:delText>pontszám ≤</w:delText>
        </w:r>
        <w:r w:rsidR="00025E81" w:rsidRPr="00183B5F">
          <w:rPr>
            <w:rStyle w:val="normaltextrun"/>
            <w:shd w:val="clear" w:color="auto" w:fill="FFFFFF"/>
          </w:rPr>
          <w:delText> </w:delText>
        </w:r>
        <w:r w:rsidRPr="00183B5F">
          <w:rPr>
            <w:rStyle w:val="normaltextrun"/>
            <w:shd w:val="clear" w:color="auto" w:fill="FFFFFF"/>
          </w:rPr>
          <w:delText xml:space="preserve">1) a 8. héten </w:delText>
        </w:r>
        <w:r w:rsidR="00C96EE0" w:rsidRPr="00183B5F">
          <w:rPr>
            <w:rStyle w:val="normaltextrun"/>
            <w:shd w:val="clear" w:color="auto" w:fill="FFFFFF"/>
          </w:rPr>
          <w:delText>választ mutatóknál</w:delText>
        </w:r>
        <w:r w:rsidRPr="00183B5F">
          <w:rPr>
            <w:rStyle w:val="normaltextrun"/>
            <w:shd w:val="clear" w:color="auto" w:fill="FFFFFF"/>
          </w:rPr>
          <w:delText>, az FMS szerinti klinikai remisszió</w:delText>
        </w:r>
        <w:r w:rsidR="00025E81" w:rsidRPr="00183B5F">
          <w:rPr>
            <w:rStyle w:val="normaltextrun"/>
            <w:shd w:val="clear" w:color="auto" w:fill="FFFFFF"/>
          </w:rPr>
          <w:delText>t</w:delText>
        </w:r>
        <w:r w:rsidRPr="00183B5F">
          <w:rPr>
            <w:rStyle w:val="normaltextrun"/>
            <w:shd w:val="clear" w:color="auto" w:fill="FFFFFF"/>
          </w:rPr>
          <w:delText xml:space="preserve"> a 8. héten remisszióban lévő betegeknél, valamint az FMS szerinti kortikoszteroidmentes remisszióban lévők arány</w:delText>
        </w:r>
        <w:r w:rsidR="00025E81" w:rsidRPr="00183B5F">
          <w:rPr>
            <w:rStyle w:val="normaltextrun"/>
            <w:shd w:val="clear" w:color="auto" w:fill="FFFFFF"/>
          </w:rPr>
          <w:delText>át</w:delText>
        </w:r>
        <w:r w:rsidRPr="00183B5F">
          <w:rPr>
            <w:rStyle w:val="normaltextrun"/>
            <w:shd w:val="clear" w:color="auto" w:fill="FFFFFF"/>
          </w:rPr>
          <w:delText xml:space="preserve"> a 8. héten </w:delText>
        </w:r>
        <w:r w:rsidR="00C96EE0" w:rsidRPr="00183B5F">
          <w:rPr>
            <w:rStyle w:val="normaltextrun"/>
            <w:shd w:val="clear" w:color="auto" w:fill="FFFFFF"/>
          </w:rPr>
          <w:delText xml:space="preserve">választ mutatóknál </w:delText>
        </w:r>
        <w:r w:rsidRPr="00183B5F">
          <w:rPr>
            <w:rStyle w:val="normaltextrun"/>
            <w:shd w:val="clear" w:color="auto" w:fill="FFFFFF"/>
          </w:rPr>
          <w:delText>azok</w:delText>
        </w:r>
        <w:r w:rsidR="00025E81" w:rsidRPr="00183B5F">
          <w:rPr>
            <w:rStyle w:val="normaltextrun"/>
            <w:shd w:val="clear" w:color="auto" w:fill="FFFFFF"/>
          </w:rPr>
          <w:delText>nak a betegeknek körében</w:delText>
        </w:r>
        <w:r w:rsidRPr="00183B5F">
          <w:rPr>
            <w:rStyle w:val="normaltextrun"/>
            <w:shd w:val="clear" w:color="auto" w:fill="FFFFFF"/>
          </w:rPr>
          <w:delText>, akik kettős</w:delText>
        </w:r>
        <w:r w:rsidR="00025E81" w:rsidRPr="00183B5F">
          <w:rPr>
            <w:rStyle w:val="normaltextrun"/>
            <w:shd w:val="clear" w:color="auto" w:fill="FFFFFF"/>
          </w:rPr>
          <w:delText xml:space="preserve"> </w:delText>
        </w:r>
        <w:r w:rsidRPr="00183B5F">
          <w:rPr>
            <w:rStyle w:val="normaltextrun"/>
            <w:shd w:val="clear" w:color="auto" w:fill="FFFFFF"/>
          </w:rPr>
          <w:delText>vak elrendezésben</w:delText>
        </w:r>
        <w:r w:rsidR="00025E81" w:rsidRPr="00183B5F">
          <w:rPr>
            <w:rStyle w:val="normaltextrun"/>
            <w:shd w:val="clear" w:color="auto" w:fill="FFFFFF"/>
          </w:rPr>
          <w:delText xml:space="preserve"> kéthetente legfeljebb </w:delText>
        </w:r>
        <w:r w:rsidRPr="00183B5F">
          <w:rPr>
            <w:rStyle w:val="normaltextrun"/>
            <w:shd w:val="clear" w:color="auto" w:fill="FFFFFF"/>
          </w:rPr>
          <w:delText>40 mg/hét (0,6 mg/</w:delText>
        </w:r>
        <w:r w:rsidR="009134E6" w:rsidRPr="00183B5F">
          <w:rPr>
            <w:rStyle w:val="normaltextrun"/>
            <w:shd w:val="clear" w:color="auto" w:fill="FFFFFF"/>
          </w:rPr>
          <w:delText>tt</w:delText>
        </w:r>
        <w:r w:rsidRPr="00183B5F">
          <w:rPr>
            <w:rStyle w:val="normaltextrun"/>
            <w:shd w:val="clear" w:color="auto" w:fill="FFFFFF"/>
          </w:rPr>
          <w:delText>kg)</w:delText>
        </w:r>
        <w:r w:rsidR="00025E81" w:rsidRPr="00183B5F">
          <w:rPr>
            <w:rStyle w:val="normaltextrun"/>
            <w:shd w:val="clear" w:color="auto" w:fill="FFFFFF"/>
          </w:rPr>
          <w:delText xml:space="preserve"> </w:delText>
        </w:r>
        <w:r w:rsidRPr="00183B5F">
          <w:rPr>
            <w:rStyle w:val="normaltextrun"/>
            <w:shd w:val="clear" w:color="auto" w:fill="FFFFFF"/>
          </w:rPr>
          <w:delText>és</w:delText>
        </w:r>
        <w:r w:rsidR="00025E81" w:rsidRPr="00183B5F">
          <w:rPr>
            <w:rStyle w:val="normaltextrun"/>
            <w:shd w:val="clear" w:color="auto" w:fill="FFFFFF"/>
          </w:rPr>
          <w:delText xml:space="preserve"> hetente</w:delText>
        </w:r>
        <w:r w:rsidRPr="00183B5F">
          <w:rPr>
            <w:rStyle w:val="normaltextrun"/>
            <w:shd w:val="clear" w:color="auto" w:fill="FFFFFF"/>
          </w:rPr>
          <w:delText xml:space="preserve"> </w:delText>
        </w:r>
        <w:r w:rsidR="00025E81" w:rsidRPr="00183B5F">
          <w:rPr>
            <w:rStyle w:val="normaltextrun"/>
            <w:shd w:val="clear" w:color="auto" w:fill="FFFFFF"/>
          </w:rPr>
          <w:delText>legfeljebb</w:delText>
        </w:r>
        <w:r w:rsidRPr="00183B5F">
          <w:rPr>
            <w:rStyle w:val="normaltextrun"/>
            <w:shd w:val="clear" w:color="auto" w:fill="FFFFFF"/>
          </w:rPr>
          <w:delText xml:space="preserve"> 40 mg (0,6 mg/</w:delText>
        </w:r>
        <w:r w:rsidR="009134E6" w:rsidRPr="00183B5F">
          <w:rPr>
            <w:rStyle w:val="normaltextrun"/>
            <w:shd w:val="clear" w:color="auto" w:fill="FFFFFF"/>
          </w:rPr>
          <w:delText>tt</w:delText>
        </w:r>
        <w:r w:rsidRPr="00183B5F">
          <w:rPr>
            <w:rStyle w:val="normaltextrun"/>
            <w:shd w:val="clear" w:color="auto" w:fill="FFFFFF"/>
          </w:rPr>
          <w:delText>kg)</w:delText>
        </w:r>
        <w:r w:rsidR="00025E81" w:rsidRPr="00183B5F">
          <w:rPr>
            <w:rStyle w:val="normaltextrun"/>
            <w:shd w:val="clear" w:color="auto" w:fill="FFFFFF"/>
          </w:rPr>
          <w:delText xml:space="preserve"> </w:delText>
        </w:r>
        <w:r w:rsidRPr="00183B5F">
          <w:rPr>
            <w:rStyle w:val="normaltextrun"/>
            <w:shd w:val="clear" w:color="auto" w:fill="FFFFFF"/>
          </w:rPr>
          <w:delText>fenntartó dózis</w:delText>
        </w:r>
        <w:r w:rsidR="00025E81" w:rsidRPr="00183B5F">
          <w:rPr>
            <w:rStyle w:val="normaltextrun"/>
            <w:shd w:val="clear" w:color="auto" w:fill="FFFFFF"/>
          </w:rPr>
          <w:delText xml:space="preserve"> Humira-t kaptak</w:delText>
        </w:r>
        <w:r w:rsidR="00A84DFB" w:rsidRPr="00183B5F">
          <w:rPr>
            <w:rStyle w:val="normaltextrun"/>
            <w:shd w:val="clear" w:color="auto" w:fill="FFFFFF"/>
          </w:rPr>
          <w:delText xml:space="preserve"> </w:delText>
        </w:r>
        <w:r w:rsidRPr="00183B5F">
          <w:rPr>
            <w:rStyle w:val="normaltextrun"/>
            <w:shd w:val="clear" w:color="auto" w:fill="FFFFFF"/>
          </w:rPr>
          <w:delText>(27. táblázat).</w:delText>
        </w:r>
      </w:del>
    </w:p>
    <w:p w14:paraId="5C252A70" w14:textId="25C77E9E" w:rsidR="00293353" w:rsidRPr="00183B5F" w:rsidRDefault="00293353" w:rsidP="00293353">
      <w:pPr>
        <w:spacing w:line="240" w:lineRule="auto"/>
        <w:rPr>
          <w:del w:id="3358" w:author="AbbVie_HU_03" w:date="2025-05-14T15:27:00Z"/>
        </w:rPr>
      </w:pPr>
    </w:p>
    <w:p w14:paraId="18D9FADC" w14:textId="3605ECE4" w:rsidR="00293353" w:rsidRPr="00183B5F" w:rsidRDefault="00943743" w:rsidP="00FE0197">
      <w:pPr>
        <w:keepNext/>
        <w:spacing w:line="240" w:lineRule="auto"/>
        <w:jc w:val="center"/>
        <w:textAlignment w:val="baseline"/>
        <w:rPr>
          <w:del w:id="3359" w:author="AbbVie_HU_03" w:date="2025-05-14T15:27:00Z"/>
        </w:rPr>
      </w:pPr>
      <w:del w:id="3360" w:author="AbbVie_HU_03" w:date="2025-05-14T15:27:00Z">
        <w:r w:rsidRPr="00183B5F">
          <w:rPr>
            <w:b/>
          </w:rPr>
          <w:delText>27. táblázat: Hatásossági eredmények az 52. héten</w:delText>
        </w:r>
        <w:r w:rsidRPr="00183B5F">
          <w:delText> </w:delText>
        </w:r>
      </w:del>
    </w:p>
    <w:p w14:paraId="7D797A2C" w14:textId="1C5DAE2A" w:rsidR="00293353" w:rsidRPr="00183B5F" w:rsidRDefault="00293353" w:rsidP="00FE0197">
      <w:pPr>
        <w:keepNext/>
        <w:spacing w:line="240" w:lineRule="auto"/>
        <w:jc w:val="center"/>
        <w:textAlignment w:val="baseline"/>
        <w:rPr>
          <w:del w:id="3361" w:author="AbbVie_HU_03" w:date="2025-05-14T15:27:00Z"/>
          <w:lang w:eastAsia="en-GB"/>
        </w:rPr>
      </w:pP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7"/>
        <w:gridCol w:w="2728"/>
        <w:gridCol w:w="2543"/>
      </w:tblGrid>
      <w:tr w:rsidR="00011D2F" w14:paraId="2F30D86C" w14:textId="44FE8955" w:rsidTr="00293353">
        <w:trPr>
          <w:trHeight w:val="912"/>
          <w:jc w:val="center"/>
          <w:del w:id="3362" w:author="AbbVie_HU_03" w:date="2025-05-14T15:27:00Z"/>
        </w:trPr>
        <w:tc>
          <w:tcPr>
            <w:tcW w:w="2526" w:type="dxa"/>
            <w:tcBorders>
              <w:top w:val="single" w:sz="6" w:space="0" w:color="auto"/>
              <w:left w:val="single" w:sz="6" w:space="0" w:color="auto"/>
              <w:bottom w:val="single" w:sz="6" w:space="0" w:color="auto"/>
              <w:right w:val="single" w:sz="6" w:space="0" w:color="auto"/>
            </w:tcBorders>
            <w:hideMark/>
          </w:tcPr>
          <w:p w14:paraId="3850E94A" w14:textId="50EF31BC" w:rsidR="00293353" w:rsidRPr="00183B5F" w:rsidRDefault="00293353" w:rsidP="00FE0197">
            <w:pPr>
              <w:keepNext/>
              <w:spacing w:line="240" w:lineRule="auto"/>
              <w:jc w:val="center"/>
              <w:textAlignment w:val="baseline"/>
              <w:rPr>
                <w:del w:id="3363" w:author="AbbVie_HU_03" w:date="2025-05-14T15:27:00Z"/>
                <w:lang w:eastAsia="en-GB"/>
              </w:rPr>
            </w:pPr>
          </w:p>
        </w:tc>
        <w:tc>
          <w:tcPr>
            <w:tcW w:w="2409" w:type="dxa"/>
            <w:tcBorders>
              <w:top w:val="single" w:sz="6" w:space="0" w:color="auto"/>
              <w:left w:val="nil"/>
              <w:bottom w:val="single" w:sz="6" w:space="0" w:color="auto"/>
              <w:right w:val="single" w:sz="6" w:space="0" w:color="auto"/>
            </w:tcBorders>
            <w:vAlign w:val="center"/>
            <w:hideMark/>
          </w:tcPr>
          <w:p w14:paraId="131286BD" w14:textId="3CC9DB17" w:rsidR="00293353" w:rsidRPr="00183B5F" w:rsidRDefault="00943743" w:rsidP="00FE0197">
            <w:pPr>
              <w:keepNext/>
              <w:spacing w:line="240" w:lineRule="auto"/>
              <w:jc w:val="center"/>
              <w:textAlignment w:val="baseline"/>
              <w:rPr>
                <w:del w:id="3364" w:author="AbbVie_HU_03" w:date="2025-05-14T15:27:00Z"/>
              </w:rPr>
            </w:pPr>
            <w:del w:id="3365" w:author="AbbVie_HU_03" w:date="2025-05-14T15:27:00Z">
              <w:r w:rsidRPr="00183B5F">
                <w:rPr>
                  <w:b/>
                </w:rPr>
                <w:delText>Humira</w:delText>
              </w:r>
              <w:r w:rsidRPr="00183B5F">
                <w:rPr>
                  <w:b/>
                  <w:vertAlign w:val="superscript"/>
                </w:rPr>
                <w:delText>a</w:delText>
              </w:r>
              <w:r w:rsidRPr="00183B5F">
                <w:rPr>
                  <w:b/>
                </w:rPr>
                <w:delText> </w:delText>
              </w:r>
              <w:r w:rsidRPr="00183B5F">
                <w:delText> </w:delText>
              </w:r>
            </w:del>
          </w:p>
          <w:p w14:paraId="48C7C5BE" w14:textId="02E98E07" w:rsidR="00293353" w:rsidRPr="00183B5F" w:rsidRDefault="00943743" w:rsidP="00FE0197">
            <w:pPr>
              <w:keepNext/>
              <w:spacing w:line="240" w:lineRule="auto"/>
              <w:jc w:val="center"/>
              <w:textAlignment w:val="baseline"/>
              <w:rPr>
                <w:del w:id="3366" w:author="AbbVie_HU_03" w:date="2025-05-14T15:27:00Z"/>
              </w:rPr>
            </w:pPr>
            <w:del w:id="3367" w:author="AbbVie_HU_03" w:date="2025-05-14T15:27:00Z">
              <w:r w:rsidRPr="00183B5F">
                <w:rPr>
                  <w:b/>
                  <w:bCs/>
                </w:rPr>
                <w:delText>Legfeljebb 40 mg kéthetente </w:delText>
              </w:r>
            </w:del>
          </w:p>
          <w:p w14:paraId="32F9F5FF" w14:textId="22E54DF1" w:rsidR="00293353" w:rsidRPr="00183B5F" w:rsidRDefault="00943743" w:rsidP="00FE0197">
            <w:pPr>
              <w:keepNext/>
              <w:spacing w:line="240" w:lineRule="auto"/>
              <w:jc w:val="center"/>
              <w:textAlignment w:val="baseline"/>
              <w:rPr>
                <w:del w:id="3368" w:author="AbbVie_HU_03" w:date="2025-05-14T15:27:00Z"/>
              </w:rPr>
            </w:pPr>
            <w:del w:id="3369" w:author="AbbVie_HU_03" w:date="2025-05-14T15:27:00Z">
              <w:r w:rsidRPr="00183B5F">
                <w:delText>N=31</w:delText>
              </w:r>
            </w:del>
          </w:p>
        </w:tc>
        <w:tc>
          <w:tcPr>
            <w:tcW w:w="2633" w:type="dxa"/>
            <w:tcBorders>
              <w:top w:val="single" w:sz="6" w:space="0" w:color="auto"/>
              <w:left w:val="nil"/>
              <w:bottom w:val="single" w:sz="6" w:space="0" w:color="auto"/>
              <w:right w:val="single" w:sz="6" w:space="0" w:color="auto"/>
            </w:tcBorders>
            <w:vAlign w:val="center"/>
            <w:hideMark/>
          </w:tcPr>
          <w:p w14:paraId="3A5F07A9" w14:textId="429DC6DF" w:rsidR="00293353" w:rsidRPr="00183B5F" w:rsidRDefault="00943743" w:rsidP="00FE0197">
            <w:pPr>
              <w:keepNext/>
              <w:spacing w:line="240" w:lineRule="auto"/>
              <w:jc w:val="center"/>
              <w:textAlignment w:val="baseline"/>
              <w:rPr>
                <w:del w:id="3370" w:author="AbbVie_HU_03" w:date="2025-05-14T15:27:00Z"/>
              </w:rPr>
            </w:pPr>
            <w:del w:id="3371" w:author="AbbVie_HU_03" w:date="2025-05-14T15:27:00Z">
              <w:r w:rsidRPr="00183B5F">
                <w:rPr>
                  <w:b/>
                </w:rPr>
                <w:delText>Humira</w:delText>
              </w:r>
              <w:r w:rsidRPr="00183B5F">
                <w:rPr>
                  <w:b/>
                  <w:vertAlign w:val="superscript"/>
                </w:rPr>
                <w:delText>b</w:delText>
              </w:r>
              <w:r w:rsidRPr="00183B5F">
                <w:rPr>
                  <w:b/>
                </w:rPr>
                <w:delText> </w:delText>
              </w:r>
              <w:r w:rsidRPr="00183B5F">
                <w:delText> </w:delText>
              </w:r>
            </w:del>
          </w:p>
          <w:p w14:paraId="6AB5B7EE" w14:textId="0135A88B" w:rsidR="00293353" w:rsidRPr="00183B5F" w:rsidRDefault="00943743" w:rsidP="00FE0197">
            <w:pPr>
              <w:keepNext/>
              <w:spacing w:line="240" w:lineRule="auto"/>
              <w:jc w:val="center"/>
              <w:textAlignment w:val="baseline"/>
              <w:rPr>
                <w:del w:id="3372" w:author="AbbVie_HU_03" w:date="2025-05-14T15:27:00Z"/>
              </w:rPr>
            </w:pPr>
            <w:del w:id="3373" w:author="AbbVie_HU_03" w:date="2025-05-14T15:27:00Z">
              <w:r w:rsidRPr="00183B5F">
                <w:rPr>
                  <w:b/>
                  <w:bCs/>
                </w:rPr>
                <w:delText>Legfeljebb 40 mg hetente</w:delText>
              </w:r>
              <w:r w:rsidRPr="00183B5F">
                <w:delText> </w:delText>
              </w:r>
            </w:del>
          </w:p>
          <w:p w14:paraId="585E27FC" w14:textId="58A1747B" w:rsidR="00293353" w:rsidRPr="00183B5F" w:rsidRDefault="00943743" w:rsidP="00FE0197">
            <w:pPr>
              <w:keepNext/>
              <w:spacing w:line="240" w:lineRule="auto"/>
              <w:jc w:val="center"/>
              <w:textAlignment w:val="baseline"/>
              <w:rPr>
                <w:del w:id="3374" w:author="AbbVie_HU_03" w:date="2025-05-14T15:27:00Z"/>
              </w:rPr>
            </w:pPr>
            <w:del w:id="3375" w:author="AbbVie_HU_03" w:date="2025-05-14T15:27:00Z">
              <w:r w:rsidRPr="00183B5F">
                <w:delText>N=31</w:delText>
              </w:r>
            </w:del>
          </w:p>
        </w:tc>
      </w:tr>
      <w:tr w:rsidR="00011D2F" w14:paraId="581EA55B" w14:textId="41D92DF7" w:rsidTr="00293353">
        <w:trPr>
          <w:trHeight w:val="570"/>
          <w:jc w:val="center"/>
          <w:del w:id="3376" w:author="AbbVie_HU_03" w:date="2025-05-14T15:27:00Z"/>
        </w:trPr>
        <w:tc>
          <w:tcPr>
            <w:tcW w:w="2526" w:type="dxa"/>
            <w:tcBorders>
              <w:top w:val="nil"/>
              <w:left w:val="single" w:sz="6" w:space="0" w:color="auto"/>
              <w:bottom w:val="single" w:sz="6" w:space="0" w:color="auto"/>
              <w:right w:val="single" w:sz="6" w:space="0" w:color="auto"/>
            </w:tcBorders>
            <w:vAlign w:val="center"/>
            <w:hideMark/>
          </w:tcPr>
          <w:p w14:paraId="7FEB73F5" w14:textId="772D2532" w:rsidR="00293353" w:rsidRPr="00183B5F" w:rsidRDefault="00943743" w:rsidP="00FE0197">
            <w:pPr>
              <w:keepNext/>
              <w:spacing w:line="240" w:lineRule="auto"/>
              <w:textAlignment w:val="baseline"/>
              <w:rPr>
                <w:del w:id="3377" w:author="AbbVie_HU_03" w:date="2025-05-14T15:27:00Z"/>
              </w:rPr>
            </w:pPr>
            <w:del w:id="3378" w:author="AbbVie_HU_03" w:date="2025-05-14T15:27:00Z">
              <w:r w:rsidRPr="00183B5F">
                <w:delText xml:space="preserve">Klinikai remisszió a 8. héten PMS szerint </w:delText>
              </w:r>
              <w:r w:rsidR="00D81D3E" w:rsidRPr="00183B5F">
                <w:rPr>
                  <w:rStyle w:val="normaltextrun"/>
                  <w:shd w:val="clear" w:color="auto" w:fill="FFFFFF"/>
                </w:rPr>
                <w:delText>választ mutatóknál</w:delText>
              </w:r>
              <w:r w:rsidRPr="00183B5F">
                <w:delText> </w:delText>
              </w:r>
            </w:del>
          </w:p>
        </w:tc>
        <w:tc>
          <w:tcPr>
            <w:tcW w:w="2409" w:type="dxa"/>
            <w:tcBorders>
              <w:top w:val="nil"/>
              <w:left w:val="nil"/>
              <w:bottom w:val="single" w:sz="6" w:space="0" w:color="auto"/>
              <w:right w:val="single" w:sz="6" w:space="0" w:color="auto"/>
            </w:tcBorders>
            <w:vAlign w:val="center"/>
            <w:hideMark/>
          </w:tcPr>
          <w:p w14:paraId="06CC7E36" w14:textId="7BFE522C" w:rsidR="00293353" w:rsidRPr="00183B5F" w:rsidRDefault="00943743" w:rsidP="00FE0197">
            <w:pPr>
              <w:keepNext/>
              <w:spacing w:line="240" w:lineRule="auto"/>
              <w:jc w:val="center"/>
              <w:textAlignment w:val="baseline"/>
              <w:rPr>
                <w:del w:id="3379" w:author="AbbVie_HU_03" w:date="2025-05-14T15:27:00Z"/>
              </w:rPr>
            </w:pPr>
            <w:del w:id="3380" w:author="AbbVie_HU_03" w:date="2025-05-14T15:27:00Z">
              <w:r w:rsidRPr="00183B5F">
                <w:delText>9/31 (29,0%) </w:delText>
              </w:r>
            </w:del>
          </w:p>
        </w:tc>
        <w:tc>
          <w:tcPr>
            <w:tcW w:w="2633" w:type="dxa"/>
            <w:tcBorders>
              <w:top w:val="nil"/>
              <w:left w:val="nil"/>
              <w:bottom w:val="single" w:sz="6" w:space="0" w:color="auto"/>
              <w:right w:val="single" w:sz="6" w:space="0" w:color="auto"/>
            </w:tcBorders>
            <w:vAlign w:val="center"/>
            <w:hideMark/>
          </w:tcPr>
          <w:p w14:paraId="6E128900" w14:textId="22235DFB" w:rsidR="00293353" w:rsidRPr="00183B5F" w:rsidRDefault="00943743" w:rsidP="00FE0197">
            <w:pPr>
              <w:keepNext/>
              <w:spacing w:line="240" w:lineRule="auto"/>
              <w:jc w:val="center"/>
              <w:textAlignment w:val="baseline"/>
              <w:rPr>
                <w:del w:id="3381" w:author="AbbVie_HU_03" w:date="2025-05-14T15:27:00Z"/>
              </w:rPr>
            </w:pPr>
            <w:del w:id="3382" w:author="AbbVie_HU_03" w:date="2025-05-14T15:27:00Z">
              <w:r w:rsidRPr="00183B5F">
                <w:delText>14/31 (45,2%)</w:delText>
              </w:r>
            </w:del>
          </w:p>
        </w:tc>
      </w:tr>
      <w:tr w:rsidR="00011D2F" w14:paraId="18DE4EBC" w14:textId="38F39A4A" w:rsidTr="00293353">
        <w:trPr>
          <w:trHeight w:val="555"/>
          <w:jc w:val="center"/>
          <w:del w:id="3383" w:author="AbbVie_HU_03" w:date="2025-05-14T15:27:00Z"/>
        </w:trPr>
        <w:tc>
          <w:tcPr>
            <w:tcW w:w="2526" w:type="dxa"/>
            <w:tcBorders>
              <w:top w:val="nil"/>
              <w:left w:val="single" w:sz="6" w:space="0" w:color="auto"/>
              <w:bottom w:val="single" w:sz="6" w:space="0" w:color="auto"/>
              <w:right w:val="single" w:sz="6" w:space="0" w:color="auto"/>
            </w:tcBorders>
            <w:vAlign w:val="center"/>
            <w:hideMark/>
          </w:tcPr>
          <w:p w14:paraId="2ABA84AD" w14:textId="4B8AAADA" w:rsidR="00293353" w:rsidRPr="00183B5F" w:rsidRDefault="00943743" w:rsidP="00293353">
            <w:pPr>
              <w:spacing w:line="240" w:lineRule="auto"/>
              <w:textAlignment w:val="baseline"/>
              <w:rPr>
                <w:del w:id="3384" w:author="AbbVie_HU_03" w:date="2025-05-14T15:27:00Z"/>
              </w:rPr>
            </w:pPr>
            <w:del w:id="3385" w:author="AbbVie_HU_03" w:date="2025-05-14T15:27:00Z">
              <w:r w:rsidRPr="00183B5F">
                <w:delText xml:space="preserve">Klinikai válasz a 8. héten  PMS szerinti </w:delText>
              </w:r>
              <w:r w:rsidR="00D81D3E" w:rsidRPr="00183B5F">
                <w:rPr>
                  <w:rStyle w:val="normaltextrun"/>
                  <w:shd w:val="clear" w:color="auto" w:fill="FFFFFF"/>
                </w:rPr>
                <w:delText>választ mutatóknál</w:delText>
              </w:r>
            </w:del>
          </w:p>
        </w:tc>
        <w:tc>
          <w:tcPr>
            <w:tcW w:w="2409" w:type="dxa"/>
            <w:tcBorders>
              <w:top w:val="nil"/>
              <w:left w:val="nil"/>
              <w:bottom w:val="single" w:sz="6" w:space="0" w:color="auto"/>
              <w:right w:val="single" w:sz="6" w:space="0" w:color="auto"/>
            </w:tcBorders>
            <w:vAlign w:val="center"/>
            <w:hideMark/>
          </w:tcPr>
          <w:p w14:paraId="5080BAE9" w14:textId="405285FA" w:rsidR="00293353" w:rsidRPr="00183B5F" w:rsidRDefault="00943743" w:rsidP="00293353">
            <w:pPr>
              <w:spacing w:line="240" w:lineRule="auto"/>
              <w:jc w:val="center"/>
              <w:textAlignment w:val="baseline"/>
              <w:rPr>
                <w:del w:id="3386" w:author="AbbVie_HU_03" w:date="2025-05-14T15:27:00Z"/>
              </w:rPr>
            </w:pPr>
            <w:del w:id="3387" w:author="AbbVie_HU_03" w:date="2025-05-14T15:27:00Z">
              <w:r w:rsidRPr="00183B5F">
                <w:delText>19/31 (61,3%) </w:delText>
              </w:r>
            </w:del>
          </w:p>
        </w:tc>
        <w:tc>
          <w:tcPr>
            <w:tcW w:w="2633" w:type="dxa"/>
            <w:tcBorders>
              <w:top w:val="nil"/>
              <w:left w:val="nil"/>
              <w:bottom w:val="single" w:sz="6" w:space="0" w:color="auto"/>
              <w:right w:val="single" w:sz="6" w:space="0" w:color="auto"/>
            </w:tcBorders>
            <w:vAlign w:val="center"/>
            <w:hideMark/>
          </w:tcPr>
          <w:p w14:paraId="758F6338" w14:textId="1E0ECDA3" w:rsidR="00293353" w:rsidRPr="00183B5F" w:rsidRDefault="00943743" w:rsidP="00293353">
            <w:pPr>
              <w:spacing w:line="240" w:lineRule="auto"/>
              <w:jc w:val="center"/>
              <w:textAlignment w:val="baseline"/>
              <w:rPr>
                <w:del w:id="3388" w:author="AbbVie_HU_03" w:date="2025-05-14T15:27:00Z"/>
              </w:rPr>
            </w:pPr>
            <w:del w:id="3389" w:author="AbbVie_HU_03" w:date="2025-05-14T15:27:00Z">
              <w:r w:rsidRPr="00183B5F">
                <w:delText>21/31 (67,7%) </w:delText>
              </w:r>
            </w:del>
          </w:p>
        </w:tc>
      </w:tr>
      <w:tr w:rsidR="00011D2F" w14:paraId="4EC283E5" w14:textId="4B05DEF7" w:rsidTr="00293353">
        <w:trPr>
          <w:jc w:val="center"/>
          <w:del w:id="3390" w:author="AbbVie_HU_03" w:date="2025-05-14T15:27:00Z"/>
        </w:trPr>
        <w:tc>
          <w:tcPr>
            <w:tcW w:w="2526" w:type="dxa"/>
            <w:tcBorders>
              <w:top w:val="nil"/>
              <w:left w:val="single" w:sz="6" w:space="0" w:color="auto"/>
              <w:bottom w:val="single" w:sz="6" w:space="0" w:color="auto"/>
              <w:right w:val="single" w:sz="6" w:space="0" w:color="auto"/>
            </w:tcBorders>
            <w:vAlign w:val="center"/>
            <w:hideMark/>
          </w:tcPr>
          <w:p w14:paraId="237F51A6" w14:textId="7DB49A19" w:rsidR="00293353" w:rsidRPr="00183B5F" w:rsidRDefault="00943743" w:rsidP="00293353">
            <w:pPr>
              <w:spacing w:line="240" w:lineRule="auto"/>
              <w:textAlignment w:val="baseline"/>
              <w:rPr>
                <w:del w:id="3391" w:author="AbbVie_HU_03" w:date="2025-05-14T15:27:00Z"/>
              </w:rPr>
            </w:pPr>
            <w:del w:id="3392" w:author="AbbVie_HU_03" w:date="2025-05-14T15:27:00Z">
              <w:r w:rsidRPr="00183B5F">
                <w:delText xml:space="preserve">Nyálkahártya-gyógyulás a 8. héten PMS szerint </w:delText>
              </w:r>
              <w:r w:rsidR="00D81D3E" w:rsidRPr="00183B5F">
                <w:rPr>
                  <w:rStyle w:val="normaltextrun"/>
                  <w:shd w:val="clear" w:color="auto" w:fill="FFFFFF"/>
                </w:rPr>
                <w:delText>választ mutatóknál</w:delText>
              </w:r>
              <w:r w:rsidRPr="00183B5F">
                <w:delText> </w:delText>
              </w:r>
            </w:del>
          </w:p>
        </w:tc>
        <w:tc>
          <w:tcPr>
            <w:tcW w:w="2409" w:type="dxa"/>
            <w:tcBorders>
              <w:top w:val="nil"/>
              <w:left w:val="nil"/>
              <w:bottom w:val="single" w:sz="6" w:space="0" w:color="auto"/>
              <w:right w:val="single" w:sz="6" w:space="0" w:color="auto"/>
            </w:tcBorders>
            <w:vAlign w:val="center"/>
            <w:hideMark/>
          </w:tcPr>
          <w:p w14:paraId="666C0E7E" w14:textId="57AA95DC" w:rsidR="00293353" w:rsidRPr="00183B5F" w:rsidRDefault="00943743" w:rsidP="00293353">
            <w:pPr>
              <w:spacing w:line="240" w:lineRule="auto"/>
              <w:jc w:val="center"/>
              <w:textAlignment w:val="baseline"/>
              <w:rPr>
                <w:del w:id="3393" w:author="AbbVie_HU_03" w:date="2025-05-14T15:27:00Z"/>
              </w:rPr>
            </w:pPr>
            <w:del w:id="3394" w:author="AbbVie_HU_03" w:date="2025-05-14T15:27:00Z">
              <w:r w:rsidRPr="00183B5F">
                <w:delText>12/31 (38,7%) </w:delText>
              </w:r>
            </w:del>
          </w:p>
        </w:tc>
        <w:tc>
          <w:tcPr>
            <w:tcW w:w="2633" w:type="dxa"/>
            <w:tcBorders>
              <w:top w:val="nil"/>
              <w:left w:val="nil"/>
              <w:bottom w:val="single" w:sz="6" w:space="0" w:color="auto"/>
              <w:right w:val="single" w:sz="6" w:space="0" w:color="auto"/>
            </w:tcBorders>
            <w:vAlign w:val="center"/>
            <w:hideMark/>
          </w:tcPr>
          <w:p w14:paraId="5A74D2A9" w14:textId="38630D66" w:rsidR="00293353" w:rsidRPr="00183B5F" w:rsidRDefault="00943743" w:rsidP="00293353">
            <w:pPr>
              <w:spacing w:line="240" w:lineRule="auto"/>
              <w:jc w:val="center"/>
              <w:textAlignment w:val="baseline"/>
              <w:rPr>
                <w:del w:id="3395" w:author="AbbVie_HU_03" w:date="2025-05-14T15:27:00Z"/>
              </w:rPr>
            </w:pPr>
            <w:del w:id="3396" w:author="AbbVie_HU_03" w:date="2025-05-14T15:27:00Z">
              <w:r w:rsidRPr="00183B5F">
                <w:delText>16/31 (51,6%) </w:delText>
              </w:r>
            </w:del>
          </w:p>
        </w:tc>
      </w:tr>
      <w:tr w:rsidR="00011D2F" w14:paraId="30BEF80B" w14:textId="75499409" w:rsidTr="00293353">
        <w:trPr>
          <w:jc w:val="center"/>
          <w:del w:id="3397" w:author="AbbVie_HU_03" w:date="2025-05-14T15:27:00Z"/>
        </w:trPr>
        <w:tc>
          <w:tcPr>
            <w:tcW w:w="2526" w:type="dxa"/>
            <w:tcBorders>
              <w:top w:val="nil"/>
              <w:left w:val="single" w:sz="6" w:space="0" w:color="auto"/>
              <w:bottom w:val="single" w:sz="6" w:space="0" w:color="auto"/>
              <w:right w:val="single" w:sz="6" w:space="0" w:color="auto"/>
            </w:tcBorders>
            <w:vAlign w:val="center"/>
            <w:hideMark/>
          </w:tcPr>
          <w:p w14:paraId="174AD49E" w14:textId="42E83A31" w:rsidR="00293353" w:rsidRPr="00183B5F" w:rsidRDefault="00943743" w:rsidP="00293353">
            <w:pPr>
              <w:spacing w:line="240" w:lineRule="auto"/>
              <w:textAlignment w:val="baseline"/>
              <w:rPr>
                <w:del w:id="3398" w:author="AbbVie_HU_03" w:date="2025-05-14T15:27:00Z"/>
              </w:rPr>
            </w:pPr>
            <w:del w:id="3399" w:author="AbbVie_HU_03" w:date="2025-05-14T15:27:00Z">
              <w:r w:rsidRPr="00183B5F">
                <w:delText>Klinikai remisszió a 8. héten PMS szerint remisszióban lévőknél </w:delText>
              </w:r>
            </w:del>
          </w:p>
        </w:tc>
        <w:tc>
          <w:tcPr>
            <w:tcW w:w="2409" w:type="dxa"/>
            <w:tcBorders>
              <w:top w:val="nil"/>
              <w:left w:val="nil"/>
              <w:bottom w:val="single" w:sz="6" w:space="0" w:color="auto"/>
              <w:right w:val="single" w:sz="6" w:space="0" w:color="auto"/>
            </w:tcBorders>
            <w:vAlign w:val="center"/>
            <w:hideMark/>
          </w:tcPr>
          <w:p w14:paraId="2CCB5E82" w14:textId="327875C9" w:rsidR="00293353" w:rsidRPr="00183B5F" w:rsidRDefault="00943743" w:rsidP="00293353">
            <w:pPr>
              <w:spacing w:line="240" w:lineRule="auto"/>
              <w:jc w:val="center"/>
              <w:textAlignment w:val="baseline"/>
              <w:rPr>
                <w:del w:id="3400" w:author="AbbVie_HU_03" w:date="2025-05-14T15:27:00Z"/>
              </w:rPr>
            </w:pPr>
            <w:del w:id="3401" w:author="AbbVie_HU_03" w:date="2025-05-14T15:27:00Z">
              <w:r w:rsidRPr="00183B5F">
                <w:delText>9/21 (42,9%) </w:delText>
              </w:r>
            </w:del>
          </w:p>
        </w:tc>
        <w:tc>
          <w:tcPr>
            <w:tcW w:w="2633" w:type="dxa"/>
            <w:tcBorders>
              <w:top w:val="nil"/>
              <w:left w:val="nil"/>
              <w:bottom w:val="single" w:sz="6" w:space="0" w:color="auto"/>
              <w:right w:val="single" w:sz="6" w:space="0" w:color="auto"/>
            </w:tcBorders>
            <w:vAlign w:val="center"/>
            <w:hideMark/>
          </w:tcPr>
          <w:p w14:paraId="10F5620B" w14:textId="325B57F1" w:rsidR="00293353" w:rsidRPr="00183B5F" w:rsidRDefault="00943743" w:rsidP="00293353">
            <w:pPr>
              <w:spacing w:line="240" w:lineRule="auto"/>
              <w:jc w:val="center"/>
              <w:textAlignment w:val="baseline"/>
              <w:rPr>
                <w:del w:id="3402" w:author="AbbVie_HU_03" w:date="2025-05-14T15:27:00Z"/>
              </w:rPr>
            </w:pPr>
            <w:del w:id="3403" w:author="AbbVie_HU_03" w:date="2025-05-14T15:27:00Z">
              <w:r w:rsidRPr="00183B5F">
                <w:delText>10/22 (45,5%) </w:delText>
              </w:r>
            </w:del>
          </w:p>
        </w:tc>
      </w:tr>
      <w:tr w:rsidR="00011D2F" w14:paraId="582214FE" w14:textId="1025C1F7" w:rsidTr="00293353">
        <w:trPr>
          <w:jc w:val="center"/>
          <w:del w:id="3404" w:author="AbbVie_HU_03" w:date="2025-05-14T15:27:00Z"/>
        </w:trPr>
        <w:tc>
          <w:tcPr>
            <w:tcW w:w="2526" w:type="dxa"/>
            <w:tcBorders>
              <w:top w:val="nil"/>
              <w:left w:val="single" w:sz="6" w:space="0" w:color="auto"/>
              <w:bottom w:val="single" w:sz="6" w:space="0" w:color="auto"/>
              <w:right w:val="single" w:sz="6" w:space="0" w:color="auto"/>
            </w:tcBorders>
            <w:vAlign w:val="center"/>
            <w:hideMark/>
          </w:tcPr>
          <w:p w14:paraId="293E92BE" w14:textId="6B9D9074" w:rsidR="00293353" w:rsidRPr="00183B5F" w:rsidRDefault="00943743" w:rsidP="00293353">
            <w:pPr>
              <w:spacing w:line="240" w:lineRule="auto"/>
              <w:textAlignment w:val="baseline"/>
              <w:rPr>
                <w:del w:id="3405" w:author="AbbVie_HU_03" w:date="2025-05-14T15:27:00Z"/>
              </w:rPr>
            </w:pPr>
            <w:del w:id="3406" w:author="AbbVie_HU_03" w:date="2025-05-14T15:27:00Z">
              <w:r w:rsidRPr="00183B5F">
                <w:delText xml:space="preserve">Kortikoszteroidmentes remisszió a 8. héten PMS szerint </w:delText>
              </w:r>
              <w:r w:rsidR="00D81D3E" w:rsidRPr="00183B5F">
                <w:rPr>
                  <w:rStyle w:val="normaltextrun"/>
                  <w:shd w:val="clear" w:color="auto" w:fill="FFFFFF"/>
                </w:rPr>
                <w:delText>választ mutatóknál</w:delText>
              </w:r>
              <w:r w:rsidRPr="00183B5F">
                <w:delText> </w:delText>
              </w:r>
            </w:del>
          </w:p>
        </w:tc>
        <w:tc>
          <w:tcPr>
            <w:tcW w:w="2409" w:type="dxa"/>
            <w:tcBorders>
              <w:top w:val="nil"/>
              <w:left w:val="nil"/>
              <w:bottom w:val="single" w:sz="6" w:space="0" w:color="auto"/>
              <w:right w:val="single" w:sz="6" w:space="0" w:color="auto"/>
            </w:tcBorders>
            <w:vAlign w:val="center"/>
            <w:hideMark/>
          </w:tcPr>
          <w:p w14:paraId="60904735" w14:textId="38B01769" w:rsidR="00293353" w:rsidRPr="00183B5F" w:rsidRDefault="00943743" w:rsidP="00293353">
            <w:pPr>
              <w:spacing w:line="240" w:lineRule="auto"/>
              <w:jc w:val="center"/>
              <w:textAlignment w:val="baseline"/>
              <w:rPr>
                <w:del w:id="3407" w:author="AbbVie_HU_03" w:date="2025-05-14T15:27:00Z"/>
              </w:rPr>
            </w:pPr>
            <w:del w:id="3408" w:author="AbbVie_HU_03" w:date="2025-05-14T15:27:00Z">
              <w:r w:rsidRPr="00183B5F">
                <w:delText>4/13 (30,8%) </w:delText>
              </w:r>
            </w:del>
          </w:p>
        </w:tc>
        <w:tc>
          <w:tcPr>
            <w:tcW w:w="2633" w:type="dxa"/>
            <w:tcBorders>
              <w:top w:val="nil"/>
              <w:left w:val="nil"/>
              <w:bottom w:val="single" w:sz="6" w:space="0" w:color="auto"/>
              <w:right w:val="single" w:sz="6" w:space="0" w:color="auto"/>
            </w:tcBorders>
            <w:vAlign w:val="center"/>
            <w:hideMark/>
          </w:tcPr>
          <w:p w14:paraId="1A08A156" w14:textId="5D93F4DE" w:rsidR="00293353" w:rsidRPr="00183B5F" w:rsidRDefault="00943743" w:rsidP="00293353">
            <w:pPr>
              <w:spacing w:line="240" w:lineRule="auto"/>
              <w:jc w:val="center"/>
              <w:textAlignment w:val="baseline"/>
              <w:rPr>
                <w:del w:id="3409" w:author="AbbVie_HU_03" w:date="2025-05-14T15:27:00Z"/>
              </w:rPr>
            </w:pPr>
            <w:del w:id="3410" w:author="AbbVie_HU_03" w:date="2025-05-14T15:27:00Z">
              <w:r w:rsidRPr="00183B5F">
                <w:delText>5/16 (31,3%) </w:delText>
              </w:r>
            </w:del>
          </w:p>
        </w:tc>
      </w:tr>
      <w:tr w:rsidR="00011D2F" w14:paraId="693DC7C1" w14:textId="47C39C5C" w:rsidTr="00293353">
        <w:trPr>
          <w:jc w:val="center"/>
          <w:del w:id="3411" w:author="AbbVie_HU_03" w:date="2025-05-14T15:27:00Z"/>
        </w:trPr>
        <w:tc>
          <w:tcPr>
            <w:tcW w:w="7568" w:type="dxa"/>
            <w:gridSpan w:val="3"/>
            <w:tcBorders>
              <w:top w:val="nil"/>
              <w:left w:val="single" w:sz="6" w:space="0" w:color="auto"/>
              <w:bottom w:val="single" w:sz="6" w:space="0" w:color="auto"/>
              <w:right w:val="single" w:sz="6" w:space="0" w:color="auto"/>
            </w:tcBorders>
            <w:hideMark/>
          </w:tcPr>
          <w:p w14:paraId="2E8C2952" w14:textId="0E71FBB2" w:rsidR="00293353" w:rsidRPr="00183B5F" w:rsidRDefault="00943743" w:rsidP="00293353">
            <w:pPr>
              <w:spacing w:line="240" w:lineRule="auto"/>
              <w:textAlignment w:val="baseline"/>
              <w:rPr>
                <w:del w:id="3412" w:author="AbbVie_HU_03" w:date="2025-05-14T15:27:00Z"/>
              </w:rPr>
            </w:pPr>
            <w:del w:id="3413" w:author="AbbVie_HU_03" w:date="2025-05-14T15:27:00Z">
              <w:r w:rsidRPr="00183B5F">
                <w:rPr>
                  <w:vertAlign w:val="superscript"/>
                </w:rPr>
                <w:delText>a</w:delText>
              </w:r>
              <w:r w:rsidR="00DD2923" w:rsidRPr="00183B5F">
                <w:rPr>
                  <w:vertAlign w:val="superscript"/>
                </w:rPr>
                <w:delText> </w:delText>
              </w:r>
              <w:r w:rsidRPr="00183B5F">
                <w:delText>Humira 0,6 mg/</w:delText>
              </w:r>
              <w:r w:rsidR="002B6005" w:rsidRPr="00183B5F">
                <w:delText>tt</w:delText>
              </w:r>
              <w:r w:rsidRPr="00183B5F">
                <w:delText>kg (</w:delText>
              </w:r>
              <w:r w:rsidR="00DD2923" w:rsidRPr="00183B5F">
                <w:delText>legfeljebb</w:delText>
              </w:r>
              <w:r w:rsidRPr="00183B5F">
                <w:delText xml:space="preserve"> 40 mg) kéthetente </w:delText>
              </w:r>
            </w:del>
          </w:p>
          <w:p w14:paraId="5219E87C" w14:textId="5F818B0E" w:rsidR="00293353" w:rsidRPr="00183B5F" w:rsidRDefault="00943743" w:rsidP="00293353">
            <w:pPr>
              <w:spacing w:line="240" w:lineRule="auto"/>
              <w:textAlignment w:val="baseline"/>
              <w:rPr>
                <w:del w:id="3414" w:author="AbbVie_HU_03" w:date="2025-05-14T15:27:00Z"/>
              </w:rPr>
            </w:pPr>
            <w:del w:id="3415" w:author="AbbVie_HU_03" w:date="2025-05-14T15:27:00Z">
              <w:r w:rsidRPr="00183B5F">
                <w:rPr>
                  <w:vertAlign w:val="superscript"/>
                </w:rPr>
                <w:delText>b</w:delText>
              </w:r>
              <w:r w:rsidR="00DD2923" w:rsidRPr="00183B5F">
                <w:rPr>
                  <w:vertAlign w:val="superscript"/>
                </w:rPr>
                <w:delText> </w:delText>
              </w:r>
              <w:r w:rsidRPr="00183B5F">
                <w:delText>Humira 0,6 mg/</w:delText>
              </w:r>
              <w:r w:rsidR="002B6005" w:rsidRPr="00183B5F">
                <w:delText>tt</w:delText>
              </w:r>
              <w:r w:rsidRPr="00183B5F">
                <w:delText>kg (</w:delText>
              </w:r>
              <w:r w:rsidR="00DD2923" w:rsidRPr="00183B5F">
                <w:delText>legfeljebb</w:delText>
              </w:r>
              <w:r w:rsidRPr="00183B5F">
                <w:delText xml:space="preserve"> 40 mg) hetente </w:delText>
              </w:r>
            </w:del>
          </w:p>
          <w:p w14:paraId="46F8B1A4" w14:textId="28B6C36D" w:rsidR="00293353" w:rsidRPr="00183B5F" w:rsidRDefault="00943743" w:rsidP="00293353">
            <w:pPr>
              <w:spacing w:line="240" w:lineRule="auto"/>
              <w:textAlignment w:val="baseline"/>
              <w:rPr>
                <w:del w:id="3416" w:author="AbbVie_HU_03" w:date="2025-05-14T15:27:00Z"/>
              </w:rPr>
            </w:pPr>
            <w:del w:id="3417" w:author="AbbVie_HU_03" w:date="2025-05-14T15:27:00Z">
              <w:r w:rsidRPr="00183B5F">
                <w:delText>Kiindulásnál egyidejűleg kortikoszteroidokat kapó betegeknél </w:delText>
              </w:r>
            </w:del>
          </w:p>
          <w:p w14:paraId="4DC3BD30" w14:textId="1A12368E" w:rsidR="00293353" w:rsidRPr="00183B5F" w:rsidRDefault="00943743" w:rsidP="00293353">
            <w:pPr>
              <w:spacing w:line="240" w:lineRule="auto"/>
              <w:textAlignment w:val="baseline"/>
              <w:rPr>
                <w:del w:id="3418" w:author="AbbVie_HU_03" w:date="2025-05-14T15:27:00Z"/>
              </w:rPr>
            </w:pPr>
            <w:del w:id="3419" w:author="AbbVie_HU_03" w:date="2025-05-14T15:27:00Z">
              <w:r w:rsidRPr="00183B5F">
                <w:delText>Megjegyzés: Azokat a betegeket, akiknek az 52. héten hiányoztak az értékei, vagy akiket ismételt indukcióra vagy fenntartó kezelésre</w:delText>
              </w:r>
              <w:r w:rsidR="007B13D0" w:rsidRPr="00183B5F">
                <w:delText xml:space="preserve"> randomizáltak</w:delText>
              </w:r>
              <w:r w:rsidRPr="00183B5F">
                <w:delText xml:space="preserve">, az 52. hét végpontjain </w:delText>
              </w:r>
              <w:r w:rsidR="00D81D3E" w:rsidRPr="00183B5F">
                <w:delText>választ nem mutatóknak</w:delText>
              </w:r>
              <w:r w:rsidRPr="00183B5F">
                <w:delText xml:space="preserve"> tekintették </w:delText>
              </w:r>
            </w:del>
          </w:p>
        </w:tc>
      </w:tr>
    </w:tbl>
    <w:p w14:paraId="022537D8" w14:textId="365246CB" w:rsidR="00293353" w:rsidRPr="00183B5F" w:rsidRDefault="00293353" w:rsidP="00293353">
      <w:pPr>
        <w:spacing w:line="240" w:lineRule="auto"/>
        <w:rPr>
          <w:del w:id="3420" w:author="AbbVie_HU_03" w:date="2025-05-14T15:27:00Z"/>
        </w:rPr>
      </w:pPr>
    </w:p>
    <w:p w14:paraId="68DC0F31" w14:textId="7C4BE8B2" w:rsidR="00293353" w:rsidRPr="00183B5F" w:rsidRDefault="00943743" w:rsidP="00293353">
      <w:pPr>
        <w:spacing w:line="240" w:lineRule="auto"/>
        <w:rPr>
          <w:del w:id="3421" w:author="AbbVie_HU_03" w:date="2025-05-14T15:27:00Z"/>
        </w:rPr>
      </w:pPr>
      <w:del w:id="3422" w:author="AbbVie_HU_03" w:date="2025-05-14T15:27:00Z">
        <w:r w:rsidRPr="00183B5F">
          <w:delText>A további feltáró hatásossági végpontok között szerepelt a klinikai válasz a gyermek</w:delText>
        </w:r>
        <w:r w:rsidR="00D1233F" w:rsidRPr="00183B5F">
          <w:delText>- és serdülő</w:delText>
        </w:r>
        <w:r w:rsidRPr="00183B5F">
          <w:delText>kori colitis ulcerosa aktivitási indexe (PUCAI) (a PUCAI ≥ 20 pontos csökkenése a kiindulási értékhez viszonyítva) és a klinikai remisszió a PUCAI periódusonként (PUCAI &lt; 10 pontos csökkenéseként definiálva) a 8. és az 52. héten (28. táblázat).</w:delText>
        </w:r>
      </w:del>
    </w:p>
    <w:p w14:paraId="5D3FADB5" w14:textId="072B019C" w:rsidR="00293353" w:rsidRPr="00183B5F" w:rsidRDefault="00293353" w:rsidP="00293353">
      <w:pPr>
        <w:spacing w:line="240" w:lineRule="auto"/>
        <w:rPr>
          <w:del w:id="3423" w:author="AbbVie_HU_03" w:date="2025-05-14T15:27:00Z"/>
        </w:rPr>
      </w:pPr>
    </w:p>
    <w:tbl>
      <w:tblPr>
        <w:tblW w:w="8262" w:type="dxa"/>
        <w:jc w:val="center"/>
        <w:tblCellMar>
          <w:left w:w="0" w:type="dxa"/>
          <w:right w:w="0" w:type="dxa"/>
        </w:tblCellMar>
        <w:tblLook w:val="04A0" w:firstRow="1" w:lastRow="0" w:firstColumn="1" w:lastColumn="0" w:noHBand="0" w:noVBand="1"/>
      </w:tblPr>
      <w:tblGrid>
        <w:gridCol w:w="2785"/>
        <w:gridCol w:w="2896"/>
        <w:gridCol w:w="2581"/>
      </w:tblGrid>
      <w:tr w:rsidR="00011D2F" w14:paraId="36706AB5" w14:textId="633F204C" w:rsidTr="00293353">
        <w:trPr>
          <w:trHeight w:val="60"/>
          <w:jc w:val="center"/>
          <w:del w:id="3424" w:author="AbbVie_HU_03" w:date="2025-05-14T15:27:00Z"/>
        </w:trPr>
        <w:tc>
          <w:tcPr>
            <w:tcW w:w="8262" w:type="dxa"/>
            <w:gridSpan w:val="3"/>
            <w:tcMar>
              <w:top w:w="0" w:type="dxa"/>
              <w:left w:w="108" w:type="dxa"/>
              <w:bottom w:w="0" w:type="dxa"/>
              <w:right w:w="108" w:type="dxa"/>
            </w:tcMar>
            <w:hideMark/>
          </w:tcPr>
          <w:p w14:paraId="6EF7E09A" w14:textId="6FBDE676" w:rsidR="00293353" w:rsidRPr="00183B5F" w:rsidRDefault="00943743" w:rsidP="00293353">
            <w:pPr>
              <w:spacing w:line="240" w:lineRule="auto"/>
              <w:jc w:val="center"/>
              <w:rPr>
                <w:del w:id="3425" w:author="AbbVie_HU_03" w:date="2025-05-14T15:27:00Z"/>
                <w:b/>
                <w:bCs/>
              </w:rPr>
            </w:pPr>
            <w:del w:id="3426" w:author="AbbVie_HU_03" w:date="2025-05-14T15:27:00Z">
              <w:r w:rsidRPr="00183B5F">
                <w:rPr>
                  <w:b/>
                </w:rPr>
                <w:delText>28. táblázat: Feltáró végpontok eredményei PUCAI szerint</w:delText>
              </w:r>
            </w:del>
          </w:p>
        </w:tc>
      </w:tr>
      <w:tr w:rsidR="00011D2F" w14:paraId="132620B0" w14:textId="05D0AAFB" w:rsidTr="00293353">
        <w:trPr>
          <w:trHeight w:val="265"/>
          <w:jc w:val="center"/>
          <w:del w:id="3427" w:author="AbbVie_HU_03" w:date="2025-05-14T15:27:00Z"/>
        </w:trPr>
        <w:tc>
          <w:tcPr>
            <w:tcW w:w="2934"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11BA77DA" w14:textId="07C6DEF3" w:rsidR="00293353" w:rsidRPr="00183B5F" w:rsidRDefault="00293353" w:rsidP="00293353">
            <w:pPr>
              <w:spacing w:line="240" w:lineRule="auto"/>
              <w:rPr>
                <w:del w:id="3428" w:author="AbbVie_HU_03" w:date="2025-05-14T15:27:00Z"/>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948E5C" w14:textId="57C398FB" w:rsidR="00293353" w:rsidRPr="00183B5F" w:rsidRDefault="00943743" w:rsidP="00293353">
            <w:pPr>
              <w:spacing w:line="240" w:lineRule="auto"/>
              <w:jc w:val="center"/>
              <w:rPr>
                <w:del w:id="3429" w:author="AbbVie_HU_03" w:date="2025-05-14T15:27:00Z"/>
                <w:b/>
                <w:bCs/>
              </w:rPr>
            </w:pPr>
            <w:del w:id="3430" w:author="AbbVie_HU_03" w:date="2025-05-14T15:27:00Z">
              <w:r w:rsidRPr="00183B5F">
                <w:rPr>
                  <w:b/>
                </w:rPr>
                <w:delText>8. hét</w:delText>
              </w:r>
            </w:del>
          </w:p>
        </w:tc>
      </w:tr>
      <w:tr w:rsidR="00011D2F" w14:paraId="07A9E1E1" w14:textId="4DB04A6C" w:rsidTr="00293353">
        <w:trPr>
          <w:trHeight w:val="1042"/>
          <w:jc w:val="center"/>
          <w:del w:id="3431" w:author="AbbVie_HU_03" w:date="2025-05-14T15:27:00Z"/>
        </w:trPr>
        <w:tc>
          <w:tcPr>
            <w:tcW w:w="0" w:type="auto"/>
            <w:vMerge/>
            <w:tcBorders>
              <w:top w:val="single" w:sz="4" w:space="0" w:color="auto"/>
              <w:left w:val="single" w:sz="8" w:space="0" w:color="auto"/>
              <w:bottom w:val="single" w:sz="8" w:space="0" w:color="auto"/>
              <w:right w:val="single" w:sz="4" w:space="0" w:color="auto"/>
            </w:tcBorders>
            <w:vAlign w:val="center"/>
            <w:hideMark/>
          </w:tcPr>
          <w:p w14:paraId="38C0BB6E" w14:textId="313C11D6" w:rsidR="00293353" w:rsidRPr="00183B5F" w:rsidRDefault="00293353" w:rsidP="00293353">
            <w:pPr>
              <w:spacing w:line="240" w:lineRule="auto"/>
              <w:rPr>
                <w:del w:id="3432" w:author="AbbVie_HU_03" w:date="2025-05-14T15:27:00Z"/>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E34D57" w14:textId="63F12EAB" w:rsidR="00293353" w:rsidRPr="00183B5F" w:rsidRDefault="00943743" w:rsidP="00293353">
            <w:pPr>
              <w:spacing w:line="240" w:lineRule="auto"/>
              <w:jc w:val="center"/>
              <w:rPr>
                <w:del w:id="3433" w:author="AbbVie_HU_03" w:date="2025-05-14T15:27:00Z"/>
                <w:b/>
                <w:bCs/>
                <w:vertAlign w:val="superscript"/>
              </w:rPr>
            </w:pPr>
            <w:del w:id="3434" w:author="AbbVie_HU_03" w:date="2025-05-14T15:27:00Z">
              <w:r w:rsidRPr="00183B5F">
                <w:rPr>
                  <w:b/>
                </w:rPr>
                <w:delText>Humira</w:delText>
              </w:r>
              <w:r w:rsidRPr="00183B5F">
                <w:rPr>
                  <w:b/>
                  <w:vertAlign w:val="superscript"/>
                </w:rPr>
                <w:delText>a</w:delText>
              </w:r>
            </w:del>
          </w:p>
          <w:p w14:paraId="2F1AEF67" w14:textId="0B26777F" w:rsidR="00293353" w:rsidRPr="00183B5F" w:rsidRDefault="00943743" w:rsidP="00293353">
            <w:pPr>
              <w:spacing w:line="240" w:lineRule="auto"/>
              <w:jc w:val="center"/>
              <w:rPr>
                <w:del w:id="3435" w:author="AbbVie_HU_03" w:date="2025-05-14T15:27:00Z"/>
                <w:b/>
                <w:bCs/>
              </w:rPr>
            </w:pPr>
            <w:del w:id="3436" w:author="AbbVie_HU_03" w:date="2025-05-14T15:27:00Z">
              <w:r w:rsidRPr="00183B5F">
                <w:rPr>
                  <w:b/>
                </w:rPr>
                <w:delText>Legfeljebb 160 mg a 0. héten / placebo az 1. héten</w:delText>
              </w:r>
            </w:del>
          </w:p>
          <w:p w14:paraId="375F125E" w14:textId="19736E1E" w:rsidR="00293353" w:rsidRPr="00183B5F" w:rsidRDefault="00943743" w:rsidP="00293353">
            <w:pPr>
              <w:spacing w:line="240" w:lineRule="auto"/>
              <w:jc w:val="center"/>
              <w:rPr>
                <w:del w:id="3437" w:author="AbbVie_HU_03" w:date="2025-05-14T15:27:00Z"/>
              </w:rPr>
            </w:pPr>
            <w:del w:id="3438" w:author="AbbVie_HU_03" w:date="2025-05-14T15:27:00Z">
              <w:r w:rsidRPr="00183B5F">
                <w:delText>N=30</w:delText>
              </w:r>
            </w:del>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5072B8" w14:textId="48208A29" w:rsidR="00293353" w:rsidRPr="00183B5F" w:rsidRDefault="00943743" w:rsidP="00293353">
            <w:pPr>
              <w:spacing w:line="240" w:lineRule="auto"/>
              <w:jc w:val="center"/>
              <w:rPr>
                <w:del w:id="3439" w:author="AbbVie_HU_03" w:date="2025-05-14T15:27:00Z"/>
                <w:b/>
                <w:bCs/>
                <w:vertAlign w:val="superscript"/>
              </w:rPr>
            </w:pPr>
            <w:del w:id="3440" w:author="AbbVie_HU_03" w:date="2025-05-14T15:27:00Z">
              <w:r w:rsidRPr="00183B5F">
                <w:rPr>
                  <w:b/>
                </w:rPr>
                <w:delText>Humira</w:delText>
              </w:r>
              <w:r w:rsidRPr="00183B5F">
                <w:rPr>
                  <w:b/>
                  <w:vertAlign w:val="superscript"/>
                </w:rPr>
                <w:delText>b,c</w:delText>
              </w:r>
            </w:del>
          </w:p>
          <w:p w14:paraId="0A4DDD21" w14:textId="19BFE869" w:rsidR="00293353" w:rsidRPr="00183B5F" w:rsidRDefault="00943743" w:rsidP="00293353">
            <w:pPr>
              <w:spacing w:line="240" w:lineRule="auto"/>
              <w:jc w:val="center"/>
              <w:rPr>
                <w:del w:id="3441" w:author="AbbVie_HU_03" w:date="2025-05-14T15:27:00Z"/>
                <w:b/>
                <w:bCs/>
              </w:rPr>
            </w:pPr>
            <w:del w:id="3442" w:author="AbbVie_HU_03" w:date="2025-05-14T15:27:00Z">
              <w:r w:rsidRPr="00183B5F">
                <w:rPr>
                  <w:b/>
                </w:rPr>
                <w:delText>Legfeljebb 160 mg a 0. és az 1. héten</w:delText>
              </w:r>
            </w:del>
          </w:p>
          <w:p w14:paraId="6828FE1F" w14:textId="2A3BA832" w:rsidR="00293353" w:rsidRPr="00183B5F" w:rsidRDefault="00943743" w:rsidP="00293353">
            <w:pPr>
              <w:spacing w:line="240" w:lineRule="auto"/>
              <w:jc w:val="center"/>
              <w:rPr>
                <w:del w:id="3443" w:author="AbbVie_HU_03" w:date="2025-05-14T15:27:00Z"/>
              </w:rPr>
            </w:pPr>
            <w:del w:id="3444" w:author="AbbVie_HU_03" w:date="2025-05-14T15:27:00Z">
              <w:r w:rsidRPr="00183B5F">
                <w:delText>N=47</w:delText>
              </w:r>
            </w:del>
          </w:p>
        </w:tc>
      </w:tr>
      <w:tr w:rsidR="00011D2F" w14:paraId="41BEBC9E" w14:textId="6586AA00" w:rsidTr="00293353">
        <w:trPr>
          <w:trHeight w:val="202"/>
          <w:jc w:val="center"/>
          <w:del w:id="3445" w:author="AbbVie_HU_03" w:date="2025-05-14T15:27:00Z"/>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B1675" w14:textId="22B88A26" w:rsidR="00293353" w:rsidRPr="00183B5F" w:rsidRDefault="00943743" w:rsidP="00293353">
            <w:pPr>
              <w:spacing w:line="240" w:lineRule="auto"/>
              <w:rPr>
                <w:del w:id="3446" w:author="AbbVie_HU_03" w:date="2025-05-14T15:27:00Z"/>
              </w:rPr>
            </w:pPr>
            <w:del w:id="3447" w:author="AbbVie_HU_03" w:date="2025-05-14T15:27:00Z">
              <w:r w:rsidRPr="00183B5F">
                <w:delText>Klinikai remisszió PUCAI szerint</w:delText>
              </w:r>
            </w:del>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2AA9564E" w14:textId="27A3AC1E" w:rsidR="00293353" w:rsidRPr="00183B5F" w:rsidRDefault="00943743" w:rsidP="00293353">
            <w:pPr>
              <w:spacing w:line="240" w:lineRule="auto"/>
              <w:jc w:val="center"/>
              <w:rPr>
                <w:del w:id="3448" w:author="AbbVie_HU_03" w:date="2025-05-14T15:27:00Z"/>
              </w:rPr>
            </w:pPr>
            <w:del w:id="3449" w:author="AbbVie_HU_03" w:date="2025-05-14T15:27:00Z">
              <w:r w:rsidRPr="00183B5F">
                <w:delText>10/30 (33,3%)</w:delText>
              </w:r>
            </w:del>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3D60B2F9" w14:textId="48865C10" w:rsidR="00293353" w:rsidRPr="00183B5F" w:rsidRDefault="00943743" w:rsidP="00293353">
            <w:pPr>
              <w:spacing w:line="240" w:lineRule="auto"/>
              <w:jc w:val="center"/>
              <w:rPr>
                <w:del w:id="3450" w:author="AbbVie_HU_03" w:date="2025-05-14T15:27:00Z"/>
              </w:rPr>
            </w:pPr>
            <w:del w:id="3451" w:author="AbbVie_HU_03" w:date="2025-05-14T15:27:00Z">
              <w:r w:rsidRPr="00183B5F">
                <w:delText>22/47 (46,8%)</w:delText>
              </w:r>
            </w:del>
          </w:p>
        </w:tc>
      </w:tr>
      <w:tr w:rsidR="00011D2F" w14:paraId="35805C25" w14:textId="62BCC62A" w:rsidTr="00293353">
        <w:trPr>
          <w:trHeight w:val="238"/>
          <w:jc w:val="center"/>
          <w:del w:id="3452" w:author="AbbVie_HU_03" w:date="2025-05-14T15:27: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D56E226" w14:textId="53D78466" w:rsidR="00293353" w:rsidRPr="00183B5F" w:rsidRDefault="00943743" w:rsidP="00293353">
            <w:pPr>
              <w:spacing w:line="240" w:lineRule="auto"/>
              <w:rPr>
                <w:del w:id="3453" w:author="AbbVie_HU_03" w:date="2025-05-14T15:27:00Z"/>
              </w:rPr>
            </w:pPr>
            <w:del w:id="3454" w:author="AbbVie_HU_03" w:date="2025-05-14T15:27:00Z">
              <w:r w:rsidRPr="00183B5F">
                <w:delText>Klinikai remisszió PUCAI szerint</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192EA319" w14:textId="10E700CB" w:rsidR="00293353" w:rsidRPr="00183B5F" w:rsidRDefault="00943743" w:rsidP="00293353">
            <w:pPr>
              <w:spacing w:line="240" w:lineRule="auto"/>
              <w:jc w:val="center"/>
              <w:rPr>
                <w:del w:id="3455" w:author="AbbVie_HU_03" w:date="2025-05-14T15:27:00Z"/>
              </w:rPr>
            </w:pPr>
            <w:del w:id="3456" w:author="AbbVie_HU_03" w:date="2025-05-14T15:27:00Z">
              <w:r w:rsidRPr="00183B5F">
                <w:delText>15/30 (50,0%)</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2D33C103" w14:textId="32B8485C" w:rsidR="00293353" w:rsidRPr="00183B5F" w:rsidRDefault="00943743" w:rsidP="00293353">
            <w:pPr>
              <w:spacing w:line="240" w:lineRule="auto"/>
              <w:jc w:val="center"/>
              <w:rPr>
                <w:del w:id="3457" w:author="AbbVie_HU_03" w:date="2025-05-14T15:27:00Z"/>
              </w:rPr>
            </w:pPr>
            <w:del w:id="3458" w:author="AbbVie_HU_03" w:date="2025-05-14T15:27:00Z">
              <w:r w:rsidRPr="00183B5F">
                <w:delText>32/47 (68,1%)</w:delText>
              </w:r>
            </w:del>
          </w:p>
        </w:tc>
      </w:tr>
      <w:tr w:rsidR="00011D2F" w14:paraId="4CC197F0" w14:textId="4167E02D" w:rsidTr="00293353">
        <w:trPr>
          <w:trHeight w:val="238"/>
          <w:jc w:val="center"/>
          <w:del w:id="3459" w:author="AbbVie_HU_03" w:date="2025-05-14T15:27:00Z"/>
        </w:trPr>
        <w:tc>
          <w:tcPr>
            <w:tcW w:w="2934"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185BB8EE" w14:textId="7F0B23CD" w:rsidR="00293353" w:rsidRPr="00183B5F" w:rsidRDefault="00293353" w:rsidP="00F97F1E">
            <w:pPr>
              <w:keepNext/>
              <w:keepLines/>
              <w:spacing w:line="240" w:lineRule="auto"/>
              <w:rPr>
                <w:del w:id="3460" w:author="AbbVie_HU_03" w:date="2025-05-14T15:27:00Z"/>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11D252DD" w14:textId="0E9D3E33" w:rsidR="00293353" w:rsidRPr="00183B5F" w:rsidRDefault="00943743" w:rsidP="00F97F1E">
            <w:pPr>
              <w:keepNext/>
              <w:keepLines/>
              <w:spacing w:line="240" w:lineRule="auto"/>
              <w:jc w:val="center"/>
              <w:rPr>
                <w:del w:id="3461" w:author="AbbVie_HU_03" w:date="2025-05-14T15:27:00Z"/>
                <w:b/>
                <w:bCs/>
              </w:rPr>
            </w:pPr>
            <w:del w:id="3462" w:author="AbbVie_HU_03" w:date="2025-05-14T15:27:00Z">
              <w:r w:rsidRPr="00183B5F">
                <w:rPr>
                  <w:b/>
                </w:rPr>
                <w:delText>52. hét</w:delText>
              </w:r>
            </w:del>
          </w:p>
        </w:tc>
      </w:tr>
      <w:tr w:rsidR="00011D2F" w14:paraId="66C9E443" w14:textId="1DBB9EDB" w:rsidTr="00293353">
        <w:trPr>
          <w:trHeight w:val="238"/>
          <w:jc w:val="center"/>
          <w:del w:id="3463" w:author="AbbVie_HU_03" w:date="2025-05-14T15:27:00Z"/>
        </w:trPr>
        <w:tc>
          <w:tcPr>
            <w:tcW w:w="0" w:type="auto"/>
            <w:vMerge/>
            <w:tcBorders>
              <w:top w:val="nil"/>
              <w:left w:val="single" w:sz="8" w:space="0" w:color="auto"/>
              <w:bottom w:val="single" w:sz="4" w:space="0" w:color="auto"/>
              <w:right w:val="single" w:sz="8" w:space="0" w:color="auto"/>
            </w:tcBorders>
            <w:vAlign w:val="center"/>
            <w:hideMark/>
          </w:tcPr>
          <w:p w14:paraId="39EEC01C" w14:textId="490FFA49" w:rsidR="00293353" w:rsidRPr="00183B5F" w:rsidRDefault="00293353" w:rsidP="00F97F1E">
            <w:pPr>
              <w:keepNext/>
              <w:keepLines/>
              <w:spacing w:line="240" w:lineRule="auto"/>
              <w:rPr>
                <w:del w:id="3464" w:author="AbbVie_HU_03" w:date="2025-05-14T15:27:00Z"/>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174CB78F" w14:textId="694B5A37" w:rsidR="00293353" w:rsidRPr="00183B5F" w:rsidRDefault="00943743" w:rsidP="00F97F1E">
            <w:pPr>
              <w:keepNext/>
              <w:keepLines/>
              <w:spacing w:line="240" w:lineRule="auto"/>
              <w:jc w:val="center"/>
              <w:rPr>
                <w:del w:id="3465" w:author="AbbVie_HU_03" w:date="2025-05-14T15:27:00Z"/>
                <w:b/>
                <w:bCs/>
                <w:vertAlign w:val="superscript"/>
              </w:rPr>
            </w:pPr>
            <w:del w:id="3466" w:author="AbbVie_HU_03" w:date="2025-05-14T15:27:00Z">
              <w:r w:rsidRPr="00183B5F">
                <w:rPr>
                  <w:b/>
                </w:rPr>
                <w:delText>Humira</w:delText>
              </w:r>
              <w:r w:rsidRPr="00183B5F">
                <w:rPr>
                  <w:b/>
                  <w:vertAlign w:val="superscript"/>
                </w:rPr>
                <w:delText>d</w:delText>
              </w:r>
            </w:del>
          </w:p>
          <w:p w14:paraId="752AA411" w14:textId="07374AD4" w:rsidR="00293353" w:rsidRPr="00183B5F" w:rsidRDefault="00943743" w:rsidP="00F97F1E">
            <w:pPr>
              <w:keepNext/>
              <w:keepLines/>
              <w:spacing w:line="240" w:lineRule="auto"/>
              <w:jc w:val="center"/>
              <w:rPr>
                <w:del w:id="3467" w:author="AbbVie_HU_03" w:date="2025-05-14T15:27:00Z"/>
                <w:b/>
                <w:bCs/>
              </w:rPr>
            </w:pPr>
            <w:del w:id="3468" w:author="AbbVie_HU_03" w:date="2025-05-14T15:27:00Z">
              <w:r w:rsidRPr="00183B5F">
                <w:rPr>
                  <w:b/>
                  <w:bCs/>
                </w:rPr>
                <w:delText>Legfeljebb 40 mg kéthetente</w:delText>
              </w:r>
            </w:del>
          </w:p>
          <w:p w14:paraId="7FE50613" w14:textId="438D4331" w:rsidR="00293353" w:rsidRPr="00183B5F" w:rsidRDefault="00943743" w:rsidP="00F97F1E">
            <w:pPr>
              <w:keepNext/>
              <w:keepLines/>
              <w:spacing w:line="240" w:lineRule="auto"/>
              <w:jc w:val="center"/>
              <w:rPr>
                <w:del w:id="3469" w:author="AbbVie_HU_03" w:date="2025-05-14T15:27:00Z"/>
              </w:rPr>
            </w:pPr>
            <w:del w:id="3470" w:author="AbbVie_HU_03" w:date="2025-05-14T15:27:00Z">
              <w:r w:rsidRPr="00183B5F">
                <w:delText>N=31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1027084F" w14:textId="72E362B1" w:rsidR="00293353" w:rsidRPr="00183B5F" w:rsidRDefault="00943743" w:rsidP="00F97F1E">
            <w:pPr>
              <w:keepNext/>
              <w:keepLines/>
              <w:spacing w:line="240" w:lineRule="auto"/>
              <w:jc w:val="center"/>
              <w:rPr>
                <w:del w:id="3471" w:author="AbbVie_HU_03" w:date="2025-05-14T15:27:00Z"/>
                <w:b/>
                <w:bCs/>
                <w:vertAlign w:val="superscript"/>
              </w:rPr>
            </w:pPr>
            <w:del w:id="3472" w:author="AbbVie_HU_03" w:date="2025-05-14T15:27:00Z">
              <w:r w:rsidRPr="00183B5F">
                <w:rPr>
                  <w:b/>
                </w:rPr>
                <w:delText>Humira</w:delText>
              </w:r>
              <w:r w:rsidRPr="00183B5F">
                <w:rPr>
                  <w:b/>
                  <w:vertAlign w:val="superscript"/>
                </w:rPr>
                <w:delText>e</w:delText>
              </w:r>
            </w:del>
          </w:p>
          <w:p w14:paraId="4476667C" w14:textId="09419B07" w:rsidR="00293353" w:rsidRPr="00183B5F" w:rsidRDefault="00943743" w:rsidP="00F97F1E">
            <w:pPr>
              <w:keepNext/>
              <w:keepLines/>
              <w:spacing w:line="240" w:lineRule="auto"/>
              <w:jc w:val="center"/>
              <w:rPr>
                <w:del w:id="3473" w:author="AbbVie_HU_03" w:date="2025-05-14T15:27:00Z"/>
                <w:b/>
                <w:bCs/>
              </w:rPr>
            </w:pPr>
            <w:del w:id="3474" w:author="AbbVie_HU_03" w:date="2025-05-14T15:27:00Z">
              <w:r w:rsidRPr="00183B5F">
                <w:rPr>
                  <w:b/>
                  <w:bCs/>
                </w:rPr>
                <w:delText>Legfeljebb 40 mg hetente</w:delText>
              </w:r>
            </w:del>
          </w:p>
          <w:p w14:paraId="0D468E33" w14:textId="54F3882A" w:rsidR="00293353" w:rsidRPr="00183B5F" w:rsidRDefault="00943743" w:rsidP="00F97F1E">
            <w:pPr>
              <w:keepNext/>
              <w:keepLines/>
              <w:spacing w:line="240" w:lineRule="auto"/>
              <w:jc w:val="center"/>
              <w:rPr>
                <w:del w:id="3475" w:author="AbbVie_HU_03" w:date="2025-05-14T15:27:00Z"/>
              </w:rPr>
            </w:pPr>
            <w:del w:id="3476" w:author="AbbVie_HU_03" w:date="2025-05-14T15:27:00Z">
              <w:r w:rsidRPr="00183B5F">
                <w:delText>N=31</w:delText>
              </w:r>
            </w:del>
          </w:p>
        </w:tc>
      </w:tr>
      <w:tr w:rsidR="00011D2F" w14:paraId="44E4A68B" w14:textId="0CAA7ECF" w:rsidTr="00293353">
        <w:trPr>
          <w:trHeight w:val="238"/>
          <w:jc w:val="center"/>
          <w:del w:id="3477" w:author="AbbVie_HU_03" w:date="2025-05-14T15:27: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A46BED8" w14:textId="7653C524" w:rsidR="00293353" w:rsidRPr="00183B5F" w:rsidRDefault="00943743" w:rsidP="00F97F1E">
            <w:pPr>
              <w:keepNext/>
              <w:keepLines/>
              <w:spacing w:line="240" w:lineRule="auto"/>
              <w:rPr>
                <w:del w:id="3478" w:author="AbbVie_HU_03" w:date="2025-05-14T15:27:00Z"/>
              </w:rPr>
            </w:pPr>
            <w:del w:id="3479" w:author="AbbVie_HU_03" w:date="2025-05-14T15:27:00Z">
              <w:r w:rsidRPr="00183B5F">
                <w:delText xml:space="preserve">Klinikai remisszió PUCAI szerint a 8. héten PMS szerint </w:delText>
              </w:r>
              <w:r w:rsidR="00D81D3E" w:rsidRPr="00183B5F">
                <w:rPr>
                  <w:rStyle w:val="normaltextrun"/>
                  <w:shd w:val="clear" w:color="auto" w:fill="FFFFFF"/>
                </w:rPr>
                <w:delText>választ mutatóknál</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371462E0" w14:textId="6648C1EB" w:rsidR="00293353" w:rsidRPr="00183B5F" w:rsidRDefault="00943743" w:rsidP="00F97F1E">
            <w:pPr>
              <w:keepNext/>
              <w:keepLines/>
              <w:spacing w:line="240" w:lineRule="auto"/>
              <w:jc w:val="center"/>
              <w:rPr>
                <w:del w:id="3480" w:author="AbbVie_HU_03" w:date="2025-05-14T15:27:00Z"/>
              </w:rPr>
            </w:pPr>
            <w:del w:id="3481" w:author="AbbVie_HU_03" w:date="2025-05-14T15:27:00Z">
              <w:r w:rsidRPr="00183B5F">
                <w:delText>14/31 (45,2%)</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2421EF43" w14:textId="27734854" w:rsidR="00293353" w:rsidRPr="00183B5F" w:rsidRDefault="00943743" w:rsidP="00F97F1E">
            <w:pPr>
              <w:keepNext/>
              <w:keepLines/>
              <w:spacing w:line="240" w:lineRule="auto"/>
              <w:jc w:val="center"/>
              <w:rPr>
                <w:del w:id="3482" w:author="AbbVie_HU_03" w:date="2025-05-14T15:27:00Z"/>
              </w:rPr>
            </w:pPr>
            <w:del w:id="3483" w:author="AbbVie_HU_03" w:date="2025-05-14T15:27:00Z">
              <w:r w:rsidRPr="00183B5F">
                <w:delText>18/31 (58,1%)</w:delText>
              </w:r>
            </w:del>
          </w:p>
        </w:tc>
      </w:tr>
      <w:tr w:rsidR="00011D2F" w14:paraId="72069955" w14:textId="5EC64498" w:rsidTr="00293353">
        <w:trPr>
          <w:trHeight w:val="238"/>
          <w:jc w:val="center"/>
          <w:del w:id="3484" w:author="AbbVie_HU_03" w:date="2025-05-14T15:27: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2D60E19" w14:textId="4EE3783C" w:rsidR="00293353" w:rsidRPr="00183B5F" w:rsidRDefault="00943743" w:rsidP="00293353">
            <w:pPr>
              <w:spacing w:line="240" w:lineRule="auto"/>
              <w:rPr>
                <w:del w:id="3485" w:author="AbbVie_HU_03" w:date="2025-05-14T15:27:00Z"/>
              </w:rPr>
            </w:pPr>
            <w:del w:id="3486" w:author="AbbVie_HU_03" w:date="2025-05-14T15:27:00Z">
              <w:r w:rsidRPr="00183B5F">
                <w:delText xml:space="preserve">Klinikai válasz PUCAI szerint a 8. héten PMS szerint </w:delText>
              </w:r>
              <w:r w:rsidR="00D81D3E" w:rsidRPr="00183B5F">
                <w:rPr>
                  <w:rStyle w:val="normaltextrun"/>
                  <w:shd w:val="clear" w:color="auto" w:fill="FFFFFF"/>
                </w:rPr>
                <w:delText>választ mutatóknál</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38E78244" w14:textId="17D0B628" w:rsidR="00293353" w:rsidRPr="00183B5F" w:rsidRDefault="00943743" w:rsidP="00293353">
            <w:pPr>
              <w:spacing w:line="240" w:lineRule="auto"/>
              <w:jc w:val="center"/>
              <w:rPr>
                <w:del w:id="3487" w:author="AbbVie_HU_03" w:date="2025-05-14T15:27:00Z"/>
              </w:rPr>
            </w:pPr>
            <w:del w:id="3488" w:author="AbbVie_HU_03" w:date="2025-05-14T15:27:00Z">
              <w:r w:rsidRPr="00183B5F">
                <w:delText>18/31 (58,1%)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247D327D" w14:textId="4D916B18" w:rsidR="00293353" w:rsidRPr="00183B5F" w:rsidRDefault="00943743" w:rsidP="00293353">
            <w:pPr>
              <w:spacing w:line="240" w:lineRule="auto"/>
              <w:jc w:val="center"/>
              <w:rPr>
                <w:del w:id="3489" w:author="AbbVie_HU_03" w:date="2025-05-14T15:27:00Z"/>
              </w:rPr>
            </w:pPr>
            <w:del w:id="3490" w:author="AbbVie_HU_03" w:date="2025-05-14T15:27:00Z">
              <w:r w:rsidRPr="00183B5F">
                <w:delText>16/31 (51,6%)</w:delText>
              </w:r>
            </w:del>
          </w:p>
        </w:tc>
      </w:tr>
      <w:tr w:rsidR="00011D2F" w14:paraId="36E7CAA5" w14:textId="5ABA9F16" w:rsidTr="00293353">
        <w:trPr>
          <w:trHeight w:val="533"/>
          <w:jc w:val="center"/>
          <w:del w:id="3491" w:author="AbbVie_HU_03" w:date="2025-05-14T15:27:00Z"/>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2354D5D" w14:textId="239A556E" w:rsidR="00293353" w:rsidRPr="00183B5F" w:rsidRDefault="00943743" w:rsidP="00293353">
            <w:pPr>
              <w:spacing w:line="240" w:lineRule="auto"/>
              <w:rPr>
                <w:del w:id="3492" w:author="AbbVie_HU_03" w:date="2025-05-14T15:27:00Z"/>
                <w:rStyle w:val="eop"/>
              </w:rPr>
            </w:pPr>
            <w:del w:id="3493" w:author="AbbVie_HU_03" w:date="2025-05-14T15:27:00Z">
              <w:r w:rsidRPr="00183B5F">
                <w:rPr>
                  <w:vertAlign w:val="superscript"/>
                </w:rPr>
                <w:delText>a</w:delText>
              </w:r>
              <w:r w:rsidR="007B13D0" w:rsidRPr="00183B5F">
                <w:rPr>
                  <w:vertAlign w:val="superscript"/>
                </w:rPr>
                <w:delText> </w:delText>
              </w:r>
              <w:r w:rsidRPr="00183B5F">
                <w:rPr>
                  <w:rStyle w:val="normaltextrun"/>
                </w:rPr>
                <w:delText>Humira 2,4 mg/</w:delText>
              </w:r>
              <w:r w:rsidR="002B6005" w:rsidRPr="00183B5F">
                <w:rPr>
                  <w:rStyle w:val="normaltextrun"/>
                </w:rPr>
                <w:delText>tt</w:delText>
              </w:r>
              <w:r w:rsidRPr="00183B5F">
                <w:rPr>
                  <w:rStyle w:val="normaltextrun"/>
                </w:rPr>
                <w:delText>kg (maximum 160 mg) a 0. héten, placebo az 1. héten és 1,2 mg/</w:delText>
              </w:r>
              <w:r w:rsidR="009134E6" w:rsidRPr="00183B5F">
                <w:rPr>
                  <w:rStyle w:val="normaltextrun"/>
                </w:rPr>
                <w:delText>tt</w:delText>
              </w:r>
              <w:r w:rsidRPr="00183B5F">
                <w:rPr>
                  <w:rStyle w:val="normaltextrun"/>
                </w:rPr>
                <w:delText>kg (maximum 80 mg) a 2. héten</w:delText>
              </w:r>
              <w:r w:rsidRPr="00183B5F">
                <w:rPr>
                  <w:rStyle w:val="eop"/>
                </w:rPr>
                <w:delText> </w:delText>
              </w:r>
            </w:del>
          </w:p>
          <w:p w14:paraId="51E5A973" w14:textId="46ED53CE" w:rsidR="00293353" w:rsidRPr="00183B5F" w:rsidRDefault="00943743" w:rsidP="00293353">
            <w:pPr>
              <w:pStyle w:val="paragraph0"/>
              <w:spacing w:before="0" w:beforeAutospacing="0" w:after="0" w:afterAutospacing="0"/>
              <w:textAlignment w:val="baseline"/>
              <w:rPr>
                <w:del w:id="3494" w:author="AbbVie_HU_03" w:date="2025-05-14T15:27:00Z"/>
                <w:rStyle w:val="eop"/>
              </w:rPr>
            </w:pPr>
            <w:del w:id="3495" w:author="AbbVie_HU_03" w:date="2025-05-14T15:27:00Z">
              <w:r w:rsidRPr="00183B5F">
                <w:rPr>
                  <w:sz w:val="22"/>
                  <w:vertAlign w:val="superscript"/>
                </w:rPr>
                <w:delText>b</w:delText>
              </w:r>
              <w:r w:rsidRPr="00183B5F">
                <w:rPr>
                  <w:rStyle w:val="normaltextrun"/>
                  <w:sz w:val="22"/>
                  <w:vertAlign w:val="superscript"/>
                </w:rPr>
                <w:delText> </w:delText>
              </w:r>
              <w:r w:rsidRPr="00183B5F">
                <w:rPr>
                  <w:rStyle w:val="normaltextrun"/>
                  <w:sz w:val="22"/>
                </w:rPr>
                <w:delText>Humira 2,4 mg/</w:delText>
              </w:r>
              <w:r w:rsidR="002B6005" w:rsidRPr="00183B5F">
                <w:rPr>
                  <w:rStyle w:val="normaltextrun"/>
                  <w:sz w:val="22"/>
                </w:rPr>
                <w:delText>tt</w:delText>
              </w:r>
              <w:r w:rsidRPr="00183B5F">
                <w:rPr>
                  <w:rStyle w:val="normaltextrun"/>
                  <w:sz w:val="22"/>
                </w:rPr>
                <w:delText>kg (maximum 160 mg) a 0. és az 1. héten és 1,2 mg/</w:delText>
              </w:r>
              <w:r w:rsidR="009134E6" w:rsidRPr="00183B5F">
                <w:rPr>
                  <w:rStyle w:val="normaltextrun"/>
                  <w:sz w:val="22"/>
                </w:rPr>
                <w:delText>tt</w:delText>
              </w:r>
              <w:r w:rsidRPr="00183B5F">
                <w:rPr>
                  <w:rStyle w:val="normaltextrun"/>
                  <w:sz w:val="22"/>
                </w:rPr>
                <w:delText>kg (maximum 80 mg) a 2. héten</w:delText>
              </w:r>
              <w:r w:rsidRPr="00183B5F">
                <w:rPr>
                  <w:rStyle w:val="eop"/>
                </w:rPr>
                <w:delText> </w:delText>
              </w:r>
            </w:del>
          </w:p>
          <w:p w14:paraId="72A27140" w14:textId="327FF3E3" w:rsidR="00293353" w:rsidRPr="00183B5F" w:rsidRDefault="00943743" w:rsidP="00293353">
            <w:pPr>
              <w:pStyle w:val="paragraph0"/>
              <w:spacing w:before="0" w:beforeAutospacing="0" w:after="0" w:afterAutospacing="0"/>
              <w:textAlignment w:val="baseline"/>
              <w:rPr>
                <w:del w:id="3496" w:author="AbbVie_HU_03" w:date="2025-05-14T15:27:00Z"/>
                <w:rStyle w:val="normaltextrun"/>
                <w:sz w:val="22"/>
                <w:szCs w:val="22"/>
              </w:rPr>
            </w:pPr>
            <w:del w:id="3497" w:author="AbbVie_HU_03" w:date="2025-05-14T15:27:00Z">
              <w:r w:rsidRPr="00183B5F">
                <w:rPr>
                  <w:rStyle w:val="normaltextrun"/>
                  <w:sz w:val="22"/>
                  <w:vertAlign w:val="superscript"/>
                </w:rPr>
                <w:delText>c</w:delText>
              </w:r>
              <w:r w:rsidR="007B13D0" w:rsidRPr="00183B5F">
                <w:rPr>
                  <w:rStyle w:val="normaltextrun"/>
                  <w:sz w:val="22"/>
                  <w:vertAlign w:val="superscript"/>
                </w:rPr>
                <w:delText> </w:delText>
              </w:r>
              <w:r w:rsidRPr="00183B5F">
                <w:rPr>
                  <w:rStyle w:val="normaltextrun"/>
                  <w:sz w:val="22"/>
                </w:rPr>
                <w:delText>Nem tartalmazza a Humira nyílt indukciós dózist: 2,4 mg/</w:delText>
              </w:r>
              <w:r w:rsidR="002B6005" w:rsidRPr="00183B5F">
                <w:rPr>
                  <w:rStyle w:val="normaltextrun"/>
                  <w:sz w:val="22"/>
                </w:rPr>
                <w:delText>tt</w:delText>
              </w:r>
              <w:r w:rsidRPr="00183B5F">
                <w:rPr>
                  <w:rStyle w:val="normaltextrun"/>
                  <w:sz w:val="22"/>
                </w:rPr>
                <w:delText>kg (maximum 160 mg) a 0. héten, placebo az 1. héten és 1,2 mg/</w:delText>
              </w:r>
              <w:r w:rsidR="002B6005" w:rsidRPr="00183B5F">
                <w:rPr>
                  <w:rStyle w:val="normaltextrun"/>
                  <w:sz w:val="22"/>
                </w:rPr>
                <w:delText>tt</w:delText>
              </w:r>
              <w:r w:rsidRPr="00183B5F">
                <w:rPr>
                  <w:rStyle w:val="normaltextrun"/>
                  <w:sz w:val="22"/>
                </w:rPr>
                <w:delText>kg (maximum 80 mg) a 2. héten</w:delText>
              </w:r>
            </w:del>
          </w:p>
          <w:p w14:paraId="5CDF983D" w14:textId="3761A945" w:rsidR="00293353" w:rsidRPr="00183B5F" w:rsidRDefault="00943743" w:rsidP="00293353">
            <w:pPr>
              <w:pStyle w:val="paragraph0"/>
              <w:spacing w:before="0" w:beforeAutospacing="0" w:after="0" w:afterAutospacing="0"/>
              <w:textAlignment w:val="baseline"/>
              <w:rPr>
                <w:del w:id="3498" w:author="AbbVie_HU_03" w:date="2025-05-14T15:27:00Z"/>
                <w:sz w:val="22"/>
                <w:szCs w:val="22"/>
              </w:rPr>
            </w:pPr>
            <w:del w:id="3499" w:author="AbbVie_HU_03" w:date="2025-05-14T15:27:00Z">
              <w:r w:rsidRPr="00183B5F">
                <w:rPr>
                  <w:rStyle w:val="normaltextrun"/>
                  <w:sz w:val="22"/>
                  <w:vertAlign w:val="superscript"/>
                </w:rPr>
                <w:delText>d</w:delText>
              </w:r>
              <w:r w:rsidR="007B13D0" w:rsidRPr="00183B5F">
                <w:rPr>
                  <w:rStyle w:val="normaltextrun"/>
                  <w:sz w:val="22"/>
                  <w:vertAlign w:val="superscript"/>
                </w:rPr>
                <w:delText> </w:delText>
              </w:r>
              <w:r w:rsidRPr="00183B5F">
                <w:rPr>
                  <w:sz w:val="22"/>
                </w:rPr>
                <w:delText>Humira 0,6 mg/</w:delText>
              </w:r>
              <w:r w:rsidR="009134E6" w:rsidRPr="00183B5F">
                <w:rPr>
                  <w:sz w:val="22"/>
                </w:rPr>
                <w:delText>tt</w:delText>
              </w:r>
              <w:r w:rsidRPr="00183B5F">
                <w:rPr>
                  <w:sz w:val="22"/>
                </w:rPr>
                <w:delText>kg (maximum 40 mg) kéthetente</w:delText>
              </w:r>
            </w:del>
          </w:p>
          <w:p w14:paraId="08E03CE5" w14:textId="119B7A7F" w:rsidR="00293353" w:rsidRPr="00183B5F" w:rsidRDefault="00943743" w:rsidP="00293353">
            <w:pPr>
              <w:spacing w:line="240" w:lineRule="auto"/>
              <w:rPr>
                <w:del w:id="3500" w:author="AbbVie_HU_03" w:date="2025-05-14T15:27:00Z"/>
              </w:rPr>
            </w:pPr>
            <w:del w:id="3501" w:author="AbbVie_HU_03" w:date="2025-05-14T15:27:00Z">
              <w:r w:rsidRPr="00183B5F">
                <w:rPr>
                  <w:vertAlign w:val="superscript"/>
                </w:rPr>
                <w:delText>e</w:delText>
              </w:r>
              <w:r w:rsidR="007B13D0" w:rsidRPr="00183B5F">
                <w:rPr>
                  <w:vertAlign w:val="superscript"/>
                </w:rPr>
                <w:delText> </w:delText>
              </w:r>
              <w:r w:rsidRPr="00183B5F">
                <w:delText>Humira 0,6 mg/</w:delText>
              </w:r>
              <w:r w:rsidR="009134E6" w:rsidRPr="00183B5F">
                <w:delText>tt</w:delText>
              </w:r>
              <w:r w:rsidRPr="00183B5F">
                <w:delText>kg (maximum 40 mg) hetente</w:delText>
              </w:r>
            </w:del>
          </w:p>
          <w:p w14:paraId="1D8CE3C7" w14:textId="7FE25590" w:rsidR="00293353" w:rsidRPr="00183B5F" w:rsidRDefault="00943743" w:rsidP="00293353">
            <w:pPr>
              <w:pStyle w:val="paragraph0"/>
              <w:spacing w:before="0" w:beforeAutospacing="0" w:after="0" w:afterAutospacing="0"/>
              <w:textAlignment w:val="baseline"/>
              <w:rPr>
                <w:del w:id="3502" w:author="AbbVie_HU_03" w:date="2025-05-14T15:27:00Z"/>
                <w:sz w:val="22"/>
                <w:szCs w:val="22"/>
              </w:rPr>
            </w:pPr>
            <w:del w:id="3503" w:author="AbbVie_HU_03" w:date="2025-05-14T15:27:00Z">
              <w:r w:rsidRPr="00183B5F">
                <w:rPr>
                  <w:rStyle w:val="normaltextrun"/>
                  <w:sz w:val="22"/>
                </w:rPr>
                <w:delText>1. megjegyzés: Mindkét indukciós csoport 0,6 mg/</w:delText>
              </w:r>
              <w:r w:rsidR="002B6005" w:rsidRPr="00183B5F">
                <w:rPr>
                  <w:rStyle w:val="normaltextrun"/>
                  <w:sz w:val="22"/>
                </w:rPr>
                <w:delText>tt</w:delText>
              </w:r>
              <w:r w:rsidRPr="00183B5F">
                <w:rPr>
                  <w:rStyle w:val="normaltextrun"/>
                  <w:sz w:val="22"/>
                </w:rPr>
                <w:delText>kg-ot (maximum 40 mg) kapott a 4. és a 6. héten</w:delText>
              </w:r>
            </w:del>
          </w:p>
          <w:p w14:paraId="410B00D1" w14:textId="07546127" w:rsidR="00293353" w:rsidRPr="00183B5F" w:rsidRDefault="00943743" w:rsidP="00293353">
            <w:pPr>
              <w:pStyle w:val="paragraph0"/>
              <w:spacing w:before="0" w:beforeAutospacing="0" w:after="0" w:afterAutospacing="0"/>
              <w:textAlignment w:val="baseline"/>
              <w:rPr>
                <w:del w:id="3504" w:author="AbbVie_HU_03" w:date="2025-05-14T15:27:00Z"/>
                <w:rStyle w:val="eop"/>
              </w:rPr>
            </w:pPr>
            <w:del w:id="3505" w:author="AbbVie_HU_03" w:date="2025-05-14T15:27:00Z">
              <w:r w:rsidRPr="00183B5F">
                <w:rPr>
                  <w:rStyle w:val="normaltextrun"/>
                  <w:sz w:val="22"/>
                </w:rPr>
                <w:delText>2. megjegyzés: Úgy ítélték meg, hogy a 8. héten hiányzó adatok esetén a betegek nem teljesítették a végpontokat</w:delText>
              </w:r>
            </w:del>
          </w:p>
          <w:p w14:paraId="5E2B1C41" w14:textId="5036A090" w:rsidR="00293353" w:rsidRPr="00183B5F" w:rsidRDefault="00943743" w:rsidP="00293353">
            <w:pPr>
              <w:pStyle w:val="paragraph0"/>
              <w:spacing w:before="0" w:beforeAutospacing="0" w:after="0" w:afterAutospacing="0"/>
              <w:textAlignment w:val="baseline"/>
              <w:rPr>
                <w:del w:id="3506" w:author="AbbVie_HU_03" w:date="2025-05-14T15:27:00Z"/>
                <w:sz w:val="22"/>
                <w:szCs w:val="22"/>
              </w:rPr>
            </w:pPr>
            <w:del w:id="3507" w:author="AbbVie_HU_03" w:date="2025-05-14T15:27:00Z">
              <w:r w:rsidRPr="00183B5F">
                <w:rPr>
                  <w:rStyle w:val="eop"/>
                  <w:sz w:val="22"/>
                  <w:szCs w:val="22"/>
                </w:rPr>
                <w:delText xml:space="preserve">3. megjegyzés: </w:delText>
              </w:r>
              <w:r w:rsidRPr="00183B5F">
                <w:rPr>
                  <w:sz w:val="22"/>
                  <w:szCs w:val="22"/>
                </w:rPr>
                <w:delText xml:space="preserve">Azokat a betegeket, akiknek az 52. héten hiányoztak az értékei, vagy akiket randomizáltak ismételt indukcióra vagy fenntartó kezelésre, az 52. hét végpontjain </w:delText>
              </w:r>
              <w:r w:rsidR="00D81D3E" w:rsidRPr="00183B5F">
                <w:rPr>
                  <w:sz w:val="22"/>
                  <w:szCs w:val="22"/>
                </w:rPr>
                <w:delText>választ nem mutatóknak</w:delText>
              </w:r>
              <w:r w:rsidRPr="00183B5F">
                <w:rPr>
                  <w:sz w:val="22"/>
                  <w:szCs w:val="22"/>
                </w:rPr>
                <w:delText xml:space="preserve"> tekintették</w:delText>
              </w:r>
            </w:del>
          </w:p>
        </w:tc>
      </w:tr>
    </w:tbl>
    <w:p w14:paraId="7555FE65" w14:textId="4475E29D" w:rsidR="00293353" w:rsidRPr="00183B5F" w:rsidRDefault="00293353" w:rsidP="00293353">
      <w:pPr>
        <w:spacing w:line="240" w:lineRule="auto"/>
        <w:rPr>
          <w:del w:id="3508" w:author="AbbVie_HU_03" w:date="2025-05-14T15:27:00Z"/>
        </w:rPr>
      </w:pPr>
    </w:p>
    <w:p w14:paraId="7F0D5C74" w14:textId="42644830" w:rsidR="00293353" w:rsidRPr="00183B5F" w:rsidRDefault="00943743" w:rsidP="00293353">
      <w:pPr>
        <w:spacing w:line="240" w:lineRule="auto"/>
        <w:rPr>
          <w:del w:id="3509" w:author="AbbVie_HU_03" w:date="2025-05-14T15:27:00Z"/>
        </w:rPr>
      </w:pPr>
      <w:del w:id="3510" w:author="AbbVie_HU_03" w:date="2025-05-14T15:27:00Z">
        <w:r w:rsidRPr="00183B5F">
          <w:delText>A fenntartó periódus alatt ismételt indukciós kezelést kapott, Humira-val kezelt betegek közül 2/6 (33%) ért el klinikai választ FMS szerint az 52. héten.</w:delText>
        </w:r>
      </w:del>
    </w:p>
    <w:p w14:paraId="3EA0C068" w14:textId="1C322F15" w:rsidR="00293353" w:rsidRPr="00183B5F" w:rsidRDefault="00293353" w:rsidP="00293353">
      <w:pPr>
        <w:spacing w:line="240" w:lineRule="auto"/>
        <w:rPr>
          <w:del w:id="3511" w:author="AbbVie_HU_03" w:date="2025-05-14T15:27:00Z"/>
        </w:rPr>
      </w:pPr>
    </w:p>
    <w:p w14:paraId="38022FC5" w14:textId="0EAC10BF" w:rsidR="00293353" w:rsidRPr="00183B5F" w:rsidRDefault="00943743" w:rsidP="00293353">
      <w:pPr>
        <w:keepNext/>
        <w:spacing w:line="240" w:lineRule="auto"/>
        <w:rPr>
          <w:del w:id="3512" w:author="AbbVie_HU_03" w:date="2025-05-14T15:27:00Z"/>
          <w:bCs/>
          <w:i/>
          <w:u w:val="single"/>
        </w:rPr>
      </w:pPr>
      <w:del w:id="3513" w:author="AbbVie_HU_03" w:date="2025-05-14T15:27:00Z">
        <w:r w:rsidRPr="00183B5F">
          <w:rPr>
            <w:i/>
            <w:u w:val="single"/>
          </w:rPr>
          <w:delText>Életminőség</w:delText>
        </w:r>
      </w:del>
    </w:p>
    <w:p w14:paraId="46EF782D" w14:textId="7A0B28A1" w:rsidR="00293353" w:rsidRPr="00183B5F" w:rsidRDefault="00293353" w:rsidP="00293353">
      <w:pPr>
        <w:keepNext/>
        <w:spacing w:line="240" w:lineRule="auto"/>
        <w:rPr>
          <w:del w:id="3514" w:author="AbbVie_HU_03" w:date="2025-05-14T15:27:00Z"/>
          <w:bCs/>
          <w:i/>
          <w:u w:val="single"/>
        </w:rPr>
      </w:pPr>
    </w:p>
    <w:p w14:paraId="6BE2277E" w14:textId="67ECBA17" w:rsidR="00293353" w:rsidRPr="00183B5F" w:rsidRDefault="00943743" w:rsidP="00293353">
      <w:pPr>
        <w:keepNext/>
        <w:spacing w:line="240" w:lineRule="auto"/>
        <w:rPr>
          <w:del w:id="3515" w:author="AbbVie_HU_03" w:date="2025-05-14T15:27:00Z"/>
        </w:rPr>
      </w:pPr>
      <w:del w:id="3516" w:author="AbbVie_HU_03" w:date="2025-05-14T15:27:00Z">
        <w:r w:rsidRPr="00183B5F">
          <w:delText xml:space="preserve">A kiindulási értékhez képest klinikailag jelentős javulást figyeltek meg az IMPACT III és a </w:delText>
        </w:r>
        <w:r w:rsidR="007B13D0" w:rsidRPr="00183B5F">
          <w:delText>WPAI (</w:delText>
        </w:r>
        <w:r w:rsidRPr="00183B5F">
          <w:delText>gondozói munka produktivitás és aktivitásromlás) pontszámokban a Humira-val kezelt csoportok</w:delText>
        </w:r>
        <w:r w:rsidR="00AE3211" w:rsidRPr="00183B5F">
          <w:delText>nál</w:delText>
        </w:r>
        <w:r w:rsidRPr="00183B5F">
          <w:delText>.</w:delText>
        </w:r>
      </w:del>
    </w:p>
    <w:p w14:paraId="5E12021C" w14:textId="7FABFAD0" w:rsidR="007B13D0" w:rsidRPr="00183B5F" w:rsidRDefault="007B13D0" w:rsidP="00293353">
      <w:pPr>
        <w:keepNext/>
        <w:spacing w:line="240" w:lineRule="auto"/>
        <w:rPr>
          <w:del w:id="3517" w:author="AbbVie_HU_03" w:date="2025-05-14T15:27:00Z"/>
        </w:rPr>
      </w:pPr>
    </w:p>
    <w:p w14:paraId="73E7D764" w14:textId="051E2264" w:rsidR="00293353" w:rsidRPr="00183B5F" w:rsidRDefault="00943743" w:rsidP="00293353">
      <w:pPr>
        <w:spacing w:line="240" w:lineRule="auto"/>
        <w:rPr>
          <w:del w:id="3518" w:author="AbbVie_HU_03" w:date="2025-05-14T15:27:00Z"/>
        </w:rPr>
      </w:pPr>
      <w:del w:id="3519" w:author="AbbVie_HU_03" w:date="2025-05-14T15:27:00Z">
        <w:r w:rsidRPr="00183B5F">
          <w:delText xml:space="preserve">Az adalimumabbal kezelt csoportoknál a növekedési sebesség klinikailag jelentős mértékű növekedését (javulását) figyelték meg a kiindulási értékhez képest </w:delText>
        </w:r>
        <w:r w:rsidR="00AE3211" w:rsidRPr="00183B5F">
          <w:delText xml:space="preserve">és </w:delText>
        </w:r>
        <w:r w:rsidRPr="00183B5F">
          <w:delText>a testtömeg-index</w:delText>
        </w:r>
        <w:r w:rsidR="00AE3211" w:rsidRPr="00183B5F">
          <w:delText xml:space="preserve"> klinikailag jelentős növekedését (javulását)</w:delText>
        </w:r>
        <w:r w:rsidRPr="00183B5F">
          <w:delText xml:space="preserve"> a kiindulási értékhez képest azoknál az alanyoknál, akik a </w:delText>
        </w:r>
        <w:r w:rsidR="00AE3211" w:rsidRPr="00183B5F">
          <w:delText>nagy, hetente adott legfeljebb</w:delText>
        </w:r>
        <w:r w:rsidRPr="00183B5F">
          <w:delText xml:space="preserve"> 40 mg (0,6 mg/</w:delText>
        </w:r>
        <w:r w:rsidR="002B6005" w:rsidRPr="00183B5F">
          <w:delText>tt</w:delText>
        </w:r>
        <w:r w:rsidRPr="00183B5F">
          <w:delText>kg) fenntartó dózist kapták.</w:delText>
        </w:r>
      </w:del>
    </w:p>
    <w:p w14:paraId="203F14C3" w14:textId="701A0741" w:rsidR="00AE3211" w:rsidRPr="00183B5F" w:rsidRDefault="00AE3211" w:rsidP="008F0F0A">
      <w:pPr>
        <w:pStyle w:val="EMEANormal"/>
        <w:rPr>
          <w:del w:id="3520" w:author="AbbVie_HU_03" w:date="2025-05-14T15:27:00Z"/>
          <w:bCs/>
          <w:szCs w:val="22"/>
          <w:lang w:val="hu-HU"/>
        </w:rPr>
      </w:pPr>
    </w:p>
    <w:p w14:paraId="2F0C3304" w14:textId="44DB4555" w:rsidR="008F0F0A" w:rsidRPr="00183B5F" w:rsidRDefault="00943743" w:rsidP="008F0F0A">
      <w:pPr>
        <w:pStyle w:val="EMEANormal"/>
        <w:tabs>
          <w:tab w:val="left" w:pos="2595"/>
        </w:tabs>
        <w:rPr>
          <w:del w:id="3521" w:author="AbbVie_HU_03" w:date="2025-05-14T15:27:00Z"/>
          <w:bCs/>
          <w:i/>
          <w:szCs w:val="22"/>
          <w:lang w:val="hu-HU"/>
        </w:rPr>
      </w:pPr>
      <w:del w:id="3522" w:author="AbbVie_HU_03" w:date="2025-05-14T15:27:00Z">
        <w:r w:rsidRPr="00183B5F">
          <w:rPr>
            <w:bCs/>
            <w:i/>
            <w:szCs w:val="22"/>
            <w:lang w:val="hu-HU"/>
          </w:rPr>
          <w:delText>Gyermekkori uveitis</w:delText>
        </w:r>
      </w:del>
    </w:p>
    <w:p w14:paraId="020DE072" w14:textId="2AFFB5BB" w:rsidR="008F0F0A" w:rsidRPr="00183B5F" w:rsidRDefault="008F0F0A" w:rsidP="008F0F0A">
      <w:pPr>
        <w:pStyle w:val="EMEANormal"/>
        <w:tabs>
          <w:tab w:val="left" w:pos="2595"/>
        </w:tabs>
        <w:rPr>
          <w:del w:id="3523" w:author="AbbVie_HU_03" w:date="2025-05-14T15:27:00Z"/>
          <w:bCs/>
          <w:i/>
          <w:szCs w:val="22"/>
          <w:u w:val="single"/>
          <w:lang w:val="hu-HU"/>
        </w:rPr>
      </w:pPr>
    </w:p>
    <w:p w14:paraId="69682D88" w14:textId="2D99D81D" w:rsidR="008F0F0A" w:rsidRPr="00183B5F" w:rsidRDefault="00943743" w:rsidP="008F0F0A">
      <w:pPr>
        <w:pStyle w:val="EMEANormal"/>
        <w:tabs>
          <w:tab w:val="left" w:pos="2595"/>
        </w:tabs>
        <w:rPr>
          <w:del w:id="3524" w:author="AbbVie_HU_03" w:date="2025-05-14T15:27:00Z"/>
          <w:bCs/>
          <w:szCs w:val="22"/>
          <w:lang w:val="hu-HU"/>
        </w:rPr>
      </w:pPr>
      <w:del w:id="3525" w:author="AbbVie_HU_03" w:date="2025-05-14T15:27:00Z">
        <w:r w:rsidRPr="00183B5F">
          <w:rPr>
            <w:szCs w:val="22"/>
            <w:lang w:val="hu-HU"/>
          </w:rPr>
          <w:delText>A Humira biztonságosságát és hatásosságát</w:delText>
        </w:r>
        <w:r w:rsidRPr="00183B5F">
          <w:rPr>
            <w:bCs/>
            <w:szCs w:val="22"/>
            <w:lang w:val="hu-HU"/>
          </w:rPr>
          <w:delText xml:space="preserve"> 90, 2 - &lt;18 éves kor közötti, aktív, JIA-asszociált, nem fertőzéses eredetű anterior uvitisben szenvedő, legalább 12 hetes metotrexát-kezelésre refrakter gyermeknél egy randomizált, kettős vak, kontrollos vizsgálatban értékelték. A betegek vagy placebót, vagy 20 mg adalimumabot (30 kg testtömeg alatt), illetve 40 mg adalimumabot (legalább 30 kg-os testtömeg esetén) kaptak minden második héten a kezelés kezdetén alkalmazott metotrexát dózissal kombinálva.</w:delText>
        </w:r>
      </w:del>
    </w:p>
    <w:p w14:paraId="5CA7BC7C" w14:textId="020495EC" w:rsidR="008F0F0A" w:rsidRPr="00183B5F" w:rsidRDefault="008F0F0A" w:rsidP="008F0F0A">
      <w:pPr>
        <w:pStyle w:val="EMEANormal"/>
        <w:tabs>
          <w:tab w:val="left" w:pos="2595"/>
        </w:tabs>
        <w:rPr>
          <w:del w:id="3526" w:author="AbbVie_HU_03" w:date="2025-05-14T15:27:00Z"/>
          <w:bCs/>
          <w:szCs w:val="22"/>
          <w:lang w:val="hu-HU"/>
        </w:rPr>
      </w:pPr>
    </w:p>
    <w:p w14:paraId="29F6B81D" w14:textId="149C77A0" w:rsidR="008F0F0A" w:rsidRPr="00183B5F" w:rsidRDefault="00943743" w:rsidP="008F0F0A">
      <w:pPr>
        <w:pStyle w:val="EMEANormal"/>
        <w:tabs>
          <w:tab w:val="left" w:pos="2595"/>
        </w:tabs>
        <w:rPr>
          <w:del w:id="3527" w:author="AbbVie_HU_03" w:date="2025-05-14T15:27:00Z"/>
          <w:szCs w:val="22"/>
          <w:lang w:val="hu-HU"/>
        </w:rPr>
      </w:pPr>
      <w:del w:id="3528" w:author="AbbVie_HU_03" w:date="2025-05-14T15:27:00Z">
        <w:r w:rsidRPr="00183B5F">
          <w:rPr>
            <w:bCs/>
            <w:szCs w:val="22"/>
            <w:lang w:val="hu-HU"/>
          </w:rPr>
          <w:delText xml:space="preserve">Az elsődleges végpont </w:delText>
        </w:r>
        <w:r w:rsidRPr="00183B5F">
          <w:rPr>
            <w:szCs w:val="22"/>
            <w:lang w:val="hu-HU"/>
          </w:rPr>
          <w:delText>a „kezelés eredménytelenségéig eltelt idő” volt. A kezelés eredménytelenségének kritériumai a szemgyulladás romlása, vagy tartós nem javulása, részleges javulás tartós szemészeti társbetegségek kialakulása mellett, vagy a szemészeti társbetegségek romlása, nem engedélyezett egyidejű gyógyszeralkalmazás, vagy a kezelés hosszabb ideig tartó felfüggesztése voltak.</w:delText>
        </w:r>
      </w:del>
    </w:p>
    <w:p w14:paraId="79020CEB" w14:textId="51A5F1BE" w:rsidR="008F0F0A" w:rsidRPr="00183B5F" w:rsidRDefault="008F0F0A" w:rsidP="008F0F0A">
      <w:pPr>
        <w:pStyle w:val="EMEANormal"/>
        <w:tabs>
          <w:tab w:val="left" w:pos="2595"/>
        </w:tabs>
        <w:rPr>
          <w:del w:id="3529" w:author="AbbVie_HU_03" w:date="2025-05-14T15:27:00Z"/>
          <w:szCs w:val="22"/>
          <w:lang w:val="hu-HU"/>
        </w:rPr>
      </w:pPr>
    </w:p>
    <w:p w14:paraId="5EB69226" w14:textId="08465674" w:rsidR="008F0F0A" w:rsidRPr="00183B5F" w:rsidRDefault="00943743" w:rsidP="008F0F0A">
      <w:pPr>
        <w:pStyle w:val="EMEANormal"/>
        <w:keepNext/>
        <w:rPr>
          <w:del w:id="3530" w:author="AbbVie_HU_03" w:date="2025-05-14T15:27:00Z"/>
          <w:i/>
          <w:szCs w:val="22"/>
          <w:u w:val="single"/>
          <w:lang w:val="hu-HU"/>
        </w:rPr>
      </w:pPr>
      <w:del w:id="3531" w:author="AbbVie_HU_03" w:date="2025-05-14T15:27:00Z">
        <w:r w:rsidRPr="00183B5F">
          <w:rPr>
            <w:i/>
            <w:szCs w:val="22"/>
            <w:u w:val="single"/>
            <w:lang w:val="hu-HU"/>
          </w:rPr>
          <w:delText>Klinikai válasz</w:delText>
        </w:r>
      </w:del>
    </w:p>
    <w:p w14:paraId="1D11A289" w14:textId="0D6F4F59" w:rsidR="008F0F0A" w:rsidRPr="00183B5F" w:rsidRDefault="008F0F0A" w:rsidP="008F0F0A">
      <w:pPr>
        <w:pStyle w:val="EMEANormal"/>
        <w:keepNext/>
        <w:tabs>
          <w:tab w:val="left" w:pos="2595"/>
        </w:tabs>
        <w:rPr>
          <w:del w:id="3532" w:author="AbbVie_HU_03" w:date="2025-05-14T15:27:00Z"/>
          <w:bCs/>
          <w:szCs w:val="22"/>
          <w:lang w:val="hu-HU"/>
        </w:rPr>
      </w:pPr>
    </w:p>
    <w:p w14:paraId="4895165E" w14:textId="66E5F8E8" w:rsidR="008F0F0A" w:rsidRPr="00183B5F" w:rsidRDefault="00943743" w:rsidP="004B7A7F">
      <w:pPr>
        <w:spacing w:line="240" w:lineRule="auto"/>
        <w:rPr>
          <w:del w:id="3533" w:author="AbbVie_HU_03" w:date="2025-05-14T15:27:00Z"/>
          <w:szCs w:val="22"/>
        </w:rPr>
      </w:pPr>
      <w:del w:id="3534" w:author="AbbVie_HU_03" w:date="2025-05-14T15:27:00Z">
        <w:r w:rsidRPr="00183B5F">
          <w:rPr>
            <w:szCs w:val="22"/>
          </w:rPr>
          <w:delText xml:space="preserve">Az adalimumab szignifikánsan késleltette a kezelés eredménytelenségéig eltelt időt a placebóhoz képest (lásd </w:delText>
        </w:r>
        <w:r w:rsidR="004B7A7F" w:rsidRPr="00183B5F">
          <w:rPr>
            <w:szCs w:val="22"/>
          </w:rPr>
          <w:delText>2</w:delText>
        </w:r>
        <w:r w:rsidRPr="00183B5F">
          <w:rPr>
            <w:szCs w:val="22"/>
          </w:rPr>
          <w:delText>. ábra, p &lt; 0,0001, lograng-próba). A kezelés eredménytelenségéig eltelt medián időtartam 24,1 hét volt placebóval kezelt betegek esetén, míg az adalimumabbal kezelt betegek esetén a kezelés eredménytelenségéig eltelt medián időtartam nem volt becsülhető, mivel kevesebb mint a betegek felénél tapasztaltak kezelési eredménytelenséget. Az adalimumab szignifikánsan, 75%-kal csökkentette a kezelési eredménytelenség kockázatát a placebóhoz képest, ahogy ezt a relatív hazárd érték mutatja (HR = 0,25 [95%</w:delText>
        </w:r>
        <w:r w:rsidRPr="00183B5F">
          <w:rPr>
            <w:szCs w:val="22"/>
          </w:rPr>
          <w:noBreakHyphen/>
          <w:delText>os CI: </w:delText>
        </w:r>
        <w:r w:rsidRPr="00183B5F">
          <w:rPr>
            <w:szCs w:val="22"/>
          </w:rPr>
          <w:delText>0,12; 0,49]).</w:delText>
        </w:r>
      </w:del>
    </w:p>
    <w:p w14:paraId="1A88019F" w14:textId="1F8AC64F" w:rsidR="008F0F0A" w:rsidRPr="00183B5F" w:rsidRDefault="008F0F0A" w:rsidP="008F0F0A">
      <w:pPr>
        <w:spacing w:line="240" w:lineRule="auto"/>
        <w:rPr>
          <w:del w:id="3535" w:author="AbbVie_HU_03" w:date="2025-05-14T15:27:00Z"/>
          <w:szCs w:val="22"/>
        </w:rPr>
      </w:pPr>
    </w:p>
    <w:p w14:paraId="6EB2F2B2" w14:textId="09BCC69A" w:rsidR="008F0F0A" w:rsidRPr="00183B5F" w:rsidRDefault="00943743" w:rsidP="00FC288C">
      <w:pPr>
        <w:pStyle w:val="EMEANormal"/>
        <w:keepNext/>
        <w:ind w:left="360"/>
        <w:rPr>
          <w:del w:id="3536" w:author="AbbVie_HU_03" w:date="2025-05-14T15:27:00Z"/>
          <w:b/>
          <w:szCs w:val="22"/>
          <w:lang w:val="hu-HU"/>
        </w:rPr>
      </w:pPr>
      <w:del w:id="3537" w:author="AbbVie_HU_03" w:date="2025-05-14T15:27:00Z">
        <w:r w:rsidRPr="00183B5F">
          <w:rPr>
            <w:b/>
            <w:szCs w:val="22"/>
            <w:lang w:val="hu-HU"/>
          </w:rPr>
          <w:delText>2. ábra: A kezelés eredménytelenségéig eltelt időt bemutató Kaplan-Meier görbék gyermekkori uveitis vizsgálatban</w:delText>
        </w:r>
      </w:del>
    </w:p>
    <w:tbl>
      <w:tblPr>
        <w:tblW w:w="9288" w:type="dxa"/>
        <w:tblLayout w:type="fixed"/>
        <w:tblLook w:val="04A0" w:firstRow="1" w:lastRow="0" w:firstColumn="1" w:lastColumn="0" w:noHBand="0" w:noVBand="1"/>
      </w:tblPr>
      <w:tblGrid>
        <w:gridCol w:w="468"/>
        <w:gridCol w:w="3510"/>
        <w:gridCol w:w="1170"/>
        <w:gridCol w:w="1350"/>
        <w:gridCol w:w="900"/>
        <w:gridCol w:w="1890"/>
      </w:tblGrid>
      <w:tr w:rsidR="00011D2F" w14:paraId="38CDAFCC" w14:textId="780F4583" w:rsidTr="00EA31F3">
        <w:trPr>
          <w:cantSplit/>
          <w:trHeight w:val="3806"/>
          <w:del w:id="3538" w:author="AbbVie_HU_03" w:date="2025-05-14T15:27:00Z"/>
        </w:trPr>
        <w:tc>
          <w:tcPr>
            <w:tcW w:w="468" w:type="dxa"/>
            <w:textDirection w:val="btLr"/>
            <w:vAlign w:val="bottom"/>
          </w:tcPr>
          <w:p w14:paraId="621590DF" w14:textId="02EF2EB7" w:rsidR="008F0F0A" w:rsidRPr="00183B5F" w:rsidRDefault="00943743" w:rsidP="00EA31F3">
            <w:pPr>
              <w:pStyle w:val="EMEANormal"/>
              <w:keepNext/>
              <w:ind w:left="720"/>
              <w:rPr>
                <w:del w:id="3539" w:author="AbbVie_HU_03" w:date="2025-05-14T15:27:00Z"/>
                <w:b/>
                <w:sz w:val="20"/>
                <w:lang w:val="hu-HU"/>
              </w:rPr>
            </w:pPr>
            <w:del w:id="3540" w:author="AbbVie_HU_03" w:date="2025-05-14T15:27:00Z">
              <w:r w:rsidRPr="00183B5F">
                <w:rPr>
                  <w:b/>
                  <w:lang w:val="hu-HU"/>
                </w:rPr>
                <w:delText>A KEZELÉS EREDMÉNYTELENSÉGÉNEK VALÓSZÍNŰSÉGE</w:delText>
              </w:r>
            </w:del>
          </w:p>
        </w:tc>
        <w:tc>
          <w:tcPr>
            <w:tcW w:w="8820" w:type="dxa"/>
            <w:gridSpan w:val="5"/>
            <w:vAlign w:val="bottom"/>
          </w:tcPr>
          <w:p w14:paraId="70639EBD" w14:textId="4AA6B234" w:rsidR="008F0F0A" w:rsidRPr="00183B5F" w:rsidRDefault="00943743" w:rsidP="00EA31F3">
            <w:pPr>
              <w:pStyle w:val="EMEANormal"/>
              <w:keepNext/>
              <w:rPr>
                <w:del w:id="3541" w:author="AbbVie_HU_03" w:date="2025-05-14T15:27:00Z"/>
                <w:szCs w:val="22"/>
                <w:lang w:val="hu-HU"/>
              </w:rPr>
            </w:pPr>
            <w:del w:id="3542" w:author="AbbVie_HU_03" w:date="2025-05-14T15:27:00Z">
              <w:r w:rsidRPr="00202B95">
                <w:rPr>
                  <w:noProof/>
                  <w:lang w:val="en-GB"/>
                </w:rPr>
                <w:drawing>
                  <wp:inline distT="0" distB="0" distL="0" distR="0" wp14:anchorId="7523432F" wp14:editId="64D547E6">
                    <wp:extent cx="5486400" cy="4554855"/>
                    <wp:effectExtent l="0" t="0" r="0" b="0"/>
                    <wp:docPr id="8" name="Picture 8"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descr="Humira PED UV KM Curve REVISED 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486400" cy="4554855"/>
                            </a:xfrm>
                            <a:prstGeom prst="rect">
                              <a:avLst/>
                            </a:prstGeom>
                            <a:noFill/>
                            <a:ln>
                              <a:noFill/>
                            </a:ln>
                          </pic:spPr>
                        </pic:pic>
                      </a:graphicData>
                    </a:graphic>
                  </wp:inline>
                </w:drawing>
              </w:r>
            </w:del>
          </w:p>
        </w:tc>
      </w:tr>
      <w:tr w:rsidR="00011D2F" w14:paraId="32406B2A" w14:textId="4962A1BE" w:rsidTr="00EA31F3">
        <w:trPr>
          <w:del w:id="3543" w:author="AbbVie_HU_03" w:date="2025-05-14T15:27:00Z"/>
        </w:trPr>
        <w:tc>
          <w:tcPr>
            <w:tcW w:w="468" w:type="dxa"/>
          </w:tcPr>
          <w:p w14:paraId="45DDF7C1" w14:textId="7CEA9D82" w:rsidR="008F0F0A" w:rsidRPr="00183B5F" w:rsidRDefault="008F0F0A" w:rsidP="00EA31F3">
            <w:pPr>
              <w:pStyle w:val="EMEANormal"/>
              <w:keepNext/>
              <w:rPr>
                <w:del w:id="3544" w:author="AbbVie_HU_03" w:date="2025-05-14T15:27:00Z"/>
                <w:szCs w:val="22"/>
                <w:lang w:val="hu-HU"/>
              </w:rPr>
            </w:pPr>
          </w:p>
        </w:tc>
        <w:tc>
          <w:tcPr>
            <w:tcW w:w="8820" w:type="dxa"/>
            <w:gridSpan w:val="5"/>
          </w:tcPr>
          <w:p w14:paraId="6F768E5D" w14:textId="36753442" w:rsidR="008F0F0A" w:rsidRPr="00183B5F" w:rsidRDefault="00943743" w:rsidP="00EA31F3">
            <w:pPr>
              <w:pStyle w:val="EMEANormal"/>
              <w:keepNext/>
              <w:jc w:val="center"/>
              <w:rPr>
                <w:del w:id="3545" w:author="AbbVie_HU_03" w:date="2025-05-14T15:27:00Z"/>
                <w:b/>
                <w:szCs w:val="22"/>
                <w:lang w:val="hu-HU"/>
              </w:rPr>
            </w:pPr>
            <w:del w:id="3546" w:author="AbbVie_HU_03" w:date="2025-05-14T15:27:00Z">
              <w:r w:rsidRPr="00183B5F">
                <w:rPr>
                  <w:b/>
                  <w:szCs w:val="22"/>
                  <w:lang w:val="hu-HU"/>
                </w:rPr>
                <w:delText>IDŐ (HÉT)</w:delText>
              </w:r>
            </w:del>
          </w:p>
        </w:tc>
      </w:tr>
      <w:tr w:rsidR="00011D2F" w14:paraId="693D2BD7" w14:textId="61E2B734" w:rsidTr="00EA31F3">
        <w:trPr>
          <w:del w:id="3547" w:author="AbbVie_HU_03" w:date="2025-05-14T15:27:00Z"/>
        </w:trPr>
        <w:tc>
          <w:tcPr>
            <w:tcW w:w="468" w:type="dxa"/>
          </w:tcPr>
          <w:p w14:paraId="6C5BFAF4" w14:textId="67E3C0BA" w:rsidR="008F0F0A" w:rsidRPr="00183B5F" w:rsidRDefault="008F0F0A" w:rsidP="00EA31F3">
            <w:pPr>
              <w:pStyle w:val="EMEANormal"/>
              <w:keepNext/>
              <w:rPr>
                <w:del w:id="3548" w:author="AbbVie_HU_03" w:date="2025-05-14T15:27:00Z"/>
                <w:szCs w:val="22"/>
                <w:lang w:val="hu-HU"/>
              </w:rPr>
            </w:pPr>
          </w:p>
        </w:tc>
        <w:tc>
          <w:tcPr>
            <w:tcW w:w="3510" w:type="dxa"/>
          </w:tcPr>
          <w:p w14:paraId="1FB75489" w14:textId="7B7C5C7A" w:rsidR="008F0F0A" w:rsidRPr="00183B5F" w:rsidRDefault="00943743" w:rsidP="00EA31F3">
            <w:pPr>
              <w:pStyle w:val="EMEANormal"/>
              <w:keepNext/>
              <w:rPr>
                <w:del w:id="3549" w:author="AbbVie_HU_03" w:date="2025-05-14T15:27:00Z"/>
                <w:szCs w:val="22"/>
                <w:lang w:val="hu-HU"/>
              </w:rPr>
            </w:pPr>
            <w:del w:id="3550" w:author="AbbVie_HU_03" w:date="2025-05-14T15:27:00Z">
              <w:r w:rsidRPr="00183B5F">
                <w:rPr>
                  <w:szCs w:val="22"/>
                  <w:lang w:val="hu-HU"/>
                </w:rPr>
                <w:delText>Kezelés</w:delText>
              </w:r>
            </w:del>
          </w:p>
        </w:tc>
        <w:tc>
          <w:tcPr>
            <w:tcW w:w="1170" w:type="dxa"/>
            <w:vAlign w:val="bottom"/>
          </w:tcPr>
          <w:p w14:paraId="5732C2D7" w14:textId="5B81DE60" w:rsidR="008F0F0A" w:rsidRPr="00183B5F" w:rsidRDefault="00943743" w:rsidP="00EA31F3">
            <w:pPr>
              <w:pStyle w:val="EMEANormal"/>
              <w:keepNext/>
              <w:jc w:val="center"/>
              <w:rPr>
                <w:del w:id="3551" w:author="AbbVie_HU_03" w:date="2025-05-14T15:27:00Z"/>
                <w:szCs w:val="22"/>
                <w:lang w:val="hu-HU"/>
              </w:rPr>
            </w:pPr>
            <w:del w:id="3552" w:author="AbbVie_HU_03" w:date="2025-05-14T15:27:00Z">
              <w:r w:rsidRPr="00202B95">
                <w:rPr>
                  <w:noProof/>
                  <w:lang w:val="en-GB"/>
                </w:rPr>
                <w:drawing>
                  <wp:inline distT="0" distB="0" distL="0" distR="0" wp14:anchorId="65343D0F" wp14:editId="201767FB">
                    <wp:extent cx="457200" cy="120650"/>
                    <wp:effectExtent l="0" t="0" r="0" b="0"/>
                    <wp:docPr id="61" name="Picture 61"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10" descr="Humira PED UV KM Curve 1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57200" cy="120650"/>
                            </a:xfrm>
                            <a:prstGeom prst="rect">
                              <a:avLst/>
                            </a:prstGeom>
                            <a:noFill/>
                            <a:ln>
                              <a:noFill/>
                            </a:ln>
                          </pic:spPr>
                        </pic:pic>
                      </a:graphicData>
                    </a:graphic>
                  </wp:inline>
                </w:drawing>
              </w:r>
            </w:del>
          </w:p>
        </w:tc>
        <w:tc>
          <w:tcPr>
            <w:tcW w:w="1350" w:type="dxa"/>
          </w:tcPr>
          <w:p w14:paraId="51699F5A" w14:textId="5F0B2786" w:rsidR="008F0F0A" w:rsidRPr="00183B5F" w:rsidRDefault="00943743" w:rsidP="00EA31F3">
            <w:pPr>
              <w:pStyle w:val="EMEANormal"/>
              <w:keepNext/>
              <w:rPr>
                <w:del w:id="3553" w:author="AbbVie_HU_03" w:date="2025-05-14T15:27:00Z"/>
                <w:szCs w:val="22"/>
                <w:lang w:val="hu-HU"/>
              </w:rPr>
            </w:pPr>
            <w:del w:id="3554" w:author="AbbVie_HU_03" w:date="2025-05-14T15:27:00Z">
              <w:r w:rsidRPr="00183B5F">
                <w:rPr>
                  <w:szCs w:val="22"/>
                  <w:lang w:val="hu-HU"/>
                </w:rPr>
                <w:delText>Placebo</w:delText>
              </w:r>
            </w:del>
          </w:p>
        </w:tc>
        <w:tc>
          <w:tcPr>
            <w:tcW w:w="900" w:type="dxa"/>
            <w:vAlign w:val="center"/>
          </w:tcPr>
          <w:p w14:paraId="5C131317" w14:textId="326B3A81" w:rsidR="008F0F0A" w:rsidRPr="00183B5F" w:rsidRDefault="00943743" w:rsidP="00EA31F3">
            <w:pPr>
              <w:pStyle w:val="EMEANormal"/>
              <w:keepNext/>
              <w:rPr>
                <w:del w:id="3555" w:author="AbbVie_HU_03" w:date="2025-05-14T15:27:00Z"/>
                <w:szCs w:val="22"/>
                <w:lang w:val="hu-HU"/>
              </w:rPr>
            </w:pPr>
            <w:del w:id="3556" w:author="AbbVie_HU_03" w:date="2025-05-14T15:27:00Z">
              <w:r w:rsidRPr="00202B95">
                <w:rPr>
                  <w:noProof/>
                  <w:lang w:val="en-GB"/>
                </w:rPr>
                <w:drawing>
                  <wp:inline distT="0" distB="0" distL="0" distR="0" wp14:anchorId="3CFCC181" wp14:editId="479849FB">
                    <wp:extent cx="457200" cy="86360"/>
                    <wp:effectExtent l="0" t="0" r="0" b="8890"/>
                    <wp:docPr id="63" name="Picture 63"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11" descr="Humira PED UV KM Curve 1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57200" cy="86360"/>
                            </a:xfrm>
                            <a:prstGeom prst="rect">
                              <a:avLst/>
                            </a:prstGeom>
                            <a:noFill/>
                            <a:ln>
                              <a:noFill/>
                            </a:ln>
                          </pic:spPr>
                        </pic:pic>
                      </a:graphicData>
                    </a:graphic>
                  </wp:inline>
                </w:drawing>
              </w:r>
            </w:del>
          </w:p>
        </w:tc>
        <w:tc>
          <w:tcPr>
            <w:tcW w:w="1890" w:type="dxa"/>
          </w:tcPr>
          <w:p w14:paraId="62D03990" w14:textId="436702C9" w:rsidR="008F0F0A" w:rsidRPr="00183B5F" w:rsidRDefault="00943743" w:rsidP="00EA31F3">
            <w:pPr>
              <w:pStyle w:val="EMEANormal"/>
              <w:keepNext/>
              <w:rPr>
                <w:del w:id="3557" w:author="AbbVie_HU_03" w:date="2025-05-14T15:27:00Z"/>
                <w:szCs w:val="22"/>
                <w:lang w:val="hu-HU"/>
              </w:rPr>
            </w:pPr>
            <w:del w:id="3558" w:author="AbbVie_HU_03" w:date="2025-05-14T15:27:00Z">
              <w:r w:rsidRPr="00183B5F">
                <w:rPr>
                  <w:szCs w:val="22"/>
                  <w:lang w:val="hu-HU"/>
                </w:rPr>
                <w:delText>Adalimumab</w:delText>
              </w:r>
            </w:del>
          </w:p>
        </w:tc>
      </w:tr>
      <w:tr w:rsidR="00011D2F" w14:paraId="738EBAF4" w14:textId="4C484340" w:rsidTr="00EA31F3">
        <w:trPr>
          <w:del w:id="3559" w:author="AbbVie_HU_03" w:date="2025-05-14T15:27:00Z"/>
        </w:trPr>
        <w:tc>
          <w:tcPr>
            <w:tcW w:w="468" w:type="dxa"/>
          </w:tcPr>
          <w:p w14:paraId="6AC7D1D6" w14:textId="519B2C18" w:rsidR="008F0F0A" w:rsidRPr="00183B5F" w:rsidRDefault="008F0F0A" w:rsidP="00EA31F3">
            <w:pPr>
              <w:pStyle w:val="EMEANormal"/>
              <w:keepNext/>
              <w:rPr>
                <w:del w:id="3560" w:author="AbbVie_HU_03" w:date="2025-05-14T15:27:00Z"/>
                <w:szCs w:val="22"/>
                <w:lang w:val="hu-HU"/>
              </w:rPr>
            </w:pPr>
          </w:p>
        </w:tc>
        <w:tc>
          <w:tcPr>
            <w:tcW w:w="8820" w:type="dxa"/>
            <w:gridSpan w:val="5"/>
          </w:tcPr>
          <w:p w14:paraId="0EC9ECD1" w14:textId="2A4FA3B6" w:rsidR="008F0F0A" w:rsidRPr="00183B5F" w:rsidRDefault="00943743" w:rsidP="00EA31F3">
            <w:pPr>
              <w:pStyle w:val="EMEANormal"/>
              <w:keepNext/>
              <w:rPr>
                <w:del w:id="3561" w:author="AbbVie_HU_03" w:date="2025-05-14T15:27:00Z"/>
                <w:szCs w:val="22"/>
                <w:lang w:val="hu-HU"/>
              </w:rPr>
            </w:pPr>
            <w:del w:id="3562" w:author="AbbVie_HU_03" w:date="2025-05-14T15:27:00Z">
              <w:r w:rsidRPr="00183B5F">
                <w:rPr>
                  <w:szCs w:val="22"/>
                  <w:lang w:val="hu-HU"/>
                </w:rPr>
                <w:delText>Megjegyzés: P = Placebo (Veszélyeztetett betegek száma); H = HUMIRA (Veszélyeztetett betegek száma).</w:delText>
              </w:r>
            </w:del>
          </w:p>
        </w:tc>
      </w:tr>
    </w:tbl>
    <w:p w14:paraId="45A72936" w14:textId="0B48C8B1" w:rsidR="00FB6710" w:rsidRPr="00183B5F" w:rsidRDefault="00FB6710">
      <w:pPr>
        <w:spacing w:line="240" w:lineRule="auto"/>
        <w:rPr>
          <w:del w:id="3563" w:author="AbbVie_HU_03" w:date="2025-05-14T15:27:00Z"/>
          <w:szCs w:val="22"/>
        </w:rPr>
      </w:pPr>
    </w:p>
    <w:p w14:paraId="38E4DF26" w14:textId="1C0EF10F" w:rsidR="00FB6710" w:rsidRPr="00183B5F" w:rsidRDefault="00943743" w:rsidP="004062FE">
      <w:pPr>
        <w:keepNext/>
        <w:spacing w:line="240" w:lineRule="auto"/>
        <w:rPr>
          <w:del w:id="3564" w:author="AbbVie_HU_03" w:date="2025-05-14T15:27:00Z"/>
          <w:b/>
          <w:szCs w:val="22"/>
        </w:rPr>
      </w:pPr>
      <w:del w:id="3565" w:author="AbbVie_HU_03" w:date="2025-05-14T15:27:00Z">
        <w:r w:rsidRPr="00183B5F">
          <w:rPr>
            <w:b/>
            <w:szCs w:val="22"/>
          </w:rPr>
          <w:delText>5.2</w:delText>
        </w:r>
        <w:r w:rsidRPr="00183B5F">
          <w:rPr>
            <w:b/>
            <w:szCs w:val="22"/>
          </w:rPr>
          <w:tab/>
          <w:delText>Farmakokinetikai tulajdonságok</w:delText>
        </w:r>
      </w:del>
    </w:p>
    <w:p w14:paraId="3F51892D" w14:textId="04429DAE" w:rsidR="006C68F3" w:rsidRPr="00183B5F" w:rsidRDefault="006C68F3" w:rsidP="004062FE">
      <w:pPr>
        <w:keepNext/>
        <w:spacing w:line="240" w:lineRule="auto"/>
        <w:rPr>
          <w:del w:id="3566" w:author="AbbVie_HU_03" w:date="2025-05-14T15:27:00Z"/>
          <w:b/>
          <w:szCs w:val="22"/>
        </w:rPr>
      </w:pPr>
    </w:p>
    <w:p w14:paraId="36084B0E" w14:textId="5FF4A5D8" w:rsidR="006C68F3" w:rsidRPr="00183B5F" w:rsidRDefault="00943743" w:rsidP="004062FE">
      <w:pPr>
        <w:keepNext/>
        <w:numPr>
          <w:ilvl w:val="12"/>
          <w:numId w:val="0"/>
        </w:numPr>
        <w:suppressLineNumbers/>
        <w:spacing w:line="240" w:lineRule="auto"/>
        <w:ind w:right="-2"/>
        <w:rPr>
          <w:del w:id="3567" w:author="AbbVie_HU_03" w:date="2025-05-14T15:27:00Z"/>
          <w:noProof/>
          <w:szCs w:val="24"/>
          <w:u w:val="single"/>
        </w:rPr>
      </w:pPr>
      <w:del w:id="3568" w:author="AbbVie_HU_03" w:date="2025-05-14T15:27:00Z">
        <w:r w:rsidRPr="00183B5F">
          <w:rPr>
            <w:noProof/>
            <w:szCs w:val="24"/>
            <w:u w:val="single"/>
          </w:rPr>
          <w:delText>Felszívódás és eloszlás</w:delText>
        </w:r>
      </w:del>
    </w:p>
    <w:p w14:paraId="77342B67" w14:textId="478B4029" w:rsidR="00644955" w:rsidRPr="00183B5F" w:rsidRDefault="00644955" w:rsidP="004062FE">
      <w:pPr>
        <w:keepNext/>
        <w:numPr>
          <w:ilvl w:val="12"/>
          <w:numId w:val="0"/>
        </w:numPr>
        <w:suppressLineNumbers/>
        <w:spacing w:line="240" w:lineRule="auto"/>
        <w:ind w:right="-2"/>
        <w:rPr>
          <w:del w:id="3569" w:author="AbbVie_HU_03" w:date="2025-05-14T15:27:00Z"/>
          <w:szCs w:val="22"/>
        </w:rPr>
      </w:pPr>
    </w:p>
    <w:p w14:paraId="27720E06" w14:textId="2FDC54CC" w:rsidR="00077D72" w:rsidRPr="00183B5F" w:rsidRDefault="00943743" w:rsidP="004062FE">
      <w:pPr>
        <w:spacing w:line="240" w:lineRule="auto"/>
        <w:rPr>
          <w:del w:id="3570" w:author="AbbVie_HU_03" w:date="2025-05-14T15:27:00Z"/>
          <w:szCs w:val="22"/>
        </w:rPr>
      </w:pPr>
      <w:bookmarkStart w:id="3571" w:name="OLE_LINK10"/>
      <w:bookmarkStart w:id="3572" w:name="OLE_LINK11"/>
      <w:del w:id="3573" w:author="AbbVie_HU_03" w:date="2025-05-14T15:27:00Z">
        <w:r w:rsidRPr="00183B5F">
          <w:rPr>
            <w:szCs w:val="22"/>
          </w:rPr>
          <w:delText xml:space="preserve">A kéthetente </w:delText>
        </w:r>
        <w:r w:rsidR="00566CF8" w:rsidRPr="00183B5F">
          <w:rPr>
            <w:szCs w:val="22"/>
          </w:rPr>
          <w:delText xml:space="preserve">adott </w:delText>
        </w:r>
        <w:r w:rsidRPr="00183B5F">
          <w:rPr>
            <w:szCs w:val="22"/>
          </w:rPr>
          <w:delText>24</w:delText>
        </w:r>
        <w:r w:rsidR="00154EFB" w:rsidRPr="00183B5F">
          <w:rPr>
            <w:szCs w:val="22"/>
          </w:rPr>
          <w:delText> </w:delText>
        </w:r>
        <w:r w:rsidRPr="00183B5F">
          <w:rPr>
            <w:szCs w:val="22"/>
          </w:rPr>
          <w:delText>mg/m</w:delText>
        </w:r>
        <w:r w:rsidRPr="00183B5F">
          <w:rPr>
            <w:szCs w:val="22"/>
            <w:vertAlign w:val="superscript"/>
          </w:rPr>
          <w:delText>2</w:delText>
        </w:r>
        <w:r w:rsidRPr="00183B5F">
          <w:rPr>
            <w:szCs w:val="22"/>
          </w:rPr>
          <w:delText xml:space="preserve"> (legfeljebb 40</w:delText>
        </w:r>
        <w:r w:rsidR="00154EFB" w:rsidRPr="00183B5F">
          <w:rPr>
            <w:szCs w:val="22"/>
          </w:rPr>
          <w:delText> </w:delText>
        </w:r>
        <w:r w:rsidRPr="00183B5F">
          <w:rPr>
            <w:szCs w:val="22"/>
          </w:rPr>
          <w:delText xml:space="preserve">mg) </w:delText>
        </w:r>
        <w:r w:rsidR="00566CF8" w:rsidRPr="00183B5F">
          <w:rPr>
            <w:szCs w:val="22"/>
          </w:rPr>
          <w:delText>adag</w:delText>
        </w:r>
        <w:r w:rsidRPr="00183B5F">
          <w:rPr>
            <w:szCs w:val="22"/>
          </w:rPr>
          <w:delText xml:space="preserve"> </w:delText>
        </w:r>
        <w:r w:rsidR="005D44EE" w:rsidRPr="00183B5F">
          <w:rPr>
            <w:szCs w:val="22"/>
          </w:rPr>
          <w:delText xml:space="preserve">subcutan </w:delText>
        </w:r>
        <w:r w:rsidRPr="00183B5F">
          <w:rPr>
            <w:szCs w:val="22"/>
          </w:rPr>
          <w:delText xml:space="preserve">alkalmazását követően </w:delText>
        </w:r>
        <w:r w:rsidR="005D44EE" w:rsidRPr="00183B5F">
          <w:rPr>
            <w:szCs w:val="22"/>
          </w:rPr>
          <w:delText xml:space="preserve">a </w:delText>
        </w:r>
        <w:r w:rsidRPr="00183B5F">
          <w:rPr>
            <w:szCs w:val="22"/>
          </w:rPr>
          <w:delText>polyarticularis juvenilis idiopathiás arthritises (JIA) betegekn</w:delText>
        </w:r>
        <w:r w:rsidR="00D648D8" w:rsidRPr="00183B5F">
          <w:rPr>
            <w:szCs w:val="22"/>
          </w:rPr>
          <w:delText>él</w:delText>
        </w:r>
        <w:r w:rsidR="006C68F3" w:rsidRPr="00183B5F">
          <w:rPr>
            <w:szCs w:val="22"/>
          </w:rPr>
          <w:delText>, akiknek életkora 4 – 17 év volt,</w:delText>
        </w:r>
        <w:r w:rsidRPr="00183B5F">
          <w:rPr>
            <w:szCs w:val="22"/>
          </w:rPr>
          <w:delText xml:space="preserve"> az átlagos </w:delText>
        </w:r>
        <w:r w:rsidR="00B23978" w:rsidRPr="00183B5F">
          <w:rPr>
            <w:szCs w:val="22"/>
          </w:rPr>
          <w:delText xml:space="preserve">legalacsonyabb </w:delText>
        </w:r>
        <w:r w:rsidR="005D44EE" w:rsidRPr="00183B5F">
          <w:rPr>
            <w:szCs w:val="22"/>
          </w:rPr>
          <w:delText>dinamikus egyensúlyi állapotú</w:delText>
        </w:r>
        <w:r w:rsidR="003D37D0" w:rsidRPr="00183B5F">
          <w:rPr>
            <w:szCs w:val="22"/>
          </w:rPr>
          <w:delText xml:space="preserve"> (a 20.</w:delText>
        </w:r>
        <w:r w:rsidR="005D44EE" w:rsidRPr="00183B5F">
          <w:rPr>
            <w:szCs w:val="22"/>
          </w:rPr>
          <w:noBreakHyphen/>
        </w:r>
        <w:r w:rsidR="003D37D0" w:rsidRPr="00183B5F">
          <w:rPr>
            <w:szCs w:val="22"/>
          </w:rPr>
          <w:delText>tól a 48.</w:delText>
        </w:r>
        <w:r w:rsidR="00A44DB6" w:rsidRPr="00183B5F">
          <w:rPr>
            <w:szCs w:val="22"/>
          </w:rPr>
          <w:delText> hét</w:delText>
        </w:r>
        <w:r w:rsidR="003D37D0" w:rsidRPr="00183B5F">
          <w:rPr>
            <w:szCs w:val="22"/>
          </w:rPr>
          <w:delText>ig mért</w:delText>
        </w:r>
        <w:r w:rsidR="00B23978" w:rsidRPr="00183B5F">
          <w:rPr>
            <w:szCs w:val="22"/>
          </w:rPr>
          <w:delText xml:space="preserve"> értékek</w:delText>
        </w:r>
        <w:r w:rsidR="003D37D0" w:rsidRPr="00183B5F">
          <w:rPr>
            <w:szCs w:val="22"/>
          </w:rPr>
          <w:delText>) szérum</w:delText>
        </w:r>
        <w:r w:rsidR="00A033CB" w:rsidRPr="00183B5F">
          <w:rPr>
            <w:szCs w:val="22"/>
          </w:rPr>
          <w:delText>-</w:delText>
        </w:r>
        <w:r w:rsidR="003D37D0" w:rsidRPr="00183B5F">
          <w:rPr>
            <w:szCs w:val="22"/>
          </w:rPr>
          <w:delText>adalimumab</w:delText>
        </w:r>
        <w:r w:rsidR="00A033CB" w:rsidRPr="00183B5F">
          <w:rPr>
            <w:szCs w:val="22"/>
          </w:rPr>
          <w:delText>-</w:delText>
        </w:r>
        <w:r w:rsidR="003D37D0" w:rsidRPr="00183B5F">
          <w:rPr>
            <w:szCs w:val="22"/>
          </w:rPr>
          <w:delText>koncentráció értéke 5,6</w:delText>
        </w:r>
        <w:r w:rsidR="00154EFB" w:rsidRPr="00183B5F">
          <w:rPr>
            <w:szCs w:val="22"/>
          </w:rPr>
          <w:delText> </w:delText>
        </w:r>
        <w:r w:rsidR="003D37D0" w:rsidRPr="00183B5F">
          <w:rPr>
            <w:szCs w:val="22"/>
          </w:rPr>
          <w:delText>±</w:delText>
        </w:r>
        <w:r w:rsidR="00154EFB" w:rsidRPr="00183B5F">
          <w:rPr>
            <w:szCs w:val="22"/>
          </w:rPr>
          <w:delText> </w:delText>
        </w:r>
        <w:r w:rsidR="003D37D0" w:rsidRPr="00183B5F">
          <w:rPr>
            <w:szCs w:val="22"/>
          </w:rPr>
          <w:delText>5,6</w:delText>
        </w:r>
        <w:r w:rsidR="00154EFB" w:rsidRPr="00183B5F">
          <w:rPr>
            <w:szCs w:val="22"/>
          </w:rPr>
          <w:delText> </w:delText>
        </w:r>
        <w:r w:rsidR="00A033CB" w:rsidRPr="00183B5F">
          <w:rPr>
            <w:szCs w:val="22"/>
          </w:rPr>
          <w:delText>mikrogramm</w:delText>
        </w:r>
        <w:r w:rsidR="003D37D0" w:rsidRPr="00183B5F">
          <w:rPr>
            <w:szCs w:val="22"/>
          </w:rPr>
          <w:delText>/ml (102%</w:delText>
        </w:r>
        <w:r w:rsidR="00DC0CE2" w:rsidRPr="00183B5F">
          <w:rPr>
            <w:szCs w:val="22"/>
          </w:rPr>
          <w:delText> </w:delText>
        </w:r>
        <w:r w:rsidR="003D37D0" w:rsidRPr="00183B5F">
          <w:rPr>
            <w:szCs w:val="22"/>
          </w:rPr>
          <w:delText>CV)</w:delText>
        </w:r>
        <w:r w:rsidR="006E1E18" w:rsidRPr="00183B5F">
          <w:rPr>
            <w:szCs w:val="22"/>
          </w:rPr>
          <w:delText xml:space="preserve"> </w:delText>
        </w:r>
        <w:r w:rsidR="006A4EE8" w:rsidRPr="00183B5F">
          <w:rPr>
            <w:szCs w:val="22"/>
          </w:rPr>
          <w:delText>volt</w:delText>
        </w:r>
        <w:r w:rsidR="00F54FD1" w:rsidRPr="00183B5F">
          <w:rPr>
            <w:szCs w:val="22"/>
          </w:rPr>
          <w:delText>,</w:delText>
        </w:r>
        <w:r w:rsidR="006A4EE8" w:rsidRPr="00183B5F">
          <w:rPr>
            <w:szCs w:val="22"/>
          </w:rPr>
          <w:delText xml:space="preserve"> </w:delText>
        </w:r>
        <w:r w:rsidR="00822452" w:rsidRPr="00183B5F">
          <w:rPr>
            <w:szCs w:val="22"/>
          </w:rPr>
          <w:delText>ha az adalimumabot együttadott metotrexát nélkül alkalmazták</w:delText>
        </w:r>
        <w:r w:rsidR="006E1E18" w:rsidRPr="00183B5F">
          <w:rPr>
            <w:szCs w:val="22"/>
          </w:rPr>
          <w:delText xml:space="preserve">, </w:delText>
        </w:r>
        <w:r w:rsidR="006A4EE8" w:rsidRPr="00183B5F">
          <w:rPr>
            <w:szCs w:val="22"/>
          </w:rPr>
          <w:delText>míg</w:delText>
        </w:r>
        <w:r w:rsidR="006E1E18" w:rsidRPr="00183B5F">
          <w:rPr>
            <w:szCs w:val="22"/>
          </w:rPr>
          <w:delText xml:space="preserve"> 10,9</w:delText>
        </w:r>
        <w:r w:rsidR="00154EFB" w:rsidRPr="00183B5F">
          <w:rPr>
            <w:szCs w:val="22"/>
          </w:rPr>
          <w:delText> </w:delText>
        </w:r>
        <w:r w:rsidR="006E1E18" w:rsidRPr="00183B5F">
          <w:rPr>
            <w:szCs w:val="22"/>
          </w:rPr>
          <w:delText>±</w:delText>
        </w:r>
        <w:r w:rsidR="00154EFB" w:rsidRPr="00183B5F">
          <w:rPr>
            <w:szCs w:val="22"/>
          </w:rPr>
          <w:delText> </w:delText>
        </w:r>
        <w:r w:rsidR="006E1E18" w:rsidRPr="00183B5F">
          <w:rPr>
            <w:szCs w:val="22"/>
          </w:rPr>
          <w:delText>5,2</w:delText>
        </w:r>
        <w:r w:rsidR="00154EFB" w:rsidRPr="00183B5F">
          <w:rPr>
            <w:szCs w:val="22"/>
          </w:rPr>
          <w:delText> </w:delText>
        </w:r>
        <w:r w:rsidR="00A033CB" w:rsidRPr="00183B5F">
          <w:rPr>
            <w:szCs w:val="22"/>
          </w:rPr>
          <w:delText>mikrogramm</w:delText>
        </w:r>
        <w:r w:rsidR="006E1E18" w:rsidRPr="00183B5F">
          <w:rPr>
            <w:szCs w:val="22"/>
          </w:rPr>
          <w:delText>/ml (47,7%</w:delText>
        </w:r>
        <w:r w:rsidR="00154EFB" w:rsidRPr="00183B5F">
          <w:rPr>
            <w:szCs w:val="22"/>
          </w:rPr>
          <w:delText> </w:delText>
        </w:r>
        <w:r w:rsidR="006E1E18" w:rsidRPr="00183B5F">
          <w:rPr>
            <w:szCs w:val="22"/>
          </w:rPr>
          <w:delText>CV) a</w:delText>
        </w:r>
        <w:r w:rsidR="00BC17B8" w:rsidRPr="00183B5F">
          <w:rPr>
            <w:szCs w:val="22"/>
          </w:rPr>
          <w:delText xml:space="preserve"> kiegészítő </w:delText>
        </w:r>
        <w:r w:rsidR="006E1E18" w:rsidRPr="00183B5F">
          <w:rPr>
            <w:szCs w:val="22"/>
          </w:rPr>
          <w:delText>metotrexát</w:delText>
        </w:r>
        <w:r w:rsidR="005D44EE" w:rsidRPr="00183B5F">
          <w:rPr>
            <w:szCs w:val="22"/>
          </w:rPr>
          <w:noBreakHyphen/>
        </w:r>
        <w:r w:rsidR="006E1E18" w:rsidRPr="00183B5F">
          <w:rPr>
            <w:szCs w:val="22"/>
          </w:rPr>
          <w:delText>kezelés esetén.</w:delText>
        </w:r>
      </w:del>
    </w:p>
    <w:p w14:paraId="5D90BC8B" w14:textId="32ADDA25" w:rsidR="006C68F3" w:rsidRPr="00183B5F" w:rsidRDefault="006C68F3" w:rsidP="004062FE">
      <w:pPr>
        <w:spacing w:line="240" w:lineRule="auto"/>
        <w:rPr>
          <w:del w:id="3574" w:author="AbbVie_HU_03" w:date="2025-05-14T15:27:00Z"/>
          <w:szCs w:val="22"/>
        </w:rPr>
      </w:pPr>
    </w:p>
    <w:p w14:paraId="149DFB76" w14:textId="26F86291" w:rsidR="006C68F3" w:rsidRPr="00183B5F" w:rsidRDefault="00943743" w:rsidP="004062FE">
      <w:pPr>
        <w:spacing w:line="240" w:lineRule="auto"/>
        <w:rPr>
          <w:del w:id="3575" w:author="AbbVie_HU_03" w:date="2025-05-14T15:27:00Z"/>
          <w:szCs w:val="22"/>
        </w:rPr>
      </w:pPr>
      <w:del w:id="3576" w:author="AbbVie_HU_03" w:date="2025-05-14T15:27:00Z">
        <w:r w:rsidRPr="00183B5F">
          <w:rPr>
            <w:szCs w:val="22"/>
          </w:rPr>
          <w:delText xml:space="preserve">Azoknál a </w:delText>
        </w:r>
        <w:r w:rsidR="00822452" w:rsidRPr="00183B5F">
          <w:rPr>
            <w:szCs w:val="22"/>
          </w:rPr>
          <w:delText xml:space="preserve">polyarticularis </w:delText>
        </w:r>
        <w:r w:rsidRPr="00183B5F">
          <w:rPr>
            <w:szCs w:val="22"/>
          </w:rPr>
          <w:delText>JIA</w:delText>
        </w:r>
        <w:r w:rsidRPr="00183B5F">
          <w:rPr>
            <w:szCs w:val="22"/>
          </w:rPr>
          <w:noBreakHyphen/>
        </w:r>
        <w:r w:rsidRPr="00183B5F">
          <w:rPr>
            <w:szCs w:val="22"/>
          </w:rPr>
          <w:delText>ban szenvedő betegeknél, akiknek életkora 2 </w:delText>
        </w:r>
        <w:r w:rsidRPr="00183B5F">
          <w:rPr>
            <w:szCs w:val="22"/>
          </w:rPr>
          <w:noBreakHyphen/>
          <w:delText> &lt;4 vagy 4 év és a</w:delText>
        </w:r>
        <w:r w:rsidR="002C1F5C" w:rsidRPr="00183B5F">
          <w:rPr>
            <w:szCs w:val="22"/>
          </w:rPr>
          <w:delText xml:space="preserve"> </w:delText>
        </w:r>
        <w:r w:rsidRPr="00183B5F">
          <w:rPr>
            <w:szCs w:val="22"/>
          </w:rPr>
          <w:delText xml:space="preserve">feletti, </w:delText>
        </w:r>
        <w:r w:rsidR="009867CD" w:rsidRPr="00183B5F">
          <w:rPr>
            <w:szCs w:val="22"/>
          </w:rPr>
          <w:delText>test</w:delText>
        </w:r>
        <w:r w:rsidRPr="00183B5F">
          <w:rPr>
            <w:szCs w:val="22"/>
          </w:rPr>
          <w:delText xml:space="preserve">tömege &lt;15 kg volt és </w:delText>
        </w:r>
        <w:r w:rsidR="00715F50" w:rsidRPr="00183B5F">
          <w:rPr>
            <w:szCs w:val="22"/>
          </w:rPr>
          <w:delText>24 mg/m</w:delText>
        </w:r>
        <w:r w:rsidR="00715F50" w:rsidRPr="00183B5F">
          <w:rPr>
            <w:szCs w:val="22"/>
            <w:vertAlign w:val="superscript"/>
          </w:rPr>
          <w:delText>2</w:delText>
        </w:r>
        <w:r w:rsidR="00715F50" w:rsidRPr="00183B5F">
          <w:rPr>
            <w:szCs w:val="22"/>
          </w:rPr>
          <w:delText xml:space="preserve"> dózisú </w:delText>
        </w:r>
        <w:r w:rsidR="00822452" w:rsidRPr="00183B5F">
          <w:rPr>
            <w:szCs w:val="22"/>
          </w:rPr>
          <w:delText>adalimumabo</w:delText>
        </w:r>
        <w:r w:rsidR="00715F50" w:rsidRPr="00183B5F">
          <w:rPr>
            <w:szCs w:val="22"/>
          </w:rPr>
          <w:delText xml:space="preserve">t kaptak, a legalacsonyabb átlagos </w:delText>
        </w:r>
        <w:r w:rsidR="00FE5A94" w:rsidRPr="00183B5F">
          <w:rPr>
            <w:szCs w:val="22"/>
          </w:rPr>
          <w:delText>dinamikus egyensúlyi állapotban mért</w:delText>
        </w:r>
        <w:r w:rsidR="00715F50" w:rsidRPr="00183B5F">
          <w:rPr>
            <w:szCs w:val="22"/>
          </w:rPr>
          <w:delText xml:space="preserve"> adalimumab</w:delText>
        </w:r>
        <w:r w:rsidR="00A033CB" w:rsidRPr="00183B5F">
          <w:rPr>
            <w:szCs w:val="22"/>
          </w:rPr>
          <w:delText>-</w:delText>
        </w:r>
        <w:r w:rsidR="00715F50" w:rsidRPr="00183B5F">
          <w:rPr>
            <w:szCs w:val="22"/>
          </w:rPr>
          <w:delText>koncentráció 6,0</w:delText>
        </w:r>
        <w:r w:rsidR="000A4E79" w:rsidRPr="00183B5F">
          <w:rPr>
            <w:szCs w:val="22"/>
          </w:rPr>
          <w:delText> </w:delText>
        </w:r>
        <w:r w:rsidR="00715F50" w:rsidRPr="00183B5F">
          <w:rPr>
            <w:szCs w:val="22"/>
          </w:rPr>
          <w:delText>±</w:delText>
        </w:r>
        <w:r w:rsidR="000A4E79" w:rsidRPr="00183B5F">
          <w:rPr>
            <w:szCs w:val="22"/>
          </w:rPr>
          <w:delText> </w:delText>
        </w:r>
        <w:r w:rsidR="00715F50" w:rsidRPr="00183B5F">
          <w:rPr>
            <w:szCs w:val="22"/>
          </w:rPr>
          <w:delText>6,1</w:delText>
        </w:r>
        <w:r w:rsidR="000A4E79" w:rsidRPr="00183B5F">
          <w:rPr>
            <w:szCs w:val="22"/>
          </w:rPr>
          <w:delText> </w:delText>
        </w:r>
        <w:r w:rsidR="00A033CB" w:rsidRPr="00183B5F">
          <w:rPr>
            <w:szCs w:val="22"/>
          </w:rPr>
          <w:delText>mikrogramm</w:delText>
        </w:r>
        <w:r w:rsidR="00715F50" w:rsidRPr="00183B5F">
          <w:rPr>
            <w:szCs w:val="22"/>
          </w:rPr>
          <w:delText>/ml (101% CV) volt</w:delText>
        </w:r>
        <w:r w:rsidR="003B530C" w:rsidRPr="00183B5F">
          <w:rPr>
            <w:szCs w:val="22"/>
          </w:rPr>
          <w:delText>,</w:delText>
        </w:r>
        <w:r w:rsidR="00715F50" w:rsidRPr="00183B5F">
          <w:rPr>
            <w:szCs w:val="22"/>
          </w:rPr>
          <w:delText xml:space="preserve"> </w:delText>
        </w:r>
        <w:r w:rsidR="00822452" w:rsidRPr="00183B5F">
          <w:rPr>
            <w:szCs w:val="22"/>
          </w:rPr>
          <w:delText>ha az adalimumabot együttadott metotrexát nélkül alkalmazták</w:delText>
        </w:r>
        <w:r w:rsidR="003B530C" w:rsidRPr="00183B5F">
          <w:rPr>
            <w:szCs w:val="22"/>
          </w:rPr>
          <w:delText>,</w:delText>
        </w:r>
        <w:r w:rsidR="00715F50" w:rsidRPr="00183B5F">
          <w:rPr>
            <w:szCs w:val="22"/>
          </w:rPr>
          <w:delText xml:space="preserve"> és 7,9</w:delText>
        </w:r>
        <w:r w:rsidR="000A4E79" w:rsidRPr="00183B5F">
          <w:rPr>
            <w:szCs w:val="22"/>
          </w:rPr>
          <w:delText> </w:delText>
        </w:r>
        <w:r w:rsidR="00715F50" w:rsidRPr="00183B5F">
          <w:rPr>
            <w:szCs w:val="22"/>
          </w:rPr>
          <w:delText>±</w:delText>
        </w:r>
        <w:r w:rsidR="000A4E79" w:rsidRPr="00183B5F">
          <w:rPr>
            <w:szCs w:val="22"/>
          </w:rPr>
          <w:delText> </w:delText>
        </w:r>
        <w:r w:rsidR="00715F50" w:rsidRPr="00183B5F">
          <w:rPr>
            <w:szCs w:val="22"/>
          </w:rPr>
          <w:delText>5,6</w:delText>
        </w:r>
        <w:r w:rsidR="000A4E79" w:rsidRPr="00183B5F">
          <w:rPr>
            <w:szCs w:val="22"/>
          </w:rPr>
          <w:delText> </w:delText>
        </w:r>
        <w:r w:rsidR="00A033CB" w:rsidRPr="00183B5F">
          <w:rPr>
            <w:szCs w:val="22"/>
          </w:rPr>
          <w:delText>mikrogramm</w:delText>
        </w:r>
        <w:r w:rsidR="00715F50" w:rsidRPr="00183B5F">
          <w:rPr>
            <w:szCs w:val="22"/>
          </w:rPr>
          <w:delText>/ml (71,2% CV) volt metotrexáttal kombinált terápia esetén.</w:delText>
        </w:r>
      </w:del>
    </w:p>
    <w:p w14:paraId="0BC4A4FA" w14:textId="21EA108C" w:rsidR="007E74B5" w:rsidRPr="00183B5F" w:rsidRDefault="007E74B5" w:rsidP="004062FE">
      <w:pPr>
        <w:spacing w:line="240" w:lineRule="auto"/>
        <w:rPr>
          <w:del w:id="3577" w:author="AbbVie_HU_03" w:date="2025-05-14T15:27:00Z"/>
          <w:szCs w:val="22"/>
        </w:rPr>
      </w:pPr>
    </w:p>
    <w:p w14:paraId="11F9CCC3" w14:textId="4D480694" w:rsidR="007E74B5" w:rsidRPr="00183B5F" w:rsidRDefault="00943743" w:rsidP="004062FE">
      <w:pPr>
        <w:spacing w:line="240" w:lineRule="auto"/>
        <w:rPr>
          <w:del w:id="3578" w:author="AbbVie_HU_03" w:date="2025-05-14T15:27:00Z"/>
          <w:szCs w:val="22"/>
        </w:rPr>
      </w:pPr>
      <w:del w:id="3579" w:author="AbbVie_HU_03" w:date="2025-05-14T15:27:00Z">
        <w:r w:rsidRPr="00183B5F">
          <w:rPr>
            <w:szCs w:val="22"/>
          </w:rPr>
          <w:delText>Azoknál a 6</w:delText>
        </w:r>
        <w:r w:rsidRPr="00183B5F">
          <w:rPr>
            <w:szCs w:val="22"/>
          </w:rPr>
          <w:noBreakHyphen/>
          <w:delText xml:space="preserve">17 éves, </w:delText>
        </w:r>
        <w:r w:rsidR="00677908" w:rsidRPr="00183B5F">
          <w:rPr>
            <w:szCs w:val="22"/>
          </w:rPr>
          <w:delText>enthesitis-asszociált</w:delText>
        </w:r>
        <w:r w:rsidRPr="00183B5F">
          <w:rPr>
            <w:szCs w:val="22"/>
          </w:rPr>
          <w:delText xml:space="preserve"> arthritisben szenvedő betegeknél, akik 24 mg/m</w:delText>
        </w:r>
        <w:r w:rsidRPr="00183B5F">
          <w:rPr>
            <w:szCs w:val="22"/>
            <w:vertAlign w:val="superscript"/>
          </w:rPr>
          <w:delText>2</w:delText>
        </w:r>
        <w:r w:rsidRPr="00183B5F">
          <w:rPr>
            <w:szCs w:val="22"/>
          </w:rPr>
          <w:delText xml:space="preserve"> (maximum 40 mg) dózisú adalimumabot kaptak subcutan minden második héten, a legalacsonyabb átlagos </w:delText>
        </w:r>
        <w:r w:rsidR="00FE5A94" w:rsidRPr="00183B5F">
          <w:rPr>
            <w:szCs w:val="22"/>
          </w:rPr>
          <w:delText>dinamikus egyensúlyi állapotban mért</w:delText>
        </w:r>
        <w:r w:rsidRPr="00183B5F">
          <w:rPr>
            <w:szCs w:val="22"/>
          </w:rPr>
          <w:delText xml:space="preserve"> adalimumab</w:delText>
        </w:r>
        <w:r w:rsidR="00A033CB" w:rsidRPr="00183B5F">
          <w:rPr>
            <w:szCs w:val="22"/>
          </w:rPr>
          <w:delText>-</w:delText>
        </w:r>
        <w:r w:rsidRPr="00183B5F">
          <w:rPr>
            <w:szCs w:val="22"/>
          </w:rPr>
          <w:delText>koncentráció (a 24. héten mérve) 8,8 ± 6,6 </w:delText>
        </w:r>
        <w:r w:rsidR="00A033CB" w:rsidRPr="00183B5F">
          <w:rPr>
            <w:szCs w:val="22"/>
          </w:rPr>
          <w:delText>mikrogramm</w:delText>
        </w:r>
        <w:r w:rsidRPr="00183B5F">
          <w:rPr>
            <w:szCs w:val="22"/>
          </w:rPr>
          <w:delText>/ml volt</w:delText>
        </w:r>
        <w:r w:rsidR="003B530C" w:rsidRPr="00183B5F">
          <w:rPr>
            <w:szCs w:val="22"/>
          </w:rPr>
          <w:delText>,</w:delText>
        </w:r>
        <w:r w:rsidRPr="00183B5F">
          <w:rPr>
            <w:szCs w:val="22"/>
          </w:rPr>
          <w:delText xml:space="preserve"> ha az adalimumabot együttadott metotrexát nélkül alkalmazták</w:delText>
        </w:r>
        <w:r w:rsidR="003B530C" w:rsidRPr="00183B5F">
          <w:rPr>
            <w:szCs w:val="22"/>
          </w:rPr>
          <w:delText>,</w:delText>
        </w:r>
        <w:r w:rsidRPr="00183B5F">
          <w:rPr>
            <w:szCs w:val="22"/>
          </w:rPr>
          <w:delText xml:space="preserve"> és 11,8 ± 4,3 </w:delText>
        </w:r>
        <w:r w:rsidR="00A033CB" w:rsidRPr="00183B5F">
          <w:rPr>
            <w:szCs w:val="22"/>
          </w:rPr>
          <w:delText>mikrogramm</w:delText>
        </w:r>
        <w:r w:rsidRPr="00183B5F">
          <w:rPr>
            <w:szCs w:val="22"/>
          </w:rPr>
          <w:delText>/ml volt metotrexáttal kombinált terápia esetén.</w:delText>
        </w:r>
      </w:del>
    </w:p>
    <w:bookmarkEnd w:id="3571"/>
    <w:bookmarkEnd w:id="3572"/>
    <w:p w14:paraId="37310252" w14:textId="629A303E" w:rsidR="008A44DA" w:rsidRPr="00183B5F" w:rsidRDefault="008A44DA">
      <w:pPr>
        <w:pStyle w:val="EMEANormal"/>
        <w:rPr>
          <w:del w:id="3580" w:author="AbbVie_HU_03" w:date="2025-05-14T15:27:00Z"/>
          <w:szCs w:val="22"/>
          <w:lang w:val="hu-HU"/>
        </w:rPr>
      </w:pPr>
    </w:p>
    <w:p w14:paraId="6E32E771" w14:textId="1A67904B" w:rsidR="00AD5CEA" w:rsidRPr="00183B5F" w:rsidRDefault="00943743">
      <w:pPr>
        <w:pStyle w:val="EMEANormal"/>
        <w:rPr>
          <w:del w:id="3581" w:author="AbbVie_HU_03" w:date="2025-05-14T15:27:00Z"/>
          <w:szCs w:val="22"/>
          <w:lang w:val="hu-HU"/>
        </w:rPr>
      </w:pPr>
      <w:del w:id="3582" w:author="AbbVie_HU_03" w:date="2025-05-14T15:27:00Z">
        <w:r w:rsidRPr="00183B5F">
          <w:rPr>
            <w:szCs w:val="22"/>
            <w:lang w:val="hu-HU"/>
          </w:rPr>
          <w:delText>Azoknál a krónikus plakkos psoriasisban szenvedő gyermekeknél, akik 0,8 mg</w:delText>
        </w:r>
        <w:r w:rsidR="00127A0B" w:rsidRPr="00183B5F">
          <w:rPr>
            <w:szCs w:val="22"/>
            <w:lang w:val="hu-HU"/>
          </w:rPr>
          <w:delText>/ttkg</w:delText>
        </w:r>
        <w:r w:rsidRPr="00183B5F">
          <w:rPr>
            <w:szCs w:val="22"/>
            <w:lang w:val="hu-HU"/>
          </w:rPr>
          <w:delText xml:space="preserve"> (legfeljebb 40 mg) dózisú adalimumabot kaptak subcutan minden második héten, az átlagos (± SD), dinamikus egyensúlyi állapotban mért </w:delText>
        </w:r>
        <w:r w:rsidR="009C13B8" w:rsidRPr="00183B5F">
          <w:rPr>
            <w:szCs w:val="22"/>
            <w:lang w:val="hu-HU"/>
          </w:rPr>
          <w:delText xml:space="preserve">minimális </w:delText>
        </w:r>
        <w:r w:rsidRPr="00183B5F">
          <w:rPr>
            <w:szCs w:val="22"/>
            <w:lang w:val="hu-HU"/>
          </w:rPr>
          <w:delText>adalimumab</w:delText>
        </w:r>
        <w:r w:rsidR="00A033CB" w:rsidRPr="00183B5F">
          <w:rPr>
            <w:szCs w:val="22"/>
            <w:lang w:val="hu-HU"/>
          </w:rPr>
          <w:delText>-</w:delText>
        </w:r>
        <w:r w:rsidRPr="00183B5F">
          <w:rPr>
            <w:szCs w:val="22"/>
            <w:lang w:val="hu-HU"/>
          </w:rPr>
          <w:delText>koncentráció körülbelül 7,4 ± 5,8 </w:delText>
        </w:r>
        <w:r w:rsidR="00A033CB" w:rsidRPr="00183B5F">
          <w:rPr>
            <w:szCs w:val="22"/>
            <w:lang w:val="hu-HU"/>
          </w:rPr>
          <w:delText>mikrogramm</w:delText>
        </w:r>
        <w:r w:rsidRPr="00183B5F">
          <w:rPr>
            <w:szCs w:val="22"/>
            <w:lang w:val="hu-HU"/>
          </w:rPr>
          <w:delText>/ml (79% CV) volt.</w:delText>
        </w:r>
      </w:del>
    </w:p>
    <w:p w14:paraId="31E5CA38" w14:textId="12173A22" w:rsidR="00AD5CEA" w:rsidRPr="00183B5F" w:rsidRDefault="00AD5CEA">
      <w:pPr>
        <w:pStyle w:val="EMEANormal"/>
        <w:rPr>
          <w:del w:id="3583" w:author="AbbVie_HU_03" w:date="2025-05-14T15:27:00Z"/>
          <w:szCs w:val="22"/>
          <w:lang w:val="hu-HU"/>
        </w:rPr>
      </w:pPr>
    </w:p>
    <w:p w14:paraId="578B9D09" w14:textId="0DCDD954" w:rsidR="00AD5CEA" w:rsidRPr="00183B5F" w:rsidRDefault="00943743">
      <w:pPr>
        <w:pStyle w:val="EMEANormal"/>
        <w:rPr>
          <w:del w:id="3584" w:author="AbbVie_HU_03" w:date="2025-05-14T15:27:00Z"/>
          <w:szCs w:val="22"/>
          <w:lang w:val="hu-HU"/>
        </w:rPr>
      </w:pPr>
      <w:del w:id="3585" w:author="AbbVie_HU_03" w:date="2025-05-14T15:27:00Z">
        <w:r w:rsidRPr="00183B5F">
          <w:rPr>
            <w:szCs w:val="22"/>
            <w:lang w:val="hu-HU"/>
          </w:rPr>
          <w:delText xml:space="preserve">Az adalimumab expozícióját HS-ben szenvedő serdülőknél populációs farmakokinetikai modellezéssel és szimulációval határozták meg, egyéb keresztindikációs gyermekgyógyászati betegek (gyermekkori psoriasis, juvenilis idiopathiás arthritis, gyermekkori Crohn-betegség és </w:delText>
        </w:r>
        <w:r w:rsidR="00677908" w:rsidRPr="00183B5F">
          <w:rPr>
            <w:szCs w:val="22"/>
            <w:lang w:val="hu-HU"/>
          </w:rPr>
          <w:delText>enthesitis-asszociált</w:delText>
        </w:r>
        <w:r w:rsidRPr="00183B5F">
          <w:rPr>
            <w:szCs w:val="22"/>
            <w:lang w:val="hu-HU"/>
          </w:rPr>
          <w:delText xml:space="preserve"> arthritis) farmakokinetikája alapján. HS-ben szenvedő serdülőknél az ajánlott adag 40 mg minden második héten. Mivel az adalimumab expozícióját a testméret befolyásolhatja, a nagyobb testtömegű serdülők</w:delText>
        </w:r>
        <w:r w:rsidR="00AF3DE6" w:rsidRPr="00183B5F">
          <w:rPr>
            <w:szCs w:val="22"/>
            <w:lang w:val="hu-HU"/>
          </w:rPr>
          <w:delText>nél</w:delText>
        </w:r>
        <w:r w:rsidRPr="00183B5F">
          <w:rPr>
            <w:szCs w:val="22"/>
            <w:lang w:val="hu-HU"/>
          </w:rPr>
          <w:delText xml:space="preserve">, vagy </w:delText>
        </w:r>
        <w:r w:rsidR="00AF3DE6" w:rsidRPr="00183B5F">
          <w:rPr>
            <w:szCs w:val="22"/>
            <w:lang w:val="hu-HU"/>
          </w:rPr>
          <w:delText xml:space="preserve">azoknál, </w:delText>
        </w:r>
        <w:r w:rsidRPr="00183B5F">
          <w:rPr>
            <w:szCs w:val="22"/>
            <w:lang w:val="hu-HU"/>
          </w:rPr>
          <w:delText>akik nem megfelelően reagáltak a kezelésre, előnyös lehet, a dózis heti 40 mg</w:delText>
        </w:r>
        <w:r w:rsidR="00E5381A" w:rsidRPr="00183B5F">
          <w:rPr>
            <w:szCs w:val="22"/>
            <w:lang w:val="hu-HU"/>
          </w:rPr>
          <w:noBreakHyphen/>
        </w:r>
        <w:r w:rsidRPr="00183B5F">
          <w:rPr>
            <w:szCs w:val="22"/>
            <w:lang w:val="hu-HU"/>
          </w:rPr>
          <w:delText>os, felnőtt adagra való növelése.</w:delText>
        </w:r>
      </w:del>
    </w:p>
    <w:p w14:paraId="2214422E" w14:textId="2D1724EA" w:rsidR="00AD5CEA" w:rsidRPr="00183B5F" w:rsidRDefault="00AD5CEA">
      <w:pPr>
        <w:pStyle w:val="EMEANormal"/>
        <w:rPr>
          <w:del w:id="3586" w:author="AbbVie_HU_03" w:date="2025-05-14T15:27:00Z"/>
          <w:szCs w:val="22"/>
          <w:lang w:val="hu-HU"/>
        </w:rPr>
      </w:pPr>
    </w:p>
    <w:p w14:paraId="7E3BA55D" w14:textId="32822A98" w:rsidR="000754C8" w:rsidRPr="00183B5F" w:rsidRDefault="00943743">
      <w:pPr>
        <w:pStyle w:val="EMEANormal"/>
        <w:rPr>
          <w:del w:id="3587" w:author="AbbVie_HU_03" w:date="2025-05-14T15:27:00Z"/>
          <w:szCs w:val="22"/>
          <w:lang w:val="hu-HU"/>
        </w:rPr>
      </w:pPr>
      <w:del w:id="3588" w:author="AbbVie_HU_03" w:date="2025-05-14T15:27:00Z">
        <w:r w:rsidRPr="00183B5F">
          <w:rPr>
            <w:szCs w:val="22"/>
            <w:lang w:val="hu-HU"/>
          </w:rPr>
          <w:delText>Köz</w:delText>
        </w:r>
        <w:r w:rsidR="00F40C95" w:rsidRPr="00183B5F">
          <w:rPr>
            <w:szCs w:val="22"/>
            <w:lang w:val="hu-HU"/>
          </w:rPr>
          <w:delText xml:space="preserve">epesen </w:delText>
        </w:r>
        <w:r w:rsidRPr="00183B5F">
          <w:rPr>
            <w:szCs w:val="22"/>
            <w:lang w:val="hu-HU"/>
          </w:rPr>
          <w:delText xml:space="preserve">súlyos-súlyos </w:delText>
        </w:r>
        <w:r w:rsidR="00F40C95" w:rsidRPr="00183B5F">
          <w:rPr>
            <w:szCs w:val="22"/>
            <w:lang w:val="hu-HU"/>
          </w:rPr>
          <w:delText xml:space="preserve">aktivitású </w:delText>
        </w:r>
        <w:r w:rsidRPr="00183B5F">
          <w:rPr>
            <w:szCs w:val="22"/>
            <w:lang w:val="hu-HU"/>
          </w:rPr>
          <w:delText>Crohn</w:delText>
        </w:r>
        <w:r w:rsidR="00DB74EE" w:rsidRPr="00183B5F">
          <w:rPr>
            <w:szCs w:val="22"/>
            <w:lang w:val="hu-HU"/>
          </w:rPr>
          <w:noBreakHyphen/>
        </w:r>
        <w:r w:rsidRPr="00183B5F">
          <w:rPr>
            <w:szCs w:val="22"/>
            <w:lang w:val="hu-HU"/>
          </w:rPr>
          <w:delText xml:space="preserve">betegségben szenvedő </w:delText>
        </w:r>
        <w:r w:rsidR="00CB73C8" w:rsidRPr="00183B5F">
          <w:rPr>
            <w:szCs w:val="22"/>
            <w:lang w:val="hu-HU"/>
          </w:rPr>
          <w:delText>gyermekeknél és serdülőknél</w:delText>
        </w:r>
        <w:r w:rsidRPr="00183B5F">
          <w:rPr>
            <w:szCs w:val="22"/>
            <w:lang w:val="hu-HU"/>
          </w:rPr>
          <w:delText xml:space="preserve"> </w:delText>
        </w:r>
        <w:r w:rsidR="0069658A" w:rsidRPr="00183B5F">
          <w:rPr>
            <w:szCs w:val="22"/>
            <w:lang w:val="hu-HU"/>
          </w:rPr>
          <w:delText xml:space="preserve">az adalimumab </w:delText>
        </w:r>
        <w:r w:rsidRPr="00183B5F">
          <w:rPr>
            <w:szCs w:val="22"/>
            <w:lang w:val="hu-HU"/>
          </w:rPr>
          <w:delText>nyílt elrendezés</w:delText>
        </w:r>
        <w:r w:rsidR="0069658A" w:rsidRPr="00183B5F">
          <w:rPr>
            <w:szCs w:val="22"/>
            <w:lang w:val="hu-HU"/>
          </w:rPr>
          <w:delText>ben alkalmazott</w:delText>
        </w:r>
        <w:r w:rsidRPr="00183B5F">
          <w:rPr>
            <w:szCs w:val="22"/>
            <w:lang w:val="hu-HU"/>
          </w:rPr>
          <w:delText xml:space="preserve"> indukciós dózis</w:delText>
        </w:r>
        <w:r w:rsidR="0069658A" w:rsidRPr="00183B5F">
          <w:rPr>
            <w:szCs w:val="22"/>
            <w:lang w:val="hu-HU"/>
          </w:rPr>
          <w:delText>a</w:delText>
        </w:r>
        <w:r w:rsidRPr="00183B5F">
          <w:rPr>
            <w:szCs w:val="22"/>
            <w:lang w:val="hu-HU"/>
          </w:rPr>
          <w:delText xml:space="preserve"> 160/80</w:delText>
        </w:r>
        <w:r w:rsidR="00D633C7" w:rsidRPr="00183B5F">
          <w:rPr>
            <w:szCs w:val="22"/>
            <w:lang w:val="hu-HU"/>
          </w:rPr>
          <w:delText> </w:delText>
        </w:r>
        <w:r w:rsidRPr="00183B5F">
          <w:rPr>
            <w:szCs w:val="22"/>
            <w:lang w:val="hu-HU"/>
          </w:rPr>
          <w:delText>mg, illetve 80/40</w:delText>
        </w:r>
        <w:r w:rsidR="00D633C7" w:rsidRPr="00183B5F">
          <w:rPr>
            <w:szCs w:val="22"/>
            <w:lang w:val="hu-HU"/>
          </w:rPr>
          <w:delText> </w:delText>
        </w:r>
        <w:r w:rsidRPr="00183B5F">
          <w:rPr>
            <w:szCs w:val="22"/>
            <w:lang w:val="hu-HU"/>
          </w:rPr>
          <w:delText>mg volt a 0. és 2.</w:delText>
        </w:r>
        <w:r w:rsidR="00D633C7" w:rsidRPr="00183B5F">
          <w:rPr>
            <w:szCs w:val="22"/>
            <w:lang w:val="hu-HU"/>
          </w:rPr>
          <w:delText> </w:delText>
        </w:r>
        <w:r w:rsidRPr="00183B5F">
          <w:rPr>
            <w:szCs w:val="22"/>
            <w:lang w:val="hu-HU"/>
          </w:rPr>
          <w:delText>héten</w:delText>
        </w:r>
        <w:r w:rsidR="0069658A" w:rsidRPr="00183B5F">
          <w:rPr>
            <w:szCs w:val="22"/>
            <w:lang w:val="hu-HU"/>
          </w:rPr>
          <w:delText>,</w:delText>
        </w:r>
        <w:r w:rsidRPr="00183B5F">
          <w:rPr>
            <w:szCs w:val="22"/>
            <w:lang w:val="hu-HU"/>
          </w:rPr>
          <w:delText xml:space="preserve"> </w:delText>
        </w:r>
        <w:r w:rsidR="007B2E71" w:rsidRPr="00183B5F">
          <w:rPr>
            <w:szCs w:val="22"/>
            <w:lang w:val="hu-HU"/>
          </w:rPr>
          <w:delText>figyelembe véve</w:delText>
        </w:r>
        <w:r w:rsidR="0069658A" w:rsidRPr="00183B5F">
          <w:rPr>
            <w:szCs w:val="22"/>
            <w:lang w:val="hu-HU"/>
          </w:rPr>
          <w:delText xml:space="preserve"> </w:delText>
        </w:r>
        <w:r w:rsidR="007B2E71" w:rsidRPr="00183B5F">
          <w:rPr>
            <w:szCs w:val="22"/>
            <w:lang w:val="hu-HU"/>
          </w:rPr>
          <w:delText xml:space="preserve">a </w:delText>
        </w:r>
        <w:r w:rsidR="0069658A" w:rsidRPr="00183B5F">
          <w:rPr>
            <w:szCs w:val="22"/>
            <w:lang w:val="hu-HU"/>
          </w:rPr>
          <w:delText>testtömeg</w:delText>
        </w:r>
        <w:r w:rsidR="007B2E71" w:rsidRPr="00183B5F">
          <w:rPr>
            <w:szCs w:val="22"/>
            <w:lang w:val="hu-HU"/>
          </w:rPr>
          <w:delText xml:space="preserve">re meghatározott </w:delText>
        </w:r>
        <w:r w:rsidR="0069658A" w:rsidRPr="00183B5F">
          <w:rPr>
            <w:szCs w:val="22"/>
            <w:lang w:val="hu-HU"/>
          </w:rPr>
          <w:delText>40</w:delText>
        </w:r>
        <w:r w:rsidR="00D633C7" w:rsidRPr="00183B5F">
          <w:rPr>
            <w:szCs w:val="22"/>
            <w:lang w:val="hu-HU"/>
          </w:rPr>
          <w:delText> </w:delText>
        </w:r>
        <w:r w:rsidR="0069658A" w:rsidRPr="00183B5F">
          <w:rPr>
            <w:szCs w:val="22"/>
            <w:lang w:val="hu-HU"/>
          </w:rPr>
          <w:delText>kg-os h</w:delText>
        </w:r>
        <w:r w:rsidR="007B2E71" w:rsidRPr="00183B5F">
          <w:rPr>
            <w:szCs w:val="22"/>
            <w:lang w:val="hu-HU"/>
          </w:rPr>
          <w:delText>atárértéket</w:delText>
        </w:r>
        <w:r w:rsidRPr="00183B5F">
          <w:rPr>
            <w:szCs w:val="22"/>
            <w:lang w:val="hu-HU"/>
          </w:rPr>
          <w:delText>. A 4.</w:delText>
        </w:r>
        <w:r w:rsidR="00D633C7" w:rsidRPr="00183B5F">
          <w:rPr>
            <w:szCs w:val="22"/>
            <w:lang w:val="hu-HU"/>
          </w:rPr>
          <w:delText> </w:delText>
        </w:r>
        <w:r w:rsidRPr="00183B5F">
          <w:rPr>
            <w:szCs w:val="22"/>
            <w:lang w:val="hu-HU"/>
          </w:rPr>
          <w:delText>héten a betegeket 1:1</w:delText>
        </w:r>
        <w:r w:rsidR="00D633C7" w:rsidRPr="00183B5F">
          <w:rPr>
            <w:szCs w:val="22"/>
            <w:lang w:val="hu-HU"/>
          </w:rPr>
          <w:delText> </w:delText>
        </w:r>
        <w:r w:rsidRPr="00183B5F">
          <w:rPr>
            <w:szCs w:val="22"/>
            <w:lang w:val="hu-HU"/>
          </w:rPr>
          <w:delText xml:space="preserve">arányban Standard </w:delText>
        </w:r>
        <w:r w:rsidR="00E77824" w:rsidRPr="00183B5F">
          <w:rPr>
            <w:szCs w:val="22"/>
            <w:lang w:val="hu-HU"/>
          </w:rPr>
          <w:delText xml:space="preserve">dózisú </w:delText>
        </w:r>
        <w:r w:rsidRPr="00183B5F">
          <w:rPr>
            <w:szCs w:val="22"/>
            <w:lang w:val="hu-HU"/>
          </w:rPr>
          <w:delText>(40/20</w:delText>
        </w:r>
        <w:r w:rsidR="00D633C7" w:rsidRPr="00183B5F">
          <w:rPr>
            <w:szCs w:val="22"/>
            <w:lang w:val="hu-HU"/>
          </w:rPr>
          <w:delText> </w:delText>
        </w:r>
        <w:r w:rsidRPr="00183B5F">
          <w:rPr>
            <w:szCs w:val="22"/>
            <w:lang w:val="hu-HU"/>
          </w:rPr>
          <w:delText>mg minden második héten) vagy Alacsony dózisú (20/10</w:delText>
        </w:r>
        <w:r w:rsidR="00D633C7" w:rsidRPr="00183B5F">
          <w:rPr>
            <w:szCs w:val="22"/>
            <w:lang w:val="hu-HU"/>
          </w:rPr>
          <w:delText> </w:delText>
        </w:r>
        <w:r w:rsidRPr="00183B5F">
          <w:rPr>
            <w:szCs w:val="22"/>
            <w:lang w:val="hu-HU"/>
          </w:rPr>
          <w:delText xml:space="preserve">mg minden második héten) fenntartó kezelési csoportba </w:delText>
        </w:r>
        <w:r w:rsidR="00925B3C" w:rsidRPr="00183B5F">
          <w:rPr>
            <w:szCs w:val="22"/>
            <w:lang w:val="hu-HU"/>
          </w:rPr>
          <w:delText xml:space="preserve">randomizálták </w:delText>
        </w:r>
        <w:r w:rsidR="007C758D" w:rsidRPr="00183B5F">
          <w:rPr>
            <w:szCs w:val="22"/>
            <w:lang w:val="hu-HU"/>
          </w:rPr>
          <w:delText xml:space="preserve">a </w:delText>
        </w:r>
        <w:r w:rsidRPr="00183B5F">
          <w:rPr>
            <w:szCs w:val="22"/>
            <w:lang w:val="hu-HU"/>
          </w:rPr>
          <w:delText>test</w:delText>
        </w:r>
        <w:r w:rsidR="007C758D" w:rsidRPr="00183B5F">
          <w:rPr>
            <w:szCs w:val="22"/>
            <w:lang w:val="hu-HU"/>
          </w:rPr>
          <w:delText>tömegük</w:delText>
        </w:r>
        <w:r w:rsidRPr="00183B5F">
          <w:rPr>
            <w:szCs w:val="22"/>
            <w:lang w:val="hu-HU"/>
          </w:rPr>
          <w:delText xml:space="preserve"> alapján. A 4.</w:delText>
        </w:r>
        <w:r w:rsidR="00D633C7" w:rsidRPr="00183B5F">
          <w:rPr>
            <w:szCs w:val="22"/>
            <w:lang w:val="hu-HU"/>
          </w:rPr>
          <w:delText> </w:delText>
        </w:r>
        <w:r w:rsidRPr="00183B5F">
          <w:rPr>
            <w:szCs w:val="22"/>
            <w:lang w:val="hu-HU"/>
          </w:rPr>
          <w:delText>hétre elért átlag</w:delText>
        </w:r>
        <w:r w:rsidR="00E77824" w:rsidRPr="00183B5F">
          <w:rPr>
            <w:szCs w:val="22"/>
            <w:lang w:val="hu-HU"/>
          </w:rPr>
          <w:delText>os</w:delText>
        </w:r>
        <w:r w:rsidRPr="00183B5F">
          <w:rPr>
            <w:szCs w:val="22"/>
            <w:lang w:val="hu-HU"/>
          </w:rPr>
          <w:delText xml:space="preserve"> (±SD) </w:delText>
        </w:r>
        <w:r w:rsidR="00E77824" w:rsidRPr="00183B5F">
          <w:rPr>
            <w:szCs w:val="22"/>
            <w:lang w:val="hu-HU"/>
          </w:rPr>
          <w:delText>maradék</w:delText>
        </w:r>
        <w:r w:rsidRPr="00183B5F">
          <w:rPr>
            <w:szCs w:val="22"/>
            <w:lang w:val="hu-HU"/>
          </w:rPr>
          <w:delText xml:space="preserve"> </w:delText>
        </w:r>
        <w:r w:rsidR="00A075AE" w:rsidRPr="00183B5F">
          <w:rPr>
            <w:szCs w:val="22"/>
            <w:lang w:val="hu-HU"/>
          </w:rPr>
          <w:delText>szérum</w:delText>
        </w:r>
        <w:r w:rsidR="00CB73C8" w:rsidRPr="00183B5F">
          <w:rPr>
            <w:szCs w:val="22"/>
            <w:lang w:val="hu-HU"/>
          </w:rPr>
          <w:delText>-</w:delText>
        </w:r>
        <w:r w:rsidR="00E77824" w:rsidRPr="00183B5F">
          <w:rPr>
            <w:szCs w:val="22"/>
            <w:lang w:val="hu-HU"/>
          </w:rPr>
          <w:delText>adalimumab</w:delText>
        </w:r>
        <w:r w:rsidR="007C758D" w:rsidRPr="00183B5F">
          <w:rPr>
            <w:szCs w:val="22"/>
            <w:lang w:val="hu-HU"/>
          </w:rPr>
          <w:noBreakHyphen/>
        </w:r>
        <w:r w:rsidRPr="00183B5F">
          <w:rPr>
            <w:szCs w:val="22"/>
            <w:lang w:val="hu-HU"/>
          </w:rPr>
          <w:delText xml:space="preserve">koncentráció </w:delText>
        </w:r>
        <w:r w:rsidR="00E77824" w:rsidRPr="00183B5F">
          <w:rPr>
            <w:szCs w:val="22"/>
            <w:lang w:val="hu-HU"/>
          </w:rPr>
          <w:delText>15,7±6,6</w:delText>
        </w:r>
        <w:r w:rsidR="00D633C7" w:rsidRPr="00183B5F">
          <w:rPr>
            <w:szCs w:val="22"/>
            <w:lang w:val="hu-HU"/>
          </w:rPr>
          <w:delText> </w:delText>
        </w:r>
        <w:r w:rsidR="00CB73C8" w:rsidRPr="00183B5F">
          <w:rPr>
            <w:szCs w:val="22"/>
            <w:lang w:val="hu-HU"/>
          </w:rPr>
          <w:delText>mikrogramm</w:delText>
        </w:r>
        <w:r w:rsidR="00E77824" w:rsidRPr="00183B5F">
          <w:rPr>
            <w:szCs w:val="22"/>
            <w:lang w:val="hu-HU"/>
          </w:rPr>
          <w:delText xml:space="preserve">/ml volt </w:delText>
        </w:r>
        <w:r w:rsidRPr="00183B5F">
          <w:rPr>
            <w:szCs w:val="22"/>
            <w:lang w:val="hu-HU"/>
          </w:rPr>
          <w:delText>a 40</w:delText>
        </w:r>
        <w:r w:rsidR="00D633C7" w:rsidRPr="00183B5F">
          <w:rPr>
            <w:szCs w:val="22"/>
            <w:lang w:val="hu-HU"/>
          </w:rPr>
          <w:delText> </w:delText>
        </w:r>
        <w:r w:rsidRPr="00183B5F">
          <w:rPr>
            <w:szCs w:val="22"/>
            <w:lang w:val="hu-HU"/>
          </w:rPr>
          <w:delText>kg</w:delText>
        </w:r>
        <w:r w:rsidR="00DB74EE" w:rsidRPr="00183B5F">
          <w:rPr>
            <w:szCs w:val="22"/>
            <w:lang w:val="hu-HU"/>
          </w:rPr>
          <w:noBreakHyphen/>
        </w:r>
        <w:r w:rsidR="00E77824" w:rsidRPr="00183B5F">
          <w:rPr>
            <w:szCs w:val="22"/>
            <w:lang w:val="hu-HU"/>
          </w:rPr>
          <w:delText>os vagy annál nagyobb</w:delText>
        </w:r>
        <w:r w:rsidRPr="00183B5F">
          <w:rPr>
            <w:szCs w:val="22"/>
            <w:lang w:val="hu-HU"/>
          </w:rPr>
          <w:delText xml:space="preserve"> test</w:delText>
        </w:r>
        <w:r w:rsidR="007C758D" w:rsidRPr="00183B5F">
          <w:rPr>
            <w:szCs w:val="22"/>
            <w:lang w:val="hu-HU"/>
          </w:rPr>
          <w:delText>tömegű</w:delText>
        </w:r>
        <w:r w:rsidRPr="00183B5F">
          <w:rPr>
            <w:szCs w:val="22"/>
            <w:lang w:val="hu-HU"/>
          </w:rPr>
          <w:delText xml:space="preserve"> betegeknél (160/80</w:delText>
        </w:r>
        <w:r w:rsidR="00D633C7" w:rsidRPr="00183B5F">
          <w:rPr>
            <w:szCs w:val="22"/>
            <w:lang w:val="hu-HU"/>
          </w:rPr>
          <w:delText> </w:delText>
        </w:r>
        <w:r w:rsidRPr="00183B5F">
          <w:rPr>
            <w:szCs w:val="22"/>
            <w:lang w:val="hu-HU"/>
          </w:rPr>
          <w:delText>mg)</w:delText>
        </w:r>
        <w:r w:rsidR="00E77824" w:rsidRPr="00183B5F">
          <w:rPr>
            <w:szCs w:val="22"/>
            <w:lang w:val="hu-HU"/>
          </w:rPr>
          <w:delText>, míg</w:delText>
        </w:r>
        <w:r w:rsidRPr="00183B5F">
          <w:rPr>
            <w:szCs w:val="22"/>
            <w:lang w:val="hu-HU"/>
          </w:rPr>
          <w:delText xml:space="preserve"> a 40</w:delText>
        </w:r>
        <w:r w:rsidR="00D633C7" w:rsidRPr="00183B5F">
          <w:rPr>
            <w:szCs w:val="22"/>
            <w:lang w:val="hu-HU"/>
          </w:rPr>
          <w:delText> </w:delText>
        </w:r>
        <w:r w:rsidRPr="00183B5F">
          <w:rPr>
            <w:szCs w:val="22"/>
            <w:lang w:val="hu-HU"/>
          </w:rPr>
          <w:delText>kg</w:delText>
        </w:r>
        <w:r w:rsidR="00DB74EE" w:rsidRPr="00183B5F">
          <w:rPr>
            <w:szCs w:val="22"/>
            <w:lang w:val="hu-HU"/>
          </w:rPr>
          <w:noBreakHyphen/>
        </w:r>
        <w:r w:rsidRPr="00183B5F">
          <w:rPr>
            <w:szCs w:val="22"/>
            <w:lang w:val="hu-HU"/>
          </w:rPr>
          <w:delText xml:space="preserve">nál alacsonyabb </w:delText>
        </w:r>
        <w:r w:rsidR="007C758D" w:rsidRPr="00183B5F">
          <w:rPr>
            <w:szCs w:val="22"/>
            <w:lang w:val="hu-HU"/>
          </w:rPr>
          <w:delText xml:space="preserve">testtömegű </w:delText>
        </w:r>
        <w:r w:rsidRPr="00183B5F">
          <w:rPr>
            <w:szCs w:val="22"/>
            <w:lang w:val="hu-HU"/>
          </w:rPr>
          <w:delText>betegeknél (80/40</w:delText>
        </w:r>
        <w:r w:rsidR="00D633C7" w:rsidRPr="00183B5F">
          <w:rPr>
            <w:szCs w:val="22"/>
            <w:lang w:val="hu-HU"/>
          </w:rPr>
          <w:delText> </w:delText>
        </w:r>
        <w:r w:rsidRPr="00183B5F">
          <w:rPr>
            <w:szCs w:val="22"/>
            <w:lang w:val="hu-HU"/>
          </w:rPr>
          <w:delText xml:space="preserve">mg) </w:delText>
        </w:r>
        <w:r w:rsidR="00E77824" w:rsidRPr="00183B5F">
          <w:rPr>
            <w:szCs w:val="22"/>
            <w:lang w:val="hu-HU"/>
          </w:rPr>
          <w:delText xml:space="preserve">ez az érték </w:delText>
        </w:r>
        <w:r w:rsidRPr="00183B5F">
          <w:rPr>
            <w:szCs w:val="22"/>
            <w:lang w:val="hu-HU"/>
          </w:rPr>
          <w:delText>10,6±6,1</w:delText>
        </w:r>
        <w:r w:rsidR="00D633C7" w:rsidRPr="00183B5F">
          <w:rPr>
            <w:szCs w:val="22"/>
            <w:lang w:val="hu-HU"/>
          </w:rPr>
          <w:delText> </w:delText>
        </w:r>
        <w:r w:rsidR="00CB73C8" w:rsidRPr="00183B5F">
          <w:rPr>
            <w:szCs w:val="22"/>
            <w:lang w:val="hu-HU"/>
          </w:rPr>
          <w:delText>mikrogramm</w:delText>
        </w:r>
        <w:r w:rsidRPr="00183B5F">
          <w:rPr>
            <w:szCs w:val="22"/>
            <w:lang w:val="hu-HU"/>
          </w:rPr>
          <w:delText>/ml volt.</w:delText>
        </w:r>
      </w:del>
    </w:p>
    <w:p w14:paraId="5143EC00" w14:textId="46A8D7D2" w:rsidR="000754C8" w:rsidRPr="00183B5F" w:rsidRDefault="000754C8">
      <w:pPr>
        <w:pStyle w:val="EMEANormal"/>
        <w:rPr>
          <w:del w:id="3589" w:author="AbbVie_HU_03" w:date="2025-05-14T15:27:00Z"/>
          <w:szCs w:val="22"/>
          <w:lang w:val="hu-HU"/>
        </w:rPr>
      </w:pPr>
    </w:p>
    <w:p w14:paraId="35C1A8B9" w14:textId="013366CF" w:rsidR="00C229DD" w:rsidRPr="00183B5F" w:rsidRDefault="00943743">
      <w:pPr>
        <w:pStyle w:val="EMEANormal"/>
        <w:rPr>
          <w:del w:id="3590" w:author="AbbVie_HU_03" w:date="2025-05-14T15:27:00Z"/>
          <w:szCs w:val="22"/>
          <w:lang w:val="hu-HU"/>
        </w:rPr>
      </w:pPr>
      <w:del w:id="3591" w:author="AbbVie_HU_03" w:date="2025-05-14T15:27:00Z">
        <w:r w:rsidRPr="00183B5F">
          <w:rPr>
            <w:szCs w:val="22"/>
            <w:lang w:val="hu-HU"/>
          </w:rPr>
          <w:delText>A</w:delText>
        </w:r>
        <w:r w:rsidR="00A075AE" w:rsidRPr="00183B5F">
          <w:rPr>
            <w:szCs w:val="22"/>
            <w:lang w:val="hu-HU"/>
          </w:rPr>
          <w:delText>zo</w:delText>
        </w:r>
        <w:r w:rsidR="007C758D" w:rsidRPr="00183B5F">
          <w:rPr>
            <w:szCs w:val="22"/>
            <w:lang w:val="hu-HU"/>
          </w:rPr>
          <w:delText>knál a</w:delText>
        </w:r>
        <w:r w:rsidR="00A075AE" w:rsidRPr="00183B5F">
          <w:rPr>
            <w:szCs w:val="22"/>
            <w:lang w:val="hu-HU"/>
          </w:rPr>
          <w:delText xml:space="preserve"> betegeknél, akik a </w:delText>
        </w:r>
        <w:r w:rsidRPr="00183B5F">
          <w:rPr>
            <w:szCs w:val="22"/>
            <w:lang w:val="hu-HU"/>
          </w:rPr>
          <w:delText>randomizált</w:delText>
        </w:r>
        <w:r w:rsidR="00A075AE" w:rsidRPr="00183B5F">
          <w:rPr>
            <w:szCs w:val="22"/>
            <w:lang w:val="hu-HU"/>
          </w:rPr>
          <w:delText xml:space="preserve"> kezelésen maradtak, </w:delText>
        </w:r>
        <w:r w:rsidRPr="00183B5F">
          <w:rPr>
            <w:szCs w:val="22"/>
            <w:lang w:val="hu-HU"/>
          </w:rPr>
          <w:delText>az 52.</w:delText>
        </w:r>
        <w:r w:rsidR="002C4912" w:rsidRPr="00183B5F">
          <w:rPr>
            <w:szCs w:val="22"/>
            <w:lang w:val="hu-HU"/>
          </w:rPr>
          <w:delText> </w:delText>
        </w:r>
        <w:r w:rsidRPr="00183B5F">
          <w:rPr>
            <w:szCs w:val="22"/>
            <w:lang w:val="hu-HU"/>
          </w:rPr>
          <w:delText>hé</w:delText>
        </w:r>
        <w:r w:rsidR="005100EC" w:rsidRPr="00183B5F">
          <w:rPr>
            <w:szCs w:val="22"/>
            <w:lang w:val="hu-HU"/>
          </w:rPr>
          <w:delText>ten</w:delText>
        </w:r>
        <w:r w:rsidRPr="00183B5F">
          <w:rPr>
            <w:szCs w:val="22"/>
            <w:lang w:val="hu-HU"/>
          </w:rPr>
          <w:delText xml:space="preserve"> az átlag</w:delText>
        </w:r>
        <w:r w:rsidR="00A075AE" w:rsidRPr="00183B5F">
          <w:rPr>
            <w:szCs w:val="22"/>
            <w:lang w:val="hu-HU"/>
          </w:rPr>
          <w:delText>os</w:delText>
        </w:r>
        <w:r w:rsidRPr="00183B5F">
          <w:rPr>
            <w:szCs w:val="22"/>
            <w:lang w:val="hu-HU"/>
          </w:rPr>
          <w:delText xml:space="preserve"> (±SD) </w:delText>
        </w:r>
        <w:r w:rsidR="00A075AE" w:rsidRPr="00183B5F">
          <w:rPr>
            <w:szCs w:val="22"/>
            <w:lang w:val="hu-HU"/>
          </w:rPr>
          <w:delText>maradék</w:delText>
        </w:r>
        <w:r w:rsidRPr="00183B5F">
          <w:rPr>
            <w:szCs w:val="22"/>
            <w:lang w:val="hu-HU"/>
          </w:rPr>
          <w:delText xml:space="preserve"> </w:delText>
        </w:r>
        <w:r w:rsidR="00A075AE" w:rsidRPr="00183B5F">
          <w:rPr>
            <w:szCs w:val="22"/>
            <w:lang w:val="hu-HU"/>
          </w:rPr>
          <w:delText>szérum</w:delText>
        </w:r>
        <w:r w:rsidR="00CB73C8" w:rsidRPr="00183B5F">
          <w:rPr>
            <w:szCs w:val="22"/>
            <w:lang w:val="hu-HU"/>
          </w:rPr>
          <w:delText>-</w:delText>
        </w:r>
        <w:r w:rsidR="00A075AE" w:rsidRPr="00183B5F">
          <w:rPr>
            <w:szCs w:val="22"/>
            <w:lang w:val="hu-HU"/>
          </w:rPr>
          <w:delText>adalimumab</w:delText>
        </w:r>
        <w:r w:rsidR="007C758D" w:rsidRPr="00183B5F">
          <w:rPr>
            <w:szCs w:val="22"/>
            <w:lang w:val="hu-HU"/>
          </w:rPr>
          <w:noBreakHyphen/>
        </w:r>
        <w:r w:rsidRPr="00183B5F">
          <w:rPr>
            <w:szCs w:val="22"/>
            <w:lang w:val="hu-HU"/>
          </w:rPr>
          <w:delText>koncentráció a Standard dózis</w:delText>
        </w:r>
        <w:r w:rsidR="009429AD" w:rsidRPr="00183B5F">
          <w:rPr>
            <w:szCs w:val="22"/>
            <w:lang w:val="hu-HU"/>
          </w:rPr>
          <w:delText>sal kezelt</w:delText>
        </w:r>
        <w:r w:rsidR="006F474F" w:rsidRPr="00183B5F">
          <w:rPr>
            <w:szCs w:val="22"/>
            <w:lang w:val="hu-HU"/>
          </w:rPr>
          <w:delText>ek</w:delText>
        </w:r>
        <w:r w:rsidRPr="00183B5F">
          <w:rPr>
            <w:szCs w:val="22"/>
            <w:lang w:val="hu-HU"/>
          </w:rPr>
          <w:delText xml:space="preserve"> csoport</w:delText>
        </w:r>
        <w:r w:rsidR="006F474F" w:rsidRPr="00183B5F">
          <w:rPr>
            <w:szCs w:val="22"/>
            <w:lang w:val="hu-HU"/>
          </w:rPr>
          <w:delText>já</w:delText>
        </w:r>
        <w:r w:rsidRPr="00183B5F">
          <w:rPr>
            <w:szCs w:val="22"/>
            <w:lang w:val="hu-HU"/>
          </w:rPr>
          <w:delText>ban 9,5±5,6</w:delText>
        </w:r>
        <w:r w:rsidR="002C4912" w:rsidRPr="00183B5F">
          <w:rPr>
            <w:szCs w:val="22"/>
            <w:lang w:val="hu-HU"/>
          </w:rPr>
          <w:delText> </w:delText>
        </w:r>
        <w:r w:rsidR="00CB73C8" w:rsidRPr="00183B5F">
          <w:rPr>
            <w:szCs w:val="22"/>
            <w:lang w:val="hu-HU"/>
          </w:rPr>
          <w:delText>mikrogramm</w:delText>
        </w:r>
        <w:r w:rsidRPr="00183B5F">
          <w:rPr>
            <w:szCs w:val="22"/>
            <w:lang w:val="hu-HU"/>
          </w:rPr>
          <w:delText xml:space="preserve">/ml, </w:delText>
        </w:r>
        <w:r w:rsidR="009429AD" w:rsidRPr="00183B5F">
          <w:rPr>
            <w:szCs w:val="22"/>
            <w:lang w:val="hu-HU"/>
          </w:rPr>
          <w:delText xml:space="preserve">míg </w:delText>
        </w:r>
        <w:r w:rsidRPr="00183B5F">
          <w:rPr>
            <w:szCs w:val="22"/>
            <w:lang w:val="hu-HU"/>
          </w:rPr>
          <w:delText>az Alacsony dózis</w:delText>
        </w:r>
        <w:r w:rsidR="009429AD" w:rsidRPr="00183B5F">
          <w:rPr>
            <w:szCs w:val="22"/>
            <w:lang w:val="hu-HU"/>
          </w:rPr>
          <w:delText xml:space="preserve">sal kezelteknél </w:delText>
        </w:r>
        <w:r w:rsidRPr="00183B5F">
          <w:rPr>
            <w:szCs w:val="22"/>
            <w:lang w:val="hu-HU"/>
          </w:rPr>
          <w:delText>3,5±2,2</w:delText>
        </w:r>
        <w:r w:rsidR="002C4912" w:rsidRPr="00183B5F">
          <w:rPr>
            <w:szCs w:val="22"/>
            <w:lang w:val="hu-HU"/>
          </w:rPr>
          <w:delText> </w:delText>
        </w:r>
        <w:r w:rsidR="00CB73C8" w:rsidRPr="00183B5F">
          <w:rPr>
            <w:szCs w:val="22"/>
            <w:lang w:val="hu-HU"/>
          </w:rPr>
          <w:delText>mikrogramm</w:delText>
        </w:r>
        <w:r w:rsidRPr="00183B5F">
          <w:rPr>
            <w:szCs w:val="22"/>
            <w:lang w:val="hu-HU"/>
          </w:rPr>
          <w:delText xml:space="preserve">/ml volt. Az átlagos </w:delText>
        </w:r>
        <w:r w:rsidR="006B563C" w:rsidRPr="00183B5F">
          <w:rPr>
            <w:szCs w:val="22"/>
            <w:lang w:val="hu-HU"/>
          </w:rPr>
          <w:delText>maradék</w:delText>
        </w:r>
        <w:r w:rsidRPr="00183B5F">
          <w:rPr>
            <w:szCs w:val="22"/>
            <w:lang w:val="hu-HU"/>
          </w:rPr>
          <w:delText xml:space="preserve"> koncentráció fennmaradt azoknál a betegeknél, akik </w:delText>
        </w:r>
        <w:r w:rsidR="006B563C" w:rsidRPr="00183B5F">
          <w:rPr>
            <w:szCs w:val="22"/>
            <w:lang w:val="hu-HU"/>
          </w:rPr>
          <w:delText>kéthetenkénti adalimumab</w:delText>
        </w:r>
        <w:r w:rsidR="007C758D" w:rsidRPr="00183B5F">
          <w:rPr>
            <w:szCs w:val="22"/>
            <w:lang w:val="hu-HU"/>
          </w:rPr>
          <w:noBreakHyphen/>
        </w:r>
        <w:r w:rsidR="006B563C" w:rsidRPr="00183B5F">
          <w:rPr>
            <w:szCs w:val="22"/>
            <w:lang w:val="hu-HU"/>
          </w:rPr>
          <w:delText xml:space="preserve">kezelést kapták az </w:delText>
        </w:r>
        <w:r w:rsidRPr="00183B5F">
          <w:rPr>
            <w:szCs w:val="22"/>
            <w:lang w:val="hu-HU"/>
          </w:rPr>
          <w:delText>52</w:delText>
        </w:r>
        <w:r w:rsidR="002C4912" w:rsidRPr="00183B5F">
          <w:rPr>
            <w:szCs w:val="22"/>
            <w:lang w:val="hu-HU"/>
          </w:rPr>
          <w:delText> </w:delText>
        </w:r>
        <w:r w:rsidRPr="00183B5F">
          <w:rPr>
            <w:szCs w:val="22"/>
            <w:lang w:val="hu-HU"/>
          </w:rPr>
          <w:delText>hétig</w:delText>
        </w:r>
        <w:r w:rsidR="00A271C8" w:rsidRPr="00183B5F">
          <w:rPr>
            <w:szCs w:val="22"/>
            <w:lang w:val="hu-HU"/>
          </w:rPr>
          <w:delText>.</w:delText>
        </w:r>
        <w:r w:rsidRPr="00183B5F">
          <w:rPr>
            <w:szCs w:val="22"/>
            <w:lang w:val="hu-HU"/>
          </w:rPr>
          <w:delText xml:space="preserve"> .Azoknál a betegeknél, akiknél a kezelés gyakoriságát kéthetenkéntiről heti egyszeri</w:delText>
        </w:r>
        <w:r w:rsidR="00A271C8" w:rsidRPr="00183B5F">
          <w:rPr>
            <w:szCs w:val="22"/>
            <w:lang w:val="hu-HU"/>
          </w:rPr>
          <w:delText>re</w:delText>
        </w:r>
        <w:r w:rsidR="002C4912" w:rsidRPr="00183B5F">
          <w:rPr>
            <w:szCs w:val="22"/>
            <w:lang w:val="hu-HU"/>
          </w:rPr>
          <w:delText xml:space="preserve"> </w:delText>
        </w:r>
        <w:r w:rsidRPr="00183B5F">
          <w:rPr>
            <w:szCs w:val="22"/>
            <w:lang w:val="hu-HU"/>
          </w:rPr>
          <w:delText xml:space="preserve">emelték, </w:delText>
        </w:r>
        <w:r w:rsidR="00A271C8" w:rsidRPr="00183B5F">
          <w:rPr>
            <w:szCs w:val="22"/>
            <w:lang w:val="hu-HU"/>
          </w:rPr>
          <w:delText>az átlagos (±SD) szérum</w:delText>
        </w:r>
        <w:r w:rsidR="00CB73C8" w:rsidRPr="00183B5F">
          <w:rPr>
            <w:szCs w:val="22"/>
            <w:lang w:val="hu-HU"/>
          </w:rPr>
          <w:delText>-</w:delText>
        </w:r>
        <w:r w:rsidR="00A271C8" w:rsidRPr="00183B5F">
          <w:rPr>
            <w:szCs w:val="22"/>
            <w:lang w:val="hu-HU"/>
          </w:rPr>
          <w:delText>adalimumab</w:delText>
        </w:r>
        <w:r w:rsidR="007C758D" w:rsidRPr="00183B5F">
          <w:rPr>
            <w:szCs w:val="22"/>
            <w:lang w:val="hu-HU"/>
          </w:rPr>
          <w:noBreakHyphen/>
        </w:r>
        <w:r w:rsidR="00A271C8" w:rsidRPr="00183B5F">
          <w:rPr>
            <w:szCs w:val="22"/>
            <w:lang w:val="hu-HU"/>
          </w:rPr>
          <w:delText xml:space="preserve">koncentráció </w:delText>
        </w:r>
        <w:r w:rsidRPr="00183B5F">
          <w:rPr>
            <w:szCs w:val="22"/>
            <w:lang w:val="hu-HU"/>
          </w:rPr>
          <w:delText>az 52.</w:delText>
        </w:r>
        <w:r w:rsidR="002C4912" w:rsidRPr="00183B5F">
          <w:rPr>
            <w:szCs w:val="22"/>
            <w:lang w:val="hu-HU"/>
          </w:rPr>
          <w:delText> </w:delText>
        </w:r>
        <w:r w:rsidRPr="00183B5F">
          <w:rPr>
            <w:szCs w:val="22"/>
            <w:lang w:val="hu-HU"/>
          </w:rPr>
          <w:delText>héten 15,3±11,4</w:delText>
        </w:r>
        <w:r w:rsidR="002C4912" w:rsidRPr="00183B5F">
          <w:rPr>
            <w:szCs w:val="22"/>
            <w:lang w:val="hu-HU"/>
          </w:rPr>
          <w:delText> </w:delText>
        </w:r>
        <w:r w:rsidR="00CB73C8" w:rsidRPr="00183B5F">
          <w:rPr>
            <w:szCs w:val="22"/>
            <w:lang w:val="hu-HU"/>
          </w:rPr>
          <w:delText>mikrogramm</w:delText>
        </w:r>
        <w:r w:rsidRPr="00183B5F">
          <w:rPr>
            <w:szCs w:val="22"/>
            <w:lang w:val="hu-HU"/>
          </w:rPr>
          <w:delText>/ml (40/20</w:delText>
        </w:r>
        <w:r w:rsidR="002C4912" w:rsidRPr="00183B5F">
          <w:rPr>
            <w:szCs w:val="22"/>
            <w:lang w:val="hu-HU"/>
          </w:rPr>
          <w:delText> </w:delText>
        </w:r>
        <w:r w:rsidRPr="00183B5F">
          <w:rPr>
            <w:szCs w:val="22"/>
            <w:lang w:val="hu-HU"/>
          </w:rPr>
          <w:delText>mg hetente)</w:delText>
        </w:r>
        <w:r w:rsidR="007C758D" w:rsidRPr="00183B5F">
          <w:rPr>
            <w:szCs w:val="22"/>
            <w:lang w:val="hu-HU"/>
          </w:rPr>
          <w:delText>,</w:delText>
        </w:r>
        <w:r w:rsidRPr="00183B5F">
          <w:rPr>
            <w:szCs w:val="22"/>
            <w:lang w:val="hu-HU"/>
          </w:rPr>
          <w:delText xml:space="preserve"> </w:delText>
        </w:r>
        <w:r w:rsidR="00A271C8" w:rsidRPr="00183B5F">
          <w:rPr>
            <w:szCs w:val="22"/>
            <w:lang w:val="hu-HU"/>
          </w:rPr>
          <w:delText xml:space="preserve">illetve </w:delText>
        </w:r>
        <w:r w:rsidRPr="00183B5F">
          <w:rPr>
            <w:szCs w:val="22"/>
            <w:lang w:val="hu-HU"/>
          </w:rPr>
          <w:delText>6,7±3,5</w:delText>
        </w:r>
        <w:r w:rsidR="002C4912" w:rsidRPr="00183B5F">
          <w:rPr>
            <w:szCs w:val="22"/>
            <w:lang w:val="hu-HU"/>
          </w:rPr>
          <w:delText> </w:delText>
        </w:r>
        <w:r w:rsidR="00CB73C8" w:rsidRPr="00183B5F">
          <w:rPr>
            <w:szCs w:val="22"/>
            <w:lang w:val="hu-HU"/>
          </w:rPr>
          <w:delText>mikrogramm</w:delText>
        </w:r>
        <w:r w:rsidRPr="00183B5F">
          <w:rPr>
            <w:szCs w:val="22"/>
            <w:lang w:val="hu-HU"/>
          </w:rPr>
          <w:delText>/ml (20/10</w:delText>
        </w:r>
        <w:r w:rsidR="002C4912" w:rsidRPr="00183B5F">
          <w:rPr>
            <w:szCs w:val="22"/>
            <w:lang w:val="hu-HU"/>
          </w:rPr>
          <w:delText> </w:delText>
        </w:r>
        <w:r w:rsidRPr="00183B5F">
          <w:rPr>
            <w:szCs w:val="22"/>
            <w:lang w:val="hu-HU"/>
          </w:rPr>
          <w:delText>mg hetente) volt.</w:delText>
        </w:r>
      </w:del>
    </w:p>
    <w:p w14:paraId="61728A2F" w14:textId="2BFBC8A0" w:rsidR="000316C4" w:rsidRPr="00183B5F" w:rsidRDefault="000316C4">
      <w:pPr>
        <w:pStyle w:val="EMEANormal"/>
        <w:rPr>
          <w:del w:id="3592" w:author="AbbVie_HU_03" w:date="2025-05-14T15:27:00Z"/>
          <w:szCs w:val="22"/>
          <w:lang w:val="hu-HU"/>
        </w:rPr>
      </w:pPr>
    </w:p>
    <w:p w14:paraId="022C2A22" w14:textId="76382FC9" w:rsidR="00B703E8" w:rsidRPr="00183B5F" w:rsidRDefault="00943743">
      <w:pPr>
        <w:pStyle w:val="EMEANormal"/>
        <w:rPr>
          <w:del w:id="3593" w:author="AbbVie_HU_03" w:date="2025-05-14T15:27:00Z"/>
          <w:szCs w:val="22"/>
          <w:lang w:val="hu-HU"/>
        </w:rPr>
      </w:pPr>
      <w:del w:id="3594" w:author="AbbVie_HU_03" w:date="2025-05-14T15:27:00Z">
        <w:r w:rsidRPr="00183B5F">
          <w:rPr>
            <w:szCs w:val="22"/>
            <w:lang w:val="hu-HU"/>
          </w:rPr>
          <w:delText>Az adalimumab expozícióját gyermekeknél populációs farmakokinetikai modellezéssel és szimulációval határozták meg egyéb keresztindikációs gyermekgyógyászati betegek (gyermekkori psoriasis, juvenilis idiopathi</w:delText>
        </w:r>
        <w:r w:rsidR="00630C94" w:rsidRPr="00183B5F">
          <w:rPr>
            <w:szCs w:val="22"/>
            <w:lang w:val="hu-HU"/>
          </w:rPr>
          <w:delText>ás arthritis, gyermekkori Crohn</w:delText>
        </w:r>
        <w:r w:rsidR="00630C94" w:rsidRPr="00183B5F">
          <w:rPr>
            <w:szCs w:val="22"/>
            <w:lang w:val="hu-HU"/>
          </w:rPr>
          <w:noBreakHyphen/>
        </w:r>
        <w:r w:rsidRPr="00183B5F">
          <w:rPr>
            <w:szCs w:val="22"/>
            <w:lang w:val="hu-HU"/>
          </w:rPr>
          <w:delText xml:space="preserve">betegség és </w:delText>
        </w:r>
        <w:r w:rsidR="00677908" w:rsidRPr="00183B5F">
          <w:rPr>
            <w:szCs w:val="22"/>
            <w:lang w:val="hu-HU"/>
          </w:rPr>
          <w:delText>enthesitis-asszociált</w:delText>
        </w:r>
        <w:r w:rsidRPr="00183B5F">
          <w:rPr>
            <w:szCs w:val="22"/>
            <w:lang w:val="hu-HU"/>
          </w:rPr>
          <w:delText xml:space="preserve"> arthritis) farmakokinetikája alapján. </w:delText>
        </w:r>
        <w:r w:rsidR="0043256F" w:rsidRPr="00183B5F">
          <w:rPr>
            <w:szCs w:val="22"/>
            <w:lang w:val="hu-HU"/>
          </w:rPr>
          <w:delText xml:space="preserve">Nem állnak rendelkezésre klinikai </w:delText>
        </w:r>
        <w:r w:rsidRPr="00183B5F">
          <w:rPr>
            <w:szCs w:val="22"/>
            <w:lang w:val="hu-HU"/>
          </w:rPr>
          <w:delText xml:space="preserve">expozíciós </w:delText>
        </w:r>
        <w:r w:rsidR="0043256F" w:rsidRPr="00183B5F">
          <w:rPr>
            <w:szCs w:val="22"/>
            <w:lang w:val="hu-HU"/>
          </w:rPr>
          <w:delText>adatok a telítő dóz</w:delText>
        </w:r>
        <w:r w:rsidR="009129E3" w:rsidRPr="00183B5F">
          <w:rPr>
            <w:szCs w:val="22"/>
            <w:lang w:val="hu-HU"/>
          </w:rPr>
          <w:delText>is 6 évnél fiatalabb gyerm</w:delText>
        </w:r>
        <w:r w:rsidR="0043256F" w:rsidRPr="00183B5F">
          <w:rPr>
            <w:szCs w:val="22"/>
            <w:lang w:val="hu-HU"/>
          </w:rPr>
          <w:delText>ekeknél történő alkalmazásá</w:delText>
        </w:r>
        <w:r w:rsidR="00997B75" w:rsidRPr="00183B5F">
          <w:rPr>
            <w:szCs w:val="22"/>
            <w:lang w:val="hu-HU"/>
          </w:rPr>
          <w:delText>ról</w:delText>
        </w:r>
        <w:r w:rsidR="0043256F" w:rsidRPr="00183B5F">
          <w:rPr>
            <w:szCs w:val="22"/>
            <w:lang w:val="hu-HU"/>
          </w:rPr>
          <w:delText xml:space="preserve">. </w:delText>
        </w:r>
        <w:r w:rsidRPr="00183B5F">
          <w:rPr>
            <w:szCs w:val="22"/>
            <w:lang w:val="hu-HU"/>
          </w:rPr>
          <w:delText>A várható expozíció alapján metotrexát hiányában a telítő dózis a szisztémás expozíció kezdeti növekedé</w:delText>
        </w:r>
        <w:r w:rsidR="00667947" w:rsidRPr="00183B5F">
          <w:rPr>
            <w:szCs w:val="22"/>
            <w:lang w:val="hu-HU"/>
          </w:rPr>
          <w:delText>sé</w:delText>
        </w:r>
        <w:r w:rsidRPr="00183B5F">
          <w:rPr>
            <w:szCs w:val="22"/>
            <w:lang w:val="hu-HU"/>
          </w:rPr>
          <w:delText>hez vezethet.</w:delText>
        </w:r>
      </w:del>
    </w:p>
    <w:p w14:paraId="735913E5" w14:textId="648E22C9" w:rsidR="00877496" w:rsidRPr="00183B5F" w:rsidRDefault="00877496">
      <w:pPr>
        <w:pStyle w:val="EMEANormal"/>
        <w:rPr>
          <w:del w:id="3595" w:author="AbbVie_HU_03" w:date="2025-05-14T15:27:00Z"/>
          <w:szCs w:val="22"/>
          <w:lang w:val="hu-HU"/>
        </w:rPr>
      </w:pPr>
    </w:p>
    <w:p w14:paraId="3B5D2537" w14:textId="3C099ED6" w:rsidR="0007145B" w:rsidRPr="00183B5F" w:rsidRDefault="00943743" w:rsidP="0007145B">
      <w:pPr>
        <w:pStyle w:val="EMEANormal"/>
        <w:rPr>
          <w:del w:id="3596" w:author="AbbVie_HU_03" w:date="2025-05-14T15:27:00Z"/>
          <w:szCs w:val="22"/>
          <w:u w:val="single"/>
          <w:lang w:val="hu-HU"/>
        </w:rPr>
      </w:pPr>
      <w:del w:id="3597" w:author="AbbVie_HU_03" w:date="2025-05-14T15:27:00Z">
        <w:r w:rsidRPr="00183B5F">
          <w:rPr>
            <w:szCs w:val="22"/>
            <w:u w:val="single"/>
            <w:lang w:val="hu-HU"/>
          </w:rPr>
          <w:delText>Dózis-hatás összefüggés gyermek</w:delText>
        </w:r>
        <w:r w:rsidR="00FD08D3" w:rsidRPr="00183B5F">
          <w:rPr>
            <w:szCs w:val="22"/>
            <w:u w:val="single"/>
            <w:lang w:val="hu-HU"/>
          </w:rPr>
          <w:delText>eknél és serdülőknél</w:delText>
        </w:r>
      </w:del>
    </w:p>
    <w:p w14:paraId="7F698478" w14:textId="581F406C" w:rsidR="00FC288C" w:rsidRPr="00183B5F" w:rsidRDefault="00FC288C" w:rsidP="0007145B">
      <w:pPr>
        <w:pStyle w:val="EMEANormal"/>
        <w:rPr>
          <w:del w:id="3598" w:author="AbbVie_HU_03" w:date="2025-05-14T15:27:00Z"/>
          <w:szCs w:val="22"/>
          <w:lang w:val="hu-HU"/>
        </w:rPr>
      </w:pPr>
    </w:p>
    <w:p w14:paraId="0E0BF977" w14:textId="5C1B3D30" w:rsidR="0007145B" w:rsidRPr="00183B5F" w:rsidRDefault="00943743" w:rsidP="0007145B">
      <w:pPr>
        <w:spacing w:line="240" w:lineRule="auto"/>
        <w:rPr>
          <w:del w:id="3599" w:author="AbbVie_HU_03" w:date="2025-05-14T15:27:00Z"/>
        </w:rPr>
      </w:pPr>
      <w:del w:id="3600" w:author="AbbVie_HU_03" w:date="2025-05-14T15:27:00Z">
        <w:r w:rsidRPr="00183B5F">
          <w:delText xml:space="preserve">JIA-ban (pJIA és ERA) szenvedő betegeknél végzett klinikai vizsgálati adatok alapján állapították meg a dózis-hatás összefüggést a plazmakoncentrációk és a Pediátriai ACR 50 válasz között. Az adalimumab látszólagos </w:delText>
        </w:r>
        <w:r w:rsidR="002E2506" w:rsidRPr="00183B5F">
          <w:delText>plazma</w:delText>
        </w:r>
        <w:r w:rsidRPr="00183B5F">
          <w:delText>koncentrációja, ami a Pediátriai ACR 50 válasz maximális valószínűsége felének eléréséhez szükséges (EC50)</w:delText>
        </w:r>
        <w:r w:rsidR="009C13B8" w:rsidRPr="00183B5F">
          <w:delText>,</w:delText>
        </w:r>
        <w:r w:rsidRPr="00183B5F">
          <w:delText xml:space="preserve"> 3 </w:delText>
        </w:r>
        <w:r w:rsidR="00CB73C8" w:rsidRPr="00183B5F">
          <w:delText>mikrogramm</w:delText>
        </w:r>
        <w:r w:rsidRPr="00183B5F">
          <w:delText>/ml (95%</w:delText>
        </w:r>
        <w:r w:rsidR="009C13B8" w:rsidRPr="00183B5F">
          <w:noBreakHyphen/>
          <w:delText>os</w:delText>
        </w:r>
        <w:r w:rsidRPr="00183B5F">
          <w:delText xml:space="preserve"> CI: 1</w:delText>
        </w:r>
        <w:r w:rsidRPr="00183B5F">
          <w:noBreakHyphen/>
          <w:delText>6 </w:delText>
        </w:r>
        <w:r w:rsidR="00CB73C8" w:rsidRPr="00183B5F">
          <w:delText>mikrogramm</w:delText>
        </w:r>
        <w:r w:rsidRPr="00183B5F">
          <w:delText>/ml) volt.</w:delText>
        </w:r>
      </w:del>
    </w:p>
    <w:p w14:paraId="7C6E0618" w14:textId="1C0743B7" w:rsidR="0007145B" w:rsidRPr="00183B5F" w:rsidRDefault="0007145B" w:rsidP="0007145B">
      <w:pPr>
        <w:autoSpaceDE w:val="0"/>
        <w:autoSpaceDN w:val="0"/>
        <w:adjustRightInd w:val="0"/>
        <w:spacing w:line="240" w:lineRule="auto"/>
        <w:rPr>
          <w:del w:id="3601" w:author="AbbVie_HU_03" w:date="2025-05-14T15:27:00Z"/>
        </w:rPr>
      </w:pPr>
    </w:p>
    <w:p w14:paraId="23ECCBF1" w14:textId="3190A116" w:rsidR="0007145B" w:rsidRPr="00183B5F" w:rsidRDefault="00943743" w:rsidP="0007145B">
      <w:pPr>
        <w:autoSpaceDE w:val="0"/>
        <w:autoSpaceDN w:val="0"/>
        <w:adjustRightInd w:val="0"/>
        <w:spacing w:line="240" w:lineRule="auto"/>
        <w:rPr>
          <w:del w:id="3602" w:author="AbbVie_HU_03" w:date="2025-05-14T15:27:00Z"/>
        </w:rPr>
      </w:pPr>
      <w:del w:id="3603" w:author="AbbVie_HU_03" w:date="2025-05-14T15:27:00Z">
        <w:r w:rsidRPr="00183B5F">
          <w:delText>Az adalimumab koncentrációja és hatásossága közötti dózis-hatás összefüggést a súlyos, krónikus plakkos psoriasisban szenvedő gyermekeknél a PASI 75 és a PGA</w:delText>
        </w:r>
        <w:r w:rsidR="00F23D70" w:rsidRPr="00183B5F">
          <w:delText xml:space="preserve"> szerinti</w:delText>
        </w:r>
        <w:r w:rsidRPr="00183B5F">
          <w:delText xml:space="preserve"> tiszta vagy minimális értékre vonatkozóan állapították meg. A </w:delText>
        </w:r>
        <w:r w:rsidRPr="00183B5F">
          <w:rPr>
            <w:szCs w:val="22"/>
          </w:rPr>
          <w:delText>PASI 75 és PGA</w:delText>
        </w:r>
        <w:r w:rsidR="00F23D70" w:rsidRPr="00183B5F">
          <w:rPr>
            <w:szCs w:val="22"/>
          </w:rPr>
          <w:delText xml:space="preserve"> szerinti</w:delText>
        </w:r>
        <w:r w:rsidRPr="00183B5F">
          <w:rPr>
            <w:szCs w:val="22"/>
          </w:rPr>
          <w:delText xml:space="preserve"> tiszta vagy minimális érték emelkedett </w:delText>
        </w:r>
        <w:r w:rsidR="000C5B43" w:rsidRPr="00183B5F">
          <w:rPr>
            <w:szCs w:val="22"/>
          </w:rPr>
          <w:delText xml:space="preserve">a </w:delText>
        </w:r>
        <w:r w:rsidRPr="00183B5F">
          <w:rPr>
            <w:szCs w:val="22"/>
          </w:rPr>
          <w:delText>növekvő adalimumab-koncentráció</w:delText>
        </w:r>
        <w:r w:rsidR="000C5B43" w:rsidRPr="00183B5F">
          <w:rPr>
            <w:szCs w:val="22"/>
          </w:rPr>
          <w:delText>kkal</w:delText>
        </w:r>
        <w:r w:rsidRPr="00183B5F">
          <w:rPr>
            <w:szCs w:val="22"/>
          </w:rPr>
          <w:delText>, mindkettő hasonló látszólagos EC50 értékkel, ami hozzávetőlegesen 4,5 </w:delText>
        </w:r>
        <w:r w:rsidR="00CB73C8" w:rsidRPr="00183B5F">
          <w:rPr>
            <w:szCs w:val="22"/>
          </w:rPr>
          <w:delText>mikrogramm</w:delText>
        </w:r>
        <w:r w:rsidRPr="00183B5F">
          <w:rPr>
            <w:szCs w:val="22"/>
          </w:rPr>
          <w:delText>/ml (95%</w:delText>
        </w:r>
        <w:r w:rsidR="009C13B8" w:rsidRPr="00183B5F">
          <w:rPr>
            <w:szCs w:val="22"/>
          </w:rPr>
          <w:noBreakHyphen/>
          <w:delText>os</w:delText>
        </w:r>
        <w:r w:rsidRPr="00183B5F">
          <w:rPr>
            <w:szCs w:val="22"/>
          </w:rPr>
          <w:delText xml:space="preserve"> CI: 0,4-47,6 illetve 1,9-10,5) volt.</w:delText>
        </w:r>
      </w:del>
    </w:p>
    <w:p w14:paraId="4E58B4E4" w14:textId="14809A98" w:rsidR="0007145B" w:rsidRPr="00183B5F" w:rsidRDefault="0007145B">
      <w:pPr>
        <w:pStyle w:val="EMEANormal"/>
        <w:rPr>
          <w:del w:id="3604" w:author="AbbVie_HU_03" w:date="2025-05-14T15:27:00Z"/>
          <w:szCs w:val="22"/>
          <w:lang w:val="hu-HU"/>
        </w:rPr>
      </w:pPr>
    </w:p>
    <w:p w14:paraId="3C206E96" w14:textId="2AB52724" w:rsidR="008A44DA" w:rsidRPr="00183B5F" w:rsidRDefault="00943743" w:rsidP="004062FE">
      <w:pPr>
        <w:keepNext/>
        <w:autoSpaceDE w:val="0"/>
        <w:autoSpaceDN w:val="0"/>
        <w:adjustRightInd w:val="0"/>
        <w:spacing w:line="240" w:lineRule="auto"/>
        <w:rPr>
          <w:del w:id="3605" w:author="AbbVie_HU_03" w:date="2025-05-14T15:27:00Z"/>
          <w:szCs w:val="22"/>
          <w:u w:val="single"/>
        </w:rPr>
      </w:pPr>
      <w:del w:id="3606" w:author="AbbVie_HU_03" w:date="2025-05-14T15:27:00Z">
        <w:r w:rsidRPr="00183B5F">
          <w:rPr>
            <w:szCs w:val="22"/>
            <w:u w:val="single"/>
          </w:rPr>
          <w:delText>Felnőttek</w:delText>
        </w:r>
      </w:del>
    </w:p>
    <w:p w14:paraId="433F4F94" w14:textId="02AB5B76" w:rsidR="00644955" w:rsidRPr="00183B5F" w:rsidRDefault="00644955" w:rsidP="004062FE">
      <w:pPr>
        <w:keepNext/>
        <w:autoSpaceDE w:val="0"/>
        <w:autoSpaceDN w:val="0"/>
        <w:adjustRightInd w:val="0"/>
        <w:spacing w:line="240" w:lineRule="auto"/>
        <w:rPr>
          <w:del w:id="3607" w:author="AbbVie_HU_03" w:date="2025-05-14T15:27:00Z"/>
          <w:szCs w:val="22"/>
          <w:u w:val="single"/>
        </w:rPr>
      </w:pPr>
    </w:p>
    <w:p w14:paraId="6EDCA77F" w14:textId="332C2A8E" w:rsidR="00FB6710" w:rsidRPr="00183B5F" w:rsidRDefault="00943743" w:rsidP="004062FE">
      <w:pPr>
        <w:keepNext/>
        <w:spacing w:line="240" w:lineRule="auto"/>
        <w:rPr>
          <w:del w:id="3608" w:author="AbbVie_HU_03" w:date="2025-05-14T15:27:00Z"/>
          <w:szCs w:val="22"/>
        </w:rPr>
      </w:pPr>
      <w:del w:id="3609" w:author="AbbVie_HU_03" w:date="2025-05-14T15:27:00Z">
        <w:r w:rsidRPr="00183B5F">
          <w:rPr>
            <w:szCs w:val="22"/>
          </w:rPr>
          <w:delText xml:space="preserve">40 mg </w:delText>
        </w:r>
        <w:r w:rsidR="00566CF8" w:rsidRPr="00183B5F">
          <w:rPr>
            <w:szCs w:val="22"/>
          </w:rPr>
          <w:delText xml:space="preserve">adag </w:delText>
        </w:r>
        <w:r w:rsidRPr="00183B5F">
          <w:rPr>
            <w:szCs w:val="22"/>
          </w:rPr>
          <w:delText>egyszeri subcutan beadását követően a</w:delText>
        </w:r>
        <w:r w:rsidR="00566CF8" w:rsidRPr="00183B5F">
          <w:rPr>
            <w:szCs w:val="22"/>
          </w:rPr>
          <w:delText>z adalimumab</w:delText>
        </w:r>
        <w:r w:rsidRPr="00183B5F">
          <w:rPr>
            <w:szCs w:val="22"/>
          </w:rPr>
          <w:delText xml:space="preserve"> felszívódása és eloszlása lassú volt, a szérumban a csúcskoncentrációt csak a beadást követő 5.</w:delText>
        </w:r>
        <w:r w:rsidR="00330A18" w:rsidRPr="00183B5F">
          <w:rPr>
            <w:szCs w:val="22"/>
          </w:rPr>
          <w:delText> </w:delText>
        </w:r>
        <w:r w:rsidRPr="00183B5F">
          <w:rPr>
            <w:szCs w:val="22"/>
          </w:rPr>
          <w:delText>napon érte el. A</w:delText>
        </w:r>
        <w:r w:rsidR="00566CF8" w:rsidRPr="00183B5F">
          <w:rPr>
            <w:szCs w:val="22"/>
          </w:rPr>
          <w:delText>z adalimumab</w:delText>
        </w:r>
        <w:r w:rsidRPr="00183B5F">
          <w:rPr>
            <w:szCs w:val="22"/>
          </w:rPr>
          <w:delText xml:space="preserve"> átlagos abszolút biohasznosulása, 40 mg adalimumab subcutan beadását követően, három vizsgálat eredményei alapján 64% volt. 0,25 mg</w:delText>
        </w:r>
        <w:r w:rsidR="00127A0B" w:rsidRPr="00183B5F">
          <w:rPr>
            <w:szCs w:val="22"/>
          </w:rPr>
          <w:delText>/ttkg</w:delText>
        </w:r>
        <w:r w:rsidRPr="00183B5F">
          <w:rPr>
            <w:szCs w:val="22"/>
          </w:rPr>
          <w:noBreakHyphen/>
          <w:delText>tól 10 mg</w:delText>
        </w:r>
        <w:r w:rsidR="00127A0B" w:rsidRPr="00183B5F">
          <w:rPr>
            <w:szCs w:val="22"/>
          </w:rPr>
          <w:delText>/ttkg</w:delText>
        </w:r>
        <w:r w:rsidRPr="00183B5F">
          <w:rPr>
            <w:szCs w:val="22"/>
          </w:rPr>
          <w:noBreakHyphen/>
          <w:delText xml:space="preserve">ig terjedő </w:delText>
        </w:r>
        <w:r w:rsidR="00CC6628" w:rsidRPr="00183B5F">
          <w:rPr>
            <w:szCs w:val="22"/>
          </w:rPr>
          <w:delText>adag</w:delText>
        </w:r>
        <w:r w:rsidRPr="00183B5F">
          <w:rPr>
            <w:szCs w:val="22"/>
          </w:rPr>
          <w:delText xml:space="preserve"> egyszeri intravénás beadását követően a szérumkoncentráció a</w:delText>
        </w:r>
        <w:r w:rsidR="00CC6628" w:rsidRPr="00183B5F">
          <w:rPr>
            <w:szCs w:val="22"/>
          </w:rPr>
          <w:delText>z adaggal</w:delText>
        </w:r>
        <w:r w:rsidRPr="00183B5F">
          <w:rPr>
            <w:szCs w:val="22"/>
          </w:rPr>
          <w:delText xml:space="preserve"> részarányos volt. 0,5 mg</w:delText>
        </w:r>
        <w:r w:rsidR="00127A0B" w:rsidRPr="00183B5F">
          <w:rPr>
            <w:szCs w:val="22"/>
          </w:rPr>
          <w:delText>/ttkg</w:delText>
        </w:r>
        <w:r w:rsidRPr="00183B5F">
          <w:rPr>
            <w:szCs w:val="22"/>
          </w:rPr>
          <w:noBreakHyphen/>
          <w:delText xml:space="preserve">os </w:delText>
        </w:r>
        <w:r w:rsidR="00CC6628" w:rsidRPr="00183B5F">
          <w:rPr>
            <w:szCs w:val="22"/>
          </w:rPr>
          <w:delText>adag</w:delText>
        </w:r>
        <w:r w:rsidRPr="00183B5F">
          <w:rPr>
            <w:szCs w:val="22"/>
          </w:rPr>
          <w:delText xml:space="preserve"> (~40 mg) beadását követően, a clearence 11 és 15 ml/óra között, az eloszlási térfogat (V</w:delText>
        </w:r>
        <w:r w:rsidRPr="00183B5F">
          <w:rPr>
            <w:szCs w:val="22"/>
            <w:vertAlign w:val="subscript"/>
          </w:rPr>
          <w:delText>ss</w:delText>
        </w:r>
        <w:r w:rsidRPr="00183B5F">
          <w:rPr>
            <w:szCs w:val="22"/>
          </w:rPr>
          <w:delText>) 5</w:delText>
        </w:r>
        <w:r w:rsidRPr="00183B5F">
          <w:rPr>
            <w:szCs w:val="22"/>
          </w:rPr>
          <w:noBreakHyphen/>
          <w:delText>6 liter között v</w:delText>
        </w:r>
        <w:r w:rsidRPr="00183B5F">
          <w:rPr>
            <w:szCs w:val="22"/>
          </w:rPr>
          <w:delText xml:space="preserve">áltozott, </w:delText>
        </w:r>
        <w:r w:rsidR="00CC6628" w:rsidRPr="00183B5F">
          <w:rPr>
            <w:szCs w:val="22"/>
          </w:rPr>
          <w:delText xml:space="preserve">és </w:delText>
        </w:r>
        <w:r w:rsidRPr="00183B5F">
          <w:rPr>
            <w:szCs w:val="22"/>
          </w:rPr>
          <w:delText xml:space="preserve">az átlagos </w:delText>
        </w:r>
        <w:r w:rsidR="009C13B8" w:rsidRPr="00183B5F">
          <w:rPr>
            <w:szCs w:val="22"/>
          </w:rPr>
          <w:delText xml:space="preserve">terminális felezési idő </w:delText>
        </w:r>
        <w:r w:rsidRPr="00183B5F">
          <w:rPr>
            <w:szCs w:val="22"/>
          </w:rPr>
          <w:delText>megközelítőleg két hét volt. Az adalimumab synovialis folyadékban mérhető koncentrációja néhány rheumatoid arthritis</w:delText>
        </w:r>
        <w:r w:rsidR="00A508E1" w:rsidRPr="00183B5F">
          <w:rPr>
            <w:szCs w:val="22"/>
          </w:rPr>
          <w:delText xml:space="preserve">es </w:delText>
        </w:r>
        <w:r w:rsidRPr="00183B5F">
          <w:rPr>
            <w:szCs w:val="22"/>
          </w:rPr>
          <w:delText>beteg vizsgálata alapján, a szérumkoncentráció 31</w:delText>
        </w:r>
        <w:r w:rsidRPr="00183B5F">
          <w:rPr>
            <w:szCs w:val="22"/>
          </w:rPr>
          <w:noBreakHyphen/>
          <w:delText>96%</w:delText>
        </w:r>
        <w:r w:rsidRPr="00183B5F">
          <w:rPr>
            <w:szCs w:val="22"/>
          </w:rPr>
          <w:noBreakHyphen/>
          <w:delText>a volt.</w:delText>
        </w:r>
      </w:del>
    </w:p>
    <w:p w14:paraId="22129EF6" w14:textId="40696200" w:rsidR="00FB6710" w:rsidRPr="00183B5F" w:rsidRDefault="00FB6710" w:rsidP="004062FE">
      <w:pPr>
        <w:spacing w:line="240" w:lineRule="auto"/>
        <w:rPr>
          <w:del w:id="3610" w:author="AbbVie_HU_03" w:date="2025-05-14T15:27:00Z"/>
          <w:szCs w:val="22"/>
        </w:rPr>
      </w:pPr>
    </w:p>
    <w:p w14:paraId="3F690587" w14:textId="38CAF3D2" w:rsidR="00FB6710" w:rsidRPr="00183B5F" w:rsidRDefault="00943743" w:rsidP="004062FE">
      <w:pPr>
        <w:spacing w:line="240" w:lineRule="auto"/>
        <w:rPr>
          <w:del w:id="3611" w:author="AbbVie_HU_03" w:date="2025-05-14T15:27:00Z"/>
          <w:szCs w:val="22"/>
        </w:rPr>
      </w:pPr>
      <w:del w:id="3612" w:author="AbbVie_HU_03" w:date="2025-05-14T15:27:00Z">
        <w:r w:rsidRPr="00183B5F">
          <w:rPr>
            <w:szCs w:val="22"/>
          </w:rPr>
          <w:delText>Felnőtt rheumatoid arthritises (RA)</w:delText>
        </w:r>
        <w:r w:rsidR="002E25E8" w:rsidRPr="00183B5F">
          <w:rPr>
            <w:szCs w:val="22"/>
          </w:rPr>
          <w:delText>, metotrexáttal nem kezelt</w:delText>
        </w:r>
        <w:r w:rsidRPr="00183B5F">
          <w:rPr>
            <w:szCs w:val="22"/>
          </w:rPr>
          <w:delText xml:space="preserve"> betegeknek minden második héten subcutan beadott 40 mg </w:delText>
        </w:r>
        <w:r w:rsidR="00076DEB" w:rsidRPr="00183B5F">
          <w:rPr>
            <w:szCs w:val="22"/>
          </w:rPr>
          <w:delText xml:space="preserve">adalimumab </w:delText>
        </w:r>
        <w:r w:rsidRPr="00183B5F">
          <w:rPr>
            <w:szCs w:val="22"/>
          </w:rPr>
          <w:delText xml:space="preserve">után az átlagos </w:delText>
        </w:r>
        <w:r w:rsidR="00FE5A94" w:rsidRPr="00183B5F">
          <w:rPr>
            <w:szCs w:val="22"/>
          </w:rPr>
          <w:delText>dinamikus egyensúlyi állapotban mért</w:delText>
        </w:r>
        <w:r w:rsidRPr="00183B5F">
          <w:rPr>
            <w:szCs w:val="22"/>
          </w:rPr>
          <w:delText xml:space="preserve"> koncentráció megközelítőleg 5 </w:delText>
        </w:r>
        <w:r w:rsidR="00CB73C8" w:rsidRPr="00183B5F">
          <w:rPr>
            <w:szCs w:val="22"/>
          </w:rPr>
          <w:delText>mikrogramm</w:delText>
        </w:r>
        <w:r w:rsidRPr="00183B5F">
          <w:rPr>
            <w:szCs w:val="22"/>
          </w:rPr>
          <w:delText>/ml volt, míg metotrexáttal együtt alkalmazva ez az érték 8</w:delText>
        </w:r>
        <w:r w:rsidRPr="00183B5F">
          <w:rPr>
            <w:szCs w:val="22"/>
          </w:rPr>
          <w:noBreakHyphen/>
          <w:delText>9 </w:delText>
        </w:r>
        <w:r w:rsidR="00CB73C8" w:rsidRPr="00183B5F">
          <w:rPr>
            <w:szCs w:val="22"/>
          </w:rPr>
          <w:delText>mikrogramm</w:delText>
        </w:r>
        <w:r w:rsidRPr="00183B5F">
          <w:rPr>
            <w:szCs w:val="22"/>
          </w:rPr>
          <w:delText xml:space="preserve">/ml volt. Az adalimumab </w:delText>
        </w:r>
        <w:r w:rsidR="00FE5A94" w:rsidRPr="00183B5F">
          <w:rPr>
            <w:szCs w:val="22"/>
          </w:rPr>
          <w:delText>dinamikus egyensúlyi állapotban mért</w:delText>
        </w:r>
        <w:r w:rsidRPr="00183B5F">
          <w:rPr>
            <w:szCs w:val="22"/>
          </w:rPr>
          <w:delText xml:space="preserve"> </w:delText>
        </w:r>
        <w:r w:rsidR="009C13B8" w:rsidRPr="00183B5F">
          <w:rPr>
            <w:szCs w:val="22"/>
          </w:rPr>
          <w:delText xml:space="preserve">minimális </w:delText>
        </w:r>
        <w:r w:rsidRPr="00183B5F">
          <w:rPr>
            <w:szCs w:val="22"/>
          </w:rPr>
          <w:delText xml:space="preserve">szérumkoncentrációja csaknem részarányosan nőtt a kéthetenként, illetve hetenként </w:delText>
        </w:r>
        <w:r w:rsidR="00891E18" w:rsidRPr="00183B5F">
          <w:rPr>
            <w:szCs w:val="22"/>
          </w:rPr>
          <w:delText>subcutan</w:delText>
        </w:r>
        <w:r w:rsidRPr="00183B5F">
          <w:rPr>
            <w:szCs w:val="22"/>
          </w:rPr>
          <w:delText xml:space="preserve"> adott 20, 40 illetve 80 mg</w:delText>
        </w:r>
        <w:r w:rsidR="00A90AE6" w:rsidRPr="00183B5F">
          <w:rPr>
            <w:szCs w:val="22"/>
          </w:rPr>
          <w:delText xml:space="preserve"> </w:delText>
        </w:r>
        <w:r w:rsidR="00F71473" w:rsidRPr="00183B5F">
          <w:rPr>
            <w:szCs w:val="22"/>
          </w:rPr>
          <w:delText>dózis adagolásával</w:delText>
        </w:r>
        <w:r w:rsidRPr="00183B5F">
          <w:rPr>
            <w:szCs w:val="22"/>
          </w:rPr>
          <w:delText>.</w:delText>
        </w:r>
      </w:del>
    </w:p>
    <w:p w14:paraId="3B05F4CB" w14:textId="5CF8A3C4" w:rsidR="00FB6710" w:rsidRPr="00183B5F" w:rsidRDefault="00FB6710" w:rsidP="004062FE">
      <w:pPr>
        <w:spacing w:line="240" w:lineRule="auto"/>
        <w:rPr>
          <w:del w:id="3613" w:author="AbbVie_HU_03" w:date="2025-05-14T15:27:00Z"/>
          <w:szCs w:val="22"/>
        </w:rPr>
      </w:pPr>
    </w:p>
    <w:p w14:paraId="6E8CE709" w14:textId="38BC160E" w:rsidR="00877496" w:rsidRPr="00183B5F" w:rsidRDefault="00943743" w:rsidP="004062FE">
      <w:pPr>
        <w:spacing w:line="240" w:lineRule="auto"/>
        <w:rPr>
          <w:del w:id="3614" w:author="AbbVie_HU_03" w:date="2025-05-14T15:27:00Z"/>
          <w:szCs w:val="22"/>
        </w:rPr>
      </w:pPr>
      <w:del w:id="3615" w:author="AbbVie_HU_03" w:date="2025-05-14T15:27:00Z">
        <w:r w:rsidRPr="00183B5F">
          <w:rPr>
            <w:szCs w:val="22"/>
          </w:rPr>
          <w:delText>Psoriasisban szenvedő felnőtteknél, akik 40 mg adalimumabot kaptak minden második héten monoterápiában, a legalacsonyabb átlagos</w:delText>
        </w:r>
        <w:r w:rsidR="00CD2359" w:rsidRPr="00183B5F">
          <w:rPr>
            <w:szCs w:val="22"/>
          </w:rPr>
          <w:delText>, dinamikus egyensúlyi állapotban mért</w:delText>
        </w:r>
        <w:r w:rsidRPr="00183B5F">
          <w:rPr>
            <w:szCs w:val="22"/>
          </w:rPr>
          <w:delText xml:space="preserve"> koncentráció 5 </w:delText>
        </w:r>
        <w:r w:rsidR="00A033CB" w:rsidRPr="00183B5F">
          <w:rPr>
            <w:szCs w:val="22"/>
          </w:rPr>
          <w:delText>mikrogramm</w:delText>
        </w:r>
        <w:r w:rsidRPr="00183B5F">
          <w:rPr>
            <w:szCs w:val="22"/>
          </w:rPr>
          <w:delText>/ml volt.</w:delText>
        </w:r>
      </w:del>
    </w:p>
    <w:p w14:paraId="2E883590" w14:textId="22A6E17E" w:rsidR="00AD5CEA" w:rsidRPr="00183B5F" w:rsidRDefault="00AD5CEA" w:rsidP="004062FE">
      <w:pPr>
        <w:spacing w:line="240" w:lineRule="auto"/>
        <w:rPr>
          <w:del w:id="3616" w:author="AbbVie_HU_03" w:date="2025-05-14T15:27:00Z"/>
          <w:szCs w:val="22"/>
        </w:rPr>
      </w:pPr>
    </w:p>
    <w:p w14:paraId="3A7BA15E" w14:textId="2F9CE1ED" w:rsidR="003265C1" w:rsidRPr="00183B5F" w:rsidRDefault="00943743" w:rsidP="004062FE">
      <w:pPr>
        <w:spacing w:line="240" w:lineRule="auto"/>
        <w:rPr>
          <w:del w:id="3617" w:author="AbbVie_HU_03" w:date="2025-05-14T15:27:00Z"/>
          <w:szCs w:val="22"/>
        </w:rPr>
      </w:pPr>
      <w:del w:id="3618" w:author="AbbVie_HU_03" w:date="2025-05-14T15:27:00Z">
        <w:r w:rsidRPr="00183B5F">
          <w:rPr>
            <w:szCs w:val="22"/>
          </w:rPr>
          <w:delText>A hidradenitis suppurativában szenvedő felnőtt betegeknél a Humira 160 mg</w:delText>
        </w:r>
        <w:r w:rsidR="00E5381A" w:rsidRPr="00183B5F">
          <w:rPr>
            <w:szCs w:val="22"/>
          </w:rPr>
          <w:noBreakHyphen/>
        </w:r>
        <w:r w:rsidRPr="00183B5F">
          <w:rPr>
            <w:szCs w:val="22"/>
          </w:rPr>
          <w:delText xml:space="preserve">os adagja a 0. héten, majd 80 mg a 2. héten </w:delText>
        </w:r>
        <w:r w:rsidR="008446AB" w:rsidRPr="00183B5F">
          <w:rPr>
            <w:szCs w:val="22"/>
          </w:rPr>
          <w:delText>hozzávetőlegesen</w:delText>
        </w:r>
        <w:r w:rsidRPr="00183B5F">
          <w:rPr>
            <w:szCs w:val="22"/>
          </w:rPr>
          <w:delText xml:space="preserve"> 7</w:delText>
        </w:r>
        <w:r w:rsidRPr="00183B5F">
          <w:rPr>
            <w:szCs w:val="22"/>
          </w:rPr>
          <w:noBreakHyphen/>
          <w:delText>8 </w:delText>
        </w:r>
        <w:r w:rsidR="00A033CB" w:rsidRPr="00183B5F">
          <w:rPr>
            <w:szCs w:val="22"/>
          </w:rPr>
          <w:delText>mikrogramm</w:delText>
        </w:r>
        <w:r w:rsidRPr="00183B5F">
          <w:rPr>
            <w:szCs w:val="22"/>
          </w:rPr>
          <w:delText>/ml-es minimális adalimumab</w:delText>
        </w:r>
        <w:r w:rsidR="00FD08D3" w:rsidRPr="00183B5F">
          <w:rPr>
            <w:szCs w:val="22"/>
          </w:rPr>
          <w:delText>-</w:delText>
        </w:r>
        <w:r w:rsidRPr="00183B5F">
          <w:rPr>
            <w:szCs w:val="22"/>
          </w:rPr>
          <w:delText>szérumszintet eredményezett a 2. és 4 héten. Megközelítőleg 8</w:delText>
        </w:r>
        <w:r w:rsidRPr="00183B5F">
          <w:rPr>
            <w:szCs w:val="22"/>
          </w:rPr>
          <w:noBreakHyphen/>
          <w:delText>10 </w:delText>
        </w:r>
        <w:r w:rsidR="00A033CB" w:rsidRPr="00183B5F">
          <w:rPr>
            <w:szCs w:val="22"/>
          </w:rPr>
          <w:delText>mikrogramm</w:delText>
        </w:r>
        <w:r w:rsidRPr="00183B5F">
          <w:rPr>
            <w:szCs w:val="22"/>
          </w:rPr>
          <w:delText>/ml</w:delText>
        </w:r>
        <w:r w:rsidRPr="00183B5F">
          <w:rPr>
            <w:szCs w:val="22"/>
          </w:rPr>
          <w:noBreakHyphen/>
          <w:delText xml:space="preserve">es átlagos dinamikus egyensúlyi minimális </w:delText>
        </w:r>
        <w:r w:rsidR="00FD6D77" w:rsidRPr="00183B5F">
          <w:rPr>
            <w:szCs w:val="22"/>
          </w:rPr>
          <w:delText>koncentrációt</w:delText>
        </w:r>
        <w:r w:rsidRPr="00183B5F">
          <w:rPr>
            <w:szCs w:val="22"/>
          </w:rPr>
          <w:delText xml:space="preserve"> mértek a 12. héttől a 36. hétig, a hetente 40 mg adalimumab</w:delText>
        </w:r>
        <w:r w:rsidR="006B34D6" w:rsidRPr="00183B5F">
          <w:rPr>
            <w:szCs w:val="22"/>
          </w:rPr>
          <w:delText>-</w:delText>
        </w:r>
        <w:r w:rsidRPr="00183B5F">
          <w:rPr>
            <w:szCs w:val="22"/>
          </w:rPr>
          <w:delText>kezelés alatt.</w:delText>
        </w:r>
        <w:r w:rsidR="00177C94" w:rsidRPr="00183B5F">
          <w:rPr>
            <w:szCs w:val="22"/>
          </w:rPr>
          <w:delText>f</w:delText>
        </w:r>
      </w:del>
    </w:p>
    <w:p w14:paraId="33EA54A3" w14:textId="3094037C" w:rsidR="00AD5CEA" w:rsidRPr="00183B5F" w:rsidRDefault="00AD5CEA" w:rsidP="004062FE">
      <w:pPr>
        <w:spacing w:line="240" w:lineRule="auto"/>
        <w:rPr>
          <w:del w:id="3619" w:author="AbbVie_HU_03" w:date="2025-05-14T15:27:00Z"/>
          <w:szCs w:val="22"/>
        </w:rPr>
      </w:pPr>
    </w:p>
    <w:p w14:paraId="3FBDC19D" w14:textId="4D194667" w:rsidR="00AD5CEA" w:rsidRPr="00183B5F" w:rsidRDefault="00943743" w:rsidP="004062FE">
      <w:pPr>
        <w:spacing w:line="240" w:lineRule="auto"/>
        <w:rPr>
          <w:del w:id="3620" w:author="AbbVie_HU_03" w:date="2025-05-14T15:27:00Z"/>
          <w:szCs w:val="22"/>
        </w:rPr>
      </w:pPr>
      <w:del w:id="3621" w:author="AbbVie_HU_03" w:date="2025-05-14T15:27:00Z">
        <w:r w:rsidRPr="00183B5F">
          <w:rPr>
            <w:szCs w:val="22"/>
          </w:rPr>
          <w:delText>Crohn</w:delText>
        </w:r>
        <w:r w:rsidRPr="00183B5F">
          <w:rPr>
            <w:szCs w:val="22"/>
          </w:rPr>
          <w:noBreakHyphen/>
          <w:delText>betegségben szenvedő betegeknél a Humira 80 mg</w:delText>
        </w:r>
        <w:r w:rsidRPr="00183B5F">
          <w:rPr>
            <w:szCs w:val="22"/>
          </w:rPr>
          <w:noBreakHyphen/>
        </w:r>
        <w:r w:rsidRPr="00183B5F">
          <w:rPr>
            <w:szCs w:val="22"/>
          </w:rPr>
          <w:delText xml:space="preserve">os telítő adagja a 0. héten, majd 40 mg a 2. héten </w:delText>
        </w:r>
        <w:r w:rsidR="00D806FF" w:rsidRPr="00183B5F">
          <w:rPr>
            <w:szCs w:val="22"/>
          </w:rPr>
          <w:delText>hozzávetőlegesen</w:delText>
        </w:r>
        <w:r w:rsidRPr="00183B5F">
          <w:rPr>
            <w:szCs w:val="22"/>
          </w:rPr>
          <w:delText xml:space="preserve"> 5,5 </w:delText>
        </w:r>
        <w:r w:rsidR="00A033CB" w:rsidRPr="00183B5F">
          <w:rPr>
            <w:szCs w:val="22"/>
          </w:rPr>
          <w:delText>mikrogramm</w:delText>
        </w:r>
        <w:r w:rsidRPr="00183B5F">
          <w:rPr>
            <w:szCs w:val="22"/>
          </w:rPr>
          <w:delText>/ml-es minimális adalimumab</w:delText>
        </w:r>
        <w:r w:rsidR="00FD08D3" w:rsidRPr="00183B5F">
          <w:rPr>
            <w:szCs w:val="22"/>
          </w:rPr>
          <w:delText>-</w:delText>
        </w:r>
        <w:r w:rsidRPr="00183B5F">
          <w:rPr>
            <w:szCs w:val="22"/>
          </w:rPr>
          <w:delText>szérumszintet eredményez az indukció időszakában. A 0. héten 160 mg</w:delText>
        </w:r>
        <w:r w:rsidR="00E5381A" w:rsidRPr="00183B5F">
          <w:rPr>
            <w:szCs w:val="22"/>
          </w:rPr>
          <w:noBreakHyphen/>
        </w:r>
        <w:r w:rsidRPr="00183B5F">
          <w:rPr>
            <w:szCs w:val="22"/>
          </w:rPr>
          <w:delText>os telítő dózist, majd a 2. héten 80 mg Humira</w:delText>
        </w:r>
        <w:r w:rsidRPr="00183B5F">
          <w:rPr>
            <w:szCs w:val="22"/>
          </w:rPr>
          <w:noBreakHyphen/>
          <w:delText xml:space="preserve">t adva az adalimumab minimális szérumszintje </w:delText>
        </w:r>
        <w:r w:rsidR="00D806FF" w:rsidRPr="00183B5F">
          <w:rPr>
            <w:szCs w:val="22"/>
          </w:rPr>
          <w:delText>hozzávetőlegesen</w:delText>
        </w:r>
        <w:r w:rsidRPr="00183B5F">
          <w:rPr>
            <w:szCs w:val="22"/>
          </w:rPr>
          <w:delText xml:space="preserve"> 12 </w:delText>
        </w:r>
        <w:r w:rsidR="00A033CB" w:rsidRPr="00183B5F">
          <w:rPr>
            <w:szCs w:val="22"/>
          </w:rPr>
          <w:delText>mikrogramm</w:delText>
        </w:r>
        <w:r w:rsidRPr="00183B5F">
          <w:rPr>
            <w:szCs w:val="22"/>
          </w:rPr>
          <w:delText>/ml-ot ér el az indukció időszakában. Megközelítőleg 7 </w:delText>
        </w:r>
        <w:r w:rsidR="00A033CB" w:rsidRPr="00183B5F">
          <w:rPr>
            <w:szCs w:val="22"/>
          </w:rPr>
          <w:delText>mikrogramm</w:delText>
        </w:r>
        <w:r w:rsidRPr="00183B5F">
          <w:rPr>
            <w:szCs w:val="22"/>
          </w:rPr>
          <w:delText>/ml egyensúlyi minimális szérumszintet mértek olyan Crohn</w:delText>
        </w:r>
        <w:r w:rsidRPr="00183B5F">
          <w:rPr>
            <w:szCs w:val="22"/>
          </w:rPr>
          <w:noBreakHyphen/>
          <w:delText>betegségben szenvedő betegeknél, akik minden második héten 40 mg Humira</w:delText>
        </w:r>
        <w:r w:rsidRPr="00183B5F">
          <w:rPr>
            <w:szCs w:val="22"/>
          </w:rPr>
          <w:noBreakHyphen/>
          <w:delText>t kaptak fenntart</w:delText>
        </w:r>
        <w:r w:rsidRPr="00183B5F">
          <w:rPr>
            <w:szCs w:val="22"/>
          </w:rPr>
          <w:delText>ó adagként.</w:delText>
        </w:r>
      </w:del>
    </w:p>
    <w:p w14:paraId="6DB97A0D" w14:textId="5DAECA4A" w:rsidR="00AD5CEA" w:rsidRPr="00183B5F" w:rsidRDefault="00AD5CEA" w:rsidP="004062FE">
      <w:pPr>
        <w:spacing w:line="240" w:lineRule="auto"/>
        <w:rPr>
          <w:del w:id="3622" w:author="AbbVie_HU_03" w:date="2025-05-14T15:27:00Z"/>
          <w:szCs w:val="22"/>
        </w:rPr>
      </w:pPr>
    </w:p>
    <w:p w14:paraId="7F8C32A4" w14:textId="0C2C7F35" w:rsidR="001E5EBB" w:rsidRPr="00183B5F" w:rsidRDefault="00943743" w:rsidP="001E5EBB">
      <w:pPr>
        <w:spacing w:line="240" w:lineRule="auto"/>
        <w:rPr>
          <w:del w:id="3623" w:author="AbbVie_HU_03" w:date="2025-05-14T15:27:00Z"/>
        </w:rPr>
      </w:pPr>
      <w:bookmarkStart w:id="3624" w:name="_Hlk53174233"/>
      <w:del w:id="3625" w:author="AbbVie_HU_03" w:date="2025-05-14T15:27:00Z">
        <w:r w:rsidRPr="00183B5F">
          <w:delText xml:space="preserve">A </w:delText>
        </w:r>
        <w:r w:rsidR="00AE3211" w:rsidRPr="00183B5F">
          <w:delText>colitis ulcerosában szenvedő gyermekeknél</w:delText>
        </w:r>
        <w:r w:rsidR="001C5602" w:rsidRPr="00183B5F">
          <w:delText xml:space="preserve"> és serdülőknél</w:delText>
        </w:r>
        <w:r w:rsidR="00AE3211" w:rsidRPr="00183B5F">
          <w:delText xml:space="preserve"> subcu</w:delText>
        </w:r>
        <w:r w:rsidR="00281D72" w:rsidRPr="00183B5F">
          <w:delText>tan adott,</w:delText>
        </w:r>
        <w:r w:rsidR="00AE3211" w:rsidRPr="00183B5F">
          <w:delText xml:space="preserve"> </w:delText>
        </w:r>
        <w:r w:rsidRPr="00183B5F">
          <w:delText>testtömeg-alapú</w:delText>
        </w:r>
        <w:r w:rsidR="00281D72" w:rsidRPr="00183B5F">
          <w:delText>, kéthetente</w:delText>
        </w:r>
        <w:r w:rsidRPr="00183B5F">
          <w:delText xml:space="preserve"> 0,6 mg/</w:delText>
        </w:r>
        <w:r w:rsidR="002B6005" w:rsidRPr="00183B5F">
          <w:delText>tt</w:delText>
        </w:r>
        <w:r w:rsidRPr="00183B5F">
          <w:delText>kg</w:delText>
        </w:r>
        <w:r w:rsidR="00281D72" w:rsidRPr="00183B5F">
          <w:noBreakHyphen/>
        </w:r>
        <w:r w:rsidRPr="00183B5F">
          <w:delText>os (</w:delText>
        </w:r>
        <w:r w:rsidR="00283844" w:rsidRPr="00183B5F">
          <w:delText>legfeljebb</w:delText>
        </w:r>
        <w:r w:rsidRPr="00183B5F">
          <w:delText xml:space="preserve"> 40 mg) adag</w:delText>
        </w:r>
        <w:r w:rsidR="00281D72" w:rsidRPr="00183B5F">
          <w:delText>olás esetén</w:delText>
        </w:r>
        <w:r w:rsidRPr="00183B5F">
          <w:delText xml:space="preserve"> az átlagos minimális egyensúlyi állapotú szérum adalimumab-koncentráció 5,01±3,28 </w:delText>
        </w:r>
        <w:r w:rsidR="00281D72" w:rsidRPr="00183B5F">
          <w:delText>mikro</w:delText>
        </w:r>
        <w:r w:rsidR="00500BAB" w:rsidRPr="00183B5F">
          <w:delText>g</w:delText>
        </w:r>
        <w:r w:rsidR="00281D72" w:rsidRPr="00183B5F">
          <w:delText>ramm</w:delText>
        </w:r>
        <w:r w:rsidRPr="00183B5F">
          <w:delText>/ml volt az 52. héten. Azoknál a betegeknél, akik</w:delText>
        </w:r>
        <w:r w:rsidR="00281D72" w:rsidRPr="00183B5F">
          <w:delText xml:space="preserve"> hetente</w:delText>
        </w:r>
        <w:r w:rsidRPr="00183B5F">
          <w:delText xml:space="preserve"> 0,6 mg/</w:delText>
        </w:r>
        <w:r w:rsidR="002B6005" w:rsidRPr="00183B5F">
          <w:delText>tt</w:delText>
        </w:r>
        <w:r w:rsidRPr="00183B5F">
          <w:delText>kg-ot (</w:delText>
        </w:r>
        <w:r w:rsidR="00283844" w:rsidRPr="00183B5F">
          <w:delText>legfeljebb</w:delText>
        </w:r>
        <w:r w:rsidRPr="00183B5F">
          <w:delText xml:space="preserve"> 40 mg) kaptak, az átlagos (± SD) minimális egyensúlyi állapotú szérum adalimumab-koncentráció 15,7±5,60 </w:delText>
        </w:r>
        <w:r w:rsidR="00281D72" w:rsidRPr="00183B5F">
          <w:delText>mikrogramm</w:delText>
        </w:r>
        <w:r w:rsidRPr="00183B5F">
          <w:delText>/ml volt az 52. héten.</w:delText>
        </w:r>
      </w:del>
    </w:p>
    <w:bookmarkEnd w:id="3624"/>
    <w:p w14:paraId="407FA966" w14:textId="5D9E1D7B" w:rsidR="001E5EBB" w:rsidRPr="00183B5F" w:rsidRDefault="001E5EBB" w:rsidP="004062FE">
      <w:pPr>
        <w:spacing w:line="240" w:lineRule="auto"/>
        <w:rPr>
          <w:del w:id="3626" w:author="AbbVie_HU_03" w:date="2025-05-14T15:27:00Z"/>
          <w:szCs w:val="22"/>
        </w:rPr>
      </w:pPr>
    </w:p>
    <w:p w14:paraId="7C929694" w14:textId="1B15BF82" w:rsidR="00AD5CEA" w:rsidRPr="00183B5F" w:rsidRDefault="00943743" w:rsidP="004062FE">
      <w:pPr>
        <w:spacing w:line="240" w:lineRule="auto"/>
        <w:rPr>
          <w:del w:id="3627" w:author="AbbVie_HU_03" w:date="2025-05-14T15:27:00Z"/>
          <w:szCs w:val="22"/>
        </w:rPr>
      </w:pPr>
      <w:del w:id="3628" w:author="AbbVie_HU_03" w:date="2025-05-14T15:27:00Z">
        <w:r w:rsidRPr="00183B5F">
          <w:rPr>
            <w:szCs w:val="22"/>
          </w:rPr>
          <w:delText xml:space="preserve">Uveitisben szenvedő </w:delText>
        </w:r>
        <w:r w:rsidR="007809D6" w:rsidRPr="00183B5F">
          <w:rPr>
            <w:szCs w:val="22"/>
          </w:rPr>
          <w:delText xml:space="preserve">felnőtt </w:delText>
        </w:r>
        <w:r w:rsidRPr="00183B5F">
          <w:rPr>
            <w:szCs w:val="22"/>
          </w:rPr>
          <w:delText>betegeknél a 80 mg</w:delText>
        </w:r>
        <w:r w:rsidRPr="00183B5F">
          <w:rPr>
            <w:szCs w:val="22"/>
          </w:rPr>
          <w:noBreakHyphen/>
        </w:r>
        <w:r w:rsidRPr="00183B5F">
          <w:rPr>
            <w:szCs w:val="22"/>
          </w:rPr>
          <w:delText>os telítő adag a 0. héten, melyet minden második héten beadott 40 mg követ az 1. héttől kezdve, hozzávetőlegesen 8</w:delText>
        </w:r>
        <w:r w:rsidRPr="00183B5F">
          <w:rPr>
            <w:szCs w:val="22"/>
          </w:rPr>
          <w:noBreakHyphen/>
          <w:delText>10 </w:delText>
        </w:r>
        <w:r w:rsidR="00A033CB" w:rsidRPr="00183B5F">
          <w:rPr>
            <w:szCs w:val="22"/>
          </w:rPr>
          <w:delText>mikrogramm</w:delText>
        </w:r>
        <w:r w:rsidRPr="00183B5F">
          <w:rPr>
            <w:szCs w:val="22"/>
          </w:rPr>
          <w:delText>/ml átlagos egyensúlyi koncentrációt eredményezett.</w:delText>
        </w:r>
      </w:del>
    </w:p>
    <w:p w14:paraId="1EA79485" w14:textId="2C609A8C" w:rsidR="00AD5CEA" w:rsidRPr="00183B5F" w:rsidRDefault="00AD5CEA" w:rsidP="004062FE">
      <w:pPr>
        <w:spacing w:line="240" w:lineRule="auto"/>
        <w:rPr>
          <w:del w:id="3629" w:author="AbbVie_HU_03" w:date="2025-05-14T15:27:00Z"/>
          <w:szCs w:val="22"/>
        </w:rPr>
      </w:pPr>
    </w:p>
    <w:p w14:paraId="1DF96366" w14:textId="593EF121" w:rsidR="0042598C" w:rsidRPr="00183B5F" w:rsidRDefault="00943743" w:rsidP="0042598C">
      <w:pPr>
        <w:spacing w:line="240" w:lineRule="auto"/>
        <w:rPr>
          <w:del w:id="3630" w:author="AbbVie_HU_03" w:date="2025-05-14T15:27:00Z"/>
          <w:szCs w:val="22"/>
        </w:rPr>
      </w:pPr>
      <w:del w:id="3631" w:author="AbbVie_HU_03" w:date="2025-05-14T15:27:00Z">
        <w:r w:rsidRPr="00183B5F">
          <w:rPr>
            <w:szCs w:val="22"/>
          </w:rPr>
          <w:delText xml:space="preserve">A populációs farmakokinetikai és farmakokinetikai/farmakodinámás modellezés és szimuláció </w:delText>
        </w:r>
        <w:r w:rsidR="00FB57E7" w:rsidRPr="00183B5F">
          <w:rPr>
            <w:szCs w:val="22"/>
          </w:rPr>
          <w:delText>hasonló</w:delText>
        </w:r>
        <w:r w:rsidRPr="00183B5F">
          <w:rPr>
            <w:szCs w:val="22"/>
          </w:rPr>
          <w:delText xml:space="preserve"> adalimumab</w:delText>
        </w:r>
        <w:r w:rsidR="00A53928" w:rsidRPr="00183B5F">
          <w:rPr>
            <w:szCs w:val="22"/>
          </w:rPr>
          <w:noBreakHyphen/>
        </w:r>
        <w:r w:rsidRPr="00183B5F">
          <w:rPr>
            <w:szCs w:val="22"/>
          </w:rPr>
          <w:delText>expozíció</w:delText>
        </w:r>
        <w:r w:rsidR="00FB57E7" w:rsidRPr="00183B5F">
          <w:rPr>
            <w:szCs w:val="22"/>
          </w:rPr>
          <w:delText>t</w:delText>
        </w:r>
        <w:r w:rsidRPr="00183B5F">
          <w:rPr>
            <w:szCs w:val="22"/>
          </w:rPr>
          <w:delText xml:space="preserve"> és hatásosság</w:delText>
        </w:r>
        <w:r w:rsidR="00FB57E7" w:rsidRPr="00183B5F">
          <w:rPr>
            <w:szCs w:val="22"/>
          </w:rPr>
          <w:delText>ot prognosztizált</w:delText>
        </w:r>
        <w:r w:rsidRPr="00183B5F">
          <w:rPr>
            <w:szCs w:val="22"/>
          </w:rPr>
          <w:delText xml:space="preserve"> azoknál a betegeknél, akiket minden második héten 80 mg-mal kezeltek, </w:delText>
        </w:r>
        <w:r w:rsidR="00FB57E7" w:rsidRPr="00183B5F">
          <w:rPr>
            <w:szCs w:val="22"/>
          </w:rPr>
          <w:delText>és azoknál,</w:delText>
        </w:r>
        <w:r w:rsidRPr="00183B5F">
          <w:rPr>
            <w:szCs w:val="22"/>
          </w:rPr>
          <w:delText xml:space="preserve"> akiket hetente 40 mg</w:delText>
        </w:r>
        <w:r w:rsidRPr="00183B5F">
          <w:rPr>
            <w:szCs w:val="22"/>
          </w:rPr>
          <w:noBreakHyphen/>
          <w:delText xml:space="preserve">mal kezeltek (ideértve a rheumatoid arthritisben, hidradenitis suppurativában, colitis ulcerosában, Crohn-betegségben vagy psoriasisban szenvedő felnőtt betegeket, serdülőkori HS-ben szenvedő betegeket és legalább 40 kg testtömegű, Crohn-betegségben </w:delText>
        </w:r>
        <w:r w:rsidR="001E5EBB" w:rsidRPr="00183B5F">
          <w:rPr>
            <w:szCs w:val="22"/>
          </w:rPr>
          <w:delText xml:space="preserve">és colitis ulcerosában </w:delText>
        </w:r>
        <w:r w:rsidRPr="00183B5F">
          <w:rPr>
            <w:szCs w:val="22"/>
          </w:rPr>
          <w:delText>szenvedő gyermekeket</w:delText>
        </w:r>
        <w:r w:rsidR="00FB57E7" w:rsidRPr="00183B5F">
          <w:rPr>
            <w:szCs w:val="22"/>
          </w:rPr>
          <w:delText xml:space="preserve"> is</w:delText>
        </w:r>
        <w:r w:rsidRPr="00183B5F">
          <w:rPr>
            <w:szCs w:val="22"/>
          </w:rPr>
          <w:delText>).</w:delText>
        </w:r>
      </w:del>
    </w:p>
    <w:p w14:paraId="0366F28F" w14:textId="5EB57287" w:rsidR="00877496" w:rsidRPr="00183B5F" w:rsidRDefault="00877496" w:rsidP="004062FE">
      <w:pPr>
        <w:spacing w:line="240" w:lineRule="auto"/>
        <w:rPr>
          <w:del w:id="3632" w:author="AbbVie_HU_03" w:date="2025-05-14T15:27:00Z"/>
          <w:szCs w:val="22"/>
        </w:rPr>
      </w:pPr>
    </w:p>
    <w:p w14:paraId="1F741BC3" w14:textId="3F4FAFD3" w:rsidR="00715F50" w:rsidRPr="00183B5F" w:rsidRDefault="00943743" w:rsidP="004062FE">
      <w:pPr>
        <w:spacing w:line="240" w:lineRule="auto"/>
        <w:rPr>
          <w:del w:id="3633" w:author="AbbVie_HU_03" w:date="2025-05-14T15:27:00Z"/>
          <w:szCs w:val="22"/>
          <w:u w:val="single"/>
        </w:rPr>
      </w:pPr>
      <w:del w:id="3634" w:author="AbbVie_HU_03" w:date="2025-05-14T15:27:00Z">
        <w:r w:rsidRPr="00183B5F">
          <w:rPr>
            <w:szCs w:val="22"/>
            <w:u w:val="single"/>
          </w:rPr>
          <w:delText>Elimináció</w:delText>
        </w:r>
      </w:del>
    </w:p>
    <w:p w14:paraId="4459CA14" w14:textId="6F190D49" w:rsidR="00715F50" w:rsidRPr="00183B5F" w:rsidRDefault="00715F50" w:rsidP="004062FE">
      <w:pPr>
        <w:spacing w:line="240" w:lineRule="auto"/>
        <w:rPr>
          <w:del w:id="3635" w:author="AbbVie_HU_03" w:date="2025-05-14T15:27:00Z"/>
          <w:szCs w:val="22"/>
        </w:rPr>
      </w:pPr>
    </w:p>
    <w:p w14:paraId="43AA2A9F" w14:textId="00EF7025" w:rsidR="0051552F" w:rsidRPr="00183B5F" w:rsidRDefault="00943743" w:rsidP="004062FE">
      <w:pPr>
        <w:spacing w:line="240" w:lineRule="auto"/>
        <w:rPr>
          <w:del w:id="3636" w:author="AbbVie_HU_03" w:date="2025-05-14T15:27:00Z"/>
          <w:szCs w:val="22"/>
        </w:rPr>
      </w:pPr>
      <w:del w:id="3637" w:author="AbbVie_HU_03" w:date="2025-05-14T15:27:00Z">
        <w:r w:rsidRPr="00183B5F">
          <w:rPr>
            <w:szCs w:val="22"/>
          </w:rPr>
          <w:delText>Több mint 1300</w:delText>
        </w:r>
        <w:r w:rsidR="00330A18" w:rsidRPr="00183B5F">
          <w:rPr>
            <w:szCs w:val="22"/>
          </w:rPr>
          <w:delText> </w:delText>
        </w:r>
        <w:r w:rsidR="00FB6710" w:rsidRPr="00183B5F">
          <w:rPr>
            <w:szCs w:val="22"/>
          </w:rPr>
          <w:delText>RA beteg</w:delText>
        </w:r>
        <w:r w:rsidR="006B3F42" w:rsidRPr="00183B5F">
          <w:rPr>
            <w:szCs w:val="22"/>
          </w:rPr>
          <w:delText>en</w:delText>
        </w:r>
        <w:r w:rsidR="00FB6710" w:rsidRPr="00183B5F">
          <w:rPr>
            <w:szCs w:val="22"/>
          </w:rPr>
          <w:delText xml:space="preserve"> végzett populációs farmakokinetikai vizsgálatokból származó adatok alapján derült ki, hogy a testsúly növekedésével nő az adalimumab</w:delText>
        </w:r>
        <w:r w:rsidR="00330A18" w:rsidRPr="00183B5F">
          <w:rPr>
            <w:szCs w:val="22"/>
          </w:rPr>
          <w:noBreakHyphen/>
        </w:r>
        <w:r w:rsidR="00FB6710" w:rsidRPr="00183B5F">
          <w:rPr>
            <w:szCs w:val="22"/>
          </w:rPr>
          <w:delText>clearence. A testsúlykülönbség korrekciója után úgy látszik, a nemnek és az életkornak minimális hatása van az adalimumab clearence</w:delText>
        </w:r>
        <w:r w:rsidR="00FB6710" w:rsidRPr="00183B5F">
          <w:rPr>
            <w:szCs w:val="22"/>
          </w:rPr>
          <w:noBreakHyphen/>
          <w:delText>ére. A szérumban mérhető</w:delText>
        </w:r>
        <w:r w:rsidR="00C11F16" w:rsidRPr="00183B5F">
          <w:rPr>
            <w:szCs w:val="22"/>
          </w:rPr>
          <w:delText>,</w:delText>
        </w:r>
        <w:r w:rsidR="00FB6710" w:rsidRPr="00183B5F">
          <w:rPr>
            <w:szCs w:val="22"/>
          </w:rPr>
          <w:delText xml:space="preserve"> </w:delText>
        </w:r>
        <w:r w:rsidR="00B74B40" w:rsidRPr="00183B5F">
          <w:rPr>
            <w:szCs w:val="22"/>
          </w:rPr>
          <w:delText>adalimumab</w:delText>
        </w:r>
        <w:r w:rsidR="00022AEF" w:rsidRPr="00183B5F">
          <w:rPr>
            <w:szCs w:val="22"/>
          </w:rPr>
          <w:noBreakHyphen/>
        </w:r>
        <w:r w:rsidR="00C11F16" w:rsidRPr="00183B5F">
          <w:rPr>
            <w:szCs w:val="22"/>
          </w:rPr>
          <w:delText>ellenes</w:delText>
        </w:r>
        <w:r w:rsidR="00B74B40" w:rsidRPr="00183B5F">
          <w:rPr>
            <w:szCs w:val="22"/>
          </w:rPr>
          <w:delText xml:space="preserve"> antitestekhez (AAA) nem kötődő </w:delText>
        </w:r>
        <w:r w:rsidR="00FB6710" w:rsidRPr="00183B5F">
          <w:rPr>
            <w:szCs w:val="22"/>
          </w:rPr>
          <w:delText>szabad</w:delText>
        </w:r>
        <w:r w:rsidR="00322FDE" w:rsidRPr="00183B5F">
          <w:rPr>
            <w:szCs w:val="22"/>
          </w:rPr>
          <w:delText xml:space="preserve"> </w:delText>
        </w:r>
        <w:r w:rsidR="00FB6710" w:rsidRPr="00183B5F">
          <w:rPr>
            <w:szCs w:val="22"/>
          </w:rPr>
          <w:delText>adalimumab</w:delText>
        </w:r>
        <w:r w:rsidR="00322FDE" w:rsidRPr="00183B5F">
          <w:rPr>
            <w:szCs w:val="22"/>
          </w:rPr>
          <w:delText xml:space="preserve"> </w:delText>
        </w:r>
        <w:r w:rsidR="00FB6710" w:rsidRPr="00183B5F">
          <w:rPr>
            <w:szCs w:val="22"/>
          </w:rPr>
          <w:delText>koncentráció</w:delText>
        </w:r>
        <w:r w:rsidR="00322FDE" w:rsidRPr="00183B5F">
          <w:rPr>
            <w:szCs w:val="22"/>
          </w:rPr>
          <w:delText>ja</w:delText>
        </w:r>
        <w:r w:rsidR="00FB6710" w:rsidRPr="00183B5F">
          <w:rPr>
            <w:szCs w:val="22"/>
          </w:rPr>
          <w:delText xml:space="preserve"> alacsonyabbnak bizonyult olyan betegek esetében, akiknél mérhető </w:delText>
        </w:r>
        <w:r w:rsidR="00C11F16" w:rsidRPr="00183B5F">
          <w:rPr>
            <w:szCs w:val="22"/>
          </w:rPr>
          <w:delText xml:space="preserve">volt </w:delText>
        </w:r>
        <w:r w:rsidR="00FB6710" w:rsidRPr="00183B5F">
          <w:rPr>
            <w:szCs w:val="22"/>
          </w:rPr>
          <w:delText>az AAA</w:delText>
        </w:r>
        <w:r w:rsidR="0046009F" w:rsidRPr="00183B5F">
          <w:rPr>
            <w:szCs w:val="22"/>
          </w:rPr>
          <w:delText xml:space="preserve"> </w:delText>
        </w:r>
        <w:r w:rsidR="00FB6710" w:rsidRPr="00183B5F">
          <w:rPr>
            <w:szCs w:val="22"/>
          </w:rPr>
          <w:delText>szintje.</w:delText>
        </w:r>
      </w:del>
    </w:p>
    <w:p w14:paraId="7231E8EE" w14:textId="7CADD97C" w:rsidR="00715F50" w:rsidRPr="00183B5F" w:rsidRDefault="00715F50" w:rsidP="004062FE">
      <w:pPr>
        <w:spacing w:line="240" w:lineRule="auto"/>
        <w:rPr>
          <w:del w:id="3638" w:author="AbbVie_HU_03" w:date="2025-05-14T15:27:00Z"/>
          <w:szCs w:val="22"/>
        </w:rPr>
      </w:pPr>
    </w:p>
    <w:p w14:paraId="7FC1E420" w14:textId="49736132" w:rsidR="00715F50" w:rsidRPr="00183B5F" w:rsidRDefault="00943743" w:rsidP="00FE0197">
      <w:pPr>
        <w:keepNext/>
        <w:spacing w:line="240" w:lineRule="auto"/>
        <w:rPr>
          <w:del w:id="3639" w:author="AbbVie_HU_03" w:date="2025-05-14T15:27:00Z"/>
          <w:szCs w:val="22"/>
          <w:u w:val="single"/>
        </w:rPr>
      </w:pPr>
      <w:del w:id="3640" w:author="AbbVie_HU_03" w:date="2025-05-14T15:27:00Z">
        <w:r w:rsidRPr="00183B5F">
          <w:rPr>
            <w:szCs w:val="22"/>
            <w:u w:val="single"/>
          </w:rPr>
          <w:delText>Máj- vagy vesekárosodás</w:delText>
        </w:r>
      </w:del>
    </w:p>
    <w:p w14:paraId="4C598E98" w14:textId="6A649048" w:rsidR="00715F50" w:rsidRPr="00183B5F" w:rsidRDefault="00715F50" w:rsidP="004062FE">
      <w:pPr>
        <w:spacing w:line="240" w:lineRule="auto"/>
        <w:rPr>
          <w:del w:id="3641" w:author="AbbVie_HU_03" w:date="2025-05-14T15:27:00Z"/>
          <w:szCs w:val="22"/>
        </w:rPr>
      </w:pPr>
    </w:p>
    <w:p w14:paraId="22C03782" w14:textId="0B705B45" w:rsidR="00715F50" w:rsidRPr="00183B5F" w:rsidRDefault="00943743" w:rsidP="004062FE">
      <w:pPr>
        <w:spacing w:line="240" w:lineRule="auto"/>
        <w:rPr>
          <w:del w:id="3642" w:author="AbbVie_HU_03" w:date="2025-05-14T15:27:00Z"/>
          <w:szCs w:val="22"/>
        </w:rPr>
      </w:pPr>
      <w:del w:id="3643" w:author="AbbVie_HU_03" w:date="2025-05-14T15:27:00Z">
        <w:r w:rsidRPr="00183B5F">
          <w:rPr>
            <w:szCs w:val="22"/>
          </w:rPr>
          <w:delText>A Humira</w:delText>
        </w:r>
        <w:r w:rsidRPr="00183B5F">
          <w:rPr>
            <w:szCs w:val="22"/>
          </w:rPr>
          <w:noBreakHyphen/>
          <w:delText>t nem vizsgálták máj</w:delText>
        </w:r>
        <w:r w:rsidR="00DB74EE" w:rsidRPr="00183B5F">
          <w:rPr>
            <w:szCs w:val="22"/>
          </w:rPr>
          <w:noBreakHyphen/>
        </w:r>
        <w:r w:rsidRPr="00183B5F">
          <w:rPr>
            <w:szCs w:val="22"/>
          </w:rPr>
          <w:delText xml:space="preserve"> vagy vesekárosodásban szenvedő betegeknél.</w:delText>
        </w:r>
      </w:del>
    </w:p>
    <w:p w14:paraId="431E4B58" w14:textId="706A2BD2" w:rsidR="00E040CD" w:rsidRPr="00183B5F" w:rsidRDefault="00E040CD" w:rsidP="004062FE">
      <w:pPr>
        <w:spacing w:line="240" w:lineRule="auto"/>
        <w:rPr>
          <w:del w:id="3644" w:author="AbbVie_HU_03" w:date="2025-05-14T15:27:00Z"/>
          <w:b/>
          <w:szCs w:val="22"/>
        </w:rPr>
      </w:pPr>
    </w:p>
    <w:p w14:paraId="7C3D55FE" w14:textId="4ED0277B" w:rsidR="0051552F" w:rsidRPr="00183B5F" w:rsidRDefault="00943743" w:rsidP="004062FE">
      <w:pPr>
        <w:spacing w:line="240" w:lineRule="auto"/>
        <w:rPr>
          <w:del w:id="3645" w:author="AbbVie_HU_03" w:date="2025-05-14T15:27:00Z"/>
          <w:b/>
          <w:szCs w:val="22"/>
        </w:rPr>
      </w:pPr>
      <w:del w:id="3646" w:author="AbbVie_HU_03" w:date="2025-05-14T15:27:00Z">
        <w:r w:rsidRPr="00183B5F">
          <w:rPr>
            <w:b/>
            <w:szCs w:val="22"/>
          </w:rPr>
          <w:delText>5.3</w:delText>
        </w:r>
        <w:r w:rsidRPr="00183B5F">
          <w:rPr>
            <w:b/>
            <w:szCs w:val="22"/>
          </w:rPr>
          <w:tab/>
        </w:r>
        <w:r w:rsidRPr="00183B5F">
          <w:rPr>
            <w:b/>
            <w:szCs w:val="22"/>
          </w:rPr>
          <w:delText>A preklinikai biztonságossági vizsgálatok eredményei</w:delText>
        </w:r>
      </w:del>
    </w:p>
    <w:p w14:paraId="5818E81C" w14:textId="22878489" w:rsidR="00FB6710" w:rsidRPr="00183B5F" w:rsidRDefault="00FB6710" w:rsidP="004062FE">
      <w:pPr>
        <w:spacing w:line="240" w:lineRule="auto"/>
        <w:rPr>
          <w:del w:id="3647" w:author="AbbVie_HU_03" w:date="2025-05-14T15:27:00Z"/>
          <w:szCs w:val="22"/>
        </w:rPr>
      </w:pPr>
    </w:p>
    <w:p w14:paraId="4E8D574F" w14:textId="09E21445" w:rsidR="00322FDE" w:rsidRPr="00183B5F" w:rsidRDefault="00943743" w:rsidP="00322FDE">
      <w:pPr>
        <w:keepNext/>
        <w:spacing w:line="240" w:lineRule="auto"/>
        <w:rPr>
          <w:del w:id="3648" w:author="AbbVie_HU_03" w:date="2025-05-14T15:27:00Z"/>
          <w:szCs w:val="22"/>
        </w:rPr>
      </w:pPr>
      <w:del w:id="3649" w:author="AbbVie_HU_03" w:date="2025-05-14T15:27:00Z">
        <w:r w:rsidRPr="00183B5F">
          <w:rPr>
            <w:szCs w:val="22"/>
          </w:rPr>
          <w:delText>Egyszeri és ismételt adagolású dózistoxicitási, valamint genotoxicitási vizsgálatokból származó nem klinikai jellegű adatok azt igazolták, hogy a készítmény alkalmazásakor humán vonatkozásban különleges kockázat nem várható.</w:delText>
        </w:r>
      </w:del>
    </w:p>
    <w:p w14:paraId="1F5B4313" w14:textId="41304B3F" w:rsidR="00817F95" w:rsidRPr="00183B5F" w:rsidRDefault="00817F95" w:rsidP="004062FE">
      <w:pPr>
        <w:spacing w:line="240" w:lineRule="auto"/>
        <w:rPr>
          <w:del w:id="3650" w:author="AbbVie_HU_03" w:date="2025-05-14T15:27:00Z"/>
          <w:szCs w:val="22"/>
        </w:rPr>
      </w:pPr>
    </w:p>
    <w:p w14:paraId="0B28ED6C" w14:textId="0E5CBFF4" w:rsidR="00FB6710" w:rsidRPr="00183B5F" w:rsidRDefault="00943743" w:rsidP="004062FE">
      <w:pPr>
        <w:spacing w:line="240" w:lineRule="auto"/>
        <w:rPr>
          <w:del w:id="3651" w:author="AbbVie_HU_03" w:date="2025-05-14T15:27:00Z"/>
          <w:szCs w:val="22"/>
        </w:rPr>
      </w:pPr>
      <w:del w:id="3652" w:author="AbbVie_HU_03" w:date="2025-05-14T15:27:00Z">
        <w:r w:rsidRPr="00183B5F">
          <w:rPr>
            <w:szCs w:val="22"/>
          </w:rPr>
          <w:delText>Majmokon folytattak vizsgálatot a gyógyszernek az embrionális</w:delText>
        </w:r>
        <w:r w:rsidRPr="00183B5F">
          <w:rPr>
            <w:szCs w:val="22"/>
          </w:rPr>
          <w:noBreakHyphen/>
          <w:delText>magzati fejlődésre, illetve a perinatalis fejlődésre gyakorolt hatásának felmérésére, aminek során 0,30 mg</w:delText>
        </w:r>
        <w:r w:rsidR="00127A0B" w:rsidRPr="00183B5F">
          <w:rPr>
            <w:szCs w:val="22"/>
          </w:rPr>
          <w:delText>/ttkg</w:delText>
        </w:r>
        <w:r w:rsidRPr="00183B5F">
          <w:rPr>
            <w:szCs w:val="22"/>
          </w:rPr>
          <w:delText xml:space="preserve"> illetve 100 mg</w:delText>
        </w:r>
        <w:r w:rsidR="00127A0B" w:rsidRPr="00183B5F">
          <w:rPr>
            <w:szCs w:val="22"/>
          </w:rPr>
          <w:delText>/ttkg</w:delText>
        </w:r>
        <w:r w:rsidRPr="00183B5F">
          <w:rPr>
            <w:szCs w:val="22"/>
          </w:rPr>
          <w:delText xml:space="preserve"> dózisú adalimumabot adtak majmoknak (csoportonként 9</w:delText>
        </w:r>
        <w:r w:rsidRPr="00183B5F">
          <w:rPr>
            <w:szCs w:val="22"/>
          </w:rPr>
          <w:noBreakHyphen/>
          <w:delText>17</w:delText>
        </w:r>
        <w:r w:rsidR="00330A18" w:rsidRPr="00183B5F">
          <w:rPr>
            <w:szCs w:val="22"/>
          </w:rPr>
          <w:delText> </w:delText>
        </w:r>
        <w:r w:rsidRPr="00183B5F">
          <w:rPr>
            <w:szCs w:val="22"/>
          </w:rPr>
          <w:delText xml:space="preserve">majom volt), a magzati károsodás minden jele nélkül. Sem karcinogenitási vizsgálatok, sem </w:delText>
        </w:r>
        <w:r w:rsidR="00B508DD" w:rsidRPr="00183B5F">
          <w:rPr>
            <w:szCs w:val="22"/>
          </w:rPr>
          <w:delText xml:space="preserve">standard </w:delText>
        </w:r>
        <w:r w:rsidR="00171E97" w:rsidRPr="00183B5F">
          <w:rPr>
            <w:szCs w:val="22"/>
          </w:rPr>
          <w:delText xml:space="preserve">termékenységi vagy </w:delText>
        </w:r>
        <w:r w:rsidRPr="00183B5F">
          <w:rPr>
            <w:szCs w:val="22"/>
          </w:rPr>
          <w:delText xml:space="preserve">postnatalis toxicitási vizsgálatok nem történtek </w:delText>
        </w:r>
        <w:r w:rsidR="00C84AFA" w:rsidRPr="00183B5F">
          <w:rPr>
            <w:szCs w:val="22"/>
          </w:rPr>
          <w:delText>megfelelő antitestmodell hiányában, mivel</w:delText>
        </w:r>
        <w:r w:rsidR="00120EF9" w:rsidRPr="00183B5F">
          <w:rPr>
            <w:szCs w:val="22"/>
          </w:rPr>
          <w:delText xml:space="preserve"> </w:delText>
        </w:r>
        <w:r w:rsidR="00C84AFA" w:rsidRPr="00183B5F">
          <w:rPr>
            <w:szCs w:val="22"/>
          </w:rPr>
          <w:delText xml:space="preserve">az adalimumab </w:delText>
        </w:r>
        <w:r w:rsidRPr="00183B5F">
          <w:rPr>
            <w:szCs w:val="22"/>
          </w:rPr>
          <w:delText xml:space="preserve">a </w:delText>
        </w:r>
        <w:r w:rsidR="00FC109A" w:rsidRPr="00183B5F">
          <w:rPr>
            <w:szCs w:val="22"/>
          </w:rPr>
          <w:delText>rágcsáló TNF</w:delText>
        </w:r>
        <w:r w:rsidR="00DB74EE" w:rsidRPr="00183B5F">
          <w:rPr>
            <w:szCs w:val="22"/>
          </w:rPr>
          <w:noBreakHyphen/>
        </w:r>
        <w:r w:rsidR="00FC109A" w:rsidRPr="00183B5F">
          <w:rPr>
            <w:szCs w:val="22"/>
          </w:rPr>
          <w:delText xml:space="preserve">fel </w:delText>
        </w:r>
        <w:r w:rsidR="00B508DD" w:rsidRPr="00183B5F">
          <w:rPr>
            <w:szCs w:val="22"/>
          </w:rPr>
          <w:delText>alacsony</w:delText>
        </w:r>
        <w:r w:rsidR="00FC109A" w:rsidRPr="00183B5F">
          <w:rPr>
            <w:szCs w:val="22"/>
          </w:rPr>
          <w:delText xml:space="preserve"> keresztreakciót</w:delText>
        </w:r>
        <w:r w:rsidR="00C84AFA" w:rsidRPr="00183B5F">
          <w:rPr>
            <w:szCs w:val="22"/>
          </w:rPr>
          <w:delText xml:space="preserve"> mutat,</w:delText>
        </w:r>
        <w:r w:rsidR="00FC109A" w:rsidRPr="00183B5F">
          <w:rPr>
            <w:szCs w:val="22"/>
          </w:rPr>
          <w:delText xml:space="preserve"> </w:delText>
        </w:r>
        <w:r w:rsidR="00F56784" w:rsidRPr="00183B5F">
          <w:rPr>
            <w:szCs w:val="22"/>
          </w:rPr>
          <w:delText xml:space="preserve">és </w:delText>
        </w:r>
        <w:r w:rsidR="00C84AFA" w:rsidRPr="00183B5F">
          <w:rPr>
            <w:szCs w:val="22"/>
          </w:rPr>
          <w:delText xml:space="preserve">ellene </w:delText>
        </w:r>
        <w:r w:rsidRPr="00183B5F">
          <w:rPr>
            <w:szCs w:val="22"/>
          </w:rPr>
          <w:delText xml:space="preserve">a rágcsálókban neutralizáló antitestek </w:delText>
        </w:r>
        <w:r w:rsidR="00C84AFA" w:rsidRPr="00183B5F">
          <w:rPr>
            <w:szCs w:val="22"/>
          </w:rPr>
          <w:delText>képződnek.</w:delText>
        </w:r>
      </w:del>
    </w:p>
    <w:p w14:paraId="3C290095" w14:textId="173CA5B2" w:rsidR="00FB6710" w:rsidRPr="00183B5F" w:rsidRDefault="00FB6710" w:rsidP="004062FE">
      <w:pPr>
        <w:spacing w:line="240" w:lineRule="auto"/>
        <w:rPr>
          <w:del w:id="3653" w:author="AbbVie_HU_03" w:date="2025-05-14T15:27:00Z"/>
          <w:szCs w:val="22"/>
        </w:rPr>
      </w:pPr>
    </w:p>
    <w:p w14:paraId="0C081E63" w14:textId="0CAD5E08" w:rsidR="00FB6710" w:rsidRPr="00183B5F" w:rsidRDefault="00FB6710" w:rsidP="004062FE">
      <w:pPr>
        <w:spacing w:line="240" w:lineRule="auto"/>
        <w:rPr>
          <w:del w:id="3654" w:author="AbbVie_HU_03" w:date="2025-05-14T15:27:00Z"/>
          <w:szCs w:val="22"/>
        </w:rPr>
      </w:pPr>
    </w:p>
    <w:p w14:paraId="2E826FAB" w14:textId="13FBFB56" w:rsidR="00FB6710" w:rsidRPr="00183B5F" w:rsidRDefault="00943743" w:rsidP="004062FE">
      <w:pPr>
        <w:keepNext/>
        <w:spacing w:line="240" w:lineRule="auto"/>
        <w:ind w:left="567" w:hanging="567"/>
        <w:rPr>
          <w:del w:id="3655" w:author="AbbVie_HU_03" w:date="2025-05-14T15:27:00Z"/>
          <w:b/>
          <w:szCs w:val="22"/>
        </w:rPr>
      </w:pPr>
      <w:del w:id="3656" w:author="AbbVie_HU_03" w:date="2025-05-14T15:27:00Z">
        <w:r w:rsidRPr="00183B5F">
          <w:rPr>
            <w:b/>
            <w:szCs w:val="22"/>
          </w:rPr>
          <w:delText>6.</w:delText>
        </w:r>
        <w:r w:rsidRPr="00183B5F">
          <w:rPr>
            <w:b/>
            <w:szCs w:val="22"/>
          </w:rPr>
          <w:tab/>
          <w:delText>GYÓGYSZERÉSZETI JELLEMZŐK</w:delText>
        </w:r>
      </w:del>
    </w:p>
    <w:p w14:paraId="5D02B355" w14:textId="44E5D441" w:rsidR="0051552F" w:rsidRPr="00183B5F" w:rsidRDefault="0051552F" w:rsidP="004062FE">
      <w:pPr>
        <w:keepNext/>
        <w:spacing w:line="240" w:lineRule="auto"/>
        <w:ind w:left="567" w:hanging="567"/>
        <w:rPr>
          <w:del w:id="3657" w:author="AbbVie_HU_03" w:date="2025-05-14T15:27:00Z"/>
          <w:b/>
          <w:szCs w:val="22"/>
        </w:rPr>
      </w:pPr>
    </w:p>
    <w:p w14:paraId="4BA6B745" w14:textId="3ED9E122" w:rsidR="00FB6710" w:rsidRPr="00183B5F" w:rsidRDefault="00943743" w:rsidP="004062FE">
      <w:pPr>
        <w:keepNext/>
        <w:spacing w:line="240" w:lineRule="auto"/>
        <w:rPr>
          <w:del w:id="3658" w:author="AbbVie_HU_03" w:date="2025-05-14T15:27:00Z"/>
          <w:b/>
          <w:szCs w:val="22"/>
        </w:rPr>
      </w:pPr>
      <w:del w:id="3659" w:author="AbbVie_HU_03" w:date="2025-05-14T15:27:00Z">
        <w:r w:rsidRPr="00183B5F">
          <w:rPr>
            <w:b/>
            <w:szCs w:val="22"/>
          </w:rPr>
          <w:delText>6.1</w:delText>
        </w:r>
        <w:r w:rsidRPr="00183B5F">
          <w:rPr>
            <w:b/>
            <w:szCs w:val="22"/>
          </w:rPr>
          <w:tab/>
          <w:delText>Segédanyagok felsorolása</w:delText>
        </w:r>
      </w:del>
    </w:p>
    <w:p w14:paraId="55D1A16A" w14:textId="479E9F88" w:rsidR="00FB6710" w:rsidRPr="00183B5F" w:rsidRDefault="00FB6710" w:rsidP="004062FE">
      <w:pPr>
        <w:keepNext/>
        <w:spacing w:line="240" w:lineRule="auto"/>
        <w:rPr>
          <w:del w:id="3660" w:author="AbbVie_HU_03" w:date="2025-05-14T15:27:00Z"/>
          <w:szCs w:val="22"/>
        </w:rPr>
      </w:pPr>
    </w:p>
    <w:p w14:paraId="662A470F" w14:textId="5BD5D432" w:rsidR="00FB6710" w:rsidRPr="00183B5F" w:rsidRDefault="00943743" w:rsidP="004062FE">
      <w:pPr>
        <w:keepNext/>
        <w:spacing w:line="240" w:lineRule="auto"/>
        <w:rPr>
          <w:del w:id="3661" w:author="AbbVie_HU_03" w:date="2025-05-14T15:27:00Z"/>
          <w:szCs w:val="22"/>
        </w:rPr>
      </w:pPr>
      <w:del w:id="3662" w:author="AbbVie_HU_03" w:date="2025-05-14T15:27:00Z">
        <w:r w:rsidRPr="00183B5F">
          <w:rPr>
            <w:szCs w:val="22"/>
          </w:rPr>
          <w:delText>Mannit,</w:delText>
        </w:r>
      </w:del>
    </w:p>
    <w:p w14:paraId="7EF4E555" w14:textId="1EAE3896" w:rsidR="00FB6710" w:rsidRPr="00183B5F" w:rsidRDefault="00943743" w:rsidP="004062FE">
      <w:pPr>
        <w:spacing w:line="240" w:lineRule="auto"/>
        <w:rPr>
          <w:del w:id="3663" w:author="AbbVie_HU_03" w:date="2025-05-14T15:27:00Z"/>
          <w:szCs w:val="22"/>
        </w:rPr>
      </w:pPr>
      <w:del w:id="3664" w:author="AbbVie_HU_03" w:date="2025-05-14T15:27:00Z">
        <w:r w:rsidRPr="00183B5F">
          <w:rPr>
            <w:szCs w:val="22"/>
          </w:rPr>
          <w:delText>citromsav</w:delText>
        </w:r>
        <w:r w:rsidRPr="00183B5F">
          <w:rPr>
            <w:szCs w:val="22"/>
          </w:rPr>
          <w:noBreakHyphen/>
          <w:delText>monohidrát,</w:delText>
        </w:r>
      </w:del>
    </w:p>
    <w:p w14:paraId="140EFABF" w14:textId="4FD9AE7E" w:rsidR="00FB6710" w:rsidRPr="00183B5F" w:rsidRDefault="00943743" w:rsidP="004062FE">
      <w:pPr>
        <w:spacing w:line="240" w:lineRule="auto"/>
        <w:rPr>
          <w:del w:id="3665" w:author="AbbVie_HU_03" w:date="2025-05-14T15:27:00Z"/>
          <w:szCs w:val="22"/>
        </w:rPr>
      </w:pPr>
      <w:del w:id="3666" w:author="AbbVie_HU_03" w:date="2025-05-14T15:27:00Z">
        <w:r w:rsidRPr="00183B5F">
          <w:rPr>
            <w:szCs w:val="22"/>
          </w:rPr>
          <w:delText>trinátrium</w:delText>
        </w:r>
        <w:r w:rsidR="000D594B" w:rsidRPr="00183B5F">
          <w:rPr>
            <w:szCs w:val="22"/>
          </w:rPr>
          <w:noBreakHyphen/>
        </w:r>
        <w:r w:rsidRPr="00183B5F">
          <w:rPr>
            <w:szCs w:val="22"/>
          </w:rPr>
          <w:delText>citrát,</w:delText>
        </w:r>
      </w:del>
    </w:p>
    <w:p w14:paraId="1DB63772" w14:textId="6830FEA6" w:rsidR="00FB6710" w:rsidRPr="00183B5F" w:rsidRDefault="00943743" w:rsidP="004062FE">
      <w:pPr>
        <w:spacing w:line="240" w:lineRule="auto"/>
        <w:rPr>
          <w:del w:id="3667" w:author="AbbVie_HU_03" w:date="2025-05-14T15:27:00Z"/>
          <w:szCs w:val="22"/>
        </w:rPr>
      </w:pPr>
      <w:del w:id="3668" w:author="AbbVie_HU_03" w:date="2025-05-14T15:27:00Z">
        <w:r w:rsidRPr="00183B5F">
          <w:rPr>
            <w:szCs w:val="22"/>
          </w:rPr>
          <w:delText>nátrium</w:delText>
        </w:r>
        <w:r w:rsidRPr="00183B5F">
          <w:rPr>
            <w:szCs w:val="22"/>
          </w:rPr>
          <w:noBreakHyphen/>
          <w:delText>dihidrogén</w:delText>
        </w:r>
        <w:r w:rsidRPr="00183B5F">
          <w:rPr>
            <w:szCs w:val="22"/>
          </w:rPr>
          <w:noBreakHyphen/>
          <w:delText>foszfát</w:delText>
        </w:r>
        <w:r w:rsidRPr="00183B5F">
          <w:rPr>
            <w:szCs w:val="22"/>
          </w:rPr>
          <w:noBreakHyphen/>
        </w:r>
        <w:r w:rsidRPr="00183B5F">
          <w:rPr>
            <w:szCs w:val="22"/>
          </w:rPr>
          <w:delText>dihidrát,</w:delText>
        </w:r>
      </w:del>
    </w:p>
    <w:p w14:paraId="7279E3E2" w14:textId="108538E8" w:rsidR="00FB6710" w:rsidRPr="00183B5F" w:rsidRDefault="00943743" w:rsidP="004062FE">
      <w:pPr>
        <w:spacing w:line="240" w:lineRule="auto"/>
        <w:rPr>
          <w:del w:id="3669" w:author="AbbVie_HU_03" w:date="2025-05-14T15:27:00Z"/>
          <w:szCs w:val="22"/>
        </w:rPr>
      </w:pPr>
      <w:del w:id="3670" w:author="AbbVie_HU_03" w:date="2025-05-14T15:27:00Z">
        <w:r w:rsidRPr="00183B5F">
          <w:rPr>
            <w:szCs w:val="22"/>
          </w:rPr>
          <w:delText>dinátrium</w:delText>
        </w:r>
        <w:r w:rsidRPr="00183B5F">
          <w:rPr>
            <w:szCs w:val="22"/>
          </w:rPr>
          <w:noBreakHyphen/>
          <w:delText>hidrogén</w:delText>
        </w:r>
        <w:r w:rsidRPr="00183B5F">
          <w:rPr>
            <w:szCs w:val="22"/>
          </w:rPr>
          <w:noBreakHyphen/>
          <w:delText>foszfát</w:delText>
        </w:r>
        <w:r w:rsidRPr="00183B5F">
          <w:rPr>
            <w:szCs w:val="22"/>
          </w:rPr>
          <w:noBreakHyphen/>
          <w:delText>dihidrát,</w:delText>
        </w:r>
      </w:del>
    </w:p>
    <w:p w14:paraId="49283C47" w14:textId="217EDD19" w:rsidR="00FB6710" w:rsidRPr="00183B5F" w:rsidRDefault="00943743" w:rsidP="004062FE">
      <w:pPr>
        <w:spacing w:line="240" w:lineRule="auto"/>
        <w:rPr>
          <w:del w:id="3671" w:author="AbbVie_HU_03" w:date="2025-05-14T15:27:00Z"/>
          <w:szCs w:val="22"/>
        </w:rPr>
      </w:pPr>
      <w:del w:id="3672" w:author="AbbVie_HU_03" w:date="2025-05-14T15:27:00Z">
        <w:r w:rsidRPr="00183B5F">
          <w:rPr>
            <w:szCs w:val="22"/>
          </w:rPr>
          <w:delText>nátrium</w:delText>
        </w:r>
        <w:r w:rsidRPr="00183B5F">
          <w:rPr>
            <w:szCs w:val="22"/>
          </w:rPr>
          <w:noBreakHyphen/>
          <w:delText>klorid,</w:delText>
        </w:r>
      </w:del>
    </w:p>
    <w:p w14:paraId="279D4E48" w14:textId="3F247110" w:rsidR="00FB6710" w:rsidRPr="00183B5F" w:rsidRDefault="00943743" w:rsidP="004062FE">
      <w:pPr>
        <w:spacing w:line="240" w:lineRule="auto"/>
        <w:rPr>
          <w:del w:id="3673" w:author="AbbVie_HU_03" w:date="2025-05-14T15:27:00Z"/>
          <w:szCs w:val="22"/>
        </w:rPr>
      </w:pPr>
      <w:del w:id="3674" w:author="AbbVie_HU_03" w:date="2025-05-14T15:27:00Z">
        <w:r w:rsidRPr="00183B5F">
          <w:rPr>
            <w:szCs w:val="22"/>
          </w:rPr>
          <w:delText>poliszorbát 80,</w:delText>
        </w:r>
      </w:del>
    </w:p>
    <w:p w14:paraId="58D0D581" w14:textId="7C3EBDE8" w:rsidR="00FB6710" w:rsidRPr="00183B5F" w:rsidRDefault="00943743" w:rsidP="004062FE">
      <w:pPr>
        <w:spacing w:line="240" w:lineRule="auto"/>
        <w:rPr>
          <w:del w:id="3675" w:author="AbbVie_HU_03" w:date="2025-05-14T15:27:00Z"/>
          <w:szCs w:val="22"/>
        </w:rPr>
      </w:pPr>
      <w:del w:id="3676" w:author="AbbVie_HU_03" w:date="2025-05-14T15:27:00Z">
        <w:r w:rsidRPr="00183B5F">
          <w:rPr>
            <w:szCs w:val="22"/>
          </w:rPr>
          <w:delText>nátrium</w:delText>
        </w:r>
        <w:r w:rsidRPr="00183B5F">
          <w:rPr>
            <w:szCs w:val="22"/>
          </w:rPr>
          <w:noBreakHyphen/>
          <w:delText>hidroxid,</w:delText>
        </w:r>
      </w:del>
    </w:p>
    <w:p w14:paraId="5E9B9C4A" w14:textId="740103EE" w:rsidR="00FB6710" w:rsidRPr="00183B5F" w:rsidRDefault="00943743" w:rsidP="004062FE">
      <w:pPr>
        <w:spacing w:line="240" w:lineRule="auto"/>
        <w:rPr>
          <w:del w:id="3677" w:author="AbbVie_HU_03" w:date="2025-05-14T15:27:00Z"/>
          <w:szCs w:val="22"/>
        </w:rPr>
      </w:pPr>
      <w:del w:id="3678" w:author="AbbVie_HU_03" w:date="2025-05-14T15:27:00Z">
        <w:r w:rsidRPr="00183B5F">
          <w:rPr>
            <w:szCs w:val="22"/>
          </w:rPr>
          <w:delText>injekcióhoz való víz.</w:delText>
        </w:r>
      </w:del>
    </w:p>
    <w:p w14:paraId="12C7A857" w14:textId="6600B29A" w:rsidR="00FF121B" w:rsidRPr="00183B5F" w:rsidRDefault="00FF121B" w:rsidP="004062FE">
      <w:pPr>
        <w:spacing w:line="240" w:lineRule="auto"/>
        <w:rPr>
          <w:del w:id="3679" w:author="AbbVie_HU_03" w:date="2025-05-14T15:27:00Z"/>
          <w:szCs w:val="22"/>
        </w:rPr>
      </w:pPr>
    </w:p>
    <w:p w14:paraId="1091C2D6" w14:textId="483DAEF2" w:rsidR="00FB6710" w:rsidRPr="00183B5F" w:rsidRDefault="00943743" w:rsidP="004062FE">
      <w:pPr>
        <w:keepNext/>
        <w:spacing w:line="240" w:lineRule="auto"/>
        <w:rPr>
          <w:del w:id="3680" w:author="AbbVie_HU_03" w:date="2025-05-14T15:27:00Z"/>
          <w:b/>
          <w:szCs w:val="22"/>
        </w:rPr>
      </w:pPr>
      <w:del w:id="3681" w:author="AbbVie_HU_03" w:date="2025-05-14T15:27:00Z">
        <w:r w:rsidRPr="00183B5F">
          <w:rPr>
            <w:b/>
            <w:szCs w:val="22"/>
          </w:rPr>
          <w:delText>6.2</w:delText>
        </w:r>
        <w:r w:rsidRPr="00183B5F">
          <w:rPr>
            <w:b/>
            <w:szCs w:val="22"/>
          </w:rPr>
          <w:tab/>
          <w:delText>Inkompatibilitások</w:delText>
        </w:r>
      </w:del>
    </w:p>
    <w:p w14:paraId="42EC4C2E" w14:textId="016D57BA" w:rsidR="00FB6710" w:rsidRPr="00183B5F" w:rsidRDefault="00FB6710" w:rsidP="004062FE">
      <w:pPr>
        <w:keepNext/>
        <w:spacing w:line="240" w:lineRule="auto"/>
        <w:rPr>
          <w:del w:id="3682" w:author="AbbVie_HU_03" w:date="2025-05-14T15:27:00Z"/>
          <w:b/>
          <w:szCs w:val="22"/>
        </w:rPr>
      </w:pPr>
    </w:p>
    <w:p w14:paraId="7E3362A4" w14:textId="4213B89E" w:rsidR="00FB6710" w:rsidRPr="00183B5F" w:rsidRDefault="00943743" w:rsidP="004062FE">
      <w:pPr>
        <w:spacing w:line="240" w:lineRule="auto"/>
        <w:rPr>
          <w:del w:id="3683" w:author="AbbVie_HU_03" w:date="2025-05-14T15:27:00Z"/>
          <w:szCs w:val="22"/>
        </w:rPr>
      </w:pPr>
      <w:del w:id="3684" w:author="AbbVie_HU_03" w:date="2025-05-14T15:27:00Z">
        <w:r w:rsidRPr="00183B5F">
          <w:rPr>
            <w:szCs w:val="22"/>
          </w:rPr>
          <w:delText>Kompatibilitási vizsgálatok hiányában ez a gyógyszer nem keverhető más gyógyszerekkel.</w:delText>
        </w:r>
      </w:del>
    </w:p>
    <w:p w14:paraId="145C16EE" w14:textId="099E4C95" w:rsidR="00FB6710" w:rsidRPr="00183B5F" w:rsidRDefault="00FB6710" w:rsidP="004062FE">
      <w:pPr>
        <w:spacing w:line="240" w:lineRule="auto"/>
        <w:rPr>
          <w:del w:id="3685" w:author="AbbVie_HU_03" w:date="2025-05-14T15:27:00Z"/>
          <w:szCs w:val="22"/>
        </w:rPr>
      </w:pPr>
    </w:p>
    <w:p w14:paraId="2BE86AED" w14:textId="4C835DFE" w:rsidR="00FB6710" w:rsidRPr="00183B5F" w:rsidRDefault="00943743" w:rsidP="004062FE">
      <w:pPr>
        <w:spacing w:line="240" w:lineRule="auto"/>
        <w:ind w:left="567" w:hanging="567"/>
        <w:rPr>
          <w:del w:id="3686" w:author="AbbVie_HU_03" w:date="2025-05-14T15:27:00Z"/>
          <w:b/>
          <w:szCs w:val="22"/>
        </w:rPr>
      </w:pPr>
      <w:del w:id="3687" w:author="AbbVie_HU_03" w:date="2025-05-14T15:27:00Z">
        <w:r w:rsidRPr="00183B5F">
          <w:rPr>
            <w:b/>
            <w:szCs w:val="22"/>
          </w:rPr>
          <w:delText>6.3</w:delText>
        </w:r>
        <w:r w:rsidRPr="00183B5F">
          <w:rPr>
            <w:b/>
            <w:szCs w:val="22"/>
          </w:rPr>
          <w:tab/>
          <w:delText>Felhasználhatósági időtartam</w:delText>
        </w:r>
      </w:del>
    </w:p>
    <w:p w14:paraId="0E5ABDFF" w14:textId="66B9BD4D" w:rsidR="00FB6710" w:rsidRPr="00183B5F" w:rsidRDefault="00FB6710" w:rsidP="004062FE">
      <w:pPr>
        <w:spacing w:line="240" w:lineRule="auto"/>
        <w:rPr>
          <w:del w:id="3688" w:author="AbbVie_HU_03" w:date="2025-05-14T15:27:00Z"/>
          <w:szCs w:val="22"/>
        </w:rPr>
      </w:pPr>
    </w:p>
    <w:p w14:paraId="4A37A672" w14:textId="292DFED2" w:rsidR="00FB6710" w:rsidRPr="00183B5F" w:rsidRDefault="00943743" w:rsidP="004062FE">
      <w:pPr>
        <w:spacing w:line="240" w:lineRule="auto"/>
        <w:rPr>
          <w:del w:id="3689" w:author="AbbVie_HU_03" w:date="2025-05-14T15:27:00Z"/>
          <w:szCs w:val="22"/>
        </w:rPr>
      </w:pPr>
      <w:del w:id="3690" w:author="AbbVie_HU_03" w:date="2025-05-14T15:27:00Z">
        <w:r w:rsidRPr="00183B5F">
          <w:rPr>
            <w:szCs w:val="22"/>
          </w:rPr>
          <w:delText>2</w:delText>
        </w:r>
        <w:r w:rsidR="00DE6BBD" w:rsidRPr="00183B5F">
          <w:rPr>
            <w:szCs w:val="22"/>
          </w:rPr>
          <w:delText> év</w:delText>
        </w:r>
      </w:del>
    </w:p>
    <w:p w14:paraId="53F92FD7" w14:textId="64957E6D" w:rsidR="00FB6710" w:rsidRPr="00183B5F" w:rsidRDefault="00FB6710" w:rsidP="004062FE">
      <w:pPr>
        <w:spacing w:line="240" w:lineRule="auto"/>
        <w:rPr>
          <w:del w:id="3691" w:author="AbbVie_HU_03" w:date="2025-05-14T15:27:00Z"/>
          <w:szCs w:val="22"/>
        </w:rPr>
      </w:pPr>
    </w:p>
    <w:p w14:paraId="19AD2F70" w14:textId="25E07B4A" w:rsidR="00FB6710" w:rsidRPr="00183B5F" w:rsidRDefault="00943743" w:rsidP="004062FE">
      <w:pPr>
        <w:spacing w:line="240" w:lineRule="auto"/>
        <w:ind w:left="567" w:hanging="567"/>
        <w:rPr>
          <w:del w:id="3692" w:author="AbbVie_HU_03" w:date="2025-05-14T15:27:00Z"/>
          <w:b/>
          <w:szCs w:val="22"/>
        </w:rPr>
      </w:pPr>
      <w:del w:id="3693" w:author="AbbVie_HU_03" w:date="2025-05-14T15:27:00Z">
        <w:r w:rsidRPr="00183B5F">
          <w:rPr>
            <w:b/>
            <w:szCs w:val="22"/>
          </w:rPr>
          <w:delText>6.4</w:delText>
        </w:r>
        <w:r w:rsidRPr="00183B5F">
          <w:rPr>
            <w:b/>
            <w:szCs w:val="22"/>
          </w:rPr>
          <w:tab/>
          <w:delText>Különleges tárolási előírások</w:delText>
        </w:r>
      </w:del>
    </w:p>
    <w:p w14:paraId="2401977B" w14:textId="2FE686B2" w:rsidR="00FB6710" w:rsidRPr="00183B5F" w:rsidRDefault="00FB6710" w:rsidP="004062FE">
      <w:pPr>
        <w:spacing w:line="240" w:lineRule="auto"/>
        <w:rPr>
          <w:del w:id="3694" w:author="AbbVie_HU_03" w:date="2025-05-14T15:27:00Z"/>
          <w:szCs w:val="22"/>
        </w:rPr>
      </w:pPr>
    </w:p>
    <w:p w14:paraId="6C1D2192" w14:textId="4D42CF80" w:rsidR="00FB6710" w:rsidRPr="00183B5F" w:rsidRDefault="00943743" w:rsidP="004062FE">
      <w:pPr>
        <w:spacing w:line="240" w:lineRule="auto"/>
        <w:rPr>
          <w:del w:id="3695" w:author="AbbVie_HU_03" w:date="2025-05-14T15:27:00Z"/>
          <w:szCs w:val="22"/>
        </w:rPr>
      </w:pPr>
      <w:del w:id="3696" w:author="AbbVie_HU_03" w:date="2025-05-14T15:27:00Z">
        <w:r w:rsidRPr="00183B5F">
          <w:rPr>
            <w:szCs w:val="22"/>
          </w:rPr>
          <w:delText xml:space="preserve">Hűtőszekrényben </w:delText>
        </w:r>
        <w:r w:rsidR="002D2101" w:rsidRPr="00183B5F">
          <w:rPr>
            <w:szCs w:val="22"/>
          </w:rPr>
          <w:delText>(2°C–8°C) t</w:delText>
        </w:r>
        <w:r w:rsidRPr="00183B5F">
          <w:rPr>
            <w:szCs w:val="22"/>
          </w:rPr>
          <w:delText>árolandó. Nem fagyasztható</w:delText>
        </w:r>
        <w:r w:rsidR="002D2101" w:rsidRPr="00183B5F">
          <w:rPr>
            <w:szCs w:val="22"/>
          </w:rPr>
          <w:delText>!</w:delText>
        </w:r>
        <w:r w:rsidRPr="00183B5F">
          <w:rPr>
            <w:szCs w:val="22"/>
          </w:rPr>
          <w:delText xml:space="preserve"> </w:delText>
        </w:r>
        <w:r w:rsidR="00A74BF8" w:rsidRPr="00183B5F">
          <w:rPr>
            <w:szCs w:val="22"/>
          </w:rPr>
          <w:delText xml:space="preserve">A fénytől való védelem érdekében az </w:delText>
        </w:r>
        <w:r w:rsidR="002D2101" w:rsidRPr="00183B5F">
          <w:rPr>
            <w:szCs w:val="22"/>
          </w:rPr>
          <w:delText>injekciós fecskendő a dobozban tárolandó.</w:delText>
        </w:r>
      </w:del>
    </w:p>
    <w:p w14:paraId="349DE0B7" w14:textId="171F3ABE" w:rsidR="00FB6710" w:rsidRPr="00183B5F" w:rsidRDefault="00FB6710" w:rsidP="004062FE">
      <w:pPr>
        <w:spacing w:line="240" w:lineRule="auto"/>
        <w:rPr>
          <w:del w:id="3697" w:author="AbbVie_HU_03" w:date="2025-05-14T15:27:00Z"/>
          <w:szCs w:val="22"/>
        </w:rPr>
      </w:pPr>
    </w:p>
    <w:p w14:paraId="27C29DEE" w14:textId="12DF100F" w:rsidR="00FB6710" w:rsidRPr="00183B5F" w:rsidRDefault="00943743" w:rsidP="004062FE">
      <w:pPr>
        <w:keepNext/>
        <w:numPr>
          <w:ilvl w:val="1"/>
          <w:numId w:val="25"/>
        </w:numPr>
        <w:tabs>
          <w:tab w:val="clear" w:pos="360"/>
        </w:tabs>
        <w:spacing w:line="240" w:lineRule="auto"/>
        <w:ind w:left="567" w:hanging="567"/>
        <w:rPr>
          <w:del w:id="3698" w:author="AbbVie_HU_03" w:date="2025-05-14T15:27:00Z"/>
          <w:b/>
          <w:szCs w:val="22"/>
        </w:rPr>
      </w:pPr>
      <w:del w:id="3699" w:author="AbbVie_HU_03" w:date="2025-05-14T15:27:00Z">
        <w:r w:rsidRPr="00183B5F">
          <w:rPr>
            <w:b/>
            <w:szCs w:val="22"/>
          </w:rPr>
          <w:delText>Csomagolás típusa és kiszerelése</w:delText>
        </w:r>
      </w:del>
    </w:p>
    <w:p w14:paraId="703177F1" w14:textId="1277DAAE" w:rsidR="00FB6710" w:rsidRPr="00183B5F" w:rsidRDefault="00FB6710" w:rsidP="004062FE">
      <w:pPr>
        <w:keepNext/>
        <w:spacing w:line="240" w:lineRule="auto"/>
        <w:rPr>
          <w:del w:id="3700" w:author="AbbVie_HU_03" w:date="2025-05-14T15:27:00Z"/>
          <w:b/>
          <w:szCs w:val="22"/>
        </w:rPr>
      </w:pPr>
    </w:p>
    <w:p w14:paraId="34D35981" w14:textId="5DC9B14B" w:rsidR="00FB6710" w:rsidRPr="00183B5F" w:rsidRDefault="00943743" w:rsidP="004062FE">
      <w:pPr>
        <w:keepNext/>
        <w:spacing w:line="240" w:lineRule="auto"/>
        <w:rPr>
          <w:del w:id="3701" w:author="AbbVie_HU_03" w:date="2025-05-14T15:27:00Z"/>
          <w:szCs w:val="22"/>
        </w:rPr>
      </w:pPr>
      <w:del w:id="3702" w:author="AbbVie_HU_03" w:date="2025-05-14T15:27:00Z">
        <w:r w:rsidRPr="00183B5F">
          <w:rPr>
            <w:szCs w:val="22"/>
          </w:rPr>
          <w:delText>A Humira egyszer használatos injekciós üvegben (I. típusú üveg) van, amely gumidugóval, rollnizott alumínium kupakkal és lepattintható védőlappal van lezárva.</w:delText>
        </w:r>
      </w:del>
    </w:p>
    <w:p w14:paraId="2B1D7492" w14:textId="1DA38282" w:rsidR="00FB6710" w:rsidRPr="00183B5F" w:rsidRDefault="00FB6710" w:rsidP="004062FE">
      <w:pPr>
        <w:pStyle w:val="EndnoteText"/>
        <w:tabs>
          <w:tab w:val="clear" w:pos="567"/>
        </w:tabs>
        <w:suppressAutoHyphens/>
        <w:rPr>
          <w:del w:id="3703" w:author="AbbVie_HU_03" w:date="2025-05-14T15:27:00Z"/>
          <w:sz w:val="22"/>
          <w:szCs w:val="22"/>
          <w:lang w:val="hu-HU" w:eastAsia="hu-HU"/>
        </w:rPr>
      </w:pPr>
    </w:p>
    <w:p w14:paraId="240DBC30" w14:textId="3A184FC2" w:rsidR="00FB6710" w:rsidRPr="00183B5F" w:rsidRDefault="00943743" w:rsidP="004062FE">
      <w:pPr>
        <w:spacing w:line="240" w:lineRule="auto"/>
        <w:rPr>
          <w:del w:id="3704" w:author="AbbVie_HU_03" w:date="2025-05-14T15:27:00Z"/>
          <w:strike/>
          <w:szCs w:val="22"/>
        </w:rPr>
      </w:pPr>
      <w:del w:id="3705" w:author="AbbVie_HU_03" w:date="2025-05-14T15:27:00Z">
        <w:r w:rsidRPr="00183B5F">
          <w:rPr>
            <w:szCs w:val="22"/>
          </w:rPr>
          <w:delText>2 dobozt tartalmazó csomagolás, mindegyikében:</w:delText>
        </w:r>
      </w:del>
    </w:p>
    <w:p w14:paraId="3DF94B4A" w14:textId="0739B82F" w:rsidR="00FB6710" w:rsidRPr="00183B5F" w:rsidRDefault="00943743" w:rsidP="004062FE">
      <w:pPr>
        <w:spacing w:line="240" w:lineRule="auto"/>
        <w:rPr>
          <w:del w:id="3706" w:author="AbbVie_HU_03" w:date="2025-05-14T15:27:00Z"/>
          <w:szCs w:val="22"/>
        </w:rPr>
      </w:pPr>
      <w:del w:id="3707" w:author="AbbVie_HU_03" w:date="2025-05-14T15:27:00Z">
        <w:r w:rsidRPr="00183B5F">
          <w:rPr>
            <w:szCs w:val="22"/>
          </w:rPr>
          <w:delText>1 injekciós üveg (0,8 ml steril oldat), 1 üres steril injekciós fecskendő</w:delText>
        </w:r>
        <w:r w:rsidR="00FF121B" w:rsidRPr="00183B5F">
          <w:rPr>
            <w:szCs w:val="22"/>
          </w:rPr>
          <w:delText xml:space="preserve">, 1 tű, </w:delText>
        </w:r>
        <w:r w:rsidR="00710C95" w:rsidRPr="00183B5F">
          <w:rPr>
            <w:szCs w:val="22"/>
          </w:rPr>
          <w:delText>1</w:delText>
        </w:r>
        <w:r w:rsidR="00FF121B" w:rsidRPr="00183B5F">
          <w:rPr>
            <w:szCs w:val="22"/>
          </w:rPr>
          <w:delText xml:space="preserve"> injekciós üveg adapter</w:delText>
        </w:r>
        <w:r w:rsidRPr="00183B5F">
          <w:rPr>
            <w:szCs w:val="22"/>
          </w:rPr>
          <w:delText xml:space="preserve"> és 2 alkoholos törlőkendő.</w:delText>
        </w:r>
      </w:del>
    </w:p>
    <w:p w14:paraId="1FCA2529" w14:textId="4C5B8C6F" w:rsidR="00FB6710" w:rsidRPr="00183B5F" w:rsidRDefault="00FB6710" w:rsidP="004062FE">
      <w:pPr>
        <w:spacing w:line="240" w:lineRule="auto"/>
        <w:rPr>
          <w:del w:id="3708" w:author="AbbVie_HU_03" w:date="2025-05-14T15:27:00Z"/>
          <w:szCs w:val="22"/>
        </w:rPr>
      </w:pPr>
    </w:p>
    <w:p w14:paraId="2900501E" w14:textId="568E0921" w:rsidR="00FB6710" w:rsidRPr="00183B5F" w:rsidRDefault="00943743" w:rsidP="00FE0197">
      <w:pPr>
        <w:keepNext/>
        <w:spacing w:line="240" w:lineRule="auto"/>
        <w:ind w:left="567" w:hanging="567"/>
        <w:rPr>
          <w:del w:id="3709" w:author="AbbVie_HU_03" w:date="2025-05-14T15:27:00Z"/>
          <w:b/>
          <w:szCs w:val="22"/>
        </w:rPr>
      </w:pPr>
      <w:del w:id="3710" w:author="AbbVie_HU_03" w:date="2025-05-14T15:27:00Z">
        <w:r w:rsidRPr="00183B5F">
          <w:rPr>
            <w:b/>
            <w:szCs w:val="22"/>
          </w:rPr>
          <w:delText>6.6</w:delText>
        </w:r>
        <w:r w:rsidRPr="00183B5F">
          <w:rPr>
            <w:b/>
            <w:szCs w:val="22"/>
          </w:rPr>
          <w:tab/>
          <w:delText>A megsemmisítésre vonatkozó különleges óvintézkedések és egyéb, a készítmény kezelésével kapcsolatos információk</w:delText>
        </w:r>
      </w:del>
    </w:p>
    <w:p w14:paraId="0C0E478C" w14:textId="22011FBD" w:rsidR="00FB6710" w:rsidRPr="00183B5F" w:rsidRDefault="00FB6710" w:rsidP="004062FE">
      <w:pPr>
        <w:spacing w:line="240" w:lineRule="auto"/>
        <w:ind w:left="567" w:hanging="567"/>
        <w:rPr>
          <w:del w:id="3711" w:author="AbbVie_HU_03" w:date="2025-05-14T15:27:00Z"/>
          <w:szCs w:val="22"/>
        </w:rPr>
      </w:pPr>
    </w:p>
    <w:p w14:paraId="1ADB85A0" w14:textId="36DF4BB0" w:rsidR="00FB6710" w:rsidRPr="00183B5F" w:rsidRDefault="00943743" w:rsidP="004062FE">
      <w:pPr>
        <w:spacing w:line="240" w:lineRule="auto"/>
        <w:rPr>
          <w:del w:id="3712" w:author="AbbVie_HU_03" w:date="2025-05-14T15:27:00Z"/>
          <w:szCs w:val="22"/>
        </w:rPr>
      </w:pPr>
      <w:del w:id="3713" w:author="AbbVie_HU_03" w:date="2025-05-14T15:27:00Z">
        <w:r w:rsidRPr="00183B5F">
          <w:rPr>
            <w:szCs w:val="22"/>
          </w:rPr>
          <w:delText xml:space="preserve">Bármilyen fel nem használt </w:delText>
        </w:r>
        <w:r w:rsidR="00283B09" w:rsidRPr="00183B5F">
          <w:rPr>
            <w:szCs w:val="22"/>
          </w:rPr>
          <w:delText>gyógyszer</w:delText>
        </w:r>
        <w:r w:rsidRPr="00183B5F">
          <w:rPr>
            <w:szCs w:val="22"/>
          </w:rPr>
          <w:delText>, illetve hulladékanyag megsemmisítését a</w:delText>
        </w:r>
        <w:r w:rsidR="00283B09" w:rsidRPr="00183B5F">
          <w:rPr>
            <w:szCs w:val="22"/>
          </w:rPr>
          <w:delText xml:space="preserve"> gyógyszerekre vonatkozó </w:delText>
        </w:r>
        <w:r w:rsidRPr="00183B5F">
          <w:rPr>
            <w:szCs w:val="22"/>
          </w:rPr>
          <w:delText>előírások szerint kell végrehajtani.</w:delText>
        </w:r>
      </w:del>
    </w:p>
    <w:p w14:paraId="72A214B4" w14:textId="2F67667F" w:rsidR="00FB6710" w:rsidRPr="00183B5F" w:rsidRDefault="00FB6710" w:rsidP="004062FE">
      <w:pPr>
        <w:spacing w:line="240" w:lineRule="auto"/>
        <w:rPr>
          <w:del w:id="3714" w:author="AbbVie_HU_03" w:date="2025-05-14T15:27:00Z"/>
          <w:szCs w:val="22"/>
        </w:rPr>
      </w:pPr>
    </w:p>
    <w:p w14:paraId="4F012577" w14:textId="2CD3DB86" w:rsidR="000D1BE0" w:rsidRPr="00183B5F" w:rsidRDefault="000D1BE0" w:rsidP="004062FE">
      <w:pPr>
        <w:spacing w:line="240" w:lineRule="auto"/>
        <w:rPr>
          <w:del w:id="3715" w:author="AbbVie_HU_03" w:date="2025-05-14T15:27:00Z"/>
          <w:szCs w:val="22"/>
        </w:rPr>
      </w:pPr>
    </w:p>
    <w:p w14:paraId="7A072B9B" w14:textId="54D69E03" w:rsidR="00FB6710" w:rsidRPr="00183B5F" w:rsidRDefault="00943743" w:rsidP="004062FE">
      <w:pPr>
        <w:spacing w:line="240" w:lineRule="auto"/>
        <w:rPr>
          <w:del w:id="3716" w:author="AbbVie_HU_03" w:date="2025-05-14T15:27:00Z"/>
          <w:b/>
          <w:szCs w:val="22"/>
        </w:rPr>
      </w:pPr>
      <w:del w:id="3717" w:author="AbbVie_HU_03" w:date="2025-05-14T15:27:00Z">
        <w:r w:rsidRPr="00183B5F">
          <w:rPr>
            <w:b/>
            <w:szCs w:val="22"/>
          </w:rPr>
          <w:delText>7.</w:delText>
        </w:r>
        <w:r w:rsidRPr="00183B5F">
          <w:rPr>
            <w:b/>
            <w:szCs w:val="22"/>
          </w:rPr>
          <w:tab/>
          <w:delText>A FORGALOMBA HOZATALI ENGEDÉLY JOGOSULTJA</w:delText>
        </w:r>
      </w:del>
    </w:p>
    <w:p w14:paraId="0020D04D" w14:textId="4878B421" w:rsidR="00791562" w:rsidRPr="00183B5F" w:rsidRDefault="00791562" w:rsidP="004062FE">
      <w:pPr>
        <w:spacing w:line="240" w:lineRule="auto"/>
        <w:rPr>
          <w:del w:id="3718" w:author="AbbVie_HU_03" w:date="2025-05-14T15:27:00Z"/>
          <w:szCs w:val="22"/>
        </w:rPr>
      </w:pPr>
    </w:p>
    <w:p w14:paraId="05E3B82C" w14:textId="62AB5DFD" w:rsidR="0054572E" w:rsidRPr="00183B5F" w:rsidRDefault="00943743" w:rsidP="0054572E">
      <w:pPr>
        <w:keepNext/>
        <w:suppressAutoHyphens w:val="0"/>
        <w:autoSpaceDE w:val="0"/>
        <w:autoSpaceDN w:val="0"/>
        <w:adjustRightInd w:val="0"/>
        <w:spacing w:line="240" w:lineRule="atLeast"/>
        <w:rPr>
          <w:del w:id="3719" w:author="AbbVie_HU_03" w:date="2025-05-14T15:27:00Z"/>
          <w:szCs w:val="22"/>
          <w:lang w:eastAsia="en-GB"/>
        </w:rPr>
      </w:pPr>
      <w:del w:id="3720" w:author="AbbVie_HU_03" w:date="2025-05-14T15:27:00Z">
        <w:r w:rsidRPr="00183B5F">
          <w:rPr>
            <w:szCs w:val="22"/>
            <w:lang w:eastAsia="en-GB"/>
          </w:rPr>
          <w:delText>AbbVie Deutschland GmbH &amp; Co. KG</w:delText>
        </w:r>
      </w:del>
    </w:p>
    <w:p w14:paraId="0C1D2B2F" w14:textId="69A99AE7" w:rsidR="0054572E" w:rsidRPr="00183B5F" w:rsidRDefault="00943743" w:rsidP="0054572E">
      <w:pPr>
        <w:keepNext/>
        <w:suppressAutoHyphens w:val="0"/>
        <w:autoSpaceDE w:val="0"/>
        <w:autoSpaceDN w:val="0"/>
        <w:adjustRightInd w:val="0"/>
        <w:spacing w:line="240" w:lineRule="atLeast"/>
        <w:rPr>
          <w:del w:id="3721" w:author="AbbVie_HU_03" w:date="2025-05-14T15:27:00Z"/>
          <w:szCs w:val="22"/>
          <w:lang w:eastAsia="en-GB"/>
        </w:rPr>
      </w:pPr>
      <w:del w:id="3722" w:author="AbbVie_HU_03" w:date="2025-05-14T15:27:00Z">
        <w:r w:rsidRPr="00183B5F">
          <w:rPr>
            <w:szCs w:val="22"/>
            <w:lang w:eastAsia="en-GB"/>
          </w:rPr>
          <w:delText>Knollstrasse</w:delText>
        </w:r>
      </w:del>
    </w:p>
    <w:p w14:paraId="560E5897" w14:textId="1FEFE3F6" w:rsidR="0054572E" w:rsidRPr="00183B5F" w:rsidRDefault="00943743" w:rsidP="0054572E">
      <w:pPr>
        <w:keepNext/>
        <w:suppressAutoHyphens w:val="0"/>
        <w:autoSpaceDE w:val="0"/>
        <w:autoSpaceDN w:val="0"/>
        <w:adjustRightInd w:val="0"/>
        <w:spacing w:line="240" w:lineRule="atLeast"/>
        <w:rPr>
          <w:del w:id="3723" w:author="AbbVie_HU_03" w:date="2025-05-14T15:27:00Z"/>
          <w:szCs w:val="22"/>
          <w:lang w:eastAsia="en-GB"/>
        </w:rPr>
      </w:pPr>
      <w:del w:id="3724" w:author="AbbVie_HU_03" w:date="2025-05-14T15:27:00Z">
        <w:r w:rsidRPr="00183B5F">
          <w:rPr>
            <w:szCs w:val="22"/>
            <w:lang w:eastAsia="en-GB"/>
          </w:rPr>
          <w:delText>67061 Ludwigshafen</w:delText>
        </w:r>
      </w:del>
    </w:p>
    <w:p w14:paraId="7F697A72" w14:textId="657878DE" w:rsidR="0054572E" w:rsidRPr="00183B5F" w:rsidRDefault="00943743" w:rsidP="0054572E">
      <w:pPr>
        <w:keepNext/>
        <w:suppressAutoHyphens w:val="0"/>
        <w:autoSpaceDE w:val="0"/>
        <w:autoSpaceDN w:val="0"/>
        <w:adjustRightInd w:val="0"/>
        <w:spacing w:line="240" w:lineRule="atLeast"/>
        <w:rPr>
          <w:del w:id="3725" w:author="AbbVie_HU_03" w:date="2025-05-14T15:27:00Z"/>
          <w:szCs w:val="22"/>
          <w:lang w:eastAsia="en-GB"/>
        </w:rPr>
      </w:pPr>
      <w:del w:id="3726" w:author="AbbVie_HU_03" w:date="2025-05-14T15:27:00Z">
        <w:r w:rsidRPr="00183B5F">
          <w:rPr>
            <w:szCs w:val="22"/>
            <w:lang w:eastAsia="en-GB"/>
          </w:rPr>
          <w:delText xml:space="preserve">Németország </w:delText>
        </w:r>
      </w:del>
    </w:p>
    <w:p w14:paraId="0C8B6AFE" w14:textId="59C1CA7E" w:rsidR="00FB6710" w:rsidRPr="00183B5F" w:rsidRDefault="00FB6710" w:rsidP="004062FE">
      <w:pPr>
        <w:spacing w:line="240" w:lineRule="auto"/>
        <w:rPr>
          <w:del w:id="3727" w:author="AbbVie_HU_03" w:date="2025-05-14T15:27:00Z"/>
          <w:szCs w:val="22"/>
        </w:rPr>
      </w:pPr>
    </w:p>
    <w:p w14:paraId="5B944440" w14:textId="7A82288C" w:rsidR="0009640E" w:rsidRPr="00183B5F" w:rsidRDefault="0009640E" w:rsidP="004062FE">
      <w:pPr>
        <w:spacing w:line="240" w:lineRule="auto"/>
        <w:rPr>
          <w:del w:id="3728" w:author="AbbVie_HU_03" w:date="2025-05-14T15:27:00Z"/>
          <w:szCs w:val="22"/>
        </w:rPr>
      </w:pPr>
    </w:p>
    <w:p w14:paraId="620B2B02" w14:textId="23261A2F" w:rsidR="00FB6710" w:rsidRPr="00183B5F" w:rsidRDefault="00943743" w:rsidP="004062FE">
      <w:pPr>
        <w:spacing w:line="240" w:lineRule="auto"/>
        <w:rPr>
          <w:del w:id="3729" w:author="AbbVie_HU_03" w:date="2025-05-14T15:27:00Z"/>
          <w:b/>
          <w:szCs w:val="22"/>
        </w:rPr>
      </w:pPr>
      <w:del w:id="3730" w:author="AbbVie_HU_03" w:date="2025-05-14T15:27:00Z">
        <w:r w:rsidRPr="00183B5F">
          <w:rPr>
            <w:b/>
            <w:szCs w:val="22"/>
          </w:rPr>
          <w:delText>8.</w:delText>
        </w:r>
        <w:r w:rsidRPr="00183B5F">
          <w:rPr>
            <w:b/>
            <w:szCs w:val="22"/>
          </w:rPr>
          <w:tab/>
          <w:delText>A FORGALOMBA HOZATALI ENGEDÉLY SZÁMA (I)</w:delText>
        </w:r>
      </w:del>
    </w:p>
    <w:p w14:paraId="617DCACF" w14:textId="07C73559" w:rsidR="000A7B6A" w:rsidRPr="00183B5F" w:rsidRDefault="000A7B6A" w:rsidP="004062FE">
      <w:pPr>
        <w:spacing w:line="240" w:lineRule="auto"/>
        <w:rPr>
          <w:del w:id="3731" w:author="AbbVie_HU_03" w:date="2025-05-14T15:27:00Z"/>
          <w:szCs w:val="22"/>
        </w:rPr>
      </w:pPr>
    </w:p>
    <w:p w14:paraId="31DA544C" w14:textId="0BDF3D96" w:rsidR="00FB6710" w:rsidRPr="00183B5F" w:rsidRDefault="00943743" w:rsidP="004062FE">
      <w:pPr>
        <w:spacing w:line="240" w:lineRule="auto"/>
        <w:rPr>
          <w:del w:id="3732" w:author="AbbVie_HU_03" w:date="2025-05-14T15:27:00Z"/>
          <w:szCs w:val="22"/>
        </w:rPr>
      </w:pPr>
      <w:del w:id="3733" w:author="AbbVie_HU_03" w:date="2025-05-14T15:27:00Z">
        <w:r w:rsidRPr="00183B5F">
          <w:rPr>
            <w:szCs w:val="22"/>
          </w:rPr>
          <w:delText>EU/1/03/256/001</w:delText>
        </w:r>
      </w:del>
    </w:p>
    <w:p w14:paraId="1FE0AD12" w14:textId="0E4A6356" w:rsidR="0051552F" w:rsidRPr="00183B5F" w:rsidRDefault="0051552F" w:rsidP="004062FE">
      <w:pPr>
        <w:spacing w:line="240" w:lineRule="auto"/>
        <w:rPr>
          <w:del w:id="3734" w:author="AbbVie_HU_03" w:date="2025-05-14T15:27:00Z"/>
          <w:szCs w:val="22"/>
        </w:rPr>
      </w:pPr>
    </w:p>
    <w:p w14:paraId="095C4DA1" w14:textId="56D192CD" w:rsidR="0051552F" w:rsidRPr="00183B5F" w:rsidRDefault="0051552F" w:rsidP="004062FE">
      <w:pPr>
        <w:spacing w:line="240" w:lineRule="auto"/>
        <w:rPr>
          <w:del w:id="3735" w:author="AbbVie_HU_03" w:date="2025-05-14T15:27:00Z"/>
          <w:szCs w:val="22"/>
        </w:rPr>
      </w:pPr>
    </w:p>
    <w:p w14:paraId="351AD4E8" w14:textId="473159B1" w:rsidR="00FB6710" w:rsidRPr="00183B5F" w:rsidRDefault="00943743" w:rsidP="004062FE">
      <w:pPr>
        <w:spacing w:line="240" w:lineRule="auto"/>
        <w:ind w:left="567" w:hanging="567"/>
        <w:rPr>
          <w:del w:id="3736" w:author="AbbVie_HU_03" w:date="2025-05-14T15:27:00Z"/>
          <w:b/>
          <w:szCs w:val="22"/>
        </w:rPr>
      </w:pPr>
      <w:del w:id="3737" w:author="AbbVie_HU_03" w:date="2025-05-14T15:27:00Z">
        <w:r w:rsidRPr="00183B5F">
          <w:rPr>
            <w:b/>
            <w:szCs w:val="22"/>
          </w:rPr>
          <w:delText>9.</w:delText>
        </w:r>
        <w:r w:rsidRPr="00183B5F">
          <w:rPr>
            <w:b/>
            <w:szCs w:val="22"/>
          </w:rPr>
          <w:tab/>
          <w:delText>A FORGALOMBA HOZATALI ENGEDÉLY ELSŐ KIADÁSÁNAK/ MEGÚJÍTÁSÁNAK DÁTUMA</w:delText>
        </w:r>
      </w:del>
    </w:p>
    <w:p w14:paraId="6166A3B1" w14:textId="4B4AC121" w:rsidR="00583396" w:rsidRPr="00183B5F" w:rsidRDefault="00583396" w:rsidP="004062FE">
      <w:pPr>
        <w:spacing w:line="240" w:lineRule="auto"/>
        <w:ind w:left="567" w:hanging="567"/>
        <w:rPr>
          <w:del w:id="3738" w:author="AbbVie_HU_03" w:date="2025-05-14T15:27:00Z"/>
          <w:szCs w:val="22"/>
        </w:rPr>
      </w:pPr>
    </w:p>
    <w:p w14:paraId="39A2AE38" w14:textId="54C33921" w:rsidR="008B3A05" w:rsidRPr="00183B5F" w:rsidRDefault="00943743" w:rsidP="004062FE">
      <w:pPr>
        <w:spacing w:line="240" w:lineRule="auto"/>
        <w:rPr>
          <w:del w:id="3739" w:author="AbbVie_HU_03" w:date="2025-05-14T15:27:00Z"/>
          <w:rStyle w:val="hps"/>
          <w:szCs w:val="22"/>
        </w:rPr>
      </w:pPr>
      <w:del w:id="3740" w:author="AbbVie_HU_03" w:date="2025-05-14T15:27:00Z">
        <w:r w:rsidRPr="00183B5F">
          <w:rPr>
            <w:szCs w:val="22"/>
          </w:rPr>
          <w:delText>Forgalomba hozatali engedély első kiadásának dátuma: 2003.</w:delText>
        </w:r>
        <w:r w:rsidRPr="00183B5F">
          <w:rPr>
            <w:rStyle w:val="Heading1Char"/>
            <w:rFonts w:ascii="Times New Roman" w:hAnsi="Times New Roman"/>
            <w:sz w:val="22"/>
            <w:szCs w:val="22"/>
          </w:rPr>
          <w:delText xml:space="preserve"> </w:delText>
        </w:r>
        <w:r w:rsidR="00583396" w:rsidRPr="00183B5F">
          <w:rPr>
            <w:rStyle w:val="hps"/>
            <w:szCs w:val="22"/>
          </w:rPr>
          <w:delText xml:space="preserve">szeptember </w:delText>
        </w:r>
        <w:r w:rsidR="009C13B8" w:rsidRPr="00183B5F">
          <w:rPr>
            <w:rStyle w:val="hps"/>
            <w:szCs w:val="22"/>
          </w:rPr>
          <w:delText>8</w:delText>
        </w:r>
        <w:r w:rsidR="00583396" w:rsidRPr="00183B5F">
          <w:rPr>
            <w:rStyle w:val="hps"/>
            <w:szCs w:val="22"/>
          </w:rPr>
          <w:delText>.</w:delText>
        </w:r>
      </w:del>
    </w:p>
    <w:p w14:paraId="310269EB" w14:textId="7FF77B87" w:rsidR="008B3A05" w:rsidRPr="00183B5F" w:rsidRDefault="00943743" w:rsidP="004062FE">
      <w:pPr>
        <w:spacing w:line="240" w:lineRule="auto"/>
        <w:rPr>
          <w:del w:id="3741" w:author="AbbVie_HU_03" w:date="2025-05-14T15:27:00Z"/>
          <w:szCs w:val="22"/>
        </w:rPr>
      </w:pPr>
      <w:del w:id="3742" w:author="AbbVie_HU_03" w:date="2025-05-14T15:27:00Z">
        <w:r w:rsidRPr="00183B5F">
          <w:rPr>
            <w:szCs w:val="22"/>
          </w:rPr>
          <w:delText>Forgalomba hozatali engedély legutolsó megújításának dátuma: 2008</w:delText>
        </w:r>
        <w:r w:rsidR="00583396" w:rsidRPr="00183B5F">
          <w:rPr>
            <w:szCs w:val="22"/>
          </w:rPr>
          <w:delText>.</w:delText>
        </w:r>
        <w:r w:rsidRPr="00183B5F">
          <w:rPr>
            <w:szCs w:val="22"/>
          </w:rPr>
          <w:delText xml:space="preserve"> </w:delText>
        </w:r>
        <w:r w:rsidR="00583396" w:rsidRPr="00183B5F">
          <w:rPr>
            <w:rStyle w:val="hps"/>
            <w:szCs w:val="22"/>
          </w:rPr>
          <w:delText xml:space="preserve">szeptember </w:delText>
        </w:r>
        <w:r w:rsidRPr="00183B5F">
          <w:rPr>
            <w:rStyle w:val="hps"/>
            <w:szCs w:val="22"/>
          </w:rPr>
          <w:delText>8</w:delText>
        </w:r>
        <w:r w:rsidR="00583396" w:rsidRPr="00183B5F">
          <w:rPr>
            <w:rStyle w:val="hps"/>
            <w:szCs w:val="22"/>
          </w:rPr>
          <w:delText>.</w:delText>
        </w:r>
      </w:del>
    </w:p>
    <w:p w14:paraId="44A63277" w14:textId="544AE992" w:rsidR="00FB6710" w:rsidRPr="00183B5F" w:rsidRDefault="00FB6710" w:rsidP="004062FE">
      <w:pPr>
        <w:spacing w:line="240" w:lineRule="auto"/>
        <w:rPr>
          <w:del w:id="3743" w:author="AbbVie_HU_03" w:date="2025-05-14T15:27:00Z"/>
          <w:szCs w:val="22"/>
        </w:rPr>
      </w:pPr>
    </w:p>
    <w:p w14:paraId="36EACDC2" w14:textId="58EF65DF" w:rsidR="00B30A47" w:rsidRPr="00183B5F" w:rsidRDefault="00B30A47" w:rsidP="004062FE">
      <w:pPr>
        <w:spacing w:line="240" w:lineRule="auto"/>
        <w:rPr>
          <w:del w:id="3744" w:author="AbbVie_HU_03" w:date="2025-05-14T15:27:00Z"/>
          <w:szCs w:val="22"/>
        </w:rPr>
      </w:pPr>
    </w:p>
    <w:p w14:paraId="68E44CBD" w14:textId="477008C9" w:rsidR="00FB6710" w:rsidRPr="00183B5F" w:rsidRDefault="00943743" w:rsidP="006B2397">
      <w:pPr>
        <w:keepNext/>
        <w:spacing w:line="240" w:lineRule="auto"/>
        <w:ind w:left="567" w:hanging="567"/>
        <w:rPr>
          <w:del w:id="3745" w:author="AbbVie_HU_03" w:date="2025-05-14T15:27:00Z"/>
          <w:b/>
          <w:szCs w:val="22"/>
        </w:rPr>
      </w:pPr>
      <w:del w:id="3746" w:author="AbbVie_HU_03" w:date="2025-05-14T15:27:00Z">
        <w:r w:rsidRPr="00183B5F">
          <w:rPr>
            <w:b/>
            <w:szCs w:val="22"/>
          </w:rPr>
          <w:delText>10.</w:delText>
        </w:r>
        <w:r w:rsidRPr="00183B5F">
          <w:rPr>
            <w:b/>
            <w:szCs w:val="22"/>
          </w:rPr>
          <w:tab/>
          <w:delText>A SZÖVEG ELLENŐRZÉSÉNEK DÁTUMA</w:delText>
        </w:r>
      </w:del>
    </w:p>
    <w:p w14:paraId="1960D085" w14:textId="300DF34B" w:rsidR="00283B09" w:rsidRPr="00183B5F" w:rsidRDefault="00283B09" w:rsidP="004062FE">
      <w:pPr>
        <w:spacing w:line="240" w:lineRule="auto"/>
        <w:rPr>
          <w:del w:id="3747" w:author="AbbVie_HU_03" w:date="2025-05-14T15:27:00Z"/>
          <w:bCs/>
          <w:szCs w:val="22"/>
        </w:rPr>
      </w:pPr>
    </w:p>
    <w:p w14:paraId="322C3A56" w14:textId="6EC791C6" w:rsidR="00283B09" w:rsidRPr="00183B5F" w:rsidRDefault="00943743" w:rsidP="004062FE">
      <w:pPr>
        <w:spacing w:line="240" w:lineRule="auto"/>
        <w:rPr>
          <w:del w:id="3748" w:author="AbbVie_HU_03" w:date="2025-05-14T15:27:00Z"/>
          <w:bCs/>
          <w:szCs w:val="22"/>
        </w:rPr>
      </w:pPr>
      <w:del w:id="3749" w:author="AbbVie_HU_03" w:date="2025-05-14T15:27:00Z">
        <w:r w:rsidRPr="00183B5F">
          <w:rPr>
            <w:bCs/>
            <w:szCs w:val="22"/>
          </w:rPr>
          <w:delText>A gyógyszerről részletes információ az Európai Gyógyszerügynökség internetes honlapján (http://www.ema.europa.eu) található.</w:delText>
        </w:r>
      </w:del>
    </w:p>
    <w:p w14:paraId="65C6BBAC" w14:textId="0C2043AD" w:rsidR="00FB6710" w:rsidRPr="00183B5F" w:rsidRDefault="00943743" w:rsidP="0080649D">
      <w:pPr>
        <w:spacing w:line="240" w:lineRule="auto"/>
        <w:rPr>
          <w:del w:id="3750" w:author="AbbVie_HU_03" w:date="2025-05-14T15:27:00Z"/>
          <w:b/>
          <w:szCs w:val="22"/>
        </w:rPr>
      </w:pPr>
      <w:del w:id="3751" w:author="AbbVie_HU_03" w:date="2025-05-14T15:27:00Z">
        <w:r w:rsidRPr="00183B5F">
          <w:rPr>
            <w:bCs/>
            <w:szCs w:val="22"/>
          </w:rPr>
          <w:br w:type="page"/>
        </w:r>
        <w:r w:rsidRPr="00183B5F">
          <w:rPr>
            <w:b/>
            <w:szCs w:val="22"/>
          </w:rPr>
          <w:delText>1.</w:delText>
        </w:r>
        <w:r w:rsidRPr="00183B5F">
          <w:rPr>
            <w:b/>
            <w:szCs w:val="22"/>
          </w:rPr>
          <w:tab/>
          <w:delText>A GYÓGYSZER NEVE</w:delText>
        </w:r>
      </w:del>
    </w:p>
    <w:p w14:paraId="141AABCD" w14:textId="4CD0F84C" w:rsidR="00FB6710" w:rsidRPr="00183B5F" w:rsidRDefault="00FB6710" w:rsidP="004062FE">
      <w:pPr>
        <w:spacing w:line="240" w:lineRule="auto"/>
        <w:rPr>
          <w:del w:id="3752" w:author="AbbVie_HU_03" w:date="2025-05-14T15:27:00Z"/>
          <w:szCs w:val="22"/>
        </w:rPr>
      </w:pPr>
    </w:p>
    <w:p w14:paraId="5E3D83AE" w14:textId="1C7B8E42" w:rsidR="00FB6710" w:rsidRPr="00183B5F" w:rsidRDefault="00943743" w:rsidP="004062FE">
      <w:pPr>
        <w:spacing w:line="240" w:lineRule="auto"/>
        <w:rPr>
          <w:del w:id="3753" w:author="AbbVie_HU_03" w:date="2025-05-14T15:27:00Z"/>
          <w:szCs w:val="22"/>
        </w:rPr>
      </w:pPr>
      <w:del w:id="3754" w:author="AbbVie_HU_03" w:date="2025-05-14T15:27:00Z">
        <w:r w:rsidRPr="00183B5F">
          <w:rPr>
            <w:szCs w:val="22"/>
          </w:rPr>
          <w:delText>Humira 40 mg oldatos injekció</w:delText>
        </w:r>
        <w:r w:rsidR="009E66C0" w:rsidRPr="00183B5F">
          <w:rPr>
            <w:szCs w:val="22"/>
          </w:rPr>
          <w:delText xml:space="preserve"> </w:delText>
        </w:r>
        <w:r w:rsidRPr="00183B5F">
          <w:rPr>
            <w:szCs w:val="22"/>
          </w:rPr>
          <w:delText>előretöltött fecskendőben</w:delText>
        </w:r>
      </w:del>
    </w:p>
    <w:p w14:paraId="78F18A7E" w14:textId="575B615C" w:rsidR="00FF76FE" w:rsidRPr="00183B5F" w:rsidRDefault="00943743" w:rsidP="004062FE">
      <w:pPr>
        <w:spacing w:line="240" w:lineRule="auto"/>
        <w:rPr>
          <w:del w:id="3755" w:author="AbbVie_HU_03" w:date="2025-05-14T15:27:00Z"/>
          <w:szCs w:val="22"/>
        </w:rPr>
      </w:pPr>
      <w:del w:id="3756" w:author="AbbVie_HU_03" w:date="2025-05-14T15:27:00Z">
        <w:r w:rsidRPr="00183B5F">
          <w:rPr>
            <w:szCs w:val="22"/>
          </w:rPr>
          <w:delText>Humira 40 mg oldatos injekció előretöltött injekciós tollban</w:delText>
        </w:r>
      </w:del>
    </w:p>
    <w:p w14:paraId="655AED45" w14:textId="67B2DC36" w:rsidR="00FB6710" w:rsidRPr="00183B5F" w:rsidRDefault="00FB6710" w:rsidP="004062FE">
      <w:pPr>
        <w:spacing w:line="240" w:lineRule="auto"/>
        <w:rPr>
          <w:del w:id="3757" w:author="AbbVie_HU_03" w:date="2025-05-14T15:27:00Z"/>
          <w:szCs w:val="22"/>
        </w:rPr>
      </w:pPr>
    </w:p>
    <w:p w14:paraId="6C4D66AD" w14:textId="53B702FF" w:rsidR="00FB6710" w:rsidRPr="00183B5F" w:rsidRDefault="00FB6710" w:rsidP="004062FE">
      <w:pPr>
        <w:spacing w:line="240" w:lineRule="auto"/>
        <w:rPr>
          <w:del w:id="3758" w:author="AbbVie_HU_03" w:date="2025-05-14T15:27:00Z"/>
          <w:szCs w:val="22"/>
        </w:rPr>
      </w:pPr>
    </w:p>
    <w:p w14:paraId="7068E94A" w14:textId="4D8AEC79" w:rsidR="00FB6710" w:rsidRPr="00183B5F" w:rsidRDefault="00943743" w:rsidP="0080649D">
      <w:pPr>
        <w:pStyle w:val="EndnoteText"/>
        <w:tabs>
          <w:tab w:val="clear" w:pos="567"/>
        </w:tabs>
        <w:suppressAutoHyphens/>
        <w:rPr>
          <w:del w:id="3759" w:author="AbbVie_HU_03" w:date="2025-05-14T15:27:00Z"/>
          <w:sz w:val="22"/>
          <w:lang w:val="hu-HU"/>
        </w:rPr>
      </w:pPr>
      <w:del w:id="3760" w:author="AbbVie_HU_03" w:date="2025-05-14T15:27:00Z">
        <w:r w:rsidRPr="00183B5F">
          <w:rPr>
            <w:b/>
            <w:sz w:val="22"/>
            <w:szCs w:val="22"/>
            <w:lang w:val="hu-HU"/>
          </w:rPr>
          <w:delText>2</w:delText>
        </w:r>
        <w:r w:rsidRPr="00183B5F">
          <w:rPr>
            <w:b/>
            <w:sz w:val="22"/>
            <w:lang w:val="hu-HU"/>
          </w:rPr>
          <w:delText>.</w:delText>
        </w:r>
        <w:r w:rsidRPr="00183B5F">
          <w:rPr>
            <w:b/>
            <w:sz w:val="22"/>
            <w:lang w:val="hu-HU"/>
          </w:rPr>
          <w:tab/>
          <w:delText>MINŐSÉGI ÉS MENNYISÉGI ÖSSZETÉTEL</w:delText>
        </w:r>
      </w:del>
    </w:p>
    <w:p w14:paraId="03CAB233" w14:textId="659EAA15" w:rsidR="00FB6710" w:rsidRPr="00183B5F" w:rsidRDefault="00FB6710" w:rsidP="004062FE">
      <w:pPr>
        <w:spacing w:line="240" w:lineRule="auto"/>
        <w:rPr>
          <w:del w:id="3761" w:author="AbbVie_HU_03" w:date="2025-05-14T15:27:00Z"/>
          <w:szCs w:val="22"/>
        </w:rPr>
      </w:pPr>
    </w:p>
    <w:p w14:paraId="1222FAD0" w14:textId="0374DD7B" w:rsidR="00FF76FE" w:rsidRPr="00183B5F" w:rsidRDefault="00943743" w:rsidP="004062FE">
      <w:pPr>
        <w:spacing w:line="240" w:lineRule="auto"/>
        <w:rPr>
          <w:del w:id="3762" w:author="AbbVie_HU_03" w:date="2025-05-14T15:27:00Z"/>
          <w:szCs w:val="22"/>
          <w:u w:val="single"/>
        </w:rPr>
      </w:pPr>
      <w:del w:id="3763" w:author="AbbVie_HU_03" w:date="2025-05-14T15:27:00Z">
        <w:r w:rsidRPr="00183B5F">
          <w:rPr>
            <w:szCs w:val="22"/>
            <w:u w:val="single"/>
          </w:rPr>
          <w:delText xml:space="preserve">Humira 40 mg oldatos injekció előretöltött </w:delText>
        </w:r>
        <w:r w:rsidR="00B3198B" w:rsidRPr="00183B5F">
          <w:rPr>
            <w:szCs w:val="22"/>
            <w:u w:val="single"/>
          </w:rPr>
          <w:delText>fecskendőben</w:delText>
        </w:r>
      </w:del>
    </w:p>
    <w:p w14:paraId="62FCBE73" w14:textId="1478985D" w:rsidR="00FB6710" w:rsidRPr="00183B5F" w:rsidRDefault="00943743" w:rsidP="004062FE">
      <w:pPr>
        <w:spacing w:line="240" w:lineRule="auto"/>
        <w:rPr>
          <w:del w:id="3764" w:author="AbbVie_HU_03" w:date="2025-05-14T15:27:00Z"/>
          <w:szCs w:val="22"/>
        </w:rPr>
      </w:pPr>
      <w:del w:id="3765" w:author="AbbVie_HU_03" w:date="2025-05-14T15:27:00Z">
        <w:r w:rsidRPr="00183B5F">
          <w:rPr>
            <w:szCs w:val="22"/>
          </w:rPr>
          <w:delText>40 mg adalimumab 0,8 ml</w:delText>
        </w:r>
        <w:r w:rsidRPr="00183B5F">
          <w:rPr>
            <w:szCs w:val="22"/>
          </w:rPr>
          <w:noBreakHyphen/>
          <w:delText>es, egyadagos,</w:delText>
        </w:r>
        <w:r w:rsidR="009E66C0" w:rsidRPr="00183B5F">
          <w:rPr>
            <w:szCs w:val="22"/>
          </w:rPr>
          <w:delText xml:space="preserve"> </w:delText>
        </w:r>
        <w:r w:rsidRPr="00183B5F">
          <w:rPr>
            <w:szCs w:val="22"/>
          </w:rPr>
          <w:delText>előretöltött fecskendőben.</w:delText>
        </w:r>
      </w:del>
    </w:p>
    <w:p w14:paraId="15232729" w14:textId="7179F675" w:rsidR="00321E9F" w:rsidRPr="00183B5F" w:rsidRDefault="00321E9F" w:rsidP="004062FE">
      <w:pPr>
        <w:spacing w:line="240" w:lineRule="auto"/>
        <w:rPr>
          <w:del w:id="3766" w:author="AbbVie_HU_03" w:date="2025-05-14T15:27:00Z"/>
          <w:szCs w:val="22"/>
        </w:rPr>
      </w:pPr>
    </w:p>
    <w:p w14:paraId="00A1FA29" w14:textId="293751DE" w:rsidR="00FF76FE" w:rsidRPr="00183B5F" w:rsidRDefault="00943743" w:rsidP="004062FE">
      <w:pPr>
        <w:spacing w:line="240" w:lineRule="auto"/>
        <w:rPr>
          <w:del w:id="3767" w:author="AbbVie_HU_03" w:date="2025-05-14T15:27:00Z"/>
          <w:szCs w:val="22"/>
          <w:u w:val="single"/>
        </w:rPr>
      </w:pPr>
      <w:del w:id="3768" w:author="AbbVie_HU_03" w:date="2025-05-14T15:27:00Z">
        <w:r w:rsidRPr="00183B5F">
          <w:rPr>
            <w:szCs w:val="22"/>
            <w:u w:val="single"/>
          </w:rPr>
          <w:delText>Humira 40 mg oldatos injekció előretöltött injekciós tollban</w:delText>
        </w:r>
      </w:del>
    </w:p>
    <w:p w14:paraId="61069517" w14:textId="7242F21A" w:rsidR="00FF76FE" w:rsidRPr="00183B5F" w:rsidRDefault="00943743" w:rsidP="004062FE">
      <w:pPr>
        <w:spacing w:line="240" w:lineRule="auto"/>
        <w:rPr>
          <w:del w:id="3769" w:author="AbbVie_HU_03" w:date="2025-05-14T15:27:00Z"/>
          <w:szCs w:val="22"/>
        </w:rPr>
      </w:pPr>
      <w:del w:id="3770" w:author="AbbVie_HU_03" w:date="2025-05-14T15:27:00Z">
        <w:r w:rsidRPr="00183B5F">
          <w:rPr>
            <w:szCs w:val="22"/>
          </w:rPr>
          <w:delText>40 mg adalimumab 0,8 ml</w:delText>
        </w:r>
        <w:r w:rsidRPr="00183B5F">
          <w:rPr>
            <w:szCs w:val="22"/>
          </w:rPr>
          <w:noBreakHyphen/>
          <w:delText>es, egyadagos, előretöltött injekciós tollban.</w:delText>
        </w:r>
      </w:del>
    </w:p>
    <w:p w14:paraId="549274EA" w14:textId="0D4EBF2B" w:rsidR="00FF76FE" w:rsidRPr="00183B5F" w:rsidRDefault="00FF76FE" w:rsidP="004062FE">
      <w:pPr>
        <w:spacing w:line="240" w:lineRule="auto"/>
        <w:rPr>
          <w:del w:id="3771" w:author="AbbVie_HU_03" w:date="2025-05-14T15:27:00Z"/>
          <w:szCs w:val="22"/>
        </w:rPr>
      </w:pPr>
    </w:p>
    <w:p w14:paraId="119C06FC" w14:textId="5E5D0422" w:rsidR="00FB6710" w:rsidRPr="00183B5F" w:rsidRDefault="00943743" w:rsidP="004062FE">
      <w:pPr>
        <w:pStyle w:val="EndnoteText"/>
        <w:tabs>
          <w:tab w:val="clear" w:pos="567"/>
        </w:tabs>
        <w:suppressAutoHyphens/>
        <w:rPr>
          <w:del w:id="3772" w:author="AbbVie_HU_03" w:date="2025-05-14T15:27:00Z"/>
          <w:sz w:val="22"/>
          <w:lang w:val="hu-HU"/>
        </w:rPr>
      </w:pPr>
      <w:del w:id="3773" w:author="AbbVie_HU_03" w:date="2025-05-14T15:27:00Z">
        <w:r w:rsidRPr="00183B5F">
          <w:rPr>
            <w:sz w:val="22"/>
            <w:lang w:val="hu-HU"/>
          </w:rPr>
          <w:delText>Az adalimumab egy rekombináns humán monoklonális antitest, melyet kínai hörcsög petefészek sejtekben állítanak elő.</w:delText>
        </w:r>
      </w:del>
    </w:p>
    <w:p w14:paraId="29C49A16" w14:textId="31747720" w:rsidR="00FB6710" w:rsidRPr="00183B5F" w:rsidRDefault="00FB6710" w:rsidP="004062FE">
      <w:pPr>
        <w:spacing w:line="240" w:lineRule="auto"/>
        <w:rPr>
          <w:del w:id="3774" w:author="AbbVie_HU_03" w:date="2025-05-14T15:27:00Z"/>
          <w:szCs w:val="22"/>
        </w:rPr>
      </w:pPr>
    </w:p>
    <w:p w14:paraId="7657FBBB" w14:textId="276371A3" w:rsidR="00FB6710" w:rsidRPr="00183B5F" w:rsidRDefault="00943743" w:rsidP="004062FE">
      <w:pPr>
        <w:spacing w:line="240" w:lineRule="auto"/>
        <w:rPr>
          <w:del w:id="3775" w:author="AbbVie_HU_03" w:date="2025-05-14T15:27:00Z"/>
          <w:szCs w:val="22"/>
        </w:rPr>
      </w:pPr>
      <w:del w:id="3776" w:author="AbbVie_HU_03" w:date="2025-05-14T15:27:00Z">
        <w:r w:rsidRPr="00183B5F">
          <w:rPr>
            <w:szCs w:val="22"/>
          </w:rPr>
          <w:delText>A segédanyagok teljes listáját lásd a 6.1 pontban.</w:delText>
        </w:r>
      </w:del>
    </w:p>
    <w:p w14:paraId="2861288D" w14:textId="2D0B5062" w:rsidR="00FB6710" w:rsidRPr="00183B5F" w:rsidRDefault="00FB6710" w:rsidP="004062FE">
      <w:pPr>
        <w:spacing w:line="240" w:lineRule="auto"/>
        <w:rPr>
          <w:del w:id="3777" w:author="AbbVie_HU_03" w:date="2025-05-14T15:27:00Z"/>
          <w:szCs w:val="22"/>
        </w:rPr>
      </w:pPr>
    </w:p>
    <w:p w14:paraId="325D6731" w14:textId="26179519" w:rsidR="00FB6710" w:rsidRPr="00183B5F" w:rsidRDefault="00FB6710" w:rsidP="004062FE">
      <w:pPr>
        <w:spacing w:line="240" w:lineRule="auto"/>
        <w:rPr>
          <w:del w:id="3778" w:author="AbbVie_HU_03" w:date="2025-05-14T15:27:00Z"/>
          <w:szCs w:val="22"/>
        </w:rPr>
      </w:pPr>
    </w:p>
    <w:p w14:paraId="444C7E98" w14:textId="5EFF75F0" w:rsidR="00FB6710" w:rsidRPr="00183B5F" w:rsidRDefault="00943743" w:rsidP="006B2397">
      <w:pPr>
        <w:spacing w:line="240" w:lineRule="auto"/>
        <w:rPr>
          <w:del w:id="3779" w:author="AbbVie_HU_03" w:date="2025-05-14T15:27:00Z"/>
          <w:b/>
          <w:szCs w:val="22"/>
        </w:rPr>
      </w:pPr>
      <w:del w:id="3780" w:author="AbbVie_HU_03" w:date="2025-05-14T15:27:00Z">
        <w:r w:rsidRPr="00183B5F">
          <w:rPr>
            <w:b/>
            <w:szCs w:val="22"/>
          </w:rPr>
          <w:delText>3.</w:delText>
        </w:r>
        <w:r w:rsidRPr="00183B5F">
          <w:rPr>
            <w:b/>
            <w:szCs w:val="22"/>
          </w:rPr>
          <w:tab/>
          <w:delText>GYÓGYSZERFORMA</w:delText>
        </w:r>
      </w:del>
    </w:p>
    <w:p w14:paraId="45A1651C" w14:textId="095C5720" w:rsidR="00FB6710" w:rsidRPr="00183B5F" w:rsidRDefault="00FB6710" w:rsidP="004062FE">
      <w:pPr>
        <w:spacing w:line="240" w:lineRule="auto"/>
        <w:rPr>
          <w:del w:id="3781" w:author="AbbVie_HU_03" w:date="2025-05-14T15:27:00Z"/>
          <w:szCs w:val="22"/>
        </w:rPr>
      </w:pPr>
    </w:p>
    <w:p w14:paraId="5BB0BF7B" w14:textId="16FCCF33" w:rsidR="00E44D48" w:rsidRPr="00183B5F" w:rsidRDefault="00943743" w:rsidP="004062FE">
      <w:pPr>
        <w:spacing w:line="240" w:lineRule="auto"/>
        <w:rPr>
          <w:del w:id="3782" w:author="AbbVie_HU_03" w:date="2025-05-14T15:27:00Z"/>
          <w:szCs w:val="22"/>
        </w:rPr>
      </w:pPr>
      <w:del w:id="3783" w:author="AbbVie_HU_03" w:date="2025-05-14T15:27:00Z">
        <w:r w:rsidRPr="00183B5F">
          <w:rPr>
            <w:szCs w:val="22"/>
          </w:rPr>
          <w:delText>Oldatos injekció</w:delText>
        </w:r>
        <w:r w:rsidR="00AD5CEA" w:rsidRPr="00183B5F">
          <w:rPr>
            <w:szCs w:val="22"/>
          </w:rPr>
          <w:delText xml:space="preserve"> (</w:delText>
        </w:r>
        <w:r w:rsidR="00A43FB3" w:rsidRPr="00183B5F">
          <w:rPr>
            <w:szCs w:val="22"/>
          </w:rPr>
          <w:delText>i</w:delText>
        </w:r>
        <w:r w:rsidR="00AD5CEA" w:rsidRPr="00183B5F">
          <w:rPr>
            <w:szCs w:val="22"/>
          </w:rPr>
          <w:delText>njekció).</w:delText>
        </w:r>
      </w:del>
    </w:p>
    <w:p w14:paraId="26AEC97F" w14:textId="7BA5A54D" w:rsidR="00E44D48" w:rsidRPr="00183B5F" w:rsidRDefault="00E44D48" w:rsidP="004062FE">
      <w:pPr>
        <w:spacing w:line="240" w:lineRule="auto"/>
        <w:rPr>
          <w:del w:id="3784" w:author="AbbVie_HU_03" w:date="2025-05-14T15:27:00Z"/>
          <w:szCs w:val="22"/>
        </w:rPr>
      </w:pPr>
    </w:p>
    <w:p w14:paraId="1A74D1A0" w14:textId="387991AA" w:rsidR="00FB6710" w:rsidRPr="00183B5F" w:rsidRDefault="00943743" w:rsidP="004062FE">
      <w:pPr>
        <w:spacing w:line="240" w:lineRule="auto"/>
        <w:rPr>
          <w:del w:id="3785" w:author="AbbVie_HU_03" w:date="2025-05-14T15:27:00Z"/>
          <w:szCs w:val="22"/>
        </w:rPr>
      </w:pPr>
      <w:del w:id="3786" w:author="AbbVie_HU_03" w:date="2025-05-14T15:27:00Z">
        <w:r w:rsidRPr="00183B5F">
          <w:rPr>
            <w:szCs w:val="22"/>
          </w:rPr>
          <w:delText xml:space="preserve">Tiszta, </w:delText>
        </w:r>
        <w:r w:rsidR="00E44D48" w:rsidRPr="00183B5F">
          <w:rPr>
            <w:szCs w:val="22"/>
          </w:rPr>
          <w:delText>színtelen oldat.</w:delText>
        </w:r>
      </w:del>
    </w:p>
    <w:p w14:paraId="0E9A9B5A" w14:textId="2AD5E5ED" w:rsidR="00FB6710" w:rsidRPr="00183B5F" w:rsidRDefault="00FB6710" w:rsidP="004062FE">
      <w:pPr>
        <w:pStyle w:val="EndnoteText"/>
        <w:tabs>
          <w:tab w:val="clear" w:pos="567"/>
        </w:tabs>
        <w:suppressAutoHyphens/>
        <w:rPr>
          <w:del w:id="3787" w:author="AbbVie_HU_03" w:date="2025-05-14T15:27:00Z"/>
          <w:sz w:val="22"/>
          <w:szCs w:val="22"/>
          <w:lang w:val="hu-HU" w:eastAsia="hu-HU"/>
        </w:rPr>
      </w:pPr>
    </w:p>
    <w:p w14:paraId="5C469653" w14:textId="6AE26D4B" w:rsidR="00FB6710" w:rsidRPr="00183B5F" w:rsidRDefault="00FB6710" w:rsidP="004062FE">
      <w:pPr>
        <w:spacing w:line="240" w:lineRule="auto"/>
        <w:rPr>
          <w:del w:id="3788" w:author="AbbVie_HU_03" w:date="2025-05-14T15:27:00Z"/>
          <w:szCs w:val="22"/>
        </w:rPr>
      </w:pPr>
    </w:p>
    <w:p w14:paraId="1B01C4B2" w14:textId="333FBB1E" w:rsidR="00FB6710" w:rsidRPr="00183B5F" w:rsidRDefault="00943743" w:rsidP="006B2397">
      <w:pPr>
        <w:spacing w:line="240" w:lineRule="auto"/>
        <w:rPr>
          <w:del w:id="3789" w:author="AbbVie_HU_03" w:date="2025-05-14T15:27:00Z"/>
          <w:b/>
          <w:caps/>
          <w:szCs w:val="22"/>
        </w:rPr>
      </w:pPr>
      <w:del w:id="3790" w:author="AbbVie_HU_03" w:date="2025-05-14T15:27:00Z">
        <w:r w:rsidRPr="00183B5F">
          <w:rPr>
            <w:b/>
            <w:caps/>
            <w:szCs w:val="22"/>
          </w:rPr>
          <w:delText>4.</w:delText>
        </w:r>
        <w:r w:rsidRPr="00183B5F">
          <w:rPr>
            <w:b/>
            <w:caps/>
            <w:szCs w:val="22"/>
          </w:rPr>
          <w:tab/>
        </w:r>
        <w:r w:rsidRPr="00183B5F">
          <w:rPr>
            <w:b/>
            <w:caps/>
            <w:szCs w:val="22"/>
          </w:rPr>
          <w:delText>KLINIKAI JELLEMZŐK</w:delText>
        </w:r>
      </w:del>
    </w:p>
    <w:p w14:paraId="2DE3B2A3" w14:textId="2EFA3DD9" w:rsidR="00FB6710" w:rsidRPr="00183B5F" w:rsidRDefault="00FB6710" w:rsidP="004062FE">
      <w:pPr>
        <w:spacing w:line="240" w:lineRule="auto"/>
        <w:rPr>
          <w:del w:id="3791" w:author="AbbVie_HU_03" w:date="2025-05-14T15:27:00Z"/>
          <w:szCs w:val="22"/>
        </w:rPr>
      </w:pPr>
    </w:p>
    <w:p w14:paraId="1348E61E" w14:textId="5A01CFB3" w:rsidR="00FB6710" w:rsidRPr="00183B5F" w:rsidRDefault="00943743" w:rsidP="004062FE">
      <w:pPr>
        <w:numPr>
          <w:ilvl w:val="1"/>
          <w:numId w:val="28"/>
        </w:numPr>
        <w:spacing w:line="240" w:lineRule="auto"/>
        <w:rPr>
          <w:del w:id="3792" w:author="AbbVie_HU_03" w:date="2025-05-14T15:27:00Z"/>
          <w:b/>
          <w:szCs w:val="22"/>
        </w:rPr>
      </w:pPr>
      <w:del w:id="3793" w:author="AbbVie_HU_03" w:date="2025-05-14T15:27:00Z">
        <w:r w:rsidRPr="00183B5F">
          <w:rPr>
            <w:b/>
            <w:szCs w:val="22"/>
          </w:rPr>
          <w:delText>Terápiás javallatok</w:delText>
        </w:r>
      </w:del>
    </w:p>
    <w:p w14:paraId="6EB0CAA3" w14:textId="1289EF88" w:rsidR="00FB6710" w:rsidRPr="00183B5F" w:rsidRDefault="00FB6710" w:rsidP="004062FE">
      <w:pPr>
        <w:spacing w:line="240" w:lineRule="auto"/>
        <w:rPr>
          <w:del w:id="3794" w:author="AbbVie_HU_03" w:date="2025-05-14T15:27:00Z"/>
          <w:b/>
          <w:szCs w:val="22"/>
        </w:rPr>
      </w:pPr>
    </w:p>
    <w:p w14:paraId="0F5AC2D5" w14:textId="127AAB55" w:rsidR="00FB6710" w:rsidRPr="00183B5F" w:rsidRDefault="00943743" w:rsidP="004062FE">
      <w:pPr>
        <w:spacing w:line="240" w:lineRule="auto"/>
        <w:rPr>
          <w:del w:id="3795" w:author="AbbVie_HU_03" w:date="2025-05-14T15:27:00Z"/>
          <w:szCs w:val="22"/>
          <w:u w:val="single"/>
        </w:rPr>
      </w:pPr>
      <w:del w:id="3796" w:author="AbbVie_HU_03" w:date="2025-05-14T15:27:00Z">
        <w:r w:rsidRPr="00183B5F">
          <w:rPr>
            <w:szCs w:val="22"/>
            <w:u w:val="single"/>
          </w:rPr>
          <w:delText>Rheumatoid arthritis</w:delText>
        </w:r>
      </w:del>
    </w:p>
    <w:p w14:paraId="27F12359" w14:textId="070B8551" w:rsidR="00FB6710" w:rsidRPr="00183B5F" w:rsidRDefault="00FB6710" w:rsidP="004062FE">
      <w:pPr>
        <w:spacing w:line="240" w:lineRule="auto"/>
        <w:rPr>
          <w:del w:id="3797" w:author="AbbVie_HU_03" w:date="2025-05-14T15:27:00Z"/>
          <w:szCs w:val="22"/>
        </w:rPr>
      </w:pPr>
    </w:p>
    <w:p w14:paraId="68E5C91F" w14:textId="69C7DCF9" w:rsidR="00FB6710" w:rsidRPr="00183B5F" w:rsidRDefault="00943743" w:rsidP="004062FE">
      <w:pPr>
        <w:spacing w:line="240" w:lineRule="auto"/>
        <w:rPr>
          <w:del w:id="3798" w:author="AbbVie_HU_03" w:date="2025-05-14T15:27:00Z"/>
          <w:szCs w:val="22"/>
        </w:rPr>
      </w:pPr>
      <w:del w:id="3799" w:author="AbbVie_HU_03" w:date="2025-05-14T15:27:00Z">
        <w:r w:rsidRPr="00183B5F">
          <w:rPr>
            <w:szCs w:val="22"/>
          </w:rPr>
          <w:delText>A Humira metotrexáttal együtt adagolva javallott:</w:delText>
        </w:r>
      </w:del>
    </w:p>
    <w:p w14:paraId="5261A884" w14:textId="33752535" w:rsidR="00FB6710" w:rsidRPr="00183B5F" w:rsidRDefault="00FB6710" w:rsidP="004062FE">
      <w:pPr>
        <w:spacing w:line="240" w:lineRule="auto"/>
        <w:rPr>
          <w:del w:id="3800" w:author="AbbVie_HU_03" w:date="2025-05-14T15:27:00Z"/>
          <w:szCs w:val="22"/>
        </w:rPr>
      </w:pPr>
    </w:p>
    <w:p w14:paraId="078AAC45" w14:textId="756B812C" w:rsidR="00FB6710" w:rsidRPr="00183B5F" w:rsidRDefault="00943743" w:rsidP="004062FE">
      <w:pPr>
        <w:numPr>
          <w:ilvl w:val="0"/>
          <w:numId w:val="77"/>
        </w:numPr>
        <w:tabs>
          <w:tab w:val="clear" w:pos="720"/>
          <w:tab w:val="num" w:pos="540"/>
        </w:tabs>
        <w:spacing w:line="240" w:lineRule="auto"/>
        <w:ind w:left="540" w:hanging="540"/>
        <w:rPr>
          <w:del w:id="3801" w:author="AbbVie_HU_03" w:date="2025-05-14T15:27:00Z"/>
          <w:szCs w:val="22"/>
        </w:rPr>
      </w:pPr>
      <w:del w:id="3802" w:author="AbbVie_HU_03" w:date="2025-05-14T15:27:00Z">
        <w:r w:rsidRPr="00183B5F">
          <w:rPr>
            <w:szCs w:val="22"/>
          </w:rPr>
          <w:delText>közepesen súlyos, illetve súlyos aktív rheumatoid arthritisben szenvedő felnőtt betegek kezelésére, ha a betegséget befolyásoló reumaellenes szerek (disease</w:delText>
        </w:r>
        <w:r w:rsidR="00C05D94" w:rsidRPr="00183B5F">
          <w:rPr>
            <w:szCs w:val="22"/>
          </w:rPr>
          <w:noBreakHyphen/>
        </w:r>
        <w:r w:rsidRPr="00183B5F">
          <w:rPr>
            <w:szCs w:val="22"/>
          </w:rPr>
          <w:delText>modifying antirheumatic drugs), beleértve a metotrexátot, nem hatásosak.</w:delText>
        </w:r>
      </w:del>
    </w:p>
    <w:p w14:paraId="6DFF7E26" w14:textId="26FD547B" w:rsidR="00FB6710" w:rsidRPr="00183B5F" w:rsidRDefault="00943743" w:rsidP="004062FE">
      <w:pPr>
        <w:numPr>
          <w:ilvl w:val="0"/>
          <w:numId w:val="30"/>
        </w:numPr>
        <w:spacing w:line="240" w:lineRule="auto"/>
        <w:rPr>
          <w:del w:id="3803" w:author="AbbVie_HU_03" w:date="2025-05-14T15:27:00Z"/>
          <w:szCs w:val="22"/>
        </w:rPr>
      </w:pPr>
      <w:del w:id="3804" w:author="AbbVie_HU_03" w:date="2025-05-14T15:27:00Z">
        <w:r w:rsidRPr="00183B5F">
          <w:rPr>
            <w:szCs w:val="22"/>
          </w:rPr>
          <w:delText>súlyos, aktív és progresszív rheumatoid arthritis betegségben szenvedő felnőttek kezelésére, akiket előzőleg még nem kezeltek metotrexáttal.</w:delText>
        </w:r>
      </w:del>
    </w:p>
    <w:p w14:paraId="7D9762A6" w14:textId="5F9EC135" w:rsidR="0051552F" w:rsidRPr="00183B5F" w:rsidRDefault="0051552F" w:rsidP="004062FE">
      <w:pPr>
        <w:spacing w:line="240" w:lineRule="auto"/>
        <w:rPr>
          <w:del w:id="3805" w:author="AbbVie_HU_03" w:date="2025-05-14T15:27:00Z"/>
          <w:szCs w:val="22"/>
        </w:rPr>
      </w:pPr>
    </w:p>
    <w:p w14:paraId="33B07B68" w14:textId="10242962" w:rsidR="00FB6710" w:rsidRPr="00183B5F" w:rsidRDefault="00943743" w:rsidP="004062FE">
      <w:pPr>
        <w:spacing w:line="240" w:lineRule="auto"/>
        <w:rPr>
          <w:del w:id="3806" w:author="AbbVie_HU_03" w:date="2025-05-14T15:27:00Z"/>
          <w:szCs w:val="22"/>
        </w:rPr>
      </w:pPr>
      <w:del w:id="3807" w:author="AbbVie_HU_03" w:date="2025-05-14T15:27:00Z">
        <w:r w:rsidRPr="00183B5F">
          <w:rPr>
            <w:szCs w:val="22"/>
          </w:rPr>
          <w:delText>A Humira metotrexát-intolerancia esetén, vagy ha a folyamatos metotrexát</w:delText>
        </w:r>
        <w:r w:rsidR="00474A11" w:rsidRPr="00183B5F">
          <w:rPr>
            <w:szCs w:val="22"/>
          </w:rPr>
          <w:noBreakHyphen/>
        </w:r>
        <w:r w:rsidRPr="00183B5F">
          <w:rPr>
            <w:szCs w:val="22"/>
          </w:rPr>
          <w:delText>kezelés nem megfelelő, monoterápiaként is alkalmazható.</w:delText>
        </w:r>
      </w:del>
    </w:p>
    <w:p w14:paraId="147B1D6D" w14:textId="56543E30" w:rsidR="0051552F" w:rsidRPr="00183B5F" w:rsidRDefault="0051552F" w:rsidP="004062FE">
      <w:pPr>
        <w:spacing w:line="240" w:lineRule="auto"/>
        <w:rPr>
          <w:del w:id="3808" w:author="AbbVie_HU_03" w:date="2025-05-14T15:27:00Z"/>
          <w:szCs w:val="22"/>
        </w:rPr>
      </w:pPr>
    </w:p>
    <w:p w14:paraId="52248D81" w14:textId="0344E94E" w:rsidR="00FB6710" w:rsidRPr="00183B5F" w:rsidRDefault="00943743" w:rsidP="004062FE">
      <w:pPr>
        <w:suppressAutoHyphens w:val="0"/>
        <w:spacing w:line="240" w:lineRule="auto"/>
        <w:rPr>
          <w:del w:id="3809" w:author="AbbVie_HU_03" w:date="2025-05-14T15:27:00Z"/>
          <w:szCs w:val="22"/>
        </w:rPr>
      </w:pPr>
      <w:del w:id="3810" w:author="AbbVie_HU_03" w:date="2025-05-14T15:27:00Z">
        <w:r w:rsidRPr="00183B5F">
          <w:rPr>
            <w:szCs w:val="22"/>
          </w:rPr>
          <w:delText>A Humira csökkenti a röntgen felvétellel kimutatott ízületi károsodás progressziójának mértékét és javítja a fizikai funkciókat, ha metotrexáttal kombinálva kerül alkalmazásra.</w:delText>
        </w:r>
      </w:del>
    </w:p>
    <w:p w14:paraId="5F555C76" w14:textId="05B70631" w:rsidR="00FB6710" w:rsidRPr="00183B5F" w:rsidRDefault="00FB6710" w:rsidP="004062FE">
      <w:pPr>
        <w:suppressAutoHyphens w:val="0"/>
        <w:spacing w:line="240" w:lineRule="auto"/>
        <w:rPr>
          <w:del w:id="3811" w:author="AbbVie_HU_03" w:date="2025-05-14T15:27:00Z"/>
          <w:szCs w:val="22"/>
        </w:rPr>
      </w:pPr>
    </w:p>
    <w:p w14:paraId="68C90976" w14:textId="039BA503" w:rsidR="00076DEB" w:rsidRPr="00183B5F" w:rsidRDefault="00943743">
      <w:pPr>
        <w:pStyle w:val="EMEANormal"/>
        <w:rPr>
          <w:del w:id="3812" w:author="AbbVie_HU_03" w:date="2025-05-14T15:27:00Z"/>
          <w:szCs w:val="22"/>
          <w:u w:val="single"/>
          <w:lang w:val="hu-HU"/>
        </w:rPr>
      </w:pPr>
      <w:del w:id="3813" w:author="AbbVie_HU_03" w:date="2025-05-14T15:27:00Z">
        <w:r w:rsidRPr="00183B5F">
          <w:rPr>
            <w:szCs w:val="22"/>
            <w:u w:val="single"/>
            <w:lang w:val="hu-HU"/>
          </w:rPr>
          <w:delText>Juvenilis idiopathiás arthritis</w:delText>
        </w:r>
      </w:del>
    </w:p>
    <w:p w14:paraId="037CD19B" w14:textId="05160CDB" w:rsidR="00076DEB" w:rsidRPr="00183B5F" w:rsidRDefault="00076DEB">
      <w:pPr>
        <w:pStyle w:val="EMEANormal"/>
        <w:rPr>
          <w:del w:id="3814" w:author="AbbVie_HU_03" w:date="2025-05-14T15:27:00Z"/>
          <w:szCs w:val="22"/>
          <w:lang w:val="hu-HU"/>
        </w:rPr>
      </w:pPr>
    </w:p>
    <w:p w14:paraId="6681E3B3" w14:textId="746CF45B" w:rsidR="00076DEB" w:rsidRPr="00183B5F" w:rsidRDefault="00943743">
      <w:pPr>
        <w:pStyle w:val="EMEANormal"/>
        <w:rPr>
          <w:del w:id="3815" w:author="AbbVie_HU_03" w:date="2025-05-14T15:27:00Z"/>
          <w:i/>
          <w:szCs w:val="22"/>
          <w:lang w:val="hu-HU"/>
        </w:rPr>
      </w:pPr>
      <w:del w:id="3816" w:author="AbbVie_HU_03" w:date="2025-05-14T15:27:00Z">
        <w:r w:rsidRPr="00183B5F">
          <w:rPr>
            <w:i/>
            <w:szCs w:val="22"/>
            <w:lang w:val="hu-HU"/>
          </w:rPr>
          <w:delText>Polyarticularis juvenilis idiopathiás arthritis</w:delText>
        </w:r>
      </w:del>
    </w:p>
    <w:p w14:paraId="2009334E" w14:textId="12E72C71" w:rsidR="00FB6710" w:rsidRPr="00183B5F" w:rsidRDefault="00FB6710" w:rsidP="004062FE">
      <w:pPr>
        <w:suppressAutoHyphens w:val="0"/>
        <w:spacing w:line="240" w:lineRule="auto"/>
        <w:rPr>
          <w:del w:id="3817" w:author="AbbVie_HU_03" w:date="2025-05-14T15:27:00Z"/>
          <w:szCs w:val="22"/>
        </w:rPr>
      </w:pPr>
    </w:p>
    <w:p w14:paraId="1C01F2AF" w14:textId="2EB2AEBE" w:rsidR="00C9047A" w:rsidRPr="00183B5F" w:rsidRDefault="00943743" w:rsidP="004062FE">
      <w:pPr>
        <w:spacing w:line="240" w:lineRule="auto"/>
        <w:rPr>
          <w:del w:id="3818" w:author="AbbVie_HU_03" w:date="2025-05-14T15:27:00Z"/>
          <w:szCs w:val="22"/>
        </w:rPr>
      </w:pPr>
      <w:del w:id="3819" w:author="AbbVie_HU_03" w:date="2025-05-14T15:27:00Z">
        <w:r w:rsidRPr="00183B5F">
          <w:rPr>
            <w:szCs w:val="22"/>
          </w:rPr>
          <w:delText>A Humira metotrexáttal kombinálva a polyarticularis juvenilis idiopathiás arthritis kezelésére javall</w:delText>
        </w:r>
        <w:r w:rsidR="00C05D94" w:rsidRPr="00183B5F">
          <w:rPr>
            <w:szCs w:val="22"/>
          </w:rPr>
          <w:delText>ot</w:delText>
        </w:r>
        <w:r w:rsidRPr="00183B5F">
          <w:rPr>
            <w:szCs w:val="22"/>
          </w:rPr>
          <w:delText>t 2 éves kortól olyan betegeknél, akik nem reagáltak megfelelően egy vagy több, betegséget befolyásoló reumaellenes szerre (disease</w:delText>
        </w:r>
        <w:r w:rsidR="00C05D94" w:rsidRPr="00183B5F">
          <w:rPr>
            <w:szCs w:val="22"/>
          </w:rPr>
          <w:noBreakHyphen/>
        </w:r>
        <w:r w:rsidRPr="00183B5F">
          <w:rPr>
            <w:szCs w:val="22"/>
          </w:rPr>
          <w:delText>modifying antirheumatic drug, DMARDS). A Humira egyedül is adható metotrexát-intolerancia eseté</w:delText>
        </w:r>
        <w:r w:rsidR="00474A11" w:rsidRPr="00183B5F">
          <w:rPr>
            <w:szCs w:val="22"/>
          </w:rPr>
          <w:delText>n, vagy ha a további metotrexát</w:delText>
        </w:r>
        <w:r w:rsidR="00474A11" w:rsidRPr="00183B5F">
          <w:rPr>
            <w:szCs w:val="22"/>
          </w:rPr>
          <w:noBreakHyphen/>
        </w:r>
        <w:r w:rsidRPr="00183B5F">
          <w:rPr>
            <w:szCs w:val="22"/>
          </w:rPr>
          <w:delText>kezelés nem megfelelő (a monoterápiában mutatott hatásossággal kapcsolatban lásd az 5.1 pontot). A Humira</w:delText>
        </w:r>
        <w:r w:rsidR="00976EC4" w:rsidRPr="00183B5F">
          <w:rPr>
            <w:szCs w:val="22"/>
          </w:rPr>
          <w:noBreakHyphen/>
        </w:r>
        <w:r w:rsidRPr="00183B5F">
          <w:rPr>
            <w:szCs w:val="22"/>
          </w:rPr>
          <w:delText>t 2 évesnél fiatalabb betegek esetén nem vizsgálták.</w:delText>
        </w:r>
      </w:del>
    </w:p>
    <w:p w14:paraId="11C7D1A9" w14:textId="17E688AE" w:rsidR="00C9047A" w:rsidRPr="00183B5F" w:rsidRDefault="00C9047A" w:rsidP="004062FE">
      <w:pPr>
        <w:spacing w:line="240" w:lineRule="auto"/>
        <w:rPr>
          <w:del w:id="3820" w:author="AbbVie_HU_03" w:date="2025-05-14T15:27:00Z"/>
          <w:b/>
          <w:szCs w:val="22"/>
        </w:rPr>
      </w:pPr>
    </w:p>
    <w:p w14:paraId="39C2E8B5" w14:textId="271422AB" w:rsidR="00C9047A" w:rsidRPr="00183B5F" w:rsidRDefault="00943743" w:rsidP="004062FE">
      <w:pPr>
        <w:keepNext/>
        <w:spacing w:line="240" w:lineRule="auto"/>
        <w:rPr>
          <w:del w:id="3821" w:author="AbbVie_HU_03" w:date="2025-05-14T15:27:00Z"/>
          <w:i/>
          <w:szCs w:val="22"/>
        </w:rPr>
      </w:pPr>
      <w:del w:id="3822" w:author="AbbVie_HU_03" w:date="2025-05-14T15:27:00Z">
        <w:r w:rsidRPr="00183B5F">
          <w:rPr>
            <w:i/>
            <w:szCs w:val="22"/>
          </w:rPr>
          <w:delText>Enthesitis-asszociált arthritis</w:delText>
        </w:r>
      </w:del>
    </w:p>
    <w:p w14:paraId="056636F5" w14:textId="4A82C769" w:rsidR="00C9047A" w:rsidRPr="00183B5F" w:rsidRDefault="00C9047A" w:rsidP="004062FE">
      <w:pPr>
        <w:keepNext/>
        <w:spacing w:line="240" w:lineRule="auto"/>
        <w:rPr>
          <w:del w:id="3823" w:author="AbbVie_HU_03" w:date="2025-05-14T15:27:00Z"/>
          <w:szCs w:val="22"/>
        </w:rPr>
      </w:pPr>
    </w:p>
    <w:p w14:paraId="3D570841" w14:textId="2CDDB1FE" w:rsidR="00C9047A" w:rsidRPr="00183B5F" w:rsidRDefault="00943743" w:rsidP="004062FE">
      <w:pPr>
        <w:keepNext/>
        <w:spacing w:line="240" w:lineRule="auto"/>
        <w:rPr>
          <w:del w:id="3824" w:author="AbbVie_HU_03" w:date="2025-05-14T15:27:00Z"/>
          <w:szCs w:val="22"/>
        </w:rPr>
      </w:pPr>
      <w:del w:id="3825" w:author="AbbVie_HU_03" w:date="2025-05-14T15:27:00Z">
        <w:r w:rsidRPr="00183B5F">
          <w:rPr>
            <w:szCs w:val="22"/>
          </w:rPr>
          <w:delText xml:space="preserve">A Humira az aktív, </w:delText>
        </w:r>
        <w:r w:rsidR="00677908" w:rsidRPr="00183B5F">
          <w:rPr>
            <w:szCs w:val="22"/>
          </w:rPr>
          <w:delText>enthesitis-asszociált</w:delText>
        </w:r>
        <w:r w:rsidRPr="00183B5F">
          <w:rPr>
            <w:szCs w:val="22"/>
          </w:rPr>
          <w:delText xml:space="preserve"> arthritis kezelésére javall</w:delText>
        </w:r>
        <w:r w:rsidR="0056561A" w:rsidRPr="00183B5F">
          <w:rPr>
            <w:szCs w:val="22"/>
          </w:rPr>
          <w:delText>ot</w:delText>
        </w:r>
        <w:r w:rsidRPr="00183B5F">
          <w:rPr>
            <w:szCs w:val="22"/>
          </w:rPr>
          <w:delText>t 6 éves kortól olyan betegeknél, akik a hagyományos kezelésre nem reagáltak megfelelően vagy azt nem tolerálták (lásd 5.1 pont).</w:delText>
        </w:r>
      </w:del>
    </w:p>
    <w:p w14:paraId="4EE488BE" w14:textId="500223EE" w:rsidR="00FB6710" w:rsidRPr="00183B5F" w:rsidRDefault="00FB6710" w:rsidP="004062FE">
      <w:pPr>
        <w:spacing w:line="240" w:lineRule="auto"/>
        <w:rPr>
          <w:del w:id="3826" w:author="AbbVie_HU_03" w:date="2025-05-14T15:27:00Z"/>
          <w:szCs w:val="22"/>
        </w:rPr>
      </w:pPr>
    </w:p>
    <w:p w14:paraId="305EC6C7" w14:textId="337B57A2" w:rsidR="000B384F" w:rsidRPr="00183B5F" w:rsidRDefault="00943743" w:rsidP="004062FE">
      <w:pPr>
        <w:keepNext/>
        <w:spacing w:line="240" w:lineRule="auto"/>
        <w:rPr>
          <w:del w:id="3827" w:author="AbbVie_HU_03" w:date="2025-05-14T15:27:00Z"/>
          <w:szCs w:val="22"/>
          <w:u w:val="single"/>
        </w:rPr>
      </w:pPr>
      <w:del w:id="3828" w:author="AbbVie_HU_03" w:date="2025-05-14T15:27:00Z">
        <w:r w:rsidRPr="00183B5F">
          <w:rPr>
            <w:szCs w:val="22"/>
            <w:u w:val="single"/>
          </w:rPr>
          <w:delText>Axiális spondyloarthritis</w:delText>
        </w:r>
      </w:del>
    </w:p>
    <w:p w14:paraId="3EFC8D65" w14:textId="1DDDC356" w:rsidR="000B384F" w:rsidRPr="00183B5F" w:rsidRDefault="000B384F" w:rsidP="004062FE">
      <w:pPr>
        <w:keepNext/>
        <w:spacing w:line="240" w:lineRule="auto"/>
        <w:rPr>
          <w:del w:id="3829" w:author="AbbVie_HU_03" w:date="2025-05-14T15:27:00Z"/>
          <w:szCs w:val="22"/>
          <w:u w:val="single"/>
        </w:rPr>
      </w:pPr>
    </w:p>
    <w:p w14:paraId="79C93201" w14:textId="439490D7" w:rsidR="000B384F" w:rsidRPr="00183B5F" w:rsidRDefault="00943743" w:rsidP="004062FE">
      <w:pPr>
        <w:keepNext/>
        <w:spacing w:line="240" w:lineRule="auto"/>
        <w:rPr>
          <w:del w:id="3830" w:author="AbbVie_HU_03" w:date="2025-05-14T15:27:00Z"/>
          <w:i/>
          <w:szCs w:val="22"/>
        </w:rPr>
      </w:pPr>
      <w:del w:id="3831" w:author="AbbVie_HU_03" w:date="2025-05-14T15:27:00Z">
        <w:r w:rsidRPr="00183B5F">
          <w:rPr>
            <w:i/>
            <w:szCs w:val="22"/>
          </w:rPr>
          <w:delText>Spondylitis ankylopoetica (</w:delText>
        </w:r>
        <w:r w:rsidR="00141812" w:rsidRPr="00183B5F">
          <w:rPr>
            <w:i/>
            <w:szCs w:val="22"/>
          </w:rPr>
          <w:delText>SPA</w:delText>
        </w:r>
        <w:r w:rsidRPr="00183B5F">
          <w:rPr>
            <w:i/>
            <w:szCs w:val="22"/>
          </w:rPr>
          <w:delText>)</w:delText>
        </w:r>
      </w:del>
    </w:p>
    <w:p w14:paraId="36905A28" w14:textId="35855C67" w:rsidR="000B384F" w:rsidRPr="00183B5F" w:rsidRDefault="000B384F" w:rsidP="004062FE">
      <w:pPr>
        <w:keepNext/>
        <w:spacing w:line="240" w:lineRule="auto"/>
        <w:rPr>
          <w:del w:id="3832" w:author="AbbVie_HU_03" w:date="2025-05-14T15:27:00Z"/>
          <w:szCs w:val="22"/>
          <w:u w:val="single"/>
        </w:rPr>
      </w:pPr>
    </w:p>
    <w:p w14:paraId="5ADF8BDE" w14:textId="34B40653" w:rsidR="000B384F" w:rsidRPr="00183B5F" w:rsidRDefault="00943743" w:rsidP="004062FE">
      <w:pPr>
        <w:keepNext/>
        <w:spacing w:line="240" w:lineRule="auto"/>
        <w:rPr>
          <w:del w:id="3833" w:author="AbbVie_HU_03" w:date="2025-05-14T15:27:00Z"/>
          <w:szCs w:val="22"/>
        </w:rPr>
      </w:pPr>
      <w:del w:id="3834" w:author="AbbVie_HU_03" w:date="2025-05-14T15:27:00Z">
        <w:r w:rsidRPr="00183B5F">
          <w:rPr>
            <w:szCs w:val="22"/>
          </w:rPr>
          <w:delText>A Humira felnőttkori súlyos aktív spondylitis ankylopoetica kezelésére javallott, ha a beteg nem reagál megfelelően a hagyományos kezelésre.</w:delText>
        </w:r>
      </w:del>
    </w:p>
    <w:p w14:paraId="4D05AD99" w14:textId="796361F6" w:rsidR="000B384F" w:rsidRPr="00183B5F" w:rsidRDefault="000B384F" w:rsidP="004062FE">
      <w:pPr>
        <w:spacing w:line="240" w:lineRule="auto"/>
        <w:rPr>
          <w:del w:id="3835" w:author="AbbVie_HU_03" w:date="2025-05-14T15:27:00Z"/>
          <w:szCs w:val="22"/>
        </w:rPr>
      </w:pPr>
    </w:p>
    <w:p w14:paraId="6DE19A46" w14:textId="6F92E805" w:rsidR="00141812" w:rsidRPr="00183B5F" w:rsidRDefault="00943743">
      <w:pPr>
        <w:keepNext/>
        <w:suppressAutoHyphens w:val="0"/>
        <w:spacing w:line="240" w:lineRule="auto"/>
        <w:rPr>
          <w:del w:id="3836" w:author="AbbVie_HU_03" w:date="2025-05-14T15:27:00Z"/>
          <w:i/>
          <w:szCs w:val="22"/>
        </w:rPr>
      </w:pPr>
      <w:del w:id="3837" w:author="AbbVie_HU_03" w:date="2025-05-14T15:27:00Z">
        <w:r w:rsidRPr="00183B5F">
          <w:rPr>
            <w:rFonts w:eastAsia="SimSun"/>
            <w:i/>
            <w:szCs w:val="22"/>
            <w:lang w:eastAsia="zh-CN"/>
          </w:rPr>
          <w:delText>Spondylitis ankylopoeticának (SPA) megfelelő röntgeneltéréssel nem járó</w:delText>
        </w:r>
        <w:r w:rsidRPr="00183B5F">
          <w:rPr>
            <w:i/>
            <w:szCs w:val="22"/>
          </w:rPr>
          <w:delText xml:space="preserve"> axiális spondyloarthritis</w:delText>
        </w:r>
      </w:del>
    </w:p>
    <w:p w14:paraId="02E86B84" w14:textId="71DC0086" w:rsidR="00E44D48" w:rsidRPr="00183B5F" w:rsidRDefault="00E44D48">
      <w:pPr>
        <w:keepNext/>
        <w:suppressAutoHyphens w:val="0"/>
        <w:spacing w:line="240" w:lineRule="auto"/>
        <w:rPr>
          <w:del w:id="3838" w:author="AbbVie_HU_03" w:date="2025-05-14T15:27:00Z"/>
          <w:rFonts w:eastAsia="MS Mincho"/>
          <w:i/>
          <w:szCs w:val="22"/>
          <w:lang w:eastAsia="ja-JP"/>
        </w:rPr>
      </w:pPr>
    </w:p>
    <w:p w14:paraId="297152A3" w14:textId="5D1D58E1" w:rsidR="000B384F" w:rsidRPr="00183B5F" w:rsidRDefault="00943743" w:rsidP="004062FE">
      <w:pPr>
        <w:keepNext/>
        <w:spacing w:line="240" w:lineRule="auto"/>
        <w:rPr>
          <w:del w:id="3839" w:author="AbbVie_HU_03" w:date="2025-05-14T15:27:00Z"/>
          <w:szCs w:val="22"/>
          <w:u w:val="single"/>
        </w:rPr>
      </w:pPr>
      <w:del w:id="3840" w:author="AbbVie_HU_03" w:date="2025-05-14T15:27:00Z">
        <w:r w:rsidRPr="00183B5F">
          <w:rPr>
            <w:szCs w:val="22"/>
          </w:rPr>
          <w:delText>A Humira</w:delText>
        </w:r>
        <w:r w:rsidR="00F0468F" w:rsidRPr="00183B5F">
          <w:rPr>
            <w:szCs w:val="22"/>
          </w:rPr>
          <w:noBreakHyphen/>
        </w:r>
        <w:r w:rsidRPr="00183B5F">
          <w:rPr>
            <w:szCs w:val="22"/>
          </w:rPr>
          <w:delText>kezelés indikált</w:delText>
        </w:r>
        <w:r w:rsidR="00F378D3" w:rsidRPr="00183B5F">
          <w:rPr>
            <w:szCs w:val="22"/>
          </w:rPr>
          <w:delText xml:space="preserve"> </w:delText>
        </w:r>
        <w:r w:rsidR="009E7212" w:rsidRPr="00183B5F">
          <w:rPr>
            <w:szCs w:val="22"/>
          </w:rPr>
          <w:delText xml:space="preserve">az olyan, </w:delText>
        </w:r>
        <w:r w:rsidR="00697931" w:rsidRPr="00183B5F">
          <w:rPr>
            <w:szCs w:val="22"/>
          </w:rPr>
          <w:delText xml:space="preserve">felnőttkori </w:delText>
        </w:r>
        <w:r w:rsidRPr="00183B5F">
          <w:rPr>
            <w:rFonts w:eastAsia="SimSun"/>
            <w:szCs w:val="22"/>
            <w:lang w:eastAsia="zh-CN"/>
          </w:rPr>
          <w:delText>súlyos axiális spondyloarthritisben szenvedő</w:delText>
        </w:r>
        <w:r w:rsidR="00697931" w:rsidRPr="00183B5F">
          <w:rPr>
            <w:rFonts w:eastAsia="SimSun"/>
            <w:szCs w:val="22"/>
            <w:lang w:eastAsia="zh-CN"/>
          </w:rPr>
          <w:delText xml:space="preserve"> </w:delText>
        </w:r>
        <w:r w:rsidRPr="00183B5F">
          <w:rPr>
            <w:rFonts w:eastAsia="SimSun"/>
            <w:szCs w:val="22"/>
            <w:lang w:eastAsia="zh-CN"/>
          </w:rPr>
          <w:delText xml:space="preserve">betegeknél, akiknél az </w:delText>
        </w:r>
        <w:r w:rsidR="00697931" w:rsidRPr="00183B5F">
          <w:rPr>
            <w:rFonts w:eastAsia="SimSun"/>
            <w:szCs w:val="22"/>
            <w:lang w:eastAsia="zh-CN"/>
          </w:rPr>
          <w:delText>SPA</w:delText>
        </w:r>
        <w:r w:rsidR="00C05D94" w:rsidRPr="00183B5F">
          <w:rPr>
            <w:rFonts w:eastAsia="SimSun"/>
            <w:szCs w:val="22"/>
            <w:lang w:eastAsia="zh-CN"/>
          </w:rPr>
          <w:noBreakHyphen/>
        </w:r>
        <w:r w:rsidR="00697931" w:rsidRPr="00183B5F">
          <w:rPr>
            <w:rFonts w:eastAsia="SimSun"/>
            <w:szCs w:val="22"/>
            <w:lang w:eastAsia="zh-CN"/>
          </w:rPr>
          <w:delText>nak megfelelő</w:delText>
        </w:r>
        <w:r w:rsidRPr="00183B5F">
          <w:rPr>
            <w:rFonts w:eastAsia="SimSun"/>
            <w:szCs w:val="22"/>
            <w:lang w:eastAsia="zh-CN"/>
          </w:rPr>
          <w:delText xml:space="preserve"> r</w:delText>
        </w:r>
        <w:r w:rsidR="00697931" w:rsidRPr="00183B5F">
          <w:rPr>
            <w:rFonts w:eastAsia="SimSun"/>
            <w:szCs w:val="22"/>
            <w:lang w:eastAsia="zh-CN"/>
          </w:rPr>
          <w:delText>öntgen</w:delText>
        </w:r>
        <w:r w:rsidRPr="00183B5F">
          <w:rPr>
            <w:rFonts w:eastAsia="SimSun"/>
            <w:szCs w:val="22"/>
            <w:lang w:eastAsia="zh-CN"/>
          </w:rPr>
          <w:delText xml:space="preserve">eltérés nem mutatható ki, de a gyulladás objektív </w:delText>
        </w:r>
        <w:r w:rsidR="00482313" w:rsidRPr="00183B5F">
          <w:rPr>
            <w:rFonts w:eastAsia="SimSun"/>
            <w:szCs w:val="22"/>
            <w:lang w:eastAsia="zh-CN"/>
          </w:rPr>
          <w:delText>jelei</w:delText>
        </w:r>
        <w:r w:rsidRPr="00183B5F">
          <w:rPr>
            <w:rFonts w:eastAsia="SimSun"/>
            <w:szCs w:val="22"/>
            <w:lang w:eastAsia="zh-CN"/>
          </w:rPr>
          <w:delText xml:space="preserve"> emelkedett CRP</w:delText>
        </w:r>
        <w:r w:rsidR="00C05D94" w:rsidRPr="00183B5F">
          <w:rPr>
            <w:rFonts w:eastAsia="SimSun"/>
            <w:szCs w:val="22"/>
            <w:lang w:eastAsia="zh-CN"/>
          </w:rPr>
          <w:noBreakHyphen/>
        </w:r>
        <w:r w:rsidRPr="00183B5F">
          <w:rPr>
            <w:rFonts w:eastAsia="SimSun"/>
            <w:szCs w:val="22"/>
            <w:lang w:eastAsia="zh-CN"/>
          </w:rPr>
          <w:delText>vel és/vagy MR</w:delText>
        </w:r>
        <w:r w:rsidR="00A615D7" w:rsidRPr="00183B5F">
          <w:rPr>
            <w:rFonts w:eastAsia="SimSun"/>
            <w:szCs w:val="22"/>
            <w:lang w:eastAsia="zh-CN"/>
          </w:rPr>
          <w:delText xml:space="preserve"> vizsgálattal</w:delText>
        </w:r>
        <w:r w:rsidR="0072206C" w:rsidRPr="00183B5F">
          <w:rPr>
            <w:rFonts w:eastAsia="SimSun"/>
            <w:szCs w:val="22"/>
            <w:lang w:eastAsia="zh-CN"/>
          </w:rPr>
          <w:delText xml:space="preserve"> igazolható</w:delText>
        </w:r>
        <w:r w:rsidR="00CC4D43" w:rsidRPr="00183B5F">
          <w:rPr>
            <w:rFonts w:eastAsia="SimSun"/>
            <w:szCs w:val="22"/>
            <w:lang w:eastAsia="zh-CN"/>
          </w:rPr>
          <w:delText>k</w:delText>
        </w:r>
        <w:r w:rsidRPr="00183B5F">
          <w:rPr>
            <w:rFonts w:eastAsia="SimSun"/>
            <w:szCs w:val="22"/>
            <w:lang w:eastAsia="zh-CN"/>
          </w:rPr>
          <w:delText xml:space="preserve">, és akik </w:delText>
        </w:r>
        <w:r w:rsidRPr="00183B5F">
          <w:rPr>
            <w:szCs w:val="22"/>
          </w:rPr>
          <w:delText xml:space="preserve">nem </w:delText>
        </w:r>
        <w:r w:rsidR="003F308D" w:rsidRPr="00183B5F">
          <w:rPr>
            <w:szCs w:val="22"/>
          </w:rPr>
          <w:delText>reagáltak me</w:delText>
        </w:r>
        <w:r w:rsidRPr="00183B5F">
          <w:rPr>
            <w:szCs w:val="22"/>
          </w:rPr>
          <w:delText>gfelelő</w:delText>
        </w:r>
        <w:r w:rsidR="00662E4A" w:rsidRPr="00183B5F">
          <w:rPr>
            <w:szCs w:val="22"/>
          </w:rPr>
          <w:delText>en</w:delText>
        </w:r>
        <w:r w:rsidRPr="00183B5F">
          <w:rPr>
            <w:rFonts w:eastAsia="SimSun"/>
            <w:szCs w:val="22"/>
            <w:lang w:eastAsia="zh-CN"/>
          </w:rPr>
          <w:delText xml:space="preserve"> </w:delText>
        </w:r>
        <w:r w:rsidR="00C15284" w:rsidRPr="00183B5F">
          <w:rPr>
            <w:rFonts w:eastAsia="SimSun"/>
            <w:szCs w:val="22"/>
            <w:lang w:eastAsia="zh-CN"/>
          </w:rPr>
          <w:delText>a nem</w:delText>
        </w:r>
        <w:r w:rsidR="00081EB1" w:rsidRPr="00183B5F">
          <w:rPr>
            <w:rFonts w:eastAsia="SimSun"/>
            <w:szCs w:val="22"/>
            <w:lang w:eastAsia="zh-CN"/>
          </w:rPr>
          <w:delText xml:space="preserve"> </w:delText>
        </w:r>
        <w:r w:rsidR="00662E4A" w:rsidRPr="00183B5F">
          <w:rPr>
            <w:rFonts w:eastAsia="SimSun"/>
            <w:szCs w:val="22"/>
            <w:lang w:eastAsia="zh-CN"/>
          </w:rPr>
          <w:delText>szteroid gyulladáscsökkentő gyógyszerekre</w:delText>
        </w:r>
        <w:r w:rsidR="00286D1A" w:rsidRPr="00183B5F">
          <w:rPr>
            <w:rFonts w:eastAsia="SimSun"/>
            <w:szCs w:val="22"/>
            <w:lang w:eastAsia="zh-CN"/>
          </w:rPr>
          <w:delText xml:space="preserve"> (NSAID)</w:delText>
        </w:r>
        <w:r w:rsidR="00662E4A" w:rsidRPr="00183B5F">
          <w:rPr>
            <w:rFonts w:eastAsia="SimSun"/>
            <w:szCs w:val="22"/>
            <w:lang w:eastAsia="zh-CN"/>
          </w:rPr>
          <w:delText xml:space="preserve"> </w:delText>
        </w:r>
        <w:r w:rsidRPr="00183B5F">
          <w:rPr>
            <w:rFonts w:eastAsia="SimSun"/>
            <w:szCs w:val="22"/>
            <w:lang w:eastAsia="zh-CN"/>
          </w:rPr>
          <w:delText xml:space="preserve">vagy </w:delText>
        </w:r>
        <w:r w:rsidR="00662E4A" w:rsidRPr="00183B5F">
          <w:rPr>
            <w:rFonts w:eastAsia="SimSun"/>
            <w:szCs w:val="22"/>
            <w:lang w:eastAsia="zh-CN"/>
          </w:rPr>
          <w:delText xml:space="preserve">nem </w:delText>
        </w:r>
        <w:r w:rsidRPr="00183B5F">
          <w:rPr>
            <w:rFonts w:eastAsia="SimSun"/>
            <w:szCs w:val="22"/>
            <w:lang w:eastAsia="zh-CN"/>
          </w:rPr>
          <w:delText>toler</w:delText>
        </w:r>
        <w:r w:rsidR="00662E4A" w:rsidRPr="00183B5F">
          <w:rPr>
            <w:rFonts w:eastAsia="SimSun"/>
            <w:szCs w:val="22"/>
            <w:lang w:eastAsia="zh-CN"/>
          </w:rPr>
          <w:delText>álták azokat</w:delText>
        </w:r>
        <w:r w:rsidRPr="00183B5F">
          <w:rPr>
            <w:rFonts w:eastAsia="SimSun"/>
            <w:szCs w:val="22"/>
            <w:lang w:eastAsia="zh-CN"/>
          </w:rPr>
          <w:delText>.</w:delText>
        </w:r>
      </w:del>
    </w:p>
    <w:p w14:paraId="7B7C0D15" w14:textId="49E7A1C7" w:rsidR="000B384F" w:rsidRPr="00183B5F" w:rsidRDefault="000B384F" w:rsidP="004062FE">
      <w:pPr>
        <w:spacing w:line="240" w:lineRule="auto"/>
        <w:rPr>
          <w:del w:id="3841" w:author="AbbVie_HU_03" w:date="2025-05-14T15:27:00Z"/>
          <w:szCs w:val="22"/>
        </w:rPr>
      </w:pPr>
    </w:p>
    <w:p w14:paraId="610ED59D" w14:textId="797570C2" w:rsidR="00FB6710" w:rsidRPr="00183B5F" w:rsidRDefault="00943743" w:rsidP="004062FE">
      <w:pPr>
        <w:spacing w:line="240" w:lineRule="auto"/>
        <w:rPr>
          <w:del w:id="3842" w:author="AbbVie_HU_03" w:date="2025-05-14T15:27:00Z"/>
          <w:szCs w:val="22"/>
          <w:u w:val="single"/>
        </w:rPr>
      </w:pPr>
      <w:del w:id="3843" w:author="AbbVie_HU_03" w:date="2025-05-14T15:27:00Z">
        <w:r w:rsidRPr="00183B5F">
          <w:rPr>
            <w:szCs w:val="22"/>
            <w:u w:val="single"/>
          </w:rPr>
          <w:delText>Arthritis psoriatica</w:delText>
        </w:r>
      </w:del>
    </w:p>
    <w:p w14:paraId="1125D2F6" w14:textId="2973BCFC" w:rsidR="00FB6710" w:rsidRPr="00183B5F" w:rsidRDefault="00FB6710" w:rsidP="004062FE">
      <w:pPr>
        <w:spacing w:line="240" w:lineRule="auto"/>
        <w:rPr>
          <w:del w:id="3844" w:author="AbbVie_HU_03" w:date="2025-05-14T15:27:00Z"/>
          <w:szCs w:val="22"/>
        </w:rPr>
      </w:pPr>
    </w:p>
    <w:p w14:paraId="731AE28F" w14:textId="1EE91544" w:rsidR="00FB6710" w:rsidRPr="00183B5F" w:rsidRDefault="00943743" w:rsidP="004062FE">
      <w:pPr>
        <w:spacing w:line="240" w:lineRule="auto"/>
        <w:rPr>
          <w:del w:id="3845" w:author="AbbVie_HU_03" w:date="2025-05-14T15:27:00Z"/>
          <w:szCs w:val="22"/>
        </w:rPr>
      </w:pPr>
      <w:del w:id="3846" w:author="AbbVie_HU_03" w:date="2025-05-14T15:27:00Z">
        <w:r w:rsidRPr="00183B5F">
          <w:rPr>
            <w:szCs w:val="22"/>
          </w:rPr>
          <w:delText>A Humira javasolt felnőttkori aktív és progrediáló arthritis psoriatica kezelésére, ha a betegséget befolyásoló reumaellenes szerek (disease</w:delText>
        </w:r>
        <w:r w:rsidR="00C05D94" w:rsidRPr="00183B5F">
          <w:rPr>
            <w:szCs w:val="22"/>
          </w:rPr>
          <w:noBreakHyphen/>
        </w:r>
        <w:r w:rsidRPr="00183B5F">
          <w:rPr>
            <w:szCs w:val="22"/>
          </w:rPr>
          <w:delText xml:space="preserve">modifying antirheumatic drugs) használata nem járt terápiás sikerrel. </w:delText>
        </w:r>
        <w:r w:rsidR="00BD0321" w:rsidRPr="00183B5F">
          <w:rPr>
            <w:szCs w:val="22"/>
          </w:rPr>
          <w:delText>A</w:delText>
        </w:r>
        <w:r w:rsidR="00260E82" w:rsidRPr="00183B5F">
          <w:rPr>
            <w:szCs w:val="22"/>
          </w:rPr>
          <w:delText xml:space="preserve"> Humira </w:delText>
        </w:r>
        <w:r w:rsidR="00BD0321" w:rsidRPr="00183B5F">
          <w:rPr>
            <w:szCs w:val="22"/>
          </w:rPr>
          <w:delText xml:space="preserve">röntgenfelvételekkel igazoltan </w:delText>
        </w:r>
        <w:r w:rsidR="00260E82" w:rsidRPr="00183B5F">
          <w:rPr>
            <w:szCs w:val="22"/>
          </w:rPr>
          <w:delText>csökkenti a perifériás ízületi károsodások progressziós rátáját a</w:delText>
        </w:r>
        <w:r w:rsidRPr="00183B5F">
          <w:rPr>
            <w:szCs w:val="22"/>
          </w:rPr>
          <w:delText xml:space="preserve"> betegség sokízületi szimmetrikus altípusában szenvedő betegek körében (lásd 5.1 pont)</w:delText>
        </w:r>
        <w:r w:rsidR="00260E82" w:rsidRPr="00183B5F">
          <w:rPr>
            <w:szCs w:val="22"/>
          </w:rPr>
          <w:delText xml:space="preserve">, valamint </w:delText>
        </w:r>
        <w:r w:rsidRPr="00183B5F">
          <w:rPr>
            <w:szCs w:val="22"/>
          </w:rPr>
          <w:delText>javítja a fizikális funkciót.</w:delText>
        </w:r>
      </w:del>
    </w:p>
    <w:p w14:paraId="697274D1" w14:textId="6EE19702" w:rsidR="00FB6710" w:rsidRPr="00183B5F" w:rsidRDefault="00FB6710" w:rsidP="004062FE">
      <w:pPr>
        <w:spacing w:line="240" w:lineRule="auto"/>
        <w:rPr>
          <w:del w:id="3847" w:author="AbbVie_HU_03" w:date="2025-05-14T15:27:00Z"/>
          <w:szCs w:val="22"/>
        </w:rPr>
      </w:pPr>
    </w:p>
    <w:p w14:paraId="66F87347" w14:textId="2D0185F8" w:rsidR="00FB6710" w:rsidRPr="00183B5F" w:rsidRDefault="00943743" w:rsidP="004062FE">
      <w:pPr>
        <w:spacing w:line="240" w:lineRule="auto"/>
        <w:rPr>
          <w:del w:id="3848" w:author="AbbVie_HU_03" w:date="2025-05-14T15:27:00Z"/>
          <w:szCs w:val="22"/>
          <w:u w:val="single"/>
        </w:rPr>
      </w:pPr>
      <w:del w:id="3849" w:author="AbbVie_HU_03" w:date="2025-05-14T15:27:00Z">
        <w:r w:rsidRPr="00183B5F">
          <w:rPr>
            <w:szCs w:val="22"/>
            <w:u w:val="single"/>
          </w:rPr>
          <w:delText>Psoriasis</w:delText>
        </w:r>
      </w:del>
    </w:p>
    <w:p w14:paraId="646B6693" w14:textId="2E7D55C2" w:rsidR="00FB6710" w:rsidRPr="00183B5F" w:rsidRDefault="00FB6710">
      <w:pPr>
        <w:spacing w:line="240" w:lineRule="auto"/>
        <w:rPr>
          <w:del w:id="3850" w:author="AbbVie_HU_03" w:date="2025-05-14T15:27:00Z"/>
          <w:szCs w:val="22"/>
          <w:u w:val="single"/>
        </w:rPr>
      </w:pPr>
    </w:p>
    <w:p w14:paraId="074AF1F1" w14:textId="6921DC49" w:rsidR="00FB6710" w:rsidRPr="00183B5F" w:rsidRDefault="00943743" w:rsidP="004062FE">
      <w:pPr>
        <w:spacing w:line="240" w:lineRule="auto"/>
        <w:rPr>
          <w:del w:id="3851" w:author="AbbVie_HU_03" w:date="2025-05-14T15:27:00Z"/>
          <w:szCs w:val="22"/>
        </w:rPr>
      </w:pPr>
      <w:del w:id="3852" w:author="AbbVie_HU_03" w:date="2025-05-14T15:27:00Z">
        <w:r w:rsidRPr="00183B5F">
          <w:rPr>
            <w:szCs w:val="22"/>
          </w:rPr>
          <w:delText xml:space="preserve">A Humira olyan felnőtt betegek közepesen súlyos, illetve súlyos krónikus, plakkos psoriasisának kezelésére javallott, akik </w:delText>
        </w:r>
        <w:r w:rsidR="00631732" w:rsidRPr="00183B5F">
          <w:rPr>
            <w:szCs w:val="22"/>
          </w:rPr>
          <w:delText xml:space="preserve">alkalmasak </w:delText>
        </w:r>
        <w:r w:rsidRPr="00183B5F">
          <w:rPr>
            <w:szCs w:val="22"/>
          </w:rPr>
          <w:delText>szisztémás kezelés</w:delText>
        </w:r>
        <w:r w:rsidR="00A73994" w:rsidRPr="00183B5F">
          <w:rPr>
            <w:szCs w:val="22"/>
          </w:rPr>
          <w:delText>re</w:delText>
        </w:r>
        <w:r w:rsidR="00631732" w:rsidRPr="00183B5F">
          <w:rPr>
            <w:szCs w:val="22"/>
          </w:rPr>
          <w:delText>.</w:delText>
        </w:r>
      </w:del>
    </w:p>
    <w:p w14:paraId="61306A8A" w14:textId="530CCC89" w:rsidR="00FB6710" w:rsidRPr="00183B5F" w:rsidRDefault="00FB6710" w:rsidP="004062FE">
      <w:pPr>
        <w:spacing w:line="240" w:lineRule="auto"/>
        <w:rPr>
          <w:del w:id="3853" w:author="AbbVie_HU_03" w:date="2025-05-14T15:27:00Z"/>
          <w:szCs w:val="22"/>
        </w:rPr>
      </w:pPr>
    </w:p>
    <w:p w14:paraId="19740E9F" w14:textId="498016BF" w:rsidR="004E7623" w:rsidRPr="00183B5F" w:rsidRDefault="00943743" w:rsidP="004062FE">
      <w:pPr>
        <w:spacing w:line="240" w:lineRule="auto"/>
        <w:rPr>
          <w:del w:id="3854" w:author="AbbVie_HU_03" w:date="2025-05-14T15:27:00Z"/>
          <w:szCs w:val="22"/>
          <w:u w:val="single"/>
        </w:rPr>
      </w:pPr>
      <w:del w:id="3855" w:author="AbbVie_HU_03" w:date="2025-05-14T15:27:00Z">
        <w:r w:rsidRPr="00183B5F">
          <w:rPr>
            <w:szCs w:val="22"/>
            <w:u w:val="single"/>
          </w:rPr>
          <w:delText>Gyermekkori plakkos psoriasis</w:delText>
        </w:r>
      </w:del>
    </w:p>
    <w:p w14:paraId="14619F1D" w14:textId="51F5676A" w:rsidR="004E7623" w:rsidRPr="00183B5F" w:rsidRDefault="004E7623" w:rsidP="004062FE">
      <w:pPr>
        <w:spacing w:line="240" w:lineRule="auto"/>
        <w:rPr>
          <w:del w:id="3856" w:author="AbbVie_HU_03" w:date="2025-05-14T15:27:00Z"/>
          <w:szCs w:val="22"/>
        </w:rPr>
      </w:pPr>
    </w:p>
    <w:p w14:paraId="0021DB9A" w14:textId="4A617831" w:rsidR="00274602" w:rsidRPr="00183B5F" w:rsidRDefault="00943743" w:rsidP="004062FE">
      <w:pPr>
        <w:spacing w:line="240" w:lineRule="auto"/>
        <w:rPr>
          <w:del w:id="3857" w:author="AbbVie_HU_03" w:date="2025-05-14T15:27:00Z"/>
          <w:szCs w:val="22"/>
        </w:rPr>
      </w:pPr>
      <w:del w:id="3858" w:author="AbbVie_HU_03" w:date="2025-05-14T15:27:00Z">
        <w:r w:rsidRPr="00183B5F">
          <w:rPr>
            <w:szCs w:val="22"/>
          </w:rPr>
          <w:delText>A Humira súlyos, krónikus plakkos psoriasis kezelésére javallott olyan 4</w:delText>
        </w:r>
        <w:r w:rsidR="00CB5E63" w:rsidRPr="00183B5F">
          <w:rPr>
            <w:szCs w:val="22"/>
          </w:rPr>
          <w:delText> </w:delText>
        </w:r>
        <w:r w:rsidRPr="00183B5F">
          <w:rPr>
            <w:szCs w:val="22"/>
          </w:rPr>
          <w:delText>év feletti gyermekeknél és serdülőknél, akik nem megfelelően reagáltak vagy alkalmatlannak bizonyultak a helyi kezelésre és fényterápiákra.</w:delText>
        </w:r>
      </w:del>
    </w:p>
    <w:p w14:paraId="2DF26209" w14:textId="184CC872" w:rsidR="004E7623" w:rsidRPr="00183B5F" w:rsidRDefault="004E7623" w:rsidP="004062FE">
      <w:pPr>
        <w:spacing w:line="240" w:lineRule="auto"/>
        <w:rPr>
          <w:del w:id="3859" w:author="AbbVie_HU_03" w:date="2025-05-14T15:27:00Z"/>
          <w:szCs w:val="22"/>
        </w:rPr>
      </w:pPr>
    </w:p>
    <w:p w14:paraId="46A7CADD" w14:textId="5BF25463" w:rsidR="00575931" w:rsidRPr="00183B5F" w:rsidRDefault="00943743" w:rsidP="004062FE">
      <w:pPr>
        <w:spacing w:line="240" w:lineRule="auto"/>
        <w:rPr>
          <w:del w:id="3860" w:author="AbbVie_HU_03" w:date="2025-05-14T15:27:00Z"/>
          <w:szCs w:val="22"/>
          <w:u w:val="single"/>
        </w:rPr>
      </w:pPr>
      <w:del w:id="3861" w:author="AbbVie_HU_03" w:date="2025-05-14T15:27:00Z">
        <w:r w:rsidRPr="00183B5F">
          <w:rPr>
            <w:szCs w:val="22"/>
            <w:u w:val="single"/>
          </w:rPr>
          <w:delText>Hidradenitis suppurativa (HS)</w:delText>
        </w:r>
      </w:del>
    </w:p>
    <w:p w14:paraId="2E1E4F1C" w14:textId="7A9C488E" w:rsidR="00FA6EEF" w:rsidRPr="00183B5F" w:rsidRDefault="00FA6EEF" w:rsidP="004062FE">
      <w:pPr>
        <w:spacing w:line="240" w:lineRule="auto"/>
        <w:rPr>
          <w:del w:id="3862" w:author="AbbVie_HU_03" w:date="2025-05-14T15:27:00Z"/>
          <w:szCs w:val="22"/>
          <w:u w:val="single"/>
        </w:rPr>
      </w:pPr>
    </w:p>
    <w:p w14:paraId="5BCDC24E" w14:textId="7F2C7496" w:rsidR="00575931" w:rsidRPr="00183B5F" w:rsidRDefault="00943743" w:rsidP="004062FE">
      <w:pPr>
        <w:spacing w:line="240" w:lineRule="auto"/>
        <w:rPr>
          <w:del w:id="3863" w:author="AbbVie_HU_03" w:date="2025-05-14T15:27:00Z"/>
          <w:szCs w:val="22"/>
        </w:rPr>
      </w:pPr>
      <w:del w:id="3864" w:author="AbbVie_HU_03" w:date="2025-05-14T15:27:00Z">
        <w:r w:rsidRPr="00183B5F">
          <w:rPr>
            <w:szCs w:val="22"/>
          </w:rPr>
          <w:delText xml:space="preserve">A Humira </w:delText>
        </w:r>
        <w:r w:rsidR="00B356D1" w:rsidRPr="00183B5F">
          <w:rPr>
            <w:szCs w:val="22"/>
          </w:rPr>
          <w:delText>aktív köz</w:delText>
        </w:r>
        <w:r w:rsidR="00DA33F0" w:rsidRPr="00183B5F">
          <w:rPr>
            <w:szCs w:val="22"/>
          </w:rPr>
          <w:delText xml:space="preserve">epesen </w:delText>
        </w:r>
        <w:r w:rsidR="00B356D1" w:rsidRPr="00183B5F">
          <w:rPr>
            <w:szCs w:val="22"/>
          </w:rPr>
          <w:delText xml:space="preserve">súlyos, illetve súlyos hidradenitis suppurativa (acne inversa) kezelésére javallott olyan </w:delText>
        </w:r>
        <w:r w:rsidRPr="00183B5F">
          <w:rPr>
            <w:szCs w:val="22"/>
          </w:rPr>
          <w:delText>felnőtt</w:delText>
        </w:r>
        <w:r w:rsidR="00E92AC2" w:rsidRPr="00183B5F">
          <w:rPr>
            <w:szCs w:val="22"/>
          </w:rPr>
          <w:delText>ek</w:delText>
        </w:r>
        <w:r w:rsidR="00B356D1" w:rsidRPr="00183B5F">
          <w:rPr>
            <w:szCs w:val="22"/>
          </w:rPr>
          <w:delText>nél</w:delText>
        </w:r>
        <w:r w:rsidR="00864265" w:rsidRPr="00183B5F">
          <w:rPr>
            <w:szCs w:val="22"/>
          </w:rPr>
          <w:delText xml:space="preserve"> és serdülőknél 12 éves kortól</w:delText>
        </w:r>
        <w:r w:rsidR="00B356D1" w:rsidRPr="00183B5F">
          <w:rPr>
            <w:szCs w:val="22"/>
          </w:rPr>
          <w:delText>,</w:delText>
        </w:r>
        <w:r w:rsidRPr="00183B5F">
          <w:rPr>
            <w:szCs w:val="22"/>
          </w:rPr>
          <w:delText xml:space="preserve"> akik nem reagáltak megfelelően a hagyományos, szisztémás HS </w:delText>
        </w:r>
        <w:r w:rsidR="00B356D1" w:rsidRPr="00183B5F">
          <w:rPr>
            <w:szCs w:val="22"/>
          </w:rPr>
          <w:delText>kezelésre</w:delText>
        </w:r>
        <w:r w:rsidR="00864265" w:rsidRPr="00183B5F">
          <w:rPr>
            <w:szCs w:val="22"/>
          </w:rPr>
          <w:delText xml:space="preserve"> (lásd 5.1 és 5.2</w:delText>
        </w:r>
        <w:r w:rsidR="00551FDA" w:rsidRPr="00183B5F">
          <w:rPr>
            <w:szCs w:val="22"/>
          </w:rPr>
          <w:delText> </w:delText>
        </w:r>
        <w:r w:rsidR="00864265" w:rsidRPr="00183B5F">
          <w:rPr>
            <w:szCs w:val="22"/>
          </w:rPr>
          <w:delText>pont)</w:delText>
        </w:r>
        <w:r w:rsidRPr="00183B5F">
          <w:rPr>
            <w:szCs w:val="22"/>
          </w:rPr>
          <w:delText>.</w:delText>
        </w:r>
      </w:del>
    </w:p>
    <w:p w14:paraId="7FA42211" w14:textId="6781A68F" w:rsidR="00FA6EEF" w:rsidRPr="00183B5F" w:rsidRDefault="00FA6EEF" w:rsidP="004062FE">
      <w:pPr>
        <w:spacing w:line="240" w:lineRule="auto"/>
        <w:rPr>
          <w:del w:id="3865" w:author="AbbVie_HU_03" w:date="2025-05-14T15:27:00Z"/>
          <w:szCs w:val="22"/>
        </w:rPr>
      </w:pPr>
    </w:p>
    <w:p w14:paraId="56BBF06B" w14:textId="5F3E9181" w:rsidR="00B70EA1" w:rsidRPr="00183B5F" w:rsidRDefault="00943743" w:rsidP="004062FE">
      <w:pPr>
        <w:spacing w:line="240" w:lineRule="auto"/>
        <w:rPr>
          <w:del w:id="3866" w:author="AbbVie_HU_03" w:date="2025-05-14T15:27:00Z"/>
          <w:szCs w:val="22"/>
          <w:u w:val="single"/>
        </w:rPr>
      </w:pPr>
      <w:del w:id="3867" w:author="AbbVie_HU_03" w:date="2025-05-14T15:27:00Z">
        <w:r w:rsidRPr="00183B5F">
          <w:rPr>
            <w:szCs w:val="22"/>
            <w:u w:val="single"/>
          </w:rPr>
          <w:delText>Crohn</w:delText>
        </w:r>
        <w:r w:rsidR="00C05D94" w:rsidRPr="00183B5F">
          <w:rPr>
            <w:szCs w:val="22"/>
            <w:u w:val="single"/>
          </w:rPr>
          <w:noBreakHyphen/>
        </w:r>
        <w:r w:rsidRPr="00183B5F">
          <w:rPr>
            <w:szCs w:val="22"/>
            <w:u w:val="single"/>
          </w:rPr>
          <w:delText>betegség</w:delText>
        </w:r>
      </w:del>
    </w:p>
    <w:p w14:paraId="030317A9" w14:textId="7E60DCBF" w:rsidR="00B70EA1" w:rsidRPr="00183B5F" w:rsidRDefault="00B70EA1" w:rsidP="004062FE">
      <w:pPr>
        <w:spacing w:line="240" w:lineRule="auto"/>
        <w:rPr>
          <w:del w:id="3868" w:author="AbbVie_HU_03" w:date="2025-05-14T15:27:00Z"/>
          <w:szCs w:val="22"/>
        </w:rPr>
      </w:pPr>
    </w:p>
    <w:p w14:paraId="28AF5941" w14:textId="5E2C6780" w:rsidR="00B70EA1" w:rsidRPr="00183B5F" w:rsidRDefault="00943743" w:rsidP="004062FE">
      <w:pPr>
        <w:spacing w:line="240" w:lineRule="auto"/>
        <w:rPr>
          <w:del w:id="3869" w:author="AbbVie_HU_03" w:date="2025-05-14T15:27:00Z"/>
          <w:szCs w:val="22"/>
        </w:rPr>
      </w:pPr>
      <w:del w:id="3870" w:author="AbbVie_HU_03" w:date="2025-05-14T15:27:00Z">
        <w:r w:rsidRPr="00183B5F">
          <w:rPr>
            <w:szCs w:val="22"/>
          </w:rPr>
          <w:delText xml:space="preserve">A Humira </w:delText>
        </w:r>
        <w:r w:rsidR="00CF5C88" w:rsidRPr="00183B5F">
          <w:rPr>
            <w:szCs w:val="22"/>
          </w:rPr>
          <w:delText>köz</w:delText>
        </w:r>
        <w:r w:rsidR="00931CE1" w:rsidRPr="00183B5F">
          <w:rPr>
            <w:szCs w:val="22"/>
          </w:rPr>
          <w:delText>e</w:delText>
        </w:r>
        <w:r w:rsidR="00CF5C88" w:rsidRPr="00183B5F">
          <w:rPr>
            <w:szCs w:val="22"/>
          </w:rPr>
          <w:delText>p</w:delText>
        </w:r>
        <w:r w:rsidR="00931CE1" w:rsidRPr="00183B5F">
          <w:rPr>
            <w:szCs w:val="22"/>
          </w:rPr>
          <w:delText xml:space="preserve">esen </w:delText>
        </w:r>
        <w:r w:rsidR="00CF5C88" w:rsidRPr="00183B5F">
          <w:rPr>
            <w:szCs w:val="22"/>
          </w:rPr>
          <w:delText>súlyos</w:delText>
        </w:r>
        <w:r w:rsidR="00931CE1" w:rsidRPr="00183B5F">
          <w:rPr>
            <w:szCs w:val="22"/>
          </w:rPr>
          <w:delText xml:space="preserve"> </w:delText>
        </w:r>
        <w:r w:rsidR="002C1F5C" w:rsidRPr="00183B5F">
          <w:rPr>
            <w:szCs w:val="22"/>
          </w:rPr>
          <w:delText>–</w:delText>
        </w:r>
        <w:r w:rsidR="00931CE1" w:rsidRPr="00183B5F">
          <w:rPr>
            <w:szCs w:val="22"/>
          </w:rPr>
          <w:delText xml:space="preserve"> </w:delText>
        </w:r>
        <w:r w:rsidRPr="00183B5F">
          <w:rPr>
            <w:szCs w:val="22"/>
          </w:rPr>
          <w:delText xml:space="preserve">súlyos </w:delText>
        </w:r>
        <w:r w:rsidR="00DC0094" w:rsidRPr="00183B5F">
          <w:rPr>
            <w:szCs w:val="22"/>
          </w:rPr>
          <w:delText>aktivitású</w:delText>
        </w:r>
        <w:r w:rsidRPr="00183B5F">
          <w:rPr>
            <w:szCs w:val="22"/>
          </w:rPr>
          <w:delText xml:space="preserve"> Crohn</w:delText>
        </w:r>
        <w:r w:rsidR="00C05D94" w:rsidRPr="00183B5F">
          <w:rPr>
            <w:szCs w:val="22"/>
          </w:rPr>
          <w:noBreakHyphen/>
        </w:r>
        <w:r w:rsidRPr="00183B5F">
          <w:rPr>
            <w:szCs w:val="22"/>
          </w:rPr>
          <w:delText xml:space="preserve">betegség kezelésére javallott olyan </w:delText>
        </w:r>
        <w:r w:rsidR="00CF5C88" w:rsidRPr="00183B5F">
          <w:rPr>
            <w:szCs w:val="22"/>
          </w:rPr>
          <w:delText xml:space="preserve">felnőtt </w:delText>
        </w:r>
        <w:r w:rsidRPr="00183B5F">
          <w:rPr>
            <w:szCs w:val="22"/>
          </w:rPr>
          <w:delText>betegeknél, akik nem reagáltak a kortikoszteroiddal és/vagy immunszuppresszív szerrel végzett teljes és adekvát kúrára, vagy akik nem tolerálják ezeket a szereket vagy akiknél e szerek alkalmazása orvosi szempontból ellenjavallt.</w:delText>
        </w:r>
      </w:del>
    </w:p>
    <w:p w14:paraId="69FFE88E" w14:textId="688B71B0" w:rsidR="001C2F72" w:rsidRPr="00183B5F" w:rsidRDefault="001C2F72" w:rsidP="004062FE">
      <w:pPr>
        <w:spacing w:line="240" w:lineRule="auto"/>
        <w:rPr>
          <w:del w:id="3871" w:author="AbbVie_HU_03" w:date="2025-05-14T15:27:00Z"/>
          <w:szCs w:val="22"/>
        </w:rPr>
      </w:pPr>
    </w:p>
    <w:p w14:paraId="19898D8B" w14:textId="4222F79C" w:rsidR="003F0E52" w:rsidRPr="00183B5F" w:rsidRDefault="00943743" w:rsidP="004062FE">
      <w:pPr>
        <w:keepNext/>
        <w:spacing w:line="240" w:lineRule="auto"/>
        <w:rPr>
          <w:del w:id="3872" w:author="AbbVie_HU_03" w:date="2025-05-14T15:27:00Z"/>
          <w:szCs w:val="22"/>
          <w:u w:val="single"/>
        </w:rPr>
      </w:pPr>
      <w:del w:id="3873" w:author="AbbVie_HU_03" w:date="2025-05-14T15:27:00Z">
        <w:r w:rsidRPr="00183B5F">
          <w:rPr>
            <w:szCs w:val="22"/>
            <w:u w:val="single"/>
          </w:rPr>
          <w:delText>Gyermekkori Crohn</w:delText>
        </w:r>
        <w:r w:rsidR="00C05D94" w:rsidRPr="00183B5F">
          <w:rPr>
            <w:szCs w:val="22"/>
            <w:u w:val="single"/>
          </w:rPr>
          <w:noBreakHyphen/>
        </w:r>
        <w:r w:rsidRPr="00183B5F">
          <w:rPr>
            <w:szCs w:val="22"/>
            <w:u w:val="single"/>
          </w:rPr>
          <w:delText>betegség</w:delText>
        </w:r>
      </w:del>
    </w:p>
    <w:p w14:paraId="4D07CDEF" w14:textId="5281E09B" w:rsidR="00F97735" w:rsidRPr="00183B5F" w:rsidRDefault="00F97735" w:rsidP="004062FE">
      <w:pPr>
        <w:keepNext/>
        <w:spacing w:line="240" w:lineRule="auto"/>
        <w:rPr>
          <w:del w:id="3874" w:author="AbbVie_HU_03" w:date="2025-05-14T15:27:00Z"/>
          <w:szCs w:val="22"/>
          <w:u w:val="single"/>
        </w:rPr>
      </w:pPr>
    </w:p>
    <w:p w14:paraId="3F742BC1" w14:textId="79A087AD" w:rsidR="003F0E52" w:rsidRPr="00183B5F" w:rsidRDefault="00943743" w:rsidP="004062FE">
      <w:pPr>
        <w:keepNext/>
        <w:spacing w:line="240" w:lineRule="auto"/>
        <w:rPr>
          <w:del w:id="3875" w:author="AbbVie_HU_03" w:date="2025-05-14T15:27:00Z"/>
          <w:szCs w:val="22"/>
        </w:rPr>
      </w:pPr>
      <w:del w:id="3876" w:author="AbbVie_HU_03" w:date="2025-05-14T15:27:00Z">
        <w:r w:rsidRPr="00183B5F">
          <w:rPr>
            <w:szCs w:val="22"/>
          </w:rPr>
          <w:delText xml:space="preserve">A Humira </w:delText>
        </w:r>
        <w:r w:rsidR="00253A21" w:rsidRPr="00183B5F">
          <w:rPr>
            <w:szCs w:val="22"/>
          </w:rPr>
          <w:delText xml:space="preserve">közepesen súlyos </w:delText>
        </w:r>
        <w:r w:rsidR="002C1F5C" w:rsidRPr="00183B5F">
          <w:rPr>
            <w:szCs w:val="22"/>
          </w:rPr>
          <w:delText>–</w:delText>
        </w:r>
        <w:r w:rsidR="00253A21" w:rsidRPr="00183B5F">
          <w:rPr>
            <w:szCs w:val="22"/>
          </w:rPr>
          <w:delText xml:space="preserve"> súlyos aktivitású</w:delText>
        </w:r>
        <w:r w:rsidRPr="00183B5F">
          <w:rPr>
            <w:szCs w:val="22"/>
          </w:rPr>
          <w:delText xml:space="preserve"> Crohn</w:delText>
        </w:r>
        <w:r w:rsidR="00C05D94" w:rsidRPr="00183B5F">
          <w:rPr>
            <w:szCs w:val="22"/>
          </w:rPr>
          <w:noBreakHyphen/>
        </w:r>
        <w:r w:rsidRPr="00183B5F">
          <w:rPr>
            <w:szCs w:val="22"/>
          </w:rPr>
          <w:delText>betegség kezelésére javallott olyan gyermekeknél (</w:delText>
        </w:r>
        <w:r w:rsidR="002C57C4" w:rsidRPr="00183B5F">
          <w:rPr>
            <w:szCs w:val="22"/>
          </w:rPr>
          <w:delText>6 éves kortól</w:delText>
        </w:r>
        <w:r w:rsidRPr="00183B5F">
          <w:rPr>
            <w:szCs w:val="22"/>
          </w:rPr>
          <w:delText xml:space="preserve">), akik nem reagáltak megfelelően a hagyományos kezelésekre, beleértve a primer </w:delText>
        </w:r>
        <w:r w:rsidR="00573BD7" w:rsidRPr="00183B5F">
          <w:rPr>
            <w:szCs w:val="22"/>
          </w:rPr>
          <w:delText>étrendi</w:delText>
        </w:r>
        <w:r w:rsidRPr="00183B5F">
          <w:rPr>
            <w:szCs w:val="22"/>
          </w:rPr>
          <w:delText xml:space="preserve"> kezelést, </w:delText>
        </w:r>
        <w:r w:rsidR="00AD6612" w:rsidRPr="00183B5F">
          <w:rPr>
            <w:szCs w:val="22"/>
          </w:rPr>
          <w:delText xml:space="preserve">és </w:delText>
        </w:r>
        <w:r w:rsidR="00573BD7" w:rsidRPr="00183B5F">
          <w:rPr>
            <w:szCs w:val="22"/>
          </w:rPr>
          <w:delText xml:space="preserve">egy </w:delText>
        </w:r>
        <w:r w:rsidRPr="00183B5F">
          <w:rPr>
            <w:szCs w:val="22"/>
          </w:rPr>
          <w:delText>kortikoszteroidot és</w:delText>
        </w:r>
        <w:r w:rsidR="00AD6612" w:rsidRPr="00183B5F">
          <w:rPr>
            <w:szCs w:val="22"/>
          </w:rPr>
          <w:delText>/vagy</w:delText>
        </w:r>
        <w:r w:rsidRPr="00183B5F">
          <w:rPr>
            <w:szCs w:val="22"/>
          </w:rPr>
          <w:delText xml:space="preserve"> </w:delText>
        </w:r>
        <w:r w:rsidR="00573BD7" w:rsidRPr="00183B5F">
          <w:rPr>
            <w:szCs w:val="22"/>
          </w:rPr>
          <w:delText xml:space="preserve">egy </w:delText>
        </w:r>
        <w:r w:rsidRPr="00183B5F">
          <w:rPr>
            <w:szCs w:val="22"/>
          </w:rPr>
          <w:delText>immunmodulá</w:delText>
        </w:r>
        <w:r w:rsidR="00573BD7" w:rsidRPr="00183B5F">
          <w:rPr>
            <w:szCs w:val="22"/>
          </w:rPr>
          <w:delText>nst</w:delText>
        </w:r>
        <w:r w:rsidRPr="00183B5F">
          <w:rPr>
            <w:szCs w:val="22"/>
          </w:rPr>
          <w:delText xml:space="preserve"> vagy akik nem </w:delText>
        </w:r>
        <w:r w:rsidR="00573BD7" w:rsidRPr="00183B5F">
          <w:rPr>
            <w:szCs w:val="22"/>
          </w:rPr>
          <w:delText>tolerálták</w:delText>
        </w:r>
        <w:r w:rsidRPr="00183B5F">
          <w:rPr>
            <w:szCs w:val="22"/>
          </w:rPr>
          <w:delText xml:space="preserve"> ezek</w:delText>
        </w:r>
        <w:r w:rsidR="00573BD7" w:rsidRPr="00183B5F">
          <w:rPr>
            <w:szCs w:val="22"/>
          </w:rPr>
          <w:delText>et</w:delText>
        </w:r>
        <w:r w:rsidRPr="00183B5F">
          <w:rPr>
            <w:szCs w:val="22"/>
          </w:rPr>
          <w:delText xml:space="preserve"> a </w:delText>
        </w:r>
        <w:r w:rsidR="00573BD7" w:rsidRPr="00183B5F">
          <w:rPr>
            <w:szCs w:val="22"/>
          </w:rPr>
          <w:delText>szereket</w:delText>
        </w:r>
        <w:r w:rsidRPr="00183B5F">
          <w:rPr>
            <w:szCs w:val="22"/>
          </w:rPr>
          <w:delText xml:space="preserve">, illetve akiknél ezek </w:delText>
        </w:r>
        <w:r w:rsidR="00573BD7" w:rsidRPr="00183B5F">
          <w:rPr>
            <w:szCs w:val="22"/>
          </w:rPr>
          <w:delText xml:space="preserve">a kezelések </w:delText>
        </w:r>
        <w:r w:rsidRPr="00183B5F">
          <w:rPr>
            <w:szCs w:val="22"/>
          </w:rPr>
          <w:delText>kontraindikált</w:delText>
        </w:r>
        <w:r w:rsidR="00573BD7" w:rsidRPr="00183B5F">
          <w:rPr>
            <w:szCs w:val="22"/>
          </w:rPr>
          <w:delText>ak</w:delText>
        </w:r>
        <w:r w:rsidRPr="00183B5F">
          <w:rPr>
            <w:szCs w:val="22"/>
          </w:rPr>
          <w:delText>.</w:delText>
        </w:r>
      </w:del>
    </w:p>
    <w:p w14:paraId="66BF7476" w14:textId="1E81EC97" w:rsidR="003F0E52" w:rsidRPr="00183B5F" w:rsidRDefault="003F0E52" w:rsidP="004062FE">
      <w:pPr>
        <w:spacing w:line="240" w:lineRule="auto"/>
        <w:rPr>
          <w:del w:id="3877" w:author="AbbVie_HU_03" w:date="2025-05-14T15:27:00Z"/>
          <w:szCs w:val="22"/>
        </w:rPr>
      </w:pPr>
    </w:p>
    <w:p w14:paraId="59E3BB8A" w14:textId="28A55E8D" w:rsidR="001C2F72" w:rsidRPr="00183B5F" w:rsidRDefault="00943743" w:rsidP="004062FE">
      <w:pPr>
        <w:spacing w:line="240" w:lineRule="auto"/>
        <w:rPr>
          <w:del w:id="3878" w:author="AbbVie_HU_03" w:date="2025-05-14T15:27:00Z"/>
          <w:szCs w:val="22"/>
          <w:u w:val="single"/>
        </w:rPr>
      </w:pPr>
      <w:del w:id="3879" w:author="AbbVie_HU_03" w:date="2025-05-14T15:27:00Z">
        <w:r w:rsidRPr="00183B5F">
          <w:rPr>
            <w:szCs w:val="22"/>
            <w:u w:val="single"/>
          </w:rPr>
          <w:delText>Colitis ulcerosa</w:delText>
        </w:r>
      </w:del>
    </w:p>
    <w:p w14:paraId="109E93D3" w14:textId="6B2920C2" w:rsidR="001C2F72" w:rsidRPr="00183B5F" w:rsidRDefault="001C2F72" w:rsidP="004062FE">
      <w:pPr>
        <w:spacing w:line="240" w:lineRule="auto"/>
        <w:rPr>
          <w:del w:id="3880" w:author="AbbVie_HU_03" w:date="2025-05-14T15:27:00Z"/>
          <w:szCs w:val="22"/>
          <w:u w:val="single"/>
        </w:rPr>
      </w:pPr>
    </w:p>
    <w:p w14:paraId="2E99AE57" w14:textId="53F23CDE" w:rsidR="001C2F72" w:rsidRPr="00183B5F" w:rsidRDefault="00943743" w:rsidP="004062FE">
      <w:pPr>
        <w:spacing w:line="240" w:lineRule="auto"/>
        <w:rPr>
          <w:del w:id="3881" w:author="AbbVie_HU_03" w:date="2025-05-14T15:27:00Z"/>
          <w:szCs w:val="22"/>
        </w:rPr>
      </w:pPr>
      <w:del w:id="3882" w:author="AbbVie_HU_03" w:date="2025-05-14T15:27:00Z">
        <w:r w:rsidRPr="00183B5F">
          <w:rPr>
            <w:szCs w:val="22"/>
          </w:rPr>
          <w:delText xml:space="preserve">A Humira felnőttkori, </w:delText>
        </w:r>
        <w:r w:rsidR="00DA33F0" w:rsidRPr="00183B5F">
          <w:rPr>
            <w:szCs w:val="22"/>
          </w:rPr>
          <w:delText xml:space="preserve">közepesen </w:delText>
        </w:r>
        <w:r w:rsidRPr="00183B5F">
          <w:rPr>
            <w:szCs w:val="22"/>
          </w:rPr>
          <w:delText>súlyos</w:delText>
        </w:r>
        <w:r w:rsidR="00DA33F0" w:rsidRPr="00183B5F">
          <w:rPr>
            <w:szCs w:val="22"/>
          </w:rPr>
          <w:delText xml:space="preserve"> </w:delText>
        </w:r>
        <w:r w:rsidR="002C1F5C" w:rsidRPr="00183B5F">
          <w:rPr>
            <w:szCs w:val="22"/>
          </w:rPr>
          <w:delText>–</w:delText>
        </w:r>
        <w:r w:rsidR="00DA33F0" w:rsidRPr="00183B5F">
          <w:rPr>
            <w:szCs w:val="22"/>
          </w:rPr>
          <w:delText xml:space="preserve"> súlyos</w:delText>
        </w:r>
        <w:r w:rsidRPr="00183B5F">
          <w:rPr>
            <w:szCs w:val="22"/>
          </w:rPr>
          <w:delText xml:space="preserve"> akt</w:delText>
        </w:r>
        <w:r w:rsidR="003916B1" w:rsidRPr="00183B5F">
          <w:rPr>
            <w:szCs w:val="22"/>
          </w:rPr>
          <w:delText>i</w:delText>
        </w:r>
        <w:r w:rsidRPr="00183B5F">
          <w:rPr>
            <w:szCs w:val="22"/>
          </w:rPr>
          <w:delText>v</w:delText>
        </w:r>
        <w:r w:rsidR="003916B1" w:rsidRPr="00183B5F">
          <w:rPr>
            <w:szCs w:val="22"/>
          </w:rPr>
          <w:delText>itású</w:delText>
        </w:r>
        <w:r w:rsidRPr="00183B5F">
          <w:rPr>
            <w:szCs w:val="22"/>
          </w:rPr>
          <w:delText xml:space="preserve"> colitis ulcerosa kezelésére javallott olyan betegeknél, akik a hagyományos kezelésre, köztük kortikoszteroidra és 6</w:delText>
        </w:r>
        <w:r w:rsidR="00C05D94" w:rsidRPr="00183B5F">
          <w:rPr>
            <w:szCs w:val="22"/>
          </w:rPr>
          <w:noBreakHyphen/>
        </w:r>
        <w:r w:rsidRPr="00183B5F">
          <w:rPr>
            <w:szCs w:val="22"/>
          </w:rPr>
          <w:delText>merkaptopurinra (6</w:delText>
        </w:r>
        <w:r w:rsidR="00C05D94" w:rsidRPr="00183B5F">
          <w:rPr>
            <w:szCs w:val="22"/>
          </w:rPr>
          <w:noBreakHyphen/>
        </w:r>
        <w:r w:rsidRPr="00183B5F">
          <w:rPr>
            <w:szCs w:val="22"/>
          </w:rPr>
          <w:delText>MP) vagy azathioprinre (AZA) nem mutattak megfelelő terápiás választ, vagy nem tolerálják ezeket a kezeléseket, illetve orvosi szempontból ellenjavallt ezen gyógyszerek adása.</w:delText>
        </w:r>
      </w:del>
    </w:p>
    <w:p w14:paraId="58C20B48" w14:textId="0F15EA1E" w:rsidR="00B34C5D" w:rsidRPr="00183B5F" w:rsidRDefault="00B34C5D" w:rsidP="004062FE">
      <w:pPr>
        <w:spacing w:line="240" w:lineRule="auto"/>
        <w:rPr>
          <w:del w:id="3883" w:author="AbbVie_HU_03" w:date="2025-05-14T15:27:00Z"/>
          <w:szCs w:val="22"/>
        </w:rPr>
      </w:pPr>
    </w:p>
    <w:p w14:paraId="2737B488" w14:textId="678CD4E7" w:rsidR="0096786B" w:rsidRPr="00183B5F" w:rsidRDefault="00943743" w:rsidP="0096786B">
      <w:pPr>
        <w:rPr>
          <w:del w:id="3884" w:author="AbbVie_HU_03" w:date="2025-05-14T15:27:00Z"/>
          <w:b/>
          <w:iCs/>
          <w:u w:val="single"/>
        </w:rPr>
      </w:pPr>
      <w:del w:id="3885" w:author="AbbVie_HU_03" w:date="2025-05-14T15:27:00Z">
        <w:r w:rsidRPr="00183B5F">
          <w:rPr>
            <w:iCs/>
            <w:u w:val="single"/>
          </w:rPr>
          <w:delText>Gyermek</w:delText>
        </w:r>
        <w:r w:rsidR="00777CA4" w:rsidRPr="00183B5F">
          <w:rPr>
            <w:iCs/>
            <w:u w:val="single"/>
          </w:rPr>
          <w:delText xml:space="preserve"> és serdülő</w:delText>
        </w:r>
        <w:r w:rsidRPr="00183B5F">
          <w:rPr>
            <w:iCs/>
            <w:u w:val="single"/>
          </w:rPr>
          <w:delText>kori colitis ulcerosa</w:delText>
        </w:r>
      </w:del>
    </w:p>
    <w:p w14:paraId="1F15840C" w14:textId="20D08833" w:rsidR="0096786B" w:rsidRPr="00183B5F" w:rsidRDefault="0096786B" w:rsidP="0096786B">
      <w:pPr>
        <w:rPr>
          <w:del w:id="3886" w:author="AbbVie_HU_03" w:date="2025-05-14T15:27:00Z"/>
        </w:rPr>
      </w:pPr>
    </w:p>
    <w:p w14:paraId="17779482" w14:textId="12A98EDB" w:rsidR="0096786B" w:rsidRPr="00183B5F" w:rsidRDefault="00943743" w:rsidP="0096786B">
      <w:pPr>
        <w:rPr>
          <w:del w:id="3887" w:author="AbbVie_HU_03" w:date="2025-05-14T15:27:00Z"/>
        </w:rPr>
      </w:pPr>
      <w:del w:id="3888" w:author="AbbVie_HU_03" w:date="2025-05-14T15:27:00Z">
        <w:r w:rsidRPr="00183B5F">
          <w:delText>A Humira közepesen súlyos – súlyos akt</w:delText>
        </w:r>
        <w:r w:rsidR="003916B1" w:rsidRPr="00183B5F">
          <w:delText>i</w:delText>
        </w:r>
        <w:r w:rsidRPr="00183B5F">
          <w:delText>v</w:delText>
        </w:r>
        <w:r w:rsidR="003916B1" w:rsidRPr="00183B5F">
          <w:delText>itású</w:delText>
        </w:r>
        <w:r w:rsidRPr="00183B5F">
          <w:delText xml:space="preserve"> colitis ulcerosa kezelésére javallott olyan gyermekeknél </w:delText>
        </w:r>
        <w:r w:rsidR="00777CA4" w:rsidRPr="00183B5F">
          <w:delText xml:space="preserve">és serdülőknél </w:delText>
        </w:r>
        <w:r w:rsidRPr="00183B5F">
          <w:delText>(6 éves kortól), akik a hagyományos kezelésre, köztük kortikoszteroidra és 6</w:delText>
        </w:r>
        <w:r w:rsidRPr="00183B5F">
          <w:noBreakHyphen/>
          <w:delText>merkaptopurinra (6</w:delText>
        </w:r>
        <w:r w:rsidRPr="00183B5F">
          <w:noBreakHyphen/>
          <w:delText>MP) vagy azathioprinre (AZA) nem mutattak megfelelő terápiás választ, vagy nem tolerálják ezeket a kezeléseket, illetve orvosi szempontból ellenjavallt ezen gyógyszerek adása.</w:delText>
        </w:r>
      </w:del>
    </w:p>
    <w:p w14:paraId="6188F207" w14:textId="0DDA2959" w:rsidR="007E3A94" w:rsidRPr="00183B5F" w:rsidRDefault="007E3A94" w:rsidP="004062FE">
      <w:pPr>
        <w:spacing w:line="240" w:lineRule="auto"/>
        <w:rPr>
          <w:del w:id="3889" w:author="AbbVie_HU_03" w:date="2025-05-14T15:27:00Z"/>
          <w:szCs w:val="22"/>
        </w:rPr>
      </w:pPr>
    </w:p>
    <w:p w14:paraId="5DB9D63A" w14:textId="5B496D0E" w:rsidR="00B34C5D" w:rsidRPr="00183B5F" w:rsidRDefault="00943743" w:rsidP="004062FE">
      <w:pPr>
        <w:spacing w:line="240" w:lineRule="auto"/>
        <w:rPr>
          <w:del w:id="3890" w:author="AbbVie_HU_03" w:date="2025-05-14T15:27:00Z"/>
          <w:szCs w:val="22"/>
          <w:u w:val="single"/>
        </w:rPr>
      </w:pPr>
      <w:del w:id="3891" w:author="AbbVie_HU_03" w:date="2025-05-14T15:27:00Z">
        <w:r w:rsidRPr="00183B5F">
          <w:rPr>
            <w:szCs w:val="22"/>
            <w:u w:val="single"/>
          </w:rPr>
          <w:delText>Uveitis</w:delText>
        </w:r>
      </w:del>
    </w:p>
    <w:p w14:paraId="3D5C4730" w14:textId="2AE9A182" w:rsidR="00B34C5D" w:rsidRPr="00183B5F" w:rsidRDefault="00B34C5D" w:rsidP="004062FE">
      <w:pPr>
        <w:spacing w:line="240" w:lineRule="auto"/>
        <w:rPr>
          <w:del w:id="3892" w:author="AbbVie_HU_03" w:date="2025-05-14T15:27:00Z"/>
          <w:szCs w:val="22"/>
        </w:rPr>
      </w:pPr>
    </w:p>
    <w:p w14:paraId="1823C74B" w14:textId="64C81E9B" w:rsidR="00B34C5D" w:rsidRPr="00183B5F" w:rsidRDefault="00943743" w:rsidP="004062FE">
      <w:pPr>
        <w:spacing w:line="240" w:lineRule="auto"/>
        <w:rPr>
          <w:del w:id="3893" w:author="AbbVie_HU_03" w:date="2025-05-14T15:27:00Z"/>
          <w:szCs w:val="22"/>
        </w:rPr>
      </w:pPr>
      <w:del w:id="3894" w:author="AbbVie_HU_03" w:date="2025-05-14T15:27:00Z">
        <w:r w:rsidRPr="00183B5F">
          <w:rPr>
            <w:szCs w:val="22"/>
          </w:rPr>
          <w:delText>A Humira a nem</w:delText>
        </w:r>
        <w:r w:rsidR="00E532CA" w:rsidRPr="00183B5F">
          <w:rPr>
            <w:szCs w:val="22"/>
          </w:rPr>
          <w:delText xml:space="preserve"> </w:delText>
        </w:r>
        <w:r w:rsidRPr="00183B5F">
          <w:rPr>
            <w:szCs w:val="22"/>
          </w:rPr>
          <w:delText>fertőz</w:delText>
        </w:r>
        <w:r w:rsidR="00AD347E" w:rsidRPr="00183B5F">
          <w:rPr>
            <w:szCs w:val="22"/>
          </w:rPr>
          <w:delText>éses</w:delText>
        </w:r>
        <w:r w:rsidRPr="00183B5F">
          <w:rPr>
            <w:szCs w:val="22"/>
          </w:rPr>
          <w:delText xml:space="preserve"> </w:delText>
        </w:r>
        <w:r w:rsidR="00E532CA" w:rsidRPr="00183B5F">
          <w:rPr>
            <w:szCs w:val="22"/>
          </w:rPr>
          <w:delText xml:space="preserve">eredetű, </w:delText>
        </w:r>
        <w:r w:rsidRPr="00183B5F">
          <w:rPr>
            <w:szCs w:val="22"/>
          </w:rPr>
          <w:delText xml:space="preserve">intermedier, </w:delText>
        </w:r>
        <w:r w:rsidR="00E532CA" w:rsidRPr="00183B5F">
          <w:rPr>
            <w:szCs w:val="22"/>
          </w:rPr>
          <w:delText>posterior és pa</w:delText>
        </w:r>
        <w:r w:rsidR="00484A51" w:rsidRPr="00183B5F">
          <w:rPr>
            <w:szCs w:val="22"/>
          </w:rPr>
          <w:delText>nuveitis</w:delText>
        </w:r>
        <w:r w:rsidR="00E532CA" w:rsidRPr="00183B5F">
          <w:rPr>
            <w:szCs w:val="22"/>
          </w:rPr>
          <w:delText xml:space="preserve"> kezelésére javallott olyan felnőtt betegeknél, akik nem </w:delText>
        </w:r>
        <w:r w:rsidR="004C6C18" w:rsidRPr="00183B5F">
          <w:rPr>
            <w:szCs w:val="22"/>
          </w:rPr>
          <w:delText>megfelelően</w:delText>
        </w:r>
        <w:r w:rsidR="00E532CA" w:rsidRPr="00183B5F">
          <w:rPr>
            <w:szCs w:val="22"/>
          </w:rPr>
          <w:delText xml:space="preserve"> reagálnak a kortikoszteroid-kezelésre, </w:delText>
        </w:r>
        <w:r w:rsidR="00AD347E" w:rsidRPr="00183B5F">
          <w:rPr>
            <w:szCs w:val="22"/>
          </w:rPr>
          <w:delText xml:space="preserve">illetve </w:delText>
        </w:r>
        <w:r w:rsidR="00E532CA" w:rsidRPr="00183B5F">
          <w:rPr>
            <w:szCs w:val="22"/>
          </w:rPr>
          <w:delText>olyan betegeknél, akikn</w:delText>
        </w:r>
        <w:r w:rsidR="004C6C18" w:rsidRPr="00183B5F">
          <w:rPr>
            <w:szCs w:val="22"/>
          </w:rPr>
          <w:delText>él</w:delText>
        </w:r>
        <w:r w:rsidR="00E532CA" w:rsidRPr="00183B5F">
          <w:rPr>
            <w:szCs w:val="22"/>
          </w:rPr>
          <w:delText xml:space="preserve"> kortikoszteroid-mentes kezelés szükséges, vagy akikn</w:delText>
        </w:r>
        <w:r w:rsidR="004C6C18" w:rsidRPr="00183B5F">
          <w:rPr>
            <w:szCs w:val="22"/>
          </w:rPr>
          <w:delText>él</w:delText>
        </w:r>
        <w:r w:rsidR="00E532CA" w:rsidRPr="00183B5F">
          <w:rPr>
            <w:szCs w:val="22"/>
          </w:rPr>
          <w:delText xml:space="preserve"> </w:delText>
        </w:r>
        <w:r w:rsidR="004C6C18" w:rsidRPr="00183B5F">
          <w:rPr>
            <w:szCs w:val="22"/>
          </w:rPr>
          <w:delText>a kortikoszteroid</w:delText>
        </w:r>
        <w:r w:rsidR="004C6C18" w:rsidRPr="00183B5F">
          <w:rPr>
            <w:szCs w:val="22"/>
          </w:rPr>
          <w:noBreakHyphen/>
          <w:delText>kezelés nem alkalmazható.</w:delText>
        </w:r>
      </w:del>
    </w:p>
    <w:p w14:paraId="2FA14D55" w14:textId="6C4B0037" w:rsidR="002E7B0F" w:rsidRPr="00183B5F" w:rsidRDefault="002E7B0F" w:rsidP="004062FE">
      <w:pPr>
        <w:spacing w:line="240" w:lineRule="auto"/>
        <w:rPr>
          <w:del w:id="3895" w:author="AbbVie_HU_03" w:date="2025-05-14T15:27:00Z"/>
          <w:szCs w:val="22"/>
        </w:rPr>
      </w:pPr>
    </w:p>
    <w:p w14:paraId="5A207B7C" w14:textId="7C0283ED" w:rsidR="002E7B0F" w:rsidRPr="00183B5F" w:rsidRDefault="00943743" w:rsidP="004062FE">
      <w:pPr>
        <w:spacing w:line="240" w:lineRule="auto"/>
        <w:rPr>
          <w:del w:id="3896" w:author="AbbVie_HU_03" w:date="2025-05-14T15:27:00Z"/>
          <w:szCs w:val="22"/>
          <w:u w:val="single"/>
        </w:rPr>
      </w:pPr>
      <w:del w:id="3897" w:author="AbbVie_HU_03" w:date="2025-05-14T15:27:00Z">
        <w:r w:rsidRPr="00183B5F">
          <w:rPr>
            <w:szCs w:val="22"/>
            <w:u w:val="single"/>
          </w:rPr>
          <w:delText>Gyermekkori uveitis</w:delText>
        </w:r>
      </w:del>
    </w:p>
    <w:p w14:paraId="2B2E3A6F" w14:textId="078C0EA4" w:rsidR="002E7B0F" w:rsidRPr="00183B5F" w:rsidRDefault="002E7B0F">
      <w:pPr>
        <w:spacing w:line="240" w:lineRule="auto"/>
        <w:rPr>
          <w:del w:id="3898" w:author="AbbVie_HU_03" w:date="2025-05-14T15:27:00Z"/>
          <w:szCs w:val="22"/>
        </w:rPr>
      </w:pPr>
    </w:p>
    <w:p w14:paraId="27848DDE" w14:textId="56D14840" w:rsidR="002E7B0F" w:rsidRPr="00183B5F" w:rsidRDefault="00943743">
      <w:pPr>
        <w:spacing w:line="240" w:lineRule="auto"/>
        <w:rPr>
          <w:del w:id="3899" w:author="AbbVie_HU_03" w:date="2025-05-14T15:27:00Z"/>
          <w:szCs w:val="22"/>
          <w:u w:val="single"/>
        </w:rPr>
      </w:pPr>
      <w:del w:id="3900" w:author="AbbVie_HU_03" w:date="2025-05-14T15:27:00Z">
        <w:r w:rsidRPr="00183B5F">
          <w:rPr>
            <w:szCs w:val="22"/>
          </w:rPr>
          <w:delText>A Humira a krónikus, nem fertőzéses er</w:delText>
        </w:r>
        <w:r w:rsidR="00AD6612" w:rsidRPr="00183B5F">
          <w:rPr>
            <w:szCs w:val="22"/>
          </w:rPr>
          <w:delText>e</w:delText>
        </w:r>
        <w:r w:rsidRPr="00183B5F">
          <w:rPr>
            <w:szCs w:val="22"/>
          </w:rPr>
          <w:delText>detű anterior uveitis kezelésére javallott olyan 2 évnél idő</w:delText>
        </w:r>
        <w:r w:rsidR="00A032A0" w:rsidRPr="00183B5F">
          <w:rPr>
            <w:szCs w:val="22"/>
          </w:rPr>
          <w:delText>sebb gyermekek</w:delText>
        </w:r>
        <w:r w:rsidR="00004CA0" w:rsidRPr="00183B5F">
          <w:rPr>
            <w:szCs w:val="22"/>
          </w:rPr>
          <w:delText>nél</w:delText>
        </w:r>
        <w:r w:rsidR="00A032A0" w:rsidRPr="00183B5F">
          <w:rPr>
            <w:szCs w:val="22"/>
          </w:rPr>
          <w:delText>, akik</w:delText>
        </w:r>
        <w:r w:rsidRPr="00183B5F">
          <w:rPr>
            <w:szCs w:val="22"/>
          </w:rPr>
          <w:delText xml:space="preserve"> nem megfel</w:delText>
        </w:r>
        <w:r w:rsidR="002C6A2C" w:rsidRPr="00183B5F">
          <w:rPr>
            <w:szCs w:val="22"/>
          </w:rPr>
          <w:delText>el</w:delText>
        </w:r>
        <w:r w:rsidRPr="00183B5F">
          <w:rPr>
            <w:szCs w:val="22"/>
          </w:rPr>
          <w:delText xml:space="preserve">ően reagáltak </w:delText>
        </w:r>
        <w:r w:rsidR="002C6A2C" w:rsidRPr="00183B5F">
          <w:rPr>
            <w:szCs w:val="22"/>
          </w:rPr>
          <w:delText xml:space="preserve">a hagyományos kezelésre </w:delText>
        </w:r>
        <w:r w:rsidRPr="00183B5F">
          <w:rPr>
            <w:szCs w:val="22"/>
          </w:rPr>
          <w:delText xml:space="preserve">vagy </w:delText>
        </w:r>
        <w:r w:rsidR="002C6A2C" w:rsidRPr="00183B5F">
          <w:rPr>
            <w:szCs w:val="22"/>
          </w:rPr>
          <w:delText xml:space="preserve">nem </w:delText>
        </w:r>
        <w:r w:rsidRPr="00183B5F">
          <w:rPr>
            <w:szCs w:val="22"/>
          </w:rPr>
          <w:delText>tolerá</w:delText>
        </w:r>
        <w:r w:rsidR="002C6A2C" w:rsidRPr="00183B5F">
          <w:rPr>
            <w:szCs w:val="22"/>
          </w:rPr>
          <w:delText>lták azt</w:delText>
        </w:r>
        <w:r w:rsidRPr="00183B5F">
          <w:rPr>
            <w:szCs w:val="22"/>
          </w:rPr>
          <w:delText>, illetve akik</w:delText>
        </w:r>
        <w:r w:rsidR="00997B75" w:rsidRPr="00183B5F">
          <w:rPr>
            <w:szCs w:val="22"/>
          </w:rPr>
          <w:delText>nél</w:delText>
        </w:r>
        <w:r w:rsidRPr="00183B5F">
          <w:rPr>
            <w:szCs w:val="22"/>
          </w:rPr>
          <w:delText xml:space="preserve"> a hagyományos kezelés nem </w:delText>
        </w:r>
        <w:r w:rsidR="00997B75" w:rsidRPr="00183B5F">
          <w:rPr>
            <w:szCs w:val="22"/>
          </w:rPr>
          <w:delText>alkalmazható</w:delText>
        </w:r>
        <w:r w:rsidRPr="00183B5F">
          <w:rPr>
            <w:szCs w:val="22"/>
          </w:rPr>
          <w:delText>.</w:delText>
        </w:r>
      </w:del>
    </w:p>
    <w:p w14:paraId="23433373" w14:textId="35CD9D23" w:rsidR="00B70EA1" w:rsidRPr="00183B5F" w:rsidRDefault="00B70EA1" w:rsidP="004062FE">
      <w:pPr>
        <w:spacing w:line="240" w:lineRule="auto"/>
        <w:rPr>
          <w:del w:id="3901" w:author="AbbVie_HU_03" w:date="2025-05-14T15:27:00Z"/>
          <w:szCs w:val="22"/>
        </w:rPr>
      </w:pPr>
    </w:p>
    <w:p w14:paraId="64198649" w14:textId="76D91BFF" w:rsidR="00FB6710" w:rsidRPr="00183B5F" w:rsidRDefault="00943743" w:rsidP="0080649D">
      <w:pPr>
        <w:keepNext/>
        <w:tabs>
          <w:tab w:val="left" w:pos="567"/>
        </w:tabs>
        <w:spacing w:line="240" w:lineRule="auto"/>
        <w:rPr>
          <w:del w:id="3902" w:author="AbbVie_HU_03" w:date="2025-05-14T15:27:00Z"/>
          <w:b/>
          <w:bCs/>
          <w:caps/>
          <w:szCs w:val="22"/>
        </w:rPr>
      </w:pPr>
      <w:del w:id="3903" w:author="AbbVie_HU_03" w:date="2025-05-14T15:27:00Z">
        <w:r w:rsidRPr="00183B5F">
          <w:rPr>
            <w:b/>
            <w:bCs/>
            <w:caps/>
            <w:szCs w:val="22"/>
          </w:rPr>
          <w:delText>4.2</w:delText>
        </w:r>
        <w:r w:rsidRPr="00183B5F">
          <w:rPr>
            <w:b/>
            <w:bCs/>
            <w:caps/>
            <w:szCs w:val="22"/>
          </w:rPr>
          <w:tab/>
        </w:r>
        <w:r w:rsidRPr="00183B5F">
          <w:rPr>
            <w:b/>
            <w:bCs/>
            <w:szCs w:val="22"/>
          </w:rPr>
          <w:delText>Adagolás és alkalmazás</w:delText>
        </w:r>
      </w:del>
    </w:p>
    <w:p w14:paraId="4241919C" w14:textId="0213F968" w:rsidR="006055EF" w:rsidRPr="00183B5F" w:rsidRDefault="006055EF" w:rsidP="004062FE">
      <w:pPr>
        <w:keepNext/>
        <w:spacing w:line="240" w:lineRule="auto"/>
        <w:rPr>
          <w:del w:id="3904" w:author="AbbVie_HU_03" w:date="2025-05-14T15:27:00Z"/>
          <w:szCs w:val="22"/>
        </w:rPr>
      </w:pPr>
    </w:p>
    <w:p w14:paraId="687BE782" w14:textId="223B2B4D" w:rsidR="00FB6710" w:rsidRPr="00183B5F" w:rsidRDefault="00943743" w:rsidP="004062FE">
      <w:pPr>
        <w:keepNext/>
        <w:spacing w:line="240" w:lineRule="auto"/>
        <w:rPr>
          <w:del w:id="3905" w:author="AbbVie_HU_03" w:date="2025-05-14T15:27:00Z"/>
          <w:szCs w:val="22"/>
        </w:rPr>
      </w:pPr>
      <w:del w:id="3906" w:author="AbbVie_HU_03" w:date="2025-05-14T15:27:00Z">
        <w:r w:rsidRPr="00183B5F">
          <w:rPr>
            <w:szCs w:val="22"/>
          </w:rPr>
          <w:delText>Humira</w:delText>
        </w:r>
        <w:r w:rsidR="00F0468F" w:rsidRPr="00183B5F">
          <w:rPr>
            <w:szCs w:val="22"/>
          </w:rPr>
          <w:noBreakHyphen/>
        </w:r>
        <w:r w:rsidRPr="00183B5F">
          <w:rPr>
            <w:szCs w:val="22"/>
          </w:rPr>
          <w:delText xml:space="preserve">val történő kezelést csak olyan szakorvos kezdhet el, illetve folytathat, aki jártas </w:delText>
        </w:r>
        <w:r w:rsidR="001C2F72" w:rsidRPr="00183B5F">
          <w:rPr>
            <w:szCs w:val="22"/>
          </w:rPr>
          <w:delText>a Humira indikációs listájában szereplő betegségek</w:delText>
        </w:r>
        <w:r w:rsidRPr="00183B5F">
          <w:rPr>
            <w:szCs w:val="22"/>
          </w:rPr>
          <w:delText xml:space="preserve"> diagnosztikájában és kezelésében. </w:delText>
        </w:r>
        <w:r w:rsidR="0062676F" w:rsidRPr="00183B5F">
          <w:rPr>
            <w:szCs w:val="22"/>
          </w:rPr>
          <w:delText xml:space="preserve">Javasolt, hogy a </w:delText>
        </w:r>
        <w:r w:rsidR="00DE2F25" w:rsidRPr="00183B5F">
          <w:rPr>
            <w:szCs w:val="22"/>
          </w:rPr>
          <w:delText>s</w:delText>
        </w:r>
        <w:r w:rsidR="004C6C18" w:rsidRPr="00183B5F">
          <w:rPr>
            <w:szCs w:val="22"/>
          </w:rPr>
          <w:delText xml:space="preserve">zemészek </w:delText>
        </w:r>
        <w:r w:rsidR="00AC4959" w:rsidRPr="00183B5F">
          <w:rPr>
            <w:szCs w:val="22"/>
          </w:rPr>
          <w:delText>a Humira</w:delText>
        </w:r>
        <w:r w:rsidR="00AC4959" w:rsidRPr="00183B5F">
          <w:rPr>
            <w:szCs w:val="22"/>
          </w:rPr>
          <w:noBreakHyphen/>
        </w:r>
        <w:r w:rsidR="004C6C18" w:rsidRPr="00183B5F">
          <w:rPr>
            <w:szCs w:val="22"/>
          </w:rPr>
          <w:delText xml:space="preserve">kezelés megkezdése előtt </w:delText>
        </w:r>
        <w:r w:rsidR="0062676F" w:rsidRPr="00183B5F">
          <w:rPr>
            <w:szCs w:val="22"/>
          </w:rPr>
          <w:delText xml:space="preserve">konzultáljanak a megfelelő szakorvossal </w:delText>
        </w:r>
        <w:r w:rsidR="004C6C18" w:rsidRPr="00183B5F">
          <w:rPr>
            <w:szCs w:val="22"/>
          </w:rPr>
          <w:delText xml:space="preserve">(lásd 4.4 pont). </w:delText>
        </w:r>
        <w:r w:rsidRPr="00183B5F">
          <w:rPr>
            <w:szCs w:val="22"/>
          </w:rPr>
          <w:delText>A Humira</w:delText>
        </w:r>
        <w:r w:rsidR="00C05D94" w:rsidRPr="00183B5F">
          <w:rPr>
            <w:szCs w:val="22"/>
          </w:rPr>
          <w:noBreakHyphen/>
        </w:r>
        <w:r w:rsidRPr="00183B5F">
          <w:rPr>
            <w:szCs w:val="22"/>
          </w:rPr>
          <w:delText xml:space="preserve">val kezelt betegek egy </w:delText>
        </w:r>
        <w:r w:rsidR="0048779F" w:rsidRPr="00183B5F">
          <w:rPr>
            <w:szCs w:val="22"/>
          </w:rPr>
          <w:delText>Betegemlékeztető</w:delText>
        </w:r>
        <w:r w:rsidRPr="00183B5F">
          <w:rPr>
            <w:szCs w:val="22"/>
          </w:rPr>
          <w:delText xml:space="preserve"> </w:delText>
        </w:r>
        <w:r w:rsidR="00BD0321" w:rsidRPr="00183B5F">
          <w:rPr>
            <w:szCs w:val="22"/>
          </w:rPr>
          <w:delText xml:space="preserve">Kártyát </w:delText>
        </w:r>
        <w:r w:rsidRPr="00183B5F">
          <w:rPr>
            <w:szCs w:val="22"/>
          </w:rPr>
          <w:delText>kapnak.</w:delText>
        </w:r>
      </w:del>
    </w:p>
    <w:p w14:paraId="746D5E42" w14:textId="52F8DB06" w:rsidR="00FB6710" w:rsidRPr="00183B5F" w:rsidRDefault="00FB6710" w:rsidP="004062FE">
      <w:pPr>
        <w:spacing w:line="240" w:lineRule="auto"/>
        <w:rPr>
          <w:del w:id="3907" w:author="AbbVie_HU_03" w:date="2025-05-14T15:27:00Z"/>
          <w:szCs w:val="22"/>
        </w:rPr>
      </w:pPr>
    </w:p>
    <w:p w14:paraId="22C609BB" w14:textId="10229194" w:rsidR="00FB6710" w:rsidRPr="00183B5F" w:rsidRDefault="00943743" w:rsidP="004062FE">
      <w:pPr>
        <w:spacing w:line="240" w:lineRule="auto"/>
        <w:rPr>
          <w:del w:id="3908" w:author="AbbVie_HU_03" w:date="2025-05-14T15:27:00Z"/>
          <w:szCs w:val="22"/>
        </w:rPr>
      </w:pPr>
      <w:del w:id="3909" w:author="AbbVie_HU_03" w:date="2025-05-14T15:27:00Z">
        <w:r w:rsidRPr="00183B5F">
          <w:rPr>
            <w:szCs w:val="22"/>
          </w:rPr>
          <w:delText>A helyes injekciós technika elsajátítása után a betegek, ha az orvos úgy ítéli meg, akár önmaguknak is beadhatják a Humira</w:delText>
        </w:r>
        <w:r w:rsidR="00C05D94" w:rsidRPr="00183B5F">
          <w:rPr>
            <w:szCs w:val="22"/>
          </w:rPr>
          <w:noBreakHyphen/>
        </w:r>
        <w:r w:rsidRPr="00183B5F">
          <w:rPr>
            <w:szCs w:val="22"/>
          </w:rPr>
          <w:delText>t, szükség szerinti orvosi ellenőrzés mellett.</w:delText>
        </w:r>
      </w:del>
    </w:p>
    <w:p w14:paraId="2270193C" w14:textId="19378840" w:rsidR="00FB6710" w:rsidRPr="00183B5F" w:rsidRDefault="00FB6710" w:rsidP="004062FE">
      <w:pPr>
        <w:spacing w:line="240" w:lineRule="auto"/>
        <w:rPr>
          <w:del w:id="3910" w:author="AbbVie_HU_03" w:date="2025-05-14T15:27:00Z"/>
          <w:szCs w:val="22"/>
        </w:rPr>
      </w:pPr>
    </w:p>
    <w:p w14:paraId="4184E585" w14:textId="235746E0" w:rsidR="00FB6710" w:rsidRPr="00183B5F" w:rsidRDefault="00943743" w:rsidP="004062FE">
      <w:pPr>
        <w:spacing w:line="240" w:lineRule="auto"/>
        <w:rPr>
          <w:del w:id="3911" w:author="AbbVie_HU_03" w:date="2025-05-14T15:27:00Z"/>
          <w:szCs w:val="22"/>
        </w:rPr>
      </w:pPr>
      <w:del w:id="3912" w:author="AbbVie_HU_03" w:date="2025-05-14T15:27:00Z">
        <w:r w:rsidRPr="00183B5F">
          <w:rPr>
            <w:szCs w:val="22"/>
          </w:rPr>
          <w:delText>A Humira</w:delText>
        </w:r>
        <w:r w:rsidR="00C05D94" w:rsidRPr="00183B5F">
          <w:rPr>
            <w:szCs w:val="22"/>
          </w:rPr>
          <w:noBreakHyphen/>
        </w:r>
        <w:r w:rsidRPr="00183B5F">
          <w:rPr>
            <w:szCs w:val="22"/>
          </w:rPr>
          <w:delText>kezelés ideje alatt optimalizálni kell a más szerek (pl. kortikoszteroidok és/vagy immunmodulánsok) alkalmazásával végzett</w:delText>
        </w:r>
        <w:r w:rsidR="00A43FB3" w:rsidRPr="00183B5F">
          <w:rPr>
            <w:szCs w:val="22"/>
          </w:rPr>
          <w:delText xml:space="preserve"> egyidejű</w:delText>
        </w:r>
        <w:r w:rsidRPr="00183B5F">
          <w:rPr>
            <w:szCs w:val="22"/>
          </w:rPr>
          <w:delText xml:space="preserve"> terápiá</w:delText>
        </w:r>
        <w:r w:rsidR="00A43FB3" w:rsidRPr="00183B5F">
          <w:rPr>
            <w:szCs w:val="22"/>
          </w:rPr>
          <w:delText>ka</w:delText>
        </w:r>
        <w:r w:rsidRPr="00183B5F">
          <w:rPr>
            <w:szCs w:val="22"/>
          </w:rPr>
          <w:delText>t.</w:delText>
        </w:r>
      </w:del>
    </w:p>
    <w:p w14:paraId="2265E72D" w14:textId="6646D611" w:rsidR="00FB6710" w:rsidRPr="00183B5F" w:rsidRDefault="00FB6710" w:rsidP="004062FE">
      <w:pPr>
        <w:keepNext/>
        <w:spacing w:line="240" w:lineRule="auto"/>
        <w:rPr>
          <w:del w:id="3913" w:author="AbbVie_HU_03" w:date="2025-05-14T15:27:00Z"/>
          <w:szCs w:val="22"/>
          <w:u w:val="single"/>
        </w:rPr>
      </w:pPr>
    </w:p>
    <w:p w14:paraId="3A62643E" w14:textId="7D4E54A5" w:rsidR="00E44D48" w:rsidRPr="00183B5F" w:rsidRDefault="00943743" w:rsidP="004062FE">
      <w:pPr>
        <w:keepNext/>
        <w:spacing w:line="240" w:lineRule="auto"/>
        <w:rPr>
          <w:del w:id="3914" w:author="AbbVie_HU_03" w:date="2025-05-14T15:27:00Z"/>
          <w:szCs w:val="22"/>
          <w:u w:val="single"/>
        </w:rPr>
      </w:pPr>
      <w:del w:id="3915" w:author="AbbVie_HU_03" w:date="2025-05-14T15:27:00Z">
        <w:r w:rsidRPr="00183B5F">
          <w:rPr>
            <w:szCs w:val="22"/>
            <w:u w:val="single"/>
          </w:rPr>
          <w:delText>Adagolás</w:delText>
        </w:r>
      </w:del>
    </w:p>
    <w:p w14:paraId="6BAC6F85" w14:textId="41124929" w:rsidR="00E44D48" w:rsidRPr="00183B5F" w:rsidRDefault="00E44D48" w:rsidP="004062FE">
      <w:pPr>
        <w:keepNext/>
        <w:spacing w:line="240" w:lineRule="auto"/>
        <w:rPr>
          <w:del w:id="3916" w:author="AbbVie_HU_03" w:date="2025-05-14T15:27:00Z"/>
          <w:szCs w:val="22"/>
          <w:u w:val="single"/>
        </w:rPr>
      </w:pPr>
    </w:p>
    <w:p w14:paraId="513F28B7" w14:textId="4E183698" w:rsidR="00FB6710" w:rsidRPr="00183B5F" w:rsidRDefault="00943743" w:rsidP="004062FE">
      <w:pPr>
        <w:pStyle w:val="EndnoteText"/>
        <w:keepNext/>
        <w:tabs>
          <w:tab w:val="clear" w:pos="567"/>
        </w:tabs>
        <w:suppressAutoHyphens/>
        <w:rPr>
          <w:del w:id="3917" w:author="AbbVie_HU_03" w:date="2025-05-14T15:27:00Z"/>
          <w:i/>
          <w:sz w:val="22"/>
          <w:szCs w:val="22"/>
          <w:lang w:val="hu-HU" w:eastAsia="hu-HU"/>
        </w:rPr>
      </w:pPr>
      <w:del w:id="3918" w:author="AbbVie_HU_03" w:date="2025-05-14T15:27:00Z">
        <w:r w:rsidRPr="00183B5F">
          <w:rPr>
            <w:i/>
            <w:sz w:val="22"/>
            <w:szCs w:val="22"/>
            <w:lang w:val="hu-HU" w:eastAsia="hu-HU"/>
          </w:rPr>
          <w:delText>Rheumatoid arthritis</w:delText>
        </w:r>
      </w:del>
    </w:p>
    <w:p w14:paraId="7F09E7CB" w14:textId="11F33C10" w:rsidR="00FB6710" w:rsidRPr="00183B5F" w:rsidRDefault="00FB6710" w:rsidP="004062FE">
      <w:pPr>
        <w:keepNext/>
        <w:spacing w:line="240" w:lineRule="auto"/>
        <w:rPr>
          <w:del w:id="3919" w:author="AbbVie_HU_03" w:date="2025-05-14T15:27:00Z"/>
          <w:szCs w:val="22"/>
        </w:rPr>
      </w:pPr>
    </w:p>
    <w:p w14:paraId="3A0E457E" w14:textId="7913E5A1" w:rsidR="00FB6710" w:rsidRPr="00183B5F" w:rsidRDefault="00943743" w:rsidP="004062FE">
      <w:pPr>
        <w:keepNext/>
        <w:spacing w:line="240" w:lineRule="auto"/>
        <w:rPr>
          <w:del w:id="3920" w:author="AbbVie_HU_03" w:date="2025-05-14T15:27:00Z"/>
          <w:szCs w:val="22"/>
        </w:rPr>
      </w:pPr>
      <w:del w:id="3921" w:author="AbbVie_HU_03" w:date="2025-05-14T15:27:00Z">
        <w:r w:rsidRPr="00183B5F">
          <w:rPr>
            <w:szCs w:val="22"/>
          </w:rPr>
          <w:delText>A Humira javasolt dózisa rheumatoid arthritisben szenvedő felnőttek esetében 40 mg adalimumab, kéthetente egy alkalommal egy adagban subcutan injekció formájában. A metotrexát folytatása javasolt a Humira</w:delText>
        </w:r>
        <w:r w:rsidR="00C05D94" w:rsidRPr="00183B5F">
          <w:rPr>
            <w:szCs w:val="22"/>
          </w:rPr>
          <w:noBreakHyphen/>
        </w:r>
        <w:r w:rsidRPr="00183B5F">
          <w:rPr>
            <w:szCs w:val="22"/>
          </w:rPr>
          <w:delText>val való kezelés ideje alatt.</w:delText>
        </w:r>
      </w:del>
    </w:p>
    <w:p w14:paraId="508CB83B" w14:textId="0B5D5AAF" w:rsidR="00FB6710" w:rsidRPr="00183B5F" w:rsidRDefault="00FB6710" w:rsidP="004062FE">
      <w:pPr>
        <w:spacing w:line="240" w:lineRule="auto"/>
        <w:rPr>
          <w:del w:id="3922" w:author="AbbVie_HU_03" w:date="2025-05-14T15:27:00Z"/>
          <w:szCs w:val="22"/>
        </w:rPr>
      </w:pPr>
    </w:p>
    <w:p w14:paraId="418497E2" w14:textId="5CCCE167" w:rsidR="00FB6710" w:rsidRPr="00183B5F" w:rsidRDefault="00943743" w:rsidP="004062FE">
      <w:pPr>
        <w:spacing w:line="240" w:lineRule="auto"/>
        <w:rPr>
          <w:del w:id="3923" w:author="AbbVie_HU_03" w:date="2025-05-14T15:27:00Z"/>
          <w:szCs w:val="22"/>
        </w:rPr>
      </w:pPr>
      <w:del w:id="3924" w:author="AbbVie_HU_03" w:date="2025-05-14T15:27:00Z">
        <w:r w:rsidRPr="00183B5F">
          <w:rPr>
            <w:szCs w:val="22"/>
          </w:rPr>
          <w:delText>Glükokortikoidok, szalicilátok, nem</w:delText>
        </w:r>
        <w:r w:rsidR="00A44DB6" w:rsidRPr="00183B5F">
          <w:rPr>
            <w:szCs w:val="22"/>
          </w:rPr>
          <w:delText xml:space="preserve"> </w:delText>
        </w:r>
        <w:r w:rsidRPr="00183B5F">
          <w:rPr>
            <w:szCs w:val="22"/>
          </w:rPr>
          <w:delText xml:space="preserve">szteroid </w:delText>
        </w:r>
        <w:r w:rsidR="008511AE" w:rsidRPr="00183B5F">
          <w:rPr>
            <w:szCs w:val="22"/>
          </w:rPr>
          <w:delText>gyulladásgátlók</w:delText>
        </w:r>
        <w:r w:rsidRPr="00183B5F">
          <w:rPr>
            <w:szCs w:val="22"/>
          </w:rPr>
          <w:delText>, illetve analgetikumok adása is folytatható a Humira</w:delText>
        </w:r>
        <w:r w:rsidR="00C05D94" w:rsidRPr="00183B5F">
          <w:rPr>
            <w:szCs w:val="22"/>
          </w:rPr>
          <w:noBreakHyphen/>
        </w:r>
        <w:r w:rsidRPr="00183B5F">
          <w:rPr>
            <w:szCs w:val="22"/>
          </w:rPr>
          <w:delText>kezelés ideje alatt. A metotrexáton kívüli más, betegséget befolyásoló reumaellenes szerekkel való együttes szedést illetően lásd a 4.4 és az 5.1 pontokat.</w:delText>
        </w:r>
      </w:del>
    </w:p>
    <w:p w14:paraId="16C39AE3" w14:textId="3AF00EF3" w:rsidR="00FB6710" w:rsidRPr="00183B5F" w:rsidRDefault="00FB6710" w:rsidP="004062FE">
      <w:pPr>
        <w:spacing w:line="240" w:lineRule="auto"/>
        <w:ind w:left="567" w:hanging="567"/>
        <w:rPr>
          <w:del w:id="3925" w:author="AbbVie_HU_03" w:date="2025-05-14T15:27:00Z"/>
          <w:szCs w:val="22"/>
        </w:rPr>
      </w:pPr>
    </w:p>
    <w:p w14:paraId="6919AB83" w14:textId="14BF653B" w:rsidR="00833190" w:rsidRPr="00183B5F" w:rsidRDefault="00943743" w:rsidP="004062FE">
      <w:pPr>
        <w:spacing w:line="240" w:lineRule="auto"/>
        <w:rPr>
          <w:del w:id="3926" w:author="AbbVie_HU_03" w:date="2025-05-14T15:27:00Z"/>
          <w:szCs w:val="22"/>
        </w:rPr>
      </w:pPr>
      <w:del w:id="3927" w:author="AbbVie_HU_03" w:date="2025-05-14T15:27:00Z">
        <w:r w:rsidRPr="00183B5F">
          <w:rPr>
            <w:szCs w:val="22"/>
          </w:rPr>
          <w:delText>Monoterápiában, olyan betegek esetében, akiknél</w:delText>
        </w:r>
        <w:r w:rsidR="00E74F73" w:rsidRPr="00183B5F">
          <w:rPr>
            <w:szCs w:val="22"/>
          </w:rPr>
          <w:delText xml:space="preserve"> a minden második héten alkalmazott 40 mg Humira</w:delText>
        </w:r>
        <w:r w:rsidR="00E74F73" w:rsidRPr="00183B5F">
          <w:rPr>
            <w:szCs w:val="22"/>
          </w:rPr>
          <w:noBreakHyphen/>
          <w:delText>kezelés mellett</w:delText>
        </w:r>
        <w:r w:rsidRPr="00183B5F">
          <w:rPr>
            <w:szCs w:val="22"/>
          </w:rPr>
          <w:delText xml:space="preserve"> hatáscsökkenés mutatkozik, jó eredmény érhető el a dózis het</w:delText>
        </w:r>
        <w:r w:rsidR="002E2506" w:rsidRPr="00183B5F">
          <w:rPr>
            <w:szCs w:val="22"/>
          </w:rPr>
          <w:delText>i</w:delText>
        </w:r>
        <w:r w:rsidRPr="00183B5F">
          <w:rPr>
            <w:szCs w:val="22"/>
          </w:rPr>
          <w:delText>40 mg</w:delText>
        </w:r>
        <w:r w:rsidRPr="00183B5F">
          <w:rPr>
            <w:szCs w:val="22"/>
          </w:rPr>
          <w:noBreakHyphen/>
          <w:delText xml:space="preserve">ra </w:delText>
        </w:r>
        <w:r w:rsidR="00E74F73" w:rsidRPr="00183B5F">
          <w:rPr>
            <w:szCs w:val="22"/>
          </w:rPr>
          <w:delText>vagy kéthetente 80 mg</w:delText>
        </w:r>
        <w:r w:rsidR="00E5381A" w:rsidRPr="00183B5F">
          <w:rPr>
            <w:szCs w:val="22"/>
          </w:rPr>
          <w:noBreakHyphen/>
        </w:r>
        <w:r w:rsidR="00E74F73" w:rsidRPr="00183B5F">
          <w:rPr>
            <w:szCs w:val="22"/>
          </w:rPr>
          <w:delText xml:space="preserve">ra </w:delText>
        </w:r>
        <w:r w:rsidRPr="00183B5F">
          <w:rPr>
            <w:szCs w:val="22"/>
          </w:rPr>
          <w:delText>való emelésével.</w:delText>
        </w:r>
      </w:del>
    </w:p>
    <w:p w14:paraId="18D5B182" w14:textId="0D9B4966" w:rsidR="00833190" w:rsidRPr="00183B5F" w:rsidRDefault="00833190" w:rsidP="004062FE">
      <w:pPr>
        <w:spacing w:line="240" w:lineRule="auto"/>
        <w:rPr>
          <w:del w:id="3928" w:author="AbbVie_HU_03" w:date="2025-05-14T15:27:00Z"/>
          <w:szCs w:val="22"/>
        </w:rPr>
      </w:pPr>
    </w:p>
    <w:p w14:paraId="590797CD" w14:textId="694B1022" w:rsidR="00371788" w:rsidRPr="00183B5F" w:rsidRDefault="00943743" w:rsidP="004062FE">
      <w:pPr>
        <w:spacing w:line="240" w:lineRule="auto"/>
        <w:rPr>
          <w:del w:id="3929" w:author="AbbVie_HU_03" w:date="2025-05-14T15:27:00Z"/>
          <w:szCs w:val="22"/>
        </w:rPr>
      </w:pPr>
      <w:del w:id="3930" w:author="AbbVie_HU_03" w:date="2025-05-14T15:27:00Z">
        <w:r w:rsidRPr="00183B5F">
          <w:rPr>
            <w:szCs w:val="22"/>
          </w:rPr>
          <w:delText>A rendelkezésre álló adatok arra utalnak, hogy a klinikai válasz általában 12 hetes kezelésen belül elérhető. Olyan betegeknél, akik ezen idő alatt nem reagálnak a kezelésre, megfontolandó a terápia folytatása.</w:delText>
        </w:r>
      </w:del>
    </w:p>
    <w:p w14:paraId="13576991" w14:textId="7FB6D3A5" w:rsidR="00E74F73" w:rsidRPr="00183B5F" w:rsidRDefault="00E74F73" w:rsidP="004062FE">
      <w:pPr>
        <w:spacing w:line="240" w:lineRule="auto"/>
        <w:rPr>
          <w:del w:id="3931" w:author="AbbVie_HU_03" w:date="2025-05-14T15:27:00Z"/>
          <w:szCs w:val="22"/>
        </w:rPr>
      </w:pPr>
    </w:p>
    <w:p w14:paraId="1B79AE34" w14:textId="3F5692F2" w:rsidR="00E74F73" w:rsidRPr="00183B5F" w:rsidRDefault="00943743" w:rsidP="004062FE">
      <w:pPr>
        <w:spacing w:line="240" w:lineRule="auto"/>
        <w:rPr>
          <w:del w:id="3932" w:author="AbbVie_HU_03" w:date="2025-05-14T15:27:00Z"/>
          <w:szCs w:val="22"/>
        </w:rPr>
      </w:pPr>
      <w:del w:id="3933" w:author="AbbVie_HU_03" w:date="2025-05-14T15:27:00Z">
        <w:r w:rsidRPr="00183B5F">
          <w:rPr>
            <w:szCs w:val="22"/>
          </w:rPr>
          <w:delText>A Humira más hatáserősségben és/vagy kiszerelésben is elérhető az egyéni terápiás igényeknek megfelelően.</w:delText>
        </w:r>
      </w:del>
    </w:p>
    <w:p w14:paraId="261CC228" w14:textId="77502DAB" w:rsidR="00FB6710" w:rsidRPr="00183B5F" w:rsidRDefault="00FB6710" w:rsidP="004062FE">
      <w:pPr>
        <w:spacing w:line="240" w:lineRule="auto"/>
        <w:rPr>
          <w:del w:id="3934" w:author="AbbVie_HU_03" w:date="2025-05-14T15:27:00Z"/>
          <w:szCs w:val="22"/>
        </w:rPr>
      </w:pPr>
    </w:p>
    <w:p w14:paraId="38513406" w14:textId="26D6EDD9" w:rsidR="00FB6710" w:rsidRPr="00183B5F" w:rsidRDefault="00943743" w:rsidP="004062FE">
      <w:pPr>
        <w:keepNext/>
        <w:spacing w:line="240" w:lineRule="auto"/>
        <w:rPr>
          <w:del w:id="3935" w:author="AbbVie_HU_03" w:date="2025-05-14T15:27:00Z"/>
          <w:i/>
          <w:szCs w:val="22"/>
          <w:u w:val="single"/>
        </w:rPr>
      </w:pPr>
      <w:del w:id="3936" w:author="AbbVie_HU_03" w:date="2025-05-14T15:27:00Z">
        <w:r w:rsidRPr="00183B5F">
          <w:rPr>
            <w:i/>
            <w:szCs w:val="22"/>
            <w:u w:val="single"/>
          </w:rPr>
          <w:delText>Az adagolás megszakítása</w:delText>
        </w:r>
      </w:del>
    </w:p>
    <w:p w14:paraId="1E45AC90" w14:textId="1E6F6A43" w:rsidR="00FB6710" w:rsidRPr="00183B5F" w:rsidRDefault="00FB6710" w:rsidP="004062FE">
      <w:pPr>
        <w:keepNext/>
        <w:spacing w:line="240" w:lineRule="auto"/>
        <w:rPr>
          <w:del w:id="3937" w:author="AbbVie_HU_03" w:date="2025-05-14T15:27:00Z"/>
          <w:szCs w:val="22"/>
        </w:rPr>
      </w:pPr>
    </w:p>
    <w:p w14:paraId="71F9D6BE" w14:textId="10CB747F" w:rsidR="00FB6710" w:rsidRPr="00183B5F" w:rsidRDefault="00943743">
      <w:pPr>
        <w:pStyle w:val="EMEANormal"/>
        <w:rPr>
          <w:del w:id="3938" w:author="AbbVie_HU_03" w:date="2025-05-14T15:27:00Z"/>
          <w:bCs/>
          <w:iCs/>
          <w:szCs w:val="22"/>
          <w:lang w:val="hu-HU"/>
        </w:rPr>
      </w:pPr>
      <w:del w:id="3939" w:author="AbbVie_HU_03" w:date="2025-05-14T15:27:00Z">
        <w:r w:rsidRPr="00183B5F">
          <w:rPr>
            <w:bCs/>
            <w:iCs/>
            <w:szCs w:val="22"/>
            <w:lang w:val="hu-HU"/>
          </w:rPr>
          <w:delText>Szükség lehet az adagolás megszakítására, például műtét előtt vagy ha egy súlyos fertőzés alakul ki.</w:delText>
        </w:r>
      </w:del>
    </w:p>
    <w:p w14:paraId="18B02D57" w14:textId="6840DDAA" w:rsidR="00AD6612" w:rsidRPr="00183B5F" w:rsidRDefault="00AD6612">
      <w:pPr>
        <w:pStyle w:val="EMEANormal"/>
        <w:rPr>
          <w:del w:id="3940" w:author="AbbVie_HU_03" w:date="2025-05-14T15:27:00Z"/>
          <w:szCs w:val="22"/>
          <w:lang w:val="hu-HU"/>
        </w:rPr>
      </w:pPr>
    </w:p>
    <w:p w14:paraId="39C80EE4" w14:textId="04F579CA" w:rsidR="00FB6710" w:rsidRPr="00183B5F" w:rsidRDefault="00943743">
      <w:pPr>
        <w:spacing w:line="240" w:lineRule="auto"/>
        <w:rPr>
          <w:del w:id="3941" w:author="AbbVie_HU_03" w:date="2025-05-14T15:27:00Z"/>
          <w:szCs w:val="22"/>
        </w:rPr>
      </w:pPr>
      <w:del w:id="3942" w:author="AbbVie_HU_03" w:date="2025-05-14T15:27:00Z">
        <w:r w:rsidRPr="00183B5F">
          <w:rPr>
            <w:szCs w:val="22"/>
          </w:rPr>
          <w:delText>A rendelkezésre álló adatok arra utalnak, hogy a Humira alkalmazásának 70</w:delText>
        </w:r>
        <w:r w:rsidR="00C05D94" w:rsidRPr="00183B5F">
          <w:rPr>
            <w:szCs w:val="22"/>
          </w:rPr>
          <w:delText> </w:delText>
        </w:r>
        <w:r w:rsidRPr="00183B5F">
          <w:rPr>
            <w:szCs w:val="22"/>
          </w:rPr>
          <w:delText>napra vagy hosszabb időre történt abbahagyását követő újrakezdése ugyanolyan mértékű klinikai választ és hasonló biztonságossági profilt eredményezett, mint az adagolás megszakítása előtt.</w:delText>
        </w:r>
      </w:del>
    </w:p>
    <w:p w14:paraId="4AF001B7" w14:textId="584DEA90" w:rsidR="00FB6710" w:rsidRPr="00183B5F" w:rsidRDefault="00FB6710">
      <w:pPr>
        <w:spacing w:line="240" w:lineRule="auto"/>
        <w:rPr>
          <w:del w:id="3943" w:author="AbbVie_HU_03" w:date="2025-05-14T15:27:00Z"/>
          <w:szCs w:val="22"/>
        </w:rPr>
      </w:pPr>
    </w:p>
    <w:p w14:paraId="747EAEDB" w14:textId="5BDF743B" w:rsidR="00FB6710" w:rsidRPr="00183B5F" w:rsidRDefault="00943743">
      <w:pPr>
        <w:suppressAutoHyphens w:val="0"/>
        <w:spacing w:line="240" w:lineRule="auto"/>
        <w:rPr>
          <w:del w:id="3944" w:author="AbbVie_HU_03" w:date="2025-05-14T15:27:00Z"/>
          <w:i/>
          <w:szCs w:val="22"/>
        </w:rPr>
      </w:pPr>
      <w:del w:id="3945" w:author="AbbVie_HU_03" w:date="2025-05-14T15:27:00Z">
        <w:r w:rsidRPr="00183B5F">
          <w:rPr>
            <w:i/>
            <w:szCs w:val="22"/>
          </w:rPr>
          <w:delText>Spondylitis ankylopoetica</w:delText>
        </w:r>
        <w:r w:rsidR="00AD6612" w:rsidRPr="00183B5F">
          <w:rPr>
            <w:i/>
            <w:szCs w:val="22"/>
          </w:rPr>
          <w:delText>,</w:delText>
        </w:r>
        <w:r w:rsidR="006C5B50" w:rsidRPr="00183B5F">
          <w:rPr>
            <w:rFonts w:eastAsia="SimSun"/>
            <w:i/>
            <w:szCs w:val="22"/>
            <w:lang w:eastAsia="zh-CN"/>
          </w:rPr>
          <w:delText xml:space="preserve"> spondylitis ankylopoeticának (SPA) megfelelő röntgeneltéréssel nem járó</w:delText>
        </w:r>
        <w:r w:rsidR="006C5B50" w:rsidRPr="00183B5F">
          <w:rPr>
            <w:i/>
            <w:szCs w:val="22"/>
          </w:rPr>
          <w:delText xml:space="preserve"> axiális spondyloarthritis </w:delText>
        </w:r>
        <w:r w:rsidR="008D0E64" w:rsidRPr="00183B5F">
          <w:rPr>
            <w:i/>
            <w:szCs w:val="22"/>
          </w:rPr>
          <w:delText>és arthritis psoriatica</w:delText>
        </w:r>
      </w:del>
    </w:p>
    <w:p w14:paraId="3B06FE8C" w14:textId="267AD846" w:rsidR="00FB6710" w:rsidRPr="00183B5F" w:rsidRDefault="00FB6710" w:rsidP="004062FE">
      <w:pPr>
        <w:spacing w:line="240" w:lineRule="auto"/>
        <w:rPr>
          <w:del w:id="3946" w:author="AbbVie_HU_03" w:date="2025-05-14T15:27:00Z"/>
          <w:szCs w:val="22"/>
          <w:u w:val="single"/>
        </w:rPr>
      </w:pPr>
    </w:p>
    <w:p w14:paraId="1660056C" w14:textId="7D474B12" w:rsidR="00FB6710" w:rsidRPr="00183B5F" w:rsidRDefault="00943743">
      <w:pPr>
        <w:suppressAutoHyphens w:val="0"/>
        <w:spacing w:line="240" w:lineRule="auto"/>
        <w:rPr>
          <w:del w:id="3947" w:author="AbbVie_HU_03" w:date="2025-05-14T15:27:00Z"/>
          <w:szCs w:val="22"/>
        </w:rPr>
      </w:pPr>
      <w:del w:id="3948" w:author="AbbVie_HU_03" w:date="2025-05-14T15:27:00Z">
        <w:r w:rsidRPr="00183B5F">
          <w:rPr>
            <w:szCs w:val="22"/>
          </w:rPr>
          <w:delText>A Humira ajánlott adagja spondylitis ankylopoetic</w:delText>
        </w:r>
        <w:r w:rsidR="00B67B1B" w:rsidRPr="00183B5F">
          <w:rPr>
            <w:szCs w:val="22"/>
          </w:rPr>
          <w:delText xml:space="preserve">ában, </w:delText>
        </w:r>
        <w:r w:rsidR="006C5B50" w:rsidRPr="00183B5F">
          <w:rPr>
            <w:rFonts w:eastAsia="SimSun"/>
            <w:szCs w:val="22"/>
            <w:lang w:eastAsia="zh-CN"/>
          </w:rPr>
          <w:delText>spondylitis ankylopoeticának (SPA) megfelelő röntgeneltéréssel nem járó</w:delText>
        </w:r>
        <w:r w:rsidR="006C5B50" w:rsidRPr="00183B5F">
          <w:rPr>
            <w:szCs w:val="22"/>
          </w:rPr>
          <w:delText xml:space="preserve"> axiális spondyloarthritisben</w:delText>
        </w:r>
        <w:r w:rsidR="00B67B1B" w:rsidRPr="00183B5F">
          <w:rPr>
            <w:szCs w:val="22"/>
          </w:rPr>
          <w:delText xml:space="preserve"> és arthritis psoriaticában szenvedő betegeknél</w:delText>
        </w:r>
        <w:r w:rsidRPr="00183B5F">
          <w:rPr>
            <w:szCs w:val="22"/>
          </w:rPr>
          <w:delText xml:space="preserve"> 40 mg adalimumab kéthetente egy alkalommal subcutan injekcióban.</w:delText>
        </w:r>
      </w:del>
    </w:p>
    <w:p w14:paraId="7CBCBB6D" w14:textId="3317DD5D" w:rsidR="00FB6710" w:rsidRPr="00183B5F" w:rsidRDefault="00FB6710" w:rsidP="004062FE">
      <w:pPr>
        <w:spacing w:line="240" w:lineRule="auto"/>
        <w:rPr>
          <w:del w:id="3949" w:author="AbbVie_HU_03" w:date="2025-05-14T15:27:00Z"/>
          <w:szCs w:val="22"/>
        </w:rPr>
      </w:pPr>
    </w:p>
    <w:p w14:paraId="6F6F3177" w14:textId="090EFEAB" w:rsidR="00631732" w:rsidRPr="00183B5F" w:rsidRDefault="00943743" w:rsidP="004062FE">
      <w:pPr>
        <w:spacing w:line="240" w:lineRule="auto"/>
        <w:rPr>
          <w:del w:id="3950" w:author="AbbVie_HU_03" w:date="2025-05-14T15:27:00Z"/>
          <w:szCs w:val="22"/>
        </w:rPr>
      </w:pPr>
      <w:del w:id="3951" w:author="AbbVie_HU_03" w:date="2025-05-14T15:27:00Z">
        <w:r w:rsidRPr="00183B5F">
          <w:rPr>
            <w:szCs w:val="22"/>
          </w:rPr>
          <w:delText>A rendelkezésre álló adatok arra utalnak, hogy a klinikai válasz általában 12 hetes kezelésen belül elérhető. Olyan betegeknél, akik ezen idő alatt nem reagálnak a kezelésre, megfontolandó a terápia folytatása.</w:delText>
        </w:r>
      </w:del>
    </w:p>
    <w:p w14:paraId="17C99F97" w14:textId="1F4C970D" w:rsidR="00FB6710" w:rsidRPr="00183B5F" w:rsidRDefault="00FB6710" w:rsidP="004062FE">
      <w:pPr>
        <w:spacing w:line="240" w:lineRule="auto"/>
        <w:rPr>
          <w:del w:id="3952" w:author="AbbVie_HU_03" w:date="2025-05-14T15:27:00Z"/>
          <w:szCs w:val="22"/>
        </w:rPr>
      </w:pPr>
    </w:p>
    <w:p w14:paraId="2CFC12FD" w14:textId="672C0AB8" w:rsidR="001C2F72" w:rsidRPr="00183B5F" w:rsidRDefault="00943743" w:rsidP="004062FE">
      <w:pPr>
        <w:spacing w:line="240" w:lineRule="auto"/>
        <w:rPr>
          <w:del w:id="3953" w:author="AbbVie_HU_03" w:date="2025-05-14T15:27:00Z"/>
          <w:i/>
          <w:szCs w:val="22"/>
        </w:rPr>
      </w:pPr>
      <w:del w:id="3954" w:author="AbbVie_HU_03" w:date="2025-05-14T15:27:00Z">
        <w:r w:rsidRPr="00183B5F">
          <w:rPr>
            <w:i/>
            <w:szCs w:val="22"/>
          </w:rPr>
          <w:delText>Psoriasis</w:delText>
        </w:r>
      </w:del>
    </w:p>
    <w:p w14:paraId="5D71310D" w14:textId="1FA41CB2" w:rsidR="001C2F72" w:rsidRPr="00183B5F" w:rsidRDefault="001C2F72" w:rsidP="004062FE">
      <w:pPr>
        <w:spacing w:line="240" w:lineRule="auto"/>
        <w:rPr>
          <w:del w:id="3955" w:author="AbbVie_HU_03" w:date="2025-05-14T15:27:00Z"/>
          <w:szCs w:val="22"/>
        </w:rPr>
      </w:pPr>
    </w:p>
    <w:p w14:paraId="5A73A1F4" w14:textId="43E425F9" w:rsidR="00A94C7C" w:rsidRPr="00183B5F" w:rsidRDefault="00943743" w:rsidP="004062FE">
      <w:pPr>
        <w:spacing w:line="240" w:lineRule="auto"/>
        <w:rPr>
          <w:del w:id="3956" w:author="AbbVie_HU_03" w:date="2025-05-14T15:27:00Z"/>
          <w:szCs w:val="22"/>
        </w:rPr>
      </w:pPr>
      <w:del w:id="3957" w:author="AbbVie_HU_03" w:date="2025-05-14T15:27:00Z">
        <w:r w:rsidRPr="00183B5F">
          <w:rPr>
            <w:szCs w:val="22"/>
          </w:rPr>
          <w:delText>A Humira ajánlott adagja felnőtt betegek részére kezdő</w:delText>
        </w:r>
        <w:r w:rsidR="000A7B6A" w:rsidRPr="00183B5F">
          <w:rPr>
            <w:szCs w:val="22"/>
          </w:rPr>
          <w:delText xml:space="preserve"> </w:delText>
        </w:r>
        <w:r w:rsidRPr="00183B5F">
          <w:rPr>
            <w:szCs w:val="22"/>
          </w:rPr>
          <w:delText>dózisként 80 mg subcutan alkalmazva, amelyet a kezdő</w:delText>
        </w:r>
        <w:r w:rsidR="00A44DB6" w:rsidRPr="00183B5F">
          <w:rPr>
            <w:szCs w:val="22"/>
          </w:rPr>
          <w:delText xml:space="preserve"> </w:delText>
        </w:r>
        <w:r w:rsidRPr="00183B5F">
          <w:rPr>
            <w:szCs w:val="22"/>
          </w:rPr>
          <w:delText>dózis beadásától számított egy hét múlva minden második</w:delText>
        </w:r>
        <w:r w:rsidR="002F73DF" w:rsidRPr="00183B5F">
          <w:rPr>
            <w:szCs w:val="22"/>
          </w:rPr>
          <w:delText xml:space="preserve"> </w:delText>
        </w:r>
        <w:r w:rsidR="00A44DB6" w:rsidRPr="00183B5F">
          <w:rPr>
            <w:szCs w:val="22"/>
          </w:rPr>
          <w:delText>hét</w:delText>
        </w:r>
        <w:r w:rsidRPr="00183B5F">
          <w:rPr>
            <w:szCs w:val="22"/>
          </w:rPr>
          <w:delText>en subcutan beadott 40 mg</w:delText>
        </w:r>
        <w:r w:rsidR="00E5381A" w:rsidRPr="00183B5F">
          <w:rPr>
            <w:szCs w:val="22"/>
          </w:rPr>
          <w:noBreakHyphen/>
        </w:r>
        <w:r w:rsidRPr="00183B5F">
          <w:rPr>
            <w:szCs w:val="22"/>
          </w:rPr>
          <w:delText>os dózisok követnek.</w:delText>
        </w:r>
      </w:del>
    </w:p>
    <w:p w14:paraId="2118EC81" w14:textId="22919D06" w:rsidR="00A94C7C" w:rsidRPr="00183B5F" w:rsidRDefault="00A94C7C" w:rsidP="004062FE">
      <w:pPr>
        <w:spacing w:line="240" w:lineRule="auto"/>
        <w:rPr>
          <w:del w:id="3958" w:author="AbbVie_HU_03" w:date="2025-05-14T15:27:00Z"/>
          <w:szCs w:val="22"/>
        </w:rPr>
      </w:pPr>
    </w:p>
    <w:p w14:paraId="5435C2B1" w14:textId="270C8D37" w:rsidR="00A94C7C" w:rsidRPr="00183B5F" w:rsidRDefault="00943743" w:rsidP="004062FE">
      <w:pPr>
        <w:spacing w:line="240" w:lineRule="auto"/>
        <w:rPr>
          <w:del w:id="3959" w:author="AbbVie_HU_03" w:date="2025-05-14T15:27:00Z"/>
          <w:szCs w:val="22"/>
        </w:rPr>
      </w:pPr>
      <w:del w:id="3960" w:author="AbbVie_HU_03" w:date="2025-05-14T15:27:00Z">
        <w:r w:rsidRPr="00183B5F">
          <w:rPr>
            <w:szCs w:val="22"/>
          </w:rPr>
          <w:delText>A 16</w:delText>
        </w:r>
        <w:r w:rsidR="00A44DB6" w:rsidRPr="00183B5F">
          <w:rPr>
            <w:szCs w:val="22"/>
          </w:rPr>
          <w:delText> hét</w:delText>
        </w:r>
        <w:r w:rsidRPr="00183B5F">
          <w:rPr>
            <w:szCs w:val="22"/>
          </w:rPr>
          <w:delText>nél hosszabb ideig tartó kezeléseket gondosan újra kell mérlegelni olyan betegek esetében, akik ezen időszak alatt nem reagáltak a terápiára.</w:delText>
        </w:r>
      </w:del>
    </w:p>
    <w:p w14:paraId="2D7AD220" w14:textId="27923639" w:rsidR="00B8607D" w:rsidRPr="00183B5F" w:rsidRDefault="00B8607D" w:rsidP="004062FE">
      <w:pPr>
        <w:spacing w:line="240" w:lineRule="auto"/>
        <w:rPr>
          <w:del w:id="3961" w:author="AbbVie_HU_03" w:date="2025-05-14T15:27:00Z"/>
          <w:szCs w:val="22"/>
        </w:rPr>
      </w:pPr>
    </w:p>
    <w:p w14:paraId="5BDBD696" w14:textId="686A3492" w:rsidR="00DE45AA" w:rsidRPr="00183B5F" w:rsidRDefault="00943743" w:rsidP="00DE45AA">
      <w:pPr>
        <w:spacing w:line="240" w:lineRule="auto"/>
        <w:rPr>
          <w:del w:id="3962" w:author="AbbVie_HU_03" w:date="2025-05-14T15:27:00Z"/>
          <w:szCs w:val="22"/>
        </w:rPr>
      </w:pPr>
      <w:del w:id="3963" w:author="AbbVie_HU_03" w:date="2025-05-14T15:27:00Z">
        <w:r w:rsidRPr="00183B5F">
          <w:rPr>
            <w:szCs w:val="22"/>
          </w:rPr>
          <w:delText>A 16. hét után azoknál a betegeknél, akik nem megfelelően reagáltak a kéthetente adott 40 mg Humira</w:delText>
        </w:r>
        <w:r w:rsidRPr="00183B5F">
          <w:rPr>
            <w:szCs w:val="22"/>
          </w:rPr>
          <w:noBreakHyphen/>
          <w:delText>kezelésre, előnyös lehet az adag növelése heti 40 mg</w:delText>
        </w:r>
        <w:r w:rsidRPr="00183B5F">
          <w:rPr>
            <w:szCs w:val="22"/>
          </w:rPr>
          <w:noBreakHyphen/>
          <w:delText>ra vagy kéthetente 80 mg</w:delText>
        </w:r>
        <w:r w:rsidRPr="00183B5F">
          <w:rPr>
            <w:szCs w:val="22"/>
          </w:rPr>
          <w:noBreakHyphen/>
          <w:delText>ra. Alaposan mérlegelni kell a Humira heti 40 mg vagy kéthetente 80 mg adagolásának előnyeit és kockázatait az olyan betegeknél, akik nem megfelelően reagáltak az adag növelése után (lásd 5.1 pont). Ha a heti 40 mg vagy kéthetente 80 mg adagolással elérték a megfelelő választ, a dózis ezután kéthetente 40 mg</w:delText>
        </w:r>
        <w:r w:rsidRPr="00183B5F">
          <w:rPr>
            <w:szCs w:val="22"/>
          </w:rPr>
          <w:noBreakHyphen/>
          <w:delText>ra csökkenthető.</w:delText>
        </w:r>
      </w:del>
    </w:p>
    <w:p w14:paraId="1BC424D7" w14:textId="4D6FA7B8" w:rsidR="003A78E3" w:rsidRPr="00183B5F" w:rsidRDefault="003A78E3" w:rsidP="004062FE">
      <w:pPr>
        <w:spacing w:line="240" w:lineRule="auto"/>
        <w:rPr>
          <w:del w:id="3964" w:author="AbbVie_HU_03" w:date="2025-05-14T15:27:00Z"/>
          <w:szCs w:val="22"/>
        </w:rPr>
      </w:pPr>
    </w:p>
    <w:p w14:paraId="4EC6189B" w14:textId="4E1837A2" w:rsidR="003A78E3" w:rsidRPr="00183B5F" w:rsidRDefault="00943743" w:rsidP="004062FE">
      <w:pPr>
        <w:spacing w:line="240" w:lineRule="auto"/>
        <w:rPr>
          <w:del w:id="3965" w:author="AbbVie_HU_03" w:date="2025-05-14T15:27:00Z"/>
          <w:szCs w:val="22"/>
        </w:rPr>
      </w:pPr>
      <w:del w:id="3966" w:author="AbbVie_HU_03" w:date="2025-05-14T15:27:00Z">
        <w:r w:rsidRPr="00183B5F">
          <w:rPr>
            <w:szCs w:val="22"/>
          </w:rPr>
          <w:delText>A Humira más hatáserősségben és/vagy kiszerelésben is elérhető az egyéni terápiás igényeknek megfelelően.</w:delText>
        </w:r>
      </w:del>
    </w:p>
    <w:p w14:paraId="20AADD9C" w14:textId="121B15ED" w:rsidR="001C2F72" w:rsidRPr="00183B5F" w:rsidRDefault="001C2F72" w:rsidP="004062FE">
      <w:pPr>
        <w:spacing w:line="240" w:lineRule="auto"/>
        <w:rPr>
          <w:del w:id="3967" w:author="AbbVie_HU_03" w:date="2025-05-14T15:27:00Z"/>
          <w:szCs w:val="22"/>
        </w:rPr>
      </w:pPr>
    </w:p>
    <w:p w14:paraId="56046158" w14:textId="03701E45" w:rsidR="00FA6EEF" w:rsidRPr="00183B5F" w:rsidRDefault="00943743" w:rsidP="004062FE">
      <w:pPr>
        <w:spacing w:line="240" w:lineRule="auto"/>
        <w:rPr>
          <w:del w:id="3968" w:author="AbbVie_HU_03" w:date="2025-05-14T15:27:00Z"/>
          <w:i/>
          <w:szCs w:val="22"/>
        </w:rPr>
      </w:pPr>
      <w:del w:id="3969" w:author="AbbVie_HU_03" w:date="2025-05-14T15:27:00Z">
        <w:r w:rsidRPr="00183B5F">
          <w:rPr>
            <w:i/>
            <w:szCs w:val="22"/>
          </w:rPr>
          <w:delText>Hidradenitis suppurativa</w:delText>
        </w:r>
      </w:del>
    </w:p>
    <w:p w14:paraId="0117453D" w14:textId="7F45EE71" w:rsidR="00FA6EEF" w:rsidRPr="00183B5F" w:rsidRDefault="00FA6EEF" w:rsidP="004062FE">
      <w:pPr>
        <w:spacing w:line="240" w:lineRule="auto"/>
        <w:rPr>
          <w:del w:id="3970" w:author="AbbVie_HU_03" w:date="2025-05-14T15:27:00Z"/>
          <w:i/>
          <w:szCs w:val="22"/>
        </w:rPr>
      </w:pPr>
    </w:p>
    <w:p w14:paraId="74C7E796" w14:textId="1E2F5E60" w:rsidR="00FA6EEF" w:rsidRPr="00183B5F" w:rsidRDefault="00943743" w:rsidP="004062FE">
      <w:pPr>
        <w:spacing w:line="240" w:lineRule="auto"/>
        <w:rPr>
          <w:del w:id="3971" w:author="AbbVie_HU_03" w:date="2025-05-14T15:27:00Z"/>
          <w:szCs w:val="22"/>
        </w:rPr>
      </w:pPr>
      <w:del w:id="3972" w:author="AbbVie_HU_03" w:date="2025-05-14T15:27:00Z">
        <w:r w:rsidRPr="00183B5F">
          <w:rPr>
            <w:szCs w:val="22"/>
          </w:rPr>
          <w:delText>A Humira javasolt adag</w:delText>
        </w:r>
        <w:r w:rsidR="00CA0918" w:rsidRPr="00183B5F">
          <w:rPr>
            <w:szCs w:val="22"/>
          </w:rPr>
          <w:delText>j</w:delText>
        </w:r>
        <w:r w:rsidRPr="00183B5F">
          <w:rPr>
            <w:szCs w:val="22"/>
          </w:rPr>
          <w:delText>a hidradenitis suppurativában (HS) szenvedő felnőttek indukciós kezelésére 160 mg az 1. </w:delText>
        </w:r>
        <w:r w:rsidR="00F37BAE" w:rsidRPr="00183B5F">
          <w:rPr>
            <w:szCs w:val="22"/>
          </w:rPr>
          <w:delText>n</w:delText>
        </w:r>
        <w:r w:rsidRPr="00183B5F">
          <w:rPr>
            <w:szCs w:val="22"/>
          </w:rPr>
          <w:delText>ap</w:delText>
        </w:r>
        <w:r w:rsidR="00AD6612" w:rsidRPr="00183B5F">
          <w:rPr>
            <w:szCs w:val="22"/>
          </w:rPr>
          <w:delText>on</w:delText>
        </w:r>
        <w:r w:rsidRPr="00183B5F">
          <w:rPr>
            <w:szCs w:val="22"/>
          </w:rPr>
          <w:delText xml:space="preserve"> (</w:delText>
        </w:r>
        <w:r w:rsidR="003A78E3" w:rsidRPr="00183B5F">
          <w:rPr>
            <w:szCs w:val="22"/>
          </w:rPr>
          <w:delText xml:space="preserve">négy </w:delText>
        </w:r>
        <w:r w:rsidR="00F37BAE" w:rsidRPr="00183B5F">
          <w:rPr>
            <w:szCs w:val="22"/>
          </w:rPr>
          <w:delText>darab 40 mg</w:delText>
        </w:r>
        <w:r w:rsidR="00F37BAE" w:rsidRPr="00183B5F">
          <w:rPr>
            <w:szCs w:val="22"/>
          </w:rPr>
          <w:noBreakHyphen/>
          <w:delText xml:space="preserve">os injekcióban egyetlen napon, vagy napi </w:delText>
        </w:r>
        <w:r w:rsidR="003A78E3" w:rsidRPr="00183B5F">
          <w:rPr>
            <w:szCs w:val="22"/>
          </w:rPr>
          <w:delText xml:space="preserve">két </w:delText>
        </w:r>
        <w:r w:rsidR="00AD6612" w:rsidRPr="00183B5F">
          <w:rPr>
            <w:szCs w:val="22"/>
          </w:rPr>
          <w:delText>40 mg</w:delText>
        </w:r>
        <w:r w:rsidR="00AD6612" w:rsidRPr="00183B5F">
          <w:rPr>
            <w:szCs w:val="22"/>
          </w:rPr>
          <w:noBreakHyphen/>
          <w:delText xml:space="preserve">os </w:delText>
        </w:r>
        <w:r w:rsidR="00F37BAE" w:rsidRPr="00183B5F">
          <w:rPr>
            <w:szCs w:val="22"/>
          </w:rPr>
          <w:delText xml:space="preserve">injekcióban két egymást követő napon beadva), melyet </w:delText>
        </w:r>
        <w:r w:rsidR="003A78E3" w:rsidRPr="00183B5F">
          <w:rPr>
            <w:szCs w:val="22"/>
          </w:rPr>
          <w:delText xml:space="preserve">két </w:delText>
        </w:r>
        <w:r w:rsidR="00F37BAE" w:rsidRPr="00183B5F">
          <w:rPr>
            <w:szCs w:val="22"/>
          </w:rPr>
          <w:delText>héttel később 80 mg követ a 15. napon (</w:delText>
        </w:r>
        <w:r w:rsidR="003A78E3" w:rsidRPr="00183B5F">
          <w:rPr>
            <w:szCs w:val="22"/>
          </w:rPr>
          <w:delText xml:space="preserve">két </w:delText>
        </w:r>
        <w:r w:rsidR="00F37BAE" w:rsidRPr="00183B5F">
          <w:rPr>
            <w:szCs w:val="22"/>
          </w:rPr>
          <w:delText>darab 40 mg</w:delText>
        </w:r>
        <w:r w:rsidR="00F37BAE" w:rsidRPr="00183B5F">
          <w:rPr>
            <w:szCs w:val="22"/>
          </w:rPr>
          <w:noBreakHyphen/>
          <w:delText>os injekcióban beadva egyetlen napon).</w:delText>
        </w:r>
        <w:r w:rsidR="003227C9" w:rsidRPr="00183B5F">
          <w:rPr>
            <w:szCs w:val="22"/>
          </w:rPr>
          <w:delText xml:space="preserve"> Két héttel később (a 29. napon) heti 40 mg</w:delText>
        </w:r>
        <w:r w:rsidR="00D17A18" w:rsidRPr="00183B5F">
          <w:rPr>
            <w:szCs w:val="22"/>
          </w:rPr>
          <w:delText xml:space="preserve"> vagy kéthetente</w:delText>
        </w:r>
        <w:r w:rsidR="003A78E3" w:rsidRPr="00183B5F">
          <w:rPr>
            <w:szCs w:val="22"/>
          </w:rPr>
          <w:delText xml:space="preserve"> 80 mg (két darab 40 mg</w:delText>
        </w:r>
        <w:r w:rsidR="003A78E3" w:rsidRPr="00183B5F">
          <w:rPr>
            <w:szCs w:val="22"/>
          </w:rPr>
          <w:noBreakHyphen/>
          <w:delText>os injekcióban beadva egyetlen napon)</w:delText>
        </w:r>
        <w:r w:rsidR="003227C9" w:rsidRPr="00183B5F">
          <w:rPr>
            <w:szCs w:val="22"/>
          </w:rPr>
          <w:delText xml:space="preserve"> dózissal folyta</w:delText>
        </w:r>
        <w:r w:rsidR="00CA0918" w:rsidRPr="00183B5F">
          <w:rPr>
            <w:szCs w:val="22"/>
          </w:rPr>
          <w:delText>tva</w:delText>
        </w:r>
        <w:r w:rsidR="003227C9" w:rsidRPr="00183B5F">
          <w:rPr>
            <w:szCs w:val="22"/>
          </w:rPr>
          <w:delText>. Antibiotikum adása folytatható a Humira kezelés alatt,</w:delText>
        </w:r>
        <w:r w:rsidR="00AC4959" w:rsidRPr="00183B5F">
          <w:rPr>
            <w:szCs w:val="22"/>
          </w:rPr>
          <w:delText xml:space="preserve"> </w:delText>
        </w:r>
        <w:r w:rsidR="003227C9" w:rsidRPr="00183B5F">
          <w:rPr>
            <w:szCs w:val="22"/>
          </w:rPr>
          <w:delText>ha szükséges. Javasol</w:delText>
        </w:r>
        <w:r w:rsidR="009B4FF1" w:rsidRPr="00183B5F">
          <w:rPr>
            <w:szCs w:val="22"/>
          </w:rPr>
          <w:delText>t, hogy</w:delText>
        </w:r>
        <w:r w:rsidR="003227C9" w:rsidRPr="00183B5F">
          <w:rPr>
            <w:szCs w:val="22"/>
          </w:rPr>
          <w:delText xml:space="preserve"> </w:delText>
        </w:r>
        <w:r w:rsidR="00F016F9" w:rsidRPr="00183B5F">
          <w:rPr>
            <w:szCs w:val="22"/>
          </w:rPr>
          <w:delText xml:space="preserve">a betegek </w:delText>
        </w:r>
        <w:r w:rsidR="00AD6612" w:rsidRPr="00183B5F">
          <w:rPr>
            <w:szCs w:val="22"/>
          </w:rPr>
          <w:delText xml:space="preserve">naponta </w:delText>
        </w:r>
        <w:r w:rsidR="00F016F9" w:rsidRPr="00183B5F">
          <w:rPr>
            <w:szCs w:val="22"/>
          </w:rPr>
          <w:delText xml:space="preserve">helyi </w:delText>
        </w:r>
        <w:r w:rsidR="003227C9" w:rsidRPr="00183B5F">
          <w:rPr>
            <w:szCs w:val="22"/>
          </w:rPr>
          <w:delText xml:space="preserve">fertőtlenítő </w:delText>
        </w:r>
        <w:r w:rsidR="00F016F9" w:rsidRPr="00183B5F">
          <w:rPr>
            <w:szCs w:val="22"/>
          </w:rPr>
          <w:delText>lemosó</w:delText>
        </w:r>
        <w:r w:rsidR="009B4FF1" w:rsidRPr="00183B5F">
          <w:rPr>
            <w:szCs w:val="22"/>
          </w:rPr>
          <w:delText>t</w:delText>
        </w:r>
        <w:r w:rsidR="00F016F9" w:rsidRPr="00183B5F">
          <w:rPr>
            <w:szCs w:val="22"/>
          </w:rPr>
          <w:delText xml:space="preserve"> használ</w:delText>
        </w:r>
        <w:r w:rsidR="009B4FF1" w:rsidRPr="00183B5F">
          <w:rPr>
            <w:szCs w:val="22"/>
          </w:rPr>
          <w:delText>janak</w:delText>
        </w:r>
        <w:r w:rsidR="00F016F9" w:rsidRPr="00183B5F">
          <w:rPr>
            <w:szCs w:val="22"/>
          </w:rPr>
          <w:delText xml:space="preserve"> a HS léziókon a Humira kezelés ideje alatt.</w:delText>
        </w:r>
      </w:del>
    </w:p>
    <w:p w14:paraId="340C48B3" w14:textId="1A445DEC" w:rsidR="00F016F9" w:rsidRPr="00183B5F" w:rsidRDefault="00F016F9" w:rsidP="004062FE">
      <w:pPr>
        <w:spacing w:line="240" w:lineRule="auto"/>
        <w:rPr>
          <w:del w:id="3973" w:author="AbbVie_HU_03" w:date="2025-05-14T15:27:00Z"/>
          <w:szCs w:val="22"/>
        </w:rPr>
      </w:pPr>
    </w:p>
    <w:p w14:paraId="564DCCEC" w14:textId="1A55B08F" w:rsidR="00FA6EEF" w:rsidRPr="00183B5F" w:rsidRDefault="00943743" w:rsidP="004062FE">
      <w:pPr>
        <w:spacing w:line="240" w:lineRule="auto"/>
        <w:rPr>
          <w:del w:id="3974" w:author="AbbVie_HU_03" w:date="2025-05-14T15:27:00Z"/>
          <w:szCs w:val="22"/>
        </w:rPr>
      </w:pPr>
      <w:del w:id="3975" w:author="AbbVie_HU_03" w:date="2025-05-14T15:27:00Z">
        <w:r w:rsidRPr="00183B5F">
          <w:rPr>
            <w:szCs w:val="22"/>
          </w:rPr>
          <w:delText>A kezelésre 12 hét alatt sem reagáló betegek esetében körültekintően át kell gondolni a terápia folytatását.</w:delText>
        </w:r>
      </w:del>
    </w:p>
    <w:p w14:paraId="01BB6808" w14:textId="64631432" w:rsidR="00F016F9" w:rsidRPr="00183B5F" w:rsidRDefault="00F016F9" w:rsidP="004062FE">
      <w:pPr>
        <w:spacing w:line="240" w:lineRule="auto"/>
        <w:rPr>
          <w:del w:id="3976" w:author="AbbVie_HU_03" w:date="2025-05-14T15:27:00Z"/>
          <w:szCs w:val="22"/>
        </w:rPr>
      </w:pPr>
    </w:p>
    <w:p w14:paraId="0D92BCC6" w14:textId="7AB2A7AB" w:rsidR="00F016F9" w:rsidRPr="00183B5F" w:rsidRDefault="00943743" w:rsidP="004062FE">
      <w:pPr>
        <w:spacing w:line="240" w:lineRule="auto"/>
        <w:rPr>
          <w:del w:id="3977" w:author="AbbVie_HU_03" w:date="2025-05-14T15:27:00Z"/>
          <w:szCs w:val="22"/>
        </w:rPr>
      </w:pPr>
      <w:del w:id="3978" w:author="AbbVie_HU_03" w:date="2025-05-14T15:27:00Z">
        <w:r w:rsidRPr="00183B5F">
          <w:rPr>
            <w:szCs w:val="22"/>
          </w:rPr>
          <w:delText xml:space="preserve">Amennyiben a kezelés megszakad, heti 40 mg </w:delText>
        </w:r>
        <w:r w:rsidR="003A78E3" w:rsidRPr="00183B5F">
          <w:rPr>
            <w:szCs w:val="22"/>
          </w:rPr>
          <w:delText xml:space="preserve">vagy </w:delText>
        </w:r>
        <w:r w:rsidR="00082481" w:rsidRPr="00183B5F">
          <w:rPr>
            <w:szCs w:val="22"/>
          </w:rPr>
          <w:delText>kéthetente</w:delText>
        </w:r>
        <w:r w:rsidR="003A78E3" w:rsidRPr="00183B5F">
          <w:rPr>
            <w:szCs w:val="22"/>
          </w:rPr>
          <w:delText xml:space="preserve"> 80 mg </w:delText>
        </w:r>
        <w:r w:rsidRPr="00183B5F">
          <w:rPr>
            <w:szCs w:val="22"/>
          </w:rPr>
          <w:delText>Humira adása újrakezdhető</w:delText>
        </w:r>
        <w:r w:rsidR="00445662" w:rsidRPr="00183B5F">
          <w:rPr>
            <w:szCs w:val="22"/>
          </w:rPr>
          <w:delText xml:space="preserve"> (lásd 5.1 </w:delText>
        </w:r>
        <w:r w:rsidRPr="00183B5F">
          <w:rPr>
            <w:szCs w:val="22"/>
          </w:rPr>
          <w:delText>pont)</w:delText>
        </w:r>
        <w:r w:rsidR="00445662" w:rsidRPr="00183B5F">
          <w:rPr>
            <w:szCs w:val="22"/>
          </w:rPr>
          <w:delText>.</w:delText>
        </w:r>
      </w:del>
    </w:p>
    <w:p w14:paraId="51609E72" w14:textId="32D73658" w:rsidR="00445662" w:rsidRPr="00183B5F" w:rsidRDefault="00445662" w:rsidP="004062FE">
      <w:pPr>
        <w:spacing w:line="240" w:lineRule="auto"/>
        <w:rPr>
          <w:del w:id="3979" w:author="AbbVie_HU_03" w:date="2025-05-14T15:27:00Z"/>
          <w:szCs w:val="22"/>
        </w:rPr>
      </w:pPr>
    </w:p>
    <w:p w14:paraId="02AB53D5" w14:textId="60A7F358" w:rsidR="00445662" w:rsidRPr="00183B5F" w:rsidRDefault="00943743" w:rsidP="004062FE">
      <w:pPr>
        <w:spacing w:line="240" w:lineRule="auto"/>
        <w:rPr>
          <w:del w:id="3980" w:author="AbbVie_HU_03" w:date="2025-05-14T15:27:00Z"/>
          <w:szCs w:val="22"/>
        </w:rPr>
      </w:pPr>
      <w:del w:id="3981" w:author="AbbVie_HU_03" w:date="2025-05-14T15:27:00Z">
        <w:r w:rsidRPr="00183B5F">
          <w:rPr>
            <w:szCs w:val="22"/>
          </w:rPr>
          <w:delText>A hosszú távú kezelés előnyeit és kockázatát időszakosan mérlegelni kell (lásd 5.1</w:delText>
        </w:r>
        <w:r w:rsidR="00CA0918" w:rsidRPr="00183B5F">
          <w:rPr>
            <w:szCs w:val="22"/>
          </w:rPr>
          <w:delText> </w:delText>
        </w:r>
        <w:r w:rsidRPr="00183B5F">
          <w:rPr>
            <w:szCs w:val="22"/>
          </w:rPr>
          <w:delText>pont).</w:delText>
        </w:r>
      </w:del>
    </w:p>
    <w:p w14:paraId="01BBD2BF" w14:textId="262F4E69" w:rsidR="003A78E3" w:rsidRPr="00183B5F" w:rsidRDefault="003A78E3" w:rsidP="004062FE">
      <w:pPr>
        <w:spacing w:line="240" w:lineRule="auto"/>
        <w:rPr>
          <w:del w:id="3982" w:author="AbbVie_HU_03" w:date="2025-05-14T15:27:00Z"/>
          <w:szCs w:val="22"/>
        </w:rPr>
      </w:pPr>
    </w:p>
    <w:p w14:paraId="1D909DFE" w14:textId="4C4795E6" w:rsidR="003A78E3" w:rsidRPr="00183B5F" w:rsidRDefault="00943743" w:rsidP="004062FE">
      <w:pPr>
        <w:spacing w:line="240" w:lineRule="auto"/>
        <w:rPr>
          <w:del w:id="3983" w:author="AbbVie_HU_03" w:date="2025-05-14T15:27:00Z"/>
          <w:szCs w:val="22"/>
        </w:rPr>
      </w:pPr>
      <w:del w:id="3984" w:author="AbbVie_HU_03" w:date="2025-05-14T15:27:00Z">
        <w:r w:rsidRPr="00183B5F">
          <w:rPr>
            <w:szCs w:val="22"/>
          </w:rPr>
          <w:delText>A Humira más hatáserősségben és/vagy kiszerelésben is elérhető az egyéni terápiás igényeknek megfelelően.</w:delText>
        </w:r>
      </w:del>
    </w:p>
    <w:p w14:paraId="5009D104" w14:textId="714E813A" w:rsidR="00445662" w:rsidRPr="00183B5F" w:rsidRDefault="00445662" w:rsidP="004062FE">
      <w:pPr>
        <w:spacing w:line="240" w:lineRule="auto"/>
        <w:rPr>
          <w:del w:id="3985" w:author="AbbVie_HU_03" w:date="2025-05-14T15:27:00Z"/>
          <w:szCs w:val="22"/>
        </w:rPr>
      </w:pPr>
    </w:p>
    <w:p w14:paraId="23A45E0C" w14:textId="48EFC916" w:rsidR="00FB6710" w:rsidRPr="00183B5F" w:rsidRDefault="00943743" w:rsidP="004062FE">
      <w:pPr>
        <w:keepNext/>
        <w:spacing w:line="240" w:lineRule="auto"/>
        <w:rPr>
          <w:del w:id="3986" w:author="AbbVie_HU_03" w:date="2025-05-14T15:27:00Z"/>
          <w:i/>
          <w:szCs w:val="22"/>
        </w:rPr>
      </w:pPr>
      <w:del w:id="3987" w:author="AbbVie_HU_03" w:date="2025-05-14T15:27:00Z">
        <w:r w:rsidRPr="00183B5F">
          <w:rPr>
            <w:i/>
            <w:szCs w:val="22"/>
          </w:rPr>
          <w:delText>Crohn</w:delText>
        </w:r>
        <w:r w:rsidR="00C05D94" w:rsidRPr="00183B5F">
          <w:rPr>
            <w:i/>
            <w:szCs w:val="22"/>
          </w:rPr>
          <w:noBreakHyphen/>
        </w:r>
        <w:r w:rsidRPr="00183B5F">
          <w:rPr>
            <w:i/>
            <w:szCs w:val="22"/>
          </w:rPr>
          <w:delText>betegség</w:delText>
        </w:r>
      </w:del>
    </w:p>
    <w:p w14:paraId="73B8B2CB" w14:textId="320231E0" w:rsidR="00FB6710" w:rsidRPr="00183B5F" w:rsidRDefault="00FB6710" w:rsidP="004062FE">
      <w:pPr>
        <w:keepNext/>
        <w:spacing w:line="240" w:lineRule="auto"/>
        <w:rPr>
          <w:del w:id="3988" w:author="AbbVie_HU_03" w:date="2025-05-14T15:27:00Z"/>
          <w:szCs w:val="22"/>
        </w:rPr>
      </w:pPr>
    </w:p>
    <w:p w14:paraId="0FB01E0B" w14:textId="684F8732" w:rsidR="00FB6710" w:rsidRPr="00183B5F" w:rsidRDefault="00943743" w:rsidP="004062FE">
      <w:pPr>
        <w:keepNext/>
        <w:spacing w:line="240" w:lineRule="auto"/>
        <w:rPr>
          <w:del w:id="3989" w:author="AbbVie_HU_03" w:date="2025-05-14T15:27:00Z"/>
          <w:szCs w:val="22"/>
        </w:rPr>
      </w:pPr>
      <w:del w:id="3990" w:author="AbbVie_HU_03" w:date="2025-05-14T15:27:00Z">
        <w:r w:rsidRPr="00183B5F">
          <w:rPr>
            <w:szCs w:val="22"/>
          </w:rPr>
          <w:delText xml:space="preserve">A Humira javasolt adagolása </w:delText>
        </w:r>
        <w:r w:rsidR="006A22C0" w:rsidRPr="00183B5F">
          <w:rPr>
            <w:szCs w:val="22"/>
          </w:rPr>
          <w:delText>köz</w:delText>
        </w:r>
        <w:r w:rsidR="00931CE1" w:rsidRPr="00183B5F">
          <w:rPr>
            <w:szCs w:val="22"/>
          </w:rPr>
          <w:delText>e</w:delText>
        </w:r>
        <w:r w:rsidR="006A22C0" w:rsidRPr="00183B5F">
          <w:rPr>
            <w:szCs w:val="22"/>
          </w:rPr>
          <w:delText>p</w:delText>
        </w:r>
        <w:r w:rsidR="00931CE1" w:rsidRPr="00183B5F">
          <w:rPr>
            <w:szCs w:val="22"/>
          </w:rPr>
          <w:delText xml:space="preserve">esen </w:delText>
        </w:r>
        <w:r w:rsidR="006A22C0" w:rsidRPr="00183B5F">
          <w:rPr>
            <w:szCs w:val="22"/>
          </w:rPr>
          <w:delText>súlyos</w:delText>
        </w:r>
        <w:r w:rsidR="00931CE1" w:rsidRPr="00183B5F">
          <w:rPr>
            <w:szCs w:val="22"/>
          </w:rPr>
          <w:delText xml:space="preserve"> </w:delText>
        </w:r>
        <w:r w:rsidR="002C1F5C" w:rsidRPr="00183B5F">
          <w:rPr>
            <w:szCs w:val="22"/>
          </w:rPr>
          <w:delText>–</w:delText>
        </w:r>
        <w:r w:rsidR="00931CE1" w:rsidRPr="00183B5F">
          <w:rPr>
            <w:szCs w:val="22"/>
          </w:rPr>
          <w:delText xml:space="preserve"> </w:delText>
        </w:r>
        <w:r w:rsidRPr="00183B5F">
          <w:rPr>
            <w:szCs w:val="22"/>
          </w:rPr>
          <w:delText>súlyos</w:delText>
        </w:r>
        <w:r w:rsidR="006A22C0" w:rsidRPr="00183B5F">
          <w:rPr>
            <w:szCs w:val="22"/>
          </w:rPr>
          <w:delText xml:space="preserve"> akt</w:delText>
        </w:r>
        <w:r w:rsidR="00DC0094" w:rsidRPr="00183B5F">
          <w:rPr>
            <w:szCs w:val="22"/>
          </w:rPr>
          <w:delText>i</w:delText>
        </w:r>
        <w:r w:rsidR="006A22C0" w:rsidRPr="00183B5F">
          <w:rPr>
            <w:szCs w:val="22"/>
          </w:rPr>
          <w:delText>v</w:delText>
        </w:r>
        <w:r w:rsidR="00DC0094" w:rsidRPr="00183B5F">
          <w:rPr>
            <w:szCs w:val="22"/>
          </w:rPr>
          <w:delText>itású</w:delText>
        </w:r>
        <w:r w:rsidRPr="00183B5F">
          <w:rPr>
            <w:szCs w:val="22"/>
          </w:rPr>
          <w:delText xml:space="preserve"> Crohn</w:delText>
        </w:r>
        <w:r w:rsidR="00C05D94" w:rsidRPr="00183B5F">
          <w:rPr>
            <w:szCs w:val="22"/>
          </w:rPr>
          <w:noBreakHyphen/>
        </w:r>
        <w:r w:rsidRPr="00183B5F">
          <w:rPr>
            <w:szCs w:val="22"/>
          </w:rPr>
          <w:delText>betegségben szenvedő felnőttek indukciós kezelésére 80 mg a 0.</w:delText>
        </w:r>
        <w:r w:rsidR="00A44DB6" w:rsidRPr="00183B5F">
          <w:rPr>
            <w:szCs w:val="22"/>
          </w:rPr>
          <w:delText> hét</w:delText>
        </w:r>
        <w:r w:rsidRPr="00183B5F">
          <w:rPr>
            <w:szCs w:val="22"/>
          </w:rPr>
          <w:delText>en, majd 40 mg a 2.</w:delText>
        </w:r>
        <w:r w:rsidR="00A44DB6" w:rsidRPr="00183B5F">
          <w:rPr>
            <w:szCs w:val="22"/>
          </w:rPr>
          <w:delText> hét</w:delText>
        </w:r>
        <w:r w:rsidRPr="00183B5F">
          <w:rPr>
            <w:szCs w:val="22"/>
          </w:rPr>
          <w:delText>en. Ha hamarabb szükséges elérni a terápiás hatást, akkor a készítmény alkalmazható a 0.</w:delText>
        </w:r>
        <w:r w:rsidR="00A44DB6" w:rsidRPr="00183B5F">
          <w:rPr>
            <w:szCs w:val="22"/>
          </w:rPr>
          <w:delText> hét</w:delText>
        </w:r>
        <w:r w:rsidRPr="00183B5F">
          <w:rPr>
            <w:szCs w:val="22"/>
          </w:rPr>
          <w:delText>en 160 mg (</w:delText>
        </w:r>
        <w:r w:rsidR="003F00D9" w:rsidRPr="00183B5F">
          <w:rPr>
            <w:szCs w:val="22"/>
          </w:rPr>
          <w:delText>négy 40 mg</w:delText>
        </w:r>
        <w:r w:rsidR="003F00D9" w:rsidRPr="00183B5F">
          <w:rPr>
            <w:szCs w:val="22"/>
          </w:rPr>
          <w:noBreakHyphen/>
          <w:delText xml:space="preserve">os </w:delText>
        </w:r>
        <w:r w:rsidRPr="00183B5F">
          <w:rPr>
            <w:szCs w:val="22"/>
          </w:rPr>
          <w:delText xml:space="preserve">injekcióban </w:delText>
        </w:r>
        <w:r w:rsidR="003F00D9" w:rsidRPr="00183B5F">
          <w:rPr>
            <w:szCs w:val="22"/>
          </w:rPr>
          <w:delText xml:space="preserve">beadva </w:delText>
        </w:r>
        <w:r w:rsidRPr="00183B5F">
          <w:rPr>
            <w:szCs w:val="22"/>
          </w:rPr>
          <w:delText xml:space="preserve">egyetlen napon, vagy napi </w:delText>
        </w:r>
        <w:r w:rsidR="003F00D9" w:rsidRPr="00183B5F">
          <w:rPr>
            <w:szCs w:val="22"/>
          </w:rPr>
          <w:delText>két</w:delText>
        </w:r>
        <w:r w:rsidRPr="00183B5F">
          <w:rPr>
            <w:szCs w:val="22"/>
          </w:rPr>
          <w:delText xml:space="preserve"> </w:delText>
        </w:r>
        <w:r w:rsidR="00AD6612" w:rsidRPr="00183B5F">
          <w:rPr>
            <w:szCs w:val="22"/>
          </w:rPr>
          <w:delText>40 mg</w:delText>
        </w:r>
        <w:r w:rsidR="00AD6612" w:rsidRPr="00183B5F">
          <w:rPr>
            <w:szCs w:val="22"/>
          </w:rPr>
          <w:noBreakHyphen/>
          <w:delText xml:space="preserve">os </w:delText>
        </w:r>
        <w:r w:rsidRPr="00183B5F">
          <w:rPr>
            <w:szCs w:val="22"/>
          </w:rPr>
          <w:delText xml:space="preserve">injekcióban két egymást követő napon), </w:delText>
        </w:r>
        <w:r w:rsidR="007E3A94" w:rsidRPr="00183B5F">
          <w:rPr>
            <w:szCs w:val="22"/>
          </w:rPr>
          <w:delText xml:space="preserve">majd </w:delText>
        </w:r>
        <w:r w:rsidRPr="00183B5F">
          <w:rPr>
            <w:szCs w:val="22"/>
          </w:rPr>
          <w:delText>a 2.</w:delText>
        </w:r>
        <w:r w:rsidR="00A44DB6" w:rsidRPr="00183B5F">
          <w:rPr>
            <w:szCs w:val="22"/>
          </w:rPr>
          <w:delText> hét</w:delText>
        </w:r>
        <w:r w:rsidRPr="00183B5F">
          <w:rPr>
            <w:szCs w:val="22"/>
          </w:rPr>
          <w:delText>en 80 mg dózisban</w:delText>
        </w:r>
        <w:r w:rsidR="00DE45AA" w:rsidRPr="00183B5F">
          <w:rPr>
            <w:szCs w:val="22"/>
          </w:rPr>
          <w:delText xml:space="preserve"> (két 40 mg</w:delText>
        </w:r>
        <w:r w:rsidR="00AD6612" w:rsidRPr="00183B5F">
          <w:rPr>
            <w:szCs w:val="22"/>
          </w:rPr>
          <w:noBreakHyphen/>
          <w:delText>os</w:delText>
        </w:r>
        <w:r w:rsidR="00DE45AA" w:rsidRPr="00183B5F">
          <w:rPr>
            <w:szCs w:val="22"/>
          </w:rPr>
          <w:delText xml:space="preserve"> injekcióban beadva egyetlen napon)</w:delText>
        </w:r>
        <w:r w:rsidRPr="00183B5F">
          <w:rPr>
            <w:szCs w:val="22"/>
          </w:rPr>
          <w:delText xml:space="preserve"> annak tudatában, hogy az indukciós kezelés során nagyobb a mellékhatások kockázata.</w:delText>
        </w:r>
      </w:del>
    </w:p>
    <w:p w14:paraId="727D4F0E" w14:textId="4E027D3A" w:rsidR="00FB6710" w:rsidRPr="00183B5F" w:rsidRDefault="00FB6710" w:rsidP="004062FE">
      <w:pPr>
        <w:spacing w:line="240" w:lineRule="auto"/>
        <w:rPr>
          <w:del w:id="3991" w:author="AbbVie_HU_03" w:date="2025-05-14T15:27:00Z"/>
          <w:szCs w:val="22"/>
        </w:rPr>
      </w:pPr>
    </w:p>
    <w:p w14:paraId="4C4EBBBB" w14:textId="18F00D30" w:rsidR="00FB6710" w:rsidRPr="00183B5F" w:rsidRDefault="00943743" w:rsidP="004062FE">
      <w:pPr>
        <w:spacing w:line="240" w:lineRule="auto"/>
        <w:rPr>
          <w:del w:id="3992" w:author="AbbVie_HU_03" w:date="2025-05-14T15:27:00Z"/>
          <w:szCs w:val="22"/>
        </w:rPr>
      </w:pPr>
      <w:del w:id="3993" w:author="AbbVie_HU_03" w:date="2025-05-14T15:27:00Z">
        <w:r w:rsidRPr="00183B5F">
          <w:rPr>
            <w:szCs w:val="22"/>
          </w:rPr>
          <w:delText xml:space="preserve">Az indukciós kezelést követően a javasolt adag 40 mg minden második héten, subcután injekcióban. Ha a betegnél abbahagyták a Humira alkalmazását, és kiújulnak a betegség okozta </w:delText>
        </w:r>
        <w:r w:rsidR="00D02F61" w:rsidRPr="00183B5F">
          <w:rPr>
            <w:szCs w:val="22"/>
          </w:rPr>
          <w:delText xml:space="preserve">jelek </w:delText>
        </w:r>
        <w:r w:rsidRPr="00183B5F">
          <w:rPr>
            <w:szCs w:val="22"/>
          </w:rPr>
          <w:delText>és tünetek, újrakezdhető a Humira adása. Kevés a tapasztalat a kezelés újrakezdésével, ha az előző dózis beadása után 8</w:delText>
        </w:r>
        <w:r w:rsidR="00A44DB6" w:rsidRPr="00183B5F">
          <w:rPr>
            <w:szCs w:val="22"/>
          </w:rPr>
          <w:delText> hét</w:delText>
        </w:r>
        <w:r w:rsidRPr="00183B5F">
          <w:rPr>
            <w:szCs w:val="22"/>
          </w:rPr>
          <w:delText>nél hosszabb idő telt el.</w:delText>
        </w:r>
      </w:del>
    </w:p>
    <w:p w14:paraId="0384C14A" w14:textId="4C36A6FB" w:rsidR="00FB6710" w:rsidRPr="00183B5F" w:rsidRDefault="00FB6710" w:rsidP="004062FE">
      <w:pPr>
        <w:spacing w:line="240" w:lineRule="auto"/>
        <w:rPr>
          <w:del w:id="3994" w:author="AbbVie_HU_03" w:date="2025-05-14T15:27:00Z"/>
          <w:szCs w:val="22"/>
        </w:rPr>
      </w:pPr>
    </w:p>
    <w:p w14:paraId="16F7EAE2" w14:textId="2D8D09B5" w:rsidR="00FB6710" w:rsidRPr="00183B5F" w:rsidRDefault="00943743" w:rsidP="004062FE">
      <w:pPr>
        <w:spacing w:line="240" w:lineRule="auto"/>
        <w:rPr>
          <w:del w:id="3995" w:author="AbbVie_HU_03" w:date="2025-05-14T15:27:00Z"/>
          <w:szCs w:val="22"/>
        </w:rPr>
      </w:pPr>
      <w:del w:id="3996" w:author="AbbVie_HU_03" w:date="2025-05-14T15:27:00Z">
        <w:r w:rsidRPr="00183B5F">
          <w:rPr>
            <w:szCs w:val="22"/>
          </w:rPr>
          <w:delText>A fenntartó kezelés során a kortikoszteroidokat a klinikai irányelvekkel összhangban fokozatosan csökkenteni lehet.</w:delText>
        </w:r>
      </w:del>
    </w:p>
    <w:p w14:paraId="3FFAA004" w14:textId="16BA2C64" w:rsidR="009C2511" w:rsidRPr="00183B5F" w:rsidRDefault="009C2511" w:rsidP="004062FE">
      <w:pPr>
        <w:spacing w:line="240" w:lineRule="auto"/>
        <w:rPr>
          <w:del w:id="3997" w:author="AbbVie_HU_03" w:date="2025-05-14T15:27:00Z"/>
          <w:szCs w:val="22"/>
        </w:rPr>
      </w:pPr>
    </w:p>
    <w:p w14:paraId="0CD990F9" w14:textId="6C4A964D" w:rsidR="00FB6710" w:rsidRPr="00183B5F" w:rsidRDefault="00943743" w:rsidP="004062FE">
      <w:pPr>
        <w:spacing w:line="240" w:lineRule="auto"/>
        <w:rPr>
          <w:del w:id="3998" w:author="AbbVie_HU_03" w:date="2025-05-14T15:27:00Z"/>
          <w:szCs w:val="22"/>
        </w:rPr>
      </w:pPr>
      <w:del w:id="3999" w:author="AbbVie_HU_03" w:date="2025-05-14T15:27:00Z">
        <w:r w:rsidRPr="00183B5F">
          <w:rPr>
            <w:szCs w:val="22"/>
          </w:rPr>
          <w:delText>Azoknál a betegeknél, akiknél csökken a</w:delText>
        </w:r>
        <w:r w:rsidR="00D139FE" w:rsidRPr="00183B5F">
          <w:rPr>
            <w:szCs w:val="22"/>
          </w:rPr>
          <w:delText xml:space="preserve"> </w:delText>
        </w:r>
        <w:r w:rsidR="00C35B94" w:rsidRPr="00183B5F">
          <w:rPr>
            <w:szCs w:val="22"/>
          </w:rPr>
          <w:delText xml:space="preserve">minden második héten alkalmazott 40 mg Humira mellett a </w:delText>
        </w:r>
        <w:r w:rsidRPr="00183B5F">
          <w:rPr>
            <w:szCs w:val="22"/>
          </w:rPr>
          <w:delText xml:space="preserve">terápiás hatás, előnyös lehet a Humira </w:delText>
        </w:r>
        <w:r w:rsidR="00FD6F96" w:rsidRPr="00183B5F">
          <w:rPr>
            <w:szCs w:val="22"/>
          </w:rPr>
          <w:delText>adag</w:delText>
        </w:r>
        <w:r w:rsidR="00D139FE" w:rsidRPr="00183B5F">
          <w:rPr>
            <w:szCs w:val="22"/>
          </w:rPr>
          <w:delText>ját</w:delText>
        </w:r>
        <w:r w:rsidR="00A94C7C" w:rsidRPr="00183B5F">
          <w:rPr>
            <w:szCs w:val="22"/>
          </w:rPr>
          <w:delText xml:space="preserve"> </w:delText>
        </w:r>
        <w:r w:rsidRPr="00183B5F">
          <w:rPr>
            <w:szCs w:val="22"/>
          </w:rPr>
          <w:delText>heti 40 mg</w:delText>
        </w:r>
        <w:r w:rsidR="00E5381A" w:rsidRPr="00183B5F">
          <w:rPr>
            <w:szCs w:val="22"/>
          </w:rPr>
          <w:noBreakHyphen/>
        </w:r>
        <w:r w:rsidRPr="00183B5F">
          <w:rPr>
            <w:szCs w:val="22"/>
          </w:rPr>
          <w:delText xml:space="preserve">ra </w:delText>
        </w:r>
        <w:r w:rsidR="00D139FE" w:rsidRPr="00183B5F">
          <w:rPr>
            <w:szCs w:val="22"/>
          </w:rPr>
          <w:delText>vagy kéthetente 80 mg</w:delText>
        </w:r>
        <w:r w:rsidR="00CE0694" w:rsidRPr="00183B5F">
          <w:rPr>
            <w:szCs w:val="22"/>
          </w:rPr>
          <w:noBreakHyphen/>
        </w:r>
        <w:r w:rsidR="00D139FE" w:rsidRPr="00183B5F">
          <w:rPr>
            <w:szCs w:val="22"/>
          </w:rPr>
          <w:delText xml:space="preserve">ra </w:delText>
        </w:r>
        <w:r w:rsidRPr="00183B5F">
          <w:rPr>
            <w:szCs w:val="22"/>
          </w:rPr>
          <w:delText>emelni.</w:delText>
        </w:r>
      </w:del>
    </w:p>
    <w:p w14:paraId="119B59EE" w14:textId="0474FD9D" w:rsidR="00FB6710" w:rsidRPr="00183B5F" w:rsidRDefault="00FB6710" w:rsidP="004062FE">
      <w:pPr>
        <w:spacing w:line="240" w:lineRule="auto"/>
        <w:rPr>
          <w:del w:id="4000" w:author="AbbVie_HU_03" w:date="2025-05-14T15:27:00Z"/>
          <w:szCs w:val="22"/>
        </w:rPr>
      </w:pPr>
    </w:p>
    <w:p w14:paraId="0FD5BF27" w14:textId="01EB7E92" w:rsidR="00FB6710" w:rsidRPr="00183B5F" w:rsidRDefault="00943743" w:rsidP="004062FE">
      <w:pPr>
        <w:spacing w:line="240" w:lineRule="auto"/>
        <w:rPr>
          <w:del w:id="4001" w:author="AbbVie_HU_03" w:date="2025-05-14T15:27:00Z"/>
          <w:szCs w:val="22"/>
        </w:rPr>
      </w:pPr>
      <w:del w:id="4002" w:author="AbbVie_HU_03" w:date="2025-05-14T15:27:00Z">
        <w:r w:rsidRPr="00183B5F">
          <w:rPr>
            <w:szCs w:val="22"/>
          </w:rPr>
          <w:delText>Azoknál a betegeknél, akiknél a kezelés 4.</w:delText>
        </w:r>
        <w:r w:rsidR="00EC7FD1" w:rsidRPr="00183B5F">
          <w:rPr>
            <w:szCs w:val="22"/>
          </w:rPr>
          <w:delText> </w:delText>
        </w:r>
        <w:r w:rsidRPr="00183B5F">
          <w:rPr>
            <w:szCs w:val="22"/>
          </w:rPr>
          <w:delText>hetéig nem jelentkezik terápiás hatás, előnyös lehet a fenntartó kezelést folytatása a 12.</w:delText>
        </w:r>
        <w:r w:rsidR="00A44DB6" w:rsidRPr="00183B5F">
          <w:rPr>
            <w:szCs w:val="22"/>
          </w:rPr>
          <w:delText> hét</w:delText>
        </w:r>
        <w:r w:rsidRPr="00183B5F">
          <w:rPr>
            <w:szCs w:val="22"/>
          </w:rPr>
          <w:delText>ig. A kezelésre ennyi idő alatt sem reagáló betegek esetében körültekintően át kell gondolni a terápia folytatását.</w:delText>
        </w:r>
      </w:del>
    </w:p>
    <w:p w14:paraId="1612FDC8" w14:textId="42634E74" w:rsidR="003F00D9" w:rsidRPr="00183B5F" w:rsidRDefault="003F00D9" w:rsidP="004062FE">
      <w:pPr>
        <w:spacing w:line="240" w:lineRule="auto"/>
        <w:rPr>
          <w:del w:id="4003" w:author="AbbVie_HU_03" w:date="2025-05-14T15:27:00Z"/>
          <w:szCs w:val="22"/>
        </w:rPr>
      </w:pPr>
    </w:p>
    <w:p w14:paraId="719EA77D" w14:textId="11DD9120" w:rsidR="003F00D9" w:rsidRPr="00183B5F" w:rsidRDefault="00943743" w:rsidP="004062FE">
      <w:pPr>
        <w:spacing w:line="240" w:lineRule="auto"/>
        <w:rPr>
          <w:del w:id="4004" w:author="AbbVie_HU_03" w:date="2025-05-14T15:27:00Z"/>
          <w:szCs w:val="22"/>
        </w:rPr>
      </w:pPr>
      <w:del w:id="4005" w:author="AbbVie_HU_03" w:date="2025-05-14T15:27:00Z">
        <w:r w:rsidRPr="00183B5F">
          <w:rPr>
            <w:szCs w:val="22"/>
          </w:rPr>
          <w:delText>A Humira más hatáserősségben és/vagy kiszerelésben is elérhető az egyéni terápiás igényeknek megfelelően.</w:delText>
        </w:r>
      </w:del>
    </w:p>
    <w:p w14:paraId="6E8C4B56" w14:textId="7C1527E7" w:rsidR="00EC7FD1" w:rsidRPr="00183B5F" w:rsidRDefault="00EC7FD1" w:rsidP="004062FE">
      <w:pPr>
        <w:spacing w:line="240" w:lineRule="auto"/>
        <w:rPr>
          <w:del w:id="4006" w:author="AbbVie_HU_03" w:date="2025-05-14T15:27:00Z"/>
          <w:szCs w:val="22"/>
          <w:u w:val="single"/>
        </w:rPr>
      </w:pPr>
    </w:p>
    <w:p w14:paraId="173315DC" w14:textId="2E023590" w:rsidR="00A94C7C" w:rsidRPr="00183B5F" w:rsidRDefault="00943743" w:rsidP="004062FE">
      <w:pPr>
        <w:spacing w:line="240" w:lineRule="auto"/>
        <w:rPr>
          <w:del w:id="4007" w:author="AbbVie_HU_03" w:date="2025-05-14T15:27:00Z"/>
          <w:i/>
          <w:szCs w:val="22"/>
        </w:rPr>
      </w:pPr>
      <w:del w:id="4008" w:author="AbbVie_HU_03" w:date="2025-05-14T15:27:00Z">
        <w:r w:rsidRPr="00183B5F">
          <w:rPr>
            <w:i/>
            <w:szCs w:val="22"/>
          </w:rPr>
          <w:delText>Colitis ulcerosa</w:delText>
        </w:r>
      </w:del>
    </w:p>
    <w:p w14:paraId="1DDA56E4" w14:textId="25CD9C7F" w:rsidR="00A94C7C" w:rsidRPr="00183B5F" w:rsidRDefault="00A94C7C" w:rsidP="004062FE">
      <w:pPr>
        <w:spacing w:line="240" w:lineRule="auto"/>
        <w:rPr>
          <w:del w:id="4009" w:author="AbbVie_HU_03" w:date="2025-05-14T15:27:00Z"/>
          <w:szCs w:val="22"/>
        </w:rPr>
      </w:pPr>
    </w:p>
    <w:p w14:paraId="5C44249F" w14:textId="1D8991CB" w:rsidR="00C277C7" w:rsidRPr="00183B5F" w:rsidRDefault="00943743" w:rsidP="004062FE">
      <w:pPr>
        <w:spacing w:line="240" w:lineRule="auto"/>
        <w:rPr>
          <w:del w:id="4010" w:author="AbbVie_HU_03" w:date="2025-05-14T15:27:00Z"/>
          <w:szCs w:val="22"/>
        </w:rPr>
      </w:pPr>
      <w:del w:id="4011" w:author="AbbVie_HU_03" w:date="2025-05-14T15:27:00Z">
        <w:r w:rsidRPr="00183B5F">
          <w:rPr>
            <w:szCs w:val="22"/>
          </w:rPr>
          <w:delText>A Humira javasolt adagolása köz</w:delText>
        </w:r>
        <w:r w:rsidR="00DA33F0" w:rsidRPr="00183B5F">
          <w:rPr>
            <w:szCs w:val="22"/>
          </w:rPr>
          <w:delText xml:space="preserve">epesen </w:delText>
        </w:r>
        <w:r w:rsidRPr="00183B5F">
          <w:rPr>
            <w:szCs w:val="22"/>
          </w:rPr>
          <w:delText>súlyos-súlyos colitis ulcerosában szenvedő felnőttek indukciós kezelésére 160 mg a 0.</w:delText>
        </w:r>
        <w:r w:rsidR="00A44DB6" w:rsidRPr="00183B5F">
          <w:rPr>
            <w:szCs w:val="22"/>
          </w:rPr>
          <w:delText> hét</w:delText>
        </w:r>
        <w:r w:rsidRPr="00183B5F">
          <w:rPr>
            <w:szCs w:val="22"/>
          </w:rPr>
          <w:delText>en (</w:delText>
        </w:r>
        <w:r w:rsidR="00D139FE" w:rsidRPr="00183B5F">
          <w:rPr>
            <w:szCs w:val="22"/>
          </w:rPr>
          <w:delText>négy</w:delText>
        </w:r>
        <w:r w:rsidRPr="00183B5F">
          <w:rPr>
            <w:szCs w:val="22"/>
          </w:rPr>
          <w:delText xml:space="preserve"> </w:delText>
        </w:r>
        <w:r w:rsidR="00824F0F" w:rsidRPr="00183B5F">
          <w:rPr>
            <w:szCs w:val="22"/>
          </w:rPr>
          <w:delText>40 mg</w:delText>
        </w:r>
        <w:r w:rsidR="00824F0F" w:rsidRPr="00183B5F">
          <w:rPr>
            <w:szCs w:val="22"/>
          </w:rPr>
          <w:noBreakHyphen/>
          <w:delText xml:space="preserve">os </w:delText>
        </w:r>
        <w:r w:rsidRPr="00183B5F">
          <w:rPr>
            <w:szCs w:val="22"/>
          </w:rPr>
          <w:delText>injekcióban</w:delText>
        </w:r>
        <w:r w:rsidR="00D17A18" w:rsidRPr="00183B5F">
          <w:rPr>
            <w:szCs w:val="22"/>
          </w:rPr>
          <w:delText xml:space="preserve"> beadva</w:delText>
        </w:r>
        <w:r w:rsidRPr="00183B5F">
          <w:rPr>
            <w:szCs w:val="22"/>
          </w:rPr>
          <w:delText xml:space="preserve"> egyetlen napon vagy napi </w:delText>
        </w:r>
        <w:r w:rsidR="00D139FE" w:rsidRPr="00183B5F">
          <w:rPr>
            <w:szCs w:val="22"/>
          </w:rPr>
          <w:delText>két</w:delText>
        </w:r>
        <w:r w:rsidRPr="00183B5F">
          <w:rPr>
            <w:szCs w:val="22"/>
          </w:rPr>
          <w:delText xml:space="preserve"> </w:delText>
        </w:r>
        <w:r w:rsidR="00824F0F" w:rsidRPr="00183B5F">
          <w:rPr>
            <w:szCs w:val="22"/>
          </w:rPr>
          <w:delText>40 mg</w:delText>
        </w:r>
        <w:r w:rsidR="00824F0F" w:rsidRPr="00183B5F">
          <w:rPr>
            <w:szCs w:val="22"/>
          </w:rPr>
          <w:noBreakHyphen/>
          <w:delText xml:space="preserve">os </w:delText>
        </w:r>
        <w:r w:rsidRPr="00183B5F">
          <w:rPr>
            <w:szCs w:val="22"/>
          </w:rPr>
          <w:delText>injekcióban két egymást követő napon), majd 80 mg a 2.</w:delText>
        </w:r>
        <w:r w:rsidR="00A44DB6" w:rsidRPr="00183B5F">
          <w:rPr>
            <w:szCs w:val="22"/>
          </w:rPr>
          <w:delText> </w:delText>
        </w:r>
        <w:r w:rsidR="00D17A18" w:rsidRPr="00183B5F">
          <w:rPr>
            <w:szCs w:val="22"/>
          </w:rPr>
          <w:delText>h</w:delText>
        </w:r>
        <w:r w:rsidR="00A44DB6" w:rsidRPr="00183B5F">
          <w:rPr>
            <w:szCs w:val="22"/>
          </w:rPr>
          <w:delText>ét</w:delText>
        </w:r>
        <w:r w:rsidRPr="00183B5F">
          <w:rPr>
            <w:szCs w:val="22"/>
          </w:rPr>
          <w:delText>en</w:delText>
        </w:r>
        <w:r w:rsidR="00D17A18" w:rsidRPr="00183B5F">
          <w:rPr>
            <w:szCs w:val="22"/>
          </w:rPr>
          <w:delText xml:space="preserve"> (két 40 mg</w:delText>
        </w:r>
        <w:r w:rsidR="00CE0694" w:rsidRPr="00183B5F">
          <w:rPr>
            <w:szCs w:val="22"/>
          </w:rPr>
          <w:noBreakHyphen/>
        </w:r>
        <w:r w:rsidR="00D17A18" w:rsidRPr="00183B5F">
          <w:rPr>
            <w:szCs w:val="22"/>
          </w:rPr>
          <w:delText>os injekcióban beadva egyetlen napon)</w:delText>
        </w:r>
        <w:r w:rsidRPr="00183B5F">
          <w:rPr>
            <w:szCs w:val="22"/>
          </w:rPr>
          <w:delText>. Az indukciós kezelést követően a javasolt adag 40 mg minden második héten, subcutan injekcióban.</w:delText>
        </w:r>
      </w:del>
    </w:p>
    <w:p w14:paraId="3D3DBFA7" w14:textId="41AAE6D2" w:rsidR="00C277C7" w:rsidRPr="00183B5F" w:rsidRDefault="00C277C7" w:rsidP="004062FE">
      <w:pPr>
        <w:spacing w:line="240" w:lineRule="auto"/>
        <w:rPr>
          <w:del w:id="4012" w:author="AbbVie_HU_03" w:date="2025-05-14T15:27:00Z"/>
          <w:szCs w:val="22"/>
        </w:rPr>
      </w:pPr>
    </w:p>
    <w:p w14:paraId="04EE45FC" w14:textId="64E0D1D0" w:rsidR="00C277C7" w:rsidRPr="00183B5F" w:rsidRDefault="00943743" w:rsidP="004062FE">
      <w:pPr>
        <w:spacing w:line="240" w:lineRule="auto"/>
        <w:rPr>
          <w:del w:id="4013" w:author="AbbVie_HU_03" w:date="2025-05-14T15:27:00Z"/>
          <w:szCs w:val="22"/>
        </w:rPr>
      </w:pPr>
      <w:del w:id="4014" w:author="AbbVie_HU_03" w:date="2025-05-14T15:27:00Z">
        <w:r w:rsidRPr="00183B5F">
          <w:rPr>
            <w:szCs w:val="22"/>
          </w:rPr>
          <w:delText>A fenntartó kezelés során a kortikoszteroidokat a klinikai irányelvekkel összhangban fokozatosan csökkenteni lehet.</w:delText>
        </w:r>
      </w:del>
    </w:p>
    <w:p w14:paraId="43FF7FA1" w14:textId="1FDDF8B3" w:rsidR="00C277C7" w:rsidRPr="00183B5F" w:rsidRDefault="00C277C7" w:rsidP="004062FE">
      <w:pPr>
        <w:spacing w:line="240" w:lineRule="auto"/>
        <w:rPr>
          <w:del w:id="4015" w:author="AbbVie_HU_03" w:date="2025-05-14T15:27:00Z"/>
          <w:szCs w:val="22"/>
        </w:rPr>
      </w:pPr>
    </w:p>
    <w:p w14:paraId="3BD02E56" w14:textId="6E5196A3" w:rsidR="00C277C7" w:rsidRPr="00183B5F" w:rsidRDefault="00943743" w:rsidP="004062FE">
      <w:pPr>
        <w:spacing w:line="240" w:lineRule="auto"/>
        <w:rPr>
          <w:del w:id="4016" w:author="AbbVie_HU_03" w:date="2025-05-14T15:27:00Z"/>
          <w:szCs w:val="22"/>
        </w:rPr>
      </w:pPr>
      <w:del w:id="4017" w:author="AbbVie_HU_03" w:date="2025-05-14T15:27:00Z">
        <w:r w:rsidRPr="00183B5F">
          <w:rPr>
            <w:szCs w:val="22"/>
          </w:rPr>
          <w:delText>Azoknál a betegeknél, akiknél csökken</w:delText>
        </w:r>
        <w:r w:rsidR="00D17A18" w:rsidRPr="00183B5F">
          <w:rPr>
            <w:szCs w:val="22"/>
          </w:rPr>
          <w:delText xml:space="preserve"> a </w:delText>
        </w:r>
        <w:r w:rsidR="00C35B94" w:rsidRPr="00183B5F">
          <w:rPr>
            <w:szCs w:val="22"/>
          </w:rPr>
          <w:delText xml:space="preserve">minden második héten alkalmazott 40 mg Humira mellett a </w:delText>
        </w:r>
        <w:r w:rsidRPr="00183B5F">
          <w:rPr>
            <w:szCs w:val="22"/>
          </w:rPr>
          <w:delText xml:space="preserve">terápiás hatás, előnyös lehet a Humira </w:delText>
        </w:r>
        <w:r w:rsidR="00FD6F96" w:rsidRPr="00183B5F">
          <w:rPr>
            <w:szCs w:val="22"/>
          </w:rPr>
          <w:delText>adag</w:delText>
        </w:r>
        <w:r w:rsidR="00D17A18" w:rsidRPr="00183B5F">
          <w:rPr>
            <w:szCs w:val="22"/>
          </w:rPr>
          <w:delText>ját</w:delText>
        </w:r>
        <w:r w:rsidRPr="00183B5F">
          <w:rPr>
            <w:szCs w:val="22"/>
          </w:rPr>
          <w:delText xml:space="preserve"> heti 40 mg</w:delText>
        </w:r>
        <w:r w:rsidR="00E5381A" w:rsidRPr="00183B5F">
          <w:rPr>
            <w:szCs w:val="22"/>
          </w:rPr>
          <w:noBreakHyphen/>
        </w:r>
        <w:r w:rsidRPr="00183B5F">
          <w:rPr>
            <w:szCs w:val="22"/>
          </w:rPr>
          <w:delText>ra</w:delText>
        </w:r>
        <w:r w:rsidR="00D17A18" w:rsidRPr="00183B5F">
          <w:rPr>
            <w:szCs w:val="22"/>
          </w:rPr>
          <w:delText xml:space="preserve"> vagy kéthetente 80 mg</w:delText>
        </w:r>
        <w:r w:rsidR="00CE0694" w:rsidRPr="00183B5F">
          <w:rPr>
            <w:szCs w:val="22"/>
          </w:rPr>
          <w:noBreakHyphen/>
        </w:r>
        <w:r w:rsidR="00D17A18" w:rsidRPr="00183B5F">
          <w:rPr>
            <w:szCs w:val="22"/>
          </w:rPr>
          <w:delText>ra</w:delText>
        </w:r>
        <w:r w:rsidRPr="00183B5F">
          <w:rPr>
            <w:szCs w:val="22"/>
          </w:rPr>
          <w:delText xml:space="preserve"> emelni.</w:delText>
        </w:r>
      </w:del>
    </w:p>
    <w:p w14:paraId="3C8E73D5" w14:textId="43C4BCA3" w:rsidR="00A94C7C" w:rsidRPr="00183B5F" w:rsidRDefault="00943743" w:rsidP="004062FE">
      <w:pPr>
        <w:spacing w:line="240" w:lineRule="auto"/>
        <w:rPr>
          <w:del w:id="4018" w:author="AbbVie_HU_03" w:date="2025-05-14T15:27:00Z"/>
          <w:szCs w:val="22"/>
        </w:rPr>
      </w:pPr>
      <w:del w:id="4019" w:author="AbbVie_HU_03" w:date="2025-05-14T15:27:00Z">
        <w:r w:rsidRPr="00183B5F">
          <w:rPr>
            <w:szCs w:val="22"/>
          </w:rPr>
          <w:delText>A rendelkezésre álló adatok alapján a kezelésre adott klinikai választ általában 2-8</w:delText>
        </w:r>
        <w:r w:rsidR="00A44DB6" w:rsidRPr="00183B5F">
          <w:rPr>
            <w:szCs w:val="22"/>
          </w:rPr>
          <w:delText> hét</w:delText>
        </w:r>
        <w:r w:rsidRPr="00183B5F">
          <w:rPr>
            <w:szCs w:val="22"/>
          </w:rPr>
          <w:delText xml:space="preserve">en belül elérik. </w:delText>
        </w:r>
        <w:r w:rsidR="00E62CDB" w:rsidRPr="00183B5F">
          <w:rPr>
            <w:szCs w:val="22"/>
          </w:rPr>
          <w:delText>Azo</w:delText>
        </w:r>
        <w:r w:rsidR="00673846" w:rsidRPr="00183B5F">
          <w:rPr>
            <w:szCs w:val="22"/>
          </w:rPr>
          <w:delText>knál a</w:delText>
        </w:r>
        <w:r w:rsidRPr="00183B5F">
          <w:rPr>
            <w:szCs w:val="22"/>
          </w:rPr>
          <w:delText xml:space="preserve"> betegeknél, akik nem </w:delText>
        </w:r>
        <w:r w:rsidR="00D356E6" w:rsidRPr="00183B5F">
          <w:rPr>
            <w:szCs w:val="22"/>
          </w:rPr>
          <w:delText>reagálnak</w:delText>
        </w:r>
        <w:r w:rsidR="00673846" w:rsidRPr="00183B5F">
          <w:rPr>
            <w:szCs w:val="22"/>
          </w:rPr>
          <w:delText xml:space="preserve"> ennyi idő alatt a terápiára</w:delText>
        </w:r>
        <w:r w:rsidRPr="00183B5F">
          <w:rPr>
            <w:szCs w:val="22"/>
          </w:rPr>
          <w:delText>, a Humira</w:delText>
        </w:r>
        <w:r w:rsidR="005E4243" w:rsidRPr="00183B5F">
          <w:rPr>
            <w:szCs w:val="22"/>
          </w:rPr>
          <w:noBreakHyphen/>
        </w:r>
        <w:r w:rsidRPr="00183B5F">
          <w:rPr>
            <w:szCs w:val="22"/>
          </w:rPr>
          <w:delText>kezelés folytatása nem javasolt.</w:delText>
        </w:r>
      </w:del>
    </w:p>
    <w:p w14:paraId="3FFE7D02" w14:textId="6D858377" w:rsidR="003F00D9" w:rsidRPr="00183B5F" w:rsidRDefault="003F00D9" w:rsidP="004062FE">
      <w:pPr>
        <w:spacing w:line="240" w:lineRule="auto"/>
        <w:rPr>
          <w:del w:id="4020" w:author="AbbVie_HU_03" w:date="2025-05-14T15:27:00Z"/>
          <w:szCs w:val="22"/>
        </w:rPr>
      </w:pPr>
    </w:p>
    <w:p w14:paraId="210E8C45" w14:textId="55824FC2" w:rsidR="00FB6710" w:rsidRPr="00183B5F" w:rsidRDefault="00943743" w:rsidP="004062FE">
      <w:pPr>
        <w:spacing w:line="240" w:lineRule="auto"/>
        <w:rPr>
          <w:del w:id="4021" w:author="AbbVie_HU_03" w:date="2025-05-14T15:27:00Z"/>
          <w:szCs w:val="22"/>
        </w:rPr>
      </w:pPr>
      <w:del w:id="4022" w:author="AbbVie_HU_03" w:date="2025-05-14T15:27:00Z">
        <w:r w:rsidRPr="00183B5F">
          <w:rPr>
            <w:szCs w:val="22"/>
          </w:rPr>
          <w:delText>A Humira más hatáserősségben és/vagy kiszerelésben is elérhető az egyéni terápiás igényeknek megfelelően.</w:delText>
        </w:r>
      </w:del>
    </w:p>
    <w:p w14:paraId="4628050A" w14:textId="033AA072" w:rsidR="003F00D9" w:rsidRPr="00183B5F" w:rsidRDefault="003F00D9" w:rsidP="004062FE">
      <w:pPr>
        <w:spacing w:line="240" w:lineRule="auto"/>
        <w:rPr>
          <w:del w:id="4023" w:author="AbbVie_HU_03" w:date="2025-05-14T15:27:00Z"/>
          <w:szCs w:val="22"/>
        </w:rPr>
      </w:pPr>
    </w:p>
    <w:p w14:paraId="08561F89" w14:textId="0F09A4D6" w:rsidR="004C6C18" w:rsidRPr="00183B5F" w:rsidRDefault="00943743" w:rsidP="004062FE">
      <w:pPr>
        <w:spacing w:line="240" w:lineRule="auto"/>
        <w:rPr>
          <w:del w:id="4024" w:author="AbbVie_HU_03" w:date="2025-05-14T15:27:00Z"/>
          <w:i/>
          <w:szCs w:val="22"/>
        </w:rPr>
      </w:pPr>
      <w:del w:id="4025" w:author="AbbVie_HU_03" w:date="2025-05-14T15:27:00Z">
        <w:r w:rsidRPr="00183B5F">
          <w:rPr>
            <w:i/>
            <w:szCs w:val="22"/>
          </w:rPr>
          <w:delText>Uveitis</w:delText>
        </w:r>
      </w:del>
    </w:p>
    <w:p w14:paraId="6B048882" w14:textId="00056A4E" w:rsidR="004C6C18" w:rsidRPr="00183B5F" w:rsidRDefault="004C6C18" w:rsidP="004062FE">
      <w:pPr>
        <w:spacing w:line="240" w:lineRule="auto"/>
        <w:rPr>
          <w:del w:id="4026" w:author="AbbVie_HU_03" w:date="2025-05-14T15:27:00Z"/>
          <w:szCs w:val="22"/>
        </w:rPr>
      </w:pPr>
    </w:p>
    <w:p w14:paraId="27F5D6D8" w14:textId="2484115E" w:rsidR="004C6C18" w:rsidRPr="00183B5F" w:rsidRDefault="00943743" w:rsidP="004062FE">
      <w:pPr>
        <w:spacing w:line="240" w:lineRule="auto"/>
        <w:rPr>
          <w:del w:id="4027" w:author="AbbVie_HU_03" w:date="2025-05-14T15:27:00Z"/>
          <w:szCs w:val="22"/>
        </w:rPr>
      </w:pPr>
      <w:del w:id="4028" w:author="AbbVie_HU_03" w:date="2025-05-14T15:27:00Z">
        <w:r w:rsidRPr="00183B5F">
          <w:rPr>
            <w:szCs w:val="22"/>
          </w:rPr>
          <w:delText>A Humira javasolt adagja uveiti</w:delText>
        </w:r>
        <w:r w:rsidR="009F31FA" w:rsidRPr="00183B5F">
          <w:rPr>
            <w:szCs w:val="22"/>
          </w:rPr>
          <w:delText>sben szenvedő felnőtt betegeknél</w:delText>
        </w:r>
        <w:r w:rsidR="00187ABC" w:rsidRPr="00183B5F">
          <w:rPr>
            <w:szCs w:val="22"/>
          </w:rPr>
          <w:delText>:</w:delText>
        </w:r>
        <w:r w:rsidRPr="00183B5F">
          <w:rPr>
            <w:szCs w:val="22"/>
          </w:rPr>
          <w:delText xml:space="preserve"> </w:delText>
        </w:r>
        <w:r w:rsidR="009F31FA" w:rsidRPr="00183B5F">
          <w:rPr>
            <w:szCs w:val="22"/>
          </w:rPr>
          <w:delText xml:space="preserve">a kezdő dózis </w:delText>
        </w:r>
        <w:r w:rsidRPr="00183B5F">
          <w:rPr>
            <w:szCs w:val="22"/>
          </w:rPr>
          <w:delText>80 mg, melyet</w:delText>
        </w:r>
        <w:r w:rsidR="009F31FA" w:rsidRPr="00183B5F">
          <w:rPr>
            <w:szCs w:val="22"/>
          </w:rPr>
          <w:delText xml:space="preserve"> a kezdő adag </w:delText>
        </w:r>
        <w:r w:rsidR="00AC4959" w:rsidRPr="00183B5F">
          <w:rPr>
            <w:szCs w:val="22"/>
          </w:rPr>
          <w:delText xml:space="preserve">beadásától számított egy hét múlva </w:delText>
        </w:r>
        <w:r w:rsidR="009F31FA" w:rsidRPr="00183B5F">
          <w:rPr>
            <w:szCs w:val="22"/>
          </w:rPr>
          <w:delText xml:space="preserve">minden második héten </w:delText>
        </w:r>
        <w:r w:rsidR="00AC4959" w:rsidRPr="00183B5F">
          <w:rPr>
            <w:szCs w:val="22"/>
          </w:rPr>
          <w:delText>be</w:delText>
        </w:r>
        <w:r w:rsidR="009F31FA" w:rsidRPr="00183B5F">
          <w:rPr>
            <w:szCs w:val="22"/>
          </w:rPr>
          <w:delText xml:space="preserve">adott </w:delText>
        </w:r>
        <w:r w:rsidRPr="00183B5F">
          <w:rPr>
            <w:szCs w:val="22"/>
          </w:rPr>
          <w:delText>40 mg</w:delText>
        </w:r>
        <w:r w:rsidR="009F31FA" w:rsidRPr="00183B5F">
          <w:rPr>
            <w:szCs w:val="22"/>
          </w:rPr>
          <w:delText xml:space="preserve"> követ. </w:delText>
        </w:r>
        <w:r w:rsidR="00AD347E" w:rsidRPr="00183B5F">
          <w:rPr>
            <w:szCs w:val="22"/>
          </w:rPr>
          <w:delText>Korlátozott tapasztalat áll rendelkezésre a Humira</w:delText>
        </w:r>
        <w:r w:rsidR="00AD347E" w:rsidRPr="00183B5F">
          <w:rPr>
            <w:szCs w:val="22"/>
          </w:rPr>
          <w:noBreakHyphen/>
          <w:delText>kezelés monoterápiában történő megkezdésével kapcsolatban</w:delText>
        </w:r>
        <w:r w:rsidR="004749E3" w:rsidRPr="00183B5F">
          <w:rPr>
            <w:szCs w:val="22"/>
          </w:rPr>
          <w:delText>. A Humira</w:delText>
        </w:r>
        <w:r w:rsidR="004749E3" w:rsidRPr="00183B5F">
          <w:rPr>
            <w:szCs w:val="22"/>
          </w:rPr>
          <w:noBreakHyphen/>
          <w:delText xml:space="preserve">val való kezelés </w:delText>
        </w:r>
        <w:r w:rsidR="00AD347E" w:rsidRPr="00183B5F">
          <w:rPr>
            <w:szCs w:val="22"/>
          </w:rPr>
          <w:delText>meg</w:delText>
        </w:r>
        <w:r w:rsidR="004749E3" w:rsidRPr="00183B5F">
          <w:rPr>
            <w:szCs w:val="22"/>
          </w:rPr>
          <w:delText>kezdhető kortikoszteroiddal és/vagy egyéb</w:delText>
        </w:r>
        <w:r w:rsidR="0062676F" w:rsidRPr="00183B5F">
          <w:rPr>
            <w:szCs w:val="22"/>
          </w:rPr>
          <w:delText>,</w:delText>
        </w:r>
        <w:r w:rsidR="004749E3" w:rsidRPr="00183B5F">
          <w:rPr>
            <w:szCs w:val="22"/>
          </w:rPr>
          <w:delText xml:space="preserve"> nem biológiai immunmodulátor szerrel kombinációban. Az együttadott kortikoszteroid fokozatos dóziscsökkentését</w:delText>
        </w:r>
        <w:r w:rsidR="00AC4959" w:rsidRPr="00183B5F">
          <w:rPr>
            <w:szCs w:val="22"/>
          </w:rPr>
          <w:delText xml:space="preserve"> két héttel a Humira</w:delText>
        </w:r>
        <w:r w:rsidR="00AC4959" w:rsidRPr="00183B5F">
          <w:rPr>
            <w:szCs w:val="22"/>
          </w:rPr>
          <w:noBreakHyphen/>
        </w:r>
        <w:r w:rsidR="004749E3" w:rsidRPr="00183B5F">
          <w:rPr>
            <w:szCs w:val="22"/>
          </w:rPr>
          <w:delText>kezelés elkezdés</w:delText>
        </w:r>
        <w:r w:rsidR="00AC4959" w:rsidRPr="00183B5F">
          <w:rPr>
            <w:szCs w:val="22"/>
          </w:rPr>
          <w:delText xml:space="preserve">e </w:delText>
        </w:r>
        <w:r w:rsidR="004749E3" w:rsidRPr="00183B5F">
          <w:rPr>
            <w:szCs w:val="22"/>
          </w:rPr>
          <w:delText xml:space="preserve">után </w:delText>
        </w:r>
        <w:r w:rsidR="00AC4959" w:rsidRPr="00183B5F">
          <w:rPr>
            <w:szCs w:val="22"/>
          </w:rPr>
          <w:delText xml:space="preserve">lehet </w:delText>
        </w:r>
        <w:r w:rsidR="00AD347E" w:rsidRPr="00183B5F">
          <w:rPr>
            <w:szCs w:val="22"/>
          </w:rPr>
          <w:delText>el</w:delText>
        </w:r>
        <w:r w:rsidR="004749E3" w:rsidRPr="00183B5F">
          <w:rPr>
            <w:szCs w:val="22"/>
          </w:rPr>
          <w:delText>kezdeni, a klinikai gyakorlatnak megfelelően.</w:delText>
        </w:r>
      </w:del>
    </w:p>
    <w:p w14:paraId="1D3FDA70" w14:textId="799B0FA6" w:rsidR="004C6C18" w:rsidRPr="00183B5F" w:rsidRDefault="004C6C18" w:rsidP="004062FE">
      <w:pPr>
        <w:spacing w:line="240" w:lineRule="auto"/>
        <w:rPr>
          <w:del w:id="4029" w:author="AbbVie_HU_03" w:date="2025-05-14T15:27:00Z"/>
          <w:szCs w:val="22"/>
        </w:rPr>
      </w:pPr>
    </w:p>
    <w:p w14:paraId="35ABB67B" w14:textId="4C96C2B7" w:rsidR="00AC4959" w:rsidRPr="00183B5F" w:rsidRDefault="00943743" w:rsidP="004062FE">
      <w:pPr>
        <w:spacing w:line="240" w:lineRule="auto"/>
        <w:rPr>
          <w:del w:id="4030" w:author="AbbVie_HU_03" w:date="2025-05-14T15:27:00Z"/>
          <w:szCs w:val="22"/>
        </w:rPr>
      </w:pPr>
      <w:del w:id="4031" w:author="AbbVie_HU_03" w:date="2025-05-14T15:27:00Z">
        <w:r w:rsidRPr="00183B5F">
          <w:rPr>
            <w:szCs w:val="22"/>
          </w:rPr>
          <w:delText>Javasolt</w:delText>
        </w:r>
        <w:r w:rsidR="00E960EB" w:rsidRPr="00183B5F">
          <w:rPr>
            <w:szCs w:val="22"/>
          </w:rPr>
          <w:delText xml:space="preserve"> a </w:delText>
        </w:r>
        <w:r w:rsidRPr="00183B5F">
          <w:rPr>
            <w:szCs w:val="22"/>
          </w:rPr>
          <w:delText xml:space="preserve">hosszú távú kezelés előnyeinek és kockázatának </w:delText>
        </w:r>
        <w:r w:rsidR="00E960EB" w:rsidRPr="00183B5F">
          <w:rPr>
            <w:szCs w:val="22"/>
          </w:rPr>
          <w:delText>évente</w:delText>
        </w:r>
        <w:r w:rsidRPr="00183B5F">
          <w:rPr>
            <w:szCs w:val="22"/>
          </w:rPr>
          <w:delText xml:space="preserve"> történő </w:delText>
        </w:r>
        <w:r w:rsidR="00E960EB" w:rsidRPr="00183B5F">
          <w:rPr>
            <w:szCs w:val="22"/>
          </w:rPr>
          <w:delText>értékel</w:delText>
        </w:r>
        <w:r w:rsidRPr="00183B5F">
          <w:rPr>
            <w:szCs w:val="22"/>
          </w:rPr>
          <w:delText>ése</w:delText>
        </w:r>
        <w:r w:rsidR="00E960EB" w:rsidRPr="00183B5F">
          <w:rPr>
            <w:szCs w:val="22"/>
          </w:rPr>
          <w:delText xml:space="preserve"> </w:delText>
        </w:r>
        <w:r w:rsidRPr="00183B5F">
          <w:rPr>
            <w:szCs w:val="22"/>
          </w:rPr>
          <w:delText>(lásd 5.1 pont).</w:delText>
        </w:r>
      </w:del>
    </w:p>
    <w:p w14:paraId="17846494" w14:textId="4EB8C7D0" w:rsidR="003F00D9" w:rsidRPr="00183B5F" w:rsidRDefault="003F00D9" w:rsidP="004062FE">
      <w:pPr>
        <w:spacing w:line="240" w:lineRule="auto"/>
        <w:rPr>
          <w:del w:id="4032" w:author="AbbVie_HU_03" w:date="2025-05-14T15:27:00Z"/>
          <w:szCs w:val="22"/>
        </w:rPr>
      </w:pPr>
    </w:p>
    <w:p w14:paraId="4D1337B7" w14:textId="358F7453" w:rsidR="003F00D9" w:rsidRPr="00183B5F" w:rsidRDefault="00943743" w:rsidP="004062FE">
      <w:pPr>
        <w:spacing w:line="240" w:lineRule="auto"/>
        <w:rPr>
          <w:del w:id="4033" w:author="AbbVie_HU_03" w:date="2025-05-14T15:27:00Z"/>
          <w:szCs w:val="22"/>
        </w:rPr>
      </w:pPr>
      <w:del w:id="4034" w:author="AbbVie_HU_03" w:date="2025-05-14T15:27:00Z">
        <w:r w:rsidRPr="00183B5F">
          <w:rPr>
            <w:szCs w:val="22"/>
          </w:rPr>
          <w:delText>A Humira más hatáserősségben és/vagy kiszerelésben is elérhető az egyéni terápiás igényeknek megfelelően.</w:delText>
        </w:r>
      </w:del>
    </w:p>
    <w:p w14:paraId="754D38ED" w14:textId="5B6E617A" w:rsidR="004C6C18" w:rsidRPr="00183B5F" w:rsidRDefault="004C6C18" w:rsidP="004062FE">
      <w:pPr>
        <w:spacing w:line="240" w:lineRule="auto"/>
        <w:rPr>
          <w:del w:id="4035" w:author="AbbVie_HU_03" w:date="2025-05-14T15:27:00Z"/>
          <w:szCs w:val="22"/>
        </w:rPr>
      </w:pPr>
    </w:p>
    <w:p w14:paraId="2E8DC6F2" w14:textId="3D505B90" w:rsidR="009D4252" w:rsidRPr="00183B5F" w:rsidRDefault="00943743" w:rsidP="004062FE">
      <w:pPr>
        <w:keepNext/>
        <w:spacing w:line="240" w:lineRule="auto"/>
        <w:rPr>
          <w:del w:id="4036" w:author="AbbVie_HU_03" w:date="2025-05-14T15:27:00Z"/>
          <w:szCs w:val="22"/>
          <w:u w:val="single"/>
        </w:rPr>
      </w:pPr>
      <w:del w:id="4037" w:author="AbbVie_HU_03" w:date="2025-05-14T15:27:00Z">
        <w:r w:rsidRPr="00183B5F">
          <w:rPr>
            <w:szCs w:val="22"/>
            <w:u w:val="single"/>
          </w:rPr>
          <w:delText>Különleges betegcsoportok</w:delText>
        </w:r>
      </w:del>
    </w:p>
    <w:p w14:paraId="10160CA8" w14:textId="4ED57FB3" w:rsidR="009D4252" w:rsidRPr="00183B5F" w:rsidRDefault="009D4252" w:rsidP="004062FE">
      <w:pPr>
        <w:keepNext/>
        <w:spacing w:line="240" w:lineRule="auto"/>
        <w:rPr>
          <w:del w:id="4038" w:author="AbbVie_HU_03" w:date="2025-05-14T15:27:00Z"/>
          <w:szCs w:val="22"/>
          <w:u w:val="single"/>
        </w:rPr>
      </w:pPr>
    </w:p>
    <w:p w14:paraId="38F03B3C" w14:textId="214CABC8" w:rsidR="002C57C4" w:rsidRPr="00183B5F" w:rsidRDefault="00943743" w:rsidP="004062FE">
      <w:pPr>
        <w:keepNext/>
        <w:spacing w:line="240" w:lineRule="auto"/>
        <w:ind w:left="567" w:hanging="567"/>
        <w:rPr>
          <w:del w:id="4039" w:author="AbbVie_HU_03" w:date="2025-05-14T15:27:00Z"/>
          <w:szCs w:val="22"/>
        </w:rPr>
      </w:pPr>
      <w:del w:id="4040" w:author="AbbVie_HU_03" w:date="2025-05-14T15:27:00Z">
        <w:r w:rsidRPr="00183B5F">
          <w:rPr>
            <w:szCs w:val="22"/>
          </w:rPr>
          <w:delText>Idősek</w:delText>
        </w:r>
      </w:del>
    </w:p>
    <w:p w14:paraId="731D3B18" w14:textId="1566CC55" w:rsidR="00FB6710" w:rsidRPr="00183B5F" w:rsidRDefault="00FB6710" w:rsidP="004062FE">
      <w:pPr>
        <w:keepNext/>
        <w:spacing w:line="240" w:lineRule="auto"/>
        <w:ind w:left="567" w:hanging="567"/>
        <w:rPr>
          <w:del w:id="4041" w:author="AbbVie_HU_03" w:date="2025-05-14T15:27:00Z"/>
          <w:b/>
          <w:szCs w:val="22"/>
        </w:rPr>
      </w:pPr>
    </w:p>
    <w:p w14:paraId="437100CE" w14:textId="49ACC682" w:rsidR="00FB6710" w:rsidRPr="00183B5F" w:rsidRDefault="00943743" w:rsidP="004062FE">
      <w:pPr>
        <w:keepNext/>
        <w:spacing w:line="240" w:lineRule="auto"/>
        <w:ind w:left="567" w:hanging="567"/>
        <w:rPr>
          <w:del w:id="4042" w:author="AbbVie_HU_03" w:date="2025-05-14T15:27:00Z"/>
          <w:szCs w:val="22"/>
        </w:rPr>
      </w:pPr>
      <w:del w:id="4043" w:author="AbbVie_HU_03" w:date="2025-05-14T15:27:00Z">
        <w:r w:rsidRPr="00183B5F">
          <w:rPr>
            <w:szCs w:val="22"/>
          </w:rPr>
          <w:delText>Az adagolás megváltoztatása nem szükséges.</w:delText>
        </w:r>
      </w:del>
    </w:p>
    <w:p w14:paraId="6138A6B1" w14:textId="0448495D" w:rsidR="00FB6710" w:rsidRPr="00183B5F" w:rsidRDefault="00FB6710" w:rsidP="004062FE">
      <w:pPr>
        <w:spacing w:line="240" w:lineRule="auto"/>
        <w:ind w:left="567" w:hanging="567"/>
        <w:rPr>
          <w:del w:id="4044" w:author="AbbVie_HU_03" w:date="2025-05-14T15:27:00Z"/>
          <w:b/>
          <w:szCs w:val="22"/>
        </w:rPr>
      </w:pPr>
    </w:p>
    <w:p w14:paraId="555FB58F" w14:textId="61B59192" w:rsidR="003E4A06" w:rsidRPr="00183B5F" w:rsidRDefault="00943743" w:rsidP="004062FE">
      <w:pPr>
        <w:keepNext/>
        <w:spacing w:line="240" w:lineRule="auto"/>
        <w:rPr>
          <w:del w:id="4045" w:author="AbbVie_HU_03" w:date="2025-05-14T15:27:00Z"/>
          <w:szCs w:val="22"/>
          <w:u w:val="single"/>
        </w:rPr>
      </w:pPr>
      <w:del w:id="4046" w:author="AbbVie_HU_03" w:date="2025-05-14T15:27:00Z">
        <w:r w:rsidRPr="00183B5F">
          <w:rPr>
            <w:szCs w:val="22"/>
            <w:u w:val="single"/>
          </w:rPr>
          <w:delText>Vese</w:delText>
        </w:r>
        <w:r w:rsidR="005E4243" w:rsidRPr="00183B5F">
          <w:rPr>
            <w:szCs w:val="22"/>
            <w:u w:val="single"/>
          </w:rPr>
          <w:noBreakHyphen/>
        </w:r>
        <w:r w:rsidRPr="00183B5F">
          <w:rPr>
            <w:szCs w:val="22"/>
            <w:u w:val="single"/>
          </w:rPr>
          <w:delText xml:space="preserve"> és/vagy májkárosodás</w:delText>
        </w:r>
      </w:del>
    </w:p>
    <w:p w14:paraId="53C4FFF2" w14:textId="0D9E7BE3" w:rsidR="003E4A06" w:rsidRPr="00183B5F" w:rsidRDefault="003E4A06" w:rsidP="004062FE">
      <w:pPr>
        <w:keepNext/>
        <w:spacing w:line="240" w:lineRule="auto"/>
        <w:rPr>
          <w:del w:id="4047" w:author="AbbVie_HU_03" w:date="2025-05-14T15:27:00Z"/>
          <w:szCs w:val="22"/>
          <w:u w:val="single"/>
        </w:rPr>
      </w:pPr>
    </w:p>
    <w:p w14:paraId="479BCE51" w14:textId="044C69C4" w:rsidR="003E4A06" w:rsidRPr="00183B5F" w:rsidRDefault="00943743" w:rsidP="004062FE">
      <w:pPr>
        <w:pStyle w:val="EndnoteText"/>
        <w:tabs>
          <w:tab w:val="clear" w:pos="567"/>
        </w:tabs>
        <w:suppressAutoHyphens/>
        <w:rPr>
          <w:del w:id="4048" w:author="AbbVie_HU_03" w:date="2025-05-14T15:27:00Z"/>
          <w:noProof/>
          <w:sz w:val="22"/>
          <w:szCs w:val="22"/>
          <w:lang w:val="hu-HU"/>
        </w:rPr>
      </w:pPr>
      <w:del w:id="4049" w:author="AbbVie_HU_03" w:date="2025-05-14T15:27:00Z">
        <w:r w:rsidRPr="00183B5F">
          <w:rPr>
            <w:sz w:val="22"/>
            <w:lang w:val="hu-HU"/>
          </w:rPr>
          <w:delText>Eze</w:delText>
        </w:r>
        <w:r w:rsidR="00E345FB" w:rsidRPr="00183B5F">
          <w:rPr>
            <w:sz w:val="22"/>
            <w:lang w:val="hu-HU"/>
          </w:rPr>
          <w:delText>kbe</w:delText>
        </w:r>
        <w:r w:rsidRPr="00183B5F">
          <w:rPr>
            <w:sz w:val="22"/>
            <w:lang w:val="hu-HU"/>
          </w:rPr>
          <w:delText xml:space="preserve">n </w:delText>
        </w:r>
        <w:r w:rsidR="00E345FB" w:rsidRPr="00183B5F">
          <w:rPr>
            <w:sz w:val="22"/>
            <w:lang w:val="hu-HU"/>
          </w:rPr>
          <w:delText xml:space="preserve">a </w:delText>
        </w:r>
        <w:r w:rsidRPr="00183B5F">
          <w:rPr>
            <w:sz w:val="22"/>
            <w:lang w:val="hu-HU"/>
          </w:rPr>
          <w:delText>betegpopulációkban nem állnak rendelkezésre adatok</w:delText>
        </w:r>
        <w:r w:rsidR="00D7676A" w:rsidRPr="00183B5F">
          <w:rPr>
            <w:sz w:val="22"/>
            <w:lang w:val="hu-HU"/>
          </w:rPr>
          <w:delText>.</w:delText>
        </w:r>
        <w:r w:rsidRPr="00183B5F">
          <w:rPr>
            <w:sz w:val="22"/>
            <w:lang w:val="hu-HU"/>
          </w:rPr>
          <w:delText xml:space="preserve"> </w:delText>
        </w:r>
        <w:r w:rsidR="00D7676A" w:rsidRPr="00183B5F">
          <w:rPr>
            <w:sz w:val="22"/>
            <w:lang w:val="hu-HU"/>
          </w:rPr>
          <w:delText>N</w:delText>
        </w:r>
        <w:r w:rsidR="00E345FB" w:rsidRPr="00183B5F">
          <w:rPr>
            <w:sz w:val="22"/>
            <w:lang w:val="hu-HU"/>
          </w:rPr>
          <w:delText>incs az adagolásra vonatkozó javaslat</w:delText>
        </w:r>
        <w:r w:rsidRPr="00183B5F">
          <w:rPr>
            <w:sz w:val="22"/>
            <w:lang w:val="hu-HU"/>
          </w:rPr>
          <w:delText>.</w:delText>
        </w:r>
      </w:del>
    </w:p>
    <w:p w14:paraId="3F46C661" w14:textId="02822B3F" w:rsidR="003E4A06" w:rsidRPr="00183B5F" w:rsidRDefault="003E4A06">
      <w:pPr>
        <w:pStyle w:val="EMEAHeadingUnderline"/>
        <w:spacing w:beforeLines="0" w:afterLines="0"/>
        <w:rPr>
          <w:del w:id="4050" w:author="AbbVie_HU_03" w:date="2025-05-14T15:27:00Z"/>
          <w:szCs w:val="22"/>
          <w:lang w:val="hu-HU"/>
        </w:rPr>
      </w:pPr>
    </w:p>
    <w:p w14:paraId="19353F9F" w14:textId="64F196CB" w:rsidR="00071DF4" w:rsidRPr="00183B5F" w:rsidRDefault="00943743">
      <w:pPr>
        <w:pStyle w:val="EMEAHeadingUnderline"/>
        <w:spacing w:beforeLines="0" w:afterLines="0"/>
        <w:rPr>
          <w:del w:id="4051" w:author="AbbVie_HU_03" w:date="2025-05-14T15:27:00Z"/>
          <w:szCs w:val="22"/>
          <w:u w:val="none"/>
          <w:lang w:val="hu-HU"/>
        </w:rPr>
      </w:pPr>
      <w:del w:id="4052" w:author="AbbVie_HU_03" w:date="2025-05-14T15:27:00Z">
        <w:r w:rsidRPr="00183B5F">
          <w:rPr>
            <w:szCs w:val="22"/>
            <w:u w:val="none"/>
            <w:lang w:val="hu-HU"/>
          </w:rPr>
          <w:delText>Gyer</w:delText>
        </w:r>
        <w:r w:rsidR="005E4243" w:rsidRPr="00183B5F">
          <w:rPr>
            <w:szCs w:val="22"/>
            <w:u w:val="none"/>
            <w:lang w:val="hu-HU"/>
          </w:rPr>
          <w:delText>mekek</w:delText>
        </w:r>
        <w:r w:rsidR="00120B72" w:rsidRPr="00183B5F">
          <w:rPr>
            <w:szCs w:val="22"/>
            <w:u w:val="none"/>
            <w:lang w:val="hu-HU"/>
          </w:rPr>
          <w:delText xml:space="preserve"> és serdülők</w:delText>
        </w:r>
      </w:del>
    </w:p>
    <w:p w14:paraId="2AD67C12" w14:textId="2332E30F" w:rsidR="00FB6710" w:rsidRPr="00183B5F" w:rsidRDefault="00FB6710">
      <w:pPr>
        <w:pStyle w:val="DefaultText"/>
        <w:rPr>
          <w:del w:id="4053" w:author="AbbVie_HU_03" w:date="2025-05-14T15:27:00Z"/>
          <w:rFonts w:ascii="Times New Roman" w:hAnsi="Times New Roman"/>
          <w:szCs w:val="22"/>
          <w:lang w:val="hu-HU"/>
        </w:rPr>
      </w:pPr>
    </w:p>
    <w:p w14:paraId="0162990E" w14:textId="398595BA" w:rsidR="00C9047A" w:rsidRPr="00183B5F" w:rsidRDefault="00943743">
      <w:pPr>
        <w:pStyle w:val="DefaultText"/>
        <w:keepNext/>
        <w:rPr>
          <w:del w:id="4054" w:author="AbbVie_HU_03" w:date="2025-05-14T15:27:00Z"/>
          <w:rFonts w:ascii="Times New Roman" w:hAnsi="Times New Roman"/>
          <w:i/>
          <w:szCs w:val="22"/>
          <w:lang w:val="hu-HU"/>
        </w:rPr>
      </w:pPr>
      <w:del w:id="4055" w:author="AbbVie_HU_03" w:date="2025-05-14T15:27:00Z">
        <w:r w:rsidRPr="00183B5F">
          <w:rPr>
            <w:rFonts w:ascii="Times New Roman" w:hAnsi="Times New Roman"/>
            <w:i/>
            <w:szCs w:val="22"/>
            <w:lang w:val="hu-HU"/>
          </w:rPr>
          <w:delText>Juvenilis idiopathiás arthritis</w:delText>
        </w:r>
      </w:del>
    </w:p>
    <w:p w14:paraId="3E9671BF" w14:textId="54CDD2C4" w:rsidR="00C9047A" w:rsidRPr="00183B5F" w:rsidRDefault="00C9047A">
      <w:pPr>
        <w:pStyle w:val="DefaultText"/>
        <w:keepNext/>
        <w:rPr>
          <w:del w:id="4056" w:author="AbbVie_HU_03" w:date="2025-05-14T15:27:00Z"/>
          <w:rFonts w:ascii="Times New Roman" w:hAnsi="Times New Roman"/>
          <w:szCs w:val="22"/>
          <w:lang w:val="hu-HU"/>
        </w:rPr>
      </w:pPr>
    </w:p>
    <w:p w14:paraId="2C96870D" w14:textId="70F7930B" w:rsidR="00C9047A" w:rsidRPr="00183B5F" w:rsidRDefault="00943743">
      <w:pPr>
        <w:pStyle w:val="DefaultText"/>
        <w:keepNext/>
        <w:rPr>
          <w:del w:id="4057" w:author="AbbVie_HU_03" w:date="2025-05-14T15:27:00Z"/>
          <w:rFonts w:ascii="Times New Roman" w:hAnsi="Times New Roman"/>
          <w:i/>
          <w:szCs w:val="22"/>
          <w:u w:val="single"/>
          <w:lang w:val="hu-HU"/>
        </w:rPr>
      </w:pPr>
      <w:del w:id="4058" w:author="AbbVie_HU_03" w:date="2025-05-14T15:27:00Z">
        <w:r w:rsidRPr="00183B5F">
          <w:rPr>
            <w:rFonts w:ascii="Times New Roman" w:hAnsi="Times New Roman"/>
            <w:i/>
            <w:szCs w:val="22"/>
            <w:u w:val="single"/>
            <w:lang w:val="hu-HU"/>
          </w:rPr>
          <w:delText>Polyarticularis juvenilis idiopathiás arthritis 2 éves kor</w:delText>
        </w:r>
        <w:r w:rsidR="007A2741" w:rsidRPr="00183B5F">
          <w:rPr>
            <w:rFonts w:ascii="Times New Roman" w:hAnsi="Times New Roman"/>
            <w:i/>
            <w:szCs w:val="22"/>
            <w:u w:val="single"/>
            <w:lang w:val="hu-HU"/>
          </w:rPr>
          <w:delText>tól</w:delText>
        </w:r>
      </w:del>
    </w:p>
    <w:p w14:paraId="25C7DAC9" w14:textId="64D0EDBA" w:rsidR="00FB6710" w:rsidRPr="00183B5F" w:rsidRDefault="00FB6710">
      <w:pPr>
        <w:spacing w:line="240" w:lineRule="auto"/>
        <w:rPr>
          <w:del w:id="4059" w:author="AbbVie_HU_03" w:date="2025-05-14T15:27:00Z"/>
          <w:szCs w:val="22"/>
        </w:rPr>
      </w:pPr>
    </w:p>
    <w:p w14:paraId="7F211B6B" w14:textId="54D60E1F" w:rsidR="00071DF4" w:rsidRPr="00183B5F" w:rsidRDefault="00943743">
      <w:pPr>
        <w:spacing w:line="240" w:lineRule="auto"/>
        <w:rPr>
          <w:del w:id="4060" w:author="AbbVie_HU_03" w:date="2025-05-14T15:27:00Z"/>
          <w:szCs w:val="22"/>
        </w:rPr>
      </w:pPr>
      <w:del w:id="4061" w:author="AbbVie_HU_03" w:date="2025-05-14T15:27:00Z">
        <w:r w:rsidRPr="00183B5F">
          <w:rPr>
            <w:szCs w:val="22"/>
          </w:rPr>
          <w:delText xml:space="preserve">A Humira ajánlott adagja polyarticularis juvenilis idiopathiás arthritisben </w:delText>
        </w:r>
        <w:r w:rsidR="003A7EB4" w:rsidRPr="00183B5F">
          <w:rPr>
            <w:szCs w:val="22"/>
          </w:rPr>
          <w:delText>szenvedő</w:delText>
        </w:r>
        <w:r w:rsidR="001212F4" w:rsidRPr="00183B5F">
          <w:rPr>
            <w:szCs w:val="22"/>
          </w:rPr>
          <w:delText>,</w:delText>
        </w:r>
        <w:r w:rsidR="003A7EB4" w:rsidRPr="00183B5F">
          <w:rPr>
            <w:szCs w:val="22"/>
          </w:rPr>
          <w:delText xml:space="preserve"> </w:delText>
        </w:r>
        <w:r w:rsidR="007A2741" w:rsidRPr="00183B5F">
          <w:rPr>
            <w:szCs w:val="22"/>
          </w:rPr>
          <w:delText>2 éves kor felett</w:delText>
        </w:r>
        <w:r w:rsidR="003A7EB4" w:rsidRPr="00183B5F">
          <w:rPr>
            <w:szCs w:val="22"/>
          </w:rPr>
          <w:delText>i betegeknél a</w:delText>
        </w:r>
        <w:r w:rsidR="007A2741" w:rsidRPr="00183B5F">
          <w:rPr>
            <w:szCs w:val="22"/>
          </w:rPr>
          <w:delText xml:space="preserve"> testtömegtől függ (1. táblázat). A Humira</w:delText>
        </w:r>
        <w:r w:rsidR="00DD77ED" w:rsidRPr="00183B5F">
          <w:rPr>
            <w:szCs w:val="22"/>
          </w:rPr>
          <w:noBreakHyphen/>
        </w:r>
        <w:r w:rsidR="007A2741" w:rsidRPr="00183B5F">
          <w:rPr>
            <w:szCs w:val="22"/>
          </w:rPr>
          <w:delText xml:space="preserve">t minden második héten </w:delText>
        </w:r>
        <w:r w:rsidRPr="00183B5F">
          <w:rPr>
            <w:szCs w:val="22"/>
          </w:rPr>
          <w:delText>subcutan injekció formájában</w:delText>
        </w:r>
        <w:r w:rsidR="007A2741" w:rsidRPr="00183B5F">
          <w:rPr>
            <w:szCs w:val="22"/>
          </w:rPr>
          <w:delText xml:space="preserve"> </w:delText>
        </w:r>
        <w:r w:rsidR="003A7EB4" w:rsidRPr="00183B5F">
          <w:rPr>
            <w:szCs w:val="22"/>
          </w:rPr>
          <w:delText xml:space="preserve">kell </w:delText>
        </w:r>
        <w:r w:rsidR="007A2741" w:rsidRPr="00183B5F">
          <w:rPr>
            <w:szCs w:val="22"/>
          </w:rPr>
          <w:delText>alkalmaz</w:delText>
        </w:r>
        <w:r w:rsidR="003A7EB4" w:rsidRPr="00183B5F">
          <w:rPr>
            <w:szCs w:val="22"/>
          </w:rPr>
          <w:delText>ni</w:delText>
        </w:r>
        <w:r w:rsidR="007A2741" w:rsidRPr="00183B5F">
          <w:rPr>
            <w:szCs w:val="22"/>
          </w:rPr>
          <w:delText>.</w:delText>
        </w:r>
      </w:del>
    </w:p>
    <w:p w14:paraId="3425E63C" w14:textId="32E88CB6" w:rsidR="00824F0F" w:rsidRPr="00183B5F" w:rsidRDefault="00824F0F">
      <w:pPr>
        <w:spacing w:line="240" w:lineRule="auto"/>
        <w:rPr>
          <w:del w:id="4062" w:author="AbbVie_HU_03" w:date="2025-05-14T15:27:00Z"/>
          <w:szCs w:val="22"/>
        </w:rPr>
      </w:pPr>
    </w:p>
    <w:p w14:paraId="2CFE6A22" w14:textId="343F5E66" w:rsidR="007A2741" w:rsidRPr="00183B5F" w:rsidRDefault="00943743" w:rsidP="0080649D">
      <w:pPr>
        <w:spacing w:line="240" w:lineRule="auto"/>
        <w:jc w:val="center"/>
        <w:rPr>
          <w:del w:id="4063" w:author="AbbVie_HU_03" w:date="2025-05-14T15:27:00Z"/>
          <w:b/>
          <w:szCs w:val="22"/>
        </w:rPr>
      </w:pPr>
      <w:del w:id="4064" w:author="AbbVie_HU_03" w:date="2025-05-14T15:27:00Z">
        <w:r w:rsidRPr="00183B5F">
          <w:rPr>
            <w:b/>
            <w:szCs w:val="22"/>
          </w:rPr>
          <w:delText>1. táblázat: A Humira dózisa polyarticularis juvenilis idiopathiás arthritisben szenvedő betegek</w:delText>
        </w:r>
        <w:r w:rsidR="003A7EB4" w:rsidRPr="00183B5F">
          <w:rPr>
            <w:b/>
            <w:szCs w:val="22"/>
          </w:rPr>
          <w:delText>nél</w:delText>
        </w:r>
      </w:del>
    </w:p>
    <w:p w14:paraId="373A6821" w14:textId="7E154598" w:rsidR="007A2741" w:rsidRPr="00183B5F" w:rsidRDefault="007A2741" w:rsidP="004062FE">
      <w:pPr>
        <w:spacing w:line="240" w:lineRule="auto"/>
        <w:rPr>
          <w:del w:id="4065" w:author="AbbVie_HU_03" w:date="2025-05-14T15:27:00Z"/>
          <w:szCs w:val="22"/>
        </w:rPr>
      </w:pPr>
    </w:p>
    <w:tbl>
      <w:tblPr>
        <w:tblW w:w="6795" w:type="dxa"/>
        <w:jc w:val="center"/>
        <w:tblLayout w:type="fixed"/>
        <w:tblLook w:val="0000" w:firstRow="0" w:lastRow="0" w:firstColumn="0" w:lastColumn="0" w:noHBand="0" w:noVBand="0"/>
      </w:tblPr>
      <w:tblGrid>
        <w:gridCol w:w="3401"/>
        <w:gridCol w:w="3394"/>
      </w:tblGrid>
      <w:tr w:rsidR="00011D2F" w14:paraId="127C57EA" w14:textId="7E497D45" w:rsidTr="00832DC3">
        <w:trPr>
          <w:tblHeader/>
          <w:jc w:val="center"/>
          <w:del w:id="4066" w:author="AbbVie_HU_03" w:date="2025-05-14T15:27:00Z"/>
        </w:trPr>
        <w:tc>
          <w:tcPr>
            <w:tcW w:w="3401" w:type="dxa"/>
            <w:tcBorders>
              <w:top w:val="single" w:sz="4" w:space="0" w:color="auto"/>
              <w:bottom w:val="single" w:sz="4" w:space="0" w:color="auto"/>
            </w:tcBorders>
          </w:tcPr>
          <w:p w14:paraId="56B9824B" w14:textId="731CA6A2" w:rsidR="007A2741" w:rsidRPr="00183B5F" w:rsidRDefault="00943743" w:rsidP="004062FE">
            <w:pPr>
              <w:pStyle w:val="TableLeft"/>
              <w:spacing w:before="0" w:after="0" w:line="240" w:lineRule="auto"/>
              <w:jc w:val="center"/>
              <w:rPr>
                <w:del w:id="4067" w:author="AbbVie_HU_03" w:date="2025-05-14T15:27:00Z"/>
                <w:b/>
                <w:sz w:val="22"/>
                <w:szCs w:val="22"/>
                <w:lang w:val="hu-HU"/>
              </w:rPr>
            </w:pPr>
            <w:del w:id="4068" w:author="AbbVie_HU_03" w:date="2025-05-14T15:27:00Z">
              <w:r w:rsidRPr="00183B5F">
                <w:rPr>
                  <w:b/>
                  <w:sz w:val="22"/>
                  <w:szCs w:val="22"/>
                  <w:lang w:val="hu-HU"/>
                </w:rPr>
                <w:delText xml:space="preserve">A beteg testtömege </w:delText>
              </w:r>
            </w:del>
          </w:p>
        </w:tc>
        <w:tc>
          <w:tcPr>
            <w:tcW w:w="3394" w:type="dxa"/>
            <w:tcBorders>
              <w:top w:val="single" w:sz="4" w:space="0" w:color="auto"/>
              <w:bottom w:val="single" w:sz="4" w:space="0" w:color="auto"/>
            </w:tcBorders>
          </w:tcPr>
          <w:p w14:paraId="25C85BF4" w14:textId="6010C459" w:rsidR="007A2741" w:rsidRPr="00183B5F" w:rsidRDefault="00943743" w:rsidP="004062FE">
            <w:pPr>
              <w:pStyle w:val="TableLeft"/>
              <w:spacing w:before="0" w:after="0" w:line="240" w:lineRule="auto"/>
              <w:jc w:val="center"/>
              <w:rPr>
                <w:del w:id="4069" w:author="AbbVie_HU_03" w:date="2025-05-14T15:27:00Z"/>
                <w:b/>
                <w:sz w:val="22"/>
                <w:szCs w:val="22"/>
                <w:lang w:val="hu-HU"/>
              </w:rPr>
            </w:pPr>
            <w:del w:id="4070" w:author="AbbVie_HU_03" w:date="2025-05-14T15:27:00Z">
              <w:r w:rsidRPr="00183B5F">
                <w:rPr>
                  <w:b/>
                  <w:sz w:val="22"/>
                  <w:szCs w:val="22"/>
                  <w:lang w:val="hu-HU"/>
                </w:rPr>
                <w:delText>Adagolási rend</w:delText>
              </w:r>
            </w:del>
          </w:p>
        </w:tc>
      </w:tr>
      <w:tr w:rsidR="00011D2F" w14:paraId="1058582B" w14:textId="62EE315C" w:rsidTr="00832DC3">
        <w:trPr>
          <w:tblHeader/>
          <w:jc w:val="center"/>
          <w:del w:id="4071" w:author="AbbVie_HU_03" w:date="2025-05-14T15:27:00Z"/>
        </w:trPr>
        <w:tc>
          <w:tcPr>
            <w:tcW w:w="3401" w:type="dxa"/>
            <w:tcBorders>
              <w:top w:val="single" w:sz="4" w:space="0" w:color="auto"/>
              <w:bottom w:val="single" w:sz="4" w:space="0" w:color="auto"/>
            </w:tcBorders>
          </w:tcPr>
          <w:p w14:paraId="47456F4B" w14:textId="4AA95A86" w:rsidR="007A2741" w:rsidRPr="00183B5F" w:rsidRDefault="00943743" w:rsidP="004062FE">
            <w:pPr>
              <w:pStyle w:val="TableLeft"/>
              <w:spacing w:before="0" w:after="0" w:line="240" w:lineRule="auto"/>
              <w:jc w:val="center"/>
              <w:rPr>
                <w:del w:id="4072" w:author="AbbVie_HU_03" w:date="2025-05-14T15:27:00Z"/>
                <w:b/>
                <w:sz w:val="22"/>
                <w:szCs w:val="22"/>
                <w:lang w:val="hu-HU"/>
              </w:rPr>
            </w:pPr>
            <w:del w:id="4073" w:author="AbbVie_HU_03" w:date="2025-05-14T15:27:00Z">
              <w:r w:rsidRPr="00183B5F">
                <w:rPr>
                  <w:sz w:val="22"/>
                  <w:szCs w:val="22"/>
                  <w:lang w:val="hu-HU"/>
                </w:rPr>
                <w:delText>10 kg</w:delText>
              </w:r>
              <w:r w:rsidR="0025391D" w:rsidRPr="00183B5F">
                <w:rPr>
                  <w:sz w:val="22"/>
                  <w:szCs w:val="22"/>
                  <w:lang w:val="hu-HU"/>
                </w:rPr>
                <w:delText> </w:delText>
              </w:r>
              <w:r w:rsidR="00DD77ED" w:rsidRPr="00183B5F">
                <w:rPr>
                  <w:sz w:val="22"/>
                  <w:szCs w:val="22"/>
                  <w:lang w:val="hu-HU"/>
                </w:rPr>
                <w:noBreakHyphen/>
              </w:r>
              <w:r w:rsidR="0025391D" w:rsidRPr="00183B5F">
                <w:rPr>
                  <w:sz w:val="22"/>
                  <w:szCs w:val="22"/>
                  <w:lang w:val="hu-HU"/>
                </w:rPr>
                <w:delText> </w:delText>
              </w:r>
              <w:r w:rsidRPr="00183B5F">
                <w:rPr>
                  <w:sz w:val="22"/>
                  <w:szCs w:val="22"/>
                  <w:lang w:val="hu-HU"/>
                </w:rPr>
                <w:delText>&lt;</w:delText>
              </w:r>
              <w:r w:rsidR="003A7EB4" w:rsidRPr="00183B5F">
                <w:rPr>
                  <w:sz w:val="22"/>
                  <w:szCs w:val="22"/>
                  <w:lang w:val="hu-HU"/>
                </w:rPr>
                <w:delText> </w:delText>
              </w:r>
              <w:r w:rsidRPr="00183B5F">
                <w:rPr>
                  <w:sz w:val="22"/>
                  <w:szCs w:val="22"/>
                  <w:lang w:val="hu-HU"/>
                </w:rPr>
                <w:delText>30 kg</w:delText>
              </w:r>
            </w:del>
          </w:p>
        </w:tc>
        <w:tc>
          <w:tcPr>
            <w:tcW w:w="3394" w:type="dxa"/>
            <w:tcBorders>
              <w:top w:val="single" w:sz="4" w:space="0" w:color="auto"/>
              <w:bottom w:val="single" w:sz="4" w:space="0" w:color="auto"/>
            </w:tcBorders>
          </w:tcPr>
          <w:p w14:paraId="4DCB6E6E" w14:textId="2584639C" w:rsidR="007A2741" w:rsidRPr="00183B5F" w:rsidRDefault="00943743" w:rsidP="004062FE">
            <w:pPr>
              <w:pStyle w:val="TableLeft"/>
              <w:spacing w:before="0" w:after="0" w:line="240" w:lineRule="auto"/>
              <w:jc w:val="center"/>
              <w:rPr>
                <w:del w:id="4074" w:author="AbbVie_HU_03" w:date="2025-05-14T15:27:00Z"/>
                <w:b/>
                <w:sz w:val="22"/>
                <w:szCs w:val="22"/>
                <w:lang w:val="hu-HU"/>
              </w:rPr>
            </w:pPr>
            <w:del w:id="4075" w:author="AbbVie_HU_03" w:date="2025-05-14T15:27:00Z">
              <w:r w:rsidRPr="00183B5F">
                <w:rPr>
                  <w:sz w:val="22"/>
                  <w:szCs w:val="22"/>
                  <w:lang w:val="hu-HU"/>
                </w:rPr>
                <w:delText>20 mg minden második héten</w:delText>
              </w:r>
            </w:del>
          </w:p>
        </w:tc>
      </w:tr>
      <w:tr w:rsidR="00011D2F" w14:paraId="5945900F" w14:textId="7B0B933C" w:rsidTr="00832DC3">
        <w:trPr>
          <w:tblHeader/>
          <w:jc w:val="center"/>
          <w:del w:id="4076" w:author="AbbVie_HU_03" w:date="2025-05-14T15:27:00Z"/>
        </w:trPr>
        <w:tc>
          <w:tcPr>
            <w:tcW w:w="3401" w:type="dxa"/>
            <w:tcBorders>
              <w:top w:val="single" w:sz="4" w:space="0" w:color="auto"/>
              <w:bottom w:val="single" w:sz="4" w:space="0" w:color="auto"/>
            </w:tcBorders>
          </w:tcPr>
          <w:p w14:paraId="283B13CF" w14:textId="6754C0E8" w:rsidR="007A2741" w:rsidRPr="00183B5F" w:rsidRDefault="00943743" w:rsidP="004062FE">
            <w:pPr>
              <w:pStyle w:val="TableLeft"/>
              <w:spacing w:before="0" w:after="0" w:line="240" w:lineRule="auto"/>
              <w:jc w:val="center"/>
              <w:rPr>
                <w:del w:id="4077" w:author="AbbVie_HU_03" w:date="2025-05-14T15:27:00Z"/>
                <w:b/>
                <w:sz w:val="22"/>
                <w:szCs w:val="22"/>
                <w:lang w:val="hu-HU"/>
              </w:rPr>
            </w:pPr>
            <w:del w:id="4078" w:author="AbbVie_HU_03" w:date="2025-05-14T15:27:00Z">
              <w:r w:rsidRPr="00183B5F">
                <w:rPr>
                  <w:sz w:val="22"/>
                  <w:szCs w:val="22"/>
                  <w:lang w:val="hu-HU"/>
                </w:rPr>
                <w:delText>≥</w:delText>
              </w:r>
              <w:r w:rsidR="003A7EB4" w:rsidRPr="00183B5F">
                <w:rPr>
                  <w:sz w:val="22"/>
                  <w:szCs w:val="22"/>
                  <w:lang w:val="hu-HU"/>
                </w:rPr>
                <w:delText> </w:delText>
              </w:r>
              <w:r w:rsidRPr="00183B5F">
                <w:rPr>
                  <w:sz w:val="22"/>
                  <w:szCs w:val="22"/>
                  <w:lang w:val="hu-HU"/>
                </w:rPr>
                <w:delText>30 kg</w:delText>
              </w:r>
            </w:del>
          </w:p>
        </w:tc>
        <w:tc>
          <w:tcPr>
            <w:tcW w:w="3394" w:type="dxa"/>
            <w:tcBorders>
              <w:top w:val="single" w:sz="4" w:space="0" w:color="auto"/>
              <w:bottom w:val="single" w:sz="4" w:space="0" w:color="auto"/>
            </w:tcBorders>
          </w:tcPr>
          <w:p w14:paraId="7D73A9C9" w14:textId="07379995" w:rsidR="007A2741" w:rsidRPr="00183B5F" w:rsidRDefault="00943743" w:rsidP="004062FE">
            <w:pPr>
              <w:pStyle w:val="TableLeft"/>
              <w:spacing w:before="0" w:after="0" w:line="240" w:lineRule="auto"/>
              <w:jc w:val="center"/>
              <w:rPr>
                <w:del w:id="4079" w:author="AbbVie_HU_03" w:date="2025-05-14T15:27:00Z"/>
                <w:b/>
                <w:sz w:val="22"/>
                <w:szCs w:val="22"/>
                <w:lang w:val="hu-HU"/>
              </w:rPr>
            </w:pPr>
            <w:del w:id="4080" w:author="AbbVie_HU_03" w:date="2025-05-14T15:27:00Z">
              <w:r w:rsidRPr="00183B5F">
                <w:rPr>
                  <w:sz w:val="22"/>
                  <w:szCs w:val="22"/>
                  <w:lang w:val="hu-HU"/>
                </w:rPr>
                <w:delText>40 mg minden második héten</w:delText>
              </w:r>
            </w:del>
          </w:p>
        </w:tc>
      </w:tr>
    </w:tbl>
    <w:p w14:paraId="5CB47C05" w14:textId="061C6826" w:rsidR="007A2741" w:rsidRPr="00183B5F" w:rsidRDefault="007A2741">
      <w:pPr>
        <w:spacing w:line="240" w:lineRule="auto"/>
        <w:rPr>
          <w:del w:id="4081" w:author="AbbVie_HU_03" w:date="2025-05-14T15:27:00Z"/>
          <w:i/>
          <w:szCs w:val="22"/>
          <w:u w:val="single"/>
        </w:rPr>
      </w:pPr>
    </w:p>
    <w:p w14:paraId="1306AD3A" w14:textId="4976AEA4" w:rsidR="00FB6710" w:rsidRPr="00183B5F" w:rsidRDefault="00943743">
      <w:pPr>
        <w:spacing w:line="240" w:lineRule="auto"/>
        <w:rPr>
          <w:del w:id="4082" w:author="AbbVie_HU_03" w:date="2025-05-14T15:27:00Z"/>
          <w:szCs w:val="22"/>
        </w:rPr>
      </w:pPr>
      <w:del w:id="4083" w:author="AbbVie_HU_03" w:date="2025-05-14T15:27:00Z">
        <w:r w:rsidRPr="00183B5F">
          <w:rPr>
            <w:szCs w:val="22"/>
          </w:rPr>
          <w:delText>A rendelkezésre álló adatok arra utalnak, hogy a klinikai választ rendszerint 12</w:delText>
        </w:r>
        <w:r w:rsidR="005E4243" w:rsidRPr="00183B5F">
          <w:rPr>
            <w:szCs w:val="22"/>
          </w:rPr>
          <w:delText> </w:delText>
        </w:r>
        <w:r w:rsidRPr="00183B5F">
          <w:rPr>
            <w:szCs w:val="22"/>
          </w:rPr>
          <w:delText>hetes kezelési időn belül érik el.</w:delText>
        </w:r>
        <w:r w:rsidR="00E7743E" w:rsidRPr="00183B5F">
          <w:rPr>
            <w:szCs w:val="22"/>
          </w:rPr>
          <w:delText xml:space="preserve"> </w:delText>
        </w:r>
        <w:r w:rsidRPr="00183B5F">
          <w:rPr>
            <w:szCs w:val="22"/>
          </w:rPr>
          <w:delText>A kezelés folytatását alaposan meg kell fontolni, ha a beteg ezen időszak alatt nem reagál a kezelésre.</w:delText>
        </w:r>
      </w:del>
    </w:p>
    <w:p w14:paraId="023042A5" w14:textId="69169554" w:rsidR="00E7743E" w:rsidRPr="00183B5F" w:rsidRDefault="00E7743E">
      <w:pPr>
        <w:spacing w:line="240" w:lineRule="auto"/>
        <w:rPr>
          <w:del w:id="4084" w:author="AbbVie_HU_03" w:date="2025-05-14T15:27:00Z"/>
          <w:szCs w:val="22"/>
        </w:rPr>
      </w:pPr>
    </w:p>
    <w:p w14:paraId="10796CBE" w14:textId="1B29D0A9" w:rsidR="00E7743E" w:rsidRPr="00183B5F" w:rsidRDefault="00943743">
      <w:pPr>
        <w:spacing w:line="240" w:lineRule="auto"/>
        <w:rPr>
          <w:del w:id="4085" w:author="AbbVie_HU_03" w:date="2025-05-14T15:27:00Z"/>
          <w:szCs w:val="22"/>
        </w:rPr>
      </w:pPr>
      <w:del w:id="4086" w:author="AbbVie_HU_03" w:date="2025-05-14T15:27:00Z">
        <w:r w:rsidRPr="00183B5F">
          <w:rPr>
            <w:szCs w:val="22"/>
          </w:rPr>
          <w:delText>A Humir</w:delText>
        </w:r>
        <w:r w:rsidR="005E4243" w:rsidRPr="00183B5F">
          <w:rPr>
            <w:szCs w:val="22"/>
          </w:rPr>
          <w:delText>a</w:delText>
        </w:r>
        <w:r w:rsidR="005E4243" w:rsidRPr="00183B5F">
          <w:rPr>
            <w:szCs w:val="22"/>
          </w:rPr>
          <w:noBreakHyphen/>
        </w:r>
        <w:r w:rsidRPr="00183B5F">
          <w:rPr>
            <w:szCs w:val="22"/>
          </w:rPr>
          <w:delText xml:space="preserve">nak 2 évesnél fiatalabb </w:delText>
        </w:r>
        <w:r w:rsidR="00C9047A" w:rsidRPr="00183B5F">
          <w:rPr>
            <w:szCs w:val="22"/>
          </w:rPr>
          <w:delText xml:space="preserve">betegeknél </w:delText>
        </w:r>
        <w:r w:rsidRPr="00183B5F">
          <w:rPr>
            <w:szCs w:val="22"/>
          </w:rPr>
          <w:delText>ebben a javallatban nincs releváns alkalmazása.</w:delText>
        </w:r>
      </w:del>
    </w:p>
    <w:p w14:paraId="1D4D5C5E" w14:textId="2E369CA4" w:rsidR="003F00D9" w:rsidRPr="00183B5F" w:rsidRDefault="003F00D9">
      <w:pPr>
        <w:spacing w:line="240" w:lineRule="auto"/>
        <w:rPr>
          <w:del w:id="4087" w:author="AbbVie_HU_03" w:date="2025-05-14T15:27:00Z"/>
          <w:szCs w:val="22"/>
        </w:rPr>
      </w:pPr>
    </w:p>
    <w:p w14:paraId="3BDD3420" w14:textId="02A27E8C" w:rsidR="003F00D9" w:rsidRPr="00183B5F" w:rsidRDefault="00943743">
      <w:pPr>
        <w:spacing w:line="240" w:lineRule="auto"/>
        <w:rPr>
          <w:del w:id="4088" w:author="AbbVie_HU_03" w:date="2025-05-14T15:27:00Z"/>
          <w:szCs w:val="22"/>
        </w:rPr>
      </w:pPr>
      <w:del w:id="4089" w:author="AbbVie_HU_03" w:date="2025-05-14T15:27:00Z">
        <w:r w:rsidRPr="00183B5F">
          <w:rPr>
            <w:szCs w:val="22"/>
          </w:rPr>
          <w:delText>A Humira más hatáserősségben és/vagy kiszerelésben is elérhető az egyéni terápiás igényeknek megfelelően.</w:delText>
        </w:r>
      </w:del>
    </w:p>
    <w:p w14:paraId="30258F62" w14:textId="2EDD8592" w:rsidR="00E7743E" w:rsidRPr="00183B5F" w:rsidRDefault="00E7743E">
      <w:pPr>
        <w:spacing w:line="240" w:lineRule="auto"/>
        <w:rPr>
          <w:del w:id="4090" w:author="AbbVie_HU_03" w:date="2025-05-14T15:27:00Z"/>
          <w:szCs w:val="22"/>
        </w:rPr>
      </w:pPr>
    </w:p>
    <w:p w14:paraId="2BFA81B0" w14:textId="302CF971" w:rsidR="00C9047A" w:rsidRPr="00183B5F" w:rsidRDefault="00943743" w:rsidP="0009469D">
      <w:pPr>
        <w:keepNext/>
        <w:spacing w:line="240" w:lineRule="auto"/>
        <w:rPr>
          <w:del w:id="4091" w:author="AbbVie_HU_03" w:date="2025-05-14T15:27:00Z"/>
          <w:i/>
          <w:szCs w:val="22"/>
          <w:u w:val="single"/>
        </w:rPr>
      </w:pPr>
      <w:del w:id="4092" w:author="AbbVie_HU_03" w:date="2025-05-14T15:27:00Z">
        <w:r w:rsidRPr="00183B5F">
          <w:rPr>
            <w:i/>
            <w:szCs w:val="22"/>
            <w:u w:val="single"/>
          </w:rPr>
          <w:delText>Enthesitis-asszociált arthritis</w:delText>
        </w:r>
      </w:del>
    </w:p>
    <w:p w14:paraId="444E03AB" w14:textId="486A4160" w:rsidR="00C9047A" w:rsidRPr="00183B5F" w:rsidRDefault="00C9047A" w:rsidP="0009469D">
      <w:pPr>
        <w:keepNext/>
        <w:spacing w:line="240" w:lineRule="auto"/>
        <w:rPr>
          <w:del w:id="4093" w:author="AbbVie_HU_03" w:date="2025-05-14T15:27:00Z"/>
          <w:szCs w:val="22"/>
        </w:rPr>
      </w:pPr>
    </w:p>
    <w:p w14:paraId="7FEFA2F0" w14:textId="5511A819" w:rsidR="007A2741" w:rsidRPr="00183B5F" w:rsidRDefault="00943743" w:rsidP="00082481">
      <w:pPr>
        <w:keepNext/>
        <w:spacing w:line="240" w:lineRule="auto"/>
        <w:rPr>
          <w:del w:id="4094" w:author="AbbVie_HU_03" w:date="2025-05-14T15:27:00Z"/>
          <w:szCs w:val="22"/>
        </w:rPr>
      </w:pPr>
      <w:del w:id="4095" w:author="AbbVie_HU_03" w:date="2025-05-14T15:27:00Z">
        <w:r w:rsidRPr="00183B5F">
          <w:rPr>
            <w:szCs w:val="22"/>
          </w:rPr>
          <w:delText xml:space="preserve">A Humira ajánlott adagja </w:delText>
        </w:r>
        <w:r w:rsidR="00677908" w:rsidRPr="00183B5F">
          <w:rPr>
            <w:szCs w:val="22"/>
          </w:rPr>
          <w:delText>enthesitis-asszociált</w:delText>
        </w:r>
        <w:r w:rsidRPr="00183B5F">
          <w:rPr>
            <w:szCs w:val="22"/>
          </w:rPr>
          <w:delText xml:space="preserve"> arthritisben szenvedő</w:delText>
        </w:r>
        <w:r w:rsidR="0025391D" w:rsidRPr="00183B5F">
          <w:rPr>
            <w:szCs w:val="22"/>
          </w:rPr>
          <w:delText>,</w:delText>
        </w:r>
        <w:r w:rsidRPr="00183B5F">
          <w:rPr>
            <w:szCs w:val="22"/>
          </w:rPr>
          <w:delText xml:space="preserve"> 6 éves kor felett</w:delText>
        </w:r>
        <w:r w:rsidR="003A7EB4" w:rsidRPr="00183B5F">
          <w:rPr>
            <w:szCs w:val="22"/>
          </w:rPr>
          <w:delText>i</w:delText>
        </w:r>
        <w:r w:rsidRPr="00183B5F">
          <w:rPr>
            <w:szCs w:val="22"/>
          </w:rPr>
          <w:delText xml:space="preserve"> </w:delText>
        </w:r>
        <w:r w:rsidR="003A7EB4" w:rsidRPr="00183B5F">
          <w:rPr>
            <w:szCs w:val="22"/>
          </w:rPr>
          <w:delText xml:space="preserve">betegeknél a </w:delText>
        </w:r>
        <w:r w:rsidRPr="00183B5F">
          <w:rPr>
            <w:szCs w:val="22"/>
          </w:rPr>
          <w:delText>testtömegtől függ (2. táblázat). A Humira</w:delText>
        </w:r>
        <w:r w:rsidR="00DD77ED" w:rsidRPr="00183B5F">
          <w:rPr>
            <w:szCs w:val="22"/>
          </w:rPr>
          <w:noBreakHyphen/>
        </w:r>
        <w:r w:rsidRPr="00183B5F">
          <w:rPr>
            <w:szCs w:val="22"/>
          </w:rPr>
          <w:delText xml:space="preserve">t minden második héten subcutan injekció formájában </w:delText>
        </w:r>
        <w:r w:rsidR="003A7EB4" w:rsidRPr="00183B5F">
          <w:rPr>
            <w:szCs w:val="22"/>
          </w:rPr>
          <w:delText xml:space="preserve">kell </w:delText>
        </w:r>
        <w:r w:rsidRPr="00183B5F">
          <w:rPr>
            <w:szCs w:val="22"/>
          </w:rPr>
          <w:delText>alk</w:delText>
        </w:r>
        <w:r w:rsidR="003A7EB4" w:rsidRPr="00183B5F">
          <w:rPr>
            <w:szCs w:val="22"/>
          </w:rPr>
          <w:delText>almazni</w:delText>
        </w:r>
      </w:del>
    </w:p>
    <w:p w14:paraId="274AE001" w14:textId="216A9B61" w:rsidR="007A2741" w:rsidRPr="00183B5F" w:rsidRDefault="007A2741" w:rsidP="004062FE">
      <w:pPr>
        <w:keepNext/>
        <w:spacing w:line="240" w:lineRule="auto"/>
        <w:rPr>
          <w:del w:id="4096" w:author="AbbVie_HU_03" w:date="2025-05-14T15:27:00Z"/>
          <w:szCs w:val="22"/>
        </w:rPr>
      </w:pPr>
    </w:p>
    <w:p w14:paraId="7E8041EE" w14:textId="7A18E869" w:rsidR="007A2741" w:rsidRPr="00183B5F" w:rsidRDefault="00943743" w:rsidP="00284774">
      <w:pPr>
        <w:keepNext/>
        <w:spacing w:line="240" w:lineRule="auto"/>
        <w:jc w:val="center"/>
        <w:rPr>
          <w:del w:id="4097" w:author="AbbVie_HU_03" w:date="2025-05-14T15:27:00Z"/>
          <w:b/>
          <w:szCs w:val="22"/>
        </w:rPr>
      </w:pPr>
      <w:del w:id="4098" w:author="AbbVie_HU_03" w:date="2025-05-14T15:27:00Z">
        <w:r w:rsidRPr="00183B5F">
          <w:rPr>
            <w:b/>
            <w:szCs w:val="22"/>
          </w:rPr>
          <w:delText xml:space="preserve">2. táblázat: A Humira dózisa </w:delText>
        </w:r>
        <w:r w:rsidR="00677908" w:rsidRPr="00183B5F">
          <w:rPr>
            <w:b/>
            <w:szCs w:val="22"/>
          </w:rPr>
          <w:delText>enthesitis-asszociált</w:delText>
        </w:r>
        <w:r w:rsidRPr="00183B5F">
          <w:rPr>
            <w:b/>
            <w:szCs w:val="22"/>
          </w:rPr>
          <w:delText xml:space="preserve"> arthritisben szenvedő betegek</w:delText>
        </w:r>
        <w:r w:rsidR="003A7EB4" w:rsidRPr="00183B5F">
          <w:rPr>
            <w:b/>
            <w:szCs w:val="22"/>
          </w:rPr>
          <w:delText>nél</w:delText>
        </w:r>
      </w:del>
    </w:p>
    <w:p w14:paraId="196E30D0" w14:textId="2898F3DD" w:rsidR="007A2741" w:rsidRPr="00183B5F" w:rsidRDefault="007A2741" w:rsidP="004062FE">
      <w:pPr>
        <w:keepNext/>
        <w:spacing w:line="240" w:lineRule="auto"/>
        <w:rPr>
          <w:del w:id="4099" w:author="AbbVie_HU_03" w:date="2025-05-14T15:27:00Z"/>
          <w:szCs w:val="22"/>
        </w:rPr>
      </w:pPr>
    </w:p>
    <w:tbl>
      <w:tblPr>
        <w:tblW w:w="6795" w:type="dxa"/>
        <w:jc w:val="center"/>
        <w:tblLayout w:type="fixed"/>
        <w:tblLook w:val="0000" w:firstRow="0" w:lastRow="0" w:firstColumn="0" w:lastColumn="0" w:noHBand="0" w:noVBand="0"/>
      </w:tblPr>
      <w:tblGrid>
        <w:gridCol w:w="3401"/>
        <w:gridCol w:w="3394"/>
      </w:tblGrid>
      <w:tr w:rsidR="00011D2F" w14:paraId="7510B7DB" w14:textId="2E73AF5A" w:rsidTr="00832DC3">
        <w:trPr>
          <w:tblHeader/>
          <w:jc w:val="center"/>
          <w:del w:id="4100" w:author="AbbVie_HU_03" w:date="2025-05-14T15:27:00Z"/>
        </w:trPr>
        <w:tc>
          <w:tcPr>
            <w:tcW w:w="3401" w:type="dxa"/>
            <w:tcBorders>
              <w:top w:val="single" w:sz="4" w:space="0" w:color="auto"/>
              <w:bottom w:val="single" w:sz="4" w:space="0" w:color="auto"/>
            </w:tcBorders>
          </w:tcPr>
          <w:p w14:paraId="33535E06" w14:textId="65158BAD" w:rsidR="007A2741" w:rsidRPr="00183B5F" w:rsidRDefault="00943743" w:rsidP="004062FE">
            <w:pPr>
              <w:pStyle w:val="TableLeft"/>
              <w:spacing w:before="0" w:after="0" w:line="240" w:lineRule="auto"/>
              <w:jc w:val="center"/>
              <w:rPr>
                <w:del w:id="4101" w:author="AbbVie_HU_03" w:date="2025-05-14T15:27:00Z"/>
                <w:b/>
                <w:sz w:val="22"/>
                <w:szCs w:val="22"/>
                <w:lang w:val="hu-HU"/>
              </w:rPr>
            </w:pPr>
            <w:del w:id="4102" w:author="AbbVie_HU_03" w:date="2025-05-14T15:27:00Z">
              <w:r w:rsidRPr="00183B5F">
                <w:rPr>
                  <w:b/>
                  <w:sz w:val="22"/>
                  <w:szCs w:val="22"/>
                  <w:lang w:val="hu-HU"/>
                </w:rPr>
                <w:delText xml:space="preserve">A beteg testtömege </w:delText>
              </w:r>
            </w:del>
          </w:p>
        </w:tc>
        <w:tc>
          <w:tcPr>
            <w:tcW w:w="3394" w:type="dxa"/>
            <w:tcBorders>
              <w:top w:val="single" w:sz="4" w:space="0" w:color="auto"/>
              <w:bottom w:val="single" w:sz="4" w:space="0" w:color="auto"/>
            </w:tcBorders>
          </w:tcPr>
          <w:p w14:paraId="204AEA71" w14:textId="36B3E562" w:rsidR="007A2741" w:rsidRPr="00183B5F" w:rsidRDefault="00943743" w:rsidP="004062FE">
            <w:pPr>
              <w:pStyle w:val="TableLeft"/>
              <w:spacing w:before="0" w:after="0" w:line="240" w:lineRule="auto"/>
              <w:jc w:val="center"/>
              <w:rPr>
                <w:del w:id="4103" w:author="AbbVie_HU_03" w:date="2025-05-14T15:27:00Z"/>
                <w:b/>
                <w:sz w:val="22"/>
                <w:szCs w:val="22"/>
                <w:lang w:val="hu-HU"/>
              </w:rPr>
            </w:pPr>
            <w:del w:id="4104" w:author="AbbVie_HU_03" w:date="2025-05-14T15:27:00Z">
              <w:r w:rsidRPr="00183B5F">
                <w:rPr>
                  <w:b/>
                  <w:sz w:val="22"/>
                  <w:szCs w:val="22"/>
                  <w:lang w:val="hu-HU"/>
                </w:rPr>
                <w:delText>Adagolási rend</w:delText>
              </w:r>
            </w:del>
          </w:p>
        </w:tc>
      </w:tr>
      <w:tr w:rsidR="00011D2F" w14:paraId="6237BE8D" w14:textId="09DE15BB" w:rsidTr="00832DC3">
        <w:trPr>
          <w:tblHeader/>
          <w:jc w:val="center"/>
          <w:del w:id="4105" w:author="AbbVie_HU_03" w:date="2025-05-14T15:27:00Z"/>
        </w:trPr>
        <w:tc>
          <w:tcPr>
            <w:tcW w:w="3401" w:type="dxa"/>
            <w:tcBorders>
              <w:top w:val="single" w:sz="4" w:space="0" w:color="auto"/>
              <w:bottom w:val="single" w:sz="4" w:space="0" w:color="auto"/>
            </w:tcBorders>
          </w:tcPr>
          <w:p w14:paraId="1D6A3F5A" w14:textId="34B6836A" w:rsidR="007A2741" w:rsidRPr="00183B5F" w:rsidRDefault="00943743" w:rsidP="004062FE">
            <w:pPr>
              <w:pStyle w:val="TableLeft"/>
              <w:spacing w:before="0" w:after="0" w:line="240" w:lineRule="auto"/>
              <w:jc w:val="center"/>
              <w:rPr>
                <w:del w:id="4106" w:author="AbbVie_HU_03" w:date="2025-05-14T15:27:00Z"/>
                <w:b/>
                <w:sz w:val="22"/>
                <w:szCs w:val="22"/>
                <w:lang w:val="hu-HU"/>
              </w:rPr>
            </w:pPr>
            <w:del w:id="4107" w:author="AbbVie_HU_03" w:date="2025-05-14T15:27:00Z">
              <w:r w:rsidRPr="00183B5F">
                <w:rPr>
                  <w:sz w:val="22"/>
                  <w:szCs w:val="22"/>
                  <w:lang w:val="hu-HU"/>
                </w:rPr>
                <w:delText>15 kg</w:delText>
              </w:r>
              <w:r w:rsidR="0025391D" w:rsidRPr="00183B5F">
                <w:rPr>
                  <w:sz w:val="22"/>
                  <w:szCs w:val="22"/>
                  <w:lang w:val="hu-HU"/>
                </w:rPr>
                <w:delText> </w:delText>
              </w:r>
              <w:r w:rsidR="00DD77ED" w:rsidRPr="00183B5F">
                <w:rPr>
                  <w:sz w:val="22"/>
                  <w:szCs w:val="22"/>
                  <w:lang w:val="hu-HU"/>
                </w:rPr>
                <w:noBreakHyphen/>
              </w:r>
              <w:r w:rsidR="0025391D" w:rsidRPr="00183B5F">
                <w:rPr>
                  <w:sz w:val="22"/>
                  <w:szCs w:val="22"/>
                  <w:lang w:val="hu-HU"/>
                </w:rPr>
                <w:delText> </w:delText>
              </w:r>
              <w:r w:rsidRPr="00183B5F">
                <w:rPr>
                  <w:sz w:val="22"/>
                  <w:szCs w:val="22"/>
                  <w:lang w:val="hu-HU"/>
                </w:rPr>
                <w:delText>&lt;</w:delText>
              </w:r>
              <w:r w:rsidR="003A7EB4" w:rsidRPr="00183B5F">
                <w:rPr>
                  <w:sz w:val="22"/>
                  <w:szCs w:val="22"/>
                  <w:lang w:val="hu-HU"/>
                </w:rPr>
                <w:delText> </w:delText>
              </w:r>
              <w:r w:rsidRPr="00183B5F">
                <w:rPr>
                  <w:sz w:val="22"/>
                  <w:szCs w:val="22"/>
                  <w:lang w:val="hu-HU"/>
                </w:rPr>
                <w:delText>30 kg</w:delText>
              </w:r>
            </w:del>
          </w:p>
        </w:tc>
        <w:tc>
          <w:tcPr>
            <w:tcW w:w="3394" w:type="dxa"/>
            <w:tcBorders>
              <w:top w:val="single" w:sz="4" w:space="0" w:color="auto"/>
              <w:bottom w:val="single" w:sz="4" w:space="0" w:color="auto"/>
            </w:tcBorders>
          </w:tcPr>
          <w:p w14:paraId="100D1DAA" w14:textId="147C9147" w:rsidR="007A2741" w:rsidRPr="00183B5F" w:rsidRDefault="00943743" w:rsidP="004062FE">
            <w:pPr>
              <w:pStyle w:val="TableLeft"/>
              <w:spacing w:before="0" w:after="0" w:line="240" w:lineRule="auto"/>
              <w:jc w:val="center"/>
              <w:rPr>
                <w:del w:id="4108" w:author="AbbVie_HU_03" w:date="2025-05-14T15:27:00Z"/>
                <w:b/>
                <w:sz w:val="22"/>
                <w:szCs w:val="22"/>
                <w:lang w:val="hu-HU"/>
              </w:rPr>
            </w:pPr>
            <w:del w:id="4109" w:author="AbbVie_HU_03" w:date="2025-05-14T15:27:00Z">
              <w:r w:rsidRPr="00183B5F">
                <w:rPr>
                  <w:sz w:val="22"/>
                  <w:szCs w:val="22"/>
                  <w:lang w:val="hu-HU"/>
                </w:rPr>
                <w:delText>20 mg minden második héten</w:delText>
              </w:r>
            </w:del>
          </w:p>
        </w:tc>
      </w:tr>
      <w:tr w:rsidR="00011D2F" w14:paraId="392D7148" w14:textId="2D3C3527" w:rsidTr="00832DC3">
        <w:trPr>
          <w:tblHeader/>
          <w:jc w:val="center"/>
          <w:del w:id="4110" w:author="AbbVie_HU_03" w:date="2025-05-14T15:27:00Z"/>
        </w:trPr>
        <w:tc>
          <w:tcPr>
            <w:tcW w:w="3401" w:type="dxa"/>
            <w:tcBorders>
              <w:top w:val="single" w:sz="4" w:space="0" w:color="auto"/>
              <w:bottom w:val="single" w:sz="4" w:space="0" w:color="auto"/>
            </w:tcBorders>
          </w:tcPr>
          <w:p w14:paraId="0F95FF1E" w14:textId="2DD19302" w:rsidR="007A2741" w:rsidRPr="00183B5F" w:rsidRDefault="00943743" w:rsidP="004062FE">
            <w:pPr>
              <w:pStyle w:val="TableLeft"/>
              <w:spacing w:before="0" w:after="0" w:line="240" w:lineRule="auto"/>
              <w:jc w:val="center"/>
              <w:rPr>
                <w:del w:id="4111" w:author="AbbVie_HU_03" w:date="2025-05-14T15:27:00Z"/>
                <w:b/>
                <w:sz w:val="22"/>
                <w:szCs w:val="22"/>
                <w:lang w:val="hu-HU"/>
              </w:rPr>
            </w:pPr>
            <w:del w:id="4112" w:author="AbbVie_HU_03" w:date="2025-05-14T15:27:00Z">
              <w:r w:rsidRPr="00183B5F">
                <w:rPr>
                  <w:sz w:val="22"/>
                  <w:szCs w:val="22"/>
                  <w:lang w:val="hu-HU"/>
                </w:rPr>
                <w:delText>≥</w:delText>
              </w:r>
              <w:r w:rsidR="003A7EB4" w:rsidRPr="00183B5F">
                <w:rPr>
                  <w:sz w:val="22"/>
                  <w:szCs w:val="22"/>
                  <w:lang w:val="hu-HU"/>
                </w:rPr>
                <w:delText> </w:delText>
              </w:r>
              <w:r w:rsidRPr="00183B5F">
                <w:rPr>
                  <w:sz w:val="22"/>
                  <w:szCs w:val="22"/>
                  <w:lang w:val="hu-HU"/>
                </w:rPr>
                <w:delText>30 kg</w:delText>
              </w:r>
            </w:del>
          </w:p>
        </w:tc>
        <w:tc>
          <w:tcPr>
            <w:tcW w:w="3394" w:type="dxa"/>
            <w:tcBorders>
              <w:top w:val="single" w:sz="4" w:space="0" w:color="auto"/>
              <w:bottom w:val="single" w:sz="4" w:space="0" w:color="auto"/>
            </w:tcBorders>
          </w:tcPr>
          <w:p w14:paraId="0868D7DA" w14:textId="3FB566F9" w:rsidR="007A2741" w:rsidRPr="00183B5F" w:rsidRDefault="00943743" w:rsidP="004062FE">
            <w:pPr>
              <w:pStyle w:val="TableLeft"/>
              <w:spacing w:before="0" w:after="0" w:line="240" w:lineRule="auto"/>
              <w:jc w:val="center"/>
              <w:rPr>
                <w:del w:id="4113" w:author="AbbVie_HU_03" w:date="2025-05-14T15:27:00Z"/>
                <w:b/>
                <w:sz w:val="22"/>
                <w:szCs w:val="22"/>
                <w:lang w:val="hu-HU"/>
              </w:rPr>
            </w:pPr>
            <w:del w:id="4114" w:author="AbbVie_HU_03" w:date="2025-05-14T15:27:00Z">
              <w:r w:rsidRPr="00183B5F">
                <w:rPr>
                  <w:sz w:val="22"/>
                  <w:szCs w:val="22"/>
                  <w:lang w:val="hu-HU"/>
                </w:rPr>
                <w:delText>40 mg minden második héten</w:delText>
              </w:r>
            </w:del>
          </w:p>
        </w:tc>
      </w:tr>
    </w:tbl>
    <w:p w14:paraId="1F5F9BA5" w14:textId="79CFD2B6" w:rsidR="00C9047A" w:rsidRPr="00183B5F" w:rsidRDefault="00C9047A" w:rsidP="004062FE">
      <w:pPr>
        <w:spacing w:line="240" w:lineRule="auto"/>
        <w:rPr>
          <w:del w:id="4115" w:author="AbbVie_HU_03" w:date="2025-05-14T15:27:00Z"/>
          <w:szCs w:val="22"/>
        </w:rPr>
      </w:pPr>
    </w:p>
    <w:p w14:paraId="31E2BD2B" w14:textId="2D4ECF3E" w:rsidR="00C9047A" w:rsidRPr="00183B5F" w:rsidRDefault="00943743" w:rsidP="004062FE">
      <w:pPr>
        <w:spacing w:line="240" w:lineRule="auto"/>
        <w:rPr>
          <w:del w:id="4116" w:author="AbbVie_HU_03" w:date="2025-05-14T15:27:00Z"/>
          <w:szCs w:val="22"/>
        </w:rPr>
      </w:pPr>
      <w:del w:id="4117" w:author="AbbVie_HU_03" w:date="2025-05-14T15:27:00Z">
        <w:r w:rsidRPr="00183B5F">
          <w:rPr>
            <w:szCs w:val="22"/>
          </w:rPr>
          <w:delText>A Humir</w:delText>
        </w:r>
        <w:r w:rsidR="005E4243" w:rsidRPr="00183B5F">
          <w:rPr>
            <w:szCs w:val="22"/>
          </w:rPr>
          <w:delText>a</w:delText>
        </w:r>
        <w:r w:rsidR="005E4243" w:rsidRPr="00183B5F">
          <w:rPr>
            <w:szCs w:val="22"/>
          </w:rPr>
          <w:noBreakHyphen/>
        </w:r>
        <w:r w:rsidRPr="00183B5F">
          <w:rPr>
            <w:szCs w:val="22"/>
          </w:rPr>
          <w:delText xml:space="preserve">t nem vizsgálták 6 évesnél fiatalabb, </w:delText>
        </w:r>
        <w:r w:rsidR="00677908" w:rsidRPr="00183B5F">
          <w:rPr>
            <w:szCs w:val="22"/>
          </w:rPr>
          <w:delText>enthesitis-asszociált</w:delText>
        </w:r>
        <w:r w:rsidRPr="00183B5F">
          <w:rPr>
            <w:szCs w:val="22"/>
          </w:rPr>
          <w:delText xml:space="preserve"> arthritisben szenvedő betegeknél.</w:delText>
        </w:r>
      </w:del>
    </w:p>
    <w:p w14:paraId="627FE53F" w14:textId="437153EA" w:rsidR="003F00D9" w:rsidRPr="00183B5F" w:rsidRDefault="003F00D9" w:rsidP="004062FE">
      <w:pPr>
        <w:spacing w:line="240" w:lineRule="auto"/>
        <w:rPr>
          <w:del w:id="4118" w:author="AbbVie_HU_03" w:date="2025-05-14T15:27:00Z"/>
          <w:szCs w:val="22"/>
        </w:rPr>
      </w:pPr>
    </w:p>
    <w:p w14:paraId="5F8A9ECA" w14:textId="260DC6ED" w:rsidR="003F00D9" w:rsidRPr="00183B5F" w:rsidRDefault="00943743" w:rsidP="004062FE">
      <w:pPr>
        <w:spacing w:line="240" w:lineRule="auto"/>
        <w:rPr>
          <w:del w:id="4119" w:author="AbbVie_HU_03" w:date="2025-05-14T15:27:00Z"/>
          <w:szCs w:val="22"/>
        </w:rPr>
      </w:pPr>
      <w:del w:id="4120" w:author="AbbVie_HU_03" w:date="2025-05-14T15:27:00Z">
        <w:r w:rsidRPr="00183B5F">
          <w:rPr>
            <w:szCs w:val="22"/>
          </w:rPr>
          <w:delText>A Humira más hatáserősségben és/vagy kiszerelésben is elérhető az egyéni terápiás igényeknek megfelelően.</w:delText>
        </w:r>
      </w:del>
    </w:p>
    <w:p w14:paraId="63FAA3B7" w14:textId="79952F29" w:rsidR="00C9047A" w:rsidRPr="00183B5F" w:rsidRDefault="00C9047A">
      <w:pPr>
        <w:spacing w:line="240" w:lineRule="auto"/>
        <w:rPr>
          <w:del w:id="4121" w:author="AbbVie_HU_03" w:date="2025-05-14T15:27:00Z"/>
          <w:szCs w:val="22"/>
          <w:u w:val="single"/>
        </w:rPr>
      </w:pPr>
    </w:p>
    <w:p w14:paraId="216798BF" w14:textId="3DC8A93E" w:rsidR="00EA31F3" w:rsidRPr="00183B5F" w:rsidRDefault="00943743" w:rsidP="00EA31F3">
      <w:pPr>
        <w:spacing w:line="240" w:lineRule="auto"/>
        <w:rPr>
          <w:del w:id="4122" w:author="AbbVie_HU_03" w:date="2025-05-14T15:27:00Z"/>
          <w:i/>
          <w:szCs w:val="22"/>
        </w:rPr>
      </w:pPr>
      <w:del w:id="4123" w:author="AbbVie_HU_03" w:date="2025-05-14T15:27:00Z">
        <w:r w:rsidRPr="00183B5F">
          <w:rPr>
            <w:i/>
            <w:szCs w:val="22"/>
          </w:rPr>
          <w:delText xml:space="preserve">Gyermekkori arthritis psoriatica és axiális </w:delText>
        </w:r>
        <w:r w:rsidRPr="00183B5F">
          <w:rPr>
            <w:i/>
          </w:rPr>
          <w:delText>spondyloarthritis, beleértve a spondylitis ankylopoeticát</w:delText>
        </w:r>
      </w:del>
    </w:p>
    <w:p w14:paraId="1E5B9521" w14:textId="561183AB" w:rsidR="00EA31F3" w:rsidRPr="00183B5F" w:rsidRDefault="00EA31F3" w:rsidP="00EA31F3">
      <w:pPr>
        <w:spacing w:line="240" w:lineRule="auto"/>
        <w:rPr>
          <w:del w:id="4124" w:author="AbbVie_HU_03" w:date="2025-05-14T15:27:00Z"/>
          <w:szCs w:val="22"/>
        </w:rPr>
      </w:pPr>
    </w:p>
    <w:p w14:paraId="3A74E03D" w14:textId="5E36EE04" w:rsidR="00EA31F3" w:rsidRPr="00183B5F" w:rsidRDefault="00943743" w:rsidP="00EA31F3">
      <w:pPr>
        <w:spacing w:line="240" w:lineRule="auto"/>
        <w:rPr>
          <w:del w:id="4125" w:author="AbbVie_HU_03" w:date="2025-05-14T15:27:00Z"/>
          <w:szCs w:val="22"/>
        </w:rPr>
      </w:pPr>
      <w:del w:id="4126" w:author="AbbVie_HU_03" w:date="2025-05-14T15:27:00Z">
        <w:r w:rsidRPr="00183B5F">
          <w:rPr>
            <w:szCs w:val="22"/>
          </w:rPr>
          <w:delText>A Humira</w:delText>
        </w:r>
        <w:r w:rsidRPr="00183B5F">
          <w:rPr>
            <w:szCs w:val="22"/>
          </w:rPr>
          <w:noBreakHyphen/>
          <w:delText xml:space="preserve">nak </w:delText>
        </w:r>
        <w:r w:rsidRPr="00183B5F">
          <w:rPr>
            <w:noProof/>
            <w:szCs w:val="24"/>
          </w:rPr>
          <w:delText>gyermekpopulációban</w:delText>
        </w:r>
        <w:r w:rsidRPr="00183B5F">
          <w:rPr>
            <w:szCs w:val="22"/>
          </w:rPr>
          <w:delText xml:space="preserve"> a </w:delText>
        </w:r>
        <w:r w:rsidRPr="00183B5F">
          <w:delText xml:space="preserve">spondylitis ankylopoetica és </w:delText>
        </w:r>
        <w:r w:rsidRPr="00183B5F">
          <w:rPr>
            <w:szCs w:val="22"/>
          </w:rPr>
          <w:delText>arthritis psoriatica javallata esetén</w:delText>
        </w:r>
        <w:r w:rsidRPr="00183B5F">
          <w:rPr>
            <w:szCs w:val="22"/>
            <w:u w:val="single"/>
          </w:rPr>
          <w:delText xml:space="preserve"> </w:delText>
        </w:r>
        <w:r w:rsidRPr="00183B5F">
          <w:rPr>
            <w:szCs w:val="22"/>
          </w:rPr>
          <w:delText>nincs releváns alkalmazása.</w:delText>
        </w:r>
      </w:del>
    </w:p>
    <w:p w14:paraId="30CB686A" w14:textId="7C55E997" w:rsidR="007E3A94" w:rsidRPr="00183B5F" w:rsidRDefault="007E3A94">
      <w:pPr>
        <w:spacing w:line="240" w:lineRule="auto"/>
        <w:rPr>
          <w:del w:id="4127" w:author="AbbVie_HU_03" w:date="2025-05-14T15:27:00Z"/>
          <w:szCs w:val="22"/>
          <w:u w:val="single"/>
        </w:rPr>
      </w:pPr>
    </w:p>
    <w:p w14:paraId="067185B3" w14:textId="2193BF7A" w:rsidR="00274602" w:rsidRPr="00183B5F" w:rsidRDefault="00943743" w:rsidP="004062FE">
      <w:pPr>
        <w:keepNext/>
        <w:spacing w:line="240" w:lineRule="auto"/>
        <w:rPr>
          <w:del w:id="4128" w:author="AbbVie_HU_03" w:date="2025-05-14T15:27:00Z"/>
          <w:i/>
          <w:szCs w:val="22"/>
        </w:rPr>
      </w:pPr>
      <w:del w:id="4129" w:author="AbbVie_HU_03" w:date="2025-05-14T15:27:00Z">
        <w:r w:rsidRPr="00183B5F">
          <w:rPr>
            <w:i/>
            <w:szCs w:val="22"/>
          </w:rPr>
          <w:delText>Gyermekkori plakkos psoriasis</w:delText>
        </w:r>
      </w:del>
    </w:p>
    <w:p w14:paraId="4C22D9AD" w14:textId="3C25629E" w:rsidR="00274602" w:rsidRPr="00183B5F" w:rsidRDefault="00274602" w:rsidP="004062FE">
      <w:pPr>
        <w:keepNext/>
        <w:spacing w:line="240" w:lineRule="auto"/>
        <w:rPr>
          <w:del w:id="4130" w:author="AbbVie_HU_03" w:date="2025-05-14T15:27:00Z"/>
          <w:szCs w:val="22"/>
        </w:rPr>
      </w:pPr>
    </w:p>
    <w:p w14:paraId="70059DC8" w14:textId="1B050367" w:rsidR="00274602" w:rsidRPr="00183B5F" w:rsidRDefault="00943743" w:rsidP="004062FE">
      <w:pPr>
        <w:spacing w:line="240" w:lineRule="auto"/>
        <w:rPr>
          <w:del w:id="4131" w:author="AbbVie_HU_03" w:date="2025-05-14T15:27:00Z"/>
          <w:szCs w:val="22"/>
        </w:rPr>
      </w:pPr>
      <w:del w:id="4132" w:author="AbbVie_HU_03" w:date="2025-05-14T15:27:00Z">
        <w:r w:rsidRPr="00183B5F">
          <w:rPr>
            <w:szCs w:val="22"/>
          </w:rPr>
          <w:delText xml:space="preserve">A Humira ajánlott adagja </w:delText>
        </w:r>
        <w:r w:rsidR="007A2741" w:rsidRPr="00183B5F">
          <w:rPr>
            <w:szCs w:val="22"/>
          </w:rPr>
          <w:delText>gyermekkori plakkos psoriasisban szenvedő, 4</w:delText>
        </w:r>
        <w:r w:rsidR="00824F0F" w:rsidRPr="00183B5F">
          <w:rPr>
            <w:szCs w:val="22"/>
          </w:rPr>
          <w:noBreakHyphen/>
        </w:r>
        <w:r w:rsidR="007A2741" w:rsidRPr="00183B5F">
          <w:rPr>
            <w:szCs w:val="22"/>
          </w:rPr>
          <w:delText>17 éves betegek</w:delText>
        </w:r>
        <w:r w:rsidR="003A7EB4" w:rsidRPr="00183B5F">
          <w:rPr>
            <w:szCs w:val="22"/>
          </w:rPr>
          <w:delText>nél</w:delText>
        </w:r>
        <w:r w:rsidR="007A2741" w:rsidRPr="00183B5F">
          <w:rPr>
            <w:szCs w:val="22"/>
          </w:rPr>
          <w:delText xml:space="preserve"> </w:delText>
        </w:r>
        <w:r w:rsidR="003A7EB4" w:rsidRPr="00183B5F">
          <w:rPr>
            <w:szCs w:val="22"/>
          </w:rPr>
          <w:delText xml:space="preserve">a </w:delText>
        </w:r>
        <w:r w:rsidR="007A2741" w:rsidRPr="00183B5F">
          <w:rPr>
            <w:szCs w:val="22"/>
          </w:rPr>
          <w:delText>testtömegtől függ (3. táblázat). A Humira</w:delText>
        </w:r>
        <w:r w:rsidR="00DD77ED" w:rsidRPr="00183B5F">
          <w:rPr>
            <w:szCs w:val="22"/>
          </w:rPr>
          <w:noBreakHyphen/>
        </w:r>
        <w:r w:rsidR="007A2741" w:rsidRPr="00183B5F">
          <w:rPr>
            <w:szCs w:val="22"/>
          </w:rPr>
          <w:delText xml:space="preserve">t </w:delText>
        </w:r>
        <w:r w:rsidRPr="00183B5F">
          <w:rPr>
            <w:szCs w:val="22"/>
          </w:rPr>
          <w:delText xml:space="preserve">subcutan </w:delText>
        </w:r>
        <w:r w:rsidR="007A2741" w:rsidRPr="00183B5F">
          <w:rPr>
            <w:szCs w:val="22"/>
          </w:rPr>
          <w:delText xml:space="preserve">injekció formájában </w:delText>
        </w:r>
        <w:r w:rsidR="003A7EB4" w:rsidRPr="00183B5F">
          <w:rPr>
            <w:szCs w:val="22"/>
          </w:rPr>
          <w:delText xml:space="preserve">kell </w:delText>
        </w:r>
        <w:r w:rsidRPr="00183B5F">
          <w:rPr>
            <w:szCs w:val="22"/>
          </w:rPr>
          <w:delText>alkalma</w:delText>
        </w:r>
        <w:r w:rsidR="007A2741" w:rsidRPr="00183B5F">
          <w:rPr>
            <w:szCs w:val="22"/>
          </w:rPr>
          <w:delText>z</w:delText>
        </w:r>
        <w:r w:rsidR="003A7EB4" w:rsidRPr="00183B5F">
          <w:rPr>
            <w:szCs w:val="22"/>
          </w:rPr>
          <w:delText>ni</w:delText>
        </w:r>
        <w:r w:rsidR="007A2741" w:rsidRPr="00183B5F">
          <w:rPr>
            <w:szCs w:val="22"/>
          </w:rPr>
          <w:delText xml:space="preserve">. </w:delText>
        </w:r>
      </w:del>
    </w:p>
    <w:p w14:paraId="2282FCFE" w14:textId="2A6034BA" w:rsidR="007A2741" w:rsidRPr="00183B5F" w:rsidRDefault="007A2741" w:rsidP="004062FE">
      <w:pPr>
        <w:spacing w:line="240" w:lineRule="auto"/>
        <w:rPr>
          <w:del w:id="4133" w:author="AbbVie_HU_03" w:date="2025-05-14T15:27:00Z"/>
          <w:szCs w:val="22"/>
        </w:rPr>
      </w:pPr>
    </w:p>
    <w:p w14:paraId="16304F27" w14:textId="6776A714" w:rsidR="007A2741" w:rsidRPr="00183B5F" w:rsidRDefault="00943743" w:rsidP="00284774">
      <w:pPr>
        <w:keepNext/>
        <w:spacing w:line="240" w:lineRule="auto"/>
        <w:jc w:val="center"/>
        <w:rPr>
          <w:del w:id="4134" w:author="AbbVie_HU_03" w:date="2025-05-14T15:27:00Z"/>
          <w:b/>
          <w:szCs w:val="22"/>
        </w:rPr>
      </w:pPr>
      <w:del w:id="4135" w:author="AbbVie_HU_03" w:date="2025-05-14T15:27:00Z">
        <w:r w:rsidRPr="00183B5F">
          <w:rPr>
            <w:b/>
            <w:szCs w:val="22"/>
          </w:rPr>
          <w:delText>3. táblázat: A Humira dózisa plakkos psoriasisban szenvedő gyermekek</w:delText>
        </w:r>
        <w:r w:rsidR="003A7EB4" w:rsidRPr="00183B5F">
          <w:rPr>
            <w:b/>
            <w:szCs w:val="22"/>
          </w:rPr>
          <w:delText>nél</w:delText>
        </w:r>
      </w:del>
    </w:p>
    <w:p w14:paraId="56594B75" w14:textId="4DF4A932" w:rsidR="007A2741" w:rsidRPr="00183B5F" w:rsidRDefault="007A2741" w:rsidP="004062FE">
      <w:pPr>
        <w:keepNext/>
        <w:spacing w:line="240" w:lineRule="auto"/>
        <w:rPr>
          <w:del w:id="4136" w:author="AbbVie_HU_03" w:date="2025-05-14T15:27:00Z"/>
          <w:szCs w:val="22"/>
        </w:rPr>
      </w:pPr>
    </w:p>
    <w:tbl>
      <w:tblPr>
        <w:tblW w:w="6795" w:type="dxa"/>
        <w:jc w:val="center"/>
        <w:tblLayout w:type="fixed"/>
        <w:tblLook w:val="0000" w:firstRow="0" w:lastRow="0" w:firstColumn="0" w:lastColumn="0" w:noHBand="0" w:noVBand="0"/>
      </w:tblPr>
      <w:tblGrid>
        <w:gridCol w:w="3401"/>
        <w:gridCol w:w="3394"/>
      </w:tblGrid>
      <w:tr w:rsidR="00011D2F" w14:paraId="50D4EF7F" w14:textId="3CD374B0" w:rsidTr="00832DC3">
        <w:trPr>
          <w:tblHeader/>
          <w:jc w:val="center"/>
          <w:del w:id="4137" w:author="AbbVie_HU_03" w:date="2025-05-14T15:27:00Z"/>
        </w:trPr>
        <w:tc>
          <w:tcPr>
            <w:tcW w:w="3401" w:type="dxa"/>
            <w:tcBorders>
              <w:top w:val="single" w:sz="4" w:space="0" w:color="auto"/>
              <w:bottom w:val="single" w:sz="4" w:space="0" w:color="auto"/>
            </w:tcBorders>
          </w:tcPr>
          <w:p w14:paraId="3AB09B80" w14:textId="61A3F4F3" w:rsidR="007A2741" w:rsidRPr="00183B5F" w:rsidRDefault="00943743" w:rsidP="004062FE">
            <w:pPr>
              <w:pStyle w:val="TableLeft"/>
              <w:spacing w:before="0" w:after="0" w:line="240" w:lineRule="auto"/>
              <w:jc w:val="center"/>
              <w:rPr>
                <w:del w:id="4138" w:author="AbbVie_HU_03" w:date="2025-05-14T15:27:00Z"/>
                <w:b/>
                <w:sz w:val="22"/>
                <w:szCs w:val="22"/>
                <w:lang w:val="hu-HU"/>
              </w:rPr>
            </w:pPr>
            <w:del w:id="4139" w:author="AbbVie_HU_03" w:date="2025-05-14T15:27:00Z">
              <w:r w:rsidRPr="00183B5F">
                <w:rPr>
                  <w:b/>
                  <w:sz w:val="22"/>
                  <w:szCs w:val="22"/>
                  <w:lang w:val="hu-HU"/>
                </w:rPr>
                <w:delText xml:space="preserve">A beteg testtömege </w:delText>
              </w:r>
            </w:del>
          </w:p>
        </w:tc>
        <w:tc>
          <w:tcPr>
            <w:tcW w:w="3394" w:type="dxa"/>
            <w:tcBorders>
              <w:top w:val="single" w:sz="4" w:space="0" w:color="auto"/>
              <w:bottom w:val="single" w:sz="4" w:space="0" w:color="auto"/>
            </w:tcBorders>
          </w:tcPr>
          <w:p w14:paraId="244A48BB" w14:textId="0FFB7566" w:rsidR="007A2741" w:rsidRPr="00183B5F" w:rsidRDefault="00943743" w:rsidP="004062FE">
            <w:pPr>
              <w:pStyle w:val="TableLeft"/>
              <w:spacing w:before="0" w:after="0" w:line="240" w:lineRule="auto"/>
              <w:jc w:val="center"/>
              <w:rPr>
                <w:del w:id="4140" w:author="AbbVie_HU_03" w:date="2025-05-14T15:27:00Z"/>
                <w:b/>
                <w:sz w:val="22"/>
                <w:szCs w:val="22"/>
                <w:lang w:val="hu-HU"/>
              </w:rPr>
            </w:pPr>
            <w:del w:id="4141" w:author="AbbVie_HU_03" w:date="2025-05-14T15:27:00Z">
              <w:r w:rsidRPr="00183B5F">
                <w:rPr>
                  <w:b/>
                  <w:sz w:val="22"/>
                  <w:szCs w:val="22"/>
                  <w:lang w:val="hu-HU"/>
                </w:rPr>
                <w:delText>Adagolási rend</w:delText>
              </w:r>
            </w:del>
          </w:p>
        </w:tc>
      </w:tr>
      <w:tr w:rsidR="00011D2F" w14:paraId="5C0590C5" w14:textId="5D702FBD" w:rsidTr="00832DC3">
        <w:trPr>
          <w:tblHeader/>
          <w:jc w:val="center"/>
          <w:del w:id="4142" w:author="AbbVie_HU_03" w:date="2025-05-14T15:27:00Z"/>
        </w:trPr>
        <w:tc>
          <w:tcPr>
            <w:tcW w:w="3401" w:type="dxa"/>
            <w:tcBorders>
              <w:top w:val="single" w:sz="4" w:space="0" w:color="auto"/>
              <w:bottom w:val="single" w:sz="4" w:space="0" w:color="auto"/>
            </w:tcBorders>
          </w:tcPr>
          <w:p w14:paraId="13F4B282" w14:textId="02706AB0" w:rsidR="007A2741" w:rsidRPr="00183B5F" w:rsidRDefault="00943743" w:rsidP="004062FE">
            <w:pPr>
              <w:pStyle w:val="TableLeft"/>
              <w:spacing w:before="0" w:after="0" w:line="240" w:lineRule="auto"/>
              <w:jc w:val="center"/>
              <w:rPr>
                <w:del w:id="4143" w:author="AbbVie_HU_03" w:date="2025-05-14T15:27:00Z"/>
                <w:b/>
                <w:sz w:val="22"/>
                <w:szCs w:val="22"/>
                <w:lang w:val="hu-HU"/>
              </w:rPr>
            </w:pPr>
            <w:del w:id="4144" w:author="AbbVie_HU_03" w:date="2025-05-14T15:27:00Z">
              <w:r w:rsidRPr="00183B5F">
                <w:rPr>
                  <w:sz w:val="22"/>
                  <w:szCs w:val="22"/>
                  <w:lang w:val="hu-HU"/>
                </w:rPr>
                <w:delText>15 kg</w:delText>
              </w:r>
              <w:r w:rsidR="0025391D" w:rsidRPr="00183B5F">
                <w:rPr>
                  <w:sz w:val="22"/>
                  <w:szCs w:val="22"/>
                  <w:lang w:val="hu-HU"/>
                </w:rPr>
                <w:delText> </w:delText>
              </w:r>
              <w:r w:rsidR="00DD77ED" w:rsidRPr="00183B5F">
                <w:rPr>
                  <w:sz w:val="22"/>
                  <w:szCs w:val="22"/>
                  <w:lang w:val="hu-HU"/>
                </w:rPr>
                <w:noBreakHyphen/>
              </w:r>
              <w:r w:rsidR="0025391D" w:rsidRPr="00183B5F">
                <w:rPr>
                  <w:sz w:val="22"/>
                  <w:szCs w:val="22"/>
                  <w:lang w:val="hu-HU"/>
                </w:rPr>
                <w:delText> </w:delText>
              </w:r>
              <w:r w:rsidRPr="00183B5F">
                <w:rPr>
                  <w:sz w:val="22"/>
                  <w:szCs w:val="22"/>
                  <w:lang w:val="hu-HU"/>
                </w:rPr>
                <w:delText>&lt;</w:delText>
              </w:r>
              <w:r w:rsidR="003A7EB4" w:rsidRPr="00183B5F">
                <w:rPr>
                  <w:sz w:val="22"/>
                  <w:szCs w:val="22"/>
                  <w:lang w:val="hu-HU"/>
                </w:rPr>
                <w:delText> </w:delText>
              </w:r>
              <w:r w:rsidRPr="00183B5F">
                <w:rPr>
                  <w:sz w:val="22"/>
                  <w:szCs w:val="22"/>
                  <w:lang w:val="hu-HU"/>
                </w:rPr>
                <w:delText>30 kg</w:delText>
              </w:r>
            </w:del>
          </w:p>
        </w:tc>
        <w:tc>
          <w:tcPr>
            <w:tcW w:w="3394" w:type="dxa"/>
            <w:tcBorders>
              <w:top w:val="single" w:sz="4" w:space="0" w:color="auto"/>
              <w:bottom w:val="single" w:sz="4" w:space="0" w:color="auto"/>
            </w:tcBorders>
          </w:tcPr>
          <w:p w14:paraId="2D70D0C3" w14:textId="759482F0" w:rsidR="007A2741" w:rsidRPr="00183B5F" w:rsidRDefault="00943743" w:rsidP="004062FE">
            <w:pPr>
              <w:pStyle w:val="TableLeft"/>
              <w:spacing w:before="0" w:after="0" w:line="240" w:lineRule="auto"/>
              <w:jc w:val="center"/>
              <w:rPr>
                <w:del w:id="4145" w:author="AbbVie_HU_03" w:date="2025-05-14T15:27:00Z"/>
                <w:b/>
                <w:sz w:val="22"/>
                <w:szCs w:val="22"/>
                <w:lang w:val="hu-HU"/>
              </w:rPr>
            </w:pPr>
            <w:del w:id="4146" w:author="AbbVie_HU_03" w:date="2025-05-14T15:27:00Z">
              <w:r w:rsidRPr="00183B5F">
                <w:rPr>
                  <w:sz w:val="22"/>
                  <w:szCs w:val="22"/>
                  <w:lang w:val="hu-HU"/>
                </w:rPr>
                <w:delText>A kezdő adag 20 mg, amelyet minden második héten 20 mg követ a kezdő dózis utáni első héttől kezdve</w:delText>
              </w:r>
            </w:del>
          </w:p>
        </w:tc>
      </w:tr>
      <w:tr w:rsidR="00011D2F" w14:paraId="328C788A" w14:textId="611DFA74" w:rsidTr="00832DC3">
        <w:trPr>
          <w:tblHeader/>
          <w:jc w:val="center"/>
          <w:del w:id="4147" w:author="AbbVie_HU_03" w:date="2025-05-14T15:27:00Z"/>
        </w:trPr>
        <w:tc>
          <w:tcPr>
            <w:tcW w:w="3401" w:type="dxa"/>
            <w:tcBorders>
              <w:top w:val="single" w:sz="4" w:space="0" w:color="auto"/>
              <w:bottom w:val="single" w:sz="4" w:space="0" w:color="auto"/>
            </w:tcBorders>
          </w:tcPr>
          <w:p w14:paraId="5C8FBDCA" w14:textId="3CC5AB6C" w:rsidR="007A2741" w:rsidRPr="00183B5F" w:rsidRDefault="00943743" w:rsidP="004062FE">
            <w:pPr>
              <w:pStyle w:val="TableLeft"/>
              <w:spacing w:before="0" w:after="0" w:line="240" w:lineRule="auto"/>
              <w:jc w:val="center"/>
              <w:rPr>
                <w:del w:id="4148" w:author="AbbVie_HU_03" w:date="2025-05-14T15:27:00Z"/>
                <w:b/>
                <w:sz w:val="22"/>
                <w:szCs w:val="22"/>
                <w:lang w:val="hu-HU"/>
              </w:rPr>
            </w:pPr>
            <w:del w:id="4149" w:author="AbbVie_HU_03" w:date="2025-05-14T15:27:00Z">
              <w:r w:rsidRPr="00183B5F">
                <w:rPr>
                  <w:sz w:val="22"/>
                  <w:szCs w:val="22"/>
                  <w:lang w:val="hu-HU"/>
                </w:rPr>
                <w:delText>≥</w:delText>
              </w:r>
              <w:r w:rsidR="003A7EB4" w:rsidRPr="00183B5F">
                <w:rPr>
                  <w:sz w:val="22"/>
                  <w:szCs w:val="22"/>
                  <w:lang w:val="hu-HU"/>
                </w:rPr>
                <w:delText> </w:delText>
              </w:r>
              <w:r w:rsidRPr="00183B5F">
                <w:rPr>
                  <w:sz w:val="22"/>
                  <w:szCs w:val="22"/>
                  <w:lang w:val="hu-HU"/>
                </w:rPr>
                <w:delText>30 kg</w:delText>
              </w:r>
            </w:del>
          </w:p>
        </w:tc>
        <w:tc>
          <w:tcPr>
            <w:tcW w:w="3394" w:type="dxa"/>
            <w:tcBorders>
              <w:top w:val="single" w:sz="4" w:space="0" w:color="auto"/>
              <w:bottom w:val="single" w:sz="4" w:space="0" w:color="auto"/>
            </w:tcBorders>
          </w:tcPr>
          <w:p w14:paraId="1170E1A0" w14:textId="017ADA86" w:rsidR="007A2741" w:rsidRPr="00183B5F" w:rsidRDefault="00943743" w:rsidP="004062FE">
            <w:pPr>
              <w:pStyle w:val="TableLeft"/>
              <w:spacing w:before="0" w:after="0" w:line="240" w:lineRule="auto"/>
              <w:jc w:val="center"/>
              <w:rPr>
                <w:del w:id="4150" w:author="AbbVie_HU_03" w:date="2025-05-14T15:27:00Z"/>
                <w:b/>
                <w:sz w:val="22"/>
                <w:szCs w:val="22"/>
                <w:lang w:val="hu-HU"/>
              </w:rPr>
            </w:pPr>
            <w:del w:id="4151" w:author="AbbVie_HU_03" w:date="2025-05-14T15:27:00Z">
              <w:r w:rsidRPr="00183B5F">
                <w:rPr>
                  <w:sz w:val="22"/>
                  <w:szCs w:val="22"/>
                  <w:lang w:val="hu-HU"/>
                </w:rPr>
                <w:delText>A kezdő adag 40 mg, amelyet minden második héten 40 mg követ a kezdő dózis utáni első héttől kezdve</w:delText>
              </w:r>
            </w:del>
          </w:p>
        </w:tc>
      </w:tr>
    </w:tbl>
    <w:p w14:paraId="51F90F90" w14:textId="561E21B0" w:rsidR="007A2741" w:rsidRPr="00183B5F" w:rsidRDefault="007A2741" w:rsidP="004062FE">
      <w:pPr>
        <w:spacing w:line="240" w:lineRule="auto"/>
        <w:rPr>
          <w:del w:id="4152" w:author="AbbVie_HU_03" w:date="2025-05-14T15:27:00Z"/>
          <w:szCs w:val="22"/>
        </w:rPr>
      </w:pPr>
    </w:p>
    <w:p w14:paraId="5AD6E173" w14:textId="45136B68" w:rsidR="00274602" w:rsidRPr="00183B5F" w:rsidRDefault="00943743" w:rsidP="004062FE">
      <w:pPr>
        <w:spacing w:line="240" w:lineRule="auto"/>
        <w:rPr>
          <w:del w:id="4153" w:author="AbbVie_HU_03" w:date="2025-05-14T15:27:00Z"/>
          <w:szCs w:val="22"/>
        </w:rPr>
      </w:pPr>
      <w:del w:id="4154" w:author="AbbVie_HU_03" w:date="2025-05-14T15:27:00Z">
        <w:r w:rsidRPr="00183B5F">
          <w:rPr>
            <w:szCs w:val="22"/>
          </w:rPr>
          <w:delText>A kezelés folytatását a 16. hét után gondosan mérlegelni kell, ha a beteg nem reagál ennyi idő alatt.</w:delText>
        </w:r>
      </w:del>
    </w:p>
    <w:p w14:paraId="0093E654" w14:textId="150C481B" w:rsidR="00274602" w:rsidRPr="00183B5F" w:rsidRDefault="00274602" w:rsidP="004062FE">
      <w:pPr>
        <w:spacing w:line="240" w:lineRule="auto"/>
        <w:rPr>
          <w:del w:id="4155" w:author="AbbVie_HU_03" w:date="2025-05-14T15:27:00Z"/>
          <w:szCs w:val="22"/>
        </w:rPr>
      </w:pPr>
    </w:p>
    <w:p w14:paraId="44F7C70F" w14:textId="0DB94668" w:rsidR="00274602" w:rsidRPr="00183B5F" w:rsidRDefault="00943743" w:rsidP="004062FE">
      <w:pPr>
        <w:spacing w:line="240" w:lineRule="auto"/>
        <w:rPr>
          <w:del w:id="4156" w:author="AbbVie_HU_03" w:date="2025-05-14T15:27:00Z"/>
          <w:szCs w:val="22"/>
        </w:rPr>
      </w:pPr>
      <w:del w:id="4157" w:author="AbbVie_HU_03" w:date="2025-05-14T15:27:00Z">
        <w:r w:rsidRPr="00183B5F">
          <w:rPr>
            <w:szCs w:val="22"/>
          </w:rPr>
          <w:delText xml:space="preserve">Ha újabb adag Humira kezelés javasolt, a </w:delText>
        </w:r>
        <w:r w:rsidR="00824F0F" w:rsidRPr="00183B5F">
          <w:rPr>
            <w:szCs w:val="22"/>
          </w:rPr>
          <w:delText>fenti</w:delText>
        </w:r>
        <w:r w:rsidRPr="00183B5F">
          <w:rPr>
            <w:szCs w:val="22"/>
          </w:rPr>
          <w:delText xml:space="preserve"> adagolási útmutatót és kezelési időtartamot kell követni.</w:delText>
        </w:r>
      </w:del>
    </w:p>
    <w:p w14:paraId="709C5A2C" w14:textId="17CEC559" w:rsidR="00274602" w:rsidRPr="00183B5F" w:rsidRDefault="00274602" w:rsidP="004062FE">
      <w:pPr>
        <w:spacing w:line="240" w:lineRule="auto"/>
        <w:rPr>
          <w:del w:id="4158" w:author="AbbVie_HU_03" w:date="2025-05-14T15:27:00Z"/>
          <w:szCs w:val="22"/>
        </w:rPr>
      </w:pPr>
    </w:p>
    <w:p w14:paraId="393C397A" w14:textId="2461ED24" w:rsidR="00274602" w:rsidRPr="00183B5F" w:rsidRDefault="00943743" w:rsidP="004062FE">
      <w:pPr>
        <w:spacing w:line="240" w:lineRule="auto"/>
        <w:rPr>
          <w:del w:id="4159" w:author="AbbVie_HU_03" w:date="2025-05-14T15:27:00Z"/>
          <w:szCs w:val="22"/>
        </w:rPr>
      </w:pPr>
      <w:del w:id="4160" w:author="AbbVie_HU_03" w:date="2025-05-14T15:27:00Z">
        <w:r w:rsidRPr="00183B5F">
          <w:rPr>
            <w:szCs w:val="22"/>
          </w:rPr>
          <w:delText>A Humira biztonságosságát plakkos psoriasisban szenvedő gyermekeknél átlagosan 13 hónapig vizsgálták.</w:delText>
        </w:r>
      </w:del>
    </w:p>
    <w:p w14:paraId="5675E1F3" w14:textId="5BD34615" w:rsidR="00274602" w:rsidRPr="00183B5F" w:rsidRDefault="00274602" w:rsidP="004062FE">
      <w:pPr>
        <w:spacing w:line="240" w:lineRule="auto"/>
        <w:rPr>
          <w:del w:id="4161" w:author="AbbVie_HU_03" w:date="2025-05-14T15:27:00Z"/>
          <w:szCs w:val="22"/>
        </w:rPr>
      </w:pPr>
    </w:p>
    <w:p w14:paraId="0369FEF3" w14:textId="208BA169" w:rsidR="00274602" w:rsidRPr="00183B5F" w:rsidRDefault="00943743" w:rsidP="004062FE">
      <w:pPr>
        <w:spacing w:line="240" w:lineRule="auto"/>
        <w:rPr>
          <w:del w:id="4162" w:author="AbbVie_HU_03" w:date="2025-05-14T15:27:00Z"/>
          <w:szCs w:val="22"/>
        </w:rPr>
      </w:pPr>
      <w:del w:id="4163" w:author="AbbVie_HU_03" w:date="2025-05-14T15:27:00Z">
        <w:r w:rsidRPr="00183B5F">
          <w:rPr>
            <w:szCs w:val="22"/>
          </w:rPr>
          <w:delText>A Humira</w:delText>
        </w:r>
        <w:r w:rsidRPr="00183B5F">
          <w:rPr>
            <w:szCs w:val="22"/>
          </w:rPr>
          <w:noBreakHyphen/>
          <w:delText>nak 4 évesnél fiatalabb gyermekeknél ebben a javallatban nincs releváns alkalmazása.</w:delText>
        </w:r>
      </w:del>
    </w:p>
    <w:p w14:paraId="14665153" w14:textId="27BBFAEF" w:rsidR="003F00D9" w:rsidRPr="00183B5F" w:rsidRDefault="003F00D9" w:rsidP="004062FE">
      <w:pPr>
        <w:spacing w:line="240" w:lineRule="auto"/>
        <w:rPr>
          <w:del w:id="4164" w:author="AbbVie_HU_03" w:date="2025-05-14T15:27:00Z"/>
          <w:szCs w:val="22"/>
        </w:rPr>
      </w:pPr>
    </w:p>
    <w:p w14:paraId="344A949A" w14:textId="323CB9D5" w:rsidR="003F00D9" w:rsidRPr="00183B5F" w:rsidRDefault="00943743" w:rsidP="004062FE">
      <w:pPr>
        <w:spacing w:line="240" w:lineRule="auto"/>
        <w:rPr>
          <w:del w:id="4165" w:author="AbbVie_HU_03" w:date="2025-05-14T15:27:00Z"/>
          <w:szCs w:val="22"/>
        </w:rPr>
      </w:pPr>
      <w:del w:id="4166" w:author="AbbVie_HU_03" w:date="2025-05-14T15:27:00Z">
        <w:r w:rsidRPr="00183B5F">
          <w:rPr>
            <w:szCs w:val="22"/>
          </w:rPr>
          <w:delText>A Humira más hatáserősségben és/vagy kiszerelésben is elérhető az egyéni terápiás igényeknek megfelelően.</w:delText>
        </w:r>
      </w:del>
    </w:p>
    <w:p w14:paraId="2C339B4F" w14:textId="5EB1E96F" w:rsidR="00274602" w:rsidRPr="00183B5F" w:rsidRDefault="00274602" w:rsidP="004062FE">
      <w:pPr>
        <w:spacing w:line="240" w:lineRule="auto"/>
        <w:rPr>
          <w:del w:id="4167" w:author="AbbVie_HU_03" w:date="2025-05-14T15:27:00Z"/>
          <w:szCs w:val="22"/>
        </w:rPr>
      </w:pPr>
    </w:p>
    <w:p w14:paraId="52D9E47D" w14:textId="3484B146" w:rsidR="00DD0429" w:rsidRPr="00183B5F" w:rsidRDefault="00943743">
      <w:pPr>
        <w:keepNext/>
        <w:spacing w:line="240" w:lineRule="auto"/>
        <w:rPr>
          <w:del w:id="4168" w:author="AbbVie_HU_03" w:date="2025-05-14T15:27:00Z"/>
          <w:i/>
          <w:szCs w:val="22"/>
        </w:rPr>
      </w:pPr>
      <w:del w:id="4169" w:author="AbbVie_HU_03" w:date="2025-05-14T15:27:00Z">
        <w:r w:rsidRPr="00183B5F">
          <w:rPr>
            <w:i/>
            <w:szCs w:val="22"/>
          </w:rPr>
          <w:delText>Serdülőkori hidradenitis suppurativa (12 éves kortól, legalább 30 kg</w:delText>
        </w:r>
        <w:r w:rsidRPr="00183B5F">
          <w:rPr>
            <w:i/>
            <w:szCs w:val="22"/>
          </w:rPr>
          <w:noBreakHyphen/>
          <w:delText>os betegek)</w:delText>
        </w:r>
      </w:del>
    </w:p>
    <w:p w14:paraId="0C1F717F" w14:textId="6191ABC3" w:rsidR="00DD0429" w:rsidRPr="00183B5F" w:rsidRDefault="00DD0429">
      <w:pPr>
        <w:keepNext/>
        <w:spacing w:line="240" w:lineRule="auto"/>
        <w:rPr>
          <w:del w:id="4170" w:author="AbbVie_HU_03" w:date="2025-05-14T15:27:00Z"/>
          <w:szCs w:val="22"/>
        </w:rPr>
      </w:pPr>
    </w:p>
    <w:p w14:paraId="2D51BFB3" w14:textId="7371D51D" w:rsidR="00DD0429" w:rsidRPr="00183B5F" w:rsidRDefault="00943743">
      <w:pPr>
        <w:spacing w:line="240" w:lineRule="auto"/>
        <w:rPr>
          <w:del w:id="4171" w:author="AbbVie_HU_03" w:date="2025-05-14T15:27:00Z"/>
          <w:szCs w:val="22"/>
        </w:rPr>
      </w:pPr>
      <w:del w:id="4172" w:author="AbbVie_HU_03" w:date="2025-05-14T15:27:00Z">
        <w:r w:rsidRPr="00183B5F">
          <w:rPr>
            <w:szCs w:val="22"/>
          </w:rPr>
          <w:delText>Nem végeztek klinikai vizsgálatokat Humira</w:delText>
        </w:r>
        <w:r w:rsidRPr="00183B5F">
          <w:rPr>
            <w:szCs w:val="22"/>
          </w:rPr>
          <w:noBreakHyphen/>
          <w:delText>val HS</w:delText>
        </w:r>
        <w:r w:rsidRPr="00183B5F">
          <w:rPr>
            <w:szCs w:val="22"/>
          </w:rPr>
          <w:noBreakHyphen/>
        </w:r>
        <w:r w:rsidRPr="00183B5F">
          <w:rPr>
            <w:szCs w:val="22"/>
          </w:rPr>
          <w:delText>ben szenvedő serdülőknél. A Humira adagolását ezeknél a betegeknél farmakokinetikai modellezéssel és szimulációval határozták meg (lásd 5.2 pont).</w:delText>
        </w:r>
      </w:del>
    </w:p>
    <w:p w14:paraId="3433F019" w14:textId="7109AD39" w:rsidR="00DD0429" w:rsidRPr="00183B5F" w:rsidRDefault="00DD0429">
      <w:pPr>
        <w:spacing w:line="240" w:lineRule="auto"/>
        <w:rPr>
          <w:del w:id="4173" w:author="AbbVie_HU_03" w:date="2025-05-14T15:27:00Z"/>
          <w:szCs w:val="22"/>
        </w:rPr>
      </w:pPr>
    </w:p>
    <w:p w14:paraId="478EC028" w14:textId="3C79E844" w:rsidR="00DD0429" w:rsidRPr="00183B5F" w:rsidRDefault="00943743">
      <w:pPr>
        <w:spacing w:line="240" w:lineRule="auto"/>
        <w:rPr>
          <w:del w:id="4174" w:author="AbbVie_HU_03" w:date="2025-05-14T15:27:00Z"/>
          <w:szCs w:val="22"/>
        </w:rPr>
      </w:pPr>
      <w:del w:id="4175" w:author="AbbVie_HU_03" w:date="2025-05-14T15:27:00Z">
        <w:r w:rsidRPr="00183B5F">
          <w:rPr>
            <w:szCs w:val="22"/>
          </w:rPr>
          <w:delText xml:space="preserve">A Humira ajánlott adagja a 0. héten 80 mg, amit első héttől kezdve 40 mg </w:delText>
        </w:r>
        <w:r w:rsidRPr="00183B5F">
          <w:rPr>
            <w:i/>
            <w:szCs w:val="22"/>
          </w:rPr>
          <w:delText>subcutan</w:delText>
        </w:r>
        <w:r w:rsidRPr="00183B5F">
          <w:rPr>
            <w:szCs w:val="22"/>
          </w:rPr>
          <w:delText xml:space="preserve"> adott injekció követ minden 2. héten.</w:delText>
        </w:r>
      </w:del>
    </w:p>
    <w:p w14:paraId="4A6E8689" w14:textId="2BD05FE2" w:rsidR="007A2741" w:rsidRPr="00183B5F" w:rsidRDefault="007A2741">
      <w:pPr>
        <w:spacing w:line="240" w:lineRule="auto"/>
        <w:rPr>
          <w:del w:id="4176" w:author="AbbVie_HU_03" w:date="2025-05-14T15:27:00Z"/>
          <w:szCs w:val="22"/>
        </w:rPr>
      </w:pPr>
    </w:p>
    <w:p w14:paraId="0D2C24F7" w14:textId="73FB1925" w:rsidR="007A2741" w:rsidRPr="00183B5F" w:rsidRDefault="007A2741">
      <w:pPr>
        <w:spacing w:line="240" w:lineRule="auto"/>
        <w:rPr>
          <w:del w:id="4177" w:author="AbbVie_HU_03" w:date="2025-05-14T15:27:00Z"/>
          <w:szCs w:val="22"/>
        </w:rPr>
      </w:pPr>
    </w:p>
    <w:p w14:paraId="7192E07C" w14:textId="39F7E7ED" w:rsidR="00DD0429" w:rsidRPr="00183B5F" w:rsidRDefault="00943743">
      <w:pPr>
        <w:spacing w:line="240" w:lineRule="auto"/>
        <w:rPr>
          <w:del w:id="4178" w:author="AbbVie_HU_03" w:date="2025-05-14T15:27:00Z"/>
          <w:szCs w:val="22"/>
        </w:rPr>
      </w:pPr>
      <w:del w:id="4179" w:author="AbbVie_HU_03" w:date="2025-05-14T15:27:00Z">
        <w:r w:rsidRPr="00183B5F">
          <w:rPr>
            <w:szCs w:val="22"/>
          </w:rPr>
          <w:delText>Azoknál a serdülőkorú betegeknél, akik nem megfelelően reagálnak a kéthetente adagolt 40 mg Humira kezelésre, megfontolandó a Humira ad</w:delText>
        </w:r>
        <w:r w:rsidR="008672B1" w:rsidRPr="00183B5F">
          <w:rPr>
            <w:szCs w:val="22"/>
          </w:rPr>
          <w:delText>agját</w:delText>
        </w:r>
        <w:r w:rsidRPr="00183B5F">
          <w:rPr>
            <w:szCs w:val="22"/>
          </w:rPr>
          <w:delText xml:space="preserve"> heti 40 mg</w:delText>
        </w:r>
        <w:r w:rsidRPr="00183B5F">
          <w:rPr>
            <w:szCs w:val="22"/>
          </w:rPr>
          <w:noBreakHyphen/>
          <w:delText xml:space="preserve">ra </w:delText>
        </w:r>
        <w:r w:rsidR="008672B1" w:rsidRPr="00183B5F">
          <w:rPr>
            <w:szCs w:val="22"/>
          </w:rPr>
          <w:delText>vagy kéthetente 80 mg</w:delText>
        </w:r>
        <w:r w:rsidR="008672B1" w:rsidRPr="00183B5F">
          <w:rPr>
            <w:szCs w:val="22"/>
          </w:rPr>
          <w:noBreakHyphen/>
          <w:delText xml:space="preserve">ra </w:delText>
        </w:r>
        <w:r w:rsidRPr="00183B5F">
          <w:rPr>
            <w:szCs w:val="22"/>
          </w:rPr>
          <w:delText>emelni.</w:delText>
        </w:r>
      </w:del>
    </w:p>
    <w:p w14:paraId="2ABADD33" w14:textId="76892F29" w:rsidR="00DD0429" w:rsidRPr="00183B5F" w:rsidRDefault="00DD0429">
      <w:pPr>
        <w:spacing w:line="240" w:lineRule="auto"/>
        <w:rPr>
          <w:del w:id="4180" w:author="AbbVie_HU_03" w:date="2025-05-14T15:27:00Z"/>
          <w:szCs w:val="22"/>
        </w:rPr>
      </w:pPr>
    </w:p>
    <w:p w14:paraId="5DC4B395" w14:textId="188DA14A" w:rsidR="00DD0429" w:rsidRPr="00183B5F" w:rsidRDefault="00943743">
      <w:pPr>
        <w:spacing w:line="240" w:lineRule="auto"/>
        <w:rPr>
          <w:del w:id="4181" w:author="AbbVie_HU_03" w:date="2025-05-14T15:27:00Z"/>
          <w:szCs w:val="22"/>
        </w:rPr>
      </w:pPr>
      <w:del w:id="4182" w:author="AbbVie_HU_03" w:date="2025-05-14T15:27:00Z">
        <w:r w:rsidRPr="00183B5F">
          <w:rPr>
            <w:szCs w:val="22"/>
          </w:rPr>
          <w:delText>Szükség esetén folytatható az antibiotikum szedése a Humira</w:delText>
        </w:r>
        <w:r w:rsidR="00824F0F" w:rsidRPr="00183B5F">
          <w:rPr>
            <w:szCs w:val="22"/>
          </w:rPr>
          <w:noBreakHyphen/>
        </w:r>
        <w:r w:rsidRPr="00183B5F">
          <w:rPr>
            <w:szCs w:val="22"/>
          </w:rPr>
          <w:delText>kezelés alatt. Humira</w:delText>
        </w:r>
        <w:r w:rsidR="00824F0F" w:rsidRPr="00183B5F">
          <w:rPr>
            <w:szCs w:val="22"/>
          </w:rPr>
          <w:noBreakHyphen/>
        </w:r>
        <w:r w:rsidRPr="00183B5F">
          <w:rPr>
            <w:szCs w:val="22"/>
          </w:rPr>
          <w:delText>kezelés alatt javasolt, hogy a beteg naponta alkalmazzon helyi fertőtlenítő lemosót a HS léziókon.</w:delText>
        </w:r>
      </w:del>
    </w:p>
    <w:p w14:paraId="5E2A54F6" w14:textId="0C71615D" w:rsidR="00DD0429" w:rsidRPr="00183B5F" w:rsidRDefault="00DD0429">
      <w:pPr>
        <w:spacing w:line="240" w:lineRule="auto"/>
        <w:rPr>
          <w:del w:id="4183" w:author="AbbVie_HU_03" w:date="2025-05-14T15:27:00Z"/>
          <w:szCs w:val="22"/>
        </w:rPr>
      </w:pPr>
    </w:p>
    <w:p w14:paraId="190A488C" w14:textId="3F8A082B" w:rsidR="00DD0429" w:rsidRPr="00183B5F" w:rsidRDefault="00943743">
      <w:pPr>
        <w:spacing w:line="240" w:lineRule="auto"/>
        <w:rPr>
          <w:del w:id="4184" w:author="AbbVie_HU_03" w:date="2025-05-14T15:27:00Z"/>
          <w:szCs w:val="22"/>
        </w:rPr>
      </w:pPr>
      <w:del w:id="4185" w:author="AbbVie_HU_03" w:date="2025-05-14T15:27:00Z">
        <w:r w:rsidRPr="00183B5F">
          <w:rPr>
            <w:szCs w:val="22"/>
          </w:rPr>
          <w:delText>A kezelés folytatását alaposan meg kell fontolni azoknál a betegeknél, akik a 12. hétig nem reagálnak a kezelésre.</w:delText>
        </w:r>
      </w:del>
    </w:p>
    <w:p w14:paraId="3A8DDAE8" w14:textId="2D6836C2" w:rsidR="00DD0429" w:rsidRPr="00183B5F" w:rsidRDefault="00DD0429">
      <w:pPr>
        <w:spacing w:line="240" w:lineRule="auto"/>
        <w:rPr>
          <w:del w:id="4186" w:author="AbbVie_HU_03" w:date="2025-05-14T15:27:00Z"/>
          <w:szCs w:val="22"/>
        </w:rPr>
      </w:pPr>
    </w:p>
    <w:p w14:paraId="6F13CB06" w14:textId="11C745B7" w:rsidR="00DD0429" w:rsidRPr="00183B5F" w:rsidRDefault="00943743">
      <w:pPr>
        <w:spacing w:line="240" w:lineRule="auto"/>
        <w:rPr>
          <w:del w:id="4187" w:author="AbbVie_HU_03" w:date="2025-05-14T15:27:00Z"/>
          <w:szCs w:val="22"/>
        </w:rPr>
      </w:pPr>
      <w:del w:id="4188" w:author="AbbVie_HU_03" w:date="2025-05-14T15:27:00Z">
        <w:r w:rsidRPr="00183B5F">
          <w:rPr>
            <w:szCs w:val="22"/>
          </w:rPr>
          <w:delText>Amennyiben a kezelés megszakadt, a Humira szükség szerint újra alkalmazható.</w:delText>
        </w:r>
      </w:del>
    </w:p>
    <w:p w14:paraId="65608FBA" w14:textId="24CA35D4" w:rsidR="00DD0429" w:rsidRPr="00183B5F" w:rsidRDefault="00DD0429">
      <w:pPr>
        <w:spacing w:line="240" w:lineRule="auto"/>
        <w:rPr>
          <w:del w:id="4189" w:author="AbbVie_HU_03" w:date="2025-05-14T15:27:00Z"/>
          <w:szCs w:val="22"/>
        </w:rPr>
      </w:pPr>
    </w:p>
    <w:p w14:paraId="4476B7CC" w14:textId="4E65C121" w:rsidR="00DD0429" w:rsidRPr="00183B5F" w:rsidRDefault="00943743">
      <w:pPr>
        <w:spacing w:line="240" w:lineRule="auto"/>
        <w:rPr>
          <w:del w:id="4190" w:author="AbbVie_HU_03" w:date="2025-05-14T15:27:00Z"/>
          <w:szCs w:val="22"/>
        </w:rPr>
      </w:pPr>
      <w:del w:id="4191" w:author="AbbVie_HU_03" w:date="2025-05-14T15:27:00Z">
        <w:r w:rsidRPr="00183B5F">
          <w:rPr>
            <w:szCs w:val="22"/>
          </w:rPr>
          <w:delText>A folyamatos, hosszú távú kezelés előnyét és kockázatát időszakosan értékelni kell (lásd felnőtt adatok, 5.1 pont).</w:delText>
        </w:r>
      </w:del>
    </w:p>
    <w:p w14:paraId="1975F629" w14:textId="30AEF5B7" w:rsidR="00DD0429" w:rsidRPr="00183B5F" w:rsidRDefault="00DD0429">
      <w:pPr>
        <w:spacing w:line="240" w:lineRule="auto"/>
        <w:rPr>
          <w:del w:id="4192" w:author="AbbVie_HU_03" w:date="2025-05-14T15:27:00Z"/>
          <w:szCs w:val="22"/>
        </w:rPr>
      </w:pPr>
    </w:p>
    <w:p w14:paraId="5D714FB2" w14:textId="22890486" w:rsidR="00DD0429" w:rsidRPr="00183B5F" w:rsidRDefault="00943743">
      <w:pPr>
        <w:spacing w:line="240" w:lineRule="auto"/>
        <w:rPr>
          <w:del w:id="4193" w:author="AbbVie_HU_03" w:date="2025-05-14T15:27:00Z"/>
          <w:szCs w:val="22"/>
        </w:rPr>
      </w:pPr>
      <w:del w:id="4194" w:author="AbbVie_HU_03" w:date="2025-05-14T15:27:00Z">
        <w:r w:rsidRPr="00183B5F">
          <w:rPr>
            <w:szCs w:val="22"/>
          </w:rPr>
          <w:delText>A Humira</w:delText>
        </w:r>
        <w:r w:rsidRPr="00183B5F">
          <w:rPr>
            <w:szCs w:val="22"/>
          </w:rPr>
          <w:noBreakHyphen/>
          <w:delText>nak 12 évesnél fiatalabb gyermekeknél ebben a javallatban nincs releváns alkalmazása.</w:delText>
        </w:r>
      </w:del>
    </w:p>
    <w:p w14:paraId="5F0B4078" w14:textId="7D7F4A9D" w:rsidR="003F00D9" w:rsidRPr="00183B5F" w:rsidRDefault="003F00D9">
      <w:pPr>
        <w:spacing w:line="240" w:lineRule="auto"/>
        <w:rPr>
          <w:del w:id="4195" w:author="AbbVie_HU_03" w:date="2025-05-14T15:27:00Z"/>
          <w:szCs w:val="22"/>
        </w:rPr>
      </w:pPr>
    </w:p>
    <w:p w14:paraId="4DB52F82" w14:textId="1B122541" w:rsidR="003F00D9" w:rsidRPr="00183B5F" w:rsidRDefault="00943743">
      <w:pPr>
        <w:spacing w:line="240" w:lineRule="auto"/>
        <w:rPr>
          <w:del w:id="4196" w:author="AbbVie_HU_03" w:date="2025-05-14T15:27:00Z"/>
          <w:szCs w:val="22"/>
        </w:rPr>
      </w:pPr>
      <w:del w:id="4197" w:author="AbbVie_HU_03" w:date="2025-05-14T15:27:00Z">
        <w:r w:rsidRPr="00183B5F">
          <w:rPr>
            <w:szCs w:val="22"/>
          </w:rPr>
          <w:delText>A Humira más hatáserősségben és/vagy kiszerelésben is elérhető az egyéni terápiás igényeknek megfelelően.</w:delText>
        </w:r>
      </w:del>
    </w:p>
    <w:p w14:paraId="3AEC67FE" w14:textId="222BFF63" w:rsidR="00DD0429" w:rsidRPr="00183B5F" w:rsidRDefault="00DD0429" w:rsidP="004062FE">
      <w:pPr>
        <w:spacing w:line="240" w:lineRule="auto"/>
        <w:rPr>
          <w:del w:id="4198" w:author="AbbVie_HU_03" w:date="2025-05-14T15:27:00Z"/>
          <w:szCs w:val="22"/>
        </w:rPr>
      </w:pPr>
    </w:p>
    <w:p w14:paraId="1A5E45FB" w14:textId="442815C1" w:rsidR="003F0E52" w:rsidRPr="00183B5F" w:rsidRDefault="00943743" w:rsidP="004062FE">
      <w:pPr>
        <w:keepNext/>
        <w:spacing w:line="240" w:lineRule="auto"/>
        <w:rPr>
          <w:del w:id="4199" w:author="AbbVie_HU_03" w:date="2025-05-14T15:27:00Z"/>
          <w:i/>
          <w:szCs w:val="22"/>
        </w:rPr>
      </w:pPr>
      <w:del w:id="4200" w:author="AbbVie_HU_03" w:date="2025-05-14T15:27:00Z">
        <w:r w:rsidRPr="00183B5F">
          <w:rPr>
            <w:i/>
            <w:szCs w:val="22"/>
          </w:rPr>
          <w:delText>Gyermekkori Crohn</w:delText>
        </w:r>
        <w:r w:rsidR="005E4243" w:rsidRPr="00183B5F">
          <w:rPr>
            <w:i/>
            <w:szCs w:val="22"/>
          </w:rPr>
          <w:noBreakHyphen/>
        </w:r>
        <w:r w:rsidRPr="00183B5F">
          <w:rPr>
            <w:i/>
            <w:szCs w:val="22"/>
          </w:rPr>
          <w:delText>betegség</w:delText>
        </w:r>
      </w:del>
    </w:p>
    <w:p w14:paraId="2DAF6555" w14:textId="50D758B7" w:rsidR="003F0E52" w:rsidRPr="00183B5F" w:rsidRDefault="003F0E52" w:rsidP="004062FE">
      <w:pPr>
        <w:keepNext/>
        <w:spacing w:line="240" w:lineRule="auto"/>
        <w:rPr>
          <w:del w:id="4201" w:author="AbbVie_HU_03" w:date="2025-05-14T15:27:00Z"/>
          <w:szCs w:val="22"/>
        </w:rPr>
      </w:pPr>
    </w:p>
    <w:p w14:paraId="3CCF3BBB" w14:textId="63C55891" w:rsidR="007A2741" w:rsidRPr="00183B5F" w:rsidRDefault="00943743" w:rsidP="004062FE">
      <w:pPr>
        <w:keepNext/>
        <w:spacing w:line="240" w:lineRule="auto"/>
        <w:rPr>
          <w:del w:id="4202" w:author="AbbVie_HU_03" w:date="2025-05-14T15:27:00Z"/>
          <w:szCs w:val="22"/>
        </w:rPr>
      </w:pPr>
      <w:del w:id="4203" w:author="AbbVie_HU_03" w:date="2025-05-14T15:27:00Z">
        <w:r w:rsidRPr="00183B5F">
          <w:rPr>
            <w:szCs w:val="22"/>
          </w:rPr>
          <w:delText>A Humira ajánlott adagja Crohn</w:delText>
        </w:r>
        <w:r w:rsidR="00DD77ED" w:rsidRPr="00183B5F">
          <w:rPr>
            <w:szCs w:val="22"/>
          </w:rPr>
          <w:noBreakHyphen/>
        </w:r>
        <w:r w:rsidRPr="00183B5F">
          <w:rPr>
            <w:szCs w:val="22"/>
          </w:rPr>
          <w:delText>betegségben szenvedő</w:delText>
        </w:r>
        <w:r w:rsidR="00177C94" w:rsidRPr="00183B5F">
          <w:rPr>
            <w:szCs w:val="22"/>
          </w:rPr>
          <w:delText>,</w:delText>
        </w:r>
        <w:r w:rsidRPr="00183B5F">
          <w:rPr>
            <w:szCs w:val="22"/>
          </w:rPr>
          <w:delText xml:space="preserve"> 6</w:delText>
        </w:r>
        <w:r w:rsidR="00DD77ED" w:rsidRPr="00183B5F">
          <w:rPr>
            <w:szCs w:val="22"/>
          </w:rPr>
          <w:noBreakHyphen/>
        </w:r>
        <w:r w:rsidRPr="00183B5F">
          <w:rPr>
            <w:szCs w:val="22"/>
          </w:rPr>
          <w:delText>17 éves betegek</w:delText>
        </w:r>
        <w:r w:rsidR="003A7EB4" w:rsidRPr="00183B5F">
          <w:rPr>
            <w:szCs w:val="22"/>
          </w:rPr>
          <w:delText>nél a</w:delText>
        </w:r>
        <w:r w:rsidRPr="00183B5F">
          <w:rPr>
            <w:szCs w:val="22"/>
          </w:rPr>
          <w:delText xml:space="preserve"> testtömegtől függ (4. táblázat). A Humira</w:delText>
        </w:r>
        <w:r w:rsidR="00DD77ED" w:rsidRPr="00183B5F">
          <w:rPr>
            <w:szCs w:val="22"/>
          </w:rPr>
          <w:noBreakHyphen/>
        </w:r>
        <w:r w:rsidRPr="00183B5F">
          <w:rPr>
            <w:szCs w:val="22"/>
          </w:rPr>
          <w:delText xml:space="preserve">t subcutan injekció formájában </w:delText>
        </w:r>
        <w:r w:rsidR="003A7EB4" w:rsidRPr="00183B5F">
          <w:rPr>
            <w:szCs w:val="22"/>
          </w:rPr>
          <w:delText xml:space="preserve">kell </w:delText>
        </w:r>
        <w:r w:rsidRPr="00183B5F">
          <w:rPr>
            <w:szCs w:val="22"/>
          </w:rPr>
          <w:delText>alkalmaz</w:delText>
        </w:r>
        <w:r w:rsidR="003A7EB4" w:rsidRPr="00183B5F">
          <w:rPr>
            <w:szCs w:val="22"/>
          </w:rPr>
          <w:delText>ni</w:delText>
        </w:r>
        <w:r w:rsidRPr="00183B5F">
          <w:rPr>
            <w:szCs w:val="22"/>
          </w:rPr>
          <w:delText>.</w:delText>
        </w:r>
      </w:del>
    </w:p>
    <w:p w14:paraId="75334434" w14:textId="24E3A159" w:rsidR="007A2741" w:rsidRPr="00183B5F" w:rsidRDefault="007A2741" w:rsidP="004062FE">
      <w:pPr>
        <w:keepNext/>
        <w:spacing w:line="240" w:lineRule="auto"/>
        <w:jc w:val="center"/>
        <w:rPr>
          <w:del w:id="4204" w:author="AbbVie_HU_03" w:date="2025-05-14T15:27:00Z"/>
          <w:b/>
          <w:szCs w:val="22"/>
        </w:rPr>
      </w:pPr>
    </w:p>
    <w:p w14:paraId="4ACC85D6" w14:textId="440062F1" w:rsidR="007A2741" w:rsidRPr="00183B5F" w:rsidRDefault="00943743" w:rsidP="0080649D">
      <w:pPr>
        <w:keepNext/>
        <w:spacing w:line="240" w:lineRule="auto"/>
        <w:jc w:val="center"/>
        <w:rPr>
          <w:del w:id="4205" w:author="AbbVie_HU_03" w:date="2025-05-14T15:27:00Z"/>
          <w:b/>
          <w:szCs w:val="22"/>
        </w:rPr>
      </w:pPr>
      <w:del w:id="4206" w:author="AbbVie_HU_03" w:date="2025-05-14T15:27:00Z">
        <w:r w:rsidRPr="00183B5F">
          <w:rPr>
            <w:b/>
            <w:szCs w:val="22"/>
          </w:rPr>
          <w:delText>4. táblázat: A Humira dózisa Crohn</w:delText>
        </w:r>
        <w:r w:rsidR="00DD77ED" w:rsidRPr="00183B5F">
          <w:rPr>
            <w:b/>
            <w:szCs w:val="22"/>
          </w:rPr>
          <w:noBreakHyphen/>
        </w:r>
        <w:r w:rsidRPr="00183B5F">
          <w:rPr>
            <w:b/>
            <w:szCs w:val="22"/>
          </w:rPr>
          <w:delText>betegségben szenvedő gyermekek</w:delText>
        </w:r>
        <w:r w:rsidR="003A7EB4" w:rsidRPr="00183B5F">
          <w:rPr>
            <w:b/>
            <w:szCs w:val="22"/>
          </w:rPr>
          <w:delText>nél</w:delText>
        </w:r>
      </w:del>
    </w:p>
    <w:p w14:paraId="233741D4" w14:textId="5DE07FDB" w:rsidR="007A2741" w:rsidRPr="00183B5F" w:rsidRDefault="007A2741" w:rsidP="004062FE">
      <w:pPr>
        <w:keepNext/>
        <w:spacing w:line="240" w:lineRule="auto"/>
        <w:rPr>
          <w:del w:id="4207" w:author="AbbVie_HU_03" w:date="2025-05-14T15:27:00Z"/>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63"/>
        <w:gridCol w:w="6312"/>
        <w:gridCol w:w="1480"/>
      </w:tblGrid>
      <w:tr w:rsidR="00011D2F" w14:paraId="3EE79B2C" w14:textId="630E365C" w:rsidTr="007A2741">
        <w:trPr>
          <w:tblHeader/>
          <w:del w:id="4208" w:author="AbbVie_HU_03" w:date="2025-05-14T15:27:00Z"/>
        </w:trPr>
        <w:tc>
          <w:tcPr>
            <w:tcW w:w="0" w:type="auto"/>
            <w:tcBorders>
              <w:top w:val="single" w:sz="6" w:space="0" w:color="000000"/>
              <w:left w:val="single" w:sz="6" w:space="0" w:color="000000"/>
              <w:bottom w:val="single" w:sz="6" w:space="0" w:color="000000"/>
              <w:right w:val="single" w:sz="6" w:space="0" w:color="000000"/>
            </w:tcBorders>
            <w:hideMark/>
          </w:tcPr>
          <w:p w14:paraId="19E528C0" w14:textId="1ED0E31C" w:rsidR="007A2741" w:rsidRPr="00183B5F" w:rsidRDefault="00943743" w:rsidP="004062FE">
            <w:pPr>
              <w:keepNext/>
              <w:spacing w:line="240" w:lineRule="auto"/>
              <w:jc w:val="center"/>
              <w:rPr>
                <w:del w:id="4209" w:author="AbbVie_HU_03" w:date="2025-05-14T15:27:00Z"/>
              </w:rPr>
            </w:pPr>
            <w:del w:id="4210" w:author="AbbVie_HU_03" w:date="2025-05-14T15:27:00Z">
              <w:r w:rsidRPr="00183B5F">
                <w:rPr>
                  <w:b/>
                </w:rPr>
                <w:delText>A beteg testtömege</w:delText>
              </w:r>
            </w:del>
          </w:p>
        </w:tc>
        <w:tc>
          <w:tcPr>
            <w:tcW w:w="0" w:type="auto"/>
            <w:tcBorders>
              <w:top w:val="single" w:sz="6" w:space="0" w:color="000000"/>
              <w:left w:val="single" w:sz="6" w:space="0" w:color="000000"/>
              <w:bottom w:val="single" w:sz="6" w:space="0" w:color="000000"/>
              <w:right w:val="single" w:sz="6" w:space="0" w:color="000000"/>
            </w:tcBorders>
            <w:hideMark/>
          </w:tcPr>
          <w:p w14:paraId="07591336" w14:textId="398C9638" w:rsidR="007A2741" w:rsidRPr="00183B5F" w:rsidRDefault="00943743" w:rsidP="004062FE">
            <w:pPr>
              <w:keepNext/>
              <w:spacing w:line="240" w:lineRule="auto"/>
              <w:jc w:val="center"/>
              <w:rPr>
                <w:del w:id="4211" w:author="AbbVie_HU_03" w:date="2025-05-14T15:27:00Z"/>
              </w:rPr>
            </w:pPr>
            <w:del w:id="4212" w:author="AbbVie_HU_03" w:date="2025-05-14T15:27:00Z">
              <w:r w:rsidRPr="00183B5F">
                <w:rPr>
                  <w:b/>
                </w:rPr>
                <w:delText>Indukciós dózis</w:delText>
              </w:r>
            </w:del>
          </w:p>
        </w:tc>
        <w:tc>
          <w:tcPr>
            <w:tcW w:w="0" w:type="auto"/>
            <w:tcBorders>
              <w:top w:val="single" w:sz="6" w:space="0" w:color="000000"/>
              <w:left w:val="single" w:sz="6" w:space="0" w:color="000000"/>
              <w:bottom w:val="single" w:sz="6" w:space="0" w:color="000000"/>
              <w:right w:val="single" w:sz="6" w:space="0" w:color="000000"/>
            </w:tcBorders>
            <w:hideMark/>
          </w:tcPr>
          <w:p w14:paraId="7F42C0B3" w14:textId="7A7E8701" w:rsidR="007A2741" w:rsidRPr="00183B5F" w:rsidRDefault="00943743" w:rsidP="004062FE">
            <w:pPr>
              <w:keepNext/>
              <w:spacing w:line="240" w:lineRule="auto"/>
              <w:jc w:val="center"/>
              <w:rPr>
                <w:del w:id="4213" w:author="AbbVie_HU_03" w:date="2025-05-14T15:27:00Z"/>
              </w:rPr>
            </w:pPr>
            <w:del w:id="4214" w:author="AbbVie_HU_03" w:date="2025-05-14T15:27:00Z">
              <w:r w:rsidRPr="00183B5F">
                <w:rPr>
                  <w:b/>
                </w:rPr>
                <w:delText>Fenntartó dózis</w:delText>
              </w:r>
              <w:r w:rsidRPr="00183B5F">
                <w:rPr>
                  <w:b/>
                </w:rPr>
                <w:br/>
                <w:delText>4. héttől kezdve</w:delText>
              </w:r>
            </w:del>
          </w:p>
        </w:tc>
      </w:tr>
      <w:tr w:rsidR="00011D2F" w14:paraId="1973B01F" w14:textId="4C3D2761" w:rsidTr="007A2741">
        <w:trPr>
          <w:del w:id="4215" w:author="AbbVie_HU_03" w:date="2025-05-14T15:27:00Z"/>
        </w:trPr>
        <w:tc>
          <w:tcPr>
            <w:tcW w:w="0" w:type="auto"/>
            <w:tcBorders>
              <w:top w:val="single" w:sz="6" w:space="0" w:color="000000"/>
              <w:left w:val="single" w:sz="6" w:space="0" w:color="000000"/>
              <w:bottom w:val="single" w:sz="6" w:space="0" w:color="000000"/>
              <w:right w:val="single" w:sz="6" w:space="0" w:color="000000"/>
            </w:tcBorders>
            <w:hideMark/>
          </w:tcPr>
          <w:p w14:paraId="5638C279" w14:textId="72FE44F8" w:rsidR="007A2741" w:rsidRPr="00183B5F" w:rsidRDefault="00943743" w:rsidP="004062FE">
            <w:pPr>
              <w:keepNext/>
              <w:spacing w:line="240" w:lineRule="auto"/>
              <w:jc w:val="center"/>
              <w:rPr>
                <w:del w:id="4216" w:author="AbbVie_HU_03" w:date="2025-05-14T15:27:00Z"/>
              </w:rPr>
            </w:pPr>
            <w:del w:id="4217" w:author="AbbVie_HU_03" w:date="2025-05-14T15:27:00Z">
              <w:r w:rsidRPr="00183B5F">
                <w:delText>&lt;</w:delText>
              </w:r>
              <w:r w:rsidR="003A7EB4" w:rsidRPr="00183B5F">
                <w:delText> </w:delText>
              </w:r>
              <w:r w:rsidRPr="00183B5F">
                <w:delText>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5A896D7A" w14:textId="28AD6617" w:rsidR="007A2741" w:rsidRPr="00183B5F" w:rsidRDefault="00943743" w:rsidP="004062FE">
            <w:pPr>
              <w:pStyle w:val="ListParagraph"/>
              <w:keepNext/>
              <w:numPr>
                <w:ilvl w:val="0"/>
                <w:numId w:val="145"/>
              </w:numPr>
              <w:suppressAutoHyphens w:val="0"/>
              <w:spacing w:line="240" w:lineRule="auto"/>
              <w:contextualSpacing/>
              <w:rPr>
                <w:del w:id="4218" w:author="AbbVie_HU_03" w:date="2025-05-14T15:27:00Z"/>
                <w:szCs w:val="22"/>
              </w:rPr>
            </w:pPr>
            <w:del w:id="4219" w:author="AbbVie_HU_03" w:date="2025-05-14T15:27:00Z">
              <w:r w:rsidRPr="00183B5F">
                <w:rPr>
                  <w:szCs w:val="22"/>
                </w:rPr>
                <w:delText>40 mg a 0. héten és 20 mg a 2. héten.</w:delText>
              </w:r>
            </w:del>
          </w:p>
          <w:p w14:paraId="6539D322" w14:textId="1F3248BD" w:rsidR="007A2741" w:rsidRPr="00183B5F" w:rsidRDefault="007A2741" w:rsidP="004062FE">
            <w:pPr>
              <w:keepNext/>
              <w:suppressAutoHyphens w:val="0"/>
              <w:spacing w:line="240" w:lineRule="auto"/>
              <w:rPr>
                <w:del w:id="4220" w:author="AbbVie_HU_03" w:date="2025-05-14T15:27:00Z"/>
                <w:szCs w:val="22"/>
              </w:rPr>
            </w:pPr>
          </w:p>
          <w:p w14:paraId="7665BC2E" w14:textId="77610F54" w:rsidR="007A2741" w:rsidRPr="00183B5F" w:rsidRDefault="00943743" w:rsidP="004062FE">
            <w:pPr>
              <w:keepNext/>
              <w:suppressAutoHyphens w:val="0"/>
              <w:spacing w:line="240" w:lineRule="auto"/>
              <w:rPr>
                <w:del w:id="4221" w:author="AbbVie_HU_03" w:date="2025-05-14T15:27:00Z"/>
                <w:szCs w:val="22"/>
              </w:rPr>
            </w:pPr>
            <w:del w:id="4222" w:author="AbbVie_HU_03" w:date="2025-05-14T15:27:00Z">
              <w:r w:rsidRPr="00183B5F">
                <w:rPr>
                  <w:szCs w:val="22"/>
                </w:rPr>
                <w:delText>Amennyiben gyorsabb terápiás válaszra van szükség, figyelembe véve, hogy a nagyobb indukciós dózis adásakor a nemkívánatos események kockázata is nagyobb, úgy a következő adagolás alkalmazható:</w:delText>
              </w:r>
            </w:del>
          </w:p>
          <w:p w14:paraId="37F12214" w14:textId="541F483E" w:rsidR="007A2741" w:rsidRPr="00183B5F" w:rsidRDefault="00943743" w:rsidP="004062FE">
            <w:pPr>
              <w:keepNext/>
              <w:numPr>
                <w:ilvl w:val="0"/>
                <w:numId w:val="144"/>
              </w:numPr>
              <w:suppressAutoHyphens w:val="0"/>
              <w:spacing w:line="240" w:lineRule="auto"/>
              <w:ind w:left="357" w:hanging="357"/>
              <w:rPr>
                <w:del w:id="4223" w:author="AbbVie_HU_03" w:date="2025-05-14T15:27:00Z"/>
                <w:iCs/>
                <w:szCs w:val="22"/>
              </w:rPr>
            </w:pPr>
            <w:del w:id="4224" w:author="AbbVie_HU_03" w:date="2025-05-14T15:27:00Z">
              <w:r w:rsidRPr="00183B5F">
                <w:rPr>
                  <w:szCs w:val="22"/>
                </w:rPr>
                <w:delText>80 mg a 0. héten és 40 mg a 2. héten</w:delText>
              </w:r>
            </w:del>
          </w:p>
        </w:tc>
        <w:tc>
          <w:tcPr>
            <w:tcW w:w="0" w:type="auto"/>
            <w:tcBorders>
              <w:top w:val="single" w:sz="6" w:space="0" w:color="000000"/>
              <w:left w:val="single" w:sz="6" w:space="0" w:color="000000"/>
              <w:bottom w:val="single" w:sz="6" w:space="0" w:color="000000"/>
              <w:right w:val="single" w:sz="6" w:space="0" w:color="000000"/>
            </w:tcBorders>
            <w:hideMark/>
          </w:tcPr>
          <w:p w14:paraId="38B52C5D" w14:textId="192F7235" w:rsidR="007A2741" w:rsidRPr="00183B5F" w:rsidRDefault="00943743" w:rsidP="004062FE">
            <w:pPr>
              <w:keepNext/>
              <w:suppressAutoHyphens w:val="0"/>
              <w:spacing w:line="240" w:lineRule="auto"/>
              <w:ind w:left="27"/>
              <w:jc w:val="center"/>
              <w:rPr>
                <w:del w:id="4225" w:author="AbbVie_HU_03" w:date="2025-05-14T15:27:00Z"/>
              </w:rPr>
            </w:pPr>
            <w:del w:id="4226" w:author="AbbVie_HU_03" w:date="2025-05-14T15:27:00Z">
              <w:r w:rsidRPr="00183B5F">
                <w:delText>20 mg minden második héten</w:delText>
              </w:r>
            </w:del>
          </w:p>
        </w:tc>
      </w:tr>
      <w:tr w:rsidR="00011D2F" w14:paraId="73D8E699" w14:textId="21A3D77D" w:rsidTr="007A2741">
        <w:trPr>
          <w:del w:id="4227" w:author="AbbVie_HU_03" w:date="2025-05-14T15:27:00Z"/>
        </w:trPr>
        <w:tc>
          <w:tcPr>
            <w:tcW w:w="0" w:type="auto"/>
            <w:tcBorders>
              <w:top w:val="single" w:sz="6" w:space="0" w:color="000000"/>
              <w:left w:val="single" w:sz="6" w:space="0" w:color="000000"/>
              <w:bottom w:val="single" w:sz="6" w:space="0" w:color="000000"/>
              <w:right w:val="single" w:sz="6" w:space="0" w:color="000000"/>
            </w:tcBorders>
            <w:hideMark/>
          </w:tcPr>
          <w:p w14:paraId="063861EB" w14:textId="30AF5AC4" w:rsidR="007A2741" w:rsidRPr="00183B5F" w:rsidRDefault="00943743" w:rsidP="004062FE">
            <w:pPr>
              <w:keepNext/>
              <w:spacing w:line="240" w:lineRule="auto"/>
              <w:jc w:val="center"/>
              <w:rPr>
                <w:del w:id="4228" w:author="AbbVie_HU_03" w:date="2025-05-14T15:27:00Z"/>
              </w:rPr>
            </w:pPr>
            <w:del w:id="4229" w:author="AbbVie_HU_03" w:date="2025-05-14T15:27:00Z">
              <w:r w:rsidRPr="00183B5F">
                <w:delText>≥</w:delText>
              </w:r>
              <w:r w:rsidR="003A7EB4" w:rsidRPr="00183B5F">
                <w:delText> </w:delText>
              </w:r>
              <w:r w:rsidRPr="00183B5F">
                <w:delText>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3C1120E1" w14:textId="78452383" w:rsidR="007A2741" w:rsidRPr="00183B5F" w:rsidRDefault="00943743" w:rsidP="004062FE">
            <w:pPr>
              <w:pStyle w:val="ListParagraph"/>
              <w:keepNext/>
              <w:numPr>
                <w:ilvl w:val="0"/>
                <w:numId w:val="144"/>
              </w:numPr>
              <w:suppressAutoHyphens w:val="0"/>
              <w:spacing w:line="240" w:lineRule="auto"/>
              <w:ind w:left="357" w:hanging="357"/>
              <w:contextualSpacing/>
              <w:rPr>
                <w:del w:id="4230" w:author="AbbVie_HU_03" w:date="2025-05-14T15:27:00Z"/>
                <w:szCs w:val="22"/>
              </w:rPr>
            </w:pPr>
            <w:del w:id="4231" w:author="AbbVie_HU_03" w:date="2025-05-14T15:27:00Z">
              <w:r w:rsidRPr="00183B5F">
                <w:rPr>
                  <w:szCs w:val="22"/>
                </w:rPr>
                <w:delText>80 mg a 0. héten és 40 mg a 2. </w:delText>
              </w:r>
              <w:r w:rsidR="003A7EB4" w:rsidRPr="00183B5F">
                <w:rPr>
                  <w:szCs w:val="22"/>
                </w:rPr>
                <w:delText>h</w:delText>
              </w:r>
              <w:r w:rsidRPr="00183B5F">
                <w:rPr>
                  <w:szCs w:val="22"/>
                </w:rPr>
                <w:delText>éten</w:delText>
              </w:r>
            </w:del>
          </w:p>
          <w:p w14:paraId="78272D87" w14:textId="0F705666" w:rsidR="007A2741" w:rsidRPr="00183B5F" w:rsidRDefault="007A2741" w:rsidP="004062FE">
            <w:pPr>
              <w:keepNext/>
              <w:suppressAutoHyphens w:val="0"/>
              <w:spacing w:line="240" w:lineRule="auto"/>
              <w:rPr>
                <w:del w:id="4232" w:author="AbbVie_HU_03" w:date="2025-05-14T15:27:00Z"/>
                <w:szCs w:val="22"/>
              </w:rPr>
            </w:pPr>
          </w:p>
          <w:p w14:paraId="120A936D" w14:textId="20CAF2F8" w:rsidR="007A2741" w:rsidRPr="00183B5F" w:rsidRDefault="00943743" w:rsidP="004062FE">
            <w:pPr>
              <w:keepNext/>
              <w:suppressAutoHyphens w:val="0"/>
              <w:spacing w:line="240" w:lineRule="auto"/>
              <w:rPr>
                <w:del w:id="4233" w:author="AbbVie_HU_03" w:date="2025-05-14T15:27:00Z"/>
                <w:szCs w:val="22"/>
              </w:rPr>
            </w:pPr>
            <w:del w:id="4234" w:author="AbbVie_HU_03" w:date="2025-05-14T15:27:00Z">
              <w:r w:rsidRPr="00183B5F">
                <w:rPr>
                  <w:szCs w:val="22"/>
                </w:rPr>
                <w:delText>Amennyiben gyorsabb terápiás válaszra van szükség, figyelembe véve, hogy a nagyobb indukciós dózis adásakor a nemkívánatos események kockázata is nagyobb, úgy a következő adagolás alkalmazható:</w:delText>
              </w:r>
            </w:del>
          </w:p>
          <w:p w14:paraId="3AC667FB" w14:textId="0865B74E" w:rsidR="007A2741" w:rsidRPr="00183B5F" w:rsidRDefault="00943743" w:rsidP="004062FE">
            <w:pPr>
              <w:keepNext/>
              <w:numPr>
                <w:ilvl w:val="0"/>
                <w:numId w:val="143"/>
              </w:numPr>
              <w:suppressAutoHyphens w:val="0"/>
              <w:spacing w:line="240" w:lineRule="auto"/>
              <w:ind w:left="357" w:hanging="357"/>
              <w:rPr>
                <w:del w:id="4235" w:author="AbbVie_HU_03" w:date="2025-05-14T15:27:00Z"/>
                <w:szCs w:val="22"/>
              </w:rPr>
            </w:pPr>
            <w:del w:id="4236" w:author="AbbVie_HU_03" w:date="2025-05-14T15:27:00Z">
              <w:r w:rsidRPr="00183B5F">
                <w:rPr>
                  <w:szCs w:val="22"/>
                </w:rPr>
                <w:delText>160 mg a 0. héten és 80 mg a 2. héten</w:delText>
              </w:r>
            </w:del>
          </w:p>
        </w:tc>
        <w:tc>
          <w:tcPr>
            <w:tcW w:w="0" w:type="auto"/>
            <w:tcBorders>
              <w:top w:val="single" w:sz="6" w:space="0" w:color="000000"/>
              <w:left w:val="single" w:sz="6" w:space="0" w:color="000000"/>
              <w:bottom w:val="single" w:sz="6" w:space="0" w:color="000000"/>
              <w:right w:val="single" w:sz="6" w:space="0" w:color="000000"/>
            </w:tcBorders>
            <w:hideMark/>
          </w:tcPr>
          <w:p w14:paraId="688FE88A" w14:textId="4B2D3DAC" w:rsidR="007A2741" w:rsidRPr="00183B5F" w:rsidRDefault="00943743" w:rsidP="004062FE">
            <w:pPr>
              <w:keepNext/>
              <w:suppressAutoHyphens w:val="0"/>
              <w:spacing w:line="240" w:lineRule="auto"/>
              <w:ind w:left="36"/>
              <w:jc w:val="center"/>
              <w:rPr>
                <w:del w:id="4237" w:author="AbbVie_HU_03" w:date="2025-05-14T15:27:00Z"/>
              </w:rPr>
            </w:pPr>
            <w:del w:id="4238" w:author="AbbVie_HU_03" w:date="2025-05-14T15:27:00Z">
              <w:r w:rsidRPr="00183B5F">
                <w:delText>40 mg minden második héten</w:delText>
              </w:r>
            </w:del>
          </w:p>
        </w:tc>
      </w:tr>
    </w:tbl>
    <w:p w14:paraId="63136E12" w14:textId="258E8E62" w:rsidR="007A2741" w:rsidRPr="00183B5F" w:rsidRDefault="007A2741" w:rsidP="004062FE">
      <w:pPr>
        <w:spacing w:line="240" w:lineRule="auto"/>
        <w:rPr>
          <w:del w:id="4239" w:author="AbbVie_HU_03" w:date="2025-05-14T15:27:00Z"/>
          <w:szCs w:val="22"/>
        </w:rPr>
      </w:pPr>
    </w:p>
    <w:p w14:paraId="7B72975B" w14:textId="26BFB02A" w:rsidR="007A2741" w:rsidRPr="00183B5F" w:rsidRDefault="00943743" w:rsidP="004062FE">
      <w:pPr>
        <w:spacing w:line="240" w:lineRule="auto"/>
        <w:rPr>
          <w:del w:id="4240" w:author="AbbVie_HU_03" w:date="2025-05-14T15:27:00Z"/>
          <w:szCs w:val="22"/>
        </w:rPr>
      </w:pPr>
      <w:del w:id="4241" w:author="AbbVie_HU_03" w:date="2025-05-14T15:27:00Z">
        <w:r w:rsidRPr="00183B5F">
          <w:rPr>
            <w:szCs w:val="22"/>
          </w:rPr>
          <w:delText>A nem megfelelően reagáló betegeknél előnyös lehet az adag</w:delText>
        </w:r>
        <w:r w:rsidR="003A7EB4" w:rsidRPr="00183B5F">
          <w:rPr>
            <w:szCs w:val="22"/>
          </w:rPr>
          <w:delText xml:space="preserve"> növelése</w:delText>
        </w:r>
        <w:r w:rsidRPr="00183B5F">
          <w:rPr>
            <w:szCs w:val="22"/>
          </w:rPr>
          <w:delText>:</w:delText>
        </w:r>
      </w:del>
    </w:p>
    <w:p w14:paraId="762570B2" w14:textId="77043041" w:rsidR="007A2741" w:rsidRPr="00183B5F" w:rsidRDefault="00943743">
      <w:pPr>
        <w:keepNext/>
        <w:numPr>
          <w:ilvl w:val="0"/>
          <w:numId w:val="143"/>
        </w:numPr>
        <w:tabs>
          <w:tab w:val="left" w:pos="540"/>
        </w:tabs>
        <w:spacing w:line="240" w:lineRule="auto"/>
        <w:ind w:left="540" w:hanging="540"/>
        <w:rPr>
          <w:del w:id="4242" w:author="AbbVie_HU_03" w:date="2025-05-14T15:27:00Z"/>
        </w:rPr>
      </w:pPr>
      <w:del w:id="4243" w:author="AbbVie_HU_03" w:date="2025-05-14T15:27:00Z">
        <w:r w:rsidRPr="00183B5F">
          <w:delText>&lt;</w:delText>
        </w:r>
        <w:r w:rsidR="003A7EB4" w:rsidRPr="00183B5F">
          <w:delText> </w:delText>
        </w:r>
        <w:r w:rsidRPr="00183B5F">
          <w:delText>40 kg: 20 mg minden héten</w:delText>
        </w:r>
      </w:del>
    </w:p>
    <w:p w14:paraId="15615993" w14:textId="39E18FE4" w:rsidR="007A2741" w:rsidRPr="00183B5F" w:rsidRDefault="00943743">
      <w:pPr>
        <w:keepNext/>
        <w:numPr>
          <w:ilvl w:val="0"/>
          <w:numId w:val="143"/>
        </w:numPr>
        <w:tabs>
          <w:tab w:val="left" w:pos="540"/>
        </w:tabs>
        <w:spacing w:line="240" w:lineRule="auto"/>
        <w:ind w:left="540" w:hanging="540"/>
        <w:rPr>
          <w:del w:id="4244" w:author="AbbVie_HU_03" w:date="2025-05-14T15:27:00Z"/>
        </w:rPr>
      </w:pPr>
      <w:del w:id="4245" w:author="AbbVie_HU_03" w:date="2025-05-14T15:27:00Z">
        <w:r w:rsidRPr="00183B5F">
          <w:delText>≥</w:delText>
        </w:r>
        <w:r w:rsidR="003A7EB4" w:rsidRPr="00183B5F">
          <w:delText> </w:delText>
        </w:r>
        <w:r w:rsidRPr="00183B5F">
          <w:delText>40 kg: 40 mg minden héten</w:delText>
        </w:r>
        <w:r w:rsidR="00A47E6E" w:rsidRPr="00183B5F">
          <w:delText xml:space="preserve"> vagy 80 mg minden második héten</w:delText>
        </w:r>
      </w:del>
    </w:p>
    <w:p w14:paraId="52B60816" w14:textId="1D5A02D5" w:rsidR="003F0E52" w:rsidRPr="00183B5F" w:rsidRDefault="003F0E52" w:rsidP="004062FE">
      <w:pPr>
        <w:spacing w:line="240" w:lineRule="auto"/>
        <w:rPr>
          <w:del w:id="4246" w:author="AbbVie_HU_03" w:date="2025-05-14T15:27:00Z"/>
          <w:szCs w:val="22"/>
        </w:rPr>
      </w:pPr>
    </w:p>
    <w:p w14:paraId="2C6109DD" w14:textId="77EAA848" w:rsidR="003F0E52" w:rsidRPr="00183B5F" w:rsidRDefault="00943743" w:rsidP="004062FE">
      <w:pPr>
        <w:spacing w:line="240" w:lineRule="auto"/>
        <w:rPr>
          <w:del w:id="4247" w:author="AbbVie_HU_03" w:date="2025-05-14T15:27:00Z"/>
          <w:szCs w:val="22"/>
        </w:rPr>
      </w:pPr>
      <w:del w:id="4248" w:author="AbbVie_HU_03" w:date="2025-05-14T15:27:00Z">
        <w:r w:rsidRPr="00183B5F">
          <w:rPr>
            <w:szCs w:val="22"/>
          </w:rPr>
          <w:delText>A kezelés folytatását alaposan meg kell fontolni azoknál a betegeknél, akik a 12.</w:delText>
        </w:r>
        <w:r w:rsidR="00E61DB8" w:rsidRPr="00183B5F">
          <w:rPr>
            <w:szCs w:val="22"/>
          </w:rPr>
          <w:delText> </w:delText>
        </w:r>
        <w:r w:rsidRPr="00183B5F">
          <w:rPr>
            <w:szCs w:val="22"/>
          </w:rPr>
          <w:delText>hétig nem reagálnak a kezelésre.</w:delText>
        </w:r>
      </w:del>
    </w:p>
    <w:p w14:paraId="21C41CE8" w14:textId="0046C361" w:rsidR="004A59E2" w:rsidRPr="00183B5F" w:rsidRDefault="004A59E2" w:rsidP="004062FE">
      <w:pPr>
        <w:spacing w:line="240" w:lineRule="auto"/>
        <w:rPr>
          <w:del w:id="4249" w:author="AbbVie_HU_03" w:date="2025-05-14T15:27:00Z"/>
          <w:szCs w:val="22"/>
        </w:rPr>
      </w:pPr>
    </w:p>
    <w:p w14:paraId="7B95BDE7" w14:textId="237F2123" w:rsidR="004A59E2" w:rsidRPr="00183B5F" w:rsidRDefault="00943743">
      <w:pPr>
        <w:spacing w:line="240" w:lineRule="auto"/>
        <w:rPr>
          <w:del w:id="4250" w:author="AbbVie_HU_03" w:date="2025-05-14T15:27:00Z"/>
          <w:szCs w:val="22"/>
        </w:rPr>
      </w:pPr>
      <w:del w:id="4251" w:author="AbbVie_HU_03" w:date="2025-05-14T15:27:00Z">
        <w:r w:rsidRPr="00183B5F">
          <w:rPr>
            <w:szCs w:val="22"/>
          </w:rPr>
          <w:delText>A Humir</w:delText>
        </w:r>
        <w:r w:rsidR="00F8791D" w:rsidRPr="00183B5F">
          <w:rPr>
            <w:szCs w:val="22"/>
          </w:rPr>
          <w:delText>a</w:delText>
        </w:r>
        <w:r w:rsidR="00F8791D" w:rsidRPr="00183B5F">
          <w:rPr>
            <w:szCs w:val="22"/>
          </w:rPr>
          <w:noBreakHyphen/>
        </w:r>
        <w:r w:rsidRPr="00183B5F">
          <w:rPr>
            <w:szCs w:val="22"/>
          </w:rPr>
          <w:delText>nak 6 évesnél fiatalabb gyermekeknél ebben a javallatban nincs releváns alkalmazása.</w:delText>
        </w:r>
      </w:del>
    </w:p>
    <w:p w14:paraId="3AA34E04" w14:textId="5F270811" w:rsidR="00A47E6E" w:rsidRPr="00183B5F" w:rsidRDefault="00A47E6E">
      <w:pPr>
        <w:spacing w:line="240" w:lineRule="auto"/>
        <w:rPr>
          <w:del w:id="4252" w:author="AbbVie_HU_03" w:date="2025-05-14T15:27:00Z"/>
          <w:szCs w:val="22"/>
        </w:rPr>
      </w:pPr>
    </w:p>
    <w:p w14:paraId="25F4B61D" w14:textId="37DDDB0C" w:rsidR="00A47E6E" w:rsidRPr="00183B5F" w:rsidRDefault="00943743">
      <w:pPr>
        <w:spacing w:line="240" w:lineRule="auto"/>
        <w:rPr>
          <w:del w:id="4253" w:author="AbbVie_HU_03" w:date="2025-05-14T15:27:00Z"/>
          <w:szCs w:val="22"/>
        </w:rPr>
      </w:pPr>
      <w:del w:id="4254" w:author="AbbVie_HU_03" w:date="2025-05-14T15:27:00Z">
        <w:r w:rsidRPr="00183B5F">
          <w:rPr>
            <w:szCs w:val="22"/>
          </w:rPr>
          <w:delText>A Humira más hatáserősségben és/vagy kiszerelésben is elérhető az egyéni terápiás igényeknek megfelelően.</w:delText>
        </w:r>
      </w:del>
    </w:p>
    <w:p w14:paraId="37FB3507" w14:textId="552932F3" w:rsidR="00E95022" w:rsidRPr="00183B5F" w:rsidRDefault="00E95022">
      <w:pPr>
        <w:spacing w:line="240" w:lineRule="auto"/>
        <w:rPr>
          <w:del w:id="4255" w:author="AbbVie_HU_03" w:date="2025-05-14T15:27:00Z"/>
          <w:szCs w:val="22"/>
        </w:rPr>
      </w:pPr>
    </w:p>
    <w:p w14:paraId="3B2E13C0" w14:textId="7C670543" w:rsidR="0096786B" w:rsidRPr="00183B5F" w:rsidRDefault="00943743" w:rsidP="0096786B">
      <w:pPr>
        <w:rPr>
          <w:del w:id="4256" w:author="AbbVie_HU_03" w:date="2025-05-14T15:27:00Z"/>
          <w:b/>
          <w:iCs/>
          <w:u w:val="single"/>
        </w:rPr>
      </w:pPr>
      <w:del w:id="4257" w:author="AbbVie_HU_03" w:date="2025-05-14T15:27:00Z">
        <w:r w:rsidRPr="00183B5F">
          <w:rPr>
            <w:iCs/>
            <w:u w:val="single"/>
          </w:rPr>
          <w:delText>Gyermek</w:delText>
        </w:r>
        <w:r w:rsidR="00777CA4" w:rsidRPr="00183B5F">
          <w:rPr>
            <w:iCs/>
            <w:u w:val="single"/>
          </w:rPr>
          <w:delText>- és serdülő</w:delText>
        </w:r>
        <w:r w:rsidRPr="00183B5F">
          <w:rPr>
            <w:iCs/>
            <w:u w:val="single"/>
          </w:rPr>
          <w:delText>kori colitis ulcerosa</w:delText>
        </w:r>
      </w:del>
    </w:p>
    <w:p w14:paraId="71B88E27" w14:textId="1741D207" w:rsidR="0096786B" w:rsidRPr="00183B5F" w:rsidRDefault="0096786B" w:rsidP="0096786B">
      <w:pPr>
        <w:rPr>
          <w:del w:id="4258" w:author="AbbVie_HU_03" w:date="2025-05-14T15:27:00Z"/>
        </w:rPr>
      </w:pPr>
    </w:p>
    <w:p w14:paraId="50327377" w14:textId="31F01E85" w:rsidR="0096786B" w:rsidRPr="00183B5F" w:rsidRDefault="00943743" w:rsidP="0096786B">
      <w:pPr>
        <w:rPr>
          <w:del w:id="4259" w:author="AbbVie_HU_03" w:date="2025-05-14T15:27:00Z"/>
        </w:rPr>
      </w:pPr>
      <w:del w:id="4260" w:author="AbbVie_HU_03" w:date="2025-05-14T15:27:00Z">
        <w:r w:rsidRPr="00183B5F">
          <w:delText>A Humira közepesen súlyos – súlyos, akt</w:delText>
        </w:r>
        <w:r w:rsidR="003916B1" w:rsidRPr="00183B5F">
          <w:delText>i</w:delText>
        </w:r>
        <w:r w:rsidRPr="00183B5F">
          <w:delText>v</w:delText>
        </w:r>
        <w:r w:rsidR="003916B1" w:rsidRPr="00183B5F">
          <w:delText>itású</w:delText>
        </w:r>
        <w:r w:rsidRPr="00183B5F">
          <w:delText xml:space="preserve"> colitis ulcerosa kezelésére javallott olyan gyermekeknél</w:delText>
        </w:r>
        <w:r w:rsidR="00777CA4" w:rsidRPr="00183B5F">
          <w:delText xml:space="preserve"> és serdülőknél</w:delText>
        </w:r>
        <w:r w:rsidRPr="00183B5F">
          <w:delText xml:space="preserve"> (6 éves kortól), akik a hagyományos kezelésre, köztük kortikoszteroidra és 6</w:delText>
        </w:r>
        <w:r w:rsidRPr="00183B5F">
          <w:noBreakHyphen/>
          <w:delText>merkaptopurinra (6</w:delText>
        </w:r>
        <w:r w:rsidRPr="00183B5F">
          <w:noBreakHyphen/>
          <w:delText>MP) vagy azathioprinre (AZA) nem mutattak megfelelő terápiás választ, vagy nem tolerálják ezeket a kezeléseket, illetve orvosi szempontból ellenjavallt ezen gyógyszerek adása.</w:delText>
        </w:r>
      </w:del>
    </w:p>
    <w:p w14:paraId="3A847B77" w14:textId="63CF9F2B" w:rsidR="0096786B" w:rsidRPr="00183B5F" w:rsidRDefault="0096786B" w:rsidP="0096786B">
      <w:pPr>
        <w:rPr>
          <w:del w:id="4261" w:author="AbbVie_HU_03" w:date="2025-05-14T15:27:00Z"/>
          <w:i/>
        </w:rPr>
      </w:pPr>
    </w:p>
    <w:p w14:paraId="078158E7" w14:textId="3FD14AC0" w:rsidR="0096786B" w:rsidRPr="00183B5F" w:rsidRDefault="00943743" w:rsidP="0096786B">
      <w:pPr>
        <w:rPr>
          <w:del w:id="4262" w:author="AbbVie_HU_03" w:date="2025-05-14T15:27:00Z"/>
          <w:b/>
        </w:rPr>
      </w:pPr>
      <w:del w:id="4263" w:author="AbbVie_HU_03" w:date="2025-05-14T15:27:00Z">
        <w:r w:rsidRPr="00183B5F">
          <w:rPr>
            <w:i/>
          </w:rPr>
          <w:delText>Gyermek</w:delText>
        </w:r>
        <w:r w:rsidR="00777CA4" w:rsidRPr="00183B5F">
          <w:rPr>
            <w:i/>
          </w:rPr>
          <w:delText>- és serdülő</w:delText>
        </w:r>
        <w:r w:rsidRPr="00183B5F">
          <w:rPr>
            <w:i/>
          </w:rPr>
          <w:delText>kori colitis ulcerosa</w:delText>
        </w:r>
        <w:r w:rsidRPr="00183B5F">
          <w:rPr>
            <w:b/>
          </w:rPr>
          <w:delText xml:space="preserve"> </w:delText>
        </w:r>
      </w:del>
    </w:p>
    <w:p w14:paraId="083C5323" w14:textId="5B2D6B42" w:rsidR="0096786B" w:rsidRPr="00183B5F" w:rsidRDefault="0096786B" w:rsidP="0096786B">
      <w:pPr>
        <w:rPr>
          <w:del w:id="4264" w:author="AbbVie_HU_03" w:date="2025-05-14T15:27:00Z"/>
          <w:b/>
        </w:rPr>
      </w:pPr>
    </w:p>
    <w:p w14:paraId="0D4E288E" w14:textId="49ED8404" w:rsidR="0096786B" w:rsidRPr="00183B5F" w:rsidRDefault="00943743" w:rsidP="0096786B">
      <w:pPr>
        <w:rPr>
          <w:del w:id="4265" w:author="AbbVie_HU_03" w:date="2025-05-14T15:27:00Z"/>
        </w:rPr>
      </w:pPr>
      <w:del w:id="4266" w:author="AbbVie_HU_03" w:date="2025-05-14T15:27:00Z">
        <w:r w:rsidRPr="00183B5F">
          <w:delText>A Humira ajánlott adagja colitis ulcerosában szenvedő, 6–17 éves korú betegeknél a testtömegtől függ (5. táblázat). A Humira-t subcutan injekció formájában kell beadni.</w:delText>
        </w:r>
      </w:del>
    </w:p>
    <w:p w14:paraId="0A7683F7" w14:textId="4EC707E2" w:rsidR="0096786B" w:rsidRPr="00183B5F" w:rsidRDefault="00943743" w:rsidP="0096786B">
      <w:pPr>
        <w:rPr>
          <w:del w:id="4267" w:author="AbbVie_HU_03" w:date="2025-05-14T15:27:00Z"/>
        </w:rPr>
      </w:pPr>
      <w:del w:id="4268" w:author="AbbVie_HU_03" w:date="2025-05-14T15:27:00Z">
        <w:r w:rsidRPr="00183B5F">
          <w:delText xml:space="preserve"> </w:delText>
        </w:r>
      </w:del>
    </w:p>
    <w:p w14:paraId="7FB14CEE" w14:textId="7127022A" w:rsidR="0096786B" w:rsidRPr="00183B5F" w:rsidRDefault="00943743" w:rsidP="0096786B">
      <w:pPr>
        <w:keepNext/>
        <w:jc w:val="center"/>
        <w:rPr>
          <w:del w:id="4269" w:author="AbbVie_HU_03" w:date="2025-05-14T15:27:00Z"/>
        </w:rPr>
      </w:pPr>
      <w:del w:id="4270" w:author="AbbVie_HU_03" w:date="2025-05-14T15:27:00Z">
        <w:r w:rsidRPr="00183B5F">
          <w:rPr>
            <w:b/>
          </w:rPr>
          <w:delText xml:space="preserve">5. táblázat: A Humira dózisa colitis ulcerosában szenvedő gyermekeknél és serdülőknél </w:delText>
        </w:r>
      </w:del>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4"/>
        <w:gridCol w:w="3322"/>
        <w:gridCol w:w="3158"/>
      </w:tblGrid>
      <w:tr w:rsidR="00011D2F" w14:paraId="1B7826DE" w14:textId="7B5D7959" w:rsidTr="0096786B">
        <w:trPr>
          <w:jc w:val="center"/>
          <w:del w:id="4271" w:author="AbbVie_HU_03" w:date="2025-05-14T15:27:00Z"/>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FE13B20" w14:textId="6DC26F9D" w:rsidR="0096786B" w:rsidRPr="00183B5F" w:rsidRDefault="00943743" w:rsidP="0096786B">
            <w:pPr>
              <w:jc w:val="center"/>
              <w:rPr>
                <w:del w:id="4272" w:author="AbbVie_HU_03" w:date="2025-05-14T15:27:00Z"/>
                <w:b/>
              </w:rPr>
            </w:pPr>
            <w:del w:id="4273" w:author="AbbVie_HU_03" w:date="2025-05-14T15:27:00Z">
              <w:r w:rsidRPr="00183B5F">
                <w:rPr>
                  <w:b/>
                </w:rPr>
                <w:delText>A beteg testtömege</w:delText>
              </w:r>
            </w:del>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0EA60D6D" w14:textId="6E884D4A" w:rsidR="0096786B" w:rsidRPr="00183B5F" w:rsidRDefault="00943743" w:rsidP="0096786B">
            <w:pPr>
              <w:jc w:val="center"/>
              <w:rPr>
                <w:del w:id="4274" w:author="AbbVie_HU_03" w:date="2025-05-14T15:27:00Z"/>
                <w:b/>
              </w:rPr>
            </w:pPr>
            <w:del w:id="4275" w:author="AbbVie_HU_03" w:date="2025-05-14T15:27:00Z">
              <w:r w:rsidRPr="00183B5F">
                <w:rPr>
                  <w:b/>
                </w:rPr>
                <w:delText>Indukciós dózis</w:delText>
              </w:r>
            </w:del>
          </w:p>
        </w:tc>
        <w:tc>
          <w:tcPr>
            <w:tcW w:w="1906" w:type="pct"/>
            <w:tcBorders>
              <w:top w:val="single" w:sz="6" w:space="0" w:color="000000"/>
              <w:left w:val="single" w:sz="6" w:space="0" w:color="000000"/>
              <w:bottom w:val="single" w:sz="6" w:space="0" w:color="000000"/>
              <w:right w:val="single" w:sz="6" w:space="0" w:color="000000"/>
            </w:tcBorders>
            <w:hideMark/>
          </w:tcPr>
          <w:p w14:paraId="135DB710" w14:textId="629693A2" w:rsidR="0096786B" w:rsidRPr="00183B5F" w:rsidRDefault="00943743" w:rsidP="0096786B">
            <w:pPr>
              <w:jc w:val="center"/>
              <w:rPr>
                <w:del w:id="4276" w:author="AbbVie_HU_03" w:date="2025-05-14T15:27:00Z"/>
                <w:b/>
              </w:rPr>
            </w:pPr>
            <w:del w:id="4277" w:author="AbbVie_HU_03" w:date="2025-05-14T15:27:00Z">
              <w:r w:rsidRPr="00183B5F">
                <w:rPr>
                  <w:b/>
                </w:rPr>
                <w:delText>Fenntartó dózis</w:delText>
              </w:r>
            </w:del>
          </w:p>
          <w:p w14:paraId="0D449797" w14:textId="3B38568F" w:rsidR="0096786B" w:rsidRPr="00183B5F" w:rsidRDefault="00943743" w:rsidP="0096786B">
            <w:pPr>
              <w:jc w:val="center"/>
              <w:rPr>
                <w:del w:id="4278" w:author="AbbVie_HU_03" w:date="2025-05-14T15:27:00Z"/>
                <w:b/>
              </w:rPr>
            </w:pPr>
            <w:del w:id="4279" w:author="AbbVie_HU_03" w:date="2025-05-14T15:27:00Z">
              <w:r w:rsidRPr="00183B5F">
                <w:rPr>
                  <w:b/>
                </w:rPr>
                <w:delText>4. héttől kezdve*</w:delText>
              </w:r>
            </w:del>
          </w:p>
        </w:tc>
      </w:tr>
      <w:tr w:rsidR="00011D2F" w14:paraId="5A078A23" w14:textId="1F55C2CB" w:rsidTr="0096786B">
        <w:trPr>
          <w:jc w:val="center"/>
          <w:del w:id="4280" w:author="AbbVie_HU_03" w:date="2025-05-14T15:27:00Z"/>
        </w:trPr>
        <w:tc>
          <w:tcPr>
            <w:tcW w:w="0" w:type="auto"/>
            <w:tcBorders>
              <w:top w:val="single" w:sz="6" w:space="0" w:color="000000"/>
              <w:left w:val="single" w:sz="6" w:space="0" w:color="000000"/>
              <w:bottom w:val="single" w:sz="6" w:space="0" w:color="000000"/>
              <w:right w:val="single" w:sz="6" w:space="0" w:color="000000"/>
            </w:tcBorders>
            <w:hideMark/>
          </w:tcPr>
          <w:p w14:paraId="6B77D02A" w14:textId="001610A1" w:rsidR="0096786B" w:rsidRPr="00183B5F" w:rsidRDefault="00943743" w:rsidP="0096786B">
            <w:pPr>
              <w:jc w:val="center"/>
              <w:rPr>
                <w:del w:id="4281" w:author="AbbVie_HU_03" w:date="2025-05-14T15:27:00Z"/>
              </w:rPr>
            </w:pPr>
            <w:del w:id="4282" w:author="AbbVie_HU_03" w:date="2025-05-14T15:27:00Z">
              <w:r w:rsidRPr="00183B5F">
                <w:delText>&lt; 40 kg</w:delText>
              </w:r>
            </w:del>
          </w:p>
        </w:tc>
        <w:tc>
          <w:tcPr>
            <w:tcW w:w="2005" w:type="pct"/>
            <w:tcBorders>
              <w:top w:val="single" w:sz="6" w:space="0" w:color="000000"/>
              <w:left w:val="single" w:sz="6" w:space="0" w:color="000000"/>
              <w:bottom w:val="single" w:sz="6" w:space="0" w:color="000000"/>
              <w:right w:val="single" w:sz="6" w:space="0" w:color="000000"/>
            </w:tcBorders>
            <w:hideMark/>
          </w:tcPr>
          <w:p w14:paraId="6E79B9F7" w14:textId="082DD42F" w:rsidR="0096786B" w:rsidRPr="00183B5F" w:rsidRDefault="00943743" w:rsidP="0096786B">
            <w:pPr>
              <w:numPr>
                <w:ilvl w:val="0"/>
                <w:numId w:val="231"/>
              </w:numPr>
              <w:ind w:left="360" w:hanging="210"/>
              <w:rPr>
                <w:del w:id="4283" w:author="AbbVie_HU_03" w:date="2025-05-14T15:27:00Z"/>
              </w:rPr>
            </w:pPr>
            <w:del w:id="4284" w:author="AbbVie_HU_03" w:date="2025-05-14T15:27:00Z">
              <w:r w:rsidRPr="00183B5F">
                <w:delText>80 mg a 0. héten (két 40 mg-os injekció formájában egy napon) és</w:delText>
              </w:r>
            </w:del>
          </w:p>
          <w:p w14:paraId="4EE02959" w14:textId="4DCAA3D7" w:rsidR="0096786B" w:rsidRPr="00183B5F" w:rsidRDefault="00943743" w:rsidP="0096786B">
            <w:pPr>
              <w:numPr>
                <w:ilvl w:val="0"/>
                <w:numId w:val="231"/>
              </w:numPr>
              <w:ind w:left="360" w:hanging="210"/>
              <w:rPr>
                <w:del w:id="4285" w:author="AbbVie_HU_03" w:date="2025-05-14T15:27:00Z"/>
              </w:rPr>
            </w:pPr>
            <w:del w:id="4286" w:author="AbbVie_HU_03" w:date="2025-05-14T15:27:00Z">
              <w:r w:rsidRPr="00183B5F">
                <w:delText>40 mg a 2. héten (egy 40 mg-os injekció formájában)</w:delText>
              </w:r>
            </w:del>
          </w:p>
        </w:tc>
        <w:tc>
          <w:tcPr>
            <w:tcW w:w="1906" w:type="pct"/>
            <w:tcBorders>
              <w:top w:val="single" w:sz="6" w:space="0" w:color="000000"/>
              <w:left w:val="single" w:sz="6" w:space="0" w:color="000000"/>
              <w:bottom w:val="single" w:sz="6" w:space="0" w:color="000000"/>
              <w:right w:val="single" w:sz="6" w:space="0" w:color="000000"/>
            </w:tcBorders>
            <w:hideMark/>
          </w:tcPr>
          <w:p w14:paraId="089F1579" w14:textId="79391E8B" w:rsidR="0096786B" w:rsidRPr="00183B5F" w:rsidRDefault="00943743" w:rsidP="0096786B">
            <w:pPr>
              <w:numPr>
                <w:ilvl w:val="0"/>
                <w:numId w:val="231"/>
              </w:numPr>
              <w:ind w:left="360" w:hanging="210"/>
              <w:rPr>
                <w:del w:id="4287" w:author="AbbVie_HU_03" w:date="2025-05-14T15:27:00Z"/>
              </w:rPr>
            </w:pPr>
            <w:del w:id="4288" w:author="AbbVie_HU_03" w:date="2025-05-14T15:27:00Z">
              <w:r w:rsidRPr="00183B5F">
                <w:delText>40 mg minden második héten</w:delText>
              </w:r>
            </w:del>
          </w:p>
        </w:tc>
      </w:tr>
      <w:tr w:rsidR="00011D2F" w14:paraId="40BEDA29" w14:textId="1A72F7C4" w:rsidTr="0096786B">
        <w:trPr>
          <w:jc w:val="center"/>
          <w:del w:id="4289" w:author="AbbVie_HU_03" w:date="2025-05-14T15:27:00Z"/>
        </w:trPr>
        <w:tc>
          <w:tcPr>
            <w:tcW w:w="0" w:type="auto"/>
            <w:tcBorders>
              <w:top w:val="single" w:sz="6" w:space="0" w:color="000000"/>
              <w:left w:val="single" w:sz="6" w:space="0" w:color="000000"/>
              <w:bottom w:val="single" w:sz="4" w:space="0" w:color="auto"/>
              <w:right w:val="single" w:sz="6" w:space="0" w:color="000000"/>
            </w:tcBorders>
            <w:hideMark/>
          </w:tcPr>
          <w:p w14:paraId="6E4B4FFB" w14:textId="0B3ED67C" w:rsidR="0096786B" w:rsidRPr="00183B5F" w:rsidRDefault="00943743" w:rsidP="0096786B">
            <w:pPr>
              <w:jc w:val="center"/>
              <w:rPr>
                <w:del w:id="4290" w:author="AbbVie_HU_03" w:date="2025-05-14T15:27:00Z"/>
              </w:rPr>
            </w:pPr>
            <w:del w:id="4291" w:author="AbbVie_HU_03" w:date="2025-05-14T15:27:00Z">
              <w:r w:rsidRPr="00183B5F">
                <w:delText>≥ 40 kg</w:delText>
              </w:r>
            </w:del>
          </w:p>
        </w:tc>
        <w:tc>
          <w:tcPr>
            <w:tcW w:w="2005" w:type="pct"/>
            <w:tcBorders>
              <w:top w:val="single" w:sz="6" w:space="0" w:color="000000"/>
              <w:left w:val="single" w:sz="6" w:space="0" w:color="000000"/>
              <w:bottom w:val="single" w:sz="4" w:space="0" w:color="auto"/>
              <w:right w:val="single" w:sz="6" w:space="0" w:color="000000"/>
            </w:tcBorders>
            <w:hideMark/>
          </w:tcPr>
          <w:p w14:paraId="5A484645" w14:textId="3F4451FC" w:rsidR="0096786B" w:rsidRPr="00183B5F" w:rsidRDefault="00943743" w:rsidP="0096786B">
            <w:pPr>
              <w:numPr>
                <w:ilvl w:val="0"/>
                <w:numId w:val="232"/>
              </w:numPr>
              <w:ind w:left="360" w:hanging="210"/>
              <w:rPr>
                <w:del w:id="4292" w:author="AbbVie_HU_03" w:date="2025-05-14T15:27:00Z"/>
              </w:rPr>
            </w:pPr>
            <w:del w:id="4293" w:author="AbbVie_HU_03" w:date="2025-05-14T15:27:00Z">
              <w:r w:rsidRPr="00183B5F">
                <w:delText>160 mg a 0. héten (négy 40 mg</w:delText>
              </w:r>
              <w:r w:rsidRPr="00183B5F">
                <w:noBreakHyphen/>
              </w:r>
              <w:r w:rsidRPr="00183B5F">
                <w:delText>os injekció formájában egy napon vagy két 40 mg</w:delText>
              </w:r>
              <w:r w:rsidRPr="00183B5F">
                <w:noBreakHyphen/>
                <w:delText>os injekció két egymást követő napon beadva) és</w:delText>
              </w:r>
            </w:del>
          </w:p>
          <w:p w14:paraId="21BCA919" w14:textId="0ACA4ED0" w:rsidR="0096786B" w:rsidRPr="00183B5F" w:rsidRDefault="00943743" w:rsidP="0096786B">
            <w:pPr>
              <w:numPr>
                <w:ilvl w:val="0"/>
                <w:numId w:val="232"/>
              </w:numPr>
              <w:ind w:left="360" w:hanging="210"/>
              <w:rPr>
                <w:del w:id="4294" w:author="AbbVie_HU_03" w:date="2025-05-14T15:27:00Z"/>
              </w:rPr>
            </w:pPr>
            <w:del w:id="4295" w:author="AbbVie_HU_03" w:date="2025-05-14T15:27:00Z">
              <w:r w:rsidRPr="00183B5F">
                <w:delText>80 mg a 2. héten (két 40 mg-os injekció formájában egy napon)</w:delText>
              </w:r>
            </w:del>
          </w:p>
        </w:tc>
        <w:tc>
          <w:tcPr>
            <w:tcW w:w="1906" w:type="pct"/>
            <w:tcBorders>
              <w:top w:val="single" w:sz="6" w:space="0" w:color="000000"/>
              <w:left w:val="single" w:sz="6" w:space="0" w:color="000000"/>
              <w:bottom w:val="single" w:sz="4" w:space="0" w:color="auto"/>
              <w:right w:val="single" w:sz="6" w:space="0" w:color="000000"/>
            </w:tcBorders>
            <w:hideMark/>
          </w:tcPr>
          <w:p w14:paraId="5DAFEA5D" w14:textId="05293F6D" w:rsidR="0096786B" w:rsidRPr="00183B5F" w:rsidRDefault="00943743" w:rsidP="0096786B">
            <w:pPr>
              <w:numPr>
                <w:ilvl w:val="0"/>
                <w:numId w:val="231"/>
              </w:numPr>
              <w:ind w:left="360" w:hanging="210"/>
              <w:rPr>
                <w:del w:id="4296" w:author="AbbVie_HU_03" w:date="2025-05-14T15:27:00Z"/>
              </w:rPr>
            </w:pPr>
            <w:del w:id="4297" w:author="AbbVie_HU_03" w:date="2025-05-14T15:27:00Z">
              <w:r w:rsidRPr="00183B5F">
                <w:delText>80 mg minden második héten</w:delText>
              </w:r>
            </w:del>
          </w:p>
        </w:tc>
      </w:tr>
      <w:tr w:rsidR="00011D2F" w14:paraId="25B3CC4A" w14:textId="25593C00" w:rsidTr="0096786B">
        <w:trPr>
          <w:jc w:val="center"/>
          <w:del w:id="4298" w:author="AbbVie_HU_03" w:date="2025-05-14T15:27:00Z"/>
        </w:trPr>
        <w:tc>
          <w:tcPr>
            <w:tcW w:w="5000" w:type="pct"/>
            <w:gridSpan w:val="3"/>
            <w:tcBorders>
              <w:top w:val="single" w:sz="4" w:space="0" w:color="auto"/>
              <w:left w:val="nil"/>
              <w:bottom w:val="nil"/>
              <w:right w:val="nil"/>
            </w:tcBorders>
          </w:tcPr>
          <w:p w14:paraId="74C431B4" w14:textId="5305ECC6" w:rsidR="0096786B" w:rsidRPr="00183B5F" w:rsidRDefault="00943743" w:rsidP="0096786B">
            <w:pPr>
              <w:rPr>
                <w:del w:id="4299" w:author="AbbVie_HU_03" w:date="2025-05-14T15:27:00Z"/>
              </w:rPr>
            </w:pPr>
            <w:del w:id="4300" w:author="AbbVie_HU_03" w:date="2025-05-14T15:27:00Z">
              <w:r w:rsidRPr="00183B5F">
                <w:delText xml:space="preserve">*Azoknak a serdülőknek, akik a Humira-kezelés alatt töltik be 18 éves kort, folytatniuk kell az előírt fenntartó </w:delText>
              </w:r>
              <w:r w:rsidR="003916B1" w:rsidRPr="00183B5F">
                <w:delText>kezelést</w:delText>
              </w:r>
              <w:r w:rsidRPr="00183B5F">
                <w:delText>.</w:delText>
              </w:r>
            </w:del>
          </w:p>
        </w:tc>
      </w:tr>
    </w:tbl>
    <w:p w14:paraId="7DB0FD22" w14:textId="6B5F9E32" w:rsidR="0096786B" w:rsidRPr="00183B5F" w:rsidRDefault="0096786B" w:rsidP="0096786B">
      <w:pPr>
        <w:rPr>
          <w:del w:id="4301" w:author="AbbVie_HU_03" w:date="2025-05-14T15:27:00Z"/>
        </w:rPr>
      </w:pPr>
    </w:p>
    <w:p w14:paraId="09EC01C8" w14:textId="3FB84CD6" w:rsidR="0096786B" w:rsidRPr="00183B5F" w:rsidRDefault="00943743" w:rsidP="0096786B">
      <w:pPr>
        <w:rPr>
          <w:del w:id="4302" w:author="AbbVie_HU_03" w:date="2025-05-14T15:27:00Z"/>
        </w:rPr>
      </w:pPr>
      <w:del w:id="4303" w:author="AbbVie_HU_03" w:date="2025-05-14T15:27:00Z">
        <w:r w:rsidRPr="00183B5F">
          <w:delText>A kezelés folytatását alaposan meg kell fontolni azoknál a betegeknél, akik 12. hétig nem reagálnak a kezelésre.</w:delText>
        </w:r>
      </w:del>
    </w:p>
    <w:p w14:paraId="3E0D1605" w14:textId="1C687C1F" w:rsidR="0096786B" w:rsidRPr="00183B5F" w:rsidRDefault="0096786B" w:rsidP="0096786B">
      <w:pPr>
        <w:rPr>
          <w:del w:id="4304" w:author="AbbVie_HU_03" w:date="2025-05-14T15:27:00Z"/>
        </w:rPr>
      </w:pPr>
    </w:p>
    <w:p w14:paraId="171298C8" w14:textId="51575A7C" w:rsidR="0096786B" w:rsidRPr="00183B5F" w:rsidRDefault="00943743" w:rsidP="0096786B">
      <w:pPr>
        <w:rPr>
          <w:del w:id="4305" w:author="AbbVie_HU_03" w:date="2025-05-14T15:27:00Z"/>
        </w:rPr>
      </w:pPr>
      <w:del w:id="4306" w:author="AbbVie_HU_03" w:date="2025-05-14T15:27:00Z">
        <w:r w:rsidRPr="00183B5F">
          <w:delText>A Humira-nak 6 évesnél fiatalabb betegeknél ebben a javallatban nincs releváns alkalmazása.</w:delText>
        </w:r>
      </w:del>
    </w:p>
    <w:p w14:paraId="3F7BF7C3" w14:textId="1F373AF7" w:rsidR="0096786B" w:rsidRPr="00183B5F" w:rsidRDefault="0096786B" w:rsidP="0096786B">
      <w:pPr>
        <w:rPr>
          <w:del w:id="4307" w:author="AbbVie_HU_03" w:date="2025-05-14T15:27:00Z"/>
        </w:rPr>
      </w:pPr>
    </w:p>
    <w:p w14:paraId="11DCDC25" w14:textId="6B79E80E" w:rsidR="0096786B" w:rsidRPr="00183B5F" w:rsidRDefault="00943743" w:rsidP="0096786B">
      <w:pPr>
        <w:rPr>
          <w:del w:id="4308" w:author="AbbVie_HU_03" w:date="2025-05-14T15:27:00Z"/>
        </w:rPr>
      </w:pPr>
      <w:del w:id="4309" w:author="AbbVie_HU_03" w:date="2025-05-14T15:27:00Z">
        <w:r w:rsidRPr="00183B5F">
          <w:delText>A Humira más hatáserősségben és/vagy kiszerelésben is elérhető az egyéni terápiás igényeknek megfelelően.</w:delText>
        </w:r>
      </w:del>
    </w:p>
    <w:p w14:paraId="60F624EC" w14:textId="3EC83E99" w:rsidR="003B3FB8" w:rsidRPr="00183B5F" w:rsidRDefault="003B3FB8">
      <w:pPr>
        <w:spacing w:line="240" w:lineRule="auto"/>
        <w:rPr>
          <w:del w:id="4310" w:author="AbbVie_HU_03" w:date="2025-05-14T15:27:00Z"/>
          <w:szCs w:val="22"/>
        </w:rPr>
      </w:pPr>
    </w:p>
    <w:p w14:paraId="5DF35563" w14:textId="27D90E9A" w:rsidR="002E7B0F" w:rsidRPr="00183B5F" w:rsidRDefault="00943743" w:rsidP="004062FE">
      <w:pPr>
        <w:keepNext/>
        <w:spacing w:line="240" w:lineRule="auto"/>
        <w:rPr>
          <w:del w:id="4311" w:author="AbbVie_HU_03" w:date="2025-05-14T15:27:00Z"/>
          <w:i/>
          <w:szCs w:val="22"/>
        </w:rPr>
      </w:pPr>
      <w:del w:id="4312" w:author="AbbVie_HU_03" w:date="2025-05-14T15:27:00Z">
        <w:r w:rsidRPr="00183B5F">
          <w:rPr>
            <w:i/>
            <w:szCs w:val="22"/>
          </w:rPr>
          <w:delText>Gyermekkori uveitis</w:delText>
        </w:r>
      </w:del>
    </w:p>
    <w:p w14:paraId="5B1FA722" w14:textId="4D11E42A" w:rsidR="002E7B0F" w:rsidRPr="00183B5F" w:rsidRDefault="002E7B0F" w:rsidP="004062FE">
      <w:pPr>
        <w:keepNext/>
        <w:spacing w:line="240" w:lineRule="auto"/>
        <w:rPr>
          <w:del w:id="4313" w:author="AbbVie_HU_03" w:date="2025-05-14T15:27:00Z"/>
          <w:i/>
          <w:szCs w:val="22"/>
        </w:rPr>
      </w:pPr>
    </w:p>
    <w:p w14:paraId="685B99F7" w14:textId="4A147DFF" w:rsidR="007A2741" w:rsidRPr="00183B5F" w:rsidRDefault="00943743" w:rsidP="004062FE">
      <w:pPr>
        <w:spacing w:line="240" w:lineRule="auto"/>
        <w:rPr>
          <w:del w:id="4314" w:author="AbbVie_HU_03" w:date="2025-05-14T15:27:00Z"/>
          <w:i/>
          <w:szCs w:val="22"/>
        </w:rPr>
      </w:pPr>
      <w:del w:id="4315" w:author="AbbVie_HU_03" w:date="2025-05-14T15:27:00Z">
        <w:r w:rsidRPr="00183B5F">
          <w:rPr>
            <w:szCs w:val="22"/>
          </w:rPr>
          <w:delText>A Humira ajánlott adagja uve</w:delText>
        </w:r>
        <w:r w:rsidR="004C0238" w:rsidRPr="00183B5F">
          <w:rPr>
            <w:szCs w:val="22"/>
          </w:rPr>
          <w:delText>i</w:delText>
        </w:r>
        <w:r w:rsidRPr="00183B5F">
          <w:rPr>
            <w:szCs w:val="22"/>
          </w:rPr>
          <w:delText>tisben szenvedő</w:delText>
        </w:r>
        <w:r w:rsidR="00177C94" w:rsidRPr="00183B5F">
          <w:rPr>
            <w:szCs w:val="22"/>
          </w:rPr>
          <w:delText>,</w:delText>
        </w:r>
        <w:r w:rsidRPr="00183B5F">
          <w:rPr>
            <w:szCs w:val="22"/>
          </w:rPr>
          <w:delText xml:space="preserve"> 2 évesnél idősebb gyermekek</w:delText>
        </w:r>
        <w:r w:rsidR="00C43DDD" w:rsidRPr="00183B5F">
          <w:rPr>
            <w:szCs w:val="22"/>
          </w:rPr>
          <w:delText>nél a</w:delText>
        </w:r>
        <w:r w:rsidRPr="00183B5F">
          <w:rPr>
            <w:szCs w:val="22"/>
          </w:rPr>
          <w:delText xml:space="preserve"> testtömegtől függ (</w:delText>
        </w:r>
        <w:r w:rsidR="003B3FB8" w:rsidRPr="00183B5F">
          <w:rPr>
            <w:szCs w:val="22"/>
          </w:rPr>
          <w:delText>6</w:delText>
        </w:r>
        <w:r w:rsidRPr="00183B5F">
          <w:rPr>
            <w:szCs w:val="22"/>
          </w:rPr>
          <w:delText>. táblázat). A Humira</w:delText>
        </w:r>
        <w:r w:rsidR="00DD77ED" w:rsidRPr="00183B5F">
          <w:rPr>
            <w:szCs w:val="22"/>
          </w:rPr>
          <w:noBreakHyphen/>
        </w:r>
        <w:r w:rsidRPr="00183B5F">
          <w:rPr>
            <w:szCs w:val="22"/>
          </w:rPr>
          <w:delText xml:space="preserve">t subcutan injekció formájában </w:delText>
        </w:r>
        <w:r w:rsidR="00C43DDD" w:rsidRPr="00183B5F">
          <w:rPr>
            <w:szCs w:val="22"/>
          </w:rPr>
          <w:delText xml:space="preserve">kell </w:delText>
        </w:r>
        <w:r w:rsidRPr="00183B5F">
          <w:rPr>
            <w:szCs w:val="22"/>
          </w:rPr>
          <w:delText>alkalmaz</w:delText>
        </w:r>
        <w:r w:rsidR="00C43DDD" w:rsidRPr="00183B5F">
          <w:rPr>
            <w:szCs w:val="22"/>
          </w:rPr>
          <w:delText>ni</w:delText>
        </w:r>
        <w:r w:rsidRPr="00183B5F">
          <w:rPr>
            <w:szCs w:val="22"/>
          </w:rPr>
          <w:delText>.</w:delText>
        </w:r>
      </w:del>
    </w:p>
    <w:p w14:paraId="1D2E9809" w14:textId="0F328AB6" w:rsidR="007A2741" w:rsidRPr="00183B5F" w:rsidRDefault="007A2741" w:rsidP="004062FE">
      <w:pPr>
        <w:spacing w:line="240" w:lineRule="auto"/>
        <w:rPr>
          <w:del w:id="4316" w:author="AbbVie_HU_03" w:date="2025-05-14T15:27:00Z"/>
          <w:szCs w:val="22"/>
        </w:rPr>
      </w:pPr>
    </w:p>
    <w:p w14:paraId="1F8B5C0D" w14:textId="17181F6F" w:rsidR="002E7B0F" w:rsidRPr="00183B5F" w:rsidRDefault="00943743" w:rsidP="004062FE">
      <w:pPr>
        <w:spacing w:line="240" w:lineRule="auto"/>
        <w:rPr>
          <w:del w:id="4317" w:author="AbbVie_HU_03" w:date="2025-05-14T15:27:00Z"/>
          <w:szCs w:val="22"/>
        </w:rPr>
      </w:pPr>
      <w:del w:id="4318" w:author="AbbVie_HU_03" w:date="2025-05-14T15:27:00Z">
        <w:r w:rsidRPr="00183B5F">
          <w:rPr>
            <w:szCs w:val="22"/>
          </w:rPr>
          <w:delText>Gyermekkori uveitisben nincs tapasztalat az egyidejű me</w:delText>
        </w:r>
        <w:r w:rsidR="00A032A0" w:rsidRPr="00183B5F">
          <w:rPr>
            <w:szCs w:val="22"/>
          </w:rPr>
          <w:delText>totrexát</w:delText>
        </w:r>
        <w:r w:rsidR="00A032A0" w:rsidRPr="00183B5F">
          <w:rPr>
            <w:szCs w:val="22"/>
          </w:rPr>
          <w:noBreakHyphen/>
          <w:delText>kezelés nélküli Humira</w:delText>
        </w:r>
        <w:r w:rsidR="00A032A0" w:rsidRPr="00183B5F">
          <w:rPr>
            <w:szCs w:val="22"/>
          </w:rPr>
          <w:noBreakHyphen/>
        </w:r>
        <w:r w:rsidR="00004CA0" w:rsidRPr="00183B5F">
          <w:rPr>
            <w:szCs w:val="22"/>
          </w:rPr>
          <w:delText>kezeléssel</w:delText>
        </w:r>
        <w:r w:rsidRPr="00183B5F">
          <w:rPr>
            <w:szCs w:val="22"/>
          </w:rPr>
          <w:delText>.</w:delText>
        </w:r>
      </w:del>
    </w:p>
    <w:p w14:paraId="40571CD7" w14:textId="137AA8B0" w:rsidR="007A2741" w:rsidRPr="00183B5F" w:rsidRDefault="007A2741" w:rsidP="004062FE">
      <w:pPr>
        <w:keepNext/>
        <w:spacing w:line="240" w:lineRule="auto"/>
        <w:jc w:val="center"/>
        <w:rPr>
          <w:del w:id="4319" w:author="AbbVie_HU_03" w:date="2025-05-14T15:27:00Z"/>
          <w:b/>
          <w:szCs w:val="22"/>
        </w:rPr>
      </w:pPr>
    </w:p>
    <w:p w14:paraId="68FA2DD5" w14:textId="471BCA97" w:rsidR="007A2741" w:rsidRPr="00183B5F" w:rsidRDefault="00943743" w:rsidP="004062FE">
      <w:pPr>
        <w:keepNext/>
        <w:spacing w:line="240" w:lineRule="auto"/>
        <w:jc w:val="center"/>
        <w:rPr>
          <w:del w:id="4320" w:author="AbbVie_HU_03" w:date="2025-05-14T15:27:00Z"/>
          <w:b/>
          <w:szCs w:val="22"/>
        </w:rPr>
      </w:pPr>
      <w:del w:id="4321" w:author="AbbVie_HU_03" w:date="2025-05-14T15:27:00Z">
        <w:r w:rsidRPr="00183B5F">
          <w:rPr>
            <w:b/>
            <w:szCs w:val="22"/>
          </w:rPr>
          <w:delText>6. táblázat: A Humira dózisa uveitisben szenvedő gyermekek</w:delText>
        </w:r>
        <w:r w:rsidR="00C43DDD" w:rsidRPr="00183B5F">
          <w:rPr>
            <w:b/>
            <w:szCs w:val="22"/>
          </w:rPr>
          <w:delText>nél</w:delText>
        </w:r>
      </w:del>
    </w:p>
    <w:p w14:paraId="60BD3A64" w14:textId="1037E34B" w:rsidR="007A2741" w:rsidRPr="00183B5F" w:rsidRDefault="007A2741" w:rsidP="004062FE">
      <w:pPr>
        <w:keepNext/>
        <w:spacing w:line="240" w:lineRule="auto"/>
        <w:rPr>
          <w:del w:id="4322" w:author="AbbVie_HU_03" w:date="2025-05-14T15:27:00Z"/>
          <w:szCs w:val="22"/>
        </w:rPr>
      </w:pPr>
    </w:p>
    <w:tbl>
      <w:tblPr>
        <w:tblW w:w="6795" w:type="dxa"/>
        <w:jc w:val="center"/>
        <w:tblLayout w:type="fixed"/>
        <w:tblLook w:val="0000" w:firstRow="0" w:lastRow="0" w:firstColumn="0" w:lastColumn="0" w:noHBand="0" w:noVBand="0"/>
      </w:tblPr>
      <w:tblGrid>
        <w:gridCol w:w="3401"/>
        <w:gridCol w:w="3394"/>
      </w:tblGrid>
      <w:tr w:rsidR="00011D2F" w14:paraId="59B85EEF" w14:textId="7D48FD8F" w:rsidTr="00832DC3">
        <w:trPr>
          <w:tblHeader/>
          <w:jc w:val="center"/>
          <w:del w:id="4323" w:author="AbbVie_HU_03" w:date="2025-05-14T15:27:00Z"/>
        </w:trPr>
        <w:tc>
          <w:tcPr>
            <w:tcW w:w="3401" w:type="dxa"/>
            <w:tcBorders>
              <w:top w:val="single" w:sz="4" w:space="0" w:color="auto"/>
              <w:bottom w:val="single" w:sz="4" w:space="0" w:color="auto"/>
            </w:tcBorders>
          </w:tcPr>
          <w:p w14:paraId="5675EB63" w14:textId="5AA2A502" w:rsidR="007A2741" w:rsidRPr="00183B5F" w:rsidRDefault="00943743" w:rsidP="004062FE">
            <w:pPr>
              <w:pStyle w:val="TableLeft"/>
              <w:spacing w:before="0" w:after="0" w:line="240" w:lineRule="auto"/>
              <w:jc w:val="center"/>
              <w:rPr>
                <w:del w:id="4324" w:author="AbbVie_HU_03" w:date="2025-05-14T15:27:00Z"/>
                <w:b/>
                <w:sz w:val="22"/>
                <w:szCs w:val="22"/>
                <w:lang w:val="hu-HU"/>
              </w:rPr>
            </w:pPr>
            <w:del w:id="4325" w:author="AbbVie_HU_03" w:date="2025-05-14T15:27:00Z">
              <w:r w:rsidRPr="00183B5F">
                <w:rPr>
                  <w:b/>
                  <w:sz w:val="22"/>
                  <w:szCs w:val="22"/>
                  <w:lang w:val="hu-HU"/>
                </w:rPr>
                <w:delText xml:space="preserve">A beteg testtömege </w:delText>
              </w:r>
            </w:del>
          </w:p>
        </w:tc>
        <w:tc>
          <w:tcPr>
            <w:tcW w:w="3394" w:type="dxa"/>
            <w:tcBorders>
              <w:top w:val="single" w:sz="4" w:space="0" w:color="auto"/>
              <w:bottom w:val="single" w:sz="4" w:space="0" w:color="auto"/>
            </w:tcBorders>
          </w:tcPr>
          <w:p w14:paraId="04D425BC" w14:textId="3E45227D" w:rsidR="007A2741" w:rsidRPr="00183B5F" w:rsidRDefault="00943743" w:rsidP="004062FE">
            <w:pPr>
              <w:pStyle w:val="TableLeft"/>
              <w:spacing w:before="0" w:after="0" w:line="240" w:lineRule="auto"/>
              <w:jc w:val="center"/>
              <w:rPr>
                <w:del w:id="4326" w:author="AbbVie_HU_03" w:date="2025-05-14T15:27:00Z"/>
                <w:b/>
                <w:sz w:val="22"/>
                <w:szCs w:val="22"/>
                <w:lang w:val="hu-HU"/>
              </w:rPr>
            </w:pPr>
            <w:del w:id="4327" w:author="AbbVie_HU_03" w:date="2025-05-14T15:27:00Z">
              <w:r w:rsidRPr="00183B5F">
                <w:rPr>
                  <w:b/>
                  <w:sz w:val="22"/>
                  <w:szCs w:val="22"/>
                  <w:lang w:val="hu-HU"/>
                </w:rPr>
                <w:delText>Adagolási rend</w:delText>
              </w:r>
            </w:del>
          </w:p>
        </w:tc>
      </w:tr>
      <w:tr w:rsidR="00011D2F" w14:paraId="606AB5CA" w14:textId="5279AC3E" w:rsidTr="00832DC3">
        <w:trPr>
          <w:tblHeader/>
          <w:jc w:val="center"/>
          <w:del w:id="4328" w:author="AbbVie_HU_03" w:date="2025-05-14T15:27:00Z"/>
        </w:trPr>
        <w:tc>
          <w:tcPr>
            <w:tcW w:w="3401" w:type="dxa"/>
            <w:tcBorders>
              <w:top w:val="single" w:sz="4" w:space="0" w:color="auto"/>
              <w:bottom w:val="single" w:sz="4" w:space="0" w:color="auto"/>
            </w:tcBorders>
          </w:tcPr>
          <w:p w14:paraId="111ED52A" w14:textId="296C5B30" w:rsidR="007A2741" w:rsidRPr="00183B5F" w:rsidRDefault="00943743" w:rsidP="004062FE">
            <w:pPr>
              <w:pStyle w:val="TableLeft"/>
              <w:spacing w:before="0" w:after="0" w:line="240" w:lineRule="auto"/>
              <w:jc w:val="center"/>
              <w:rPr>
                <w:del w:id="4329" w:author="AbbVie_HU_03" w:date="2025-05-14T15:27:00Z"/>
                <w:b/>
                <w:sz w:val="22"/>
                <w:szCs w:val="22"/>
                <w:lang w:val="hu-HU"/>
              </w:rPr>
            </w:pPr>
            <w:del w:id="4330" w:author="AbbVie_HU_03" w:date="2025-05-14T15:27:00Z">
              <w:r w:rsidRPr="00183B5F">
                <w:rPr>
                  <w:sz w:val="22"/>
                  <w:szCs w:val="22"/>
                  <w:lang w:val="hu-HU"/>
                </w:rPr>
                <w:delText>&lt;</w:delText>
              </w:r>
              <w:r w:rsidR="00C43DDD" w:rsidRPr="00183B5F">
                <w:rPr>
                  <w:sz w:val="22"/>
                  <w:szCs w:val="22"/>
                  <w:lang w:val="hu-HU"/>
                </w:rPr>
                <w:delText> </w:delText>
              </w:r>
              <w:r w:rsidRPr="00183B5F">
                <w:rPr>
                  <w:sz w:val="22"/>
                  <w:szCs w:val="22"/>
                  <w:lang w:val="hu-HU"/>
                </w:rPr>
                <w:delText>30 kg</w:delText>
              </w:r>
            </w:del>
          </w:p>
        </w:tc>
        <w:tc>
          <w:tcPr>
            <w:tcW w:w="3394" w:type="dxa"/>
            <w:tcBorders>
              <w:top w:val="single" w:sz="4" w:space="0" w:color="auto"/>
              <w:bottom w:val="single" w:sz="4" w:space="0" w:color="auto"/>
            </w:tcBorders>
          </w:tcPr>
          <w:p w14:paraId="66E453AB" w14:textId="54FEEA91" w:rsidR="007A2741" w:rsidRPr="00183B5F" w:rsidRDefault="00943743" w:rsidP="004062FE">
            <w:pPr>
              <w:pStyle w:val="TableLeft"/>
              <w:spacing w:before="0" w:after="0" w:line="240" w:lineRule="auto"/>
              <w:jc w:val="center"/>
              <w:rPr>
                <w:del w:id="4331" w:author="AbbVie_HU_03" w:date="2025-05-14T15:27:00Z"/>
                <w:b/>
                <w:sz w:val="22"/>
                <w:szCs w:val="22"/>
                <w:lang w:val="hu-HU"/>
              </w:rPr>
            </w:pPr>
            <w:del w:id="4332" w:author="AbbVie_HU_03" w:date="2025-05-14T15:27:00Z">
              <w:r w:rsidRPr="00183B5F">
                <w:rPr>
                  <w:sz w:val="22"/>
                  <w:szCs w:val="22"/>
                  <w:lang w:val="hu-HU"/>
                </w:rPr>
                <w:delText>20 mg minden második héten metotrexáttal kombinálva</w:delText>
              </w:r>
            </w:del>
          </w:p>
        </w:tc>
      </w:tr>
      <w:tr w:rsidR="00011D2F" w14:paraId="4DA3A8D9" w14:textId="7F648FD2" w:rsidTr="00832DC3">
        <w:trPr>
          <w:tblHeader/>
          <w:jc w:val="center"/>
          <w:del w:id="4333" w:author="AbbVie_HU_03" w:date="2025-05-14T15:27:00Z"/>
        </w:trPr>
        <w:tc>
          <w:tcPr>
            <w:tcW w:w="3401" w:type="dxa"/>
            <w:tcBorders>
              <w:top w:val="single" w:sz="4" w:space="0" w:color="auto"/>
              <w:bottom w:val="single" w:sz="4" w:space="0" w:color="auto"/>
            </w:tcBorders>
          </w:tcPr>
          <w:p w14:paraId="78CCEB15" w14:textId="55DB4579" w:rsidR="007A2741" w:rsidRPr="00183B5F" w:rsidRDefault="00943743" w:rsidP="004062FE">
            <w:pPr>
              <w:pStyle w:val="TableLeft"/>
              <w:spacing w:before="0" w:after="0" w:line="240" w:lineRule="auto"/>
              <w:jc w:val="center"/>
              <w:rPr>
                <w:del w:id="4334" w:author="AbbVie_HU_03" w:date="2025-05-14T15:27:00Z"/>
                <w:b/>
                <w:sz w:val="22"/>
                <w:szCs w:val="22"/>
                <w:lang w:val="hu-HU"/>
              </w:rPr>
            </w:pPr>
            <w:del w:id="4335" w:author="AbbVie_HU_03" w:date="2025-05-14T15:27:00Z">
              <w:r w:rsidRPr="00183B5F">
                <w:rPr>
                  <w:sz w:val="22"/>
                  <w:szCs w:val="22"/>
                  <w:lang w:val="hu-HU"/>
                </w:rPr>
                <w:delText>≥</w:delText>
              </w:r>
              <w:r w:rsidR="00C43DDD" w:rsidRPr="00183B5F">
                <w:rPr>
                  <w:sz w:val="22"/>
                  <w:szCs w:val="22"/>
                  <w:lang w:val="hu-HU"/>
                </w:rPr>
                <w:delText> </w:delText>
              </w:r>
              <w:r w:rsidRPr="00183B5F">
                <w:rPr>
                  <w:sz w:val="22"/>
                  <w:szCs w:val="22"/>
                  <w:lang w:val="hu-HU"/>
                </w:rPr>
                <w:delText>30 kg</w:delText>
              </w:r>
            </w:del>
          </w:p>
        </w:tc>
        <w:tc>
          <w:tcPr>
            <w:tcW w:w="3394" w:type="dxa"/>
            <w:tcBorders>
              <w:top w:val="single" w:sz="4" w:space="0" w:color="auto"/>
              <w:bottom w:val="single" w:sz="4" w:space="0" w:color="auto"/>
            </w:tcBorders>
          </w:tcPr>
          <w:p w14:paraId="686389A0" w14:textId="541687CC" w:rsidR="007A2741" w:rsidRPr="00183B5F" w:rsidRDefault="00943743" w:rsidP="004062FE">
            <w:pPr>
              <w:pStyle w:val="TableLeft"/>
              <w:spacing w:before="0" w:after="0" w:line="240" w:lineRule="auto"/>
              <w:jc w:val="center"/>
              <w:rPr>
                <w:del w:id="4336" w:author="AbbVie_HU_03" w:date="2025-05-14T15:27:00Z"/>
                <w:b/>
                <w:sz w:val="22"/>
                <w:szCs w:val="22"/>
                <w:lang w:val="hu-HU"/>
              </w:rPr>
            </w:pPr>
            <w:del w:id="4337" w:author="AbbVie_HU_03" w:date="2025-05-14T15:27:00Z">
              <w:r w:rsidRPr="00183B5F">
                <w:rPr>
                  <w:sz w:val="22"/>
                  <w:szCs w:val="22"/>
                  <w:lang w:val="hu-HU"/>
                </w:rPr>
                <w:delText>40 mg minden második héten metotrexáttal kombinálva</w:delText>
              </w:r>
            </w:del>
          </w:p>
        </w:tc>
      </w:tr>
    </w:tbl>
    <w:p w14:paraId="1A9171FD" w14:textId="4FEE6F03" w:rsidR="002E7B0F" w:rsidRPr="00183B5F" w:rsidRDefault="002E7B0F" w:rsidP="004062FE">
      <w:pPr>
        <w:spacing w:line="240" w:lineRule="auto"/>
        <w:rPr>
          <w:del w:id="4338" w:author="AbbVie_HU_03" w:date="2025-05-14T15:27:00Z"/>
          <w:szCs w:val="22"/>
        </w:rPr>
      </w:pPr>
    </w:p>
    <w:p w14:paraId="58CEB2A0" w14:textId="20DD7EDF" w:rsidR="002E7B0F" w:rsidRPr="00183B5F" w:rsidRDefault="00943743" w:rsidP="004062FE">
      <w:pPr>
        <w:spacing w:line="240" w:lineRule="auto"/>
        <w:rPr>
          <w:del w:id="4339" w:author="AbbVie_HU_03" w:date="2025-05-14T15:27:00Z"/>
          <w:szCs w:val="22"/>
        </w:rPr>
      </w:pPr>
      <w:del w:id="4340" w:author="AbbVie_HU_03" w:date="2025-05-14T15:27:00Z">
        <w:r w:rsidRPr="00183B5F">
          <w:rPr>
            <w:szCs w:val="22"/>
          </w:rPr>
          <w:delText>A Humira</w:delText>
        </w:r>
        <w:r w:rsidRPr="00183B5F">
          <w:rPr>
            <w:szCs w:val="22"/>
          </w:rPr>
          <w:noBreakHyphen/>
          <w:delText>kezelés megkezdésekor egy 40 mg</w:delText>
        </w:r>
        <w:r w:rsidRPr="00183B5F">
          <w:rPr>
            <w:szCs w:val="22"/>
          </w:rPr>
          <w:noBreakHyphen/>
          <w:delText xml:space="preserve">os telítő dózis adható </w:delText>
        </w:r>
        <w:r w:rsidR="007A2741" w:rsidRPr="00183B5F">
          <w:rPr>
            <w:szCs w:val="22"/>
          </w:rPr>
          <w:delText>a 30 kg alatti betegeknek vagy egy 80 mg</w:delText>
        </w:r>
        <w:r w:rsidR="007A2741" w:rsidRPr="00183B5F">
          <w:rPr>
            <w:szCs w:val="22"/>
          </w:rPr>
          <w:noBreakHyphen/>
          <w:delText>os telítő dózis adható a legalább 30 kg</w:delText>
        </w:r>
        <w:r w:rsidR="00DD77ED" w:rsidRPr="00183B5F">
          <w:rPr>
            <w:szCs w:val="22"/>
          </w:rPr>
          <w:noBreakHyphen/>
        </w:r>
        <w:r w:rsidR="007A2741" w:rsidRPr="00183B5F">
          <w:rPr>
            <w:szCs w:val="22"/>
          </w:rPr>
          <w:delText xml:space="preserve">os betegeknek </w:delText>
        </w:r>
        <w:r w:rsidRPr="00183B5F">
          <w:rPr>
            <w:szCs w:val="22"/>
          </w:rPr>
          <w:delText xml:space="preserve">egy héttel a fenntartó kezelés megkezdése előtt. Nem állnak rendelkezésre klinikai adatok </w:delText>
        </w:r>
        <w:r w:rsidR="001A6052" w:rsidRPr="00183B5F">
          <w:rPr>
            <w:szCs w:val="22"/>
          </w:rPr>
          <w:delText xml:space="preserve">a </w:delText>
        </w:r>
        <w:r w:rsidRPr="00183B5F">
          <w:rPr>
            <w:szCs w:val="22"/>
          </w:rPr>
          <w:delText>Humira telítő a</w:delText>
        </w:r>
        <w:r w:rsidR="00A032A0" w:rsidRPr="00183B5F">
          <w:rPr>
            <w:szCs w:val="22"/>
          </w:rPr>
          <w:delText>dagjának 6 évnél fiatalabb gyer</w:delText>
        </w:r>
        <w:r w:rsidRPr="00183B5F">
          <w:rPr>
            <w:szCs w:val="22"/>
          </w:rPr>
          <w:delText>mek</w:delText>
        </w:r>
        <w:r w:rsidR="00A032A0" w:rsidRPr="00183B5F">
          <w:rPr>
            <w:szCs w:val="22"/>
          </w:rPr>
          <w:delText>ek</w:delText>
        </w:r>
        <w:r w:rsidRPr="00183B5F">
          <w:rPr>
            <w:szCs w:val="22"/>
          </w:rPr>
          <w:delText xml:space="preserve"> esetén történő alkalmazásáról (lásd 5.2 pont).</w:delText>
        </w:r>
      </w:del>
    </w:p>
    <w:p w14:paraId="0CA79B6A" w14:textId="6C58E3D0" w:rsidR="002E7B0F" w:rsidRPr="00183B5F" w:rsidRDefault="002E7B0F" w:rsidP="004062FE">
      <w:pPr>
        <w:spacing w:line="240" w:lineRule="auto"/>
        <w:rPr>
          <w:del w:id="4341" w:author="AbbVie_HU_03" w:date="2025-05-14T15:27:00Z"/>
          <w:szCs w:val="22"/>
        </w:rPr>
      </w:pPr>
    </w:p>
    <w:p w14:paraId="1501EB95" w14:textId="1193FB52" w:rsidR="002E7B0F" w:rsidRPr="00183B5F" w:rsidRDefault="00943743" w:rsidP="004062FE">
      <w:pPr>
        <w:spacing w:line="240" w:lineRule="auto"/>
        <w:rPr>
          <w:del w:id="4342" w:author="AbbVie_HU_03" w:date="2025-05-14T15:27:00Z"/>
          <w:szCs w:val="22"/>
        </w:rPr>
      </w:pPr>
      <w:del w:id="4343" w:author="AbbVie_HU_03" w:date="2025-05-14T15:27:00Z">
        <w:r w:rsidRPr="00183B5F">
          <w:rPr>
            <w:szCs w:val="22"/>
          </w:rPr>
          <w:delText xml:space="preserve">A </w:delText>
        </w:r>
        <w:r w:rsidR="00ED45A7" w:rsidRPr="00183B5F">
          <w:rPr>
            <w:szCs w:val="22"/>
          </w:rPr>
          <w:delText>Humira</w:delText>
        </w:r>
        <w:r w:rsidR="00ED45A7" w:rsidRPr="00183B5F">
          <w:rPr>
            <w:szCs w:val="22"/>
          </w:rPr>
          <w:noBreakHyphen/>
          <w:delText>nak</w:delText>
        </w:r>
        <w:r w:rsidRPr="00183B5F">
          <w:rPr>
            <w:szCs w:val="22"/>
          </w:rPr>
          <w:delText xml:space="preserve"> 2 évesnél fiatalabb gyermekeknél ebben a javallatban nincs releváns alkalmazása.</w:delText>
        </w:r>
      </w:del>
    </w:p>
    <w:p w14:paraId="05B75DD8" w14:textId="751D3ED8" w:rsidR="002E7B0F" w:rsidRPr="00183B5F" w:rsidRDefault="002E7B0F" w:rsidP="004062FE">
      <w:pPr>
        <w:spacing w:line="240" w:lineRule="auto"/>
        <w:rPr>
          <w:del w:id="4344" w:author="AbbVie_HU_03" w:date="2025-05-14T15:27:00Z"/>
          <w:szCs w:val="22"/>
        </w:rPr>
      </w:pPr>
    </w:p>
    <w:p w14:paraId="6697C91C" w14:textId="025D174E" w:rsidR="002E7B0F" w:rsidRPr="00183B5F" w:rsidRDefault="00943743" w:rsidP="004062FE">
      <w:pPr>
        <w:spacing w:line="240" w:lineRule="auto"/>
        <w:rPr>
          <w:del w:id="4345" w:author="AbbVie_HU_03" w:date="2025-05-14T15:27:00Z"/>
          <w:szCs w:val="22"/>
        </w:rPr>
      </w:pPr>
      <w:del w:id="4346" w:author="AbbVie_HU_03" w:date="2025-05-14T15:27:00Z">
        <w:r w:rsidRPr="00183B5F">
          <w:rPr>
            <w:szCs w:val="22"/>
          </w:rPr>
          <w:delText>Javasolt a folyamatos, hosszú távú kezelés előnyét és kockázatát évente értékelni (lásd 5.1 pont).</w:delText>
        </w:r>
      </w:del>
    </w:p>
    <w:p w14:paraId="680B265D" w14:textId="4853AB08" w:rsidR="00A47E6E" w:rsidRPr="00183B5F" w:rsidRDefault="00A47E6E" w:rsidP="004062FE">
      <w:pPr>
        <w:spacing w:line="240" w:lineRule="auto"/>
        <w:rPr>
          <w:del w:id="4347" w:author="AbbVie_HU_03" w:date="2025-05-14T15:27:00Z"/>
          <w:szCs w:val="22"/>
        </w:rPr>
      </w:pPr>
    </w:p>
    <w:p w14:paraId="0ECBACE8" w14:textId="2807D20E" w:rsidR="00A47E6E" w:rsidRPr="00183B5F" w:rsidRDefault="00943743" w:rsidP="004062FE">
      <w:pPr>
        <w:spacing w:line="240" w:lineRule="auto"/>
        <w:rPr>
          <w:del w:id="4348" w:author="AbbVie_HU_03" w:date="2025-05-14T15:27:00Z"/>
          <w:szCs w:val="22"/>
        </w:rPr>
      </w:pPr>
      <w:del w:id="4349" w:author="AbbVie_HU_03" w:date="2025-05-14T15:27:00Z">
        <w:r w:rsidRPr="00183B5F">
          <w:rPr>
            <w:szCs w:val="22"/>
          </w:rPr>
          <w:delText>A Humira más hatáserősségben és/vagy kiszerelésben is elérhető az egyéni terápiás igényeknek megfelelően</w:delText>
        </w:r>
      </w:del>
    </w:p>
    <w:p w14:paraId="36B50212" w14:textId="4F12386E" w:rsidR="002E7B0F" w:rsidRPr="00183B5F" w:rsidRDefault="002E7B0F">
      <w:pPr>
        <w:spacing w:line="240" w:lineRule="auto"/>
        <w:rPr>
          <w:del w:id="4350" w:author="AbbVie_HU_03" w:date="2025-05-14T15:27:00Z"/>
          <w:szCs w:val="22"/>
        </w:rPr>
      </w:pPr>
    </w:p>
    <w:p w14:paraId="591D3272" w14:textId="090BA988" w:rsidR="00DD14D1" w:rsidRPr="00183B5F" w:rsidRDefault="00DD14D1">
      <w:pPr>
        <w:spacing w:line="240" w:lineRule="auto"/>
        <w:rPr>
          <w:del w:id="4351" w:author="AbbVie_HU_03" w:date="2025-05-14T15:27:00Z"/>
          <w:szCs w:val="22"/>
        </w:rPr>
      </w:pPr>
    </w:p>
    <w:p w14:paraId="50252B4F" w14:textId="2E95C810" w:rsidR="00DD14D1" w:rsidRPr="00183B5F" w:rsidRDefault="00943743" w:rsidP="004062FE">
      <w:pPr>
        <w:spacing w:line="240" w:lineRule="auto"/>
        <w:rPr>
          <w:del w:id="4352" w:author="AbbVie_HU_03" w:date="2025-05-14T15:27:00Z"/>
          <w:u w:val="single"/>
          <w:lang w:eastAsia="x-none"/>
        </w:rPr>
      </w:pPr>
      <w:del w:id="4353" w:author="AbbVie_HU_03" w:date="2025-05-14T15:27:00Z">
        <w:r w:rsidRPr="00183B5F">
          <w:rPr>
            <w:u w:val="single"/>
            <w:lang w:eastAsia="x-none"/>
          </w:rPr>
          <w:delText>Az alkalmazás módja</w:delText>
        </w:r>
      </w:del>
    </w:p>
    <w:p w14:paraId="3CFB651E" w14:textId="4328ED0C" w:rsidR="00DD14D1" w:rsidRPr="00183B5F" w:rsidRDefault="00DD14D1" w:rsidP="004062FE">
      <w:pPr>
        <w:spacing w:line="240" w:lineRule="auto"/>
        <w:rPr>
          <w:del w:id="4354" w:author="AbbVie_HU_03" w:date="2025-05-14T15:27:00Z"/>
          <w:u w:val="single"/>
          <w:lang w:eastAsia="x-none"/>
        </w:rPr>
      </w:pPr>
    </w:p>
    <w:p w14:paraId="13630D90" w14:textId="378A319B" w:rsidR="00DD14D1" w:rsidRPr="00183B5F" w:rsidRDefault="00943743" w:rsidP="004062FE">
      <w:pPr>
        <w:spacing w:line="240" w:lineRule="auto"/>
        <w:rPr>
          <w:del w:id="4355" w:author="AbbVie_HU_03" w:date="2025-05-14T15:27:00Z"/>
          <w:lang w:eastAsia="x-none"/>
        </w:rPr>
      </w:pPr>
      <w:del w:id="4356" w:author="AbbVie_HU_03" w:date="2025-05-14T15:27:00Z">
        <w:r w:rsidRPr="00183B5F">
          <w:rPr>
            <w:lang w:eastAsia="x-none"/>
          </w:rPr>
          <w:delText xml:space="preserve">A Humira </w:delText>
        </w:r>
        <w:r w:rsidRPr="00183B5F">
          <w:rPr>
            <w:szCs w:val="22"/>
          </w:rPr>
          <w:delText>subcutan injekció formájában kerül beadásra. Az alkalmazásra vonatkozó teljes körű utasítás a betegtájékoztatóban található.</w:delText>
        </w:r>
      </w:del>
    </w:p>
    <w:p w14:paraId="5A0C02BC" w14:textId="4B9DDFE0" w:rsidR="003F0E52" w:rsidRPr="00183B5F" w:rsidRDefault="003F0E52" w:rsidP="004062FE">
      <w:pPr>
        <w:spacing w:line="240" w:lineRule="auto"/>
        <w:rPr>
          <w:del w:id="4357" w:author="AbbVie_HU_03" w:date="2025-05-14T15:27:00Z"/>
          <w:szCs w:val="22"/>
        </w:rPr>
      </w:pPr>
    </w:p>
    <w:p w14:paraId="19D1D3B2" w14:textId="2AB05992" w:rsidR="003F0E52" w:rsidRPr="00183B5F" w:rsidRDefault="00943743">
      <w:pPr>
        <w:spacing w:line="240" w:lineRule="auto"/>
        <w:rPr>
          <w:del w:id="4358" w:author="AbbVie_HU_03" w:date="2025-05-14T15:27:00Z"/>
          <w:szCs w:val="22"/>
        </w:rPr>
      </w:pPr>
      <w:del w:id="4359" w:author="AbbVie_HU_03" w:date="2025-05-14T15:27:00Z">
        <w:r w:rsidRPr="00183B5F">
          <w:rPr>
            <w:szCs w:val="22"/>
          </w:rPr>
          <w:delText>A Humira más hatáserősségekben és kiszerelésekben is rendelkezésre áll.</w:delText>
        </w:r>
      </w:del>
    </w:p>
    <w:p w14:paraId="21B30EA3" w14:textId="4A68FDE6" w:rsidR="00FD14F5" w:rsidRPr="00183B5F" w:rsidRDefault="00FD14F5">
      <w:pPr>
        <w:spacing w:line="240" w:lineRule="auto"/>
        <w:rPr>
          <w:del w:id="4360" w:author="AbbVie_HU_03" w:date="2025-05-14T15:27:00Z"/>
          <w:szCs w:val="22"/>
        </w:rPr>
      </w:pPr>
    </w:p>
    <w:p w14:paraId="6D4534D1" w14:textId="32595413" w:rsidR="00FB6710" w:rsidRPr="00183B5F" w:rsidRDefault="00943743" w:rsidP="006B2397">
      <w:pPr>
        <w:keepNext/>
        <w:spacing w:line="240" w:lineRule="auto"/>
        <w:rPr>
          <w:del w:id="4361" w:author="AbbVie_HU_03" w:date="2025-05-14T15:27:00Z"/>
          <w:b/>
          <w:szCs w:val="22"/>
        </w:rPr>
      </w:pPr>
      <w:del w:id="4362" w:author="AbbVie_HU_03" w:date="2025-05-14T15:27:00Z">
        <w:r w:rsidRPr="00183B5F">
          <w:rPr>
            <w:b/>
            <w:szCs w:val="22"/>
          </w:rPr>
          <w:delText>4.3</w:delText>
        </w:r>
        <w:r w:rsidRPr="00183B5F">
          <w:rPr>
            <w:b/>
            <w:szCs w:val="22"/>
          </w:rPr>
          <w:tab/>
          <w:delText>Ellenjavallatok</w:delText>
        </w:r>
      </w:del>
    </w:p>
    <w:p w14:paraId="13081935" w14:textId="27FB1EC4" w:rsidR="00FB6710" w:rsidRPr="00183B5F" w:rsidRDefault="00FB6710" w:rsidP="004062FE">
      <w:pPr>
        <w:keepNext/>
        <w:spacing w:line="240" w:lineRule="auto"/>
        <w:rPr>
          <w:del w:id="4363" w:author="AbbVie_HU_03" w:date="2025-05-14T15:27:00Z"/>
          <w:szCs w:val="22"/>
        </w:rPr>
      </w:pPr>
    </w:p>
    <w:p w14:paraId="38BBD3A8" w14:textId="20D8259A" w:rsidR="00FB6710" w:rsidRPr="00183B5F" w:rsidRDefault="00943743" w:rsidP="004062FE">
      <w:pPr>
        <w:spacing w:line="240" w:lineRule="auto"/>
        <w:rPr>
          <w:del w:id="4364" w:author="AbbVie_HU_03" w:date="2025-05-14T15:27:00Z"/>
          <w:szCs w:val="22"/>
        </w:rPr>
      </w:pPr>
      <w:del w:id="4365" w:author="AbbVie_HU_03" w:date="2025-05-14T15:27:00Z">
        <w:r w:rsidRPr="00183B5F">
          <w:rPr>
            <w:szCs w:val="22"/>
          </w:rPr>
          <w:delText xml:space="preserve">A készítmény hatóanyagával </w:delText>
        </w:r>
        <w:r w:rsidR="00933782" w:rsidRPr="00183B5F">
          <w:rPr>
            <w:szCs w:val="22"/>
          </w:rPr>
          <w:delText xml:space="preserve">vagy </w:delText>
        </w:r>
        <w:r w:rsidR="00933782" w:rsidRPr="00183B5F">
          <w:rPr>
            <w:noProof/>
            <w:szCs w:val="24"/>
          </w:rPr>
          <w:delText>a 6.1</w:delText>
        </w:r>
        <w:r w:rsidR="003E51F4" w:rsidRPr="00183B5F">
          <w:rPr>
            <w:noProof/>
            <w:szCs w:val="24"/>
          </w:rPr>
          <w:delText> </w:delText>
        </w:r>
        <w:r w:rsidR="00933782" w:rsidRPr="00183B5F">
          <w:rPr>
            <w:noProof/>
            <w:szCs w:val="24"/>
          </w:rPr>
          <w:delText xml:space="preserve">pontban felsorolt </w:delText>
        </w:r>
        <w:r w:rsidRPr="00183B5F">
          <w:rPr>
            <w:szCs w:val="22"/>
          </w:rPr>
          <w:delText>bármely segédanyagával szembeni túlérzékenység.</w:delText>
        </w:r>
      </w:del>
    </w:p>
    <w:p w14:paraId="18B39FDD" w14:textId="1F27429D" w:rsidR="00933782" w:rsidRPr="00183B5F" w:rsidRDefault="00933782" w:rsidP="004062FE">
      <w:pPr>
        <w:spacing w:line="240" w:lineRule="auto"/>
        <w:rPr>
          <w:del w:id="4366" w:author="AbbVie_HU_03" w:date="2025-05-14T15:27:00Z"/>
          <w:szCs w:val="22"/>
        </w:rPr>
      </w:pPr>
    </w:p>
    <w:p w14:paraId="3E088DDE" w14:textId="3DD60C44" w:rsidR="00FB6710" w:rsidRPr="00183B5F" w:rsidRDefault="00943743" w:rsidP="004062FE">
      <w:pPr>
        <w:spacing w:line="240" w:lineRule="auto"/>
        <w:rPr>
          <w:del w:id="4367" w:author="AbbVie_HU_03" w:date="2025-05-14T15:27:00Z"/>
          <w:szCs w:val="22"/>
        </w:rPr>
      </w:pPr>
      <w:del w:id="4368" w:author="AbbVie_HU_03" w:date="2025-05-14T15:27:00Z">
        <w:r w:rsidRPr="00183B5F">
          <w:rPr>
            <w:szCs w:val="22"/>
          </w:rPr>
          <w:delText>Aktív tuber</w:delText>
        </w:r>
        <w:r w:rsidR="00FE6439" w:rsidRPr="00183B5F">
          <w:rPr>
            <w:szCs w:val="22"/>
          </w:rPr>
          <w:delText>culos</w:delText>
        </w:r>
        <w:r w:rsidRPr="00183B5F">
          <w:rPr>
            <w:szCs w:val="22"/>
          </w:rPr>
          <w:delText>is vagy más súlyos fertőzés, mint szepszis vagy opportunista fertőzések (lásd 4.4 pont).</w:delText>
        </w:r>
      </w:del>
    </w:p>
    <w:p w14:paraId="69375A68" w14:textId="57A15FCC" w:rsidR="00933782" w:rsidRPr="00183B5F" w:rsidRDefault="00933782" w:rsidP="004062FE">
      <w:pPr>
        <w:spacing w:line="240" w:lineRule="auto"/>
        <w:rPr>
          <w:del w:id="4369" w:author="AbbVie_HU_03" w:date="2025-05-14T15:27:00Z"/>
          <w:szCs w:val="22"/>
        </w:rPr>
      </w:pPr>
    </w:p>
    <w:p w14:paraId="0B94430B" w14:textId="22D26DEC" w:rsidR="00FB6710" w:rsidRPr="00183B5F" w:rsidRDefault="00943743" w:rsidP="004062FE">
      <w:pPr>
        <w:spacing w:line="240" w:lineRule="auto"/>
        <w:rPr>
          <w:del w:id="4370" w:author="AbbVie_HU_03" w:date="2025-05-14T15:27:00Z"/>
          <w:szCs w:val="22"/>
        </w:rPr>
      </w:pPr>
      <w:del w:id="4371" w:author="AbbVie_HU_03" w:date="2025-05-14T15:27:00Z">
        <w:r w:rsidRPr="00183B5F">
          <w:rPr>
            <w:szCs w:val="22"/>
          </w:rPr>
          <w:delText>Köz</w:delText>
        </w:r>
        <w:r w:rsidR="00DA33F0" w:rsidRPr="00183B5F">
          <w:rPr>
            <w:szCs w:val="22"/>
          </w:rPr>
          <w:delText xml:space="preserve">epesen </w:delText>
        </w:r>
        <w:r w:rsidRPr="00183B5F">
          <w:rPr>
            <w:szCs w:val="22"/>
          </w:rPr>
          <w:delText>súlyos, súlyos szívelégtelenség (NYHA</w:delText>
        </w:r>
        <w:r w:rsidR="00F0468F" w:rsidRPr="00183B5F">
          <w:rPr>
            <w:szCs w:val="22"/>
          </w:rPr>
          <w:delText> </w:delText>
        </w:r>
        <w:r w:rsidRPr="00183B5F">
          <w:rPr>
            <w:szCs w:val="22"/>
          </w:rPr>
          <w:delText>III/IV) (lásd 4.4 pont).</w:delText>
        </w:r>
      </w:del>
    </w:p>
    <w:p w14:paraId="51DCA8C1" w14:textId="7DCFB0BA" w:rsidR="00FB6710" w:rsidRPr="00183B5F" w:rsidRDefault="00FB6710" w:rsidP="004062FE">
      <w:pPr>
        <w:spacing w:line="240" w:lineRule="auto"/>
        <w:rPr>
          <w:del w:id="4372" w:author="AbbVie_HU_03" w:date="2025-05-14T15:27:00Z"/>
          <w:szCs w:val="22"/>
        </w:rPr>
      </w:pPr>
    </w:p>
    <w:p w14:paraId="1942D0F4" w14:textId="74C30BD5" w:rsidR="00FB6710" w:rsidRPr="00183B5F" w:rsidRDefault="00943743" w:rsidP="004062FE">
      <w:pPr>
        <w:keepNext/>
        <w:spacing w:line="240" w:lineRule="auto"/>
        <w:ind w:left="567" w:hanging="567"/>
        <w:rPr>
          <w:del w:id="4373" w:author="AbbVie_HU_03" w:date="2025-05-14T15:27:00Z"/>
          <w:b/>
          <w:szCs w:val="22"/>
        </w:rPr>
      </w:pPr>
      <w:del w:id="4374" w:author="AbbVie_HU_03" w:date="2025-05-14T15:27:00Z">
        <w:r w:rsidRPr="00183B5F">
          <w:rPr>
            <w:b/>
            <w:szCs w:val="22"/>
          </w:rPr>
          <w:delText>4.4</w:delText>
        </w:r>
        <w:r w:rsidRPr="00183B5F">
          <w:rPr>
            <w:b/>
            <w:szCs w:val="22"/>
          </w:rPr>
          <w:tab/>
        </w:r>
        <w:r w:rsidRPr="00183B5F">
          <w:rPr>
            <w:b/>
            <w:szCs w:val="22"/>
          </w:rPr>
          <w:delText>Különleges figyelmeztetések és az alkalmazással kapcsolatos óvintézkedések</w:delText>
        </w:r>
      </w:del>
    </w:p>
    <w:p w14:paraId="3356D624" w14:textId="79A9E02A" w:rsidR="00FB6710" w:rsidRPr="00183B5F" w:rsidRDefault="00FB6710" w:rsidP="004062FE">
      <w:pPr>
        <w:keepNext/>
        <w:spacing w:line="240" w:lineRule="auto"/>
        <w:rPr>
          <w:del w:id="4375" w:author="AbbVie_HU_03" w:date="2025-05-14T15:27:00Z"/>
          <w:szCs w:val="22"/>
        </w:rPr>
      </w:pPr>
    </w:p>
    <w:p w14:paraId="2561F115" w14:textId="5C5D3E22" w:rsidR="009D4252" w:rsidRPr="00183B5F" w:rsidRDefault="00943743">
      <w:pPr>
        <w:pStyle w:val="EMEANormal"/>
        <w:rPr>
          <w:del w:id="4376" w:author="AbbVie_HU_03" w:date="2025-05-14T15:27:00Z"/>
          <w:u w:val="single"/>
          <w:lang w:val="hu-HU"/>
        </w:rPr>
      </w:pPr>
      <w:del w:id="4377" w:author="AbbVie_HU_03" w:date="2025-05-14T15:27:00Z">
        <w:r w:rsidRPr="00183B5F">
          <w:rPr>
            <w:u w:val="single"/>
            <w:lang w:val="hu-HU"/>
          </w:rPr>
          <w:delText>Nyomonkövethetőség</w:delText>
        </w:r>
      </w:del>
    </w:p>
    <w:p w14:paraId="396A697A" w14:textId="00258C33" w:rsidR="009D4252" w:rsidRPr="00183B5F" w:rsidRDefault="009D4252" w:rsidP="004062FE">
      <w:pPr>
        <w:keepNext/>
        <w:spacing w:line="240" w:lineRule="auto"/>
        <w:rPr>
          <w:del w:id="4378" w:author="AbbVie_HU_03" w:date="2025-05-14T15:27:00Z"/>
          <w:szCs w:val="22"/>
        </w:rPr>
      </w:pPr>
    </w:p>
    <w:p w14:paraId="425D45A9" w14:textId="41FB8928" w:rsidR="00225CEF" w:rsidRPr="00183B5F" w:rsidRDefault="00943743" w:rsidP="004062FE">
      <w:pPr>
        <w:keepNext/>
        <w:spacing w:line="240" w:lineRule="auto"/>
        <w:rPr>
          <w:del w:id="4379" w:author="AbbVie_HU_03" w:date="2025-05-14T15:27:00Z"/>
          <w:szCs w:val="22"/>
        </w:rPr>
      </w:pPr>
      <w:del w:id="4380" w:author="AbbVie_HU_03" w:date="2025-05-14T15:27:00Z">
        <w:r w:rsidRPr="00183B5F">
          <w:rPr>
            <w:szCs w:val="22"/>
          </w:rPr>
          <w:delText>A biológiai gyógyszerek nyomonkövethetőségének javítása érdekében a gyógyszer nevét és gyártási számát egyértelműen fel kell jegyezni.</w:delText>
        </w:r>
      </w:del>
    </w:p>
    <w:p w14:paraId="0F464428" w14:textId="69C99114" w:rsidR="00225CEF" w:rsidRPr="00183B5F" w:rsidRDefault="00225CEF" w:rsidP="004062FE">
      <w:pPr>
        <w:spacing w:line="240" w:lineRule="auto"/>
        <w:rPr>
          <w:del w:id="4381" w:author="AbbVie_HU_03" w:date="2025-05-14T15:27:00Z"/>
          <w:szCs w:val="22"/>
          <w:u w:val="single"/>
        </w:rPr>
      </w:pPr>
    </w:p>
    <w:p w14:paraId="15B16B41" w14:textId="5E156965" w:rsidR="00FB6710" w:rsidRPr="00183B5F" w:rsidRDefault="00943743" w:rsidP="004062FE">
      <w:pPr>
        <w:keepNext/>
        <w:spacing w:line="240" w:lineRule="auto"/>
        <w:rPr>
          <w:del w:id="4382" w:author="AbbVie_HU_03" w:date="2025-05-14T15:27:00Z"/>
          <w:szCs w:val="22"/>
          <w:u w:val="single"/>
        </w:rPr>
      </w:pPr>
      <w:del w:id="4383" w:author="AbbVie_HU_03" w:date="2025-05-14T15:27:00Z">
        <w:r w:rsidRPr="00183B5F">
          <w:rPr>
            <w:szCs w:val="22"/>
            <w:u w:val="single"/>
          </w:rPr>
          <w:delText>Fertőzések</w:delText>
        </w:r>
      </w:del>
    </w:p>
    <w:p w14:paraId="526C6358" w14:textId="76792546" w:rsidR="00FB6710" w:rsidRPr="00183B5F" w:rsidRDefault="00FB6710" w:rsidP="004062FE">
      <w:pPr>
        <w:keepNext/>
        <w:spacing w:line="240" w:lineRule="auto"/>
        <w:rPr>
          <w:del w:id="4384" w:author="AbbVie_HU_03" w:date="2025-05-14T15:27:00Z"/>
          <w:szCs w:val="22"/>
          <w:u w:val="single"/>
        </w:rPr>
      </w:pPr>
    </w:p>
    <w:p w14:paraId="232C12CB" w14:textId="487ED3DF" w:rsidR="00FB6710" w:rsidRPr="00183B5F" w:rsidRDefault="00943743" w:rsidP="004062FE">
      <w:pPr>
        <w:keepNext/>
        <w:spacing w:line="240" w:lineRule="auto"/>
        <w:rPr>
          <w:del w:id="4385" w:author="AbbVie_HU_03" w:date="2025-05-14T15:27:00Z"/>
          <w:szCs w:val="22"/>
        </w:rPr>
      </w:pPr>
      <w:del w:id="4386" w:author="AbbVie_HU_03" w:date="2025-05-14T15:27:00Z">
        <w:r w:rsidRPr="00183B5F">
          <w:rPr>
            <w:szCs w:val="22"/>
          </w:rPr>
          <w:delText xml:space="preserve">A </w:delText>
        </w:r>
        <w:r w:rsidR="00332587" w:rsidRPr="00183B5F">
          <w:rPr>
            <w:szCs w:val="22"/>
          </w:rPr>
          <w:delText>TNF</w:delText>
        </w:r>
        <w:r w:rsidR="00F8791D" w:rsidRPr="00183B5F">
          <w:rPr>
            <w:szCs w:val="22"/>
          </w:rPr>
          <w:noBreakHyphen/>
        </w:r>
        <w:r w:rsidR="00332587" w:rsidRPr="00183B5F">
          <w:rPr>
            <w:szCs w:val="22"/>
          </w:rPr>
          <w:delText>antagonistákat</w:delText>
        </w:r>
        <w:r w:rsidR="00B35083" w:rsidRPr="00183B5F">
          <w:rPr>
            <w:szCs w:val="22"/>
          </w:rPr>
          <w:delText xml:space="preserve"> </w:delText>
        </w:r>
        <w:r w:rsidRPr="00183B5F">
          <w:rPr>
            <w:szCs w:val="22"/>
          </w:rPr>
          <w:delText xml:space="preserve">kapó betegek </w:delText>
        </w:r>
        <w:r w:rsidR="00623442" w:rsidRPr="00183B5F">
          <w:rPr>
            <w:szCs w:val="22"/>
          </w:rPr>
          <w:delText xml:space="preserve">fogékonyabbak </w:delText>
        </w:r>
        <w:r w:rsidRPr="00183B5F">
          <w:rPr>
            <w:szCs w:val="22"/>
          </w:rPr>
          <w:delText>a súlyos fertőzésekre. A károsodott légzésfunkció növelheti a fertőzések kialakulásának kockázatát.</w:delText>
        </w:r>
        <w:r w:rsidR="00F77BFD" w:rsidRPr="00183B5F">
          <w:rPr>
            <w:szCs w:val="22"/>
          </w:rPr>
          <w:delText xml:space="preserve"> </w:delText>
        </w:r>
        <w:r w:rsidRPr="00183B5F">
          <w:rPr>
            <w:szCs w:val="22"/>
          </w:rPr>
          <w:delText>Ezért a Humira</w:delText>
        </w:r>
        <w:r w:rsidR="00F0468F" w:rsidRPr="00183B5F">
          <w:rPr>
            <w:szCs w:val="22"/>
          </w:rPr>
          <w:noBreakHyphen/>
        </w:r>
        <w:r w:rsidRPr="00183B5F">
          <w:rPr>
            <w:szCs w:val="22"/>
          </w:rPr>
          <w:delText>val való kezelés előtt, alatt és után a betegek</w:delText>
        </w:r>
        <w:r w:rsidR="00D12A10" w:rsidRPr="00183B5F">
          <w:rPr>
            <w:szCs w:val="22"/>
          </w:rPr>
          <w:delText xml:space="preserve">nél gondosan figyelni kell </w:delText>
        </w:r>
        <w:r w:rsidRPr="00183B5F">
          <w:rPr>
            <w:szCs w:val="22"/>
          </w:rPr>
          <w:delText>a fertőzések</w:delText>
        </w:r>
        <w:r w:rsidR="00D12A10" w:rsidRPr="00183B5F">
          <w:rPr>
            <w:szCs w:val="22"/>
          </w:rPr>
          <w:delText>et,</w:delText>
        </w:r>
        <w:r w:rsidR="00623442" w:rsidRPr="00183B5F">
          <w:rPr>
            <w:szCs w:val="22"/>
          </w:rPr>
          <w:delText xml:space="preserve"> </w:delText>
        </w:r>
        <w:r w:rsidRPr="00183B5F">
          <w:rPr>
            <w:szCs w:val="22"/>
          </w:rPr>
          <w:delText>beleértve a tuber</w:delText>
        </w:r>
        <w:r w:rsidR="00FE6439" w:rsidRPr="00183B5F">
          <w:rPr>
            <w:szCs w:val="22"/>
          </w:rPr>
          <w:delText>culos</w:delText>
        </w:r>
        <w:r w:rsidRPr="00183B5F">
          <w:rPr>
            <w:szCs w:val="22"/>
          </w:rPr>
          <w:delText>is</w:delText>
        </w:r>
        <w:r w:rsidR="00D12A10" w:rsidRPr="00183B5F">
          <w:rPr>
            <w:szCs w:val="22"/>
          </w:rPr>
          <w:delText>t is.</w:delText>
        </w:r>
        <w:r w:rsidRPr="00183B5F">
          <w:rPr>
            <w:szCs w:val="22"/>
          </w:rPr>
          <w:delText xml:space="preserve"> Tekintettel arra, hogy az adalimumab teljes eliminációja akár </w:delText>
        </w:r>
        <w:r w:rsidR="007D39E8" w:rsidRPr="00183B5F">
          <w:rPr>
            <w:szCs w:val="22"/>
          </w:rPr>
          <w:delText>négy</w:delText>
        </w:r>
        <w:r w:rsidRPr="00183B5F">
          <w:rPr>
            <w:szCs w:val="22"/>
          </w:rPr>
          <w:delText xml:space="preserve"> hónapot vehet igénybe, a megfigyelés ezen idő alatt is szükséges.</w:delText>
        </w:r>
      </w:del>
    </w:p>
    <w:p w14:paraId="6CD9B7D5" w14:textId="4492EFE6" w:rsidR="00FB6710" w:rsidRPr="00183B5F" w:rsidRDefault="00FB6710" w:rsidP="004062FE">
      <w:pPr>
        <w:spacing w:line="240" w:lineRule="auto"/>
        <w:rPr>
          <w:del w:id="4387" w:author="AbbVie_HU_03" w:date="2025-05-14T15:27:00Z"/>
          <w:szCs w:val="22"/>
        </w:rPr>
      </w:pPr>
    </w:p>
    <w:p w14:paraId="776E4828" w14:textId="48FEC34A" w:rsidR="00FB6710" w:rsidRPr="00183B5F" w:rsidRDefault="00943743" w:rsidP="004062FE">
      <w:pPr>
        <w:spacing w:line="240" w:lineRule="auto"/>
        <w:rPr>
          <w:del w:id="4388" w:author="AbbVie_HU_03" w:date="2025-05-14T15:27:00Z"/>
          <w:szCs w:val="22"/>
        </w:rPr>
      </w:pPr>
      <w:del w:id="4389" w:author="AbbVie_HU_03" w:date="2025-05-14T15:27:00Z">
        <w:r w:rsidRPr="00183B5F">
          <w:rPr>
            <w:szCs w:val="22"/>
          </w:rPr>
          <w:delText>Humira</w:delText>
        </w:r>
        <w:r w:rsidR="00F8791D" w:rsidRPr="00183B5F">
          <w:rPr>
            <w:szCs w:val="22"/>
          </w:rPr>
          <w:noBreakHyphen/>
        </w:r>
        <w:r w:rsidRPr="00183B5F">
          <w:rPr>
            <w:szCs w:val="22"/>
          </w:rPr>
          <w:delText>val való kezelés nem kezdhető aktív fertőzésben szenvedő betegek esetében, beleértve a krónikus és lokális fertőzéseket is, amíg a fertőzés nem gyógyul meg. A tuber</w:delText>
        </w:r>
        <w:r w:rsidR="00FE6439" w:rsidRPr="00183B5F">
          <w:rPr>
            <w:szCs w:val="22"/>
          </w:rPr>
          <w:delText>culos</w:delText>
        </w:r>
        <w:r w:rsidRPr="00183B5F">
          <w:rPr>
            <w:szCs w:val="22"/>
          </w:rPr>
          <w:delText>is által veszélyeztetett betegeknél és azoknál a betegeknél, akik olyan területekre utaztak, ahol nagy a tuber</w:delText>
        </w:r>
        <w:r w:rsidR="00FE6439" w:rsidRPr="00183B5F">
          <w:rPr>
            <w:szCs w:val="22"/>
          </w:rPr>
          <w:delText>culos</w:delText>
        </w:r>
        <w:r w:rsidRPr="00183B5F">
          <w:rPr>
            <w:szCs w:val="22"/>
          </w:rPr>
          <w:delText>is vagy az endemiás mycosisok, mint például a histoplasmosis, coccidioidomycosis vagy blastomycosis kockázata, a Humira</w:delText>
        </w:r>
        <w:r w:rsidR="00F8791D" w:rsidRPr="00183B5F">
          <w:rPr>
            <w:szCs w:val="22"/>
          </w:rPr>
          <w:noBreakHyphen/>
        </w:r>
        <w:r w:rsidRPr="00183B5F">
          <w:rPr>
            <w:szCs w:val="22"/>
          </w:rPr>
          <w:delText xml:space="preserve">kezelés kockázatát és előnyét a kezelés megkezdése előtt mérlegelni kell (lásd </w:delText>
        </w:r>
        <w:r w:rsidRPr="00183B5F">
          <w:rPr>
            <w:i/>
            <w:iCs/>
            <w:szCs w:val="22"/>
          </w:rPr>
          <w:delText>Egyéb opportunista fertőzések</w:delText>
        </w:r>
        <w:r w:rsidRPr="00183B5F">
          <w:rPr>
            <w:szCs w:val="22"/>
          </w:rPr>
          <w:delText>).</w:delText>
        </w:r>
      </w:del>
    </w:p>
    <w:p w14:paraId="5CD32861" w14:textId="7096CBB1" w:rsidR="00FB6710" w:rsidRPr="00183B5F" w:rsidRDefault="00FB6710" w:rsidP="004062FE">
      <w:pPr>
        <w:spacing w:line="240" w:lineRule="auto"/>
        <w:rPr>
          <w:del w:id="4390" w:author="AbbVie_HU_03" w:date="2025-05-14T15:27:00Z"/>
          <w:szCs w:val="22"/>
        </w:rPr>
      </w:pPr>
    </w:p>
    <w:p w14:paraId="2BC10933" w14:textId="6979FA68" w:rsidR="00FB6710" w:rsidRPr="00183B5F" w:rsidRDefault="00943743" w:rsidP="004062FE">
      <w:pPr>
        <w:spacing w:line="240" w:lineRule="auto"/>
        <w:rPr>
          <w:del w:id="4391" w:author="AbbVie_HU_03" w:date="2025-05-14T15:27:00Z"/>
          <w:szCs w:val="22"/>
        </w:rPr>
      </w:pPr>
      <w:del w:id="4392" w:author="AbbVie_HU_03" w:date="2025-05-14T15:27:00Z">
        <w:r w:rsidRPr="00183B5F">
          <w:rPr>
            <w:szCs w:val="22"/>
          </w:rPr>
          <w:delText>Szoros megfigyelés alatt kell tartani azokat a betegeket, akiknél a Humira</w:delText>
        </w:r>
        <w:r w:rsidR="00F8791D" w:rsidRPr="00183B5F">
          <w:rPr>
            <w:szCs w:val="22"/>
          </w:rPr>
          <w:noBreakHyphen/>
        </w:r>
        <w:r w:rsidRPr="00183B5F">
          <w:rPr>
            <w:szCs w:val="22"/>
          </w:rPr>
          <w:delText>val való kezelés során alakul ki új fertőzés, és teljes diagnosztikus kivizsgáláson kell átesniük. Olyan esetekben, amikor új, súlyos fertőzés vagy sepsis alakul ki a Humira</w:delText>
        </w:r>
        <w:r w:rsidR="00F8791D" w:rsidRPr="00183B5F">
          <w:rPr>
            <w:szCs w:val="22"/>
          </w:rPr>
          <w:noBreakHyphen/>
        </w:r>
        <w:r w:rsidRPr="00183B5F">
          <w:rPr>
            <w:szCs w:val="22"/>
          </w:rPr>
          <w:delText xml:space="preserve">val való kezelést </w:delText>
        </w:r>
        <w:r w:rsidR="009A11D3" w:rsidRPr="00183B5F">
          <w:rPr>
            <w:szCs w:val="22"/>
          </w:rPr>
          <w:delText>meg kell szakítani</w:delText>
        </w:r>
        <w:r w:rsidRPr="00183B5F">
          <w:rPr>
            <w:szCs w:val="22"/>
          </w:rPr>
          <w:delText>, és megfelelő antimikrobiális és gombaellenes kezelést kell kezdeni, amíg a fertőzés meg nem gyógyul. Az orvos különös gonddal döntsön a Humira adása mellett olyan betegek esetében, akiknek az anamnézisében visszatérő, gyakori fertőzések illetve fertőzésekre való hajlamosító tényező szerepel, az imm</w:delText>
        </w:r>
        <w:r w:rsidRPr="00183B5F">
          <w:rPr>
            <w:szCs w:val="22"/>
          </w:rPr>
          <w:delText>unoszuppresszív szerek egyidejű alkalmazását is beleértve.</w:delText>
        </w:r>
      </w:del>
    </w:p>
    <w:p w14:paraId="278ABBF3" w14:textId="0788601F" w:rsidR="00FB6710" w:rsidRPr="00183B5F" w:rsidRDefault="00FB6710" w:rsidP="004062FE">
      <w:pPr>
        <w:spacing w:line="240" w:lineRule="auto"/>
        <w:rPr>
          <w:del w:id="4393" w:author="AbbVie_HU_03" w:date="2025-05-14T15:27:00Z"/>
          <w:szCs w:val="22"/>
        </w:rPr>
      </w:pPr>
    </w:p>
    <w:p w14:paraId="10592BA0" w14:textId="3AD5CF37" w:rsidR="00FB6710" w:rsidRPr="00183B5F" w:rsidRDefault="00943743" w:rsidP="004062FE">
      <w:pPr>
        <w:spacing w:line="240" w:lineRule="auto"/>
        <w:rPr>
          <w:del w:id="4394" w:author="AbbVie_HU_03" w:date="2025-05-14T15:27:00Z"/>
          <w:i/>
          <w:iCs/>
          <w:szCs w:val="22"/>
        </w:rPr>
      </w:pPr>
      <w:del w:id="4395" w:author="AbbVie_HU_03" w:date="2025-05-14T15:27:00Z">
        <w:r w:rsidRPr="00183B5F">
          <w:rPr>
            <w:i/>
            <w:iCs/>
            <w:szCs w:val="22"/>
          </w:rPr>
          <w:delText>Súlyos fertőzések</w:delText>
        </w:r>
      </w:del>
    </w:p>
    <w:p w14:paraId="47EB6481" w14:textId="377B3E3B" w:rsidR="00FB6710" w:rsidRPr="00183B5F" w:rsidRDefault="00FB6710" w:rsidP="004062FE">
      <w:pPr>
        <w:spacing w:line="240" w:lineRule="auto"/>
        <w:rPr>
          <w:del w:id="4396" w:author="AbbVie_HU_03" w:date="2025-05-14T15:27:00Z"/>
          <w:szCs w:val="22"/>
        </w:rPr>
      </w:pPr>
    </w:p>
    <w:p w14:paraId="2C7B785D" w14:textId="54F20510" w:rsidR="00FB6710" w:rsidRPr="00183B5F" w:rsidRDefault="00943743" w:rsidP="004062FE">
      <w:pPr>
        <w:spacing w:line="240" w:lineRule="auto"/>
        <w:rPr>
          <w:del w:id="4397" w:author="AbbVie_HU_03" w:date="2025-05-14T15:27:00Z"/>
          <w:szCs w:val="22"/>
        </w:rPr>
      </w:pPr>
      <w:del w:id="4398" w:author="AbbVie_HU_03" w:date="2025-05-14T15:27:00Z">
        <w:r w:rsidRPr="00183B5F">
          <w:rPr>
            <w:szCs w:val="22"/>
          </w:rPr>
          <w:delText>Humira</w:delText>
        </w:r>
        <w:r w:rsidR="00F8791D" w:rsidRPr="00183B5F">
          <w:rPr>
            <w:szCs w:val="22"/>
          </w:rPr>
          <w:noBreakHyphen/>
        </w:r>
        <w:r w:rsidRPr="00183B5F">
          <w:rPr>
            <w:szCs w:val="22"/>
          </w:rPr>
          <w:delText>val kezelt betegeknél</w:delText>
        </w:r>
        <w:r w:rsidR="00730571" w:rsidRPr="00183B5F">
          <w:rPr>
            <w:szCs w:val="22"/>
          </w:rPr>
          <w:delText xml:space="preserve"> leírtak s</w:delText>
        </w:r>
        <w:r w:rsidRPr="00183B5F">
          <w:rPr>
            <w:szCs w:val="22"/>
          </w:rPr>
          <w:delText>úlyos fertőzéseket,</w:delText>
        </w:r>
        <w:r w:rsidR="00730571" w:rsidRPr="00183B5F">
          <w:rPr>
            <w:szCs w:val="22"/>
          </w:rPr>
          <w:delText xml:space="preserve"> beleértve a sepsist is, melyeket</w:delText>
        </w:r>
        <w:r w:rsidRPr="00183B5F">
          <w:rPr>
            <w:szCs w:val="22"/>
          </w:rPr>
          <w:delText xml:space="preserve"> bakteriális, mycobacterialis, invazív gomba-, parazita- és vírusfertőzés</w:delText>
        </w:r>
        <w:r w:rsidR="00730571" w:rsidRPr="00183B5F">
          <w:rPr>
            <w:szCs w:val="22"/>
          </w:rPr>
          <w:delText>,</w:delText>
        </w:r>
        <w:r w:rsidRPr="00183B5F">
          <w:rPr>
            <w:szCs w:val="22"/>
          </w:rPr>
          <w:delText xml:space="preserve"> </w:delText>
        </w:r>
        <w:r w:rsidR="00730571" w:rsidRPr="00183B5F">
          <w:rPr>
            <w:szCs w:val="22"/>
          </w:rPr>
          <w:delText>vagy</w:delText>
        </w:r>
        <w:r w:rsidRPr="00183B5F">
          <w:rPr>
            <w:szCs w:val="22"/>
          </w:rPr>
          <w:delText xml:space="preserve"> egyéb opportunista fertőzés, például </w:delText>
        </w:r>
        <w:r w:rsidRPr="00183B5F">
          <w:rPr>
            <w:szCs w:val="22"/>
            <w:u w:color="0000FF"/>
          </w:rPr>
          <w:delText>listeriosis</w:delText>
        </w:r>
        <w:r w:rsidR="00B35083" w:rsidRPr="00183B5F">
          <w:rPr>
            <w:szCs w:val="22"/>
            <w:u w:color="0000FF"/>
          </w:rPr>
          <w:delText xml:space="preserve">, </w:delText>
        </w:r>
        <w:r w:rsidR="00332587" w:rsidRPr="00183B5F">
          <w:rPr>
            <w:szCs w:val="22"/>
            <w:u w:color="0000FF"/>
          </w:rPr>
          <w:delText>legionellosis</w:delText>
        </w:r>
        <w:r w:rsidRPr="00183B5F">
          <w:rPr>
            <w:szCs w:val="22"/>
            <w:u w:color="0000FF"/>
          </w:rPr>
          <w:delText xml:space="preserve"> és pneumocystis</w:delText>
        </w:r>
        <w:r w:rsidR="00F24C6D" w:rsidRPr="00183B5F">
          <w:rPr>
            <w:szCs w:val="22"/>
          </w:rPr>
          <w:delText>-</w:delText>
        </w:r>
        <w:r w:rsidRPr="00183B5F">
          <w:rPr>
            <w:szCs w:val="22"/>
          </w:rPr>
          <w:delText>fertőzés</w:delText>
        </w:r>
        <w:r w:rsidR="00730571" w:rsidRPr="00183B5F">
          <w:rPr>
            <w:szCs w:val="22"/>
          </w:rPr>
          <w:delText xml:space="preserve"> okozott.</w:delText>
        </w:r>
      </w:del>
    </w:p>
    <w:p w14:paraId="17C556EA" w14:textId="63B91A2A" w:rsidR="00FB6710" w:rsidRPr="00183B5F" w:rsidRDefault="00FB6710" w:rsidP="004062FE">
      <w:pPr>
        <w:pStyle w:val="EndnoteText"/>
        <w:tabs>
          <w:tab w:val="clear" w:pos="567"/>
        </w:tabs>
        <w:suppressAutoHyphens/>
        <w:rPr>
          <w:del w:id="4399" w:author="AbbVie_HU_03" w:date="2025-05-14T15:27:00Z"/>
          <w:sz w:val="22"/>
          <w:szCs w:val="22"/>
          <w:lang w:val="hu-HU" w:eastAsia="hu-HU"/>
        </w:rPr>
      </w:pPr>
    </w:p>
    <w:p w14:paraId="08A3FB4B" w14:textId="5A48EFE6" w:rsidR="00FB6710" w:rsidRPr="00183B5F" w:rsidRDefault="00943743" w:rsidP="004062FE">
      <w:pPr>
        <w:spacing w:line="240" w:lineRule="auto"/>
        <w:rPr>
          <w:del w:id="4400" w:author="AbbVie_HU_03" w:date="2025-05-14T15:27:00Z"/>
          <w:szCs w:val="22"/>
        </w:rPr>
      </w:pPr>
      <w:del w:id="4401" w:author="AbbVie_HU_03" w:date="2025-05-14T15:27:00Z">
        <w:r w:rsidRPr="00183B5F">
          <w:rPr>
            <w:szCs w:val="22"/>
          </w:rPr>
          <w:delText>A klinikai vizsgálatokban további súlyos fertőzéseket</w:delText>
        </w:r>
        <w:r w:rsidR="00730571" w:rsidRPr="00183B5F">
          <w:rPr>
            <w:szCs w:val="22"/>
          </w:rPr>
          <w:delText>,</w:delText>
        </w:r>
        <w:r w:rsidRPr="00183B5F">
          <w:rPr>
            <w:szCs w:val="22"/>
          </w:rPr>
          <w:delText xml:space="preserve"> köztük pneumoniát, pyelonephritist, septicus arthritist, valamint septicaemiát észleltek. A fertőzésekkel kapcsolatban hospitalizációról vagy fatális kimenetelről számoltak be.</w:delText>
        </w:r>
      </w:del>
    </w:p>
    <w:p w14:paraId="15EC2D23" w14:textId="3B2834BB" w:rsidR="00FB6710" w:rsidRPr="00183B5F" w:rsidRDefault="00FB6710" w:rsidP="004062FE">
      <w:pPr>
        <w:spacing w:line="240" w:lineRule="auto"/>
        <w:rPr>
          <w:del w:id="4402" w:author="AbbVie_HU_03" w:date="2025-05-14T15:27:00Z"/>
          <w:szCs w:val="22"/>
        </w:rPr>
      </w:pPr>
    </w:p>
    <w:p w14:paraId="208C56BB" w14:textId="21021BB7" w:rsidR="00FB6710" w:rsidRPr="00183B5F" w:rsidRDefault="00943743" w:rsidP="004062FE">
      <w:pPr>
        <w:spacing w:line="240" w:lineRule="auto"/>
        <w:rPr>
          <w:del w:id="4403" w:author="AbbVie_HU_03" w:date="2025-05-14T15:27:00Z"/>
          <w:i/>
          <w:iCs/>
          <w:szCs w:val="22"/>
        </w:rPr>
      </w:pPr>
      <w:del w:id="4404" w:author="AbbVie_HU_03" w:date="2025-05-14T15:27:00Z">
        <w:r w:rsidRPr="00183B5F">
          <w:rPr>
            <w:i/>
            <w:iCs/>
            <w:szCs w:val="22"/>
          </w:rPr>
          <w:delText>Tuber</w:delText>
        </w:r>
        <w:r w:rsidR="000A3EEF" w:rsidRPr="00183B5F">
          <w:rPr>
            <w:i/>
            <w:iCs/>
            <w:szCs w:val="22"/>
          </w:rPr>
          <w:delText>c</w:delText>
        </w:r>
        <w:r w:rsidRPr="00183B5F">
          <w:rPr>
            <w:i/>
            <w:iCs/>
            <w:szCs w:val="22"/>
          </w:rPr>
          <w:delText>ul</w:delText>
        </w:r>
        <w:r w:rsidR="000A3EEF" w:rsidRPr="00183B5F">
          <w:rPr>
            <w:i/>
            <w:iCs/>
            <w:szCs w:val="22"/>
          </w:rPr>
          <w:delText>os</w:delText>
        </w:r>
        <w:r w:rsidRPr="00183B5F">
          <w:rPr>
            <w:i/>
            <w:iCs/>
            <w:szCs w:val="22"/>
          </w:rPr>
          <w:delText>is</w:delText>
        </w:r>
      </w:del>
    </w:p>
    <w:p w14:paraId="42E8148E" w14:textId="68EDF612" w:rsidR="00FB6710" w:rsidRPr="00183B5F" w:rsidRDefault="00FB6710" w:rsidP="004062FE">
      <w:pPr>
        <w:spacing w:line="240" w:lineRule="auto"/>
        <w:rPr>
          <w:del w:id="4405" w:author="AbbVie_HU_03" w:date="2025-05-14T15:27:00Z"/>
          <w:szCs w:val="22"/>
        </w:rPr>
      </w:pPr>
    </w:p>
    <w:p w14:paraId="5C697682" w14:textId="06AA052A" w:rsidR="00FB6710" w:rsidRPr="00183B5F" w:rsidRDefault="00943743" w:rsidP="004062FE">
      <w:pPr>
        <w:spacing w:line="240" w:lineRule="auto"/>
        <w:rPr>
          <w:del w:id="4406" w:author="AbbVie_HU_03" w:date="2025-05-14T15:27:00Z"/>
          <w:szCs w:val="22"/>
        </w:rPr>
      </w:pPr>
      <w:del w:id="4407" w:author="AbbVie_HU_03" w:date="2025-05-14T15:27:00Z">
        <w:r w:rsidRPr="00183B5F">
          <w:rPr>
            <w:szCs w:val="22"/>
          </w:rPr>
          <w:delText>Humira</w:delText>
        </w:r>
        <w:r w:rsidR="00F8791D" w:rsidRPr="00183B5F">
          <w:rPr>
            <w:szCs w:val="22"/>
          </w:rPr>
          <w:noBreakHyphen/>
        </w:r>
        <w:r w:rsidRPr="00183B5F">
          <w:rPr>
            <w:szCs w:val="22"/>
          </w:rPr>
          <w:delText>val kezelt betegeknél tuber</w:delText>
        </w:r>
        <w:r w:rsidR="00FE6439" w:rsidRPr="00183B5F">
          <w:rPr>
            <w:szCs w:val="22"/>
          </w:rPr>
          <w:delText>culos</w:delText>
        </w:r>
        <w:r w:rsidRPr="00183B5F">
          <w:rPr>
            <w:szCs w:val="22"/>
          </w:rPr>
          <w:delText xml:space="preserve">isról számoltak be, </w:delText>
        </w:r>
        <w:r w:rsidR="00595DB4" w:rsidRPr="00183B5F">
          <w:rPr>
            <w:szCs w:val="22"/>
          </w:rPr>
          <w:delText xml:space="preserve">beleértve a </w:delText>
        </w:r>
        <w:r w:rsidR="00C07383" w:rsidRPr="00183B5F">
          <w:rPr>
            <w:szCs w:val="22"/>
          </w:rPr>
          <w:delText>reaktivációt</w:delText>
        </w:r>
        <w:r w:rsidR="00790386" w:rsidRPr="00183B5F">
          <w:rPr>
            <w:szCs w:val="22"/>
          </w:rPr>
          <w:delText xml:space="preserve"> és új tuber</w:delText>
        </w:r>
        <w:r w:rsidR="00FE6439" w:rsidRPr="00183B5F">
          <w:rPr>
            <w:szCs w:val="22"/>
          </w:rPr>
          <w:delText>culos</w:delText>
        </w:r>
        <w:r w:rsidR="00C07383" w:rsidRPr="00183B5F">
          <w:rPr>
            <w:szCs w:val="22"/>
          </w:rPr>
          <w:delText>is kial</w:delText>
        </w:r>
        <w:r w:rsidR="00015D5C" w:rsidRPr="00183B5F">
          <w:rPr>
            <w:szCs w:val="22"/>
          </w:rPr>
          <w:delText>akulását</w:delText>
        </w:r>
        <w:r w:rsidR="00FD3AF2" w:rsidRPr="00183B5F">
          <w:rPr>
            <w:szCs w:val="22"/>
          </w:rPr>
          <w:delText>.</w:delText>
        </w:r>
        <w:r w:rsidR="00015D5C" w:rsidRPr="00183B5F">
          <w:rPr>
            <w:szCs w:val="22"/>
          </w:rPr>
          <w:delText xml:space="preserve"> A bejelentések pulmona</w:delText>
        </w:r>
        <w:r w:rsidR="00C07383" w:rsidRPr="00183B5F">
          <w:rPr>
            <w:szCs w:val="22"/>
          </w:rPr>
          <w:delText xml:space="preserve">lis és </w:delText>
        </w:r>
        <w:r w:rsidRPr="00183B5F">
          <w:rPr>
            <w:szCs w:val="22"/>
          </w:rPr>
          <w:delText>extrapulmon</w:delText>
        </w:r>
        <w:r w:rsidR="00015D5C" w:rsidRPr="00183B5F">
          <w:rPr>
            <w:szCs w:val="22"/>
          </w:rPr>
          <w:delText>a</w:delText>
        </w:r>
        <w:r w:rsidRPr="00183B5F">
          <w:rPr>
            <w:szCs w:val="22"/>
          </w:rPr>
          <w:delText>lis</w:delText>
        </w:r>
        <w:r w:rsidR="00344869" w:rsidRPr="00183B5F">
          <w:rPr>
            <w:szCs w:val="22"/>
          </w:rPr>
          <w:delText xml:space="preserve"> (</w:delText>
        </w:r>
        <w:r w:rsidRPr="00183B5F">
          <w:rPr>
            <w:szCs w:val="22"/>
          </w:rPr>
          <w:delText>azaz disszeminált</w:delText>
        </w:r>
        <w:r w:rsidR="00344869" w:rsidRPr="00183B5F">
          <w:rPr>
            <w:szCs w:val="22"/>
          </w:rPr>
          <w:delText xml:space="preserve">) </w:delText>
        </w:r>
        <w:r w:rsidR="00C07383" w:rsidRPr="00183B5F">
          <w:rPr>
            <w:szCs w:val="22"/>
          </w:rPr>
          <w:delText>eseteket tartalmaztak.</w:delText>
        </w:r>
      </w:del>
    </w:p>
    <w:p w14:paraId="54F43AC8" w14:textId="4394C060" w:rsidR="00FB6710" w:rsidRPr="00183B5F" w:rsidRDefault="00FB6710" w:rsidP="004062FE">
      <w:pPr>
        <w:spacing w:line="240" w:lineRule="auto"/>
        <w:rPr>
          <w:del w:id="4408" w:author="AbbVie_HU_03" w:date="2025-05-14T15:27:00Z"/>
          <w:szCs w:val="22"/>
        </w:rPr>
      </w:pPr>
    </w:p>
    <w:p w14:paraId="387FF787" w14:textId="591B595E" w:rsidR="00FB6710" w:rsidRPr="00183B5F" w:rsidRDefault="00943743" w:rsidP="004062FE">
      <w:pPr>
        <w:spacing w:line="240" w:lineRule="auto"/>
        <w:rPr>
          <w:del w:id="4409" w:author="AbbVie_HU_03" w:date="2025-05-14T15:27:00Z"/>
          <w:szCs w:val="22"/>
        </w:rPr>
      </w:pPr>
      <w:del w:id="4410" w:author="AbbVie_HU_03" w:date="2025-05-14T15:27:00Z">
        <w:r w:rsidRPr="00183B5F">
          <w:rPr>
            <w:szCs w:val="22"/>
          </w:rPr>
          <w:delText>A Humira</w:delText>
        </w:r>
        <w:r w:rsidR="00F8791D" w:rsidRPr="00183B5F">
          <w:rPr>
            <w:szCs w:val="22"/>
          </w:rPr>
          <w:noBreakHyphen/>
        </w:r>
        <w:r w:rsidRPr="00183B5F">
          <w:rPr>
            <w:szCs w:val="22"/>
          </w:rPr>
          <w:delText>val való kezelés megkezdése előtt minden beteget meg kell vizsgálni aktív és inaktív (</w:delText>
        </w:r>
        <w:r w:rsidR="00344869" w:rsidRPr="00183B5F">
          <w:rPr>
            <w:szCs w:val="22"/>
          </w:rPr>
          <w:delText>„</w:delText>
        </w:r>
        <w:r w:rsidRPr="00183B5F">
          <w:rPr>
            <w:szCs w:val="22"/>
          </w:rPr>
          <w:delText>látens</w:delText>
        </w:r>
        <w:r w:rsidR="00344869" w:rsidRPr="00183B5F">
          <w:rPr>
            <w:szCs w:val="22"/>
          </w:rPr>
          <w:delText>”</w:delText>
        </w:r>
        <w:r w:rsidRPr="00183B5F">
          <w:rPr>
            <w:szCs w:val="22"/>
          </w:rPr>
          <w:delText>) tuber</w:delText>
        </w:r>
        <w:r w:rsidR="00FE6439" w:rsidRPr="00183B5F">
          <w:rPr>
            <w:szCs w:val="22"/>
          </w:rPr>
          <w:delText>culos</w:delText>
        </w:r>
        <w:r w:rsidRPr="00183B5F">
          <w:rPr>
            <w:szCs w:val="22"/>
          </w:rPr>
          <w:delText xml:space="preserve">is irányában. A </w:delText>
        </w:r>
        <w:r w:rsidR="00C07383" w:rsidRPr="00183B5F">
          <w:rPr>
            <w:szCs w:val="22"/>
          </w:rPr>
          <w:delText>felmérés</w:delText>
        </w:r>
        <w:r w:rsidRPr="00183B5F">
          <w:rPr>
            <w:szCs w:val="22"/>
          </w:rPr>
          <w:delText xml:space="preserve"> során </w:delText>
        </w:r>
        <w:r w:rsidR="00790386" w:rsidRPr="00183B5F">
          <w:rPr>
            <w:szCs w:val="22"/>
          </w:rPr>
          <w:delText xml:space="preserve">részletesen értékelni kell </w:delText>
        </w:r>
        <w:r w:rsidRPr="00183B5F">
          <w:rPr>
            <w:szCs w:val="22"/>
          </w:rPr>
          <w:delText>a beteg</w:delText>
        </w:r>
        <w:r w:rsidR="00170006" w:rsidRPr="00183B5F">
          <w:rPr>
            <w:szCs w:val="22"/>
          </w:rPr>
          <w:delText xml:space="preserve"> </w:delText>
        </w:r>
        <w:r w:rsidRPr="00183B5F">
          <w:rPr>
            <w:szCs w:val="22"/>
          </w:rPr>
          <w:delText>tuber</w:delText>
        </w:r>
        <w:r w:rsidR="00FE6439" w:rsidRPr="00183B5F">
          <w:rPr>
            <w:szCs w:val="22"/>
          </w:rPr>
          <w:delText>culos</w:delText>
        </w:r>
        <w:r w:rsidRPr="00183B5F">
          <w:rPr>
            <w:szCs w:val="22"/>
          </w:rPr>
          <w:delText>is</w:delText>
        </w:r>
        <w:r w:rsidR="00790386" w:rsidRPr="00183B5F">
          <w:rPr>
            <w:szCs w:val="22"/>
          </w:rPr>
          <w:delText>sal</w:delText>
        </w:r>
        <w:r w:rsidRPr="00183B5F">
          <w:rPr>
            <w:szCs w:val="22"/>
          </w:rPr>
          <w:delText xml:space="preserve"> </w:delText>
        </w:r>
        <w:r w:rsidR="00790386" w:rsidRPr="00183B5F">
          <w:rPr>
            <w:szCs w:val="22"/>
          </w:rPr>
          <w:delText>kapcsolatos kórtörténetét,</w:delText>
        </w:r>
        <w:r w:rsidR="00B32927" w:rsidRPr="00183B5F">
          <w:rPr>
            <w:szCs w:val="22"/>
          </w:rPr>
          <w:delText xml:space="preserve"> </w:delText>
        </w:r>
        <w:r w:rsidRPr="00183B5F">
          <w:rPr>
            <w:szCs w:val="22"/>
          </w:rPr>
          <w:delText>hogy a beteg kapcsolatba</w:delText>
        </w:r>
        <w:r w:rsidR="00B32927" w:rsidRPr="00183B5F">
          <w:rPr>
            <w:szCs w:val="22"/>
          </w:rPr>
          <w:delText xml:space="preserve"> került</w:delText>
        </w:r>
        <w:r w:rsidR="00F8791D" w:rsidRPr="00183B5F">
          <w:rPr>
            <w:szCs w:val="22"/>
          </w:rPr>
          <w:noBreakHyphen/>
        </w:r>
        <w:r w:rsidRPr="00183B5F">
          <w:rPr>
            <w:szCs w:val="22"/>
          </w:rPr>
          <w:delText>e aktív tuber</w:delText>
        </w:r>
        <w:r w:rsidR="00FE6439" w:rsidRPr="00183B5F">
          <w:rPr>
            <w:szCs w:val="22"/>
          </w:rPr>
          <w:delText>culos</w:delText>
        </w:r>
        <w:r w:rsidRPr="00183B5F">
          <w:rPr>
            <w:szCs w:val="22"/>
          </w:rPr>
          <w:delText xml:space="preserve">isban szenvedő beteggel, </w:delText>
        </w:r>
        <w:r w:rsidR="00B32927" w:rsidRPr="00183B5F">
          <w:rPr>
            <w:szCs w:val="22"/>
          </w:rPr>
          <w:delText>valamint</w:delText>
        </w:r>
        <w:r w:rsidRPr="00183B5F">
          <w:rPr>
            <w:szCs w:val="22"/>
          </w:rPr>
          <w:delText xml:space="preserve"> a múltban vagy jelenleg immunszuppresszív kezelés alatt áll</w:delText>
        </w:r>
        <w:r w:rsidRPr="00183B5F">
          <w:rPr>
            <w:szCs w:val="22"/>
          </w:rPr>
          <w:noBreakHyphen/>
          <w:delText xml:space="preserve">e. Minden beteg esetében a megfelelő szűrővizsgálatok </w:delText>
        </w:r>
        <w:r w:rsidR="00344869" w:rsidRPr="00183B5F">
          <w:rPr>
            <w:szCs w:val="22"/>
          </w:rPr>
          <w:delText>(</w:delText>
        </w:r>
        <w:r w:rsidR="00B32927" w:rsidRPr="00183B5F">
          <w:rPr>
            <w:szCs w:val="22"/>
          </w:rPr>
          <w:delText>úgy mint</w:delText>
        </w:r>
        <w:r w:rsidRPr="00183B5F">
          <w:rPr>
            <w:szCs w:val="22"/>
          </w:rPr>
          <w:delText xml:space="preserve"> tuberkulin bőrteszt és mellkasröntgen</w:delText>
        </w:r>
        <w:r w:rsidR="00344869" w:rsidRPr="00183B5F">
          <w:rPr>
            <w:szCs w:val="22"/>
          </w:rPr>
          <w:delText>)</w:delText>
        </w:r>
        <w:r w:rsidRPr="00183B5F">
          <w:rPr>
            <w:szCs w:val="22"/>
          </w:rPr>
          <w:delText xml:space="preserve"> elvégzése szükséges (helyi irányelvek követendők). A szűrővizsgálatok elvégzésének tényét </w:delText>
        </w:r>
        <w:r w:rsidR="00344869" w:rsidRPr="00183B5F">
          <w:rPr>
            <w:szCs w:val="22"/>
          </w:rPr>
          <w:delText xml:space="preserve">és </w:delText>
        </w:r>
        <w:r w:rsidR="00B32927" w:rsidRPr="00183B5F">
          <w:rPr>
            <w:szCs w:val="22"/>
          </w:rPr>
          <w:delText xml:space="preserve">azok </w:delText>
        </w:r>
        <w:r w:rsidR="00344869" w:rsidRPr="00183B5F">
          <w:rPr>
            <w:szCs w:val="22"/>
          </w:rPr>
          <w:delText xml:space="preserve">eredményét javasolt </w:delText>
        </w:r>
        <w:r w:rsidRPr="00183B5F">
          <w:rPr>
            <w:szCs w:val="22"/>
          </w:rPr>
          <w:delText xml:space="preserve">feltüntetni a </w:delText>
        </w:r>
        <w:r w:rsidR="0048779F" w:rsidRPr="00183B5F">
          <w:rPr>
            <w:szCs w:val="22"/>
          </w:rPr>
          <w:delText>Betegemlékeztető</w:delText>
        </w:r>
        <w:r w:rsidRPr="00183B5F">
          <w:rPr>
            <w:szCs w:val="22"/>
          </w:rPr>
          <w:delText xml:space="preserve"> </w:delText>
        </w:r>
        <w:r w:rsidR="009A11D3" w:rsidRPr="00183B5F">
          <w:rPr>
            <w:szCs w:val="22"/>
          </w:rPr>
          <w:delText>Kártyán</w:delText>
        </w:r>
        <w:r w:rsidRPr="00183B5F">
          <w:rPr>
            <w:szCs w:val="22"/>
          </w:rPr>
          <w:delText>.</w:delText>
        </w:r>
        <w:r w:rsidR="001934FA" w:rsidRPr="00183B5F">
          <w:rPr>
            <w:szCs w:val="22"/>
          </w:rPr>
          <w:delText xml:space="preserve"> </w:delText>
        </w:r>
        <w:r w:rsidRPr="00183B5F">
          <w:rPr>
            <w:szCs w:val="22"/>
          </w:rPr>
          <w:delText xml:space="preserve">A kezelést indikáló orvosnak számolnia kell az álnegatív tuberculin bőrteszt lehetőségével is, különösen </w:delText>
        </w:r>
        <w:r w:rsidR="007932F0" w:rsidRPr="00183B5F">
          <w:rPr>
            <w:szCs w:val="22"/>
          </w:rPr>
          <w:delText xml:space="preserve">a </w:delText>
        </w:r>
        <w:r w:rsidRPr="00183B5F">
          <w:rPr>
            <w:szCs w:val="22"/>
          </w:rPr>
          <w:delText>súlyos</w:delText>
        </w:r>
        <w:r w:rsidR="007932F0" w:rsidRPr="00183B5F">
          <w:rPr>
            <w:szCs w:val="22"/>
          </w:rPr>
          <w:delText xml:space="preserve"> állapotú</w:delText>
        </w:r>
        <w:r w:rsidRPr="00183B5F">
          <w:rPr>
            <w:szCs w:val="22"/>
          </w:rPr>
          <w:delText xml:space="preserve">, illetve </w:delText>
        </w:r>
        <w:r w:rsidR="006C27CE" w:rsidRPr="00183B5F">
          <w:rPr>
            <w:szCs w:val="22"/>
          </w:rPr>
          <w:delText xml:space="preserve">az </w:delText>
        </w:r>
        <w:r w:rsidRPr="00183B5F">
          <w:rPr>
            <w:szCs w:val="22"/>
          </w:rPr>
          <w:delText>immundeficiens betegek esetében.</w:delText>
        </w:r>
      </w:del>
    </w:p>
    <w:p w14:paraId="2047CCF6" w14:textId="09405314" w:rsidR="00FB6710" w:rsidRPr="00183B5F" w:rsidRDefault="00FB6710" w:rsidP="004062FE">
      <w:pPr>
        <w:pStyle w:val="EndnoteText"/>
        <w:tabs>
          <w:tab w:val="clear" w:pos="567"/>
          <w:tab w:val="left" w:pos="708"/>
        </w:tabs>
        <w:suppressAutoHyphens/>
        <w:rPr>
          <w:del w:id="4411" w:author="AbbVie_HU_03" w:date="2025-05-14T15:27:00Z"/>
          <w:sz w:val="22"/>
          <w:szCs w:val="22"/>
          <w:lang w:val="hu-HU" w:eastAsia="hu-HU"/>
        </w:rPr>
      </w:pPr>
    </w:p>
    <w:p w14:paraId="7D8EC7D0" w14:textId="21D571FE" w:rsidR="00FB6710" w:rsidRPr="00183B5F" w:rsidRDefault="00943743" w:rsidP="004062FE">
      <w:pPr>
        <w:spacing w:line="240" w:lineRule="auto"/>
        <w:ind w:left="567" w:hanging="567"/>
        <w:rPr>
          <w:del w:id="4412" w:author="AbbVie_HU_03" w:date="2025-05-14T15:27:00Z"/>
          <w:szCs w:val="22"/>
        </w:rPr>
      </w:pPr>
      <w:del w:id="4413" w:author="AbbVie_HU_03" w:date="2025-05-14T15:27:00Z">
        <w:r w:rsidRPr="00183B5F">
          <w:rPr>
            <w:szCs w:val="22"/>
          </w:rPr>
          <w:delText>Ha a diagnózis aktív tuber</w:delText>
        </w:r>
        <w:r w:rsidR="00FE6439" w:rsidRPr="00183B5F">
          <w:rPr>
            <w:szCs w:val="22"/>
          </w:rPr>
          <w:delText>culos</w:delText>
        </w:r>
        <w:r w:rsidRPr="00183B5F">
          <w:rPr>
            <w:szCs w:val="22"/>
          </w:rPr>
          <w:delText>is, a Humira</w:delText>
        </w:r>
        <w:r w:rsidR="00F8791D" w:rsidRPr="00183B5F">
          <w:rPr>
            <w:szCs w:val="22"/>
          </w:rPr>
          <w:noBreakHyphen/>
        </w:r>
        <w:r w:rsidRPr="00183B5F">
          <w:rPr>
            <w:szCs w:val="22"/>
          </w:rPr>
          <w:delText>kezelést nem szabad elkezdeni (lásd 4.3 pont).</w:delText>
        </w:r>
      </w:del>
    </w:p>
    <w:p w14:paraId="69947D95" w14:textId="1482E6C8" w:rsidR="00390B21" w:rsidRPr="00183B5F" w:rsidRDefault="00390B21" w:rsidP="004062FE">
      <w:pPr>
        <w:spacing w:line="240" w:lineRule="auto"/>
        <w:ind w:left="567" w:hanging="567"/>
        <w:rPr>
          <w:del w:id="4414" w:author="AbbVie_HU_03" w:date="2025-05-14T15:27:00Z"/>
          <w:szCs w:val="22"/>
        </w:rPr>
      </w:pPr>
    </w:p>
    <w:p w14:paraId="00A2A343" w14:textId="4716689C" w:rsidR="00344869" w:rsidRPr="00183B5F" w:rsidRDefault="00943743" w:rsidP="004062FE">
      <w:pPr>
        <w:spacing w:line="240" w:lineRule="auto"/>
        <w:rPr>
          <w:del w:id="4415" w:author="AbbVie_HU_03" w:date="2025-05-14T15:27:00Z"/>
          <w:szCs w:val="22"/>
        </w:rPr>
      </w:pPr>
      <w:del w:id="4416" w:author="AbbVie_HU_03" w:date="2025-05-14T15:27:00Z">
        <w:r w:rsidRPr="00183B5F">
          <w:rPr>
            <w:szCs w:val="22"/>
          </w:rPr>
          <w:delText>Az alábbiakban felsorolt összes esetben nagyon gondosan kell mérlegelni a Humira</w:delText>
        </w:r>
        <w:r w:rsidR="00F8791D" w:rsidRPr="00183B5F">
          <w:rPr>
            <w:szCs w:val="22"/>
          </w:rPr>
          <w:noBreakHyphen/>
        </w:r>
        <w:r w:rsidRPr="00183B5F">
          <w:rPr>
            <w:szCs w:val="22"/>
          </w:rPr>
          <w:delText xml:space="preserve">kezelés </w:delText>
        </w:r>
        <w:r w:rsidR="0084104C" w:rsidRPr="00183B5F">
          <w:rPr>
            <w:szCs w:val="22"/>
          </w:rPr>
          <w:delText>előny/</w:delText>
        </w:r>
        <w:r w:rsidRPr="00183B5F">
          <w:rPr>
            <w:szCs w:val="22"/>
          </w:rPr>
          <w:delText>kockázat arányát.</w:delText>
        </w:r>
      </w:del>
    </w:p>
    <w:p w14:paraId="7A5DE48E" w14:textId="41B7FBEB" w:rsidR="00FB6710" w:rsidRPr="00183B5F" w:rsidRDefault="00FB6710" w:rsidP="004062FE">
      <w:pPr>
        <w:spacing w:line="240" w:lineRule="auto"/>
        <w:ind w:left="567" w:hanging="567"/>
        <w:rPr>
          <w:del w:id="4417" w:author="AbbVie_HU_03" w:date="2025-05-14T15:27:00Z"/>
          <w:b/>
          <w:szCs w:val="22"/>
        </w:rPr>
      </w:pPr>
    </w:p>
    <w:p w14:paraId="7F1603A9" w14:textId="7BC58950" w:rsidR="00FB6710" w:rsidRPr="00183B5F" w:rsidRDefault="00943743" w:rsidP="004062FE">
      <w:pPr>
        <w:spacing w:line="240" w:lineRule="auto"/>
        <w:rPr>
          <w:del w:id="4418" w:author="AbbVie_HU_03" w:date="2025-05-14T15:27:00Z"/>
          <w:szCs w:val="22"/>
        </w:rPr>
      </w:pPr>
      <w:del w:id="4419" w:author="AbbVie_HU_03" w:date="2025-05-14T15:27:00Z">
        <w:r w:rsidRPr="00183B5F">
          <w:rPr>
            <w:szCs w:val="22"/>
          </w:rPr>
          <w:delText>Látens tuber</w:delText>
        </w:r>
        <w:r w:rsidR="00FE6439" w:rsidRPr="00183B5F">
          <w:rPr>
            <w:szCs w:val="22"/>
          </w:rPr>
          <w:delText>culos</w:delText>
        </w:r>
        <w:r w:rsidRPr="00183B5F">
          <w:rPr>
            <w:szCs w:val="22"/>
          </w:rPr>
          <w:delText>is gyanúja esetén egy, a tuber</w:delText>
        </w:r>
        <w:r w:rsidR="00FE6439" w:rsidRPr="00183B5F">
          <w:rPr>
            <w:szCs w:val="22"/>
          </w:rPr>
          <w:delText>culos</w:delText>
        </w:r>
        <w:r w:rsidRPr="00183B5F">
          <w:rPr>
            <w:szCs w:val="22"/>
          </w:rPr>
          <w:delText xml:space="preserve">is kezelésében jártas orvossal kell konzultálni. </w:delText>
        </w:r>
      </w:del>
    </w:p>
    <w:p w14:paraId="0A975B51" w14:textId="6431C7F5" w:rsidR="00ED7583" w:rsidRPr="00183B5F" w:rsidRDefault="00ED7583" w:rsidP="004062FE">
      <w:pPr>
        <w:spacing w:line="240" w:lineRule="auto"/>
        <w:rPr>
          <w:del w:id="4420" w:author="AbbVie_HU_03" w:date="2025-05-14T15:27:00Z"/>
          <w:szCs w:val="22"/>
        </w:rPr>
      </w:pPr>
    </w:p>
    <w:p w14:paraId="6B96DBB5" w14:textId="52698F88" w:rsidR="00FB6710" w:rsidRPr="00183B5F" w:rsidRDefault="00943743" w:rsidP="004062FE">
      <w:pPr>
        <w:spacing w:line="240" w:lineRule="auto"/>
        <w:rPr>
          <w:del w:id="4421" w:author="AbbVie_HU_03" w:date="2025-05-14T15:27:00Z"/>
          <w:szCs w:val="22"/>
        </w:rPr>
      </w:pPr>
      <w:del w:id="4422" w:author="AbbVie_HU_03" w:date="2025-05-14T15:27:00Z">
        <w:r w:rsidRPr="00183B5F">
          <w:rPr>
            <w:szCs w:val="22"/>
          </w:rPr>
          <w:delText>Ha látens tube</w:delText>
        </w:r>
        <w:r w:rsidR="00FE6439" w:rsidRPr="00183B5F">
          <w:rPr>
            <w:szCs w:val="22"/>
          </w:rPr>
          <w:delText>culosi</w:delText>
        </w:r>
        <w:r w:rsidRPr="00183B5F">
          <w:rPr>
            <w:szCs w:val="22"/>
          </w:rPr>
          <w:delText>st diagnosztizálnak, a helyi ajánlásokkal összhangban lévő, antituber</w:delText>
        </w:r>
        <w:r w:rsidR="00ED7583" w:rsidRPr="00183B5F">
          <w:rPr>
            <w:szCs w:val="22"/>
          </w:rPr>
          <w:delText>k</w:delText>
        </w:r>
        <w:r w:rsidRPr="00183B5F">
          <w:rPr>
            <w:szCs w:val="22"/>
          </w:rPr>
          <w:delText>ulotikus profilaktikus kezelésnek a Humira alkalmazásának megkezdése előtt el kell kezdődnie.</w:delText>
        </w:r>
      </w:del>
    </w:p>
    <w:p w14:paraId="1577B22E" w14:textId="36B42F72" w:rsidR="00FB6710" w:rsidRPr="00183B5F" w:rsidRDefault="00FB6710" w:rsidP="004062FE">
      <w:pPr>
        <w:spacing w:line="240" w:lineRule="auto"/>
        <w:rPr>
          <w:del w:id="4423" w:author="AbbVie_HU_03" w:date="2025-05-14T15:27:00Z"/>
          <w:szCs w:val="22"/>
        </w:rPr>
      </w:pPr>
    </w:p>
    <w:p w14:paraId="2BFB5944" w14:textId="6452CDBF" w:rsidR="005A531D" w:rsidRPr="00183B5F" w:rsidRDefault="00943743" w:rsidP="004062FE">
      <w:pPr>
        <w:spacing w:line="240" w:lineRule="auto"/>
        <w:rPr>
          <w:del w:id="4424" w:author="AbbVie_HU_03" w:date="2025-05-14T15:27:00Z"/>
          <w:szCs w:val="22"/>
        </w:rPr>
      </w:pPr>
      <w:del w:id="4425" w:author="AbbVie_HU_03" w:date="2025-05-14T15:27:00Z">
        <w:r w:rsidRPr="00183B5F">
          <w:rPr>
            <w:szCs w:val="22"/>
          </w:rPr>
          <w:delText>Humira</w:delText>
        </w:r>
        <w:r w:rsidR="00F8791D" w:rsidRPr="00183B5F">
          <w:rPr>
            <w:szCs w:val="22"/>
          </w:rPr>
          <w:noBreakHyphen/>
        </w:r>
        <w:r w:rsidRPr="00183B5F">
          <w:rPr>
            <w:szCs w:val="22"/>
          </w:rPr>
          <w:delText xml:space="preserve">kezelés indítása előtt az antituberkulotikus profilaktikus kezelést azoknál a betegeknél is fontolóra kell venni, akik </w:delText>
        </w:r>
        <w:r w:rsidR="000A3EEF" w:rsidRPr="00183B5F">
          <w:rPr>
            <w:szCs w:val="22"/>
          </w:rPr>
          <w:delText xml:space="preserve">a tuberculosis </w:delText>
        </w:r>
        <w:r w:rsidRPr="00183B5F">
          <w:rPr>
            <w:szCs w:val="22"/>
          </w:rPr>
          <w:delText>több vagy jelentős ko</w:delText>
        </w:r>
        <w:r w:rsidR="00454379" w:rsidRPr="00183B5F">
          <w:rPr>
            <w:szCs w:val="22"/>
          </w:rPr>
          <w:delText>ckázati tényező</w:delText>
        </w:r>
        <w:r w:rsidR="007F334D" w:rsidRPr="00183B5F">
          <w:rPr>
            <w:szCs w:val="22"/>
          </w:rPr>
          <w:delText>jé</w:delText>
        </w:r>
        <w:r w:rsidR="00454379" w:rsidRPr="00183B5F">
          <w:rPr>
            <w:szCs w:val="22"/>
          </w:rPr>
          <w:delText>vel rendelkeznek</w:delText>
        </w:r>
        <w:r w:rsidR="00FE6439" w:rsidRPr="00183B5F">
          <w:rPr>
            <w:szCs w:val="22"/>
          </w:rPr>
          <w:delText>, bár a tuberculos</w:delText>
        </w:r>
        <w:r w:rsidRPr="00183B5F">
          <w:rPr>
            <w:szCs w:val="22"/>
          </w:rPr>
          <w:delText>is</w:delText>
        </w:r>
        <w:r w:rsidR="00261256" w:rsidRPr="00183B5F">
          <w:rPr>
            <w:szCs w:val="22"/>
          </w:rPr>
          <w:delText>-</w:delText>
        </w:r>
        <w:r w:rsidRPr="00183B5F">
          <w:rPr>
            <w:szCs w:val="22"/>
          </w:rPr>
          <w:delText>tesztjük negatív, valamint akiknek az anamnézisében látens vagy aktív tuber</w:delText>
        </w:r>
        <w:r w:rsidR="00FE6439" w:rsidRPr="00183B5F">
          <w:rPr>
            <w:szCs w:val="22"/>
          </w:rPr>
          <w:delText>culos</w:delText>
        </w:r>
        <w:r w:rsidRPr="00183B5F">
          <w:rPr>
            <w:szCs w:val="22"/>
          </w:rPr>
          <w:delText>is szerepel, de annak megfelelő kezelése nem igazolható.</w:delText>
        </w:r>
      </w:del>
    </w:p>
    <w:p w14:paraId="649C5546" w14:textId="57AC1691" w:rsidR="00FB6710" w:rsidRPr="00183B5F" w:rsidRDefault="00FB6710" w:rsidP="004062FE">
      <w:pPr>
        <w:spacing w:line="240" w:lineRule="auto"/>
        <w:rPr>
          <w:del w:id="4426" w:author="AbbVie_HU_03" w:date="2025-05-14T15:27:00Z"/>
          <w:szCs w:val="22"/>
        </w:rPr>
      </w:pPr>
    </w:p>
    <w:p w14:paraId="5C805AE2" w14:textId="04F4292B" w:rsidR="00FB6710" w:rsidRPr="00183B5F" w:rsidRDefault="00943743" w:rsidP="004062FE">
      <w:pPr>
        <w:spacing w:line="240" w:lineRule="auto"/>
        <w:rPr>
          <w:del w:id="4427" w:author="AbbVie_HU_03" w:date="2025-05-14T15:27:00Z"/>
          <w:szCs w:val="22"/>
        </w:rPr>
      </w:pPr>
      <w:del w:id="4428" w:author="AbbVie_HU_03" w:date="2025-05-14T15:27:00Z">
        <w:r w:rsidRPr="00183B5F">
          <w:rPr>
            <w:szCs w:val="22"/>
          </w:rPr>
          <w:delText xml:space="preserve">A profilaktikus antituberkulotikus kezelés </w:delText>
        </w:r>
        <w:r w:rsidR="00FE6439" w:rsidRPr="00183B5F">
          <w:rPr>
            <w:szCs w:val="22"/>
          </w:rPr>
          <w:delText>ellenére előfordultak tuberculos</w:delText>
        </w:r>
        <w:r w:rsidRPr="00183B5F">
          <w:rPr>
            <w:szCs w:val="22"/>
          </w:rPr>
          <w:delText>is reaktiválódásának esetei Humir</w:delText>
        </w:r>
        <w:r w:rsidR="00F8791D" w:rsidRPr="00183B5F">
          <w:rPr>
            <w:szCs w:val="22"/>
          </w:rPr>
          <w:delText>a</w:delText>
        </w:r>
        <w:r w:rsidR="00F8791D" w:rsidRPr="00183B5F">
          <w:rPr>
            <w:szCs w:val="22"/>
          </w:rPr>
          <w:noBreakHyphen/>
        </w:r>
        <w:r w:rsidRPr="00183B5F">
          <w:rPr>
            <w:szCs w:val="22"/>
          </w:rPr>
          <w:delText>val kezelt betegeknél.</w:delText>
        </w:r>
        <w:r w:rsidR="00344869" w:rsidRPr="00183B5F">
          <w:rPr>
            <w:szCs w:val="22"/>
          </w:rPr>
          <w:delText xml:space="preserve"> </w:delText>
        </w:r>
        <w:r w:rsidRPr="00183B5F">
          <w:rPr>
            <w:szCs w:val="22"/>
          </w:rPr>
          <w:delText>Egyes betegeknél, akiket korábban sikeresen kezeltek</w:delText>
        </w:r>
        <w:r w:rsidR="00E37ACB" w:rsidRPr="00183B5F">
          <w:rPr>
            <w:szCs w:val="22"/>
          </w:rPr>
          <w:delText xml:space="preserve"> </w:delText>
        </w:r>
        <w:r w:rsidRPr="00183B5F">
          <w:rPr>
            <w:szCs w:val="22"/>
          </w:rPr>
          <w:delText>aktív tuber</w:delText>
        </w:r>
        <w:r w:rsidR="00FE6439" w:rsidRPr="00183B5F">
          <w:rPr>
            <w:szCs w:val="22"/>
          </w:rPr>
          <w:delText>culos</w:delText>
        </w:r>
        <w:r w:rsidRPr="00183B5F">
          <w:rPr>
            <w:szCs w:val="22"/>
          </w:rPr>
          <w:delText>is</w:delText>
        </w:r>
        <w:r w:rsidR="00792D0F" w:rsidRPr="00183B5F">
          <w:rPr>
            <w:szCs w:val="22"/>
          </w:rPr>
          <w:delText xml:space="preserve"> </w:delText>
        </w:r>
        <w:r w:rsidR="00294E8D" w:rsidRPr="00183B5F">
          <w:rPr>
            <w:szCs w:val="22"/>
          </w:rPr>
          <w:delText>el</w:delText>
        </w:r>
        <w:r w:rsidR="00792D0F" w:rsidRPr="00183B5F">
          <w:rPr>
            <w:szCs w:val="22"/>
          </w:rPr>
          <w:delText>len,</w:delText>
        </w:r>
        <w:r w:rsidRPr="00183B5F">
          <w:rPr>
            <w:szCs w:val="22"/>
          </w:rPr>
          <w:delText xml:space="preserve"> a Humira</w:delText>
        </w:r>
        <w:r w:rsidR="00F8791D" w:rsidRPr="00183B5F">
          <w:rPr>
            <w:szCs w:val="22"/>
          </w:rPr>
          <w:noBreakHyphen/>
        </w:r>
        <w:r w:rsidRPr="00183B5F">
          <w:rPr>
            <w:szCs w:val="22"/>
          </w:rPr>
          <w:delText xml:space="preserve">kezelés alatt </w:delText>
        </w:r>
        <w:r w:rsidR="006341D8" w:rsidRPr="00183B5F">
          <w:rPr>
            <w:szCs w:val="22"/>
          </w:rPr>
          <w:delText xml:space="preserve">ismét </w:delText>
        </w:r>
        <w:r w:rsidRPr="00183B5F">
          <w:rPr>
            <w:szCs w:val="22"/>
          </w:rPr>
          <w:delText>tuber</w:delText>
        </w:r>
        <w:r w:rsidR="00FE6439" w:rsidRPr="00183B5F">
          <w:rPr>
            <w:szCs w:val="22"/>
          </w:rPr>
          <w:delText>culosis</w:delText>
        </w:r>
        <w:r w:rsidRPr="00183B5F">
          <w:rPr>
            <w:szCs w:val="22"/>
          </w:rPr>
          <w:delText xml:space="preserve"> alakult ki.</w:delText>
        </w:r>
      </w:del>
    </w:p>
    <w:p w14:paraId="432B84FD" w14:textId="25DC05C1" w:rsidR="00782A56" w:rsidRPr="00183B5F" w:rsidRDefault="00782A56" w:rsidP="004062FE">
      <w:pPr>
        <w:spacing w:line="240" w:lineRule="auto"/>
        <w:rPr>
          <w:del w:id="4429" w:author="AbbVie_HU_03" w:date="2025-05-14T15:27:00Z"/>
          <w:szCs w:val="22"/>
        </w:rPr>
      </w:pPr>
    </w:p>
    <w:p w14:paraId="7799C588" w14:textId="0CBFF1D9" w:rsidR="00B740E5" w:rsidRPr="00183B5F" w:rsidRDefault="00943743" w:rsidP="00B740E5">
      <w:pPr>
        <w:spacing w:line="240" w:lineRule="auto"/>
        <w:rPr>
          <w:del w:id="4430" w:author="AbbVie_HU_03" w:date="2025-05-14T15:27:00Z"/>
          <w:szCs w:val="22"/>
        </w:rPr>
      </w:pPr>
      <w:del w:id="4431" w:author="AbbVie_HU_03" w:date="2025-05-14T15:27:00Z">
        <w:r w:rsidRPr="00183B5F">
          <w:rPr>
            <w:szCs w:val="22"/>
          </w:rPr>
          <w:delText>A betegeket tájékoztatni kell, hogy – Humira</w:delText>
        </w:r>
        <w:r w:rsidRPr="00183B5F">
          <w:rPr>
            <w:szCs w:val="22"/>
          </w:rPr>
          <w:noBreakHyphen/>
        </w:r>
        <w:r w:rsidRPr="00183B5F">
          <w:rPr>
            <w:szCs w:val="22"/>
          </w:rPr>
          <w:delText>kezelés alatt vagy után – tuberculosisra jellemző tünetek (pl. tartós köhögés, fogyás, kisebb fokú láz, fáradékonyság) fellépése esetén forduljanak orvoshoz.</w:delText>
        </w:r>
      </w:del>
    </w:p>
    <w:p w14:paraId="613BFAA0" w14:textId="3AADCA54" w:rsidR="00FB6710" w:rsidRPr="00183B5F" w:rsidRDefault="00FB6710" w:rsidP="004062FE">
      <w:pPr>
        <w:pStyle w:val="EndnoteText"/>
        <w:tabs>
          <w:tab w:val="clear" w:pos="567"/>
          <w:tab w:val="left" w:pos="708"/>
        </w:tabs>
        <w:suppressAutoHyphens/>
        <w:rPr>
          <w:del w:id="4432" w:author="AbbVie_HU_03" w:date="2025-05-14T15:27:00Z"/>
          <w:sz w:val="22"/>
          <w:szCs w:val="22"/>
          <w:lang w:val="hu-HU"/>
        </w:rPr>
      </w:pPr>
    </w:p>
    <w:p w14:paraId="550AAEA8" w14:textId="6ECDCBBA" w:rsidR="00FB6710" w:rsidRPr="00183B5F" w:rsidRDefault="00943743" w:rsidP="004062FE">
      <w:pPr>
        <w:keepNext/>
        <w:spacing w:line="240" w:lineRule="auto"/>
        <w:rPr>
          <w:del w:id="4433" w:author="AbbVie_HU_03" w:date="2025-05-14T15:27:00Z"/>
          <w:i/>
          <w:iCs/>
          <w:szCs w:val="22"/>
        </w:rPr>
      </w:pPr>
      <w:del w:id="4434" w:author="AbbVie_HU_03" w:date="2025-05-14T15:27:00Z">
        <w:r w:rsidRPr="00183B5F">
          <w:rPr>
            <w:i/>
            <w:iCs/>
            <w:szCs w:val="22"/>
          </w:rPr>
          <w:delText>Egyéb opportunista fertőzések</w:delText>
        </w:r>
      </w:del>
    </w:p>
    <w:p w14:paraId="15DB3767" w14:textId="680D8AEA" w:rsidR="00FB6710" w:rsidRPr="00183B5F" w:rsidRDefault="00FB6710" w:rsidP="004062FE">
      <w:pPr>
        <w:keepNext/>
        <w:spacing w:line="240" w:lineRule="auto"/>
        <w:rPr>
          <w:del w:id="4435" w:author="AbbVie_HU_03" w:date="2025-05-14T15:27:00Z"/>
          <w:szCs w:val="22"/>
        </w:rPr>
      </w:pPr>
    </w:p>
    <w:p w14:paraId="15E93221" w14:textId="01AE3286" w:rsidR="00FB6710" w:rsidRPr="00183B5F" w:rsidRDefault="00943743" w:rsidP="004062FE">
      <w:pPr>
        <w:keepNext/>
        <w:spacing w:line="240" w:lineRule="auto"/>
        <w:rPr>
          <w:del w:id="4436" w:author="AbbVie_HU_03" w:date="2025-05-14T15:27:00Z"/>
          <w:szCs w:val="22"/>
        </w:rPr>
      </w:pPr>
      <w:del w:id="4437" w:author="AbbVie_HU_03" w:date="2025-05-14T15:27:00Z">
        <w:r w:rsidRPr="00183B5F">
          <w:rPr>
            <w:szCs w:val="22"/>
          </w:rPr>
          <w:delText>A Humira</w:delText>
        </w:r>
        <w:r w:rsidR="00F8791D" w:rsidRPr="00183B5F">
          <w:rPr>
            <w:szCs w:val="22"/>
          </w:rPr>
          <w:noBreakHyphen/>
        </w:r>
        <w:r w:rsidRPr="00183B5F">
          <w:rPr>
            <w:szCs w:val="22"/>
          </w:rPr>
          <w:delText xml:space="preserve">kezelést kapó betegeknél opportunista fertőzéseket, köztük invazív gombafertőzéseket észleltek. Ezek a fertőzések a </w:delText>
        </w:r>
        <w:r w:rsidR="00332587" w:rsidRPr="00183B5F">
          <w:rPr>
            <w:szCs w:val="22"/>
          </w:rPr>
          <w:delText>TNF</w:delText>
        </w:r>
        <w:r w:rsidR="00F8791D" w:rsidRPr="00183B5F">
          <w:rPr>
            <w:szCs w:val="22"/>
          </w:rPr>
          <w:noBreakHyphen/>
        </w:r>
        <w:r w:rsidR="00332587" w:rsidRPr="00183B5F">
          <w:rPr>
            <w:szCs w:val="22"/>
          </w:rPr>
          <w:delText>antagonistákat</w:delText>
        </w:r>
        <w:r w:rsidRPr="00183B5F">
          <w:rPr>
            <w:szCs w:val="22"/>
          </w:rPr>
          <w:delText xml:space="preserve"> kapó betegeknél nem kerültek következetesen felismerésre, és ez a megfelelő kezelés </w:delText>
        </w:r>
        <w:r w:rsidR="003B6CBC" w:rsidRPr="00183B5F">
          <w:rPr>
            <w:szCs w:val="22"/>
          </w:rPr>
          <w:delText>késését</w:delText>
        </w:r>
        <w:r w:rsidRPr="00183B5F">
          <w:rPr>
            <w:szCs w:val="22"/>
          </w:rPr>
          <w:delText xml:space="preserve"> eredményezte, ami néha halálos kimenetelhez vezetett.</w:delText>
        </w:r>
      </w:del>
    </w:p>
    <w:p w14:paraId="2E34C8F2" w14:textId="12D4DF94" w:rsidR="00FB6710" w:rsidRPr="00183B5F" w:rsidRDefault="00FB6710" w:rsidP="004062FE">
      <w:pPr>
        <w:spacing w:line="240" w:lineRule="auto"/>
        <w:rPr>
          <w:del w:id="4438" w:author="AbbVie_HU_03" w:date="2025-05-14T15:27:00Z"/>
          <w:szCs w:val="22"/>
        </w:rPr>
      </w:pPr>
    </w:p>
    <w:p w14:paraId="3A0DC528" w14:textId="0F54D8B4" w:rsidR="00FB6710" w:rsidRPr="00183B5F" w:rsidRDefault="00943743" w:rsidP="004062FE">
      <w:pPr>
        <w:spacing w:line="240" w:lineRule="auto"/>
        <w:rPr>
          <w:del w:id="4439" w:author="AbbVie_HU_03" w:date="2025-05-14T15:27:00Z"/>
          <w:szCs w:val="22"/>
        </w:rPr>
      </w:pPr>
      <w:del w:id="4440" w:author="AbbVie_HU_03" w:date="2025-05-14T15:27:00Z">
        <w:r w:rsidRPr="00183B5F">
          <w:rPr>
            <w:szCs w:val="22"/>
          </w:rPr>
          <w:delText xml:space="preserve">Azoknál a betegeknél, akiknél olyan </w:delText>
        </w:r>
        <w:r w:rsidR="00D02F61" w:rsidRPr="00183B5F">
          <w:rPr>
            <w:szCs w:val="22"/>
          </w:rPr>
          <w:delText xml:space="preserve">jelek </w:delText>
        </w:r>
        <w:r w:rsidRPr="00183B5F">
          <w:rPr>
            <w:szCs w:val="22"/>
          </w:rPr>
          <w:delText>és tünetek alakulnak ki, mint például a láz, rossz közérzet, fogyás, verejtékezés, köhögés, dyspnoe és</w:delText>
        </w:r>
        <w:r w:rsidR="003D7171" w:rsidRPr="00183B5F">
          <w:rPr>
            <w:szCs w:val="22"/>
          </w:rPr>
          <w:delText>/</w:delText>
        </w:r>
        <w:r w:rsidRPr="00183B5F">
          <w:rPr>
            <w:szCs w:val="22"/>
          </w:rPr>
          <w:delText>vagy pulmonalis infiltrátumok</w:delText>
        </w:r>
        <w:r w:rsidR="003B6CBC" w:rsidRPr="00183B5F">
          <w:rPr>
            <w:szCs w:val="22"/>
          </w:rPr>
          <w:delText>,</w:delText>
        </w:r>
        <w:r w:rsidRPr="00183B5F">
          <w:rPr>
            <w:szCs w:val="22"/>
          </w:rPr>
          <w:delText xml:space="preserve"> </w:delText>
        </w:r>
        <w:r w:rsidR="007932F0" w:rsidRPr="00183B5F">
          <w:rPr>
            <w:szCs w:val="22"/>
          </w:rPr>
          <w:delText xml:space="preserve">illetve </w:delText>
        </w:r>
        <w:r w:rsidRPr="00183B5F">
          <w:rPr>
            <w:szCs w:val="22"/>
          </w:rPr>
          <w:delText>sokkal vagy anélkül jelentkező egyéb súlyos, szisztémás betegségek, invazív gombafertőzésre kell gyanakodni, és a Humira adását azonnal abba kell hagyni</w:delText>
        </w:r>
        <w:r w:rsidR="007932F0" w:rsidRPr="00183B5F">
          <w:rPr>
            <w:szCs w:val="22"/>
          </w:rPr>
          <w:delText>. Eze</w:delText>
        </w:r>
        <w:r w:rsidR="00A86F91" w:rsidRPr="00183B5F">
          <w:rPr>
            <w:szCs w:val="22"/>
          </w:rPr>
          <w:delText>knél a</w:delText>
        </w:r>
        <w:r w:rsidR="007932F0" w:rsidRPr="00183B5F">
          <w:rPr>
            <w:szCs w:val="22"/>
          </w:rPr>
          <w:delText xml:space="preserve"> betegeknél a diagnózis megállapítását és az emp</w:delText>
        </w:r>
        <w:r w:rsidR="00516B92" w:rsidRPr="00183B5F">
          <w:rPr>
            <w:szCs w:val="22"/>
          </w:rPr>
          <w:delText>i</w:delText>
        </w:r>
        <w:r w:rsidR="007932F0" w:rsidRPr="00183B5F">
          <w:rPr>
            <w:szCs w:val="22"/>
          </w:rPr>
          <w:delText xml:space="preserve">rikus gombaellenes kezelés megkezdését olyan szakemberrel történő konzultációt követően kell elvégezni, aki jártas az invazív gombafertőzések kezelésében. </w:delText>
        </w:r>
      </w:del>
    </w:p>
    <w:p w14:paraId="3D514FD2" w14:textId="450A3D11" w:rsidR="00FB6710" w:rsidRPr="00183B5F" w:rsidRDefault="00FB6710" w:rsidP="004062FE">
      <w:pPr>
        <w:spacing w:line="240" w:lineRule="auto"/>
        <w:rPr>
          <w:del w:id="4441" w:author="AbbVie_HU_03" w:date="2025-05-14T15:27:00Z"/>
          <w:szCs w:val="22"/>
        </w:rPr>
      </w:pPr>
    </w:p>
    <w:p w14:paraId="736FFF48" w14:textId="4A217621" w:rsidR="00FB6710" w:rsidRPr="00183B5F" w:rsidRDefault="00943743" w:rsidP="004062FE">
      <w:pPr>
        <w:keepNext/>
        <w:spacing w:line="240" w:lineRule="auto"/>
        <w:rPr>
          <w:del w:id="4442" w:author="AbbVie_HU_03" w:date="2025-05-14T15:27:00Z"/>
          <w:szCs w:val="22"/>
          <w:u w:val="single"/>
        </w:rPr>
      </w:pPr>
      <w:del w:id="4443" w:author="AbbVie_HU_03" w:date="2025-05-14T15:27:00Z">
        <w:r w:rsidRPr="00183B5F">
          <w:rPr>
            <w:szCs w:val="22"/>
            <w:u w:val="single"/>
          </w:rPr>
          <w:delText>Hepatitis</w:delText>
        </w:r>
        <w:r w:rsidR="00F0468F" w:rsidRPr="00183B5F">
          <w:rPr>
            <w:szCs w:val="22"/>
            <w:u w:val="single"/>
          </w:rPr>
          <w:delText> </w:delText>
        </w:r>
        <w:r w:rsidRPr="00183B5F">
          <w:rPr>
            <w:szCs w:val="22"/>
            <w:u w:val="single"/>
          </w:rPr>
          <w:delText>B reaktiválódása</w:delText>
        </w:r>
      </w:del>
    </w:p>
    <w:p w14:paraId="2AA15EC0" w14:textId="00BDA051" w:rsidR="00FB6710" w:rsidRPr="00183B5F" w:rsidRDefault="00FB6710" w:rsidP="004062FE">
      <w:pPr>
        <w:keepNext/>
        <w:spacing w:line="240" w:lineRule="auto"/>
        <w:rPr>
          <w:del w:id="4444" w:author="AbbVie_HU_03" w:date="2025-05-14T15:27:00Z"/>
          <w:szCs w:val="22"/>
          <w:u w:val="single"/>
        </w:rPr>
      </w:pPr>
    </w:p>
    <w:p w14:paraId="0BBCAD51" w14:textId="747B0850" w:rsidR="001D39F1" w:rsidRPr="00183B5F" w:rsidRDefault="00943743" w:rsidP="004062FE">
      <w:pPr>
        <w:keepNext/>
        <w:spacing w:line="240" w:lineRule="auto"/>
        <w:rPr>
          <w:del w:id="4445" w:author="AbbVie_HU_03" w:date="2025-05-14T15:27:00Z"/>
          <w:szCs w:val="22"/>
        </w:rPr>
      </w:pPr>
      <w:del w:id="4446" w:author="AbbVie_HU_03" w:date="2025-05-14T15:27:00Z">
        <w:r w:rsidRPr="00183B5F">
          <w:rPr>
            <w:szCs w:val="22"/>
          </w:rPr>
          <w:delText>Idült hepatitis</w:delText>
        </w:r>
        <w:r w:rsidR="00F0468F" w:rsidRPr="00183B5F">
          <w:rPr>
            <w:szCs w:val="22"/>
          </w:rPr>
          <w:delText> </w:delText>
        </w:r>
        <w:r w:rsidRPr="00183B5F">
          <w:rPr>
            <w:szCs w:val="22"/>
          </w:rPr>
          <w:delText>B</w:delText>
        </w:r>
        <w:r w:rsidR="003B6CBC" w:rsidRPr="00183B5F">
          <w:rPr>
            <w:szCs w:val="22"/>
          </w:rPr>
          <w:noBreakHyphen/>
        </w:r>
        <w:r w:rsidRPr="00183B5F">
          <w:rPr>
            <w:szCs w:val="22"/>
          </w:rPr>
          <w:delText>vírus</w:delText>
        </w:r>
        <w:r w:rsidR="003B6CBC" w:rsidRPr="00183B5F">
          <w:rPr>
            <w:szCs w:val="22"/>
          </w:rPr>
          <w:delText>-</w:delText>
        </w:r>
        <w:r w:rsidRPr="00183B5F">
          <w:rPr>
            <w:szCs w:val="22"/>
          </w:rPr>
          <w:delText>hordozó betegeknél (azaz a felszíni antigén pozitív) a hepatitis</w:delText>
        </w:r>
        <w:r w:rsidR="00F0468F" w:rsidRPr="00183B5F">
          <w:rPr>
            <w:szCs w:val="22"/>
          </w:rPr>
          <w:delText> </w:delText>
        </w:r>
        <w:r w:rsidRPr="00183B5F">
          <w:rPr>
            <w:szCs w:val="22"/>
          </w:rPr>
          <w:delText>B reaktiválódása fordult elő, amennyiben TNF</w:delText>
        </w:r>
        <w:r w:rsidR="00404A9B" w:rsidRPr="00183B5F">
          <w:rPr>
            <w:szCs w:val="22"/>
          </w:rPr>
          <w:noBreakHyphen/>
        </w:r>
        <w:r w:rsidRPr="00183B5F">
          <w:rPr>
            <w:szCs w:val="22"/>
          </w:rPr>
          <w:delText>antagonista (köztük Humira)</w:delText>
        </w:r>
        <w:r w:rsidR="00404A9B" w:rsidRPr="00183B5F">
          <w:rPr>
            <w:szCs w:val="22"/>
          </w:rPr>
          <w:noBreakHyphen/>
        </w:r>
        <w:r w:rsidRPr="00183B5F">
          <w:rPr>
            <w:szCs w:val="22"/>
          </w:rPr>
          <w:delText>kezelésben részesültek. Néhány esetben ez halálhoz vezetett. A Humira</w:delText>
        </w:r>
        <w:r w:rsidR="00404A9B" w:rsidRPr="00183B5F">
          <w:rPr>
            <w:szCs w:val="22"/>
          </w:rPr>
          <w:noBreakHyphen/>
        </w:r>
        <w:r w:rsidRPr="00183B5F">
          <w:rPr>
            <w:szCs w:val="22"/>
          </w:rPr>
          <w:delText xml:space="preserve">kezelés elkezdése előtt a betegeket </w:delText>
        </w:r>
        <w:r w:rsidR="000A456B" w:rsidRPr="00183B5F">
          <w:rPr>
            <w:szCs w:val="22"/>
          </w:rPr>
          <w:delText>HBV-fertőz</w:delText>
        </w:r>
        <w:r w:rsidRPr="00183B5F">
          <w:rPr>
            <w:szCs w:val="22"/>
          </w:rPr>
          <w:delText>és irányában</w:delText>
        </w:r>
        <w:r w:rsidR="00DC074D" w:rsidRPr="00183B5F">
          <w:rPr>
            <w:szCs w:val="22"/>
          </w:rPr>
          <w:delText xml:space="preserve"> vizsgálni kell</w:delText>
        </w:r>
        <w:r w:rsidRPr="00183B5F">
          <w:rPr>
            <w:szCs w:val="22"/>
          </w:rPr>
          <w:delText xml:space="preserve">. </w:delText>
        </w:r>
        <w:r w:rsidR="00DC074D" w:rsidRPr="00183B5F">
          <w:rPr>
            <w:szCs w:val="22"/>
          </w:rPr>
          <w:delText xml:space="preserve">Azoknál a </w:delText>
        </w:r>
        <w:r w:rsidR="00434359" w:rsidRPr="00183B5F">
          <w:rPr>
            <w:szCs w:val="22"/>
          </w:rPr>
          <w:delText>betegek</w:delText>
        </w:r>
        <w:r w:rsidR="00DC074D" w:rsidRPr="00183B5F">
          <w:rPr>
            <w:szCs w:val="22"/>
          </w:rPr>
          <w:delText>nél,</w:delText>
        </w:r>
        <w:r w:rsidR="00434359" w:rsidRPr="00183B5F">
          <w:rPr>
            <w:szCs w:val="22"/>
          </w:rPr>
          <w:delText xml:space="preserve"> akiknél </w:delText>
        </w:r>
        <w:r w:rsidRPr="00183B5F">
          <w:rPr>
            <w:szCs w:val="22"/>
          </w:rPr>
          <w:delText>a hepatitis</w:delText>
        </w:r>
        <w:r w:rsidR="00F0468F" w:rsidRPr="00183B5F">
          <w:rPr>
            <w:szCs w:val="22"/>
          </w:rPr>
          <w:delText> </w:delText>
        </w:r>
        <w:r w:rsidRPr="00183B5F">
          <w:rPr>
            <w:szCs w:val="22"/>
          </w:rPr>
          <w:delText xml:space="preserve">B </w:delText>
        </w:r>
        <w:r w:rsidR="00434359" w:rsidRPr="00183B5F">
          <w:rPr>
            <w:szCs w:val="22"/>
          </w:rPr>
          <w:delText xml:space="preserve">infekció </w:delText>
        </w:r>
        <w:r w:rsidRPr="00183B5F">
          <w:rPr>
            <w:szCs w:val="22"/>
          </w:rPr>
          <w:delText>vizsgálat</w:delText>
        </w:r>
        <w:r w:rsidR="00C7695F" w:rsidRPr="00183B5F">
          <w:rPr>
            <w:szCs w:val="22"/>
          </w:rPr>
          <w:delText>ának</w:delText>
        </w:r>
        <w:r w:rsidRPr="00183B5F">
          <w:rPr>
            <w:szCs w:val="22"/>
          </w:rPr>
          <w:delText xml:space="preserve"> eredménye pozitív, </w:delText>
        </w:r>
        <w:r w:rsidR="00434359" w:rsidRPr="00183B5F">
          <w:rPr>
            <w:szCs w:val="22"/>
          </w:rPr>
          <w:delText>konzultáció javasolt</w:delText>
        </w:r>
        <w:r w:rsidRPr="00183B5F">
          <w:rPr>
            <w:szCs w:val="22"/>
          </w:rPr>
          <w:delText xml:space="preserve"> egy, a hepatitis</w:delText>
        </w:r>
        <w:r w:rsidR="00F0468F" w:rsidRPr="00183B5F">
          <w:rPr>
            <w:szCs w:val="22"/>
          </w:rPr>
          <w:delText> </w:delText>
        </w:r>
        <w:r w:rsidRPr="00183B5F">
          <w:rPr>
            <w:szCs w:val="22"/>
          </w:rPr>
          <w:delText>B kezelésében jártas orvos</w:delText>
        </w:r>
        <w:r w:rsidR="00434359" w:rsidRPr="00183B5F">
          <w:rPr>
            <w:szCs w:val="22"/>
          </w:rPr>
          <w:delText>sal.</w:delText>
        </w:r>
        <w:r w:rsidRPr="00183B5F">
          <w:rPr>
            <w:szCs w:val="22"/>
          </w:rPr>
          <w:delText xml:space="preserve"> </w:delText>
        </w:r>
      </w:del>
    </w:p>
    <w:p w14:paraId="6051AD6D" w14:textId="2EFAC7E5" w:rsidR="001D39F1" w:rsidRPr="00183B5F" w:rsidRDefault="001D39F1" w:rsidP="004062FE">
      <w:pPr>
        <w:spacing w:line="240" w:lineRule="auto"/>
        <w:rPr>
          <w:del w:id="4447" w:author="AbbVie_HU_03" w:date="2025-05-14T15:27:00Z"/>
          <w:szCs w:val="22"/>
        </w:rPr>
      </w:pPr>
    </w:p>
    <w:p w14:paraId="387726DC" w14:textId="23E068EB" w:rsidR="00FB6710" w:rsidRPr="00183B5F" w:rsidRDefault="00943743" w:rsidP="004062FE">
      <w:pPr>
        <w:spacing w:line="240" w:lineRule="auto"/>
        <w:rPr>
          <w:del w:id="4448" w:author="AbbVie_HU_03" w:date="2025-05-14T15:27:00Z"/>
          <w:szCs w:val="22"/>
        </w:rPr>
      </w:pPr>
      <w:del w:id="4449" w:author="AbbVie_HU_03" w:date="2025-05-14T15:27:00Z">
        <w:r w:rsidRPr="00183B5F">
          <w:rPr>
            <w:szCs w:val="22"/>
          </w:rPr>
          <w:delText xml:space="preserve">A Humira terápiára szoruló </w:delText>
        </w:r>
        <w:r w:rsidR="000A456B" w:rsidRPr="00183B5F">
          <w:rPr>
            <w:szCs w:val="22"/>
          </w:rPr>
          <w:delText>HBV-hordo</w:delText>
        </w:r>
        <w:r w:rsidRPr="00183B5F">
          <w:rPr>
            <w:szCs w:val="22"/>
          </w:rPr>
          <w:delText xml:space="preserve">zókat a kezelés ideje alatt, illetve a befejezését követő néhány hónapon keresztül gondosan meg kell figyelni, hogy jelentkeznek-e rajtuk aktív </w:delText>
        </w:r>
        <w:r w:rsidR="000A456B" w:rsidRPr="00183B5F">
          <w:rPr>
            <w:szCs w:val="22"/>
          </w:rPr>
          <w:delText>HBV-fertőz</w:delText>
        </w:r>
        <w:r w:rsidRPr="00183B5F">
          <w:rPr>
            <w:szCs w:val="22"/>
          </w:rPr>
          <w:delText xml:space="preserve">ésre utaló </w:delText>
        </w:r>
        <w:r w:rsidR="00D02F61" w:rsidRPr="00183B5F">
          <w:rPr>
            <w:szCs w:val="22"/>
          </w:rPr>
          <w:delText xml:space="preserve">jelek </w:delText>
        </w:r>
        <w:r w:rsidRPr="00183B5F">
          <w:rPr>
            <w:szCs w:val="22"/>
          </w:rPr>
          <w:delText xml:space="preserve">és tünetek. A </w:delText>
        </w:r>
        <w:r w:rsidR="000A456B" w:rsidRPr="00183B5F">
          <w:rPr>
            <w:szCs w:val="22"/>
          </w:rPr>
          <w:delText>HBV-hordo</w:delText>
        </w:r>
        <w:r w:rsidRPr="00183B5F">
          <w:rPr>
            <w:szCs w:val="22"/>
          </w:rPr>
          <w:delText>zóknak a HBV reaktiválódásának megelőzése céljából végzett TNF</w:delText>
        </w:r>
        <w:r w:rsidR="00404A9B" w:rsidRPr="00183B5F">
          <w:rPr>
            <w:szCs w:val="22"/>
          </w:rPr>
          <w:noBreakHyphen/>
        </w:r>
        <w:r w:rsidRPr="00183B5F">
          <w:rPr>
            <w:szCs w:val="22"/>
          </w:rPr>
          <w:delText>antagonista és antiretrovirális szer kombinációjával végzett kezeléséről nem állnak rendelkezésre megfelelő adatok. Azoknál a betegeknél, akiknél a HBV reaktiválódása alakul ki, abba kell hagyni a Humira adását, és hatékony antiretrovirális szer adását, v</w:delText>
        </w:r>
        <w:r w:rsidRPr="00183B5F">
          <w:rPr>
            <w:szCs w:val="22"/>
          </w:rPr>
          <w:delText>alamint megfelelő szupportív kezelést kell kezdeni.</w:delText>
        </w:r>
      </w:del>
    </w:p>
    <w:p w14:paraId="4E1A8DDA" w14:textId="7325B7A4" w:rsidR="00FB6710" w:rsidRPr="00183B5F" w:rsidRDefault="00FB6710" w:rsidP="004062FE">
      <w:pPr>
        <w:spacing w:line="240" w:lineRule="auto"/>
        <w:rPr>
          <w:del w:id="4450" w:author="AbbVie_HU_03" w:date="2025-05-14T15:27:00Z"/>
          <w:szCs w:val="22"/>
        </w:rPr>
      </w:pPr>
    </w:p>
    <w:p w14:paraId="6BC0CC6B" w14:textId="51F9A767" w:rsidR="00FB6710" w:rsidRPr="00183B5F" w:rsidRDefault="00943743" w:rsidP="004062FE">
      <w:pPr>
        <w:spacing w:line="240" w:lineRule="auto"/>
        <w:rPr>
          <w:del w:id="4451" w:author="AbbVie_HU_03" w:date="2025-05-14T15:27:00Z"/>
          <w:szCs w:val="22"/>
          <w:u w:val="single"/>
        </w:rPr>
      </w:pPr>
      <w:del w:id="4452" w:author="AbbVie_HU_03" w:date="2025-05-14T15:27:00Z">
        <w:r w:rsidRPr="00183B5F">
          <w:rPr>
            <w:szCs w:val="22"/>
            <w:u w:val="single"/>
          </w:rPr>
          <w:delText>Neurológiai vonatkozások</w:delText>
        </w:r>
      </w:del>
    </w:p>
    <w:p w14:paraId="5E6F181C" w14:textId="71980E8E" w:rsidR="0013172E" w:rsidRPr="00183B5F" w:rsidRDefault="0013172E" w:rsidP="004062FE">
      <w:pPr>
        <w:spacing w:line="240" w:lineRule="auto"/>
        <w:rPr>
          <w:del w:id="4453" w:author="AbbVie_HU_03" w:date="2025-05-14T15:27:00Z"/>
          <w:szCs w:val="22"/>
          <w:u w:val="single"/>
        </w:rPr>
      </w:pPr>
    </w:p>
    <w:p w14:paraId="66FCD218" w14:textId="426D2083" w:rsidR="00FB6710" w:rsidRPr="00183B5F" w:rsidRDefault="00943743" w:rsidP="004062FE">
      <w:pPr>
        <w:spacing w:line="240" w:lineRule="auto"/>
        <w:rPr>
          <w:del w:id="4454" w:author="AbbVie_HU_03" w:date="2025-05-14T15:27:00Z"/>
          <w:szCs w:val="22"/>
        </w:rPr>
      </w:pPr>
      <w:del w:id="4455" w:author="AbbVie_HU_03" w:date="2025-05-14T15:27:00Z">
        <w:r w:rsidRPr="00183B5F">
          <w:rPr>
            <w:szCs w:val="22"/>
          </w:rPr>
          <w:delText>A TNF</w:delText>
        </w:r>
        <w:r w:rsidRPr="00183B5F">
          <w:rPr>
            <w:szCs w:val="22"/>
          </w:rPr>
          <w:noBreakHyphen/>
          <w:delText>antagonisták, beleértve a Humira</w:delText>
        </w:r>
        <w:r w:rsidR="00404A9B" w:rsidRPr="00183B5F">
          <w:rPr>
            <w:szCs w:val="22"/>
          </w:rPr>
          <w:noBreakHyphen/>
        </w:r>
        <w:r w:rsidRPr="00183B5F">
          <w:rPr>
            <w:szCs w:val="22"/>
          </w:rPr>
          <w:delText xml:space="preserve">t, ritkán a központi idegrendszeri </w:delText>
        </w:r>
        <w:r w:rsidR="001B6725" w:rsidRPr="00183B5F">
          <w:rPr>
            <w:szCs w:val="22"/>
          </w:rPr>
          <w:delText>demyelinisati</w:delText>
        </w:r>
        <w:r w:rsidRPr="00183B5F">
          <w:rPr>
            <w:szCs w:val="22"/>
          </w:rPr>
          <w:delText>ós betegség (közte a sclerosis multiplex</w:delText>
        </w:r>
        <w:r w:rsidR="00782A56" w:rsidRPr="00183B5F">
          <w:rPr>
            <w:szCs w:val="22"/>
          </w:rPr>
          <w:delText xml:space="preserve"> és a</w:delText>
        </w:r>
        <w:r w:rsidR="005D4B25" w:rsidRPr="00183B5F">
          <w:rPr>
            <w:szCs w:val="22"/>
          </w:rPr>
          <w:delText>z opticus</w:delText>
        </w:r>
        <w:r w:rsidR="00782A56" w:rsidRPr="00183B5F">
          <w:rPr>
            <w:szCs w:val="22"/>
          </w:rPr>
          <w:delText xml:space="preserve"> neuritis</w:delText>
        </w:r>
        <w:r w:rsidRPr="00183B5F">
          <w:rPr>
            <w:szCs w:val="22"/>
          </w:rPr>
          <w:delText xml:space="preserve">) </w:delText>
        </w:r>
        <w:r w:rsidR="007D39E8" w:rsidRPr="00183B5F">
          <w:rPr>
            <w:szCs w:val="22"/>
          </w:rPr>
          <w:delText xml:space="preserve">és a perifériás </w:delText>
        </w:r>
        <w:r w:rsidR="001B6725" w:rsidRPr="00183B5F">
          <w:rPr>
            <w:szCs w:val="22"/>
          </w:rPr>
          <w:delText>demyelinisati</w:delText>
        </w:r>
        <w:r w:rsidR="007D39E8" w:rsidRPr="00183B5F">
          <w:rPr>
            <w:szCs w:val="22"/>
          </w:rPr>
          <w:delText>ós betegség (közte a Guillan</w:delText>
        </w:r>
        <w:r w:rsidR="00404A9B" w:rsidRPr="00183B5F">
          <w:rPr>
            <w:szCs w:val="22"/>
          </w:rPr>
          <w:noBreakHyphen/>
        </w:r>
        <w:r w:rsidR="007D39E8" w:rsidRPr="00183B5F">
          <w:rPr>
            <w:szCs w:val="22"/>
          </w:rPr>
          <w:delText xml:space="preserve">Barré szindróma) </w:delText>
        </w:r>
        <w:r w:rsidRPr="00183B5F">
          <w:rPr>
            <w:szCs w:val="22"/>
          </w:rPr>
          <w:delText>klinikai tüneteinek és/vagy radiológiai bizonyítékának új megjelenésével vagy súlyosbodásával társultak. A gyógyszert felíró orvosnak különös gonddal kell eljárnia olyan esetekben, amikor Humira</w:delText>
        </w:r>
        <w:r w:rsidR="00404A9B" w:rsidRPr="00183B5F">
          <w:rPr>
            <w:szCs w:val="22"/>
          </w:rPr>
          <w:noBreakHyphen/>
        </w:r>
        <w:r w:rsidRPr="00183B5F">
          <w:rPr>
            <w:szCs w:val="22"/>
          </w:rPr>
          <w:delText xml:space="preserve">kezelés lehetősége felmerül régi vagy friss központi idegrendszeri </w:delText>
        </w:r>
        <w:r w:rsidR="007D39E8" w:rsidRPr="00183B5F">
          <w:rPr>
            <w:szCs w:val="22"/>
          </w:rPr>
          <w:delText xml:space="preserve">vagy perifériás </w:delText>
        </w:r>
        <w:r w:rsidR="001B6725" w:rsidRPr="00183B5F">
          <w:rPr>
            <w:szCs w:val="22"/>
          </w:rPr>
          <w:delText>demyelinisati</w:delText>
        </w:r>
        <w:r w:rsidR="007D39E8" w:rsidRPr="00183B5F">
          <w:rPr>
            <w:szCs w:val="22"/>
          </w:rPr>
          <w:delText xml:space="preserve">ós </w:delText>
        </w:r>
        <w:r w:rsidRPr="00183B5F">
          <w:rPr>
            <w:szCs w:val="22"/>
          </w:rPr>
          <w:delText>betegségben szenvedő betegeknél</w:delText>
        </w:r>
        <w:r w:rsidR="00372715" w:rsidRPr="00183B5F">
          <w:rPr>
            <w:szCs w:val="22"/>
          </w:rPr>
          <w:delText xml:space="preserve">; </w:delText>
        </w:r>
        <w:r w:rsidR="00187ABC" w:rsidRPr="00183B5F">
          <w:rPr>
            <w:szCs w:val="22"/>
          </w:rPr>
          <w:delText xml:space="preserve">ezen betegségek bármelyikének kialakulása esetén fontolóra </w:delText>
        </w:r>
        <w:r w:rsidR="00372715" w:rsidRPr="00183B5F">
          <w:rPr>
            <w:szCs w:val="22"/>
          </w:rPr>
          <w:delText>kell venni a Humira adásának felfüggesztését. Ismert az összefüggés az intermedier uveitis és a központi idegrendszeri demyelini</w:delText>
        </w:r>
        <w:r w:rsidR="00EB06D0" w:rsidRPr="00183B5F">
          <w:rPr>
            <w:szCs w:val="22"/>
          </w:rPr>
          <w:delText>sat</w:delText>
        </w:r>
        <w:r w:rsidR="00372715" w:rsidRPr="00183B5F">
          <w:rPr>
            <w:szCs w:val="22"/>
          </w:rPr>
          <w:delText>iós betegség között. A nem fertőz</w:delText>
        </w:r>
        <w:r w:rsidR="00AD347E" w:rsidRPr="00183B5F">
          <w:rPr>
            <w:szCs w:val="22"/>
          </w:rPr>
          <w:delText>éses</w:delText>
        </w:r>
        <w:r w:rsidR="00372715" w:rsidRPr="00183B5F">
          <w:rPr>
            <w:szCs w:val="22"/>
          </w:rPr>
          <w:delText xml:space="preserve"> eredetű, intermedier uveitisben szenvedő betegeknél neurológiai vizsgálatot kell végezni a Humira</w:delText>
        </w:r>
        <w:r w:rsidR="00372715" w:rsidRPr="00183B5F">
          <w:rPr>
            <w:szCs w:val="22"/>
          </w:rPr>
          <w:noBreakHyphen/>
          <w:delText xml:space="preserve">kezelés megkezdése előtt és a kezelés ideje alatt rendszeresen, a </w:delText>
        </w:r>
        <w:r w:rsidR="00AD347E" w:rsidRPr="00183B5F">
          <w:rPr>
            <w:szCs w:val="22"/>
          </w:rPr>
          <w:delText xml:space="preserve">már </w:delText>
        </w:r>
        <w:r w:rsidR="00372715" w:rsidRPr="00183B5F">
          <w:rPr>
            <w:szCs w:val="22"/>
          </w:rPr>
          <w:delText xml:space="preserve">meglévő vagy kialakuló központi idegrendszeri </w:delText>
        </w:r>
        <w:r w:rsidR="001B6725" w:rsidRPr="00183B5F">
          <w:rPr>
            <w:szCs w:val="22"/>
          </w:rPr>
          <w:delText>demyelinisati</w:delText>
        </w:r>
        <w:r w:rsidR="00372715" w:rsidRPr="00183B5F">
          <w:rPr>
            <w:szCs w:val="22"/>
          </w:rPr>
          <w:delText>ós betegség értékelésére.</w:delText>
        </w:r>
      </w:del>
    </w:p>
    <w:p w14:paraId="0C14E074" w14:textId="6F850CAA" w:rsidR="00FB6710" w:rsidRPr="00183B5F" w:rsidRDefault="00FB6710" w:rsidP="004062FE">
      <w:pPr>
        <w:spacing w:line="240" w:lineRule="auto"/>
        <w:rPr>
          <w:del w:id="4456" w:author="AbbVie_HU_03" w:date="2025-05-14T15:27:00Z"/>
          <w:b/>
          <w:szCs w:val="22"/>
        </w:rPr>
      </w:pPr>
    </w:p>
    <w:p w14:paraId="17F36DAD" w14:textId="6B79CFDA" w:rsidR="00FB6710" w:rsidRPr="00183B5F" w:rsidRDefault="00943743" w:rsidP="004062FE">
      <w:pPr>
        <w:keepNext/>
        <w:spacing w:line="240" w:lineRule="auto"/>
        <w:ind w:left="567" w:hanging="567"/>
        <w:rPr>
          <w:del w:id="4457" w:author="AbbVie_HU_03" w:date="2025-05-14T15:27:00Z"/>
          <w:szCs w:val="22"/>
          <w:u w:val="single"/>
        </w:rPr>
      </w:pPr>
      <w:del w:id="4458" w:author="AbbVie_HU_03" w:date="2025-05-14T15:27:00Z">
        <w:r w:rsidRPr="00183B5F">
          <w:rPr>
            <w:szCs w:val="22"/>
            <w:u w:val="single"/>
          </w:rPr>
          <w:delText>Allergiás reakciók</w:delText>
        </w:r>
      </w:del>
    </w:p>
    <w:p w14:paraId="70C34DC7" w14:textId="3B27DCAD" w:rsidR="00FB6710" w:rsidRPr="00183B5F" w:rsidRDefault="00FB6710" w:rsidP="004062FE">
      <w:pPr>
        <w:keepNext/>
        <w:spacing w:line="240" w:lineRule="auto"/>
        <w:ind w:left="567" w:hanging="567"/>
        <w:rPr>
          <w:del w:id="4459" w:author="AbbVie_HU_03" w:date="2025-05-14T15:27:00Z"/>
          <w:b/>
          <w:szCs w:val="22"/>
        </w:rPr>
      </w:pPr>
    </w:p>
    <w:p w14:paraId="0F8BB386" w14:textId="7A2E36F4" w:rsidR="00FB6710" w:rsidRPr="00183B5F" w:rsidRDefault="00943743" w:rsidP="004062FE">
      <w:pPr>
        <w:keepNext/>
        <w:spacing w:line="240" w:lineRule="auto"/>
        <w:rPr>
          <w:del w:id="4460" w:author="AbbVie_HU_03" w:date="2025-05-14T15:27:00Z"/>
          <w:szCs w:val="22"/>
        </w:rPr>
      </w:pPr>
      <w:del w:id="4461" w:author="AbbVie_HU_03" w:date="2025-05-14T15:27:00Z">
        <w:r w:rsidRPr="00183B5F">
          <w:rPr>
            <w:szCs w:val="22"/>
          </w:rPr>
          <w:delText>A klinikai vizsgálatok során a Humira alkalmazásával összefüggő súlyos allergiás reakciók ritkán fordultak elő. Nem súlyos allergiás reakciók nem gyakran fordultak elő a Humira</w:delText>
        </w:r>
        <w:r w:rsidR="00404A9B" w:rsidRPr="00183B5F">
          <w:rPr>
            <w:szCs w:val="22"/>
          </w:rPr>
          <w:noBreakHyphen/>
        </w:r>
        <w:r w:rsidRPr="00183B5F">
          <w:rPr>
            <w:szCs w:val="22"/>
          </w:rPr>
          <w:delText>val végzett klinikai vizsgálatok során. Humira alkalmazását követően jelentettek súlyos allergiás reakciót, beleértve az anafilaxiát. Ha anafilaxiás vagy más súlyos allergiás reakció előfordulna, a Humira adását azonnal abba kell hagyni, és a megfelelő kezelést kell elkezdeni.</w:delText>
        </w:r>
      </w:del>
    </w:p>
    <w:p w14:paraId="7D72C244" w14:textId="59FF3908" w:rsidR="00FB6710" w:rsidRPr="00183B5F" w:rsidRDefault="00FB6710" w:rsidP="004062FE">
      <w:pPr>
        <w:spacing w:line="240" w:lineRule="auto"/>
        <w:rPr>
          <w:del w:id="4462" w:author="AbbVie_HU_03" w:date="2025-05-14T15:27:00Z"/>
          <w:szCs w:val="22"/>
        </w:rPr>
      </w:pPr>
    </w:p>
    <w:p w14:paraId="36939973" w14:textId="2558ED78" w:rsidR="00FB6710" w:rsidRPr="00183B5F" w:rsidRDefault="00943743" w:rsidP="00FE0197">
      <w:pPr>
        <w:keepNext/>
        <w:spacing w:line="240" w:lineRule="auto"/>
        <w:ind w:left="567" w:hanging="567"/>
        <w:rPr>
          <w:del w:id="4463" w:author="AbbVie_HU_03" w:date="2025-05-14T15:27:00Z"/>
          <w:szCs w:val="22"/>
          <w:u w:val="single"/>
        </w:rPr>
      </w:pPr>
      <w:del w:id="4464" w:author="AbbVie_HU_03" w:date="2025-05-14T15:27:00Z">
        <w:r w:rsidRPr="00183B5F">
          <w:rPr>
            <w:szCs w:val="22"/>
            <w:u w:val="single"/>
          </w:rPr>
          <w:delText>Immunszuppresszió</w:delText>
        </w:r>
      </w:del>
    </w:p>
    <w:p w14:paraId="5772963C" w14:textId="5F9AEB49" w:rsidR="00FB6710" w:rsidRPr="00183B5F" w:rsidRDefault="00FB6710" w:rsidP="00FE0197">
      <w:pPr>
        <w:keepNext/>
        <w:spacing w:line="240" w:lineRule="auto"/>
        <w:ind w:left="567" w:hanging="567"/>
        <w:rPr>
          <w:del w:id="4465" w:author="AbbVie_HU_03" w:date="2025-05-14T15:27:00Z"/>
          <w:b/>
          <w:szCs w:val="22"/>
        </w:rPr>
      </w:pPr>
    </w:p>
    <w:p w14:paraId="61FA643F" w14:textId="52E875FF" w:rsidR="00FB6710" w:rsidRPr="00183B5F" w:rsidRDefault="00943743" w:rsidP="004062FE">
      <w:pPr>
        <w:spacing w:line="240" w:lineRule="auto"/>
        <w:rPr>
          <w:del w:id="4466" w:author="AbbVie_HU_03" w:date="2025-05-14T15:27:00Z"/>
          <w:szCs w:val="22"/>
        </w:rPr>
      </w:pPr>
      <w:del w:id="4467" w:author="AbbVie_HU_03" w:date="2025-05-14T15:27:00Z">
        <w:r w:rsidRPr="00183B5F">
          <w:rPr>
            <w:szCs w:val="22"/>
          </w:rPr>
          <w:delText>Rheumatoid arthritisben szenvedő, Humira</w:delText>
        </w:r>
        <w:r w:rsidR="00404A9B" w:rsidRPr="00183B5F">
          <w:rPr>
            <w:szCs w:val="22"/>
          </w:rPr>
          <w:noBreakHyphen/>
        </w:r>
        <w:r w:rsidRPr="00183B5F">
          <w:rPr>
            <w:szCs w:val="22"/>
          </w:rPr>
          <w:delText>val kezelt 64</w:delText>
        </w:r>
        <w:r w:rsidR="00404A9B" w:rsidRPr="00183B5F">
          <w:rPr>
            <w:szCs w:val="22"/>
          </w:rPr>
          <w:delText> </w:delText>
        </w:r>
        <w:r w:rsidRPr="00183B5F">
          <w:rPr>
            <w:szCs w:val="22"/>
          </w:rPr>
          <w:delText>beteg vizsgálata során nem tapasztaltak csökkent késői típusú hyperszenzitivitási reakciót, alacsonyabb immunglobulin</w:delText>
        </w:r>
        <w:r w:rsidR="001B6725" w:rsidRPr="00183B5F">
          <w:rPr>
            <w:szCs w:val="22"/>
          </w:rPr>
          <w:delText>-</w:delText>
        </w:r>
        <w:r w:rsidRPr="00183B5F">
          <w:rPr>
            <w:szCs w:val="22"/>
          </w:rPr>
          <w:delText>szinteket, illetve nem észleltek változást az effektor</w:delText>
        </w:r>
        <w:r w:rsidRPr="00183B5F">
          <w:rPr>
            <w:szCs w:val="22"/>
          </w:rPr>
          <w:noBreakHyphen/>
          <w:delText>T</w:delText>
        </w:r>
        <w:r w:rsidR="00404A9B" w:rsidRPr="00183B5F">
          <w:rPr>
            <w:szCs w:val="22"/>
          </w:rPr>
          <w:noBreakHyphen/>
        </w:r>
        <w:r w:rsidRPr="00183B5F">
          <w:rPr>
            <w:szCs w:val="22"/>
          </w:rPr>
          <w:delText>,</w:delText>
        </w:r>
        <w:r w:rsidR="00404A9B" w:rsidRPr="00183B5F">
          <w:rPr>
            <w:szCs w:val="22"/>
          </w:rPr>
          <w:delText> </w:delText>
        </w:r>
        <w:r w:rsidRPr="00183B5F">
          <w:rPr>
            <w:szCs w:val="22"/>
          </w:rPr>
          <w:delText>B</w:delText>
        </w:r>
        <w:r w:rsidR="00404A9B" w:rsidRPr="00183B5F">
          <w:rPr>
            <w:szCs w:val="22"/>
          </w:rPr>
          <w:noBreakHyphen/>
        </w:r>
        <w:r w:rsidRPr="00183B5F">
          <w:rPr>
            <w:szCs w:val="22"/>
          </w:rPr>
          <w:delText xml:space="preserve"> és NK</w:delText>
        </w:r>
        <w:r w:rsidRPr="00183B5F">
          <w:rPr>
            <w:szCs w:val="22"/>
          </w:rPr>
          <w:noBreakHyphen/>
          <w:delText>sejtek, monocyták/macrophagok és neutrophilek számában.</w:delText>
        </w:r>
      </w:del>
    </w:p>
    <w:p w14:paraId="5DE4A6AB" w14:textId="3B03A57B" w:rsidR="001934FA" w:rsidRPr="00183B5F" w:rsidRDefault="001934FA" w:rsidP="004062FE">
      <w:pPr>
        <w:spacing w:line="240" w:lineRule="auto"/>
        <w:rPr>
          <w:del w:id="4468" w:author="AbbVie_HU_03" w:date="2025-05-14T15:27:00Z"/>
          <w:szCs w:val="22"/>
        </w:rPr>
      </w:pPr>
    </w:p>
    <w:p w14:paraId="27DAC989" w14:textId="3D7F4878" w:rsidR="00FB6710" w:rsidRPr="00183B5F" w:rsidRDefault="00943743" w:rsidP="004062FE">
      <w:pPr>
        <w:keepNext/>
        <w:spacing w:line="240" w:lineRule="auto"/>
        <w:rPr>
          <w:del w:id="4469" w:author="AbbVie_HU_03" w:date="2025-05-14T15:27:00Z"/>
          <w:szCs w:val="22"/>
          <w:u w:val="single"/>
        </w:rPr>
      </w:pPr>
      <w:del w:id="4470" w:author="AbbVie_HU_03" w:date="2025-05-14T15:27:00Z">
        <w:r w:rsidRPr="00183B5F">
          <w:rPr>
            <w:szCs w:val="22"/>
            <w:u w:val="single"/>
          </w:rPr>
          <w:delText>Malignus és lymphoproliferativ betegségek</w:delText>
        </w:r>
      </w:del>
    </w:p>
    <w:p w14:paraId="0F725754" w14:textId="570C091F" w:rsidR="0029674F" w:rsidRPr="00183B5F" w:rsidRDefault="0029674F" w:rsidP="004062FE">
      <w:pPr>
        <w:keepNext/>
        <w:spacing w:line="240" w:lineRule="auto"/>
        <w:rPr>
          <w:del w:id="4471" w:author="AbbVie_HU_03" w:date="2025-05-14T15:27:00Z"/>
          <w:szCs w:val="22"/>
          <w:u w:val="single"/>
        </w:rPr>
      </w:pPr>
    </w:p>
    <w:p w14:paraId="308CDABA" w14:textId="37F97D39" w:rsidR="00FB6710" w:rsidRPr="00183B5F" w:rsidRDefault="00943743" w:rsidP="004062FE">
      <w:pPr>
        <w:keepNext/>
        <w:spacing w:line="240" w:lineRule="auto"/>
        <w:rPr>
          <w:del w:id="4472" w:author="AbbVie_HU_03" w:date="2025-05-14T15:27:00Z"/>
          <w:szCs w:val="22"/>
        </w:rPr>
      </w:pPr>
      <w:del w:id="4473" w:author="AbbVie_HU_03" w:date="2025-05-14T15:27:00Z">
        <w:r w:rsidRPr="00183B5F">
          <w:rPr>
            <w:szCs w:val="22"/>
          </w:rPr>
          <w:delText xml:space="preserve">A </w:delText>
        </w:r>
        <w:r w:rsidR="00332587" w:rsidRPr="00183B5F">
          <w:rPr>
            <w:szCs w:val="22"/>
          </w:rPr>
          <w:delText>TNF</w:delText>
        </w:r>
        <w:r w:rsidR="00404A9B" w:rsidRPr="00183B5F">
          <w:rPr>
            <w:szCs w:val="22"/>
          </w:rPr>
          <w:noBreakHyphen/>
        </w:r>
        <w:r w:rsidR="00332587" w:rsidRPr="00183B5F">
          <w:rPr>
            <w:szCs w:val="22"/>
          </w:rPr>
          <w:delText>antagonistá</w:delText>
        </w:r>
        <w:r w:rsidRPr="00183B5F">
          <w:rPr>
            <w:szCs w:val="22"/>
          </w:rPr>
          <w:delText xml:space="preserve">kkal végzett klinikai vizsgálatok kontrollos részeiben a </w:delText>
        </w:r>
        <w:r w:rsidR="00332587" w:rsidRPr="00183B5F">
          <w:rPr>
            <w:szCs w:val="22"/>
          </w:rPr>
          <w:delText>TNF</w:delText>
        </w:r>
        <w:r w:rsidR="00404A9B" w:rsidRPr="00183B5F">
          <w:rPr>
            <w:szCs w:val="22"/>
          </w:rPr>
          <w:noBreakHyphen/>
        </w:r>
        <w:r w:rsidR="00332587" w:rsidRPr="00183B5F">
          <w:rPr>
            <w:szCs w:val="22"/>
          </w:rPr>
          <w:delText>antagonistá</w:delText>
        </w:r>
        <w:r w:rsidRPr="00183B5F">
          <w:rPr>
            <w:szCs w:val="22"/>
          </w:rPr>
          <w:delText>t kapott betegek körében nagyobb számban észleltek malignomákat, beleértve a lymphomát, mint a kontro</w:delText>
        </w:r>
        <w:r w:rsidR="0089402C" w:rsidRPr="00183B5F">
          <w:rPr>
            <w:szCs w:val="22"/>
          </w:rPr>
          <w:delText>llcs</w:delText>
        </w:r>
        <w:r w:rsidRPr="00183B5F">
          <w:rPr>
            <w:szCs w:val="22"/>
          </w:rPr>
          <w:delText>oport betegeinél. Ez azonban ritkán fordult elő. Posztmarketing alkalmazás körülményei között TNF</w:delText>
        </w:r>
        <w:r w:rsidR="00404A9B" w:rsidRPr="00183B5F">
          <w:rPr>
            <w:szCs w:val="22"/>
          </w:rPr>
          <w:noBreakHyphen/>
        </w:r>
        <w:r w:rsidRPr="00183B5F">
          <w:rPr>
            <w:szCs w:val="22"/>
          </w:rPr>
          <w:delText>antagonistával kezelt betegek körében leukémi</w:delText>
        </w:r>
        <w:r w:rsidR="001B6725" w:rsidRPr="00183B5F">
          <w:rPr>
            <w:szCs w:val="22"/>
          </w:rPr>
          <w:delText>ás</w:delText>
        </w:r>
        <w:r w:rsidRPr="00183B5F">
          <w:rPr>
            <w:szCs w:val="22"/>
          </w:rPr>
          <w:delText xml:space="preserve"> eseteket jelentettek. A kockázat megítélését nehezíti, hogy a lymphoma és a leukémia háttérkockázata nagyobb olyan rheumatoid arthritisben szenvedő betegeknél, akiknek régóta</w:delText>
        </w:r>
        <w:r w:rsidRPr="00183B5F">
          <w:rPr>
            <w:szCs w:val="22"/>
          </w:rPr>
          <w:delText xml:space="preserve"> fennálló, fokozott aktivitású gyulladásos betegségük van. Jelenlegi ismereteink szerint a </w:delText>
        </w:r>
        <w:r w:rsidR="00332587" w:rsidRPr="00183B5F">
          <w:rPr>
            <w:szCs w:val="22"/>
          </w:rPr>
          <w:delText>TNF</w:delText>
        </w:r>
        <w:r w:rsidR="00404A9B" w:rsidRPr="00183B5F">
          <w:rPr>
            <w:szCs w:val="22"/>
          </w:rPr>
          <w:noBreakHyphen/>
        </w:r>
        <w:r w:rsidR="00332587" w:rsidRPr="00183B5F">
          <w:rPr>
            <w:szCs w:val="22"/>
          </w:rPr>
          <w:delText>antagonistá</w:delText>
        </w:r>
        <w:r w:rsidRPr="00183B5F">
          <w:rPr>
            <w:szCs w:val="22"/>
          </w:rPr>
          <w:delText>kkal kezelt betegeknél a ly</w:delText>
        </w:r>
        <w:r w:rsidR="0062676F" w:rsidRPr="00183B5F">
          <w:rPr>
            <w:szCs w:val="22"/>
          </w:rPr>
          <w:delText>m</w:delText>
        </w:r>
        <w:r w:rsidRPr="00183B5F">
          <w:rPr>
            <w:szCs w:val="22"/>
          </w:rPr>
          <w:delText>phoma</w:delText>
        </w:r>
        <w:r w:rsidR="0062676F" w:rsidRPr="00183B5F">
          <w:rPr>
            <w:szCs w:val="22"/>
          </w:rPr>
          <w:delText>,</w:delText>
        </w:r>
        <w:r w:rsidR="009A3E88" w:rsidRPr="00183B5F">
          <w:rPr>
            <w:szCs w:val="22"/>
          </w:rPr>
          <w:delText xml:space="preserve"> leuk</w:delText>
        </w:r>
        <w:r w:rsidR="00A86F91" w:rsidRPr="00183B5F">
          <w:rPr>
            <w:szCs w:val="22"/>
          </w:rPr>
          <w:delText>ae</w:delText>
        </w:r>
        <w:r w:rsidR="009A3E88" w:rsidRPr="00183B5F">
          <w:rPr>
            <w:szCs w:val="22"/>
          </w:rPr>
          <w:delText>mia</w:delText>
        </w:r>
        <w:r w:rsidRPr="00183B5F">
          <w:rPr>
            <w:szCs w:val="22"/>
          </w:rPr>
          <w:delText xml:space="preserve"> vagy más malignus betegségek kialakulásának lehetséges rizikója nem zárható ki.</w:delText>
        </w:r>
      </w:del>
    </w:p>
    <w:p w14:paraId="26AFE7AA" w14:textId="7945B86A" w:rsidR="00FB6710" w:rsidRPr="00183B5F" w:rsidRDefault="00FB6710" w:rsidP="004062FE">
      <w:pPr>
        <w:spacing w:line="240" w:lineRule="auto"/>
        <w:rPr>
          <w:del w:id="4474" w:author="AbbVie_HU_03" w:date="2025-05-14T15:27:00Z"/>
          <w:szCs w:val="22"/>
        </w:rPr>
      </w:pPr>
    </w:p>
    <w:p w14:paraId="45573348" w14:textId="1236CCAF" w:rsidR="0076277D" w:rsidRPr="00183B5F" w:rsidRDefault="00943743">
      <w:pPr>
        <w:pStyle w:val="EMEANormal"/>
        <w:rPr>
          <w:del w:id="4475" w:author="AbbVie_HU_03" w:date="2025-05-14T15:27:00Z"/>
          <w:szCs w:val="22"/>
          <w:lang w:val="hu-HU"/>
        </w:rPr>
      </w:pPr>
      <w:del w:id="4476" w:author="AbbVie_HU_03" w:date="2025-05-14T15:27:00Z">
        <w:r w:rsidRPr="00183B5F">
          <w:rPr>
            <w:szCs w:val="22"/>
            <w:lang w:val="hu-HU"/>
          </w:rPr>
          <w:delText>A forgalomba hozatalt követő megfigyelés során a TNF</w:delText>
        </w:r>
        <w:r w:rsidRPr="00183B5F">
          <w:rPr>
            <w:szCs w:val="22"/>
            <w:lang w:val="hu-HU"/>
          </w:rPr>
          <w:noBreakHyphen/>
          <w:delText>blokkoló szerekkel, köztük az adalimu</w:delText>
        </w:r>
        <w:r w:rsidR="00516B92" w:rsidRPr="00183B5F">
          <w:rPr>
            <w:szCs w:val="22"/>
            <w:lang w:val="hu-HU"/>
          </w:rPr>
          <w:delText>m</w:delText>
        </w:r>
        <w:r w:rsidRPr="00183B5F">
          <w:rPr>
            <w:szCs w:val="22"/>
            <w:lang w:val="hu-HU"/>
          </w:rPr>
          <w:delText>abbal kezelt (a kezelés megkezdése ≤ 18</w:delText>
        </w:r>
        <w:r w:rsidR="00F0468F" w:rsidRPr="00183B5F">
          <w:rPr>
            <w:szCs w:val="22"/>
            <w:lang w:val="hu-HU"/>
          </w:rPr>
          <w:delText> </w:delText>
        </w:r>
        <w:r w:rsidRPr="00183B5F">
          <w:rPr>
            <w:szCs w:val="22"/>
            <w:lang w:val="hu-HU"/>
          </w:rPr>
          <w:delText>éves életkor) gyermekeknél, serdülőknél és fiatal felnőtteknél (22 éves korig) malignitásokról számoltak be, melyek némelyike végzetes kimenetelű volt. Az esetek mintegy fele lymphoma volt. A többi eset sokféle különböző malignitás volt, köztük ritka malignitások is, amelyek rendszerint immunszuppressz</w:delText>
        </w:r>
        <w:r w:rsidR="00A86F91" w:rsidRPr="00183B5F">
          <w:rPr>
            <w:szCs w:val="22"/>
            <w:lang w:val="hu-HU"/>
          </w:rPr>
          <w:delText>ióhoz társultak</w:delText>
        </w:r>
        <w:r w:rsidRPr="00183B5F">
          <w:rPr>
            <w:szCs w:val="22"/>
            <w:lang w:val="hu-HU"/>
          </w:rPr>
          <w:delText>. A TNF</w:delText>
        </w:r>
        <w:r w:rsidRPr="00183B5F">
          <w:rPr>
            <w:szCs w:val="22"/>
            <w:lang w:val="hu-HU"/>
          </w:rPr>
          <w:noBreakHyphen/>
          <w:delText xml:space="preserve">blokkolókkal kezelt gyermekeknél és serdülőknél a malignitások kialakulásának kockázata nem zárható ki. </w:delText>
        </w:r>
      </w:del>
    </w:p>
    <w:p w14:paraId="3D5738C8" w14:textId="5B570F31" w:rsidR="006C27CE" w:rsidRPr="00183B5F" w:rsidRDefault="006C27CE" w:rsidP="004062FE">
      <w:pPr>
        <w:spacing w:line="240" w:lineRule="auto"/>
        <w:rPr>
          <w:del w:id="4477" w:author="AbbVie_HU_03" w:date="2025-05-14T15:27:00Z"/>
          <w:szCs w:val="22"/>
        </w:rPr>
      </w:pPr>
    </w:p>
    <w:p w14:paraId="562A3283" w14:textId="71485F6D" w:rsidR="00FB6710" w:rsidRPr="00183B5F" w:rsidRDefault="00943743" w:rsidP="004062FE">
      <w:pPr>
        <w:spacing w:line="240" w:lineRule="auto"/>
        <w:rPr>
          <w:del w:id="4478" w:author="AbbVie_HU_03" w:date="2025-05-14T15:27:00Z"/>
          <w:szCs w:val="22"/>
        </w:rPr>
      </w:pPr>
      <w:del w:id="4479" w:author="AbbVie_HU_03" w:date="2025-05-14T15:27:00Z">
        <w:r w:rsidRPr="00183B5F">
          <w:rPr>
            <w:szCs w:val="22"/>
          </w:rPr>
          <w:delText xml:space="preserve">Adalimumabbal kezelt betegeknél a forgalomba hozatalt követően ritkán </w:delText>
        </w:r>
        <w:r w:rsidR="00AA4D42" w:rsidRPr="00183B5F">
          <w:rPr>
            <w:szCs w:val="22"/>
          </w:rPr>
          <w:delText>hepatosplenicus</w:delText>
        </w:r>
        <w:r w:rsidRPr="00183B5F">
          <w:rPr>
            <w:szCs w:val="22"/>
          </w:rPr>
          <w:delText xml:space="preserve"> T</w:delText>
        </w:r>
        <w:r w:rsidR="00404A9B" w:rsidRPr="00183B5F">
          <w:rPr>
            <w:szCs w:val="22"/>
          </w:rPr>
          <w:noBreakHyphen/>
        </w:r>
        <w:r w:rsidRPr="00183B5F">
          <w:rPr>
            <w:szCs w:val="22"/>
          </w:rPr>
          <w:delText>sejtes lymphoma esete</w:delText>
        </w:r>
        <w:r w:rsidR="00C61C07" w:rsidRPr="00183B5F">
          <w:rPr>
            <w:szCs w:val="22"/>
          </w:rPr>
          <w:delText>i</w:delText>
        </w:r>
        <w:r w:rsidRPr="00183B5F">
          <w:rPr>
            <w:szCs w:val="22"/>
          </w:rPr>
          <w:delText>t észlelt</w:delText>
        </w:r>
        <w:r w:rsidR="00C61C07" w:rsidRPr="00183B5F">
          <w:rPr>
            <w:szCs w:val="22"/>
          </w:rPr>
          <w:delText>é</w:delText>
        </w:r>
        <w:r w:rsidRPr="00183B5F">
          <w:rPr>
            <w:szCs w:val="22"/>
          </w:rPr>
          <w:delText>k. A T</w:delText>
        </w:r>
        <w:r w:rsidR="00404A9B" w:rsidRPr="00183B5F">
          <w:rPr>
            <w:szCs w:val="22"/>
          </w:rPr>
          <w:noBreakHyphen/>
        </w:r>
        <w:r w:rsidRPr="00183B5F">
          <w:rPr>
            <w:szCs w:val="22"/>
          </w:rPr>
          <w:delText>sejtes lymphoma e ritkán előforduló típusa nagyon agresszív lefolyású és rendszerint halálos kimenetelű. A Humira</w:delText>
        </w:r>
        <w:r w:rsidR="00404A9B" w:rsidRPr="00183B5F">
          <w:rPr>
            <w:szCs w:val="22"/>
          </w:rPr>
          <w:noBreakHyphen/>
        </w:r>
        <w:r w:rsidRPr="00183B5F">
          <w:rPr>
            <w:szCs w:val="22"/>
          </w:rPr>
          <w:delText xml:space="preserve">kezelés során észlelt </w:delText>
        </w:r>
        <w:r w:rsidR="00AA4D42" w:rsidRPr="00183B5F">
          <w:rPr>
            <w:szCs w:val="22"/>
          </w:rPr>
          <w:delText>hepatosplenicus</w:delText>
        </w:r>
        <w:r w:rsidRPr="00183B5F">
          <w:rPr>
            <w:szCs w:val="22"/>
          </w:rPr>
          <w:delText xml:space="preserve"> T</w:delText>
        </w:r>
        <w:r w:rsidR="00404A9B" w:rsidRPr="00183B5F">
          <w:rPr>
            <w:szCs w:val="22"/>
          </w:rPr>
          <w:noBreakHyphen/>
        </w:r>
        <w:r w:rsidRPr="00183B5F">
          <w:rPr>
            <w:szCs w:val="22"/>
          </w:rPr>
          <w:delText>sejtes lymphoma</w:delText>
        </w:r>
        <w:r w:rsidR="003D6A39" w:rsidRPr="00183B5F">
          <w:rPr>
            <w:szCs w:val="22"/>
          </w:rPr>
          <w:delText>-</w:delText>
        </w:r>
        <w:r w:rsidRPr="00183B5F">
          <w:rPr>
            <w:szCs w:val="22"/>
          </w:rPr>
          <w:delText xml:space="preserve">esetek némelyike olyan fiatal felnőtt betegeknél fordult elő, akiket </w:delText>
        </w:r>
        <w:r w:rsidR="00F80922" w:rsidRPr="00183B5F">
          <w:rPr>
            <w:szCs w:val="22"/>
          </w:rPr>
          <w:delText xml:space="preserve">gyulladásos bélbetegség miatt </w:delText>
        </w:r>
        <w:r w:rsidRPr="00183B5F">
          <w:rPr>
            <w:szCs w:val="22"/>
          </w:rPr>
          <w:delText>egyidejűleg azatioprinnel, illetve 6</w:delText>
        </w:r>
        <w:r w:rsidR="00404A9B" w:rsidRPr="00183B5F">
          <w:rPr>
            <w:szCs w:val="22"/>
          </w:rPr>
          <w:noBreakHyphen/>
        </w:r>
        <w:r w:rsidRPr="00183B5F">
          <w:rPr>
            <w:szCs w:val="22"/>
          </w:rPr>
          <w:delText xml:space="preserve">merkaptopurinnal kezeltek. </w:delText>
        </w:r>
        <w:r w:rsidR="001D39F1" w:rsidRPr="00183B5F">
          <w:rPr>
            <w:szCs w:val="22"/>
          </w:rPr>
          <w:delText>Az azatioprin vagy a 6</w:delText>
        </w:r>
        <w:r w:rsidR="003016B9" w:rsidRPr="00183B5F">
          <w:rPr>
            <w:szCs w:val="22"/>
          </w:rPr>
          <w:noBreakHyphen/>
        </w:r>
        <w:r w:rsidR="001D39F1" w:rsidRPr="00183B5F">
          <w:rPr>
            <w:szCs w:val="22"/>
          </w:rPr>
          <w:delText xml:space="preserve">merkaptopurin </w:delText>
        </w:r>
        <w:r w:rsidR="00D93585" w:rsidRPr="00183B5F">
          <w:rPr>
            <w:szCs w:val="22"/>
          </w:rPr>
          <w:delText>Humira</w:delText>
        </w:r>
        <w:r w:rsidR="00404A9B" w:rsidRPr="00183B5F">
          <w:rPr>
            <w:szCs w:val="22"/>
          </w:rPr>
          <w:noBreakHyphen/>
        </w:r>
        <w:r w:rsidR="00D93585" w:rsidRPr="00183B5F">
          <w:rPr>
            <w:szCs w:val="22"/>
          </w:rPr>
          <w:delText>val</w:delText>
        </w:r>
        <w:r w:rsidR="001D39F1" w:rsidRPr="00183B5F">
          <w:rPr>
            <w:szCs w:val="22"/>
          </w:rPr>
          <w:delText xml:space="preserve"> történő egyidejű adásának </w:delText>
        </w:r>
        <w:r w:rsidR="00575BA2" w:rsidRPr="00183B5F">
          <w:rPr>
            <w:szCs w:val="22"/>
          </w:rPr>
          <w:delText xml:space="preserve">lehetséges </w:delText>
        </w:r>
        <w:r w:rsidR="001D39F1" w:rsidRPr="00183B5F">
          <w:rPr>
            <w:szCs w:val="22"/>
          </w:rPr>
          <w:delText xml:space="preserve">kockázatát alaposan </w:delText>
        </w:r>
        <w:r w:rsidR="00DB0B1A" w:rsidRPr="00183B5F">
          <w:rPr>
            <w:szCs w:val="22"/>
          </w:rPr>
          <w:delText>mérlegelni</w:delText>
        </w:r>
        <w:r w:rsidR="001D39F1" w:rsidRPr="00183B5F">
          <w:rPr>
            <w:szCs w:val="22"/>
          </w:rPr>
          <w:delText xml:space="preserve"> kell. </w:delText>
        </w:r>
        <w:r w:rsidRPr="00183B5F">
          <w:rPr>
            <w:szCs w:val="22"/>
          </w:rPr>
          <w:delText xml:space="preserve">A </w:delText>
        </w:r>
        <w:r w:rsidR="00AA4D42" w:rsidRPr="00183B5F">
          <w:rPr>
            <w:szCs w:val="22"/>
          </w:rPr>
          <w:delText>hepatosplenicus</w:delText>
        </w:r>
        <w:r w:rsidRPr="00183B5F">
          <w:rPr>
            <w:szCs w:val="22"/>
          </w:rPr>
          <w:delText xml:space="preserve"> T</w:delText>
        </w:r>
        <w:r w:rsidR="00404A9B" w:rsidRPr="00183B5F">
          <w:rPr>
            <w:szCs w:val="22"/>
          </w:rPr>
          <w:noBreakHyphen/>
        </w:r>
        <w:r w:rsidRPr="00183B5F">
          <w:rPr>
            <w:szCs w:val="22"/>
          </w:rPr>
          <w:delText xml:space="preserve">sejtes lymphoma kialakulása nem zárható ki a </w:delText>
        </w:r>
        <w:r w:rsidR="00D93585" w:rsidRPr="00183B5F">
          <w:rPr>
            <w:szCs w:val="22"/>
          </w:rPr>
          <w:delText>Humira</w:delText>
        </w:r>
        <w:r w:rsidR="00404A9B" w:rsidRPr="00183B5F">
          <w:rPr>
            <w:szCs w:val="22"/>
          </w:rPr>
          <w:noBreakHyphen/>
        </w:r>
        <w:r w:rsidR="00D93585" w:rsidRPr="00183B5F">
          <w:rPr>
            <w:szCs w:val="22"/>
          </w:rPr>
          <w:delText>val</w:delText>
        </w:r>
        <w:r w:rsidRPr="00183B5F">
          <w:rPr>
            <w:szCs w:val="22"/>
          </w:rPr>
          <w:delText xml:space="preserve"> kezelt betegeknél (lásd 4.8 pont).</w:delText>
        </w:r>
      </w:del>
    </w:p>
    <w:p w14:paraId="2BE0ADF9" w14:textId="0081B9EF" w:rsidR="00023595" w:rsidRPr="00183B5F" w:rsidRDefault="00023595" w:rsidP="004062FE">
      <w:pPr>
        <w:spacing w:line="240" w:lineRule="auto"/>
        <w:rPr>
          <w:del w:id="4480" w:author="AbbVie_HU_03" w:date="2025-05-14T15:27:00Z"/>
          <w:szCs w:val="22"/>
        </w:rPr>
      </w:pPr>
    </w:p>
    <w:p w14:paraId="657EEFE3" w14:textId="5B8F139B" w:rsidR="00FB6710" w:rsidRPr="00183B5F" w:rsidRDefault="00943743" w:rsidP="004062FE">
      <w:pPr>
        <w:spacing w:line="240" w:lineRule="auto"/>
        <w:rPr>
          <w:del w:id="4481" w:author="AbbVie_HU_03" w:date="2025-05-14T15:27:00Z"/>
          <w:szCs w:val="22"/>
        </w:rPr>
      </w:pPr>
      <w:del w:id="4482" w:author="AbbVie_HU_03" w:date="2025-05-14T15:27:00Z">
        <w:r w:rsidRPr="00183B5F">
          <w:rPr>
            <w:szCs w:val="22"/>
          </w:rPr>
          <w:delText>Ezidáig nem végeztek vizsgálatokat olyan betegek bevonásával, akiknek kórtörténetében malignitás szerepelt, vagy akiknél a Humira</w:delText>
        </w:r>
        <w:r w:rsidR="009F1031" w:rsidRPr="00183B5F">
          <w:rPr>
            <w:szCs w:val="22"/>
          </w:rPr>
          <w:noBreakHyphen/>
        </w:r>
        <w:r w:rsidRPr="00183B5F">
          <w:rPr>
            <w:szCs w:val="22"/>
          </w:rPr>
          <w:delText>kezelést malignitás kialakulását követően is folytatták. Ezért ezen betegek Humira</w:delText>
        </w:r>
        <w:r w:rsidR="009F1031" w:rsidRPr="00183B5F">
          <w:rPr>
            <w:szCs w:val="22"/>
          </w:rPr>
          <w:noBreakHyphen/>
        </w:r>
        <w:r w:rsidRPr="00183B5F">
          <w:rPr>
            <w:szCs w:val="22"/>
          </w:rPr>
          <w:delText>kezelésbe való bevonásának mérlegelésekor fokozott elővigyázatosság szükséges (lásd 4.8 pont).</w:delText>
        </w:r>
      </w:del>
    </w:p>
    <w:p w14:paraId="51C5CDC7" w14:textId="1AEFF84E" w:rsidR="0013172E" w:rsidRPr="00183B5F" w:rsidRDefault="0013172E" w:rsidP="004062FE">
      <w:pPr>
        <w:spacing w:line="240" w:lineRule="auto"/>
        <w:rPr>
          <w:del w:id="4483" w:author="AbbVie_HU_03" w:date="2025-05-14T15:27:00Z"/>
          <w:szCs w:val="22"/>
        </w:rPr>
      </w:pPr>
    </w:p>
    <w:p w14:paraId="2C741DDE" w14:textId="309E8DFF" w:rsidR="003F0E52" w:rsidRPr="00183B5F" w:rsidRDefault="00943743" w:rsidP="004062FE">
      <w:pPr>
        <w:spacing w:line="240" w:lineRule="auto"/>
        <w:rPr>
          <w:del w:id="4484" w:author="AbbVie_HU_03" w:date="2025-05-14T15:27:00Z"/>
          <w:szCs w:val="22"/>
        </w:rPr>
      </w:pPr>
      <w:del w:id="4485" w:author="AbbVie_HU_03" w:date="2025-05-14T15:27:00Z">
        <w:r w:rsidRPr="00183B5F">
          <w:rPr>
            <w:szCs w:val="22"/>
          </w:rPr>
          <w:delText>Minden betegnél, de főként azoknál, akiknek az anamnézisében extenzív immunszuppresszív kezelés szerepel, illetve olyan psoriasisos betegeknél, akik PU</w:delText>
        </w:r>
        <w:r w:rsidR="00935581" w:rsidRPr="00183B5F">
          <w:rPr>
            <w:szCs w:val="22"/>
          </w:rPr>
          <w:delText>V</w:delText>
        </w:r>
        <w:r w:rsidRPr="00183B5F">
          <w:rPr>
            <w:szCs w:val="22"/>
          </w:rPr>
          <w:delText>A</w:delText>
        </w:r>
        <w:r w:rsidR="009F1031" w:rsidRPr="00183B5F">
          <w:rPr>
            <w:szCs w:val="22"/>
          </w:rPr>
          <w:noBreakHyphen/>
        </w:r>
        <w:r w:rsidRPr="00183B5F">
          <w:rPr>
            <w:szCs w:val="22"/>
          </w:rPr>
          <w:delText>kezelést kaptak, a Humira</w:delText>
        </w:r>
        <w:r w:rsidR="009F1031" w:rsidRPr="00183B5F">
          <w:rPr>
            <w:szCs w:val="22"/>
          </w:rPr>
          <w:noBreakHyphen/>
        </w:r>
        <w:r w:rsidRPr="00183B5F">
          <w:rPr>
            <w:szCs w:val="22"/>
          </w:rPr>
          <w:delText>kezelés kezdete előtt és az alatt vizsgálni kell a nem melanomás bőrrák előfordulását.</w:delText>
        </w:r>
        <w:r w:rsidR="00910679" w:rsidRPr="00183B5F">
          <w:rPr>
            <w:szCs w:val="22"/>
          </w:rPr>
          <w:delText xml:space="preserve"> </w:delText>
        </w:r>
        <w:r w:rsidRPr="00183B5F">
          <w:rPr>
            <w:szCs w:val="22"/>
          </w:rPr>
          <w:delText>Melanoma és Merkel</w:delText>
        </w:r>
        <w:r w:rsidR="009F1031" w:rsidRPr="00183B5F">
          <w:rPr>
            <w:szCs w:val="22"/>
          </w:rPr>
          <w:noBreakHyphen/>
        </w:r>
        <w:r w:rsidRPr="00183B5F">
          <w:rPr>
            <w:szCs w:val="22"/>
          </w:rPr>
          <w:delText>sejtes carcinoma előfordulásáról is beszámoltak TNF</w:delText>
        </w:r>
        <w:r w:rsidR="009F1031" w:rsidRPr="00183B5F">
          <w:rPr>
            <w:szCs w:val="22"/>
          </w:rPr>
          <w:noBreakHyphen/>
        </w:r>
        <w:r w:rsidRPr="00183B5F">
          <w:rPr>
            <w:szCs w:val="22"/>
          </w:rPr>
          <w:delText>antagonistával kezelt betegeknél, beleértve az adalimumabot (lásd 4.8</w:delText>
        </w:r>
        <w:r w:rsidR="008A4AFA" w:rsidRPr="00183B5F">
          <w:rPr>
            <w:szCs w:val="22"/>
          </w:rPr>
          <w:delText> </w:delText>
        </w:r>
        <w:r w:rsidRPr="00183B5F">
          <w:rPr>
            <w:szCs w:val="22"/>
          </w:rPr>
          <w:delText>pont).</w:delText>
        </w:r>
      </w:del>
    </w:p>
    <w:p w14:paraId="7DAA8791" w14:textId="4DBA3997" w:rsidR="003F0E52" w:rsidRPr="00183B5F" w:rsidRDefault="003F0E52" w:rsidP="004062FE">
      <w:pPr>
        <w:spacing w:line="240" w:lineRule="auto"/>
        <w:rPr>
          <w:del w:id="4486" w:author="AbbVie_HU_03" w:date="2025-05-14T15:27:00Z"/>
          <w:szCs w:val="22"/>
        </w:rPr>
      </w:pPr>
    </w:p>
    <w:p w14:paraId="121FAF2E" w14:textId="1DFFA002" w:rsidR="00FB6710" w:rsidRPr="00183B5F" w:rsidRDefault="00943743" w:rsidP="004062FE">
      <w:pPr>
        <w:spacing w:line="240" w:lineRule="auto"/>
        <w:rPr>
          <w:del w:id="4487" w:author="AbbVie_HU_03" w:date="2025-05-14T15:27:00Z"/>
          <w:szCs w:val="22"/>
        </w:rPr>
      </w:pPr>
      <w:del w:id="4488" w:author="AbbVie_HU_03" w:date="2025-05-14T15:27:00Z">
        <w:r w:rsidRPr="00183B5F">
          <w:rPr>
            <w:szCs w:val="22"/>
          </w:rPr>
          <w:delText>Egy másik TNF</w:delText>
        </w:r>
        <w:r w:rsidR="009F1031" w:rsidRPr="00183B5F">
          <w:rPr>
            <w:szCs w:val="22"/>
          </w:rPr>
          <w:noBreakHyphen/>
        </w:r>
        <w:r w:rsidR="003016B9" w:rsidRPr="00183B5F">
          <w:rPr>
            <w:szCs w:val="22"/>
          </w:rPr>
          <w:delText>antagonista</w:delText>
        </w:r>
        <w:r w:rsidRPr="00183B5F">
          <w:rPr>
            <w:szCs w:val="22"/>
          </w:rPr>
          <w:delText>, az infliximab hatásait köz</w:delText>
        </w:r>
        <w:r w:rsidR="00DA33F0" w:rsidRPr="00183B5F">
          <w:rPr>
            <w:szCs w:val="22"/>
          </w:rPr>
          <w:delText xml:space="preserve">epesen </w:delText>
        </w:r>
        <w:r w:rsidRPr="00183B5F">
          <w:rPr>
            <w:szCs w:val="22"/>
          </w:rPr>
          <w:delText xml:space="preserve">súlyos-súlyos idült obstruktív tüdőbetegségben (COPD) értékelték egy </w:delText>
        </w:r>
        <w:r w:rsidR="00935581" w:rsidRPr="00183B5F">
          <w:rPr>
            <w:szCs w:val="22"/>
          </w:rPr>
          <w:delText>fel</w:delText>
        </w:r>
        <w:r w:rsidR="00023595" w:rsidRPr="00183B5F">
          <w:rPr>
            <w:szCs w:val="22"/>
          </w:rPr>
          <w:delText>táró</w:delText>
        </w:r>
        <w:r w:rsidR="00935581" w:rsidRPr="00183B5F">
          <w:rPr>
            <w:szCs w:val="22"/>
          </w:rPr>
          <w:delText xml:space="preserve"> </w:delText>
        </w:r>
        <w:r w:rsidRPr="00183B5F">
          <w:rPr>
            <w:szCs w:val="22"/>
          </w:rPr>
          <w:delText>klinikai vizsgálattal. Az infliximabbal kezelt betegeken több rosszindulatú (javarészt tüdő-, fej-, vagy nyaki) daganatot észleltek, mint a kontro</w:delText>
        </w:r>
        <w:r w:rsidR="0089402C" w:rsidRPr="00183B5F">
          <w:rPr>
            <w:szCs w:val="22"/>
          </w:rPr>
          <w:delText>llcs</w:delText>
        </w:r>
        <w:r w:rsidRPr="00183B5F">
          <w:rPr>
            <w:szCs w:val="22"/>
          </w:rPr>
          <w:delText>oportban. A kórelőzmény alapján mindegyik beteg erős dohányos volt. Ennélfogva, COPD</w:delText>
        </w:r>
        <w:r w:rsidR="009F1031" w:rsidRPr="00183B5F">
          <w:rPr>
            <w:szCs w:val="22"/>
          </w:rPr>
          <w:noBreakHyphen/>
        </w:r>
        <w:r w:rsidR="007C581D" w:rsidRPr="00183B5F">
          <w:rPr>
            <w:szCs w:val="22"/>
          </w:rPr>
          <w:delText xml:space="preserve">ben </w:delText>
        </w:r>
        <w:r w:rsidRPr="00183B5F">
          <w:rPr>
            <w:szCs w:val="22"/>
          </w:rPr>
          <w:delText>szenvedő, valamint az erős dohányzás miatt rosszindulatú daganat kialakulása szempontjából fokozottan veszélyeztetett betegeken körültekintően kell alkalmazni a TNF</w:delText>
        </w:r>
        <w:r w:rsidR="009F1031" w:rsidRPr="00183B5F">
          <w:rPr>
            <w:szCs w:val="22"/>
          </w:rPr>
          <w:noBreakHyphen/>
        </w:r>
        <w:r w:rsidRPr="00183B5F">
          <w:rPr>
            <w:szCs w:val="22"/>
          </w:rPr>
          <w:delText>antagonistákat.</w:delText>
        </w:r>
      </w:del>
    </w:p>
    <w:p w14:paraId="64902198" w14:textId="72AA1C4E" w:rsidR="00F80922" w:rsidRPr="00183B5F" w:rsidRDefault="00F80922" w:rsidP="004062FE">
      <w:pPr>
        <w:spacing w:line="240" w:lineRule="auto"/>
        <w:rPr>
          <w:del w:id="4489" w:author="AbbVie_HU_03" w:date="2025-05-14T15:27:00Z"/>
          <w:szCs w:val="22"/>
        </w:rPr>
      </w:pPr>
    </w:p>
    <w:p w14:paraId="0865B2AB" w14:textId="755F8564" w:rsidR="00FB6710" w:rsidRPr="00183B5F" w:rsidRDefault="00943743" w:rsidP="004062FE">
      <w:pPr>
        <w:spacing w:line="240" w:lineRule="auto"/>
        <w:rPr>
          <w:del w:id="4490" w:author="AbbVie_HU_03" w:date="2025-05-14T15:27:00Z"/>
          <w:szCs w:val="22"/>
        </w:rPr>
      </w:pPr>
      <w:del w:id="4491" w:author="AbbVie_HU_03" w:date="2025-05-14T15:27:00Z">
        <w:r w:rsidRPr="00183B5F">
          <w:rPr>
            <w:szCs w:val="22"/>
          </w:rPr>
          <w:delText>A rendelkezésre álló adatok alapján nem ismert, hogy az adalimumab</w:delText>
        </w:r>
        <w:r w:rsidR="00636DFE" w:rsidRPr="00183B5F">
          <w:rPr>
            <w:szCs w:val="22"/>
          </w:rPr>
          <w:noBreakHyphen/>
        </w:r>
        <w:r w:rsidRPr="00183B5F">
          <w:rPr>
            <w:szCs w:val="22"/>
          </w:rPr>
          <w:delText xml:space="preserve">kezelés befolyásolja-e </w:delText>
        </w:r>
        <w:r w:rsidR="00636DFE" w:rsidRPr="00183B5F">
          <w:rPr>
            <w:szCs w:val="22"/>
          </w:rPr>
          <w:delText xml:space="preserve">a </w:delText>
        </w:r>
        <w:r w:rsidRPr="00183B5F">
          <w:rPr>
            <w:szCs w:val="22"/>
          </w:rPr>
          <w:delText xml:space="preserve">dysplasia vagy </w:delText>
        </w:r>
        <w:r w:rsidR="00636DFE" w:rsidRPr="00183B5F">
          <w:rPr>
            <w:szCs w:val="22"/>
          </w:rPr>
          <w:delText xml:space="preserve">a </w:delText>
        </w:r>
        <w:r w:rsidRPr="00183B5F">
          <w:rPr>
            <w:szCs w:val="22"/>
          </w:rPr>
          <w:delText>vastagbél</w:delText>
        </w:r>
        <w:r w:rsidR="00636DFE" w:rsidRPr="00183B5F">
          <w:rPr>
            <w:szCs w:val="22"/>
          </w:rPr>
          <w:delText>rák</w:delText>
        </w:r>
        <w:r w:rsidRPr="00183B5F">
          <w:rPr>
            <w:szCs w:val="22"/>
          </w:rPr>
          <w:delText xml:space="preserve"> kialakulásának kockázatát. A kezelés megkezdése előtt és a betegség teljes lefolyása alatt </w:delText>
        </w:r>
        <w:r w:rsidR="00482968" w:rsidRPr="00183B5F">
          <w:rPr>
            <w:szCs w:val="22"/>
          </w:rPr>
          <w:delText>azo</w:delText>
        </w:r>
        <w:r w:rsidR="00636DFE" w:rsidRPr="00183B5F">
          <w:rPr>
            <w:szCs w:val="22"/>
          </w:rPr>
          <w:delText>kat a</w:delText>
        </w:r>
        <w:r w:rsidRPr="00183B5F">
          <w:rPr>
            <w:szCs w:val="22"/>
          </w:rPr>
          <w:delText xml:space="preserve"> colitis ulcerosában szenvedő betegeket, akiknél dysplasia vagy vastagbél</w:delText>
        </w:r>
        <w:r w:rsidR="00636DFE" w:rsidRPr="00183B5F">
          <w:rPr>
            <w:szCs w:val="22"/>
          </w:rPr>
          <w:delText>rák</w:delText>
        </w:r>
        <w:r w:rsidRPr="00183B5F">
          <w:rPr>
            <w:szCs w:val="22"/>
          </w:rPr>
          <w:delText xml:space="preserve"> kialakulásának </w:delText>
        </w:r>
        <w:r w:rsidR="00482968" w:rsidRPr="00183B5F">
          <w:rPr>
            <w:szCs w:val="22"/>
          </w:rPr>
          <w:delText xml:space="preserve">fokozott </w:delText>
        </w:r>
        <w:r w:rsidRPr="00183B5F">
          <w:rPr>
            <w:szCs w:val="22"/>
          </w:rPr>
          <w:delText>kockázata</w:delText>
        </w:r>
        <w:r w:rsidR="00482968" w:rsidRPr="00183B5F">
          <w:rPr>
            <w:szCs w:val="22"/>
          </w:rPr>
          <w:delText xml:space="preserve"> áll fenn</w:delText>
        </w:r>
        <w:r w:rsidRPr="00183B5F">
          <w:rPr>
            <w:szCs w:val="22"/>
          </w:rPr>
          <w:delText xml:space="preserve"> (pl. hosszan fennálló colitis ulcerosában vagy primer cholangitis</w:delText>
        </w:r>
        <w:r w:rsidR="00B56AD7" w:rsidRPr="00183B5F">
          <w:rPr>
            <w:szCs w:val="22"/>
          </w:rPr>
          <w:delText xml:space="preserve"> sclerotisans</w:delText>
        </w:r>
        <w:r w:rsidRPr="00183B5F">
          <w:rPr>
            <w:szCs w:val="22"/>
          </w:rPr>
          <w:delText>b</w:delText>
        </w:r>
        <w:r w:rsidR="00B56AD7" w:rsidRPr="00183B5F">
          <w:rPr>
            <w:szCs w:val="22"/>
          </w:rPr>
          <w:delText>a</w:delText>
        </w:r>
        <w:r w:rsidRPr="00183B5F">
          <w:rPr>
            <w:szCs w:val="22"/>
          </w:rPr>
          <w:delText>n szenvedő betegeknél) vagy akik</w:delText>
        </w:r>
        <w:r w:rsidR="00482968" w:rsidRPr="00183B5F">
          <w:rPr>
            <w:szCs w:val="22"/>
          </w:rPr>
          <w:delText>nek</w:delText>
        </w:r>
        <w:r w:rsidRPr="00183B5F">
          <w:rPr>
            <w:szCs w:val="22"/>
          </w:rPr>
          <w:delText xml:space="preserve"> </w:delText>
        </w:r>
        <w:r w:rsidR="00B56AD7" w:rsidRPr="00183B5F">
          <w:rPr>
            <w:szCs w:val="22"/>
          </w:rPr>
          <w:delText xml:space="preserve">az </w:delText>
        </w:r>
        <w:r w:rsidRPr="00183B5F">
          <w:rPr>
            <w:szCs w:val="22"/>
          </w:rPr>
          <w:delText>anamnézisében dysplasia vagy vastagbél</w:delText>
        </w:r>
        <w:r w:rsidR="00B56AD7" w:rsidRPr="00183B5F">
          <w:rPr>
            <w:szCs w:val="22"/>
          </w:rPr>
          <w:delText>rák</w:delText>
        </w:r>
        <w:r w:rsidRPr="00183B5F">
          <w:rPr>
            <w:szCs w:val="22"/>
          </w:rPr>
          <w:delText xml:space="preserve"> szerepel, rendszeresen szűrni kell dysplasia irányában. A szűrővizsgálat során kolonoszkópiát és szövettani mintavételt is kell végezni a helyi ajánlásoknak megfelelően.</w:delText>
        </w:r>
      </w:del>
    </w:p>
    <w:p w14:paraId="4083F38F" w14:textId="6C8D5386" w:rsidR="00F80922" w:rsidRPr="00183B5F" w:rsidRDefault="00F80922" w:rsidP="004062FE">
      <w:pPr>
        <w:spacing w:line="240" w:lineRule="auto"/>
        <w:rPr>
          <w:del w:id="4492" w:author="AbbVie_HU_03" w:date="2025-05-14T15:27:00Z"/>
          <w:szCs w:val="22"/>
          <w:u w:val="single"/>
        </w:rPr>
      </w:pPr>
    </w:p>
    <w:p w14:paraId="21237996" w14:textId="597FCBDA" w:rsidR="00FB6710" w:rsidRPr="00183B5F" w:rsidRDefault="00943743" w:rsidP="004062FE">
      <w:pPr>
        <w:keepNext/>
        <w:spacing w:line="240" w:lineRule="auto"/>
        <w:rPr>
          <w:del w:id="4493" w:author="AbbVie_HU_03" w:date="2025-05-14T15:27:00Z"/>
          <w:szCs w:val="22"/>
          <w:u w:val="single"/>
        </w:rPr>
      </w:pPr>
      <w:del w:id="4494" w:author="AbbVie_HU_03" w:date="2025-05-14T15:27:00Z">
        <w:r w:rsidRPr="00183B5F">
          <w:rPr>
            <w:szCs w:val="22"/>
            <w:u w:val="single"/>
          </w:rPr>
          <w:delText>Hematológiai reakciók</w:delText>
        </w:r>
      </w:del>
    </w:p>
    <w:p w14:paraId="68FC31A7" w14:textId="16BC593E" w:rsidR="00FB6710" w:rsidRPr="00183B5F" w:rsidRDefault="00FB6710" w:rsidP="004062FE">
      <w:pPr>
        <w:keepNext/>
        <w:spacing w:line="240" w:lineRule="auto"/>
        <w:rPr>
          <w:del w:id="4495" w:author="AbbVie_HU_03" w:date="2025-05-14T15:27:00Z"/>
          <w:szCs w:val="22"/>
        </w:rPr>
      </w:pPr>
    </w:p>
    <w:p w14:paraId="2E09BC6B" w14:textId="5DFA3C7A" w:rsidR="00FB6710" w:rsidRPr="00183B5F" w:rsidRDefault="00943743" w:rsidP="004062FE">
      <w:pPr>
        <w:keepNext/>
        <w:spacing w:line="240" w:lineRule="auto"/>
        <w:rPr>
          <w:del w:id="4496" w:author="AbbVie_HU_03" w:date="2025-05-14T15:27:00Z"/>
          <w:szCs w:val="22"/>
        </w:rPr>
      </w:pPr>
      <w:del w:id="4497" w:author="AbbVie_HU_03" w:date="2025-05-14T15:27:00Z">
        <w:r w:rsidRPr="00183B5F">
          <w:rPr>
            <w:szCs w:val="22"/>
          </w:rPr>
          <w:delText>TNF</w:delText>
        </w:r>
        <w:r w:rsidR="009F1031" w:rsidRPr="00183B5F">
          <w:rPr>
            <w:szCs w:val="22"/>
          </w:rPr>
          <w:noBreakHyphen/>
        </w:r>
        <w:r w:rsidRPr="00183B5F">
          <w:rPr>
            <w:szCs w:val="22"/>
          </w:rPr>
          <w:delText>antagonist</w:delText>
        </w:r>
        <w:r w:rsidR="009F1031" w:rsidRPr="00183B5F">
          <w:rPr>
            <w:szCs w:val="22"/>
          </w:rPr>
          <w:delText>a</w:delText>
        </w:r>
        <w:r w:rsidRPr="00183B5F">
          <w:rPr>
            <w:szCs w:val="22"/>
          </w:rPr>
          <w:delText xml:space="preserve"> szerek használata kapcsán ritkán pancytopeniáról számoltak be, beleértve az aplasticus anaemiát is. A Humira kapcsán hematológiai mellékhatásokról, köztük klinikailag jelentős cytopeniáról (pl. thrombocytopenia, leukopenia) számoltak be. Minden betegnél javasolt az azonnali orvosi felügyelet, amennyiben Humira</w:delText>
        </w:r>
        <w:r w:rsidR="009F1031" w:rsidRPr="00183B5F">
          <w:rPr>
            <w:szCs w:val="22"/>
          </w:rPr>
          <w:noBreakHyphen/>
        </w:r>
        <w:r w:rsidRPr="00183B5F">
          <w:rPr>
            <w:szCs w:val="22"/>
          </w:rPr>
          <w:delText>kezelés alatt a vérképváltozásra utaló jelek és tünetek jelentkeznek (pl. állandósult láz, véraláfutások, vérzés, sápadtság). A Humira</w:delText>
        </w:r>
        <w:r w:rsidR="009F1031" w:rsidRPr="00183B5F">
          <w:rPr>
            <w:szCs w:val="22"/>
          </w:rPr>
          <w:noBreakHyphen/>
        </w:r>
        <w:r w:rsidRPr="00183B5F">
          <w:rPr>
            <w:szCs w:val="22"/>
          </w:rPr>
          <w:delText>kezelés megszakítását fontolóra kell venni, ha a bet</w:delText>
        </w:r>
        <w:r w:rsidRPr="00183B5F">
          <w:rPr>
            <w:szCs w:val="22"/>
          </w:rPr>
          <w:delText>egnél igazolt, jelentős hematológiai eltérések vannak.</w:delText>
        </w:r>
      </w:del>
    </w:p>
    <w:p w14:paraId="468E2C2A" w14:textId="63EF04DC" w:rsidR="00152D39" w:rsidRPr="00183B5F" w:rsidRDefault="00152D39" w:rsidP="004062FE">
      <w:pPr>
        <w:spacing w:line="240" w:lineRule="auto"/>
        <w:rPr>
          <w:del w:id="4498" w:author="AbbVie_HU_03" w:date="2025-05-14T15:27:00Z"/>
          <w:szCs w:val="22"/>
        </w:rPr>
      </w:pPr>
    </w:p>
    <w:p w14:paraId="5741122F" w14:textId="353024F0" w:rsidR="00FB6710" w:rsidRPr="00183B5F" w:rsidRDefault="00943743" w:rsidP="004062FE">
      <w:pPr>
        <w:keepNext/>
        <w:spacing w:line="240" w:lineRule="auto"/>
        <w:rPr>
          <w:del w:id="4499" w:author="AbbVie_HU_03" w:date="2025-05-14T15:27:00Z"/>
          <w:szCs w:val="22"/>
          <w:u w:val="single"/>
        </w:rPr>
      </w:pPr>
      <w:del w:id="4500" w:author="AbbVie_HU_03" w:date="2025-05-14T15:27:00Z">
        <w:r w:rsidRPr="00183B5F">
          <w:rPr>
            <w:szCs w:val="22"/>
            <w:u w:val="single"/>
          </w:rPr>
          <w:delText>Védőoltások</w:delText>
        </w:r>
      </w:del>
    </w:p>
    <w:p w14:paraId="7663877D" w14:textId="1305D7D8" w:rsidR="00FB6710" w:rsidRPr="00183B5F" w:rsidRDefault="00FB6710" w:rsidP="004062FE">
      <w:pPr>
        <w:keepNext/>
        <w:spacing w:line="240" w:lineRule="auto"/>
        <w:ind w:left="567" w:hanging="567"/>
        <w:rPr>
          <w:del w:id="4501" w:author="AbbVie_HU_03" w:date="2025-05-14T15:27:00Z"/>
          <w:b/>
          <w:szCs w:val="22"/>
        </w:rPr>
      </w:pPr>
    </w:p>
    <w:p w14:paraId="6351AE42" w14:textId="44424F29" w:rsidR="00FB6710" w:rsidRPr="00183B5F" w:rsidRDefault="00943743" w:rsidP="004062FE">
      <w:pPr>
        <w:keepNext/>
        <w:spacing w:line="240" w:lineRule="auto"/>
        <w:rPr>
          <w:del w:id="4502" w:author="AbbVie_HU_03" w:date="2025-05-14T15:27:00Z"/>
          <w:bCs/>
          <w:szCs w:val="22"/>
        </w:rPr>
      </w:pPr>
      <w:del w:id="4503" w:author="AbbVie_HU_03" w:date="2025-05-14T15:27:00Z">
        <w:r w:rsidRPr="00183B5F">
          <w:rPr>
            <w:szCs w:val="22"/>
          </w:rPr>
          <w:delText>Egy vizsgálat 226</w:delText>
        </w:r>
        <w:r w:rsidR="009F1031" w:rsidRPr="00183B5F">
          <w:rPr>
            <w:szCs w:val="22"/>
          </w:rPr>
          <w:delText> </w:delText>
        </w:r>
        <w:r w:rsidRPr="00183B5F">
          <w:rPr>
            <w:szCs w:val="22"/>
          </w:rPr>
          <w:delText xml:space="preserve">rheumatoid arthritises, adalimumabbal vagy placebóval kezelt résztvevőjén hasonló antitestválaszt figyeltek meg a </w:delText>
        </w:r>
        <w:r w:rsidRPr="00183B5F">
          <w:rPr>
            <w:i/>
            <w:szCs w:val="22"/>
          </w:rPr>
          <w:delText>Pneumococcus</w:delText>
        </w:r>
        <w:r w:rsidR="00F0468F" w:rsidRPr="00183B5F">
          <w:rPr>
            <w:szCs w:val="22"/>
          </w:rPr>
          <w:delText> </w:delText>
        </w:r>
        <w:r w:rsidRPr="00183B5F">
          <w:rPr>
            <w:szCs w:val="22"/>
          </w:rPr>
          <w:delText>23</w:delText>
        </w:r>
        <w:r w:rsidR="00F0468F" w:rsidRPr="00183B5F">
          <w:rPr>
            <w:szCs w:val="22"/>
          </w:rPr>
          <w:delText xml:space="preserve"> </w:delText>
        </w:r>
        <w:r w:rsidRPr="00183B5F">
          <w:rPr>
            <w:szCs w:val="22"/>
          </w:rPr>
          <w:delText>szerotípusát tartalmazó standard oltóanyaggal</w:delText>
        </w:r>
        <w:r w:rsidRPr="00183B5F">
          <w:rPr>
            <w:bCs/>
            <w:szCs w:val="22"/>
          </w:rPr>
          <w:delText>, valamint a trivalens influenzavírus</w:delText>
        </w:r>
        <w:r w:rsidR="003B4347" w:rsidRPr="00183B5F">
          <w:rPr>
            <w:bCs/>
            <w:szCs w:val="22"/>
          </w:rPr>
          <w:delText>-</w:delText>
        </w:r>
        <w:r w:rsidRPr="00183B5F">
          <w:rPr>
            <w:bCs/>
            <w:szCs w:val="22"/>
          </w:rPr>
          <w:delText>vakcinával szemben. Nincs adat arról, hogy Humira</w:delText>
        </w:r>
        <w:r w:rsidR="009F1031" w:rsidRPr="00183B5F">
          <w:rPr>
            <w:bCs/>
            <w:szCs w:val="22"/>
          </w:rPr>
          <w:noBreakHyphen/>
        </w:r>
        <w:r w:rsidRPr="00183B5F">
          <w:rPr>
            <w:bCs/>
            <w:szCs w:val="22"/>
          </w:rPr>
          <w:delText xml:space="preserve">val kezelt betegek élő kórokozót tartalmazó vakcinával végzett védőoltása esetén bekövetkezhet-e a fertőzés másodlagos transzmissziója. </w:delText>
        </w:r>
      </w:del>
    </w:p>
    <w:p w14:paraId="4F9710E3" w14:textId="3EE3A4B2" w:rsidR="00FB6710" w:rsidRPr="00183B5F" w:rsidRDefault="00FB6710" w:rsidP="004062FE">
      <w:pPr>
        <w:spacing w:line="240" w:lineRule="auto"/>
        <w:rPr>
          <w:del w:id="4504" w:author="AbbVie_HU_03" w:date="2025-05-14T15:27:00Z"/>
          <w:bCs/>
          <w:szCs w:val="22"/>
        </w:rPr>
      </w:pPr>
    </w:p>
    <w:p w14:paraId="716FB86B" w14:textId="107625E1" w:rsidR="00FB6710" w:rsidRPr="00183B5F" w:rsidRDefault="00943743" w:rsidP="004062FE">
      <w:pPr>
        <w:autoSpaceDE w:val="0"/>
        <w:autoSpaceDN w:val="0"/>
        <w:adjustRightInd w:val="0"/>
        <w:spacing w:line="240" w:lineRule="auto"/>
        <w:rPr>
          <w:del w:id="4505" w:author="AbbVie_HU_03" w:date="2025-05-14T15:27:00Z"/>
          <w:szCs w:val="22"/>
        </w:rPr>
      </w:pPr>
      <w:del w:id="4506" w:author="AbbVie_HU_03" w:date="2025-05-14T15:27:00Z">
        <w:r w:rsidRPr="00183B5F">
          <w:rPr>
            <w:szCs w:val="22"/>
          </w:rPr>
          <w:delText>Ajánlott, hogy</w:delText>
        </w:r>
        <w:r w:rsidR="00626979" w:rsidRPr="00183B5F">
          <w:rPr>
            <w:szCs w:val="22"/>
          </w:rPr>
          <w:delText xml:space="preserve"> – </w:delText>
        </w:r>
        <w:r w:rsidRPr="00183B5F">
          <w:rPr>
            <w:szCs w:val="22"/>
          </w:rPr>
          <w:delText>ha lehetséges</w:delText>
        </w:r>
        <w:r w:rsidR="00626979" w:rsidRPr="00183B5F">
          <w:rPr>
            <w:szCs w:val="22"/>
          </w:rPr>
          <w:delText xml:space="preserve"> –</w:delText>
        </w:r>
        <w:r w:rsidRPr="00183B5F">
          <w:rPr>
            <w:szCs w:val="22"/>
          </w:rPr>
          <w:delText xml:space="preserve"> a </w:delText>
        </w:r>
        <w:r w:rsidR="00CB73C8" w:rsidRPr="00183B5F">
          <w:rPr>
            <w:szCs w:val="22"/>
          </w:rPr>
          <w:delText>gyermekeknél és serdülőknél</w:delText>
        </w:r>
        <w:r w:rsidRPr="00183B5F">
          <w:rPr>
            <w:szCs w:val="22"/>
          </w:rPr>
          <w:delText xml:space="preserve"> a Humira</w:delText>
        </w:r>
        <w:r w:rsidR="009F1031" w:rsidRPr="00183B5F">
          <w:rPr>
            <w:szCs w:val="22"/>
          </w:rPr>
          <w:noBreakHyphen/>
        </w:r>
        <w:r w:rsidRPr="00183B5F">
          <w:rPr>
            <w:szCs w:val="22"/>
          </w:rPr>
          <w:delText xml:space="preserve">kezelés megkezdése előtt adjanak be minden védőoltást a hatályos védőoltási irányelvek alapján. </w:delText>
        </w:r>
      </w:del>
    </w:p>
    <w:p w14:paraId="6602C68C" w14:textId="1F97F252" w:rsidR="00FB6710" w:rsidRPr="00183B5F" w:rsidRDefault="00FB6710" w:rsidP="004062FE">
      <w:pPr>
        <w:spacing w:line="240" w:lineRule="auto"/>
        <w:rPr>
          <w:del w:id="4507" w:author="AbbVie_HU_03" w:date="2025-05-14T15:27:00Z"/>
          <w:bCs/>
          <w:szCs w:val="22"/>
        </w:rPr>
      </w:pPr>
    </w:p>
    <w:p w14:paraId="1387D56F" w14:textId="162826FA" w:rsidR="00FB6710" w:rsidRPr="00183B5F" w:rsidRDefault="00943743" w:rsidP="004062FE">
      <w:pPr>
        <w:spacing w:line="240" w:lineRule="auto"/>
        <w:rPr>
          <w:del w:id="4508" w:author="AbbVie_HU_03" w:date="2025-05-14T15:27:00Z"/>
          <w:bCs/>
          <w:szCs w:val="22"/>
        </w:rPr>
      </w:pPr>
      <w:del w:id="4509" w:author="AbbVie_HU_03" w:date="2025-05-14T15:27:00Z">
        <w:r w:rsidRPr="00183B5F">
          <w:rPr>
            <w:bCs/>
            <w:szCs w:val="22"/>
          </w:rPr>
          <w:delText>A Humira</w:delText>
        </w:r>
        <w:r w:rsidR="009F1031" w:rsidRPr="00183B5F">
          <w:rPr>
            <w:bCs/>
            <w:szCs w:val="22"/>
          </w:rPr>
          <w:noBreakHyphen/>
        </w:r>
        <w:r w:rsidRPr="00183B5F">
          <w:rPr>
            <w:bCs/>
            <w:szCs w:val="22"/>
          </w:rPr>
          <w:delText>val kezelt betegeknek – élő kórokozót tartalmazó vakcinák kivételével – adható egyidejűleg védőoltás.</w:delText>
        </w:r>
        <w:r w:rsidR="00782A56" w:rsidRPr="00183B5F">
          <w:rPr>
            <w:bCs/>
            <w:szCs w:val="22"/>
          </w:rPr>
          <w:delText xml:space="preserve"> </w:delText>
        </w:r>
        <w:r w:rsidR="007D0455" w:rsidRPr="00183B5F">
          <w:rPr>
            <w:bCs/>
            <w:szCs w:val="22"/>
          </w:rPr>
          <w:delText>Az anya terhesség alatti utolsó adalimumab</w:delText>
        </w:r>
        <w:r w:rsidR="00626979" w:rsidRPr="00183B5F">
          <w:rPr>
            <w:bCs/>
            <w:szCs w:val="22"/>
          </w:rPr>
          <w:delText>-</w:delText>
        </w:r>
        <w:r w:rsidR="007D0455" w:rsidRPr="00183B5F">
          <w:rPr>
            <w:bCs/>
            <w:szCs w:val="22"/>
          </w:rPr>
          <w:delText>injekciójától számított 5</w:delText>
        </w:r>
        <w:r w:rsidR="009F1031" w:rsidRPr="00183B5F">
          <w:rPr>
            <w:bCs/>
            <w:szCs w:val="22"/>
          </w:rPr>
          <w:delText> </w:delText>
        </w:r>
        <w:r w:rsidR="007D0455" w:rsidRPr="00183B5F">
          <w:rPr>
            <w:bCs/>
            <w:szCs w:val="22"/>
          </w:rPr>
          <w:delText xml:space="preserve">hónapig nem javasolt az olyan csecsemők élő kórokozót tartalmazó vakcinával </w:delText>
        </w:r>
        <w:r w:rsidR="0089718B" w:rsidRPr="00183B5F">
          <w:rPr>
            <w:bCs/>
            <w:szCs w:val="22"/>
          </w:rPr>
          <w:delText>(pl. BCG</w:delText>
        </w:r>
        <w:r w:rsidR="00626979" w:rsidRPr="00183B5F">
          <w:rPr>
            <w:bCs/>
            <w:szCs w:val="22"/>
          </w:rPr>
          <w:delText>-</w:delText>
        </w:r>
        <w:r w:rsidR="0089718B" w:rsidRPr="00183B5F">
          <w:rPr>
            <w:bCs/>
            <w:szCs w:val="22"/>
          </w:rPr>
          <w:delText xml:space="preserve">vakcinával) </w:delText>
        </w:r>
        <w:r w:rsidR="007D0455" w:rsidRPr="00183B5F">
          <w:rPr>
            <w:bCs/>
            <w:szCs w:val="22"/>
          </w:rPr>
          <w:delText xml:space="preserve">való oltása, akik </w:delText>
        </w:r>
        <w:r w:rsidR="007D0455" w:rsidRPr="00183B5F">
          <w:rPr>
            <w:bCs/>
            <w:i/>
            <w:szCs w:val="22"/>
          </w:rPr>
          <w:delText>in utero</w:delText>
        </w:r>
        <w:r w:rsidR="007D0455" w:rsidRPr="00183B5F">
          <w:rPr>
            <w:bCs/>
            <w:szCs w:val="22"/>
          </w:rPr>
          <w:delText xml:space="preserve"> adalimumab hatásának voltak kitéve.</w:delText>
        </w:r>
      </w:del>
    </w:p>
    <w:p w14:paraId="5D13BE5E" w14:textId="1D6C0A0E" w:rsidR="00F631D7" w:rsidRPr="00183B5F" w:rsidRDefault="00F631D7" w:rsidP="004062FE">
      <w:pPr>
        <w:spacing w:line="240" w:lineRule="auto"/>
        <w:rPr>
          <w:del w:id="4510" w:author="AbbVie_HU_03" w:date="2025-05-14T15:27:00Z"/>
          <w:b/>
          <w:szCs w:val="22"/>
        </w:rPr>
      </w:pPr>
    </w:p>
    <w:p w14:paraId="597AFB15" w14:textId="79CEA4A1" w:rsidR="00FB6710" w:rsidRPr="00183B5F" w:rsidRDefault="00943743" w:rsidP="004062FE">
      <w:pPr>
        <w:keepNext/>
        <w:spacing w:line="240" w:lineRule="auto"/>
        <w:ind w:left="567" w:hanging="567"/>
        <w:rPr>
          <w:del w:id="4511" w:author="AbbVie_HU_03" w:date="2025-05-14T15:27:00Z"/>
          <w:szCs w:val="22"/>
          <w:u w:val="single"/>
        </w:rPr>
      </w:pPr>
      <w:del w:id="4512" w:author="AbbVie_HU_03" w:date="2025-05-14T15:27:00Z">
        <w:r w:rsidRPr="00183B5F">
          <w:rPr>
            <w:szCs w:val="22"/>
            <w:u w:val="single"/>
          </w:rPr>
          <w:delText>Pangásos szívelégtelenség</w:delText>
        </w:r>
      </w:del>
    </w:p>
    <w:p w14:paraId="5DFF33C9" w14:textId="078EB525" w:rsidR="00FB6710" w:rsidRPr="00183B5F" w:rsidRDefault="00FB6710" w:rsidP="004062FE">
      <w:pPr>
        <w:keepNext/>
        <w:spacing w:line="240" w:lineRule="auto"/>
        <w:ind w:left="567" w:hanging="567"/>
        <w:rPr>
          <w:del w:id="4513" w:author="AbbVie_HU_03" w:date="2025-05-14T15:27:00Z"/>
          <w:b/>
          <w:szCs w:val="22"/>
        </w:rPr>
      </w:pPr>
    </w:p>
    <w:p w14:paraId="22729A16" w14:textId="54CD6250" w:rsidR="00FB6710" w:rsidRPr="00183B5F" w:rsidRDefault="00943743" w:rsidP="004062FE">
      <w:pPr>
        <w:spacing w:line="240" w:lineRule="auto"/>
        <w:rPr>
          <w:del w:id="4514" w:author="AbbVie_HU_03" w:date="2025-05-14T15:27:00Z"/>
          <w:szCs w:val="22"/>
        </w:rPr>
      </w:pPr>
      <w:del w:id="4515" w:author="AbbVie_HU_03" w:date="2025-05-14T15:27:00Z">
        <w:r w:rsidRPr="00183B5F">
          <w:rPr>
            <w:szCs w:val="22"/>
          </w:rPr>
          <w:delText>Egy másik TNF</w:delText>
        </w:r>
        <w:r w:rsidR="009F1031" w:rsidRPr="00183B5F">
          <w:rPr>
            <w:szCs w:val="22"/>
          </w:rPr>
          <w:noBreakHyphen/>
        </w:r>
        <w:r w:rsidRPr="00183B5F">
          <w:rPr>
            <w:szCs w:val="22"/>
          </w:rPr>
          <w:delText>antagonistával végzett klinikai vizsgálat során a pangásos szívelégtelenség súlyosbodását</w:delText>
        </w:r>
        <w:r w:rsidR="00626979" w:rsidRPr="00183B5F">
          <w:rPr>
            <w:szCs w:val="22"/>
          </w:rPr>
          <w:delText>,</w:delText>
        </w:r>
        <w:r w:rsidRPr="00183B5F">
          <w:rPr>
            <w:szCs w:val="22"/>
          </w:rPr>
          <w:delText xml:space="preserve"> illetve a pangásos szívelégtelenséggel összefüggésben levő halálesetek számának növekedését tapasztalták. A pangásos szívelégtelenség súlyosbodásáról szintén beszámoltak Humira</w:delText>
        </w:r>
        <w:r w:rsidR="009F1031" w:rsidRPr="00183B5F">
          <w:rPr>
            <w:szCs w:val="22"/>
          </w:rPr>
          <w:noBreakHyphen/>
        </w:r>
        <w:r w:rsidRPr="00183B5F">
          <w:rPr>
            <w:szCs w:val="22"/>
          </w:rPr>
          <w:delText>val kezelt betegeknél. A Humira</w:delText>
        </w:r>
        <w:r w:rsidR="009F1031" w:rsidRPr="00183B5F">
          <w:rPr>
            <w:szCs w:val="22"/>
          </w:rPr>
          <w:noBreakHyphen/>
        </w:r>
        <w:r w:rsidRPr="00183B5F">
          <w:rPr>
            <w:szCs w:val="22"/>
          </w:rPr>
          <w:delText>t csak fokozott óvatossággal szabad használni enyhe szívelégtelenségben (NYHA</w:delText>
        </w:r>
        <w:r w:rsidR="001836E7" w:rsidRPr="00183B5F">
          <w:rPr>
            <w:szCs w:val="22"/>
          </w:rPr>
          <w:delText> </w:delText>
        </w:r>
        <w:r w:rsidRPr="00183B5F">
          <w:rPr>
            <w:szCs w:val="22"/>
          </w:rPr>
          <w:delText>I/II</w:delText>
        </w:r>
        <w:r w:rsidR="00935581" w:rsidRPr="00183B5F">
          <w:rPr>
            <w:szCs w:val="22"/>
          </w:rPr>
          <w:delText xml:space="preserve"> stádium</w:delText>
        </w:r>
        <w:r w:rsidRPr="00183B5F">
          <w:rPr>
            <w:szCs w:val="22"/>
          </w:rPr>
          <w:delText>) szenvedők kezelésére. A Humira kontraindikált a köz</w:delText>
        </w:r>
        <w:r w:rsidR="00DA33F0" w:rsidRPr="00183B5F">
          <w:rPr>
            <w:szCs w:val="22"/>
          </w:rPr>
          <w:delText xml:space="preserve">epesen </w:delText>
        </w:r>
        <w:r w:rsidRPr="00183B5F">
          <w:rPr>
            <w:szCs w:val="22"/>
          </w:rPr>
          <w:delText>súlyos</w:delText>
        </w:r>
        <w:r w:rsidR="00DA33F0" w:rsidRPr="00183B5F">
          <w:rPr>
            <w:szCs w:val="22"/>
          </w:rPr>
          <w:delText xml:space="preserve"> </w:delText>
        </w:r>
        <w:r w:rsidR="002C1F5C" w:rsidRPr="00183B5F">
          <w:rPr>
            <w:szCs w:val="22"/>
          </w:rPr>
          <w:delText>–</w:delText>
        </w:r>
        <w:r w:rsidR="00DA33F0" w:rsidRPr="00183B5F">
          <w:rPr>
            <w:szCs w:val="22"/>
          </w:rPr>
          <w:delText xml:space="preserve"> </w:delText>
        </w:r>
        <w:r w:rsidRPr="00183B5F">
          <w:rPr>
            <w:szCs w:val="22"/>
          </w:rPr>
          <w:delText xml:space="preserve">súlyos szívelégtelenség eseteiben (lásd 4.3 pont). A </w:delText>
        </w:r>
        <w:r w:rsidRPr="00183B5F">
          <w:rPr>
            <w:szCs w:val="22"/>
          </w:rPr>
          <w:delText>Humira</w:delText>
        </w:r>
        <w:r w:rsidR="009F1031" w:rsidRPr="00183B5F">
          <w:rPr>
            <w:szCs w:val="22"/>
          </w:rPr>
          <w:noBreakHyphen/>
        </w:r>
        <w:r w:rsidRPr="00183B5F">
          <w:rPr>
            <w:szCs w:val="22"/>
          </w:rPr>
          <w:delText>kezelést fel kell függeszteni minden olyan beteg esetében, akinél a pangásos szívelégtelenség rosszabbodása, illetve új tünet megjelenése tapasztalható.</w:delText>
        </w:r>
      </w:del>
    </w:p>
    <w:p w14:paraId="218DFF55" w14:textId="6641873A" w:rsidR="00DB26C6" w:rsidRPr="00183B5F" w:rsidRDefault="00DB26C6" w:rsidP="004062FE">
      <w:pPr>
        <w:spacing w:line="240" w:lineRule="auto"/>
        <w:rPr>
          <w:del w:id="4516" w:author="AbbVie_HU_03" w:date="2025-05-14T15:27:00Z"/>
          <w:szCs w:val="22"/>
        </w:rPr>
      </w:pPr>
    </w:p>
    <w:p w14:paraId="5F892257" w14:textId="0CE100AA" w:rsidR="00FB6710" w:rsidRPr="00183B5F" w:rsidRDefault="00943743" w:rsidP="00DA33F0">
      <w:pPr>
        <w:keepNext/>
        <w:spacing w:line="240" w:lineRule="auto"/>
        <w:rPr>
          <w:del w:id="4517" w:author="AbbVie_HU_03" w:date="2025-05-14T15:27:00Z"/>
          <w:szCs w:val="22"/>
          <w:u w:val="single"/>
        </w:rPr>
      </w:pPr>
      <w:del w:id="4518" w:author="AbbVie_HU_03" w:date="2025-05-14T15:27:00Z">
        <w:r w:rsidRPr="00183B5F">
          <w:rPr>
            <w:szCs w:val="22"/>
            <w:u w:val="single"/>
          </w:rPr>
          <w:delText>Autoimmun folyamatok</w:delText>
        </w:r>
      </w:del>
    </w:p>
    <w:p w14:paraId="2AF741DE" w14:textId="2EE3449D" w:rsidR="00FB6710" w:rsidRPr="00183B5F" w:rsidRDefault="00FB6710" w:rsidP="00DA33F0">
      <w:pPr>
        <w:keepNext/>
        <w:spacing w:line="240" w:lineRule="auto"/>
        <w:rPr>
          <w:del w:id="4519" w:author="AbbVie_HU_03" w:date="2025-05-14T15:27:00Z"/>
          <w:szCs w:val="22"/>
        </w:rPr>
      </w:pPr>
    </w:p>
    <w:p w14:paraId="6AA6A874" w14:textId="4828E815" w:rsidR="00FB6710" w:rsidRPr="00183B5F" w:rsidRDefault="00943743" w:rsidP="004062FE">
      <w:pPr>
        <w:spacing w:line="240" w:lineRule="auto"/>
        <w:rPr>
          <w:del w:id="4520" w:author="AbbVie_HU_03" w:date="2025-05-14T15:27:00Z"/>
          <w:szCs w:val="22"/>
        </w:rPr>
      </w:pPr>
      <w:del w:id="4521" w:author="AbbVie_HU_03" w:date="2025-05-14T15:27:00Z">
        <w:r w:rsidRPr="00183B5F">
          <w:rPr>
            <w:szCs w:val="22"/>
          </w:rPr>
          <w:delText>A Humira</w:delText>
        </w:r>
        <w:r w:rsidR="009F1031" w:rsidRPr="00183B5F">
          <w:rPr>
            <w:szCs w:val="22"/>
          </w:rPr>
          <w:noBreakHyphen/>
        </w:r>
        <w:r w:rsidRPr="00183B5F">
          <w:rPr>
            <w:szCs w:val="22"/>
          </w:rPr>
          <w:delText>val való kezelés során autoantitestek képződése előfordulhat. A Humira hosszú</w:delText>
        </w:r>
        <w:r w:rsidR="00516B92" w:rsidRPr="00183B5F">
          <w:rPr>
            <w:szCs w:val="22"/>
          </w:rPr>
          <w:delText xml:space="preserve"> </w:delText>
        </w:r>
        <w:r w:rsidRPr="00183B5F">
          <w:rPr>
            <w:szCs w:val="22"/>
          </w:rPr>
          <w:delText>távú hatása az autoimmun betegségek kialakulására nem ismert. Ha a Humira alkalmazása után lupus-szerű szindrómára utaló tünetek jelentkeznek, továbbá kettős szálú DNS elleni antitestek jelennek meg, akkor nem szabad folytatni a Humira adását (lásd</w:delText>
        </w:r>
        <w:r w:rsidRPr="00183B5F">
          <w:rPr>
            <w:i/>
            <w:iCs/>
            <w:szCs w:val="22"/>
          </w:rPr>
          <w:delText xml:space="preserve"> </w:delText>
        </w:r>
        <w:r w:rsidRPr="00183B5F">
          <w:rPr>
            <w:szCs w:val="22"/>
          </w:rPr>
          <w:delText>4.8 pont).</w:delText>
        </w:r>
      </w:del>
    </w:p>
    <w:p w14:paraId="16995CEF" w14:textId="645C3F4D" w:rsidR="00FB6710" w:rsidRPr="00183B5F" w:rsidRDefault="00FB6710" w:rsidP="004062FE">
      <w:pPr>
        <w:pStyle w:val="EndnoteText"/>
        <w:tabs>
          <w:tab w:val="clear" w:pos="567"/>
        </w:tabs>
        <w:suppressAutoHyphens/>
        <w:rPr>
          <w:del w:id="4522" w:author="AbbVie_HU_03" w:date="2025-05-14T15:27:00Z"/>
          <w:sz w:val="22"/>
          <w:szCs w:val="22"/>
          <w:lang w:val="hu-HU" w:eastAsia="hu-HU"/>
        </w:rPr>
      </w:pPr>
    </w:p>
    <w:p w14:paraId="148EFACB" w14:textId="61628432" w:rsidR="00FB6710" w:rsidRPr="00183B5F" w:rsidRDefault="00943743" w:rsidP="004062FE">
      <w:pPr>
        <w:spacing w:line="240" w:lineRule="auto"/>
        <w:rPr>
          <w:del w:id="4523" w:author="AbbVie_HU_03" w:date="2025-05-14T15:27:00Z"/>
          <w:szCs w:val="22"/>
          <w:u w:val="single"/>
        </w:rPr>
      </w:pPr>
      <w:del w:id="4524" w:author="AbbVie_HU_03" w:date="2025-05-14T15:27:00Z">
        <w:r w:rsidRPr="00183B5F">
          <w:rPr>
            <w:szCs w:val="22"/>
            <w:u w:val="single"/>
          </w:rPr>
          <w:delText xml:space="preserve">Biológiai </w:delText>
        </w:r>
        <w:r w:rsidR="00C3228E" w:rsidRPr="00183B5F">
          <w:rPr>
            <w:szCs w:val="22"/>
            <w:u w:val="single"/>
          </w:rPr>
          <w:delText>reumaellenes betegségmódosító gyógyszerek (</w:delText>
        </w:r>
        <w:r w:rsidRPr="00183B5F">
          <w:rPr>
            <w:szCs w:val="22"/>
            <w:u w:val="single"/>
          </w:rPr>
          <w:delText>DMARD</w:delText>
        </w:r>
        <w:r w:rsidR="00273A88" w:rsidRPr="00183B5F">
          <w:rPr>
            <w:szCs w:val="22"/>
            <w:u w:val="single"/>
          </w:rPr>
          <w:noBreakHyphen/>
        </w:r>
        <w:r w:rsidR="00C3228E" w:rsidRPr="00183B5F">
          <w:rPr>
            <w:szCs w:val="22"/>
            <w:u w:val="single"/>
          </w:rPr>
          <w:delText>ok)</w:delText>
        </w:r>
        <w:r w:rsidRPr="00183B5F">
          <w:rPr>
            <w:szCs w:val="22"/>
            <w:u w:val="single"/>
          </w:rPr>
          <w:delText xml:space="preserve"> </w:delText>
        </w:r>
        <w:r w:rsidR="00933782" w:rsidRPr="00183B5F">
          <w:rPr>
            <w:szCs w:val="22"/>
            <w:u w:val="single"/>
          </w:rPr>
          <w:delText xml:space="preserve">vagy </w:delText>
        </w:r>
        <w:r w:rsidRPr="00183B5F">
          <w:rPr>
            <w:szCs w:val="22"/>
            <w:u w:val="single"/>
          </w:rPr>
          <w:delText>TNF</w:delText>
        </w:r>
        <w:r w:rsidRPr="00183B5F">
          <w:rPr>
            <w:szCs w:val="22"/>
            <w:u w:val="single"/>
          </w:rPr>
          <w:noBreakHyphen/>
          <w:delText>antagonisták együttadása</w:delText>
        </w:r>
      </w:del>
    </w:p>
    <w:p w14:paraId="4C37F98A" w14:textId="1B7653CC" w:rsidR="00FB6710" w:rsidRPr="00183B5F" w:rsidRDefault="00FB6710" w:rsidP="004062FE">
      <w:pPr>
        <w:spacing w:line="240" w:lineRule="auto"/>
        <w:rPr>
          <w:del w:id="4525" w:author="AbbVie_HU_03" w:date="2025-05-14T15:27:00Z"/>
          <w:szCs w:val="22"/>
        </w:rPr>
      </w:pPr>
    </w:p>
    <w:p w14:paraId="1A6CFB07" w14:textId="7CEA3C32" w:rsidR="00430EFA" w:rsidRPr="00183B5F" w:rsidRDefault="00943743" w:rsidP="004062FE">
      <w:pPr>
        <w:spacing w:line="240" w:lineRule="auto"/>
        <w:rPr>
          <w:del w:id="4526" w:author="AbbVie_HU_03" w:date="2025-05-14T15:27:00Z"/>
          <w:szCs w:val="22"/>
        </w:rPr>
      </w:pPr>
      <w:del w:id="4527" w:author="AbbVie_HU_03" w:date="2025-05-14T15:27:00Z">
        <w:r w:rsidRPr="00183B5F">
          <w:rPr>
            <w:szCs w:val="22"/>
          </w:rPr>
          <w:delText>Klinikai vizsgálatokban súlyos fertőzéseket tapasztaltak előnyösebb klinikai hatás nélkül anakinra és egy másik TNF</w:delText>
        </w:r>
        <w:r w:rsidR="00273A88" w:rsidRPr="00183B5F">
          <w:rPr>
            <w:szCs w:val="22"/>
          </w:rPr>
          <w:noBreakHyphen/>
        </w:r>
        <w:r w:rsidRPr="00183B5F">
          <w:rPr>
            <w:szCs w:val="22"/>
          </w:rPr>
          <w:delText xml:space="preserve">antagonista, az etanercept együttes adásakor, amennyiben a kombinált kezelés hatását az önmagában adagolt etanercept hatásával hasonlították össze. </w:delText>
        </w:r>
        <w:r w:rsidR="009B6893" w:rsidRPr="00183B5F">
          <w:rPr>
            <w:szCs w:val="22"/>
          </w:rPr>
          <w:delText>Az etanercepttel és anakinrával végzett kombinációs kezelésnél észlelt mellékhatások természete miatt hasonló toxicitás várható az anakinra és más TNF</w:delText>
        </w:r>
        <w:r w:rsidR="009B6893" w:rsidRPr="00183B5F">
          <w:rPr>
            <w:szCs w:val="22"/>
          </w:rPr>
          <w:noBreakHyphen/>
          <w:delText>antagonista kombinációjánál is. Ezért az adalimumab és anakinra kombinációjának alkalmazása nem javasolt (lásd 4.5 pont).</w:delText>
        </w:r>
      </w:del>
    </w:p>
    <w:p w14:paraId="61E6F17D" w14:textId="4114548F" w:rsidR="00FB6710" w:rsidRPr="00183B5F" w:rsidRDefault="00FB6710" w:rsidP="004062FE">
      <w:pPr>
        <w:spacing w:line="240" w:lineRule="auto"/>
        <w:rPr>
          <w:del w:id="4528" w:author="AbbVie_HU_03" w:date="2025-05-14T15:27:00Z"/>
          <w:szCs w:val="22"/>
          <w:u w:val="single"/>
        </w:rPr>
      </w:pPr>
    </w:p>
    <w:p w14:paraId="73CB4038" w14:textId="6CFCC445" w:rsidR="00FB6710" w:rsidRPr="00183B5F" w:rsidRDefault="00943743" w:rsidP="004062FE">
      <w:pPr>
        <w:spacing w:line="240" w:lineRule="auto"/>
        <w:rPr>
          <w:del w:id="4529" w:author="AbbVie_HU_03" w:date="2025-05-14T15:27:00Z"/>
          <w:szCs w:val="22"/>
        </w:rPr>
      </w:pPr>
      <w:del w:id="4530" w:author="AbbVie_HU_03" w:date="2025-05-14T15:27:00Z">
        <w:r w:rsidRPr="00183B5F">
          <w:rPr>
            <w:szCs w:val="22"/>
          </w:rPr>
          <w:delText xml:space="preserve">Az adalimumab és egyéb biológiai </w:delText>
        </w:r>
        <w:r w:rsidR="0024384A" w:rsidRPr="00183B5F">
          <w:rPr>
            <w:szCs w:val="22"/>
          </w:rPr>
          <w:delText xml:space="preserve">betegségmódosító reumaellenes gyógyszerek </w:delText>
        </w:r>
        <w:r w:rsidRPr="00183B5F">
          <w:rPr>
            <w:szCs w:val="22"/>
          </w:rPr>
          <w:delText>(pl. anakinra és abatacept) vagy egyéb TNF</w:delText>
        </w:r>
        <w:r w:rsidR="00273A88" w:rsidRPr="00183B5F">
          <w:rPr>
            <w:szCs w:val="22"/>
          </w:rPr>
          <w:noBreakHyphen/>
        </w:r>
        <w:r w:rsidRPr="00183B5F">
          <w:rPr>
            <w:szCs w:val="22"/>
          </w:rPr>
          <w:delText xml:space="preserve">antagonisták egyidejű alkalmazása nem javasolt a fertőzések </w:delText>
        </w:r>
        <w:r w:rsidR="009B6893" w:rsidRPr="00183B5F">
          <w:rPr>
            <w:szCs w:val="22"/>
          </w:rPr>
          <w:delText>–</w:delText>
        </w:r>
        <w:r w:rsidR="0024384A" w:rsidRPr="00183B5F">
          <w:rPr>
            <w:szCs w:val="22"/>
          </w:rPr>
          <w:delText xml:space="preserve"> </w:delText>
        </w:r>
        <w:r w:rsidRPr="00183B5F">
          <w:rPr>
            <w:szCs w:val="22"/>
          </w:rPr>
          <w:delText xml:space="preserve">köztük súlyos fertőzések </w:delText>
        </w:r>
        <w:r w:rsidR="009B6893" w:rsidRPr="00183B5F">
          <w:rPr>
            <w:szCs w:val="22"/>
          </w:rPr>
          <w:delText>–</w:delText>
        </w:r>
        <w:r w:rsidR="0024384A" w:rsidRPr="00183B5F">
          <w:rPr>
            <w:szCs w:val="22"/>
          </w:rPr>
          <w:delText xml:space="preserve"> </w:delText>
        </w:r>
        <w:r w:rsidRPr="00183B5F">
          <w:rPr>
            <w:szCs w:val="22"/>
          </w:rPr>
          <w:delText xml:space="preserve">lehetséges fokozott kockázata és egyéb </w:delText>
        </w:r>
        <w:r w:rsidR="0024384A" w:rsidRPr="00183B5F">
          <w:rPr>
            <w:szCs w:val="22"/>
          </w:rPr>
          <w:delText>potenciális</w:delText>
        </w:r>
        <w:r w:rsidRPr="00183B5F">
          <w:rPr>
            <w:szCs w:val="22"/>
          </w:rPr>
          <w:delText xml:space="preserve"> gyógyszerkölcsönhatások miatt. (lásd 4.5 pont).</w:delText>
        </w:r>
      </w:del>
    </w:p>
    <w:p w14:paraId="576B8F31" w14:textId="380289FF" w:rsidR="00FB6710" w:rsidRPr="00183B5F" w:rsidRDefault="00FB6710" w:rsidP="004062FE">
      <w:pPr>
        <w:spacing w:line="240" w:lineRule="auto"/>
        <w:rPr>
          <w:del w:id="4531" w:author="AbbVie_HU_03" w:date="2025-05-14T15:27:00Z"/>
          <w:szCs w:val="22"/>
        </w:rPr>
      </w:pPr>
    </w:p>
    <w:p w14:paraId="5461258A" w14:textId="1F798EA7" w:rsidR="00FB6710" w:rsidRPr="00183B5F" w:rsidRDefault="00943743" w:rsidP="004062FE">
      <w:pPr>
        <w:spacing w:line="240" w:lineRule="auto"/>
        <w:rPr>
          <w:del w:id="4532" w:author="AbbVie_HU_03" w:date="2025-05-14T15:27:00Z"/>
          <w:szCs w:val="22"/>
          <w:u w:val="single"/>
        </w:rPr>
      </w:pPr>
      <w:del w:id="4533" w:author="AbbVie_HU_03" w:date="2025-05-14T15:27:00Z">
        <w:r w:rsidRPr="00183B5F">
          <w:rPr>
            <w:szCs w:val="22"/>
            <w:u w:val="single"/>
          </w:rPr>
          <w:delText>Sebészet</w:delText>
        </w:r>
      </w:del>
    </w:p>
    <w:p w14:paraId="2DE9F7B3" w14:textId="15625C49" w:rsidR="001934FA" w:rsidRPr="00183B5F" w:rsidRDefault="001934FA" w:rsidP="004062FE">
      <w:pPr>
        <w:spacing w:line="240" w:lineRule="auto"/>
        <w:rPr>
          <w:del w:id="4534" w:author="AbbVie_HU_03" w:date="2025-05-14T15:27:00Z"/>
          <w:szCs w:val="22"/>
          <w:u w:val="single"/>
        </w:rPr>
      </w:pPr>
    </w:p>
    <w:p w14:paraId="03D05C55" w14:textId="4ECA0CF7" w:rsidR="00FB6710" w:rsidRPr="00183B5F" w:rsidRDefault="00943743" w:rsidP="004062FE">
      <w:pPr>
        <w:spacing w:line="240" w:lineRule="auto"/>
        <w:rPr>
          <w:del w:id="4535" w:author="AbbVie_HU_03" w:date="2025-05-14T15:27:00Z"/>
          <w:szCs w:val="22"/>
          <w:u w:val="single"/>
        </w:rPr>
      </w:pPr>
      <w:del w:id="4536" w:author="AbbVie_HU_03" w:date="2025-05-14T15:27:00Z">
        <w:r w:rsidRPr="00183B5F">
          <w:rPr>
            <w:szCs w:val="22"/>
          </w:rPr>
          <w:delText>Sebészeti beavatkozások során Humira</w:delText>
        </w:r>
        <w:r w:rsidR="00273A88" w:rsidRPr="00183B5F">
          <w:rPr>
            <w:szCs w:val="22"/>
          </w:rPr>
          <w:noBreakHyphen/>
        </w:r>
        <w:r w:rsidRPr="00183B5F">
          <w:rPr>
            <w:szCs w:val="22"/>
          </w:rPr>
          <w:delText>val kezelt betegek körében biztonságossági tapasztalatok korlátozottan állnak rendelkezésre. Az adalimumab hosszú felezési idejét a tervezett műtéti beavatkozás során figyelembe kell venni. Humira</w:delText>
        </w:r>
        <w:r w:rsidR="00273A88" w:rsidRPr="00183B5F">
          <w:rPr>
            <w:szCs w:val="22"/>
          </w:rPr>
          <w:noBreakHyphen/>
        </w:r>
        <w:r w:rsidRPr="00183B5F">
          <w:rPr>
            <w:szCs w:val="22"/>
          </w:rPr>
          <w:delText xml:space="preserve">kezelés alatt műtéti beavatkozást igénylő beteget infekció tekintetében szorosan </w:delText>
        </w:r>
        <w:r w:rsidR="003B3F6D" w:rsidRPr="00183B5F">
          <w:rPr>
            <w:szCs w:val="22"/>
          </w:rPr>
          <w:delText>monitorozni</w:delText>
        </w:r>
        <w:r w:rsidRPr="00183B5F">
          <w:rPr>
            <w:szCs w:val="22"/>
          </w:rPr>
          <w:delText xml:space="preserve"> kell és megfelelő módon kell ellátni. </w:delText>
        </w:r>
        <w:r w:rsidR="00BB028F" w:rsidRPr="00183B5F">
          <w:rPr>
            <w:szCs w:val="22"/>
          </w:rPr>
          <w:delText>A Humira</w:delText>
        </w:r>
        <w:r w:rsidR="00273A88" w:rsidRPr="00183B5F">
          <w:rPr>
            <w:szCs w:val="22"/>
          </w:rPr>
          <w:noBreakHyphen/>
        </w:r>
        <w:r w:rsidR="00BB028F" w:rsidRPr="00183B5F">
          <w:rPr>
            <w:szCs w:val="22"/>
          </w:rPr>
          <w:delText>val kezelt arthro</w:delText>
        </w:r>
        <w:r w:rsidRPr="00183B5F">
          <w:rPr>
            <w:szCs w:val="22"/>
          </w:rPr>
          <w:delText>plasztik</w:delText>
        </w:r>
        <w:r w:rsidR="00A86F91" w:rsidRPr="00183B5F">
          <w:rPr>
            <w:szCs w:val="22"/>
          </w:rPr>
          <w:delText>án áteső betegekkel</w:delText>
        </w:r>
        <w:r w:rsidRPr="00183B5F">
          <w:rPr>
            <w:szCs w:val="22"/>
          </w:rPr>
          <w:delText xml:space="preserve"> </w:delText>
        </w:r>
        <w:r w:rsidR="00BB028F" w:rsidRPr="00183B5F">
          <w:rPr>
            <w:szCs w:val="22"/>
          </w:rPr>
          <w:delText xml:space="preserve">szerzett </w:delText>
        </w:r>
        <w:r w:rsidRPr="00183B5F">
          <w:rPr>
            <w:szCs w:val="22"/>
          </w:rPr>
          <w:delText>biztonságossági tapasztalatok</w:delText>
        </w:r>
        <w:r w:rsidR="00BB028F" w:rsidRPr="00183B5F">
          <w:rPr>
            <w:szCs w:val="22"/>
          </w:rPr>
          <w:delText xml:space="preserve"> korlátozottak</w:delText>
        </w:r>
        <w:r w:rsidRPr="00183B5F">
          <w:rPr>
            <w:szCs w:val="22"/>
          </w:rPr>
          <w:delText>.</w:delText>
        </w:r>
      </w:del>
    </w:p>
    <w:p w14:paraId="6B72D53C" w14:textId="386038E5" w:rsidR="00EC5082" w:rsidRPr="00183B5F" w:rsidRDefault="00EC5082" w:rsidP="004062FE">
      <w:pPr>
        <w:spacing w:line="240" w:lineRule="auto"/>
        <w:rPr>
          <w:del w:id="4537" w:author="AbbVie_HU_03" w:date="2025-05-14T15:27:00Z"/>
          <w:szCs w:val="22"/>
          <w:u w:val="single"/>
        </w:rPr>
      </w:pPr>
    </w:p>
    <w:p w14:paraId="2F6B4D05" w14:textId="4DA57A92" w:rsidR="00FB6710" w:rsidRPr="00183B5F" w:rsidRDefault="00943743" w:rsidP="004062FE">
      <w:pPr>
        <w:spacing w:line="240" w:lineRule="auto"/>
        <w:rPr>
          <w:del w:id="4538" w:author="AbbVie_HU_03" w:date="2025-05-14T15:27:00Z"/>
          <w:szCs w:val="22"/>
          <w:u w:val="single"/>
        </w:rPr>
      </w:pPr>
      <w:del w:id="4539" w:author="AbbVie_HU_03" w:date="2025-05-14T15:27:00Z">
        <w:r w:rsidRPr="00183B5F">
          <w:rPr>
            <w:szCs w:val="22"/>
            <w:u w:val="single"/>
          </w:rPr>
          <w:delText>Vékonybél</w:delText>
        </w:r>
        <w:r w:rsidR="00273A88" w:rsidRPr="00183B5F">
          <w:rPr>
            <w:szCs w:val="22"/>
            <w:u w:val="single"/>
          </w:rPr>
          <w:noBreakHyphen/>
        </w:r>
        <w:r w:rsidRPr="00183B5F">
          <w:rPr>
            <w:szCs w:val="22"/>
            <w:u w:val="single"/>
          </w:rPr>
          <w:delText>elzáródás</w:delText>
        </w:r>
      </w:del>
    </w:p>
    <w:p w14:paraId="427673C9" w14:textId="605C1F02" w:rsidR="00FB6710" w:rsidRPr="00183B5F" w:rsidRDefault="00FB6710" w:rsidP="004062FE">
      <w:pPr>
        <w:spacing w:line="240" w:lineRule="auto"/>
        <w:rPr>
          <w:del w:id="4540" w:author="AbbVie_HU_03" w:date="2025-05-14T15:27:00Z"/>
          <w:szCs w:val="22"/>
          <w:u w:val="single"/>
        </w:rPr>
      </w:pPr>
    </w:p>
    <w:p w14:paraId="5544BDFC" w14:textId="73D9D0DF" w:rsidR="00FB6710" w:rsidRPr="00183B5F" w:rsidRDefault="00943743" w:rsidP="004062FE">
      <w:pPr>
        <w:spacing w:line="240" w:lineRule="auto"/>
        <w:rPr>
          <w:del w:id="4541" w:author="AbbVie_HU_03" w:date="2025-05-14T15:27:00Z"/>
          <w:szCs w:val="22"/>
        </w:rPr>
      </w:pPr>
      <w:del w:id="4542" w:author="AbbVie_HU_03" w:date="2025-05-14T15:27:00Z">
        <w:r w:rsidRPr="00183B5F">
          <w:rPr>
            <w:szCs w:val="22"/>
          </w:rPr>
          <w:delText>A Crohn</w:delText>
        </w:r>
        <w:r w:rsidR="00273A88" w:rsidRPr="00183B5F">
          <w:rPr>
            <w:szCs w:val="22"/>
          </w:rPr>
          <w:noBreakHyphen/>
        </w:r>
        <w:r w:rsidRPr="00183B5F">
          <w:rPr>
            <w:szCs w:val="22"/>
          </w:rPr>
          <w:delText xml:space="preserve">betegség </w:delText>
        </w:r>
        <w:r w:rsidR="00665D32" w:rsidRPr="00183B5F">
          <w:rPr>
            <w:szCs w:val="22"/>
          </w:rPr>
          <w:delText>kezelésének hatástalansága műtéti</w:delText>
        </w:r>
        <w:r w:rsidRPr="00183B5F">
          <w:rPr>
            <w:szCs w:val="22"/>
          </w:rPr>
          <w:delText xml:space="preserve"> kezelés</w:delText>
        </w:r>
        <w:r w:rsidR="00665D32" w:rsidRPr="00183B5F">
          <w:rPr>
            <w:szCs w:val="22"/>
          </w:rPr>
          <w:delText xml:space="preserve">t </w:delText>
        </w:r>
        <w:r w:rsidRPr="00183B5F">
          <w:rPr>
            <w:szCs w:val="22"/>
          </w:rPr>
          <w:delText>igénylő, heges szűkület jelenlétére utalhat. A rendelkezésre álló adatok alapján a Humira nem idéz elő bélszűkületet, és nem is súlyosbítja a már kialakult stricturát.</w:delText>
        </w:r>
      </w:del>
    </w:p>
    <w:p w14:paraId="49394FD4" w14:textId="062EEB7C" w:rsidR="00FB6710" w:rsidRPr="00183B5F" w:rsidRDefault="00FB6710" w:rsidP="004062FE">
      <w:pPr>
        <w:spacing w:line="240" w:lineRule="auto"/>
        <w:rPr>
          <w:del w:id="4543" w:author="AbbVie_HU_03" w:date="2025-05-14T15:27:00Z"/>
          <w:szCs w:val="22"/>
        </w:rPr>
      </w:pPr>
    </w:p>
    <w:p w14:paraId="36B84558" w14:textId="6B7868E3" w:rsidR="00FB6710" w:rsidRPr="00183B5F" w:rsidRDefault="00943743" w:rsidP="004062FE">
      <w:pPr>
        <w:spacing w:line="240" w:lineRule="auto"/>
        <w:rPr>
          <w:del w:id="4544" w:author="AbbVie_HU_03" w:date="2025-05-14T15:27:00Z"/>
          <w:szCs w:val="22"/>
          <w:u w:val="single"/>
        </w:rPr>
      </w:pPr>
      <w:del w:id="4545" w:author="AbbVie_HU_03" w:date="2025-05-14T15:27:00Z">
        <w:r w:rsidRPr="00183B5F">
          <w:rPr>
            <w:szCs w:val="22"/>
            <w:u w:val="single"/>
          </w:rPr>
          <w:delText>Idősek</w:delText>
        </w:r>
      </w:del>
    </w:p>
    <w:p w14:paraId="564905D4" w14:textId="055CBAFD" w:rsidR="00FB6710" w:rsidRPr="00183B5F" w:rsidRDefault="00FB6710" w:rsidP="004062FE">
      <w:pPr>
        <w:keepNext/>
        <w:spacing w:line="240" w:lineRule="auto"/>
        <w:rPr>
          <w:del w:id="4546" w:author="AbbVie_HU_03" w:date="2025-05-14T15:27:00Z"/>
          <w:szCs w:val="22"/>
        </w:rPr>
      </w:pPr>
    </w:p>
    <w:p w14:paraId="4A716D15" w14:textId="4DAFCB7E" w:rsidR="00FB6710" w:rsidRPr="00183B5F" w:rsidRDefault="00943743" w:rsidP="004062FE">
      <w:pPr>
        <w:keepNext/>
        <w:spacing w:line="240" w:lineRule="auto"/>
        <w:rPr>
          <w:del w:id="4547" w:author="AbbVie_HU_03" w:date="2025-05-14T15:27:00Z"/>
          <w:szCs w:val="22"/>
        </w:rPr>
      </w:pPr>
      <w:del w:id="4548" w:author="AbbVie_HU_03" w:date="2025-05-14T15:27:00Z">
        <w:r w:rsidRPr="00183B5F">
          <w:rPr>
            <w:szCs w:val="22"/>
          </w:rPr>
          <w:delText>A Humira</w:delText>
        </w:r>
        <w:r w:rsidR="00273A88" w:rsidRPr="00183B5F">
          <w:rPr>
            <w:szCs w:val="22"/>
          </w:rPr>
          <w:noBreakHyphen/>
        </w:r>
        <w:r w:rsidRPr="00183B5F">
          <w:rPr>
            <w:szCs w:val="22"/>
          </w:rPr>
          <w:delText>val kezelt, 65</w:delText>
        </w:r>
        <w:r w:rsidR="001836E7" w:rsidRPr="00183B5F">
          <w:rPr>
            <w:szCs w:val="22"/>
          </w:rPr>
          <w:delText> </w:delText>
        </w:r>
        <w:r w:rsidRPr="00183B5F">
          <w:rPr>
            <w:szCs w:val="22"/>
          </w:rPr>
          <w:delText>éves kor feletti betegeknél a súlyos fertőzések gyakorisága magasabb volt (3,</w:delText>
        </w:r>
        <w:r w:rsidR="003655A2" w:rsidRPr="00183B5F">
          <w:rPr>
            <w:szCs w:val="22"/>
          </w:rPr>
          <w:delText>7</w:delText>
        </w:r>
        <w:r w:rsidRPr="00183B5F">
          <w:rPr>
            <w:szCs w:val="22"/>
          </w:rPr>
          <w:delText>%), mint a 65</w:delText>
        </w:r>
        <w:r w:rsidR="00273A88" w:rsidRPr="00183B5F">
          <w:rPr>
            <w:szCs w:val="22"/>
          </w:rPr>
          <w:delText> </w:delText>
        </w:r>
        <w:r w:rsidRPr="00183B5F">
          <w:rPr>
            <w:szCs w:val="22"/>
          </w:rPr>
          <w:delText>évnél fiatalabbaknál (1,</w:delText>
        </w:r>
        <w:r w:rsidR="003655A2" w:rsidRPr="00183B5F">
          <w:rPr>
            <w:szCs w:val="22"/>
          </w:rPr>
          <w:delText>5</w:delText>
        </w:r>
        <w:r w:rsidRPr="00183B5F">
          <w:rPr>
            <w:szCs w:val="22"/>
          </w:rPr>
          <w:delText xml:space="preserve">%). Némelyiküknél ez végzetes volt. Idősek kezelésekor különös figyelmet kell fordítani a fertőzés veszélyére. </w:delText>
        </w:r>
      </w:del>
    </w:p>
    <w:p w14:paraId="7C729B03" w14:textId="6C1E7956" w:rsidR="00FB6710" w:rsidRPr="00183B5F" w:rsidRDefault="00FB6710" w:rsidP="004062FE">
      <w:pPr>
        <w:spacing w:line="240" w:lineRule="auto"/>
        <w:rPr>
          <w:del w:id="4549" w:author="AbbVie_HU_03" w:date="2025-05-14T15:27:00Z"/>
          <w:b/>
          <w:szCs w:val="22"/>
        </w:rPr>
      </w:pPr>
    </w:p>
    <w:p w14:paraId="53B1C0DE" w14:textId="75E8D516" w:rsidR="00933782" w:rsidRPr="00183B5F" w:rsidRDefault="00943743" w:rsidP="004062FE">
      <w:pPr>
        <w:keepNext/>
        <w:spacing w:line="240" w:lineRule="auto"/>
        <w:rPr>
          <w:del w:id="4550" w:author="AbbVie_HU_03" w:date="2025-05-14T15:27:00Z"/>
          <w:szCs w:val="22"/>
        </w:rPr>
      </w:pPr>
      <w:del w:id="4551" w:author="AbbVie_HU_03" w:date="2025-05-14T15:27:00Z">
        <w:r w:rsidRPr="00183B5F">
          <w:rPr>
            <w:noProof/>
            <w:szCs w:val="24"/>
            <w:u w:val="single"/>
          </w:rPr>
          <w:delText>Gyermekek</w:delText>
        </w:r>
        <w:r w:rsidR="00120B72" w:rsidRPr="00183B5F">
          <w:rPr>
            <w:noProof/>
            <w:szCs w:val="24"/>
            <w:u w:val="single"/>
          </w:rPr>
          <w:delText xml:space="preserve"> és serdülők</w:delText>
        </w:r>
      </w:del>
    </w:p>
    <w:p w14:paraId="6540EB60" w14:textId="0043B07F" w:rsidR="00933782" w:rsidRPr="00183B5F" w:rsidRDefault="00933782" w:rsidP="004062FE">
      <w:pPr>
        <w:spacing w:line="240" w:lineRule="auto"/>
        <w:rPr>
          <w:del w:id="4552" w:author="AbbVie_HU_03" w:date="2025-05-14T15:27:00Z"/>
          <w:szCs w:val="22"/>
        </w:rPr>
      </w:pPr>
    </w:p>
    <w:p w14:paraId="06929CD7" w14:textId="2A9D0E21" w:rsidR="00933782" w:rsidRPr="00183B5F" w:rsidRDefault="00943743" w:rsidP="004062FE">
      <w:pPr>
        <w:tabs>
          <w:tab w:val="left" w:pos="3795"/>
        </w:tabs>
        <w:spacing w:line="240" w:lineRule="auto"/>
        <w:rPr>
          <w:del w:id="4553" w:author="AbbVie_HU_03" w:date="2025-05-14T15:27:00Z"/>
          <w:szCs w:val="22"/>
        </w:rPr>
      </w:pPr>
      <w:del w:id="4554" w:author="AbbVie_HU_03" w:date="2025-05-14T15:27:00Z">
        <w:r w:rsidRPr="00183B5F">
          <w:rPr>
            <w:szCs w:val="22"/>
          </w:rPr>
          <w:delText>Lásd feljebb a Védőoltások</w:delText>
        </w:r>
        <w:r w:rsidR="003E51F4" w:rsidRPr="00183B5F">
          <w:rPr>
            <w:szCs w:val="22"/>
          </w:rPr>
          <w:delText xml:space="preserve"> </w:delText>
        </w:r>
        <w:r w:rsidRPr="00183B5F">
          <w:rPr>
            <w:szCs w:val="22"/>
          </w:rPr>
          <w:delText>részben.</w:delText>
        </w:r>
      </w:del>
    </w:p>
    <w:p w14:paraId="4197AB36" w14:textId="6633C68D" w:rsidR="00FD14F5" w:rsidRPr="00183B5F" w:rsidRDefault="00FD14F5" w:rsidP="004062FE">
      <w:pPr>
        <w:tabs>
          <w:tab w:val="left" w:pos="3795"/>
        </w:tabs>
        <w:spacing w:line="240" w:lineRule="auto"/>
        <w:rPr>
          <w:del w:id="4555" w:author="AbbVie_HU_03" w:date="2025-05-14T15:27:00Z"/>
          <w:szCs w:val="22"/>
        </w:rPr>
      </w:pPr>
    </w:p>
    <w:p w14:paraId="72901EEA" w14:textId="3757D020" w:rsidR="00FD14F5" w:rsidRPr="00183B5F" w:rsidRDefault="00943743" w:rsidP="004062FE">
      <w:pPr>
        <w:keepNext/>
        <w:spacing w:line="240" w:lineRule="auto"/>
        <w:rPr>
          <w:del w:id="4556" w:author="AbbVie_HU_03" w:date="2025-05-14T15:27:00Z"/>
          <w:szCs w:val="22"/>
          <w:u w:val="single"/>
        </w:rPr>
      </w:pPr>
      <w:del w:id="4557" w:author="AbbVie_HU_03" w:date="2025-05-14T15:27:00Z">
        <w:r w:rsidRPr="00183B5F">
          <w:rPr>
            <w:szCs w:val="22"/>
            <w:u w:val="single"/>
          </w:rPr>
          <w:delText>Ismert hatású segédanyagok</w:delText>
        </w:r>
      </w:del>
    </w:p>
    <w:p w14:paraId="1DFEF138" w14:textId="3ED83B02" w:rsidR="00FD14F5" w:rsidRPr="00183B5F" w:rsidRDefault="00FD14F5" w:rsidP="004062FE">
      <w:pPr>
        <w:keepNext/>
        <w:spacing w:line="240" w:lineRule="auto"/>
        <w:rPr>
          <w:del w:id="4558" w:author="AbbVie_HU_03" w:date="2025-05-14T15:27:00Z"/>
          <w:szCs w:val="22"/>
        </w:rPr>
      </w:pPr>
    </w:p>
    <w:p w14:paraId="5878AEB5" w14:textId="6432FE37" w:rsidR="00FD14F5" w:rsidRPr="00183B5F" w:rsidRDefault="00943743" w:rsidP="004062FE">
      <w:pPr>
        <w:tabs>
          <w:tab w:val="left" w:pos="3795"/>
        </w:tabs>
        <w:spacing w:line="240" w:lineRule="auto"/>
        <w:rPr>
          <w:del w:id="4559" w:author="AbbVie_HU_03" w:date="2025-05-14T15:27:00Z"/>
          <w:szCs w:val="22"/>
          <w:u w:val="single"/>
        </w:rPr>
      </w:pPr>
      <w:del w:id="4560" w:author="AbbVie_HU_03" w:date="2025-05-14T15:27:00Z">
        <w:r w:rsidRPr="00183B5F">
          <w:rPr>
            <w:szCs w:val="22"/>
          </w:rPr>
          <w:delText>A készítmény kevesebb, mint 1 mmol (23 mg) per 0,8 ml adag nátriumot tartalmaz, azaz gyakorlatilag nátriummentes.</w:delText>
        </w:r>
      </w:del>
    </w:p>
    <w:p w14:paraId="28D34CE4" w14:textId="134F6DEF" w:rsidR="00933782" w:rsidRPr="00183B5F" w:rsidRDefault="00933782" w:rsidP="004062FE">
      <w:pPr>
        <w:spacing w:line="240" w:lineRule="auto"/>
        <w:rPr>
          <w:del w:id="4561" w:author="AbbVie_HU_03" w:date="2025-05-14T15:27:00Z"/>
          <w:b/>
          <w:szCs w:val="22"/>
        </w:rPr>
      </w:pPr>
    </w:p>
    <w:p w14:paraId="4D399953" w14:textId="4E3A2F40" w:rsidR="00FB6710" w:rsidRPr="00183B5F" w:rsidRDefault="00943743" w:rsidP="004062FE">
      <w:pPr>
        <w:spacing w:line="240" w:lineRule="auto"/>
        <w:ind w:left="567" w:hanging="567"/>
        <w:rPr>
          <w:del w:id="4562" w:author="AbbVie_HU_03" w:date="2025-05-14T15:27:00Z"/>
          <w:b/>
          <w:szCs w:val="22"/>
        </w:rPr>
      </w:pPr>
      <w:del w:id="4563" w:author="AbbVie_HU_03" w:date="2025-05-14T15:27:00Z">
        <w:r w:rsidRPr="00183B5F">
          <w:rPr>
            <w:b/>
            <w:szCs w:val="22"/>
          </w:rPr>
          <w:delText>4.5</w:delText>
        </w:r>
        <w:r w:rsidRPr="00183B5F">
          <w:rPr>
            <w:b/>
            <w:szCs w:val="22"/>
          </w:rPr>
          <w:tab/>
          <w:delText>Gyógyszerkölcsönhatások és egyéb interakciók</w:delText>
        </w:r>
      </w:del>
    </w:p>
    <w:p w14:paraId="35BBDE78" w14:textId="29337C4C" w:rsidR="00FB6710" w:rsidRPr="00183B5F" w:rsidRDefault="00FB6710" w:rsidP="004062FE">
      <w:pPr>
        <w:pStyle w:val="EndnoteText"/>
        <w:tabs>
          <w:tab w:val="clear" w:pos="567"/>
        </w:tabs>
        <w:suppressAutoHyphens/>
        <w:rPr>
          <w:del w:id="4564" w:author="AbbVie_HU_03" w:date="2025-05-14T15:27:00Z"/>
          <w:sz w:val="22"/>
          <w:szCs w:val="22"/>
          <w:lang w:val="hu-HU" w:eastAsia="hu-HU"/>
        </w:rPr>
      </w:pPr>
    </w:p>
    <w:p w14:paraId="035268DB" w14:textId="37862993" w:rsidR="00FB6710" w:rsidRPr="00183B5F" w:rsidRDefault="00943743" w:rsidP="004062FE">
      <w:pPr>
        <w:spacing w:line="240" w:lineRule="auto"/>
        <w:rPr>
          <w:del w:id="4565" w:author="AbbVie_HU_03" w:date="2025-05-14T15:27:00Z"/>
          <w:szCs w:val="22"/>
        </w:rPr>
      </w:pPr>
      <w:del w:id="4566" w:author="AbbVie_HU_03" w:date="2025-05-14T15:27:00Z">
        <w:r w:rsidRPr="00183B5F">
          <w:rPr>
            <w:szCs w:val="22"/>
          </w:rPr>
          <w:delText>A Humira</w:delText>
        </w:r>
        <w:r w:rsidR="00273A88" w:rsidRPr="00183B5F">
          <w:rPr>
            <w:szCs w:val="22"/>
          </w:rPr>
          <w:noBreakHyphen/>
        </w:r>
        <w:r w:rsidRPr="00183B5F">
          <w:rPr>
            <w:szCs w:val="22"/>
          </w:rPr>
          <w:delText>t vizsgálták monoterápiában, illetve metotrexát</w:delText>
        </w:r>
        <w:r w:rsidR="00263189" w:rsidRPr="00183B5F">
          <w:rPr>
            <w:szCs w:val="22"/>
          </w:rPr>
          <w:delText xml:space="preserve">tal együtt adva </w:delText>
        </w:r>
        <w:r w:rsidRPr="00183B5F">
          <w:rPr>
            <w:szCs w:val="22"/>
          </w:rPr>
          <w:delText>rheumatoid arthritises, polyarticularis juvenilis idiopathiás arthritises, valamint arthritis psoriaticában szenvedő betegek kör</w:delText>
        </w:r>
        <w:r w:rsidR="00263189" w:rsidRPr="00183B5F">
          <w:rPr>
            <w:szCs w:val="22"/>
          </w:rPr>
          <w:delText>é</w:delText>
        </w:r>
        <w:r w:rsidRPr="00183B5F">
          <w:rPr>
            <w:szCs w:val="22"/>
          </w:rPr>
          <w:delText>ben is. Ha a Humira</w:delText>
        </w:r>
        <w:r w:rsidR="00273A88" w:rsidRPr="00183B5F">
          <w:rPr>
            <w:szCs w:val="22"/>
          </w:rPr>
          <w:noBreakHyphen/>
        </w:r>
        <w:r w:rsidRPr="00183B5F">
          <w:rPr>
            <w:szCs w:val="22"/>
          </w:rPr>
          <w:delText>t kombinációban adták metotrexáttal</w:delText>
        </w:r>
        <w:r w:rsidR="00C442EF" w:rsidRPr="00183B5F">
          <w:rPr>
            <w:szCs w:val="22"/>
          </w:rPr>
          <w:delText>,</w:delText>
        </w:r>
        <w:r w:rsidRPr="00183B5F">
          <w:rPr>
            <w:szCs w:val="22"/>
          </w:rPr>
          <w:delText xml:space="preserve"> az antitestképződés alacsonyabb volt, mint monoterápiában. A Humira metotrexát nélküli alkalmazása fokozott antitestképződést, továbbá az adalimumab</w:delText>
        </w:r>
        <w:r w:rsidR="00273A88" w:rsidRPr="00183B5F">
          <w:rPr>
            <w:szCs w:val="22"/>
          </w:rPr>
          <w:noBreakHyphen/>
        </w:r>
        <w:r w:rsidRPr="00183B5F">
          <w:rPr>
            <w:szCs w:val="22"/>
          </w:rPr>
          <w:delText>clearance fokozódását és a hat</w:delText>
        </w:r>
        <w:r w:rsidR="00C442EF" w:rsidRPr="00183B5F">
          <w:rPr>
            <w:szCs w:val="22"/>
          </w:rPr>
          <w:delText>ásos</w:delText>
        </w:r>
        <w:r w:rsidRPr="00183B5F">
          <w:rPr>
            <w:szCs w:val="22"/>
          </w:rPr>
          <w:delText>ság csökkenését eredményezte (lásd 5.1 pont).</w:delText>
        </w:r>
      </w:del>
    </w:p>
    <w:p w14:paraId="0B8D4313" w14:textId="30F5C964" w:rsidR="00FB6710" w:rsidRPr="00183B5F" w:rsidRDefault="00FB6710" w:rsidP="004062FE">
      <w:pPr>
        <w:spacing w:line="240" w:lineRule="auto"/>
        <w:rPr>
          <w:del w:id="4567" w:author="AbbVie_HU_03" w:date="2025-05-14T15:27:00Z"/>
          <w:b/>
          <w:szCs w:val="22"/>
        </w:rPr>
      </w:pPr>
    </w:p>
    <w:p w14:paraId="4552D525" w14:textId="19101E92" w:rsidR="00FB6710" w:rsidRPr="00183B5F" w:rsidRDefault="00943743" w:rsidP="004062FE">
      <w:pPr>
        <w:spacing w:line="240" w:lineRule="auto"/>
        <w:rPr>
          <w:del w:id="4568" w:author="AbbVie_HU_03" w:date="2025-05-14T15:27:00Z"/>
          <w:szCs w:val="22"/>
        </w:rPr>
      </w:pPr>
      <w:del w:id="4569" w:author="AbbVie_HU_03" w:date="2025-05-14T15:27:00Z">
        <w:r w:rsidRPr="00183B5F">
          <w:rPr>
            <w:szCs w:val="22"/>
          </w:rPr>
          <w:delText>A Humira és az anakinra kombinált alkalmazása nem ajánlott (lásd a 4.4 pont „</w:delText>
        </w:r>
        <w:r w:rsidR="009F25A9" w:rsidRPr="00183B5F">
          <w:rPr>
            <w:szCs w:val="22"/>
          </w:rPr>
          <w:delText>Biológiai reumaellenes betegségmódosító gyógyszerek (DMARD-ok) vagy TNF</w:delText>
        </w:r>
        <w:r w:rsidR="001836E7" w:rsidRPr="00183B5F">
          <w:rPr>
            <w:szCs w:val="22"/>
          </w:rPr>
          <w:noBreakHyphen/>
        </w:r>
        <w:r w:rsidR="009F25A9" w:rsidRPr="00183B5F">
          <w:rPr>
            <w:szCs w:val="22"/>
          </w:rPr>
          <w:delText>antagonisták együttadása</w:delText>
        </w:r>
        <w:r w:rsidRPr="00183B5F">
          <w:rPr>
            <w:szCs w:val="22"/>
          </w:rPr>
          <w:delText>” c. fejezetét).</w:delText>
        </w:r>
      </w:del>
    </w:p>
    <w:p w14:paraId="15C7C17B" w14:textId="1A7191AC" w:rsidR="001934FA" w:rsidRPr="00183B5F" w:rsidRDefault="001934FA" w:rsidP="004062FE">
      <w:pPr>
        <w:spacing w:line="240" w:lineRule="auto"/>
        <w:rPr>
          <w:del w:id="4570" w:author="AbbVie_HU_03" w:date="2025-05-14T15:27:00Z"/>
          <w:szCs w:val="22"/>
        </w:rPr>
      </w:pPr>
    </w:p>
    <w:p w14:paraId="2B563618" w14:textId="495998C1" w:rsidR="00FB6710" w:rsidRPr="00183B5F" w:rsidRDefault="00943743" w:rsidP="004062FE">
      <w:pPr>
        <w:spacing w:line="240" w:lineRule="auto"/>
        <w:rPr>
          <w:del w:id="4571" w:author="AbbVie_HU_03" w:date="2025-05-14T15:27:00Z"/>
          <w:szCs w:val="22"/>
        </w:rPr>
      </w:pPr>
      <w:del w:id="4572" w:author="AbbVie_HU_03" w:date="2025-05-14T15:27:00Z">
        <w:r w:rsidRPr="00183B5F">
          <w:rPr>
            <w:szCs w:val="22"/>
          </w:rPr>
          <w:delText>A Humira és az abatacept kombinált alkalmazása nem ajánlott (lásd a 4.4 pont „</w:delText>
        </w:r>
        <w:r w:rsidR="009F25A9" w:rsidRPr="00183B5F">
          <w:rPr>
            <w:szCs w:val="22"/>
          </w:rPr>
          <w:delText>Biológiai reumaellenes betegségmódosító gyógyszerek (DMARD-ok) vagy TNF</w:delText>
        </w:r>
        <w:r w:rsidR="00273A88" w:rsidRPr="00183B5F">
          <w:rPr>
            <w:szCs w:val="22"/>
          </w:rPr>
          <w:noBreakHyphen/>
        </w:r>
        <w:r w:rsidR="009F25A9" w:rsidRPr="00183B5F">
          <w:rPr>
            <w:szCs w:val="22"/>
          </w:rPr>
          <w:delText>antagonisták együttadása</w:delText>
        </w:r>
        <w:r w:rsidRPr="00183B5F">
          <w:rPr>
            <w:szCs w:val="22"/>
          </w:rPr>
          <w:delText>” c. fejezetét).</w:delText>
        </w:r>
      </w:del>
    </w:p>
    <w:p w14:paraId="25660937" w14:textId="0D45FFAE" w:rsidR="00CA454D" w:rsidRPr="00183B5F" w:rsidRDefault="00CA454D" w:rsidP="004062FE">
      <w:pPr>
        <w:spacing w:line="240" w:lineRule="auto"/>
        <w:rPr>
          <w:del w:id="4573" w:author="AbbVie_HU_03" w:date="2025-05-14T15:27:00Z"/>
          <w:szCs w:val="22"/>
        </w:rPr>
      </w:pPr>
    </w:p>
    <w:p w14:paraId="567C5C4B" w14:textId="13A598F1" w:rsidR="004B37B2" w:rsidRPr="00183B5F" w:rsidRDefault="00943743" w:rsidP="004B37B2">
      <w:pPr>
        <w:keepNext/>
        <w:spacing w:line="240" w:lineRule="auto"/>
        <w:rPr>
          <w:del w:id="4574" w:author="AbbVie_HU_03" w:date="2025-05-14T15:27:00Z"/>
          <w:b/>
          <w:szCs w:val="22"/>
        </w:rPr>
      </w:pPr>
      <w:del w:id="4575" w:author="AbbVie_HU_03" w:date="2025-05-14T15:27:00Z">
        <w:r w:rsidRPr="00183B5F">
          <w:rPr>
            <w:b/>
            <w:szCs w:val="22"/>
          </w:rPr>
          <w:delText>4.6</w:delText>
        </w:r>
        <w:r w:rsidRPr="00183B5F">
          <w:rPr>
            <w:b/>
            <w:szCs w:val="22"/>
          </w:rPr>
          <w:tab/>
          <w:delText>Termékenység, terhesség és szoptatás</w:delText>
        </w:r>
      </w:del>
    </w:p>
    <w:p w14:paraId="7BED96DD" w14:textId="52E90607" w:rsidR="004B37B2" w:rsidRPr="00183B5F" w:rsidRDefault="004B37B2" w:rsidP="004B37B2">
      <w:pPr>
        <w:pStyle w:val="EndnoteText"/>
        <w:keepNext/>
        <w:tabs>
          <w:tab w:val="clear" w:pos="567"/>
          <w:tab w:val="left" w:pos="708"/>
        </w:tabs>
        <w:suppressAutoHyphens/>
        <w:rPr>
          <w:del w:id="4576" w:author="AbbVie_HU_03" w:date="2025-05-14T15:27:00Z"/>
          <w:sz w:val="22"/>
          <w:szCs w:val="22"/>
          <w:lang w:val="hu-HU" w:eastAsia="hu-HU"/>
        </w:rPr>
      </w:pPr>
    </w:p>
    <w:p w14:paraId="64C19285" w14:textId="1EAF42BF" w:rsidR="004B37B2" w:rsidRPr="00183B5F" w:rsidRDefault="00943743" w:rsidP="004B37B2">
      <w:pPr>
        <w:spacing w:line="240" w:lineRule="auto"/>
        <w:rPr>
          <w:del w:id="4577" w:author="AbbVie_HU_03" w:date="2025-05-14T15:27:00Z"/>
          <w:szCs w:val="22"/>
          <w:u w:val="single"/>
        </w:rPr>
      </w:pPr>
      <w:del w:id="4578" w:author="AbbVie_HU_03" w:date="2025-05-14T15:27:00Z">
        <w:r w:rsidRPr="00183B5F">
          <w:rPr>
            <w:szCs w:val="22"/>
            <w:u w:val="single"/>
          </w:rPr>
          <w:delText>Fogamzóképes korú nők</w:delText>
        </w:r>
      </w:del>
    </w:p>
    <w:p w14:paraId="711EEA6E" w14:textId="44A058A0" w:rsidR="004B37B2" w:rsidRPr="00183B5F" w:rsidRDefault="004B37B2" w:rsidP="004B37B2">
      <w:pPr>
        <w:spacing w:line="240" w:lineRule="auto"/>
        <w:rPr>
          <w:del w:id="4579" w:author="AbbVie_HU_03" w:date="2025-05-14T15:27:00Z"/>
          <w:szCs w:val="22"/>
        </w:rPr>
      </w:pPr>
    </w:p>
    <w:p w14:paraId="4A14704D" w14:textId="5AAF05D0" w:rsidR="004B37B2" w:rsidRPr="00183B5F" w:rsidRDefault="00943743" w:rsidP="0092091D">
      <w:pPr>
        <w:spacing w:line="240" w:lineRule="auto"/>
        <w:rPr>
          <w:del w:id="4580" w:author="AbbVie_HU_03" w:date="2025-05-14T15:27:00Z"/>
          <w:szCs w:val="22"/>
        </w:rPr>
      </w:pPr>
      <w:del w:id="4581" w:author="AbbVie_HU_03" w:date="2025-05-14T15:27:00Z">
        <w:r w:rsidRPr="00183B5F">
          <w:rPr>
            <w:szCs w:val="22"/>
          </w:rPr>
          <w:delText xml:space="preserve">Fogamzóképes korú nőknek fontolóra kell venniük </w:delText>
        </w:r>
        <w:r w:rsidR="0092091D" w:rsidRPr="00183B5F">
          <w:rPr>
            <w:szCs w:val="22"/>
          </w:rPr>
          <w:delText>egy</w:delText>
        </w:r>
        <w:r w:rsidRPr="00183B5F">
          <w:rPr>
            <w:szCs w:val="22"/>
          </w:rPr>
          <w:delText xml:space="preserve"> megfelelő fogamzásgátlás</w:delText>
        </w:r>
        <w:r w:rsidR="0092091D" w:rsidRPr="00183B5F">
          <w:rPr>
            <w:szCs w:val="22"/>
          </w:rPr>
          <w:delText xml:space="preserve"> alkalmazását</w:delText>
        </w:r>
        <w:r w:rsidRPr="00183B5F">
          <w:rPr>
            <w:szCs w:val="22"/>
          </w:rPr>
          <w:delText xml:space="preserve">, és </w:delText>
        </w:r>
        <w:r w:rsidR="0092091D" w:rsidRPr="00183B5F">
          <w:rPr>
            <w:szCs w:val="22"/>
          </w:rPr>
          <w:delText>az</w:delText>
        </w:r>
        <w:r w:rsidRPr="00183B5F">
          <w:rPr>
            <w:szCs w:val="22"/>
          </w:rPr>
          <w:delText xml:space="preserve"> alkalmazás</w:delText>
        </w:r>
        <w:r w:rsidR="0092091D" w:rsidRPr="00183B5F">
          <w:rPr>
            <w:szCs w:val="22"/>
          </w:rPr>
          <w:delText xml:space="preserve"> folytatását</w:delText>
        </w:r>
        <w:r w:rsidRPr="00183B5F">
          <w:rPr>
            <w:szCs w:val="22"/>
          </w:rPr>
          <w:delText xml:space="preserve"> az utolsó Humira</w:delText>
        </w:r>
        <w:r w:rsidRPr="00183B5F">
          <w:rPr>
            <w:szCs w:val="22"/>
          </w:rPr>
          <w:noBreakHyphen/>
          <w:delText>kezelés után legalább öt hónapon keresztül.</w:delText>
        </w:r>
      </w:del>
    </w:p>
    <w:p w14:paraId="0D251B02" w14:textId="077EE803" w:rsidR="004B37B2" w:rsidRPr="00183B5F" w:rsidRDefault="004B37B2" w:rsidP="004B37B2">
      <w:pPr>
        <w:spacing w:line="240" w:lineRule="auto"/>
        <w:rPr>
          <w:del w:id="4582" w:author="AbbVie_HU_03" w:date="2025-05-14T15:27:00Z"/>
        </w:rPr>
      </w:pPr>
    </w:p>
    <w:p w14:paraId="6389D7D1" w14:textId="1131230E" w:rsidR="004B37B2" w:rsidRPr="00183B5F" w:rsidRDefault="00943743" w:rsidP="004B37B2">
      <w:pPr>
        <w:keepNext/>
        <w:spacing w:line="240" w:lineRule="auto"/>
        <w:rPr>
          <w:del w:id="4583" w:author="AbbVie_HU_03" w:date="2025-05-14T15:27:00Z"/>
          <w:szCs w:val="22"/>
          <w:u w:val="single"/>
        </w:rPr>
      </w:pPr>
      <w:del w:id="4584" w:author="AbbVie_HU_03" w:date="2025-05-14T15:27:00Z">
        <w:r w:rsidRPr="00183B5F">
          <w:rPr>
            <w:szCs w:val="22"/>
            <w:u w:val="single"/>
          </w:rPr>
          <w:delText>Terhesség</w:delText>
        </w:r>
      </w:del>
    </w:p>
    <w:p w14:paraId="3A2960B1" w14:textId="251A8344" w:rsidR="004B37B2" w:rsidRPr="00183B5F" w:rsidRDefault="004B37B2" w:rsidP="004B37B2">
      <w:pPr>
        <w:keepNext/>
        <w:spacing w:line="240" w:lineRule="auto"/>
        <w:rPr>
          <w:del w:id="4585" w:author="AbbVie_HU_03" w:date="2025-05-14T15:27:00Z"/>
          <w:szCs w:val="22"/>
          <w:u w:val="single"/>
        </w:rPr>
      </w:pPr>
    </w:p>
    <w:p w14:paraId="606F3220" w14:textId="6E556ACB" w:rsidR="004B37B2" w:rsidRPr="00183B5F" w:rsidRDefault="00943743" w:rsidP="0092091D">
      <w:pPr>
        <w:keepNext/>
        <w:spacing w:line="240" w:lineRule="auto"/>
        <w:rPr>
          <w:del w:id="4586" w:author="AbbVie_HU_03" w:date="2025-05-14T15:27:00Z"/>
          <w:szCs w:val="22"/>
        </w:rPr>
      </w:pPr>
      <w:del w:id="4587" w:author="AbbVie_HU_03" w:date="2025-05-14T15:27:00Z">
        <w:r w:rsidRPr="00183B5F">
          <w:rPr>
            <w:szCs w:val="22"/>
          </w:rPr>
          <w:delText>Nagy számú (körülbelül 2100), adalimumab</w:delText>
        </w:r>
        <w:r w:rsidR="0092091D" w:rsidRPr="00183B5F">
          <w:rPr>
            <w:szCs w:val="22"/>
          </w:rPr>
          <w:noBreakHyphen/>
        </w:r>
        <w:r w:rsidRPr="00183B5F">
          <w:rPr>
            <w:szCs w:val="22"/>
          </w:rPr>
          <w:delText xml:space="preserve">expozíciónak kitett, ismert kimenetelű, élve születéssel végződő terhesség prospektív módon gyűjtött adatai </w:delText>
        </w:r>
        <w:r w:rsidR="00EC4188" w:rsidRPr="00183B5F">
          <w:rPr>
            <w:szCs w:val="22"/>
          </w:rPr>
          <w:delText>–</w:delText>
        </w:r>
        <w:r w:rsidRPr="00183B5F">
          <w:rPr>
            <w:szCs w:val="22"/>
          </w:rPr>
          <w:delText xml:space="preserve"> beleértve több mint 1500 esetet, mikor az első trimeszterben alkalmazták az adalimumabot – nem igazolták a rendellenességek arányának növekedését az újszülöttek</w:delText>
        </w:r>
        <w:r w:rsidR="0092091D" w:rsidRPr="00183B5F">
          <w:rPr>
            <w:szCs w:val="22"/>
          </w:rPr>
          <w:delText>nél</w:delText>
        </w:r>
        <w:r w:rsidRPr="00183B5F">
          <w:rPr>
            <w:szCs w:val="22"/>
          </w:rPr>
          <w:delText>.</w:delText>
        </w:r>
      </w:del>
    </w:p>
    <w:p w14:paraId="24E2EEF0" w14:textId="5DEEE016" w:rsidR="004B37B2" w:rsidRPr="00183B5F" w:rsidRDefault="004B37B2" w:rsidP="00E87C31">
      <w:pPr>
        <w:spacing w:line="240" w:lineRule="auto"/>
        <w:rPr>
          <w:del w:id="4588" w:author="AbbVie_HU_03" w:date="2025-05-14T15:27:00Z"/>
          <w:szCs w:val="22"/>
        </w:rPr>
      </w:pPr>
    </w:p>
    <w:p w14:paraId="30F52396" w14:textId="1C169194" w:rsidR="004B37B2" w:rsidRPr="00183B5F" w:rsidRDefault="00943743" w:rsidP="00E87C31">
      <w:pPr>
        <w:spacing w:line="240" w:lineRule="auto"/>
        <w:rPr>
          <w:del w:id="4589" w:author="AbbVie_HU_03" w:date="2025-05-14T15:27:00Z"/>
          <w:szCs w:val="22"/>
        </w:rPr>
      </w:pPr>
      <w:del w:id="4590" w:author="AbbVie_HU_03" w:date="2025-05-14T15:27:00Z">
        <w:r w:rsidRPr="00183B5F">
          <w:rPr>
            <w:szCs w:val="22"/>
          </w:rPr>
          <w:delText>Egy prospektív kohorsz regiszterben 257, rheumatoid arthritisben (RA) vagy Crohn-betegségben (CD) szenvedő, a terhességük legalább első trimeszterében adalimumabbal kezelt nőt és 120, RA</w:delText>
        </w:r>
        <w:r w:rsidRPr="00183B5F">
          <w:rPr>
            <w:szCs w:val="22"/>
          </w:rPr>
          <w:noBreakHyphen/>
          <w:delText>ban vagy Crohn-betegségben szenvedő, adalimumabbal nem kezelt nőt vizsgáltak. Az elsődleges végpont a major születési rendellenesség születéskori prevalenciája volt. Azo</w:delText>
        </w:r>
        <w:r w:rsidR="0092091D" w:rsidRPr="00183B5F">
          <w:rPr>
            <w:szCs w:val="22"/>
          </w:rPr>
          <w:delText>knak a</w:delText>
        </w:r>
        <w:r w:rsidRPr="00183B5F">
          <w:rPr>
            <w:szCs w:val="22"/>
          </w:rPr>
          <w:delText xml:space="preserve"> terhességek</w:delText>
        </w:r>
        <w:r w:rsidR="0092091D" w:rsidRPr="00183B5F">
          <w:rPr>
            <w:szCs w:val="22"/>
          </w:rPr>
          <w:delText>nek az</w:delText>
        </w:r>
        <w:r w:rsidRPr="00183B5F">
          <w:rPr>
            <w:szCs w:val="22"/>
          </w:rPr>
          <w:delText xml:space="preserve"> aránya, amelyek kimenetele legalább egy, major fejlődési rendellenességgel élve született csecsemő volt, 6/69 (8,7%) volt az adalimumab-kezelésben részesült RA-s nőknél</w:delText>
        </w:r>
        <w:r w:rsidR="0092091D" w:rsidRPr="00183B5F">
          <w:rPr>
            <w:szCs w:val="22"/>
          </w:rPr>
          <w:delText>,</w:delText>
        </w:r>
        <w:r w:rsidRPr="00183B5F">
          <w:rPr>
            <w:szCs w:val="22"/>
          </w:rPr>
          <w:delText xml:space="preserve"> és 5/74 (6,8%) volt a nem kezelt RA-s nőknél (nem korrigált OR: 1,31; 95%</w:delText>
        </w:r>
        <w:r w:rsidR="00516B92" w:rsidRPr="00183B5F">
          <w:rPr>
            <w:szCs w:val="22"/>
          </w:rPr>
          <w:noBreakHyphen/>
          <w:delText>os</w:delText>
        </w:r>
        <w:r w:rsidRPr="00183B5F">
          <w:rPr>
            <w:szCs w:val="22"/>
          </w:rPr>
          <w:delText xml:space="preserve"> </w:delText>
        </w:r>
        <w:r w:rsidR="00EC4188" w:rsidRPr="00183B5F">
          <w:rPr>
            <w:szCs w:val="22"/>
          </w:rPr>
          <w:delText>konfidencia intervallum [CI]</w:delText>
        </w:r>
        <w:r w:rsidRPr="00183B5F">
          <w:rPr>
            <w:szCs w:val="22"/>
          </w:rPr>
          <w:delText xml:space="preserve">: 0,38-4,52), továbbá 16/152 (10,5%) volt </w:delText>
        </w:r>
        <w:r w:rsidRPr="00183B5F">
          <w:rPr>
            <w:szCs w:val="22"/>
          </w:rPr>
          <w:delText>az adalimumab</w:delText>
        </w:r>
        <w:r w:rsidRPr="00183B5F">
          <w:rPr>
            <w:szCs w:val="22"/>
          </w:rPr>
          <w:noBreakHyphen/>
          <w:delText>kezelésben részesült Crohn</w:delText>
        </w:r>
        <w:r w:rsidRPr="00183B5F">
          <w:rPr>
            <w:szCs w:val="22"/>
          </w:rPr>
          <w:noBreakHyphen/>
          <w:delText>beteg nőknél</w:delText>
        </w:r>
        <w:r w:rsidR="0092091D" w:rsidRPr="00183B5F">
          <w:rPr>
            <w:szCs w:val="22"/>
          </w:rPr>
          <w:delText>,</w:delText>
        </w:r>
        <w:r w:rsidRPr="00183B5F">
          <w:rPr>
            <w:szCs w:val="22"/>
          </w:rPr>
          <w:delText xml:space="preserve"> és 3/32 (9,4%) volt a nem kezelt Crohn</w:delText>
        </w:r>
        <w:r w:rsidRPr="00183B5F">
          <w:rPr>
            <w:szCs w:val="22"/>
          </w:rPr>
          <w:noBreakHyphen/>
          <w:delText>beteg nőknél (nem korrigált OR: 1,14; 95%</w:delText>
        </w:r>
        <w:r w:rsidR="00516B92" w:rsidRPr="00183B5F">
          <w:rPr>
            <w:szCs w:val="22"/>
          </w:rPr>
          <w:noBreakHyphen/>
          <w:delText>os</w:delText>
        </w:r>
        <w:r w:rsidRPr="00183B5F">
          <w:rPr>
            <w:szCs w:val="22"/>
          </w:rPr>
          <w:delText xml:space="preserve"> CI: 0,31-4,16). A korrigált OR (a kiindulási különbségeket tekintetbe véve) 1,10 volt (95%</w:delText>
        </w:r>
        <w:r w:rsidR="00516B92" w:rsidRPr="00183B5F">
          <w:rPr>
            <w:szCs w:val="22"/>
          </w:rPr>
          <w:noBreakHyphen/>
          <w:delText>os</w:delText>
        </w:r>
        <w:r w:rsidRPr="00183B5F">
          <w:rPr>
            <w:szCs w:val="22"/>
          </w:rPr>
          <w:delText xml:space="preserve"> CI: 0,45-2,73) együttesen RA-ban és </w:delText>
        </w:r>
        <w:r w:rsidR="0092091D" w:rsidRPr="00183B5F">
          <w:rPr>
            <w:szCs w:val="22"/>
          </w:rPr>
          <w:delText>Crohn</w:delText>
        </w:r>
        <w:r w:rsidR="0092091D" w:rsidRPr="00183B5F">
          <w:rPr>
            <w:szCs w:val="22"/>
          </w:rPr>
          <w:noBreakHyphen/>
          <w:delText>betegség</w:delText>
        </w:r>
        <w:r w:rsidRPr="00183B5F">
          <w:rPr>
            <w:szCs w:val="22"/>
          </w:rPr>
          <w:delText xml:space="preserve">ben. Nem volt határozott különbség az adalimumabbal kezelt és nem kezelt nők esetében a másodlagos végpontokban, amelyek a spontán abortusz, a minor születési rendellenességek, a koraszülés, a kis születési súly és a súlyos vagy </w:delText>
        </w:r>
        <w:r w:rsidRPr="00183B5F">
          <w:rPr>
            <w:szCs w:val="22"/>
          </w:rPr>
          <w:delText>opportunista fertőzések voltak, és nem jelentettek halvaszületést vagy rosszindulatú daganat kialakulást sem. Az adatok értelmezésére hatással lehetnek a regiszter módszertani korlátai, beleértve a kis mintaszámot és a nem</w:delText>
        </w:r>
        <w:r w:rsidR="00365CB4" w:rsidRPr="00183B5F">
          <w:rPr>
            <w:szCs w:val="22"/>
          </w:rPr>
          <w:delText xml:space="preserve"> </w:delText>
        </w:r>
        <w:r w:rsidRPr="00183B5F">
          <w:rPr>
            <w:szCs w:val="22"/>
          </w:rPr>
          <w:delText>randomizált elrendezést.</w:delText>
        </w:r>
      </w:del>
    </w:p>
    <w:p w14:paraId="47630663" w14:textId="28DB943D" w:rsidR="004B37B2" w:rsidRPr="00183B5F" w:rsidRDefault="004B37B2" w:rsidP="004B37B2">
      <w:pPr>
        <w:spacing w:line="240" w:lineRule="auto"/>
        <w:rPr>
          <w:del w:id="4591" w:author="AbbVie_HU_03" w:date="2025-05-14T15:27:00Z"/>
          <w:szCs w:val="22"/>
        </w:rPr>
      </w:pPr>
    </w:p>
    <w:p w14:paraId="3CF8D616" w14:textId="4E7E18CE" w:rsidR="004B37B2" w:rsidRPr="00183B5F" w:rsidRDefault="00943743" w:rsidP="004B37B2">
      <w:pPr>
        <w:spacing w:line="240" w:lineRule="auto"/>
        <w:rPr>
          <w:del w:id="4592" w:author="AbbVie_HU_03" w:date="2025-05-14T15:27:00Z"/>
          <w:szCs w:val="22"/>
        </w:rPr>
      </w:pPr>
      <w:del w:id="4593" w:author="AbbVie_HU_03" w:date="2025-05-14T15:27:00Z">
        <w:r w:rsidRPr="00183B5F">
          <w:rPr>
            <w:szCs w:val="22"/>
          </w:rPr>
          <w:delText>Majmokban végzett fejlődés toxicitási vizsgálat során anyai, illetve embriótoxicitásra vagy teratogenitásra utaló eltérést nem észleltek. Az adalimumab postnatalis toxicitást okozó hatására vonatkozó preklinikai adatok nem állnak rendelkezésre (lásd 5.3 pont).</w:delText>
        </w:r>
      </w:del>
    </w:p>
    <w:p w14:paraId="3139E6D4" w14:textId="568A8308" w:rsidR="004B37B2" w:rsidRPr="00183B5F" w:rsidRDefault="004B37B2" w:rsidP="004B37B2">
      <w:pPr>
        <w:spacing w:line="240" w:lineRule="auto"/>
        <w:rPr>
          <w:del w:id="4594" w:author="AbbVie_HU_03" w:date="2025-05-14T15:27:00Z"/>
          <w:szCs w:val="22"/>
        </w:rPr>
      </w:pPr>
    </w:p>
    <w:p w14:paraId="15592EE1" w14:textId="76BE0469" w:rsidR="004B37B2" w:rsidRPr="00183B5F" w:rsidRDefault="00943743" w:rsidP="004B37B2">
      <w:pPr>
        <w:spacing w:line="240" w:lineRule="auto"/>
        <w:rPr>
          <w:del w:id="4595" w:author="AbbVie_HU_03" w:date="2025-05-14T15:27:00Z"/>
          <w:szCs w:val="22"/>
        </w:rPr>
      </w:pPr>
      <w:del w:id="4596" w:author="AbbVie_HU_03" w:date="2025-05-14T15:27:00Z">
        <w:r w:rsidRPr="00183B5F">
          <w:rPr>
            <w:szCs w:val="22"/>
          </w:rPr>
          <w:delText>A TNF</w:delText>
        </w:r>
        <w:r w:rsidRPr="00183B5F">
          <w:rPr>
            <w:szCs w:val="22"/>
          </w:rPr>
          <w:noBreakHyphen/>
          <w:delText>alfa</w:delText>
        </w:r>
        <w:r w:rsidR="00C15375" w:rsidRPr="00183B5F">
          <w:rPr>
            <w:szCs w:val="22"/>
          </w:rPr>
          <w:delText>-</w:delText>
        </w:r>
        <w:r w:rsidRPr="00183B5F">
          <w:rPr>
            <w:szCs w:val="22"/>
          </w:rPr>
          <w:delText>gátlást okozó hatása miatt a terhesség alatt adott adalimumab befolyásolhatja az újszülött normális immunreakcióit. Az adalimumab csak akkor alkalmazható terhesség alatt, ha egyértelműen szükséges.</w:delText>
        </w:r>
      </w:del>
    </w:p>
    <w:p w14:paraId="19683BBE" w14:textId="72BC391C" w:rsidR="004B37B2" w:rsidRPr="00183B5F" w:rsidRDefault="004B37B2" w:rsidP="004B37B2">
      <w:pPr>
        <w:spacing w:line="240" w:lineRule="auto"/>
        <w:rPr>
          <w:del w:id="4597" w:author="AbbVie_HU_03" w:date="2025-05-14T15:27:00Z"/>
          <w:b/>
          <w:szCs w:val="22"/>
        </w:rPr>
      </w:pPr>
    </w:p>
    <w:p w14:paraId="4EC89EDF" w14:textId="5A5BE69D" w:rsidR="004B37B2" w:rsidRPr="00183B5F" w:rsidRDefault="00943743" w:rsidP="004B37B2">
      <w:pPr>
        <w:spacing w:line="240" w:lineRule="auto"/>
        <w:rPr>
          <w:del w:id="4598" w:author="AbbVie_HU_03" w:date="2025-05-14T15:27:00Z"/>
          <w:szCs w:val="22"/>
        </w:rPr>
      </w:pPr>
      <w:del w:id="4599" w:author="AbbVie_HU_03" w:date="2025-05-14T15:27:00Z">
        <w:r w:rsidRPr="00183B5F">
          <w:rPr>
            <w:szCs w:val="22"/>
          </w:rPr>
          <w:delText>A terhesség alatt adalimumabbal kezelt nőknél az adalimumab a placentán átjutva bekerülhet a csecsemő szérumába. Emiatt ezeknél a csecsemőknél fokozott a fertőzések kialakulásának a kockázata. Az intrauterin adalimumab-expozíciónak kitett csecsemőknél az anya által a terhesség alatt kapott utolsó adalimumab</w:delText>
        </w:r>
        <w:r w:rsidR="00626979" w:rsidRPr="00183B5F">
          <w:rPr>
            <w:szCs w:val="22"/>
          </w:rPr>
          <w:delText>-</w:delText>
        </w:r>
        <w:r w:rsidRPr="00183B5F">
          <w:rPr>
            <w:szCs w:val="22"/>
          </w:rPr>
          <w:delText>injekció után 5 hónapig nem ajánlott az élő kórokozót tartalmazó védőoltás (pl. BCG</w:delText>
        </w:r>
        <w:r w:rsidR="00C15375" w:rsidRPr="00183B5F">
          <w:rPr>
            <w:szCs w:val="22"/>
          </w:rPr>
          <w:delText>-</w:delText>
        </w:r>
        <w:r w:rsidRPr="00183B5F">
          <w:rPr>
            <w:szCs w:val="22"/>
          </w:rPr>
          <w:delText>oltás) adása.</w:delText>
        </w:r>
      </w:del>
    </w:p>
    <w:p w14:paraId="0183A95B" w14:textId="12AB0AE7" w:rsidR="004B37B2" w:rsidRPr="00183B5F" w:rsidRDefault="004B37B2" w:rsidP="004B37B2">
      <w:pPr>
        <w:spacing w:line="240" w:lineRule="auto"/>
        <w:rPr>
          <w:del w:id="4600" w:author="AbbVie_HU_03" w:date="2025-05-14T15:27:00Z"/>
          <w:szCs w:val="22"/>
        </w:rPr>
      </w:pPr>
    </w:p>
    <w:p w14:paraId="3304C174" w14:textId="64642DDB" w:rsidR="004B37B2" w:rsidRPr="00183B5F" w:rsidRDefault="00943743" w:rsidP="004B37B2">
      <w:pPr>
        <w:keepNext/>
        <w:spacing w:line="240" w:lineRule="auto"/>
        <w:rPr>
          <w:del w:id="4601" w:author="AbbVie_HU_03" w:date="2025-05-14T15:27:00Z"/>
          <w:szCs w:val="22"/>
          <w:u w:val="single"/>
        </w:rPr>
      </w:pPr>
      <w:del w:id="4602" w:author="AbbVie_HU_03" w:date="2025-05-14T15:27:00Z">
        <w:r w:rsidRPr="00183B5F">
          <w:rPr>
            <w:szCs w:val="22"/>
            <w:u w:val="single"/>
          </w:rPr>
          <w:delText>Szoptatás</w:delText>
        </w:r>
      </w:del>
    </w:p>
    <w:p w14:paraId="587E5E3A" w14:textId="724011CF" w:rsidR="004B37B2" w:rsidRPr="00183B5F" w:rsidRDefault="004B37B2" w:rsidP="004B37B2">
      <w:pPr>
        <w:keepNext/>
        <w:spacing w:line="240" w:lineRule="auto"/>
        <w:rPr>
          <w:del w:id="4603" w:author="AbbVie_HU_03" w:date="2025-05-14T15:27:00Z"/>
          <w:b/>
          <w:szCs w:val="22"/>
        </w:rPr>
      </w:pPr>
    </w:p>
    <w:p w14:paraId="02F1A94F" w14:textId="069F524A" w:rsidR="004B37B2" w:rsidRPr="00183B5F" w:rsidRDefault="00943743" w:rsidP="00E87C31">
      <w:pPr>
        <w:rPr>
          <w:del w:id="4604" w:author="AbbVie_HU_03" w:date="2025-05-14T15:27:00Z"/>
          <w:szCs w:val="22"/>
        </w:rPr>
      </w:pPr>
      <w:del w:id="4605" w:author="AbbVie_HU_03" w:date="2025-05-14T15:27:00Z">
        <w:r w:rsidRPr="00183B5F">
          <w:rPr>
            <w:szCs w:val="22"/>
          </w:rPr>
          <w:delText>A szakirodalomban közzétett korlátozott mennyiségű információ alapján az adalimumab nagyon kis koncentrációban kiválasztódik az anyatejbe, az anyai szérumszint 0,1</w:delText>
        </w:r>
        <w:r w:rsidRPr="00183B5F">
          <w:rPr>
            <w:szCs w:val="22"/>
          </w:rPr>
          <w:noBreakHyphen/>
          <w:delText>1%</w:delText>
        </w:r>
        <w:r w:rsidRPr="00183B5F">
          <w:rPr>
            <w:szCs w:val="22"/>
          </w:rPr>
          <w:noBreakHyphen/>
          <w:delText>ában van jelen. Szájon át adva, az immunglobulin G</w:delText>
        </w:r>
        <w:r w:rsidR="0029612D" w:rsidRPr="00183B5F">
          <w:rPr>
            <w:szCs w:val="22"/>
          </w:rPr>
          <w:delText>-</w:delText>
        </w:r>
        <w:r w:rsidRPr="00183B5F">
          <w:rPr>
            <w:szCs w:val="22"/>
          </w:rPr>
          <w:delText>fehérjék intestin</w:delText>
        </w:r>
        <w:r w:rsidR="00365CB4" w:rsidRPr="00183B5F">
          <w:rPr>
            <w:szCs w:val="22"/>
          </w:rPr>
          <w:delText>a</w:delText>
        </w:r>
        <w:r w:rsidRPr="00183B5F">
          <w:rPr>
            <w:szCs w:val="22"/>
          </w:rPr>
          <w:delText>lis proteolízist szenvednek</w:delText>
        </w:r>
        <w:r w:rsidR="00365CB4" w:rsidRPr="00183B5F">
          <w:rPr>
            <w:szCs w:val="22"/>
          </w:rPr>
          <w:delText>,</w:delText>
        </w:r>
        <w:r w:rsidRPr="00183B5F">
          <w:rPr>
            <w:szCs w:val="22"/>
          </w:rPr>
          <w:delText xml:space="preserve"> és a biohasznosulásuk csekély. </w:delText>
        </w:r>
        <w:r w:rsidR="00365CB4" w:rsidRPr="00183B5F">
          <w:rPr>
            <w:szCs w:val="22"/>
          </w:rPr>
          <w:delText>N</w:delText>
        </w:r>
        <w:r w:rsidRPr="00183B5F">
          <w:rPr>
            <w:szCs w:val="22"/>
          </w:rPr>
          <w:delText>em várható</w:delText>
        </w:r>
        <w:r w:rsidR="00365CB4" w:rsidRPr="00183B5F">
          <w:rPr>
            <w:szCs w:val="22"/>
          </w:rPr>
          <w:delText>ak</w:delText>
        </w:r>
        <w:r w:rsidRPr="00183B5F">
          <w:rPr>
            <w:szCs w:val="22"/>
          </w:rPr>
          <w:delText xml:space="preserve"> a szoptatott újszülöttekre/csecsemőkre </w:delText>
        </w:r>
        <w:r w:rsidR="00365CB4" w:rsidRPr="00183B5F">
          <w:rPr>
            <w:szCs w:val="22"/>
          </w:rPr>
          <w:delText>gyakorolt hatások</w:delText>
        </w:r>
        <w:r w:rsidRPr="00183B5F">
          <w:rPr>
            <w:szCs w:val="22"/>
          </w:rPr>
          <w:delText>. Következésképpen a Humira alkalmazható szoptatás alatt.</w:delText>
        </w:r>
      </w:del>
    </w:p>
    <w:p w14:paraId="0BF8E969" w14:textId="2924A273" w:rsidR="004B37B2" w:rsidRPr="00183B5F" w:rsidRDefault="004B37B2" w:rsidP="004B37B2">
      <w:pPr>
        <w:spacing w:line="240" w:lineRule="auto"/>
        <w:rPr>
          <w:del w:id="4606" w:author="AbbVie_HU_03" w:date="2025-05-14T15:27:00Z"/>
          <w:b/>
          <w:szCs w:val="22"/>
        </w:rPr>
      </w:pPr>
    </w:p>
    <w:p w14:paraId="671F0CFA" w14:textId="20E0D4E1" w:rsidR="004B37B2" w:rsidRPr="00183B5F" w:rsidRDefault="00943743" w:rsidP="004B37B2">
      <w:pPr>
        <w:keepNext/>
        <w:spacing w:line="240" w:lineRule="auto"/>
        <w:rPr>
          <w:del w:id="4607" w:author="AbbVie_HU_03" w:date="2025-05-14T15:27:00Z"/>
          <w:szCs w:val="22"/>
          <w:u w:val="single"/>
        </w:rPr>
      </w:pPr>
      <w:del w:id="4608" w:author="AbbVie_HU_03" w:date="2025-05-14T15:27:00Z">
        <w:r w:rsidRPr="00183B5F">
          <w:rPr>
            <w:szCs w:val="22"/>
            <w:u w:val="single"/>
          </w:rPr>
          <w:delText>Termékenység</w:delText>
        </w:r>
      </w:del>
    </w:p>
    <w:p w14:paraId="2D41CD9F" w14:textId="6C5372CF" w:rsidR="004B37B2" w:rsidRPr="00183B5F" w:rsidRDefault="004B37B2" w:rsidP="004B37B2">
      <w:pPr>
        <w:keepNext/>
        <w:spacing w:line="240" w:lineRule="auto"/>
        <w:rPr>
          <w:del w:id="4609" w:author="AbbVie_HU_03" w:date="2025-05-14T15:27:00Z"/>
          <w:szCs w:val="22"/>
        </w:rPr>
      </w:pPr>
    </w:p>
    <w:p w14:paraId="507A0C26" w14:textId="36AF54F6" w:rsidR="004B37B2" w:rsidRPr="00183B5F" w:rsidRDefault="00943743" w:rsidP="004B37B2">
      <w:pPr>
        <w:spacing w:line="240" w:lineRule="auto"/>
        <w:rPr>
          <w:del w:id="4610" w:author="AbbVie_HU_03" w:date="2025-05-14T15:27:00Z"/>
          <w:szCs w:val="22"/>
        </w:rPr>
      </w:pPr>
      <w:del w:id="4611" w:author="AbbVie_HU_03" w:date="2025-05-14T15:27:00Z">
        <w:r w:rsidRPr="00183B5F">
          <w:rPr>
            <w:szCs w:val="22"/>
          </w:rPr>
          <w:delText>Nem áll rendelkezésre preklinikai adat az adalimumab termékenységre gyakorolt hatásával kapcsolatban.</w:delText>
        </w:r>
      </w:del>
    </w:p>
    <w:p w14:paraId="75310144" w14:textId="7F5B2925" w:rsidR="004B37B2" w:rsidRPr="00183B5F" w:rsidRDefault="004B37B2" w:rsidP="004B37B2">
      <w:pPr>
        <w:spacing w:line="240" w:lineRule="auto"/>
        <w:rPr>
          <w:del w:id="4612" w:author="AbbVie_HU_03" w:date="2025-05-14T15:27:00Z"/>
          <w:b/>
          <w:szCs w:val="22"/>
        </w:rPr>
      </w:pPr>
    </w:p>
    <w:p w14:paraId="740A8A62" w14:textId="789DA1ED" w:rsidR="00FB6710" w:rsidRPr="00183B5F" w:rsidRDefault="00943743" w:rsidP="004062FE">
      <w:pPr>
        <w:keepNext/>
        <w:spacing w:line="240" w:lineRule="auto"/>
        <w:rPr>
          <w:del w:id="4613" w:author="AbbVie_HU_03" w:date="2025-05-14T15:27:00Z"/>
          <w:b/>
          <w:szCs w:val="22"/>
        </w:rPr>
      </w:pPr>
      <w:del w:id="4614" w:author="AbbVie_HU_03" w:date="2025-05-14T15:27:00Z">
        <w:r w:rsidRPr="00183B5F">
          <w:rPr>
            <w:b/>
            <w:szCs w:val="22"/>
          </w:rPr>
          <w:delText>4.7</w:delText>
        </w:r>
        <w:r w:rsidRPr="00183B5F">
          <w:rPr>
            <w:b/>
            <w:szCs w:val="22"/>
          </w:rPr>
          <w:tab/>
          <w:delText xml:space="preserve">A készítmény hatásai a gépjárművezetéshez és </w:delText>
        </w:r>
        <w:r w:rsidR="006F459E" w:rsidRPr="00183B5F">
          <w:rPr>
            <w:b/>
            <w:szCs w:val="22"/>
          </w:rPr>
          <w:delText xml:space="preserve">a </w:delText>
        </w:r>
        <w:r w:rsidRPr="00183B5F">
          <w:rPr>
            <w:b/>
            <w:szCs w:val="22"/>
          </w:rPr>
          <w:delText>gépek kezeléséhez szükséges képességekre</w:delText>
        </w:r>
      </w:del>
    </w:p>
    <w:p w14:paraId="536BB508" w14:textId="525A04D2" w:rsidR="00FB6710" w:rsidRPr="00183B5F" w:rsidRDefault="00FB6710" w:rsidP="004062FE">
      <w:pPr>
        <w:keepNext/>
        <w:spacing w:line="240" w:lineRule="auto"/>
        <w:rPr>
          <w:del w:id="4615" w:author="AbbVie_HU_03" w:date="2025-05-14T15:27:00Z"/>
          <w:b/>
          <w:szCs w:val="22"/>
        </w:rPr>
      </w:pPr>
    </w:p>
    <w:p w14:paraId="660CCF3E" w14:textId="0A4885D7" w:rsidR="00FB6710" w:rsidRPr="00183B5F" w:rsidRDefault="00943743" w:rsidP="004062FE">
      <w:pPr>
        <w:spacing w:line="240" w:lineRule="auto"/>
        <w:rPr>
          <w:del w:id="4616" w:author="AbbVie_HU_03" w:date="2025-05-14T15:27:00Z"/>
          <w:szCs w:val="22"/>
        </w:rPr>
      </w:pPr>
      <w:del w:id="4617" w:author="AbbVie_HU_03" w:date="2025-05-14T15:27:00Z">
        <w:r w:rsidRPr="00183B5F">
          <w:rPr>
            <w:szCs w:val="22"/>
          </w:rPr>
          <w:delText xml:space="preserve">A Humira csekély mértékben befolyásolhatja a gépjárművezetéshez és </w:delText>
        </w:r>
        <w:r w:rsidR="006F459E" w:rsidRPr="00183B5F">
          <w:rPr>
            <w:szCs w:val="22"/>
          </w:rPr>
          <w:delText xml:space="preserve">a </w:delText>
        </w:r>
        <w:r w:rsidRPr="00183B5F">
          <w:rPr>
            <w:szCs w:val="22"/>
          </w:rPr>
          <w:delText xml:space="preserve">gépek </w:delText>
        </w:r>
        <w:r w:rsidRPr="00183B5F">
          <w:rPr>
            <w:noProof/>
            <w:szCs w:val="22"/>
          </w:rPr>
          <w:delText>kezeléséhez</w:delText>
        </w:r>
        <w:r w:rsidRPr="00183B5F">
          <w:rPr>
            <w:szCs w:val="22"/>
          </w:rPr>
          <w:delText xml:space="preserve"> szükséges képességeket. A Humira alkalmazását követően vertigo és látásromlás fordulhat elő (lásd 4.8 pont).</w:delText>
        </w:r>
      </w:del>
    </w:p>
    <w:p w14:paraId="1477677A" w14:textId="1B434B92" w:rsidR="001934FA" w:rsidRPr="00183B5F" w:rsidRDefault="001934FA" w:rsidP="004062FE">
      <w:pPr>
        <w:spacing w:line="240" w:lineRule="auto"/>
        <w:rPr>
          <w:del w:id="4618" w:author="AbbVie_HU_03" w:date="2025-05-14T15:27:00Z"/>
          <w:b/>
          <w:szCs w:val="22"/>
        </w:rPr>
      </w:pPr>
    </w:p>
    <w:p w14:paraId="43C960A7" w14:textId="2486D8FF" w:rsidR="00FB6710" w:rsidRPr="00183B5F" w:rsidRDefault="00943743" w:rsidP="00F97F1E">
      <w:pPr>
        <w:keepNext/>
        <w:spacing w:line="240" w:lineRule="auto"/>
        <w:rPr>
          <w:del w:id="4619" w:author="AbbVie_HU_03" w:date="2025-05-14T15:27:00Z"/>
          <w:b/>
          <w:szCs w:val="22"/>
        </w:rPr>
      </w:pPr>
      <w:del w:id="4620" w:author="AbbVie_HU_03" w:date="2025-05-14T15:27:00Z">
        <w:r w:rsidRPr="00183B5F">
          <w:rPr>
            <w:b/>
            <w:szCs w:val="22"/>
          </w:rPr>
          <w:delText>4.8</w:delText>
        </w:r>
        <w:r w:rsidRPr="00183B5F">
          <w:rPr>
            <w:b/>
            <w:szCs w:val="22"/>
          </w:rPr>
          <w:tab/>
          <w:delText>Nemkívánatos hatások, mellékhatások</w:delText>
        </w:r>
      </w:del>
    </w:p>
    <w:p w14:paraId="1F8DBC63" w14:textId="643F7B23" w:rsidR="001934FA" w:rsidRPr="00183B5F" w:rsidRDefault="001934FA" w:rsidP="00F97F1E">
      <w:pPr>
        <w:keepNext/>
        <w:spacing w:line="240" w:lineRule="auto"/>
        <w:rPr>
          <w:del w:id="4621" w:author="AbbVie_HU_03" w:date="2025-05-14T15:27:00Z"/>
          <w:b/>
          <w:szCs w:val="22"/>
        </w:rPr>
      </w:pPr>
    </w:p>
    <w:p w14:paraId="1B80F404" w14:textId="7B89261F" w:rsidR="00344544" w:rsidRPr="00183B5F" w:rsidRDefault="00943743" w:rsidP="00F97F1E">
      <w:pPr>
        <w:keepNext/>
        <w:spacing w:line="240" w:lineRule="auto"/>
        <w:rPr>
          <w:del w:id="4622" w:author="AbbVie_HU_03" w:date="2025-05-14T15:27:00Z"/>
          <w:szCs w:val="22"/>
          <w:u w:val="single"/>
        </w:rPr>
      </w:pPr>
      <w:del w:id="4623" w:author="AbbVie_HU_03" w:date="2025-05-14T15:27:00Z">
        <w:r w:rsidRPr="00183B5F">
          <w:rPr>
            <w:szCs w:val="22"/>
            <w:u w:val="single"/>
          </w:rPr>
          <w:delText>A biztonságossági profil összefoglalása</w:delText>
        </w:r>
      </w:del>
    </w:p>
    <w:p w14:paraId="3D1DECF5" w14:textId="578871F7" w:rsidR="00344544" w:rsidRPr="00183B5F" w:rsidRDefault="00344544" w:rsidP="00F97F1E">
      <w:pPr>
        <w:keepNext/>
        <w:spacing w:line="240" w:lineRule="auto"/>
        <w:rPr>
          <w:del w:id="4624" w:author="AbbVie_HU_03" w:date="2025-05-14T15:27:00Z"/>
          <w:b/>
          <w:szCs w:val="22"/>
        </w:rPr>
      </w:pPr>
    </w:p>
    <w:p w14:paraId="401852FD" w14:textId="35314031" w:rsidR="00C9047A" w:rsidRPr="00183B5F" w:rsidRDefault="00943743" w:rsidP="004062FE">
      <w:pPr>
        <w:spacing w:line="240" w:lineRule="auto"/>
        <w:rPr>
          <w:del w:id="4625" w:author="AbbVie_HU_03" w:date="2025-05-14T15:27:00Z"/>
          <w:szCs w:val="22"/>
        </w:rPr>
      </w:pPr>
      <w:del w:id="4626" w:author="AbbVie_HU_03" w:date="2025-05-14T15:27:00Z">
        <w:r w:rsidRPr="00183B5F">
          <w:rPr>
            <w:szCs w:val="22"/>
          </w:rPr>
          <w:delText>A Humira</w:delText>
        </w:r>
        <w:r w:rsidR="00273A88" w:rsidRPr="00183B5F">
          <w:rPr>
            <w:szCs w:val="22"/>
          </w:rPr>
          <w:noBreakHyphen/>
        </w:r>
        <w:r w:rsidRPr="00183B5F">
          <w:rPr>
            <w:szCs w:val="22"/>
          </w:rPr>
          <w:delText xml:space="preserve">t </w:delText>
        </w:r>
        <w:r w:rsidR="00E95022" w:rsidRPr="00183B5F">
          <w:rPr>
            <w:szCs w:val="22"/>
          </w:rPr>
          <w:delText>9</w:delText>
        </w:r>
        <w:r w:rsidR="003655A2" w:rsidRPr="00183B5F">
          <w:rPr>
            <w:szCs w:val="22"/>
          </w:rPr>
          <w:delText>506</w:delText>
        </w:r>
        <w:r w:rsidRPr="00183B5F">
          <w:rPr>
            <w:szCs w:val="22"/>
          </w:rPr>
          <w:delText xml:space="preserve"> beteg bevonásával tanulmányozták pivotális, kontrollos és nyílt vizsgálatokban, 60 hónapig vagy még tovább. Ezekbe a vizsgálatokba rövidebb vagy hosszabb ideje rheumatoid arthritisben, juvenilis idiopathiás arthritisben (polyarticularis juvenilis idiopathiás arthritisben és </w:delText>
        </w:r>
        <w:r w:rsidR="00677908" w:rsidRPr="00183B5F">
          <w:rPr>
            <w:szCs w:val="22"/>
          </w:rPr>
          <w:delText>enthesitis-asszociált</w:delText>
        </w:r>
        <w:r w:rsidRPr="00183B5F">
          <w:rPr>
            <w:szCs w:val="22"/>
          </w:rPr>
          <w:delText xml:space="preserve"> arthritisben), valamint axialis spondyloarthritisben (spondylitis ankylopoeticában és </w:delText>
        </w:r>
        <w:r w:rsidRPr="00183B5F">
          <w:rPr>
            <w:rFonts w:eastAsia="SimSun"/>
            <w:szCs w:val="22"/>
            <w:lang w:eastAsia="zh-CN"/>
          </w:rPr>
          <w:delText>a spondylitis ankylopoeticának (SPA) megfelelő röntgeneltéréssel nem járó</w:delText>
        </w:r>
        <w:r w:rsidRPr="00183B5F">
          <w:rPr>
            <w:szCs w:val="22"/>
          </w:rPr>
          <w:delText xml:space="preserve"> axiális spondyloarthritisben), arthritis psoriaticában, Crohn</w:delText>
        </w:r>
        <w:r w:rsidR="00273A88" w:rsidRPr="00183B5F">
          <w:rPr>
            <w:szCs w:val="22"/>
          </w:rPr>
          <w:noBreakHyphen/>
        </w:r>
        <w:r w:rsidRPr="00183B5F">
          <w:rPr>
            <w:szCs w:val="22"/>
          </w:rPr>
          <w:delText>betegségben, colitis ulcerosában</w:delText>
        </w:r>
        <w:r w:rsidR="00E95022" w:rsidRPr="00183B5F">
          <w:rPr>
            <w:szCs w:val="22"/>
          </w:rPr>
          <w:delText>,</w:delText>
        </w:r>
        <w:r w:rsidRPr="00183B5F">
          <w:rPr>
            <w:szCs w:val="22"/>
          </w:rPr>
          <w:delText xml:space="preserve"> psoriasisban</w:delText>
        </w:r>
        <w:r w:rsidR="00516B92" w:rsidRPr="00183B5F">
          <w:rPr>
            <w:szCs w:val="22"/>
          </w:rPr>
          <w:delText>,</w:delText>
        </w:r>
        <w:r w:rsidR="00E95022" w:rsidRPr="00183B5F">
          <w:rPr>
            <w:szCs w:val="22"/>
          </w:rPr>
          <w:delText xml:space="preserve"> hidradenitis suppurativában </w:delText>
        </w:r>
        <w:r w:rsidR="003655A2" w:rsidRPr="00183B5F">
          <w:rPr>
            <w:szCs w:val="22"/>
          </w:rPr>
          <w:delText xml:space="preserve">és uveitisben </w:delText>
        </w:r>
        <w:r w:rsidRPr="00183B5F">
          <w:rPr>
            <w:szCs w:val="22"/>
          </w:rPr>
          <w:delText xml:space="preserve">szenvedő betegeket választottak be. A pivotális, kontrollos vizsgálatok, amelyek során </w:delText>
        </w:r>
        <w:r w:rsidR="003655A2" w:rsidRPr="00183B5F">
          <w:rPr>
            <w:szCs w:val="22"/>
          </w:rPr>
          <w:delText>6089</w:delText>
        </w:r>
        <w:r w:rsidRPr="00183B5F">
          <w:rPr>
            <w:szCs w:val="22"/>
          </w:rPr>
          <w:delText> beteg részesült Humira</w:delText>
        </w:r>
        <w:r w:rsidR="00273A88" w:rsidRPr="00183B5F">
          <w:rPr>
            <w:szCs w:val="22"/>
          </w:rPr>
          <w:noBreakHyphen/>
        </w:r>
        <w:r w:rsidRPr="00183B5F">
          <w:rPr>
            <w:szCs w:val="22"/>
          </w:rPr>
          <w:delText>kezelésben és 3</w:delText>
        </w:r>
        <w:r w:rsidR="003655A2" w:rsidRPr="00183B5F">
          <w:rPr>
            <w:szCs w:val="22"/>
          </w:rPr>
          <w:delText>801</w:delText>
        </w:r>
        <w:r w:rsidRPr="00183B5F">
          <w:rPr>
            <w:szCs w:val="22"/>
          </w:rPr>
          <w:delText> beteg kapott placebót vagy aktív összehasonlító gyógyszert a kontrollos periódusban és a spontán jelentés során.</w:delText>
        </w:r>
      </w:del>
    </w:p>
    <w:p w14:paraId="0034818A" w14:textId="3D786BA5" w:rsidR="001F5F5A" w:rsidRPr="00183B5F" w:rsidRDefault="001F5F5A">
      <w:pPr>
        <w:suppressAutoHyphens w:val="0"/>
        <w:spacing w:line="240" w:lineRule="auto"/>
        <w:rPr>
          <w:del w:id="4627" w:author="AbbVie_HU_03" w:date="2025-05-14T15:27:00Z"/>
          <w:szCs w:val="22"/>
        </w:rPr>
      </w:pPr>
    </w:p>
    <w:p w14:paraId="795A4580" w14:textId="2A5C1170" w:rsidR="00C53128" w:rsidRPr="00183B5F" w:rsidRDefault="00943743" w:rsidP="004062FE">
      <w:pPr>
        <w:spacing w:line="240" w:lineRule="auto"/>
        <w:rPr>
          <w:del w:id="4628" w:author="AbbVie_HU_03" w:date="2025-05-14T15:27:00Z"/>
          <w:szCs w:val="22"/>
        </w:rPr>
      </w:pPr>
      <w:del w:id="4629" w:author="AbbVie_HU_03" w:date="2025-05-14T15:27:00Z">
        <w:r w:rsidRPr="00183B5F">
          <w:rPr>
            <w:szCs w:val="22"/>
          </w:rPr>
          <w:delText xml:space="preserve">Azon betegek aránya, akik a pivotális vizsgálatok </w:delText>
        </w:r>
        <w:r w:rsidR="00E5381A" w:rsidRPr="00183B5F">
          <w:rPr>
            <w:szCs w:val="22"/>
          </w:rPr>
          <w:delText>kettős vak</w:delText>
        </w:r>
        <w:r w:rsidRPr="00183B5F">
          <w:rPr>
            <w:szCs w:val="22"/>
          </w:rPr>
          <w:delText>, kontrollos részében mellékhatások miatt abbahagyták a kezelést, a Humira</w:delText>
        </w:r>
        <w:r w:rsidR="00273A88" w:rsidRPr="00183B5F">
          <w:rPr>
            <w:szCs w:val="22"/>
          </w:rPr>
          <w:noBreakHyphen/>
        </w:r>
        <w:r w:rsidRPr="00183B5F">
          <w:rPr>
            <w:szCs w:val="22"/>
          </w:rPr>
          <w:delText xml:space="preserve">val kezelt betegcsoportban </w:delText>
        </w:r>
        <w:r w:rsidR="00E95022" w:rsidRPr="00183B5F">
          <w:rPr>
            <w:szCs w:val="22"/>
          </w:rPr>
          <w:delText>5,</w:delText>
        </w:r>
        <w:r w:rsidR="003655A2" w:rsidRPr="00183B5F">
          <w:rPr>
            <w:szCs w:val="22"/>
          </w:rPr>
          <w:delText>9</w:delText>
        </w:r>
        <w:r w:rsidRPr="00183B5F">
          <w:rPr>
            <w:szCs w:val="22"/>
          </w:rPr>
          <w:delText>%, míg a kontroll kezelt betegeknél 5,</w:delText>
        </w:r>
        <w:r w:rsidR="00E95022" w:rsidRPr="00183B5F">
          <w:rPr>
            <w:szCs w:val="22"/>
          </w:rPr>
          <w:delText>4</w:delText>
        </w:r>
        <w:r w:rsidRPr="00183B5F">
          <w:rPr>
            <w:szCs w:val="22"/>
          </w:rPr>
          <w:delText>% volt.</w:delText>
        </w:r>
      </w:del>
    </w:p>
    <w:p w14:paraId="17292C73" w14:textId="2915BB73" w:rsidR="00D17BF3" w:rsidRPr="00183B5F" w:rsidRDefault="00D17BF3" w:rsidP="004062FE">
      <w:pPr>
        <w:spacing w:line="240" w:lineRule="auto"/>
        <w:rPr>
          <w:del w:id="4630" w:author="AbbVie_HU_03" w:date="2025-05-14T15:27:00Z"/>
          <w:szCs w:val="22"/>
        </w:rPr>
      </w:pPr>
    </w:p>
    <w:p w14:paraId="219AFDB0" w14:textId="72FBD308" w:rsidR="00C53128" w:rsidRPr="00183B5F" w:rsidRDefault="00943743" w:rsidP="004062FE">
      <w:pPr>
        <w:spacing w:line="240" w:lineRule="auto"/>
        <w:rPr>
          <w:del w:id="4631" w:author="AbbVie_HU_03" w:date="2025-05-14T15:27:00Z"/>
          <w:szCs w:val="22"/>
        </w:rPr>
      </w:pPr>
      <w:del w:id="4632" w:author="AbbVie_HU_03" w:date="2025-05-14T15:27:00Z">
        <w:r w:rsidRPr="00183B5F">
          <w:rPr>
            <w:szCs w:val="22"/>
          </w:rPr>
          <w:delText xml:space="preserve">A leggyakoribb </w:delText>
        </w:r>
        <w:r w:rsidR="00C617FD" w:rsidRPr="00183B5F">
          <w:rPr>
            <w:szCs w:val="22"/>
          </w:rPr>
          <w:delText>mellékhatások</w:delText>
        </w:r>
        <w:r w:rsidRPr="00183B5F">
          <w:rPr>
            <w:szCs w:val="22"/>
          </w:rPr>
          <w:delText xml:space="preserve"> a fertőzések (mint pl. </w:delText>
        </w:r>
        <w:r w:rsidR="005F07F0" w:rsidRPr="00183B5F">
          <w:rPr>
            <w:szCs w:val="22"/>
          </w:rPr>
          <w:delText>nasopharyngitis</w:delText>
        </w:r>
        <w:r w:rsidRPr="00183B5F">
          <w:rPr>
            <w:szCs w:val="22"/>
          </w:rPr>
          <w:delText>, felső légúti fertőzés és sinusitis), az injekció beadási helyén jelentkező reakciók (erythema, pruritus, suffusio, fájdalom vagy duzzanat), a fejfájás és a mozgásszervi eredetű fájdalom.</w:delText>
        </w:r>
      </w:del>
    </w:p>
    <w:p w14:paraId="52030E78" w14:textId="41DBD52A" w:rsidR="00C53128" w:rsidRPr="00183B5F" w:rsidRDefault="00C53128" w:rsidP="004062FE">
      <w:pPr>
        <w:spacing w:line="240" w:lineRule="auto"/>
        <w:rPr>
          <w:del w:id="4633" w:author="AbbVie_HU_03" w:date="2025-05-14T15:27:00Z"/>
          <w:szCs w:val="22"/>
        </w:rPr>
      </w:pPr>
    </w:p>
    <w:p w14:paraId="5A4F0103" w14:textId="142F09C4" w:rsidR="001F5F5A" w:rsidRPr="00183B5F" w:rsidRDefault="00943743" w:rsidP="004062FE">
      <w:pPr>
        <w:spacing w:line="240" w:lineRule="auto"/>
        <w:rPr>
          <w:del w:id="4634" w:author="AbbVie_HU_03" w:date="2025-05-14T15:27:00Z"/>
          <w:szCs w:val="22"/>
        </w:rPr>
      </w:pPr>
      <w:del w:id="4635" w:author="AbbVie_HU_03" w:date="2025-05-14T15:27:00Z">
        <w:r w:rsidRPr="00183B5F">
          <w:rPr>
            <w:szCs w:val="22"/>
          </w:rPr>
          <w:delText xml:space="preserve">Súlyos </w:delText>
        </w:r>
        <w:r w:rsidR="00F85C07" w:rsidRPr="00183B5F">
          <w:rPr>
            <w:szCs w:val="22"/>
          </w:rPr>
          <w:delText>mellék</w:delText>
        </w:r>
        <w:r w:rsidRPr="00183B5F">
          <w:rPr>
            <w:szCs w:val="22"/>
          </w:rPr>
          <w:delText>hatásokról is beszámoltak a Humira alkalmazása során. A TNF</w:delText>
        </w:r>
        <w:r w:rsidR="00CB700A" w:rsidRPr="00183B5F">
          <w:rPr>
            <w:szCs w:val="22"/>
          </w:rPr>
          <w:noBreakHyphen/>
        </w:r>
        <w:r w:rsidRPr="00183B5F">
          <w:rPr>
            <w:szCs w:val="22"/>
          </w:rPr>
          <w:delText xml:space="preserve">antagonisták, így a Humira is befolyásolja az immunrendszert, és alkalmazásuk megváltoztathatja a </w:delText>
        </w:r>
        <w:r w:rsidR="002F06FC" w:rsidRPr="00183B5F">
          <w:rPr>
            <w:szCs w:val="22"/>
          </w:rPr>
          <w:delText>szervezet fertőzésekkel és</w:delText>
        </w:r>
        <w:r w:rsidRPr="00183B5F">
          <w:rPr>
            <w:szCs w:val="22"/>
          </w:rPr>
          <w:delText xml:space="preserve"> daganatokkal szembeni védekező képességét.</w:delText>
        </w:r>
      </w:del>
    </w:p>
    <w:p w14:paraId="23E6ADC1" w14:textId="3FC566AC" w:rsidR="00C53128" w:rsidRPr="00183B5F" w:rsidRDefault="00943743" w:rsidP="004062FE">
      <w:pPr>
        <w:spacing w:line="240" w:lineRule="auto"/>
        <w:rPr>
          <w:del w:id="4636" w:author="AbbVie_HU_03" w:date="2025-05-14T15:27:00Z"/>
          <w:szCs w:val="22"/>
        </w:rPr>
      </w:pPr>
      <w:del w:id="4637" w:author="AbbVie_HU_03" w:date="2025-05-14T15:27:00Z">
        <w:r w:rsidRPr="00183B5F">
          <w:rPr>
            <w:szCs w:val="22"/>
          </w:rPr>
          <w:delText>A Humira alkalmazása során beszámoltak fatális és életveszélyes fertőzésekről (beleértve a szepszist, az oppurtunista fertőzést és a TBC</w:delText>
        </w:r>
        <w:r w:rsidR="00CB700A" w:rsidRPr="00183B5F">
          <w:rPr>
            <w:szCs w:val="22"/>
          </w:rPr>
          <w:noBreakHyphen/>
        </w:r>
        <w:r w:rsidRPr="00183B5F">
          <w:rPr>
            <w:szCs w:val="22"/>
          </w:rPr>
          <w:delText>t), HBV</w:delText>
        </w:r>
        <w:r w:rsidR="000A456B" w:rsidRPr="00183B5F">
          <w:rPr>
            <w:szCs w:val="22"/>
          </w:rPr>
          <w:delText>-</w:delText>
        </w:r>
        <w:r w:rsidRPr="00183B5F">
          <w:rPr>
            <w:szCs w:val="22"/>
          </w:rPr>
          <w:delText>reaktiválódásról és különböző malignus betegségekről is (beleértve a leukaemiát, a lymphomát és hepatosplenicus T</w:delText>
        </w:r>
        <w:r w:rsidR="00CB700A" w:rsidRPr="00183B5F">
          <w:rPr>
            <w:szCs w:val="22"/>
          </w:rPr>
          <w:noBreakHyphen/>
        </w:r>
        <w:r w:rsidRPr="00183B5F">
          <w:rPr>
            <w:szCs w:val="22"/>
          </w:rPr>
          <w:delText>sejtes lymphomát).</w:delText>
        </w:r>
      </w:del>
    </w:p>
    <w:p w14:paraId="63A47A89" w14:textId="1300A423" w:rsidR="001F5F5A" w:rsidRPr="00183B5F" w:rsidRDefault="001F5F5A" w:rsidP="004062FE">
      <w:pPr>
        <w:spacing w:line="240" w:lineRule="auto"/>
        <w:rPr>
          <w:del w:id="4638" w:author="AbbVie_HU_03" w:date="2025-05-14T15:27:00Z"/>
          <w:szCs w:val="22"/>
        </w:rPr>
      </w:pPr>
    </w:p>
    <w:p w14:paraId="37FDC72A" w14:textId="2831A0DC" w:rsidR="00C53128" w:rsidRPr="00183B5F" w:rsidRDefault="00943743" w:rsidP="004062FE">
      <w:pPr>
        <w:spacing w:line="240" w:lineRule="auto"/>
        <w:rPr>
          <w:del w:id="4639" w:author="AbbVie_HU_03" w:date="2025-05-14T15:27:00Z"/>
          <w:szCs w:val="22"/>
        </w:rPr>
      </w:pPr>
      <w:del w:id="4640" w:author="AbbVie_HU_03" w:date="2025-05-14T15:27:00Z">
        <w:r w:rsidRPr="00183B5F">
          <w:rPr>
            <w:szCs w:val="22"/>
          </w:rPr>
          <w:delText>Súlyos haematol</w:delText>
        </w:r>
        <w:r w:rsidR="00516B92" w:rsidRPr="00183B5F">
          <w:rPr>
            <w:szCs w:val="22"/>
          </w:rPr>
          <w:delText>ó</w:delText>
        </w:r>
        <w:r w:rsidRPr="00183B5F">
          <w:rPr>
            <w:szCs w:val="22"/>
          </w:rPr>
          <w:delText>giai, neurológiai és autoimmun folyamatokról is beszámoltak, mint pl. pancytopenia, aplasticus anaemia, központi és perifériás demyelinisatiós betegségek néhány esete, lupus erythemato</w:delText>
        </w:r>
        <w:r w:rsidR="00004B4F" w:rsidRPr="00183B5F">
          <w:rPr>
            <w:szCs w:val="22"/>
          </w:rPr>
          <w:delText>sus</w:delText>
        </w:r>
        <w:r w:rsidRPr="00183B5F">
          <w:rPr>
            <w:szCs w:val="22"/>
          </w:rPr>
          <w:delText>, lupus</w:delText>
        </w:r>
        <w:r w:rsidR="00CB700A" w:rsidRPr="00183B5F">
          <w:rPr>
            <w:szCs w:val="22"/>
          </w:rPr>
          <w:noBreakHyphen/>
        </w:r>
        <w:r w:rsidR="00906229" w:rsidRPr="00183B5F">
          <w:rPr>
            <w:szCs w:val="22"/>
          </w:rPr>
          <w:delText>szal összefüggő</w:delText>
        </w:r>
        <w:r w:rsidRPr="00183B5F">
          <w:rPr>
            <w:szCs w:val="22"/>
          </w:rPr>
          <w:delText xml:space="preserve"> betegségek és Stevens</w:delText>
        </w:r>
        <w:r w:rsidR="00004B4F" w:rsidRPr="00183B5F">
          <w:rPr>
            <w:szCs w:val="22"/>
          </w:rPr>
          <w:delText>–</w:delText>
        </w:r>
        <w:r w:rsidRPr="00183B5F">
          <w:rPr>
            <w:szCs w:val="22"/>
          </w:rPr>
          <w:delText>Johnson</w:delText>
        </w:r>
        <w:r w:rsidR="00DA33F0" w:rsidRPr="00183B5F">
          <w:rPr>
            <w:szCs w:val="22"/>
          </w:rPr>
          <w:delText>-</w:delText>
        </w:r>
        <w:r w:rsidRPr="00183B5F">
          <w:rPr>
            <w:szCs w:val="22"/>
          </w:rPr>
          <w:delText>szindróma.</w:delText>
        </w:r>
      </w:del>
    </w:p>
    <w:p w14:paraId="1DCE7798" w14:textId="12F4D73D" w:rsidR="00C53128" w:rsidRPr="00183B5F" w:rsidRDefault="00C53128" w:rsidP="004062FE">
      <w:pPr>
        <w:spacing w:line="240" w:lineRule="auto"/>
        <w:rPr>
          <w:del w:id="4641" w:author="AbbVie_HU_03" w:date="2025-05-14T15:27:00Z"/>
          <w:szCs w:val="22"/>
        </w:rPr>
      </w:pPr>
    </w:p>
    <w:p w14:paraId="14CEB3D3" w14:textId="6A0864A1" w:rsidR="00C95D35" w:rsidRPr="00183B5F" w:rsidRDefault="00943743" w:rsidP="004062FE">
      <w:pPr>
        <w:keepNext/>
        <w:spacing w:line="240" w:lineRule="auto"/>
        <w:rPr>
          <w:del w:id="4642" w:author="AbbVie_HU_03" w:date="2025-05-14T15:27:00Z"/>
          <w:iCs/>
          <w:szCs w:val="22"/>
          <w:u w:val="single"/>
        </w:rPr>
      </w:pPr>
      <w:del w:id="4643" w:author="AbbVie_HU_03" w:date="2025-05-14T15:27:00Z">
        <w:r w:rsidRPr="00183B5F">
          <w:rPr>
            <w:iCs/>
            <w:szCs w:val="22"/>
            <w:u w:val="single"/>
          </w:rPr>
          <w:delText>Gyermekek</w:delText>
        </w:r>
        <w:r w:rsidR="00516B92" w:rsidRPr="00183B5F">
          <w:rPr>
            <w:iCs/>
            <w:szCs w:val="22"/>
            <w:u w:val="single"/>
          </w:rPr>
          <w:delText xml:space="preserve"> és serdülők</w:delText>
        </w:r>
      </w:del>
    </w:p>
    <w:p w14:paraId="58D56291" w14:textId="5F095345" w:rsidR="00C95D35" w:rsidRPr="00183B5F" w:rsidRDefault="00C95D35" w:rsidP="004062FE">
      <w:pPr>
        <w:keepNext/>
        <w:spacing w:line="240" w:lineRule="auto"/>
        <w:rPr>
          <w:del w:id="4644" w:author="AbbVie_HU_03" w:date="2025-05-14T15:27:00Z"/>
          <w:iCs/>
          <w:szCs w:val="22"/>
          <w:u w:val="single"/>
        </w:rPr>
      </w:pPr>
    </w:p>
    <w:p w14:paraId="0D33485E" w14:textId="7F6893A0" w:rsidR="00FB6710" w:rsidRPr="00183B5F" w:rsidRDefault="00943743" w:rsidP="004062FE">
      <w:pPr>
        <w:spacing w:line="240" w:lineRule="auto"/>
        <w:rPr>
          <w:del w:id="4645" w:author="AbbVie_HU_03" w:date="2025-05-14T15:27:00Z"/>
          <w:szCs w:val="22"/>
        </w:rPr>
      </w:pPr>
      <w:del w:id="4646" w:author="AbbVie_HU_03" w:date="2025-05-14T15:27:00Z">
        <w:r w:rsidRPr="00183B5F">
          <w:rPr>
            <w:szCs w:val="22"/>
          </w:rPr>
          <w:delText xml:space="preserve">Általában véve a </w:delText>
        </w:r>
        <w:r w:rsidR="00004B4F" w:rsidRPr="00183B5F">
          <w:rPr>
            <w:szCs w:val="22"/>
          </w:rPr>
          <w:delText>gyermekeknél és serdülőknél</w:delText>
        </w:r>
        <w:r w:rsidRPr="00183B5F">
          <w:rPr>
            <w:szCs w:val="22"/>
          </w:rPr>
          <w:delText xml:space="preserve"> megfigyelt nemkívánatos események gyakorisága és típusa hasonló volt azokhoz, mint amiket a felnőtt betegeknél észleltek.</w:delText>
        </w:r>
      </w:del>
    </w:p>
    <w:p w14:paraId="036C0303" w14:textId="69F46898" w:rsidR="00FB6710" w:rsidRPr="00183B5F" w:rsidRDefault="00FB6710" w:rsidP="004062FE">
      <w:pPr>
        <w:spacing w:line="240" w:lineRule="auto"/>
        <w:rPr>
          <w:del w:id="4647" w:author="AbbVie_HU_03" w:date="2025-05-14T15:27:00Z"/>
          <w:szCs w:val="22"/>
        </w:rPr>
      </w:pPr>
    </w:p>
    <w:p w14:paraId="61BC3ACB" w14:textId="7CEA1B38" w:rsidR="00C95D35" w:rsidRPr="00183B5F" w:rsidRDefault="00943743" w:rsidP="004062FE">
      <w:pPr>
        <w:keepNext/>
        <w:spacing w:line="240" w:lineRule="auto"/>
        <w:rPr>
          <w:del w:id="4648" w:author="AbbVie_HU_03" w:date="2025-05-14T15:27:00Z"/>
          <w:szCs w:val="22"/>
          <w:u w:val="single"/>
        </w:rPr>
      </w:pPr>
      <w:del w:id="4649" w:author="AbbVie_HU_03" w:date="2025-05-14T15:27:00Z">
        <w:r w:rsidRPr="00183B5F">
          <w:rPr>
            <w:szCs w:val="22"/>
            <w:u w:val="single"/>
          </w:rPr>
          <w:delText>A mellékhatások táblázatos felsorolása</w:delText>
        </w:r>
      </w:del>
    </w:p>
    <w:p w14:paraId="0D285A23" w14:textId="3C2325E9" w:rsidR="00C95D35" w:rsidRPr="00183B5F" w:rsidRDefault="00C95D35" w:rsidP="004062FE">
      <w:pPr>
        <w:keepNext/>
        <w:spacing w:line="240" w:lineRule="auto"/>
        <w:rPr>
          <w:del w:id="4650" w:author="AbbVie_HU_03" w:date="2025-05-14T15:27:00Z"/>
          <w:szCs w:val="22"/>
          <w:u w:val="single"/>
        </w:rPr>
      </w:pPr>
    </w:p>
    <w:p w14:paraId="6016A2C4" w14:textId="169C585F" w:rsidR="00FB6710" w:rsidRPr="00183B5F" w:rsidRDefault="00943743" w:rsidP="004062FE">
      <w:pPr>
        <w:keepNext/>
        <w:spacing w:line="240" w:lineRule="auto"/>
        <w:rPr>
          <w:del w:id="4651" w:author="AbbVie_HU_03" w:date="2025-05-14T15:27:00Z"/>
          <w:szCs w:val="22"/>
        </w:rPr>
      </w:pPr>
      <w:del w:id="4652" w:author="AbbVie_HU_03" w:date="2025-05-14T15:27:00Z">
        <w:r w:rsidRPr="00183B5F">
          <w:rPr>
            <w:szCs w:val="22"/>
          </w:rPr>
          <w:delText>A</w:delText>
        </w:r>
        <w:r w:rsidR="00876AB2" w:rsidRPr="00183B5F">
          <w:rPr>
            <w:szCs w:val="22"/>
          </w:rPr>
          <w:delText xml:space="preserve"> </w:delText>
        </w:r>
        <w:r w:rsidR="003B3FB8" w:rsidRPr="00183B5F">
          <w:rPr>
            <w:szCs w:val="22"/>
          </w:rPr>
          <w:delText>7</w:delText>
        </w:r>
        <w:r w:rsidR="00876AB2" w:rsidRPr="00183B5F">
          <w:rPr>
            <w:szCs w:val="22"/>
          </w:rPr>
          <w:delText>.</w:delText>
        </w:r>
        <w:r w:rsidR="00CB700A" w:rsidRPr="00183B5F">
          <w:rPr>
            <w:szCs w:val="22"/>
          </w:rPr>
          <w:delText> </w:delText>
        </w:r>
        <w:r w:rsidR="00876AB2" w:rsidRPr="00183B5F">
          <w:rPr>
            <w:szCs w:val="22"/>
          </w:rPr>
          <w:delText xml:space="preserve">táblázatban a </w:delText>
        </w:r>
        <w:r w:rsidRPr="00183B5F">
          <w:rPr>
            <w:szCs w:val="22"/>
          </w:rPr>
          <w:delText>klinikai vizsgálatok</w:delText>
        </w:r>
        <w:r w:rsidR="00876AB2" w:rsidRPr="00183B5F">
          <w:rPr>
            <w:szCs w:val="22"/>
          </w:rPr>
          <w:delText xml:space="preserve"> során</w:delText>
        </w:r>
        <w:r w:rsidRPr="00183B5F">
          <w:rPr>
            <w:szCs w:val="22"/>
          </w:rPr>
          <w:delText xml:space="preserve"> és a forgalomba hozatalt követően észlelt </w:delText>
        </w:r>
        <w:r w:rsidR="00B33EE7" w:rsidRPr="00183B5F">
          <w:rPr>
            <w:szCs w:val="22"/>
          </w:rPr>
          <w:delText>mellékhatások</w:delText>
        </w:r>
        <w:r w:rsidRPr="00183B5F">
          <w:rPr>
            <w:szCs w:val="22"/>
          </w:rPr>
          <w:delText xml:space="preserve"> vannak szervrendszer és gyakoriság szerint </w:delText>
        </w:r>
        <w:r w:rsidR="00876AB2" w:rsidRPr="00183B5F">
          <w:rPr>
            <w:szCs w:val="22"/>
          </w:rPr>
          <w:delText xml:space="preserve">felsorolva </w:delText>
        </w:r>
        <w:r w:rsidRPr="00183B5F">
          <w:rPr>
            <w:szCs w:val="22"/>
          </w:rPr>
          <w:delText xml:space="preserve">nagyon gyakori </w:delText>
        </w:r>
        <w:r w:rsidR="006D14D6" w:rsidRPr="00183B5F">
          <w:rPr>
            <w:szCs w:val="22"/>
          </w:rPr>
          <w:delText>(</w:delText>
        </w:r>
        <w:r w:rsidRPr="00183B5F">
          <w:rPr>
            <w:szCs w:val="22"/>
          </w:rPr>
          <w:delText>≥ 1/10</w:delText>
        </w:r>
        <w:r w:rsidR="006D14D6" w:rsidRPr="00183B5F">
          <w:rPr>
            <w:szCs w:val="22"/>
          </w:rPr>
          <w:delText>)</w:delText>
        </w:r>
        <w:r w:rsidRPr="00183B5F">
          <w:rPr>
            <w:szCs w:val="22"/>
          </w:rPr>
          <w:delText xml:space="preserve">; gyakori </w:delText>
        </w:r>
        <w:r w:rsidR="006D14D6" w:rsidRPr="00183B5F">
          <w:rPr>
            <w:szCs w:val="22"/>
          </w:rPr>
          <w:delText>(</w:delText>
        </w:r>
        <w:r w:rsidRPr="00183B5F">
          <w:rPr>
            <w:szCs w:val="22"/>
          </w:rPr>
          <w:delText>≥ 1/100 - </w:delText>
        </w:r>
        <w:r w:rsidRPr="00183B5F">
          <w:rPr>
            <w:rFonts w:ascii="Symbol" w:hAnsi="Symbol"/>
            <w:szCs w:val="22"/>
          </w:rPr>
          <w:sym w:font="Symbol" w:char="F03C"/>
        </w:r>
        <w:r w:rsidRPr="00183B5F">
          <w:rPr>
            <w:szCs w:val="22"/>
          </w:rPr>
          <w:delText> 1/10</w:delText>
        </w:r>
        <w:r w:rsidR="006D14D6" w:rsidRPr="00183B5F">
          <w:rPr>
            <w:szCs w:val="22"/>
          </w:rPr>
          <w:delText>)</w:delText>
        </w:r>
        <w:r w:rsidRPr="00183B5F">
          <w:rPr>
            <w:szCs w:val="22"/>
          </w:rPr>
          <w:delText xml:space="preserve">; nem gyakori </w:delText>
        </w:r>
        <w:r w:rsidR="006D14D6" w:rsidRPr="00183B5F">
          <w:rPr>
            <w:szCs w:val="22"/>
          </w:rPr>
          <w:delText>(</w:delText>
        </w:r>
        <w:r w:rsidRPr="00183B5F">
          <w:rPr>
            <w:szCs w:val="22"/>
          </w:rPr>
          <w:delText>≥ 1/1000 - </w:delText>
        </w:r>
        <w:r w:rsidRPr="00183B5F">
          <w:rPr>
            <w:rFonts w:ascii="Symbol" w:hAnsi="Symbol"/>
            <w:szCs w:val="22"/>
          </w:rPr>
          <w:sym w:font="Symbol" w:char="F0A3"/>
        </w:r>
        <w:r w:rsidRPr="00183B5F">
          <w:rPr>
            <w:szCs w:val="22"/>
          </w:rPr>
          <w:delText> 1/100</w:delText>
        </w:r>
        <w:r w:rsidR="006D14D6" w:rsidRPr="00183B5F">
          <w:rPr>
            <w:szCs w:val="22"/>
          </w:rPr>
          <w:delText>)</w:delText>
        </w:r>
        <w:r w:rsidRPr="00183B5F">
          <w:rPr>
            <w:szCs w:val="22"/>
          </w:rPr>
          <w:delText xml:space="preserve">, ritka </w:delText>
        </w:r>
        <w:r w:rsidR="006D14D6" w:rsidRPr="00183B5F">
          <w:rPr>
            <w:szCs w:val="22"/>
          </w:rPr>
          <w:delText>(</w:delText>
        </w:r>
        <w:r w:rsidRPr="00183B5F">
          <w:rPr>
            <w:rFonts w:ascii="Symbol" w:hAnsi="Symbol"/>
          </w:rPr>
          <w:sym w:font="Symbol" w:char="F0B3"/>
        </w:r>
        <w:r w:rsidRPr="00183B5F">
          <w:rPr>
            <w:szCs w:val="22"/>
          </w:rPr>
          <w:delText> 1/10</w:delText>
        </w:r>
        <w:r w:rsidR="00516B92" w:rsidRPr="00183B5F">
          <w:rPr>
            <w:szCs w:val="22"/>
          </w:rPr>
          <w:delText> </w:delText>
        </w:r>
        <w:r w:rsidRPr="00183B5F">
          <w:rPr>
            <w:szCs w:val="22"/>
          </w:rPr>
          <w:delText xml:space="preserve">000 - </w:delText>
        </w:r>
        <w:r w:rsidRPr="00183B5F">
          <w:rPr>
            <w:rFonts w:ascii="Symbol" w:hAnsi="Symbol"/>
            <w:szCs w:val="22"/>
          </w:rPr>
          <w:sym w:font="Symbol" w:char="F0A3"/>
        </w:r>
        <w:r w:rsidRPr="00183B5F">
          <w:rPr>
            <w:szCs w:val="22"/>
          </w:rPr>
          <w:delText> 1/1000</w:delText>
        </w:r>
        <w:r w:rsidR="006D14D6" w:rsidRPr="00183B5F">
          <w:rPr>
            <w:szCs w:val="22"/>
          </w:rPr>
          <w:delText>)</w:delText>
        </w:r>
        <w:r w:rsidRPr="00183B5F">
          <w:rPr>
            <w:szCs w:val="22"/>
          </w:rPr>
          <w:delText xml:space="preserve"> és nem ismert </w:delText>
        </w:r>
        <w:r w:rsidR="00D17BF3" w:rsidRPr="00183B5F">
          <w:rPr>
            <w:szCs w:val="22"/>
          </w:rPr>
          <w:delText>(</w:delText>
        </w:r>
        <w:r w:rsidRPr="00183B5F">
          <w:rPr>
            <w:szCs w:val="22"/>
          </w:rPr>
          <w:delText xml:space="preserve">a </w:delText>
        </w:r>
        <w:r w:rsidR="00004B4F" w:rsidRPr="00183B5F">
          <w:rPr>
            <w:szCs w:val="22"/>
          </w:rPr>
          <w:delText xml:space="preserve">gyakoriság a </w:delText>
        </w:r>
        <w:r w:rsidRPr="00183B5F">
          <w:rPr>
            <w:szCs w:val="22"/>
          </w:rPr>
          <w:delText>rendelkezésre álló adatokból nem állapítható meg)</w:delText>
        </w:r>
        <w:r w:rsidR="00876AB2" w:rsidRPr="00183B5F">
          <w:rPr>
            <w:szCs w:val="22"/>
          </w:rPr>
          <w:delText xml:space="preserve">. </w:delText>
        </w:r>
        <w:r w:rsidRPr="00183B5F">
          <w:rPr>
            <w:bCs/>
            <w:szCs w:val="22"/>
          </w:rPr>
          <w:delText>Az egyes gyakorisági kategóriákon belül a mellékhatások csökkenő súlyosság szerint kerülnek megadásra</w:delText>
        </w:r>
        <w:r w:rsidRPr="00183B5F">
          <w:rPr>
            <w:szCs w:val="22"/>
          </w:rPr>
          <w:delText xml:space="preserve">. A különböző indikációk esetén előforduló legnagyobb előfordulási gyakoriság került </w:delText>
        </w:r>
        <w:r w:rsidR="00903D19" w:rsidRPr="00183B5F">
          <w:rPr>
            <w:szCs w:val="22"/>
          </w:rPr>
          <w:delText>feltüntetésre</w:delText>
        </w:r>
        <w:r w:rsidRPr="00183B5F">
          <w:rPr>
            <w:szCs w:val="22"/>
          </w:rPr>
          <w:delText xml:space="preserve">. A szervrendszeri kategóriák oszlopában csillag (*) jelzi, ha </w:delText>
        </w:r>
        <w:r w:rsidR="00C43DDD" w:rsidRPr="00183B5F">
          <w:rPr>
            <w:szCs w:val="22"/>
          </w:rPr>
          <w:delText>további információ található</w:delText>
        </w:r>
        <w:r w:rsidRPr="00183B5F">
          <w:rPr>
            <w:szCs w:val="22"/>
          </w:rPr>
          <w:delText xml:space="preserve"> a 4.3, 4.4 és 4.8 pontban.</w:delText>
        </w:r>
      </w:del>
    </w:p>
    <w:p w14:paraId="5F6F1FEE" w14:textId="06F6E3F2" w:rsidR="00FB6710" w:rsidRPr="00183B5F" w:rsidRDefault="00FB6710" w:rsidP="004062FE">
      <w:pPr>
        <w:suppressAutoHyphens w:val="0"/>
        <w:spacing w:line="240" w:lineRule="auto"/>
        <w:rPr>
          <w:del w:id="4653" w:author="AbbVie_HU_03" w:date="2025-05-14T15:27:00Z"/>
          <w:szCs w:val="22"/>
        </w:rPr>
      </w:pPr>
    </w:p>
    <w:p w14:paraId="4528C86D" w14:textId="77711152" w:rsidR="00FB6710" w:rsidRPr="00183B5F" w:rsidRDefault="00943743" w:rsidP="004062FE">
      <w:pPr>
        <w:keepNext/>
        <w:suppressAutoHyphens w:val="0"/>
        <w:spacing w:line="240" w:lineRule="auto"/>
        <w:ind w:left="360"/>
        <w:jc w:val="center"/>
        <w:rPr>
          <w:del w:id="4654" w:author="AbbVie_HU_03" w:date="2025-05-14T15:27:00Z"/>
          <w:b/>
          <w:szCs w:val="22"/>
        </w:rPr>
      </w:pPr>
      <w:del w:id="4655" w:author="AbbVie_HU_03" w:date="2025-05-14T15:27:00Z">
        <w:r w:rsidRPr="00183B5F">
          <w:rPr>
            <w:b/>
            <w:szCs w:val="22"/>
          </w:rPr>
          <w:delText>7.</w:delText>
        </w:r>
        <w:r w:rsidR="00E848B7" w:rsidRPr="00183B5F">
          <w:rPr>
            <w:b/>
            <w:szCs w:val="22"/>
          </w:rPr>
          <w:delText> </w:delText>
        </w:r>
        <w:r w:rsidRPr="00183B5F">
          <w:rPr>
            <w:b/>
            <w:szCs w:val="22"/>
          </w:rPr>
          <w:delText>táblázat</w:delText>
        </w:r>
      </w:del>
    </w:p>
    <w:p w14:paraId="489DC4B4" w14:textId="227DB79D" w:rsidR="00FB6710" w:rsidRPr="00183B5F" w:rsidRDefault="00943743" w:rsidP="004062FE">
      <w:pPr>
        <w:keepNext/>
        <w:suppressAutoHyphens w:val="0"/>
        <w:spacing w:line="240" w:lineRule="auto"/>
        <w:jc w:val="center"/>
        <w:rPr>
          <w:del w:id="4656" w:author="AbbVie_HU_03" w:date="2025-05-14T15:27:00Z"/>
          <w:b/>
          <w:szCs w:val="22"/>
        </w:rPr>
      </w:pPr>
      <w:del w:id="4657" w:author="AbbVie_HU_03" w:date="2025-05-14T15:27:00Z">
        <w:r w:rsidRPr="00183B5F">
          <w:rPr>
            <w:b/>
            <w:szCs w:val="22"/>
          </w:rPr>
          <w:delText>Nemkívánatos hatások</w:delText>
        </w:r>
      </w:del>
    </w:p>
    <w:p w14:paraId="679015B0" w14:textId="4BF9CE50" w:rsidR="00FB6710" w:rsidRPr="00183B5F" w:rsidRDefault="00FB6710" w:rsidP="004062FE">
      <w:pPr>
        <w:keepNext/>
        <w:suppressAutoHyphens w:val="0"/>
        <w:spacing w:line="240" w:lineRule="auto"/>
        <w:jc w:val="center"/>
        <w:rPr>
          <w:del w:id="4658" w:author="AbbVie_HU_03" w:date="2025-05-14T15:27:00Z"/>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2107"/>
        <w:gridCol w:w="4451"/>
      </w:tblGrid>
      <w:tr w:rsidR="00011D2F" w14:paraId="2BF55115" w14:textId="6E36F391" w:rsidTr="00202B95">
        <w:trPr>
          <w:cantSplit/>
          <w:tblHeader/>
          <w:del w:id="4659" w:author="AbbVie_HU_03" w:date="2025-05-14T15:27:00Z"/>
        </w:trPr>
        <w:tc>
          <w:tcPr>
            <w:tcW w:w="2503" w:type="dxa"/>
            <w:tcBorders>
              <w:bottom w:val="single" w:sz="4" w:space="0" w:color="auto"/>
            </w:tcBorders>
          </w:tcPr>
          <w:p w14:paraId="1D9CFB26" w14:textId="68ADB189" w:rsidR="00FB6710" w:rsidRPr="00183B5F" w:rsidRDefault="00943743" w:rsidP="004062FE">
            <w:pPr>
              <w:widowControl w:val="0"/>
              <w:suppressAutoHyphens w:val="0"/>
              <w:spacing w:line="240" w:lineRule="auto"/>
              <w:jc w:val="center"/>
              <w:rPr>
                <w:del w:id="4660" w:author="AbbVie_HU_03" w:date="2025-05-14T15:27:00Z"/>
                <w:b/>
              </w:rPr>
            </w:pPr>
            <w:del w:id="4661" w:author="AbbVie_HU_03" w:date="2025-05-14T15:27:00Z">
              <w:r w:rsidRPr="00183B5F">
                <w:rPr>
                  <w:b/>
                </w:rPr>
                <w:delText>Szervrendszerenkénti csoportosítás</w:delText>
              </w:r>
            </w:del>
          </w:p>
        </w:tc>
        <w:tc>
          <w:tcPr>
            <w:tcW w:w="2107" w:type="dxa"/>
            <w:tcBorders>
              <w:bottom w:val="single" w:sz="4" w:space="0" w:color="auto"/>
            </w:tcBorders>
          </w:tcPr>
          <w:p w14:paraId="2A5B9E19" w14:textId="6B0FAAC8" w:rsidR="00FB6710" w:rsidRPr="00183B5F" w:rsidRDefault="00943743" w:rsidP="004062FE">
            <w:pPr>
              <w:widowControl w:val="0"/>
              <w:suppressAutoHyphens w:val="0"/>
              <w:spacing w:line="240" w:lineRule="auto"/>
              <w:jc w:val="center"/>
              <w:rPr>
                <w:del w:id="4662" w:author="AbbVie_HU_03" w:date="2025-05-14T15:27:00Z"/>
                <w:b/>
              </w:rPr>
            </w:pPr>
            <w:del w:id="4663" w:author="AbbVie_HU_03" w:date="2025-05-14T15:27:00Z">
              <w:r w:rsidRPr="00183B5F">
                <w:rPr>
                  <w:b/>
                </w:rPr>
                <w:delText>Gyakoriság</w:delText>
              </w:r>
            </w:del>
          </w:p>
        </w:tc>
        <w:tc>
          <w:tcPr>
            <w:tcW w:w="4451" w:type="dxa"/>
            <w:tcBorders>
              <w:bottom w:val="single" w:sz="4" w:space="0" w:color="auto"/>
            </w:tcBorders>
          </w:tcPr>
          <w:p w14:paraId="17CCEEE4" w14:textId="4F93A53D" w:rsidR="00FB6710" w:rsidRPr="00183B5F" w:rsidRDefault="00943743" w:rsidP="004062FE">
            <w:pPr>
              <w:widowControl w:val="0"/>
              <w:suppressAutoHyphens w:val="0"/>
              <w:spacing w:line="240" w:lineRule="auto"/>
              <w:jc w:val="center"/>
              <w:rPr>
                <w:del w:id="4664" w:author="AbbVie_HU_03" w:date="2025-05-14T15:27:00Z"/>
                <w:b/>
              </w:rPr>
            </w:pPr>
            <w:del w:id="4665" w:author="AbbVie_HU_03" w:date="2025-05-14T15:27:00Z">
              <w:r w:rsidRPr="00183B5F">
                <w:rPr>
                  <w:b/>
                </w:rPr>
                <w:delText>Mellékhatás</w:delText>
              </w:r>
            </w:del>
          </w:p>
        </w:tc>
      </w:tr>
      <w:tr w:rsidR="00011D2F" w14:paraId="1D40A0A2" w14:textId="1F59BAA5" w:rsidTr="00202B95">
        <w:trPr>
          <w:cantSplit/>
          <w:trHeight w:val="1061"/>
          <w:del w:id="4666" w:author="AbbVie_HU_03" w:date="2025-05-14T15:27:00Z"/>
        </w:trPr>
        <w:tc>
          <w:tcPr>
            <w:tcW w:w="2503" w:type="dxa"/>
            <w:vMerge w:val="restart"/>
            <w:tcBorders>
              <w:bottom w:val="single" w:sz="4" w:space="0" w:color="auto"/>
            </w:tcBorders>
          </w:tcPr>
          <w:p w14:paraId="7D346B91" w14:textId="2E29E2D7" w:rsidR="00FB6710" w:rsidRPr="00183B5F" w:rsidRDefault="00943743" w:rsidP="004062FE">
            <w:pPr>
              <w:pStyle w:val="EMEANormal"/>
              <w:widowControl w:val="0"/>
              <w:suppressAutoHyphens w:val="0"/>
              <w:rPr>
                <w:del w:id="4667" w:author="AbbVie_HU_03" w:date="2025-05-14T15:27:00Z"/>
                <w:lang w:val="hu-HU"/>
              </w:rPr>
            </w:pPr>
            <w:del w:id="4668" w:author="AbbVie_HU_03" w:date="2025-05-14T15:27:00Z">
              <w:r w:rsidRPr="00183B5F">
                <w:rPr>
                  <w:lang w:val="hu-HU"/>
                </w:rPr>
                <w:delText>Fertőző betegségek és parazitafertőzések*</w:delText>
              </w:r>
            </w:del>
          </w:p>
          <w:p w14:paraId="5F0F8AD1" w14:textId="17F0291A" w:rsidR="00FB6710" w:rsidRPr="00183B5F" w:rsidRDefault="00FB6710" w:rsidP="004062FE">
            <w:pPr>
              <w:widowControl w:val="0"/>
              <w:suppressAutoHyphens w:val="0"/>
              <w:spacing w:line="240" w:lineRule="auto"/>
              <w:rPr>
                <w:del w:id="4669" w:author="AbbVie_HU_03" w:date="2025-05-14T15:27:00Z"/>
              </w:rPr>
            </w:pPr>
          </w:p>
        </w:tc>
        <w:tc>
          <w:tcPr>
            <w:tcW w:w="2107" w:type="dxa"/>
            <w:tcBorders>
              <w:bottom w:val="single" w:sz="4" w:space="0" w:color="auto"/>
            </w:tcBorders>
          </w:tcPr>
          <w:p w14:paraId="724D588D" w14:textId="16F3000A" w:rsidR="00CB700A" w:rsidRPr="00183B5F" w:rsidRDefault="00943743" w:rsidP="004062FE">
            <w:pPr>
              <w:pStyle w:val="EMEANormal"/>
              <w:widowControl w:val="0"/>
              <w:suppressAutoHyphens w:val="0"/>
              <w:rPr>
                <w:del w:id="4670" w:author="AbbVie_HU_03" w:date="2025-05-14T15:27:00Z"/>
                <w:lang w:val="hu-HU"/>
              </w:rPr>
            </w:pPr>
            <w:del w:id="4671" w:author="AbbVie_HU_03" w:date="2025-05-14T15:27:00Z">
              <w:r w:rsidRPr="00183B5F">
                <w:rPr>
                  <w:lang w:val="hu-HU"/>
                </w:rPr>
                <w:delText>Nagyon gyakori</w:delText>
              </w:r>
            </w:del>
          </w:p>
          <w:p w14:paraId="1C4B1741" w14:textId="03553FB3" w:rsidR="00141F2A" w:rsidRPr="00183B5F" w:rsidRDefault="00141F2A" w:rsidP="004062FE">
            <w:pPr>
              <w:pStyle w:val="EMEANormal"/>
              <w:widowControl w:val="0"/>
              <w:suppressAutoHyphens w:val="0"/>
              <w:rPr>
                <w:del w:id="4672" w:author="AbbVie_HU_03" w:date="2025-05-14T15:27:00Z"/>
                <w:lang w:val="hu-HU"/>
              </w:rPr>
            </w:pPr>
          </w:p>
        </w:tc>
        <w:tc>
          <w:tcPr>
            <w:tcW w:w="4451" w:type="dxa"/>
            <w:tcBorders>
              <w:bottom w:val="single" w:sz="4" w:space="0" w:color="auto"/>
            </w:tcBorders>
          </w:tcPr>
          <w:p w14:paraId="07C7E02C" w14:textId="10EDD438" w:rsidR="00CB700A" w:rsidRPr="00183B5F" w:rsidRDefault="00943743" w:rsidP="004062FE">
            <w:pPr>
              <w:pStyle w:val="EMEANormal"/>
              <w:widowControl w:val="0"/>
              <w:suppressAutoHyphens w:val="0"/>
              <w:rPr>
                <w:del w:id="4673" w:author="AbbVie_HU_03" w:date="2025-05-14T15:27:00Z"/>
                <w:lang w:val="hu-HU"/>
              </w:rPr>
            </w:pPr>
            <w:del w:id="4674" w:author="AbbVie_HU_03" w:date="2025-05-14T15:27:00Z">
              <w:r w:rsidRPr="00183B5F">
                <w:rPr>
                  <w:lang w:val="hu-HU"/>
                </w:rPr>
                <w:delText>L</w:delText>
              </w:r>
              <w:r w:rsidR="00FB6710" w:rsidRPr="00183B5F">
                <w:rPr>
                  <w:lang w:val="hu-HU"/>
                </w:rPr>
                <w:delText>égúti fertőzések (beleértve az alsó- és a felső légúti fertőzéseket, pneumoniát, sinusitist, pharyngitist, nasopharyngitist és a herpes vírus okozta pneumoniát is)</w:delText>
              </w:r>
            </w:del>
          </w:p>
          <w:p w14:paraId="19EFBD5F" w14:textId="0EF31AD9" w:rsidR="00141F2A" w:rsidRPr="00183B5F" w:rsidRDefault="00141F2A" w:rsidP="004062FE">
            <w:pPr>
              <w:pStyle w:val="EMEANormal"/>
              <w:widowControl w:val="0"/>
              <w:suppressAutoHyphens w:val="0"/>
              <w:rPr>
                <w:del w:id="4675" w:author="AbbVie_HU_03" w:date="2025-05-14T15:27:00Z"/>
                <w:lang w:val="hu-HU"/>
              </w:rPr>
            </w:pPr>
          </w:p>
        </w:tc>
      </w:tr>
      <w:tr w:rsidR="00011D2F" w14:paraId="21E2F22F" w14:textId="024A7D2C" w:rsidTr="00202B95">
        <w:trPr>
          <w:cantSplit/>
          <w:del w:id="4676" w:author="AbbVie_HU_03" w:date="2025-05-14T15:27:00Z"/>
        </w:trPr>
        <w:tc>
          <w:tcPr>
            <w:tcW w:w="2503" w:type="dxa"/>
            <w:vMerge/>
            <w:tcBorders>
              <w:top w:val="single" w:sz="4" w:space="0" w:color="auto"/>
              <w:bottom w:val="single" w:sz="4" w:space="0" w:color="auto"/>
            </w:tcBorders>
          </w:tcPr>
          <w:p w14:paraId="535F2664" w14:textId="505A0E2D" w:rsidR="00FB6710" w:rsidRPr="00183B5F" w:rsidRDefault="00FB6710" w:rsidP="004062FE">
            <w:pPr>
              <w:widowControl w:val="0"/>
              <w:suppressAutoHyphens w:val="0"/>
              <w:spacing w:line="240" w:lineRule="auto"/>
              <w:jc w:val="center"/>
              <w:rPr>
                <w:del w:id="4677" w:author="AbbVie_HU_03" w:date="2025-05-14T15:27:00Z"/>
                <w:b/>
              </w:rPr>
            </w:pPr>
          </w:p>
        </w:tc>
        <w:tc>
          <w:tcPr>
            <w:tcW w:w="2107" w:type="dxa"/>
            <w:tcBorders>
              <w:top w:val="single" w:sz="4" w:space="0" w:color="auto"/>
              <w:bottom w:val="single" w:sz="4" w:space="0" w:color="auto"/>
            </w:tcBorders>
          </w:tcPr>
          <w:p w14:paraId="0450A55F" w14:textId="62149358" w:rsidR="00FB6710" w:rsidRPr="00183B5F" w:rsidRDefault="00943743" w:rsidP="004062FE">
            <w:pPr>
              <w:pStyle w:val="EMEANormal"/>
              <w:widowControl w:val="0"/>
              <w:suppressAutoHyphens w:val="0"/>
              <w:rPr>
                <w:del w:id="4678" w:author="AbbVie_HU_03" w:date="2025-05-14T15:27:00Z"/>
                <w:lang w:val="hu-HU"/>
              </w:rPr>
            </w:pPr>
            <w:del w:id="4679" w:author="AbbVie_HU_03" w:date="2025-05-14T15:27:00Z">
              <w:r w:rsidRPr="00183B5F">
                <w:rPr>
                  <w:lang w:val="hu-HU"/>
                </w:rPr>
                <w:delText>Gyakori</w:delText>
              </w:r>
            </w:del>
          </w:p>
          <w:p w14:paraId="24E4D53A" w14:textId="4A6588A2" w:rsidR="00FB6710" w:rsidRPr="00183B5F" w:rsidRDefault="00FB6710" w:rsidP="004062FE">
            <w:pPr>
              <w:pStyle w:val="EMEANormal"/>
              <w:widowControl w:val="0"/>
              <w:suppressAutoHyphens w:val="0"/>
              <w:rPr>
                <w:del w:id="4680" w:author="AbbVie_HU_03" w:date="2025-05-14T15:27:00Z"/>
                <w:lang w:val="hu-HU"/>
              </w:rPr>
            </w:pPr>
          </w:p>
        </w:tc>
        <w:tc>
          <w:tcPr>
            <w:tcW w:w="4451" w:type="dxa"/>
            <w:tcBorders>
              <w:top w:val="single" w:sz="4" w:space="0" w:color="auto"/>
              <w:bottom w:val="single" w:sz="4" w:space="0" w:color="auto"/>
            </w:tcBorders>
          </w:tcPr>
          <w:p w14:paraId="79D4CFE2" w14:textId="51B2C81F" w:rsidR="00FB6710" w:rsidRPr="00183B5F" w:rsidRDefault="00943743" w:rsidP="004062FE">
            <w:pPr>
              <w:widowControl w:val="0"/>
              <w:suppressAutoHyphens w:val="0"/>
              <w:spacing w:line="240" w:lineRule="auto"/>
              <w:rPr>
                <w:del w:id="4681" w:author="AbbVie_HU_03" w:date="2025-05-14T15:27:00Z"/>
                <w:szCs w:val="22"/>
              </w:rPr>
            </w:pPr>
            <w:del w:id="4682" w:author="AbbVie_HU_03" w:date="2025-05-14T15:27:00Z">
              <w:r w:rsidRPr="00183B5F">
                <w:rPr>
                  <w:szCs w:val="22"/>
                </w:rPr>
                <w:delText>Szisztémás fertőzések (beleértve a sepsist, candidiasist és az influenzát is),</w:delText>
              </w:r>
            </w:del>
          </w:p>
          <w:p w14:paraId="74380BAE" w14:textId="66D684E3" w:rsidR="00FB6710" w:rsidRPr="00183B5F" w:rsidRDefault="00943743" w:rsidP="004062FE">
            <w:pPr>
              <w:widowControl w:val="0"/>
              <w:suppressAutoHyphens w:val="0"/>
              <w:spacing w:line="240" w:lineRule="auto"/>
              <w:rPr>
                <w:del w:id="4683" w:author="AbbVie_HU_03" w:date="2025-05-14T15:27:00Z"/>
                <w:szCs w:val="22"/>
              </w:rPr>
            </w:pPr>
            <w:del w:id="4684" w:author="AbbVie_HU_03" w:date="2025-05-14T15:27:00Z">
              <w:r w:rsidRPr="00183B5F">
                <w:rPr>
                  <w:szCs w:val="22"/>
                </w:rPr>
                <w:delText>bélfertőzések (beleértve a vírusos gastroenteritist is),</w:delText>
              </w:r>
            </w:del>
          </w:p>
          <w:p w14:paraId="252518B6" w14:textId="0E0B1CF0" w:rsidR="00FB6710" w:rsidRPr="00183B5F" w:rsidRDefault="00943743" w:rsidP="004062FE">
            <w:pPr>
              <w:widowControl w:val="0"/>
              <w:suppressAutoHyphens w:val="0"/>
              <w:spacing w:line="240" w:lineRule="auto"/>
              <w:rPr>
                <w:del w:id="4685" w:author="AbbVie_HU_03" w:date="2025-05-14T15:27:00Z"/>
                <w:szCs w:val="22"/>
              </w:rPr>
            </w:pPr>
            <w:del w:id="4686" w:author="AbbVie_HU_03" w:date="2025-05-14T15:27:00Z">
              <w:r w:rsidRPr="00183B5F">
                <w:rPr>
                  <w:szCs w:val="22"/>
                </w:rPr>
                <w:delText>bőr- és lágyrészfertőzések (beleértve a paronychiát, cellulitist, impetigót, necrotisáló fasciitist és a herpes zostert is),</w:delText>
              </w:r>
            </w:del>
          </w:p>
          <w:p w14:paraId="1B31B365" w14:textId="52CE50EE" w:rsidR="00FB6710" w:rsidRPr="00183B5F" w:rsidRDefault="00943743" w:rsidP="004062FE">
            <w:pPr>
              <w:widowControl w:val="0"/>
              <w:suppressAutoHyphens w:val="0"/>
              <w:spacing w:line="240" w:lineRule="auto"/>
              <w:rPr>
                <w:del w:id="4687" w:author="AbbVie_HU_03" w:date="2025-05-14T15:27:00Z"/>
                <w:szCs w:val="22"/>
              </w:rPr>
            </w:pPr>
            <w:del w:id="4688" w:author="AbbVie_HU_03" w:date="2025-05-14T15:27:00Z">
              <w:r w:rsidRPr="00183B5F">
                <w:rPr>
                  <w:szCs w:val="22"/>
                </w:rPr>
                <w:delText>fülfertőzések,</w:delText>
              </w:r>
            </w:del>
          </w:p>
          <w:p w14:paraId="5CBBE2C9" w14:textId="359F1129" w:rsidR="00FB6710" w:rsidRPr="00183B5F" w:rsidRDefault="00943743" w:rsidP="004062FE">
            <w:pPr>
              <w:widowControl w:val="0"/>
              <w:suppressAutoHyphens w:val="0"/>
              <w:spacing w:line="240" w:lineRule="auto"/>
              <w:rPr>
                <w:del w:id="4689" w:author="AbbVie_HU_03" w:date="2025-05-14T15:27:00Z"/>
                <w:szCs w:val="22"/>
              </w:rPr>
            </w:pPr>
            <w:del w:id="4690" w:author="AbbVie_HU_03" w:date="2025-05-14T15:27:00Z">
              <w:r w:rsidRPr="00183B5F">
                <w:rPr>
                  <w:szCs w:val="22"/>
                </w:rPr>
                <w:delText xml:space="preserve">oralis fertőzések (beleértve a herpes simplexet, oralis herpest és a fogfertőzéseket is), </w:delText>
              </w:r>
            </w:del>
          </w:p>
          <w:p w14:paraId="2EF82298" w14:textId="7AF55FD0" w:rsidR="00FB6710" w:rsidRPr="00183B5F" w:rsidRDefault="00943743" w:rsidP="004062FE">
            <w:pPr>
              <w:widowControl w:val="0"/>
              <w:suppressAutoHyphens w:val="0"/>
              <w:spacing w:line="240" w:lineRule="auto"/>
              <w:rPr>
                <w:del w:id="4691" w:author="AbbVie_HU_03" w:date="2025-05-14T15:27:00Z"/>
                <w:szCs w:val="22"/>
              </w:rPr>
            </w:pPr>
            <w:del w:id="4692" w:author="AbbVie_HU_03" w:date="2025-05-14T15:27:00Z">
              <w:r w:rsidRPr="00183B5F">
                <w:rPr>
                  <w:szCs w:val="22"/>
                </w:rPr>
                <w:delText xml:space="preserve">a nemi szervek fertőzései (beleértve a vulvovaginalis mycoticus fertőzéseket is), </w:delText>
              </w:r>
            </w:del>
          </w:p>
          <w:p w14:paraId="0053F871" w14:textId="17A811E4" w:rsidR="00FB6710" w:rsidRPr="00183B5F" w:rsidRDefault="00943743" w:rsidP="004062FE">
            <w:pPr>
              <w:pStyle w:val="EMEANormal"/>
              <w:widowControl w:val="0"/>
              <w:suppressAutoHyphens w:val="0"/>
              <w:rPr>
                <w:del w:id="4693" w:author="AbbVie_HU_03" w:date="2025-05-14T15:27:00Z"/>
                <w:szCs w:val="22"/>
                <w:lang w:val="hu-HU"/>
              </w:rPr>
            </w:pPr>
            <w:del w:id="4694" w:author="AbbVie_HU_03" w:date="2025-05-14T15:27:00Z">
              <w:r w:rsidRPr="00183B5F">
                <w:rPr>
                  <w:szCs w:val="22"/>
                  <w:lang w:val="hu-HU"/>
                </w:rPr>
                <w:delText>húgyúti fertőzések (beleértve a pylonephritist is),</w:delText>
              </w:r>
            </w:del>
          </w:p>
          <w:p w14:paraId="306EA4A6" w14:textId="45A12C00" w:rsidR="00DF7D9E" w:rsidRPr="00183B5F" w:rsidRDefault="00943743">
            <w:pPr>
              <w:pStyle w:val="EMEANormal"/>
              <w:widowControl w:val="0"/>
              <w:suppressAutoHyphens w:val="0"/>
              <w:rPr>
                <w:del w:id="4695" w:author="AbbVie_HU_03" w:date="2025-05-14T15:27:00Z"/>
                <w:lang w:val="hu-HU"/>
              </w:rPr>
            </w:pPr>
            <w:del w:id="4696" w:author="AbbVie_HU_03" w:date="2025-05-14T15:27:00Z">
              <w:r w:rsidRPr="00183B5F">
                <w:rPr>
                  <w:lang w:val="hu-HU"/>
                </w:rPr>
                <w:delText>gombás fertőzések,</w:delText>
              </w:r>
            </w:del>
          </w:p>
          <w:p w14:paraId="1FAF447B" w14:textId="1B756904" w:rsidR="00FB6710" w:rsidRPr="00183B5F" w:rsidRDefault="00943743" w:rsidP="004062FE">
            <w:pPr>
              <w:pStyle w:val="EMEANormal"/>
              <w:widowControl w:val="0"/>
              <w:suppressAutoHyphens w:val="0"/>
              <w:rPr>
                <w:del w:id="4697" w:author="AbbVie_HU_03" w:date="2025-05-14T15:27:00Z"/>
                <w:lang w:val="hu-HU"/>
              </w:rPr>
            </w:pPr>
            <w:del w:id="4698" w:author="AbbVie_HU_03" w:date="2025-05-14T15:27:00Z">
              <w:r w:rsidRPr="00183B5F">
                <w:rPr>
                  <w:lang w:val="hu-HU"/>
                </w:rPr>
                <w:delText>ízületi fertőzések</w:delText>
              </w:r>
            </w:del>
          </w:p>
        </w:tc>
      </w:tr>
      <w:tr w:rsidR="00011D2F" w14:paraId="1F592F3A" w14:textId="0BD6F55D" w:rsidTr="00202B95">
        <w:trPr>
          <w:cantSplit/>
          <w:del w:id="4699" w:author="AbbVie_HU_03" w:date="2025-05-14T15:27:00Z"/>
        </w:trPr>
        <w:tc>
          <w:tcPr>
            <w:tcW w:w="2503" w:type="dxa"/>
            <w:vMerge/>
            <w:tcBorders>
              <w:bottom w:val="single" w:sz="4" w:space="0" w:color="auto"/>
            </w:tcBorders>
          </w:tcPr>
          <w:p w14:paraId="1A71C433" w14:textId="7EB0B5BB" w:rsidR="00FB6710" w:rsidRPr="00183B5F" w:rsidRDefault="00FB6710" w:rsidP="004062FE">
            <w:pPr>
              <w:widowControl w:val="0"/>
              <w:suppressAutoHyphens w:val="0"/>
              <w:spacing w:line="240" w:lineRule="auto"/>
              <w:jc w:val="center"/>
              <w:rPr>
                <w:del w:id="4700" w:author="AbbVie_HU_03" w:date="2025-05-14T15:27:00Z"/>
                <w:b/>
              </w:rPr>
            </w:pPr>
          </w:p>
        </w:tc>
        <w:tc>
          <w:tcPr>
            <w:tcW w:w="2107" w:type="dxa"/>
            <w:tcBorders>
              <w:top w:val="single" w:sz="4" w:space="0" w:color="auto"/>
              <w:bottom w:val="single" w:sz="4" w:space="0" w:color="auto"/>
            </w:tcBorders>
          </w:tcPr>
          <w:p w14:paraId="1980AB2D" w14:textId="5C38C257" w:rsidR="00C53128" w:rsidRPr="00183B5F" w:rsidRDefault="00C53128">
            <w:pPr>
              <w:pStyle w:val="EMEANormal"/>
              <w:widowControl w:val="0"/>
              <w:suppressAutoHyphens w:val="0"/>
              <w:rPr>
                <w:del w:id="4701" w:author="AbbVie_HU_03" w:date="2025-05-14T15:27:00Z"/>
                <w:lang w:val="hu-HU"/>
              </w:rPr>
            </w:pPr>
          </w:p>
          <w:p w14:paraId="78339E3C" w14:textId="5D62BDA6" w:rsidR="00FB6710" w:rsidRPr="00183B5F" w:rsidRDefault="00943743">
            <w:pPr>
              <w:pStyle w:val="EMEANormal"/>
              <w:widowControl w:val="0"/>
              <w:suppressAutoHyphens w:val="0"/>
              <w:rPr>
                <w:del w:id="4702" w:author="AbbVie_HU_03" w:date="2025-05-14T15:27:00Z"/>
                <w:lang w:val="hu-HU"/>
              </w:rPr>
            </w:pPr>
            <w:del w:id="4703" w:author="AbbVie_HU_03" w:date="2025-05-14T15:27:00Z">
              <w:r w:rsidRPr="00183B5F">
                <w:rPr>
                  <w:lang w:val="hu-HU"/>
                </w:rPr>
                <w:delText>Nem gyakori</w:delText>
              </w:r>
            </w:del>
          </w:p>
          <w:p w14:paraId="6F4A492C" w14:textId="301266BE" w:rsidR="00FB6710" w:rsidRPr="00183B5F" w:rsidRDefault="00FB6710">
            <w:pPr>
              <w:pStyle w:val="EMEANormal"/>
              <w:widowControl w:val="0"/>
              <w:suppressAutoHyphens w:val="0"/>
              <w:rPr>
                <w:del w:id="4704" w:author="AbbVie_HU_03" w:date="2025-05-14T15:27:00Z"/>
                <w:lang w:val="hu-HU"/>
              </w:rPr>
            </w:pPr>
          </w:p>
        </w:tc>
        <w:tc>
          <w:tcPr>
            <w:tcW w:w="4451" w:type="dxa"/>
            <w:tcBorders>
              <w:top w:val="single" w:sz="4" w:space="0" w:color="auto"/>
              <w:bottom w:val="single" w:sz="4" w:space="0" w:color="auto"/>
            </w:tcBorders>
          </w:tcPr>
          <w:p w14:paraId="0FE6140C" w14:textId="4CFC4DE8" w:rsidR="00C53128" w:rsidRPr="00183B5F" w:rsidRDefault="00C53128">
            <w:pPr>
              <w:pStyle w:val="EMEANormal"/>
              <w:widowControl w:val="0"/>
              <w:suppressAutoHyphens w:val="0"/>
              <w:rPr>
                <w:del w:id="4705" w:author="AbbVie_HU_03" w:date="2025-05-14T15:27:00Z"/>
                <w:lang w:val="hu-HU"/>
              </w:rPr>
            </w:pPr>
          </w:p>
          <w:p w14:paraId="089BDBF7" w14:textId="35CC1D0E" w:rsidR="00C53128" w:rsidRPr="00183B5F" w:rsidRDefault="00943743">
            <w:pPr>
              <w:pStyle w:val="EMEANormal"/>
              <w:widowControl w:val="0"/>
              <w:suppressAutoHyphens w:val="0"/>
              <w:rPr>
                <w:del w:id="4706" w:author="AbbVie_HU_03" w:date="2025-05-14T15:27:00Z"/>
                <w:lang w:val="hu-HU"/>
              </w:rPr>
            </w:pPr>
            <w:del w:id="4707" w:author="AbbVie_HU_03" w:date="2025-05-14T15:27:00Z">
              <w:r w:rsidRPr="00183B5F">
                <w:rPr>
                  <w:lang w:val="hu-HU"/>
                </w:rPr>
                <w:delText>Neurológiai fertőzések (beleértve a vírusos meningitist is),</w:delText>
              </w:r>
            </w:del>
          </w:p>
          <w:p w14:paraId="5E5250C5" w14:textId="0A80E67F" w:rsidR="00FB6710" w:rsidRPr="00183B5F" w:rsidRDefault="00943743">
            <w:pPr>
              <w:pStyle w:val="EMEANormal"/>
              <w:widowControl w:val="0"/>
              <w:suppressAutoHyphens w:val="0"/>
              <w:rPr>
                <w:del w:id="4708" w:author="AbbVie_HU_03" w:date="2025-05-14T15:27:00Z"/>
                <w:lang w:val="hu-HU"/>
              </w:rPr>
            </w:pPr>
            <w:del w:id="4709" w:author="AbbVie_HU_03" w:date="2025-05-14T15:27:00Z">
              <w:r w:rsidRPr="00183B5F">
                <w:rPr>
                  <w:lang w:val="hu-HU"/>
                </w:rPr>
                <w:delText>opportunista fertőzések és tuberculosis (beleértve a coccidioidomycosist, histoplasmosist és a mycobacterium av</w:delText>
              </w:r>
              <w:r w:rsidR="0084664A" w:rsidRPr="00183B5F">
                <w:rPr>
                  <w:lang w:val="hu-HU"/>
                </w:rPr>
                <w:delText>i</w:delText>
              </w:r>
              <w:r w:rsidRPr="00183B5F">
                <w:rPr>
                  <w:lang w:val="hu-HU"/>
                </w:rPr>
                <w:delText xml:space="preserve">um complex fertőzést is), </w:delText>
              </w:r>
            </w:del>
          </w:p>
          <w:p w14:paraId="16F17EB2" w14:textId="515E5BBD" w:rsidR="00FB6710" w:rsidRPr="00183B5F" w:rsidRDefault="00943743">
            <w:pPr>
              <w:pStyle w:val="EMEANormal"/>
              <w:widowControl w:val="0"/>
              <w:suppressAutoHyphens w:val="0"/>
              <w:rPr>
                <w:del w:id="4710" w:author="AbbVie_HU_03" w:date="2025-05-14T15:27:00Z"/>
                <w:b/>
                <w:i/>
                <w:lang w:val="hu-HU"/>
              </w:rPr>
            </w:pPr>
            <w:del w:id="4711" w:author="AbbVie_HU_03" w:date="2025-05-14T15:27:00Z">
              <w:r w:rsidRPr="00183B5F">
                <w:rPr>
                  <w:lang w:val="hu-HU"/>
                </w:rPr>
                <w:delText>bakteriális fertőzések,</w:delText>
              </w:r>
              <w:r w:rsidR="005D7645" w:rsidRPr="00183B5F">
                <w:rPr>
                  <w:lang w:val="hu-HU"/>
                </w:rPr>
                <w:delText xml:space="preserve"> </w:delText>
              </w:r>
              <w:r w:rsidRPr="00183B5F">
                <w:rPr>
                  <w:lang w:val="hu-HU"/>
                </w:rPr>
                <w:delText>szemfertőzések,</w:delText>
              </w:r>
            </w:del>
          </w:p>
          <w:p w14:paraId="49962012" w14:textId="16E9365B" w:rsidR="00C53128" w:rsidRPr="00183B5F" w:rsidRDefault="00943743">
            <w:pPr>
              <w:pStyle w:val="EMEANormal"/>
              <w:widowControl w:val="0"/>
              <w:suppressAutoHyphens w:val="0"/>
              <w:rPr>
                <w:del w:id="4712" w:author="AbbVie_HU_03" w:date="2025-05-14T15:27:00Z"/>
                <w:lang w:val="hu-HU"/>
              </w:rPr>
            </w:pPr>
            <w:del w:id="4713" w:author="AbbVie_HU_03" w:date="2025-05-14T15:27:00Z">
              <w:r w:rsidRPr="00183B5F">
                <w:rPr>
                  <w:lang w:val="hu-HU"/>
                </w:rPr>
                <w:delText>diverticulitis</w:delText>
              </w:r>
              <w:r w:rsidRPr="00183B5F">
                <w:rPr>
                  <w:vertAlign w:val="superscript"/>
                  <w:lang w:val="hu-HU"/>
                </w:rPr>
                <w:delText>1)</w:delText>
              </w:r>
            </w:del>
          </w:p>
        </w:tc>
      </w:tr>
      <w:tr w:rsidR="00011D2F" w14:paraId="4F10B396" w14:textId="0320F0E8" w:rsidTr="00202B95">
        <w:trPr>
          <w:cantSplit/>
          <w:del w:id="4714" w:author="AbbVie_HU_03" w:date="2025-05-14T15:27:00Z"/>
        </w:trPr>
        <w:tc>
          <w:tcPr>
            <w:tcW w:w="2503" w:type="dxa"/>
            <w:vMerge w:val="restart"/>
            <w:tcBorders>
              <w:top w:val="single" w:sz="4" w:space="0" w:color="auto"/>
              <w:bottom w:val="single" w:sz="4" w:space="0" w:color="auto"/>
            </w:tcBorders>
          </w:tcPr>
          <w:p w14:paraId="3B7591FF" w14:textId="7B917B52" w:rsidR="00FB6710" w:rsidRPr="00183B5F" w:rsidRDefault="00943743" w:rsidP="004062FE">
            <w:pPr>
              <w:widowControl w:val="0"/>
              <w:suppressAutoHyphens w:val="0"/>
              <w:spacing w:line="240" w:lineRule="auto"/>
              <w:rPr>
                <w:del w:id="4715" w:author="AbbVie_HU_03" w:date="2025-05-14T15:27:00Z"/>
                <w:szCs w:val="22"/>
              </w:rPr>
            </w:pPr>
            <w:del w:id="4716" w:author="AbbVie_HU_03" w:date="2025-05-14T15:27:00Z">
              <w:r w:rsidRPr="00183B5F">
                <w:rPr>
                  <w:szCs w:val="22"/>
                </w:rPr>
                <w:delText>Jó</w:delText>
              </w:r>
              <w:r w:rsidR="00CB700A" w:rsidRPr="00183B5F">
                <w:rPr>
                  <w:szCs w:val="22"/>
                </w:rPr>
                <w:noBreakHyphen/>
              </w:r>
              <w:r w:rsidRPr="00183B5F">
                <w:rPr>
                  <w:szCs w:val="22"/>
                </w:rPr>
                <w:delText>,</w:delText>
              </w:r>
              <w:r w:rsidR="00CB700A" w:rsidRPr="00183B5F">
                <w:rPr>
                  <w:szCs w:val="22"/>
                </w:rPr>
                <w:delText> </w:delText>
              </w:r>
              <w:r w:rsidRPr="00183B5F">
                <w:rPr>
                  <w:szCs w:val="22"/>
                </w:rPr>
                <w:delText>rosszindulatú és nem meghatározott daganatok (beleértve a cisztákat és polipokat is)*</w:delText>
              </w:r>
            </w:del>
          </w:p>
        </w:tc>
        <w:tc>
          <w:tcPr>
            <w:tcW w:w="2107" w:type="dxa"/>
            <w:tcBorders>
              <w:bottom w:val="single" w:sz="4" w:space="0" w:color="auto"/>
            </w:tcBorders>
          </w:tcPr>
          <w:p w14:paraId="286EB9E2" w14:textId="652D066F" w:rsidR="00FB6710" w:rsidRPr="00183B5F" w:rsidRDefault="00943743" w:rsidP="004062FE">
            <w:pPr>
              <w:pStyle w:val="EMEANormal"/>
              <w:widowControl w:val="0"/>
              <w:suppressAutoHyphens w:val="0"/>
              <w:rPr>
                <w:del w:id="4717" w:author="AbbVie_HU_03" w:date="2025-05-14T15:27:00Z"/>
                <w:lang w:val="hu-HU"/>
              </w:rPr>
            </w:pPr>
            <w:del w:id="4718" w:author="AbbVie_HU_03" w:date="2025-05-14T15:27:00Z">
              <w:r w:rsidRPr="00183B5F">
                <w:rPr>
                  <w:lang w:val="hu-HU"/>
                </w:rPr>
                <w:delText>Gyakori</w:delText>
              </w:r>
            </w:del>
          </w:p>
          <w:p w14:paraId="3ADDC933" w14:textId="0B5CBCAD" w:rsidR="00FB6710" w:rsidRPr="00183B5F" w:rsidRDefault="00FB6710" w:rsidP="004062FE">
            <w:pPr>
              <w:pStyle w:val="EMEANormal"/>
              <w:widowControl w:val="0"/>
              <w:suppressAutoHyphens w:val="0"/>
              <w:rPr>
                <w:del w:id="4719" w:author="AbbVie_HU_03" w:date="2025-05-14T15:27:00Z"/>
                <w:lang w:val="hu-HU"/>
              </w:rPr>
            </w:pPr>
          </w:p>
        </w:tc>
        <w:tc>
          <w:tcPr>
            <w:tcW w:w="4451" w:type="dxa"/>
            <w:tcBorders>
              <w:bottom w:val="single" w:sz="4" w:space="0" w:color="auto"/>
            </w:tcBorders>
          </w:tcPr>
          <w:p w14:paraId="697C88E9" w14:textId="1C52E3C8" w:rsidR="00FB6710" w:rsidRPr="00183B5F" w:rsidRDefault="00943743" w:rsidP="004062FE">
            <w:pPr>
              <w:pStyle w:val="EMEANormal"/>
              <w:widowControl w:val="0"/>
              <w:suppressAutoHyphens w:val="0"/>
              <w:rPr>
                <w:del w:id="4720" w:author="AbbVie_HU_03" w:date="2025-05-14T15:27:00Z"/>
                <w:lang w:val="hu-HU"/>
              </w:rPr>
            </w:pPr>
            <w:del w:id="4721" w:author="AbbVie_HU_03" w:date="2025-05-14T15:27:00Z">
              <w:r w:rsidRPr="00183B5F">
                <w:rPr>
                  <w:lang w:val="hu-HU"/>
                </w:rPr>
                <w:delText xml:space="preserve">Bőrrák, kivéve a melanomát (beleértve a basalsejtes carcinomát és a </w:delText>
              </w:r>
              <w:r w:rsidR="00653D1A" w:rsidRPr="00183B5F">
                <w:rPr>
                  <w:lang w:val="hu-HU"/>
                </w:rPr>
                <w:delText>planocellularis</w:delText>
              </w:r>
              <w:r w:rsidRPr="00183B5F">
                <w:rPr>
                  <w:lang w:val="hu-HU"/>
                </w:rPr>
                <w:delText xml:space="preserve"> carcinomát is)</w:delText>
              </w:r>
              <w:r w:rsidR="00C53128" w:rsidRPr="00183B5F">
                <w:rPr>
                  <w:lang w:val="hu-HU"/>
                </w:rPr>
                <w:delText>,</w:delText>
              </w:r>
            </w:del>
          </w:p>
          <w:p w14:paraId="699D353F" w14:textId="1C2CF0DC" w:rsidR="00FB6710" w:rsidRPr="00183B5F" w:rsidRDefault="00943743" w:rsidP="004062FE">
            <w:pPr>
              <w:pStyle w:val="EMEANormal"/>
              <w:widowControl w:val="0"/>
              <w:suppressAutoHyphens w:val="0"/>
              <w:rPr>
                <w:del w:id="4722" w:author="AbbVie_HU_03" w:date="2025-05-14T15:27:00Z"/>
                <w:lang w:val="hu-HU"/>
              </w:rPr>
            </w:pPr>
            <w:del w:id="4723" w:author="AbbVie_HU_03" w:date="2025-05-14T15:27:00Z">
              <w:r w:rsidRPr="00183B5F">
                <w:rPr>
                  <w:lang w:val="hu-HU"/>
                </w:rPr>
                <w:delText>jóindulatú daganat</w:delText>
              </w:r>
            </w:del>
          </w:p>
        </w:tc>
      </w:tr>
      <w:tr w:rsidR="00011D2F" w14:paraId="580F20D8" w14:textId="1FEA4D08" w:rsidTr="00202B95">
        <w:trPr>
          <w:cantSplit/>
          <w:del w:id="4724" w:author="AbbVie_HU_03" w:date="2025-05-14T15:27:00Z"/>
        </w:trPr>
        <w:tc>
          <w:tcPr>
            <w:tcW w:w="2503" w:type="dxa"/>
            <w:vMerge/>
            <w:tcBorders>
              <w:top w:val="single" w:sz="4" w:space="0" w:color="auto"/>
              <w:bottom w:val="nil"/>
            </w:tcBorders>
          </w:tcPr>
          <w:p w14:paraId="4EC66B71" w14:textId="21C6A49D" w:rsidR="00FB6710" w:rsidRPr="00183B5F" w:rsidRDefault="00FB6710" w:rsidP="004062FE">
            <w:pPr>
              <w:widowControl w:val="0"/>
              <w:suppressAutoHyphens w:val="0"/>
              <w:spacing w:line="240" w:lineRule="auto"/>
              <w:jc w:val="center"/>
              <w:rPr>
                <w:del w:id="4725" w:author="AbbVie_HU_03" w:date="2025-05-14T15:27:00Z"/>
                <w:b/>
              </w:rPr>
            </w:pPr>
          </w:p>
        </w:tc>
        <w:tc>
          <w:tcPr>
            <w:tcW w:w="2107" w:type="dxa"/>
            <w:tcBorders>
              <w:top w:val="single" w:sz="4" w:space="0" w:color="auto"/>
              <w:bottom w:val="single" w:sz="4" w:space="0" w:color="auto"/>
            </w:tcBorders>
          </w:tcPr>
          <w:p w14:paraId="2D14A1BF" w14:textId="60D935CA" w:rsidR="00FB6710" w:rsidRPr="00183B5F" w:rsidRDefault="00943743">
            <w:pPr>
              <w:pStyle w:val="EMEANormal"/>
              <w:widowControl w:val="0"/>
              <w:suppressAutoHyphens w:val="0"/>
              <w:rPr>
                <w:del w:id="4726" w:author="AbbVie_HU_03" w:date="2025-05-14T15:27:00Z"/>
                <w:lang w:val="hu-HU"/>
              </w:rPr>
            </w:pPr>
            <w:del w:id="4727" w:author="AbbVie_HU_03" w:date="2025-05-14T15:27:00Z">
              <w:r w:rsidRPr="00183B5F">
                <w:rPr>
                  <w:lang w:val="hu-HU"/>
                </w:rPr>
                <w:delText>Nem gyakori</w:delText>
              </w:r>
            </w:del>
          </w:p>
          <w:p w14:paraId="0B8DF21C" w14:textId="07F1622C" w:rsidR="00FB6710" w:rsidRPr="00183B5F" w:rsidRDefault="00FB6710">
            <w:pPr>
              <w:pStyle w:val="EMEANormal"/>
              <w:widowControl w:val="0"/>
              <w:suppressAutoHyphens w:val="0"/>
              <w:rPr>
                <w:del w:id="4728" w:author="AbbVie_HU_03" w:date="2025-05-14T15:27:00Z"/>
                <w:lang w:val="hu-HU"/>
              </w:rPr>
            </w:pPr>
          </w:p>
          <w:p w14:paraId="5F8DC7DA" w14:textId="524FF904" w:rsidR="00C53128" w:rsidRPr="00183B5F" w:rsidRDefault="00C53128">
            <w:pPr>
              <w:pStyle w:val="EMEANormal"/>
              <w:widowControl w:val="0"/>
              <w:suppressAutoHyphens w:val="0"/>
              <w:rPr>
                <w:del w:id="4729" w:author="AbbVie_HU_03" w:date="2025-05-14T15:27:00Z"/>
                <w:lang w:val="hu-HU"/>
              </w:rPr>
            </w:pPr>
          </w:p>
        </w:tc>
        <w:tc>
          <w:tcPr>
            <w:tcW w:w="4451" w:type="dxa"/>
            <w:tcBorders>
              <w:top w:val="single" w:sz="4" w:space="0" w:color="auto"/>
              <w:bottom w:val="single" w:sz="4" w:space="0" w:color="auto"/>
            </w:tcBorders>
          </w:tcPr>
          <w:p w14:paraId="5D38F26D" w14:textId="61CBC9FC" w:rsidR="00FB6710" w:rsidRPr="00183B5F" w:rsidRDefault="00943743">
            <w:pPr>
              <w:pStyle w:val="EMEANormal"/>
              <w:widowControl w:val="0"/>
              <w:suppressAutoHyphens w:val="0"/>
              <w:rPr>
                <w:del w:id="4730" w:author="AbbVie_HU_03" w:date="2025-05-14T15:27:00Z"/>
                <w:lang w:val="hu-HU"/>
              </w:rPr>
            </w:pPr>
            <w:del w:id="4731" w:author="AbbVie_HU_03" w:date="2025-05-14T15:27:00Z">
              <w:r w:rsidRPr="00183B5F">
                <w:rPr>
                  <w:lang w:val="hu-HU"/>
                </w:rPr>
                <w:delText xml:space="preserve">Lymphoma**, </w:delText>
              </w:r>
            </w:del>
          </w:p>
          <w:p w14:paraId="6CB91F94" w14:textId="02A7AC9D" w:rsidR="00FB6710" w:rsidRPr="00183B5F" w:rsidRDefault="00943743">
            <w:pPr>
              <w:pStyle w:val="EMEANormal"/>
              <w:widowControl w:val="0"/>
              <w:suppressAutoHyphens w:val="0"/>
              <w:rPr>
                <w:del w:id="4732" w:author="AbbVie_HU_03" w:date="2025-05-14T15:27:00Z"/>
                <w:lang w:val="hu-HU"/>
              </w:rPr>
            </w:pPr>
            <w:del w:id="4733" w:author="AbbVie_HU_03" w:date="2025-05-14T15:27:00Z">
              <w:r w:rsidRPr="00183B5F">
                <w:rPr>
                  <w:lang w:val="hu-HU"/>
                </w:rPr>
                <w:delText>solid szervek daganatai (beleértve az emlőrákot, a tüdődaganatot és a pajzsmirigy</w:delText>
              </w:r>
              <w:r w:rsidR="00CB700A" w:rsidRPr="00183B5F">
                <w:rPr>
                  <w:lang w:val="hu-HU"/>
                </w:rPr>
                <w:noBreakHyphen/>
              </w:r>
              <w:r w:rsidRPr="00183B5F">
                <w:rPr>
                  <w:lang w:val="hu-HU"/>
                </w:rPr>
                <w:delText>dag</w:delText>
              </w:r>
              <w:r w:rsidR="00663798" w:rsidRPr="00183B5F">
                <w:rPr>
                  <w:lang w:val="hu-HU"/>
                </w:rPr>
                <w:delText>a</w:delText>
              </w:r>
              <w:r w:rsidRPr="00183B5F">
                <w:rPr>
                  <w:lang w:val="hu-HU"/>
                </w:rPr>
                <w:delText>natot is),</w:delText>
              </w:r>
            </w:del>
          </w:p>
          <w:p w14:paraId="14FD64C2" w14:textId="0C39C940" w:rsidR="00C53128" w:rsidRPr="00183B5F" w:rsidRDefault="00943743">
            <w:pPr>
              <w:pStyle w:val="EMEANormal"/>
              <w:widowControl w:val="0"/>
              <w:suppressAutoHyphens w:val="0"/>
              <w:rPr>
                <w:del w:id="4734" w:author="AbbVie_HU_03" w:date="2025-05-14T15:27:00Z"/>
                <w:lang w:val="hu-HU"/>
              </w:rPr>
            </w:pPr>
            <w:del w:id="4735" w:author="AbbVie_HU_03" w:date="2025-05-14T15:27:00Z">
              <w:r w:rsidRPr="00183B5F">
                <w:rPr>
                  <w:lang w:val="hu-HU"/>
                </w:rPr>
                <w:delText>melanoma**</w:delText>
              </w:r>
            </w:del>
          </w:p>
        </w:tc>
      </w:tr>
      <w:tr w:rsidR="00011D2F" w14:paraId="126710DA" w14:textId="57C25DE5" w:rsidTr="00202B95">
        <w:trPr>
          <w:cantSplit/>
          <w:del w:id="4736" w:author="AbbVie_HU_03" w:date="2025-05-14T15:27:00Z"/>
        </w:trPr>
        <w:tc>
          <w:tcPr>
            <w:tcW w:w="2503" w:type="dxa"/>
            <w:tcBorders>
              <w:top w:val="nil"/>
              <w:bottom w:val="nil"/>
            </w:tcBorders>
          </w:tcPr>
          <w:p w14:paraId="576BEB6A" w14:textId="7A99E8E5" w:rsidR="00C43DDD" w:rsidRPr="00183B5F" w:rsidRDefault="00C43DDD" w:rsidP="004062FE">
            <w:pPr>
              <w:widowControl w:val="0"/>
              <w:suppressAutoHyphens w:val="0"/>
              <w:spacing w:line="240" w:lineRule="auto"/>
              <w:jc w:val="center"/>
              <w:rPr>
                <w:del w:id="4737" w:author="AbbVie_HU_03" w:date="2025-05-14T15:27:00Z"/>
                <w:b/>
              </w:rPr>
            </w:pPr>
          </w:p>
        </w:tc>
        <w:tc>
          <w:tcPr>
            <w:tcW w:w="2107" w:type="dxa"/>
            <w:tcBorders>
              <w:top w:val="single" w:sz="4" w:space="0" w:color="auto"/>
              <w:bottom w:val="single" w:sz="4" w:space="0" w:color="auto"/>
            </w:tcBorders>
          </w:tcPr>
          <w:p w14:paraId="62331F64" w14:textId="7B9CD301" w:rsidR="00C43DDD" w:rsidRPr="00183B5F" w:rsidRDefault="00943743">
            <w:pPr>
              <w:pStyle w:val="EMEANormal"/>
              <w:widowControl w:val="0"/>
              <w:suppressAutoHyphens w:val="0"/>
              <w:rPr>
                <w:del w:id="4738" w:author="AbbVie_HU_03" w:date="2025-05-14T15:27:00Z"/>
                <w:lang w:val="hu-HU"/>
              </w:rPr>
            </w:pPr>
            <w:del w:id="4739" w:author="AbbVie_HU_03" w:date="2025-05-14T15:27:00Z">
              <w:r w:rsidRPr="00183B5F">
                <w:rPr>
                  <w:lang w:val="hu-HU"/>
                </w:rPr>
                <w:delText>Ritka</w:delText>
              </w:r>
            </w:del>
          </w:p>
        </w:tc>
        <w:tc>
          <w:tcPr>
            <w:tcW w:w="4451" w:type="dxa"/>
            <w:tcBorders>
              <w:top w:val="single" w:sz="4" w:space="0" w:color="auto"/>
              <w:bottom w:val="single" w:sz="4" w:space="0" w:color="auto"/>
            </w:tcBorders>
          </w:tcPr>
          <w:p w14:paraId="5E483005" w14:textId="70C885D0" w:rsidR="00C43DDD" w:rsidRPr="00183B5F" w:rsidRDefault="00943743">
            <w:pPr>
              <w:pStyle w:val="EMEANormal"/>
              <w:widowControl w:val="0"/>
              <w:suppressAutoHyphens w:val="0"/>
              <w:rPr>
                <w:del w:id="4740" w:author="AbbVie_HU_03" w:date="2025-05-14T15:27:00Z"/>
                <w:lang w:val="hu-HU"/>
              </w:rPr>
            </w:pPr>
            <w:del w:id="4741" w:author="AbbVie_HU_03" w:date="2025-05-14T15:27:00Z">
              <w:r w:rsidRPr="00183B5F">
                <w:rPr>
                  <w:lang w:val="hu-HU"/>
                </w:rPr>
                <w:delText>Leukaemia</w:delText>
              </w:r>
              <w:r w:rsidRPr="00183B5F">
                <w:rPr>
                  <w:vertAlign w:val="superscript"/>
                  <w:lang w:val="hu-HU"/>
                </w:rPr>
                <w:delText>1)</w:delText>
              </w:r>
            </w:del>
          </w:p>
        </w:tc>
      </w:tr>
      <w:tr w:rsidR="00011D2F" w14:paraId="3BCB887B" w14:textId="2A7AED11" w:rsidTr="00202B95">
        <w:trPr>
          <w:cantSplit/>
          <w:del w:id="4742" w:author="AbbVie_HU_03" w:date="2025-05-14T15:27:00Z"/>
        </w:trPr>
        <w:tc>
          <w:tcPr>
            <w:tcW w:w="2503" w:type="dxa"/>
            <w:tcBorders>
              <w:top w:val="nil"/>
            </w:tcBorders>
          </w:tcPr>
          <w:p w14:paraId="16FE374A" w14:textId="5698F23B" w:rsidR="00C43DDD" w:rsidRPr="00183B5F" w:rsidRDefault="00C43DDD" w:rsidP="004062FE">
            <w:pPr>
              <w:widowControl w:val="0"/>
              <w:suppressAutoHyphens w:val="0"/>
              <w:spacing w:line="240" w:lineRule="auto"/>
              <w:jc w:val="center"/>
              <w:rPr>
                <w:del w:id="4743" w:author="AbbVie_HU_03" w:date="2025-05-14T15:27:00Z"/>
                <w:b/>
              </w:rPr>
            </w:pPr>
          </w:p>
        </w:tc>
        <w:tc>
          <w:tcPr>
            <w:tcW w:w="2107" w:type="dxa"/>
            <w:tcBorders>
              <w:top w:val="single" w:sz="4" w:space="0" w:color="auto"/>
              <w:bottom w:val="single" w:sz="4" w:space="0" w:color="auto"/>
            </w:tcBorders>
          </w:tcPr>
          <w:p w14:paraId="319BDF49" w14:textId="237421C8" w:rsidR="00C43DDD" w:rsidRPr="00183B5F" w:rsidRDefault="00943743">
            <w:pPr>
              <w:pStyle w:val="EMEANormal"/>
              <w:widowControl w:val="0"/>
              <w:suppressAutoHyphens w:val="0"/>
              <w:rPr>
                <w:del w:id="4744" w:author="AbbVie_HU_03" w:date="2025-05-14T15:27:00Z"/>
                <w:lang w:val="hu-HU"/>
              </w:rPr>
            </w:pPr>
            <w:del w:id="4745" w:author="AbbVie_HU_03" w:date="2025-05-14T15:27:00Z">
              <w:r w:rsidRPr="00183B5F">
                <w:rPr>
                  <w:lang w:val="hu-HU"/>
                </w:rPr>
                <w:delText>Nem ismert</w:delText>
              </w:r>
            </w:del>
          </w:p>
        </w:tc>
        <w:tc>
          <w:tcPr>
            <w:tcW w:w="4451" w:type="dxa"/>
            <w:tcBorders>
              <w:top w:val="single" w:sz="4" w:space="0" w:color="auto"/>
              <w:bottom w:val="single" w:sz="4" w:space="0" w:color="auto"/>
            </w:tcBorders>
          </w:tcPr>
          <w:p w14:paraId="43D1BF59" w14:textId="78057AA7" w:rsidR="00C43DDD" w:rsidRPr="00183B5F" w:rsidRDefault="00943743">
            <w:pPr>
              <w:pStyle w:val="EMEANormal"/>
              <w:widowControl w:val="0"/>
              <w:suppressAutoHyphens w:val="0"/>
              <w:rPr>
                <w:del w:id="4746" w:author="AbbVie_HU_03" w:date="2025-05-14T15:27:00Z"/>
                <w:vertAlign w:val="superscript"/>
                <w:lang w:val="hu-HU"/>
              </w:rPr>
            </w:pPr>
            <w:del w:id="4747" w:author="AbbVie_HU_03" w:date="2025-05-14T15:27:00Z">
              <w:r w:rsidRPr="00183B5F">
                <w:rPr>
                  <w:lang w:val="hu-HU"/>
                </w:rPr>
                <w:delText>Hepatosplenicus T</w:delText>
              </w:r>
              <w:r w:rsidRPr="00183B5F">
                <w:rPr>
                  <w:lang w:val="hu-HU"/>
                </w:rPr>
                <w:noBreakHyphen/>
                <w:delText>sejtes lymphoma</w:delText>
              </w:r>
              <w:r w:rsidRPr="00183B5F">
                <w:rPr>
                  <w:vertAlign w:val="superscript"/>
                  <w:lang w:val="hu-HU"/>
                </w:rPr>
                <w:delText>1)</w:delText>
              </w:r>
            </w:del>
          </w:p>
          <w:p w14:paraId="60A68C47" w14:textId="73E00D9A" w:rsidR="00342FE6" w:rsidRPr="00183B5F" w:rsidRDefault="00943743" w:rsidP="00342FE6">
            <w:pPr>
              <w:pStyle w:val="EMEANormal"/>
              <w:widowControl w:val="0"/>
              <w:suppressAutoHyphens w:val="0"/>
              <w:rPr>
                <w:del w:id="4748" w:author="AbbVie_HU_03" w:date="2025-05-14T15:27:00Z"/>
                <w:lang w:val="hu-HU"/>
              </w:rPr>
            </w:pPr>
            <w:del w:id="4749" w:author="AbbVie_HU_03" w:date="2025-05-14T15:27:00Z">
              <w:r w:rsidRPr="00183B5F">
                <w:rPr>
                  <w:lang w:val="hu-HU"/>
                </w:rPr>
                <w:delText>Merkel-sejtes carcinoma (a bőr neuroendokrin daganata)</w:delText>
              </w:r>
              <w:r w:rsidRPr="00183B5F">
                <w:rPr>
                  <w:vertAlign w:val="superscript"/>
                  <w:lang w:val="hu-HU"/>
                </w:rPr>
                <w:delText xml:space="preserve"> 1)</w:delText>
              </w:r>
              <w:r w:rsidRPr="00183B5F">
                <w:rPr>
                  <w:lang w:val="hu-HU"/>
                </w:rPr>
                <w:delText>,</w:delText>
              </w:r>
            </w:del>
          </w:p>
          <w:p w14:paraId="70605C8D" w14:textId="6A21B71E" w:rsidR="00C43DDD" w:rsidRPr="00183B5F" w:rsidRDefault="00943743" w:rsidP="00342FE6">
            <w:pPr>
              <w:pStyle w:val="EMEANormal"/>
              <w:widowControl w:val="0"/>
              <w:suppressAutoHyphens w:val="0"/>
              <w:rPr>
                <w:del w:id="4750" w:author="AbbVie_HU_03" w:date="2025-05-14T15:27:00Z"/>
                <w:lang w:val="hu-HU"/>
              </w:rPr>
            </w:pPr>
            <w:del w:id="4751" w:author="AbbVie_HU_03" w:date="2025-05-14T15:27:00Z">
              <w:r w:rsidRPr="00183B5F">
                <w:rPr>
                  <w:lang w:val="hu-HU"/>
                </w:rPr>
                <w:delText>Kaposi-sarcoma</w:delText>
              </w:r>
            </w:del>
          </w:p>
        </w:tc>
      </w:tr>
      <w:tr w:rsidR="00011D2F" w14:paraId="484A209A" w14:textId="14D91D17" w:rsidTr="00202B95">
        <w:trPr>
          <w:cantSplit/>
          <w:del w:id="4752" w:author="AbbVie_HU_03" w:date="2025-05-14T15:27:00Z"/>
        </w:trPr>
        <w:tc>
          <w:tcPr>
            <w:tcW w:w="2503" w:type="dxa"/>
            <w:vMerge w:val="restart"/>
          </w:tcPr>
          <w:p w14:paraId="0A3FA8E2" w14:textId="22922451" w:rsidR="00AC5066" w:rsidRPr="00183B5F" w:rsidRDefault="00943743" w:rsidP="004062FE">
            <w:pPr>
              <w:widowControl w:val="0"/>
              <w:suppressAutoHyphens w:val="0"/>
              <w:spacing w:line="240" w:lineRule="auto"/>
              <w:rPr>
                <w:del w:id="4753" w:author="AbbVie_HU_03" w:date="2025-05-14T15:27:00Z"/>
                <w:szCs w:val="22"/>
              </w:rPr>
            </w:pPr>
            <w:del w:id="4754" w:author="AbbVie_HU_03" w:date="2025-05-14T15:27:00Z">
              <w:r w:rsidRPr="00183B5F">
                <w:rPr>
                  <w:szCs w:val="22"/>
                </w:rPr>
                <w:delText>Vérképzőszervi és nyirokrendszeri betegségek és tünetek*</w:delText>
              </w:r>
            </w:del>
          </w:p>
        </w:tc>
        <w:tc>
          <w:tcPr>
            <w:tcW w:w="2107" w:type="dxa"/>
            <w:tcBorders>
              <w:bottom w:val="single" w:sz="4" w:space="0" w:color="auto"/>
            </w:tcBorders>
          </w:tcPr>
          <w:p w14:paraId="473EA38B" w14:textId="084891B9" w:rsidR="00AC5066" w:rsidRPr="00183B5F" w:rsidRDefault="00943743" w:rsidP="004062FE">
            <w:pPr>
              <w:pStyle w:val="EMEANormal"/>
              <w:widowControl w:val="0"/>
              <w:suppressAutoHyphens w:val="0"/>
              <w:jc w:val="both"/>
              <w:rPr>
                <w:del w:id="4755" w:author="AbbVie_HU_03" w:date="2025-05-14T15:27:00Z"/>
                <w:lang w:val="hu-HU"/>
              </w:rPr>
            </w:pPr>
            <w:del w:id="4756" w:author="AbbVie_HU_03" w:date="2025-05-14T15:27:00Z">
              <w:r w:rsidRPr="00183B5F">
                <w:rPr>
                  <w:lang w:val="hu-HU"/>
                </w:rPr>
                <w:delText>Nagyon gyakori</w:delText>
              </w:r>
            </w:del>
          </w:p>
          <w:p w14:paraId="4914E33D" w14:textId="630B1D5A" w:rsidR="00AC5066" w:rsidRPr="00183B5F" w:rsidRDefault="00AC5066" w:rsidP="004062FE">
            <w:pPr>
              <w:pStyle w:val="EMEANormal"/>
              <w:widowControl w:val="0"/>
              <w:suppressAutoHyphens w:val="0"/>
              <w:jc w:val="both"/>
              <w:rPr>
                <w:del w:id="4757" w:author="AbbVie_HU_03" w:date="2025-05-14T15:27:00Z"/>
                <w:lang w:val="hu-HU"/>
              </w:rPr>
            </w:pPr>
          </w:p>
        </w:tc>
        <w:tc>
          <w:tcPr>
            <w:tcW w:w="4451" w:type="dxa"/>
            <w:tcBorders>
              <w:bottom w:val="single" w:sz="4" w:space="0" w:color="auto"/>
            </w:tcBorders>
          </w:tcPr>
          <w:p w14:paraId="415E6989" w14:textId="2DE2E8BA" w:rsidR="00AC5066" w:rsidRPr="00183B5F" w:rsidRDefault="00943743" w:rsidP="004062FE">
            <w:pPr>
              <w:widowControl w:val="0"/>
              <w:suppressAutoHyphens w:val="0"/>
              <w:spacing w:line="240" w:lineRule="auto"/>
              <w:rPr>
                <w:del w:id="4758" w:author="AbbVie_HU_03" w:date="2025-05-14T15:27:00Z"/>
              </w:rPr>
            </w:pPr>
            <w:del w:id="4759" w:author="AbbVie_HU_03" w:date="2025-05-14T15:27:00Z">
              <w:r w:rsidRPr="00183B5F">
                <w:delText>Leukopenia (</w:delText>
              </w:r>
              <w:r w:rsidRPr="00183B5F">
                <w:rPr>
                  <w:szCs w:val="22"/>
                </w:rPr>
                <w:delText xml:space="preserve">beleértve a </w:delText>
              </w:r>
              <w:r w:rsidRPr="00183B5F">
                <w:delText xml:space="preserve">neutropeniát és az agranulocytosist is), </w:delText>
              </w:r>
            </w:del>
          </w:p>
          <w:p w14:paraId="5E038675" w14:textId="25F3CBAB" w:rsidR="00AC5066" w:rsidRPr="00183B5F" w:rsidRDefault="00943743" w:rsidP="004062FE">
            <w:pPr>
              <w:widowControl w:val="0"/>
              <w:suppressAutoHyphens w:val="0"/>
              <w:spacing w:line="240" w:lineRule="auto"/>
              <w:rPr>
                <w:del w:id="4760" w:author="AbbVie_HU_03" w:date="2025-05-14T15:27:00Z"/>
                <w:b/>
              </w:rPr>
            </w:pPr>
            <w:del w:id="4761" w:author="AbbVie_HU_03" w:date="2025-05-14T15:27:00Z">
              <w:r w:rsidRPr="00183B5F">
                <w:delText xml:space="preserve">anaemia </w:delText>
              </w:r>
            </w:del>
          </w:p>
        </w:tc>
      </w:tr>
      <w:tr w:rsidR="00011D2F" w14:paraId="5AA50DDB" w14:textId="2BAE13F1" w:rsidTr="00202B95">
        <w:trPr>
          <w:cantSplit/>
          <w:del w:id="4762" w:author="AbbVie_HU_03" w:date="2025-05-14T15:27:00Z"/>
        </w:trPr>
        <w:tc>
          <w:tcPr>
            <w:tcW w:w="2503" w:type="dxa"/>
            <w:vMerge/>
          </w:tcPr>
          <w:p w14:paraId="5ED19593" w14:textId="683DB725" w:rsidR="00AC5066" w:rsidRPr="00183B5F" w:rsidRDefault="00AC5066" w:rsidP="004062FE">
            <w:pPr>
              <w:widowControl w:val="0"/>
              <w:suppressAutoHyphens w:val="0"/>
              <w:spacing w:line="240" w:lineRule="auto"/>
              <w:jc w:val="center"/>
              <w:rPr>
                <w:del w:id="4763" w:author="AbbVie_HU_03" w:date="2025-05-14T15:27:00Z"/>
                <w:b/>
              </w:rPr>
            </w:pPr>
          </w:p>
        </w:tc>
        <w:tc>
          <w:tcPr>
            <w:tcW w:w="2107" w:type="dxa"/>
            <w:tcBorders>
              <w:top w:val="single" w:sz="4" w:space="0" w:color="auto"/>
              <w:bottom w:val="single" w:sz="4" w:space="0" w:color="auto"/>
            </w:tcBorders>
          </w:tcPr>
          <w:p w14:paraId="29641C3E" w14:textId="22C8FCFA" w:rsidR="00AC5066" w:rsidRPr="00183B5F" w:rsidRDefault="00943743">
            <w:pPr>
              <w:pStyle w:val="EMEANormal"/>
              <w:widowControl w:val="0"/>
              <w:suppressAutoHyphens w:val="0"/>
              <w:jc w:val="both"/>
              <w:rPr>
                <w:del w:id="4764" w:author="AbbVie_HU_03" w:date="2025-05-14T15:27:00Z"/>
                <w:lang w:val="hu-HU"/>
              </w:rPr>
            </w:pPr>
            <w:del w:id="4765" w:author="AbbVie_HU_03" w:date="2025-05-14T15:27:00Z">
              <w:r w:rsidRPr="00183B5F">
                <w:rPr>
                  <w:lang w:val="hu-HU"/>
                </w:rPr>
                <w:delText>Gyakori</w:delText>
              </w:r>
            </w:del>
          </w:p>
        </w:tc>
        <w:tc>
          <w:tcPr>
            <w:tcW w:w="4451" w:type="dxa"/>
            <w:tcBorders>
              <w:top w:val="single" w:sz="4" w:space="0" w:color="auto"/>
              <w:bottom w:val="single" w:sz="4" w:space="0" w:color="auto"/>
            </w:tcBorders>
          </w:tcPr>
          <w:p w14:paraId="009C4953" w14:textId="28E51F8D" w:rsidR="00A67220" w:rsidRPr="00183B5F" w:rsidRDefault="00943743" w:rsidP="004062FE">
            <w:pPr>
              <w:widowControl w:val="0"/>
              <w:suppressAutoHyphens w:val="0"/>
              <w:spacing w:line="240" w:lineRule="auto"/>
              <w:rPr>
                <w:del w:id="4766" w:author="AbbVie_HU_03" w:date="2025-05-14T15:27:00Z"/>
                <w:szCs w:val="22"/>
              </w:rPr>
            </w:pPr>
            <w:del w:id="4767" w:author="AbbVie_HU_03" w:date="2025-05-14T15:27:00Z">
              <w:r w:rsidRPr="00183B5F">
                <w:rPr>
                  <w:szCs w:val="22"/>
                </w:rPr>
                <w:delText>Leukocytosis,</w:delText>
              </w:r>
            </w:del>
          </w:p>
          <w:p w14:paraId="06B59D9E" w14:textId="668E7C30" w:rsidR="00AC5066" w:rsidRPr="00183B5F" w:rsidRDefault="00943743" w:rsidP="004062FE">
            <w:pPr>
              <w:widowControl w:val="0"/>
              <w:suppressAutoHyphens w:val="0"/>
              <w:spacing w:line="240" w:lineRule="auto"/>
              <w:rPr>
                <w:del w:id="4768" w:author="AbbVie_HU_03" w:date="2025-05-14T15:27:00Z"/>
              </w:rPr>
            </w:pPr>
            <w:del w:id="4769" w:author="AbbVie_HU_03" w:date="2025-05-14T15:27:00Z">
              <w:r w:rsidRPr="00183B5F">
                <w:delText xml:space="preserve">thrombocytopenia, </w:delText>
              </w:r>
            </w:del>
          </w:p>
          <w:p w14:paraId="006C6D2D" w14:textId="033F3A59" w:rsidR="00AC5066" w:rsidRPr="00183B5F" w:rsidRDefault="00AC5066" w:rsidP="004062FE">
            <w:pPr>
              <w:widowControl w:val="0"/>
              <w:suppressAutoHyphens w:val="0"/>
              <w:spacing w:line="240" w:lineRule="auto"/>
              <w:rPr>
                <w:del w:id="4770" w:author="AbbVie_HU_03" w:date="2025-05-14T15:27:00Z"/>
              </w:rPr>
            </w:pPr>
          </w:p>
        </w:tc>
      </w:tr>
      <w:tr w:rsidR="00011D2F" w14:paraId="3FF79AC5" w14:textId="44594565" w:rsidTr="00202B95">
        <w:trPr>
          <w:cantSplit/>
          <w:del w:id="4771" w:author="AbbVie_HU_03" w:date="2025-05-14T15:27:00Z"/>
        </w:trPr>
        <w:tc>
          <w:tcPr>
            <w:tcW w:w="2503" w:type="dxa"/>
            <w:vMerge/>
          </w:tcPr>
          <w:p w14:paraId="09117D17" w14:textId="503FD374" w:rsidR="00AC5066" w:rsidRPr="00183B5F" w:rsidRDefault="00AC5066" w:rsidP="004062FE">
            <w:pPr>
              <w:widowControl w:val="0"/>
              <w:suppressAutoHyphens w:val="0"/>
              <w:spacing w:line="240" w:lineRule="auto"/>
              <w:jc w:val="center"/>
              <w:rPr>
                <w:del w:id="4772" w:author="AbbVie_HU_03" w:date="2025-05-14T15:27:00Z"/>
                <w:b/>
              </w:rPr>
            </w:pPr>
          </w:p>
        </w:tc>
        <w:tc>
          <w:tcPr>
            <w:tcW w:w="2107" w:type="dxa"/>
            <w:tcBorders>
              <w:top w:val="single" w:sz="4" w:space="0" w:color="auto"/>
            </w:tcBorders>
          </w:tcPr>
          <w:p w14:paraId="7EF89F9D" w14:textId="7F1011A5" w:rsidR="00AC5066" w:rsidRPr="00183B5F" w:rsidRDefault="00943743">
            <w:pPr>
              <w:pStyle w:val="EMEANormal"/>
              <w:widowControl w:val="0"/>
              <w:suppressAutoHyphens w:val="0"/>
              <w:jc w:val="both"/>
              <w:rPr>
                <w:del w:id="4773" w:author="AbbVie_HU_03" w:date="2025-05-14T15:27:00Z"/>
                <w:lang w:val="hu-HU"/>
              </w:rPr>
            </w:pPr>
            <w:del w:id="4774" w:author="AbbVie_HU_03" w:date="2025-05-14T15:27:00Z">
              <w:r w:rsidRPr="00183B5F">
                <w:rPr>
                  <w:lang w:val="hu-HU"/>
                </w:rPr>
                <w:delText>Nem gyakori</w:delText>
              </w:r>
            </w:del>
          </w:p>
        </w:tc>
        <w:tc>
          <w:tcPr>
            <w:tcW w:w="4451" w:type="dxa"/>
            <w:tcBorders>
              <w:top w:val="single" w:sz="4" w:space="0" w:color="auto"/>
            </w:tcBorders>
          </w:tcPr>
          <w:p w14:paraId="23103615" w14:textId="623C74CA" w:rsidR="00AC5066" w:rsidRPr="00183B5F" w:rsidRDefault="00943743" w:rsidP="004062FE">
            <w:pPr>
              <w:widowControl w:val="0"/>
              <w:suppressAutoHyphens w:val="0"/>
              <w:spacing w:line="240" w:lineRule="auto"/>
              <w:rPr>
                <w:del w:id="4775" w:author="AbbVie_HU_03" w:date="2025-05-14T15:27:00Z"/>
              </w:rPr>
            </w:pPr>
            <w:del w:id="4776" w:author="AbbVie_HU_03" w:date="2025-05-14T15:27:00Z">
              <w:r w:rsidRPr="00183B5F">
                <w:delText>Idiopathiás thrombocytopeniás purpura</w:delText>
              </w:r>
            </w:del>
          </w:p>
        </w:tc>
      </w:tr>
      <w:tr w:rsidR="00011D2F" w14:paraId="3638DC62" w14:textId="291FAD5E" w:rsidTr="00202B95">
        <w:trPr>
          <w:cantSplit/>
          <w:del w:id="4777" w:author="AbbVie_HU_03" w:date="2025-05-14T15:27:00Z"/>
        </w:trPr>
        <w:tc>
          <w:tcPr>
            <w:tcW w:w="2503" w:type="dxa"/>
            <w:vMerge/>
            <w:tcBorders>
              <w:bottom w:val="single" w:sz="4" w:space="0" w:color="auto"/>
            </w:tcBorders>
          </w:tcPr>
          <w:p w14:paraId="18F95AED" w14:textId="2FC80FA1" w:rsidR="00AC5066" w:rsidRPr="00183B5F" w:rsidRDefault="00AC5066" w:rsidP="004062FE">
            <w:pPr>
              <w:widowControl w:val="0"/>
              <w:suppressAutoHyphens w:val="0"/>
              <w:spacing w:line="240" w:lineRule="auto"/>
              <w:jc w:val="center"/>
              <w:rPr>
                <w:del w:id="4778" w:author="AbbVie_HU_03" w:date="2025-05-14T15:27:00Z"/>
                <w:b/>
              </w:rPr>
            </w:pPr>
          </w:p>
        </w:tc>
        <w:tc>
          <w:tcPr>
            <w:tcW w:w="2107" w:type="dxa"/>
            <w:tcBorders>
              <w:top w:val="nil"/>
              <w:bottom w:val="single" w:sz="4" w:space="0" w:color="auto"/>
            </w:tcBorders>
          </w:tcPr>
          <w:p w14:paraId="3121E408" w14:textId="5C102998" w:rsidR="00AC5066" w:rsidRPr="00183B5F" w:rsidRDefault="00943743">
            <w:pPr>
              <w:pStyle w:val="EMEANormal"/>
              <w:widowControl w:val="0"/>
              <w:suppressAutoHyphens w:val="0"/>
              <w:jc w:val="both"/>
              <w:rPr>
                <w:del w:id="4779" w:author="AbbVie_HU_03" w:date="2025-05-14T15:27:00Z"/>
                <w:lang w:val="hu-HU"/>
              </w:rPr>
            </w:pPr>
            <w:del w:id="4780" w:author="AbbVie_HU_03" w:date="2025-05-14T15:27:00Z">
              <w:r w:rsidRPr="00183B5F">
                <w:rPr>
                  <w:lang w:val="hu-HU"/>
                </w:rPr>
                <w:delText>Ritka</w:delText>
              </w:r>
            </w:del>
          </w:p>
        </w:tc>
        <w:tc>
          <w:tcPr>
            <w:tcW w:w="4451" w:type="dxa"/>
            <w:tcBorders>
              <w:top w:val="nil"/>
              <w:bottom w:val="single" w:sz="4" w:space="0" w:color="auto"/>
            </w:tcBorders>
          </w:tcPr>
          <w:p w14:paraId="7C35C7A4" w14:textId="0EB0A110" w:rsidR="00AC5066" w:rsidRPr="00183B5F" w:rsidRDefault="00943743" w:rsidP="004062FE">
            <w:pPr>
              <w:widowControl w:val="0"/>
              <w:suppressAutoHyphens w:val="0"/>
              <w:spacing w:line="240" w:lineRule="auto"/>
              <w:rPr>
                <w:del w:id="4781" w:author="AbbVie_HU_03" w:date="2025-05-14T15:27:00Z"/>
                <w:b/>
              </w:rPr>
            </w:pPr>
            <w:del w:id="4782" w:author="AbbVie_HU_03" w:date="2025-05-14T15:27:00Z">
              <w:r w:rsidRPr="00183B5F">
                <w:delText>Pancytopenia</w:delText>
              </w:r>
            </w:del>
          </w:p>
        </w:tc>
      </w:tr>
      <w:tr w:rsidR="00011D2F" w14:paraId="301987D1" w14:textId="05DAFF83" w:rsidTr="00202B95">
        <w:trPr>
          <w:cantSplit/>
          <w:del w:id="4783" w:author="AbbVie_HU_03" w:date="2025-05-14T15:27:00Z"/>
        </w:trPr>
        <w:tc>
          <w:tcPr>
            <w:tcW w:w="2503" w:type="dxa"/>
            <w:tcBorders>
              <w:bottom w:val="nil"/>
            </w:tcBorders>
          </w:tcPr>
          <w:p w14:paraId="3E6B748B" w14:textId="20037980" w:rsidR="00AC5066" w:rsidRPr="00183B5F" w:rsidRDefault="00943743" w:rsidP="004062FE">
            <w:pPr>
              <w:pStyle w:val="EMEANormal"/>
              <w:widowControl w:val="0"/>
              <w:suppressAutoHyphens w:val="0"/>
              <w:rPr>
                <w:del w:id="4784" w:author="AbbVie_HU_03" w:date="2025-05-14T15:27:00Z"/>
                <w:lang w:val="hu-HU"/>
              </w:rPr>
            </w:pPr>
            <w:del w:id="4785" w:author="AbbVie_HU_03" w:date="2025-05-14T15:27:00Z">
              <w:r w:rsidRPr="00183B5F">
                <w:rPr>
                  <w:szCs w:val="22"/>
                  <w:lang w:val="hu-HU"/>
                </w:rPr>
                <w:delText>Immunrendszeri betegségek és tünetek</w:delText>
              </w:r>
              <w:r w:rsidRPr="00183B5F">
                <w:rPr>
                  <w:lang w:val="hu-HU"/>
                </w:rPr>
                <w:delText>*</w:delText>
              </w:r>
            </w:del>
          </w:p>
        </w:tc>
        <w:tc>
          <w:tcPr>
            <w:tcW w:w="2107" w:type="dxa"/>
            <w:tcBorders>
              <w:bottom w:val="single" w:sz="4" w:space="0" w:color="auto"/>
            </w:tcBorders>
          </w:tcPr>
          <w:p w14:paraId="3B62C346" w14:textId="2D4CEEB3" w:rsidR="00AC5066" w:rsidRPr="00183B5F" w:rsidRDefault="00943743" w:rsidP="004062FE">
            <w:pPr>
              <w:pStyle w:val="EMEANormal"/>
              <w:widowControl w:val="0"/>
              <w:suppressAutoHyphens w:val="0"/>
              <w:rPr>
                <w:del w:id="4786" w:author="AbbVie_HU_03" w:date="2025-05-14T15:27:00Z"/>
                <w:lang w:val="hu-HU"/>
              </w:rPr>
            </w:pPr>
            <w:del w:id="4787" w:author="AbbVie_HU_03" w:date="2025-05-14T15:27:00Z">
              <w:r w:rsidRPr="00183B5F">
                <w:rPr>
                  <w:lang w:val="hu-HU"/>
                </w:rPr>
                <w:delText>Gyakori</w:delText>
              </w:r>
            </w:del>
          </w:p>
          <w:p w14:paraId="56EA38E8" w14:textId="7B6E050B" w:rsidR="00AC5066" w:rsidRPr="00183B5F" w:rsidRDefault="00AC5066" w:rsidP="004062FE">
            <w:pPr>
              <w:pStyle w:val="EMEANormal"/>
              <w:widowControl w:val="0"/>
              <w:suppressAutoHyphens w:val="0"/>
              <w:rPr>
                <w:del w:id="4788" w:author="AbbVie_HU_03" w:date="2025-05-14T15:27:00Z"/>
                <w:lang w:val="hu-HU"/>
              </w:rPr>
            </w:pPr>
          </w:p>
        </w:tc>
        <w:tc>
          <w:tcPr>
            <w:tcW w:w="4451" w:type="dxa"/>
            <w:tcBorders>
              <w:bottom w:val="single" w:sz="4" w:space="0" w:color="auto"/>
            </w:tcBorders>
          </w:tcPr>
          <w:p w14:paraId="72960C5F" w14:textId="773532B1" w:rsidR="00AC5066" w:rsidRPr="00183B5F" w:rsidRDefault="00943743" w:rsidP="004062FE">
            <w:pPr>
              <w:pStyle w:val="EMEANormal"/>
              <w:widowControl w:val="0"/>
              <w:suppressAutoHyphens w:val="0"/>
              <w:rPr>
                <w:del w:id="4789" w:author="AbbVie_HU_03" w:date="2025-05-14T15:27:00Z"/>
                <w:lang w:val="hu-HU"/>
              </w:rPr>
            </w:pPr>
            <w:del w:id="4790" w:author="AbbVie_HU_03" w:date="2025-05-14T15:27:00Z">
              <w:r w:rsidRPr="00183B5F">
                <w:rPr>
                  <w:lang w:val="hu-HU"/>
                </w:rPr>
                <w:delText>Hypersensitivitás,</w:delText>
              </w:r>
            </w:del>
          </w:p>
          <w:p w14:paraId="01658E87" w14:textId="01F7433C" w:rsidR="00A67220" w:rsidRPr="00183B5F" w:rsidRDefault="00943743" w:rsidP="004062FE">
            <w:pPr>
              <w:pStyle w:val="EMEANormal"/>
              <w:widowControl w:val="0"/>
              <w:suppressAutoHyphens w:val="0"/>
              <w:rPr>
                <w:del w:id="4791" w:author="AbbVie_HU_03" w:date="2025-05-14T15:27:00Z"/>
                <w:lang w:val="hu-HU"/>
              </w:rPr>
            </w:pPr>
            <w:del w:id="4792" w:author="AbbVie_HU_03" w:date="2025-05-14T15:27:00Z">
              <w:r w:rsidRPr="00183B5F">
                <w:rPr>
                  <w:lang w:val="hu-HU"/>
                </w:rPr>
                <w:delText>allergiák (beleértve a szezonális allergiát is)</w:delText>
              </w:r>
            </w:del>
          </w:p>
        </w:tc>
      </w:tr>
      <w:tr w:rsidR="00011D2F" w14:paraId="5CAC1C16" w14:textId="22CCDE97" w:rsidTr="00202B95">
        <w:trPr>
          <w:cantSplit/>
          <w:del w:id="4793" w:author="AbbVie_HU_03" w:date="2025-05-14T15:27:00Z"/>
        </w:trPr>
        <w:tc>
          <w:tcPr>
            <w:tcW w:w="2503" w:type="dxa"/>
            <w:tcBorders>
              <w:top w:val="nil"/>
              <w:bottom w:val="nil"/>
            </w:tcBorders>
          </w:tcPr>
          <w:p w14:paraId="5E7C2E4C" w14:textId="3D88E63C" w:rsidR="00C43DDD" w:rsidRPr="00183B5F" w:rsidRDefault="00C43DDD" w:rsidP="004062FE">
            <w:pPr>
              <w:pStyle w:val="EMEANormal"/>
              <w:widowControl w:val="0"/>
              <w:suppressAutoHyphens w:val="0"/>
              <w:rPr>
                <w:del w:id="4794" w:author="AbbVie_HU_03" w:date="2025-05-14T15:27:00Z"/>
                <w:szCs w:val="22"/>
                <w:lang w:val="hu-HU"/>
              </w:rPr>
            </w:pPr>
          </w:p>
        </w:tc>
        <w:tc>
          <w:tcPr>
            <w:tcW w:w="2107" w:type="dxa"/>
            <w:tcBorders>
              <w:top w:val="single" w:sz="4" w:space="0" w:color="auto"/>
              <w:bottom w:val="single" w:sz="4" w:space="0" w:color="auto"/>
            </w:tcBorders>
          </w:tcPr>
          <w:p w14:paraId="5D0908FD" w14:textId="2D2E8988" w:rsidR="00C43DDD" w:rsidRPr="00183B5F" w:rsidRDefault="00943743" w:rsidP="004062FE">
            <w:pPr>
              <w:pStyle w:val="EMEANormal"/>
              <w:widowControl w:val="0"/>
              <w:suppressAutoHyphens w:val="0"/>
              <w:rPr>
                <w:del w:id="4795" w:author="AbbVie_HU_03" w:date="2025-05-14T15:27:00Z"/>
                <w:lang w:val="hu-HU"/>
              </w:rPr>
            </w:pPr>
            <w:del w:id="4796" w:author="AbbVie_HU_03" w:date="2025-05-14T15:27:00Z">
              <w:r w:rsidRPr="00183B5F">
                <w:rPr>
                  <w:szCs w:val="22"/>
                  <w:lang w:val="hu-HU"/>
                </w:rPr>
                <w:delText>Nem gyakori</w:delText>
              </w:r>
            </w:del>
          </w:p>
        </w:tc>
        <w:tc>
          <w:tcPr>
            <w:tcW w:w="4451" w:type="dxa"/>
            <w:tcBorders>
              <w:top w:val="single" w:sz="4" w:space="0" w:color="auto"/>
              <w:bottom w:val="single" w:sz="4" w:space="0" w:color="auto"/>
            </w:tcBorders>
          </w:tcPr>
          <w:p w14:paraId="3EAABF4E" w14:textId="73036047" w:rsidR="00C43DDD" w:rsidRPr="00183B5F" w:rsidRDefault="00943743" w:rsidP="004062FE">
            <w:pPr>
              <w:pStyle w:val="EMEANormal"/>
              <w:widowControl w:val="0"/>
              <w:suppressAutoHyphens w:val="0"/>
              <w:rPr>
                <w:del w:id="4797" w:author="AbbVie_HU_03" w:date="2025-05-14T15:27:00Z"/>
                <w:lang w:val="hu-HU"/>
              </w:rPr>
            </w:pPr>
            <w:del w:id="4798" w:author="AbbVie_HU_03" w:date="2025-05-14T15:27:00Z">
              <w:r w:rsidRPr="00183B5F">
                <w:rPr>
                  <w:szCs w:val="22"/>
                  <w:lang w:val="hu-HU"/>
                </w:rPr>
                <w:delText>Sarcoidosis</w:delText>
              </w:r>
              <w:r w:rsidRPr="00183B5F">
                <w:rPr>
                  <w:szCs w:val="22"/>
                  <w:vertAlign w:val="superscript"/>
                  <w:lang w:val="hu-HU"/>
                </w:rPr>
                <w:delText>1</w:delText>
              </w:r>
              <w:r w:rsidRPr="00183B5F">
                <w:rPr>
                  <w:vertAlign w:val="superscript"/>
                  <w:lang w:val="hu-HU"/>
                </w:rPr>
                <w:delText>)</w:delText>
              </w:r>
              <w:r w:rsidRPr="00183B5F">
                <w:rPr>
                  <w:lang w:val="hu-HU"/>
                </w:rPr>
                <w:delText>,</w:delText>
              </w:r>
            </w:del>
          </w:p>
          <w:p w14:paraId="3779F4AB" w14:textId="60F49A35" w:rsidR="00C43DDD" w:rsidRPr="00183B5F" w:rsidRDefault="00943743" w:rsidP="004062FE">
            <w:pPr>
              <w:pStyle w:val="EMEANormal"/>
              <w:widowControl w:val="0"/>
              <w:suppressAutoHyphens w:val="0"/>
              <w:rPr>
                <w:del w:id="4799" w:author="AbbVie_HU_03" w:date="2025-05-14T15:27:00Z"/>
                <w:lang w:val="hu-HU"/>
              </w:rPr>
            </w:pPr>
            <w:del w:id="4800" w:author="AbbVie_HU_03" w:date="2025-05-14T15:27:00Z">
              <w:r w:rsidRPr="00183B5F">
                <w:rPr>
                  <w:szCs w:val="22"/>
                  <w:lang w:val="hu-HU"/>
                </w:rPr>
                <w:delText>vasculitis</w:delText>
              </w:r>
            </w:del>
          </w:p>
        </w:tc>
      </w:tr>
      <w:tr w:rsidR="00011D2F" w14:paraId="2CF1B64F" w14:textId="5777E8F2" w:rsidTr="00202B95">
        <w:trPr>
          <w:cantSplit/>
          <w:del w:id="4801" w:author="AbbVie_HU_03" w:date="2025-05-14T15:27:00Z"/>
        </w:trPr>
        <w:tc>
          <w:tcPr>
            <w:tcW w:w="2503" w:type="dxa"/>
            <w:tcBorders>
              <w:top w:val="nil"/>
            </w:tcBorders>
          </w:tcPr>
          <w:p w14:paraId="51BE5B45" w14:textId="2883F995" w:rsidR="00C43DDD" w:rsidRPr="00183B5F" w:rsidRDefault="00C43DDD" w:rsidP="004062FE">
            <w:pPr>
              <w:pStyle w:val="EMEANormal"/>
              <w:widowControl w:val="0"/>
              <w:suppressAutoHyphens w:val="0"/>
              <w:rPr>
                <w:del w:id="4802" w:author="AbbVie_HU_03" w:date="2025-05-14T15:27:00Z"/>
                <w:szCs w:val="22"/>
                <w:lang w:val="hu-HU"/>
              </w:rPr>
            </w:pPr>
          </w:p>
        </w:tc>
        <w:tc>
          <w:tcPr>
            <w:tcW w:w="2107" w:type="dxa"/>
            <w:tcBorders>
              <w:top w:val="single" w:sz="4" w:space="0" w:color="auto"/>
              <w:bottom w:val="single" w:sz="4" w:space="0" w:color="auto"/>
            </w:tcBorders>
          </w:tcPr>
          <w:p w14:paraId="0EC059C2" w14:textId="34EFB7B5" w:rsidR="00C43DDD" w:rsidRPr="00183B5F" w:rsidRDefault="00943743" w:rsidP="004062FE">
            <w:pPr>
              <w:pStyle w:val="EMEANormal"/>
              <w:widowControl w:val="0"/>
              <w:suppressAutoHyphens w:val="0"/>
              <w:rPr>
                <w:del w:id="4803" w:author="AbbVie_HU_03" w:date="2025-05-14T15:27:00Z"/>
                <w:lang w:val="hu-HU"/>
              </w:rPr>
            </w:pPr>
            <w:del w:id="4804" w:author="AbbVie_HU_03" w:date="2025-05-14T15:27:00Z">
              <w:r w:rsidRPr="00183B5F">
                <w:rPr>
                  <w:szCs w:val="22"/>
                  <w:lang w:val="hu-HU"/>
                </w:rPr>
                <w:delText>Ritka</w:delText>
              </w:r>
            </w:del>
          </w:p>
        </w:tc>
        <w:tc>
          <w:tcPr>
            <w:tcW w:w="4451" w:type="dxa"/>
            <w:tcBorders>
              <w:top w:val="single" w:sz="4" w:space="0" w:color="auto"/>
              <w:bottom w:val="single" w:sz="4" w:space="0" w:color="auto"/>
            </w:tcBorders>
          </w:tcPr>
          <w:p w14:paraId="04402C57" w14:textId="322884B5" w:rsidR="00C43DDD" w:rsidRPr="00183B5F" w:rsidRDefault="00943743" w:rsidP="004062FE">
            <w:pPr>
              <w:pStyle w:val="EMEANormal"/>
              <w:widowControl w:val="0"/>
              <w:suppressAutoHyphens w:val="0"/>
              <w:rPr>
                <w:del w:id="4805" w:author="AbbVie_HU_03" w:date="2025-05-14T15:27:00Z"/>
                <w:lang w:val="hu-HU"/>
              </w:rPr>
            </w:pPr>
            <w:del w:id="4806" w:author="AbbVie_HU_03" w:date="2025-05-14T15:27:00Z">
              <w:r w:rsidRPr="00183B5F">
                <w:rPr>
                  <w:szCs w:val="22"/>
                  <w:lang w:val="hu-HU"/>
                </w:rPr>
                <w:delText>Anaphylaxia</w:delText>
              </w:r>
              <w:r w:rsidRPr="00183B5F">
                <w:rPr>
                  <w:szCs w:val="22"/>
                  <w:vertAlign w:val="superscript"/>
                  <w:lang w:val="hu-HU"/>
                </w:rPr>
                <w:delText>1)</w:delText>
              </w:r>
            </w:del>
          </w:p>
        </w:tc>
      </w:tr>
      <w:tr w:rsidR="00011D2F" w14:paraId="4304BB31" w14:textId="7F4CB1B7" w:rsidTr="00202B95">
        <w:trPr>
          <w:cantSplit/>
          <w:trHeight w:val="2481"/>
          <w:del w:id="4807" w:author="AbbVie_HU_03" w:date="2025-05-14T15:27:00Z"/>
        </w:trPr>
        <w:tc>
          <w:tcPr>
            <w:tcW w:w="2503" w:type="dxa"/>
            <w:vMerge w:val="restart"/>
          </w:tcPr>
          <w:p w14:paraId="4FEBD116" w14:textId="14C1AC00" w:rsidR="00AC5066" w:rsidRPr="00183B5F" w:rsidRDefault="00943743" w:rsidP="004062FE">
            <w:pPr>
              <w:pStyle w:val="EMEANormal"/>
              <w:widowControl w:val="0"/>
              <w:suppressAutoHyphens w:val="0"/>
              <w:rPr>
                <w:del w:id="4808" w:author="AbbVie_HU_03" w:date="2025-05-14T15:27:00Z"/>
                <w:szCs w:val="22"/>
                <w:lang w:val="hu-HU"/>
              </w:rPr>
            </w:pPr>
            <w:del w:id="4809" w:author="AbbVie_HU_03" w:date="2025-05-14T15:27:00Z">
              <w:r w:rsidRPr="00183B5F">
                <w:rPr>
                  <w:szCs w:val="22"/>
                  <w:lang w:val="hu-HU"/>
                </w:rPr>
                <w:delText>Anyagcsere- és táplálkozási betegségek és tünetek</w:delText>
              </w:r>
            </w:del>
          </w:p>
        </w:tc>
        <w:tc>
          <w:tcPr>
            <w:tcW w:w="2107" w:type="dxa"/>
            <w:tcBorders>
              <w:bottom w:val="single" w:sz="4" w:space="0" w:color="auto"/>
            </w:tcBorders>
          </w:tcPr>
          <w:p w14:paraId="24C11169" w14:textId="6DE146E9" w:rsidR="00AC5066" w:rsidRPr="00183B5F" w:rsidRDefault="00943743" w:rsidP="004062FE">
            <w:pPr>
              <w:pStyle w:val="EMEANormal"/>
              <w:widowControl w:val="0"/>
              <w:suppressAutoHyphens w:val="0"/>
              <w:rPr>
                <w:del w:id="4810" w:author="AbbVie_HU_03" w:date="2025-05-14T15:27:00Z"/>
                <w:lang w:val="hu-HU"/>
              </w:rPr>
            </w:pPr>
            <w:del w:id="4811" w:author="AbbVie_HU_03" w:date="2025-05-14T15:27:00Z">
              <w:r w:rsidRPr="00183B5F">
                <w:rPr>
                  <w:lang w:val="hu-HU"/>
                </w:rPr>
                <w:delText>Nagyon gyakori</w:delText>
              </w:r>
            </w:del>
          </w:p>
        </w:tc>
        <w:tc>
          <w:tcPr>
            <w:tcW w:w="4451" w:type="dxa"/>
            <w:tcBorders>
              <w:bottom w:val="single" w:sz="4" w:space="0" w:color="auto"/>
            </w:tcBorders>
          </w:tcPr>
          <w:p w14:paraId="1DC5A983" w14:textId="68863283" w:rsidR="00AC5066" w:rsidRPr="00183B5F" w:rsidRDefault="00943743" w:rsidP="004062FE">
            <w:pPr>
              <w:pStyle w:val="EMEANormal"/>
              <w:widowControl w:val="0"/>
              <w:suppressAutoHyphens w:val="0"/>
              <w:rPr>
                <w:del w:id="4812" w:author="AbbVie_HU_03" w:date="2025-05-14T15:27:00Z"/>
                <w:lang w:val="hu-HU"/>
              </w:rPr>
            </w:pPr>
            <w:del w:id="4813" w:author="AbbVie_HU_03" w:date="2025-05-14T15:27:00Z">
              <w:r w:rsidRPr="00183B5F">
                <w:rPr>
                  <w:lang w:val="hu-HU"/>
                </w:rPr>
                <w:delText xml:space="preserve">Emelkedett lipidszint </w:delText>
              </w:r>
            </w:del>
          </w:p>
        </w:tc>
      </w:tr>
      <w:tr w:rsidR="00011D2F" w14:paraId="31953FAA" w14:textId="10E965D4" w:rsidTr="00202B95">
        <w:trPr>
          <w:cantSplit/>
          <w:trHeight w:val="3085"/>
          <w:del w:id="4814" w:author="AbbVie_HU_03" w:date="2025-05-14T15:27:00Z"/>
        </w:trPr>
        <w:tc>
          <w:tcPr>
            <w:tcW w:w="2503" w:type="dxa"/>
            <w:vMerge/>
          </w:tcPr>
          <w:p w14:paraId="278E0DE9" w14:textId="3C4AA96D" w:rsidR="00A14FE3" w:rsidRPr="00183B5F" w:rsidRDefault="00A14FE3" w:rsidP="004062FE">
            <w:pPr>
              <w:pStyle w:val="EMEANormal"/>
              <w:widowControl w:val="0"/>
              <w:suppressAutoHyphens w:val="0"/>
              <w:rPr>
                <w:del w:id="4815" w:author="AbbVie_HU_03" w:date="2025-05-14T15:27:00Z"/>
                <w:lang w:val="hu-HU"/>
              </w:rPr>
            </w:pPr>
          </w:p>
        </w:tc>
        <w:tc>
          <w:tcPr>
            <w:tcW w:w="2107" w:type="dxa"/>
            <w:tcBorders>
              <w:top w:val="single" w:sz="4" w:space="0" w:color="auto"/>
            </w:tcBorders>
          </w:tcPr>
          <w:p w14:paraId="0FB86596" w14:textId="527D87BE" w:rsidR="00A14FE3" w:rsidRPr="00183B5F" w:rsidRDefault="00943743" w:rsidP="004062FE">
            <w:pPr>
              <w:pStyle w:val="EMEANormal"/>
              <w:widowControl w:val="0"/>
              <w:suppressAutoHyphens w:val="0"/>
              <w:rPr>
                <w:del w:id="4816" w:author="AbbVie_HU_03" w:date="2025-05-14T15:27:00Z"/>
                <w:lang w:val="hu-HU"/>
              </w:rPr>
            </w:pPr>
            <w:del w:id="4817" w:author="AbbVie_HU_03" w:date="2025-05-14T15:27:00Z">
              <w:r w:rsidRPr="00183B5F">
                <w:rPr>
                  <w:lang w:val="hu-HU"/>
                </w:rPr>
                <w:delText>Gyakori</w:delText>
              </w:r>
            </w:del>
          </w:p>
        </w:tc>
        <w:tc>
          <w:tcPr>
            <w:tcW w:w="4451" w:type="dxa"/>
            <w:tcBorders>
              <w:top w:val="single" w:sz="4" w:space="0" w:color="auto"/>
            </w:tcBorders>
          </w:tcPr>
          <w:p w14:paraId="301DD8FA" w14:textId="47AD60E7" w:rsidR="00A14FE3" w:rsidRPr="00183B5F" w:rsidRDefault="00943743" w:rsidP="004062FE">
            <w:pPr>
              <w:pStyle w:val="EMEANormal"/>
              <w:widowControl w:val="0"/>
              <w:suppressAutoHyphens w:val="0"/>
              <w:rPr>
                <w:del w:id="4818" w:author="AbbVie_HU_03" w:date="2025-05-14T15:27:00Z"/>
                <w:lang w:val="hu-HU"/>
              </w:rPr>
            </w:pPr>
            <w:del w:id="4819" w:author="AbbVie_HU_03" w:date="2025-05-14T15:27:00Z">
              <w:r w:rsidRPr="00183B5F">
                <w:rPr>
                  <w:lang w:val="hu-HU"/>
                </w:rPr>
                <w:delText xml:space="preserve">Hypokalaemia, </w:delText>
              </w:r>
            </w:del>
          </w:p>
          <w:p w14:paraId="0419AC1E" w14:textId="6E1DFEA1" w:rsidR="00A14FE3" w:rsidRPr="00183B5F" w:rsidRDefault="00943743" w:rsidP="004062FE">
            <w:pPr>
              <w:pStyle w:val="EMEANormal"/>
              <w:widowControl w:val="0"/>
              <w:suppressAutoHyphens w:val="0"/>
              <w:rPr>
                <w:del w:id="4820" w:author="AbbVie_HU_03" w:date="2025-05-14T15:27:00Z"/>
                <w:lang w:val="hu-HU"/>
              </w:rPr>
            </w:pPr>
            <w:del w:id="4821" w:author="AbbVie_HU_03" w:date="2025-05-14T15:27:00Z">
              <w:r w:rsidRPr="00183B5F">
                <w:rPr>
                  <w:lang w:val="hu-HU"/>
                </w:rPr>
                <w:delText xml:space="preserve">emelkedett húgysavszint, </w:delText>
              </w:r>
            </w:del>
          </w:p>
          <w:p w14:paraId="67EC9E56" w14:textId="13ECC347" w:rsidR="00A14FE3" w:rsidRPr="00183B5F" w:rsidRDefault="00943743" w:rsidP="004062FE">
            <w:pPr>
              <w:pStyle w:val="EMEANormal"/>
              <w:widowControl w:val="0"/>
              <w:suppressAutoHyphens w:val="0"/>
              <w:rPr>
                <w:del w:id="4822" w:author="AbbVie_HU_03" w:date="2025-05-14T15:27:00Z"/>
                <w:lang w:val="hu-HU"/>
              </w:rPr>
            </w:pPr>
            <w:del w:id="4823" w:author="AbbVie_HU_03" w:date="2025-05-14T15:27:00Z">
              <w:r w:rsidRPr="00183B5F">
                <w:rPr>
                  <w:lang w:val="hu-HU"/>
                </w:rPr>
                <w:delText>kóros nátriumszint a vérben,</w:delText>
              </w:r>
            </w:del>
          </w:p>
          <w:p w14:paraId="7B834638" w14:textId="59EA211F" w:rsidR="00A14FE3" w:rsidRPr="00183B5F" w:rsidRDefault="00943743" w:rsidP="004062FE">
            <w:pPr>
              <w:pStyle w:val="EMEANormal"/>
              <w:widowControl w:val="0"/>
              <w:suppressAutoHyphens w:val="0"/>
              <w:rPr>
                <w:del w:id="4824" w:author="AbbVie_HU_03" w:date="2025-05-14T15:27:00Z"/>
                <w:lang w:val="hu-HU"/>
              </w:rPr>
            </w:pPr>
            <w:del w:id="4825" w:author="AbbVie_HU_03" w:date="2025-05-14T15:27:00Z">
              <w:r w:rsidRPr="00183B5F">
                <w:rPr>
                  <w:lang w:val="hu-HU"/>
                </w:rPr>
                <w:delText>hypocalcaemia</w:delText>
              </w:r>
            </w:del>
          </w:p>
          <w:p w14:paraId="7629D1A5" w14:textId="1DB5A941" w:rsidR="00A14FE3" w:rsidRPr="00183B5F" w:rsidRDefault="00943743" w:rsidP="004062FE">
            <w:pPr>
              <w:pStyle w:val="EMEANormal"/>
              <w:widowControl w:val="0"/>
              <w:suppressAutoHyphens w:val="0"/>
              <w:rPr>
                <w:del w:id="4826" w:author="AbbVie_HU_03" w:date="2025-05-14T15:27:00Z"/>
                <w:lang w:val="hu-HU"/>
              </w:rPr>
            </w:pPr>
            <w:del w:id="4827" w:author="AbbVie_HU_03" w:date="2025-05-14T15:27:00Z">
              <w:r w:rsidRPr="00183B5F">
                <w:rPr>
                  <w:lang w:val="hu-HU"/>
                </w:rPr>
                <w:delText>hyperglykaemia,</w:delText>
              </w:r>
            </w:del>
          </w:p>
          <w:p w14:paraId="3D5C9829" w14:textId="5249A0A9" w:rsidR="00A14FE3" w:rsidRPr="00183B5F" w:rsidRDefault="00943743" w:rsidP="004062FE">
            <w:pPr>
              <w:pStyle w:val="EMEANormal"/>
              <w:widowControl w:val="0"/>
              <w:suppressAutoHyphens w:val="0"/>
              <w:rPr>
                <w:del w:id="4828" w:author="AbbVie_HU_03" w:date="2025-05-14T15:27:00Z"/>
                <w:lang w:val="hu-HU"/>
              </w:rPr>
            </w:pPr>
            <w:del w:id="4829" w:author="AbbVie_HU_03" w:date="2025-05-14T15:27:00Z">
              <w:r w:rsidRPr="00183B5F">
                <w:rPr>
                  <w:lang w:val="hu-HU"/>
                </w:rPr>
                <w:delText>hypophosphataemia,</w:delText>
              </w:r>
            </w:del>
          </w:p>
          <w:p w14:paraId="2446220E" w14:textId="7B23365C" w:rsidR="00A14FE3" w:rsidRPr="00183B5F" w:rsidRDefault="00943743">
            <w:pPr>
              <w:pStyle w:val="EMEANormal"/>
              <w:widowControl w:val="0"/>
              <w:rPr>
                <w:del w:id="4830" w:author="AbbVie_HU_03" w:date="2025-05-14T15:27:00Z"/>
                <w:lang w:val="hu-HU"/>
              </w:rPr>
            </w:pPr>
            <w:del w:id="4831" w:author="AbbVie_HU_03" w:date="2025-05-14T15:27:00Z">
              <w:r w:rsidRPr="00183B5F">
                <w:rPr>
                  <w:lang w:val="hu-HU"/>
                </w:rPr>
                <w:delText>dehydratio</w:delText>
              </w:r>
            </w:del>
          </w:p>
        </w:tc>
      </w:tr>
      <w:tr w:rsidR="00011D2F" w14:paraId="03961076" w14:textId="4A5AEE84" w:rsidTr="00202B95">
        <w:trPr>
          <w:cantSplit/>
          <w:del w:id="4832" w:author="AbbVie_HU_03" w:date="2025-05-14T15:27:00Z"/>
        </w:trPr>
        <w:tc>
          <w:tcPr>
            <w:tcW w:w="2503" w:type="dxa"/>
            <w:tcBorders>
              <w:bottom w:val="single" w:sz="4" w:space="0" w:color="auto"/>
            </w:tcBorders>
          </w:tcPr>
          <w:p w14:paraId="45B828A9" w14:textId="0860FBFF" w:rsidR="00AC5066" w:rsidRPr="00183B5F" w:rsidRDefault="00943743" w:rsidP="004062FE">
            <w:pPr>
              <w:pStyle w:val="EMEANormal"/>
              <w:widowControl w:val="0"/>
              <w:suppressAutoHyphens w:val="0"/>
              <w:rPr>
                <w:del w:id="4833" w:author="AbbVie_HU_03" w:date="2025-05-14T15:27:00Z"/>
                <w:lang w:val="hu-HU"/>
              </w:rPr>
            </w:pPr>
            <w:del w:id="4834" w:author="AbbVie_HU_03" w:date="2025-05-14T15:27:00Z">
              <w:r w:rsidRPr="00183B5F">
                <w:rPr>
                  <w:lang w:val="hu-HU"/>
                </w:rPr>
                <w:delText>Pszichiátriai kórképek</w:delText>
              </w:r>
            </w:del>
          </w:p>
        </w:tc>
        <w:tc>
          <w:tcPr>
            <w:tcW w:w="2107" w:type="dxa"/>
            <w:tcBorders>
              <w:bottom w:val="single" w:sz="4" w:space="0" w:color="auto"/>
            </w:tcBorders>
          </w:tcPr>
          <w:p w14:paraId="44FCB54F" w14:textId="7FCB67AB" w:rsidR="00AC5066" w:rsidRPr="00183B5F" w:rsidRDefault="00943743" w:rsidP="004062FE">
            <w:pPr>
              <w:pStyle w:val="EMEANormal"/>
              <w:widowControl w:val="0"/>
              <w:suppressAutoHyphens w:val="0"/>
              <w:rPr>
                <w:del w:id="4835" w:author="AbbVie_HU_03" w:date="2025-05-14T15:27:00Z"/>
                <w:lang w:val="hu-HU"/>
              </w:rPr>
            </w:pPr>
            <w:del w:id="4836" w:author="AbbVie_HU_03" w:date="2025-05-14T15:27:00Z">
              <w:r w:rsidRPr="00183B5F">
                <w:rPr>
                  <w:lang w:val="hu-HU"/>
                </w:rPr>
                <w:delText>Gyakori</w:delText>
              </w:r>
            </w:del>
          </w:p>
          <w:p w14:paraId="2DC47057" w14:textId="3954F5BF" w:rsidR="00AC5066" w:rsidRPr="00183B5F" w:rsidRDefault="00AC5066" w:rsidP="004062FE">
            <w:pPr>
              <w:pStyle w:val="EMEANormal"/>
              <w:widowControl w:val="0"/>
              <w:suppressAutoHyphens w:val="0"/>
              <w:rPr>
                <w:del w:id="4837" w:author="AbbVie_HU_03" w:date="2025-05-14T15:27:00Z"/>
                <w:lang w:val="hu-HU"/>
              </w:rPr>
            </w:pPr>
          </w:p>
        </w:tc>
        <w:tc>
          <w:tcPr>
            <w:tcW w:w="4451" w:type="dxa"/>
            <w:tcBorders>
              <w:bottom w:val="single" w:sz="4" w:space="0" w:color="auto"/>
            </w:tcBorders>
          </w:tcPr>
          <w:p w14:paraId="64168EDF" w14:textId="25AF7767" w:rsidR="00AC5066" w:rsidRPr="00183B5F" w:rsidRDefault="00943743" w:rsidP="004062FE">
            <w:pPr>
              <w:pStyle w:val="EMEANormal"/>
              <w:widowControl w:val="0"/>
              <w:suppressAutoHyphens w:val="0"/>
              <w:rPr>
                <w:del w:id="4838" w:author="AbbVie_HU_03" w:date="2025-05-14T15:27:00Z"/>
                <w:lang w:val="hu-HU"/>
              </w:rPr>
            </w:pPr>
            <w:del w:id="4839" w:author="AbbVie_HU_03" w:date="2025-05-14T15:27:00Z">
              <w:r w:rsidRPr="00183B5F">
                <w:rPr>
                  <w:lang w:val="hu-HU"/>
                </w:rPr>
                <w:delText xml:space="preserve">Hangulatváltozás (beleértve a depressziót is), </w:delText>
              </w:r>
            </w:del>
          </w:p>
          <w:p w14:paraId="5073F5F9" w14:textId="108AF865" w:rsidR="00C17B6B" w:rsidRPr="00183B5F" w:rsidRDefault="00943743" w:rsidP="004062FE">
            <w:pPr>
              <w:pStyle w:val="EMEANormal"/>
              <w:widowControl w:val="0"/>
              <w:suppressAutoHyphens w:val="0"/>
              <w:rPr>
                <w:del w:id="4840" w:author="AbbVie_HU_03" w:date="2025-05-14T15:27:00Z"/>
                <w:lang w:val="hu-HU"/>
              </w:rPr>
            </w:pPr>
            <w:del w:id="4841" w:author="AbbVie_HU_03" w:date="2025-05-14T15:27:00Z">
              <w:r w:rsidRPr="00183B5F">
                <w:rPr>
                  <w:lang w:val="hu-HU"/>
                </w:rPr>
                <w:delText xml:space="preserve">szorongás, </w:delText>
              </w:r>
            </w:del>
          </w:p>
          <w:p w14:paraId="0BB0400E" w14:textId="3581A9C6" w:rsidR="00AC5066" w:rsidRPr="00183B5F" w:rsidRDefault="00943743" w:rsidP="004062FE">
            <w:pPr>
              <w:pStyle w:val="EMEANormal"/>
              <w:widowControl w:val="0"/>
              <w:suppressAutoHyphens w:val="0"/>
              <w:rPr>
                <w:del w:id="4842" w:author="AbbVie_HU_03" w:date="2025-05-14T15:27:00Z"/>
                <w:lang w:val="hu-HU"/>
              </w:rPr>
            </w:pPr>
            <w:del w:id="4843" w:author="AbbVie_HU_03" w:date="2025-05-14T15:27:00Z">
              <w:r w:rsidRPr="00183B5F">
                <w:rPr>
                  <w:lang w:val="hu-HU"/>
                </w:rPr>
                <w:delText>insomnia</w:delText>
              </w:r>
            </w:del>
          </w:p>
        </w:tc>
      </w:tr>
      <w:tr w:rsidR="00011D2F" w14:paraId="1F8E3F73" w14:textId="22F08436" w:rsidTr="00202B95">
        <w:trPr>
          <w:cantSplit/>
          <w:del w:id="4844" w:author="AbbVie_HU_03" w:date="2025-05-14T15:27:00Z"/>
        </w:trPr>
        <w:tc>
          <w:tcPr>
            <w:tcW w:w="2503" w:type="dxa"/>
            <w:vMerge w:val="restart"/>
            <w:tcBorders>
              <w:bottom w:val="single" w:sz="4" w:space="0" w:color="auto"/>
            </w:tcBorders>
          </w:tcPr>
          <w:p w14:paraId="2F023B43" w14:textId="32A46396" w:rsidR="00AC5066" w:rsidRPr="00183B5F" w:rsidRDefault="00943743" w:rsidP="004062FE">
            <w:pPr>
              <w:pStyle w:val="EMEANormal"/>
              <w:widowControl w:val="0"/>
              <w:suppressAutoHyphens w:val="0"/>
              <w:rPr>
                <w:del w:id="4845" w:author="AbbVie_HU_03" w:date="2025-05-14T15:27:00Z"/>
                <w:lang w:val="hu-HU"/>
              </w:rPr>
            </w:pPr>
            <w:del w:id="4846" w:author="AbbVie_HU_03" w:date="2025-05-14T15:27:00Z">
              <w:r w:rsidRPr="00183B5F">
                <w:rPr>
                  <w:lang w:val="hu-HU"/>
                </w:rPr>
                <w:delText>Idegrendszeri betegségek és tünetek*</w:delText>
              </w:r>
            </w:del>
          </w:p>
        </w:tc>
        <w:tc>
          <w:tcPr>
            <w:tcW w:w="2107" w:type="dxa"/>
            <w:tcBorders>
              <w:bottom w:val="single" w:sz="4" w:space="0" w:color="auto"/>
            </w:tcBorders>
          </w:tcPr>
          <w:p w14:paraId="03A83C41" w14:textId="32CF0AB5" w:rsidR="00AC5066" w:rsidRPr="00183B5F" w:rsidRDefault="00943743" w:rsidP="004062FE">
            <w:pPr>
              <w:pStyle w:val="EMEANormal"/>
              <w:widowControl w:val="0"/>
              <w:suppressAutoHyphens w:val="0"/>
              <w:rPr>
                <w:del w:id="4847" w:author="AbbVie_HU_03" w:date="2025-05-14T15:27:00Z"/>
                <w:lang w:val="hu-HU"/>
              </w:rPr>
            </w:pPr>
            <w:del w:id="4848" w:author="AbbVie_HU_03" w:date="2025-05-14T15:27:00Z">
              <w:r w:rsidRPr="00183B5F">
                <w:rPr>
                  <w:lang w:val="hu-HU"/>
                </w:rPr>
                <w:delText>Nagyon gyakori</w:delText>
              </w:r>
            </w:del>
          </w:p>
        </w:tc>
        <w:tc>
          <w:tcPr>
            <w:tcW w:w="4451" w:type="dxa"/>
            <w:tcBorders>
              <w:bottom w:val="single" w:sz="4" w:space="0" w:color="auto"/>
            </w:tcBorders>
          </w:tcPr>
          <w:p w14:paraId="681C44F4" w14:textId="1A6800B9" w:rsidR="00AC5066" w:rsidRPr="00183B5F" w:rsidRDefault="00943743" w:rsidP="004062FE">
            <w:pPr>
              <w:pStyle w:val="EMEANormal"/>
              <w:widowControl w:val="0"/>
              <w:suppressAutoHyphens w:val="0"/>
              <w:rPr>
                <w:del w:id="4849" w:author="AbbVie_HU_03" w:date="2025-05-14T15:27:00Z"/>
                <w:lang w:val="hu-HU"/>
              </w:rPr>
            </w:pPr>
            <w:del w:id="4850" w:author="AbbVie_HU_03" w:date="2025-05-14T15:27:00Z">
              <w:r w:rsidRPr="00183B5F">
                <w:rPr>
                  <w:lang w:val="hu-HU"/>
                </w:rPr>
                <w:delText>Fejfájás</w:delText>
              </w:r>
            </w:del>
          </w:p>
        </w:tc>
      </w:tr>
      <w:tr w:rsidR="00011D2F" w14:paraId="3F71D8A9" w14:textId="5E8A10A3" w:rsidTr="00202B95">
        <w:trPr>
          <w:cantSplit/>
          <w:del w:id="4851" w:author="AbbVie_HU_03" w:date="2025-05-14T15:27:00Z"/>
        </w:trPr>
        <w:tc>
          <w:tcPr>
            <w:tcW w:w="2503" w:type="dxa"/>
            <w:vMerge/>
            <w:tcBorders>
              <w:top w:val="single" w:sz="4" w:space="0" w:color="auto"/>
            </w:tcBorders>
          </w:tcPr>
          <w:p w14:paraId="2F24ED74" w14:textId="000CDEA4" w:rsidR="00AC5066" w:rsidRPr="00183B5F" w:rsidRDefault="00AC5066" w:rsidP="004062FE">
            <w:pPr>
              <w:pStyle w:val="EMEANormal"/>
              <w:widowControl w:val="0"/>
              <w:suppressAutoHyphens w:val="0"/>
              <w:rPr>
                <w:del w:id="4852" w:author="AbbVie_HU_03" w:date="2025-05-14T15:27:00Z"/>
                <w:lang w:val="hu-HU"/>
              </w:rPr>
            </w:pPr>
          </w:p>
        </w:tc>
        <w:tc>
          <w:tcPr>
            <w:tcW w:w="2107" w:type="dxa"/>
            <w:tcBorders>
              <w:top w:val="single" w:sz="4" w:space="0" w:color="auto"/>
              <w:bottom w:val="single" w:sz="4" w:space="0" w:color="auto"/>
            </w:tcBorders>
          </w:tcPr>
          <w:p w14:paraId="36B64A57" w14:textId="2D9F72B1" w:rsidR="00AC5066" w:rsidRPr="00183B5F" w:rsidRDefault="00943743" w:rsidP="004062FE">
            <w:pPr>
              <w:pStyle w:val="EMEANormal"/>
              <w:widowControl w:val="0"/>
              <w:suppressAutoHyphens w:val="0"/>
              <w:rPr>
                <w:del w:id="4853" w:author="AbbVie_HU_03" w:date="2025-05-14T15:27:00Z"/>
                <w:lang w:val="hu-HU"/>
              </w:rPr>
            </w:pPr>
            <w:del w:id="4854" w:author="AbbVie_HU_03" w:date="2025-05-14T15:27:00Z">
              <w:r w:rsidRPr="00183B5F">
                <w:rPr>
                  <w:lang w:val="hu-HU"/>
                </w:rPr>
                <w:delText>Gyakori</w:delText>
              </w:r>
            </w:del>
          </w:p>
          <w:p w14:paraId="0A4EC539" w14:textId="58FFAA17" w:rsidR="00AC5066" w:rsidRPr="00183B5F" w:rsidRDefault="00AC5066" w:rsidP="004062FE">
            <w:pPr>
              <w:pStyle w:val="EMEANormal"/>
              <w:widowControl w:val="0"/>
              <w:suppressAutoHyphens w:val="0"/>
              <w:rPr>
                <w:del w:id="4855" w:author="AbbVie_HU_03" w:date="2025-05-14T15:27:00Z"/>
                <w:lang w:val="hu-HU"/>
              </w:rPr>
            </w:pPr>
          </w:p>
        </w:tc>
        <w:tc>
          <w:tcPr>
            <w:tcW w:w="4451" w:type="dxa"/>
            <w:tcBorders>
              <w:top w:val="single" w:sz="4" w:space="0" w:color="auto"/>
              <w:bottom w:val="single" w:sz="4" w:space="0" w:color="auto"/>
            </w:tcBorders>
          </w:tcPr>
          <w:p w14:paraId="0AF0D87A" w14:textId="75E9E1F2" w:rsidR="00AC5066" w:rsidRPr="00183B5F" w:rsidRDefault="00943743" w:rsidP="004062FE">
            <w:pPr>
              <w:pStyle w:val="EMEANormal"/>
              <w:widowControl w:val="0"/>
              <w:suppressAutoHyphens w:val="0"/>
              <w:rPr>
                <w:del w:id="4856" w:author="AbbVie_HU_03" w:date="2025-05-14T15:27:00Z"/>
                <w:lang w:val="hu-HU"/>
              </w:rPr>
            </w:pPr>
            <w:del w:id="4857" w:author="AbbVie_HU_03" w:date="2025-05-14T15:27:00Z">
              <w:r w:rsidRPr="00183B5F">
                <w:rPr>
                  <w:lang w:val="hu-HU"/>
                </w:rPr>
                <w:delText>Paraesthesiák (beleértve a hypa</w:delText>
              </w:r>
              <w:r w:rsidR="00F4121D" w:rsidRPr="00183B5F">
                <w:rPr>
                  <w:lang w:val="hu-HU"/>
                </w:rPr>
                <w:delText>e</w:delText>
              </w:r>
              <w:r w:rsidRPr="00183B5F">
                <w:rPr>
                  <w:lang w:val="hu-HU"/>
                </w:rPr>
                <w:delText>sthesiát is),</w:delText>
              </w:r>
            </w:del>
          </w:p>
          <w:p w14:paraId="54AD7FB5" w14:textId="6244CBB4" w:rsidR="00AC5066" w:rsidRPr="00183B5F" w:rsidRDefault="00943743" w:rsidP="004062FE">
            <w:pPr>
              <w:pStyle w:val="EMEANormal"/>
              <w:widowControl w:val="0"/>
              <w:suppressAutoHyphens w:val="0"/>
              <w:rPr>
                <w:del w:id="4858" w:author="AbbVie_HU_03" w:date="2025-05-14T15:27:00Z"/>
                <w:lang w:val="hu-HU"/>
              </w:rPr>
            </w:pPr>
            <w:del w:id="4859" w:author="AbbVie_HU_03" w:date="2025-05-14T15:27:00Z">
              <w:r w:rsidRPr="00183B5F">
                <w:rPr>
                  <w:lang w:val="hu-HU"/>
                </w:rPr>
                <w:delText>migr</w:delText>
              </w:r>
              <w:r w:rsidR="00761819" w:rsidRPr="00183B5F">
                <w:rPr>
                  <w:lang w:val="hu-HU"/>
                </w:rPr>
                <w:delText>é</w:delText>
              </w:r>
              <w:r w:rsidRPr="00183B5F">
                <w:rPr>
                  <w:lang w:val="hu-HU"/>
                </w:rPr>
                <w:delText>n,</w:delText>
              </w:r>
            </w:del>
          </w:p>
          <w:p w14:paraId="1F093639" w14:textId="6308AAB7" w:rsidR="00AC5066" w:rsidRPr="00183B5F" w:rsidRDefault="00943743" w:rsidP="004062FE">
            <w:pPr>
              <w:pStyle w:val="EMEANormal"/>
              <w:widowControl w:val="0"/>
              <w:suppressAutoHyphens w:val="0"/>
              <w:rPr>
                <w:del w:id="4860" w:author="AbbVie_HU_03" w:date="2025-05-14T15:27:00Z"/>
                <w:lang w:val="hu-HU"/>
              </w:rPr>
            </w:pPr>
            <w:del w:id="4861" w:author="AbbVie_HU_03" w:date="2025-05-14T15:27:00Z">
              <w:r w:rsidRPr="00183B5F">
                <w:rPr>
                  <w:lang w:val="hu-HU"/>
                </w:rPr>
                <w:delText>ideggyök</w:delText>
              </w:r>
              <w:r w:rsidR="00F12F0A" w:rsidRPr="00183B5F">
                <w:rPr>
                  <w:lang w:val="hu-HU"/>
                </w:rPr>
                <w:delText>-</w:delText>
              </w:r>
              <w:r w:rsidRPr="00183B5F">
                <w:rPr>
                  <w:lang w:val="hu-HU"/>
                </w:rPr>
                <w:delText>kompresszió</w:delText>
              </w:r>
            </w:del>
          </w:p>
        </w:tc>
      </w:tr>
      <w:tr w:rsidR="00011D2F" w14:paraId="07D8FEE1" w14:textId="6448F6D0" w:rsidTr="00202B95">
        <w:trPr>
          <w:cantSplit/>
          <w:del w:id="4862" w:author="AbbVie_HU_03" w:date="2025-05-14T15:27:00Z"/>
        </w:trPr>
        <w:tc>
          <w:tcPr>
            <w:tcW w:w="2503" w:type="dxa"/>
            <w:vMerge/>
          </w:tcPr>
          <w:p w14:paraId="0D91AED4" w14:textId="71AD151A" w:rsidR="00AC5066" w:rsidRPr="00183B5F" w:rsidRDefault="00AC5066" w:rsidP="004062FE">
            <w:pPr>
              <w:widowControl w:val="0"/>
              <w:suppressAutoHyphens w:val="0"/>
              <w:spacing w:line="240" w:lineRule="auto"/>
              <w:jc w:val="center"/>
              <w:rPr>
                <w:del w:id="4863" w:author="AbbVie_HU_03" w:date="2025-05-14T15:27:00Z"/>
                <w:b/>
              </w:rPr>
            </w:pPr>
          </w:p>
        </w:tc>
        <w:tc>
          <w:tcPr>
            <w:tcW w:w="2107" w:type="dxa"/>
            <w:tcBorders>
              <w:top w:val="single" w:sz="4" w:space="0" w:color="auto"/>
              <w:bottom w:val="single" w:sz="4" w:space="0" w:color="auto"/>
            </w:tcBorders>
          </w:tcPr>
          <w:p w14:paraId="28ECAFEB" w14:textId="270C3BB6" w:rsidR="00AC5066" w:rsidRPr="00183B5F" w:rsidRDefault="00943743">
            <w:pPr>
              <w:pStyle w:val="EMEANormal"/>
              <w:widowControl w:val="0"/>
              <w:suppressAutoHyphens w:val="0"/>
              <w:rPr>
                <w:del w:id="4864" w:author="AbbVie_HU_03" w:date="2025-05-14T15:27:00Z"/>
                <w:lang w:val="hu-HU"/>
              </w:rPr>
            </w:pPr>
            <w:del w:id="4865" w:author="AbbVie_HU_03" w:date="2025-05-14T15:27:00Z">
              <w:r w:rsidRPr="00183B5F">
                <w:rPr>
                  <w:lang w:val="hu-HU"/>
                </w:rPr>
                <w:delText>Nem gyakori</w:delText>
              </w:r>
            </w:del>
          </w:p>
          <w:p w14:paraId="1B2586FE" w14:textId="1B5B799B" w:rsidR="00AC5066" w:rsidRPr="00183B5F" w:rsidRDefault="00AC5066">
            <w:pPr>
              <w:pStyle w:val="EMEANormal"/>
              <w:widowControl w:val="0"/>
              <w:suppressAutoHyphens w:val="0"/>
              <w:rPr>
                <w:del w:id="4866" w:author="AbbVie_HU_03" w:date="2025-05-14T15:27:00Z"/>
                <w:lang w:val="hu-HU"/>
              </w:rPr>
            </w:pPr>
          </w:p>
        </w:tc>
        <w:tc>
          <w:tcPr>
            <w:tcW w:w="4451" w:type="dxa"/>
            <w:tcBorders>
              <w:top w:val="single" w:sz="4" w:space="0" w:color="auto"/>
              <w:bottom w:val="single" w:sz="4" w:space="0" w:color="auto"/>
            </w:tcBorders>
          </w:tcPr>
          <w:p w14:paraId="09B86FBB" w14:textId="3CA8D38E" w:rsidR="00A67220" w:rsidRPr="00183B5F" w:rsidRDefault="00943743">
            <w:pPr>
              <w:pStyle w:val="EMEANormal"/>
              <w:widowControl w:val="0"/>
              <w:suppressAutoHyphens w:val="0"/>
              <w:rPr>
                <w:del w:id="4867" w:author="AbbVie_HU_03" w:date="2025-05-14T15:27:00Z"/>
                <w:szCs w:val="22"/>
                <w:lang w:val="hu-HU"/>
              </w:rPr>
            </w:pPr>
            <w:del w:id="4868" w:author="AbbVie_HU_03" w:date="2025-05-14T15:27:00Z">
              <w:r w:rsidRPr="00183B5F">
                <w:rPr>
                  <w:szCs w:val="22"/>
                  <w:lang w:val="hu-HU"/>
                </w:rPr>
                <w:delText>Cerebrovascularis történések</w:delText>
              </w:r>
              <w:r w:rsidR="00085A6F" w:rsidRPr="00183B5F">
                <w:rPr>
                  <w:vertAlign w:val="superscript"/>
                  <w:lang w:val="hu-HU"/>
                </w:rPr>
                <w:delText>1)</w:delText>
              </w:r>
              <w:r w:rsidRPr="00183B5F">
                <w:rPr>
                  <w:szCs w:val="22"/>
                  <w:lang w:val="hu-HU"/>
                </w:rPr>
                <w:delText>,</w:delText>
              </w:r>
            </w:del>
          </w:p>
          <w:p w14:paraId="03A307EB" w14:textId="371A2227" w:rsidR="00C448DE" w:rsidRPr="00183B5F" w:rsidRDefault="00943743">
            <w:pPr>
              <w:pStyle w:val="EMEANormal"/>
              <w:widowControl w:val="0"/>
              <w:suppressAutoHyphens w:val="0"/>
              <w:rPr>
                <w:del w:id="4869" w:author="AbbVie_HU_03" w:date="2025-05-14T15:27:00Z"/>
                <w:lang w:val="hu-HU"/>
              </w:rPr>
            </w:pPr>
            <w:del w:id="4870" w:author="AbbVie_HU_03" w:date="2025-05-14T15:27:00Z">
              <w:r w:rsidRPr="00183B5F">
                <w:rPr>
                  <w:lang w:val="hu-HU"/>
                </w:rPr>
                <w:delText>tremor</w:delText>
              </w:r>
            </w:del>
          </w:p>
          <w:p w14:paraId="20737194" w14:textId="21FF9021" w:rsidR="00AC5066" w:rsidRPr="00183B5F" w:rsidRDefault="00943743">
            <w:pPr>
              <w:pStyle w:val="EMEANormal"/>
              <w:widowControl w:val="0"/>
              <w:suppressAutoHyphens w:val="0"/>
              <w:rPr>
                <w:del w:id="4871" w:author="AbbVie_HU_03" w:date="2025-05-14T15:27:00Z"/>
                <w:lang w:val="hu-HU"/>
              </w:rPr>
            </w:pPr>
            <w:del w:id="4872" w:author="AbbVie_HU_03" w:date="2025-05-14T15:27:00Z">
              <w:r w:rsidRPr="00183B5F">
                <w:rPr>
                  <w:lang w:val="hu-HU"/>
                </w:rPr>
                <w:delText>neuropathia</w:delText>
              </w:r>
            </w:del>
          </w:p>
        </w:tc>
      </w:tr>
      <w:tr w:rsidR="00011D2F" w14:paraId="1BC94E98" w14:textId="03E4800C" w:rsidTr="00202B95">
        <w:trPr>
          <w:cantSplit/>
          <w:del w:id="4873" w:author="AbbVie_HU_03" w:date="2025-05-14T15:27:00Z"/>
        </w:trPr>
        <w:tc>
          <w:tcPr>
            <w:tcW w:w="2503" w:type="dxa"/>
            <w:vMerge/>
          </w:tcPr>
          <w:p w14:paraId="2AB6B57D" w14:textId="5E317113" w:rsidR="00AC5066" w:rsidRPr="00183B5F" w:rsidRDefault="00AC5066" w:rsidP="004062FE">
            <w:pPr>
              <w:widowControl w:val="0"/>
              <w:suppressAutoHyphens w:val="0"/>
              <w:spacing w:line="240" w:lineRule="auto"/>
              <w:jc w:val="center"/>
              <w:rPr>
                <w:del w:id="4874" w:author="AbbVie_HU_03" w:date="2025-05-14T15:27:00Z"/>
                <w:b/>
              </w:rPr>
            </w:pPr>
          </w:p>
        </w:tc>
        <w:tc>
          <w:tcPr>
            <w:tcW w:w="2107" w:type="dxa"/>
            <w:tcBorders>
              <w:top w:val="single" w:sz="4" w:space="0" w:color="auto"/>
              <w:bottom w:val="single" w:sz="4" w:space="0" w:color="auto"/>
            </w:tcBorders>
          </w:tcPr>
          <w:p w14:paraId="3E5D3548" w14:textId="0B08B0DC" w:rsidR="00AC5066" w:rsidRPr="00183B5F" w:rsidRDefault="00943743">
            <w:pPr>
              <w:pStyle w:val="EMEANormal"/>
              <w:widowControl w:val="0"/>
              <w:suppressAutoHyphens w:val="0"/>
              <w:rPr>
                <w:del w:id="4875" w:author="AbbVie_HU_03" w:date="2025-05-14T15:27:00Z"/>
                <w:lang w:val="hu-HU"/>
              </w:rPr>
            </w:pPr>
            <w:del w:id="4876" w:author="AbbVie_HU_03" w:date="2025-05-14T15:27:00Z">
              <w:r w:rsidRPr="00183B5F">
                <w:rPr>
                  <w:lang w:val="hu-HU"/>
                </w:rPr>
                <w:delText>Ritka</w:delText>
              </w:r>
            </w:del>
          </w:p>
          <w:p w14:paraId="18D1DFD4" w14:textId="67759CAB" w:rsidR="00AC5066" w:rsidRPr="00183B5F" w:rsidRDefault="00AC5066">
            <w:pPr>
              <w:pStyle w:val="EMEANormal"/>
              <w:widowControl w:val="0"/>
              <w:suppressAutoHyphens w:val="0"/>
              <w:rPr>
                <w:del w:id="4877" w:author="AbbVie_HU_03" w:date="2025-05-14T15:27:00Z"/>
                <w:lang w:val="hu-HU"/>
              </w:rPr>
            </w:pPr>
          </w:p>
        </w:tc>
        <w:tc>
          <w:tcPr>
            <w:tcW w:w="4451" w:type="dxa"/>
            <w:tcBorders>
              <w:top w:val="single" w:sz="4" w:space="0" w:color="auto"/>
              <w:bottom w:val="single" w:sz="4" w:space="0" w:color="auto"/>
            </w:tcBorders>
          </w:tcPr>
          <w:p w14:paraId="4684853B" w14:textId="5204480A" w:rsidR="00AC5066" w:rsidRPr="00183B5F" w:rsidRDefault="00943743">
            <w:pPr>
              <w:pStyle w:val="EMEANormal"/>
              <w:widowControl w:val="0"/>
              <w:suppressAutoHyphens w:val="0"/>
              <w:rPr>
                <w:del w:id="4878" w:author="AbbVie_HU_03" w:date="2025-05-14T15:27:00Z"/>
                <w:lang w:val="hu-HU"/>
              </w:rPr>
            </w:pPr>
            <w:del w:id="4879" w:author="AbbVie_HU_03" w:date="2025-05-14T15:27:00Z">
              <w:r w:rsidRPr="00183B5F">
                <w:rPr>
                  <w:lang w:val="hu-HU"/>
                </w:rPr>
                <w:delText>Sclerosis multiplex</w:delText>
              </w:r>
              <w:r w:rsidR="00A67220" w:rsidRPr="00183B5F">
                <w:rPr>
                  <w:lang w:val="hu-HU"/>
                </w:rPr>
                <w:delText>,</w:delText>
              </w:r>
            </w:del>
          </w:p>
          <w:p w14:paraId="64F811A2" w14:textId="2FEF217D" w:rsidR="00A67220" w:rsidRPr="00183B5F" w:rsidRDefault="00943743">
            <w:pPr>
              <w:pStyle w:val="EMEANormal"/>
              <w:widowControl w:val="0"/>
              <w:suppressAutoHyphens w:val="0"/>
              <w:rPr>
                <w:del w:id="4880" w:author="AbbVie_HU_03" w:date="2025-05-14T15:27:00Z"/>
                <w:lang w:val="hu-HU"/>
              </w:rPr>
            </w:pPr>
            <w:del w:id="4881" w:author="AbbVie_HU_03" w:date="2025-05-14T15:27:00Z">
              <w:r w:rsidRPr="00183B5F">
                <w:rPr>
                  <w:szCs w:val="22"/>
                  <w:lang w:val="hu-HU"/>
                </w:rPr>
                <w:delText>demyelinisatiós betegségek (pl. neuritis nervi optici, Guilla</w:delText>
              </w:r>
              <w:r w:rsidR="00906229" w:rsidRPr="00183B5F">
                <w:rPr>
                  <w:szCs w:val="22"/>
                  <w:lang w:val="hu-HU"/>
                </w:rPr>
                <w:delText>i</w:delText>
              </w:r>
              <w:r w:rsidRPr="00183B5F">
                <w:rPr>
                  <w:szCs w:val="22"/>
                  <w:lang w:val="hu-HU"/>
                </w:rPr>
                <w:delText>n</w:delText>
              </w:r>
              <w:r w:rsidR="00F12F0A" w:rsidRPr="00183B5F">
                <w:rPr>
                  <w:szCs w:val="22"/>
                  <w:lang w:val="hu-HU"/>
                </w:rPr>
                <w:delText>–</w:delText>
              </w:r>
              <w:r w:rsidRPr="00183B5F">
                <w:rPr>
                  <w:szCs w:val="22"/>
                  <w:lang w:val="hu-HU"/>
                </w:rPr>
                <w:delText>Barré-szindróma)</w:delText>
              </w:r>
              <w:r w:rsidRPr="00183B5F">
                <w:rPr>
                  <w:szCs w:val="22"/>
                  <w:vertAlign w:val="superscript"/>
                  <w:lang w:val="hu-HU"/>
                </w:rPr>
                <w:delText>1)</w:delText>
              </w:r>
            </w:del>
          </w:p>
        </w:tc>
      </w:tr>
      <w:tr w:rsidR="00011D2F" w14:paraId="5715BE50" w14:textId="0F3E8000" w:rsidTr="00202B95">
        <w:trPr>
          <w:cantSplit/>
          <w:del w:id="4882" w:author="AbbVie_HU_03" w:date="2025-05-14T15:27:00Z"/>
        </w:trPr>
        <w:tc>
          <w:tcPr>
            <w:tcW w:w="2503" w:type="dxa"/>
            <w:vMerge w:val="restart"/>
          </w:tcPr>
          <w:p w14:paraId="14D8CF6C" w14:textId="552E1DB1" w:rsidR="00AC5066" w:rsidRPr="00183B5F" w:rsidRDefault="00943743" w:rsidP="004062FE">
            <w:pPr>
              <w:pStyle w:val="EMEANormal"/>
              <w:widowControl w:val="0"/>
              <w:suppressAutoHyphens w:val="0"/>
              <w:rPr>
                <w:del w:id="4883" w:author="AbbVie_HU_03" w:date="2025-05-14T15:27:00Z"/>
                <w:lang w:val="hu-HU"/>
              </w:rPr>
            </w:pPr>
            <w:del w:id="4884" w:author="AbbVie_HU_03" w:date="2025-05-14T15:27:00Z">
              <w:r w:rsidRPr="00183B5F">
                <w:rPr>
                  <w:lang w:val="hu-HU"/>
                </w:rPr>
                <w:delText>Szembetegségek és szemészeti tünetek</w:delText>
              </w:r>
            </w:del>
          </w:p>
        </w:tc>
        <w:tc>
          <w:tcPr>
            <w:tcW w:w="2107" w:type="dxa"/>
            <w:tcBorders>
              <w:bottom w:val="single" w:sz="4" w:space="0" w:color="auto"/>
            </w:tcBorders>
          </w:tcPr>
          <w:p w14:paraId="5C9A3088" w14:textId="6220C605" w:rsidR="00AC5066" w:rsidRPr="00183B5F" w:rsidRDefault="00943743" w:rsidP="004062FE">
            <w:pPr>
              <w:pStyle w:val="EMEANormal"/>
              <w:widowControl w:val="0"/>
              <w:suppressAutoHyphens w:val="0"/>
              <w:rPr>
                <w:del w:id="4885" w:author="AbbVie_HU_03" w:date="2025-05-14T15:27:00Z"/>
                <w:lang w:val="hu-HU"/>
              </w:rPr>
            </w:pPr>
            <w:del w:id="4886" w:author="AbbVie_HU_03" w:date="2025-05-14T15:27:00Z">
              <w:r w:rsidRPr="00183B5F">
                <w:rPr>
                  <w:lang w:val="hu-HU"/>
                </w:rPr>
                <w:delText>Gyakori</w:delText>
              </w:r>
            </w:del>
          </w:p>
          <w:p w14:paraId="2244CA7E" w14:textId="1E59ABC6" w:rsidR="00AC5066" w:rsidRPr="00183B5F" w:rsidRDefault="00AC5066" w:rsidP="004062FE">
            <w:pPr>
              <w:pStyle w:val="EMEANormal"/>
              <w:widowControl w:val="0"/>
              <w:suppressAutoHyphens w:val="0"/>
              <w:rPr>
                <w:del w:id="4887" w:author="AbbVie_HU_03" w:date="2025-05-14T15:27:00Z"/>
                <w:lang w:val="hu-HU"/>
              </w:rPr>
            </w:pPr>
          </w:p>
        </w:tc>
        <w:tc>
          <w:tcPr>
            <w:tcW w:w="4451" w:type="dxa"/>
            <w:tcBorders>
              <w:bottom w:val="single" w:sz="4" w:space="0" w:color="auto"/>
            </w:tcBorders>
          </w:tcPr>
          <w:p w14:paraId="44190BA1" w14:textId="62327714" w:rsidR="00AC5066" w:rsidRPr="00183B5F" w:rsidRDefault="00943743" w:rsidP="004062FE">
            <w:pPr>
              <w:pStyle w:val="EMEANormal"/>
              <w:widowControl w:val="0"/>
              <w:suppressAutoHyphens w:val="0"/>
              <w:rPr>
                <w:del w:id="4888" w:author="AbbVie_HU_03" w:date="2025-05-14T15:27:00Z"/>
                <w:lang w:val="hu-HU"/>
              </w:rPr>
            </w:pPr>
            <w:del w:id="4889" w:author="AbbVie_HU_03" w:date="2025-05-14T15:27:00Z">
              <w:r w:rsidRPr="00183B5F">
                <w:rPr>
                  <w:lang w:val="hu-HU"/>
                </w:rPr>
                <w:delText>Látásromlás,</w:delText>
              </w:r>
            </w:del>
          </w:p>
          <w:p w14:paraId="0FE000C0" w14:textId="70D90694" w:rsidR="00AC5066" w:rsidRPr="00183B5F" w:rsidRDefault="00943743" w:rsidP="004062FE">
            <w:pPr>
              <w:pStyle w:val="EMEANormal"/>
              <w:widowControl w:val="0"/>
              <w:suppressAutoHyphens w:val="0"/>
              <w:rPr>
                <w:del w:id="4890" w:author="AbbVie_HU_03" w:date="2025-05-14T15:27:00Z"/>
                <w:lang w:val="hu-HU"/>
              </w:rPr>
            </w:pPr>
            <w:del w:id="4891" w:author="AbbVie_HU_03" w:date="2025-05-14T15:27:00Z">
              <w:r w:rsidRPr="00183B5F">
                <w:rPr>
                  <w:lang w:val="hu-HU"/>
                </w:rPr>
                <w:delText>conjunctivitis,</w:delText>
              </w:r>
            </w:del>
          </w:p>
          <w:p w14:paraId="1F897063" w14:textId="7B6FE260" w:rsidR="000F37E7" w:rsidRPr="00183B5F" w:rsidRDefault="00943743">
            <w:pPr>
              <w:pStyle w:val="EMEANormal"/>
              <w:widowControl w:val="0"/>
              <w:suppressAutoHyphens w:val="0"/>
              <w:rPr>
                <w:del w:id="4892" w:author="AbbVie_HU_03" w:date="2025-05-14T15:27:00Z"/>
                <w:lang w:val="hu-HU"/>
              </w:rPr>
            </w:pPr>
            <w:del w:id="4893" w:author="AbbVie_HU_03" w:date="2025-05-14T15:27:00Z">
              <w:r w:rsidRPr="00183B5F">
                <w:rPr>
                  <w:lang w:val="hu-HU"/>
                </w:rPr>
                <w:delText>blepharitis,</w:delText>
              </w:r>
            </w:del>
          </w:p>
          <w:p w14:paraId="76A94700" w14:textId="24D15F37" w:rsidR="00AC5066" w:rsidRPr="00183B5F" w:rsidRDefault="00943743" w:rsidP="004062FE">
            <w:pPr>
              <w:pStyle w:val="EMEANormal"/>
              <w:widowControl w:val="0"/>
              <w:suppressAutoHyphens w:val="0"/>
              <w:rPr>
                <w:del w:id="4894" w:author="AbbVie_HU_03" w:date="2025-05-14T15:27:00Z"/>
                <w:lang w:val="hu-HU"/>
              </w:rPr>
            </w:pPr>
            <w:del w:id="4895" w:author="AbbVie_HU_03" w:date="2025-05-14T15:27:00Z">
              <w:r w:rsidRPr="00183B5F">
                <w:rPr>
                  <w:lang w:val="hu-HU"/>
                </w:rPr>
                <w:delText>szem</w:delText>
              </w:r>
              <w:r w:rsidR="000F37E7" w:rsidRPr="00183B5F">
                <w:rPr>
                  <w:lang w:val="hu-HU"/>
                </w:rPr>
                <w:delText>környéki duzzanat</w:delText>
              </w:r>
            </w:del>
          </w:p>
        </w:tc>
      </w:tr>
      <w:tr w:rsidR="00011D2F" w14:paraId="0D93FB64" w14:textId="08E0C37A" w:rsidTr="00202B95">
        <w:trPr>
          <w:cantSplit/>
          <w:del w:id="4896" w:author="AbbVie_HU_03" w:date="2025-05-14T15:27:00Z"/>
        </w:trPr>
        <w:tc>
          <w:tcPr>
            <w:tcW w:w="2503" w:type="dxa"/>
            <w:vMerge/>
          </w:tcPr>
          <w:p w14:paraId="7832F1E1" w14:textId="6BC12A42" w:rsidR="00AC5066" w:rsidRPr="00183B5F" w:rsidRDefault="00AC5066" w:rsidP="004062FE">
            <w:pPr>
              <w:widowControl w:val="0"/>
              <w:suppressAutoHyphens w:val="0"/>
              <w:spacing w:line="240" w:lineRule="auto"/>
              <w:jc w:val="center"/>
              <w:rPr>
                <w:del w:id="4897" w:author="AbbVie_HU_03" w:date="2025-05-14T15:27:00Z"/>
                <w:b/>
              </w:rPr>
            </w:pPr>
          </w:p>
        </w:tc>
        <w:tc>
          <w:tcPr>
            <w:tcW w:w="2107" w:type="dxa"/>
            <w:tcBorders>
              <w:top w:val="single" w:sz="4" w:space="0" w:color="auto"/>
            </w:tcBorders>
          </w:tcPr>
          <w:p w14:paraId="55763761" w14:textId="61B8292F" w:rsidR="00AC5066" w:rsidRPr="00183B5F" w:rsidRDefault="00943743">
            <w:pPr>
              <w:pStyle w:val="EMEANormal"/>
              <w:widowControl w:val="0"/>
              <w:suppressAutoHyphens w:val="0"/>
              <w:rPr>
                <w:del w:id="4898" w:author="AbbVie_HU_03" w:date="2025-05-14T15:27:00Z"/>
                <w:lang w:val="hu-HU"/>
              </w:rPr>
            </w:pPr>
            <w:del w:id="4899" w:author="AbbVie_HU_03" w:date="2025-05-14T15:27:00Z">
              <w:r w:rsidRPr="00183B5F">
                <w:rPr>
                  <w:lang w:val="hu-HU"/>
                </w:rPr>
                <w:delText>Nem gyakori</w:delText>
              </w:r>
            </w:del>
          </w:p>
        </w:tc>
        <w:tc>
          <w:tcPr>
            <w:tcW w:w="4451" w:type="dxa"/>
            <w:tcBorders>
              <w:top w:val="single" w:sz="4" w:space="0" w:color="auto"/>
            </w:tcBorders>
          </w:tcPr>
          <w:p w14:paraId="33375AC8" w14:textId="30073AAD" w:rsidR="00AC5066" w:rsidRPr="00183B5F" w:rsidRDefault="00943743">
            <w:pPr>
              <w:pStyle w:val="EMEANormal"/>
              <w:widowControl w:val="0"/>
              <w:suppressAutoHyphens w:val="0"/>
              <w:rPr>
                <w:del w:id="4900" w:author="AbbVie_HU_03" w:date="2025-05-14T15:27:00Z"/>
                <w:lang w:val="hu-HU"/>
              </w:rPr>
            </w:pPr>
            <w:del w:id="4901" w:author="AbbVie_HU_03" w:date="2025-05-14T15:27:00Z">
              <w:r w:rsidRPr="00183B5F">
                <w:rPr>
                  <w:lang w:val="hu-HU"/>
                </w:rPr>
                <w:delText>Diplopia</w:delText>
              </w:r>
            </w:del>
          </w:p>
          <w:p w14:paraId="6DA27CA0" w14:textId="2062C9B4" w:rsidR="00AC5066" w:rsidRPr="00183B5F" w:rsidRDefault="00AC5066">
            <w:pPr>
              <w:pStyle w:val="EMEANormal"/>
              <w:widowControl w:val="0"/>
              <w:suppressAutoHyphens w:val="0"/>
              <w:rPr>
                <w:del w:id="4902" w:author="AbbVie_HU_03" w:date="2025-05-14T15:27:00Z"/>
                <w:lang w:val="hu-HU"/>
              </w:rPr>
            </w:pPr>
          </w:p>
        </w:tc>
      </w:tr>
      <w:tr w:rsidR="00011D2F" w14:paraId="560F1898" w14:textId="0EA96D7E" w:rsidTr="00202B95">
        <w:trPr>
          <w:cantSplit/>
          <w:del w:id="4903" w:author="AbbVie_HU_03" w:date="2025-05-14T15:27:00Z"/>
        </w:trPr>
        <w:tc>
          <w:tcPr>
            <w:tcW w:w="2503" w:type="dxa"/>
            <w:vMerge w:val="restart"/>
          </w:tcPr>
          <w:p w14:paraId="011FE926" w14:textId="76D64E7B" w:rsidR="00AC5066" w:rsidRPr="00183B5F" w:rsidRDefault="00943743" w:rsidP="004062FE">
            <w:pPr>
              <w:pStyle w:val="EMEANormal"/>
              <w:widowControl w:val="0"/>
              <w:suppressAutoHyphens w:val="0"/>
              <w:rPr>
                <w:del w:id="4904" w:author="AbbVie_HU_03" w:date="2025-05-14T15:27:00Z"/>
                <w:szCs w:val="22"/>
                <w:lang w:val="hu-HU"/>
              </w:rPr>
            </w:pPr>
            <w:del w:id="4905" w:author="AbbVie_HU_03" w:date="2025-05-14T15:27:00Z">
              <w:r w:rsidRPr="00183B5F">
                <w:rPr>
                  <w:szCs w:val="22"/>
                  <w:lang w:val="hu-HU"/>
                </w:rPr>
                <w:delText xml:space="preserve">A fül és az egyensúly-érzékelő szerv betegségei és tünetei </w:delText>
              </w:r>
            </w:del>
          </w:p>
          <w:p w14:paraId="404004A9" w14:textId="168DC497" w:rsidR="00AC5066" w:rsidRPr="00183B5F" w:rsidRDefault="00AC5066" w:rsidP="004062FE">
            <w:pPr>
              <w:pStyle w:val="EMEANormal"/>
              <w:widowControl w:val="0"/>
              <w:suppressAutoHyphens w:val="0"/>
              <w:rPr>
                <w:del w:id="4906" w:author="AbbVie_HU_03" w:date="2025-05-14T15:27:00Z"/>
                <w:szCs w:val="22"/>
                <w:lang w:val="hu-HU"/>
              </w:rPr>
            </w:pPr>
          </w:p>
        </w:tc>
        <w:tc>
          <w:tcPr>
            <w:tcW w:w="2107" w:type="dxa"/>
            <w:tcBorders>
              <w:bottom w:val="single" w:sz="4" w:space="0" w:color="auto"/>
            </w:tcBorders>
          </w:tcPr>
          <w:p w14:paraId="72FFA787" w14:textId="50C5F269" w:rsidR="00AC5066" w:rsidRPr="00183B5F" w:rsidRDefault="00943743" w:rsidP="004062FE">
            <w:pPr>
              <w:pStyle w:val="EMEANormal"/>
              <w:widowControl w:val="0"/>
              <w:suppressAutoHyphens w:val="0"/>
              <w:rPr>
                <w:del w:id="4907" w:author="AbbVie_HU_03" w:date="2025-05-14T15:27:00Z"/>
                <w:lang w:val="hu-HU"/>
              </w:rPr>
            </w:pPr>
            <w:del w:id="4908" w:author="AbbVie_HU_03" w:date="2025-05-14T15:27:00Z">
              <w:r w:rsidRPr="00183B5F">
                <w:rPr>
                  <w:lang w:val="hu-HU"/>
                </w:rPr>
                <w:delText>Gyakori</w:delText>
              </w:r>
            </w:del>
          </w:p>
          <w:p w14:paraId="54CACD12" w14:textId="54F1951D" w:rsidR="00AC5066" w:rsidRPr="00183B5F" w:rsidRDefault="00AC5066" w:rsidP="004062FE">
            <w:pPr>
              <w:pStyle w:val="EMEANormal"/>
              <w:widowControl w:val="0"/>
              <w:suppressAutoHyphens w:val="0"/>
              <w:rPr>
                <w:del w:id="4909" w:author="AbbVie_HU_03" w:date="2025-05-14T15:27:00Z"/>
                <w:lang w:val="hu-HU"/>
              </w:rPr>
            </w:pPr>
          </w:p>
        </w:tc>
        <w:tc>
          <w:tcPr>
            <w:tcW w:w="4451" w:type="dxa"/>
            <w:tcBorders>
              <w:bottom w:val="single" w:sz="4" w:space="0" w:color="auto"/>
            </w:tcBorders>
          </w:tcPr>
          <w:p w14:paraId="0329FC17" w14:textId="3583BAE7" w:rsidR="00AC5066" w:rsidRPr="00183B5F" w:rsidRDefault="00943743" w:rsidP="004062FE">
            <w:pPr>
              <w:pStyle w:val="EMEANormal"/>
              <w:widowControl w:val="0"/>
              <w:suppressAutoHyphens w:val="0"/>
              <w:rPr>
                <w:del w:id="4910" w:author="AbbVie_HU_03" w:date="2025-05-14T15:27:00Z"/>
                <w:lang w:val="hu-HU"/>
              </w:rPr>
            </w:pPr>
            <w:del w:id="4911" w:author="AbbVie_HU_03" w:date="2025-05-14T15:27:00Z">
              <w:r w:rsidRPr="00183B5F">
                <w:rPr>
                  <w:lang w:val="hu-HU"/>
                </w:rPr>
                <w:delText>Vertigo</w:delText>
              </w:r>
            </w:del>
          </w:p>
          <w:p w14:paraId="7CB8BBF1" w14:textId="19A5F4B4" w:rsidR="00AC5066" w:rsidRPr="00183B5F" w:rsidRDefault="00AC5066" w:rsidP="004062FE">
            <w:pPr>
              <w:pStyle w:val="EMEANormal"/>
              <w:widowControl w:val="0"/>
              <w:suppressAutoHyphens w:val="0"/>
              <w:rPr>
                <w:del w:id="4912" w:author="AbbVie_HU_03" w:date="2025-05-14T15:27:00Z"/>
                <w:lang w:val="hu-HU"/>
              </w:rPr>
            </w:pPr>
          </w:p>
        </w:tc>
      </w:tr>
      <w:tr w:rsidR="00011D2F" w14:paraId="452AF182" w14:textId="4C47003D" w:rsidTr="00202B95">
        <w:trPr>
          <w:cantSplit/>
          <w:del w:id="4913" w:author="AbbVie_HU_03" w:date="2025-05-14T15:27:00Z"/>
        </w:trPr>
        <w:tc>
          <w:tcPr>
            <w:tcW w:w="2503" w:type="dxa"/>
            <w:vMerge/>
          </w:tcPr>
          <w:p w14:paraId="1C2F5C5B" w14:textId="14DA34EC" w:rsidR="00AC5066" w:rsidRPr="00183B5F" w:rsidRDefault="00AC5066" w:rsidP="004062FE">
            <w:pPr>
              <w:widowControl w:val="0"/>
              <w:suppressAutoHyphens w:val="0"/>
              <w:spacing w:line="240" w:lineRule="auto"/>
              <w:jc w:val="center"/>
              <w:rPr>
                <w:del w:id="4914" w:author="AbbVie_HU_03" w:date="2025-05-14T15:27:00Z"/>
                <w:b/>
              </w:rPr>
            </w:pPr>
          </w:p>
        </w:tc>
        <w:tc>
          <w:tcPr>
            <w:tcW w:w="2107" w:type="dxa"/>
            <w:tcBorders>
              <w:top w:val="single" w:sz="4" w:space="0" w:color="auto"/>
              <w:bottom w:val="single" w:sz="4" w:space="0" w:color="auto"/>
            </w:tcBorders>
          </w:tcPr>
          <w:p w14:paraId="5FF6E06E" w14:textId="6182ED64" w:rsidR="00AC5066" w:rsidRPr="00183B5F" w:rsidRDefault="00943743">
            <w:pPr>
              <w:pStyle w:val="EMEANormal"/>
              <w:widowControl w:val="0"/>
              <w:suppressAutoHyphens w:val="0"/>
              <w:rPr>
                <w:del w:id="4915" w:author="AbbVie_HU_03" w:date="2025-05-14T15:27:00Z"/>
                <w:lang w:val="hu-HU"/>
              </w:rPr>
            </w:pPr>
            <w:del w:id="4916" w:author="AbbVie_HU_03" w:date="2025-05-14T15:27:00Z">
              <w:r w:rsidRPr="00183B5F">
                <w:rPr>
                  <w:lang w:val="hu-HU"/>
                </w:rPr>
                <w:delText>Nem gyakori</w:delText>
              </w:r>
            </w:del>
          </w:p>
          <w:p w14:paraId="1D0CBFD8" w14:textId="76DA04E5" w:rsidR="00AC5066" w:rsidRPr="00183B5F" w:rsidRDefault="00AC5066">
            <w:pPr>
              <w:pStyle w:val="EMEANormal"/>
              <w:widowControl w:val="0"/>
              <w:suppressAutoHyphens w:val="0"/>
              <w:rPr>
                <w:del w:id="4917" w:author="AbbVie_HU_03" w:date="2025-05-14T15:27:00Z"/>
                <w:lang w:val="hu-HU"/>
              </w:rPr>
            </w:pPr>
          </w:p>
        </w:tc>
        <w:tc>
          <w:tcPr>
            <w:tcW w:w="4451" w:type="dxa"/>
            <w:tcBorders>
              <w:top w:val="single" w:sz="4" w:space="0" w:color="auto"/>
              <w:bottom w:val="single" w:sz="4" w:space="0" w:color="auto"/>
            </w:tcBorders>
          </w:tcPr>
          <w:p w14:paraId="0D2879D1" w14:textId="405D08EE" w:rsidR="00AC5066" w:rsidRPr="00183B5F" w:rsidRDefault="00943743">
            <w:pPr>
              <w:pStyle w:val="EMEANormal"/>
              <w:widowControl w:val="0"/>
              <w:suppressAutoHyphens w:val="0"/>
              <w:rPr>
                <w:del w:id="4918" w:author="AbbVie_HU_03" w:date="2025-05-14T15:27:00Z"/>
                <w:lang w:val="hu-HU"/>
              </w:rPr>
            </w:pPr>
            <w:del w:id="4919" w:author="AbbVie_HU_03" w:date="2025-05-14T15:27:00Z">
              <w:r w:rsidRPr="00183B5F">
                <w:rPr>
                  <w:lang w:val="hu-HU"/>
                </w:rPr>
                <w:delText xml:space="preserve">Süketség, </w:delText>
              </w:r>
            </w:del>
          </w:p>
          <w:p w14:paraId="64D6112E" w14:textId="5C8ED6D0" w:rsidR="00AC5066" w:rsidRPr="00183B5F" w:rsidRDefault="00943743">
            <w:pPr>
              <w:pStyle w:val="EMEANormal"/>
              <w:widowControl w:val="0"/>
              <w:suppressAutoHyphens w:val="0"/>
              <w:rPr>
                <w:del w:id="4920" w:author="AbbVie_HU_03" w:date="2025-05-14T15:27:00Z"/>
                <w:lang w:val="hu-HU"/>
              </w:rPr>
            </w:pPr>
            <w:del w:id="4921" w:author="AbbVie_HU_03" w:date="2025-05-14T15:27:00Z">
              <w:r w:rsidRPr="00183B5F">
                <w:rPr>
                  <w:lang w:val="hu-HU"/>
                </w:rPr>
                <w:delText>tinnitus</w:delText>
              </w:r>
            </w:del>
          </w:p>
          <w:p w14:paraId="035DEBC7" w14:textId="6ED3BEAE" w:rsidR="00AC5066" w:rsidRPr="00183B5F" w:rsidRDefault="00AC5066">
            <w:pPr>
              <w:pStyle w:val="EMEANormal"/>
              <w:widowControl w:val="0"/>
              <w:suppressAutoHyphens w:val="0"/>
              <w:rPr>
                <w:del w:id="4922" w:author="AbbVie_HU_03" w:date="2025-05-14T15:27:00Z"/>
                <w:lang w:val="hu-HU"/>
              </w:rPr>
            </w:pPr>
          </w:p>
        </w:tc>
      </w:tr>
      <w:tr w:rsidR="00011D2F" w14:paraId="34535B43" w14:textId="708FBF86" w:rsidTr="00202B95">
        <w:trPr>
          <w:cantSplit/>
          <w:del w:id="4923" w:author="AbbVie_HU_03" w:date="2025-05-14T15:27:00Z"/>
        </w:trPr>
        <w:tc>
          <w:tcPr>
            <w:tcW w:w="2503" w:type="dxa"/>
            <w:vMerge w:val="restart"/>
          </w:tcPr>
          <w:p w14:paraId="1B7FD541" w14:textId="0318A7B6" w:rsidR="00AC5066" w:rsidRPr="00183B5F" w:rsidRDefault="00943743" w:rsidP="004062FE">
            <w:pPr>
              <w:pStyle w:val="EMEANormal"/>
              <w:widowControl w:val="0"/>
              <w:suppressAutoHyphens w:val="0"/>
              <w:rPr>
                <w:del w:id="4924" w:author="AbbVie_HU_03" w:date="2025-05-14T15:27:00Z"/>
                <w:szCs w:val="22"/>
                <w:lang w:val="hu-HU"/>
              </w:rPr>
            </w:pPr>
            <w:del w:id="4925" w:author="AbbVie_HU_03" w:date="2025-05-14T15:27:00Z">
              <w:r w:rsidRPr="00183B5F">
                <w:rPr>
                  <w:szCs w:val="22"/>
                  <w:lang w:val="hu-HU"/>
                </w:rPr>
                <w:delText xml:space="preserve">Szívbetegségek és a szívvel kapcsolatos tünetek* </w:delText>
              </w:r>
            </w:del>
          </w:p>
        </w:tc>
        <w:tc>
          <w:tcPr>
            <w:tcW w:w="2107" w:type="dxa"/>
            <w:tcBorders>
              <w:bottom w:val="single" w:sz="4" w:space="0" w:color="auto"/>
            </w:tcBorders>
          </w:tcPr>
          <w:p w14:paraId="1224EDF7" w14:textId="240B5876" w:rsidR="00AC5066" w:rsidRPr="00183B5F" w:rsidRDefault="00943743" w:rsidP="004062FE">
            <w:pPr>
              <w:pStyle w:val="EMEANormal"/>
              <w:widowControl w:val="0"/>
              <w:suppressAutoHyphens w:val="0"/>
              <w:rPr>
                <w:del w:id="4926" w:author="AbbVie_HU_03" w:date="2025-05-14T15:27:00Z"/>
                <w:lang w:val="hu-HU"/>
              </w:rPr>
            </w:pPr>
            <w:del w:id="4927" w:author="AbbVie_HU_03" w:date="2025-05-14T15:27:00Z">
              <w:r w:rsidRPr="00183B5F">
                <w:rPr>
                  <w:lang w:val="hu-HU"/>
                </w:rPr>
                <w:delText>Gyakori</w:delText>
              </w:r>
            </w:del>
          </w:p>
        </w:tc>
        <w:tc>
          <w:tcPr>
            <w:tcW w:w="4451" w:type="dxa"/>
            <w:tcBorders>
              <w:bottom w:val="single" w:sz="4" w:space="0" w:color="auto"/>
            </w:tcBorders>
          </w:tcPr>
          <w:p w14:paraId="2DC9DDEB" w14:textId="50192AE7" w:rsidR="00AC5066" w:rsidRPr="00183B5F" w:rsidRDefault="00943743" w:rsidP="004062FE">
            <w:pPr>
              <w:pStyle w:val="EMEANormal"/>
              <w:widowControl w:val="0"/>
              <w:suppressAutoHyphens w:val="0"/>
              <w:rPr>
                <w:del w:id="4928" w:author="AbbVie_HU_03" w:date="2025-05-14T15:27:00Z"/>
                <w:lang w:val="hu-HU"/>
              </w:rPr>
            </w:pPr>
            <w:del w:id="4929" w:author="AbbVie_HU_03" w:date="2025-05-14T15:27:00Z">
              <w:r w:rsidRPr="00183B5F">
                <w:rPr>
                  <w:lang w:val="hu-HU"/>
                </w:rPr>
                <w:delText>Tachycardia</w:delText>
              </w:r>
            </w:del>
          </w:p>
        </w:tc>
      </w:tr>
      <w:tr w:rsidR="00011D2F" w14:paraId="40198A21" w14:textId="05073679" w:rsidTr="00202B95">
        <w:trPr>
          <w:cantSplit/>
          <w:del w:id="4930" w:author="AbbVie_HU_03" w:date="2025-05-14T15:27:00Z"/>
        </w:trPr>
        <w:tc>
          <w:tcPr>
            <w:tcW w:w="2503" w:type="dxa"/>
            <w:vMerge/>
          </w:tcPr>
          <w:p w14:paraId="7CE0D97A" w14:textId="55B36F30" w:rsidR="00AC5066" w:rsidRPr="00183B5F" w:rsidRDefault="00AC5066" w:rsidP="004062FE">
            <w:pPr>
              <w:pStyle w:val="EMEANormal"/>
              <w:widowControl w:val="0"/>
              <w:suppressAutoHyphens w:val="0"/>
              <w:rPr>
                <w:del w:id="4931" w:author="AbbVie_HU_03" w:date="2025-05-14T15:27:00Z"/>
                <w:lang w:val="hu-HU"/>
              </w:rPr>
            </w:pPr>
          </w:p>
        </w:tc>
        <w:tc>
          <w:tcPr>
            <w:tcW w:w="2107" w:type="dxa"/>
            <w:tcBorders>
              <w:top w:val="single" w:sz="4" w:space="0" w:color="auto"/>
              <w:bottom w:val="single" w:sz="4" w:space="0" w:color="auto"/>
            </w:tcBorders>
          </w:tcPr>
          <w:p w14:paraId="590409BE" w14:textId="02F86BE0" w:rsidR="00AC5066" w:rsidRPr="00183B5F" w:rsidRDefault="00943743" w:rsidP="004062FE">
            <w:pPr>
              <w:pStyle w:val="EMEANormal"/>
              <w:widowControl w:val="0"/>
              <w:suppressAutoHyphens w:val="0"/>
              <w:rPr>
                <w:del w:id="4932" w:author="AbbVie_HU_03" w:date="2025-05-14T15:27:00Z"/>
                <w:lang w:val="hu-HU"/>
              </w:rPr>
            </w:pPr>
            <w:del w:id="4933" w:author="AbbVie_HU_03" w:date="2025-05-14T15:27:00Z">
              <w:r w:rsidRPr="00183B5F">
                <w:rPr>
                  <w:lang w:val="hu-HU"/>
                </w:rPr>
                <w:delText>Nem gyakori</w:delText>
              </w:r>
            </w:del>
          </w:p>
          <w:p w14:paraId="0AF69192" w14:textId="0F4F3563" w:rsidR="00AC5066" w:rsidRPr="00183B5F" w:rsidRDefault="00AC5066" w:rsidP="004062FE">
            <w:pPr>
              <w:pStyle w:val="EMEANormal"/>
              <w:widowControl w:val="0"/>
              <w:suppressAutoHyphens w:val="0"/>
              <w:rPr>
                <w:del w:id="4934" w:author="AbbVie_HU_03" w:date="2025-05-14T15:27:00Z"/>
                <w:lang w:val="hu-HU"/>
              </w:rPr>
            </w:pPr>
          </w:p>
        </w:tc>
        <w:tc>
          <w:tcPr>
            <w:tcW w:w="4451" w:type="dxa"/>
            <w:tcBorders>
              <w:top w:val="single" w:sz="4" w:space="0" w:color="auto"/>
              <w:bottom w:val="single" w:sz="4" w:space="0" w:color="auto"/>
            </w:tcBorders>
          </w:tcPr>
          <w:p w14:paraId="303B55D2" w14:textId="1D18E232" w:rsidR="00A67220" w:rsidRPr="00183B5F" w:rsidRDefault="00943743" w:rsidP="004062FE">
            <w:pPr>
              <w:pStyle w:val="EMEANormal"/>
              <w:widowControl w:val="0"/>
              <w:suppressAutoHyphens w:val="0"/>
              <w:rPr>
                <w:del w:id="4935" w:author="AbbVie_HU_03" w:date="2025-05-14T15:27:00Z"/>
                <w:szCs w:val="22"/>
                <w:lang w:val="hu-HU"/>
              </w:rPr>
            </w:pPr>
            <w:del w:id="4936" w:author="AbbVie_HU_03" w:date="2025-05-14T15:27:00Z">
              <w:r w:rsidRPr="00183B5F">
                <w:rPr>
                  <w:szCs w:val="22"/>
                  <w:lang w:val="hu-HU"/>
                </w:rPr>
                <w:delText>Myocardialis infarktus</w:delText>
              </w:r>
              <w:r w:rsidR="00085A6F" w:rsidRPr="00183B5F">
                <w:rPr>
                  <w:vertAlign w:val="superscript"/>
                  <w:lang w:val="hu-HU"/>
                </w:rPr>
                <w:delText>1)</w:delText>
              </w:r>
              <w:r w:rsidRPr="00183B5F">
                <w:rPr>
                  <w:szCs w:val="22"/>
                  <w:lang w:val="hu-HU"/>
                </w:rPr>
                <w:delText>,</w:delText>
              </w:r>
            </w:del>
          </w:p>
          <w:p w14:paraId="6F583393" w14:textId="4A63335D" w:rsidR="00AC5066" w:rsidRPr="00183B5F" w:rsidRDefault="00943743" w:rsidP="004062FE">
            <w:pPr>
              <w:pStyle w:val="EMEANormal"/>
              <w:widowControl w:val="0"/>
              <w:suppressAutoHyphens w:val="0"/>
              <w:rPr>
                <w:del w:id="4937" w:author="AbbVie_HU_03" w:date="2025-05-14T15:27:00Z"/>
                <w:lang w:val="hu-HU"/>
              </w:rPr>
            </w:pPr>
            <w:del w:id="4938" w:author="AbbVie_HU_03" w:date="2025-05-14T15:27:00Z">
              <w:r w:rsidRPr="00183B5F">
                <w:rPr>
                  <w:lang w:val="hu-HU"/>
                </w:rPr>
                <w:delText>arrhythmia,</w:delText>
              </w:r>
            </w:del>
          </w:p>
          <w:p w14:paraId="25BF89E3" w14:textId="5DC90D11" w:rsidR="00AC5066" w:rsidRPr="00183B5F" w:rsidRDefault="00943743" w:rsidP="004062FE">
            <w:pPr>
              <w:pStyle w:val="EMEANormal"/>
              <w:widowControl w:val="0"/>
              <w:suppressAutoHyphens w:val="0"/>
              <w:rPr>
                <w:del w:id="4939" w:author="AbbVie_HU_03" w:date="2025-05-14T15:27:00Z"/>
                <w:lang w:val="hu-HU"/>
              </w:rPr>
            </w:pPr>
            <w:del w:id="4940" w:author="AbbVie_HU_03" w:date="2025-05-14T15:27:00Z">
              <w:r w:rsidRPr="00183B5F">
                <w:rPr>
                  <w:lang w:val="hu-HU"/>
                </w:rPr>
                <w:delText>pangásos szívelégtelenség</w:delText>
              </w:r>
            </w:del>
          </w:p>
        </w:tc>
      </w:tr>
      <w:tr w:rsidR="00011D2F" w14:paraId="739C5764" w14:textId="5B624E69" w:rsidTr="00202B95">
        <w:trPr>
          <w:cantSplit/>
          <w:del w:id="4941" w:author="AbbVie_HU_03" w:date="2025-05-14T15:27:00Z"/>
        </w:trPr>
        <w:tc>
          <w:tcPr>
            <w:tcW w:w="2503" w:type="dxa"/>
            <w:vMerge/>
          </w:tcPr>
          <w:p w14:paraId="2ED4E476" w14:textId="00C165A6" w:rsidR="00AC5066" w:rsidRPr="00183B5F" w:rsidRDefault="00AC5066" w:rsidP="004062FE">
            <w:pPr>
              <w:widowControl w:val="0"/>
              <w:suppressAutoHyphens w:val="0"/>
              <w:spacing w:line="240" w:lineRule="auto"/>
              <w:jc w:val="center"/>
              <w:rPr>
                <w:del w:id="4942" w:author="AbbVie_HU_03" w:date="2025-05-14T15:27:00Z"/>
                <w:b/>
              </w:rPr>
            </w:pPr>
          </w:p>
        </w:tc>
        <w:tc>
          <w:tcPr>
            <w:tcW w:w="2107" w:type="dxa"/>
            <w:tcBorders>
              <w:top w:val="single" w:sz="4" w:space="0" w:color="auto"/>
              <w:bottom w:val="single" w:sz="4" w:space="0" w:color="auto"/>
            </w:tcBorders>
          </w:tcPr>
          <w:p w14:paraId="384D5FDB" w14:textId="48260625" w:rsidR="00AC5066" w:rsidRPr="00183B5F" w:rsidRDefault="00943743">
            <w:pPr>
              <w:pStyle w:val="EMEANormal"/>
              <w:widowControl w:val="0"/>
              <w:suppressAutoHyphens w:val="0"/>
              <w:rPr>
                <w:del w:id="4943" w:author="AbbVie_HU_03" w:date="2025-05-14T15:27:00Z"/>
                <w:lang w:val="hu-HU"/>
              </w:rPr>
            </w:pPr>
            <w:del w:id="4944" w:author="AbbVie_HU_03" w:date="2025-05-14T15:27:00Z">
              <w:r w:rsidRPr="00183B5F">
                <w:rPr>
                  <w:lang w:val="hu-HU"/>
                </w:rPr>
                <w:delText>Ritka</w:delText>
              </w:r>
            </w:del>
          </w:p>
        </w:tc>
        <w:tc>
          <w:tcPr>
            <w:tcW w:w="4451" w:type="dxa"/>
            <w:tcBorders>
              <w:top w:val="single" w:sz="4" w:space="0" w:color="auto"/>
              <w:bottom w:val="single" w:sz="4" w:space="0" w:color="auto"/>
            </w:tcBorders>
          </w:tcPr>
          <w:p w14:paraId="0B6317FF" w14:textId="5F33A588" w:rsidR="00AC5066" w:rsidRPr="00183B5F" w:rsidRDefault="00943743">
            <w:pPr>
              <w:pStyle w:val="EMEANormal"/>
              <w:widowControl w:val="0"/>
              <w:suppressAutoHyphens w:val="0"/>
              <w:rPr>
                <w:del w:id="4945" w:author="AbbVie_HU_03" w:date="2025-05-14T15:27:00Z"/>
                <w:lang w:val="hu-HU"/>
              </w:rPr>
            </w:pPr>
            <w:del w:id="4946" w:author="AbbVie_HU_03" w:date="2025-05-14T15:27:00Z">
              <w:r w:rsidRPr="00183B5F">
                <w:rPr>
                  <w:lang w:val="hu-HU"/>
                </w:rPr>
                <w:delText>Szívleállás</w:delText>
              </w:r>
            </w:del>
          </w:p>
        </w:tc>
      </w:tr>
      <w:tr w:rsidR="00011D2F" w14:paraId="5E5322D5" w14:textId="1DF8B1B7" w:rsidTr="00202B95">
        <w:trPr>
          <w:cantSplit/>
          <w:del w:id="4947" w:author="AbbVie_HU_03" w:date="2025-05-14T15:27:00Z"/>
        </w:trPr>
        <w:tc>
          <w:tcPr>
            <w:tcW w:w="2503" w:type="dxa"/>
            <w:vMerge w:val="restart"/>
          </w:tcPr>
          <w:p w14:paraId="4FD19BA7" w14:textId="3C016B7B" w:rsidR="00AC5066" w:rsidRPr="00183B5F" w:rsidRDefault="00943743" w:rsidP="004062FE">
            <w:pPr>
              <w:pStyle w:val="EMEANormal"/>
              <w:widowControl w:val="0"/>
              <w:suppressAutoHyphens w:val="0"/>
              <w:rPr>
                <w:del w:id="4948" w:author="AbbVie_HU_03" w:date="2025-05-14T15:27:00Z"/>
                <w:lang w:val="hu-HU"/>
              </w:rPr>
            </w:pPr>
            <w:del w:id="4949" w:author="AbbVie_HU_03" w:date="2025-05-14T15:27:00Z">
              <w:r w:rsidRPr="00183B5F">
                <w:rPr>
                  <w:lang w:val="hu-HU"/>
                </w:rPr>
                <w:delText>Érbetegségek és tünetek</w:delText>
              </w:r>
            </w:del>
          </w:p>
        </w:tc>
        <w:tc>
          <w:tcPr>
            <w:tcW w:w="2107" w:type="dxa"/>
            <w:tcBorders>
              <w:bottom w:val="single" w:sz="4" w:space="0" w:color="auto"/>
            </w:tcBorders>
          </w:tcPr>
          <w:p w14:paraId="374D271E" w14:textId="19276765" w:rsidR="00AC5066" w:rsidRPr="00183B5F" w:rsidRDefault="00943743" w:rsidP="004062FE">
            <w:pPr>
              <w:pStyle w:val="EMEANormal"/>
              <w:widowControl w:val="0"/>
              <w:suppressAutoHyphens w:val="0"/>
              <w:rPr>
                <w:del w:id="4950" w:author="AbbVie_HU_03" w:date="2025-05-14T15:27:00Z"/>
                <w:lang w:val="hu-HU"/>
              </w:rPr>
            </w:pPr>
            <w:del w:id="4951" w:author="AbbVie_HU_03" w:date="2025-05-14T15:27:00Z">
              <w:r w:rsidRPr="00183B5F">
                <w:rPr>
                  <w:lang w:val="hu-HU"/>
                </w:rPr>
                <w:delText>Gyakori</w:delText>
              </w:r>
            </w:del>
          </w:p>
          <w:p w14:paraId="25E26E63" w14:textId="17B65CAB" w:rsidR="00AC5066" w:rsidRPr="00183B5F" w:rsidRDefault="00AC5066" w:rsidP="004062FE">
            <w:pPr>
              <w:pStyle w:val="EMEANormal"/>
              <w:widowControl w:val="0"/>
              <w:suppressAutoHyphens w:val="0"/>
              <w:rPr>
                <w:del w:id="4952" w:author="AbbVie_HU_03" w:date="2025-05-14T15:27:00Z"/>
                <w:lang w:val="hu-HU"/>
              </w:rPr>
            </w:pPr>
          </w:p>
        </w:tc>
        <w:tc>
          <w:tcPr>
            <w:tcW w:w="4451" w:type="dxa"/>
            <w:tcBorders>
              <w:bottom w:val="single" w:sz="4" w:space="0" w:color="auto"/>
            </w:tcBorders>
          </w:tcPr>
          <w:p w14:paraId="7AB18030" w14:textId="0F114483" w:rsidR="00AC5066" w:rsidRPr="00183B5F" w:rsidRDefault="00943743" w:rsidP="004062FE">
            <w:pPr>
              <w:pStyle w:val="EMEANormal"/>
              <w:widowControl w:val="0"/>
              <w:suppressAutoHyphens w:val="0"/>
              <w:rPr>
                <w:del w:id="4953" w:author="AbbVie_HU_03" w:date="2025-05-14T15:27:00Z"/>
                <w:lang w:val="hu-HU"/>
              </w:rPr>
            </w:pPr>
            <w:del w:id="4954" w:author="AbbVie_HU_03" w:date="2025-05-14T15:27:00Z">
              <w:r w:rsidRPr="00183B5F">
                <w:rPr>
                  <w:lang w:val="hu-HU"/>
                </w:rPr>
                <w:delText xml:space="preserve">Hypertensio, </w:delText>
              </w:r>
            </w:del>
          </w:p>
          <w:p w14:paraId="068FA26F" w14:textId="13CC903A" w:rsidR="00AC5066" w:rsidRPr="00183B5F" w:rsidRDefault="00943743" w:rsidP="004062FE">
            <w:pPr>
              <w:pStyle w:val="EMEANormal"/>
              <w:widowControl w:val="0"/>
              <w:suppressAutoHyphens w:val="0"/>
              <w:rPr>
                <w:del w:id="4955" w:author="AbbVie_HU_03" w:date="2025-05-14T15:27:00Z"/>
                <w:lang w:val="hu-HU"/>
              </w:rPr>
            </w:pPr>
            <w:del w:id="4956" w:author="AbbVie_HU_03" w:date="2025-05-14T15:27:00Z">
              <w:r w:rsidRPr="00183B5F">
                <w:rPr>
                  <w:lang w:val="hu-HU"/>
                </w:rPr>
                <w:delText xml:space="preserve">kipirulás, </w:delText>
              </w:r>
            </w:del>
          </w:p>
          <w:p w14:paraId="4F572C81" w14:textId="23A8CE22" w:rsidR="00AC5066" w:rsidRPr="00183B5F" w:rsidRDefault="00943743" w:rsidP="004062FE">
            <w:pPr>
              <w:pStyle w:val="EMEANormal"/>
              <w:widowControl w:val="0"/>
              <w:suppressAutoHyphens w:val="0"/>
              <w:rPr>
                <w:del w:id="4957" w:author="AbbVie_HU_03" w:date="2025-05-14T15:27:00Z"/>
                <w:lang w:val="hu-HU"/>
              </w:rPr>
            </w:pPr>
            <w:del w:id="4958" w:author="AbbVie_HU_03" w:date="2025-05-14T15:27:00Z">
              <w:r w:rsidRPr="00183B5F">
                <w:rPr>
                  <w:lang w:val="hu-HU"/>
                </w:rPr>
                <w:delText>haematoma</w:delText>
              </w:r>
            </w:del>
          </w:p>
        </w:tc>
      </w:tr>
      <w:tr w:rsidR="00011D2F" w14:paraId="06EEED72" w14:textId="44EBEC4B" w:rsidTr="00202B95">
        <w:trPr>
          <w:cantSplit/>
          <w:del w:id="4959" w:author="AbbVie_HU_03" w:date="2025-05-14T15:27:00Z"/>
        </w:trPr>
        <w:tc>
          <w:tcPr>
            <w:tcW w:w="2503" w:type="dxa"/>
            <w:vMerge/>
            <w:tcBorders>
              <w:bottom w:val="single" w:sz="4" w:space="0" w:color="auto"/>
            </w:tcBorders>
          </w:tcPr>
          <w:p w14:paraId="366C3AA5" w14:textId="68C67845" w:rsidR="00AC5066" w:rsidRPr="00183B5F" w:rsidRDefault="00AC5066" w:rsidP="004062FE">
            <w:pPr>
              <w:pStyle w:val="EMEANormal"/>
              <w:widowControl w:val="0"/>
              <w:suppressAutoHyphens w:val="0"/>
              <w:rPr>
                <w:del w:id="4960" w:author="AbbVie_HU_03" w:date="2025-05-14T15:27:00Z"/>
                <w:lang w:val="hu-HU"/>
              </w:rPr>
            </w:pPr>
          </w:p>
        </w:tc>
        <w:tc>
          <w:tcPr>
            <w:tcW w:w="2107" w:type="dxa"/>
            <w:tcBorders>
              <w:top w:val="single" w:sz="4" w:space="0" w:color="auto"/>
              <w:bottom w:val="single" w:sz="4" w:space="0" w:color="auto"/>
            </w:tcBorders>
          </w:tcPr>
          <w:p w14:paraId="711289AE" w14:textId="37646FBA" w:rsidR="00AC5066" w:rsidRPr="00183B5F" w:rsidRDefault="00943743">
            <w:pPr>
              <w:pStyle w:val="EMEANormal"/>
              <w:widowControl w:val="0"/>
              <w:suppressAutoHyphens w:val="0"/>
              <w:rPr>
                <w:del w:id="4961" w:author="AbbVie_HU_03" w:date="2025-05-14T15:27:00Z"/>
                <w:lang w:val="hu-HU"/>
              </w:rPr>
            </w:pPr>
            <w:del w:id="4962" w:author="AbbVie_HU_03" w:date="2025-05-14T15:27:00Z">
              <w:r w:rsidRPr="00183B5F">
                <w:rPr>
                  <w:lang w:val="hu-HU"/>
                </w:rPr>
                <w:delText>Nem gyakori</w:delText>
              </w:r>
            </w:del>
          </w:p>
        </w:tc>
        <w:tc>
          <w:tcPr>
            <w:tcW w:w="4451" w:type="dxa"/>
            <w:tcBorders>
              <w:top w:val="single" w:sz="4" w:space="0" w:color="auto"/>
              <w:bottom w:val="single" w:sz="4" w:space="0" w:color="auto"/>
            </w:tcBorders>
          </w:tcPr>
          <w:p w14:paraId="6F38CBD3" w14:textId="7A28DE6F" w:rsidR="00A67220" w:rsidRPr="00183B5F" w:rsidRDefault="00943743">
            <w:pPr>
              <w:pStyle w:val="EMEANormal"/>
              <w:widowControl w:val="0"/>
              <w:suppressAutoHyphens w:val="0"/>
              <w:rPr>
                <w:del w:id="4963" w:author="AbbVie_HU_03" w:date="2025-05-14T15:27:00Z"/>
                <w:lang w:val="hu-HU"/>
              </w:rPr>
            </w:pPr>
            <w:del w:id="4964" w:author="AbbVie_HU_03" w:date="2025-05-14T15:27:00Z">
              <w:r w:rsidRPr="00183B5F">
                <w:rPr>
                  <w:lang w:val="hu-HU"/>
                </w:rPr>
                <w:delText>Aorta aneurysma,</w:delText>
              </w:r>
            </w:del>
          </w:p>
          <w:p w14:paraId="70F041FB" w14:textId="10411393" w:rsidR="00AC5066" w:rsidRPr="00183B5F" w:rsidRDefault="00943743">
            <w:pPr>
              <w:pStyle w:val="EMEANormal"/>
              <w:widowControl w:val="0"/>
              <w:suppressAutoHyphens w:val="0"/>
              <w:rPr>
                <w:del w:id="4965" w:author="AbbVie_HU_03" w:date="2025-05-14T15:27:00Z"/>
                <w:lang w:val="hu-HU"/>
              </w:rPr>
            </w:pPr>
            <w:del w:id="4966" w:author="AbbVie_HU_03" w:date="2025-05-14T15:27:00Z">
              <w:r w:rsidRPr="00183B5F">
                <w:rPr>
                  <w:lang w:val="hu-HU"/>
                </w:rPr>
                <w:delText>arteriás occlusio,</w:delText>
              </w:r>
            </w:del>
          </w:p>
          <w:p w14:paraId="4C201C6A" w14:textId="1802F7DF" w:rsidR="00AC5066" w:rsidRPr="00183B5F" w:rsidRDefault="00943743">
            <w:pPr>
              <w:pStyle w:val="EMEANormal"/>
              <w:widowControl w:val="0"/>
              <w:suppressAutoHyphens w:val="0"/>
              <w:rPr>
                <w:del w:id="4967" w:author="AbbVie_HU_03" w:date="2025-05-14T15:27:00Z"/>
                <w:lang w:val="hu-HU"/>
              </w:rPr>
            </w:pPr>
            <w:del w:id="4968" w:author="AbbVie_HU_03" w:date="2025-05-14T15:27:00Z">
              <w:r w:rsidRPr="00183B5F">
                <w:rPr>
                  <w:lang w:val="hu-HU"/>
                </w:rPr>
                <w:delText>thrombophlebitis</w:delText>
              </w:r>
            </w:del>
          </w:p>
        </w:tc>
      </w:tr>
      <w:tr w:rsidR="00011D2F" w14:paraId="02E6A28E" w14:textId="3665BA38" w:rsidTr="00202B95">
        <w:trPr>
          <w:cantSplit/>
          <w:del w:id="4969" w:author="AbbVie_HU_03" w:date="2025-05-14T15:27:00Z"/>
        </w:trPr>
        <w:tc>
          <w:tcPr>
            <w:tcW w:w="2503" w:type="dxa"/>
            <w:vMerge w:val="restart"/>
            <w:tcBorders>
              <w:bottom w:val="single" w:sz="4" w:space="0" w:color="auto"/>
            </w:tcBorders>
          </w:tcPr>
          <w:p w14:paraId="1717E736" w14:textId="66E06B93" w:rsidR="00AC5066" w:rsidRPr="00183B5F" w:rsidRDefault="00943743" w:rsidP="004062FE">
            <w:pPr>
              <w:pStyle w:val="EMEANormal"/>
              <w:widowControl w:val="0"/>
              <w:suppressAutoHyphens w:val="0"/>
              <w:rPr>
                <w:del w:id="4970" w:author="AbbVie_HU_03" w:date="2025-05-14T15:27:00Z"/>
                <w:szCs w:val="22"/>
                <w:lang w:val="hu-HU"/>
              </w:rPr>
            </w:pPr>
            <w:del w:id="4971" w:author="AbbVie_HU_03" w:date="2025-05-14T15:27:00Z">
              <w:r w:rsidRPr="00183B5F">
                <w:rPr>
                  <w:szCs w:val="22"/>
                  <w:lang w:val="hu-HU"/>
                </w:rPr>
                <w:delText>Légzőrendszeri, mellkasi és mediastinalis betegségek és tünetek*</w:delText>
              </w:r>
            </w:del>
          </w:p>
        </w:tc>
        <w:tc>
          <w:tcPr>
            <w:tcW w:w="2107" w:type="dxa"/>
            <w:tcBorders>
              <w:bottom w:val="single" w:sz="4" w:space="0" w:color="auto"/>
            </w:tcBorders>
          </w:tcPr>
          <w:p w14:paraId="0B0DD052" w14:textId="6F35525D" w:rsidR="00AC5066" w:rsidRPr="00183B5F" w:rsidRDefault="00943743" w:rsidP="004062FE">
            <w:pPr>
              <w:pStyle w:val="EMEANormal"/>
              <w:widowControl w:val="0"/>
              <w:suppressAutoHyphens w:val="0"/>
              <w:rPr>
                <w:del w:id="4972" w:author="AbbVie_HU_03" w:date="2025-05-14T15:27:00Z"/>
                <w:lang w:val="hu-HU"/>
              </w:rPr>
            </w:pPr>
            <w:del w:id="4973" w:author="AbbVie_HU_03" w:date="2025-05-14T15:27:00Z">
              <w:r w:rsidRPr="00183B5F">
                <w:rPr>
                  <w:lang w:val="hu-HU"/>
                </w:rPr>
                <w:delText>Gyakori</w:delText>
              </w:r>
            </w:del>
          </w:p>
          <w:p w14:paraId="2BFD9B21" w14:textId="6BA5B33E" w:rsidR="00AC5066" w:rsidRPr="00183B5F" w:rsidRDefault="00AC5066" w:rsidP="004062FE">
            <w:pPr>
              <w:pStyle w:val="EMEANormal"/>
              <w:widowControl w:val="0"/>
              <w:suppressAutoHyphens w:val="0"/>
              <w:rPr>
                <w:del w:id="4974" w:author="AbbVie_HU_03" w:date="2025-05-14T15:27:00Z"/>
                <w:lang w:val="hu-HU"/>
              </w:rPr>
            </w:pPr>
          </w:p>
        </w:tc>
        <w:tc>
          <w:tcPr>
            <w:tcW w:w="4451" w:type="dxa"/>
            <w:tcBorders>
              <w:bottom w:val="single" w:sz="4" w:space="0" w:color="auto"/>
            </w:tcBorders>
          </w:tcPr>
          <w:p w14:paraId="3B350373" w14:textId="2548034E" w:rsidR="00AC5066" w:rsidRPr="00183B5F" w:rsidRDefault="00943743" w:rsidP="004062FE">
            <w:pPr>
              <w:pStyle w:val="EMEANormal"/>
              <w:widowControl w:val="0"/>
              <w:suppressAutoHyphens w:val="0"/>
              <w:rPr>
                <w:del w:id="4975" w:author="AbbVie_HU_03" w:date="2025-05-14T15:27:00Z"/>
                <w:lang w:val="hu-HU"/>
              </w:rPr>
            </w:pPr>
            <w:del w:id="4976" w:author="AbbVie_HU_03" w:date="2025-05-14T15:27:00Z">
              <w:r w:rsidRPr="00183B5F">
                <w:rPr>
                  <w:lang w:val="hu-HU"/>
                </w:rPr>
                <w:delText xml:space="preserve">Asthma, </w:delText>
              </w:r>
            </w:del>
          </w:p>
          <w:p w14:paraId="7BD23109" w14:textId="439CF422" w:rsidR="00AC5066" w:rsidRPr="00183B5F" w:rsidRDefault="00943743" w:rsidP="004062FE">
            <w:pPr>
              <w:pStyle w:val="EMEANormal"/>
              <w:widowControl w:val="0"/>
              <w:suppressAutoHyphens w:val="0"/>
              <w:rPr>
                <w:del w:id="4977" w:author="AbbVie_HU_03" w:date="2025-05-14T15:27:00Z"/>
                <w:lang w:val="hu-HU"/>
              </w:rPr>
            </w:pPr>
            <w:del w:id="4978" w:author="AbbVie_HU_03" w:date="2025-05-14T15:27:00Z">
              <w:r w:rsidRPr="00183B5F">
                <w:rPr>
                  <w:lang w:val="hu-HU"/>
                </w:rPr>
                <w:delText>dyspnoe,</w:delText>
              </w:r>
            </w:del>
          </w:p>
          <w:p w14:paraId="49B01371" w14:textId="1C4C4E54" w:rsidR="00AC5066" w:rsidRPr="00183B5F" w:rsidRDefault="00943743" w:rsidP="004062FE">
            <w:pPr>
              <w:pStyle w:val="EMEANormal"/>
              <w:widowControl w:val="0"/>
              <w:suppressAutoHyphens w:val="0"/>
              <w:rPr>
                <w:del w:id="4979" w:author="AbbVie_HU_03" w:date="2025-05-14T15:27:00Z"/>
                <w:lang w:val="hu-HU"/>
              </w:rPr>
            </w:pPr>
            <w:del w:id="4980" w:author="AbbVie_HU_03" w:date="2025-05-14T15:27:00Z">
              <w:r w:rsidRPr="00183B5F">
                <w:rPr>
                  <w:lang w:val="hu-HU"/>
                </w:rPr>
                <w:delText>köhögés</w:delText>
              </w:r>
            </w:del>
          </w:p>
        </w:tc>
      </w:tr>
      <w:tr w:rsidR="00011D2F" w14:paraId="0B73B5A0" w14:textId="5B47D146" w:rsidTr="00202B95">
        <w:trPr>
          <w:cantSplit/>
          <w:del w:id="4981" w:author="AbbVie_HU_03" w:date="2025-05-14T15:27:00Z"/>
        </w:trPr>
        <w:tc>
          <w:tcPr>
            <w:tcW w:w="2503" w:type="dxa"/>
            <w:vMerge/>
            <w:tcBorders>
              <w:top w:val="single" w:sz="4" w:space="0" w:color="auto"/>
              <w:bottom w:val="nil"/>
            </w:tcBorders>
          </w:tcPr>
          <w:p w14:paraId="64F6E685" w14:textId="77A5B7AE" w:rsidR="00AC5066" w:rsidRPr="00183B5F" w:rsidRDefault="00AC5066" w:rsidP="004062FE">
            <w:pPr>
              <w:widowControl w:val="0"/>
              <w:suppressAutoHyphens w:val="0"/>
              <w:spacing w:line="240" w:lineRule="auto"/>
              <w:jc w:val="center"/>
              <w:rPr>
                <w:del w:id="4982" w:author="AbbVie_HU_03" w:date="2025-05-14T15:27:00Z"/>
                <w:b/>
              </w:rPr>
            </w:pPr>
          </w:p>
        </w:tc>
        <w:tc>
          <w:tcPr>
            <w:tcW w:w="2107" w:type="dxa"/>
            <w:tcBorders>
              <w:top w:val="single" w:sz="4" w:space="0" w:color="auto"/>
              <w:bottom w:val="single" w:sz="4" w:space="0" w:color="auto"/>
            </w:tcBorders>
          </w:tcPr>
          <w:p w14:paraId="6EF65A5A" w14:textId="13D7729B" w:rsidR="00AC5066" w:rsidRPr="00183B5F" w:rsidRDefault="00943743">
            <w:pPr>
              <w:pStyle w:val="EMEANormal"/>
              <w:widowControl w:val="0"/>
              <w:suppressAutoHyphens w:val="0"/>
              <w:rPr>
                <w:del w:id="4983" w:author="AbbVie_HU_03" w:date="2025-05-14T15:27:00Z"/>
                <w:lang w:val="hu-HU"/>
              </w:rPr>
            </w:pPr>
            <w:del w:id="4984" w:author="AbbVie_HU_03" w:date="2025-05-14T15:27:00Z">
              <w:r w:rsidRPr="00183B5F">
                <w:rPr>
                  <w:lang w:val="hu-HU"/>
                </w:rPr>
                <w:delText>Nem gyakori</w:delText>
              </w:r>
            </w:del>
          </w:p>
          <w:p w14:paraId="7BF51DF6" w14:textId="4B547215" w:rsidR="00AC5066" w:rsidRPr="00183B5F" w:rsidRDefault="00AC5066">
            <w:pPr>
              <w:pStyle w:val="EMEANormal"/>
              <w:widowControl w:val="0"/>
              <w:suppressAutoHyphens w:val="0"/>
              <w:rPr>
                <w:del w:id="4985" w:author="AbbVie_HU_03" w:date="2025-05-14T15:27:00Z"/>
                <w:lang w:val="hu-HU"/>
              </w:rPr>
            </w:pPr>
          </w:p>
          <w:p w14:paraId="058B5C88" w14:textId="01A97E4D" w:rsidR="00A67220" w:rsidRPr="00183B5F" w:rsidRDefault="00A67220">
            <w:pPr>
              <w:pStyle w:val="EMEANormal"/>
              <w:widowControl w:val="0"/>
              <w:suppressAutoHyphens w:val="0"/>
              <w:rPr>
                <w:del w:id="4986" w:author="AbbVie_HU_03" w:date="2025-05-14T15:27:00Z"/>
                <w:lang w:val="hu-HU"/>
              </w:rPr>
            </w:pPr>
          </w:p>
          <w:p w14:paraId="4E69921D" w14:textId="5E5F0E50" w:rsidR="00A67220" w:rsidRPr="00183B5F" w:rsidRDefault="00A67220">
            <w:pPr>
              <w:pStyle w:val="EMEANormal"/>
              <w:widowControl w:val="0"/>
              <w:suppressAutoHyphens w:val="0"/>
              <w:rPr>
                <w:del w:id="4987" w:author="AbbVie_HU_03" w:date="2025-05-14T15:27:00Z"/>
                <w:lang w:val="hu-HU"/>
              </w:rPr>
            </w:pPr>
          </w:p>
        </w:tc>
        <w:tc>
          <w:tcPr>
            <w:tcW w:w="4451" w:type="dxa"/>
            <w:tcBorders>
              <w:top w:val="single" w:sz="4" w:space="0" w:color="auto"/>
              <w:bottom w:val="single" w:sz="4" w:space="0" w:color="auto"/>
            </w:tcBorders>
          </w:tcPr>
          <w:p w14:paraId="43175207" w14:textId="7F5B8A3A" w:rsidR="00A67220" w:rsidRPr="00183B5F" w:rsidRDefault="00943743">
            <w:pPr>
              <w:pStyle w:val="EMEANormal"/>
              <w:widowControl w:val="0"/>
              <w:suppressAutoHyphens w:val="0"/>
              <w:rPr>
                <w:del w:id="4988" w:author="AbbVie_HU_03" w:date="2025-05-14T15:27:00Z"/>
                <w:szCs w:val="22"/>
                <w:lang w:val="hu-HU"/>
              </w:rPr>
            </w:pPr>
            <w:del w:id="4989" w:author="AbbVie_HU_03" w:date="2025-05-14T15:27:00Z">
              <w:r w:rsidRPr="00183B5F">
                <w:rPr>
                  <w:szCs w:val="22"/>
                  <w:lang w:val="hu-HU"/>
                </w:rPr>
                <w:delText>Tüdőembólia</w:delText>
              </w:r>
              <w:r w:rsidRPr="00183B5F">
                <w:rPr>
                  <w:szCs w:val="22"/>
                  <w:vertAlign w:val="superscript"/>
                  <w:lang w:val="hu-HU"/>
                </w:rPr>
                <w:delText>1)</w:delText>
              </w:r>
              <w:r w:rsidRPr="00183B5F">
                <w:rPr>
                  <w:szCs w:val="22"/>
                  <w:lang w:val="hu-HU"/>
                </w:rPr>
                <w:delText>,</w:delText>
              </w:r>
            </w:del>
          </w:p>
          <w:p w14:paraId="70B2BB2B" w14:textId="34D4AC9B" w:rsidR="00C17B6B" w:rsidRPr="00183B5F" w:rsidRDefault="00943743">
            <w:pPr>
              <w:pStyle w:val="EMEANormal"/>
              <w:widowControl w:val="0"/>
              <w:suppressAutoHyphens w:val="0"/>
              <w:rPr>
                <w:del w:id="4990" w:author="AbbVie_HU_03" w:date="2025-05-14T15:27:00Z"/>
                <w:szCs w:val="22"/>
                <w:lang w:val="hu-HU"/>
              </w:rPr>
            </w:pPr>
            <w:del w:id="4991" w:author="AbbVie_HU_03" w:date="2025-05-14T15:27:00Z">
              <w:r w:rsidRPr="00183B5F">
                <w:rPr>
                  <w:szCs w:val="22"/>
                  <w:lang w:val="hu-HU"/>
                </w:rPr>
                <w:delText xml:space="preserve">interstitialis tüdőbetegség, </w:delText>
              </w:r>
            </w:del>
          </w:p>
          <w:p w14:paraId="13C35EA7" w14:textId="256484BC" w:rsidR="00AC5066" w:rsidRPr="00183B5F" w:rsidRDefault="00943743">
            <w:pPr>
              <w:pStyle w:val="EMEANormal"/>
              <w:widowControl w:val="0"/>
              <w:suppressAutoHyphens w:val="0"/>
              <w:rPr>
                <w:del w:id="4992" w:author="AbbVie_HU_03" w:date="2025-05-14T15:27:00Z"/>
                <w:lang w:val="hu-HU"/>
              </w:rPr>
            </w:pPr>
            <w:del w:id="4993" w:author="AbbVie_HU_03" w:date="2025-05-14T15:27:00Z">
              <w:r w:rsidRPr="00183B5F">
                <w:rPr>
                  <w:lang w:val="hu-HU"/>
                </w:rPr>
                <w:delText>krónikus obstruktív tüdőbetegség,</w:delText>
              </w:r>
            </w:del>
          </w:p>
          <w:p w14:paraId="4912F439" w14:textId="67772FC9" w:rsidR="00AC5066" w:rsidRPr="00183B5F" w:rsidRDefault="00943743">
            <w:pPr>
              <w:pStyle w:val="EMEANormal"/>
              <w:widowControl w:val="0"/>
              <w:suppressAutoHyphens w:val="0"/>
              <w:rPr>
                <w:del w:id="4994" w:author="AbbVie_HU_03" w:date="2025-05-14T15:27:00Z"/>
                <w:lang w:val="hu-HU"/>
              </w:rPr>
            </w:pPr>
            <w:del w:id="4995" w:author="AbbVie_HU_03" w:date="2025-05-14T15:27:00Z">
              <w:r w:rsidRPr="00183B5F">
                <w:rPr>
                  <w:lang w:val="hu-HU"/>
                </w:rPr>
                <w:delText>pneumonitis</w:delText>
              </w:r>
              <w:r w:rsidR="00A67220" w:rsidRPr="00183B5F">
                <w:rPr>
                  <w:lang w:val="hu-HU"/>
                </w:rPr>
                <w:delText>,</w:delText>
              </w:r>
            </w:del>
          </w:p>
          <w:p w14:paraId="77301A73" w14:textId="42F8BBC2" w:rsidR="00A67220" w:rsidRPr="00183B5F" w:rsidRDefault="00943743">
            <w:pPr>
              <w:pStyle w:val="EMEANormal"/>
              <w:widowControl w:val="0"/>
              <w:suppressAutoHyphens w:val="0"/>
              <w:rPr>
                <w:del w:id="4996" w:author="AbbVie_HU_03" w:date="2025-05-14T15:27:00Z"/>
                <w:lang w:val="hu-HU"/>
              </w:rPr>
            </w:pPr>
            <w:del w:id="4997" w:author="AbbVie_HU_03" w:date="2025-05-14T15:27:00Z">
              <w:r w:rsidRPr="00183B5F">
                <w:rPr>
                  <w:szCs w:val="22"/>
                  <w:lang w:val="hu-HU"/>
                </w:rPr>
                <w:delText>pleuralis folyadékgyülem</w:delText>
              </w:r>
              <w:r w:rsidRPr="00183B5F">
                <w:rPr>
                  <w:szCs w:val="22"/>
                  <w:vertAlign w:val="superscript"/>
                  <w:lang w:val="hu-HU"/>
                </w:rPr>
                <w:delText>1)</w:delText>
              </w:r>
            </w:del>
          </w:p>
        </w:tc>
      </w:tr>
      <w:tr w:rsidR="00011D2F" w14:paraId="71077574" w14:textId="616F7DB9" w:rsidTr="00202B95">
        <w:trPr>
          <w:cantSplit/>
          <w:del w:id="4998" w:author="AbbVie_HU_03" w:date="2025-05-14T15:27:00Z"/>
        </w:trPr>
        <w:tc>
          <w:tcPr>
            <w:tcW w:w="2503" w:type="dxa"/>
            <w:tcBorders>
              <w:top w:val="nil"/>
              <w:bottom w:val="single" w:sz="4" w:space="0" w:color="auto"/>
            </w:tcBorders>
          </w:tcPr>
          <w:p w14:paraId="710B7ABD" w14:textId="6D34556D" w:rsidR="00C43DDD" w:rsidRPr="00183B5F" w:rsidRDefault="00C43DDD" w:rsidP="004062FE">
            <w:pPr>
              <w:widowControl w:val="0"/>
              <w:suppressAutoHyphens w:val="0"/>
              <w:spacing w:line="240" w:lineRule="auto"/>
              <w:jc w:val="center"/>
              <w:rPr>
                <w:del w:id="4999" w:author="AbbVie_HU_03" w:date="2025-05-14T15:27:00Z"/>
                <w:b/>
              </w:rPr>
            </w:pPr>
          </w:p>
        </w:tc>
        <w:tc>
          <w:tcPr>
            <w:tcW w:w="2107" w:type="dxa"/>
            <w:tcBorders>
              <w:top w:val="single" w:sz="4" w:space="0" w:color="auto"/>
              <w:bottom w:val="single" w:sz="4" w:space="0" w:color="auto"/>
            </w:tcBorders>
          </w:tcPr>
          <w:p w14:paraId="607086AA" w14:textId="17BCD117" w:rsidR="00C43DDD" w:rsidRPr="00183B5F" w:rsidRDefault="00943743">
            <w:pPr>
              <w:pStyle w:val="EMEANormal"/>
              <w:widowControl w:val="0"/>
              <w:suppressAutoHyphens w:val="0"/>
              <w:rPr>
                <w:del w:id="5000" w:author="AbbVie_HU_03" w:date="2025-05-14T15:27:00Z"/>
                <w:lang w:val="hu-HU"/>
              </w:rPr>
            </w:pPr>
            <w:del w:id="5001" w:author="AbbVie_HU_03" w:date="2025-05-14T15:27:00Z">
              <w:r w:rsidRPr="00183B5F">
                <w:rPr>
                  <w:lang w:val="hu-HU"/>
                </w:rPr>
                <w:delText>Ritka</w:delText>
              </w:r>
            </w:del>
          </w:p>
        </w:tc>
        <w:tc>
          <w:tcPr>
            <w:tcW w:w="4451" w:type="dxa"/>
            <w:tcBorders>
              <w:top w:val="single" w:sz="4" w:space="0" w:color="auto"/>
              <w:bottom w:val="single" w:sz="4" w:space="0" w:color="auto"/>
            </w:tcBorders>
          </w:tcPr>
          <w:p w14:paraId="57EB1813" w14:textId="0B8DFEAA" w:rsidR="00C43DDD" w:rsidRPr="00183B5F" w:rsidRDefault="00943743">
            <w:pPr>
              <w:pStyle w:val="EMEANormal"/>
              <w:widowControl w:val="0"/>
              <w:suppressAutoHyphens w:val="0"/>
              <w:rPr>
                <w:del w:id="5002" w:author="AbbVie_HU_03" w:date="2025-05-14T15:27:00Z"/>
                <w:szCs w:val="22"/>
                <w:lang w:val="hu-HU"/>
              </w:rPr>
            </w:pPr>
            <w:del w:id="5003" w:author="AbbVie_HU_03" w:date="2025-05-14T15:27:00Z">
              <w:r w:rsidRPr="00183B5F">
                <w:rPr>
                  <w:lang w:val="hu-HU"/>
                </w:rPr>
                <w:delText>Tüdőfibrosis</w:delText>
              </w:r>
              <w:r w:rsidRPr="00183B5F">
                <w:rPr>
                  <w:vertAlign w:val="superscript"/>
                  <w:lang w:val="hu-HU"/>
                </w:rPr>
                <w:delText>1)</w:delText>
              </w:r>
            </w:del>
          </w:p>
        </w:tc>
      </w:tr>
      <w:tr w:rsidR="00011D2F" w14:paraId="61EE3E67" w14:textId="5D70464F" w:rsidTr="00202B95">
        <w:trPr>
          <w:cantSplit/>
          <w:del w:id="5004" w:author="AbbVie_HU_03" w:date="2025-05-14T15:27:00Z"/>
        </w:trPr>
        <w:tc>
          <w:tcPr>
            <w:tcW w:w="2503" w:type="dxa"/>
            <w:vMerge w:val="restart"/>
            <w:tcBorders>
              <w:top w:val="single" w:sz="4" w:space="0" w:color="auto"/>
            </w:tcBorders>
          </w:tcPr>
          <w:p w14:paraId="4631DA34" w14:textId="12AF3BAE" w:rsidR="00AC5066" w:rsidRPr="00183B5F" w:rsidRDefault="00943743" w:rsidP="004062FE">
            <w:pPr>
              <w:pStyle w:val="EMEANormal"/>
              <w:widowControl w:val="0"/>
              <w:suppressAutoHyphens w:val="0"/>
              <w:rPr>
                <w:del w:id="5005" w:author="AbbVie_HU_03" w:date="2025-05-14T15:27:00Z"/>
                <w:lang w:val="hu-HU"/>
              </w:rPr>
            </w:pPr>
            <w:del w:id="5006" w:author="AbbVie_HU_03" w:date="2025-05-14T15:27:00Z">
              <w:r w:rsidRPr="00183B5F">
                <w:rPr>
                  <w:lang w:val="hu-HU"/>
                </w:rPr>
                <w:delText>Emésztőrendszeri betegségek és tünetek</w:delText>
              </w:r>
            </w:del>
          </w:p>
        </w:tc>
        <w:tc>
          <w:tcPr>
            <w:tcW w:w="2107" w:type="dxa"/>
            <w:tcBorders>
              <w:top w:val="single" w:sz="4" w:space="0" w:color="auto"/>
              <w:bottom w:val="single" w:sz="4" w:space="0" w:color="auto"/>
            </w:tcBorders>
          </w:tcPr>
          <w:p w14:paraId="018CC87F" w14:textId="49244E57" w:rsidR="00AC5066" w:rsidRPr="00183B5F" w:rsidRDefault="00943743" w:rsidP="004062FE">
            <w:pPr>
              <w:pStyle w:val="EMEANormal"/>
              <w:widowControl w:val="0"/>
              <w:suppressAutoHyphens w:val="0"/>
              <w:rPr>
                <w:del w:id="5007" w:author="AbbVie_HU_03" w:date="2025-05-14T15:27:00Z"/>
                <w:lang w:val="hu-HU"/>
              </w:rPr>
            </w:pPr>
            <w:del w:id="5008" w:author="AbbVie_HU_03" w:date="2025-05-14T15:27:00Z">
              <w:r w:rsidRPr="00183B5F">
                <w:rPr>
                  <w:lang w:val="hu-HU"/>
                </w:rPr>
                <w:delText>Nagyon gyakori</w:delText>
              </w:r>
            </w:del>
          </w:p>
          <w:p w14:paraId="10F46E2E" w14:textId="10DE4A75" w:rsidR="00AC5066" w:rsidRPr="00183B5F" w:rsidRDefault="00AC5066" w:rsidP="004062FE">
            <w:pPr>
              <w:pStyle w:val="EMEANormal"/>
              <w:widowControl w:val="0"/>
              <w:suppressAutoHyphens w:val="0"/>
              <w:rPr>
                <w:del w:id="5009" w:author="AbbVie_HU_03" w:date="2025-05-14T15:27:00Z"/>
                <w:lang w:val="hu-HU"/>
              </w:rPr>
            </w:pPr>
          </w:p>
        </w:tc>
        <w:tc>
          <w:tcPr>
            <w:tcW w:w="4451" w:type="dxa"/>
            <w:tcBorders>
              <w:top w:val="single" w:sz="4" w:space="0" w:color="auto"/>
              <w:bottom w:val="single" w:sz="4" w:space="0" w:color="auto"/>
            </w:tcBorders>
          </w:tcPr>
          <w:p w14:paraId="0C339D7A" w14:textId="0336B691" w:rsidR="00AC5066" w:rsidRPr="00183B5F" w:rsidRDefault="00943743" w:rsidP="004062FE">
            <w:pPr>
              <w:pStyle w:val="EMEANormal"/>
              <w:widowControl w:val="0"/>
              <w:suppressAutoHyphens w:val="0"/>
              <w:rPr>
                <w:del w:id="5010" w:author="AbbVie_HU_03" w:date="2025-05-14T15:27:00Z"/>
                <w:lang w:val="hu-HU"/>
              </w:rPr>
            </w:pPr>
            <w:del w:id="5011" w:author="AbbVie_HU_03" w:date="2025-05-14T15:27:00Z">
              <w:r w:rsidRPr="00183B5F">
                <w:rPr>
                  <w:lang w:val="hu-HU"/>
                </w:rPr>
                <w:delText xml:space="preserve">Hasi fájdalom, </w:delText>
              </w:r>
            </w:del>
          </w:p>
          <w:p w14:paraId="332D0A3B" w14:textId="46BD0B88" w:rsidR="00AC5066" w:rsidRPr="00183B5F" w:rsidRDefault="00943743" w:rsidP="004062FE">
            <w:pPr>
              <w:pStyle w:val="EMEANormal"/>
              <w:widowControl w:val="0"/>
              <w:suppressAutoHyphens w:val="0"/>
              <w:rPr>
                <w:del w:id="5012" w:author="AbbVie_HU_03" w:date="2025-05-14T15:27:00Z"/>
                <w:lang w:val="hu-HU"/>
              </w:rPr>
            </w:pPr>
            <w:del w:id="5013" w:author="AbbVie_HU_03" w:date="2025-05-14T15:27:00Z">
              <w:r w:rsidRPr="00183B5F">
                <w:rPr>
                  <w:lang w:val="hu-HU"/>
                </w:rPr>
                <w:delText>hányinger és hányás</w:delText>
              </w:r>
            </w:del>
          </w:p>
        </w:tc>
      </w:tr>
      <w:tr w:rsidR="00011D2F" w14:paraId="49EBD4AD" w14:textId="48A631E9" w:rsidTr="00202B95">
        <w:trPr>
          <w:cantSplit/>
          <w:del w:id="5014" w:author="AbbVie_HU_03" w:date="2025-05-14T15:27:00Z"/>
        </w:trPr>
        <w:tc>
          <w:tcPr>
            <w:tcW w:w="2503" w:type="dxa"/>
            <w:vMerge/>
          </w:tcPr>
          <w:p w14:paraId="0BDCEA1F" w14:textId="37461FBD" w:rsidR="00AC5066" w:rsidRPr="00183B5F" w:rsidRDefault="00AC5066" w:rsidP="004062FE">
            <w:pPr>
              <w:widowControl w:val="0"/>
              <w:suppressAutoHyphens w:val="0"/>
              <w:spacing w:line="240" w:lineRule="auto"/>
              <w:jc w:val="center"/>
              <w:rPr>
                <w:del w:id="5015" w:author="AbbVie_HU_03" w:date="2025-05-14T15:27:00Z"/>
                <w:b/>
              </w:rPr>
            </w:pPr>
          </w:p>
        </w:tc>
        <w:tc>
          <w:tcPr>
            <w:tcW w:w="2107" w:type="dxa"/>
            <w:tcBorders>
              <w:top w:val="single" w:sz="4" w:space="0" w:color="auto"/>
              <w:bottom w:val="single" w:sz="4" w:space="0" w:color="auto"/>
            </w:tcBorders>
          </w:tcPr>
          <w:p w14:paraId="350E6A40" w14:textId="5FCB0779" w:rsidR="00AC5066" w:rsidRPr="00183B5F" w:rsidRDefault="00943743">
            <w:pPr>
              <w:pStyle w:val="EMEANormal"/>
              <w:widowControl w:val="0"/>
              <w:suppressAutoHyphens w:val="0"/>
              <w:rPr>
                <w:del w:id="5016" w:author="AbbVie_HU_03" w:date="2025-05-14T15:27:00Z"/>
                <w:lang w:val="hu-HU"/>
              </w:rPr>
            </w:pPr>
            <w:del w:id="5017" w:author="AbbVie_HU_03" w:date="2025-05-14T15:27:00Z">
              <w:r w:rsidRPr="00183B5F">
                <w:rPr>
                  <w:lang w:val="hu-HU"/>
                </w:rPr>
                <w:delText>Gyakori</w:delText>
              </w:r>
            </w:del>
          </w:p>
          <w:p w14:paraId="050EDB91" w14:textId="0AEAA78B" w:rsidR="00AC5066" w:rsidRPr="00183B5F" w:rsidRDefault="00AC5066">
            <w:pPr>
              <w:pStyle w:val="EMEANormal"/>
              <w:widowControl w:val="0"/>
              <w:suppressAutoHyphens w:val="0"/>
              <w:rPr>
                <w:del w:id="5018" w:author="AbbVie_HU_03" w:date="2025-05-14T15:27:00Z"/>
                <w:lang w:val="hu-HU"/>
              </w:rPr>
            </w:pPr>
          </w:p>
        </w:tc>
        <w:tc>
          <w:tcPr>
            <w:tcW w:w="4451" w:type="dxa"/>
            <w:tcBorders>
              <w:top w:val="single" w:sz="4" w:space="0" w:color="auto"/>
              <w:bottom w:val="single" w:sz="4" w:space="0" w:color="auto"/>
            </w:tcBorders>
          </w:tcPr>
          <w:p w14:paraId="2609F3A3" w14:textId="59E3C144" w:rsidR="00AC5066" w:rsidRPr="00183B5F" w:rsidRDefault="00943743">
            <w:pPr>
              <w:pStyle w:val="EMEANormal"/>
              <w:widowControl w:val="0"/>
              <w:suppressAutoHyphens w:val="0"/>
              <w:rPr>
                <w:del w:id="5019" w:author="AbbVie_HU_03" w:date="2025-05-14T15:27:00Z"/>
                <w:lang w:val="hu-HU"/>
              </w:rPr>
            </w:pPr>
            <w:del w:id="5020" w:author="AbbVie_HU_03" w:date="2025-05-14T15:27:00Z">
              <w:r w:rsidRPr="00183B5F">
                <w:rPr>
                  <w:lang w:val="hu-HU"/>
                </w:rPr>
                <w:delText xml:space="preserve">Gastrointestinalis vérzés, </w:delText>
              </w:r>
            </w:del>
          </w:p>
          <w:p w14:paraId="66D48343" w14:textId="16181380" w:rsidR="00AC5066" w:rsidRPr="00183B5F" w:rsidRDefault="00943743">
            <w:pPr>
              <w:pStyle w:val="EMEANormal"/>
              <w:widowControl w:val="0"/>
              <w:suppressAutoHyphens w:val="0"/>
              <w:rPr>
                <w:del w:id="5021" w:author="AbbVie_HU_03" w:date="2025-05-14T15:27:00Z"/>
                <w:lang w:val="hu-HU"/>
              </w:rPr>
            </w:pPr>
            <w:del w:id="5022" w:author="AbbVie_HU_03" w:date="2025-05-14T15:27:00Z">
              <w:r w:rsidRPr="00183B5F">
                <w:rPr>
                  <w:lang w:val="hu-HU"/>
                </w:rPr>
                <w:delText xml:space="preserve">dyspepsia, </w:delText>
              </w:r>
            </w:del>
          </w:p>
          <w:p w14:paraId="01BC9363" w14:textId="7CA7F5A9" w:rsidR="00AC5066" w:rsidRPr="00183B5F" w:rsidRDefault="00943743">
            <w:pPr>
              <w:pStyle w:val="EMEANormal"/>
              <w:widowControl w:val="0"/>
              <w:suppressAutoHyphens w:val="0"/>
              <w:rPr>
                <w:del w:id="5023" w:author="AbbVie_HU_03" w:date="2025-05-14T15:27:00Z"/>
                <w:lang w:val="hu-HU"/>
              </w:rPr>
            </w:pPr>
            <w:del w:id="5024" w:author="AbbVie_HU_03" w:date="2025-05-14T15:27:00Z">
              <w:r w:rsidRPr="00183B5F">
                <w:rPr>
                  <w:lang w:val="hu-HU"/>
                </w:rPr>
                <w:delText>gastrooesophagealis reflux betegség,</w:delText>
              </w:r>
            </w:del>
          </w:p>
          <w:p w14:paraId="3A6EDB9C" w14:textId="54C5F072" w:rsidR="00AC5066" w:rsidRPr="00183B5F" w:rsidRDefault="00943743">
            <w:pPr>
              <w:pStyle w:val="EMEANormal"/>
              <w:widowControl w:val="0"/>
              <w:suppressAutoHyphens w:val="0"/>
              <w:rPr>
                <w:del w:id="5025" w:author="AbbVie_HU_03" w:date="2025-05-14T15:27:00Z"/>
                <w:lang w:val="hu-HU"/>
              </w:rPr>
            </w:pPr>
            <w:del w:id="5026" w:author="AbbVie_HU_03" w:date="2025-05-14T15:27:00Z">
              <w:r w:rsidRPr="00183B5F">
                <w:rPr>
                  <w:lang w:val="hu-HU"/>
                </w:rPr>
                <w:delText>sicca-szindróma</w:delText>
              </w:r>
            </w:del>
          </w:p>
        </w:tc>
      </w:tr>
      <w:tr w:rsidR="00011D2F" w14:paraId="432A69FD" w14:textId="2ED59020" w:rsidTr="00202B95">
        <w:trPr>
          <w:cantSplit/>
          <w:del w:id="5027" w:author="AbbVie_HU_03" w:date="2025-05-14T15:27:00Z"/>
        </w:trPr>
        <w:tc>
          <w:tcPr>
            <w:tcW w:w="2503" w:type="dxa"/>
            <w:vMerge/>
            <w:tcBorders>
              <w:bottom w:val="nil"/>
            </w:tcBorders>
          </w:tcPr>
          <w:p w14:paraId="774ADBFE" w14:textId="2AD59216" w:rsidR="00AC5066" w:rsidRPr="00183B5F" w:rsidRDefault="00AC5066" w:rsidP="004062FE">
            <w:pPr>
              <w:widowControl w:val="0"/>
              <w:suppressAutoHyphens w:val="0"/>
              <w:spacing w:line="240" w:lineRule="auto"/>
              <w:jc w:val="center"/>
              <w:rPr>
                <w:del w:id="5028" w:author="AbbVie_HU_03" w:date="2025-05-14T15:27:00Z"/>
                <w:b/>
              </w:rPr>
            </w:pPr>
          </w:p>
        </w:tc>
        <w:tc>
          <w:tcPr>
            <w:tcW w:w="2107" w:type="dxa"/>
            <w:tcBorders>
              <w:top w:val="single" w:sz="4" w:space="0" w:color="auto"/>
              <w:bottom w:val="single" w:sz="4" w:space="0" w:color="auto"/>
            </w:tcBorders>
          </w:tcPr>
          <w:p w14:paraId="0DE695BD" w14:textId="0DA3A25D" w:rsidR="00AC5066" w:rsidRPr="00183B5F" w:rsidRDefault="00943743">
            <w:pPr>
              <w:pStyle w:val="EMEANormal"/>
              <w:widowControl w:val="0"/>
              <w:suppressAutoHyphens w:val="0"/>
              <w:rPr>
                <w:del w:id="5029" w:author="AbbVie_HU_03" w:date="2025-05-14T15:27:00Z"/>
                <w:lang w:val="hu-HU"/>
              </w:rPr>
            </w:pPr>
            <w:del w:id="5030" w:author="AbbVie_HU_03" w:date="2025-05-14T15:27:00Z">
              <w:r w:rsidRPr="00183B5F">
                <w:rPr>
                  <w:lang w:val="hu-HU"/>
                </w:rPr>
                <w:delText>Nem gyakori</w:delText>
              </w:r>
            </w:del>
          </w:p>
          <w:p w14:paraId="620B2DE1" w14:textId="599874A5" w:rsidR="00AC5066" w:rsidRPr="00183B5F" w:rsidRDefault="00AC5066">
            <w:pPr>
              <w:pStyle w:val="EMEANormal"/>
              <w:widowControl w:val="0"/>
              <w:suppressAutoHyphens w:val="0"/>
              <w:rPr>
                <w:del w:id="5031" w:author="AbbVie_HU_03" w:date="2025-05-14T15:27:00Z"/>
                <w:lang w:val="hu-HU"/>
              </w:rPr>
            </w:pPr>
          </w:p>
          <w:p w14:paraId="61EBEFBF" w14:textId="48BFB3E2" w:rsidR="00530B55" w:rsidRPr="00183B5F" w:rsidRDefault="00530B55">
            <w:pPr>
              <w:pStyle w:val="EMEANormal"/>
              <w:widowControl w:val="0"/>
              <w:suppressAutoHyphens w:val="0"/>
              <w:rPr>
                <w:del w:id="5032" w:author="AbbVie_HU_03" w:date="2025-05-14T15:27:00Z"/>
                <w:lang w:val="hu-HU"/>
              </w:rPr>
            </w:pPr>
          </w:p>
        </w:tc>
        <w:tc>
          <w:tcPr>
            <w:tcW w:w="4451" w:type="dxa"/>
            <w:tcBorders>
              <w:top w:val="single" w:sz="4" w:space="0" w:color="auto"/>
              <w:bottom w:val="single" w:sz="4" w:space="0" w:color="auto"/>
            </w:tcBorders>
          </w:tcPr>
          <w:p w14:paraId="33595884" w14:textId="1EF4FE98" w:rsidR="00AC5066" w:rsidRPr="00183B5F" w:rsidRDefault="00943743">
            <w:pPr>
              <w:pStyle w:val="EMEANormal"/>
              <w:widowControl w:val="0"/>
              <w:suppressAutoHyphens w:val="0"/>
              <w:rPr>
                <w:del w:id="5033" w:author="AbbVie_HU_03" w:date="2025-05-14T15:27:00Z"/>
                <w:lang w:val="hu-HU"/>
              </w:rPr>
            </w:pPr>
            <w:del w:id="5034" w:author="AbbVie_HU_03" w:date="2025-05-14T15:27:00Z">
              <w:r w:rsidRPr="00183B5F">
                <w:rPr>
                  <w:lang w:val="hu-HU"/>
                </w:rPr>
                <w:delText xml:space="preserve">Pancreatitis, </w:delText>
              </w:r>
            </w:del>
          </w:p>
          <w:p w14:paraId="05A58989" w14:textId="6C21F1A9" w:rsidR="00AC5066" w:rsidRPr="00183B5F" w:rsidRDefault="00943743">
            <w:pPr>
              <w:pStyle w:val="EMEANormal"/>
              <w:widowControl w:val="0"/>
              <w:suppressAutoHyphens w:val="0"/>
              <w:rPr>
                <w:del w:id="5035" w:author="AbbVie_HU_03" w:date="2025-05-14T15:27:00Z"/>
                <w:lang w:val="hu-HU"/>
              </w:rPr>
            </w:pPr>
            <w:del w:id="5036" w:author="AbbVie_HU_03" w:date="2025-05-14T15:27:00Z">
              <w:r w:rsidRPr="00183B5F">
                <w:rPr>
                  <w:lang w:val="hu-HU"/>
                </w:rPr>
                <w:delText>dysphagia</w:delText>
              </w:r>
            </w:del>
          </w:p>
          <w:p w14:paraId="3A9A0E7B" w14:textId="69DBC305" w:rsidR="00530B55" w:rsidRPr="00183B5F" w:rsidRDefault="00943743">
            <w:pPr>
              <w:pStyle w:val="EMEANormal"/>
              <w:widowControl w:val="0"/>
              <w:suppressAutoHyphens w:val="0"/>
              <w:rPr>
                <w:del w:id="5037" w:author="AbbVie_HU_03" w:date="2025-05-14T15:27:00Z"/>
                <w:lang w:val="hu-HU"/>
              </w:rPr>
            </w:pPr>
            <w:del w:id="5038" w:author="AbbVie_HU_03" w:date="2025-05-14T15:27:00Z">
              <w:r w:rsidRPr="00183B5F">
                <w:rPr>
                  <w:lang w:val="hu-HU"/>
                </w:rPr>
                <w:delText>arc-oedema</w:delText>
              </w:r>
            </w:del>
          </w:p>
        </w:tc>
      </w:tr>
      <w:tr w:rsidR="00011D2F" w14:paraId="1BD41B8E" w14:textId="70EDF6F6" w:rsidTr="00202B95">
        <w:trPr>
          <w:cantSplit/>
          <w:del w:id="5039" w:author="AbbVie_HU_03" w:date="2025-05-14T15:27:00Z"/>
        </w:trPr>
        <w:tc>
          <w:tcPr>
            <w:tcW w:w="2503" w:type="dxa"/>
            <w:tcBorders>
              <w:top w:val="nil"/>
            </w:tcBorders>
          </w:tcPr>
          <w:p w14:paraId="4D30D890" w14:textId="5206F863" w:rsidR="00C43DDD" w:rsidRPr="00183B5F" w:rsidRDefault="00C43DDD" w:rsidP="004062FE">
            <w:pPr>
              <w:widowControl w:val="0"/>
              <w:suppressAutoHyphens w:val="0"/>
              <w:spacing w:line="240" w:lineRule="auto"/>
              <w:jc w:val="center"/>
              <w:rPr>
                <w:del w:id="5040" w:author="AbbVie_HU_03" w:date="2025-05-14T15:27:00Z"/>
                <w:b/>
              </w:rPr>
            </w:pPr>
          </w:p>
        </w:tc>
        <w:tc>
          <w:tcPr>
            <w:tcW w:w="2107" w:type="dxa"/>
            <w:tcBorders>
              <w:top w:val="single" w:sz="4" w:space="0" w:color="auto"/>
              <w:bottom w:val="single" w:sz="4" w:space="0" w:color="auto"/>
            </w:tcBorders>
          </w:tcPr>
          <w:p w14:paraId="65F0FB5B" w14:textId="2407440C" w:rsidR="00C43DDD" w:rsidRPr="00183B5F" w:rsidRDefault="00943743">
            <w:pPr>
              <w:pStyle w:val="EMEANormal"/>
              <w:widowControl w:val="0"/>
              <w:suppressAutoHyphens w:val="0"/>
              <w:rPr>
                <w:del w:id="5041" w:author="AbbVie_HU_03" w:date="2025-05-14T15:27:00Z"/>
                <w:lang w:val="hu-HU"/>
              </w:rPr>
            </w:pPr>
            <w:del w:id="5042" w:author="AbbVie_HU_03" w:date="2025-05-14T15:27:00Z">
              <w:r w:rsidRPr="00183B5F">
                <w:rPr>
                  <w:szCs w:val="22"/>
                  <w:lang w:val="hu-HU"/>
                </w:rPr>
                <w:delText>Ritka</w:delText>
              </w:r>
            </w:del>
          </w:p>
        </w:tc>
        <w:tc>
          <w:tcPr>
            <w:tcW w:w="4451" w:type="dxa"/>
            <w:tcBorders>
              <w:top w:val="single" w:sz="4" w:space="0" w:color="auto"/>
              <w:bottom w:val="single" w:sz="4" w:space="0" w:color="auto"/>
            </w:tcBorders>
          </w:tcPr>
          <w:p w14:paraId="68E7B33D" w14:textId="7F86C985" w:rsidR="00C43DDD" w:rsidRPr="00183B5F" w:rsidRDefault="00943743">
            <w:pPr>
              <w:pStyle w:val="EMEANormal"/>
              <w:widowControl w:val="0"/>
              <w:suppressAutoHyphens w:val="0"/>
              <w:rPr>
                <w:del w:id="5043" w:author="AbbVie_HU_03" w:date="2025-05-14T15:27:00Z"/>
                <w:lang w:val="hu-HU"/>
              </w:rPr>
            </w:pPr>
            <w:del w:id="5044" w:author="AbbVie_HU_03" w:date="2025-05-14T15:27:00Z">
              <w:r w:rsidRPr="00183B5F">
                <w:rPr>
                  <w:szCs w:val="22"/>
                  <w:lang w:val="hu-HU"/>
                </w:rPr>
                <w:delText>Bélperforatio</w:delText>
              </w:r>
              <w:r w:rsidRPr="00183B5F">
                <w:rPr>
                  <w:szCs w:val="22"/>
                  <w:vertAlign w:val="superscript"/>
                  <w:lang w:val="hu-HU"/>
                </w:rPr>
                <w:delText>1)</w:delText>
              </w:r>
            </w:del>
          </w:p>
        </w:tc>
      </w:tr>
      <w:tr w:rsidR="00011D2F" w14:paraId="77FD73BC" w14:textId="3DBCD350" w:rsidTr="00202B95">
        <w:trPr>
          <w:cantSplit/>
          <w:del w:id="5045" w:author="AbbVie_HU_03" w:date="2025-05-14T15:27:00Z"/>
        </w:trPr>
        <w:tc>
          <w:tcPr>
            <w:tcW w:w="2503" w:type="dxa"/>
            <w:vMerge w:val="restart"/>
          </w:tcPr>
          <w:p w14:paraId="3331DBBF" w14:textId="69B1985C" w:rsidR="00AC5066" w:rsidRPr="00183B5F" w:rsidRDefault="00943743" w:rsidP="004062FE">
            <w:pPr>
              <w:pStyle w:val="EMEANormal"/>
              <w:widowControl w:val="0"/>
              <w:suppressAutoHyphens w:val="0"/>
              <w:rPr>
                <w:del w:id="5046" w:author="AbbVie_HU_03" w:date="2025-05-14T15:27:00Z"/>
                <w:szCs w:val="22"/>
                <w:lang w:val="hu-HU"/>
              </w:rPr>
            </w:pPr>
            <w:del w:id="5047" w:author="AbbVie_HU_03" w:date="2025-05-14T15:27:00Z">
              <w:r w:rsidRPr="00183B5F">
                <w:rPr>
                  <w:szCs w:val="22"/>
                  <w:lang w:val="hu-HU"/>
                </w:rPr>
                <w:delText>Máj- és epebetegségek, illetve tünetek*</w:delText>
              </w:r>
            </w:del>
          </w:p>
        </w:tc>
        <w:tc>
          <w:tcPr>
            <w:tcW w:w="2107" w:type="dxa"/>
            <w:tcBorders>
              <w:bottom w:val="single" w:sz="4" w:space="0" w:color="auto"/>
            </w:tcBorders>
          </w:tcPr>
          <w:p w14:paraId="1AC7FAF7" w14:textId="6C75AA4A" w:rsidR="00AC5066" w:rsidRPr="00183B5F" w:rsidRDefault="00943743" w:rsidP="004062FE">
            <w:pPr>
              <w:pStyle w:val="EMEANormal"/>
              <w:widowControl w:val="0"/>
              <w:suppressAutoHyphens w:val="0"/>
              <w:rPr>
                <w:del w:id="5048" w:author="AbbVie_HU_03" w:date="2025-05-14T15:27:00Z"/>
                <w:lang w:val="hu-HU"/>
              </w:rPr>
            </w:pPr>
            <w:del w:id="5049" w:author="AbbVie_HU_03" w:date="2025-05-14T15:27:00Z">
              <w:r w:rsidRPr="00183B5F">
                <w:rPr>
                  <w:lang w:val="hu-HU"/>
                </w:rPr>
                <w:delText>Nagyon gyakori</w:delText>
              </w:r>
            </w:del>
          </w:p>
          <w:p w14:paraId="04F3A1A3" w14:textId="7912D1D0" w:rsidR="00AC5066" w:rsidRPr="00183B5F" w:rsidRDefault="00AC5066" w:rsidP="004062FE">
            <w:pPr>
              <w:pStyle w:val="EMEANormal"/>
              <w:widowControl w:val="0"/>
              <w:suppressAutoHyphens w:val="0"/>
              <w:rPr>
                <w:del w:id="5050" w:author="AbbVie_HU_03" w:date="2025-05-14T15:27:00Z"/>
                <w:lang w:val="hu-HU"/>
              </w:rPr>
            </w:pPr>
          </w:p>
        </w:tc>
        <w:tc>
          <w:tcPr>
            <w:tcW w:w="4451" w:type="dxa"/>
            <w:tcBorders>
              <w:bottom w:val="single" w:sz="4" w:space="0" w:color="auto"/>
            </w:tcBorders>
          </w:tcPr>
          <w:p w14:paraId="118C9DC5" w14:textId="6CA7DD91" w:rsidR="00AC5066" w:rsidRPr="00183B5F" w:rsidRDefault="00943743" w:rsidP="004062FE">
            <w:pPr>
              <w:pStyle w:val="EMEANormal"/>
              <w:widowControl w:val="0"/>
              <w:suppressAutoHyphens w:val="0"/>
              <w:rPr>
                <w:del w:id="5051" w:author="AbbVie_HU_03" w:date="2025-05-14T15:27:00Z"/>
                <w:lang w:val="hu-HU"/>
              </w:rPr>
            </w:pPr>
            <w:del w:id="5052" w:author="AbbVie_HU_03" w:date="2025-05-14T15:27:00Z">
              <w:r w:rsidRPr="00183B5F">
                <w:rPr>
                  <w:lang w:val="hu-HU"/>
                </w:rPr>
                <w:delText xml:space="preserve">Emelkedett májenzimszintek </w:delText>
              </w:r>
            </w:del>
          </w:p>
          <w:p w14:paraId="5A8D40D8" w14:textId="7EEBF903" w:rsidR="00AC5066" w:rsidRPr="00183B5F" w:rsidRDefault="00AC5066" w:rsidP="004062FE">
            <w:pPr>
              <w:pStyle w:val="EMEANormal"/>
              <w:widowControl w:val="0"/>
              <w:suppressAutoHyphens w:val="0"/>
              <w:rPr>
                <w:del w:id="5053" w:author="AbbVie_HU_03" w:date="2025-05-14T15:27:00Z"/>
                <w:lang w:val="hu-HU"/>
              </w:rPr>
            </w:pPr>
          </w:p>
        </w:tc>
      </w:tr>
      <w:tr w:rsidR="00011D2F" w14:paraId="535F1498" w14:textId="4A710130" w:rsidTr="00202B95">
        <w:trPr>
          <w:cantSplit/>
          <w:del w:id="5054" w:author="AbbVie_HU_03" w:date="2025-05-14T15:27:00Z"/>
        </w:trPr>
        <w:tc>
          <w:tcPr>
            <w:tcW w:w="2503" w:type="dxa"/>
            <w:vMerge/>
            <w:tcBorders>
              <w:bottom w:val="nil"/>
            </w:tcBorders>
          </w:tcPr>
          <w:p w14:paraId="514DE842" w14:textId="10037B35" w:rsidR="00AC5066" w:rsidRPr="00183B5F" w:rsidRDefault="00AC5066" w:rsidP="004062FE">
            <w:pPr>
              <w:pStyle w:val="EMEANormal"/>
              <w:widowControl w:val="0"/>
              <w:suppressAutoHyphens w:val="0"/>
              <w:rPr>
                <w:del w:id="5055" w:author="AbbVie_HU_03" w:date="2025-05-14T15:27:00Z"/>
                <w:lang w:val="hu-HU"/>
              </w:rPr>
            </w:pPr>
          </w:p>
        </w:tc>
        <w:tc>
          <w:tcPr>
            <w:tcW w:w="2107" w:type="dxa"/>
            <w:tcBorders>
              <w:top w:val="single" w:sz="4" w:space="0" w:color="auto"/>
            </w:tcBorders>
          </w:tcPr>
          <w:p w14:paraId="34D41AA6" w14:textId="6CF80E2E" w:rsidR="00AC5066" w:rsidRPr="00183B5F" w:rsidRDefault="00943743">
            <w:pPr>
              <w:pStyle w:val="EMEANormal"/>
              <w:widowControl w:val="0"/>
              <w:suppressAutoHyphens w:val="0"/>
              <w:rPr>
                <w:del w:id="5056" w:author="AbbVie_HU_03" w:date="2025-05-14T15:27:00Z"/>
                <w:lang w:val="hu-HU"/>
              </w:rPr>
            </w:pPr>
            <w:del w:id="5057" w:author="AbbVie_HU_03" w:date="2025-05-14T15:27:00Z">
              <w:r w:rsidRPr="00183B5F">
                <w:rPr>
                  <w:lang w:val="hu-HU"/>
                </w:rPr>
                <w:delText>Nem gyakori</w:delText>
              </w:r>
            </w:del>
          </w:p>
          <w:p w14:paraId="480F10A5" w14:textId="0344E1E4" w:rsidR="00951297" w:rsidRPr="00183B5F" w:rsidRDefault="00951297">
            <w:pPr>
              <w:pStyle w:val="EMEANormal"/>
              <w:widowControl w:val="0"/>
              <w:suppressAutoHyphens w:val="0"/>
              <w:rPr>
                <w:del w:id="5058" w:author="AbbVie_HU_03" w:date="2025-05-14T15:27:00Z"/>
                <w:lang w:val="hu-HU"/>
              </w:rPr>
            </w:pPr>
          </w:p>
          <w:p w14:paraId="04FE6894" w14:textId="049A9FF4" w:rsidR="00951297" w:rsidRPr="00183B5F" w:rsidRDefault="00951297">
            <w:pPr>
              <w:pStyle w:val="EMEANormal"/>
              <w:widowControl w:val="0"/>
              <w:suppressAutoHyphens w:val="0"/>
              <w:rPr>
                <w:del w:id="5059" w:author="AbbVie_HU_03" w:date="2025-05-14T15:27:00Z"/>
                <w:lang w:val="hu-HU"/>
              </w:rPr>
            </w:pPr>
          </w:p>
        </w:tc>
        <w:tc>
          <w:tcPr>
            <w:tcW w:w="4451" w:type="dxa"/>
            <w:tcBorders>
              <w:top w:val="single" w:sz="4" w:space="0" w:color="auto"/>
            </w:tcBorders>
          </w:tcPr>
          <w:p w14:paraId="2EFEB90D" w14:textId="3220CF55" w:rsidR="00AC5066" w:rsidRPr="00183B5F" w:rsidRDefault="00943743">
            <w:pPr>
              <w:pStyle w:val="EMEANormal"/>
              <w:widowControl w:val="0"/>
              <w:suppressAutoHyphens w:val="0"/>
              <w:rPr>
                <w:del w:id="5060" w:author="AbbVie_HU_03" w:date="2025-05-14T15:27:00Z"/>
                <w:lang w:val="hu-HU"/>
              </w:rPr>
            </w:pPr>
            <w:del w:id="5061" w:author="AbbVie_HU_03" w:date="2025-05-14T15:27:00Z">
              <w:r w:rsidRPr="00183B5F">
                <w:rPr>
                  <w:lang w:val="hu-HU"/>
                </w:rPr>
                <w:delText xml:space="preserve">Cholecystitis és cholelithiasis, </w:delText>
              </w:r>
            </w:del>
          </w:p>
          <w:p w14:paraId="7D0E05E7" w14:textId="4364BF80" w:rsidR="002D1422" w:rsidRPr="00183B5F" w:rsidRDefault="00943743">
            <w:pPr>
              <w:pStyle w:val="EMEANormal"/>
              <w:widowControl w:val="0"/>
              <w:suppressAutoHyphens w:val="0"/>
              <w:rPr>
                <w:del w:id="5062" w:author="AbbVie_HU_03" w:date="2025-05-14T15:27:00Z"/>
                <w:szCs w:val="22"/>
                <w:lang w:val="hu-HU"/>
              </w:rPr>
            </w:pPr>
            <w:del w:id="5063" w:author="AbbVie_HU_03" w:date="2025-05-14T15:27:00Z">
              <w:r w:rsidRPr="00183B5F">
                <w:rPr>
                  <w:szCs w:val="22"/>
                  <w:lang w:val="hu-HU"/>
                </w:rPr>
                <w:delText>steatosis hepatis,</w:delText>
              </w:r>
            </w:del>
          </w:p>
          <w:p w14:paraId="1E057B7C" w14:textId="0479A9BA" w:rsidR="00951297" w:rsidRPr="00183B5F" w:rsidRDefault="00943743" w:rsidP="004062FE">
            <w:pPr>
              <w:pStyle w:val="EMEANormal"/>
              <w:widowControl w:val="0"/>
              <w:rPr>
                <w:del w:id="5064" w:author="AbbVie_HU_03" w:date="2025-05-14T15:27:00Z"/>
                <w:vertAlign w:val="superscript"/>
                <w:lang w:val="hu-HU"/>
              </w:rPr>
            </w:pPr>
            <w:del w:id="5065" w:author="AbbVie_HU_03" w:date="2025-05-14T15:27:00Z">
              <w:r w:rsidRPr="00183B5F">
                <w:rPr>
                  <w:szCs w:val="22"/>
                  <w:lang w:val="hu-HU"/>
                </w:rPr>
                <w:delText xml:space="preserve">emelkedett bilirubinszint </w:delText>
              </w:r>
            </w:del>
          </w:p>
        </w:tc>
      </w:tr>
      <w:tr w:rsidR="00011D2F" w14:paraId="4D5C9988" w14:textId="1FE13399" w:rsidTr="00202B95">
        <w:trPr>
          <w:cantSplit/>
          <w:del w:id="5066" w:author="AbbVie_HU_03" w:date="2025-05-14T15:27:00Z"/>
        </w:trPr>
        <w:tc>
          <w:tcPr>
            <w:tcW w:w="2503" w:type="dxa"/>
            <w:tcBorders>
              <w:top w:val="nil"/>
              <w:bottom w:val="nil"/>
            </w:tcBorders>
          </w:tcPr>
          <w:p w14:paraId="01A5EF2D" w14:textId="6C476640" w:rsidR="00F370FE" w:rsidRPr="00183B5F" w:rsidRDefault="00F370FE" w:rsidP="004062FE">
            <w:pPr>
              <w:pStyle w:val="EMEANormal"/>
              <w:widowControl w:val="0"/>
              <w:suppressAutoHyphens w:val="0"/>
              <w:rPr>
                <w:del w:id="5067" w:author="AbbVie_HU_03" w:date="2025-05-14T15:27:00Z"/>
                <w:lang w:val="hu-HU"/>
              </w:rPr>
            </w:pPr>
          </w:p>
        </w:tc>
        <w:tc>
          <w:tcPr>
            <w:tcW w:w="2107" w:type="dxa"/>
            <w:tcBorders>
              <w:top w:val="single" w:sz="4" w:space="0" w:color="auto"/>
            </w:tcBorders>
          </w:tcPr>
          <w:p w14:paraId="55D550A9" w14:textId="206DACA6" w:rsidR="00F370FE" w:rsidRPr="00183B5F" w:rsidRDefault="00943743">
            <w:pPr>
              <w:pStyle w:val="EMEANormal"/>
              <w:widowControl w:val="0"/>
              <w:suppressAutoHyphens w:val="0"/>
              <w:rPr>
                <w:del w:id="5068" w:author="AbbVie_HU_03" w:date="2025-05-14T15:27:00Z"/>
                <w:lang w:val="hu-HU"/>
              </w:rPr>
            </w:pPr>
            <w:del w:id="5069" w:author="AbbVie_HU_03" w:date="2025-05-14T15:27:00Z">
              <w:r w:rsidRPr="00183B5F">
                <w:rPr>
                  <w:lang w:val="hu-HU"/>
                </w:rPr>
                <w:delText>Ritka</w:delText>
              </w:r>
            </w:del>
          </w:p>
        </w:tc>
        <w:tc>
          <w:tcPr>
            <w:tcW w:w="4451" w:type="dxa"/>
            <w:tcBorders>
              <w:top w:val="single" w:sz="4" w:space="0" w:color="auto"/>
            </w:tcBorders>
          </w:tcPr>
          <w:p w14:paraId="73844FE4" w14:textId="5144B497" w:rsidR="00F370FE" w:rsidRPr="00183B5F" w:rsidRDefault="00943743">
            <w:pPr>
              <w:pStyle w:val="EMEANormal"/>
              <w:widowControl w:val="0"/>
              <w:suppressAutoHyphens w:val="0"/>
              <w:rPr>
                <w:del w:id="5070" w:author="AbbVie_HU_03" w:date="2025-05-14T15:27:00Z"/>
                <w:szCs w:val="22"/>
                <w:lang w:val="hu-HU"/>
              </w:rPr>
            </w:pPr>
            <w:del w:id="5071" w:author="AbbVie_HU_03" w:date="2025-05-14T15:27:00Z">
              <w:r w:rsidRPr="00183B5F">
                <w:rPr>
                  <w:szCs w:val="22"/>
                  <w:lang w:val="hu-HU"/>
                </w:rPr>
                <w:delText>Hepatitis</w:delText>
              </w:r>
            </w:del>
          </w:p>
          <w:p w14:paraId="35F9C3BB" w14:textId="2538AA37" w:rsidR="00F370FE" w:rsidRPr="00183B5F" w:rsidRDefault="00943743">
            <w:pPr>
              <w:pStyle w:val="EMEANormal"/>
              <w:widowControl w:val="0"/>
              <w:suppressAutoHyphens w:val="0"/>
              <w:rPr>
                <w:del w:id="5072" w:author="AbbVie_HU_03" w:date="2025-05-14T15:27:00Z"/>
                <w:szCs w:val="22"/>
                <w:lang w:val="hu-HU"/>
              </w:rPr>
            </w:pPr>
            <w:del w:id="5073" w:author="AbbVie_HU_03" w:date="2025-05-14T15:27:00Z">
              <w:r w:rsidRPr="00183B5F">
                <w:rPr>
                  <w:szCs w:val="22"/>
                  <w:lang w:val="hu-HU"/>
                </w:rPr>
                <w:delText>a hepatitis B reaktiválódása</w:delText>
              </w:r>
              <w:r w:rsidRPr="00183B5F">
                <w:rPr>
                  <w:szCs w:val="22"/>
                  <w:vertAlign w:val="superscript"/>
                  <w:lang w:val="hu-HU"/>
                </w:rPr>
                <w:delText>1)</w:delText>
              </w:r>
            </w:del>
          </w:p>
          <w:p w14:paraId="49D6B7F9" w14:textId="2F02F797" w:rsidR="00F370FE" w:rsidRPr="00183B5F" w:rsidRDefault="00943743">
            <w:pPr>
              <w:pStyle w:val="EMEANormal"/>
              <w:widowControl w:val="0"/>
              <w:suppressAutoHyphens w:val="0"/>
              <w:rPr>
                <w:del w:id="5074" w:author="AbbVie_HU_03" w:date="2025-05-14T15:27:00Z"/>
                <w:lang w:val="hu-HU"/>
              </w:rPr>
            </w:pPr>
            <w:del w:id="5075" w:author="AbbVie_HU_03" w:date="2025-05-14T15:27:00Z">
              <w:r w:rsidRPr="00183B5F">
                <w:rPr>
                  <w:szCs w:val="22"/>
                  <w:lang w:val="hu-HU"/>
                </w:rPr>
                <w:delText>autoimmun hepatitis</w:delText>
              </w:r>
              <w:r w:rsidRPr="00183B5F">
                <w:rPr>
                  <w:szCs w:val="22"/>
                  <w:vertAlign w:val="superscript"/>
                  <w:lang w:val="hu-HU"/>
                </w:rPr>
                <w:delText>1)</w:delText>
              </w:r>
            </w:del>
          </w:p>
        </w:tc>
      </w:tr>
      <w:tr w:rsidR="00011D2F" w14:paraId="6E54C0CF" w14:textId="1C44992A" w:rsidTr="00202B95">
        <w:trPr>
          <w:cantSplit/>
          <w:del w:id="5076" w:author="AbbVie_HU_03" w:date="2025-05-14T15:27:00Z"/>
        </w:trPr>
        <w:tc>
          <w:tcPr>
            <w:tcW w:w="2503" w:type="dxa"/>
            <w:tcBorders>
              <w:top w:val="nil"/>
              <w:bottom w:val="single" w:sz="4" w:space="0" w:color="auto"/>
            </w:tcBorders>
          </w:tcPr>
          <w:p w14:paraId="747ADA95" w14:textId="1D8542F6" w:rsidR="00F370FE" w:rsidRPr="00183B5F" w:rsidRDefault="00F370FE" w:rsidP="004062FE">
            <w:pPr>
              <w:pStyle w:val="EMEANormal"/>
              <w:widowControl w:val="0"/>
              <w:suppressAutoHyphens w:val="0"/>
              <w:rPr>
                <w:del w:id="5077" w:author="AbbVie_HU_03" w:date="2025-05-14T15:27:00Z"/>
                <w:lang w:val="hu-HU"/>
              </w:rPr>
            </w:pPr>
          </w:p>
        </w:tc>
        <w:tc>
          <w:tcPr>
            <w:tcW w:w="2107" w:type="dxa"/>
            <w:tcBorders>
              <w:top w:val="single" w:sz="4" w:space="0" w:color="auto"/>
            </w:tcBorders>
          </w:tcPr>
          <w:p w14:paraId="282080B7" w14:textId="24E39267" w:rsidR="00F370FE" w:rsidRPr="00183B5F" w:rsidRDefault="00943743">
            <w:pPr>
              <w:pStyle w:val="EMEANormal"/>
              <w:widowControl w:val="0"/>
              <w:suppressAutoHyphens w:val="0"/>
              <w:rPr>
                <w:del w:id="5078" w:author="AbbVie_HU_03" w:date="2025-05-14T15:27:00Z"/>
                <w:lang w:val="hu-HU"/>
              </w:rPr>
            </w:pPr>
            <w:del w:id="5079" w:author="AbbVie_HU_03" w:date="2025-05-14T15:27:00Z">
              <w:r w:rsidRPr="00183B5F">
                <w:rPr>
                  <w:lang w:val="hu-HU"/>
                </w:rPr>
                <w:delText>Nem ismert</w:delText>
              </w:r>
            </w:del>
          </w:p>
        </w:tc>
        <w:tc>
          <w:tcPr>
            <w:tcW w:w="4451" w:type="dxa"/>
            <w:tcBorders>
              <w:top w:val="single" w:sz="4" w:space="0" w:color="auto"/>
            </w:tcBorders>
          </w:tcPr>
          <w:p w14:paraId="01F6A641" w14:textId="0BA6E24F" w:rsidR="00F370FE" w:rsidRPr="00183B5F" w:rsidRDefault="00943743">
            <w:pPr>
              <w:pStyle w:val="EMEANormal"/>
              <w:widowControl w:val="0"/>
              <w:suppressAutoHyphens w:val="0"/>
              <w:rPr>
                <w:del w:id="5080" w:author="AbbVie_HU_03" w:date="2025-05-14T15:27:00Z"/>
                <w:lang w:val="hu-HU"/>
              </w:rPr>
            </w:pPr>
            <w:del w:id="5081" w:author="AbbVie_HU_03" w:date="2025-05-14T15:27:00Z">
              <w:r w:rsidRPr="00183B5F">
                <w:rPr>
                  <w:lang w:val="hu-HU"/>
                </w:rPr>
                <w:delText>Májelégtelenség</w:delText>
              </w:r>
              <w:r w:rsidRPr="00183B5F">
                <w:rPr>
                  <w:vertAlign w:val="superscript"/>
                  <w:lang w:val="hu-HU"/>
                </w:rPr>
                <w:delText>1)</w:delText>
              </w:r>
            </w:del>
          </w:p>
        </w:tc>
      </w:tr>
      <w:tr w:rsidR="00011D2F" w14:paraId="469BBF1B" w14:textId="5A95CCC3" w:rsidTr="00202B95">
        <w:trPr>
          <w:cantSplit/>
          <w:del w:id="5082" w:author="AbbVie_HU_03" w:date="2025-05-14T15:27:00Z"/>
        </w:trPr>
        <w:tc>
          <w:tcPr>
            <w:tcW w:w="2503" w:type="dxa"/>
            <w:vMerge w:val="restart"/>
          </w:tcPr>
          <w:p w14:paraId="4475C40E" w14:textId="4112DF47" w:rsidR="00AC5066" w:rsidRPr="00183B5F" w:rsidRDefault="00943743" w:rsidP="004062FE">
            <w:pPr>
              <w:pStyle w:val="EMEANormal"/>
              <w:widowControl w:val="0"/>
              <w:suppressAutoHyphens w:val="0"/>
              <w:rPr>
                <w:del w:id="5083" w:author="AbbVie_HU_03" w:date="2025-05-14T15:27:00Z"/>
                <w:szCs w:val="22"/>
                <w:lang w:val="hu-HU"/>
              </w:rPr>
            </w:pPr>
            <w:del w:id="5084" w:author="AbbVie_HU_03" w:date="2025-05-14T15:27:00Z">
              <w:r w:rsidRPr="00183B5F">
                <w:rPr>
                  <w:szCs w:val="22"/>
                  <w:lang w:val="hu-HU"/>
                </w:rPr>
                <w:delText>A bőr és a bőr alatti szövet betegségei és tünetei</w:delText>
              </w:r>
            </w:del>
          </w:p>
        </w:tc>
        <w:tc>
          <w:tcPr>
            <w:tcW w:w="2107" w:type="dxa"/>
            <w:tcBorders>
              <w:bottom w:val="single" w:sz="4" w:space="0" w:color="auto"/>
            </w:tcBorders>
          </w:tcPr>
          <w:p w14:paraId="74EF2B6B" w14:textId="5830C731" w:rsidR="00AC5066" w:rsidRPr="00183B5F" w:rsidRDefault="00943743" w:rsidP="004062FE">
            <w:pPr>
              <w:pStyle w:val="EMEANormal"/>
              <w:widowControl w:val="0"/>
              <w:suppressAutoHyphens w:val="0"/>
              <w:rPr>
                <w:del w:id="5085" w:author="AbbVie_HU_03" w:date="2025-05-14T15:27:00Z"/>
                <w:lang w:val="hu-HU"/>
              </w:rPr>
            </w:pPr>
            <w:del w:id="5086" w:author="AbbVie_HU_03" w:date="2025-05-14T15:27:00Z">
              <w:r w:rsidRPr="00183B5F">
                <w:rPr>
                  <w:lang w:val="hu-HU"/>
                </w:rPr>
                <w:delText>Nagyon gyakori</w:delText>
              </w:r>
            </w:del>
          </w:p>
          <w:p w14:paraId="16619C03" w14:textId="6256936B" w:rsidR="00AC5066" w:rsidRPr="00183B5F" w:rsidRDefault="00AC5066" w:rsidP="004062FE">
            <w:pPr>
              <w:pStyle w:val="EMEANormal"/>
              <w:widowControl w:val="0"/>
              <w:suppressAutoHyphens w:val="0"/>
              <w:rPr>
                <w:del w:id="5087" w:author="AbbVie_HU_03" w:date="2025-05-14T15:27:00Z"/>
                <w:lang w:val="hu-HU"/>
              </w:rPr>
            </w:pPr>
          </w:p>
        </w:tc>
        <w:tc>
          <w:tcPr>
            <w:tcW w:w="4451" w:type="dxa"/>
            <w:tcBorders>
              <w:bottom w:val="single" w:sz="4" w:space="0" w:color="auto"/>
            </w:tcBorders>
          </w:tcPr>
          <w:p w14:paraId="39AAE78C" w14:textId="0BBB3C68" w:rsidR="00AC5066" w:rsidRPr="00183B5F" w:rsidRDefault="00943743" w:rsidP="004062FE">
            <w:pPr>
              <w:pStyle w:val="EMEANormal"/>
              <w:widowControl w:val="0"/>
              <w:suppressAutoHyphens w:val="0"/>
              <w:rPr>
                <w:del w:id="5088" w:author="AbbVie_HU_03" w:date="2025-05-14T15:27:00Z"/>
                <w:lang w:val="hu-HU"/>
              </w:rPr>
            </w:pPr>
            <w:del w:id="5089" w:author="AbbVie_HU_03" w:date="2025-05-14T15:27:00Z">
              <w:r w:rsidRPr="00183B5F">
                <w:rPr>
                  <w:lang w:val="hu-HU"/>
                </w:rPr>
                <w:delText>Bőrkiütés (beleértve az exfoliativ bőrkiütést is),</w:delText>
              </w:r>
            </w:del>
          </w:p>
          <w:p w14:paraId="6C81B222" w14:textId="29090872" w:rsidR="00AC5066" w:rsidRPr="00183B5F" w:rsidRDefault="00AC5066" w:rsidP="004062FE">
            <w:pPr>
              <w:pStyle w:val="EMEANormal"/>
              <w:widowControl w:val="0"/>
              <w:suppressAutoHyphens w:val="0"/>
              <w:rPr>
                <w:del w:id="5090" w:author="AbbVie_HU_03" w:date="2025-05-14T15:27:00Z"/>
                <w:lang w:val="hu-HU"/>
              </w:rPr>
            </w:pPr>
          </w:p>
        </w:tc>
      </w:tr>
      <w:tr w:rsidR="00011D2F" w14:paraId="103CC214" w14:textId="75703E95" w:rsidTr="00202B95">
        <w:trPr>
          <w:cantSplit/>
          <w:del w:id="5091" w:author="AbbVie_HU_03" w:date="2025-05-14T15:27:00Z"/>
        </w:trPr>
        <w:tc>
          <w:tcPr>
            <w:tcW w:w="2503" w:type="dxa"/>
            <w:vMerge/>
          </w:tcPr>
          <w:p w14:paraId="5FFF5948" w14:textId="3FDD3C64" w:rsidR="00AC5066" w:rsidRPr="00183B5F" w:rsidRDefault="00AC5066" w:rsidP="004062FE">
            <w:pPr>
              <w:widowControl w:val="0"/>
              <w:suppressAutoHyphens w:val="0"/>
              <w:spacing w:line="240" w:lineRule="auto"/>
              <w:jc w:val="center"/>
              <w:rPr>
                <w:del w:id="5092" w:author="AbbVie_HU_03" w:date="2025-05-14T15:27:00Z"/>
                <w:b/>
              </w:rPr>
            </w:pPr>
          </w:p>
        </w:tc>
        <w:tc>
          <w:tcPr>
            <w:tcW w:w="2107" w:type="dxa"/>
            <w:tcBorders>
              <w:top w:val="single" w:sz="4" w:space="0" w:color="auto"/>
              <w:bottom w:val="single" w:sz="4" w:space="0" w:color="auto"/>
            </w:tcBorders>
          </w:tcPr>
          <w:p w14:paraId="6210FD44" w14:textId="541C5B7B" w:rsidR="00AC5066" w:rsidRPr="00183B5F" w:rsidRDefault="00943743">
            <w:pPr>
              <w:pStyle w:val="EMEANormal"/>
              <w:widowControl w:val="0"/>
              <w:suppressAutoHyphens w:val="0"/>
              <w:rPr>
                <w:del w:id="5093" w:author="AbbVie_HU_03" w:date="2025-05-14T15:27:00Z"/>
                <w:lang w:val="hu-HU"/>
              </w:rPr>
            </w:pPr>
            <w:del w:id="5094" w:author="AbbVie_HU_03" w:date="2025-05-14T15:27:00Z">
              <w:r w:rsidRPr="00183B5F">
                <w:rPr>
                  <w:lang w:val="hu-HU"/>
                </w:rPr>
                <w:delText>Gyakori</w:delText>
              </w:r>
            </w:del>
          </w:p>
          <w:p w14:paraId="40D0F8F0" w14:textId="5EEE6A1A" w:rsidR="00AC5066" w:rsidRPr="00183B5F" w:rsidRDefault="00AC5066">
            <w:pPr>
              <w:pStyle w:val="EMEANormal"/>
              <w:widowControl w:val="0"/>
              <w:suppressAutoHyphens w:val="0"/>
              <w:rPr>
                <w:del w:id="5095" w:author="AbbVie_HU_03" w:date="2025-05-14T15:27:00Z"/>
                <w:lang w:val="hu-HU"/>
              </w:rPr>
            </w:pPr>
          </w:p>
        </w:tc>
        <w:tc>
          <w:tcPr>
            <w:tcW w:w="4451" w:type="dxa"/>
            <w:tcBorders>
              <w:top w:val="single" w:sz="4" w:space="0" w:color="auto"/>
              <w:bottom w:val="single" w:sz="4" w:space="0" w:color="auto"/>
            </w:tcBorders>
          </w:tcPr>
          <w:p w14:paraId="2BEAE3DC" w14:textId="5CB49EC0" w:rsidR="002D1422" w:rsidRPr="00183B5F" w:rsidRDefault="00943743">
            <w:pPr>
              <w:pStyle w:val="EMEANormal"/>
              <w:widowControl w:val="0"/>
              <w:suppressAutoHyphens w:val="0"/>
              <w:rPr>
                <w:del w:id="5096" w:author="AbbVie_HU_03" w:date="2025-05-14T15:27:00Z"/>
                <w:lang w:val="hu-HU"/>
              </w:rPr>
            </w:pPr>
            <w:del w:id="5097" w:author="AbbVie_HU_03" w:date="2025-05-14T15:27:00Z">
              <w:r w:rsidRPr="00183B5F">
                <w:rPr>
                  <w:szCs w:val="22"/>
                  <w:lang w:val="hu-HU"/>
                </w:rPr>
                <w:delText>Psoriasis rosszabbodása, illetve újonnan kialakulása (beleértve a palmoplantaris pustulosus psoriasist)</w:delText>
              </w:r>
              <w:r w:rsidRPr="00183B5F">
                <w:rPr>
                  <w:szCs w:val="22"/>
                  <w:vertAlign w:val="superscript"/>
                  <w:lang w:val="hu-HU"/>
                </w:rPr>
                <w:delText>1)</w:delText>
              </w:r>
              <w:r w:rsidRPr="00183B5F">
                <w:rPr>
                  <w:lang w:val="hu-HU"/>
                </w:rPr>
                <w:delText>,</w:delText>
              </w:r>
            </w:del>
          </w:p>
          <w:p w14:paraId="6D342C23" w14:textId="2AC289FF" w:rsidR="00AC5066" w:rsidRPr="00183B5F" w:rsidRDefault="00943743">
            <w:pPr>
              <w:pStyle w:val="EMEANormal"/>
              <w:widowControl w:val="0"/>
              <w:suppressAutoHyphens w:val="0"/>
              <w:rPr>
                <w:del w:id="5098" w:author="AbbVie_HU_03" w:date="2025-05-14T15:27:00Z"/>
                <w:lang w:val="hu-HU"/>
              </w:rPr>
            </w:pPr>
            <w:del w:id="5099" w:author="AbbVie_HU_03" w:date="2025-05-14T15:27:00Z">
              <w:r w:rsidRPr="00183B5F">
                <w:rPr>
                  <w:lang w:val="hu-HU"/>
                </w:rPr>
                <w:delText>urticaria,</w:delText>
              </w:r>
            </w:del>
          </w:p>
          <w:p w14:paraId="058E23EB" w14:textId="763FA568" w:rsidR="00AC5066" w:rsidRPr="00183B5F" w:rsidRDefault="00943743">
            <w:pPr>
              <w:pStyle w:val="EMEANormal"/>
              <w:widowControl w:val="0"/>
              <w:suppressAutoHyphens w:val="0"/>
              <w:rPr>
                <w:del w:id="5100" w:author="AbbVie_HU_03" w:date="2025-05-14T15:27:00Z"/>
                <w:lang w:val="hu-HU"/>
              </w:rPr>
            </w:pPr>
            <w:del w:id="5101" w:author="AbbVie_HU_03" w:date="2025-05-14T15:27:00Z">
              <w:r w:rsidRPr="00183B5F">
                <w:rPr>
                  <w:lang w:val="hu-HU"/>
                </w:rPr>
                <w:delText xml:space="preserve">suffusio (beleértve a purpurát is), </w:delText>
              </w:r>
            </w:del>
          </w:p>
          <w:p w14:paraId="3904A2BF" w14:textId="4D37F688" w:rsidR="00AC5066" w:rsidRPr="00183B5F" w:rsidRDefault="00943743">
            <w:pPr>
              <w:pStyle w:val="EMEANormal"/>
              <w:widowControl w:val="0"/>
              <w:suppressAutoHyphens w:val="0"/>
              <w:rPr>
                <w:del w:id="5102" w:author="AbbVie_HU_03" w:date="2025-05-14T15:27:00Z"/>
                <w:lang w:val="hu-HU"/>
              </w:rPr>
            </w:pPr>
            <w:del w:id="5103" w:author="AbbVie_HU_03" w:date="2025-05-14T15:27:00Z">
              <w:r w:rsidRPr="00183B5F">
                <w:rPr>
                  <w:lang w:val="hu-HU"/>
                </w:rPr>
                <w:delText>dermatitis (beleértve az e</w:delText>
              </w:r>
              <w:r w:rsidR="00761819" w:rsidRPr="00183B5F">
                <w:rPr>
                  <w:lang w:val="hu-HU"/>
                </w:rPr>
                <w:delText>k</w:delText>
              </w:r>
              <w:r w:rsidRPr="00183B5F">
                <w:rPr>
                  <w:lang w:val="hu-HU"/>
                </w:rPr>
                <w:delText>zemát is),</w:delText>
              </w:r>
            </w:del>
          </w:p>
          <w:p w14:paraId="01E451F5" w14:textId="60229B70" w:rsidR="00AC5066" w:rsidRPr="00183B5F" w:rsidRDefault="00943743">
            <w:pPr>
              <w:pStyle w:val="EMEANormal"/>
              <w:widowControl w:val="0"/>
              <w:suppressAutoHyphens w:val="0"/>
              <w:rPr>
                <w:del w:id="5104" w:author="AbbVie_HU_03" w:date="2025-05-14T15:27:00Z"/>
                <w:lang w:val="hu-HU"/>
              </w:rPr>
            </w:pPr>
            <w:del w:id="5105" w:author="AbbVie_HU_03" w:date="2025-05-14T15:27:00Z">
              <w:r w:rsidRPr="00183B5F">
                <w:rPr>
                  <w:lang w:val="hu-HU"/>
                </w:rPr>
                <w:delText xml:space="preserve">onychoclasia, </w:delText>
              </w:r>
            </w:del>
          </w:p>
          <w:p w14:paraId="2F28CBF1" w14:textId="08C20BC0" w:rsidR="002D1422" w:rsidRPr="00183B5F" w:rsidRDefault="00943743">
            <w:pPr>
              <w:pStyle w:val="EMEANormal"/>
              <w:widowControl w:val="0"/>
              <w:suppressAutoHyphens w:val="0"/>
              <w:rPr>
                <w:del w:id="5106" w:author="AbbVie_HU_03" w:date="2025-05-14T15:27:00Z"/>
                <w:lang w:val="hu-HU"/>
              </w:rPr>
            </w:pPr>
            <w:del w:id="5107" w:author="AbbVie_HU_03" w:date="2025-05-14T15:27:00Z">
              <w:r w:rsidRPr="00183B5F">
                <w:rPr>
                  <w:lang w:val="hu-HU"/>
                </w:rPr>
                <w:delText>hyperhydrosis,</w:delText>
              </w:r>
            </w:del>
          </w:p>
          <w:p w14:paraId="4B24AF46" w14:textId="0D5DECF6" w:rsidR="002D1422" w:rsidRPr="00183B5F" w:rsidRDefault="00943743">
            <w:pPr>
              <w:pStyle w:val="EMEANormal"/>
              <w:widowControl w:val="0"/>
              <w:suppressAutoHyphens w:val="0"/>
              <w:rPr>
                <w:del w:id="5108" w:author="AbbVie_HU_03" w:date="2025-05-14T15:27:00Z"/>
                <w:lang w:val="hu-HU"/>
              </w:rPr>
            </w:pPr>
            <w:del w:id="5109" w:author="AbbVie_HU_03" w:date="2025-05-14T15:27:00Z">
              <w:r w:rsidRPr="00183B5F">
                <w:rPr>
                  <w:lang w:val="hu-HU"/>
                </w:rPr>
                <w:delText>alopecia</w:delText>
              </w:r>
              <w:r w:rsidRPr="00183B5F">
                <w:rPr>
                  <w:vertAlign w:val="superscript"/>
                  <w:lang w:val="hu-HU"/>
                </w:rPr>
                <w:delText>1)</w:delText>
              </w:r>
              <w:r w:rsidRPr="00183B5F">
                <w:rPr>
                  <w:lang w:val="hu-HU"/>
                </w:rPr>
                <w:delText>,</w:delText>
              </w:r>
            </w:del>
          </w:p>
          <w:p w14:paraId="5964EF4A" w14:textId="3F77E3F0" w:rsidR="00AC5066" w:rsidRPr="00183B5F" w:rsidRDefault="00943743">
            <w:pPr>
              <w:pStyle w:val="EMEANormal"/>
              <w:widowControl w:val="0"/>
              <w:suppressAutoHyphens w:val="0"/>
              <w:rPr>
                <w:del w:id="5110" w:author="AbbVie_HU_03" w:date="2025-05-14T15:27:00Z"/>
                <w:lang w:val="hu-HU"/>
              </w:rPr>
            </w:pPr>
            <w:del w:id="5111" w:author="AbbVie_HU_03" w:date="2025-05-14T15:27:00Z">
              <w:r w:rsidRPr="00183B5F">
                <w:rPr>
                  <w:lang w:val="hu-HU"/>
                </w:rPr>
                <w:delText>pruritus</w:delText>
              </w:r>
            </w:del>
          </w:p>
        </w:tc>
      </w:tr>
      <w:tr w:rsidR="00011D2F" w14:paraId="281CF1EA" w14:textId="3F6A7316" w:rsidTr="00202B95">
        <w:trPr>
          <w:cantSplit/>
          <w:del w:id="5112" w:author="AbbVie_HU_03" w:date="2025-05-14T15:27:00Z"/>
        </w:trPr>
        <w:tc>
          <w:tcPr>
            <w:tcW w:w="2503" w:type="dxa"/>
            <w:vMerge/>
            <w:tcBorders>
              <w:bottom w:val="single" w:sz="4" w:space="0" w:color="auto"/>
            </w:tcBorders>
          </w:tcPr>
          <w:p w14:paraId="05EE24BA" w14:textId="6E1DD682" w:rsidR="00AC5066" w:rsidRPr="00183B5F" w:rsidRDefault="00AC5066" w:rsidP="004062FE">
            <w:pPr>
              <w:widowControl w:val="0"/>
              <w:suppressAutoHyphens w:val="0"/>
              <w:spacing w:line="240" w:lineRule="auto"/>
              <w:jc w:val="center"/>
              <w:rPr>
                <w:del w:id="5113" w:author="AbbVie_HU_03" w:date="2025-05-14T15:27:00Z"/>
                <w:b/>
              </w:rPr>
            </w:pPr>
          </w:p>
        </w:tc>
        <w:tc>
          <w:tcPr>
            <w:tcW w:w="2107" w:type="dxa"/>
            <w:tcBorders>
              <w:top w:val="single" w:sz="4" w:space="0" w:color="auto"/>
            </w:tcBorders>
          </w:tcPr>
          <w:p w14:paraId="1C03B489" w14:textId="6BD9A243" w:rsidR="00AC5066" w:rsidRPr="00183B5F" w:rsidRDefault="00943743">
            <w:pPr>
              <w:pStyle w:val="EMEANormal"/>
              <w:widowControl w:val="0"/>
              <w:suppressAutoHyphens w:val="0"/>
              <w:rPr>
                <w:del w:id="5114" w:author="AbbVie_HU_03" w:date="2025-05-14T15:27:00Z"/>
                <w:lang w:val="hu-HU"/>
              </w:rPr>
            </w:pPr>
            <w:del w:id="5115" w:author="AbbVie_HU_03" w:date="2025-05-14T15:27:00Z">
              <w:r w:rsidRPr="00183B5F">
                <w:rPr>
                  <w:lang w:val="hu-HU"/>
                </w:rPr>
                <w:delText>Nem gyakori</w:delText>
              </w:r>
            </w:del>
          </w:p>
          <w:p w14:paraId="5531B1C0" w14:textId="1732CCCB" w:rsidR="00715920" w:rsidRPr="00183B5F" w:rsidRDefault="00715920">
            <w:pPr>
              <w:pStyle w:val="EMEANormal"/>
              <w:widowControl w:val="0"/>
              <w:suppressAutoHyphens w:val="0"/>
              <w:rPr>
                <w:del w:id="5116" w:author="AbbVie_HU_03" w:date="2025-05-14T15:27:00Z"/>
                <w:lang w:val="hu-HU"/>
              </w:rPr>
            </w:pPr>
          </w:p>
        </w:tc>
        <w:tc>
          <w:tcPr>
            <w:tcW w:w="4451" w:type="dxa"/>
            <w:tcBorders>
              <w:top w:val="single" w:sz="4" w:space="0" w:color="auto"/>
            </w:tcBorders>
          </w:tcPr>
          <w:p w14:paraId="6E7D059D" w14:textId="4D0E3D69" w:rsidR="00AC5066" w:rsidRPr="00183B5F" w:rsidRDefault="00943743">
            <w:pPr>
              <w:pStyle w:val="EMEANormal"/>
              <w:widowControl w:val="0"/>
              <w:suppressAutoHyphens w:val="0"/>
              <w:rPr>
                <w:del w:id="5117" w:author="AbbVie_HU_03" w:date="2025-05-14T15:27:00Z"/>
                <w:lang w:val="hu-HU"/>
              </w:rPr>
            </w:pPr>
            <w:del w:id="5118" w:author="AbbVie_HU_03" w:date="2025-05-14T15:27:00Z">
              <w:r w:rsidRPr="00183B5F">
                <w:rPr>
                  <w:lang w:val="hu-HU"/>
                </w:rPr>
                <w:delText>Éjszakai verítékezés,</w:delText>
              </w:r>
            </w:del>
          </w:p>
          <w:p w14:paraId="4D4D4355" w14:textId="3B22C19D" w:rsidR="00715920" w:rsidRPr="00183B5F" w:rsidRDefault="00943743">
            <w:pPr>
              <w:pStyle w:val="EMEANormal"/>
              <w:widowControl w:val="0"/>
              <w:suppressAutoHyphens w:val="0"/>
              <w:rPr>
                <w:del w:id="5119" w:author="AbbVie_HU_03" w:date="2025-05-14T15:27:00Z"/>
                <w:lang w:val="hu-HU"/>
              </w:rPr>
            </w:pPr>
            <w:del w:id="5120" w:author="AbbVie_HU_03" w:date="2025-05-14T15:27:00Z">
              <w:r w:rsidRPr="00183B5F">
                <w:rPr>
                  <w:lang w:val="hu-HU"/>
                </w:rPr>
                <w:delText>hegesedés</w:delText>
              </w:r>
            </w:del>
          </w:p>
        </w:tc>
      </w:tr>
      <w:tr w:rsidR="00011D2F" w14:paraId="1A800CBB" w14:textId="5F10207E" w:rsidTr="00202B95">
        <w:trPr>
          <w:cantSplit/>
          <w:del w:id="5121" w:author="AbbVie_HU_03" w:date="2025-05-14T15:27:00Z"/>
        </w:trPr>
        <w:tc>
          <w:tcPr>
            <w:tcW w:w="2503" w:type="dxa"/>
            <w:tcBorders>
              <w:top w:val="single" w:sz="4" w:space="0" w:color="auto"/>
              <w:bottom w:val="nil"/>
            </w:tcBorders>
          </w:tcPr>
          <w:p w14:paraId="79797645" w14:textId="71CDDEAB" w:rsidR="00F370FE" w:rsidRPr="00183B5F" w:rsidRDefault="00F370FE" w:rsidP="004062FE">
            <w:pPr>
              <w:widowControl w:val="0"/>
              <w:suppressAutoHyphens w:val="0"/>
              <w:spacing w:line="240" w:lineRule="auto"/>
              <w:jc w:val="center"/>
              <w:rPr>
                <w:del w:id="5122" w:author="AbbVie_HU_03" w:date="2025-05-14T15:27:00Z"/>
                <w:b/>
              </w:rPr>
            </w:pPr>
          </w:p>
        </w:tc>
        <w:tc>
          <w:tcPr>
            <w:tcW w:w="2107" w:type="dxa"/>
            <w:tcBorders>
              <w:top w:val="single" w:sz="4" w:space="0" w:color="auto"/>
            </w:tcBorders>
          </w:tcPr>
          <w:p w14:paraId="43BB3438" w14:textId="2A4B93DA" w:rsidR="00F370FE" w:rsidRPr="00183B5F" w:rsidRDefault="00943743">
            <w:pPr>
              <w:pStyle w:val="EMEANormal"/>
              <w:widowControl w:val="0"/>
              <w:suppressAutoHyphens w:val="0"/>
              <w:rPr>
                <w:del w:id="5123" w:author="AbbVie_HU_03" w:date="2025-05-14T15:27:00Z"/>
                <w:lang w:val="hu-HU"/>
              </w:rPr>
            </w:pPr>
            <w:del w:id="5124" w:author="AbbVie_HU_03" w:date="2025-05-14T15:27:00Z">
              <w:r w:rsidRPr="00183B5F">
                <w:rPr>
                  <w:lang w:val="hu-HU"/>
                </w:rPr>
                <w:delText>Ritka</w:delText>
              </w:r>
            </w:del>
          </w:p>
        </w:tc>
        <w:tc>
          <w:tcPr>
            <w:tcW w:w="4451" w:type="dxa"/>
            <w:tcBorders>
              <w:top w:val="single" w:sz="4" w:space="0" w:color="auto"/>
            </w:tcBorders>
          </w:tcPr>
          <w:p w14:paraId="7FCF2B9F" w14:textId="46C52FA8" w:rsidR="00F370FE" w:rsidRPr="00183B5F" w:rsidRDefault="00943743">
            <w:pPr>
              <w:pStyle w:val="EMEANormal"/>
              <w:widowControl w:val="0"/>
              <w:suppressAutoHyphens w:val="0"/>
              <w:rPr>
                <w:del w:id="5125" w:author="AbbVie_HU_03" w:date="2025-05-14T15:27:00Z"/>
                <w:lang w:val="hu-HU"/>
              </w:rPr>
            </w:pPr>
            <w:del w:id="5126" w:author="AbbVie_HU_03" w:date="2025-05-14T15:27:00Z">
              <w:r w:rsidRPr="00183B5F">
                <w:rPr>
                  <w:lang w:val="hu-HU"/>
                </w:rPr>
                <w:delText>Erythema multiforme</w:delText>
              </w:r>
              <w:r w:rsidRPr="00183B5F">
                <w:rPr>
                  <w:vertAlign w:val="superscript"/>
                  <w:lang w:val="hu-HU"/>
                </w:rPr>
                <w:delText>1)</w:delText>
              </w:r>
              <w:r w:rsidRPr="00183B5F">
                <w:rPr>
                  <w:lang w:val="hu-HU"/>
                </w:rPr>
                <w:delText>,</w:delText>
              </w:r>
            </w:del>
          </w:p>
          <w:p w14:paraId="49C96673" w14:textId="3D922EBF" w:rsidR="00F370FE" w:rsidRPr="00183B5F" w:rsidRDefault="00943743">
            <w:pPr>
              <w:pStyle w:val="EMEANormal"/>
              <w:widowControl w:val="0"/>
              <w:suppressAutoHyphens w:val="0"/>
              <w:rPr>
                <w:del w:id="5127" w:author="AbbVie_HU_03" w:date="2025-05-14T15:27:00Z"/>
                <w:lang w:val="hu-HU"/>
              </w:rPr>
            </w:pPr>
            <w:del w:id="5128" w:author="AbbVie_HU_03" w:date="2025-05-14T15:27:00Z">
              <w:r w:rsidRPr="00183B5F">
                <w:rPr>
                  <w:lang w:val="hu-HU"/>
                </w:rPr>
                <w:delText>Stevens</w:delText>
              </w:r>
              <w:r w:rsidR="00004B4F" w:rsidRPr="00183B5F">
                <w:rPr>
                  <w:lang w:val="hu-HU"/>
                </w:rPr>
                <w:delText>–</w:delText>
              </w:r>
              <w:r w:rsidRPr="00183B5F">
                <w:rPr>
                  <w:lang w:val="hu-HU"/>
                </w:rPr>
                <w:delText>Johnson</w:delText>
              </w:r>
              <w:r w:rsidR="00DA33F0" w:rsidRPr="00183B5F">
                <w:rPr>
                  <w:lang w:val="hu-HU"/>
                </w:rPr>
                <w:delText>-</w:delText>
              </w:r>
              <w:r w:rsidRPr="00183B5F">
                <w:rPr>
                  <w:lang w:val="hu-HU"/>
                </w:rPr>
                <w:delText>szindróma</w:delText>
              </w:r>
              <w:r w:rsidRPr="00183B5F">
                <w:rPr>
                  <w:vertAlign w:val="superscript"/>
                  <w:lang w:val="hu-HU"/>
                </w:rPr>
                <w:delText>1)</w:delText>
              </w:r>
              <w:r w:rsidRPr="00183B5F">
                <w:rPr>
                  <w:lang w:val="hu-HU"/>
                </w:rPr>
                <w:delText>,</w:delText>
              </w:r>
            </w:del>
          </w:p>
          <w:p w14:paraId="4E6C3500" w14:textId="4A9A512B" w:rsidR="00F370FE" w:rsidRPr="00183B5F" w:rsidRDefault="00943743">
            <w:pPr>
              <w:pStyle w:val="EMEANormal"/>
              <w:widowControl w:val="0"/>
              <w:suppressAutoHyphens w:val="0"/>
              <w:rPr>
                <w:del w:id="5129" w:author="AbbVie_HU_03" w:date="2025-05-14T15:27:00Z"/>
                <w:lang w:val="hu-HU"/>
              </w:rPr>
            </w:pPr>
            <w:del w:id="5130" w:author="AbbVie_HU_03" w:date="2025-05-14T15:27:00Z">
              <w:r w:rsidRPr="00183B5F">
                <w:rPr>
                  <w:lang w:val="hu-HU"/>
                </w:rPr>
                <w:delText>angio</w:delText>
              </w:r>
              <w:r w:rsidR="00752566" w:rsidRPr="00183B5F">
                <w:rPr>
                  <w:lang w:val="hu-HU"/>
                </w:rPr>
                <w:delText>o</w:delText>
              </w:r>
              <w:r w:rsidRPr="00183B5F">
                <w:rPr>
                  <w:lang w:val="hu-HU"/>
                </w:rPr>
                <w:delText>edema</w:delText>
              </w:r>
              <w:r w:rsidRPr="00183B5F">
                <w:rPr>
                  <w:vertAlign w:val="superscript"/>
                  <w:lang w:val="hu-HU"/>
                </w:rPr>
                <w:delText>1)</w:delText>
              </w:r>
              <w:r w:rsidRPr="00183B5F">
                <w:rPr>
                  <w:lang w:val="hu-HU"/>
                </w:rPr>
                <w:delText>,</w:delText>
              </w:r>
            </w:del>
          </w:p>
          <w:p w14:paraId="283A1812" w14:textId="46F24D81" w:rsidR="00F370FE" w:rsidRPr="00183B5F" w:rsidRDefault="00943743">
            <w:pPr>
              <w:pStyle w:val="EMEANormal"/>
              <w:widowControl w:val="0"/>
              <w:suppressAutoHyphens w:val="0"/>
              <w:rPr>
                <w:del w:id="5131" w:author="AbbVie_HU_03" w:date="2025-05-14T15:27:00Z"/>
                <w:vertAlign w:val="superscript"/>
                <w:lang w:val="hu-HU"/>
              </w:rPr>
            </w:pPr>
            <w:del w:id="5132" w:author="AbbVie_HU_03" w:date="2025-05-14T15:27:00Z">
              <w:r w:rsidRPr="00183B5F">
                <w:rPr>
                  <w:lang w:val="hu-HU"/>
                </w:rPr>
                <w:delText>cutan vasculitis</w:delText>
              </w:r>
              <w:r w:rsidRPr="00183B5F">
                <w:rPr>
                  <w:vertAlign w:val="superscript"/>
                  <w:lang w:val="hu-HU"/>
                </w:rPr>
                <w:delText>1)</w:delText>
              </w:r>
            </w:del>
          </w:p>
          <w:p w14:paraId="57BA2090" w14:textId="74904E13" w:rsidR="00C036E3" w:rsidRPr="00183B5F" w:rsidRDefault="00943743">
            <w:pPr>
              <w:pStyle w:val="EMEANormal"/>
              <w:widowControl w:val="0"/>
              <w:suppressAutoHyphens w:val="0"/>
              <w:rPr>
                <w:del w:id="5133" w:author="AbbVie_HU_03" w:date="2025-05-14T15:27:00Z"/>
                <w:lang w:val="hu-HU"/>
              </w:rPr>
            </w:pPr>
            <w:del w:id="5134" w:author="AbbVie_HU_03" w:date="2025-05-14T15:27:00Z">
              <w:r w:rsidRPr="00183B5F">
                <w:rPr>
                  <w:lang w:val="hu-HU"/>
                </w:rPr>
                <w:delText>lichenoid bőrreakció</w:delText>
              </w:r>
              <w:r w:rsidRPr="00183B5F">
                <w:rPr>
                  <w:vertAlign w:val="superscript"/>
                  <w:lang w:val="hu-HU"/>
                </w:rPr>
                <w:delText>1)</w:delText>
              </w:r>
            </w:del>
          </w:p>
        </w:tc>
      </w:tr>
      <w:tr w:rsidR="00011D2F" w14:paraId="4B019187" w14:textId="585CA7C4" w:rsidTr="00202B95">
        <w:trPr>
          <w:cantSplit/>
          <w:del w:id="5135" w:author="AbbVie_HU_03" w:date="2025-05-14T15:27:00Z"/>
        </w:trPr>
        <w:tc>
          <w:tcPr>
            <w:tcW w:w="2503" w:type="dxa"/>
            <w:tcBorders>
              <w:top w:val="nil"/>
            </w:tcBorders>
          </w:tcPr>
          <w:p w14:paraId="3D75224C" w14:textId="08BB69B4" w:rsidR="00F370FE" w:rsidRPr="00183B5F" w:rsidRDefault="00F370FE" w:rsidP="004062FE">
            <w:pPr>
              <w:widowControl w:val="0"/>
              <w:suppressAutoHyphens w:val="0"/>
              <w:spacing w:line="240" w:lineRule="auto"/>
              <w:jc w:val="center"/>
              <w:rPr>
                <w:del w:id="5136" w:author="AbbVie_HU_03" w:date="2025-05-14T15:27:00Z"/>
                <w:b/>
              </w:rPr>
            </w:pPr>
          </w:p>
        </w:tc>
        <w:tc>
          <w:tcPr>
            <w:tcW w:w="2107" w:type="dxa"/>
            <w:tcBorders>
              <w:top w:val="single" w:sz="4" w:space="0" w:color="auto"/>
            </w:tcBorders>
          </w:tcPr>
          <w:p w14:paraId="51B19892" w14:textId="6A6B2796" w:rsidR="00F370FE" w:rsidRPr="00183B5F" w:rsidRDefault="00943743">
            <w:pPr>
              <w:pStyle w:val="EMEANormal"/>
              <w:widowControl w:val="0"/>
              <w:suppressAutoHyphens w:val="0"/>
              <w:rPr>
                <w:del w:id="5137" w:author="AbbVie_HU_03" w:date="2025-05-14T15:27:00Z"/>
                <w:lang w:val="hu-HU"/>
              </w:rPr>
            </w:pPr>
            <w:del w:id="5138" w:author="AbbVie_HU_03" w:date="2025-05-14T15:27:00Z">
              <w:r w:rsidRPr="00183B5F">
                <w:rPr>
                  <w:lang w:val="hu-HU"/>
                </w:rPr>
                <w:delText>Nem ismert</w:delText>
              </w:r>
            </w:del>
          </w:p>
        </w:tc>
        <w:tc>
          <w:tcPr>
            <w:tcW w:w="4451" w:type="dxa"/>
            <w:tcBorders>
              <w:top w:val="single" w:sz="4" w:space="0" w:color="auto"/>
            </w:tcBorders>
          </w:tcPr>
          <w:p w14:paraId="25370683" w14:textId="56E633C3" w:rsidR="00F370FE" w:rsidRPr="00183B5F" w:rsidRDefault="00943743">
            <w:pPr>
              <w:pStyle w:val="EMEANormal"/>
              <w:widowControl w:val="0"/>
              <w:suppressAutoHyphens w:val="0"/>
              <w:rPr>
                <w:del w:id="5139" w:author="AbbVie_HU_03" w:date="2025-05-14T15:27:00Z"/>
                <w:lang w:val="hu-HU"/>
              </w:rPr>
            </w:pPr>
            <w:del w:id="5140" w:author="AbbVie_HU_03" w:date="2025-05-14T15:27:00Z">
              <w:r w:rsidRPr="00183B5F">
                <w:rPr>
                  <w:lang w:val="hu-HU"/>
                </w:rPr>
                <w:delText>Dermatomyositis tüneteinek súlyosbodása</w:delText>
              </w:r>
              <w:r w:rsidRPr="00183B5F">
                <w:rPr>
                  <w:vertAlign w:val="superscript"/>
                  <w:lang w:val="hu-HU"/>
                </w:rPr>
                <w:delText>1)</w:delText>
              </w:r>
            </w:del>
          </w:p>
        </w:tc>
      </w:tr>
      <w:tr w:rsidR="00011D2F" w14:paraId="27F082CB" w14:textId="3A10780A" w:rsidTr="00202B95">
        <w:trPr>
          <w:cantSplit/>
          <w:del w:id="5141" w:author="AbbVie_HU_03" w:date="2025-05-14T15:27:00Z"/>
        </w:trPr>
        <w:tc>
          <w:tcPr>
            <w:tcW w:w="2503" w:type="dxa"/>
            <w:vMerge w:val="restart"/>
          </w:tcPr>
          <w:p w14:paraId="1638BBE4" w14:textId="1E866FF0" w:rsidR="00AC5066" w:rsidRPr="00183B5F" w:rsidRDefault="00943743" w:rsidP="004062FE">
            <w:pPr>
              <w:pStyle w:val="EMEANormal"/>
              <w:widowControl w:val="0"/>
              <w:suppressAutoHyphens w:val="0"/>
              <w:rPr>
                <w:del w:id="5142" w:author="AbbVie_HU_03" w:date="2025-05-14T15:27:00Z"/>
                <w:szCs w:val="22"/>
                <w:lang w:val="hu-HU"/>
              </w:rPr>
            </w:pPr>
            <w:del w:id="5143" w:author="AbbVie_HU_03" w:date="2025-05-14T15:27:00Z">
              <w:r w:rsidRPr="00183B5F">
                <w:rPr>
                  <w:szCs w:val="22"/>
                  <w:lang w:val="hu-HU"/>
                </w:rPr>
                <w:delText>A csont- és izomrendszer, valamint a kötőszövet betegségei és tünetei</w:delText>
              </w:r>
            </w:del>
          </w:p>
        </w:tc>
        <w:tc>
          <w:tcPr>
            <w:tcW w:w="2107" w:type="dxa"/>
            <w:tcBorders>
              <w:bottom w:val="single" w:sz="4" w:space="0" w:color="auto"/>
            </w:tcBorders>
          </w:tcPr>
          <w:p w14:paraId="198CD71F" w14:textId="40A3D0FF" w:rsidR="00AC5066" w:rsidRPr="00183B5F" w:rsidRDefault="00943743" w:rsidP="004062FE">
            <w:pPr>
              <w:pStyle w:val="EMEANormal"/>
              <w:widowControl w:val="0"/>
              <w:suppressAutoHyphens w:val="0"/>
              <w:rPr>
                <w:del w:id="5144" w:author="AbbVie_HU_03" w:date="2025-05-14T15:27:00Z"/>
                <w:lang w:val="hu-HU"/>
              </w:rPr>
            </w:pPr>
            <w:del w:id="5145" w:author="AbbVie_HU_03" w:date="2025-05-14T15:27:00Z">
              <w:r w:rsidRPr="00183B5F">
                <w:rPr>
                  <w:lang w:val="hu-HU"/>
                </w:rPr>
                <w:delText>Nagyon gyakori</w:delText>
              </w:r>
            </w:del>
          </w:p>
          <w:p w14:paraId="4B258A11" w14:textId="67958F64" w:rsidR="00AC5066" w:rsidRPr="00183B5F" w:rsidRDefault="00AC5066" w:rsidP="004062FE">
            <w:pPr>
              <w:pStyle w:val="EMEANormal"/>
              <w:widowControl w:val="0"/>
              <w:suppressAutoHyphens w:val="0"/>
              <w:rPr>
                <w:del w:id="5146" w:author="AbbVie_HU_03" w:date="2025-05-14T15:27:00Z"/>
                <w:lang w:val="hu-HU"/>
              </w:rPr>
            </w:pPr>
          </w:p>
        </w:tc>
        <w:tc>
          <w:tcPr>
            <w:tcW w:w="4451" w:type="dxa"/>
            <w:tcBorders>
              <w:bottom w:val="single" w:sz="4" w:space="0" w:color="auto"/>
            </w:tcBorders>
          </w:tcPr>
          <w:p w14:paraId="7A2E84CA" w14:textId="08194F98" w:rsidR="00AC5066" w:rsidRPr="00183B5F" w:rsidRDefault="00943743" w:rsidP="004062FE">
            <w:pPr>
              <w:pStyle w:val="EMEANormal"/>
              <w:widowControl w:val="0"/>
              <w:suppressAutoHyphens w:val="0"/>
              <w:rPr>
                <w:del w:id="5147" w:author="AbbVie_HU_03" w:date="2025-05-14T15:27:00Z"/>
                <w:lang w:val="hu-HU"/>
              </w:rPr>
            </w:pPr>
            <w:del w:id="5148" w:author="AbbVie_HU_03" w:date="2025-05-14T15:27:00Z">
              <w:r w:rsidRPr="00183B5F">
                <w:rPr>
                  <w:lang w:val="hu-HU"/>
                </w:rPr>
                <w:delText>Mozgásszervi eredetű fájdalom</w:delText>
              </w:r>
            </w:del>
          </w:p>
          <w:p w14:paraId="65A938AF" w14:textId="4E0F3FD4" w:rsidR="00AC5066" w:rsidRPr="00183B5F" w:rsidRDefault="00AC5066" w:rsidP="004062FE">
            <w:pPr>
              <w:pStyle w:val="EMEANormal"/>
              <w:widowControl w:val="0"/>
              <w:suppressAutoHyphens w:val="0"/>
              <w:rPr>
                <w:del w:id="5149" w:author="AbbVie_HU_03" w:date="2025-05-14T15:27:00Z"/>
                <w:lang w:val="hu-HU"/>
              </w:rPr>
            </w:pPr>
          </w:p>
        </w:tc>
      </w:tr>
      <w:tr w:rsidR="00011D2F" w14:paraId="0E7EC906" w14:textId="3AC37289" w:rsidTr="00202B95">
        <w:trPr>
          <w:cantSplit/>
          <w:del w:id="5150" w:author="AbbVie_HU_03" w:date="2025-05-14T15:27:00Z"/>
        </w:trPr>
        <w:tc>
          <w:tcPr>
            <w:tcW w:w="2503" w:type="dxa"/>
            <w:vMerge/>
          </w:tcPr>
          <w:p w14:paraId="50D66AD4" w14:textId="24D9F12D" w:rsidR="00AC5066" w:rsidRPr="00183B5F" w:rsidRDefault="00AC5066" w:rsidP="004062FE">
            <w:pPr>
              <w:pStyle w:val="EMEANormal"/>
              <w:widowControl w:val="0"/>
              <w:suppressAutoHyphens w:val="0"/>
              <w:rPr>
                <w:del w:id="5151" w:author="AbbVie_HU_03" w:date="2025-05-14T15:27:00Z"/>
                <w:lang w:val="hu-HU"/>
              </w:rPr>
            </w:pPr>
          </w:p>
        </w:tc>
        <w:tc>
          <w:tcPr>
            <w:tcW w:w="2107" w:type="dxa"/>
            <w:tcBorders>
              <w:top w:val="single" w:sz="4" w:space="0" w:color="auto"/>
              <w:bottom w:val="single" w:sz="4" w:space="0" w:color="auto"/>
            </w:tcBorders>
          </w:tcPr>
          <w:p w14:paraId="4CCD32FD" w14:textId="7966D250" w:rsidR="00AC5066" w:rsidRPr="00183B5F" w:rsidRDefault="00943743" w:rsidP="004062FE">
            <w:pPr>
              <w:pStyle w:val="EMEANormal"/>
              <w:widowControl w:val="0"/>
              <w:suppressAutoHyphens w:val="0"/>
              <w:rPr>
                <w:del w:id="5152" w:author="AbbVie_HU_03" w:date="2025-05-14T15:27:00Z"/>
                <w:lang w:val="hu-HU"/>
              </w:rPr>
            </w:pPr>
            <w:del w:id="5153" w:author="AbbVie_HU_03" w:date="2025-05-14T15:27:00Z">
              <w:r w:rsidRPr="00183B5F">
                <w:rPr>
                  <w:lang w:val="hu-HU"/>
                </w:rPr>
                <w:delText>Gyakori</w:delText>
              </w:r>
            </w:del>
          </w:p>
        </w:tc>
        <w:tc>
          <w:tcPr>
            <w:tcW w:w="4451" w:type="dxa"/>
            <w:tcBorders>
              <w:top w:val="single" w:sz="4" w:space="0" w:color="auto"/>
              <w:bottom w:val="single" w:sz="4" w:space="0" w:color="auto"/>
            </w:tcBorders>
          </w:tcPr>
          <w:p w14:paraId="7729E3EE" w14:textId="4CDACC50" w:rsidR="00AC5066" w:rsidRPr="00183B5F" w:rsidRDefault="00943743" w:rsidP="004062FE">
            <w:pPr>
              <w:pStyle w:val="EMEANormal"/>
              <w:widowControl w:val="0"/>
              <w:suppressAutoHyphens w:val="0"/>
              <w:rPr>
                <w:del w:id="5154" w:author="AbbVie_HU_03" w:date="2025-05-14T15:27:00Z"/>
                <w:lang w:val="hu-HU"/>
              </w:rPr>
            </w:pPr>
            <w:del w:id="5155" w:author="AbbVie_HU_03" w:date="2025-05-14T15:27:00Z">
              <w:r w:rsidRPr="00183B5F">
                <w:rPr>
                  <w:lang w:val="hu-HU"/>
                </w:rPr>
                <w:delText>Izomspasmus (beleértve a kreatin</w:delText>
              </w:r>
              <w:r w:rsidRPr="00183B5F">
                <w:rPr>
                  <w:lang w:val="hu-HU"/>
                </w:rPr>
                <w:noBreakHyphen/>
                <w:delText>foszfokináz</w:delText>
              </w:r>
              <w:r w:rsidR="00DC71C1" w:rsidRPr="00183B5F">
                <w:rPr>
                  <w:lang w:val="hu-HU"/>
                </w:rPr>
                <w:noBreakHyphen/>
              </w:r>
              <w:r w:rsidRPr="00183B5F">
                <w:rPr>
                  <w:lang w:val="hu-HU"/>
                </w:rPr>
                <w:delText xml:space="preserve">szint emelkedését is a vérben) </w:delText>
              </w:r>
            </w:del>
          </w:p>
          <w:p w14:paraId="1D1A215E" w14:textId="00DD0989" w:rsidR="00AC5066" w:rsidRPr="00183B5F" w:rsidRDefault="00AC5066" w:rsidP="004062FE">
            <w:pPr>
              <w:pStyle w:val="EMEANormal"/>
              <w:widowControl w:val="0"/>
              <w:suppressAutoHyphens w:val="0"/>
              <w:rPr>
                <w:del w:id="5156" w:author="AbbVie_HU_03" w:date="2025-05-14T15:27:00Z"/>
                <w:lang w:val="hu-HU"/>
              </w:rPr>
            </w:pPr>
          </w:p>
        </w:tc>
      </w:tr>
      <w:tr w:rsidR="00011D2F" w14:paraId="101FB424" w14:textId="1377ECEA" w:rsidTr="00202B95">
        <w:trPr>
          <w:cantSplit/>
          <w:del w:id="5157" w:author="AbbVie_HU_03" w:date="2025-05-14T15:27:00Z"/>
        </w:trPr>
        <w:tc>
          <w:tcPr>
            <w:tcW w:w="2503" w:type="dxa"/>
            <w:vMerge/>
          </w:tcPr>
          <w:p w14:paraId="30F2B5A9" w14:textId="770DBA39" w:rsidR="00AC5066" w:rsidRPr="00183B5F" w:rsidRDefault="00AC5066" w:rsidP="004062FE">
            <w:pPr>
              <w:widowControl w:val="0"/>
              <w:suppressAutoHyphens w:val="0"/>
              <w:spacing w:line="240" w:lineRule="auto"/>
              <w:jc w:val="center"/>
              <w:rPr>
                <w:del w:id="5158" w:author="AbbVie_HU_03" w:date="2025-05-14T15:27:00Z"/>
                <w:b/>
              </w:rPr>
            </w:pPr>
          </w:p>
        </w:tc>
        <w:tc>
          <w:tcPr>
            <w:tcW w:w="2107" w:type="dxa"/>
            <w:tcBorders>
              <w:top w:val="single" w:sz="4" w:space="0" w:color="auto"/>
            </w:tcBorders>
          </w:tcPr>
          <w:p w14:paraId="6A2FDCFF" w14:textId="06476C04" w:rsidR="00AC5066" w:rsidRPr="00183B5F" w:rsidRDefault="00943743">
            <w:pPr>
              <w:pStyle w:val="EMEANormal"/>
              <w:widowControl w:val="0"/>
              <w:suppressAutoHyphens w:val="0"/>
              <w:rPr>
                <w:del w:id="5159" w:author="AbbVie_HU_03" w:date="2025-05-14T15:27:00Z"/>
                <w:lang w:val="hu-HU"/>
              </w:rPr>
            </w:pPr>
            <w:del w:id="5160" w:author="AbbVie_HU_03" w:date="2025-05-14T15:27:00Z">
              <w:r w:rsidRPr="00183B5F">
                <w:rPr>
                  <w:lang w:val="hu-HU"/>
                </w:rPr>
                <w:delText>Nem gyakori</w:delText>
              </w:r>
            </w:del>
          </w:p>
        </w:tc>
        <w:tc>
          <w:tcPr>
            <w:tcW w:w="4451" w:type="dxa"/>
            <w:tcBorders>
              <w:top w:val="single" w:sz="4" w:space="0" w:color="auto"/>
            </w:tcBorders>
          </w:tcPr>
          <w:p w14:paraId="493E2337" w14:textId="5A9A3A92" w:rsidR="00C17B6B" w:rsidRPr="00183B5F" w:rsidRDefault="00943743">
            <w:pPr>
              <w:pStyle w:val="EMEANormal"/>
              <w:widowControl w:val="0"/>
              <w:suppressAutoHyphens w:val="0"/>
              <w:rPr>
                <w:del w:id="5161" w:author="AbbVie_HU_03" w:date="2025-05-14T15:27:00Z"/>
                <w:lang w:val="hu-HU"/>
              </w:rPr>
            </w:pPr>
            <w:del w:id="5162" w:author="AbbVie_HU_03" w:date="2025-05-14T15:27:00Z">
              <w:r w:rsidRPr="00183B5F">
                <w:rPr>
                  <w:lang w:val="hu-HU"/>
                </w:rPr>
                <w:delText>R</w:delText>
              </w:r>
              <w:r w:rsidR="00AC5066" w:rsidRPr="00183B5F">
                <w:rPr>
                  <w:lang w:val="hu-HU"/>
                </w:rPr>
                <w:delText>habdomyolysis</w:delText>
              </w:r>
              <w:r w:rsidR="00C448DE" w:rsidRPr="00183B5F">
                <w:rPr>
                  <w:lang w:val="hu-HU"/>
                </w:rPr>
                <w:delText xml:space="preserve">, </w:delText>
              </w:r>
            </w:del>
          </w:p>
          <w:p w14:paraId="6FD9C321" w14:textId="654E9A07" w:rsidR="00AC5066" w:rsidRPr="00183B5F" w:rsidRDefault="00943743">
            <w:pPr>
              <w:pStyle w:val="EMEANormal"/>
              <w:widowControl w:val="0"/>
              <w:suppressAutoHyphens w:val="0"/>
              <w:rPr>
                <w:del w:id="5163" w:author="AbbVie_HU_03" w:date="2025-05-14T15:27:00Z"/>
                <w:lang w:val="hu-HU"/>
              </w:rPr>
            </w:pPr>
            <w:del w:id="5164" w:author="AbbVie_HU_03" w:date="2025-05-14T15:27:00Z">
              <w:r w:rsidRPr="00183B5F">
                <w:rPr>
                  <w:lang w:val="hu-HU"/>
                </w:rPr>
                <w:delText>szisztémás lupus erythematosus</w:delText>
              </w:r>
            </w:del>
          </w:p>
        </w:tc>
      </w:tr>
      <w:tr w:rsidR="00011D2F" w14:paraId="67DC5144" w14:textId="458398F0" w:rsidTr="00202B95">
        <w:trPr>
          <w:cantSplit/>
          <w:del w:id="5165" w:author="AbbVie_HU_03" w:date="2025-05-14T15:27:00Z"/>
        </w:trPr>
        <w:tc>
          <w:tcPr>
            <w:tcW w:w="2503" w:type="dxa"/>
            <w:vMerge/>
          </w:tcPr>
          <w:p w14:paraId="2B4E72F7" w14:textId="7AC895D6" w:rsidR="00AC5066" w:rsidRPr="00183B5F" w:rsidRDefault="00AC5066" w:rsidP="004062FE">
            <w:pPr>
              <w:widowControl w:val="0"/>
              <w:suppressAutoHyphens w:val="0"/>
              <w:spacing w:line="240" w:lineRule="auto"/>
              <w:jc w:val="center"/>
              <w:rPr>
                <w:del w:id="5166" w:author="AbbVie_HU_03" w:date="2025-05-14T15:27:00Z"/>
                <w:b/>
              </w:rPr>
            </w:pPr>
          </w:p>
        </w:tc>
        <w:tc>
          <w:tcPr>
            <w:tcW w:w="2107" w:type="dxa"/>
            <w:tcBorders>
              <w:top w:val="nil"/>
              <w:bottom w:val="single" w:sz="4" w:space="0" w:color="auto"/>
            </w:tcBorders>
          </w:tcPr>
          <w:p w14:paraId="7B9D35CF" w14:textId="5104DD25" w:rsidR="00AC5066" w:rsidRPr="00183B5F" w:rsidRDefault="00943743">
            <w:pPr>
              <w:pStyle w:val="EMEANormal"/>
              <w:widowControl w:val="0"/>
              <w:suppressAutoHyphens w:val="0"/>
              <w:rPr>
                <w:del w:id="5167" w:author="AbbVie_HU_03" w:date="2025-05-14T15:27:00Z"/>
                <w:lang w:val="hu-HU"/>
              </w:rPr>
            </w:pPr>
            <w:del w:id="5168" w:author="AbbVie_HU_03" w:date="2025-05-14T15:27:00Z">
              <w:r w:rsidRPr="00183B5F">
                <w:rPr>
                  <w:lang w:val="hu-HU"/>
                </w:rPr>
                <w:delText>Ritka</w:delText>
              </w:r>
            </w:del>
          </w:p>
          <w:p w14:paraId="59263C5C" w14:textId="42A4C7C2" w:rsidR="00AC5066" w:rsidRPr="00183B5F" w:rsidRDefault="00AC5066">
            <w:pPr>
              <w:pStyle w:val="EMEANormal"/>
              <w:widowControl w:val="0"/>
              <w:suppressAutoHyphens w:val="0"/>
              <w:rPr>
                <w:del w:id="5169" w:author="AbbVie_HU_03" w:date="2025-05-14T15:27:00Z"/>
                <w:lang w:val="hu-HU"/>
              </w:rPr>
            </w:pPr>
          </w:p>
        </w:tc>
        <w:tc>
          <w:tcPr>
            <w:tcW w:w="4451" w:type="dxa"/>
            <w:tcBorders>
              <w:top w:val="nil"/>
              <w:bottom w:val="single" w:sz="4" w:space="0" w:color="auto"/>
            </w:tcBorders>
          </w:tcPr>
          <w:p w14:paraId="2AE6807F" w14:textId="323F67F3" w:rsidR="002D1422" w:rsidRPr="00183B5F" w:rsidRDefault="00943743">
            <w:pPr>
              <w:pStyle w:val="EMEANormal"/>
              <w:widowControl w:val="0"/>
              <w:suppressAutoHyphens w:val="0"/>
              <w:rPr>
                <w:del w:id="5170" w:author="AbbVie_HU_03" w:date="2025-05-14T15:27:00Z"/>
                <w:lang w:val="hu-HU"/>
              </w:rPr>
            </w:pPr>
            <w:del w:id="5171" w:author="AbbVie_HU_03" w:date="2025-05-14T15:27:00Z">
              <w:r w:rsidRPr="00183B5F">
                <w:rPr>
                  <w:lang w:val="hu-HU"/>
                </w:rPr>
                <w:delText>Lupus-szerű szindróma</w:delText>
              </w:r>
              <w:r w:rsidR="005A762A" w:rsidRPr="00183B5F">
                <w:rPr>
                  <w:vertAlign w:val="superscript"/>
                  <w:lang w:val="hu-HU"/>
                </w:rPr>
                <w:delText>1)</w:delText>
              </w:r>
            </w:del>
          </w:p>
        </w:tc>
      </w:tr>
      <w:tr w:rsidR="00011D2F" w14:paraId="440F773D" w14:textId="30C4FAAE" w:rsidTr="00202B95">
        <w:trPr>
          <w:cantSplit/>
          <w:del w:id="5172" w:author="AbbVie_HU_03" w:date="2025-05-14T15:27:00Z"/>
        </w:trPr>
        <w:tc>
          <w:tcPr>
            <w:tcW w:w="2503" w:type="dxa"/>
            <w:vMerge w:val="restart"/>
          </w:tcPr>
          <w:p w14:paraId="0A268256" w14:textId="5E79C1CA" w:rsidR="00AC5066" w:rsidRPr="00183B5F" w:rsidRDefault="00943743" w:rsidP="004062FE">
            <w:pPr>
              <w:pStyle w:val="EMEANormal"/>
              <w:widowControl w:val="0"/>
              <w:suppressAutoHyphens w:val="0"/>
              <w:rPr>
                <w:del w:id="5173" w:author="AbbVie_HU_03" w:date="2025-05-14T15:27:00Z"/>
                <w:szCs w:val="22"/>
                <w:lang w:val="hu-HU"/>
              </w:rPr>
            </w:pPr>
            <w:del w:id="5174" w:author="AbbVie_HU_03" w:date="2025-05-14T15:27:00Z">
              <w:r w:rsidRPr="00183B5F">
                <w:rPr>
                  <w:szCs w:val="22"/>
                  <w:lang w:val="hu-HU"/>
                </w:rPr>
                <w:delText>Vese- és húgyúti betegségek és tünetek</w:delText>
              </w:r>
            </w:del>
          </w:p>
        </w:tc>
        <w:tc>
          <w:tcPr>
            <w:tcW w:w="2107" w:type="dxa"/>
            <w:tcBorders>
              <w:bottom w:val="single" w:sz="4" w:space="0" w:color="auto"/>
            </w:tcBorders>
          </w:tcPr>
          <w:p w14:paraId="0262CE8D" w14:textId="751252F7" w:rsidR="00AC5066" w:rsidRPr="00183B5F" w:rsidRDefault="00943743" w:rsidP="004062FE">
            <w:pPr>
              <w:pStyle w:val="EMEANormal"/>
              <w:widowControl w:val="0"/>
              <w:suppressAutoHyphens w:val="0"/>
              <w:rPr>
                <w:del w:id="5175" w:author="AbbVie_HU_03" w:date="2025-05-14T15:27:00Z"/>
                <w:lang w:val="hu-HU"/>
              </w:rPr>
            </w:pPr>
            <w:del w:id="5176" w:author="AbbVie_HU_03" w:date="2025-05-14T15:27:00Z">
              <w:r w:rsidRPr="00183B5F">
                <w:rPr>
                  <w:lang w:val="hu-HU"/>
                </w:rPr>
                <w:delText>Gyakori</w:delText>
              </w:r>
            </w:del>
          </w:p>
          <w:p w14:paraId="239A9845" w14:textId="5B05BF79" w:rsidR="00AC5066" w:rsidRPr="00183B5F" w:rsidRDefault="00AC5066" w:rsidP="004062FE">
            <w:pPr>
              <w:pStyle w:val="EMEANormal"/>
              <w:widowControl w:val="0"/>
              <w:suppressAutoHyphens w:val="0"/>
              <w:rPr>
                <w:del w:id="5177" w:author="AbbVie_HU_03" w:date="2025-05-14T15:27:00Z"/>
                <w:lang w:val="hu-HU"/>
              </w:rPr>
            </w:pPr>
          </w:p>
        </w:tc>
        <w:tc>
          <w:tcPr>
            <w:tcW w:w="4451" w:type="dxa"/>
            <w:tcBorders>
              <w:bottom w:val="single" w:sz="4" w:space="0" w:color="auto"/>
            </w:tcBorders>
          </w:tcPr>
          <w:p w14:paraId="7CD04683" w14:textId="42E3DEE9" w:rsidR="00AC5066" w:rsidRPr="00183B5F" w:rsidRDefault="00943743" w:rsidP="004062FE">
            <w:pPr>
              <w:pStyle w:val="EMEANormal"/>
              <w:widowControl w:val="0"/>
              <w:suppressAutoHyphens w:val="0"/>
              <w:rPr>
                <w:del w:id="5178" w:author="AbbVie_HU_03" w:date="2025-05-14T15:27:00Z"/>
                <w:lang w:val="hu-HU"/>
              </w:rPr>
            </w:pPr>
            <w:del w:id="5179" w:author="AbbVie_HU_03" w:date="2025-05-14T15:27:00Z">
              <w:r w:rsidRPr="00183B5F">
                <w:rPr>
                  <w:lang w:val="hu-HU"/>
                </w:rPr>
                <w:delText>Beszűkült vesefunkció</w:delText>
              </w:r>
              <w:r w:rsidR="002D1422" w:rsidRPr="00183B5F">
                <w:rPr>
                  <w:lang w:val="hu-HU"/>
                </w:rPr>
                <w:delText>,</w:delText>
              </w:r>
            </w:del>
          </w:p>
          <w:p w14:paraId="5D2E1051" w14:textId="76BC8D8F" w:rsidR="002D1422" w:rsidRPr="00183B5F" w:rsidRDefault="00943743" w:rsidP="004062FE">
            <w:pPr>
              <w:pStyle w:val="EMEANormal"/>
              <w:widowControl w:val="0"/>
              <w:suppressAutoHyphens w:val="0"/>
              <w:rPr>
                <w:del w:id="5180" w:author="AbbVie_HU_03" w:date="2025-05-14T15:27:00Z"/>
                <w:lang w:val="hu-HU"/>
              </w:rPr>
            </w:pPr>
            <w:del w:id="5181" w:author="AbbVie_HU_03" w:date="2025-05-14T15:27:00Z">
              <w:r w:rsidRPr="00183B5F">
                <w:rPr>
                  <w:lang w:val="hu-HU"/>
                </w:rPr>
                <w:delText>haematuria</w:delText>
              </w:r>
            </w:del>
          </w:p>
          <w:p w14:paraId="4B34CFAA" w14:textId="3A8F9146" w:rsidR="00AC5066" w:rsidRPr="00183B5F" w:rsidRDefault="00AC5066" w:rsidP="004062FE">
            <w:pPr>
              <w:pStyle w:val="EMEANormal"/>
              <w:widowControl w:val="0"/>
              <w:suppressAutoHyphens w:val="0"/>
              <w:rPr>
                <w:del w:id="5182" w:author="AbbVie_HU_03" w:date="2025-05-14T15:27:00Z"/>
                <w:lang w:val="hu-HU"/>
              </w:rPr>
            </w:pPr>
          </w:p>
        </w:tc>
      </w:tr>
      <w:tr w:rsidR="00011D2F" w14:paraId="18FC49F7" w14:textId="2C016F37" w:rsidTr="00202B95">
        <w:trPr>
          <w:cantSplit/>
          <w:del w:id="5183" w:author="AbbVie_HU_03" w:date="2025-05-14T15:27:00Z"/>
        </w:trPr>
        <w:tc>
          <w:tcPr>
            <w:tcW w:w="2503" w:type="dxa"/>
            <w:vMerge/>
          </w:tcPr>
          <w:p w14:paraId="205E27C5" w14:textId="0FD1AD4C" w:rsidR="00AC5066" w:rsidRPr="00183B5F" w:rsidRDefault="00AC5066" w:rsidP="004062FE">
            <w:pPr>
              <w:widowControl w:val="0"/>
              <w:suppressAutoHyphens w:val="0"/>
              <w:spacing w:line="240" w:lineRule="auto"/>
              <w:jc w:val="center"/>
              <w:rPr>
                <w:del w:id="5184" w:author="AbbVie_HU_03" w:date="2025-05-14T15:27:00Z"/>
                <w:b/>
              </w:rPr>
            </w:pPr>
          </w:p>
        </w:tc>
        <w:tc>
          <w:tcPr>
            <w:tcW w:w="2107" w:type="dxa"/>
            <w:tcBorders>
              <w:top w:val="single" w:sz="4" w:space="0" w:color="auto"/>
            </w:tcBorders>
          </w:tcPr>
          <w:p w14:paraId="5728646A" w14:textId="50131EFE" w:rsidR="00AC5066" w:rsidRPr="00183B5F" w:rsidRDefault="00943743">
            <w:pPr>
              <w:pStyle w:val="EMEANormal"/>
              <w:widowControl w:val="0"/>
              <w:suppressAutoHyphens w:val="0"/>
              <w:rPr>
                <w:del w:id="5185" w:author="AbbVie_HU_03" w:date="2025-05-14T15:27:00Z"/>
                <w:lang w:val="hu-HU"/>
              </w:rPr>
            </w:pPr>
            <w:del w:id="5186" w:author="AbbVie_HU_03" w:date="2025-05-14T15:27:00Z">
              <w:r w:rsidRPr="00183B5F">
                <w:rPr>
                  <w:lang w:val="hu-HU"/>
                </w:rPr>
                <w:delText>Nem gyakori</w:delText>
              </w:r>
            </w:del>
          </w:p>
        </w:tc>
        <w:tc>
          <w:tcPr>
            <w:tcW w:w="4451" w:type="dxa"/>
            <w:tcBorders>
              <w:top w:val="single" w:sz="4" w:space="0" w:color="auto"/>
            </w:tcBorders>
          </w:tcPr>
          <w:p w14:paraId="43A12B05" w14:textId="6BA820DB" w:rsidR="00AC5066" w:rsidRPr="00183B5F" w:rsidRDefault="00943743">
            <w:pPr>
              <w:pStyle w:val="EMEANormal"/>
              <w:widowControl w:val="0"/>
              <w:suppressAutoHyphens w:val="0"/>
              <w:rPr>
                <w:del w:id="5187" w:author="AbbVie_HU_03" w:date="2025-05-14T15:27:00Z"/>
                <w:lang w:val="hu-HU"/>
              </w:rPr>
            </w:pPr>
            <w:del w:id="5188" w:author="AbbVie_HU_03" w:date="2025-05-14T15:27:00Z">
              <w:r w:rsidRPr="00183B5F">
                <w:rPr>
                  <w:lang w:val="hu-HU"/>
                </w:rPr>
                <w:delText>Nocturia</w:delText>
              </w:r>
            </w:del>
          </w:p>
        </w:tc>
      </w:tr>
      <w:tr w:rsidR="00011D2F" w14:paraId="36EE2813" w14:textId="1214D73B" w:rsidTr="00202B95">
        <w:trPr>
          <w:cantSplit/>
          <w:del w:id="5189" w:author="AbbVie_HU_03" w:date="2025-05-14T15:27:00Z"/>
        </w:trPr>
        <w:tc>
          <w:tcPr>
            <w:tcW w:w="2503" w:type="dxa"/>
          </w:tcPr>
          <w:p w14:paraId="21AE58D5" w14:textId="7E19A590" w:rsidR="00AC5066" w:rsidRPr="00183B5F" w:rsidRDefault="00943743" w:rsidP="004062FE">
            <w:pPr>
              <w:pStyle w:val="EMEANormal"/>
              <w:widowControl w:val="0"/>
              <w:suppressAutoHyphens w:val="0"/>
              <w:rPr>
                <w:del w:id="5190" w:author="AbbVie_HU_03" w:date="2025-05-14T15:27:00Z"/>
                <w:szCs w:val="22"/>
                <w:lang w:val="hu-HU"/>
              </w:rPr>
            </w:pPr>
            <w:del w:id="5191" w:author="AbbVie_HU_03" w:date="2025-05-14T15:27:00Z">
              <w:r w:rsidRPr="00183B5F">
                <w:rPr>
                  <w:szCs w:val="22"/>
                  <w:lang w:val="hu-HU"/>
                </w:rPr>
                <w:delText>A nemi szervekkel és az emlőkkel kapcsolatos betegségek és tünetek</w:delText>
              </w:r>
            </w:del>
          </w:p>
        </w:tc>
        <w:tc>
          <w:tcPr>
            <w:tcW w:w="2107" w:type="dxa"/>
            <w:tcBorders>
              <w:bottom w:val="single" w:sz="4" w:space="0" w:color="auto"/>
            </w:tcBorders>
          </w:tcPr>
          <w:p w14:paraId="38929D86" w14:textId="261759A1" w:rsidR="00AC5066" w:rsidRPr="00183B5F" w:rsidRDefault="00943743" w:rsidP="004062FE">
            <w:pPr>
              <w:pStyle w:val="EMEANormal"/>
              <w:widowControl w:val="0"/>
              <w:suppressAutoHyphens w:val="0"/>
              <w:rPr>
                <w:del w:id="5192" w:author="AbbVie_HU_03" w:date="2025-05-14T15:27:00Z"/>
                <w:lang w:val="hu-HU"/>
              </w:rPr>
            </w:pPr>
            <w:del w:id="5193" w:author="AbbVie_HU_03" w:date="2025-05-14T15:27:00Z">
              <w:r w:rsidRPr="00183B5F">
                <w:rPr>
                  <w:lang w:val="hu-HU"/>
                </w:rPr>
                <w:delText>Nem gyakori</w:delText>
              </w:r>
            </w:del>
          </w:p>
        </w:tc>
        <w:tc>
          <w:tcPr>
            <w:tcW w:w="4451" w:type="dxa"/>
            <w:tcBorders>
              <w:bottom w:val="single" w:sz="4" w:space="0" w:color="auto"/>
            </w:tcBorders>
          </w:tcPr>
          <w:p w14:paraId="6BB1F5B8" w14:textId="009FBBD7" w:rsidR="00AC5066" w:rsidRPr="00183B5F" w:rsidRDefault="00943743" w:rsidP="004062FE">
            <w:pPr>
              <w:pStyle w:val="EMEANormal"/>
              <w:widowControl w:val="0"/>
              <w:suppressAutoHyphens w:val="0"/>
              <w:rPr>
                <w:del w:id="5194" w:author="AbbVie_HU_03" w:date="2025-05-14T15:27:00Z"/>
                <w:lang w:val="hu-HU"/>
              </w:rPr>
            </w:pPr>
            <w:del w:id="5195" w:author="AbbVie_HU_03" w:date="2025-05-14T15:27:00Z">
              <w:r w:rsidRPr="00183B5F">
                <w:rPr>
                  <w:lang w:val="hu-HU"/>
                </w:rPr>
                <w:delText>Erectilis dysfunctio</w:delText>
              </w:r>
            </w:del>
          </w:p>
          <w:p w14:paraId="252C7E18" w14:textId="0AF5C861" w:rsidR="00AC5066" w:rsidRPr="00183B5F" w:rsidRDefault="00AC5066" w:rsidP="004062FE">
            <w:pPr>
              <w:pStyle w:val="EMEANormal"/>
              <w:widowControl w:val="0"/>
              <w:suppressAutoHyphens w:val="0"/>
              <w:rPr>
                <w:del w:id="5196" w:author="AbbVie_HU_03" w:date="2025-05-14T15:27:00Z"/>
                <w:lang w:val="hu-HU"/>
              </w:rPr>
            </w:pPr>
          </w:p>
        </w:tc>
      </w:tr>
      <w:tr w:rsidR="00011D2F" w14:paraId="31BFD5FA" w14:textId="28EE0E94" w:rsidTr="00202B95">
        <w:trPr>
          <w:cantSplit/>
          <w:del w:id="5197" w:author="AbbVie_HU_03" w:date="2025-05-14T15:27:00Z"/>
        </w:trPr>
        <w:tc>
          <w:tcPr>
            <w:tcW w:w="2503" w:type="dxa"/>
            <w:vMerge w:val="restart"/>
          </w:tcPr>
          <w:p w14:paraId="69843412" w14:textId="24D70363" w:rsidR="00AC5066" w:rsidRPr="00183B5F" w:rsidRDefault="00943743" w:rsidP="004062FE">
            <w:pPr>
              <w:pStyle w:val="EMEANormal"/>
              <w:widowControl w:val="0"/>
              <w:suppressAutoHyphens w:val="0"/>
              <w:rPr>
                <w:del w:id="5198" w:author="AbbVie_HU_03" w:date="2025-05-14T15:27:00Z"/>
                <w:szCs w:val="22"/>
                <w:lang w:val="hu-HU"/>
              </w:rPr>
            </w:pPr>
            <w:del w:id="5199" w:author="AbbVie_HU_03" w:date="2025-05-14T15:27:00Z">
              <w:r w:rsidRPr="00183B5F">
                <w:rPr>
                  <w:szCs w:val="22"/>
                  <w:lang w:val="hu-HU"/>
                </w:rPr>
                <w:delText>Általános tünetek, az alkalmazás helyén fellépő reakciók*</w:delText>
              </w:r>
            </w:del>
          </w:p>
        </w:tc>
        <w:tc>
          <w:tcPr>
            <w:tcW w:w="2107" w:type="dxa"/>
            <w:tcBorders>
              <w:bottom w:val="single" w:sz="4" w:space="0" w:color="auto"/>
            </w:tcBorders>
          </w:tcPr>
          <w:p w14:paraId="0FCE8835" w14:textId="76F4C1BD" w:rsidR="00AC5066" w:rsidRPr="00183B5F" w:rsidRDefault="00943743" w:rsidP="004062FE">
            <w:pPr>
              <w:pStyle w:val="EMEANormal"/>
              <w:widowControl w:val="0"/>
              <w:suppressAutoHyphens w:val="0"/>
              <w:rPr>
                <w:del w:id="5200" w:author="AbbVie_HU_03" w:date="2025-05-14T15:27:00Z"/>
                <w:lang w:val="hu-HU"/>
              </w:rPr>
            </w:pPr>
            <w:del w:id="5201" w:author="AbbVie_HU_03" w:date="2025-05-14T15:27:00Z">
              <w:r w:rsidRPr="00183B5F">
                <w:rPr>
                  <w:lang w:val="hu-HU"/>
                </w:rPr>
                <w:delText>Nagyon gyakori</w:delText>
              </w:r>
            </w:del>
          </w:p>
          <w:p w14:paraId="014C21CA" w14:textId="26B9635A" w:rsidR="00AC5066" w:rsidRPr="00183B5F" w:rsidRDefault="00AC5066" w:rsidP="004062FE">
            <w:pPr>
              <w:pStyle w:val="EMEANormal"/>
              <w:widowControl w:val="0"/>
              <w:suppressAutoHyphens w:val="0"/>
              <w:rPr>
                <w:del w:id="5202" w:author="AbbVie_HU_03" w:date="2025-05-14T15:27:00Z"/>
                <w:lang w:val="hu-HU"/>
              </w:rPr>
            </w:pPr>
          </w:p>
        </w:tc>
        <w:tc>
          <w:tcPr>
            <w:tcW w:w="4451" w:type="dxa"/>
            <w:tcBorders>
              <w:bottom w:val="single" w:sz="4" w:space="0" w:color="auto"/>
            </w:tcBorders>
          </w:tcPr>
          <w:p w14:paraId="60B8EF43" w14:textId="5F8FC10E" w:rsidR="00AC5066" w:rsidRPr="00183B5F" w:rsidRDefault="00943743">
            <w:pPr>
              <w:pStyle w:val="EMEANormal"/>
              <w:widowControl w:val="0"/>
              <w:suppressAutoHyphens w:val="0"/>
              <w:rPr>
                <w:del w:id="5203" w:author="AbbVie_HU_03" w:date="2025-05-14T15:27:00Z"/>
                <w:lang w:val="hu-HU"/>
              </w:rPr>
            </w:pPr>
            <w:del w:id="5204" w:author="AbbVie_HU_03" w:date="2025-05-14T15:27:00Z">
              <w:r w:rsidRPr="00183B5F">
                <w:rPr>
                  <w:lang w:val="hu-HU"/>
                </w:rPr>
                <w:delText>Az injekció beadási helyén jelentkező reakció (beleértve az injekció beadási helyén jelentkező reakciót erythemát is)</w:delText>
              </w:r>
            </w:del>
          </w:p>
        </w:tc>
      </w:tr>
      <w:tr w:rsidR="00011D2F" w14:paraId="0D09471A" w14:textId="58519C42" w:rsidTr="00202B95">
        <w:trPr>
          <w:cantSplit/>
          <w:del w:id="5205" w:author="AbbVie_HU_03" w:date="2025-05-14T15:27:00Z"/>
        </w:trPr>
        <w:tc>
          <w:tcPr>
            <w:tcW w:w="2503" w:type="dxa"/>
            <w:vMerge/>
          </w:tcPr>
          <w:p w14:paraId="2780A7B2" w14:textId="4FB20B19" w:rsidR="00AC5066" w:rsidRPr="00183B5F" w:rsidRDefault="00AC5066" w:rsidP="004062FE">
            <w:pPr>
              <w:widowControl w:val="0"/>
              <w:suppressAutoHyphens w:val="0"/>
              <w:spacing w:line="240" w:lineRule="auto"/>
              <w:jc w:val="center"/>
              <w:rPr>
                <w:del w:id="5206" w:author="AbbVie_HU_03" w:date="2025-05-14T15:27:00Z"/>
                <w:b/>
              </w:rPr>
            </w:pPr>
          </w:p>
        </w:tc>
        <w:tc>
          <w:tcPr>
            <w:tcW w:w="2107" w:type="dxa"/>
            <w:tcBorders>
              <w:top w:val="single" w:sz="4" w:space="0" w:color="auto"/>
              <w:bottom w:val="single" w:sz="4" w:space="0" w:color="auto"/>
            </w:tcBorders>
          </w:tcPr>
          <w:p w14:paraId="0DAE2345" w14:textId="203E0F95" w:rsidR="00AC5066" w:rsidRPr="00183B5F" w:rsidRDefault="00943743">
            <w:pPr>
              <w:pStyle w:val="EMEANormal"/>
              <w:widowControl w:val="0"/>
              <w:suppressAutoHyphens w:val="0"/>
              <w:rPr>
                <w:del w:id="5207" w:author="AbbVie_HU_03" w:date="2025-05-14T15:27:00Z"/>
                <w:lang w:val="hu-HU"/>
              </w:rPr>
            </w:pPr>
            <w:del w:id="5208" w:author="AbbVie_HU_03" w:date="2025-05-14T15:27:00Z">
              <w:r w:rsidRPr="00183B5F">
                <w:rPr>
                  <w:lang w:val="hu-HU"/>
                </w:rPr>
                <w:delText>Gyakori</w:delText>
              </w:r>
            </w:del>
          </w:p>
          <w:p w14:paraId="6C8BCC1B" w14:textId="07E885B3" w:rsidR="00AC5066" w:rsidRPr="00183B5F" w:rsidRDefault="00AC5066">
            <w:pPr>
              <w:pStyle w:val="EMEANormal"/>
              <w:widowControl w:val="0"/>
              <w:suppressAutoHyphens w:val="0"/>
              <w:rPr>
                <w:del w:id="5209" w:author="AbbVie_HU_03" w:date="2025-05-14T15:27:00Z"/>
                <w:lang w:val="hu-HU"/>
              </w:rPr>
            </w:pPr>
          </w:p>
        </w:tc>
        <w:tc>
          <w:tcPr>
            <w:tcW w:w="4451" w:type="dxa"/>
            <w:tcBorders>
              <w:top w:val="single" w:sz="4" w:space="0" w:color="auto"/>
              <w:bottom w:val="single" w:sz="4" w:space="0" w:color="auto"/>
            </w:tcBorders>
          </w:tcPr>
          <w:p w14:paraId="4A2210EF" w14:textId="6F3B7763" w:rsidR="00AC5066" w:rsidRPr="00183B5F" w:rsidRDefault="00943743">
            <w:pPr>
              <w:pStyle w:val="EMEANormal"/>
              <w:widowControl w:val="0"/>
              <w:suppressAutoHyphens w:val="0"/>
              <w:rPr>
                <w:del w:id="5210" w:author="AbbVie_HU_03" w:date="2025-05-14T15:27:00Z"/>
                <w:lang w:val="hu-HU"/>
              </w:rPr>
            </w:pPr>
            <w:del w:id="5211" w:author="AbbVie_HU_03" w:date="2025-05-14T15:27:00Z">
              <w:r w:rsidRPr="00183B5F">
                <w:rPr>
                  <w:lang w:val="hu-HU"/>
                </w:rPr>
                <w:delText xml:space="preserve">Mellkasi fájdalom, </w:delText>
              </w:r>
            </w:del>
          </w:p>
          <w:p w14:paraId="17F074AC" w14:textId="1C5426CD" w:rsidR="00DF7D9E" w:rsidRPr="00183B5F" w:rsidRDefault="00943743">
            <w:pPr>
              <w:pStyle w:val="EMEANormal"/>
              <w:widowControl w:val="0"/>
              <w:suppressAutoHyphens w:val="0"/>
              <w:rPr>
                <w:del w:id="5212" w:author="AbbVie_HU_03" w:date="2025-05-14T15:27:00Z"/>
                <w:lang w:val="hu-HU"/>
              </w:rPr>
            </w:pPr>
            <w:del w:id="5213" w:author="AbbVie_HU_03" w:date="2025-05-14T15:27:00Z">
              <w:r w:rsidRPr="00183B5F">
                <w:rPr>
                  <w:lang w:val="hu-HU"/>
                </w:rPr>
                <w:delText>oedema,</w:delText>
              </w:r>
            </w:del>
          </w:p>
          <w:p w14:paraId="7EB8A7C6" w14:textId="4D553150" w:rsidR="00AC5066" w:rsidRPr="00183B5F" w:rsidRDefault="00943743">
            <w:pPr>
              <w:pStyle w:val="EMEANormal"/>
              <w:widowControl w:val="0"/>
              <w:suppressAutoHyphens w:val="0"/>
              <w:rPr>
                <w:del w:id="5214" w:author="AbbVie_HU_03" w:date="2025-05-14T15:27:00Z"/>
                <w:lang w:val="hu-HU"/>
              </w:rPr>
            </w:pPr>
            <w:del w:id="5215" w:author="AbbVie_HU_03" w:date="2025-05-14T15:27:00Z">
              <w:r w:rsidRPr="00183B5F">
                <w:rPr>
                  <w:lang w:val="hu-HU"/>
                </w:rPr>
                <w:delText>láz</w:delText>
              </w:r>
              <w:r w:rsidRPr="00183B5F">
                <w:rPr>
                  <w:vertAlign w:val="superscript"/>
                  <w:lang w:val="hu-HU"/>
                </w:rPr>
                <w:delText>1)</w:delText>
              </w:r>
            </w:del>
          </w:p>
        </w:tc>
      </w:tr>
      <w:tr w:rsidR="00011D2F" w14:paraId="274260D2" w14:textId="42BE6C17" w:rsidTr="00202B95">
        <w:trPr>
          <w:cantSplit/>
          <w:del w:id="5216" w:author="AbbVie_HU_03" w:date="2025-05-14T15:27:00Z"/>
        </w:trPr>
        <w:tc>
          <w:tcPr>
            <w:tcW w:w="2503" w:type="dxa"/>
            <w:vMerge/>
          </w:tcPr>
          <w:p w14:paraId="37F960C6" w14:textId="4DE473C8" w:rsidR="00AC5066" w:rsidRPr="00183B5F" w:rsidRDefault="00AC5066" w:rsidP="004062FE">
            <w:pPr>
              <w:widowControl w:val="0"/>
              <w:suppressAutoHyphens w:val="0"/>
              <w:spacing w:line="240" w:lineRule="auto"/>
              <w:jc w:val="center"/>
              <w:rPr>
                <w:del w:id="5217" w:author="AbbVie_HU_03" w:date="2025-05-14T15:27:00Z"/>
                <w:b/>
              </w:rPr>
            </w:pPr>
          </w:p>
        </w:tc>
        <w:tc>
          <w:tcPr>
            <w:tcW w:w="2107" w:type="dxa"/>
            <w:tcBorders>
              <w:top w:val="single" w:sz="4" w:space="0" w:color="auto"/>
            </w:tcBorders>
          </w:tcPr>
          <w:p w14:paraId="75026BD6" w14:textId="72CEF26D" w:rsidR="00AC5066" w:rsidRPr="00183B5F" w:rsidRDefault="00943743">
            <w:pPr>
              <w:pStyle w:val="EMEANormal"/>
              <w:widowControl w:val="0"/>
              <w:suppressAutoHyphens w:val="0"/>
              <w:rPr>
                <w:del w:id="5218" w:author="AbbVie_HU_03" w:date="2025-05-14T15:27:00Z"/>
                <w:lang w:val="hu-HU"/>
              </w:rPr>
            </w:pPr>
            <w:del w:id="5219" w:author="AbbVie_HU_03" w:date="2025-05-14T15:27:00Z">
              <w:r w:rsidRPr="00183B5F">
                <w:rPr>
                  <w:lang w:val="hu-HU"/>
                </w:rPr>
                <w:delText>Nem gyakori</w:delText>
              </w:r>
            </w:del>
          </w:p>
          <w:p w14:paraId="78EFDDC2" w14:textId="08373FA7" w:rsidR="00AC5066" w:rsidRPr="00183B5F" w:rsidRDefault="00AC5066">
            <w:pPr>
              <w:pStyle w:val="EMEANormal"/>
              <w:widowControl w:val="0"/>
              <w:suppressAutoHyphens w:val="0"/>
              <w:rPr>
                <w:del w:id="5220" w:author="AbbVie_HU_03" w:date="2025-05-14T15:27:00Z"/>
                <w:lang w:val="hu-HU"/>
              </w:rPr>
            </w:pPr>
          </w:p>
        </w:tc>
        <w:tc>
          <w:tcPr>
            <w:tcW w:w="4451" w:type="dxa"/>
            <w:tcBorders>
              <w:top w:val="single" w:sz="4" w:space="0" w:color="auto"/>
            </w:tcBorders>
          </w:tcPr>
          <w:p w14:paraId="251B66C5" w14:textId="51B909EB" w:rsidR="00AC5066" w:rsidRPr="00183B5F" w:rsidRDefault="00943743">
            <w:pPr>
              <w:pStyle w:val="EMEANormal"/>
              <w:widowControl w:val="0"/>
              <w:suppressAutoHyphens w:val="0"/>
              <w:rPr>
                <w:del w:id="5221" w:author="AbbVie_HU_03" w:date="2025-05-14T15:27:00Z"/>
                <w:lang w:val="hu-HU"/>
              </w:rPr>
            </w:pPr>
            <w:del w:id="5222" w:author="AbbVie_HU_03" w:date="2025-05-14T15:27:00Z">
              <w:r w:rsidRPr="00183B5F">
                <w:rPr>
                  <w:lang w:val="hu-HU"/>
                </w:rPr>
                <w:delText>Gyulladás</w:delText>
              </w:r>
            </w:del>
          </w:p>
        </w:tc>
      </w:tr>
      <w:tr w:rsidR="00011D2F" w14:paraId="6B9E1D73" w14:textId="308C15B1" w:rsidTr="00202B95">
        <w:trPr>
          <w:cantSplit/>
          <w:del w:id="5223" w:author="AbbVie_HU_03" w:date="2025-05-14T15:27:00Z"/>
        </w:trPr>
        <w:tc>
          <w:tcPr>
            <w:tcW w:w="2503" w:type="dxa"/>
            <w:vMerge w:val="restart"/>
          </w:tcPr>
          <w:p w14:paraId="3889162E" w14:textId="6B86E358" w:rsidR="00796272" w:rsidRPr="00183B5F" w:rsidRDefault="00943743" w:rsidP="004062FE">
            <w:pPr>
              <w:pStyle w:val="EMEANormal"/>
              <w:widowControl w:val="0"/>
              <w:suppressAutoHyphens w:val="0"/>
              <w:rPr>
                <w:del w:id="5224" w:author="AbbVie_HU_03" w:date="2025-05-14T15:27:00Z"/>
                <w:szCs w:val="22"/>
                <w:lang w:val="hu-HU"/>
              </w:rPr>
            </w:pPr>
            <w:del w:id="5225" w:author="AbbVie_HU_03" w:date="2025-05-14T15:27:00Z">
              <w:r w:rsidRPr="00183B5F">
                <w:rPr>
                  <w:szCs w:val="22"/>
                  <w:lang w:val="hu-HU"/>
                </w:rPr>
                <w:delText>Laboratóriumi és egyéb vizsgálatok eredményei*</w:delText>
              </w:r>
            </w:del>
          </w:p>
        </w:tc>
        <w:tc>
          <w:tcPr>
            <w:tcW w:w="2107" w:type="dxa"/>
          </w:tcPr>
          <w:p w14:paraId="7E24BDE5" w14:textId="339E1288" w:rsidR="00796272" w:rsidRPr="00183B5F" w:rsidRDefault="00943743" w:rsidP="004062FE">
            <w:pPr>
              <w:pStyle w:val="EMEANormal"/>
              <w:widowControl w:val="0"/>
              <w:suppressAutoHyphens w:val="0"/>
              <w:rPr>
                <w:del w:id="5226" w:author="AbbVie_HU_03" w:date="2025-05-14T15:27:00Z"/>
                <w:lang w:val="hu-HU"/>
              </w:rPr>
            </w:pPr>
            <w:del w:id="5227" w:author="AbbVie_HU_03" w:date="2025-05-14T15:27:00Z">
              <w:r w:rsidRPr="00183B5F">
                <w:rPr>
                  <w:lang w:val="hu-HU"/>
                </w:rPr>
                <w:delText>Gyakori</w:delText>
              </w:r>
            </w:del>
          </w:p>
        </w:tc>
        <w:tc>
          <w:tcPr>
            <w:tcW w:w="4451" w:type="dxa"/>
          </w:tcPr>
          <w:p w14:paraId="6295FC91" w14:textId="0C2E80A0" w:rsidR="00796272" w:rsidRPr="00183B5F" w:rsidRDefault="00943743" w:rsidP="004062FE">
            <w:pPr>
              <w:pStyle w:val="EMEANormal"/>
              <w:widowControl w:val="0"/>
              <w:suppressAutoHyphens w:val="0"/>
              <w:rPr>
                <w:del w:id="5228" w:author="AbbVie_HU_03" w:date="2025-05-14T15:27:00Z"/>
                <w:lang w:val="hu-HU"/>
              </w:rPr>
            </w:pPr>
            <w:del w:id="5229" w:author="AbbVie_HU_03" w:date="2025-05-14T15:27:00Z">
              <w:r w:rsidRPr="00183B5F">
                <w:rPr>
                  <w:lang w:val="hu-HU"/>
                </w:rPr>
                <w:delText xml:space="preserve">Véralvadási zavar vagy vérzékenység (beleértve az aktivált parciális thromboplastin-idő megnyúlását is), </w:delText>
              </w:r>
            </w:del>
          </w:p>
          <w:p w14:paraId="2F07229D" w14:textId="4D38A95A" w:rsidR="00796272" w:rsidRPr="00183B5F" w:rsidRDefault="00943743" w:rsidP="004062FE">
            <w:pPr>
              <w:pStyle w:val="EMEANormal"/>
              <w:widowControl w:val="0"/>
              <w:suppressAutoHyphens w:val="0"/>
              <w:rPr>
                <w:del w:id="5230" w:author="AbbVie_HU_03" w:date="2025-05-14T15:27:00Z"/>
                <w:lang w:val="hu-HU"/>
              </w:rPr>
            </w:pPr>
            <w:del w:id="5231" w:author="AbbVie_HU_03" w:date="2025-05-14T15:27:00Z">
              <w:r w:rsidRPr="00183B5F">
                <w:rPr>
                  <w:lang w:val="hu-HU"/>
                </w:rPr>
                <w:delText xml:space="preserve">az autoantitest-vizsgálat pozitívvá válása (beleértve a kettős szálú DNS-ellenes antitestet is), </w:delText>
              </w:r>
            </w:del>
          </w:p>
          <w:p w14:paraId="3FC7B601" w14:textId="692E4EA6" w:rsidR="00796272" w:rsidRPr="00183B5F" w:rsidRDefault="00943743" w:rsidP="004062FE">
            <w:pPr>
              <w:pStyle w:val="EMEANormal"/>
              <w:widowControl w:val="0"/>
              <w:suppressAutoHyphens w:val="0"/>
              <w:rPr>
                <w:del w:id="5232" w:author="AbbVie_HU_03" w:date="2025-05-14T15:27:00Z"/>
                <w:lang w:val="hu-HU"/>
              </w:rPr>
            </w:pPr>
            <w:del w:id="5233" w:author="AbbVie_HU_03" w:date="2025-05-14T15:27:00Z">
              <w:r w:rsidRPr="00183B5F">
                <w:rPr>
                  <w:lang w:val="hu-HU"/>
                </w:rPr>
                <w:delText>a vér laktát</w:delText>
              </w:r>
              <w:r w:rsidRPr="00183B5F">
                <w:rPr>
                  <w:lang w:val="hu-HU"/>
                </w:rPr>
                <w:noBreakHyphen/>
                <w:delText xml:space="preserve">dehidrogenáz-szintjének emelkedése </w:delText>
              </w:r>
            </w:del>
          </w:p>
        </w:tc>
      </w:tr>
      <w:tr w:rsidR="00011D2F" w14:paraId="18C97977" w14:textId="5FA96614" w:rsidTr="00796272">
        <w:trPr>
          <w:cantSplit/>
          <w:del w:id="5234" w:author="AbbVie_HU_03" w:date="2025-05-14T15:27:00Z"/>
        </w:trPr>
        <w:tc>
          <w:tcPr>
            <w:tcW w:w="2503" w:type="dxa"/>
            <w:vMerge/>
          </w:tcPr>
          <w:p w14:paraId="2BDCC3DB" w14:textId="0928E38C" w:rsidR="00796272" w:rsidRPr="00183B5F" w:rsidRDefault="00796272" w:rsidP="004062FE">
            <w:pPr>
              <w:pStyle w:val="EMEANormal"/>
              <w:keepNext/>
              <w:widowControl w:val="0"/>
              <w:suppressAutoHyphens w:val="0"/>
              <w:rPr>
                <w:del w:id="5235" w:author="AbbVie_HU_03" w:date="2025-05-14T15:27:00Z"/>
                <w:szCs w:val="22"/>
                <w:lang w:val="hu-HU"/>
              </w:rPr>
            </w:pPr>
          </w:p>
        </w:tc>
        <w:tc>
          <w:tcPr>
            <w:tcW w:w="2107" w:type="dxa"/>
          </w:tcPr>
          <w:p w14:paraId="4F5284CB" w14:textId="3414A354" w:rsidR="00796272" w:rsidRPr="00183B5F" w:rsidRDefault="00943743" w:rsidP="004062FE">
            <w:pPr>
              <w:pStyle w:val="EMEANormal"/>
              <w:keepNext/>
              <w:widowControl w:val="0"/>
              <w:suppressAutoHyphens w:val="0"/>
              <w:rPr>
                <w:del w:id="5236" w:author="AbbVie_HU_03" w:date="2025-05-14T15:27:00Z"/>
                <w:lang w:val="hu-HU"/>
              </w:rPr>
            </w:pPr>
            <w:del w:id="5237" w:author="AbbVie_HU_03" w:date="2025-05-14T15:27:00Z">
              <w:r w:rsidRPr="00183B5F">
                <w:rPr>
                  <w:lang w:val="hu-HU"/>
                </w:rPr>
                <w:delText>Nem ismert</w:delText>
              </w:r>
            </w:del>
          </w:p>
        </w:tc>
        <w:tc>
          <w:tcPr>
            <w:tcW w:w="4451" w:type="dxa"/>
          </w:tcPr>
          <w:p w14:paraId="2BBD5097" w14:textId="2B907370" w:rsidR="00796272" w:rsidRPr="00183B5F" w:rsidRDefault="00943743" w:rsidP="004062FE">
            <w:pPr>
              <w:pStyle w:val="EMEANormal"/>
              <w:keepNext/>
              <w:widowControl w:val="0"/>
              <w:suppressAutoHyphens w:val="0"/>
              <w:rPr>
                <w:del w:id="5238" w:author="AbbVie_HU_03" w:date="2025-05-14T15:27:00Z"/>
                <w:lang w:val="hu-HU"/>
              </w:rPr>
            </w:pPr>
            <w:del w:id="5239" w:author="AbbVie_HU_03" w:date="2025-05-14T15:27:00Z">
              <w:r w:rsidRPr="00183B5F">
                <w:rPr>
                  <w:lang w:val="hu-HU"/>
                </w:rPr>
                <w:delText>Testtömeg növekedése</w:delText>
              </w:r>
              <w:r w:rsidRPr="00183B5F">
                <w:rPr>
                  <w:vertAlign w:val="superscript"/>
                  <w:lang w:val="hu-HU"/>
                </w:rPr>
                <w:delText>2)</w:delText>
              </w:r>
            </w:del>
          </w:p>
        </w:tc>
      </w:tr>
      <w:tr w:rsidR="00011D2F" w14:paraId="3CEDB721" w14:textId="6BF50ADE" w:rsidTr="00202B95">
        <w:trPr>
          <w:cantSplit/>
          <w:del w:id="5240" w:author="AbbVie_HU_03" w:date="2025-05-14T15:27:00Z"/>
        </w:trPr>
        <w:tc>
          <w:tcPr>
            <w:tcW w:w="2503" w:type="dxa"/>
          </w:tcPr>
          <w:p w14:paraId="04457E16" w14:textId="12D30BE7" w:rsidR="00AC5066" w:rsidRPr="00183B5F" w:rsidRDefault="00943743" w:rsidP="004062FE">
            <w:pPr>
              <w:pStyle w:val="EMEANormal"/>
              <w:keepNext/>
              <w:widowControl w:val="0"/>
              <w:suppressAutoHyphens w:val="0"/>
              <w:rPr>
                <w:del w:id="5241" w:author="AbbVie_HU_03" w:date="2025-05-14T15:27:00Z"/>
                <w:szCs w:val="22"/>
                <w:lang w:val="hu-HU"/>
              </w:rPr>
            </w:pPr>
            <w:del w:id="5242" w:author="AbbVie_HU_03" w:date="2025-05-14T15:27:00Z">
              <w:r w:rsidRPr="00183B5F">
                <w:rPr>
                  <w:szCs w:val="22"/>
                  <w:lang w:val="hu-HU"/>
                </w:rPr>
                <w:delText>Sérülés, mérgezés és a beavatkozással kapcsolatos szövődmények</w:delText>
              </w:r>
            </w:del>
          </w:p>
        </w:tc>
        <w:tc>
          <w:tcPr>
            <w:tcW w:w="2107" w:type="dxa"/>
          </w:tcPr>
          <w:p w14:paraId="7902B9C7" w14:textId="4E921F71" w:rsidR="00AC5066" w:rsidRPr="00183B5F" w:rsidRDefault="00943743" w:rsidP="004062FE">
            <w:pPr>
              <w:pStyle w:val="EMEANormal"/>
              <w:keepNext/>
              <w:widowControl w:val="0"/>
              <w:suppressAutoHyphens w:val="0"/>
              <w:rPr>
                <w:del w:id="5243" w:author="AbbVie_HU_03" w:date="2025-05-14T15:27:00Z"/>
                <w:lang w:val="hu-HU"/>
              </w:rPr>
            </w:pPr>
            <w:del w:id="5244" w:author="AbbVie_HU_03" w:date="2025-05-14T15:27:00Z">
              <w:r w:rsidRPr="00183B5F">
                <w:rPr>
                  <w:lang w:val="hu-HU"/>
                </w:rPr>
                <w:delText>Gyakori</w:delText>
              </w:r>
            </w:del>
          </w:p>
        </w:tc>
        <w:tc>
          <w:tcPr>
            <w:tcW w:w="4451" w:type="dxa"/>
          </w:tcPr>
          <w:p w14:paraId="789DF270" w14:textId="11BE6D7B" w:rsidR="004A6A7C" w:rsidRPr="00183B5F" w:rsidRDefault="00943743" w:rsidP="004062FE">
            <w:pPr>
              <w:pStyle w:val="EMEANormal"/>
              <w:keepNext/>
              <w:widowControl w:val="0"/>
              <w:suppressAutoHyphens w:val="0"/>
              <w:rPr>
                <w:del w:id="5245" w:author="AbbVie_HU_03" w:date="2025-05-14T15:27:00Z"/>
                <w:lang w:val="hu-HU"/>
              </w:rPr>
            </w:pPr>
            <w:del w:id="5246" w:author="AbbVie_HU_03" w:date="2025-05-14T15:27:00Z">
              <w:r w:rsidRPr="00183B5F">
                <w:rPr>
                  <w:lang w:val="hu-HU"/>
                </w:rPr>
                <w:delText>Sebgyógyulási zavar</w:delText>
              </w:r>
            </w:del>
          </w:p>
          <w:p w14:paraId="5E6AA94C" w14:textId="517AB816" w:rsidR="00AC5066" w:rsidRPr="00183B5F" w:rsidRDefault="00AC5066" w:rsidP="004062FE">
            <w:pPr>
              <w:pStyle w:val="EMEANormal"/>
              <w:keepNext/>
              <w:widowControl w:val="0"/>
              <w:suppressAutoHyphens w:val="0"/>
              <w:rPr>
                <w:del w:id="5247" w:author="AbbVie_HU_03" w:date="2025-05-14T15:27:00Z"/>
                <w:lang w:val="hu-HU"/>
              </w:rPr>
            </w:pPr>
          </w:p>
        </w:tc>
      </w:tr>
    </w:tbl>
    <w:p w14:paraId="069743C2" w14:textId="775D1316" w:rsidR="00FB6710" w:rsidRPr="00183B5F" w:rsidRDefault="00943743" w:rsidP="004062FE">
      <w:pPr>
        <w:keepNext/>
        <w:suppressAutoHyphens w:val="0"/>
        <w:spacing w:line="240" w:lineRule="auto"/>
        <w:rPr>
          <w:del w:id="5248" w:author="AbbVie_HU_03" w:date="2025-05-14T15:27:00Z"/>
          <w:szCs w:val="22"/>
        </w:rPr>
      </w:pPr>
      <w:del w:id="5249" w:author="AbbVie_HU_03" w:date="2025-05-14T15:27:00Z">
        <w:r w:rsidRPr="00183B5F">
          <w:rPr>
            <w:szCs w:val="22"/>
          </w:rPr>
          <w:delText>* a 4.3, 4.4 és 4.8 pontban további információ található.</w:delText>
        </w:r>
      </w:del>
    </w:p>
    <w:p w14:paraId="740F29FD" w14:textId="73EA9EF2" w:rsidR="00FB6710" w:rsidRPr="00183B5F" w:rsidRDefault="00943743">
      <w:pPr>
        <w:pStyle w:val="EMEAHeadingUnderline"/>
        <w:keepNext/>
        <w:suppressAutoHyphens w:val="0"/>
        <w:spacing w:beforeLines="0" w:afterLines="0"/>
        <w:rPr>
          <w:del w:id="5250" w:author="AbbVie_HU_03" w:date="2025-05-14T15:27:00Z"/>
          <w:szCs w:val="22"/>
          <w:u w:val="none"/>
          <w:lang w:val="hu-HU"/>
        </w:rPr>
      </w:pPr>
      <w:del w:id="5251" w:author="AbbVie_HU_03" w:date="2025-05-14T15:27:00Z">
        <w:r w:rsidRPr="00183B5F">
          <w:rPr>
            <w:szCs w:val="22"/>
            <w:u w:val="none"/>
            <w:lang w:val="hu-HU"/>
          </w:rPr>
          <w:delText>** a nyílt, kiterjesztett vizsgálatokat is beleértve.</w:delText>
        </w:r>
      </w:del>
    </w:p>
    <w:p w14:paraId="04CAB7D0" w14:textId="0725DEA0" w:rsidR="00FB6710" w:rsidRPr="00183B5F" w:rsidRDefault="00943743" w:rsidP="0080649D">
      <w:pPr>
        <w:pStyle w:val="EMEANormal"/>
        <w:keepNext/>
        <w:suppressAutoHyphens w:val="0"/>
        <w:rPr>
          <w:del w:id="5252" w:author="AbbVie_HU_03" w:date="2025-05-14T15:27:00Z"/>
          <w:szCs w:val="22"/>
          <w:lang w:val="hu-HU"/>
        </w:rPr>
      </w:pPr>
      <w:del w:id="5253" w:author="AbbVie_HU_03" w:date="2025-05-14T15:27:00Z">
        <w:r w:rsidRPr="00183B5F">
          <w:rPr>
            <w:szCs w:val="22"/>
            <w:vertAlign w:val="superscript"/>
            <w:lang w:val="hu-HU"/>
          </w:rPr>
          <w:delText>1)</w:delText>
        </w:r>
        <w:r w:rsidR="005F1A4E" w:rsidRPr="00183B5F">
          <w:rPr>
            <w:szCs w:val="22"/>
            <w:vertAlign w:val="superscript"/>
            <w:lang w:val="hu-HU"/>
          </w:rPr>
          <w:delText xml:space="preserve"> </w:delText>
        </w:r>
        <w:r w:rsidRPr="00183B5F">
          <w:rPr>
            <w:szCs w:val="22"/>
            <w:lang w:val="hu-HU"/>
          </w:rPr>
          <w:delText>a spontán beszámolókat is beleértve.</w:delText>
        </w:r>
      </w:del>
    </w:p>
    <w:p w14:paraId="6FFA656D" w14:textId="0449E627" w:rsidR="00796272" w:rsidRPr="00183B5F" w:rsidRDefault="00943743" w:rsidP="00796272">
      <w:pPr>
        <w:pStyle w:val="EMEANormal"/>
        <w:keepNext/>
        <w:rPr>
          <w:del w:id="5254" w:author="AbbVie_HU_03" w:date="2025-05-14T15:27:00Z"/>
          <w:szCs w:val="22"/>
          <w:lang w:val="hu-HU"/>
        </w:rPr>
      </w:pPr>
      <w:del w:id="5255" w:author="AbbVie_HU_03" w:date="2025-05-14T15:27:00Z">
        <w:r w:rsidRPr="00183B5F">
          <w:rPr>
            <w:vertAlign w:val="superscript"/>
            <w:lang w:val="hu-HU"/>
          </w:rPr>
          <w:delText>2)</w:delText>
        </w:r>
        <w:r w:rsidRPr="00183B5F">
          <w:rPr>
            <w:lang w:val="hu-HU"/>
          </w:rPr>
          <w:delText xml:space="preserve"> 4–6 hónapos kezelési időszak alatt a kiindulási értékhez képest a testtömeg átlagos változása az adalimumab esetében +0,3 kg és +1,0 kg között volt a felnőtt indikációkban, míg a placebo esetében ugyanez –0,4 kg és +0,4 kg között volt. Vizsgálatok hosszú távú kiterjesztési szakaszában 5-6 kg-os testtömegnövekedést is megfigyeltek átlagosan kb. 1-2 év expozíció során, kontrollcsoport nélkül, különösen a Crohn</w:delText>
        </w:r>
        <w:r w:rsidR="008F5634" w:rsidRPr="00183B5F">
          <w:rPr>
            <w:lang w:val="hu-HU"/>
          </w:rPr>
          <w:delText>-</w:delText>
        </w:r>
        <w:r w:rsidRPr="00183B5F">
          <w:rPr>
            <w:lang w:val="hu-HU"/>
          </w:rPr>
          <w:delText>betegségben és a colitis ulcerosában szenvedő betegek esetében. Ennek a hatásnak a mechanizmusa nem</w:delText>
        </w:r>
        <w:r w:rsidRPr="00183B5F">
          <w:rPr>
            <w:lang w:val="hu-HU"/>
          </w:rPr>
          <w:delText xml:space="preserve"> tisztázott, de összefügghet az adalimumab gyulladáscsökkentő hatásával.</w:delText>
        </w:r>
      </w:del>
    </w:p>
    <w:p w14:paraId="7411EFA5" w14:textId="220F21AA" w:rsidR="005A762A" w:rsidRPr="00183B5F" w:rsidRDefault="005A762A" w:rsidP="004062FE">
      <w:pPr>
        <w:spacing w:line="240" w:lineRule="auto"/>
        <w:rPr>
          <w:del w:id="5256" w:author="AbbVie_HU_03" w:date="2025-05-14T15:27:00Z"/>
          <w:szCs w:val="22"/>
          <w:u w:val="single"/>
        </w:rPr>
      </w:pPr>
    </w:p>
    <w:p w14:paraId="6F238041" w14:textId="2C27C2BA" w:rsidR="00E95022" w:rsidRPr="00183B5F" w:rsidRDefault="00943743" w:rsidP="004062FE">
      <w:pPr>
        <w:keepNext/>
        <w:spacing w:line="240" w:lineRule="auto"/>
        <w:rPr>
          <w:del w:id="5257" w:author="AbbVie_HU_03" w:date="2025-05-14T15:27:00Z"/>
          <w:szCs w:val="22"/>
          <w:u w:val="single"/>
        </w:rPr>
      </w:pPr>
      <w:del w:id="5258" w:author="AbbVie_HU_03" w:date="2025-05-14T15:27:00Z">
        <w:r w:rsidRPr="00183B5F">
          <w:rPr>
            <w:szCs w:val="22"/>
            <w:u w:val="single"/>
          </w:rPr>
          <w:delText>Hidradenitis suppurativa</w:delText>
        </w:r>
      </w:del>
    </w:p>
    <w:p w14:paraId="3FFC2C6F" w14:textId="0C662986" w:rsidR="00E95022" w:rsidRPr="00183B5F" w:rsidRDefault="00E95022" w:rsidP="004062FE">
      <w:pPr>
        <w:keepNext/>
        <w:spacing w:line="240" w:lineRule="auto"/>
        <w:rPr>
          <w:del w:id="5259" w:author="AbbVie_HU_03" w:date="2025-05-14T15:27:00Z"/>
          <w:szCs w:val="22"/>
          <w:u w:val="single"/>
        </w:rPr>
      </w:pPr>
    </w:p>
    <w:p w14:paraId="48416AAD" w14:textId="4BFBDEC1" w:rsidR="00E95022" w:rsidRPr="00183B5F" w:rsidRDefault="00943743" w:rsidP="004062FE">
      <w:pPr>
        <w:spacing w:line="240" w:lineRule="auto"/>
        <w:rPr>
          <w:del w:id="5260" w:author="AbbVie_HU_03" w:date="2025-05-14T15:27:00Z"/>
          <w:szCs w:val="22"/>
        </w:rPr>
      </w:pPr>
      <w:del w:id="5261" w:author="AbbVie_HU_03" w:date="2025-05-14T15:27:00Z">
        <w:r w:rsidRPr="00183B5F">
          <w:rPr>
            <w:szCs w:val="22"/>
          </w:rPr>
          <w:delText xml:space="preserve">A </w:delText>
        </w:r>
        <w:r w:rsidR="00243521" w:rsidRPr="00183B5F">
          <w:rPr>
            <w:szCs w:val="22"/>
          </w:rPr>
          <w:delText>biztonság</w:delText>
        </w:r>
        <w:r w:rsidR="00E960EB" w:rsidRPr="00183B5F">
          <w:rPr>
            <w:szCs w:val="22"/>
          </w:rPr>
          <w:delText>osság</w:delText>
        </w:r>
        <w:r w:rsidR="00243521" w:rsidRPr="00183B5F">
          <w:rPr>
            <w:szCs w:val="22"/>
          </w:rPr>
          <w:delText>i profil</w:delText>
        </w:r>
        <w:r w:rsidR="008E609E" w:rsidRPr="00183B5F">
          <w:rPr>
            <w:szCs w:val="22"/>
          </w:rPr>
          <w:delText xml:space="preserve"> </w:delText>
        </w:r>
        <w:r w:rsidR="00E960EB" w:rsidRPr="00183B5F">
          <w:rPr>
            <w:szCs w:val="22"/>
          </w:rPr>
          <w:delText xml:space="preserve">a Humira-val hetente kezelt, </w:delText>
        </w:r>
        <w:r w:rsidR="008E609E" w:rsidRPr="00183B5F">
          <w:rPr>
            <w:szCs w:val="22"/>
          </w:rPr>
          <w:delText>HS</w:delText>
        </w:r>
        <w:r w:rsidR="008E609E" w:rsidRPr="00183B5F">
          <w:rPr>
            <w:szCs w:val="22"/>
          </w:rPr>
          <w:noBreakHyphen/>
          <w:delText xml:space="preserve">ben szenvedő betegek </w:delText>
        </w:r>
        <w:r w:rsidR="00CA0918" w:rsidRPr="00183B5F">
          <w:rPr>
            <w:szCs w:val="22"/>
          </w:rPr>
          <w:delText xml:space="preserve">esetén </w:delText>
        </w:r>
        <w:r w:rsidR="00E960EB" w:rsidRPr="00183B5F">
          <w:rPr>
            <w:szCs w:val="22"/>
          </w:rPr>
          <w:delText>megegyezett</w:delText>
        </w:r>
        <w:r w:rsidR="008E609E" w:rsidRPr="00183B5F">
          <w:rPr>
            <w:szCs w:val="22"/>
          </w:rPr>
          <w:delText xml:space="preserve"> a Humira ismert biztonság</w:delText>
        </w:r>
        <w:r w:rsidR="00E960EB" w:rsidRPr="00183B5F">
          <w:rPr>
            <w:szCs w:val="22"/>
          </w:rPr>
          <w:delText>osság</w:delText>
        </w:r>
        <w:r w:rsidR="008E609E" w:rsidRPr="00183B5F">
          <w:rPr>
            <w:szCs w:val="22"/>
          </w:rPr>
          <w:delText>i profiljával.</w:delText>
        </w:r>
      </w:del>
    </w:p>
    <w:p w14:paraId="10A64C36" w14:textId="189D7AA4" w:rsidR="008E609E" w:rsidRPr="00183B5F" w:rsidRDefault="008E609E" w:rsidP="004062FE">
      <w:pPr>
        <w:spacing w:line="240" w:lineRule="auto"/>
        <w:rPr>
          <w:del w:id="5262" w:author="AbbVie_HU_03" w:date="2025-05-14T15:27:00Z"/>
          <w:szCs w:val="22"/>
          <w:u w:val="single"/>
        </w:rPr>
      </w:pPr>
    </w:p>
    <w:p w14:paraId="56C67388" w14:textId="1F168606" w:rsidR="00E960EB" w:rsidRPr="00183B5F" w:rsidRDefault="00943743" w:rsidP="004062FE">
      <w:pPr>
        <w:keepNext/>
        <w:spacing w:line="240" w:lineRule="auto"/>
        <w:rPr>
          <w:del w:id="5263" w:author="AbbVie_HU_03" w:date="2025-05-14T15:27:00Z"/>
          <w:szCs w:val="22"/>
          <w:u w:val="single"/>
        </w:rPr>
      </w:pPr>
      <w:del w:id="5264" w:author="AbbVie_HU_03" w:date="2025-05-14T15:27:00Z">
        <w:r w:rsidRPr="00183B5F">
          <w:rPr>
            <w:szCs w:val="22"/>
            <w:u w:val="single"/>
          </w:rPr>
          <w:delText>Uveitis</w:delText>
        </w:r>
      </w:del>
    </w:p>
    <w:p w14:paraId="164AFFED" w14:textId="3E205F2F" w:rsidR="00E960EB" w:rsidRPr="00183B5F" w:rsidRDefault="00E960EB" w:rsidP="004062FE">
      <w:pPr>
        <w:keepNext/>
        <w:spacing w:line="240" w:lineRule="auto"/>
        <w:rPr>
          <w:del w:id="5265" w:author="AbbVie_HU_03" w:date="2025-05-14T15:27:00Z"/>
          <w:szCs w:val="22"/>
          <w:u w:val="single"/>
        </w:rPr>
      </w:pPr>
    </w:p>
    <w:p w14:paraId="5648E091" w14:textId="72C9B972" w:rsidR="00E960EB" w:rsidRPr="00183B5F" w:rsidRDefault="00943743" w:rsidP="004062FE">
      <w:pPr>
        <w:keepNext/>
        <w:spacing w:line="240" w:lineRule="auto"/>
        <w:rPr>
          <w:del w:id="5266" w:author="AbbVie_HU_03" w:date="2025-05-14T15:27:00Z"/>
          <w:szCs w:val="22"/>
        </w:rPr>
      </w:pPr>
      <w:del w:id="5267" w:author="AbbVie_HU_03" w:date="2025-05-14T15:27:00Z">
        <w:r w:rsidRPr="00183B5F">
          <w:rPr>
            <w:szCs w:val="22"/>
          </w:rPr>
          <w:delText>A biztonságossági profil a minden második héten Humira</w:delText>
        </w:r>
        <w:r w:rsidRPr="00183B5F">
          <w:rPr>
            <w:szCs w:val="22"/>
          </w:rPr>
          <w:noBreakHyphen/>
        </w:r>
        <w:r w:rsidRPr="00183B5F">
          <w:rPr>
            <w:szCs w:val="22"/>
          </w:rPr>
          <w:delText>val kezelt, uveitisben szenvedő betegek esetén megegyezett a Humira ismert biztonságossági profiljával.</w:delText>
        </w:r>
      </w:del>
    </w:p>
    <w:p w14:paraId="44DC00BA" w14:textId="3FDC41A0" w:rsidR="00E960EB" w:rsidRPr="00183B5F" w:rsidRDefault="00E960EB" w:rsidP="004062FE">
      <w:pPr>
        <w:spacing w:line="240" w:lineRule="auto"/>
        <w:rPr>
          <w:del w:id="5268" w:author="AbbVie_HU_03" w:date="2025-05-14T15:27:00Z"/>
          <w:szCs w:val="22"/>
          <w:u w:val="single"/>
        </w:rPr>
      </w:pPr>
    </w:p>
    <w:p w14:paraId="4714C88B" w14:textId="2DC505EC" w:rsidR="00C95D35" w:rsidRPr="00183B5F" w:rsidRDefault="00943743">
      <w:pPr>
        <w:pStyle w:val="EMEANormal"/>
        <w:keepNext/>
        <w:suppressAutoHyphens w:val="0"/>
        <w:rPr>
          <w:del w:id="5269" w:author="AbbVie_HU_03" w:date="2025-05-14T15:27:00Z"/>
          <w:szCs w:val="22"/>
          <w:u w:val="single"/>
          <w:lang w:val="hu-HU"/>
        </w:rPr>
      </w:pPr>
      <w:del w:id="5270" w:author="AbbVie_HU_03" w:date="2025-05-14T15:27:00Z">
        <w:r w:rsidRPr="00183B5F">
          <w:rPr>
            <w:szCs w:val="22"/>
            <w:u w:val="single"/>
            <w:lang w:val="hu-HU"/>
          </w:rPr>
          <w:delText>Kiválasztott mellékhatások leírása</w:delText>
        </w:r>
      </w:del>
    </w:p>
    <w:p w14:paraId="035E68B2" w14:textId="7A80F264" w:rsidR="00C95D35" w:rsidRPr="00183B5F" w:rsidRDefault="00C95D35" w:rsidP="004062FE">
      <w:pPr>
        <w:keepNext/>
        <w:spacing w:line="240" w:lineRule="auto"/>
        <w:rPr>
          <w:del w:id="5271" w:author="AbbVie_HU_03" w:date="2025-05-14T15:27:00Z"/>
          <w:szCs w:val="22"/>
          <w:u w:val="single"/>
        </w:rPr>
      </w:pPr>
    </w:p>
    <w:p w14:paraId="57E3333A" w14:textId="0BBB5FCF" w:rsidR="00FB6710" w:rsidRPr="00183B5F" w:rsidRDefault="00943743" w:rsidP="004062FE">
      <w:pPr>
        <w:spacing w:line="240" w:lineRule="auto"/>
        <w:rPr>
          <w:del w:id="5272" w:author="AbbVie_HU_03" w:date="2025-05-14T15:27:00Z"/>
          <w:i/>
          <w:szCs w:val="22"/>
        </w:rPr>
      </w:pPr>
      <w:del w:id="5273" w:author="AbbVie_HU_03" w:date="2025-05-14T15:27:00Z">
        <w:r w:rsidRPr="00183B5F">
          <w:rPr>
            <w:i/>
            <w:szCs w:val="22"/>
          </w:rPr>
          <w:delText>Az injekció helyén fellépő reakció</w:delText>
        </w:r>
      </w:del>
    </w:p>
    <w:p w14:paraId="42312B9C" w14:textId="2E574232" w:rsidR="00FB6710" w:rsidRPr="00183B5F" w:rsidRDefault="00FB6710" w:rsidP="004062FE">
      <w:pPr>
        <w:spacing w:line="240" w:lineRule="auto"/>
        <w:rPr>
          <w:del w:id="5274" w:author="AbbVie_HU_03" w:date="2025-05-14T15:27:00Z"/>
          <w:b/>
          <w:i/>
          <w:szCs w:val="22"/>
        </w:rPr>
      </w:pPr>
    </w:p>
    <w:p w14:paraId="7362DCF4" w14:textId="6950AE64" w:rsidR="00FB6710" w:rsidRPr="00183B5F" w:rsidRDefault="00943743" w:rsidP="004062FE">
      <w:pPr>
        <w:spacing w:line="240" w:lineRule="auto"/>
        <w:rPr>
          <w:del w:id="5275" w:author="AbbVie_HU_03" w:date="2025-05-14T15:27:00Z"/>
          <w:szCs w:val="22"/>
        </w:rPr>
      </w:pPr>
      <w:del w:id="5276" w:author="AbbVie_HU_03" w:date="2025-05-14T15:27:00Z">
        <w:r w:rsidRPr="00183B5F">
          <w:rPr>
            <w:szCs w:val="22"/>
          </w:rPr>
          <w:delText>A</w:delText>
        </w:r>
        <w:r w:rsidR="00DA4ABB" w:rsidRPr="00183B5F">
          <w:rPr>
            <w:szCs w:val="22"/>
          </w:rPr>
          <w:delText xml:space="preserve"> felnőttek és gyermekek</w:delText>
        </w:r>
        <w:r w:rsidR="00BE124C" w:rsidRPr="00183B5F">
          <w:rPr>
            <w:szCs w:val="22"/>
          </w:rPr>
          <w:delText xml:space="preserve"> bevonásával</w:delText>
        </w:r>
        <w:r w:rsidR="00DA4ABB" w:rsidRPr="00183B5F">
          <w:rPr>
            <w:szCs w:val="22"/>
          </w:rPr>
          <w:delText xml:space="preserve"> végzett</w:delText>
        </w:r>
        <w:r w:rsidRPr="00183B5F">
          <w:rPr>
            <w:szCs w:val="22"/>
          </w:rPr>
          <w:delText xml:space="preserve"> pivotális, kontrollos vizsgálatokban, a Humira</w:delText>
        </w:r>
        <w:r w:rsidR="00A412CD" w:rsidRPr="00183B5F">
          <w:rPr>
            <w:szCs w:val="22"/>
          </w:rPr>
          <w:noBreakHyphen/>
        </w:r>
        <w:r w:rsidRPr="00183B5F">
          <w:rPr>
            <w:szCs w:val="22"/>
          </w:rPr>
          <w:delText xml:space="preserve">val kezelt betegek </w:delText>
        </w:r>
        <w:r w:rsidR="00DF7D9E" w:rsidRPr="00183B5F">
          <w:rPr>
            <w:szCs w:val="22"/>
          </w:rPr>
          <w:delText>1</w:delText>
        </w:r>
        <w:r w:rsidR="008E609E" w:rsidRPr="00183B5F">
          <w:rPr>
            <w:szCs w:val="22"/>
          </w:rPr>
          <w:delText>2,9</w:delText>
        </w:r>
        <w:r w:rsidRPr="00183B5F">
          <w:rPr>
            <w:szCs w:val="22"/>
          </w:rPr>
          <w:delText>%</w:delText>
        </w:r>
        <w:r w:rsidRPr="00183B5F">
          <w:rPr>
            <w:szCs w:val="22"/>
          </w:rPr>
          <w:noBreakHyphen/>
          <w:delText>ánál alakult ki lokális reakció az injekció helyén (bőrpír és/vagy viszketés, vér</w:delText>
        </w:r>
        <w:r w:rsidR="002A1E06" w:rsidRPr="00183B5F">
          <w:rPr>
            <w:szCs w:val="22"/>
          </w:rPr>
          <w:delText>zés</w:delText>
        </w:r>
        <w:r w:rsidRPr="00183B5F">
          <w:rPr>
            <w:szCs w:val="22"/>
          </w:rPr>
          <w:delText>, fájdalom vagy duzzadás), míg a placebo</w:delText>
        </w:r>
        <w:r w:rsidR="00DA33F0" w:rsidRPr="00183B5F">
          <w:rPr>
            <w:szCs w:val="22"/>
          </w:rPr>
          <w:delText>-</w:delText>
        </w:r>
        <w:r w:rsidRPr="00183B5F">
          <w:rPr>
            <w:szCs w:val="22"/>
          </w:rPr>
          <w:delText xml:space="preserve"> vagy aktív kontroll</w:delText>
        </w:r>
        <w:r w:rsidR="001D2134" w:rsidRPr="00183B5F">
          <w:rPr>
            <w:szCs w:val="22"/>
          </w:rPr>
          <w:delText>-</w:delText>
        </w:r>
        <w:r w:rsidRPr="00183B5F">
          <w:rPr>
            <w:szCs w:val="22"/>
          </w:rPr>
          <w:delText xml:space="preserve">csoportban a betegek </w:delText>
        </w:r>
        <w:r w:rsidR="00DF7D9E" w:rsidRPr="00183B5F">
          <w:rPr>
            <w:szCs w:val="22"/>
          </w:rPr>
          <w:delText>7,</w:delText>
        </w:r>
        <w:r w:rsidR="003655A2" w:rsidRPr="00183B5F">
          <w:rPr>
            <w:szCs w:val="22"/>
          </w:rPr>
          <w:delText>2</w:delText>
        </w:r>
        <w:r w:rsidRPr="00183B5F">
          <w:rPr>
            <w:szCs w:val="22"/>
          </w:rPr>
          <w:delText>%</w:delText>
        </w:r>
        <w:r w:rsidR="00A412CD" w:rsidRPr="00183B5F">
          <w:rPr>
            <w:szCs w:val="22"/>
          </w:rPr>
          <w:noBreakHyphen/>
        </w:r>
        <w:r w:rsidRPr="00183B5F">
          <w:rPr>
            <w:szCs w:val="22"/>
          </w:rPr>
          <w:delText>ánál. A helyi reakciók általában nem tették szükségessé a kezelés felfüggesztését.</w:delText>
        </w:r>
      </w:del>
    </w:p>
    <w:p w14:paraId="32C38250" w14:textId="573F2C63" w:rsidR="00FB6710" w:rsidRPr="00183B5F" w:rsidRDefault="00FB6710" w:rsidP="004062FE">
      <w:pPr>
        <w:spacing w:line="240" w:lineRule="auto"/>
        <w:ind w:left="567" w:hanging="567"/>
        <w:rPr>
          <w:del w:id="5277" w:author="AbbVie_HU_03" w:date="2025-05-14T15:27:00Z"/>
          <w:szCs w:val="22"/>
        </w:rPr>
      </w:pPr>
    </w:p>
    <w:p w14:paraId="116B12B4" w14:textId="07ABB6A0" w:rsidR="00FB6710" w:rsidRPr="00183B5F" w:rsidRDefault="00943743" w:rsidP="004062FE">
      <w:pPr>
        <w:spacing w:line="240" w:lineRule="auto"/>
        <w:rPr>
          <w:del w:id="5278" w:author="AbbVie_HU_03" w:date="2025-05-14T15:27:00Z"/>
          <w:i/>
          <w:szCs w:val="22"/>
        </w:rPr>
      </w:pPr>
      <w:del w:id="5279" w:author="AbbVie_HU_03" w:date="2025-05-14T15:27:00Z">
        <w:r w:rsidRPr="00183B5F">
          <w:rPr>
            <w:i/>
            <w:szCs w:val="22"/>
          </w:rPr>
          <w:delText>Fertőzések</w:delText>
        </w:r>
      </w:del>
    </w:p>
    <w:p w14:paraId="53B93C7C" w14:textId="6189C7A1" w:rsidR="00FB6710" w:rsidRPr="00183B5F" w:rsidRDefault="00FB6710" w:rsidP="004062FE">
      <w:pPr>
        <w:spacing w:line="240" w:lineRule="auto"/>
        <w:ind w:left="567" w:hanging="567"/>
        <w:rPr>
          <w:del w:id="5280" w:author="AbbVie_HU_03" w:date="2025-05-14T15:27:00Z"/>
          <w:szCs w:val="22"/>
        </w:rPr>
      </w:pPr>
    </w:p>
    <w:p w14:paraId="04524AA0" w14:textId="1BEA2EFD" w:rsidR="008A4BDC" w:rsidRPr="00183B5F" w:rsidRDefault="00943743" w:rsidP="004062FE">
      <w:pPr>
        <w:spacing w:line="240" w:lineRule="auto"/>
        <w:rPr>
          <w:del w:id="5281" w:author="AbbVie_HU_03" w:date="2025-05-14T15:27:00Z"/>
          <w:szCs w:val="22"/>
        </w:rPr>
      </w:pPr>
      <w:del w:id="5282" w:author="AbbVie_HU_03" w:date="2025-05-14T15:27:00Z">
        <w:r w:rsidRPr="00183B5F">
          <w:rPr>
            <w:szCs w:val="22"/>
          </w:rPr>
          <w:delText>A felnőttek és gyermekek bevonásával végzett pivotális, kontrollos vizsgálatokban a fertőzések arányszáma a Humira</w:delText>
        </w:r>
        <w:r w:rsidR="00A412CD" w:rsidRPr="00183B5F">
          <w:rPr>
            <w:szCs w:val="22"/>
          </w:rPr>
          <w:noBreakHyphen/>
        </w:r>
        <w:r w:rsidRPr="00183B5F">
          <w:rPr>
            <w:szCs w:val="22"/>
          </w:rPr>
          <w:delText>val kezelt csoportban betegévenként 1,5</w:delText>
        </w:r>
        <w:r w:rsidR="004E7623" w:rsidRPr="00183B5F">
          <w:rPr>
            <w:szCs w:val="22"/>
          </w:rPr>
          <w:delText>1</w:delText>
        </w:r>
        <w:r w:rsidRPr="00183B5F">
          <w:rPr>
            <w:szCs w:val="22"/>
          </w:rPr>
          <w:delText xml:space="preserve"> volt, míg betegévenként 1,4</w:delText>
        </w:r>
        <w:r w:rsidR="008E609E" w:rsidRPr="00183B5F">
          <w:rPr>
            <w:szCs w:val="22"/>
          </w:rPr>
          <w:delText>6</w:delText>
        </w:r>
        <w:r w:rsidRPr="00183B5F">
          <w:rPr>
            <w:szCs w:val="22"/>
          </w:rPr>
          <w:delText xml:space="preserve"> volt a placeb</w:delText>
        </w:r>
        <w:r w:rsidR="001D2134" w:rsidRPr="00183B5F">
          <w:rPr>
            <w:szCs w:val="22"/>
          </w:rPr>
          <w:delText>óval</w:delText>
        </w:r>
        <w:r w:rsidRPr="00183B5F">
          <w:rPr>
            <w:szCs w:val="22"/>
          </w:rPr>
          <w:delText xml:space="preserve"> és az aktív kontroll</w:delText>
        </w:r>
        <w:r w:rsidR="00A412CD" w:rsidRPr="00183B5F">
          <w:rPr>
            <w:szCs w:val="22"/>
          </w:rPr>
          <w:noBreakHyphen/>
        </w:r>
        <w:r w:rsidRPr="00183B5F">
          <w:rPr>
            <w:szCs w:val="22"/>
          </w:rPr>
          <w:delText>készítménnyel kezelt betegek csoportjában. A fertőzések döntő többsége nasopharyngitis, felső légúti</w:delText>
        </w:r>
        <w:r w:rsidR="001D2134" w:rsidRPr="00183B5F">
          <w:rPr>
            <w:szCs w:val="22"/>
          </w:rPr>
          <w:delText xml:space="preserve"> fertőzés</w:delText>
        </w:r>
        <w:r w:rsidRPr="00183B5F">
          <w:rPr>
            <w:szCs w:val="22"/>
          </w:rPr>
          <w:delText xml:space="preserve"> és </w:delText>
        </w:r>
        <w:r w:rsidR="008E609E" w:rsidRPr="00183B5F">
          <w:rPr>
            <w:szCs w:val="22"/>
          </w:rPr>
          <w:delText>sinusitis</w:delText>
        </w:r>
        <w:r w:rsidRPr="00183B5F">
          <w:rPr>
            <w:szCs w:val="22"/>
          </w:rPr>
          <w:delText xml:space="preserve"> volt. A Humira</w:delText>
        </w:r>
        <w:r w:rsidR="00A412CD" w:rsidRPr="00183B5F">
          <w:rPr>
            <w:szCs w:val="22"/>
          </w:rPr>
          <w:noBreakHyphen/>
        </w:r>
        <w:r w:rsidRPr="00183B5F">
          <w:rPr>
            <w:szCs w:val="22"/>
          </w:rPr>
          <w:delText>kezelést a fertőzés megszűnését követően a betegek nagy részénél folytatni lehetett.</w:delText>
        </w:r>
      </w:del>
    </w:p>
    <w:p w14:paraId="64058CFA" w14:textId="02195770" w:rsidR="00DA4ABB" w:rsidRPr="00183B5F" w:rsidRDefault="00DA4ABB" w:rsidP="004062FE">
      <w:pPr>
        <w:spacing w:line="240" w:lineRule="auto"/>
        <w:rPr>
          <w:del w:id="5283" w:author="AbbVie_HU_03" w:date="2025-05-14T15:27:00Z"/>
          <w:szCs w:val="22"/>
        </w:rPr>
      </w:pPr>
    </w:p>
    <w:p w14:paraId="43FE3D25" w14:textId="541844B9" w:rsidR="00DA4ABB" w:rsidRPr="00183B5F" w:rsidRDefault="00943743" w:rsidP="004062FE">
      <w:pPr>
        <w:spacing w:line="240" w:lineRule="auto"/>
        <w:rPr>
          <w:del w:id="5284" w:author="AbbVie_HU_03" w:date="2025-05-14T15:27:00Z"/>
          <w:szCs w:val="22"/>
        </w:rPr>
      </w:pPr>
      <w:del w:id="5285" w:author="AbbVie_HU_03" w:date="2025-05-14T15:27:00Z">
        <w:r w:rsidRPr="00183B5F">
          <w:rPr>
            <w:szCs w:val="22"/>
          </w:rPr>
          <w:delText>A súlyos fertőzések incidenciája 0,04 volt betegévenként a Humira</w:delText>
        </w:r>
        <w:r w:rsidR="00A412CD" w:rsidRPr="00183B5F">
          <w:rPr>
            <w:szCs w:val="22"/>
          </w:rPr>
          <w:noBreakHyphen/>
        </w:r>
        <w:r w:rsidR="00663798" w:rsidRPr="00183B5F">
          <w:rPr>
            <w:szCs w:val="22"/>
          </w:rPr>
          <w:delText>val</w:delText>
        </w:r>
        <w:r w:rsidRPr="00183B5F">
          <w:rPr>
            <w:szCs w:val="22"/>
          </w:rPr>
          <w:delText xml:space="preserve"> </w:delText>
        </w:r>
        <w:r w:rsidR="00663798" w:rsidRPr="00183B5F">
          <w:rPr>
            <w:szCs w:val="22"/>
          </w:rPr>
          <w:delText>kezeltek</w:delText>
        </w:r>
        <w:r w:rsidRPr="00183B5F">
          <w:rPr>
            <w:szCs w:val="22"/>
          </w:rPr>
          <w:delText xml:space="preserve"> csoportjában, míg 0,03</w:delText>
        </w:r>
        <w:r w:rsidR="001836E7" w:rsidRPr="00183B5F">
          <w:rPr>
            <w:szCs w:val="22"/>
          </w:rPr>
          <w:delText> </w:delText>
        </w:r>
        <w:r w:rsidRPr="00183B5F">
          <w:rPr>
            <w:szCs w:val="22"/>
          </w:rPr>
          <w:delText>volt betegévenként a placebóval és az aktív kontroll</w:delText>
        </w:r>
        <w:r w:rsidR="00663798" w:rsidRPr="00183B5F">
          <w:rPr>
            <w:szCs w:val="22"/>
          </w:rPr>
          <w:delText>al</w:delText>
        </w:r>
        <w:r w:rsidRPr="00183B5F">
          <w:rPr>
            <w:szCs w:val="22"/>
          </w:rPr>
          <w:delText xml:space="preserve"> kezelt betegek csoportjában.</w:delText>
        </w:r>
      </w:del>
    </w:p>
    <w:p w14:paraId="0B7C849E" w14:textId="42115FB3" w:rsidR="00DA4ABB" w:rsidRPr="00183B5F" w:rsidRDefault="00DA4ABB" w:rsidP="004062FE">
      <w:pPr>
        <w:spacing w:line="240" w:lineRule="auto"/>
        <w:rPr>
          <w:del w:id="5286" w:author="AbbVie_HU_03" w:date="2025-05-14T15:27:00Z"/>
          <w:szCs w:val="22"/>
        </w:rPr>
      </w:pPr>
    </w:p>
    <w:p w14:paraId="42F86283" w14:textId="45DBA9DF" w:rsidR="00FB6710" w:rsidRPr="00183B5F" w:rsidRDefault="00943743" w:rsidP="004062FE">
      <w:pPr>
        <w:spacing w:line="240" w:lineRule="auto"/>
        <w:rPr>
          <w:del w:id="5287" w:author="AbbVie_HU_03" w:date="2025-05-14T15:27:00Z"/>
          <w:szCs w:val="22"/>
        </w:rPr>
      </w:pPr>
      <w:del w:id="5288" w:author="AbbVie_HU_03" w:date="2025-05-14T15:27:00Z">
        <w:r w:rsidRPr="00183B5F">
          <w:rPr>
            <w:szCs w:val="22"/>
          </w:rPr>
          <w:delText>A Humira</w:delText>
        </w:r>
        <w:r w:rsidR="00A412CD" w:rsidRPr="00183B5F">
          <w:rPr>
            <w:szCs w:val="22"/>
          </w:rPr>
          <w:noBreakHyphen/>
        </w:r>
        <w:r w:rsidRPr="00183B5F">
          <w:rPr>
            <w:szCs w:val="22"/>
          </w:rPr>
          <w:delText xml:space="preserve">val </w:delText>
        </w:r>
        <w:r w:rsidR="00E40C6E" w:rsidRPr="00183B5F">
          <w:rPr>
            <w:szCs w:val="22"/>
          </w:rPr>
          <w:delText xml:space="preserve">felnőttek és gyermekek bevonásával </w:delText>
        </w:r>
        <w:r w:rsidRPr="00183B5F">
          <w:rPr>
            <w:szCs w:val="22"/>
          </w:rPr>
          <w:delText>végzett kontroll</w:delText>
        </w:r>
        <w:r w:rsidR="00E40C6E" w:rsidRPr="00183B5F">
          <w:rPr>
            <w:szCs w:val="22"/>
          </w:rPr>
          <w:delText>os</w:delText>
        </w:r>
        <w:r w:rsidR="001D2134" w:rsidRPr="00183B5F">
          <w:rPr>
            <w:szCs w:val="22"/>
          </w:rPr>
          <w:delText>, valamint</w:delText>
        </w:r>
        <w:r w:rsidRPr="00183B5F">
          <w:rPr>
            <w:szCs w:val="22"/>
          </w:rPr>
          <w:delText xml:space="preserve"> nyílt vizsgálatokban súlyos fertőzésekről (beleértve halálos kimenetelű fertőzést, amely csak ritkán fordult elő) számoltak be többek között tuber</w:delText>
        </w:r>
        <w:r w:rsidR="00FE6439" w:rsidRPr="00183B5F">
          <w:rPr>
            <w:szCs w:val="22"/>
          </w:rPr>
          <w:delText>culos</w:delText>
        </w:r>
        <w:r w:rsidRPr="00183B5F">
          <w:rPr>
            <w:szCs w:val="22"/>
          </w:rPr>
          <w:delText>isról (miliaris és extrapulmon</w:delText>
        </w:r>
        <w:r w:rsidR="001D2134" w:rsidRPr="00183B5F">
          <w:rPr>
            <w:szCs w:val="22"/>
          </w:rPr>
          <w:delText>a</w:delText>
        </w:r>
        <w:r w:rsidRPr="00183B5F">
          <w:rPr>
            <w:szCs w:val="22"/>
          </w:rPr>
          <w:delText xml:space="preserve">lis előfordulással) és invazív opportunista fertőzésekről (pl. disszeminált vagy extrapulmonalis histoplasmosis, </w:delText>
        </w:r>
        <w:r w:rsidRPr="00183B5F">
          <w:rPr>
            <w:szCs w:val="22"/>
            <w:u w:color="0000FF"/>
          </w:rPr>
          <w:delText>blastomycosis, coccidioidomycosis, pneumocyst</w:delText>
        </w:r>
        <w:r w:rsidR="002A1E06" w:rsidRPr="00183B5F">
          <w:rPr>
            <w:szCs w:val="22"/>
            <w:u w:color="0000FF"/>
          </w:rPr>
          <w:delText>osi</w:delText>
        </w:r>
        <w:r w:rsidRPr="00183B5F">
          <w:rPr>
            <w:szCs w:val="22"/>
            <w:u w:color="0000FF"/>
          </w:rPr>
          <w:delText>s</w:delText>
        </w:r>
        <w:r w:rsidRPr="00183B5F">
          <w:rPr>
            <w:szCs w:val="22"/>
          </w:rPr>
          <w:delText xml:space="preserve">, </w:delText>
        </w:r>
        <w:r w:rsidRPr="00183B5F">
          <w:rPr>
            <w:szCs w:val="22"/>
            <w:u w:color="0000FF"/>
          </w:rPr>
          <w:delText>candidiasis</w:delText>
        </w:r>
        <w:r w:rsidRPr="00183B5F">
          <w:rPr>
            <w:szCs w:val="22"/>
          </w:rPr>
          <w:delText>, aspergillosis és listeriosis). A tuber</w:delText>
        </w:r>
        <w:r w:rsidR="00FE6439" w:rsidRPr="00183B5F">
          <w:rPr>
            <w:szCs w:val="22"/>
          </w:rPr>
          <w:delText>culos</w:delText>
        </w:r>
        <w:r w:rsidRPr="00183B5F">
          <w:rPr>
            <w:szCs w:val="22"/>
          </w:rPr>
          <w:delText>isos megbetegedések többsége a Humira</w:delText>
        </w:r>
        <w:r w:rsidR="00573D37" w:rsidRPr="00183B5F">
          <w:rPr>
            <w:szCs w:val="22"/>
          </w:rPr>
          <w:noBreakHyphen/>
        </w:r>
        <w:r w:rsidRPr="00183B5F">
          <w:rPr>
            <w:szCs w:val="22"/>
          </w:rPr>
          <w:delText>kezelés első 8</w:delText>
        </w:r>
        <w:r w:rsidR="00A412CD" w:rsidRPr="00183B5F">
          <w:rPr>
            <w:szCs w:val="22"/>
          </w:rPr>
          <w:delText> </w:delText>
        </w:r>
        <w:r w:rsidRPr="00183B5F">
          <w:rPr>
            <w:szCs w:val="22"/>
          </w:rPr>
          <w:delText xml:space="preserve">hónapjában következett be és </w:delText>
        </w:r>
        <w:r w:rsidR="002A1E06" w:rsidRPr="00183B5F">
          <w:rPr>
            <w:szCs w:val="22"/>
          </w:rPr>
          <w:delText>a látens betegség</w:delText>
        </w:r>
        <w:r w:rsidRPr="00183B5F">
          <w:rPr>
            <w:szCs w:val="22"/>
          </w:rPr>
          <w:delText xml:space="preserve"> kiújulásaként manifesztálódhatott.</w:delText>
        </w:r>
      </w:del>
    </w:p>
    <w:p w14:paraId="4DE80F82" w14:textId="1710AD27" w:rsidR="00FB6710" w:rsidRPr="00183B5F" w:rsidRDefault="00FB6710" w:rsidP="004062FE">
      <w:pPr>
        <w:suppressAutoHyphens w:val="0"/>
        <w:spacing w:line="240" w:lineRule="auto"/>
        <w:rPr>
          <w:del w:id="5289" w:author="AbbVie_HU_03" w:date="2025-05-14T15:27:00Z"/>
          <w:szCs w:val="22"/>
        </w:rPr>
      </w:pPr>
    </w:p>
    <w:p w14:paraId="5AA7D8D9" w14:textId="2F100E3A" w:rsidR="00FB6710" w:rsidRPr="00183B5F" w:rsidRDefault="00943743" w:rsidP="004062FE">
      <w:pPr>
        <w:keepNext/>
        <w:suppressAutoHyphens w:val="0"/>
        <w:spacing w:line="240" w:lineRule="auto"/>
        <w:rPr>
          <w:del w:id="5290" w:author="AbbVie_HU_03" w:date="2025-05-14T15:27:00Z"/>
          <w:i/>
          <w:szCs w:val="22"/>
        </w:rPr>
      </w:pPr>
      <w:del w:id="5291" w:author="AbbVie_HU_03" w:date="2025-05-14T15:27:00Z">
        <w:r w:rsidRPr="00183B5F">
          <w:rPr>
            <w:i/>
            <w:szCs w:val="22"/>
          </w:rPr>
          <w:delText>Rosszindulatú és lymphoproliferativ betegségek</w:delText>
        </w:r>
      </w:del>
    </w:p>
    <w:p w14:paraId="7436E8E0" w14:textId="15FEA5DC" w:rsidR="00FB6710" w:rsidRPr="00183B5F" w:rsidRDefault="00FB6710" w:rsidP="004062FE">
      <w:pPr>
        <w:keepNext/>
        <w:suppressAutoHyphens w:val="0"/>
        <w:spacing w:line="240" w:lineRule="auto"/>
        <w:ind w:left="567" w:hanging="567"/>
        <w:rPr>
          <w:del w:id="5292" w:author="AbbVie_HU_03" w:date="2025-05-14T15:27:00Z"/>
          <w:szCs w:val="22"/>
        </w:rPr>
      </w:pPr>
    </w:p>
    <w:p w14:paraId="7990D6BA" w14:textId="48C69126" w:rsidR="004E7623" w:rsidRPr="00183B5F" w:rsidRDefault="00943743" w:rsidP="004062FE">
      <w:pPr>
        <w:spacing w:line="240" w:lineRule="auto"/>
        <w:rPr>
          <w:del w:id="5293" w:author="AbbVie_HU_03" w:date="2025-05-14T15:27:00Z"/>
          <w:szCs w:val="22"/>
        </w:rPr>
      </w:pPr>
      <w:del w:id="5294" w:author="AbbVie_HU_03" w:date="2025-05-14T15:27:00Z">
        <w:r w:rsidRPr="00183B5F">
          <w:rPr>
            <w:szCs w:val="22"/>
          </w:rPr>
          <w:delText>Humira</w:delText>
        </w:r>
        <w:r w:rsidR="00A412CD" w:rsidRPr="00183B5F">
          <w:rPr>
            <w:szCs w:val="22"/>
          </w:rPr>
          <w:noBreakHyphen/>
        </w:r>
        <w:r w:rsidRPr="00183B5F">
          <w:rPr>
            <w:szCs w:val="22"/>
          </w:rPr>
          <w:delText xml:space="preserve">val juvenilis idiopathiás arthritisben (polyarticularis juvenilis idiopathiás arthritisben és </w:delText>
        </w:r>
        <w:r w:rsidR="00677908" w:rsidRPr="00183B5F">
          <w:rPr>
            <w:szCs w:val="22"/>
          </w:rPr>
          <w:delText>enthesitis-asszociált</w:delText>
        </w:r>
        <w:r w:rsidRPr="00183B5F">
          <w:rPr>
            <w:szCs w:val="22"/>
          </w:rPr>
          <w:delText xml:space="preserve"> arthritisben) szenvedő betegek körében végzett vizsgálatokban 655,6 betegévnyi expozíciónak kitett</w:delText>
        </w:r>
        <w:r w:rsidR="00E97B8A" w:rsidRPr="00183B5F">
          <w:rPr>
            <w:szCs w:val="22"/>
          </w:rPr>
          <w:delText>,</w:delText>
        </w:r>
        <w:r w:rsidRPr="00183B5F">
          <w:rPr>
            <w:szCs w:val="22"/>
          </w:rPr>
          <w:delText xml:space="preserve"> 249 pediátriai betegnél nem figyeltek meg malignitást. Ezen kívül Crohn</w:delText>
        </w:r>
        <w:r w:rsidR="00A412CD" w:rsidRPr="00183B5F">
          <w:rPr>
            <w:szCs w:val="22"/>
          </w:rPr>
          <w:noBreakHyphen/>
        </w:r>
        <w:r w:rsidRPr="00183B5F">
          <w:rPr>
            <w:szCs w:val="22"/>
          </w:rPr>
          <w:delText>betegségben szenvedő betegek körében Humira</w:delText>
        </w:r>
        <w:r w:rsidR="00A412CD" w:rsidRPr="00183B5F">
          <w:rPr>
            <w:szCs w:val="22"/>
          </w:rPr>
          <w:noBreakHyphen/>
        </w:r>
        <w:r w:rsidRPr="00183B5F">
          <w:rPr>
            <w:szCs w:val="22"/>
          </w:rPr>
          <w:delText>val végzett vizsgálat</w:delText>
        </w:r>
        <w:r w:rsidR="00862E81" w:rsidRPr="00183B5F">
          <w:rPr>
            <w:szCs w:val="22"/>
          </w:rPr>
          <w:delText>okban 498,1</w:delText>
        </w:r>
        <w:r w:rsidRPr="00183B5F">
          <w:rPr>
            <w:szCs w:val="22"/>
          </w:rPr>
          <w:delText> betegévnyi expozíciónak kitett</w:delText>
        </w:r>
        <w:r w:rsidR="00E97B8A" w:rsidRPr="00183B5F">
          <w:rPr>
            <w:szCs w:val="22"/>
          </w:rPr>
          <w:delText>,</w:delText>
        </w:r>
        <w:r w:rsidRPr="00183B5F">
          <w:rPr>
            <w:szCs w:val="22"/>
          </w:rPr>
          <w:delText xml:space="preserve"> 192 </w:delText>
        </w:r>
        <w:r w:rsidR="00663798" w:rsidRPr="00183B5F">
          <w:rPr>
            <w:szCs w:val="22"/>
          </w:rPr>
          <w:delText xml:space="preserve">pediátriai </w:delText>
        </w:r>
        <w:r w:rsidRPr="00183B5F">
          <w:rPr>
            <w:szCs w:val="22"/>
          </w:rPr>
          <w:delText xml:space="preserve">betegnél nem figyeltek meg malignitást. </w:delText>
        </w:r>
        <w:r w:rsidR="00274602" w:rsidRPr="00183B5F">
          <w:rPr>
            <w:szCs w:val="22"/>
          </w:rPr>
          <w:delText xml:space="preserve">Krónikus </w:delText>
        </w:r>
        <w:r w:rsidRPr="00183B5F">
          <w:rPr>
            <w:szCs w:val="22"/>
          </w:rPr>
          <w:delText>plakkos psoriasisb</w:delText>
        </w:r>
        <w:r w:rsidR="00806672" w:rsidRPr="00183B5F">
          <w:rPr>
            <w:szCs w:val="22"/>
          </w:rPr>
          <w:delText>an szenvedő gyermekeknél Humira</w:delText>
        </w:r>
        <w:r w:rsidR="00806672" w:rsidRPr="00183B5F">
          <w:rPr>
            <w:szCs w:val="22"/>
          </w:rPr>
          <w:noBreakHyphen/>
        </w:r>
        <w:r w:rsidRPr="00183B5F">
          <w:rPr>
            <w:szCs w:val="22"/>
          </w:rPr>
          <w:delText>v</w:delText>
        </w:r>
        <w:r w:rsidRPr="00183B5F">
          <w:rPr>
            <w:szCs w:val="22"/>
          </w:rPr>
          <w:delText>al végzett vizsgálatban 80 betegévnyi expozíciónak kitett</w:delText>
        </w:r>
        <w:r w:rsidR="00E97B8A" w:rsidRPr="00183B5F">
          <w:rPr>
            <w:szCs w:val="22"/>
          </w:rPr>
          <w:delText>,</w:delText>
        </w:r>
        <w:r w:rsidRPr="00183B5F">
          <w:rPr>
            <w:szCs w:val="22"/>
          </w:rPr>
          <w:delText xml:space="preserve"> 77 pediátriai betegnél nem figyeltek meg malignitást.</w:delText>
        </w:r>
        <w:r w:rsidR="00352ED2" w:rsidRPr="00183B5F">
          <w:rPr>
            <w:szCs w:val="22"/>
          </w:rPr>
          <w:delText xml:space="preserve"> </w:delText>
        </w:r>
        <w:r w:rsidR="003A1D9B" w:rsidRPr="00183B5F">
          <w:rPr>
            <w:rStyle w:val="normaltextrun"/>
            <w:shd w:val="clear" w:color="auto" w:fill="FFFFFF"/>
          </w:rPr>
          <w:delText>Egy Humira-vizsgálat során 65,3 betegévnyi expozíciónak kitett, colitis ulcerosában szenvedő 93 </w:delText>
        </w:r>
        <w:r w:rsidR="0096786B" w:rsidRPr="00183B5F">
          <w:rPr>
            <w:rStyle w:val="normaltextrun"/>
            <w:shd w:val="clear" w:color="auto" w:fill="FFFFFF"/>
          </w:rPr>
          <w:delText>gyermek</w:delText>
        </w:r>
        <w:r w:rsidR="00777CA4" w:rsidRPr="00183B5F">
          <w:rPr>
            <w:rStyle w:val="normaltextrun"/>
            <w:shd w:val="clear" w:color="auto" w:fill="FFFFFF"/>
          </w:rPr>
          <w:delText>- és serdülő</w:delText>
        </w:r>
        <w:r w:rsidR="0096786B" w:rsidRPr="00183B5F">
          <w:rPr>
            <w:rStyle w:val="normaltextrun"/>
            <w:shd w:val="clear" w:color="auto" w:fill="FFFFFF"/>
          </w:rPr>
          <w:delText>korú</w:delText>
        </w:r>
        <w:r w:rsidR="003A1D9B" w:rsidRPr="00183B5F">
          <w:rPr>
            <w:rStyle w:val="normaltextrun"/>
            <w:shd w:val="clear" w:color="auto" w:fill="FFFFFF"/>
          </w:rPr>
          <w:delText xml:space="preserve"> betegnél nem figyeltek meg malignitást. </w:delText>
        </w:r>
        <w:r w:rsidR="00352ED2" w:rsidRPr="00183B5F">
          <w:rPr>
            <w:szCs w:val="22"/>
          </w:rPr>
          <w:delText>Uveitisben szenvedő gyermekeknél Humira</w:delText>
        </w:r>
        <w:r w:rsidR="00352ED2" w:rsidRPr="00183B5F">
          <w:rPr>
            <w:szCs w:val="22"/>
          </w:rPr>
          <w:noBreakHyphen/>
          <w:delText>val végzett vizsgálatban 58,4 betegévnyi expozíciónak kitett</w:delText>
        </w:r>
        <w:r w:rsidR="00E97B8A" w:rsidRPr="00183B5F">
          <w:rPr>
            <w:szCs w:val="22"/>
          </w:rPr>
          <w:delText>,</w:delText>
        </w:r>
        <w:r w:rsidR="00352ED2" w:rsidRPr="00183B5F">
          <w:rPr>
            <w:szCs w:val="22"/>
          </w:rPr>
          <w:delText xml:space="preserve"> 60 </w:delText>
        </w:r>
        <w:r w:rsidR="00663798" w:rsidRPr="00183B5F">
          <w:rPr>
            <w:szCs w:val="22"/>
          </w:rPr>
          <w:delText>pediátriai</w:delText>
        </w:r>
        <w:r w:rsidR="00352ED2" w:rsidRPr="00183B5F">
          <w:rPr>
            <w:szCs w:val="22"/>
          </w:rPr>
          <w:delText xml:space="preserve"> betegnél nem figyeltek meg malignitást.</w:delText>
        </w:r>
      </w:del>
    </w:p>
    <w:p w14:paraId="448A996D" w14:textId="04BB34E7" w:rsidR="00DA4ABB" w:rsidRPr="00183B5F" w:rsidRDefault="00DA4ABB" w:rsidP="004062FE">
      <w:pPr>
        <w:spacing w:line="240" w:lineRule="auto"/>
        <w:rPr>
          <w:del w:id="5295" w:author="AbbVie_HU_03" w:date="2025-05-14T15:27:00Z"/>
          <w:szCs w:val="22"/>
        </w:rPr>
      </w:pPr>
    </w:p>
    <w:p w14:paraId="142CCE2E" w14:textId="6F8FE09E" w:rsidR="008A4BDC" w:rsidRPr="00183B5F" w:rsidRDefault="00943743" w:rsidP="004062FE">
      <w:pPr>
        <w:spacing w:line="240" w:lineRule="auto"/>
        <w:rPr>
          <w:del w:id="5296" w:author="AbbVie_HU_03" w:date="2025-05-14T15:27:00Z"/>
          <w:szCs w:val="22"/>
        </w:rPr>
      </w:pPr>
      <w:del w:id="5297" w:author="AbbVie_HU_03" w:date="2025-05-14T15:27:00Z">
        <w:r w:rsidRPr="00183B5F">
          <w:rPr>
            <w:szCs w:val="22"/>
          </w:rPr>
          <w:delText xml:space="preserve">A Humira hatásait közepesen </w:delText>
        </w:r>
        <w:r w:rsidR="00663798" w:rsidRPr="00183B5F">
          <w:rPr>
            <w:szCs w:val="22"/>
          </w:rPr>
          <w:delText xml:space="preserve">súlyos </w:delText>
        </w:r>
        <w:r w:rsidRPr="00183B5F">
          <w:rPr>
            <w:szCs w:val="22"/>
          </w:rPr>
          <w:delText xml:space="preserve">vagy súlyos aktivitású rheumatoid arthritisben, spondylitis ankylopoeticában, </w:delText>
        </w:r>
        <w:r w:rsidRPr="00183B5F">
          <w:rPr>
            <w:rFonts w:eastAsia="SimSun"/>
            <w:szCs w:val="22"/>
            <w:lang w:eastAsia="zh-CN"/>
          </w:rPr>
          <w:delText>spondylitis ankylopoeticának (SPA) megfelelő röntgeneltéréssel nem járó</w:delText>
        </w:r>
        <w:r w:rsidRPr="00183B5F">
          <w:rPr>
            <w:szCs w:val="22"/>
          </w:rPr>
          <w:delText xml:space="preserve"> axiális spondyloarthritisben, arthritis psoriaticában, psoriasisban, </w:delText>
        </w:r>
        <w:r w:rsidR="008E609E" w:rsidRPr="00183B5F">
          <w:rPr>
            <w:szCs w:val="22"/>
          </w:rPr>
          <w:delText xml:space="preserve">hidradenitis suppurativában, </w:delText>
        </w:r>
        <w:r w:rsidRPr="00183B5F">
          <w:rPr>
            <w:szCs w:val="22"/>
          </w:rPr>
          <w:delText>Crohn</w:delText>
        </w:r>
        <w:r w:rsidR="00634AFA" w:rsidRPr="00183B5F">
          <w:rPr>
            <w:szCs w:val="22"/>
          </w:rPr>
          <w:noBreakHyphen/>
        </w:r>
        <w:r w:rsidRPr="00183B5F">
          <w:rPr>
            <w:szCs w:val="22"/>
          </w:rPr>
          <w:delText>betegségben</w:delText>
        </w:r>
        <w:r w:rsidR="00390B21" w:rsidRPr="00183B5F">
          <w:rPr>
            <w:szCs w:val="22"/>
          </w:rPr>
          <w:delText>,</w:delText>
        </w:r>
        <w:r w:rsidRPr="00183B5F">
          <w:rPr>
            <w:szCs w:val="22"/>
          </w:rPr>
          <w:delText xml:space="preserve"> colitis ulcerosában </w:delText>
        </w:r>
        <w:r w:rsidR="003655A2" w:rsidRPr="00183B5F">
          <w:rPr>
            <w:szCs w:val="22"/>
          </w:rPr>
          <w:delText xml:space="preserve">és uveitisben </w:delText>
        </w:r>
        <w:r w:rsidRPr="00183B5F">
          <w:rPr>
            <w:szCs w:val="22"/>
          </w:rPr>
          <w:delText>szenvedő betegeken értékelő legalább 12 hét időtartamú, felnőttek körében végzett pivotális vizsgálatok kontroll</w:delText>
        </w:r>
        <w:r w:rsidR="00573D37" w:rsidRPr="00183B5F">
          <w:rPr>
            <w:szCs w:val="22"/>
          </w:rPr>
          <w:delText>os</w:delText>
        </w:r>
        <w:r w:rsidRPr="00183B5F">
          <w:rPr>
            <w:szCs w:val="22"/>
          </w:rPr>
          <w:delText xml:space="preserve"> szakaszaiban a következőképpen alakult a rosszindulatú daganatok gyakorisága (a lymphoma és a nem melanomás bőrrák kivételével): az 1000</w:delText>
        </w:r>
        <w:r w:rsidR="00634AFA" w:rsidRPr="00183B5F">
          <w:rPr>
            <w:szCs w:val="22"/>
          </w:rPr>
          <w:delText> </w:delText>
        </w:r>
        <w:r w:rsidRPr="00183B5F">
          <w:rPr>
            <w:szCs w:val="22"/>
          </w:rPr>
          <w:delText>betegévre számított gyakoriság (95%</w:delText>
        </w:r>
        <w:r w:rsidR="00634AFA" w:rsidRPr="00183B5F">
          <w:rPr>
            <w:szCs w:val="22"/>
          </w:rPr>
          <w:noBreakHyphen/>
        </w:r>
        <w:r w:rsidRPr="00183B5F">
          <w:rPr>
            <w:szCs w:val="22"/>
          </w:rPr>
          <w:delText xml:space="preserve">os konfidencia intervallum) a </w:delText>
        </w:r>
        <w:r w:rsidR="008E609E" w:rsidRPr="00183B5F">
          <w:rPr>
            <w:szCs w:val="22"/>
          </w:rPr>
          <w:delText>5</w:delText>
        </w:r>
        <w:r w:rsidR="003655A2" w:rsidRPr="00183B5F">
          <w:rPr>
            <w:szCs w:val="22"/>
          </w:rPr>
          <w:delText>291</w:delText>
        </w:r>
        <w:r w:rsidRPr="00183B5F">
          <w:rPr>
            <w:szCs w:val="22"/>
          </w:rPr>
          <w:delText> Humira</w:delText>
        </w:r>
        <w:r w:rsidR="00634AFA" w:rsidRPr="00183B5F">
          <w:rPr>
            <w:szCs w:val="22"/>
          </w:rPr>
          <w:noBreakHyphen/>
        </w:r>
        <w:r w:rsidRPr="00183B5F">
          <w:rPr>
            <w:szCs w:val="22"/>
          </w:rPr>
          <w:delText>val kezelt beteg esetében 6,</w:delText>
        </w:r>
        <w:r w:rsidR="003655A2" w:rsidRPr="00183B5F">
          <w:rPr>
            <w:szCs w:val="22"/>
          </w:rPr>
          <w:delText>8</w:delText>
        </w:r>
        <w:r w:rsidR="008E609E" w:rsidRPr="00183B5F">
          <w:rPr>
            <w:szCs w:val="22"/>
          </w:rPr>
          <w:delText xml:space="preserve"> (</w:delText>
        </w:r>
        <w:r w:rsidR="003655A2" w:rsidRPr="00183B5F">
          <w:rPr>
            <w:szCs w:val="22"/>
          </w:rPr>
          <w:delText>4,4</w:delText>
        </w:r>
        <w:r w:rsidR="008E609E" w:rsidRPr="00183B5F">
          <w:rPr>
            <w:szCs w:val="22"/>
          </w:rPr>
          <w:delText xml:space="preserve">; </w:delText>
        </w:r>
        <w:r w:rsidR="003655A2" w:rsidRPr="00183B5F">
          <w:rPr>
            <w:szCs w:val="22"/>
          </w:rPr>
          <w:delText>10,5</w:delText>
        </w:r>
        <w:r w:rsidRPr="00183B5F">
          <w:rPr>
            <w:szCs w:val="22"/>
          </w:rPr>
          <w:delText xml:space="preserve">) míg az </w:delText>
        </w:r>
        <w:r w:rsidR="008E609E" w:rsidRPr="00183B5F">
          <w:rPr>
            <w:szCs w:val="22"/>
          </w:rPr>
          <w:delText>3</w:delText>
        </w:r>
        <w:r w:rsidR="003655A2" w:rsidRPr="00183B5F">
          <w:rPr>
            <w:szCs w:val="22"/>
          </w:rPr>
          <w:delText>444</w:delText>
        </w:r>
        <w:r w:rsidRPr="00183B5F">
          <w:rPr>
            <w:szCs w:val="22"/>
          </w:rPr>
          <w:delText> fős kontro</w:delText>
        </w:r>
        <w:r w:rsidR="0089402C" w:rsidRPr="00183B5F">
          <w:rPr>
            <w:szCs w:val="22"/>
          </w:rPr>
          <w:delText>llcs</w:delText>
        </w:r>
        <w:r w:rsidRPr="00183B5F">
          <w:rPr>
            <w:szCs w:val="22"/>
          </w:rPr>
          <w:delText xml:space="preserve">oportban </w:delText>
        </w:r>
        <w:r w:rsidR="008E609E" w:rsidRPr="00183B5F">
          <w:rPr>
            <w:szCs w:val="22"/>
          </w:rPr>
          <w:delText>6,</w:delText>
        </w:r>
        <w:r w:rsidR="00F76E67" w:rsidRPr="00183B5F">
          <w:rPr>
            <w:szCs w:val="22"/>
          </w:rPr>
          <w:delText>3</w:delText>
        </w:r>
        <w:r w:rsidR="008E609E" w:rsidRPr="00183B5F">
          <w:rPr>
            <w:szCs w:val="22"/>
          </w:rPr>
          <w:delText xml:space="preserve"> (3,</w:delText>
        </w:r>
        <w:r w:rsidR="00F76E67" w:rsidRPr="00183B5F">
          <w:rPr>
            <w:szCs w:val="22"/>
          </w:rPr>
          <w:delText>4</w:delText>
        </w:r>
        <w:r w:rsidR="008E609E" w:rsidRPr="00183B5F">
          <w:rPr>
            <w:szCs w:val="22"/>
          </w:rPr>
          <w:delText>; 1</w:delText>
        </w:r>
        <w:r w:rsidR="00F76E67" w:rsidRPr="00183B5F">
          <w:rPr>
            <w:szCs w:val="22"/>
          </w:rPr>
          <w:delText>1,8</w:delText>
        </w:r>
        <w:r w:rsidRPr="00183B5F">
          <w:rPr>
            <w:szCs w:val="22"/>
          </w:rPr>
          <w:delText>) volt. (A kezelés medián időtartama a Humira</w:delText>
        </w:r>
        <w:r w:rsidR="00634AFA" w:rsidRPr="00183B5F">
          <w:rPr>
            <w:szCs w:val="22"/>
          </w:rPr>
          <w:noBreakHyphen/>
        </w:r>
        <w:r w:rsidRPr="00183B5F">
          <w:rPr>
            <w:szCs w:val="22"/>
          </w:rPr>
          <w:delText xml:space="preserve">csoportban </w:delText>
        </w:r>
        <w:r w:rsidR="008E609E" w:rsidRPr="00183B5F">
          <w:rPr>
            <w:szCs w:val="22"/>
          </w:rPr>
          <w:delText>4,0</w:delText>
        </w:r>
        <w:r w:rsidRPr="00183B5F">
          <w:rPr>
            <w:szCs w:val="22"/>
          </w:rPr>
          <w:delText> hónap, a kontro</w:delText>
        </w:r>
        <w:r w:rsidR="0089402C" w:rsidRPr="00183B5F">
          <w:rPr>
            <w:szCs w:val="22"/>
          </w:rPr>
          <w:delText>llcs</w:delText>
        </w:r>
        <w:r w:rsidRPr="00183B5F">
          <w:rPr>
            <w:szCs w:val="22"/>
          </w:rPr>
          <w:delText xml:space="preserve">oportban </w:delText>
        </w:r>
        <w:r w:rsidR="008E609E" w:rsidRPr="00183B5F">
          <w:rPr>
            <w:szCs w:val="22"/>
          </w:rPr>
          <w:delText>3,</w:delText>
        </w:r>
        <w:r w:rsidR="00F76E67" w:rsidRPr="00183B5F">
          <w:rPr>
            <w:szCs w:val="22"/>
          </w:rPr>
          <w:delText>8</w:delText>
        </w:r>
        <w:r w:rsidRPr="00183B5F">
          <w:rPr>
            <w:szCs w:val="22"/>
          </w:rPr>
          <w:delText> hónap volt.) A nem melanomás bőrrák 1000</w:delText>
        </w:r>
        <w:r w:rsidR="00634AFA" w:rsidRPr="00183B5F">
          <w:rPr>
            <w:szCs w:val="22"/>
          </w:rPr>
          <w:delText> </w:delText>
        </w:r>
        <w:r w:rsidRPr="00183B5F">
          <w:rPr>
            <w:szCs w:val="22"/>
          </w:rPr>
          <w:delText>betegévre számított gyakorisága (95%</w:delText>
        </w:r>
        <w:r w:rsidR="00634AFA" w:rsidRPr="00183B5F">
          <w:rPr>
            <w:szCs w:val="22"/>
          </w:rPr>
          <w:noBreakHyphen/>
        </w:r>
        <w:r w:rsidRPr="00183B5F">
          <w:rPr>
            <w:szCs w:val="22"/>
          </w:rPr>
          <w:delText>os konfidencia intervallum) a Humira</w:delText>
        </w:r>
        <w:r w:rsidR="00634AFA" w:rsidRPr="00183B5F">
          <w:rPr>
            <w:szCs w:val="22"/>
          </w:rPr>
          <w:noBreakHyphen/>
        </w:r>
        <w:r w:rsidRPr="00183B5F">
          <w:rPr>
            <w:szCs w:val="22"/>
          </w:rPr>
          <w:delText xml:space="preserve">val kezelt betegek esetében </w:delText>
        </w:r>
        <w:r w:rsidR="00F76E67" w:rsidRPr="00183B5F">
          <w:rPr>
            <w:szCs w:val="22"/>
          </w:rPr>
          <w:delText>8,8</w:delText>
        </w:r>
        <w:r w:rsidR="008E609E" w:rsidRPr="00183B5F">
          <w:rPr>
            <w:szCs w:val="22"/>
          </w:rPr>
          <w:delText xml:space="preserve"> (6,</w:delText>
        </w:r>
        <w:r w:rsidR="00F76E67" w:rsidRPr="00183B5F">
          <w:rPr>
            <w:szCs w:val="22"/>
          </w:rPr>
          <w:delText>0</w:delText>
        </w:r>
        <w:r w:rsidR="008E609E" w:rsidRPr="00183B5F">
          <w:rPr>
            <w:szCs w:val="22"/>
          </w:rPr>
          <w:delText>; 13,</w:delText>
        </w:r>
        <w:r w:rsidR="00F76E67" w:rsidRPr="00183B5F">
          <w:rPr>
            <w:szCs w:val="22"/>
          </w:rPr>
          <w:delText>0</w:delText>
        </w:r>
        <w:r w:rsidRPr="00183B5F">
          <w:rPr>
            <w:szCs w:val="22"/>
          </w:rPr>
          <w:delText xml:space="preserve">), míg a kontrollcsoportban </w:delText>
        </w:r>
        <w:r w:rsidR="008E609E" w:rsidRPr="00183B5F">
          <w:rPr>
            <w:szCs w:val="22"/>
          </w:rPr>
          <w:delText>3,</w:delText>
        </w:r>
        <w:r w:rsidR="00831F75" w:rsidRPr="00183B5F">
          <w:rPr>
            <w:szCs w:val="22"/>
          </w:rPr>
          <w:delText>2</w:delText>
        </w:r>
        <w:r w:rsidR="008E609E" w:rsidRPr="00183B5F">
          <w:rPr>
            <w:szCs w:val="22"/>
          </w:rPr>
          <w:delText xml:space="preserve"> (1,</w:delText>
        </w:r>
        <w:r w:rsidR="00831F75" w:rsidRPr="00183B5F">
          <w:rPr>
            <w:szCs w:val="22"/>
          </w:rPr>
          <w:delText>3</w:delText>
        </w:r>
        <w:r w:rsidR="008E609E" w:rsidRPr="00183B5F">
          <w:rPr>
            <w:szCs w:val="22"/>
          </w:rPr>
          <w:delText xml:space="preserve">; </w:delText>
        </w:r>
        <w:r w:rsidR="00831F75" w:rsidRPr="00183B5F">
          <w:rPr>
            <w:szCs w:val="22"/>
          </w:rPr>
          <w:delText>7,6</w:delText>
        </w:r>
        <w:r w:rsidRPr="00183B5F">
          <w:rPr>
            <w:szCs w:val="22"/>
          </w:rPr>
          <w:delText>) volt. E bőrrákok közül a laphám</w:delText>
        </w:r>
        <w:r w:rsidR="00573D37" w:rsidRPr="00183B5F">
          <w:rPr>
            <w:szCs w:val="22"/>
          </w:rPr>
          <w:delText>-</w:delText>
        </w:r>
        <w:r w:rsidRPr="00183B5F">
          <w:rPr>
            <w:szCs w:val="22"/>
          </w:rPr>
          <w:delText>carcinoma 1000</w:delText>
        </w:r>
        <w:r w:rsidR="00141F2A" w:rsidRPr="00183B5F">
          <w:rPr>
            <w:szCs w:val="22"/>
          </w:rPr>
          <w:delText> </w:delText>
        </w:r>
        <w:r w:rsidRPr="00183B5F">
          <w:rPr>
            <w:szCs w:val="22"/>
          </w:rPr>
          <w:delText>betegévre számított gyakorisága (95%-os konfidencia intervallum) a Humira</w:delText>
        </w:r>
        <w:r w:rsidRPr="00183B5F">
          <w:rPr>
            <w:szCs w:val="22"/>
          </w:rPr>
          <w:noBreakHyphen/>
          <w:delText>csoportban 2,</w:delText>
        </w:r>
        <w:r w:rsidR="00831F75" w:rsidRPr="00183B5F">
          <w:rPr>
            <w:szCs w:val="22"/>
          </w:rPr>
          <w:delText xml:space="preserve">7 </w:delText>
        </w:r>
        <w:r w:rsidR="008E609E" w:rsidRPr="00183B5F">
          <w:rPr>
            <w:szCs w:val="22"/>
          </w:rPr>
          <w:delText>(1,</w:delText>
        </w:r>
        <w:r w:rsidR="00831F75" w:rsidRPr="00183B5F">
          <w:rPr>
            <w:szCs w:val="22"/>
          </w:rPr>
          <w:delText>4</w:delText>
        </w:r>
        <w:r w:rsidR="008E609E" w:rsidRPr="00183B5F">
          <w:rPr>
            <w:szCs w:val="22"/>
          </w:rPr>
          <w:delText>; 5,</w:delText>
        </w:r>
        <w:r w:rsidR="00831F75" w:rsidRPr="00183B5F">
          <w:rPr>
            <w:szCs w:val="22"/>
          </w:rPr>
          <w:delText>4</w:delText>
        </w:r>
        <w:r w:rsidRPr="00183B5F">
          <w:rPr>
            <w:szCs w:val="22"/>
          </w:rPr>
          <w:delText>), a kontro</w:delText>
        </w:r>
        <w:r w:rsidR="0089402C" w:rsidRPr="00183B5F">
          <w:rPr>
            <w:szCs w:val="22"/>
          </w:rPr>
          <w:delText>llcs</w:delText>
        </w:r>
        <w:r w:rsidRPr="00183B5F">
          <w:rPr>
            <w:szCs w:val="22"/>
          </w:rPr>
          <w:delText>oportban 0,</w:delText>
        </w:r>
        <w:r w:rsidR="00831F75" w:rsidRPr="00183B5F">
          <w:rPr>
            <w:szCs w:val="22"/>
          </w:rPr>
          <w:delText>6</w:delText>
        </w:r>
        <w:r w:rsidRPr="00183B5F">
          <w:rPr>
            <w:szCs w:val="22"/>
          </w:rPr>
          <w:delText xml:space="preserve"> (0,1, </w:delText>
        </w:r>
        <w:r w:rsidR="008E609E" w:rsidRPr="00183B5F">
          <w:rPr>
            <w:szCs w:val="22"/>
          </w:rPr>
          <w:delText>4,</w:delText>
        </w:r>
        <w:r w:rsidR="00831F75" w:rsidRPr="00183B5F">
          <w:rPr>
            <w:szCs w:val="22"/>
          </w:rPr>
          <w:delText>5</w:delText>
        </w:r>
        <w:r w:rsidRPr="00183B5F">
          <w:rPr>
            <w:szCs w:val="22"/>
          </w:rPr>
          <w:delText>) volt. A lymphomák 1000</w:delText>
        </w:r>
        <w:r w:rsidR="00634AFA" w:rsidRPr="00183B5F">
          <w:rPr>
            <w:szCs w:val="22"/>
          </w:rPr>
          <w:delText> </w:delText>
        </w:r>
        <w:r w:rsidRPr="00183B5F">
          <w:rPr>
            <w:szCs w:val="22"/>
          </w:rPr>
          <w:delText>betegévre vetített gyakorisága (95%-os konfidencia intervallum) a Humira</w:delText>
        </w:r>
        <w:r w:rsidR="00634AFA" w:rsidRPr="00183B5F">
          <w:rPr>
            <w:szCs w:val="22"/>
          </w:rPr>
          <w:noBreakHyphen/>
        </w:r>
        <w:r w:rsidRPr="00183B5F">
          <w:rPr>
            <w:szCs w:val="22"/>
          </w:rPr>
          <w:delText xml:space="preserve">val kezelt betegek körében 0,7 (0,2, </w:delText>
        </w:r>
        <w:r w:rsidR="005B2654" w:rsidRPr="00183B5F">
          <w:rPr>
            <w:szCs w:val="22"/>
          </w:rPr>
          <w:delText>2,</w:delText>
        </w:r>
        <w:r w:rsidR="00831F75" w:rsidRPr="00183B5F">
          <w:rPr>
            <w:szCs w:val="22"/>
          </w:rPr>
          <w:delText>7</w:delText>
        </w:r>
        <w:r w:rsidRPr="00183B5F">
          <w:rPr>
            <w:szCs w:val="22"/>
          </w:rPr>
          <w:delText xml:space="preserve">) , a kontrollok esetében </w:delText>
        </w:r>
        <w:r w:rsidR="005B2654" w:rsidRPr="00183B5F">
          <w:rPr>
            <w:szCs w:val="22"/>
          </w:rPr>
          <w:delText>0,</w:delText>
        </w:r>
        <w:r w:rsidR="00831F75" w:rsidRPr="00183B5F">
          <w:rPr>
            <w:szCs w:val="22"/>
          </w:rPr>
          <w:delText>6</w:delText>
        </w:r>
        <w:r w:rsidR="005B2654" w:rsidRPr="00183B5F">
          <w:rPr>
            <w:szCs w:val="22"/>
          </w:rPr>
          <w:delText xml:space="preserve"> (0,1; 4,</w:delText>
        </w:r>
        <w:r w:rsidR="00831F75" w:rsidRPr="00183B5F">
          <w:rPr>
            <w:szCs w:val="22"/>
          </w:rPr>
          <w:delText>5</w:delText>
        </w:r>
        <w:r w:rsidRPr="00183B5F">
          <w:rPr>
            <w:szCs w:val="22"/>
          </w:rPr>
          <w:delText>) volt.</w:delText>
        </w:r>
      </w:del>
    </w:p>
    <w:p w14:paraId="15EE7D8D" w14:textId="7DA902F5" w:rsidR="008A4BDC" w:rsidRPr="00183B5F" w:rsidRDefault="008A4BDC" w:rsidP="004062FE">
      <w:pPr>
        <w:spacing w:line="240" w:lineRule="auto"/>
        <w:rPr>
          <w:del w:id="5298" w:author="AbbVie_HU_03" w:date="2025-05-14T15:27:00Z"/>
          <w:szCs w:val="22"/>
        </w:rPr>
      </w:pPr>
    </w:p>
    <w:p w14:paraId="79533E98" w14:textId="48D5B667" w:rsidR="008A4BDC" w:rsidRPr="00183B5F" w:rsidRDefault="00943743" w:rsidP="004062FE">
      <w:pPr>
        <w:spacing w:line="240" w:lineRule="auto"/>
        <w:rPr>
          <w:del w:id="5299" w:author="AbbVie_HU_03" w:date="2025-05-14T15:27:00Z"/>
          <w:szCs w:val="22"/>
        </w:rPr>
      </w:pPr>
      <w:del w:id="5300" w:author="AbbVie_HU_03" w:date="2025-05-14T15:27:00Z">
        <w:r w:rsidRPr="00183B5F">
          <w:rPr>
            <w:szCs w:val="22"/>
          </w:rPr>
          <w:delText xml:space="preserve">E vizsgálatok kontrollos szakaszai és a folyamatban lévő, valamint befejezett nyílt kiterjesztéses vizsgálatok összevont értékelése során, melyben összesen </w:delText>
        </w:r>
        <w:r w:rsidR="005B2654" w:rsidRPr="00183B5F">
          <w:rPr>
            <w:szCs w:val="22"/>
          </w:rPr>
          <w:delText>6</w:delText>
        </w:r>
        <w:r w:rsidR="00831F75" w:rsidRPr="00183B5F">
          <w:rPr>
            <w:szCs w:val="22"/>
          </w:rPr>
          <w:delText>427</w:delText>
        </w:r>
        <w:r w:rsidRPr="00183B5F">
          <w:rPr>
            <w:szCs w:val="22"/>
          </w:rPr>
          <w:delText> beteget kb. 3,</w:delText>
        </w:r>
        <w:r w:rsidR="00831F75" w:rsidRPr="00183B5F">
          <w:rPr>
            <w:szCs w:val="22"/>
          </w:rPr>
          <w:delText>3 </w:delText>
        </w:r>
        <w:r w:rsidRPr="00183B5F">
          <w:rPr>
            <w:szCs w:val="22"/>
          </w:rPr>
          <w:delText xml:space="preserve">év medián időtartamig követtek (több mint </w:delText>
        </w:r>
        <w:r w:rsidR="005B2654" w:rsidRPr="00183B5F">
          <w:rPr>
            <w:szCs w:val="22"/>
          </w:rPr>
          <w:delText>2</w:delText>
        </w:r>
        <w:r w:rsidR="00831F75" w:rsidRPr="00183B5F">
          <w:rPr>
            <w:szCs w:val="22"/>
          </w:rPr>
          <w:delText>6</w:delText>
        </w:r>
        <w:r w:rsidR="00390B21" w:rsidRPr="00183B5F">
          <w:rPr>
            <w:szCs w:val="22"/>
          </w:rPr>
          <w:delText> </w:delText>
        </w:r>
        <w:r w:rsidR="00831F75" w:rsidRPr="00183B5F">
          <w:rPr>
            <w:szCs w:val="22"/>
          </w:rPr>
          <w:delText>439</w:delText>
        </w:r>
        <w:r w:rsidR="005B2654" w:rsidRPr="00183B5F">
          <w:rPr>
            <w:szCs w:val="22"/>
          </w:rPr>
          <w:delText> </w:delText>
        </w:r>
        <w:r w:rsidRPr="00183B5F">
          <w:rPr>
            <w:szCs w:val="22"/>
          </w:rPr>
          <w:delText xml:space="preserve">betegév), a rosszindulatú daganatok </w:delText>
        </w:r>
        <w:r w:rsidR="00663798" w:rsidRPr="00183B5F">
          <w:rPr>
            <w:szCs w:val="22"/>
          </w:rPr>
          <w:delText xml:space="preserve">(a lymphoma és a nem melanomás bőrrák kivételével) </w:delText>
        </w:r>
        <w:r w:rsidRPr="00183B5F">
          <w:rPr>
            <w:szCs w:val="22"/>
          </w:rPr>
          <w:delText>1000</w:delText>
        </w:r>
        <w:r w:rsidR="00634AFA" w:rsidRPr="00183B5F">
          <w:rPr>
            <w:szCs w:val="22"/>
          </w:rPr>
          <w:delText> </w:delText>
        </w:r>
        <w:r w:rsidRPr="00183B5F">
          <w:rPr>
            <w:szCs w:val="22"/>
          </w:rPr>
          <w:delText>betegévre számított gyakorisága 8,</w:delText>
        </w:r>
        <w:r w:rsidR="005B2654" w:rsidRPr="00183B5F">
          <w:rPr>
            <w:szCs w:val="22"/>
          </w:rPr>
          <w:delText xml:space="preserve">5 </w:delText>
        </w:r>
        <w:r w:rsidRPr="00183B5F">
          <w:rPr>
            <w:szCs w:val="22"/>
          </w:rPr>
          <w:delText>volt. A nem melanomás bőrrák 1000</w:delText>
        </w:r>
        <w:r w:rsidR="00634AFA" w:rsidRPr="00183B5F">
          <w:rPr>
            <w:szCs w:val="22"/>
          </w:rPr>
          <w:delText> </w:delText>
        </w:r>
        <w:r w:rsidRPr="00183B5F">
          <w:rPr>
            <w:szCs w:val="22"/>
          </w:rPr>
          <w:delText xml:space="preserve">betegévre vetített, megfigyelt aránya kb. </w:delText>
        </w:r>
        <w:r w:rsidR="005B2654" w:rsidRPr="00183B5F">
          <w:rPr>
            <w:szCs w:val="22"/>
          </w:rPr>
          <w:delText>9,</w:delText>
        </w:r>
        <w:r w:rsidR="00831F75" w:rsidRPr="00183B5F">
          <w:rPr>
            <w:szCs w:val="22"/>
          </w:rPr>
          <w:delText>6</w:delText>
        </w:r>
        <w:r w:rsidRPr="00183B5F">
          <w:rPr>
            <w:szCs w:val="22"/>
          </w:rPr>
          <w:delText>, míg a lymphomáké kb. 1,</w:delText>
        </w:r>
        <w:r w:rsidR="005B2654" w:rsidRPr="00183B5F">
          <w:rPr>
            <w:szCs w:val="22"/>
          </w:rPr>
          <w:delText>3</w:delText>
        </w:r>
        <w:r w:rsidRPr="00183B5F">
          <w:rPr>
            <w:szCs w:val="22"/>
          </w:rPr>
          <w:delText xml:space="preserve"> volt.</w:delText>
        </w:r>
      </w:del>
    </w:p>
    <w:p w14:paraId="09954C27" w14:textId="49C35C64" w:rsidR="008A4BDC" w:rsidRPr="00183B5F" w:rsidRDefault="008A4BDC" w:rsidP="004062FE">
      <w:pPr>
        <w:pStyle w:val="EndnoteText"/>
        <w:tabs>
          <w:tab w:val="clear" w:pos="567"/>
        </w:tabs>
        <w:suppressAutoHyphens/>
        <w:rPr>
          <w:del w:id="5301" w:author="AbbVie_HU_03" w:date="2025-05-14T15:27:00Z"/>
          <w:sz w:val="22"/>
          <w:szCs w:val="22"/>
          <w:lang w:val="hu-HU" w:eastAsia="hu-HU"/>
        </w:rPr>
      </w:pPr>
    </w:p>
    <w:p w14:paraId="3F971C41" w14:textId="38D753AF" w:rsidR="00AA4D42" w:rsidRPr="00183B5F" w:rsidRDefault="00943743" w:rsidP="00AA4D42">
      <w:pPr>
        <w:spacing w:line="240" w:lineRule="auto"/>
        <w:rPr>
          <w:del w:id="5302" w:author="AbbVie_HU_03" w:date="2025-05-14T15:27:00Z"/>
          <w:szCs w:val="22"/>
        </w:rPr>
      </w:pPr>
      <w:del w:id="5303" w:author="AbbVie_HU_03" w:date="2025-05-14T15:27:00Z">
        <w:r w:rsidRPr="00183B5F">
          <w:rPr>
            <w:szCs w:val="22"/>
          </w:rPr>
          <w:delText xml:space="preserve">A Humira forgalomba hozatala után (2003. január és 2010. december között), javarészt rheumatoid arthritises betegeken szerzett tapasztalatok alapján, a </w:delText>
        </w:r>
        <w:r w:rsidR="00395B23">
          <w:rPr>
            <w:szCs w:val="22"/>
          </w:rPr>
          <w:delText>spontán jelent</w:delText>
        </w:r>
        <w:r w:rsidR="003D342C">
          <w:rPr>
            <w:szCs w:val="22"/>
          </w:rPr>
          <w:delText>ésekből származó,</w:delText>
        </w:r>
        <w:r w:rsidR="00395B23">
          <w:rPr>
            <w:szCs w:val="22"/>
          </w:rPr>
          <w:delText xml:space="preserve"> </w:delText>
        </w:r>
        <w:r w:rsidRPr="00183B5F">
          <w:rPr>
            <w:szCs w:val="22"/>
          </w:rPr>
          <w:delText>rosszindulatú daganatok</w:delText>
        </w:r>
        <w:r w:rsidR="003D342C">
          <w:rPr>
            <w:szCs w:val="22"/>
          </w:rPr>
          <w:delText>ra vonatkozó</w:delText>
        </w:r>
        <w:r w:rsidRPr="00183B5F">
          <w:rPr>
            <w:szCs w:val="22"/>
          </w:rPr>
          <w:delText xml:space="preserve"> bejelent</w:delText>
        </w:r>
        <w:r w:rsidR="003D342C">
          <w:rPr>
            <w:szCs w:val="22"/>
          </w:rPr>
          <w:delText>ések</w:delText>
        </w:r>
        <w:r w:rsidRPr="00183B5F">
          <w:rPr>
            <w:szCs w:val="22"/>
          </w:rPr>
          <w:delText xml:space="preserve"> gyakorisága kb. 2,7/1000 beteg-kezelési év. A </w:delText>
        </w:r>
        <w:r w:rsidR="00395B23">
          <w:rPr>
            <w:szCs w:val="22"/>
          </w:rPr>
          <w:delText>spotán jelent</w:delText>
        </w:r>
        <w:r w:rsidR="003D342C">
          <w:rPr>
            <w:szCs w:val="22"/>
          </w:rPr>
          <w:delText>ésekből származó,</w:delText>
        </w:r>
        <w:r w:rsidR="00395B23">
          <w:rPr>
            <w:szCs w:val="22"/>
          </w:rPr>
          <w:delText xml:space="preserve"> </w:delText>
        </w:r>
        <w:r w:rsidRPr="00183B5F">
          <w:rPr>
            <w:szCs w:val="22"/>
          </w:rPr>
          <w:delText>nem melanomás bőrrák</w:delText>
        </w:r>
        <w:r w:rsidR="003D342C">
          <w:rPr>
            <w:szCs w:val="22"/>
          </w:rPr>
          <w:delText>ra</w:delText>
        </w:r>
        <w:r w:rsidRPr="00183B5F">
          <w:rPr>
            <w:szCs w:val="22"/>
          </w:rPr>
          <w:delText xml:space="preserve"> </w:delText>
        </w:r>
        <w:r w:rsidR="00395B23">
          <w:rPr>
            <w:szCs w:val="22"/>
          </w:rPr>
          <w:delText>és lymphomák</w:delText>
        </w:r>
        <w:r w:rsidR="003D342C">
          <w:rPr>
            <w:szCs w:val="22"/>
          </w:rPr>
          <w:delText>ra vonatkozó bejentések gyakorisága</w:delText>
        </w:r>
        <w:r w:rsidR="00395B23">
          <w:rPr>
            <w:szCs w:val="22"/>
          </w:rPr>
          <w:delText xml:space="preserve"> </w:delText>
        </w:r>
        <w:r w:rsidRPr="00183B5F">
          <w:rPr>
            <w:szCs w:val="22"/>
          </w:rPr>
          <w:delText>1000 beteg-kezelési évre számít</w:delText>
        </w:r>
        <w:r w:rsidR="00FE5BDF">
          <w:rPr>
            <w:szCs w:val="22"/>
          </w:rPr>
          <w:delText>va</w:delText>
        </w:r>
        <w:r w:rsidRPr="00183B5F">
          <w:rPr>
            <w:szCs w:val="22"/>
          </w:rPr>
          <w:delText xml:space="preserve"> 0,2, </w:delText>
        </w:r>
        <w:r w:rsidR="00395B23">
          <w:rPr>
            <w:szCs w:val="22"/>
          </w:rPr>
          <w:delText>illetve</w:delText>
        </w:r>
        <w:r w:rsidRPr="00183B5F">
          <w:rPr>
            <w:szCs w:val="22"/>
          </w:rPr>
          <w:delText xml:space="preserve"> 0,3 volt (lásd</w:delText>
        </w:r>
        <w:r w:rsidRPr="00183B5F">
          <w:rPr>
            <w:i/>
            <w:iCs/>
            <w:szCs w:val="22"/>
          </w:rPr>
          <w:delText xml:space="preserve"> </w:delText>
        </w:r>
        <w:r w:rsidRPr="00183B5F">
          <w:rPr>
            <w:szCs w:val="22"/>
          </w:rPr>
          <w:delText>a 4.4 pontban).</w:delText>
        </w:r>
      </w:del>
    </w:p>
    <w:p w14:paraId="2323CA46" w14:textId="37B22DAD" w:rsidR="00FB6710" w:rsidRPr="00183B5F" w:rsidRDefault="00FB6710" w:rsidP="004062FE">
      <w:pPr>
        <w:tabs>
          <w:tab w:val="left" w:pos="840"/>
        </w:tabs>
        <w:spacing w:line="240" w:lineRule="auto"/>
        <w:ind w:left="567" w:hanging="567"/>
        <w:rPr>
          <w:del w:id="5304" w:author="AbbVie_HU_03" w:date="2025-05-14T15:27:00Z"/>
          <w:szCs w:val="22"/>
        </w:rPr>
      </w:pPr>
    </w:p>
    <w:p w14:paraId="2F139F0C" w14:textId="00FB4258" w:rsidR="00FB6710" w:rsidRPr="00183B5F" w:rsidRDefault="00943743" w:rsidP="004062FE">
      <w:pPr>
        <w:spacing w:line="240" w:lineRule="auto"/>
        <w:rPr>
          <w:del w:id="5305" w:author="AbbVie_HU_03" w:date="2025-05-14T15:27:00Z"/>
          <w:szCs w:val="22"/>
        </w:rPr>
      </w:pPr>
      <w:del w:id="5306" w:author="AbbVie_HU_03" w:date="2025-05-14T15:27:00Z">
        <w:r w:rsidRPr="00183B5F">
          <w:rPr>
            <w:szCs w:val="22"/>
          </w:rPr>
          <w:delText xml:space="preserve">Adalimumabbal kezelt betegeknél a forgalomba hozatalt követően ritkán </w:delText>
        </w:r>
        <w:r w:rsidR="00AA4D42" w:rsidRPr="00183B5F">
          <w:rPr>
            <w:szCs w:val="22"/>
          </w:rPr>
          <w:delText>hepatosplenicus</w:delText>
        </w:r>
        <w:r w:rsidRPr="00183B5F">
          <w:rPr>
            <w:szCs w:val="22"/>
          </w:rPr>
          <w:delText xml:space="preserve"> T</w:delText>
        </w:r>
        <w:r w:rsidR="00634AFA" w:rsidRPr="00183B5F">
          <w:rPr>
            <w:szCs w:val="22"/>
          </w:rPr>
          <w:noBreakHyphen/>
        </w:r>
        <w:r w:rsidRPr="00183B5F">
          <w:rPr>
            <w:szCs w:val="22"/>
          </w:rPr>
          <w:delText>sejtes lymphomát jelentettek (lásd 4.4 pont).</w:delText>
        </w:r>
      </w:del>
    </w:p>
    <w:p w14:paraId="1EC94B01" w14:textId="422CD92C" w:rsidR="00FB6710" w:rsidRPr="00183B5F" w:rsidRDefault="00FB6710" w:rsidP="004062FE">
      <w:pPr>
        <w:tabs>
          <w:tab w:val="left" w:pos="840"/>
        </w:tabs>
        <w:spacing w:line="240" w:lineRule="auto"/>
        <w:ind w:left="567" w:hanging="567"/>
        <w:rPr>
          <w:del w:id="5307" w:author="AbbVie_HU_03" w:date="2025-05-14T15:27:00Z"/>
          <w:szCs w:val="22"/>
        </w:rPr>
      </w:pPr>
    </w:p>
    <w:p w14:paraId="2B4F2F52" w14:textId="4EEC0D14" w:rsidR="00FB6710" w:rsidRPr="00183B5F" w:rsidRDefault="00943743" w:rsidP="004062FE">
      <w:pPr>
        <w:keepNext/>
        <w:spacing w:line="240" w:lineRule="auto"/>
        <w:rPr>
          <w:del w:id="5308" w:author="AbbVie_HU_03" w:date="2025-05-14T15:27:00Z"/>
          <w:i/>
          <w:szCs w:val="22"/>
        </w:rPr>
      </w:pPr>
      <w:del w:id="5309" w:author="AbbVie_HU_03" w:date="2025-05-14T15:27:00Z">
        <w:r w:rsidRPr="00183B5F">
          <w:rPr>
            <w:i/>
            <w:szCs w:val="22"/>
          </w:rPr>
          <w:delText>Autoantitestek</w:delText>
        </w:r>
      </w:del>
    </w:p>
    <w:p w14:paraId="17D71AFB" w14:textId="50BE8F7B" w:rsidR="00FB6710" w:rsidRPr="00183B5F" w:rsidRDefault="00FB6710" w:rsidP="004062FE">
      <w:pPr>
        <w:keepNext/>
        <w:spacing w:line="240" w:lineRule="auto"/>
        <w:rPr>
          <w:del w:id="5310" w:author="AbbVie_HU_03" w:date="2025-05-14T15:27:00Z"/>
          <w:szCs w:val="22"/>
        </w:rPr>
      </w:pPr>
    </w:p>
    <w:p w14:paraId="3232DFE2" w14:textId="3A9C8C89" w:rsidR="00EB1EA6" w:rsidRPr="00183B5F" w:rsidRDefault="00943743" w:rsidP="004062FE">
      <w:pPr>
        <w:keepNext/>
        <w:spacing w:line="240" w:lineRule="auto"/>
        <w:rPr>
          <w:del w:id="5311" w:author="AbbVie_HU_03" w:date="2025-05-14T15:27:00Z"/>
          <w:szCs w:val="22"/>
        </w:rPr>
      </w:pPr>
      <w:del w:id="5312" w:author="AbbVie_HU_03" w:date="2025-05-14T15:27:00Z">
        <w:r w:rsidRPr="00183B5F">
          <w:rPr>
            <w:szCs w:val="22"/>
          </w:rPr>
          <w:delText>A betegektől vett vérsavómintákban különböző időpontokban vizsgálták az autoantitesteket az I</w:delText>
        </w:r>
        <w:r w:rsidR="00233EC0" w:rsidRPr="00183B5F">
          <w:rPr>
            <w:szCs w:val="22"/>
          </w:rPr>
          <w:delText> </w:delText>
        </w:r>
        <w:r w:rsidR="002C1F5C" w:rsidRPr="00183B5F">
          <w:rPr>
            <w:szCs w:val="22"/>
          </w:rPr>
          <w:delText>–</w:delText>
        </w:r>
        <w:r w:rsidR="00233EC0" w:rsidRPr="00183B5F">
          <w:rPr>
            <w:szCs w:val="22"/>
          </w:rPr>
          <w:delText> </w:delText>
        </w:r>
        <w:r w:rsidRPr="00183B5F">
          <w:rPr>
            <w:szCs w:val="22"/>
          </w:rPr>
          <w:delText>V rheumatoid arthritis vizsgálatokban. Ezekben a vizsgálatokban, a negatív kiindulási antinukleáris antitest titerrel rendelkező betegek közül a Humira</w:delText>
        </w:r>
        <w:r w:rsidR="00634AFA" w:rsidRPr="00183B5F">
          <w:rPr>
            <w:szCs w:val="22"/>
          </w:rPr>
          <w:noBreakHyphen/>
        </w:r>
        <w:r w:rsidRPr="00183B5F">
          <w:rPr>
            <w:szCs w:val="22"/>
          </w:rPr>
          <w:delText>val kezeltek 11,9%</w:delText>
        </w:r>
        <w:r w:rsidRPr="00183B5F">
          <w:rPr>
            <w:szCs w:val="22"/>
          </w:rPr>
          <w:noBreakHyphen/>
          <w:delText xml:space="preserve">ánál, míg a </w:delText>
        </w:r>
        <w:r w:rsidR="00E017F2" w:rsidRPr="00183B5F">
          <w:rPr>
            <w:szCs w:val="22"/>
          </w:rPr>
          <w:delText>placebóval vagy aktív kontrollal</w:delText>
        </w:r>
        <w:r w:rsidRPr="00183B5F">
          <w:rPr>
            <w:szCs w:val="22"/>
          </w:rPr>
          <w:delText xml:space="preserve"> kezelt betegek 8,1%</w:delText>
        </w:r>
        <w:r w:rsidRPr="00183B5F">
          <w:rPr>
            <w:szCs w:val="22"/>
          </w:rPr>
          <w:noBreakHyphen/>
          <w:delText>ánál fejlődött ki antinukleáris antitest titer pozitivitás a 24.</w:delText>
        </w:r>
        <w:r w:rsidR="00A44DB6" w:rsidRPr="00183B5F">
          <w:rPr>
            <w:szCs w:val="22"/>
          </w:rPr>
          <w:delText> hét</w:delText>
        </w:r>
        <w:r w:rsidRPr="00183B5F">
          <w:rPr>
            <w:szCs w:val="22"/>
          </w:rPr>
          <w:delText>re. Az összes rheumatoid arthritis és arthritis psoriatica vizsgálatban a 3441 Humira</w:delText>
        </w:r>
        <w:r w:rsidR="00634AFA" w:rsidRPr="00183B5F">
          <w:rPr>
            <w:szCs w:val="22"/>
          </w:rPr>
          <w:noBreakHyphen/>
        </w:r>
        <w:r w:rsidRPr="00183B5F">
          <w:rPr>
            <w:szCs w:val="22"/>
          </w:rPr>
          <w:delText>val kezelt beteg közül 2</w:delText>
        </w:r>
        <w:r w:rsidR="00634AFA" w:rsidRPr="00183B5F">
          <w:rPr>
            <w:szCs w:val="22"/>
          </w:rPr>
          <w:noBreakHyphen/>
        </w:r>
        <w:r w:rsidRPr="00183B5F">
          <w:rPr>
            <w:szCs w:val="22"/>
          </w:rPr>
          <w:delText>nél alakultak ki újonnan fellépő lupus-szerű szindróma klinikai jelei. A beteg állapota javult</w:delText>
        </w:r>
        <w:r w:rsidRPr="00183B5F">
          <w:rPr>
            <w:szCs w:val="22"/>
          </w:rPr>
          <w:delText>, amint a kezelést abbahagyták. Egy beteg esetében sem alakult ki lupus</w:delText>
        </w:r>
        <w:r w:rsidRPr="00183B5F">
          <w:rPr>
            <w:szCs w:val="22"/>
          </w:rPr>
          <w:noBreakHyphen/>
          <w:delText>nephritis vagy központi idegrendszeri tünet.</w:delText>
        </w:r>
      </w:del>
    </w:p>
    <w:p w14:paraId="64C3ACA1" w14:textId="22C83F2F" w:rsidR="001474E5" w:rsidRPr="00183B5F" w:rsidRDefault="001474E5" w:rsidP="004062FE">
      <w:pPr>
        <w:spacing w:line="240" w:lineRule="auto"/>
        <w:rPr>
          <w:del w:id="5313" w:author="AbbVie_HU_03" w:date="2025-05-14T15:27:00Z"/>
          <w:szCs w:val="22"/>
        </w:rPr>
      </w:pPr>
    </w:p>
    <w:p w14:paraId="41C279ED" w14:textId="09B3C811" w:rsidR="007B16ED" w:rsidRPr="00183B5F" w:rsidRDefault="00943743" w:rsidP="004062FE">
      <w:pPr>
        <w:pStyle w:val="EMEANormal"/>
        <w:keepNext/>
        <w:widowControl w:val="0"/>
        <w:rPr>
          <w:del w:id="5314" w:author="AbbVie_HU_03" w:date="2025-05-14T15:27:00Z"/>
          <w:i/>
          <w:szCs w:val="22"/>
          <w:lang w:val="hu-HU"/>
        </w:rPr>
      </w:pPr>
      <w:del w:id="5315" w:author="AbbVie_HU_03" w:date="2025-05-14T15:27:00Z">
        <w:r w:rsidRPr="00183B5F">
          <w:rPr>
            <w:i/>
            <w:szCs w:val="22"/>
            <w:lang w:val="hu-HU"/>
          </w:rPr>
          <w:delText>Hepatobiliaris események</w:delText>
        </w:r>
      </w:del>
    </w:p>
    <w:p w14:paraId="5CCC3FFA" w14:textId="510EE40E" w:rsidR="007B16ED" w:rsidRPr="00183B5F" w:rsidRDefault="007B16ED" w:rsidP="004062FE">
      <w:pPr>
        <w:keepNext/>
        <w:spacing w:line="240" w:lineRule="auto"/>
        <w:rPr>
          <w:del w:id="5316" w:author="AbbVie_HU_03" w:date="2025-05-14T15:27:00Z"/>
          <w:szCs w:val="22"/>
        </w:rPr>
      </w:pPr>
    </w:p>
    <w:p w14:paraId="22BF5395" w14:textId="09929E98" w:rsidR="00A81228" w:rsidRPr="00183B5F" w:rsidRDefault="00943743" w:rsidP="004062FE">
      <w:pPr>
        <w:keepNext/>
        <w:spacing w:line="240" w:lineRule="auto"/>
        <w:rPr>
          <w:del w:id="5317" w:author="AbbVie_HU_03" w:date="2025-05-14T15:27:00Z"/>
          <w:szCs w:val="22"/>
        </w:rPr>
      </w:pPr>
      <w:del w:id="5318" w:author="AbbVie_HU_03" w:date="2025-05-14T15:27:00Z">
        <w:r w:rsidRPr="00183B5F">
          <w:rPr>
            <w:szCs w:val="22"/>
          </w:rPr>
          <w:delText xml:space="preserve">Rheumatoid arthritisben és arthritis psoriaticában szenvedő betegeknél végzett, </w:delText>
        </w:r>
        <w:r w:rsidR="00962A61" w:rsidRPr="00183B5F">
          <w:rPr>
            <w:szCs w:val="22"/>
          </w:rPr>
          <w:delText>III</w:delText>
        </w:r>
        <w:r w:rsidR="00ED247D" w:rsidRPr="00183B5F">
          <w:rPr>
            <w:szCs w:val="22"/>
          </w:rPr>
          <w:delText>. fázisú</w:delText>
        </w:r>
        <w:r w:rsidRPr="00183B5F">
          <w:rPr>
            <w:szCs w:val="22"/>
          </w:rPr>
          <w:delText xml:space="preserve"> klinikai vizsgálatokban a 4-104</w:delText>
        </w:r>
        <w:r w:rsidR="00634AFA" w:rsidRPr="00183B5F">
          <w:rPr>
            <w:szCs w:val="22"/>
          </w:rPr>
          <w:delText> </w:delText>
        </w:r>
        <w:r w:rsidRPr="00183B5F">
          <w:rPr>
            <w:szCs w:val="22"/>
          </w:rPr>
          <w:delText xml:space="preserve">hetes ellenőrzött periódusban a </w:delText>
        </w:r>
        <w:r w:rsidR="000258FB" w:rsidRPr="00183B5F">
          <w:rPr>
            <w:szCs w:val="22"/>
          </w:rPr>
          <w:delText>GPT</w:delText>
        </w:r>
        <w:r w:rsidR="00677908" w:rsidRPr="00183B5F">
          <w:rPr>
            <w:szCs w:val="22"/>
          </w:rPr>
          <w:delText xml:space="preserve"> (</w:delText>
        </w:r>
        <w:r w:rsidR="00934342" w:rsidRPr="00183B5F">
          <w:rPr>
            <w:szCs w:val="22"/>
          </w:rPr>
          <w:delText>ALAT</w:delText>
        </w:r>
        <w:r w:rsidR="00677908" w:rsidRPr="00183B5F">
          <w:rPr>
            <w:szCs w:val="22"/>
          </w:rPr>
          <w:delText>)-</w:delText>
        </w:r>
        <w:r w:rsidR="00F31867" w:rsidRPr="00183B5F">
          <w:rPr>
            <w:szCs w:val="22"/>
          </w:rPr>
          <w:delText>szint</w:delText>
        </w:r>
        <w:r w:rsidR="00962A61" w:rsidRPr="00183B5F">
          <w:rPr>
            <w:szCs w:val="22"/>
          </w:rPr>
          <w:delText xml:space="preserve"> a normálérték felső határának ≥ 3</w:delText>
        </w:r>
        <w:r w:rsidR="00962A61" w:rsidRPr="00183B5F">
          <w:rPr>
            <w:szCs w:val="22"/>
          </w:rPr>
          <w:noBreakHyphen/>
          <w:delText>szorosára történő</w:delText>
        </w:r>
        <w:r w:rsidRPr="00183B5F">
          <w:rPr>
            <w:szCs w:val="22"/>
          </w:rPr>
          <w:delText xml:space="preserve"> emelkedése a Humira</w:delText>
        </w:r>
        <w:r w:rsidR="00634AFA" w:rsidRPr="00183B5F">
          <w:rPr>
            <w:szCs w:val="22"/>
          </w:rPr>
          <w:noBreakHyphen/>
        </w:r>
        <w:r w:rsidRPr="00183B5F">
          <w:rPr>
            <w:szCs w:val="22"/>
          </w:rPr>
          <w:delText>val kezeltek 3,7%</w:delText>
        </w:r>
        <w:r w:rsidRPr="00183B5F">
          <w:rPr>
            <w:szCs w:val="22"/>
          </w:rPr>
          <w:noBreakHyphen/>
          <w:delText>ánál, míg a kontroll</w:delText>
        </w:r>
        <w:r w:rsidR="00BA62FC" w:rsidRPr="00183B5F">
          <w:rPr>
            <w:szCs w:val="22"/>
          </w:rPr>
          <w:delText>kezelést kapó betegek</w:delText>
        </w:r>
        <w:r w:rsidRPr="00183B5F">
          <w:rPr>
            <w:szCs w:val="22"/>
          </w:rPr>
          <w:delText xml:space="preserve"> 1,6%</w:delText>
        </w:r>
        <w:r w:rsidR="00634AFA" w:rsidRPr="00183B5F">
          <w:rPr>
            <w:szCs w:val="22"/>
          </w:rPr>
          <w:noBreakHyphen/>
        </w:r>
        <w:r w:rsidRPr="00183B5F">
          <w:rPr>
            <w:szCs w:val="22"/>
          </w:rPr>
          <w:delText>nál fordult elő.</w:delText>
        </w:r>
      </w:del>
    </w:p>
    <w:p w14:paraId="20F634FA" w14:textId="58DAE770" w:rsidR="00A81228" w:rsidRPr="00183B5F" w:rsidRDefault="00A81228" w:rsidP="004062FE">
      <w:pPr>
        <w:spacing w:line="240" w:lineRule="auto"/>
        <w:rPr>
          <w:del w:id="5319" w:author="AbbVie_HU_03" w:date="2025-05-14T15:27:00Z"/>
          <w:szCs w:val="22"/>
        </w:rPr>
      </w:pPr>
    </w:p>
    <w:p w14:paraId="205B16FD" w14:textId="3803BC46" w:rsidR="00C9047A" w:rsidRPr="00183B5F" w:rsidRDefault="00943743">
      <w:pPr>
        <w:spacing w:line="240" w:lineRule="auto"/>
        <w:rPr>
          <w:del w:id="5320" w:author="AbbVie_HU_03" w:date="2025-05-14T15:27:00Z"/>
          <w:szCs w:val="22"/>
        </w:rPr>
      </w:pPr>
      <w:del w:id="5321" w:author="AbbVie_HU_03" w:date="2025-05-14T15:27:00Z">
        <w:r w:rsidRPr="00183B5F">
          <w:rPr>
            <w:szCs w:val="22"/>
          </w:rPr>
          <w:delText>Polyarticularis juvenilis idiopathiás arthritisben szenvedő</w:delText>
        </w:r>
        <w:r w:rsidR="005D7645" w:rsidRPr="00183B5F">
          <w:rPr>
            <w:szCs w:val="22"/>
          </w:rPr>
          <w:delText>,</w:delText>
        </w:r>
        <w:r w:rsidRPr="00183B5F">
          <w:rPr>
            <w:szCs w:val="22"/>
          </w:rPr>
          <w:delText xml:space="preserve"> 4</w:delText>
        </w:r>
        <w:r w:rsidRPr="00183B5F">
          <w:rPr>
            <w:szCs w:val="22"/>
          </w:rPr>
          <w:noBreakHyphen/>
          <w:delText xml:space="preserve">17 éves és </w:delText>
        </w:r>
        <w:r w:rsidR="00677908" w:rsidRPr="00183B5F">
          <w:rPr>
            <w:szCs w:val="22"/>
          </w:rPr>
          <w:delText>enthesitis-asszociált</w:delText>
        </w:r>
        <w:r w:rsidRPr="00183B5F">
          <w:rPr>
            <w:szCs w:val="22"/>
          </w:rPr>
          <w:delText xml:space="preserve"> arthritisben szenvedő 6</w:delText>
        </w:r>
        <w:r w:rsidRPr="00183B5F">
          <w:rPr>
            <w:szCs w:val="22"/>
          </w:rPr>
          <w:noBreakHyphen/>
          <w:delText>17 éves betegeknél Humir</w:delText>
        </w:r>
        <w:r w:rsidR="008F12A0" w:rsidRPr="00183B5F">
          <w:rPr>
            <w:szCs w:val="22"/>
          </w:rPr>
          <w:delText>a</w:delText>
        </w:r>
        <w:r w:rsidR="008F12A0" w:rsidRPr="00183B5F">
          <w:rPr>
            <w:szCs w:val="22"/>
          </w:rPr>
          <w:noBreakHyphen/>
        </w:r>
        <w:r w:rsidRPr="00183B5F">
          <w:rPr>
            <w:szCs w:val="22"/>
          </w:rPr>
          <w:delText xml:space="preserve">val végzett kontrollos </w:delText>
        </w:r>
        <w:r w:rsidR="00ED247D" w:rsidRPr="00183B5F">
          <w:rPr>
            <w:szCs w:val="22"/>
          </w:rPr>
          <w:delText>III. fázisú</w:delText>
        </w:r>
        <w:r w:rsidRPr="00183B5F">
          <w:rPr>
            <w:szCs w:val="22"/>
          </w:rPr>
          <w:delText xml:space="preserve"> vizsgálatok során a Humir</w:delText>
        </w:r>
        <w:r w:rsidR="008F12A0" w:rsidRPr="00183B5F">
          <w:rPr>
            <w:szCs w:val="22"/>
          </w:rPr>
          <w:delText>a</w:delText>
        </w:r>
        <w:r w:rsidR="008F12A0" w:rsidRPr="00183B5F">
          <w:rPr>
            <w:szCs w:val="22"/>
          </w:rPr>
          <w:noBreakHyphen/>
        </w:r>
        <w:r w:rsidRPr="00183B5F">
          <w:rPr>
            <w:szCs w:val="22"/>
          </w:rPr>
          <w:delText>val kezelt betegek 6,1</w:delText>
        </w:r>
        <w:r w:rsidRPr="00183B5F">
          <w:delText>%</w:delText>
        </w:r>
        <w:r w:rsidRPr="00183B5F">
          <w:noBreakHyphen/>
          <w:delText>nál és a kontrollkezelésben részesülő betegek 1,3%</w:delText>
        </w:r>
        <w:r w:rsidRPr="00183B5F">
          <w:noBreakHyphen/>
          <w:delText xml:space="preserve">ánál a </w:delText>
        </w:r>
        <w:r w:rsidR="000258FB" w:rsidRPr="00183B5F">
          <w:rPr>
            <w:szCs w:val="22"/>
          </w:rPr>
          <w:delText>GPT</w:delText>
        </w:r>
        <w:r w:rsidR="00677908" w:rsidRPr="00183B5F">
          <w:rPr>
            <w:szCs w:val="22"/>
          </w:rPr>
          <w:delText> (</w:delText>
        </w:r>
        <w:r w:rsidR="00934342" w:rsidRPr="00183B5F">
          <w:rPr>
            <w:szCs w:val="22"/>
          </w:rPr>
          <w:delText>ALAT</w:delText>
        </w:r>
        <w:r w:rsidR="00677908" w:rsidRPr="00183B5F">
          <w:rPr>
            <w:szCs w:val="22"/>
          </w:rPr>
          <w:delText>)-</w:delText>
        </w:r>
        <w:r w:rsidRPr="00183B5F">
          <w:rPr>
            <w:szCs w:val="22"/>
          </w:rPr>
          <w:delText>szint a normálérték felső határának ≥ 3</w:delText>
        </w:r>
        <w:r w:rsidRPr="00183B5F">
          <w:rPr>
            <w:szCs w:val="22"/>
          </w:rPr>
          <w:noBreakHyphen/>
          <w:delText xml:space="preserve">szorosára emelkedett. A legtöbb </w:delText>
        </w:r>
        <w:r w:rsidR="000258FB" w:rsidRPr="00183B5F">
          <w:rPr>
            <w:szCs w:val="22"/>
          </w:rPr>
          <w:delText>GPT</w:delText>
        </w:r>
        <w:r w:rsidR="00677908" w:rsidRPr="00183B5F">
          <w:rPr>
            <w:szCs w:val="22"/>
          </w:rPr>
          <w:delText> (</w:delText>
        </w:r>
        <w:r w:rsidR="00934342" w:rsidRPr="00183B5F">
          <w:rPr>
            <w:szCs w:val="22"/>
          </w:rPr>
          <w:delText>ALAT</w:delText>
        </w:r>
        <w:r w:rsidR="00677908" w:rsidRPr="00183B5F">
          <w:rPr>
            <w:szCs w:val="22"/>
          </w:rPr>
          <w:delText>)-</w:delText>
        </w:r>
        <w:r w:rsidRPr="00183B5F">
          <w:rPr>
            <w:szCs w:val="22"/>
          </w:rPr>
          <w:delText>szint emelkedés együttadott metotrexát</w:delText>
        </w:r>
        <w:r w:rsidRPr="00183B5F">
          <w:rPr>
            <w:szCs w:val="22"/>
          </w:rPr>
          <w:noBreakHyphen/>
          <w:delText>kezelés mellett fordult elő. Polyarticularis juvenilis idiopathiás arthritisben szenvedő</w:delText>
        </w:r>
        <w:r w:rsidR="005D7645" w:rsidRPr="00183B5F">
          <w:rPr>
            <w:szCs w:val="22"/>
          </w:rPr>
          <w:delText>,</w:delText>
        </w:r>
        <w:r w:rsidRPr="00183B5F">
          <w:rPr>
            <w:szCs w:val="22"/>
          </w:rPr>
          <w:delText xml:space="preserve"> </w:delText>
        </w:r>
        <w:r w:rsidR="00474A11" w:rsidRPr="00183B5F">
          <w:rPr>
            <w:szCs w:val="22"/>
          </w:rPr>
          <w:delText>2</w:delText>
        </w:r>
        <w:r w:rsidR="00F31867" w:rsidRPr="00183B5F">
          <w:rPr>
            <w:szCs w:val="22"/>
          </w:rPr>
          <w:delText> </w:delText>
        </w:r>
        <w:r w:rsidR="00474A11" w:rsidRPr="00183B5F">
          <w:rPr>
            <w:szCs w:val="22"/>
          </w:rPr>
          <w:noBreakHyphen/>
        </w:r>
        <w:r w:rsidR="00F31867" w:rsidRPr="00183B5F">
          <w:rPr>
            <w:szCs w:val="22"/>
          </w:rPr>
          <w:delText> </w:delText>
        </w:r>
        <w:r w:rsidR="00474A11" w:rsidRPr="00183B5F">
          <w:rPr>
            <w:szCs w:val="22"/>
          </w:rPr>
          <w:delText xml:space="preserve">&lt;4 éves </w:delText>
        </w:r>
        <w:r w:rsidRPr="00183B5F">
          <w:rPr>
            <w:szCs w:val="22"/>
          </w:rPr>
          <w:delText>betegeknél Humir</w:delText>
        </w:r>
        <w:r w:rsidR="008F12A0" w:rsidRPr="00183B5F">
          <w:rPr>
            <w:szCs w:val="22"/>
          </w:rPr>
          <w:delText>a</w:delText>
        </w:r>
        <w:r w:rsidR="008F12A0" w:rsidRPr="00183B5F">
          <w:rPr>
            <w:szCs w:val="22"/>
          </w:rPr>
          <w:noBreakHyphen/>
        </w:r>
        <w:r w:rsidRPr="00183B5F">
          <w:rPr>
            <w:szCs w:val="22"/>
          </w:rPr>
          <w:delText xml:space="preserve">val végzett kontrollos </w:delText>
        </w:r>
        <w:r w:rsidR="00ED247D" w:rsidRPr="00183B5F">
          <w:rPr>
            <w:szCs w:val="22"/>
          </w:rPr>
          <w:delText>III. fázisú</w:delText>
        </w:r>
        <w:r w:rsidRPr="00183B5F">
          <w:rPr>
            <w:szCs w:val="22"/>
          </w:rPr>
          <w:delText xml:space="preserve"> vizsgálatok során nem fordult elő, hogy a </w:delText>
        </w:r>
        <w:r w:rsidR="000258FB" w:rsidRPr="00183B5F">
          <w:rPr>
            <w:szCs w:val="22"/>
          </w:rPr>
          <w:delText>GPT</w:delText>
        </w:r>
        <w:r w:rsidR="00677908" w:rsidRPr="00183B5F">
          <w:rPr>
            <w:szCs w:val="22"/>
          </w:rPr>
          <w:delText xml:space="preserve"> (</w:delText>
        </w:r>
        <w:r w:rsidR="00934342" w:rsidRPr="00183B5F">
          <w:rPr>
            <w:szCs w:val="22"/>
          </w:rPr>
          <w:delText>ALAT</w:delText>
        </w:r>
        <w:r w:rsidR="00677908" w:rsidRPr="00183B5F">
          <w:rPr>
            <w:szCs w:val="22"/>
          </w:rPr>
          <w:delText>)-</w:delText>
        </w:r>
        <w:r w:rsidRPr="00183B5F">
          <w:rPr>
            <w:szCs w:val="22"/>
          </w:rPr>
          <w:delText>szint a normálérték felső határának ≥ 3</w:delText>
        </w:r>
        <w:r w:rsidRPr="00183B5F">
          <w:rPr>
            <w:szCs w:val="22"/>
          </w:rPr>
          <w:noBreakHyphen/>
          <w:delText>szorosára emelkedett.</w:delText>
        </w:r>
      </w:del>
    </w:p>
    <w:p w14:paraId="618DBC47" w14:textId="025AABBD" w:rsidR="00C9047A" w:rsidRPr="00183B5F" w:rsidRDefault="00C9047A" w:rsidP="004062FE">
      <w:pPr>
        <w:spacing w:line="240" w:lineRule="auto"/>
        <w:rPr>
          <w:del w:id="5322" w:author="AbbVie_HU_03" w:date="2025-05-14T15:27:00Z"/>
          <w:szCs w:val="22"/>
        </w:rPr>
      </w:pPr>
    </w:p>
    <w:p w14:paraId="157CDDDE" w14:textId="1511D610" w:rsidR="00A81228" w:rsidRPr="00183B5F" w:rsidRDefault="00943743" w:rsidP="004062FE">
      <w:pPr>
        <w:spacing w:line="240" w:lineRule="auto"/>
        <w:rPr>
          <w:del w:id="5323" w:author="AbbVie_HU_03" w:date="2025-05-14T15:27:00Z"/>
          <w:i/>
          <w:szCs w:val="22"/>
        </w:rPr>
      </w:pPr>
      <w:del w:id="5324" w:author="AbbVie_HU_03" w:date="2025-05-14T15:27:00Z">
        <w:r w:rsidRPr="00183B5F">
          <w:rPr>
            <w:szCs w:val="22"/>
          </w:rPr>
          <w:delText>Crohn</w:delText>
        </w:r>
        <w:r w:rsidR="008F12A0" w:rsidRPr="00183B5F">
          <w:rPr>
            <w:szCs w:val="22"/>
          </w:rPr>
          <w:noBreakHyphen/>
        </w:r>
        <w:r w:rsidRPr="00183B5F">
          <w:rPr>
            <w:szCs w:val="22"/>
          </w:rPr>
          <w:delText>betegségben és colitis ulcerosában szenvedő betegeknél Humir</w:delText>
        </w:r>
        <w:r w:rsidR="008F12A0" w:rsidRPr="00183B5F">
          <w:rPr>
            <w:szCs w:val="22"/>
          </w:rPr>
          <w:delText>a</w:delText>
        </w:r>
        <w:r w:rsidR="008F12A0" w:rsidRPr="00183B5F">
          <w:rPr>
            <w:szCs w:val="22"/>
          </w:rPr>
          <w:noBreakHyphen/>
        </w:r>
        <w:r w:rsidRPr="00183B5F">
          <w:rPr>
            <w:szCs w:val="22"/>
          </w:rPr>
          <w:delText>val végzett, 4-52</w:delText>
        </w:r>
        <w:r w:rsidR="008F12A0" w:rsidRPr="00183B5F">
          <w:rPr>
            <w:szCs w:val="22"/>
          </w:rPr>
          <w:delText> </w:delText>
        </w:r>
        <w:r w:rsidRPr="00183B5F">
          <w:rPr>
            <w:szCs w:val="22"/>
          </w:rPr>
          <w:delText xml:space="preserve">hetes </w:delText>
        </w:r>
        <w:r w:rsidR="00EC133E" w:rsidRPr="00183B5F">
          <w:rPr>
            <w:szCs w:val="22"/>
          </w:rPr>
          <w:delText>III</w:delText>
        </w:r>
        <w:r w:rsidR="00ED247D" w:rsidRPr="00183B5F">
          <w:rPr>
            <w:szCs w:val="22"/>
          </w:rPr>
          <w:delText>. fázisú</w:delText>
        </w:r>
        <w:r w:rsidRPr="00183B5F">
          <w:rPr>
            <w:szCs w:val="22"/>
          </w:rPr>
          <w:delText xml:space="preserve"> </w:delText>
        </w:r>
        <w:r w:rsidR="0072236B" w:rsidRPr="00183B5F">
          <w:rPr>
            <w:szCs w:val="22"/>
          </w:rPr>
          <w:delText xml:space="preserve">kontrollos </w:delText>
        </w:r>
        <w:r w:rsidRPr="00183B5F">
          <w:rPr>
            <w:szCs w:val="22"/>
          </w:rPr>
          <w:delText xml:space="preserve">vizsgálatokban a </w:delText>
        </w:r>
        <w:r w:rsidR="000258FB" w:rsidRPr="00183B5F">
          <w:rPr>
            <w:szCs w:val="22"/>
          </w:rPr>
          <w:delText>GPT</w:delText>
        </w:r>
        <w:r w:rsidR="00677908" w:rsidRPr="00183B5F">
          <w:rPr>
            <w:szCs w:val="22"/>
          </w:rPr>
          <w:delText xml:space="preserve"> (</w:delText>
        </w:r>
        <w:r w:rsidR="00934342" w:rsidRPr="00183B5F">
          <w:rPr>
            <w:szCs w:val="22"/>
          </w:rPr>
          <w:delText>ALAT</w:delText>
        </w:r>
        <w:r w:rsidR="00677908" w:rsidRPr="00183B5F">
          <w:rPr>
            <w:szCs w:val="22"/>
          </w:rPr>
          <w:delText>)-</w:delText>
        </w:r>
        <w:r w:rsidR="00F31867" w:rsidRPr="00183B5F">
          <w:rPr>
            <w:szCs w:val="22"/>
          </w:rPr>
          <w:delText>szint</w:delText>
        </w:r>
        <w:r w:rsidR="00EC133E" w:rsidRPr="00183B5F">
          <w:rPr>
            <w:szCs w:val="22"/>
          </w:rPr>
          <w:delText xml:space="preserve"> a normálérték felső határának ≥ 3</w:delText>
        </w:r>
        <w:r w:rsidR="00EC133E" w:rsidRPr="00183B5F">
          <w:rPr>
            <w:szCs w:val="22"/>
          </w:rPr>
          <w:noBreakHyphen/>
          <w:delText>szorosára történő emelkedése a Humira</w:delText>
        </w:r>
        <w:r w:rsidR="00EC133E" w:rsidRPr="00183B5F">
          <w:rPr>
            <w:szCs w:val="22"/>
          </w:rPr>
          <w:noBreakHyphen/>
          <w:delText>val kezelt betegek 0,9%</w:delText>
        </w:r>
        <w:r w:rsidR="00EC133E" w:rsidRPr="00183B5F">
          <w:rPr>
            <w:szCs w:val="22"/>
          </w:rPr>
          <w:noBreakHyphen/>
          <w:delText xml:space="preserve">ánál, </w:delText>
        </w:r>
        <w:r w:rsidR="0072236B" w:rsidRPr="00183B5F">
          <w:rPr>
            <w:szCs w:val="22"/>
          </w:rPr>
          <w:delText xml:space="preserve">valamint a kontrollal </w:delText>
        </w:r>
        <w:r w:rsidRPr="00183B5F">
          <w:rPr>
            <w:szCs w:val="22"/>
          </w:rPr>
          <w:delText>kezelt betegek 0,9%</w:delText>
        </w:r>
        <w:r w:rsidR="008F12A0" w:rsidRPr="00183B5F">
          <w:rPr>
            <w:szCs w:val="22"/>
          </w:rPr>
          <w:noBreakHyphen/>
        </w:r>
        <w:r w:rsidRPr="00183B5F">
          <w:rPr>
            <w:szCs w:val="22"/>
          </w:rPr>
          <w:delText>nál fordult elő</w:delText>
        </w:r>
        <w:r w:rsidRPr="00183B5F">
          <w:rPr>
            <w:i/>
            <w:szCs w:val="22"/>
          </w:rPr>
          <w:delText>.</w:delText>
        </w:r>
      </w:del>
    </w:p>
    <w:p w14:paraId="72583A9A" w14:textId="684DE1ED" w:rsidR="008A4BDC" w:rsidRPr="00183B5F" w:rsidRDefault="008A4BDC" w:rsidP="004062FE">
      <w:pPr>
        <w:spacing w:line="240" w:lineRule="auto"/>
        <w:rPr>
          <w:del w:id="5325" w:author="AbbVie_HU_03" w:date="2025-05-14T15:27:00Z"/>
          <w:i/>
          <w:szCs w:val="22"/>
        </w:rPr>
      </w:pPr>
    </w:p>
    <w:p w14:paraId="3DCD258C" w14:textId="17751033" w:rsidR="00FC18A5" w:rsidRPr="00183B5F" w:rsidRDefault="00943743" w:rsidP="004062FE">
      <w:pPr>
        <w:spacing w:line="240" w:lineRule="auto"/>
        <w:rPr>
          <w:del w:id="5326" w:author="AbbVie_HU_03" w:date="2025-05-14T15:27:00Z"/>
          <w:szCs w:val="22"/>
        </w:rPr>
      </w:pPr>
      <w:del w:id="5327" w:author="AbbVie_HU_03" w:date="2025-05-14T15:27:00Z">
        <w:r w:rsidRPr="00183B5F">
          <w:rPr>
            <w:szCs w:val="22"/>
          </w:rPr>
          <w:delText>A gyermekkori Crohn</w:delText>
        </w:r>
        <w:r w:rsidRPr="00183B5F">
          <w:rPr>
            <w:szCs w:val="22"/>
          </w:rPr>
          <w:noBreakHyphen/>
        </w:r>
        <w:r w:rsidRPr="00183B5F">
          <w:rPr>
            <w:szCs w:val="22"/>
          </w:rPr>
          <w:delText>betegségben szenvedő betegeknél Humira</w:delText>
        </w:r>
        <w:r w:rsidR="005D7645" w:rsidRPr="00183B5F">
          <w:rPr>
            <w:szCs w:val="22"/>
          </w:rPr>
          <w:noBreakHyphen/>
        </w:r>
        <w:r w:rsidRPr="00183B5F">
          <w:rPr>
            <w:szCs w:val="22"/>
          </w:rPr>
          <w:delText xml:space="preserve">val végzett </w:delText>
        </w:r>
        <w:r w:rsidR="00ED247D" w:rsidRPr="00183B5F">
          <w:rPr>
            <w:szCs w:val="22"/>
          </w:rPr>
          <w:delText>III. fázisú</w:delText>
        </w:r>
        <w:r w:rsidRPr="00183B5F">
          <w:rPr>
            <w:szCs w:val="22"/>
          </w:rPr>
          <w:delText xml:space="preserve"> vizsgálatban két, testsúlyra korrigált fenntartó adagolási rend hatásosságát és biztonságosságát vizsgálták 52 kezelési hétig, testsúlyra korrigált indukciós kezelést követően. A vizsgálatok során a betegek 2,6%</w:delText>
        </w:r>
        <w:r w:rsidRPr="00183B5F">
          <w:rPr>
            <w:szCs w:val="22"/>
          </w:rPr>
          <w:noBreakHyphen/>
          <w:delText>ánál (5/192), akik közül 4 egyidejűleg immunszup</w:delText>
        </w:r>
        <w:r w:rsidR="00073099" w:rsidRPr="00183B5F">
          <w:rPr>
            <w:szCs w:val="22"/>
          </w:rPr>
          <w:delText>p</w:delText>
        </w:r>
        <w:r w:rsidRPr="00183B5F">
          <w:rPr>
            <w:szCs w:val="22"/>
          </w:rPr>
          <w:delText>resszánst is kapott, az ALT a normálérték felső határának  ≥ 3 szorosára emelkedett.</w:delText>
        </w:r>
      </w:del>
    </w:p>
    <w:p w14:paraId="02265297" w14:textId="00FB2C81" w:rsidR="00B14ABD" w:rsidRPr="00183B5F" w:rsidRDefault="00B14ABD" w:rsidP="004062FE">
      <w:pPr>
        <w:spacing w:line="240" w:lineRule="auto"/>
        <w:rPr>
          <w:del w:id="5328" w:author="AbbVie_HU_03" w:date="2025-05-14T15:27:00Z"/>
          <w:szCs w:val="22"/>
        </w:rPr>
      </w:pPr>
    </w:p>
    <w:p w14:paraId="133B1F75" w14:textId="3970F560" w:rsidR="00B14ABD" w:rsidRPr="00183B5F" w:rsidRDefault="00943743" w:rsidP="004062FE">
      <w:pPr>
        <w:spacing w:line="240" w:lineRule="auto"/>
        <w:rPr>
          <w:del w:id="5329" w:author="AbbVie_HU_03" w:date="2025-05-14T15:27:00Z"/>
          <w:szCs w:val="22"/>
        </w:rPr>
      </w:pPr>
      <w:del w:id="5330" w:author="AbbVie_HU_03" w:date="2025-05-14T15:27:00Z">
        <w:r w:rsidRPr="00183B5F">
          <w:rPr>
            <w:szCs w:val="22"/>
          </w:rPr>
          <w:delText>Plakkos psoriasisban szenvedő betegeknél Humira</w:delText>
        </w:r>
        <w:r w:rsidR="005D7645" w:rsidRPr="00183B5F">
          <w:rPr>
            <w:szCs w:val="22"/>
          </w:rPr>
          <w:noBreakHyphen/>
        </w:r>
        <w:r w:rsidRPr="00183B5F">
          <w:rPr>
            <w:szCs w:val="22"/>
          </w:rPr>
          <w:delText>val végzett, 12</w:delText>
        </w:r>
        <w:r w:rsidRPr="00183B5F">
          <w:rPr>
            <w:szCs w:val="22"/>
          </w:rPr>
          <w:noBreakHyphen/>
          <w:delText xml:space="preserve">24 hetes, </w:delText>
        </w:r>
        <w:r w:rsidR="00ED247D" w:rsidRPr="00183B5F">
          <w:rPr>
            <w:szCs w:val="22"/>
          </w:rPr>
          <w:delText>III. fázisú</w:delText>
        </w:r>
        <w:r w:rsidRPr="00183B5F">
          <w:rPr>
            <w:szCs w:val="22"/>
          </w:rPr>
          <w:delText xml:space="preserve"> vizsgálatokban a </w:delText>
        </w:r>
        <w:r w:rsidR="000258FB" w:rsidRPr="00183B5F">
          <w:rPr>
            <w:szCs w:val="22"/>
          </w:rPr>
          <w:delText>GPT</w:delText>
        </w:r>
        <w:r w:rsidR="00677908" w:rsidRPr="00183B5F">
          <w:rPr>
            <w:szCs w:val="22"/>
          </w:rPr>
          <w:delText xml:space="preserve"> (</w:delText>
        </w:r>
        <w:r w:rsidR="00934342" w:rsidRPr="00183B5F">
          <w:rPr>
            <w:szCs w:val="22"/>
          </w:rPr>
          <w:delText>ALAT</w:delText>
        </w:r>
        <w:r w:rsidR="00677908" w:rsidRPr="00183B5F">
          <w:rPr>
            <w:szCs w:val="22"/>
          </w:rPr>
          <w:delText>)-</w:delText>
        </w:r>
        <w:r w:rsidR="00F31867" w:rsidRPr="00183B5F">
          <w:rPr>
            <w:szCs w:val="22"/>
          </w:rPr>
          <w:delText>szint</w:delText>
        </w:r>
        <w:r w:rsidRPr="00183B5F">
          <w:rPr>
            <w:szCs w:val="22"/>
          </w:rPr>
          <w:delText xml:space="preserve"> a normálérték felső határának ≥ 3</w:delText>
        </w:r>
        <w:r w:rsidRPr="00183B5F">
          <w:rPr>
            <w:szCs w:val="22"/>
          </w:rPr>
          <w:noBreakHyphen/>
          <w:delText>szorosára történő emelkedése a Humira</w:delText>
        </w:r>
        <w:r w:rsidRPr="00183B5F">
          <w:rPr>
            <w:szCs w:val="22"/>
          </w:rPr>
          <w:noBreakHyphen/>
          <w:delText>val kezelt betegek 1,8%</w:delText>
        </w:r>
        <w:r w:rsidRPr="00183B5F">
          <w:rPr>
            <w:szCs w:val="22"/>
          </w:rPr>
          <w:noBreakHyphen/>
          <w:delText>ánál, a kontroll</w:delText>
        </w:r>
        <w:r w:rsidR="000922A3" w:rsidRPr="00183B5F">
          <w:rPr>
            <w:szCs w:val="22"/>
          </w:rPr>
          <w:delText>-</w:delText>
        </w:r>
        <w:r w:rsidRPr="00183B5F">
          <w:rPr>
            <w:szCs w:val="22"/>
          </w:rPr>
          <w:delText>kezelés mellett a betegek 1,8%</w:delText>
        </w:r>
        <w:r w:rsidRPr="00183B5F">
          <w:rPr>
            <w:szCs w:val="22"/>
          </w:rPr>
          <w:noBreakHyphen/>
          <w:delText>ánál fordult elő.</w:delText>
        </w:r>
      </w:del>
    </w:p>
    <w:p w14:paraId="5E32929D" w14:textId="3D823DF1" w:rsidR="00B14ABD" w:rsidRPr="00183B5F" w:rsidRDefault="00B14ABD" w:rsidP="004062FE">
      <w:pPr>
        <w:spacing w:line="240" w:lineRule="auto"/>
        <w:rPr>
          <w:del w:id="5331" w:author="AbbVie_HU_03" w:date="2025-05-14T15:27:00Z"/>
          <w:szCs w:val="22"/>
        </w:rPr>
      </w:pPr>
    </w:p>
    <w:p w14:paraId="552F69F9" w14:textId="070B6C8B" w:rsidR="00CB5E63" w:rsidRPr="00183B5F" w:rsidRDefault="00943743">
      <w:pPr>
        <w:spacing w:line="240" w:lineRule="auto"/>
        <w:rPr>
          <w:del w:id="5332" w:author="AbbVie_HU_03" w:date="2025-05-14T15:27:00Z"/>
          <w:szCs w:val="22"/>
        </w:rPr>
      </w:pPr>
      <w:del w:id="5333" w:author="AbbVie_HU_03" w:date="2025-05-14T15:27:00Z">
        <w:r w:rsidRPr="00183B5F">
          <w:rPr>
            <w:szCs w:val="22"/>
          </w:rPr>
          <w:delText>Plakkos psoriasisban szenvedő pediátriai betegeknél Humira</w:delText>
        </w:r>
        <w:r w:rsidR="005D7645" w:rsidRPr="00183B5F">
          <w:rPr>
            <w:szCs w:val="22"/>
          </w:rPr>
          <w:noBreakHyphen/>
        </w:r>
        <w:r w:rsidRPr="00183B5F">
          <w:rPr>
            <w:szCs w:val="22"/>
          </w:rPr>
          <w:delText xml:space="preserve">val végzett </w:delText>
        </w:r>
        <w:r w:rsidR="00ED247D" w:rsidRPr="00183B5F">
          <w:rPr>
            <w:szCs w:val="22"/>
          </w:rPr>
          <w:delText>III. fázisú</w:delText>
        </w:r>
        <w:r w:rsidRPr="00183B5F">
          <w:rPr>
            <w:szCs w:val="22"/>
          </w:rPr>
          <w:delText xml:space="preserve">. vizsgálatok során nem fordult elő a </w:delText>
        </w:r>
        <w:r w:rsidR="000258FB" w:rsidRPr="00183B5F">
          <w:rPr>
            <w:szCs w:val="22"/>
          </w:rPr>
          <w:delText>GPT</w:delText>
        </w:r>
        <w:r w:rsidR="00677908" w:rsidRPr="00183B5F">
          <w:rPr>
            <w:szCs w:val="22"/>
          </w:rPr>
          <w:delText xml:space="preserve"> (</w:delText>
        </w:r>
        <w:r w:rsidR="00934342" w:rsidRPr="00183B5F">
          <w:rPr>
            <w:szCs w:val="22"/>
          </w:rPr>
          <w:delText>ALAT</w:delText>
        </w:r>
        <w:r w:rsidR="00677908" w:rsidRPr="00183B5F">
          <w:rPr>
            <w:szCs w:val="22"/>
          </w:rPr>
          <w:delText>)-</w:delText>
        </w:r>
        <w:r w:rsidRPr="00183B5F">
          <w:rPr>
            <w:szCs w:val="22"/>
          </w:rPr>
          <w:delText>szintnek a normálérték felső határának ≥ 3</w:delText>
        </w:r>
        <w:r w:rsidRPr="00183B5F">
          <w:rPr>
            <w:szCs w:val="22"/>
          </w:rPr>
          <w:noBreakHyphen/>
          <w:delText>szorosára való emelkedése.</w:delText>
        </w:r>
      </w:del>
    </w:p>
    <w:p w14:paraId="1701669A" w14:textId="5C4FC997" w:rsidR="00B14ABD" w:rsidRPr="00183B5F" w:rsidRDefault="00B14ABD" w:rsidP="004062FE">
      <w:pPr>
        <w:spacing w:line="240" w:lineRule="auto"/>
        <w:rPr>
          <w:del w:id="5334" w:author="AbbVie_HU_03" w:date="2025-05-14T15:27:00Z"/>
          <w:szCs w:val="22"/>
        </w:rPr>
      </w:pPr>
    </w:p>
    <w:p w14:paraId="2BC9E010" w14:textId="7459A422" w:rsidR="00320EF8" w:rsidRPr="00183B5F" w:rsidRDefault="00943743" w:rsidP="004062FE">
      <w:pPr>
        <w:spacing w:line="240" w:lineRule="auto"/>
        <w:rPr>
          <w:del w:id="5335" w:author="AbbVie_HU_03" w:date="2025-05-14T15:27:00Z"/>
          <w:szCs w:val="22"/>
        </w:rPr>
      </w:pPr>
      <w:del w:id="5336" w:author="AbbVie_HU_03" w:date="2025-05-14T15:27:00Z">
        <w:r w:rsidRPr="00183B5F">
          <w:rPr>
            <w:szCs w:val="22"/>
          </w:rPr>
          <w:delText>Hidradenitis suppurativában szenvedő betegeknél a Humira</w:delText>
        </w:r>
        <w:r w:rsidR="005D7645" w:rsidRPr="00183B5F">
          <w:rPr>
            <w:szCs w:val="22"/>
          </w:rPr>
          <w:noBreakHyphen/>
        </w:r>
        <w:r w:rsidRPr="00183B5F">
          <w:rPr>
            <w:szCs w:val="22"/>
          </w:rPr>
          <w:delText>val (kezdő dózis a 0. héten 160 mg és a 2. héten 80 mg, melyet a 4. héttől kezdve hetente 40 mg követ) végzett kontrollos vizsgálatokban, a 12</w:delText>
        </w:r>
        <w:r w:rsidRPr="00183B5F">
          <w:rPr>
            <w:szCs w:val="22"/>
          </w:rPr>
          <w:noBreakHyphen/>
          <w:delText xml:space="preserve">16 hetes kontrollperiódusban a </w:delText>
        </w:r>
        <w:r w:rsidR="000258FB" w:rsidRPr="00183B5F">
          <w:rPr>
            <w:szCs w:val="22"/>
          </w:rPr>
          <w:delText xml:space="preserve">GPT </w:delText>
        </w:r>
        <w:r w:rsidR="00677908" w:rsidRPr="00183B5F">
          <w:rPr>
            <w:szCs w:val="22"/>
          </w:rPr>
          <w:delText>(</w:delText>
        </w:r>
        <w:r w:rsidR="00934342" w:rsidRPr="00183B5F">
          <w:rPr>
            <w:szCs w:val="22"/>
          </w:rPr>
          <w:delText>ALAT</w:delText>
        </w:r>
        <w:r w:rsidR="00677908" w:rsidRPr="00183B5F">
          <w:rPr>
            <w:szCs w:val="22"/>
          </w:rPr>
          <w:delText>)-</w:delText>
        </w:r>
        <w:r w:rsidR="00F31867" w:rsidRPr="00183B5F">
          <w:rPr>
            <w:szCs w:val="22"/>
          </w:rPr>
          <w:delText>szint</w:delText>
        </w:r>
        <w:r w:rsidRPr="00183B5F">
          <w:rPr>
            <w:szCs w:val="22"/>
          </w:rPr>
          <w:delText xml:space="preserve"> normálérték felső határának ≥ 3</w:delText>
        </w:r>
        <w:r w:rsidRPr="00183B5F">
          <w:rPr>
            <w:szCs w:val="22"/>
          </w:rPr>
          <w:noBreakHyphen/>
          <w:delText>szorosára történő emelkedése a Humira</w:delText>
        </w:r>
        <w:r w:rsidRPr="00183B5F">
          <w:rPr>
            <w:szCs w:val="22"/>
          </w:rPr>
          <w:noBreakHyphen/>
          <w:delText>val kezelt betegek 0,3%</w:delText>
        </w:r>
        <w:r w:rsidRPr="00183B5F">
          <w:rPr>
            <w:szCs w:val="22"/>
          </w:rPr>
          <w:noBreakHyphen/>
          <w:delText>ánál, míg a kontrollal kezelt betegek 0,6%</w:delText>
        </w:r>
        <w:r w:rsidRPr="00183B5F">
          <w:rPr>
            <w:szCs w:val="22"/>
          </w:rPr>
          <w:noBreakHyphen/>
          <w:delText>ánál fordult elő.</w:delText>
        </w:r>
      </w:del>
    </w:p>
    <w:p w14:paraId="7AA58F8A" w14:textId="2DFA92B4" w:rsidR="00FC18A5" w:rsidRPr="00183B5F" w:rsidRDefault="00FC18A5" w:rsidP="004062FE">
      <w:pPr>
        <w:spacing w:line="240" w:lineRule="auto"/>
        <w:rPr>
          <w:del w:id="5337" w:author="AbbVie_HU_03" w:date="2025-05-14T15:27:00Z"/>
          <w:szCs w:val="22"/>
        </w:rPr>
      </w:pPr>
    </w:p>
    <w:p w14:paraId="3C809725" w14:textId="53F2A8D6" w:rsidR="00022CB0" w:rsidRPr="00183B5F" w:rsidRDefault="00943743" w:rsidP="004062FE">
      <w:pPr>
        <w:spacing w:line="240" w:lineRule="auto"/>
        <w:rPr>
          <w:del w:id="5338" w:author="AbbVie_HU_03" w:date="2025-05-14T15:27:00Z"/>
          <w:szCs w:val="22"/>
        </w:rPr>
      </w:pPr>
      <w:del w:id="5339" w:author="AbbVie_HU_03" w:date="2025-05-14T15:27:00Z">
        <w:r w:rsidRPr="00183B5F">
          <w:rPr>
            <w:szCs w:val="22"/>
          </w:rPr>
          <w:delText>Uveitisben szenvedő</w:delText>
        </w:r>
        <w:r w:rsidR="008D5EE4" w:rsidRPr="00183B5F">
          <w:rPr>
            <w:szCs w:val="22"/>
          </w:rPr>
          <w:delText xml:space="preserve"> felnőtt</w:delText>
        </w:r>
        <w:r w:rsidRPr="00183B5F">
          <w:rPr>
            <w:szCs w:val="22"/>
          </w:rPr>
          <w:delText xml:space="preserve"> betegeknél a Humira</w:delText>
        </w:r>
        <w:r w:rsidR="001212F4" w:rsidRPr="00183B5F">
          <w:rPr>
            <w:szCs w:val="22"/>
          </w:rPr>
          <w:noBreakHyphen/>
        </w:r>
        <w:r w:rsidRPr="00183B5F">
          <w:rPr>
            <w:szCs w:val="22"/>
          </w:rPr>
          <w:delText>val (kezdő dózis a 0. héten 80 mg, melyet az 1. héttől kezdve minden második héten adott 40 mg követ</w:delText>
        </w:r>
        <w:r w:rsidR="00AD347E" w:rsidRPr="00183B5F">
          <w:rPr>
            <w:szCs w:val="22"/>
          </w:rPr>
          <w:delText>ett</w:delText>
        </w:r>
        <w:r w:rsidRPr="00183B5F">
          <w:rPr>
            <w:szCs w:val="22"/>
          </w:rPr>
          <w:delText>) végzett</w:delText>
        </w:r>
        <w:r w:rsidR="00180572" w:rsidRPr="00183B5F">
          <w:rPr>
            <w:szCs w:val="22"/>
          </w:rPr>
          <w:delText xml:space="preserve">, 80 hétig tartó </w:delText>
        </w:r>
        <w:r w:rsidRPr="00183B5F">
          <w:rPr>
            <w:szCs w:val="22"/>
          </w:rPr>
          <w:delText>kontrollos vizsgálatokban, a Humira</w:delText>
        </w:r>
        <w:r w:rsidRPr="00183B5F">
          <w:rPr>
            <w:szCs w:val="22"/>
          </w:rPr>
          <w:noBreakHyphen/>
        </w:r>
        <w:r w:rsidRPr="00183B5F">
          <w:rPr>
            <w:szCs w:val="22"/>
          </w:rPr>
          <w:delText xml:space="preserve">val kezelt betegeknél 166,5 nap, a kontrollcsoportnál 105 nap medián expozíciós idő esetén, </w:delText>
        </w:r>
        <w:r w:rsidR="00180572" w:rsidRPr="00183B5F">
          <w:rPr>
            <w:szCs w:val="22"/>
          </w:rPr>
          <w:delText xml:space="preserve">a </w:delText>
        </w:r>
        <w:r w:rsidR="000258FB" w:rsidRPr="00183B5F">
          <w:rPr>
            <w:szCs w:val="22"/>
          </w:rPr>
          <w:delText xml:space="preserve">GPT </w:delText>
        </w:r>
        <w:r w:rsidR="00677908" w:rsidRPr="00183B5F">
          <w:rPr>
            <w:szCs w:val="22"/>
          </w:rPr>
          <w:delText>(</w:delText>
        </w:r>
        <w:r w:rsidR="00934342" w:rsidRPr="00183B5F">
          <w:rPr>
            <w:szCs w:val="22"/>
          </w:rPr>
          <w:delText>ALAT</w:delText>
        </w:r>
        <w:r w:rsidR="00677908" w:rsidRPr="00183B5F">
          <w:rPr>
            <w:szCs w:val="22"/>
          </w:rPr>
          <w:delText>)-</w:delText>
        </w:r>
        <w:r w:rsidR="00180572" w:rsidRPr="00183B5F">
          <w:rPr>
            <w:szCs w:val="22"/>
          </w:rPr>
          <w:delText>szint normálérték felső határának ≥ 3</w:delText>
        </w:r>
        <w:r w:rsidR="00180572" w:rsidRPr="00183B5F">
          <w:rPr>
            <w:szCs w:val="22"/>
          </w:rPr>
          <w:noBreakHyphen/>
          <w:delText>szorosára való emelkedése a Humira</w:delText>
        </w:r>
        <w:r w:rsidR="00180572" w:rsidRPr="00183B5F">
          <w:rPr>
            <w:szCs w:val="22"/>
          </w:rPr>
          <w:noBreakHyphen/>
          <w:delText>val kezelt betegek 2,4%</w:delText>
        </w:r>
        <w:r w:rsidR="00180572" w:rsidRPr="00183B5F">
          <w:rPr>
            <w:szCs w:val="22"/>
          </w:rPr>
          <w:noBreakHyphen/>
          <w:delText>ánál, a kontrollkezelés mellett a betegek 2,4%</w:delText>
        </w:r>
        <w:r w:rsidR="00180572" w:rsidRPr="00183B5F">
          <w:rPr>
            <w:szCs w:val="22"/>
          </w:rPr>
          <w:noBreakHyphen/>
          <w:delText>ánál fordult elő.</w:delText>
        </w:r>
        <w:r w:rsidRPr="00183B5F">
          <w:rPr>
            <w:szCs w:val="22"/>
          </w:rPr>
          <w:delText xml:space="preserve"> </w:delText>
        </w:r>
      </w:del>
    </w:p>
    <w:p w14:paraId="2C334394" w14:textId="1F43FD53" w:rsidR="004371B6" w:rsidRPr="00183B5F" w:rsidRDefault="004371B6" w:rsidP="004062FE">
      <w:pPr>
        <w:spacing w:line="240" w:lineRule="auto"/>
        <w:rPr>
          <w:del w:id="5340" w:author="AbbVie_HU_03" w:date="2025-05-14T15:27:00Z"/>
          <w:szCs w:val="22"/>
        </w:rPr>
      </w:pPr>
    </w:p>
    <w:p w14:paraId="45B45623" w14:textId="385455BF" w:rsidR="0096786B" w:rsidRPr="00183B5F" w:rsidRDefault="00943743" w:rsidP="0096786B">
      <w:pPr>
        <w:rPr>
          <w:del w:id="5341" w:author="AbbVie_HU_03" w:date="2025-05-14T15:27:00Z"/>
        </w:rPr>
      </w:pPr>
      <w:bookmarkStart w:id="5342" w:name="_Hlk53173324"/>
      <w:del w:id="5343" w:author="AbbVie_HU_03" w:date="2025-05-14T15:27:00Z">
        <w:r w:rsidRPr="00183B5F">
          <w:rPr>
            <w:shd w:val="clear" w:color="auto" w:fill="FFFFFF"/>
          </w:rPr>
          <w:delText>Egy gyermek</w:delText>
        </w:r>
        <w:r w:rsidR="00777CA4" w:rsidRPr="00183B5F">
          <w:rPr>
            <w:shd w:val="clear" w:color="auto" w:fill="FFFFFF"/>
          </w:rPr>
          <w:delText>- és serdülő</w:delText>
        </w:r>
        <w:r w:rsidRPr="00183B5F">
          <w:rPr>
            <w:shd w:val="clear" w:color="auto" w:fill="FFFFFF"/>
          </w:rPr>
          <w:delText>kori colitis ulcerosában szenvedő betegek körében (N=93) Humira</w:delText>
        </w:r>
        <w:r w:rsidRPr="00183B5F">
          <w:rPr>
            <w:shd w:val="clear" w:color="auto" w:fill="FFFFFF"/>
          </w:rPr>
          <w:noBreakHyphen/>
          <w:delText>val végzett, kontrollált III. fázisú vizsgálatban a következő adagolási sémák hatásosságát és biztonságosságát értékelték: a 0. és 1. héten a testtömeghez igazított 2,4 mg/ttkg (legfeljebb 160 mg), és a 2. héten 1,2 mg/ttkg (legfeljebb 80 mg) indukciós dózis (N=63), vagy a 0. héten 2,4 mg/ttkg (legfeljebb 160 mg), az 1. héten placebo, a 2. héten 1,2 mg/ttkg (legfeljebb 80 mg) indukciós dózis (N=30), amit minden második héten adott 0</w:delText>
        </w:r>
        <w:r w:rsidRPr="00183B5F">
          <w:rPr>
            <w:shd w:val="clear" w:color="auto" w:fill="FFFFFF"/>
          </w:rPr>
          <w:delText>,6 mg/ttkg (legfeljebb 40 mg) fenntartó dózis (N=31), vagy hetente adott 0,6 mg/ttkg (legfeljebb 40 mg) fenntartó dózis (N=32) követ. A fenti dózisok mellett a betegek 1,1%</w:delText>
        </w:r>
        <w:r w:rsidRPr="00183B5F">
          <w:rPr>
            <w:shd w:val="clear" w:color="auto" w:fill="FFFFFF"/>
          </w:rPr>
          <w:noBreakHyphen/>
          <w:delText xml:space="preserve">ánál (1/93) az ALAT a </w:delText>
        </w:r>
        <w:r w:rsidRPr="00183B5F">
          <w:delText>normálérték felső határának ≥ 3</w:delText>
        </w:r>
        <w:r w:rsidRPr="00183B5F">
          <w:noBreakHyphen/>
          <w:delText>szorosára emelkedett.</w:delText>
        </w:r>
      </w:del>
    </w:p>
    <w:bookmarkEnd w:id="5342"/>
    <w:p w14:paraId="32596098" w14:textId="2F5A5249" w:rsidR="00022CB0" w:rsidRPr="00183B5F" w:rsidRDefault="00022CB0" w:rsidP="004062FE">
      <w:pPr>
        <w:spacing w:line="240" w:lineRule="auto"/>
        <w:rPr>
          <w:del w:id="5344" w:author="AbbVie_HU_03" w:date="2025-05-14T15:27:00Z"/>
          <w:szCs w:val="22"/>
        </w:rPr>
      </w:pPr>
    </w:p>
    <w:p w14:paraId="29DB85EE" w14:textId="2A83FB4A" w:rsidR="00C52CDB" w:rsidRPr="00183B5F" w:rsidRDefault="00943743" w:rsidP="004062FE">
      <w:pPr>
        <w:spacing w:line="240" w:lineRule="auto"/>
        <w:rPr>
          <w:del w:id="5345" w:author="AbbVie_HU_03" w:date="2025-05-14T15:27:00Z"/>
          <w:szCs w:val="22"/>
        </w:rPr>
      </w:pPr>
      <w:del w:id="5346" w:author="AbbVie_HU_03" w:date="2025-05-14T15:27:00Z">
        <w:r w:rsidRPr="00183B5F">
          <w:rPr>
            <w:szCs w:val="22"/>
          </w:rPr>
          <w:delText xml:space="preserve">A klinikai vizsgálatokban a magasabb </w:delText>
        </w:r>
        <w:r w:rsidR="000258FB" w:rsidRPr="00183B5F">
          <w:rPr>
            <w:szCs w:val="22"/>
          </w:rPr>
          <w:delText xml:space="preserve">GPT </w:delText>
        </w:r>
        <w:r w:rsidR="00677908" w:rsidRPr="00183B5F">
          <w:rPr>
            <w:szCs w:val="22"/>
          </w:rPr>
          <w:delText>(</w:delText>
        </w:r>
        <w:r w:rsidR="00934342" w:rsidRPr="00183B5F">
          <w:rPr>
            <w:szCs w:val="22"/>
          </w:rPr>
          <w:delText>ALAT</w:delText>
        </w:r>
        <w:r w:rsidR="00677908" w:rsidRPr="00183B5F">
          <w:rPr>
            <w:szCs w:val="22"/>
          </w:rPr>
          <w:delText>)-</w:delText>
        </w:r>
        <w:r w:rsidR="00F31867" w:rsidRPr="00183B5F">
          <w:rPr>
            <w:szCs w:val="22"/>
          </w:rPr>
          <w:delText>szintű</w:delText>
        </w:r>
        <w:r w:rsidRPr="00183B5F">
          <w:rPr>
            <w:szCs w:val="22"/>
          </w:rPr>
          <w:delText xml:space="preserve"> betegek tünetmentesek voltak valamennyi indikációban. Az esetek többségében az emelkedés átmeneti volt és a kezelés folytatása mellett</w:delText>
        </w:r>
        <w:r w:rsidR="00E94EBF" w:rsidRPr="00183B5F">
          <w:rPr>
            <w:szCs w:val="22"/>
          </w:rPr>
          <w:delText xml:space="preserve"> megszűnt</w:delText>
        </w:r>
        <w:r w:rsidRPr="00183B5F">
          <w:rPr>
            <w:szCs w:val="22"/>
          </w:rPr>
          <w:delText>.</w:delText>
        </w:r>
        <w:r w:rsidR="00E94EBF" w:rsidRPr="00183B5F">
          <w:rPr>
            <w:szCs w:val="22"/>
          </w:rPr>
          <w:delText xml:space="preserve"> </w:delText>
        </w:r>
        <w:r w:rsidRPr="00183B5F">
          <w:rPr>
            <w:szCs w:val="22"/>
          </w:rPr>
          <w:delText xml:space="preserve">A forgalomba hozatalt követően is beszámoltak májelégtelenségről és kevésbé súlyos </w:delText>
        </w:r>
        <w:r w:rsidR="00E94EBF" w:rsidRPr="00183B5F">
          <w:rPr>
            <w:szCs w:val="22"/>
          </w:rPr>
          <w:delText xml:space="preserve">olyan </w:delText>
        </w:r>
        <w:r w:rsidRPr="00183B5F">
          <w:rPr>
            <w:szCs w:val="22"/>
          </w:rPr>
          <w:delText>májbetegségekről</w:delText>
        </w:r>
        <w:r w:rsidR="001F0213" w:rsidRPr="00183B5F">
          <w:rPr>
            <w:szCs w:val="22"/>
          </w:rPr>
          <w:delText xml:space="preserve"> is</w:delText>
        </w:r>
        <w:r w:rsidRPr="00183B5F">
          <w:rPr>
            <w:szCs w:val="22"/>
          </w:rPr>
          <w:delText>, am</w:delText>
        </w:r>
        <w:r w:rsidR="001F0213" w:rsidRPr="00183B5F">
          <w:rPr>
            <w:szCs w:val="22"/>
          </w:rPr>
          <w:delText>elyek</w:delText>
        </w:r>
        <w:r w:rsidRPr="00183B5F">
          <w:rPr>
            <w:szCs w:val="22"/>
          </w:rPr>
          <w:delText xml:space="preserve"> </w:delText>
        </w:r>
        <w:r w:rsidR="001F0213" w:rsidRPr="00183B5F">
          <w:rPr>
            <w:szCs w:val="22"/>
          </w:rPr>
          <w:delText xml:space="preserve">megelőzhetik </w:delText>
        </w:r>
        <w:r w:rsidRPr="00183B5F">
          <w:rPr>
            <w:szCs w:val="22"/>
          </w:rPr>
          <w:delText xml:space="preserve">a májelégtelenséget, mint pl. </w:delText>
        </w:r>
        <w:r w:rsidR="00887DAE" w:rsidRPr="00183B5F">
          <w:rPr>
            <w:szCs w:val="22"/>
          </w:rPr>
          <w:delText xml:space="preserve">a </w:delText>
        </w:r>
        <w:r w:rsidRPr="00183B5F">
          <w:rPr>
            <w:szCs w:val="22"/>
          </w:rPr>
          <w:delText>hepatitis</w:delText>
        </w:r>
        <w:r w:rsidR="00887DAE" w:rsidRPr="00183B5F">
          <w:rPr>
            <w:szCs w:val="22"/>
          </w:rPr>
          <w:delText>,</w:delText>
        </w:r>
        <w:r w:rsidRPr="00183B5F">
          <w:rPr>
            <w:szCs w:val="22"/>
          </w:rPr>
          <w:delText xml:space="preserve"> </w:delText>
        </w:r>
        <w:r w:rsidR="001F0213" w:rsidRPr="00183B5F">
          <w:rPr>
            <w:szCs w:val="22"/>
          </w:rPr>
          <w:delText>beleértve</w:delText>
        </w:r>
        <w:r w:rsidRPr="00183B5F">
          <w:rPr>
            <w:szCs w:val="22"/>
          </w:rPr>
          <w:delText xml:space="preserve"> </w:delText>
        </w:r>
        <w:r w:rsidR="001F0213" w:rsidRPr="00183B5F">
          <w:rPr>
            <w:szCs w:val="22"/>
          </w:rPr>
          <w:delText xml:space="preserve">az </w:delText>
        </w:r>
        <w:r w:rsidRPr="00183B5F">
          <w:rPr>
            <w:szCs w:val="22"/>
          </w:rPr>
          <w:delText>autoimmun hepatitis</w:delText>
        </w:r>
        <w:r w:rsidR="00E94EBF" w:rsidRPr="00183B5F">
          <w:rPr>
            <w:szCs w:val="22"/>
          </w:rPr>
          <w:delText>t</w:delText>
        </w:r>
        <w:r w:rsidRPr="00183B5F">
          <w:rPr>
            <w:szCs w:val="22"/>
          </w:rPr>
          <w:delText xml:space="preserve"> az adalimumabbal kezelt betegeknél.</w:delText>
        </w:r>
      </w:del>
    </w:p>
    <w:p w14:paraId="65ADC5B7" w14:textId="244C1D67" w:rsidR="00EB1EA6" w:rsidRPr="00183B5F" w:rsidRDefault="00EB1EA6" w:rsidP="004062FE">
      <w:pPr>
        <w:spacing w:line="240" w:lineRule="auto"/>
        <w:rPr>
          <w:del w:id="5347" w:author="AbbVie_HU_03" w:date="2025-05-14T15:27:00Z"/>
          <w:b/>
          <w:szCs w:val="22"/>
        </w:rPr>
      </w:pPr>
    </w:p>
    <w:p w14:paraId="5686D78B" w14:textId="7EEB7648" w:rsidR="006A22C0" w:rsidRPr="00183B5F" w:rsidRDefault="00943743" w:rsidP="004062FE">
      <w:pPr>
        <w:keepNext/>
        <w:spacing w:line="240" w:lineRule="auto"/>
        <w:rPr>
          <w:del w:id="5348" w:author="AbbVie_HU_03" w:date="2025-05-14T15:27:00Z"/>
          <w:szCs w:val="22"/>
          <w:u w:val="single"/>
        </w:rPr>
      </w:pPr>
      <w:del w:id="5349" w:author="AbbVie_HU_03" w:date="2025-05-14T15:27:00Z">
        <w:r w:rsidRPr="00183B5F">
          <w:rPr>
            <w:szCs w:val="22"/>
            <w:u w:val="single"/>
          </w:rPr>
          <w:delText>Egyidejű azatioprin/6</w:delText>
        </w:r>
        <w:r w:rsidR="001F5F5A" w:rsidRPr="00183B5F">
          <w:rPr>
            <w:szCs w:val="22"/>
            <w:u w:val="single"/>
          </w:rPr>
          <w:noBreakHyphen/>
        </w:r>
        <w:r w:rsidRPr="00183B5F">
          <w:rPr>
            <w:szCs w:val="22"/>
            <w:u w:val="single"/>
          </w:rPr>
          <w:delText>merkaptopurin</w:delText>
        </w:r>
        <w:r w:rsidR="00E12E4F" w:rsidRPr="00183B5F">
          <w:rPr>
            <w:szCs w:val="22"/>
            <w:u w:val="single"/>
          </w:rPr>
          <w:delText>-</w:delText>
        </w:r>
        <w:r w:rsidRPr="00183B5F">
          <w:rPr>
            <w:szCs w:val="22"/>
            <w:u w:val="single"/>
          </w:rPr>
          <w:delText>kezelés</w:delText>
        </w:r>
      </w:del>
    </w:p>
    <w:p w14:paraId="0E07D614" w14:textId="2A25A80F" w:rsidR="006A22C0" w:rsidRPr="00183B5F" w:rsidRDefault="006A22C0" w:rsidP="004062FE">
      <w:pPr>
        <w:keepNext/>
        <w:spacing w:line="240" w:lineRule="auto"/>
        <w:rPr>
          <w:del w:id="5350" w:author="AbbVie_HU_03" w:date="2025-05-14T15:27:00Z"/>
          <w:szCs w:val="22"/>
        </w:rPr>
      </w:pPr>
    </w:p>
    <w:p w14:paraId="5DAC63ED" w14:textId="3A0D7C60" w:rsidR="008A4BDC" w:rsidRPr="00183B5F" w:rsidRDefault="00943743" w:rsidP="004062FE">
      <w:pPr>
        <w:keepNext/>
        <w:spacing w:line="240" w:lineRule="auto"/>
        <w:rPr>
          <w:del w:id="5351" w:author="AbbVie_HU_03" w:date="2025-05-14T15:27:00Z"/>
          <w:szCs w:val="22"/>
        </w:rPr>
      </w:pPr>
      <w:del w:id="5352" w:author="AbbVie_HU_03" w:date="2025-05-14T15:27:00Z">
        <w:r w:rsidRPr="00183B5F">
          <w:rPr>
            <w:szCs w:val="22"/>
          </w:rPr>
          <w:delText>Felnőttkori Crohn</w:delText>
        </w:r>
        <w:r w:rsidR="004A3681" w:rsidRPr="00183B5F">
          <w:rPr>
            <w:szCs w:val="22"/>
          </w:rPr>
          <w:noBreakHyphen/>
        </w:r>
        <w:r w:rsidRPr="00183B5F">
          <w:rPr>
            <w:szCs w:val="22"/>
          </w:rPr>
          <w:delText xml:space="preserve">betegségben végzett vizsgálatok során a rosszindulatú </w:delText>
        </w:r>
        <w:r w:rsidR="00611006" w:rsidRPr="00183B5F">
          <w:rPr>
            <w:szCs w:val="22"/>
          </w:rPr>
          <w:delText>daganatokkal</w:delText>
        </w:r>
        <w:r w:rsidRPr="00183B5F">
          <w:rPr>
            <w:szCs w:val="22"/>
          </w:rPr>
          <w:delText xml:space="preserve"> és súlyos fertőzésekkel kapcsolatos nemkívánatos események nagyobb gyakoriságát észlelt</w:delText>
        </w:r>
        <w:r w:rsidR="00382AB6" w:rsidRPr="00183B5F">
          <w:rPr>
            <w:szCs w:val="22"/>
          </w:rPr>
          <w:delText>é</w:delText>
        </w:r>
        <w:r w:rsidRPr="00183B5F">
          <w:rPr>
            <w:szCs w:val="22"/>
          </w:rPr>
          <w:delText>k Humira és azatioprin/6</w:delText>
        </w:r>
        <w:r w:rsidR="004A3681" w:rsidRPr="00183B5F">
          <w:rPr>
            <w:szCs w:val="22"/>
          </w:rPr>
          <w:noBreakHyphen/>
        </w:r>
        <w:r w:rsidRPr="00183B5F">
          <w:rPr>
            <w:szCs w:val="22"/>
          </w:rPr>
          <w:delText>merkaptopurin kombinációs kezelés során</w:delText>
        </w:r>
        <w:r w:rsidR="00382AB6" w:rsidRPr="00183B5F">
          <w:rPr>
            <w:szCs w:val="22"/>
          </w:rPr>
          <w:delText>, mint</w:delText>
        </w:r>
        <w:r w:rsidRPr="00183B5F">
          <w:rPr>
            <w:szCs w:val="22"/>
          </w:rPr>
          <w:delText xml:space="preserve"> az </w:delText>
        </w:r>
        <w:r w:rsidR="00382AB6" w:rsidRPr="00183B5F">
          <w:rPr>
            <w:szCs w:val="22"/>
          </w:rPr>
          <w:delText>önmagában adott Humira</w:delText>
        </w:r>
        <w:r w:rsidR="004A3681" w:rsidRPr="00183B5F">
          <w:rPr>
            <w:szCs w:val="22"/>
          </w:rPr>
          <w:noBreakHyphen/>
        </w:r>
        <w:r w:rsidR="00382AB6" w:rsidRPr="00183B5F">
          <w:rPr>
            <w:szCs w:val="22"/>
          </w:rPr>
          <w:delText>kezelés</w:delText>
        </w:r>
        <w:r w:rsidRPr="00183B5F">
          <w:rPr>
            <w:szCs w:val="22"/>
          </w:rPr>
          <w:delText xml:space="preserve"> esetén.</w:delText>
        </w:r>
      </w:del>
    </w:p>
    <w:p w14:paraId="398270D0" w14:textId="32694245" w:rsidR="008A4BDC" w:rsidRPr="00183B5F" w:rsidRDefault="008A4BDC">
      <w:pPr>
        <w:pStyle w:val="EMEANormal"/>
        <w:suppressAutoHyphens w:val="0"/>
        <w:rPr>
          <w:del w:id="5353" w:author="AbbVie_HU_03" w:date="2025-05-14T15:27:00Z"/>
          <w:szCs w:val="22"/>
          <w:lang w:val="hu-HU"/>
        </w:rPr>
      </w:pPr>
    </w:p>
    <w:p w14:paraId="5C2E9CC0" w14:textId="6D0F2CF5" w:rsidR="008A4BDC" w:rsidRPr="00183B5F" w:rsidRDefault="00943743">
      <w:pPr>
        <w:keepNext/>
        <w:spacing w:line="240" w:lineRule="auto"/>
        <w:rPr>
          <w:del w:id="5354" w:author="AbbVie_HU_03" w:date="2025-05-14T15:27:00Z"/>
          <w:szCs w:val="22"/>
          <w:u w:val="single"/>
        </w:rPr>
      </w:pPr>
      <w:del w:id="5355" w:author="AbbVie_HU_03" w:date="2025-05-14T15:27:00Z">
        <w:r w:rsidRPr="00183B5F">
          <w:rPr>
            <w:szCs w:val="22"/>
            <w:u w:val="single"/>
          </w:rPr>
          <w:delText>Feltételezett mellékhatások bejelentése</w:delText>
        </w:r>
      </w:del>
    </w:p>
    <w:p w14:paraId="03404CA4" w14:textId="7A3CADBC" w:rsidR="008A4BDC" w:rsidRPr="00183B5F" w:rsidRDefault="008A4BDC">
      <w:pPr>
        <w:keepNext/>
        <w:spacing w:line="240" w:lineRule="auto"/>
        <w:rPr>
          <w:del w:id="5356" w:author="AbbVie_HU_03" w:date="2025-05-14T15:27:00Z"/>
          <w:szCs w:val="22"/>
          <w:u w:val="single"/>
        </w:rPr>
      </w:pPr>
    </w:p>
    <w:p w14:paraId="54C8EFB7" w14:textId="10B5B830" w:rsidR="008A4BDC" w:rsidRPr="00183B5F" w:rsidRDefault="00943743">
      <w:pPr>
        <w:keepNext/>
        <w:spacing w:line="240" w:lineRule="auto"/>
        <w:rPr>
          <w:del w:id="5357" w:author="AbbVie_HU_03" w:date="2025-05-14T15:27:00Z"/>
          <w:szCs w:val="22"/>
        </w:rPr>
      </w:pPr>
      <w:del w:id="5358" w:author="AbbVie_HU_03" w:date="2025-05-14T15:27:00Z">
        <w:r w:rsidRPr="00183B5F">
          <w:rPr>
            <w:szCs w:val="22"/>
          </w:rPr>
          <w:delTex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delText>
        </w:r>
        <w:r w:rsidR="006F459E">
          <w:fldChar w:fldCharType="begin"/>
        </w:r>
        <w:r w:rsidR="006F459E">
          <w:delInstrText>HYPERLINK "http://www.ema.europa.eu/docs/en_GB/document_library/Template_or_form/2013/03/WC500139752.doc"</w:delInstrText>
        </w:r>
        <w:r w:rsidR="006F459E">
          <w:fldChar w:fldCharType="separate"/>
        </w:r>
        <w:r w:rsidR="006F459E" w:rsidRPr="00183B5F">
          <w:rPr>
            <w:rStyle w:val="Hyperlink"/>
            <w:highlight w:val="lightGray"/>
          </w:rPr>
          <w:delText>V. függelékben</w:delText>
        </w:r>
        <w:r w:rsidR="006F459E">
          <w:fldChar w:fldCharType="end"/>
        </w:r>
        <w:r w:rsidR="006F459E" w:rsidRPr="00183B5F">
          <w:rPr>
            <w:highlight w:val="lightGray"/>
          </w:rPr>
          <w:delText xml:space="preserve"> található elérhetőségek valamelyikén keresztül</w:delText>
        </w:r>
        <w:r w:rsidR="00FB29DF" w:rsidRPr="00183B5F">
          <w:rPr>
            <w:color w:val="008000"/>
          </w:rPr>
          <w:delText>.</w:delText>
        </w:r>
      </w:del>
    </w:p>
    <w:p w14:paraId="3BA12BE8" w14:textId="2667C130" w:rsidR="006A22C0" w:rsidRPr="00183B5F" w:rsidRDefault="006A22C0" w:rsidP="004062FE">
      <w:pPr>
        <w:spacing w:line="240" w:lineRule="auto"/>
        <w:rPr>
          <w:del w:id="5359" w:author="AbbVie_HU_03" w:date="2025-05-14T15:27:00Z"/>
          <w:b/>
          <w:szCs w:val="22"/>
        </w:rPr>
      </w:pPr>
    </w:p>
    <w:p w14:paraId="311E2764" w14:textId="2604365F" w:rsidR="00FB6710" w:rsidRPr="00183B5F" w:rsidRDefault="00943743" w:rsidP="004062FE">
      <w:pPr>
        <w:keepNext/>
        <w:spacing w:line="240" w:lineRule="auto"/>
        <w:rPr>
          <w:del w:id="5360" w:author="AbbVie_HU_03" w:date="2025-05-14T15:27:00Z"/>
          <w:b/>
          <w:szCs w:val="22"/>
        </w:rPr>
      </w:pPr>
      <w:del w:id="5361" w:author="AbbVie_HU_03" w:date="2025-05-14T15:27:00Z">
        <w:r w:rsidRPr="00183B5F">
          <w:rPr>
            <w:b/>
            <w:szCs w:val="22"/>
          </w:rPr>
          <w:delText>4.9</w:delText>
        </w:r>
        <w:r w:rsidRPr="00183B5F">
          <w:rPr>
            <w:b/>
            <w:szCs w:val="22"/>
          </w:rPr>
          <w:tab/>
          <w:delText>Túladagolás</w:delText>
        </w:r>
      </w:del>
    </w:p>
    <w:p w14:paraId="6CDA0570" w14:textId="0AA697E2" w:rsidR="00FB6710" w:rsidRPr="00183B5F" w:rsidRDefault="00FB6710" w:rsidP="004062FE">
      <w:pPr>
        <w:keepNext/>
        <w:spacing w:line="240" w:lineRule="auto"/>
        <w:rPr>
          <w:del w:id="5362" w:author="AbbVie_HU_03" w:date="2025-05-14T15:27:00Z"/>
          <w:szCs w:val="22"/>
        </w:rPr>
      </w:pPr>
    </w:p>
    <w:p w14:paraId="030F78ED" w14:textId="25E80629" w:rsidR="00FB6710" w:rsidRPr="00183B5F" w:rsidRDefault="00943743" w:rsidP="004062FE">
      <w:pPr>
        <w:keepNext/>
        <w:spacing w:line="240" w:lineRule="auto"/>
        <w:rPr>
          <w:del w:id="5363" w:author="AbbVie_HU_03" w:date="2025-05-14T15:27:00Z"/>
          <w:szCs w:val="22"/>
        </w:rPr>
      </w:pPr>
      <w:del w:id="5364" w:author="AbbVie_HU_03" w:date="2025-05-14T15:27:00Z">
        <w:r w:rsidRPr="00183B5F">
          <w:rPr>
            <w:szCs w:val="22"/>
          </w:rPr>
          <w:delText>A klinikai vizsgálatok során nem észlelt</w:delText>
        </w:r>
        <w:r w:rsidR="00196BE7" w:rsidRPr="00183B5F">
          <w:rPr>
            <w:szCs w:val="22"/>
          </w:rPr>
          <w:delText>é</w:delText>
        </w:r>
        <w:r w:rsidRPr="00183B5F">
          <w:rPr>
            <w:szCs w:val="22"/>
          </w:rPr>
          <w:delText>k dóziskorlátozó toxicitás jele</w:delText>
        </w:r>
        <w:r w:rsidR="00196BE7" w:rsidRPr="00183B5F">
          <w:rPr>
            <w:szCs w:val="22"/>
          </w:rPr>
          <w:delText>i</w:delText>
        </w:r>
        <w:r w:rsidRPr="00183B5F">
          <w:rPr>
            <w:szCs w:val="22"/>
          </w:rPr>
          <w:delText>t. A legmagasabb vizsgált dózis az intravénásan beadott 10 mg</w:delText>
        </w:r>
        <w:r w:rsidR="00127A0B" w:rsidRPr="00183B5F">
          <w:rPr>
            <w:szCs w:val="22"/>
          </w:rPr>
          <w:delText>/ttkg</w:delText>
        </w:r>
        <w:r w:rsidRPr="00183B5F">
          <w:rPr>
            <w:szCs w:val="22"/>
          </w:rPr>
          <w:delText>-os dózis többszöröse volt, amely az ajánlott dózis kb.</w:delText>
        </w:r>
        <w:r w:rsidR="00BE1F94" w:rsidRPr="00183B5F">
          <w:rPr>
            <w:szCs w:val="22"/>
          </w:rPr>
          <w:delText> </w:delText>
        </w:r>
        <w:r w:rsidRPr="00183B5F">
          <w:rPr>
            <w:szCs w:val="22"/>
          </w:rPr>
          <w:delText>15</w:delText>
        </w:r>
        <w:r w:rsidR="00BE1F94" w:rsidRPr="00183B5F">
          <w:rPr>
            <w:szCs w:val="22"/>
          </w:rPr>
          <w:noBreakHyphen/>
        </w:r>
        <w:r w:rsidRPr="00183B5F">
          <w:rPr>
            <w:szCs w:val="22"/>
          </w:rPr>
          <w:delText>szörösét teszi ki.</w:delText>
        </w:r>
      </w:del>
    </w:p>
    <w:p w14:paraId="039ECA7B" w14:textId="51410C10" w:rsidR="00FB6710" w:rsidRPr="00183B5F" w:rsidRDefault="00FB6710" w:rsidP="004062FE">
      <w:pPr>
        <w:pStyle w:val="EndnoteText"/>
        <w:tabs>
          <w:tab w:val="clear" w:pos="567"/>
          <w:tab w:val="left" w:pos="708"/>
        </w:tabs>
        <w:suppressAutoHyphens/>
        <w:rPr>
          <w:del w:id="5365" w:author="AbbVie_HU_03" w:date="2025-05-14T15:27:00Z"/>
          <w:sz w:val="22"/>
          <w:szCs w:val="22"/>
          <w:lang w:val="hu-HU"/>
        </w:rPr>
      </w:pPr>
    </w:p>
    <w:p w14:paraId="7DCA94DE" w14:textId="4778B25B" w:rsidR="00FB6710" w:rsidRPr="00183B5F" w:rsidRDefault="00FB6710" w:rsidP="004062FE">
      <w:pPr>
        <w:spacing w:line="240" w:lineRule="auto"/>
        <w:rPr>
          <w:del w:id="5366" w:author="AbbVie_HU_03" w:date="2025-05-14T15:27:00Z"/>
          <w:szCs w:val="22"/>
        </w:rPr>
      </w:pPr>
    </w:p>
    <w:p w14:paraId="5FBE04B8" w14:textId="686162DD" w:rsidR="00FB6710" w:rsidRPr="00183B5F" w:rsidRDefault="00943743" w:rsidP="00832DC3">
      <w:pPr>
        <w:keepNext/>
        <w:spacing w:line="240" w:lineRule="auto"/>
        <w:ind w:left="567" w:hanging="567"/>
        <w:rPr>
          <w:del w:id="5367" w:author="AbbVie_HU_03" w:date="2025-05-14T15:27:00Z"/>
          <w:b/>
          <w:szCs w:val="22"/>
        </w:rPr>
      </w:pPr>
      <w:del w:id="5368" w:author="AbbVie_HU_03" w:date="2025-05-14T15:27:00Z">
        <w:r w:rsidRPr="00183B5F">
          <w:rPr>
            <w:b/>
            <w:szCs w:val="22"/>
          </w:rPr>
          <w:delText>5.</w:delText>
        </w:r>
        <w:r w:rsidRPr="00183B5F">
          <w:rPr>
            <w:b/>
            <w:szCs w:val="22"/>
          </w:rPr>
          <w:tab/>
          <w:delText>FARMAKOLÓGIAI TULAJDONSÁGOK</w:delText>
        </w:r>
      </w:del>
    </w:p>
    <w:p w14:paraId="17C7F01F" w14:textId="7B1AAB4C" w:rsidR="00FB6710" w:rsidRPr="00183B5F" w:rsidRDefault="00FB6710" w:rsidP="00832DC3">
      <w:pPr>
        <w:keepNext/>
        <w:spacing w:line="240" w:lineRule="auto"/>
        <w:rPr>
          <w:del w:id="5369" w:author="AbbVie_HU_03" w:date="2025-05-14T15:27:00Z"/>
          <w:szCs w:val="22"/>
        </w:rPr>
      </w:pPr>
    </w:p>
    <w:p w14:paraId="6C53909A" w14:textId="7DDDE368" w:rsidR="00FB6710" w:rsidRPr="00183B5F" w:rsidRDefault="00943743" w:rsidP="00832DC3">
      <w:pPr>
        <w:keepNext/>
        <w:spacing w:line="240" w:lineRule="auto"/>
        <w:ind w:left="567" w:hanging="567"/>
        <w:rPr>
          <w:del w:id="5370" w:author="AbbVie_HU_03" w:date="2025-05-14T15:27:00Z"/>
          <w:b/>
          <w:szCs w:val="22"/>
        </w:rPr>
      </w:pPr>
      <w:del w:id="5371" w:author="AbbVie_HU_03" w:date="2025-05-14T15:27:00Z">
        <w:r w:rsidRPr="00183B5F">
          <w:rPr>
            <w:b/>
            <w:szCs w:val="22"/>
          </w:rPr>
          <w:delText>5.1</w:delText>
        </w:r>
        <w:r w:rsidRPr="00183B5F">
          <w:rPr>
            <w:b/>
            <w:szCs w:val="22"/>
          </w:rPr>
          <w:tab/>
          <w:delText>Farmakodinámiás tulajdonságok</w:delText>
        </w:r>
      </w:del>
    </w:p>
    <w:p w14:paraId="5CDF5EC0" w14:textId="446A1A19" w:rsidR="00FB6710" w:rsidRPr="00183B5F" w:rsidRDefault="00FB6710" w:rsidP="00832DC3">
      <w:pPr>
        <w:keepNext/>
        <w:spacing w:line="240" w:lineRule="auto"/>
        <w:rPr>
          <w:del w:id="5372" w:author="AbbVie_HU_03" w:date="2025-05-14T15:27:00Z"/>
          <w:szCs w:val="22"/>
        </w:rPr>
      </w:pPr>
    </w:p>
    <w:p w14:paraId="0042E0DE" w14:textId="47A2EDC6" w:rsidR="0049004D" w:rsidRPr="00183B5F" w:rsidRDefault="00943743" w:rsidP="004062FE">
      <w:pPr>
        <w:spacing w:line="240" w:lineRule="auto"/>
        <w:rPr>
          <w:del w:id="5373" w:author="AbbVie_HU_03" w:date="2025-05-14T15:27:00Z"/>
          <w:szCs w:val="22"/>
        </w:rPr>
      </w:pPr>
      <w:del w:id="5374" w:author="AbbVie_HU_03" w:date="2025-05-14T15:27:00Z">
        <w:r w:rsidRPr="00183B5F">
          <w:rPr>
            <w:szCs w:val="22"/>
          </w:rPr>
          <w:delText xml:space="preserve">Farmakoterápiás csoport: </w:delText>
        </w:r>
        <w:r w:rsidR="00A5639B" w:rsidRPr="00183B5F">
          <w:rPr>
            <w:szCs w:val="22"/>
          </w:rPr>
          <w:delText>Immunszup</w:delText>
        </w:r>
        <w:r w:rsidR="00073099" w:rsidRPr="00183B5F">
          <w:rPr>
            <w:szCs w:val="22"/>
          </w:rPr>
          <w:delText>p</w:delText>
        </w:r>
        <w:r w:rsidR="00A5639B" w:rsidRPr="00183B5F">
          <w:rPr>
            <w:szCs w:val="22"/>
          </w:rPr>
          <w:delText xml:space="preserve">resszánsok, </w:delText>
        </w:r>
        <w:r w:rsidRPr="00183B5F">
          <w:rPr>
            <w:szCs w:val="22"/>
          </w:rPr>
          <w:delText>Tumornekrózis</w:delText>
        </w:r>
        <w:r w:rsidRPr="00183B5F">
          <w:rPr>
            <w:szCs w:val="22"/>
          </w:rPr>
          <w:noBreakHyphen/>
          <w:delText>faktor</w:delText>
        </w:r>
        <w:r w:rsidRPr="00183B5F">
          <w:rPr>
            <w:szCs w:val="22"/>
          </w:rPr>
          <w:noBreakHyphen/>
          <w:delText>alfa (TNF</w:delText>
        </w:r>
        <w:r w:rsidRPr="00183B5F">
          <w:rPr>
            <w:szCs w:val="22"/>
          </w:rPr>
          <w:noBreakHyphen/>
          <w:delText>α)</w:delText>
        </w:r>
        <w:r w:rsidRPr="00183B5F">
          <w:rPr>
            <w:szCs w:val="22"/>
          </w:rPr>
          <w:noBreakHyphen/>
          <w:delText>gátlók</w:delText>
        </w:r>
      </w:del>
    </w:p>
    <w:p w14:paraId="20B95474" w14:textId="2A9591FE" w:rsidR="00FB6710" w:rsidRPr="00183B5F" w:rsidRDefault="00943743" w:rsidP="004062FE">
      <w:pPr>
        <w:spacing w:line="240" w:lineRule="auto"/>
        <w:rPr>
          <w:del w:id="5375" w:author="AbbVie_HU_03" w:date="2025-05-14T15:27:00Z"/>
          <w:szCs w:val="22"/>
        </w:rPr>
      </w:pPr>
      <w:del w:id="5376" w:author="AbbVie_HU_03" w:date="2025-05-14T15:27:00Z">
        <w:r w:rsidRPr="00183B5F">
          <w:rPr>
            <w:szCs w:val="22"/>
          </w:rPr>
          <w:delText>ATC</w:delText>
        </w:r>
        <w:r w:rsidR="004A3681" w:rsidRPr="00183B5F">
          <w:rPr>
            <w:szCs w:val="22"/>
          </w:rPr>
          <w:delText> </w:delText>
        </w:r>
        <w:r w:rsidRPr="00183B5F">
          <w:rPr>
            <w:szCs w:val="22"/>
          </w:rPr>
          <w:delText>kód:</w:delText>
        </w:r>
        <w:r w:rsidR="004A3681" w:rsidRPr="00183B5F">
          <w:rPr>
            <w:szCs w:val="22"/>
          </w:rPr>
          <w:delText> </w:delText>
        </w:r>
        <w:r w:rsidRPr="00183B5F">
          <w:rPr>
            <w:szCs w:val="22"/>
          </w:rPr>
          <w:delText>L04AB04</w:delText>
        </w:r>
      </w:del>
    </w:p>
    <w:p w14:paraId="00E9BBA4" w14:textId="470E8B46" w:rsidR="00FB6710" w:rsidRPr="00183B5F" w:rsidRDefault="00FB6710" w:rsidP="004062FE">
      <w:pPr>
        <w:pStyle w:val="EndnoteText"/>
        <w:tabs>
          <w:tab w:val="clear" w:pos="567"/>
          <w:tab w:val="left" w:pos="708"/>
        </w:tabs>
        <w:suppressAutoHyphens/>
        <w:rPr>
          <w:del w:id="5377" w:author="AbbVie_HU_03" w:date="2025-05-14T15:27:00Z"/>
          <w:sz w:val="22"/>
          <w:szCs w:val="22"/>
          <w:lang w:val="hu-HU" w:eastAsia="hu-HU"/>
        </w:rPr>
      </w:pPr>
    </w:p>
    <w:p w14:paraId="21D027BF" w14:textId="260740EC" w:rsidR="00FB6710" w:rsidRPr="00183B5F" w:rsidRDefault="00943743" w:rsidP="004062FE">
      <w:pPr>
        <w:keepNext/>
        <w:spacing w:line="240" w:lineRule="auto"/>
        <w:rPr>
          <w:del w:id="5378" w:author="AbbVie_HU_03" w:date="2025-05-14T15:27:00Z"/>
          <w:szCs w:val="22"/>
          <w:u w:val="single"/>
        </w:rPr>
      </w:pPr>
      <w:del w:id="5379" w:author="AbbVie_HU_03" w:date="2025-05-14T15:27:00Z">
        <w:r w:rsidRPr="00183B5F">
          <w:rPr>
            <w:szCs w:val="22"/>
            <w:u w:val="single"/>
          </w:rPr>
          <w:delText>Hatásmechanizmus</w:delText>
        </w:r>
      </w:del>
    </w:p>
    <w:p w14:paraId="49918176" w14:textId="7F525720" w:rsidR="00FB6710" w:rsidRPr="00183B5F" w:rsidRDefault="00FB6710" w:rsidP="004062FE">
      <w:pPr>
        <w:keepNext/>
        <w:spacing w:line="240" w:lineRule="auto"/>
        <w:rPr>
          <w:del w:id="5380" w:author="AbbVie_HU_03" w:date="2025-05-14T15:27:00Z"/>
          <w:szCs w:val="22"/>
        </w:rPr>
      </w:pPr>
    </w:p>
    <w:p w14:paraId="6E205E40" w14:textId="3C8933E1" w:rsidR="00FB6710" w:rsidRPr="00183B5F" w:rsidRDefault="00943743" w:rsidP="004062FE">
      <w:pPr>
        <w:spacing w:line="240" w:lineRule="auto"/>
        <w:rPr>
          <w:del w:id="5381" w:author="AbbVie_HU_03" w:date="2025-05-14T15:27:00Z"/>
          <w:szCs w:val="22"/>
        </w:rPr>
      </w:pPr>
      <w:del w:id="5382" w:author="AbbVie_HU_03" w:date="2025-05-14T15:27:00Z">
        <w:r w:rsidRPr="00183B5F">
          <w:rPr>
            <w:szCs w:val="22"/>
          </w:rPr>
          <w:delText>Az adalimumab specifikusan kötődik a TNF</w:delText>
        </w:r>
        <w:r w:rsidRPr="00183B5F">
          <w:rPr>
            <w:szCs w:val="22"/>
          </w:rPr>
          <w:noBreakHyphen/>
          <w:delText>hez és semlegesíti a TNF biológiai hatását</w:delText>
        </w:r>
        <w:r w:rsidR="00CB4BE2" w:rsidRPr="00183B5F">
          <w:rPr>
            <w:szCs w:val="22"/>
          </w:rPr>
          <w:delText xml:space="preserve"> azálta</w:delText>
        </w:r>
        <w:r w:rsidR="00E07F2A" w:rsidRPr="00183B5F">
          <w:rPr>
            <w:szCs w:val="22"/>
          </w:rPr>
          <w:delText>l</w:delText>
        </w:r>
        <w:r w:rsidR="00CB4BE2" w:rsidRPr="00183B5F">
          <w:rPr>
            <w:szCs w:val="22"/>
          </w:rPr>
          <w:delText>, hogy</w:delText>
        </w:r>
        <w:r w:rsidRPr="00183B5F">
          <w:rPr>
            <w:szCs w:val="22"/>
          </w:rPr>
          <w:delText xml:space="preserve"> megakadályoz</w:delText>
        </w:r>
        <w:r w:rsidR="00CB4BE2" w:rsidRPr="00183B5F">
          <w:rPr>
            <w:szCs w:val="22"/>
          </w:rPr>
          <w:delText>z</w:delText>
        </w:r>
        <w:r w:rsidRPr="00183B5F">
          <w:rPr>
            <w:szCs w:val="22"/>
          </w:rPr>
          <w:delText>a a TNF interakcióját a p55 és p75 sejtfelszíni TNF</w:delText>
        </w:r>
        <w:r w:rsidR="007F0C9D" w:rsidRPr="00183B5F">
          <w:rPr>
            <w:szCs w:val="22"/>
          </w:rPr>
          <w:noBreakHyphen/>
        </w:r>
        <w:r w:rsidRPr="00183B5F">
          <w:rPr>
            <w:szCs w:val="22"/>
          </w:rPr>
          <w:delText>receptorokkal.</w:delText>
        </w:r>
      </w:del>
    </w:p>
    <w:p w14:paraId="6ACC9F41" w14:textId="7698046B" w:rsidR="00FB6710" w:rsidRPr="00183B5F" w:rsidRDefault="00FB6710" w:rsidP="004062FE">
      <w:pPr>
        <w:spacing w:line="240" w:lineRule="auto"/>
        <w:rPr>
          <w:del w:id="5383" w:author="AbbVie_HU_03" w:date="2025-05-14T15:27:00Z"/>
          <w:szCs w:val="22"/>
        </w:rPr>
      </w:pPr>
    </w:p>
    <w:p w14:paraId="470670EE" w14:textId="7370060D" w:rsidR="00FB6710" w:rsidRPr="00183B5F" w:rsidRDefault="00943743" w:rsidP="004062FE">
      <w:pPr>
        <w:spacing w:line="240" w:lineRule="auto"/>
        <w:rPr>
          <w:del w:id="5384" w:author="AbbVie_HU_03" w:date="2025-05-14T15:27:00Z"/>
          <w:szCs w:val="22"/>
        </w:rPr>
      </w:pPr>
      <w:del w:id="5385" w:author="AbbVie_HU_03" w:date="2025-05-14T15:27:00Z">
        <w:r w:rsidRPr="00183B5F">
          <w:rPr>
            <w:szCs w:val="22"/>
          </w:rPr>
          <w:delText>Továbbá az adalimumab módosítja a</w:delText>
        </w:r>
        <w:r w:rsidR="00B03DF3" w:rsidRPr="00183B5F">
          <w:rPr>
            <w:szCs w:val="22"/>
          </w:rPr>
          <w:delText>zokat a</w:delText>
        </w:r>
        <w:r w:rsidRPr="00183B5F">
          <w:rPr>
            <w:szCs w:val="22"/>
          </w:rPr>
          <w:delText xml:space="preserve"> biológiai válaszokat, melyeket a TNF indukál, illetve szabályoz, beleértve a leukocyták vándorlásáért felelős adhéziós molekulák szintjeinek változtatását (ELAM</w:delText>
        </w:r>
        <w:r w:rsidRPr="00183B5F">
          <w:rPr>
            <w:szCs w:val="22"/>
          </w:rPr>
          <w:noBreakHyphen/>
          <w:delText>1, VCAM</w:delText>
        </w:r>
        <w:r w:rsidRPr="00183B5F">
          <w:rPr>
            <w:szCs w:val="22"/>
          </w:rPr>
          <w:noBreakHyphen/>
          <w:delText>1 és ICAM</w:delText>
        </w:r>
        <w:r w:rsidRPr="00183B5F">
          <w:rPr>
            <w:szCs w:val="22"/>
          </w:rPr>
          <w:noBreakHyphen/>
          <w:delText>1, melyek IC</w:delText>
        </w:r>
        <w:r w:rsidRPr="00183B5F">
          <w:rPr>
            <w:szCs w:val="22"/>
            <w:vertAlign w:val="subscript"/>
          </w:rPr>
          <w:delText>50</w:delText>
        </w:r>
        <w:r w:rsidRPr="00183B5F">
          <w:rPr>
            <w:szCs w:val="22"/>
          </w:rPr>
          <w:delText xml:space="preserve"> értékei 0,1 – 0,2</w:delText>
        </w:r>
        <w:r w:rsidRPr="00183B5F">
          <w:rPr>
            <w:szCs w:val="22"/>
            <w:vertAlign w:val="superscript"/>
          </w:rPr>
          <w:delText> </w:delText>
        </w:r>
        <w:r w:rsidRPr="00183B5F">
          <w:rPr>
            <w:szCs w:val="22"/>
          </w:rPr>
          <w:delText>nM)</w:delText>
        </w:r>
        <w:r w:rsidR="00F31867" w:rsidRPr="00183B5F">
          <w:rPr>
            <w:szCs w:val="22"/>
          </w:rPr>
          <w:delText>.</w:delText>
        </w:r>
      </w:del>
    </w:p>
    <w:p w14:paraId="5D273F17" w14:textId="2BA51A8F" w:rsidR="00B336C8" w:rsidRPr="00183B5F" w:rsidRDefault="00B336C8" w:rsidP="004062FE">
      <w:pPr>
        <w:spacing w:line="240" w:lineRule="auto"/>
        <w:rPr>
          <w:del w:id="5386" w:author="AbbVie_HU_03" w:date="2025-05-14T15:27:00Z"/>
          <w:szCs w:val="22"/>
          <w:u w:val="single"/>
        </w:rPr>
      </w:pPr>
    </w:p>
    <w:p w14:paraId="45AC2D06" w14:textId="35AD3AED" w:rsidR="00FB6710" w:rsidRPr="00183B5F" w:rsidRDefault="00943743" w:rsidP="004062FE">
      <w:pPr>
        <w:keepNext/>
        <w:spacing w:line="240" w:lineRule="auto"/>
        <w:rPr>
          <w:del w:id="5387" w:author="AbbVie_HU_03" w:date="2025-05-14T15:27:00Z"/>
          <w:szCs w:val="22"/>
          <w:u w:val="single"/>
        </w:rPr>
      </w:pPr>
      <w:del w:id="5388" w:author="AbbVie_HU_03" w:date="2025-05-14T15:27:00Z">
        <w:r w:rsidRPr="00183B5F">
          <w:rPr>
            <w:szCs w:val="22"/>
            <w:u w:val="single"/>
          </w:rPr>
          <w:delText>Farmakodinámiás hatás</w:delText>
        </w:r>
        <w:r w:rsidR="00C172E4" w:rsidRPr="00183B5F">
          <w:rPr>
            <w:szCs w:val="22"/>
            <w:u w:val="single"/>
          </w:rPr>
          <w:delText>ok</w:delText>
        </w:r>
      </w:del>
    </w:p>
    <w:p w14:paraId="79480695" w14:textId="51BA68F8" w:rsidR="00FB6710" w:rsidRPr="00183B5F" w:rsidRDefault="00FB6710" w:rsidP="004062FE">
      <w:pPr>
        <w:pStyle w:val="EndnoteText"/>
        <w:keepNext/>
        <w:tabs>
          <w:tab w:val="clear" w:pos="567"/>
          <w:tab w:val="left" w:pos="708"/>
        </w:tabs>
        <w:suppressAutoHyphens/>
        <w:rPr>
          <w:del w:id="5389" w:author="AbbVie_HU_03" w:date="2025-05-14T15:27:00Z"/>
          <w:sz w:val="22"/>
          <w:szCs w:val="22"/>
          <w:lang w:val="hu-HU" w:eastAsia="hu-HU"/>
        </w:rPr>
      </w:pPr>
    </w:p>
    <w:p w14:paraId="5B31864D" w14:textId="75A692C1" w:rsidR="00FB6710" w:rsidRPr="00183B5F" w:rsidRDefault="00943743" w:rsidP="004062FE">
      <w:pPr>
        <w:keepNext/>
        <w:spacing w:line="240" w:lineRule="auto"/>
        <w:rPr>
          <w:del w:id="5390" w:author="AbbVie_HU_03" w:date="2025-05-14T15:27:00Z"/>
          <w:szCs w:val="22"/>
        </w:rPr>
      </w:pPr>
      <w:del w:id="5391" w:author="AbbVie_HU_03" w:date="2025-05-14T15:27:00Z">
        <w:r w:rsidRPr="00183B5F">
          <w:rPr>
            <w:szCs w:val="22"/>
          </w:rPr>
          <w:delText>A rheumatoid arthritisben szenvedő betegek Humira</w:delText>
        </w:r>
        <w:r w:rsidR="007D03F4" w:rsidRPr="00183B5F">
          <w:rPr>
            <w:szCs w:val="22"/>
          </w:rPr>
          <w:noBreakHyphen/>
        </w:r>
        <w:r w:rsidRPr="00183B5F">
          <w:rPr>
            <w:szCs w:val="22"/>
          </w:rPr>
          <w:delText>val való kezelését követően gyors csökkenés tapasztalható az akutfázis</w:delText>
        </w:r>
        <w:r w:rsidR="00F4121D" w:rsidRPr="00183B5F">
          <w:rPr>
            <w:szCs w:val="22"/>
          </w:rPr>
          <w:delText>-</w:delText>
        </w:r>
        <w:r w:rsidRPr="00183B5F">
          <w:rPr>
            <w:szCs w:val="22"/>
          </w:rPr>
          <w:delText>fehérjék (C</w:delText>
        </w:r>
        <w:r w:rsidR="00F31867" w:rsidRPr="00183B5F">
          <w:rPr>
            <w:szCs w:val="22"/>
          </w:rPr>
          <w:noBreakHyphen/>
        </w:r>
        <w:r w:rsidRPr="00183B5F">
          <w:rPr>
            <w:szCs w:val="22"/>
          </w:rPr>
          <w:delText>reaktív protein</w:delText>
        </w:r>
        <w:r w:rsidR="00F31867" w:rsidRPr="00183B5F">
          <w:rPr>
            <w:szCs w:val="22"/>
          </w:rPr>
          <w:delText xml:space="preserve"> </w:delText>
        </w:r>
        <w:r w:rsidR="002C1F5C" w:rsidRPr="00183B5F">
          <w:rPr>
            <w:szCs w:val="22"/>
          </w:rPr>
          <w:delText>–</w:delText>
        </w:r>
        <w:r w:rsidR="00F31867" w:rsidRPr="00183B5F">
          <w:rPr>
            <w:szCs w:val="22"/>
          </w:rPr>
          <w:delText xml:space="preserve"> </w:delText>
        </w:r>
        <w:r w:rsidRPr="00183B5F">
          <w:rPr>
            <w:szCs w:val="22"/>
          </w:rPr>
          <w:delText>CRP), a süllyedés, illetve a citokinek (IL</w:delText>
        </w:r>
        <w:r w:rsidRPr="00183B5F">
          <w:rPr>
            <w:szCs w:val="22"/>
          </w:rPr>
          <w:noBreakHyphen/>
          <w:delText>6) szintjeiben</w:delText>
        </w:r>
        <w:r w:rsidR="00B03DF3" w:rsidRPr="00183B5F">
          <w:rPr>
            <w:szCs w:val="22"/>
          </w:rPr>
          <w:delText>,</w:delText>
        </w:r>
        <w:r w:rsidRPr="00183B5F">
          <w:rPr>
            <w:szCs w:val="22"/>
          </w:rPr>
          <w:delText xml:space="preserve"> összehasonlítva a kezelés előtti kiindulási értékekkel. A porcszövet pusztulását eredményező szöveti remodelingért felelős matrix metalloproteinázok (MMP</w:delText>
        </w:r>
        <w:r w:rsidRPr="00183B5F">
          <w:rPr>
            <w:szCs w:val="22"/>
          </w:rPr>
          <w:noBreakHyphen/>
          <w:delText>1 és MMP</w:delText>
        </w:r>
        <w:r w:rsidRPr="00183B5F">
          <w:rPr>
            <w:szCs w:val="22"/>
          </w:rPr>
          <w:noBreakHyphen/>
          <w:delText>3) szérumszintjeiben is csökkenés tapasztalható a Humira alkalmazása után. A Humira</w:delText>
        </w:r>
        <w:r w:rsidR="004A3681" w:rsidRPr="00183B5F">
          <w:rPr>
            <w:szCs w:val="22"/>
          </w:rPr>
          <w:noBreakHyphen/>
        </w:r>
        <w:r w:rsidRPr="00183B5F">
          <w:rPr>
            <w:szCs w:val="22"/>
          </w:rPr>
          <w:delText xml:space="preserve">val kezelt betegeknél rendszerint a krónikus gyulladás hematológiai </w:delText>
        </w:r>
        <w:r w:rsidR="003C2C67" w:rsidRPr="00183B5F">
          <w:rPr>
            <w:szCs w:val="22"/>
          </w:rPr>
          <w:delText>paramétereiben</w:delText>
        </w:r>
        <w:r w:rsidRPr="00183B5F">
          <w:rPr>
            <w:szCs w:val="22"/>
          </w:rPr>
          <w:delText xml:space="preserve"> is javulás tapasztalható.</w:delText>
        </w:r>
      </w:del>
    </w:p>
    <w:p w14:paraId="15FA21B3" w14:textId="1258DD98" w:rsidR="00FB6710" w:rsidRPr="00183B5F" w:rsidRDefault="00FB6710" w:rsidP="004062FE">
      <w:pPr>
        <w:spacing w:line="240" w:lineRule="auto"/>
        <w:rPr>
          <w:del w:id="5392" w:author="AbbVie_HU_03" w:date="2025-05-14T15:27:00Z"/>
          <w:b/>
          <w:szCs w:val="22"/>
        </w:rPr>
      </w:pPr>
    </w:p>
    <w:p w14:paraId="37EB8ED1" w14:textId="48C5C2D1" w:rsidR="00FB6710" w:rsidRPr="00183B5F" w:rsidRDefault="00943743" w:rsidP="004062FE">
      <w:pPr>
        <w:spacing w:line="240" w:lineRule="auto"/>
        <w:rPr>
          <w:del w:id="5393" w:author="AbbVie_HU_03" w:date="2025-05-14T15:27:00Z"/>
          <w:szCs w:val="22"/>
        </w:rPr>
      </w:pPr>
      <w:del w:id="5394" w:author="AbbVie_HU_03" w:date="2025-05-14T15:27:00Z">
        <w:r w:rsidRPr="00183B5F">
          <w:rPr>
            <w:szCs w:val="22"/>
          </w:rPr>
          <w:delText>Polyarticularis juvenilis idiopathiás arthritisben, Crohn</w:delText>
        </w:r>
        <w:r w:rsidR="004A3681" w:rsidRPr="00183B5F">
          <w:rPr>
            <w:szCs w:val="22"/>
          </w:rPr>
          <w:noBreakHyphen/>
        </w:r>
        <w:r w:rsidRPr="00183B5F">
          <w:rPr>
            <w:szCs w:val="22"/>
          </w:rPr>
          <w:delText>betegségben</w:delText>
        </w:r>
        <w:r w:rsidR="00F31867" w:rsidRPr="00183B5F">
          <w:rPr>
            <w:szCs w:val="22"/>
          </w:rPr>
          <w:delText>,</w:delText>
        </w:r>
        <w:r w:rsidRPr="00183B5F">
          <w:rPr>
            <w:szCs w:val="22"/>
          </w:rPr>
          <w:delText xml:space="preserve"> colitis ulcerosában</w:delText>
        </w:r>
        <w:r w:rsidR="00FC18A5" w:rsidRPr="00183B5F">
          <w:rPr>
            <w:szCs w:val="22"/>
          </w:rPr>
          <w:delText xml:space="preserve"> és hidradenitis suppurativában</w:delText>
        </w:r>
        <w:r w:rsidRPr="00183B5F">
          <w:rPr>
            <w:szCs w:val="22"/>
          </w:rPr>
          <w:delText xml:space="preserve"> is a CRP</w:delText>
        </w:r>
        <w:r w:rsidR="00EA7433" w:rsidRPr="00183B5F">
          <w:rPr>
            <w:szCs w:val="22"/>
          </w:rPr>
          <w:noBreakHyphen/>
        </w:r>
        <w:r w:rsidRPr="00183B5F">
          <w:rPr>
            <w:szCs w:val="22"/>
          </w:rPr>
          <w:delText>szint gyors csökkenését figyelték meg a Humira</w:delText>
        </w:r>
        <w:r w:rsidR="004A3681" w:rsidRPr="00183B5F">
          <w:rPr>
            <w:szCs w:val="22"/>
          </w:rPr>
          <w:noBreakHyphen/>
        </w:r>
        <w:r w:rsidRPr="00183B5F">
          <w:rPr>
            <w:szCs w:val="22"/>
          </w:rPr>
          <w:delText>kezelést követően. Crohn</w:delText>
        </w:r>
        <w:r w:rsidR="004A3681" w:rsidRPr="00183B5F">
          <w:rPr>
            <w:szCs w:val="22"/>
          </w:rPr>
          <w:noBreakHyphen/>
        </w:r>
        <w:r w:rsidRPr="00183B5F">
          <w:rPr>
            <w:szCs w:val="22"/>
          </w:rPr>
          <w:delText>betegségben szenvedő betegeknél a gyulladásos markereket expresszáló sejtek számának csökkenését figyelték meg a vastagbélben, beleértve a TNFα csökkent expresszióját is. A bélnyálkahártya endoszkópos vizsgálatai az adalimumabbal kezelt betegeknél a nyálkahártya gyógyulására utaló bizonyítékot mutattak.</w:delText>
        </w:r>
      </w:del>
    </w:p>
    <w:p w14:paraId="62D2CA01" w14:textId="65CFB6EC" w:rsidR="00FB6710" w:rsidRPr="00183B5F" w:rsidRDefault="00FB6710" w:rsidP="004062FE">
      <w:pPr>
        <w:spacing w:line="240" w:lineRule="auto"/>
        <w:rPr>
          <w:del w:id="5395" w:author="AbbVie_HU_03" w:date="2025-05-14T15:27:00Z"/>
          <w:szCs w:val="22"/>
        </w:rPr>
      </w:pPr>
    </w:p>
    <w:p w14:paraId="4B9C7FA6" w14:textId="508C5703" w:rsidR="00FB6710" w:rsidRPr="00183B5F" w:rsidRDefault="00943743" w:rsidP="004062FE">
      <w:pPr>
        <w:keepNext/>
        <w:spacing w:line="240" w:lineRule="auto"/>
        <w:rPr>
          <w:del w:id="5396" w:author="AbbVie_HU_03" w:date="2025-05-14T15:27:00Z"/>
          <w:szCs w:val="22"/>
          <w:u w:val="single"/>
        </w:rPr>
      </w:pPr>
      <w:del w:id="5397" w:author="AbbVie_HU_03" w:date="2025-05-14T15:27:00Z">
        <w:r w:rsidRPr="00183B5F">
          <w:rPr>
            <w:szCs w:val="22"/>
            <w:u w:val="single"/>
          </w:rPr>
          <w:delText xml:space="preserve">Klinikai </w:delText>
        </w:r>
        <w:r w:rsidR="00C172E4" w:rsidRPr="00183B5F">
          <w:rPr>
            <w:noProof/>
            <w:szCs w:val="24"/>
            <w:u w:val="single"/>
          </w:rPr>
          <w:delText>hatásosság és biztonságosság</w:delText>
        </w:r>
      </w:del>
    </w:p>
    <w:p w14:paraId="4DD9E3BD" w14:textId="32F2E6F5" w:rsidR="00FB6710" w:rsidRPr="00183B5F" w:rsidRDefault="00FB6710" w:rsidP="004062FE">
      <w:pPr>
        <w:keepNext/>
        <w:spacing w:line="240" w:lineRule="auto"/>
        <w:rPr>
          <w:del w:id="5398" w:author="AbbVie_HU_03" w:date="2025-05-14T15:27:00Z"/>
          <w:szCs w:val="22"/>
          <w:u w:val="single"/>
        </w:rPr>
      </w:pPr>
    </w:p>
    <w:p w14:paraId="3B029ABC" w14:textId="42C5FC2A" w:rsidR="00FB6710" w:rsidRPr="00183B5F" w:rsidRDefault="00943743" w:rsidP="004062FE">
      <w:pPr>
        <w:keepNext/>
        <w:spacing w:line="240" w:lineRule="auto"/>
        <w:rPr>
          <w:del w:id="5399" w:author="AbbVie_HU_03" w:date="2025-05-14T15:27:00Z"/>
          <w:i/>
          <w:szCs w:val="22"/>
        </w:rPr>
      </w:pPr>
      <w:del w:id="5400" w:author="AbbVie_HU_03" w:date="2025-05-14T15:27:00Z">
        <w:r w:rsidRPr="00183B5F">
          <w:rPr>
            <w:i/>
            <w:szCs w:val="22"/>
          </w:rPr>
          <w:delText>Rheumatoid arthritis</w:delText>
        </w:r>
      </w:del>
    </w:p>
    <w:p w14:paraId="6DF6E64D" w14:textId="4067A09D" w:rsidR="00EC5082" w:rsidRPr="00183B5F" w:rsidRDefault="00EC5082" w:rsidP="004062FE">
      <w:pPr>
        <w:keepNext/>
        <w:spacing w:line="240" w:lineRule="auto"/>
        <w:rPr>
          <w:del w:id="5401" w:author="AbbVie_HU_03" w:date="2025-05-14T15:27:00Z"/>
          <w:szCs w:val="22"/>
          <w:u w:val="single"/>
        </w:rPr>
      </w:pPr>
    </w:p>
    <w:p w14:paraId="33EE072B" w14:textId="40B430B9" w:rsidR="00FB6710" w:rsidRPr="00183B5F" w:rsidRDefault="00943743" w:rsidP="004062FE">
      <w:pPr>
        <w:keepNext/>
        <w:spacing w:line="240" w:lineRule="auto"/>
        <w:rPr>
          <w:del w:id="5402" w:author="AbbVie_HU_03" w:date="2025-05-14T15:27:00Z"/>
          <w:szCs w:val="22"/>
        </w:rPr>
      </w:pPr>
      <w:del w:id="5403" w:author="AbbVie_HU_03" w:date="2025-05-14T15:27:00Z">
        <w:r w:rsidRPr="00183B5F">
          <w:rPr>
            <w:szCs w:val="22"/>
          </w:rPr>
          <w:delText>A Humira</w:delText>
        </w:r>
        <w:r w:rsidR="004A3681" w:rsidRPr="00183B5F">
          <w:rPr>
            <w:szCs w:val="22"/>
          </w:rPr>
          <w:noBreakHyphen/>
        </w:r>
        <w:r w:rsidRPr="00183B5F">
          <w:rPr>
            <w:szCs w:val="22"/>
          </w:rPr>
          <w:delText>t több mint 3000</w:delText>
        </w:r>
        <w:r w:rsidR="004A3681" w:rsidRPr="00183B5F">
          <w:rPr>
            <w:szCs w:val="22"/>
          </w:rPr>
          <w:delText> </w:delText>
        </w:r>
        <w:r w:rsidRPr="00183B5F">
          <w:rPr>
            <w:szCs w:val="22"/>
          </w:rPr>
          <w:delText>betegen vizsgálták az összes rheumatoid arthritis</w:delText>
        </w:r>
        <w:r w:rsidR="00B03DF3" w:rsidRPr="00183B5F">
          <w:rPr>
            <w:szCs w:val="22"/>
          </w:rPr>
          <w:delText>ben folytatott</w:delText>
        </w:r>
        <w:r w:rsidRPr="00183B5F">
          <w:rPr>
            <w:szCs w:val="22"/>
          </w:rPr>
          <w:delText xml:space="preserve"> klinikai vizsgálat során. </w:delText>
        </w:r>
        <w:r w:rsidR="008A4BDC" w:rsidRPr="00183B5F">
          <w:rPr>
            <w:szCs w:val="22"/>
          </w:rPr>
          <w:delText xml:space="preserve">A Humira hatásosságát és biztonságosságát öt randomizált, </w:delText>
        </w:r>
        <w:r w:rsidR="00E5381A" w:rsidRPr="00183B5F">
          <w:rPr>
            <w:szCs w:val="22"/>
          </w:rPr>
          <w:delText>kettős vak</w:delText>
        </w:r>
        <w:r w:rsidR="008A4BDC" w:rsidRPr="00183B5F">
          <w:rPr>
            <w:szCs w:val="22"/>
          </w:rPr>
          <w:delText xml:space="preserve"> és </w:delText>
        </w:r>
        <w:r w:rsidR="008511AE" w:rsidRPr="00183B5F">
          <w:rPr>
            <w:szCs w:val="22"/>
          </w:rPr>
          <w:delText>megfelelő kontrollt a</w:delText>
        </w:r>
        <w:r w:rsidR="00A32269" w:rsidRPr="00183B5F">
          <w:rPr>
            <w:szCs w:val="22"/>
          </w:rPr>
          <w:delText>lkalmazó</w:delText>
        </w:r>
        <w:r w:rsidR="008A4BDC" w:rsidRPr="00183B5F">
          <w:rPr>
            <w:szCs w:val="22"/>
          </w:rPr>
          <w:delText xml:space="preserve"> vizsgálat során vizsgálták. </w:delText>
        </w:r>
        <w:r w:rsidRPr="00183B5F">
          <w:rPr>
            <w:szCs w:val="22"/>
          </w:rPr>
          <w:delText xml:space="preserve">Néhány beteg </w:delText>
        </w:r>
        <w:r w:rsidR="00FC64F5" w:rsidRPr="00183B5F">
          <w:rPr>
            <w:szCs w:val="22"/>
          </w:rPr>
          <w:delText xml:space="preserve">akár </w:delText>
        </w:r>
        <w:r w:rsidR="008A4BDC" w:rsidRPr="00183B5F">
          <w:rPr>
            <w:szCs w:val="22"/>
          </w:rPr>
          <w:delText>120 </w:delText>
        </w:r>
        <w:r w:rsidRPr="00183B5F">
          <w:rPr>
            <w:szCs w:val="22"/>
          </w:rPr>
          <w:delText>hónapig tartó kezelést kapott.</w:delText>
        </w:r>
      </w:del>
    </w:p>
    <w:p w14:paraId="4D95C560" w14:textId="5BBE11A8" w:rsidR="00FB6710" w:rsidRPr="00183B5F" w:rsidRDefault="00FB6710" w:rsidP="004062FE">
      <w:pPr>
        <w:spacing w:line="240" w:lineRule="auto"/>
        <w:rPr>
          <w:del w:id="5404" w:author="AbbVie_HU_03" w:date="2025-05-14T15:27:00Z"/>
          <w:szCs w:val="22"/>
        </w:rPr>
      </w:pPr>
    </w:p>
    <w:p w14:paraId="05C1DC07" w14:textId="482F3DA3" w:rsidR="00FB6710" w:rsidRPr="00183B5F" w:rsidRDefault="00943743" w:rsidP="004062FE">
      <w:pPr>
        <w:spacing w:line="240" w:lineRule="auto"/>
        <w:rPr>
          <w:del w:id="5405" w:author="AbbVie_HU_03" w:date="2025-05-14T15:27:00Z"/>
          <w:szCs w:val="22"/>
        </w:rPr>
      </w:pPr>
      <w:del w:id="5406" w:author="AbbVie_HU_03" w:date="2025-05-14T15:27:00Z">
        <w:r w:rsidRPr="00183B5F">
          <w:rPr>
            <w:szCs w:val="22"/>
          </w:rPr>
          <w:delText>Az RA</w:delText>
        </w:r>
        <w:r w:rsidR="007621E0" w:rsidRPr="00183B5F">
          <w:rPr>
            <w:szCs w:val="22"/>
          </w:rPr>
          <w:delText> </w:delText>
        </w:r>
        <w:r w:rsidRPr="00183B5F">
          <w:rPr>
            <w:szCs w:val="22"/>
          </w:rPr>
          <w:delText>I vizsgálatban 271</w:delText>
        </w:r>
        <w:r w:rsidR="004A3681" w:rsidRPr="00183B5F">
          <w:rPr>
            <w:szCs w:val="22"/>
          </w:rPr>
          <w:delText> </w:delText>
        </w:r>
        <w:r w:rsidRPr="00183B5F">
          <w:rPr>
            <w:szCs w:val="22"/>
          </w:rPr>
          <w:delText>beteget értékeltek. A résztvevők mind köz</w:delText>
        </w:r>
        <w:r w:rsidR="00E25671" w:rsidRPr="00183B5F">
          <w:rPr>
            <w:szCs w:val="22"/>
          </w:rPr>
          <w:delText xml:space="preserve">epesen </w:delText>
        </w:r>
        <w:r w:rsidRPr="00183B5F">
          <w:rPr>
            <w:szCs w:val="22"/>
          </w:rPr>
          <w:delText>súlyos</w:delText>
        </w:r>
        <w:r w:rsidRPr="00183B5F">
          <w:rPr>
            <w:szCs w:val="22"/>
          </w:rPr>
          <w:noBreakHyphen/>
          <w:delText>súlyos aktív rheumatoid arthritisben szenvedő 18</w:delText>
        </w:r>
        <w:r w:rsidR="004A3681" w:rsidRPr="00183B5F">
          <w:rPr>
            <w:szCs w:val="22"/>
          </w:rPr>
          <w:delText> </w:delText>
        </w:r>
        <w:r w:rsidRPr="00183B5F">
          <w:rPr>
            <w:szCs w:val="22"/>
          </w:rPr>
          <w:delText>éves és idősebb betegek voltak, akiknél legalább egy betegséget befolyásoló reumaellenes gyógyszer nem járt eredménnyel</w:delText>
        </w:r>
        <w:r w:rsidR="00821DCB" w:rsidRPr="00183B5F">
          <w:rPr>
            <w:szCs w:val="22"/>
          </w:rPr>
          <w:delText>,</w:delText>
        </w:r>
        <w:r w:rsidRPr="00183B5F">
          <w:rPr>
            <w:szCs w:val="22"/>
          </w:rPr>
          <w:delText xml:space="preserve"> és </w:delText>
        </w:r>
        <w:r w:rsidR="004E6B42" w:rsidRPr="00183B5F">
          <w:rPr>
            <w:szCs w:val="22"/>
          </w:rPr>
          <w:delText xml:space="preserve">korábban </w:delText>
        </w:r>
        <w:r w:rsidRPr="00183B5F">
          <w:rPr>
            <w:szCs w:val="22"/>
          </w:rPr>
          <w:delText>a metotrexát heti 12,5</w:delText>
        </w:r>
        <w:r w:rsidR="004A3681" w:rsidRPr="00183B5F">
          <w:rPr>
            <w:szCs w:val="22"/>
          </w:rPr>
          <w:noBreakHyphen/>
        </w:r>
        <w:r w:rsidRPr="00183B5F">
          <w:rPr>
            <w:szCs w:val="22"/>
          </w:rPr>
          <w:delText>25 mg</w:delText>
        </w:r>
        <w:r w:rsidR="00E5381A" w:rsidRPr="00183B5F">
          <w:rPr>
            <w:szCs w:val="22"/>
          </w:rPr>
          <w:noBreakHyphen/>
        </w:r>
        <w:r w:rsidRPr="00183B5F">
          <w:rPr>
            <w:szCs w:val="22"/>
          </w:rPr>
          <w:delText>os (10 mg metotrexát intoleran</w:delText>
        </w:r>
        <w:r w:rsidR="00F31867" w:rsidRPr="00183B5F">
          <w:rPr>
            <w:szCs w:val="22"/>
          </w:rPr>
          <w:delText>c</w:delText>
        </w:r>
        <w:r w:rsidRPr="00183B5F">
          <w:rPr>
            <w:szCs w:val="22"/>
          </w:rPr>
          <w:delText>ia esetén) dózisaival sem lehetett kielégítő hatást elérni</w:delText>
        </w:r>
        <w:r w:rsidR="00B0494C" w:rsidRPr="00183B5F">
          <w:rPr>
            <w:szCs w:val="22"/>
          </w:rPr>
          <w:delText>,</w:delText>
        </w:r>
        <w:r w:rsidR="00FC64F5" w:rsidRPr="00183B5F">
          <w:rPr>
            <w:szCs w:val="22"/>
          </w:rPr>
          <w:delText xml:space="preserve"> és akiknél</w:delText>
        </w:r>
        <w:r w:rsidR="004E6B42" w:rsidRPr="00183B5F">
          <w:rPr>
            <w:szCs w:val="22"/>
          </w:rPr>
          <w:delText xml:space="preserve"> </w:delText>
        </w:r>
        <w:r w:rsidR="00FC64F5" w:rsidRPr="00183B5F">
          <w:rPr>
            <w:szCs w:val="22"/>
          </w:rPr>
          <w:delText xml:space="preserve">a metotrexát dózisa </w:delText>
        </w:r>
        <w:r w:rsidR="00B0494C" w:rsidRPr="00183B5F">
          <w:rPr>
            <w:szCs w:val="22"/>
          </w:rPr>
          <w:delText xml:space="preserve">a vizsgálatot </w:delText>
        </w:r>
        <w:r w:rsidR="002F5A0E" w:rsidRPr="00183B5F">
          <w:rPr>
            <w:szCs w:val="22"/>
          </w:rPr>
          <w:delText xml:space="preserve">megelőzően </w:delText>
        </w:r>
        <w:r w:rsidR="00FC64F5" w:rsidRPr="00183B5F">
          <w:rPr>
            <w:szCs w:val="22"/>
          </w:rPr>
          <w:delText>stabilan heti 1</w:delText>
        </w:r>
        <w:r w:rsidRPr="00183B5F">
          <w:rPr>
            <w:szCs w:val="22"/>
          </w:rPr>
          <w:delText>0</w:delText>
        </w:r>
        <w:r w:rsidRPr="00183B5F">
          <w:rPr>
            <w:szCs w:val="22"/>
          </w:rPr>
          <w:noBreakHyphen/>
          <w:delText xml:space="preserve">25 mg </w:delText>
        </w:r>
        <w:r w:rsidR="00FC64F5" w:rsidRPr="00183B5F">
          <w:rPr>
            <w:szCs w:val="22"/>
          </w:rPr>
          <w:delText>volt.</w:delText>
        </w:r>
        <w:r w:rsidRPr="00183B5F">
          <w:rPr>
            <w:szCs w:val="22"/>
          </w:rPr>
          <w:delText xml:space="preserve"> A vizsgálat során 20, 40 illetve 80 mg Humira</w:delText>
        </w:r>
        <w:r w:rsidR="00DB0B23" w:rsidRPr="00183B5F">
          <w:rPr>
            <w:szCs w:val="22"/>
          </w:rPr>
          <w:noBreakHyphen/>
        </w:r>
        <w:r w:rsidRPr="00183B5F">
          <w:rPr>
            <w:szCs w:val="22"/>
          </w:rPr>
          <w:delText>t vagy placebót kaptak minden második héten, 24</w:delText>
        </w:r>
        <w:r w:rsidR="00A44DB6" w:rsidRPr="00183B5F">
          <w:rPr>
            <w:szCs w:val="22"/>
          </w:rPr>
          <w:delText> hét</w:delText>
        </w:r>
        <w:r w:rsidRPr="00183B5F">
          <w:rPr>
            <w:szCs w:val="22"/>
          </w:rPr>
          <w:delText>en át.</w:delText>
        </w:r>
      </w:del>
    </w:p>
    <w:p w14:paraId="7922BE73" w14:textId="575C63B1" w:rsidR="00FB6710" w:rsidRPr="00183B5F" w:rsidRDefault="00FB6710" w:rsidP="004062FE">
      <w:pPr>
        <w:spacing w:line="240" w:lineRule="auto"/>
        <w:rPr>
          <w:del w:id="5407" w:author="AbbVie_HU_03" w:date="2025-05-14T15:27:00Z"/>
          <w:szCs w:val="22"/>
        </w:rPr>
      </w:pPr>
    </w:p>
    <w:p w14:paraId="44F12DAD" w14:textId="26FD9E63" w:rsidR="00FB6710" w:rsidRPr="00183B5F" w:rsidRDefault="00943743" w:rsidP="004062FE">
      <w:pPr>
        <w:spacing w:line="240" w:lineRule="auto"/>
        <w:rPr>
          <w:del w:id="5408" w:author="AbbVie_HU_03" w:date="2025-05-14T15:27:00Z"/>
          <w:szCs w:val="22"/>
        </w:rPr>
      </w:pPr>
      <w:del w:id="5409" w:author="AbbVie_HU_03" w:date="2025-05-14T15:27:00Z">
        <w:r w:rsidRPr="00183B5F">
          <w:rPr>
            <w:szCs w:val="22"/>
          </w:rPr>
          <w:delText>Az RA</w:delText>
        </w:r>
        <w:r w:rsidR="00DB0B23" w:rsidRPr="00183B5F">
          <w:rPr>
            <w:szCs w:val="22"/>
          </w:rPr>
          <w:delText> </w:delText>
        </w:r>
        <w:r w:rsidRPr="00183B5F">
          <w:rPr>
            <w:szCs w:val="22"/>
          </w:rPr>
          <w:delText>II vizsgálatban 544</w:delText>
        </w:r>
        <w:r w:rsidR="00DB0B23" w:rsidRPr="00183B5F">
          <w:rPr>
            <w:szCs w:val="22"/>
          </w:rPr>
          <w:delText> </w:delText>
        </w:r>
        <w:r w:rsidRPr="00183B5F">
          <w:rPr>
            <w:szCs w:val="22"/>
          </w:rPr>
          <w:delText>beteget értékeltek. A betegek mind köz</w:delText>
        </w:r>
        <w:r w:rsidR="00E25671" w:rsidRPr="00183B5F">
          <w:rPr>
            <w:szCs w:val="22"/>
          </w:rPr>
          <w:delText xml:space="preserve">epesen </w:delText>
        </w:r>
        <w:r w:rsidRPr="00183B5F">
          <w:rPr>
            <w:szCs w:val="22"/>
          </w:rPr>
          <w:delText>súlyos</w:delText>
        </w:r>
        <w:r w:rsidRPr="00183B5F">
          <w:rPr>
            <w:szCs w:val="22"/>
          </w:rPr>
          <w:noBreakHyphen/>
          <w:delText>súlyos rheumatoid arthritisben szenvedtek, 18</w:delText>
        </w:r>
        <w:r w:rsidR="00DB0B23" w:rsidRPr="00183B5F">
          <w:rPr>
            <w:szCs w:val="22"/>
          </w:rPr>
          <w:delText> </w:delText>
        </w:r>
        <w:r w:rsidRPr="00183B5F">
          <w:rPr>
            <w:szCs w:val="22"/>
          </w:rPr>
          <w:delText>éves</w:delText>
        </w:r>
        <w:r w:rsidR="00FC64F5" w:rsidRPr="00183B5F">
          <w:rPr>
            <w:szCs w:val="22"/>
          </w:rPr>
          <w:delText>ek vagy annál idősebbek voltak és e</w:delText>
        </w:r>
        <w:r w:rsidRPr="00183B5F">
          <w:rPr>
            <w:szCs w:val="22"/>
          </w:rPr>
          <w:delText xml:space="preserve">setükben legalább egy betegséget befolyásoló reumaellenes gyógyszer alkalmazása nem járt eredménnyel. </w:delText>
        </w:r>
        <w:r w:rsidR="00FC64F5" w:rsidRPr="00183B5F">
          <w:rPr>
            <w:szCs w:val="22"/>
          </w:rPr>
          <w:delText>20</w:delText>
        </w:r>
        <w:r w:rsidR="00006163" w:rsidRPr="00183B5F">
          <w:rPr>
            <w:szCs w:val="22"/>
          </w:rPr>
          <w:delText>,</w:delText>
        </w:r>
        <w:r w:rsidR="00FC64F5" w:rsidRPr="00183B5F">
          <w:rPr>
            <w:szCs w:val="22"/>
          </w:rPr>
          <w:delText xml:space="preserve"> </w:delText>
        </w:r>
        <w:r w:rsidRPr="00183B5F">
          <w:rPr>
            <w:szCs w:val="22"/>
          </w:rPr>
          <w:delText>illetve 40 mg Humira</w:delText>
        </w:r>
        <w:r w:rsidR="00DB0B23" w:rsidRPr="00183B5F">
          <w:rPr>
            <w:szCs w:val="22"/>
          </w:rPr>
          <w:noBreakHyphen/>
        </w:r>
        <w:r w:rsidRPr="00183B5F">
          <w:rPr>
            <w:szCs w:val="22"/>
          </w:rPr>
          <w:delText>t kaptak subcutan injekció formájában minden második héten, placebóval az alternáló heteken vagy minden héten 26</w:delText>
        </w:r>
        <w:r w:rsidR="00A44DB6" w:rsidRPr="00183B5F">
          <w:rPr>
            <w:szCs w:val="22"/>
          </w:rPr>
          <w:delText> hét</w:delText>
        </w:r>
        <w:r w:rsidRPr="00183B5F">
          <w:rPr>
            <w:szCs w:val="22"/>
          </w:rPr>
          <w:delText>en át; illetve placebót kaptak minden héten azonos időtartamban. Egyéb betegséget befolyásoló reumaellenes gyóg</w:delText>
        </w:r>
        <w:r w:rsidRPr="00183B5F">
          <w:rPr>
            <w:szCs w:val="22"/>
          </w:rPr>
          <w:delText>yszert nem kaphattak.</w:delText>
        </w:r>
      </w:del>
    </w:p>
    <w:p w14:paraId="73720EE6" w14:textId="6AB212A8" w:rsidR="00FB6710" w:rsidRPr="00183B5F" w:rsidRDefault="00FB6710" w:rsidP="004062FE">
      <w:pPr>
        <w:spacing w:line="240" w:lineRule="auto"/>
        <w:rPr>
          <w:del w:id="5410" w:author="AbbVie_HU_03" w:date="2025-05-14T15:27:00Z"/>
          <w:szCs w:val="22"/>
        </w:rPr>
      </w:pPr>
    </w:p>
    <w:p w14:paraId="79B29193" w14:textId="6695F72B" w:rsidR="00FB6710" w:rsidRPr="00183B5F" w:rsidRDefault="00943743" w:rsidP="004062FE">
      <w:pPr>
        <w:pStyle w:val="BodyText"/>
        <w:spacing w:line="240" w:lineRule="auto"/>
        <w:rPr>
          <w:del w:id="5411" w:author="AbbVie_HU_03" w:date="2025-05-14T15:27:00Z"/>
          <w:szCs w:val="22"/>
          <w:lang w:val="hu-HU" w:eastAsia="hu-HU"/>
        </w:rPr>
      </w:pPr>
      <w:del w:id="5412" w:author="AbbVie_HU_03" w:date="2025-05-14T15:27:00Z">
        <w:r w:rsidRPr="00183B5F">
          <w:rPr>
            <w:lang w:val="hu-HU"/>
          </w:rPr>
          <w:delText>Az RA</w:delText>
        </w:r>
        <w:r w:rsidR="00DB0B23" w:rsidRPr="00183B5F">
          <w:rPr>
            <w:bCs/>
            <w:iCs/>
            <w:szCs w:val="22"/>
            <w:lang w:val="hu-HU"/>
          </w:rPr>
          <w:delText> </w:delText>
        </w:r>
        <w:r w:rsidRPr="00183B5F">
          <w:rPr>
            <w:lang w:val="hu-HU"/>
          </w:rPr>
          <w:delText>III. vizsgálatban 619</w:delText>
        </w:r>
        <w:r w:rsidR="00DB0B23" w:rsidRPr="00183B5F">
          <w:rPr>
            <w:bCs/>
            <w:iCs/>
            <w:szCs w:val="22"/>
            <w:lang w:val="hu-HU"/>
          </w:rPr>
          <w:delText> </w:delText>
        </w:r>
        <w:r w:rsidRPr="00183B5F">
          <w:rPr>
            <w:lang w:val="hu-HU"/>
          </w:rPr>
          <w:delText xml:space="preserve">közepesen súlyos és súlyos aktív rheumatoid arthritisben szenvedő, </w:delText>
        </w:r>
        <w:r w:rsidRPr="00183B5F">
          <w:rPr>
            <w:rFonts w:ascii="Symbol" w:hAnsi="Symbol"/>
            <w:lang w:val="hu-HU"/>
          </w:rPr>
          <w:sym w:font="Symbol" w:char="F0B3"/>
        </w:r>
        <w:r w:rsidRPr="00183B5F">
          <w:rPr>
            <w:szCs w:val="22"/>
            <w:lang w:val="hu-HU"/>
          </w:rPr>
          <w:delText> 18</w:delText>
        </w:r>
        <w:r w:rsidR="00006163" w:rsidRPr="00183B5F">
          <w:rPr>
            <w:szCs w:val="22"/>
            <w:lang w:val="hu-HU"/>
          </w:rPr>
          <w:delText> </w:delText>
        </w:r>
        <w:r w:rsidRPr="00183B5F">
          <w:rPr>
            <w:szCs w:val="22"/>
            <w:lang w:val="hu-HU"/>
          </w:rPr>
          <w:delText>éves beteget értékeltek, akik nem megfelelően reagáltak a 1</w:delText>
        </w:r>
        <w:r w:rsidR="003D3803" w:rsidRPr="00183B5F">
          <w:rPr>
            <w:szCs w:val="22"/>
            <w:lang w:val="hu-HU"/>
          </w:rPr>
          <w:delText>2</w:delText>
        </w:r>
        <w:r w:rsidRPr="00183B5F">
          <w:rPr>
            <w:szCs w:val="22"/>
            <w:lang w:val="hu-HU"/>
          </w:rPr>
          <w:delText>,5 – 25 mg közötti metotrexát dózisokra, vagy nem tolerálták a hetenkénti 10 mg metotrexátot</w:delText>
        </w:r>
        <w:r w:rsidRPr="00183B5F">
          <w:rPr>
            <w:lang w:val="hu-HU"/>
          </w:rPr>
          <w:delText>. Ebben a vizsgálatban a betegeket három csoportra osztották. Az első csoportba tartozók placebo injekciót kaptak minden héten 52</w:delText>
        </w:r>
        <w:r w:rsidR="00A44DB6" w:rsidRPr="00183B5F">
          <w:rPr>
            <w:lang w:val="hu-HU"/>
          </w:rPr>
          <w:delText> hét</w:delText>
        </w:r>
        <w:r w:rsidRPr="00183B5F">
          <w:rPr>
            <w:lang w:val="hu-HU"/>
          </w:rPr>
          <w:delText>en át. A második csoport tagjai 20 mg Humira</w:delText>
        </w:r>
        <w:r w:rsidR="00DB0B23" w:rsidRPr="00183B5F">
          <w:rPr>
            <w:bCs/>
            <w:iCs/>
            <w:szCs w:val="22"/>
            <w:lang w:val="hu-HU"/>
          </w:rPr>
          <w:noBreakHyphen/>
        </w:r>
        <w:r w:rsidRPr="00183B5F">
          <w:rPr>
            <w:lang w:val="hu-HU"/>
          </w:rPr>
          <w:delText>t kaptak hetente</w:delText>
        </w:r>
        <w:r w:rsidR="00006163" w:rsidRPr="00183B5F">
          <w:rPr>
            <w:lang w:val="hu-HU"/>
          </w:rPr>
          <w:delText>,</w:delText>
        </w:r>
        <w:r w:rsidRPr="00183B5F">
          <w:rPr>
            <w:lang w:val="hu-HU"/>
          </w:rPr>
          <w:delText xml:space="preserve"> 52</w:delText>
        </w:r>
        <w:r w:rsidR="00A44DB6" w:rsidRPr="00183B5F">
          <w:rPr>
            <w:lang w:val="hu-HU"/>
          </w:rPr>
          <w:delText> hét</w:delText>
        </w:r>
        <w:r w:rsidRPr="00183B5F">
          <w:rPr>
            <w:lang w:val="hu-HU"/>
          </w:rPr>
          <w:delText>en át. A harmadik csoport 40 mg Humira</w:delText>
        </w:r>
        <w:r w:rsidR="00DB0B23" w:rsidRPr="00183B5F">
          <w:rPr>
            <w:bCs/>
            <w:iCs/>
            <w:szCs w:val="22"/>
            <w:lang w:val="hu-HU"/>
          </w:rPr>
          <w:noBreakHyphen/>
        </w:r>
        <w:r w:rsidRPr="00183B5F">
          <w:rPr>
            <w:lang w:val="hu-HU"/>
          </w:rPr>
          <w:delText xml:space="preserve">t kapott minden második héten és placebo injekciót az alternáló heteken. </w:delText>
        </w:r>
        <w:r w:rsidR="00CF65B1" w:rsidRPr="00183B5F">
          <w:rPr>
            <w:bCs/>
            <w:iCs/>
            <w:szCs w:val="22"/>
            <w:lang w:val="hu-HU"/>
          </w:rPr>
          <w:delText>Az első 52 hetes kezelést</w:delText>
        </w:r>
        <w:r w:rsidR="00CF65B1" w:rsidRPr="00183B5F">
          <w:rPr>
            <w:lang w:val="hu-HU"/>
          </w:rPr>
          <w:delText xml:space="preserve"> követően </w:delText>
        </w:r>
        <w:r w:rsidR="00CF65B1" w:rsidRPr="00183B5F">
          <w:rPr>
            <w:bCs/>
            <w:iCs/>
            <w:szCs w:val="22"/>
            <w:lang w:val="hu-HU"/>
          </w:rPr>
          <w:delText>457</w:delText>
        </w:r>
        <w:r w:rsidR="00DB0B23" w:rsidRPr="00183B5F">
          <w:rPr>
            <w:bCs/>
            <w:iCs/>
            <w:szCs w:val="22"/>
            <w:lang w:val="hu-HU"/>
          </w:rPr>
          <w:delText> </w:delText>
        </w:r>
        <w:r w:rsidR="00CF65B1" w:rsidRPr="00183B5F">
          <w:rPr>
            <w:lang w:val="hu-HU"/>
          </w:rPr>
          <w:delText>beteget egy nyílt, kiterjesztett fáz</w:delText>
        </w:r>
        <w:r w:rsidR="00F31867" w:rsidRPr="00183B5F">
          <w:rPr>
            <w:lang w:val="hu-HU"/>
          </w:rPr>
          <w:delText>i</w:delText>
        </w:r>
        <w:r w:rsidR="00CF65B1" w:rsidRPr="00183B5F">
          <w:rPr>
            <w:lang w:val="hu-HU"/>
          </w:rPr>
          <w:delText>sba választották be, melynek során kéthetente 40 mg Humira</w:delText>
        </w:r>
        <w:r w:rsidR="00DB0B23" w:rsidRPr="00183B5F">
          <w:rPr>
            <w:bCs/>
            <w:iCs/>
            <w:szCs w:val="22"/>
            <w:lang w:val="hu-HU"/>
          </w:rPr>
          <w:noBreakHyphen/>
        </w:r>
        <w:r w:rsidR="00CF65B1" w:rsidRPr="00183B5F">
          <w:rPr>
            <w:lang w:val="hu-HU"/>
          </w:rPr>
          <w:delText>t</w:delText>
        </w:r>
        <w:r w:rsidR="00CF65B1" w:rsidRPr="00183B5F">
          <w:rPr>
            <w:bCs/>
            <w:iCs/>
            <w:szCs w:val="22"/>
            <w:lang w:val="hu-HU"/>
          </w:rPr>
          <w:delText>/ metotrexátot</w:delText>
        </w:r>
        <w:r w:rsidR="00CF65B1" w:rsidRPr="00183B5F">
          <w:rPr>
            <w:lang w:val="hu-HU"/>
          </w:rPr>
          <w:delText xml:space="preserve"> kaptak, legfeljebb 10 évig.</w:delText>
        </w:r>
      </w:del>
    </w:p>
    <w:p w14:paraId="5287B6B4" w14:textId="22382435" w:rsidR="00FB6710" w:rsidRPr="00183B5F" w:rsidRDefault="00FB6710" w:rsidP="004062FE">
      <w:pPr>
        <w:spacing w:line="240" w:lineRule="auto"/>
        <w:rPr>
          <w:del w:id="5413" w:author="AbbVie_HU_03" w:date="2025-05-14T15:27:00Z"/>
          <w:szCs w:val="22"/>
        </w:rPr>
      </w:pPr>
    </w:p>
    <w:p w14:paraId="3B78EC6F" w14:textId="37ACD294" w:rsidR="00FB6710" w:rsidRPr="00183B5F" w:rsidRDefault="00943743" w:rsidP="004062FE">
      <w:pPr>
        <w:spacing w:line="240" w:lineRule="auto"/>
        <w:rPr>
          <w:del w:id="5414" w:author="AbbVie_HU_03" w:date="2025-05-14T15:27:00Z"/>
          <w:szCs w:val="22"/>
        </w:rPr>
      </w:pPr>
      <w:del w:id="5415" w:author="AbbVie_HU_03" w:date="2025-05-14T15:27:00Z">
        <w:r w:rsidRPr="00183B5F">
          <w:rPr>
            <w:szCs w:val="22"/>
          </w:rPr>
          <w:delText>Az RA</w:delText>
        </w:r>
        <w:r w:rsidR="00DB0B23" w:rsidRPr="00183B5F">
          <w:rPr>
            <w:szCs w:val="22"/>
          </w:rPr>
          <w:delText> </w:delText>
        </w:r>
        <w:r w:rsidRPr="00183B5F">
          <w:rPr>
            <w:szCs w:val="22"/>
          </w:rPr>
          <w:delText>IV vizsgálat elsősorban a kezelés biztonságosságát volt hivatott felmérni. Ebbe a vizsgálatba 636</w:delText>
        </w:r>
        <w:r w:rsidR="00DB0B23" w:rsidRPr="00183B5F">
          <w:rPr>
            <w:szCs w:val="22"/>
          </w:rPr>
          <w:delText> </w:delText>
        </w:r>
        <w:r w:rsidRPr="00183B5F">
          <w:rPr>
            <w:szCs w:val="22"/>
          </w:rPr>
          <w:delText>köz</w:delText>
        </w:r>
        <w:r w:rsidR="00E25671" w:rsidRPr="00183B5F">
          <w:rPr>
            <w:szCs w:val="22"/>
          </w:rPr>
          <w:delText xml:space="preserve">epesen </w:delText>
        </w:r>
        <w:r w:rsidRPr="00183B5F">
          <w:rPr>
            <w:szCs w:val="22"/>
          </w:rPr>
          <w:delText>súlyos</w:delText>
        </w:r>
        <w:r w:rsidRPr="00183B5F">
          <w:rPr>
            <w:szCs w:val="22"/>
          </w:rPr>
          <w:noBreakHyphen/>
          <w:delText>súlyos rheumatoid arthritisben szenvedő, 18</w:delText>
        </w:r>
        <w:r w:rsidR="00DB0B23" w:rsidRPr="00183B5F">
          <w:rPr>
            <w:szCs w:val="22"/>
          </w:rPr>
          <w:delText> </w:delText>
        </w:r>
        <w:r w:rsidRPr="00183B5F">
          <w:rPr>
            <w:szCs w:val="22"/>
          </w:rPr>
          <w:delText>éves és idősebb beteget vontak be. A vizsgálatban részt vevő betegek vagy soha nem szedtek betegséget befolyásoló reumaellenes szereket, vagy a korábban alkalmazott anti</w:delText>
        </w:r>
        <w:r w:rsidRPr="00183B5F">
          <w:rPr>
            <w:szCs w:val="22"/>
          </w:rPr>
          <w:noBreakHyphen/>
          <w:delText>rheumás kezelésüket folytatták, ha a kezelés legalább 28</w:delText>
        </w:r>
        <w:r w:rsidR="00DB0B23" w:rsidRPr="00183B5F">
          <w:rPr>
            <w:szCs w:val="22"/>
          </w:rPr>
          <w:delText> </w:delText>
        </w:r>
        <w:r w:rsidRPr="00183B5F">
          <w:rPr>
            <w:szCs w:val="22"/>
          </w:rPr>
          <w:delText>napig változatlan volt. A kezelések metotrexát, leflunomid, hidroxiklorokin, szulfaszalazin és/vagy aranysók alkalmazását fog</w:delText>
        </w:r>
        <w:r w:rsidRPr="00183B5F">
          <w:rPr>
            <w:szCs w:val="22"/>
          </w:rPr>
          <w:delText>lalták magukba. A betegeket 40 mg Humira vagy placebo adására randomizálták, a kezelést minden második héten 24</w:delText>
        </w:r>
        <w:r w:rsidR="00A44DB6" w:rsidRPr="00183B5F">
          <w:rPr>
            <w:szCs w:val="22"/>
          </w:rPr>
          <w:delText> hét</w:delText>
        </w:r>
        <w:r w:rsidRPr="00183B5F">
          <w:rPr>
            <w:szCs w:val="22"/>
          </w:rPr>
          <w:delText>en át kapták.</w:delText>
        </w:r>
      </w:del>
    </w:p>
    <w:p w14:paraId="29133E62" w14:textId="7C173B33" w:rsidR="003D3803" w:rsidRPr="00183B5F" w:rsidRDefault="003D3803" w:rsidP="004062FE">
      <w:pPr>
        <w:spacing w:line="240" w:lineRule="auto"/>
        <w:rPr>
          <w:del w:id="5416" w:author="AbbVie_HU_03" w:date="2025-05-14T15:27:00Z"/>
          <w:szCs w:val="22"/>
        </w:rPr>
      </w:pPr>
    </w:p>
    <w:p w14:paraId="624D0A32" w14:textId="0C42EAB4" w:rsidR="00FB6710" w:rsidRPr="00183B5F" w:rsidRDefault="00943743" w:rsidP="004062FE">
      <w:pPr>
        <w:spacing w:line="240" w:lineRule="auto"/>
        <w:rPr>
          <w:del w:id="5417" w:author="AbbVie_HU_03" w:date="2025-05-14T15:27:00Z"/>
          <w:szCs w:val="22"/>
        </w:rPr>
      </w:pPr>
      <w:del w:id="5418" w:author="AbbVie_HU_03" w:date="2025-05-14T15:27:00Z">
        <w:r w:rsidRPr="00183B5F">
          <w:rPr>
            <w:szCs w:val="22"/>
          </w:rPr>
          <w:delText>Az RA</w:delText>
        </w:r>
        <w:r w:rsidR="00DB0B23" w:rsidRPr="00183B5F">
          <w:rPr>
            <w:szCs w:val="22"/>
          </w:rPr>
          <w:delText> </w:delText>
        </w:r>
        <w:r w:rsidRPr="00183B5F">
          <w:rPr>
            <w:szCs w:val="22"/>
          </w:rPr>
          <w:delText>V vizsgálatban felnőtt, 799</w:delText>
        </w:r>
        <w:r w:rsidR="00DB0B23" w:rsidRPr="00183B5F">
          <w:rPr>
            <w:szCs w:val="22"/>
          </w:rPr>
          <w:delText> </w:delText>
        </w:r>
        <w:r w:rsidRPr="00183B5F">
          <w:rPr>
            <w:szCs w:val="22"/>
          </w:rPr>
          <w:delText>köz</w:delText>
        </w:r>
        <w:r w:rsidR="00E25671" w:rsidRPr="00183B5F">
          <w:rPr>
            <w:szCs w:val="22"/>
          </w:rPr>
          <w:delText xml:space="preserve">epesen </w:delText>
        </w:r>
        <w:r w:rsidRPr="00183B5F">
          <w:rPr>
            <w:szCs w:val="22"/>
          </w:rPr>
          <w:delText>súlyos</w:delText>
        </w:r>
        <w:r w:rsidR="00DB0B23" w:rsidRPr="00183B5F">
          <w:rPr>
            <w:szCs w:val="22"/>
          </w:rPr>
          <w:noBreakHyphen/>
        </w:r>
        <w:r w:rsidRPr="00183B5F">
          <w:rPr>
            <w:szCs w:val="22"/>
          </w:rPr>
          <w:delText>súlyos, aktív</w:delText>
        </w:r>
        <w:r w:rsidR="005C406C" w:rsidRPr="00183B5F">
          <w:rPr>
            <w:szCs w:val="22"/>
          </w:rPr>
          <w:delText>,</w:delText>
        </w:r>
        <w:r w:rsidRPr="00183B5F">
          <w:rPr>
            <w:szCs w:val="22"/>
          </w:rPr>
          <w:delText xml:space="preserve"> korai (</w:delText>
        </w:r>
        <w:r w:rsidR="003D3803" w:rsidRPr="00183B5F">
          <w:rPr>
            <w:szCs w:val="22"/>
          </w:rPr>
          <w:delText xml:space="preserve">a </w:delText>
        </w:r>
        <w:r w:rsidRPr="00183B5F">
          <w:rPr>
            <w:szCs w:val="22"/>
          </w:rPr>
          <w:delText>betegs</w:delText>
        </w:r>
        <w:r w:rsidR="003D3803" w:rsidRPr="00183B5F">
          <w:rPr>
            <w:szCs w:val="22"/>
          </w:rPr>
          <w:delText>ég átlagos fennállási ideje</w:delText>
        </w:r>
        <w:r w:rsidRPr="00183B5F">
          <w:rPr>
            <w:szCs w:val="22"/>
          </w:rPr>
          <w:delText xml:space="preserve"> </w:delText>
        </w:r>
        <w:r w:rsidR="00E13E06" w:rsidRPr="00183B5F">
          <w:rPr>
            <w:szCs w:val="22"/>
          </w:rPr>
          <w:delText xml:space="preserve">kevesebb mint </w:delText>
        </w:r>
        <w:r w:rsidRPr="00183B5F">
          <w:rPr>
            <w:szCs w:val="22"/>
          </w:rPr>
          <w:delText>9</w:delText>
        </w:r>
        <w:r w:rsidR="00DB0B23" w:rsidRPr="00183B5F">
          <w:rPr>
            <w:szCs w:val="22"/>
          </w:rPr>
          <w:delText> </w:delText>
        </w:r>
        <w:r w:rsidRPr="00183B5F">
          <w:rPr>
            <w:szCs w:val="22"/>
          </w:rPr>
          <w:delText>hónap) rheumatoid arthritisben szenvedő, metotrexáttal még nem kezelt beteget vizsgáltak. A vizsgálat 104</w:delText>
        </w:r>
        <w:r w:rsidR="00A44DB6" w:rsidRPr="00183B5F">
          <w:rPr>
            <w:szCs w:val="22"/>
          </w:rPr>
          <w:delText> hét</w:delText>
        </w:r>
        <w:r w:rsidRPr="00183B5F">
          <w:rPr>
            <w:szCs w:val="22"/>
          </w:rPr>
          <w:delText>ig tartó időszaka alatt a kéthetente egyszer metotrexát</w:delText>
        </w:r>
        <w:r w:rsidR="005C406C" w:rsidRPr="00183B5F">
          <w:rPr>
            <w:szCs w:val="22"/>
          </w:rPr>
          <w:delText>-</w:delText>
        </w:r>
        <w:r w:rsidRPr="00183B5F">
          <w:rPr>
            <w:szCs w:val="22"/>
          </w:rPr>
          <w:delText>kombinációban adott 40 mg Humira, 40 mg Humira</w:delText>
        </w:r>
        <w:r w:rsidR="005C406C" w:rsidRPr="00183B5F">
          <w:rPr>
            <w:szCs w:val="22"/>
          </w:rPr>
          <w:delText>-</w:delText>
        </w:r>
        <w:r w:rsidRPr="00183B5F">
          <w:rPr>
            <w:szCs w:val="22"/>
          </w:rPr>
          <w:delText xml:space="preserve">monoterápia, illetve </w:delText>
        </w:r>
        <w:r w:rsidR="001A6E66" w:rsidRPr="00183B5F">
          <w:rPr>
            <w:szCs w:val="22"/>
          </w:rPr>
          <w:delText>metotrexát-mono</w:delText>
        </w:r>
        <w:r w:rsidRPr="00183B5F">
          <w:rPr>
            <w:szCs w:val="22"/>
          </w:rPr>
          <w:delText xml:space="preserve">terápia hatását vizsgálták arra vonatkozóan, hogy a betegség </w:delText>
        </w:r>
        <w:r w:rsidR="006D3F85" w:rsidRPr="00183B5F">
          <w:rPr>
            <w:szCs w:val="22"/>
          </w:rPr>
          <w:delText xml:space="preserve">okozta </w:delText>
        </w:r>
        <w:r w:rsidR="00E13E06" w:rsidRPr="00183B5F">
          <w:rPr>
            <w:szCs w:val="22"/>
          </w:rPr>
          <w:delText>jelek</w:delText>
        </w:r>
        <w:r w:rsidR="006D3F85" w:rsidRPr="00183B5F">
          <w:rPr>
            <w:szCs w:val="22"/>
          </w:rPr>
          <w:delText xml:space="preserve"> és tünetek mérséklődnek-e</w:delText>
        </w:r>
        <w:r w:rsidRPr="00183B5F">
          <w:rPr>
            <w:szCs w:val="22"/>
          </w:rPr>
          <w:delText>, illetve reumatoid arthritisb</w:delText>
        </w:r>
        <w:r w:rsidR="00F31867" w:rsidRPr="00183B5F">
          <w:rPr>
            <w:szCs w:val="22"/>
          </w:rPr>
          <w:delText>e</w:delText>
        </w:r>
        <w:r w:rsidRPr="00183B5F">
          <w:rPr>
            <w:szCs w:val="22"/>
          </w:rPr>
          <w:delText>n az ízületi károsodás előrehaladásának folyamata csökken-e.</w:delText>
        </w:r>
        <w:r w:rsidR="00924181" w:rsidRPr="00183B5F">
          <w:rPr>
            <w:szCs w:val="22"/>
          </w:rPr>
          <w:delText xml:space="preserve"> Az el</w:delText>
        </w:r>
        <w:r w:rsidR="006E4087" w:rsidRPr="00183B5F">
          <w:rPr>
            <w:szCs w:val="22"/>
          </w:rPr>
          <w:delText>ső 104 hét befejezését követően 497</w:delText>
        </w:r>
        <w:r w:rsidR="00924181" w:rsidRPr="00183B5F">
          <w:rPr>
            <w:szCs w:val="22"/>
          </w:rPr>
          <w:delText xml:space="preserve"> beteget vontak be egy nyílt kiterjesztésű vizsgálatba, amelyben 40 mg Humira</w:delText>
        </w:r>
        <w:r w:rsidR="00924181" w:rsidRPr="00183B5F">
          <w:rPr>
            <w:szCs w:val="22"/>
          </w:rPr>
          <w:noBreakHyphen/>
          <w:delText>t alkalmaztak minden 2. héten</w:delText>
        </w:r>
        <w:r w:rsidR="005C406C" w:rsidRPr="00183B5F">
          <w:rPr>
            <w:szCs w:val="22"/>
          </w:rPr>
          <w:delText>,</w:delText>
        </w:r>
        <w:r w:rsidR="00924181" w:rsidRPr="00183B5F">
          <w:rPr>
            <w:szCs w:val="22"/>
          </w:rPr>
          <w:delText xml:space="preserve"> legfeljebb 10 évig.</w:delText>
        </w:r>
      </w:del>
    </w:p>
    <w:p w14:paraId="408CFCC7" w14:textId="7E32BFB9" w:rsidR="00F31867" w:rsidRPr="00183B5F" w:rsidRDefault="00F31867" w:rsidP="004062FE">
      <w:pPr>
        <w:spacing w:line="240" w:lineRule="auto"/>
        <w:rPr>
          <w:del w:id="5419" w:author="AbbVie_HU_03" w:date="2025-05-14T15:27:00Z"/>
          <w:szCs w:val="22"/>
        </w:rPr>
      </w:pPr>
    </w:p>
    <w:p w14:paraId="7BCA253F" w14:textId="313EFB92" w:rsidR="00FB6710" w:rsidRPr="00183B5F" w:rsidRDefault="00943743" w:rsidP="004062FE">
      <w:pPr>
        <w:spacing w:line="240" w:lineRule="auto"/>
        <w:rPr>
          <w:del w:id="5420" w:author="AbbVie_HU_03" w:date="2025-05-14T15:27:00Z"/>
          <w:szCs w:val="22"/>
        </w:rPr>
      </w:pPr>
      <w:del w:id="5421" w:author="AbbVie_HU_03" w:date="2025-05-14T15:27:00Z">
        <w:r w:rsidRPr="00183B5F">
          <w:rPr>
            <w:szCs w:val="22"/>
          </w:rPr>
          <w:delText>Az RA</w:delText>
        </w:r>
        <w:r w:rsidR="00DB0B23" w:rsidRPr="00183B5F">
          <w:rPr>
            <w:szCs w:val="22"/>
          </w:rPr>
          <w:delText> </w:delText>
        </w:r>
        <w:r w:rsidRPr="00183B5F">
          <w:rPr>
            <w:szCs w:val="22"/>
          </w:rPr>
          <w:delText>I,</w:delText>
        </w:r>
        <w:r w:rsidR="00DB0B23" w:rsidRPr="00183B5F">
          <w:rPr>
            <w:szCs w:val="22"/>
          </w:rPr>
          <w:delText> </w:delText>
        </w:r>
        <w:r w:rsidRPr="00183B5F">
          <w:rPr>
            <w:szCs w:val="22"/>
          </w:rPr>
          <w:delText>II, és</w:delText>
        </w:r>
        <w:r w:rsidR="00DB0B23" w:rsidRPr="00183B5F">
          <w:rPr>
            <w:szCs w:val="22"/>
          </w:rPr>
          <w:delText> </w:delText>
        </w:r>
        <w:r w:rsidRPr="00183B5F">
          <w:rPr>
            <w:szCs w:val="22"/>
          </w:rPr>
          <w:delText>III vizsgálatokban az elsődleges végpont, míg az RA</w:delText>
        </w:r>
        <w:r w:rsidR="00DB0B23" w:rsidRPr="00183B5F">
          <w:rPr>
            <w:szCs w:val="22"/>
          </w:rPr>
          <w:delText> </w:delText>
        </w:r>
        <w:r w:rsidRPr="00183B5F">
          <w:rPr>
            <w:szCs w:val="22"/>
          </w:rPr>
          <w:delText>IV vizsgálatban a másodlagos végpont azon betegek százalékos aránya volt, akik</w:delText>
        </w:r>
        <w:r w:rsidR="006D3F85" w:rsidRPr="00183B5F">
          <w:rPr>
            <w:szCs w:val="22"/>
          </w:rPr>
          <w:delText xml:space="preserve">nél </w:delText>
        </w:r>
        <w:r w:rsidRPr="00183B5F">
          <w:rPr>
            <w:szCs w:val="22"/>
          </w:rPr>
          <w:delText>a 24</w:delText>
        </w:r>
        <w:r w:rsidR="005D174E" w:rsidRPr="00183B5F">
          <w:rPr>
            <w:szCs w:val="22"/>
          </w:rPr>
          <w:delText>,</w:delText>
        </w:r>
        <w:r w:rsidRPr="00183B5F">
          <w:rPr>
            <w:szCs w:val="22"/>
          </w:rPr>
          <w:delText xml:space="preserve"> illetve 26</w:delText>
        </w:r>
        <w:r w:rsidR="00A44DB6" w:rsidRPr="00183B5F">
          <w:rPr>
            <w:szCs w:val="22"/>
          </w:rPr>
          <w:delText> hét</w:delText>
        </w:r>
        <w:r w:rsidRPr="00183B5F">
          <w:rPr>
            <w:szCs w:val="22"/>
          </w:rPr>
          <w:delText xml:space="preserve"> leteltével </w:delText>
        </w:r>
        <w:r w:rsidR="006D3F85" w:rsidRPr="00183B5F">
          <w:rPr>
            <w:szCs w:val="22"/>
          </w:rPr>
          <w:delText>kialakult az</w:delText>
        </w:r>
        <w:r w:rsidRPr="00183B5F">
          <w:rPr>
            <w:szCs w:val="22"/>
          </w:rPr>
          <w:delText xml:space="preserve"> ACR</w:delText>
        </w:r>
        <w:r w:rsidR="00DB0B23" w:rsidRPr="00183B5F">
          <w:rPr>
            <w:szCs w:val="22"/>
          </w:rPr>
          <w:delText> </w:delText>
        </w:r>
        <w:r w:rsidRPr="00183B5F">
          <w:rPr>
            <w:szCs w:val="22"/>
          </w:rPr>
          <w:delText>20 válasz</w:delText>
        </w:r>
        <w:r w:rsidR="006D3F85" w:rsidRPr="00183B5F">
          <w:rPr>
            <w:szCs w:val="22"/>
          </w:rPr>
          <w:delText>.</w:delText>
        </w:r>
        <w:r w:rsidRPr="00183B5F">
          <w:rPr>
            <w:szCs w:val="22"/>
          </w:rPr>
          <w:delText xml:space="preserve"> Az V. vizsgálatban az elsődleges végpont az ACR</w:delText>
        </w:r>
        <w:r w:rsidR="00DB0B23" w:rsidRPr="00183B5F">
          <w:rPr>
            <w:szCs w:val="22"/>
          </w:rPr>
          <w:delText> </w:delText>
        </w:r>
        <w:r w:rsidRPr="00183B5F">
          <w:rPr>
            <w:szCs w:val="22"/>
          </w:rPr>
          <w:delText>50 válasz</w:delText>
        </w:r>
        <w:r w:rsidR="00C67C60" w:rsidRPr="00183B5F">
          <w:rPr>
            <w:szCs w:val="22"/>
          </w:rPr>
          <w:delText>t</w:delText>
        </w:r>
        <w:r w:rsidRPr="00183B5F">
          <w:rPr>
            <w:szCs w:val="22"/>
          </w:rPr>
          <w:delText xml:space="preserve"> adó betegek százalékos aránya volt a vizsgálat 52.</w:delText>
        </w:r>
        <w:r w:rsidR="00CC02AA" w:rsidRPr="00183B5F">
          <w:rPr>
            <w:szCs w:val="22"/>
          </w:rPr>
          <w:delText> </w:delText>
        </w:r>
        <w:r w:rsidRPr="00183B5F">
          <w:rPr>
            <w:szCs w:val="22"/>
          </w:rPr>
          <w:delText>hetében. Az RA</w:delText>
        </w:r>
        <w:r w:rsidR="00DB0B23" w:rsidRPr="00183B5F">
          <w:rPr>
            <w:szCs w:val="22"/>
          </w:rPr>
          <w:delText> </w:delText>
        </w:r>
        <w:r w:rsidRPr="00183B5F">
          <w:rPr>
            <w:szCs w:val="22"/>
          </w:rPr>
          <w:delText>III és RA</w:delText>
        </w:r>
        <w:r w:rsidR="00DB0B23" w:rsidRPr="00183B5F">
          <w:rPr>
            <w:szCs w:val="22"/>
          </w:rPr>
          <w:delText> </w:delText>
        </w:r>
        <w:r w:rsidRPr="00183B5F">
          <w:rPr>
            <w:szCs w:val="22"/>
          </w:rPr>
          <w:delText xml:space="preserve">V vizsgálatban </w:delText>
        </w:r>
        <w:r w:rsidR="006D3F85" w:rsidRPr="00183B5F">
          <w:rPr>
            <w:szCs w:val="22"/>
          </w:rPr>
          <w:delText xml:space="preserve">további </w:delText>
        </w:r>
        <w:r w:rsidRPr="00183B5F">
          <w:rPr>
            <w:szCs w:val="22"/>
          </w:rPr>
          <w:delText xml:space="preserve">elsődleges végpontot jelentett </w:delText>
        </w:r>
        <w:r w:rsidR="006D3F85" w:rsidRPr="00183B5F">
          <w:rPr>
            <w:szCs w:val="22"/>
          </w:rPr>
          <w:delText xml:space="preserve">az </w:delText>
        </w:r>
        <w:r w:rsidRPr="00183B5F">
          <w:rPr>
            <w:szCs w:val="22"/>
          </w:rPr>
          <w:delText>52</w:delText>
        </w:r>
        <w:r w:rsidR="006D3F85" w:rsidRPr="00183B5F">
          <w:rPr>
            <w:szCs w:val="22"/>
          </w:rPr>
          <w:delText>.</w:delText>
        </w:r>
        <w:r w:rsidR="00A44DB6" w:rsidRPr="00183B5F">
          <w:rPr>
            <w:szCs w:val="22"/>
          </w:rPr>
          <w:delText> hét</w:delText>
        </w:r>
        <w:r w:rsidR="006D3F85" w:rsidRPr="00183B5F">
          <w:rPr>
            <w:szCs w:val="22"/>
          </w:rPr>
          <w:delText>re</w:delText>
        </w:r>
        <w:r w:rsidRPr="00183B5F">
          <w:rPr>
            <w:szCs w:val="22"/>
          </w:rPr>
          <w:delText xml:space="preserve"> a betegség progressziójának lassulása (röntgenfelvételek alapján). Az RA</w:delText>
        </w:r>
        <w:r w:rsidR="00DB0B23" w:rsidRPr="00183B5F">
          <w:rPr>
            <w:szCs w:val="22"/>
          </w:rPr>
          <w:delText> </w:delText>
        </w:r>
        <w:r w:rsidRPr="00183B5F">
          <w:rPr>
            <w:szCs w:val="22"/>
          </w:rPr>
          <w:delText>III</w:delText>
        </w:r>
        <w:r w:rsidR="005D174E" w:rsidRPr="00183B5F">
          <w:rPr>
            <w:szCs w:val="22"/>
          </w:rPr>
          <w:delText> </w:delText>
        </w:r>
        <w:r w:rsidRPr="00183B5F">
          <w:rPr>
            <w:szCs w:val="22"/>
          </w:rPr>
          <w:delText>vizsgálatban elsődleges végpont volt még az életminőség megváltozása.</w:delText>
        </w:r>
      </w:del>
    </w:p>
    <w:p w14:paraId="1503E29E" w14:textId="5845ECA6" w:rsidR="0029674F" w:rsidRPr="00183B5F" w:rsidRDefault="0029674F" w:rsidP="004062FE">
      <w:pPr>
        <w:spacing w:line="240" w:lineRule="auto"/>
        <w:rPr>
          <w:del w:id="5422" w:author="AbbVie_HU_03" w:date="2025-05-14T15:27:00Z"/>
          <w:szCs w:val="22"/>
          <w:u w:val="single"/>
        </w:rPr>
      </w:pPr>
    </w:p>
    <w:p w14:paraId="51197D45" w14:textId="1670997E" w:rsidR="00FB6710" w:rsidRPr="00183B5F" w:rsidRDefault="00943743" w:rsidP="004062FE">
      <w:pPr>
        <w:keepNext/>
        <w:spacing w:line="240" w:lineRule="auto"/>
        <w:rPr>
          <w:del w:id="5423" w:author="AbbVie_HU_03" w:date="2025-05-14T15:27:00Z"/>
          <w:i/>
          <w:szCs w:val="22"/>
          <w:u w:val="single"/>
        </w:rPr>
      </w:pPr>
      <w:del w:id="5424" w:author="AbbVie_HU_03" w:date="2025-05-14T15:27:00Z">
        <w:r w:rsidRPr="00183B5F">
          <w:rPr>
            <w:i/>
            <w:szCs w:val="22"/>
            <w:u w:val="single"/>
          </w:rPr>
          <w:delText>ACR-válasz</w:delText>
        </w:r>
      </w:del>
    </w:p>
    <w:p w14:paraId="59E7B0E8" w14:textId="78BD2C7E" w:rsidR="00FB6710" w:rsidRPr="00183B5F" w:rsidRDefault="00FB6710" w:rsidP="004062FE">
      <w:pPr>
        <w:keepNext/>
        <w:spacing w:line="240" w:lineRule="auto"/>
        <w:rPr>
          <w:del w:id="5425" w:author="AbbVie_HU_03" w:date="2025-05-14T15:27:00Z"/>
          <w:szCs w:val="22"/>
        </w:rPr>
      </w:pPr>
    </w:p>
    <w:p w14:paraId="287AA340" w14:textId="78B66671" w:rsidR="00FB6710" w:rsidRPr="00183B5F" w:rsidRDefault="00943743" w:rsidP="004062FE">
      <w:pPr>
        <w:keepNext/>
        <w:spacing w:line="240" w:lineRule="auto"/>
        <w:rPr>
          <w:del w:id="5426" w:author="AbbVie_HU_03" w:date="2025-05-14T15:27:00Z"/>
          <w:szCs w:val="22"/>
        </w:rPr>
      </w:pPr>
      <w:del w:id="5427" w:author="AbbVie_HU_03" w:date="2025-05-14T15:27:00Z">
        <w:r w:rsidRPr="00183B5F">
          <w:rPr>
            <w:szCs w:val="22"/>
          </w:rPr>
          <w:delText>Az ACR</w:delText>
        </w:r>
        <w:r w:rsidR="00DB0B23" w:rsidRPr="00183B5F">
          <w:rPr>
            <w:szCs w:val="22"/>
          </w:rPr>
          <w:delText> </w:delText>
        </w:r>
        <w:r w:rsidRPr="00183B5F">
          <w:rPr>
            <w:szCs w:val="22"/>
          </w:rPr>
          <w:delText>20,</w:delText>
        </w:r>
        <w:r w:rsidR="00DB0B23" w:rsidRPr="00183B5F">
          <w:rPr>
            <w:szCs w:val="22"/>
          </w:rPr>
          <w:delText> </w:delText>
        </w:r>
        <w:r w:rsidRPr="00183B5F">
          <w:rPr>
            <w:szCs w:val="22"/>
          </w:rPr>
          <w:delText>50 vagy</w:delText>
        </w:r>
        <w:r w:rsidR="00DB0B23" w:rsidRPr="00183B5F">
          <w:rPr>
            <w:szCs w:val="22"/>
          </w:rPr>
          <w:delText> </w:delText>
        </w:r>
        <w:r w:rsidRPr="00183B5F">
          <w:rPr>
            <w:szCs w:val="22"/>
          </w:rPr>
          <w:delText>70</w:delText>
        </w:r>
        <w:r w:rsidRPr="00183B5F">
          <w:rPr>
            <w:szCs w:val="22"/>
          </w:rPr>
          <w:noBreakHyphen/>
          <w:delText>es választ produkáló Humira</w:delText>
        </w:r>
        <w:r w:rsidRPr="00183B5F">
          <w:rPr>
            <w:szCs w:val="22"/>
          </w:rPr>
          <w:noBreakHyphen/>
          <w:delText>kezelt betegek százalékos aránya állandó volt az RA</w:delText>
        </w:r>
        <w:r w:rsidR="00DB0B23" w:rsidRPr="00183B5F">
          <w:rPr>
            <w:szCs w:val="22"/>
          </w:rPr>
          <w:delText> </w:delText>
        </w:r>
        <w:r w:rsidRPr="00183B5F">
          <w:rPr>
            <w:szCs w:val="22"/>
          </w:rPr>
          <w:delText>I,</w:delText>
        </w:r>
        <w:r w:rsidR="00DB0B23" w:rsidRPr="00183B5F">
          <w:rPr>
            <w:szCs w:val="22"/>
          </w:rPr>
          <w:delText> </w:delText>
        </w:r>
        <w:r w:rsidRPr="00183B5F">
          <w:rPr>
            <w:szCs w:val="22"/>
          </w:rPr>
          <w:delText>II, és</w:delText>
        </w:r>
        <w:r w:rsidR="00DB0B23" w:rsidRPr="00183B5F">
          <w:rPr>
            <w:szCs w:val="22"/>
          </w:rPr>
          <w:delText> </w:delText>
        </w:r>
        <w:r w:rsidRPr="00183B5F">
          <w:rPr>
            <w:szCs w:val="22"/>
          </w:rPr>
          <w:delText>III vizsgálatokban. Minden második héten adott 40 mg</w:delText>
        </w:r>
        <w:r w:rsidRPr="00183B5F">
          <w:rPr>
            <w:szCs w:val="22"/>
          </w:rPr>
          <w:noBreakHyphen/>
          <w:delText xml:space="preserve">os dózissal elért eredmények összefoglalása található a </w:delText>
        </w:r>
        <w:r w:rsidR="004371B6" w:rsidRPr="00183B5F">
          <w:rPr>
            <w:szCs w:val="22"/>
          </w:rPr>
          <w:delText>8</w:delText>
        </w:r>
        <w:r w:rsidRPr="00183B5F">
          <w:rPr>
            <w:szCs w:val="22"/>
          </w:rPr>
          <w:delText>.</w:delText>
        </w:r>
        <w:r w:rsidR="006A0A63" w:rsidRPr="00183B5F">
          <w:rPr>
            <w:szCs w:val="22"/>
          </w:rPr>
          <w:delText> </w:delText>
        </w:r>
        <w:r w:rsidRPr="00183B5F">
          <w:rPr>
            <w:szCs w:val="22"/>
          </w:rPr>
          <w:delText>táblázatban.</w:delText>
        </w:r>
      </w:del>
    </w:p>
    <w:p w14:paraId="03D5A878" w14:textId="0885043A" w:rsidR="00FB6710" w:rsidRPr="00183B5F" w:rsidRDefault="00FB6710" w:rsidP="004062FE">
      <w:pPr>
        <w:spacing w:line="240" w:lineRule="auto"/>
        <w:rPr>
          <w:del w:id="5428" w:author="AbbVie_HU_03" w:date="2025-05-14T15:27:00Z"/>
          <w:szCs w:val="22"/>
        </w:rPr>
      </w:pPr>
    </w:p>
    <w:p w14:paraId="36ACAB62" w14:textId="375A2822" w:rsidR="00C1029B" w:rsidRPr="00183B5F" w:rsidRDefault="00943743" w:rsidP="00FE0197">
      <w:pPr>
        <w:keepNext/>
        <w:spacing w:line="240" w:lineRule="auto"/>
        <w:jc w:val="center"/>
        <w:rPr>
          <w:del w:id="5429" w:author="AbbVie_HU_03" w:date="2025-05-14T15:27:00Z"/>
          <w:b/>
          <w:szCs w:val="22"/>
        </w:rPr>
      </w:pPr>
      <w:del w:id="5430" w:author="AbbVie_HU_03" w:date="2025-05-14T15:27:00Z">
        <w:r w:rsidRPr="00183B5F">
          <w:rPr>
            <w:b/>
            <w:szCs w:val="22"/>
          </w:rPr>
          <w:delText>8</w:delText>
        </w:r>
        <w:r w:rsidR="00FB6710" w:rsidRPr="00183B5F">
          <w:rPr>
            <w:b/>
            <w:szCs w:val="22"/>
          </w:rPr>
          <w:delText>.</w:delText>
        </w:r>
        <w:r w:rsidR="006A0A63" w:rsidRPr="00183B5F">
          <w:rPr>
            <w:b/>
            <w:szCs w:val="22"/>
          </w:rPr>
          <w:delText> </w:delText>
        </w:r>
        <w:r w:rsidR="00FB6710" w:rsidRPr="00183B5F">
          <w:rPr>
            <w:b/>
            <w:szCs w:val="22"/>
          </w:rPr>
          <w:delText xml:space="preserve">táblázat </w:delText>
        </w:r>
      </w:del>
    </w:p>
    <w:p w14:paraId="19379363" w14:textId="75BFD386" w:rsidR="00FB6710" w:rsidRPr="00183B5F" w:rsidRDefault="00943743" w:rsidP="00FE0197">
      <w:pPr>
        <w:keepNext/>
        <w:spacing w:line="240" w:lineRule="auto"/>
        <w:jc w:val="center"/>
        <w:rPr>
          <w:del w:id="5431" w:author="AbbVie_HU_03" w:date="2025-05-14T15:27:00Z"/>
          <w:b/>
          <w:szCs w:val="22"/>
        </w:rPr>
      </w:pPr>
      <w:del w:id="5432" w:author="AbbVie_HU_03" w:date="2025-05-14T15:27:00Z">
        <w:r w:rsidRPr="00183B5F">
          <w:rPr>
            <w:b/>
            <w:szCs w:val="22"/>
          </w:rPr>
          <w:delText>ACR-válasz placebokontrollos vizsgálatokban</w:delText>
        </w:r>
      </w:del>
    </w:p>
    <w:tbl>
      <w:tblPr>
        <w:tblW w:w="9214" w:type="dxa"/>
        <w:tblInd w:w="8" w:type="dxa"/>
        <w:tblLayout w:type="fixed"/>
        <w:tblCellMar>
          <w:left w:w="0" w:type="dxa"/>
          <w:right w:w="0" w:type="dxa"/>
        </w:tblCellMar>
        <w:tblLook w:val="0000" w:firstRow="0" w:lastRow="0" w:firstColumn="0" w:lastColumn="0" w:noHBand="0" w:noVBand="0"/>
      </w:tblPr>
      <w:tblGrid>
        <w:gridCol w:w="1159"/>
        <w:gridCol w:w="1393"/>
        <w:gridCol w:w="1417"/>
        <w:gridCol w:w="1071"/>
        <w:gridCol w:w="1197"/>
        <w:gridCol w:w="1418"/>
        <w:gridCol w:w="1559"/>
      </w:tblGrid>
      <w:tr w:rsidR="00011D2F" w14:paraId="523AC4D4" w14:textId="6D6ADDA8" w:rsidTr="003811FE">
        <w:trPr>
          <w:cantSplit/>
          <w:tblHeader/>
          <w:del w:id="5433" w:author="AbbVie_HU_03" w:date="2025-05-14T15:27:00Z"/>
        </w:trPr>
        <w:tc>
          <w:tcPr>
            <w:tcW w:w="9214" w:type="dxa"/>
            <w:gridSpan w:val="7"/>
            <w:tcBorders>
              <w:bottom w:val="single" w:sz="4" w:space="0" w:color="auto"/>
            </w:tcBorders>
          </w:tcPr>
          <w:p w14:paraId="041E0D11" w14:textId="5E60A0EA" w:rsidR="00FB6710" w:rsidRPr="00183B5F" w:rsidRDefault="00943743" w:rsidP="00FE0197">
            <w:pPr>
              <w:keepNext/>
              <w:spacing w:line="240" w:lineRule="auto"/>
              <w:jc w:val="center"/>
              <w:rPr>
                <w:del w:id="5434" w:author="AbbVie_HU_03" w:date="2025-05-14T15:27:00Z"/>
                <w:b/>
                <w:bCs/>
                <w:szCs w:val="22"/>
              </w:rPr>
            </w:pPr>
            <w:del w:id="5435" w:author="AbbVie_HU_03" w:date="2025-05-14T15:27:00Z">
              <w:r w:rsidRPr="00183B5F">
                <w:rPr>
                  <w:b/>
                  <w:bCs/>
                  <w:szCs w:val="22"/>
                </w:rPr>
                <w:delText>(Betegek százaléka)</w:delText>
              </w:r>
            </w:del>
          </w:p>
          <w:p w14:paraId="0FE7FF53" w14:textId="3C0A2CF1" w:rsidR="00FB6710" w:rsidRPr="00183B5F" w:rsidRDefault="00FB6710" w:rsidP="00FE0197">
            <w:pPr>
              <w:keepNext/>
              <w:spacing w:line="240" w:lineRule="auto"/>
              <w:jc w:val="center"/>
              <w:rPr>
                <w:del w:id="5436" w:author="AbbVie_HU_03" w:date="2025-05-14T15:27:00Z"/>
                <w:b/>
                <w:bCs/>
                <w:szCs w:val="22"/>
              </w:rPr>
            </w:pPr>
          </w:p>
        </w:tc>
      </w:tr>
      <w:tr w:rsidR="00011D2F" w14:paraId="407BCE4D" w14:textId="658E1330" w:rsidTr="003811FE">
        <w:trPr>
          <w:cantSplit/>
          <w:del w:id="5437" w:author="AbbVie_HU_03" w:date="2025-05-14T15:27:00Z"/>
        </w:trPr>
        <w:tc>
          <w:tcPr>
            <w:tcW w:w="1159" w:type="dxa"/>
            <w:tcBorders>
              <w:top w:val="single" w:sz="4" w:space="0" w:color="auto"/>
              <w:left w:val="single" w:sz="4" w:space="0" w:color="auto"/>
              <w:bottom w:val="nil"/>
              <w:right w:val="single" w:sz="6" w:space="0" w:color="auto"/>
            </w:tcBorders>
          </w:tcPr>
          <w:p w14:paraId="339DE344" w14:textId="54568619" w:rsidR="00FB6710" w:rsidRPr="00183B5F" w:rsidRDefault="00943743" w:rsidP="00FE0197">
            <w:pPr>
              <w:pStyle w:val="In-texttable"/>
              <w:spacing w:line="240" w:lineRule="auto"/>
              <w:rPr>
                <w:del w:id="5438" w:author="AbbVie_HU_03" w:date="2025-05-14T15:27:00Z"/>
                <w:rFonts w:ascii="Times New Roman" w:hAnsi="Times New Roman"/>
                <w:sz w:val="22"/>
                <w:szCs w:val="22"/>
                <w:lang w:val="hu-HU"/>
              </w:rPr>
            </w:pPr>
            <w:del w:id="5439" w:author="AbbVie_HU_03" w:date="2025-05-14T15:27:00Z">
              <w:r w:rsidRPr="00183B5F">
                <w:rPr>
                  <w:rFonts w:ascii="Times New Roman" w:hAnsi="Times New Roman"/>
                  <w:sz w:val="22"/>
                  <w:szCs w:val="22"/>
                  <w:lang w:val="hu-HU"/>
                </w:rPr>
                <w:delText>Válasz</w:delText>
              </w:r>
            </w:del>
          </w:p>
        </w:tc>
        <w:tc>
          <w:tcPr>
            <w:tcW w:w="2810" w:type="dxa"/>
            <w:gridSpan w:val="2"/>
            <w:tcBorders>
              <w:top w:val="single" w:sz="4" w:space="0" w:color="auto"/>
              <w:left w:val="single" w:sz="6" w:space="0" w:color="auto"/>
              <w:bottom w:val="single" w:sz="6" w:space="0" w:color="auto"/>
              <w:right w:val="single" w:sz="6" w:space="0" w:color="auto"/>
            </w:tcBorders>
          </w:tcPr>
          <w:p w14:paraId="4B2470E8" w14:textId="023CEDB8" w:rsidR="00FB6710" w:rsidRPr="00183B5F" w:rsidRDefault="00943743" w:rsidP="00FE0197">
            <w:pPr>
              <w:pStyle w:val="In-texttable"/>
              <w:spacing w:line="240" w:lineRule="auto"/>
              <w:jc w:val="center"/>
              <w:rPr>
                <w:del w:id="5440" w:author="AbbVie_HU_03" w:date="2025-05-14T15:27:00Z"/>
                <w:rFonts w:ascii="Times New Roman" w:hAnsi="Times New Roman"/>
                <w:sz w:val="22"/>
                <w:szCs w:val="22"/>
                <w:lang w:val="hu-HU"/>
              </w:rPr>
            </w:pPr>
            <w:del w:id="5441" w:author="AbbVie_HU_03" w:date="2025-05-14T15:27:00Z">
              <w:r w:rsidRPr="00183B5F">
                <w:rPr>
                  <w:rFonts w:ascii="Times New Roman" w:hAnsi="Times New Roman"/>
                  <w:sz w:val="22"/>
                  <w:szCs w:val="22"/>
                  <w:lang w:val="hu-HU"/>
                </w:rPr>
                <w:delText>RA I vizsgálat</w:delText>
              </w:r>
              <w:r w:rsidRPr="00183B5F">
                <w:rPr>
                  <w:rFonts w:ascii="Times New Roman" w:hAnsi="Times New Roman"/>
                  <w:sz w:val="22"/>
                  <w:szCs w:val="22"/>
                  <w:vertAlign w:val="superscript"/>
                  <w:lang w:val="hu-HU"/>
                </w:rPr>
                <w:delText>a **</w:delText>
              </w:r>
            </w:del>
          </w:p>
        </w:tc>
        <w:tc>
          <w:tcPr>
            <w:tcW w:w="2268" w:type="dxa"/>
            <w:gridSpan w:val="2"/>
            <w:tcBorders>
              <w:top w:val="single" w:sz="4" w:space="0" w:color="auto"/>
              <w:left w:val="single" w:sz="6" w:space="0" w:color="auto"/>
              <w:bottom w:val="single" w:sz="6" w:space="0" w:color="auto"/>
              <w:right w:val="single" w:sz="6" w:space="0" w:color="auto"/>
            </w:tcBorders>
          </w:tcPr>
          <w:p w14:paraId="500C5FE1" w14:textId="1C31FC06" w:rsidR="00FB6710" w:rsidRPr="00183B5F" w:rsidRDefault="00943743" w:rsidP="00FE0197">
            <w:pPr>
              <w:pStyle w:val="In-texttable"/>
              <w:spacing w:line="240" w:lineRule="auto"/>
              <w:jc w:val="center"/>
              <w:rPr>
                <w:del w:id="5442" w:author="AbbVie_HU_03" w:date="2025-05-14T15:27:00Z"/>
                <w:rFonts w:ascii="Times New Roman" w:hAnsi="Times New Roman"/>
                <w:sz w:val="22"/>
                <w:szCs w:val="22"/>
                <w:lang w:val="hu-HU"/>
              </w:rPr>
            </w:pPr>
            <w:del w:id="5443" w:author="AbbVie_HU_03" w:date="2025-05-14T15:27:00Z">
              <w:r w:rsidRPr="00183B5F">
                <w:rPr>
                  <w:rFonts w:ascii="Times New Roman" w:hAnsi="Times New Roman"/>
                  <w:sz w:val="22"/>
                  <w:szCs w:val="22"/>
                  <w:lang w:val="hu-HU"/>
                </w:rPr>
                <w:delText>RA II vizsgálat</w:delText>
              </w:r>
              <w:r w:rsidRPr="00183B5F">
                <w:rPr>
                  <w:rFonts w:ascii="Times New Roman" w:hAnsi="Times New Roman"/>
                  <w:sz w:val="22"/>
                  <w:szCs w:val="22"/>
                  <w:vertAlign w:val="superscript"/>
                  <w:lang w:val="hu-HU"/>
                </w:rPr>
                <w:delText>a **</w:delText>
              </w:r>
            </w:del>
          </w:p>
        </w:tc>
        <w:tc>
          <w:tcPr>
            <w:tcW w:w="2977" w:type="dxa"/>
            <w:gridSpan w:val="2"/>
            <w:tcBorders>
              <w:top w:val="single" w:sz="4" w:space="0" w:color="auto"/>
              <w:left w:val="single" w:sz="6" w:space="0" w:color="auto"/>
              <w:bottom w:val="single" w:sz="6" w:space="0" w:color="auto"/>
              <w:right w:val="single" w:sz="4" w:space="0" w:color="auto"/>
            </w:tcBorders>
          </w:tcPr>
          <w:p w14:paraId="05C70E4A" w14:textId="6C96858B" w:rsidR="00FB6710" w:rsidRPr="00183B5F" w:rsidRDefault="00943743" w:rsidP="00FE0197">
            <w:pPr>
              <w:pStyle w:val="In-texttable"/>
              <w:spacing w:line="240" w:lineRule="auto"/>
              <w:jc w:val="center"/>
              <w:rPr>
                <w:del w:id="5444" w:author="AbbVie_HU_03" w:date="2025-05-14T15:27:00Z"/>
                <w:rFonts w:ascii="Times New Roman" w:hAnsi="Times New Roman"/>
                <w:sz w:val="22"/>
                <w:szCs w:val="22"/>
                <w:lang w:val="hu-HU"/>
              </w:rPr>
            </w:pPr>
            <w:del w:id="5445" w:author="AbbVie_HU_03" w:date="2025-05-14T15:27:00Z">
              <w:r w:rsidRPr="00183B5F">
                <w:rPr>
                  <w:rFonts w:ascii="Times New Roman" w:hAnsi="Times New Roman"/>
                  <w:sz w:val="22"/>
                  <w:szCs w:val="22"/>
                  <w:lang w:val="hu-HU"/>
                </w:rPr>
                <w:delText>RA III Vizsgálat</w:delText>
              </w:r>
              <w:r w:rsidRPr="00183B5F">
                <w:rPr>
                  <w:rFonts w:ascii="Times New Roman" w:hAnsi="Times New Roman"/>
                  <w:sz w:val="22"/>
                  <w:szCs w:val="22"/>
                  <w:vertAlign w:val="superscript"/>
                  <w:lang w:val="hu-HU"/>
                </w:rPr>
                <w:delText>a **</w:delText>
              </w:r>
            </w:del>
          </w:p>
        </w:tc>
      </w:tr>
      <w:tr w:rsidR="00011D2F" w14:paraId="199A1002" w14:textId="6DBB12CF" w:rsidTr="003811FE">
        <w:trPr>
          <w:cantSplit/>
          <w:del w:id="5446" w:author="AbbVie_HU_03" w:date="2025-05-14T15:27:00Z"/>
        </w:trPr>
        <w:tc>
          <w:tcPr>
            <w:tcW w:w="1159" w:type="dxa"/>
            <w:tcBorders>
              <w:top w:val="nil"/>
              <w:left w:val="single" w:sz="4" w:space="0" w:color="auto"/>
              <w:bottom w:val="single" w:sz="6" w:space="0" w:color="auto"/>
              <w:right w:val="single" w:sz="6" w:space="0" w:color="auto"/>
            </w:tcBorders>
          </w:tcPr>
          <w:p w14:paraId="68A63A42" w14:textId="168315A5" w:rsidR="00FB6710" w:rsidRPr="00183B5F" w:rsidRDefault="00FB6710" w:rsidP="00FE0197">
            <w:pPr>
              <w:pStyle w:val="In-texttable"/>
              <w:spacing w:line="240" w:lineRule="auto"/>
              <w:rPr>
                <w:del w:id="5447" w:author="AbbVie_HU_03" w:date="2025-05-14T15:27:00Z"/>
                <w:rFonts w:ascii="Times New Roman" w:hAnsi="Times New Roman"/>
                <w:sz w:val="22"/>
                <w:szCs w:val="22"/>
                <w:lang w:val="hu-HU"/>
              </w:rPr>
            </w:pPr>
          </w:p>
        </w:tc>
        <w:tc>
          <w:tcPr>
            <w:tcW w:w="1393" w:type="dxa"/>
            <w:tcBorders>
              <w:top w:val="single" w:sz="6" w:space="0" w:color="auto"/>
              <w:left w:val="single" w:sz="6" w:space="0" w:color="auto"/>
              <w:bottom w:val="single" w:sz="6" w:space="0" w:color="auto"/>
              <w:right w:val="nil"/>
            </w:tcBorders>
          </w:tcPr>
          <w:p w14:paraId="4C15F175" w14:textId="274F6E04" w:rsidR="00116852" w:rsidRPr="00183B5F" w:rsidRDefault="00943743" w:rsidP="00FE0197">
            <w:pPr>
              <w:pStyle w:val="In-texttable"/>
              <w:spacing w:line="240" w:lineRule="auto"/>
              <w:jc w:val="center"/>
              <w:rPr>
                <w:del w:id="5448" w:author="AbbVie_HU_03" w:date="2025-05-14T15:27:00Z"/>
                <w:rFonts w:ascii="Times New Roman" w:hAnsi="Times New Roman"/>
                <w:sz w:val="22"/>
                <w:szCs w:val="22"/>
                <w:lang w:val="hu-HU"/>
              </w:rPr>
            </w:pPr>
            <w:del w:id="5449" w:author="AbbVie_HU_03" w:date="2025-05-14T15:27:00Z">
              <w:r w:rsidRPr="00183B5F">
                <w:rPr>
                  <w:rFonts w:ascii="Times New Roman" w:hAnsi="Times New Roman"/>
                  <w:sz w:val="22"/>
                  <w:szCs w:val="22"/>
                  <w:lang w:val="hu-HU"/>
                </w:rPr>
                <w:delText xml:space="preserve">Placebo/ </w:delText>
              </w:r>
            </w:del>
          </w:p>
          <w:p w14:paraId="00DCFC89" w14:textId="0E4FC094" w:rsidR="00FB6710" w:rsidRPr="00183B5F" w:rsidRDefault="00943743" w:rsidP="00FE0197">
            <w:pPr>
              <w:pStyle w:val="In-texttable"/>
              <w:spacing w:line="240" w:lineRule="auto"/>
              <w:jc w:val="center"/>
              <w:rPr>
                <w:del w:id="5450" w:author="AbbVie_HU_03" w:date="2025-05-14T15:27:00Z"/>
                <w:rFonts w:ascii="Times New Roman" w:hAnsi="Times New Roman"/>
                <w:sz w:val="22"/>
                <w:szCs w:val="22"/>
                <w:lang w:val="hu-HU"/>
              </w:rPr>
            </w:pPr>
            <w:del w:id="5451" w:author="AbbVie_HU_03" w:date="2025-05-14T15:27:00Z">
              <w:r w:rsidRPr="00183B5F">
                <w:rPr>
                  <w:rFonts w:ascii="Times New Roman" w:hAnsi="Times New Roman"/>
                  <w:sz w:val="22"/>
                  <w:szCs w:val="22"/>
                  <w:lang w:val="hu-HU"/>
                </w:rPr>
                <w:delText>MTX</w:delText>
              </w:r>
              <w:r w:rsidRPr="00183B5F">
                <w:rPr>
                  <w:rFonts w:ascii="Times New Roman" w:hAnsi="Times New Roman"/>
                  <w:sz w:val="22"/>
                  <w:szCs w:val="22"/>
                  <w:vertAlign w:val="superscript"/>
                  <w:lang w:val="hu-HU"/>
                </w:rPr>
                <w:delText>c</w:delText>
              </w:r>
            </w:del>
          </w:p>
          <w:p w14:paraId="38D0BDE1" w14:textId="555F989F" w:rsidR="00FB6710" w:rsidRPr="00183B5F" w:rsidRDefault="00943743" w:rsidP="00FE0197">
            <w:pPr>
              <w:pStyle w:val="In-texttable"/>
              <w:spacing w:line="240" w:lineRule="auto"/>
              <w:jc w:val="center"/>
              <w:rPr>
                <w:del w:id="5452" w:author="AbbVie_HU_03" w:date="2025-05-14T15:27:00Z"/>
                <w:rFonts w:ascii="Times New Roman" w:hAnsi="Times New Roman"/>
                <w:sz w:val="22"/>
                <w:szCs w:val="22"/>
                <w:lang w:val="hu-HU"/>
              </w:rPr>
            </w:pPr>
            <w:del w:id="5453" w:author="AbbVie_HU_03" w:date="2025-05-14T15:27:00Z">
              <w:r w:rsidRPr="00183B5F">
                <w:rPr>
                  <w:rFonts w:ascii="Times New Roman" w:hAnsi="Times New Roman"/>
                  <w:sz w:val="22"/>
                  <w:szCs w:val="22"/>
                  <w:lang w:val="hu-HU"/>
                </w:rPr>
                <w:delText>n</w:delText>
              </w:r>
              <w:r w:rsidR="00EE2699" w:rsidRPr="00183B5F">
                <w:rPr>
                  <w:rFonts w:ascii="Times New Roman" w:hAnsi="Times New Roman"/>
                  <w:sz w:val="22"/>
                  <w:szCs w:val="22"/>
                  <w:lang w:val="hu-HU"/>
                </w:rPr>
                <w:delText> </w:delText>
              </w:r>
              <w:r w:rsidRPr="00183B5F">
                <w:rPr>
                  <w:rFonts w:ascii="Times New Roman" w:hAnsi="Times New Roman"/>
                  <w:sz w:val="22"/>
                  <w:szCs w:val="22"/>
                  <w:lang w:val="hu-HU"/>
                </w:rPr>
                <w:delText>=</w:delText>
              </w:r>
              <w:r w:rsidR="00EE2699" w:rsidRPr="00183B5F">
                <w:rPr>
                  <w:rFonts w:ascii="Times New Roman" w:hAnsi="Times New Roman"/>
                  <w:sz w:val="22"/>
                  <w:szCs w:val="22"/>
                  <w:lang w:val="hu-HU"/>
                </w:rPr>
                <w:delText> </w:delText>
              </w:r>
              <w:r w:rsidRPr="00183B5F">
                <w:rPr>
                  <w:rFonts w:ascii="Times New Roman" w:hAnsi="Times New Roman"/>
                  <w:sz w:val="22"/>
                  <w:szCs w:val="22"/>
                  <w:lang w:val="hu-HU"/>
                </w:rPr>
                <w:delText>60</w:delText>
              </w:r>
            </w:del>
          </w:p>
        </w:tc>
        <w:tc>
          <w:tcPr>
            <w:tcW w:w="1417" w:type="dxa"/>
            <w:tcBorders>
              <w:top w:val="single" w:sz="6" w:space="0" w:color="auto"/>
              <w:left w:val="nil"/>
              <w:bottom w:val="single" w:sz="6" w:space="0" w:color="auto"/>
              <w:right w:val="single" w:sz="6" w:space="0" w:color="auto"/>
            </w:tcBorders>
          </w:tcPr>
          <w:p w14:paraId="3B113DBA" w14:textId="3416F53C" w:rsidR="00FB6710" w:rsidRPr="00183B5F" w:rsidRDefault="00943743" w:rsidP="00FE0197">
            <w:pPr>
              <w:pStyle w:val="In-texttable"/>
              <w:spacing w:line="240" w:lineRule="auto"/>
              <w:jc w:val="center"/>
              <w:rPr>
                <w:del w:id="5454" w:author="AbbVie_HU_03" w:date="2025-05-14T15:27:00Z"/>
                <w:rFonts w:ascii="Times New Roman" w:hAnsi="Times New Roman"/>
                <w:sz w:val="22"/>
                <w:lang w:val="hu-HU"/>
              </w:rPr>
            </w:pPr>
            <w:del w:id="5455" w:author="AbbVie_HU_03" w:date="2025-05-14T15:27:00Z">
              <w:r w:rsidRPr="00183B5F">
                <w:rPr>
                  <w:rFonts w:ascii="Times New Roman" w:hAnsi="Times New Roman"/>
                  <w:sz w:val="22"/>
                  <w:lang w:val="hu-HU"/>
                </w:rPr>
                <w:delText>Humira</w:delText>
              </w:r>
              <w:r w:rsidRPr="00183B5F">
                <w:rPr>
                  <w:rFonts w:ascii="Times New Roman" w:hAnsi="Times New Roman"/>
                  <w:sz w:val="22"/>
                  <w:vertAlign w:val="superscript"/>
                  <w:lang w:val="hu-HU"/>
                </w:rPr>
                <w:delText>b</w:delText>
              </w:r>
              <w:r w:rsidRPr="00183B5F">
                <w:rPr>
                  <w:rFonts w:ascii="Times New Roman" w:hAnsi="Times New Roman"/>
                  <w:sz w:val="22"/>
                  <w:lang w:val="hu-HU"/>
                </w:rPr>
                <w:delText>/ MTX</w:delText>
              </w:r>
              <w:r w:rsidRPr="00183B5F">
                <w:rPr>
                  <w:rFonts w:ascii="Times New Roman" w:hAnsi="Times New Roman"/>
                  <w:sz w:val="22"/>
                  <w:vertAlign w:val="superscript"/>
                  <w:lang w:val="hu-HU"/>
                </w:rPr>
                <w:delText>c</w:delText>
              </w:r>
            </w:del>
          </w:p>
          <w:p w14:paraId="1F79D779" w14:textId="53F6F61C" w:rsidR="00FB6710" w:rsidRPr="00183B5F" w:rsidRDefault="00943743" w:rsidP="00FE0197">
            <w:pPr>
              <w:pStyle w:val="In-texttable"/>
              <w:spacing w:line="240" w:lineRule="auto"/>
              <w:jc w:val="center"/>
              <w:rPr>
                <w:del w:id="5456" w:author="AbbVie_HU_03" w:date="2025-05-14T15:27:00Z"/>
                <w:rFonts w:ascii="Times New Roman" w:hAnsi="Times New Roman"/>
                <w:sz w:val="22"/>
                <w:lang w:val="hu-HU"/>
              </w:rPr>
            </w:pPr>
            <w:del w:id="5457" w:author="AbbVie_HU_03" w:date="2025-05-14T15:27:00Z">
              <w:r w:rsidRPr="00183B5F">
                <w:rPr>
                  <w:rFonts w:ascii="Times New Roman" w:hAnsi="Times New Roman"/>
                  <w:sz w:val="22"/>
                  <w:lang w:val="hu-HU"/>
                </w:rPr>
                <w:delText>n = 63</w:delText>
              </w:r>
            </w:del>
          </w:p>
        </w:tc>
        <w:tc>
          <w:tcPr>
            <w:tcW w:w="1071" w:type="dxa"/>
            <w:tcBorders>
              <w:top w:val="single" w:sz="6" w:space="0" w:color="auto"/>
              <w:left w:val="single" w:sz="6" w:space="0" w:color="auto"/>
              <w:bottom w:val="single" w:sz="6" w:space="0" w:color="auto"/>
              <w:right w:val="nil"/>
            </w:tcBorders>
          </w:tcPr>
          <w:p w14:paraId="204BFAB3" w14:textId="4485B000" w:rsidR="00FB6710" w:rsidRPr="00183B5F" w:rsidRDefault="00943743" w:rsidP="00FE0197">
            <w:pPr>
              <w:pStyle w:val="In-texttable"/>
              <w:spacing w:line="240" w:lineRule="auto"/>
              <w:jc w:val="center"/>
              <w:rPr>
                <w:del w:id="5458" w:author="AbbVie_HU_03" w:date="2025-05-14T15:27:00Z"/>
                <w:rFonts w:ascii="Times New Roman" w:hAnsi="Times New Roman"/>
                <w:sz w:val="22"/>
                <w:lang w:val="hu-HU"/>
              </w:rPr>
            </w:pPr>
            <w:del w:id="5459" w:author="AbbVie_HU_03" w:date="2025-05-14T15:27:00Z">
              <w:r w:rsidRPr="00183B5F">
                <w:rPr>
                  <w:rFonts w:ascii="Times New Roman" w:hAnsi="Times New Roman"/>
                  <w:sz w:val="22"/>
                  <w:lang w:val="hu-HU"/>
                </w:rPr>
                <w:delText>Placebo</w:delText>
              </w:r>
            </w:del>
          </w:p>
          <w:p w14:paraId="1DDD7248" w14:textId="276DC959" w:rsidR="00FB6710" w:rsidRPr="00183B5F" w:rsidRDefault="00943743" w:rsidP="00FE0197">
            <w:pPr>
              <w:pStyle w:val="In-texttable"/>
              <w:spacing w:line="240" w:lineRule="auto"/>
              <w:jc w:val="center"/>
              <w:rPr>
                <w:del w:id="5460" w:author="AbbVie_HU_03" w:date="2025-05-14T15:27:00Z"/>
                <w:rFonts w:ascii="Times New Roman" w:hAnsi="Times New Roman"/>
                <w:sz w:val="22"/>
                <w:lang w:val="hu-HU"/>
              </w:rPr>
            </w:pPr>
            <w:del w:id="5461" w:author="AbbVie_HU_03" w:date="2025-05-14T15:27:00Z">
              <w:r w:rsidRPr="00183B5F">
                <w:rPr>
                  <w:rFonts w:ascii="Times New Roman" w:hAnsi="Times New Roman"/>
                  <w:sz w:val="22"/>
                  <w:lang w:val="hu-HU"/>
                </w:rPr>
                <w:delText>n = 110</w:delText>
              </w:r>
            </w:del>
          </w:p>
        </w:tc>
        <w:tc>
          <w:tcPr>
            <w:tcW w:w="1197" w:type="dxa"/>
            <w:tcBorders>
              <w:top w:val="single" w:sz="6" w:space="0" w:color="auto"/>
              <w:left w:val="nil"/>
              <w:bottom w:val="single" w:sz="6" w:space="0" w:color="auto"/>
              <w:right w:val="single" w:sz="6" w:space="0" w:color="auto"/>
            </w:tcBorders>
          </w:tcPr>
          <w:p w14:paraId="5375F20C" w14:textId="033EEDBA" w:rsidR="00FB6710" w:rsidRPr="00183B5F" w:rsidRDefault="00943743" w:rsidP="00FE0197">
            <w:pPr>
              <w:pStyle w:val="In-texttable"/>
              <w:spacing w:line="240" w:lineRule="auto"/>
              <w:jc w:val="center"/>
              <w:rPr>
                <w:del w:id="5462" w:author="AbbVie_HU_03" w:date="2025-05-14T15:27:00Z"/>
                <w:rFonts w:ascii="Times New Roman" w:hAnsi="Times New Roman"/>
                <w:sz w:val="22"/>
                <w:lang w:val="hu-HU"/>
              </w:rPr>
            </w:pPr>
            <w:del w:id="5463" w:author="AbbVie_HU_03" w:date="2025-05-14T15:27:00Z">
              <w:r w:rsidRPr="00183B5F">
                <w:rPr>
                  <w:rFonts w:ascii="Times New Roman" w:hAnsi="Times New Roman"/>
                  <w:sz w:val="22"/>
                  <w:lang w:val="hu-HU"/>
                </w:rPr>
                <w:delText>Humira</w:delText>
              </w:r>
              <w:r w:rsidRPr="00183B5F">
                <w:rPr>
                  <w:rFonts w:ascii="Times New Roman" w:hAnsi="Times New Roman"/>
                  <w:sz w:val="22"/>
                  <w:vertAlign w:val="superscript"/>
                  <w:lang w:val="hu-HU"/>
                </w:rPr>
                <w:delText>b</w:delText>
              </w:r>
            </w:del>
          </w:p>
          <w:p w14:paraId="6ED3918B" w14:textId="5374F4BB" w:rsidR="00FB6710" w:rsidRPr="00183B5F" w:rsidRDefault="00943743" w:rsidP="00FE0197">
            <w:pPr>
              <w:pStyle w:val="In-texttable"/>
              <w:spacing w:line="240" w:lineRule="auto"/>
              <w:jc w:val="center"/>
              <w:rPr>
                <w:del w:id="5464" w:author="AbbVie_HU_03" w:date="2025-05-14T15:27:00Z"/>
                <w:rFonts w:ascii="Times New Roman" w:hAnsi="Times New Roman"/>
                <w:sz w:val="22"/>
                <w:lang w:val="hu-HU"/>
              </w:rPr>
            </w:pPr>
            <w:del w:id="5465" w:author="AbbVie_HU_03" w:date="2025-05-14T15:27:00Z">
              <w:r w:rsidRPr="00183B5F">
                <w:rPr>
                  <w:rFonts w:ascii="Times New Roman" w:hAnsi="Times New Roman"/>
                  <w:sz w:val="22"/>
                  <w:lang w:val="hu-HU"/>
                </w:rPr>
                <w:delText>n = 113</w:delText>
              </w:r>
            </w:del>
          </w:p>
        </w:tc>
        <w:tc>
          <w:tcPr>
            <w:tcW w:w="1418" w:type="dxa"/>
            <w:tcBorders>
              <w:top w:val="single" w:sz="6" w:space="0" w:color="auto"/>
              <w:left w:val="single" w:sz="6" w:space="0" w:color="auto"/>
              <w:bottom w:val="single" w:sz="6" w:space="0" w:color="auto"/>
              <w:right w:val="nil"/>
            </w:tcBorders>
          </w:tcPr>
          <w:p w14:paraId="458383DF" w14:textId="76234871" w:rsidR="00116852" w:rsidRPr="00183B5F" w:rsidRDefault="00943743" w:rsidP="00FE0197">
            <w:pPr>
              <w:pStyle w:val="In-texttable"/>
              <w:spacing w:line="240" w:lineRule="auto"/>
              <w:jc w:val="center"/>
              <w:rPr>
                <w:del w:id="5466" w:author="AbbVie_HU_03" w:date="2025-05-14T15:27:00Z"/>
                <w:rFonts w:ascii="Times New Roman" w:hAnsi="Times New Roman"/>
                <w:sz w:val="22"/>
                <w:szCs w:val="22"/>
                <w:lang w:val="hu-HU"/>
              </w:rPr>
            </w:pPr>
            <w:del w:id="5467" w:author="AbbVie_HU_03" w:date="2025-05-14T15:27:00Z">
              <w:r w:rsidRPr="00183B5F">
                <w:rPr>
                  <w:rFonts w:ascii="Times New Roman" w:hAnsi="Times New Roman"/>
                  <w:sz w:val="22"/>
                  <w:szCs w:val="22"/>
                  <w:lang w:val="hu-HU"/>
                </w:rPr>
                <w:delText xml:space="preserve">Placebo/ </w:delText>
              </w:r>
            </w:del>
          </w:p>
          <w:p w14:paraId="6166DDF2" w14:textId="180381E8" w:rsidR="00FB6710" w:rsidRPr="00183B5F" w:rsidRDefault="00943743" w:rsidP="00FE0197">
            <w:pPr>
              <w:pStyle w:val="In-texttable"/>
              <w:spacing w:line="240" w:lineRule="auto"/>
              <w:jc w:val="center"/>
              <w:rPr>
                <w:del w:id="5468" w:author="AbbVie_HU_03" w:date="2025-05-14T15:27:00Z"/>
                <w:rFonts w:ascii="Times New Roman" w:hAnsi="Times New Roman"/>
                <w:sz w:val="22"/>
                <w:szCs w:val="22"/>
                <w:lang w:val="hu-HU"/>
              </w:rPr>
            </w:pPr>
            <w:del w:id="5469" w:author="AbbVie_HU_03" w:date="2025-05-14T15:27:00Z">
              <w:r w:rsidRPr="00183B5F">
                <w:rPr>
                  <w:rFonts w:ascii="Times New Roman" w:hAnsi="Times New Roman"/>
                  <w:sz w:val="22"/>
                  <w:szCs w:val="22"/>
                  <w:lang w:val="hu-HU"/>
                </w:rPr>
                <w:delText>MTX</w:delText>
              </w:r>
              <w:r w:rsidRPr="00183B5F">
                <w:rPr>
                  <w:rFonts w:ascii="Times New Roman" w:hAnsi="Times New Roman"/>
                  <w:sz w:val="22"/>
                  <w:szCs w:val="22"/>
                  <w:vertAlign w:val="superscript"/>
                  <w:lang w:val="hu-HU"/>
                </w:rPr>
                <w:delText>c</w:delText>
              </w:r>
            </w:del>
          </w:p>
          <w:p w14:paraId="425D883F" w14:textId="3754650C" w:rsidR="00FB6710" w:rsidRPr="00183B5F" w:rsidRDefault="00943743" w:rsidP="00FE0197">
            <w:pPr>
              <w:pStyle w:val="In-texttable"/>
              <w:spacing w:line="240" w:lineRule="auto"/>
              <w:jc w:val="center"/>
              <w:rPr>
                <w:del w:id="5470" w:author="AbbVie_HU_03" w:date="2025-05-14T15:27:00Z"/>
                <w:rFonts w:ascii="Times New Roman" w:hAnsi="Times New Roman"/>
                <w:sz w:val="22"/>
                <w:szCs w:val="22"/>
                <w:lang w:val="hu-HU"/>
              </w:rPr>
            </w:pPr>
            <w:del w:id="5471" w:author="AbbVie_HU_03" w:date="2025-05-14T15:27:00Z">
              <w:r w:rsidRPr="00183B5F">
                <w:rPr>
                  <w:rFonts w:ascii="Times New Roman" w:hAnsi="Times New Roman"/>
                  <w:sz w:val="22"/>
                  <w:szCs w:val="22"/>
                  <w:lang w:val="hu-HU"/>
                </w:rPr>
                <w:delText>n = 200</w:delText>
              </w:r>
            </w:del>
          </w:p>
        </w:tc>
        <w:tc>
          <w:tcPr>
            <w:tcW w:w="1559" w:type="dxa"/>
            <w:tcBorders>
              <w:top w:val="single" w:sz="6" w:space="0" w:color="auto"/>
              <w:left w:val="nil"/>
              <w:bottom w:val="single" w:sz="6" w:space="0" w:color="auto"/>
              <w:right w:val="single" w:sz="4" w:space="0" w:color="auto"/>
            </w:tcBorders>
          </w:tcPr>
          <w:p w14:paraId="1940B1FB" w14:textId="4B97F2E6" w:rsidR="00FB6710" w:rsidRPr="00183B5F" w:rsidRDefault="00943743" w:rsidP="00FE0197">
            <w:pPr>
              <w:pStyle w:val="In-texttable"/>
              <w:spacing w:line="240" w:lineRule="auto"/>
              <w:jc w:val="center"/>
              <w:rPr>
                <w:del w:id="5472" w:author="AbbVie_HU_03" w:date="2025-05-14T15:27:00Z"/>
                <w:rFonts w:ascii="Times New Roman" w:hAnsi="Times New Roman"/>
                <w:sz w:val="22"/>
                <w:lang w:val="hu-HU"/>
              </w:rPr>
            </w:pPr>
            <w:del w:id="5473" w:author="AbbVie_HU_03" w:date="2025-05-14T15:27:00Z">
              <w:r w:rsidRPr="00183B5F">
                <w:rPr>
                  <w:rFonts w:ascii="Times New Roman" w:hAnsi="Times New Roman"/>
                  <w:sz w:val="22"/>
                  <w:lang w:val="hu-HU"/>
                </w:rPr>
                <w:delText>Humira</w:delText>
              </w:r>
              <w:r w:rsidRPr="00183B5F">
                <w:rPr>
                  <w:rFonts w:ascii="Times New Roman" w:hAnsi="Times New Roman"/>
                  <w:sz w:val="22"/>
                  <w:vertAlign w:val="superscript"/>
                  <w:lang w:val="hu-HU"/>
                </w:rPr>
                <w:delText>b</w:delText>
              </w:r>
              <w:r w:rsidRPr="00183B5F">
                <w:rPr>
                  <w:rFonts w:ascii="Times New Roman" w:hAnsi="Times New Roman"/>
                  <w:sz w:val="22"/>
                  <w:lang w:val="hu-HU"/>
                </w:rPr>
                <w:delText>/ MTX</w:delText>
              </w:r>
              <w:r w:rsidRPr="00183B5F">
                <w:rPr>
                  <w:rFonts w:ascii="Times New Roman" w:hAnsi="Times New Roman"/>
                  <w:sz w:val="22"/>
                  <w:vertAlign w:val="superscript"/>
                  <w:lang w:val="hu-HU"/>
                </w:rPr>
                <w:delText>c</w:delText>
              </w:r>
            </w:del>
          </w:p>
          <w:p w14:paraId="61F89C89" w14:textId="16664D95" w:rsidR="00FB6710" w:rsidRPr="00183B5F" w:rsidRDefault="00943743" w:rsidP="00FE0197">
            <w:pPr>
              <w:pStyle w:val="In-texttable"/>
              <w:spacing w:line="240" w:lineRule="auto"/>
              <w:jc w:val="center"/>
              <w:rPr>
                <w:del w:id="5474" w:author="AbbVie_HU_03" w:date="2025-05-14T15:27:00Z"/>
                <w:rFonts w:ascii="Times New Roman" w:hAnsi="Times New Roman"/>
                <w:sz w:val="22"/>
                <w:lang w:val="hu-HU"/>
              </w:rPr>
            </w:pPr>
            <w:del w:id="5475" w:author="AbbVie_HU_03" w:date="2025-05-14T15:27:00Z">
              <w:r w:rsidRPr="00183B5F">
                <w:rPr>
                  <w:rFonts w:ascii="Times New Roman" w:hAnsi="Times New Roman"/>
                  <w:sz w:val="22"/>
                  <w:lang w:val="hu-HU"/>
                </w:rPr>
                <w:delText>n = 207</w:delText>
              </w:r>
            </w:del>
          </w:p>
        </w:tc>
      </w:tr>
      <w:tr w:rsidR="00011D2F" w14:paraId="0ACE80D9" w14:textId="2406442E" w:rsidTr="003811FE">
        <w:trPr>
          <w:cantSplit/>
          <w:del w:id="5476" w:author="AbbVie_HU_03" w:date="2025-05-14T15:27:00Z"/>
        </w:trPr>
        <w:tc>
          <w:tcPr>
            <w:tcW w:w="1159" w:type="dxa"/>
            <w:tcBorders>
              <w:top w:val="nil"/>
              <w:left w:val="single" w:sz="4" w:space="0" w:color="auto"/>
              <w:bottom w:val="nil"/>
              <w:right w:val="single" w:sz="6" w:space="0" w:color="auto"/>
            </w:tcBorders>
          </w:tcPr>
          <w:p w14:paraId="4664E735" w14:textId="3495F915" w:rsidR="00FB6710" w:rsidRPr="00183B5F" w:rsidRDefault="00943743" w:rsidP="00FE0197">
            <w:pPr>
              <w:pStyle w:val="In-texttable"/>
              <w:tabs>
                <w:tab w:val="left" w:pos="144"/>
              </w:tabs>
              <w:spacing w:line="240" w:lineRule="auto"/>
              <w:rPr>
                <w:del w:id="5477" w:author="AbbVie_HU_03" w:date="2025-05-14T15:27:00Z"/>
                <w:rFonts w:ascii="Times New Roman" w:hAnsi="Times New Roman"/>
                <w:sz w:val="22"/>
                <w:lang w:val="hu-HU"/>
              </w:rPr>
            </w:pPr>
            <w:del w:id="5478" w:author="AbbVie_HU_03" w:date="2025-05-14T15:27:00Z">
              <w:r w:rsidRPr="00183B5F">
                <w:rPr>
                  <w:rFonts w:ascii="Times New Roman" w:hAnsi="Times New Roman"/>
                  <w:sz w:val="22"/>
                  <w:lang w:val="hu-HU"/>
                </w:rPr>
                <w:delText>ACR 20</w:delText>
              </w:r>
            </w:del>
          </w:p>
        </w:tc>
        <w:tc>
          <w:tcPr>
            <w:tcW w:w="1393" w:type="dxa"/>
            <w:tcBorders>
              <w:top w:val="nil"/>
              <w:left w:val="single" w:sz="6" w:space="0" w:color="auto"/>
              <w:bottom w:val="nil"/>
              <w:right w:val="nil"/>
            </w:tcBorders>
          </w:tcPr>
          <w:p w14:paraId="2806A4DC" w14:textId="788157C4" w:rsidR="00FB6710" w:rsidRPr="00183B5F" w:rsidRDefault="00FB6710" w:rsidP="00FE0197">
            <w:pPr>
              <w:pStyle w:val="In-texttable"/>
              <w:spacing w:line="240" w:lineRule="auto"/>
              <w:jc w:val="center"/>
              <w:rPr>
                <w:del w:id="5479" w:author="AbbVie_HU_03" w:date="2025-05-14T15:27:00Z"/>
                <w:rFonts w:ascii="Times New Roman" w:hAnsi="Times New Roman"/>
                <w:sz w:val="22"/>
                <w:lang w:val="hu-HU"/>
              </w:rPr>
            </w:pPr>
          </w:p>
        </w:tc>
        <w:tc>
          <w:tcPr>
            <w:tcW w:w="1417" w:type="dxa"/>
            <w:tcBorders>
              <w:top w:val="nil"/>
              <w:left w:val="nil"/>
              <w:bottom w:val="nil"/>
              <w:right w:val="single" w:sz="6" w:space="0" w:color="auto"/>
            </w:tcBorders>
          </w:tcPr>
          <w:p w14:paraId="21EF6623" w14:textId="151102CD" w:rsidR="00FB6710" w:rsidRPr="00183B5F" w:rsidRDefault="00FB6710" w:rsidP="00FE0197">
            <w:pPr>
              <w:pStyle w:val="In-texttable"/>
              <w:spacing w:line="240" w:lineRule="auto"/>
              <w:jc w:val="center"/>
              <w:rPr>
                <w:del w:id="5480" w:author="AbbVie_HU_03" w:date="2025-05-14T15:27:00Z"/>
                <w:rFonts w:ascii="Times New Roman" w:hAnsi="Times New Roman"/>
                <w:sz w:val="22"/>
                <w:lang w:val="hu-HU"/>
              </w:rPr>
            </w:pPr>
          </w:p>
        </w:tc>
        <w:tc>
          <w:tcPr>
            <w:tcW w:w="1071" w:type="dxa"/>
            <w:tcBorders>
              <w:top w:val="nil"/>
              <w:left w:val="single" w:sz="6" w:space="0" w:color="auto"/>
              <w:bottom w:val="nil"/>
              <w:right w:val="nil"/>
            </w:tcBorders>
          </w:tcPr>
          <w:p w14:paraId="782E1ADD" w14:textId="48A52B0B" w:rsidR="00FB6710" w:rsidRPr="00183B5F" w:rsidRDefault="00FB6710" w:rsidP="00FE0197">
            <w:pPr>
              <w:pStyle w:val="In-texttable"/>
              <w:spacing w:line="240" w:lineRule="auto"/>
              <w:jc w:val="center"/>
              <w:rPr>
                <w:del w:id="5481" w:author="AbbVie_HU_03" w:date="2025-05-14T15:27:00Z"/>
                <w:rFonts w:ascii="Times New Roman" w:hAnsi="Times New Roman"/>
                <w:sz w:val="22"/>
                <w:lang w:val="hu-HU"/>
              </w:rPr>
            </w:pPr>
          </w:p>
        </w:tc>
        <w:tc>
          <w:tcPr>
            <w:tcW w:w="1197" w:type="dxa"/>
            <w:tcBorders>
              <w:top w:val="nil"/>
              <w:left w:val="nil"/>
              <w:bottom w:val="nil"/>
              <w:right w:val="single" w:sz="6" w:space="0" w:color="auto"/>
            </w:tcBorders>
          </w:tcPr>
          <w:p w14:paraId="1BC97B6F" w14:textId="03712429" w:rsidR="00FB6710" w:rsidRPr="00183B5F" w:rsidRDefault="00FB6710" w:rsidP="00FE0197">
            <w:pPr>
              <w:pStyle w:val="In-texttable"/>
              <w:spacing w:line="240" w:lineRule="auto"/>
              <w:jc w:val="center"/>
              <w:rPr>
                <w:del w:id="5482" w:author="AbbVie_HU_03" w:date="2025-05-14T15:27:00Z"/>
                <w:rFonts w:ascii="Times New Roman" w:hAnsi="Times New Roman"/>
                <w:sz w:val="22"/>
                <w:lang w:val="hu-HU"/>
              </w:rPr>
            </w:pPr>
          </w:p>
        </w:tc>
        <w:tc>
          <w:tcPr>
            <w:tcW w:w="1418" w:type="dxa"/>
            <w:tcBorders>
              <w:top w:val="single" w:sz="6" w:space="0" w:color="auto"/>
              <w:left w:val="single" w:sz="6" w:space="0" w:color="auto"/>
              <w:bottom w:val="nil"/>
              <w:right w:val="nil"/>
            </w:tcBorders>
          </w:tcPr>
          <w:p w14:paraId="1B912193" w14:textId="2684E03C" w:rsidR="00FB6710" w:rsidRPr="00183B5F" w:rsidRDefault="00FB6710" w:rsidP="00FE0197">
            <w:pPr>
              <w:pStyle w:val="In-texttable"/>
              <w:spacing w:line="240" w:lineRule="auto"/>
              <w:jc w:val="center"/>
              <w:rPr>
                <w:del w:id="5483" w:author="AbbVie_HU_03" w:date="2025-05-14T15:27:00Z"/>
                <w:rFonts w:ascii="Times New Roman" w:hAnsi="Times New Roman"/>
                <w:sz w:val="22"/>
                <w:lang w:val="hu-HU"/>
              </w:rPr>
            </w:pPr>
          </w:p>
        </w:tc>
        <w:tc>
          <w:tcPr>
            <w:tcW w:w="1559" w:type="dxa"/>
            <w:tcBorders>
              <w:top w:val="single" w:sz="6" w:space="0" w:color="auto"/>
              <w:left w:val="nil"/>
              <w:bottom w:val="nil"/>
              <w:right w:val="single" w:sz="4" w:space="0" w:color="auto"/>
            </w:tcBorders>
          </w:tcPr>
          <w:p w14:paraId="29C1CC7C" w14:textId="529B1F22" w:rsidR="00FB6710" w:rsidRPr="00183B5F" w:rsidRDefault="00FB6710" w:rsidP="00FE0197">
            <w:pPr>
              <w:pStyle w:val="In-texttable"/>
              <w:spacing w:line="240" w:lineRule="auto"/>
              <w:jc w:val="center"/>
              <w:rPr>
                <w:del w:id="5484" w:author="AbbVie_HU_03" w:date="2025-05-14T15:27:00Z"/>
                <w:rFonts w:ascii="Times New Roman" w:hAnsi="Times New Roman"/>
                <w:sz w:val="22"/>
                <w:lang w:val="hu-HU"/>
              </w:rPr>
            </w:pPr>
          </w:p>
        </w:tc>
      </w:tr>
      <w:tr w:rsidR="00011D2F" w14:paraId="046A5C48" w14:textId="70A0B9CB" w:rsidTr="003811FE">
        <w:trPr>
          <w:cantSplit/>
          <w:del w:id="5485" w:author="AbbVie_HU_03" w:date="2025-05-14T15:27:00Z"/>
        </w:trPr>
        <w:tc>
          <w:tcPr>
            <w:tcW w:w="1159" w:type="dxa"/>
            <w:tcBorders>
              <w:top w:val="nil"/>
              <w:left w:val="single" w:sz="4" w:space="0" w:color="auto"/>
              <w:bottom w:val="nil"/>
              <w:right w:val="single" w:sz="6" w:space="0" w:color="auto"/>
            </w:tcBorders>
          </w:tcPr>
          <w:p w14:paraId="2F31C978" w14:textId="0D14B481" w:rsidR="00FB6710" w:rsidRPr="00183B5F" w:rsidRDefault="00943743" w:rsidP="00FE0197">
            <w:pPr>
              <w:pStyle w:val="In-texttable"/>
              <w:tabs>
                <w:tab w:val="left" w:pos="144"/>
              </w:tabs>
              <w:spacing w:line="240" w:lineRule="auto"/>
              <w:rPr>
                <w:del w:id="5486" w:author="AbbVie_HU_03" w:date="2025-05-14T15:27:00Z"/>
                <w:rFonts w:ascii="Times New Roman" w:hAnsi="Times New Roman"/>
                <w:sz w:val="22"/>
                <w:lang w:val="hu-HU"/>
              </w:rPr>
            </w:pPr>
            <w:del w:id="5487" w:author="AbbVie_HU_03" w:date="2025-05-14T15:27:00Z">
              <w:r w:rsidRPr="00183B5F">
                <w:rPr>
                  <w:rFonts w:ascii="Times New Roman" w:hAnsi="Times New Roman"/>
                  <w:sz w:val="22"/>
                  <w:lang w:val="hu-HU"/>
                </w:rPr>
                <w:tab/>
                <w:delText>6</w:delText>
              </w:r>
              <w:r w:rsidR="007621E0" w:rsidRPr="00183B5F">
                <w:rPr>
                  <w:rFonts w:ascii="Times New Roman" w:hAnsi="Times New Roman"/>
                  <w:sz w:val="22"/>
                  <w:lang w:val="hu-HU"/>
                </w:rPr>
                <w:delText> </w:delText>
              </w:r>
              <w:r w:rsidRPr="00183B5F">
                <w:rPr>
                  <w:rFonts w:ascii="Times New Roman" w:hAnsi="Times New Roman"/>
                  <w:sz w:val="22"/>
                  <w:lang w:val="hu-HU"/>
                </w:rPr>
                <w:delText>hónap</w:delText>
              </w:r>
            </w:del>
          </w:p>
        </w:tc>
        <w:tc>
          <w:tcPr>
            <w:tcW w:w="1393" w:type="dxa"/>
            <w:tcBorders>
              <w:top w:val="nil"/>
              <w:left w:val="single" w:sz="6" w:space="0" w:color="auto"/>
              <w:bottom w:val="nil"/>
              <w:right w:val="nil"/>
            </w:tcBorders>
          </w:tcPr>
          <w:p w14:paraId="240AC2C2" w14:textId="125128ED" w:rsidR="00FB6710" w:rsidRPr="00183B5F" w:rsidRDefault="00943743" w:rsidP="00FE0197">
            <w:pPr>
              <w:pStyle w:val="In-texttable"/>
              <w:tabs>
                <w:tab w:val="decimal" w:pos="259"/>
              </w:tabs>
              <w:spacing w:line="240" w:lineRule="auto"/>
              <w:jc w:val="center"/>
              <w:rPr>
                <w:del w:id="5488" w:author="AbbVie_HU_03" w:date="2025-05-14T15:27:00Z"/>
                <w:rFonts w:ascii="Times New Roman" w:hAnsi="Times New Roman"/>
                <w:sz w:val="22"/>
                <w:lang w:val="hu-HU"/>
              </w:rPr>
            </w:pPr>
            <w:del w:id="5489" w:author="AbbVie_HU_03" w:date="2025-05-14T15:27:00Z">
              <w:r w:rsidRPr="00183B5F">
                <w:rPr>
                  <w:rFonts w:ascii="Times New Roman" w:hAnsi="Times New Roman"/>
                  <w:sz w:val="22"/>
                  <w:lang w:val="hu-HU"/>
                </w:rPr>
                <w:delText>13,3%</w:delText>
              </w:r>
            </w:del>
          </w:p>
        </w:tc>
        <w:tc>
          <w:tcPr>
            <w:tcW w:w="1417" w:type="dxa"/>
            <w:tcBorders>
              <w:top w:val="nil"/>
              <w:left w:val="nil"/>
              <w:bottom w:val="nil"/>
              <w:right w:val="single" w:sz="6" w:space="0" w:color="auto"/>
            </w:tcBorders>
          </w:tcPr>
          <w:p w14:paraId="4BDE4EDD" w14:textId="4872F7AD" w:rsidR="00FB6710" w:rsidRPr="00183B5F" w:rsidRDefault="00943743" w:rsidP="00FE0197">
            <w:pPr>
              <w:pStyle w:val="In-texttable"/>
              <w:tabs>
                <w:tab w:val="decimal" w:pos="250"/>
              </w:tabs>
              <w:spacing w:line="240" w:lineRule="auto"/>
              <w:jc w:val="center"/>
              <w:rPr>
                <w:del w:id="5490" w:author="AbbVie_HU_03" w:date="2025-05-14T15:27:00Z"/>
                <w:rFonts w:ascii="Times New Roman" w:hAnsi="Times New Roman"/>
                <w:sz w:val="22"/>
                <w:lang w:val="hu-HU"/>
              </w:rPr>
            </w:pPr>
            <w:del w:id="5491" w:author="AbbVie_HU_03" w:date="2025-05-14T15:27:00Z">
              <w:r w:rsidRPr="00183B5F">
                <w:rPr>
                  <w:rFonts w:ascii="Times New Roman" w:hAnsi="Times New Roman"/>
                  <w:sz w:val="22"/>
                  <w:lang w:val="hu-HU"/>
                </w:rPr>
                <w:delText>65,1%</w:delText>
              </w:r>
            </w:del>
          </w:p>
        </w:tc>
        <w:tc>
          <w:tcPr>
            <w:tcW w:w="1071" w:type="dxa"/>
            <w:tcBorders>
              <w:top w:val="nil"/>
              <w:left w:val="single" w:sz="6" w:space="0" w:color="auto"/>
              <w:bottom w:val="nil"/>
              <w:right w:val="nil"/>
            </w:tcBorders>
          </w:tcPr>
          <w:p w14:paraId="2A844B94" w14:textId="472E785D" w:rsidR="00FB6710" w:rsidRPr="00183B5F" w:rsidRDefault="00943743" w:rsidP="00FE0197">
            <w:pPr>
              <w:pStyle w:val="In-texttable"/>
              <w:spacing w:line="240" w:lineRule="auto"/>
              <w:jc w:val="center"/>
              <w:rPr>
                <w:del w:id="5492" w:author="AbbVie_HU_03" w:date="2025-05-14T15:27:00Z"/>
                <w:rFonts w:ascii="Times New Roman" w:hAnsi="Times New Roman"/>
                <w:sz w:val="22"/>
                <w:lang w:val="hu-HU"/>
              </w:rPr>
            </w:pPr>
            <w:del w:id="5493" w:author="AbbVie_HU_03" w:date="2025-05-14T15:27:00Z">
              <w:r w:rsidRPr="00183B5F">
                <w:rPr>
                  <w:rFonts w:ascii="Times New Roman" w:hAnsi="Times New Roman"/>
                  <w:sz w:val="22"/>
                  <w:lang w:val="hu-HU"/>
                </w:rPr>
                <w:delText>19,1%</w:delText>
              </w:r>
            </w:del>
          </w:p>
        </w:tc>
        <w:tc>
          <w:tcPr>
            <w:tcW w:w="1197" w:type="dxa"/>
            <w:tcBorders>
              <w:top w:val="nil"/>
              <w:left w:val="nil"/>
              <w:bottom w:val="nil"/>
              <w:right w:val="single" w:sz="6" w:space="0" w:color="auto"/>
            </w:tcBorders>
          </w:tcPr>
          <w:p w14:paraId="305437B2" w14:textId="2AC0E6A8" w:rsidR="00FB6710" w:rsidRPr="00183B5F" w:rsidRDefault="00943743" w:rsidP="00FE0197">
            <w:pPr>
              <w:pStyle w:val="In-texttable"/>
              <w:tabs>
                <w:tab w:val="decimal" w:pos="205"/>
              </w:tabs>
              <w:spacing w:line="240" w:lineRule="auto"/>
              <w:jc w:val="center"/>
              <w:rPr>
                <w:del w:id="5494" w:author="AbbVie_HU_03" w:date="2025-05-14T15:27:00Z"/>
                <w:rFonts w:ascii="Times New Roman" w:hAnsi="Times New Roman"/>
                <w:sz w:val="22"/>
                <w:lang w:val="hu-HU"/>
              </w:rPr>
            </w:pPr>
            <w:del w:id="5495" w:author="AbbVie_HU_03" w:date="2025-05-14T15:27:00Z">
              <w:r w:rsidRPr="00183B5F">
                <w:rPr>
                  <w:rFonts w:ascii="Times New Roman" w:hAnsi="Times New Roman"/>
                  <w:sz w:val="22"/>
                  <w:lang w:val="hu-HU"/>
                </w:rPr>
                <w:delText>46,0%</w:delText>
              </w:r>
            </w:del>
          </w:p>
        </w:tc>
        <w:tc>
          <w:tcPr>
            <w:tcW w:w="1418" w:type="dxa"/>
            <w:tcBorders>
              <w:top w:val="nil"/>
              <w:left w:val="single" w:sz="6" w:space="0" w:color="auto"/>
              <w:bottom w:val="nil"/>
              <w:right w:val="nil"/>
            </w:tcBorders>
          </w:tcPr>
          <w:p w14:paraId="29E973B8" w14:textId="3002D942" w:rsidR="00FB6710" w:rsidRPr="00183B5F" w:rsidRDefault="00943743" w:rsidP="00FE0197">
            <w:pPr>
              <w:pStyle w:val="In-texttable"/>
              <w:tabs>
                <w:tab w:val="decimal" w:pos="144"/>
              </w:tabs>
              <w:spacing w:line="240" w:lineRule="auto"/>
              <w:jc w:val="center"/>
              <w:rPr>
                <w:del w:id="5496" w:author="AbbVie_HU_03" w:date="2025-05-14T15:27:00Z"/>
                <w:rFonts w:ascii="Times New Roman" w:hAnsi="Times New Roman"/>
                <w:sz w:val="22"/>
                <w:lang w:val="hu-HU"/>
              </w:rPr>
            </w:pPr>
            <w:del w:id="5497" w:author="AbbVie_HU_03" w:date="2025-05-14T15:27:00Z">
              <w:r w:rsidRPr="00183B5F">
                <w:rPr>
                  <w:rFonts w:ascii="Times New Roman" w:hAnsi="Times New Roman"/>
                  <w:sz w:val="22"/>
                  <w:lang w:val="hu-HU"/>
                </w:rPr>
                <w:delText>29,5%</w:delText>
              </w:r>
            </w:del>
          </w:p>
        </w:tc>
        <w:tc>
          <w:tcPr>
            <w:tcW w:w="1559" w:type="dxa"/>
            <w:tcBorders>
              <w:right w:val="single" w:sz="4" w:space="0" w:color="auto"/>
            </w:tcBorders>
          </w:tcPr>
          <w:p w14:paraId="7C091B54" w14:textId="0278D56F" w:rsidR="00FB6710" w:rsidRPr="00183B5F" w:rsidRDefault="00943743" w:rsidP="00FE0197">
            <w:pPr>
              <w:pStyle w:val="In-texttable"/>
              <w:tabs>
                <w:tab w:val="decimal" w:pos="95"/>
              </w:tabs>
              <w:spacing w:line="240" w:lineRule="auto"/>
              <w:jc w:val="center"/>
              <w:rPr>
                <w:del w:id="5498" w:author="AbbVie_HU_03" w:date="2025-05-14T15:27:00Z"/>
                <w:rFonts w:ascii="Times New Roman" w:hAnsi="Times New Roman"/>
                <w:sz w:val="22"/>
                <w:lang w:val="hu-HU"/>
              </w:rPr>
            </w:pPr>
            <w:del w:id="5499" w:author="AbbVie_HU_03" w:date="2025-05-14T15:27:00Z">
              <w:r w:rsidRPr="00183B5F">
                <w:rPr>
                  <w:rFonts w:ascii="Times New Roman" w:hAnsi="Times New Roman"/>
                  <w:sz w:val="22"/>
                  <w:lang w:val="hu-HU"/>
                </w:rPr>
                <w:delText>63,3%</w:delText>
              </w:r>
            </w:del>
          </w:p>
        </w:tc>
      </w:tr>
      <w:tr w:rsidR="00011D2F" w14:paraId="6D168F8A" w14:textId="706E1C3D" w:rsidTr="003811FE">
        <w:trPr>
          <w:cantSplit/>
          <w:del w:id="5500" w:author="AbbVie_HU_03" w:date="2025-05-14T15:27:00Z"/>
        </w:trPr>
        <w:tc>
          <w:tcPr>
            <w:tcW w:w="1159" w:type="dxa"/>
            <w:tcBorders>
              <w:top w:val="nil"/>
              <w:left w:val="single" w:sz="4" w:space="0" w:color="auto"/>
              <w:bottom w:val="nil"/>
              <w:right w:val="single" w:sz="6" w:space="0" w:color="auto"/>
            </w:tcBorders>
          </w:tcPr>
          <w:p w14:paraId="7F62E5E2" w14:textId="6B0F1425" w:rsidR="00FB6710" w:rsidRPr="00183B5F" w:rsidRDefault="00943743" w:rsidP="00FE0197">
            <w:pPr>
              <w:pStyle w:val="In-texttable"/>
              <w:tabs>
                <w:tab w:val="left" w:pos="144"/>
              </w:tabs>
              <w:spacing w:line="240" w:lineRule="auto"/>
              <w:rPr>
                <w:del w:id="5501" w:author="AbbVie_HU_03" w:date="2025-05-14T15:27:00Z"/>
                <w:rFonts w:ascii="Times New Roman" w:hAnsi="Times New Roman"/>
                <w:sz w:val="22"/>
                <w:lang w:val="hu-HU"/>
              </w:rPr>
            </w:pPr>
            <w:del w:id="5502" w:author="AbbVie_HU_03" w:date="2025-05-14T15:27:00Z">
              <w:r w:rsidRPr="00183B5F">
                <w:rPr>
                  <w:rFonts w:ascii="Times New Roman" w:hAnsi="Times New Roman"/>
                  <w:sz w:val="22"/>
                  <w:lang w:val="hu-HU"/>
                </w:rPr>
                <w:tab/>
                <w:delText>12</w:delText>
              </w:r>
              <w:r w:rsidR="007621E0" w:rsidRPr="00183B5F">
                <w:rPr>
                  <w:rFonts w:ascii="Times New Roman" w:hAnsi="Times New Roman"/>
                  <w:sz w:val="22"/>
                  <w:lang w:val="hu-HU"/>
                </w:rPr>
                <w:delText> </w:delText>
              </w:r>
              <w:r w:rsidRPr="00183B5F">
                <w:rPr>
                  <w:rFonts w:ascii="Times New Roman" w:hAnsi="Times New Roman"/>
                  <w:sz w:val="22"/>
                  <w:lang w:val="hu-HU"/>
                </w:rPr>
                <w:delText>hónap</w:delText>
              </w:r>
            </w:del>
          </w:p>
        </w:tc>
        <w:tc>
          <w:tcPr>
            <w:tcW w:w="1393" w:type="dxa"/>
            <w:tcBorders>
              <w:top w:val="nil"/>
              <w:left w:val="single" w:sz="6" w:space="0" w:color="auto"/>
              <w:bottom w:val="nil"/>
              <w:right w:val="nil"/>
            </w:tcBorders>
          </w:tcPr>
          <w:p w14:paraId="101A03FE" w14:textId="494D963E" w:rsidR="00FB6710" w:rsidRPr="00183B5F" w:rsidRDefault="00943743" w:rsidP="00FE0197">
            <w:pPr>
              <w:pStyle w:val="In-texttable"/>
              <w:tabs>
                <w:tab w:val="decimal" w:pos="259"/>
              </w:tabs>
              <w:spacing w:line="240" w:lineRule="auto"/>
              <w:jc w:val="center"/>
              <w:rPr>
                <w:del w:id="5503" w:author="AbbVie_HU_03" w:date="2025-05-14T15:27:00Z"/>
                <w:rFonts w:ascii="Times New Roman" w:hAnsi="Times New Roman"/>
                <w:sz w:val="22"/>
                <w:lang w:val="hu-HU"/>
              </w:rPr>
            </w:pPr>
            <w:del w:id="5504" w:author="AbbVie_HU_03" w:date="2025-05-14T15:27:00Z">
              <w:r w:rsidRPr="00183B5F">
                <w:rPr>
                  <w:rFonts w:ascii="Times New Roman" w:hAnsi="Times New Roman"/>
                  <w:sz w:val="22"/>
                  <w:lang w:val="hu-HU"/>
                </w:rPr>
                <w:delText>NA</w:delText>
              </w:r>
            </w:del>
          </w:p>
        </w:tc>
        <w:tc>
          <w:tcPr>
            <w:tcW w:w="1417" w:type="dxa"/>
            <w:tcBorders>
              <w:top w:val="nil"/>
              <w:left w:val="nil"/>
              <w:bottom w:val="nil"/>
              <w:right w:val="single" w:sz="6" w:space="0" w:color="auto"/>
            </w:tcBorders>
          </w:tcPr>
          <w:p w14:paraId="5117E889" w14:textId="7DA79E9D" w:rsidR="00FB6710" w:rsidRPr="00183B5F" w:rsidRDefault="00943743" w:rsidP="00FE0197">
            <w:pPr>
              <w:pStyle w:val="In-texttable"/>
              <w:tabs>
                <w:tab w:val="decimal" w:pos="250"/>
              </w:tabs>
              <w:spacing w:line="240" w:lineRule="auto"/>
              <w:jc w:val="center"/>
              <w:rPr>
                <w:del w:id="5505" w:author="AbbVie_HU_03" w:date="2025-05-14T15:27:00Z"/>
                <w:rFonts w:ascii="Times New Roman" w:hAnsi="Times New Roman"/>
                <w:sz w:val="22"/>
                <w:lang w:val="hu-HU"/>
              </w:rPr>
            </w:pPr>
            <w:del w:id="5506" w:author="AbbVie_HU_03" w:date="2025-05-14T15:27:00Z">
              <w:r w:rsidRPr="00183B5F">
                <w:rPr>
                  <w:rFonts w:ascii="Times New Roman" w:hAnsi="Times New Roman"/>
                  <w:sz w:val="22"/>
                  <w:lang w:val="hu-HU"/>
                </w:rPr>
                <w:delText>NA</w:delText>
              </w:r>
            </w:del>
          </w:p>
        </w:tc>
        <w:tc>
          <w:tcPr>
            <w:tcW w:w="1071" w:type="dxa"/>
            <w:tcBorders>
              <w:top w:val="nil"/>
              <w:left w:val="single" w:sz="6" w:space="0" w:color="auto"/>
              <w:bottom w:val="nil"/>
              <w:right w:val="nil"/>
            </w:tcBorders>
          </w:tcPr>
          <w:p w14:paraId="1D40B1A1" w14:textId="2DD6ECA3" w:rsidR="00FB6710" w:rsidRPr="00183B5F" w:rsidRDefault="00943743" w:rsidP="00FE0197">
            <w:pPr>
              <w:pStyle w:val="In-texttable"/>
              <w:spacing w:line="240" w:lineRule="auto"/>
              <w:jc w:val="center"/>
              <w:rPr>
                <w:del w:id="5507" w:author="AbbVie_HU_03" w:date="2025-05-14T15:27:00Z"/>
                <w:rFonts w:ascii="Times New Roman" w:hAnsi="Times New Roman"/>
                <w:sz w:val="22"/>
                <w:lang w:val="hu-HU"/>
              </w:rPr>
            </w:pPr>
            <w:del w:id="5508" w:author="AbbVie_HU_03" w:date="2025-05-14T15:27:00Z">
              <w:r w:rsidRPr="00183B5F">
                <w:rPr>
                  <w:rFonts w:ascii="Times New Roman" w:hAnsi="Times New Roman"/>
                  <w:sz w:val="22"/>
                  <w:lang w:val="hu-HU"/>
                </w:rPr>
                <w:delText>NA</w:delText>
              </w:r>
            </w:del>
          </w:p>
        </w:tc>
        <w:tc>
          <w:tcPr>
            <w:tcW w:w="1197" w:type="dxa"/>
            <w:tcBorders>
              <w:top w:val="nil"/>
              <w:left w:val="nil"/>
              <w:bottom w:val="nil"/>
              <w:right w:val="single" w:sz="6" w:space="0" w:color="auto"/>
            </w:tcBorders>
          </w:tcPr>
          <w:p w14:paraId="55EB2981" w14:textId="394DD93D" w:rsidR="00FB6710" w:rsidRPr="00183B5F" w:rsidRDefault="00943743" w:rsidP="00FE0197">
            <w:pPr>
              <w:pStyle w:val="In-texttable"/>
              <w:tabs>
                <w:tab w:val="decimal" w:pos="205"/>
              </w:tabs>
              <w:spacing w:line="240" w:lineRule="auto"/>
              <w:jc w:val="center"/>
              <w:rPr>
                <w:del w:id="5509" w:author="AbbVie_HU_03" w:date="2025-05-14T15:27:00Z"/>
                <w:rFonts w:ascii="Times New Roman" w:hAnsi="Times New Roman"/>
                <w:sz w:val="22"/>
                <w:lang w:val="hu-HU"/>
              </w:rPr>
            </w:pPr>
            <w:del w:id="5510" w:author="AbbVie_HU_03" w:date="2025-05-14T15:27:00Z">
              <w:r w:rsidRPr="00183B5F">
                <w:rPr>
                  <w:rFonts w:ascii="Times New Roman" w:hAnsi="Times New Roman"/>
                  <w:sz w:val="22"/>
                  <w:lang w:val="hu-HU"/>
                </w:rPr>
                <w:delText>NA</w:delText>
              </w:r>
            </w:del>
          </w:p>
        </w:tc>
        <w:tc>
          <w:tcPr>
            <w:tcW w:w="1418" w:type="dxa"/>
            <w:tcBorders>
              <w:top w:val="nil"/>
              <w:left w:val="single" w:sz="6" w:space="0" w:color="auto"/>
              <w:bottom w:val="nil"/>
              <w:right w:val="nil"/>
            </w:tcBorders>
          </w:tcPr>
          <w:p w14:paraId="39A426A9" w14:textId="147CD3E4" w:rsidR="00FB6710" w:rsidRPr="00183B5F" w:rsidRDefault="00943743" w:rsidP="00FE0197">
            <w:pPr>
              <w:pStyle w:val="In-texttable"/>
              <w:tabs>
                <w:tab w:val="decimal" w:pos="144"/>
              </w:tabs>
              <w:spacing w:line="240" w:lineRule="auto"/>
              <w:jc w:val="center"/>
              <w:rPr>
                <w:del w:id="5511" w:author="AbbVie_HU_03" w:date="2025-05-14T15:27:00Z"/>
                <w:rFonts w:ascii="Times New Roman" w:hAnsi="Times New Roman"/>
                <w:sz w:val="22"/>
                <w:lang w:val="hu-HU"/>
              </w:rPr>
            </w:pPr>
            <w:del w:id="5512" w:author="AbbVie_HU_03" w:date="2025-05-14T15:27:00Z">
              <w:r w:rsidRPr="00183B5F">
                <w:rPr>
                  <w:rFonts w:ascii="Times New Roman" w:hAnsi="Times New Roman"/>
                  <w:sz w:val="22"/>
                  <w:lang w:val="hu-HU"/>
                </w:rPr>
                <w:delText>24,0%</w:delText>
              </w:r>
            </w:del>
          </w:p>
        </w:tc>
        <w:tc>
          <w:tcPr>
            <w:tcW w:w="1559" w:type="dxa"/>
            <w:tcBorders>
              <w:right w:val="single" w:sz="4" w:space="0" w:color="auto"/>
            </w:tcBorders>
          </w:tcPr>
          <w:p w14:paraId="696BF157" w14:textId="1AF2D1FA" w:rsidR="00FB6710" w:rsidRPr="00183B5F" w:rsidRDefault="00943743" w:rsidP="00FE0197">
            <w:pPr>
              <w:pStyle w:val="In-texttable"/>
              <w:tabs>
                <w:tab w:val="decimal" w:pos="95"/>
              </w:tabs>
              <w:spacing w:line="240" w:lineRule="auto"/>
              <w:jc w:val="center"/>
              <w:rPr>
                <w:del w:id="5513" w:author="AbbVie_HU_03" w:date="2025-05-14T15:27:00Z"/>
                <w:rFonts w:ascii="Times New Roman" w:hAnsi="Times New Roman"/>
                <w:sz w:val="22"/>
                <w:lang w:val="hu-HU"/>
              </w:rPr>
            </w:pPr>
            <w:del w:id="5514" w:author="AbbVie_HU_03" w:date="2025-05-14T15:27:00Z">
              <w:r w:rsidRPr="00183B5F">
                <w:rPr>
                  <w:rFonts w:ascii="Times New Roman" w:hAnsi="Times New Roman"/>
                  <w:sz w:val="22"/>
                  <w:lang w:val="hu-HU"/>
                </w:rPr>
                <w:delText>58,9%</w:delText>
              </w:r>
            </w:del>
          </w:p>
        </w:tc>
      </w:tr>
      <w:tr w:rsidR="00011D2F" w14:paraId="5756F25F" w14:textId="15A94BE8" w:rsidTr="003811FE">
        <w:trPr>
          <w:cantSplit/>
          <w:del w:id="5515" w:author="AbbVie_HU_03" w:date="2025-05-14T15:27:00Z"/>
        </w:trPr>
        <w:tc>
          <w:tcPr>
            <w:tcW w:w="1159" w:type="dxa"/>
            <w:tcBorders>
              <w:top w:val="nil"/>
              <w:left w:val="single" w:sz="4" w:space="0" w:color="auto"/>
              <w:bottom w:val="nil"/>
              <w:right w:val="single" w:sz="6" w:space="0" w:color="auto"/>
            </w:tcBorders>
          </w:tcPr>
          <w:p w14:paraId="158D816B" w14:textId="2F534055" w:rsidR="00FB6710" w:rsidRPr="00183B5F" w:rsidRDefault="00943743" w:rsidP="00FE0197">
            <w:pPr>
              <w:pStyle w:val="In-texttable"/>
              <w:tabs>
                <w:tab w:val="left" w:pos="144"/>
              </w:tabs>
              <w:spacing w:line="240" w:lineRule="auto"/>
              <w:rPr>
                <w:del w:id="5516" w:author="AbbVie_HU_03" w:date="2025-05-14T15:27:00Z"/>
                <w:rFonts w:ascii="Times New Roman" w:hAnsi="Times New Roman"/>
                <w:sz w:val="22"/>
                <w:lang w:val="hu-HU"/>
              </w:rPr>
            </w:pPr>
            <w:del w:id="5517" w:author="AbbVie_HU_03" w:date="2025-05-14T15:27:00Z">
              <w:r w:rsidRPr="00183B5F">
                <w:rPr>
                  <w:rFonts w:ascii="Times New Roman" w:hAnsi="Times New Roman"/>
                  <w:sz w:val="22"/>
                  <w:lang w:val="hu-HU"/>
                </w:rPr>
                <w:delText>ACR 50</w:delText>
              </w:r>
            </w:del>
          </w:p>
        </w:tc>
        <w:tc>
          <w:tcPr>
            <w:tcW w:w="1393" w:type="dxa"/>
            <w:tcBorders>
              <w:top w:val="nil"/>
              <w:left w:val="single" w:sz="6" w:space="0" w:color="auto"/>
              <w:bottom w:val="nil"/>
              <w:right w:val="nil"/>
            </w:tcBorders>
          </w:tcPr>
          <w:p w14:paraId="70AAA914" w14:textId="27D7BD78" w:rsidR="00FB6710" w:rsidRPr="00183B5F" w:rsidRDefault="00FB6710" w:rsidP="00FE0197">
            <w:pPr>
              <w:pStyle w:val="In-texttable"/>
              <w:tabs>
                <w:tab w:val="decimal" w:pos="259"/>
              </w:tabs>
              <w:spacing w:line="240" w:lineRule="auto"/>
              <w:jc w:val="center"/>
              <w:rPr>
                <w:del w:id="5518" w:author="AbbVie_HU_03" w:date="2025-05-14T15:27:00Z"/>
                <w:rFonts w:ascii="Times New Roman" w:hAnsi="Times New Roman"/>
                <w:sz w:val="22"/>
                <w:lang w:val="hu-HU"/>
              </w:rPr>
            </w:pPr>
          </w:p>
        </w:tc>
        <w:tc>
          <w:tcPr>
            <w:tcW w:w="1417" w:type="dxa"/>
            <w:tcBorders>
              <w:top w:val="nil"/>
              <w:left w:val="nil"/>
              <w:bottom w:val="nil"/>
              <w:right w:val="single" w:sz="6" w:space="0" w:color="auto"/>
            </w:tcBorders>
          </w:tcPr>
          <w:p w14:paraId="5E2561D8" w14:textId="1A8C6E1A" w:rsidR="00FB6710" w:rsidRPr="00183B5F" w:rsidRDefault="00FB6710" w:rsidP="00FE0197">
            <w:pPr>
              <w:pStyle w:val="In-texttable"/>
              <w:tabs>
                <w:tab w:val="decimal" w:pos="250"/>
              </w:tabs>
              <w:spacing w:line="240" w:lineRule="auto"/>
              <w:jc w:val="center"/>
              <w:rPr>
                <w:del w:id="5519" w:author="AbbVie_HU_03" w:date="2025-05-14T15:27:00Z"/>
                <w:rFonts w:ascii="Times New Roman" w:hAnsi="Times New Roman"/>
                <w:sz w:val="22"/>
                <w:lang w:val="hu-HU"/>
              </w:rPr>
            </w:pPr>
          </w:p>
        </w:tc>
        <w:tc>
          <w:tcPr>
            <w:tcW w:w="1071" w:type="dxa"/>
            <w:tcBorders>
              <w:top w:val="nil"/>
              <w:left w:val="single" w:sz="6" w:space="0" w:color="auto"/>
              <w:bottom w:val="nil"/>
              <w:right w:val="nil"/>
            </w:tcBorders>
          </w:tcPr>
          <w:p w14:paraId="5B2785CA" w14:textId="18689631" w:rsidR="00FB6710" w:rsidRPr="00183B5F" w:rsidRDefault="00FB6710" w:rsidP="00FE0197">
            <w:pPr>
              <w:pStyle w:val="In-texttable"/>
              <w:spacing w:line="240" w:lineRule="auto"/>
              <w:jc w:val="center"/>
              <w:rPr>
                <w:del w:id="5520" w:author="AbbVie_HU_03" w:date="2025-05-14T15:27:00Z"/>
                <w:rFonts w:ascii="Times New Roman" w:hAnsi="Times New Roman"/>
                <w:sz w:val="22"/>
                <w:lang w:val="hu-HU"/>
              </w:rPr>
            </w:pPr>
          </w:p>
        </w:tc>
        <w:tc>
          <w:tcPr>
            <w:tcW w:w="1197" w:type="dxa"/>
            <w:tcBorders>
              <w:top w:val="nil"/>
              <w:left w:val="nil"/>
              <w:bottom w:val="nil"/>
              <w:right w:val="single" w:sz="6" w:space="0" w:color="auto"/>
            </w:tcBorders>
          </w:tcPr>
          <w:p w14:paraId="16448CEC" w14:textId="7F5698DC" w:rsidR="00FB6710" w:rsidRPr="00183B5F" w:rsidRDefault="00FB6710" w:rsidP="00FE0197">
            <w:pPr>
              <w:pStyle w:val="In-texttable"/>
              <w:tabs>
                <w:tab w:val="decimal" w:pos="205"/>
              </w:tabs>
              <w:spacing w:line="240" w:lineRule="auto"/>
              <w:jc w:val="center"/>
              <w:rPr>
                <w:del w:id="5521" w:author="AbbVie_HU_03" w:date="2025-05-14T15:27:00Z"/>
                <w:rFonts w:ascii="Times New Roman" w:hAnsi="Times New Roman"/>
                <w:sz w:val="22"/>
                <w:lang w:val="hu-HU"/>
              </w:rPr>
            </w:pPr>
          </w:p>
        </w:tc>
        <w:tc>
          <w:tcPr>
            <w:tcW w:w="1418" w:type="dxa"/>
            <w:tcBorders>
              <w:top w:val="nil"/>
              <w:left w:val="single" w:sz="6" w:space="0" w:color="auto"/>
              <w:bottom w:val="nil"/>
              <w:right w:val="nil"/>
            </w:tcBorders>
          </w:tcPr>
          <w:p w14:paraId="5EDEFAD8" w14:textId="38331F91" w:rsidR="00FB6710" w:rsidRPr="00183B5F" w:rsidRDefault="00FB6710" w:rsidP="00FE0197">
            <w:pPr>
              <w:pStyle w:val="In-texttable"/>
              <w:tabs>
                <w:tab w:val="decimal" w:pos="144"/>
              </w:tabs>
              <w:spacing w:line="240" w:lineRule="auto"/>
              <w:jc w:val="center"/>
              <w:rPr>
                <w:del w:id="5522" w:author="AbbVie_HU_03" w:date="2025-05-14T15:27:00Z"/>
                <w:rFonts w:ascii="Times New Roman" w:hAnsi="Times New Roman"/>
                <w:sz w:val="22"/>
                <w:lang w:val="hu-HU"/>
              </w:rPr>
            </w:pPr>
          </w:p>
        </w:tc>
        <w:tc>
          <w:tcPr>
            <w:tcW w:w="1559" w:type="dxa"/>
            <w:tcBorders>
              <w:right w:val="single" w:sz="4" w:space="0" w:color="auto"/>
            </w:tcBorders>
          </w:tcPr>
          <w:p w14:paraId="2B4A2AC1" w14:textId="1C4ECA08" w:rsidR="00FB6710" w:rsidRPr="00183B5F" w:rsidRDefault="00FB6710" w:rsidP="00FE0197">
            <w:pPr>
              <w:pStyle w:val="In-texttable"/>
              <w:tabs>
                <w:tab w:val="decimal" w:pos="95"/>
              </w:tabs>
              <w:spacing w:line="240" w:lineRule="auto"/>
              <w:jc w:val="center"/>
              <w:rPr>
                <w:del w:id="5523" w:author="AbbVie_HU_03" w:date="2025-05-14T15:27:00Z"/>
                <w:rFonts w:ascii="Times New Roman" w:hAnsi="Times New Roman"/>
                <w:sz w:val="22"/>
                <w:lang w:val="hu-HU"/>
              </w:rPr>
            </w:pPr>
          </w:p>
        </w:tc>
      </w:tr>
      <w:tr w:rsidR="00011D2F" w14:paraId="31CE1F1B" w14:textId="732845A8" w:rsidTr="003811FE">
        <w:trPr>
          <w:cantSplit/>
          <w:del w:id="5524" w:author="AbbVie_HU_03" w:date="2025-05-14T15:27:00Z"/>
        </w:trPr>
        <w:tc>
          <w:tcPr>
            <w:tcW w:w="1159" w:type="dxa"/>
            <w:tcBorders>
              <w:top w:val="nil"/>
              <w:left w:val="single" w:sz="4" w:space="0" w:color="auto"/>
              <w:bottom w:val="nil"/>
              <w:right w:val="single" w:sz="6" w:space="0" w:color="auto"/>
            </w:tcBorders>
          </w:tcPr>
          <w:p w14:paraId="3D9D128F" w14:textId="106F5F20" w:rsidR="00FB6710" w:rsidRPr="00183B5F" w:rsidRDefault="00943743" w:rsidP="00FE0197">
            <w:pPr>
              <w:pStyle w:val="In-texttable"/>
              <w:tabs>
                <w:tab w:val="left" w:pos="144"/>
              </w:tabs>
              <w:spacing w:line="240" w:lineRule="auto"/>
              <w:rPr>
                <w:del w:id="5525" w:author="AbbVie_HU_03" w:date="2025-05-14T15:27:00Z"/>
                <w:rFonts w:ascii="Times New Roman" w:hAnsi="Times New Roman"/>
                <w:sz w:val="22"/>
                <w:lang w:val="hu-HU"/>
              </w:rPr>
            </w:pPr>
            <w:del w:id="5526" w:author="AbbVie_HU_03" w:date="2025-05-14T15:27:00Z">
              <w:r w:rsidRPr="00183B5F">
                <w:rPr>
                  <w:rFonts w:ascii="Times New Roman" w:hAnsi="Times New Roman"/>
                  <w:sz w:val="22"/>
                  <w:lang w:val="hu-HU"/>
                </w:rPr>
                <w:tab/>
                <w:delText>6</w:delText>
              </w:r>
              <w:r w:rsidR="007621E0" w:rsidRPr="00183B5F">
                <w:rPr>
                  <w:rFonts w:ascii="Times New Roman" w:hAnsi="Times New Roman"/>
                  <w:sz w:val="22"/>
                  <w:lang w:val="hu-HU"/>
                </w:rPr>
                <w:delText> </w:delText>
              </w:r>
              <w:r w:rsidRPr="00183B5F">
                <w:rPr>
                  <w:rFonts w:ascii="Times New Roman" w:hAnsi="Times New Roman"/>
                  <w:sz w:val="22"/>
                  <w:lang w:val="hu-HU"/>
                </w:rPr>
                <w:delText>hónap</w:delText>
              </w:r>
            </w:del>
          </w:p>
        </w:tc>
        <w:tc>
          <w:tcPr>
            <w:tcW w:w="1393" w:type="dxa"/>
            <w:tcBorders>
              <w:top w:val="nil"/>
              <w:left w:val="single" w:sz="6" w:space="0" w:color="auto"/>
              <w:bottom w:val="nil"/>
              <w:right w:val="nil"/>
            </w:tcBorders>
          </w:tcPr>
          <w:p w14:paraId="4DDDCEF1" w14:textId="0E2A6AF8" w:rsidR="00FB6710" w:rsidRPr="00183B5F" w:rsidRDefault="00943743" w:rsidP="00FE0197">
            <w:pPr>
              <w:pStyle w:val="In-texttable"/>
              <w:tabs>
                <w:tab w:val="decimal" w:pos="259"/>
              </w:tabs>
              <w:spacing w:line="240" w:lineRule="auto"/>
              <w:jc w:val="center"/>
              <w:rPr>
                <w:del w:id="5527" w:author="AbbVie_HU_03" w:date="2025-05-14T15:27:00Z"/>
                <w:rFonts w:ascii="Times New Roman" w:hAnsi="Times New Roman"/>
                <w:sz w:val="22"/>
                <w:lang w:val="hu-HU"/>
              </w:rPr>
            </w:pPr>
            <w:del w:id="5528" w:author="AbbVie_HU_03" w:date="2025-05-14T15:27:00Z">
              <w:r w:rsidRPr="00183B5F">
                <w:rPr>
                  <w:rFonts w:ascii="Times New Roman" w:hAnsi="Times New Roman"/>
                  <w:sz w:val="22"/>
                  <w:lang w:val="hu-HU"/>
                </w:rPr>
                <w:delText>6,7%</w:delText>
              </w:r>
            </w:del>
          </w:p>
        </w:tc>
        <w:tc>
          <w:tcPr>
            <w:tcW w:w="1417" w:type="dxa"/>
            <w:tcBorders>
              <w:top w:val="nil"/>
              <w:left w:val="nil"/>
              <w:bottom w:val="nil"/>
              <w:right w:val="single" w:sz="6" w:space="0" w:color="auto"/>
            </w:tcBorders>
          </w:tcPr>
          <w:p w14:paraId="5158C8F8" w14:textId="6A5501EC" w:rsidR="00FB6710" w:rsidRPr="00183B5F" w:rsidRDefault="00943743" w:rsidP="00FE0197">
            <w:pPr>
              <w:pStyle w:val="In-texttable"/>
              <w:tabs>
                <w:tab w:val="decimal" w:pos="250"/>
              </w:tabs>
              <w:spacing w:line="240" w:lineRule="auto"/>
              <w:jc w:val="center"/>
              <w:rPr>
                <w:del w:id="5529" w:author="AbbVie_HU_03" w:date="2025-05-14T15:27:00Z"/>
                <w:rFonts w:ascii="Times New Roman" w:hAnsi="Times New Roman"/>
                <w:sz w:val="22"/>
                <w:lang w:val="hu-HU"/>
              </w:rPr>
            </w:pPr>
            <w:del w:id="5530" w:author="AbbVie_HU_03" w:date="2025-05-14T15:27:00Z">
              <w:r w:rsidRPr="00183B5F">
                <w:rPr>
                  <w:rFonts w:ascii="Times New Roman" w:hAnsi="Times New Roman"/>
                  <w:sz w:val="22"/>
                  <w:lang w:val="hu-HU"/>
                </w:rPr>
                <w:delText>52,4%</w:delText>
              </w:r>
            </w:del>
          </w:p>
        </w:tc>
        <w:tc>
          <w:tcPr>
            <w:tcW w:w="1071" w:type="dxa"/>
            <w:tcBorders>
              <w:top w:val="nil"/>
              <w:left w:val="single" w:sz="6" w:space="0" w:color="auto"/>
              <w:bottom w:val="nil"/>
              <w:right w:val="nil"/>
            </w:tcBorders>
          </w:tcPr>
          <w:p w14:paraId="5622AEA1" w14:textId="2479187A" w:rsidR="00FB6710" w:rsidRPr="00183B5F" w:rsidRDefault="00943743" w:rsidP="00FE0197">
            <w:pPr>
              <w:pStyle w:val="In-texttable"/>
              <w:spacing w:line="240" w:lineRule="auto"/>
              <w:jc w:val="center"/>
              <w:rPr>
                <w:del w:id="5531" w:author="AbbVie_HU_03" w:date="2025-05-14T15:27:00Z"/>
                <w:rFonts w:ascii="Times New Roman" w:hAnsi="Times New Roman"/>
                <w:sz w:val="22"/>
                <w:lang w:val="hu-HU"/>
              </w:rPr>
            </w:pPr>
            <w:del w:id="5532" w:author="AbbVie_HU_03" w:date="2025-05-14T15:27:00Z">
              <w:r w:rsidRPr="00183B5F">
                <w:rPr>
                  <w:rFonts w:ascii="Times New Roman" w:hAnsi="Times New Roman"/>
                  <w:sz w:val="22"/>
                  <w:lang w:val="hu-HU"/>
                </w:rPr>
                <w:delText>8,2%</w:delText>
              </w:r>
            </w:del>
          </w:p>
        </w:tc>
        <w:tc>
          <w:tcPr>
            <w:tcW w:w="1197" w:type="dxa"/>
            <w:tcBorders>
              <w:top w:val="nil"/>
              <w:left w:val="nil"/>
              <w:bottom w:val="nil"/>
              <w:right w:val="single" w:sz="6" w:space="0" w:color="auto"/>
            </w:tcBorders>
          </w:tcPr>
          <w:p w14:paraId="0B923CD8" w14:textId="03DBA3DC" w:rsidR="00FB6710" w:rsidRPr="00183B5F" w:rsidRDefault="00943743" w:rsidP="00FE0197">
            <w:pPr>
              <w:pStyle w:val="In-texttable"/>
              <w:tabs>
                <w:tab w:val="decimal" w:pos="205"/>
              </w:tabs>
              <w:spacing w:line="240" w:lineRule="auto"/>
              <w:jc w:val="center"/>
              <w:rPr>
                <w:del w:id="5533" w:author="AbbVie_HU_03" w:date="2025-05-14T15:27:00Z"/>
                <w:rFonts w:ascii="Times New Roman" w:hAnsi="Times New Roman"/>
                <w:sz w:val="22"/>
                <w:lang w:val="hu-HU"/>
              </w:rPr>
            </w:pPr>
            <w:del w:id="5534" w:author="AbbVie_HU_03" w:date="2025-05-14T15:27:00Z">
              <w:r w:rsidRPr="00183B5F">
                <w:rPr>
                  <w:rFonts w:ascii="Times New Roman" w:hAnsi="Times New Roman"/>
                  <w:sz w:val="22"/>
                  <w:lang w:val="hu-HU"/>
                </w:rPr>
                <w:delText>22,1%</w:delText>
              </w:r>
            </w:del>
          </w:p>
        </w:tc>
        <w:tc>
          <w:tcPr>
            <w:tcW w:w="1418" w:type="dxa"/>
            <w:tcBorders>
              <w:top w:val="nil"/>
              <w:left w:val="single" w:sz="6" w:space="0" w:color="auto"/>
              <w:bottom w:val="nil"/>
              <w:right w:val="nil"/>
            </w:tcBorders>
          </w:tcPr>
          <w:p w14:paraId="0434E298" w14:textId="0BE26B9F" w:rsidR="00FB6710" w:rsidRPr="00183B5F" w:rsidRDefault="00943743" w:rsidP="00FE0197">
            <w:pPr>
              <w:pStyle w:val="In-texttable"/>
              <w:tabs>
                <w:tab w:val="decimal" w:pos="144"/>
              </w:tabs>
              <w:spacing w:line="240" w:lineRule="auto"/>
              <w:jc w:val="center"/>
              <w:rPr>
                <w:del w:id="5535" w:author="AbbVie_HU_03" w:date="2025-05-14T15:27:00Z"/>
                <w:rFonts w:ascii="Times New Roman" w:hAnsi="Times New Roman"/>
                <w:sz w:val="22"/>
                <w:lang w:val="hu-HU"/>
              </w:rPr>
            </w:pPr>
            <w:del w:id="5536" w:author="AbbVie_HU_03" w:date="2025-05-14T15:27:00Z">
              <w:r w:rsidRPr="00183B5F">
                <w:rPr>
                  <w:rFonts w:ascii="Times New Roman" w:hAnsi="Times New Roman"/>
                  <w:sz w:val="22"/>
                  <w:lang w:val="hu-HU"/>
                </w:rPr>
                <w:delText>9,5%</w:delText>
              </w:r>
            </w:del>
          </w:p>
        </w:tc>
        <w:tc>
          <w:tcPr>
            <w:tcW w:w="1559" w:type="dxa"/>
            <w:tcBorders>
              <w:right w:val="single" w:sz="4" w:space="0" w:color="auto"/>
            </w:tcBorders>
          </w:tcPr>
          <w:p w14:paraId="7BE59690" w14:textId="362CE3B4" w:rsidR="00FB6710" w:rsidRPr="00183B5F" w:rsidRDefault="00943743" w:rsidP="00FE0197">
            <w:pPr>
              <w:pStyle w:val="In-texttable"/>
              <w:tabs>
                <w:tab w:val="decimal" w:pos="95"/>
              </w:tabs>
              <w:spacing w:line="240" w:lineRule="auto"/>
              <w:jc w:val="center"/>
              <w:rPr>
                <w:del w:id="5537" w:author="AbbVie_HU_03" w:date="2025-05-14T15:27:00Z"/>
                <w:rFonts w:ascii="Times New Roman" w:hAnsi="Times New Roman"/>
                <w:sz w:val="22"/>
                <w:lang w:val="hu-HU"/>
              </w:rPr>
            </w:pPr>
            <w:del w:id="5538" w:author="AbbVie_HU_03" w:date="2025-05-14T15:27:00Z">
              <w:r w:rsidRPr="00183B5F">
                <w:rPr>
                  <w:rFonts w:ascii="Times New Roman" w:hAnsi="Times New Roman"/>
                  <w:sz w:val="22"/>
                  <w:lang w:val="hu-HU"/>
                </w:rPr>
                <w:delText>39,1%</w:delText>
              </w:r>
            </w:del>
          </w:p>
        </w:tc>
      </w:tr>
      <w:tr w:rsidR="00011D2F" w14:paraId="57A39C91" w14:textId="4A8AB800" w:rsidTr="003811FE">
        <w:trPr>
          <w:cantSplit/>
          <w:del w:id="5539" w:author="AbbVie_HU_03" w:date="2025-05-14T15:27:00Z"/>
        </w:trPr>
        <w:tc>
          <w:tcPr>
            <w:tcW w:w="1159" w:type="dxa"/>
            <w:tcBorders>
              <w:top w:val="nil"/>
              <w:left w:val="single" w:sz="4" w:space="0" w:color="auto"/>
              <w:bottom w:val="nil"/>
              <w:right w:val="single" w:sz="6" w:space="0" w:color="auto"/>
            </w:tcBorders>
          </w:tcPr>
          <w:p w14:paraId="4B8C0DF9" w14:textId="20EC9E1F" w:rsidR="00FB6710" w:rsidRPr="00183B5F" w:rsidRDefault="00943743" w:rsidP="00FE0197">
            <w:pPr>
              <w:pStyle w:val="In-texttable"/>
              <w:tabs>
                <w:tab w:val="left" w:pos="144"/>
              </w:tabs>
              <w:spacing w:line="240" w:lineRule="auto"/>
              <w:rPr>
                <w:del w:id="5540" w:author="AbbVie_HU_03" w:date="2025-05-14T15:27:00Z"/>
                <w:rFonts w:ascii="Times New Roman" w:hAnsi="Times New Roman"/>
                <w:sz w:val="22"/>
                <w:lang w:val="hu-HU"/>
              </w:rPr>
            </w:pPr>
            <w:del w:id="5541" w:author="AbbVie_HU_03" w:date="2025-05-14T15:27:00Z">
              <w:r w:rsidRPr="00183B5F">
                <w:rPr>
                  <w:rFonts w:ascii="Times New Roman" w:hAnsi="Times New Roman"/>
                  <w:sz w:val="22"/>
                  <w:lang w:val="hu-HU"/>
                </w:rPr>
                <w:tab/>
                <w:delText>12</w:delText>
              </w:r>
              <w:r w:rsidR="007621E0" w:rsidRPr="00183B5F">
                <w:rPr>
                  <w:rFonts w:ascii="Times New Roman" w:hAnsi="Times New Roman"/>
                  <w:sz w:val="22"/>
                  <w:lang w:val="hu-HU"/>
                </w:rPr>
                <w:delText> </w:delText>
              </w:r>
              <w:r w:rsidRPr="00183B5F">
                <w:rPr>
                  <w:rFonts w:ascii="Times New Roman" w:hAnsi="Times New Roman"/>
                  <w:sz w:val="22"/>
                  <w:lang w:val="hu-HU"/>
                </w:rPr>
                <w:delText>hónap</w:delText>
              </w:r>
            </w:del>
          </w:p>
        </w:tc>
        <w:tc>
          <w:tcPr>
            <w:tcW w:w="1393" w:type="dxa"/>
            <w:tcBorders>
              <w:top w:val="nil"/>
              <w:left w:val="single" w:sz="6" w:space="0" w:color="auto"/>
              <w:bottom w:val="nil"/>
              <w:right w:val="nil"/>
            </w:tcBorders>
          </w:tcPr>
          <w:p w14:paraId="5700E804" w14:textId="71B49628" w:rsidR="00FB6710" w:rsidRPr="00183B5F" w:rsidRDefault="00943743" w:rsidP="00FE0197">
            <w:pPr>
              <w:pStyle w:val="In-texttable"/>
              <w:tabs>
                <w:tab w:val="decimal" w:pos="259"/>
              </w:tabs>
              <w:spacing w:line="240" w:lineRule="auto"/>
              <w:jc w:val="center"/>
              <w:rPr>
                <w:del w:id="5542" w:author="AbbVie_HU_03" w:date="2025-05-14T15:27:00Z"/>
                <w:rFonts w:ascii="Times New Roman" w:hAnsi="Times New Roman"/>
                <w:sz w:val="22"/>
                <w:lang w:val="hu-HU"/>
              </w:rPr>
            </w:pPr>
            <w:del w:id="5543" w:author="AbbVie_HU_03" w:date="2025-05-14T15:27:00Z">
              <w:r w:rsidRPr="00183B5F">
                <w:rPr>
                  <w:rFonts w:ascii="Times New Roman" w:hAnsi="Times New Roman"/>
                  <w:sz w:val="22"/>
                  <w:lang w:val="hu-HU"/>
                </w:rPr>
                <w:delText>NA</w:delText>
              </w:r>
            </w:del>
          </w:p>
        </w:tc>
        <w:tc>
          <w:tcPr>
            <w:tcW w:w="1417" w:type="dxa"/>
            <w:tcBorders>
              <w:top w:val="nil"/>
              <w:left w:val="nil"/>
              <w:bottom w:val="nil"/>
              <w:right w:val="single" w:sz="6" w:space="0" w:color="auto"/>
            </w:tcBorders>
          </w:tcPr>
          <w:p w14:paraId="58D1C422" w14:textId="41DE7D00" w:rsidR="00FB6710" w:rsidRPr="00183B5F" w:rsidRDefault="00943743" w:rsidP="00FE0197">
            <w:pPr>
              <w:pStyle w:val="In-texttable"/>
              <w:tabs>
                <w:tab w:val="decimal" w:pos="250"/>
              </w:tabs>
              <w:spacing w:line="240" w:lineRule="auto"/>
              <w:jc w:val="center"/>
              <w:rPr>
                <w:del w:id="5544" w:author="AbbVie_HU_03" w:date="2025-05-14T15:27:00Z"/>
                <w:rFonts w:ascii="Times New Roman" w:hAnsi="Times New Roman"/>
                <w:sz w:val="22"/>
                <w:lang w:val="hu-HU"/>
              </w:rPr>
            </w:pPr>
            <w:del w:id="5545" w:author="AbbVie_HU_03" w:date="2025-05-14T15:27:00Z">
              <w:r w:rsidRPr="00183B5F">
                <w:rPr>
                  <w:rFonts w:ascii="Times New Roman" w:hAnsi="Times New Roman"/>
                  <w:sz w:val="22"/>
                  <w:lang w:val="hu-HU"/>
                </w:rPr>
                <w:delText>NA</w:delText>
              </w:r>
            </w:del>
          </w:p>
        </w:tc>
        <w:tc>
          <w:tcPr>
            <w:tcW w:w="1071" w:type="dxa"/>
            <w:tcBorders>
              <w:top w:val="nil"/>
              <w:left w:val="single" w:sz="6" w:space="0" w:color="auto"/>
              <w:bottom w:val="nil"/>
              <w:right w:val="nil"/>
            </w:tcBorders>
          </w:tcPr>
          <w:p w14:paraId="025E2EA9" w14:textId="111E8547" w:rsidR="00FB6710" w:rsidRPr="00183B5F" w:rsidRDefault="00943743" w:rsidP="00FE0197">
            <w:pPr>
              <w:pStyle w:val="In-texttable"/>
              <w:spacing w:line="240" w:lineRule="auto"/>
              <w:jc w:val="center"/>
              <w:rPr>
                <w:del w:id="5546" w:author="AbbVie_HU_03" w:date="2025-05-14T15:27:00Z"/>
                <w:rFonts w:ascii="Times New Roman" w:hAnsi="Times New Roman"/>
                <w:sz w:val="22"/>
                <w:lang w:val="hu-HU"/>
              </w:rPr>
            </w:pPr>
            <w:del w:id="5547" w:author="AbbVie_HU_03" w:date="2025-05-14T15:27:00Z">
              <w:r w:rsidRPr="00183B5F">
                <w:rPr>
                  <w:rFonts w:ascii="Times New Roman" w:hAnsi="Times New Roman"/>
                  <w:sz w:val="22"/>
                  <w:lang w:val="hu-HU"/>
                </w:rPr>
                <w:delText>NA</w:delText>
              </w:r>
            </w:del>
          </w:p>
        </w:tc>
        <w:tc>
          <w:tcPr>
            <w:tcW w:w="1197" w:type="dxa"/>
            <w:tcBorders>
              <w:top w:val="nil"/>
              <w:left w:val="nil"/>
              <w:bottom w:val="nil"/>
              <w:right w:val="single" w:sz="6" w:space="0" w:color="auto"/>
            </w:tcBorders>
          </w:tcPr>
          <w:p w14:paraId="7230C8DB" w14:textId="1C8C5D49" w:rsidR="00FB6710" w:rsidRPr="00183B5F" w:rsidRDefault="00943743" w:rsidP="00FE0197">
            <w:pPr>
              <w:pStyle w:val="In-texttable"/>
              <w:tabs>
                <w:tab w:val="decimal" w:pos="205"/>
              </w:tabs>
              <w:spacing w:line="240" w:lineRule="auto"/>
              <w:jc w:val="center"/>
              <w:rPr>
                <w:del w:id="5548" w:author="AbbVie_HU_03" w:date="2025-05-14T15:27:00Z"/>
                <w:rFonts w:ascii="Times New Roman" w:hAnsi="Times New Roman"/>
                <w:sz w:val="22"/>
                <w:lang w:val="hu-HU"/>
              </w:rPr>
            </w:pPr>
            <w:del w:id="5549" w:author="AbbVie_HU_03" w:date="2025-05-14T15:27:00Z">
              <w:r w:rsidRPr="00183B5F">
                <w:rPr>
                  <w:rFonts w:ascii="Times New Roman" w:hAnsi="Times New Roman"/>
                  <w:sz w:val="22"/>
                  <w:lang w:val="hu-HU"/>
                </w:rPr>
                <w:delText>NA</w:delText>
              </w:r>
            </w:del>
          </w:p>
        </w:tc>
        <w:tc>
          <w:tcPr>
            <w:tcW w:w="1418" w:type="dxa"/>
            <w:tcBorders>
              <w:top w:val="nil"/>
              <w:left w:val="single" w:sz="6" w:space="0" w:color="auto"/>
              <w:bottom w:val="nil"/>
              <w:right w:val="nil"/>
            </w:tcBorders>
          </w:tcPr>
          <w:p w14:paraId="549673FE" w14:textId="65320947" w:rsidR="00FB6710" w:rsidRPr="00183B5F" w:rsidRDefault="00943743" w:rsidP="00FE0197">
            <w:pPr>
              <w:pStyle w:val="In-texttable"/>
              <w:tabs>
                <w:tab w:val="decimal" w:pos="144"/>
              </w:tabs>
              <w:spacing w:line="240" w:lineRule="auto"/>
              <w:jc w:val="center"/>
              <w:rPr>
                <w:del w:id="5550" w:author="AbbVie_HU_03" w:date="2025-05-14T15:27:00Z"/>
                <w:rFonts w:ascii="Times New Roman" w:hAnsi="Times New Roman"/>
                <w:sz w:val="22"/>
                <w:lang w:val="hu-HU"/>
              </w:rPr>
            </w:pPr>
            <w:del w:id="5551" w:author="AbbVie_HU_03" w:date="2025-05-14T15:27:00Z">
              <w:r w:rsidRPr="00183B5F">
                <w:rPr>
                  <w:rFonts w:ascii="Times New Roman" w:hAnsi="Times New Roman"/>
                  <w:sz w:val="22"/>
                  <w:lang w:val="hu-HU"/>
                </w:rPr>
                <w:delText>9,5%</w:delText>
              </w:r>
            </w:del>
          </w:p>
        </w:tc>
        <w:tc>
          <w:tcPr>
            <w:tcW w:w="1559" w:type="dxa"/>
            <w:tcBorders>
              <w:right w:val="single" w:sz="4" w:space="0" w:color="auto"/>
            </w:tcBorders>
          </w:tcPr>
          <w:p w14:paraId="2AECC08D" w14:textId="0E400EF6" w:rsidR="00FB6710" w:rsidRPr="00183B5F" w:rsidRDefault="00943743" w:rsidP="00FE0197">
            <w:pPr>
              <w:pStyle w:val="In-texttable"/>
              <w:tabs>
                <w:tab w:val="decimal" w:pos="95"/>
              </w:tabs>
              <w:spacing w:line="240" w:lineRule="auto"/>
              <w:jc w:val="center"/>
              <w:rPr>
                <w:del w:id="5552" w:author="AbbVie_HU_03" w:date="2025-05-14T15:27:00Z"/>
                <w:rFonts w:ascii="Times New Roman" w:hAnsi="Times New Roman"/>
                <w:sz w:val="22"/>
                <w:lang w:val="hu-HU"/>
              </w:rPr>
            </w:pPr>
            <w:del w:id="5553" w:author="AbbVie_HU_03" w:date="2025-05-14T15:27:00Z">
              <w:r w:rsidRPr="00183B5F">
                <w:rPr>
                  <w:rFonts w:ascii="Times New Roman" w:hAnsi="Times New Roman"/>
                  <w:sz w:val="22"/>
                  <w:lang w:val="hu-HU"/>
                </w:rPr>
                <w:delText>41,5%</w:delText>
              </w:r>
            </w:del>
          </w:p>
        </w:tc>
      </w:tr>
      <w:tr w:rsidR="00011D2F" w14:paraId="5CFDFBA9" w14:textId="01B8FD79" w:rsidTr="003811FE">
        <w:trPr>
          <w:cantSplit/>
          <w:del w:id="5554" w:author="AbbVie_HU_03" w:date="2025-05-14T15:27:00Z"/>
        </w:trPr>
        <w:tc>
          <w:tcPr>
            <w:tcW w:w="1159" w:type="dxa"/>
            <w:tcBorders>
              <w:top w:val="nil"/>
              <w:left w:val="single" w:sz="4" w:space="0" w:color="auto"/>
              <w:bottom w:val="nil"/>
              <w:right w:val="single" w:sz="6" w:space="0" w:color="auto"/>
            </w:tcBorders>
          </w:tcPr>
          <w:p w14:paraId="3ABA3B1F" w14:textId="69D23483" w:rsidR="00FB6710" w:rsidRPr="00183B5F" w:rsidRDefault="00943743" w:rsidP="00FE0197">
            <w:pPr>
              <w:pStyle w:val="In-texttable"/>
              <w:tabs>
                <w:tab w:val="left" w:pos="144"/>
              </w:tabs>
              <w:spacing w:line="240" w:lineRule="auto"/>
              <w:rPr>
                <w:del w:id="5555" w:author="AbbVie_HU_03" w:date="2025-05-14T15:27:00Z"/>
                <w:rFonts w:ascii="Times New Roman" w:hAnsi="Times New Roman"/>
                <w:sz w:val="22"/>
                <w:lang w:val="hu-HU"/>
              </w:rPr>
            </w:pPr>
            <w:del w:id="5556" w:author="AbbVie_HU_03" w:date="2025-05-14T15:27:00Z">
              <w:r w:rsidRPr="00202B95">
                <w:rPr>
                  <w:noProof/>
                  <w:lang w:val="en-GB"/>
                </w:rPr>
                <mc:AlternateContent>
                  <mc:Choice Requires="wps">
                    <w:drawing>
                      <wp:anchor distT="0" distB="0" distL="114300" distR="114300" simplePos="0" relativeHeight="251664384" behindDoc="0" locked="0" layoutInCell="0" allowOverlap="1" wp14:anchorId="385AED0A" wp14:editId="13445DB8">
                        <wp:simplePos x="0" y="0"/>
                        <wp:positionH relativeFrom="column">
                          <wp:posOffset>-4972050</wp:posOffset>
                        </wp:positionH>
                        <wp:positionV relativeFrom="paragraph">
                          <wp:posOffset>38735</wp:posOffset>
                        </wp:positionV>
                        <wp:extent cx="3543300" cy="342900"/>
                        <wp:effectExtent l="0" t="0" r="0" b="0"/>
                        <wp:wrapNone/>
                        <wp:docPr id="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CE4C09" w14:textId="77777777" w:rsidR="00117602" w:rsidRDefault="00117602">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85AED0A" id="Text Box 7" o:spid="_x0000_s1029" type="#_x0000_t202" style="position:absolute;margin-left:-391.5pt;margin-top:3.05pt;width:279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" o:allowincell="f" stroked="f">
                        <v:textbox>
                          <w:txbxContent>
                            <w:p w14:paraId="63CE4C09" w14:textId="77777777" w:rsidR="00117602" w:rsidRDefault="00117602">
                              <w:pPr>
                                <w:rPr>
                                  <w:sz w:val="20"/>
                                </w:rPr>
                              </w:pPr>
                            </w:p>
                          </w:txbxContent>
                        </v:textbox>
                      </v:shape>
                    </w:pict>
                  </mc:Fallback>
                </mc:AlternateContent>
              </w:r>
              <w:r w:rsidR="00FB6710" w:rsidRPr="00183B5F">
                <w:rPr>
                  <w:rFonts w:ascii="Times New Roman" w:hAnsi="Times New Roman"/>
                  <w:sz w:val="22"/>
                  <w:lang w:val="hu-HU"/>
                </w:rPr>
                <w:delText>ACR 70</w:delText>
              </w:r>
            </w:del>
          </w:p>
        </w:tc>
        <w:tc>
          <w:tcPr>
            <w:tcW w:w="1393" w:type="dxa"/>
            <w:tcBorders>
              <w:top w:val="nil"/>
              <w:left w:val="single" w:sz="6" w:space="0" w:color="auto"/>
              <w:bottom w:val="nil"/>
              <w:right w:val="nil"/>
            </w:tcBorders>
          </w:tcPr>
          <w:p w14:paraId="157AE2F0" w14:textId="403581F9" w:rsidR="00FB6710" w:rsidRPr="00183B5F" w:rsidRDefault="00FB6710" w:rsidP="00FE0197">
            <w:pPr>
              <w:pStyle w:val="In-texttable"/>
              <w:tabs>
                <w:tab w:val="decimal" w:pos="259"/>
              </w:tabs>
              <w:spacing w:line="240" w:lineRule="auto"/>
              <w:jc w:val="center"/>
              <w:rPr>
                <w:del w:id="5557" w:author="AbbVie_HU_03" w:date="2025-05-14T15:27:00Z"/>
                <w:rFonts w:ascii="Times New Roman" w:hAnsi="Times New Roman"/>
                <w:sz w:val="22"/>
                <w:lang w:val="hu-HU"/>
              </w:rPr>
            </w:pPr>
          </w:p>
        </w:tc>
        <w:tc>
          <w:tcPr>
            <w:tcW w:w="1417" w:type="dxa"/>
            <w:tcBorders>
              <w:top w:val="nil"/>
              <w:left w:val="nil"/>
              <w:bottom w:val="nil"/>
              <w:right w:val="single" w:sz="6" w:space="0" w:color="auto"/>
            </w:tcBorders>
          </w:tcPr>
          <w:p w14:paraId="2660E063" w14:textId="5FC80C04" w:rsidR="00FB6710" w:rsidRPr="00183B5F" w:rsidRDefault="00FB6710" w:rsidP="00FE0197">
            <w:pPr>
              <w:pStyle w:val="In-texttable"/>
              <w:tabs>
                <w:tab w:val="decimal" w:pos="250"/>
              </w:tabs>
              <w:spacing w:line="240" w:lineRule="auto"/>
              <w:jc w:val="center"/>
              <w:rPr>
                <w:del w:id="5558" w:author="AbbVie_HU_03" w:date="2025-05-14T15:27:00Z"/>
                <w:rFonts w:ascii="Times New Roman" w:hAnsi="Times New Roman"/>
                <w:sz w:val="22"/>
                <w:lang w:val="hu-HU"/>
              </w:rPr>
            </w:pPr>
          </w:p>
        </w:tc>
        <w:tc>
          <w:tcPr>
            <w:tcW w:w="1071" w:type="dxa"/>
            <w:tcBorders>
              <w:top w:val="nil"/>
              <w:left w:val="single" w:sz="6" w:space="0" w:color="auto"/>
              <w:bottom w:val="nil"/>
              <w:right w:val="nil"/>
            </w:tcBorders>
          </w:tcPr>
          <w:p w14:paraId="6D8D0F94" w14:textId="1881D823" w:rsidR="00FB6710" w:rsidRPr="00183B5F" w:rsidRDefault="00FB6710" w:rsidP="00FE0197">
            <w:pPr>
              <w:pStyle w:val="In-texttable"/>
              <w:spacing w:line="240" w:lineRule="auto"/>
              <w:jc w:val="center"/>
              <w:rPr>
                <w:del w:id="5559" w:author="AbbVie_HU_03" w:date="2025-05-14T15:27:00Z"/>
                <w:rFonts w:ascii="Times New Roman" w:hAnsi="Times New Roman"/>
                <w:sz w:val="22"/>
                <w:lang w:val="hu-HU"/>
              </w:rPr>
            </w:pPr>
          </w:p>
        </w:tc>
        <w:tc>
          <w:tcPr>
            <w:tcW w:w="1197" w:type="dxa"/>
            <w:tcBorders>
              <w:top w:val="nil"/>
              <w:left w:val="nil"/>
              <w:bottom w:val="nil"/>
              <w:right w:val="single" w:sz="6" w:space="0" w:color="auto"/>
            </w:tcBorders>
          </w:tcPr>
          <w:p w14:paraId="579B83E5" w14:textId="484D72A8" w:rsidR="00FB6710" w:rsidRPr="00183B5F" w:rsidRDefault="00FB6710" w:rsidP="00FE0197">
            <w:pPr>
              <w:pStyle w:val="In-texttable"/>
              <w:tabs>
                <w:tab w:val="decimal" w:pos="205"/>
              </w:tabs>
              <w:spacing w:line="240" w:lineRule="auto"/>
              <w:jc w:val="center"/>
              <w:rPr>
                <w:del w:id="5560" w:author="AbbVie_HU_03" w:date="2025-05-14T15:27:00Z"/>
                <w:rFonts w:ascii="Times New Roman" w:hAnsi="Times New Roman"/>
                <w:sz w:val="22"/>
                <w:lang w:val="hu-HU"/>
              </w:rPr>
            </w:pPr>
          </w:p>
        </w:tc>
        <w:tc>
          <w:tcPr>
            <w:tcW w:w="1418" w:type="dxa"/>
            <w:tcBorders>
              <w:top w:val="nil"/>
              <w:left w:val="single" w:sz="6" w:space="0" w:color="auto"/>
              <w:bottom w:val="nil"/>
              <w:right w:val="nil"/>
            </w:tcBorders>
          </w:tcPr>
          <w:p w14:paraId="041FCE06" w14:textId="5E347CDB" w:rsidR="00FB6710" w:rsidRPr="00183B5F" w:rsidRDefault="00FB6710" w:rsidP="00FE0197">
            <w:pPr>
              <w:pStyle w:val="In-texttable"/>
              <w:tabs>
                <w:tab w:val="decimal" w:pos="144"/>
              </w:tabs>
              <w:spacing w:line="240" w:lineRule="auto"/>
              <w:jc w:val="center"/>
              <w:rPr>
                <w:del w:id="5561" w:author="AbbVie_HU_03" w:date="2025-05-14T15:27:00Z"/>
                <w:rFonts w:ascii="Times New Roman" w:hAnsi="Times New Roman"/>
                <w:sz w:val="22"/>
                <w:lang w:val="hu-HU"/>
              </w:rPr>
            </w:pPr>
          </w:p>
        </w:tc>
        <w:tc>
          <w:tcPr>
            <w:tcW w:w="1559" w:type="dxa"/>
            <w:tcBorders>
              <w:right w:val="single" w:sz="4" w:space="0" w:color="auto"/>
            </w:tcBorders>
          </w:tcPr>
          <w:p w14:paraId="532F69E3" w14:textId="1EA6D7FE" w:rsidR="00FB6710" w:rsidRPr="00183B5F" w:rsidRDefault="00FB6710" w:rsidP="00FE0197">
            <w:pPr>
              <w:pStyle w:val="In-texttable"/>
              <w:tabs>
                <w:tab w:val="decimal" w:pos="95"/>
              </w:tabs>
              <w:spacing w:line="240" w:lineRule="auto"/>
              <w:jc w:val="center"/>
              <w:rPr>
                <w:del w:id="5562" w:author="AbbVie_HU_03" w:date="2025-05-14T15:27:00Z"/>
                <w:rFonts w:ascii="Times New Roman" w:hAnsi="Times New Roman"/>
                <w:sz w:val="22"/>
                <w:lang w:val="hu-HU"/>
              </w:rPr>
            </w:pPr>
          </w:p>
        </w:tc>
      </w:tr>
      <w:tr w:rsidR="00011D2F" w14:paraId="097D9BA0" w14:textId="0FE7D556" w:rsidTr="003811FE">
        <w:trPr>
          <w:cantSplit/>
          <w:del w:id="5563" w:author="AbbVie_HU_03" w:date="2025-05-14T15:27:00Z"/>
        </w:trPr>
        <w:tc>
          <w:tcPr>
            <w:tcW w:w="1159" w:type="dxa"/>
            <w:tcBorders>
              <w:top w:val="nil"/>
              <w:left w:val="single" w:sz="4" w:space="0" w:color="auto"/>
              <w:bottom w:val="nil"/>
              <w:right w:val="single" w:sz="6" w:space="0" w:color="auto"/>
            </w:tcBorders>
          </w:tcPr>
          <w:p w14:paraId="16AC6634" w14:textId="42ECCF08" w:rsidR="00FB6710" w:rsidRPr="00183B5F" w:rsidRDefault="00943743" w:rsidP="00FE0197">
            <w:pPr>
              <w:pStyle w:val="In-texttable"/>
              <w:tabs>
                <w:tab w:val="left" w:pos="144"/>
              </w:tabs>
              <w:spacing w:line="240" w:lineRule="auto"/>
              <w:rPr>
                <w:del w:id="5564" w:author="AbbVie_HU_03" w:date="2025-05-14T15:27:00Z"/>
                <w:rFonts w:ascii="Times New Roman" w:hAnsi="Times New Roman"/>
                <w:sz w:val="22"/>
                <w:lang w:val="hu-HU"/>
              </w:rPr>
            </w:pPr>
            <w:del w:id="5565" w:author="AbbVie_HU_03" w:date="2025-05-14T15:27:00Z">
              <w:r w:rsidRPr="00183B5F">
                <w:rPr>
                  <w:rFonts w:ascii="Times New Roman" w:hAnsi="Times New Roman"/>
                  <w:sz w:val="22"/>
                  <w:lang w:val="hu-HU"/>
                </w:rPr>
                <w:tab/>
                <w:delText>6</w:delText>
              </w:r>
              <w:r w:rsidR="007621E0" w:rsidRPr="00183B5F">
                <w:rPr>
                  <w:rFonts w:ascii="Times New Roman" w:hAnsi="Times New Roman"/>
                  <w:sz w:val="22"/>
                  <w:lang w:val="hu-HU"/>
                </w:rPr>
                <w:delText> </w:delText>
              </w:r>
              <w:r w:rsidRPr="00183B5F">
                <w:rPr>
                  <w:rFonts w:ascii="Times New Roman" w:hAnsi="Times New Roman"/>
                  <w:sz w:val="22"/>
                  <w:lang w:val="hu-HU"/>
                </w:rPr>
                <w:delText>hónap</w:delText>
              </w:r>
            </w:del>
          </w:p>
        </w:tc>
        <w:tc>
          <w:tcPr>
            <w:tcW w:w="1393" w:type="dxa"/>
            <w:tcBorders>
              <w:top w:val="nil"/>
              <w:left w:val="single" w:sz="6" w:space="0" w:color="auto"/>
              <w:bottom w:val="nil"/>
              <w:right w:val="nil"/>
            </w:tcBorders>
          </w:tcPr>
          <w:p w14:paraId="6ED98A44" w14:textId="595CB692" w:rsidR="00FB6710" w:rsidRPr="00183B5F" w:rsidRDefault="00943743" w:rsidP="00FE0197">
            <w:pPr>
              <w:pStyle w:val="In-texttable"/>
              <w:tabs>
                <w:tab w:val="decimal" w:pos="259"/>
              </w:tabs>
              <w:spacing w:line="240" w:lineRule="auto"/>
              <w:jc w:val="center"/>
              <w:rPr>
                <w:del w:id="5566" w:author="AbbVie_HU_03" w:date="2025-05-14T15:27:00Z"/>
                <w:rFonts w:ascii="Times New Roman" w:hAnsi="Times New Roman"/>
                <w:sz w:val="22"/>
                <w:lang w:val="hu-HU"/>
              </w:rPr>
            </w:pPr>
            <w:del w:id="5567" w:author="AbbVie_HU_03" w:date="2025-05-14T15:27:00Z">
              <w:r w:rsidRPr="00183B5F">
                <w:rPr>
                  <w:rFonts w:ascii="Times New Roman" w:hAnsi="Times New Roman"/>
                  <w:sz w:val="22"/>
                  <w:lang w:val="hu-HU"/>
                </w:rPr>
                <w:delText>3,3%</w:delText>
              </w:r>
            </w:del>
          </w:p>
        </w:tc>
        <w:tc>
          <w:tcPr>
            <w:tcW w:w="1417" w:type="dxa"/>
            <w:tcBorders>
              <w:top w:val="nil"/>
              <w:left w:val="nil"/>
              <w:bottom w:val="nil"/>
              <w:right w:val="single" w:sz="6" w:space="0" w:color="auto"/>
            </w:tcBorders>
          </w:tcPr>
          <w:p w14:paraId="2A9A4771" w14:textId="076B2091" w:rsidR="00FB6710" w:rsidRPr="00183B5F" w:rsidRDefault="00943743" w:rsidP="00FE0197">
            <w:pPr>
              <w:pStyle w:val="In-texttable"/>
              <w:tabs>
                <w:tab w:val="decimal" w:pos="250"/>
              </w:tabs>
              <w:spacing w:line="240" w:lineRule="auto"/>
              <w:jc w:val="center"/>
              <w:rPr>
                <w:del w:id="5568" w:author="AbbVie_HU_03" w:date="2025-05-14T15:27:00Z"/>
                <w:rFonts w:ascii="Times New Roman" w:hAnsi="Times New Roman"/>
                <w:sz w:val="22"/>
                <w:lang w:val="hu-HU"/>
              </w:rPr>
            </w:pPr>
            <w:del w:id="5569" w:author="AbbVie_HU_03" w:date="2025-05-14T15:27:00Z">
              <w:r w:rsidRPr="00183B5F">
                <w:rPr>
                  <w:rFonts w:ascii="Times New Roman" w:hAnsi="Times New Roman"/>
                  <w:sz w:val="22"/>
                  <w:lang w:val="hu-HU"/>
                </w:rPr>
                <w:delText>23,8%</w:delText>
              </w:r>
            </w:del>
          </w:p>
        </w:tc>
        <w:tc>
          <w:tcPr>
            <w:tcW w:w="1071" w:type="dxa"/>
            <w:tcBorders>
              <w:top w:val="nil"/>
              <w:left w:val="single" w:sz="6" w:space="0" w:color="auto"/>
              <w:bottom w:val="nil"/>
              <w:right w:val="nil"/>
            </w:tcBorders>
          </w:tcPr>
          <w:p w14:paraId="7BB393E3" w14:textId="5AEFD37F" w:rsidR="00FB6710" w:rsidRPr="00183B5F" w:rsidRDefault="00943743" w:rsidP="00FE0197">
            <w:pPr>
              <w:pStyle w:val="In-texttable"/>
              <w:spacing w:line="240" w:lineRule="auto"/>
              <w:jc w:val="center"/>
              <w:rPr>
                <w:del w:id="5570" w:author="AbbVie_HU_03" w:date="2025-05-14T15:27:00Z"/>
                <w:rFonts w:ascii="Times New Roman" w:hAnsi="Times New Roman"/>
                <w:sz w:val="22"/>
                <w:lang w:val="hu-HU"/>
              </w:rPr>
            </w:pPr>
            <w:del w:id="5571" w:author="AbbVie_HU_03" w:date="2025-05-14T15:27:00Z">
              <w:r w:rsidRPr="00183B5F">
                <w:rPr>
                  <w:rFonts w:ascii="Times New Roman" w:hAnsi="Times New Roman"/>
                  <w:sz w:val="22"/>
                  <w:lang w:val="hu-HU"/>
                </w:rPr>
                <w:delText>1,8%</w:delText>
              </w:r>
            </w:del>
          </w:p>
        </w:tc>
        <w:tc>
          <w:tcPr>
            <w:tcW w:w="1197" w:type="dxa"/>
            <w:tcBorders>
              <w:top w:val="nil"/>
              <w:left w:val="nil"/>
              <w:bottom w:val="nil"/>
              <w:right w:val="single" w:sz="6" w:space="0" w:color="auto"/>
            </w:tcBorders>
          </w:tcPr>
          <w:p w14:paraId="333D6380" w14:textId="15125B8B" w:rsidR="00FB6710" w:rsidRPr="00183B5F" w:rsidRDefault="00943743" w:rsidP="00FE0197">
            <w:pPr>
              <w:pStyle w:val="In-texttable"/>
              <w:tabs>
                <w:tab w:val="decimal" w:pos="205"/>
              </w:tabs>
              <w:spacing w:line="240" w:lineRule="auto"/>
              <w:jc w:val="center"/>
              <w:rPr>
                <w:del w:id="5572" w:author="AbbVie_HU_03" w:date="2025-05-14T15:27:00Z"/>
                <w:rFonts w:ascii="Times New Roman" w:hAnsi="Times New Roman"/>
                <w:sz w:val="22"/>
                <w:lang w:val="hu-HU"/>
              </w:rPr>
            </w:pPr>
            <w:del w:id="5573" w:author="AbbVie_HU_03" w:date="2025-05-14T15:27:00Z">
              <w:r w:rsidRPr="00183B5F">
                <w:rPr>
                  <w:rFonts w:ascii="Times New Roman" w:hAnsi="Times New Roman"/>
                  <w:sz w:val="22"/>
                  <w:lang w:val="hu-HU"/>
                </w:rPr>
                <w:delText>12,4%</w:delText>
              </w:r>
            </w:del>
          </w:p>
        </w:tc>
        <w:tc>
          <w:tcPr>
            <w:tcW w:w="1418" w:type="dxa"/>
            <w:tcBorders>
              <w:top w:val="nil"/>
              <w:left w:val="single" w:sz="6" w:space="0" w:color="auto"/>
              <w:bottom w:val="nil"/>
              <w:right w:val="nil"/>
            </w:tcBorders>
          </w:tcPr>
          <w:p w14:paraId="551EFF0A" w14:textId="7160F954" w:rsidR="00FB6710" w:rsidRPr="00183B5F" w:rsidRDefault="00943743" w:rsidP="00FE0197">
            <w:pPr>
              <w:pStyle w:val="In-texttable"/>
              <w:tabs>
                <w:tab w:val="decimal" w:pos="144"/>
              </w:tabs>
              <w:spacing w:line="240" w:lineRule="auto"/>
              <w:jc w:val="center"/>
              <w:rPr>
                <w:del w:id="5574" w:author="AbbVie_HU_03" w:date="2025-05-14T15:27:00Z"/>
                <w:rFonts w:ascii="Times New Roman" w:hAnsi="Times New Roman"/>
                <w:sz w:val="22"/>
                <w:lang w:val="hu-HU"/>
              </w:rPr>
            </w:pPr>
            <w:del w:id="5575" w:author="AbbVie_HU_03" w:date="2025-05-14T15:27:00Z">
              <w:r w:rsidRPr="00183B5F">
                <w:rPr>
                  <w:rFonts w:ascii="Times New Roman" w:hAnsi="Times New Roman"/>
                  <w:sz w:val="22"/>
                  <w:lang w:val="hu-HU"/>
                </w:rPr>
                <w:delText>2,5%</w:delText>
              </w:r>
            </w:del>
          </w:p>
        </w:tc>
        <w:tc>
          <w:tcPr>
            <w:tcW w:w="1559" w:type="dxa"/>
            <w:tcBorders>
              <w:right w:val="single" w:sz="4" w:space="0" w:color="auto"/>
            </w:tcBorders>
          </w:tcPr>
          <w:p w14:paraId="212AFECC" w14:textId="2257731D" w:rsidR="00FB6710" w:rsidRPr="00183B5F" w:rsidRDefault="00943743" w:rsidP="00FE0197">
            <w:pPr>
              <w:pStyle w:val="In-texttable"/>
              <w:tabs>
                <w:tab w:val="decimal" w:pos="95"/>
              </w:tabs>
              <w:spacing w:line="240" w:lineRule="auto"/>
              <w:jc w:val="center"/>
              <w:rPr>
                <w:del w:id="5576" w:author="AbbVie_HU_03" w:date="2025-05-14T15:27:00Z"/>
                <w:rFonts w:ascii="Times New Roman" w:hAnsi="Times New Roman"/>
                <w:sz w:val="22"/>
                <w:lang w:val="hu-HU"/>
              </w:rPr>
            </w:pPr>
            <w:del w:id="5577" w:author="AbbVie_HU_03" w:date="2025-05-14T15:27:00Z">
              <w:r w:rsidRPr="00183B5F">
                <w:rPr>
                  <w:rFonts w:ascii="Times New Roman" w:hAnsi="Times New Roman"/>
                  <w:sz w:val="22"/>
                  <w:lang w:val="hu-HU"/>
                </w:rPr>
                <w:delText>20,8%</w:delText>
              </w:r>
            </w:del>
          </w:p>
        </w:tc>
      </w:tr>
      <w:tr w:rsidR="00011D2F" w14:paraId="65E086B2" w14:textId="6D4D836E" w:rsidTr="003811FE">
        <w:trPr>
          <w:cantSplit/>
          <w:del w:id="5578" w:author="AbbVie_HU_03" w:date="2025-05-14T15:27:00Z"/>
        </w:trPr>
        <w:tc>
          <w:tcPr>
            <w:tcW w:w="1159" w:type="dxa"/>
            <w:tcBorders>
              <w:top w:val="nil"/>
              <w:left w:val="single" w:sz="4" w:space="0" w:color="auto"/>
              <w:bottom w:val="single" w:sz="4" w:space="0" w:color="auto"/>
              <w:right w:val="single" w:sz="6" w:space="0" w:color="auto"/>
            </w:tcBorders>
          </w:tcPr>
          <w:p w14:paraId="32C7EF7D" w14:textId="59D7DD96" w:rsidR="00FB6710" w:rsidRPr="00183B5F" w:rsidRDefault="00943743" w:rsidP="00FE0197">
            <w:pPr>
              <w:pStyle w:val="In-texttable"/>
              <w:tabs>
                <w:tab w:val="left" w:pos="144"/>
              </w:tabs>
              <w:spacing w:line="240" w:lineRule="auto"/>
              <w:rPr>
                <w:del w:id="5579" w:author="AbbVie_HU_03" w:date="2025-05-14T15:27:00Z"/>
                <w:rFonts w:ascii="Times New Roman" w:hAnsi="Times New Roman"/>
                <w:sz w:val="22"/>
                <w:lang w:val="hu-HU"/>
              </w:rPr>
            </w:pPr>
            <w:del w:id="5580" w:author="AbbVie_HU_03" w:date="2025-05-14T15:27:00Z">
              <w:r w:rsidRPr="00183B5F">
                <w:rPr>
                  <w:rFonts w:ascii="Times New Roman" w:hAnsi="Times New Roman"/>
                  <w:sz w:val="22"/>
                  <w:lang w:val="hu-HU"/>
                </w:rPr>
                <w:tab/>
                <w:delText>12</w:delText>
              </w:r>
              <w:r w:rsidR="007621E0" w:rsidRPr="00183B5F">
                <w:rPr>
                  <w:rFonts w:ascii="Times New Roman" w:hAnsi="Times New Roman"/>
                  <w:sz w:val="22"/>
                  <w:lang w:val="hu-HU"/>
                </w:rPr>
                <w:delText> </w:delText>
              </w:r>
              <w:r w:rsidRPr="00183B5F">
                <w:rPr>
                  <w:rFonts w:ascii="Times New Roman" w:hAnsi="Times New Roman"/>
                  <w:sz w:val="22"/>
                  <w:lang w:val="hu-HU"/>
                </w:rPr>
                <w:delText>hónap</w:delText>
              </w:r>
            </w:del>
          </w:p>
        </w:tc>
        <w:tc>
          <w:tcPr>
            <w:tcW w:w="1393" w:type="dxa"/>
            <w:tcBorders>
              <w:top w:val="nil"/>
              <w:left w:val="single" w:sz="6" w:space="0" w:color="auto"/>
              <w:bottom w:val="single" w:sz="4" w:space="0" w:color="auto"/>
              <w:right w:val="nil"/>
            </w:tcBorders>
          </w:tcPr>
          <w:p w14:paraId="3B3B6840" w14:textId="00FB5855" w:rsidR="00FB6710" w:rsidRPr="00183B5F" w:rsidRDefault="00943743" w:rsidP="00FE0197">
            <w:pPr>
              <w:pStyle w:val="In-texttable"/>
              <w:tabs>
                <w:tab w:val="decimal" w:pos="259"/>
              </w:tabs>
              <w:spacing w:line="240" w:lineRule="auto"/>
              <w:jc w:val="center"/>
              <w:rPr>
                <w:del w:id="5581" w:author="AbbVie_HU_03" w:date="2025-05-14T15:27:00Z"/>
                <w:rFonts w:ascii="Times New Roman" w:hAnsi="Times New Roman"/>
                <w:sz w:val="22"/>
                <w:lang w:val="hu-HU"/>
              </w:rPr>
            </w:pPr>
            <w:del w:id="5582" w:author="AbbVie_HU_03" w:date="2025-05-14T15:27:00Z">
              <w:r w:rsidRPr="00183B5F">
                <w:rPr>
                  <w:rFonts w:ascii="Times New Roman" w:hAnsi="Times New Roman"/>
                  <w:sz w:val="22"/>
                  <w:lang w:val="hu-HU"/>
                </w:rPr>
                <w:delText>NA</w:delText>
              </w:r>
            </w:del>
          </w:p>
        </w:tc>
        <w:tc>
          <w:tcPr>
            <w:tcW w:w="1417" w:type="dxa"/>
            <w:tcBorders>
              <w:top w:val="nil"/>
              <w:left w:val="nil"/>
              <w:bottom w:val="single" w:sz="4" w:space="0" w:color="auto"/>
              <w:right w:val="single" w:sz="6" w:space="0" w:color="auto"/>
            </w:tcBorders>
          </w:tcPr>
          <w:p w14:paraId="711B30EB" w14:textId="352BD50C" w:rsidR="00FB6710" w:rsidRPr="00183B5F" w:rsidRDefault="00943743" w:rsidP="00FE0197">
            <w:pPr>
              <w:pStyle w:val="In-texttable"/>
              <w:tabs>
                <w:tab w:val="decimal" w:pos="250"/>
              </w:tabs>
              <w:spacing w:line="240" w:lineRule="auto"/>
              <w:jc w:val="center"/>
              <w:rPr>
                <w:del w:id="5583" w:author="AbbVie_HU_03" w:date="2025-05-14T15:27:00Z"/>
                <w:rFonts w:ascii="Times New Roman" w:hAnsi="Times New Roman"/>
                <w:sz w:val="22"/>
                <w:lang w:val="hu-HU"/>
              </w:rPr>
            </w:pPr>
            <w:del w:id="5584" w:author="AbbVie_HU_03" w:date="2025-05-14T15:27:00Z">
              <w:r w:rsidRPr="00183B5F">
                <w:rPr>
                  <w:rFonts w:ascii="Times New Roman" w:hAnsi="Times New Roman"/>
                  <w:sz w:val="22"/>
                  <w:lang w:val="hu-HU"/>
                </w:rPr>
                <w:delText>NA</w:delText>
              </w:r>
            </w:del>
          </w:p>
        </w:tc>
        <w:tc>
          <w:tcPr>
            <w:tcW w:w="1071" w:type="dxa"/>
            <w:tcBorders>
              <w:top w:val="nil"/>
              <w:left w:val="single" w:sz="6" w:space="0" w:color="auto"/>
              <w:bottom w:val="single" w:sz="4" w:space="0" w:color="auto"/>
              <w:right w:val="nil"/>
            </w:tcBorders>
          </w:tcPr>
          <w:p w14:paraId="3B30A720" w14:textId="1FBC4379" w:rsidR="00FB6710" w:rsidRPr="00183B5F" w:rsidRDefault="00943743" w:rsidP="00FE0197">
            <w:pPr>
              <w:pStyle w:val="In-texttable"/>
              <w:spacing w:line="240" w:lineRule="auto"/>
              <w:jc w:val="center"/>
              <w:rPr>
                <w:del w:id="5585" w:author="AbbVie_HU_03" w:date="2025-05-14T15:27:00Z"/>
                <w:rFonts w:ascii="Times New Roman" w:hAnsi="Times New Roman"/>
                <w:sz w:val="22"/>
                <w:lang w:val="hu-HU"/>
              </w:rPr>
            </w:pPr>
            <w:del w:id="5586" w:author="AbbVie_HU_03" w:date="2025-05-14T15:27:00Z">
              <w:r w:rsidRPr="00183B5F">
                <w:rPr>
                  <w:rFonts w:ascii="Times New Roman" w:hAnsi="Times New Roman"/>
                  <w:sz w:val="22"/>
                  <w:lang w:val="hu-HU"/>
                </w:rPr>
                <w:delText>NA</w:delText>
              </w:r>
            </w:del>
          </w:p>
        </w:tc>
        <w:tc>
          <w:tcPr>
            <w:tcW w:w="1197" w:type="dxa"/>
            <w:tcBorders>
              <w:top w:val="nil"/>
              <w:left w:val="nil"/>
              <w:bottom w:val="single" w:sz="4" w:space="0" w:color="auto"/>
              <w:right w:val="single" w:sz="6" w:space="0" w:color="auto"/>
            </w:tcBorders>
          </w:tcPr>
          <w:p w14:paraId="548844ED" w14:textId="70D711BB" w:rsidR="00FB6710" w:rsidRPr="00183B5F" w:rsidRDefault="00943743" w:rsidP="00FE0197">
            <w:pPr>
              <w:pStyle w:val="In-texttable"/>
              <w:tabs>
                <w:tab w:val="decimal" w:pos="205"/>
              </w:tabs>
              <w:spacing w:line="240" w:lineRule="auto"/>
              <w:jc w:val="center"/>
              <w:rPr>
                <w:del w:id="5587" w:author="AbbVie_HU_03" w:date="2025-05-14T15:27:00Z"/>
                <w:rFonts w:ascii="Times New Roman" w:hAnsi="Times New Roman"/>
                <w:sz w:val="22"/>
                <w:lang w:val="hu-HU"/>
              </w:rPr>
            </w:pPr>
            <w:del w:id="5588" w:author="AbbVie_HU_03" w:date="2025-05-14T15:27:00Z">
              <w:r w:rsidRPr="00183B5F">
                <w:rPr>
                  <w:rFonts w:ascii="Times New Roman" w:hAnsi="Times New Roman"/>
                  <w:sz w:val="22"/>
                  <w:lang w:val="hu-HU"/>
                </w:rPr>
                <w:delText>NA</w:delText>
              </w:r>
            </w:del>
          </w:p>
        </w:tc>
        <w:tc>
          <w:tcPr>
            <w:tcW w:w="1418" w:type="dxa"/>
            <w:tcBorders>
              <w:top w:val="nil"/>
              <w:left w:val="single" w:sz="6" w:space="0" w:color="auto"/>
              <w:bottom w:val="single" w:sz="4" w:space="0" w:color="auto"/>
              <w:right w:val="nil"/>
            </w:tcBorders>
          </w:tcPr>
          <w:p w14:paraId="0AC90AD2" w14:textId="1E6C214B" w:rsidR="00FB6710" w:rsidRPr="00183B5F" w:rsidRDefault="00943743" w:rsidP="00FE0197">
            <w:pPr>
              <w:pStyle w:val="In-texttable"/>
              <w:tabs>
                <w:tab w:val="decimal" w:pos="144"/>
              </w:tabs>
              <w:spacing w:line="240" w:lineRule="auto"/>
              <w:jc w:val="center"/>
              <w:rPr>
                <w:del w:id="5589" w:author="AbbVie_HU_03" w:date="2025-05-14T15:27:00Z"/>
                <w:rFonts w:ascii="Times New Roman" w:hAnsi="Times New Roman"/>
                <w:sz w:val="22"/>
                <w:lang w:val="hu-HU"/>
              </w:rPr>
            </w:pPr>
            <w:del w:id="5590" w:author="AbbVie_HU_03" w:date="2025-05-14T15:27:00Z">
              <w:r w:rsidRPr="00183B5F">
                <w:rPr>
                  <w:rFonts w:ascii="Times New Roman" w:hAnsi="Times New Roman"/>
                  <w:sz w:val="22"/>
                  <w:lang w:val="hu-HU"/>
                </w:rPr>
                <w:delText>4,5%</w:delText>
              </w:r>
            </w:del>
          </w:p>
        </w:tc>
        <w:tc>
          <w:tcPr>
            <w:tcW w:w="1559" w:type="dxa"/>
            <w:tcBorders>
              <w:top w:val="nil"/>
              <w:left w:val="nil"/>
              <w:bottom w:val="single" w:sz="4" w:space="0" w:color="auto"/>
              <w:right w:val="single" w:sz="4" w:space="0" w:color="auto"/>
            </w:tcBorders>
          </w:tcPr>
          <w:p w14:paraId="5DB0E225" w14:textId="58A92DC3" w:rsidR="00FB6710" w:rsidRPr="00183B5F" w:rsidRDefault="00943743" w:rsidP="00FE0197">
            <w:pPr>
              <w:pStyle w:val="In-texttable"/>
              <w:tabs>
                <w:tab w:val="decimal" w:pos="95"/>
              </w:tabs>
              <w:spacing w:line="240" w:lineRule="auto"/>
              <w:jc w:val="center"/>
              <w:rPr>
                <w:del w:id="5591" w:author="AbbVie_HU_03" w:date="2025-05-14T15:27:00Z"/>
                <w:rFonts w:ascii="Times New Roman" w:hAnsi="Times New Roman"/>
                <w:sz w:val="22"/>
                <w:lang w:val="hu-HU"/>
              </w:rPr>
            </w:pPr>
            <w:del w:id="5592" w:author="AbbVie_HU_03" w:date="2025-05-14T15:27:00Z">
              <w:r w:rsidRPr="00183B5F">
                <w:rPr>
                  <w:rFonts w:ascii="Times New Roman" w:hAnsi="Times New Roman"/>
                  <w:sz w:val="22"/>
                  <w:lang w:val="hu-HU"/>
                </w:rPr>
                <w:delText>23,2%</w:delText>
              </w:r>
            </w:del>
          </w:p>
        </w:tc>
      </w:tr>
      <w:tr w:rsidR="00011D2F" w14:paraId="1F9845A5" w14:textId="7CF3FECB" w:rsidTr="003811FE">
        <w:trPr>
          <w:cantSplit/>
          <w:del w:id="5593" w:author="AbbVie_HU_03" w:date="2025-05-14T15:27:00Z"/>
        </w:trPr>
        <w:tc>
          <w:tcPr>
            <w:tcW w:w="9214" w:type="dxa"/>
            <w:gridSpan w:val="7"/>
            <w:tcBorders>
              <w:top w:val="single" w:sz="4" w:space="0" w:color="auto"/>
            </w:tcBorders>
          </w:tcPr>
          <w:p w14:paraId="719C5206" w14:textId="004052C9" w:rsidR="00FB6710" w:rsidRPr="00183B5F" w:rsidRDefault="00943743" w:rsidP="00FE0197">
            <w:pPr>
              <w:pStyle w:val="EndnoteText"/>
              <w:keepNext/>
              <w:tabs>
                <w:tab w:val="clear" w:pos="567"/>
                <w:tab w:val="left" w:pos="708"/>
              </w:tabs>
              <w:suppressAutoHyphens/>
              <w:rPr>
                <w:del w:id="5594" w:author="AbbVie_HU_03" w:date="2025-05-14T15:27:00Z"/>
                <w:sz w:val="22"/>
                <w:szCs w:val="22"/>
                <w:lang w:val="hu-HU" w:eastAsia="hu-HU"/>
              </w:rPr>
            </w:pPr>
            <w:del w:id="5595" w:author="AbbVie_HU_03" w:date="2025-05-14T15:27:00Z">
              <w:r w:rsidRPr="00183B5F">
                <w:rPr>
                  <w:sz w:val="22"/>
                  <w:szCs w:val="22"/>
                  <w:vertAlign w:val="superscript"/>
                  <w:lang w:val="hu-HU" w:eastAsia="hu-HU"/>
                </w:rPr>
                <w:delText>a</w:delText>
              </w:r>
              <w:r w:rsidR="000C5AA9" w:rsidRPr="00183B5F">
                <w:rPr>
                  <w:sz w:val="22"/>
                  <w:szCs w:val="22"/>
                  <w:vertAlign w:val="superscript"/>
                  <w:lang w:val="hu-HU" w:eastAsia="hu-HU"/>
                </w:rPr>
                <w:delText xml:space="preserve"> </w:delText>
              </w:r>
              <w:r w:rsidRPr="00183B5F">
                <w:rPr>
                  <w:sz w:val="22"/>
                  <w:szCs w:val="22"/>
                  <w:lang w:val="hu-HU" w:eastAsia="hu-HU"/>
                </w:rPr>
                <w:delText>RA</w:delText>
              </w:r>
              <w:r w:rsidR="007621E0" w:rsidRPr="00183B5F">
                <w:rPr>
                  <w:sz w:val="22"/>
                  <w:szCs w:val="22"/>
                  <w:lang w:val="hu-HU" w:eastAsia="hu-HU"/>
                </w:rPr>
                <w:delText> </w:delText>
              </w:r>
              <w:r w:rsidRPr="00183B5F">
                <w:rPr>
                  <w:sz w:val="22"/>
                  <w:szCs w:val="22"/>
                  <w:lang w:val="hu-HU" w:eastAsia="hu-HU"/>
                </w:rPr>
                <w:delText>I vizsgálat 24.</w:delText>
              </w:r>
              <w:r w:rsidR="00A44DB6" w:rsidRPr="00183B5F">
                <w:rPr>
                  <w:sz w:val="22"/>
                  <w:szCs w:val="22"/>
                  <w:lang w:val="hu-HU" w:eastAsia="hu-HU"/>
                </w:rPr>
                <w:delText> hét</w:delText>
              </w:r>
              <w:r w:rsidRPr="00183B5F">
                <w:rPr>
                  <w:sz w:val="22"/>
                  <w:szCs w:val="22"/>
                  <w:lang w:val="hu-HU" w:eastAsia="hu-HU"/>
                </w:rPr>
                <w:delText>en, RA</w:delText>
              </w:r>
              <w:r w:rsidR="007621E0" w:rsidRPr="00183B5F">
                <w:rPr>
                  <w:sz w:val="22"/>
                  <w:szCs w:val="22"/>
                  <w:lang w:val="hu-HU" w:eastAsia="hu-HU"/>
                </w:rPr>
                <w:delText> </w:delText>
              </w:r>
              <w:r w:rsidRPr="00183B5F">
                <w:rPr>
                  <w:sz w:val="22"/>
                  <w:szCs w:val="22"/>
                  <w:lang w:val="hu-HU" w:eastAsia="hu-HU"/>
                </w:rPr>
                <w:delText>II vizsgálat 26.</w:delText>
              </w:r>
              <w:r w:rsidR="00A44DB6" w:rsidRPr="00183B5F">
                <w:rPr>
                  <w:sz w:val="22"/>
                  <w:szCs w:val="22"/>
                  <w:lang w:val="hu-HU" w:eastAsia="hu-HU"/>
                </w:rPr>
                <w:delText> hét</w:delText>
              </w:r>
              <w:r w:rsidRPr="00183B5F">
                <w:rPr>
                  <w:sz w:val="22"/>
                  <w:szCs w:val="22"/>
                  <w:lang w:val="hu-HU" w:eastAsia="hu-HU"/>
                </w:rPr>
                <w:delText>en, RA</w:delText>
              </w:r>
              <w:r w:rsidR="007621E0" w:rsidRPr="00183B5F">
                <w:rPr>
                  <w:sz w:val="22"/>
                  <w:szCs w:val="22"/>
                  <w:lang w:val="hu-HU" w:eastAsia="hu-HU"/>
                </w:rPr>
                <w:delText> </w:delText>
              </w:r>
              <w:r w:rsidRPr="00183B5F">
                <w:rPr>
                  <w:sz w:val="22"/>
                  <w:szCs w:val="22"/>
                  <w:lang w:val="hu-HU" w:eastAsia="hu-HU"/>
                </w:rPr>
                <w:delText>III vizsgálat 24. és 52.</w:delText>
              </w:r>
              <w:r w:rsidR="00A44DB6" w:rsidRPr="00183B5F">
                <w:rPr>
                  <w:sz w:val="22"/>
                  <w:szCs w:val="22"/>
                  <w:lang w:val="hu-HU" w:eastAsia="hu-HU"/>
                </w:rPr>
                <w:delText> hét</w:delText>
              </w:r>
              <w:r w:rsidRPr="00183B5F">
                <w:rPr>
                  <w:sz w:val="22"/>
                  <w:szCs w:val="22"/>
                  <w:lang w:val="hu-HU" w:eastAsia="hu-HU"/>
                </w:rPr>
                <w:delText>en</w:delText>
              </w:r>
            </w:del>
          </w:p>
          <w:p w14:paraId="15039795" w14:textId="092DC0B3" w:rsidR="00FB6710" w:rsidRPr="00183B5F" w:rsidRDefault="00943743" w:rsidP="00FE0197">
            <w:pPr>
              <w:pStyle w:val="EndnoteText"/>
              <w:keepNext/>
              <w:tabs>
                <w:tab w:val="clear" w:pos="567"/>
                <w:tab w:val="left" w:pos="708"/>
              </w:tabs>
              <w:suppressAutoHyphens/>
              <w:rPr>
                <w:del w:id="5596" w:author="AbbVie_HU_03" w:date="2025-05-14T15:27:00Z"/>
                <w:sz w:val="22"/>
                <w:szCs w:val="22"/>
                <w:lang w:val="hu-HU" w:eastAsia="hu-HU"/>
              </w:rPr>
            </w:pPr>
            <w:del w:id="5597" w:author="AbbVie_HU_03" w:date="2025-05-14T15:27:00Z">
              <w:r w:rsidRPr="00183B5F">
                <w:rPr>
                  <w:sz w:val="22"/>
                  <w:szCs w:val="22"/>
                  <w:vertAlign w:val="superscript"/>
                  <w:lang w:val="hu-HU" w:eastAsia="hu-HU"/>
                </w:rPr>
                <w:delText>b</w:delText>
              </w:r>
              <w:r w:rsidR="000C5AA9" w:rsidRPr="00183B5F">
                <w:rPr>
                  <w:sz w:val="22"/>
                  <w:szCs w:val="22"/>
                  <w:vertAlign w:val="superscript"/>
                  <w:lang w:val="hu-HU" w:eastAsia="hu-HU"/>
                </w:rPr>
                <w:delText xml:space="preserve"> </w:delText>
              </w:r>
              <w:r w:rsidRPr="00183B5F">
                <w:rPr>
                  <w:sz w:val="22"/>
                  <w:szCs w:val="22"/>
                  <w:lang w:val="hu-HU" w:eastAsia="hu-HU"/>
                </w:rPr>
                <w:delText>40 mg Humira minden második héten alkalmazva</w:delText>
              </w:r>
            </w:del>
          </w:p>
          <w:p w14:paraId="45DAFC15" w14:textId="51CFEE62" w:rsidR="00FB6710" w:rsidRPr="00183B5F" w:rsidRDefault="00943743" w:rsidP="00FE0197">
            <w:pPr>
              <w:pStyle w:val="EndnoteText"/>
              <w:keepNext/>
              <w:tabs>
                <w:tab w:val="clear" w:pos="567"/>
                <w:tab w:val="left" w:pos="708"/>
              </w:tabs>
              <w:suppressAutoHyphens/>
              <w:rPr>
                <w:del w:id="5598" w:author="AbbVie_HU_03" w:date="2025-05-14T15:27:00Z"/>
                <w:sz w:val="22"/>
                <w:szCs w:val="22"/>
                <w:lang w:val="hu-HU" w:eastAsia="hu-HU"/>
              </w:rPr>
            </w:pPr>
            <w:del w:id="5599" w:author="AbbVie_HU_03" w:date="2025-05-14T15:27:00Z">
              <w:r w:rsidRPr="00183B5F">
                <w:rPr>
                  <w:sz w:val="22"/>
                  <w:szCs w:val="22"/>
                  <w:vertAlign w:val="superscript"/>
                  <w:lang w:val="hu-HU" w:eastAsia="hu-HU"/>
                </w:rPr>
                <w:delText>c</w:delText>
              </w:r>
              <w:r w:rsidR="000C5AA9" w:rsidRPr="00183B5F">
                <w:rPr>
                  <w:sz w:val="22"/>
                  <w:szCs w:val="22"/>
                  <w:vertAlign w:val="superscript"/>
                  <w:lang w:val="hu-HU" w:eastAsia="hu-HU"/>
                </w:rPr>
                <w:delText xml:space="preserve"> </w:delText>
              </w:r>
              <w:r w:rsidRPr="00183B5F">
                <w:rPr>
                  <w:sz w:val="22"/>
                  <w:szCs w:val="22"/>
                  <w:lang w:val="hu-HU" w:eastAsia="hu-HU"/>
                </w:rPr>
                <w:delText>MTX =</w:delText>
              </w:r>
              <w:r w:rsidRPr="00183B5F">
                <w:rPr>
                  <w:sz w:val="22"/>
                  <w:lang w:val="hu-HU"/>
                </w:rPr>
                <w:delText> metotrexát</w:delText>
              </w:r>
            </w:del>
          </w:p>
          <w:p w14:paraId="7D057A02" w14:textId="0A1805C0" w:rsidR="00FB6710" w:rsidRPr="00183B5F" w:rsidRDefault="00943743" w:rsidP="00FE0197">
            <w:pPr>
              <w:pStyle w:val="EndnoteText"/>
              <w:keepNext/>
              <w:tabs>
                <w:tab w:val="clear" w:pos="567"/>
                <w:tab w:val="left" w:pos="708"/>
              </w:tabs>
              <w:suppressAutoHyphens/>
              <w:rPr>
                <w:del w:id="5600" w:author="AbbVie_HU_03" w:date="2025-05-14T15:27:00Z"/>
                <w:sz w:val="22"/>
                <w:lang w:val="hu-HU"/>
              </w:rPr>
            </w:pPr>
            <w:del w:id="5601" w:author="AbbVie_HU_03" w:date="2025-05-14T15:27:00Z">
              <w:r w:rsidRPr="00183B5F">
                <w:rPr>
                  <w:sz w:val="22"/>
                  <w:vertAlign w:val="superscript"/>
                  <w:lang w:val="hu-HU"/>
                </w:rPr>
                <w:delText>* *</w:delText>
              </w:r>
              <w:r w:rsidR="000C5AA9" w:rsidRPr="00183B5F">
                <w:rPr>
                  <w:sz w:val="22"/>
                  <w:vertAlign w:val="superscript"/>
                  <w:lang w:val="hu-HU"/>
                </w:rPr>
                <w:delText xml:space="preserve"> </w:delText>
              </w:r>
              <w:r w:rsidRPr="00183B5F">
                <w:rPr>
                  <w:sz w:val="22"/>
                  <w:lang w:val="hu-HU"/>
                </w:rPr>
                <w:delText>p &lt; 0,01, Humira versus placebo</w:delText>
              </w:r>
            </w:del>
          </w:p>
          <w:p w14:paraId="56268A66" w14:textId="071648D0" w:rsidR="00FB6710" w:rsidRPr="00183B5F" w:rsidRDefault="00943743" w:rsidP="00FE0197">
            <w:pPr>
              <w:keepNext/>
              <w:spacing w:line="240" w:lineRule="auto"/>
              <w:rPr>
                <w:del w:id="5602" w:author="AbbVie_HU_03" w:date="2025-05-14T15:27:00Z"/>
                <w:szCs w:val="22"/>
              </w:rPr>
            </w:pPr>
            <w:del w:id="5603" w:author="AbbVie_HU_03" w:date="2025-05-14T15:27:00Z">
              <w:r w:rsidRPr="00183B5F">
                <w:rPr>
                  <w:szCs w:val="22"/>
                </w:rPr>
                <w:delText>NA: nincs adat</w:delText>
              </w:r>
            </w:del>
          </w:p>
        </w:tc>
      </w:tr>
    </w:tbl>
    <w:p w14:paraId="2FB49592" w14:textId="3782AA88" w:rsidR="00FB6710" w:rsidRPr="00183B5F" w:rsidRDefault="00FB6710" w:rsidP="004062FE">
      <w:pPr>
        <w:spacing w:line="240" w:lineRule="auto"/>
        <w:rPr>
          <w:del w:id="5604" w:author="AbbVie_HU_03" w:date="2025-05-14T15:27:00Z"/>
          <w:szCs w:val="22"/>
        </w:rPr>
      </w:pPr>
    </w:p>
    <w:p w14:paraId="3DDAD895" w14:textId="08702945" w:rsidR="00FB6710" w:rsidRPr="00183B5F" w:rsidRDefault="00943743" w:rsidP="004062FE">
      <w:pPr>
        <w:suppressAutoHyphens w:val="0"/>
        <w:spacing w:line="240" w:lineRule="auto"/>
        <w:rPr>
          <w:del w:id="5605" w:author="AbbVie_HU_03" w:date="2025-05-14T15:27:00Z"/>
          <w:szCs w:val="22"/>
        </w:rPr>
      </w:pPr>
      <w:del w:id="5606" w:author="AbbVie_HU_03" w:date="2025-05-14T15:27:00Z">
        <w:r w:rsidRPr="00183B5F">
          <w:rPr>
            <w:szCs w:val="22"/>
          </w:rPr>
          <w:delText>Az RA</w:delText>
        </w:r>
        <w:r w:rsidR="00DB0B23" w:rsidRPr="00183B5F">
          <w:rPr>
            <w:szCs w:val="22"/>
          </w:rPr>
          <w:delText> </w:delText>
        </w:r>
        <w:r w:rsidRPr="00183B5F">
          <w:rPr>
            <w:szCs w:val="22"/>
          </w:rPr>
          <w:delText>I</w:delText>
        </w:r>
        <w:r w:rsidR="00DB0B23" w:rsidRPr="00183B5F">
          <w:rPr>
            <w:szCs w:val="22"/>
          </w:rPr>
          <w:noBreakHyphen/>
        </w:r>
        <w:r w:rsidRPr="00183B5F">
          <w:rPr>
            <w:szCs w:val="22"/>
          </w:rPr>
          <w:delText xml:space="preserve">IV vizsgálatokban az </w:delText>
        </w:r>
        <w:r w:rsidR="005D174E" w:rsidRPr="00183B5F">
          <w:rPr>
            <w:szCs w:val="22"/>
          </w:rPr>
          <w:delText>ACR-válasz</w:delText>
        </w:r>
        <w:r w:rsidRPr="00183B5F">
          <w:rPr>
            <w:szCs w:val="22"/>
          </w:rPr>
          <w:delText xml:space="preserve">t alkotó kritériumok (duzzadt és érzékeny ízületek száma, a beteg és az orvos értékelése a betegség aktivitásáról és a fájdalomról, rokkantsági index (HAQ), CRP (mg/dl) érték) mindegyike </w:delText>
        </w:r>
        <w:r w:rsidR="0040664A" w:rsidRPr="00183B5F">
          <w:rPr>
            <w:szCs w:val="22"/>
          </w:rPr>
          <w:delText xml:space="preserve">egyedileg </w:delText>
        </w:r>
        <w:r w:rsidRPr="00183B5F">
          <w:rPr>
            <w:szCs w:val="22"/>
          </w:rPr>
          <w:delText xml:space="preserve">is javulást mutatott </w:delText>
        </w:r>
        <w:r w:rsidR="00116852" w:rsidRPr="00183B5F">
          <w:rPr>
            <w:szCs w:val="22"/>
          </w:rPr>
          <w:delText xml:space="preserve">a </w:delText>
        </w:r>
        <w:r w:rsidRPr="00183B5F">
          <w:rPr>
            <w:szCs w:val="22"/>
          </w:rPr>
          <w:delText>24</w:delText>
        </w:r>
        <w:r w:rsidR="00116852" w:rsidRPr="00183B5F">
          <w:rPr>
            <w:szCs w:val="22"/>
          </w:rPr>
          <w:delText>.</w:delText>
        </w:r>
        <w:r w:rsidRPr="00183B5F">
          <w:rPr>
            <w:szCs w:val="22"/>
          </w:rPr>
          <w:delText xml:space="preserve"> illetve 26</w:delText>
        </w:r>
        <w:r w:rsidR="00116852" w:rsidRPr="00183B5F">
          <w:rPr>
            <w:szCs w:val="22"/>
          </w:rPr>
          <w:delText>.</w:delText>
        </w:r>
        <w:r w:rsidR="00A44DB6" w:rsidRPr="00183B5F">
          <w:rPr>
            <w:szCs w:val="22"/>
          </w:rPr>
          <w:delText> hét</w:delText>
        </w:r>
        <w:r w:rsidR="00116852" w:rsidRPr="00183B5F">
          <w:rPr>
            <w:szCs w:val="22"/>
          </w:rPr>
          <w:delText>en</w:delText>
        </w:r>
        <w:r w:rsidRPr="00183B5F">
          <w:rPr>
            <w:szCs w:val="22"/>
          </w:rPr>
          <w:delText xml:space="preserve"> a placebocsoporthoz képest. A</w:delText>
        </w:r>
        <w:r w:rsidR="00116852" w:rsidRPr="00183B5F">
          <w:rPr>
            <w:szCs w:val="22"/>
          </w:rPr>
          <w:delText>z RA</w:delText>
        </w:r>
        <w:r w:rsidRPr="00183B5F">
          <w:rPr>
            <w:szCs w:val="22"/>
          </w:rPr>
          <w:delText xml:space="preserve"> III vizsgálatban ez a javuló tendencia 52</w:delText>
        </w:r>
        <w:r w:rsidR="00A44DB6" w:rsidRPr="00183B5F">
          <w:rPr>
            <w:szCs w:val="22"/>
          </w:rPr>
          <w:delText> hét</w:delText>
        </w:r>
        <w:r w:rsidRPr="00183B5F">
          <w:rPr>
            <w:szCs w:val="22"/>
          </w:rPr>
          <w:delText>en át tartott.</w:delText>
        </w:r>
      </w:del>
    </w:p>
    <w:p w14:paraId="0FB39E1B" w14:textId="51EBEF18" w:rsidR="00FB6710" w:rsidRPr="00183B5F" w:rsidRDefault="00FB6710" w:rsidP="004062FE">
      <w:pPr>
        <w:suppressAutoHyphens w:val="0"/>
        <w:spacing w:line="240" w:lineRule="auto"/>
        <w:rPr>
          <w:del w:id="5607" w:author="AbbVie_HU_03" w:date="2025-05-14T15:27:00Z"/>
          <w:szCs w:val="22"/>
        </w:rPr>
      </w:pPr>
    </w:p>
    <w:p w14:paraId="78C51A57" w14:textId="7DA424F3" w:rsidR="000113FC" w:rsidRPr="00183B5F" w:rsidRDefault="00943743" w:rsidP="004062FE">
      <w:pPr>
        <w:suppressAutoHyphens w:val="0"/>
        <w:spacing w:line="240" w:lineRule="auto"/>
        <w:rPr>
          <w:del w:id="5608" w:author="AbbVie_HU_03" w:date="2025-05-14T15:27:00Z"/>
          <w:szCs w:val="22"/>
        </w:rPr>
      </w:pPr>
      <w:del w:id="5609" w:author="AbbVie_HU_03" w:date="2025-05-14T15:27:00Z">
        <w:r w:rsidRPr="00183B5F">
          <w:rPr>
            <w:szCs w:val="22"/>
          </w:rPr>
          <w:delText>Az RA</w:delText>
        </w:r>
        <w:r w:rsidR="00DB0B23" w:rsidRPr="00183B5F">
          <w:rPr>
            <w:szCs w:val="22"/>
          </w:rPr>
          <w:delText> </w:delText>
        </w:r>
        <w:r w:rsidRPr="00183B5F">
          <w:rPr>
            <w:szCs w:val="22"/>
          </w:rPr>
          <w:delText>III vizsgálat nyílt kiterjeszt</w:delText>
        </w:r>
        <w:r w:rsidR="00FC568F" w:rsidRPr="00183B5F">
          <w:rPr>
            <w:szCs w:val="22"/>
          </w:rPr>
          <w:delText>ésének</w:delText>
        </w:r>
        <w:r w:rsidRPr="00183B5F">
          <w:rPr>
            <w:szCs w:val="22"/>
          </w:rPr>
          <w:delText xml:space="preserve"> </w:delText>
        </w:r>
        <w:r w:rsidR="00FC568F" w:rsidRPr="00183B5F">
          <w:rPr>
            <w:szCs w:val="22"/>
          </w:rPr>
          <w:delText xml:space="preserve">legfeljebb 10 éves követési </w:delText>
        </w:r>
        <w:r w:rsidRPr="00183B5F">
          <w:rPr>
            <w:szCs w:val="22"/>
          </w:rPr>
          <w:delText xml:space="preserve">fázisában az </w:delText>
        </w:r>
        <w:r w:rsidR="005D174E" w:rsidRPr="00183B5F">
          <w:rPr>
            <w:szCs w:val="22"/>
          </w:rPr>
          <w:delText>ACR-válasz</w:delText>
        </w:r>
        <w:r w:rsidRPr="00183B5F">
          <w:rPr>
            <w:szCs w:val="22"/>
          </w:rPr>
          <w:delText>t adó betegek többségénél fennmaradt a válasz</w:delText>
        </w:r>
        <w:r w:rsidR="00FC568F" w:rsidRPr="00183B5F">
          <w:rPr>
            <w:szCs w:val="22"/>
          </w:rPr>
          <w:delText xml:space="preserve">. </w:delText>
        </w:r>
        <w:r w:rsidR="006F459E" w:rsidRPr="00183B5F">
          <w:rPr>
            <w:szCs w:val="22"/>
          </w:rPr>
          <w:delText>A minden második héten Humir</w:delText>
        </w:r>
        <w:r w:rsidR="00DB0B23" w:rsidRPr="00183B5F">
          <w:rPr>
            <w:szCs w:val="22"/>
          </w:rPr>
          <w:delText>a</w:delText>
        </w:r>
        <w:r w:rsidR="00DB0B23" w:rsidRPr="00183B5F">
          <w:rPr>
            <w:szCs w:val="22"/>
          </w:rPr>
          <w:noBreakHyphen/>
        </w:r>
        <w:r w:rsidR="006F459E" w:rsidRPr="00183B5F">
          <w:rPr>
            <w:szCs w:val="22"/>
          </w:rPr>
          <w:delText>val kezelt 207</w:delText>
        </w:r>
        <w:r w:rsidR="00DB0B23" w:rsidRPr="00183B5F">
          <w:rPr>
            <w:szCs w:val="22"/>
          </w:rPr>
          <w:delText> </w:delText>
        </w:r>
        <w:r w:rsidR="006F459E" w:rsidRPr="00183B5F">
          <w:rPr>
            <w:szCs w:val="22"/>
          </w:rPr>
          <w:delText>beteg közül</w:delText>
        </w:r>
        <w:r w:rsidRPr="00183B5F">
          <w:rPr>
            <w:szCs w:val="22"/>
          </w:rPr>
          <w:delText xml:space="preserve"> 114</w:delText>
        </w:r>
        <w:r w:rsidR="00CC02AA" w:rsidRPr="00183B5F">
          <w:rPr>
            <w:szCs w:val="22"/>
          </w:rPr>
          <w:delText> </w:delText>
        </w:r>
        <w:r w:rsidRPr="00183B5F">
          <w:rPr>
            <w:szCs w:val="22"/>
          </w:rPr>
          <w:delText>beteg folytatta a 2 hetenkénti 40</w:delText>
        </w:r>
        <w:r w:rsidR="00CC02AA" w:rsidRPr="00183B5F">
          <w:rPr>
            <w:szCs w:val="22"/>
          </w:rPr>
          <w:delText> </w:delText>
        </w:r>
        <w:r w:rsidRPr="00183B5F">
          <w:rPr>
            <w:szCs w:val="22"/>
          </w:rPr>
          <w:delText>mg</w:delText>
        </w:r>
        <w:r w:rsidR="00E5381A" w:rsidRPr="00183B5F">
          <w:rPr>
            <w:szCs w:val="22"/>
          </w:rPr>
          <w:noBreakHyphen/>
        </w:r>
        <w:r w:rsidRPr="00183B5F">
          <w:rPr>
            <w:szCs w:val="22"/>
          </w:rPr>
          <w:delText>os Humira</w:delText>
        </w:r>
        <w:r w:rsidR="00DB0B23" w:rsidRPr="00183B5F">
          <w:rPr>
            <w:szCs w:val="22"/>
          </w:rPr>
          <w:noBreakHyphen/>
        </w:r>
        <w:r w:rsidRPr="00183B5F">
          <w:rPr>
            <w:szCs w:val="22"/>
          </w:rPr>
          <w:delText>kezelést 5</w:delText>
        </w:r>
        <w:r w:rsidR="00CC02AA" w:rsidRPr="00183B5F">
          <w:rPr>
            <w:szCs w:val="22"/>
          </w:rPr>
          <w:delText> </w:delText>
        </w:r>
        <w:r w:rsidRPr="00183B5F">
          <w:rPr>
            <w:szCs w:val="22"/>
          </w:rPr>
          <w:delText xml:space="preserve">éven keresztül. Közülük 86 (75,4%) </w:delText>
        </w:r>
        <w:r w:rsidR="00FC568F" w:rsidRPr="00183B5F">
          <w:rPr>
            <w:szCs w:val="22"/>
          </w:rPr>
          <w:delText>mutatott</w:delText>
        </w:r>
        <w:r w:rsidRPr="00183B5F">
          <w:rPr>
            <w:szCs w:val="22"/>
          </w:rPr>
          <w:delText xml:space="preserve"> ACR</w:delText>
        </w:r>
        <w:r w:rsidR="00DB0B23" w:rsidRPr="00183B5F">
          <w:rPr>
            <w:szCs w:val="22"/>
          </w:rPr>
          <w:delText> </w:delText>
        </w:r>
        <w:r w:rsidRPr="00183B5F">
          <w:rPr>
            <w:szCs w:val="22"/>
          </w:rPr>
          <w:delText>20</w:delText>
        </w:r>
        <w:r w:rsidR="003D0FC6" w:rsidRPr="00183B5F">
          <w:rPr>
            <w:szCs w:val="22"/>
          </w:rPr>
          <w:delText xml:space="preserve"> </w:delText>
        </w:r>
        <w:r w:rsidRPr="00183B5F">
          <w:rPr>
            <w:szCs w:val="22"/>
          </w:rPr>
          <w:delText>választ, 72</w:delText>
        </w:r>
        <w:r w:rsidR="00CC02AA" w:rsidRPr="00183B5F">
          <w:rPr>
            <w:szCs w:val="22"/>
          </w:rPr>
          <w:delText> </w:delText>
        </w:r>
        <w:r w:rsidRPr="00183B5F">
          <w:rPr>
            <w:szCs w:val="22"/>
          </w:rPr>
          <w:delText>beteg (63,2%) ACR</w:delText>
        </w:r>
        <w:r w:rsidR="00DB0B23" w:rsidRPr="00183B5F">
          <w:rPr>
            <w:szCs w:val="22"/>
          </w:rPr>
          <w:delText> </w:delText>
        </w:r>
        <w:r w:rsidRPr="00183B5F">
          <w:rPr>
            <w:szCs w:val="22"/>
          </w:rPr>
          <w:delText>50 választ és 41</w:delText>
        </w:r>
        <w:r w:rsidR="00CC02AA" w:rsidRPr="00183B5F">
          <w:rPr>
            <w:szCs w:val="22"/>
          </w:rPr>
          <w:delText> </w:delText>
        </w:r>
        <w:r w:rsidRPr="00183B5F">
          <w:rPr>
            <w:szCs w:val="22"/>
          </w:rPr>
          <w:delText>beteg (36%) ACR</w:delText>
        </w:r>
        <w:r w:rsidR="00DB0B23" w:rsidRPr="00183B5F">
          <w:rPr>
            <w:szCs w:val="22"/>
          </w:rPr>
          <w:delText> </w:delText>
        </w:r>
        <w:r w:rsidRPr="00183B5F">
          <w:rPr>
            <w:szCs w:val="22"/>
          </w:rPr>
          <w:delText>70 választ. A 207</w:delText>
        </w:r>
        <w:r w:rsidR="00CC02AA" w:rsidRPr="00183B5F">
          <w:rPr>
            <w:szCs w:val="22"/>
          </w:rPr>
          <w:delText> </w:delText>
        </w:r>
        <w:r w:rsidRPr="00183B5F">
          <w:rPr>
            <w:szCs w:val="22"/>
          </w:rPr>
          <w:delText>beteg közül 81</w:delText>
        </w:r>
        <w:r w:rsidR="00CC02AA" w:rsidRPr="00183B5F">
          <w:rPr>
            <w:szCs w:val="22"/>
          </w:rPr>
          <w:delText> </w:delText>
        </w:r>
        <w:r w:rsidRPr="00183B5F">
          <w:rPr>
            <w:szCs w:val="22"/>
          </w:rPr>
          <w:delText>beteg folytatta a 2</w:delText>
        </w:r>
        <w:r w:rsidR="00CC02AA" w:rsidRPr="00183B5F">
          <w:rPr>
            <w:szCs w:val="22"/>
          </w:rPr>
          <w:delText> </w:delText>
        </w:r>
        <w:r w:rsidRPr="00183B5F">
          <w:rPr>
            <w:szCs w:val="22"/>
          </w:rPr>
          <w:delText>hetenkénti 40</w:delText>
        </w:r>
        <w:r w:rsidR="00CC02AA" w:rsidRPr="00183B5F">
          <w:rPr>
            <w:szCs w:val="22"/>
          </w:rPr>
          <w:delText> </w:delText>
        </w:r>
        <w:r w:rsidRPr="00183B5F">
          <w:rPr>
            <w:szCs w:val="22"/>
          </w:rPr>
          <w:delText>mg</w:delText>
        </w:r>
        <w:r w:rsidR="007621E0" w:rsidRPr="00183B5F">
          <w:rPr>
            <w:szCs w:val="22"/>
          </w:rPr>
          <w:noBreakHyphen/>
        </w:r>
        <w:r w:rsidRPr="00183B5F">
          <w:rPr>
            <w:szCs w:val="22"/>
          </w:rPr>
          <w:delText>os Humira</w:delText>
        </w:r>
        <w:r w:rsidR="00DB0B23" w:rsidRPr="00183B5F">
          <w:rPr>
            <w:szCs w:val="22"/>
          </w:rPr>
          <w:noBreakHyphen/>
        </w:r>
        <w:r w:rsidRPr="00183B5F">
          <w:rPr>
            <w:szCs w:val="22"/>
          </w:rPr>
          <w:delText>kezelést 10</w:delText>
        </w:r>
        <w:r w:rsidR="00CC02AA" w:rsidRPr="00183B5F">
          <w:rPr>
            <w:szCs w:val="22"/>
          </w:rPr>
          <w:delText> </w:delText>
        </w:r>
        <w:r w:rsidRPr="00183B5F">
          <w:rPr>
            <w:szCs w:val="22"/>
          </w:rPr>
          <w:delText>éven keresztül. Közülük 64</w:delText>
        </w:r>
        <w:r w:rsidR="00CC02AA" w:rsidRPr="00183B5F">
          <w:rPr>
            <w:szCs w:val="22"/>
          </w:rPr>
          <w:delText> </w:delText>
        </w:r>
        <w:r w:rsidRPr="00183B5F">
          <w:rPr>
            <w:szCs w:val="22"/>
          </w:rPr>
          <w:delText>beteg (79,0%) adott ACR</w:delText>
        </w:r>
        <w:r w:rsidR="00DB0B23" w:rsidRPr="00183B5F">
          <w:rPr>
            <w:szCs w:val="22"/>
          </w:rPr>
          <w:delText> </w:delText>
        </w:r>
        <w:r w:rsidRPr="00183B5F">
          <w:rPr>
            <w:szCs w:val="22"/>
          </w:rPr>
          <w:delText>20 választ, 56</w:delText>
        </w:r>
        <w:r w:rsidR="00CC02AA" w:rsidRPr="00183B5F">
          <w:rPr>
            <w:szCs w:val="22"/>
          </w:rPr>
          <w:delText> </w:delText>
        </w:r>
        <w:r w:rsidRPr="00183B5F">
          <w:rPr>
            <w:szCs w:val="22"/>
          </w:rPr>
          <w:delText>beteg (69,1%) ACR</w:delText>
        </w:r>
        <w:r w:rsidR="00DB0B23" w:rsidRPr="00183B5F">
          <w:rPr>
            <w:szCs w:val="22"/>
          </w:rPr>
          <w:delText> </w:delText>
        </w:r>
        <w:r w:rsidRPr="00183B5F">
          <w:rPr>
            <w:szCs w:val="22"/>
          </w:rPr>
          <w:delText>50 választ és 43</w:delText>
        </w:r>
        <w:r w:rsidR="00CC02AA" w:rsidRPr="00183B5F">
          <w:rPr>
            <w:szCs w:val="22"/>
          </w:rPr>
          <w:delText> </w:delText>
        </w:r>
        <w:r w:rsidRPr="00183B5F">
          <w:rPr>
            <w:szCs w:val="22"/>
          </w:rPr>
          <w:delText>beteg (53,1%) ACR</w:delText>
        </w:r>
        <w:r w:rsidR="00DB0B23" w:rsidRPr="00183B5F">
          <w:rPr>
            <w:szCs w:val="22"/>
          </w:rPr>
          <w:delText> </w:delText>
        </w:r>
        <w:r w:rsidRPr="00183B5F">
          <w:rPr>
            <w:szCs w:val="22"/>
          </w:rPr>
          <w:delText>70 választ.</w:delText>
        </w:r>
      </w:del>
    </w:p>
    <w:p w14:paraId="3C908613" w14:textId="1D2A8779" w:rsidR="000113FC" w:rsidRPr="00183B5F" w:rsidRDefault="000113FC" w:rsidP="004062FE">
      <w:pPr>
        <w:suppressAutoHyphens w:val="0"/>
        <w:spacing w:line="240" w:lineRule="auto"/>
        <w:rPr>
          <w:del w:id="5610" w:author="AbbVie_HU_03" w:date="2025-05-14T15:27:00Z"/>
          <w:szCs w:val="22"/>
        </w:rPr>
      </w:pPr>
    </w:p>
    <w:p w14:paraId="0F745428" w14:textId="33157180" w:rsidR="00FB6710" w:rsidRPr="00183B5F" w:rsidRDefault="00943743">
      <w:pPr>
        <w:spacing w:line="240" w:lineRule="auto"/>
        <w:rPr>
          <w:del w:id="5611" w:author="AbbVie_HU_03" w:date="2025-05-14T15:27:00Z"/>
          <w:szCs w:val="22"/>
        </w:rPr>
      </w:pPr>
      <w:del w:id="5612" w:author="AbbVie_HU_03" w:date="2025-05-14T15:27:00Z">
        <w:r w:rsidRPr="00183B5F">
          <w:rPr>
            <w:szCs w:val="22"/>
          </w:rPr>
          <w:delText>Az RA</w:delText>
        </w:r>
        <w:r w:rsidR="00F41CB0" w:rsidRPr="00183B5F">
          <w:rPr>
            <w:szCs w:val="22"/>
          </w:rPr>
          <w:delText> </w:delText>
        </w:r>
        <w:r w:rsidRPr="00183B5F">
          <w:rPr>
            <w:szCs w:val="22"/>
          </w:rPr>
          <w:delText>IV vizsgálatban, a Humira</w:delText>
        </w:r>
        <w:r w:rsidR="00F41CB0" w:rsidRPr="00183B5F">
          <w:rPr>
            <w:szCs w:val="22"/>
          </w:rPr>
          <w:noBreakHyphen/>
        </w:r>
        <w:r w:rsidRPr="00183B5F">
          <w:rPr>
            <w:szCs w:val="22"/>
          </w:rPr>
          <w:delText>val és a standard terápiával kezelt betegek szignifikánsan jobb ACR</w:delText>
        </w:r>
        <w:r w:rsidR="00F41CB0" w:rsidRPr="00183B5F">
          <w:rPr>
            <w:szCs w:val="22"/>
          </w:rPr>
          <w:delText> </w:delText>
        </w:r>
        <w:r w:rsidRPr="00183B5F">
          <w:rPr>
            <w:szCs w:val="22"/>
          </w:rPr>
          <w:delText xml:space="preserve">20 választ értek el mint a placebóval és a </w:delText>
        </w:r>
        <w:r w:rsidR="00116852" w:rsidRPr="00183B5F">
          <w:rPr>
            <w:szCs w:val="22"/>
          </w:rPr>
          <w:delText xml:space="preserve">standard </w:delText>
        </w:r>
        <w:r w:rsidRPr="00183B5F">
          <w:rPr>
            <w:szCs w:val="22"/>
          </w:rPr>
          <w:delText>terápiával kezeltek (p &lt; 0,001).</w:delText>
        </w:r>
      </w:del>
    </w:p>
    <w:p w14:paraId="7CCD406B" w14:textId="58B00335" w:rsidR="00FB6710" w:rsidRPr="00183B5F" w:rsidRDefault="00FB6710">
      <w:pPr>
        <w:pStyle w:val="EndnoteText"/>
        <w:tabs>
          <w:tab w:val="clear" w:pos="567"/>
        </w:tabs>
        <w:suppressAutoHyphens/>
        <w:rPr>
          <w:del w:id="5613" w:author="AbbVie_HU_03" w:date="2025-05-14T15:27:00Z"/>
          <w:sz w:val="22"/>
          <w:szCs w:val="22"/>
          <w:lang w:val="hu-HU" w:eastAsia="hu-HU"/>
        </w:rPr>
      </w:pPr>
    </w:p>
    <w:p w14:paraId="692D4A6C" w14:textId="689193FF" w:rsidR="00FB6710" w:rsidRPr="00183B5F" w:rsidRDefault="00943743">
      <w:pPr>
        <w:spacing w:line="240" w:lineRule="auto"/>
        <w:rPr>
          <w:del w:id="5614" w:author="AbbVie_HU_03" w:date="2025-05-14T15:27:00Z"/>
          <w:szCs w:val="22"/>
        </w:rPr>
      </w:pPr>
      <w:del w:id="5615" w:author="AbbVie_HU_03" w:date="2025-05-14T15:27:00Z">
        <w:r w:rsidRPr="00183B5F">
          <w:rPr>
            <w:szCs w:val="22"/>
          </w:rPr>
          <w:delText>Az RA</w:delText>
        </w:r>
        <w:r w:rsidR="00F41CB0" w:rsidRPr="00183B5F">
          <w:rPr>
            <w:szCs w:val="22"/>
          </w:rPr>
          <w:delText> </w:delText>
        </w:r>
        <w:r w:rsidRPr="00183B5F">
          <w:rPr>
            <w:szCs w:val="22"/>
          </w:rPr>
          <w:delText>I</w:delText>
        </w:r>
        <w:r w:rsidR="00F41CB0" w:rsidRPr="00183B5F">
          <w:rPr>
            <w:szCs w:val="22"/>
          </w:rPr>
          <w:noBreakHyphen/>
        </w:r>
        <w:r w:rsidRPr="00183B5F">
          <w:rPr>
            <w:szCs w:val="22"/>
          </w:rPr>
          <w:delText>IV vizsgálatban, a Humira</w:delText>
        </w:r>
        <w:r w:rsidR="00F41CB0" w:rsidRPr="00183B5F">
          <w:rPr>
            <w:szCs w:val="22"/>
          </w:rPr>
          <w:noBreakHyphen/>
        </w:r>
        <w:r w:rsidRPr="00183B5F">
          <w:rPr>
            <w:szCs w:val="22"/>
          </w:rPr>
          <w:delText>val kezelt betegek statisztikailag szignifikánsan jobb ACR</w:delText>
        </w:r>
        <w:r w:rsidR="00F41CB0" w:rsidRPr="00183B5F">
          <w:rPr>
            <w:szCs w:val="22"/>
          </w:rPr>
          <w:delText> </w:delText>
        </w:r>
        <w:r w:rsidRPr="00183B5F">
          <w:rPr>
            <w:szCs w:val="22"/>
          </w:rPr>
          <w:delText>20 és 50 választ értek el a placebocsoporttal összehasonlítva, már egy vagy két héttel a vizsgálat kezdete után.</w:delText>
        </w:r>
      </w:del>
    </w:p>
    <w:p w14:paraId="098CED53" w14:textId="33E784E4" w:rsidR="00416F4E" w:rsidRPr="00183B5F" w:rsidRDefault="00416F4E">
      <w:pPr>
        <w:spacing w:line="240" w:lineRule="auto"/>
        <w:rPr>
          <w:del w:id="5616" w:author="AbbVie_HU_03" w:date="2025-05-14T15:27:00Z"/>
          <w:szCs w:val="22"/>
        </w:rPr>
      </w:pPr>
    </w:p>
    <w:p w14:paraId="7E7945B1" w14:textId="79AE853F" w:rsidR="00FB6710" w:rsidRPr="00183B5F" w:rsidRDefault="00943743" w:rsidP="004062FE">
      <w:pPr>
        <w:spacing w:line="240" w:lineRule="auto"/>
        <w:rPr>
          <w:del w:id="5617" w:author="AbbVie_HU_03" w:date="2025-05-14T15:27:00Z"/>
          <w:szCs w:val="22"/>
        </w:rPr>
      </w:pPr>
      <w:del w:id="5618" w:author="AbbVie_HU_03" w:date="2025-05-14T15:27:00Z">
        <w:r w:rsidRPr="00183B5F">
          <w:rPr>
            <w:szCs w:val="22"/>
          </w:rPr>
          <w:delText>Az RA</w:delText>
        </w:r>
        <w:r w:rsidR="00F41CB0" w:rsidRPr="00183B5F">
          <w:rPr>
            <w:szCs w:val="22"/>
          </w:rPr>
          <w:delText> </w:delText>
        </w:r>
        <w:r w:rsidRPr="00183B5F">
          <w:rPr>
            <w:szCs w:val="22"/>
          </w:rPr>
          <w:delText xml:space="preserve">V vizsgálatban, amelybe </w:delText>
        </w:r>
        <w:r w:rsidR="001A6E66" w:rsidRPr="00183B5F">
          <w:rPr>
            <w:szCs w:val="22"/>
          </w:rPr>
          <w:delText>metotrexát-keze</w:delText>
        </w:r>
        <w:r w:rsidR="0040664A" w:rsidRPr="00183B5F">
          <w:rPr>
            <w:szCs w:val="22"/>
          </w:rPr>
          <w:delText xml:space="preserve">lésben korábban nem részesült </w:delText>
        </w:r>
        <w:r w:rsidRPr="00183B5F">
          <w:rPr>
            <w:szCs w:val="22"/>
          </w:rPr>
          <w:delText xml:space="preserve">korai rheumatoid arthritises betegeket vontak be, a </w:delText>
        </w:r>
        <w:r w:rsidR="0040664A" w:rsidRPr="00183B5F">
          <w:rPr>
            <w:szCs w:val="22"/>
          </w:rPr>
          <w:delText xml:space="preserve">Humira/metotrexát </w:delText>
        </w:r>
        <w:r w:rsidRPr="00183B5F">
          <w:rPr>
            <w:szCs w:val="22"/>
          </w:rPr>
          <w:delText xml:space="preserve">kombinációs kezelés gyorsabb és jelentősen nagyobb </w:delText>
        </w:r>
        <w:r w:rsidR="005D174E" w:rsidRPr="00183B5F">
          <w:rPr>
            <w:szCs w:val="22"/>
          </w:rPr>
          <w:delText>ACR-válasz</w:delText>
        </w:r>
        <w:r w:rsidRPr="00183B5F">
          <w:rPr>
            <w:szCs w:val="22"/>
          </w:rPr>
          <w:delText xml:space="preserve">t adott, mint a metotrexát, vagy a </w:delText>
        </w:r>
        <w:r w:rsidR="005C406C" w:rsidRPr="00183B5F">
          <w:rPr>
            <w:szCs w:val="22"/>
          </w:rPr>
          <w:delText>Humira-monoterá</w:delText>
        </w:r>
        <w:r w:rsidRPr="00183B5F">
          <w:rPr>
            <w:szCs w:val="22"/>
          </w:rPr>
          <w:delText>pia az 52.</w:delText>
        </w:r>
        <w:r w:rsidR="00A44DB6" w:rsidRPr="00183B5F">
          <w:rPr>
            <w:szCs w:val="22"/>
          </w:rPr>
          <w:delText> hét</w:delText>
        </w:r>
        <w:r w:rsidRPr="00183B5F">
          <w:rPr>
            <w:szCs w:val="22"/>
          </w:rPr>
          <w:delText>en és a hatás fennmaradt a 104.</w:delText>
        </w:r>
        <w:r w:rsidR="00A44DB6" w:rsidRPr="00183B5F">
          <w:rPr>
            <w:szCs w:val="22"/>
          </w:rPr>
          <w:delText> hét</w:delText>
        </w:r>
        <w:r w:rsidRPr="00183B5F">
          <w:rPr>
            <w:szCs w:val="22"/>
          </w:rPr>
          <w:delText xml:space="preserve">ig (lásd </w:delText>
        </w:r>
        <w:r w:rsidR="004371B6" w:rsidRPr="00183B5F">
          <w:rPr>
            <w:szCs w:val="22"/>
          </w:rPr>
          <w:delText>9</w:delText>
        </w:r>
        <w:r w:rsidRPr="00183B5F">
          <w:rPr>
            <w:szCs w:val="22"/>
          </w:rPr>
          <w:delText>.</w:delText>
        </w:r>
        <w:r w:rsidR="006A0A63" w:rsidRPr="00183B5F">
          <w:rPr>
            <w:szCs w:val="22"/>
          </w:rPr>
          <w:delText> </w:delText>
        </w:r>
        <w:r w:rsidRPr="00183B5F">
          <w:rPr>
            <w:szCs w:val="22"/>
          </w:rPr>
          <w:delText>táblázat).</w:delText>
        </w:r>
      </w:del>
    </w:p>
    <w:p w14:paraId="0D738E84" w14:textId="373AA8FD" w:rsidR="0074096C" w:rsidRPr="00183B5F" w:rsidRDefault="0074096C" w:rsidP="004062FE">
      <w:pPr>
        <w:keepNext/>
        <w:spacing w:line="240" w:lineRule="auto"/>
        <w:rPr>
          <w:del w:id="5619" w:author="AbbVie_HU_03" w:date="2025-05-14T15:27:00Z"/>
          <w:szCs w:val="22"/>
        </w:rPr>
      </w:pPr>
    </w:p>
    <w:p w14:paraId="252F1122" w14:textId="2A1AFAA4" w:rsidR="00C1029B" w:rsidRPr="00183B5F" w:rsidRDefault="00943743" w:rsidP="004062FE">
      <w:pPr>
        <w:keepNext/>
        <w:spacing w:line="240" w:lineRule="auto"/>
        <w:jc w:val="center"/>
        <w:rPr>
          <w:del w:id="5620" w:author="AbbVie_HU_03" w:date="2025-05-14T15:27:00Z"/>
          <w:b/>
          <w:bCs/>
          <w:szCs w:val="22"/>
        </w:rPr>
      </w:pPr>
      <w:del w:id="5621" w:author="AbbVie_HU_03" w:date="2025-05-14T15:27:00Z">
        <w:r w:rsidRPr="00183B5F">
          <w:rPr>
            <w:b/>
            <w:bCs/>
            <w:szCs w:val="22"/>
          </w:rPr>
          <w:delText>9</w:delText>
        </w:r>
        <w:r w:rsidR="00FB6710" w:rsidRPr="00183B5F">
          <w:rPr>
            <w:b/>
            <w:bCs/>
            <w:szCs w:val="22"/>
          </w:rPr>
          <w:delText>.</w:delText>
        </w:r>
        <w:r w:rsidR="006A0A63" w:rsidRPr="00183B5F">
          <w:rPr>
            <w:b/>
            <w:bCs/>
            <w:szCs w:val="22"/>
          </w:rPr>
          <w:delText> </w:delText>
        </w:r>
        <w:r w:rsidR="00FB6710" w:rsidRPr="00183B5F">
          <w:rPr>
            <w:b/>
            <w:bCs/>
            <w:szCs w:val="22"/>
          </w:rPr>
          <w:delText xml:space="preserve">táblázat </w:delText>
        </w:r>
      </w:del>
    </w:p>
    <w:p w14:paraId="19B0FB27" w14:textId="1F30869E" w:rsidR="00FB6710" w:rsidRPr="00183B5F" w:rsidRDefault="00943743" w:rsidP="004062FE">
      <w:pPr>
        <w:keepNext/>
        <w:spacing w:line="240" w:lineRule="auto"/>
        <w:jc w:val="center"/>
        <w:rPr>
          <w:del w:id="5622" w:author="AbbVie_HU_03" w:date="2025-05-14T15:27:00Z"/>
          <w:b/>
          <w:bCs/>
          <w:szCs w:val="22"/>
        </w:rPr>
      </w:pPr>
      <w:del w:id="5623" w:author="AbbVie_HU_03" w:date="2025-05-14T15:27:00Z">
        <w:r w:rsidRPr="00183B5F">
          <w:rPr>
            <w:b/>
            <w:bCs/>
            <w:szCs w:val="22"/>
          </w:rPr>
          <w:delText>ACR-válasz az RA V vizsgálatban (a betegek százaléka)</w:delText>
        </w:r>
      </w:del>
    </w:p>
    <w:p w14:paraId="359FCAAE" w14:textId="23A92EA5" w:rsidR="00FB6710" w:rsidRPr="00183B5F" w:rsidRDefault="00FB6710" w:rsidP="004062FE">
      <w:pPr>
        <w:keepNext/>
        <w:spacing w:line="240" w:lineRule="auto"/>
        <w:jc w:val="center"/>
        <w:rPr>
          <w:del w:id="5624" w:author="AbbVie_HU_03" w:date="2025-05-14T15:27:00Z"/>
          <w:b/>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94"/>
        <w:gridCol w:w="1299"/>
        <w:gridCol w:w="1299"/>
        <w:gridCol w:w="1460"/>
        <w:gridCol w:w="1291"/>
        <w:gridCol w:w="1287"/>
        <w:gridCol w:w="1354"/>
      </w:tblGrid>
      <w:tr w:rsidR="00011D2F" w14:paraId="2C4BC722" w14:textId="0E81B108" w:rsidTr="00BD731F">
        <w:trPr>
          <w:cantSplit/>
          <w:del w:id="5625" w:author="AbbVie_HU_03" w:date="2025-05-14T15:27:00Z"/>
        </w:trPr>
        <w:tc>
          <w:tcPr>
            <w:tcW w:w="1310" w:type="dxa"/>
          </w:tcPr>
          <w:p w14:paraId="4E2F41F0" w14:textId="434BFC64" w:rsidR="00FB6710" w:rsidRPr="00183B5F" w:rsidRDefault="00943743" w:rsidP="004062FE">
            <w:pPr>
              <w:keepNext/>
              <w:spacing w:line="240" w:lineRule="auto"/>
              <w:rPr>
                <w:del w:id="5626" w:author="AbbVie_HU_03" w:date="2025-05-14T15:27:00Z"/>
                <w:b/>
                <w:szCs w:val="22"/>
              </w:rPr>
            </w:pPr>
            <w:del w:id="5627" w:author="AbbVie_HU_03" w:date="2025-05-14T15:27:00Z">
              <w:r w:rsidRPr="00183B5F">
                <w:rPr>
                  <w:b/>
                  <w:szCs w:val="22"/>
                </w:rPr>
                <w:delText>Válasz</w:delText>
              </w:r>
            </w:del>
          </w:p>
        </w:tc>
        <w:tc>
          <w:tcPr>
            <w:tcW w:w="1310" w:type="dxa"/>
          </w:tcPr>
          <w:p w14:paraId="06016E08" w14:textId="25A99974" w:rsidR="00FB6710" w:rsidRPr="00183B5F" w:rsidRDefault="00943743" w:rsidP="004062FE">
            <w:pPr>
              <w:keepNext/>
              <w:spacing w:line="240" w:lineRule="auto"/>
              <w:rPr>
                <w:del w:id="5628" w:author="AbbVie_HU_03" w:date="2025-05-14T15:27:00Z"/>
                <w:b/>
                <w:szCs w:val="22"/>
              </w:rPr>
            </w:pPr>
            <w:del w:id="5629" w:author="AbbVie_HU_03" w:date="2025-05-14T15:27:00Z">
              <w:r w:rsidRPr="00183B5F">
                <w:rPr>
                  <w:b/>
                  <w:szCs w:val="22"/>
                </w:rPr>
                <w:delText>MTX (n</w:delText>
              </w:r>
              <w:r w:rsidR="00EE2699" w:rsidRPr="00183B5F">
                <w:rPr>
                  <w:b/>
                  <w:szCs w:val="22"/>
                </w:rPr>
                <w:delText> </w:delText>
              </w:r>
              <w:r w:rsidRPr="00183B5F">
                <w:rPr>
                  <w:b/>
                  <w:szCs w:val="22"/>
                </w:rPr>
                <w:delText>=</w:delText>
              </w:r>
              <w:r w:rsidR="00EE2699" w:rsidRPr="00183B5F">
                <w:rPr>
                  <w:b/>
                  <w:szCs w:val="22"/>
                </w:rPr>
                <w:delText> </w:delText>
              </w:r>
              <w:r w:rsidRPr="00183B5F">
                <w:rPr>
                  <w:b/>
                  <w:szCs w:val="22"/>
                </w:rPr>
                <w:delText>257)</w:delText>
              </w:r>
            </w:del>
          </w:p>
        </w:tc>
        <w:tc>
          <w:tcPr>
            <w:tcW w:w="1310" w:type="dxa"/>
          </w:tcPr>
          <w:p w14:paraId="7FE6D436" w14:textId="41BDB490" w:rsidR="00FB6710" w:rsidRPr="00183B5F" w:rsidRDefault="00943743" w:rsidP="004062FE">
            <w:pPr>
              <w:keepNext/>
              <w:spacing w:line="240" w:lineRule="auto"/>
              <w:rPr>
                <w:del w:id="5630" w:author="AbbVie_HU_03" w:date="2025-05-14T15:27:00Z"/>
                <w:b/>
                <w:szCs w:val="22"/>
              </w:rPr>
            </w:pPr>
            <w:del w:id="5631" w:author="AbbVie_HU_03" w:date="2025-05-14T15:27:00Z">
              <w:r w:rsidRPr="00183B5F">
                <w:rPr>
                  <w:b/>
                  <w:szCs w:val="22"/>
                </w:rPr>
                <w:delText>Humira (n</w:delText>
              </w:r>
              <w:r w:rsidR="00EE2699" w:rsidRPr="00183B5F">
                <w:rPr>
                  <w:b/>
                  <w:szCs w:val="22"/>
                </w:rPr>
                <w:delText> </w:delText>
              </w:r>
              <w:r w:rsidRPr="00183B5F">
                <w:rPr>
                  <w:b/>
                  <w:szCs w:val="22"/>
                </w:rPr>
                <w:delText>=</w:delText>
              </w:r>
              <w:r w:rsidR="00EE2699" w:rsidRPr="00183B5F">
                <w:rPr>
                  <w:b/>
                  <w:szCs w:val="22"/>
                </w:rPr>
                <w:delText> </w:delText>
              </w:r>
              <w:r w:rsidRPr="00183B5F">
                <w:rPr>
                  <w:b/>
                  <w:szCs w:val="22"/>
                </w:rPr>
                <w:delText>274)</w:delText>
              </w:r>
            </w:del>
          </w:p>
        </w:tc>
        <w:tc>
          <w:tcPr>
            <w:tcW w:w="1363" w:type="dxa"/>
          </w:tcPr>
          <w:p w14:paraId="55681B5E" w14:textId="27B9BEF2" w:rsidR="00FB6710" w:rsidRPr="00183B5F" w:rsidRDefault="00943743" w:rsidP="004062FE">
            <w:pPr>
              <w:keepNext/>
              <w:spacing w:line="240" w:lineRule="auto"/>
              <w:rPr>
                <w:del w:id="5632" w:author="AbbVie_HU_03" w:date="2025-05-14T15:27:00Z"/>
                <w:b/>
                <w:szCs w:val="22"/>
              </w:rPr>
            </w:pPr>
            <w:del w:id="5633" w:author="AbbVie_HU_03" w:date="2025-05-14T15:27:00Z">
              <w:r w:rsidRPr="00183B5F">
                <w:rPr>
                  <w:b/>
                  <w:szCs w:val="22"/>
                </w:rPr>
                <w:delText>Humira/MTX (n</w:delText>
              </w:r>
              <w:r w:rsidR="00EE2699" w:rsidRPr="00183B5F">
                <w:rPr>
                  <w:b/>
                  <w:szCs w:val="22"/>
                </w:rPr>
                <w:delText> </w:delText>
              </w:r>
              <w:r w:rsidRPr="00183B5F">
                <w:rPr>
                  <w:b/>
                  <w:szCs w:val="22"/>
                </w:rPr>
                <w:delText>=</w:delText>
              </w:r>
              <w:r w:rsidR="00EE2699" w:rsidRPr="00183B5F">
                <w:rPr>
                  <w:b/>
                  <w:szCs w:val="22"/>
                </w:rPr>
                <w:delText> </w:delText>
              </w:r>
              <w:r w:rsidRPr="00183B5F">
                <w:rPr>
                  <w:b/>
                  <w:szCs w:val="22"/>
                </w:rPr>
                <w:delText xml:space="preserve">268) </w:delText>
              </w:r>
            </w:del>
          </w:p>
        </w:tc>
        <w:tc>
          <w:tcPr>
            <w:tcW w:w="1308" w:type="dxa"/>
          </w:tcPr>
          <w:p w14:paraId="15EED9D1" w14:textId="5BC489D0" w:rsidR="00FB6710" w:rsidRPr="00183B5F" w:rsidRDefault="00943743" w:rsidP="004062FE">
            <w:pPr>
              <w:keepNext/>
              <w:spacing w:line="240" w:lineRule="auto"/>
              <w:rPr>
                <w:del w:id="5634" w:author="AbbVie_HU_03" w:date="2025-05-14T15:27:00Z"/>
                <w:b/>
                <w:szCs w:val="22"/>
              </w:rPr>
            </w:pPr>
            <w:del w:id="5635" w:author="AbbVie_HU_03" w:date="2025-05-14T15:27:00Z">
              <w:r w:rsidRPr="00183B5F">
                <w:rPr>
                  <w:b/>
                  <w:szCs w:val="22"/>
                </w:rPr>
                <w:delText xml:space="preserve">p-érték </w:delText>
              </w:r>
              <w:r w:rsidRPr="00183B5F">
                <w:rPr>
                  <w:b/>
                  <w:szCs w:val="22"/>
                  <w:vertAlign w:val="superscript"/>
                </w:rPr>
                <w:delText>a</w:delText>
              </w:r>
            </w:del>
          </w:p>
        </w:tc>
        <w:tc>
          <w:tcPr>
            <w:tcW w:w="1304" w:type="dxa"/>
          </w:tcPr>
          <w:p w14:paraId="0726D34A" w14:textId="050550BB" w:rsidR="00FB6710" w:rsidRPr="00183B5F" w:rsidRDefault="00943743" w:rsidP="004062FE">
            <w:pPr>
              <w:keepNext/>
              <w:spacing w:line="240" w:lineRule="auto"/>
              <w:rPr>
                <w:del w:id="5636" w:author="AbbVie_HU_03" w:date="2025-05-14T15:27:00Z"/>
                <w:b/>
                <w:szCs w:val="22"/>
              </w:rPr>
            </w:pPr>
            <w:del w:id="5637" w:author="AbbVie_HU_03" w:date="2025-05-14T15:27:00Z">
              <w:r w:rsidRPr="00183B5F">
                <w:rPr>
                  <w:b/>
                  <w:szCs w:val="22"/>
                </w:rPr>
                <w:delText xml:space="preserve">p-érték </w:delText>
              </w:r>
              <w:r w:rsidRPr="00183B5F">
                <w:rPr>
                  <w:b/>
                  <w:szCs w:val="22"/>
                  <w:vertAlign w:val="superscript"/>
                </w:rPr>
                <w:delText>b</w:delText>
              </w:r>
            </w:del>
          </w:p>
        </w:tc>
        <w:tc>
          <w:tcPr>
            <w:tcW w:w="1379" w:type="dxa"/>
          </w:tcPr>
          <w:p w14:paraId="77845F5F" w14:textId="596EE630" w:rsidR="00FB6710" w:rsidRPr="00183B5F" w:rsidRDefault="00943743" w:rsidP="004062FE">
            <w:pPr>
              <w:keepNext/>
              <w:spacing w:line="240" w:lineRule="auto"/>
              <w:rPr>
                <w:del w:id="5638" w:author="AbbVie_HU_03" w:date="2025-05-14T15:27:00Z"/>
                <w:b/>
                <w:szCs w:val="22"/>
              </w:rPr>
            </w:pPr>
            <w:del w:id="5639" w:author="AbbVie_HU_03" w:date="2025-05-14T15:27:00Z">
              <w:r w:rsidRPr="00183B5F">
                <w:rPr>
                  <w:b/>
                  <w:szCs w:val="22"/>
                </w:rPr>
                <w:delText xml:space="preserve">p-érték </w:delText>
              </w:r>
              <w:r w:rsidRPr="00183B5F">
                <w:rPr>
                  <w:b/>
                  <w:szCs w:val="22"/>
                  <w:vertAlign w:val="superscript"/>
                </w:rPr>
                <w:delText>c</w:delText>
              </w:r>
            </w:del>
          </w:p>
        </w:tc>
      </w:tr>
      <w:tr w:rsidR="00011D2F" w14:paraId="15E87C29" w14:textId="77E19296" w:rsidTr="00BD731F">
        <w:trPr>
          <w:cantSplit/>
          <w:del w:id="5640" w:author="AbbVie_HU_03" w:date="2025-05-14T15:27:00Z"/>
        </w:trPr>
        <w:tc>
          <w:tcPr>
            <w:tcW w:w="1310" w:type="dxa"/>
          </w:tcPr>
          <w:p w14:paraId="7223347F" w14:textId="33E96FF6" w:rsidR="00FB6710" w:rsidRPr="00183B5F" w:rsidRDefault="00943743" w:rsidP="004062FE">
            <w:pPr>
              <w:keepNext/>
              <w:spacing w:line="240" w:lineRule="auto"/>
              <w:rPr>
                <w:del w:id="5641" w:author="AbbVie_HU_03" w:date="2025-05-14T15:27:00Z"/>
                <w:szCs w:val="22"/>
              </w:rPr>
            </w:pPr>
            <w:del w:id="5642" w:author="AbbVie_HU_03" w:date="2025-05-14T15:27:00Z">
              <w:r w:rsidRPr="00183B5F">
                <w:rPr>
                  <w:szCs w:val="22"/>
                </w:rPr>
                <w:delText>ACR 20</w:delText>
              </w:r>
            </w:del>
          </w:p>
        </w:tc>
        <w:tc>
          <w:tcPr>
            <w:tcW w:w="1310" w:type="dxa"/>
          </w:tcPr>
          <w:p w14:paraId="4BA1E179" w14:textId="1D790244" w:rsidR="00FB6710" w:rsidRPr="00183B5F" w:rsidRDefault="00FB6710" w:rsidP="004062FE">
            <w:pPr>
              <w:keepNext/>
              <w:spacing w:line="240" w:lineRule="auto"/>
              <w:jc w:val="center"/>
              <w:rPr>
                <w:del w:id="5643" w:author="AbbVie_HU_03" w:date="2025-05-14T15:27:00Z"/>
                <w:szCs w:val="22"/>
              </w:rPr>
            </w:pPr>
          </w:p>
        </w:tc>
        <w:tc>
          <w:tcPr>
            <w:tcW w:w="1310" w:type="dxa"/>
          </w:tcPr>
          <w:p w14:paraId="1C53CA2F" w14:textId="4658B2A2" w:rsidR="00FB6710" w:rsidRPr="00183B5F" w:rsidRDefault="00FB6710" w:rsidP="004062FE">
            <w:pPr>
              <w:keepNext/>
              <w:spacing w:line="240" w:lineRule="auto"/>
              <w:jc w:val="center"/>
              <w:rPr>
                <w:del w:id="5644" w:author="AbbVie_HU_03" w:date="2025-05-14T15:27:00Z"/>
                <w:szCs w:val="22"/>
              </w:rPr>
            </w:pPr>
          </w:p>
        </w:tc>
        <w:tc>
          <w:tcPr>
            <w:tcW w:w="1363" w:type="dxa"/>
          </w:tcPr>
          <w:p w14:paraId="55801DC7" w14:textId="53C9D913" w:rsidR="00FB6710" w:rsidRPr="00183B5F" w:rsidRDefault="00FB6710" w:rsidP="004062FE">
            <w:pPr>
              <w:keepNext/>
              <w:spacing w:line="240" w:lineRule="auto"/>
              <w:jc w:val="center"/>
              <w:rPr>
                <w:del w:id="5645" w:author="AbbVie_HU_03" w:date="2025-05-14T15:27:00Z"/>
                <w:szCs w:val="22"/>
              </w:rPr>
            </w:pPr>
          </w:p>
        </w:tc>
        <w:tc>
          <w:tcPr>
            <w:tcW w:w="1308" w:type="dxa"/>
          </w:tcPr>
          <w:p w14:paraId="2F0337AE" w14:textId="0199A125" w:rsidR="00FB6710" w:rsidRPr="00183B5F" w:rsidRDefault="00FB6710" w:rsidP="004062FE">
            <w:pPr>
              <w:keepNext/>
              <w:spacing w:line="240" w:lineRule="auto"/>
              <w:jc w:val="center"/>
              <w:rPr>
                <w:del w:id="5646" w:author="AbbVie_HU_03" w:date="2025-05-14T15:27:00Z"/>
                <w:szCs w:val="22"/>
              </w:rPr>
            </w:pPr>
          </w:p>
        </w:tc>
        <w:tc>
          <w:tcPr>
            <w:tcW w:w="1304" w:type="dxa"/>
          </w:tcPr>
          <w:p w14:paraId="297BE6A1" w14:textId="7DC7C9DA" w:rsidR="00FB6710" w:rsidRPr="00183B5F" w:rsidRDefault="00FB6710" w:rsidP="004062FE">
            <w:pPr>
              <w:keepNext/>
              <w:spacing w:line="240" w:lineRule="auto"/>
              <w:jc w:val="center"/>
              <w:rPr>
                <w:del w:id="5647" w:author="AbbVie_HU_03" w:date="2025-05-14T15:27:00Z"/>
                <w:szCs w:val="22"/>
              </w:rPr>
            </w:pPr>
          </w:p>
        </w:tc>
        <w:tc>
          <w:tcPr>
            <w:tcW w:w="1379" w:type="dxa"/>
          </w:tcPr>
          <w:p w14:paraId="114B6EDB" w14:textId="74979FFD" w:rsidR="00FB6710" w:rsidRPr="00183B5F" w:rsidRDefault="00FB6710" w:rsidP="004062FE">
            <w:pPr>
              <w:keepNext/>
              <w:spacing w:line="240" w:lineRule="auto"/>
              <w:jc w:val="center"/>
              <w:rPr>
                <w:del w:id="5648" w:author="AbbVie_HU_03" w:date="2025-05-14T15:27:00Z"/>
                <w:szCs w:val="22"/>
              </w:rPr>
            </w:pPr>
          </w:p>
        </w:tc>
      </w:tr>
      <w:tr w:rsidR="00011D2F" w14:paraId="27A2340E" w14:textId="56776AE4" w:rsidTr="00BD731F">
        <w:trPr>
          <w:cantSplit/>
          <w:del w:id="5649" w:author="AbbVie_HU_03" w:date="2025-05-14T15:27:00Z"/>
        </w:trPr>
        <w:tc>
          <w:tcPr>
            <w:tcW w:w="1310" w:type="dxa"/>
          </w:tcPr>
          <w:p w14:paraId="12EFF801" w14:textId="667DA726" w:rsidR="00FB6710" w:rsidRPr="00183B5F" w:rsidRDefault="00943743" w:rsidP="004062FE">
            <w:pPr>
              <w:keepNext/>
              <w:spacing w:line="240" w:lineRule="auto"/>
              <w:jc w:val="right"/>
              <w:rPr>
                <w:del w:id="5650" w:author="AbbVie_HU_03" w:date="2025-05-14T15:27:00Z"/>
                <w:szCs w:val="22"/>
              </w:rPr>
            </w:pPr>
            <w:del w:id="5651" w:author="AbbVie_HU_03" w:date="2025-05-14T15:27:00Z">
              <w:r w:rsidRPr="00183B5F">
                <w:rPr>
                  <w:szCs w:val="22"/>
                </w:rPr>
                <w:delText>52.</w:delText>
              </w:r>
              <w:r w:rsidR="00A44DB6" w:rsidRPr="00183B5F">
                <w:rPr>
                  <w:szCs w:val="22"/>
                </w:rPr>
                <w:delText> hét</w:delText>
              </w:r>
            </w:del>
          </w:p>
        </w:tc>
        <w:tc>
          <w:tcPr>
            <w:tcW w:w="1310" w:type="dxa"/>
          </w:tcPr>
          <w:p w14:paraId="1B0A004E" w14:textId="07A5278C" w:rsidR="00FB6710" w:rsidRPr="00183B5F" w:rsidRDefault="00943743" w:rsidP="004062FE">
            <w:pPr>
              <w:keepNext/>
              <w:spacing w:line="240" w:lineRule="auto"/>
              <w:jc w:val="center"/>
              <w:rPr>
                <w:del w:id="5652" w:author="AbbVie_HU_03" w:date="2025-05-14T15:27:00Z"/>
                <w:szCs w:val="22"/>
              </w:rPr>
            </w:pPr>
            <w:del w:id="5653" w:author="AbbVie_HU_03" w:date="2025-05-14T15:27:00Z">
              <w:r w:rsidRPr="00183B5F">
                <w:rPr>
                  <w:szCs w:val="22"/>
                </w:rPr>
                <w:delText>62,6%</w:delText>
              </w:r>
            </w:del>
          </w:p>
        </w:tc>
        <w:tc>
          <w:tcPr>
            <w:tcW w:w="1310" w:type="dxa"/>
          </w:tcPr>
          <w:p w14:paraId="69BA5DD1" w14:textId="7F32F7CE" w:rsidR="00FB6710" w:rsidRPr="00183B5F" w:rsidRDefault="00943743" w:rsidP="004062FE">
            <w:pPr>
              <w:keepNext/>
              <w:spacing w:line="240" w:lineRule="auto"/>
              <w:jc w:val="center"/>
              <w:rPr>
                <w:del w:id="5654" w:author="AbbVie_HU_03" w:date="2025-05-14T15:27:00Z"/>
                <w:szCs w:val="22"/>
              </w:rPr>
            </w:pPr>
            <w:del w:id="5655" w:author="AbbVie_HU_03" w:date="2025-05-14T15:27:00Z">
              <w:r w:rsidRPr="00183B5F">
                <w:rPr>
                  <w:szCs w:val="22"/>
                </w:rPr>
                <w:delText>54,4%</w:delText>
              </w:r>
            </w:del>
          </w:p>
        </w:tc>
        <w:tc>
          <w:tcPr>
            <w:tcW w:w="1363" w:type="dxa"/>
          </w:tcPr>
          <w:p w14:paraId="2DADFE95" w14:textId="452C86BE" w:rsidR="00FB6710" w:rsidRPr="00183B5F" w:rsidRDefault="00943743" w:rsidP="004062FE">
            <w:pPr>
              <w:keepNext/>
              <w:spacing w:line="240" w:lineRule="auto"/>
              <w:jc w:val="center"/>
              <w:rPr>
                <w:del w:id="5656" w:author="AbbVie_HU_03" w:date="2025-05-14T15:27:00Z"/>
                <w:szCs w:val="22"/>
              </w:rPr>
            </w:pPr>
            <w:del w:id="5657" w:author="AbbVie_HU_03" w:date="2025-05-14T15:27:00Z">
              <w:r w:rsidRPr="00183B5F">
                <w:rPr>
                  <w:szCs w:val="22"/>
                </w:rPr>
                <w:delText>72,8%</w:delText>
              </w:r>
            </w:del>
          </w:p>
        </w:tc>
        <w:tc>
          <w:tcPr>
            <w:tcW w:w="1308" w:type="dxa"/>
          </w:tcPr>
          <w:p w14:paraId="070C63F0" w14:textId="4409526A" w:rsidR="00FB6710" w:rsidRPr="00183B5F" w:rsidRDefault="00943743" w:rsidP="004062FE">
            <w:pPr>
              <w:keepNext/>
              <w:spacing w:line="240" w:lineRule="auto"/>
              <w:jc w:val="center"/>
              <w:rPr>
                <w:del w:id="5658" w:author="AbbVie_HU_03" w:date="2025-05-14T15:27:00Z"/>
                <w:szCs w:val="22"/>
              </w:rPr>
            </w:pPr>
            <w:del w:id="5659" w:author="AbbVie_HU_03" w:date="2025-05-14T15:27:00Z">
              <w:r w:rsidRPr="00183B5F">
                <w:rPr>
                  <w:szCs w:val="22"/>
                </w:rPr>
                <w:delText>0,013</w:delText>
              </w:r>
            </w:del>
          </w:p>
        </w:tc>
        <w:tc>
          <w:tcPr>
            <w:tcW w:w="1304" w:type="dxa"/>
          </w:tcPr>
          <w:p w14:paraId="01629E72" w14:textId="3378F411" w:rsidR="00FB6710" w:rsidRPr="00183B5F" w:rsidRDefault="00943743" w:rsidP="004062FE">
            <w:pPr>
              <w:keepNext/>
              <w:spacing w:line="240" w:lineRule="auto"/>
              <w:jc w:val="center"/>
              <w:rPr>
                <w:del w:id="5660" w:author="AbbVie_HU_03" w:date="2025-05-14T15:27:00Z"/>
                <w:szCs w:val="22"/>
              </w:rPr>
            </w:pPr>
            <w:del w:id="5661" w:author="AbbVie_HU_03" w:date="2025-05-14T15:27:00Z">
              <w:r w:rsidRPr="00183B5F">
                <w:rPr>
                  <w:szCs w:val="22"/>
                </w:rPr>
                <w:delText>&lt; 0,001</w:delText>
              </w:r>
            </w:del>
          </w:p>
        </w:tc>
        <w:tc>
          <w:tcPr>
            <w:tcW w:w="1379" w:type="dxa"/>
          </w:tcPr>
          <w:p w14:paraId="3F652DFE" w14:textId="77501660" w:rsidR="00FB6710" w:rsidRPr="00183B5F" w:rsidRDefault="00943743" w:rsidP="004062FE">
            <w:pPr>
              <w:keepNext/>
              <w:spacing w:line="240" w:lineRule="auto"/>
              <w:jc w:val="center"/>
              <w:rPr>
                <w:del w:id="5662" w:author="AbbVie_HU_03" w:date="2025-05-14T15:27:00Z"/>
                <w:szCs w:val="22"/>
              </w:rPr>
            </w:pPr>
            <w:del w:id="5663" w:author="AbbVie_HU_03" w:date="2025-05-14T15:27:00Z">
              <w:r w:rsidRPr="00183B5F">
                <w:rPr>
                  <w:szCs w:val="22"/>
                </w:rPr>
                <w:delText>0,043</w:delText>
              </w:r>
            </w:del>
          </w:p>
        </w:tc>
      </w:tr>
      <w:tr w:rsidR="00011D2F" w14:paraId="573A5D88" w14:textId="4F2BACED" w:rsidTr="00BD731F">
        <w:trPr>
          <w:cantSplit/>
          <w:del w:id="5664" w:author="AbbVie_HU_03" w:date="2025-05-14T15:27:00Z"/>
        </w:trPr>
        <w:tc>
          <w:tcPr>
            <w:tcW w:w="1310" w:type="dxa"/>
          </w:tcPr>
          <w:p w14:paraId="14B3C6AB" w14:textId="4A6F9F56" w:rsidR="00FB6710" w:rsidRPr="00183B5F" w:rsidRDefault="00943743" w:rsidP="004062FE">
            <w:pPr>
              <w:keepNext/>
              <w:spacing w:line="240" w:lineRule="auto"/>
              <w:jc w:val="right"/>
              <w:rPr>
                <w:del w:id="5665" w:author="AbbVie_HU_03" w:date="2025-05-14T15:27:00Z"/>
                <w:szCs w:val="22"/>
              </w:rPr>
            </w:pPr>
            <w:del w:id="5666" w:author="AbbVie_HU_03" w:date="2025-05-14T15:27:00Z">
              <w:r w:rsidRPr="00183B5F">
                <w:rPr>
                  <w:szCs w:val="22"/>
                </w:rPr>
                <w:delText>104.</w:delText>
              </w:r>
              <w:r w:rsidR="00A44DB6" w:rsidRPr="00183B5F">
                <w:rPr>
                  <w:szCs w:val="22"/>
                </w:rPr>
                <w:delText> hét</w:delText>
              </w:r>
            </w:del>
          </w:p>
        </w:tc>
        <w:tc>
          <w:tcPr>
            <w:tcW w:w="1310" w:type="dxa"/>
          </w:tcPr>
          <w:p w14:paraId="4FD94FD5" w14:textId="3E597001" w:rsidR="00FB6710" w:rsidRPr="00183B5F" w:rsidRDefault="00943743" w:rsidP="004062FE">
            <w:pPr>
              <w:keepNext/>
              <w:spacing w:line="240" w:lineRule="auto"/>
              <w:jc w:val="center"/>
              <w:rPr>
                <w:del w:id="5667" w:author="AbbVie_HU_03" w:date="2025-05-14T15:27:00Z"/>
                <w:szCs w:val="22"/>
              </w:rPr>
            </w:pPr>
            <w:del w:id="5668" w:author="AbbVie_HU_03" w:date="2025-05-14T15:27:00Z">
              <w:r w:rsidRPr="00183B5F">
                <w:rPr>
                  <w:szCs w:val="22"/>
                </w:rPr>
                <w:delText>56,0%</w:delText>
              </w:r>
            </w:del>
          </w:p>
        </w:tc>
        <w:tc>
          <w:tcPr>
            <w:tcW w:w="1310" w:type="dxa"/>
          </w:tcPr>
          <w:p w14:paraId="5ED883AE" w14:textId="65DF4D48" w:rsidR="00FB6710" w:rsidRPr="00183B5F" w:rsidRDefault="00943743" w:rsidP="004062FE">
            <w:pPr>
              <w:keepNext/>
              <w:spacing w:line="240" w:lineRule="auto"/>
              <w:jc w:val="center"/>
              <w:rPr>
                <w:del w:id="5669" w:author="AbbVie_HU_03" w:date="2025-05-14T15:27:00Z"/>
                <w:szCs w:val="22"/>
              </w:rPr>
            </w:pPr>
            <w:del w:id="5670" w:author="AbbVie_HU_03" w:date="2025-05-14T15:27:00Z">
              <w:r w:rsidRPr="00183B5F">
                <w:rPr>
                  <w:szCs w:val="22"/>
                </w:rPr>
                <w:delText>49,3%</w:delText>
              </w:r>
            </w:del>
          </w:p>
        </w:tc>
        <w:tc>
          <w:tcPr>
            <w:tcW w:w="1363" w:type="dxa"/>
          </w:tcPr>
          <w:p w14:paraId="33409A3B" w14:textId="411C0951" w:rsidR="00FB6710" w:rsidRPr="00183B5F" w:rsidRDefault="00943743" w:rsidP="004062FE">
            <w:pPr>
              <w:keepNext/>
              <w:spacing w:line="240" w:lineRule="auto"/>
              <w:jc w:val="center"/>
              <w:rPr>
                <w:del w:id="5671" w:author="AbbVie_HU_03" w:date="2025-05-14T15:27:00Z"/>
                <w:szCs w:val="22"/>
              </w:rPr>
            </w:pPr>
            <w:del w:id="5672" w:author="AbbVie_HU_03" w:date="2025-05-14T15:27:00Z">
              <w:r w:rsidRPr="00183B5F">
                <w:rPr>
                  <w:szCs w:val="22"/>
                </w:rPr>
                <w:delText>69,4%</w:delText>
              </w:r>
            </w:del>
          </w:p>
        </w:tc>
        <w:tc>
          <w:tcPr>
            <w:tcW w:w="1308" w:type="dxa"/>
          </w:tcPr>
          <w:p w14:paraId="5069921D" w14:textId="308F25D1" w:rsidR="00FB6710" w:rsidRPr="00183B5F" w:rsidRDefault="00943743" w:rsidP="004062FE">
            <w:pPr>
              <w:keepNext/>
              <w:spacing w:line="240" w:lineRule="auto"/>
              <w:jc w:val="center"/>
              <w:rPr>
                <w:del w:id="5673" w:author="AbbVie_HU_03" w:date="2025-05-14T15:27:00Z"/>
                <w:szCs w:val="22"/>
              </w:rPr>
            </w:pPr>
            <w:del w:id="5674" w:author="AbbVie_HU_03" w:date="2025-05-14T15:27:00Z">
              <w:r w:rsidRPr="00183B5F">
                <w:rPr>
                  <w:szCs w:val="22"/>
                </w:rPr>
                <w:delText>0,002</w:delText>
              </w:r>
            </w:del>
          </w:p>
        </w:tc>
        <w:tc>
          <w:tcPr>
            <w:tcW w:w="1304" w:type="dxa"/>
          </w:tcPr>
          <w:p w14:paraId="7D1743B7" w14:textId="7155A7FF" w:rsidR="00FB6710" w:rsidRPr="00183B5F" w:rsidRDefault="00943743" w:rsidP="004062FE">
            <w:pPr>
              <w:keepNext/>
              <w:spacing w:line="240" w:lineRule="auto"/>
              <w:jc w:val="center"/>
              <w:rPr>
                <w:del w:id="5675" w:author="AbbVie_HU_03" w:date="2025-05-14T15:27:00Z"/>
                <w:szCs w:val="22"/>
              </w:rPr>
            </w:pPr>
            <w:del w:id="5676" w:author="AbbVie_HU_03" w:date="2025-05-14T15:27:00Z">
              <w:r w:rsidRPr="00183B5F">
                <w:rPr>
                  <w:szCs w:val="22"/>
                </w:rPr>
                <w:delText>&lt; 0,001</w:delText>
              </w:r>
            </w:del>
          </w:p>
        </w:tc>
        <w:tc>
          <w:tcPr>
            <w:tcW w:w="1379" w:type="dxa"/>
          </w:tcPr>
          <w:p w14:paraId="008DB3E1" w14:textId="63E47A10" w:rsidR="00FB6710" w:rsidRPr="00183B5F" w:rsidRDefault="00943743" w:rsidP="004062FE">
            <w:pPr>
              <w:keepNext/>
              <w:spacing w:line="240" w:lineRule="auto"/>
              <w:jc w:val="center"/>
              <w:rPr>
                <w:del w:id="5677" w:author="AbbVie_HU_03" w:date="2025-05-14T15:27:00Z"/>
                <w:szCs w:val="22"/>
              </w:rPr>
            </w:pPr>
            <w:del w:id="5678" w:author="AbbVie_HU_03" w:date="2025-05-14T15:27:00Z">
              <w:r w:rsidRPr="00183B5F">
                <w:rPr>
                  <w:szCs w:val="22"/>
                </w:rPr>
                <w:delText>0,140</w:delText>
              </w:r>
            </w:del>
          </w:p>
        </w:tc>
      </w:tr>
      <w:tr w:rsidR="00011D2F" w14:paraId="54559E42" w14:textId="4301036B" w:rsidTr="00BD731F">
        <w:trPr>
          <w:cantSplit/>
          <w:del w:id="5679" w:author="AbbVie_HU_03" w:date="2025-05-14T15:27:00Z"/>
        </w:trPr>
        <w:tc>
          <w:tcPr>
            <w:tcW w:w="1310" w:type="dxa"/>
          </w:tcPr>
          <w:p w14:paraId="75231D58" w14:textId="6449C432" w:rsidR="00FB6710" w:rsidRPr="00183B5F" w:rsidRDefault="00943743" w:rsidP="004062FE">
            <w:pPr>
              <w:keepNext/>
              <w:spacing w:line="240" w:lineRule="auto"/>
              <w:rPr>
                <w:del w:id="5680" w:author="AbbVie_HU_03" w:date="2025-05-14T15:27:00Z"/>
                <w:szCs w:val="22"/>
              </w:rPr>
            </w:pPr>
            <w:del w:id="5681" w:author="AbbVie_HU_03" w:date="2025-05-14T15:27:00Z">
              <w:r w:rsidRPr="00183B5F">
                <w:rPr>
                  <w:szCs w:val="22"/>
                </w:rPr>
                <w:delText>ACR 50</w:delText>
              </w:r>
            </w:del>
          </w:p>
        </w:tc>
        <w:tc>
          <w:tcPr>
            <w:tcW w:w="1310" w:type="dxa"/>
          </w:tcPr>
          <w:p w14:paraId="5F29B6B2" w14:textId="7CF895AA" w:rsidR="00FB6710" w:rsidRPr="00183B5F" w:rsidRDefault="00FB6710" w:rsidP="004062FE">
            <w:pPr>
              <w:keepNext/>
              <w:spacing w:line="240" w:lineRule="auto"/>
              <w:jc w:val="center"/>
              <w:rPr>
                <w:del w:id="5682" w:author="AbbVie_HU_03" w:date="2025-05-14T15:27:00Z"/>
                <w:szCs w:val="22"/>
              </w:rPr>
            </w:pPr>
          </w:p>
        </w:tc>
        <w:tc>
          <w:tcPr>
            <w:tcW w:w="1310" w:type="dxa"/>
          </w:tcPr>
          <w:p w14:paraId="5E52C313" w14:textId="6792A35A" w:rsidR="00FB6710" w:rsidRPr="00183B5F" w:rsidRDefault="00FB6710" w:rsidP="004062FE">
            <w:pPr>
              <w:keepNext/>
              <w:spacing w:line="240" w:lineRule="auto"/>
              <w:jc w:val="center"/>
              <w:rPr>
                <w:del w:id="5683" w:author="AbbVie_HU_03" w:date="2025-05-14T15:27:00Z"/>
                <w:szCs w:val="22"/>
              </w:rPr>
            </w:pPr>
          </w:p>
        </w:tc>
        <w:tc>
          <w:tcPr>
            <w:tcW w:w="1363" w:type="dxa"/>
          </w:tcPr>
          <w:p w14:paraId="281285C6" w14:textId="7F9192A0" w:rsidR="00FB6710" w:rsidRPr="00183B5F" w:rsidRDefault="00FB6710" w:rsidP="004062FE">
            <w:pPr>
              <w:keepNext/>
              <w:spacing w:line="240" w:lineRule="auto"/>
              <w:jc w:val="center"/>
              <w:rPr>
                <w:del w:id="5684" w:author="AbbVie_HU_03" w:date="2025-05-14T15:27:00Z"/>
                <w:szCs w:val="22"/>
              </w:rPr>
            </w:pPr>
          </w:p>
        </w:tc>
        <w:tc>
          <w:tcPr>
            <w:tcW w:w="1308" w:type="dxa"/>
          </w:tcPr>
          <w:p w14:paraId="69A2B68C" w14:textId="0EB309A7" w:rsidR="00FB6710" w:rsidRPr="00183B5F" w:rsidRDefault="00FB6710" w:rsidP="004062FE">
            <w:pPr>
              <w:keepNext/>
              <w:spacing w:line="240" w:lineRule="auto"/>
              <w:jc w:val="center"/>
              <w:rPr>
                <w:del w:id="5685" w:author="AbbVie_HU_03" w:date="2025-05-14T15:27:00Z"/>
                <w:szCs w:val="22"/>
              </w:rPr>
            </w:pPr>
          </w:p>
        </w:tc>
        <w:tc>
          <w:tcPr>
            <w:tcW w:w="1304" w:type="dxa"/>
          </w:tcPr>
          <w:p w14:paraId="22420CDA" w14:textId="0585F329" w:rsidR="00FB6710" w:rsidRPr="00183B5F" w:rsidRDefault="00FB6710" w:rsidP="004062FE">
            <w:pPr>
              <w:keepNext/>
              <w:spacing w:line="240" w:lineRule="auto"/>
              <w:jc w:val="center"/>
              <w:rPr>
                <w:del w:id="5686" w:author="AbbVie_HU_03" w:date="2025-05-14T15:27:00Z"/>
                <w:szCs w:val="22"/>
              </w:rPr>
            </w:pPr>
          </w:p>
        </w:tc>
        <w:tc>
          <w:tcPr>
            <w:tcW w:w="1379" w:type="dxa"/>
          </w:tcPr>
          <w:p w14:paraId="5AF3C190" w14:textId="7ECE14CD" w:rsidR="00FB6710" w:rsidRPr="00183B5F" w:rsidRDefault="00FB6710" w:rsidP="004062FE">
            <w:pPr>
              <w:keepNext/>
              <w:spacing w:line="240" w:lineRule="auto"/>
              <w:jc w:val="center"/>
              <w:rPr>
                <w:del w:id="5687" w:author="AbbVie_HU_03" w:date="2025-05-14T15:27:00Z"/>
                <w:szCs w:val="22"/>
              </w:rPr>
            </w:pPr>
          </w:p>
        </w:tc>
      </w:tr>
      <w:tr w:rsidR="00011D2F" w14:paraId="03581667" w14:textId="4F7C1357" w:rsidTr="00BD731F">
        <w:trPr>
          <w:cantSplit/>
          <w:del w:id="5688" w:author="AbbVie_HU_03" w:date="2025-05-14T15:27:00Z"/>
        </w:trPr>
        <w:tc>
          <w:tcPr>
            <w:tcW w:w="1310" w:type="dxa"/>
          </w:tcPr>
          <w:p w14:paraId="73A527DC" w14:textId="604AEF1E" w:rsidR="00FB6710" w:rsidRPr="00183B5F" w:rsidRDefault="00943743" w:rsidP="004062FE">
            <w:pPr>
              <w:keepNext/>
              <w:spacing w:line="240" w:lineRule="auto"/>
              <w:jc w:val="right"/>
              <w:rPr>
                <w:del w:id="5689" w:author="AbbVie_HU_03" w:date="2025-05-14T15:27:00Z"/>
                <w:szCs w:val="22"/>
              </w:rPr>
            </w:pPr>
            <w:del w:id="5690" w:author="AbbVie_HU_03" w:date="2025-05-14T15:27:00Z">
              <w:r w:rsidRPr="00183B5F">
                <w:rPr>
                  <w:szCs w:val="22"/>
                </w:rPr>
                <w:delText>52.</w:delText>
              </w:r>
              <w:r w:rsidR="00A44DB6" w:rsidRPr="00183B5F">
                <w:rPr>
                  <w:szCs w:val="22"/>
                </w:rPr>
                <w:delText> hét</w:delText>
              </w:r>
            </w:del>
          </w:p>
        </w:tc>
        <w:tc>
          <w:tcPr>
            <w:tcW w:w="1310" w:type="dxa"/>
          </w:tcPr>
          <w:p w14:paraId="21F7139E" w14:textId="43FF4A1D" w:rsidR="00FB6710" w:rsidRPr="00183B5F" w:rsidRDefault="00943743" w:rsidP="004062FE">
            <w:pPr>
              <w:keepNext/>
              <w:spacing w:line="240" w:lineRule="auto"/>
              <w:jc w:val="center"/>
              <w:rPr>
                <w:del w:id="5691" w:author="AbbVie_HU_03" w:date="2025-05-14T15:27:00Z"/>
                <w:szCs w:val="22"/>
              </w:rPr>
            </w:pPr>
            <w:del w:id="5692" w:author="AbbVie_HU_03" w:date="2025-05-14T15:27:00Z">
              <w:r w:rsidRPr="00183B5F">
                <w:rPr>
                  <w:szCs w:val="22"/>
                </w:rPr>
                <w:delText>45,9%</w:delText>
              </w:r>
            </w:del>
          </w:p>
        </w:tc>
        <w:tc>
          <w:tcPr>
            <w:tcW w:w="1310" w:type="dxa"/>
          </w:tcPr>
          <w:p w14:paraId="1EB84F12" w14:textId="1115D5D6" w:rsidR="00FB6710" w:rsidRPr="00183B5F" w:rsidRDefault="00943743" w:rsidP="004062FE">
            <w:pPr>
              <w:keepNext/>
              <w:spacing w:line="240" w:lineRule="auto"/>
              <w:jc w:val="center"/>
              <w:rPr>
                <w:del w:id="5693" w:author="AbbVie_HU_03" w:date="2025-05-14T15:27:00Z"/>
                <w:szCs w:val="22"/>
              </w:rPr>
            </w:pPr>
            <w:del w:id="5694" w:author="AbbVie_HU_03" w:date="2025-05-14T15:27:00Z">
              <w:r w:rsidRPr="00183B5F">
                <w:rPr>
                  <w:szCs w:val="22"/>
                </w:rPr>
                <w:delText>41,2%</w:delText>
              </w:r>
            </w:del>
          </w:p>
        </w:tc>
        <w:tc>
          <w:tcPr>
            <w:tcW w:w="1363" w:type="dxa"/>
          </w:tcPr>
          <w:p w14:paraId="1FBE21A2" w14:textId="117235BD" w:rsidR="00FB6710" w:rsidRPr="00183B5F" w:rsidRDefault="00943743" w:rsidP="004062FE">
            <w:pPr>
              <w:keepNext/>
              <w:spacing w:line="240" w:lineRule="auto"/>
              <w:jc w:val="center"/>
              <w:rPr>
                <w:del w:id="5695" w:author="AbbVie_HU_03" w:date="2025-05-14T15:27:00Z"/>
                <w:szCs w:val="22"/>
              </w:rPr>
            </w:pPr>
            <w:del w:id="5696" w:author="AbbVie_HU_03" w:date="2025-05-14T15:27:00Z">
              <w:r w:rsidRPr="00183B5F">
                <w:rPr>
                  <w:szCs w:val="22"/>
                </w:rPr>
                <w:delText>61,6%</w:delText>
              </w:r>
            </w:del>
          </w:p>
        </w:tc>
        <w:tc>
          <w:tcPr>
            <w:tcW w:w="1308" w:type="dxa"/>
          </w:tcPr>
          <w:p w14:paraId="5C1D1140" w14:textId="1CF7CEEB" w:rsidR="00FB6710" w:rsidRPr="00183B5F" w:rsidRDefault="00943743" w:rsidP="004062FE">
            <w:pPr>
              <w:keepNext/>
              <w:spacing w:line="240" w:lineRule="auto"/>
              <w:jc w:val="center"/>
              <w:rPr>
                <w:del w:id="5697" w:author="AbbVie_HU_03" w:date="2025-05-14T15:27:00Z"/>
                <w:szCs w:val="22"/>
              </w:rPr>
            </w:pPr>
            <w:del w:id="5698" w:author="AbbVie_HU_03" w:date="2025-05-14T15:27:00Z">
              <w:r w:rsidRPr="00183B5F">
                <w:rPr>
                  <w:szCs w:val="22"/>
                </w:rPr>
                <w:delText>&lt; 0,001</w:delText>
              </w:r>
            </w:del>
          </w:p>
        </w:tc>
        <w:tc>
          <w:tcPr>
            <w:tcW w:w="1304" w:type="dxa"/>
          </w:tcPr>
          <w:p w14:paraId="622BB670" w14:textId="7D2BA8AA" w:rsidR="00FB6710" w:rsidRPr="00183B5F" w:rsidRDefault="00943743" w:rsidP="004062FE">
            <w:pPr>
              <w:keepNext/>
              <w:spacing w:line="240" w:lineRule="auto"/>
              <w:jc w:val="center"/>
              <w:rPr>
                <w:del w:id="5699" w:author="AbbVie_HU_03" w:date="2025-05-14T15:27:00Z"/>
                <w:szCs w:val="22"/>
              </w:rPr>
            </w:pPr>
            <w:del w:id="5700" w:author="AbbVie_HU_03" w:date="2025-05-14T15:27:00Z">
              <w:r w:rsidRPr="00183B5F">
                <w:rPr>
                  <w:szCs w:val="22"/>
                </w:rPr>
                <w:delText>&lt; 0,001</w:delText>
              </w:r>
            </w:del>
          </w:p>
        </w:tc>
        <w:tc>
          <w:tcPr>
            <w:tcW w:w="1379" w:type="dxa"/>
          </w:tcPr>
          <w:p w14:paraId="4202DFFF" w14:textId="05880D8A" w:rsidR="00FB6710" w:rsidRPr="00183B5F" w:rsidRDefault="00943743" w:rsidP="004062FE">
            <w:pPr>
              <w:keepNext/>
              <w:spacing w:line="240" w:lineRule="auto"/>
              <w:jc w:val="center"/>
              <w:rPr>
                <w:del w:id="5701" w:author="AbbVie_HU_03" w:date="2025-05-14T15:27:00Z"/>
                <w:szCs w:val="22"/>
              </w:rPr>
            </w:pPr>
            <w:del w:id="5702" w:author="AbbVie_HU_03" w:date="2025-05-14T15:27:00Z">
              <w:r w:rsidRPr="00183B5F">
                <w:rPr>
                  <w:szCs w:val="22"/>
                </w:rPr>
                <w:delText>0,317</w:delText>
              </w:r>
            </w:del>
          </w:p>
        </w:tc>
      </w:tr>
      <w:tr w:rsidR="00011D2F" w14:paraId="210796AD" w14:textId="049E43B2" w:rsidTr="00BD731F">
        <w:trPr>
          <w:cantSplit/>
          <w:del w:id="5703" w:author="AbbVie_HU_03" w:date="2025-05-14T15:27:00Z"/>
        </w:trPr>
        <w:tc>
          <w:tcPr>
            <w:tcW w:w="1310" w:type="dxa"/>
          </w:tcPr>
          <w:p w14:paraId="65601BF2" w14:textId="570D3CFA" w:rsidR="00FB6710" w:rsidRPr="00183B5F" w:rsidRDefault="00943743" w:rsidP="004062FE">
            <w:pPr>
              <w:keepNext/>
              <w:spacing w:line="240" w:lineRule="auto"/>
              <w:jc w:val="right"/>
              <w:rPr>
                <w:del w:id="5704" w:author="AbbVie_HU_03" w:date="2025-05-14T15:27:00Z"/>
                <w:szCs w:val="22"/>
              </w:rPr>
            </w:pPr>
            <w:del w:id="5705" w:author="AbbVie_HU_03" w:date="2025-05-14T15:27:00Z">
              <w:r w:rsidRPr="00183B5F">
                <w:rPr>
                  <w:szCs w:val="22"/>
                </w:rPr>
                <w:delText>104.</w:delText>
              </w:r>
              <w:r w:rsidR="00A44DB6" w:rsidRPr="00183B5F">
                <w:rPr>
                  <w:szCs w:val="22"/>
                </w:rPr>
                <w:delText> hét</w:delText>
              </w:r>
            </w:del>
          </w:p>
        </w:tc>
        <w:tc>
          <w:tcPr>
            <w:tcW w:w="1310" w:type="dxa"/>
          </w:tcPr>
          <w:p w14:paraId="331D0B66" w14:textId="5A16AD5F" w:rsidR="00FB6710" w:rsidRPr="00183B5F" w:rsidRDefault="00943743" w:rsidP="004062FE">
            <w:pPr>
              <w:keepNext/>
              <w:spacing w:line="240" w:lineRule="auto"/>
              <w:jc w:val="center"/>
              <w:rPr>
                <w:del w:id="5706" w:author="AbbVie_HU_03" w:date="2025-05-14T15:27:00Z"/>
                <w:szCs w:val="22"/>
              </w:rPr>
            </w:pPr>
            <w:del w:id="5707" w:author="AbbVie_HU_03" w:date="2025-05-14T15:27:00Z">
              <w:r w:rsidRPr="00183B5F">
                <w:rPr>
                  <w:szCs w:val="22"/>
                </w:rPr>
                <w:delText>42,8%</w:delText>
              </w:r>
            </w:del>
          </w:p>
        </w:tc>
        <w:tc>
          <w:tcPr>
            <w:tcW w:w="1310" w:type="dxa"/>
          </w:tcPr>
          <w:p w14:paraId="7C4B24E3" w14:textId="07B04ADE" w:rsidR="00FB6710" w:rsidRPr="00183B5F" w:rsidRDefault="00943743" w:rsidP="004062FE">
            <w:pPr>
              <w:keepNext/>
              <w:spacing w:line="240" w:lineRule="auto"/>
              <w:jc w:val="center"/>
              <w:rPr>
                <w:del w:id="5708" w:author="AbbVie_HU_03" w:date="2025-05-14T15:27:00Z"/>
                <w:szCs w:val="22"/>
              </w:rPr>
            </w:pPr>
            <w:del w:id="5709" w:author="AbbVie_HU_03" w:date="2025-05-14T15:27:00Z">
              <w:r w:rsidRPr="00183B5F">
                <w:rPr>
                  <w:szCs w:val="22"/>
                </w:rPr>
                <w:delText>36,9%</w:delText>
              </w:r>
            </w:del>
          </w:p>
        </w:tc>
        <w:tc>
          <w:tcPr>
            <w:tcW w:w="1363" w:type="dxa"/>
          </w:tcPr>
          <w:p w14:paraId="69D31AB0" w14:textId="3555BBA4" w:rsidR="00FB6710" w:rsidRPr="00183B5F" w:rsidRDefault="00943743" w:rsidP="004062FE">
            <w:pPr>
              <w:keepNext/>
              <w:spacing w:line="240" w:lineRule="auto"/>
              <w:jc w:val="center"/>
              <w:rPr>
                <w:del w:id="5710" w:author="AbbVie_HU_03" w:date="2025-05-14T15:27:00Z"/>
                <w:szCs w:val="22"/>
              </w:rPr>
            </w:pPr>
            <w:del w:id="5711" w:author="AbbVie_HU_03" w:date="2025-05-14T15:27:00Z">
              <w:r w:rsidRPr="00183B5F">
                <w:rPr>
                  <w:szCs w:val="22"/>
                </w:rPr>
                <w:delText>59,0%</w:delText>
              </w:r>
            </w:del>
          </w:p>
        </w:tc>
        <w:tc>
          <w:tcPr>
            <w:tcW w:w="1308" w:type="dxa"/>
          </w:tcPr>
          <w:p w14:paraId="62B3C673" w14:textId="344E1D0C" w:rsidR="00FB6710" w:rsidRPr="00183B5F" w:rsidRDefault="00943743" w:rsidP="004062FE">
            <w:pPr>
              <w:keepNext/>
              <w:spacing w:line="240" w:lineRule="auto"/>
              <w:jc w:val="center"/>
              <w:rPr>
                <w:del w:id="5712" w:author="AbbVie_HU_03" w:date="2025-05-14T15:27:00Z"/>
                <w:szCs w:val="22"/>
              </w:rPr>
            </w:pPr>
            <w:del w:id="5713" w:author="AbbVie_HU_03" w:date="2025-05-14T15:27:00Z">
              <w:r w:rsidRPr="00183B5F">
                <w:rPr>
                  <w:szCs w:val="22"/>
                </w:rPr>
                <w:delText>&lt; 0,001</w:delText>
              </w:r>
            </w:del>
          </w:p>
        </w:tc>
        <w:tc>
          <w:tcPr>
            <w:tcW w:w="1304" w:type="dxa"/>
          </w:tcPr>
          <w:p w14:paraId="25D114ED" w14:textId="79F11E68" w:rsidR="00FB6710" w:rsidRPr="00183B5F" w:rsidRDefault="00943743" w:rsidP="004062FE">
            <w:pPr>
              <w:keepNext/>
              <w:spacing w:line="240" w:lineRule="auto"/>
              <w:jc w:val="center"/>
              <w:rPr>
                <w:del w:id="5714" w:author="AbbVie_HU_03" w:date="2025-05-14T15:27:00Z"/>
                <w:szCs w:val="22"/>
              </w:rPr>
            </w:pPr>
            <w:del w:id="5715" w:author="AbbVie_HU_03" w:date="2025-05-14T15:27:00Z">
              <w:r w:rsidRPr="00183B5F">
                <w:rPr>
                  <w:szCs w:val="22"/>
                </w:rPr>
                <w:delText>&lt; 0,001</w:delText>
              </w:r>
            </w:del>
          </w:p>
        </w:tc>
        <w:tc>
          <w:tcPr>
            <w:tcW w:w="1379" w:type="dxa"/>
          </w:tcPr>
          <w:p w14:paraId="611C9832" w14:textId="53E49E6B" w:rsidR="00FB6710" w:rsidRPr="00183B5F" w:rsidRDefault="00943743" w:rsidP="004062FE">
            <w:pPr>
              <w:keepNext/>
              <w:spacing w:line="240" w:lineRule="auto"/>
              <w:jc w:val="center"/>
              <w:rPr>
                <w:del w:id="5716" w:author="AbbVie_HU_03" w:date="2025-05-14T15:27:00Z"/>
                <w:szCs w:val="22"/>
              </w:rPr>
            </w:pPr>
            <w:del w:id="5717" w:author="AbbVie_HU_03" w:date="2025-05-14T15:27:00Z">
              <w:r w:rsidRPr="00183B5F">
                <w:rPr>
                  <w:szCs w:val="22"/>
                </w:rPr>
                <w:delText>0,162</w:delText>
              </w:r>
            </w:del>
          </w:p>
        </w:tc>
      </w:tr>
      <w:tr w:rsidR="00011D2F" w14:paraId="3CF21123" w14:textId="365F61B1" w:rsidTr="00BD731F">
        <w:trPr>
          <w:cantSplit/>
          <w:del w:id="5718" w:author="AbbVie_HU_03" w:date="2025-05-14T15:27:00Z"/>
        </w:trPr>
        <w:tc>
          <w:tcPr>
            <w:tcW w:w="1310" w:type="dxa"/>
          </w:tcPr>
          <w:p w14:paraId="3B2C1C87" w14:textId="43264B19" w:rsidR="00FB6710" w:rsidRPr="00183B5F" w:rsidRDefault="00943743" w:rsidP="004062FE">
            <w:pPr>
              <w:keepNext/>
              <w:spacing w:line="240" w:lineRule="auto"/>
              <w:rPr>
                <w:del w:id="5719" w:author="AbbVie_HU_03" w:date="2025-05-14T15:27:00Z"/>
                <w:szCs w:val="22"/>
              </w:rPr>
            </w:pPr>
            <w:del w:id="5720" w:author="AbbVie_HU_03" w:date="2025-05-14T15:27:00Z">
              <w:r w:rsidRPr="00183B5F">
                <w:rPr>
                  <w:szCs w:val="22"/>
                </w:rPr>
                <w:delText>ACR 70</w:delText>
              </w:r>
            </w:del>
          </w:p>
        </w:tc>
        <w:tc>
          <w:tcPr>
            <w:tcW w:w="1310" w:type="dxa"/>
          </w:tcPr>
          <w:p w14:paraId="264F2AEE" w14:textId="2F1BD992" w:rsidR="00FB6710" w:rsidRPr="00183B5F" w:rsidRDefault="00FB6710" w:rsidP="004062FE">
            <w:pPr>
              <w:keepNext/>
              <w:spacing w:line="240" w:lineRule="auto"/>
              <w:jc w:val="center"/>
              <w:rPr>
                <w:del w:id="5721" w:author="AbbVie_HU_03" w:date="2025-05-14T15:27:00Z"/>
                <w:szCs w:val="22"/>
              </w:rPr>
            </w:pPr>
          </w:p>
        </w:tc>
        <w:tc>
          <w:tcPr>
            <w:tcW w:w="1310" w:type="dxa"/>
          </w:tcPr>
          <w:p w14:paraId="462EB5AA" w14:textId="5A76878F" w:rsidR="00FB6710" w:rsidRPr="00183B5F" w:rsidRDefault="00FB6710" w:rsidP="004062FE">
            <w:pPr>
              <w:keepNext/>
              <w:spacing w:line="240" w:lineRule="auto"/>
              <w:jc w:val="center"/>
              <w:rPr>
                <w:del w:id="5722" w:author="AbbVie_HU_03" w:date="2025-05-14T15:27:00Z"/>
                <w:szCs w:val="22"/>
              </w:rPr>
            </w:pPr>
          </w:p>
        </w:tc>
        <w:tc>
          <w:tcPr>
            <w:tcW w:w="1363" w:type="dxa"/>
          </w:tcPr>
          <w:p w14:paraId="08FC265C" w14:textId="103B6AC5" w:rsidR="00FB6710" w:rsidRPr="00183B5F" w:rsidRDefault="00FB6710" w:rsidP="004062FE">
            <w:pPr>
              <w:keepNext/>
              <w:spacing w:line="240" w:lineRule="auto"/>
              <w:jc w:val="center"/>
              <w:rPr>
                <w:del w:id="5723" w:author="AbbVie_HU_03" w:date="2025-05-14T15:27:00Z"/>
                <w:szCs w:val="22"/>
              </w:rPr>
            </w:pPr>
          </w:p>
        </w:tc>
        <w:tc>
          <w:tcPr>
            <w:tcW w:w="1308" w:type="dxa"/>
          </w:tcPr>
          <w:p w14:paraId="4C58449A" w14:textId="527BB7AB" w:rsidR="00FB6710" w:rsidRPr="00183B5F" w:rsidRDefault="00FB6710" w:rsidP="004062FE">
            <w:pPr>
              <w:keepNext/>
              <w:spacing w:line="240" w:lineRule="auto"/>
              <w:jc w:val="center"/>
              <w:rPr>
                <w:del w:id="5724" w:author="AbbVie_HU_03" w:date="2025-05-14T15:27:00Z"/>
                <w:szCs w:val="22"/>
              </w:rPr>
            </w:pPr>
          </w:p>
        </w:tc>
        <w:tc>
          <w:tcPr>
            <w:tcW w:w="1304" w:type="dxa"/>
          </w:tcPr>
          <w:p w14:paraId="714CB616" w14:textId="6F420C7C" w:rsidR="00FB6710" w:rsidRPr="00183B5F" w:rsidRDefault="00FB6710" w:rsidP="004062FE">
            <w:pPr>
              <w:keepNext/>
              <w:spacing w:line="240" w:lineRule="auto"/>
              <w:jc w:val="center"/>
              <w:rPr>
                <w:del w:id="5725" w:author="AbbVie_HU_03" w:date="2025-05-14T15:27:00Z"/>
                <w:szCs w:val="22"/>
              </w:rPr>
            </w:pPr>
          </w:p>
        </w:tc>
        <w:tc>
          <w:tcPr>
            <w:tcW w:w="1379" w:type="dxa"/>
          </w:tcPr>
          <w:p w14:paraId="26F26AA5" w14:textId="53E5EA6E" w:rsidR="00FB6710" w:rsidRPr="00183B5F" w:rsidRDefault="00FB6710" w:rsidP="004062FE">
            <w:pPr>
              <w:keepNext/>
              <w:spacing w:line="240" w:lineRule="auto"/>
              <w:jc w:val="center"/>
              <w:rPr>
                <w:del w:id="5726" w:author="AbbVie_HU_03" w:date="2025-05-14T15:27:00Z"/>
                <w:szCs w:val="22"/>
              </w:rPr>
            </w:pPr>
          </w:p>
        </w:tc>
      </w:tr>
      <w:tr w:rsidR="00011D2F" w14:paraId="68B38FBD" w14:textId="70151A7E" w:rsidTr="00BD731F">
        <w:trPr>
          <w:cantSplit/>
          <w:del w:id="5727" w:author="AbbVie_HU_03" w:date="2025-05-14T15:27:00Z"/>
        </w:trPr>
        <w:tc>
          <w:tcPr>
            <w:tcW w:w="1310" w:type="dxa"/>
          </w:tcPr>
          <w:p w14:paraId="2D883359" w14:textId="0FF2755F" w:rsidR="00FB6710" w:rsidRPr="00183B5F" w:rsidRDefault="00943743" w:rsidP="004062FE">
            <w:pPr>
              <w:keepNext/>
              <w:spacing w:line="240" w:lineRule="auto"/>
              <w:jc w:val="right"/>
              <w:rPr>
                <w:del w:id="5728" w:author="AbbVie_HU_03" w:date="2025-05-14T15:27:00Z"/>
                <w:szCs w:val="22"/>
              </w:rPr>
            </w:pPr>
            <w:del w:id="5729" w:author="AbbVie_HU_03" w:date="2025-05-14T15:27:00Z">
              <w:r w:rsidRPr="00183B5F">
                <w:rPr>
                  <w:szCs w:val="22"/>
                </w:rPr>
                <w:delText>52.</w:delText>
              </w:r>
              <w:r w:rsidR="00A44DB6" w:rsidRPr="00183B5F">
                <w:rPr>
                  <w:szCs w:val="22"/>
                </w:rPr>
                <w:delText> hét</w:delText>
              </w:r>
            </w:del>
          </w:p>
        </w:tc>
        <w:tc>
          <w:tcPr>
            <w:tcW w:w="1310" w:type="dxa"/>
          </w:tcPr>
          <w:p w14:paraId="5D26A9AF" w14:textId="472B4971" w:rsidR="00FB6710" w:rsidRPr="00183B5F" w:rsidRDefault="00943743" w:rsidP="004062FE">
            <w:pPr>
              <w:keepNext/>
              <w:spacing w:line="240" w:lineRule="auto"/>
              <w:jc w:val="center"/>
              <w:rPr>
                <w:del w:id="5730" w:author="AbbVie_HU_03" w:date="2025-05-14T15:27:00Z"/>
                <w:szCs w:val="22"/>
              </w:rPr>
            </w:pPr>
            <w:del w:id="5731" w:author="AbbVie_HU_03" w:date="2025-05-14T15:27:00Z">
              <w:r w:rsidRPr="00183B5F">
                <w:rPr>
                  <w:szCs w:val="22"/>
                </w:rPr>
                <w:delText>27,2%</w:delText>
              </w:r>
            </w:del>
          </w:p>
        </w:tc>
        <w:tc>
          <w:tcPr>
            <w:tcW w:w="1310" w:type="dxa"/>
          </w:tcPr>
          <w:p w14:paraId="2F487BF0" w14:textId="2B6FCE13" w:rsidR="00FB6710" w:rsidRPr="00183B5F" w:rsidRDefault="00943743" w:rsidP="004062FE">
            <w:pPr>
              <w:keepNext/>
              <w:spacing w:line="240" w:lineRule="auto"/>
              <w:jc w:val="center"/>
              <w:rPr>
                <w:del w:id="5732" w:author="AbbVie_HU_03" w:date="2025-05-14T15:27:00Z"/>
                <w:szCs w:val="22"/>
              </w:rPr>
            </w:pPr>
            <w:del w:id="5733" w:author="AbbVie_HU_03" w:date="2025-05-14T15:27:00Z">
              <w:r w:rsidRPr="00183B5F">
                <w:rPr>
                  <w:szCs w:val="22"/>
                </w:rPr>
                <w:delText>25,9%</w:delText>
              </w:r>
            </w:del>
          </w:p>
        </w:tc>
        <w:tc>
          <w:tcPr>
            <w:tcW w:w="1363" w:type="dxa"/>
          </w:tcPr>
          <w:p w14:paraId="0AC7661B" w14:textId="18B25A88" w:rsidR="00FB6710" w:rsidRPr="00183B5F" w:rsidRDefault="00943743" w:rsidP="004062FE">
            <w:pPr>
              <w:keepNext/>
              <w:spacing w:line="240" w:lineRule="auto"/>
              <w:jc w:val="center"/>
              <w:rPr>
                <w:del w:id="5734" w:author="AbbVie_HU_03" w:date="2025-05-14T15:27:00Z"/>
                <w:szCs w:val="22"/>
              </w:rPr>
            </w:pPr>
            <w:del w:id="5735" w:author="AbbVie_HU_03" w:date="2025-05-14T15:27:00Z">
              <w:r w:rsidRPr="00183B5F">
                <w:rPr>
                  <w:szCs w:val="22"/>
                </w:rPr>
                <w:delText>45,5%</w:delText>
              </w:r>
            </w:del>
          </w:p>
        </w:tc>
        <w:tc>
          <w:tcPr>
            <w:tcW w:w="1308" w:type="dxa"/>
          </w:tcPr>
          <w:p w14:paraId="1EA4CAF7" w14:textId="1618989A" w:rsidR="00FB6710" w:rsidRPr="00183B5F" w:rsidRDefault="00943743" w:rsidP="004062FE">
            <w:pPr>
              <w:keepNext/>
              <w:spacing w:line="240" w:lineRule="auto"/>
              <w:jc w:val="center"/>
              <w:rPr>
                <w:del w:id="5736" w:author="AbbVie_HU_03" w:date="2025-05-14T15:27:00Z"/>
                <w:szCs w:val="22"/>
              </w:rPr>
            </w:pPr>
            <w:del w:id="5737" w:author="AbbVie_HU_03" w:date="2025-05-14T15:27:00Z">
              <w:r w:rsidRPr="00183B5F">
                <w:rPr>
                  <w:szCs w:val="22"/>
                </w:rPr>
                <w:delText>&lt; 0,001</w:delText>
              </w:r>
            </w:del>
          </w:p>
        </w:tc>
        <w:tc>
          <w:tcPr>
            <w:tcW w:w="1304" w:type="dxa"/>
          </w:tcPr>
          <w:p w14:paraId="330B1F34" w14:textId="34273620" w:rsidR="00FB6710" w:rsidRPr="00183B5F" w:rsidRDefault="00943743" w:rsidP="004062FE">
            <w:pPr>
              <w:keepNext/>
              <w:spacing w:line="240" w:lineRule="auto"/>
              <w:jc w:val="center"/>
              <w:rPr>
                <w:del w:id="5738" w:author="AbbVie_HU_03" w:date="2025-05-14T15:27:00Z"/>
                <w:szCs w:val="22"/>
              </w:rPr>
            </w:pPr>
            <w:del w:id="5739" w:author="AbbVie_HU_03" w:date="2025-05-14T15:27:00Z">
              <w:r w:rsidRPr="00183B5F">
                <w:rPr>
                  <w:szCs w:val="22"/>
                </w:rPr>
                <w:delText>&lt; 0,001</w:delText>
              </w:r>
            </w:del>
          </w:p>
        </w:tc>
        <w:tc>
          <w:tcPr>
            <w:tcW w:w="1379" w:type="dxa"/>
          </w:tcPr>
          <w:p w14:paraId="4CB8CD94" w14:textId="3E73807D" w:rsidR="00FB6710" w:rsidRPr="00183B5F" w:rsidRDefault="00943743" w:rsidP="004062FE">
            <w:pPr>
              <w:keepNext/>
              <w:spacing w:line="240" w:lineRule="auto"/>
              <w:jc w:val="center"/>
              <w:rPr>
                <w:del w:id="5740" w:author="AbbVie_HU_03" w:date="2025-05-14T15:27:00Z"/>
                <w:szCs w:val="22"/>
              </w:rPr>
            </w:pPr>
            <w:del w:id="5741" w:author="AbbVie_HU_03" w:date="2025-05-14T15:27:00Z">
              <w:r w:rsidRPr="00183B5F">
                <w:rPr>
                  <w:szCs w:val="22"/>
                </w:rPr>
                <w:delText>0,656</w:delText>
              </w:r>
            </w:del>
          </w:p>
        </w:tc>
      </w:tr>
      <w:tr w:rsidR="00011D2F" w14:paraId="61349229" w14:textId="0EAAD487" w:rsidTr="00BD731F">
        <w:trPr>
          <w:cantSplit/>
          <w:del w:id="5742" w:author="AbbVie_HU_03" w:date="2025-05-14T15:27:00Z"/>
        </w:trPr>
        <w:tc>
          <w:tcPr>
            <w:tcW w:w="1310" w:type="dxa"/>
          </w:tcPr>
          <w:p w14:paraId="4B9E31DB" w14:textId="69CE941E" w:rsidR="00FB6710" w:rsidRPr="00183B5F" w:rsidRDefault="00943743" w:rsidP="004062FE">
            <w:pPr>
              <w:keepNext/>
              <w:spacing w:line="240" w:lineRule="auto"/>
              <w:jc w:val="right"/>
              <w:rPr>
                <w:del w:id="5743" w:author="AbbVie_HU_03" w:date="2025-05-14T15:27:00Z"/>
                <w:szCs w:val="22"/>
              </w:rPr>
            </w:pPr>
            <w:del w:id="5744" w:author="AbbVie_HU_03" w:date="2025-05-14T15:27:00Z">
              <w:r w:rsidRPr="00183B5F">
                <w:rPr>
                  <w:szCs w:val="22"/>
                </w:rPr>
                <w:delText>104.</w:delText>
              </w:r>
              <w:r w:rsidR="00A44DB6" w:rsidRPr="00183B5F">
                <w:rPr>
                  <w:szCs w:val="22"/>
                </w:rPr>
                <w:delText> hét</w:delText>
              </w:r>
            </w:del>
          </w:p>
        </w:tc>
        <w:tc>
          <w:tcPr>
            <w:tcW w:w="1310" w:type="dxa"/>
          </w:tcPr>
          <w:p w14:paraId="0EEB837E" w14:textId="0838569A" w:rsidR="00FB6710" w:rsidRPr="00183B5F" w:rsidRDefault="00943743" w:rsidP="004062FE">
            <w:pPr>
              <w:keepNext/>
              <w:spacing w:line="240" w:lineRule="auto"/>
              <w:jc w:val="center"/>
              <w:rPr>
                <w:del w:id="5745" w:author="AbbVie_HU_03" w:date="2025-05-14T15:27:00Z"/>
                <w:szCs w:val="22"/>
              </w:rPr>
            </w:pPr>
            <w:del w:id="5746" w:author="AbbVie_HU_03" w:date="2025-05-14T15:27:00Z">
              <w:r w:rsidRPr="00183B5F">
                <w:rPr>
                  <w:szCs w:val="22"/>
                </w:rPr>
                <w:delText>28,4%</w:delText>
              </w:r>
            </w:del>
          </w:p>
        </w:tc>
        <w:tc>
          <w:tcPr>
            <w:tcW w:w="1310" w:type="dxa"/>
          </w:tcPr>
          <w:p w14:paraId="7C201F95" w14:textId="7A23CBA4" w:rsidR="00FB6710" w:rsidRPr="00183B5F" w:rsidRDefault="00943743" w:rsidP="004062FE">
            <w:pPr>
              <w:keepNext/>
              <w:spacing w:line="240" w:lineRule="auto"/>
              <w:jc w:val="center"/>
              <w:rPr>
                <w:del w:id="5747" w:author="AbbVie_HU_03" w:date="2025-05-14T15:27:00Z"/>
                <w:szCs w:val="22"/>
              </w:rPr>
            </w:pPr>
            <w:del w:id="5748" w:author="AbbVie_HU_03" w:date="2025-05-14T15:27:00Z">
              <w:r w:rsidRPr="00183B5F">
                <w:rPr>
                  <w:szCs w:val="22"/>
                </w:rPr>
                <w:delText>28,1%</w:delText>
              </w:r>
            </w:del>
          </w:p>
        </w:tc>
        <w:tc>
          <w:tcPr>
            <w:tcW w:w="1363" w:type="dxa"/>
          </w:tcPr>
          <w:p w14:paraId="77689AC6" w14:textId="4FF93E4E" w:rsidR="00FB6710" w:rsidRPr="00183B5F" w:rsidRDefault="00943743" w:rsidP="004062FE">
            <w:pPr>
              <w:keepNext/>
              <w:spacing w:line="240" w:lineRule="auto"/>
              <w:jc w:val="center"/>
              <w:rPr>
                <w:del w:id="5749" w:author="AbbVie_HU_03" w:date="2025-05-14T15:27:00Z"/>
                <w:szCs w:val="22"/>
              </w:rPr>
            </w:pPr>
            <w:del w:id="5750" w:author="AbbVie_HU_03" w:date="2025-05-14T15:27:00Z">
              <w:r w:rsidRPr="00183B5F">
                <w:rPr>
                  <w:szCs w:val="22"/>
                </w:rPr>
                <w:delText>46,6%</w:delText>
              </w:r>
            </w:del>
          </w:p>
        </w:tc>
        <w:tc>
          <w:tcPr>
            <w:tcW w:w="1308" w:type="dxa"/>
          </w:tcPr>
          <w:p w14:paraId="0306A3AE" w14:textId="26CC01B4" w:rsidR="00FB6710" w:rsidRPr="00183B5F" w:rsidRDefault="00943743" w:rsidP="004062FE">
            <w:pPr>
              <w:keepNext/>
              <w:spacing w:line="240" w:lineRule="auto"/>
              <w:jc w:val="center"/>
              <w:rPr>
                <w:del w:id="5751" w:author="AbbVie_HU_03" w:date="2025-05-14T15:27:00Z"/>
                <w:szCs w:val="22"/>
              </w:rPr>
            </w:pPr>
            <w:del w:id="5752" w:author="AbbVie_HU_03" w:date="2025-05-14T15:27:00Z">
              <w:r w:rsidRPr="00183B5F">
                <w:rPr>
                  <w:szCs w:val="22"/>
                </w:rPr>
                <w:delText>&lt; 0,001</w:delText>
              </w:r>
            </w:del>
          </w:p>
        </w:tc>
        <w:tc>
          <w:tcPr>
            <w:tcW w:w="1304" w:type="dxa"/>
          </w:tcPr>
          <w:p w14:paraId="30C20688" w14:textId="303FA1D8" w:rsidR="00FB6710" w:rsidRPr="00183B5F" w:rsidRDefault="00943743" w:rsidP="004062FE">
            <w:pPr>
              <w:keepNext/>
              <w:spacing w:line="240" w:lineRule="auto"/>
              <w:jc w:val="center"/>
              <w:rPr>
                <w:del w:id="5753" w:author="AbbVie_HU_03" w:date="2025-05-14T15:27:00Z"/>
                <w:szCs w:val="22"/>
              </w:rPr>
            </w:pPr>
            <w:del w:id="5754" w:author="AbbVie_HU_03" w:date="2025-05-14T15:27:00Z">
              <w:r w:rsidRPr="00183B5F">
                <w:rPr>
                  <w:szCs w:val="22"/>
                </w:rPr>
                <w:delText>&lt; 0,001</w:delText>
              </w:r>
            </w:del>
          </w:p>
        </w:tc>
        <w:tc>
          <w:tcPr>
            <w:tcW w:w="1379" w:type="dxa"/>
          </w:tcPr>
          <w:p w14:paraId="1E814B5B" w14:textId="2AAB74C1" w:rsidR="00FB6710" w:rsidRPr="00183B5F" w:rsidRDefault="00943743" w:rsidP="004062FE">
            <w:pPr>
              <w:keepNext/>
              <w:spacing w:line="240" w:lineRule="auto"/>
              <w:jc w:val="center"/>
              <w:rPr>
                <w:del w:id="5755" w:author="AbbVie_HU_03" w:date="2025-05-14T15:27:00Z"/>
                <w:szCs w:val="22"/>
              </w:rPr>
            </w:pPr>
            <w:del w:id="5756" w:author="AbbVie_HU_03" w:date="2025-05-14T15:27:00Z">
              <w:r w:rsidRPr="00183B5F">
                <w:rPr>
                  <w:szCs w:val="22"/>
                </w:rPr>
                <w:delText>0,864</w:delText>
              </w:r>
            </w:del>
          </w:p>
        </w:tc>
      </w:tr>
    </w:tbl>
    <w:p w14:paraId="38D82043" w14:textId="54CA512F" w:rsidR="00FB6710" w:rsidRPr="00183B5F" w:rsidRDefault="00943743" w:rsidP="004062FE">
      <w:pPr>
        <w:spacing w:line="240" w:lineRule="auto"/>
        <w:rPr>
          <w:del w:id="5757" w:author="AbbVie_HU_03" w:date="2025-05-14T15:27:00Z"/>
          <w:szCs w:val="22"/>
        </w:rPr>
      </w:pPr>
      <w:del w:id="5758" w:author="AbbVie_HU_03" w:date="2025-05-14T15:27:00Z">
        <w:r w:rsidRPr="00183B5F">
          <w:rPr>
            <w:szCs w:val="22"/>
            <w:vertAlign w:val="superscript"/>
          </w:rPr>
          <w:delText>a</w:delText>
        </w:r>
        <w:r w:rsidRPr="00183B5F">
          <w:rPr>
            <w:szCs w:val="22"/>
          </w:rPr>
          <w:delText> a p</w:delText>
        </w:r>
        <w:r w:rsidR="00F41CB0" w:rsidRPr="00183B5F">
          <w:rPr>
            <w:szCs w:val="22"/>
          </w:rPr>
          <w:noBreakHyphen/>
        </w:r>
        <w:r w:rsidRPr="00183B5F">
          <w:rPr>
            <w:szCs w:val="22"/>
          </w:rPr>
          <w:delText xml:space="preserve">érték a </w:delText>
        </w:r>
        <w:r w:rsidR="001A6E66" w:rsidRPr="00183B5F">
          <w:rPr>
            <w:szCs w:val="22"/>
          </w:rPr>
          <w:delText>metotrexát-mono</w:delText>
        </w:r>
        <w:r w:rsidRPr="00183B5F">
          <w:rPr>
            <w:szCs w:val="22"/>
          </w:rPr>
          <w:delText xml:space="preserve">terápia és a Humira/metotrexát kombinációs terápia páros összehasonlítása </w:delText>
        </w:r>
        <w:r w:rsidR="001A6E66" w:rsidRPr="00183B5F">
          <w:rPr>
            <w:szCs w:val="22"/>
          </w:rPr>
          <w:delText>alapján, Mann</w:delText>
        </w:r>
        <w:r w:rsidR="00F41CB0" w:rsidRPr="00183B5F">
          <w:rPr>
            <w:szCs w:val="22"/>
          </w:rPr>
          <w:noBreakHyphen/>
        </w:r>
        <w:r w:rsidRPr="00183B5F">
          <w:rPr>
            <w:szCs w:val="22"/>
          </w:rPr>
          <w:delText xml:space="preserve">Whitney </w:delText>
        </w:r>
        <w:r w:rsidR="001A6E66" w:rsidRPr="00183B5F">
          <w:rPr>
            <w:szCs w:val="22"/>
          </w:rPr>
          <w:delText>U-teszt</w:delText>
        </w:r>
        <w:r w:rsidRPr="00183B5F">
          <w:rPr>
            <w:szCs w:val="22"/>
          </w:rPr>
          <w:delText xml:space="preserve"> szerint</w:delText>
        </w:r>
      </w:del>
    </w:p>
    <w:p w14:paraId="565A7D5C" w14:textId="38D9994E" w:rsidR="00FB6710" w:rsidRPr="00183B5F" w:rsidRDefault="00943743" w:rsidP="004062FE">
      <w:pPr>
        <w:spacing w:line="240" w:lineRule="auto"/>
        <w:rPr>
          <w:del w:id="5759" w:author="AbbVie_HU_03" w:date="2025-05-14T15:27:00Z"/>
          <w:szCs w:val="22"/>
        </w:rPr>
      </w:pPr>
      <w:del w:id="5760" w:author="AbbVie_HU_03" w:date="2025-05-14T15:27:00Z">
        <w:r w:rsidRPr="00183B5F">
          <w:rPr>
            <w:szCs w:val="22"/>
            <w:vertAlign w:val="superscript"/>
          </w:rPr>
          <w:delText>b</w:delText>
        </w:r>
        <w:r w:rsidRPr="00183B5F">
          <w:rPr>
            <w:szCs w:val="22"/>
          </w:rPr>
          <w:delText> a p</w:delText>
        </w:r>
        <w:r w:rsidR="007621E0" w:rsidRPr="00183B5F">
          <w:rPr>
            <w:szCs w:val="22"/>
          </w:rPr>
          <w:noBreakHyphen/>
        </w:r>
        <w:r w:rsidRPr="00183B5F">
          <w:rPr>
            <w:szCs w:val="22"/>
          </w:rPr>
          <w:delText xml:space="preserve">érték a </w:delText>
        </w:r>
        <w:r w:rsidR="005C406C" w:rsidRPr="00183B5F">
          <w:rPr>
            <w:szCs w:val="22"/>
          </w:rPr>
          <w:delText>Humira-monoterá</w:delText>
        </w:r>
        <w:r w:rsidRPr="00183B5F">
          <w:rPr>
            <w:szCs w:val="22"/>
          </w:rPr>
          <w:delText xml:space="preserve">pia és a Humira/metotrexát kombinációs terápia páros összehasonlítása </w:delText>
        </w:r>
        <w:r w:rsidR="001A6E66" w:rsidRPr="00183B5F">
          <w:rPr>
            <w:szCs w:val="22"/>
          </w:rPr>
          <w:delText>alapján, Mann</w:delText>
        </w:r>
        <w:r w:rsidR="00F41CB0" w:rsidRPr="00183B5F">
          <w:rPr>
            <w:szCs w:val="22"/>
          </w:rPr>
          <w:noBreakHyphen/>
        </w:r>
        <w:r w:rsidRPr="00183B5F">
          <w:rPr>
            <w:szCs w:val="22"/>
          </w:rPr>
          <w:delText xml:space="preserve">Whitney </w:delText>
        </w:r>
        <w:r w:rsidR="001A6E66" w:rsidRPr="00183B5F">
          <w:rPr>
            <w:szCs w:val="22"/>
          </w:rPr>
          <w:delText>U-teszt</w:delText>
        </w:r>
        <w:r w:rsidRPr="00183B5F">
          <w:rPr>
            <w:szCs w:val="22"/>
          </w:rPr>
          <w:delText xml:space="preserve"> szerint</w:delText>
        </w:r>
      </w:del>
    </w:p>
    <w:p w14:paraId="68881626" w14:textId="697EC7DD" w:rsidR="00FB6710" w:rsidRPr="00183B5F" w:rsidRDefault="00943743">
      <w:pPr>
        <w:spacing w:line="240" w:lineRule="auto"/>
        <w:rPr>
          <w:del w:id="5761" w:author="AbbVie_HU_03" w:date="2025-05-14T15:27:00Z"/>
          <w:szCs w:val="22"/>
        </w:rPr>
      </w:pPr>
      <w:del w:id="5762" w:author="AbbVie_HU_03" w:date="2025-05-14T15:27:00Z">
        <w:r w:rsidRPr="00183B5F">
          <w:rPr>
            <w:szCs w:val="22"/>
            <w:vertAlign w:val="superscript"/>
          </w:rPr>
          <w:delText>c</w:delText>
        </w:r>
        <w:r w:rsidRPr="00183B5F">
          <w:rPr>
            <w:szCs w:val="22"/>
          </w:rPr>
          <w:delText> a p</w:delText>
        </w:r>
        <w:r w:rsidR="00F41CB0" w:rsidRPr="00183B5F">
          <w:rPr>
            <w:szCs w:val="22"/>
          </w:rPr>
          <w:noBreakHyphen/>
        </w:r>
        <w:r w:rsidRPr="00183B5F">
          <w:rPr>
            <w:szCs w:val="22"/>
          </w:rPr>
          <w:delText xml:space="preserve">érték a </w:delText>
        </w:r>
        <w:r w:rsidR="005C406C" w:rsidRPr="00183B5F">
          <w:rPr>
            <w:szCs w:val="22"/>
          </w:rPr>
          <w:delText>Humira-monoterá</w:delText>
        </w:r>
        <w:r w:rsidRPr="00183B5F">
          <w:rPr>
            <w:szCs w:val="22"/>
          </w:rPr>
          <w:delText xml:space="preserve">pia és a </w:delText>
        </w:r>
        <w:r w:rsidR="001A6E66" w:rsidRPr="00183B5F">
          <w:rPr>
            <w:szCs w:val="22"/>
          </w:rPr>
          <w:delText>metotrexát-mono</w:delText>
        </w:r>
        <w:r w:rsidRPr="00183B5F">
          <w:rPr>
            <w:szCs w:val="22"/>
          </w:rPr>
          <w:delText xml:space="preserve">terápia páros összehasonlítása </w:delText>
        </w:r>
        <w:r w:rsidR="001A6E66" w:rsidRPr="00183B5F">
          <w:rPr>
            <w:szCs w:val="22"/>
          </w:rPr>
          <w:delText>alapján, Mann</w:delText>
        </w:r>
        <w:r w:rsidR="00F41CB0" w:rsidRPr="00183B5F">
          <w:rPr>
            <w:szCs w:val="22"/>
          </w:rPr>
          <w:noBreakHyphen/>
        </w:r>
        <w:r w:rsidRPr="00183B5F">
          <w:rPr>
            <w:szCs w:val="22"/>
          </w:rPr>
          <w:delText xml:space="preserve">Whitney </w:delText>
        </w:r>
        <w:r w:rsidR="001A6E66" w:rsidRPr="00183B5F">
          <w:rPr>
            <w:szCs w:val="22"/>
          </w:rPr>
          <w:delText>U-teszt</w:delText>
        </w:r>
        <w:r w:rsidRPr="00183B5F">
          <w:rPr>
            <w:szCs w:val="22"/>
          </w:rPr>
          <w:delText xml:space="preserve"> szerint</w:delText>
        </w:r>
      </w:del>
    </w:p>
    <w:p w14:paraId="47C6A6F1" w14:textId="3FC65F86" w:rsidR="00042B4D" w:rsidRPr="00183B5F" w:rsidRDefault="00042B4D">
      <w:pPr>
        <w:spacing w:line="240" w:lineRule="auto"/>
        <w:rPr>
          <w:del w:id="5763" w:author="AbbVie_HU_03" w:date="2025-05-14T15:27:00Z"/>
          <w:szCs w:val="22"/>
        </w:rPr>
      </w:pPr>
    </w:p>
    <w:p w14:paraId="2AFF3E0C" w14:textId="141210EA" w:rsidR="00FB6710" w:rsidRPr="00183B5F" w:rsidRDefault="00943743">
      <w:pPr>
        <w:spacing w:line="240" w:lineRule="auto"/>
        <w:rPr>
          <w:del w:id="5764" w:author="AbbVie_HU_03" w:date="2025-05-14T15:27:00Z"/>
          <w:szCs w:val="22"/>
        </w:rPr>
      </w:pPr>
      <w:del w:id="5765" w:author="AbbVie_HU_03" w:date="2025-05-14T15:27:00Z">
        <w:r w:rsidRPr="00183B5F">
          <w:rPr>
            <w:szCs w:val="22"/>
          </w:rPr>
          <w:delText xml:space="preserve">Az RA V vizsgálat nyílt elrendezésű kiterjesztésében az </w:delText>
        </w:r>
        <w:r w:rsidR="005D174E" w:rsidRPr="00183B5F">
          <w:rPr>
            <w:szCs w:val="22"/>
          </w:rPr>
          <w:delText>ACR-válasz</w:delText>
        </w:r>
        <w:r w:rsidRPr="00183B5F">
          <w:rPr>
            <w:szCs w:val="22"/>
          </w:rPr>
          <w:delText xml:space="preserve"> aránya fennmaradt a legfeljebb 10 éves követés alatt. Az 542 betegből, akiket 2 hetente 40 mg Humira</w:delText>
        </w:r>
        <w:r w:rsidRPr="00183B5F">
          <w:rPr>
            <w:szCs w:val="22"/>
          </w:rPr>
          <w:noBreakHyphen/>
          <w:delText>ra randomizáltak, 170 betegnél folytatták a 40 mg Humira</w:delText>
        </w:r>
        <w:r w:rsidR="001A6E66" w:rsidRPr="00183B5F">
          <w:rPr>
            <w:szCs w:val="22"/>
          </w:rPr>
          <w:delText>-</w:delText>
        </w:r>
        <w:r w:rsidRPr="00183B5F">
          <w:rPr>
            <w:szCs w:val="22"/>
          </w:rPr>
          <w:delText>kezelést minden 2. héten, 10 éven keresztül. Közülük 154 beteg (90,6%) adott ACR 20 választ, 127 beteg (74,7%) adott ACR 50 választ és 102 beteg (60,0%) adott ACR 70 választ.</w:delText>
        </w:r>
      </w:del>
    </w:p>
    <w:p w14:paraId="1CFC2BAD" w14:textId="141F90E4" w:rsidR="00042B4D" w:rsidRPr="00183B5F" w:rsidRDefault="00042B4D">
      <w:pPr>
        <w:spacing w:line="240" w:lineRule="auto"/>
        <w:rPr>
          <w:del w:id="5766" w:author="AbbVie_HU_03" w:date="2025-05-14T15:27:00Z"/>
          <w:szCs w:val="22"/>
        </w:rPr>
      </w:pPr>
    </w:p>
    <w:p w14:paraId="1124531C" w14:textId="5EF0DED3" w:rsidR="00042B4D" w:rsidRPr="00183B5F" w:rsidRDefault="00943743" w:rsidP="004062FE">
      <w:pPr>
        <w:spacing w:line="240" w:lineRule="auto"/>
        <w:rPr>
          <w:del w:id="5767" w:author="AbbVie_HU_03" w:date="2025-05-14T15:27:00Z"/>
          <w:szCs w:val="22"/>
        </w:rPr>
      </w:pPr>
      <w:del w:id="5768" w:author="AbbVie_HU_03" w:date="2025-05-14T15:27:00Z">
        <w:r w:rsidRPr="00183B5F">
          <w:rPr>
            <w:szCs w:val="22"/>
          </w:rPr>
          <w:delText>Az 52.</w:delText>
        </w:r>
        <w:r w:rsidR="00A44DB6" w:rsidRPr="00183B5F">
          <w:rPr>
            <w:szCs w:val="22"/>
          </w:rPr>
          <w:delText> hét</w:delText>
        </w:r>
        <w:r w:rsidRPr="00183B5F">
          <w:rPr>
            <w:szCs w:val="22"/>
          </w:rPr>
          <w:delText>en a Humira/metotrexát kombinációval kezelt betegek 42,9%-a klinikai remiss</w:delText>
        </w:r>
        <w:r w:rsidR="008D2B68" w:rsidRPr="00183B5F">
          <w:rPr>
            <w:szCs w:val="22"/>
          </w:rPr>
          <w:delText>z</w:delText>
        </w:r>
        <w:r w:rsidRPr="00183B5F">
          <w:rPr>
            <w:szCs w:val="22"/>
          </w:rPr>
          <w:delText xml:space="preserve">ióba került (DAS28 (CRP) &lt; 2,6) összehasonlítva a </w:delText>
        </w:r>
        <w:r w:rsidR="001A6E66" w:rsidRPr="00183B5F">
          <w:rPr>
            <w:szCs w:val="22"/>
          </w:rPr>
          <w:delText>metotrexát-mono</w:delText>
        </w:r>
        <w:r w:rsidRPr="00183B5F">
          <w:rPr>
            <w:szCs w:val="22"/>
          </w:rPr>
          <w:delText xml:space="preserve">terápiát kapó 20,6% és </w:delText>
        </w:r>
        <w:r w:rsidR="005C406C" w:rsidRPr="00183B5F">
          <w:rPr>
            <w:szCs w:val="22"/>
          </w:rPr>
          <w:delText>Humira-monoterá</w:delText>
        </w:r>
        <w:r w:rsidRPr="00183B5F">
          <w:rPr>
            <w:szCs w:val="22"/>
          </w:rPr>
          <w:delText xml:space="preserve">piában részesült 23,4% beteggel. A Humira/metotrexát kombinációs terápia klinikailag és statisztikailag jobb volt, mint a metotrexát (p &lt; 0,001) és </w:delText>
        </w:r>
        <w:r w:rsidR="005C406C" w:rsidRPr="00183B5F">
          <w:rPr>
            <w:szCs w:val="22"/>
          </w:rPr>
          <w:delText>Humira-monoterá</w:delText>
        </w:r>
        <w:r w:rsidRPr="00183B5F">
          <w:rPr>
            <w:szCs w:val="22"/>
          </w:rPr>
          <w:delText>pia (p &lt; 0,001)</w:delText>
        </w:r>
        <w:r w:rsidR="008D2B68" w:rsidRPr="00183B5F">
          <w:rPr>
            <w:szCs w:val="22"/>
          </w:rPr>
          <w:delText xml:space="preserve"> az </w:delText>
        </w:r>
        <w:r w:rsidRPr="00183B5F">
          <w:rPr>
            <w:szCs w:val="22"/>
          </w:rPr>
          <w:delText>alacsony betegség</w:delText>
        </w:r>
        <w:r w:rsidR="008D2B68" w:rsidRPr="00183B5F">
          <w:rPr>
            <w:szCs w:val="22"/>
          </w:rPr>
          <w:delText>aktivitási</w:delText>
        </w:r>
        <w:r w:rsidRPr="00183B5F">
          <w:rPr>
            <w:szCs w:val="22"/>
          </w:rPr>
          <w:delText xml:space="preserve"> szint</w:delText>
        </w:r>
        <w:r w:rsidR="008D2B68" w:rsidRPr="00183B5F">
          <w:rPr>
            <w:szCs w:val="22"/>
          </w:rPr>
          <w:delText xml:space="preserve"> elérése tekintetében, </w:delText>
        </w:r>
        <w:r w:rsidRPr="00183B5F">
          <w:rPr>
            <w:szCs w:val="22"/>
          </w:rPr>
          <w:delText xml:space="preserve">amennyiben korai </w:delText>
        </w:r>
        <w:r w:rsidR="00116852" w:rsidRPr="00183B5F">
          <w:rPr>
            <w:szCs w:val="22"/>
          </w:rPr>
          <w:delText xml:space="preserve">közepesen súlyos </w:delText>
        </w:r>
        <w:r w:rsidR="002C1F5C" w:rsidRPr="00183B5F">
          <w:rPr>
            <w:szCs w:val="22"/>
          </w:rPr>
          <w:delText>–</w:delText>
        </w:r>
        <w:r w:rsidR="00116852" w:rsidRPr="00183B5F">
          <w:rPr>
            <w:szCs w:val="22"/>
          </w:rPr>
          <w:delText xml:space="preserve"> </w:delText>
        </w:r>
        <w:r w:rsidRPr="00183B5F">
          <w:rPr>
            <w:szCs w:val="22"/>
          </w:rPr>
          <w:delText xml:space="preserve">súlyos rheumatoid arthritisük volt. A két monoterápiás karon kapott válasz hasonló volt (p = 0,447). Az eredetileg </w:delText>
        </w:r>
        <w:r w:rsidR="005C406C" w:rsidRPr="00183B5F">
          <w:rPr>
            <w:szCs w:val="22"/>
          </w:rPr>
          <w:delText>Humira-monoterá</w:delText>
        </w:r>
        <w:r w:rsidRPr="00183B5F">
          <w:rPr>
            <w:szCs w:val="22"/>
          </w:rPr>
          <w:delText>piára</w:delText>
        </w:r>
        <w:r w:rsidRPr="00183B5F">
          <w:rPr>
            <w:szCs w:val="22"/>
          </w:rPr>
          <w:delText xml:space="preserve"> vagy Humira/methotrexát kombinációra randomizált 342 beteg közül, akik beléptek a nyílt kiterjesztéses vizsgálatba, 171 beteg fejezte be a 10 éves Humira</w:delText>
        </w:r>
        <w:r w:rsidR="00D646B9" w:rsidRPr="00183B5F">
          <w:rPr>
            <w:szCs w:val="22"/>
          </w:rPr>
          <w:delText>-</w:delText>
        </w:r>
        <w:r w:rsidRPr="00183B5F">
          <w:rPr>
            <w:szCs w:val="22"/>
          </w:rPr>
          <w:delText>kezelést. Közülük 109 beteg (63,7%) került remisszióba a 10 év alatt.</w:delText>
        </w:r>
      </w:del>
    </w:p>
    <w:p w14:paraId="399502AF" w14:textId="59A1283B" w:rsidR="00FB6710" w:rsidRPr="00183B5F" w:rsidRDefault="00FB6710" w:rsidP="004062FE">
      <w:pPr>
        <w:spacing w:line="240" w:lineRule="auto"/>
        <w:rPr>
          <w:del w:id="5769" w:author="AbbVie_HU_03" w:date="2025-05-14T15:27:00Z"/>
          <w:szCs w:val="22"/>
        </w:rPr>
      </w:pPr>
    </w:p>
    <w:p w14:paraId="2494BF2E" w14:textId="5E9C4997" w:rsidR="00FB6710" w:rsidRPr="00183B5F" w:rsidRDefault="00943743" w:rsidP="004062FE">
      <w:pPr>
        <w:keepNext/>
        <w:spacing w:line="240" w:lineRule="auto"/>
        <w:rPr>
          <w:del w:id="5770" w:author="AbbVie_HU_03" w:date="2025-05-14T15:27:00Z"/>
          <w:i/>
          <w:szCs w:val="22"/>
          <w:u w:val="single"/>
        </w:rPr>
      </w:pPr>
      <w:del w:id="5771" w:author="AbbVie_HU_03" w:date="2025-05-14T15:27:00Z">
        <w:r w:rsidRPr="00183B5F">
          <w:rPr>
            <w:i/>
            <w:szCs w:val="22"/>
            <w:u w:val="single"/>
          </w:rPr>
          <w:delText>Radiológiai válasz</w:delText>
        </w:r>
      </w:del>
    </w:p>
    <w:p w14:paraId="797705C0" w14:textId="2CBFFE6C" w:rsidR="00FB6710" w:rsidRPr="00183B5F" w:rsidRDefault="00FB6710">
      <w:pPr>
        <w:pStyle w:val="EndnoteText"/>
        <w:keepNext/>
        <w:tabs>
          <w:tab w:val="clear" w:pos="567"/>
        </w:tabs>
        <w:suppressAutoHyphens/>
        <w:rPr>
          <w:del w:id="5772" w:author="AbbVie_HU_03" w:date="2025-05-14T15:27:00Z"/>
          <w:sz w:val="22"/>
          <w:szCs w:val="22"/>
          <w:lang w:val="hu-HU" w:eastAsia="hu-HU"/>
        </w:rPr>
      </w:pPr>
    </w:p>
    <w:p w14:paraId="66247FDF" w14:textId="4CD1C736" w:rsidR="000113FC" w:rsidRPr="00183B5F" w:rsidRDefault="00943743" w:rsidP="004062FE">
      <w:pPr>
        <w:keepNext/>
        <w:spacing w:line="240" w:lineRule="auto"/>
        <w:rPr>
          <w:del w:id="5773" w:author="AbbVie_HU_03" w:date="2025-05-14T15:27:00Z"/>
          <w:szCs w:val="22"/>
        </w:rPr>
      </w:pPr>
      <w:del w:id="5774" w:author="AbbVie_HU_03" w:date="2025-05-14T15:27:00Z">
        <w:r w:rsidRPr="00183B5F">
          <w:rPr>
            <w:szCs w:val="22"/>
          </w:rPr>
          <w:delText>Az RA</w:delText>
        </w:r>
        <w:r w:rsidR="00F41CB0" w:rsidRPr="00183B5F">
          <w:rPr>
            <w:szCs w:val="22"/>
          </w:rPr>
          <w:delText> </w:delText>
        </w:r>
        <w:r w:rsidRPr="00183B5F">
          <w:rPr>
            <w:szCs w:val="22"/>
          </w:rPr>
          <w:delText>III vizsgálatban, amelyben a Humira</w:delText>
        </w:r>
        <w:r w:rsidR="00F41CB0" w:rsidRPr="00183B5F">
          <w:rPr>
            <w:szCs w:val="22"/>
          </w:rPr>
          <w:noBreakHyphen/>
        </w:r>
        <w:r w:rsidRPr="00183B5F">
          <w:rPr>
            <w:szCs w:val="22"/>
          </w:rPr>
          <w:delText>val kezelt betegek rheumatoid arthritise átlagosan 11</w:delText>
        </w:r>
        <w:r w:rsidR="00B050BA" w:rsidRPr="00183B5F">
          <w:rPr>
            <w:szCs w:val="22"/>
          </w:rPr>
          <w:delText> </w:delText>
        </w:r>
        <w:r w:rsidRPr="00183B5F">
          <w:rPr>
            <w:szCs w:val="22"/>
          </w:rPr>
          <w:delText xml:space="preserve">éve </w:delText>
        </w:r>
        <w:r w:rsidR="008D2B68" w:rsidRPr="00183B5F">
          <w:rPr>
            <w:szCs w:val="22"/>
          </w:rPr>
          <w:delText xml:space="preserve">állt </w:delText>
        </w:r>
        <w:r w:rsidRPr="00183B5F">
          <w:rPr>
            <w:szCs w:val="22"/>
          </w:rPr>
          <w:delText>fenn, az ízületek szerkezeti károsodását radiológiailag értékelték és a változást módosított teljes Sharp</w:delText>
        </w:r>
        <w:r w:rsidR="00117647" w:rsidRPr="00183B5F">
          <w:rPr>
            <w:szCs w:val="22"/>
          </w:rPr>
          <w:delText>-</w:delText>
        </w:r>
        <w:r w:rsidRPr="00183B5F">
          <w:rPr>
            <w:szCs w:val="22"/>
          </w:rPr>
          <w:delText>pontértékkel (Total Sharp Score, TSS) és összetevőivel</w:delText>
        </w:r>
        <w:r w:rsidR="008D2B68" w:rsidRPr="00183B5F">
          <w:rPr>
            <w:szCs w:val="22"/>
          </w:rPr>
          <w:delText>,</w:delText>
        </w:r>
        <w:r w:rsidRPr="00183B5F">
          <w:rPr>
            <w:szCs w:val="22"/>
          </w:rPr>
          <w:delText xml:space="preserve"> az er</w:delText>
        </w:r>
        <w:r w:rsidR="00116852" w:rsidRPr="00183B5F">
          <w:rPr>
            <w:szCs w:val="22"/>
          </w:rPr>
          <w:delText>ó</w:delText>
        </w:r>
        <w:r w:rsidRPr="00183B5F">
          <w:rPr>
            <w:szCs w:val="22"/>
          </w:rPr>
          <w:delText>ziós pontértékkel és az ízületi rés beszűkülésének pontértékével fejezték ki. Humira</w:delText>
        </w:r>
        <w:r w:rsidR="00F41CB0" w:rsidRPr="00183B5F">
          <w:rPr>
            <w:szCs w:val="22"/>
          </w:rPr>
          <w:noBreakHyphen/>
        </w:r>
        <w:r w:rsidRPr="00183B5F">
          <w:rPr>
            <w:szCs w:val="22"/>
          </w:rPr>
          <w:delText>val/metotrexáttal kezelt betegeknél szignifikánsan kisebb mértékű radiológiai progressziót mutattak ki</w:delText>
        </w:r>
        <w:r w:rsidR="008D2B68" w:rsidRPr="00183B5F">
          <w:rPr>
            <w:szCs w:val="22"/>
          </w:rPr>
          <w:delText xml:space="preserve"> a 6. és 12.</w:delText>
        </w:r>
        <w:r w:rsidR="00F41CB0" w:rsidRPr="00183B5F">
          <w:rPr>
            <w:szCs w:val="22"/>
          </w:rPr>
          <w:delText> </w:delText>
        </w:r>
        <w:r w:rsidR="008D2B68" w:rsidRPr="00183B5F">
          <w:rPr>
            <w:szCs w:val="22"/>
          </w:rPr>
          <w:delText>hónapban</w:delText>
        </w:r>
        <w:r w:rsidRPr="00183B5F">
          <w:rPr>
            <w:szCs w:val="22"/>
          </w:rPr>
          <w:delText>, mint a csak metotrexáttal kezelt betegeknél (lásd</w:delText>
        </w:r>
        <w:r w:rsidRPr="00183B5F">
          <w:rPr>
            <w:i/>
            <w:iCs/>
            <w:szCs w:val="22"/>
          </w:rPr>
          <w:delText xml:space="preserve"> </w:delText>
        </w:r>
        <w:r w:rsidR="007E7C28" w:rsidRPr="00183B5F">
          <w:rPr>
            <w:szCs w:val="22"/>
          </w:rPr>
          <w:delText>10</w:delText>
        </w:r>
        <w:r w:rsidRPr="00183B5F">
          <w:rPr>
            <w:szCs w:val="22"/>
          </w:rPr>
          <w:delText>.</w:delText>
        </w:r>
        <w:r w:rsidR="006A0A63" w:rsidRPr="00183B5F">
          <w:rPr>
            <w:szCs w:val="22"/>
          </w:rPr>
          <w:delText> </w:delText>
        </w:r>
        <w:r w:rsidRPr="00183B5F">
          <w:rPr>
            <w:szCs w:val="22"/>
          </w:rPr>
          <w:delText>táblázat).</w:delText>
        </w:r>
      </w:del>
    </w:p>
    <w:p w14:paraId="214A8839" w14:textId="26D444DA" w:rsidR="000113FC" w:rsidRPr="00183B5F" w:rsidRDefault="000113FC" w:rsidP="004062FE">
      <w:pPr>
        <w:spacing w:line="240" w:lineRule="auto"/>
        <w:rPr>
          <w:del w:id="5775" w:author="AbbVie_HU_03" w:date="2025-05-14T15:27:00Z"/>
          <w:szCs w:val="22"/>
        </w:rPr>
      </w:pPr>
    </w:p>
    <w:p w14:paraId="4358B000" w14:textId="276D3A55" w:rsidR="00FB6710" w:rsidRPr="00183B5F" w:rsidRDefault="00943743" w:rsidP="004062FE">
      <w:pPr>
        <w:spacing w:line="240" w:lineRule="auto"/>
        <w:rPr>
          <w:del w:id="5776" w:author="AbbVie_HU_03" w:date="2025-05-14T15:27:00Z"/>
          <w:szCs w:val="22"/>
        </w:rPr>
      </w:pPr>
      <w:del w:id="5777" w:author="AbbVie_HU_03" w:date="2025-05-14T15:27:00Z">
        <w:r w:rsidRPr="00183B5F">
          <w:rPr>
            <w:szCs w:val="22"/>
          </w:rPr>
          <w:delText>Az RA</w:delText>
        </w:r>
        <w:r w:rsidR="00F41CB0" w:rsidRPr="00183B5F">
          <w:rPr>
            <w:szCs w:val="22"/>
          </w:rPr>
          <w:delText> </w:delText>
        </w:r>
        <w:r w:rsidRPr="00183B5F">
          <w:rPr>
            <w:szCs w:val="22"/>
          </w:rPr>
          <w:delText xml:space="preserve">III vizsgálat nyílt, kiterjesztett fázisában a strukturális károsodás progressziójának csökkent mértéke </w:delText>
        </w:r>
        <w:r w:rsidR="000113FC" w:rsidRPr="00183B5F">
          <w:rPr>
            <w:szCs w:val="22"/>
          </w:rPr>
          <w:delText>8 és 10</w:delText>
        </w:r>
        <w:r w:rsidR="00B050BA" w:rsidRPr="00183B5F">
          <w:rPr>
            <w:szCs w:val="22"/>
          </w:rPr>
          <w:delText> </w:delText>
        </w:r>
        <w:r w:rsidR="000113FC" w:rsidRPr="00183B5F">
          <w:rPr>
            <w:szCs w:val="22"/>
          </w:rPr>
          <w:delText>évig</w:delText>
        </w:r>
        <w:r w:rsidRPr="00183B5F">
          <w:rPr>
            <w:szCs w:val="22"/>
          </w:rPr>
          <w:delText xml:space="preserve"> fenntartható a betegek egy részénél. Az eredetileg minden második héten 40 mg Humira</w:delText>
        </w:r>
        <w:r w:rsidR="00F41CB0" w:rsidRPr="00183B5F">
          <w:rPr>
            <w:szCs w:val="22"/>
          </w:rPr>
          <w:noBreakHyphen/>
        </w:r>
        <w:r w:rsidRPr="00183B5F">
          <w:rPr>
            <w:szCs w:val="22"/>
          </w:rPr>
          <w:delText>val kezelt 207</w:delText>
        </w:r>
        <w:r w:rsidR="00F41CB0" w:rsidRPr="00183B5F">
          <w:rPr>
            <w:szCs w:val="22"/>
          </w:rPr>
          <w:delText> </w:delText>
        </w:r>
        <w:r w:rsidRPr="00183B5F">
          <w:rPr>
            <w:szCs w:val="22"/>
          </w:rPr>
          <w:delText xml:space="preserve">beteg közül </w:delText>
        </w:r>
        <w:r w:rsidR="000113FC" w:rsidRPr="00183B5F">
          <w:rPr>
            <w:szCs w:val="22"/>
          </w:rPr>
          <w:delText>81</w:delText>
        </w:r>
        <w:r w:rsidR="00F41CB0" w:rsidRPr="00183B5F">
          <w:rPr>
            <w:szCs w:val="22"/>
          </w:rPr>
          <w:noBreakHyphen/>
        </w:r>
        <w:r w:rsidR="000113FC" w:rsidRPr="00183B5F">
          <w:rPr>
            <w:szCs w:val="22"/>
          </w:rPr>
          <w:delText>et</w:delText>
        </w:r>
        <w:r w:rsidRPr="00183B5F">
          <w:rPr>
            <w:szCs w:val="22"/>
          </w:rPr>
          <w:delText xml:space="preserve"> értékeltek radiológiailag a </w:delText>
        </w:r>
        <w:r w:rsidR="000113FC" w:rsidRPr="00183B5F">
          <w:rPr>
            <w:szCs w:val="22"/>
          </w:rPr>
          <w:delText>8</w:delText>
        </w:r>
        <w:r w:rsidRPr="00183B5F">
          <w:rPr>
            <w:szCs w:val="22"/>
          </w:rPr>
          <w:delText>.</w:delText>
        </w:r>
        <w:r w:rsidR="00B050BA" w:rsidRPr="00183B5F">
          <w:rPr>
            <w:szCs w:val="22"/>
          </w:rPr>
          <w:delText> </w:delText>
        </w:r>
        <w:r w:rsidRPr="00183B5F">
          <w:rPr>
            <w:szCs w:val="22"/>
          </w:rPr>
          <w:delText>év</w:delText>
        </w:r>
        <w:r w:rsidR="00C04A4A" w:rsidRPr="00183B5F">
          <w:rPr>
            <w:szCs w:val="22"/>
          </w:rPr>
          <w:delText>ben</w:delText>
        </w:r>
        <w:r w:rsidRPr="00183B5F">
          <w:rPr>
            <w:szCs w:val="22"/>
          </w:rPr>
          <w:delText xml:space="preserve">. Közülük </w:delText>
        </w:r>
        <w:r w:rsidR="000113FC" w:rsidRPr="00183B5F">
          <w:rPr>
            <w:szCs w:val="22"/>
          </w:rPr>
          <w:delText>48</w:delText>
        </w:r>
        <w:r w:rsidR="00F41CB0" w:rsidRPr="00183B5F">
          <w:rPr>
            <w:szCs w:val="22"/>
          </w:rPr>
          <w:delText> </w:delText>
        </w:r>
        <w:r w:rsidRPr="00183B5F">
          <w:rPr>
            <w:szCs w:val="22"/>
          </w:rPr>
          <w:delText>betegnél nem észlelték a strukturális károsodás progresszióját, melynek definíciója a Teljes Sharp</w:delText>
        </w:r>
        <w:r w:rsidR="00117647" w:rsidRPr="00183B5F">
          <w:rPr>
            <w:szCs w:val="22"/>
          </w:rPr>
          <w:delText>-</w:delText>
        </w:r>
        <w:r w:rsidRPr="00183B5F">
          <w:rPr>
            <w:szCs w:val="22"/>
          </w:rPr>
          <w:delText>pontértékben bekövetkezett 0</w:delText>
        </w:r>
        <w:r w:rsidR="000113FC" w:rsidRPr="00183B5F">
          <w:rPr>
            <w:szCs w:val="22"/>
          </w:rPr>
          <w:delText>,5</w:delText>
        </w:r>
        <w:r w:rsidRPr="00183B5F">
          <w:rPr>
            <w:szCs w:val="22"/>
          </w:rPr>
          <w:delText xml:space="preserve"> vagy még alacsonyabb változás volt</w:delText>
        </w:r>
        <w:r w:rsidR="000113FC" w:rsidRPr="00183B5F">
          <w:rPr>
            <w:szCs w:val="22"/>
          </w:rPr>
          <w:delText xml:space="preserve"> a kiindulási értékhez képest</w:delText>
        </w:r>
        <w:r w:rsidRPr="00183B5F">
          <w:rPr>
            <w:szCs w:val="22"/>
          </w:rPr>
          <w:delText>.</w:delText>
        </w:r>
        <w:r w:rsidR="000113FC" w:rsidRPr="00183B5F">
          <w:rPr>
            <w:szCs w:val="22"/>
          </w:rPr>
          <w:delText xml:space="preserve"> Az eredetileg minden második héten 40 mg Humira</w:delText>
        </w:r>
        <w:r w:rsidR="00F41CB0" w:rsidRPr="00183B5F">
          <w:rPr>
            <w:szCs w:val="22"/>
          </w:rPr>
          <w:noBreakHyphen/>
        </w:r>
        <w:r w:rsidR="000113FC" w:rsidRPr="00183B5F">
          <w:rPr>
            <w:szCs w:val="22"/>
          </w:rPr>
          <w:delText>val kezelt 207</w:delText>
        </w:r>
        <w:r w:rsidR="00B050BA" w:rsidRPr="00183B5F">
          <w:rPr>
            <w:szCs w:val="22"/>
          </w:rPr>
          <w:delText> </w:delText>
        </w:r>
        <w:r w:rsidR="000113FC" w:rsidRPr="00183B5F">
          <w:rPr>
            <w:szCs w:val="22"/>
          </w:rPr>
          <w:delText>beteg közül 79</w:delText>
        </w:r>
        <w:r w:rsidR="00F41CB0" w:rsidRPr="00183B5F">
          <w:rPr>
            <w:szCs w:val="22"/>
          </w:rPr>
          <w:noBreakHyphen/>
        </w:r>
        <w:r w:rsidR="000113FC" w:rsidRPr="00183B5F">
          <w:rPr>
            <w:szCs w:val="22"/>
          </w:rPr>
          <w:delText>et értékeltek radiológiailag a 10.</w:delText>
        </w:r>
        <w:r w:rsidR="00B050BA" w:rsidRPr="00183B5F">
          <w:rPr>
            <w:szCs w:val="22"/>
          </w:rPr>
          <w:delText> </w:delText>
        </w:r>
        <w:r w:rsidR="000113FC" w:rsidRPr="00183B5F">
          <w:rPr>
            <w:szCs w:val="22"/>
          </w:rPr>
          <w:delText>évben. Közülük 40</w:delText>
        </w:r>
        <w:r w:rsidR="00B050BA" w:rsidRPr="00183B5F">
          <w:rPr>
            <w:szCs w:val="22"/>
          </w:rPr>
          <w:delText> </w:delText>
        </w:r>
        <w:r w:rsidR="000113FC" w:rsidRPr="00183B5F">
          <w:rPr>
            <w:szCs w:val="22"/>
          </w:rPr>
          <w:delText>betegnél nem észlelték a strukturális károsodás progresszióját, melynek definíciója a Teljes Sharp</w:delText>
        </w:r>
        <w:r w:rsidR="00117647" w:rsidRPr="00183B5F">
          <w:rPr>
            <w:szCs w:val="22"/>
          </w:rPr>
          <w:delText>-</w:delText>
        </w:r>
        <w:r w:rsidR="000113FC" w:rsidRPr="00183B5F">
          <w:rPr>
            <w:szCs w:val="22"/>
          </w:rPr>
          <w:delText xml:space="preserve">pontértékben bekövetkezett 0,5 vagy </w:delText>
        </w:r>
        <w:r w:rsidR="00DE5FDB" w:rsidRPr="00183B5F">
          <w:rPr>
            <w:szCs w:val="22"/>
          </w:rPr>
          <w:delText xml:space="preserve">ennél </w:delText>
        </w:r>
        <w:r w:rsidR="000113FC" w:rsidRPr="00183B5F">
          <w:rPr>
            <w:szCs w:val="22"/>
          </w:rPr>
          <w:delText>alacsonyabb változás volt a kiindulási értékhez képest.</w:delText>
        </w:r>
      </w:del>
    </w:p>
    <w:p w14:paraId="3C64B9CE" w14:textId="2463A799" w:rsidR="00FB6710" w:rsidRPr="00183B5F" w:rsidRDefault="00FB6710" w:rsidP="004062FE">
      <w:pPr>
        <w:pStyle w:val="EMEAHeading1"/>
        <w:tabs>
          <w:tab w:val="clear" w:pos="562"/>
        </w:tabs>
        <w:spacing w:beforeLines="0" w:afterLines="0"/>
        <w:outlineLvl w:val="9"/>
        <w:rPr>
          <w:del w:id="5778" w:author="AbbVie_HU_03" w:date="2025-05-14T15:27:00Z"/>
          <w:rFonts w:ascii="Times New Roman" w:hAnsi="Times New Roman"/>
          <w:bCs/>
          <w:caps w:val="0"/>
          <w:szCs w:val="22"/>
          <w:lang w:val="hu-HU" w:eastAsia="hu-HU"/>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88"/>
        <w:gridCol w:w="1430"/>
        <w:gridCol w:w="1790"/>
        <w:gridCol w:w="2000"/>
        <w:gridCol w:w="1548"/>
      </w:tblGrid>
      <w:tr w:rsidR="00011D2F" w14:paraId="3FC16F22" w14:textId="39B3EE81" w:rsidTr="0056242A">
        <w:trPr>
          <w:cantSplit/>
          <w:del w:id="5779" w:author="AbbVie_HU_03" w:date="2025-05-14T15:27:00Z"/>
        </w:trPr>
        <w:tc>
          <w:tcPr>
            <w:tcW w:w="8856" w:type="dxa"/>
            <w:gridSpan w:val="5"/>
            <w:tcBorders>
              <w:top w:val="nil"/>
              <w:left w:val="nil"/>
              <w:bottom w:val="single" w:sz="4" w:space="0" w:color="auto"/>
              <w:right w:val="nil"/>
            </w:tcBorders>
          </w:tcPr>
          <w:p w14:paraId="7F38EA73" w14:textId="649B3B9F" w:rsidR="00C1029B" w:rsidRPr="00183B5F" w:rsidRDefault="00943743" w:rsidP="004062FE">
            <w:pPr>
              <w:pStyle w:val="EMEAHeading1"/>
              <w:keepNext/>
              <w:tabs>
                <w:tab w:val="clear" w:pos="562"/>
              </w:tabs>
              <w:spacing w:beforeLines="0" w:afterLines="0"/>
              <w:jc w:val="center"/>
              <w:outlineLvl w:val="9"/>
              <w:rPr>
                <w:del w:id="5780" w:author="AbbVie_HU_03" w:date="2025-05-14T15:27:00Z"/>
                <w:rFonts w:ascii="Times New Roman" w:hAnsi="Times New Roman"/>
                <w:bCs/>
                <w:caps w:val="0"/>
                <w:szCs w:val="22"/>
                <w:lang w:val="hu-HU" w:eastAsia="hu-HU"/>
              </w:rPr>
            </w:pPr>
            <w:del w:id="5781" w:author="AbbVie_HU_03" w:date="2025-05-14T15:27:00Z">
              <w:r w:rsidRPr="00183B5F">
                <w:rPr>
                  <w:rFonts w:ascii="Times New Roman" w:hAnsi="Times New Roman"/>
                  <w:bCs/>
                  <w:caps w:val="0"/>
                  <w:szCs w:val="22"/>
                  <w:lang w:val="hu-HU" w:eastAsia="hu-HU"/>
                </w:rPr>
                <w:delText>10</w:delText>
              </w:r>
              <w:r w:rsidR="00A518DE" w:rsidRPr="00183B5F">
                <w:rPr>
                  <w:rFonts w:ascii="Times New Roman" w:hAnsi="Times New Roman"/>
                  <w:bCs/>
                  <w:caps w:val="0"/>
                  <w:szCs w:val="22"/>
                  <w:lang w:val="hu-HU" w:eastAsia="hu-HU"/>
                </w:rPr>
                <w:delText>.</w:delText>
              </w:r>
              <w:r w:rsidR="006A0A63" w:rsidRPr="00183B5F">
                <w:rPr>
                  <w:rFonts w:ascii="Times New Roman" w:hAnsi="Times New Roman"/>
                  <w:bCs/>
                  <w:caps w:val="0"/>
                  <w:szCs w:val="22"/>
                  <w:lang w:val="hu-HU" w:eastAsia="hu-HU"/>
                </w:rPr>
                <w:delText> </w:delText>
              </w:r>
              <w:r w:rsidR="00A518DE" w:rsidRPr="00183B5F">
                <w:rPr>
                  <w:rFonts w:ascii="Times New Roman" w:hAnsi="Times New Roman"/>
                  <w:bCs/>
                  <w:caps w:val="0"/>
                  <w:szCs w:val="22"/>
                  <w:lang w:val="hu-HU" w:eastAsia="hu-HU"/>
                </w:rPr>
                <w:delText xml:space="preserve">táblázat </w:delText>
              </w:r>
            </w:del>
          </w:p>
          <w:p w14:paraId="45873D15" w14:textId="66E0871B" w:rsidR="00A518DE" w:rsidRPr="00183B5F" w:rsidRDefault="00943743" w:rsidP="004062FE">
            <w:pPr>
              <w:pStyle w:val="EMEAHeading1"/>
              <w:keepNext/>
              <w:tabs>
                <w:tab w:val="clear" w:pos="562"/>
              </w:tabs>
              <w:spacing w:beforeLines="0" w:afterLines="0"/>
              <w:jc w:val="center"/>
              <w:outlineLvl w:val="9"/>
              <w:rPr>
                <w:del w:id="5782" w:author="AbbVie_HU_03" w:date="2025-05-14T15:27:00Z"/>
                <w:rFonts w:ascii="Times New Roman" w:hAnsi="Times New Roman"/>
                <w:bCs/>
                <w:caps w:val="0"/>
                <w:strike/>
                <w:szCs w:val="22"/>
                <w:lang w:val="hu-HU" w:eastAsia="hu-HU"/>
              </w:rPr>
            </w:pPr>
            <w:del w:id="5783" w:author="AbbVie_HU_03" w:date="2025-05-14T15:27:00Z">
              <w:r w:rsidRPr="00183B5F">
                <w:rPr>
                  <w:rFonts w:ascii="Times New Roman" w:hAnsi="Times New Roman"/>
                  <w:bCs/>
                  <w:caps w:val="0"/>
                  <w:szCs w:val="22"/>
                  <w:lang w:val="hu-HU" w:eastAsia="hu-HU"/>
                </w:rPr>
                <w:delText>Az RA</w:delText>
              </w:r>
              <w:r w:rsidR="00F41CB0" w:rsidRPr="00183B5F">
                <w:rPr>
                  <w:rFonts w:ascii="Times New Roman" w:hAnsi="Times New Roman"/>
                  <w:bCs/>
                  <w:caps w:val="0"/>
                  <w:szCs w:val="22"/>
                  <w:lang w:val="hu-HU" w:eastAsia="hu-HU"/>
                </w:rPr>
                <w:delText> </w:delText>
              </w:r>
              <w:r w:rsidRPr="00183B5F">
                <w:rPr>
                  <w:rFonts w:ascii="Times New Roman" w:hAnsi="Times New Roman"/>
                  <w:bCs/>
                  <w:caps w:val="0"/>
                  <w:szCs w:val="22"/>
                  <w:lang w:val="hu-HU" w:eastAsia="hu-HU"/>
                </w:rPr>
                <w:delText>III vizsgálatban észlelt radiológiai változások átlaga 12</w:delText>
              </w:r>
              <w:r w:rsidR="00F41CB0" w:rsidRPr="00183B5F">
                <w:rPr>
                  <w:rFonts w:ascii="Times New Roman" w:hAnsi="Times New Roman"/>
                  <w:bCs/>
                  <w:caps w:val="0"/>
                  <w:szCs w:val="22"/>
                  <w:lang w:val="hu-HU" w:eastAsia="hu-HU"/>
                </w:rPr>
                <w:delText> </w:delText>
              </w:r>
              <w:r w:rsidRPr="00183B5F">
                <w:rPr>
                  <w:rFonts w:ascii="Times New Roman" w:hAnsi="Times New Roman"/>
                  <w:bCs/>
                  <w:caps w:val="0"/>
                  <w:szCs w:val="22"/>
                  <w:lang w:val="hu-HU" w:eastAsia="hu-HU"/>
                </w:rPr>
                <w:delText>hónapot követően</w:delText>
              </w:r>
            </w:del>
          </w:p>
          <w:p w14:paraId="703F197B" w14:textId="4EAC0E78" w:rsidR="00A518DE" w:rsidRPr="00183B5F" w:rsidRDefault="00A518DE" w:rsidP="004062FE">
            <w:pPr>
              <w:keepNext/>
              <w:spacing w:line="240" w:lineRule="auto"/>
              <w:jc w:val="center"/>
              <w:rPr>
                <w:del w:id="5784" w:author="AbbVie_HU_03" w:date="2025-05-14T15:27:00Z"/>
                <w:b/>
                <w:bCs/>
                <w:szCs w:val="22"/>
              </w:rPr>
            </w:pPr>
          </w:p>
        </w:tc>
      </w:tr>
      <w:tr w:rsidR="00011D2F" w14:paraId="2FFD6E9B" w14:textId="3FAA2504" w:rsidTr="0056242A">
        <w:trPr>
          <w:cantSplit/>
          <w:del w:id="5785" w:author="AbbVie_HU_03" w:date="2025-05-14T15:27:00Z"/>
        </w:trPr>
        <w:tc>
          <w:tcPr>
            <w:tcW w:w="2088" w:type="dxa"/>
            <w:tcBorders>
              <w:top w:val="single" w:sz="4" w:space="0" w:color="auto"/>
              <w:bottom w:val="single" w:sz="4" w:space="0" w:color="auto"/>
              <w:right w:val="single" w:sz="4" w:space="0" w:color="auto"/>
            </w:tcBorders>
          </w:tcPr>
          <w:p w14:paraId="7AD1311B" w14:textId="46D1ADB2" w:rsidR="00A518DE" w:rsidRPr="00183B5F" w:rsidRDefault="00A518DE" w:rsidP="004062FE">
            <w:pPr>
              <w:keepNext/>
              <w:spacing w:line="240" w:lineRule="auto"/>
              <w:jc w:val="center"/>
              <w:rPr>
                <w:del w:id="5786" w:author="AbbVie_HU_03" w:date="2025-05-14T15:27:00Z"/>
                <w:szCs w:val="22"/>
              </w:rPr>
            </w:pPr>
          </w:p>
        </w:tc>
        <w:tc>
          <w:tcPr>
            <w:tcW w:w="1430" w:type="dxa"/>
            <w:tcBorders>
              <w:top w:val="single" w:sz="4" w:space="0" w:color="auto"/>
              <w:left w:val="single" w:sz="4" w:space="0" w:color="auto"/>
              <w:bottom w:val="single" w:sz="4" w:space="0" w:color="auto"/>
              <w:right w:val="single" w:sz="4" w:space="0" w:color="auto"/>
            </w:tcBorders>
          </w:tcPr>
          <w:p w14:paraId="4655DD22" w14:textId="4E556515" w:rsidR="00A518DE" w:rsidRPr="00183B5F" w:rsidRDefault="00943743" w:rsidP="004062FE">
            <w:pPr>
              <w:keepNext/>
              <w:spacing w:line="240" w:lineRule="auto"/>
              <w:rPr>
                <w:del w:id="5787" w:author="AbbVie_HU_03" w:date="2025-05-14T15:27:00Z"/>
                <w:szCs w:val="22"/>
              </w:rPr>
            </w:pPr>
            <w:del w:id="5788" w:author="AbbVie_HU_03" w:date="2025-05-14T15:27:00Z">
              <w:r w:rsidRPr="00183B5F">
                <w:rPr>
                  <w:szCs w:val="22"/>
                </w:rPr>
                <w:delText>Placebo/</w:delText>
              </w:r>
            </w:del>
          </w:p>
          <w:p w14:paraId="671132CC" w14:textId="66F3664F" w:rsidR="00A518DE" w:rsidRPr="00183B5F" w:rsidRDefault="00943743" w:rsidP="004062FE">
            <w:pPr>
              <w:keepNext/>
              <w:spacing w:line="240" w:lineRule="auto"/>
              <w:rPr>
                <w:del w:id="5789" w:author="AbbVie_HU_03" w:date="2025-05-14T15:27:00Z"/>
                <w:szCs w:val="22"/>
                <w:vertAlign w:val="superscript"/>
              </w:rPr>
            </w:pPr>
            <w:del w:id="5790" w:author="AbbVie_HU_03" w:date="2025-05-14T15:27:00Z">
              <w:r w:rsidRPr="00183B5F">
                <w:rPr>
                  <w:szCs w:val="22"/>
                </w:rPr>
                <w:delText>MTX</w:delText>
              </w:r>
              <w:r w:rsidRPr="00183B5F">
                <w:rPr>
                  <w:szCs w:val="22"/>
                  <w:vertAlign w:val="superscript"/>
                </w:rPr>
                <w:delText>a</w:delText>
              </w:r>
            </w:del>
          </w:p>
        </w:tc>
        <w:tc>
          <w:tcPr>
            <w:tcW w:w="1790" w:type="dxa"/>
            <w:tcBorders>
              <w:top w:val="single" w:sz="4" w:space="0" w:color="auto"/>
              <w:left w:val="single" w:sz="4" w:space="0" w:color="auto"/>
              <w:bottom w:val="single" w:sz="4" w:space="0" w:color="auto"/>
              <w:right w:val="single" w:sz="4" w:space="0" w:color="auto"/>
            </w:tcBorders>
          </w:tcPr>
          <w:p w14:paraId="19D6A6F6" w14:textId="3EF02250" w:rsidR="00A518DE" w:rsidRPr="00183B5F" w:rsidRDefault="00943743" w:rsidP="004062FE">
            <w:pPr>
              <w:keepNext/>
              <w:spacing w:line="240" w:lineRule="auto"/>
              <w:jc w:val="center"/>
              <w:rPr>
                <w:del w:id="5791" w:author="AbbVie_HU_03" w:date="2025-05-14T15:27:00Z"/>
                <w:szCs w:val="22"/>
              </w:rPr>
            </w:pPr>
            <w:del w:id="5792" w:author="AbbVie_HU_03" w:date="2025-05-14T15:27:00Z">
              <w:r w:rsidRPr="00183B5F">
                <w:rPr>
                  <w:szCs w:val="22"/>
                </w:rPr>
                <w:delText>Humira/MTX</w:delText>
              </w:r>
            </w:del>
          </w:p>
          <w:p w14:paraId="5ACFDF97" w14:textId="351F39C5" w:rsidR="00A518DE" w:rsidRPr="00183B5F" w:rsidRDefault="00943743" w:rsidP="004062FE">
            <w:pPr>
              <w:keepNext/>
              <w:spacing w:line="240" w:lineRule="auto"/>
              <w:jc w:val="center"/>
              <w:rPr>
                <w:del w:id="5793" w:author="AbbVie_HU_03" w:date="2025-05-14T15:27:00Z"/>
                <w:szCs w:val="22"/>
              </w:rPr>
            </w:pPr>
            <w:del w:id="5794" w:author="AbbVie_HU_03" w:date="2025-05-14T15:27:00Z">
              <w:r w:rsidRPr="00183B5F">
                <w:rPr>
                  <w:szCs w:val="22"/>
                </w:rPr>
                <w:delText>40 mg kéthetente</w:delText>
              </w:r>
            </w:del>
          </w:p>
        </w:tc>
        <w:tc>
          <w:tcPr>
            <w:tcW w:w="2000" w:type="dxa"/>
            <w:tcBorders>
              <w:top w:val="single" w:sz="4" w:space="0" w:color="auto"/>
              <w:left w:val="single" w:sz="4" w:space="0" w:color="auto"/>
              <w:bottom w:val="single" w:sz="4" w:space="0" w:color="auto"/>
              <w:right w:val="single" w:sz="4" w:space="0" w:color="auto"/>
            </w:tcBorders>
          </w:tcPr>
          <w:p w14:paraId="73C194D8" w14:textId="6541DEE5" w:rsidR="00A518DE" w:rsidRPr="00183B5F" w:rsidRDefault="00943743" w:rsidP="004062FE">
            <w:pPr>
              <w:keepNext/>
              <w:spacing w:line="240" w:lineRule="auto"/>
              <w:jc w:val="center"/>
              <w:rPr>
                <w:del w:id="5795" w:author="AbbVie_HU_03" w:date="2025-05-14T15:27:00Z"/>
                <w:szCs w:val="22"/>
              </w:rPr>
            </w:pPr>
            <w:del w:id="5796" w:author="AbbVie_HU_03" w:date="2025-05-14T15:27:00Z">
              <w:r w:rsidRPr="00183B5F">
                <w:rPr>
                  <w:szCs w:val="22"/>
                </w:rPr>
                <w:delText>Placebo/MTX-</w:delText>
              </w:r>
              <w:r w:rsidR="00E15744" w:rsidRPr="00183B5F">
                <w:rPr>
                  <w:szCs w:val="22"/>
                </w:rPr>
                <w:delText>Humira</w:delText>
              </w:r>
              <w:r w:rsidRPr="00183B5F">
                <w:rPr>
                  <w:szCs w:val="22"/>
                </w:rPr>
                <w:delText>/MTX (95%-os konfidencia intervallum)</w:delText>
              </w:r>
              <w:r w:rsidR="00116852" w:rsidRPr="00183B5F">
                <w:rPr>
                  <w:szCs w:val="22"/>
                  <w:vertAlign w:val="superscript"/>
                </w:rPr>
                <w:delText xml:space="preserve"> b</w:delText>
              </w:r>
            </w:del>
          </w:p>
          <w:p w14:paraId="64781F5F" w14:textId="2B10D29B" w:rsidR="00A518DE" w:rsidRPr="00183B5F" w:rsidRDefault="00A518DE" w:rsidP="004062FE">
            <w:pPr>
              <w:keepNext/>
              <w:spacing w:line="240" w:lineRule="auto"/>
              <w:jc w:val="center"/>
              <w:rPr>
                <w:del w:id="5797" w:author="AbbVie_HU_03" w:date="2025-05-14T15:27:00Z"/>
                <w:szCs w:val="22"/>
              </w:rPr>
            </w:pPr>
          </w:p>
        </w:tc>
        <w:tc>
          <w:tcPr>
            <w:tcW w:w="1548" w:type="dxa"/>
            <w:tcBorders>
              <w:top w:val="single" w:sz="4" w:space="0" w:color="auto"/>
              <w:left w:val="single" w:sz="4" w:space="0" w:color="auto"/>
              <w:bottom w:val="single" w:sz="4" w:space="0" w:color="auto"/>
            </w:tcBorders>
          </w:tcPr>
          <w:p w14:paraId="6F5877EB" w14:textId="391A43DC" w:rsidR="00A518DE" w:rsidRPr="00183B5F" w:rsidRDefault="00943743" w:rsidP="004062FE">
            <w:pPr>
              <w:keepNext/>
              <w:spacing w:line="240" w:lineRule="auto"/>
              <w:jc w:val="center"/>
              <w:rPr>
                <w:del w:id="5798" w:author="AbbVie_HU_03" w:date="2025-05-14T15:27:00Z"/>
                <w:szCs w:val="22"/>
              </w:rPr>
            </w:pPr>
            <w:del w:id="5799" w:author="AbbVie_HU_03" w:date="2025-05-14T15:27:00Z">
              <w:r w:rsidRPr="00183B5F">
                <w:rPr>
                  <w:szCs w:val="22"/>
                </w:rPr>
                <w:delText>p-érték</w:delText>
              </w:r>
            </w:del>
          </w:p>
        </w:tc>
      </w:tr>
      <w:tr w:rsidR="00011D2F" w14:paraId="088A663B" w14:textId="5847D8FF" w:rsidTr="0056242A">
        <w:trPr>
          <w:cantSplit/>
          <w:del w:id="5800" w:author="AbbVie_HU_03" w:date="2025-05-14T15:27:00Z"/>
        </w:trPr>
        <w:tc>
          <w:tcPr>
            <w:tcW w:w="2088" w:type="dxa"/>
            <w:tcBorders>
              <w:top w:val="single" w:sz="4" w:space="0" w:color="auto"/>
              <w:bottom w:val="single" w:sz="4" w:space="0" w:color="auto"/>
              <w:right w:val="single" w:sz="4" w:space="0" w:color="auto"/>
            </w:tcBorders>
          </w:tcPr>
          <w:p w14:paraId="2888EA14" w14:textId="071EDA52" w:rsidR="00A518DE" w:rsidRPr="00183B5F" w:rsidRDefault="00943743" w:rsidP="004062FE">
            <w:pPr>
              <w:keepNext/>
              <w:spacing w:line="240" w:lineRule="auto"/>
              <w:jc w:val="center"/>
              <w:rPr>
                <w:del w:id="5801" w:author="AbbVie_HU_03" w:date="2025-05-14T15:27:00Z"/>
                <w:szCs w:val="22"/>
              </w:rPr>
            </w:pPr>
            <w:del w:id="5802" w:author="AbbVie_HU_03" w:date="2025-05-14T15:27:00Z">
              <w:r w:rsidRPr="00183B5F">
                <w:rPr>
                  <w:szCs w:val="22"/>
                </w:rPr>
                <w:delText>Teljes Sharp</w:delText>
              </w:r>
              <w:r w:rsidR="005E4FD2" w:rsidRPr="00183B5F">
                <w:rPr>
                  <w:szCs w:val="22"/>
                </w:rPr>
                <w:delText>-</w:delText>
              </w:r>
              <w:r w:rsidRPr="00183B5F">
                <w:rPr>
                  <w:szCs w:val="22"/>
                </w:rPr>
                <w:delText>pontérték</w:delText>
              </w:r>
            </w:del>
          </w:p>
        </w:tc>
        <w:tc>
          <w:tcPr>
            <w:tcW w:w="1430" w:type="dxa"/>
            <w:tcBorders>
              <w:top w:val="single" w:sz="4" w:space="0" w:color="auto"/>
              <w:left w:val="single" w:sz="4" w:space="0" w:color="auto"/>
              <w:bottom w:val="single" w:sz="4" w:space="0" w:color="auto"/>
              <w:right w:val="single" w:sz="4" w:space="0" w:color="auto"/>
            </w:tcBorders>
          </w:tcPr>
          <w:p w14:paraId="2788DCD4" w14:textId="2F1D3BC5" w:rsidR="00A518DE" w:rsidRPr="00183B5F" w:rsidRDefault="00943743" w:rsidP="004062FE">
            <w:pPr>
              <w:keepNext/>
              <w:spacing w:line="240" w:lineRule="auto"/>
              <w:jc w:val="center"/>
              <w:rPr>
                <w:del w:id="5803" w:author="AbbVie_HU_03" w:date="2025-05-14T15:27:00Z"/>
                <w:szCs w:val="22"/>
              </w:rPr>
            </w:pPr>
            <w:del w:id="5804" w:author="AbbVie_HU_03" w:date="2025-05-14T15:27:00Z">
              <w:r w:rsidRPr="00183B5F">
                <w:rPr>
                  <w:szCs w:val="22"/>
                </w:rPr>
                <w:delText>2,7</w:delText>
              </w:r>
            </w:del>
          </w:p>
        </w:tc>
        <w:tc>
          <w:tcPr>
            <w:tcW w:w="1790" w:type="dxa"/>
            <w:tcBorders>
              <w:top w:val="single" w:sz="4" w:space="0" w:color="auto"/>
              <w:left w:val="single" w:sz="4" w:space="0" w:color="auto"/>
              <w:bottom w:val="single" w:sz="4" w:space="0" w:color="auto"/>
              <w:right w:val="single" w:sz="4" w:space="0" w:color="auto"/>
            </w:tcBorders>
          </w:tcPr>
          <w:p w14:paraId="488C8981" w14:textId="597F5013" w:rsidR="00A518DE" w:rsidRPr="00183B5F" w:rsidRDefault="00943743" w:rsidP="004062FE">
            <w:pPr>
              <w:keepNext/>
              <w:spacing w:line="240" w:lineRule="auto"/>
              <w:jc w:val="center"/>
              <w:rPr>
                <w:del w:id="5805" w:author="AbbVie_HU_03" w:date="2025-05-14T15:27:00Z"/>
                <w:szCs w:val="22"/>
              </w:rPr>
            </w:pPr>
            <w:del w:id="5806" w:author="AbbVie_HU_03" w:date="2025-05-14T15:27:00Z">
              <w:r w:rsidRPr="00183B5F">
                <w:rPr>
                  <w:szCs w:val="22"/>
                </w:rPr>
                <w:delText>0,1</w:delText>
              </w:r>
            </w:del>
          </w:p>
        </w:tc>
        <w:tc>
          <w:tcPr>
            <w:tcW w:w="2000" w:type="dxa"/>
            <w:tcBorders>
              <w:top w:val="single" w:sz="4" w:space="0" w:color="auto"/>
              <w:left w:val="single" w:sz="4" w:space="0" w:color="auto"/>
              <w:bottom w:val="single" w:sz="4" w:space="0" w:color="auto"/>
              <w:right w:val="single" w:sz="4" w:space="0" w:color="auto"/>
            </w:tcBorders>
          </w:tcPr>
          <w:p w14:paraId="5284078F" w14:textId="299BC8C3" w:rsidR="00A518DE" w:rsidRPr="00183B5F" w:rsidRDefault="00943743">
            <w:pPr>
              <w:keepNext/>
              <w:spacing w:line="240" w:lineRule="auto"/>
              <w:jc w:val="center"/>
              <w:rPr>
                <w:del w:id="5807" w:author="AbbVie_HU_03" w:date="2025-05-14T15:27:00Z"/>
                <w:szCs w:val="22"/>
              </w:rPr>
            </w:pPr>
            <w:del w:id="5808" w:author="AbbVie_HU_03" w:date="2025-05-14T15:27:00Z">
              <w:r w:rsidRPr="00183B5F">
                <w:rPr>
                  <w:szCs w:val="22"/>
                </w:rPr>
                <w:delText>2,6 (1,4</w:delText>
              </w:r>
              <w:r w:rsidR="00116852" w:rsidRPr="00183B5F">
                <w:rPr>
                  <w:szCs w:val="22"/>
                </w:rPr>
                <w:delText>;</w:delText>
              </w:r>
              <w:r w:rsidRPr="00183B5F">
                <w:rPr>
                  <w:szCs w:val="22"/>
                </w:rPr>
                <w:delText xml:space="preserve"> 3,8) </w:delText>
              </w:r>
            </w:del>
          </w:p>
        </w:tc>
        <w:tc>
          <w:tcPr>
            <w:tcW w:w="1548" w:type="dxa"/>
            <w:tcBorders>
              <w:top w:val="single" w:sz="4" w:space="0" w:color="auto"/>
              <w:left w:val="single" w:sz="4" w:space="0" w:color="auto"/>
              <w:bottom w:val="single" w:sz="4" w:space="0" w:color="auto"/>
            </w:tcBorders>
          </w:tcPr>
          <w:p w14:paraId="2E22CFCB" w14:textId="786510F1" w:rsidR="00A518DE" w:rsidRPr="00183B5F" w:rsidRDefault="00943743" w:rsidP="004062FE">
            <w:pPr>
              <w:keepNext/>
              <w:spacing w:line="240" w:lineRule="auto"/>
              <w:jc w:val="center"/>
              <w:rPr>
                <w:del w:id="5809" w:author="AbbVie_HU_03" w:date="2025-05-14T15:27:00Z"/>
                <w:szCs w:val="22"/>
                <w:vertAlign w:val="superscript"/>
              </w:rPr>
            </w:pPr>
            <w:del w:id="5810" w:author="AbbVie_HU_03" w:date="2025-05-14T15:27:00Z">
              <w:r w:rsidRPr="00183B5F">
                <w:rPr>
                  <w:szCs w:val="22"/>
                </w:rPr>
                <w:delText>&lt; 0,001</w:delText>
              </w:r>
              <w:r w:rsidRPr="00183B5F">
                <w:rPr>
                  <w:szCs w:val="22"/>
                  <w:vertAlign w:val="superscript"/>
                </w:rPr>
                <w:delText>c</w:delText>
              </w:r>
            </w:del>
          </w:p>
        </w:tc>
      </w:tr>
      <w:tr w:rsidR="00011D2F" w14:paraId="200EB155" w14:textId="35F3B1D9" w:rsidTr="0056242A">
        <w:trPr>
          <w:cantSplit/>
          <w:del w:id="5811" w:author="AbbVie_HU_03" w:date="2025-05-14T15:27:00Z"/>
        </w:trPr>
        <w:tc>
          <w:tcPr>
            <w:tcW w:w="2088" w:type="dxa"/>
            <w:tcBorders>
              <w:top w:val="single" w:sz="4" w:space="0" w:color="auto"/>
              <w:bottom w:val="single" w:sz="4" w:space="0" w:color="auto"/>
              <w:right w:val="single" w:sz="4" w:space="0" w:color="auto"/>
            </w:tcBorders>
          </w:tcPr>
          <w:p w14:paraId="4080A3D9" w14:textId="16A9E271" w:rsidR="00A518DE" w:rsidRPr="00183B5F" w:rsidRDefault="00943743" w:rsidP="004062FE">
            <w:pPr>
              <w:spacing w:line="240" w:lineRule="auto"/>
              <w:jc w:val="center"/>
              <w:rPr>
                <w:del w:id="5812" w:author="AbbVie_HU_03" w:date="2025-05-14T15:27:00Z"/>
                <w:szCs w:val="22"/>
              </w:rPr>
            </w:pPr>
            <w:del w:id="5813" w:author="AbbVie_HU_03" w:date="2025-05-14T15:27:00Z">
              <w:r w:rsidRPr="00183B5F">
                <w:rPr>
                  <w:szCs w:val="22"/>
                </w:rPr>
                <w:delText>Eróziós pontérték</w:delText>
              </w:r>
            </w:del>
          </w:p>
          <w:p w14:paraId="221AA170" w14:textId="0E60B3FD" w:rsidR="00A518DE" w:rsidRPr="00183B5F" w:rsidRDefault="00A518DE" w:rsidP="004062FE">
            <w:pPr>
              <w:spacing w:line="240" w:lineRule="auto"/>
              <w:jc w:val="center"/>
              <w:rPr>
                <w:del w:id="5814" w:author="AbbVie_HU_03" w:date="2025-05-14T15:27:00Z"/>
                <w:szCs w:val="22"/>
              </w:rPr>
            </w:pPr>
          </w:p>
        </w:tc>
        <w:tc>
          <w:tcPr>
            <w:tcW w:w="1430" w:type="dxa"/>
            <w:tcBorders>
              <w:top w:val="single" w:sz="4" w:space="0" w:color="auto"/>
              <w:left w:val="single" w:sz="4" w:space="0" w:color="auto"/>
              <w:bottom w:val="single" w:sz="4" w:space="0" w:color="auto"/>
              <w:right w:val="single" w:sz="4" w:space="0" w:color="auto"/>
            </w:tcBorders>
          </w:tcPr>
          <w:p w14:paraId="72B004D9" w14:textId="3B561656" w:rsidR="00A518DE" w:rsidRPr="00183B5F" w:rsidRDefault="00943743" w:rsidP="004062FE">
            <w:pPr>
              <w:spacing w:line="240" w:lineRule="auto"/>
              <w:jc w:val="center"/>
              <w:rPr>
                <w:del w:id="5815" w:author="AbbVie_HU_03" w:date="2025-05-14T15:27:00Z"/>
                <w:szCs w:val="22"/>
              </w:rPr>
            </w:pPr>
            <w:del w:id="5816" w:author="AbbVie_HU_03" w:date="2025-05-14T15:27:00Z">
              <w:r w:rsidRPr="00183B5F">
                <w:rPr>
                  <w:szCs w:val="22"/>
                </w:rPr>
                <w:delText>1,6</w:delText>
              </w:r>
            </w:del>
          </w:p>
        </w:tc>
        <w:tc>
          <w:tcPr>
            <w:tcW w:w="1790" w:type="dxa"/>
            <w:tcBorders>
              <w:top w:val="single" w:sz="4" w:space="0" w:color="auto"/>
              <w:left w:val="single" w:sz="4" w:space="0" w:color="auto"/>
              <w:bottom w:val="single" w:sz="4" w:space="0" w:color="auto"/>
              <w:right w:val="single" w:sz="4" w:space="0" w:color="auto"/>
            </w:tcBorders>
          </w:tcPr>
          <w:p w14:paraId="65B6FDC1" w14:textId="51E8A1D9" w:rsidR="00A518DE" w:rsidRPr="00183B5F" w:rsidRDefault="00943743" w:rsidP="004062FE">
            <w:pPr>
              <w:spacing w:line="240" w:lineRule="auto"/>
              <w:jc w:val="center"/>
              <w:rPr>
                <w:del w:id="5817" w:author="AbbVie_HU_03" w:date="2025-05-14T15:27:00Z"/>
                <w:szCs w:val="22"/>
              </w:rPr>
            </w:pPr>
            <w:del w:id="5818" w:author="AbbVie_HU_03" w:date="2025-05-14T15:27:00Z">
              <w:r w:rsidRPr="00183B5F">
                <w:rPr>
                  <w:szCs w:val="22"/>
                </w:rPr>
                <w:delText>0,0</w:delText>
              </w:r>
            </w:del>
          </w:p>
        </w:tc>
        <w:tc>
          <w:tcPr>
            <w:tcW w:w="2000" w:type="dxa"/>
            <w:tcBorders>
              <w:top w:val="single" w:sz="4" w:space="0" w:color="auto"/>
              <w:left w:val="single" w:sz="4" w:space="0" w:color="auto"/>
              <w:bottom w:val="single" w:sz="4" w:space="0" w:color="auto"/>
              <w:right w:val="single" w:sz="4" w:space="0" w:color="auto"/>
            </w:tcBorders>
          </w:tcPr>
          <w:p w14:paraId="3831B7F2" w14:textId="25D03894" w:rsidR="00A518DE" w:rsidRPr="00183B5F" w:rsidRDefault="00943743" w:rsidP="004062FE">
            <w:pPr>
              <w:spacing w:line="240" w:lineRule="auto"/>
              <w:jc w:val="center"/>
              <w:rPr>
                <w:del w:id="5819" w:author="AbbVie_HU_03" w:date="2025-05-14T15:27:00Z"/>
                <w:szCs w:val="22"/>
              </w:rPr>
            </w:pPr>
            <w:del w:id="5820" w:author="AbbVie_HU_03" w:date="2025-05-14T15:27:00Z">
              <w:r w:rsidRPr="00183B5F">
                <w:rPr>
                  <w:szCs w:val="22"/>
                </w:rPr>
                <w:delText>1,6 (0,9</w:delText>
              </w:r>
              <w:r w:rsidR="00116852" w:rsidRPr="00183B5F">
                <w:rPr>
                  <w:szCs w:val="22"/>
                </w:rPr>
                <w:delText>;</w:delText>
              </w:r>
              <w:r w:rsidRPr="00183B5F">
                <w:rPr>
                  <w:szCs w:val="22"/>
                </w:rPr>
                <w:delText xml:space="preserve"> 2,2)</w:delText>
              </w:r>
            </w:del>
          </w:p>
        </w:tc>
        <w:tc>
          <w:tcPr>
            <w:tcW w:w="1548" w:type="dxa"/>
            <w:tcBorders>
              <w:top w:val="single" w:sz="4" w:space="0" w:color="auto"/>
              <w:left w:val="single" w:sz="4" w:space="0" w:color="auto"/>
              <w:bottom w:val="single" w:sz="4" w:space="0" w:color="auto"/>
            </w:tcBorders>
          </w:tcPr>
          <w:p w14:paraId="666A88CB" w14:textId="59F5636A" w:rsidR="00A518DE" w:rsidRPr="00183B5F" w:rsidRDefault="00943743" w:rsidP="004062FE">
            <w:pPr>
              <w:spacing w:line="240" w:lineRule="auto"/>
              <w:jc w:val="center"/>
              <w:rPr>
                <w:del w:id="5821" w:author="AbbVie_HU_03" w:date="2025-05-14T15:27:00Z"/>
                <w:szCs w:val="22"/>
              </w:rPr>
            </w:pPr>
            <w:del w:id="5822" w:author="AbbVie_HU_03" w:date="2025-05-14T15:27:00Z">
              <w:r w:rsidRPr="00183B5F">
                <w:rPr>
                  <w:szCs w:val="22"/>
                </w:rPr>
                <w:delText>&lt; 0,001</w:delText>
              </w:r>
            </w:del>
          </w:p>
        </w:tc>
      </w:tr>
      <w:tr w:rsidR="00011D2F" w14:paraId="0366523D" w14:textId="2408A51B" w:rsidTr="0056242A">
        <w:trPr>
          <w:cantSplit/>
          <w:del w:id="5823" w:author="AbbVie_HU_03" w:date="2025-05-14T15:27:00Z"/>
        </w:trPr>
        <w:tc>
          <w:tcPr>
            <w:tcW w:w="2088" w:type="dxa"/>
            <w:tcBorders>
              <w:top w:val="single" w:sz="4" w:space="0" w:color="auto"/>
              <w:bottom w:val="single" w:sz="4" w:space="0" w:color="auto"/>
              <w:right w:val="single" w:sz="4" w:space="0" w:color="auto"/>
            </w:tcBorders>
          </w:tcPr>
          <w:p w14:paraId="6EB5DEB2" w14:textId="1F2F2046" w:rsidR="00A518DE" w:rsidRPr="00183B5F" w:rsidRDefault="00943743" w:rsidP="004062FE">
            <w:pPr>
              <w:spacing w:line="240" w:lineRule="auto"/>
              <w:jc w:val="center"/>
              <w:rPr>
                <w:del w:id="5824" w:author="AbbVie_HU_03" w:date="2025-05-14T15:27:00Z"/>
                <w:szCs w:val="22"/>
                <w:vertAlign w:val="superscript"/>
              </w:rPr>
            </w:pPr>
            <w:del w:id="5825" w:author="AbbVie_HU_03" w:date="2025-05-14T15:27:00Z">
              <w:r w:rsidRPr="00183B5F">
                <w:rPr>
                  <w:szCs w:val="22"/>
                </w:rPr>
                <w:delText>JSN</w:delText>
              </w:r>
              <w:r w:rsidRPr="00183B5F">
                <w:rPr>
                  <w:szCs w:val="22"/>
                  <w:vertAlign w:val="superscript"/>
                </w:rPr>
                <w:delText>d</w:delText>
              </w:r>
              <w:r w:rsidR="005E4FD2" w:rsidRPr="00183B5F">
                <w:rPr>
                  <w:szCs w:val="22"/>
                </w:rPr>
                <w:delText>-</w:delText>
              </w:r>
              <w:r w:rsidRPr="00183B5F">
                <w:rPr>
                  <w:szCs w:val="22"/>
                </w:rPr>
                <w:delText>pontérték</w:delText>
              </w:r>
            </w:del>
          </w:p>
          <w:p w14:paraId="522D442E" w14:textId="6DF5D8D8" w:rsidR="00A518DE" w:rsidRPr="00183B5F" w:rsidRDefault="00A518DE" w:rsidP="004062FE">
            <w:pPr>
              <w:spacing w:line="240" w:lineRule="auto"/>
              <w:jc w:val="center"/>
              <w:rPr>
                <w:del w:id="5826" w:author="AbbVie_HU_03" w:date="2025-05-14T15:27:00Z"/>
                <w:szCs w:val="22"/>
              </w:rPr>
            </w:pPr>
          </w:p>
        </w:tc>
        <w:tc>
          <w:tcPr>
            <w:tcW w:w="1430" w:type="dxa"/>
            <w:tcBorders>
              <w:top w:val="single" w:sz="4" w:space="0" w:color="auto"/>
              <w:left w:val="single" w:sz="4" w:space="0" w:color="auto"/>
              <w:bottom w:val="single" w:sz="4" w:space="0" w:color="auto"/>
              <w:right w:val="single" w:sz="4" w:space="0" w:color="auto"/>
            </w:tcBorders>
          </w:tcPr>
          <w:p w14:paraId="2D9D79BF" w14:textId="3550B371" w:rsidR="00A518DE" w:rsidRPr="00183B5F" w:rsidRDefault="00943743" w:rsidP="004062FE">
            <w:pPr>
              <w:spacing w:line="240" w:lineRule="auto"/>
              <w:jc w:val="center"/>
              <w:rPr>
                <w:del w:id="5827" w:author="AbbVie_HU_03" w:date="2025-05-14T15:27:00Z"/>
                <w:szCs w:val="22"/>
              </w:rPr>
            </w:pPr>
            <w:del w:id="5828" w:author="AbbVie_HU_03" w:date="2025-05-14T15:27:00Z">
              <w:r w:rsidRPr="00183B5F">
                <w:rPr>
                  <w:szCs w:val="22"/>
                </w:rPr>
                <w:delText>1,0</w:delText>
              </w:r>
            </w:del>
          </w:p>
        </w:tc>
        <w:tc>
          <w:tcPr>
            <w:tcW w:w="1790" w:type="dxa"/>
            <w:tcBorders>
              <w:top w:val="single" w:sz="4" w:space="0" w:color="auto"/>
              <w:left w:val="single" w:sz="4" w:space="0" w:color="auto"/>
              <w:bottom w:val="single" w:sz="4" w:space="0" w:color="auto"/>
              <w:right w:val="single" w:sz="4" w:space="0" w:color="auto"/>
            </w:tcBorders>
          </w:tcPr>
          <w:p w14:paraId="0D54507C" w14:textId="5CAA6137" w:rsidR="00A518DE" w:rsidRPr="00183B5F" w:rsidRDefault="00943743" w:rsidP="004062FE">
            <w:pPr>
              <w:spacing w:line="240" w:lineRule="auto"/>
              <w:jc w:val="center"/>
              <w:rPr>
                <w:del w:id="5829" w:author="AbbVie_HU_03" w:date="2025-05-14T15:27:00Z"/>
                <w:szCs w:val="22"/>
              </w:rPr>
            </w:pPr>
            <w:del w:id="5830" w:author="AbbVie_HU_03" w:date="2025-05-14T15:27:00Z">
              <w:r w:rsidRPr="00183B5F">
                <w:rPr>
                  <w:szCs w:val="22"/>
                </w:rPr>
                <w:delText>0,1</w:delText>
              </w:r>
            </w:del>
          </w:p>
        </w:tc>
        <w:tc>
          <w:tcPr>
            <w:tcW w:w="2000" w:type="dxa"/>
            <w:tcBorders>
              <w:top w:val="single" w:sz="4" w:space="0" w:color="auto"/>
              <w:left w:val="single" w:sz="4" w:space="0" w:color="auto"/>
              <w:bottom w:val="single" w:sz="4" w:space="0" w:color="auto"/>
              <w:right w:val="single" w:sz="4" w:space="0" w:color="auto"/>
            </w:tcBorders>
          </w:tcPr>
          <w:p w14:paraId="76A04C15" w14:textId="50525D1B" w:rsidR="00A518DE" w:rsidRPr="00183B5F" w:rsidRDefault="00943743" w:rsidP="004062FE">
            <w:pPr>
              <w:spacing w:line="240" w:lineRule="auto"/>
              <w:jc w:val="center"/>
              <w:rPr>
                <w:del w:id="5831" w:author="AbbVie_HU_03" w:date="2025-05-14T15:27:00Z"/>
                <w:szCs w:val="22"/>
              </w:rPr>
            </w:pPr>
            <w:del w:id="5832" w:author="AbbVie_HU_03" w:date="2025-05-14T15:27:00Z">
              <w:r w:rsidRPr="00183B5F">
                <w:rPr>
                  <w:szCs w:val="22"/>
                </w:rPr>
                <w:delText>0,9 (0,3</w:delText>
              </w:r>
              <w:r w:rsidR="00116852" w:rsidRPr="00183B5F">
                <w:rPr>
                  <w:szCs w:val="22"/>
                </w:rPr>
                <w:delText>;</w:delText>
              </w:r>
              <w:r w:rsidRPr="00183B5F">
                <w:rPr>
                  <w:szCs w:val="22"/>
                </w:rPr>
                <w:delText xml:space="preserve"> 1,4)</w:delText>
              </w:r>
            </w:del>
          </w:p>
        </w:tc>
        <w:tc>
          <w:tcPr>
            <w:tcW w:w="1548" w:type="dxa"/>
            <w:tcBorders>
              <w:top w:val="single" w:sz="4" w:space="0" w:color="auto"/>
              <w:left w:val="single" w:sz="4" w:space="0" w:color="auto"/>
              <w:bottom w:val="single" w:sz="4" w:space="0" w:color="auto"/>
            </w:tcBorders>
          </w:tcPr>
          <w:p w14:paraId="7E93B3D1" w14:textId="349DC7D9" w:rsidR="00A518DE" w:rsidRPr="00183B5F" w:rsidRDefault="00943743" w:rsidP="004062FE">
            <w:pPr>
              <w:spacing w:line="240" w:lineRule="auto"/>
              <w:jc w:val="center"/>
              <w:rPr>
                <w:del w:id="5833" w:author="AbbVie_HU_03" w:date="2025-05-14T15:27:00Z"/>
                <w:szCs w:val="22"/>
              </w:rPr>
            </w:pPr>
            <w:del w:id="5834" w:author="AbbVie_HU_03" w:date="2025-05-14T15:27:00Z">
              <w:r w:rsidRPr="00183B5F">
                <w:rPr>
                  <w:szCs w:val="22"/>
                </w:rPr>
                <w:delText>0,002</w:delText>
              </w:r>
            </w:del>
          </w:p>
        </w:tc>
      </w:tr>
    </w:tbl>
    <w:p w14:paraId="076DA4A3" w14:textId="2CECCC1A" w:rsidR="00A518DE" w:rsidRPr="00183B5F" w:rsidRDefault="00943743" w:rsidP="004062FE">
      <w:pPr>
        <w:pStyle w:val="In-textfootnote"/>
        <w:keepNext w:val="0"/>
        <w:spacing w:before="0" w:line="240" w:lineRule="auto"/>
        <w:rPr>
          <w:del w:id="5835" w:author="AbbVie_HU_03" w:date="2025-05-14T15:27:00Z"/>
          <w:rFonts w:ascii="Times New Roman" w:hAnsi="Times New Roman"/>
          <w:sz w:val="22"/>
          <w:szCs w:val="22"/>
          <w:lang w:val="hu-HU"/>
        </w:rPr>
      </w:pPr>
      <w:del w:id="5836" w:author="AbbVie_HU_03" w:date="2025-05-14T15:27:00Z">
        <w:r w:rsidRPr="00183B5F">
          <w:rPr>
            <w:rFonts w:ascii="Times New Roman" w:hAnsi="Times New Roman"/>
            <w:b/>
            <w:bCs/>
            <w:sz w:val="22"/>
            <w:szCs w:val="22"/>
            <w:vertAlign w:val="superscript"/>
            <w:lang w:val="hu-HU"/>
          </w:rPr>
          <w:delText>a</w:delText>
        </w:r>
        <w:r w:rsidRPr="00183B5F">
          <w:rPr>
            <w:rFonts w:ascii="Times New Roman" w:hAnsi="Times New Roman"/>
            <w:sz w:val="22"/>
            <w:szCs w:val="22"/>
            <w:lang w:val="hu-HU"/>
          </w:rPr>
          <w:delText>metotrexát</w:delText>
        </w:r>
      </w:del>
    </w:p>
    <w:p w14:paraId="1451B6B7" w14:textId="720F3DC5" w:rsidR="00A518DE" w:rsidRPr="00183B5F" w:rsidRDefault="00943743" w:rsidP="004062FE">
      <w:pPr>
        <w:pStyle w:val="In-textfootnote"/>
        <w:keepNext w:val="0"/>
        <w:spacing w:before="0" w:line="240" w:lineRule="auto"/>
        <w:rPr>
          <w:del w:id="5837" w:author="AbbVie_HU_03" w:date="2025-05-14T15:27:00Z"/>
          <w:rFonts w:ascii="Times New Roman" w:hAnsi="Times New Roman"/>
          <w:sz w:val="22"/>
          <w:szCs w:val="22"/>
          <w:lang w:val="hu-HU"/>
        </w:rPr>
      </w:pPr>
      <w:del w:id="5838" w:author="AbbVie_HU_03" w:date="2025-05-14T15:27:00Z">
        <w:r w:rsidRPr="00183B5F">
          <w:rPr>
            <w:rFonts w:ascii="Times New Roman" w:hAnsi="Times New Roman"/>
            <w:sz w:val="22"/>
            <w:szCs w:val="22"/>
            <w:vertAlign w:val="superscript"/>
            <w:lang w:val="hu-HU"/>
          </w:rPr>
          <w:delText>b</w:delText>
        </w:r>
        <w:r w:rsidRPr="00183B5F">
          <w:rPr>
            <w:rFonts w:ascii="Times New Roman" w:hAnsi="Times New Roman"/>
            <w:sz w:val="22"/>
            <w:szCs w:val="22"/>
            <w:lang w:val="hu-HU"/>
          </w:rPr>
          <w:delText>95%</w:delText>
        </w:r>
        <w:r w:rsidR="007621E0" w:rsidRPr="00183B5F">
          <w:rPr>
            <w:rFonts w:ascii="Times New Roman" w:hAnsi="Times New Roman"/>
            <w:sz w:val="22"/>
            <w:szCs w:val="22"/>
            <w:lang w:val="hu-HU"/>
          </w:rPr>
          <w:noBreakHyphen/>
        </w:r>
        <w:r w:rsidRPr="00183B5F">
          <w:rPr>
            <w:rFonts w:ascii="Times New Roman" w:hAnsi="Times New Roman"/>
            <w:sz w:val="22"/>
            <w:szCs w:val="22"/>
            <w:lang w:val="hu-HU"/>
          </w:rPr>
          <w:delText xml:space="preserve">os konfidencia intervallum a metotrexát és a Humira </w:delText>
        </w:r>
        <w:r w:rsidR="00116852" w:rsidRPr="00183B5F">
          <w:rPr>
            <w:rFonts w:ascii="Times New Roman" w:hAnsi="Times New Roman"/>
            <w:sz w:val="22"/>
            <w:szCs w:val="22"/>
            <w:lang w:val="hu-HU"/>
          </w:rPr>
          <w:delText>pontértékeinek</w:delText>
        </w:r>
        <w:r w:rsidRPr="00183B5F">
          <w:rPr>
            <w:rFonts w:ascii="Times New Roman" w:hAnsi="Times New Roman"/>
            <w:sz w:val="22"/>
            <w:szCs w:val="22"/>
            <w:lang w:val="hu-HU"/>
          </w:rPr>
          <w:delText xml:space="preserve"> változása közötti különbségre</w:delText>
        </w:r>
      </w:del>
    </w:p>
    <w:p w14:paraId="1DDB587C" w14:textId="12103054" w:rsidR="00A518DE" w:rsidRPr="00183B5F" w:rsidRDefault="00943743" w:rsidP="004062FE">
      <w:pPr>
        <w:pStyle w:val="In-textfootnote"/>
        <w:keepNext w:val="0"/>
        <w:spacing w:before="0" w:line="240" w:lineRule="auto"/>
        <w:rPr>
          <w:del w:id="5839" w:author="AbbVie_HU_03" w:date="2025-05-14T15:27:00Z"/>
          <w:rFonts w:ascii="Times New Roman" w:hAnsi="Times New Roman"/>
          <w:sz w:val="22"/>
          <w:szCs w:val="22"/>
          <w:lang w:val="hu-HU"/>
        </w:rPr>
      </w:pPr>
      <w:del w:id="5840" w:author="AbbVie_HU_03" w:date="2025-05-14T15:27:00Z">
        <w:r w:rsidRPr="00183B5F">
          <w:rPr>
            <w:rFonts w:ascii="Times New Roman" w:hAnsi="Times New Roman"/>
            <w:sz w:val="22"/>
            <w:szCs w:val="22"/>
            <w:vertAlign w:val="superscript"/>
            <w:lang w:val="hu-HU"/>
          </w:rPr>
          <w:delText>c</w:delText>
        </w:r>
        <w:r w:rsidRPr="00183B5F">
          <w:rPr>
            <w:rFonts w:ascii="Times New Roman" w:hAnsi="Times New Roman"/>
            <w:sz w:val="22"/>
            <w:szCs w:val="22"/>
            <w:lang w:val="hu-HU"/>
          </w:rPr>
          <w:delText>rank anal</w:delText>
        </w:r>
        <w:r w:rsidR="00116852" w:rsidRPr="00183B5F">
          <w:rPr>
            <w:rFonts w:ascii="Times New Roman" w:hAnsi="Times New Roman"/>
            <w:sz w:val="22"/>
            <w:szCs w:val="22"/>
            <w:lang w:val="hu-HU"/>
          </w:rPr>
          <w:delText>í</w:delText>
        </w:r>
        <w:r w:rsidRPr="00183B5F">
          <w:rPr>
            <w:rFonts w:ascii="Times New Roman" w:hAnsi="Times New Roman"/>
            <w:sz w:val="22"/>
            <w:szCs w:val="22"/>
            <w:lang w:val="hu-HU"/>
          </w:rPr>
          <w:delText>zis alapján</w:delText>
        </w:r>
      </w:del>
    </w:p>
    <w:p w14:paraId="02DE43E6" w14:textId="6AD6050C" w:rsidR="00A518DE" w:rsidRPr="00183B5F" w:rsidRDefault="00943743" w:rsidP="004062FE">
      <w:pPr>
        <w:pStyle w:val="In-textfootnote"/>
        <w:keepNext w:val="0"/>
        <w:spacing w:before="0" w:line="240" w:lineRule="auto"/>
        <w:rPr>
          <w:del w:id="5841" w:author="AbbVie_HU_03" w:date="2025-05-14T15:27:00Z"/>
          <w:rFonts w:ascii="Times New Roman" w:hAnsi="Times New Roman"/>
          <w:sz w:val="22"/>
          <w:szCs w:val="22"/>
          <w:lang w:val="hu-HU"/>
        </w:rPr>
      </w:pPr>
      <w:del w:id="5842" w:author="AbbVie_HU_03" w:date="2025-05-14T15:27:00Z">
        <w:r w:rsidRPr="00183B5F">
          <w:rPr>
            <w:rFonts w:ascii="Times New Roman" w:hAnsi="Times New Roman"/>
            <w:sz w:val="22"/>
            <w:szCs w:val="22"/>
            <w:vertAlign w:val="superscript"/>
            <w:lang w:val="hu-HU"/>
          </w:rPr>
          <w:delText>d</w:delText>
        </w:r>
        <w:r w:rsidRPr="00183B5F">
          <w:rPr>
            <w:rFonts w:ascii="Times New Roman" w:hAnsi="Times New Roman"/>
            <w:sz w:val="22"/>
            <w:szCs w:val="22"/>
            <w:lang w:val="hu-HU"/>
          </w:rPr>
          <w:delText>Ízületi rés beszűkülése (JS</w:delText>
        </w:r>
        <w:r w:rsidR="00C04A4A" w:rsidRPr="00183B5F">
          <w:rPr>
            <w:rFonts w:ascii="Times New Roman" w:hAnsi="Times New Roman"/>
            <w:sz w:val="22"/>
            <w:szCs w:val="22"/>
            <w:lang w:val="hu-HU"/>
          </w:rPr>
          <w:delText>N</w:delText>
        </w:r>
        <w:r w:rsidRPr="00183B5F">
          <w:rPr>
            <w:rFonts w:ascii="Times New Roman" w:hAnsi="Times New Roman"/>
            <w:sz w:val="22"/>
            <w:szCs w:val="22"/>
            <w:lang w:val="hu-HU"/>
          </w:rPr>
          <w:delText>-Joint Space Narrowing)</w:delText>
        </w:r>
      </w:del>
    </w:p>
    <w:p w14:paraId="23DF8089" w14:textId="2F8C7DB8" w:rsidR="00FB6710" w:rsidRPr="00183B5F" w:rsidRDefault="00FB6710" w:rsidP="004062FE">
      <w:pPr>
        <w:spacing w:line="240" w:lineRule="auto"/>
        <w:rPr>
          <w:del w:id="5843" w:author="AbbVie_HU_03" w:date="2025-05-14T15:27:00Z"/>
          <w:szCs w:val="22"/>
        </w:rPr>
      </w:pPr>
    </w:p>
    <w:p w14:paraId="5052C12B" w14:textId="2DDE65B2" w:rsidR="00FB6710" w:rsidRPr="00183B5F" w:rsidRDefault="00943743" w:rsidP="004062FE">
      <w:pPr>
        <w:pStyle w:val="In-textfootnote"/>
        <w:keepNext w:val="0"/>
        <w:spacing w:before="0" w:line="240" w:lineRule="auto"/>
        <w:rPr>
          <w:del w:id="5844" w:author="AbbVie_HU_03" w:date="2025-05-14T15:27:00Z"/>
          <w:rFonts w:ascii="Times New Roman" w:hAnsi="Times New Roman"/>
          <w:sz w:val="22"/>
          <w:szCs w:val="22"/>
          <w:lang w:val="hu-HU"/>
        </w:rPr>
      </w:pPr>
      <w:del w:id="5845" w:author="AbbVie_HU_03" w:date="2025-05-14T15:27:00Z">
        <w:r w:rsidRPr="00183B5F">
          <w:rPr>
            <w:rFonts w:ascii="Times New Roman" w:hAnsi="Times New Roman"/>
            <w:sz w:val="22"/>
            <w:szCs w:val="22"/>
            <w:lang w:val="hu-HU"/>
          </w:rPr>
          <w:delText>Az RA</w:delText>
        </w:r>
        <w:r w:rsidR="00F41CB0" w:rsidRPr="00183B5F">
          <w:rPr>
            <w:rFonts w:ascii="Times New Roman" w:hAnsi="Times New Roman"/>
            <w:sz w:val="22"/>
            <w:szCs w:val="22"/>
            <w:lang w:val="hu-HU"/>
          </w:rPr>
          <w:delText> </w:delText>
        </w:r>
        <w:r w:rsidRPr="00183B5F">
          <w:rPr>
            <w:rFonts w:ascii="Times New Roman" w:hAnsi="Times New Roman"/>
            <w:sz w:val="22"/>
            <w:szCs w:val="22"/>
            <w:lang w:val="hu-HU"/>
          </w:rPr>
          <w:delText xml:space="preserve">V vizsgálatban az ízületi károsodást radiológiailag is </w:delText>
        </w:r>
        <w:r w:rsidR="00116852" w:rsidRPr="00183B5F">
          <w:rPr>
            <w:rFonts w:ascii="Times New Roman" w:hAnsi="Times New Roman"/>
            <w:sz w:val="22"/>
            <w:szCs w:val="22"/>
            <w:lang w:val="hu-HU"/>
          </w:rPr>
          <w:delText>értékelték</w:delText>
        </w:r>
        <w:r w:rsidRPr="00183B5F">
          <w:rPr>
            <w:rFonts w:ascii="Times New Roman" w:hAnsi="Times New Roman"/>
            <w:sz w:val="22"/>
            <w:szCs w:val="22"/>
            <w:lang w:val="hu-HU"/>
          </w:rPr>
          <w:delText xml:space="preserve"> és módosított teljes Sharp</w:delText>
        </w:r>
        <w:r w:rsidR="005E4FD2" w:rsidRPr="00183B5F">
          <w:rPr>
            <w:rFonts w:ascii="Times New Roman" w:hAnsi="Times New Roman"/>
            <w:sz w:val="22"/>
            <w:szCs w:val="22"/>
            <w:lang w:val="hu-HU"/>
          </w:rPr>
          <w:delText>-</w:delText>
        </w:r>
        <w:r w:rsidRPr="00183B5F">
          <w:rPr>
            <w:rFonts w:ascii="Times New Roman" w:hAnsi="Times New Roman"/>
            <w:sz w:val="22"/>
            <w:szCs w:val="22"/>
            <w:lang w:val="hu-HU"/>
          </w:rPr>
          <w:delText xml:space="preserve">pontokban fejezték ki (lásd </w:delText>
        </w:r>
        <w:r w:rsidR="00EE34AD" w:rsidRPr="00183B5F">
          <w:rPr>
            <w:rFonts w:ascii="Times New Roman" w:hAnsi="Times New Roman"/>
            <w:sz w:val="22"/>
            <w:szCs w:val="22"/>
            <w:lang w:val="hu-HU"/>
          </w:rPr>
          <w:delText>11</w:delText>
        </w:r>
        <w:r w:rsidRPr="00183B5F">
          <w:rPr>
            <w:rFonts w:ascii="Times New Roman" w:hAnsi="Times New Roman"/>
            <w:sz w:val="22"/>
            <w:szCs w:val="22"/>
            <w:lang w:val="hu-HU"/>
          </w:rPr>
          <w:delText>.</w:delText>
        </w:r>
        <w:r w:rsidR="006A0A63" w:rsidRPr="00183B5F">
          <w:rPr>
            <w:rFonts w:ascii="Times New Roman" w:hAnsi="Times New Roman"/>
            <w:sz w:val="22"/>
            <w:szCs w:val="22"/>
            <w:lang w:val="hu-HU"/>
          </w:rPr>
          <w:delText> </w:delText>
        </w:r>
        <w:r w:rsidRPr="00183B5F">
          <w:rPr>
            <w:rFonts w:ascii="Times New Roman" w:hAnsi="Times New Roman"/>
            <w:sz w:val="22"/>
            <w:szCs w:val="22"/>
            <w:lang w:val="hu-HU"/>
          </w:rPr>
          <w:delText>tábl</w:delText>
        </w:r>
        <w:r w:rsidR="00E107ED" w:rsidRPr="00183B5F">
          <w:rPr>
            <w:rFonts w:ascii="Times New Roman" w:hAnsi="Times New Roman"/>
            <w:sz w:val="22"/>
            <w:szCs w:val="22"/>
            <w:lang w:val="hu-HU"/>
          </w:rPr>
          <w:delText>ázat</w:delText>
        </w:r>
        <w:r w:rsidRPr="00183B5F">
          <w:rPr>
            <w:rFonts w:ascii="Times New Roman" w:hAnsi="Times New Roman"/>
            <w:sz w:val="22"/>
            <w:szCs w:val="22"/>
            <w:lang w:val="hu-HU"/>
          </w:rPr>
          <w:delText>).</w:delText>
        </w:r>
      </w:del>
    </w:p>
    <w:p w14:paraId="11C95E59" w14:textId="47F01C61" w:rsidR="00126112" w:rsidRPr="00183B5F" w:rsidRDefault="00126112" w:rsidP="004062FE">
      <w:pPr>
        <w:pStyle w:val="In-textfootnote"/>
        <w:keepNext w:val="0"/>
        <w:spacing w:before="0" w:line="240" w:lineRule="auto"/>
        <w:rPr>
          <w:del w:id="5846" w:author="AbbVie_HU_03" w:date="2025-05-14T15:27:00Z"/>
          <w:rFonts w:ascii="Times New Roman" w:hAnsi="Times New Roman"/>
          <w:sz w:val="22"/>
          <w:szCs w:val="22"/>
          <w:lang w:val="hu-HU"/>
        </w:rPr>
      </w:pPr>
    </w:p>
    <w:p w14:paraId="753539FF" w14:textId="7995774C" w:rsidR="00C1029B" w:rsidRPr="00183B5F" w:rsidRDefault="00943743" w:rsidP="004062FE">
      <w:pPr>
        <w:pStyle w:val="In-textfootnote"/>
        <w:suppressAutoHyphens/>
        <w:overflowPunct/>
        <w:autoSpaceDE/>
        <w:autoSpaceDN/>
        <w:adjustRightInd/>
        <w:spacing w:before="0" w:line="240" w:lineRule="auto"/>
        <w:ind w:left="0" w:firstLine="0"/>
        <w:jc w:val="center"/>
        <w:textAlignment w:val="auto"/>
        <w:rPr>
          <w:del w:id="5847" w:author="AbbVie_HU_03" w:date="2025-05-14T15:27:00Z"/>
          <w:rFonts w:ascii="Times New Roman" w:hAnsi="Times New Roman"/>
          <w:b/>
          <w:bCs/>
          <w:sz w:val="22"/>
          <w:szCs w:val="22"/>
          <w:lang w:val="hu-HU"/>
        </w:rPr>
      </w:pPr>
      <w:del w:id="5848" w:author="AbbVie_HU_03" w:date="2025-05-14T15:27:00Z">
        <w:r w:rsidRPr="00183B5F">
          <w:rPr>
            <w:rFonts w:ascii="Times New Roman" w:hAnsi="Times New Roman"/>
            <w:b/>
            <w:bCs/>
            <w:sz w:val="22"/>
            <w:szCs w:val="22"/>
            <w:lang w:val="hu-HU"/>
          </w:rPr>
          <w:delText>11</w:delText>
        </w:r>
        <w:r w:rsidR="00FB6710" w:rsidRPr="00183B5F">
          <w:rPr>
            <w:rFonts w:ascii="Times New Roman" w:hAnsi="Times New Roman"/>
            <w:b/>
            <w:bCs/>
            <w:sz w:val="22"/>
            <w:szCs w:val="22"/>
            <w:lang w:val="hu-HU"/>
          </w:rPr>
          <w:delText>.</w:delText>
        </w:r>
        <w:r w:rsidR="006A0A63" w:rsidRPr="00183B5F">
          <w:rPr>
            <w:rFonts w:ascii="Times New Roman" w:hAnsi="Times New Roman"/>
            <w:b/>
            <w:bCs/>
            <w:sz w:val="22"/>
            <w:szCs w:val="22"/>
            <w:lang w:val="hu-HU"/>
          </w:rPr>
          <w:delText> </w:delText>
        </w:r>
        <w:r w:rsidR="00FB6710" w:rsidRPr="00183B5F">
          <w:rPr>
            <w:rFonts w:ascii="Times New Roman" w:hAnsi="Times New Roman"/>
            <w:b/>
            <w:bCs/>
            <w:sz w:val="22"/>
            <w:szCs w:val="22"/>
            <w:lang w:val="hu-HU"/>
          </w:rPr>
          <w:delText xml:space="preserve">táblázat </w:delText>
        </w:r>
      </w:del>
    </w:p>
    <w:p w14:paraId="15FED849" w14:textId="6C2906B7" w:rsidR="00FB6710" w:rsidRPr="00183B5F" w:rsidRDefault="00943743" w:rsidP="004062FE">
      <w:pPr>
        <w:pStyle w:val="In-textfootnote"/>
        <w:suppressAutoHyphens/>
        <w:overflowPunct/>
        <w:autoSpaceDE/>
        <w:autoSpaceDN/>
        <w:adjustRightInd/>
        <w:spacing w:before="0" w:line="240" w:lineRule="auto"/>
        <w:ind w:left="0" w:firstLine="0"/>
        <w:jc w:val="center"/>
        <w:textAlignment w:val="auto"/>
        <w:rPr>
          <w:del w:id="5849" w:author="AbbVie_HU_03" w:date="2025-05-14T15:27:00Z"/>
          <w:rFonts w:ascii="Times New Roman" w:hAnsi="Times New Roman"/>
          <w:b/>
          <w:bCs/>
          <w:sz w:val="22"/>
          <w:szCs w:val="22"/>
          <w:lang w:val="hu-HU"/>
        </w:rPr>
      </w:pPr>
      <w:del w:id="5850" w:author="AbbVie_HU_03" w:date="2025-05-14T15:27:00Z">
        <w:r w:rsidRPr="00183B5F">
          <w:rPr>
            <w:rFonts w:ascii="Times New Roman" w:hAnsi="Times New Roman"/>
            <w:b/>
            <w:bCs/>
            <w:sz w:val="22"/>
            <w:szCs w:val="22"/>
            <w:lang w:val="hu-HU"/>
          </w:rPr>
          <w:delText>Átlagos radiológiai változások az 52.</w:delText>
        </w:r>
        <w:r w:rsidR="00A44DB6" w:rsidRPr="00183B5F">
          <w:rPr>
            <w:rFonts w:ascii="Times New Roman" w:hAnsi="Times New Roman"/>
            <w:b/>
            <w:bCs/>
            <w:sz w:val="22"/>
            <w:szCs w:val="22"/>
            <w:lang w:val="hu-HU"/>
          </w:rPr>
          <w:delText> hét</w:delText>
        </w:r>
        <w:r w:rsidRPr="00183B5F">
          <w:rPr>
            <w:rFonts w:ascii="Times New Roman" w:hAnsi="Times New Roman"/>
            <w:b/>
            <w:bCs/>
            <w:sz w:val="22"/>
            <w:szCs w:val="22"/>
            <w:lang w:val="hu-HU"/>
          </w:rPr>
          <w:delText>en az RA</w:delText>
        </w:r>
        <w:r w:rsidR="00F41CB0" w:rsidRPr="00183B5F">
          <w:rPr>
            <w:rFonts w:ascii="Times New Roman" w:hAnsi="Times New Roman"/>
            <w:b/>
            <w:bCs/>
            <w:sz w:val="22"/>
            <w:szCs w:val="22"/>
            <w:lang w:val="hu-HU"/>
          </w:rPr>
          <w:delText> </w:delText>
        </w:r>
        <w:r w:rsidRPr="00183B5F">
          <w:rPr>
            <w:rFonts w:ascii="Times New Roman" w:hAnsi="Times New Roman"/>
            <w:b/>
            <w:bCs/>
            <w:sz w:val="22"/>
            <w:szCs w:val="22"/>
            <w:lang w:val="hu-HU"/>
          </w:rPr>
          <w:delText>V vizsgálatban</w:delText>
        </w:r>
      </w:del>
    </w:p>
    <w:p w14:paraId="6CBC2AAE" w14:textId="7CF37DE8" w:rsidR="00FB6710" w:rsidRPr="00183B5F" w:rsidRDefault="00FB6710" w:rsidP="004062FE">
      <w:pPr>
        <w:keepNext/>
        <w:spacing w:line="240" w:lineRule="auto"/>
        <w:rPr>
          <w:del w:id="5851" w:author="AbbVie_HU_03" w:date="2025-05-14T15:27:00Z"/>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8"/>
        <w:gridCol w:w="1319"/>
        <w:gridCol w:w="1319"/>
        <w:gridCol w:w="1439"/>
        <w:gridCol w:w="1242"/>
        <w:gridCol w:w="1232"/>
        <w:gridCol w:w="1242"/>
      </w:tblGrid>
      <w:tr w:rsidR="00011D2F" w14:paraId="337AB293" w14:textId="0861643D">
        <w:trPr>
          <w:del w:id="5852" w:author="AbbVie_HU_03" w:date="2025-05-14T15:27:00Z"/>
        </w:trPr>
        <w:tc>
          <w:tcPr>
            <w:tcW w:w="1303" w:type="dxa"/>
          </w:tcPr>
          <w:p w14:paraId="09BE3DF7" w14:textId="24322EFC" w:rsidR="00FB6710" w:rsidRPr="00183B5F" w:rsidRDefault="00FB6710" w:rsidP="004062FE">
            <w:pPr>
              <w:keepNext/>
              <w:spacing w:line="240" w:lineRule="auto"/>
              <w:rPr>
                <w:del w:id="5853" w:author="AbbVie_HU_03" w:date="2025-05-14T15:27:00Z"/>
                <w:szCs w:val="22"/>
              </w:rPr>
            </w:pPr>
          </w:p>
        </w:tc>
        <w:tc>
          <w:tcPr>
            <w:tcW w:w="1322" w:type="dxa"/>
          </w:tcPr>
          <w:p w14:paraId="625BDDCF" w14:textId="511F7F6D" w:rsidR="00FB6710" w:rsidRPr="00183B5F" w:rsidRDefault="00943743" w:rsidP="004062FE">
            <w:pPr>
              <w:keepNext/>
              <w:spacing w:line="240" w:lineRule="auto"/>
              <w:rPr>
                <w:del w:id="5854" w:author="AbbVie_HU_03" w:date="2025-05-14T15:27:00Z"/>
                <w:szCs w:val="22"/>
              </w:rPr>
            </w:pPr>
            <w:del w:id="5855" w:author="AbbVie_HU_03" w:date="2025-05-14T15:27:00Z">
              <w:r w:rsidRPr="00183B5F">
                <w:rPr>
                  <w:szCs w:val="22"/>
                </w:rPr>
                <w:delText>MTX n</w:delText>
              </w:r>
              <w:r w:rsidR="003F64BC" w:rsidRPr="00183B5F">
                <w:rPr>
                  <w:szCs w:val="22"/>
                </w:rPr>
                <w:delText> </w:delText>
              </w:r>
              <w:r w:rsidRPr="00183B5F">
                <w:rPr>
                  <w:szCs w:val="22"/>
                </w:rPr>
                <w:delText>=</w:delText>
              </w:r>
              <w:r w:rsidR="003F64BC" w:rsidRPr="00183B5F">
                <w:rPr>
                  <w:szCs w:val="22"/>
                </w:rPr>
                <w:delText> </w:delText>
              </w:r>
              <w:r w:rsidRPr="00183B5F">
                <w:rPr>
                  <w:szCs w:val="22"/>
                </w:rPr>
                <w:delText>257 (95%-os konfidencia intervallum)</w:delText>
              </w:r>
            </w:del>
          </w:p>
        </w:tc>
        <w:tc>
          <w:tcPr>
            <w:tcW w:w="1322" w:type="dxa"/>
          </w:tcPr>
          <w:p w14:paraId="79592710" w14:textId="4A2E1B0E" w:rsidR="00FB6710" w:rsidRPr="00183B5F" w:rsidRDefault="00943743" w:rsidP="004062FE">
            <w:pPr>
              <w:keepNext/>
              <w:spacing w:line="240" w:lineRule="auto"/>
              <w:rPr>
                <w:del w:id="5856" w:author="AbbVie_HU_03" w:date="2025-05-14T15:27:00Z"/>
                <w:szCs w:val="22"/>
              </w:rPr>
            </w:pPr>
            <w:del w:id="5857" w:author="AbbVie_HU_03" w:date="2025-05-14T15:27:00Z">
              <w:r w:rsidRPr="00183B5F">
                <w:rPr>
                  <w:szCs w:val="22"/>
                </w:rPr>
                <w:delText>Humira n</w:delText>
              </w:r>
              <w:r w:rsidR="003F64BC" w:rsidRPr="00183B5F">
                <w:rPr>
                  <w:szCs w:val="22"/>
                </w:rPr>
                <w:delText> </w:delText>
              </w:r>
              <w:r w:rsidRPr="00183B5F">
                <w:rPr>
                  <w:szCs w:val="22"/>
                </w:rPr>
                <w:delText>=</w:delText>
              </w:r>
              <w:r w:rsidR="003F64BC" w:rsidRPr="00183B5F">
                <w:rPr>
                  <w:szCs w:val="22"/>
                </w:rPr>
                <w:delText> </w:delText>
              </w:r>
              <w:r w:rsidRPr="00183B5F">
                <w:rPr>
                  <w:szCs w:val="22"/>
                </w:rPr>
                <w:delText>274 (9</w:delText>
              </w:r>
              <w:r w:rsidR="00116852" w:rsidRPr="00183B5F">
                <w:rPr>
                  <w:szCs w:val="22"/>
                </w:rPr>
                <w:delText>5</w:delText>
              </w:r>
              <w:r w:rsidRPr="00183B5F">
                <w:rPr>
                  <w:szCs w:val="22"/>
                </w:rPr>
                <w:delText>%-os konfidencia intervallum)</w:delText>
              </w:r>
            </w:del>
          </w:p>
        </w:tc>
        <w:tc>
          <w:tcPr>
            <w:tcW w:w="1439" w:type="dxa"/>
          </w:tcPr>
          <w:p w14:paraId="6C3C7AFC" w14:textId="53661DBD" w:rsidR="00FB6710" w:rsidRPr="00183B5F" w:rsidRDefault="00943743" w:rsidP="004062FE">
            <w:pPr>
              <w:keepNext/>
              <w:spacing w:line="240" w:lineRule="auto"/>
              <w:rPr>
                <w:del w:id="5858" w:author="AbbVie_HU_03" w:date="2025-05-14T15:27:00Z"/>
                <w:szCs w:val="22"/>
              </w:rPr>
            </w:pPr>
            <w:del w:id="5859" w:author="AbbVie_HU_03" w:date="2025-05-14T15:27:00Z">
              <w:r w:rsidRPr="00183B5F">
                <w:rPr>
                  <w:szCs w:val="22"/>
                </w:rPr>
                <w:delText>Humira/MTX n</w:delText>
              </w:r>
              <w:r w:rsidR="003F64BC" w:rsidRPr="00183B5F">
                <w:rPr>
                  <w:szCs w:val="22"/>
                </w:rPr>
                <w:delText> </w:delText>
              </w:r>
              <w:r w:rsidRPr="00183B5F">
                <w:rPr>
                  <w:szCs w:val="22"/>
                </w:rPr>
                <w:delText>=</w:delText>
              </w:r>
              <w:r w:rsidR="003F64BC" w:rsidRPr="00183B5F">
                <w:rPr>
                  <w:szCs w:val="22"/>
                </w:rPr>
                <w:delText> </w:delText>
              </w:r>
              <w:r w:rsidRPr="00183B5F">
                <w:rPr>
                  <w:szCs w:val="22"/>
                </w:rPr>
                <w:delText>268 (95%-os konfidencia intervallum)</w:delText>
              </w:r>
            </w:del>
          </w:p>
        </w:tc>
        <w:tc>
          <w:tcPr>
            <w:tcW w:w="1300" w:type="dxa"/>
          </w:tcPr>
          <w:p w14:paraId="6746FE38" w14:textId="0B55C514" w:rsidR="00FB6710" w:rsidRPr="00183B5F" w:rsidRDefault="00943743" w:rsidP="004062FE">
            <w:pPr>
              <w:keepNext/>
              <w:spacing w:line="240" w:lineRule="auto"/>
              <w:rPr>
                <w:del w:id="5860" w:author="AbbVie_HU_03" w:date="2025-05-14T15:27:00Z"/>
                <w:szCs w:val="22"/>
              </w:rPr>
            </w:pPr>
            <w:del w:id="5861" w:author="AbbVie_HU_03" w:date="2025-05-14T15:27:00Z">
              <w:r w:rsidRPr="00183B5F">
                <w:rPr>
                  <w:szCs w:val="22"/>
                </w:rPr>
                <w:delText xml:space="preserve">p-érték </w:delText>
              </w:r>
              <w:r w:rsidRPr="00183B5F">
                <w:rPr>
                  <w:szCs w:val="22"/>
                  <w:vertAlign w:val="superscript"/>
                </w:rPr>
                <w:delText>a</w:delText>
              </w:r>
            </w:del>
          </w:p>
        </w:tc>
        <w:tc>
          <w:tcPr>
            <w:tcW w:w="1299" w:type="dxa"/>
          </w:tcPr>
          <w:p w14:paraId="2993A11B" w14:textId="0283BF88" w:rsidR="00FB6710" w:rsidRPr="00183B5F" w:rsidRDefault="00943743" w:rsidP="004062FE">
            <w:pPr>
              <w:keepNext/>
              <w:spacing w:line="240" w:lineRule="auto"/>
              <w:rPr>
                <w:del w:id="5862" w:author="AbbVie_HU_03" w:date="2025-05-14T15:27:00Z"/>
                <w:szCs w:val="22"/>
              </w:rPr>
            </w:pPr>
            <w:del w:id="5863" w:author="AbbVie_HU_03" w:date="2025-05-14T15:27:00Z">
              <w:r w:rsidRPr="00183B5F">
                <w:rPr>
                  <w:szCs w:val="22"/>
                </w:rPr>
                <w:delText xml:space="preserve">p-érték </w:delText>
              </w:r>
              <w:r w:rsidRPr="00183B5F">
                <w:rPr>
                  <w:szCs w:val="22"/>
                  <w:vertAlign w:val="superscript"/>
                </w:rPr>
                <w:delText>b</w:delText>
              </w:r>
            </w:del>
          </w:p>
        </w:tc>
        <w:tc>
          <w:tcPr>
            <w:tcW w:w="1300" w:type="dxa"/>
          </w:tcPr>
          <w:p w14:paraId="1F985ED4" w14:textId="68BBD182" w:rsidR="00FB6710" w:rsidRPr="00183B5F" w:rsidRDefault="00943743" w:rsidP="004062FE">
            <w:pPr>
              <w:keepNext/>
              <w:spacing w:line="240" w:lineRule="auto"/>
              <w:rPr>
                <w:del w:id="5864" w:author="AbbVie_HU_03" w:date="2025-05-14T15:27:00Z"/>
                <w:szCs w:val="22"/>
              </w:rPr>
            </w:pPr>
            <w:del w:id="5865" w:author="AbbVie_HU_03" w:date="2025-05-14T15:27:00Z">
              <w:r w:rsidRPr="00183B5F">
                <w:rPr>
                  <w:szCs w:val="22"/>
                </w:rPr>
                <w:delText xml:space="preserve">p-érték </w:delText>
              </w:r>
              <w:r w:rsidRPr="00183B5F">
                <w:rPr>
                  <w:szCs w:val="22"/>
                  <w:vertAlign w:val="superscript"/>
                </w:rPr>
                <w:delText>c</w:delText>
              </w:r>
            </w:del>
          </w:p>
        </w:tc>
      </w:tr>
      <w:tr w:rsidR="00011D2F" w14:paraId="20F1537D" w14:textId="72CC9048">
        <w:trPr>
          <w:del w:id="5866" w:author="AbbVie_HU_03" w:date="2025-05-14T15:27:00Z"/>
        </w:trPr>
        <w:tc>
          <w:tcPr>
            <w:tcW w:w="1303" w:type="dxa"/>
          </w:tcPr>
          <w:p w14:paraId="052176CA" w14:textId="3A9FC815" w:rsidR="00FB6710" w:rsidRPr="00183B5F" w:rsidRDefault="00943743" w:rsidP="004062FE">
            <w:pPr>
              <w:keepNext/>
              <w:spacing w:line="240" w:lineRule="auto"/>
              <w:rPr>
                <w:del w:id="5867" w:author="AbbVie_HU_03" w:date="2025-05-14T15:27:00Z"/>
                <w:szCs w:val="22"/>
              </w:rPr>
            </w:pPr>
            <w:del w:id="5868" w:author="AbbVie_HU_03" w:date="2025-05-14T15:27:00Z">
              <w:r w:rsidRPr="00183B5F">
                <w:rPr>
                  <w:szCs w:val="22"/>
                </w:rPr>
                <w:delText>Teljes Sharp</w:delText>
              </w:r>
              <w:r w:rsidR="005E4FD2" w:rsidRPr="00183B5F">
                <w:rPr>
                  <w:szCs w:val="22"/>
                </w:rPr>
                <w:delText>-</w:delText>
              </w:r>
              <w:r w:rsidRPr="00183B5F">
                <w:rPr>
                  <w:szCs w:val="22"/>
                </w:rPr>
                <w:delText>pont</w:delText>
              </w:r>
              <w:r w:rsidR="00116852" w:rsidRPr="00183B5F">
                <w:rPr>
                  <w:szCs w:val="22"/>
                </w:rPr>
                <w:delText>érték</w:delText>
              </w:r>
            </w:del>
          </w:p>
        </w:tc>
        <w:tc>
          <w:tcPr>
            <w:tcW w:w="1322" w:type="dxa"/>
          </w:tcPr>
          <w:p w14:paraId="6FD6DE80" w14:textId="02B9DCBD" w:rsidR="00FB6710" w:rsidRPr="00183B5F" w:rsidRDefault="00943743" w:rsidP="004062FE">
            <w:pPr>
              <w:keepNext/>
              <w:spacing w:line="240" w:lineRule="auto"/>
              <w:rPr>
                <w:del w:id="5869" w:author="AbbVie_HU_03" w:date="2025-05-14T15:27:00Z"/>
                <w:szCs w:val="22"/>
              </w:rPr>
            </w:pPr>
            <w:del w:id="5870" w:author="AbbVie_HU_03" w:date="2025-05-14T15:27:00Z">
              <w:r w:rsidRPr="00183B5F">
                <w:rPr>
                  <w:szCs w:val="22"/>
                </w:rPr>
                <w:delText>5,7 (4,2-7,3)</w:delText>
              </w:r>
            </w:del>
          </w:p>
        </w:tc>
        <w:tc>
          <w:tcPr>
            <w:tcW w:w="1322" w:type="dxa"/>
          </w:tcPr>
          <w:p w14:paraId="2122BA68" w14:textId="10D4E7C5" w:rsidR="00FB6710" w:rsidRPr="00183B5F" w:rsidRDefault="00943743" w:rsidP="004062FE">
            <w:pPr>
              <w:keepNext/>
              <w:spacing w:line="240" w:lineRule="auto"/>
              <w:rPr>
                <w:del w:id="5871" w:author="AbbVie_HU_03" w:date="2025-05-14T15:27:00Z"/>
                <w:szCs w:val="22"/>
              </w:rPr>
            </w:pPr>
            <w:del w:id="5872" w:author="AbbVie_HU_03" w:date="2025-05-14T15:27:00Z">
              <w:r w:rsidRPr="00183B5F">
                <w:rPr>
                  <w:szCs w:val="22"/>
                </w:rPr>
                <w:delText>3,0 (1,7-4,3)</w:delText>
              </w:r>
            </w:del>
          </w:p>
        </w:tc>
        <w:tc>
          <w:tcPr>
            <w:tcW w:w="1439" w:type="dxa"/>
          </w:tcPr>
          <w:p w14:paraId="4C55DC75" w14:textId="7D3EE3C7" w:rsidR="00FB6710" w:rsidRPr="00183B5F" w:rsidRDefault="00943743" w:rsidP="004062FE">
            <w:pPr>
              <w:keepNext/>
              <w:spacing w:line="240" w:lineRule="auto"/>
              <w:rPr>
                <w:del w:id="5873" w:author="AbbVie_HU_03" w:date="2025-05-14T15:27:00Z"/>
                <w:szCs w:val="22"/>
              </w:rPr>
            </w:pPr>
            <w:del w:id="5874" w:author="AbbVie_HU_03" w:date="2025-05-14T15:27:00Z">
              <w:r w:rsidRPr="00183B5F">
                <w:rPr>
                  <w:szCs w:val="22"/>
                </w:rPr>
                <w:delText>1,3 (0,5-2,1)</w:delText>
              </w:r>
            </w:del>
          </w:p>
        </w:tc>
        <w:tc>
          <w:tcPr>
            <w:tcW w:w="1300" w:type="dxa"/>
          </w:tcPr>
          <w:p w14:paraId="14F74295" w14:textId="7292A455" w:rsidR="00FB6710" w:rsidRPr="00183B5F" w:rsidRDefault="00943743" w:rsidP="004062FE">
            <w:pPr>
              <w:keepNext/>
              <w:spacing w:line="240" w:lineRule="auto"/>
              <w:rPr>
                <w:del w:id="5875" w:author="AbbVie_HU_03" w:date="2025-05-14T15:27:00Z"/>
                <w:szCs w:val="22"/>
              </w:rPr>
            </w:pPr>
            <w:del w:id="5876" w:author="AbbVie_HU_03" w:date="2025-05-14T15:27:00Z">
              <w:r w:rsidRPr="00183B5F">
                <w:rPr>
                  <w:szCs w:val="22"/>
                </w:rPr>
                <w:delText>&lt; 0,001</w:delText>
              </w:r>
            </w:del>
          </w:p>
        </w:tc>
        <w:tc>
          <w:tcPr>
            <w:tcW w:w="1299" w:type="dxa"/>
          </w:tcPr>
          <w:p w14:paraId="6CC20BF1" w14:textId="56390C35" w:rsidR="00FB6710" w:rsidRPr="00183B5F" w:rsidRDefault="00943743" w:rsidP="004062FE">
            <w:pPr>
              <w:keepNext/>
              <w:spacing w:line="240" w:lineRule="auto"/>
              <w:rPr>
                <w:del w:id="5877" w:author="AbbVie_HU_03" w:date="2025-05-14T15:27:00Z"/>
                <w:szCs w:val="22"/>
              </w:rPr>
            </w:pPr>
            <w:del w:id="5878" w:author="AbbVie_HU_03" w:date="2025-05-14T15:27:00Z">
              <w:r w:rsidRPr="00183B5F">
                <w:rPr>
                  <w:szCs w:val="22"/>
                </w:rPr>
                <w:delText>0,0020</w:delText>
              </w:r>
            </w:del>
          </w:p>
        </w:tc>
        <w:tc>
          <w:tcPr>
            <w:tcW w:w="1300" w:type="dxa"/>
          </w:tcPr>
          <w:p w14:paraId="6B511722" w14:textId="4DE20452" w:rsidR="00FB6710" w:rsidRPr="00183B5F" w:rsidRDefault="00943743" w:rsidP="004062FE">
            <w:pPr>
              <w:keepNext/>
              <w:spacing w:line="240" w:lineRule="auto"/>
              <w:rPr>
                <w:del w:id="5879" w:author="AbbVie_HU_03" w:date="2025-05-14T15:27:00Z"/>
                <w:szCs w:val="22"/>
              </w:rPr>
            </w:pPr>
            <w:del w:id="5880" w:author="AbbVie_HU_03" w:date="2025-05-14T15:27:00Z">
              <w:r w:rsidRPr="00183B5F">
                <w:rPr>
                  <w:szCs w:val="22"/>
                </w:rPr>
                <w:delText>&lt; 0,001</w:delText>
              </w:r>
            </w:del>
          </w:p>
        </w:tc>
      </w:tr>
      <w:tr w:rsidR="00011D2F" w14:paraId="4D81BC2E" w14:textId="67A29D82">
        <w:trPr>
          <w:del w:id="5881" w:author="AbbVie_HU_03" w:date="2025-05-14T15:27:00Z"/>
        </w:trPr>
        <w:tc>
          <w:tcPr>
            <w:tcW w:w="1303" w:type="dxa"/>
          </w:tcPr>
          <w:p w14:paraId="651C97AF" w14:textId="2D1E45E0" w:rsidR="00FB6710" w:rsidRPr="00183B5F" w:rsidRDefault="00943743" w:rsidP="004062FE">
            <w:pPr>
              <w:keepNext/>
              <w:spacing w:line="240" w:lineRule="auto"/>
              <w:rPr>
                <w:del w:id="5882" w:author="AbbVie_HU_03" w:date="2025-05-14T15:27:00Z"/>
                <w:szCs w:val="22"/>
              </w:rPr>
            </w:pPr>
            <w:del w:id="5883" w:author="AbbVie_HU_03" w:date="2025-05-14T15:27:00Z">
              <w:r w:rsidRPr="00183B5F">
                <w:rPr>
                  <w:szCs w:val="22"/>
                </w:rPr>
                <w:delText>Eróziós pont</w:delText>
              </w:r>
              <w:r w:rsidR="00116852" w:rsidRPr="00183B5F">
                <w:rPr>
                  <w:szCs w:val="22"/>
                </w:rPr>
                <w:delText>érték</w:delText>
              </w:r>
            </w:del>
          </w:p>
        </w:tc>
        <w:tc>
          <w:tcPr>
            <w:tcW w:w="1322" w:type="dxa"/>
          </w:tcPr>
          <w:p w14:paraId="14F3F409" w14:textId="1D66F43A" w:rsidR="00FB6710" w:rsidRPr="00183B5F" w:rsidRDefault="00943743" w:rsidP="004062FE">
            <w:pPr>
              <w:keepNext/>
              <w:spacing w:line="240" w:lineRule="auto"/>
              <w:rPr>
                <w:del w:id="5884" w:author="AbbVie_HU_03" w:date="2025-05-14T15:27:00Z"/>
                <w:szCs w:val="22"/>
              </w:rPr>
            </w:pPr>
            <w:del w:id="5885" w:author="AbbVie_HU_03" w:date="2025-05-14T15:27:00Z">
              <w:r w:rsidRPr="00183B5F">
                <w:rPr>
                  <w:szCs w:val="22"/>
                </w:rPr>
                <w:delText>3,7 (2,7-4,7)</w:delText>
              </w:r>
            </w:del>
          </w:p>
        </w:tc>
        <w:tc>
          <w:tcPr>
            <w:tcW w:w="1322" w:type="dxa"/>
          </w:tcPr>
          <w:p w14:paraId="6DE5C07A" w14:textId="45031A26" w:rsidR="00FB6710" w:rsidRPr="00183B5F" w:rsidRDefault="00943743" w:rsidP="004062FE">
            <w:pPr>
              <w:keepNext/>
              <w:spacing w:line="240" w:lineRule="auto"/>
              <w:rPr>
                <w:del w:id="5886" w:author="AbbVie_HU_03" w:date="2025-05-14T15:27:00Z"/>
                <w:szCs w:val="22"/>
              </w:rPr>
            </w:pPr>
            <w:del w:id="5887" w:author="AbbVie_HU_03" w:date="2025-05-14T15:27:00Z">
              <w:r w:rsidRPr="00183B5F">
                <w:rPr>
                  <w:szCs w:val="22"/>
                </w:rPr>
                <w:delText>1,7 (1,0-2,4)</w:delText>
              </w:r>
            </w:del>
          </w:p>
        </w:tc>
        <w:tc>
          <w:tcPr>
            <w:tcW w:w="1439" w:type="dxa"/>
          </w:tcPr>
          <w:p w14:paraId="221605E7" w14:textId="1192AFB4" w:rsidR="00FB6710" w:rsidRPr="00183B5F" w:rsidRDefault="00943743" w:rsidP="004062FE">
            <w:pPr>
              <w:keepNext/>
              <w:spacing w:line="240" w:lineRule="auto"/>
              <w:rPr>
                <w:del w:id="5888" w:author="AbbVie_HU_03" w:date="2025-05-14T15:27:00Z"/>
                <w:szCs w:val="22"/>
              </w:rPr>
            </w:pPr>
            <w:del w:id="5889" w:author="AbbVie_HU_03" w:date="2025-05-14T15:27:00Z">
              <w:r w:rsidRPr="00183B5F">
                <w:rPr>
                  <w:szCs w:val="22"/>
                </w:rPr>
                <w:delText>0,8 (0,4-1,2)</w:delText>
              </w:r>
            </w:del>
          </w:p>
        </w:tc>
        <w:tc>
          <w:tcPr>
            <w:tcW w:w="1300" w:type="dxa"/>
          </w:tcPr>
          <w:p w14:paraId="41ED32E1" w14:textId="03F3FF88" w:rsidR="00FB6710" w:rsidRPr="00183B5F" w:rsidRDefault="00943743" w:rsidP="004062FE">
            <w:pPr>
              <w:keepNext/>
              <w:spacing w:line="240" w:lineRule="auto"/>
              <w:rPr>
                <w:del w:id="5890" w:author="AbbVie_HU_03" w:date="2025-05-14T15:27:00Z"/>
                <w:szCs w:val="22"/>
              </w:rPr>
            </w:pPr>
            <w:del w:id="5891" w:author="AbbVie_HU_03" w:date="2025-05-14T15:27:00Z">
              <w:r w:rsidRPr="00183B5F">
                <w:rPr>
                  <w:szCs w:val="22"/>
                </w:rPr>
                <w:delText>&lt; 0,001</w:delText>
              </w:r>
            </w:del>
          </w:p>
        </w:tc>
        <w:tc>
          <w:tcPr>
            <w:tcW w:w="1299" w:type="dxa"/>
          </w:tcPr>
          <w:p w14:paraId="43C5B1E9" w14:textId="5ED5E134" w:rsidR="00FB6710" w:rsidRPr="00183B5F" w:rsidRDefault="00943743" w:rsidP="004062FE">
            <w:pPr>
              <w:keepNext/>
              <w:spacing w:line="240" w:lineRule="auto"/>
              <w:rPr>
                <w:del w:id="5892" w:author="AbbVie_HU_03" w:date="2025-05-14T15:27:00Z"/>
                <w:szCs w:val="22"/>
              </w:rPr>
            </w:pPr>
            <w:del w:id="5893" w:author="AbbVie_HU_03" w:date="2025-05-14T15:27:00Z">
              <w:r w:rsidRPr="00183B5F">
                <w:rPr>
                  <w:szCs w:val="22"/>
                </w:rPr>
                <w:delText>0,0082</w:delText>
              </w:r>
            </w:del>
          </w:p>
        </w:tc>
        <w:tc>
          <w:tcPr>
            <w:tcW w:w="1300" w:type="dxa"/>
          </w:tcPr>
          <w:p w14:paraId="12471F20" w14:textId="3E449205" w:rsidR="00FB6710" w:rsidRPr="00183B5F" w:rsidRDefault="00943743" w:rsidP="004062FE">
            <w:pPr>
              <w:keepNext/>
              <w:spacing w:line="240" w:lineRule="auto"/>
              <w:rPr>
                <w:del w:id="5894" w:author="AbbVie_HU_03" w:date="2025-05-14T15:27:00Z"/>
                <w:szCs w:val="22"/>
              </w:rPr>
            </w:pPr>
            <w:del w:id="5895" w:author="AbbVie_HU_03" w:date="2025-05-14T15:27:00Z">
              <w:r w:rsidRPr="00183B5F">
                <w:rPr>
                  <w:szCs w:val="22"/>
                </w:rPr>
                <w:delText>&lt; 0,001</w:delText>
              </w:r>
            </w:del>
          </w:p>
        </w:tc>
      </w:tr>
      <w:tr w:rsidR="00011D2F" w14:paraId="44CADCBF" w14:textId="57731632">
        <w:trPr>
          <w:del w:id="5896" w:author="AbbVie_HU_03" w:date="2025-05-14T15:27:00Z"/>
        </w:trPr>
        <w:tc>
          <w:tcPr>
            <w:tcW w:w="1303" w:type="dxa"/>
          </w:tcPr>
          <w:p w14:paraId="051D1B56" w14:textId="728B6934" w:rsidR="00FB6710" w:rsidRPr="00183B5F" w:rsidRDefault="00943743" w:rsidP="004062FE">
            <w:pPr>
              <w:keepNext/>
              <w:spacing w:line="240" w:lineRule="auto"/>
              <w:rPr>
                <w:del w:id="5897" w:author="AbbVie_HU_03" w:date="2025-05-14T15:27:00Z"/>
                <w:szCs w:val="22"/>
              </w:rPr>
            </w:pPr>
            <w:del w:id="5898" w:author="AbbVie_HU_03" w:date="2025-05-14T15:27:00Z">
              <w:r w:rsidRPr="00183B5F">
                <w:rPr>
                  <w:szCs w:val="22"/>
                </w:rPr>
                <w:delText>JSN</w:delText>
              </w:r>
              <w:r w:rsidR="00095F2C" w:rsidRPr="00183B5F">
                <w:rPr>
                  <w:szCs w:val="22"/>
                </w:rPr>
                <w:delText>-</w:delText>
              </w:r>
              <w:r w:rsidRPr="00183B5F">
                <w:rPr>
                  <w:szCs w:val="22"/>
                </w:rPr>
                <w:delText>pont</w:delText>
              </w:r>
              <w:r w:rsidR="00116852" w:rsidRPr="00183B5F">
                <w:rPr>
                  <w:szCs w:val="22"/>
                </w:rPr>
                <w:delText>érték</w:delText>
              </w:r>
            </w:del>
          </w:p>
        </w:tc>
        <w:tc>
          <w:tcPr>
            <w:tcW w:w="1322" w:type="dxa"/>
          </w:tcPr>
          <w:p w14:paraId="48AE77ED" w14:textId="3BC30E91" w:rsidR="00FB6710" w:rsidRPr="00183B5F" w:rsidRDefault="00943743" w:rsidP="004062FE">
            <w:pPr>
              <w:keepNext/>
              <w:spacing w:line="240" w:lineRule="auto"/>
              <w:rPr>
                <w:del w:id="5899" w:author="AbbVie_HU_03" w:date="2025-05-14T15:27:00Z"/>
                <w:szCs w:val="22"/>
              </w:rPr>
            </w:pPr>
            <w:del w:id="5900" w:author="AbbVie_HU_03" w:date="2025-05-14T15:27:00Z">
              <w:r w:rsidRPr="00183B5F">
                <w:rPr>
                  <w:szCs w:val="22"/>
                </w:rPr>
                <w:delText>2,0 (1,2-2,8)</w:delText>
              </w:r>
            </w:del>
          </w:p>
        </w:tc>
        <w:tc>
          <w:tcPr>
            <w:tcW w:w="1322" w:type="dxa"/>
          </w:tcPr>
          <w:p w14:paraId="683B9616" w14:textId="79CAE89C" w:rsidR="00FB6710" w:rsidRPr="00183B5F" w:rsidRDefault="00943743" w:rsidP="004062FE">
            <w:pPr>
              <w:keepNext/>
              <w:spacing w:line="240" w:lineRule="auto"/>
              <w:rPr>
                <w:del w:id="5901" w:author="AbbVie_HU_03" w:date="2025-05-14T15:27:00Z"/>
                <w:szCs w:val="22"/>
              </w:rPr>
            </w:pPr>
            <w:del w:id="5902" w:author="AbbVie_HU_03" w:date="2025-05-14T15:27:00Z">
              <w:r w:rsidRPr="00183B5F">
                <w:rPr>
                  <w:szCs w:val="22"/>
                </w:rPr>
                <w:delText>1,3 (0,5-2,1)</w:delText>
              </w:r>
            </w:del>
          </w:p>
        </w:tc>
        <w:tc>
          <w:tcPr>
            <w:tcW w:w="1439" w:type="dxa"/>
          </w:tcPr>
          <w:p w14:paraId="50F9C5C6" w14:textId="645FBDFC" w:rsidR="00FB6710" w:rsidRPr="00183B5F" w:rsidRDefault="00943743" w:rsidP="004062FE">
            <w:pPr>
              <w:keepNext/>
              <w:spacing w:line="240" w:lineRule="auto"/>
              <w:rPr>
                <w:del w:id="5903" w:author="AbbVie_HU_03" w:date="2025-05-14T15:27:00Z"/>
                <w:szCs w:val="22"/>
              </w:rPr>
            </w:pPr>
            <w:del w:id="5904" w:author="AbbVie_HU_03" w:date="2025-05-14T15:27:00Z">
              <w:r w:rsidRPr="00183B5F">
                <w:rPr>
                  <w:szCs w:val="22"/>
                </w:rPr>
                <w:delText>0,5 (0-1,0)</w:delText>
              </w:r>
            </w:del>
          </w:p>
        </w:tc>
        <w:tc>
          <w:tcPr>
            <w:tcW w:w="1300" w:type="dxa"/>
          </w:tcPr>
          <w:p w14:paraId="19251978" w14:textId="01500C54" w:rsidR="00FB6710" w:rsidRPr="00183B5F" w:rsidRDefault="00943743" w:rsidP="004062FE">
            <w:pPr>
              <w:keepNext/>
              <w:spacing w:line="240" w:lineRule="auto"/>
              <w:rPr>
                <w:del w:id="5905" w:author="AbbVie_HU_03" w:date="2025-05-14T15:27:00Z"/>
                <w:szCs w:val="22"/>
              </w:rPr>
            </w:pPr>
            <w:del w:id="5906" w:author="AbbVie_HU_03" w:date="2025-05-14T15:27:00Z">
              <w:r w:rsidRPr="00183B5F">
                <w:rPr>
                  <w:szCs w:val="22"/>
                </w:rPr>
                <w:delText>&lt; 0,001</w:delText>
              </w:r>
            </w:del>
          </w:p>
        </w:tc>
        <w:tc>
          <w:tcPr>
            <w:tcW w:w="1299" w:type="dxa"/>
          </w:tcPr>
          <w:p w14:paraId="3F4ED095" w14:textId="4A638222" w:rsidR="00FB6710" w:rsidRPr="00183B5F" w:rsidRDefault="00943743" w:rsidP="004062FE">
            <w:pPr>
              <w:keepNext/>
              <w:spacing w:line="240" w:lineRule="auto"/>
              <w:rPr>
                <w:del w:id="5907" w:author="AbbVie_HU_03" w:date="2025-05-14T15:27:00Z"/>
                <w:szCs w:val="22"/>
              </w:rPr>
            </w:pPr>
            <w:del w:id="5908" w:author="AbbVie_HU_03" w:date="2025-05-14T15:27:00Z">
              <w:r w:rsidRPr="00183B5F">
                <w:rPr>
                  <w:szCs w:val="22"/>
                </w:rPr>
                <w:delText>0,0037</w:delText>
              </w:r>
            </w:del>
          </w:p>
        </w:tc>
        <w:tc>
          <w:tcPr>
            <w:tcW w:w="1300" w:type="dxa"/>
          </w:tcPr>
          <w:p w14:paraId="4DA4C29D" w14:textId="797D5000" w:rsidR="00FB6710" w:rsidRPr="00183B5F" w:rsidRDefault="00943743" w:rsidP="004062FE">
            <w:pPr>
              <w:keepNext/>
              <w:spacing w:line="240" w:lineRule="auto"/>
              <w:rPr>
                <w:del w:id="5909" w:author="AbbVie_HU_03" w:date="2025-05-14T15:27:00Z"/>
                <w:szCs w:val="22"/>
              </w:rPr>
            </w:pPr>
            <w:del w:id="5910" w:author="AbbVie_HU_03" w:date="2025-05-14T15:27:00Z">
              <w:r w:rsidRPr="00183B5F">
                <w:rPr>
                  <w:szCs w:val="22"/>
                </w:rPr>
                <w:delText>0,151</w:delText>
              </w:r>
            </w:del>
          </w:p>
        </w:tc>
      </w:tr>
    </w:tbl>
    <w:p w14:paraId="358371D1" w14:textId="605354DE" w:rsidR="00FB6710" w:rsidRPr="00183B5F" w:rsidRDefault="00943743" w:rsidP="004062FE">
      <w:pPr>
        <w:spacing w:line="240" w:lineRule="auto"/>
        <w:rPr>
          <w:del w:id="5911" w:author="AbbVie_HU_03" w:date="2025-05-14T15:27:00Z"/>
          <w:szCs w:val="22"/>
        </w:rPr>
      </w:pPr>
      <w:del w:id="5912" w:author="AbbVie_HU_03" w:date="2025-05-14T15:27:00Z">
        <w:r w:rsidRPr="00183B5F">
          <w:rPr>
            <w:szCs w:val="22"/>
            <w:vertAlign w:val="superscript"/>
          </w:rPr>
          <w:delText>a</w:delText>
        </w:r>
        <w:r w:rsidRPr="00183B5F">
          <w:rPr>
            <w:szCs w:val="22"/>
          </w:rPr>
          <w:delText> a p</w:delText>
        </w:r>
        <w:r w:rsidR="00F41CB0" w:rsidRPr="00183B5F">
          <w:rPr>
            <w:szCs w:val="22"/>
          </w:rPr>
          <w:noBreakHyphen/>
        </w:r>
        <w:r w:rsidRPr="00183B5F">
          <w:rPr>
            <w:szCs w:val="22"/>
          </w:rPr>
          <w:delText xml:space="preserve">érték a </w:delText>
        </w:r>
        <w:r w:rsidR="001A6E66" w:rsidRPr="00183B5F">
          <w:rPr>
            <w:szCs w:val="22"/>
          </w:rPr>
          <w:delText>metotrexát-mono</w:delText>
        </w:r>
        <w:r w:rsidRPr="00183B5F">
          <w:rPr>
            <w:szCs w:val="22"/>
          </w:rPr>
          <w:delText xml:space="preserve">terápia és a Humira/metotrexát kombinációs terápia páros összehasonlítása </w:delText>
        </w:r>
        <w:r w:rsidR="001A6E66" w:rsidRPr="00183B5F">
          <w:rPr>
            <w:szCs w:val="22"/>
          </w:rPr>
          <w:delText>alapján, Mann</w:delText>
        </w:r>
        <w:r w:rsidR="00F41CB0" w:rsidRPr="00183B5F">
          <w:rPr>
            <w:szCs w:val="22"/>
          </w:rPr>
          <w:noBreakHyphen/>
        </w:r>
        <w:r w:rsidRPr="00183B5F">
          <w:rPr>
            <w:szCs w:val="22"/>
          </w:rPr>
          <w:delText xml:space="preserve">Whitney </w:delText>
        </w:r>
        <w:r w:rsidR="001A6E66" w:rsidRPr="00183B5F">
          <w:rPr>
            <w:szCs w:val="22"/>
          </w:rPr>
          <w:delText>U-teszt</w:delText>
        </w:r>
        <w:r w:rsidRPr="00183B5F">
          <w:rPr>
            <w:szCs w:val="22"/>
          </w:rPr>
          <w:delText xml:space="preserve"> szerint</w:delText>
        </w:r>
      </w:del>
    </w:p>
    <w:p w14:paraId="0EB21E05" w14:textId="4D69FB6C" w:rsidR="00FB6710" w:rsidRPr="00183B5F" w:rsidRDefault="00943743" w:rsidP="004062FE">
      <w:pPr>
        <w:spacing w:line="240" w:lineRule="auto"/>
        <w:rPr>
          <w:del w:id="5913" w:author="AbbVie_HU_03" w:date="2025-05-14T15:27:00Z"/>
          <w:szCs w:val="22"/>
        </w:rPr>
      </w:pPr>
      <w:del w:id="5914" w:author="AbbVie_HU_03" w:date="2025-05-14T15:27:00Z">
        <w:r w:rsidRPr="00183B5F">
          <w:rPr>
            <w:szCs w:val="22"/>
            <w:vertAlign w:val="superscript"/>
          </w:rPr>
          <w:delText>b</w:delText>
        </w:r>
        <w:r w:rsidRPr="00183B5F">
          <w:rPr>
            <w:szCs w:val="22"/>
          </w:rPr>
          <w:delText> a p</w:delText>
        </w:r>
        <w:r w:rsidR="00F41CB0" w:rsidRPr="00183B5F">
          <w:rPr>
            <w:szCs w:val="22"/>
          </w:rPr>
          <w:noBreakHyphen/>
        </w:r>
        <w:r w:rsidRPr="00183B5F">
          <w:rPr>
            <w:szCs w:val="22"/>
          </w:rPr>
          <w:delText xml:space="preserve">érték a </w:delText>
        </w:r>
        <w:r w:rsidR="005C406C" w:rsidRPr="00183B5F">
          <w:rPr>
            <w:szCs w:val="22"/>
          </w:rPr>
          <w:delText>Humira-monoterá</w:delText>
        </w:r>
        <w:r w:rsidRPr="00183B5F">
          <w:rPr>
            <w:szCs w:val="22"/>
          </w:rPr>
          <w:delText xml:space="preserve">pia és a Humira/metotrexát kombinációs terápia páros összehasonlítása </w:delText>
        </w:r>
        <w:r w:rsidR="001A6E66" w:rsidRPr="00183B5F">
          <w:rPr>
            <w:szCs w:val="22"/>
          </w:rPr>
          <w:delText>alapján, Mann</w:delText>
        </w:r>
        <w:r w:rsidR="00F41CB0" w:rsidRPr="00183B5F">
          <w:rPr>
            <w:szCs w:val="22"/>
          </w:rPr>
          <w:noBreakHyphen/>
        </w:r>
        <w:r w:rsidRPr="00183B5F">
          <w:rPr>
            <w:szCs w:val="22"/>
          </w:rPr>
          <w:delText xml:space="preserve">Whitney </w:delText>
        </w:r>
        <w:r w:rsidR="001A6E66" w:rsidRPr="00183B5F">
          <w:rPr>
            <w:szCs w:val="22"/>
          </w:rPr>
          <w:delText>U-teszt</w:delText>
        </w:r>
        <w:r w:rsidRPr="00183B5F">
          <w:rPr>
            <w:szCs w:val="22"/>
          </w:rPr>
          <w:delText xml:space="preserve"> szerint</w:delText>
        </w:r>
      </w:del>
    </w:p>
    <w:p w14:paraId="6236570B" w14:textId="3243BA71" w:rsidR="00FB6710" w:rsidRPr="00183B5F" w:rsidRDefault="00943743" w:rsidP="004062FE">
      <w:pPr>
        <w:spacing w:line="240" w:lineRule="auto"/>
        <w:rPr>
          <w:del w:id="5915" w:author="AbbVie_HU_03" w:date="2025-05-14T15:27:00Z"/>
          <w:szCs w:val="22"/>
        </w:rPr>
      </w:pPr>
      <w:del w:id="5916" w:author="AbbVie_HU_03" w:date="2025-05-14T15:27:00Z">
        <w:r w:rsidRPr="00183B5F">
          <w:rPr>
            <w:szCs w:val="22"/>
            <w:vertAlign w:val="superscript"/>
          </w:rPr>
          <w:delText>c</w:delText>
        </w:r>
        <w:r w:rsidRPr="00183B5F">
          <w:rPr>
            <w:szCs w:val="22"/>
          </w:rPr>
          <w:delText> a p</w:delText>
        </w:r>
        <w:r w:rsidR="00F41CB0" w:rsidRPr="00183B5F">
          <w:rPr>
            <w:szCs w:val="22"/>
          </w:rPr>
          <w:noBreakHyphen/>
        </w:r>
        <w:r w:rsidRPr="00183B5F">
          <w:rPr>
            <w:szCs w:val="22"/>
          </w:rPr>
          <w:delText xml:space="preserve">érték a </w:delText>
        </w:r>
        <w:r w:rsidR="005C406C" w:rsidRPr="00183B5F">
          <w:rPr>
            <w:szCs w:val="22"/>
          </w:rPr>
          <w:delText>Humira-monoterá</w:delText>
        </w:r>
        <w:r w:rsidRPr="00183B5F">
          <w:rPr>
            <w:szCs w:val="22"/>
          </w:rPr>
          <w:delText xml:space="preserve">pia és a </w:delText>
        </w:r>
        <w:r w:rsidR="001A6E66" w:rsidRPr="00183B5F">
          <w:rPr>
            <w:szCs w:val="22"/>
          </w:rPr>
          <w:delText>metotrexát-mono</w:delText>
        </w:r>
        <w:r w:rsidR="000F7167" w:rsidRPr="00183B5F">
          <w:rPr>
            <w:szCs w:val="22"/>
          </w:rPr>
          <w:delText>terápia</w:delText>
        </w:r>
        <w:r w:rsidRPr="00183B5F">
          <w:rPr>
            <w:szCs w:val="22"/>
          </w:rPr>
          <w:delText xml:space="preserve"> páros összehasonlítása </w:delText>
        </w:r>
        <w:r w:rsidR="001A6E66" w:rsidRPr="00183B5F">
          <w:rPr>
            <w:szCs w:val="22"/>
          </w:rPr>
          <w:delText>alapján, Mann</w:delText>
        </w:r>
        <w:r w:rsidR="00F41CB0" w:rsidRPr="00183B5F">
          <w:rPr>
            <w:szCs w:val="22"/>
          </w:rPr>
          <w:noBreakHyphen/>
        </w:r>
        <w:r w:rsidRPr="00183B5F">
          <w:rPr>
            <w:szCs w:val="22"/>
          </w:rPr>
          <w:delText xml:space="preserve">Whitney </w:delText>
        </w:r>
        <w:r w:rsidR="001A6E66" w:rsidRPr="00183B5F">
          <w:rPr>
            <w:szCs w:val="22"/>
          </w:rPr>
          <w:delText>U-teszt</w:delText>
        </w:r>
        <w:r w:rsidRPr="00183B5F">
          <w:rPr>
            <w:szCs w:val="22"/>
          </w:rPr>
          <w:delText xml:space="preserve"> szerint</w:delText>
        </w:r>
      </w:del>
    </w:p>
    <w:p w14:paraId="59B627CC" w14:textId="6B544096" w:rsidR="00FB6710" w:rsidRPr="00183B5F" w:rsidRDefault="00FB6710" w:rsidP="004062FE">
      <w:pPr>
        <w:spacing w:line="240" w:lineRule="auto"/>
        <w:rPr>
          <w:del w:id="5917" w:author="AbbVie_HU_03" w:date="2025-05-14T15:27:00Z"/>
          <w:szCs w:val="22"/>
          <w:u w:val="single"/>
        </w:rPr>
      </w:pPr>
    </w:p>
    <w:p w14:paraId="3C219F0B" w14:textId="6F73C545" w:rsidR="00FB6710" w:rsidRPr="00183B5F" w:rsidRDefault="00943743" w:rsidP="004062FE">
      <w:pPr>
        <w:spacing w:line="240" w:lineRule="auto"/>
        <w:rPr>
          <w:del w:id="5918" w:author="AbbVie_HU_03" w:date="2025-05-14T15:27:00Z"/>
          <w:szCs w:val="22"/>
        </w:rPr>
      </w:pPr>
      <w:del w:id="5919" w:author="AbbVie_HU_03" w:date="2025-05-14T15:27:00Z">
        <w:r w:rsidRPr="00183B5F">
          <w:rPr>
            <w:szCs w:val="22"/>
          </w:rPr>
          <w:delText>Ötvenkét, illetve 104</w:delText>
        </w:r>
        <w:r w:rsidR="00A44DB6" w:rsidRPr="00183B5F">
          <w:rPr>
            <w:szCs w:val="22"/>
          </w:rPr>
          <w:delText> hét</w:delText>
        </w:r>
        <w:r w:rsidRPr="00183B5F">
          <w:rPr>
            <w:szCs w:val="22"/>
          </w:rPr>
          <w:delText xml:space="preserve">ig tartó kezelés után a progresszió nélküli betegek százaléka (a módosított </w:delText>
        </w:r>
        <w:r w:rsidR="005E4FD2" w:rsidRPr="00183B5F">
          <w:rPr>
            <w:szCs w:val="22"/>
          </w:rPr>
          <w:delText xml:space="preserve">teljes </w:delText>
        </w:r>
        <w:r w:rsidRPr="00183B5F">
          <w:rPr>
            <w:szCs w:val="22"/>
          </w:rPr>
          <w:delText>Sharp</w:delText>
        </w:r>
        <w:r w:rsidR="005E4FD2" w:rsidRPr="00183B5F">
          <w:rPr>
            <w:szCs w:val="22"/>
          </w:rPr>
          <w:delText>-</w:delText>
        </w:r>
        <w:r w:rsidRPr="00183B5F">
          <w:rPr>
            <w:szCs w:val="22"/>
          </w:rPr>
          <w:delText>pont</w:delText>
        </w:r>
        <w:r w:rsidR="00116852" w:rsidRPr="00183B5F">
          <w:rPr>
            <w:szCs w:val="22"/>
          </w:rPr>
          <w:delText>érték</w:delText>
        </w:r>
        <w:r w:rsidRPr="00183B5F">
          <w:rPr>
            <w:szCs w:val="22"/>
          </w:rPr>
          <w:delText xml:space="preserve"> </w:delText>
        </w:r>
        <w:r w:rsidR="000E7084" w:rsidRPr="00183B5F">
          <w:rPr>
            <w:szCs w:val="22"/>
          </w:rPr>
          <w:delText>változása a kiinduláshoz képest </w:delText>
        </w:r>
        <w:r w:rsidR="00C71EE4" w:rsidRPr="00183B5F">
          <w:rPr>
            <w:szCs w:val="22"/>
          </w:rPr>
          <w:delText>≤</w:delText>
        </w:r>
        <w:r w:rsidRPr="00183B5F">
          <w:rPr>
            <w:szCs w:val="22"/>
          </w:rPr>
          <w:delText> 0,5</w:delText>
        </w:r>
        <w:r w:rsidR="000E7084" w:rsidRPr="00183B5F">
          <w:rPr>
            <w:szCs w:val="22"/>
          </w:rPr>
          <w:delText xml:space="preserve">) </w:delText>
        </w:r>
        <w:r w:rsidR="00116852" w:rsidRPr="00183B5F">
          <w:rPr>
            <w:szCs w:val="22"/>
          </w:rPr>
          <w:delText xml:space="preserve">szignifikánsan </w:delText>
        </w:r>
        <w:r w:rsidRPr="00183B5F">
          <w:rPr>
            <w:szCs w:val="22"/>
          </w:rPr>
          <w:delText>magasabb volt a Humira/metotrexát kombinációs kezelésben részesült betegeknél (</w:delText>
        </w:r>
        <w:r w:rsidR="000E7084" w:rsidRPr="00183B5F">
          <w:rPr>
            <w:szCs w:val="22"/>
          </w:rPr>
          <w:delText xml:space="preserve">rendre </w:delText>
        </w:r>
        <w:r w:rsidRPr="00183B5F">
          <w:rPr>
            <w:szCs w:val="22"/>
          </w:rPr>
          <w:delText xml:space="preserve">63,8%, illetve 61,2%) összehasonlítva a </w:delText>
        </w:r>
        <w:r w:rsidR="001A6E66" w:rsidRPr="00183B5F">
          <w:rPr>
            <w:szCs w:val="22"/>
          </w:rPr>
          <w:delText>metotrexát-mono</w:delText>
        </w:r>
        <w:r w:rsidRPr="00183B5F">
          <w:rPr>
            <w:szCs w:val="22"/>
          </w:rPr>
          <w:delText>terápia eredményével (</w:delText>
        </w:r>
        <w:r w:rsidR="000E7084" w:rsidRPr="00183B5F">
          <w:rPr>
            <w:szCs w:val="22"/>
          </w:rPr>
          <w:delText xml:space="preserve">rendre </w:delText>
        </w:r>
        <w:r w:rsidRPr="00183B5F">
          <w:rPr>
            <w:szCs w:val="22"/>
          </w:rPr>
          <w:delText>37,4% és 33,</w:delText>
        </w:r>
        <w:r w:rsidR="00A820FF" w:rsidRPr="00183B5F">
          <w:rPr>
            <w:szCs w:val="22"/>
          </w:rPr>
          <w:delText>5</w:delText>
        </w:r>
        <w:r w:rsidRPr="00183B5F">
          <w:rPr>
            <w:szCs w:val="22"/>
          </w:rPr>
          <w:delText xml:space="preserve">%, p &lt; 0,001) és </w:delText>
        </w:r>
        <w:r w:rsidR="005C406C" w:rsidRPr="00183B5F">
          <w:rPr>
            <w:szCs w:val="22"/>
          </w:rPr>
          <w:delText>Humira-monoterá</w:delText>
        </w:r>
        <w:r w:rsidRPr="00183B5F">
          <w:rPr>
            <w:szCs w:val="22"/>
          </w:rPr>
          <w:delText>piával (</w:delText>
        </w:r>
        <w:r w:rsidR="000E7084" w:rsidRPr="00183B5F">
          <w:rPr>
            <w:szCs w:val="22"/>
          </w:rPr>
          <w:delText xml:space="preserve">rendre </w:delText>
        </w:r>
        <w:r w:rsidRPr="00183B5F">
          <w:rPr>
            <w:szCs w:val="22"/>
          </w:rPr>
          <w:delText>50,7%, p &lt; 0,002 és 44,5%, p &lt; 0,001).</w:delText>
        </w:r>
      </w:del>
    </w:p>
    <w:p w14:paraId="70DF2BFB" w14:textId="4763D1F1" w:rsidR="00FB6710" w:rsidRPr="00183B5F" w:rsidRDefault="00FB6710" w:rsidP="004062FE">
      <w:pPr>
        <w:spacing w:line="240" w:lineRule="auto"/>
        <w:rPr>
          <w:del w:id="5920" w:author="AbbVie_HU_03" w:date="2025-05-14T15:27:00Z"/>
          <w:szCs w:val="22"/>
          <w:u w:val="single"/>
        </w:rPr>
      </w:pPr>
    </w:p>
    <w:p w14:paraId="3CA724DC" w14:textId="6D3C35AB" w:rsidR="00BB07E5" w:rsidRPr="00183B5F" w:rsidRDefault="00943743" w:rsidP="004062FE">
      <w:pPr>
        <w:spacing w:line="240" w:lineRule="auto"/>
        <w:rPr>
          <w:del w:id="5921" w:author="AbbVie_HU_03" w:date="2025-05-14T15:27:00Z"/>
          <w:szCs w:val="22"/>
        </w:rPr>
      </w:pPr>
      <w:del w:id="5922" w:author="AbbVie_HU_03" w:date="2025-05-14T15:27:00Z">
        <w:r w:rsidRPr="00183B5F">
          <w:rPr>
            <w:szCs w:val="22"/>
          </w:rPr>
          <w:delText>Az RA V vizsgálat nyílt elrendezésű kiterjesztésének 10. évében a módosított teljes Sharp</w:delText>
        </w:r>
        <w:r w:rsidR="005E4FD2" w:rsidRPr="00183B5F">
          <w:rPr>
            <w:szCs w:val="22"/>
          </w:rPr>
          <w:delText>-</w:delText>
        </w:r>
        <w:r w:rsidRPr="00183B5F">
          <w:rPr>
            <w:szCs w:val="22"/>
          </w:rPr>
          <w:delText>pont</w:delText>
        </w:r>
        <w:r w:rsidR="00116852" w:rsidRPr="00183B5F">
          <w:rPr>
            <w:szCs w:val="22"/>
          </w:rPr>
          <w:delText>érték</w:delText>
        </w:r>
        <w:r w:rsidRPr="00183B5F">
          <w:rPr>
            <w:szCs w:val="22"/>
          </w:rPr>
          <w:delText xml:space="preserve"> átlagos változása a kiinduláshoz képest az eredetileg </w:delText>
        </w:r>
        <w:r w:rsidR="001A6E66" w:rsidRPr="00183B5F">
          <w:rPr>
            <w:szCs w:val="22"/>
          </w:rPr>
          <w:delText>metotrexát-mono</w:delText>
        </w:r>
        <w:r w:rsidRPr="00183B5F">
          <w:rPr>
            <w:szCs w:val="22"/>
          </w:rPr>
          <w:delText xml:space="preserve">terápiára, </w:delText>
        </w:r>
        <w:r w:rsidR="005C406C" w:rsidRPr="00183B5F">
          <w:rPr>
            <w:szCs w:val="22"/>
          </w:rPr>
          <w:delText>Humira-monoterá</w:delText>
        </w:r>
        <w:r w:rsidRPr="00183B5F">
          <w:rPr>
            <w:szCs w:val="22"/>
          </w:rPr>
          <w:delText xml:space="preserve">piára és Humira/metotrexát kombinációs terápiára randomizált betegeknél </w:delText>
        </w:r>
        <w:r w:rsidR="006E4087" w:rsidRPr="00183B5F">
          <w:rPr>
            <w:szCs w:val="22"/>
          </w:rPr>
          <w:delText xml:space="preserve">sorrendben </w:delText>
        </w:r>
        <w:r w:rsidRPr="00183B5F">
          <w:rPr>
            <w:szCs w:val="22"/>
          </w:rPr>
          <w:delText xml:space="preserve">10,8; 9,2 és 3,9 volt. A radiológiai progressziót nem mutató betegeknél az arány </w:delText>
        </w:r>
        <w:r w:rsidR="006E4087" w:rsidRPr="00183B5F">
          <w:rPr>
            <w:szCs w:val="22"/>
          </w:rPr>
          <w:delText xml:space="preserve">sorrendben </w:delText>
        </w:r>
        <w:r w:rsidRPr="00183B5F">
          <w:rPr>
            <w:szCs w:val="22"/>
          </w:rPr>
          <w:delText>31,3%, 23,7% és 36,7% volt.</w:delText>
        </w:r>
      </w:del>
    </w:p>
    <w:p w14:paraId="733DDC51" w14:textId="39E3C5C0" w:rsidR="00BB07E5" w:rsidRPr="00183B5F" w:rsidRDefault="00BB07E5" w:rsidP="004062FE">
      <w:pPr>
        <w:spacing w:line="240" w:lineRule="auto"/>
        <w:rPr>
          <w:del w:id="5923" w:author="AbbVie_HU_03" w:date="2025-05-14T15:27:00Z"/>
          <w:szCs w:val="22"/>
          <w:u w:val="single"/>
        </w:rPr>
      </w:pPr>
    </w:p>
    <w:p w14:paraId="273A0BCF" w14:textId="3DD26626" w:rsidR="00FB6710" w:rsidRPr="00183B5F" w:rsidRDefault="00943743" w:rsidP="004062FE">
      <w:pPr>
        <w:keepNext/>
        <w:spacing w:line="240" w:lineRule="auto"/>
        <w:rPr>
          <w:del w:id="5924" w:author="AbbVie_HU_03" w:date="2025-05-14T15:27:00Z"/>
          <w:i/>
          <w:szCs w:val="22"/>
          <w:u w:val="single"/>
        </w:rPr>
      </w:pPr>
      <w:del w:id="5925" w:author="AbbVie_HU_03" w:date="2025-05-14T15:27:00Z">
        <w:r w:rsidRPr="00183B5F">
          <w:rPr>
            <w:i/>
            <w:szCs w:val="22"/>
            <w:u w:val="single"/>
          </w:rPr>
          <w:delText>Életminőség és fizikai aktivitás</w:delText>
        </w:r>
      </w:del>
    </w:p>
    <w:p w14:paraId="78E3CBC1" w14:textId="4BA599A5" w:rsidR="00FB6710" w:rsidRPr="00183B5F" w:rsidRDefault="00FB6710" w:rsidP="004062FE">
      <w:pPr>
        <w:keepNext/>
        <w:spacing w:line="240" w:lineRule="auto"/>
        <w:rPr>
          <w:del w:id="5926" w:author="AbbVie_HU_03" w:date="2025-05-14T15:27:00Z"/>
          <w:szCs w:val="22"/>
        </w:rPr>
      </w:pPr>
    </w:p>
    <w:p w14:paraId="560C96DC" w14:textId="1F061F2D" w:rsidR="001F5F5A" w:rsidRPr="00183B5F" w:rsidRDefault="00943743" w:rsidP="004062FE">
      <w:pPr>
        <w:keepNext/>
        <w:spacing w:line="240" w:lineRule="auto"/>
        <w:rPr>
          <w:del w:id="5927" w:author="AbbVie_HU_03" w:date="2025-05-14T15:27:00Z"/>
          <w:szCs w:val="22"/>
        </w:rPr>
      </w:pPr>
      <w:del w:id="5928" w:author="AbbVie_HU_03" w:date="2025-05-14T15:27:00Z">
        <w:r w:rsidRPr="00183B5F">
          <w:rPr>
            <w:szCs w:val="22"/>
          </w:rPr>
          <w:delText xml:space="preserve">Az Egészségfelmérő kérdőív (Health Assessment Questionnaire-HAQ) rokkantsági indexének segítségével a négy eredeti </w:delText>
        </w:r>
        <w:r w:rsidR="004C0107" w:rsidRPr="00183B5F">
          <w:rPr>
            <w:szCs w:val="22"/>
          </w:rPr>
          <w:delText xml:space="preserve">és </w:delText>
        </w:r>
        <w:r w:rsidR="008511AE" w:rsidRPr="00183B5F">
          <w:rPr>
            <w:szCs w:val="22"/>
          </w:rPr>
          <w:delText>megfelelő kontrollt alk</w:delText>
        </w:r>
        <w:r w:rsidR="00A32269" w:rsidRPr="00183B5F">
          <w:rPr>
            <w:szCs w:val="22"/>
          </w:rPr>
          <w:delText>a</w:delText>
        </w:r>
        <w:r w:rsidR="008511AE" w:rsidRPr="00183B5F">
          <w:rPr>
            <w:szCs w:val="22"/>
          </w:rPr>
          <w:delText>lmazó</w:delText>
        </w:r>
        <w:r w:rsidR="004C0107" w:rsidRPr="00183B5F">
          <w:rPr>
            <w:szCs w:val="22"/>
          </w:rPr>
          <w:delText xml:space="preserve"> </w:delText>
        </w:r>
        <w:r w:rsidRPr="00183B5F">
          <w:rPr>
            <w:szCs w:val="22"/>
          </w:rPr>
          <w:delText xml:space="preserve">vizsgálatban </w:delText>
        </w:r>
        <w:r w:rsidR="004C0107" w:rsidRPr="00183B5F">
          <w:rPr>
            <w:szCs w:val="22"/>
          </w:rPr>
          <w:delText>meg</w:delText>
        </w:r>
        <w:r w:rsidRPr="00183B5F">
          <w:rPr>
            <w:szCs w:val="22"/>
          </w:rPr>
          <w:delText>vizsgálták az egészségfüggő életminőséget és fizikális működést, illetve az RA</w:delText>
        </w:r>
        <w:r w:rsidR="0022286A" w:rsidRPr="00183B5F">
          <w:rPr>
            <w:szCs w:val="22"/>
          </w:rPr>
          <w:delText> </w:delText>
        </w:r>
        <w:r w:rsidRPr="00183B5F">
          <w:rPr>
            <w:szCs w:val="22"/>
          </w:rPr>
          <w:delText>III vizsgálatban ez egy előre megállapított elsődleges végpontja volt a vizsgálatnak az 52.</w:delText>
        </w:r>
        <w:r w:rsidR="00A44DB6" w:rsidRPr="00183B5F">
          <w:rPr>
            <w:szCs w:val="22"/>
          </w:rPr>
          <w:delText> hét</w:delText>
        </w:r>
        <w:r w:rsidRPr="00183B5F">
          <w:rPr>
            <w:szCs w:val="22"/>
          </w:rPr>
          <w:delText xml:space="preserve">en. A Humira, adagolási módtól és dózistól függetlenül, </w:delText>
        </w:r>
        <w:r w:rsidR="004C0107" w:rsidRPr="00183B5F">
          <w:rPr>
            <w:szCs w:val="22"/>
          </w:rPr>
          <w:delText>mind a négy vizsgálatban</w:delText>
        </w:r>
        <w:r w:rsidRPr="00183B5F">
          <w:rPr>
            <w:szCs w:val="22"/>
          </w:rPr>
          <w:delText xml:space="preserve"> </w:delText>
        </w:r>
        <w:r w:rsidR="004C0107" w:rsidRPr="00183B5F">
          <w:rPr>
            <w:szCs w:val="22"/>
          </w:rPr>
          <w:delText xml:space="preserve">a kiinduláshoz viszonyítva </w:delText>
        </w:r>
        <w:r w:rsidRPr="00183B5F">
          <w:rPr>
            <w:szCs w:val="22"/>
          </w:rPr>
          <w:delText>a vizsgált hat hónap alatt statisztikailag szignifikáns javulást eredményezett a HAQ rokkantsági indexében</w:delText>
        </w:r>
        <w:r w:rsidR="004C0107" w:rsidRPr="00183B5F">
          <w:rPr>
            <w:szCs w:val="22"/>
          </w:rPr>
          <w:delText xml:space="preserve"> </w:delText>
        </w:r>
        <w:r w:rsidRPr="00183B5F">
          <w:rPr>
            <w:szCs w:val="22"/>
          </w:rPr>
          <w:delText>a placebóval összehasonlítva</w:delText>
        </w:r>
        <w:r w:rsidR="004C0107" w:rsidRPr="00183B5F">
          <w:rPr>
            <w:szCs w:val="22"/>
          </w:rPr>
          <w:delText>,</w:delText>
        </w:r>
        <w:r w:rsidRPr="00183B5F">
          <w:rPr>
            <w:szCs w:val="22"/>
          </w:rPr>
          <w:delText xml:space="preserve"> és az RA</w:delText>
        </w:r>
        <w:r w:rsidR="0022286A" w:rsidRPr="00183B5F">
          <w:rPr>
            <w:szCs w:val="22"/>
          </w:rPr>
          <w:delText> </w:delText>
        </w:r>
        <w:r w:rsidRPr="00183B5F">
          <w:rPr>
            <w:szCs w:val="22"/>
          </w:rPr>
          <w:delText>III. vizsgálatban ugyanezt észlelték az 52.</w:delText>
        </w:r>
        <w:r w:rsidR="00A44DB6" w:rsidRPr="00183B5F">
          <w:rPr>
            <w:szCs w:val="22"/>
          </w:rPr>
          <w:delText> hét</w:delText>
        </w:r>
        <w:r w:rsidRPr="00183B5F">
          <w:rPr>
            <w:szCs w:val="22"/>
          </w:rPr>
          <w:delText xml:space="preserve">en. </w:delText>
        </w:r>
        <w:r w:rsidR="006F1178" w:rsidRPr="00183B5F">
          <w:rPr>
            <w:szCs w:val="22"/>
          </w:rPr>
          <w:delText xml:space="preserve">A </w:delText>
        </w:r>
        <w:r w:rsidRPr="00183B5F">
          <w:rPr>
            <w:szCs w:val="22"/>
          </w:rPr>
          <w:delText xml:space="preserve">Rövid </w:delText>
        </w:r>
        <w:r w:rsidR="00874D5F" w:rsidRPr="00183B5F">
          <w:rPr>
            <w:szCs w:val="22"/>
          </w:rPr>
          <w:delText>E</w:delText>
        </w:r>
        <w:r w:rsidRPr="00183B5F">
          <w:rPr>
            <w:szCs w:val="22"/>
          </w:rPr>
          <w:delText>gészségfelmérés (Short Form Health Survey (SF 36)) eredményei is alátámasztják a fentieket</w:delText>
        </w:r>
        <w:r w:rsidR="00874D5F" w:rsidRPr="00183B5F">
          <w:rPr>
            <w:szCs w:val="22"/>
          </w:rPr>
          <w:delText>, a kéthetente alkalmazott 40 mg</w:delText>
        </w:r>
        <w:r w:rsidR="00874D5F" w:rsidRPr="00183B5F">
          <w:rPr>
            <w:szCs w:val="22"/>
          </w:rPr>
          <w:noBreakHyphen/>
          <w:delText>os dózis esetében a</w:delText>
        </w:r>
        <w:r w:rsidRPr="00183B5F">
          <w:rPr>
            <w:szCs w:val="22"/>
          </w:rPr>
          <w:delText xml:space="preserve"> fizikális komponensre (PCS) adott értékek, illetve a fájdalmat valamint a vitalitást mérő értékek is statisztikailag szignifikáns javulást mutattak</w:delText>
        </w:r>
        <w:r w:rsidR="00874D5F" w:rsidRPr="00183B5F">
          <w:rPr>
            <w:szCs w:val="22"/>
          </w:rPr>
          <w:delText>.</w:delText>
        </w:r>
        <w:r w:rsidRPr="00183B5F">
          <w:rPr>
            <w:szCs w:val="22"/>
          </w:rPr>
          <w:delText xml:space="preserve"> A krónikus betegségek terápiájának funkcionális felmérését szolgáló kérdőívben </w:delText>
        </w:r>
        <w:r w:rsidR="00874D5F" w:rsidRPr="00183B5F">
          <w:rPr>
            <w:szCs w:val="22"/>
          </w:rPr>
          <w:delText xml:space="preserve">(FACIT) </w:delText>
        </w:r>
        <w:r w:rsidRPr="00183B5F">
          <w:rPr>
            <w:szCs w:val="22"/>
          </w:rPr>
          <w:delText>a fáradtságra adott értékek alapján statisztikailag jelentős javulás állapítható meg mindhárom vizsgálatban, amelyben ezt kiértékelték (RA</w:delText>
        </w:r>
        <w:r w:rsidR="0022286A" w:rsidRPr="00183B5F">
          <w:rPr>
            <w:szCs w:val="22"/>
          </w:rPr>
          <w:delText> </w:delText>
        </w:r>
        <w:r w:rsidRPr="00183B5F">
          <w:rPr>
            <w:szCs w:val="22"/>
          </w:rPr>
          <w:delText>I,</w:delText>
        </w:r>
        <w:r w:rsidR="0022286A" w:rsidRPr="00183B5F">
          <w:rPr>
            <w:szCs w:val="22"/>
          </w:rPr>
          <w:delText> </w:delText>
        </w:r>
        <w:r w:rsidRPr="00183B5F">
          <w:rPr>
            <w:szCs w:val="22"/>
          </w:rPr>
          <w:delText>III,</w:delText>
        </w:r>
        <w:r w:rsidR="0022286A" w:rsidRPr="00183B5F">
          <w:rPr>
            <w:szCs w:val="22"/>
          </w:rPr>
          <w:delText> </w:delText>
        </w:r>
        <w:r w:rsidRPr="00183B5F">
          <w:rPr>
            <w:szCs w:val="22"/>
          </w:rPr>
          <w:delText>IV vizsgálatok).</w:delText>
        </w:r>
      </w:del>
    </w:p>
    <w:p w14:paraId="3C04578E" w14:textId="48E6B353" w:rsidR="001F5F5A" w:rsidRPr="00183B5F" w:rsidRDefault="001F5F5A" w:rsidP="004062FE">
      <w:pPr>
        <w:spacing w:line="240" w:lineRule="auto"/>
        <w:rPr>
          <w:del w:id="5929" w:author="AbbVie_HU_03" w:date="2025-05-14T15:27:00Z"/>
          <w:szCs w:val="22"/>
        </w:rPr>
      </w:pPr>
    </w:p>
    <w:p w14:paraId="0D9FB011" w14:textId="3B77D35B" w:rsidR="00FB6710" w:rsidRPr="00183B5F" w:rsidRDefault="00943743" w:rsidP="004062FE">
      <w:pPr>
        <w:spacing w:line="240" w:lineRule="auto"/>
        <w:rPr>
          <w:del w:id="5930" w:author="AbbVie_HU_03" w:date="2025-05-14T15:27:00Z"/>
          <w:szCs w:val="22"/>
        </w:rPr>
      </w:pPr>
      <w:del w:id="5931" w:author="AbbVie_HU_03" w:date="2025-05-14T15:27:00Z">
        <w:r w:rsidRPr="00183B5F">
          <w:rPr>
            <w:szCs w:val="22"/>
          </w:rPr>
          <w:delText>Az RA</w:delText>
        </w:r>
        <w:r w:rsidR="0022286A" w:rsidRPr="00183B5F">
          <w:rPr>
            <w:szCs w:val="22"/>
          </w:rPr>
          <w:delText> </w:delText>
        </w:r>
        <w:r w:rsidRPr="00183B5F">
          <w:rPr>
            <w:szCs w:val="22"/>
          </w:rPr>
          <w:delText xml:space="preserve">III vizsgálatban </w:delText>
        </w:r>
        <w:r w:rsidR="00973992" w:rsidRPr="00183B5F">
          <w:rPr>
            <w:szCs w:val="22"/>
          </w:rPr>
          <w:delText xml:space="preserve">a </w:delText>
        </w:r>
        <w:r w:rsidR="009447C4" w:rsidRPr="00183B5F">
          <w:rPr>
            <w:szCs w:val="22"/>
          </w:rPr>
          <w:delText xml:space="preserve">nyílt kezelés során a </w:delText>
        </w:r>
        <w:r w:rsidR="00973992" w:rsidRPr="00183B5F">
          <w:rPr>
            <w:szCs w:val="22"/>
          </w:rPr>
          <w:delText>betegek többsége, akik</w:delText>
        </w:r>
        <w:r w:rsidR="00A075A4" w:rsidRPr="00183B5F">
          <w:rPr>
            <w:szCs w:val="22"/>
          </w:rPr>
          <w:delText>nél</w:delText>
        </w:r>
        <w:r w:rsidRPr="00183B5F">
          <w:rPr>
            <w:szCs w:val="22"/>
          </w:rPr>
          <w:delText xml:space="preserve"> a fizikai funkció </w:delText>
        </w:r>
        <w:r w:rsidR="00874D5F" w:rsidRPr="00183B5F">
          <w:rPr>
            <w:szCs w:val="22"/>
          </w:rPr>
          <w:delText>javulás</w:delText>
        </w:r>
        <w:r w:rsidR="009447C4" w:rsidRPr="00183B5F">
          <w:rPr>
            <w:szCs w:val="22"/>
          </w:rPr>
          <w:delText>a</w:delText>
        </w:r>
        <w:r w:rsidR="00973992" w:rsidRPr="00183B5F">
          <w:rPr>
            <w:szCs w:val="22"/>
          </w:rPr>
          <w:delText xml:space="preserve"> </w:delText>
        </w:r>
        <w:r w:rsidR="009447C4" w:rsidRPr="00183B5F">
          <w:rPr>
            <w:szCs w:val="22"/>
          </w:rPr>
          <w:delText>volt megfigyelhető</w:delText>
        </w:r>
        <w:r w:rsidR="00973992" w:rsidRPr="00183B5F">
          <w:rPr>
            <w:szCs w:val="22"/>
          </w:rPr>
          <w:delText xml:space="preserve"> és folytatták a kezelést, a javulás</w:delText>
        </w:r>
        <w:r w:rsidR="00874D5F" w:rsidRPr="00183B5F">
          <w:rPr>
            <w:szCs w:val="22"/>
          </w:rPr>
          <w:delText xml:space="preserve"> </w:delText>
        </w:r>
        <w:r w:rsidR="00973992" w:rsidRPr="00183B5F">
          <w:rPr>
            <w:szCs w:val="22"/>
          </w:rPr>
          <w:delText>5</w:delText>
        </w:r>
        <w:r w:rsidRPr="00183B5F">
          <w:rPr>
            <w:szCs w:val="22"/>
          </w:rPr>
          <w:delText>20</w:delText>
        </w:r>
        <w:r w:rsidR="00A44DB6" w:rsidRPr="00183B5F">
          <w:rPr>
            <w:szCs w:val="22"/>
          </w:rPr>
          <w:delText> hét</w:delText>
        </w:r>
        <w:r w:rsidRPr="00183B5F">
          <w:rPr>
            <w:szCs w:val="22"/>
          </w:rPr>
          <w:delText>en (</w:delText>
        </w:r>
        <w:r w:rsidR="00973992" w:rsidRPr="00183B5F">
          <w:rPr>
            <w:szCs w:val="22"/>
          </w:rPr>
          <w:delText>12</w:delText>
        </w:r>
        <w:r w:rsidRPr="00183B5F">
          <w:rPr>
            <w:szCs w:val="22"/>
          </w:rPr>
          <w:delText>0 hónap) keresztül fenn</w:delText>
        </w:r>
        <w:r w:rsidR="00116852" w:rsidRPr="00183B5F">
          <w:rPr>
            <w:szCs w:val="22"/>
          </w:rPr>
          <w:delText>maradt</w:delText>
        </w:r>
        <w:r w:rsidRPr="00183B5F">
          <w:rPr>
            <w:szCs w:val="22"/>
          </w:rPr>
          <w:delText>. Az életminőség javulását legfeljebb 156</w:delText>
        </w:r>
        <w:r w:rsidR="00A44DB6" w:rsidRPr="00183B5F">
          <w:rPr>
            <w:szCs w:val="22"/>
          </w:rPr>
          <w:delText> hét</w:delText>
        </w:r>
        <w:r w:rsidRPr="00183B5F">
          <w:rPr>
            <w:szCs w:val="22"/>
          </w:rPr>
          <w:delText>ig (36</w:delText>
        </w:r>
        <w:r w:rsidR="0022286A" w:rsidRPr="00183B5F">
          <w:rPr>
            <w:szCs w:val="22"/>
          </w:rPr>
          <w:delText> </w:delText>
        </w:r>
        <w:r w:rsidRPr="00183B5F">
          <w:rPr>
            <w:szCs w:val="22"/>
          </w:rPr>
          <w:delText>hónap) mérték, és a javulás ezalatt az idő alatt fennmaradt.</w:delText>
        </w:r>
      </w:del>
    </w:p>
    <w:p w14:paraId="4232289C" w14:textId="7EF4276A" w:rsidR="001F5F5A" w:rsidRPr="00183B5F" w:rsidRDefault="001F5F5A" w:rsidP="004062FE">
      <w:pPr>
        <w:spacing w:line="240" w:lineRule="auto"/>
        <w:rPr>
          <w:del w:id="5932" w:author="AbbVie_HU_03" w:date="2025-05-14T15:27:00Z"/>
          <w:szCs w:val="22"/>
        </w:rPr>
      </w:pPr>
    </w:p>
    <w:p w14:paraId="194CB780" w14:textId="587B2AD3" w:rsidR="00721CEC" w:rsidRPr="00183B5F" w:rsidRDefault="00943743" w:rsidP="004062FE">
      <w:pPr>
        <w:pStyle w:val="EMEAHeadingUnderline"/>
        <w:tabs>
          <w:tab w:val="clear" w:pos="562"/>
        </w:tabs>
        <w:spacing w:beforeLines="0" w:afterLines="0"/>
        <w:rPr>
          <w:del w:id="5933" w:author="AbbVie_HU_03" w:date="2025-05-14T15:27:00Z"/>
          <w:szCs w:val="22"/>
          <w:u w:val="none"/>
          <w:lang w:val="hu-HU"/>
        </w:rPr>
      </w:pPr>
      <w:del w:id="5934" w:author="AbbVie_HU_03" w:date="2025-05-14T15:27:00Z">
        <w:r w:rsidRPr="00183B5F">
          <w:rPr>
            <w:szCs w:val="22"/>
            <w:u w:val="none"/>
            <w:lang w:val="hu-HU"/>
          </w:rPr>
          <w:delText>Az RA</w:delText>
        </w:r>
        <w:r w:rsidR="0022286A" w:rsidRPr="00183B5F">
          <w:rPr>
            <w:szCs w:val="22"/>
            <w:u w:val="none"/>
            <w:lang w:val="hu-HU"/>
          </w:rPr>
          <w:delText> </w:delText>
        </w:r>
        <w:r w:rsidRPr="00183B5F">
          <w:rPr>
            <w:szCs w:val="22"/>
            <w:u w:val="none"/>
            <w:lang w:val="hu-HU"/>
          </w:rPr>
          <w:delText>V vizsgálatban az 52.</w:delText>
        </w:r>
        <w:r w:rsidR="00A44DB6" w:rsidRPr="00183B5F">
          <w:rPr>
            <w:szCs w:val="22"/>
            <w:u w:val="none"/>
            <w:lang w:val="hu-HU"/>
          </w:rPr>
          <w:delText> hét</w:delText>
        </w:r>
        <w:r w:rsidRPr="00183B5F">
          <w:rPr>
            <w:szCs w:val="22"/>
            <w:u w:val="none"/>
            <w:lang w:val="hu-HU"/>
          </w:rPr>
          <w:delText>en a HAQ rokkantsági indexben és az SF</w:delText>
        </w:r>
        <w:r w:rsidR="0022286A" w:rsidRPr="00183B5F">
          <w:rPr>
            <w:szCs w:val="22"/>
            <w:u w:val="none"/>
            <w:lang w:val="hu-HU"/>
          </w:rPr>
          <w:delText> </w:delText>
        </w:r>
        <w:r w:rsidRPr="00183B5F">
          <w:rPr>
            <w:szCs w:val="22"/>
            <w:u w:val="none"/>
            <w:lang w:val="hu-HU"/>
          </w:rPr>
          <w:delText>36 fizikai összetevőiben mutatkozó javulás nagyobb volt (p &lt; 0,001) a Humira/metotrexát kombinációs kezelést kapott csoportban, mint a metotrexát</w:delText>
        </w:r>
        <w:r w:rsidR="00287AD5" w:rsidRPr="00183B5F">
          <w:rPr>
            <w:szCs w:val="22"/>
            <w:u w:val="none"/>
            <w:lang w:val="hu-HU"/>
          </w:rPr>
          <w:delText>-</w:delText>
        </w:r>
        <w:r w:rsidRPr="00183B5F">
          <w:rPr>
            <w:szCs w:val="22"/>
            <w:u w:val="none"/>
            <w:lang w:val="hu-HU"/>
          </w:rPr>
          <w:delText xml:space="preserve"> és </w:delText>
        </w:r>
        <w:r w:rsidR="005C406C" w:rsidRPr="00183B5F">
          <w:rPr>
            <w:szCs w:val="22"/>
            <w:u w:val="none"/>
            <w:lang w:val="hu-HU"/>
          </w:rPr>
          <w:delText>Humira-monoterá</w:delText>
        </w:r>
        <w:r w:rsidRPr="00183B5F">
          <w:rPr>
            <w:szCs w:val="22"/>
            <w:u w:val="none"/>
            <w:lang w:val="hu-HU"/>
          </w:rPr>
          <w:delText>piákban. Ezek a változások a 104.</w:delText>
        </w:r>
        <w:r w:rsidR="00A44DB6" w:rsidRPr="00183B5F">
          <w:rPr>
            <w:szCs w:val="22"/>
            <w:u w:val="none"/>
            <w:lang w:val="hu-HU"/>
          </w:rPr>
          <w:delText> hét</w:delText>
        </w:r>
        <w:r w:rsidRPr="00183B5F">
          <w:rPr>
            <w:szCs w:val="22"/>
            <w:u w:val="none"/>
            <w:lang w:val="hu-HU"/>
          </w:rPr>
          <w:delText>ig fennálltak. A 250 betegnél, akik befejezték a nyílt elrendezésű kiterjesztéses vizsgálatot, a fizikai funkció javulása a kezelés 10 éve alatt fennmaradt.</w:delText>
        </w:r>
      </w:del>
    </w:p>
    <w:p w14:paraId="2F286046" w14:textId="0826C80F" w:rsidR="009F08BF" w:rsidRPr="00183B5F" w:rsidRDefault="009F08BF">
      <w:pPr>
        <w:pStyle w:val="EMEANormal"/>
        <w:rPr>
          <w:del w:id="5935" w:author="AbbVie_HU_03" w:date="2025-05-14T15:27:00Z"/>
          <w:lang w:val="hu-HU"/>
        </w:rPr>
      </w:pPr>
    </w:p>
    <w:p w14:paraId="3B022ECD" w14:textId="65B6DE03" w:rsidR="0031425E" w:rsidRPr="00183B5F" w:rsidRDefault="00943743">
      <w:pPr>
        <w:pStyle w:val="EMEANormal"/>
        <w:keepNext/>
        <w:rPr>
          <w:del w:id="5936" w:author="AbbVie_HU_03" w:date="2025-05-14T15:27:00Z"/>
          <w:i/>
          <w:szCs w:val="22"/>
          <w:lang w:val="hu-HU"/>
        </w:rPr>
      </w:pPr>
      <w:del w:id="5937" w:author="AbbVie_HU_03" w:date="2025-05-14T15:27:00Z">
        <w:r w:rsidRPr="00183B5F">
          <w:rPr>
            <w:i/>
            <w:szCs w:val="22"/>
            <w:lang w:val="hu-HU"/>
          </w:rPr>
          <w:delText>Axiális spondyloarthritis</w:delText>
        </w:r>
      </w:del>
    </w:p>
    <w:p w14:paraId="5DCA525A" w14:textId="337004C3" w:rsidR="0031425E" w:rsidRPr="00183B5F" w:rsidRDefault="0031425E">
      <w:pPr>
        <w:pStyle w:val="EMEANormal"/>
        <w:keepNext/>
        <w:rPr>
          <w:del w:id="5938" w:author="AbbVie_HU_03" w:date="2025-05-14T15:27:00Z"/>
          <w:szCs w:val="22"/>
          <w:lang w:val="hu-HU"/>
        </w:rPr>
      </w:pPr>
    </w:p>
    <w:p w14:paraId="35C62568" w14:textId="7B8340F6" w:rsidR="00FB6710" w:rsidRPr="00183B5F" w:rsidRDefault="00943743" w:rsidP="004062FE">
      <w:pPr>
        <w:keepNext/>
        <w:spacing w:line="240" w:lineRule="auto"/>
        <w:rPr>
          <w:del w:id="5939" w:author="AbbVie_HU_03" w:date="2025-05-14T15:27:00Z"/>
          <w:i/>
          <w:szCs w:val="22"/>
          <w:u w:val="single"/>
        </w:rPr>
      </w:pPr>
      <w:del w:id="5940" w:author="AbbVie_HU_03" w:date="2025-05-14T15:27:00Z">
        <w:r w:rsidRPr="00183B5F">
          <w:rPr>
            <w:i/>
            <w:szCs w:val="22"/>
            <w:u w:val="single"/>
          </w:rPr>
          <w:delText>Spondylitis ankylopoetica</w:delText>
        </w:r>
        <w:r w:rsidR="0031425E" w:rsidRPr="00183B5F">
          <w:rPr>
            <w:i/>
            <w:szCs w:val="22"/>
            <w:u w:val="single"/>
          </w:rPr>
          <w:delText xml:space="preserve"> (</w:delText>
        </w:r>
        <w:r w:rsidR="006C5B50" w:rsidRPr="00183B5F">
          <w:rPr>
            <w:i/>
            <w:szCs w:val="22"/>
            <w:u w:val="single"/>
          </w:rPr>
          <w:delText>SPA</w:delText>
        </w:r>
        <w:r w:rsidR="0031425E" w:rsidRPr="00183B5F">
          <w:rPr>
            <w:i/>
            <w:szCs w:val="22"/>
            <w:u w:val="single"/>
          </w:rPr>
          <w:delText>)</w:delText>
        </w:r>
      </w:del>
    </w:p>
    <w:p w14:paraId="0D95D10A" w14:textId="75601686" w:rsidR="00FB6710" w:rsidRPr="00183B5F" w:rsidRDefault="00FB6710" w:rsidP="004062FE">
      <w:pPr>
        <w:keepNext/>
        <w:spacing w:line="240" w:lineRule="auto"/>
        <w:rPr>
          <w:del w:id="5941" w:author="AbbVie_HU_03" w:date="2025-05-14T15:27:00Z"/>
          <w:szCs w:val="22"/>
        </w:rPr>
      </w:pPr>
    </w:p>
    <w:p w14:paraId="47812055" w14:textId="6B5B5B1E" w:rsidR="00FB6710" w:rsidRPr="00183B5F" w:rsidRDefault="00943743" w:rsidP="004062FE">
      <w:pPr>
        <w:keepNext/>
        <w:spacing w:line="240" w:lineRule="auto"/>
        <w:rPr>
          <w:del w:id="5942" w:author="AbbVie_HU_03" w:date="2025-05-14T15:27:00Z"/>
          <w:szCs w:val="22"/>
        </w:rPr>
      </w:pPr>
      <w:del w:id="5943" w:author="AbbVie_HU_03" w:date="2025-05-14T15:27:00Z">
        <w:r w:rsidRPr="00183B5F">
          <w:rPr>
            <w:szCs w:val="22"/>
          </w:rPr>
          <w:delText>A 40 mg Humira hatását kéthetenkénti egyszeri adagolással 393 aktív spondylitis ankylopoeticában szenvedő olyan betegen vizsgálták két, randomizált, 24</w:delText>
        </w:r>
        <w:r w:rsidR="00D92B74" w:rsidRPr="00183B5F">
          <w:rPr>
            <w:szCs w:val="22"/>
          </w:rPr>
          <w:delText> </w:delText>
        </w:r>
        <w:r w:rsidRPr="00183B5F">
          <w:rPr>
            <w:szCs w:val="22"/>
          </w:rPr>
          <w:delText xml:space="preserve">hetes, </w:delText>
        </w:r>
        <w:r w:rsidR="00E5381A" w:rsidRPr="00183B5F">
          <w:rPr>
            <w:szCs w:val="22"/>
          </w:rPr>
          <w:delText>kettős vak</w:delText>
        </w:r>
        <w:r w:rsidRPr="00183B5F">
          <w:rPr>
            <w:szCs w:val="22"/>
          </w:rPr>
          <w:delText xml:space="preserve">, placebokontrollos vizsgálatban (betegség aktivitásának átlagos </w:delText>
        </w:r>
        <w:r w:rsidR="00EB0DB3" w:rsidRPr="00183B5F">
          <w:rPr>
            <w:szCs w:val="22"/>
          </w:rPr>
          <w:delText xml:space="preserve">kiindulási </w:delText>
        </w:r>
        <w:r w:rsidRPr="00183B5F">
          <w:rPr>
            <w:szCs w:val="22"/>
          </w:rPr>
          <w:delText>pontértéke [Bath Ankylosing Spondilitis Disease Activity Index (BASDAI)] 6,</w:delText>
        </w:r>
        <w:r w:rsidR="00EB0DB3" w:rsidRPr="00183B5F">
          <w:rPr>
            <w:szCs w:val="22"/>
          </w:rPr>
          <w:delText>3</w:delText>
        </w:r>
        <w:r w:rsidRPr="00183B5F">
          <w:rPr>
            <w:szCs w:val="22"/>
          </w:rPr>
          <w:delText xml:space="preserve"> volt mindegyik csoportban), akik nem adtak megfelelő választ a szokásos kezelésre. 79</w:delText>
        </w:r>
        <w:r w:rsidR="00D92B74" w:rsidRPr="00183B5F">
          <w:rPr>
            <w:szCs w:val="22"/>
          </w:rPr>
          <w:delText> </w:delText>
        </w:r>
        <w:r w:rsidRPr="00183B5F">
          <w:rPr>
            <w:szCs w:val="22"/>
          </w:rPr>
          <w:delText>beteg (20,1%) k</w:delText>
        </w:r>
        <w:r w:rsidR="001B2B84" w:rsidRPr="00183B5F">
          <w:rPr>
            <w:szCs w:val="22"/>
          </w:rPr>
          <w:delText xml:space="preserve">apott </w:delText>
        </w:r>
        <w:r w:rsidR="006F1178" w:rsidRPr="00183B5F">
          <w:rPr>
            <w:szCs w:val="22"/>
          </w:rPr>
          <w:delText>egyidejűleg</w:delText>
        </w:r>
        <w:r w:rsidR="001B2B84" w:rsidRPr="00183B5F">
          <w:rPr>
            <w:szCs w:val="22"/>
          </w:rPr>
          <w:delText xml:space="preserve"> </w:delText>
        </w:r>
        <w:r w:rsidRPr="00183B5F">
          <w:rPr>
            <w:szCs w:val="22"/>
          </w:rPr>
          <w:delText>betegséget befolyásoló reumaellenes szer</w:delText>
        </w:r>
        <w:r w:rsidR="001B2B84" w:rsidRPr="00183B5F">
          <w:rPr>
            <w:szCs w:val="22"/>
          </w:rPr>
          <w:delText xml:space="preserve">t, </w:delText>
        </w:r>
        <w:r w:rsidRPr="00183B5F">
          <w:rPr>
            <w:szCs w:val="22"/>
          </w:rPr>
          <w:delText>37</w:delText>
        </w:r>
        <w:r w:rsidR="00D92B74" w:rsidRPr="00183B5F">
          <w:rPr>
            <w:szCs w:val="22"/>
          </w:rPr>
          <w:delText> </w:delText>
        </w:r>
        <w:r w:rsidRPr="00183B5F">
          <w:rPr>
            <w:szCs w:val="22"/>
          </w:rPr>
          <w:delText xml:space="preserve">beteg (9,4%) </w:delText>
        </w:r>
        <w:r w:rsidR="001B2B84" w:rsidRPr="00183B5F">
          <w:rPr>
            <w:szCs w:val="22"/>
          </w:rPr>
          <w:delText xml:space="preserve">kapott </w:delText>
        </w:r>
        <w:r w:rsidR="006F1178" w:rsidRPr="00183B5F">
          <w:rPr>
            <w:szCs w:val="22"/>
          </w:rPr>
          <w:delText>egyidejűleg</w:delText>
        </w:r>
        <w:r w:rsidR="001B2B84" w:rsidRPr="00183B5F">
          <w:rPr>
            <w:szCs w:val="22"/>
          </w:rPr>
          <w:delText xml:space="preserve"> </w:delText>
        </w:r>
        <w:r w:rsidRPr="00183B5F">
          <w:rPr>
            <w:szCs w:val="22"/>
          </w:rPr>
          <w:delText>glükokortikoiddal kezel</w:delText>
        </w:r>
        <w:r w:rsidR="001B2B84" w:rsidRPr="00183B5F">
          <w:rPr>
            <w:szCs w:val="22"/>
          </w:rPr>
          <w:delText>ést.</w:delText>
        </w:r>
        <w:r w:rsidRPr="00183B5F">
          <w:rPr>
            <w:szCs w:val="22"/>
          </w:rPr>
          <w:delText xml:space="preserve"> A vak szakaszt</w:delText>
        </w:r>
        <w:r w:rsidRPr="00183B5F">
          <w:rPr>
            <w:b/>
            <w:bCs/>
            <w:i/>
            <w:iCs/>
            <w:szCs w:val="22"/>
          </w:rPr>
          <w:delText xml:space="preserve"> </w:delText>
        </w:r>
        <w:r w:rsidRPr="00183B5F">
          <w:rPr>
            <w:szCs w:val="22"/>
          </w:rPr>
          <w:delText>egy nyílt vizsgálati fázissal folytatták, amelynek során a betegek kéthetente subcutan 40 mg Humira</w:delText>
        </w:r>
        <w:r w:rsidR="00D92B74" w:rsidRPr="00183B5F">
          <w:rPr>
            <w:szCs w:val="22"/>
          </w:rPr>
          <w:noBreakHyphen/>
        </w:r>
        <w:r w:rsidRPr="00183B5F">
          <w:rPr>
            <w:szCs w:val="22"/>
          </w:rPr>
          <w:delText>t kaptak, további 28</w:delText>
        </w:r>
        <w:r w:rsidR="00A44DB6" w:rsidRPr="00183B5F">
          <w:rPr>
            <w:szCs w:val="22"/>
          </w:rPr>
          <w:delText> hét</w:delText>
        </w:r>
        <w:r w:rsidRPr="00183B5F">
          <w:rPr>
            <w:szCs w:val="22"/>
          </w:rPr>
          <w:delText>en keresztül. Azok a betegek, akik nem érték el az ASAS</w:delText>
        </w:r>
        <w:r w:rsidR="00D92B74" w:rsidRPr="00183B5F">
          <w:rPr>
            <w:szCs w:val="22"/>
          </w:rPr>
          <w:delText> </w:delText>
        </w:r>
        <w:r w:rsidRPr="00183B5F">
          <w:rPr>
            <w:szCs w:val="22"/>
          </w:rPr>
          <w:delText>20</w:delText>
        </w:r>
        <w:r w:rsidR="001B2B84" w:rsidRPr="00183B5F">
          <w:rPr>
            <w:szCs w:val="22"/>
          </w:rPr>
          <w:delText xml:space="preserve"> választ</w:delText>
        </w:r>
        <w:r w:rsidRPr="00183B5F">
          <w:rPr>
            <w:szCs w:val="22"/>
          </w:rPr>
          <w:delText xml:space="preserve"> (n = 215, 54,7%) a 12. vagy a 16. vagy a 20.</w:delText>
        </w:r>
        <w:r w:rsidR="00A44DB6" w:rsidRPr="00183B5F">
          <w:rPr>
            <w:szCs w:val="22"/>
          </w:rPr>
          <w:delText> hét</w:delText>
        </w:r>
        <w:r w:rsidR="001B2B84" w:rsidRPr="00183B5F">
          <w:rPr>
            <w:szCs w:val="22"/>
          </w:rPr>
          <w:delText xml:space="preserve">en, korai </w:delText>
        </w:r>
        <w:r w:rsidR="006F1178" w:rsidRPr="00183B5F">
          <w:rPr>
            <w:szCs w:val="22"/>
          </w:rPr>
          <w:delText>men</w:delText>
        </w:r>
        <w:r w:rsidR="001B2B84" w:rsidRPr="00183B5F">
          <w:rPr>
            <w:szCs w:val="22"/>
          </w:rPr>
          <w:delText>t</w:delText>
        </w:r>
        <w:r w:rsidR="006F1178" w:rsidRPr="00183B5F">
          <w:rPr>
            <w:szCs w:val="22"/>
          </w:rPr>
          <w:delText>e</w:delText>
        </w:r>
        <w:r w:rsidR="001B2B84" w:rsidRPr="00183B5F">
          <w:rPr>
            <w:szCs w:val="22"/>
          </w:rPr>
          <w:delText xml:space="preserve">sítő terápiaként </w:delText>
        </w:r>
        <w:r w:rsidRPr="00183B5F">
          <w:rPr>
            <w:szCs w:val="22"/>
          </w:rPr>
          <w:delText>kéthetente 40 mg adalimumab subcutan kezelés</w:delText>
        </w:r>
        <w:r w:rsidR="001B2B84" w:rsidRPr="00183B5F">
          <w:rPr>
            <w:szCs w:val="22"/>
          </w:rPr>
          <w:delText xml:space="preserve">t kaptak nyílt formában, </w:delText>
        </w:r>
        <w:r w:rsidRPr="00183B5F">
          <w:rPr>
            <w:szCs w:val="22"/>
          </w:rPr>
          <w:delText xml:space="preserve">és </w:delText>
        </w:r>
        <w:r w:rsidR="001B2B84" w:rsidRPr="00183B5F">
          <w:rPr>
            <w:szCs w:val="22"/>
          </w:rPr>
          <w:delText xml:space="preserve">következményesen </w:delText>
        </w:r>
        <w:r w:rsidRPr="00183B5F">
          <w:rPr>
            <w:szCs w:val="22"/>
          </w:rPr>
          <w:delText>nem reagálóként dolgozták fel a</w:delText>
        </w:r>
        <w:r w:rsidRPr="00183B5F">
          <w:rPr>
            <w:szCs w:val="22"/>
          </w:rPr>
          <w:delText xml:space="preserve"> </w:delText>
        </w:r>
        <w:r w:rsidR="00E5381A" w:rsidRPr="00183B5F">
          <w:rPr>
            <w:szCs w:val="22"/>
          </w:rPr>
          <w:delText>kettős vak</w:delText>
        </w:r>
        <w:r w:rsidRPr="00183B5F">
          <w:rPr>
            <w:szCs w:val="22"/>
          </w:rPr>
          <w:delText xml:space="preserve"> </w:delText>
        </w:r>
        <w:r w:rsidR="001B2B84" w:rsidRPr="00183B5F">
          <w:rPr>
            <w:szCs w:val="22"/>
          </w:rPr>
          <w:delText xml:space="preserve">fázis </w:delText>
        </w:r>
        <w:r w:rsidRPr="00183B5F">
          <w:rPr>
            <w:szCs w:val="22"/>
          </w:rPr>
          <w:delText>statisztikai elemzés</w:delText>
        </w:r>
        <w:r w:rsidR="001B2B84" w:rsidRPr="00183B5F">
          <w:rPr>
            <w:szCs w:val="22"/>
          </w:rPr>
          <w:delText>e</w:delText>
        </w:r>
        <w:r w:rsidRPr="00183B5F">
          <w:rPr>
            <w:szCs w:val="22"/>
          </w:rPr>
          <w:delText xml:space="preserve"> során.</w:delText>
        </w:r>
      </w:del>
    </w:p>
    <w:p w14:paraId="3FC24375" w14:textId="2AC38B7B" w:rsidR="00FB6710" w:rsidRPr="00183B5F" w:rsidRDefault="00FB6710" w:rsidP="004062FE">
      <w:pPr>
        <w:spacing w:line="240" w:lineRule="auto"/>
        <w:rPr>
          <w:del w:id="5944" w:author="AbbVie_HU_03" w:date="2025-05-14T15:27:00Z"/>
          <w:szCs w:val="22"/>
        </w:rPr>
      </w:pPr>
    </w:p>
    <w:p w14:paraId="1AA2AC88" w14:textId="74C986CC" w:rsidR="00FB6710" w:rsidRPr="00183B5F" w:rsidRDefault="00943743" w:rsidP="004062FE">
      <w:pPr>
        <w:spacing w:line="240" w:lineRule="auto"/>
        <w:rPr>
          <w:del w:id="5945" w:author="AbbVie_HU_03" w:date="2025-05-14T15:27:00Z"/>
          <w:szCs w:val="22"/>
        </w:rPr>
      </w:pPr>
      <w:del w:id="5946" w:author="AbbVie_HU_03" w:date="2025-05-14T15:27:00Z">
        <w:r w:rsidRPr="00183B5F">
          <w:rPr>
            <w:szCs w:val="22"/>
          </w:rPr>
          <w:delText>Egy 315</w:delText>
        </w:r>
        <w:r w:rsidR="00D92B74" w:rsidRPr="00183B5F">
          <w:rPr>
            <w:szCs w:val="22"/>
          </w:rPr>
          <w:delText> </w:delText>
        </w:r>
        <w:r w:rsidRPr="00183B5F">
          <w:rPr>
            <w:szCs w:val="22"/>
          </w:rPr>
          <w:delText>betegen végzett nagyobb klinikai vizsgálatban (AS</w:delText>
        </w:r>
        <w:r w:rsidR="00D92B74" w:rsidRPr="00183B5F">
          <w:rPr>
            <w:szCs w:val="22"/>
          </w:rPr>
          <w:delText> </w:delText>
        </w:r>
        <w:r w:rsidRPr="00183B5F">
          <w:rPr>
            <w:szCs w:val="22"/>
          </w:rPr>
          <w:delText>I) az eredmények a spondylitis ankylopoetica jeleinek és tüneteinek statisztikailag szignifikáns javulását mutatták a Humira</w:delText>
        </w:r>
        <w:r w:rsidR="00D92B74" w:rsidRPr="00183B5F">
          <w:rPr>
            <w:szCs w:val="22"/>
          </w:rPr>
          <w:noBreakHyphen/>
        </w:r>
        <w:r w:rsidRPr="00183B5F">
          <w:rPr>
            <w:szCs w:val="22"/>
          </w:rPr>
          <w:delText>val kezelt betegek körében, a placebóval kezeltekhez képest. Szignifikáns hatást először a 2.</w:delText>
        </w:r>
        <w:r w:rsidR="00A44DB6" w:rsidRPr="00183B5F">
          <w:rPr>
            <w:szCs w:val="22"/>
          </w:rPr>
          <w:delText> hét</w:delText>
        </w:r>
        <w:r w:rsidRPr="00183B5F">
          <w:rPr>
            <w:szCs w:val="22"/>
          </w:rPr>
          <w:delText>en észleltek, ami 24</w:delText>
        </w:r>
        <w:r w:rsidR="00A44DB6" w:rsidRPr="00183B5F">
          <w:rPr>
            <w:szCs w:val="22"/>
          </w:rPr>
          <w:delText> hét</w:delText>
        </w:r>
        <w:r w:rsidRPr="00183B5F">
          <w:rPr>
            <w:szCs w:val="22"/>
          </w:rPr>
          <w:delText>en keresztül fennmaradt (</w:delText>
        </w:r>
        <w:r w:rsidR="00B917A9" w:rsidRPr="00183B5F">
          <w:rPr>
            <w:szCs w:val="22"/>
          </w:rPr>
          <w:delText>12</w:delText>
        </w:r>
        <w:r w:rsidRPr="00183B5F">
          <w:rPr>
            <w:szCs w:val="22"/>
          </w:rPr>
          <w:delText>.</w:delText>
        </w:r>
        <w:r w:rsidR="00A24D59" w:rsidRPr="00183B5F">
          <w:rPr>
            <w:szCs w:val="22"/>
          </w:rPr>
          <w:delText> </w:delText>
        </w:r>
        <w:r w:rsidRPr="00183B5F">
          <w:rPr>
            <w:szCs w:val="22"/>
          </w:rPr>
          <w:delText>táblázat).</w:delText>
        </w:r>
      </w:del>
    </w:p>
    <w:p w14:paraId="6DC1ACC1" w14:textId="72453DE9" w:rsidR="00FB6710" w:rsidRPr="00183B5F" w:rsidRDefault="00FB6710" w:rsidP="004062FE">
      <w:pPr>
        <w:spacing w:line="240" w:lineRule="auto"/>
        <w:rPr>
          <w:del w:id="5947" w:author="AbbVie_HU_03" w:date="2025-05-14T15:27:00Z"/>
          <w:szCs w:val="22"/>
        </w:rPr>
      </w:pPr>
    </w:p>
    <w:p w14:paraId="3A0D4FAA" w14:textId="063DC974" w:rsidR="00C1029B" w:rsidRPr="00183B5F" w:rsidRDefault="00943743">
      <w:pPr>
        <w:pStyle w:val="EMEANormal"/>
        <w:keepNext/>
        <w:jc w:val="center"/>
        <w:rPr>
          <w:del w:id="5948" w:author="AbbVie_HU_03" w:date="2025-05-14T15:27:00Z"/>
          <w:b/>
          <w:bCs/>
          <w:szCs w:val="22"/>
          <w:lang w:val="hu-HU"/>
        </w:rPr>
      </w:pPr>
      <w:del w:id="5949" w:author="AbbVie_HU_03" w:date="2025-05-14T15:27:00Z">
        <w:r w:rsidRPr="00183B5F">
          <w:rPr>
            <w:b/>
            <w:bCs/>
            <w:szCs w:val="22"/>
            <w:lang w:val="hu-HU"/>
          </w:rPr>
          <w:delText>12</w:delText>
        </w:r>
        <w:r w:rsidR="00FB6710" w:rsidRPr="00183B5F">
          <w:rPr>
            <w:b/>
            <w:bCs/>
            <w:szCs w:val="22"/>
            <w:lang w:val="hu-HU"/>
          </w:rPr>
          <w:delText>.</w:delText>
        </w:r>
        <w:r w:rsidR="00A24D59" w:rsidRPr="00183B5F">
          <w:rPr>
            <w:b/>
            <w:bCs/>
            <w:szCs w:val="22"/>
            <w:lang w:val="hu-HU"/>
          </w:rPr>
          <w:delText> </w:delText>
        </w:r>
        <w:r w:rsidR="00FB6710" w:rsidRPr="00183B5F">
          <w:rPr>
            <w:b/>
            <w:bCs/>
            <w:szCs w:val="22"/>
            <w:lang w:val="hu-HU"/>
          </w:rPr>
          <w:delText xml:space="preserve">táblázat </w:delText>
        </w:r>
      </w:del>
    </w:p>
    <w:p w14:paraId="2BB607CC" w14:textId="2B6F243F" w:rsidR="00FB6710" w:rsidRPr="00183B5F" w:rsidRDefault="00943743">
      <w:pPr>
        <w:pStyle w:val="EMEANormal"/>
        <w:keepNext/>
        <w:jc w:val="center"/>
        <w:rPr>
          <w:del w:id="5950" w:author="AbbVie_HU_03" w:date="2025-05-14T15:27:00Z"/>
          <w:b/>
          <w:bCs/>
          <w:szCs w:val="22"/>
          <w:lang w:val="hu-HU"/>
        </w:rPr>
      </w:pPr>
      <w:del w:id="5951" w:author="AbbVie_HU_03" w:date="2025-05-14T15:27:00Z">
        <w:r w:rsidRPr="00183B5F">
          <w:rPr>
            <w:b/>
            <w:bCs/>
            <w:szCs w:val="22"/>
            <w:lang w:val="hu-HU"/>
          </w:rPr>
          <w:delText>Hatásosság</w:delText>
        </w:r>
        <w:r w:rsidR="000E27C6" w:rsidRPr="00183B5F">
          <w:rPr>
            <w:b/>
            <w:bCs/>
            <w:szCs w:val="22"/>
            <w:lang w:val="hu-HU"/>
          </w:rPr>
          <w:delText>i válasz</w:delText>
        </w:r>
        <w:r w:rsidR="006F1178" w:rsidRPr="00183B5F">
          <w:rPr>
            <w:b/>
            <w:bCs/>
            <w:szCs w:val="22"/>
            <w:lang w:val="hu-HU"/>
          </w:rPr>
          <w:delText>arányok</w:delText>
        </w:r>
        <w:r w:rsidR="000E27C6" w:rsidRPr="00183B5F">
          <w:rPr>
            <w:b/>
            <w:bCs/>
            <w:szCs w:val="22"/>
            <w:lang w:val="hu-HU"/>
          </w:rPr>
          <w:delText xml:space="preserve"> a </w:delText>
        </w:r>
        <w:r w:rsidRPr="00183B5F">
          <w:rPr>
            <w:b/>
            <w:bCs/>
            <w:szCs w:val="22"/>
            <w:lang w:val="hu-HU"/>
          </w:rPr>
          <w:delText>placebokontrollos AS vizsgálatban – I. vizsgálat</w:delText>
        </w:r>
      </w:del>
    </w:p>
    <w:p w14:paraId="0155EB30" w14:textId="3A55AE0B" w:rsidR="00FB6710" w:rsidRPr="00183B5F" w:rsidRDefault="00943743">
      <w:pPr>
        <w:pStyle w:val="EMEANormal"/>
        <w:keepNext/>
        <w:jc w:val="center"/>
        <w:rPr>
          <w:del w:id="5952" w:author="AbbVie_HU_03" w:date="2025-05-14T15:27:00Z"/>
          <w:b/>
          <w:bCs/>
          <w:szCs w:val="22"/>
          <w:lang w:val="hu-HU"/>
        </w:rPr>
      </w:pPr>
      <w:del w:id="5953" w:author="AbbVie_HU_03" w:date="2025-05-14T15:27:00Z">
        <w:r w:rsidRPr="00183B5F">
          <w:rPr>
            <w:b/>
            <w:bCs/>
            <w:szCs w:val="22"/>
            <w:lang w:val="hu-HU"/>
          </w:rPr>
          <w:delText>Jelek</w:delText>
        </w:r>
        <w:r w:rsidR="000E27C6" w:rsidRPr="00183B5F">
          <w:rPr>
            <w:b/>
            <w:bCs/>
            <w:szCs w:val="22"/>
            <w:lang w:val="hu-HU"/>
          </w:rPr>
          <w:delText xml:space="preserve"> </w:delText>
        </w:r>
        <w:r w:rsidRPr="00183B5F">
          <w:rPr>
            <w:b/>
            <w:bCs/>
            <w:szCs w:val="22"/>
            <w:lang w:val="hu-HU"/>
          </w:rPr>
          <w:delText>és tünetek csökkenése</w:delText>
        </w:r>
      </w:del>
    </w:p>
    <w:p w14:paraId="582C4E41" w14:textId="0402B9E3" w:rsidR="00FB6710" w:rsidRPr="00183B5F" w:rsidRDefault="00FB6710">
      <w:pPr>
        <w:pStyle w:val="EMEANormal"/>
        <w:keepNext/>
        <w:rPr>
          <w:del w:id="5954" w:author="AbbVie_HU_03" w:date="2025-05-14T15:27:00Z"/>
          <w:szCs w:val="22"/>
          <w:lang w:val="hu-HU"/>
        </w:rPr>
      </w:pPr>
    </w:p>
    <w:tbl>
      <w:tblPr>
        <w:tblW w:w="7480" w:type="dxa"/>
        <w:tblInd w:w="95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300"/>
        <w:gridCol w:w="2200"/>
        <w:gridCol w:w="1980"/>
      </w:tblGrid>
      <w:tr w:rsidR="00011D2F" w14:paraId="3D7C80C2" w14:textId="37E1FD22" w:rsidTr="006A1EF8">
        <w:trPr>
          <w:cantSplit/>
          <w:tblHeader/>
          <w:del w:id="5955" w:author="AbbVie_HU_03" w:date="2025-05-14T15:27:00Z"/>
        </w:trPr>
        <w:tc>
          <w:tcPr>
            <w:tcW w:w="3300" w:type="dxa"/>
            <w:tcBorders>
              <w:top w:val="single" w:sz="4" w:space="0" w:color="auto"/>
              <w:bottom w:val="single" w:sz="4" w:space="0" w:color="auto"/>
              <w:right w:val="single" w:sz="4" w:space="0" w:color="auto"/>
            </w:tcBorders>
          </w:tcPr>
          <w:p w14:paraId="36C2E7D6" w14:textId="17B8A5FF" w:rsidR="00FB6710" w:rsidRPr="00183B5F" w:rsidRDefault="00943743" w:rsidP="004062FE">
            <w:pPr>
              <w:pStyle w:val="EMEAHeading1"/>
              <w:keepNext/>
              <w:spacing w:beforeLines="0" w:afterLines="0"/>
              <w:rPr>
                <w:del w:id="5956" w:author="AbbVie_HU_03" w:date="2025-05-14T15:27:00Z"/>
                <w:rFonts w:ascii="Times New Roman" w:hAnsi="Times New Roman"/>
                <w:caps w:val="0"/>
                <w:lang w:val="hu-HU"/>
              </w:rPr>
            </w:pPr>
            <w:del w:id="5957" w:author="AbbVie_HU_03" w:date="2025-05-14T15:27:00Z">
              <w:r w:rsidRPr="00183B5F">
                <w:rPr>
                  <w:rFonts w:ascii="Times New Roman" w:hAnsi="Times New Roman"/>
                  <w:caps w:val="0"/>
                  <w:lang w:val="hu-HU"/>
                </w:rPr>
                <w:delText>Válasz</w:delText>
              </w:r>
            </w:del>
          </w:p>
        </w:tc>
        <w:tc>
          <w:tcPr>
            <w:tcW w:w="2200" w:type="dxa"/>
            <w:tcBorders>
              <w:top w:val="single" w:sz="4" w:space="0" w:color="auto"/>
              <w:left w:val="single" w:sz="4" w:space="0" w:color="auto"/>
              <w:bottom w:val="single" w:sz="4" w:space="0" w:color="auto"/>
              <w:right w:val="single" w:sz="4" w:space="0" w:color="auto"/>
            </w:tcBorders>
          </w:tcPr>
          <w:p w14:paraId="6E44C1F9" w14:textId="19642A35" w:rsidR="00FB6710" w:rsidRPr="00183B5F" w:rsidRDefault="00943743" w:rsidP="004062FE">
            <w:pPr>
              <w:keepNext/>
              <w:tabs>
                <w:tab w:val="left" w:pos="562"/>
              </w:tabs>
              <w:spacing w:line="240" w:lineRule="auto"/>
              <w:jc w:val="center"/>
              <w:rPr>
                <w:del w:id="5958" w:author="AbbVie_HU_03" w:date="2025-05-14T15:27:00Z"/>
                <w:b/>
              </w:rPr>
            </w:pPr>
            <w:del w:id="5959" w:author="AbbVie_HU_03" w:date="2025-05-14T15:27:00Z">
              <w:r w:rsidRPr="00183B5F">
                <w:rPr>
                  <w:b/>
                </w:rPr>
                <w:delText>Placebo</w:delText>
              </w:r>
            </w:del>
          </w:p>
          <w:p w14:paraId="5ED2675D" w14:textId="154E74DE" w:rsidR="00FB6710" w:rsidRPr="00183B5F" w:rsidRDefault="00943743" w:rsidP="004062FE">
            <w:pPr>
              <w:keepNext/>
              <w:tabs>
                <w:tab w:val="left" w:pos="562"/>
              </w:tabs>
              <w:spacing w:line="240" w:lineRule="auto"/>
              <w:jc w:val="center"/>
              <w:rPr>
                <w:del w:id="5960" w:author="AbbVie_HU_03" w:date="2025-05-14T15:27:00Z"/>
                <w:b/>
              </w:rPr>
            </w:pPr>
            <w:del w:id="5961" w:author="AbbVie_HU_03" w:date="2025-05-14T15:27:00Z">
              <w:r w:rsidRPr="00183B5F">
                <w:rPr>
                  <w:b/>
                </w:rPr>
                <w:delText>N</w:delText>
              </w:r>
              <w:r w:rsidR="003F64BC" w:rsidRPr="00183B5F">
                <w:rPr>
                  <w:b/>
                </w:rPr>
                <w:delText> </w:delText>
              </w:r>
              <w:r w:rsidRPr="00183B5F">
                <w:rPr>
                  <w:b/>
                </w:rPr>
                <w:delText>=</w:delText>
              </w:r>
              <w:r w:rsidR="003F64BC" w:rsidRPr="00183B5F">
                <w:rPr>
                  <w:b/>
                </w:rPr>
                <w:delText> </w:delText>
              </w:r>
              <w:r w:rsidRPr="00183B5F">
                <w:rPr>
                  <w:b/>
                </w:rPr>
                <w:delText>107</w:delText>
              </w:r>
            </w:del>
          </w:p>
        </w:tc>
        <w:tc>
          <w:tcPr>
            <w:tcW w:w="1980" w:type="dxa"/>
            <w:tcBorders>
              <w:top w:val="single" w:sz="4" w:space="0" w:color="auto"/>
              <w:left w:val="single" w:sz="4" w:space="0" w:color="auto"/>
              <w:bottom w:val="single" w:sz="4" w:space="0" w:color="auto"/>
            </w:tcBorders>
          </w:tcPr>
          <w:p w14:paraId="48D44901" w14:textId="01EE30FD" w:rsidR="00FB6710" w:rsidRPr="00183B5F" w:rsidRDefault="00943743" w:rsidP="004062FE">
            <w:pPr>
              <w:keepNext/>
              <w:tabs>
                <w:tab w:val="left" w:pos="562"/>
              </w:tabs>
              <w:spacing w:line="240" w:lineRule="auto"/>
              <w:jc w:val="center"/>
              <w:rPr>
                <w:del w:id="5962" w:author="AbbVie_HU_03" w:date="2025-05-14T15:27:00Z"/>
                <w:b/>
              </w:rPr>
            </w:pPr>
            <w:del w:id="5963" w:author="AbbVie_HU_03" w:date="2025-05-14T15:27:00Z">
              <w:r w:rsidRPr="00183B5F">
                <w:rPr>
                  <w:b/>
                </w:rPr>
                <w:delText>Humira</w:delText>
              </w:r>
            </w:del>
          </w:p>
          <w:p w14:paraId="13018CA0" w14:textId="05520DA4" w:rsidR="00FB6710" w:rsidRPr="00183B5F" w:rsidRDefault="00943743" w:rsidP="004062FE">
            <w:pPr>
              <w:keepNext/>
              <w:tabs>
                <w:tab w:val="left" w:pos="562"/>
              </w:tabs>
              <w:spacing w:line="240" w:lineRule="auto"/>
              <w:jc w:val="center"/>
              <w:rPr>
                <w:del w:id="5964" w:author="AbbVie_HU_03" w:date="2025-05-14T15:27:00Z"/>
                <w:b/>
              </w:rPr>
            </w:pPr>
            <w:del w:id="5965" w:author="AbbVie_HU_03" w:date="2025-05-14T15:27:00Z">
              <w:r w:rsidRPr="00183B5F">
                <w:rPr>
                  <w:b/>
                </w:rPr>
                <w:delText>N</w:delText>
              </w:r>
              <w:r w:rsidR="003F64BC" w:rsidRPr="00183B5F">
                <w:rPr>
                  <w:b/>
                </w:rPr>
                <w:delText> </w:delText>
              </w:r>
              <w:r w:rsidRPr="00183B5F">
                <w:rPr>
                  <w:b/>
                </w:rPr>
                <w:delText>=</w:delText>
              </w:r>
              <w:r w:rsidR="003F64BC" w:rsidRPr="00183B5F">
                <w:rPr>
                  <w:b/>
                </w:rPr>
                <w:delText> </w:delText>
              </w:r>
              <w:r w:rsidRPr="00183B5F">
                <w:rPr>
                  <w:b/>
                </w:rPr>
                <w:delText>208</w:delText>
              </w:r>
            </w:del>
          </w:p>
        </w:tc>
      </w:tr>
      <w:tr w:rsidR="00011D2F" w14:paraId="507D35C1" w14:textId="105CD74B" w:rsidTr="006A1EF8">
        <w:trPr>
          <w:tblHeader/>
          <w:del w:id="5966" w:author="AbbVie_HU_03" w:date="2025-05-14T15:27:00Z"/>
        </w:trPr>
        <w:tc>
          <w:tcPr>
            <w:tcW w:w="3300" w:type="dxa"/>
            <w:tcBorders>
              <w:top w:val="single" w:sz="4" w:space="0" w:color="auto"/>
              <w:bottom w:val="single" w:sz="4" w:space="0" w:color="auto"/>
              <w:right w:val="single" w:sz="4" w:space="0" w:color="auto"/>
            </w:tcBorders>
          </w:tcPr>
          <w:p w14:paraId="6C6479E0" w14:textId="0420EC7B" w:rsidR="00FB6710" w:rsidRPr="00183B5F" w:rsidRDefault="00943743" w:rsidP="004062FE">
            <w:pPr>
              <w:keepNext/>
              <w:tabs>
                <w:tab w:val="left" w:pos="562"/>
              </w:tabs>
              <w:suppressAutoHyphens w:val="0"/>
              <w:spacing w:line="240" w:lineRule="auto"/>
              <w:rPr>
                <w:del w:id="5967" w:author="AbbVie_HU_03" w:date="2025-05-14T15:27:00Z"/>
              </w:rPr>
            </w:pPr>
            <w:del w:id="5968" w:author="AbbVie_HU_03" w:date="2025-05-14T15:27:00Z">
              <w:r w:rsidRPr="00183B5F">
                <w:delText>ASAS</w:delText>
              </w:r>
              <w:r w:rsidRPr="00183B5F">
                <w:rPr>
                  <w:vertAlign w:val="superscript"/>
                </w:rPr>
                <w:delText>a</w:delText>
              </w:r>
              <w:r w:rsidRPr="00183B5F">
                <w:delText xml:space="preserve"> 20</w:delText>
              </w:r>
            </w:del>
          </w:p>
        </w:tc>
        <w:tc>
          <w:tcPr>
            <w:tcW w:w="2200" w:type="dxa"/>
            <w:tcBorders>
              <w:top w:val="single" w:sz="4" w:space="0" w:color="auto"/>
              <w:left w:val="single" w:sz="4" w:space="0" w:color="auto"/>
              <w:bottom w:val="single" w:sz="4" w:space="0" w:color="auto"/>
              <w:right w:val="single" w:sz="4" w:space="0" w:color="auto"/>
            </w:tcBorders>
          </w:tcPr>
          <w:p w14:paraId="65A479B0" w14:textId="7E1CEC64" w:rsidR="00FB6710" w:rsidRPr="00183B5F" w:rsidRDefault="00FB6710" w:rsidP="004062FE">
            <w:pPr>
              <w:keepNext/>
              <w:tabs>
                <w:tab w:val="left" w:pos="562"/>
              </w:tabs>
              <w:suppressAutoHyphens w:val="0"/>
              <w:spacing w:line="240" w:lineRule="auto"/>
              <w:jc w:val="center"/>
              <w:rPr>
                <w:del w:id="5969" w:author="AbbVie_HU_03" w:date="2025-05-14T15:27:00Z"/>
              </w:rPr>
            </w:pPr>
          </w:p>
        </w:tc>
        <w:tc>
          <w:tcPr>
            <w:tcW w:w="1980" w:type="dxa"/>
            <w:tcBorders>
              <w:top w:val="single" w:sz="4" w:space="0" w:color="auto"/>
              <w:left w:val="single" w:sz="4" w:space="0" w:color="auto"/>
              <w:bottom w:val="single" w:sz="4" w:space="0" w:color="auto"/>
            </w:tcBorders>
          </w:tcPr>
          <w:p w14:paraId="71DD43C1" w14:textId="36A5C3FF" w:rsidR="00FB6710" w:rsidRPr="00183B5F" w:rsidRDefault="00FB6710" w:rsidP="004062FE">
            <w:pPr>
              <w:keepNext/>
              <w:tabs>
                <w:tab w:val="left" w:pos="562"/>
              </w:tabs>
              <w:suppressAutoHyphens w:val="0"/>
              <w:spacing w:line="240" w:lineRule="auto"/>
              <w:jc w:val="center"/>
              <w:rPr>
                <w:del w:id="5970" w:author="AbbVie_HU_03" w:date="2025-05-14T15:27:00Z"/>
              </w:rPr>
            </w:pPr>
          </w:p>
        </w:tc>
      </w:tr>
      <w:tr w:rsidR="00011D2F" w14:paraId="3E33F530" w14:textId="502173C3" w:rsidTr="006A1EF8">
        <w:trPr>
          <w:tblHeader/>
          <w:del w:id="5971" w:author="AbbVie_HU_03" w:date="2025-05-14T15:27:00Z"/>
        </w:trPr>
        <w:tc>
          <w:tcPr>
            <w:tcW w:w="3300" w:type="dxa"/>
            <w:tcBorders>
              <w:top w:val="single" w:sz="4" w:space="0" w:color="auto"/>
              <w:bottom w:val="single" w:sz="4" w:space="0" w:color="auto"/>
              <w:right w:val="single" w:sz="4" w:space="0" w:color="auto"/>
            </w:tcBorders>
          </w:tcPr>
          <w:p w14:paraId="6E8403A7" w14:textId="75FF652F" w:rsidR="00FB6710" w:rsidRPr="00183B5F" w:rsidRDefault="00943743" w:rsidP="004062FE">
            <w:pPr>
              <w:pStyle w:val="EndnoteText"/>
              <w:keepNext/>
              <w:overflowPunct w:val="0"/>
              <w:autoSpaceDE w:val="0"/>
              <w:autoSpaceDN w:val="0"/>
              <w:adjustRightInd w:val="0"/>
              <w:textAlignment w:val="baseline"/>
              <w:rPr>
                <w:del w:id="5972" w:author="AbbVie_HU_03" w:date="2025-05-14T15:27:00Z"/>
                <w:sz w:val="22"/>
                <w:lang w:val="hu-HU"/>
              </w:rPr>
            </w:pPr>
            <w:del w:id="5973" w:author="AbbVie_HU_03" w:date="2025-05-14T15:27:00Z">
              <w:r w:rsidRPr="00183B5F">
                <w:rPr>
                  <w:sz w:val="22"/>
                  <w:lang w:val="hu-HU"/>
                </w:rPr>
                <w:tab/>
                <w:delText>2.</w:delText>
              </w:r>
              <w:r w:rsidR="00A44DB6" w:rsidRPr="00183B5F">
                <w:rPr>
                  <w:sz w:val="22"/>
                  <w:lang w:val="hu-HU"/>
                </w:rPr>
                <w:delText> hét</w:delText>
              </w:r>
            </w:del>
          </w:p>
        </w:tc>
        <w:tc>
          <w:tcPr>
            <w:tcW w:w="2200" w:type="dxa"/>
            <w:tcBorders>
              <w:top w:val="single" w:sz="4" w:space="0" w:color="auto"/>
              <w:left w:val="single" w:sz="4" w:space="0" w:color="auto"/>
              <w:bottom w:val="single" w:sz="4" w:space="0" w:color="auto"/>
              <w:right w:val="single" w:sz="4" w:space="0" w:color="auto"/>
            </w:tcBorders>
          </w:tcPr>
          <w:p w14:paraId="598D1600" w14:textId="75FF653B" w:rsidR="00FB6710" w:rsidRPr="00183B5F" w:rsidRDefault="00943743" w:rsidP="004062FE">
            <w:pPr>
              <w:keepNext/>
              <w:tabs>
                <w:tab w:val="left" w:pos="562"/>
              </w:tabs>
              <w:suppressAutoHyphens w:val="0"/>
              <w:spacing w:line="240" w:lineRule="auto"/>
              <w:jc w:val="center"/>
              <w:rPr>
                <w:del w:id="5974" w:author="AbbVie_HU_03" w:date="2025-05-14T15:27:00Z"/>
              </w:rPr>
            </w:pPr>
            <w:del w:id="5975" w:author="AbbVie_HU_03" w:date="2025-05-14T15:27:00Z">
              <w:r w:rsidRPr="00183B5F">
                <w:delText>16%</w:delText>
              </w:r>
            </w:del>
          </w:p>
        </w:tc>
        <w:tc>
          <w:tcPr>
            <w:tcW w:w="1980" w:type="dxa"/>
            <w:tcBorders>
              <w:top w:val="single" w:sz="4" w:space="0" w:color="auto"/>
              <w:left w:val="single" w:sz="4" w:space="0" w:color="auto"/>
              <w:bottom w:val="single" w:sz="4" w:space="0" w:color="auto"/>
            </w:tcBorders>
          </w:tcPr>
          <w:p w14:paraId="1491F36A" w14:textId="3D0A5310" w:rsidR="00FB6710" w:rsidRPr="00183B5F" w:rsidRDefault="00943743" w:rsidP="004062FE">
            <w:pPr>
              <w:keepNext/>
              <w:tabs>
                <w:tab w:val="left" w:pos="562"/>
              </w:tabs>
              <w:suppressAutoHyphens w:val="0"/>
              <w:spacing w:line="240" w:lineRule="auto"/>
              <w:jc w:val="center"/>
              <w:rPr>
                <w:del w:id="5976" w:author="AbbVie_HU_03" w:date="2025-05-14T15:27:00Z"/>
              </w:rPr>
            </w:pPr>
            <w:del w:id="5977" w:author="AbbVie_HU_03" w:date="2025-05-14T15:27:00Z">
              <w:r w:rsidRPr="00183B5F">
                <w:delText>42%***</w:delText>
              </w:r>
            </w:del>
          </w:p>
        </w:tc>
      </w:tr>
      <w:tr w:rsidR="00011D2F" w14:paraId="6104D89E" w14:textId="12395213" w:rsidTr="006A1EF8">
        <w:trPr>
          <w:tblHeader/>
          <w:del w:id="5978" w:author="AbbVie_HU_03" w:date="2025-05-14T15:27:00Z"/>
        </w:trPr>
        <w:tc>
          <w:tcPr>
            <w:tcW w:w="3300" w:type="dxa"/>
            <w:tcBorders>
              <w:top w:val="single" w:sz="4" w:space="0" w:color="auto"/>
              <w:bottom w:val="single" w:sz="4" w:space="0" w:color="auto"/>
              <w:right w:val="single" w:sz="4" w:space="0" w:color="auto"/>
            </w:tcBorders>
          </w:tcPr>
          <w:p w14:paraId="6A51F772" w14:textId="2FD68859" w:rsidR="00FB6710" w:rsidRPr="00183B5F" w:rsidRDefault="00943743" w:rsidP="004062FE">
            <w:pPr>
              <w:keepNext/>
              <w:tabs>
                <w:tab w:val="left" w:pos="562"/>
              </w:tabs>
              <w:suppressAutoHyphens w:val="0"/>
              <w:overflowPunct w:val="0"/>
              <w:autoSpaceDE w:val="0"/>
              <w:autoSpaceDN w:val="0"/>
              <w:adjustRightInd w:val="0"/>
              <w:spacing w:line="240" w:lineRule="auto"/>
              <w:ind w:left="610" w:hanging="610"/>
              <w:textAlignment w:val="baseline"/>
              <w:rPr>
                <w:del w:id="5979" w:author="AbbVie_HU_03" w:date="2025-05-14T15:27:00Z"/>
              </w:rPr>
            </w:pPr>
            <w:del w:id="5980" w:author="AbbVie_HU_03" w:date="2025-05-14T15:27:00Z">
              <w:r w:rsidRPr="00183B5F">
                <w:tab/>
                <w:delText>12.</w:delText>
              </w:r>
              <w:r w:rsidR="00A44DB6" w:rsidRPr="00183B5F">
                <w:delText> hét</w:delText>
              </w:r>
            </w:del>
          </w:p>
        </w:tc>
        <w:tc>
          <w:tcPr>
            <w:tcW w:w="2200" w:type="dxa"/>
            <w:tcBorders>
              <w:top w:val="single" w:sz="4" w:space="0" w:color="auto"/>
              <w:left w:val="single" w:sz="4" w:space="0" w:color="auto"/>
              <w:bottom w:val="single" w:sz="4" w:space="0" w:color="auto"/>
              <w:right w:val="single" w:sz="4" w:space="0" w:color="auto"/>
            </w:tcBorders>
          </w:tcPr>
          <w:p w14:paraId="658EB56A" w14:textId="3E145E3D" w:rsidR="00FB6710" w:rsidRPr="00183B5F" w:rsidRDefault="00943743" w:rsidP="004062FE">
            <w:pPr>
              <w:keepNext/>
              <w:tabs>
                <w:tab w:val="left" w:pos="562"/>
              </w:tabs>
              <w:suppressAutoHyphens w:val="0"/>
              <w:spacing w:line="240" w:lineRule="auto"/>
              <w:jc w:val="center"/>
              <w:rPr>
                <w:del w:id="5981" w:author="AbbVie_HU_03" w:date="2025-05-14T15:27:00Z"/>
              </w:rPr>
            </w:pPr>
            <w:del w:id="5982" w:author="AbbVie_HU_03" w:date="2025-05-14T15:27:00Z">
              <w:r w:rsidRPr="00183B5F">
                <w:delText>21%</w:delText>
              </w:r>
            </w:del>
          </w:p>
        </w:tc>
        <w:tc>
          <w:tcPr>
            <w:tcW w:w="1980" w:type="dxa"/>
            <w:tcBorders>
              <w:top w:val="single" w:sz="4" w:space="0" w:color="auto"/>
              <w:left w:val="single" w:sz="4" w:space="0" w:color="auto"/>
              <w:bottom w:val="single" w:sz="4" w:space="0" w:color="auto"/>
            </w:tcBorders>
          </w:tcPr>
          <w:p w14:paraId="2ED29E04" w14:textId="1D9257A7" w:rsidR="00FB6710" w:rsidRPr="00183B5F" w:rsidRDefault="00943743" w:rsidP="004062FE">
            <w:pPr>
              <w:keepNext/>
              <w:tabs>
                <w:tab w:val="left" w:pos="562"/>
              </w:tabs>
              <w:suppressAutoHyphens w:val="0"/>
              <w:spacing w:line="240" w:lineRule="auto"/>
              <w:jc w:val="center"/>
              <w:rPr>
                <w:del w:id="5983" w:author="AbbVie_HU_03" w:date="2025-05-14T15:27:00Z"/>
              </w:rPr>
            </w:pPr>
            <w:del w:id="5984" w:author="AbbVie_HU_03" w:date="2025-05-14T15:27:00Z">
              <w:r w:rsidRPr="00183B5F">
                <w:delText>58%***</w:delText>
              </w:r>
            </w:del>
          </w:p>
        </w:tc>
      </w:tr>
      <w:tr w:rsidR="00011D2F" w14:paraId="63EF4F9B" w14:textId="71ECD1F9" w:rsidTr="006A1EF8">
        <w:trPr>
          <w:tblHeader/>
          <w:del w:id="5985" w:author="AbbVie_HU_03" w:date="2025-05-14T15:27:00Z"/>
        </w:trPr>
        <w:tc>
          <w:tcPr>
            <w:tcW w:w="3300" w:type="dxa"/>
            <w:tcBorders>
              <w:top w:val="single" w:sz="4" w:space="0" w:color="auto"/>
              <w:bottom w:val="single" w:sz="4" w:space="0" w:color="auto"/>
              <w:right w:val="single" w:sz="4" w:space="0" w:color="auto"/>
            </w:tcBorders>
          </w:tcPr>
          <w:p w14:paraId="11F70516" w14:textId="5E16F502" w:rsidR="00FB6710" w:rsidRPr="00183B5F" w:rsidRDefault="00943743" w:rsidP="004062FE">
            <w:pPr>
              <w:keepNext/>
              <w:tabs>
                <w:tab w:val="left" w:pos="562"/>
              </w:tabs>
              <w:suppressAutoHyphens w:val="0"/>
              <w:spacing w:line="240" w:lineRule="auto"/>
              <w:rPr>
                <w:del w:id="5986" w:author="AbbVie_HU_03" w:date="2025-05-14T15:27:00Z"/>
              </w:rPr>
            </w:pPr>
            <w:del w:id="5987" w:author="AbbVie_HU_03" w:date="2025-05-14T15:27:00Z">
              <w:r w:rsidRPr="00183B5F">
                <w:tab/>
                <w:delText>24.</w:delText>
              </w:r>
              <w:r w:rsidR="00A44DB6" w:rsidRPr="00183B5F">
                <w:delText> hét</w:delText>
              </w:r>
            </w:del>
          </w:p>
        </w:tc>
        <w:tc>
          <w:tcPr>
            <w:tcW w:w="2200" w:type="dxa"/>
            <w:tcBorders>
              <w:top w:val="single" w:sz="4" w:space="0" w:color="auto"/>
              <w:left w:val="single" w:sz="4" w:space="0" w:color="auto"/>
              <w:bottom w:val="single" w:sz="4" w:space="0" w:color="auto"/>
              <w:right w:val="single" w:sz="4" w:space="0" w:color="auto"/>
            </w:tcBorders>
          </w:tcPr>
          <w:p w14:paraId="4C8ACEBE" w14:textId="02BC3D19" w:rsidR="00FB6710" w:rsidRPr="00183B5F" w:rsidRDefault="00943743" w:rsidP="004062FE">
            <w:pPr>
              <w:keepNext/>
              <w:tabs>
                <w:tab w:val="left" w:pos="562"/>
              </w:tabs>
              <w:suppressAutoHyphens w:val="0"/>
              <w:spacing w:line="240" w:lineRule="auto"/>
              <w:jc w:val="center"/>
              <w:rPr>
                <w:del w:id="5988" w:author="AbbVie_HU_03" w:date="2025-05-14T15:27:00Z"/>
              </w:rPr>
            </w:pPr>
            <w:del w:id="5989" w:author="AbbVie_HU_03" w:date="2025-05-14T15:27:00Z">
              <w:r w:rsidRPr="00183B5F">
                <w:delText>19%</w:delText>
              </w:r>
            </w:del>
          </w:p>
        </w:tc>
        <w:tc>
          <w:tcPr>
            <w:tcW w:w="1980" w:type="dxa"/>
            <w:tcBorders>
              <w:top w:val="single" w:sz="4" w:space="0" w:color="auto"/>
              <w:left w:val="single" w:sz="4" w:space="0" w:color="auto"/>
              <w:bottom w:val="single" w:sz="4" w:space="0" w:color="auto"/>
            </w:tcBorders>
          </w:tcPr>
          <w:p w14:paraId="042A403E" w14:textId="03E7E29A" w:rsidR="00FB6710" w:rsidRPr="00183B5F" w:rsidRDefault="00943743" w:rsidP="004062FE">
            <w:pPr>
              <w:keepNext/>
              <w:tabs>
                <w:tab w:val="left" w:pos="562"/>
              </w:tabs>
              <w:suppressAutoHyphens w:val="0"/>
              <w:spacing w:line="240" w:lineRule="auto"/>
              <w:jc w:val="center"/>
              <w:rPr>
                <w:del w:id="5990" w:author="AbbVie_HU_03" w:date="2025-05-14T15:27:00Z"/>
              </w:rPr>
            </w:pPr>
            <w:del w:id="5991" w:author="AbbVie_HU_03" w:date="2025-05-14T15:27:00Z">
              <w:r w:rsidRPr="00183B5F">
                <w:delText>51%***</w:delText>
              </w:r>
            </w:del>
          </w:p>
        </w:tc>
      </w:tr>
      <w:tr w:rsidR="00011D2F" w14:paraId="4E3DA069" w14:textId="56FB3120" w:rsidTr="006A1EF8">
        <w:trPr>
          <w:tblHeader/>
          <w:del w:id="5992" w:author="AbbVie_HU_03" w:date="2025-05-14T15:27:00Z"/>
        </w:trPr>
        <w:tc>
          <w:tcPr>
            <w:tcW w:w="3300" w:type="dxa"/>
            <w:tcBorders>
              <w:top w:val="single" w:sz="4" w:space="0" w:color="auto"/>
              <w:bottom w:val="single" w:sz="4" w:space="0" w:color="auto"/>
              <w:right w:val="single" w:sz="4" w:space="0" w:color="auto"/>
            </w:tcBorders>
          </w:tcPr>
          <w:p w14:paraId="6ECDD947" w14:textId="2C60440B" w:rsidR="00FB6710" w:rsidRPr="00183B5F" w:rsidRDefault="00943743" w:rsidP="004062FE">
            <w:pPr>
              <w:keepNext/>
              <w:tabs>
                <w:tab w:val="left" w:pos="562"/>
              </w:tabs>
              <w:suppressAutoHyphens w:val="0"/>
              <w:spacing w:line="240" w:lineRule="auto"/>
              <w:rPr>
                <w:del w:id="5993" w:author="AbbVie_HU_03" w:date="2025-05-14T15:27:00Z"/>
              </w:rPr>
            </w:pPr>
            <w:del w:id="5994" w:author="AbbVie_HU_03" w:date="2025-05-14T15:27:00Z">
              <w:r w:rsidRPr="00183B5F">
                <w:delText>ASAS 50</w:delText>
              </w:r>
            </w:del>
          </w:p>
        </w:tc>
        <w:tc>
          <w:tcPr>
            <w:tcW w:w="2200" w:type="dxa"/>
            <w:tcBorders>
              <w:top w:val="single" w:sz="4" w:space="0" w:color="auto"/>
              <w:left w:val="single" w:sz="4" w:space="0" w:color="auto"/>
              <w:bottom w:val="single" w:sz="4" w:space="0" w:color="auto"/>
              <w:right w:val="single" w:sz="4" w:space="0" w:color="auto"/>
            </w:tcBorders>
          </w:tcPr>
          <w:p w14:paraId="6A156F2D" w14:textId="041F2AC6" w:rsidR="00FB6710" w:rsidRPr="00183B5F" w:rsidRDefault="00FB6710" w:rsidP="004062FE">
            <w:pPr>
              <w:keepNext/>
              <w:tabs>
                <w:tab w:val="left" w:pos="562"/>
              </w:tabs>
              <w:suppressAutoHyphens w:val="0"/>
              <w:spacing w:line="240" w:lineRule="auto"/>
              <w:jc w:val="center"/>
              <w:rPr>
                <w:del w:id="5995" w:author="AbbVie_HU_03" w:date="2025-05-14T15:27:00Z"/>
              </w:rPr>
            </w:pPr>
          </w:p>
        </w:tc>
        <w:tc>
          <w:tcPr>
            <w:tcW w:w="1980" w:type="dxa"/>
            <w:tcBorders>
              <w:top w:val="single" w:sz="4" w:space="0" w:color="auto"/>
              <w:left w:val="single" w:sz="4" w:space="0" w:color="auto"/>
              <w:bottom w:val="single" w:sz="4" w:space="0" w:color="auto"/>
            </w:tcBorders>
          </w:tcPr>
          <w:p w14:paraId="53571140" w14:textId="3AB89A10" w:rsidR="00FB6710" w:rsidRPr="00183B5F" w:rsidRDefault="00FB6710" w:rsidP="004062FE">
            <w:pPr>
              <w:keepNext/>
              <w:tabs>
                <w:tab w:val="left" w:pos="562"/>
              </w:tabs>
              <w:suppressAutoHyphens w:val="0"/>
              <w:spacing w:line="240" w:lineRule="auto"/>
              <w:jc w:val="center"/>
              <w:rPr>
                <w:del w:id="5996" w:author="AbbVie_HU_03" w:date="2025-05-14T15:27:00Z"/>
              </w:rPr>
            </w:pPr>
          </w:p>
        </w:tc>
      </w:tr>
      <w:tr w:rsidR="00011D2F" w14:paraId="0F17B4EB" w14:textId="7CD3C415" w:rsidTr="006A1EF8">
        <w:trPr>
          <w:tblHeader/>
          <w:del w:id="5997" w:author="AbbVie_HU_03" w:date="2025-05-14T15:27:00Z"/>
        </w:trPr>
        <w:tc>
          <w:tcPr>
            <w:tcW w:w="3300" w:type="dxa"/>
            <w:tcBorders>
              <w:top w:val="single" w:sz="4" w:space="0" w:color="auto"/>
              <w:bottom w:val="single" w:sz="4" w:space="0" w:color="auto"/>
              <w:right w:val="single" w:sz="4" w:space="0" w:color="auto"/>
            </w:tcBorders>
          </w:tcPr>
          <w:p w14:paraId="2D3FC605" w14:textId="716E7A97" w:rsidR="00FB6710" w:rsidRPr="00183B5F" w:rsidRDefault="00943743" w:rsidP="004062FE">
            <w:pPr>
              <w:pStyle w:val="EndnoteText"/>
              <w:keepNext/>
              <w:overflowPunct w:val="0"/>
              <w:autoSpaceDE w:val="0"/>
              <w:autoSpaceDN w:val="0"/>
              <w:adjustRightInd w:val="0"/>
              <w:textAlignment w:val="baseline"/>
              <w:rPr>
                <w:del w:id="5998" w:author="AbbVie_HU_03" w:date="2025-05-14T15:27:00Z"/>
                <w:sz w:val="22"/>
                <w:lang w:val="hu-HU"/>
              </w:rPr>
            </w:pPr>
            <w:del w:id="5999" w:author="AbbVie_HU_03" w:date="2025-05-14T15:27:00Z">
              <w:r w:rsidRPr="00183B5F">
                <w:rPr>
                  <w:sz w:val="22"/>
                  <w:lang w:val="hu-HU"/>
                </w:rPr>
                <w:tab/>
                <w:delText>2.</w:delText>
              </w:r>
              <w:r w:rsidR="00A44DB6" w:rsidRPr="00183B5F">
                <w:rPr>
                  <w:sz w:val="22"/>
                  <w:lang w:val="hu-HU"/>
                </w:rPr>
                <w:delText> hét</w:delText>
              </w:r>
            </w:del>
          </w:p>
        </w:tc>
        <w:tc>
          <w:tcPr>
            <w:tcW w:w="2200" w:type="dxa"/>
            <w:tcBorders>
              <w:top w:val="single" w:sz="4" w:space="0" w:color="auto"/>
              <w:left w:val="single" w:sz="4" w:space="0" w:color="auto"/>
              <w:bottom w:val="single" w:sz="4" w:space="0" w:color="auto"/>
              <w:right w:val="single" w:sz="4" w:space="0" w:color="auto"/>
            </w:tcBorders>
          </w:tcPr>
          <w:p w14:paraId="029C7A8C" w14:textId="64A29032" w:rsidR="00FB6710" w:rsidRPr="00183B5F" w:rsidRDefault="00943743" w:rsidP="004062FE">
            <w:pPr>
              <w:keepNext/>
              <w:tabs>
                <w:tab w:val="left" w:pos="562"/>
              </w:tabs>
              <w:suppressAutoHyphens w:val="0"/>
              <w:spacing w:line="240" w:lineRule="auto"/>
              <w:jc w:val="center"/>
              <w:rPr>
                <w:del w:id="6000" w:author="AbbVie_HU_03" w:date="2025-05-14T15:27:00Z"/>
              </w:rPr>
            </w:pPr>
            <w:del w:id="6001" w:author="AbbVie_HU_03" w:date="2025-05-14T15:27:00Z">
              <w:r w:rsidRPr="00183B5F">
                <w:delText>3%</w:delText>
              </w:r>
            </w:del>
          </w:p>
        </w:tc>
        <w:tc>
          <w:tcPr>
            <w:tcW w:w="1980" w:type="dxa"/>
            <w:tcBorders>
              <w:top w:val="single" w:sz="4" w:space="0" w:color="auto"/>
              <w:left w:val="single" w:sz="4" w:space="0" w:color="auto"/>
              <w:bottom w:val="single" w:sz="4" w:space="0" w:color="auto"/>
            </w:tcBorders>
          </w:tcPr>
          <w:p w14:paraId="48160056" w14:textId="6FBE9129" w:rsidR="00FB6710" w:rsidRPr="00183B5F" w:rsidRDefault="00943743" w:rsidP="004062FE">
            <w:pPr>
              <w:keepNext/>
              <w:tabs>
                <w:tab w:val="left" w:pos="562"/>
              </w:tabs>
              <w:suppressAutoHyphens w:val="0"/>
              <w:spacing w:line="240" w:lineRule="auto"/>
              <w:jc w:val="center"/>
              <w:rPr>
                <w:del w:id="6002" w:author="AbbVie_HU_03" w:date="2025-05-14T15:27:00Z"/>
              </w:rPr>
            </w:pPr>
            <w:del w:id="6003" w:author="AbbVie_HU_03" w:date="2025-05-14T15:27:00Z">
              <w:r w:rsidRPr="00183B5F">
                <w:delText>16%***</w:delText>
              </w:r>
            </w:del>
          </w:p>
        </w:tc>
      </w:tr>
      <w:tr w:rsidR="00011D2F" w14:paraId="46F19ADF" w14:textId="2C46C295" w:rsidTr="006A1EF8">
        <w:trPr>
          <w:tblHeader/>
          <w:del w:id="6004" w:author="AbbVie_HU_03" w:date="2025-05-14T15:27:00Z"/>
        </w:trPr>
        <w:tc>
          <w:tcPr>
            <w:tcW w:w="3300" w:type="dxa"/>
            <w:tcBorders>
              <w:top w:val="single" w:sz="4" w:space="0" w:color="auto"/>
              <w:bottom w:val="single" w:sz="4" w:space="0" w:color="auto"/>
              <w:right w:val="single" w:sz="4" w:space="0" w:color="auto"/>
            </w:tcBorders>
          </w:tcPr>
          <w:p w14:paraId="1B846567" w14:textId="3053280B" w:rsidR="00FB6710" w:rsidRPr="00183B5F" w:rsidRDefault="00943743" w:rsidP="004062FE">
            <w:pPr>
              <w:keepNext/>
              <w:tabs>
                <w:tab w:val="left" w:pos="562"/>
              </w:tabs>
              <w:suppressAutoHyphens w:val="0"/>
              <w:overflowPunct w:val="0"/>
              <w:autoSpaceDE w:val="0"/>
              <w:autoSpaceDN w:val="0"/>
              <w:adjustRightInd w:val="0"/>
              <w:spacing w:line="240" w:lineRule="auto"/>
              <w:ind w:left="610" w:hanging="610"/>
              <w:textAlignment w:val="baseline"/>
              <w:rPr>
                <w:del w:id="6005" w:author="AbbVie_HU_03" w:date="2025-05-14T15:27:00Z"/>
              </w:rPr>
            </w:pPr>
            <w:del w:id="6006" w:author="AbbVie_HU_03" w:date="2025-05-14T15:27:00Z">
              <w:r w:rsidRPr="00183B5F">
                <w:tab/>
                <w:delText>12.</w:delText>
              </w:r>
              <w:r w:rsidR="00A44DB6" w:rsidRPr="00183B5F">
                <w:delText> hét</w:delText>
              </w:r>
            </w:del>
          </w:p>
        </w:tc>
        <w:tc>
          <w:tcPr>
            <w:tcW w:w="2200" w:type="dxa"/>
            <w:tcBorders>
              <w:top w:val="single" w:sz="4" w:space="0" w:color="auto"/>
              <w:left w:val="single" w:sz="4" w:space="0" w:color="auto"/>
              <w:bottom w:val="single" w:sz="4" w:space="0" w:color="auto"/>
              <w:right w:val="single" w:sz="4" w:space="0" w:color="auto"/>
            </w:tcBorders>
          </w:tcPr>
          <w:p w14:paraId="4132E594" w14:textId="76991E34" w:rsidR="00FB6710" w:rsidRPr="00183B5F" w:rsidRDefault="00943743" w:rsidP="004062FE">
            <w:pPr>
              <w:keepNext/>
              <w:tabs>
                <w:tab w:val="left" w:pos="562"/>
              </w:tabs>
              <w:suppressAutoHyphens w:val="0"/>
              <w:spacing w:line="240" w:lineRule="auto"/>
              <w:jc w:val="center"/>
              <w:rPr>
                <w:del w:id="6007" w:author="AbbVie_HU_03" w:date="2025-05-14T15:27:00Z"/>
              </w:rPr>
            </w:pPr>
            <w:del w:id="6008" w:author="AbbVie_HU_03" w:date="2025-05-14T15:27:00Z">
              <w:r w:rsidRPr="00183B5F">
                <w:delText>1</w:delText>
              </w:r>
              <w:r w:rsidR="00A24D59" w:rsidRPr="00183B5F">
                <w:delText>0</w:delText>
              </w:r>
              <w:r w:rsidRPr="00183B5F">
                <w:delText>%</w:delText>
              </w:r>
            </w:del>
          </w:p>
        </w:tc>
        <w:tc>
          <w:tcPr>
            <w:tcW w:w="1980" w:type="dxa"/>
            <w:tcBorders>
              <w:top w:val="single" w:sz="4" w:space="0" w:color="auto"/>
              <w:left w:val="single" w:sz="4" w:space="0" w:color="auto"/>
              <w:bottom w:val="single" w:sz="4" w:space="0" w:color="auto"/>
            </w:tcBorders>
          </w:tcPr>
          <w:p w14:paraId="589E2B57" w14:textId="12B45C54" w:rsidR="00FB6710" w:rsidRPr="00183B5F" w:rsidRDefault="00943743" w:rsidP="004062FE">
            <w:pPr>
              <w:keepNext/>
              <w:tabs>
                <w:tab w:val="left" w:pos="562"/>
              </w:tabs>
              <w:suppressAutoHyphens w:val="0"/>
              <w:spacing w:line="240" w:lineRule="auto"/>
              <w:jc w:val="center"/>
              <w:rPr>
                <w:del w:id="6009" w:author="AbbVie_HU_03" w:date="2025-05-14T15:27:00Z"/>
              </w:rPr>
            </w:pPr>
            <w:del w:id="6010" w:author="AbbVie_HU_03" w:date="2025-05-14T15:27:00Z">
              <w:r w:rsidRPr="00183B5F">
                <w:delText>38%***</w:delText>
              </w:r>
            </w:del>
          </w:p>
        </w:tc>
      </w:tr>
      <w:tr w:rsidR="00011D2F" w14:paraId="5F0DEE0F" w14:textId="74593712" w:rsidTr="006A1EF8">
        <w:trPr>
          <w:tblHeader/>
          <w:del w:id="6011" w:author="AbbVie_HU_03" w:date="2025-05-14T15:27:00Z"/>
        </w:trPr>
        <w:tc>
          <w:tcPr>
            <w:tcW w:w="3300" w:type="dxa"/>
            <w:tcBorders>
              <w:top w:val="single" w:sz="4" w:space="0" w:color="auto"/>
              <w:bottom w:val="single" w:sz="4" w:space="0" w:color="auto"/>
              <w:right w:val="single" w:sz="4" w:space="0" w:color="auto"/>
            </w:tcBorders>
          </w:tcPr>
          <w:p w14:paraId="3DCF36ED" w14:textId="042BDBA1" w:rsidR="00FB6710" w:rsidRPr="00183B5F" w:rsidRDefault="00943743" w:rsidP="004062FE">
            <w:pPr>
              <w:keepNext/>
              <w:tabs>
                <w:tab w:val="left" w:pos="562"/>
              </w:tabs>
              <w:suppressAutoHyphens w:val="0"/>
              <w:spacing w:line="240" w:lineRule="auto"/>
              <w:rPr>
                <w:del w:id="6012" w:author="AbbVie_HU_03" w:date="2025-05-14T15:27:00Z"/>
              </w:rPr>
            </w:pPr>
            <w:del w:id="6013" w:author="AbbVie_HU_03" w:date="2025-05-14T15:27:00Z">
              <w:r w:rsidRPr="00183B5F">
                <w:tab/>
                <w:delText>24.</w:delText>
              </w:r>
              <w:r w:rsidR="00A44DB6" w:rsidRPr="00183B5F">
                <w:delText> hét</w:delText>
              </w:r>
            </w:del>
          </w:p>
        </w:tc>
        <w:tc>
          <w:tcPr>
            <w:tcW w:w="2200" w:type="dxa"/>
            <w:tcBorders>
              <w:top w:val="single" w:sz="4" w:space="0" w:color="auto"/>
              <w:left w:val="single" w:sz="4" w:space="0" w:color="auto"/>
              <w:bottom w:val="single" w:sz="4" w:space="0" w:color="auto"/>
              <w:right w:val="single" w:sz="4" w:space="0" w:color="auto"/>
            </w:tcBorders>
          </w:tcPr>
          <w:p w14:paraId="517AFABD" w14:textId="7C38E16F" w:rsidR="00FB6710" w:rsidRPr="00183B5F" w:rsidRDefault="00943743" w:rsidP="004062FE">
            <w:pPr>
              <w:keepNext/>
              <w:tabs>
                <w:tab w:val="left" w:pos="562"/>
              </w:tabs>
              <w:suppressAutoHyphens w:val="0"/>
              <w:spacing w:line="240" w:lineRule="auto"/>
              <w:jc w:val="center"/>
              <w:rPr>
                <w:del w:id="6014" w:author="AbbVie_HU_03" w:date="2025-05-14T15:27:00Z"/>
              </w:rPr>
            </w:pPr>
            <w:del w:id="6015" w:author="AbbVie_HU_03" w:date="2025-05-14T15:27:00Z">
              <w:r w:rsidRPr="00183B5F">
                <w:delText>11%</w:delText>
              </w:r>
            </w:del>
          </w:p>
        </w:tc>
        <w:tc>
          <w:tcPr>
            <w:tcW w:w="1980" w:type="dxa"/>
            <w:tcBorders>
              <w:top w:val="single" w:sz="4" w:space="0" w:color="auto"/>
              <w:left w:val="single" w:sz="4" w:space="0" w:color="auto"/>
              <w:bottom w:val="single" w:sz="4" w:space="0" w:color="auto"/>
            </w:tcBorders>
          </w:tcPr>
          <w:p w14:paraId="75F1F9ED" w14:textId="3D2FF866" w:rsidR="00FB6710" w:rsidRPr="00183B5F" w:rsidRDefault="00943743" w:rsidP="004062FE">
            <w:pPr>
              <w:keepNext/>
              <w:tabs>
                <w:tab w:val="left" w:pos="562"/>
              </w:tabs>
              <w:suppressAutoHyphens w:val="0"/>
              <w:spacing w:line="240" w:lineRule="auto"/>
              <w:jc w:val="center"/>
              <w:rPr>
                <w:del w:id="6016" w:author="AbbVie_HU_03" w:date="2025-05-14T15:27:00Z"/>
              </w:rPr>
            </w:pPr>
            <w:del w:id="6017" w:author="AbbVie_HU_03" w:date="2025-05-14T15:27:00Z">
              <w:r w:rsidRPr="00183B5F">
                <w:delText>35%***</w:delText>
              </w:r>
            </w:del>
          </w:p>
        </w:tc>
      </w:tr>
      <w:tr w:rsidR="00011D2F" w14:paraId="0338F06B" w14:textId="5ECAB9FC" w:rsidTr="006A1EF8">
        <w:trPr>
          <w:tblHeader/>
          <w:del w:id="6018" w:author="AbbVie_HU_03" w:date="2025-05-14T15:27:00Z"/>
        </w:trPr>
        <w:tc>
          <w:tcPr>
            <w:tcW w:w="3300" w:type="dxa"/>
            <w:tcBorders>
              <w:top w:val="single" w:sz="4" w:space="0" w:color="auto"/>
              <w:bottom w:val="single" w:sz="4" w:space="0" w:color="auto"/>
              <w:right w:val="single" w:sz="4" w:space="0" w:color="auto"/>
            </w:tcBorders>
          </w:tcPr>
          <w:p w14:paraId="3472A41F" w14:textId="0232C354" w:rsidR="00FB6710" w:rsidRPr="00183B5F" w:rsidRDefault="00943743" w:rsidP="004062FE">
            <w:pPr>
              <w:keepNext/>
              <w:tabs>
                <w:tab w:val="left" w:pos="562"/>
              </w:tabs>
              <w:suppressAutoHyphens w:val="0"/>
              <w:spacing w:line="240" w:lineRule="auto"/>
              <w:rPr>
                <w:del w:id="6019" w:author="AbbVie_HU_03" w:date="2025-05-14T15:27:00Z"/>
              </w:rPr>
            </w:pPr>
            <w:del w:id="6020" w:author="AbbVie_HU_03" w:date="2025-05-14T15:27:00Z">
              <w:r w:rsidRPr="00183B5F">
                <w:delText>ASAS 70</w:delText>
              </w:r>
            </w:del>
          </w:p>
        </w:tc>
        <w:tc>
          <w:tcPr>
            <w:tcW w:w="2200" w:type="dxa"/>
            <w:tcBorders>
              <w:top w:val="single" w:sz="4" w:space="0" w:color="auto"/>
              <w:left w:val="single" w:sz="4" w:space="0" w:color="auto"/>
              <w:bottom w:val="single" w:sz="4" w:space="0" w:color="auto"/>
              <w:right w:val="single" w:sz="4" w:space="0" w:color="auto"/>
            </w:tcBorders>
          </w:tcPr>
          <w:p w14:paraId="2D0EF79B" w14:textId="707C2F9A" w:rsidR="00FB6710" w:rsidRPr="00183B5F" w:rsidRDefault="00FB6710" w:rsidP="004062FE">
            <w:pPr>
              <w:keepNext/>
              <w:tabs>
                <w:tab w:val="left" w:pos="562"/>
              </w:tabs>
              <w:suppressAutoHyphens w:val="0"/>
              <w:spacing w:line="240" w:lineRule="auto"/>
              <w:jc w:val="center"/>
              <w:rPr>
                <w:del w:id="6021" w:author="AbbVie_HU_03" w:date="2025-05-14T15:27:00Z"/>
              </w:rPr>
            </w:pPr>
          </w:p>
        </w:tc>
        <w:tc>
          <w:tcPr>
            <w:tcW w:w="1980" w:type="dxa"/>
            <w:tcBorders>
              <w:top w:val="single" w:sz="4" w:space="0" w:color="auto"/>
              <w:left w:val="single" w:sz="4" w:space="0" w:color="auto"/>
              <w:bottom w:val="single" w:sz="4" w:space="0" w:color="auto"/>
            </w:tcBorders>
          </w:tcPr>
          <w:p w14:paraId="323DAD95" w14:textId="673B08BA" w:rsidR="00FB6710" w:rsidRPr="00183B5F" w:rsidRDefault="00FB6710" w:rsidP="004062FE">
            <w:pPr>
              <w:keepNext/>
              <w:tabs>
                <w:tab w:val="left" w:pos="562"/>
              </w:tabs>
              <w:suppressAutoHyphens w:val="0"/>
              <w:spacing w:line="240" w:lineRule="auto"/>
              <w:jc w:val="center"/>
              <w:rPr>
                <w:del w:id="6022" w:author="AbbVie_HU_03" w:date="2025-05-14T15:27:00Z"/>
              </w:rPr>
            </w:pPr>
          </w:p>
        </w:tc>
      </w:tr>
      <w:tr w:rsidR="00011D2F" w14:paraId="07060566" w14:textId="0F324D27" w:rsidTr="006A1EF8">
        <w:trPr>
          <w:tblHeader/>
          <w:del w:id="6023" w:author="AbbVie_HU_03" w:date="2025-05-14T15:27:00Z"/>
        </w:trPr>
        <w:tc>
          <w:tcPr>
            <w:tcW w:w="3300" w:type="dxa"/>
            <w:tcBorders>
              <w:top w:val="single" w:sz="4" w:space="0" w:color="auto"/>
              <w:bottom w:val="single" w:sz="4" w:space="0" w:color="auto"/>
              <w:right w:val="single" w:sz="4" w:space="0" w:color="auto"/>
            </w:tcBorders>
          </w:tcPr>
          <w:p w14:paraId="3A6BF0B1" w14:textId="2D8E2D29" w:rsidR="00FB6710" w:rsidRPr="00183B5F" w:rsidRDefault="00943743" w:rsidP="004062FE">
            <w:pPr>
              <w:pStyle w:val="EndnoteText"/>
              <w:overflowPunct w:val="0"/>
              <w:autoSpaceDE w:val="0"/>
              <w:autoSpaceDN w:val="0"/>
              <w:adjustRightInd w:val="0"/>
              <w:textAlignment w:val="baseline"/>
              <w:rPr>
                <w:del w:id="6024" w:author="AbbVie_HU_03" w:date="2025-05-14T15:27:00Z"/>
                <w:sz w:val="22"/>
                <w:lang w:val="hu-HU"/>
              </w:rPr>
            </w:pPr>
            <w:del w:id="6025" w:author="AbbVie_HU_03" w:date="2025-05-14T15:27:00Z">
              <w:r w:rsidRPr="00183B5F">
                <w:rPr>
                  <w:sz w:val="22"/>
                  <w:lang w:val="hu-HU"/>
                </w:rPr>
                <w:tab/>
                <w:delText>2.</w:delText>
              </w:r>
              <w:r w:rsidR="00A44DB6" w:rsidRPr="00183B5F">
                <w:rPr>
                  <w:sz w:val="22"/>
                  <w:lang w:val="hu-HU"/>
                </w:rPr>
                <w:delText> hét</w:delText>
              </w:r>
            </w:del>
          </w:p>
        </w:tc>
        <w:tc>
          <w:tcPr>
            <w:tcW w:w="2200" w:type="dxa"/>
            <w:tcBorders>
              <w:top w:val="single" w:sz="4" w:space="0" w:color="auto"/>
              <w:left w:val="single" w:sz="4" w:space="0" w:color="auto"/>
              <w:bottom w:val="single" w:sz="4" w:space="0" w:color="auto"/>
              <w:right w:val="single" w:sz="4" w:space="0" w:color="auto"/>
            </w:tcBorders>
          </w:tcPr>
          <w:p w14:paraId="59FD9C81" w14:textId="0EE03887" w:rsidR="00FB6710" w:rsidRPr="00183B5F" w:rsidRDefault="00943743" w:rsidP="004062FE">
            <w:pPr>
              <w:tabs>
                <w:tab w:val="left" w:pos="562"/>
              </w:tabs>
              <w:suppressAutoHyphens w:val="0"/>
              <w:spacing w:line="240" w:lineRule="auto"/>
              <w:jc w:val="center"/>
              <w:rPr>
                <w:del w:id="6026" w:author="AbbVie_HU_03" w:date="2025-05-14T15:27:00Z"/>
              </w:rPr>
            </w:pPr>
            <w:del w:id="6027" w:author="AbbVie_HU_03" w:date="2025-05-14T15:27:00Z">
              <w:r w:rsidRPr="00183B5F">
                <w:delText>0%</w:delText>
              </w:r>
            </w:del>
          </w:p>
        </w:tc>
        <w:tc>
          <w:tcPr>
            <w:tcW w:w="1980" w:type="dxa"/>
            <w:tcBorders>
              <w:top w:val="single" w:sz="4" w:space="0" w:color="auto"/>
              <w:left w:val="single" w:sz="4" w:space="0" w:color="auto"/>
              <w:bottom w:val="single" w:sz="4" w:space="0" w:color="auto"/>
            </w:tcBorders>
          </w:tcPr>
          <w:p w14:paraId="7169E869" w14:textId="59F460CC" w:rsidR="00FB6710" w:rsidRPr="00183B5F" w:rsidRDefault="00943743" w:rsidP="004062FE">
            <w:pPr>
              <w:tabs>
                <w:tab w:val="left" w:pos="562"/>
              </w:tabs>
              <w:suppressAutoHyphens w:val="0"/>
              <w:spacing w:line="240" w:lineRule="auto"/>
              <w:jc w:val="center"/>
              <w:rPr>
                <w:del w:id="6028" w:author="AbbVie_HU_03" w:date="2025-05-14T15:27:00Z"/>
              </w:rPr>
            </w:pPr>
            <w:del w:id="6029" w:author="AbbVie_HU_03" w:date="2025-05-14T15:27:00Z">
              <w:r w:rsidRPr="00183B5F">
                <w:delText>7%**</w:delText>
              </w:r>
            </w:del>
          </w:p>
        </w:tc>
      </w:tr>
      <w:tr w:rsidR="00011D2F" w14:paraId="37B5C1BA" w14:textId="2397C0CC" w:rsidTr="006A1EF8">
        <w:trPr>
          <w:tblHeader/>
          <w:del w:id="6030" w:author="AbbVie_HU_03" w:date="2025-05-14T15:27:00Z"/>
        </w:trPr>
        <w:tc>
          <w:tcPr>
            <w:tcW w:w="3300" w:type="dxa"/>
            <w:tcBorders>
              <w:top w:val="single" w:sz="4" w:space="0" w:color="auto"/>
              <w:bottom w:val="single" w:sz="4" w:space="0" w:color="auto"/>
              <w:right w:val="single" w:sz="4" w:space="0" w:color="auto"/>
            </w:tcBorders>
          </w:tcPr>
          <w:p w14:paraId="0D09DA46" w14:textId="1F8C9298" w:rsidR="00FB6710" w:rsidRPr="00183B5F" w:rsidRDefault="00943743" w:rsidP="004062FE">
            <w:pPr>
              <w:tabs>
                <w:tab w:val="left" w:pos="562"/>
              </w:tabs>
              <w:suppressAutoHyphens w:val="0"/>
              <w:overflowPunct w:val="0"/>
              <w:autoSpaceDE w:val="0"/>
              <w:autoSpaceDN w:val="0"/>
              <w:adjustRightInd w:val="0"/>
              <w:spacing w:line="240" w:lineRule="auto"/>
              <w:ind w:left="610" w:hanging="610"/>
              <w:textAlignment w:val="baseline"/>
              <w:rPr>
                <w:del w:id="6031" w:author="AbbVie_HU_03" w:date="2025-05-14T15:27:00Z"/>
              </w:rPr>
            </w:pPr>
            <w:del w:id="6032" w:author="AbbVie_HU_03" w:date="2025-05-14T15:27:00Z">
              <w:r w:rsidRPr="00183B5F">
                <w:tab/>
                <w:delText>12.</w:delText>
              </w:r>
              <w:r w:rsidR="00A44DB6" w:rsidRPr="00183B5F">
                <w:delText> hét</w:delText>
              </w:r>
            </w:del>
          </w:p>
        </w:tc>
        <w:tc>
          <w:tcPr>
            <w:tcW w:w="2200" w:type="dxa"/>
            <w:tcBorders>
              <w:top w:val="single" w:sz="4" w:space="0" w:color="auto"/>
              <w:left w:val="single" w:sz="4" w:space="0" w:color="auto"/>
              <w:bottom w:val="single" w:sz="4" w:space="0" w:color="auto"/>
              <w:right w:val="single" w:sz="4" w:space="0" w:color="auto"/>
            </w:tcBorders>
          </w:tcPr>
          <w:p w14:paraId="4E075618" w14:textId="3740E779" w:rsidR="00FB6710" w:rsidRPr="00183B5F" w:rsidRDefault="00943743" w:rsidP="004062FE">
            <w:pPr>
              <w:tabs>
                <w:tab w:val="left" w:pos="562"/>
              </w:tabs>
              <w:suppressAutoHyphens w:val="0"/>
              <w:spacing w:line="240" w:lineRule="auto"/>
              <w:jc w:val="center"/>
              <w:rPr>
                <w:del w:id="6033" w:author="AbbVie_HU_03" w:date="2025-05-14T15:27:00Z"/>
              </w:rPr>
            </w:pPr>
            <w:del w:id="6034" w:author="AbbVie_HU_03" w:date="2025-05-14T15:27:00Z">
              <w:r w:rsidRPr="00183B5F">
                <w:delText>5%</w:delText>
              </w:r>
            </w:del>
          </w:p>
        </w:tc>
        <w:tc>
          <w:tcPr>
            <w:tcW w:w="1980" w:type="dxa"/>
            <w:tcBorders>
              <w:top w:val="single" w:sz="4" w:space="0" w:color="auto"/>
              <w:left w:val="single" w:sz="4" w:space="0" w:color="auto"/>
              <w:bottom w:val="single" w:sz="4" w:space="0" w:color="auto"/>
            </w:tcBorders>
          </w:tcPr>
          <w:p w14:paraId="0A7EA612" w14:textId="3400F3DA" w:rsidR="00FB6710" w:rsidRPr="00183B5F" w:rsidRDefault="00943743" w:rsidP="004062FE">
            <w:pPr>
              <w:tabs>
                <w:tab w:val="left" w:pos="562"/>
              </w:tabs>
              <w:suppressAutoHyphens w:val="0"/>
              <w:spacing w:line="240" w:lineRule="auto"/>
              <w:jc w:val="center"/>
              <w:rPr>
                <w:del w:id="6035" w:author="AbbVie_HU_03" w:date="2025-05-14T15:27:00Z"/>
              </w:rPr>
            </w:pPr>
            <w:del w:id="6036" w:author="AbbVie_HU_03" w:date="2025-05-14T15:27:00Z">
              <w:r w:rsidRPr="00183B5F">
                <w:delText>23%***</w:delText>
              </w:r>
            </w:del>
          </w:p>
        </w:tc>
      </w:tr>
      <w:tr w:rsidR="00011D2F" w14:paraId="5693D690" w14:textId="245C086A" w:rsidTr="006A1EF8">
        <w:trPr>
          <w:tblHeader/>
          <w:del w:id="6037" w:author="AbbVie_HU_03" w:date="2025-05-14T15:27:00Z"/>
        </w:trPr>
        <w:tc>
          <w:tcPr>
            <w:tcW w:w="3300" w:type="dxa"/>
            <w:tcBorders>
              <w:top w:val="single" w:sz="4" w:space="0" w:color="auto"/>
              <w:bottom w:val="single" w:sz="4" w:space="0" w:color="auto"/>
              <w:right w:val="single" w:sz="4" w:space="0" w:color="auto"/>
            </w:tcBorders>
          </w:tcPr>
          <w:p w14:paraId="52D5D775" w14:textId="483F415C" w:rsidR="00FB6710" w:rsidRPr="00183B5F" w:rsidRDefault="00943743" w:rsidP="004062FE">
            <w:pPr>
              <w:tabs>
                <w:tab w:val="left" w:pos="562"/>
              </w:tabs>
              <w:suppressAutoHyphens w:val="0"/>
              <w:spacing w:line="240" w:lineRule="auto"/>
              <w:rPr>
                <w:del w:id="6038" w:author="AbbVie_HU_03" w:date="2025-05-14T15:27:00Z"/>
              </w:rPr>
            </w:pPr>
            <w:del w:id="6039" w:author="AbbVie_HU_03" w:date="2025-05-14T15:27:00Z">
              <w:r w:rsidRPr="00183B5F">
                <w:tab/>
                <w:delText>24.</w:delText>
              </w:r>
              <w:r w:rsidR="00A44DB6" w:rsidRPr="00183B5F">
                <w:delText> hét</w:delText>
              </w:r>
            </w:del>
          </w:p>
        </w:tc>
        <w:tc>
          <w:tcPr>
            <w:tcW w:w="2200" w:type="dxa"/>
            <w:tcBorders>
              <w:top w:val="single" w:sz="4" w:space="0" w:color="auto"/>
              <w:left w:val="single" w:sz="4" w:space="0" w:color="auto"/>
              <w:bottom w:val="single" w:sz="4" w:space="0" w:color="auto"/>
              <w:right w:val="single" w:sz="4" w:space="0" w:color="auto"/>
            </w:tcBorders>
          </w:tcPr>
          <w:p w14:paraId="70B78A01" w14:textId="55ED415F" w:rsidR="00FB6710" w:rsidRPr="00183B5F" w:rsidRDefault="00943743" w:rsidP="004062FE">
            <w:pPr>
              <w:tabs>
                <w:tab w:val="left" w:pos="562"/>
              </w:tabs>
              <w:suppressAutoHyphens w:val="0"/>
              <w:spacing w:line="240" w:lineRule="auto"/>
              <w:jc w:val="center"/>
              <w:rPr>
                <w:del w:id="6040" w:author="AbbVie_HU_03" w:date="2025-05-14T15:27:00Z"/>
              </w:rPr>
            </w:pPr>
            <w:del w:id="6041" w:author="AbbVie_HU_03" w:date="2025-05-14T15:27:00Z">
              <w:r w:rsidRPr="00183B5F">
                <w:delText>8%</w:delText>
              </w:r>
            </w:del>
          </w:p>
        </w:tc>
        <w:tc>
          <w:tcPr>
            <w:tcW w:w="1980" w:type="dxa"/>
            <w:tcBorders>
              <w:top w:val="single" w:sz="4" w:space="0" w:color="auto"/>
              <w:left w:val="single" w:sz="4" w:space="0" w:color="auto"/>
              <w:bottom w:val="single" w:sz="4" w:space="0" w:color="auto"/>
            </w:tcBorders>
          </w:tcPr>
          <w:p w14:paraId="4C3634C9" w14:textId="17AB5EAE" w:rsidR="00FB6710" w:rsidRPr="00183B5F" w:rsidRDefault="00943743" w:rsidP="004062FE">
            <w:pPr>
              <w:tabs>
                <w:tab w:val="left" w:pos="562"/>
              </w:tabs>
              <w:suppressAutoHyphens w:val="0"/>
              <w:spacing w:line="240" w:lineRule="auto"/>
              <w:jc w:val="center"/>
              <w:rPr>
                <w:del w:id="6042" w:author="AbbVie_HU_03" w:date="2025-05-14T15:27:00Z"/>
              </w:rPr>
            </w:pPr>
            <w:del w:id="6043" w:author="AbbVie_HU_03" w:date="2025-05-14T15:27:00Z">
              <w:r w:rsidRPr="00183B5F">
                <w:delText>24%***</w:delText>
              </w:r>
            </w:del>
          </w:p>
        </w:tc>
      </w:tr>
      <w:tr w:rsidR="00011D2F" w14:paraId="49A182C6" w14:textId="4E1580C9" w:rsidTr="006A1EF8">
        <w:trPr>
          <w:tblHeader/>
          <w:del w:id="6044" w:author="AbbVie_HU_03" w:date="2025-05-14T15:27:00Z"/>
        </w:trPr>
        <w:tc>
          <w:tcPr>
            <w:tcW w:w="3300" w:type="dxa"/>
            <w:tcBorders>
              <w:top w:val="single" w:sz="4" w:space="0" w:color="auto"/>
              <w:bottom w:val="single" w:sz="4" w:space="0" w:color="auto"/>
              <w:right w:val="single" w:sz="4" w:space="0" w:color="auto"/>
            </w:tcBorders>
          </w:tcPr>
          <w:p w14:paraId="009B4076" w14:textId="79BB7DC1" w:rsidR="00FB6710" w:rsidRPr="00183B5F" w:rsidRDefault="00FB6710" w:rsidP="004062FE">
            <w:pPr>
              <w:tabs>
                <w:tab w:val="left" w:pos="562"/>
              </w:tabs>
              <w:suppressAutoHyphens w:val="0"/>
              <w:spacing w:line="240" w:lineRule="auto"/>
              <w:rPr>
                <w:del w:id="6045" w:author="AbbVie_HU_03" w:date="2025-05-14T15:27:00Z"/>
              </w:rPr>
            </w:pPr>
          </w:p>
        </w:tc>
        <w:tc>
          <w:tcPr>
            <w:tcW w:w="2200" w:type="dxa"/>
            <w:tcBorders>
              <w:top w:val="single" w:sz="4" w:space="0" w:color="auto"/>
              <w:left w:val="single" w:sz="4" w:space="0" w:color="auto"/>
              <w:bottom w:val="single" w:sz="4" w:space="0" w:color="auto"/>
              <w:right w:val="single" w:sz="4" w:space="0" w:color="auto"/>
            </w:tcBorders>
          </w:tcPr>
          <w:p w14:paraId="5F04A2CA" w14:textId="28D45E9C" w:rsidR="00FB6710" w:rsidRPr="00183B5F" w:rsidRDefault="00FB6710" w:rsidP="004062FE">
            <w:pPr>
              <w:tabs>
                <w:tab w:val="left" w:pos="562"/>
              </w:tabs>
              <w:suppressAutoHyphens w:val="0"/>
              <w:spacing w:line="240" w:lineRule="auto"/>
              <w:jc w:val="center"/>
              <w:rPr>
                <w:del w:id="6046" w:author="AbbVie_HU_03" w:date="2025-05-14T15:27:00Z"/>
              </w:rPr>
            </w:pPr>
          </w:p>
        </w:tc>
        <w:tc>
          <w:tcPr>
            <w:tcW w:w="1980" w:type="dxa"/>
            <w:tcBorders>
              <w:top w:val="single" w:sz="4" w:space="0" w:color="auto"/>
              <w:left w:val="single" w:sz="4" w:space="0" w:color="auto"/>
              <w:bottom w:val="single" w:sz="4" w:space="0" w:color="auto"/>
            </w:tcBorders>
          </w:tcPr>
          <w:p w14:paraId="4FE61ADD" w14:textId="763E4622" w:rsidR="00FB6710" w:rsidRPr="00183B5F" w:rsidRDefault="00FB6710" w:rsidP="004062FE">
            <w:pPr>
              <w:tabs>
                <w:tab w:val="left" w:pos="562"/>
              </w:tabs>
              <w:suppressAutoHyphens w:val="0"/>
              <w:spacing w:line="240" w:lineRule="auto"/>
              <w:jc w:val="center"/>
              <w:rPr>
                <w:del w:id="6047" w:author="AbbVie_HU_03" w:date="2025-05-14T15:27:00Z"/>
              </w:rPr>
            </w:pPr>
          </w:p>
        </w:tc>
      </w:tr>
      <w:tr w:rsidR="00011D2F" w14:paraId="07839B3A" w14:textId="4DAF6628" w:rsidTr="006A1EF8">
        <w:trPr>
          <w:tblHeader/>
          <w:del w:id="6048" w:author="AbbVie_HU_03" w:date="2025-05-14T15:27:00Z"/>
        </w:trPr>
        <w:tc>
          <w:tcPr>
            <w:tcW w:w="3300" w:type="dxa"/>
            <w:tcBorders>
              <w:top w:val="single" w:sz="4" w:space="0" w:color="auto"/>
              <w:bottom w:val="single" w:sz="4" w:space="0" w:color="auto"/>
              <w:right w:val="single" w:sz="4" w:space="0" w:color="auto"/>
            </w:tcBorders>
          </w:tcPr>
          <w:p w14:paraId="5422D4BF" w14:textId="7A02239E" w:rsidR="00FB6710" w:rsidRPr="00183B5F" w:rsidRDefault="00943743" w:rsidP="004062FE">
            <w:pPr>
              <w:tabs>
                <w:tab w:val="left" w:pos="562"/>
              </w:tabs>
              <w:suppressAutoHyphens w:val="0"/>
              <w:spacing w:line="240" w:lineRule="auto"/>
              <w:rPr>
                <w:del w:id="6049" w:author="AbbVie_HU_03" w:date="2025-05-14T15:27:00Z"/>
              </w:rPr>
            </w:pPr>
            <w:del w:id="6050" w:author="AbbVie_HU_03" w:date="2025-05-14T15:27:00Z">
              <w:r w:rsidRPr="00183B5F">
                <w:delText>BASDAI</w:delText>
              </w:r>
              <w:r w:rsidRPr="00183B5F">
                <w:rPr>
                  <w:vertAlign w:val="superscript"/>
                </w:rPr>
                <w:delText>b</w:delText>
              </w:r>
              <w:r w:rsidRPr="00183B5F">
                <w:delText xml:space="preserve"> 50 </w:delText>
              </w:r>
            </w:del>
          </w:p>
        </w:tc>
        <w:tc>
          <w:tcPr>
            <w:tcW w:w="2200" w:type="dxa"/>
            <w:tcBorders>
              <w:top w:val="single" w:sz="4" w:space="0" w:color="auto"/>
              <w:left w:val="single" w:sz="4" w:space="0" w:color="auto"/>
              <w:bottom w:val="single" w:sz="4" w:space="0" w:color="auto"/>
              <w:right w:val="single" w:sz="4" w:space="0" w:color="auto"/>
            </w:tcBorders>
          </w:tcPr>
          <w:p w14:paraId="57489607" w14:textId="3F1D5D68" w:rsidR="00FB6710" w:rsidRPr="00183B5F" w:rsidRDefault="00FB6710" w:rsidP="004062FE">
            <w:pPr>
              <w:tabs>
                <w:tab w:val="left" w:pos="562"/>
              </w:tabs>
              <w:suppressAutoHyphens w:val="0"/>
              <w:spacing w:line="240" w:lineRule="auto"/>
              <w:jc w:val="center"/>
              <w:rPr>
                <w:del w:id="6051" w:author="AbbVie_HU_03" w:date="2025-05-14T15:27:00Z"/>
              </w:rPr>
            </w:pPr>
          </w:p>
        </w:tc>
        <w:tc>
          <w:tcPr>
            <w:tcW w:w="1980" w:type="dxa"/>
            <w:tcBorders>
              <w:top w:val="single" w:sz="4" w:space="0" w:color="auto"/>
              <w:left w:val="single" w:sz="4" w:space="0" w:color="auto"/>
              <w:bottom w:val="single" w:sz="4" w:space="0" w:color="auto"/>
            </w:tcBorders>
          </w:tcPr>
          <w:p w14:paraId="16B060F0" w14:textId="6495461B" w:rsidR="00FB6710" w:rsidRPr="00183B5F" w:rsidRDefault="00FB6710" w:rsidP="004062FE">
            <w:pPr>
              <w:tabs>
                <w:tab w:val="left" w:pos="562"/>
              </w:tabs>
              <w:suppressAutoHyphens w:val="0"/>
              <w:spacing w:line="240" w:lineRule="auto"/>
              <w:jc w:val="center"/>
              <w:rPr>
                <w:del w:id="6052" w:author="AbbVie_HU_03" w:date="2025-05-14T15:27:00Z"/>
              </w:rPr>
            </w:pPr>
          </w:p>
        </w:tc>
      </w:tr>
      <w:tr w:rsidR="00011D2F" w14:paraId="029CD60A" w14:textId="683A27E2" w:rsidTr="006A1EF8">
        <w:trPr>
          <w:tblHeader/>
          <w:del w:id="6053" w:author="AbbVie_HU_03" w:date="2025-05-14T15:27:00Z"/>
        </w:trPr>
        <w:tc>
          <w:tcPr>
            <w:tcW w:w="3300" w:type="dxa"/>
            <w:tcBorders>
              <w:top w:val="single" w:sz="4" w:space="0" w:color="auto"/>
              <w:bottom w:val="single" w:sz="4" w:space="0" w:color="auto"/>
              <w:right w:val="single" w:sz="4" w:space="0" w:color="auto"/>
            </w:tcBorders>
          </w:tcPr>
          <w:p w14:paraId="5EE6B0D9" w14:textId="3C66EFED" w:rsidR="00FB6710" w:rsidRPr="00183B5F" w:rsidRDefault="00943743" w:rsidP="004062FE">
            <w:pPr>
              <w:pStyle w:val="EndnoteText"/>
              <w:overflowPunct w:val="0"/>
              <w:autoSpaceDE w:val="0"/>
              <w:autoSpaceDN w:val="0"/>
              <w:adjustRightInd w:val="0"/>
              <w:textAlignment w:val="baseline"/>
              <w:rPr>
                <w:del w:id="6054" w:author="AbbVie_HU_03" w:date="2025-05-14T15:27:00Z"/>
                <w:sz w:val="22"/>
                <w:lang w:val="hu-HU"/>
              </w:rPr>
            </w:pPr>
            <w:del w:id="6055" w:author="AbbVie_HU_03" w:date="2025-05-14T15:27:00Z">
              <w:r w:rsidRPr="00183B5F">
                <w:rPr>
                  <w:sz w:val="22"/>
                  <w:lang w:val="hu-HU"/>
                </w:rPr>
                <w:tab/>
                <w:delText>2.</w:delText>
              </w:r>
              <w:r w:rsidR="00A44DB6" w:rsidRPr="00183B5F">
                <w:rPr>
                  <w:sz w:val="22"/>
                  <w:lang w:val="hu-HU"/>
                </w:rPr>
                <w:delText> hét</w:delText>
              </w:r>
            </w:del>
          </w:p>
        </w:tc>
        <w:tc>
          <w:tcPr>
            <w:tcW w:w="2200" w:type="dxa"/>
            <w:tcBorders>
              <w:top w:val="single" w:sz="4" w:space="0" w:color="auto"/>
              <w:left w:val="single" w:sz="4" w:space="0" w:color="auto"/>
              <w:bottom w:val="single" w:sz="4" w:space="0" w:color="auto"/>
              <w:right w:val="single" w:sz="4" w:space="0" w:color="auto"/>
            </w:tcBorders>
          </w:tcPr>
          <w:p w14:paraId="531B5830" w14:textId="6598DB93" w:rsidR="00FB6710" w:rsidRPr="00183B5F" w:rsidRDefault="00943743" w:rsidP="004062FE">
            <w:pPr>
              <w:tabs>
                <w:tab w:val="left" w:pos="562"/>
              </w:tabs>
              <w:suppressAutoHyphens w:val="0"/>
              <w:spacing w:line="240" w:lineRule="auto"/>
              <w:jc w:val="center"/>
              <w:rPr>
                <w:del w:id="6056" w:author="AbbVie_HU_03" w:date="2025-05-14T15:27:00Z"/>
              </w:rPr>
            </w:pPr>
            <w:del w:id="6057" w:author="AbbVie_HU_03" w:date="2025-05-14T15:27:00Z">
              <w:r w:rsidRPr="00183B5F">
                <w:delText>4%</w:delText>
              </w:r>
            </w:del>
          </w:p>
        </w:tc>
        <w:tc>
          <w:tcPr>
            <w:tcW w:w="1980" w:type="dxa"/>
            <w:tcBorders>
              <w:top w:val="single" w:sz="4" w:space="0" w:color="auto"/>
              <w:left w:val="single" w:sz="4" w:space="0" w:color="auto"/>
              <w:bottom w:val="single" w:sz="4" w:space="0" w:color="auto"/>
            </w:tcBorders>
          </w:tcPr>
          <w:p w14:paraId="5B12FDBB" w14:textId="29421C08" w:rsidR="00FB6710" w:rsidRPr="00183B5F" w:rsidRDefault="00943743" w:rsidP="004062FE">
            <w:pPr>
              <w:tabs>
                <w:tab w:val="left" w:pos="562"/>
              </w:tabs>
              <w:suppressAutoHyphens w:val="0"/>
              <w:spacing w:line="240" w:lineRule="auto"/>
              <w:jc w:val="center"/>
              <w:rPr>
                <w:del w:id="6058" w:author="AbbVie_HU_03" w:date="2025-05-14T15:27:00Z"/>
              </w:rPr>
            </w:pPr>
            <w:del w:id="6059" w:author="AbbVie_HU_03" w:date="2025-05-14T15:27:00Z">
              <w:r w:rsidRPr="00183B5F">
                <w:delText>20%***</w:delText>
              </w:r>
            </w:del>
          </w:p>
        </w:tc>
      </w:tr>
      <w:tr w:rsidR="00011D2F" w14:paraId="7B8342F4" w14:textId="0C4AA40A" w:rsidTr="006A1EF8">
        <w:trPr>
          <w:tblHeader/>
          <w:del w:id="6060" w:author="AbbVie_HU_03" w:date="2025-05-14T15:27:00Z"/>
        </w:trPr>
        <w:tc>
          <w:tcPr>
            <w:tcW w:w="3300" w:type="dxa"/>
            <w:tcBorders>
              <w:top w:val="single" w:sz="4" w:space="0" w:color="auto"/>
              <w:bottom w:val="single" w:sz="4" w:space="0" w:color="auto"/>
              <w:right w:val="single" w:sz="4" w:space="0" w:color="auto"/>
            </w:tcBorders>
          </w:tcPr>
          <w:p w14:paraId="55CBEEB6" w14:textId="2F0011B6" w:rsidR="00FB6710" w:rsidRPr="00183B5F" w:rsidRDefault="00943743" w:rsidP="004062FE">
            <w:pPr>
              <w:tabs>
                <w:tab w:val="left" w:pos="562"/>
              </w:tabs>
              <w:suppressAutoHyphens w:val="0"/>
              <w:overflowPunct w:val="0"/>
              <w:autoSpaceDE w:val="0"/>
              <w:autoSpaceDN w:val="0"/>
              <w:adjustRightInd w:val="0"/>
              <w:spacing w:line="240" w:lineRule="auto"/>
              <w:ind w:left="610" w:hanging="610"/>
              <w:textAlignment w:val="baseline"/>
              <w:rPr>
                <w:del w:id="6061" w:author="AbbVie_HU_03" w:date="2025-05-14T15:27:00Z"/>
              </w:rPr>
            </w:pPr>
            <w:del w:id="6062" w:author="AbbVie_HU_03" w:date="2025-05-14T15:27:00Z">
              <w:r w:rsidRPr="00183B5F">
                <w:tab/>
                <w:delText>12.</w:delText>
              </w:r>
              <w:r w:rsidR="00A44DB6" w:rsidRPr="00183B5F">
                <w:delText> hét</w:delText>
              </w:r>
            </w:del>
          </w:p>
        </w:tc>
        <w:tc>
          <w:tcPr>
            <w:tcW w:w="2200" w:type="dxa"/>
            <w:tcBorders>
              <w:top w:val="single" w:sz="4" w:space="0" w:color="auto"/>
              <w:left w:val="single" w:sz="4" w:space="0" w:color="auto"/>
              <w:bottom w:val="single" w:sz="4" w:space="0" w:color="auto"/>
              <w:right w:val="single" w:sz="4" w:space="0" w:color="auto"/>
            </w:tcBorders>
          </w:tcPr>
          <w:p w14:paraId="0B9194FD" w14:textId="0BDFF3E2" w:rsidR="00FB6710" w:rsidRPr="00183B5F" w:rsidRDefault="00943743" w:rsidP="004062FE">
            <w:pPr>
              <w:tabs>
                <w:tab w:val="left" w:pos="562"/>
              </w:tabs>
              <w:suppressAutoHyphens w:val="0"/>
              <w:spacing w:line="240" w:lineRule="auto"/>
              <w:jc w:val="center"/>
              <w:rPr>
                <w:del w:id="6063" w:author="AbbVie_HU_03" w:date="2025-05-14T15:27:00Z"/>
              </w:rPr>
            </w:pPr>
            <w:del w:id="6064" w:author="AbbVie_HU_03" w:date="2025-05-14T15:27:00Z">
              <w:r w:rsidRPr="00183B5F">
                <w:delText>16%</w:delText>
              </w:r>
            </w:del>
          </w:p>
        </w:tc>
        <w:tc>
          <w:tcPr>
            <w:tcW w:w="1980" w:type="dxa"/>
            <w:tcBorders>
              <w:top w:val="single" w:sz="4" w:space="0" w:color="auto"/>
              <w:left w:val="single" w:sz="4" w:space="0" w:color="auto"/>
              <w:bottom w:val="single" w:sz="4" w:space="0" w:color="auto"/>
            </w:tcBorders>
          </w:tcPr>
          <w:p w14:paraId="6B0D625C" w14:textId="5BF2CA60" w:rsidR="00FB6710" w:rsidRPr="00183B5F" w:rsidRDefault="00943743" w:rsidP="004062FE">
            <w:pPr>
              <w:tabs>
                <w:tab w:val="left" w:pos="562"/>
              </w:tabs>
              <w:suppressAutoHyphens w:val="0"/>
              <w:spacing w:line="240" w:lineRule="auto"/>
              <w:jc w:val="center"/>
              <w:rPr>
                <w:del w:id="6065" w:author="AbbVie_HU_03" w:date="2025-05-14T15:27:00Z"/>
              </w:rPr>
            </w:pPr>
            <w:del w:id="6066" w:author="AbbVie_HU_03" w:date="2025-05-14T15:27:00Z">
              <w:r w:rsidRPr="00183B5F">
                <w:delText>45%***</w:delText>
              </w:r>
            </w:del>
          </w:p>
        </w:tc>
      </w:tr>
      <w:tr w:rsidR="00011D2F" w14:paraId="3F54D17B" w14:textId="3745B93C" w:rsidTr="006A1EF8">
        <w:trPr>
          <w:tblHeader/>
          <w:del w:id="6067" w:author="AbbVie_HU_03" w:date="2025-05-14T15:27:00Z"/>
        </w:trPr>
        <w:tc>
          <w:tcPr>
            <w:tcW w:w="3300" w:type="dxa"/>
            <w:tcBorders>
              <w:top w:val="single" w:sz="4" w:space="0" w:color="auto"/>
              <w:bottom w:val="single" w:sz="4" w:space="0" w:color="auto"/>
              <w:right w:val="single" w:sz="4" w:space="0" w:color="auto"/>
            </w:tcBorders>
          </w:tcPr>
          <w:p w14:paraId="75AC7B41" w14:textId="2EA08B92" w:rsidR="00FB6710" w:rsidRPr="00183B5F" w:rsidRDefault="00943743" w:rsidP="004062FE">
            <w:pPr>
              <w:tabs>
                <w:tab w:val="left" w:pos="562"/>
              </w:tabs>
              <w:suppressAutoHyphens w:val="0"/>
              <w:spacing w:line="240" w:lineRule="auto"/>
              <w:rPr>
                <w:del w:id="6068" w:author="AbbVie_HU_03" w:date="2025-05-14T15:27:00Z"/>
              </w:rPr>
            </w:pPr>
            <w:del w:id="6069" w:author="AbbVie_HU_03" w:date="2025-05-14T15:27:00Z">
              <w:r w:rsidRPr="00183B5F">
                <w:tab/>
                <w:delText>24.</w:delText>
              </w:r>
              <w:r w:rsidR="00A44DB6" w:rsidRPr="00183B5F">
                <w:delText> hét</w:delText>
              </w:r>
            </w:del>
          </w:p>
        </w:tc>
        <w:tc>
          <w:tcPr>
            <w:tcW w:w="2200" w:type="dxa"/>
            <w:tcBorders>
              <w:top w:val="single" w:sz="4" w:space="0" w:color="auto"/>
              <w:left w:val="single" w:sz="4" w:space="0" w:color="auto"/>
              <w:bottom w:val="single" w:sz="4" w:space="0" w:color="auto"/>
              <w:right w:val="single" w:sz="4" w:space="0" w:color="auto"/>
            </w:tcBorders>
          </w:tcPr>
          <w:p w14:paraId="75016D1D" w14:textId="76BDD6C7" w:rsidR="00FB6710" w:rsidRPr="00183B5F" w:rsidRDefault="00943743" w:rsidP="004062FE">
            <w:pPr>
              <w:tabs>
                <w:tab w:val="left" w:pos="562"/>
              </w:tabs>
              <w:suppressAutoHyphens w:val="0"/>
              <w:spacing w:line="240" w:lineRule="auto"/>
              <w:jc w:val="center"/>
              <w:rPr>
                <w:del w:id="6070" w:author="AbbVie_HU_03" w:date="2025-05-14T15:27:00Z"/>
              </w:rPr>
            </w:pPr>
            <w:del w:id="6071" w:author="AbbVie_HU_03" w:date="2025-05-14T15:27:00Z">
              <w:r w:rsidRPr="00183B5F">
                <w:delText>15%</w:delText>
              </w:r>
            </w:del>
          </w:p>
        </w:tc>
        <w:tc>
          <w:tcPr>
            <w:tcW w:w="1980" w:type="dxa"/>
            <w:tcBorders>
              <w:top w:val="single" w:sz="4" w:space="0" w:color="auto"/>
              <w:left w:val="single" w:sz="4" w:space="0" w:color="auto"/>
              <w:bottom w:val="single" w:sz="4" w:space="0" w:color="auto"/>
            </w:tcBorders>
          </w:tcPr>
          <w:p w14:paraId="52C3DF28" w14:textId="5EE2A0F5" w:rsidR="00FB6710" w:rsidRPr="00183B5F" w:rsidRDefault="00943743" w:rsidP="004062FE">
            <w:pPr>
              <w:tabs>
                <w:tab w:val="left" w:pos="562"/>
              </w:tabs>
              <w:suppressAutoHyphens w:val="0"/>
              <w:spacing w:line="240" w:lineRule="auto"/>
              <w:jc w:val="center"/>
              <w:rPr>
                <w:del w:id="6072" w:author="AbbVie_HU_03" w:date="2025-05-14T15:27:00Z"/>
              </w:rPr>
            </w:pPr>
            <w:del w:id="6073" w:author="AbbVie_HU_03" w:date="2025-05-14T15:27:00Z">
              <w:r w:rsidRPr="00183B5F">
                <w:delText>42%***</w:delText>
              </w:r>
            </w:del>
          </w:p>
        </w:tc>
      </w:tr>
    </w:tbl>
    <w:p w14:paraId="33F52E41" w14:textId="4E5ACB0F" w:rsidR="00FB6710" w:rsidRPr="00183B5F" w:rsidRDefault="00943743">
      <w:pPr>
        <w:pStyle w:val="DefaultText"/>
        <w:ind w:left="880"/>
        <w:rPr>
          <w:del w:id="6074" w:author="AbbVie_HU_03" w:date="2025-05-14T15:27:00Z"/>
          <w:rFonts w:ascii="Times New Roman" w:hAnsi="Times New Roman"/>
          <w:szCs w:val="22"/>
          <w:lang w:val="hu-HU"/>
        </w:rPr>
      </w:pPr>
      <w:del w:id="6075" w:author="AbbVie_HU_03" w:date="2025-05-14T15:27:00Z">
        <w:r w:rsidRPr="00183B5F">
          <w:rPr>
            <w:rFonts w:ascii="Times New Roman" w:hAnsi="Times New Roman"/>
            <w:szCs w:val="22"/>
            <w:lang w:val="hu-HU"/>
          </w:rPr>
          <w:delText xml:space="preserve">***,** Statisztikailag szignifikáns különbség (p &lt; 0,001, &lt; 0,01) </w:delText>
        </w:r>
        <w:r w:rsidR="000E27C6" w:rsidRPr="00183B5F">
          <w:rPr>
            <w:rFonts w:ascii="Times New Roman" w:hAnsi="Times New Roman"/>
            <w:szCs w:val="22"/>
            <w:lang w:val="hu-HU"/>
          </w:rPr>
          <w:delText xml:space="preserve">Humira és a placebocsoportok közötti valamennyi összehasonlítás tekintetében </w:delText>
        </w:r>
        <w:r w:rsidRPr="00183B5F">
          <w:rPr>
            <w:rFonts w:ascii="Times New Roman" w:hAnsi="Times New Roman"/>
            <w:szCs w:val="22"/>
            <w:lang w:val="hu-HU"/>
          </w:rPr>
          <w:delText>a 2</w:delText>
        </w:r>
        <w:r w:rsidR="000E27C6" w:rsidRPr="00183B5F">
          <w:rPr>
            <w:rFonts w:ascii="Times New Roman" w:hAnsi="Times New Roman"/>
            <w:szCs w:val="22"/>
            <w:lang w:val="hu-HU"/>
          </w:rPr>
          <w:delText>.</w:delText>
        </w:r>
        <w:r w:rsidRPr="00183B5F">
          <w:rPr>
            <w:rFonts w:ascii="Times New Roman" w:hAnsi="Times New Roman"/>
            <w:szCs w:val="22"/>
            <w:lang w:val="hu-HU"/>
          </w:rPr>
          <w:delText xml:space="preserve">, </w:delText>
        </w:r>
        <w:r w:rsidR="000E27C6" w:rsidRPr="00183B5F">
          <w:rPr>
            <w:rFonts w:ascii="Times New Roman" w:hAnsi="Times New Roman"/>
            <w:szCs w:val="22"/>
            <w:lang w:val="hu-HU"/>
          </w:rPr>
          <w:delText>12.</w:delText>
        </w:r>
        <w:r w:rsidRPr="00183B5F">
          <w:rPr>
            <w:rFonts w:ascii="Times New Roman" w:hAnsi="Times New Roman"/>
            <w:szCs w:val="22"/>
            <w:lang w:val="hu-HU"/>
          </w:rPr>
          <w:delText>és 24.</w:delText>
        </w:r>
        <w:r w:rsidR="00A44DB6" w:rsidRPr="00183B5F">
          <w:rPr>
            <w:rFonts w:ascii="Times New Roman" w:hAnsi="Times New Roman"/>
            <w:szCs w:val="22"/>
            <w:lang w:val="hu-HU"/>
          </w:rPr>
          <w:delText> hét</w:delText>
        </w:r>
        <w:r w:rsidR="000E27C6" w:rsidRPr="00183B5F">
          <w:rPr>
            <w:rFonts w:ascii="Times New Roman" w:hAnsi="Times New Roman"/>
            <w:szCs w:val="22"/>
            <w:lang w:val="hu-HU"/>
          </w:rPr>
          <w:delText>en</w:delText>
        </w:r>
      </w:del>
    </w:p>
    <w:p w14:paraId="5FFC53E5" w14:textId="0CEF8C9B" w:rsidR="00494EFD" w:rsidRPr="00183B5F" w:rsidRDefault="00943743" w:rsidP="004062FE">
      <w:pPr>
        <w:tabs>
          <w:tab w:val="left" w:pos="708"/>
        </w:tabs>
        <w:suppressAutoHyphens w:val="0"/>
        <w:autoSpaceDE w:val="0"/>
        <w:autoSpaceDN w:val="0"/>
        <w:adjustRightInd w:val="0"/>
        <w:spacing w:line="240" w:lineRule="auto"/>
        <w:ind w:left="880"/>
        <w:rPr>
          <w:del w:id="6076" w:author="AbbVie_HU_03" w:date="2025-05-14T15:27:00Z"/>
          <w:szCs w:val="22"/>
          <w:vertAlign w:val="superscript"/>
        </w:rPr>
      </w:pPr>
      <w:del w:id="6077" w:author="AbbVie_HU_03" w:date="2025-05-14T15:27:00Z">
        <w:r w:rsidRPr="00183B5F">
          <w:rPr>
            <w:szCs w:val="22"/>
            <w:vertAlign w:val="superscript"/>
          </w:rPr>
          <w:delText>a</w:delText>
        </w:r>
        <w:r w:rsidRPr="00183B5F">
          <w:rPr>
            <w:szCs w:val="22"/>
          </w:rPr>
          <w:delText xml:space="preserve"> ASsessments in Ankylosing Spondylitis (Spondylitis Ankylopoetica Értékelése) </w:delText>
        </w:r>
      </w:del>
    </w:p>
    <w:p w14:paraId="6E2B61B0" w14:textId="69CFC666" w:rsidR="00FB6710" w:rsidRPr="00183B5F" w:rsidRDefault="00943743" w:rsidP="004062FE">
      <w:pPr>
        <w:tabs>
          <w:tab w:val="left" w:pos="708"/>
        </w:tabs>
        <w:suppressAutoHyphens w:val="0"/>
        <w:autoSpaceDE w:val="0"/>
        <w:autoSpaceDN w:val="0"/>
        <w:adjustRightInd w:val="0"/>
        <w:spacing w:line="240" w:lineRule="auto"/>
        <w:ind w:left="880"/>
        <w:rPr>
          <w:del w:id="6078" w:author="AbbVie_HU_03" w:date="2025-05-14T15:27:00Z"/>
          <w:szCs w:val="22"/>
        </w:rPr>
      </w:pPr>
      <w:del w:id="6079" w:author="AbbVie_HU_03" w:date="2025-05-14T15:27:00Z">
        <w:r w:rsidRPr="00183B5F">
          <w:rPr>
            <w:szCs w:val="22"/>
            <w:vertAlign w:val="superscript"/>
          </w:rPr>
          <w:delText>b</w:delText>
        </w:r>
        <w:r w:rsidRPr="00183B5F">
          <w:rPr>
            <w:szCs w:val="22"/>
          </w:rPr>
          <w:delText xml:space="preserve"> Bath Ankylosing Spondylitis Disease Activity Index (B</w:delText>
        </w:r>
        <w:r w:rsidR="001606C2" w:rsidRPr="00183B5F">
          <w:rPr>
            <w:szCs w:val="22"/>
          </w:rPr>
          <w:delText>ath Spondylitis Ankylopoetica</w:delText>
        </w:r>
        <w:r w:rsidRPr="00183B5F">
          <w:rPr>
            <w:szCs w:val="22"/>
          </w:rPr>
          <w:delText xml:space="preserve"> Betegség Aktivitási Index)</w:delText>
        </w:r>
      </w:del>
    </w:p>
    <w:p w14:paraId="114F938D" w14:textId="62FB22E0" w:rsidR="001F5F5A" w:rsidRPr="00183B5F" w:rsidRDefault="001F5F5A" w:rsidP="004062FE">
      <w:pPr>
        <w:tabs>
          <w:tab w:val="left" w:pos="708"/>
        </w:tabs>
        <w:suppressAutoHyphens w:val="0"/>
        <w:autoSpaceDE w:val="0"/>
        <w:autoSpaceDN w:val="0"/>
        <w:adjustRightInd w:val="0"/>
        <w:spacing w:line="240" w:lineRule="auto"/>
        <w:rPr>
          <w:del w:id="6080" w:author="AbbVie_HU_03" w:date="2025-05-14T15:27:00Z"/>
          <w:szCs w:val="22"/>
        </w:rPr>
      </w:pPr>
    </w:p>
    <w:p w14:paraId="34DC5061" w14:textId="1C212DC4" w:rsidR="00FB6710" w:rsidRPr="00183B5F" w:rsidRDefault="00943743" w:rsidP="004062FE">
      <w:pPr>
        <w:suppressAutoHyphens w:val="0"/>
        <w:spacing w:line="240" w:lineRule="auto"/>
        <w:rPr>
          <w:del w:id="6081" w:author="AbbVie_HU_03" w:date="2025-05-14T15:27:00Z"/>
          <w:szCs w:val="22"/>
        </w:rPr>
      </w:pPr>
      <w:del w:id="6082" w:author="AbbVie_HU_03" w:date="2025-05-14T15:27:00Z">
        <w:r w:rsidRPr="00183B5F">
          <w:rPr>
            <w:szCs w:val="22"/>
          </w:rPr>
          <w:delText>Humira</w:delText>
        </w:r>
        <w:r w:rsidR="000067AA" w:rsidRPr="00183B5F">
          <w:rPr>
            <w:szCs w:val="22"/>
          </w:rPr>
          <w:noBreakHyphen/>
        </w:r>
        <w:r w:rsidRPr="00183B5F">
          <w:rPr>
            <w:szCs w:val="22"/>
          </w:rPr>
          <w:delText>val kezelt betegek szignifikánsan nagyobb mértékű javulást mutattak a 12.</w:delText>
        </w:r>
        <w:r w:rsidR="00A44DB6" w:rsidRPr="00183B5F">
          <w:rPr>
            <w:szCs w:val="22"/>
          </w:rPr>
          <w:delText> hét</w:delText>
        </w:r>
        <w:r w:rsidRPr="00183B5F">
          <w:rPr>
            <w:szCs w:val="22"/>
          </w:rPr>
          <w:delText>en, mind a SF36</w:delText>
        </w:r>
        <w:r w:rsidR="000067AA" w:rsidRPr="00183B5F">
          <w:rPr>
            <w:szCs w:val="22"/>
          </w:rPr>
          <w:noBreakHyphen/>
        </w:r>
        <w:r w:rsidRPr="00183B5F">
          <w:rPr>
            <w:szCs w:val="22"/>
          </w:rPr>
          <w:delText xml:space="preserve">ban, mind az Ankylosing Spondylitis Quality of Life Questionnaire (ASQoL) (Spondylitis </w:delText>
        </w:r>
        <w:r w:rsidR="00494EFD" w:rsidRPr="00183B5F">
          <w:rPr>
            <w:szCs w:val="22"/>
          </w:rPr>
          <w:delText>A</w:delText>
        </w:r>
        <w:r w:rsidRPr="00183B5F">
          <w:rPr>
            <w:szCs w:val="22"/>
          </w:rPr>
          <w:delText>nkylopoetica Életminőség Kérdőív) alapján, ami 24</w:delText>
        </w:r>
        <w:r w:rsidR="00A44DB6" w:rsidRPr="00183B5F">
          <w:rPr>
            <w:szCs w:val="22"/>
          </w:rPr>
          <w:delText> hét</w:delText>
        </w:r>
        <w:r w:rsidRPr="00183B5F">
          <w:rPr>
            <w:szCs w:val="22"/>
          </w:rPr>
          <w:delText>en keresztül fennmaradt.</w:delText>
        </w:r>
      </w:del>
    </w:p>
    <w:p w14:paraId="03047002" w14:textId="3FE5805C" w:rsidR="00FB6710" w:rsidRPr="00183B5F" w:rsidRDefault="00FB6710" w:rsidP="004062FE">
      <w:pPr>
        <w:suppressAutoHyphens w:val="0"/>
        <w:spacing w:line="240" w:lineRule="auto"/>
        <w:rPr>
          <w:del w:id="6083" w:author="AbbVie_HU_03" w:date="2025-05-14T15:27:00Z"/>
          <w:szCs w:val="22"/>
        </w:rPr>
      </w:pPr>
    </w:p>
    <w:p w14:paraId="5C49BD3D" w14:textId="1FEF8F2B" w:rsidR="00FB6710" w:rsidRPr="00183B5F" w:rsidRDefault="00943743" w:rsidP="004062FE">
      <w:pPr>
        <w:suppressAutoHyphens w:val="0"/>
        <w:spacing w:line="240" w:lineRule="auto"/>
        <w:rPr>
          <w:del w:id="6084" w:author="AbbVie_HU_03" w:date="2025-05-14T15:27:00Z"/>
          <w:szCs w:val="22"/>
        </w:rPr>
      </w:pPr>
      <w:del w:id="6085" w:author="AbbVie_HU_03" w:date="2025-05-14T15:27:00Z">
        <w:r w:rsidRPr="00183B5F">
          <w:rPr>
            <w:szCs w:val="22"/>
          </w:rPr>
          <w:delText xml:space="preserve">Hasonló trendeket (nem minden esetben statisztikailag szignifikáns) észleltek egy kisebb, 82 aktív spondylitis ankylopoeticában szenvedő beteg bevonásával végzett randomizált, </w:delText>
        </w:r>
        <w:r w:rsidR="00E5381A" w:rsidRPr="00183B5F">
          <w:rPr>
            <w:szCs w:val="22"/>
          </w:rPr>
          <w:delText>kettős vak</w:delText>
        </w:r>
        <w:r w:rsidRPr="00183B5F">
          <w:rPr>
            <w:szCs w:val="22"/>
          </w:rPr>
          <w:delText>, placebokontrollos vizsgálatban (AS</w:delText>
        </w:r>
        <w:r w:rsidR="000067AA" w:rsidRPr="00183B5F">
          <w:rPr>
            <w:szCs w:val="22"/>
          </w:rPr>
          <w:delText> </w:delText>
        </w:r>
        <w:r w:rsidRPr="00183B5F">
          <w:rPr>
            <w:szCs w:val="22"/>
          </w:rPr>
          <w:delText>II).</w:delText>
        </w:r>
      </w:del>
    </w:p>
    <w:p w14:paraId="13EDB611" w14:textId="44541FE4" w:rsidR="0031425E" w:rsidRPr="00183B5F" w:rsidRDefault="0031425E" w:rsidP="004062FE">
      <w:pPr>
        <w:suppressAutoHyphens w:val="0"/>
        <w:spacing w:line="240" w:lineRule="auto"/>
        <w:rPr>
          <w:del w:id="6086" w:author="AbbVie_HU_03" w:date="2025-05-14T15:27:00Z"/>
          <w:szCs w:val="22"/>
        </w:rPr>
      </w:pPr>
    </w:p>
    <w:p w14:paraId="216E59AF" w14:textId="3E40D12D" w:rsidR="006C5B50" w:rsidRPr="00183B5F" w:rsidRDefault="00943743">
      <w:pPr>
        <w:suppressAutoHyphens w:val="0"/>
        <w:spacing w:line="240" w:lineRule="auto"/>
        <w:rPr>
          <w:del w:id="6087" w:author="AbbVie_HU_03" w:date="2025-05-14T15:27:00Z"/>
          <w:rFonts w:eastAsia="MS Mincho"/>
          <w:i/>
          <w:szCs w:val="22"/>
          <w:u w:val="single"/>
          <w:lang w:eastAsia="ja-JP"/>
        </w:rPr>
      </w:pPr>
      <w:del w:id="6088" w:author="AbbVie_HU_03" w:date="2025-05-14T15:27:00Z">
        <w:r w:rsidRPr="00183B5F">
          <w:rPr>
            <w:rFonts w:eastAsia="SimSun"/>
            <w:i/>
            <w:szCs w:val="22"/>
            <w:u w:val="single"/>
            <w:lang w:eastAsia="zh-CN"/>
          </w:rPr>
          <w:delText>Spondylitis ankylopoeticának (SPA) megfelelő röntgeneltéréssel nem járó</w:delText>
        </w:r>
        <w:r w:rsidRPr="00183B5F">
          <w:rPr>
            <w:i/>
            <w:szCs w:val="22"/>
            <w:u w:val="single"/>
          </w:rPr>
          <w:delText xml:space="preserve"> axiális spondyloarthritis</w:delText>
        </w:r>
      </w:del>
    </w:p>
    <w:p w14:paraId="21734832" w14:textId="57A5887B" w:rsidR="00ED4BAB" w:rsidRPr="00183B5F" w:rsidRDefault="00ED4BAB" w:rsidP="00ED4BAB">
      <w:pPr>
        <w:rPr>
          <w:del w:id="6089" w:author="AbbVie_HU_03" w:date="2025-05-14T15:27:00Z"/>
          <w:u w:val="single"/>
        </w:rPr>
      </w:pPr>
    </w:p>
    <w:p w14:paraId="5EA573CA" w14:textId="30DD31F6" w:rsidR="00ED4BAB" w:rsidRPr="00183B5F" w:rsidRDefault="00943743" w:rsidP="00ED4BAB">
      <w:pPr>
        <w:rPr>
          <w:del w:id="6090" w:author="AbbVie_HU_03" w:date="2025-05-14T15:27:00Z"/>
          <w:szCs w:val="22"/>
        </w:rPr>
      </w:pPr>
      <w:del w:id="6091" w:author="AbbVie_HU_03" w:date="2025-05-14T15:27:00Z">
        <w:r w:rsidRPr="00183B5F">
          <w:rPr>
            <w:bCs/>
            <w:iCs/>
            <w:szCs w:val="22"/>
          </w:rPr>
          <w:delText xml:space="preserve">A Humira </w:delText>
        </w:r>
        <w:r w:rsidRPr="00183B5F">
          <w:delText>biztonságosságát és hatásosságát</w:delText>
        </w:r>
        <w:r w:rsidR="00147D2B" w:rsidRPr="00183B5F">
          <w:rPr>
            <w:rFonts w:eastAsia="SimSun"/>
            <w:szCs w:val="22"/>
            <w:lang w:eastAsia="zh-CN"/>
          </w:rPr>
          <w:delText xml:space="preserve"> spondylitis ankylopoeticának (SPA)</w:delText>
        </w:r>
        <w:r w:rsidR="001A71AE" w:rsidRPr="00183B5F">
          <w:delText xml:space="preserve"> </w:delText>
        </w:r>
        <w:r w:rsidR="001A71AE" w:rsidRPr="00183B5F">
          <w:rPr>
            <w:szCs w:val="22"/>
          </w:rPr>
          <w:delText>megfelelő röntgeneltéréssel nem járó axiális spondyloarthritisben (</w:delText>
        </w:r>
        <w:r w:rsidR="001A71AE" w:rsidRPr="00183B5F">
          <w:delText xml:space="preserve">nr-axSpA) szenvedő betegeknél értékelték </w:delText>
        </w:r>
        <w:r w:rsidRPr="00183B5F">
          <w:rPr>
            <w:bCs/>
            <w:iCs/>
            <w:szCs w:val="22"/>
          </w:rPr>
          <w:delText>két rand</w:delText>
        </w:r>
        <w:r w:rsidR="00F70BBE" w:rsidRPr="00183B5F">
          <w:rPr>
            <w:szCs w:val="22"/>
          </w:rPr>
          <w:delText xml:space="preserve">omizált, kettős </w:delText>
        </w:r>
        <w:r w:rsidRPr="00183B5F">
          <w:rPr>
            <w:szCs w:val="22"/>
          </w:rPr>
          <w:delText>vak, placebokontrollos vizsgálatban</w:delText>
        </w:r>
        <w:r w:rsidR="001A71AE" w:rsidRPr="00183B5F">
          <w:rPr>
            <w:szCs w:val="22"/>
          </w:rPr>
          <w:delText xml:space="preserve">. Az </w:delText>
        </w:r>
        <w:r w:rsidR="00147D2B" w:rsidRPr="00183B5F">
          <w:delText>N</w:delText>
        </w:r>
        <w:r w:rsidR="001A71AE" w:rsidRPr="00183B5F">
          <w:delText>r-axSpA I klinikai vizsgálat</w:delText>
        </w:r>
        <w:r w:rsidR="00306FFA" w:rsidRPr="00183B5F">
          <w:delText xml:space="preserve">ban </w:delText>
        </w:r>
        <w:r w:rsidR="001A71AE" w:rsidRPr="00183B5F">
          <w:delText>aktív nr-axSpA</w:delText>
        </w:r>
        <w:r w:rsidR="006B03FF" w:rsidRPr="00183B5F">
          <w:delText>-ban szenvedő betegeket értékelt</w:delText>
        </w:r>
        <w:r w:rsidR="00306FFA" w:rsidRPr="00183B5F">
          <w:delText>ek</w:delText>
        </w:r>
        <w:r w:rsidR="006B03FF" w:rsidRPr="00183B5F">
          <w:delText xml:space="preserve">. Az </w:delText>
        </w:r>
        <w:r w:rsidR="00147D2B" w:rsidRPr="00183B5F">
          <w:delText>N</w:delText>
        </w:r>
        <w:r w:rsidR="006B03FF" w:rsidRPr="00183B5F">
          <w:delText xml:space="preserve">r-axSpA II </w:delText>
        </w:r>
        <w:r w:rsidR="00AC52EA" w:rsidRPr="00183B5F">
          <w:delText>vizsgálatban a kezelés megszakításának hatását vizsgálták olyan</w:delText>
        </w:r>
        <w:r w:rsidR="00A71287" w:rsidRPr="00183B5F">
          <w:delText xml:space="preserve"> aktív nr</w:delText>
        </w:r>
        <w:r w:rsidR="00A71287" w:rsidRPr="00183B5F">
          <w:noBreakHyphen/>
          <w:delText>axSpA-ban szenvedő betegeknél</w:delText>
        </w:r>
        <w:r w:rsidR="00306FFA" w:rsidRPr="00183B5F">
          <w:delText>,</w:delText>
        </w:r>
        <w:r w:rsidR="00A71287" w:rsidRPr="00183B5F">
          <w:delText xml:space="preserve"> akik remisszióba kerültek a nyílt elrendezésű Humira</w:delText>
        </w:r>
        <w:r w:rsidR="007A6229" w:rsidRPr="00183B5F">
          <w:noBreakHyphen/>
        </w:r>
        <w:r w:rsidR="00A71287" w:rsidRPr="00183B5F">
          <w:delText>kezelés során.</w:delText>
        </w:r>
      </w:del>
    </w:p>
    <w:p w14:paraId="0C57ED1E" w14:textId="30D27560" w:rsidR="0031425E" w:rsidRPr="00183B5F" w:rsidRDefault="0031425E" w:rsidP="004062FE">
      <w:pPr>
        <w:suppressAutoHyphens w:val="0"/>
        <w:spacing w:line="240" w:lineRule="auto"/>
        <w:rPr>
          <w:del w:id="6092" w:author="AbbVie_HU_03" w:date="2025-05-14T15:27:00Z"/>
          <w:szCs w:val="22"/>
        </w:rPr>
      </w:pPr>
    </w:p>
    <w:p w14:paraId="24305E7C" w14:textId="7C410D6E" w:rsidR="00ED4BAB" w:rsidRPr="00183B5F" w:rsidRDefault="00943743" w:rsidP="00ED4BAB">
      <w:pPr>
        <w:rPr>
          <w:del w:id="6093" w:author="AbbVie_HU_03" w:date="2025-05-14T15:27:00Z"/>
        </w:rPr>
      </w:pPr>
      <w:del w:id="6094" w:author="AbbVie_HU_03" w:date="2025-05-14T15:27:00Z">
        <w:r w:rsidRPr="00183B5F">
          <w:delText>Nr-axSpA I klinikai vizsgálat</w:delText>
        </w:r>
      </w:del>
    </w:p>
    <w:p w14:paraId="6EA57291" w14:textId="66AD2CEB" w:rsidR="00ED4BAB" w:rsidRPr="00183B5F" w:rsidRDefault="00ED4BAB" w:rsidP="004062FE">
      <w:pPr>
        <w:suppressAutoHyphens w:val="0"/>
        <w:spacing w:line="240" w:lineRule="auto"/>
        <w:rPr>
          <w:del w:id="6095" w:author="AbbVie_HU_03" w:date="2025-05-14T15:27:00Z"/>
          <w:szCs w:val="22"/>
        </w:rPr>
      </w:pPr>
    </w:p>
    <w:p w14:paraId="5C29155E" w14:textId="31C654DF" w:rsidR="00492431" w:rsidRPr="00183B5F" w:rsidRDefault="00943743" w:rsidP="00163756">
      <w:pPr>
        <w:rPr>
          <w:del w:id="6096" w:author="AbbVie_HU_03" w:date="2025-05-14T15:27:00Z"/>
          <w:szCs w:val="22"/>
        </w:rPr>
      </w:pPr>
      <w:del w:id="6097" w:author="AbbVie_HU_03" w:date="2025-05-14T15:27:00Z">
        <w:r w:rsidRPr="00183B5F">
          <w:delText xml:space="preserve">Az Nr-axSpA I klinikai vizsgálatban </w:delText>
        </w:r>
        <w:r w:rsidRPr="00183B5F">
          <w:rPr>
            <w:szCs w:val="22"/>
          </w:rPr>
          <w:delText>a</w:delText>
        </w:r>
        <w:r w:rsidR="0031425E" w:rsidRPr="00183B5F">
          <w:rPr>
            <w:szCs w:val="22"/>
          </w:rPr>
          <w:delText xml:space="preserve"> </w:delText>
        </w:r>
        <w:r w:rsidR="006C5B50" w:rsidRPr="00183B5F">
          <w:rPr>
            <w:szCs w:val="22"/>
          </w:rPr>
          <w:delText xml:space="preserve">kéthetente egyszer </w:delText>
        </w:r>
        <w:r w:rsidR="0031425E" w:rsidRPr="00183B5F">
          <w:rPr>
            <w:szCs w:val="22"/>
          </w:rPr>
          <w:delText>40 mg</w:delText>
        </w:r>
        <w:r w:rsidR="00293A59" w:rsidRPr="00183B5F">
          <w:rPr>
            <w:szCs w:val="22"/>
          </w:rPr>
          <w:delText xml:space="preserve"> dózisban adagolt</w:delText>
        </w:r>
        <w:r w:rsidR="0031425E" w:rsidRPr="00183B5F">
          <w:rPr>
            <w:szCs w:val="22"/>
          </w:rPr>
          <w:delText xml:space="preserve"> Humira</w:delText>
        </w:r>
        <w:r w:rsidR="009E7212" w:rsidRPr="00183B5F">
          <w:rPr>
            <w:szCs w:val="22"/>
          </w:rPr>
          <w:noBreakHyphen/>
        </w:r>
        <w:r w:rsidR="00293A59" w:rsidRPr="00183B5F">
          <w:rPr>
            <w:szCs w:val="22"/>
          </w:rPr>
          <w:delText xml:space="preserve">kezelés </w:delText>
        </w:r>
        <w:r w:rsidR="0031425E" w:rsidRPr="00183B5F">
          <w:rPr>
            <w:szCs w:val="22"/>
          </w:rPr>
          <w:delText>hatását 185 aktív</w:delText>
        </w:r>
        <w:r w:rsidRPr="00183B5F">
          <w:rPr>
            <w:szCs w:val="22"/>
          </w:rPr>
          <w:delText xml:space="preserve"> nr-axSpA-ban</w:delText>
        </w:r>
        <w:r w:rsidR="0031425E" w:rsidRPr="00183B5F">
          <w:rPr>
            <w:szCs w:val="22"/>
          </w:rPr>
          <w:delText xml:space="preserve"> szenvedő beteg</w:delText>
        </w:r>
        <w:r w:rsidR="00AC52EA" w:rsidRPr="00183B5F">
          <w:rPr>
            <w:szCs w:val="22"/>
          </w:rPr>
          <w:delText>nél</w:delText>
        </w:r>
        <w:r w:rsidR="0031425E" w:rsidRPr="00183B5F">
          <w:rPr>
            <w:szCs w:val="22"/>
          </w:rPr>
          <w:delText xml:space="preserve"> vizsgálták egy randomizált, 12</w:delText>
        </w:r>
        <w:r w:rsidR="000067AA" w:rsidRPr="00183B5F">
          <w:rPr>
            <w:szCs w:val="22"/>
          </w:rPr>
          <w:delText> </w:delText>
        </w:r>
        <w:r w:rsidR="0031425E" w:rsidRPr="00183B5F">
          <w:rPr>
            <w:szCs w:val="22"/>
          </w:rPr>
          <w:delText>hetes, kettős</w:delText>
        </w:r>
        <w:r w:rsidR="00AC52EA" w:rsidRPr="00183B5F">
          <w:rPr>
            <w:szCs w:val="22"/>
          </w:rPr>
          <w:delText xml:space="preserve"> </w:delText>
        </w:r>
        <w:r w:rsidR="0031425E" w:rsidRPr="00183B5F">
          <w:rPr>
            <w:szCs w:val="22"/>
          </w:rPr>
          <w:delText>vak, placebokontrollos vizsgálatban (betegség aktivitásának átlagos kiindulási pontértéke [</w:delText>
        </w:r>
        <w:r w:rsidR="00293A59" w:rsidRPr="00183B5F">
          <w:rPr>
            <w:szCs w:val="22"/>
          </w:rPr>
          <w:delText xml:space="preserve">a </w:delText>
        </w:r>
        <w:r w:rsidR="0031425E" w:rsidRPr="00183B5F">
          <w:rPr>
            <w:szCs w:val="22"/>
          </w:rPr>
          <w:delText>Bath Ankylosing Spondylitis Disease Activity Index (BASDAI)</w:delText>
        </w:r>
        <w:r w:rsidR="00293A59" w:rsidRPr="00183B5F">
          <w:rPr>
            <w:szCs w:val="22"/>
          </w:rPr>
          <w:delText xml:space="preserve"> alapján értékelve</w:delText>
        </w:r>
        <w:r w:rsidR="0031425E" w:rsidRPr="00183B5F">
          <w:rPr>
            <w:szCs w:val="22"/>
          </w:rPr>
          <w:delText>] 6,4 volt a Humira</w:delText>
        </w:r>
        <w:r w:rsidR="000067AA" w:rsidRPr="00183B5F">
          <w:rPr>
            <w:szCs w:val="22"/>
          </w:rPr>
          <w:noBreakHyphen/>
        </w:r>
        <w:r w:rsidR="0031425E" w:rsidRPr="00183B5F">
          <w:rPr>
            <w:szCs w:val="22"/>
          </w:rPr>
          <w:delText>val kezelt és 6,5 a placebót kapó betegeknél), akik nem adtak megfelelő választ legalább 1 NSAID</w:delText>
        </w:r>
        <w:r w:rsidR="000067AA" w:rsidRPr="00183B5F">
          <w:rPr>
            <w:szCs w:val="22"/>
          </w:rPr>
          <w:noBreakHyphen/>
        </w:r>
        <w:r w:rsidR="00293A59" w:rsidRPr="00183B5F">
          <w:rPr>
            <w:szCs w:val="22"/>
          </w:rPr>
          <w:delText xml:space="preserve">re vagy nem tolerálták azt, illetve a </w:delText>
        </w:r>
        <w:r w:rsidRPr="00183B5F">
          <w:rPr>
            <w:szCs w:val="22"/>
          </w:rPr>
          <w:delText xml:space="preserve">NSAID adása </w:delText>
        </w:r>
        <w:r w:rsidR="00293A59" w:rsidRPr="00183B5F">
          <w:rPr>
            <w:szCs w:val="22"/>
          </w:rPr>
          <w:delText xml:space="preserve">számukra </w:delText>
        </w:r>
        <w:r w:rsidRPr="00183B5F">
          <w:rPr>
            <w:szCs w:val="22"/>
          </w:rPr>
          <w:delText>ellenjavallt volt.</w:delText>
        </w:r>
      </w:del>
    </w:p>
    <w:p w14:paraId="2F25982F" w14:textId="20B2C8A1" w:rsidR="00416F4E" w:rsidRPr="00183B5F" w:rsidRDefault="00416F4E">
      <w:pPr>
        <w:suppressAutoHyphens w:val="0"/>
        <w:spacing w:line="240" w:lineRule="auto"/>
        <w:rPr>
          <w:del w:id="6098" w:author="AbbVie_HU_03" w:date="2025-05-14T15:27:00Z"/>
          <w:szCs w:val="22"/>
        </w:rPr>
      </w:pPr>
    </w:p>
    <w:p w14:paraId="504BFF2B" w14:textId="5F3500F9" w:rsidR="00797675" w:rsidRPr="00183B5F" w:rsidRDefault="00943743" w:rsidP="004062FE">
      <w:pPr>
        <w:suppressAutoHyphens w:val="0"/>
        <w:spacing w:line="240" w:lineRule="auto"/>
        <w:rPr>
          <w:del w:id="6099" w:author="AbbVie_HU_03" w:date="2025-05-14T15:27:00Z"/>
          <w:szCs w:val="22"/>
        </w:rPr>
      </w:pPr>
      <w:del w:id="6100" w:author="AbbVie_HU_03" w:date="2025-05-14T15:27:00Z">
        <w:r w:rsidRPr="00183B5F">
          <w:rPr>
            <w:szCs w:val="22"/>
          </w:rPr>
          <w:delText xml:space="preserve">A </w:delText>
        </w:r>
        <w:r w:rsidR="00D56236" w:rsidRPr="00183B5F">
          <w:rPr>
            <w:szCs w:val="22"/>
          </w:rPr>
          <w:delText>vizsgálat megkezdésekor</w:delText>
        </w:r>
        <w:r w:rsidRPr="00183B5F">
          <w:rPr>
            <w:szCs w:val="22"/>
          </w:rPr>
          <w:delText xml:space="preserve"> </w:delText>
        </w:r>
        <w:r w:rsidR="00492431" w:rsidRPr="00183B5F">
          <w:rPr>
            <w:szCs w:val="22"/>
          </w:rPr>
          <w:delText>33</w:delText>
        </w:r>
        <w:r w:rsidR="000067AA" w:rsidRPr="00183B5F">
          <w:rPr>
            <w:szCs w:val="22"/>
          </w:rPr>
          <w:delText> </w:delText>
        </w:r>
        <w:r w:rsidR="0031425E" w:rsidRPr="00183B5F">
          <w:rPr>
            <w:szCs w:val="22"/>
          </w:rPr>
          <w:delText>beteg (</w:delText>
        </w:r>
        <w:r w:rsidR="00492431" w:rsidRPr="00183B5F">
          <w:rPr>
            <w:szCs w:val="22"/>
          </w:rPr>
          <w:delText>18</w:delText>
        </w:r>
        <w:r w:rsidR="0031425E" w:rsidRPr="00183B5F">
          <w:rPr>
            <w:szCs w:val="22"/>
          </w:rPr>
          <w:delText xml:space="preserve">%) kapott </w:delText>
        </w:r>
        <w:r w:rsidR="00D56236" w:rsidRPr="00183B5F">
          <w:rPr>
            <w:szCs w:val="22"/>
          </w:rPr>
          <w:delText>egyidejűleg</w:delText>
        </w:r>
        <w:r w:rsidR="0031425E" w:rsidRPr="00183B5F">
          <w:rPr>
            <w:szCs w:val="22"/>
          </w:rPr>
          <w:delText xml:space="preserve"> betegség</w:delText>
        </w:r>
        <w:r w:rsidRPr="00183B5F">
          <w:rPr>
            <w:szCs w:val="22"/>
          </w:rPr>
          <w:delText xml:space="preserve">módosító </w:delText>
        </w:r>
        <w:r w:rsidR="00FC65C1" w:rsidRPr="00183B5F">
          <w:rPr>
            <w:szCs w:val="22"/>
          </w:rPr>
          <w:delText>reumaellenes szert és</w:delText>
        </w:r>
        <w:r w:rsidR="0031425E" w:rsidRPr="00183B5F">
          <w:rPr>
            <w:szCs w:val="22"/>
          </w:rPr>
          <w:delText xml:space="preserve"> </w:delText>
        </w:r>
        <w:r w:rsidR="00492431" w:rsidRPr="00183B5F">
          <w:rPr>
            <w:szCs w:val="22"/>
          </w:rPr>
          <w:delText>146</w:delText>
        </w:r>
        <w:r w:rsidR="000067AA" w:rsidRPr="00183B5F">
          <w:rPr>
            <w:szCs w:val="22"/>
          </w:rPr>
          <w:delText> </w:delText>
        </w:r>
        <w:r w:rsidR="0031425E" w:rsidRPr="00183B5F">
          <w:rPr>
            <w:szCs w:val="22"/>
          </w:rPr>
          <w:delText>beteg (</w:delText>
        </w:r>
        <w:r w:rsidR="00492431" w:rsidRPr="00183B5F">
          <w:rPr>
            <w:szCs w:val="22"/>
          </w:rPr>
          <w:delText>79</w:delText>
        </w:r>
        <w:r w:rsidR="0031425E" w:rsidRPr="00183B5F">
          <w:rPr>
            <w:szCs w:val="22"/>
          </w:rPr>
          <w:delText xml:space="preserve">%) kapott </w:delText>
        </w:r>
        <w:r w:rsidR="00492431" w:rsidRPr="00183B5F">
          <w:rPr>
            <w:szCs w:val="22"/>
          </w:rPr>
          <w:delText>NSAID</w:delText>
        </w:r>
        <w:r w:rsidR="0031425E" w:rsidRPr="00183B5F">
          <w:rPr>
            <w:szCs w:val="22"/>
          </w:rPr>
          <w:delText xml:space="preserve"> kezelést</w:delText>
        </w:r>
        <w:r w:rsidRPr="00183B5F">
          <w:rPr>
            <w:szCs w:val="22"/>
          </w:rPr>
          <w:delText>.</w:delText>
        </w:r>
        <w:r w:rsidR="0031425E" w:rsidRPr="00183B5F">
          <w:rPr>
            <w:szCs w:val="22"/>
          </w:rPr>
          <w:delText xml:space="preserve"> A </w:delText>
        </w:r>
        <w:r w:rsidR="00997BCC" w:rsidRPr="00183B5F">
          <w:rPr>
            <w:szCs w:val="22"/>
          </w:rPr>
          <w:delText>kettős</w:delText>
        </w:r>
        <w:r w:rsidR="00AC52EA" w:rsidRPr="00183B5F">
          <w:rPr>
            <w:szCs w:val="22"/>
          </w:rPr>
          <w:delText xml:space="preserve"> </w:delText>
        </w:r>
        <w:r w:rsidR="0031425E" w:rsidRPr="00183B5F">
          <w:rPr>
            <w:szCs w:val="22"/>
          </w:rPr>
          <w:delText>vak szakaszt</w:delText>
        </w:r>
        <w:r w:rsidR="0031425E" w:rsidRPr="00183B5F">
          <w:rPr>
            <w:b/>
            <w:bCs/>
            <w:i/>
            <w:iCs/>
            <w:szCs w:val="22"/>
          </w:rPr>
          <w:delText xml:space="preserve"> </w:delText>
        </w:r>
        <w:r w:rsidR="0031425E" w:rsidRPr="00183B5F">
          <w:rPr>
            <w:szCs w:val="22"/>
          </w:rPr>
          <w:delText>egy nyílt vizsgála</w:delText>
        </w:r>
        <w:r w:rsidRPr="00183B5F">
          <w:rPr>
            <w:szCs w:val="22"/>
          </w:rPr>
          <w:delText>ti fázis</w:delText>
        </w:r>
        <w:r w:rsidR="00997BCC" w:rsidRPr="00183B5F">
          <w:rPr>
            <w:szCs w:val="22"/>
          </w:rPr>
          <w:delText xml:space="preserve"> követte</w:delText>
        </w:r>
        <w:r w:rsidRPr="00183B5F">
          <w:rPr>
            <w:szCs w:val="22"/>
          </w:rPr>
          <w:delText>, amely</w:delText>
        </w:r>
        <w:r w:rsidR="0031425E" w:rsidRPr="00183B5F">
          <w:rPr>
            <w:szCs w:val="22"/>
          </w:rPr>
          <w:delText xml:space="preserve"> során </w:delText>
        </w:r>
        <w:r w:rsidR="00997BCC" w:rsidRPr="00183B5F">
          <w:rPr>
            <w:szCs w:val="22"/>
          </w:rPr>
          <w:delText xml:space="preserve">további 144 héten keresztül </w:delText>
        </w:r>
        <w:r w:rsidR="0031425E" w:rsidRPr="00183B5F">
          <w:rPr>
            <w:szCs w:val="22"/>
          </w:rPr>
          <w:delText>a betegek kéthetente</w:delText>
        </w:r>
        <w:r w:rsidRPr="00183B5F">
          <w:rPr>
            <w:szCs w:val="22"/>
          </w:rPr>
          <w:delText xml:space="preserve"> 40 mg Humira</w:delText>
        </w:r>
        <w:r w:rsidR="000067AA" w:rsidRPr="00183B5F">
          <w:rPr>
            <w:szCs w:val="22"/>
          </w:rPr>
          <w:noBreakHyphen/>
        </w:r>
        <w:r w:rsidRPr="00183B5F">
          <w:rPr>
            <w:szCs w:val="22"/>
          </w:rPr>
          <w:delText>t kaptak</w:delText>
        </w:r>
        <w:r w:rsidR="0031425E" w:rsidRPr="00183B5F">
          <w:rPr>
            <w:szCs w:val="22"/>
          </w:rPr>
          <w:delText xml:space="preserve"> </w:delText>
        </w:r>
        <w:r w:rsidR="00997BCC" w:rsidRPr="00183B5F">
          <w:rPr>
            <w:szCs w:val="22"/>
          </w:rPr>
          <w:delText>subcutan</w:delText>
        </w:r>
        <w:r w:rsidR="0031425E" w:rsidRPr="00183B5F">
          <w:rPr>
            <w:szCs w:val="22"/>
          </w:rPr>
          <w:delText xml:space="preserve">. </w:delText>
        </w:r>
        <w:r w:rsidR="00492431" w:rsidRPr="00183B5F">
          <w:rPr>
            <w:szCs w:val="22"/>
          </w:rPr>
          <w:delText>A 12.</w:delText>
        </w:r>
        <w:r w:rsidR="00D56236" w:rsidRPr="00183B5F">
          <w:rPr>
            <w:szCs w:val="22"/>
          </w:rPr>
          <w:delText> </w:delText>
        </w:r>
        <w:r w:rsidR="00492431" w:rsidRPr="00183B5F">
          <w:rPr>
            <w:szCs w:val="22"/>
          </w:rPr>
          <w:delText xml:space="preserve">heti eredemények </w:delText>
        </w:r>
        <w:r w:rsidR="00997BCC" w:rsidRPr="00183B5F">
          <w:rPr>
            <w:szCs w:val="22"/>
          </w:rPr>
          <w:delText>alapján az aktív</w:delText>
        </w:r>
        <w:r w:rsidR="00492431" w:rsidRPr="00183B5F">
          <w:rPr>
            <w:szCs w:val="22"/>
          </w:rPr>
          <w:delText xml:space="preserve"> </w:delText>
        </w:r>
        <w:r w:rsidR="00147D2B" w:rsidRPr="00183B5F">
          <w:rPr>
            <w:szCs w:val="22"/>
          </w:rPr>
          <w:delText>nr-axSpA-ban</w:delText>
        </w:r>
        <w:r w:rsidR="00492431" w:rsidRPr="00183B5F">
          <w:rPr>
            <w:szCs w:val="22"/>
          </w:rPr>
          <w:delText xml:space="preserve"> szenvedő betegek </w:delText>
        </w:r>
        <w:r w:rsidR="00997BCC" w:rsidRPr="00183B5F">
          <w:rPr>
            <w:szCs w:val="22"/>
          </w:rPr>
          <w:delText>panaszai</w:delText>
        </w:r>
        <w:r w:rsidR="00492431" w:rsidRPr="00183B5F">
          <w:rPr>
            <w:szCs w:val="22"/>
          </w:rPr>
          <w:delText xml:space="preserve"> és tünetei statisztikailag szignifikáns javulást mutatt</w:delText>
        </w:r>
        <w:r w:rsidR="007A6229" w:rsidRPr="00183B5F">
          <w:rPr>
            <w:szCs w:val="22"/>
          </w:rPr>
          <w:delText>a</w:delText>
        </w:r>
        <w:r w:rsidR="00492431" w:rsidRPr="00183B5F">
          <w:rPr>
            <w:szCs w:val="22"/>
          </w:rPr>
          <w:delText>k</w:delText>
        </w:r>
        <w:r w:rsidRPr="00183B5F">
          <w:rPr>
            <w:szCs w:val="22"/>
          </w:rPr>
          <w:delText xml:space="preserve"> a Humira</w:delText>
        </w:r>
        <w:r w:rsidR="000067AA" w:rsidRPr="00183B5F">
          <w:rPr>
            <w:szCs w:val="22"/>
          </w:rPr>
          <w:noBreakHyphen/>
        </w:r>
        <w:r w:rsidRPr="00183B5F">
          <w:rPr>
            <w:szCs w:val="22"/>
          </w:rPr>
          <w:delText>val kezelt betegek esetében</w:delText>
        </w:r>
        <w:r w:rsidR="00D56236" w:rsidRPr="00183B5F">
          <w:rPr>
            <w:szCs w:val="22"/>
          </w:rPr>
          <w:delText>,</w:delText>
        </w:r>
        <w:r w:rsidRPr="00183B5F">
          <w:rPr>
            <w:szCs w:val="22"/>
          </w:rPr>
          <w:delText xml:space="preserve"> összehasonlítva a placebót kapó betegekkel (</w:delText>
        </w:r>
        <w:r w:rsidR="00B917A9" w:rsidRPr="00183B5F">
          <w:rPr>
            <w:szCs w:val="22"/>
          </w:rPr>
          <w:delText>13</w:delText>
        </w:r>
        <w:r w:rsidRPr="00183B5F">
          <w:rPr>
            <w:szCs w:val="22"/>
          </w:rPr>
          <w:delText>.</w:delText>
        </w:r>
        <w:r w:rsidR="00954421" w:rsidRPr="00183B5F">
          <w:rPr>
            <w:szCs w:val="22"/>
          </w:rPr>
          <w:delText> </w:delText>
        </w:r>
        <w:r w:rsidRPr="00183B5F">
          <w:rPr>
            <w:szCs w:val="22"/>
          </w:rPr>
          <w:delText>táblázat).</w:delText>
        </w:r>
      </w:del>
    </w:p>
    <w:p w14:paraId="0E88E206" w14:textId="0F7338FC" w:rsidR="00797675" w:rsidRPr="00183B5F" w:rsidRDefault="00797675" w:rsidP="004062FE">
      <w:pPr>
        <w:suppressAutoHyphens w:val="0"/>
        <w:spacing w:line="240" w:lineRule="auto"/>
        <w:rPr>
          <w:del w:id="6101" w:author="AbbVie_HU_03" w:date="2025-05-14T15:27:00Z"/>
          <w:szCs w:val="22"/>
        </w:rPr>
      </w:pPr>
    </w:p>
    <w:p w14:paraId="3453CC02" w14:textId="36034F12" w:rsidR="00797675" w:rsidRPr="00183B5F" w:rsidRDefault="00943743" w:rsidP="00790A13">
      <w:pPr>
        <w:keepNext/>
        <w:suppressAutoHyphens w:val="0"/>
        <w:spacing w:line="240" w:lineRule="auto"/>
        <w:jc w:val="center"/>
        <w:rPr>
          <w:del w:id="6102" w:author="AbbVie_HU_03" w:date="2025-05-14T15:27:00Z"/>
          <w:szCs w:val="22"/>
        </w:rPr>
      </w:pPr>
      <w:del w:id="6103" w:author="AbbVie_HU_03" w:date="2025-05-14T15:27:00Z">
        <w:r w:rsidRPr="00183B5F">
          <w:rPr>
            <w:b/>
            <w:szCs w:val="22"/>
          </w:rPr>
          <w:delText>13.</w:delText>
        </w:r>
        <w:r w:rsidR="00954421" w:rsidRPr="00183B5F">
          <w:rPr>
            <w:b/>
            <w:szCs w:val="22"/>
          </w:rPr>
          <w:delText> </w:delText>
        </w:r>
        <w:r w:rsidRPr="00183B5F">
          <w:rPr>
            <w:b/>
            <w:szCs w:val="22"/>
          </w:rPr>
          <w:delText>táblázat</w:delText>
        </w:r>
      </w:del>
    </w:p>
    <w:p w14:paraId="0DC63BAD" w14:textId="69746DFB" w:rsidR="00797675" w:rsidRPr="00183B5F" w:rsidRDefault="00943743" w:rsidP="00790A13">
      <w:pPr>
        <w:pStyle w:val="EMEANormal"/>
        <w:keepNext/>
        <w:jc w:val="center"/>
        <w:rPr>
          <w:del w:id="6104" w:author="AbbVie_HU_03" w:date="2025-05-14T15:27:00Z"/>
          <w:szCs w:val="22"/>
          <w:lang w:val="hu-HU"/>
        </w:rPr>
      </w:pPr>
      <w:del w:id="6105" w:author="AbbVie_HU_03" w:date="2025-05-14T15:27:00Z">
        <w:r w:rsidRPr="00183B5F">
          <w:rPr>
            <w:b/>
            <w:szCs w:val="22"/>
            <w:lang w:val="hu-HU"/>
          </w:rPr>
          <w:delText>Hatásossági válasz</w:delText>
        </w:r>
        <w:r w:rsidR="00482DDD" w:rsidRPr="00183B5F">
          <w:rPr>
            <w:b/>
            <w:szCs w:val="22"/>
            <w:lang w:val="hu-HU"/>
          </w:rPr>
          <w:delText>arányok a</w:delText>
        </w:r>
        <w:r w:rsidRPr="00183B5F">
          <w:rPr>
            <w:b/>
            <w:szCs w:val="22"/>
            <w:lang w:val="hu-HU"/>
          </w:rPr>
          <w:delText xml:space="preserve"> placebokontrollos</w:delText>
        </w:r>
        <w:r w:rsidR="00482DDD" w:rsidRPr="00183B5F">
          <w:rPr>
            <w:b/>
            <w:szCs w:val="22"/>
            <w:lang w:val="hu-HU"/>
          </w:rPr>
          <w:delText xml:space="preserve"> </w:delText>
        </w:r>
        <w:r w:rsidR="00A62049" w:rsidRPr="00183B5F">
          <w:rPr>
            <w:b/>
            <w:szCs w:val="22"/>
            <w:lang w:val="hu-HU"/>
          </w:rPr>
          <w:delText>N</w:delText>
        </w:r>
        <w:r w:rsidR="00ED4BAB" w:rsidRPr="00183B5F">
          <w:rPr>
            <w:b/>
            <w:szCs w:val="22"/>
            <w:lang w:val="hu-HU"/>
          </w:rPr>
          <w:delText>r</w:delText>
        </w:r>
        <w:r w:rsidR="00ED4BAB" w:rsidRPr="00183B5F">
          <w:rPr>
            <w:b/>
            <w:szCs w:val="22"/>
            <w:lang w:val="hu-HU"/>
          </w:rPr>
          <w:noBreakHyphen/>
          <w:delText>ax</w:delText>
        </w:r>
        <w:r w:rsidRPr="00183B5F">
          <w:rPr>
            <w:b/>
            <w:szCs w:val="22"/>
            <w:lang w:val="hu-HU"/>
          </w:rPr>
          <w:delText>SpA</w:delText>
        </w:r>
        <w:r w:rsidR="00147D2B" w:rsidRPr="00183B5F">
          <w:rPr>
            <w:b/>
            <w:szCs w:val="22"/>
            <w:lang w:val="hu-HU"/>
          </w:rPr>
          <w:delText> </w:delText>
        </w:r>
        <w:r w:rsidR="00ED4BAB" w:rsidRPr="00183B5F">
          <w:rPr>
            <w:b/>
            <w:szCs w:val="22"/>
            <w:lang w:val="hu-HU"/>
          </w:rPr>
          <w:delText>I</w:delText>
        </w:r>
        <w:r w:rsidRPr="00183B5F">
          <w:rPr>
            <w:b/>
            <w:szCs w:val="22"/>
            <w:lang w:val="hu-HU"/>
          </w:rPr>
          <w:delText xml:space="preserve"> vizsgálatban</w:delText>
        </w:r>
      </w:del>
    </w:p>
    <w:p w14:paraId="08EC1240" w14:textId="32AC27B3" w:rsidR="00797675" w:rsidRPr="00183B5F" w:rsidRDefault="00797675" w:rsidP="00790A13">
      <w:pPr>
        <w:pStyle w:val="EMEANormal"/>
        <w:keepNext/>
        <w:rPr>
          <w:del w:id="6106" w:author="AbbVie_HU_03" w:date="2025-05-14T15:27:00Z"/>
          <w:szCs w:val="22"/>
          <w:lang w:val="hu-H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18"/>
        <w:gridCol w:w="1660"/>
        <w:gridCol w:w="1683"/>
      </w:tblGrid>
      <w:tr w:rsidR="00011D2F" w14:paraId="437E1E4F" w14:textId="0E349ABC">
        <w:trPr>
          <w:jc w:val="center"/>
          <w:del w:id="6107" w:author="AbbVie_HU_03" w:date="2025-05-14T15:27:00Z"/>
        </w:trPr>
        <w:tc>
          <w:tcPr>
            <w:tcW w:w="0" w:type="auto"/>
          </w:tcPr>
          <w:p w14:paraId="6384CFC7" w14:textId="4F333BCA" w:rsidR="00797675" w:rsidRPr="00183B5F" w:rsidRDefault="00943743" w:rsidP="00790A13">
            <w:pPr>
              <w:keepNext/>
              <w:spacing w:line="240" w:lineRule="auto"/>
              <w:rPr>
                <w:del w:id="6108" w:author="AbbVie_HU_03" w:date="2025-05-14T15:27:00Z"/>
                <w:b/>
                <w:bCs/>
                <w:szCs w:val="22"/>
              </w:rPr>
            </w:pPr>
            <w:del w:id="6109" w:author="AbbVie_HU_03" w:date="2025-05-14T15:27:00Z">
              <w:r w:rsidRPr="00183B5F">
                <w:rPr>
                  <w:b/>
                  <w:bCs/>
                  <w:szCs w:val="22"/>
                </w:rPr>
                <w:delText>Kettős vak</w:delText>
              </w:r>
              <w:r w:rsidR="00482DDD" w:rsidRPr="00183B5F">
                <w:rPr>
                  <w:b/>
                  <w:bCs/>
                  <w:szCs w:val="22"/>
                </w:rPr>
                <w:delText xml:space="preserve"> fázis,</w:delText>
              </w:r>
            </w:del>
          </w:p>
          <w:p w14:paraId="7923FDC6" w14:textId="3B5E8B57" w:rsidR="00797675" w:rsidRPr="00183B5F" w:rsidRDefault="00943743" w:rsidP="00790A13">
            <w:pPr>
              <w:keepNext/>
              <w:spacing w:line="240" w:lineRule="auto"/>
              <w:rPr>
                <w:del w:id="6110" w:author="AbbVie_HU_03" w:date="2025-05-14T15:27:00Z"/>
                <w:b/>
                <w:bCs/>
                <w:szCs w:val="22"/>
              </w:rPr>
            </w:pPr>
            <w:del w:id="6111" w:author="AbbVie_HU_03" w:date="2025-05-14T15:27:00Z">
              <w:r w:rsidRPr="00183B5F">
                <w:rPr>
                  <w:b/>
                  <w:bCs/>
                  <w:szCs w:val="22"/>
                </w:rPr>
                <w:delText>12.</w:delText>
              </w:r>
              <w:r w:rsidR="00954421" w:rsidRPr="00183B5F">
                <w:rPr>
                  <w:b/>
                  <w:bCs/>
                  <w:szCs w:val="22"/>
                </w:rPr>
                <w:delText> </w:delText>
              </w:r>
              <w:r w:rsidRPr="00183B5F">
                <w:rPr>
                  <w:b/>
                  <w:bCs/>
                  <w:szCs w:val="22"/>
                </w:rPr>
                <w:delText>heti válasz</w:delText>
              </w:r>
            </w:del>
          </w:p>
        </w:tc>
        <w:tc>
          <w:tcPr>
            <w:tcW w:w="0" w:type="auto"/>
          </w:tcPr>
          <w:p w14:paraId="74CB9820" w14:textId="6A567DFB" w:rsidR="00797675" w:rsidRPr="00183B5F" w:rsidRDefault="00943743" w:rsidP="00790A13">
            <w:pPr>
              <w:keepNext/>
              <w:spacing w:line="240" w:lineRule="auto"/>
              <w:jc w:val="center"/>
              <w:rPr>
                <w:del w:id="6112" w:author="AbbVie_HU_03" w:date="2025-05-14T15:27:00Z"/>
                <w:b/>
              </w:rPr>
            </w:pPr>
            <w:del w:id="6113" w:author="AbbVie_HU_03" w:date="2025-05-14T15:27:00Z">
              <w:r w:rsidRPr="00183B5F">
                <w:rPr>
                  <w:b/>
                </w:rPr>
                <w:delText>Placebo</w:delText>
              </w:r>
            </w:del>
          </w:p>
          <w:p w14:paraId="419805ED" w14:textId="037B64A8" w:rsidR="00797675" w:rsidRPr="00183B5F" w:rsidRDefault="00943743" w:rsidP="00790A13">
            <w:pPr>
              <w:keepNext/>
              <w:spacing w:line="240" w:lineRule="auto"/>
              <w:jc w:val="center"/>
              <w:rPr>
                <w:del w:id="6114" w:author="AbbVie_HU_03" w:date="2025-05-14T15:27:00Z"/>
                <w:b/>
              </w:rPr>
            </w:pPr>
            <w:del w:id="6115" w:author="AbbVie_HU_03" w:date="2025-05-14T15:27:00Z">
              <w:r w:rsidRPr="00183B5F">
                <w:rPr>
                  <w:b/>
                </w:rPr>
                <w:delText>N</w:delText>
              </w:r>
              <w:r w:rsidR="003F64BC" w:rsidRPr="00183B5F">
                <w:rPr>
                  <w:b/>
                </w:rPr>
                <w:delText> </w:delText>
              </w:r>
              <w:r w:rsidRPr="00183B5F">
                <w:rPr>
                  <w:b/>
                </w:rPr>
                <w:delText>=</w:delText>
              </w:r>
              <w:r w:rsidR="003F64BC" w:rsidRPr="00183B5F">
                <w:rPr>
                  <w:b/>
                </w:rPr>
                <w:delText> </w:delText>
              </w:r>
              <w:r w:rsidRPr="00183B5F">
                <w:rPr>
                  <w:b/>
                </w:rPr>
                <w:delText>94</w:delText>
              </w:r>
            </w:del>
          </w:p>
        </w:tc>
        <w:tc>
          <w:tcPr>
            <w:tcW w:w="0" w:type="auto"/>
          </w:tcPr>
          <w:p w14:paraId="00282A25" w14:textId="0925A1E6" w:rsidR="00797675" w:rsidRPr="00183B5F" w:rsidRDefault="00943743" w:rsidP="00790A13">
            <w:pPr>
              <w:keepNext/>
              <w:spacing w:line="240" w:lineRule="auto"/>
              <w:jc w:val="center"/>
              <w:rPr>
                <w:del w:id="6116" w:author="AbbVie_HU_03" w:date="2025-05-14T15:27:00Z"/>
                <w:b/>
              </w:rPr>
            </w:pPr>
            <w:del w:id="6117" w:author="AbbVie_HU_03" w:date="2025-05-14T15:27:00Z">
              <w:r w:rsidRPr="00183B5F">
                <w:rPr>
                  <w:b/>
                </w:rPr>
                <w:delText>Humira</w:delText>
              </w:r>
            </w:del>
          </w:p>
          <w:p w14:paraId="1FE58723" w14:textId="6B67F526" w:rsidR="00797675" w:rsidRPr="00183B5F" w:rsidRDefault="00943743" w:rsidP="00790A13">
            <w:pPr>
              <w:keepNext/>
              <w:spacing w:line="240" w:lineRule="auto"/>
              <w:jc w:val="center"/>
              <w:rPr>
                <w:del w:id="6118" w:author="AbbVie_HU_03" w:date="2025-05-14T15:27:00Z"/>
                <w:b/>
              </w:rPr>
            </w:pPr>
            <w:del w:id="6119" w:author="AbbVie_HU_03" w:date="2025-05-14T15:27:00Z">
              <w:r w:rsidRPr="00183B5F">
                <w:rPr>
                  <w:b/>
                </w:rPr>
                <w:delText>N</w:delText>
              </w:r>
              <w:r w:rsidR="003F64BC" w:rsidRPr="00183B5F">
                <w:rPr>
                  <w:b/>
                </w:rPr>
                <w:delText> </w:delText>
              </w:r>
              <w:r w:rsidRPr="00183B5F">
                <w:rPr>
                  <w:b/>
                </w:rPr>
                <w:delText>=</w:delText>
              </w:r>
              <w:r w:rsidR="003F64BC" w:rsidRPr="00183B5F">
                <w:rPr>
                  <w:b/>
                </w:rPr>
                <w:delText> </w:delText>
              </w:r>
              <w:r w:rsidRPr="00183B5F">
                <w:rPr>
                  <w:b/>
                </w:rPr>
                <w:delText>91</w:delText>
              </w:r>
            </w:del>
          </w:p>
        </w:tc>
      </w:tr>
      <w:tr w:rsidR="00011D2F" w14:paraId="2C9EBABB" w14:textId="4B4D4B53">
        <w:trPr>
          <w:jc w:val="center"/>
          <w:del w:id="6120" w:author="AbbVie_HU_03" w:date="2025-05-14T15:27:00Z"/>
        </w:trPr>
        <w:tc>
          <w:tcPr>
            <w:tcW w:w="0" w:type="auto"/>
          </w:tcPr>
          <w:p w14:paraId="585DA7B2" w14:textId="1E5BFE0E" w:rsidR="00797675" w:rsidRPr="00183B5F" w:rsidRDefault="00943743" w:rsidP="004062FE">
            <w:pPr>
              <w:spacing w:line="240" w:lineRule="auto"/>
              <w:rPr>
                <w:del w:id="6121" w:author="AbbVie_HU_03" w:date="2025-05-14T15:27:00Z"/>
              </w:rPr>
            </w:pPr>
            <w:del w:id="6122" w:author="AbbVie_HU_03" w:date="2025-05-14T15:27:00Z">
              <w:r w:rsidRPr="00183B5F">
                <w:delText>ASAS</w:delText>
              </w:r>
              <w:r w:rsidRPr="00183B5F">
                <w:rPr>
                  <w:vertAlign w:val="superscript"/>
                </w:rPr>
                <w:delText>a</w:delText>
              </w:r>
              <w:r w:rsidRPr="00183B5F">
                <w:delText xml:space="preserve"> 40</w:delText>
              </w:r>
            </w:del>
          </w:p>
        </w:tc>
        <w:tc>
          <w:tcPr>
            <w:tcW w:w="0" w:type="auto"/>
          </w:tcPr>
          <w:p w14:paraId="1BF74031" w14:textId="68DD9E31" w:rsidR="00797675" w:rsidRPr="00183B5F" w:rsidRDefault="00943743" w:rsidP="004062FE">
            <w:pPr>
              <w:spacing w:line="240" w:lineRule="auto"/>
              <w:jc w:val="center"/>
              <w:rPr>
                <w:del w:id="6123" w:author="AbbVie_HU_03" w:date="2025-05-14T15:27:00Z"/>
              </w:rPr>
            </w:pPr>
            <w:del w:id="6124" w:author="AbbVie_HU_03" w:date="2025-05-14T15:27:00Z">
              <w:r w:rsidRPr="00183B5F">
                <w:delText>15%</w:delText>
              </w:r>
            </w:del>
          </w:p>
        </w:tc>
        <w:tc>
          <w:tcPr>
            <w:tcW w:w="0" w:type="auto"/>
          </w:tcPr>
          <w:p w14:paraId="77665A2F" w14:textId="4A08B67A" w:rsidR="00797675" w:rsidRPr="00183B5F" w:rsidRDefault="00943743" w:rsidP="004062FE">
            <w:pPr>
              <w:spacing w:line="240" w:lineRule="auto"/>
              <w:jc w:val="center"/>
              <w:rPr>
                <w:del w:id="6125" w:author="AbbVie_HU_03" w:date="2025-05-14T15:27:00Z"/>
              </w:rPr>
            </w:pPr>
            <w:del w:id="6126" w:author="AbbVie_HU_03" w:date="2025-05-14T15:27:00Z">
              <w:r w:rsidRPr="00183B5F">
                <w:delText>36%***</w:delText>
              </w:r>
            </w:del>
          </w:p>
        </w:tc>
      </w:tr>
      <w:tr w:rsidR="00011D2F" w14:paraId="02641C53" w14:textId="40F74BEC">
        <w:trPr>
          <w:jc w:val="center"/>
          <w:del w:id="6127" w:author="AbbVie_HU_03" w:date="2025-05-14T15:27:00Z"/>
        </w:trPr>
        <w:tc>
          <w:tcPr>
            <w:tcW w:w="0" w:type="auto"/>
          </w:tcPr>
          <w:p w14:paraId="606E62EF" w14:textId="586CD3C6" w:rsidR="00797675" w:rsidRPr="00183B5F" w:rsidRDefault="00943743" w:rsidP="004062FE">
            <w:pPr>
              <w:spacing w:line="240" w:lineRule="auto"/>
              <w:rPr>
                <w:del w:id="6128" w:author="AbbVie_HU_03" w:date="2025-05-14T15:27:00Z"/>
              </w:rPr>
            </w:pPr>
            <w:del w:id="6129" w:author="AbbVie_HU_03" w:date="2025-05-14T15:27:00Z">
              <w:r w:rsidRPr="00183B5F">
                <w:delText>ASAS 20</w:delText>
              </w:r>
            </w:del>
          </w:p>
        </w:tc>
        <w:tc>
          <w:tcPr>
            <w:tcW w:w="0" w:type="auto"/>
          </w:tcPr>
          <w:p w14:paraId="05D66436" w14:textId="7C7948E4" w:rsidR="00797675" w:rsidRPr="00183B5F" w:rsidRDefault="00943743" w:rsidP="004062FE">
            <w:pPr>
              <w:spacing w:line="240" w:lineRule="auto"/>
              <w:jc w:val="center"/>
              <w:rPr>
                <w:del w:id="6130" w:author="AbbVie_HU_03" w:date="2025-05-14T15:27:00Z"/>
              </w:rPr>
            </w:pPr>
            <w:del w:id="6131" w:author="AbbVie_HU_03" w:date="2025-05-14T15:27:00Z">
              <w:r w:rsidRPr="00183B5F">
                <w:delText>31%</w:delText>
              </w:r>
            </w:del>
          </w:p>
        </w:tc>
        <w:tc>
          <w:tcPr>
            <w:tcW w:w="0" w:type="auto"/>
          </w:tcPr>
          <w:p w14:paraId="0CCF28FD" w14:textId="757913BE" w:rsidR="00797675" w:rsidRPr="00183B5F" w:rsidRDefault="00943743" w:rsidP="004062FE">
            <w:pPr>
              <w:spacing w:line="240" w:lineRule="auto"/>
              <w:jc w:val="center"/>
              <w:rPr>
                <w:del w:id="6132" w:author="AbbVie_HU_03" w:date="2025-05-14T15:27:00Z"/>
              </w:rPr>
            </w:pPr>
            <w:del w:id="6133" w:author="AbbVie_HU_03" w:date="2025-05-14T15:27:00Z">
              <w:r w:rsidRPr="00183B5F">
                <w:delText>52%**</w:delText>
              </w:r>
            </w:del>
          </w:p>
        </w:tc>
      </w:tr>
      <w:tr w:rsidR="00011D2F" w14:paraId="666E562B" w14:textId="7654EA00">
        <w:trPr>
          <w:jc w:val="center"/>
          <w:del w:id="6134" w:author="AbbVie_HU_03" w:date="2025-05-14T15:27:00Z"/>
        </w:trPr>
        <w:tc>
          <w:tcPr>
            <w:tcW w:w="0" w:type="auto"/>
          </w:tcPr>
          <w:p w14:paraId="559F4849" w14:textId="2AD5D40B" w:rsidR="00797675" w:rsidRPr="00183B5F" w:rsidRDefault="00943743" w:rsidP="004062FE">
            <w:pPr>
              <w:spacing w:line="240" w:lineRule="auto"/>
              <w:rPr>
                <w:del w:id="6135" w:author="AbbVie_HU_03" w:date="2025-05-14T15:27:00Z"/>
              </w:rPr>
            </w:pPr>
            <w:del w:id="6136" w:author="AbbVie_HU_03" w:date="2025-05-14T15:27:00Z">
              <w:r w:rsidRPr="00183B5F">
                <w:delText>ASAS 5/6</w:delText>
              </w:r>
            </w:del>
          </w:p>
        </w:tc>
        <w:tc>
          <w:tcPr>
            <w:tcW w:w="0" w:type="auto"/>
          </w:tcPr>
          <w:p w14:paraId="5AA4F1D6" w14:textId="41FD370D" w:rsidR="00797675" w:rsidRPr="00183B5F" w:rsidRDefault="00943743" w:rsidP="004062FE">
            <w:pPr>
              <w:spacing w:line="240" w:lineRule="auto"/>
              <w:jc w:val="center"/>
              <w:rPr>
                <w:del w:id="6137" w:author="AbbVie_HU_03" w:date="2025-05-14T15:27:00Z"/>
              </w:rPr>
            </w:pPr>
            <w:del w:id="6138" w:author="AbbVie_HU_03" w:date="2025-05-14T15:27:00Z">
              <w:r w:rsidRPr="00183B5F">
                <w:delText>6%</w:delText>
              </w:r>
            </w:del>
          </w:p>
        </w:tc>
        <w:tc>
          <w:tcPr>
            <w:tcW w:w="0" w:type="auto"/>
          </w:tcPr>
          <w:p w14:paraId="04DE7D02" w14:textId="6D55240D" w:rsidR="00797675" w:rsidRPr="00183B5F" w:rsidRDefault="00943743" w:rsidP="004062FE">
            <w:pPr>
              <w:spacing w:line="240" w:lineRule="auto"/>
              <w:jc w:val="center"/>
              <w:rPr>
                <w:del w:id="6139" w:author="AbbVie_HU_03" w:date="2025-05-14T15:27:00Z"/>
              </w:rPr>
            </w:pPr>
            <w:del w:id="6140" w:author="AbbVie_HU_03" w:date="2025-05-14T15:27:00Z">
              <w:r w:rsidRPr="00183B5F">
                <w:delText>31%***</w:delText>
              </w:r>
            </w:del>
          </w:p>
        </w:tc>
      </w:tr>
      <w:tr w:rsidR="00011D2F" w14:paraId="39B66E6D" w14:textId="3402C9D7">
        <w:trPr>
          <w:jc w:val="center"/>
          <w:del w:id="6141" w:author="AbbVie_HU_03" w:date="2025-05-14T15:27:00Z"/>
        </w:trPr>
        <w:tc>
          <w:tcPr>
            <w:tcW w:w="0" w:type="auto"/>
          </w:tcPr>
          <w:p w14:paraId="31ECA26A" w14:textId="7E9FA431" w:rsidR="00797675" w:rsidRPr="00183B5F" w:rsidRDefault="00943743" w:rsidP="004062FE">
            <w:pPr>
              <w:spacing w:line="240" w:lineRule="auto"/>
              <w:rPr>
                <w:del w:id="6142" w:author="AbbVie_HU_03" w:date="2025-05-14T15:27:00Z"/>
              </w:rPr>
            </w:pPr>
            <w:del w:id="6143" w:author="AbbVie_HU_03" w:date="2025-05-14T15:27:00Z">
              <w:r w:rsidRPr="00183B5F">
                <w:delText xml:space="preserve">ASAS </w:delText>
              </w:r>
              <w:r w:rsidR="006A6FA5" w:rsidRPr="00183B5F">
                <w:delText>R</w:delText>
              </w:r>
              <w:r w:rsidRPr="00183B5F">
                <w:delText xml:space="preserve">észleges </w:delText>
              </w:r>
              <w:r w:rsidR="006A6FA5" w:rsidRPr="00183B5F">
                <w:delText>R</w:delText>
              </w:r>
              <w:r w:rsidRPr="00183B5F">
                <w:delText>emisszió</w:delText>
              </w:r>
            </w:del>
          </w:p>
        </w:tc>
        <w:tc>
          <w:tcPr>
            <w:tcW w:w="0" w:type="auto"/>
          </w:tcPr>
          <w:p w14:paraId="5E1F7A79" w14:textId="195FDA86" w:rsidR="00797675" w:rsidRPr="00183B5F" w:rsidRDefault="00943743" w:rsidP="004062FE">
            <w:pPr>
              <w:spacing w:line="240" w:lineRule="auto"/>
              <w:jc w:val="center"/>
              <w:rPr>
                <w:del w:id="6144" w:author="AbbVie_HU_03" w:date="2025-05-14T15:27:00Z"/>
              </w:rPr>
            </w:pPr>
            <w:del w:id="6145" w:author="AbbVie_HU_03" w:date="2025-05-14T15:27:00Z">
              <w:r w:rsidRPr="00183B5F">
                <w:delText>5%</w:delText>
              </w:r>
            </w:del>
          </w:p>
        </w:tc>
        <w:tc>
          <w:tcPr>
            <w:tcW w:w="0" w:type="auto"/>
          </w:tcPr>
          <w:p w14:paraId="78AA561C" w14:textId="2D691978" w:rsidR="0098267A" w:rsidRPr="00183B5F" w:rsidRDefault="00943743" w:rsidP="004062FE">
            <w:pPr>
              <w:spacing w:line="240" w:lineRule="auto"/>
              <w:jc w:val="center"/>
              <w:rPr>
                <w:del w:id="6146" w:author="AbbVie_HU_03" w:date="2025-05-14T15:27:00Z"/>
              </w:rPr>
            </w:pPr>
            <w:del w:id="6147" w:author="AbbVie_HU_03" w:date="2025-05-14T15:27:00Z">
              <w:r w:rsidRPr="00183B5F">
                <w:delText>16%*</w:delText>
              </w:r>
            </w:del>
          </w:p>
        </w:tc>
      </w:tr>
      <w:tr w:rsidR="00011D2F" w14:paraId="38731DAF" w14:textId="0091925A">
        <w:trPr>
          <w:jc w:val="center"/>
          <w:del w:id="6148" w:author="AbbVie_HU_03" w:date="2025-05-14T15:27:00Z"/>
        </w:trPr>
        <w:tc>
          <w:tcPr>
            <w:tcW w:w="0" w:type="auto"/>
            <w:tcBorders>
              <w:bottom w:val="single" w:sz="4" w:space="0" w:color="auto"/>
            </w:tcBorders>
          </w:tcPr>
          <w:p w14:paraId="26B727FC" w14:textId="6D1A66CE" w:rsidR="00797675" w:rsidRPr="00183B5F" w:rsidRDefault="00943743" w:rsidP="004062FE">
            <w:pPr>
              <w:spacing w:line="240" w:lineRule="auto"/>
              <w:rPr>
                <w:del w:id="6149" w:author="AbbVie_HU_03" w:date="2025-05-14T15:27:00Z"/>
              </w:rPr>
            </w:pPr>
            <w:del w:id="6150" w:author="AbbVie_HU_03" w:date="2025-05-14T15:27:00Z">
              <w:r w:rsidRPr="00183B5F">
                <w:delText>BASDAI</w:delText>
              </w:r>
              <w:r w:rsidRPr="00183B5F">
                <w:rPr>
                  <w:vertAlign w:val="superscript"/>
                </w:rPr>
                <w:delText>b</w:delText>
              </w:r>
              <w:r w:rsidRPr="00183B5F">
                <w:delText xml:space="preserve"> 50</w:delText>
              </w:r>
            </w:del>
          </w:p>
        </w:tc>
        <w:tc>
          <w:tcPr>
            <w:tcW w:w="0" w:type="auto"/>
            <w:tcBorders>
              <w:bottom w:val="single" w:sz="4" w:space="0" w:color="auto"/>
            </w:tcBorders>
          </w:tcPr>
          <w:p w14:paraId="5B85C6F6" w14:textId="39FE99F9" w:rsidR="00797675" w:rsidRPr="00183B5F" w:rsidRDefault="00943743" w:rsidP="004062FE">
            <w:pPr>
              <w:spacing w:line="240" w:lineRule="auto"/>
              <w:jc w:val="center"/>
              <w:rPr>
                <w:del w:id="6151" w:author="AbbVie_HU_03" w:date="2025-05-14T15:27:00Z"/>
              </w:rPr>
            </w:pPr>
            <w:del w:id="6152" w:author="AbbVie_HU_03" w:date="2025-05-14T15:27:00Z">
              <w:r w:rsidRPr="00183B5F">
                <w:delText>15%</w:delText>
              </w:r>
            </w:del>
          </w:p>
        </w:tc>
        <w:tc>
          <w:tcPr>
            <w:tcW w:w="0" w:type="auto"/>
            <w:tcBorders>
              <w:bottom w:val="single" w:sz="4" w:space="0" w:color="auto"/>
            </w:tcBorders>
          </w:tcPr>
          <w:p w14:paraId="362EB218" w14:textId="13B0CC12" w:rsidR="00797675" w:rsidRPr="00183B5F" w:rsidRDefault="00943743" w:rsidP="004062FE">
            <w:pPr>
              <w:spacing w:line="240" w:lineRule="auto"/>
              <w:jc w:val="center"/>
              <w:rPr>
                <w:del w:id="6153" w:author="AbbVie_HU_03" w:date="2025-05-14T15:27:00Z"/>
              </w:rPr>
            </w:pPr>
            <w:del w:id="6154" w:author="AbbVie_HU_03" w:date="2025-05-14T15:27:00Z">
              <w:r w:rsidRPr="00183B5F">
                <w:delText>35%**</w:delText>
              </w:r>
            </w:del>
          </w:p>
        </w:tc>
      </w:tr>
      <w:tr w:rsidR="00011D2F" w14:paraId="2B98C6FB" w14:textId="7C80940B">
        <w:trPr>
          <w:jc w:val="center"/>
          <w:del w:id="6155" w:author="AbbVie_HU_03" w:date="2025-05-14T15:27:00Z"/>
        </w:trPr>
        <w:tc>
          <w:tcPr>
            <w:tcW w:w="0" w:type="auto"/>
            <w:tcBorders>
              <w:bottom w:val="single" w:sz="4" w:space="0" w:color="auto"/>
            </w:tcBorders>
          </w:tcPr>
          <w:p w14:paraId="334689AF" w14:textId="2EE03D7F" w:rsidR="006A6FA5" w:rsidRPr="00183B5F" w:rsidRDefault="00943743" w:rsidP="004062FE">
            <w:pPr>
              <w:spacing w:line="240" w:lineRule="auto"/>
              <w:rPr>
                <w:del w:id="6156" w:author="AbbVie_HU_03" w:date="2025-05-14T15:27:00Z"/>
              </w:rPr>
            </w:pPr>
            <w:del w:id="6157" w:author="AbbVie_HU_03" w:date="2025-05-14T15:27:00Z">
              <w:r w:rsidRPr="00183B5F">
                <w:delText>ASDAS</w:delText>
              </w:r>
              <w:r w:rsidRPr="00183B5F">
                <w:rPr>
                  <w:vertAlign w:val="superscript"/>
                </w:rPr>
                <w:delText>c,d,e</w:delText>
              </w:r>
            </w:del>
          </w:p>
        </w:tc>
        <w:tc>
          <w:tcPr>
            <w:tcW w:w="0" w:type="auto"/>
            <w:tcBorders>
              <w:bottom w:val="single" w:sz="4" w:space="0" w:color="auto"/>
            </w:tcBorders>
          </w:tcPr>
          <w:p w14:paraId="341CC083" w14:textId="0DFB595E" w:rsidR="006A6FA5" w:rsidRPr="00183B5F" w:rsidRDefault="00943743" w:rsidP="004062FE">
            <w:pPr>
              <w:spacing w:line="240" w:lineRule="auto"/>
              <w:jc w:val="center"/>
              <w:rPr>
                <w:del w:id="6158" w:author="AbbVie_HU_03" w:date="2025-05-14T15:27:00Z"/>
              </w:rPr>
            </w:pPr>
            <w:del w:id="6159" w:author="AbbVie_HU_03" w:date="2025-05-14T15:27:00Z">
              <w:r w:rsidRPr="00183B5F">
                <w:delText>-0,3</w:delText>
              </w:r>
            </w:del>
          </w:p>
        </w:tc>
        <w:tc>
          <w:tcPr>
            <w:tcW w:w="0" w:type="auto"/>
            <w:tcBorders>
              <w:bottom w:val="single" w:sz="4" w:space="0" w:color="auto"/>
            </w:tcBorders>
          </w:tcPr>
          <w:p w14:paraId="4E12356F" w14:textId="6997B827" w:rsidR="006A6FA5" w:rsidRPr="00183B5F" w:rsidRDefault="00943743" w:rsidP="004062FE">
            <w:pPr>
              <w:spacing w:line="240" w:lineRule="auto"/>
              <w:jc w:val="center"/>
              <w:rPr>
                <w:del w:id="6160" w:author="AbbVie_HU_03" w:date="2025-05-14T15:27:00Z"/>
              </w:rPr>
            </w:pPr>
            <w:del w:id="6161" w:author="AbbVie_HU_03" w:date="2025-05-14T15:27:00Z">
              <w:r w:rsidRPr="00183B5F">
                <w:delText>-1</w:delText>
              </w:r>
              <w:r w:rsidR="003F1B08" w:rsidRPr="00183B5F">
                <w:delText>,0</w:delText>
              </w:r>
              <w:r w:rsidRPr="00183B5F">
                <w:delText>***</w:delText>
              </w:r>
            </w:del>
          </w:p>
        </w:tc>
      </w:tr>
      <w:tr w:rsidR="00011D2F" w14:paraId="3AB0D953" w14:textId="710BCB92">
        <w:trPr>
          <w:jc w:val="center"/>
          <w:del w:id="6162" w:author="AbbVie_HU_03" w:date="2025-05-14T15:27:00Z"/>
        </w:trPr>
        <w:tc>
          <w:tcPr>
            <w:tcW w:w="0" w:type="auto"/>
            <w:tcBorders>
              <w:bottom w:val="single" w:sz="4" w:space="0" w:color="auto"/>
            </w:tcBorders>
          </w:tcPr>
          <w:p w14:paraId="1F1654FE" w14:textId="36FDCFCB" w:rsidR="006A6FA5" w:rsidRPr="00183B5F" w:rsidRDefault="00943743" w:rsidP="004062FE">
            <w:pPr>
              <w:spacing w:line="240" w:lineRule="auto"/>
              <w:rPr>
                <w:del w:id="6163" w:author="AbbVie_HU_03" w:date="2025-05-14T15:27:00Z"/>
              </w:rPr>
            </w:pPr>
            <w:del w:id="6164" w:author="AbbVie_HU_03" w:date="2025-05-14T15:27:00Z">
              <w:r w:rsidRPr="00183B5F">
                <w:delText>ASDAS Inaktív Betegség</w:delText>
              </w:r>
            </w:del>
          </w:p>
        </w:tc>
        <w:tc>
          <w:tcPr>
            <w:tcW w:w="0" w:type="auto"/>
            <w:tcBorders>
              <w:bottom w:val="single" w:sz="4" w:space="0" w:color="auto"/>
            </w:tcBorders>
          </w:tcPr>
          <w:p w14:paraId="36C74487" w14:textId="663F63A5" w:rsidR="006A6FA5" w:rsidRPr="00183B5F" w:rsidRDefault="00943743" w:rsidP="004062FE">
            <w:pPr>
              <w:spacing w:line="240" w:lineRule="auto"/>
              <w:jc w:val="center"/>
              <w:rPr>
                <w:del w:id="6165" w:author="AbbVie_HU_03" w:date="2025-05-14T15:27:00Z"/>
              </w:rPr>
            </w:pPr>
            <w:del w:id="6166" w:author="AbbVie_HU_03" w:date="2025-05-14T15:27:00Z">
              <w:r w:rsidRPr="00183B5F">
                <w:delText>4%</w:delText>
              </w:r>
            </w:del>
          </w:p>
        </w:tc>
        <w:tc>
          <w:tcPr>
            <w:tcW w:w="0" w:type="auto"/>
            <w:tcBorders>
              <w:bottom w:val="single" w:sz="4" w:space="0" w:color="auto"/>
            </w:tcBorders>
          </w:tcPr>
          <w:p w14:paraId="159CC7FC" w14:textId="5EE778A2" w:rsidR="006A6FA5" w:rsidRPr="00183B5F" w:rsidRDefault="00943743" w:rsidP="004062FE">
            <w:pPr>
              <w:spacing w:line="240" w:lineRule="auto"/>
              <w:jc w:val="center"/>
              <w:rPr>
                <w:del w:id="6167" w:author="AbbVie_HU_03" w:date="2025-05-14T15:27:00Z"/>
              </w:rPr>
            </w:pPr>
            <w:del w:id="6168" w:author="AbbVie_HU_03" w:date="2025-05-14T15:27:00Z">
              <w:r w:rsidRPr="00183B5F">
                <w:delText>24%</w:delText>
              </w:r>
              <w:r w:rsidR="00A62049" w:rsidRPr="00183B5F">
                <w:delText>***</w:delText>
              </w:r>
            </w:del>
          </w:p>
        </w:tc>
      </w:tr>
      <w:tr w:rsidR="00011D2F" w14:paraId="09D8C35C" w14:textId="4F62DC7D">
        <w:trPr>
          <w:jc w:val="center"/>
          <w:del w:id="6169" w:author="AbbVie_HU_03" w:date="2025-05-14T15:27:00Z"/>
        </w:trPr>
        <w:tc>
          <w:tcPr>
            <w:tcW w:w="0" w:type="auto"/>
            <w:tcBorders>
              <w:bottom w:val="single" w:sz="4" w:space="0" w:color="auto"/>
            </w:tcBorders>
          </w:tcPr>
          <w:p w14:paraId="2D8E29A2" w14:textId="78B9D1F8" w:rsidR="006A6FA5" w:rsidRPr="00183B5F" w:rsidRDefault="00943743" w:rsidP="004062FE">
            <w:pPr>
              <w:spacing w:line="240" w:lineRule="auto"/>
              <w:rPr>
                <w:del w:id="6170" w:author="AbbVie_HU_03" w:date="2025-05-14T15:27:00Z"/>
              </w:rPr>
            </w:pPr>
            <w:del w:id="6171" w:author="AbbVie_HU_03" w:date="2025-05-14T15:27:00Z">
              <w:r w:rsidRPr="00183B5F">
                <w:delText>hs-CRP</w:delText>
              </w:r>
              <w:r w:rsidRPr="00183B5F">
                <w:rPr>
                  <w:vertAlign w:val="superscript"/>
                </w:rPr>
                <w:delText>d,f,g</w:delText>
              </w:r>
            </w:del>
          </w:p>
        </w:tc>
        <w:tc>
          <w:tcPr>
            <w:tcW w:w="0" w:type="auto"/>
            <w:tcBorders>
              <w:bottom w:val="single" w:sz="4" w:space="0" w:color="auto"/>
            </w:tcBorders>
          </w:tcPr>
          <w:p w14:paraId="41DFF595" w14:textId="53AED3BC" w:rsidR="006A6FA5" w:rsidRPr="00183B5F" w:rsidRDefault="00943743" w:rsidP="004062FE">
            <w:pPr>
              <w:spacing w:line="240" w:lineRule="auto"/>
              <w:jc w:val="center"/>
              <w:rPr>
                <w:del w:id="6172" w:author="AbbVie_HU_03" w:date="2025-05-14T15:27:00Z"/>
              </w:rPr>
            </w:pPr>
            <w:del w:id="6173" w:author="AbbVie_HU_03" w:date="2025-05-14T15:27:00Z">
              <w:r w:rsidRPr="00183B5F">
                <w:delText>-0,3</w:delText>
              </w:r>
            </w:del>
          </w:p>
        </w:tc>
        <w:tc>
          <w:tcPr>
            <w:tcW w:w="0" w:type="auto"/>
            <w:tcBorders>
              <w:bottom w:val="single" w:sz="4" w:space="0" w:color="auto"/>
            </w:tcBorders>
          </w:tcPr>
          <w:p w14:paraId="47DD24C7" w14:textId="46CD5C83" w:rsidR="006A6FA5" w:rsidRPr="00183B5F" w:rsidRDefault="00943743" w:rsidP="004062FE">
            <w:pPr>
              <w:spacing w:line="240" w:lineRule="auto"/>
              <w:jc w:val="center"/>
              <w:rPr>
                <w:del w:id="6174" w:author="AbbVie_HU_03" w:date="2025-05-14T15:27:00Z"/>
              </w:rPr>
            </w:pPr>
            <w:del w:id="6175" w:author="AbbVie_HU_03" w:date="2025-05-14T15:27:00Z">
              <w:r w:rsidRPr="00183B5F">
                <w:delText>-4,7***</w:delText>
              </w:r>
            </w:del>
          </w:p>
        </w:tc>
      </w:tr>
      <w:tr w:rsidR="00011D2F" w14:paraId="41DB0553" w14:textId="57B2DB6D">
        <w:trPr>
          <w:jc w:val="center"/>
          <w:del w:id="6176" w:author="AbbVie_HU_03" w:date="2025-05-14T15:27:00Z"/>
        </w:trPr>
        <w:tc>
          <w:tcPr>
            <w:tcW w:w="0" w:type="auto"/>
            <w:tcBorders>
              <w:bottom w:val="single" w:sz="4" w:space="0" w:color="auto"/>
            </w:tcBorders>
          </w:tcPr>
          <w:p w14:paraId="5BCB4476" w14:textId="27FB51BD" w:rsidR="006A6FA5" w:rsidRPr="00183B5F" w:rsidRDefault="00943743" w:rsidP="004062FE">
            <w:pPr>
              <w:spacing w:line="240" w:lineRule="auto"/>
              <w:rPr>
                <w:del w:id="6177" w:author="AbbVie_HU_03" w:date="2025-05-14T15:27:00Z"/>
              </w:rPr>
            </w:pPr>
            <w:del w:id="6178" w:author="AbbVie_HU_03" w:date="2025-05-14T15:27:00Z">
              <w:r w:rsidRPr="00183B5F">
                <w:delText>SPARCC</w:delText>
              </w:r>
              <w:r w:rsidRPr="00183B5F">
                <w:rPr>
                  <w:vertAlign w:val="superscript"/>
                </w:rPr>
                <w:delText>h</w:delText>
              </w:r>
              <w:r w:rsidRPr="00183B5F">
                <w:delText xml:space="preserve"> MR </w:delText>
              </w:r>
              <w:r w:rsidR="00275B91" w:rsidRPr="00183B5F">
                <w:delText>sacroiliacalis</w:delText>
              </w:r>
              <w:r w:rsidRPr="00183B5F">
                <w:delText xml:space="preserve"> </w:delText>
              </w:r>
              <w:r w:rsidR="00275B91" w:rsidRPr="00183B5F">
                <w:delText>í</w:delText>
              </w:r>
              <w:r w:rsidRPr="00183B5F">
                <w:delText>zületek</w:delText>
              </w:r>
              <w:r w:rsidR="00A62049" w:rsidRPr="00183B5F">
                <w:rPr>
                  <w:vertAlign w:val="superscript"/>
                </w:rPr>
                <w:delText>d,i</w:delText>
              </w:r>
            </w:del>
          </w:p>
        </w:tc>
        <w:tc>
          <w:tcPr>
            <w:tcW w:w="0" w:type="auto"/>
            <w:tcBorders>
              <w:bottom w:val="single" w:sz="4" w:space="0" w:color="auto"/>
            </w:tcBorders>
          </w:tcPr>
          <w:p w14:paraId="200E4ADF" w14:textId="7388D77F" w:rsidR="006A6FA5" w:rsidRPr="00183B5F" w:rsidRDefault="00943743" w:rsidP="004062FE">
            <w:pPr>
              <w:spacing w:line="240" w:lineRule="auto"/>
              <w:jc w:val="center"/>
              <w:rPr>
                <w:del w:id="6179" w:author="AbbVie_HU_03" w:date="2025-05-14T15:27:00Z"/>
              </w:rPr>
            </w:pPr>
            <w:del w:id="6180" w:author="AbbVie_HU_03" w:date="2025-05-14T15:27:00Z">
              <w:r w:rsidRPr="00183B5F">
                <w:delText>-0,6</w:delText>
              </w:r>
            </w:del>
          </w:p>
        </w:tc>
        <w:tc>
          <w:tcPr>
            <w:tcW w:w="0" w:type="auto"/>
            <w:tcBorders>
              <w:bottom w:val="single" w:sz="4" w:space="0" w:color="auto"/>
            </w:tcBorders>
          </w:tcPr>
          <w:p w14:paraId="5F5B04FB" w14:textId="5CA59786" w:rsidR="006A6FA5" w:rsidRPr="00183B5F" w:rsidRDefault="00943743" w:rsidP="004062FE">
            <w:pPr>
              <w:spacing w:line="240" w:lineRule="auto"/>
              <w:jc w:val="center"/>
              <w:rPr>
                <w:del w:id="6181" w:author="AbbVie_HU_03" w:date="2025-05-14T15:27:00Z"/>
              </w:rPr>
            </w:pPr>
            <w:del w:id="6182" w:author="AbbVie_HU_03" w:date="2025-05-14T15:27:00Z">
              <w:r w:rsidRPr="00183B5F">
                <w:delText>-3,2**</w:delText>
              </w:r>
            </w:del>
          </w:p>
        </w:tc>
      </w:tr>
      <w:tr w:rsidR="00011D2F" w14:paraId="02E4E31E" w14:textId="587B42C0">
        <w:trPr>
          <w:jc w:val="center"/>
          <w:del w:id="6183" w:author="AbbVie_HU_03" w:date="2025-05-14T15:27:00Z"/>
        </w:trPr>
        <w:tc>
          <w:tcPr>
            <w:tcW w:w="0" w:type="auto"/>
            <w:tcBorders>
              <w:bottom w:val="single" w:sz="4" w:space="0" w:color="auto"/>
            </w:tcBorders>
          </w:tcPr>
          <w:p w14:paraId="0A680976" w14:textId="22F8F3A9" w:rsidR="006A6FA5" w:rsidRPr="00183B5F" w:rsidRDefault="00943743" w:rsidP="004062FE">
            <w:pPr>
              <w:spacing w:line="240" w:lineRule="auto"/>
              <w:rPr>
                <w:del w:id="6184" w:author="AbbVie_HU_03" w:date="2025-05-14T15:27:00Z"/>
              </w:rPr>
            </w:pPr>
            <w:del w:id="6185" w:author="AbbVie_HU_03" w:date="2025-05-14T15:27:00Z">
              <w:r w:rsidRPr="00183B5F">
                <w:delText>SPARCC MR Gerinc</w:delText>
              </w:r>
              <w:r w:rsidR="00A62049" w:rsidRPr="00183B5F">
                <w:rPr>
                  <w:vertAlign w:val="superscript"/>
                </w:rPr>
                <w:delText>d,j</w:delText>
              </w:r>
            </w:del>
          </w:p>
        </w:tc>
        <w:tc>
          <w:tcPr>
            <w:tcW w:w="0" w:type="auto"/>
            <w:tcBorders>
              <w:bottom w:val="single" w:sz="4" w:space="0" w:color="auto"/>
            </w:tcBorders>
          </w:tcPr>
          <w:p w14:paraId="543FB235" w14:textId="2EBCA7C6" w:rsidR="006A6FA5" w:rsidRPr="00183B5F" w:rsidRDefault="00943743" w:rsidP="004062FE">
            <w:pPr>
              <w:spacing w:line="240" w:lineRule="auto"/>
              <w:jc w:val="center"/>
              <w:rPr>
                <w:del w:id="6186" w:author="AbbVie_HU_03" w:date="2025-05-14T15:27:00Z"/>
              </w:rPr>
            </w:pPr>
            <w:del w:id="6187" w:author="AbbVie_HU_03" w:date="2025-05-14T15:27:00Z">
              <w:r w:rsidRPr="00183B5F">
                <w:delText>-0,2</w:delText>
              </w:r>
            </w:del>
          </w:p>
        </w:tc>
        <w:tc>
          <w:tcPr>
            <w:tcW w:w="0" w:type="auto"/>
            <w:tcBorders>
              <w:bottom w:val="single" w:sz="4" w:space="0" w:color="auto"/>
            </w:tcBorders>
          </w:tcPr>
          <w:p w14:paraId="2AA479E4" w14:textId="5AED30F0" w:rsidR="006A6FA5" w:rsidRPr="00183B5F" w:rsidRDefault="00943743" w:rsidP="004062FE">
            <w:pPr>
              <w:spacing w:line="240" w:lineRule="auto"/>
              <w:jc w:val="center"/>
              <w:rPr>
                <w:del w:id="6188" w:author="AbbVie_HU_03" w:date="2025-05-14T15:27:00Z"/>
              </w:rPr>
            </w:pPr>
            <w:del w:id="6189" w:author="AbbVie_HU_03" w:date="2025-05-14T15:27:00Z">
              <w:r w:rsidRPr="00183B5F">
                <w:delText>-1,8**</w:delText>
              </w:r>
            </w:del>
          </w:p>
        </w:tc>
      </w:tr>
      <w:tr w:rsidR="00011D2F" w14:paraId="7B2BD37B" w14:textId="095B7563">
        <w:trPr>
          <w:jc w:val="center"/>
          <w:del w:id="6190" w:author="AbbVie_HU_03" w:date="2025-05-14T15:27:00Z"/>
        </w:trPr>
        <w:tc>
          <w:tcPr>
            <w:tcW w:w="0" w:type="auto"/>
            <w:gridSpan w:val="3"/>
            <w:tcBorders>
              <w:left w:val="nil"/>
              <w:bottom w:val="nil"/>
              <w:right w:val="nil"/>
            </w:tcBorders>
          </w:tcPr>
          <w:p w14:paraId="21E9ADB9" w14:textId="6032557B" w:rsidR="006A6FA5" w:rsidRPr="00183B5F" w:rsidRDefault="00943743" w:rsidP="004062FE">
            <w:pPr>
              <w:suppressAutoHyphens w:val="0"/>
              <w:autoSpaceDE w:val="0"/>
              <w:autoSpaceDN w:val="0"/>
              <w:adjustRightInd w:val="0"/>
              <w:spacing w:line="240" w:lineRule="auto"/>
              <w:rPr>
                <w:del w:id="6191" w:author="AbbVie_HU_03" w:date="2025-05-14T15:27:00Z"/>
              </w:rPr>
            </w:pPr>
            <w:del w:id="6192" w:author="AbbVie_HU_03" w:date="2025-05-14T15:27:00Z">
              <w:r w:rsidRPr="00183B5F">
                <w:rPr>
                  <w:vertAlign w:val="superscript"/>
                </w:rPr>
                <w:delText>a</w:delText>
              </w:r>
              <w:r w:rsidRPr="00183B5F">
                <w:delText xml:space="preserve"> ASAS = Assessments </w:delText>
              </w:r>
              <w:r w:rsidR="00286C83" w:rsidRPr="00183B5F">
                <w:delText>of</w:delText>
              </w:r>
              <w:r w:rsidRPr="00183B5F">
                <w:delText xml:space="preserve"> Spondyloarthritis International Society (</w:delText>
              </w:r>
              <w:r w:rsidRPr="00183B5F">
                <w:rPr>
                  <w:szCs w:val="22"/>
                </w:rPr>
                <w:delText>Spondylitis Ankylopoetica Értékelése)</w:delText>
              </w:r>
            </w:del>
          </w:p>
          <w:p w14:paraId="1CBA520D" w14:textId="69359C07" w:rsidR="006A6FA5" w:rsidRPr="00183B5F" w:rsidRDefault="00943743">
            <w:pPr>
              <w:pStyle w:val="EMEANormal"/>
              <w:ind w:left="20"/>
              <w:rPr>
                <w:del w:id="6193" w:author="AbbVie_HU_03" w:date="2025-05-14T15:27:00Z"/>
                <w:lang w:val="hu-HU"/>
              </w:rPr>
            </w:pPr>
            <w:del w:id="6194" w:author="AbbVie_HU_03" w:date="2025-05-14T15:27:00Z">
              <w:r w:rsidRPr="00183B5F">
                <w:rPr>
                  <w:vertAlign w:val="superscript"/>
                  <w:lang w:val="hu-HU"/>
                </w:rPr>
                <w:delText>b</w:delText>
              </w:r>
              <w:r w:rsidRPr="00183B5F">
                <w:rPr>
                  <w:lang w:val="hu-HU"/>
                </w:rPr>
                <w:delText xml:space="preserve"> Bath Ankylosing Spondylitis Disease Activity Index (Bath Spondylitis Ankylopoetica Betegség Aktivitási Index)</w:delText>
              </w:r>
            </w:del>
          </w:p>
          <w:p w14:paraId="32EA7DE9" w14:textId="64FAC545" w:rsidR="006A6FA5" w:rsidRPr="00183B5F" w:rsidRDefault="00943743">
            <w:pPr>
              <w:pStyle w:val="EMEANormal"/>
              <w:ind w:left="20"/>
              <w:rPr>
                <w:del w:id="6195" w:author="AbbVie_HU_03" w:date="2025-05-14T15:27:00Z"/>
                <w:lang w:val="hu-HU"/>
              </w:rPr>
            </w:pPr>
            <w:del w:id="6196" w:author="AbbVie_HU_03" w:date="2025-05-14T15:27:00Z">
              <w:r w:rsidRPr="00183B5F">
                <w:rPr>
                  <w:vertAlign w:val="superscript"/>
                  <w:lang w:val="hu-HU"/>
                </w:rPr>
                <w:delText xml:space="preserve">c </w:delText>
              </w:r>
              <w:r w:rsidRPr="00183B5F">
                <w:rPr>
                  <w:lang w:val="hu-HU"/>
                </w:rPr>
                <w:delText>ASDAS = Ankylosing Spondylitis Disease Activity Score (</w:delText>
              </w:r>
              <w:r w:rsidR="003F1B08" w:rsidRPr="00183B5F">
                <w:rPr>
                  <w:lang w:val="hu-HU"/>
                </w:rPr>
                <w:delText xml:space="preserve">Spondylitis Ankylopoetica </w:delText>
              </w:r>
              <w:r w:rsidRPr="00183B5F">
                <w:rPr>
                  <w:lang w:val="hu-HU"/>
                </w:rPr>
                <w:delText xml:space="preserve">Betegség Aktivitási </w:delText>
              </w:r>
              <w:r w:rsidR="00AA4762" w:rsidRPr="00183B5F">
                <w:rPr>
                  <w:lang w:val="hu-HU"/>
                </w:rPr>
                <w:delText>pontszám</w:delText>
              </w:r>
              <w:r w:rsidRPr="00183B5F">
                <w:rPr>
                  <w:lang w:val="hu-HU"/>
                </w:rPr>
                <w:delText>)</w:delText>
              </w:r>
            </w:del>
          </w:p>
          <w:p w14:paraId="68ED2E88" w14:textId="14FBE44A" w:rsidR="006A6FA5" w:rsidRPr="00183B5F" w:rsidRDefault="00943743">
            <w:pPr>
              <w:pStyle w:val="EMEANormal"/>
              <w:ind w:left="20"/>
              <w:rPr>
                <w:del w:id="6197" w:author="AbbVie_HU_03" w:date="2025-05-14T15:27:00Z"/>
                <w:lang w:val="hu-HU"/>
              </w:rPr>
            </w:pPr>
            <w:del w:id="6198" w:author="AbbVie_HU_03" w:date="2025-05-14T15:27:00Z">
              <w:r w:rsidRPr="00183B5F">
                <w:rPr>
                  <w:vertAlign w:val="superscript"/>
                  <w:lang w:val="hu-HU"/>
                </w:rPr>
                <w:delText xml:space="preserve">d </w:delText>
              </w:r>
              <w:r w:rsidRPr="00183B5F">
                <w:rPr>
                  <w:lang w:val="hu-HU"/>
                </w:rPr>
                <w:delText xml:space="preserve">Átlag </w:delText>
              </w:r>
              <w:r w:rsidR="003F1B08" w:rsidRPr="00183B5F">
                <w:rPr>
                  <w:lang w:val="hu-HU"/>
                </w:rPr>
                <w:delText>változás</w:delText>
              </w:r>
              <w:r w:rsidRPr="00183B5F">
                <w:rPr>
                  <w:lang w:val="hu-HU"/>
                </w:rPr>
                <w:delText xml:space="preserve"> a</w:delText>
              </w:r>
              <w:r w:rsidR="003F1B08" w:rsidRPr="00183B5F">
                <w:rPr>
                  <w:lang w:val="hu-HU"/>
                </w:rPr>
                <w:delText xml:space="preserve"> kezdeti értékektől</w:delText>
              </w:r>
            </w:del>
          </w:p>
          <w:p w14:paraId="6E1EFDE8" w14:textId="5ECF36DD" w:rsidR="006A6FA5" w:rsidRPr="00183B5F" w:rsidRDefault="00943743">
            <w:pPr>
              <w:pStyle w:val="EMEANormal"/>
              <w:ind w:left="20"/>
              <w:rPr>
                <w:del w:id="6199" w:author="AbbVie_HU_03" w:date="2025-05-14T15:27:00Z"/>
                <w:lang w:val="hu-HU"/>
              </w:rPr>
            </w:pPr>
            <w:del w:id="6200" w:author="AbbVie_HU_03" w:date="2025-05-14T15:27:00Z">
              <w:r w:rsidRPr="00183B5F">
                <w:rPr>
                  <w:vertAlign w:val="superscript"/>
                  <w:lang w:val="hu-HU"/>
                </w:rPr>
                <w:delText xml:space="preserve">e </w:delText>
              </w:r>
              <w:r w:rsidRPr="00183B5F">
                <w:rPr>
                  <w:lang w:val="hu-HU"/>
                </w:rPr>
                <w:delText>n</w:delText>
              </w:r>
              <w:r w:rsidR="00AA4762" w:rsidRPr="00183B5F">
                <w:rPr>
                  <w:lang w:val="hu-HU"/>
                </w:rPr>
                <w:delText> </w:delText>
              </w:r>
              <w:r w:rsidRPr="00183B5F">
                <w:rPr>
                  <w:lang w:val="hu-HU"/>
                </w:rPr>
                <w:delText>=</w:delText>
              </w:r>
              <w:r w:rsidR="00AA4762" w:rsidRPr="00183B5F">
                <w:rPr>
                  <w:lang w:val="hu-HU"/>
                </w:rPr>
                <w:delText> </w:delText>
              </w:r>
              <w:r w:rsidRPr="00183B5F">
                <w:rPr>
                  <w:lang w:val="hu-HU"/>
                </w:rPr>
                <w:delText>91 placebo és n</w:delText>
              </w:r>
              <w:r w:rsidR="003F64BC" w:rsidRPr="00183B5F">
                <w:rPr>
                  <w:lang w:val="hu-HU"/>
                </w:rPr>
                <w:delText> </w:delText>
              </w:r>
              <w:r w:rsidRPr="00183B5F">
                <w:rPr>
                  <w:lang w:val="hu-HU"/>
                </w:rPr>
                <w:delText>=</w:delText>
              </w:r>
              <w:r w:rsidR="003F64BC" w:rsidRPr="00183B5F">
                <w:rPr>
                  <w:lang w:val="hu-HU"/>
                </w:rPr>
                <w:delText> </w:delText>
              </w:r>
              <w:r w:rsidRPr="00183B5F">
                <w:rPr>
                  <w:lang w:val="hu-HU"/>
                </w:rPr>
                <w:delText>87 Humira</w:delText>
              </w:r>
            </w:del>
          </w:p>
          <w:p w14:paraId="35FF99B4" w14:textId="5497CF46" w:rsidR="006A6FA5" w:rsidRPr="00183B5F" w:rsidRDefault="00943743">
            <w:pPr>
              <w:pStyle w:val="EMEANormal"/>
              <w:ind w:left="20"/>
              <w:rPr>
                <w:del w:id="6201" w:author="AbbVie_HU_03" w:date="2025-05-14T15:27:00Z"/>
                <w:lang w:val="hu-HU"/>
              </w:rPr>
            </w:pPr>
            <w:del w:id="6202" w:author="AbbVie_HU_03" w:date="2025-05-14T15:27:00Z">
              <w:r w:rsidRPr="00183B5F">
                <w:rPr>
                  <w:vertAlign w:val="superscript"/>
                  <w:lang w:val="hu-HU"/>
                </w:rPr>
                <w:delText xml:space="preserve">f </w:delText>
              </w:r>
              <w:r w:rsidRPr="00183B5F">
                <w:rPr>
                  <w:lang w:val="hu-HU"/>
                </w:rPr>
                <w:delText>Nagy szenzitivitású C</w:delText>
              </w:r>
              <w:r w:rsidRPr="00183B5F">
                <w:rPr>
                  <w:lang w:val="hu-HU"/>
                </w:rPr>
                <w:noBreakHyphen/>
                <w:delText>reaktív protein (mg/</w:delText>
              </w:r>
              <w:r w:rsidR="003F1B08" w:rsidRPr="00183B5F">
                <w:rPr>
                  <w:lang w:val="hu-HU"/>
                </w:rPr>
                <w:delText>l</w:delText>
              </w:r>
              <w:r w:rsidRPr="00183B5F">
                <w:rPr>
                  <w:lang w:val="hu-HU"/>
                </w:rPr>
                <w:delText>)</w:delText>
              </w:r>
            </w:del>
          </w:p>
          <w:p w14:paraId="29B861F0" w14:textId="66BE6120" w:rsidR="006A6FA5" w:rsidRPr="00183B5F" w:rsidRDefault="00943743">
            <w:pPr>
              <w:pStyle w:val="EMEANormal"/>
              <w:ind w:left="20"/>
              <w:rPr>
                <w:del w:id="6203" w:author="AbbVie_HU_03" w:date="2025-05-14T15:27:00Z"/>
                <w:lang w:val="hu-HU"/>
              </w:rPr>
            </w:pPr>
            <w:del w:id="6204" w:author="AbbVie_HU_03" w:date="2025-05-14T15:27:00Z">
              <w:r w:rsidRPr="00183B5F">
                <w:rPr>
                  <w:vertAlign w:val="superscript"/>
                  <w:lang w:val="hu-HU"/>
                </w:rPr>
                <w:delText xml:space="preserve">g </w:delText>
              </w:r>
              <w:r w:rsidRPr="00183B5F">
                <w:rPr>
                  <w:lang w:val="hu-HU"/>
                </w:rPr>
                <w:delText>n</w:delText>
              </w:r>
              <w:r w:rsidR="003F64BC" w:rsidRPr="00183B5F">
                <w:rPr>
                  <w:lang w:val="hu-HU"/>
                </w:rPr>
                <w:delText> </w:delText>
              </w:r>
              <w:r w:rsidRPr="00183B5F">
                <w:rPr>
                  <w:lang w:val="hu-HU"/>
                </w:rPr>
                <w:delText>=</w:delText>
              </w:r>
              <w:r w:rsidR="003F64BC" w:rsidRPr="00183B5F">
                <w:rPr>
                  <w:lang w:val="hu-HU"/>
                </w:rPr>
                <w:delText> </w:delText>
              </w:r>
              <w:r w:rsidRPr="00183B5F">
                <w:rPr>
                  <w:lang w:val="hu-HU"/>
                </w:rPr>
                <w:delText>73 place</w:delText>
              </w:r>
              <w:r w:rsidR="003F1B08" w:rsidRPr="00183B5F">
                <w:rPr>
                  <w:lang w:val="hu-HU"/>
                </w:rPr>
                <w:delText>b</w:delText>
              </w:r>
              <w:r w:rsidRPr="00183B5F">
                <w:rPr>
                  <w:lang w:val="hu-HU"/>
                </w:rPr>
                <w:delText>o és n</w:delText>
              </w:r>
              <w:r w:rsidR="003F64BC" w:rsidRPr="00183B5F">
                <w:rPr>
                  <w:lang w:val="hu-HU"/>
                </w:rPr>
                <w:delText> </w:delText>
              </w:r>
              <w:r w:rsidRPr="00183B5F">
                <w:rPr>
                  <w:lang w:val="hu-HU"/>
                </w:rPr>
                <w:delText>=</w:delText>
              </w:r>
              <w:r w:rsidR="003F64BC" w:rsidRPr="00183B5F">
                <w:rPr>
                  <w:lang w:val="hu-HU"/>
                </w:rPr>
                <w:delText> </w:delText>
              </w:r>
              <w:r w:rsidRPr="00183B5F">
                <w:rPr>
                  <w:lang w:val="hu-HU"/>
                </w:rPr>
                <w:delText>70 Humira</w:delText>
              </w:r>
            </w:del>
          </w:p>
          <w:p w14:paraId="2191FBF9" w14:textId="0A13B19E" w:rsidR="006A6FA5" w:rsidRPr="00183B5F" w:rsidRDefault="00943743">
            <w:pPr>
              <w:pStyle w:val="EMEANormal"/>
              <w:ind w:left="20"/>
              <w:rPr>
                <w:del w:id="6205" w:author="AbbVie_HU_03" w:date="2025-05-14T15:27:00Z"/>
                <w:lang w:val="hu-HU"/>
              </w:rPr>
            </w:pPr>
            <w:del w:id="6206" w:author="AbbVie_HU_03" w:date="2025-05-14T15:27:00Z">
              <w:r w:rsidRPr="00183B5F">
                <w:rPr>
                  <w:vertAlign w:val="superscript"/>
                  <w:lang w:val="hu-HU"/>
                </w:rPr>
                <w:delText xml:space="preserve">h </w:delText>
              </w:r>
              <w:r w:rsidRPr="00183B5F">
                <w:rPr>
                  <w:lang w:val="hu-HU"/>
                </w:rPr>
                <w:delText xml:space="preserve">Spondylitis Ankylopoetica </w:delText>
              </w:r>
              <w:r w:rsidR="00BE35E1" w:rsidRPr="00183B5F">
                <w:rPr>
                  <w:lang w:val="hu-HU"/>
                </w:rPr>
                <w:delText>K</w:delText>
              </w:r>
              <w:r w:rsidRPr="00183B5F">
                <w:rPr>
                  <w:lang w:val="hu-HU"/>
                </w:rPr>
                <w:delText xml:space="preserve">anadai </w:delText>
              </w:r>
              <w:r w:rsidR="00BE35E1" w:rsidRPr="00183B5F">
                <w:rPr>
                  <w:lang w:val="hu-HU"/>
                </w:rPr>
                <w:delText>K</w:delText>
              </w:r>
              <w:r w:rsidRPr="00183B5F">
                <w:rPr>
                  <w:lang w:val="hu-HU"/>
                </w:rPr>
                <w:delText xml:space="preserve">utató </w:delText>
              </w:r>
              <w:r w:rsidR="00BE35E1" w:rsidRPr="00183B5F">
                <w:rPr>
                  <w:lang w:val="hu-HU"/>
                </w:rPr>
                <w:delText>K</w:delText>
              </w:r>
              <w:r w:rsidRPr="00183B5F">
                <w:rPr>
                  <w:lang w:val="hu-HU"/>
                </w:rPr>
                <w:delText>onzorcium</w:delText>
              </w:r>
            </w:del>
          </w:p>
          <w:p w14:paraId="787C3361" w14:textId="49B8DDD7" w:rsidR="006A6FA5" w:rsidRPr="00183B5F" w:rsidRDefault="00943743">
            <w:pPr>
              <w:pStyle w:val="EMEANormal"/>
              <w:ind w:left="20"/>
              <w:rPr>
                <w:del w:id="6207" w:author="AbbVie_HU_03" w:date="2025-05-14T15:27:00Z"/>
                <w:lang w:val="hu-HU"/>
              </w:rPr>
            </w:pPr>
            <w:del w:id="6208" w:author="AbbVie_HU_03" w:date="2025-05-14T15:27:00Z">
              <w:r w:rsidRPr="00183B5F">
                <w:rPr>
                  <w:vertAlign w:val="superscript"/>
                  <w:lang w:val="hu-HU"/>
                </w:rPr>
                <w:delText xml:space="preserve">I </w:delText>
              </w:r>
              <w:r w:rsidRPr="00183B5F">
                <w:rPr>
                  <w:lang w:val="hu-HU"/>
                </w:rPr>
                <w:delText>n</w:delText>
              </w:r>
              <w:r w:rsidR="003F64BC" w:rsidRPr="00183B5F">
                <w:rPr>
                  <w:lang w:val="hu-HU"/>
                </w:rPr>
                <w:delText> </w:delText>
              </w:r>
              <w:r w:rsidRPr="00183B5F">
                <w:rPr>
                  <w:lang w:val="hu-HU"/>
                </w:rPr>
                <w:delText>=</w:delText>
              </w:r>
              <w:r w:rsidR="003F64BC" w:rsidRPr="00183B5F">
                <w:rPr>
                  <w:lang w:val="hu-HU"/>
                </w:rPr>
                <w:delText> </w:delText>
              </w:r>
              <w:r w:rsidRPr="00183B5F">
                <w:rPr>
                  <w:lang w:val="hu-HU"/>
                </w:rPr>
                <w:delText>84 placebo és Humira</w:delText>
              </w:r>
            </w:del>
          </w:p>
          <w:p w14:paraId="4FCC0BB8" w14:textId="1CF2DC45" w:rsidR="006A6FA5" w:rsidRPr="00183B5F" w:rsidRDefault="00943743">
            <w:pPr>
              <w:pStyle w:val="EMEANormal"/>
              <w:ind w:left="20"/>
              <w:rPr>
                <w:del w:id="6209" w:author="AbbVie_HU_03" w:date="2025-05-14T15:27:00Z"/>
                <w:lang w:val="hu-HU"/>
              </w:rPr>
            </w:pPr>
            <w:del w:id="6210" w:author="AbbVie_HU_03" w:date="2025-05-14T15:27:00Z">
              <w:r w:rsidRPr="00183B5F">
                <w:rPr>
                  <w:vertAlign w:val="superscript"/>
                  <w:lang w:val="hu-HU"/>
                </w:rPr>
                <w:delText xml:space="preserve">j </w:delText>
              </w:r>
              <w:r w:rsidRPr="00183B5F">
                <w:rPr>
                  <w:lang w:val="hu-HU"/>
                </w:rPr>
                <w:delText>n</w:delText>
              </w:r>
              <w:r w:rsidR="003F64BC" w:rsidRPr="00183B5F">
                <w:rPr>
                  <w:lang w:val="hu-HU"/>
                </w:rPr>
                <w:delText> </w:delText>
              </w:r>
              <w:r w:rsidRPr="00183B5F">
                <w:rPr>
                  <w:lang w:val="hu-HU"/>
                </w:rPr>
                <w:delText>=</w:delText>
              </w:r>
              <w:r w:rsidR="003F64BC" w:rsidRPr="00183B5F">
                <w:rPr>
                  <w:lang w:val="hu-HU"/>
                </w:rPr>
                <w:delText> </w:delText>
              </w:r>
              <w:r w:rsidRPr="00183B5F">
                <w:rPr>
                  <w:lang w:val="hu-HU"/>
                </w:rPr>
                <w:delText>82 placebo és n</w:delText>
              </w:r>
              <w:r w:rsidR="003F64BC" w:rsidRPr="00183B5F">
                <w:rPr>
                  <w:lang w:val="hu-HU"/>
                </w:rPr>
                <w:delText> </w:delText>
              </w:r>
              <w:r w:rsidRPr="00183B5F">
                <w:rPr>
                  <w:lang w:val="hu-HU"/>
                </w:rPr>
                <w:delText>=</w:delText>
              </w:r>
              <w:r w:rsidR="003F64BC" w:rsidRPr="00183B5F">
                <w:rPr>
                  <w:lang w:val="hu-HU"/>
                </w:rPr>
                <w:delText> </w:delText>
              </w:r>
              <w:r w:rsidRPr="00183B5F">
                <w:rPr>
                  <w:lang w:val="hu-HU"/>
                </w:rPr>
                <w:delText>85 Humira</w:delText>
              </w:r>
            </w:del>
          </w:p>
          <w:p w14:paraId="61EA78DE" w14:textId="1197D88E" w:rsidR="006A6FA5" w:rsidRPr="00183B5F" w:rsidRDefault="00943743">
            <w:pPr>
              <w:pStyle w:val="EMEANormal"/>
              <w:ind w:left="20"/>
              <w:rPr>
                <w:del w:id="6211" w:author="AbbVie_HU_03" w:date="2025-05-14T15:27:00Z"/>
                <w:lang w:val="hu-HU"/>
              </w:rPr>
            </w:pPr>
            <w:del w:id="6212" w:author="AbbVie_HU_03" w:date="2025-05-14T15:27:00Z">
              <w:r w:rsidRPr="00183B5F">
                <w:rPr>
                  <w:lang w:val="hu-HU"/>
                </w:rPr>
                <w:delText>***, **, * Statisztikailag szignifikáns különbség, rendre p &lt; 0,001, &lt; 0,01 és &lt; 0,05 érték esetén, a Humira és a placebo valamennyi összehasonlítását illetően</w:delText>
              </w:r>
            </w:del>
          </w:p>
        </w:tc>
      </w:tr>
    </w:tbl>
    <w:p w14:paraId="5B5D1908" w14:textId="14B31A7A" w:rsidR="00F12505" w:rsidRPr="00183B5F" w:rsidRDefault="00F12505">
      <w:pPr>
        <w:pStyle w:val="EMEANormal"/>
        <w:rPr>
          <w:del w:id="6213" w:author="AbbVie_HU_03" w:date="2025-05-14T15:27:00Z"/>
          <w:lang w:val="hu-HU"/>
        </w:rPr>
      </w:pPr>
    </w:p>
    <w:p w14:paraId="1D9631C8" w14:textId="16637C6D" w:rsidR="006A6FA5" w:rsidRPr="00183B5F" w:rsidRDefault="00943743">
      <w:pPr>
        <w:pStyle w:val="EMEANormal"/>
        <w:rPr>
          <w:del w:id="6214" w:author="AbbVie_HU_03" w:date="2025-05-14T15:27:00Z"/>
          <w:lang w:val="hu-HU"/>
        </w:rPr>
      </w:pPr>
      <w:del w:id="6215" w:author="AbbVie_HU_03" w:date="2025-05-14T15:27:00Z">
        <w:r w:rsidRPr="00183B5F">
          <w:rPr>
            <w:lang w:val="hu-HU"/>
          </w:rPr>
          <w:delText>A nyílt kiterjesztésű vizsgálatban</w:delText>
        </w:r>
        <w:r w:rsidR="00C35614" w:rsidRPr="00183B5F">
          <w:rPr>
            <w:lang w:val="hu-HU"/>
          </w:rPr>
          <w:delText xml:space="preserve"> a</w:delText>
        </w:r>
        <w:r w:rsidRPr="00183B5F">
          <w:rPr>
            <w:lang w:val="hu-HU"/>
          </w:rPr>
          <w:delText xml:space="preserve"> </w:delText>
        </w:r>
        <w:r w:rsidR="00F76649" w:rsidRPr="00183B5F">
          <w:rPr>
            <w:lang w:val="hu-HU"/>
          </w:rPr>
          <w:delText xml:space="preserve">Humira terápia mellett </w:delText>
        </w:r>
        <w:r w:rsidRPr="00183B5F">
          <w:rPr>
            <w:lang w:val="hu-HU"/>
          </w:rPr>
          <w:delText>a tünetek és panaszok javul</w:delText>
        </w:r>
        <w:r w:rsidR="00BE35E1" w:rsidRPr="00183B5F">
          <w:rPr>
            <w:lang w:val="hu-HU"/>
          </w:rPr>
          <w:delText>ása</w:delText>
        </w:r>
        <w:r w:rsidRPr="00183B5F">
          <w:rPr>
            <w:lang w:val="hu-HU"/>
          </w:rPr>
          <w:delText xml:space="preserve"> </w:delText>
        </w:r>
        <w:r w:rsidR="00BE35E1" w:rsidRPr="00183B5F">
          <w:rPr>
            <w:lang w:val="hu-HU"/>
          </w:rPr>
          <w:delText>a 156. hétig</w:delText>
        </w:r>
        <w:r w:rsidR="00F76649" w:rsidRPr="00183B5F">
          <w:rPr>
            <w:lang w:val="hu-HU"/>
          </w:rPr>
          <w:delText xml:space="preserve"> megmaradt</w:delText>
        </w:r>
        <w:r w:rsidR="00BE35E1" w:rsidRPr="00183B5F">
          <w:rPr>
            <w:lang w:val="hu-HU"/>
          </w:rPr>
          <w:delText>.</w:delText>
        </w:r>
      </w:del>
    </w:p>
    <w:p w14:paraId="26009262" w14:textId="01A92D5B" w:rsidR="006A6FA5" w:rsidRPr="00183B5F" w:rsidRDefault="006A6FA5">
      <w:pPr>
        <w:pStyle w:val="EMEANormal"/>
        <w:rPr>
          <w:del w:id="6216" w:author="AbbVie_HU_03" w:date="2025-05-14T15:27:00Z"/>
          <w:lang w:val="hu-HU"/>
        </w:rPr>
      </w:pPr>
    </w:p>
    <w:p w14:paraId="7EFC9370" w14:textId="24E29CAB" w:rsidR="006A6FA5" w:rsidRPr="00183B5F" w:rsidRDefault="00943743">
      <w:pPr>
        <w:pStyle w:val="EMEANormal"/>
        <w:rPr>
          <w:del w:id="6217" w:author="AbbVie_HU_03" w:date="2025-05-14T15:27:00Z"/>
          <w:lang w:val="hu-HU"/>
        </w:rPr>
      </w:pPr>
      <w:del w:id="6218" w:author="AbbVie_HU_03" w:date="2025-05-14T15:27:00Z">
        <w:r w:rsidRPr="00183B5F">
          <w:rPr>
            <w:lang w:val="hu-HU"/>
          </w:rPr>
          <w:delText>A gyulladás gátlása</w:delText>
        </w:r>
      </w:del>
    </w:p>
    <w:p w14:paraId="3AB127B9" w14:textId="24A10691" w:rsidR="006A6FA5" w:rsidRPr="00183B5F" w:rsidRDefault="006A6FA5">
      <w:pPr>
        <w:pStyle w:val="EMEANormal"/>
        <w:rPr>
          <w:del w:id="6219" w:author="AbbVie_HU_03" w:date="2025-05-14T15:27:00Z"/>
          <w:lang w:val="hu-HU"/>
        </w:rPr>
      </w:pPr>
    </w:p>
    <w:p w14:paraId="394DBDBF" w14:textId="6C8F774C" w:rsidR="006A6FA5" w:rsidRPr="00183B5F" w:rsidRDefault="00943743">
      <w:pPr>
        <w:pStyle w:val="EMEANormal"/>
        <w:rPr>
          <w:del w:id="6220" w:author="AbbVie_HU_03" w:date="2025-05-14T15:27:00Z"/>
          <w:lang w:val="hu-HU"/>
        </w:rPr>
      </w:pPr>
      <w:del w:id="6221" w:author="AbbVie_HU_03" w:date="2025-05-14T15:27:00Z">
        <w:r w:rsidRPr="00183B5F">
          <w:rPr>
            <w:lang w:val="hu-HU"/>
          </w:rPr>
          <w:delText>A Humira</w:delText>
        </w:r>
        <w:r w:rsidRPr="00183B5F">
          <w:rPr>
            <w:lang w:val="hu-HU"/>
          </w:rPr>
          <w:noBreakHyphen/>
          <w:delText xml:space="preserve">val kezelt betegeknél a </w:delText>
        </w:r>
        <w:r w:rsidR="0094162A" w:rsidRPr="00183B5F">
          <w:rPr>
            <w:lang w:val="hu-HU"/>
          </w:rPr>
          <w:delText xml:space="preserve">sacroiliacalis </w:delText>
        </w:r>
        <w:r w:rsidR="00CE5529" w:rsidRPr="00183B5F">
          <w:rPr>
            <w:lang w:val="hu-HU"/>
          </w:rPr>
          <w:delText>í</w:delText>
        </w:r>
        <w:r w:rsidRPr="00183B5F">
          <w:rPr>
            <w:lang w:val="hu-HU"/>
          </w:rPr>
          <w:delText xml:space="preserve">zületek és a gerinc gyulladásának </w:delText>
        </w:r>
        <w:r w:rsidR="000664B9" w:rsidRPr="00183B5F">
          <w:rPr>
            <w:lang w:val="hu-HU"/>
          </w:rPr>
          <w:delText>nagy érzékenységű C</w:delText>
        </w:r>
        <w:r w:rsidR="000664B9" w:rsidRPr="00183B5F">
          <w:rPr>
            <w:lang w:val="hu-HU"/>
          </w:rPr>
          <w:noBreakHyphen/>
          <w:delText>reaktív protein</w:delText>
        </w:r>
        <w:r w:rsidR="00E059EB" w:rsidRPr="00183B5F">
          <w:rPr>
            <w:lang w:val="hu-HU"/>
          </w:rPr>
          <w:delText>nel</w:delText>
        </w:r>
        <w:r w:rsidR="00A579B5" w:rsidRPr="00183B5F">
          <w:rPr>
            <w:lang w:val="hu-HU"/>
          </w:rPr>
          <w:delText xml:space="preserve"> (hs-CRP)</w:delText>
        </w:r>
        <w:r w:rsidR="000664B9" w:rsidRPr="00183B5F">
          <w:rPr>
            <w:lang w:val="hu-HU"/>
          </w:rPr>
          <w:delText xml:space="preserve"> </w:delText>
        </w:r>
        <w:r w:rsidR="00E059EB" w:rsidRPr="00183B5F">
          <w:rPr>
            <w:lang w:val="hu-HU"/>
          </w:rPr>
          <w:delText>mért</w:delText>
        </w:r>
        <w:r w:rsidR="000664B9" w:rsidRPr="00183B5F">
          <w:rPr>
            <w:lang w:val="hu-HU"/>
          </w:rPr>
          <w:delText xml:space="preserve"> és MR</w:delText>
        </w:r>
        <w:r w:rsidR="000664B9" w:rsidRPr="00183B5F">
          <w:rPr>
            <w:lang w:val="hu-HU"/>
          </w:rPr>
          <w:noBreakHyphen/>
          <w:delText xml:space="preserve">el </w:delText>
        </w:r>
        <w:r w:rsidR="00E059EB" w:rsidRPr="00183B5F">
          <w:rPr>
            <w:lang w:val="hu-HU"/>
          </w:rPr>
          <w:delText>kimutatott</w:delText>
        </w:r>
        <w:r w:rsidR="000664B9" w:rsidRPr="00183B5F">
          <w:rPr>
            <w:lang w:val="hu-HU"/>
          </w:rPr>
          <w:delText xml:space="preserve"> </w:delText>
        </w:r>
        <w:r w:rsidRPr="00183B5F">
          <w:rPr>
            <w:lang w:val="hu-HU"/>
          </w:rPr>
          <w:delText>jelentős javulás</w:delText>
        </w:r>
        <w:r w:rsidR="000664B9" w:rsidRPr="00183B5F">
          <w:rPr>
            <w:lang w:val="hu-HU"/>
          </w:rPr>
          <w:delText>a</w:delText>
        </w:r>
        <w:r w:rsidRPr="00183B5F">
          <w:rPr>
            <w:lang w:val="hu-HU"/>
          </w:rPr>
          <w:delText xml:space="preserve"> </w:delText>
        </w:r>
        <w:r w:rsidR="00E059EB" w:rsidRPr="00183B5F">
          <w:rPr>
            <w:lang w:val="hu-HU"/>
          </w:rPr>
          <w:delText xml:space="preserve">sorrendben </w:delText>
        </w:r>
        <w:r w:rsidR="000664B9" w:rsidRPr="00183B5F">
          <w:rPr>
            <w:lang w:val="hu-HU"/>
          </w:rPr>
          <w:delText>156 héten</w:delText>
        </w:r>
        <w:r w:rsidR="00E059EB" w:rsidRPr="00183B5F">
          <w:rPr>
            <w:lang w:val="hu-HU"/>
          </w:rPr>
          <w:delText xml:space="preserve"> át</w:delText>
        </w:r>
        <w:r w:rsidR="000664B9" w:rsidRPr="00183B5F">
          <w:rPr>
            <w:lang w:val="hu-HU"/>
          </w:rPr>
          <w:delText xml:space="preserve"> és 104 héten át </w:delText>
        </w:r>
        <w:r w:rsidR="00E059EB" w:rsidRPr="00183B5F">
          <w:rPr>
            <w:lang w:val="hu-HU"/>
          </w:rPr>
          <w:delText>megmaradt</w:delText>
        </w:r>
        <w:r w:rsidRPr="00183B5F">
          <w:rPr>
            <w:lang w:val="hu-HU"/>
          </w:rPr>
          <w:delText>.</w:delText>
        </w:r>
      </w:del>
    </w:p>
    <w:p w14:paraId="7675248C" w14:textId="56E08B41" w:rsidR="006A6FA5" w:rsidRPr="00183B5F" w:rsidRDefault="006A6FA5">
      <w:pPr>
        <w:pStyle w:val="EMEANormal"/>
        <w:rPr>
          <w:del w:id="6222" w:author="AbbVie_HU_03" w:date="2025-05-14T15:27:00Z"/>
          <w:lang w:val="hu-HU"/>
        </w:rPr>
      </w:pPr>
    </w:p>
    <w:p w14:paraId="0707F8BD" w14:textId="00DC9878" w:rsidR="006A6FA5" w:rsidRPr="00183B5F" w:rsidRDefault="00943743">
      <w:pPr>
        <w:pStyle w:val="EMEANormal"/>
        <w:rPr>
          <w:del w:id="6223" w:author="AbbVie_HU_03" w:date="2025-05-14T15:27:00Z"/>
          <w:lang w:val="hu-HU"/>
        </w:rPr>
      </w:pPr>
      <w:del w:id="6224" w:author="AbbVie_HU_03" w:date="2025-05-14T15:27:00Z">
        <w:r w:rsidRPr="00183B5F">
          <w:rPr>
            <w:lang w:val="hu-HU"/>
          </w:rPr>
          <w:delText>Életminőség és fizikai aktivitás</w:delText>
        </w:r>
      </w:del>
    </w:p>
    <w:p w14:paraId="57DE1119" w14:textId="29D1E4AC" w:rsidR="006A6FA5" w:rsidRPr="00183B5F" w:rsidRDefault="006A6FA5">
      <w:pPr>
        <w:pStyle w:val="EMEANormal"/>
        <w:rPr>
          <w:del w:id="6225" w:author="AbbVie_HU_03" w:date="2025-05-14T15:27:00Z"/>
          <w:lang w:val="hu-HU"/>
        </w:rPr>
      </w:pPr>
    </w:p>
    <w:p w14:paraId="7D42CCE3" w14:textId="07342949" w:rsidR="006A6FA5" w:rsidRPr="00183B5F" w:rsidRDefault="00943743">
      <w:pPr>
        <w:pStyle w:val="EMEANormal"/>
        <w:rPr>
          <w:del w:id="6226" w:author="AbbVie_HU_03" w:date="2025-05-14T15:27:00Z"/>
          <w:lang w:val="hu-HU"/>
        </w:rPr>
      </w:pPr>
      <w:del w:id="6227" w:author="AbbVie_HU_03" w:date="2025-05-14T15:27:00Z">
        <w:r w:rsidRPr="00183B5F">
          <w:rPr>
            <w:lang w:val="hu-HU"/>
          </w:rPr>
          <w:delText>Az egészségi állapottal kapcsolatos életminőséget és fizikális funkciót a HAQ</w:delText>
        </w:r>
        <w:r w:rsidRPr="00183B5F">
          <w:rPr>
            <w:lang w:val="hu-HU"/>
          </w:rPr>
          <w:noBreakHyphen/>
          <w:delText>S és az SF</w:delText>
        </w:r>
        <w:r w:rsidRPr="00183B5F">
          <w:rPr>
            <w:lang w:val="hu-HU"/>
          </w:rPr>
          <w:noBreakHyphen/>
        </w:r>
        <w:r w:rsidRPr="00183B5F">
          <w:rPr>
            <w:lang w:val="hu-HU"/>
          </w:rPr>
          <w:delText>36 kérdőívekkel vizsgálták. A Humira a placebóval összehasonlítva statisztikailag szignifikánsan nagyobb javulást mutatott a HAQ</w:delText>
        </w:r>
        <w:r w:rsidRPr="00183B5F">
          <w:rPr>
            <w:lang w:val="hu-HU"/>
          </w:rPr>
          <w:noBreakHyphen/>
          <w:delText>S összesített értékét illetően és az SF</w:delText>
        </w:r>
        <w:r w:rsidRPr="00183B5F">
          <w:rPr>
            <w:lang w:val="hu-HU"/>
          </w:rPr>
          <w:noBreakHyphen/>
          <w:delText xml:space="preserve">36 Fizikális Komponens Érték [Physical Component Score (PCS)] tekintetében, a vizsgálat megkezdésétől a 12. hétig. Az egészségi állapottal kapcsolatos életminőség és </w:delText>
        </w:r>
        <w:r w:rsidR="00BE35E1" w:rsidRPr="00183B5F">
          <w:rPr>
            <w:lang w:val="hu-HU"/>
          </w:rPr>
          <w:delText>fizikai</w:delText>
        </w:r>
        <w:r w:rsidRPr="00183B5F">
          <w:rPr>
            <w:lang w:val="hu-HU"/>
          </w:rPr>
          <w:delText xml:space="preserve"> funkció javulása </w:delText>
        </w:r>
        <w:r w:rsidR="00A62049" w:rsidRPr="00183B5F">
          <w:rPr>
            <w:lang w:val="hu-HU"/>
          </w:rPr>
          <w:delText xml:space="preserve">fennmaradt a vizsgálat nyílt kiterjesztéses szakaszában, </w:delText>
        </w:r>
        <w:r w:rsidRPr="00183B5F">
          <w:rPr>
            <w:lang w:val="hu-HU"/>
          </w:rPr>
          <w:delText>156</w:delText>
        </w:r>
        <w:r w:rsidR="00BE35E1" w:rsidRPr="00183B5F">
          <w:rPr>
            <w:lang w:val="hu-HU"/>
          </w:rPr>
          <w:delText> </w:delText>
        </w:r>
        <w:r w:rsidRPr="00183B5F">
          <w:rPr>
            <w:lang w:val="hu-HU"/>
          </w:rPr>
          <w:delText>héten át.</w:delText>
        </w:r>
      </w:del>
    </w:p>
    <w:p w14:paraId="06BB1462" w14:textId="7720992D" w:rsidR="00486CBD" w:rsidRPr="00183B5F" w:rsidRDefault="00486CBD" w:rsidP="004062FE">
      <w:pPr>
        <w:spacing w:line="240" w:lineRule="auto"/>
        <w:rPr>
          <w:del w:id="6228" w:author="AbbVie_HU_03" w:date="2025-05-14T15:27:00Z"/>
          <w:szCs w:val="22"/>
          <w:u w:val="single"/>
        </w:rPr>
      </w:pPr>
    </w:p>
    <w:p w14:paraId="5209A714" w14:textId="202EB8A0" w:rsidR="00012871" w:rsidRPr="00183B5F" w:rsidRDefault="00943743" w:rsidP="005570EB">
      <w:pPr>
        <w:keepNext/>
        <w:rPr>
          <w:del w:id="6229" w:author="AbbVie_HU_03" w:date="2025-05-14T15:27:00Z"/>
        </w:rPr>
      </w:pPr>
      <w:del w:id="6230" w:author="AbbVie_HU_03" w:date="2025-05-14T15:27:00Z">
        <w:r w:rsidRPr="00183B5F">
          <w:delText>Nr-axSpA II klinikai vizsgálat</w:delText>
        </w:r>
      </w:del>
    </w:p>
    <w:p w14:paraId="575B7BF0" w14:textId="3B6D8C1F" w:rsidR="00012871" w:rsidRPr="00183B5F" w:rsidRDefault="00012871" w:rsidP="005570EB">
      <w:pPr>
        <w:keepNext/>
        <w:rPr>
          <w:del w:id="6231" w:author="AbbVie_HU_03" w:date="2025-05-14T15:27:00Z"/>
        </w:rPr>
      </w:pPr>
    </w:p>
    <w:p w14:paraId="6BAE7F93" w14:textId="0C7D1FFC" w:rsidR="00A579B5" w:rsidRPr="00183B5F" w:rsidRDefault="00943743" w:rsidP="005570EB">
      <w:pPr>
        <w:keepNext/>
        <w:rPr>
          <w:del w:id="6232" w:author="AbbVie_HU_03" w:date="2025-05-14T15:27:00Z"/>
        </w:rPr>
      </w:pPr>
      <w:del w:id="6233" w:author="AbbVie_HU_03" w:date="2025-05-14T15:27:00Z">
        <w:r w:rsidRPr="00183B5F">
          <w:delText>Az Nr-axSpA II klinikai vizsgálat nyílt elrendezésű szakaszába (</w:delText>
        </w:r>
        <w:r w:rsidRPr="00183B5F">
          <w:rPr>
            <w:szCs w:val="22"/>
          </w:rPr>
          <w:delText xml:space="preserve">melynek során </w:delText>
        </w:r>
        <w:r w:rsidR="00F172FF" w:rsidRPr="00183B5F">
          <w:rPr>
            <w:szCs w:val="22"/>
          </w:rPr>
          <w:delText>kéthetente egyszer 40 mg Humira</w:delText>
        </w:r>
        <w:r w:rsidR="00F172FF" w:rsidRPr="00183B5F">
          <w:rPr>
            <w:szCs w:val="22"/>
          </w:rPr>
          <w:noBreakHyphen/>
        </w:r>
        <w:r w:rsidRPr="00183B5F">
          <w:rPr>
            <w:szCs w:val="22"/>
          </w:rPr>
          <w:delText xml:space="preserve">t adagoltak 28 héten keresztül), </w:delText>
        </w:r>
        <w:r w:rsidRPr="00183B5F">
          <w:delText>67</w:delText>
        </w:r>
        <w:r w:rsidR="00012871" w:rsidRPr="00183B5F">
          <w:delText xml:space="preserve">3, </w:delText>
        </w:r>
        <w:r w:rsidRPr="00183B5F">
          <w:delText xml:space="preserve">olyan </w:delText>
        </w:r>
        <w:r w:rsidR="00012871" w:rsidRPr="00183B5F">
          <w:delText>aktív nr-axSpA-ban szenvedő</w:delText>
        </w:r>
        <w:r w:rsidRPr="00183B5F">
          <w:delText xml:space="preserve"> </w:delText>
        </w:r>
        <w:r w:rsidR="00012871" w:rsidRPr="00183B5F">
          <w:delText>beteg</w:delText>
        </w:r>
        <w:r w:rsidRPr="00183B5F">
          <w:delText>et vontak be</w:delText>
        </w:r>
        <w:r w:rsidR="00012871" w:rsidRPr="00183B5F">
          <w:delText xml:space="preserve"> (</w:delText>
        </w:r>
        <w:r w:rsidR="00012871" w:rsidRPr="00183B5F">
          <w:rPr>
            <w:szCs w:val="22"/>
          </w:rPr>
          <w:delText>betegség aktivitásának átlagos kiindulási pontértéke [a Bath Ankylosing Spondylitis Disease Activity Index (BASDAI) 7,0 volt</w:delText>
        </w:r>
        <w:r w:rsidR="00821DCB" w:rsidRPr="00183B5F">
          <w:rPr>
            <w:szCs w:val="22"/>
          </w:rPr>
          <w:delText>]</w:delText>
        </w:r>
        <w:r w:rsidRPr="00183B5F">
          <w:rPr>
            <w:szCs w:val="22"/>
          </w:rPr>
          <w:delText>,</w:delText>
        </w:r>
        <w:r w:rsidR="00012871" w:rsidRPr="00183B5F">
          <w:rPr>
            <w:szCs w:val="22"/>
          </w:rPr>
          <w:delText xml:space="preserve"> akik nem </w:delText>
        </w:r>
        <w:r w:rsidR="004D0EF7" w:rsidRPr="00183B5F">
          <w:rPr>
            <w:szCs w:val="22"/>
          </w:rPr>
          <w:delText>megfelelően reagáltak</w:delText>
        </w:r>
        <w:r w:rsidR="00012871" w:rsidRPr="00183B5F">
          <w:rPr>
            <w:szCs w:val="22"/>
          </w:rPr>
          <w:delText xml:space="preserve"> legalább két</w:delText>
        </w:r>
        <w:r w:rsidR="00F172FF" w:rsidRPr="00183B5F">
          <w:rPr>
            <w:szCs w:val="22"/>
          </w:rPr>
          <w:delText xml:space="preserve"> NSAID</w:delText>
        </w:r>
        <w:r w:rsidR="00F172FF" w:rsidRPr="00183B5F">
          <w:rPr>
            <w:szCs w:val="22"/>
          </w:rPr>
          <w:noBreakHyphen/>
        </w:r>
        <w:r w:rsidR="00012871" w:rsidRPr="00183B5F">
          <w:rPr>
            <w:szCs w:val="22"/>
          </w:rPr>
          <w:delText>re</w:delText>
        </w:r>
        <w:r w:rsidR="004D0EF7" w:rsidRPr="00183B5F">
          <w:rPr>
            <w:szCs w:val="22"/>
          </w:rPr>
          <w:delText>,</w:delText>
        </w:r>
        <w:r w:rsidR="00012871" w:rsidRPr="00183B5F">
          <w:rPr>
            <w:szCs w:val="22"/>
          </w:rPr>
          <w:delText xml:space="preserve"> vagy nem tolerálták </w:delText>
        </w:r>
        <w:r w:rsidR="004D0EF7" w:rsidRPr="00183B5F">
          <w:rPr>
            <w:szCs w:val="22"/>
          </w:rPr>
          <w:delText>az NSAID-kezelést</w:delText>
        </w:r>
        <w:r w:rsidR="00012871" w:rsidRPr="00183B5F">
          <w:rPr>
            <w:szCs w:val="22"/>
          </w:rPr>
          <w:delText>, illetve</w:delText>
        </w:r>
        <w:r w:rsidR="004D0EF7" w:rsidRPr="00183B5F">
          <w:rPr>
            <w:szCs w:val="22"/>
          </w:rPr>
          <w:delText xml:space="preserve"> az </w:delText>
        </w:r>
        <w:r w:rsidRPr="00183B5F">
          <w:rPr>
            <w:szCs w:val="22"/>
          </w:rPr>
          <w:delText>ellenjavallt volt</w:delText>
        </w:r>
        <w:r w:rsidR="004D0EF7" w:rsidRPr="00183B5F">
          <w:rPr>
            <w:szCs w:val="22"/>
          </w:rPr>
          <w:delText xml:space="preserve"> számukra</w:delText>
        </w:r>
        <w:r w:rsidRPr="00183B5F">
          <w:rPr>
            <w:szCs w:val="22"/>
          </w:rPr>
          <w:delText xml:space="preserve">. </w:delText>
        </w:r>
        <w:r w:rsidR="00E201F7" w:rsidRPr="00183B5F">
          <w:rPr>
            <w:szCs w:val="22"/>
          </w:rPr>
          <w:delText xml:space="preserve">Ezeknél a betegeknél MR vizsgálat vagy az emelkedett hs-CRP-szint </w:delText>
        </w:r>
        <w:r w:rsidR="00B61690" w:rsidRPr="00183B5F">
          <w:rPr>
            <w:szCs w:val="22"/>
          </w:rPr>
          <w:delText>igazolt gyulladást a sacroiliacalis ízületekben vagy a gerincben.</w:delText>
        </w:r>
        <w:r w:rsidRPr="00183B5F">
          <w:delText xml:space="preserve"> Azok</w:delText>
        </w:r>
        <w:r w:rsidR="001B4DFE" w:rsidRPr="00183B5F">
          <w:delText>at</w:delText>
        </w:r>
        <w:r w:rsidRPr="00183B5F">
          <w:delText xml:space="preserve"> a betegek</w:delText>
        </w:r>
        <w:r w:rsidR="001B4DFE" w:rsidRPr="00183B5F">
          <w:delText>et</w:delText>
        </w:r>
        <w:r w:rsidRPr="00183B5F">
          <w:delText xml:space="preserve">, akik tartós remissziót értek el </w:delText>
        </w:r>
        <w:r w:rsidR="00B61690" w:rsidRPr="00183B5F">
          <w:rPr>
            <w:szCs w:val="22"/>
          </w:rPr>
          <w:delText>a nyílt elrendezésű szakasz során</w:delText>
        </w:r>
        <w:r w:rsidR="00B61690" w:rsidRPr="00183B5F">
          <w:delText xml:space="preserve"> </w:delText>
        </w:r>
        <w:r w:rsidRPr="00183B5F">
          <w:delText xml:space="preserve">legalább 12 héten keresztül (N = 305) </w:delText>
        </w:r>
        <w:r w:rsidRPr="00183B5F">
          <w:rPr>
            <w:szCs w:val="22"/>
          </w:rPr>
          <w:delText>(ASDAS &lt; 1,3 a 16</w:delText>
        </w:r>
        <w:r w:rsidR="00B61690" w:rsidRPr="00183B5F">
          <w:rPr>
            <w:szCs w:val="22"/>
          </w:rPr>
          <w:delText>.,</w:delText>
        </w:r>
        <w:r w:rsidRPr="00183B5F">
          <w:rPr>
            <w:szCs w:val="22"/>
          </w:rPr>
          <w:delText xml:space="preserve"> 20</w:delText>
        </w:r>
        <w:r w:rsidR="00B61690" w:rsidRPr="00183B5F">
          <w:rPr>
            <w:szCs w:val="22"/>
          </w:rPr>
          <w:delText>.,</w:delText>
        </w:r>
        <w:r w:rsidRPr="00183B5F">
          <w:rPr>
            <w:szCs w:val="22"/>
          </w:rPr>
          <w:delText xml:space="preserve"> 24. és 28. héten)</w:delText>
        </w:r>
        <w:r w:rsidR="001B4DFE" w:rsidRPr="00183B5F">
          <w:rPr>
            <w:szCs w:val="22"/>
          </w:rPr>
          <w:delText>, randomizálták folytatólagos kéthetente adagolt 40 mg Humira-kezelésre (</w:delText>
        </w:r>
        <w:r w:rsidR="001B4DFE" w:rsidRPr="00183B5F">
          <w:delText>N = 152) vagy placeb</w:delText>
        </w:r>
        <w:r w:rsidR="00C667B3" w:rsidRPr="00183B5F">
          <w:delText>ó</w:delText>
        </w:r>
        <w:r w:rsidR="001B4DFE" w:rsidRPr="00183B5F">
          <w:delText xml:space="preserve">ra </w:delText>
        </w:r>
        <w:r w:rsidR="001B4DFE" w:rsidRPr="00183B5F">
          <w:rPr>
            <w:szCs w:val="22"/>
          </w:rPr>
          <w:delText>(</w:delText>
        </w:r>
        <w:r w:rsidR="001B4DFE" w:rsidRPr="00183B5F">
          <w:delText xml:space="preserve">N = 153) </w:delText>
        </w:r>
        <w:r w:rsidR="00B61690" w:rsidRPr="00183B5F">
          <w:delText xml:space="preserve">egy </w:delText>
        </w:r>
        <w:r w:rsidR="001B4DFE" w:rsidRPr="00183B5F">
          <w:delText>további</w:delText>
        </w:r>
        <w:r w:rsidR="00B61690" w:rsidRPr="00183B5F">
          <w:delText>,</w:delText>
        </w:r>
        <w:r w:rsidR="001B4DFE" w:rsidRPr="00183B5F">
          <w:delText xml:space="preserve"> 40 het</w:delText>
        </w:r>
        <w:r w:rsidR="00B61690" w:rsidRPr="00183B5F">
          <w:delText>es,</w:delText>
        </w:r>
        <w:r w:rsidR="001B4DFE" w:rsidRPr="00183B5F">
          <w:delText xml:space="preserve"> kettős vak, placebokontrollos szakaszban (a vizsgálat teljes időtartama 68 hét volt). A</w:delText>
        </w:r>
        <w:r w:rsidR="00A27679" w:rsidRPr="00183B5F">
          <w:delText>zok a betegek, akiknek betegsége a</w:delText>
        </w:r>
        <w:r w:rsidR="001B4DFE" w:rsidRPr="00183B5F">
          <w:delText xml:space="preserve"> kettős vak </w:delText>
        </w:r>
        <w:r w:rsidR="00FE10CB" w:rsidRPr="00183B5F">
          <w:delText>szakaszban fellángol</w:delText>
        </w:r>
        <w:r w:rsidR="00A27679" w:rsidRPr="00183B5F">
          <w:delText>t,</w:delText>
        </w:r>
        <w:r w:rsidR="00FE10CB" w:rsidRPr="00183B5F">
          <w:delText xml:space="preserve"> minden második héten </w:delText>
        </w:r>
        <w:r w:rsidR="00A27679" w:rsidRPr="00183B5F">
          <w:delText xml:space="preserve">adott </w:delText>
        </w:r>
        <w:r w:rsidR="00FE10CB" w:rsidRPr="00183B5F">
          <w:delText xml:space="preserve">40 mg Humira kiegészítő kezelést </w:delText>
        </w:r>
        <w:r w:rsidR="00A27679" w:rsidRPr="00183B5F">
          <w:delText xml:space="preserve">kaphattak </w:delText>
        </w:r>
        <w:r w:rsidR="00FE10CB" w:rsidRPr="00183B5F">
          <w:delText>legalább 12 hétig.</w:delText>
        </w:r>
      </w:del>
    </w:p>
    <w:p w14:paraId="20611EFE" w14:textId="3740AD6F" w:rsidR="00FE10CB" w:rsidRPr="00183B5F" w:rsidRDefault="00FE10CB" w:rsidP="00012871">
      <w:pPr>
        <w:rPr>
          <w:del w:id="6234" w:author="AbbVie_HU_03" w:date="2025-05-14T15:27:00Z"/>
        </w:rPr>
      </w:pPr>
    </w:p>
    <w:p w14:paraId="48EEC207" w14:textId="0BAAA417" w:rsidR="009C192B" w:rsidRPr="00183B5F" w:rsidRDefault="00943743" w:rsidP="009C192B">
      <w:pPr>
        <w:rPr>
          <w:del w:id="6235" w:author="AbbVie_HU_03" w:date="2025-05-14T15:27:00Z"/>
        </w:rPr>
      </w:pPr>
      <w:del w:id="6236" w:author="AbbVie_HU_03" w:date="2025-05-14T15:27:00Z">
        <w:r w:rsidRPr="00183B5F">
          <w:rPr>
            <w:szCs w:val="22"/>
          </w:rPr>
          <w:delText xml:space="preserve">A vizsgálat elsődleges végpontja azoknak a betegeknek az aránya volt, akiknek a vizsgálat 68. hetéig nem lángolt fel a betegségük. A fellángolás definíciója az </w:delText>
        </w:r>
        <w:r w:rsidRPr="00183B5F">
          <w:delText>ASDAS ≥ 2,1 két egymást követő viziten</w:delText>
        </w:r>
        <w:r w:rsidR="00A27679" w:rsidRPr="00183B5F">
          <w:delText>,</w:delText>
        </w:r>
        <w:r w:rsidRPr="00183B5F">
          <w:delText xml:space="preserve"> négy hét külö</w:delText>
        </w:r>
        <w:r w:rsidR="00023220" w:rsidRPr="00183B5F">
          <w:delText>nbséggel. A Humira</w:delText>
        </w:r>
        <w:r w:rsidR="00023220" w:rsidRPr="00183B5F">
          <w:noBreakHyphen/>
        </w:r>
        <w:r w:rsidRPr="00183B5F">
          <w:delText>val kezelt betegek nagyobb arányán</w:delText>
        </w:r>
        <w:r w:rsidR="00A62049" w:rsidRPr="00183B5F">
          <w:delText>ál</w:delText>
        </w:r>
        <w:r w:rsidRPr="00183B5F">
          <w:delText xml:space="preserve"> nem </w:delText>
        </w:r>
        <w:r w:rsidR="00A27679" w:rsidRPr="00183B5F">
          <w:delText>fordult elő</w:delText>
        </w:r>
        <w:r w:rsidRPr="00183B5F">
          <w:delText xml:space="preserve"> </w:delText>
        </w:r>
        <w:r w:rsidR="00A27679" w:rsidRPr="00183B5F">
          <w:delText xml:space="preserve">a </w:delText>
        </w:r>
        <w:r w:rsidRPr="00183B5F">
          <w:delText>betegség</w:delText>
        </w:r>
        <w:r w:rsidR="00A27679" w:rsidRPr="00183B5F">
          <w:delText xml:space="preserve"> </w:delText>
        </w:r>
        <w:r w:rsidRPr="00183B5F">
          <w:delText xml:space="preserve">fellángolása a kettős vak szakasz során, összehasonlítva a </w:delText>
        </w:r>
        <w:r w:rsidR="00023220" w:rsidRPr="00183B5F">
          <w:delText>placeb</w:delText>
        </w:r>
        <w:r w:rsidR="00FB4704" w:rsidRPr="00183B5F">
          <w:delText>ó</w:delText>
        </w:r>
        <w:r w:rsidR="00A27679" w:rsidRPr="00183B5F">
          <w:delText>t</w:delText>
        </w:r>
        <w:r w:rsidR="00023220" w:rsidRPr="00183B5F">
          <w:delText xml:space="preserve"> </w:delText>
        </w:r>
        <w:r w:rsidR="00A27679" w:rsidRPr="00183B5F">
          <w:delText>kapókkal</w:delText>
        </w:r>
        <w:r w:rsidR="00023220" w:rsidRPr="00183B5F">
          <w:delText xml:space="preserve"> </w:delText>
        </w:r>
        <w:r w:rsidRPr="00183B5F">
          <w:delText>(70,4% vs. 47,1%, p&lt;0,001) (1. ábra).</w:delText>
        </w:r>
      </w:del>
    </w:p>
    <w:p w14:paraId="0A965286" w14:textId="2C65C8D2" w:rsidR="00FE10CB" w:rsidRPr="00183B5F" w:rsidRDefault="00FE10CB" w:rsidP="00012871">
      <w:pPr>
        <w:rPr>
          <w:del w:id="6237" w:author="AbbVie_HU_03" w:date="2025-05-14T15:27:00Z"/>
        </w:rPr>
      </w:pPr>
    </w:p>
    <w:p w14:paraId="43E89933" w14:textId="0EBF48C4" w:rsidR="00FE10CB" w:rsidRPr="00183B5F" w:rsidRDefault="00943743" w:rsidP="00FC288C">
      <w:pPr>
        <w:pStyle w:val="EMEANormal"/>
        <w:keepNext/>
        <w:ind w:left="360"/>
        <w:jc w:val="center"/>
        <w:rPr>
          <w:del w:id="6238" w:author="AbbVie_HU_03" w:date="2025-05-14T15:27:00Z"/>
          <w:lang w:val="hu-HU"/>
        </w:rPr>
      </w:pPr>
      <w:del w:id="6239" w:author="AbbVie_HU_03" w:date="2025-05-14T15:27:00Z">
        <w:r w:rsidRPr="00183B5F">
          <w:rPr>
            <w:b/>
            <w:lang w:val="hu-HU"/>
          </w:rPr>
          <w:delText xml:space="preserve">1. ábra: </w:delText>
        </w:r>
        <w:r w:rsidR="00FF255A" w:rsidRPr="00183B5F">
          <w:rPr>
            <w:b/>
            <w:lang w:val="hu-HU"/>
          </w:rPr>
          <w:delText xml:space="preserve">A betegség fellángolásáig eltelt időt bemutató </w:delText>
        </w:r>
        <w:r w:rsidRPr="00183B5F">
          <w:rPr>
            <w:b/>
            <w:lang w:val="hu-HU"/>
          </w:rPr>
          <w:delText xml:space="preserve">Kaplan-Meier </w:delText>
        </w:r>
        <w:r w:rsidR="00FF255A" w:rsidRPr="00183B5F">
          <w:rPr>
            <w:b/>
            <w:lang w:val="hu-HU"/>
          </w:rPr>
          <w:delText>görbék az N</w:delText>
        </w:r>
        <w:r w:rsidRPr="00183B5F">
          <w:rPr>
            <w:b/>
            <w:lang w:val="hu-HU"/>
          </w:rPr>
          <w:delText>r-axSpA</w:delText>
        </w:r>
        <w:r w:rsidR="00FF255A" w:rsidRPr="00183B5F">
          <w:rPr>
            <w:b/>
            <w:lang w:val="hu-HU"/>
          </w:rPr>
          <w:delText> </w:delText>
        </w:r>
        <w:r w:rsidRPr="00183B5F">
          <w:rPr>
            <w:b/>
            <w:lang w:val="hu-HU"/>
          </w:rPr>
          <w:delText>II</w:delText>
        </w:r>
        <w:r w:rsidR="00FF255A" w:rsidRPr="00183B5F">
          <w:rPr>
            <w:b/>
            <w:lang w:val="hu-HU"/>
          </w:rPr>
          <w:delText xml:space="preserve"> vizsgálatban</w:delText>
        </w:r>
      </w:del>
    </w:p>
    <w:p w14:paraId="4D4A0E0C" w14:textId="5B573B6D" w:rsidR="00FE10CB" w:rsidRPr="00183B5F" w:rsidRDefault="00FE10CB" w:rsidP="00012871">
      <w:pPr>
        <w:rPr>
          <w:del w:id="6240" w:author="AbbVie_HU_03" w:date="2025-05-14T15:27:00Z"/>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8603"/>
      </w:tblGrid>
      <w:tr w:rsidR="00011D2F" w14:paraId="2C10CE0B" w14:textId="568AA592" w:rsidTr="00FE10CB">
        <w:trPr>
          <w:cantSplit/>
          <w:trHeight w:val="1134"/>
          <w:del w:id="6241" w:author="AbbVie_HU_03" w:date="2025-05-14T15:27:00Z"/>
        </w:trPr>
        <w:tc>
          <w:tcPr>
            <w:tcW w:w="930" w:type="dxa"/>
            <w:textDirection w:val="btLr"/>
            <w:vAlign w:val="center"/>
            <w:hideMark/>
          </w:tcPr>
          <w:p w14:paraId="2D09B801" w14:textId="70363865" w:rsidR="00FE10CB" w:rsidRPr="00183B5F" w:rsidRDefault="00943743">
            <w:pPr>
              <w:ind w:left="113" w:right="113"/>
              <w:jc w:val="center"/>
              <w:rPr>
                <w:del w:id="6242" w:author="AbbVie_HU_03" w:date="2025-05-14T15:27:00Z"/>
                <w:b/>
                <w:sz w:val="20"/>
                <w:szCs w:val="24"/>
              </w:rPr>
            </w:pPr>
            <w:del w:id="6243" w:author="AbbVie_HU_03" w:date="2025-05-14T15:27:00Z">
              <w:r w:rsidRPr="00183B5F">
                <w:rPr>
                  <w:b/>
                  <w:sz w:val="20"/>
                </w:rPr>
                <w:delText>A EFLLÁNGOLÁS HIÁNYÁNAK VALÓSZÍNŰSÉGE</w:delText>
              </w:r>
            </w:del>
          </w:p>
        </w:tc>
        <w:tc>
          <w:tcPr>
            <w:tcW w:w="8646" w:type="dxa"/>
            <w:hideMark/>
          </w:tcPr>
          <w:p w14:paraId="68E4C970" w14:textId="761674C5" w:rsidR="00FE10CB" w:rsidRPr="00183B5F" w:rsidRDefault="00943743">
            <w:pPr>
              <w:rPr>
                <w:del w:id="6244" w:author="AbbVie_HU_03" w:date="2025-05-14T15:27:00Z"/>
                <w:sz w:val="20"/>
                <w:szCs w:val="24"/>
              </w:rPr>
            </w:pPr>
            <w:del w:id="6245" w:author="AbbVie_HU_03" w:date="2025-05-14T15:27:00Z">
              <w:r w:rsidRPr="00202B95">
                <w:rPr>
                  <w:noProof/>
                  <w:sz w:val="20"/>
                  <w:lang w:val="en-GB"/>
                </w:rPr>
                <w:drawing>
                  <wp:anchor distT="0" distB="0" distL="114300" distR="114300" simplePos="0" relativeHeight="251674624" behindDoc="0" locked="0" layoutInCell="1" allowOverlap="1" wp14:anchorId="40CC2174" wp14:editId="4270A240">
                    <wp:simplePos x="0" y="0"/>
                    <wp:positionH relativeFrom="column">
                      <wp:posOffset>-635</wp:posOffset>
                    </wp:positionH>
                    <wp:positionV relativeFrom="paragraph">
                      <wp:posOffset>-2883535</wp:posOffset>
                    </wp:positionV>
                    <wp:extent cx="5619750" cy="3000375"/>
                    <wp:effectExtent l="0" t="0" r="0" b="9525"/>
                    <wp:wrapTopAndBottom/>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619750" cy="3000375"/>
                            </a:xfrm>
                            <a:prstGeom prst="rect">
                              <a:avLst/>
                            </a:prstGeom>
                            <a:noFill/>
                            <a:ln>
                              <a:noFill/>
                            </a:ln>
                          </pic:spPr>
                        </pic:pic>
                      </a:graphicData>
                    </a:graphic>
                    <wp14:sizeRelH relativeFrom="page">
                      <wp14:pctWidth>0</wp14:pctWidth>
                    </wp14:sizeRelH>
                    <wp14:sizeRelV relativeFrom="page">
                      <wp14:pctHeight>0</wp14:pctHeight>
                    </wp14:sizeRelV>
                  </wp:anchor>
                </w:drawing>
              </w:r>
            </w:del>
          </w:p>
        </w:tc>
      </w:tr>
      <w:tr w:rsidR="00011D2F" w14:paraId="3CE00176" w14:textId="5482E6BD" w:rsidTr="00FE10CB">
        <w:trPr>
          <w:del w:id="6246" w:author="AbbVie_HU_03" w:date="2025-05-14T15:27:00Z"/>
        </w:trPr>
        <w:tc>
          <w:tcPr>
            <w:tcW w:w="930" w:type="dxa"/>
          </w:tcPr>
          <w:p w14:paraId="1BBD353E" w14:textId="1FFEC38F" w:rsidR="00FE10CB" w:rsidRPr="00183B5F" w:rsidRDefault="00FE10CB">
            <w:pPr>
              <w:rPr>
                <w:del w:id="6247" w:author="AbbVie_HU_03" w:date="2025-05-14T15:27:00Z"/>
                <w:sz w:val="20"/>
                <w:szCs w:val="24"/>
              </w:rPr>
            </w:pPr>
          </w:p>
        </w:tc>
        <w:tc>
          <w:tcPr>
            <w:tcW w:w="8646" w:type="dxa"/>
            <w:vAlign w:val="center"/>
            <w:hideMark/>
          </w:tcPr>
          <w:p w14:paraId="44B05CAC" w14:textId="699000FD" w:rsidR="00FE10CB" w:rsidRPr="00183B5F" w:rsidRDefault="00943743" w:rsidP="00105FE2">
            <w:pPr>
              <w:jc w:val="center"/>
              <w:rPr>
                <w:del w:id="6248" w:author="AbbVie_HU_03" w:date="2025-05-14T15:27:00Z"/>
                <w:b/>
                <w:sz w:val="20"/>
                <w:szCs w:val="24"/>
              </w:rPr>
            </w:pPr>
            <w:del w:id="6249" w:author="AbbVie_HU_03" w:date="2025-05-14T15:27:00Z">
              <w:r w:rsidRPr="00183B5F">
                <w:rPr>
                  <w:b/>
                  <w:sz w:val="20"/>
                </w:rPr>
                <w:delText>IDŐ (H</w:delText>
              </w:r>
              <w:r w:rsidR="00A27679" w:rsidRPr="00183B5F">
                <w:rPr>
                  <w:b/>
                  <w:sz w:val="20"/>
                </w:rPr>
                <w:delText>ÉT</w:delText>
              </w:r>
              <w:r w:rsidRPr="00183B5F">
                <w:rPr>
                  <w:b/>
                  <w:sz w:val="20"/>
                </w:rPr>
                <w:delText>)</w:delText>
              </w:r>
            </w:del>
          </w:p>
        </w:tc>
      </w:tr>
      <w:tr w:rsidR="00011D2F" w14:paraId="3E5DE3D2" w14:textId="6A2B2B61" w:rsidTr="00FE10CB">
        <w:trPr>
          <w:del w:id="6250" w:author="AbbVie_HU_03" w:date="2025-05-14T15:27:00Z"/>
        </w:trPr>
        <w:tc>
          <w:tcPr>
            <w:tcW w:w="9576" w:type="dxa"/>
            <w:gridSpan w:val="2"/>
            <w:hideMark/>
          </w:tcPr>
          <w:p w14:paraId="78A4D093" w14:textId="0AC537C9" w:rsidR="00FE10CB" w:rsidRPr="00183B5F" w:rsidRDefault="00943743">
            <w:pPr>
              <w:rPr>
                <w:del w:id="6251" w:author="AbbVie_HU_03" w:date="2025-05-14T15:27:00Z"/>
                <w:sz w:val="20"/>
              </w:rPr>
            </w:pPr>
            <w:del w:id="6252" w:author="AbbVie_HU_03" w:date="2025-05-14T15:27:00Z">
              <w:r w:rsidRPr="00183B5F">
                <w:rPr>
                  <w:sz w:val="20"/>
                </w:rPr>
                <w:delText xml:space="preserve">                                  </w:delText>
              </w:r>
              <w:r w:rsidR="00FF255A" w:rsidRPr="00183B5F">
                <w:rPr>
                  <w:sz w:val="20"/>
                </w:rPr>
                <w:delText>Kezelés</w:delText>
              </w:r>
              <w:r w:rsidRPr="00183B5F">
                <w:rPr>
                  <w:sz w:val="20"/>
                </w:rPr>
                <w:delText xml:space="preserve">      </w:delText>
              </w:r>
              <w:r w:rsidRPr="00183B5F">
                <w:rPr>
                  <w:noProof/>
                  <w:sz w:val="20"/>
                </w:rPr>
                <w:delText xml:space="preserve"> </w:delText>
              </w:r>
              <w:r w:rsidRPr="00202B95">
                <w:rPr>
                  <w:noProof/>
                  <w:sz w:val="20"/>
                  <w:lang w:val="en-GB"/>
                </w:rPr>
                <mc:AlternateContent>
                  <mc:Choice Requires="wps">
                    <w:drawing>
                      <wp:inline distT="0" distB="0" distL="0" distR="0" wp14:anchorId="241A37CD" wp14:editId="1CDB6959">
                        <wp:extent cx="381000" cy="0"/>
                        <wp:effectExtent l="19050" t="19050" r="19050" b="19050"/>
                        <wp:docPr id="130"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28575">
                                  <a:solidFill>
                                    <a:schemeClr val="tx1">
                                      <a:lumMod val="65000"/>
                                      <a:lumOff val="35000"/>
                                    </a:schemeClr>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130" o:spid="_x0000_i1029" style="mso-left-percent:-10001;mso-position-horizontal-relative:char;mso-position-vertical-relative:line;mso-top-percent:-10001;mso-wrap-style:square;visibility:visible" from="0,0" to="30pt,0" strokecolor="#5a5a5a" strokeweight="2.25pt">
                        <v:stroke dashstyle="1 1"/>
                        <w10:anchorlock/>
                      </v:line>
                    </w:pict>
                  </mc:Fallback>
                </mc:AlternateContent>
              </w:r>
              <w:r w:rsidRPr="00183B5F">
                <w:rPr>
                  <w:noProof/>
                  <w:sz w:val="20"/>
                </w:rPr>
                <w:delText xml:space="preserve"> </w:delText>
              </w:r>
              <w:r w:rsidRPr="00183B5F">
                <w:rPr>
                  <w:sz w:val="20"/>
                </w:rPr>
                <w:delText xml:space="preserve">Placebo     </w:delText>
              </w:r>
              <w:r w:rsidRPr="00202B95">
                <w:rPr>
                  <w:noProof/>
                  <w:sz w:val="20"/>
                  <w:lang w:val="en-GB"/>
                </w:rPr>
                <mc:AlternateContent>
                  <mc:Choice Requires="wps">
                    <w:drawing>
                      <wp:inline distT="0" distB="0" distL="0" distR="0" wp14:anchorId="286545D0" wp14:editId="5034052B">
                        <wp:extent cx="401320" cy="0"/>
                        <wp:effectExtent l="9525" t="9525" r="17780" b="9525"/>
                        <wp:docPr id="129" name="Straight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320" cy="0"/>
                                </a:xfrm>
                                <a:prstGeom prst="line">
                                  <a:avLst/>
                                </a:prstGeom>
                                <a:noFill/>
                                <a:ln w="19050">
                                  <a:solidFill>
                                    <a:schemeClr val="tx1">
                                      <a:lumMod val="75000"/>
                                      <a:lumOff val="25000"/>
                                    </a:schemeClr>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129" o:spid="_x0000_i1030" style="mso-left-percent:-10001;mso-position-horizontal-relative:char;mso-position-vertical-relative:line;mso-top-percent:-10001;mso-wrap-style:square;visibility:visible" from="0,0" to="31.6pt,0" strokecolor="#404040" strokeweight="1.5pt">
                        <w10:anchorlock/>
                      </v:line>
                    </w:pict>
                  </mc:Fallback>
                </mc:AlternateContent>
              </w:r>
              <w:r w:rsidR="009C192B" w:rsidRPr="00183B5F">
                <w:rPr>
                  <w:sz w:val="20"/>
                </w:rPr>
                <w:delText xml:space="preserve"> Humira     ∆ Cenzorált</w:delText>
              </w:r>
            </w:del>
          </w:p>
          <w:p w14:paraId="65E286E5" w14:textId="4AF9BF42" w:rsidR="00FF255A" w:rsidRPr="00183B5F" w:rsidRDefault="00FF255A">
            <w:pPr>
              <w:rPr>
                <w:del w:id="6253" w:author="AbbVie_HU_03" w:date="2025-05-14T15:27:00Z"/>
                <w:sz w:val="20"/>
                <w:szCs w:val="24"/>
              </w:rPr>
            </w:pPr>
          </w:p>
        </w:tc>
      </w:tr>
    </w:tbl>
    <w:tbl>
      <w:tblPr>
        <w:tblW w:w="8817" w:type="dxa"/>
        <w:tblLayout w:type="fixed"/>
        <w:tblLook w:val="04A0" w:firstRow="1" w:lastRow="0" w:firstColumn="1" w:lastColumn="0" w:noHBand="0" w:noVBand="1"/>
      </w:tblPr>
      <w:tblGrid>
        <w:gridCol w:w="8817"/>
      </w:tblGrid>
      <w:tr w:rsidR="00011D2F" w14:paraId="33526C69" w14:textId="43F35446" w:rsidTr="00163756">
        <w:trPr>
          <w:del w:id="6254" w:author="AbbVie_HU_03" w:date="2025-05-14T15:27:00Z"/>
        </w:trPr>
        <w:tc>
          <w:tcPr>
            <w:tcW w:w="8817" w:type="dxa"/>
            <w:hideMark/>
          </w:tcPr>
          <w:p w14:paraId="32F9C6F5" w14:textId="56A2F08E" w:rsidR="00A27679" w:rsidRPr="00183B5F" w:rsidRDefault="00943743" w:rsidP="00105FE2">
            <w:pPr>
              <w:pStyle w:val="EMEANormal"/>
              <w:keepNext/>
              <w:rPr>
                <w:del w:id="6255" w:author="AbbVie_HU_03" w:date="2025-05-14T15:27:00Z"/>
                <w:szCs w:val="22"/>
                <w:lang w:val="hu-HU"/>
              </w:rPr>
            </w:pPr>
            <w:del w:id="6256" w:author="AbbVie_HU_03" w:date="2025-05-14T15:27:00Z">
              <w:r w:rsidRPr="00183B5F">
                <w:rPr>
                  <w:szCs w:val="22"/>
                  <w:lang w:val="hu-HU"/>
                </w:rPr>
                <w:delText>Megjegyzés: P = Placebo (Veszélyeztetett betegek száma (fellángolások)); H = HUMIRA (Veszélyeztetett betegek száma (fellángolások)).</w:delText>
              </w:r>
            </w:del>
          </w:p>
        </w:tc>
      </w:tr>
    </w:tbl>
    <w:p w14:paraId="7C15D5F4" w14:textId="68F4CF5A" w:rsidR="00A27679" w:rsidRPr="00183B5F" w:rsidRDefault="00A27679">
      <w:pPr>
        <w:spacing w:line="240" w:lineRule="auto"/>
        <w:rPr>
          <w:del w:id="6257" w:author="AbbVie_HU_03" w:date="2025-05-14T15:27:00Z"/>
          <w:szCs w:val="22"/>
          <w:u w:val="single"/>
        </w:rPr>
      </w:pPr>
    </w:p>
    <w:p w14:paraId="6CBDDB5D" w14:textId="33C3856F" w:rsidR="00FE10CB" w:rsidRPr="00183B5F" w:rsidRDefault="00943743" w:rsidP="00163756">
      <w:pPr>
        <w:spacing w:line="240" w:lineRule="auto"/>
        <w:rPr>
          <w:del w:id="6258" w:author="AbbVie_HU_03" w:date="2025-05-14T15:27:00Z"/>
        </w:rPr>
      </w:pPr>
      <w:del w:id="6259" w:author="AbbVie_HU_03" w:date="2025-05-14T15:27:00Z">
        <w:r w:rsidRPr="00183B5F">
          <w:rPr>
            <w:szCs w:val="22"/>
          </w:rPr>
          <w:delText xml:space="preserve">A 68 beteg közül, akiknek </w:delText>
        </w:r>
        <w:r w:rsidR="00A27679" w:rsidRPr="00183B5F">
          <w:rPr>
            <w:szCs w:val="22"/>
          </w:rPr>
          <w:delText>a kezelés</w:delText>
        </w:r>
        <w:r w:rsidR="00105FE2" w:rsidRPr="00183B5F">
          <w:rPr>
            <w:szCs w:val="22"/>
          </w:rPr>
          <w:delText>t megszakító</w:delText>
        </w:r>
        <w:r w:rsidR="00A27679" w:rsidRPr="00183B5F">
          <w:rPr>
            <w:szCs w:val="22"/>
          </w:rPr>
          <w:delText xml:space="preserve"> csoportban </w:delText>
        </w:r>
        <w:r w:rsidRPr="00183B5F">
          <w:rPr>
            <w:szCs w:val="22"/>
          </w:rPr>
          <w:delText>f</w:delText>
        </w:r>
        <w:r w:rsidR="00306FFA" w:rsidRPr="00183B5F">
          <w:rPr>
            <w:szCs w:val="22"/>
          </w:rPr>
          <w:delText>ellángolt a betegsége, 65</w:delText>
        </w:r>
        <w:r w:rsidR="00306FFA" w:rsidRPr="00183B5F">
          <w:rPr>
            <w:szCs w:val="22"/>
          </w:rPr>
          <w:noBreakHyphen/>
        </w:r>
        <w:r w:rsidRPr="00183B5F">
          <w:rPr>
            <w:szCs w:val="22"/>
          </w:rPr>
          <w:delText xml:space="preserve">en fejezték be a 12 hetes kiegészítő </w:delText>
        </w:r>
        <w:r w:rsidR="00715BAF" w:rsidRPr="00183B5F">
          <w:rPr>
            <w:szCs w:val="22"/>
          </w:rPr>
          <w:delText>Humira</w:delText>
        </w:r>
        <w:r w:rsidR="00F172FF" w:rsidRPr="00183B5F">
          <w:rPr>
            <w:szCs w:val="22"/>
          </w:rPr>
          <w:noBreakHyphen/>
        </w:r>
        <w:r w:rsidR="00715BAF" w:rsidRPr="00183B5F">
          <w:rPr>
            <w:szCs w:val="22"/>
          </w:rPr>
          <w:delText xml:space="preserve">kezelést, </w:delText>
        </w:r>
        <w:r w:rsidR="00A27679" w:rsidRPr="00183B5F">
          <w:rPr>
            <w:szCs w:val="22"/>
          </w:rPr>
          <w:delText xml:space="preserve">közülük </w:delText>
        </w:r>
        <w:r w:rsidR="00715BAF" w:rsidRPr="00183B5F">
          <w:rPr>
            <w:szCs w:val="22"/>
          </w:rPr>
          <w:delText>37</w:delText>
        </w:r>
        <w:r w:rsidR="00715BAF" w:rsidRPr="00183B5F">
          <w:rPr>
            <w:szCs w:val="22"/>
          </w:rPr>
          <w:noBreakHyphen/>
        </w:r>
        <w:r w:rsidRPr="00183B5F">
          <w:rPr>
            <w:szCs w:val="22"/>
          </w:rPr>
          <w:delText>en (56,9%)</w:delText>
        </w:r>
        <w:r w:rsidR="00801B1F" w:rsidRPr="00183B5F">
          <w:rPr>
            <w:szCs w:val="22"/>
          </w:rPr>
          <w:delText xml:space="preserve"> újra remisszióba került</w:delText>
        </w:r>
        <w:r w:rsidR="00F172FF" w:rsidRPr="00183B5F">
          <w:rPr>
            <w:szCs w:val="22"/>
          </w:rPr>
          <w:delText>ek</w:delText>
        </w:r>
        <w:r w:rsidR="00801B1F" w:rsidRPr="00183B5F">
          <w:rPr>
            <w:szCs w:val="22"/>
          </w:rPr>
          <w:delText xml:space="preserve"> </w:delText>
        </w:r>
        <w:r w:rsidRPr="00183B5F">
          <w:delText>(ASDAS &lt; 1,3) 12 héttel a nyílt elrendezésű kezelés újrakezdését követően.</w:delText>
        </w:r>
      </w:del>
    </w:p>
    <w:p w14:paraId="4A956403" w14:textId="6EE2D135" w:rsidR="00750827" w:rsidRPr="00183B5F" w:rsidRDefault="00750827" w:rsidP="00163756">
      <w:pPr>
        <w:spacing w:line="240" w:lineRule="auto"/>
        <w:rPr>
          <w:del w:id="6260" w:author="AbbVie_HU_03" w:date="2025-05-14T15:27:00Z"/>
        </w:rPr>
      </w:pPr>
    </w:p>
    <w:p w14:paraId="602AB036" w14:textId="179A76AE" w:rsidR="009C192B" w:rsidRPr="00183B5F" w:rsidRDefault="00943743" w:rsidP="00163756">
      <w:pPr>
        <w:spacing w:line="240" w:lineRule="auto"/>
        <w:rPr>
          <w:del w:id="6261" w:author="AbbVie_HU_03" w:date="2025-05-14T15:27:00Z"/>
          <w:szCs w:val="22"/>
        </w:rPr>
      </w:pPr>
      <w:del w:id="6262" w:author="AbbVie_HU_03" w:date="2025-05-14T15:27:00Z">
        <w:r w:rsidRPr="00183B5F">
          <w:delText xml:space="preserve">A 68. hétre </w:delText>
        </w:r>
        <w:r w:rsidR="00F172FF" w:rsidRPr="00183B5F">
          <w:delText>a folyamatos Humira</w:delText>
        </w:r>
        <w:r w:rsidR="00023220" w:rsidRPr="00183B5F">
          <w:noBreakHyphen/>
        </w:r>
        <w:r w:rsidR="00522B94" w:rsidRPr="00183B5F">
          <w:delText xml:space="preserve">kezelésben részesült betegeknél </w:delText>
        </w:r>
        <w:r w:rsidR="00522B94" w:rsidRPr="00183B5F">
          <w:rPr>
            <w:szCs w:val="22"/>
          </w:rPr>
          <w:delText xml:space="preserve">az aktív nr-axSpA </w:delText>
        </w:r>
        <w:r w:rsidR="00730A2E" w:rsidRPr="00183B5F">
          <w:rPr>
            <w:szCs w:val="22"/>
          </w:rPr>
          <w:delText>okozta panaszokban</w:delText>
        </w:r>
        <w:r w:rsidR="00522B94" w:rsidRPr="00183B5F">
          <w:rPr>
            <w:szCs w:val="22"/>
          </w:rPr>
          <w:delText xml:space="preserve"> és tünete</w:delText>
        </w:r>
        <w:r w:rsidR="00C667B3" w:rsidRPr="00183B5F">
          <w:rPr>
            <w:szCs w:val="22"/>
          </w:rPr>
          <w:delText>k</w:delText>
        </w:r>
        <w:r w:rsidR="00522B94" w:rsidRPr="00183B5F">
          <w:rPr>
            <w:szCs w:val="22"/>
          </w:rPr>
          <w:delText>ben</w:delText>
        </w:r>
        <w:r w:rsidR="00522B94" w:rsidRPr="00183B5F">
          <w:delText xml:space="preserve"> s</w:delText>
        </w:r>
        <w:r w:rsidR="00522B94" w:rsidRPr="00183B5F">
          <w:rPr>
            <w:szCs w:val="22"/>
          </w:rPr>
          <w:delText xml:space="preserve">tatisztikailag szignifikánsan </w:delText>
        </w:r>
        <w:r w:rsidR="00105FE2" w:rsidRPr="00183B5F">
          <w:rPr>
            <w:szCs w:val="22"/>
          </w:rPr>
          <w:delText>nagyobb</w:delText>
        </w:r>
        <w:r w:rsidR="00522B94" w:rsidRPr="00183B5F">
          <w:rPr>
            <w:szCs w:val="22"/>
          </w:rPr>
          <w:delText xml:space="preserve"> javulás</w:delText>
        </w:r>
        <w:r w:rsidR="00801B1F" w:rsidRPr="00183B5F">
          <w:rPr>
            <w:szCs w:val="22"/>
          </w:rPr>
          <w:delText xml:space="preserve"> jelentkezett</w:delText>
        </w:r>
        <w:r w:rsidR="004257F4" w:rsidRPr="00183B5F">
          <w:rPr>
            <w:szCs w:val="22"/>
          </w:rPr>
          <w:delText>, mint</w:delText>
        </w:r>
        <w:r w:rsidR="00801B1F" w:rsidRPr="00183B5F">
          <w:rPr>
            <w:szCs w:val="22"/>
          </w:rPr>
          <w:delText xml:space="preserve"> </w:delText>
        </w:r>
        <w:r w:rsidR="004257F4" w:rsidRPr="00183B5F">
          <w:rPr>
            <w:szCs w:val="22"/>
          </w:rPr>
          <w:delText xml:space="preserve">a vizsgálat kettős vak szakaszában a </w:delText>
        </w:r>
        <w:r w:rsidR="00801B1F" w:rsidRPr="00183B5F">
          <w:rPr>
            <w:szCs w:val="22"/>
          </w:rPr>
          <w:delText>kezelés</w:delText>
        </w:r>
        <w:r w:rsidR="00105FE2" w:rsidRPr="00183B5F">
          <w:rPr>
            <w:szCs w:val="22"/>
          </w:rPr>
          <w:delText>t megszakító</w:delText>
        </w:r>
        <w:r w:rsidR="00801B1F" w:rsidRPr="00183B5F">
          <w:rPr>
            <w:szCs w:val="22"/>
          </w:rPr>
          <w:delText xml:space="preserve"> csoportba sorolt betegeknél (</w:delText>
        </w:r>
        <w:r w:rsidR="007A6809" w:rsidRPr="00183B5F">
          <w:rPr>
            <w:szCs w:val="22"/>
          </w:rPr>
          <w:delText>14</w:delText>
        </w:r>
        <w:r w:rsidR="00801B1F" w:rsidRPr="00183B5F">
          <w:rPr>
            <w:szCs w:val="22"/>
          </w:rPr>
          <w:delText>. táblázat).</w:delText>
        </w:r>
      </w:del>
    </w:p>
    <w:p w14:paraId="60B701C0" w14:textId="1BC79FBE" w:rsidR="009C192B" w:rsidRPr="00183B5F" w:rsidRDefault="009C192B" w:rsidP="00163756">
      <w:pPr>
        <w:spacing w:line="240" w:lineRule="auto"/>
        <w:rPr>
          <w:del w:id="6263" w:author="AbbVie_HU_03" w:date="2025-05-14T15:27:00Z"/>
          <w:szCs w:val="22"/>
        </w:rPr>
      </w:pPr>
    </w:p>
    <w:p w14:paraId="67CAFF6F" w14:textId="6B537E46" w:rsidR="00FF255A" w:rsidRPr="00183B5F" w:rsidRDefault="00943743" w:rsidP="00FC288C">
      <w:pPr>
        <w:spacing w:line="240" w:lineRule="auto"/>
        <w:ind w:left="360"/>
        <w:jc w:val="center"/>
        <w:rPr>
          <w:del w:id="6264" w:author="AbbVie_HU_03" w:date="2025-05-14T15:27:00Z"/>
        </w:rPr>
      </w:pPr>
      <w:del w:id="6265" w:author="AbbVie_HU_03" w:date="2025-05-14T15:27:00Z">
        <w:r w:rsidRPr="00183B5F">
          <w:rPr>
            <w:b/>
          </w:rPr>
          <w:delText>14. táblázat</w:delText>
        </w:r>
      </w:del>
    </w:p>
    <w:p w14:paraId="71B6399C" w14:textId="08C746E5" w:rsidR="00FF255A" w:rsidRPr="00183B5F" w:rsidRDefault="00943743" w:rsidP="00163756">
      <w:pPr>
        <w:pStyle w:val="EMEANormal"/>
        <w:keepNext/>
        <w:jc w:val="center"/>
        <w:rPr>
          <w:del w:id="6266" w:author="AbbVie_HU_03" w:date="2025-05-14T15:27:00Z"/>
          <w:lang w:val="hu-HU"/>
        </w:rPr>
      </w:pPr>
      <w:del w:id="6267" w:author="AbbVie_HU_03" w:date="2025-05-14T15:27:00Z">
        <w:r w:rsidRPr="00183B5F">
          <w:rPr>
            <w:b/>
            <w:szCs w:val="22"/>
            <w:lang w:val="hu-HU"/>
          </w:rPr>
          <w:delText xml:space="preserve">Hatásossági válaszarányok a placebokontrollos </w:delText>
        </w:r>
        <w:r w:rsidR="00105FE2" w:rsidRPr="00183B5F">
          <w:rPr>
            <w:b/>
            <w:szCs w:val="22"/>
            <w:lang w:val="hu-HU"/>
          </w:rPr>
          <w:delText>N</w:delText>
        </w:r>
        <w:r w:rsidRPr="00183B5F">
          <w:rPr>
            <w:b/>
            <w:szCs w:val="22"/>
            <w:lang w:val="hu-HU"/>
          </w:rPr>
          <w:delText>r</w:delText>
        </w:r>
        <w:r w:rsidRPr="00183B5F">
          <w:rPr>
            <w:b/>
            <w:szCs w:val="22"/>
            <w:lang w:val="hu-HU"/>
          </w:rPr>
          <w:noBreakHyphen/>
          <w:delText>axSpA II vizsgálatban</w:delText>
        </w:r>
      </w:del>
    </w:p>
    <w:p w14:paraId="76CD1246" w14:textId="5FF77537" w:rsidR="00FF255A" w:rsidRPr="00183B5F" w:rsidRDefault="00FF255A" w:rsidP="00FF255A">
      <w:pPr>
        <w:pStyle w:val="EMEANormal"/>
        <w:ind w:left="720"/>
        <w:rPr>
          <w:del w:id="6268" w:author="AbbVie_HU_03" w:date="2025-05-14T15:27:00Z"/>
          <w:lang w:val="hu-H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58"/>
        <w:gridCol w:w="1682"/>
        <w:gridCol w:w="1821"/>
      </w:tblGrid>
      <w:tr w:rsidR="00011D2F" w14:paraId="630DBB08" w14:textId="1A7205A9" w:rsidTr="00FF255A">
        <w:trPr>
          <w:jc w:val="center"/>
          <w:del w:id="6269" w:author="AbbVie_HU_03" w:date="2025-05-14T15:27:00Z"/>
        </w:trPr>
        <w:tc>
          <w:tcPr>
            <w:tcW w:w="3067" w:type="pct"/>
            <w:tcBorders>
              <w:top w:val="single" w:sz="4" w:space="0" w:color="auto"/>
              <w:left w:val="single" w:sz="4" w:space="0" w:color="auto"/>
              <w:bottom w:val="single" w:sz="4" w:space="0" w:color="auto"/>
              <w:right w:val="single" w:sz="4" w:space="0" w:color="auto"/>
            </w:tcBorders>
            <w:hideMark/>
          </w:tcPr>
          <w:p w14:paraId="34430A55" w14:textId="68B4E46A" w:rsidR="00FF255A" w:rsidRPr="00183B5F" w:rsidRDefault="00943743">
            <w:pPr>
              <w:keepNext/>
              <w:spacing w:line="276" w:lineRule="auto"/>
              <w:rPr>
                <w:del w:id="6270" w:author="AbbVie_HU_03" w:date="2025-05-14T15:27:00Z"/>
                <w:b/>
                <w:bCs/>
                <w:szCs w:val="24"/>
              </w:rPr>
            </w:pPr>
            <w:del w:id="6271" w:author="AbbVie_HU_03" w:date="2025-05-14T15:27:00Z">
              <w:r w:rsidRPr="00183B5F">
                <w:rPr>
                  <w:b/>
                  <w:bCs/>
                </w:rPr>
                <w:delText>Kettős vak</w:delText>
              </w:r>
            </w:del>
          </w:p>
          <w:p w14:paraId="0AF01EF2" w14:textId="1CB853DA" w:rsidR="00FF255A" w:rsidRPr="00183B5F" w:rsidRDefault="00943743">
            <w:pPr>
              <w:keepNext/>
              <w:tabs>
                <w:tab w:val="left" w:pos="562"/>
              </w:tabs>
              <w:spacing w:line="276" w:lineRule="auto"/>
              <w:rPr>
                <w:del w:id="6272" w:author="AbbVie_HU_03" w:date="2025-05-14T15:27:00Z"/>
                <w:b/>
                <w:bCs/>
                <w:szCs w:val="24"/>
              </w:rPr>
            </w:pPr>
            <w:del w:id="6273" w:author="AbbVie_HU_03" w:date="2025-05-14T15:27:00Z">
              <w:r w:rsidRPr="00183B5F">
                <w:rPr>
                  <w:b/>
                  <w:bCs/>
                </w:rPr>
                <w:delText>Válasz a 68. héten</w:delText>
              </w:r>
            </w:del>
          </w:p>
        </w:tc>
        <w:tc>
          <w:tcPr>
            <w:tcW w:w="928" w:type="pct"/>
            <w:tcBorders>
              <w:top w:val="single" w:sz="4" w:space="0" w:color="auto"/>
              <w:left w:val="single" w:sz="4" w:space="0" w:color="auto"/>
              <w:bottom w:val="single" w:sz="4" w:space="0" w:color="auto"/>
              <w:right w:val="single" w:sz="4" w:space="0" w:color="auto"/>
            </w:tcBorders>
            <w:hideMark/>
          </w:tcPr>
          <w:p w14:paraId="38DFE901" w14:textId="47C39011" w:rsidR="00FF255A" w:rsidRPr="00183B5F" w:rsidRDefault="00943743">
            <w:pPr>
              <w:keepNext/>
              <w:spacing w:line="276" w:lineRule="auto"/>
              <w:jc w:val="center"/>
              <w:rPr>
                <w:del w:id="6274" w:author="AbbVie_HU_03" w:date="2025-05-14T15:27:00Z"/>
                <w:b/>
                <w:bCs/>
                <w:sz w:val="20"/>
              </w:rPr>
            </w:pPr>
            <w:del w:id="6275" w:author="AbbVie_HU_03" w:date="2025-05-14T15:27:00Z">
              <w:r w:rsidRPr="00183B5F">
                <w:rPr>
                  <w:b/>
                  <w:bCs/>
                  <w:sz w:val="20"/>
                </w:rPr>
                <w:delText>Placebo</w:delText>
              </w:r>
            </w:del>
          </w:p>
          <w:p w14:paraId="00FAA2F5" w14:textId="49B54399" w:rsidR="00FF255A" w:rsidRPr="00183B5F" w:rsidRDefault="00943743">
            <w:pPr>
              <w:keepNext/>
              <w:tabs>
                <w:tab w:val="left" w:pos="562"/>
              </w:tabs>
              <w:spacing w:line="276" w:lineRule="auto"/>
              <w:jc w:val="center"/>
              <w:rPr>
                <w:del w:id="6276" w:author="AbbVie_HU_03" w:date="2025-05-14T15:27:00Z"/>
                <w:b/>
                <w:bCs/>
                <w:sz w:val="20"/>
              </w:rPr>
            </w:pPr>
            <w:del w:id="6277" w:author="AbbVie_HU_03" w:date="2025-05-14T15:27:00Z">
              <w:r w:rsidRPr="00183B5F">
                <w:rPr>
                  <w:b/>
                  <w:bCs/>
                  <w:sz w:val="20"/>
                </w:rPr>
                <w:delText>N</w:delText>
              </w:r>
              <w:r w:rsidR="009C192B" w:rsidRPr="00183B5F">
                <w:rPr>
                  <w:b/>
                  <w:bCs/>
                  <w:sz w:val="20"/>
                </w:rPr>
                <w:delText> </w:delText>
              </w:r>
              <w:r w:rsidRPr="00183B5F">
                <w:rPr>
                  <w:b/>
                  <w:bCs/>
                  <w:sz w:val="20"/>
                </w:rPr>
                <w:delText>=</w:delText>
              </w:r>
              <w:r w:rsidR="009C192B" w:rsidRPr="00183B5F">
                <w:rPr>
                  <w:b/>
                  <w:bCs/>
                  <w:sz w:val="20"/>
                </w:rPr>
                <w:delText> </w:delText>
              </w:r>
              <w:r w:rsidRPr="00183B5F">
                <w:rPr>
                  <w:b/>
                  <w:bCs/>
                  <w:sz w:val="20"/>
                </w:rPr>
                <w:delText>153</w:delText>
              </w:r>
            </w:del>
          </w:p>
        </w:tc>
        <w:tc>
          <w:tcPr>
            <w:tcW w:w="1005" w:type="pct"/>
            <w:tcBorders>
              <w:top w:val="single" w:sz="4" w:space="0" w:color="auto"/>
              <w:left w:val="single" w:sz="4" w:space="0" w:color="auto"/>
              <w:bottom w:val="single" w:sz="4" w:space="0" w:color="auto"/>
              <w:right w:val="single" w:sz="4" w:space="0" w:color="auto"/>
            </w:tcBorders>
            <w:hideMark/>
          </w:tcPr>
          <w:p w14:paraId="2A4A5172" w14:textId="74D96DA1" w:rsidR="00FF255A" w:rsidRPr="00183B5F" w:rsidRDefault="00943743">
            <w:pPr>
              <w:keepNext/>
              <w:spacing w:line="276" w:lineRule="auto"/>
              <w:jc w:val="center"/>
              <w:rPr>
                <w:del w:id="6278" w:author="AbbVie_HU_03" w:date="2025-05-14T15:27:00Z"/>
                <w:b/>
                <w:bCs/>
                <w:sz w:val="20"/>
              </w:rPr>
            </w:pPr>
            <w:del w:id="6279" w:author="AbbVie_HU_03" w:date="2025-05-14T15:27:00Z">
              <w:r w:rsidRPr="00183B5F">
                <w:rPr>
                  <w:b/>
                  <w:bCs/>
                  <w:sz w:val="20"/>
                </w:rPr>
                <w:delText>Humira</w:delText>
              </w:r>
            </w:del>
          </w:p>
          <w:p w14:paraId="00233DFD" w14:textId="7E659780" w:rsidR="00FF255A" w:rsidRPr="00183B5F" w:rsidRDefault="00943743">
            <w:pPr>
              <w:keepNext/>
              <w:tabs>
                <w:tab w:val="left" w:pos="562"/>
              </w:tabs>
              <w:spacing w:line="276" w:lineRule="auto"/>
              <w:jc w:val="center"/>
              <w:rPr>
                <w:del w:id="6280" w:author="AbbVie_HU_03" w:date="2025-05-14T15:27:00Z"/>
                <w:b/>
                <w:bCs/>
                <w:sz w:val="20"/>
              </w:rPr>
            </w:pPr>
            <w:del w:id="6281" w:author="AbbVie_HU_03" w:date="2025-05-14T15:27:00Z">
              <w:r w:rsidRPr="00183B5F">
                <w:rPr>
                  <w:b/>
                  <w:bCs/>
                  <w:sz w:val="20"/>
                </w:rPr>
                <w:delText>N</w:delText>
              </w:r>
              <w:r w:rsidR="009C192B" w:rsidRPr="00183B5F">
                <w:rPr>
                  <w:b/>
                  <w:bCs/>
                  <w:sz w:val="20"/>
                </w:rPr>
                <w:delText> </w:delText>
              </w:r>
              <w:r w:rsidRPr="00183B5F">
                <w:rPr>
                  <w:b/>
                  <w:bCs/>
                  <w:sz w:val="20"/>
                </w:rPr>
                <w:delText>=</w:delText>
              </w:r>
              <w:r w:rsidR="009C192B" w:rsidRPr="00183B5F">
                <w:rPr>
                  <w:b/>
                  <w:bCs/>
                  <w:sz w:val="20"/>
                </w:rPr>
                <w:delText> </w:delText>
              </w:r>
              <w:r w:rsidRPr="00183B5F">
                <w:rPr>
                  <w:b/>
                  <w:bCs/>
                  <w:sz w:val="20"/>
                </w:rPr>
                <w:delText>152</w:delText>
              </w:r>
            </w:del>
          </w:p>
        </w:tc>
      </w:tr>
      <w:tr w:rsidR="00011D2F" w14:paraId="60C1DC2E" w14:textId="1B4BB5B2" w:rsidTr="00FF255A">
        <w:trPr>
          <w:jc w:val="center"/>
          <w:del w:id="6282" w:author="AbbVie_HU_03" w:date="2025-05-14T15:27:00Z"/>
        </w:trPr>
        <w:tc>
          <w:tcPr>
            <w:tcW w:w="3067" w:type="pct"/>
            <w:tcBorders>
              <w:top w:val="single" w:sz="4" w:space="0" w:color="auto"/>
              <w:left w:val="single" w:sz="4" w:space="0" w:color="auto"/>
              <w:bottom w:val="single" w:sz="4" w:space="0" w:color="auto"/>
              <w:right w:val="single" w:sz="4" w:space="0" w:color="auto"/>
            </w:tcBorders>
            <w:hideMark/>
          </w:tcPr>
          <w:p w14:paraId="20CD193C" w14:textId="273488EE" w:rsidR="00FF255A" w:rsidRPr="00183B5F" w:rsidRDefault="00943743">
            <w:pPr>
              <w:keepNext/>
              <w:tabs>
                <w:tab w:val="left" w:pos="562"/>
              </w:tabs>
              <w:spacing w:line="276" w:lineRule="auto"/>
              <w:rPr>
                <w:del w:id="6283" w:author="AbbVie_HU_03" w:date="2025-05-14T15:27:00Z"/>
                <w:szCs w:val="24"/>
              </w:rPr>
            </w:pPr>
            <w:del w:id="6284" w:author="AbbVie_HU_03" w:date="2025-05-14T15:27:00Z">
              <w:r w:rsidRPr="00183B5F">
                <w:delText>ASAS</w:delText>
              </w:r>
              <w:r w:rsidRPr="00183B5F">
                <w:rPr>
                  <w:vertAlign w:val="superscript"/>
                </w:rPr>
                <w:delText>a,b</w:delText>
              </w:r>
              <w:r w:rsidRPr="00183B5F">
                <w:delText xml:space="preserve"> 20</w:delText>
              </w:r>
            </w:del>
          </w:p>
        </w:tc>
        <w:tc>
          <w:tcPr>
            <w:tcW w:w="928" w:type="pct"/>
            <w:tcBorders>
              <w:top w:val="single" w:sz="4" w:space="0" w:color="auto"/>
              <w:left w:val="single" w:sz="4" w:space="0" w:color="auto"/>
              <w:bottom w:val="single" w:sz="4" w:space="0" w:color="auto"/>
              <w:right w:val="single" w:sz="4" w:space="0" w:color="auto"/>
            </w:tcBorders>
            <w:hideMark/>
          </w:tcPr>
          <w:p w14:paraId="774DCB84" w14:textId="3561F564" w:rsidR="00FF255A" w:rsidRPr="00183B5F" w:rsidRDefault="00943743">
            <w:pPr>
              <w:keepNext/>
              <w:tabs>
                <w:tab w:val="left" w:pos="562"/>
              </w:tabs>
              <w:spacing w:line="276" w:lineRule="auto"/>
              <w:jc w:val="center"/>
              <w:rPr>
                <w:del w:id="6285" w:author="AbbVie_HU_03" w:date="2025-05-14T15:27:00Z"/>
                <w:szCs w:val="24"/>
              </w:rPr>
            </w:pPr>
            <w:del w:id="6286" w:author="AbbVie_HU_03" w:date="2025-05-14T15:27:00Z">
              <w:r w:rsidRPr="00183B5F">
                <w:delText>47,1%</w:delText>
              </w:r>
            </w:del>
          </w:p>
        </w:tc>
        <w:tc>
          <w:tcPr>
            <w:tcW w:w="1005" w:type="pct"/>
            <w:tcBorders>
              <w:top w:val="single" w:sz="4" w:space="0" w:color="auto"/>
              <w:left w:val="single" w:sz="4" w:space="0" w:color="auto"/>
              <w:bottom w:val="single" w:sz="4" w:space="0" w:color="auto"/>
              <w:right w:val="single" w:sz="4" w:space="0" w:color="auto"/>
            </w:tcBorders>
            <w:hideMark/>
          </w:tcPr>
          <w:p w14:paraId="7E85740C" w14:textId="1AFDF278" w:rsidR="00FF255A" w:rsidRPr="00183B5F" w:rsidRDefault="00943743">
            <w:pPr>
              <w:keepNext/>
              <w:tabs>
                <w:tab w:val="left" w:pos="562"/>
              </w:tabs>
              <w:spacing w:line="276" w:lineRule="auto"/>
              <w:jc w:val="center"/>
              <w:rPr>
                <w:del w:id="6287" w:author="AbbVie_HU_03" w:date="2025-05-14T15:27:00Z"/>
                <w:szCs w:val="24"/>
              </w:rPr>
            </w:pPr>
            <w:del w:id="6288" w:author="AbbVie_HU_03" w:date="2025-05-14T15:27:00Z">
              <w:r w:rsidRPr="00183B5F">
                <w:delText>70,4%***</w:delText>
              </w:r>
            </w:del>
          </w:p>
        </w:tc>
      </w:tr>
      <w:tr w:rsidR="00011D2F" w14:paraId="78DB2018" w14:textId="4A2BE012" w:rsidTr="00FF255A">
        <w:trPr>
          <w:jc w:val="center"/>
          <w:del w:id="6289" w:author="AbbVie_HU_03" w:date="2025-05-14T15:27:00Z"/>
        </w:trPr>
        <w:tc>
          <w:tcPr>
            <w:tcW w:w="3067" w:type="pct"/>
            <w:tcBorders>
              <w:top w:val="single" w:sz="4" w:space="0" w:color="auto"/>
              <w:left w:val="single" w:sz="4" w:space="0" w:color="auto"/>
              <w:bottom w:val="single" w:sz="4" w:space="0" w:color="auto"/>
              <w:right w:val="single" w:sz="4" w:space="0" w:color="auto"/>
            </w:tcBorders>
            <w:hideMark/>
          </w:tcPr>
          <w:p w14:paraId="0828B93D" w14:textId="12E3E35A" w:rsidR="00FF255A" w:rsidRPr="00183B5F" w:rsidRDefault="00943743">
            <w:pPr>
              <w:keepNext/>
              <w:tabs>
                <w:tab w:val="left" w:pos="562"/>
              </w:tabs>
              <w:spacing w:line="276" w:lineRule="auto"/>
              <w:rPr>
                <w:del w:id="6290" w:author="AbbVie_HU_03" w:date="2025-05-14T15:27:00Z"/>
                <w:szCs w:val="24"/>
              </w:rPr>
            </w:pPr>
            <w:del w:id="6291" w:author="AbbVie_HU_03" w:date="2025-05-14T15:27:00Z">
              <w:r w:rsidRPr="00183B5F">
                <w:delText>ASAS</w:delText>
              </w:r>
              <w:r w:rsidRPr="00183B5F">
                <w:rPr>
                  <w:vertAlign w:val="superscript"/>
                </w:rPr>
                <w:delText>a,b</w:delText>
              </w:r>
              <w:r w:rsidRPr="00183B5F">
                <w:delText xml:space="preserve"> 40</w:delText>
              </w:r>
            </w:del>
          </w:p>
        </w:tc>
        <w:tc>
          <w:tcPr>
            <w:tcW w:w="928" w:type="pct"/>
            <w:tcBorders>
              <w:top w:val="single" w:sz="4" w:space="0" w:color="auto"/>
              <w:left w:val="single" w:sz="4" w:space="0" w:color="auto"/>
              <w:bottom w:val="single" w:sz="4" w:space="0" w:color="auto"/>
              <w:right w:val="single" w:sz="4" w:space="0" w:color="auto"/>
            </w:tcBorders>
            <w:hideMark/>
          </w:tcPr>
          <w:p w14:paraId="1D571B8D" w14:textId="49E45601" w:rsidR="00FF255A" w:rsidRPr="00183B5F" w:rsidRDefault="00943743">
            <w:pPr>
              <w:keepNext/>
              <w:tabs>
                <w:tab w:val="left" w:pos="562"/>
              </w:tabs>
              <w:spacing w:line="276" w:lineRule="auto"/>
              <w:jc w:val="center"/>
              <w:rPr>
                <w:del w:id="6292" w:author="AbbVie_HU_03" w:date="2025-05-14T15:27:00Z"/>
                <w:szCs w:val="24"/>
              </w:rPr>
            </w:pPr>
            <w:del w:id="6293" w:author="AbbVie_HU_03" w:date="2025-05-14T15:27:00Z">
              <w:r w:rsidRPr="00183B5F">
                <w:delText>45,8%</w:delText>
              </w:r>
            </w:del>
          </w:p>
        </w:tc>
        <w:tc>
          <w:tcPr>
            <w:tcW w:w="1005" w:type="pct"/>
            <w:tcBorders>
              <w:top w:val="single" w:sz="4" w:space="0" w:color="auto"/>
              <w:left w:val="single" w:sz="4" w:space="0" w:color="auto"/>
              <w:bottom w:val="single" w:sz="4" w:space="0" w:color="auto"/>
              <w:right w:val="single" w:sz="4" w:space="0" w:color="auto"/>
            </w:tcBorders>
            <w:hideMark/>
          </w:tcPr>
          <w:p w14:paraId="31C8A127" w14:textId="219E1F84" w:rsidR="00FF255A" w:rsidRPr="00183B5F" w:rsidRDefault="00943743">
            <w:pPr>
              <w:keepNext/>
              <w:tabs>
                <w:tab w:val="left" w:pos="562"/>
              </w:tabs>
              <w:spacing w:line="276" w:lineRule="auto"/>
              <w:jc w:val="center"/>
              <w:rPr>
                <w:del w:id="6294" w:author="AbbVie_HU_03" w:date="2025-05-14T15:27:00Z"/>
                <w:szCs w:val="24"/>
              </w:rPr>
            </w:pPr>
            <w:del w:id="6295" w:author="AbbVie_HU_03" w:date="2025-05-14T15:27:00Z">
              <w:r w:rsidRPr="00183B5F">
                <w:delText>65,8%***</w:delText>
              </w:r>
            </w:del>
          </w:p>
        </w:tc>
      </w:tr>
      <w:tr w:rsidR="00011D2F" w14:paraId="53AE7CF1" w14:textId="26B14311" w:rsidTr="00FF255A">
        <w:trPr>
          <w:jc w:val="center"/>
          <w:del w:id="6296" w:author="AbbVie_HU_03" w:date="2025-05-14T15:27:00Z"/>
        </w:trPr>
        <w:tc>
          <w:tcPr>
            <w:tcW w:w="3067" w:type="pct"/>
            <w:tcBorders>
              <w:top w:val="single" w:sz="4" w:space="0" w:color="auto"/>
              <w:left w:val="single" w:sz="4" w:space="0" w:color="auto"/>
              <w:bottom w:val="single" w:sz="4" w:space="0" w:color="auto"/>
              <w:right w:val="single" w:sz="4" w:space="0" w:color="auto"/>
            </w:tcBorders>
            <w:hideMark/>
          </w:tcPr>
          <w:p w14:paraId="096B2B23" w14:textId="3C82C52F" w:rsidR="00FF255A" w:rsidRPr="00183B5F" w:rsidRDefault="00943743">
            <w:pPr>
              <w:keepNext/>
              <w:tabs>
                <w:tab w:val="left" w:pos="562"/>
              </w:tabs>
              <w:spacing w:line="276" w:lineRule="auto"/>
              <w:rPr>
                <w:del w:id="6297" w:author="AbbVie_HU_03" w:date="2025-05-14T15:27:00Z"/>
                <w:szCs w:val="24"/>
              </w:rPr>
            </w:pPr>
            <w:del w:id="6298" w:author="AbbVie_HU_03" w:date="2025-05-14T15:27:00Z">
              <w:r w:rsidRPr="00183B5F">
                <w:delText>ASAS</w:delText>
              </w:r>
              <w:r w:rsidRPr="00183B5F">
                <w:rPr>
                  <w:vertAlign w:val="superscript"/>
                </w:rPr>
                <w:delText>a</w:delText>
              </w:r>
              <w:r w:rsidRPr="00183B5F">
                <w:delText xml:space="preserve"> Részleges Remisszió</w:delText>
              </w:r>
            </w:del>
          </w:p>
        </w:tc>
        <w:tc>
          <w:tcPr>
            <w:tcW w:w="928" w:type="pct"/>
            <w:tcBorders>
              <w:top w:val="single" w:sz="4" w:space="0" w:color="auto"/>
              <w:left w:val="single" w:sz="4" w:space="0" w:color="auto"/>
              <w:bottom w:val="single" w:sz="4" w:space="0" w:color="auto"/>
              <w:right w:val="single" w:sz="4" w:space="0" w:color="auto"/>
            </w:tcBorders>
            <w:hideMark/>
          </w:tcPr>
          <w:p w14:paraId="6F629F46" w14:textId="6D14D28D" w:rsidR="00FF255A" w:rsidRPr="00183B5F" w:rsidRDefault="00943743">
            <w:pPr>
              <w:keepNext/>
              <w:tabs>
                <w:tab w:val="left" w:pos="562"/>
              </w:tabs>
              <w:spacing w:line="276" w:lineRule="auto"/>
              <w:jc w:val="center"/>
              <w:rPr>
                <w:del w:id="6299" w:author="AbbVie_HU_03" w:date="2025-05-14T15:27:00Z"/>
                <w:szCs w:val="24"/>
              </w:rPr>
            </w:pPr>
            <w:del w:id="6300" w:author="AbbVie_HU_03" w:date="2025-05-14T15:27:00Z">
              <w:r w:rsidRPr="00183B5F">
                <w:delText>26,8%</w:delText>
              </w:r>
            </w:del>
          </w:p>
        </w:tc>
        <w:tc>
          <w:tcPr>
            <w:tcW w:w="1005" w:type="pct"/>
            <w:tcBorders>
              <w:top w:val="single" w:sz="4" w:space="0" w:color="auto"/>
              <w:left w:val="single" w:sz="4" w:space="0" w:color="auto"/>
              <w:bottom w:val="single" w:sz="4" w:space="0" w:color="auto"/>
              <w:right w:val="single" w:sz="4" w:space="0" w:color="auto"/>
            </w:tcBorders>
            <w:hideMark/>
          </w:tcPr>
          <w:p w14:paraId="35853E29" w14:textId="360631CD" w:rsidR="00FF255A" w:rsidRPr="00183B5F" w:rsidRDefault="00943743">
            <w:pPr>
              <w:keepNext/>
              <w:tabs>
                <w:tab w:val="left" w:pos="562"/>
              </w:tabs>
              <w:spacing w:line="276" w:lineRule="auto"/>
              <w:jc w:val="center"/>
              <w:rPr>
                <w:del w:id="6301" w:author="AbbVie_HU_03" w:date="2025-05-14T15:27:00Z"/>
                <w:szCs w:val="24"/>
              </w:rPr>
            </w:pPr>
            <w:del w:id="6302" w:author="AbbVie_HU_03" w:date="2025-05-14T15:27:00Z">
              <w:r w:rsidRPr="00183B5F">
                <w:delText>42,1%**</w:delText>
              </w:r>
            </w:del>
          </w:p>
        </w:tc>
      </w:tr>
      <w:tr w:rsidR="00011D2F" w14:paraId="0D5ED1CF" w14:textId="2FBE034F" w:rsidTr="00FF255A">
        <w:trPr>
          <w:jc w:val="center"/>
          <w:del w:id="6303" w:author="AbbVie_HU_03" w:date="2025-05-14T15:27:00Z"/>
        </w:trPr>
        <w:tc>
          <w:tcPr>
            <w:tcW w:w="3067" w:type="pct"/>
            <w:tcBorders>
              <w:top w:val="single" w:sz="4" w:space="0" w:color="auto"/>
              <w:left w:val="single" w:sz="4" w:space="0" w:color="auto"/>
              <w:bottom w:val="single" w:sz="4" w:space="0" w:color="auto"/>
              <w:right w:val="single" w:sz="4" w:space="0" w:color="auto"/>
            </w:tcBorders>
            <w:hideMark/>
          </w:tcPr>
          <w:p w14:paraId="67FBFF6B" w14:textId="639F24F9" w:rsidR="00FF255A" w:rsidRPr="00183B5F" w:rsidRDefault="00943743">
            <w:pPr>
              <w:keepNext/>
              <w:tabs>
                <w:tab w:val="left" w:pos="562"/>
              </w:tabs>
              <w:spacing w:line="276" w:lineRule="auto"/>
              <w:rPr>
                <w:del w:id="6304" w:author="AbbVie_HU_03" w:date="2025-05-14T15:27:00Z"/>
                <w:szCs w:val="24"/>
              </w:rPr>
            </w:pPr>
            <w:del w:id="6305" w:author="AbbVie_HU_03" w:date="2025-05-14T15:27:00Z">
              <w:r w:rsidRPr="00183B5F">
                <w:delText>ASDAS</w:delText>
              </w:r>
              <w:r w:rsidRPr="00183B5F">
                <w:rPr>
                  <w:vertAlign w:val="superscript"/>
                </w:rPr>
                <w:delText>c</w:delText>
              </w:r>
              <w:r w:rsidRPr="00183B5F">
                <w:delText xml:space="preserve"> Inaktív Betegség</w:delText>
              </w:r>
            </w:del>
          </w:p>
        </w:tc>
        <w:tc>
          <w:tcPr>
            <w:tcW w:w="928" w:type="pct"/>
            <w:tcBorders>
              <w:top w:val="single" w:sz="4" w:space="0" w:color="auto"/>
              <w:left w:val="single" w:sz="4" w:space="0" w:color="auto"/>
              <w:bottom w:val="single" w:sz="4" w:space="0" w:color="auto"/>
              <w:right w:val="single" w:sz="4" w:space="0" w:color="auto"/>
            </w:tcBorders>
            <w:hideMark/>
          </w:tcPr>
          <w:p w14:paraId="49828BDB" w14:textId="01DDC6B9" w:rsidR="00FF255A" w:rsidRPr="00183B5F" w:rsidRDefault="00943743">
            <w:pPr>
              <w:keepNext/>
              <w:tabs>
                <w:tab w:val="left" w:pos="562"/>
              </w:tabs>
              <w:spacing w:line="276" w:lineRule="auto"/>
              <w:jc w:val="center"/>
              <w:rPr>
                <w:del w:id="6306" w:author="AbbVie_HU_03" w:date="2025-05-14T15:27:00Z"/>
                <w:szCs w:val="24"/>
              </w:rPr>
            </w:pPr>
            <w:del w:id="6307" w:author="AbbVie_HU_03" w:date="2025-05-14T15:27:00Z">
              <w:r w:rsidRPr="00183B5F">
                <w:delText>33,3%</w:delText>
              </w:r>
            </w:del>
          </w:p>
        </w:tc>
        <w:tc>
          <w:tcPr>
            <w:tcW w:w="1005" w:type="pct"/>
            <w:tcBorders>
              <w:top w:val="single" w:sz="4" w:space="0" w:color="auto"/>
              <w:left w:val="single" w:sz="4" w:space="0" w:color="auto"/>
              <w:bottom w:val="single" w:sz="4" w:space="0" w:color="auto"/>
              <w:right w:val="single" w:sz="4" w:space="0" w:color="auto"/>
            </w:tcBorders>
            <w:hideMark/>
          </w:tcPr>
          <w:p w14:paraId="303C1E30" w14:textId="64A88332" w:rsidR="00FF255A" w:rsidRPr="00183B5F" w:rsidRDefault="00943743">
            <w:pPr>
              <w:keepNext/>
              <w:tabs>
                <w:tab w:val="left" w:pos="562"/>
              </w:tabs>
              <w:spacing w:line="276" w:lineRule="auto"/>
              <w:jc w:val="center"/>
              <w:rPr>
                <w:del w:id="6308" w:author="AbbVie_HU_03" w:date="2025-05-14T15:27:00Z"/>
                <w:szCs w:val="24"/>
              </w:rPr>
            </w:pPr>
            <w:del w:id="6309" w:author="AbbVie_HU_03" w:date="2025-05-14T15:27:00Z">
              <w:r w:rsidRPr="00183B5F">
                <w:delText>57,2%***</w:delText>
              </w:r>
            </w:del>
          </w:p>
        </w:tc>
      </w:tr>
      <w:tr w:rsidR="00011D2F" w14:paraId="526983AF" w14:textId="3A49A790" w:rsidTr="00FF255A">
        <w:trPr>
          <w:jc w:val="center"/>
          <w:del w:id="6310" w:author="AbbVie_HU_03" w:date="2025-05-14T15:27:00Z"/>
        </w:trPr>
        <w:tc>
          <w:tcPr>
            <w:tcW w:w="3067" w:type="pct"/>
            <w:tcBorders>
              <w:top w:val="single" w:sz="4" w:space="0" w:color="auto"/>
              <w:left w:val="single" w:sz="4" w:space="0" w:color="auto"/>
              <w:bottom w:val="single" w:sz="4" w:space="0" w:color="auto"/>
              <w:right w:val="single" w:sz="4" w:space="0" w:color="auto"/>
            </w:tcBorders>
            <w:hideMark/>
          </w:tcPr>
          <w:p w14:paraId="09A3B8C9" w14:textId="2F379592" w:rsidR="00FF255A" w:rsidRPr="00183B5F" w:rsidRDefault="00943743">
            <w:pPr>
              <w:keepNext/>
              <w:tabs>
                <w:tab w:val="left" w:pos="562"/>
              </w:tabs>
              <w:spacing w:line="276" w:lineRule="auto"/>
              <w:rPr>
                <w:del w:id="6311" w:author="AbbVie_HU_03" w:date="2025-05-14T15:27:00Z"/>
                <w:szCs w:val="24"/>
              </w:rPr>
            </w:pPr>
            <w:del w:id="6312" w:author="AbbVie_HU_03" w:date="2025-05-14T15:27:00Z">
              <w:r w:rsidRPr="00183B5F">
                <w:delText>A betegség részleges fellángolása</w:delText>
              </w:r>
              <w:r w:rsidR="002546AB" w:rsidRPr="00183B5F">
                <w:rPr>
                  <w:vertAlign w:val="superscript"/>
                </w:rPr>
                <w:delText>d</w:delText>
              </w:r>
            </w:del>
          </w:p>
        </w:tc>
        <w:tc>
          <w:tcPr>
            <w:tcW w:w="928" w:type="pct"/>
            <w:tcBorders>
              <w:top w:val="single" w:sz="4" w:space="0" w:color="auto"/>
              <w:left w:val="single" w:sz="4" w:space="0" w:color="auto"/>
              <w:bottom w:val="single" w:sz="4" w:space="0" w:color="auto"/>
              <w:right w:val="single" w:sz="4" w:space="0" w:color="auto"/>
            </w:tcBorders>
            <w:hideMark/>
          </w:tcPr>
          <w:p w14:paraId="68F4AE8A" w14:textId="63A5C893" w:rsidR="00FF255A" w:rsidRPr="00183B5F" w:rsidRDefault="00943743">
            <w:pPr>
              <w:keepNext/>
              <w:tabs>
                <w:tab w:val="left" w:pos="562"/>
              </w:tabs>
              <w:spacing w:line="276" w:lineRule="auto"/>
              <w:jc w:val="center"/>
              <w:rPr>
                <w:del w:id="6313" w:author="AbbVie_HU_03" w:date="2025-05-14T15:27:00Z"/>
                <w:szCs w:val="24"/>
              </w:rPr>
            </w:pPr>
            <w:del w:id="6314" w:author="AbbVie_HU_03" w:date="2025-05-14T15:27:00Z">
              <w:r w:rsidRPr="00183B5F">
                <w:delText>64,1%</w:delText>
              </w:r>
            </w:del>
          </w:p>
        </w:tc>
        <w:tc>
          <w:tcPr>
            <w:tcW w:w="1005" w:type="pct"/>
            <w:tcBorders>
              <w:top w:val="single" w:sz="4" w:space="0" w:color="auto"/>
              <w:left w:val="single" w:sz="4" w:space="0" w:color="auto"/>
              <w:bottom w:val="single" w:sz="4" w:space="0" w:color="auto"/>
              <w:right w:val="single" w:sz="4" w:space="0" w:color="auto"/>
            </w:tcBorders>
            <w:hideMark/>
          </w:tcPr>
          <w:p w14:paraId="0DD8D4D4" w14:textId="005E3CA8" w:rsidR="00FF255A" w:rsidRPr="00183B5F" w:rsidRDefault="00943743">
            <w:pPr>
              <w:keepNext/>
              <w:tabs>
                <w:tab w:val="left" w:pos="562"/>
              </w:tabs>
              <w:spacing w:line="276" w:lineRule="auto"/>
              <w:jc w:val="center"/>
              <w:rPr>
                <w:del w:id="6315" w:author="AbbVie_HU_03" w:date="2025-05-14T15:27:00Z"/>
                <w:szCs w:val="24"/>
              </w:rPr>
            </w:pPr>
            <w:del w:id="6316" w:author="AbbVie_HU_03" w:date="2025-05-14T15:27:00Z">
              <w:r w:rsidRPr="00183B5F">
                <w:delText>40,8%***</w:delText>
              </w:r>
            </w:del>
          </w:p>
        </w:tc>
      </w:tr>
      <w:tr w:rsidR="00011D2F" w14:paraId="2A849F88" w14:textId="46FE4F46" w:rsidTr="00FF255A">
        <w:trPr>
          <w:jc w:val="center"/>
          <w:del w:id="6317" w:author="AbbVie_HU_03" w:date="2025-05-14T15:27:00Z"/>
        </w:trPr>
        <w:tc>
          <w:tcPr>
            <w:tcW w:w="5000" w:type="pct"/>
            <w:gridSpan w:val="3"/>
            <w:tcBorders>
              <w:top w:val="single" w:sz="4" w:space="0" w:color="auto"/>
              <w:left w:val="nil"/>
              <w:bottom w:val="nil"/>
              <w:right w:val="nil"/>
            </w:tcBorders>
            <w:hideMark/>
          </w:tcPr>
          <w:p w14:paraId="34EDB308" w14:textId="7F7B0889" w:rsidR="00C91B9B" w:rsidRPr="00183B5F" w:rsidRDefault="00943743" w:rsidP="00C91B9B">
            <w:pPr>
              <w:suppressAutoHyphens w:val="0"/>
              <w:autoSpaceDE w:val="0"/>
              <w:autoSpaceDN w:val="0"/>
              <w:adjustRightInd w:val="0"/>
              <w:spacing w:line="240" w:lineRule="auto"/>
              <w:rPr>
                <w:del w:id="6318" w:author="AbbVie_HU_03" w:date="2025-05-14T15:27:00Z"/>
              </w:rPr>
            </w:pPr>
            <w:del w:id="6319" w:author="AbbVie_HU_03" w:date="2025-05-14T15:27:00Z">
              <w:r w:rsidRPr="00183B5F">
                <w:rPr>
                  <w:szCs w:val="22"/>
                  <w:vertAlign w:val="superscript"/>
                </w:rPr>
                <w:delText>a</w:delText>
              </w:r>
              <w:r w:rsidRPr="00183B5F">
                <w:rPr>
                  <w:szCs w:val="22"/>
                </w:rPr>
                <w:delText xml:space="preserve"> </w:delText>
              </w:r>
              <w:r w:rsidRPr="00183B5F">
                <w:delText>Assessments of Spondyloarthritis International Society (</w:delText>
              </w:r>
              <w:r w:rsidRPr="00183B5F">
                <w:rPr>
                  <w:szCs w:val="22"/>
                </w:rPr>
                <w:delText>Spondylitis Ankylopoetica Értékelése)</w:delText>
              </w:r>
            </w:del>
          </w:p>
          <w:p w14:paraId="1DFA074F" w14:textId="02092163" w:rsidR="00C91B9B" w:rsidRPr="00183B5F" w:rsidRDefault="00943743" w:rsidP="00C91B9B">
            <w:pPr>
              <w:pStyle w:val="EMEANormal"/>
              <w:spacing w:line="276" w:lineRule="auto"/>
              <w:ind w:left="20"/>
              <w:rPr>
                <w:del w:id="6320" w:author="AbbVie_HU_03" w:date="2025-05-14T15:27:00Z"/>
                <w:szCs w:val="22"/>
                <w:vertAlign w:val="superscript"/>
                <w:lang w:val="hu-HU"/>
              </w:rPr>
            </w:pPr>
            <w:del w:id="6321" w:author="AbbVie_HU_03" w:date="2025-05-14T15:27:00Z">
              <w:r w:rsidRPr="00183B5F">
                <w:rPr>
                  <w:szCs w:val="22"/>
                  <w:vertAlign w:val="superscript"/>
                  <w:lang w:val="hu-HU"/>
                </w:rPr>
                <w:delText>b</w:delText>
              </w:r>
              <w:r w:rsidRPr="00183B5F">
                <w:rPr>
                  <w:szCs w:val="22"/>
                  <w:lang w:val="hu-HU"/>
                </w:rPr>
                <w:delText xml:space="preserve"> A kiindulás definíció szerint a nyílt elrendezésű szakasz kezdete, amikor a betegeknek aktív betegsége van.</w:delText>
              </w:r>
            </w:del>
          </w:p>
          <w:p w14:paraId="1BF72D87" w14:textId="4FED59B5" w:rsidR="00C91B9B" w:rsidRPr="00183B5F" w:rsidRDefault="00943743" w:rsidP="00C91B9B">
            <w:pPr>
              <w:pStyle w:val="EMEANormal"/>
              <w:spacing w:line="276" w:lineRule="auto"/>
              <w:ind w:left="20"/>
              <w:rPr>
                <w:del w:id="6322" w:author="AbbVie_HU_03" w:date="2025-05-14T15:27:00Z"/>
                <w:szCs w:val="22"/>
                <w:vertAlign w:val="superscript"/>
                <w:lang w:val="hu-HU"/>
              </w:rPr>
            </w:pPr>
            <w:del w:id="6323" w:author="AbbVie_HU_03" w:date="2025-05-14T15:27:00Z">
              <w:r w:rsidRPr="00183B5F">
                <w:rPr>
                  <w:szCs w:val="22"/>
                  <w:vertAlign w:val="superscript"/>
                  <w:lang w:val="hu-HU"/>
                </w:rPr>
                <w:delText>c</w:delText>
              </w:r>
              <w:r w:rsidRPr="00183B5F">
                <w:rPr>
                  <w:szCs w:val="22"/>
                  <w:lang w:val="hu-HU"/>
                </w:rPr>
                <w:delText xml:space="preserve"> </w:delText>
              </w:r>
              <w:r w:rsidRPr="00183B5F">
                <w:rPr>
                  <w:lang w:val="hu-HU"/>
                </w:rPr>
                <w:delText>Ankylosing Spondylitis Disease Activity Score (Spondylitis Ankylopoetica Betegség Aktivitási pontszám)</w:delText>
              </w:r>
            </w:del>
          </w:p>
          <w:p w14:paraId="749A66FC" w14:textId="3A44C7ED" w:rsidR="00C91B9B" w:rsidRPr="00183B5F" w:rsidRDefault="00943743" w:rsidP="00C91B9B">
            <w:pPr>
              <w:tabs>
                <w:tab w:val="left" w:pos="720"/>
              </w:tabs>
              <w:suppressAutoHyphens w:val="0"/>
              <w:autoSpaceDE w:val="0"/>
              <w:autoSpaceDN w:val="0"/>
              <w:adjustRightInd w:val="0"/>
              <w:spacing w:line="276" w:lineRule="auto"/>
              <w:rPr>
                <w:del w:id="6324" w:author="AbbVie_HU_03" w:date="2025-05-14T15:27:00Z"/>
                <w:szCs w:val="22"/>
              </w:rPr>
            </w:pPr>
            <w:del w:id="6325" w:author="AbbVie_HU_03" w:date="2025-05-14T15:27:00Z">
              <w:r w:rsidRPr="00183B5F">
                <w:rPr>
                  <w:szCs w:val="22"/>
                  <w:vertAlign w:val="superscript"/>
                </w:rPr>
                <w:delText>d</w:delText>
              </w:r>
              <w:r w:rsidRPr="00183B5F">
                <w:rPr>
                  <w:szCs w:val="22"/>
                </w:rPr>
                <w:delText xml:space="preserve"> A </w:delText>
              </w:r>
              <w:r w:rsidR="009C192B" w:rsidRPr="00183B5F">
                <w:rPr>
                  <w:szCs w:val="22"/>
                </w:rPr>
                <w:delText xml:space="preserve">betegség részleges fellángolása </w:delText>
              </w:r>
              <w:r w:rsidRPr="00183B5F">
                <w:rPr>
                  <w:szCs w:val="22"/>
                </w:rPr>
                <w:delText>definíció szerint az AS</w:delText>
              </w:r>
              <w:r w:rsidRPr="00183B5F">
                <w:rPr>
                  <w:rFonts w:eastAsiaTheme="minorHAnsi"/>
                  <w:szCs w:val="22"/>
                </w:rPr>
                <w:delText>DAS értéke legalább 1,3</w:delText>
              </w:r>
              <w:r w:rsidR="00023220" w:rsidRPr="00183B5F">
                <w:rPr>
                  <w:rFonts w:eastAsiaTheme="minorHAnsi"/>
                  <w:szCs w:val="22"/>
                </w:rPr>
                <w:delText>;</w:delText>
              </w:r>
              <w:r w:rsidRPr="00183B5F">
                <w:rPr>
                  <w:rFonts w:eastAsiaTheme="minorHAnsi"/>
                  <w:szCs w:val="22"/>
                </w:rPr>
                <w:delText xml:space="preserve"> de kisebb, mint 2,1; két egymást követő vizit során.</w:delText>
              </w:r>
            </w:del>
          </w:p>
          <w:p w14:paraId="626DD4AB" w14:textId="7305F7BF" w:rsidR="00FF255A" w:rsidRPr="00183B5F" w:rsidRDefault="00943743" w:rsidP="00C91B9B">
            <w:pPr>
              <w:pStyle w:val="EMEANormal"/>
              <w:keepNext/>
              <w:spacing w:line="276" w:lineRule="auto"/>
              <w:ind w:left="20"/>
              <w:rPr>
                <w:del w:id="6326" w:author="AbbVie_HU_03" w:date="2025-05-14T15:27:00Z"/>
                <w:lang w:val="hu-HU"/>
              </w:rPr>
            </w:pPr>
            <w:del w:id="6327" w:author="AbbVie_HU_03" w:date="2025-05-14T15:27:00Z">
              <w:r w:rsidRPr="00183B5F">
                <w:rPr>
                  <w:szCs w:val="22"/>
                  <w:lang w:val="hu-HU"/>
                </w:rPr>
                <w:delText xml:space="preserve">***, ** </w:delText>
              </w:r>
              <w:r w:rsidRPr="00183B5F">
                <w:rPr>
                  <w:lang w:val="hu-HU"/>
                </w:rPr>
                <w:delText>Statisztikailag szignifik</w:delText>
              </w:r>
              <w:r w:rsidR="009C192B" w:rsidRPr="00183B5F">
                <w:rPr>
                  <w:lang w:val="hu-HU"/>
                </w:rPr>
                <w:delText xml:space="preserve">áns különbség, rendre p &lt; 0,001 </w:delText>
              </w:r>
              <w:r w:rsidRPr="00183B5F">
                <w:rPr>
                  <w:lang w:val="hu-HU"/>
                </w:rPr>
                <w:delText>és &lt; 0,01 érték esetén, a Humira és a placebo valamennyi összehasonlítását illetően.</w:delText>
              </w:r>
            </w:del>
          </w:p>
        </w:tc>
      </w:tr>
    </w:tbl>
    <w:p w14:paraId="3CE8DE1A" w14:textId="2534180F" w:rsidR="00FF255A" w:rsidRPr="00183B5F" w:rsidRDefault="00FF255A" w:rsidP="00163756">
      <w:pPr>
        <w:spacing w:line="240" w:lineRule="auto"/>
        <w:rPr>
          <w:del w:id="6328" w:author="AbbVie_HU_03" w:date="2025-05-14T15:27:00Z"/>
          <w:i/>
          <w:szCs w:val="22"/>
        </w:rPr>
      </w:pPr>
    </w:p>
    <w:p w14:paraId="4C9D600A" w14:textId="49EFFC42" w:rsidR="00090CF2" w:rsidRPr="00183B5F" w:rsidRDefault="00943743">
      <w:pPr>
        <w:keepNext/>
        <w:spacing w:line="240" w:lineRule="auto"/>
        <w:rPr>
          <w:del w:id="6329" w:author="AbbVie_HU_03" w:date="2025-05-14T15:27:00Z"/>
          <w:i/>
          <w:szCs w:val="22"/>
        </w:rPr>
      </w:pPr>
      <w:del w:id="6330" w:author="AbbVie_HU_03" w:date="2025-05-14T15:27:00Z">
        <w:r w:rsidRPr="00183B5F">
          <w:rPr>
            <w:i/>
            <w:szCs w:val="22"/>
          </w:rPr>
          <w:delText>Arthritis psoriatica</w:delText>
        </w:r>
      </w:del>
    </w:p>
    <w:p w14:paraId="4C7A3C3E" w14:textId="16AD3FEE" w:rsidR="00EC5082" w:rsidRPr="00183B5F" w:rsidRDefault="00EC5082">
      <w:pPr>
        <w:keepNext/>
        <w:spacing w:line="240" w:lineRule="auto"/>
        <w:rPr>
          <w:del w:id="6331" w:author="AbbVie_HU_03" w:date="2025-05-14T15:27:00Z"/>
          <w:szCs w:val="22"/>
          <w:u w:val="single"/>
        </w:rPr>
      </w:pPr>
    </w:p>
    <w:p w14:paraId="086603D9" w14:textId="2DCAF7D2" w:rsidR="00DE6AE2" w:rsidRPr="00183B5F" w:rsidRDefault="00943743">
      <w:pPr>
        <w:keepNext/>
        <w:spacing w:line="240" w:lineRule="auto"/>
        <w:rPr>
          <w:del w:id="6332" w:author="AbbVie_HU_03" w:date="2025-05-14T15:27:00Z"/>
          <w:szCs w:val="22"/>
        </w:rPr>
      </w:pPr>
      <w:del w:id="6333" w:author="AbbVie_HU_03" w:date="2025-05-14T15:27:00Z">
        <w:r w:rsidRPr="00183B5F">
          <w:rPr>
            <w:szCs w:val="22"/>
          </w:rPr>
          <w:delText>A 40 mg Humira hatását kétheten</w:delText>
        </w:r>
        <w:r w:rsidR="00A62049" w:rsidRPr="00183B5F">
          <w:rPr>
            <w:szCs w:val="22"/>
          </w:rPr>
          <w:delText>te</w:delText>
        </w:r>
        <w:r w:rsidRPr="00183B5F">
          <w:rPr>
            <w:szCs w:val="22"/>
          </w:rPr>
          <w:delText xml:space="preserve"> egyszeri adagolással köz</w:delText>
        </w:r>
        <w:r w:rsidR="0011114B" w:rsidRPr="00183B5F">
          <w:rPr>
            <w:szCs w:val="22"/>
          </w:rPr>
          <w:delText xml:space="preserve">epesen </w:delText>
        </w:r>
        <w:r w:rsidRPr="00183B5F">
          <w:rPr>
            <w:szCs w:val="22"/>
          </w:rPr>
          <w:delText>súlyos – súlyos aktív a</w:delText>
        </w:r>
        <w:r w:rsidR="00A62049" w:rsidRPr="00183B5F">
          <w:rPr>
            <w:szCs w:val="22"/>
          </w:rPr>
          <w:delText>r</w:delText>
        </w:r>
        <w:r w:rsidRPr="00183B5F">
          <w:rPr>
            <w:szCs w:val="22"/>
          </w:rPr>
          <w:delText xml:space="preserve">thritis psoriaticában szenvedő betegeken vizsgálták </w:delText>
        </w:r>
        <w:r w:rsidR="00A62049" w:rsidRPr="00183B5F">
          <w:rPr>
            <w:szCs w:val="22"/>
          </w:rPr>
          <w:delText>két</w:delText>
        </w:r>
        <w:r w:rsidRPr="00183B5F">
          <w:rPr>
            <w:szCs w:val="22"/>
          </w:rPr>
          <w:delText xml:space="preserve"> placebokontroll</w:delText>
        </w:r>
        <w:r w:rsidR="00CA62C1" w:rsidRPr="00183B5F">
          <w:rPr>
            <w:szCs w:val="22"/>
          </w:rPr>
          <w:delText>os</w:delText>
        </w:r>
        <w:r w:rsidRPr="00183B5F">
          <w:rPr>
            <w:szCs w:val="22"/>
          </w:rPr>
          <w:delText xml:space="preserve"> vizsgálatban, a PsA</w:delText>
        </w:r>
        <w:r w:rsidR="000067AA" w:rsidRPr="00183B5F">
          <w:rPr>
            <w:szCs w:val="22"/>
          </w:rPr>
          <w:delText> </w:delText>
        </w:r>
        <w:r w:rsidRPr="00183B5F">
          <w:rPr>
            <w:szCs w:val="22"/>
          </w:rPr>
          <w:delText>I és PsA</w:delText>
        </w:r>
        <w:r w:rsidR="000067AA" w:rsidRPr="00183B5F">
          <w:rPr>
            <w:szCs w:val="22"/>
          </w:rPr>
          <w:delText> </w:delText>
        </w:r>
        <w:r w:rsidRPr="00183B5F">
          <w:rPr>
            <w:szCs w:val="22"/>
          </w:rPr>
          <w:delText>II vizsgálatban. A PsA</w:delText>
        </w:r>
        <w:r w:rsidR="000067AA" w:rsidRPr="00183B5F">
          <w:rPr>
            <w:szCs w:val="22"/>
          </w:rPr>
          <w:delText> </w:delText>
        </w:r>
        <w:r w:rsidRPr="00183B5F">
          <w:rPr>
            <w:szCs w:val="22"/>
          </w:rPr>
          <w:delText>I vizsgálat 24</w:delText>
        </w:r>
        <w:r w:rsidR="00A44DB6" w:rsidRPr="00183B5F">
          <w:rPr>
            <w:szCs w:val="22"/>
          </w:rPr>
          <w:delText> hét</w:delText>
        </w:r>
        <w:r w:rsidRPr="00183B5F">
          <w:rPr>
            <w:szCs w:val="22"/>
          </w:rPr>
          <w:delText xml:space="preserve"> időtartammal folyt, 313</w:delText>
        </w:r>
        <w:r w:rsidR="000067AA" w:rsidRPr="00183B5F">
          <w:rPr>
            <w:szCs w:val="22"/>
          </w:rPr>
          <w:delText> </w:delText>
        </w:r>
        <w:r w:rsidRPr="00183B5F">
          <w:rPr>
            <w:szCs w:val="22"/>
          </w:rPr>
          <w:delText>felnőtt, nem</w:delText>
        </w:r>
        <w:r w:rsidR="00CA62C1" w:rsidRPr="00183B5F">
          <w:rPr>
            <w:szCs w:val="22"/>
          </w:rPr>
          <w:delText xml:space="preserve"> </w:delText>
        </w:r>
        <w:r w:rsidRPr="00183B5F">
          <w:rPr>
            <w:szCs w:val="22"/>
          </w:rPr>
          <w:delText>szteroid gyulladáscsökkentőre nem reagáló beteg vett részt benne, akiknek kb. 50%</w:delText>
        </w:r>
        <w:r w:rsidR="000067AA" w:rsidRPr="00183B5F">
          <w:rPr>
            <w:szCs w:val="22"/>
          </w:rPr>
          <w:noBreakHyphen/>
        </w:r>
        <w:r w:rsidRPr="00183B5F">
          <w:rPr>
            <w:szCs w:val="22"/>
          </w:rPr>
          <w:delText>a metotrex</w:delText>
        </w:r>
        <w:r w:rsidR="00A62049" w:rsidRPr="00183B5F">
          <w:rPr>
            <w:szCs w:val="22"/>
          </w:rPr>
          <w:delText>á</w:delText>
        </w:r>
        <w:r w:rsidRPr="00183B5F">
          <w:rPr>
            <w:szCs w:val="22"/>
          </w:rPr>
          <w:delText>tot kapott. A 12</w:delText>
        </w:r>
        <w:r w:rsidR="00A44DB6" w:rsidRPr="00183B5F">
          <w:rPr>
            <w:szCs w:val="22"/>
          </w:rPr>
          <w:delText> hét</w:delText>
        </w:r>
        <w:r w:rsidRPr="00183B5F">
          <w:rPr>
            <w:szCs w:val="22"/>
          </w:rPr>
          <w:delText>ig tartó PsA</w:delText>
        </w:r>
        <w:r w:rsidR="000067AA" w:rsidRPr="00183B5F">
          <w:rPr>
            <w:szCs w:val="22"/>
          </w:rPr>
          <w:delText> </w:delText>
        </w:r>
        <w:r w:rsidRPr="00183B5F">
          <w:rPr>
            <w:szCs w:val="22"/>
          </w:rPr>
          <w:delText>II vizsgálatban 100 olyan beteget kezeltek, akik nem megfelelő választ adtak a DMARD kezelésre. A két vizsgálat befejezését követően 383</w:delText>
        </w:r>
        <w:r w:rsidR="000067AA" w:rsidRPr="00183B5F">
          <w:rPr>
            <w:szCs w:val="22"/>
          </w:rPr>
          <w:delText> </w:delText>
        </w:r>
        <w:r w:rsidRPr="00183B5F">
          <w:rPr>
            <w:szCs w:val="22"/>
          </w:rPr>
          <w:delText>beteget válogattak be egy nyílt elrendezésű kiterjesztéses vizsgálatba, amelyben kéthetente 40 mg Humira-t adagoltak.</w:delText>
        </w:r>
      </w:del>
    </w:p>
    <w:p w14:paraId="4CAE4FD5" w14:textId="5E9200FE" w:rsidR="00DE6AE2" w:rsidRPr="00183B5F" w:rsidRDefault="00DE6AE2" w:rsidP="004062FE">
      <w:pPr>
        <w:spacing w:line="240" w:lineRule="auto"/>
        <w:rPr>
          <w:del w:id="6334" w:author="AbbVie_HU_03" w:date="2025-05-14T15:27:00Z"/>
          <w:szCs w:val="22"/>
        </w:rPr>
      </w:pPr>
    </w:p>
    <w:p w14:paraId="56397A77" w14:textId="216F71FE" w:rsidR="00DE6AE2" w:rsidRPr="00183B5F" w:rsidRDefault="00943743" w:rsidP="004062FE">
      <w:pPr>
        <w:spacing w:line="240" w:lineRule="auto"/>
        <w:rPr>
          <w:del w:id="6335" w:author="AbbVie_HU_03" w:date="2025-05-14T15:27:00Z"/>
          <w:szCs w:val="22"/>
        </w:rPr>
      </w:pPr>
      <w:del w:id="6336" w:author="AbbVie_HU_03" w:date="2025-05-14T15:27:00Z">
        <w:r w:rsidRPr="00183B5F">
          <w:rPr>
            <w:szCs w:val="22"/>
          </w:rPr>
          <w:delText xml:space="preserve">A betegek kis száma miatt nincs </w:delText>
        </w:r>
        <w:r w:rsidR="00A62049" w:rsidRPr="00183B5F">
          <w:rPr>
            <w:szCs w:val="22"/>
          </w:rPr>
          <w:delText xml:space="preserve">elegendő </w:delText>
        </w:r>
        <w:r w:rsidRPr="00183B5F">
          <w:rPr>
            <w:szCs w:val="22"/>
          </w:rPr>
          <w:delText>bizonyíték a Humira hatásosságára spondylitis ankylopoetica-szerű psoria</w:delText>
        </w:r>
        <w:r w:rsidR="00A62049" w:rsidRPr="00183B5F">
          <w:rPr>
            <w:szCs w:val="22"/>
          </w:rPr>
          <w:delText>sisos arthropathiában</w:delText>
        </w:r>
        <w:r w:rsidR="00A14FE3" w:rsidRPr="00183B5F">
          <w:rPr>
            <w:szCs w:val="22"/>
          </w:rPr>
          <w:delText>.</w:delText>
        </w:r>
      </w:del>
    </w:p>
    <w:p w14:paraId="761C0A22" w14:textId="4B74D253" w:rsidR="00090CF2" w:rsidRPr="00183B5F" w:rsidRDefault="00090CF2" w:rsidP="004062FE">
      <w:pPr>
        <w:spacing w:line="240" w:lineRule="auto"/>
        <w:rPr>
          <w:del w:id="6337" w:author="AbbVie_HU_03" w:date="2025-05-14T15:27:00Z"/>
          <w:szCs w:val="22"/>
        </w:rPr>
      </w:pPr>
    </w:p>
    <w:p w14:paraId="2CBDB190" w14:textId="5DB0E354" w:rsidR="00090CF2" w:rsidRPr="00183B5F" w:rsidRDefault="00943743" w:rsidP="0080649D">
      <w:pPr>
        <w:spacing w:line="240" w:lineRule="auto"/>
        <w:jc w:val="center"/>
        <w:rPr>
          <w:del w:id="6338" w:author="AbbVie_HU_03" w:date="2025-05-14T15:27:00Z"/>
          <w:b/>
          <w:bCs/>
          <w:szCs w:val="22"/>
        </w:rPr>
      </w:pPr>
      <w:del w:id="6339" w:author="AbbVie_HU_03" w:date="2025-05-14T15:27:00Z">
        <w:r w:rsidRPr="00183B5F">
          <w:rPr>
            <w:b/>
            <w:bCs/>
            <w:szCs w:val="22"/>
          </w:rPr>
          <w:delText>15. táblázat</w:delText>
        </w:r>
      </w:del>
    </w:p>
    <w:p w14:paraId="0451BADB" w14:textId="3DE1A632" w:rsidR="00090CF2" w:rsidRPr="00183B5F" w:rsidRDefault="00943743" w:rsidP="004062FE">
      <w:pPr>
        <w:spacing w:line="240" w:lineRule="auto"/>
        <w:jc w:val="center"/>
        <w:rPr>
          <w:del w:id="6340" w:author="AbbVie_HU_03" w:date="2025-05-14T15:27:00Z"/>
          <w:b/>
          <w:bCs/>
          <w:szCs w:val="22"/>
        </w:rPr>
      </w:pPr>
      <w:del w:id="6341" w:author="AbbVie_HU_03" w:date="2025-05-14T15:27:00Z">
        <w:r w:rsidRPr="00183B5F">
          <w:rPr>
            <w:b/>
            <w:bCs/>
            <w:szCs w:val="22"/>
          </w:rPr>
          <w:delText>ACR-válasz placebokontrollált arthritis psoriaticában (betegek százaléka)</w:delText>
        </w:r>
      </w:del>
    </w:p>
    <w:p w14:paraId="4E7A195B" w14:textId="14B1B3CB" w:rsidR="00090CF2" w:rsidRPr="00183B5F" w:rsidRDefault="00090CF2" w:rsidP="004062FE">
      <w:pPr>
        <w:spacing w:line="240" w:lineRule="auto"/>
        <w:jc w:val="center"/>
        <w:rPr>
          <w:del w:id="6342" w:author="AbbVie_HU_03" w:date="2025-05-14T15:27:00Z"/>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3"/>
        <w:gridCol w:w="1817"/>
        <w:gridCol w:w="1817"/>
        <w:gridCol w:w="1812"/>
        <w:gridCol w:w="1812"/>
      </w:tblGrid>
      <w:tr w:rsidR="00011D2F" w14:paraId="5C5FD07C" w14:textId="3E4B95C5" w:rsidTr="00A362CB">
        <w:trPr>
          <w:del w:id="6343" w:author="AbbVie_HU_03" w:date="2025-05-14T15:27:00Z"/>
        </w:trPr>
        <w:tc>
          <w:tcPr>
            <w:tcW w:w="1857" w:type="dxa"/>
            <w:tcBorders>
              <w:bottom w:val="single" w:sz="4" w:space="0" w:color="auto"/>
            </w:tcBorders>
          </w:tcPr>
          <w:p w14:paraId="3D2BA1EF" w14:textId="004B2E3E" w:rsidR="00A362CB" w:rsidRPr="00183B5F" w:rsidRDefault="00A362CB" w:rsidP="004062FE">
            <w:pPr>
              <w:spacing w:line="240" w:lineRule="auto"/>
              <w:jc w:val="center"/>
              <w:rPr>
                <w:del w:id="6344" w:author="AbbVie_HU_03" w:date="2025-05-14T15:27:00Z"/>
                <w:szCs w:val="22"/>
              </w:rPr>
            </w:pPr>
          </w:p>
        </w:tc>
        <w:tc>
          <w:tcPr>
            <w:tcW w:w="3714" w:type="dxa"/>
            <w:gridSpan w:val="2"/>
          </w:tcPr>
          <w:p w14:paraId="4DF01A8D" w14:textId="4502E6EE" w:rsidR="00A362CB" w:rsidRPr="00183B5F" w:rsidRDefault="00943743" w:rsidP="004062FE">
            <w:pPr>
              <w:spacing w:line="240" w:lineRule="auto"/>
              <w:jc w:val="center"/>
              <w:rPr>
                <w:del w:id="6345" w:author="AbbVie_HU_03" w:date="2025-05-14T15:27:00Z"/>
                <w:szCs w:val="22"/>
              </w:rPr>
            </w:pPr>
            <w:del w:id="6346" w:author="AbbVie_HU_03" w:date="2025-05-14T15:27:00Z">
              <w:r w:rsidRPr="00183B5F">
                <w:rPr>
                  <w:szCs w:val="22"/>
                </w:rPr>
                <w:delText>PsA I vizsgálat</w:delText>
              </w:r>
            </w:del>
          </w:p>
        </w:tc>
        <w:tc>
          <w:tcPr>
            <w:tcW w:w="3714" w:type="dxa"/>
            <w:gridSpan w:val="2"/>
          </w:tcPr>
          <w:p w14:paraId="0F376D11" w14:textId="1D115DE3" w:rsidR="00A362CB" w:rsidRPr="00183B5F" w:rsidRDefault="00943743" w:rsidP="004062FE">
            <w:pPr>
              <w:spacing w:line="240" w:lineRule="auto"/>
              <w:jc w:val="center"/>
              <w:rPr>
                <w:del w:id="6347" w:author="AbbVie_HU_03" w:date="2025-05-14T15:27:00Z"/>
                <w:szCs w:val="22"/>
              </w:rPr>
            </w:pPr>
            <w:del w:id="6348" w:author="AbbVie_HU_03" w:date="2025-05-14T15:27:00Z">
              <w:r w:rsidRPr="00183B5F">
                <w:rPr>
                  <w:szCs w:val="22"/>
                </w:rPr>
                <w:delText>PsA II vizsgálat</w:delText>
              </w:r>
            </w:del>
          </w:p>
        </w:tc>
      </w:tr>
      <w:tr w:rsidR="00011D2F" w14:paraId="0DE4C6AB" w14:textId="31DDB004" w:rsidTr="004062FE">
        <w:trPr>
          <w:del w:id="6349" w:author="AbbVie_HU_03" w:date="2025-05-14T15:27:00Z"/>
        </w:trPr>
        <w:tc>
          <w:tcPr>
            <w:tcW w:w="1857" w:type="dxa"/>
            <w:tcBorders>
              <w:bottom w:val="single" w:sz="4" w:space="0" w:color="auto"/>
            </w:tcBorders>
          </w:tcPr>
          <w:p w14:paraId="62CDFE6F" w14:textId="2694B4B4" w:rsidR="00090CF2" w:rsidRPr="00183B5F" w:rsidRDefault="00943743" w:rsidP="004062FE">
            <w:pPr>
              <w:spacing w:line="240" w:lineRule="auto"/>
              <w:jc w:val="center"/>
              <w:rPr>
                <w:del w:id="6350" w:author="AbbVie_HU_03" w:date="2025-05-14T15:27:00Z"/>
                <w:szCs w:val="22"/>
              </w:rPr>
            </w:pPr>
            <w:del w:id="6351" w:author="AbbVie_HU_03" w:date="2025-05-14T15:27:00Z">
              <w:r w:rsidRPr="00183B5F">
                <w:rPr>
                  <w:szCs w:val="22"/>
                </w:rPr>
                <w:delText>Válasz</w:delText>
              </w:r>
            </w:del>
          </w:p>
        </w:tc>
        <w:tc>
          <w:tcPr>
            <w:tcW w:w="1857" w:type="dxa"/>
            <w:tcBorders>
              <w:bottom w:val="single" w:sz="4" w:space="0" w:color="auto"/>
            </w:tcBorders>
          </w:tcPr>
          <w:p w14:paraId="13A6DCEA" w14:textId="3E264AE7" w:rsidR="00A362CB" w:rsidRPr="00183B5F" w:rsidRDefault="00943743" w:rsidP="004062FE">
            <w:pPr>
              <w:spacing w:line="240" w:lineRule="auto"/>
              <w:jc w:val="center"/>
              <w:rPr>
                <w:del w:id="6352" w:author="AbbVie_HU_03" w:date="2025-05-14T15:27:00Z"/>
                <w:szCs w:val="22"/>
              </w:rPr>
            </w:pPr>
            <w:del w:id="6353" w:author="AbbVie_HU_03" w:date="2025-05-14T15:27:00Z">
              <w:r w:rsidRPr="00183B5F">
                <w:rPr>
                  <w:szCs w:val="22"/>
                </w:rPr>
                <w:delText xml:space="preserve">Placebo </w:delText>
              </w:r>
            </w:del>
          </w:p>
          <w:p w14:paraId="0375C8C4" w14:textId="47EA4551" w:rsidR="00090CF2" w:rsidRPr="00183B5F" w:rsidRDefault="00943743" w:rsidP="004062FE">
            <w:pPr>
              <w:spacing w:line="240" w:lineRule="auto"/>
              <w:jc w:val="center"/>
              <w:rPr>
                <w:del w:id="6354" w:author="AbbVie_HU_03" w:date="2025-05-14T15:27:00Z"/>
                <w:szCs w:val="22"/>
              </w:rPr>
            </w:pPr>
            <w:del w:id="6355" w:author="AbbVie_HU_03" w:date="2025-05-14T15:27:00Z">
              <w:r w:rsidRPr="00183B5F">
                <w:rPr>
                  <w:szCs w:val="22"/>
                </w:rPr>
                <w:delText>(N</w:delText>
              </w:r>
              <w:r w:rsidR="00AD1D4B" w:rsidRPr="00183B5F">
                <w:rPr>
                  <w:szCs w:val="22"/>
                </w:rPr>
                <w:delText> </w:delText>
              </w:r>
              <w:r w:rsidRPr="00183B5F">
                <w:rPr>
                  <w:szCs w:val="22"/>
                </w:rPr>
                <w:delText>=</w:delText>
              </w:r>
              <w:r w:rsidR="00AD1D4B" w:rsidRPr="00183B5F">
                <w:rPr>
                  <w:szCs w:val="22"/>
                </w:rPr>
                <w:delText> </w:delText>
              </w:r>
              <w:r w:rsidRPr="00183B5F">
                <w:rPr>
                  <w:szCs w:val="22"/>
                </w:rPr>
                <w:delText>162)</w:delText>
              </w:r>
            </w:del>
          </w:p>
        </w:tc>
        <w:tc>
          <w:tcPr>
            <w:tcW w:w="1857" w:type="dxa"/>
            <w:tcBorders>
              <w:bottom w:val="single" w:sz="4" w:space="0" w:color="auto"/>
            </w:tcBorders>
          </w:tcPr>
          <w:p w14:paraId="58A3ACD1" w14:textId="0D0AB5DD" w:rsidR="00A362CB" w:rsidRPr="00183B5F" w:rsidRDefault="00943743" w:rsidP="004062FE">
            <w:pPr>
              <w:spacing w:line="240" w:lineRule="auto"/>
              <w:jc w:val="center"/>
              <w:rPr>
                <w:del w:id="6356" w:author="AbbVie_HU_03" w:date="2025-05-14T15:27:00Z"/>
                <w:szCs w:val="22"/>
              </w:rPr>
            </w:pPr>
            <w:del w:id="6357" w:author="AbbVie_HU_03" w:date="2025-05-14T15:27:00Z">
              <w:r w:rsidRPr="00183B5F">
                <w:rPr>
                  <w:szCs w:val="22"/>
                </w:rPr>
                <w:delText xml:space="preserve">Humira </w:delText>
              </w:r>
            </w:del>
          </w:p>
          <w:p w14:paraId="1A29AED0" w14:textId="001A07A7" w:rsidR="00090CF2" w:rsidRPr="00183B5F" w:rsidRDefault="00943743" w:rsidP="004062FE">
            <w:pPr>
              <w:spacing w:line="240" w:lineRule="auto"/>
              <w:jc w:val="center"/>
              <w:rPr>
                <w:del w:id="6358" w:author="AbbVie_HU_03" w:date="2025-05-14T15:27:00Z"/>
                <w:szCs w:val="22"/>
              </w:rPr>
            </w:pPr>
            <w:del w:id="6359" w:author="AbbVie_HU_03" w:date="2025-05-14T15:27:00Z">
              <w:r w:rsidRPr="00183B5F">
                <w:rPr>
                  <w:szCs w:val="22"/>
                </w:rPr>
                <w:delText>(N</w:delText>
              </w:r>
              <w:r w:rsidR="00AD1D4B" w:rsidRPr="00183B5F">
                <w:rPr>
                  <w:szCs w:val="22"/>
                </w:rPr>
                <w:delText> </w:delText>
              </w:r>
              <w:r w:rsidRPr="00183B5F">
                <w:rPr>
                  <w:szCs w:val="22"/>
                </w:rPr>
                <w:delText>=</w:delText>
              </w:r>
              <w:r w:rsidR="00AD1D4B" w:rsidRPr="00183B5F">
                <w:rPr>
                  <w:szCs w:val="22"/>
                </w:rPr>
                <w:delText> </w:delText>
              </w:r>
              <w:r w:rsidRPr="00183B5F">
                <w:rPr>
                  <w:szCs w:val="22"/>
                </w:rPr>
                <w:delText>151)</w:delText>
              </w:r>
            </w:del>
          </w:p>
        </w:tc>
        <w:tc>
          <w:tcPr>
            <w:tcW w:w="1857" w:type="dxa"/>
            <w:tcBorders>
              <w:bottom w:val="single" w:sz="4" w:space="0" w:color="auto"/>
            </w:tcBorders>
          </w:tcPr>
          <w:p w14:paraId="4C240FB8" w14:textId="1736C005" w:rsidR="00A362CB" w:rsidRPr="00183B5F" w:rsidRDefault="00943743" w:rsidP="004062FE">
            <w:pPr>
              <w:spacing w:line="240" w:lineRule="auto"/>
              <w:jc w:val="center"/>
              <w:rPr>
                <w:del w:id="6360" w:author="AbbVie_HU_03" w:date="2025-05-14T15:27:00Z"/>
                <w:szCs w:val="22"/>
              </w:rPr>
            </w:pPr>
            <w:del w:id="6361" w:author="AbbVie_HU_03" w:date="2025-05-14T15:27:00Z">
              <w:r w:rsidRPr="00183B5F">
                <w:rPr>
                  <w:szCs w:val="22"/>
                </w:rPr>
                <w:delText xml:space="preserve">Placebo </w:delText>
              </w:r>
            </w:del>
          </w:p>
          <w:p w14:paraId="1E7BDB7D" w14:textId="3B12FC3B" w:rsidR="00090CF2" w:rsidRPr="00183B5F" w:rsidRDefault="00943743" w:rsidP="004062FE">
            <w:pPr>
              <w:spacing w:line="240" w:lineRule="auto"/>
              <w:jc w:val="center"/>
              <w:rPr>
                <w:del w:id="6362" w:author="AbbVie_HU_03" w:date="2025-05-14T15:27:00Z"/>
                <w:szCs w:val="22"/>
              </w:rPr>
            </w:pPr>
            <w:del w:id="6363" w:author="AbbVie_HU_03" w:date="2025-05-14T15:27:00Z">
              <w:r w:rsidRPr="00183B5F">
                <w:rPr>
                  <w:szCs w:val="22"/>
                </w:rPr>
                <w:delText>(N</w:delText>
              </w:r>
              <w:r w:rsidR="00AD1D4B" w:rsidRPr="00183B5F">
                <w:rPr>
                  <w:szCs w:val="22"/>
                </w:rPr>
                <w:delText> </w:delText>
              </w:r>
              <w:r w:rsidRPr="00183B5F">
                <w:rPr>
                  <w:szCs w:val="22"/>
                </w:rPr>
                <w:delText>=</w:delText>
              </w:r>
              <w:r w:rsidR="00AD1D4B" w:rsidRPr="00183B5F">
                <w:rPr>
                  <w:szCs w:val="22"/>
                </w:rPr>
                <w:delText> </w:delText>
              </w:r>
              <w:r w:rsidRPr="00183B5F">
                <w:rPr>
                  <w:szCs w:val="22"/>
                </w:rPr>
                <w:delText>49)</w:delText>
              </w:r>
            </w:del>
          </w:p>
        </w:tc>
        <w:tc>
          <w:tcPr>
            <w:tcW w:w="1857" w:type="dxa"/>
            <w:tcBorders>
              <w:bottom w:val="single" w:sz="4" w:space="0" w:color="auto"/>
            </w:tcBorders>
          </w:tcPr>
          <w:p w14:paraId="10A0157E" w14:textId="153DCC14" w:rsidR="00A362CB" w:rsidRPr="00183B5F" w:rsidRDefault="00943743" w:rsidP="004062FE">
            <w:pPr>
              <w:spacing w:line="240" w:lineRule="auto"/>
              <w:jc w:val="center"/>
              <w:rPr>
                <w:del w:id="6364" w:author="AbbVie_HU_03" w:date="2025-05-14T15:27:00Z"/>
                <w:szCs w:val="22"/>
              </w:rPr>
            </w:pPr>
            <w:del w:id="6365" w:author="AbbVie_HU_03" w:date="2025-05-14T15:27:00Z">
              <w:r w:rsidRPr="00183B5F">
                <w:rPr>
                  <w:szCs w:val="22"/>
                </w:rPr>
                <w:delText xml:space="preserve">Humira </w:delText>
              </w:r>
            </w:del>
          </w:p>
          <w:p w14:paraId="68653666" w14:textId="2CFAF033" w:rsidR="00090CF2" w:rsidRPr="00183B5F" w:rsidRDefault="00943743" w:rsidP="004062FE">
            <w:pPr>
              <w:spacing w:line="240" w:lineRule="auto"/>
              <w:jc w:val="center"/>
              <w:rPr>
                <w:del w:id="6366" w:author="AbbVie_HU_03" w:date="2025-05-14T15:27:00Z"/>
                <w:szCs w:val="22"/>
              </w:rPr>
            </w:pPr>
            <w:del w:id="6367" w:author="AbbVie_HU_03" w:date="2025-05-14T15:27:00Z">
              <w:r w:rsidRPr="00183B5F">
                <w:rPr>
                  <w:szCs w:val="22"/>
                </w:rPr>
                <w:delText>(N</w:delText>
              </w:r>
              <w:r w:rsidR="00AD1D4B" w:rsidRPr="00183B5F">
                <w:rPr>
                  <w:szCs w:val="22"/>
                </w:rPr>
                <w:delText> </w:delText>
              </w:r>
              <w:r w:rsidRPr="00183B5F">
                <w:rPr>
                  <w:szCs w:val="22"/>
                </w:rPr>
                <w:delText>=</w:delText>
              </w:r>
              <w:r w:rsidR="00AD1D4B" w:rsidRPr="00183B5F">
                <w:rPr>
                  <w:szCs w:val="22"/>
                </w:rPr>
                <w:delText> </w:delText>
              </w:r>
              <w:r w:rsidRPr="00183B5F">
                <w:rPr>
                  <w:szCs w:val="22"/>
                </w:rPr>
                <w:delText>51)</w:delText>
              </w:r>
            </w:del>
          </w:p>
        </w:tc>
      </w:tr>
      <w:tr w:rsidR="00011D2F" w14:paraId="1C1ABA81" w14:textId="0A475981" w:rsidTr="004062FE">
        <w:trPr>
          <w:del w:id="6368" w:author="AbbVie_HU_03" w:date="2025-05-14T15:27:00Z"/>
        </w:trPr>
        <w:tc>
          <w:tcPr>
            <w:tcW w:w="1857" w:type="dxa"/>
            <w:tcBorders>
              <w:top w:val="single" w:sz="4" w:space="0" w:color="auto"/>
              <w:left w:val="single" w:sz="4" w:space="0" w:color="auto"/>
              <w:bottom w:val="nil"/>
              <w:right w:val="single" w:sz="4" w:space="0" w:color="auto"/>
            </w:tcBorders>
          </w:tcPr>
          <w:p w14:paraId="1CA638E8" w14:textId="0ECCF447" w:rsidR="00090CF2" w:rsidRPr="00183B5F" w:rsidRDefault="00943743" w:rsidP="004062FE">
            <w:pPr>
              <w:spacing w:line="240" w:lineRule="auto"/>
              <w:rPr>
                <w:del w:id="6369" w:author="AbbVie_HU_03" w:date="2025-05-14T15:27:00Z"/>
                <w:szCs w:val="22"/>
              </w:rPr>
            </w:pPr>
            <w:del w:id="6370" w:author="AbbVie_HU_03" w:date="2025-05-14T15:27:00Z">
              <w:r w:rsidRPr="00183B5F">
                <w:rPr>
                  <w:szCs w:val="22"/>
                </w:rPr>
                <w:delText>ACR 20</w:delText>
              </w:r>
            </w:del>
          </w:p>
        </w:tc>
        <w:tc>
          <w:tcPr>
            <w:tcW w:w="1857" w:type="dxa"/>
            <w:tcBorders>
              <w:left w:val="single" w:sz="4" w:space="0" w:color="auto"/>
              <w:bottom w:val="nil"/>
            </w:tcBorders>
          </w:tcPr>
          <w:p w14:paraId="2FE1EB42" w14:textId="67C3F7E5" w:rsidR="00090CF2" w:rsidRPr="00183B5F" w:rsidRDefault="00090CF2" w:rsidP="004062FE">
            <w:pPr>
              <w:spacing w:line="240" w:lineRule="auto"/>
              <w:jc w:val="center"/>
              <w:rPr>
                <w:del w:id="6371" w:author="AbbVie_HU_03" w:date="2025-05-14T15:27:00Z"/>
                <w:szCs w:val="22"/>
              </w:rPr>
            </w:pPr>
          </w:p>
        </w:tc>
        <w:tc>
          <w:tcPr>
            <w:tcW w:w="1857" w:type="dxa"/>
            <w:tcBorders>
              <w:bottom w:val="nil"/>
            </w:tcBorders>
          </w:tcPr>
          <w:p w14:paraId="090B07B1" w14:textId="6409FD8E" w:rsidR="00090CF2" w:rsidRPr="00183B5F" w:rsidRDefault="00090CF2" w:rsidP="004062FE">
            <w:pPr>
              <w:spacing w:line="240" w:lineRule="auto"/>
              <w:jc w:val="center"/>
              <w:rPr>
                <w:del w:id="6372" w:author="AbbVie_HU_03" w:date="2025-05-14T15:27:00Z"/>
                <w:szCs w:val="22"/>
              </w:rPr>
            </w:pPr>
          </w:p>
        </w:tc>
        <w:tc>
          <w:tcPr>
            <w:tcW w:w="1857" w:type="dxa"/>
            <w:tcBorders>
              <w:bottom w:val="nil"/>
            </w:tcBorders>
          </w:tcPr>
          <w:p w14:paraId="0732B412" w14:textId="6E5129F8" w:rsidR="00090CF2" w:rsidRPr="00183B5F" w:rsidRDefault="00090CF2" w:rsidP="004062FE">
            <w:pPr>
              <w:spacing w:line="240" w:lineRule="auto"/>
              <w:jc w:val="center"/>
              <w:rPr>
                <w:del w:id="6373" w:author="AbbVie_HU_03" w:date="2025-05-14T15:27:00Z"/>
                <w:szCs w:val="22"/>
              </w:rPr>
            </w:pPr>
          </w:p>
        </w:tc>
        <w:tc>
          <w:tcPr>
            <w:tcW w:w="1857" w:type="dxa"/>
            <w:tcBorders>
              <w:bottom w:val="nil"/>
            </w:tcBorders>
          </w:tcPr>
          <w:p w14:paraId="3F32D4CE" w14:textId="3AC3F2D3" w:rsidR="00090CF2" w:rsidRPr="00183B5F" w:rsidRDefault="00090CF2" w:rsidP="004062FE">
            <w:pPr>
              <w:spacing w:line="240" w:lineRule="auto"/>
              <w:jc w:val="center"/>
              <w:rPr>
                <w:del w:id="6374" w:author="AbbVie_HU_03" w:date="2025-05-14T15:27:00Z"/>
                <w:szCs w:val="22"/>
              </w:rPr>
            </w:pPr>
          </w:p>
        </w:tc>
      </w:tr>
      <w:tr w:rsidR="00011D2F" w14:paraId="144340AA" w14:textId="13A52FA5" w:rsidTr="004062FE">
        <w:trPr>
          <w:del w:id="6375" w:author="AbbVie_HU_03" w:date="2025-05-14T15:27:00Z"/>
        </w:trPr>
        <w:tc>
          <w:tcPr>
            <w:tcW w:w="1857" w:type="dxa"/>
            <w:tcBorders>
              <w:top w:val="nil"/>
              <w:left w:val="single" w:sz="4" w:space="0" w:color="auto"/>
              <w:bottom w:val="nil"/>
              <w:right w:val="single" w:sz="4" w:space="0" w:color="auto"/>
            </w:tcBorders>
          </w:tcPr>
          <w:p w14:paraId="4871AE45" w14:textId="5898FFCE" w:rsidR="00090CF2" w:rsidRPr="00183B5F" w:rsidRDefault="00943743" w:rsidP="004062FE">
            <w:pPr>
              <w:spacing w:line="240" w:lineRule="auto"/>
              <w:jc w:val="center"/>
              <w:rPr>
                <w:del w:id="6376" w:author="AbbVie_HU_03" w:date="2025-05-14T15:27:00Z"/>
                <w:szCs w:val="22"/>
              </w:rPr>
            </w:pPr>
            <w:del w:id="6377" w:author="AbbVie_HU_03" w:date="2025-05-14T15:27:00Z">
              <w:r w:rsidRPr="00183B5F">
                <w:rPr>
                  <w:szCs w:val="22"/>
                </w:rPr>
                <w:delText>12.</w:delText>
              </w:r>
              <w:r w:rsidR="00A44DB6" w:rsidRPr="00183B5F">
                <w:rPr>
                  <w:szCs w:val="22"/>
                </w:rPr>
                <w:delText> hét</w:delText>
              </w:r>
            </w:del>
          </w:p>
        </w:tc>
        <w:tc>
          <w:tcPr>
            <w:tcW w:w="1857" w:type="dxa"/>
            <w:tcBorders>
              <w:top w:val="nil"/>
              <w:left w:val="single" w:sz="4" w:space="0" w:color="auto"/>
              <w:bottom w:val="nil"/>
            </w:tcBorders>
          </w:tcPr>
          <w:p w14:paraId="4C376AE0" w14:textId="3BC1B8C5" w:rsidR="00090CF2" w:rsidRPr="00183B5F" w:rsidRDefault="00943743" w:rsidP="004062FE">
            <w:pPr>
              <w:spacing w:line="240" w:lineRule="auto"/>
              <w:jc w:val="center"/>
              <w:rPr>
                <w:del w:id="6378" w:author="AbbVie_HU_03" w:date="2025-05-14T15:27:00Z"/>
                <w:szCs w:val="22"/>
              </w:rPr>
            </w:pPr>
            <w:del w:id="6379" w:author="AbbVie_HU_03" w:date="2025-05-14T15:27:00Z">
              <w:r w:rsidRPr="00183B5F">
                <w:rPr>
                  <w:szCs w:val="22"/>
                </w:rPr>
                <w:delText>14%</w:delText>
              </w:r>
            </w:del>
          </w:p>
        </w:tc>
        <w:tc>
          <w:tcPr>
            <w:tcW w:w="1857" w:type="dxa"/>
            <w:tcBorders>
              <w:top w:val="nil"/>
              <w:bottom w:val="nil"/>
            </w:tcBorders>
          </w:tcPr>
          <w:p w14:paraId="050BFD1A" w14:textId="7E6A5D0B" w:rsidR="00090CF2" w:rsidRPr="00183B5F" w:rsidRDefault="00943743" w:rsidP="004062FE">
            <w:pPr>
              <w:spacing w:line="240" w:lineRule="auto"/>
              <w:jc w:val="center"/>
              <w:rPr>
                <w:del w:id="6380" w:author="AbbVie_HU_03" w:date="2025-05-14T15:27:00Z"/>
                <w:szCs w:val="22"/>
              </w:rPr>
            </w:pPr>
            <w:del w:id="6381" w:author="AbbVie_HU_03" w:date="2025-05-14T15:27:00Z">
              <w:r w:rsidRPr="00183B5F">
                <w:rPr>
                  <w:szCs w:val="22"/>
                </w:rPr>
                <w:delText>58%</w:delText>
              </w:r>
              <w:r w:rsidRPr="00183B5F">
                <w:rPr>
                  <w:szCs w:val="22"/>
                  <w:vertAlign w:val="superscript"/>
                </w:rPr>
                <w:delText>***</w:delText>
              </w:r>
            </w:del>
          </w:p>
        </w:tc>
        <w:tc>
          <w:tcPr>
            <w:tcW w:w="1857" w:type="dxa"/>
            <w:tcBorders>
              <w:top w:val="nil"/>
              <w:bottom w:val="nil"/>
            </w:tcBorders>
          </w:tcPr>
          <w:p w14:paraId="37F98D3C" w14:textId="46D50DAC" w:rsidR="00090CF2" w:rsidRPr="00183B5F" w:rsidRDefault="00943743" w:rsidP="004062FE">
            <w:pPr>
              <w:spacing w:line="240" w:lineRule="auto"/>
              <w:jc w:val="center"/>
              <w:rPr>
                <w:del w:id="6382" w:author="AbbVie_HU_03" w:date="2025-05-14T15:27:00Z"/>
                <w:szCs w:val="22"/>
              </w:rPr>
            </w:pPr>
            <w:del w:id="6383" w:author="AbbVie_HU_03" w:date="2025-05-14T15:27:00Z">
              <w:r w:rsidRPr="00183B5F">
                <w:rPr>
                  <w:szCs w:val="22"/>
                </w:rPr>
                <w:delText>16%</w:delText>
              </w:r>
            </w:del>
          </w:p>
        </w:tc>
        <w:tc>
          <w:tcPr>
            <w:tcW w:w="1857" w:type="dxa"/>
            <w:tcBorders>
              <w:top w:val="nil"/>
              <w:bottom w:val="nil"/>
            </w:tcBorders>
          </w:tcPr>
          <w:p w14:paraId="7BAC18E0" w14:textId="40BC5211" w:rsidR="00090CF2" w:rsidRPr="00183B5F" w:rsidRDefault="00943743" w:rsidP="004062FE">
            <w:pPr>
              <w:spacing w:line="240" w:lineRule="auto"/>
              <w:jc w:val="center"/>
              <w:rPr>
                <w:del w:id="6384" w:author="AbbVie_HU_03" w:date="2025-05-14T15:27:00Z"/>
                <w:szCs w:val="22"/>
              </w:rPr>
            </w:pPr>
            <w:del w:id="6385" w:author="AbbVie_HU_03" w:date="2025-05-14T15:27:00Z">
              <w:r w:rsidRPr="00183B5F">
                <w:rPr>
                  <w:szCs w:val="22"/>
                </w:rPr>
                <w:delText>39%</w:delText>
              </w:r>
              <w:r w:rsidRPr="00183B5F">
                <w:rPr>
                  <w:szCs w:val="22"/>
                  <w:vertAlign w:val="superscript"/>
                </w:rPr>
                <w:delText>*</w:delText>
              </w:r>
            </w:del>
          </w:p>
        </w:tc>
      </w:tr>
      <w:tr w:rsidR="00011D2F" w14:paraId="3A4B2F9D" w14:textId="615D31CC" w:rsidTr="004062FE">
        <w:trPr>
          <w:del w:id="6386" w:author="AbbVie_HU_03" w:date="2025-05-14T15:27:00Z"/>
        </w:trPr>
        <w:tc>
          <w:tcPr>
            <w:tcW w:w="1857" w:type="dxa"/>
            <w:tcBorders>
              <w:top w:val="nil"/>
              <w:left w:val="single" w:sz="4" w:space="0" w:color="auto"/>
              <w:bottom w:val="nil"/>
              <w:right w:val="single" w:sz="4" w:space="0" w:color="auto"/>
            </w:tcBorders>
          </w:tcPr>
          <w:p w14:paraId="731473D3" w14:textId="78B8BAA9" w:rsidR="00090CF2" w:rsidRPr="00183B5F" w:rsidRDefault="00943743" w:rsidP="004062FE">
            <w:pPr>
              <w:spacing w:line="240" w:lineRule="auto"/>
              <w:jc w:val="center"/>
              <w:rPr>
                <w:del w:id="6387" w:author="AbbVie_HU_03" w:date="2025-05-14T15:27:00Z"/>
                <w:szCs w:val="22"/>
              </w:rPr>
            </w:pPr>
            <w:del w:id="6388" w:author="AbbVie_HU_03" w:date="2025-05-14T15:27:00Z">
              <w:r w:rsidRPr="00183B5F">
                <w:rPr>
                  <w:szCs w:val="22"/>
                </w:rPr>
                <w:delText>24.</w:delText>
              </w:r>
              <w:r w:rsidR="00A44DB6" w:rsidRPr="00183B5F">
                <w:rPr>
                  <w:szCs w:val="22"/>
                </w:rPr>
                <w:delText> hét</w:delText>
              </w:r>
            </w:del>
          </w:p>
        </w:tc>
        <w:tc>
          <w:tcPr>
            <w:tcW w:w="1857" w:type="dxa"/>
            <w:tcBorders>
              <w:top w:val="nil"/>
              <w:left w:val="single" w:sz="4" w:space="0" w:color="auto"/>
              <w:bottom w:val="nil"/>
            </w:tcBorders>
          </w:tcPr>
          <w:p w14:paraId="72AC5D16" w14:textId="1947EA20" w:rsidR="00090CF2" w:rsidRPr="00183B5F" w:rsidRDefault="00943743" w:rsidP="004062FE">
            <w:pPr>
              <w:spacing w:line="240" w:lineRule="auto"/>
              <w:jc w:val="center"/>
              <w:rPr>
                <w:del w:id="6389" w:author="AbbVie_HU_03" w:date="2025-05-14T15:27:00Z"/>
                <w:szCs w:val="22"/>
              </w:rPr>
            </w:pPr>
            <w:del w:id="6390" w:author="AbbVie_HU_03" w:date="2025-05-14T15:27:00Z">
              <w:r w:rsidRPr="00183B5F">
                <w:rPr>
                  <w:szCs w:val="22"/>
                </w:rPr>
                <w:delText>15%</w:delText>
              </w:r>
            </w:del>
          </w:p>
        </w:tc>
        <w:tc>
          <w:tcPr>
            <w:tcW w:w="1857" w:type="dxa"/>
            <w:tcBorders>
              <w:top w:val="nil"/>
              <w:bottom w:val="nil"/>
            </w:tcBorders>
          </w:tcPr>
          <w:p w14:paraId="597C0383" w14:textId="66F20198" w:rsidR="00090CF2" w:rsidRPr="00183B5F" w:rsidRDefault="00943743" w:rsidP="004062FE">
            <w:pPr>
              <w:spacing w:line="240" w:lineRule="auto"/>
              <w:jc w:val="center"/>
              <w:rPr>
                <w:del w:id="6391" w:author="AbbVie_HU_03" w:date="2025-05-14T15:27:00Z"/>
                <w:szCs w:val="22"/>
              </w:rPr>
            </w:pPr>
            <w:del w:id="6392" w:author="AbbVie_HU_03" w:date="2025-05-14T15:27:00Z">
              <w:r w:rsidRPr="00183B5F">
                <w:rPr>
                  <w:szCs w:val="22"/>
                </w:rPr>
                <w:delText>57%</w:delText>
              </w:r>
              <w:r w:rsidRPr="00183B5F">
                <w:rPr>
                  <w:szCs w:val="22"/>
                  <w:vertAlign w:val="superscript"/>
                </w:rPr>
                <w:delText>***</w:delText>
              </w:r>
            </w:del>
          </w:p>
        </w:tc>
        <w:tc>
          <w:tcPr>
            <w:tcW w:w="1857" w:type="dxa"/>
            <w:tcBorders>
              <w:top w:val="nil"/>
              <w:bottom w:val="nil"/>
            </w:tcBorders>
          </w:tcPr>
          <w:p w14:paraId="059F8F70" w14:textId="04187867" w:rsidR="00090CF2" w:rsidRPr="00183B5F" w:rsidRDefault="00943743" w:rsidP="004062FE">
            <w:pPr>
              <w:spacing w:line="240" w:lineRule="auto"/>
              <w:jc w:val="center"/>
              <w:rPr>
                <w:del w:id="6393" w:author="AbbVie_HU_03" w:date="2025-05-14T15:27:00Z"/>
                <w:szCs w:val="22"/>
              </w:rPr>
            </w:pPr>
            <w:del w:id="6394" w:author="AbbVie_HU_03" w:date="2025-05-14T15:27:00Z">
              <w:r w:rsidRPr="00183B5F">
                <w:rPr>
                  <w:szCs w:val="22"/>
                </w:rPr>
                <w:delText>N/A</w:delText>
              </w:r>
            </w:del>
          </w:p>
        </w:tc>
        <w:tc>
          <w:tcPr>
            <w:tcW w:w="1857" w:type="dxa"/>
            <w:tcBorders>
              <w:top w:val="nil"/>
              <w:bottom w:val="nil"/>
            </w:tcBorders>
          </w:tcPr>
          <w:p w14:paraId="554E5CCE" w14:textId="70A0BC1A" w:rsidR="00090CF2" w:rsidRPr="00183B5F" w:rsidRDefault="00943743" w:rsidP="004062FE">
            <w:pPr>
              <w:spacing w:line="240" w:lineRule="auto"/>
              <w:jc w:val="center"/>
              <w:rPr>
                <w:del w:id="6395" w:author="AbbVie_HU_03" w:date="2025-05-14T15:27:00Z"/>
                <w:szCs w:val="22"/>
              </w:rPr>
            </w:pPr>
            <w:del w:id="6396" w:author="AbbVie_HU_03" w:date="2025-05-14T15:27:00Z">
              <w:r w:rsidRPr="00183B5F">
                <w:rPr>
                  <w:szCs w:val="22"/>
                </w:rPr>
                <w:delText>N/A</w:delText>
              </w:r>
            </w:del>
          </w:p>
        </w:tc>
      </w:tr>
      <w:tr w:rsidR="00011D2F" w14:paraId="09F913E6" w14:textId="131B9407" w:rsidTr="004062FE">
        <w:trPr>
          <w:del w:id="6397" w:author="AbbVie_HU_03" w:date="2025-05-14T15:27:00Z"/>
        </w:trPr>
        <w:tc>
          <w:tcPr>
            <w:tcW w:w="1857" w:type="dxa"/>
            <w:tcBorders>
              <w:top w:val="nil"/>
              <w:left w:val="single" w:sz="4" w:space="0" w:color="auto"/>
              <w:bottom w:val="nil"/>
              <w:right w:val="single" w:sz="4" w:space="0" w:color="auto"/>
            </w:tcBorders>
          </w:tcPr>
          <w:p w14:paraId="716E7FA3" w14:textId="3B11C9DD" w:rsidR="00090CF2" w:rsidRPr="00183B5F" w:rsidRDefault="00943743" w:rsidP="004062FE">
            <w:pPr>
              <w:spacing w:line="240" w:lineRule="auto"/>
              <w:rPr>
                <w:del w:id="6398" w:author="AbbVie_HU_03" w:date="2025-05-14T15:27:00Z"/>
                <w:szCs w:val="22"/>
              </w:rPr>
            </w:pPr>
            <w:del w:id="6399" w:author="AbbVie_HU_03" w:date="2025-05-14T15:27:00Z">
              <w:r w:rsidRPr="00183B5F">
                <w:rPr>
                  <w:szCs w:val="22"/>
                </w:rPr>
                <w:delText>ACR 50</w:delText>
              </w:r>
            </w:del>
          </w:p>
        </w:tc>
        <w:tc>
          <w:tcPr>
            <w:tcW w:w="1857" w:type="dxa"/>
            <w:tcBorders>
              <w:top w:val="nil"/>
              <w:left w:val="single" w:sz="4" w:space="0" w:color="auto"/>
              <w:bottom w:val="nil"/>
            </w:tcBorders>
          </w:tcPr>
          <w:p w14:paraId="372375BE" w14:textId="3479EE24" w:rsidR="00090CF2" w:rsidRPr="00183B5F" w:rsidRDefault="00090CF2" w:rsidP="004062FE">
            <w:pPr>
              <w:spacing w:line="240" w:lineRule="auto"/>
              <w:jc w:val="center"/>
              <w:rPr>
                <w:del w:id="6400" w:author="AbbVie_HU_03" w:date="2025-05-14T15:27:00Z"/>
                <w:szCs w:val="22"/>
              </w:rPr>
            </w:pPr>
          </w:p>
        </w:tc>
        <w:tc>
          <w:tcPr>
            <w:tcW w:w="1857" w:type="dxa"/>
            <w:tcBorders>
              <w:top w:val="nil"/>
              <w:bottom w:val="nil"/>
            </w:tcBorders>
          </w:tcPr>
          <w:p w14:paraId="6668D8A8" w14:textId="44B1A029" w:rsidR="00090CF2" w:rsidRPr="00183B5F" w:rsidRDefault="00090CF2" w:rsidP="004062FE">
            <w:pPr>
              <w:spacing w:line="240" w:lineRule="auto"/>
              <w:jc w:val="center"/>
              <w:rPr>
                <w:del w:id="6401" w:author="AbbVie_HU_03" w:date="2025-05-14T15:27:00Z"/>
                <w:szCs w:val="22"/>
              </w:rPr>
            </w:pPr>
          </w:p>
        </w:tc>
        <w:tc>
          <w:tcPr>
            <w:tcW w:w="1857" w:type="dxa"/>
            <w:tcBorders>
              <w:top w:val="nil"/>
              <w:bottom w:val="nil"/>
            </w:tcBorders>
          </w:tcPr>
          <w:p w14:paraId="5F4C8EAE" w14:textId="6D5A30DD" w:rsidR="00090CF2" w:rsidRPr="00183B5F" w:rsidRDefault="00090CF2" w:rsidP="004062FE">
            <w:pPr>
              <w:spacing w:line="240" w:lineRule="auto"/>
              <w:jc w:val="center"/>
              <w:rPr>
                <w:del w:id="6402" w:author="AbbVie_HU_03" w:date="2025-05-14T15:27:00Z"/>
                <w:szCs w:val="22"/>
              </w:rPr>
            </w:pPr>
          </w:p>
        </w:tc>
        <w:tc>
          <w:tcPr>
            <w:tcW w:w="1857" w:type="dxa"/>
            <w:tcBorders>
              <w:top w:val="nil"/>
              <w:bottom w:val="nil"/>
            </w:tcBorders>
          </w:tcPr>
          <w:p w14:paraId="170A8766" w14:textId="381184AC" w:rsidR="00090CF2" w:rsidRPr="00183B5F" w:rsidRDefault="00090CF2" w:rsidP="004062FE">
            <w:pPr>
              <w:spacing w:line="240" w:lineRule="auto"/>
              <w:jc w:val="center"/>
              <w:rPr>
                <w:del w:id="6403" w:author="AbbVie_HU_03" w:date="2025-05-14T15:27:00Z"/>
                <w:szCs w:val="22"/>
              </w:rPr>
            </w:pPr>
          </w:p>
        </w:tc>
      </w:tr>
      <w:tr w:rsidR="00011D2F" w14:paraId="194B1E04" w14:textId="15169A24" w:rsidTr="004062FE">
        <w:trPr>
          <w:del w:id="6404" w:author="AbbVie_HU_03" w:date="2025-05-14T15:27:00Z"/>
        </w:trPr>
        <w:tc>
          <w:tcPr>
            <w:tcW w:w="1857" w:type="dxa"/>
            <w:tcBorders>
              <w:top w:val="nil"/>
              <w:left w:val="single" w:sz="4" w:space="0" w:color="auto"/>
              <w:bottom w:val="nil"/>
              <w:right w:val="single" w:sz="4" w:space="0" w:color="auto"/>
            </w:tcBorders>
          </w:tcPr>
          <w:p w14:paraId="337D08BE" w14:textId="58CFB869" w:rsidR="00090CF2" w:rsidRPr="00183B5F" w:rsidRDefault="00943743" w:rsidP="004062FE">
            <w:pPr>
              <w:spacing w:line="240" w:lineRule="auto"/>
              <w:jc w:val="center"/>
              <w:rPr>
                <w:del w:id="6405" w:author="AbbVie_HU_03" w:date="2025-05-14T15:27:00Z"/>
                <w:szCs w:val="22"/>
              </w:rPr>
            </w:pPr>
            <w:del w:id="6406" w:author="AbbVie_HU_03" w:date="2025-05-14T15:27:00Z">
              <w:r w:rsidRPr="00183B5F">
                <w:rPr>
                  <w:szCs w:val="22"/>
                </w:rPr>
                <w:delText>12.</w:delText>
              </w:r>
              <w:r w:rsidR="00A44DB6" w:rsidRPr="00183B5F">
                <w:rPr>
                  <w:szCs w:val="22"/>
                </w:rPr>
                <w:delText> hét</w:delText>
              </w:r>
            </w:del>
          </w:p>
        </w:tc>
        <w:tc>
          <w:tcPr>
            <w:tcW w:w="1857" w:type="dxa"/>
            <w:tcBorders>
              <w:top w:val="nil"/>
              <w:left w:val="single" w:sz="4" w:space="0" w:color="auto"/>
              <w:bottom w:val="nil"/>
            </w:tcBorders>
          </w:tcPr>
          <w:p w14:paraId="5EC51E9D" w14:textId="10A22E39" w:rsidR="00090CF2" w:rsidRPr="00183B5F" w:rsidRDefault="00943743" w:rsidP="004062FE">
            <w:pPr>
              <w:spacing w:line="240" w:lineRule="auto"/>
              <w:jc w:val="center"/>
              <w:rPr>
                <w:del w:id="6407" w:author="AbbVie_HU_03" w:date="2025-05-14T15:27:00Z"/>
                <w:szCs w:val="22"/>
              </w:rPr>
            </w:pPr>
            <w:del w:id="6408" w:author="AbbVie_HU_03" w:date="2025-05-14T15:27:00Z">
              <w:r w:rsidRPr="00183B5F">
                <w:rPr>
                  <w:szCs w:val="22"/>
                </w:rPr>
                <w:delText>4%</w:delText>
              </w:r>
            </w:del>
          </w:p>
        </w:tc>
        <w:tc>
          <w:tcPr>
            <w:tcW w:w="1857" w:type="dxa"/>
            <w:tcBorders>
              <w:top w:val="nil"/>
              <w:bottom w:val="nil"/>
            </w:tcBorders>
          </w:tcPr>
          <w:p w14:paraId="4B3452B6" w14:textId="73F07D6E" w:rsidR="00090CF2" w:rsidRPr="00183B5F" w:rsidRDefault="00943743" w:rsidP="004062FE">
            <w:pPr>
              <w:spacing w:line="240" w:lineRule="auto"/>
              <w:jc w:val="center"/>
              <w:rPr>
                <w:del w:id="6409" w:author="AbbVie_HU_03" w:date="2025-05-14T15:27:00Z"/>
                <w:szCs w:val="22"/>
              </w:rPr>
            </w:pPr>
            <w:del w:id="6410" w:author="AbbVie_HU_03" w:date="2025-05-14T15:27:00Z">
              <w:r w:rsidRPr="00183B5F">
                <w:rPr>
                  <w:szCs w:val="22"/>
                </w:rPr>
                <w:delText>36%</w:delText>
              </w:r>
              <w:r w:rsidRPr="00183B5F">
                <w:rPr>
                  <w:szCs w:val="22"/>
                  <w:vertAlign w:val="superscript"/>
                </w:rPr>
                <w:delText>***</w:delText>
              </w:r>
            </w:del>
          </w:p>
        </w:tc>
        <w:tc>
          <w:tcPr>
            <w:tcW w:w="1857" w:type="dxa"/>
            <w:tcBorders>
              <w:top w:val="nil"/>
              <w:bottom w:val="nil"/>
            </w:tcBorders>
          </w:tcPr>
          <w:p w14:paraId="3155FC9D" w14:textId="2A388602" w:rsidR="00090CF2" w:rsidRPr="00183B5F" w:rsidRDefault="00943743" w:rsidP="004062FE">
            <w:pPr>
              <w:spacing w:line="240" w:lineRule="auto"/>
              <w:jc w:val="center"/>
              <w:rPr>
                <w:del w:id="6411" w:author="AbbVie_HU_03" w:date="2025-05-14T15:27:00Z"/>
                <w:szCs w:val="22"/>
              </w:rPr>
            </w:pPr>
            <w:del w:id="6412" w:author="AbbVie_HU_03" w:date="2025-05-14T15:27:00Z">
              <w:r w:rsidRPr="00183B5F">
                <w:rPr>
                  <w:szCs w:val="22"/>
                </w:rPr>
                <w:delText>2%</w:delText>
              </w:r>
            </w:del>
          </w:p>
        </w:tc>
        <w:tc>
          <w:tcPr>
            <w:tcW w:w="1857" w:type="dxa"/>
            <w:tcBorders>
              <w:top w:val="nil"/>
              <w:bottom w:val="nil"/>
            </w:tcBorders>
          </w:tcPr>
          <w:p w14:paraId="4AC8ED79" w14:textId="3CAEB305" w:rsidR="00090CF2" w:rsidRPr="00183B5F" w:rsidRDefault="00943743" w:rsidP="004062FE">
            <w:pPr>
              <w:spacing w:line="240" w:lineRule="auto"/>
              <w:jc w:val="center"/>
              <w:rPr>
                <w:del w:id="6413" w:author="AbbVie_HU_03" w:date="2025-05-14T15:27:00Z"/>
                <w:szCs w:val="22"/>
              </w:rPr>
            </w:pPr>
            <w:del w:id="6414" w:author="AbbVie_HU_03" w:date="2025-05-14T15:27:00Z">
              <w:r w:rsidRPr="00183B5F">
                <w:rPr>
                  <w:szCs w:val="22"/>
                </w:rPr>
                <w:delText>25%</w:delText>
              </w:r>
              <w:r w:rsidRPr="00183B5F">
                <w:rPr>
                  <w:szCs w:val="22"/>
                  <w:vertAlign w:val="superscript"/>
                </w:rPr>
                <w:delText>***</w:delText>
              </w:r>
            </w:del>
          </w:p>
        </w:tc>
      </w:tr>
      <w:tr w:rsidR="00011D2F" w14:paraId="2602232B" w14:textId="53FEB261" w:rsidTr="004062FE">
        <w:trPr>
          <w:del w:id="6415" w:author="AbbVie_HU_03" w:date="2025-05-14T15:27:00Z"/>
        </w:trPr>
        <w:tc>
          <w:tcPr>
            <w:tcW w:w="1857" w:type="dxa"/>
            <w:tcBorders>
              <w:top w:val="nil"/>
              <w:left w:val="single" w:sz="4" w:space="0" w:color="auto"/>
              <w:bottom w:val="nil"/>
              <w:right w:val="single" w:sz="4" w:space="0" w:color="auto"/>
            </w:tcBorders>
          </w:tcPr>
          <w:p w14:paraId="71CB37DF" w14:textId="18AA5D3E" w:rsidR="00090CF2" w:rsidRPr="00183B5F" w:rsidRDefault="00943743" w:rsidP="004062FE">
            <w:pPr>
              <w:spacing w:line="240" w:lineRule="auto"/>
              <w:jc w:val="center"/>
              <w:rPr>
                <w:del w:id="6416" w:author="AbbVie_HU_03" w:date="2025-05-14T15:27:00Z"/>
                <w:szCs w:val="22"/>
              </w:rPr>
            </w:pPr>
            <w:del w:id="6417" w:author="AbbVie_HU_03" w:date="2025-05-14T15:27:00Z">
              <w:r w:rsidRPr="00183B5F">
                <w:rPr>
                  <w:szCs w:val="22"/>
                </w:rPr>
                <w:delText>24.</w:delText>
              </w:r>
              <w:r w:rsidR="00A44DB6" w:rsidRPr="00183B5F">
                <w:rPr>
                  <w:szCs w:val="22"/>
                </w:rPr>
                <w:delText> hét</w:delText>
              </w:r>
            </w:del>
          </w:p>
        </w:tc>
        <w:tc>
          <w:tcPr>
            <w:tcW w:w="1857" w:type="dxa"/>
            <w:tcBorders>
              <w:top w:val="nil"/>
              <w:left w:val="single" w:sz="4" w:space="0" w:color="auto"/>
              <w:bottom w:val="nil"/>
            </w:tcBorders>
          </w:tcPr>
          <w:p w14:paraId="1C2B5D9A" w14:textId="40B953AD" w:rsidR="00090CF2" w:rsidRPr="00183B5F" w:rsidRDefault="00943743" w:rsidP="004062FE">
            <w:pPr>
              <w:spacing w:line="240" w:lineRule="auto"/>
              <w:jc w:val="center"/>
              <w:rPr>
                <w:del w:id="6418" w:author="AbbVie_HU_03" w:date="2025-05-14T15:27:00Z"/>
                <w:szCs w:val="22"/>
              </w:rPr>
            </w:pPr>
            <w:del w:id="6419" w:author="AbbVie_HU_03" w:date="2025-05-14T15:27:00Z">
              <w:r w:rsidRPr="00183B5F">
                <w:rPr>
                  <w:szCs w:val="22"/>
                </w:rPr>
                <w:delText>6%</w:delText>
              </w:r>
            </w:del>
          </w:p>
        </w:tc>
        <w:tc>
          <w:tcPr>
            <w:tcW w:w="1857" w:type="dxa"/>
            <w:tcBorders>
              <w:top w:val="nil"/>
              <w:bottom w:val="nil"/>
            </w:tcBorders>
          </w:tcPr>
          <w:p w14:paraId="46B28C86" w14:textId="33A975AC" w:rsidR="00090CF2" w:rsidRPr="00183B5F" w:rsidRDefault="00943743" w:rsidP="004062FE">
            <w:pPr>
              <w:spacing w:line="240" w:lineRule="auto"/>
              <w:jc w:val="center"/>
              <w:rPr>
                <w:del w:id="6420" w:author="AbbVie_HU_03" w:date="2025-05-14T15:27:00Z"/>
                <w:szCs w:val="22"/>
              </w:rPr>
            </w:pPr>
            <w:del w:id="6421" w:author="AbbVie_HU_03" w:date="2025-05-14T15:27:00Z">
              <w:r w:rsidRPr="00183B5F">
                <w:rPr>
                  <w:szCs w:val="22"/>
                </w:rPr>
                <w:delText>39%</w:delText>
              </w:r>
              <w:r w:rsidRPr="00183B5F">
                <w:rPr>
                  <w:szCs w:val="22"/>
                  <w:vertAlign w:val="superscript"/>
                </w:rPr>
                <w:delText>***</w:delText>
              </w:r>
            </w:del>
          </w:p>
        </w:tc>
        <w:tc>
          <w:tcPr>
            <w:tcW w:w="1857" w:type="dxa"/>
            <w:tcBorders>
              <w:top w:val="nil"/>
              <w:bottom w:val="nil"/>
            </w:tcBorders>
          </w:tcPr>
          <w:p w14:paraId="4AC5D7A1" w14:textId="26B76836" w:rsidR="00090CF2" w:rsidRPr="00183B5F" w:rsidRDefault="00943743" w:rsidP="004062FE">
            <w:pPr>
              <w:spacing w:line="240" w:lineRule="auto"/>
              <w:jc w:val="center"/>
              <w:rPr>
                <w:del w:id="6422" w:author="AbbVie_HU_03" w:date="2025-05-14T15:27:00Z"/>
                <w:szCs w:val="22"/>
              </w:rPr>
            </w:pPr>
            <w:del w:id="6423" w:author="AbbVie_HU_03" w:date="2025-05-14T15:27:00Z">
              <w:r w:rsidRPr="00183B5F">
                <w:rPr>
                  <w:szCs w:val="22"/>
                </w:rPr>
                <w:delText>N/A</w:delText>
              </w:r>
            </w:del>
          </w:p>
        </w:tc>
        <w:tc>
          <w:tcPr>
            <w:tcW w:w="1857" w:type="dxa"/>
            <w:tcBorders>
              <w:top w:val="nil"/>
              <w:bottom w:val="nil"/>
            </w:tcBorders>
          </w:tcPr>
          <w:p w14:paraId="22EE2B5C" w14:textId="6F9F7955" w:rsidR="00090CF2" w:rsidRPr="00183B5F" w:rsidRDefault="00943743" w:rsidP="004062FE">
            <w:pPr>
              <w:spacing w:line="240" w:lineRule="auto"/>
              <w:jc w:val="center"/>
              <w:rPr>
                <w:del w:id="6424" w:author="AbbVie_HU_03" w:date="2025-05-14T15:27:00Z"/>
                <w:szCs w:val="22"/>
              </w:rPr>
            </w:pPr>
            <w:del w:id="6425" w:author="AbbVie_HU_03" w:date="2025-05-14T15:27:00Z">
              <w:r w:rsidRPr="00183B5F">
                <w:rPr>
                  <w:szCs w:val="22"/>
                </w:rPr>
                <w:delText>N/A</w:delText>
              </w:r>
            </w:del>
          </w:p>
        </w:tc>
      </w:tr>
      <w:tr w:rsidR="00011D2F" w14:paraId="020D70B1" w14:textId="72DE66B6" w:rsidTr="004062FE">
        <w:trPr>
          <w:del w:id="6426" w:author="AbbVie_HU_03" w:date="2025-05-14T15:27:00Z"/>
        </w:trPr>
        <w:tc>
          <w:tcPr>
            <w:tcW w:w="1857" w:type="dxa"/>
            <w:tcBorders>
              <w:top w:val="nil"/>
              <w:left w:val="single" w:sz="4" w:space="0" w:color="auto"/>
              <w:bottom w:val="nil"/>
              <w:right w:val="single" w:sz="4" w:space="0" w:color="auto"/>
            </w:tcBorders>
          </w:tcPr>
          <w:p w14:paraId="3B0BEBAF" w14:textId="520F67CB" w:rsidR="00090CF2" w:rsidRPr="00183B5F" w:rsidRDefault="00943743" w:rsidP="004062FE">
            <w:pPr>
              <w:spacing w:line="240" w:lineRule="auto"/>
              <w:rPr>
                <w:del w:id="6427" w:author="AbbVie_HU_03" w:date="2025-05-14T15:27:00Z"/>
                <w:szCs w:val="22"/>
              </w:rPr>
            </w:pPr>
            <w:del w:id="6428" w:author="AbbVie_HU_03" w:date="2025-05-14T15:27:00Z">
              <w:r w:rsidRPr="00183B5F">
                <w:rPr>
                  <w:szCs w:val="22"/>
                </w:rPr>
                <w:delText>ACR 70</w:delText>
              </w:r>
            </w:del>
          </w:p>
        </w:tc>
        <w:tc>
          <w:tcPr>
            <w:tcW w:w="1857" w:type="dxa"/>
            <w:tcBorders>
              <w:top w:val="nil"/>
              <w:left w:val="single" w:sz="4" w:space="0" w:color="auto"/>
              <w:bottom w:val="nil"/>
            </w:tcBorders>
          </w:tcPr>
          <w:p w14:paraId="535D61DA" w14:textId="340DC8DD" w:rsidR="00090CF2" w:rsidRPr="00183B5F" w:rsidRDefault="00090CF2" w:rsidP="004062FE">
            <w:pPr>
              <w:spacing w:line="240" w:lineRule="auto"/>
              <w:jc w:val="center"/>
              <w:rPr>
                <w:del w:id="6429" w:author="AbbVie_HU_03" w:date="2025-05-14T15:27:00Z"/>
                <w:szCs w:val="22"/>
              </w:rPr>
            </w:pPr>
          </w:p>
        </w:tc>
        <w:tc>
          <w:tcPr>
            <w:tcW w:w="1857" w:type="dxa"/>
            <w:tcBorders>
              <w:top w:val="nil"/>
              <w:bottom w:val="nil"/>
            </w:tcBorders>
          </w:tcPr>
          <w:p w14:paraId="407FDAC3" w14:textId="0FDF9244" w:rsidR="00090CF2" w:rsidRPr="00183B5F" w:rsidRDefault="00090CF2" w:rsidP="004062FE">
            <w:pPr>
              <w:spacing w:line="240" w:lineRule="auto"/>
              <w:jc w:val="center"/>
              <w:rPr>
                <w:del w:id="6430" w:author="AbbVie_HU_03" w:date="2025-05-14T15:27:00Z"/>
                <w:szCs w:val="22"/>
              </w:rPr>
            </w:pPr>
          </w:p>
        </w:tc>
        <w:tc>
          <w:tcPr>
            <w:tcW w:w="1857" w:type="dxa"/>
            <w:tcBorders>
              <w:top w:val="nil"/>
              <w:bottom w:val="nil"/>
            </w:tcBorders>
          </w:tcPr>
          <w:p w14:paraId="03F83A45" w14:textId="0EFAF53A" w:rsidR="00090CF2" w:rsidRPr="00183B5F" w:rsidRDefault="00090CF2" w:rsidP="004062FE">
            <w:pPr>
              <w:spacing w:line="240" w:lineRule="auto"/>
              <w:jc w:val="center"/>
              <w:rPr>
                <w:del w:id="6431" w:author="AbbVie_HU_03" w:date="2025-05-14T15:27:00Z"/>
                <w:szCs w:val="22"/>
              </w:rPr>
            </w:pPr>
          </w:p>
        </w:tc>
        <w:tc>
          <w:tcPr>
            <w:tcW w:w="1857" w:type="dxa"/>
            <w:tcBorders>
              <w:top w:val="nil"/>
              <w:bottom w:val="nil"/>
            </w:tcBorders>
          </w:tcPr>
          <w:p w14:paraId="64E00ADB" w14:textId="4C9E603A" w:rsidR="00090CF2" w:rsidRPr="00183B5F" w:rsidRDefault="00090CF2" w:rsidP="004062FE">
            <w:pPr>
              <w:spacing w:line="240" w:lineRule="auto"/>
              <w:jc w:val="center"/>
              <w:rPr>
                <w:del w:id="6432" w:author="AbbVie_HU_03" w:date="2025-05-14T15:27:00Z"/>
                <w:szCs w:val="22"/>
              </w:rPr>
            </w:pPr>
          </w:p>
        </w:tc>
      </w:tr>
      <w:tr w:rsidR="00011D2F" w14:paraId="13B22E35" w14:textId="682CBB21" w:rsidTr="004062FE">
        <w:trPr>
          <w:del w:id="6433" w:author="AbbVie_HU_03" w:date="2025-05-14T15:27:00Z"/>
        </w:trPr>
        <w:tc>
          <w:tcPr>
            <w:tcW w:w="1857" w:type="dxa"/>
            <w:tcBorders>
              <w:top w:val="nil"/>
              <w:left w:val="single" w:sz="4" w:space="0" w:color="auto"/>
              <w:bottom w:val="nil"/>
              <w:right w:val="single" w:sz="4" w:space="0" w:color="auto"/>
            </w:tcBorders>
          </w:tcPr>
          <w:p w14:paraId="58A8F6D0" w14:textId="296A8E8A" w:rsidR="00090CF2" w:rsidRPr="00183B5F" w:rsidRDefault="00943743" w:rsidP="004062FE">
            <w:pPr>
              <w:spacing w:line="240" w:lineRule="auto"/>
              <w:jc w:val="center"/>
              <w:rPr>
                <w:del w:id="6434" w:author="AbbVie_HU_03" w:date="2025-05-14T15:27:00Z"/>
                <w:szCs w:val="22"/>
              </w:rPr>
            </w:pPr>
            <w:del w:id="6435" w:author="AbbVie_HU_03" w:date="2025-05-14T15:27:00Z">
              <w:r w:rsidRPr="00183B5F">
                <w:rPr>
                  <w:szCs w:val="22"/>
                </w:rPr>
                <w:delText>12.</w:delText>
              </w:r>
              <w:r w:rsidR="00A44DB6" w:rsidRPr="00183B5F">
                <w:rPr>
                  <w:szCs w:val="22"/>
                </w:rPr>
                <w:delText> hét</w:delText>
              </w:r>
            </w:del>
          </w:p>
        </w:tc>
        <w:tc>
          <w:tcPr>
            <w:tcW w:w="1857" w:type="dxa"/>
            <w:tcBorders>
              <w:top w:val="nil"/>
              <w:left w:val="single" w:sz="4" w:space="0" w:color="auto"/>
              <w:bottom w:val="nil"/>
            </w:tcBorders>
          </w:tcPr>
          <w:p w14:paraId="65117276" w14:textId="0F65C81A" w:rsidR="00090CF2" w:rsidRPr="00183B5F" w:rsidRDefault="00943743" w:rsidP="004062FE">
            <w:pPr>
              <w:spacing w:line="240" w:lineRule="auto"/>
              <w:jc w:val="center"/>
              <w:rPr>
                <w:del w:id="6436" w:author="AbbVie_HU_03" w:date="2025-05-14T15:27:00Z"/>
                <w:szCs w:val="22"/>
              </w:rPr>
            </w:pPr>
            <w:del w:id="6437" w:author="AbbVie_HU_03" w:date="2025-05-14T15:27:00Z">
              <w:r w:rsidRPr="00183B5F">
                <w:rPr>
                  <w:szCs w:val="22"/>
                </w:rPr>
                <w:delText>1%</w:delText>
              </w:r>
            </w:del>
          </w:p>
        </w:tc>
        <w:tc>
          <w:tcPr>
            <w:tcW w:w="1857" w:type="dxa"/>
            <w:tcBorders>
              <w:top w:val="nil"/>
              <w:bottom w:val="nil"/>
            </w:tcBorders>
          </w:tcPr>
          <w:p w14:paraId="69611519" w14:textId="43C7571C" w:rsidR="00090CF2" w:rsidRPr="00183B5F" w:rsidRDefault="00943743" w:rsidP="004062FE">
            <w:pPr>
              <w:spacing w:line="240" w:lineRule="auto"/>
              <w:jc w:val="center"/>
              <w:rPr>
                <w:del w:id="6438" w:author="AbbVie_HU_03" w:date="2025-05-14T15:27:00Z"/>
                <w:szCs w:val="22"/>
              </w:rPr>
            </w:pPr>
            <w:del w:id="6439" w:author="AbbVie_HU_03" w:date="2025-05-14T15:27:00Z">
              <w:r w:rsidRPr="00183B5F">
                <w:rPr>
                  <w:szCs w:val="22"/>
                </w:rPr>
                <w:delText>20%</w:delText>
              </w:r>
              <w:r w:rsidRPr="00183B5F">
                <w:rPr>
                  <w:szCs w:val="22"/>
                  <w:vertAlign w:val="superscript"/>
                </w:rPr>
                <w:delText>***</w:delText>
              </w:r>
            </w:del>
          </w:p>
        </w:tc>
        <w:tc>
          <w:tcPr>
            <w:tcW w:w="1857" w:type="dxa"/>
            <w:tcBorders>
              <w:top w:val="nil"/>
              <w:bottom w:val="nil"/>
            </w:tcBorders>
          </w:tcPr>
          <w:p w14:paraId="4C734011" w14:textId="4399D1B4" w:rsidR="00090CF2" w:rsidRPr="00183B5F" w:rsidRDefault="00943743" w:rsidP="004062FE">
            <w:pPr>
              <w:spacing w:line="240" w:lineRule="auto"/>
              <w:jc w:val="center"/>
              <w:rPr>
                <w:del w:id="6440" w:author="AbbVie_HU_03" w:date="2025-05-14T15:27:00Z"/>
                <w:szCs w:val="22"/>
              </w:rPr>
            </w:pPr>
            <w:del w:id="6441" w:author="AbbVie_HU_03" w:date="2025-05-14T15:27:00Z">
              <w:r w:rsidRPr="00183B5F">
                <w:rPr>
                  <w:szCs w:val="22"/>
                </w:rPr>
                <w:delText>0%</w:delText>
              </w:r>
            </w:del>
          </w:p>
        </w:tc>
        <w:tc>
          <w:tcPr>
            <w:tcW w:w="1857" w:type="dxa"/>
            <w:tcBorders>
              <w:top w:val="nil"/>
              <w:bottom w:val="nil"/>
            </w:tcBorders>
          </w:tcPr>
          <w:p w14:paraId="7C6D99CC" w14:textId="40F73EB0" w:rsidR="00090CF2" w:rsidRPr="00183B5F" w:rsidRDefault="00943743" w:rsidP="004062FE">
            <w:pPr>
              <w:spacing w:line="240" w:lineRule="auto"/>
              <w:jc w:val="center"/>
              <w:rPr>
                <w:del w:id="6442" w:author="AbbVie_HU_03" w:date="2025-05-14T15:27:00Z"/>
                <w:szCs w:val="22"/>
              </w:rPr>
            </w:pPr>
            <w:del w:id="6443" w:author="AbbVie_HU_03" w:date="2025-05-14T15:27:00Z">
              <w:r w:rsidRPr="00183B5F">
                <w:rPr>
                  <w:szCs w:val="22"/>
                </w:rPr>
                <w:delText>14%</w:delText>
              </w:r>
              <w:r w:rsidRPr="00183B5F">
                <w:rPr>
                  <w:szCs w:val="22"/>
                  <w:vertAlign w:val="superscript"/>
                </w:rPr>
                <w:delText>*</w:delText>
              </w:r>
            </w:del>
          </w:p>
        </w:tc>
      </w:tr>
      <w:tr w:rsidR="00011D2F" w14:paraId="0895302E" w14:textId="4FC6A178" w:rsidTr="004062FE">
        <w:trPr>
          <w:del w:id="6444" w:author="AbbVie_HU_03" w:date="2025-05-14T15:27:00Z"/>
        </w:trPr>
        <w:tc>
          <w:tcPr>
            <w:tcW w:w="1857" w:type="dxa"/>
            <w:tcBorders>
              <w:top w:val="nil"/>
              <w:left w:val="single" w:sz="4" w:space="0" w:color="auto"/>
              <w:bottom w:val="single" w:sz="4" w:space="0" w:color="auto"/>
              <w:right w:val="single" w:sz="4" w:space="0" w:color="auto"/>
            </w:tcBorders>
          </w:tcPr>
          <w:p w14:paraId="35A36DEA" w14:textId="6D6A05EA" w:rsidR="00090CF2" w:rsidRPr="00183B5F" w:rsidRDefault="00943743" w:rsidP="004062FE">
            <w:pPr>
              <w:spacing w:line="240" w:lineRule="auto"/>
              <w:jc w:val="center"/>
              <w:rPr>
                <w:del w:id="6445" w:author="AbbVie_HU_03" w:date="2025-05-14T15:27:00Z"/>
                <w:szCs w:val="22"/>
              </w:rPr>
            </w:pPr>
            <w:del w:id="6446" w:author="AbbVie_HU_03" w:date="2025-05-14T15:27:00Z">
              <w:r w:rsidRPr="00183B5F">
                <w:rPr>
                  <w:szCs w:val="22"/>
                </w:rPr>
                <w:delText>24.</w:delText>
              </w:r>
              <w:r w:rsidR="00A44DB6" w:rsidRPr="00183B5F">
                <w:rPr>
                  <w:szCs w:val="22"/>
                </w:rPr>
                <w:delText> hét</w:delText>
              </w:r>
            </w:del>
          </w:p>
        </w:tc>
        <w:tc>
          <w:tcPr>
            <w:tcW w:w="1857" w:type="dxa"/>
            <w:tcBorders>
              <w:top w:val="nil"/>
              <w:left w:val="single" w:sz="4" w:space="0" w:color="auto"/>
            </w:tcBorders>
          </w:tcPr>
          <w:p w14:paraId="59BC687F" w14:textId="03232FDB" w:rsidR="00090CF2" w:rsidRPr="00183B5F" w:rsidRDefault="00943743" w:rsidP="004062FE">
            <w:pPr>
              <w:spacing w:line="240" w:lineRule="auto"/>
              <w:jc w:val="center"/>
              <w:rPr>
                <w:del w:id="6447" w:author="AbbVie_HU_03" w:date="2025-05-14T15:27:00Z"/>
                <w:szCs w:val="22"/>
              </w:rPr>
            </w:pPr>
            <w:del w:id="6448" w:author="AbbVie_HU_03" w:date="2025-05-14T15:27:00Z">
              <w:r w:rsidRPr="00183B5F">
                <w:rPr>
                  <w:szCs w:val="22"/>
                </w:rPr>
                <w:delText>1%</w:delText>
              </w:r>
            </w:del>
          </w:p>
        </w:tc>
        <w:tc>
          <w:tcPr>
            <w:tcW w:w="1857" w:type="dxa"/>
            <w:tcBorders>
              <w:top w:val="nil"/>
            </w:tcBorders>
          </w:tcPr>
          <w:p w14:paraId="2C01BCB6" w14:textId="233CB70F" w:rsidR="00090CF2" w:rsidRPr="00183B5F" w:rsidRDefault="00943743" w:rsidP="004062FE">
            <w:pPr>
              <w:spacing w:line="240" w:lineRule="auto"/>
              <w:jc w:val="center"/>
              <w:rPr>
                <w:del w:id="6449" w:author="AbbVie_HU_03" w:date="2025-05-14T15:27:00Z"/>
                <w:szCs w:val="22"/>
              </w:rPr>
            </w:pPr>
            <w:del w:id="6450" w:author="AbbVie_HU_03" w:date="2025-05-14T15:27:00Z">
              <w:r w:rsidRPr="00183B5F">
                <w:rPr>
                  <w:szCs w:val="22"/>
                </w:rPr>
                <w:delText>23%</w:delText>
              </w:r>
              <w:r w:rsidRPr="00183B5F">
                <w:rPr>
                  <w:szCs w:val="22"/>
                  <w:vertAlign w:val="superscript"/>
                </w:rPr>
                <w:delText>***</w:delText>
              </w:r>
            </w:del>
          </w:p>
        </w:tc>
        <w:tc>
          <w:tcPr>
            <w:tcW w:w="1857" w:type="dxa"/>
            <w:tcBorders>
              <w:top w:val="nil"/>
            </w:tcBorders>
          </w:tcPr>
          <w:p w14:paraId="59B14D29" w14:textId="2EC109BA" w:rsidR="00090CF2" w:rsidRPr="00183B5F" w:rsidRDefault="00943743" w:rsidP="004062FE">
            <w:pPr>
              <w:spacing w:line="240" w:lineRule="auto"/>
              <w:jc w:val="center"/>
              <w:rPr>
                <w:del w:id="6451" w:author="AbbVie_HU_03" w:date="2025-05-14T15:27:00Z"/>
                <w:szCs w:val="22"/>
              </w:rPr>
            </w:pPr>
            <w:del w:id="6452" w:author="AbbVie_HU_03" w:date="2025-05-14T15:27:00Z">
              <w:r w:rsidRPr="00183B5F">
                <w:rPr>
                  <w:szCs w:val="22"/>
                </w:rPr>
                <w:delText>N/A</w:delText>
              </w:r>
            </w:del>
          </w:p>
        </w:tc>
        <w:tc>
          <w:tcPr>
            <w:tcW w:w="1857" w:type="dxa"/>
            <w:tcBorders>
              <w:top w:val="nil"/>
            </w:tcBorders>
          </w:tcPr>
          <w:p w14:paraId="01E9FCD5" w14:textId="736DA101" w:rsidR="00090CF2" w:rsidRPr="00183B5F" w:rsidRDefault="00943743" w:rsidP="004062FE">
            <w:pPr>
              <w:spacing w:line="240" w:lineRule="auto"/>
              <w:jc w:val="center"/>
              <w:rPr>
                <w:del w:id="6453" w:author="AbbVie_HU_03" w:date="2025-05-14T15:27:00Z"/>
                <w:szCs w:val="22"/>
              </w:rPr>
            </w:pPr>
            <w:del w:id="6454" w:author="AbbVie_HU_03" w:date="2025-05-14T15:27:00Z">
              <w:r w:rsidRPr="00183B5F">
                <w:rPr>
                  <w:szCs w:val="22"/>
                </w:rPr>
                <w:delText xml:space="preserve">N/A </w:delText>
              </w:r>
            </w:del>
          </w:p>
        </w:tc>
      </w:tr>
    </w:tbl>
    <w:p w14:paraId="5E65FC0D" w14:textId="3162441A" w:rsidR="00090CF2" w:rsidRPr="00183B5F" w:rsidRDefault="00943743" w:rsidP="004062FE">
      <w:pPr>
        <w:spacing w:line="240" w:lineRule="auto"/>
        <w:rPr>
          <w:del w:id="6455" w:author="AbbVie_HU_03" w:date="2025-05-14T15:27:00Z"/>
          <w:szCs w:val="22"/>
        </w:rPr>
      </w:pPr>
      <w:del w:id="6456" w:author="AbbVie_HU_03" w:date="2025-05-14T15:27:00Z">
        <w:r w:rsidRPr="00183B5F">
          <w:rPr>
            <w:szCs w:val="22"/>
            <w:vertAlign w:val="superscript"/>
          </w:rPr>
          <w:delText>* * *</w:delText>
        </w:r>
        <w:r w:rsidR="00AD1D4B" w:rsidRPr="00183B5F">
          <w:rPr>
            <w:szCs w:val="22"/>
          </w:rPr>
          <w:delText> </w:delText>
        </w:r>
        <w:r w:rsidRPr="00183B5F">
          <w:rPr>
            <w:szCs w:val="22"/>
          </w:rPr>
          <w:delText>p &lt; 0,001 minden összehasonlításra Humira és placebo között</w:delText>
        </w:r>
      </w:del>
    </w:p>
    <w:p w14:paraId="0983570F" w14:textId="47EA5C92" w:rsidR="00090CF2" w:rsidRPr="00183B5F" w:rsidRDefault="00943743" w:rsidP="004062FE">
      <w:pPr>
        <w:pStyle w:val="EndnoteText"/>
        <w:tabs>
          <w:tab w:val="clear" w:pos="567"/>
        </w:tabs>
        <w:suppressAutoHyphens/>
        <w:rPr>
          <w:del w:id="6457" w:author="AbbVie_HU_03" w:date="2025-05-14T15:27:00Z"/>
          <w:sz w:val="22"/>
          <w:szCs w:val="22"/>
          <w:lang w:val="hu-HU" w:eastAsia="hu-HU"/>
        </w:rPr>
      </w:pPr>
      <w:del w:id="6458" w:author="AbbVie_HU_03" w:date="2025-05-14T15:27:00Z">
        <w:r w:rsidRPr="00183B5F">
          <w:rPr>
            <w:sz w:val="22"/>
            <w:vertAlign w:val="superscript"/>
            <w:lang w:val="hu-HU"/>
          </w:rPr>
          <w:delText>*</w:delText>
        </w:r>
        <w:r w:rsidRPr="00183B5F">
          <w:rPr>
            <w:sz w:val="22"/>
            <w:szCs w:val="22"/>
            <w:lang w:val="hu-HU" w:eastAsia="hu-HU"/>
          </w:rPr>
          <w:delText> p &lt; 0,05 minden összehasonlításra Humira és placebo között</w:delText>
        </w:r>
      </w:del>
    </w:p>
    <w:p w14:paraId="0EAF8490" w14:textId="3CCCB4A3" w:rsidR="00090CF2" w:rsidRPr="00183B5F" w:rsidRDefault="00943743" w:rsidP="004062FE">
      <w:pPr>
        <w:spacing w:line="240" w:lineRule="auto"/>
        <w:rPr>
          <w:del w:id="6459" w:author="AbbVie_HU_03" w:date="2025-05-14T15:27:00Z"/>
          <w:szCs w:val="22"/>
        </w:rPr>
      </w:pPr>
      <w:del w:id="6460" w:author="AbbVie_HU_03" w:date="2025-05-14T15:27:00Z">
        <w:r w:rsidRPr="00183B5F">
          <w:rPr>
            <w:szCs w:val="22"/>
          </w:rPr>
          <w:delText>N/A nem értelmezhető</w:delText>
        </w:r>
      </w:del>
    </w:p>
    <w:p w14:paraId="7E7D3EEF" w14:textId="143AB53F" w:rsidR="00090CF2" w:rsidRPr="00183B5F" w:rsidRDefault="00090CF2" w:rsidP="004062FE">
      <w:pPr>
        <w:spacing w:line="240" w:lineRule="auto"/>
        <w:rPr>
          <w:del w:id="6461" w:author="AbbVie_HU_03" w:date="2025-05-14T15:27:00Z"/>
          <w:szCs w:val="22"/>
        </w:rPr>
      </w:pPr>
    </w:p>
    <w:p w14:paraId="25E440A0" w14:textId="5CD060FC" w:rsidR="00090CF2" w:rsidRPr="00183B5F" w:rsidRDefault="00943743" w:rsidP="004062FE">
      <w:pPr>
        <w:spacing w:line="240" w:lineRule="auto"/>
        <w:rPr>
          <w:del w:id="6462" w:author="AbbVie_HU_03" w:date="2025-05-14T15:27:00Z"/>
          <w:szCs w:val="22"/>
        </w:rPr>
      </w:pPr>
      <w:del w:id="6463" w:author="AbbVie_HU_03" w:date="2025-05-14T15:27:00Z">
        <w:r w:rsidRPr="00183B5F">
          <w:rPr>
            <w:szCs w:val="22"/>
          </w:rPr>
          <w:delText>A PsA</w:delText>
        </w:r>
        <w:r w:rsidR="000067AA" w:rsidRPr="00183B5F">
          <w:rPr>
            <w:szCs w:val="22"/>
          </w:rPr>
          <w:delText> </w:delText>
        </w:r>
        <w:r w:rsidRPr="00183B5F">
          <w:rPr>
            <w:szCs w:val="22"/>
          </w:rPr>
          <w:delText xml:space="preserve">I vizsgálatban az </w:delText>
        </w:r>
        <w:r w:rsidR="005D174E" w:rsidRPr="00183B5F">
          <w:rPr>
            <w:szCs w:val="22"/>
          </w:rPr>
          <w:delText>ACR-válasz</w:delText>
        </w:r>
        <w:r w:rsidRPr="00183B5F">
          <w:rPr>
            <w:szCs w:val="22"/>
          </w:rPr>
          <w:delText>ok hasonlóak voltak az alkalmazott metotrexát kombinációtól függetlenül (vele vagy nélküle).</w:delText>
        </w:r>
        <w:r w:rsidR="00690CE3" w:rsidRPr="00183B5F">
          <w:rPr>
            <w:szCs w:val="22"/>
          </w:rPr>
          <w:delText xml:space="preserve"> </w:delText>
        </w:r>
        <w:r w:rsidRPr="00183B5F">
          <w:rPr>
            <w:szCs w:val="22"/>
          </w:rPr>
          <w:delText xml:space="preserve">Az </w:delText>
        </w:r>
        <w:r w:rsidR="005D174E" w:rsidRPr="00183B5F">
          <w:rPr>
            <w:szCs w:val="22"/>
          </w:rPr>
          <w:delText>ACR-válasz</w:delText>
        </w:r>
        <w:r w:rsidRPr="00183B5F">
          <w:rPr>
            <w:szCs w:val="22"/>
          </w:rPr>
          <w:delText>ok a nyílt elrendezésű kiterjesztéses vizsgála</w:delText>
        </w:r>
        <w:r w:rsidR="00690CE3" w:rsidRPr="00183B5F">
          <w:rPr>
            <w:szCs w:val="22"/>
          </w:rPr>
          <w:delText>tban 136</w:delText>
        </w:r>
        <w:r w:rsidR="00A44DB6" w:rsidRPr="00183B5F">
          <w:rPr>
            <w:szCs w:val="22"/>
          </w:rPr>
          <w:delText> hét</w:delText>
        </w:r>
        <w:r w:rsidR="00690CE3" w:rsidRPr="00183B5F">
          <w:rPr>
            <w:szCs w:val="22"/>
          </w:rPr>
          <w:delText>ig is fennmaradtak.</w:delText>
        </w:r>
      </w:del>
    </w:p>
    <w:p w14:paraId="408FFFE2" w14:textId="412587A7" w:rsidR="00690CE3" w:rsidRPr="00183B5F" w:rsidRDefault="00690CE3" w:rsidP="004062FE">
      <w:pPr>
        <w:spacing w:line="240" w:lineRule="auto"/>
        <w:rPr>
          <w:del w:id="6464" w:author="AbbVie_HU_03" w:date="2025-05-14T15:27:00Z"/>
          <w:szCs w:val="22"/>
        </w:rPr>
      </w:pPr>
    </w:p>
    <w:p w14:paraId="6F585F0F" w14:textId="6FE3C3C2" w:rsidR="00090CF2" w:rsidRPr="00183B5F" w:rsidRDefault="00943743">
      <w:pPr>
        <w:pStyle w:val="EMEANormal"/>
        <w:rPr>
          <w:del w:id="6465" w:author="AbbVie_HU_03" w:date="2025-05-14T15:27:00Z"/>
          <w:szCs w:val="22"/>
          <w:lang w:val="hu-HU"/>
        </w:rPr>
      </w:pPr>
      <w:del w:id="6466" w:author="AbbVie_HU_03" w:date="2025-05-14T15:27:00Z">
        <w:r w:rsidRPr="00183B5F">
          <w:rPr>
            <w:szCs w:val="22"/>
            <w:lang w:val="hu-HU"/>
          </w:rPr>
          <w:delText xml:space="preserve">Az arthritis psoriaticában folytatott vizsgálatokban radiológiai változásokat értékeltek. A kézfejről, a csuklóról és a lábfejről röntgenfelvételeket készítettek a vizsgálat kezdetekor, majd a </w:delText>
        </w:r>
        <w:r w:rsidR="00E5381A" w:rsidRPr="00183B5F">
          <w:rPr>
            <w:szCs w:val="22"/>
            <w:lang w:val="hu-HU"/>
          </w:rPr>
          <w:delText>kettős vak</w:delText>
        </w:r>
        <w:r w:rsidRPr="00183B5F">
          <w:rPr>
            <w:szCs w:val="22"/>
            <w:lang w:val="hu-HU"/>
          </w:rPr>
          <w:delText xml:space="preserve"> szakasz 24. hetében, amikor a betegek vagy Humira</w:delText>
        </w:r>
        <w:r w:rsidR="000067AA" w:rsidRPr="00183B5F">
          <w:rPr>
            <w:szCs w:val="22"/>
            <w:lang w:val="hu-HU"/>
          </w:rPr>
          <w:noBreakHyphen/>
        </w:r>
        <w:r w:rsidRPr="00183B5F">
          <w:rPr>
            <w:szCs w:val="22"/>
            <w:lang w:val="hu-HU"/>
          </w:rPr>
          <w:delText>t, vagy placebót kaptak, és a 48.</w:delText>
        </w:r>
        <w:r w:rsidR="00A44DB6" w:rsidRPr="00183B5F">
          <w:rPr>
            <w:szCs w:val="22"/>
            <w:lang w:val="hu-HU"/>
          </w:rPr>
          <w:delText> hét</w:delText>
        </w:r>
        <w:r w:rsidRPr="00183B5F">
          <w:rPr>
            <w:szCs w:val="22"/>
            <w:lang w:val="hu-HU"/>
          </w:rPr>
          <w:delText>en, amikor minden beteg nyílt elrendezésben Humira</w:delText>
        </w:r>
        <w:r w:rsidR="000067AA" w:rsidRPr="00183B5F">
          <w:rPr>
            <w:szCs w:val="22"/>
            <w:lang w:val="hu-HU"/>
          </w:rPr>
          <w:noBreakHyphen/>
        </w:r>
        <w:r w:rsidRPr="00183B5F">
          <w:rPr>
            <w:szCs w:val="22"/>
            <w:lang w:val="hu-HU"/>
          </w:rPr>
          <w:delText>t kapott. A kiértékeléshez distalis interphalangealis ízületeket magában foglaló módosított teljes Sharp</w:delText>
        </w:r>
        <w:r w:rsidR="005E4FD2" w:rsidRPr="00183B5F">
          <w:rPr>
            <w:szCs w:val="22"/>
            <w:lang w:val="hu-HU"/>
          </w:rPr>
          <w:delText>-</w:delText>
        </w:r>
        <w:r w:rsidRPr="00183B5F">
          <w:rPr>
            <w:szCs w:val="22"/>
            <w:lang w:val="hu-HU"/>
          </w:rPr>
          <w:delText>pontértéket (modified Total Sharp Score – mTSS) használtak, amely nem azonos a rheumatoid arthritisben használt teljes Sharp</w:delText>
        </w:r>
        <w:r w:rsidR="00117647" w:rsidRPr="00183B5F">
          <w:rPr>
            <w:szCs w:val="22"/>
            <w:lang w:val="hu-HU"/>
          </w:rPr>
          <w:delText>-</w:delText>
        </w:r>
        <w:r w:rsidRPr="00183B5F">
          <w:rPr>
            <w:szCs w:val="22"/>
            <w:lang w:val="hu-HU"/>
          </w:rPr>
          <w:delText>pontértékkel (TSS).</w:delText>
        </w:r>
      </w:del>
    </w:p>
    <w:p w14:paraId="2C43BA1C" w14:textId="0FD9E017" w:rsidR="00090CF2" w:rsidRPr="00183B5F" w:rsidRDefault="00090CF2">
      <w:pPr>
        <w:pStyle w:val="EMEANormal"/>
        <w:rPr>
          <w:del w:id="6467" w:author="AbbVie_HU_03" w:date="2025-05-14T15:27:00Z"/>
          <w:szCs w:val="22"/>
          <w:lang w:val="hu-HU"/>
        </w:rPr>
      </w:pPr>
    </w:p>
    <w:p w14:paraId="3D47A129" w14:textId="615398E4" w:rsidR="00090CF2" w:rsidRPr="00183B5F" w:rsidRDefault="00943743">
      <w:pPr>
        <w:pStyle w:val="EMEANormal"/>
        <w:rPr>
          <w:del w:id="6468" w:author="AbbVie_HU_03" w:date="2025-05-14T15:27:00Z"/>
          <w:szCs w:val="22"/>
          <w:lang w:val="hu-HU"/>
        </w:rPr>
      </w:pPr>
      <w:del w:id="6469" w:author="AbbVie_HU_03" w:date="2025-05-14T15:27:00Z">
        <w:r w:rsidRPr="00183B5F">
          <w:rPr>
            <w:szCs w:val="22"/>
            <w:lang w:val="hu-HU"/>
          </w:rPr>
          <w:delText>A Humira a placebóhoz képest csökkentette a perifériás ízületi károsodás progressziós rátáját, amint azt a módosított teljes Sharp</w:delText>
        </w:r>
        <w:r w:rsidR="005E4FD2" w:rsidRPr="00183B5F">
          <w:rPr>
            <w:szCs w:val="22"/>
            <w:lang w:val="hu-HU"/>
          </w:rPr>
          <w:delText>-</w:delText>
        </w:r>
        <w:r w:rsidRPr="00183B5F">
          <w:rPr>
            <w:szCs w:val="22"/>
            <w:lang w:val="hu-HU"/>
          </w:rPr>
          <w:delText>pontszám placebocsoportban a 24.</w:delText>
        </w:r>
        <w:r w:rsidR="00A44DB6" w:rsidRPr="00183B5F">
          <w:rPr>
            <w:szCs w:val="22"/>
            <w:lang w:val="hu-HU"/>
          </w:rPr>
          <w:delText> hét</w:delText>
        </w:r>
        <w:r w:rsidRPr="00183B5F">
          <w:rPr>
            <w:szCs w:val="22"/>
            <w:lang w:val="hu-HU"/>
          </w:rPr>
          <w:delText>en mért 0,8 ± 2,5 (átlag ± szórás) értéke mutatja, a Humira</w:delText>
        </w:r>
        <w:r w:rsidR="000067AA" w:rsidRPr="00183B5F">
          <w:rPr>
            <w:szCs w:val="22"/>
            <w:lang w:val="hu-HU"/>
          </w:rPr>
          <w:noBreakHyphen/>
        </w:r>
        <w:r w:rsidRPr="00183B5F">
          <w:rPr>
            <w:szCs w:val="22"/>
            <w:lang w:val="hu-HU"/>
          </w:rPr>
          <w:delText>csoport 48.</w:delText>
        </w:r>
        <w:r w:rsidR="00A44DB6" w:rsidRPr="00183B5F">
          <w:rPr>
            <w:szCs w:val="22"/>
            <w:lang w:val="hu-HU"/>
          </w:rPr>
          <w:delText> hét</w:delText>
        </w:r>
        <w:r w:rsidRPr="00183B5F">
          <w:rPr>
            <w:szCs w:val="22"/>
            <w:lang w:val="hu-HU"/>
          </w:rPr>
          <w:delText>en mért 0,0 ± 1,9 értékével (p &lt; 0,001) szemben.</w:delText>
        </w:r>
      </w:del>
    </w:p>
    <w:p w14:paraId="7FFE6554" w14:textId="5F1D53E5" w:rsidR="00690CE3" w:rsidRPr="00183B5F" w:rsidRDefault="00690CE3">
      <w:pPr>
        <w:pStyle w:val="EMEANormal"/>
        <w:rPr>
          <w:del w:id="6470" w:author="AbbVie_HU_03" w:date="2025-05-14T15:27:00Z"/>
          <w:szCs w:val="22"/>
          <w:lang w:val="hu-HU"/>
        </w:rPr>
      </w:pPr>
    </w:p>
    <w:p w14:paraId="5D8233A3" w14:textId="74CFB54B" w:rsidR="00090CF2" w:rsidRPr="00183B5F" w:rsidRDefault="00943743">
      <w:pPr>
        <w:pStyle w:val="EMEANormal"/>
        <w:rPr>
          <w:del w:id="6471" w:author="AbbVie_HU_03" w:date="2025-05-14T15:27:00Z"/>
          <w:szCs w:val="22"/>
          <w:lang w:val="hu-HU"/>
        </w:rPr>
      </w:pPr>
      <w:del w:id="6472" w:author="AbbVie_HU_03" w:date="2025-05-14T15:27:00Z">
        <w:r w:rsidRPr="00183B5F">
          <w:rPr>
            <w:szCs w:val="22"/>
            <w:lang w:val="hu-HU"/>
          </w:rPr>
          <w:delText>A Humira</w:delText>
        </w:r>
        <w:r w:rsidR="000067AA" w:rsidRPr="00183B5F">
          <w:rPr>
            <w:szCs w:val="22"/>
            <w:lang w:val="hu-HU"/>
          </w:rPr>
          <w:noBreakHyphen/>
        </w:r>
        <w:r w:rsidRPr="00183B5F">
          <w:rPr>
            <w:szCs w:val="22"/>
            <w:lang w:val="hu-HU"/>
          </w:rPr>
          <w:delText>kezelésben részesült, a kiindulási időszaktól a 48.</w:delText>
        </w:r>
        <w:r w:rsidR="00A44DB6" w:rsidRPr="00183B5F">
          <w:rPr>
            <w:szCs w:val="22"/>
            <w:lang w:val="hu-HU"/>
          </w:rPr>
          <w:delText> hét</w:delText>
        </w:r>
        <w:r w:rsidRPr="00183B5F">
          <w:rPr>
            <w:szCs w:val="22"/>
            <w:lang w:val="hu-HU"/>
          </w:rPr>
          <w:delText>ig radiológiai progressziót nem mutató betegek (n = 102) 84%-a a 144.</w:delText>
        </w:r>
        <w:r w:rsidR="00A44DB6" w:rsidRPr="00183B5F">
          <w:rPr>
            <w:szCs w:val="22"/>
            <w:lang w:val="hu-HU"/>
          </w:rPr>
          <w:delText> hét</w:delText>
        </w:r>
        <w:r w:rsidRPr="00183B5F">
          <w:rPr>
            <w:szCs w:val="22"/>
            <w:lang w:val="hu-HU"/>
          </w:rPr>
          <w:delText>ig továbbra sem mutatott radiológiai progressziót</w:delText>
        </w:r>
        <w:r w:rsidR="00580B33" w:rsidRPr="00183B5F">
          <w:rPr>
            <w:szCs w:val="22"/>
            <w:lang w:val="hu-HU"/>
          </w:rPr>
          <w:delText>.</w:delText>
        </w:r>
      </w:del>
    </w:p>
    <w:p w14:paraId="6703D23F" w14:textId="72523007" w:rsidR="00090CF2" w:rsidRPr="00183B5F" w:rsidRDefault="00943743">
      <w:pPr>
        <w:pStyle w:val="EMEANormal"/>
        <w:rPr>
          <w:del w:id="6473" w:author="AbbVie_HU_03" w:date="2025-05-14T15:27:00Z"/>
          <w:szCs w:val="22"/>
          <w:lang w:val="hu-HU"/>
        </w:rPr>
      </w:pPr>
      <w:del w:id="6474" w:author="AbbVie_HU_03" w:date="2025-05-14T15:27:00Z">
        <w:r w:rsidRPr="00183B5F">
          <w:rPr>
            <w:szCs w:val="22"/>
            <w:lang w:val="hu-HU"/>
          </w:rPr>
          <w:delText xml:space="preserve">A </w:delText>
        </w:r>
        <w:r w:rsidR="00D93585" w:rsidRPr="00183B5F">
          <w:rPr>
            <w:szCs w:val="22"/>
            <w:lang w:val="hu-HU"/>
          </w:rPr>
          <w:delText>Humira</w:delText>
        </w:r>
        <w:r w:rsidR="000067AA" w:rsidRPr="00183B5F">
          <w:rPr>
            <w:szCs w:val="22"/>
            <w:lang w:val="hu-HU"/>
          </w:rPr>
          <w:noBreakHyphen/>
        </w:r>
        <w:r w:rsidR="00D93585" w:rsidRPr="00183B5F">
          <w:rPr>
            <w:szCs w:val="22"/>
            <w:lang w:val="hu-HU"/>
          </w:rPr>
          <w:delText>val</w:delText>
        </w:r>
        <w:r w:rsidRPr="00183B5F">
          <w:rPr>
            <w:szCs w:val="22"/>
            <w:lang w:val="hu-HU"/>
          </w:rPr>
          <w:delText xml:space="preserve"> kezelt betegek fizikális funkciója a placebóhoz képest az egészségfelmérő kérdőív (HAQ) és a Rövid Egészségfelmérés (Short Form Health Survey – SF 36) skála alapján a 24.</w:delText>
        </w:r>
        <w:r w:rsidR="00A44DB6" w:rsidRPr="00183B5F">
          <w:rPr>
            <w:szCs w:val="22"/>
            <w:lang w:val="hu-HU"/>
          </w:rPr>
          <w:delText> hét</w:delText>
        </w:r>
        <w:r w:rsidRPr="00183B5F">
          <w:rPr>
            <w:szCs w:val="22"/>
            <w:lang w:val="hu-HU"/>
          </w:rPr>
          <w:delText>en statisztikailag szignifikáns javulást mutatott. A jobb fizikális funkció a nyílt elrendezésű kiterjesztéses vizsgálat során is fennmaradt egészen a 136.</w:delText>
        </w:r>
        <w:r w:rsidR="00A44DB6" w:rsidRPr="00183B5F">
          <w:rPr>
            <w:szCs w:val="22"/>
            <w:lang w:val="hu-HU"/>
          </w:rPr>
          <w:delText> hét</w:delText>
        </w:r>
        <w:r w:rsidRPr="00183B5F">
          <w:rPr>
            <w:szCs w:val="22"/>
            <w:lang w:val="hu-HU"/>
          </w:rPr>
          <w:delText>ig.</w:delText>
        </w:r>
      </w:del>
    </w:p>
    <w:p w14:paraId="18A5B985" w14:textId="560963B8" w:rsidR="00090CF2" w:rsidRPr="00183B5F" w:rsidRDefault="00090CF2" w:rsidP="004062FE">
      <w:pPr>
        <w:spacing w:line="240" w:lineRule="auto"/>
        <w:rPr>
          <w:del w:id="6475" w:author="AbbVie_HU_03" w:date="2025-05-14T15:27:00Z"/>
          <w:szCs w:val="22"/>
          <w:u w:val="single"/>
        </w:rPr>
      </w:pPr>
    </w:p>
    <w:p w14:paraId="28CAD5BF" w14:textId="52063A3A" w:rsidR="00690CE3" w:rsidRPr="00183B5F" w:rsidRDefault="00943743" w:rsidP="004062FE">
      <w:pPr>
        <w:pStyle w:val="EMEAHeadingUnderline"/>
        <w:keepNext/>
        <w:tabs>
          <w:tab w:val="clear" w:pos="562"/>
        </w:tabs>
        <w:spacing w:beforeLines="0" w:afterLines="0"/>
        <w:rPr>
          <w:del w:id="6476" w:author="AbbVie_HU_03" w:date="2025-05-14T15:27:00Z"/>
          <w:i/>
          <w:szCs w:val="22"/>
          <w:u w:val="none"/>
          <w:lang w:val="hu-HU" w:eastAsia="hu-HU"/>
        </w:rPr>
      </w:pPr>
      <w:del w:id="6477" w:author="AbbVie_HU_03" w:date="2025-05-14T15:27:00Z">
        <w:r w:rsidRPr="00183B5F">
          <w:rPr>
            <w:i/>
            <w:szCs w:val="22"/>
            <w:u w:val="none"/>
            <w:lang w:val="hu-HU" w:eastAsia="hu-HU"/>
          </w:rPr>
          <w:delText>Psoriasis</w:delText>
        </w:r>
      </w:del>
    </w:p>
    <w:p w14:paraId="0876BD3B" w14:textId="53F4A97F" w:rsidR="00690CE3" w:rsidRPr="00183B5F" w:rsidRDefault="00690CE3" w:rsidP="004062FE">
      <w:pPr>
        <w:keepNext/>
        <w:spacing w:line="240" w:lineRule="auto"/>
        <w:rPr>
          <w:del w:id="6478" w:author="AbbVie_HU_03" w:date="2025-05-14T15:27:00Z"/>
          <w:szCs w:val="22"/>
        </w:rPr>
      </w:pPr>
    </w:p>
    <w:p w14:paraId="4E4646CA" w14:textId="466B3F2A" w:rsidR="00690CE3" w:rsidRPr="00183B5F" w:rsidRDefault="00943743" w:rsidP="004062FE">
      <w:pPr>
        <w:keepNext/>
        <w:spacing w:line="240" w:lineRule="auto"/>
        <w:rPr>
          <w:del w:id="6479" w:author="AbbVie_HU_03" w:date="2025-05-14T15:27:00Z"/>
          <w:szCs w:val="22"/>
        </w:rPr>
      </w:pPr>
      <w:del w:id="6480" w:author="AbbVie_HU_03" w:date="2025-05-14T15:27:00Z">
        <w:r w:rsidRPr="00183B5F">
          <w:rPr>
            <w:szCs w:val="22"/>
          </w:rPr>
          <w:delText xml:space="preserve">A Humira biztonságosságát és hatásosságát randomizált, </w:delText>
        </w:r>
        <w:r w:rsidR="00E5381A" w:rsidRPr="00183B5F">
          <w:rPr>
            <w:szCs w:val="22"/>
          </w:rPr>
          <w:delText>kettős vak</w:delText>
        </w:r>
        <w:r w:rsidRPr="00183B5F">
          <w:rPr>
            <w:szCs w:val="22"/>
          </w:rPr>
          <w:delText xml:space="preserve"> vizsgálatokban értékelték olyan krónikus, plakkos psoriasisban szenvedő felnőtt betegek körében (</w:delText>
        </w:r>
        <w:r w:rsidRPr="00183B5F">
          <w:rPr>
            <w:rFonts w:ascii="Symbol" w:hAnsi="Symbol"/>
            <w:szCs w:val="22"/>
          </w:rPr>
          <w:sym w:font="Symbol" w:char="F0B3"/>
        </w:r>
        <w:r w:rsidRPr="00183B5F">
          <w:rPr>
            <w:szCs w:val="22"/>
          </w:rPr>
          <w:delText xml:space="preserve"> 10% testfelület-érintettség és </w:delText>
        </w:r>
        <w:r w:rsidRPr="00183B5F">
          <w:rPr>
            <w:rFonts w:ascii="Symbol" w:hAnsi="Symbol"/>
            <w:szCs w:val="22"/>
          </w:rPr>
          <w:sym w:font="Symbol" w:char="F0B3"/>
        </w:r>
        <w:r w:rsidRPr="00183B5F">
          <w:rPr>
            <w:szCs w:val="22"/>
          </w:rPr>
          <w:delText xml:space="preserve"> 12, ill. </w:delText>
        </w:r>
        <w:r w:rsidRPr="00183B5F">
          <w:rPr>
            <w:rFonts w:ascii="Symbol" w:hAnsi="Symbol"/>
            <w:szCs w:val="22"/>
          </w:rPr>
          <w:sym w:font="Symbol" w:char="F0B3"/>
        </w:r>
        <w:r w:rsidRPr="00183B5F">
          <w:rPr>
            <w:szCs w:val="22"/>
          </w:rPr>
          <w:delText> 10 Psoriasis Area and Severity Index [PASI]), akik szisztémás vagy fototerápiás kezelés</w:delText>
        </w:r>
        <w:r w:rsidR="00E73D8B" w:rsidRPr="00183B5F">
          <w:rPr>
            <w:szCs w:val="22"/>
          </w:rPr>
          <w:delText>re</w:delText>
        </w:r>
        <w:r w:rsidRPr="00183B5F">
          <w:rPr>
            <w:szCs w:val="22"/>
          </w:rPr>
          <w:delText xml:space="preserve"> </w:delText>
        </w:r>
        <w:r w:rsidR="00E73D8B" w:rsidRPr="00183B5F">
          <w:rPr>
            <w:szCs w:val="22"/>
          </w:rPr>
          <w:delText>vártak</w:delText>
        </w:r>
        <w:r w:rsidRPr="00183B5F">
          <w:rPr>
            <w:szCs w:val="22"/>
          </w:rPr>
          <w:delText>. A Psoriasis</w:delText>
        </w:r>
        <w:r w:rsidR="000067AA" w:rsidRPr="00183B5F">
          <w:rPr>
            <w:szCs w:val="22"/>
          </w:rPr>
          <w:delText> </w:delText>
        </w:r>
        <w:r w:rsidRPr="00183B5F">
          <w:rPr>
            <w:szCs w:val="22"/>
          </w:rPr>
          <w:delText>I és II</w:delText>
        </w:r>
        <w:r w:rsidR="000067AA" w:rsidRPr="00183B5F">
          <w:rPr>
            <w:szCs w:val="22"/>
          </w:rPr>
          <w:delText> </w:delText>
        </w:r>
        <w:r w:rsidRPr="00183B5F">
          <w:rPr>
            <w:szCs w:val="22"/>
          </w:rPr>
          <w:delText>vizsgálatokba beválogatott betegek 73%</w:delText>
        </w:r>
        <w:r w:rsidR="000067AA" w:rsidRPr="00183B5F">
          <w:rPr>
            <w:szCs w:val="22"/>
          </w:rPr>
          <w:noBreakHyphen/>
        </w:r>
        <w:r w:rsidRPr="00183B5F">
          <w:rPr>
            <w:szCs w:val="22"/>
          </w:rPr>
          <w:delText>a kapott már korábban szisztémás kezelést vagy fototerápiát.</w:delText>
        </w:r>
        <w:r w:rsidR="00910F54" w:rsidRPr="00183B5F">
          <w:rPr>
            <w:szCs w:val="22"/>
          </w:rPr>
          <w:delText xml:space="preserve"> </w:delText>
        </w:r>
        <w:r w:rsidR="004611B9" w:rsidRPr="00183B5F">
          <w:rPr>
            <w:szCs w:val="22"/>
          </w:rPr>
          <w:delText xml:space="preserve">A Humira biztonságosságát és hatásosságát </w:delText>
        </w:r>
        <w:r w:rsidR="00E73D8B" w:rsidRPr="00183B5F">
          <w:rPr>
            <w:szCs w:val="22"/>
          </w:rPr>
          <w:delText xml:space="preserve">olyan </w:delText>
        </w:r>
        <w:r w:rsidR="004611B9" w:rsidRPr="00183B5F">
          <w:rPr>
            <w:szCs w:val="22"/>
          </w:rPr>
          <w:delText>köz</w:delText>
        </w:r>
        <w:r w:rsidR="0011114B" w:rsidRPr="00183B5F">
          <w:rPr>
            <w:szCs w:val="22"/>
          </w:rPr>
          <w:delText>epesen s</w:delText>
        </w:r>
        <w:r w:rsidR="004611B9" w:rsidRPr="00183B5F">
          <w:rPr>
            <w:szCs w:val="22"/>
          </w:rPr>
          <w:delText>úlyos</w:delText>
        </w:r>
        <w:r w:rsidR="004611B9" w:rsidRPr="00183B5F">
          <w:rPr>
            <w:szCs w:val="22"/>
          </w:rPr>
          <w:noBreakHyphen/>
          <w:delText>súlyos krónikus plakkos psoriasisban szenvedő felnőtt betegek</w:delText>
        </w:r>
        <w:r w:rsidR="00E73D8B" w:rsidRPr="00183B5F">
          <w:rPr>
            <w:szCs w:val="22"/>
          </w:rPr>
          <w:delText xml:space="preserve"> körében</w:delText>
        </w:r>
        <w:r w:rsidR="004611B9" w:rsidRPr="00183B5F">
          <w:rPr>
            <w:szCs w:val="22"/>
          </w:rPr>
          <w:delText xml:space="preserve"> is </w:delText>
        </w:r>
        <w:r w:rsidR="00E73D8B" w:rsidRPr="00183B5F">
          <w:rPr>
            <w:szCs w:val="22"/>
          </w:rPr>
          <w:delText>értékelték egy randomizált kettős</w:delText>
        </w:r>
        <w:r w:rsidR="00A62049" w:rsidRPr="00183B5F">
          <w:rPr>
            <w:szCs w:val="22"/>
          </w:rPr>
          <w:delText xml:space="preserve"> </w:delText>
        </w:r>
        <w:r w:rsidR="00E73D8B" w:rsidRPr="00183B5F">
          <w:rPr>
            <w:szCs w:val="22"/>
          </w:rPr>
          <w:delText>vak vizsgálat során (Psoriasis</w:delText>
        </w:r>
        <w:r w:rsidR="003F3904" w:rsidRPr="00183B5F">
          <w:rPr>
            <w:szCs w:val="22"/>
          </w:rPr>
          <w:delText> </w:delText>
        </w:r>
        <w:r w:rsidR="00E73D8B" w:rsidRPr="00183B5F">
          <w:rPr>
            <w:szCs w:val="22"/>
          </w:rPr>
          <w:delText>III vizsgálat)</w:delText>
        </w:r>
        <w:r w:rsidR="004611B9" w:rsidRPr="00183B5F">
          <w:rPr>
            <w:szCs w:val="22"/>
          </w:rPr>
          <w:delText xml:space="preserve">, akik egyidejűleg </w:delText>
        </w:r>
        <w:r w:rsidR="00E73D8B" w:rsidRPr="00183B5F">
          <w:rPr>
            <w:szCs w:val="22"/>
          </w:rPr>
          <w:delText>a kézfejet és/vagy a lábfejet érintő psoriasisban is szenvedtek és szisztémás kezelésre vártak.</w:delText>
        </w:r>
      </w:del>
    </w:p>
    <w:p w14:paraId="7916A2B9" w14:textId="1B63021B" w:rsidR="00690CE3" w:rsidRPr="00183B5F" w:rsidRDefault="00690CE3">
      <w:pPr>
        <w:pStyle w:val="EndnoteText"/>
        <w:rPr>
          <w:del w:id="6481" w:author="AbbVie_HU_03" w:date="2025-05-14T15:27:00Z"/>
          <w:sz w:val="22"/>
          <w:lang w:val="hu-HU"/>
        </w:rPr>
      </w:pPr>
    </w:p>
    <w:p w14:paraId="746D9042" w14:textId="6834112E" w:rsidR="00690CE3" w:rsidRPr="00183B5F" w:rsidRDefault="00943743" w:rsidP="004062FE">
      <w:pPr>
        <w:spacing w:line="240" w:lineRule="auto"/>
        <w:rPr>
          <w:del w:id="6482" w:author="AbbVie_HU_03" w:date="2025-05-14T15:27:00Z"/>
          <w:szCs w:val="22"/>
        </w:rPr>
      </w:pPr>
      <w:del w:id="6483" w:author="AbbVie_HU_03" w:date="2025-05-14T15:27:00Z">
        <w:r w:rsidRPr="00183B5F">
          <w:rPr>
            <w:szCs w:val="22"/>
          </w:rPr>
          <w:delText>A Psoriasis</w:delText>
        </w:r>
        <w:r w:rsidR="000067AA" w:rsidRPr="00183B5F">
          <w:rPr>
            <w:szCs w:val="22"/>
          </w:rPr>
          <w:delText> </w:delText>
        </w:r>
        <w:r w:rsidRPr="00183B5F">
          <w:rPr>
            <w:szCs w:val="22"/>
          </w:rPr>
          <w:delText>I (REVEAL) vizsgálatban 1212</w:delText>
        </w:r>
        <w:r w:rsidR="000067AA" w:rsidRPr="00183B5F">
          <w:rPr>
            <w:szCs w:val="22"/>
          </w:rPr>
          <w:delText> </w:delText>
        </w:r>
        <w:r w:rsidRPr="00183B5F">
          <w:rPr>
            <w:szCs w:val="22"/>
          </w:rPr>
          <w:delText>beteg állapotát értékelték három kezelési időszakban. Az „A” időszakban a betegek placebót vagy 80 mg kezdő</w:delText>
        </w:r>
        <w:r w:rsidR="00CA62C1" w:rsidRPr="00183B5F">
          <w:rPr>
            <w:szCs w:val="22"/>
          </w:rPr>
          <w:delText xml:space="preserve"> </w:delText>
        </w:r>
        <w:r w:rsidRPr="00183B5F">
          <w:rPr>
            <w:szCs w:val="22"/>
          </w:rPr>
          <w:delText>dózisú Humira</w:delText>
        </w:r>
        <w:r w:rsidR="0053774C" w:rsidRPr="00183B5F">
          <w:rPr>
            <w:szCs w:val="22"/>
          </w:rPr>
          <w:noBreakHyphen/>
        </w:r>
        <w:r w:rsidRPr="00183B5F">
          <w:rPr>
            <w:szCs w:val="22"/>
          </w:rPr>
          <w:delText>t kaptak, amelyet egy héttel a kezdő</w:delText>
        </w:r>
        <w:r w:rsidR="00CA62C1" w:rsidRPr="00183B5F">
          <w:rPr>
            <w:szCs w:val="22"/>
          </w:rPr>
          <w:delText xml:space="preserve"> </w:delText>
        </w:r>
        <w:r w:rsidRPr="00183B5F">
          <w:rPr>
            <w:szCs w:val="22"/>
          </w:rPr>
          <w:delText>dózist követően minden második héten 40 mg adaggal folytattak. Tizenhat</w:delText>
        </w:r>
        <w:r w:rsidR="00903BD3" w:rsidRPr="00183B5F">
          <w:rPr>
            <w:szCs w:val="22"/>
          </w:rPr>
          <w:delText xml:space="preserve"> </w:delText>
        </w:r>
        <w:r w:rsidRPr="00183B5F">
          <w:rPr>
            <w:szCs w:val="22"/>
          </w:rPr>
          <w:delText>hetes kezelés után a legalább PASI</w:delText>
        </w:r>
        <w:r w:rsidR="0053774C" w:rsidRPr="00183B5F">
          <w:rPr>
            <w:szCs w:val="22"/>
          </w:rPr>
          <w:delText> </w:delText>
        </w:r>
        <w:r w:rsidRPr="00183B5F">
          <w:rPr>
            <w:szCs w:val="22"/>
          </w:rPr>
          <w:delText>75 választ (a kiindulási értékhez képest legalább 75%</w:delText>
        </w:r>
        <w:r w:rsidR="0053774C" w:rsidRPr="00183B5F">
          <w:rPr>
            <w:szCs w:val="22"/>
          </w:rPr>
          <w:noBreakHyphen/>
        </w:r>
        <w:r w:rsidRPr="00183B5F">
          <w:rPr>
            <w:szCs w:val="22"/>
          </w:rPr>
          <w:delText>os PASI</w:delText>
        </w:r>
        <w:r w:rsidR="00110863" w:rsidRPr="00183B5F">
          <w:rPr>
            <w:szCs w:val="22"/>
          </w:rPr>
          <w:delText>-</w:delText>
        </w:r>
        <w:r w:rsidRPr="00183B5F">
          <w:rPr>
            <w:szCs w:val="22"/>
          </w:rPr>
          <w:delText>pontszám-javulást) mutató betegek egy „B” időszakba léptek, amelyben nyílt elrendezésben, minden másod</w:delText>
        </w:r>
        <w:r w:rsidR="006332C2" w:rsidRPr="00183B5F">
          <w:rPr>
            <w:szCs w:val="22"/>
          </w:rPr>
          <w:delText>i</w:delText>
        </w:r>
        <w:r w:rsidRPr="00183B5F">
          <w:rPr>
            <w:szCs w:val="22"/>
          </w:rPr>
          <w:delText>k héten 40 mg Humira</w:delText>
        </w:r>
        <w:r w:rsidR="0053774C" w:rsidRPr="00183B5F">
          <w:rPr>
            <w:szCs w:val="22"/>
          </w:rPr>
          <w:noBreakHyphen/>
        </w:r>
        <w:r w:rsidRPr="00183B5F">
          <w:rPr>
            <w:szCs w:val="22"/>
          </w:rPr>
          <w:delText>t kaptak. A 33</w:delText>
        </w:r>
        <w:r w:rsidR="00A62049" w:rsidRPr="00183B5F">
          <w:rPr>
            <w:szCs w:val="22"/>
          </w:rPr>
          <w:delText>.</w:delText>
        </w:r>
        <w:r w:rsidR="00A44DB6" w:rsidRPr="00183B5F">
          <w:rPr>
            <w:szCs w:val="22"/>
          </w:rPr>
          <w:delText> hét</w:delText>
        </w:r>
        <w:r w:rsidRPr="00183B5F">
          <w:rPr>
            <w:szCs w:val="22"/>
          </w:rPr>
          <w:delText xml:space="preserve">en </w:delText>
        </w:r>
        <w:r w:rsidRPr="00183B5F">
          <w:rPr>
            <w:rFonts w:ascii="Symbol" w:hAnsi="Symbol"/>
            <w:szCs w:val="22"/>
          </w:rPr>
          <w:sym w:font="Symbol" w:char="F0B3"/>
        </w:r>
        <w:r w:rsidRPr="00183B5F">
          <w:rPr>
            <w:szCs w:val="22"/>
          </w:rPr>
          <w:delText> PASI</w:delText>
        </w:r>
        <w:r w:rsidR="0053774C" w:rsidRPr="00183B5F">
          <w:rPr>
            <w:szCs w:val="22"/>
          </w:rPr>
          <w:delText> </w:delText>
        </w:r>
        <w:r w:rsidRPr="00183B5F">
          <w:rPr>
            <w:szCs w:val="22"/>
          </w:rPr>
          <w:delText>75 választ mutató és eredetileg az „A” időszakban aktív kezelést kapók közé randomizált betegeket a „C” időszakban újrarandomizálták, hogy további 19</w:delText>
        </w:r>
        <w:r w:rsidR="00A44DB6" w:rsidRPr="00183B5F">
          <w:rPr>
            <w:szCs w:val="22"/>
          </w:rPr>
          <w:delText> hét</w:delText>
        </w:r>
        <w:r w:rsidRPr="00183B5F">
          <w:rPr>
            <w:szCs w:val="22"/>
          </w:rPr>
          <w:delText>en át minden második héten 40 mg Humira</w:delText>
        </w:r>
        <w:r w:rsidR="003F3904" w:rsidRPr="00183B5F">
          <w:rPr>
            <w:szCs w:val="22"/>
          </w:rPr>
          <w:noBreakHyphen/>
        </w:r>
        <w:r w:rsidRPr="00183B5F">
          <w:rPr>
            <w:szCs w:val="22"/>
          </w:rPr>
          <w:delText xml:space="preserve">t </w:delText>
        </w:r>
        <w:r w:rsidR="00A62049" w:rsidRPr="00183B5F">
          <w:rPr>
            <w:szCs w:val="22"/>
          </w:rPr>
          <w:delText xml:space="preserve">vagy placebót </w:delText>
        </w:r>
        <w:r w:rsidRPr="00183B5F">
          <w:rPr>
            <w:szCs w:val="22"/>
          </w:rPr>
          <w:delText>kapjanak. Minden kezelési csoportot figyelembe véve a kiindulási PASI</w:delText>
        </w:r>
        <w:r w:rsidR="0053774C" w:rsidRPr="00183B5F">
          <w:rPr>
            <w:szCs w:val="22"/>
          </w:rPr>
          <w:noBreakHyphen/>
        </w:r>
        <w:r w:rsidRPr="00183B5F">
          <w:rPr>
            <w:szCs w:val="22"/>
          </w:rPr>
          <w:delText>pontérték 18,9 volt, míg a kiindulási PGA</w:delText>
        </w:r>
        <w:r w:rsidR="00110863" w:rsidRPr="00183B5F">
          <w:rPr>
            <w:szCs w:val="22"/>
          </w:rPr>
          <w:noBreakHyphen/>
        </w:r>
        <w:r w:rsidRPr="00183B5F">
          <w:rPr>
            <w:szCs w:val="22"/>
          </w:rPr>
          <w:delText>pontszám a „közepestől” (a vizsgálatba</w:delText>
        </w:r>
        <w:r w:rsidRPr="00183B5F">
          <w:rPr>
            <w:szCs w:val="22"/>
          </w:rPr>
          <w:delText>n résztvevők 53%-a) a „súlyosig” (41%) és a „nagyon súlyosig” (6%) terjedt.</w:delText>
        </w:r>
      </w:del>
    </w:p>
    <w:p w14:paraId="2A443A53" w14:textId="3083EDA6" w:rsidR="00690CE3" w:rsidRPr="00183B5F" w:rsidRDefault="00690CE3" w:rsidP="004062FE">
      <w:pPr>
        <w:spacing w:line="240" w:lineRule="auto"/>
        <w:rPr>
          <w:del w:id="6484" w:author="AbbVie_HU_03" w:date="2025-05-14T15:27:00Z"/>
          <w:szCs w:val="22"/>
        </w:rPr>
      </w:pPr>
    </w:p>
    <w:p w14:paraId="167E4FDB" w14:textId="12711F06" w:rsidR="00690CE3" w:rsidRPr="00183B5F" w:rsidRDefault="00943743" w:rsidP="004062FE">
      <w:pPr>
        <w:spacing w:line="240" w:lineRule="auto"/>
        <w:rPr>
          <w:del w:id="6485" w:author="AbbVie_HU_03" w:date="2025-05-14T15:27:00Z"/>
          <w:szCs w:val="22"/>
        </w:rPr>
      </w:pPr>
      <w:del w:id="6486" w:author="AbbVie_HU_03" w:date="2025-05-14T15:27:00Z">
        <w:r w:rsidRPr="00183B5F">
          <w:rPr>
            <w:szCs w:val="22"/>
          </w:rPr>
          <w:delText>A Psoriasis</w:delText>
        </w:r>
        <w:r w:rsidR="0053774C" w:rsidRPr="00183B5F">
          <w:rPr>
            <w:szCs w:val="22"/>
          </w:rPr>
          <w:delText> </w:delText>
        </w:r>
        <w:r w:rsidRPr="00183B5F">
          <w:rPr>
            <w:szCs w:val="22"/>
          </w:rPr>
          <w:delText>II vizsgálatban (CHAMPION) a Humira hatásosságát és biztonságosságát a metotrexátéval és a placebóéval hasonlították össze 271</w:delText>
        </w:r>
        <w:r w:rsidR="0053774C" w:rsidRPr="00183B5F">
          <w:rPr>
            <w:szCs w:val="22"/>
          </w:rPr>
          <w:delText> </w:delText>
        </w:r>
        <w:r w:rsidRPr="00183B5F">
          <w:rPr>
            <w:szCs w:val="22"/>
          </w:rPr>
          <w:delText>beteg részvételével. A betegek placebót, egy kezdeti, 7,5 mg</w:delText>
        </w:r>
        <w:r w:rsidRPr="00183B5F">
          <w:rPr>
            <w:szCs w:val="22"/>
          </w:rPr>
          <w:noBreakHyphen/>
          <w:delText>os metotrexát</w:delText>
        </w:r>
        <w:r w:rsidR="00110863" w:rsidRPr="00183B5F">
          <w:rPr>
            <w:szCs w:val="22"/>
          </w:rPr>
          <w:delText>-</w:delText>
        </w:r>
        <w:r w:rsidRPr="00183B5F">
          <w:rPr>
            <w:szCs w:val="22"/>
          </w:rPr>
          <w:delText>dózist kaptak, és azt követően az adagot legfeljebb a 12.</w:delText>
        </w:r>
        <w:r w:rsidR="00A44DB6" w:rsidRPr="00183B5F">
          <w:rPr>
            <w:szCs w:val="22"/>
          </w:rPr>
          <w:delText> hét</w:delText>
        </w:r>
        <w:r w:rsidRPr="00183B5F">
          <w:rPr>
            <w:szCs w:val="22"/>
          </w:rPr>
          <w:delText>ig, 25 mg-os maximális dózisig emelték, vagy egy 80 mg</w:delText>
        </w:r>
        <w:r w:rsidR="003F3904" w:rsidRPr="00183B5F">
          <w:rPr>
            <w:szCs w:val="22"/>
          </w:rPr>
          <w:noBreakHyphen/>
        </w:r>
        <w:r w:rsidRPr="00183B5F">
          <w:rPr>
            <w:szCs w:val="22"/>
          </w:rPr>
          <w:delText>os Humira kezdő</w:delText>
        </w:r>
        <w:r w:rsidR="00A44DB6" w:rsidRPr="00183B5F">
          <w:rPr>
            <w:szCs w:val="22"/>
          </w:rPr>
          <w:delText xml:space="preserve"> </w:delText>
        </w:r>
        <w:r w:rsidRPr="00183B5F">
          <w:rPr>
            <w:szCs w:val="22"/>
          </w:rPr>
          <w:delText>dózisban részesültek, amit 16</w:delText>
        </w:r>
        <w:r w:rsidR="00A44DB6" w:rsidRPr="00183B5F">
          <w:rPr>
            <w:szCs w:val="22"/>
          </w:rPr>
          <w:delText> hét</w:delText>
        </w:r>
        <w:r w:rsidRPr="00183B5F">
          <w:rPr>
            <w:szCs w:val="22"/>
          </w:rPr>
          <w:delText>ig kéthetente 40 mg</w:delText>
        </w:r>
        <w:r w:rsidR="003F3904" w:rsidRPr="00183B5F">
          <w:rPr>
            <w:szCs w:val="22"/>
          </w:rPr>
          <w:noBreakHyphen/>
        </w:r>
        <w:r w:rsidRPr="00183B5F">
          <w:rPr>
            <w:szCs w:val="22"/>
          </w:rPr>
          <w:delText>os adag követett (egy héttel a kezdő</w:delText>
        </w:r>
        <w:r w:rsidR="00A44DB6" w:rsidRPr="00183B5F">
          <w:rPr>
            <w:szCs w:val="22"/>
          </w:rPr>
          <w:delText xml:space="preserve"> </w:delText>
        </w:r>
        <w:r w:rsidRPr="00183B5F">
          <w:rPr>
            <w:szCs w:val="22"/>
          </w:rPr>
          <w:delText>dózis beadása után kezdve). Nincs a Humira- és a metotrexát</w:delText>
        </w:r>
        <w:r w:rsidR="00474A11" w:rsidRPr="00183B5F">
          <w:rPr>
            <w:szCs w:val="22"/>
          </w:rPr>
          <w:noBreakHyphen/>
        </w:r>
        <w:r w:rsidRPr="00183B5F">
          <w:rPr>
            <w:szCs w:val="22"/>
          </w:rPr>
          <w:delText>kezelést 16</w:delText>
        </w:r>
        <w:r w:rsidR="00A44DB6" w:rsidRPr="00183B5F">
          <w:rPr>
            <w:szCs w:val="22"/>
          </w:rPr>
          <w:delText> hét</w:delText>
        </w:r>
        <w:r w:rsidRPr="00183B5F">
          <w:rPr>
            <w:szCs w:val="22"/>
          </w:rPr>
          <w:delText xml:space="preserve">nél hosszabb idő után összehasonlító adat. A metotrexátot szedő és </w:delText>
        </w:r>
        <w:r w:rsidRPr="00183B5F">
          <w:rPr>
            <w:rFonts w:ascii="Symbol" w:hAnsi="Symbol"/>
            <w:szCs w:val="22"/>
          </w:rPr>
          <w:sym w:font="Symbol" w:char="F0B3"/>
        </w:r>
        <w:r w:rsidRPr="00183B5F">
          <w:rPr>
            <w:szCs w:val="22"/>
          </w:rPr>
          <w:delText> PASI</w:delText>
        </w:r>
        <w:r w:rsidR="0053774C" w:rsidRPr="00183B5F">
          <w:rPr>
            <w:szCs w:val="22"/>
          </w:rPr>
          <w:delText> </w:delText>
        </w:r>
        <w:r w:rsidRPr="00183B5F">
          <w:rPr>
            <w:szCs w:val="22"/>
          </w:rPr>
          <w:delText>50 választ a 8. és/vagy a 12.</w:delText>
        </w:r>
        <w:r w:rsidR="00A44DB6" w:rsidRPr="00183B5F">
          <w:rPr>
            <w:szCs w:val="22"/>
          </w:rPr>
          <w:delText> hét</w:delText>
        </w:r>
        <w:r w:rsidRPr="00183B5F">
          <w:rPr>
            <w:szCs w:val="22"/>
          </w:rPr>
          <w:delText xml:space="preserve">en elérő betegeknél nem növelték </w:delText>
        </w:r>
        <w:r w:rsidRPr="00183B5F">
          <w:rPr>
            <w:szCs w:val="22"/>
          </w:rPr>
          <w:delText>tovább a dózist. Minden kezelési csoportot figyelembe</w:delText>
        </w:r>
        <w:r w:rsidR="0047618A" w:rsidRPr="00183B5F">
          <w:rPr>
            <w:szCs w:val="22"/>
          </w:rPr>
          <w:delText xml:space="preserve"> </w:delText>
        </w:r>
        <w:r w:rsidRPr="00183B5F">
          <w:rPr>
            <w:szCs w:val="22"/>
          </w:rPr>
          <w:delText>véve az átlagos PASI</w:delText>
        </w:r>
        <w:r w:rsidR="0053774C" w:rsidRPr="00183B5F">
          <w:rPr>
            <w:szCs w:val="22"/>
          </w:rPr>
          <w:noBreakHyphen/>
        </w:r>
        <w:r w:rsidRPr="00183B5F">
          <w:rPr>
            <w:szCs w:val="22"/>
          </w:rPr>
          <w:delText>pontszám 19,7 volt, míg a kiindulási PGA</w:delText>
        </w:r>
        <w:r w:rsidR="00110863" w:rsidRPr="00183B5F">
          <w:rPr>
            <w:szCs w:val="22"/>
          </w:rPr>
          <w:noBreakHyphen/>
        </w:r>
        <w:r w:rsidRPr="00183B5F">
          <w:rPr>
            <w:szCs w:val="22"/>
          </w:rPr>
          <w:delText>pontszám az „enyhétől” (&lt; 1%) a „közepesen át” (48%) a „súlyosig” (46%) és a „nagyon súlyosig” (6%) terjedt.</w:delText>
        </w:r>
      </w:del>
    </w:p>
    <w:p w14:paraId="06CA45E6" w14:textId="18BFD35E" w:rsidR="00A65456" w:rsidRPr="00183B5F" w:rsidRDefault="00A65456" w:rsidP="004062FE">
      <w:pPr>
        <w:spacing w:line="240" w:lineRule="auto"/>
        <w:rPr>
          <w:del w:id="6487" w:author="AbbVie_HU_03" w:date="2025-05-14T15:27:00Z"/>
          <w:szCs w:val="22"/>
        </w:rPr>
      </w:pPr>
    </w:p>
    <w:p w14:paraId="18E84B05" w14:textId="0185CD67" w:rsidR="00690CE3" w:rsidRPr="00183B5F" w:rsidRDefault="00943743" w:rsidP="004062FE">
      <w:pPr>
        <w:spacing w:line="240" w:lineRule="auto"/>
        <w:rPr>
          <w:del w:id="6488" w:author="AbbVie_HU_03" w:date="2025-05-14T15:27:00Z"/>
          <w:szCs w:val="22"/>
        </w:rPr>
      </w:pPr>
      <w:del w:id="6489" w:author="AbbVie_HU_03" w:date="2025-05-14T15:27:00Z">
        <w:r w:rsidRPr="00183B5F">
          <w:rPr>
            <w:szCs w:val="22"/>
          </w:rPr>
          <w:delText xml:space="preserve">Az összes </w:delText>
        </w:r>
        <w:r w:rsidR="00B52567" w:rsidRPr="00183B5F">
          <w:rPr>
            <w:szCs w:val="22"/>
          </w:rPr>
          <w:delText xml:space="preserve">II. és III. </w:delText>
        </w:r>
        <w:r w:rsidR="002E6AB9" w:rsidRPr="00183B5F">
          <w:rPr>
            <w:szCs w:val="22"/>
          </w:rPr>
          <w:delText>f</w:delText>
        </w:r>
        <w:r w:rsidRPr="00183B5F">
          <w:rPr>
            <w:szCs w:val="22"/>
          </w:rPr>
          <w:delText>ázis</w:delText>
        </w:r>
        <w:r w:rsidR="00B52567" w:rsidRPr="00183B5F">
          <w:rPr>
            <w:szCs w:val="22"/>
          </w:rPr>
          <w:delText>ú</w:delText>
        </w:r>
        <w:r w:rsidRPr="00183B5F">
          <w:rPr>
            <w:szCs w:val="22"/>
          </w:rPr>
          <w:delText xml:space="preserve"> psoriasis vizsgálatban részt</w:delText>
        </w:r>
        <w:r w:rsidR="00B52567" w:rsidRPr="00183B5F">
          <w:rPr>
            <w:szCs w:val="22"/>
          </w:rPr>
          <w:delText xml:space="preserve"> </w:delText>
        </w:r>
        <w:r w:rsidRPr="00183B5F">
          <w:rPr>
            <w:szCs w:val="22"/>
          </w:rPr>
          <w:delText>vevő beteg alkalmas volt egy nyílt elrendezésű kiterjesztéses vizsgálatba való beválogatásra, amelyben a Humira</w:delText>
        </w:r>
        <w:r w:rsidR="0053774C" w:rsidRPr="00183B5F">
          <w:rPr>
            <w:szCs w:val="22"/>
          </w:rPr>
          <w:noBreakHyphen/>
        </w:r>
        <w:r w:rsidRPr="00183B5F">
          <w:rPr>
            <w:szCs w:val="22"/>
          </w:rPr>
          <w:delText>t legalább további 108</w:delText>
        </w:r>
        <w:r w:rsidR="00A44DB6" w:rsidRPr="00183B5F">
          <w:rPr>
            <w:szCs w:val="22"/>
          </w:rPr>
          <w:delText> hét</w:delText>
        </w:r>
        <w:r w:rsidRPr="00183B5F">
          <w:rPr>
            <w:szCs w:val="22"/>
          </w:rPr>
          <w:delText>en át adták.</w:delText>
        </w:r>
      </w:del>
    </w:p>
    <w:p w14:paraId="2292B6B7" w14:textId="05258E43" w:rsidR="00690CE3" w:rsidRPr="00183B5F" w:rsidRDefault="00690CE3" w:rsidP="004062FE">
      <w:pPr>
        <w:spacing w:line="240" w:lineRule="auto"/>
        <w:rPr>
          <w:del w:id="6490" w:author="AbbVie_HU_03" w:date="2025-05-14T15:27:00Z"/>
          <w:szCs w:val="22"/>
        </w:rPr>
      </w:pPr>
    </w:p>
    <w:p w14:paraId="71785149" w14:textId="22624BD4" w:rsidR="00690CE3" w:rsidRPr="00183B5F" w:rsidRDefault="00943743" w:rsidP="004062FE">
      <w:pPr>
        <w:spacing w:line="240" w:lineRule="auto"/>
        <w:rPr>
          <w:del w:id="6491" w:author="AbbVie_HU_03" w:date="2025-05-14T15:27:00Z"/>
          <w:szCs w:val="22"/>
        </w:rPr>
      </w:pPr>
      <w:del w:id="6492" w:author="AbbVie_HU_03" w:date="2025-05-14T15:27:00Z">
        <w:r w:rsidRPr="00183B5F">
          <w:rPr>
            <w:szCs w:val="22"/>
          </w:rPr>
          <w:delText>A Psoriasis</w:delText>
        </w:r>
        <w:r w:rsidR="0053774C" w:rsidRPr="00183B5F">
          <w:rPr>
            <w:szCs w:val="22"/>
          </w:rPr>
          <w:delText> </w:delText>
        </w:r>
        <w:r w:rsidRPr="00183B5F">
          <w:rPr>
            <w:szCs w:val="22"/>
          </w:rPr>
          <w:delText>I és</w:delText>
        </w:r>
        <w:r w:rsidR="0053774C" w:rsidRPr="00183B5F">
          <w:rPr>
            <w:szCs w:val="22"/>
          </w:rPr>
          <w:delText> </w:delText>
        </w:r>
        <w:r w:rsidRPr="00183B5F">
          <w:rPr>
            <w:szCs w:val="22"/>
          </w:rPr>
          <w:delText>II</w:delText>
        </w:r>
        <w:r w:rsidR="0053774C" w:rsidRPr="00183B5F">
          <w:rPr>
            <w:szCs w:val="22"/>
          </w:rPr>
          <w:delText> </w:delText>
        </w:r>
        <w:r w:rsidRPr="00183B5F">
          <w:rPr>
            <w:szCs w:val="22"/>
          </w:rPr>
          <w:delText>vizsgálatokban az elsődleges végpont azon betegek aránya volt, akik a kiindulási időponttól a 16.</w:delText>
        </w:r>
        <w:r w:rsidR="00A44DB6" w:rsidRPr="00183B5F">
          <w:rPr>
            <w:szCs w:val="22"/>
          </w:rPr>
          <w:delText> hét</w:delText>
        </w:r>
        <w:r w:rsidRPr="00183B5F">
          <w:rPr>
            <w:szCs w:val="22"/>
          </w:rPr>
          <w:delText>ig PASI</w:delText>
        </w:r>
        <w:r w:rsidR="0053774C" w:rsidRPr="00183B5F">
          <w:rPr>
            <w:szCs w:val="22"/>
          </w:rPr>
          <w:delText> </w:delText>
        </w:r>
        <w:r w:rsidRPr="00183B5F">
          <w:rPr>
            <w:szCs w:val="22"/>
          </w:rPr>
          <w:delText>75 választ értek el (lásd 1</w:delText>
        </w:r>
        <w:r w:rsidR="000554A2" w:rsidRPr="00183B5F">
          <w:rPr>
            <w:szCs w:val="22"/>
          </w:rPr>
          <w:delText>6</w:delText>
        </w:r>
        <w:r w:rsidRPr="00183B5F">
          <w:rPr>
            <w:szCs w:val="22"/>
          </w:rPr>
          <w:delText xml:space="preserve">. és </w:delText>
        </w:r>
        <w:r w:rsidR="000554A2" w:rsidRPr="00183B5F">
          <w:rPr>
            <w:szCs w:val="22"/>
          </w:rPr>
          <w:delText>17</w:delText>
        </w:r>
        <w:r w:rsidRPr="00183B5F">
          <w:rPr>
            <w:szCs w:val="22"/>
          </w:rPr>
          <w:delText>.</w:delText>
        </w:r>
        <w:r w:rsidR="00A362CB" w:rsidRPr="00183B5F">
          <w:rPr>
            <w:szCs w:val="22"/>
          </w:rPr>
          <w:delText> </w:delText>
        </w:r>
        <w:r w:rsidR="00E107ED" w:rsidRPr="00183B5F">
          <w:rPr>
            <w:szCs w:val="22"/>
          </w:rPr>
          <w:delText>táblázat</w:delText>
        </w:r>
        <w:r w:rsidRPr="00183B5F">
          <w:rPr>
            <w:szCs w:val="22"/>
          </w:rPr>
          <w:delText>).</w:delText>
        </w:r>
      </w:del>
    </w:p>
    <w:p w14:paraId="2FD35050" w14:textId="3003D96F" w:rsidR="00690CE3" w:rsidRPr="00183B5F" w:rsidRDefault="00690CE3">
      <w:pPr>
        <w:pStyle w:val="DefaultText"/>
        <w:keepNext/>
        <w:rPr>
          <w:del w:id="6493" w:author="AbbVie_HU_03" w:date="2025-05-14T15:27:00Z"/>
          <w:rFonts w:ascii="Times New Roman" w:hAnsi="Times New Roman"/>
          <w:szCs w:val="22"/>
          <w:lang w:val="hu-HU"/>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620"/>
        <w:gridCol w:w="2352"/>
      </w:tblGrid>
      <w:tr w:rsidR="00011D2F" w14:paraId="6A1ACD05" w14:textId="7802A75F">
        <w:trPr>
          <w:cantSplit/>
          <w:jc w:val="center"/>
          <w:del w:id="6494" w:author="AbbVie_HU_03" w:date="2025-05-14T15:27:00Z"/>
        </w:trPr>
        <w:tc>
          <w:tcPr>
            <w:tcW w:w="6949" w:type="dxa"/>
            <w:gridSpan w:val="3"/>
            <w:tcBorders>
              <w:top w:val="nil"/>
              <w:left w:val="nil"/>
              <w:right w:val="nil"/>
            </w:tcBorders>
          </w:tcPr>
          <w:p w14:paraId="58BCCB07" w14:textId="46D30546" w:rsidR="00690CE3" w:rsidRPr="00183B5F" w:rsidRDefault="00943743">
            <w:pPr>
              <w:pStyle w:val="DefaultText"/>
              <w:keepNext/>
              <w:jc w:val="center"/>
              <w:rPr>
                <w:del w:id="6495" w:author="AbbVie_HU_03" w:date="2025-05-14T15:27:00Z"/>
                <w:rFonts w:ascii="Times New Roman" w:hAnsi="Times New Roman"/>
                <w:b/>
                <w:bCs w:val="0"/>
                <w:szCs w:val="22"/>
                <w:lang w:val="hu-HU"/>
              </w:rPr>
            </w:pPr>
            <w:del w:id="6496" w:author="AbbVie_HU_03" w:date="2025-05-14T15:27:00Z">
              <w:r w:rsidRPr="00183B5F">
                <w:rPr>
                  <w:rFonts w:ascii="Times New Roman" w:hAnsi="Times New Roman"/>
                  <w:b/>
                  <w:bCs w:val="0"/>
                  <w:szCs w:val="22"/>
                  <w:lang w:val="hu-HU"/>
                </w:rPr>
                <w:delText xml:space="preserve">16. táblázat </w:delText>
              </w:r>
            </w:del>
          </w:p>
          <w:p w14:paraId="5DC5ADB3" w14:textId="0B8DE8B9" w:rsidR="00690CE3" w:rsidRPr="00183B5F" w:rsidRDefault="00943743">
            <w:pPr>
              <w:pStyle w:val="DefaultText"/>
              <w:keepNext/>
              <w:jc w:val="center"/>
              <w:rPr>
                <w:del w:id="6497" w:author="AbbVie_HU_03" w:date="2025-05-14T15:27:00Z"/>
                <w:rFonts w:ascii="Times New Roman" w:hAnsi="Times New Roman"/>
                <w:b/>
                <w:bCs w:val="0"/>
                <w:szCs w:val="22"/>
                <w:lang w:val="hu-HU"/>
              </w:rPr>
            </w:pPr>
            <w:del w:id="6498" w:author="AbbVie_HU_03" w:date="2025-05-14T15:27:00Z">
              <w:r w:rsidRPr="00183B5F">
                <w:rPr>
                  <w:rFonts w:ascii="Times New Roman" w:hAnsi="Times New Roman"/>
                  <w:b/>
                  <w:bCs w:val="0"/>
                  <w:szCs w:val="22"/>
                  <w:lang w:val="hu-HU"/>
                </w:rPr>
                <w:delText>Psoriasis I (REVEAL) vizsgálat</w:delText>
              </w:r>
            </w:del>
          </w:p>
          <w:p w14:paraId="03A583EC" w14:textId="6C641D15" w:rsidR="00690CE3" w:rsidRPr="00183B5F" w:rsidRDefault="00943743">
            <w:pPr>
              <w:pStyle w:val="DefaultText"/>
              <w:keepNext/>
              <w:jc w:val="center"/>
              <w:rPr>
                <w:del w:id="6499" w:author="AbbVie_HU_03" w:date="2025-05-14T15:27:00Z"/>
                <w:rFonts w:ascii="Times New Roman" w:hAnsi="Times New Roman"/>
                <w:b/>
                <w:bCs w:val="0"/>
                <w:szCs w:val="22"/>
                <w:lang w:val="hu-HU"/>
              </w:rPr>
            </w:pPr>
            <w:del w:id="6500" w:author="AbbVie_HU_03" w:date="2025-05-14T15:27:00Z">
              <w:r w:rsidRPr="00183B5F">
                <w:rPr>
                  <w:rFonts w:ascii="Times New Roman" w:hAnsi="Times New Roman"/>
                  <w:b/>
                  <w:bCs w:val="0"/>
                  <w:szCs w:val="22"/>
                  <w:lang w:val="hu-HU"/>
                </w:rPr>
                <w:delText>Hatékonysági eredmények a 16.</w:delText>
              </w:r>
              <w:r w:rsidR="00A44DB6" w:rsidRPr="00183B5F">
                <w:rPr>
                  <w:rFonts w:ascii="Times New Roman" w:hAnsi="Times New Roman"/>
                  <w:b/>
                  <w:bCs w:val="0"/>
                  <w:szCs w:val="22"/>
                  <w:lang w:val="hu-HU"/>
                </w:rPr>
                <w:delText> hét</w:delText>
              </w:r>
              <w:r w:rsidRPr="00183B5F">
                <w:rPr>
                  <w:rFonts w:ascii="Times New Roman" w:hAnsi="Times New Roman"/>
                  <w:b/>
                  <w:bCs w:val="0"/>
                  <w:szCs w:val="22"/>
                  <w:lang w:val="hu-HU"/>
                </w:rPr>
                <w:delText xml:space="preserve">en </w:delText>
              </w:r>
            </w:del>
          </w:p>
          <w:p w14:paraId="7FC2AAAE" w14:textId="57BC908F" w:rsidR="00690CE3" w:rsidRPr="00183B5F" w:rsidRDefault="00690CE3">
            <w:pPr>
              <w:pStyle w:val="DefaultText"/>
              <w:keepNext/>
              <w:jc w:val="center"/>
              <w:rPr>
                <w:del w:id="6501" w:author="AbbVie_HU_03" w:date="2025-05-14T15:27:00Z"/>
                <w:rFonts w:ascii="Times New Roman" w:hAnsi="Times New Roman"/>
                <w:b/>
                <w:bCs w:val="0"/>
                <w:szCs w:val="22"/>
                <w:u w:val="single"/>
                <w:lang w:val="hu-HU"/>
              </w:rPr>
            </w:pPr>
          </w:p>
        </w:tc>
      </w:tr>
      <w:tr w:rsidR="00011D2F" w14:paraId="22ABD0AD" w14:textId="4FBDBB68">
        <w:trPr>
          <w:cantSplit/>
          <w:jc w:val="center"/>
          <w:del w:id="6502" w:author="AbbVie_HU_03" w:date="2025-05-14T15:27:00Z"/>
        </w:trPr>
        <w:tc>
          <w:tcPr>
            <w:tcW w:w="2977" w:type="dxa"/>
            <w:vAlign w:val="center"/>
          </w:tcPr>
          <w:p w14:paraId="213823BE" w14:textId="18DBD728" w:rsidR="00690CE3" w:rsidRPr="00183B5F" w:rsidRDefault="00690CE3">
            <w:pPr>
              <w:pStyle w:val="DefaultText"/>
              <w:keepNext/>
              <w:rPr>
                <w:del w:id="6503" w:author="AbbVie_HU_03" w:date="2025-05-14T15:27:00Z"/>
                <w:rFonts w:ascii="Times New Roman" w:hAnsi="Times New Roman"/>
                <w:b/>
                <w:bCs w:val="0"/>
                <w:szCs w:val="22"/>
                <w:lang w:val="hu-HU"/>
              </w:rPr>
            </w:pPr>
          </w:p>
        </w:tc>
        <w:tc>
          <w:tcPr>
            <w:tcW w:w="1620" w:type="dxa"/>
            <w:vAlign w:val="center"/>
          </w:tcPr>
          <w:p w14:paraId="01BFEB39" w14:textId="7654EC76" w:rsidR="00690CE3" w:rsidRPr="00183B5F" w:rsidRDefault="00943743">
            <w:pPr>
              <w:pStyle w:val="DefaultText"/>
              <w:keepNext/>
              <w:jc w:val="center"/>
              <w:rPr>
                <w:del w:id="6504" w:author="AbbVie_HU_03" w:date="2025-05-14T15:27:00Z"/>
                <w:rFonts w:ascii="Times New Roman" w:hAnsi="Times New Roman"/>
                <w:b/>
                <w:lang w:val="hu-HU"/>
              </w:rPr>
            </w:pPr>
            <w:del w:id="6505" w:author="AbbVie_HU_03" w:date="2025-05-14T15:27:00Z">
              <w:r w:rsidRPr="00183B5F">
                <w:rPr>
                  <w:rFonts w:ascii="Times New Roman" w:hAnsi="Times New Roman"/>
                  <w:b/>
                  <w:lang w:val="hu-HU"/>
                </w:rPr>
                <w:delText>Placebo</w:delText>
              </w:r>
            </w:del>
          </w:p>
          <w:p w14:paraId="3AAF89DA" w14:textId="6806B668" w:rsidR="00690CE3" w:rsidRPr="00183B5F" w:rsidRDefault="00943743">
            <w:pPr>
              <w:pStyle w:val="DefaultText"/>
              <w:keepNext/>
              <w:jc w:val="center"/>
              <w:rPr>
                <w:del w:id="6506" w:author="AbbVie_HU_03" w:date="2025-05-14T15:27:00Z"/>
                <w:rFonts w:ascii="Times New Roman" w:hAnsi="Times New Roman"/>
                <w:b/>
                <w:lang w:val="hu-HU"/>
              </w:rPr>
            </w:pPr>
            <w:del w:id="6507" w:author="AbbVie_HU_03" w:date="2025-05-14T15:27:00Z">
              <w:r w:rsidRPr="00183B5F">
                <w:rPr>
                  <w:rFonts w:ascii="Times New Roman" w:hAnsi="Times New Roman"/>
                  <w:b/>
                  <w:lang w:val="hu-HU"/>
                </w:rPr>
                <w:delText>N</w:delText>
              </w:r>
              <w:r w:rsidR="000C5AA9" w:rsidRPr="00183B5F">
                <w:rPr>
                  <w:rFonts w:ascii="Times New Roman" w:hAnsi="Times New Roman"/>
                  <w:b/>
                  <w:lang w:val="hu-HU"/>
                </w:rPr>
                <w:delText> </w:delText>
              </w:r>
              <w:r w:rsidRPr="00183B5F">
                <w:rPr>
                  <w:rFonts w:ascii="Times New Roman" w:hAnsi="Times New Roman"/>
                  <w:b/>
                  <w:lang w:val="hu-HU"/>
                </w:rPr>
                <w:delText>=</w:delText>
              </w:r>
              <w:r w:rsidR="000C5AA9" w:rsidRPr="00183B5F">
                <w:rPr>
                  <w:rFonts w:ascii="Times New Roman" w:hAnsi="Times New Roman"/>
                  <w:b/>
                  <w:lang w:val="hu-HU"/>
                </w:rPr>
                <w:delText> </w:delText>
              </w:r>
              <w:r w:rsidRPr="00183B5F">
                <w:rPr>
                  <w:rFonts w:ascii="Times New Roman" w:hAnsi="Times New Roman"/>
                  <w:b/>
                  <w:lang w:val="hu-HU"/>
                </w:rPr>
                <w:delText>398</w:delText>
              </w:r>
            </w:del>
          </w:p>
          <w:p w14:paraId="7B48471C" w14:textId="1CE88CA5" w:rsidR="00690CE3" w:rsidRPr="00183B5F" w:rsidRDefault="00943743">
            <w:pPr>
              <w:pStyle w:val="DefaultText"/>
              <w:keepNext/>
              <w:jc w:val="center"/>
              <w:rPr>
                <w:del w:id="6508" w:author="AbbVie_HU_03" w:date="2025-05-14T15:27:00Z"/>
                <w:rFonts w:ascii="Times New Roman" w:hAnsi="Times New Roman"/>
                <w:b/>
                <w:lang w:val="hu-HU"/>
              </w:rPr>
            </w:pPr>
            <w:del w:id="6509" w:author="AbbVie_HU_03" w:date="2025-05-14T15:27:00Z">
              <w:r w:rsidRPr="00183B5F">
                <w:rPr>
                  <w:rFonts w:ascii="Times New Roman" w:hAnsi="Times New Roman"/>
                  <w:b/>
                  <w:lang w:val="hu-HU"/>
                </w:rPr>
                <w:delText>n (%)</w:delText>
              </w:r>
            </w:del>
          </w:p>
        </w:tc>
        <w:tc>
          <w:tcPr>
            <w:tcW w:w="2352" w:type="dxa"/>
            <w:vAlign w:val="center"/>
          </w:tcPr>
          <w:p w14:paraId="1EDD08FE" w14:textId="5F75D5C5" w:rsidR="00690CE3" w:rsidRPr="00183B5F" w:rsidRDefault="00943743">
            <w:pPr>
              <w:pStyle w:val="DefaultText"/>
              <w:keepNext/>
              <w:jc w:val="center"/>
              <w:rPr>
                <w:del w:id="6510" w:author="AbbVie_HU_03" w:date="2025-05-14T15:27:00Z"/>
                <w:rFonts w:ascii="Times New Roman" w:hAnsi="Times New Roman"/>
                <w:b/>
                <w:lang w:val="hu-HU"/>
              </w:rPr>
            </w:pPr>
            <w:del w:id="6511" w:author="AbbVie_HU_03" w:date="2025-05-14T15:27:00Z">
              <w:r w:rsidRPr="00183B5F">
                <w:rPr>
                  <w:rFonts w:ascii="Times New Roman" w:hAnsi="Times New Roman"/>
                  <w:b/>
                  <w:lang w:val="hu-HU"/>
                </w:rPr>
                <w:delText xml:space="preserve">Humira 40 mg </w:delText>
              </w:r>
            </w:del>
          </w:p>
          <w:p w14:paraId="20AEA9A7" w14:textId="220C7430" w:rsidR="00690CE3" w:rsidRPr="00183B5F" w:rsidRDefault="00943743">
            <w:pPr>
              <w:pStyle w:val="DefaultText"/>
              <w:keepNext/>
              <w:jc w:val="center"/>
              <w:rPr>
                <w:del w:id="6512" w:author="AbbVie_HU_03" w:date="2025-05-14T15:27:00Z"/>
                <w:rFonts w:ascii="Times New Roman" w:hAnsi="Times New Roman"/>
                <w:b/>
                <w:lang w:val="hu-HU"/>
              </w:rPr>
            </w:pPr>
            <w:del w:id="6513" w:author="AbbVie_HU_03" w:date="2025-05-14T15:27:00Z">
              <w:r w:rsidRPr="00183B5F">
                <w:rPr>
                  <w:rFonts w:ascii="Times New Roman" w:hAnsi="Times New Roman"/>
                  <w:b/>
                  <w:lang w:val="hu-HU"/>
                </w:rPr>
                <w:delText>minden második héten</w:delText>
              </w:r>
            </w:del>
          </w:p>
          <w:p w14:paraId="67AF3A0A" w14:textId="35CDB37B" w:rsidR="00690CE3" w:rsidRPr="00183B5F" w:rsidRDefault="00943743">
            <w:pPr>
              <w:pStyle w:val="DefaultText"/>
              <w:keepNext/>
              <w:jc w:val="center"/>
              <w:rPr>
                <w:del w:id="6514" w:author="AbbVie_HU_03" w:date="2025-05-14T15:27:00Z"/>
                <w:rFonts w:ascii="Times New Roman" w:hAnsi="Times New Roman"/>
                <w:b/>
                <w:lang w:val="hu-HU"/>
              </w:rPr>
            </w:pPr>
            <w:del w:id="6515" w:author="AbbVie_HU_03" w:date="2025-05-14T15:27:00Z">
              <w:r w:rsidRPr="00183B5F">
                <w:rPr>
                  <w:rFonts w:ascii="Times New Roman" w:hAnsi="Times New Roman"/>
                  <w:b/>
                  <w:lang w:val="hu-HU"/>
                </w:rPr>
                <w:delText>N</w:delText>
              </w:r>
              <w:r w:rsidR="000C5AA9" w:rsidRPr="00183B5F">
                <w:rPr>
                  <w:rFonts w:ascii="Times New Roman" w:hAnsi="Times New Roman"/>
                  <w:b/>
                  <w:lang w:val="hu-HU"/>
                </w:rPr>
                <w:delText> </w:delText>
              </w:r>
              <w:r w:rsidRPr="00183B5F">
                <w:rPr>
                  <w:rFonts w:ascii="Times New Roman" w:hAnsi="Times New Roman"/>
                  <w:b/>
                  <w:lang w:val="hu-HU"/>
                </w:rPr>
                <w:delText>=</w:delText>
              </w:r>
              <w:r w:rsidR="000C5AA9" w:rsidRPr="00183B5F">
                <w:rPr>
                  <w:rFonts w:ascii="Times New Roman" w:hAnsi="Times New Roman"/>
                  <w:b/>
                  <w:lang w:val="hu-HU"/>
                </w:rPr>
                <w:delText> </w:delText>
              </w:r>
              <w:r w:rsidRPr="00183B5F">
                <w:rPr>
                  <w:rFonts w:ascii="Times New Roman" w:hAnsi="Times New Roman"/>
                  <w:b/>
                  <w:lang w:val="hu-HU"/>
                </w:rPr>
                <w:delText>814</w:delText>
              </w:r>
            </w:del>
          </w:p>
          <w:p w14:paraId="485291AF" w14:textId="415E0A4B" w:rsidR="00690CE3" w:rsidRPr="00183B5F" w:rsidRDefault="00943743">
            <w:pPr>
              <w:pStyle w:val="DefaultText"/>
              <w:keepNext/>
              <w:jc w:val="center"/>
              <w:rPr>
                <w:del w:id="6516" w:author="AbbVie_HU_03" w:date="2025-05-14T15:27:00Z"/>
                <w:rFonts w:ascii="Times New Roman" w:hAnsi="Times New Roman"/>
                <w:b/>
                <w:lang w:val="hu-HU"/>
              </w:rPr>
            </w:pPr>
            <w:del w:id="6517" w:author="AbbVie_HU_03" w:date="2025-05-14T15:27:00Z">
              <w:r w:rsidRPr="00183B5F">
                <w:rPr>
                  <w:rFonts w:ascii="Times New Roman" w:hAnsi="Times New Roman"/>
                  <w:b/>
                  <w:lang w:val="hu-HU"/>
                </w:rPr>
                <w:delText>n (%)</w:delText>
              </w:r>
            </w:del>
          </w:p>
        </w:tc>
      </w:tr>
      <w:tr w:rsidR="00011D2F" w14:paraId="598D9A62" w14:textId="066BDE0E">
        <w:trPr>
          <w:cantSplit/>
          <w:jc w:val="center"/>
          <w:del w:id="6518" w:author="AbbVie_HU_03" w:date="2025-05-14T15:27:00Z"/>
        </w:trPr>
        <w:tc>
          <w:tcPr>
            <w:tcW w:w="2977" w:type="dxa"/>
          </w:tcPr>
          <w:p w14:paraId="3471381E" w14:textId="1AEA581A" w:rsidR="00690CE3" w:rsidRPr="00183B5F" w:rsidRDefault="00943743" w:rsidP="006B2397">
            <w:pPr>
              <w:pStyle w:val="DefaultText"/>
              <w:keepNext/>
              <w:ind w:firstLine="225"/>
              <w:rPr>
                <w:del w:id="6519" w:author="AbbVie_HU_03" w:date="2025-05-14T15:27:00Z"/>
                <w:rFonts w:ascii="Times New Roman" w:hAnsi="Times New Roman"/>
                <w:b/>
                <w:lang w:val="hu-HU"/>
              </w:rPr>
            </w:pPr>
            <w:del w:id="6520" w:author="AbbVie_HU_03" w:date="2025-05-14T15:27:00Z">
              <w:r w:rsidRPr="00183B5F">
                <w:rPr>
                  <w:rFonts w:ascii="Symbol" w:hAnsi="Symbol"/>
                  <w:b/>
                  <w:lang w:val="hu-HU"/>
                </w:rPr>
                <w:sym w:font="Symbol" w:char="F0B3"/>
              </w:r>
              <w:r w:rsidRPr="00183B5F">
                <w:rPr>
                  <w:rFonts w:ascii="Times New Roman" w:hAnsi="Times New Roman"/>
                  <w:b/>
                  <w:lang w:val="hu-HU"/>
                </w:rPr>
                <w:delText xml:space="preserve"> PASI 75</w:delText>
              </w:r>
              <w:r w:rsidRPr="00183B5F">
                <w:rPr>
                  <w:rFonts w:ascii="Times New Roman" w:hAnsi="Times New Roman"/>
                  <w:b/>
                  <w:vertAlign w:val="superscript"/>
                  <w:lang w:val="hu-HU"/>
                </w:rPr>
                <w:delText>a</w:delText>
              </w:r>
            </w:del>
          </w:p>
        </w:tc>
        <w:tc>
          <w:tcPr>
            <w:tcW w:w="1620" w:type="dxa"/>
          </w:tcPr>
          <w:p w14:paraId="7682A45F" w14:textId="33AD402F" w:rsidR="00690CE3" w:rsidRPr="00183B5F" w:rsidRDefault="00943743">
            <w:pPr>
              <w:pStyle w:val="DefaultText"/>
              <w:keepNext/>
              <w:jc w:val="center"/>
              <w:rPr>
                <w:del w:id="6521" w:author="AbbVie_HU_03" w:date="2025-05-14T15:27:00Z"/>
                <w:rFonts w:ascii="Times New Roman" w:hAnsi="Times New Roman"/>
                <w:lang w:val="hu-HU"/>
              </w:rPr>
            </w:pPr>
            <w:del w:id="6522" w:author="AbbVie_HU_03" w:date="2025-05-14T15:27:00Z">
              <w:r w:rsidRPr="00183B5F">
                <w:rPr>
                  <w:rFonts w:ascii="Times New Roman" w:hAnsi="Times New Roman"/>
                  <w:lang w:val="hu-HU"/>
                </w:rPr>
                <w:delText>26 (6,5)</w:delText>
              </w:r>
            </w:del>
          </w:p>
        </w:tc>
        <w:tc>
          <w:tcPr>
            <w:tcW w:w="2352" w:type="dxa"/>
          </w:tcPr>
          <w:p w14:paraId="0CE8C9AD" w14:textId="45B68728" w:rsidR="00690CE3" w:rsidRPr="00183B5F" w:rsidRDefault="00943743">
            <w:pPr>
              <w:pStyle w:val="DefaultText"/>
              <w:keepNext/>
              <w:jc w:val="center"/>
              <w:rPr>
                <w:del w:id="6523" w:author="AbbVie_HU_03" w:date="2025-05-14T15:27:00Z"/>
                <w:rFonts w:ascii="Times New Roman" w:hAnsi="Times New Roman"/>
                <w:lang w:val="hu-HU"/>
              </w:rPr>
            </w:pPr>
            <w:del w:id="6524" w:author="AbbVie_HU_03" w:date="2025-05-14T15:27:00Z">
              <w:r w:rsidRPr="00183B5F">
                <w:rPr>
                  <w:rFonts w:ascii="Times New Roman" w:hAnsi="Times New Roman"/>
                  <w:lang w:val="hu-HU"/>
                </w:rPr>
                <w:delText>578 (70,9)</w:delText>
              </w:r>
              <w:r w:rsidRPr="00183B5F">
                <w:rPr>
                  <w:rFonts w:ascii="Times New Roman" w:hAnsi="Times New Roman"/>
                  <w:vertAlign w:val="superscript"/>
                  <w:lang w:val="hu-HU"/>
                </w:rPr>
                <w:delText>b</w:delText>
              </w:r>
            </w:del>
          </w:p>
        </w:tc>
      </w:tr>
      <w:tr w:rsidR="00011D2F" w14:paraId="0EA1D897" w14:textId="3EFD405C">
        <w:trPr>
          <w:cantSplit/>
          <w:trHeight w:val="70"/>
          <w:jc w:val="center"/>
          <w:del w:id="6525" w:author="AbbVie_HU_03" w:date="2025-05-14T15:27:00Z"/>
        </w:trPr>
        <w:tc>
          <w:tcPr>
            <w:tcW w:w="2977" w:type="dxa"/>
          </w:tcPr>
          <w:p w14:paraId="286885B5" w14:textId="70C0D739" w:rsidR="00690CE3" w:rsidRPr="00183B5F" w:rsidRDefault="00943743" w:rsidP="006B2397">
            <w:pPr>
              <w:pStyle w:val="DefaultText"/>
              <w:keepNext/>
              <w:ind w:firstLine="225"/>
              <w:rPr>
                <w:del w:id="6526" w:author="AbbVie_HU_03" w:date="2025-05-14T15:27:00Z"/>
                <w:rFonts w:ascii="Times New Roman" w:hAnsi="Times New Roman"/>
                <w:b/>
                <w:lang w:val="hu-HU"/>
              </w:rPr>
            </w:pPr>
            <w:del w:id="6527" w:author="AbbVie_HU_03" w:date="2025-05-14T15:27:00Z">
              <w:r w:rsidRPr="00183B5F">
                <w:rPr>
                  <w:rFonts w:ascii="Times New Roman" w:hAnsi="Times New Roman"/>
                  <w:b/>
                  <w:lang w:val="hu-HU"/>
                </w:rPr>
                <w:delText>PASI 100</w:delText>
              </w:r>
            </w:del>
          </w:p>
        </w:tc>
        <w:tc>
          <w:tcPr>
            <w:tcW w:w="1620" w:type="dxa"/>
          </w:tcPr>
          <w:p w14:paraId="4CDE3E01" w14:textId="73AE2CDF" w:rsidR="00690CE3" w:rsidRPr="00183B5F" w:rsidRDefault="00943743">
            <w:pPr>
              <w:pStyle w:val="DefaultText"/>
              <w:keepNext/>
              <w:jc w:val="center"/>
              <w:rPr>
                <w:del w:id="6528" w:author="AbbVie_HU_03" w:date="2025-05-14T15:27:00Z"/>
                <w:rFonts w:ascii="Times New Roman" w:hAnsi="Times New Roman"/>
                <w:lang w:val="hu-HU"/>
              </w:rPr>
            </w:pPr>
            <w:del w:id="6529" w:author="AbbVie_HU_03" w:date="2025-05-14T15:27:00Z">
              <w:r w:rsidRPr="00183B5F">
                <w:rPr>
                  <w:rFonts w:ascii="Times New Roman" w:hAnsi="Times New Roman"/>
                  <w:lang w:val="hu-HU"/>
                </w:rPr>
                <w:delText>3 (0,8)</w:delText>
              </w:r>
            </w:del>
          </w:p>
        </w:tc>
        <w:tc>
          <w:tcPr>
            <w:tcW w:w="2352" w:type="dxa"/>
          </w:tcPr>
          <w:p w14:paraId="04FD909F" w14:textId="51AEEE6A" w:rsidR="00690CE3" w:rsidRPr="00183B5F" w:rsidRDefault="00943743">
            <w:pPr>
              <w:pStyle w:val="DefaultText"/>
              <w:keepNext/>
              <w:jc w:val="center"/>
              <w:rPr>
                <w:del w:id="6530" w:author="AbbVie_HU_03" w:date="2025-05-14T15:27:00Z"/>
                <w:rFonts w:ascii="Times New Roman" w:hAnsi="Times New Roman"/>
                <w:lang w:val="hu-HU"/>
              </w:rPr>
            </w:pPr>
            <w:del w:id="6531" w:author="AbbVie_HU_03" w:date="2025-05-14T15:27:00Z">
              <w:r w:rsidRPr="00183B5F">
                <w:rPr>
                  <w:rFonts w:ascii="Times New Roman" w:hAnsi="Times New Roman"/>
                  <w:lang w:val="hu-HU"/>
                </w:rPr>
                <w:delText>163 (20,0)</w:delText>
              </w:r>
              <w:r w:rsidRPr="00183B5F">
                <w:rPr>
                  <w:rFonts w:ascii="Times New Roman" w:hAnsi="Times New Roman"/>
                  <w:vertAlign w:val="superscript"/>
                  <w:lang w:val="hu-HU"/>
                </w:rPr>
                <w:delText>b</w:delText>
              </w:r>
            </w:del>
          </w:p>
        </w:tc>
      </w:tr>
      <w:tr w:rsidR="00011D2F" w14:paraId="65809702" w14:textId="482802FF">
        <w:trPr>
          <w:cantSplit/>
          <w:jc w:val="center"/>
          <w:del w:id="6532" w:author="AbbVie_HU_03" w:date="2025-05-14T15:27:00Z"/>
        </w:trPr>
        <w:tc>
          <w:tcPr>
            <w:tcW w:w="2977" w:type="dxa"/>
          </w:tcPr>
          <w:p w14:paraId="71FECE80" w14:textId="13A3234F" w:rsidR="00690CE3" w:rsidRPr="00183B5F" w:rsidRDefault="00943743" w:rsidP="006B2397">
            <w:pPr>
              <w:pStyle w:val="DefaultText"/>
              <w:keepNext/>
              <w:ind w:firstLine="225"/>
              <w:rPr>
                <w:del w:id="6533" w:author="AbbVie_HU_03" w:date="2025-05-14T15:27:00Z"/>
                <w:rFonts w:ascii="Times New Roman" w:hAnsi="Times New Roman"/>
                <w:b/>
                <w:lang w:val="hu-HU"/>
              </w:rPr>
            </w:pPr>
            <w:del w:id="6534" w:author="AbbVie_HU_03" w:date="2025-05-14T15:27:00Z">
              <w:r w:rsidRPr="00183B5F">
                <w:rPr>
                  <w:rFonts w:ascii="Times New Roman" w:hAnsi="Times New Roman"/>
                  <w:b/>
                  <w:lang w:val="hu-HU"/>
                </w:rPr>
                <w:delText>PGA: tiszta/minimális</w:delText>
              </w:r>
            </w:del>
          </w:p>
        </w:tc>
        <w:tc>
          <w:tcPr>
            <w:tcW w:w="1620" w:type="dxa"/>
          </w:tcPr>
          <w:p w14:paraId="574506CD" w14:textId="13698A5D" w:rsidR="00690CE3" w:rsidRPr="00183B5F" w:rsidRDefault="00943743">
            <w:pPr>
              <w:pStyle w:val="DefaultText"/>
              <w:keepNext/>
              <w:jc w:val="center"/>
              <w:rPr>
                <w:del w:id="6535" w:author="AbbVie_HU_03" w:date="2025-05-14T15:27:00Z"/>
                <w:rFonts w:ascii="Times New Roman" w:hAnsi="Times New Roman"/>
                <w:lang w:val="hu-HU"/>
              </w:rPr>
            </w:pPr>
            <w:del w:id="6536" w:author="AbbVie_HU_03" w:date="2025-05-14T15:27:00Z">
              <w:r w:rsidRPr="00183B5F">
                <w:rPr>
                  <w:rFonts w:ascii="Times New Roman" w:hAnsi="Times New Roman"/>
                  <w:lang w:val="hu-HU"/>
                </w:rPr>
                <w:delText>17 (4,3)</w:delText>
              </w:r>
            </w:del>
          </w:p>
        </w:tc>
        <w:tc>
          <w:tcPr>
            <w:tcW w:w="2352" w:type="dxa"/>
          </w:tcPr>
          <w:p w14:paraId="0E22BB85" w14:textId="45BEEA1C" w:rsidR="00690CE3" w:rsidRPr="00183B5F" w:rsidRDefault="00943743">
            <w:pPr>
              <w:pStyle w:val="DefaultText"/>
              <w:keepNext/>
              <w:jc w:val="center"/>
              <w:rPr>
                <w:del w:id="6537" w:author="AbbVie_HU_03" w:date="2025-05-14T15:27:00Z"/>
                <w:rFonts w:ascii="Times New Roman" w:hAnsi="Times New Roman"/>
                <w:lang w:val="hu-HU"/>
              </w:rPr>
            </w:pPr>
            <w:del w:id="6538" w:author="AbbVie_HU_03" w:date="2025-05-14T15:27:00Z">
              <w:r w:rsidRPr="00183B5F">
                <w:rPr>
                  <w:rFonts w:ascii="Times New Roman" w:hAnsi="Times New Roman"/>
                  <w:lang w:val="hu-HU"/>
                </w:rPr>
                <w:delText>506 (62,2)</w:delText>
              </w:r>
              <w:r w:rsidRPr="00183B5F">
                <w:rPr>
                  <w:rFonts w:ascii="Times New Roman" w:hAnsi="Times New Roman"/>
                  <w:vertAlign w:val="superscript"/>
                  <w:lang w:val="hu-HU"/>
                </w:rPr>
                <w:delText>b</w:delText>
              </w:r>
            </w:del>
          </w:p>
        </w:tc>
      </w:tr>
      <w:tr w:rsidR="00011D2F" w14:paraId="2FDDA865" w14:textId="040BF4F6">
        <w:trPr>
          <w:cantSplit/>
          <w:jc w:val="center"/>
          <w:del w:id="6539" w:author="AbbVie_HU_03" w:date="2025-05-14T15:27:00Z"/>
        </w:trPr>
        <w:tc>
          <w:tcPr>
            <w:tcW w:w="6949" w:type="dxa"/>
            <w:gridSpan w:val="3"/>
          </w:tcPr>
          <w:p w14:paraId="112E22B0" w14:textId="558ECBDA" w:rsidR="00690CE3" w:rsidRPr="00183B5F" w:rsidRDefault="00943743">
            <w:pPr>
              <w:pStyle w:val="DefaultText"/>
              <w:keepNext/>
              <w:rPr>
                <w:del w:id="6540" w:author="AbbVie_HU_03" w:date="2025-05-14T15:27:00Z"/>
                <w:rFonts w:ascii="Times New Roman" w:hAnsi="Times New Roman"/>
                <w:szCs w:val="22"/>
                <w:lang w:val="hu-HU"/>
              </w:rPr>
            </w:pPr>
            <w:del w:id="6541" w:author="AbbVie_HU_03" w:date="2025-05-14T15:27:00Z">
              <w:r w:rsidRPr="00183B5F">
                <w:rPr>
                  <w:rFonts w:ascii="Times New Roman" w:hAnsi="Times New Roman"/>
                  <w:szCs w:val="22"/>
                  <w:vertAlign w:val="superscript"/>
                  <w:lang w:val="hu-HU"/>
                </w:rPr>
                <w:delText>a</w:delText>
              </w:r>
              <w:r w:rsidRPr="00183B5F">
                <w:rPr>
                  <w:rFonts w:ascii="Times New Roman" w:hAnsi="Times New Roman"/>
                  <w:szCs w:val="22"/>
                  <w:lang w:val="hu-HU"/>
                </w:rPr>
                <w:delText xml:space="preserve"> A PASI 75 választ elért betegek százalékos aránya középértékre korrigált arány formájában került kiszámításra</w:delText>
              </w:r>
            </w:del>
          </w:p>
          <w:p w14:paraId="31F57030" w14:textId="41C37FD5" w:rsidR="00690CE3" w:rsidRPr="00183B5F" w:rsidRDefault="00943743">
            <w:pPr>
              <w:pStyle w:val="DefaultText"/>
              <w:keepNext/>
              <w:rPr>
                <w:del w:id="6542" w:author="AbbVie_HU_03" w:date="2025-05-14T15:27:00Z"/>
                <w:rFonts w:ascii="Times New Roman" w:hAnsi="Times New Roman"/>
                <w:lang w:val="hu-HU"/>
              </w:rPr>
            </w:pPr>
            <w:del w:id="6543" w:author="AbbVie_HU_03" w:date="2025-05-14T15:27:00Z">
              <w:r w:rsidRPr="00183B5F">
                <w:rPr>
                  <w:rFonts w:ascii="Times New Roman" w:hAnsi="Times New Roman"/>
                  <w:vertAlign w:val="superscript"/>
                  <w:lang w:val="hu-HU"/>
                </w:rPr>
                <w:delText>b</w:delText>
              </w:r>
              <w:r w:rsidRPr="00183B5F">
                <w:rPr>
                  <w:rFonts w:ascii="Times New Roman" w:hAnsi="Times New Roman"/>
                  <w:lang w:val="hu-HU"/>
                </w:rPr>
                <w:delText xml:space="preserve"> p &lt; 0,001, Humira vs. placebo</w:delText>
              </w:r>
            </w:del>
          </w:p>
        </w:tc>
      </w:tr>
    </w:tbl>
    <w:p w14:paraId="6592050E" w14:textId="59C12807" w:rsidR="00690CE3" w:rsidRPr="00183B5F" w:rsidRDefault="00690CE3" w:rsidP="004062FE">
      <w:pPr>
        <w:pStyle w:val="BodyText3"/>
        <w:spacing w:line="240" w:lineRule="auto"/>
        <w:rPr>
          <w:del w:id="6544" w:author="AbbVie_HU_03" w:date="2025-05-14T15:27:00Z"/>
          <w:b/>
          <w:i/>
          <w:sz w:val="22"/>
          <w:lang w:val="hu-HU"/>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9"/>
        <w:gridCol w:w="1645"/>
        <w:gridCol w:w="1344"/>
        <w:gridCol w:w="2348"/>
      </w:tblGrid>
      <w:tr w:rsidR="00011D2F" w14:paraId="381CBB21" w14:textId="1F966930">
        <w:trPr>
          <w:cantSplit/>
          <w:jc w:val="center"/>
          <w:del w:id="6545" w:author="AbbVie_HU_03" w:date="2025-05-14T15:27:00Z"/>
        </w:trPr>
        <w:tc>
          <w:tcPr>
            <w:tcW w:w="7046" w:type="dxa"/>
            <w:gridSpan w:val="4"/>
            <w:tcBorders>
              <w:top w:val="nil"/>
              <w:left w:val="nil"/>
              <w:right w:val="nil"/>
            </w:tcBorders>
          </w:tcPr>
          <w:p w14:paraId="2DD8C62D" w14:textId="6EA9C729" w:rsidR="00690CE3" w:rsidRPr="00183B5F" w:rsidRDefault="00943743">
            <w:pPr>
              <w:pStyle w:val="DefaultText"/>
              <w:keepNext/>
              <w:jc w:val="center"/>
              <w:rPr>
                <w:del w:id="6546" w:author="AbbVie_HU_03" w:date="2025-05-14T15:27:00Z"/>
                <w:rFonts w:ascii="Times New Roman" w:hAnsi="Times New Roman"/>
                <w:b/>
                <w:lang w:val="hu-HU"/>
              </w:rPr>
            </w:pPr>
            <w:del w:id="6547" w:author="AbbVie_HU_03" w:date="2025-05-14T15:27:00Z">
              <w:r w:rsidRPr="00183B5F">
                <w:rPr>
                  <w:rFonts w:ascii="Times New Roman" w:hAnsi="Times New Roman"/>
                  <w:b/>
                  <w:lang w:val="hu-HU"/>
                </w:rPr>
                <w:delText xml:space="preserve">17. táblázat </w:delText>
              </w:r>
            </w:del>
          </w:p>
          <w:p w14:paraId="703768E3" w14:textId="7CE37F04" w:rsidR="00690CE3" w:rsidRPr="00183B5F" w:rsidRDefault="00943743">
            <w:pPr>
              <w:pStyle w:val="DefaultText"/>
              <w:keepNext/>
              <w:jc w:val="center"/>
              <w:rPr>
                <w:del w:id="6548" w:author="AbbVie_HU_03" w:date="2025-05-14T15:27:00Z"/>
                <w:rFonts w:ascii="Times New Roman" w:hAnsi="Times New Roman"/>
                <w:b/>
                <w:lang w:val="hu-HU"/>
              </w:rPr>
            </w:pPr>
            <w:del w:id="6549" w:author="AbbVie_HU_03" w:date="2025-05-14T15:27:00Z">
              <w:r w:rsidRPr="00183B5F">
                <w:rPr>
                  <w:rFonts w:ascii="Times New Roman" w:hAnsi="Times New Roman"/>
                  <w:b/>
                  <w:lang w:val="hu-HU"/>
                </w:rPr>
                <w:delText>Psoriasis II (CHAMPION) vizsgálat</w:delText>
              </w:r>
            </w:del>
          </w:p>
          <w:p w14:paraId="18BFC3AE" w14:textId="5985FE88" w:rsidR="00690CE3" w:rsidRPr="00183B5F" w:rsidRDefault="00943743">
            <w:pPr>
              <w:pStyle w:val="DefaultText"/>
              <w:keepNext/>
              <w:jc w:val="center"/>
              <w:rPr>
                <w:del w:id="6550" w:author="AbbVie_HU_03" w:date="2025-05-14T15:27:00Z"/>
                <w:rFonts w:ascii="Times New Roman" w:hAnsi="Times New Roman"/>
                <w:b/>
                <w:lang w:val="hu-HU"/>
              </w:rPr>
            </w:pPr>
            <w:del w:id="6551" w:author="AbbVie_HU_03" w:date="2025-05-14T15:27:00Z">
              <w:r w:rsidRPr="00183B5F">
                <w:rPr>
                  <w:rFonts w:ascii="Times New Roman" w:hAnsi="Times New Roman"/>
                  <w:b/>
                  <w:lang w:val="hu-HU"/>
                </w:rPr>
                <w:delText>Hatékonysági eredmények a 16.</w:delText>
              </w:r>
              <w:r w:rsidR="00A44DB6" w:rsidRPr="00183B5F">
                <w:rPr>
                  <w:rFonts w:ascii="Times New Roman" w:hAnsi="Times New Roman"/>
                  <w:b/>
                  <w:lang w:val="hu-HU"/>
                </w:rPr>
                <w:delText> hét</w:delText>
              </w:r>
              <w:r w:rsidRPr="00183B5F">
                <w:rPr>
                  <w:rFonts w:ascii="Times New Roman" w:hAnsi="Times New Roman"/>
                  <w:b/>
                  <w:lang w:val="hu-HU"/>
                </w:rPr>
                <w:delText>en</w:delText>
              </w:r>
            </w:del>
          </w:p>
          <w:p w14:paraId="0FC29D64" w14:textId="04828E36" w:rsidR="00690CE3" w:rsidRPr="00183B5F" w:rsidRDefault="00690CE3">
            <w:pPr>
              <w:pStyle w:val="DefaultText"/>
              <w:keepNext/>
              <w:jc w:val="center"/>
              <w:rPr>
                <w:del w:id="6552" w:author="AbbVie_HU_03" w:date="2025-05-14T15:27:00Z"/>
                <w:rFonts w:ascii="Times New Roman" w:hAnsi="Times New Roman"/>
                <w:u w:val="single"/>
                <w:lang w:val="hu-HU"/>
              </w:rPr>
            </w:pPr>
          </w:p>
        </w:tc>
      </w:tr>
      <w:tr w:rsidR="00011D2F" w14:paraId="7EF22771" w14:textId="4D351A24">
        <w:trPr>
          <w:cantSplit/>
          <w:jc w:val="center"/>
          <w:del w:id="6553" w:author="AbbVie_HU_03" w:date="2025-05-14T15:27:00Z"/>
        </w:trPr>
        <w:tc>
          <w:tcPr>
            <w:tcW w:w="1639" w:type="dxa"/>
          </w:tcPr>
          <w:p w14:paraId="4143A480" w14:textId="684E196C" w:rsidR="00690CE3" w:rsidRPr="00183B5F" w:rsidRDefault="00690CE3">
            <w:pPr>
              <w:pStyle w:val="DefaultText"/>
              <w:keepNext/>
              <w:jc w:val="center"/>
              <w:rPr>
                <w:del w:id="6554" w:author="AbbVie_HU_03" w:date="2025-05-14T15:27:00Z"/>
                <w:rFonts w:ascii="Times New Roman" w:hAnsi="Times New Roman"/>
                <w:b/>
                <w:lang w:val="hu-HU"/>
              </w:rPr>
            </w:pPr>
          </w:p>
        </w:tc>
        <w:tc>
          <w:tcPr>
            <w:tcW w:w="1668" w:type="dxa"/>
            <w:vAlign w:val="center"/>
          </w:tcPr>
          <w:p w14:paraId="5B0A8F3A" w14:textId="7AF1B6F7" w:rsidR="00690CE3" w:rsidRPr="00183B5F" w:rsidRDefault="00943743">
            <w:pPr>
              <w:pStyle w:val="DefaultText"/>
              <w:keepNext/>
              <w:jc w:val="center"/>
              <w:rPr>
                <w:del w:id="6555" w:author="AbbVie_HU_03" w:date="2025-05-14T15:27:00Z"/>
                <w:rFonts w:ascii="Times New Roman" w:hAnsi="Times New Roman"/>
                <w:b/>
                <w:lang w:val="hu-HU"/>
              </w:rPr>
            </w:pPr>
            <w:del w:id="6556" w:author="AbbVie_HU_03" w:date="2025-05-14T15:27:00Z">
              <w:r w:rsidRPr="00183B5F">
                <w:rPr>
                  <w:rFonts w:ascii="Times New Roman" w:hAnsi="Times New Roman"/>
                  <w:b/>
                  <w:lang w:val="hu-HU"/>
                </w:rPr>
                <w:delText>Placebo</w:delText>
              </w:r>
            </w:del>
          </w:p>
          <w:p w14:paraId="3F257DE9" w14:textId="6197F7FA" w:rsidR="00690CE3" w:rsidRPr="00183B5F" w:rsidRDefault="00943743">
            <w:pPr>
              <w:pStyle w:val="DefaultText"/>
              <w:keepNext/>
              <w:jc w:val="center"/>
              <w:rPr>
                <w:del w:id="6557" w:author="AbbVie_HU_03" w:date="2025-05-14T15:27:00Z"/>
                <w:rFonts w:ascii="Times New Roman" w:hAnsi="Times New Roman"/>
                <w:b/>
                <w:lang w:val="hu-HU"/>
              </w:rPr>
            </w:pPr>
            <w:del w:id="6558" w:author="AbbVie_HU_03" w:date="2025-05-14T15:27:00Z">
              <w:r w:rsidRPr="00183B5F">
                <w:rPr>
                  <w:rFonts w:ascii="Times New Roman" w:hAnsi="Times New Roman"/>
                  <w:b/>
                  <w:lang w:val="hu-HU"/>
                </w:rPr>
                <w:delText>N</w:delText>
              </w:r>
              <w:r w:rsidR="000C5AA9" w:rsidRPr="00183B5F">
                <w:rPr>
                  <w:rFonts w:ascii="Times New Roman" w:hAnsi="Times New Roman"/>
                  <w:b/>
                  <w:lang w:val="hu-HU"/>
                </w:rPr>
                <w:delText> </w:delText>
              </w:r>
              <w:r w:rsidRPr="00183B5F">
                <w:rPr>
                  <w:rFonts w:ascii="Times New Roman" w:hAnsi="Times New Roman"/>
                  <w:b/>
                  <w:lang w:val="hu-HU"/>
                </w:rPr>
                <w:delText>=</w:delText>
              </w:r>
              <w:r w:rsidR="000C5AA9" w:rsidRPr="00183B5F">
                <w:rPr>
                  <w:rFonts w:ascii="Times New Roman" w:hAnsi="Times New Roman"/>
                  <w:b/>
                  <w:lang w:val="hu-HU"/>
                </w:rPr>
                <w:delText> </w:delText>
              </w:r>
              <w:r w:rsidRPr="00183B5F">
                <w:rPr>
                  <w:rFonts w:ascii="Times New Roman" w:hAnsi="Times New Roman"/>
                  <w:b/>
                  <w:lang w:val="hu-HU"/>
                </w:rPr>
                <w:delText>53</w:delText>
              </w:r>
            </w:del>
          </w:p>
          <w:p w14:paraId="1C5C2552" w14:textId="11E48272" w:rsidR="00690CE3" w:rsidRPr="00183B5F" w:rsidRDefault="00943743">
            <w:pPr>
              <w:pStyle w:val="DefaultText"/>
              <w:keepNext/>
              <w:jc w:val="center"/>
              <w:rPr>
                <w:del w:id="6559" w:author="AbbVie_HU_03" w:date="2025-05-14T15:27:00Z"/>
                <w:rFonts w:ascii="Times New Roman" w:hAnsi="Times New Roman"/>
                <w:b/>
                <w:lang w:val="hu-HU"/>
              </w:rPr>
            </w:pPr>
            <w:del w:id="6560" w:author="AbbVie_HU_03" w:date="2025-05-14T15:27:00Z">
              <w:r w:rsidRPr="00183B5F">
                <w:rPr>
                  <w:rFonts w:ascii="Times New Roman" w:hAnsi="Times New Roman"/>
                  <w:b/>
                  <w:lang w:val="hu-HU"/>
                </w:rPr>
                <w:delText>n (%)</w:delText>
              </w:r>
            </w:del>
          </w:p>
        </w:tc>
        <w:tc>
          <w:tcPr>
            <w:tcW w:w="1347" w:type="dxa"/>
            <w:vAlign w:val="center"/>
          </w:tcPr>
          <w:p w14:paraId="16106DD1" w14:textId="1F6AF29F" w:rsidR="00690CE3" w:rsidRPr="00183B5F" w:rsidRDefault="00943743">
            <w:pPr>
              <w:pStyle w:val="DefaultText"/>
              <w:keepNext/>
              <w:jc w:val="center"/>
              <w:rPr>
                <w:del w:id="6561" w:author="AbbVie_HU_03" w:date="2025-05-14T15:27:00Z"/>
                <w:rFonts w:ascii="Times New Roman" w:hAnsi="Times New Roman"/>
                <w:b/>
                <w:lang w:val="hu-HU"/>
              </w:rPr>
            </w:pPr>
            <w:del w:id="6562" w:author="AbbVie_HU_03" w:date="2025-05-14T15:27:00Z">
              <w:r w:rsidRPr="00183B5F">
                <w:rPr>
                  <w:rFonts w:ascii="Times New Roman" w:hAnsi="Times New Roman"/>
                  <w:b/>
                  <w:lang w:val="hu-HU"/>
                </w:rPr>
                <w:delText>Metotrexát</w:delText>
              </w:r>
            </w:del>
          </w:p>
          <w:p w14:paraId="0F51B927" w14:textId="469C09CD" w:rsidR="00690CE3" w:rsidRPr="00183B5F" w:rsidRDefault="00943743">
            <w:pPr>
              <w:pStyle w:val="DefaultText"/>
              <w:keepNext/>
              <w:jc w:val="center"/>
              <w:rPr>
                <w:del w:id="6563" w:author="AbbVie_HU_03" w:date="2025-05-14T15:27:00Z"/>
                <w:rFonts w:ascii="Times New Roman" w:hAnsi="Times New Roman"/>
                <w:b/>
                <w:lang w:val="hu-HU"/>
              </w:rPr>
            </w:pPr>
            <w:del w:id="6564" w:author="AbbVie_HU_03" w:date="2025-05-14T15:27:00Z">
              <w:r w:rsidRPr="00183B5F">
                <w:rPr>
                  <w:rFonts w:ascii="Times New Roman" w:hAnsi="Times New Roman"/>
                  <w:b/>
                  <w:lang w:val="hu-HU"/>
                </w:rPr>
                <w:delText>N</w:delText>
              </w:r>
              <w:r w:rsidR="000C5AA9" w:rsidRPr="00183B5F">
                <w:rPr>
                  <w:rFonts w:ascii="Times New Roman" w:hAnsi="Times New Roman"/>
                  <w:b/>
                  <w:lang w:val="hu-HU"/>
                </w:rPr>
                <w:delText> </w:delText>
              </w:r>
              <w:r w:rsidRPr="00183B5F">
                <w:rPr>
                  <w:rFonts w:ascii="Times New Roman" w:hAnsi="Times New Roman"/>
                  <w:b/>
                  <w:lang w:val="hu-HU"/>
                </w:rPr>
                <w:delText>=</w:delText>
              </w:r>
              <w:r w:rsidR="000C5AA9" w:rsidRPr="00183B5F">
                <w:rPr>
                  <w:rFonts w:ascii="Times New Roman" w:hAnsi="Times New Roman"/>
                  <w:b/>
                  <w:lang w:val="hu-HU"/>
                </w:rPr>
                <w:delText> </w:delText>
              </w:r>
              <w:r w:rsidRPr="00183B5F">
                <w:rPr>
                  <w:rFonts w:ascii="Times New Roman" w:hAnsi="Times New Roman"/>
                  <w:b/>
                  <w:lang w:val="hu-HU"/>
                </w:rPr>
                <w:delText>110</w:delText>
              </w:r>
            </w:del>
          </w:p>
          <w:p w14:paraId="4D38D8EC" w14:textId="4DA3D402" w:rsidR="00690CE3" w:rsidRPr="00183B5F" w:rsidRDefault="00943743">
            <w:pPr>
              <w:pStyle w:val="DefaultText"/>
              <w:keepNext/>
              <w:jc w:val="center"/>
              <w:rPr>
                <w:del w:id="6565" w:author="AbbVie_HU_03" w:date="2025-05-14T15:27:00Z"/>
                <w:rFonts w:ascii="Times New Roman" w:hAnsi="Times New Roman"/>
                <w:b/>
                <w:lang w:val="hu-HU"/>
              </w:rPr>
            </w:pPr>
            <w:del w:id="6566" w:author="AbbVie_HU_03" w:date="2025-05-14T15:27:00Z">
              <w:r w:rsidRPr="00183B5F">
                <w:rPr>
                  <w:rFonts w:ascii="Times New Roman" w:hAnsi="Times New Roman"/>
                  <w:b/>
                  <w:lang w:val="hu-HU"/>
                </w:rPr>
                <w:delText>n (%)</w:delText>
              </w:r>
            </w:del>
          </w:p>
        </w:tc>
        <w:tc>
          <w:tcPr>
            <w:tcW w:w="2392" w:type="dxa"/>
            <w:vAlign w:val="center"/>
          </w:tcPr>
          <w:p w14:paraId="18E6A1B7" w14:textId="776251F7" w:rsidR="00690CE3" w:rsidRPr="00183B5F" w:rsidRDefault="00943743">
            <w:pPr>
              <w:pStyle w:val="DefaultText"/>
              <w:keepNext/>
              <w:jc w:val="center"/>
              <w:rPr>
                <w:del w:id="6567" w:author="AbbVie_HU_03" w:date="2025-05-14T15:27:00Z"/>
                <w:rFonts w:ascii="Times New Roman" w:hAnsi="Times New Roman"/>
                <w:b/>
                <w:lang w:val="hu-HU"/>
              </w:rPr>
            </w:pPr>
            <w:del w:id="6568" w:author="AbbVie_HU_03" w:date="2025-05-14T15:27:00Z">
              <w:r w:rsidRPr="00183B5F">
                <w:rPr>
                  <w:rFonts w:ascii="Times New Roman" w:hAnsi="Times New Roman"/>
                  <w:b/>
                  <w:lang w:val="hu-HU"/>
                </w:rPr>
                <w:delText xml:space="preserve">Humira 40 mg </w:delText>
              </w:r>
            </w:del>
          </w:p>
          <w:p w14:paraId="62D6A3FF" w14:textId="29C692D5" w:rsidR="00690CE3" w:rsidRPr="00183B5F" w:rsidRDefault="00943743">
            <w:pPr>
              <w:pStyle w:val="DefaultText"/>
              <w:keepNext/>
              <w:jc w:val="center"/>
              <w:rPr>
                <w:del w:id="6569" w:author="AbbVie_HU_03" w:date="2025-05-14T15:27:00Z"/>
                <w:rFonts w:ascii="Times New Roman" w:hAnsi="Times New Roman"/>
                <w:b/>
                <w:lang w:val="hu-HU"/>
              </w:rPr>
            </w:pPr>
            <w:del w:id="6570" w:author="AbbVie_HU_03" w:date="2025-05-14T15:27:00Z">
              <w:r w:rsidRPr="00183B5F">
                <w:rPr>
                  <w:rFonts w:ascii="Times New Roman" w:hAnsi="Times New Roman"/>
                  <w:b/>
                  <w:lang w:val="hu-HU"/>
                </w:rPr>
                <w:delText>minden második héten</w:delText>
              </w:r>
            </w:del>
          </w:p>
          <w:p w14:paraId="5F5E6884" w14:textId="36706C1A" w:rsidR="00690CE3" w:rsidRPr="00183B5F" w:rsidRDefault="00943743">
            <w:pPr>
              <w:pStyle w:val="DefaultText"/>
              <w:keepNext/>
              <w:jc w:val="center"/>
              <w:rPr>
                <w:del w:id="6571" w:author="AbbVie_HU_03" w:date="2025-05-14T15:27:00Z"/>
                <w:rFonts w:ascii="Times New Roman" w:hAnsi="Times New Roman"/>
                <w:b/>
                <w:lang w:val="hu-HU"/>
              </w:rPr>
            </w:pPr>
            <w:del w:id="6572" w:author="AbbVie_HU_03" w:date="2025-05-14T15:27:00Z">
              <w:r w:rsidRPr="00183B5F">
                <w:rPr>
                  <w:rFonts w:ascii="Times New Roman" w:hAnsi="Times New Roman"/>
                  <w:b/>
                  <w:lang w:val="hu-HU"/>
                </w:rPr>
                <w:delText>N</w:delText>
              </w:r>
              <w:r w:rsidR="000C5AA9" w:rsidRPr="00183B5F">
                <w:rPr>
                  <w:rFonts w:ascii="Times New Roman" w:hAnsi="Times New Roman"/>
                  <w:b/>
                  <w:lang w:val="hu-HU"/>
                </w:rPr>
                <w:delText> </w:delText>
              </w:r>
              <w:r w:rsidRPr="00183B5F">
                <w:rPr>
                  <w:rFonts w:ascii="Times New Roman" w:hAnsi="Times New Roman"/>
                  <w:b/>
                  <w:lang w:val="hu-HU"/>
                </w:rPr>
                <w:delText>=</w:delText>
              </w:r>
              <w:r w:rsidR="000C5AA9" w:rsidRPr="00183B5F">
                <w:rPr>
                  <w:rFonts w:ascii="Times New Roman" w:hAnsi="Times New Roman"/>
                  <w:b/>
                  <w:lang w:val="hu-HU"/>
                </w:rPr>
                <w:delText> </w:delText>
              </w:r>
              <w:r w:rsidRPr="00183B5F">
                <w:rPr>
                  <w:rFonts w:ascii="Times New Roman" w:hAnsi="Times New Roman"/>
                  <w:b/>
                  <w:lang w:val="hu-HU"/>
                </w:rPr>
                <w:delText>108</w:delText>
              </w:r>
            </w:del>
          </w:p>
          <w:p w14:paraId="43DC8BF6" w14:textId="3D825CF6" w:rsidR="00690CE3" w:rsidRPr="00183B5F" w:rsidRDefault="00943743">
            <w:pPr>
              <w:pStyle w:val="DefaultText"/>
              <w:keepNext/>
              <w:jc w:val="center"/>
              <w:rPr>
                <w:del w:id="6573" w:author="AbbVie_HU_03" w:date="2025-05-14T15:27:00Z"/>
                <w:rFonts w:ascii="Times New Roman" w:hAnsi="Times New Roman"/>
                <w:b/>
                <w:lang w:val="hu-HU"/>
              </w:rPr>
            </w:pPr>
            <w:del w:id="6574" w:author="AbbVie_HU_03" w:date="2025-05-14T15:27:00Z">
              <w:r w:rsidRPr="00183B5F">
                <w:rPr>
                  <w:rFonts w:ascii="Times New Roman" w:hAnsi="Times New Roman"/>
                  <w:b/>
                  <w:lang w:val="hu-HU"/>
                </w:rPr>
                <w:delText>n (%)</w:delText>
              </w:r>
            </w:del>
          </w:p>
        </w:tc>
      </w:tr>
      <w:tr w:rsidR="00011D2F" w14:paraId="5D07E3B4" w14:textId="0599EF1E">
        <w:trPr>
          <w:cantSplit/>
          <w:jc w:val="center"/>
          <w:del w:id="6575" w:author="AbbVie_HU_03" w:date="2025-05-14T15:27:00Z"/>
        </w:trPr>
        <w:tc>
          <w:tcPr>
            <w:tcW w:w="1639" w:type="dxa"/>
          </w:tcPr>
          <w:p w14:paraId="2AE01A68" w14:textId="60FA9451" w:rsidR="00690CE3" w:rsidRPr="00183B5F" w:rsidRDefault="00943743" w:rsidP="006B2397">
            <w:pPr>
              <w:pStyle w:val="DefaultText"/>
              <w:keepNext/>
              <w:ind w:firstLine="225"/>
              <w:rPr>
                <w:del w:id="6576" w:author="AbbVie_HU_03" w:date="2025-05-14T15:27:00Z"/>
                <w:rFonts w:ascii="Times New Roman" w:hAnsi="Times New Roman"/>
                <w:b/>
                <w:lang w:val="hu-HU"/>
              </w:rPr>
            </w:pPr>
            <w:del w:id="6577" w:author="AbbVie_HU_03" w:date="2025-05-14T15:27:00Z">
              <w:r w:rsidRPr="00183B5F">
                <w:rPr>
                  <w:rFonts w:ascii="Symbol" w:hAnsi="Symbol"/>
                  <w:b/>
                  <w:lang w:val="hu-HU"/>
                </w:rPr>
                <w:sym w:font="Symbol" w:char="F0B3"/>
              </w:r>
              <w:r w:rsidR="0047618A" w:rsidRPr="00183B5F">
                <w:rPr>
                  <w:rFonts w:ascii="Times New Roman" w:hAnsi="Times New Roman"/>
                  <w:b/>
                  <w:lang w:val="hu-HU"/>
                </w:rPr>
                <w:delText> </w:delText>
              </w:r>
              <w:r w:rsidRPr="00183B5F">
                <w:rPr>
                  <w:rFonts w:ascii="Times New Roman" w:hAnsi="Times New Roman"/>
                  <w:b/>
                  <w:lang w:val="hu-HU"/>
                </w:rPr>
                <w:delText>PASI 75</w:delText>
              </w:r>
            </w:del>
          </w:p>
        </w:tc>
        <w:tc>
          <w:tcPr>
            <w:tcW w:w="1668" w:type="dxa"/>
          </w:tcPr>
          <w:p w14:paraId="7261C119" w14:textId="3C58B5BC" w:rsidR="00690CE3" w:rsidRPr="00183B5F" w:rsidRDefault="00943743">
            <w:pPr>
              <w:pStyle w:val="DefaultText"/>
              <w:keepNext/>
              <w:jc w:val="center"/>
              <w:rPr>
                <w:del w:id="6578" w:author="AbbVie_HU_03" w:date="2025-05-14T15:27:00Z"/>
                <w:rFonts w:ascii="Times New Roman" w:hAnsi="Times New Roman"/>
                <w:lang w:val="hu-HU"/>
              </w:rPr>
            </w:pPr>
            <w:del w:id="6579" w:author="AbbVie_HU_03" w:date="2025-05-14T15:27:00Z">
              <w:r w:rsidRPr="00183B5F">
                <w:rPr>
                  <w:rFonts w:ascii="Times New Roman" w:hAnsi="Times New Roman"/>
                  <w:lang w:val="hu-HU"/>
                </w:rPr>
                <w:delText>10 (18,9)</w:delText>
              </w:r>
            </w:del>
          </w:p>
        </w:tc>
        <w:tc>
          <w:tcPr>
            <w:tcW w:w="1347" w:type="dxa"/>
          </w:tcPr>
          <w:p w14:paraId="2B39DA90" w14:textId="76AF0337" w:rsidR="00690CE3" w:rsidRPr="00183B5F" w:rsidRDefault="00943743">
            <w:pPr>
              <w:pStyle w:val="DefaultText"/>
              <w:keepNext/>
              <w:jc w:val="center"/>
              <w:rPr>
                <w:del w:id="6580" w:author="AbbVie_HU_03" w:date="2025-05-14T15:27:00Z"/>
                <w:rFonts w:ascii="Times New Roman" w:hAnsi="Times New Roman"/>
                <w:lang w:val="hu-HU"/>
              </w:rPr>
            </w:pPr>
            <w:del w:id="6581" w:author="AbbVie_HU_03" w:date="2025-05-14T15:27:00Z">
              <w:r w:rsidRPr="00183B5F">
                <w:rPr>
                  <w:rFonts w:ascii="Times New Roman" w:hAnsi="Times New Roman"/>
                  <w:lang w:val="hu-HU"/>
                </w:rPr>
                <w:delText>39 (35,5)</w:delText>
              </w:r>
            </w:del>
          </w:p>
        </w:tc>
        <w:tc>
          <w:tcPr>
            <w:tcW w:w="2392" w:type="dxa"/>
          </w:tcPr>
          <w:p w14:paraId="6582912A" w14:textId="7BB5B97D" w:rsidR="00690CE3" w:rsidRPr="00183B5F" w:rsidRDefault="00943743">
            <w:pPr>
              <w:pStyle w:val="DefaultText"/>
              <w:keepNext/>
              <w:jc w:val="center"/>
              <w:rPr>
                <w:del w:id="6582" w:author="AbbVie_HU_03" w:date="2025-05-14T15:27:00Z"/>
                <w:rFonts w:ascii="Times New Roman" w:hAnsi="Times New Roman"/>
                <w:lang w:val="hu-HU"/>
              </w:rPr>
            </w:pPr>
            <w:del w:id="6583" w:author="AbbVie_HU_03" w:date="2025-05-14T15:27:00Z">
              <w:r w:rsidRPr="00183B5F">
                <w:rPr>
                  <w:rFonts w:ascii="Times New Roman" w:hAnsi="Times New Roman"/>
                  <w:lang w:val="hu-HU"/>
                </w:rPr>
                <w:delText>86 (79,6)</w:delText>
              </w:r>
              <w:r w:rsidRPr="00183B5F">
                <w:rPr>
                  <w:rFonts w:ascii="Times New Roman" w:hAnsi="Times New Roman"/>
                  <w:vertAlign w:val="superscript"/>
                  <w:lang w:val="hu-HU"/>
                </w:rPr>
                <w:delText xml:space="preserve"> a, b</w:delText>
              </w:r>
            </w:del>
          </w:p>
        </w:tc>
      </w:tr>
      <w:tr w:rsidR="00011D2F" w14:paraId="57C13D29" w14:textId="0A61F440">
        <w:trPr>
          <w:cantSplit/>
          <w:jc w:val="center"/>
          <w:del w:id="6584" w:author="AbbVie_HU_03" w:date="2025-05-14T15:27:00Z"/>
        </w:trPr>
        <w:tc>
          <w:tcPr>
            <w:tcW w:w="1639" w:type="dxa"/>
          </w:tcPr>
          <w:p w14:paraId="12B75C5E" w14:textId="5AFBFB33" w:rsidR="00690CE3" w:rsidRPr="00183B5F" w:rsidRDefault="00943743" w:rsidP="006B2397">
            <w:pPr>
              <w:pStyle w:val="DefaultText"/>
              <w:keepNext/>
              <w:ind w:firstLine="225"/>
              <w:rPr>
                <w:del w:id="6585" w:author="AbbVie_HU_03" w:date="2025-05-14T15:27:00Z"/>
                <w:rFonts w:ascii="Times New Roman" w:hAnsi="Times New Roman"/>
                <w:b/>
                <w:lang w:val="hu-HU"/>
              </w:rPr>
            </w:pPr>
            <w:del w:id="6586" w:author="AbbVie_HU_03" w:date="2025-05-14T15:27:00Z">
              <w:r w:rsidRPr="00183B5F">
                <w:rPr>
                  <w:rFonts w:ascii="Times New Roman" w:hAnsi="Times New Roman"/>
                  <w:b/>
                  <w:lang w:val="hu-HU"/>
                </w:rPr>
                <w:delText>PASI 100</w:delText>
              </w:r>
            </w:del>
          </w:p>
        </w:tc>
        <w:tc>
          <w:tcPr>
            <w:tcW w:w="1668" w:type="dxa"/>
          </w:tcPr>
          <w:p w14:paraId="1F5F2BD0" w14:textId="3BB22670" w:rsidR="00690CE3" w:rsidRPr="00183B5F" w:rsidRDefault="00943743">
            <w:pPr>
              <w:pStyle w:val="DefaultText"/>
              <w:keepNext/>
              <w:jc w:val="center"/>
              <w:rPr>
                <w:del w:id="6587" w:author="AbbVie_HU_03" w:date="2025-05-14T15:27:00Z"/>
                <w:rFonts w:ascii="Times New Roman" w:hAnsi="Times New Roman"/>
                <w:lang w:val="hu-HU"/>
              </w:rPr>
            </w:pPr>
            <w:del w:id="6588" w:author="AbbVie_HU_03" w:date="2025-05-14T15:27:00Z">
              <w:r w:rsidRPr="00183B5F">
                <w:rPr>
                  <w:rFonts w:ascii="Times New Roman" w:hAnsi="Times New Roman"/>
                  <w:lang w:val="hu-HU"/>
                </w:rPr>
                <w:delText>1 (1,9)</w:delText>
              </w:r>
            </w:del>
          </w:p>
        </w:tc>
        <w:tc>
          <w:tcPr>
            <w:tcW w:w="1347" w:type="dxa"/>
          </w:tcPr>
          <w:p w14:paraId="21207DBE" w14:textId="1A4BF7CE" w:rsidR="00690CE3" w:rsidRPr="00183B5F" w:rsidRDefault="00943743">
            <w:pPr>
              <w:pStyle w:val="DefaultText"/>
              <w:keepNext/>
              <w:jc w:val="center"/>
              <w:rPr>
                <w:del w:id="6589" w:author="AbbVie_HU_03" w:date="2025-05-14T15:27:00Z"/>
                <w:rFonts w:ascii="Times New Roman" w:hAnsi="Times New Roman"/>
                <w:lang w:val="hu-HU"/>
              </w:rPr>
            </w:pPr>
            <w:del w:id="6590" w:author="AbbVie_HU_03" w:date="2025-05-14T15:27:00Z">
              <w:r w:rsidRPr="00183B5F">
                <w:rPr>
                  <w:rFonts w:ascii="Times New Roman" w:hAnsi="Times New Roman"/>
                  <w:lang w:val="hu-HU"/>
                </w:rPr>
                <w:delText>8 (7,3)</w:delText>
              </w:r>
            </w:del>
          </w:p>
        </w:tc>
        <w:tc>
          <w:tcPr>
            <w:tcW w:w="2392" w:type="dxa"/>
          </w:tcPr>
          <w:p w14:paraId="768497D2" w14:textId="53FF7615" w:rsidR="00690CE3" w:rsidRPr="00183B5F" w:rsidRDefault="00943743">
            <w:pPr>
              <w:pStyle w:val="DefaultText"/>
              <w:keepNext/>
              <w:jc w:val="center"/>
              <w:rPr>
                <w:del w:id="6591" w:author="AbbVie_HU_03" w:date="2025-05-14T15:27:00Z"/>
                <w:rFonts w:ascii="Times New Roman" w:hAnsi="Times New Roman"/>
                <w:lang w:val="hu-HU"/>
              </w:rPr>
            </w:pPr>
            <w:del w:id="6592" w:author="AbbVie_HU_03" w:date="2025-05-14T15:27:00Z">
              <w:r w:rsidRPr="00183B5F">
                <w:rPr>
                  <w:rFonts w:ascii="Times New Roman" w:hAnsi="Times New Roman"/>
                  <w:lang w:val="hu-HU"/>
                </w:rPr>
                <w:delText>18 (16,7)</w:delText>
              </w:r>
              <w:r w:rsidRPr="00183B5F">
                <w:rPr>
                  <w:rFonts w:ascii="Times New Roman" w:hAnsi="Times New Roman"/>
                  <w:vertAlign w:val="superscript"/>
                  <w:lang w:val="hu-HU"/>
                </w:rPr>
                <w:delText xml:space="preserve"> c, d</w:delText>
              </w:r>
            </w:del>
          </w:p>
        </w:tc>
      </w:tr>
      <w:tr w:rsidR="00011D2F" w14:paraId="11E1BDE8" w14:textId="234967D9">
        <w:trPr>
          <w:cantSplit/>
          <w:jc w:val="center"/>
          <w:del w:id="6593" w:author="AbbVie_HU_03" w:date="2025-05-14T15:27:00Z"/>
        </w:trPr>
        <w:tc>
          <w:tcPr>
            <w:tcW w:w="1639" w:type="dxa"/>
          </w:tcPr>
          <w:p w14:paraId="2B544110" w14:textId="4552C6DB" w:rsidR="00690CE3" w:rsidRPr="00183B5F" w:rsidRDefault="00943743" w:rsidP="006B2397">
            <w:pPr>
              <w:pStyle w:val="DefaultText"/>
              <w:keepNext/>
              <w:ind w:firstLine="225"/>
              <w:rPr>
                <w:del w:id="6594" w:author="AbbVie_HU_03" w:date="2025-05-14T15:27:00Z"/>
                <w:rFonts w:ascii="Times New Roman" w:hAnsi="Times New Roman"/>
                <w:b/>
                <w:lang w:val="hu-HU"/>
              </w:rPr>
            </w:pPr>
            <w:del w:id="6595" w:author="AbbVie_HU_03" w:date="2025-05-14T15:27:00Z">
              <w:r w:rsidRPr="00183B5F">
                <w:rPr>
                  <w:rFonts w:ascii="Times New Roman" w:hAnsi="Times New Roman"/>
                  <w:b/>
                  <w:lang w:val="hu-HU"/>
                </w:rPr>
                <w:delText>PGA: tiszta/minimális</w:delText>
              </w:r>
            </w:del>
          </w:p>
        </w:tc>
        <w:tc>
          <w:tcPr>
            <w:tcW w:w="1668" w:type="dxa"/>
          </w:tcPr>
          <w:p w14:paraId="5A50BD41" w14:textId="045805B7" w:rsidR="00690CE3" w:rsidRPr="00183B5F" w:rsidRDefault="00943743">
            <w:pPr>
              <w:pStyle w:val="DefaultText"/>
              <w:keepNext/>
              <w:jc w:val="center"/>
              <w:rPr>
                <w:del w:id="6596" w:author="AbbVie_HU_03" w:date="2025-05-14T15:27:00Z"/>
                <w:rFonts w:ascii="Times New Roman" w:hAnsi="Times New Roman"/>
                <w:lang w:val="hu-HU"/>
              </w:rPr>
            </w:pPr>
            <w:del w:id="6597" w:author="AbbVie_HU_03" w:date="2025-05-14T15:27:00Z">
              <w:r w:rsidRPr="00183B5F">
                <w:rPr>
                  <w:rFonts w:ascii="Times New Roman" w:hAnsi="Times New Roman"/>
                  <w:lang w:val="hu-HU"/>
                </w:rPr>
                <w:delText>6 (11,3)</w:delText>
              </w:r>
            </w:del>
          </w:p>
        </w:tc>
        <w:tc>
          <w:tcPr>
            <w:tcW w:w="1347" w:type="dxa"/>
          </w:tcPr>
          <w:p w14:paraId="66795A86" w14:textId="0E9BA820" w:rsidR="00690CE3" w:rsidRPr="00183B5F" w:rsidRDefault="00943743">
            <w:pPr>
              <w:pStyle w:val="DefaultText"/>
              <w:keepNext/>
              <w:jc w:val="center"/>
              <w:rPr>
                <w:del w:id="6598" w:author="AbbVie_HU_03" w:date="2025-05-14T15:27:00Z"/>
                <w:rFonts w:ascii="Times New Roman" w:hAnsi="Times New Roman"/>
                <w:lang w:val="hu-HU"/>
              </w:rPr>
            </w:pPr>
            <w:del w:id="6599" w:author="AbbVie_HU_03" w:date="2025-05-14T15:27:00Z">
              <w:r w:rsidRPr="00183B5F">
                <w:rPr>
                  <w:rFonts w:ascii="Times New Roman" w:hAnsi="Times New Roman"/>
                  <w:lang w:val="hu-HU"/>
                </w:rPr>
                <w:delText>33 (30,0)</w:delText>
              </w:r>
            </w:del>
          </w:p>
        </w:tc>
        <w:tc>
          <w:tcPr>
            <w:tcW w:w="2392" w:type="dxa"/>
          </w:tcPr>
          <w:p w14:paraId="5892C6CE" w14:textId="41A648F3" w:rsidR="00690CE3" w:rsidRPr="00183B5F" w:rsidRDefault="00943743">
            <w:pPr>
              <w:pStyle w:val="DefaultText"/>
              <w:keepNext/>
              <w:jc w:val="center"/>
              <w:rPr>
                <w:del w:id="6600" w:author="AbbVie_HU_03" w:date="2025-05-14T15:27:00Z"/>
                <w:rFonts w:ascii="Times New Roman" w:hAnsi="Times New Roman"/>
                <w:lang w:val="hu-HU"/>
              </w:rPr>
            </w:pPr>
            <w:del w:id="6601" w:author="AbbVie_HU_03" w:date="2025-05-14T15:27:00Z">
              <w:r w:rsidRPr="00183B5F">
                <w:rPr>
                  <w:rFonts w:ascii="Times New Roman" w:hAnsi="Times New Roman"/>
                  <w:lang w:val="hu-HU"/>
                </w:rPr>
                <w:delText>79 (73,1)</w:delText>
              </w:r>
              <w:r w:rsidRPr="00183B5F">
                <w:rPr>
                  <w:rFonts w:ascii="Times New Roman" w:hAnsi="Times New Roman"/>
                  <w:vertAlign w:val="superscript"/>
                  <w:lang w:val="hu-HU"/>
                </w:rPr>
                <w:delText xml:space="preserve"> a, b</w:delText>
              </w:r>
            </w:del>
          </w:p>
        </w:tc>
      </w:tr>
      <w:tr w:rsidR="00011D2F" w14:paraId="0415543E" w14:textId="026B8B65">
        <w:trPr>
          <w:cantSplit/>
          <w:jc w:val="center"/>
          <w:del w:id="6602" w:author="AbbVie_HU_03" w:date="2025-05-14T15:27:00Z"/>
        </w:trPr>
        <w:tc>
          <w:tcPr>
            <w:tcW w:w="7046" w:type="dxa"/>
            <w:gridSpan w:val="4"/>
          </w:tcPr>
          <w:p w14:paraId="1C3F246E" w14:textId="2BCFECA1" w:rsidR="00690CE3" w:rsidRPr="00183B5F" w:rsidRDefault="00943743">
            <w:pPr>
              <w:pStyle w:val="DefaultText"/>
              <w:keepNext/>
              <w:rPr>
                <w:del w:id="6603" w:author="AbbVie_HU_03" w:date="2025-05-14T15:27:00Z"/>
                <w:rFonts w:ascii="Times New Roman" w:hAnsi="Times New Roman"/>
                <w:szCs w:val="22"/>
                <w:lang w:val="hu-HU"/>
              </w:rPr>
            </w:pPr>
            <w:del w:id="6604" w:author="AbbVie_HU_03" w:date="2025-05-14T15:27:00Z">
              <w:r w:rsidRPr="00183B5F">
                <w:rPr>
                  <w:rFonts w:ascii="Times New Roman" w:hAnsi="Times New Roman"/>
                  <w:szCs w:val="22"/>
                  <w:vertAlign w:val="superscript"/>
                  <w:lang w:val="hu-HU"/>
                </w:rPr>
                <w:delText>a</w:delText>
              </w:r>
              <w:r w:rsidRPr="00183B5F">
                <w:rPr>
                  <w:rFonts w:ascii="Times New Roman" w:hAnsi="Times New Roman"/>
                  <w:szCs w:val="22"/>
                  <w:lang w:val="hu-HU"/>
                </w:rPr>
                <w:delText xml:space="preserve"> p &lt; 0,001 Humira vs. placebo</w:delText>
              </w:r>
            </w:del>
          </w:p>
          <w:p w14:paraId="3D655DD0" w14:textId="60149843" w:rsidR="00690CE3" w:rsidRPr="00183B5F" w:rsidRDefault="00943743">
            <w:pPr>
              <w:pStyle w:val="DefaultText"/>
              <w:keepNext/>
              <w:rPr>
                <w:del w:id="6605" w:author="AbbVie_HU_03" w:date="2025-05-14T15:27:00Z"/>
                <w:rFonts w:ascii="Times New Roman" w:hAnsi="Times New Roman"/>
                <w:szCs w:val="22"/>
                <w:lang w:val="hu-HU"/>
              </w:rPr>
            </w:pPr>
            <w:del w:id="6606" w:author="AbbVie_HU_03" w:date="2025-05-14T15:27:00Z">
              <w:r w:rsidRPr="00183B5F">
                <w:rPr>
                  <w:rFonts w:ascii="Times New Roman" w:hAnsi="Times New Roman"/>
                  <w:szCs w:val="22"/>
                  <w:vertAlign w:val="superscript"/>
                  <w:lang w:val="hu-HU"/>
                </w:rPr>
                <w:delText>b</w:delText>
              </w:r>
              <w:r w:rsidRPr="00183B5F">
                <w:rPr>
                  <w:rFonts w:ascii="Times New Roman" w:hAnsi="Times New Roman"/>
                  <w:szCs w:val="22"/>
                  <w:lang w:val="hu-HU"/>
                </w:rPr>
                <w:delText xml:space="preserve"> p &lt; 0,001 Humira vs. metotrexát</w:delText>
              </w:r>
            </w:del>
          </w:p>
          <w:p w14:paraId="74CCC3D5" w14:textId="25B01506" w:rsidR="00690CE3" w:rsidRPr="00183B5F" w:rsidRDefault="00943743">
            <w:pPr>
              <w:pStyle w:val="DefaultText"/>
              <w:keepNext/>
              <w:rPr>
                <w:del w:id="6607" w:author="AbbVie_HU_03" w:date="2025-05-14T15:27:00Z"/>
                <w:rFonts w:ascii="Times New Roman" w:hAnsi="Times New Roman"/>
                <w:szCs w:val="22"/>
                <w:lang w:val="hu-HU"/>
              </w:rPr>
            </w:pPr>
            <w:del w:id="6608" w:author="AbbVie_HU_03" w:date="2025-05-14T15:27:00Z">
              <w:r w:rsidRPr="00183B5F">
                <w:rPr>
                  <w:rFonts w:ascii="Times New Roman" w:hAnsi="Times New Roman"/>
                  <w:szCs w:val="22"/>
                  <w:vertAlign w:val="superscript"/>
                  <w:lang w:val="hu-HU"/>
                </w:rPr>
                <w:delText>c</w:delText>
              </w:r>
              <w:r w:rsidRPr="00183B5F">
                <w:rPr>
                  <w:rFonts w:ascii="Times New Roman" w:hAnsi="Times New Roman"/>
                  <w:szCs w:val="22"/>
                  <w:lang w:val="hu-HU"/>
                </w:rPr>
                <w:delText xml:space="preserve"> p &lt; 0,01 Humira vs. placebo</w:delText>
              </w:r>
            </w:del>
          </w:p>
          <w:p w14:paraId="6E81C952" w14:textId="331687FC" w:rsidR="00690CE3" w:rsidRPr="00183B5F" w:rsidRDefault="00943743">
            <w:pPr>
              <w:pStyle w:val="DefaultText"/>
              <w:keepNext/>
              <w:rPr>
                <w:del w:id="6609" w:author="AbbVie_HU_03" w:date="2025-05-14T15:27:00Z"/>
                <w:rFonts w:ascii="Times New Roman" w:hAnsi="Times New Roman"/>
                <w:szCs w:val="22"/>
                <w:lang w:val="hu-HU"/>
              </w:rPr>
            </w:pPr>
            <w:del w:id="6610" w:author="AbbVie_HU_03" w:date="2025-05-14T15:27:00Z">
              <w:r w:rsidRPr="00183B5F">
                <w:rPr>
                  <w:rFonts w:ascii="Times New Roman" w:hAnsi="Times New Roman"/>
                  <w:szCs w:val="22"/>
                  <w:vertAlign w:val="superscript"/>
                  <w:lang w:val="hu-HU"/>
                </w:rPr>
                <w:delText>d</w:delText>
              </w:r>
              <w:r w:rsidRPr="00183B5F">
                <w:rPr>
                  <w:rFonts w:ascii="Times New Roman" w:hAnsi="Times New Roman"/>
                  <w:szCs w:val="22"/>
                  <w:lang w:val="hu-HU"/>
                </w:rPr>
                <w:delText xml:space="preserve"> p &lt; 0,05 Humira vs. metotrexát</w:delText>
              </w:r>
            </w:del>
          </w:p>
        </w:tc>
      </w:tr>
    </w:tbl>
    <w:p w14:paraId="414D6EF8" w14:textId="72CF41AF" w:rsidR="00690CE3" w:rsidRPr="00183B5F" w:rsidRDefault="00690CE3" w:rsidP="004062FE">
      <w:pPr>
        <w:spacing w:line="240" w:lineRule="auto"/>
        <w:rPr>
          <w:del w:id="6611" w:author="AbbVie_HU_03" w:date="2025-05-14T15:27:00Z"/>
          <w:b/>
          <w:bCs/>
          <w:szCs w:val="22"/>
        </w:rPr>
      </w:pPr>
    </w:p>
    <w:p w14:paraId="52A6EC85" w14:textId="1C9E6713" w:rsidR="00690CE3" w:rsidRPr="00183B5F" w:rsidRDefault="00943743" w:rsidP="004062FE">
      <w:pPr>
        <w:spacing w:line="240" w:lineRule="auto"/>
        <w:rPr>
          <w:del w:id="6612" w:author="AbbVie_HU_03" w:date="2025-05-14T15:27:00Z"/>
          <w:szCs w:val="22"/>
        </w:rPr>
      </w:pPr>
      <w:del w:id="6613" w:author="AbbVie_HU_03" w:date="2025-05-14T15:27:00Z">
        <w:r w:rsidRPr="00183B5F">
          <w:rPr>
            <w:szCs w:val="22"/>
          </w:rPr>
          <w:delText>A Psoriasis</w:delText>
        </w:r>
        <w:r w:rsidR="0053774C" w:rsidRPr="00183B5F">
          <w:rPr>
            <w:szCs w:val="22"/>
          </w:rPr>
          <w:delText> </w:delText>
        </w:r>
        <w:r w:rsidRPr="00183B5F">
          <w:rPr>
            <w:szCs w:val="22"/>
          </w:rPr>
          <w:delText>I vizsgálatban a PASI</w:delText>
        </w:r>
        <w:r w:rsidR="0053774C" w:rsidRPr="00183B5F">
          <w:rPr>
            <w:szCs w:val="22"/>
          </w:rPr>
          <w:delText> </w:delText>
        </w:r>
        <w:r w:rsidRPr="00183B5F">
          <w:rPr>
            <w:szCs w:val="22"/>
          </w:rPr>
          <w:delText>75 választ adó és a 33.</w:delText>
        </w:r>
        <w:r w:rsidR="00A44DB6" w:rsidRPr="00183B5F">
          <w:rPr>
            <w:szCs w:val="22"/>
          </w:rPr>
          <w:delText> hét</w:delText>
        </w:r>
        <w:r w:rsidRPr="00183B5F">
          <w:rPr>
            <w:szCs w:val="22"/>
          </w:rPr>
          <w:delText xml:space="preserve">en </w:delText>
        </w:r>
        <w:r w:rsidR="00B501E3" w:rsidRPr="00183B5F">
          <w:rPr>
            <w:szCs w:val="22"/>
          </w:rPr>
          <w:delText xml:space="preserve">újra </w:delText>
        </w:r>
        <w:r w:rsidRPr="00183B5F">
          <w:rPr>
            <w:szCs w:val="22"/>
          </w:rPr>
          <w:delText>placeb</w:delText>
        </w:r>
        <w:r w:rsidR="00B501E3" w:rsidRPr="00183B5F">
          <w:rPr>
            <w:szCs w:val="22"/>
          </w:rPr>
          <w:delText>óra</w:delText>
        </w:r>
        <w:r w:rsidRPr="00183B5F">
          <w:rPr>
            <w:szCs w:val="22"/>
          </w:rPr>
          <w:delText xml:space="preserve"> randomizált betegek 28%</w:delText>
        </w:r>
        <w:r w:rsidR="0053774C" w:rsidRPr="00183B5F">
          <w:rPr>
            <w:szCs w:val="22"/>
          </w:rPr>
          <w:noBreakHyphen/>
        </w:r>
        <w:r w:rsidRPr="00183B5F">
          <w:rPr>
            <w:szCs w:val="22"/>
          </w:rPr>
          <w:delText xml:space="preserve">ánál „a megfelelő </w:delText>
        </w:r>
        <w:r w:rsidR="00B52567" w:rsidRPr="00183B5F">
          <w:rPr>
            <w:szCs w:val="22"/>
          </w:rPr>
          <w:delText xml:space="preserve">terápiás válasz </w:delText>
        </w:r>
        <w:r w:rsidRPr="00183B5F">
          <w:rPr>
            <w:szCs w:val="22"/>
          </w:rPr>
          <w:delText>elvesztését” (a PASI</w:delText>
        </w:r>
        <w:r w:rsidR="0053774C" w:rsidRPr="00183B5F">
          <w:rPr>
            <w:szCs w:val="22"/>
          </w:rPr>
          <w:noBreakHyphen/>
        </w:r>
        <w:r w:rsidRPr="00183B5F">
          <w:rPr>
            <w:szCs w:val="22"/>
          </w:rPr>
          <w:delText>pontszám a 33.</w:delText>
        </w:r>
        <w:r w:rsidR="00A44DB6" w:rsidRPr="00183B5F">
          <w:rPr>
            <w:szCs w:val="22"/>
          </w:rPr>
          <w:delText> hét</w:delText>
        </w:r>
        <w:r w:rsidRPr="00183B5F">
          <w:rPr>
            <w:szCs w:val="22"/>
          </w:rPr>
          <w:delText xml:space="preserve"> után és az 52.</w:delText>
        </w:r>
        <w:r w:rsidR="00A44DB6" w:rsidRPr="00183B5F">
          <w:rPr>
            <w:szCs w:val="22"/>
          </w:rPr>
          <w:delText> hét</w:delText>
        </w:r>
        <w:r w:rsidRPr="00183B5F">
          <w:rPr>
            <w:szCs w:val="22"/>
          </w:rPr>
          <w:delText>en vagy előtte, amely a kiindulási értékhez képest &lt; PASI</w:delText>
        </w:r>
        <w:r w:rsidR="0053774C" w:rsidRPr="00183B5F">
          <w:rPr>
            <w:szCs w:val="22"/>
          </w:rPr>
          <w:delText> </w:delText>
        </w:r>
        <w:r w:rsidRPr="00183B5F">
          <w:rPr>
            <w:szCs w:val="22"/>
          </w:rPr>
          <w:delText>50 választ eredményez, a 33.</w:delText>
        </w:r>
        <w:r w:rsidR="00A44DB6" w:rsidRPr="00183B5F">
          <w:rPr>
            <w:szCs w:val="22"/>
          </w:rPr>
          <w:delText> hét</w:delText>
        </w:r>
        <w:r w:rsidR="00531FED" w:rsidRPr="00183B5F">
          <w:rPr>
            <w:szCs w:val="22"/>
          </w:rPr>
          <w:delText>hez viszonyítva minimum 6 </w:delText>
        </w:r>
        <w:r w:rsidRPr="00183B5F">
          <w:rPr>
            <w:szCs w:val="22"/>
          </w:rPr>
          <w:delText>PASI</w:delText>
        </w:r>
        <w:r w:rsidR="00B52567" w:rsidRPr="00183B5F">
          <w:rPr>
            <w:szCs w:val="22"/>
          </w:rPr>
          <w:delText>-</w:delText>
        </w:r>
        <w:r w:rsidRPr="00183B5F">
          <w:rPr>
            <w:szCs w:val="22"/>
          </w:rPr>
          <w:delText>pontos növekedéssel) tapasztalták, a Humira</w:delText>
        </w:r>
        <w:r w:rsidR="0053774C" w:rsidRPr="00183B5F">
          <w:rPr>
            <w:szCs w:val="22"/>
          </w:rPr>
          <w:noBreakHyphen/>
        </w:r>
        <w:r w:rsidRPr="00183B5F">
          <w:rPr>
            <w:szCs w:val="22"/>
          </w:rPr>
          <w:delText>kezelést folytató betegeknél észlelt 5%</w:delText>
        </w:r>
        <w:r w:rsidR="0053774C" w:rsidRPr="00183B5F">
          <w:rPr>
            <w:szCs w:val="22"/>
          </w:rPr>
          <w:noBreakHyphen/>
        </w:r>
        <w:r w:rsidRPr="00183B5F">
          <w:rPr>
            <w:szCs w:val="22"/>
          </w:rPr>
          <w:delText>kal szemben (p &lt; 0,001). Azok közül a betegek közül, akik a placeb</w:delText>
        </w:r>
        <w:r w:rsidR="00B501E3" w:rsidRPr="00183B5F">
          <w:rPr>
            <w:szCs w:val="22"/>
          </w:rPr>
          <w:delText>óra</w:delText>
        </w:r>
        <w:r w:rsidRPr="00183B5F">
          <w:rPr>
            <w:szCs w:val="22"/>
          </w:rPr>
          <w:delText xml:space="preserve"> </w:delText>
        </w:r>
        <w:r w:rsidR="00B501E3" w:rsidRPr="00183B5F">
          <w:rPr>
            <w:szCs w:val="22"/>
          </w:rPr>
          <w:delText>ismételt</w:delText>
        </w:r>
        <w:r w:rsidRPr="00183B5F">
          <w:rPr>
            <w:szCs w:val="22"/>
          </w:rPr>
          <w:delText xml:space="preserve"> randomizálást követően elvesztették a megfelelő választ, és akiket beválogattak a nyílt elrendezésű kiterjesztéses vizsgálatba, a 12, il</w:delText>
        </w:r>
        <w:r w:rsidRPr="00183B5F">
          <w:rPr>
            <w:szCs w:val="22"/>
          </w:rPr>
          <w:delText>letve 24</w:delText>
        </w:r>
        <w:r w:rsidR="0053774C" w:rsidRPr="00183B5F">
          <w:rPr>
            <w:szCs w:val="22"/>
          </w:rPr>
          <w:delText> </w:delText>
        </w:r>
        <w:r w:rsidRPr="00183B5F">
          <w:rPr>
            <w:szCs w:val="22"/>
          </w:rPr>
          <w:delText>hetes újbóli kezelést követően sorrendben 38% (25/66) és 55% (36/66) nyerte vissza a PASI</w:delText>
        </w:r>
        <w:r w:rsidR="0053774C" w:rsidRPr="00183B5F">
          <w:rPr>
            <w:szCs w:val="22"/>
          </w:rPr>
          <w:delText> </w:delText>
        </w:r>
        <w:r w:rsidRPr="00183B5F">
          <w:rPr>
            <w:szCs w:val="22"/>
          </w:rPr>
          <w:delText>75 választ.</w:delText>
        </w:r>
      </w:del>
    </w:p>
    <w:p w14:paraId="68CC8EA5" w14:textId="03E4F5E2" w:rsidR="00690CE3" w:rsidRPr="00183B5F" w:rsidRDefault="00690CE3" w:rsidP="004062FE">
      <w:pPr>
        <w:spacing w:line="240" w:lineRule="auto"/>
        <w:rPr>
          <w:del w:id="6614" w:author="AbbVie_HU_03" w:date="2025-05-14T15:27:00Z"/>
          <w:szCs w:val="22"/>
        </w:rPr>
      </w:pPr>
    </w:p>
    <w:p w14:paraId="0A89321A" w14:textId="358CD6FF" w:rsidR="00690CE3" w:rsidRPr="00183B5F" w:rsidRDefault="00943743" w:rsidP="004062FE">
      <w:pPr>
        <w:spacing w:line="240" w:lineRule="auto"/>
        <w:rPr>
          <w:del w:id="6615" w:author="AbbVie_HU_03" w:date="2025-05-14T15:27:00Z"/>
          <w:szCs w:val="22"/>
        </w:rPr>
      </w:pPr>
      <w:del w:id="6616" w:author="AbbVie_HU_03" w:date="2025-05-14T15:27:00Z">
        <w:r w:rsidRPr="00183B5F">
          <w:rPr>
            <w:szCs w:val="22"/>
          </w:rPr>
          <w:delText>A 16. és a 33.</w:delText>
        </w:r>
        <w:r w:rsidR="00A44DB6" w:rsidRPr="00183B5F">
          <w:rPr>
            <w:szCs w:val="22"/>
          </w:rPr>
          <w:delText> hét</w:delText>
        </w:r>
        <w:r w:rsidRPr="00183B5F">
          <w:rPr>
            <w:szCs w:val="22"/>
          </w:rPr>
          <w:delText>en összesen 233 PASI</w:delText>
        </w:r>
        <w:r w:rsidR="0053774C" w:rsidRPr="00183B5F">
          <w:rPr>
            <w:szCs w:val="22"/>
          </w:rPr>
          <w:delText> </w:delText>
        </w:r>
        <w:r w:rsidRPr="00183B5F">
          <w:rPr>
            <w:szCs w:val="22"/>
          </w:rPr>
          <w:delText>75 reszponder részesült folyamatos Humira</w:delText>
        </w:r>
        <w:r w:rsidR="0053774C" w:rsidRPr="00183B5F">
          <w:rPr>
            <w:szCs w:val="22"/>
          </w:rPr>
          <w:noBreakHyphen/>
        </w:r>
        <w:r w:rsidRPr="00183B5F">
          <w:rPr>
            <w:szCs w:val="22"/>
          </w:rPr>
          <w:delText>kezelésben 52</w:delText>
        </w:r>
        <w:r w:rsidR="00A44DB6" w:rsidRPr="00183B5F">
          <w:rPr>
            <w:szCs w:val="22"/>
          </w:rPr>
          <w:delText> hét</w:delText>
        </w:r>
        <w:r w:rsidRPr="00183B5F">
          <w:rPr>
            <w:szCs w:val="22"/>
          </w:rPr>
          <w:delText>en át a Psoriasis I vizsgálatban, és folytatta a Humira alkalmazását a nyílt elrendezésű kiterjesztéses vizsgálatban. A PASI</w:delText>
        </w:r>
        <w:r w:rsidR="0053774C" w:rsidRPr="00183B5F">
          <w:rPr>
            <w:szCs w:val="22"/>
          </w:rPr>
          <w:delText> </w:delText>
        </w:r>
        <w:r w:rsidRPr="00183B5F">
          <w:rPr>
            <w:szCs w:val="22"/>
          </w:rPr>
          <w:delText>75 és a tiszta</w:delText>
        </w:r>
        <w:r w:rsidRPr="00183B5F">
          <w:rPr>
            <w:b/>
            <w:bCs/>
            <w:szCs w:val="22"/>
          </w:rPr>
          <w:delText xml:space="preserve"> </w:delText>
        </w:r>
        <w:r w:rsidRPr="00183B5F">
          <w:rPr>
            <w:szCs w:val="22"/>
          </w:rPr>
          <w:delText>vagy minimális PGA terápiás válaszarány ezeknél a betegeknél 74,7%, illetve 59,0% volt a megadott sorrendben a nyílt elrendezésű kezelés további 108</w:delText>
        </w:r>
        <w:r w:rsidR="00B501E3" w:rsidRPr="00183B5F">
          <w:rPr>
            <w:szCs w:val="22"/>
          </w:rPr>
          <w:delText> </w:delText>
        </w:r>
        <w:r w:rsidRPr="00183B5F">
          <w:rPr>
            <w:szCs w:val="22"/>
          </w:rPr>
          <w:delText>hetes időszakát követően (összesen 160</w:delText>
        </w:r>
        <w:r w:rsidR="00A44DB6" w:rsidRPr="00183B5F">
          <w:rPr>
            <w:szCs w:val="22"/>
          </w:rPr>
          <w:delText> hét</w:delText>
        </w:r>
        <w:r w:rsidRPr="00183B5F">
          <w:rPr>
            <w:szCs w:val="22"/>
          </w:rPr>
          <w:delText>). Egy olyan elemzésben, amelyben non</w:delText>
        </w:r>
        <w:r w:rsidR="00531FED" w:rsidRPr="00183B5F">
          <w:rPr>
            <w:szCs w:val="22"/>
          </w:rPr>
          <w:noBreakHyphen/>
        </w:r>
        <w:r w:rsidRPr="00183B5F">
          <w:rPr>
            <w:szCs w:val="22"/>
          </w:rPr>
          <w:delText>reszpondernek tekintettek minden olyan beteget, aki nemkívánatos események vagy a hatásosság hiánya miatt idő előtt abbahagyta a vizsgálatot, vagy akinél dózis</w:delText>
        </w:r>
        <w:r w:rsidR="0053774C" w:rsidRPr="00183B5F">
          <w:rPr>
            <w:szCs w:val="22"/>
          </w:rPr>
          <w:noBreakHyphen/>
        </w:r>
        <w:r w:rsidRPr="00183B5F">
          <w:rPr>
            <w:szCs w:val="22"/>
          </w:rPr>
          <w:delText>eszkalációra került sor, a PASI</w:delText>
        </w:r>
        <w:r w:rsidR="0053774C" w:rsidRPr="00183B5F">
          <w:rPr>
            <w:szCs w:val="22"/>
          </w:rPr>
          <w:delText> </w:delText>
        </w:r>
        <w:r w:rsidRPr="00183B5F">
          <w:rPr>
            <w:szCs w:val="22"/>
          </w:rPr>
          <w:delText>75 és a tiszta vagy minimális PGA terápiás válaszarány ezeknél a betegeknél 69,6%, illetve 55,7% volt a megadott sorrendben a nyílt elrendezésű kezelés további 108</w:delText>
        </w:r>
        <w:r w:rsidR="0053774C" w:rsidRPr="00183B5F">
          <w:rPr>
            <w:szCs w:val="22"/>
          </w:rPr>
          <w:delText> </w:delText>
        </w:r>
        <w:r w:rsidRPr="00183B5F">
          <w:rPr>
            <w:szCs w:val="22"/>
          </w:rPr>
          <w:delText>hetes időszakát követően (összesen 160</w:delText>
        </w:r>
        <w:r w:rsidR="00A44DB6" w:rsidRPr="00183B5F">
          <w:rPr>
            <w:szCs w:val="22"/>
          </w:rPr>
          <w:delText> hét</w:delText>
        </w:r>
        <w:r w:rsidRPr="00183B5F">
          <w:rPr>
            <w:szCs w:val="22"/>
          </w:rPr>
          <w:delText>).</w:delText>
        </w:r>
      </w:del>
    </w:p>
    <w:p w14:paraId="4C53C0F9" w14:textId="7720B645" w:rsidR="00690CE3" w:rsidRPr="00183B5F" w:rsidRDefault="00690CE3" w:rsidP="004062FE">
      <w:pPr>
        <w:spacing w:line="240" w:lineRule="auto"/>
        <w:rPr>
          <w:del w:id="6617" w:author="AbbVie_HU_03" w:date="2025-05-14T15:27:00Z"/>
          <w:szCs w:val="22"/>
        </w:rPr>
      </w:pPr>
    </w:p>
    <w:p w14:paraId="441EECC5" w14:textId="16F0BD65" w:rsidR="00690CE3" w:rsidRPr="00183B5F" w:rsidRDefault="00943743" w:rsidP="004062FE">
      <w:pPr>
        <w:spacing w:line="240" w:lineRule="auto"/>
        <w:rPr>
          <w:del w:id="6618" w:author="AbbVie_HU_03" w:date="2025-05-14T15:27:00Z"/>
          <w:szCs w:val="22"/>
        </w:rPr>
      </w:pPr>
      <w:del w:id="6619" w:author="AbbVie_HU_03" w:date="2025-05-14T15:27:00Z">
        <w:r w:rsidRPr="00183B5F">
          <w:rPr>
            <w:szCs w:val="22"/>
          </w:rPr>
          <w:delText>Összesen 347, stabil reszponder vett részt egy</w:delText>
        </w:r>
        <w:r w:rsidR="00B501E3" w:rsidRPr="00183B5F">
          <w:rPr>
            <w:szCs w:val="22"/>
          </w:rPr>
          <w:delText>, a</w:delText>
        </w:r>
        <w:r w:rsidRPr="00183B5F">
          <w:rPr>
            <w:szCs w:val="22"/>
          </w:rPr>
          <w:delText xml:space="preserve"> kezelés abbahagyását majd újrakezdését elemző nyílt elrendezésű kiterjesztéses vizsgálatban. A kezelés abbahagyásának időszakában a psoriasis tünetei a relapsusig („közepesen súlyos” vagy rosszabb PGA</w:delText>
        </w:r>
        <w:r w:rsidR="0053774C" w:rsidRPr="00183B5F">
          <w:rPr>
            <w:szCs w:val="22"/>
          </w:rPr>
          <w:noBreakHyphen/>
        </w:r>
        <w:r w:rsidRPr="00183B5F">
          <w:rPr>
            <w:szCs w:val="22"/>
          </w:rPr>
          <w:delText>ra csökkenés) eltelő kb. 5</w:delText>
        </w:r>
        <w:r w:rsidR="0053774C" w:rsidRPr="00183B5F">
          <w:rPr>
            <w:szCs w:val="22"/>
          </w:rPr>
          <w:delText> </w:delText>
        </w:r>
        <w:r w:rsidRPr="00183B5F">
          <w:rPr>
            <w:szCs w:val="22"/>
          </w:rPr>
          <w:delText>hónapos medián időtartam mellett újultak ki. A megvoná</w:delText>
        </w:r>
        <w:r w:rsidR="00531FED" w:rsidRPr="00183B5F">
          <w:rPr>
            <w:szCs w:val="22"/>
          </w:rPr>
          <w:delText>sos</w:delText>
        </w:r>
        <w:r w:rsidRPr="00183B5F">
          <w:rPr>
            <w:szCs w:val="22"/>
          </w:rPr>
          <w:delText xml:space="preserve"> időszakban ezek közül a betegek közül egynél sem alakult ki rebound hatás. Az összes olyan beteg 76,5%</w:delText>
        </w:r>
        <w:r w:rsidR="0053774C" w:rsidRPr="00183B5F">
          <w:rPr>
            <w:szCs w:val="22"/>
          </w:rPr>
          <w:noBreakHyphen/>
        </w:r>
        <w:r w:rsidRPr="00183B5F">
          <w:rPr>
            <w:szCs w:val="22"/>
          </w:rPr>
          <w:delText>ánál (218/285), akik újból elkezdték a kezelést, „tiszta” vagy „minimális” PGA terápiás válasz alakult ki 16</w:delText>
        </w:r>
        <w:r w:rsidR="00A44DB6" w:rsidRPr="00183B5F">
          <w:rPr>
            <w:szCs w:val="22"/>
          </w:rPr>
          <w:delText> hét</w:delText>
        </w:r>
        <w:r w:rsidRPr="00183B5F">
          <w:rPr>
            <w:szCs w:val="22"/>
          </w:rPr>
          <w:delText>tel a k</w:delText>
        </w:r>
        <w:r w:rsidRPr="00183B5F">
          <w:rPr>
            <w:szCs w:val="22"/>
          </w:rPr>
          <w:delText>ezelés újrakezdése után, függetlenül attól, hogy volt</w:delText>
        </w:r>
        <w:r w:rsidR="00531FED" w:rsidRPr="00183B5F">
          <w:rPr>
            <w:szCs w:val="22"/>
          </w:rPr>
          <w:noBreakHyphen/>
        </w:r>
        <w:r w:rsidRPr="00183B5F">
          <w:rPr>
            <w:szCs w:val="22"/>
          </w:rPr>
          <w:delText>e relapsusuk a kezelés abbahagyása során (69,1% [123/178] olyan betegeknél, akiknek volt relapsusuk és 88,8% [95/107] olyanoknál, akiknek nem volt relapsusuk a kezelés abbahagyásának időszakában). Hasonló bizonságossági profilt figyeltek meg a kezelés újrakezdése során, mint abbahagyása előtt.</w:delText>
        </w:r>
      </w:del>
    </w:p>
    <w:p w14:paraId="716E1303" w14:textId="2C9E7DF8" w:rsidR="00690CE3" w:rsidRPr="00183B5F" w:rsidRDefault="00690CE3" w:rsidP="004062FE">
      <w:pPr>
        <w:autoSpaceDE w:val="0"/>
        <w:autoSpaceDN w:val="0"/>
        <w:adjustRightInd w:val="0"/>
        <w:spacing w:line="240" w:lineRule="auto"/>
        <w:rPr>
          <w:del w:id="6620" w:author="AbbVie_HU_03" w:date="2025-05-14T15:27:00Z"/>
          <w:szCs w:val="22"/>
        </w:rPr>
      </w:pPr>
    </w:p>
    <w:p w14:paraId="26DC44F1" w14:textId="517C370B" w:rsidR="00690CE3" w:rsidRPr="00183B5F" w:rsidRDefault="00943743" w:rsidP="004062FE">
      <w:pPr>
        <w:autoSpaceDE w:val="0"/>
        <w:autoSpaceDN w:val="0"/>
        <w:adjustRightInd w:val="0"/>
        <w:spacing w:line="240" w:lineRule="auto"/>
        <w:rPr>
          <w:del w:id="6621" w:author="AbbVie_HU_03" w:date="2025-05-14T15:27:00Z"/>
          <w:szCs w:val="22"/>
        </w:rPr>
      </w:pPr>
      <w:del w:id="6622" w:author="AbbVie_HU_03" w:date="2025-05-14T15:27:00Z">
        <w:r w:rsidRPr="00183B5F">
          <w:rPr>
            <w:szCs w:val="22"/>
          </w:rPr>
          <w:delText>A placebóhoz (I és II vizsgálat) és a metotrexáthoz (II vizsgálat) képest a kiindulási értéktől számítva a 16.</w:delText>
        </w:r>
        <w:r w:rsidR="00A44DB6" w:rsidRPr="00183B5F">
          <w:rPr>
            <w:szCs w:val="22"/>
          </w:rPr>
          <w:delText> hét</w:delText>
        </w:r>
        <w:r w:rsidRPr="00183B5F">
          <w:rPr>
            <w:szCs w:val="22"/>
          </w:rPr>
          <w:delText xml:space="preserve">en a bőrgyógyászati életminőségi index (DLQI – Dermatology Life Quality Index) </w:delText>
        </w:r>
        <w:r w:rsidR="00B501E3" w:rsidRPr="00183B5F">
          <w:rPr>
            <w:szCs w:val="22"/>
          </w:rPr>
          <w:delText>jelentős</w:delText>
        </w:r>
        <w:r w:rsidRPr="00183B5F">
          <w:rPr>
            <w:szCs w:val="22"/>
          </w:rPr>
          <w:delText xml:space="preserve"> javulását igazolták. Az I. vizsgálatban az SF</w:delText>
        </w:r>
        <w:r w:rsidR="0053774C" w:rsidRPr="00183B5F">
          <w:rPr>
            <w:szCs w:val="22"/>
          </w:rPr>
          <w:noBreakHyphen/>
        </w:r>
        <w:r w:rsidRPr="00183B5F">
          <w:rPr>
            <w:szCs w:val="22"/>
          </w:rPr>
          <w:delText xml:space="preserve">36 fizikális és mentális összetevő összesített pontszámaként kifejezett javulás szintén </w:delText>
        </w:r>
        <w:r w:rsidR="00B501E3" w:rsidRPr="00183B5F">
          <w:rPr>
            <w:szCs w:val="22"/>
          </w:rPr>
          <w:delText>jelentős</w:delText>
        </w:r>
        <w:r w:rsidRPr="00183B5F">
          <w:rPr>
            <w:szCs w:val="22"/>
          </w:rPr>
          <w:delText xml:space="preserve"> volt a placebóhoz képest.</w:delText>
        </w:r>
      </w:del>
    </w:p>
    <w:p w14:paraId="6B4D85EC" w14:textId="25588673" w:rsidR="00E73D8B" w:rsidRPr="00183B5F" w:rsidRDefault="00E73D8B" w:rsidP="004062FE">
      <w:pPr>
        <w:autoSpaceDE w:val="0"/>
        <w:autoSpaceDN w:val="0"/>
        <w:adjustRightInd w:val="0"/>
        <w:spacing w:line="240" w:lineRule="auto"/>
        <w:rPr>
          <w:del w:id="6623" w:author="AbbVie_HU_03" w:date="2025-05-14T15:27:00Z"/>
          <w:szCs w:val="22"/>
        </w:rPr>
      </w:pPr>
    </w:p>
    <w:p w14:paraId="1817ADAA" w14:textId="101F179B" w:rsidR="000D4505" w:rsidRPr="00183B5F" w:rsidRDefault="00943743">
      <w:pPr>
        <w:pStyle w:val="EMEANormal"/>
        <w:rPr>
          <w:del w:id="6624" w:author="AbbVie_HU_03" w:date="2025-05-14T15:27:00Z"/>
          <w:szCs w:val="22"/>
          <w:lang w:val="hu-HU"/>
        </w:rPr>
      </w:pPr>
      <w:del w:id="6625" w:author="AbbVie_HU_03" w:date="2025-05-14T15:27:00Z">
        <w:r w:rsidRPr="00183B5F">
          <w:rPr>
            <w:szCs w:val="22"/>
            <w:lang w:val="hu-HU"/>
          </w:rPr>
          <w:delText>Egy nyílt elrendezésű vizsgálatban, amelyben a betegek dózisát a kéthetenkénti 40 mg</w:delText>
        </w:r>
        <w:r w:rsidRPr="00183B5F">
          <w:rPr>
            <w:szCs w:val="22"/>
            <w:lang w:val="hu-HU"/>
          </w:rPr>
          <w:noBreakHyphen/>
          <w:delText>ról heti 40 mg</w:delText>
        </w:r>
        <w:r w:rsidRPr="00183B5F">
          <w:rPr>
            <w:szCs w:val="22"/>
            <w:lang w:val="hu-HU"/>
          </w:rPr>
          <w:noBreakHyphen/>
          <w:delText>ra növelték az 50% alatti PASI</w:delText>
        </w:r>
        <w:r w:rsidR="00C67724" w:rsidRPr="00183B5F">
          <w:rPr>
            <w:szCs w:val="22"/>
            <w:lang w:val="hu-HU"/>
          </w:rPr>
          <w:delText>-</w:delText>
        </w:r>
        <w:r w:rsidRPr="00183B5F">
          <w:rPr>
            <w:szCs w:val="22"/>
            <w:lang w:val="hu-HU"/>
          </w:rPr>
          <w:delText>válasz miatt, 26,4% (92/349 beteg) és 37,8% (132/349 beteg) ért el PASI 75 választ a 12., illetve a 24. héten.</w:delText>
        </w:r>
      </w:del>
    </w:p>
    <w:p w14:paraId="5F6E2135" w14:textId="13D957C6" w:rsidR="00690CE3" w:rsidRPr="00183B5F" w:rsidRDefault="00690CE3" w:rsidP="004062FE">
      <w:pPr>
        <w:spacing w:line="240" w:lineRule="auto"/>
        <w:rPr>
          <w:del w:id="6626" w:author="AbbVie_HU_03" w:date="2025-05-14T15:27:00Z"/>
          <w:szCs w:val="22"/>
          <w:u w:val="single"/>
        </w:rPr>
      </w:pPr>
    </w:p>
    <w:p w14:paraId="1EFCCEEA" w14:textId="5D1C4C39" w:rsidR="00E73D8B" w:rsidRPr="00183B5F" w:rsidRDefault="00943743" w:rsidP="004062FE">
      <w:pPr>
        <w:spacing w:line="240" w:lineRule="auto"/>
        <w:rPr>
          <w:del w:id="6627" w:author="AbbVie_HU_03" w:date="2025-05-14T15:27:00Z"/>
          <w:szCs w:val="22"/>
          <w:u w:val="single"/>
        </w:rPr>
      </w:pPr>
      <w:del w:id="6628" w:author="AbbVie_HU_03" w:date="2025-05-14T15:27:00Z">
        <w:r w:rsidRPr="00183B5F">
          <w:rPr>
            <w:szCs w:val="22"/>
          </w:rPr>
          <w:delText>A Psoriasis</w:delText>
        </w:r>
        <w:r w:rsidR="0053774C" w:rsidRPr="00183B5F">
          <w:rPr>
            <w:szCs w:val="22"/>
          </w:rPr>
          <w:delText> </w:delText>
        </w:r>
        <w:r w:rsidRPr="00183B5F">
          <w:rPr>
            <w:szCs w:val="22"/>
          </w:rPr>
          <w:delText>III vizsgálat (REACH) a Humira hatásosságát és biztonságosságát hasonlította össze placeb</w:delText>
        </w:r>
        <w:r w:rsidR="002D2ECC" w:rsidRPr="00183B5F">
          <w:rPr>
            <w:szCs w:val="22"/>
          </w:rPr>
          <w:delText>ó</w:delText>
        </w:r>
        <w:r w:rsidRPr="00183B5F">
          <w:rPr>
            <w:szCs w:val="22"/>
          </w:rPr>
          <w:delText>val 7</w:delText>
        </w:r>
        <w:r w:rsidR="007B0E2A" w:rsidRPr="00183B5F">
          <w:rPr>
            <w:szCs w:val="22"/>
          </w:rPr>
          <w:delText>2</w:delText>
        </w:r>
        <w:r w:rsidR="001E30EA" w:rsidRPr="00183B5F">
          <w:rPr>
            <w:szCs w:val="22"/>
          </w:rPr>
          <w:delText xml:space="preserve"> betegnél, akik </w:delText>
        </w:r>
        <w:r w:rsidRPr="00183B5F">
          <w:rPr>
            <w:szCs w:val="22"/>
          </w:rPr>
          <w:delText>köz</w:delText>
        </w:r>
        <w:r w:rsidR="0011114B" w:rsidRPr="00183B5F">
          <w:rPr>
            <w:szCs w:val="22"/>
          </w:rPr>
          <w:delText xml:space="preserve">epesen </w:delText>
        </w:r>
        <w:r w:rsidRPr="00183B5F">
          <w:rPr>
            <w:szCs w:val="22"/>
          </w:rPr>
          <w:delText>súlyos</w:delText>
        </w:r>
        <w:r w:rsidRPr="00183B5F">
          <w:rPr>
            <w:szCs w:val="22"/>
          </w:rPr>
          <w:noBreakHyphen/>
        </w:r>
        <w:r w:rsidRPr="00183B5F">
          <w:rPr>
            <w:szCs w:val="22"/>
          </w:rPr>
          <w:delText>súlyos krónikus plakkos psoriasisban és a kézfejet és/vagy a lábfejet érintő psoriasisban szenvedtek</w:delText>
        </w:r>
        <w:r w:rsidR="001E30EA" w:rsidRPr="00183B5F">
          <w:rPr>
            <w:szCs w:val="22"/>
          </w:rPr>
          <w:delText xml:space="preserve">. A betegek </w:delText>
        </w:r>
        <w:r w:rsidR="00B534D1" w:rsidRPr="00183B5F">
          <w:rPr>
            <w:szCs w:val="22"/>
          </w:rPr>
          <w:delText xml:space="preserve">placebót vagy </w:delText>
        </w:r>
        <w:r w:rsidR="001E30EA" w:rsidRPr="00183B5F">
          <w:rPr>
            <w:szCs w:val="22"/>
          </w:rPr>
          <w:delText>80 mg Humira kezdő</w:delText>
        </w:r>
        <w:r w:rsidR="0047618A" w:rsidRPr="00183B5F">
          <w:rPr>
            <w:szCs w:val="22"/>
          </w:rPr>
          <w:delText xml:space="preserve"> </w:delText>
        </w:r>
        <w:r w:rsidR="001E30EA" w:rsidRPr="00183B5F">
          <w:rPr>
            <w:szCs w:val="22"/>
          </w:rPr>
          <w:delText>dózist kaptak, amelyet 40 mg Humira követett minden második héten (egy héttel a kezdő</w:delText>
        </w:r>
        <w:r w:rsidR="0047618A" w:rsidRPr="00183B5F">
          <w:rPr>
            <w:szCs w:val="22"/>
          </w:rPr>
          <w:delText xml:space="preserve"> </w:delText>
        </w:r>
        <w:r w:rsidR="001E30EA" w:rsidRPr="00183B5F">
          <w:rPr>
            <w:szCs w:val="22"/>
          </w:rPr>
          <w:delText>dózis után kezdve) 16 héten keresztül. A 16. héten a Humira</w:delText>
        </w:r>
        <w:r w:rsidR="001E30EA" w:rsidRPr="00183B5F">
          <w:rPr>
            <w:szCs w:val="22"/>
          </w:rPr>
          <w:noBreakHyphen/>
          <w:delText>t kapó betegek statisztikailag szignifikánsan nagyobb arányban (30,6%) értek el „tiszta” vagy „majdnem tiszta” PGA</w:delText>
        </w:r>
        <w:r w:rsidR="00C67724" w:rsidRPr="00183B5F">
          <w:rPr>
            <w:szCs w:val="22"/>
          </w:rPr>
          <w:delText>-</w:delText>
        </w:r>
        <w:r w:rsidR="001E30EA" w:rsidRPr="00183B5F">
          <w:rPr>
            <w:szCs w:val="22"/>
          </w:rPr>
          <w:delText xml:space="preserve">pontszámot a kézfejek és/vagy lábfejek vonatkozásában a placebót kapó betegekhez képest (4,3%) </w:delText>
        </w:r>
        <w:r w:rsidR="001E30EA" w:rsidRPr="00183B5F">
          <w:delText>[P</w:delText>
        </w:r>
        <w:r w:rsidR="009D5AC1" w:rsidRPr="00183B5F">
          <w:delText> </w:delText>
        </w:r>
        <w:r w:rsidR="001E30EA" w:rsidRPr="00183B5F">
          <w:delText>=</w:delText>
        </w:r>
        <w:r w:rsidR="009D5AC1" w:rsidRPr="00183B5F">
          <w:delText> </w:delText>
        </w:r>
        <w:r w:rsidR="001E30EA" w:rsidRPr="00183B5F">
          <w:delText>0</w:delText>
        </w:r>
        <w:r w:rsidR="005E713E" w:rsidRPr="00183B5F">
          <w:delText>,</w:delText>
        </w:r>
        <w:r w:rsidR="001E30EA" w:rsidRPr="00183B5F">
          <w:delText>014].</w:delText>
        </w:r>
      </w:del>
    </w:p>
    <w:p w14:paraId="639AA69F" w14:textId="21A4FD1A" w:rsidR="00A56F12" w:rsidRPr="00183B5F" w:rsidRDefault="00A56F12">
      <w:pPr>
        <w:pStyle w:val="gtcbodytext"/>
        <w:spacing w:before="0" w:after="0" w:line="240" w:lineRule="auto"/>
        <w:rPr>
          <w:del w:id="6629" w:author="AbbVie_HU_03" w:date="2025-05-14T15:27:00Z"/>
          <w:sz w:val="22"/>
          <w:szCs w:val="22"/>
          <w:lang w:val="hu-HU"/>
        </w:rPr>
      </w:pPr>
    </w:p>
    <w:p w14:paraId="3EF703C5" w14:textId="2C848C68" w:rsidR="00A1688C" w:rsidRPr="00183B5F" w:rsidRDefault="00943743">
      <w:pPr>
        <w:pStyle w:val="gtcbodytext"/>
        <w:spacing w:before="0" w:after="0" w:line="240" w:lineRule="auto"/>
        <w:rPr>
          <w:del w:id="6630" w:author="AbbVie_HU_03" w:date="2025-05-14T15:27:00Z"/>
          <w:sz w:val="22"/>
          <w:szCs w:val="22"/>
          <w:lang w:val="hu-HU"/>
        </w:rPr>
      </w:pPr>
      <w:del w:id="6631" w:author="AbbVie_HU_03" w:date="2025-05-14T15:27:00Z">
        <w:r w:rsidRPr="00183B5F">
          <w:rPr>
            <w:sz w:val="22"/>
            <w:szCs w:val="22"/>
            <w:lang w:val="hu-HU"/>
          </w:rPr>
          <w:delText>A Psoriasis IV vizsgálatban a Humira hatásosságát és biztonságosságát placebóval hasonlították össze 217 felnőtt, köz</w:delText>
        </w:r>
        <w:r w:rsidR="0011114B" w:rsidRPr="00183B5F">
          <w:rPr>
            <w:sz w:val="22"/>
            <w:szCs w:val="22"/>
            <w:lang w:val="hu-HU"/>
          </w:rPr>
          <w:delText xml:space="preserve">epesen </w:delText>
        </w:r>
        <w:r w:rsidRPr="00183B5F">
          <w:rPr>
            <w:sz w:val="22"/>
            <w:szCs w:val="22"/>
            <w:lang w:val="hu-HU"/>
          </w:rPr>
          <w:delText>súlyos-súlyos köröm</w:delText>
        </w:r>
        <w:r w:rsidR="004E5E6A" w:rsidRPr="00183B5F">
          <w:rPr>
            <w:sz w:val="22"/>
            <w:szCs w:val="22"/>
            <w:lang w:val="hu-HU"/>
          </w:rPr>
          <w:delText>-</w:delText>
        </w:r>
        <w:r w:rsidRPr="00183B5F">
          <w:rPr>
            <w:sz w:val="22"/>
            <w:szCs w:val="22"/>
            <w:lang w:val="hu-HU"/>
          </w:rPr>
          <w:delText>psoriasisban szenvedő felnőtt betegnél. A betegek 80 mg kezdő dózist követően kéthetente 40 mg Humira</w:delText>
        </w:r>
        <w:r w:rsidRPr="00183B5F">
          <w:rPr>
            <w:sz w:val="22"/>
            <w:szCs w:val="22"/>
            <w:lang w:val="hu-HU"/>
          </w:rPr>
          <w:noBreakHyphen/>
          <w:delText>t kaptak (egy héttel a kezdő dózis beadása után kezdve), vagy placebokezelésben részesültek 26 hétig, amelyet nyílt elrendezésű Humira</w:delText>
        </w:r>
        <w:r w:rsidR="004E5E6A" w:rsidRPr="00183B5F">
          <w:rPr>
            <w:sz w:val="22"/>
            <w:szCs w:val="22"/>
            <w:lang w:val="hu-HU"/>
          </w:rPr>
          <w:delText>-</w:delText>
        </w:r>
        <w:r w:rsidRPr="00183B5F">
          <w:rPr>
            <w:sz w:val="22"/>
            <w:szCs w:val="22"/>
            <w:lang w:val="hu-HU"/>
          </w:rPr>
          <w:delText>kezelés követett további 26 héten át. A köröm</w:delText>
        </w:r>
        <w:r w:rsidR="004E5E6A" w:rsidRPr="00183B5F">
          <w:rPr>
            <w:sz w:val="22"/>
            <w:szCs w:val="22"/>
            <w:lang w:val="hu-HU"/>
          </w:rPr>
          <w:delText>-</w:delText>
        </w:r>
        <w:r w:rsidRPr="00183B5F">
          <w:rPr>
            <w:sz w:val="22"/>
            <w:szCs w:val="22"/>
            <w:lang w:val="hu-HU"/>
          </w:rPr>
          <w:delText>psoriasis értékelése tartalmazta a módosított köröm</w:delText>
        </w:r>
        <w:r w:rsidR="004E5E6A" w:rsidRPr="00183B5F">
          <w:rPr>
            <w:sz w:val="22"/>
            <w:szCs w:val="22"/>
            <w:lang w:val="hu-HU"/>
          </w:rPr>
          <w:delText>-</w:delText>
        </w:r>
        <w:r w:rsidRPr="00183B5F">
          <w:rPr>
            <w:sz w:val="22"/>
            <w:szCs w:val="22"/>
            <w:lang w:val="hu-HU"/>
          </w:rPr>
          <w:delText>psoriasis súlyossági indexet (mNAPSI, Modified Nail Psoriasis Severity Index), a köröm</w:delText>
        </w:r>
        <w:r w:rsidR="004E5E6A" w:rsidRPr="00183B5F">
          <w:rPr>
            <w:sz w:val="22"/>
            <w:szCs w:val="22"/>
            <w:lang w:val="hu-HU"/>
          </w:rPr>
          <w:delText>-</w:delText>
        </w:r>
        <w:r w:rsidRPr="00183B5F">
          <w:rPr>
            <w:sz w:val="22"/>
            <w:szCs w:val="22"/>
            <w:lang w:val="hu-HU"/>
          </w:rPr>
          <w:delText xml:space="preserve">psoriasis kezelőorvosok általi globális értékelését (PGA-F, Physician’s Global Assessment </w:delText>
        </w:r>
        <w:r w:rsidRPr="00183B5F">
          <w:rPr>
            <w:sz w:val="22"/>
            <w:szCs w:val="22"/>
            <w:lang w:val="hu-HU"/>
          </w:rPr>
          <w:delText>of Fingernail Psoriasis) és a köröm</w:delText>
        </w:r>
        <w:r w:rsidR="004E5E6A" w:rsidRPr="00183B5F">
          <w:rPr>
            <w:sz w:val="22"/>
            <w:szCs w:val="22"/>
            <w:lang w:val="hu-HU"/>
          </w:rPr>
          <w:delText>-</w:delText>
        </w:r>
        <w:r w:rsidRPr="00183B5F">
          <w:rPr>
            <w:sz w:val="22"/>
            <w:szCs w:val="22"/>
            <w:lang w:val="hu-HU"/>
          </w:rPr>
          <w:delText>psoriasis súlyossági indexet (NAPSI) (lásd 1</w:delText>
        </w:r>
        <w:r w:rsidR="00A712C6" w:rsidRPr="00183B5F">
          <w:rPr>
            <w:sz w:val="22"/>
            <w:szCs w:val="22"/>
            <w:lang w:val="hu-HU"/>
          </w:rPr>
          <w:delText>8</w:delText>
        </w:r>
        <w:r w:rsidRPr="00183B5F">
          <w:rPr>
            <w:sz w:val="22"/>
            <w:szCs w:val="22"/>
            <w:lang w:val="hu-HU"/>
          </w:rPr>
          <w:delText>. táblázat). A Humira köröm</w:delText>
        </w:r>
        <w:r w:rsidR="004E5E6A" w:rsidRPr="00183B5F">
          <w:rPr>
            <w:sz w:val="22"/>
            <w:szCs w:val="22"/>
            <w:lang w:val="hu-HU"/>
          </w:rPr>
          <w:delText>-</w:delText>
        </w:r>
        <w:r w:rsidRPr="00183B5F">
          <w:rPr>
            <w:sz w:val="22"/>
            <w:szCs w:val="22"/>
            <w:lang w:val="hu-HU"/>
          </w:rPr>
          <w:delText>psoriasisban kifejtett kedvező hatását különböző mértékű bőrérintettség mellett (BSA≥10% (a betegek 60%</w:delText>
        </w:r>
        <w:r w:rsidRPr="00183B5F">
          <w:rPr>
            <w:sz w:val="22"/>
            <w:szCs w:val="22"/>
            <w:lang w:val="hu-HU"/>
          </w:rPr>
          <w:noBreakHyphen/>
          <w:delText>a) és BSA&lt;10% és ≥5% (a betegek 40%</w:delText>
        </w:r>
        <w:r w:rsidRPr="00183B5F">
          <w:rPr>
            <w:sz w:val="22"/>
            <w:szCs w:val="22"/>
            <w:lang w:val="hu-HU"/>
          </w:rPr>
          <w:noBreakHyphen/>
          <w:delText>a)) igazolták.</w:delText>
        </w:r>
      </w:del>
    </w:p>
    <w:p w14:paraId="25586686" w14:textId="740B3852" w:rsidR="00A56F12" w:rsidRPr="00183B5F" w:rsidRDefault="00A56F12">
      <w:pPr>
        <w:pStyle w:val="gtcbodytext"/>
        <w:spacing w:before="0" w:after="0" w:line="240" w:lineRule="auto"/>
        <w:rPr>
          <w:del w:id="6632" w:author="AbbVie_HU_03" w:date="2025-05-14T15:27:00Z"/>
          <w:sz w:val="22"/>
          <w:szCs w:val="22"/>
          <w:lang w:val="hu-HU"/>
        </w:rPr>
      </w:pPr>
    </w:p>
    <w:p w14:paraId="4B61E0DF" w14:textId="25F58533" w:rsidR="00A56F12" w:rsidRPr="00183B5F" w:rsidRDefault="00943743">
      <w:pPr>
        <w:pStyle w:val="gtctabletitleotherwise"/>
        <w:keepNext/>
        <w:spacing w:before="0"/>
        <w:rPr>
          <w:del w:id="6633" w:author="AbbVie_HU_03" w:date="2025-05-14T15:27:00Z"/>
          <w:bCs w:val="0"/>
          <w:sz w:val="22"/>
          <w:szCs w:val="22"/>
          <w:lang w:val="hu-HU"/>
        </w:rPr>
      </w:pPr>
      <w:del w:id="6634" w:author="AbbVie_HU_03" w:date="2025-05-14T15:27:00Z">
        <w:r w:rsidRPr="00183B5F">
          <w:rPr>
            <w:bCs w:val="0"/>
            <w:sz w:val="22"/>
            <w:szCs w:val="22"/>
            <w:lang w:val="hu-HU"/>
          </w:rPr>
          <w:delText>18.</w:delText>
        </w:r>
        <w:r w:rsidR="00507E71" w:rsidRPr="00183B5F">
          <w:rPr>
            <w:bCs w:val="0"/>
            <w:sz w:val="22"/>
            <w:szCs w:val="22"/>
            <w:lang w:val="hu-HU"/>
          </w:rPr>
          <w:delText> </w:delText>
        </w:r>
        <w:r w:rsidRPr="00183B5F">
          <w:rPr>
            <w:bCs w:val="0"/>
            <w:sz w:val="22"/>
            <w:szCs w:val="22"/>
            <w:lang w:val="hu-HU"/>
          </w:rPr>
          <w:delText>táblázat</w:delText>
        </w:r>
      </w:del>
    </w:p>
    <w:p w14:paraId="04FC9BB7" w14:textId="7435FAD4" w:rsidR="00A56F12" w:rsidRPr="00183B5F" w:rsidRDefault="00943743">
      <w:pPr>
        <w:pStyle w:val="gtctabletitleotherwise"/>
        <w:keepNext/>
        <w:spacing w:before="0"/>
        <w:rPr>
          <w:del w:id="6635" w:author="AbbVie_HU_03" w:date="2025-05-14T15:27:00Z"/>
          <w:sz w:val="22"/>
          <w:szCs w:val="22"/>
          <w:lang w:val="hu-HU"/>
        </w:rPr>
      </w:pPr>
      <w:del w:id="6636" w:author="AbbVie_HU_03" w:date="2025-05-14T15:27:00Z">
        <w:r w:rsidRPr="00183B5F">
          <w:rPr>
            <w:bCs w:val="0"/>
            <w:sz w:val="22"/>
            <w:szCs w:val="22"/>
            <w:lang w:val="hu-HU"/>
          </w:rPr>
          <w:delText>Psoriasis IV vizsgálat hatásossági eredmények a 16., 26. és 52.</w:delText>
        </w:r>
        <w:r w:rsidR="00507E71" w:rsidRPr="00183B5F">
          <w:rPr>
            <w:bCs w:val="0"/>
            <w:sz w:val="22"/>
            <w:szCs w:val="22"/>
            <w:lang w:val="hu-HU"/>
          </w:rPr>
          <w:delText> </w:delText>
        </w:r>
        <w:r w:rsidRPr="00183B5F">
          <w:rPr>
            <w:bCs w:val="0"/>
            <w:sz w:val="22"/>
            <w:szCs w:val="22"/>
            <w:lang w:val="hu-HU"/>
          </w:rPr>
          <w:delText>héten</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080"/>
        <w:gridCol w:w="1260"/>
        <w:gridCol w:w="990"/>
        <w:gridCol w:w="1260"/>
        <w:gridCol w:w="2268"/>
      </w:tblGrid>
      <w:tr w:rsidR="00011D2F" w14:paraId="62CC8CEE" w14:textId="1CD73F56" w:rsidTr="00A56F12">
        <w:trPr>
          <w:del w:id="6637" w:author="AbbVie_HU_03" w:date="2025-05-14T15:27:00Z"/>
        </w:trPr>
        <w:tc>
          <w:tcPr>
            <w:tcW w:w="2718" w:type="dxa"/>
            <w:vMerge w:val="restart"/>
          </w:tcPr>
          <w:p w14:paraId="69EE60A5" w14:textId="3DBDCEC3" w:rsidR="00A56F12" w:rsidRPr="00183B5F" w:rsidRDefault="00943743">
            <w:pPr>
              <w:pStyle w:val="gtctablespaceafter"/>
              <w:spacing w:after="0"/>
              <w:rPr>
                <w:del w:id="6638" w:author="AbbVie_HU_03" w:date="2025-05-14T15:27:00Z"/>
                <w:sz w:val="22"/>
                <w:szCs w:val="22"/>
                <w:lang w:val="hu-HU"/>
              </w:rPr>
            </w:pPr>
            <w:del w:id="6639" w:author="AbbVie_HU_03" w:date="2025-05-14T15:27:00Z">
              <w:r w:rsidRPr="00183B5F">
                <w:rPr>
                  <w:sz w:val="22"/>
                  <w:szCs w:val="22"/>
                  <w:lang w:val="hu-HU"/>
                </w:rPr>
                <w:delText>Végpont</w:delText>
              </w:r>
            </w:del>
          </w:p>
        </w:tc>
        <w:tc>
          <w:tcPr>
            <w:tcW w:w="2340" w:type="dxa"/>
            <w:gridSpan w:val="2"/>
          </w:tcPr>
          <w:p w14:paraId="78FE7760" w14:textId="5EEA9F88" w:rsidR="00A56F12" w:rsidRPr="00183B5F" w:rsidRDefault="00943743" w:rsidP="00FC288C">
            <w:pPr>
              <w:pStyle w:val="gtctablespaceafter"/>
              <w:spacing w:after="0"/>
              <w:ind w:left="360"/>
              <w:jc w:val="center"/>
              <w:rPr>
                <w:del w:id="6640" w:author="AbbVie_HU_03" w:date="2025-05-14T15:27:00Z"/>
                <w:sz w:val="22"/>
                <w:szCs w:val="22"/>
                <w:lang w:val="hu-HU"/>
              </w:rPr>
            </w:pPr>
            <w:del w:id="6641" w:author="AbbVie_HU_03" w:date="2025-05-14T15:27:00Z">
              <w:r w:rsidRPr="00183B5F">
                <w:rPr>
                  <w:sz w:val="22"/>
                  <w:szCs w:val="22"/>
                  <w:lang w:val="hu-HU"/>
                </w:rPr>
                <w:delText>16.</w:delText>
              </w:r>
              <w:r w:rsidR="00A94255" w:rsidRPr="00183B5F">
                <w:rPr>
                  <w:sz w:val="22"/>
                  <w:szCs w:val="22"/>
                  <w:lang w:val="hu-HU"/>
                </w:rPr>
                <w:delText> </w:delText>
              </w:r>
              <w:r w:rsidRPr="00183B5F">
                <w:rPr>
                  <w:sz w:val="22"/>
                  <w:szCs w:val="22"/>
                  <w:lang w:val="hu-HU"/>
                </w:rPr>
                <w:delText>hét</w:delText>
              </w:r>
            </w:del>
          </w:p>
          <w:p w14:paraId="55368B1F" w14:textId="468CA5A4" w:rsidR="00A56F12" w:rsidRPr="00183B5F" w:rsidRDefault="00943743">
            <w:pPr>
              <w:pStyle w:val="gtctablespaceafter"/>
              <w:spacing w:after="0"/>
              <w:jc w:val="center"/>
              <w:rPr>
                <w:del w:id="6642" w:author="AbbVie_HU_03" w:date="2025-05-14T15:27:00Z"/>
                <w:sz w:val="22"/>
                <w:szCs w:val="22"/>
                <w:lang w:val="hu-HU"/>
              </w:rPr>
            </w:pPr>
            <w:del w:id="6643" w:author="AbbVie_HU_03" w:date="2025-05-14T15:27:00Z">
              <w:r w:rsidRPr="00183B5F">
                <w:rPr>
                  <w:sz w:val="22"/>
                  <w:szCs w:val="22"/>
                  <w:lang w:val="hu-HU"/>
                </w:rPr>
                <w:delText>Placebokontrollos</w:delText>
              </w:r>
            </w:del>
          </w:p>
        </w:tc>
        <w:tc>
          <w:tcPr>
            <w:tcW w:w="2250" w:type="dxa"/>
            <w:gridSpan w:val="2"/>
          </w:tcPr>
          <w:p w14:paraId="2883F7CF" w14:textId="5B0B0194" w:rsidR="00A56F12" w:rsidRPr="00183B5F" w:rsidRDefault="00943743">
            <w:pPr>
              <w:pStyle w:val="gtctablespaceafter"/>
              <w:spacing w:after="0"/>
              <w:jc w:val="center"/>
              <w:rPr>
                <w:del w:id="6644" w:author="AbbVie_HU_03" w:date="2025-05-14T15:27:00Z"/>
                <w:sz w:val="22"/>
                <w:szCs w:val="22"/>
                <w:lang w:val="hu-HU"/>
              </w:rPr>
            </w:pPr>
            <w:del w:id="6645" w:author="AbbVie_HU_03" w:date="2025-05-14T15:27:00Z">
              <w:r w:rsidRPr="00183B5F">
                <w:rPr>
                  <w:sz w:val="22"/>
                  <w:szCs w:val="22"/>
                  <w:lang w:val="hu-HU"/>
                </w:rPr>
                <w:delText xml:space="preserve">26. hét </w:delText>
              </w:r>
            </w:del>
          </w:p>
          <w:p w14:paraId="69C687FA" w14:textId="03682A12" w:rsidR="00A56F12" w:rsidRPr="00183B5F" w:rsidRDefault="00943743">
            <w:pPr>
              <w:pStyle w:val="gtctablespaceafter"/>
              <w:spacing w:after="0"/>
              <w:jc w:val="center"/>
              <w:rPr>
                <w:del w:id="6646" w:author="AbbVie_HU_03" w:date="2025-05-14T15:27:00Z"/>
                <w:sz w:val="22"/>
                <w:szCs w:val="22"/>
                <w:lang w:val="hu-HU"/>
              </w:rPr>
            </w:pPr>
            <w:del w:id="6647" w:author="AbbVie_HU_03" w:date="2025-05-14T15:27:00Z">
              <w:r w:rsidRPr="00183B5F">
                <w:rPr>
                  <w:sz w:val="22"/>
                  <w:szCs w:val="22"/>
                  <w:lang w:val="hu-HU"/>
                </w:rPr>
                <w:delText>Placebokontrollos</w:delText>
              </w:r>
            </w:del>
          </w:p>
        </w:tc>
        <w:tc>
          <w:tcPr>
            <w:tcW w:w="2268" w:type="dxa"/>
          </w:tcPr>
          <w:p w14:paraId="005B827A" w14:textId="24B0DAD0" w:rsidR="00A56F12" w:rsidRPr="00183B5F" w:rsidRDefault="00943743">
            <w:pPr>
              <w:pStyle w:val="gtctablespaceafter"/>
              <w:spacing w:after="0"/>
              <w:jc w:val="center"/>
              <w:rPr>
                <w:del w:id="6648" w:author="AbbVie_HU_03" w:date="2025-05-14T15:27:00Z"/>
                <w:sz w:val="22"/>
                <w:szCs w:val="22"/>
                <w:lang w:val="hu-HU"/>
              </w:rPr>
            </w:pPr>
            <w:del w:id="6649" w:author="AbbVie_HU_03" w:date="2025-05-14T15:27:00Z">
              <w:r w:rsidRPr="00183B5F">
                <w:rPr>
                  <w:sz w:val="22"/>
                  <w:szCs w:val="22"/>
                  <w:lang w:val="hu-HU"/>
                </w:rPr>
                <w:delText>52. hét</w:delText>
              </w:r>
            </w:del>
          </w:p>
          <w:p w14:paraId="51A93113" w14:textId="077489CD" w:rsidR="00A56F12" w:rsidRPr="00183B5F" w:rsidRDefault="00943743">
            <w:pPr>
              <w:pStyle w:val="gtctablespaceafter"/>
              <w:spacing w:after="0"/>
              <w:jc w:val="center"/>
              <w:rPr>
                <w:del w:id="6650" w:author="AbbVie_HU_03" w:date="2025-05-14T15:27:00Z"/>
                <w:sz w:val="22"/>
                <w:szCs w:val="22"/>
                <w:lang w:val="hu-HU"/>
              </w:rPr>
            </w:pPr>
            <w:del w:id="6651" w:author="AbbVie_HU_03" w:date="2025-05-14T15:27:00Z">
              <w:r w:rsidRPr="00183B5F">
                <w:rPr>
                  <w:sz w:val="22"/>
                  <w:szCs w:val="22"/>
                  <w:lang w:val="hu-HU"/>
                </w:rPr>
                <w:delText>Nyílt elrendezés</w:delText>
              </w:r>
            </w:del>
          </w:p>
        </w:tc>
      </w:tr>
      <w:tr w:rsidR="00011D2F" w14:paraId="02BB9621" w14:textId="5FD78485" w:rsidTr="00A56F12">
        <w:trPr>
          <w:del w:id="6652" w:author="AbbVie_HU_03" w:date="2025-05-14T15:27:00Z"/>
        </w:trPr>
        <w:tc>
          <w:tcPr>
            <w:tcW w:w="2718" w:type="dxa"/>
            <w:vMerge/>
          </w:tcPr>
          <w:p w14:paraId="5C476552" w14:textId="08A5931F" w:rsidR="00A56F12" w:rsidRPr="00183B5F" w:rsidRDefault="00A56F12">
            <w:pPr>
              <w:pStyle w:val="gtctablespaceafter"/>
              <w:spacing w:after="0"/>
              <w:rPr>
                <w:del w:id="6653" w:author="AbbVie_HU_03" w:date="2025-05-14T15:27:00Z"/>
                <w:sz w:val="22"/>
                <w:szCs w:val="22"/>
                <w:lang w:val="hu-HU"/>
              </w:rPr>
            </w:pPr>
          </w:p>
        </w:tc>
        <w:tc>
          <w:tcPr>
            <w:tcW w:w="1080" w:type="dxa"/>
          </w:tcPr>
          <w:p w14:paraId="3A06D2FB" w14:textId="4FF3DF93" w:rsidR="00A56F12" w:rsidRPr="00183B5F" w:rsidRDefault="00943743">
            <w:pPr>
              <w:pStyle w:val="gtctablespaceafter"/>
              <w:spacing w:after="0"/>
              <w:jc w:val="center"/>
              <w:rPr>
                <w:del w:id="6654" w:author="AbbVie_HU_03" w:date="2025-05-14T15:27:00Z"/>
                <w:sz w:val="22"/>
                <w:szCs w:val="22"/>
                <w:lang w:val="hu-HU"/>
              </w:rPr>
            </w:pPr>
            <w:del w:id="6655" w:author="AbbVie_HU_03" w:date="2025-05-14T15:27:00Z">
              <w:r w:rsidRPr="00183B5F">
                <w:rPr>
                  <w:sz w:val="22"/>
                  <w:lang w:val="hu-HU"/>
                </w:rPr>
                <w:delText>Placebo</w:delText>
              </w:r>
              <w:r w:rsidRPr="00183B5F">
                <w:rPr>
                  <w:sz w:val="22"/>
                  <w:lang w:val="hu-HU"/>
                </w:rPr>
                <w:br/>
                <w:delText>N</w:delText>
              </w:r>
              <w:r w:rsidR="009D5AC1" w:rsidRPr="00183B5F">
                <w:rPr>
                  <w:sz w:val="22"/>
                  <w:lang w:val="hu-HU"/>
                </w:rPr>
                <w:delText> </w:delText>
              </w:r>
              <w:r w:rsidRPr="00183B5F">
                <w:rPr>
                  <w:sz w:val="22"/>
                  <w:lang w:val="hu-HU"/>
                </w:rPr>
                <w:delText>=</w:delText>
              </w:r>
              <w:r w:rsidR="009D5AC1" w:rsidRPr="00183B5F">
                <w:rPr>
                  <w:sz w:val="22"/>
                  <w:lang w:val="hu-HU"/>
                </w:rPr>
                <w:delText> </w:delText>
              </w:r>
              <w:r w:rsidRPr="00183B5F">
                <w:rPr>
                  <w:sz w:val="22"/>
                  <w:lang w:val="hu-HU"/>
                </w:rPr>
                <w:delText>108</w:delText>
              </w:r>
            </w:del>
          </w:p>
        </w:tc>
        <w:tc>
          <w:tcPr>
            <w:tcW w:w="1260" w:type="dxa"/>
          </w:tcPr>
          <w:p w14:paraId="32D8B902" w14:textId="58CBDE9B" w:rsidR="00A56F12" w:rsidRPr="00183B5F" w:rsidRDefault="00943743">
            <w:pPr>
              <w:pStyle w:val="In-texttable"/>
              <w:keepNext w:val="0"/>
              <w:spacing w:line="240" w:lineRule="auto"/>
              <w:jc w:val="center"/>
              <w:rPr>
                <w:del w:id="6656" w:author="AbbVie_HU_03" w:date="2025-05-14T15:27:00Z"/>
                <w:rFonts w:ascii="Times New Roman" w:hAnsi="Times New Roman"/>
                <w:sz w:val="22"/>
                <w:lang w:val="hu-HU"/>
              </w:rPr>
            </w:pPr>
            <w:del w:id="6657" w:author="AbbVie_HU_03" w:date="2025-05-14T15:27:00Z">
              <w:r w:rsidRPr="00183B5F">
                <w:rPr>
                  <w:rFonts w:ascii="Times New Roman" w:hAnsi="Times New Roman"/>
                  <w:sz w:val="22"/>
                  <w:lang w:val="hu-HU"/>
                </w:rPr>
                <w:delText>Humira</w:delText>
              </w:r>
            </w:del>
          </w:p>
          <w:p w14:paraId="3F3E42B1" w14:textId="5829E608" w:rsidR="00A56F12" w:rsidRPr="00183B5F" w:rsidRDefault="00943743">
            <w:pPr>
              <w:pStyle w:val="gtctablespaceafter"/>
              <w:spacing w:after="0"/>
              <w:jc w:val="center"/>
              <w:rPr>
                <w:del w:id="6658" w:author="AbbVie_HU_03" w:date="2025-05-14T15:27:00Z"/>
                <w:sz w:val="22"/>
                <w:szCs w:val="22"/>
                <w:lang w:val="hu-HU"/>
              </w:rPr>
            </w:pPr>
            <w:del w:id="6659" w:author="AbbVie_HU_03" w:date="2025-05-14T15:27:00Z">
              <w:r w:rsidRPr="00183B5F">
                <w:rPr>
                  <w:sz w:val="22"/>
                  <w:lang w:val="hu-HU"/>
                </w:rPr>
                <w:delText xml:space="preserve">40 mg kéthetente </w:delText>
              </w:r>
              <w:r w:rsidRPr="00183B5F">
                <w:rPr>
                  <w:sz w:val="22"/>
                  <w:lang w:val="hu-HU"/>
                </w:rPr>
                <w:br/>
                <w:delText>N</w:delText>
              </w:r>
              <w:r w:rsidR="009D5AC1" w:rsidRPr="00183B5F">
                <w:rPr>
                  <w:sz w:val="22"/>
                  <w:lang w:val="hu-HU"/>
                </w:rPr>
                <w:delText> </w:delText>
              </w:r>
              <w:r w:rsidRPr="00183B5F">
                <w:rPr>
                  <w:sz w:val="22"/>
                  <w:lang w:val="hu-HU"/>
                </w:rPr>
                <w:delText>=</w:delText>
              </w:r>
              <w:r w:rsidR="009D5AC1" w:rsidRPr="00183B5F">
                <w:rPr>
                  <w:sz w:val="22"/>
                  <w:lang w:val="hu-HU"/>
                </w:rPr>
                <w:delText> </w:delText>
              </w:r>
              <w:r w:rsidRPr="00183B5F">
                <w:rPr>
                  <w:sz w:val="22"/>
                  <w:lang w:val="hu-HU"/>
                </w:rPr>
                <w:delText>109</w:delText>
              </w:r>
            </w:del>
          </w:p>
        </w:tc>
        <w:tc>
          <w:tcPr>
            <w:tcW w:w="990" w:type="dxa"/>
          </w:tcPr>
          <w:p w14:paraId="52914648" w14:textId="0EBB4C65" w:rsidR="00A56F12" w:rsidRPr="00183B5F" w:rsidRDefault="00943743">
            <w:pPr>
              <w:pStyle w:val="gtctablespaceafter"/>
              <w:spacing w:after="0"/>
              <w:jc w:val="center"/>
              <w:rPr>
                <w:del w:id="6660" w:author="AbbVie_HU_03" w:date="2025-05-14T15:27:00Z"/>
                <w:sz w:val="22"/>
                <w:szCs w:val="22"/>
                <w:lang w:val="hu-HU"/>
              </w:rPr>
            </w:pPr>
            <w:del w:id="6661" w:author="AbbVie_HU_03" w:date="2025-05-14T15:27:00Z">
              <w:r w:rsidRPr="00183B5F">
                <w:rPr>
                  <w:sz w:val="22"/>
                  <w:lang w:val="hu-HU"/>
                </w:rPr>
                <w:delText>Placebo</w:delText>
              </w:r>
              <w:r w:rsidRPr="00183B5F">
                <w:rPr>
                  <w:sz w:val="22"/>
                  <w:lang w:val="hu-HU"/>
                </w:rPr>
                <w:br/>
                <w:delText>N</w:delText>
              </w:r>
              <w:r w:rsidR="009D5AC1" w:rsidRPr="00183B5F">
                <w:rPr>
                  <w:sz w:val="22"/>
                  <w:lang w:val="hu-HU"/>
                </w:rPr>
                <w:delText> </w:delText>
              </w:r>
              <w:r w:rsidRPr="00183B5F">
                <w:rPr>
                  <w:sz w:val="22"/>
                  <w:lang w:val="hu-HU"/>
                </w:rPr>
                <w:delText>=</w:delText>
              </w:r>
              <w:r w:rsidR="009D5AC1" w:rsidRPr="00183B5F">
                <w:rPr>
                  <w:sz w:val="22"/>
                  <w:lang w:val="hu-HU"/>
                </w:rPr>
                <w:delText> </w:delText>
              </w:r>
              <w:r w:rsidRPr="00183B5F">
                <w:rPr>
                  <w:sz w:val="22"/>
                  <w:lang w:val="hu-HU"/>
                </w:rPr>
                <w:delText>108</w:delText>
              </w:r>
            </w:del>
          </w:p>
        </w:tc>
        <w:tc>
          <w:tcPr>
            <w:tcW w:w="1260" w:type="dxa"/>
          </w:tcPr>
          <w:p w14:paraId="2A422B06" w14:textId="2582C63D" w:rsidR="00A56F12" w:rsidRPr="00183B5F" w:rsidRDefault="00943743">
            <w:pPr>
              <w:pStyle w:val="In-texttable"/>
              <w:keepNext w:val="0"/>
              <w:spacing w:line="240" w:lineRule="auto"/>
              <w:jc w:val="center"/>
              <w:rPr>
                <w:del w:id="6662" w:author="AbbVie_HU_03" w:date="2025-05-14T15:27:00Z"/>
                <w:rFonts w:ascii="Times New Roman" w:hAnsi="Times New Roman"/>
                <w:sz w:val="22"/>
                <w:lang w:val="hu-HU"/>
              </w:rPr>
            </w:pPr>
            <w:del w:id="6663" w:author="AbbVie_HU_03" w:date="2025-05-14T15:27:00Z">
              <w:r w:rsidRPr="00183B5F">
                <w:rPr>
                  <w:rFonts w:ascii="Times New Roman" w:hAnsi="Times New Roman"/>
                  <w:sz w:val="22"/>
                  <w:lang w:val="hu-HU"/>
                </w:rPr>
                <w:delText>Humira</w:delText>
              </w:r>
            </w:del>
          </w:p>
          <w:p w14:paraId="47794A1D" w14:textId="557F4410" w:rsidR="00A56F12" w:rsidRPr="00183B5F" w:rsidRDefault="00943743">
            <w:pPr>
              <w:pStyle w:val="gtctablespaceafter"/>
              <w:spacing w:after="0"/>
              <w:jc w:val="center"/>
              <w:rPr>
                <w:del w:id="6664" w:author="AbbVie_HU_03" w:date="2025-05-14T15:27:00Z"/>
                <w:sz w:val="22"/>
                <w:szCs w:val="22"/>
                <w:lang w:val="hu-HU"/>
              </w:rPr>
            </w:pPr>
            <w:del w:id="6665" w:author="AbbVie_HU_03" w:date="2025-05-14T15:27:00Z">
              <w:r w:rsidRPr="00183B5F">
                <w:rPr>
                  <w:sz w:val="22"/>
                  <w:lang w:val="hu-HU"/>
                </w:rPr>
                <w:delText xml:space="preserve">40 mg kéthetente </w:delText>
              </w:r>
              <w:r w:rsidRPr="00183B5F">
                <w:rPr>
                  <w:sz w:val="22"/>
                  <w:lang w:val="hu-HU"/>
                </w:rPr>
                <w:br/>
                <w:delText>N</w:delText>
              </w:r>
              <w:r w:rsidR="009D5AC1" w:rsidRPr="00183B5F">
                <w:rPr>
                  <w:sz w:val="22"/>
                  <w:lang w:val="hu-HU"/>
                </w:rPr>
                <w:delText> </w:delText>
              </w:r>
              <w:r w:rsidRPr="00183B5F">
                <w:rPr>
                  <w:sz w:val="22"/>
                  <w:lang w:val="hu-HU"/>
                </w:rPr>
                <w:delText>=</w:delText>
              </w:r>
              <w:r w:rsidR="009D5AC1" w:rsidRPr="00183B5F">
                <w:rPr>
                  <w:sz w:val="22"/>
                  <w:lang w:val="hu-HU"/>
                </w:rPr>
                <w:delText> </w:delText>
              </w:r>
              <w:r w:rsidRPr="00183B5F">
                <w:rPr>
                  <w:sz w:val="22"/>
                  <w:lang w:val="hu-HU"/>
                </w:rPr>
                <w:delText>109</w:delText>
              </w:r>
            </w:del>
          </w:p>
        </w:tc>
        <w:tc>
          <w:tcPr>
            <w:tcW w:w="2268" w:type="dxa"/>
          </w:tcPr>
          <w:p w14:paraId="131D1893" w14:textId="08EFF3E4" w:rsidR="00A56F12" w:rsidRPr="00183B5F" w:rsidRDefault="00943743">
            <w:pPr>
              <w:pStyle w:val="In-texttable"/>
              <w:keepNext w:val="0"/>
              <w:spacing w:line="240" w:lineRule="auto"/>
              <w:jc w:val="center"/>
              <w:rPr>
                <w:del w:id="6666" w:author="AbbVie_HU_03" w:date="2025-05-14T15:27:00Z"/>
                <w:rFonts w:ascii="Times New Roman" w:hAnsi="Times New Roman"/>
                <w:sz w:val="22"/>
                <w:lang w:val="hu-HU"/>
              </w:rPr>
            </w:pPr>
            <w:del w:id="6667" w:author="AbbVie_HU_03" w:date="2025-05-14T15:27:00Z">
              <w:r w:rsidRPr="00183B5F">
                <w:rPr>
                  <w:rFonts w:ascii="Times New Roman" w:hAnsi="Times New Roman"/>
                  <w:sz w:val="22"/>
                  <w:lang w:val="hu-HU"/>
                </w:rPr>
                <w:delText>Humira</w:delText>
              </w:r>
            </w:del>
          </w:p>
          <w:p w14:paraId="5E44714E" w14:textId="2851A945" w:rsidR="00A56F12" w:rsidRPr="00183B5F" w:rsidRDefault="00943743">
            <w:pPr>
              <w:pStyle w:val="gtctablespaceafter"/>
              <w:spacing w:after="0"/>
              <w:jc w:val="center"/>
              <w:rPr>
                <w:del w:id="6668" w:author="AbbVie_HU_03" w:date="2025-05-14T15:27:00Z"/>
                <w:sz w:val="22"/>
                <w:szCs w:val="22"/>
                <w:lang w:val="hu-HU"/>
              </w:rPr>
            </w:pPr>
            <w:del w:id="6669" w:author="AbbVie_HU_03" w:date="2025-05-14T15:27:00Z">
              <w:r w:rsidRPr="00183B5F">
                <w:rPr>
                  <w:sz w:val="22"/>
                  <w:lang w:val="hu-HU"/>
                </w:rPr>
                <w:delText xml:space="preserve">40 mg kéthetente </w:delText>
              </w:r>
              <w:r w:rsidRPr="00183B5F">
                <w:rPr>
                  <w:sz w:val="22"/>
                  <w:lang w:val="hu-HU"/>
                </w:rPr>
                <w:br/>
                <w:delText>N</w:delText>
              </w:r>
              <w:r w:rsidR="009D5AC1" w:rsidRPr="00183B5F">
                <w:rPr>
                  <w:sz w:val="22"/>
                  <w:lang w:val="hu-HU"/>
                </w:rPr>
                <w:delText> </w:delText>
              </w:r>
              <w:r w:rsidRPr="00183B5F">
                <w:rPr>
                  <w:sz w:val="22"/>
                  <w:lang w:val="hu-HU"/>
                </w:rPr>
                <w:delText>=</w:delText>
              </w:r>
              <w:r w:rsidR="009D5AC1" w:rsidRPr="00183B5F">
                <w:rPr>
                  <w:sz w:val="22"/>
                  <w:lang w:val="hu-HU"/>
                </w:rPr>
                <w:delText> </w:delText>
              </w:r>
              <w:r w:rsidRPr="00183B5F">
                <w:rPr>
                  <w:sz w:val="22"/>
                  <w:lang w:val="hu-HU"/>
                </w:rPr>
                <w:delText>80</w:delText>
              </w:r>
            </w:del>
          </w:p>
        </w:tc>
      </w:tr>
      <w:tr w:rsidR="00011D2F" w14:paraId="1A814875" w14:textId="2FFF4568" w:rsidTr="00A56F12">
        <w:trPr>
          <w:del w:id="6670" w:author="AbbVie_HU_03" w:date="2025-05-14T15:27:00Z"/>
        </w:trPr>
        <w:tc>
          <w:tcPr>
            <w:tcW w:w="2718" w:type="dxa"/>
          </w:tcPr>
          <w:p w14:paraId="717B2CD4" w14:textId="300D9166" w:rsidR="00A56F12" w:rsidRPr="00183B5F" w:rsidRDefault="00943743">
            <w:pPr>
              <w:pStyle w:val="gtctablespaceafter"/>
              <w:spacing w:after="0"/>
              <w:rPr>
                <w:del w:id="6671" w:author="AbbVie_HU_03" w:date="2025-05-14T15:27:00Z"/>
                <w:sz w:val="22"/>
                <w:szCs w:val="22"/>
                <w:lang w:val="hu-HU"/>
              </w:rPr>
            </w:pPr>
            <w:del w:id="6672" w:author="AbbVie_HU_03" w:date="2025-05-14T15:27:00Z">
              <w:r w:rsidRPr="00183B5F">
                <w:rPr>
                  <w:sz w:val="22"/>
                  <w:lang w:val="hu-HU"/>
                </w:rPr>
                <w:delText>≥ mNAPSI 75 (%)</w:delText>
              </w:r>
            </w:del>
          </w:p>
        </w:tc>
        <w:tc>
          <w:tcPr>
            <w:tcW w:w="1080" w:type="dxa"/>
          </w:tcPr>
          <w:p w14:paraId="1D73ADBE" w14:textId="0BE2DB80" w:rsidR="00A56F12" w:rsidRPr="00183B5F" w:rsidRDefault="00943743">
            <w:pPr>
              <w:pStyle w:val="gtctablespaceafter"/>
              <w:spacing w:after="0"/>
              <w:jc w:val="center"/>
              <w:rPr>
                <w:del w:id="6673" w:author="AbbVie_HU_03" w:date="2025-05-14T15:27:00Z"/>
                <w:sz w:val="22"/>
                <w:szCs w:val="22"/>
                <w:lang w:val="hu-HU"/>
              </w:rPr>
            </w:pPr>
            <w:del w:id="6674" w:author="AbbVie_HU_03" w:date="2025-05-14T15:27:00Z">
              <w:r w:rsidRPr="00183B5F">
                <w:rPr>
                  <w:sz w:val="22"/>
                  <w:szCs w:val="22"/>
                  <w:lang w:val="hu-HU"/>
                </w:rPr>
                <w:delText>2,9</w:delText>
              </w:r>
            </w:del>
          </w:p>
        </w:tc>
        <w:tc>
          <w:tcPr>
            <w:tcW w:w="1260" w:type="dxa"/>
          </w:tcPr>
          <w:p w14:paraId="79DD0BA4" w14:textId="53AD5B47" w:rsidR="00A56F12" w:rsidRPr="00183B5F" w:rsidRDefault="00943743">
            <w:pPr>
              <w:pStyle w:val="gtctablespaceafter"/>
              <w:spacing w:after="0"/>
              <w:jc w:val="center"/>
              <w:rPr>
                <w:del w:id="6675" w:author="AbbVie_HU_03" w:date="2025-05-14T15:27:00Z"/>
                <w:sz w:val="22"/>
                <w:szCs w:val="22"/>
                <w:lang w:val="hu-HU"/>
              </w:rPr>
            </w:pPr>
            <w:del w:id="6676" w:author="AbbVie_HU_03" w:date="2025-05-14T15:27:00Z">
              <w:r w:rsidRPr="00183B5F">
                <w:rPr>
                  <w:sz w:val="22"/>
                  <w:szCs w:val="22"/>
                  <w:lang w:val="hu-HU"/>
                </w:rPr>
                <w:delText>26,0</w:delText>
              </w:r>
              <w:r w:rsidRPr="00183B5F">
                <w:rPr>
                  <w:sz w:val="22"/>
                  <w:szCs w:val="22"/>
                  <w:vertAlign w:val="superscript"/>
                  <w:lang w:val="hu-HU"/>
                </w:rPr>
                <w:delText>a</w:delText>
              </w:r>
            </w:del>
          </w:p>
        </w:tc>
        <w:tc>
          <w:tcPr>
            <w:tcW w:w="990" w:type="dxa"/>
          </w:tcPr>
          <w:p w14:paraId="30148692" w14:textId="032AF8AA" w:rsidR="00A56F12" w:rsidRPr="00183B5F" w:rsidRDefault="00943743" w:rsidP="004062FE">
            <w:pPr>
              <w:keepNext/>
              <w:spacing w:line="240" w:lineRule="auto"/>
              <w:jc w:val="center"/>
              <w:rPr>
                <w:del w:id="6677" w:author="AbbVie_HU_03" w:date="2025-05-14T15:27:00Z"/>
                <w:szCs w:val="22"/>
              </w:rPr>
            </w:pPr>
            <w:del w:id="6678" w:author="AbbVie_HU_03" w:date="2025-05-14T15:27:00Z">
              <w:r w:rsidRPr="00183B5F">
                <w:rPr>
                  <w:szCs w:val="22"/>
                </w:rPr>
                <w:delText>3,4</w:delText>
              </w:r>
            </w:del>
          </w:p>
        </w:tc>
        <w:tc>
          <w:tcPr>
            <w:tcW w:w="1260" w:type="dxa"/>
          </w:tcPr>
          <w:p w14:paraId="1E7B4969" w14:textId="33847827" w:rsidR="00A56F12" w:rsidRPr="00183B5F" w:rsidRDefault="00943743" w:rsidP="004062FE">
            <w:pPr>
              <w:keepNext/>
              <w:spacing w:line="240" w:lineRule="auto"/>
              <w:jc w:val="center"/>
              <w:rPr>
                <w:del w:id="6679" w:author="AbbVie_HU_03" w:date="2025-05-14T15:27:00Z"/>
                <w:szCs w:val="22"/>
              </w:rPr>
            </w:pPr>
            <w:del w:id="6680" w:author="AbbVie_HU_03" w:date="2025-05-14T15:27:00Z">
              <w:r w:rsidRPr="00183B5F">
                <w:rPr>
                  <w:szCs w:val="22"/>
                </w:rPr>
                <w:delText>46,6</w:delText>
              </w:r>
              <w:r w:rsidRPr="00183B5F">
                <w:rPr>
                  <w:szCs w:val="22"/>
                  <w:vertAlign w:val="superscript"/>
                </w:rPr>
                <w:delText>a</w:delText>
              </w:r>
            </w:del>
          </w:p>
        </w:tc>
        <w:tc>
          <w:tcPr>
            <w:tcW w:w="2268" w:type="dxa"/>
          </w:tcPr>
          <w:p w14:paraId="7ABC07B9" w14:textId="7C825B8E" w:rsidR="00A56F12" w:rsidRPr="00183B5F" w:rsidRDefault="00943743">
            <w:pPr>
              <w:pStyle w:val="gtctablespaceafter"/>
              <w:spacing w:after="0"/>
              <w:jc w:val="center"/>
              <w:rPr>
                <w:del w:id="6681" w:author="AbbVie_HU_03" w:date="2025-05-14T15:27:00Z"/>
                <w:sz w:val="22"/>
                <w:szCs w:val="22"/>
                <w:lang w:val="hu-HU"/>
              </w:rPr>
            </w:pPr>
            <w:del w:id="6682" w:author="AbbVie_HU_03" w:date="2025-05-14T15:27:00Z">
              <w:r w:rsidRPr="00183B5F">
                <w:rPr>
                  <w:sz w:val="22"/>
                  <w:szCs w:val="22"/>
                  <w:lang w:val="hu-HU"/>
                </w:rPr>
                <w:delText>65,0</w:delText>
              </w:r>
            </w:del>
          </w:p>
        </w:tc>
      </w:tr>
      <w:tr w:rsidR="00011D2F" w14:paraId="43D6BB39" w14:textId="20940C61" w:rsidTr="00A56F12">
        <w:trPr>
          <w:del w:id="6683" w:author="AbbVie_HU_03" w:date="2025-05-14T15:27:00Z"/>
        </w:trPr>
        <w:tc>
          <w:tcPr>
            <w:tcW w:w="2718" w:type="dxa"/>
          </w:tcPr>
          <w:p w14:paraId="6CC57AE8" w14:textId="3B8451F3" w:rsidR="00A56F12" w:rsidRPr="00183B5F" w:rsidRDefault="00943743">
            <w:pPr>
              <w:pStyle w:val="gtctablespaceafter"/>
              <w:spacing w:after="0"/>
              <w:rPr>
                <w:del w:id="6684" w:author="AbbVie_HU_03" w:date="2025-05-14T15:27:00Z"/>
                <w:sz w:val="22"/>
                <w:szCs w:val="22"/>
                <w:lang w:val="hu-HU"/>
              </w:rPr>
            </w:pPr>
            <w:del w:id="6685" w:author="AbbVie_HU_03" w:date="2025-05-14T15:27:00Z">
              <w:r w:rsidRPr="00183B5F">
                <w:rPr>
                  <w:sz w:val="22"/>
                  <w:szCs w:val="22"/>
                  <w:lang w:val="hu-HU"/>
                </w:rPr>
                <w:delText>PGA-F tiszta/minimális és ≥2</w:delText>
              </w:r>
              <w:r w:rsidR="004E5E6A" w:rsidRPr="00183B5F">
                <w:rPr>
                  <w:sz w:val="22"/>
                  <w:szCs w:val="22"/>
                  <w:lang w:val="hu-HU"/>
                </w:rPr>
                <w:delText xml:space="preserve"> </w:delText>
              </w:r>
              <w:r w:rsidRPr="00183B5F">
                <w:rPr>
                  <w:sz w:val="22"/>
                  <w:szCs w:val="22"/>
                  <w:lang w:val="hu-HU"/>
                </w:rPr>
                <w:delText>fokozatú javulás (%)</w:delText>
              </w:r>
            </w:del>
          </w:p>
        </w:tc>
        <w:tc>
          <w:tcPr>
            <w:tcW w:w="1080" w:type="dxa"/>
          </w:tcPr>
          <w:p w14:paraId="6F08FE47" w14:textId="25696174" w:rsidR="00A56F12" w:rsidRPr="00183B5F" w:rsidRDefault="00943743">
            <w:pPr>
              <w:pStyle w:val="gtctablespaceafter"/>
              <w:spacing w:after="0"/>
              <w:jc w:val="center"/>
              <w:rPr>
                <w:del w:id="6686" w:author="AbbVie_HU_03" w:date="2025-05-14T15:27:00Z"/>
                <w:sz w:val="22"/>
                <w:szCs w:val="22"/>
                <w:lang w:val="hu-HU"/>
              </w:rPr>
            </w:pPr>
            <w:del w:id="6687" w:author="AbbVie_HU_03" w:date="2025-05-14T15:27:00Z">
              <w:r w:rsidRPr="00183B5F">
                <w:rPr>
                  <w:sz w:val="22"/>
                  <w:szCs w:val="22"/>
                  <w:lang w:val="hu-HU"/>
                </w:rPr>
                <w:delText>2,9</w:delText>
              </w:r>
            </w:del>
          </w:p>
        </w:tc>
        <w:tc>
          <w:tcPr>
            <w:tcW w:w="1260" w:type="dxa"/>
          </w:tcPr>
          <w:p w14:paraId="470FEE7E" w14:textId="14D6BD20" w:rsidR="00A56F12" w:rsidRPr="00183B5F" w:rsidRDefault="00943743">
            <w:pPr>
              <w:pStyle w:val="gtctablespaceafter"/>
              <w:spacing w:after="0"/>
              <w:jc w:val="center"/>
              <w:rPr>
                <w:del w:id="6688" w:author="AbbVie_HU_03" w:date="2025-05-14T15:27:00Z"/>
                <w:sz w:val="22"/>
                <w:szCs w:val="22"/>
                <w:lang w:val="hu-HU"/>
              </w:rPr>
            </w:pPr>
            <w:del w:id="6689" w:author="AbbVie_HU_03" w:date="2025-05-14T15:27:00Z">
              <w:r w:rsidRPr="00183B5F">
                <w:rPr>
                  <w:sz w:val="22"/>
                  <w:szCs w:val="22"/>
                  <w:lang w:val="hu-HU"/>
                </w:rPr>
                <w:delText>29,7</w:delText>
              </w:r>
              <w:r w:rsidRPr="00183B5F">
                <w:rPr>
                  <w:sz w:val="22"/>
                  <w:szCs w:val="22"/>
                  <w:vertAlign w:val="superscript"/>
                  <w:lang w:val="hu-HU"/>
                </w:rPr>
                <w:delText>a</w:delText>
              </w:r>
            </w:del>
          </w:p>
        </w:tc>
        <w:tc>
          <w:tcPr>
            <w:tcW w:w="990" w:type="dxa"/>
          </w:tcPr>
          <w:p w14:paraId="493D25A0" w14:textId="70FF0F69" w:rsidR="00A56F12" w:rsidRPr="00183B5F" w:rsidRDefault="00943743" w:rsidP="004062FE">
            <w:pPr>
              <w:keepNext/>
              <w:spacing w:line="240" w:lineRule="auto"/>
              <w:jc w:val="center"/>
              <w:rPr>
                <w:del w:id="6690" w:author="AbbVie_HU_03" w:date="2025-05-14T15:27:00Z"/>
                <w:szCs w:val="22"/>
              </w:rPr>
            </w:pPr>
            <w:del w:id="6691" w:author="AbbVie_HU_03" w:date="2025-05-14T15:27:00Z">
              <w:r w:rsidRPr="00183B5F">
                <w:rPr>
                  <w:szCs w:val="22"/>
                </w:rPr>
                <w:delText>6,9</w:delText>
              </w:r>
            </w:del>
          </w:p>
        </w:tc>
        <w:tc>
          <w:tcPr>
            <w:tcW w:w="1260" w:type="dxa"/>
          </w:tcPr>
          <w:p w14:paraId="49D93A66" w14:textId="5472614D" w:rsidR="00A56F12" w:rsidRPr="00183B5F" w:rsidRDefault="00943743" w:rsidP="004062FE">
            <w:pPr>
              <w:keepNext/>
              <w:spacing w:line="240" w:lineRule="auto"/>
              <w:jc w:val="center"/>
              <w:rPr>
                <w:del w:id="6692" w:author="AbbVie_HU_03" w:date="2025-05-14T15:27:00Z"/>
                <w:szCs w:val="22"/>
              </w:rPr>
            </w:pPr>
            <w:del w:id="6693" w:author="AbbVie_HU_03" w:date="2025-05-14T15:27:00Z">
              <w:r w:rsidRPr="00183B5F">
                <w:rPr>
                  <w:szCs w:val="22"/>
                </w:rPr>
                <w:delText>48,9</w:delText>
              </w:r>
              <w:r w:rsidRPr="00183B5F">
                <w:rPr>
                  <w:szCs w:val="22"/>
                  <w:vertAlign w:val="superscript"/>
                </w:rPr>
                <w:delText>a</w:delText>
              </w:r>
            </w:del>
          </w:p>
        </w:tc>
        <w:tc>
          <w:tcPr>
            <w:tcW w:w="2268" w:type="dxa"/>
          </w:tcPr>
          <w:p w14:paraId="2DA23BA4" w14:textId="315B8F45" w:rsidR="00A56F12" w:rsidRPr="00183B5F" w:rsidRDefault="00943743">
            <w:pPr>
              <w:pStyle w:val="gtctablespaceafter"/>
              <w:spacing w:after="0"/>
              <w:jc w:val="center"/>
              <w:rPr>
                <w:del w:id="6694" w:author="AbbVie_HU_03" w:date="2025-05-14T15:27:00Z"/>
                <w:sz w:val="22"/>
                <w:szCs w:val="22"/>
                <w:lang w:val="hu-HU"/>
              </w:rPr>
            </w:pPr>
            <w:del w:id="6695" w:author="AbbVie_HU_03" w:date="2025-05-14T15:27:00Z">
              <w:r w:rsidRPr="00183B5F">
                <w:rPr>
                  <w:sz w:val="22"/>
                  <w:szCs w:val="22"/>
                  <w:lang w:val="hu-HU"/>
                </w:rPr>
                <w:delText>61,3</w:delText>
              </w:r>
            </w:del>
          </w:p>
        </w:tc>
      </w:tr>
      <w:tr w:rsidR="00011D2F" w14:paraId="31F926AA" w14:textId="2713F233" w:rsidTr="00A56F12">
        <w:trPr>
          <w:del w:id="6696" w:author="AbbVie_HU_03" w:date="2025-05-14T15:27:00Z"/>
        </w:trPr>
        <w:tc>
          <w:tcPr>
            <w:tcW w:w="2718" w:type="dxa"/>
          </w:tcPr>
          <w:p w14:paraId="1FD95FD6" w14:textId="5861245C" w:rsidR="00A56F12" w:rsidRPr="00183B5F" w:rsidRDefault="00943743">
            <w:pPr>
              <w:pStyle w:val="gtctablespaceafter"/>
              <w:spacing w:after="0"/>
              <w:rPr>
                <w:del w:id="6697" w:author="AbbVie_HU_03" w:date="2025-05-14T15:27:00Z"/>
                <w:sz w:val="22"/>
                <w:szCs w:val="22"/>
                <w:lang w:val="hu-HU"/>
              </w:rPr>
            </w:pPr>
            <w:del w:id="6698" w:author="AbbVie_HU_03" w:date="2025-05-14T15:27:00Z">
              <w:r w:rsidRPr="00183B5F">
                <w:rPr>
                  <w:sz w:val="22"/>
                  <w:szCs w:val="22"/>
                  <w:lang w:val="hu-HU"/>
                </w:rPr>
                <w:delText>Teljes köröm NAPSI százalékos változása (%)</w:delText>
              </w:r>
            </w:del>
          </w:p>
        </w:tc>
        <w:tc>
          <w:tcPr>
            <w:tcW w:w="1080" w:type="dxa"/>
          </w:tcPr>
          <w:p w14:paraId="713E5E52" w14:textId="636FCD3D" w:rsidR="00A56F12" w:rsidRPr="00183B5F" w:rsidRDefault="00943743">
            <w:pPr>
              <w:pStyle w:val="gtctablespaceafter"/>
              <w:spacing w:after="0"/>
              <w:jc w:val="center"/>
              <w:rPr>
                <w:del w:id="6699" w:author="AbbVie_HU_03" w:date="2025-05-14T15:27:00Z"/>
                <w:sz w:val="22"/>
                <w:szCs w:val="22"/>
                <w:lang w:val="hu-HU"/>
              </w:rPr>
            </w:pPr>
            <w:del w:id="6700" w:author="AbbVie_HU_03" w:date="2025-05-14T15:27:00Z">
              <w:r w:rsidRPr="00183B5F">
                <w:rPr>
                  <w:sz w:val="22"/>
                  <w:szCs w:val="22"/>
                  <w:lang w:val="hu-HU"/>
                </w:rPr>
                <w:delText>-7,8</w:delText>
              </w:r>
            </w:del>
          </w:p>
        </w:tc>
        <w:tc>
          <w:tcPr>
            <w:tcW w:w="1260" w:type="dxa"/>
          </w:tcPr>
          <w:p w14:paraId="00B557DE" w14:textId="47F19D95" w:rsidR="00A56F12" w:rsidRPr="00183B5F" w:rsidRDefault="00943743">
            <w:pPr>
              <w:pStyle w:val="gtctablespaceafter"/>
              <w:spacing w:after="0"/>
              <w:jc w:val="center"/>
              <w:rPr>
                <w:del w:id="6701" w:author="AbbVie_HU_03" w:date="2025-05-14T15:27:00Z"/>
                <w:sz w:val="22"/>
                <w:szCs w:val="22"/>
                <w:lang w:val="hu-HU"/>
              </w:rPr>
            </w:pPr>
            <w:del w:id="6702" w:author="AbbVie_HU_03" w:date="2025-05-14T15:27:00Z">
              <w:r w:rsidRPr="00183B5F">
                <w:rPr>
                  <w:sz w:val="22"/>
                  <w:szCs w:val="22"/>
                  <w:lang w:val="hu-HU"/>
                </w:rPr>
                <w:delText>-44,2</w:delText>
              </w:r>
              <w:r w:rsidRPr="00183B5F">
                <w:rPr>
                  <w:sz w:val="22"/>
                  <w:szCs w:val="22"/>
                  <w:vertAlign w:val="superscript"/>
                  <w:lang w:val="hu-HU"/>
                </w:rPr>
                <w:delText xml:space="preserve"> a</w:delText>
              </w:r>
            </w:del>
          </w:p>
        </w:tc>
        <w:tc>
          <w:tcPr>
            <w:tcW w:w="990" w:type="dxa"/>
          </w:tcPr>
          <w:p w14:paraId="47F89EAA" w14:textId="3124CFAE" w:rsidR="00A56F12" w:rsidRPr="00183B5F" w:rsidRDefault="00943743" w:rsidP="004062FE">
            <w:pPr>
              <w:keepNext/>
              <w:spacing w:line="240" w:lineRule="auto"/>
              <w:jc w:val="center"/>
              <w:rPr>
                <w:del w:id="6703" w:author="AbbVie_HU_03" w:date="2025-05-14T15:27:00Z"/>
                <w:szCs w:val="22"/>
              </w:rPr>
            </w:pPr>
            <w:del w:id="6704" w:author="AbbVie_HU_03" w:date="2025-05-14T15:27:00Z">
              <w:r w:rsidRPr="00183B5F">
                <w:rPr>
                  <w:szCs w:val="22"/>
                </w:rPr>
                <w:delText>-11,5</w:delText>
              </w:r>
            </w:del>
          </w:p>
        </w:tc>
        <w:tc>
          <w:tcPr>
            <w:tcW w:w="1260" w:type="dxa"/>
          </w:tcPr>
          <w:p w14:paraId="27EBB062" w14:textId="2F879619" w:rsidR="00A56F12" w:rsidRPr="00183B5F" w:rsidRDefault="00943743" w:rsidP="004062FE">
            <w:pPr>
              <w:keepNext/>
              <w:spacing w:line="240" w:lineRule="auto"/>
              <w:jc w:val="center"/>
              <w:rPr>
                <w:del w:id="6705" w:author="AbbVie_HU_03" w:date="2025-05-14T15:27:00Z"/>
                <w:szCs w:val="22"/>
              </w:rPr>
            </w:pPr>
            <w:del w:id="6706" w:author="AbbVie_HU_03" w:date="2025-05-14T15:27:00Z">
              <w:r w:rsidRPr="00183B5F">
                <w:rPr>
                  <w:szCs w:val="22"/>
                </w:rPr>
                <w:delText>-56,2</w:delText>
              </w:r>
              <w:r w:rsidRPr="00183B5F">
                <w:rPr>
                  <w:szCs w:val="22"/>
                  <w:vertAlign w:val="superscript"/>
                </w:rPr>
                <w:delText>a</w:delText>
              </w:r>
            </w:del>
          </w:p>
        </w:tc>
        <w:tc>
          <w:tcPr>
            <w:tcW w:w="2268" w:type="dxa"/>
          </w:tcPr>
          <w:p w14:paraId="17DA6FA1" w14:textId="3C9B262A" w:rsidR="00A56F12" w:rsidRPr="00183B5F" w:rsidRDefault="00943743">
            <w:pPr>
              <w:pStyle w:val="gtctablespaceafter"/>
              <w:spacing w:after="0"/>
              <w:jc w:val="center"/>
              <w:rPr>
                <w:del w:id="6707" w:author="AbbVie_HU_03" w:date="2025-05-14T15:27:00Z"/>
                <w:sz w:val="22"/>
                <w:szCs w:val="22"/>
                <w:lang w:val="hu-HU"/>
              </w:rPr>
            </w:pPr>
            <w:del w:id="6708" w:author="AbbVie_HU_03" w:date="2025-05-14T15:27:00Z">
              <w:r w:rsidRPr="00183B5F">
                <w:rPr>
                  <w:sz w:val="22"/>
                  <w:szCs w:val="22"/>
                  <w:lang w:val="hu-HU"/>
                </w:rPr>
                <w:delText>-72,2</w:delText>
              </w:r>
            </w:del>
          </w:p>
        </w:tc>
      </w:tr>
      <w:tr w:rsidR="00011D2F" w14:paraId="3067D83F" w14:textId="254E13D6" w:rsidTr="00A56F12">
        <w:trPr>
          <w:del w:id="6709" w:author="AbbVie_HU_03" w:date="2025-05-14T15:27:00Z"/>
        </w:trPr>
        <w:tc>
          <w:tcPr>
            <w:tcW w:w="9576" w:type="dxa"/>
            <w:gridSpan w:val="6"/>
          </w:tcPr>
          <w:p w14:paraId="3E4D23EC" w14:textId="608D3C45" w:rsidR="00A56F12" w:rsidRPr="00183B5F" w:rsidRDefault="00943743">
            <w:pPr>
              <w:pStyle w:val="gtctablespaceafter"/>
              <w:spacing w:after="0"/>
              <w:rPr>
                <w:del w:id="6710" w:author="AbbVie_HU_03" w:date="2025-05-14T15:27:00Z"/>
                <w:sz w:val="22"/>
                <w:szCs w:val="22"/>
                <w:lang w:val="hu-HU"/>
              </w:rPr>
            </w:pPr>
            <w:del w:id="6711" w:author="AbbVie_HU_03" w:date="2025-05-14T15:27:00Z">
              <w:r w:rsidRPr="00183B5F">
                <w:rPr>
                  <w:sz w:val="22"/>
                  <w:szCs w:val="22"/>
                  <w:vertAlign w:val="superscript"/>
                  <w:lang w:val="hu-HU"/>
                </w:rPr>
                <w:delText>a</w:delText>
              </w:r>
              <w:r w:rsidRPr="00183B5F">
                <w:rPr>
                  <w:sz w:val="22"/>
                  <w:szCs w:val="22"/>
                  <w:lang w:val="hu-HU"/>
                </w:rPr>
                <w:delText xml:space="preserve"> p&lt;0,001, Humira </w:delText>
              </w:r>
              <w:r w:rsidRPr="00183B5F">
                <w:rPr>
                  <w:i/>
                  <w:sz w:val="22"/>
                  <w:szCs w:val="22"/>
                  <w:lang w:val="hu-HU"/>
                </w:rPr>
                <w:delText>vs.</w:delText>
              </w:r>
              <w:r w:rsidRPr="00183B5F">
                <w:rPr>
                  <w:sz w:val="22"/>
                  <w:szCs w:val="22"/>
                  <w:lang w:val="hu-HU"/>
                </w:rPr>
                <w:delText xml:space="preserve"> placebo </w:delText>
              </w:r>
            </w:del>
          </w:p>
        </w:tc>
      </w:tr>
    </w:tbl>
    <w:p w14:paraId="1ADFB59E" w14:textId="3F5BBA61" w:rsidR="00A56F12" w:rsidRPr="00183B5F" w:rsidRDefault="00A56F12">
      <w:pPr>
        <w:pStyle w:val="gtctablespaceafter"/>
        <w:spacing w:after="0"/>
        <w:rPr>
          <w:del w:id="6712" w:author="AbbVie_HU_03" w:date="2025-05-14T15:27:00Z"/>
          <w:sz w:val="22"/>
          <w:szCs w:val="22"/>
          <w:lang w:val="hu-HU"/>
        </w:rPr>
      </w:pPr>
    </w:p>
    <w:p w14:paraId="134721E1" w14:textId="04357129" w:rsidR="00A56F12" w:rsidRPr="00183B5F" w:rsidRDefault="00943743">
      <w:pPr>
        <w:pStyle w:val="EMEANormal"/>
        <w:rPr>
          <w:del w:id="6713" w:author="AbbVie_HU_03" w:date="2025-05-14T15:27:00Z"/>
          <w:szCs w:val="22"/>
          <w:lang w:val="hu-HU"/>
        </w:rPr>
      </w:pPr>
      <w:del w:id="6714" w:author="AbbVie_HU_03" w:date="2025-05-14T15:27:00Z">
        <w:r w:rsidRPr="00183B5F">
          <w:rPr>
            <w:szCs w:val="22"/>
            <w:lang w:val="hu-HU"/>
          </w:rPr>
          <w:delText>A Humira</w:delText>
        </w:r>
        <w:r w:rsidR="00507E71" w:rsidRPr="00183B5F">
          <w:rPr>
            <w:szCs w:val="22"/>
            <w:lang w:val="hu-HU"/>
          </w:rPr>
          <w:noBreakHyphen/>
        </w:r>
        <w:r w:rsidRPr="00183B5F">
          <w:rPr>
            <w:szCs w:val="22"/>
            <w:lang w:val="hu-HU"/>
          </w:rPr>
          <w:delText xml:space="preserve">val kezelt betegeknél a bőrgyógyászati életminőségi index (DLQI) statisztikailag szignifikáns javulást mutatott a 26. héten a placebóhoz képest. </w:delText>
        </w:r>
      </w:del>
    </w:p>
    <w:p w14:paraId="2AEB600C" w14:textId="1142EA2B" w:rsidR="00E73D8B" w:rsidRPr="00183B5F" w:rsidRDefault="00E73D8B" w:rsidP="004062FE">
      <w:pPr>
        <w:spacing w:line="240" w:lineRule="auto"/>
        <w:rPr>
          <w:del w:id="6715" w:author="AbbVie_HU_03" w:date="2025-05-14T15:27:00Z"/>
          <w:szCs w:val="22"/>
          <w:u w:val="single"/>
        </w:rPr>
      </w:pPr>
    </w:p>
    <w:p w14:paraId="22D085C0" w14:textId="552D4077" w:rsidR="00112B49" w:rsidRPr="00183B5F" w:rsidRDefault="00943743" w:rsidP="004062FE">
      <w:pPr>
        <w:spacing w:line="240" w:lineRule="auto"/>
        <w:rPr>
          <w:del w:id="6716" w:author="AbbVie_HU_03" w:date="2025-05-14T15:27:00Z"/>
          <w:i/>
          <w:szCs w:val="22"/>
        </w:rPr>
      </w:pPr>
      <w:del w:id="6717" w:author="AbbVie_HU_03" w:date="2025-05-14T15:27:00Z">
        <w:r w:rsidRPr="00183B5F">
          <w:rPr>
            <w:i/>
            <w:szCs w:val="22"/>
          </w:rPr>
          <w:delText>Hidradenitis suppurativa</w:delText>
        </w:r>
      </w:del>
    </w:p>
    <w:p w14:paraId="34A7E4FA" w14:textId="440EFB6F" w:rsidR="00112B49" w:rsidRPr="00183B5F" w:rsidRDefault="00112B49" w:rsidP="004062FE">
      <w:pPr>
        <w:spacing w:line="240" w:lineRule="auto"/>
        <w:rPr>
          <w:del w:id="6718" w:author="AbbVie_HU_03" w:date="2025-05-14T15:27:00Z"/>
          <w:i/>
          <w:szCs w:val="22"/>
        </w:rPr>
      </w:pPr>
    </w:p>
    <w:p w14:paraId="28081693" w14:textId="607F8217" w:rsidR="00112B49" w:rsidRPr="00183B5F" w:rsidRDefault="00943743" w:rsidP="004062FE">
      <w:pPr>
        <w:spacing w:line="240" w:lineRule="auto"/>
        <w:rPr>
          <w:del w:id="6719" w:author="AbbVie_HU_03" w:date="2025-05-14T15:27:00Z"/>
          <w:szCs w:val="22"/>
        </w:rPr>
      </w:pPr>
      <w:del w:id="6720" w:author="AbbVie_HU_03" w:date="2025-05-14T15:27:00Z">
        <w:r w:rsidRPr="00183B5F">
          <w:rPr>
            <w:szCs w:val="22"/>
          </w:rPr>
          <w:delText>A Humira bi</w:delText>
        </w:r>
        <w:r w:rsidR="00CF438F" w:rsidRPr="00183B5F">
          <w:rPr>
            <w:szCs w:val="22"/>
          </w:rPr>
          <w:delText>z</w:delText>
        </w:r>
        <w:r w:rsidRPr="00183B5F">
          <w:rPr>
            <w:szCs w:val="22"/>
          </w:rPr>
          <w:delText>tonságosságát és hat</w:delText>
        </w:r>
        <w:r w:rsidR="00CF438F" w:rsidRPr="00183B5F">
          <w:rPr>
            <w:szCs w:val="22"/>
          </w:rPr>
          <w:delText>ásos</w:delText>
        </w:r>
        <w:r w:rsidRPr="00183B5F">
          <w:rPr>
            <w:szCs w:val="22"/>
          </w:rPr>
          <w:delText>ságát olyan köz</w:delText>
        </w:r>
        <w:r w:rsidR="00931CE1" w:rsidRPr="00183B5F">
          <w:rPr>
            <w:szCs w:val="22"/>
          </w:rPr>
          <w:delText xml:space="preserve">epesen </w:delText>
        </w:r>
        <w:r w:rsidRPr="00183B5F">
          <w:rPr>
            <w:szCs w:val="22"/>
          </w:rPr>
          <w:delText>súlyos</w:delText>
        </w:r>
        <w:r w:rsidR="00931CE1" w:rsidRPr="00183B5F">
          <w:rPr>
            <w:szCs w:val="22"/>
          </w:rPr>
          <w:delText xml:space="preserve"> </w:delText>
        </w:r>
        <w:r w:rsidR="00821DCB" w:rsidRPr="00183B5F">
          <w:rPr>
            <w:szCs w:val="22"/>
          </w:rPr>
          <w:delText>–</w:delText>
        </w:r>
        <w:r w:rsidR="00931CE1" w:rsidRPr="00183B5F">
          <w:rPr>
            <w:szCs w:val="22"/>
          </w:rPr>
          <w:delText xml:space="preserve"> </w:delText>
        </w:r>
        <w:r w:rsidRPr="00183B5F">
          <w:rPr>
            <w:szCs w:val="22"/>
          </w:rPr>
          <w:delText>súlyos aktivitású hidradenitis suppurativában (HS) szenvedő felnőtt betegek</w:delText>
        </w:r>
        <w:r w:rsidR="00CF438F" w:rsidRPr="00183B5F">
          <w:rPr>
            <w:szCs w:val="22"/>
          </w:rPr>
          <w:delText>nél</w:delText>
        </w:r>
        <w:r w:rsidRPr="00183B5F">
          <w:rPr>
            <w:szCs w:val="22"/>
          </w:rPr>
          <w:delText xml:space="preserve"> értékelték randomizált, </w:delText>
        </w:r>
        <w:r w:rsidR="00E5381A" w:rsidRPr="00183B5F">
          <w:rPr>
            <w:szCs w:val="22"/>
          </w:rPr>
          <w:delText>kettős</w:delText>
        </w:r>
        <w:r w:rsidR="0047618A" w:rsidRPr="00183B5F">
          <w:rPr>
            <w:szCs w:val="22"/>
          </w:rPr>
          <w:delText xml:space="preserve"> vak</w:delText>
        </w:r>
        <w:r w:rsidRPr="00183B5F">
          <w:rPr>
            <w:szCs w:val="22"/>
          </w:rPr>
          <w:delText xml:space="preserve">, placebokontrollos </w:delText>
        </w:r>
        <w:r w:rsidR="0047618A" w:rsidRPr="00183B5F">
          <w:rPr>
            <w:szCs w:val="22"/>
          </w:rPr>
          <w:delText xml:space="preserve">vizsgálatokkal és egy nyílt kiterjesztéses </w:delText>
        </w:r>
        <w:r w:rsidRPr="00183B5F">
          <w:rPr>
            <w:szCs w:val="22"/>
          </w:rPr>
          <w:delText>vizsgálattal, akik a 3</w:delText>
        </w:r>
        <w:r w:rsidR="00FD5B9A" w:rsidRPr="00183B5F">
          <w:rPr>
            <w:szCs w:val="22"/>
          </w:rPr>
          <w:delText> </w:delText>
        </w:r>
        <w:r w:rsidRPr="00183B5F">
          <w:rPr>
            <w:szCs w:val="22"/>
          </w:rPr>
          <w:delText>hónapos szisztémás antibiotikum</w:delText>
        </w:r>
        <w:r w:rsidR="0047618A" w:rsidRPr="00183B5F">
          <w:rPr>
            <w:szCs w:val="22"/>
          </w:rPr>
          <w:noBreakHyphen/>
        </w:r>
        <w:r w:rsidRPr="00183B5F">
          <w:rPr>
            <w:szCs w:val="22"/>
          </w:rPr>
          <w:delText>kezelés</w:delText>
        </w:r>
        <w:r w:rsidR="00FD5B9A" w:rsidRPr="00183B5F">
          <w:rPr>
            <w:szCs w:val="22"/>
          </w:rPr>
          <w:delText>t nem tolerálták</w:delText>
        </w:r>
        <w:r w:rsidRPr="00183B5F">
          <w:rPr>
            <w:szCs w:val="22"/>
          </w:rPr>
          <w:delText>, ellenjavallt</w:delText>
        </w:r>
        <w:r w:rsidR="00FD5B9A" w:rsidRPr="00183B5F">
          <w:rPr>
            <w:szCs w:val="22"/>
          </w:rPr>
          <w:delText xml:space="preserve"> volt náluk, </w:delText>
        </w:r>
        <w:r w:rsidRPr="00183B5F">
          <w:rPr>
            <w:szCs w:val="22"/>
          </w:rPr>
          <w:delText xml:space="preserve">vagy nem </w:delText>
        </w:r>
        <w:r w:rsidR="00FD5B9A" w:rsidRPr="00183B5F">
          <w:rPr>
            <w:szCs w:val="22"/>
          </w:rPr>
          <w:delText>adtak</w:delText>
        </w:r>
        <w:r w:rsidRPr="00183B5F">
          <w:rPr>
            <w:szCs w:val="22"/>
          </w:rPr>
          <w:delText xml:space="preserve"> kielégítő választ. A HS</w:delText>
        </w:r>
        <w:r w:rsidRPr="00183B5F">
          <w:rPr>
            <w:szCs w:val="22"/>
          </w:rPr>
          <w:noBreakHyphen/>
          <w:delText>I és H</w:delText>
        </w:r>
        <w:r w:rsidR="0047618A" w:rsidRPr="00183B5F">
          <w:rPr>
            <w:szCs w:val="22"/>
          </w:rPr>
          <w:delText>S</w:delText>
        </w:r>
        <w:r w:rsidRPr="00183B5F">
          <w:rPr>
            <w:szCs w:val="22"/>
          </w:rPr>
          <w:noBreakHyphen/>
          <w:delText>II</w:delText>
        </w:r>
        <w:r w:rsidRPr="00183B5F">
          <w:rPr>
            <w:szCs w:val="22"/>
          </w:rPr>
          <w:noBreakHyphen/>
          <w:delText xml:space="preserve">es betegeknek legalább 3 tályoggal vagy gyulladásos csomóval </w:delText>
        </w:r>
        <w:r w:rsidR="00F84B32" w:rsidRPr="00183B5F">
          <w:rPr>
            <w:szCs w:val="22"/>
          </w:rPr>
          <w:delText>járó Hurley Stage II vagy Hurley Stage III stádiumú betegségük</w:delText>
        </w:r>
        <w:r w:rsidR="0047618A" w:rsidRPr="00183B5F">
          <w:rPr>
            <w:szCs w:val="22"/>
          </w:rPr>
          <w:delText xml:space="preserve"> </w:delText>
        </w:r>
        <w:r w:rsidR="00F84B32" w:rsidRPr="00183B5F">
          <w:rPr>
            <w:szCs w:val="22"/>
          </w:rPr>
          <w:delText>volt.</w:delText>
        </w:r>
      </w:del>
    </w:p>
    <w:p w14:paraId="5956D161" w14:textId="16AE879F" w:rsidR="00F84B32" w:rsidRPr="00183B5F" w:rsidRDefault="00F84B32" w:rsidP="004062FE">
      <w:pPr>
        <w:spacing w:line="240" w:lineRule="auto"/>
        <w:rPr>
          <w:del w:id="6721" w:author="AbbVie_HU_03" w:date="2025-05-14T15:27:00Z"/>
          <w:szCs w:val="22"/>
        </w:rPr>
      </w:pPr>
    </w:p>
    <w:p w14:paraId="72AB571E" w14:textId="2D713E4A" w:rsidR="00F84B32" w:rsidRPr="00183B5F" w:rsidRDefault="00943743" w:rsidP="004062FE">
      <w:pPr>
        <w:spacing w:line="240" w:lineRule="auto"/>
        <w:rPr>
          <w:del w:id="6722" w:author="AbbVie_HU_03" w:date="2025-05-14T15:27:00Z"/>
          <w:color w:val="000000"/>
        </w:rPr>
      </w:pPr>
      <w:del w:id="6723" w:author="AbbVie_HU_03" w:date="2025-05-14T15:27:00Z">
        <w:r w:rsidRPr="00183B5F">
          <w:rPr>
            <w:szCs w:val="22"/>
          </w:rPr>
          <w:delText>A HS</w:delText>
        </w:r>
        <w:r w:rsidRPr="00183B5F">
          <w:rPr>
            <w:szCs w:val="22"/>
          </w:rPr>
          <w:noBreakHyphen/>
        </w:r>
        <w:r w:rsidRPr="00183B5F">
          <w:rPr>
            <w:szCs w:val="22"/>
          </w:rPr>
          <w:delText>I vizsgálat (PIONEER I) 307 beteget értékelt 2 kezelési periódusban. Az A </w:delText>
        </w:r>
        <w:r w:rsidR="00FD5B9A" w:rsidRPr="00183B5F">
          <w:rPr>
            <w:szCs w:val="22"/>
          </w:rPr>
          <w:delText>p</w:delText>
        </w:r>
        <w:r w:rsidRPr="00183B5F">
          <w:rPr>
            <w:szCs w:val="22"/>
          </w:rPr>
          <w:delText>eriódusban a betegek 160 mg telítő dózisú placeb</w:delText>
        </w:r>
        <w:r w:rsidR="00FD5B9A" w:rsidRPr="00183B5F">
          <w:rPr>
            <w:szCs w:val="22"/>
          </w:rPr>
          <w:delText>ó</w:delText>
        </w:r>
        <w:r w:rsidRPr="00183B5F">
          <w:rPr>
            <w:szCs w:val="22"/>
          </w:rPr>
          <w:delText>t vagy Humira</w:delText>
        </w:r>
        <w:r w:rsidRPr="00183B5F">
          <w:rPr>
            <w:szCs w:val="22"/>
          </w:rPr>
          <w:noBreakHyphen/>
          <w:delText>t kaptak a 0. héten, 80 mg</w:delText>
        </w:r>
        <w:r w:rsidRPr="00183B5F">
          <w:rPr>
            <w:szCs w:val="22"/>
          </w:rPr>
          <w:noBreakHyphen/>
          <w:delText>ot a 2. héten és 40 mg</w:delText>
        </w:r>
        <w:r w:rsidRPr="00183B5F">
          <w:rPr>
            <w:szCs w:val="22"/>
          </w:rPr>
          <w:noBreakHyphen/>
          <w:delText>ot minden héten a 4</w:delText>
        </w:r>
        <w:r w:rsidRPr="00183B5F">
          <w:rPr>
            <w:szCs w:val="22"/>
          </w:rPr>
          <w:noBreakHyphen/>
          <w:delText xml:space="preserve">11. hétig. A vizsgálat alatt nem volt megengedett antibiotikum együttes </w:delText>
        </w:r>
        <w:r w:rsidR="009F088F" w:rsidRPr="00183B5F">
          <w:rPr>
            <w:szCs w:val="22"/>
          </w:rPr>
          <w:delText>alkalmazása</w:delText>
        </w:r>
        <w:r w:rsidRPr="00183B5F">
          <w:rPr>
            <w:szCs w:val="22"/>
          </w:rPr>
          <w:delText>. A 12 hétig tartó terápia után azokat a betegeket akik az A </w:delText>
        </w:r>
        <w:r w:rsidR="00FD5B9A" w:rsidRPr="00183B5F">
          <w:rPr>
            <w:szCs w:val="22"/>
          </w:rPr>
          <w:delText>p</w:delText>
        </w:r>
        <w:r w:rsidRPr="00183B5F">
          <w:rPr>
            <w:szCs w:val="22"/>
          </w:rPr>
          <w:delText>eriódusban Humira</w:delText>
        </w:r>
        <w:r w:rsidRPr="00183B5F">
          <w:rPr>
            <w:szCs w:val="22"/>
          </w:rPr>
          <w:noBreakHyphen/>
          <w:delText xml:space="preserve">t kaptak, </w:delText>
        </w:r>
        <w:r w:rsidR="000A7549" w:rsidRPr="00183B5F">
          <w:rPr>
            <w:szCs w:val="22"/>
          </w:rPr>
          <w:delText xml:space="preserve"> a</w:delText>
        </w:r>
        <w:r w:rsidRPr="00183B5F">
          <w:rPr>
            <w:szCs w:val="22"/>
          </w:rPr>
          <w:delText xml:space="preserve"> B </w:delText>
        </w:r>
        <w:r w:rsidR="00FD5B9A" w:rsidRPr="00183B5F">
          <w:rPr>
            <w:szCs w:val="22"/>
          </w:rPr>
          <w:delText>p</w:delText>
        </w:r>
        <w:r w:rsidRPr="00183B5F">
          <w:rPr>
            <w:szCs w:val="22"/>
          </w:rPr>
          <w:delText>eriódusba</w:delText>
        </w:r>
        <w:r w:rsidR="000A7549" w:rsidRPr="00183B5F">
          <w:rPr>
            <w:szCs w:val="22"/>
          </w:rPr>
          <w:delText>n</w:delText>
        </w:r>
        <w:r w:rsidR="00372DF6" w:rsidRPr="00183B5F">
          <w:rPr>
            <w:szCs w:val="22"/>
          </w:rPr>
          <w:delText xml:space="preserve"> ismét randomizálták,</w:delText>
        </w:r>
        <w:r w:rsidRPr="00183B5F">
          <w:rPr>
            <w:szCs w:val="22"/>
          </w:rPr>
          <w:delText xml:space="preserve"> a 3 kezelési csoport egyikébe</w:delText>
        </w:r>
        <w:r w:rsidR="006F01BE" w:rsidRPr="00183B5F">
          <w:rPr>
            <w:szCs w:val="22"/>
          </w:rPr>
          <w:delText xml:space="preserve"> (</w:delText>
        </w:r>
        <w:r w:rsidR="006F01BE" w:rsidRPr="00183B5F">
          <w:rPr>
            <w:color w:val="000000"/>
          </w:rPr>
          <w:delText>40 mg Humira minden héten, 40 mg Humira minden második héten, vagy placebo 12</w:delText>
        </w:r>
        <w:r w:rsidR="006F01BE" w:rsidRPr="00183B5F">
          <w:rPr>
            <w:color w:val="000000"/>
          </w:rPr>
          <w:noBreakHyphen/>
          <w:delText>35. hétig). Az A </w:delText>
        </w:r>
        <w:r w:rsidR="00FD5B9A" w:rsidRPr="00183B5F">
          <w:rPr>
            <w:color w:val="000000"/>
          </w:rPr>
          <w:delText>p</w:delText>
        </w:r>
        <w:r w:rsidR="006F01BE" w:rsidRPr="00183B5F">
          <w:rPr>
            <w:color w:val="000000"/>
          </w:rPr>
          <w:delText>eriódusban véletlenszerűen placeb</w:delText>
        </w:r>
        <w:r w:rsidR="00FD5B9A" w:rsidRPr="00183B5F">
          <w:rPr>
            <w:color w:val="000000"/>
          </w:rPr>
          <w:delText>ó</w:delText>
        </w:r>
        <w:r w:rsidR="006F01BE" w:rsidRPr="00183B5F">
          <w:rPr>
            <w:color w:val="000000"/>
          </w:rPr>
          <w:delText>t kapó betegek a B </w:delText>
        </w:r>
        <w:r w:rsidR="00FD5B9A" w:rsidRPr="00183B5F">
          <w:rPr>
            <w:color w:val="000000"/>
          </w:rPr>
          <w:delText>p</w:delText>
        </w:r>
        <w:r w:rsidR="006F01BE" w:rsidRPr="00183B5F">
          <w:rPr>
            <w:color w:val="000000"/>
          </w:rPr>
          <w:delText>eriódusban 40 mg Humira</w:delText>
        </w:r>
        <w:r w:rsidR="006F01BE" w:rsidRPr="00183B5F">
          <w:rPr>
            <w:color w:val="000000"/>
          </w:rPr>
          <w:noBreakHyphen/>
          <w:delText>t kaptak minden héten.</w:delText>
        </w:r>
      </w:del>
    </w:p>
    <w:p w14:paraId="323A14C8" w14:textId="6C6F6FD3" w:rsidR="006F01BE" w:rsidRPr="00183B5F" w:rsidRDefault="006F01BE" w:rsidP="004062FE">
      <w:pPr>
        <w:spacing w:line="240" w:lineRule="auto"/>
        <w:rPr>
          <w:del w:id="6724" w:author="AbbVie_HU_03" w:date="2025-05-14T15:27:00Z"/>
          <w:color w:val="000000"/>
        </w:rPr>
      </w:pPr>
    </w:p>
    <w:p w14:paraId="793C124C" w14:textId="58033B0C" w:rsidR="006F01BE" w:rsidRPr="00183B5F" w:rsidRDefault="00943743" w:rsidP="004062FE">
      <w:pPr>
        <w:spacing w:line="240" w:lineRule="auto"/>
        <w:rPr>
          <w:del w:id="6725" w:author="AbbVie_HU_03" w:date="2025-05-14T15:27:00Z"/>
          <w:color w:val="000000"/>
        </w:rPr>
      </w:pPr>
      <w:del w:id="6726" w:author="AbbVie_HU_03" w:date="2025-05-14T15:27:00Z">
        <w:r w:rsidRPr="00183B5F">
          <w:rPr>
            <w:color w:val="000000"/>
          </w:rPr>
          <w:delText>A HS</w:delText>
        </w:r>
        <w:r w:rsidRPr="00183B5F">
          <w:rPr>
            <w:color w:val="000000"/>
          </w:rPr>
          <w:noBreakHyphen/>
          <w:delText>II (PIONEER II) vizsgálat 326 beteget értékelt 2 kezelési periódusban. Az A</w:delText>
        </w:r>
        <w:r w:rsidR="00FD5B9A" w:rsidRPr="00183B5F">
          <w:rPr>
            <w:color w:val="000000"/>
          </w:rPr>
          <w:delText> p</w:delText>
        </w:r>
        <w:r w:rsidRPr="00183B5F">
          <w:rPr>
            <w:color w:val="000000"/>
          </w:rPr>
          <w:delText>eriódusban a betegek 160</w:delText>
        </w:r>
        <w:r w:rsidR="00FD5B9A" w:rsidRPr="00183B5F">
          <w:rPr>
            <w:color w:val="000000"/>
          </w:rPr>
          <w:delText> </w:delText>
        </w:r>
        <w:r w:rsidRPr="00183B5F">
          <w:rPr>
            <w:color w:val="000000"/>
          </w:rPr>
          <w:delText>mg telítő dózisú placeb</w:delText>
        </w:r>
        <w:r w:rsidR="00FD5B9A" w:rsidRPr="00183B5F">
          <w:rPr>
            <w:color w:val="000000"/>
          </w:rPr>
          <w:delText>ó</w:delText>
        </w:r>
        <w:r w:rsidRPr="00183B5F">
          <w:rPr>
            <w:color w:val="000000"/>
          </w:rPr>
          <w:delText>t vagy Humira</w:delText>
        </w:r>
        <w:r w:rsidR="00FD5B9A" w:rsidRPr="00183B5F">
          <w:rPr>
            <w:color w:val="000000"/>
          </w:rPr>
          <w:noBreakHyphen/>
        </w:r>
        <w:r w:rsidRPr="00183B5F">
          <w:rPr>
            <w:color w:val="000000"/>
          </w:rPr>
          <w:delText>t kaptak a 0.</w:delText>
        </w:r>
        <w:r w:rsidR="0047618A" w:rsidRPr="00183B5F">
          <w:rPr>
            <w:color w:val="000000"/>
          </w:rPr>
          <w:delText> </w:delText>
        </w:r>
        <w:r w:rsidRPr="00183B5F">
          <w:rPr>
            <w:color w:val="000000"/>
          </w:rPr>
          <w:delText>héten, 80</w:delText>
        </w:r>
        <w:r w:rsidR="0047618A" w:rsidRPr="00183B5F">
          <w:rPr>
            <w:color w:val="000000"/>
          </w:rPr>
          <w:delText> </w:delText>
        </w:r>
        <w:r w:rsidRPr="00183B5F">
          <w:rPr>
            <w:color w:val="000000"/>
          </w:rPr>
          <w:delText>mg</w:delText>
        </w:r>
        <w:r w:rsidR="0047618A" w:rsidRPr="00183B5F">
          <w:rPr>
            <w:color w:val="000000"/>
          </w:rPr>
          <w:noBreakHyphen/>
        </w:r>
        <w:r w:rsidRPr="00183B5F">
          <w:rPr>
            <w:color w:val="000000"/>
          </w:rPr>
          <w:delText>ot a 2.</w:delText>
        </w:r>
        <w:r w:rsidR="0047618A" w:rsidRPr="00183B5F">
          <w:rPr>
            <w:color w:val="000000"/>
          </w:rPr>
          <w:delText> </w:delText>
        </w:r>
        <w:r w:rsidRPr="00183B5F">
          <w:rPr>
            <w:color w:val="000000"/>
          </w:rPr>
          <w:delText>héten és 40</w:delText>
        </w:r>
        <w:r w:rsidR="00640559" w:rsidRPr="00183B5F">
          <w:rPr>
            <w:color w:val="000000"/>
          </w:rPr>
          <w:delText> </w:delText>
        </w:r>
        <w:r w:rsidRPr="00183B5F">
          <w:rPr>
            <w:color w:val="000000"/>
          </w:rPr>
          <w:delText>mg</w:delText>
        </w:r>
        <w:r w:rsidR="00640559" w:rsidRPr="00183B5F">
          <w:rPr>
            <w:color w:val="000000"/>
          </w:rPr>
          <w:noBreakHyphen/>
        </w:r>
        <w:r w:rsidRPr="00183B5F">
          <w:rPr>
            <w:color w:val="000000"/>
          </w:rPr>
          <w:delText>ot minden héten a 4</w:delText>
        </w:r>
        <w:r w:rsidR="00FD5B9A" w:rsidRPr="00183B5F">
          <w:rPr>
            <w:color w:val="000000"/>
          </w:rPr>
          <w:noBreakHyphen/>
        </w:r>
        <w:r w:rsidRPr="00183B5F">
          <w:rPr>
            <w:color w:val="000000"/>
          </w:rPr>
          <w:delText>11.</w:delText>
        </w:r>
        <w:r w:rsidR="0047618A" w:rsidRPr="00183B5F">
          <w:rPr>
            <w:color w:val="000000"/>
          </w:rPr>
          <w:delText> </w:delText>
        </w:r>
        <w:r w:rsidRPr="00183B5F">
          <w:rPr>
            <w:color w:val="000000"/>
          </w:rPr>
          <w:delText>hétig. A betegek 19,3%</w:delText>
        </w:r>
        <w:r w:rsidRPr="00183B5F">
          <w:rPr>
            <w:color w:val="000000"/>
          </w:rPr>
          <w:noBreakHyphen/>
          <w:delText>a folytatta a kiindulási orális antibiotikum terápiát a vizsgálat alatt. A 12</w:delText>
        </w:r>
        <w:r w:rsidR="00FD5B9A" w:rsidRPr="00183B5F">
          <w:rPr>
            <w:color w:val="000000"/>
          </w:rPr>
          <w:delText> </w:delText>
        </w:r>
        <w:r w:rsidRPr="00183B5F">
          <w:rPr>
            <w:color w:val="000000"/>
          </w:rPr>
          <w:delText>hétig tartó terápia után azokat a betegeket</w:delText>
        </w:r>
        <w:r w:rsidR="00FD5B9A" w:rsidRPr="00183B5F">
          <w:rPr>
            <w:color w:val="000000"/>
          </w:rPr>
          <w:delText>,</w:delText>
        </w:r>
        <w:r w:rsidRPr="00183B5F">
          <w:rPr>
            <w:color w:val="000000"/>
          </w:rPr>
          <w:delText xml:space="preserve"> akik az A</w:delText>
        </w:r>
        <w:r w:rsidR="00FD5B9A" w:rsidRPr="00183B5F">
          <w:rPr>
            <w:color w:val="000000"/>
          </w:rPr>
          <w:delText> p</w:delText>
        </w:r>
        <w:r w:rsidRPr="00183B5F">
          <w:rPr>
            <w:color w:val="000000"/>
          </w:rPr>
          <w:delText>eriódusban Humira</w:delText>
        </w:r>
        <w:r w:rsidR="00FD5B9A" w:rsidRPr="00183B5F">
          <w:rPr>
            <w:color w:val="000000"/>
          </w:rPr>
          <w:noBreakHyphen/>
        </w:r>
        <w:r w:rsidRPr="00183B5F">
          <w:rPr>
            <w:color w:val="000000"/>
          </w:rPr>
          <w:delText xml:space="preserve">t kaptak, </w:delText>
        </w:r>
        <w:r w:rsidR="00FD5B9A" w:rsidRPr="00183B5F">
          <w:rPr>
            <w:color w:val="000000"/>
          </w:rPr>
          <w:delText xml:space="preserve">a </w:delText>
        </w:r>
        <w:r w:rsidRPr="00183B5F">
          <w:rPr>
            <w:color w:val="000000"/>
          </w:rPr>
          <w:delText>B</w:delText>
        </w:r>
        <w:r w:rsidR="00FD5B9A" w:rsidRPr="00183B5F">
          <w:rPr>
            <w:color w:val="000000"/>
          </w:rPr>
          <w:delText> p</w:delText>
        </w:r>
        <w:r w:rsidRPr="00183B5F">
          <w:rPr>
            <w:color w:val="000000"/>
          </w:rPr>
          <w:delText>eriódusba</w:delText>
        </w:r>
        <w:r w:rsidR="00372DF6" w:rsidRPr="00183B5F">
          <w:rPr>
            <w:color w:val="000000"/>
          </w:rPr>
          <w:delText>n ismét randomizálták</w:delText>
        </w:r>
        <w:r w:rsidR="00FD5B9A" w:rsidRPr="00183B5F">
          <w:rPr>
            <w:color w:val="000000"/>
          </w:rPr>
          <w:delText>,</w:delText>
        </w:r>
        <w:r w:rsidRPr="00183B5F">
          <w:rPr>
            <w:color w:val="000000"/>
          </w:rPr>
          <w:delText xml:space="preserve"> a 3 kezelési csoport egyikébe (40</w:delText>
        </w:r>
        <w:r w:rsidR="00FD5B9A" w:rsidRPr="00183B5F">
          <w:rPr>
            <w:color w:val="000000"/>
          </w:rPr>
          <w:delText> </w:delText>
        </w:r>
        <w:r w:rsidRPr="00183B5F">
          <w:rPr>
            <w:color w:val="000000"/>
          </w:rPr>
          <w:delText>mg Humira minden héten, 40</w:delText>
        </w:r>
        <w:r w:rsidR="00FD5B9A" w:rsidRPr="00183B5F">
          <w:rPr>
            <w:color w:val="000000"/>
          </w:rPr>
          <w:delText> </w:delText>
        </w:r>
        <w:r w:rsidRPr="00183B5F">
          <w:rPr>
            <w:color w:val="000000"/>
          </w:rPr>
          <w:delText xml:space="preserve">mg Humira minden második héten, vagy placebo </w:delText>
        </w:r>
        <w:r w:rsidR="00FD5B9A" w:rsidRPr="00183B5F">
          <w:rPr>
            <w:color w:val="000000"/>
          </w:rPr>
          <w:delText xml:space="preserve">a </w:delText>
        </w:r>
        <w:r w:rsidRPr="00183B5F">
          <w:rPr>
            <w:color w:val="000000"/>
          </w:rPr>
          <w:delText>12</w:delText>
        </w:r>
        <w:r w:rsidR="00FD5B9A" w:rsidRPr="00183B5F">
          <w:rPr>
            <w:color w:val="000000"/>
          </w:rPr>
          <w:noBreakHyphen/>
        </w:r>
        <w:r w:rsidRPr="00183B5F">
          <w:rPr>
            <w:color w:val="000000"/>
          </w:rPr>
          <w:delText>35.</w:delText>
        </w:r>
        <w:r w:rsidR="00FD5B9A" w:rsidRPr="00183B5F">
          <w:rPr>
            <w:color w:val="000000"/>
          </w:rPr>
          <w:delText> </w:delText>
        </w:r>
        <w:r w:rsidRPr="00183B5F">
          <w:rPr>
            <w:color w:val="000000"/>
          </w:rPr>
          <w:delText>hétig). Az A </w:delText>
        </w:r>
        <w:r w:rsidR="00FD5B9A" w:rsidRPr="00183B5F">
          <w:rPr>
            <w:color w:val="000000"/>
          </w:rPr>
          <w:delText>p</w:delText>
        </w:r>
        <w:r w:rsidRPr="00183B5F">
          <w:rPr>
            <w:color w:val="000000"/>
          </w:rPr>
          <w:delText>eriódusban véletlenszerűen placeb</w:delText>
        </w:r>
        <w:r w:rsidR="00FD5B9A" w:rsidRPr="00183B5F">
          <w:rPr>
            <w:color w:val="000000"/>
          </w:rPr>
          <w:delText>ó</w:delText>
        </w:r>
        <w:r w:rsidRPr="00183B5F">
          <w:rPr>
            <w:color w:val="000000"/>
          </w:rPr>
          <w:delText>t kapó betegeknek a B </w:delText>
        </w:r>
        <w:r w:rsidR="00FD5B9A" w:rsidRPr="00183B5F">
          <w:rPr>
            <w:color w:val="000000"/>
          </w:rPr>
          <w:delText>p</w:delText>
        </w:r>
        <w:r w:rsidRPr="00183B5F">
          <w:rPr>
            <w:color w:val="000000"/>
          </w:rPr>
          <w:delText>eriódusban is placeb</w:delText>
        </w:r>
        <w:r w:rsidR="00FD5B9A" w:rsidRPr="00183B5F">
          <w:rPr>
            <w:color w:val="000000"/>
          </w:rPr>
          <w:delText>ó</w:delText>
        </w:r>
        <w:r w:rsidRPr="00183B5F">
          <w:rPr>
            <w:color w:val="000000"/>
          </w:rPr>
          <w:delText>t adtak.</w:delText>
        </w:r>
      </w:del>
    </w:p>
    <w:p w14:paraId="1096DF0E" w14:textId="0EFD1DBE" w:rsidR="006F01BE" w:rsidRPr="00183B5F" w:rsidRDefault="006F01BE" w:rsidP="004062FE">
      <w:pPr>
        <w:spacing w:line="240" w:lineRule="auto"/>
        <w:rPr>
          <w:del w:id="6727" w:author="AbbVie_HU_03" w:date="2025-05-14T15:27:00Z"/>
          <w:color w:val="000000"/>
        </w:rPr>
      </w:pPr>
    </w:p>
    <w:p w14:paraId="06F7CFDD" w14:textId="08C49AC3" w:rsidR="006F01BE" w:rsidRPr="00183B5F" w:rsidRDefault="00943743" w:rsidP="004062FE">
      <w:pPr>
        <w:spacing w:line="240" w:lineRule="auto"/>
        <w:rPr>
          <w:del w:id="6728" w:author="AbbVie_HU_03" w:date="2025-05-14T15:27:00Z"/>
          <w:color w:val="000000"/>
        </w:rPr>
      </w:pPr>
      <w:del w:id="6729" w:author="AbbVie_HU_03" w:date="2025-05-14T15:27:00Z">
        <w:r w:rsidRPr="00183B5F">
          <w:rPr>
            <w:color w:val="000000"/>
          </w:rPr>
          <w:delText>A HS</w:delText>
        </w:r>
        <w:r w:rsidRPr="00183B5F">
          <w:rPr>
            <w:color w:val="000000"/>
          </w:rPr>
          <w:noBreakHyphen/>
          <w:delText>I és HS</w:delText>
        </w:r>
        <w:r w:rsidRPr="00183B5F">
          <w:rPr>
            <w:color w:val="000000"/>
          </w:rPr>
          <w:noBreakHyphen/>
          <w:delText xml:space="preserve">II vizsgálatban részt vevő </w:delText>
        </w:r>
        <w:r w:rsidR="008426CA" w:rsidRPr="00183B5F">
          <w:rPr>
            <w:color w:val="000000"/>
          </w:rPr>
          <w:delText xml:space="preserve">betegek jogosultak voltak egy nyílt, </w:delText>
        </w:r>
        <w:r w:rsidR="0047618A" w:rsidRPr="00183B5F">
          <w:rPr>
            <w:color w:val="000000"/>
          </w:rPr>
          <w:delText xml:space="preserve">kiterjesztéses </w:delText>
        </w:r>
        <w:r w:rsidR="008426CA" w:rsidRPr="00183B5F">
          <w:rPr>
            <w:color w:val="000000"/>
          </w:rPr>
          <w:delText>vizsgálatba</w:delText>
        </w:r>
        <w:r w:rsidR="00FD5B9A" w:rsidRPr="00183B5F">
          <w:rPr>
            <w:color w:val="000000"/>
          </w:rPr>
          <w:delText xml:space="preserve"> bekerülni</w:delText>
        </w:r>
        <w:r w:rsidR="008426CA" w:rsidRPr="00183B5F">
          <w:rPr>
            <w:color w:val="000000"/>
          </w:rPr>
          <w:delText>, melyben 40 mg Humira</w:delText>
        </w:r>
        <w:r w:rsidR="008426CA" w:rsidRPr="00183B5F">
          <w:rPr>
            <w:color w:val="000000"/>
          </w:rPr>
          <w:noBreakHyphen/>
          <w:delText xml:space="preserve">t kaptak minden héten. </w:delText>
        </w:r>
        <w:r w:rsidR="005307DD" w:rsidRPr="00183B5F">
          <w:rPr>
            <w:color w:val="000000"/>
          </w:rPr>
          <w:delText xml:space="preserve">Az átlagos expozíció </w:delText>
        </w:r>
        <w:r w:rsidR="006F700B" w:rsidRPr="00183B5F">
          <w:rPr>
            <w:color w:val="000000"/>
          </w:rPr>
          <w:delText>a teljes,</w:delText>
        </w:r>
        <w:r w:rsidR="005307DD" w:rsidRPr="00183B5F">
          <w:rPr>
            <w:color w:val="000000"/>
          </w:rPr>
          <w:delText xml:space="preserve"> adalimumab</w:delText>
        </w:r>
        <w:r w:rsidR="006F700B" w:rsidRPr="00183B5F">
          <w:rPr>
            <w:color w:val="000000"/>
          </w:rPr>
          <w:delText>bal</w:delText>
        </w:r>
        <w:r w:rsidR="005307DD" w:rsidRPr="00183B5F">
          <w:rPr>
            <w:color w:val="000000"/>
          </w:rPr>
          <w:delText xml:space="preserve"> k</w:delText>
        </w:r>
        <w:r w:rsidR="006F700B" w:rsidRPr="00183B5F">
          <w:rPr>
            <w:color w:val="000000"/>
          </w:rPr>
          <w:delText>ezelt</w:delText>
        </w:r>
        <w:r w:rsidR="005307DD" w:rsidRPr="00183B5F">
          <w:rPr>
            <w:color w:val="000000"/>
          </w:rPr>
          <w:delText xml:space="preserve"> populációban 762 nap volt. </w:delText>
        </w:r>
        <w:r w:rsidR="008426CA" w:rsidRPr="00183B5F">
          <w:rPr>
            <w:color w:val="000000"/>
          </w:rPr>
          <w:delText>A 3 vizsgálat alatt a betegek helyi fertőtlenítő lemosót használtak naponta.</w:delText>
        </w:r>
      </w:del>
    </w:p>
    <w:p w14:paraId="6BEE1877" w14:textId="7971DA7E" w:rsidR="008426CA" w:rsidRPr="00183B5F" w:rsidRDefault="008426CA" w:rsidP="004062FE">
      <w:pPr>
        <w:spacing w:line="240" w:lineRule="auto"/>
        <w:rPr>
          <w:del w:id="6730" w:author="AbbVie_HU_03" w:date="2025-05-14T15:27:00Z"/>
          <w:color w:val="000000"/>
        </w:rPr>
      </w:pPr>
    </w:p>
    <w:p w14:paraId="282D7C80" w14:textId="3CC5CF20" w:rsidR="008426CA" w:rsidRPr="00183B5F" w:rsidRDefault="00943743" w:rsidP="004062FE">
      <w:pPr>
        <w:spacing w:line="240" w:lineRule="auto"/>
        <w:rPr>
          <w:del w:id="6731" w:author="AbbVie_HU_03" w:date="2025-05-14T15:27:00Z"/>
          <w:i/>
          <w:color w:val="000000"/>
          <w:u w:val="single"/>
        </w:rPr>
      </w:pPr>
      <w:del w:id="6732" w:author="AbbVie_HU_03" w:date="2025-05-14T15:27:00Z">
        <w:r w:rsidRPr="00183B5F">
          <w:rPr>
            <w:i/>
            <w:color w:val="000000"/>
            <w:u w:val="single"/>
          </w:rPr>
          <w:delText>Klinikai válasz</w:delText>
        </w:r>
      </w:del>
    </w:p>
    <w:p w14:paraId="740E0A4C" w14:textId="0BA7C0B7" w:rsidR="008426CA" w:rsidRPr="00183B5F" w:rsidRDefault="008426CA" w:rsidP="004062FE">
      <w:pPr>
        <w:spacing w:line="240" w:lineRule="auto"/>
        <w:rPr>
          <w:del w:id="6733" w:author="AbbVie_HU_03" w:date="2025-05-14T15:27:00Z"/>
          <w:i/>
          <w:color w:val="000000"/>
          <w:u w:val="single"/>
        </w:rPr>
      </w:pPr>
    </w:p>
    <w:p w14:paraId="59ADF09B" w14:textId="61332924" w:rsidR="003C2988" w:rsidRPr="00183B5F" w:rsidRDefault="00943743" w:rsidP="004062FE">
      <w:pPr>
        <w:spacing w:line="240" w:lineRule="auto"/>
        <w:rPr>
          <w:del w:id="6734" w:author="AbbVie_HU_03" w:date="2025-05-14T15:27:00Z"/>
          <w:color w:val="000000"/>
        </w:rPr>
      </w:pPr>
      <w:del w:id="6735" w:author="AbbVie_HU_03" w:date="2025-05-14T15:27:00Z">
        <w:r w:rsidRPr="00183B5F">
          <w:rPr>
            <w:color w:val="000000"/>
          </w:rPr>
          <w:delText xml:space="preserve">A gyulladásos </w:delText>
        </w:r>
        <w:r w:rsidR="00095590" w:rsidRPr="00183B5F">
          <w:rPr>
            <w:color w:val="000000"/>
          </w:rPr>
          <w:delText>léziók</w:delText>
        </w:r>
        <w:r w:rsidRPr="00183B5F">
          <w:rPr>
            <w:color w:val="000000"/>
          </w:rPr>
          <w:delText xml:space="preserve"> csökkenését és a tályogok és </w:delText>
        </w:r>
        <w:r w:rsidR="00095590" w:rsidRPr="00183B5F">
          <w:rPr>
            <w:color w:val="000000"/>
          </w:rPr>
          <w:delText>váladékozó</w:delText>
        </w:r>
        <w:r w:rsidRPr="00183B5F">
          <w:rPr>
            <w:color w:val="000000"/>
          </w:rPr>
          <w:delText xml:space="preserve"> </w:delText>
        </w:r>
        <w:r w:rsidR="00095590" w:rsidRPr="00183B5F">
          <w:rPr>
            <w:color w:val="000000"/>
          </w:rPr>
          <w:delText>fistulák</w:delText>
        </w:r>
        <w:r w:rsidRPr="00183B5F">
          <w:rPr>
            <w:color w:val="000000"/>
          </w:rPr>
          <w:delText xml:space="preserve"> romlásának megelőzését a Hidradenitis </w:delText>
        </w:r>
        <w:r w:rsidR="00095590" w:rsidRPr="00183B5F">
          <w:rPr>
            <w:color w:val="000000"/>
          </w:rPr>
          <w:delText>s</w:delText>
        </w:r>
        <w:r w:rsidRPr="00183B5F">
          <w:rPr>
            <w:color w:val="000000"/>
          </w:rPr>
          <w:delText xml:space="preserve">uppurativa </w:delText>
        </w:r>
        <w:r w:rsidR="00095590" w:rsidRPr="00183B5F">
          <w:rPr>
            <w:color w:val="000000"/>
          </w:rPr>
          <w:delText>k</w:delText>
        </w:r>
        <w:r w:rsidRPr="00183B5F">
          <w:rPr>
            <w:color w:val="000000"/>
          </w:rPr>
          <w:delText xml:space="preserve">linikai </w:delText>
        </w:r>
        <w:r w:rsidR="00095590" w:rsidRPr="00183B5F">
          <w:rPr>
            <w:color w:val="000000"/>
          </w:rPr>
          <w:delText>v</w:delText>
        </w:r>
        <w:r w:rsidRPr="00183B5F">
          <w:rPr>
            <w:color w:val="000000"/>
          </w:rPr>
          <w:delText>álasszal értékelték (HiSCR</w:delText>
        </w:r>
        <w:r w:rsidR="00095590" w:rsidRPr="00183B5F">
          <w:rPr>
            <w:color w:val="000000"/>
          </w:rPr>
          <w:delText xml:space="preserve"> – </w:delText>
        </w:r>
        <w:r w:rsidR="00095590" w:rsidRPr="00183B5F">
          <w:rPr>
            <w:rFonts w:eastAsia="MS Mincho"/>
            <w:szCs w:val="22"/>
            <w:lang w:eastAsia="ja-JP"/>
          </w:rPr>
          <w:delText>Hidradenitis Suppurativa Clinical Response</w:delText>
        </w:r>
        <w:r w:rsidRPr="00183B5F">
          <w:rPr>
            <w:color w:val="000000"/>
          </w:rPr>
          <w:delText>; az összes tályog és gyulladásos góc számá</w:delText>
        </w:r>
        <w:r w:rsidR="0000030C" w:rsidRPr="00183B5F">
          <w:rPr>
            <w:color w:val="000000"/>
          </w:rPr>
          <w:delText>nak legalább 50%-os csökkenése</w:delText>
        </w:r>
        <w:r w:rsidRPr="00183B5F">
          <w:rPr>
            <w:color w:val="000000"/>
          </w:rPr>
          <w:delText xml:space="preserve">, a tályogok és </w:delText>
        </w:r>
        <w:r w:rsidR="0044523F" w:rsidRPr="00183B5F">
          <w:rPr>
            <w:color w:val="000000"/>
          </w:rPr>
          <w:delText xml:space="preserve">váladékozó fistulák </w:delText>
        </w:r>
        <w:r w:rsidRPr="00183B5F">
          <w:rPr>
            <w:color w:val="000000"/>
          </w:rPr>
          <w:delText>számának növekedése nélkül</w:delText>
        </w:r>
        <w:r w:rsidR="00A56E30" w:rsidRPr="00183B5F">
          <w:rPr>
            <w:color w:val="000000"/>
          </w:rPr>
          <w:delText>,</w:delText>
        </w:r>
        <w:r w:rsidRPr="00183B5F">
          <w:rPr>
            <w:color w:val="000000"/>
          </w:rPr>
          <w:delText xml:space="preserve"> a </w:delText>
        </w:r>
        <w:r w:rsidR="00A56E30" w:rsidRPr="00183B5F">
          <w:rPr>
            <w:color w:val="000000"/>
          </w:rPr>
          <w:delText>vizsgálat megkezdéséhez</w:delText>
        </w:r>
        <w:r w:rsidRPr="00183B5F">
          <w:rPr>
            <w:color w:val="000000"/>
          </w:rPr>
          <w:delText xml:space="preserve"> képest). A HS</w:delText>
        </w:r>
        <w:r w:rsidRPr="00183B5F">
          <w:rPr>
            <w:color w:val="000000"/>
          </w:rPr>
          <w:noBreakHyphen/>
          <w:delText xml:space="preserve">sel összefüggő bőrfájdalom csökkenését egy numerikus skála segítségével értékelték azoknál a betegeknél, akik </w:delText>
        </w:r>
        <w:r w:rsidR="0047618A" w:rsidRPr="00183B5F">
          <w:rPr>
            <w:color w:val="000000"/>
          </w:rPr>
          <w:delText>a</w:delText>
        </w:r>
        <w:r w:rsidRPr="00183B5F">
          <w:rPr>
            <w:color w:val="000000"/>
          </w:rPr>
          <w:delText xml:space="preserve"> 11 pontos skálán 3 vagy </w:delText>
        </w:r>
        <w:r w:rsidR="00FA1AFA" w:rsidRPr="00183B5F">
          <w:rPr>
            <w:color w:val="000000"/>
          </w:rPr>
          <w:delText>magasabb</w:delText>
        </w:r>
        <w:r w:rsidRPr="00183B5F">
          <w:rPr>
            <w:color w:val="000000"/>
          </w:rPr>
          <w:delText xml:space="preserve"> </w:delText>
        </w:r>
        <w:r w:rsidR="00FA1AFA" w:rsidRPr="00183B5F">
          <w:rPr>
            <w:color w:val="000000"/>
          </w:rPr>
          <w:delText>kiindulási pontszámmal</w:delText>
        </w:r>
        <w:r w:rsidRPr="00183B5F">
          <w:rPr>
            <w:color w:val="000000"/>
          </w:rPr>
          <w:delText xml:space="preserve"> </w:delText>
        </w:r>
        <w:r w:rsidR="00FA1AFA" w:rsidRPr="00183B5F">
          <w:rPr>
            <w:color w:val="000000"/>
          </w:rPr>
          <w:delText>léptek be</w:delText>
        </w:r>
        <w:r w:rsidRPr="00183B5F">
          <w:rPr>
            <w:color w:val="000000"/>
          </w:rPr>
          <w:delText xml:space="preserve"> a </w:delText>
        </w:r>
        <w:r w:rsidR="008F24D8" w:rsidRPr="00183B5F">
          <w:rPr>
            <w:color w:val="000000"/>
          </w:rPr>
          <w:delText>vizsgálat</w:delText>
        </w:r>
        <w:r w:rsidR="00FA1AFA" w:rsidRPr="00183B5F">
          <w:rPr>
            <w:color w:val="000000"/>
          </w:rPr>
          <w:delText>ba</w:delText>
        </w:r>
        <w:r w:rsidRPr="00183B5F">
          <w:rPr>
            <w:color w:val="000000"/>
          </w:rPr>
          <w:delText>.</w:delText>
        </w:r>
      </w:del>
    </w:p>
    <w:p w14:paraId="00F452D6" w14:textId="02BE2BCA" w:rsidR="003C2988" w:rsidRPr="00183B5F" w:rsidRDefault="003C2988" w:rsidP="004062FE">
      <w:pPr>
        <w:spacing w:line="240" w:lineRule="auto"/>
        <w:rPr>
          <w:del w:id="6736" w:author="AbbVie_HU_03" w:date="2025-05-14T15:27:00Z"/>
          <w:color w:val="000000"/>
        </w:rPr>
      </w:pPr>
    </w:p>
    <w:p w14:paraId="381A9E21" w14:textId="3016D1E4" w:rsidR="003C2988" w:rsidRPr="00183B5F" w:rsidRDefault="00943743" w:rsidP="004062FE">
      <w:pPr>
        <w:spacing w:line="240" w:lineRule="auto"/>
        <w:rPr>
          <w:del w:id="6737" w:author="AbbVie_HU_03" w:date="2025-05-14T15:27:00Z"/>
          <w:color w:val="000000"/>
        </w:rPr>
      </w:pPr>
      <w:del w:id="6738" w:author="AbbVie_HU_03" w:date="2025-05-14T15:27:00Z">
        <w:r w:rsidRPr="00183B5F">
          <w:rPr>
            <w:color w:val="000000"/>
          </w:rPr>
          <w:delText xml:space="preserve">A 12. héten jelentősen nagyobb volt az aránya </w:delText>
        </w:r>
        <w:r w:rsidR="008F24D8" w:rsidRPr="00183B5F">
          <w:rPr>
            <w:color w:val="000000"/>
          </w:rPr>
          <w:delText>azoknak a</w:delText>
        </w:r>
        <w:r w:rsidRPr="00183B5F">
          <w:rPr>
            <w:color w:val="000000"/>
          </w:rPr>
          <w:delText xml:space="preserve"> Humira</w:delText>
        </w:r>
        <w:r w:rsidRPr="00183B5F">
          <w:rPr>
            <w:color w:val="000000"/>
          </w:rPr>
          <w:noBreakHyphen/>
        </w:r>
        <w:r w:rsidRPr="00183B5F">
          <w:rPr>
            <w:color w:val="000000"/>
          </w:rPr>
          <w:delText>val kezelt betegeknek</w:delText>
        </w:r>
        <w:r w:rsidR="008F24D8" w:rsidRPr="00183B5F">
          <w:rPr>
            <w:color w:val="000000"/>
          </w:rPr>
          <w:delText xml:space="preserve"> a placebót kapó betegekhez képest</w:delText>
        </w:r>
        <w:r w:rsidRPr="00183B5F">
          <w:rPr>
            <w:color w:val="000000"/>
          </w:rPr>
          <w:delText>, akik elérték a HiSCR-t. A 12. héten a HS</w:delText>
        </w:r>
        <w:r w:rsidRPr="00183B5F">
          <w:rPr>
            <w:color w:val="000000"/>
          </w:rPr>
          <w:noBreakHyphen/>
          <w:delText>II vizsgálatban résztvevő betegek jelentősen nagyobb arány</w:delText>
        </w:r>
        <w:r w:rsidR="000A52B3" w:rsidRPr="00183B5F">
          <w:rPr>
            <w:color w:val="000000"/>
          </w:rPr>
          <w:delText>ánál</w:delText>
        </w:r>
        <w:r w:rsidRPr="00183B5F">
          <w:rPr>
            <w:color w:val="000000"/>
          </w:rPr>
          <w:delText xml:space="preserve"> tapasztalt</w:delText>
        </w:r>
        <w:r w:rsidR="001C266C" w:rsidRPr="00183B5F">
          <w:rPr>
            <w:color w:val="000000"/>
          </w:rPr>
          <w:delText>á</w:delText>
        </w:r>
        <w:r w:rsidRPr="00183B5F">
          <w:rPr>
            <w:color w:val="000000"/>
          </w:rPr>
          <w:delText>k</w:delText>
        </w:r>
        <w:r w:rsidR="00567AF6" w:rsidRPr="00183B5F">
          <w:rPr>
            <w:color w:val="000000"/>
          </w:rPr>
          <w:delText xml:space="preserve"> </w:delText>
        </w:r>
        <w:r w:rsidR="001C266C" w:rsidRPr="00183B5F">
          <w:rPr>
            <w:color w:val="000000"/>
          </w:rPr>
          <w:delText xml:space="preserve">a HS-sel összefüggő bőrfájdalom </w:delText>
        </w:r>
        <w:r w:rsidR="00567AF6" w:rsidRPr="00183B5F">
          <w:rPr>
            <w:color w:val="000000"/>
          </w:rPr>
          <w:delText>klinikailag jelentős csökkenés</w:delText>
        </w:r>
        <w:r w:rsidR="001C266C" w:rsidRPr="00183B5F">
          <w:rPr>
            <w:color w:val="000000"/>
          </w:rPr>
          <w:delText>é</w:delText>
        </w:r>
        <w:r w:rsidR="00567AF6" w:rsidRPr="00183B5F">
          <w:rPr>
            <w:color w:val="000000"/>
          </w:rPr>
          <w:delText xml:space="preserve">t (lásd </w:delText>
        </w:r>
        <w:r w:rsidR="0039729B" w:rsidRPr="00183B5F">
          <w:rPr>
            <w:color w:val="000000"/>
          </w:rPr>
          <w:delText>19</w:delText>
        </w:r>
        <w:r w:rsidR="00567AF6" w:rsidRPr="00183B5F">
          <w:rPr>
            <w:color w:val="000000"/>
          </w:rPr>
          <w:delText>. táblázat). A Humira</w:delText>
        </w:r>
        <w:r w:rsidR="00567AF6" w:rsidRPr="00183B5F">
          <w:rPr>
            <w:color w:val="000000"/>
          </w:rPr>
          <w:noBreakHyphen/>
          <w:delText xml:space="preserve">val kezelt betegeknél </w:delText>
        </w:r>
        <w:r w:rsidR="005A026A" w:rsidRPr="00183B5F">
          <w:rPr>
            <w:color w:val="000000"/>
          </w:rPr>
          <w:delText xml:space="preserve">a kezelés első 12 hete alatt </w:delText>
        </w:r>
        <w:r w:rsidR="00567AF6" w:rsidRPr="00183B5F">
          <w:rPr>
            <w:color w:val="000000"/>
          </w:rPr>
          <w:delText>jelentősen lecsökkent a betegség kiújulásá</w:delText>
        </w:r>
        <w:r w:rsidR="005A026A" w:rsidRPr="00183B5F">
          <w:rPr>
            <w:color w:val="000000"/>
          </w:rPr>
          <w:delText>nak kockázata</w:delText>
        </w:r>
        <w:r w:rsidR="00567AF6" w:rsidRPr="00183B5F">
          <w:rPr>
            <w:color w:val="000000"/>
          </w:rPr>
          <w:delText>.</w:delText>
        </w:r>
      </w:del>
    </w:p>
    <w:p w14:paraId="70312F47" w14:textId="767ED8B7" w:rsidR="00567AF6" w:rsidRPr="00183B5F" w:rsidRDefault="00567AF6" w:rsidP="004062FE">
      <w:pPr>
        <w:spacing w:line="240" w:lineRule="auto"/>
        <w:rPr>
          <w:del w:id="6739" w:author="AbbVie_HU_03" w:date="2025-05-14T15:27:00Z"/>
          <w:color w:val="000000"/>
        </w:rPr>
      </w:pPr>
    </w:p>
    <w:p w14:paraId="29EFB38D" w14:textId="406C4FF0" w:rsidR="008426CA" w:rsidRPr="00183B5F" w:rsidRDefault="00943743" w:rsidP="00FE0197">
      <w:pPr>
        <w:keepNext/>
        <w:spacing w:line="240" w:lineRule="auto"/>
        <w:jc w:val="center"/>
        <w:rPr>
          <w:del w:id="6740" w:author="AbbVie_HU_03" w:date="2025-05-14T15:27:00Z"/>
          <w:b/>
          <w:color w:val="000000"/>
        </w:rPr>
      </w:pPr>
      <w:del w:id="6741" w:author="AbbVie_HU_03" w:date="2025-05-14T15:27:00Z">
        <w:r w:rsidRPr="00183B5F">
          <w:rPr>
            <w:b/>
            <w:color w:val="000000"/>
          </w:rPr>
          <w:delText>19</w:delText>
        </w:r>
        <w:r w:rsidR="00567AF6" w:rsidRPr="00183B5F">
          <w:rPr>
            <w:b/>
            <w:color w:val="000000"/>
          </w:rPr>
          <w:delText xml:space="preserve">. táblázat: Hatékonysági </w:delText>
        </w:r>
        <w:r w:rsidR="0044523F" w:rsidRPr="00183B5F">
          <w:rPr>
            <w:b/>
            <w:color w:val="000000"/>
          </w:rPr>
          <w:delText xml:space="preserve">eredmények </w:delText>
        </w:r>
        <w:r w:rsidR="00567AF6" w:rsidRPr="00183B5F">
          <w:rPr>
            <w:b/>
            <w:color w:val="000000"/>
          </w:rPr>
          <w:delText>a 12. </w:delText>
        </w:r>
        <w:r w:rsidR="0047618A" w:rsidRPr="00183B5F">
          <w:rPr>
            <w:b/>
            <w:color w:val="000000"/>
          </w:rPr>
          <w:delText>h</w:delText>
        </w:r>
        <w:r w:rsidR="00567AF6" w:rsidRPr="00183B5F">
          <w:rPr>
            <w:b/>
            <w:color w:val="000000"/>
          </w:rPr>
          <w:delText>éten, HS</w:delText>
        </w:r>
        <w:r w:rsidR="0047618A" w:rsidRPr="00183B5F">
          <w:rPr>
            <w:b/>
            <w:color w:val="000000"/>
          </w:rPr>
          <w:noBreakHyphen/>
        </w:r>
        <w:r w:rsidR="00567AF6" w:rsidRPr="00183B5F">
          <w:rPr>
            <w:b/>
            <w:color w:val="000000"/>
          </w:rPr>
          <w:delText>I és II vizsgálat</w:delText>
        </w:r>
      </w:del>
    </w:p>
    <w:p w14:paraId="6BC7EC55" w14:textId="164386A7" w:rsidR="00567AF6" w:rsidRPr="00183B5F" w:rsidRDefault="00567AF6" w:rsidP="00FE0197">
      <w:pPr>
        <w:keepNext/>
        <w:spacing w:line="240" w:lineRule="auto"/>
        <w:jc w:val="center"/>
        <w:rPr>
          <w:del w:id="6742" w:author="AbbVie_HU_03" w:date="2025-05-14T15:27:00Z"/>
          <w:b/>
          <w:color w:val="000000"/>
        </w:rPr>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011D2F" w14:paraId="5F41549F" w14:textId="55D441FF" w:rsidTr="00567AF6">
        <w:trPr>
          <w:jc w:val="center"/>
          <w:del w:id="6743" w:author="AbbVie_HU_03" w:date="2025-05-14T15:27:00Z"/>
        </w:trPr>
        <w:tc>
          <w:tcPr>
            <w:tcW w:w="2847" w:type="dxa"/>
            <w:vMerge w:val="restart"/>
            <w:tcMar>
              <w:top w:w="0" w:type="dxa"/>
              <w:left w:w="115" w:type="dxa"/>
              <w:bottom w:w="0" w:type="dxa"/>
              <w:right w:w="115" w:type="dxa"/>
            </w:tcMar>
            <w:vAlign w:val="bottom"/>
          </w:tcPr>
          <w:p w14:paraId="6FC256FC" w14:textId="37916DB0" w:rsidR="00567AF6" w:rsidRPr="00183B5F" w:rsidRDefault="00567AF6" w:rsidP="00FE0197">
            <w:pPr>
              <w:keepNext/>
              <w:widowControl w:val="0"/>
              <w:spacing w:line="240" w:lineRule="auto"/>
              <w:rPr>
                <w:del w:id="6744" w:author="AbbVie_HU_03" w:date="2025-05-14T15:27:00Z"/>
                <w:b/>
              </w:rPr>
            </w:pPr>
          </w:p>
        </w:tc>
        <w:tc>
          <w:tcPr>
            <w:tcW w:w="3186" w:type="dxa"/>
            <w:gridSpan w:val="2"/>
            <w:tcMar>
              <w:top w:w="0" w:type="dxa"/>
              <w:left w:w="115" w:type="dxa"/>
              <w:bottom w:w="0" w:type="dxa"/>
              <w:right w:w="115" w:type="dxa"/>
            </w:tcMar>
            <w:vAlign w:val="bottom"/>
          </w:tcPr>
          <w:p w14:paraId="0D900726" w14:textId="788F7935" w:rsidR="00567AF6" w:rsidRPr="00183B5F" w:rsidRDefault="00943743" w:rsidP="00FE0197">
            <w:pPr>
              <w:keepNext/>
              <w:widowControl w:val="0"/>
              <w:spacing w:line="240" w:lineRule="auto"/>
              <w:jc w:val="center"/>
              <w:rPr>
                <w:del w:id="6745" w:author="AbbVie_HU_03" w:date="2025-05-14T15:27:00Z"/>
                <w:b/>
                <w:bCs/>
              </w:rPr>
            </w:pPr>
            <w:del w:id="6746" w:author="AbbVie_HU_03" w:date="2025-05-14T15:27:00Z">
              <w:r w:rsidRPr="00183B5F">
                <w:rPr>
                  <w:b/>
                  <w:bCs/>
                </w:rPr>
                <w:delText>HS</w:delText>
              </w:r>
              <w:r w:rsidR="0047618A" w:rsidRPr="00183B5F">
                <w:rPr>
                  <w:b/>
                  <w:bCs/>
                </w:rPr>
                <w:noBreakHyphen/>
              </w:r>
              <w:r w:rsidRPr="00183B5F">
                <w:rPr>
                  <w:b/>
                  <w:bCs/>
                </w:rPr>
                <w:delText>I vizsgálat</w:delText>
              </w:r>
            </w:del>
          </w:p>
        </w:tc>
        <w:tc>
          <w:tcPr>
            <w:tcW w:w="3260" w:type="dxa"/>
            <w:gridSpan w:val="2"/>
            <w:tcMar>
              <w:top w:w="0" w:type="dxa"/>
              <w:left w:w="115" w:type="dxa"/>
              <w:bottom w:w="0" w:type="dxa"/>
              <w:right w:w="115" w:type="dxa"/>
            </w:tcMar>
            <w:vAlign w:val="bottom"/>
          </w:tcPr>
          <w:p w14:paraId="696EEB2F" w14:textId="4B13E8BC" w:rsidR="00567AF6" w:rsidRPr="00183B5F" w:rsidRDefault="00943743" w:rsidP="00FE0197">
            <w:pPr>
              <w:keepNext/>
              <w:widowControl w:val="0"/>
              <w:spacing w:line="240" w:lineRule="auto"/>
              <w:jc w:val="center"/>
              <w:rPr>
                <w:del w:id="6747" w:author="AbbVie_HU_03" w:date="2025-05-14T15:27:00Z"/>
                <w:b/>
                <w:bCs/>
              </w:rPr>
            </w:pPr>
            <w:del w:id="6748" w:author="AbbVie_HU_03" w:date="2025-05-14T15:27:00Z">
              <w:r w:rsidRPr="00183B5F">
                <w:rPr>
                  <w:b/>
                  <w:bCs/>
                </w:rPr>
                <w:delText>HS</w:delText>
              </w:r>
              <w:r w:rsidR="0047618A" w:rsidRPr="00183B5F">
                <w:rPr>
                  <w:b/>
                  <w:bCs/>
                </w:rPr>
                <w:noBreakHyphen/>
              </w:r>
              <w:r w:rsidRPr="00183B5F">
                <w:rPr>
                  <w:b/>
                  <w:bCs/>
                </w:rPr>
                <w:delText>II vizsgálat</w:delText>
              </w:r>
            </w:del>
          </w:p>
        </w:tc>
      </w:tr>
      <w:tr w:rsidR="00011D2F" w14:paraId="78063801" w14:textId="28746709" w:rsidTr="00567AF6">
        <w:trPr>
          <w:jc w:val="center"/>
          <w:del w:id="6749" w:author="AbbVie_HU_03" w:date="2025-05-14T15:27:00Z"/>
        </w:trPr>
        <w:tc>
          <w:tcPr>
            <w:tcW w:w="2847" w:type="dxa"/>
            <w:vMerge/>
            <w:tcMar>
              <w:top w:w="0" w:type="dxa"/>
              <w:left w:w="115" w:type="dxa"/>
              <w:bottom w:w="0" w:type="dxa"/>
              <w:right w:w="115" w:type="dxa"/>
            </w:tcMar>
            <w:vAlign w:val="center"/>
            <w:hideMark/>
          </w:tcPr>
          <w:p w14:paraId="68583CD6" w14:textId="4AF4BB56" w:rsidR="00567AF6" w:rsidRPr="00183B5F" w:rsidRDefault="00567AF6" w:rsidP="00FE0197">
            <w:pPr>
              <w:keepNext/>
              <w:widowControl w:val="0"/>
              <w:spacing w:line="240" w:lineRule="auto"/>
              <w:rPr>
                <w:del w:id="6750" w:author="AbbVie_HU_03" w:date="2025-05-14T15:27:00Z"/>
              </w:rPr>
            </w:pPr>
          </w:p>
        </w:tc>
        <w:tc>
          <w:tcPr>
            <w:tcW w:w="1440" w:type="dxa"/>
            <w:tcMar>
              <w:top w:w="0" w:type="dxa"/>
              <w:left w:w="115" w:type="dxa"/>
              <w:bottom w:w="0" w:type="dxa"/>
              <w:right w:w="115" w:type="dxa"/>
            </w:tcMar>
            <w:vAlign w:val="bottom"/>
            <w:hideMark/>
          </w:tcPr>
          <w:p w14:paraId="1C22DF39" w14:textId="54EC596F" w:rsidR="00567AF6" w:rsidRPr="00183B5F" w:rsidRDefault="00943743" w:rsidP="00FE0197">
            <w:pPr>
              <w:keepNext/>
              <w:widowControl w:val="0"/>
              <w:spacing w:line="240" w:lineRule="auto"/>
              <w:jc w:val="center"/>
              <w:rPr>
                <w:del w:id="6751" w:author="AbbVie_HU_03" w:date="2025-05-14T15:27:00Z"/>
              </w:rPr>
            </w:pPr>
            <w:del w:id="6752" w:author="AbbVie_HU_03" w:date="2025-05-14T15:27:00Z">
              <w:r w:rsidRPr="00183B5F">
                <w:rPr>
                  <w:b/>
                  <w:bCs/>
                </w:rPr>
                <w:delText>Placebo</w:delText>
              </w:r>
            </w:del>
          </w:p>
        </w:tc>
        <w:tc>
          <w:tcPr>
            <w:tcW w:w="1746" w:type="dxa"/>
            <w:tcMar>
              <w:top w:w="0" w:type="dxa"/>
              <w:left w:w="115" w:type="dxa"/>
              <w:bottom w:w="0" w:type="dxa"/>
              <w:right w:w="115" w:type="dxa"/>
            </w:tcMar>
            <w:vAlign w:val="bottom"/>
            <w:hideMark/>
          </w:tcPr>
          <w:p w14:paraId="00DA3C64" w14:textId="34D6DEC0" w:rsidR="00567AF6" w:rsidRPr="00183B5F" w:rsidRDefault="00943743" w:rsidP="00FE0197">
            <w:pPr>
              <w:keepNext/>
              <w:widowControl w:val="0"/>
              <w:spacing w:line="240" w:lineRule="auto"/>
              <w:jc w:val="center"/>
              <w:rPr>
                <w:del w:id="6753" w:author="AbbVie_HU_03" w:date="2025-05-14T15:27:00Z"/>
                <w:b/>
                <w:bCs/>
              </w:rPr>
            </w:pPr>
            <w:del w:id="6754" w:author="AbbVie_HU_03" w:date="2025-05-14T15:27:00Z">
              <w:r w:rsidRPr="00183B5F">
                <w:rPr>
                  <w:b/>
                  <w:bCs/>
                </w:rPr>
                <w:delText>Humira 40</w:delText>
              </w:r>
              <w:r w:rsidR="009D5AC1" w:rsidRPr="00183B5F">
                <w:rPr>
                  <w:b/>
                  <w:bCs/>
                </w:rPr>
                <w:delText> </w:delText>
              </w:r>
              <w:r w:rsidRPr="00183B5F">
                <w:rPr>
                  <w:b/>
                  <w:bCs/>
                </w:rPr>
                <w:delText xml:space="preserve">mg </w:delText>
              </w:r>
              <w:r w:rsidR="007F1C6B" w:rsidRPr="00183B5F">
                <w:rPr>
                  <w:b/>
                  <w:bCs/>
                </w:rPr>
                <w:delText>h</w:delText>
              </w:r>
              <w:r w:rsidRPr="00183B5F">
                <w:rPr>
                  <w:b/>
                  <w:bCs/>
                </w:rPr>
                <w:delText>etente</w:delText>
              </w:r>
            </w:del>
          </w:p>
        </w:tc>
        <w:tc>
          <w:tcPr>
            <w:tcW w:w="1404" w:type="dxa"/>
            <w:tcMar>
              <w:top w:w="0" w:type="dxa"/>
              <w:left w:w="115" w:type="dxa"/>
              <w:bottom w:w="0" w:type="dxa"/>
              <w:right w:w="115" w:type="dxa"/>
            </w:tcMar>
            <w:vAlign w:val="bottom"/>
            <w:hideMark/>
          </w:tcPr>
          <w:p w14:paraId="4F4B8206" w14:textId="66349203" w:rsidR="00567AF6" w:rsidRPr="00183B5F" w:rsidRDefault="00943743" w:rsidP="00FE0197">
            <w:pPr>
              <w:keepNext/>
              <w:widowControl w:val="0"/>
              <w:spacing w:line="240" w:lineRule="auto"/>
              <w:jc w:val="center"/>
              <w:rPr>
                <w:del w:id="6755" w:author="AbbVie_HU_03" w:date="2025-05-14T15:27:00Z"/>
                <w:b/>
                <w:bCs/>
              </w:rPr>
            </w:pPr>
            <w:del w:id="6756" w:author="AbbVie_HU_03" w:date="2025-05-14T15:27:00Z">
              <w:r w:rsidRPr="00183B5F">
                <w:rPr>
                  <w:b/>
                  <w:bCs/>
                </w:rPr>
                <w:delText xml:space="preserve">Placebo </w:delText>
              </w:r>
            </w:del>
          </w:p>
        </w:tc>
        <w:tc>
          <w:tcPr>
            <w:tcW w:w="1856" w:type="dxa"/>
            <w:tcMar>
              <w:top w:w="0" w:type="dxa"/>
              <w:left w:w="115" w:type="dxa"/>
              <w:bottom w:w="0" w:type="dxa"/>
              <w:right w:w="115" w:type="dxa"/>
            </w:tcMar>
            <w:vAlign w:val="bottom"/>
            <w:hideMark/>
          </w:tcPr>
          <w:p w14:paraId="1EC7F4C7" w14:textId="44AFD468" w:rsidR="00567AF6" w:rsidRPr="00183B5F" w:rsidRDefault="00943743" w:rsidP="00FE0197">
            <w:pPr>
              <w:keepNext/>
              <w:widowControl w:val="0"/>
              <w:spacing w:line="240" w:lineRule="auto"/>
              <w:jc w:val="center"/>
              <w:rPr>
                <w:del w:id="6757" w:author="AbbVie_HU_03" w:date="2025-05-14T15:27:00Z"/>
                <w:b/>
                <w:bCs/>
              </w:rPr>
            </w:pPr>
            <w:del w:id="6758" w:author="AbbVie_HU_03" w:date="2025-05-14T15:27:00Z">
              <w:r w:rsidRPr="00183B5F">
                <w:rPr>
                  <w:b/>
                  <w:bCs/>
                </w:rPr>
                <w:delText>Humira 40</w:delText>
              </w:r>
              <w:r w:rsidR="009D5AC1" w:rsidRPr="00183B5F">
                <w:rPr>
                  <w:b/>
                  <w:bCs/>
                </w:rPr>
                <w:delText> </w:delText>
              </w:r>
              <w:r w:rsidRPr="00183B5F">
                <w:rPr>
                  <w:b/>
                  <w:bCs/>
                </w:rPr>
                <w:delText xml:space="preserve">mg </w:delText>
              </w:r>
              <w:r w:rsidR="007F1C6B" w:rsidRPr="00183B5F">
                <w:rPr>
                  <w:b/>
                  <w:bCs/>
                </w:rPr>
                <w:delText>h</w:delText>
              </w:r>
              <w:r w:rsidRPr="00183B5F">
                <w:rPr>
                  <w:b/>
                  <w:bCs/>
                </w:rPr>
                <w:delText>etente</w:delText>
              </w:r>
            </w:del>
          </w:p>
        </w:tc>
      </w:tr>
      <w:tr w:rsidR="00011D2F" w14:paraId="1C12FA03" w14:textId="6809D748" w:rsidTr="00567AF6">
        <w:trPr>
          <w:trHeight w:val="755"/>
          <w:jc w:val="center"/>
          <w:del w:id="6759" w:author="AbbVie_HU_03" w:date="2025-05-14T15:27:00Z"/>
        </w:trPr>
        <w:tc>
          <w:tcPr>
            <w:tcW w:w="2847" w:type="dxa"/>
            <w:tcMar>
              <w:top w:w="0" w:type="dxa"/>
              <w:left w:w="115" w:type="dxa"/>
              <w:bottom w:w="0" w:type="dxa"/>
              <w:right w:w="115" w:type="dxa"/>
            </w:tcMar>
            <w:vAlign w:val="center"/>
            <w:hideMark/>
          </w:tcPr>
          <w:p w14:paraId="219F63AB" w14:textId="13DC3B06" w:rsidR="00567AF6" w:rsidRPr="00183B5F" w:rsidRDefault="00943743" w:rsidP="00FE0197">
            <w:pPr>
              <w:keepNext/>
              <w:widowControl w:val="0"/>
              <w:spacing w:line="240" w:lineRule="auto"/>
              <w:rPr>
                <w:del w:id="6760" w:author="AbbVie_HU_03" w:date="2025-05-14T15:27:00Z"/>
              </w:rPr>
            </w:pPr>
            <w:del w:id="6761" w:author="AbbVie_HU_03" w:date="2025-05-14T15:27:00Z">
              <w:r w:rsidRPr="00183B5F">
                <w:delText xml:space="preserve">Hidradenitis </w:delText>
              </w:r>
              <w:r w:rsidR="0044523F" w:rsidRPr="00183B5F">
                <w:delText>s</w:delText>
              </w:r>
              <w:r w:rsidRPr="00183B5F">
                <w:delText xml:space="preserve">uppurativa </w:delText>
              </w:r>
              <w:r w:rsidR="0044523F" w:rsidRPr="00183B5F">
                <w:delText>k</w:delText>
              </w:r>
              <w:r w:rsidRPr="00183B5F">
                <w:delText xml:space="preserve">linikai </w:delText>
              </w:r>
              <w:r w:rsidR="0047618A" w:rsidRPr="00183B5F">
                <w:delText>v</w:delText>
              </w:r>
              <w:r w:rsidRPr="00183B5F">
                <w:delText>álasz (HiSCR)</w:delText>
              </w:r>
              <w:r w:rsidRPr="00183B5F">
                <w:rPr>
                  <w:vertAlign w:val="superscript"/>
                </w:rPr>
                <w:delText>a</w:delText>
              </w:r>
              <w:r w:rsidRPr="00183B5F">
                <w:delText xml:space="preserve"> </w:delText>
              </w:r>
            </w:del>
          </w:p>
          <w:p w14:paraId="7ABF60C6" w14:textId="02D10909" w:rsidR="00567AF6" w:rsidRPr="00183B5F" w:rsidRDefault="00567AF6" w:rsidP="00FE0197">
            <w:pPr>
              <w:keepNext/>
              <w:widowControl w:val="0"/>
              <w:spacing w:line="240" w:lineRule="auto"/>
              <w:rPr>
                <w:del w:id="6762" w:author="AbbVie_HU_03" w:date="2025-05-14T15:27:00Z"/>
              </w:rPr>
            </w:pPr>
          </w:p>
        </w:tc>
        <w:tc>
          <w:tcPr>
            <w:tcW w:w="1440" w:type="dxa"/>
            <w:tcMar>
              <w:top w:w="0" w:type="dxa"/>
              <w:left w:w="115" w:type="dxa"/>
              <w:bottom w:w="0" w:type="dxa"/>
              <w:right w:w="115" w:type="dxa"/>
            </w:tcMar>
            <w:hideMark/>
          </w:tcPr>
          <w:p w14:paraId="1AF07AFA" w14:textId="04794FAD" w:rsidR="00567AF6" w:rsidRPr="00183B5F" w:rsidRDefault="00943743" w:rsidP="00FE0197">
            <w:pPr>
              <w:keepNext/>
              <w:widowControl w:val="0"/>
              <w:spacing w:line="240" w:lineRule="auto"/>
              <w:jc w:val="center"/>
              <w:rPr>
                <w:del w:id="6763" w:author="AbbVie_HU_03" w:date="2025-05-14T15:27:00Z"/>
              </w:rPr>
            </w:pPr>
            <w:del w:id="6764" w:author="AbbVie_HU_03" w:date="2025-05-14T15:27:00Z">
              <w:r w:rsidRPr="00183B5F">
                <w:delText>N</w:delText>
              </w:r>
              <w:r w:rsidR="009D5AC1" w:rsidRPr="00183B5F">
                <w:delText> </w:delText>
              </w:r>
              <w:r w:rsidRPr="00183B5F">
                <w:delText>=</w:delText>
              </w:r>
              <w:r w:rsidR="009D5AC1" w:rsidRPr="00183B5F">
                <w:delText> </w:delText>
              </w:r>
              <w:r w:rsidRPr="00183B5F">
                <w:delText>154</w:delText>
              </w:r>
              <w:r w:rsidRPr="00183B5F">
                <w:br/>
                <w:delText>40 (26,0%)</w:delText>
              </w:r>
            </w:del>
          </w:p>
        </w:tc>
        <w:tc>
          <w:tcPr>
            <w:tcW w:w="1746" w:type="dxa"/>
            <w:tcMar>
              <w:top w:w="0" w:type="dxa"/>
              <w:left w:w="115" w:type="dxa"/>
              <w:bottom w:w="0" w:type="dxa"/>
              <w:right w:w="115" w:type="dxa"/>
            </w:tcMar>
            <w:hideMark/>
          </w:tcPr>
          <w:p w14:paraId="16AA83CB" w14:textId="284779C8" w:rsidR="00567AF6" w:rsidRPr="00183B5F" w:rsidRDefault="00943743" w:rsidP="00FE0197">
            <w:pPr>
              <w:keepNext/>
              <w:widowControl w:val="0"/>
              <w:spacing w:line="240" w:lineRule="auto"/>
              <w:jc w:val="center"/>
              <w:rPr>
                <w:del w:id="6765" w:author="AbbVie_HU_03" w:date="2025-05-14T15:27:00Z"/>
              </w:rPr>
            </w:pPr>
            <w:del w:id="6766" w:author="AbbVie_HU_03" w:date="2025-05-14T15:27:00Z">
              <w:r w:rsidRPr="00183B5F">
                <w:delText>N</w:delText>
              </w:r>
              <w:r w:rsidR="009D5AC1" w:rsidRPr="00183B5F">
                <w:delText> </w:delText>
              </w:r>
              <w:r w:rsidRPr="00183B5F">
                <w:delText>=</w:delText>
              </w:r>
              <w:r w:rsidR="009D5AC1" w:rsidRPr="00183B5F">
                <w:delText> </w:delText>
              </w:r>
              <w:r w:rsidRPr="00183B5F">
                <w:delText>153</w:delText>
              </w:r>
              <w:r w:rsidRPr="00183B5F">
                <w:br/>
                <w:delText xml:space="preserve">64 (41,8%) </w:delText>
              </w:r>
              <w:r w:rsidRPr="00183B5F">
                <w:rPr>
                  <w:vertAlign w:val="superscript"/>
                </w:rPr>
                <w:delText>*</w:delText>
              </w:r>
            </w:del>
          </w:p>
        </w:tc>
        <w:tc>
          <w:tcPr>
            <w:tcW w:w="1404" w:type="dxa"/>
            <w:tcMar>
              <w:top w:w="0" w:type="dxa"/>
              <w:left w:w="115" w:type="dxa"/>
              <w:bottom w:w="0" w:type="dxa"/>
              <w:right w:w="115" w:type="dxa"/>
            </w:tcMar>
          </w:tcPr>
          <w:p w14:paraId="268EB45A" w14:textId="323D7419" w:rsidR="00567AF6" w:rsidRPr="00183B5F" w:rsidRDefault="00943743" w:rsidP="00FE0197">
            <w:pPr>
              <w:keepNext/>
              <w:widowControl w:val="0"/>
              <w:spacing w:line="240" w:lineRule="auto"/>
              <w:jc w:val="center"/>
              <w:rPr>
                <w:del w:id="6767" w:author="AbbVie_HU_03" w:date="2025-05-14T15:27:00Z"/>
              </w:rPr>
            </w:pPr>
            <w:del w:id="6768" w:author="AbbVie_HU_03" w:date="2025-05-14T15:27:00Z">
              <w:r w:rsidRPr="00183B5F">
                <w:delText>N</w:delText>
              </w:r>
              <w:r w:rsidR="003F64BC" w:rsidRPr="00183B5F">
                <w:delText> </w:delText>
              </w:r>
              <w:r w:rsidRPr="00183B5F">
                <w:delText>=</w:delText>
              </w:r>
              <w:r w:rsidR="003F64BC" w:rsidRPr="00183B5F">
                <w:delText> </w:delText>
              </w:r>
              <w:r w:rsidRPr="00183B5F">
                <w:delText>163</w:delText>
              </w:r>
            </w:del>
          </w:p>
          <w:p w14:paraId="4BA99D9D" w14:textId="445DB363" w:rsidR="00567AF6" w:rsidRPr="00183B5F" w:rsidRDefault="00943743" w:rsidP="00FE0197">
            <w:pPr>
              <w:keepNext/>
              <w:widowControl w:val="0"/>
              <w:spacing w:line="240" w:lineRule="auto"/>
              <w:jc w:val="center"/>
              <w:rPr>
                <w:del w:id="6769" w:author="AbbVie_HU_03" w:date="2025-05-14T15:27:00Z"/>
              </w:rPr>
            </w:pPr>
            <w:del w:id="6770" w:author="AbbVie_HU_03" w:date="2025-05-14T15:27:00Z">
              <w:r w:rsidRPr="00183B5F">
                <w:delText>45 (27,6%)</w:delText>
              </w:r>
            </w:del>
          </w:p>
        </w:tc>
        <w:tc>
          <w:tcPr>
            <w:tcW w:w="1856" w:type="dxa"/>
            <w:tcMar>
              <w:top w:w="0" w:type="dxa"/>
              <w:left w:w="115" w:type="dxa"/>
              <w:bottom w:w="0" w:type="dxa"/>
              <w:right w:w="115" w:type="dxa"/>
            </w:tcMar>
          </w:tcPr>
          <w:p w14:paraId="45105D5C" w14:textId="5615CBE3" w:rsidR="00567AF6" w:rsidRPr="00183B5F" w:rsidRDefault="00943743" w:rsidP="00FE0197">
            <w:pPr>
              <w:keepNext/>
              <w:widowControl w:val="0"/>
              <w:spacing w:line="240" w:lineRule="auto"/>
              <w:jc w:val="center"/>
              <w:rPr>
                <w:del w:id="6771" w:author="AbbVie_HU_03" w:date="2025-05-14T15:27:00Z"/>
              </w:rPr>
            </w:pPr>
            <w:del w:id="6772" w:author="AbbVie_HU_03" w:date="2025-05-14T15:27:00Z">
              <w:r w:rsidRPr="00183B5F">
                <w:delText>N</w:delText>
              </w:r>
              <w:r w:rsidR="003F64BC" w:rsidRPr="00183B5F">
                <w:delText> </w:delText>
              </w:r>
              <w:r w:rsidRPr="00183B5F">
                <w:delText>=</w:delText>
              </w:r>
              <w:r w:rsidR="003F64BC" w:rsidRPr="00183B5F">
                <w:delText> </w:delText>
              </w:r>
              <w:r w:rsidRPr="00183B5F">
                <w:delText>163</w:delText>
              </w:r>
            </w:del>
          </w:p>
          <w:p w14:paraId="1FDA7DA6" w14:textId="21CD9CEC" w:rsidR="00567AF6" w:rsidRPr="00183B5F" w:rsidRDefault="00943743" w:rsidP="00FE0197">
            <w:pPr>
              <w:keepNext/>
              <w:widowControl w:val="0"/>
              <w:spacing w:line="240" w:lineRule="auto"/>
              <w:jc w:val="center"/>
              <w:rPr>
                <w:del w:id="6773" w:author="AbbVie_HU_03" w:date="2025-05-14T15:27:00Z"/>
              </w:rPr>
            </w:pPr>
            <w:del w:id="6774" w:author="AbbVie_HU_03" w:date="2025-05-14T15:27:00Z">
              <w:r w:rsidRPr="00183B5F">
                <w:delText xml:space="preserve">96 (58,9%) </w:delText>
              </w:r>
              <w:r w:rsidRPr="00183B5F">
                <w:rPr>
                  <w:vertAlign w:val="superscript"/>
                </w:rPr>
                <w:delText>***</w:delText>
              </w:r>
            </w:del>
          </w:p>
        </w:tc>
      </w:tr>
      <w:tr w:rsidR="00011D2F" w14:paraId="2795B905" w14:textId="404CFA35" w:rsidTr="00567AF6">
        <w:trPr>
          <w:jc w:val="center"/>
          <w:del w:id="6775" w:author="AbbVie_HU_03" w:date="2025-05-14T15:27:00Z"/>
        </w:trPr>
        <w:tc>
          <w:tcPr>
            <w:tcW w:w="2847" w:type="dxa"/>
            <w:tcMar>
              <w:top w:w="0" w:type="dxa"/>
              <w:left w:w="115" w:type="dxa"/>
              <w:bottom w:w="0" w:type="dxa"/>
              <w:right w:w="115" w:type="dxa"/>
            </w:tcMar>
            <w:vAlign w:val="center"/>
            <w:hideMark/>
          </w:tcPr>
          <w:p w14:paraId="1F0DFB1E" w14:textId="716F2437" w:rsidR="00567AF6" w:rsidRPr="00183B5F" w:rsidRDefault="00943743" w:rsidP="00FE0197">
            <w:pPr>
              <w:keepNext/>
              <w:widowControl w:val="0"/>
              <w:spacing w:line="240" w:lineRule="auto"/>
              <w:rPr>
                <w:del w:id="6776" w:author="AbbVie_HU_03" w:date="2025-05-14T15:27:00Z"/>
              </w:rPr>
            </w:pPr>
            <w:del w:id="6777" w:author="AbbVie_HU_03" w:date="2025-05-14T15:27:00Z">
              <w:r w:rsidRPr="00183B5F">
                <w:delText>≥30%-os bőrfájdalom csökkenés</w:delText>
              </w:r>
              <w:r w:rsidR="0047618A" w:rsidRPr="00183B5F">
                <w:rPr>
                  <w:vertAlign w:val="superscript"/>
                </w:rPr>
                <w:delText>b</w:delText>
              </w:r>
            </w:del>
          </w:p>
        </w:tc>
        <w:tc>
          <w:tcPr>
            <w:tcW w:w="1440" w:type="dxa"/>
            <w:tcMar>
              <w:top w:w="0" w:type="dxa"/>
              <w:left w:w="115" w:type="dxa"/>
              <w:bottom w:w="0" w:type="dxa"/>
              <w:right w:w="115" w:type="dxa"/>
            </w:tcMar>
            <w:hideMark/>
          </w:tcPr>
          <w:p w14:paraId="76675FF3" w14:textId="187494DC" w:rsidR="00567AF6" w:rsidRPr="00183B5F" w:rsidRDefault="00943743" w:rsidP="00FE0197">
            <w:pPr>
              <w:keepNext/>
              <w:widowControl w:val="0"/>
              <w:spacing w:line="240" w:lineRule="auto"/>
              <w:jc w:val="center"/>
              <w:rPr>
                <w:del w:id="6778" w:author="AbbVie_HU_03" w:date="2025-05-14T15:27:00Z"/>
              </w:rPr>
            </w:pPr>
            <w:del w:id="6779" w:author="AbbVie_HU_03" w:date="2025-05-14T15:27:00Z">
              <w:r w:rsidRPr="00183B5F">
                <w:delText>N</w:delText>
              </w:r>
              <w:r w:rsidR="009D5AC1" w:rsidRPr="00183B5F">
                <w:delText> </w:delText>
              </w:r>
              <w:r w:rsidRPr="00183B5F">
                <w:delText>=</w:delText>
              </w:r>
              <w:r w:rsidR="009D5AC1" w:rsidRPr="00183B5F">
                <w:delText> </w:delText>
              </w:r>
              <w:r w:rsidRPr="00183B5F">
                <w:delText>109</w:delText>
              </w:r>
              <w:r w:rsidRPr="00183B5F">
                <w:br/>
                <w:delText>27 (24,8%)</w:delText>
              </w:r>
            </w:del>
          </w:p>
        </w:tc>
        <w:tc>
          <w:tcPr>
            <w:tcW w:w="1746" w:type="dxa"/>
            <w:tcMar>
              <w:top w:w="0" w:type="dxa"/>
              <w:left w:w="115" w:type="dxa"/>
              <w:bottom w:w="0" w:type="dxa"/>
              <w:right w:w="115" w:type="dxa"/>
            </w:tcMar>
            <w:hideMark/>
          </w:tcPr>
          <w:p w14:paraId="76D8D400" w14:textId="6B84C762" w:rsidR="00567AF6" w:rsidRPr="00183B5F" w:rsidRDefault="00943743" w:rsidP="00FE0197">
            <w:pPr>
              <w:keepNext/>
              <w:widowControl w:val="0"/>
              <w:spacing w:line="240" w:lineRule="auto"/>
              <w:jc w:val="center"/>
              <w:rPr>
                <w:del w:id="6780" w:author="AbbVie_HU_03" w:date="2025-05-14T15:27:00Z"/>
              </w:rPr>
            </w:pPr>
            <w:del w:id="6781" w:author="AbbVie_HU_03" w:date="2025-05-14T15:27:00Z">
              <w:r w:rsidRPr="00183B5F">
                <w:delText>N</w:delText>
              </w:r>
              <w:r w:rsidR="009D5AC1" w:rsidRPr="00183B5F">
                <w:delText> </w:delText>
              </w:r>
              <w:r w:rsidRPr="00183B5F">
                <w:delText>=</w:delText>
              </w:r>
              <w:r w:rsidR="009D5AC1" w:rsidRPr="00183B5F">
                <w:delText> </w:delText>
              </w:r>
              <w:r w:rsidRPr="00183B5F">
                <w:delText>122</w:delText>
              </w:r>
              <w:r w:rsidRPr="00183B5F">
                <w:br/>
                <w:delText>34 (27,9%)</w:delText>
              </w:r>
            </w:del>
          </w:p>
        </w:tc>
        <w:tc>
          <w:tcPr>
            <w:tcW w:w="1404" w:type="dxa"/>
            <w:tcMar>
              <w:top w:w="0" w:type="dxa"/>
              <w:left w:w="115" w:type="dxa"/>
              <w:bottom w:w="0" w:type="dxa"/>
              <w:right w:w="115" w:type="dxa"/>
            </w:tcMar>
          </w:tcPr>
          <w:p w14:paraId="774A0566" w14:textId="071E92C8" w:rsidR="00567AF6" w:rsidRPr="00183B5F" w:rsidRDefault="00943743" w:rsidP="00FE0197">
            <w:pPr>
              <w:keepNext/>
              <w:widowControl w:val="0"/>
              <w:spacing w:line="240" w:lineRule="auto"/>
              <w:jc w:val="center"/>
              <w:rPr>
                <w:del w:id="6782" w:author="AbbVie_HU_03" w:date="2025-05-14T15:27:00Z"/>
              </w:rPr>
            </w:pPr>
            <w:del w:id="6783" w:author="AbbVie_HU_03" w:date="2025-05-14T15:27:00Z">
              <w:r w:rsidRPr="00183B5F">
                <w:delText>N</w:delText>
              </w:r>
              <w:r w:rsidR="003F64BC" w:rsidRPr="00183B5F">
                <w:delText> </w:delText>
              </w:r>
              <w:r w:rsidRPr="00183B5F">
                <w:delText>=</w:delText>
              </w:r>
              <w:r w:rsidR="003F64BC" w:rsidRPr="00183B5F">
                <w:delText> </w:delText>
              </w:r>
              <w:r w:rsidRPr="00183B5F">
                <w:delText>111</w:delText>
              </w:r>
            </w:del>
          </w:p>
          <w:p w14:paraId="6DBE0E91" w14:textId="6577CCF0" w:rsidR="00567AF6" w:rsidRPr="00183B5F" w:rsidRDefault="00943743" w:rsidP="00FE0197">
            <w:pPr>
              <w:keepNext/>
              <w:widowControl w:val="0"/>
              <w:spacing w:line="240" w:lineRule="auto"/>
              <w:jc w:val="center"/>
              <w:rPr>
                <w:del w:id="6784" w:author="AbbVie_HU_03" w:date="2025-05-14T15:27:00Z"/>
              </w:rPr>
            </w:pPr>
            <w:del w:id="6785" w:author="AbbVie_HU_03" w:date="2025-05-14T15:27:00Z">
              <w:r w:rsidRPr="00183B5F">
                <w:delText>23 (20,7%)</w:delText>
              </w:r>
            </w:del>
          </w:p>
        </w:tc>
        <w:tc>
          <w:tcPr>
            <w:tcW w:w="1856" w:type="dxa"/>
            <w:tcMar>
              <w:top w:w="0" w:type="dxa"/>
              <w:left w:w="115" w:type="dxa"/>
              <w:bottom w:w="0" w:type="dxa"/>
              <w:right w:w="115" w:type="dxa"/>
            </w:tcMar>
          </w:tcPr>
          <w:p w14:paraId="2F41BBE6" w14:textId="25A4F11E" w:rsidR="00567AF6" w:rsidRPr="00183B5F" w:rsidRDefault="00943743" w:rsidP="00FE0197">
            <w:pPr>
              <w:keepNext/>
              <w:widowControl w:val="0"/>
              <w:spacing w:line="240" w:lineRule="auto"/>
              <w:jc w:val="center"/>
              <w:rPr>
                <w:del w:id="6786" w:author="AbbVie_HU_03" w:date="2025-05-14T15:27:00Z"/>
              </w:rPr>
            </w:pPr>
            <w:del w:id="6787" w:author="AbbVie_HU_03" w:date="2025-05-14T15:27:00Z">
              <w:r w:rsidRPr="00183B5F">
                <w:delText>N</w:delText>
              </w:r>
              <w:r w:rsidR="003F64BC" w:rsidRPr="00183B5F">
                <w:delText> </w:delText>
              </w:r>
              <w:r w:rsidRPr="00183B5F">
                <w:delText>=</w:delText>
              </w:r>
              <w:r w:rsidR="003F64BC" w:rsidRPr="00183B5F">
                <w:delText> </w:delText>
              </w:r>
              <w:r w:rsidRPr="00183B5F">
                <w:delText>105</w:delText>
              </w:r>
            </w:del>
          </w:p>
          <w:p w14:paraId="07D23DB3" w14:textId="1A3A0E8D" w:rsidR="00567AF6" w:rsidRPr="00183B5F" w:rsidRDefault="00943743" w:rsidP="00FE0197">
            <w:pPr>
              <w:keepNext/>
              <w:widowControl w:val="0"/>
              <w:spacing w:line="240" w:lineRule="auto"/>
              <w:jc w:val="center"/>
              <w:rPr>
                <w:del w:id="6788" w:author="AbbVie_HU_03" w:date="2025-05-14T15:27:00Z"/>
              </w:rPr>
            </w:pPr>
            <w:del w:id="6789" w:author="AbbVie_HU_03" w:date="2025-05-14T15:27:00Z">
              <w:r w:rsidRPr="00183B5F">
                <w:delText xml:space="preserve">48 (45,7%) </w:delText>
              </w:r>
              <w:r w:rsidRPr="00183B5F">
                <w:rPr>
                  <w:vertAlign w:val="superscript"/>
                </w:rPr>
                <w:delText>***</w:delText>
              </w:r>
            </w:del>
          </w:p>
        </w:tc>
      </w:tr>
      <w:tr w:rsidR="00011D2F" w14:paraId="3D9055E1" w14:textId="15AF676C" w:rsidTr="00567AF6">
        <w:trPr>
          <w:jc w:val="center"/>
          <w:del w:id="6790" w:author="AbbVie_HU_03" w:date="2025-05-14T15:27:00Z"/>
        </w:trPr>
        <w:tc>
          <w:tcPr>
            <w:tcW w:w="9293" w:type="dxa"/>
            <w:gridSpan w:val="5"/>
            <w:tcMar>
              <w:top w:w="0" w:type="dxa"/>
              <w:left w:w="115" w:type="dxa"/>
              <w:bottom w:w="0" w:type="dxa"/>
              <w:right w:w="115" w:type="dxa"/>
            </w:tcMar>
            <w:vAlign w:val="center"/>
          </w:tcPr>
          <w:p w14:paraId="35E7C91D" w14:textId="40C46F87" w:rsidR="00567AF6" w:rsidRPr="00183B5F" w:rsidRDefault="00943743" w:rsidP="004062FE">
            <w:pPr>
              <w:keepNext/>
              <w:widowControl w:val="0"/>
              <w:spacing w:line="240" w:lineRule="auto"/>
              <w:ind w:left="360"/>
              <w:rPr>
                <w:del w:id="6791" w:author="AbbVie_HU_03" w:date="2025-05-14T15:27:00Z"/>
              </w:rPr>
            </w:pPr>
            <w:del w:id="6792" w:author="AbbVie_HU_03" w:date="2025-05-14T15:27:00Z">
              <w:r w:rsidRPr="00183B5F">
                <w:delText xml:space="preserve">* </w:delText>
              </w:r>
              <w:r w:rsidRPr="00183B5F">
                <w:rPr>
                  <w:i/>
                </w:rPr>
                <w:delText>P</w:delText>
              </w:r>
              <w:r w:rsidRPr="00183B5F">
                <w:delText xml:space="preserve"> &lt; 0</w:delText>
              </w:r>
              <w:r w:rsidR="005F6A54" w:rsidRPr="00183B5F">
                <w:delText>,</w:delText>
              </w:r>
              <w:r w:rsidRPr="00183B5F">
                <w:delText>05, ***</w:delText>
              </w:r>
              <w:r w:rsidRPr="00183B5F">
                <w:rPr>
                  <w:i/>
                </w:rPr>
                <w:delText xml:space="preserve">P </w:delText>
              </w:r>
              <w:r w:rsidRPr="00183B5F">
                <w:delText>&lt; 0</w:delText>
              </w:r>
              <w:r w:rsidR="005F6A54" w:rsidRPr="00183B5F">
                <w:delText>,</w:delText>
              </w:r>
              <w:r w:rsidRPr="00183B5F">
                <w:delText xml:space="preserve">001, Humira versus placebo </w:delText>
              </w:r>
            </w:del>
          </w:p>
          <w:p w14:paraId="181B1E47" w14:textId="39D22A76" w:rsidR="00567AF6" w:rsidRPr="00183B5F" w:rsidRDefault="00943743" w:rsidP="00832DC3">
            <w:pPr>
              <w:keepNext/>
              <w:keepLines/>
              <w:widowControl w:val="0"/>
              <w:suppressAutoHyphens w:val="0"/>
              <w:spacing w:line="240" w:lineRule="auto"/>
              <w:rPr>
                <w:del w:id="6793" w:author="AbbVie_HU_03" w:date="2025-05-14T15:27:00Z"/>
              </w:rPr>
            </w:pPr>
            <w:del w:id="6794" w:author="AbbVie_HU_03" w:date="2025-05-14T15:27:00Z">
              <w:r w:rsidRPr="00183B5F">
                <w:rPr>
                  <w:vertAlign w:val="superscript"/>
                </w:rPr>
                <w:delText>a</w:delText>
              </w:r>
              <w:r w:rsidRPr="00183B5F">
                <w:rPr>
                  <w:color w:val="000000"/>
                </w:rPr>
                <w:delText xml:space="preserve">      Az összes randomizált betegnél</w:delText>
              </w:r>
              <w:r w:rsidRPr="00183B5F">
                <w:delText>.</w:delText>
              </w:r>
            </w:del>
          </w:p>
          <w:p w14:paraId="63653ADF" w14:textId="3E6722D0" w:rsidR="00567AF6" w:rsidRPr="00183B5F" w:rsidRDefault="00943743" w:rsidP="00832DC3">
            <w:pPr>
              <w:suppressAutoHyphens w:val="0"/>
              <w:spacing w:line="240" w:lineRule="auto"/>
              <w:textAlignment w:val="baseline"/>
              <w:rPr>
                <w:del w:id="6795" w:author="AbbVie_HU_03" w:date="2025-05-14T15:27:00Z"/>
              </w:rPr>
            </w:pPr>
            <w:del w:id="6796" w:author="AbbVie_HU_03" w:date="2025-05-14T15:27:00Z">
              <w:r w:rsidRPr="00183B5F">
                <w:rPr>
                  <w:vertAlign w:val="superscript"/>
                </w:rPr>
                <w:delText>b</w:delText>
              </w:r>
              <w:r w:rsidRPr="00183B5F">
                <w:rPr>
                  <w:color w:val="000000"/>
                </w:rPr>
                <w:delText xml:space="preserve">      </w:delText>
              </w:r>
              <w:r w:rsidR="003B6BE9" w:rsidRPr="00183B5F">
                <w:rPr>
                  <w:color w:val="000000"/>
                </w:rPr>
                <w:delText>Azoknál a b</w:delText>
              </w:r>
              <w:r w:rsidRPr="00183B5F">
                <w:rPr>
                  <w:color w:val="000000"/>
                </w:rPr>
                <w:delText>etegeknél, akikn</w:delText>
              </w:r>
              <w:r w:rsidR="003B6BE9" w:rsidRPr="00183B5F">
                <w:rPr>
                  <w:color w:val="000000"/>
                </w:rPr>
                <w:delText>él</w:delText>
              </w:r>
              <w:r w:rsidRPr="00183B5F">
                <w:rPr>
                  <w:color w:val="000000"/>
                </w:rPr>
                <w:delText xml:space="preserve"> a </w:delText>
              </w:r>
              <w:r w:rsidR="003B6BE9" w:rsidRPr="00183B5F">
                <w:rPr>
                  <w:color w:val="000000"/>
                </w:rPr>
                <w:delText>vizsgálat megkezdésekor a</w:delText>
              </w:r>
              <w:r w:rsidRPr="00183B5F">
                <w:rPr>
                  <w:color w:val="000000"/>
                </w:rPr>
                <w:delText xml:space="preserve"> HS</w:delText>
              </w:r>
              <w:r w:rsidRPr="00183B5F">
                <w:rPr>
                  <w:color w:val="000000"/>
                </w:rPr>
                <w:noBreakHyphen/>
              </w:r>
              <w:r w:rsidRPr="00183B5F">
                <w:rPr>
                  <w:color w:val="000000"/>
                </w:rPr>
                <w:delText>sel összefüggő bőrfájdalom értéke ≥</w:delText>
              </w:r>
              <w:r w:rsidR="003F64BC" w:rsidRPr="00183B5F">
                <w:rPr>
                  <w:color w:val="000000"/>
                </w:rPr>
                <w:delText> </w:delText>
              </w:r>
              <w:r w:rsidRPr="00183B5F">
                <w:rPr>
                  <w:color w:val="000000"/>
                </w:rPr>
                <w:delText>3 a 0</w:delText>
              </w:r>
              <w:r w:rsidRPr="00183B5F">
                <w:rPr>
                  <w:color w:val="000000"/>
                </w:rPr>
                <w:noBreakHyphen/>
                <w:delText>10</w:delText>
              </w:r>
              <w:r w:rsidRPr="00183B5F">
                <w:rPr>
                  <w:color w:val="000000"/>
                </w:rPr>
                <w:noBreakHyphen/>
                <w:delText>ig terjedő Numerikus skála alapján: 0 =</w:delText>
              </w:r>
              <w:r w:rsidR="005F6A54" w:rsidRPr="00183B5F">
                <w:rPr>
                  <w:color w:val="000000"/>
                </w:rPr>
                <w:delText xml:space="preserve"> nincs</w:delText>
              </w:r>
              <w:r w:rsidRPr="00183B5F">
                <w:rPr>
                  <w:color w:val="000000"/>
                </w:rPr>
                <w:delText xml:space="preserve"> bőrfájdalom, 10 = olyan súlyos bőrfájdalom, amit csak el lehet képzelni</w:delText>
              </w:r>
              <w:r w:rsidR="003B6BE9" w:rsidRPr="00183B5F">
                <w:delText>.</w:delText>
              </w:r>
            </w:del>
          </w:p>
        </w:tc>
      </w:tr>
    </w:tbl>
    <w:p w14:paraId="653B5C8C" w14:textId="051F5642" w:rsidR="00567AF6" w:rsidRPr="00183B5F" w:rsidRDefault="00567AF6" w:rsidP="004062FE">
      <w:pPr>
        <w:spacing w:line="240" w:lineRule="auto"/>
        <w:jc w:val="center"/>
        <w:rPr>
          <w:del w:id="6797" w:author="AbbVie_HU_03" w:date="2025-05-14T15:27:00Z"/>
          <w:b/>
          <w:color w:val="000000"/>
        </w:rPr>
      </w:pPr>
    </w:p>
    <w:p w14:paraId="315A4F76" w14:textId="5EC96141" w:rsidR="008D450D" w:rsidRPr="00183B5F" w:rsidRDefault="00943743" w:rsidP="004062FE">
      <w:pPr>
        <w:spacing w:line="240" w:lineRule="auto"/>
        <w:rPr>
          <w:del w:id="6798" w:author="AbbVie_HU_03" w:date="2025-05-14T15:27:00Z"/>
          <w:color w:val="000000"/>
        </w:rPr>
      </w:pPr>
      <w:del w:id="6799" w:author="AbbVie_HU_03" w:date="2025-05-14T15:27:00Z">
        <w:r w:rsidRPr="00183B5F">
          <w:rPr>
            <w:color w:val="000000"/>
          </w:rPr>
          <w:delText xml:space="preserve">A minden héten 40 mg Humira adagolásán alapuló kezelés jelentősen lecsökkentette a tályogok és </w:delText>
        </w:r>
        <w:r w:rsidR="0044523F" w:rsidRPr="00183B5F">
          <w:rPr>
            <w:color w:val="000000"/>
          </w:rPr>
          <w:delText xml:space="preserve">váladékozó fistulák </w:delText>
        </w:r>
        <w:r w:rsidRPr="00183B5F">
          <w:rPr>
            <w:color w:val="000000"/>
          </w:rPr>
          <w:delText xml:space="preserve">romlásának kockázatát. </w:delText>
        </w:r>
        <w:r w:rsidR="00956788" w:rsidRPr="00183B5F">
          <w:rPr>
            <w:color w:val="000000"/>
          </w:rPr>
          <w:delText>A</w:delText>
        </w:r>
        <w:r w:rsidRPr="00183B5F">
          <w:rPr>
            <w:color w:val="000000"/>
          </w:rPr>
          <w:delText xml:space="preserve"> HS</w:delText>
        </w:r>
        <w:r w:rsidR="007F1C6B" w:rsidRPr="00183B5F">
          <w:rPr>
            <w:color w:val="000000"/>
          </w:rPr>
          <w:noBreakHyphen/>
        </w:r>
        <w:r w:rsidRPr="00183B5F">
          <w:rPr>
            <w:color w:val="000000"/>
          </w:rPr>
          <w:delText>I ésHS</w:delText>
        </w:r>
        <w:r w:rsidR="007F1C6B" w:rsidRPr="00183B5F">
          <w:rPr>
            <w:color w:val="000000"/>
          </w:rPr>
          <w:noBreakHyphen/>
        </w:r>
        <w:r w:rsidRPr="00183B5F">
          <w:rPr>
            <w:color w:val="000000"/>
          </w:rPr>
          <w:delText xml:space="preserve">II vizsgálat első 12 hetében </w:delText>
        </w:r>
        <w:r w:rsidR="005E1D8D" w:rsidRPr="00183B5F">
          <w:rPr>
            <w:color w:val="000000"/>
          </w:rPr>
          <w:delText xml:space="preserve">megközelítőleg kétszer annyi, </w:delText>
        </w:r>
        <w:r w:rsidRPr="00183B5F">
          <w:rPr>
            <w:color w:val="000000"/>
          </w:rPr>
          <w:delText>a placebocsoportba tarto</w:delText>
        </w:r>
        <w:r w:rsidR="00956788" w:rsidRPr="00183B5F">
          <w:rPr>
            <w:color w:val="000000"/>
          </w:rPr>
          <w:delText>z</w:delText>
        </w:r>
        <w:r w:rsidRPr="00183B5F">
          <w:rPr>
            <w:color w:val="000000"/>
          </w:rPr>
          <w:delText>ó beteg</w:delText>
        </w:r>
        <w:r w:rsidR="005E1D8D" w:rsidRPr="00183B5F">
          <w:rPr>
            <w:color w:val="000000"/>
          </w:rPr>
          <w:delText>nél</w:delText>
        </w:r>
        <w:r w:rsidRPr="00183B5F">
          <w:rPr>
            <w:color w:val="000000"/>
          </w:rPr>
          <w:delText xml:space="preserve"> </w:delText>
        </w:r>
        <w:r w:rsidR="008F24D8" w:rsidRPr="00183B5F">
          <w:rPr>
            <w:color w:val="000000"/>
          </w:rPr>
          <w:delText>tapasztalt</w:delText>
        </w:r>
        <w:r w:rsidR="00956788" w:rsidRPr="00183B5F">
          <w:rPr>
            <w:color w:val="000000"/>
          </w:rPr>
          <w:delText>ak</w:delText>
        </w:r>
        <w:r w:rsidR="008F24D8" w:rsidRPr="00183B5F">
          <w:rPr>
            <w:color w:val="000000"/>
          </w:rPr>
          <w:delText xml:space="preserve"> romló tályogokat (23,0% vs 11,4%) és</w:delText>
        </w:r>
        <w:r w:rsidR="0044523F" w:rsidRPr="00183B5F">
          <w:rPr>
            <w:color w:val="000000"/>
          </w:rPr>
          <w:delText xml:space="preserve"> váladékozó fistulák</w:delText>
        </w:r>
        <w:r w:rsidR="008F24D8" w:rsidRPr="00183B5F">
          <w:rPr>
            <w:color w:val="000000"/>
          </w:rPr>
          <w:delText xml:space="preserve"> (30,0% vs 13,9%)</w:delText>
        </w:r>
        <w:r w:rsidRPr="00183B5F">
          <w:rPr>
            <w:color w:val="000000"/>
          </w:rPr>
          <w:delText>,</w:delText>
        </w:r>
        <w:r w:rsidR="00956788" w:rsidRPr="00183B5F">
          <w:rPr>
            <w:color w:val="000000"/>
          </w:rPr>
          <w:delText xml:space="preserve"> </w:delText>
        </w:r>
        <w:r w:rsidR="00C75A22" w:rsidRPr="00183B5F">
          <w:rPr>
            <w:color w:val="000000"/>
          </w:rPr>
          <w:delText>mint</w:delText>
        </w:r>
        <w:r w:rsidRPr="00183B5F">
          <w:rPr>
            <w:color w:val="000000"/>
          </w:rPr>
          <w:delText xml:space="preserve"> a Humira csoport</w:delText>
        </w:r>
        <w:r w:rsidR="00C75A22" w:rsidRPr="00183B5F">
          <w:rPr>
            <w:color w:val="000000"/>
          </w:rPr>
          <w:delText xml:space="preserve"> betegeinél</w:delText>
        </w:r>
        <w:r w:rsidRPr="00183B5F">
          <w:rPr>
            <w:color w:val="000000"/>
          </w:rPr>
          <w:delText>.</w:delText>
        </w:r>
      </w:del>
    </w:p>
    <w:p w14:paraId="70A72B38" w14:textId="6EA4F365" w:rsidR="008D450D" w:rsidRPr="00183B5F" w:rsidRDefault="008D450D" w:rsidP="004062FE">
      <w:pPr>
        <w:spacing w:line="240" w:lineRule="auto"/>
        <w:rPr>
          <w:del w:id="6800" w:author="AbbVie_HU_03" w:date="2025-05-14T15:27:00Z"/>
          <w:color w:val="000000"/>
        </w:rPr>
      </w:pPr>
    </w:p>
    <w:p w14:paraId="5831FCE0" w14:textId="51C62265" w:rsidR="008D450D" w:rsidRPr="00183B5F" w:rsidRDefault="00943743" w:rsidP="004062FE">
      <w:pPr>
        <w:spacing w:line="240" w:lineRule="auto"/>
        <w:rPr>
          <w:del w:id="6801" w:author="AbbVie_HU_03" w:date="2025-05-14T15:27:00Z"/>
          <w:color w:val="000000"/>
        </w:rPr>
      </w:pPr>
      <w:del w:id="6802" w:author="AbbVie_HU_03" w:date="2025-05-14T15:27:00Z">
        <w:r w:rsidRPr="00183B5F">
          <w:rPr>
            <w:color w:val="000000"/>
          </w:rPr>
          <w:delText>A bőr</w:delText>
        </w:r>
        <w:r w:rsidRPr="00183B5F">
          <w:rPr>
            <w:color w:val="000000"/>
          </w:rPr>
          <w:noBreakHyphen/>
          <w:delText xml:space="preserve">specifikus egészséggel kapcsolatos életminőségben bekövetkező számottevő javulást mutattak ki a placebóhoz képest a 12. héten a kiindulási értékéhez képest </w:delText>
        </w:r>
        <w:r w:rsidR="001C3657" w:rsidRPr="00183B5F">
          <w:rPr>
            <w:color w:val="000000"/>
          </w:rPr>
          <w:delText>a Dermatológiai Élet Minőség Index</w:delText>
        </w:r>
        <w:r w:rsidR="001C3657" w:rsidRPr="00183B5F">
          <w:rPr>
            <w:color w:val="000000"/>
          </w:rPr>
          <w:noBreakHyphen/>
          <w:delText>szel (DLQI; HS</w:delText>
        </w:r>
        <w:r w:rsidR="001C3657" w:rsidRPr="00183B5F">
          <w:rPr>
            <w:color w:val="000000"/>
          </w:rPr>
          <w:noBreakHyphen/>
          <w:delText>I és HS</w:delText>
        </w:r>
        <w:r w:rsidR="001C3657" w:rsidRPr="00183B5F">
          <w:rPr>
            <w:color w:val="000000"/>
          </w:rPr>
          <w:noBreakHyphen/>
          <w:delText>II vizsgálat)</w:delText>
        </w:r>
        <w:r w:rsidR="008F24D8" w:rsidRPr="00183B5F">
          <w:rPr>
            <w:color w:val="000000"/>
          </w:rPr>
          <w:delText>,</w:delText>
        </w:r>
        <w:r w:rsidR="0060564E" w:rsidRPr="00183B5F">
          <w:rPr>
            <w:color w:val="000000"/>
          </w:rPr>
          <w:delText xml:space="preserve"> a beteg</w:delText>
        </w:r>
        <w:r w:rsidR="008F24D8" w:rsidRPr="00183B5F">
          <w:rPr>
            <w:color w:val="000000"/>
          </w:rPr>
          <w:delText xml:space="preserve"> gyógyszeres kezeléssel való</w:delText>
        </w:r>
        <w:r w:rsidR="0060564E" w:rsidRPr="00183B5F">
          <w:rPr>
            <w:color w:val="000000"/>
          </w:rPr>
          <w:delText xml:space="preserve"> általános </w:delText>
        </w:r>
        <w:r w:rsidR="008F24D8" w:rsidRPr="00183B5F">
          <w:rPr>
            <w:color w:val="000000"/>
          </w:rPr>
          <w:delText>meg</w:delText>
        </w:r>
        <w:r w:rsidR="0060564E" w:rsidRPr="00183B5F">
          <w:rPr>
            <w:color w:val="000000"/>
          </w:rPr>
          <w:delText>elégedettségé</w:delText>
        </w:r>
        <w:r w:rsidR="008F24D8" w:rsidRPr="00183B5F">
          <w:rPr>
            <w:color w:val="000000"/>
          </w:rPr>
          <w:delText>ben</w:delText>
        </w:r>
        <w:r w:rsidR="0060564E" w:rsidRPr="00183B5F">
          <w:rPr>
            <w:color w:val="000000"/>
          </w:rPr>
          <w:delText xml:space="preserve"> a Kezelési Elégedettségi Kérdőív</w:delText>
        </w:r>
        <w:r w:rsidR="008F24D8" w:rsidRPr="00183B5F">
          <w:rPr>
            <w:color w:val="000000"/>
          </w:rPr>
          <w:delText> </w:delText>
        </w:r>
        <w:r w:rsidR="0060564E" w:rsidRPr="00183B5F">
          <w:rPr>
            <w:color w:val="000000"/>
          </w:rPr>
          <w:delText xml:space="preserve">– gyógyszerelés </w:delText>
        </w:r>
        <w:r w:rsidR="008F24D8" w:rsidRPr="00183B5F">
          <w:rPr>
            <w:color w:val="000000"/>
          </w:rPr>
          <w:delText xml:space="preserve">részével </w:delText>
        </w:r>
        <w:r w:rsidR="0060564E" w:rsidRPr="00183B5F">
          <w:rPr>
            <w:color w:val="000000"/>
          </w:rPr>
          <w:delText>(TSQM, HS</w:delText>
        </w:r>
        <w:r w:rsidR="007F1C6B" w:rsidRPr="00183B5F">
          <w:rPr>
            <w:color w:val="000000"/>
          </w:rPr>
          <w:noBreakHyphen/>
        </w:r>
        <w:r w:rsidR="0060564E" w:rsidRPr="00183B5F">
          <w:rPr>
            <w:color w:val="000000"/>
          </w:rPr>
          <w:delText>I és HS</w:delText>
        </w:r>
        <w:r w:rsidR="007F1C6B" w:rsidRPr="00183B5F">
          <w:rPr>
            <w:color w:val="000000"/>
          </w:rPr>
          <w:noBreakHyphen/>
        </w:r>
        <w:r w:rsidR="0060564E" w:rsidRPr="00183B5F">
          <w:rPr>
            <w:color w:val="000000"/>
          </w:rPr>
          <w:delText xml:space="preserve">II vizsgálatok) és </w:delText>
        </w:r>
        <w:r w:rsidR="008F24D8" w:rsidRPr="00183B5F">
          <w:rPr>
            <w:color w:val="000000"/>
          </w:rPr>
          <w:delText xml:space="preserve">a </w:delText>
        </w:r>
        <w:r w:rsidR="0060564E" w:rsidRPr="00183B5F">
          <w:rPr>
            <w:color w:val="000000"/>
          </w:rPr>
          <w:delText>fizikai egészség</w:delText>
        </w:r>
        <w:r w:rsidR="008F24D8" w:rsidRPr="00183B5F">
          <w:rPr>
            <w:color w:val="000000"/>
          </w:rPr>
          <w:delText>ben</w:delText>
        </w:r>
        <w:r w:rsidR="008B7AF7" w:rsidRPr="00183B5F">
          <w:rPr>
            <w:color w:val="000000"/>
          </w:rPr>
          <w:delText xml:space="preserve"> az SF</w:delText>
        </w:r>
        <w:r w:rsidR="008B7AF7" w:rsidRPr="00183B5F">
          <w:rPr>
            <w:color w:val="000000"/>
          </w:rPr>
          <w:noBreakHyphen/>
        </w:r>
        <w:r w:rsidR="0060564E" w:rsidRPr="00183B5F">
          <w:rPr>
            <w:color w:val="000000"/>
          </w:rPr>
          <w:delText>36 fizikai komponens összefoglaló pontszám által (HS</w:delText>
        </w:r>
        <w:r w:rsidR="0060564E" w:rsidRPr="00183B5F">
          <w:rPr>
            <w:color w:val="000000"/>
          </w:rPr>
          <w:noBreakHyphen/>
          <w:delText>I vizsgálat).</w:delText>
        </w:r>
      </w:del>
    </w:p>
    <w:p w14:paraId="10BF0F32" w14:textId="3922618C" w:rsidR="008B7AF7" w:rsidRPr="00183B5F" w:rsidRDefault="008B7AF7" w:rsidP="004062FE">
      <w:pPr>
        <w:spacing w:line="240" w:lineRule="auto"/>
        <w:rPr>
          <w:del w:id="6803" w:author="AbbVie_HU_03" w:date="2025-05-14T15:27:00Z"/>
          <w:color w:val="000000"/>
        </w:rPr>
      </w:pPr>
    </w:p>
    <w:p w14:paraId="0CB6A146" w14:textId="7BC1C993" w:rsidR="008B7AF7" w:rsidRPr="00183B5F" w:rsidRDefault="00943743" w:rsidP="004062FE">
      <w:pPr>
        <w:spacing w:line="240" w:lineRule="auto"/>
        <w:rPr>
          <w:del w:id="6804" w:author="AbbVie_HU_03" w:date="2025-05-14T15:27:00Z"/>
          <w:rFonts w:eastAsia="Calibri"/>
          <w:szCs w:val="22"/>
        </w:rPr>
      </w:pPr>
      <w:del w:id="6805" w:author="AbbVie_HU_03" w:date="2025-05-14T15:27:00Z">
        <w:r w:rsidRPr="00183B5F">
          <w:rPr>
            <w:color w:val="000000"/>
          </w:rPr>
          <w:delText>Azoknál a betegeknél akik a 12. héten legalább részlegesen reagáltak a heti 40 mg</w:delText>
        </w:r>
        <w:r w:rsidR="007526F0" w:rsidRPr="00183B5F">
          <w:rPr>
            <w:color w:val="000000"/>
          </w:rPr>
          <w:delText xml:space="preserve"> </w:delText>
        </w:r>
        <w:r w:rsidRPr="00183B5F">
          <w:rPr>
            <w:color w:val="000000"/>
          </w:rPr>
          <w:delText>Humira</w:delText>
        </w:r>
        <w:r w:rsidRPr="00183B5F">
          <w:rPr>
            <w:color w:val="000000"/>
          </w:rPr>
          <w:noBreakHyphen/>
          <w:delText xml:space="preserve">ra, a 36. hétre a </w:delText>
        </w:r>
        <w:r w:rsidRPr="00183B5F">
          <w:rPr>
            <w:rFonts w:eastAsia="Calibri"/>
            <w:szCs w:val="22"/>
          </w:rPr>
          <w:delText xml:space="preserve">HiSCR arány magasabb volt azoknál, akik </w:delText>
        </w:r>
        <w:r w:rsidR="007526F0" w:rsidRPr="00183B5F">
          <w:rPr>
            <w:rFonts w:eastAsia="Calibri"/>
            <w:szCs w:val="22"/>
          </w:rPr>
          <w:delText xml:space="preserve">hetente </w:delText>
        </w:r>
        <w:r w:rsidRPr="00183B5F">
          <w:rPr>
            <w:rFonts w:eastAsia="Calibri"/>
            <w:szCs w:val="22"/>
          </w:rPr>
          <w:delText xml:space="preserve">folytatták a Humira alkalmazását, </w:delText>
        </w:r>
        <w:r w:rsidR="001F52F2" w:rsidRPr="00183B5F">
          <w:rPr>
            <w:rFonts w:eastAsia="Calibri"/>
            <w:szCs w:val="22"/>
          </w:rPr>
          <w:delText>mint azoknál</w:delText>
        </w:r>
        <w:r w:rsidR="007526F0" w:rsidRPr="00183B5F">
          <w:rPr>
            <w:rFonts w:eastAsia="Calibri"/>
            <w:szCs w:val="22"/>
          </w:rPr>
          <w:delText>, akiknél az adagolás gyakoriság</w:delText>
        </w:r>
        <w:r w:rsidR="001F52F2" w:rsidRPr="00183B5F">
          <w:rPr>
            <w:rFonts w:eastAsia="Calibri"/>
            <w:szCs w:val="22"/>
          </w:rPr>
          <w:delText>a</w:delText>
        </w:r>
        <w:r w:rsidR="007526F0" w:rsidRPr="00183B5F">
          <w:rPr>
            <w:rFonts w:eastAsia="Calibri"/>
            <w:szCs w:val="22"/>
          </w:rPr>
          <w:delText xml:space="preserve"> kéthet</w:delText>
        </w:r>
        <w:r w:rsidR="001F52F2" w:rsidRPr="00183B5F">
          <w:rPr>
            <w:rFonts w:eastAsia="Calibri"/>
            <w:szCs w:val="22"/>
          </w:rPr>
          <w:delText>enkénti</w:delText>
        </w:r>
        <w:r w:rsidR="007526F0" w:rsidRPr="00183B5F">
          <w:rPr>
            <w:rFonts w:eastAsia="Calibri"/>
            <w:szCs w:val="22"/>
          </w:rPr>
          <w:delText>re csökkent, vagy akiknél abbahagyták a kezelést</w:delText>
        </w:r>
        <w:r w:rsidRPr="00183B5F">
          <w:rPr>
            <w:rFonts w:eastAsia="Calibri"/>
            <w:szCs w:val="22"/>
          </w:rPr>
          <w:delText xml:space="preserve"> (lásd </w:delText>
        </w:r>
        <w:r w:rsidR="00126112" w:rsidRPr="00183B5F">
          <w:rPr>
            <w:rFonts w:eastAsia="Calibri"/>
            <w:szCs w:val="22"/>
          </w:rPr>
          <w:delText>2</w:delText>
        </w:r>
        <w:r w:rsidR="00CF3126" w:rsidRPr="00183B5F">
          <w:rPr>
            <w:rFonts w:eastAsia="Calibri"/>
            <w:szCs w:val="22"/>
          </w:rPr>
          <w:delText>0</w:delText>
        </w:r>
        <w:r w:rsidRPr="00183B5F">
          <w:rPr>
            <w:rFonts w:eastAsia="Calibri"/>
            <w:szCs w:val="22"/>
          </w:rPr>
          <w:delText>. táblázat).</w:delText>
        </w:r>
      </w:del>
    </w:p>
    <w:p w14:paraId="55559F12" w14:textId="545F0662" w:rsidR="008B7AF7" w:rsidRPr="00183B5F" w:rsidRDefault="008B7AF7" w:rsidP="004062FE">
      <w:pPr>
        <w:spacing w:line="240" w:lineRule="auto"/>
        <w:rPr>
          <w:del w:id="6806" w:author="AbbVie_HU_03" w:date="2025-05-14T15:27:00Z"/>
          <w:rFonts w:eastAsia="Calibri"/>
          <w:szCs w:val="22"/>
        </w:rPr>
      </w:pPr>
    </w:p>
    <w:p w14:paraId="50C4488F" w14:textId="3391AA61" w:rsidR="008B7AF7" w:rsidRPr="00183B5F" w:rsidRDefault="00943743" w:rsidP="004062FE">
      <w:pPr>
        <w:pStyle w:val="NormalWeb"/>
        <w:keepNext/>
        <w:spacing w:line="240" w:lineRule="auto"/>
        <w:rPr>
          <w:del w:id="6807" w:author="AbbVie_HU_03" w:date="2025-05-14T15:27:00Z"/>
          <w:b/>
          <w:color w:val="000000"/>
          <w:sz w:val="22"/>
          <w:szCs w:val="22"/>
        </w:rPr>
      </w:pPr>
      <w:del w:id="6808" w:author="AbbVie_HU_03" w:date="2025-05-14T15:27:00Z">
        <w:r w:rsidRPr="00183B5F">
          <w:rPr>
            <w:b/>
            <w:color w:val="000000"/>
            <w:sz w:val="22"/>
            <w:szCs w:val="22"/>
          </w:rPr>
          <w:delText>20. táblázat: A HiSCR</w:delText>
        </w:r>
        <w:r w:rsidRPr="00183B5F">
          <w:rPr>
            <w:b/>
            <w:color w:val="000000"/>
            <w:sz w:val="22"/>
            <w:szCs w:val="22"/>
          </w:rPr>
          <w:noBreakHyphen/>
          <w:delText>t</w:delText>
        </w:r>
        <w:r w:rsidR="007F1C6B" w:rsidRPr="00183B5F">
          <w:rPr>
            <w:b/>
            <w:sz w:val="22"/>
            <w:szCs w:val="22"/>
            <w:vertAlign w:val="superscript"/>
          </w:rPr>
          <w:delText xml:space="preserve"> b</w:delText>
        </w:r>
        <w:r w:rsidRPr="00183B5F">
          <w:rPr>
            <w:b/>
            <w:color w:val="000000"/>
            <w:sz w:val="22"/>
            <w:szCs w:val="22"/>
          </w:rPr>
          <w:delText xml:space="preserve"> elérő betegek</w:delText>
        </w:r>
        <w:r w:rsidR="007F1C6B" w:rsidRPr="00183B5F">
          <w:rPr>
            <w:b/>
            <w:sz w:val="22"/>
            <w:szCs w:val="22"/>
            <w:vertAlign w:val="superscript"/>
          </w:rPr>
          <w:delText>a</w:delText>
        </w:r>
        <w:r w:rsidRPr="00183B5F">
          <w:rPr>
            <w:b/>
            <w:color w:val="000000"/>
            <w:sz w:val="22"/>
            <w:szCs w:val="22"/>
          </w:rPr>
          <w:delText xml:space="preserve"> aránya a 24. és 36. héten </w:delText>
        </w:r>
        <w:r w:rsidR="007526F0" w:rsidRPr="00183B5F">
          <w:rPr>
            <w:b/>
            <w:color w:val="000000"/>
            <w:sz w:val="22"/>
            <w:szCs w:val="22"/>
          </w:rPr>
          <w:delText>a</w:delText>
        </w:r>
        <w:r w:rsidRPr="00183B5F">
          <w:rPr>
            <w:b/>
            <w:color w:val="000000"/>
            <w:sz w:val="22"/>
            <w:szCs w:val="22"/>
          </w:rPr>
          <w:delText xml:space="preserve"> heti Humira </w:delText>
        </w:r>
        <w:r w:rsidR="007526F0" w:rsidRPr="00183B5F">
          <w:rPr>
            <w:b/>
            <w:color w:val="000000"/>
            <w:sz w:val="22"/>
            <w:szCs w:val="22"/>
          </w:rPr>
          <w:delText>adagolás</w:delText>
        </w:r>
        <w:r w:rsidRPr="00183B5F">
          <w:rPr>
            <w:b/>
            <w:color w:val="000000"/>
            <w:sz w:val="22"/>
            <w:szCs w:val="22"/>
          </w:rPr>
          <w:delText xml:space="preserve"> megváltoztatása után a 12. héten</w:delText>
        </w:r>
      </w:del>
    </w:p>
    <w:p w14:paraId="152079AF" w14:textId="76422C7E" w:rsidR="008B7AF7" w:rsidRPr="00183B5F" w:rsidRDefault="008B7AF7" w:rsidP="004062FE">
      <w:pPr>
        <w:keepNext/>
        <w:spacing w:line="240" w:lineRule="auto"/>
        <w:rPr>
          <w:del w:id="6809" w:author="AbbVie_HU_03" w:date="2025-05-14T15:27:00Z"/>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1980"/>
        <w:gridCol w:w="1980"/>
        <w:gridCol w:w="1855"/>
      </w:tblGrid>
      <w:tr w:rsidR="00011D2F" w14:paraId="58824AA9" w14:textId="22A958A9" w:rsidTr="008B7AF7">
        <w:trPr>
          <w:tblHeader/>
          <w:jc w:val="center"/>
          <w:del w:id="6810" w:author="AbbVie_HU_03" w:date="2025-05-14T15:27:00Z"/>
        </w:trPr>
        <w:tc>
          <w:tcPr>
            <w:tcW w:w="1437" w:type="dxa"/>
            <w:vAlign w:val="bottom"/>
          </w:tcPr>
          <w:p w14:paraId="19E8D8FC" w14:textId="63B1D522" w:rsidR="008B7AF7" w:rsidRPr="00183B5F" w:rsidRDefault="008B7AF7" w:rsidP="004062FE">
            <w:pPr>
              <w:pStyle w:val="TableLeft"/>
              <w:spacing w:before="0" w:after="0" w:line="240" w:lineRule="auto"/>
              <w:rPr>
                <w:del w:id="6811" w:author="AbbVie_HU_03" w:date="2025-05-14T15:27:00Z"/>
                <w:b/>
                <w:sz w:val="22"/>
                <w:lang w:val="hu-HU"/>
              </w:rPr>
            </w:pPr>
          </w:p>
        </w:tc>
        <w:tc>
          <w:tcPr>
            <w:tcW w:w="1980" w:type="dxa"/>
            <w:vAlign w:val="bottom"/>
          </w:tcPr>
          <w:p w14:paraId="14D90E0C" w14:textId="365A0F6E" w:rsidR="008B7AF7" w:rsidRPr="00183B5F" w:rsidRDefault="00943743" w:rsidP="004062FE">
            <w:pPr>
              <w:pStyle w:val="TableLeft"/>
              <w:spacing w:before="0" w:after="0" w:line="240" w:lineRule="auto"/>
              <w:jc w:val="center"/>
              <w:rPr>
                <w:del w:id="6812" w:author="AbbVie_HU_03" w:date="2025-05-14T15:27:00Z"/>
                <w:b/>
                <w:sz w:val="22"/>
                <w:lang w:val="hu-HU"/>
              </w:rPr>
            </w:pPr>
            <w:del w:id="6813" w:author="AbbVie_HU_03" w:date="2025-05-14T15:27:00Z">
              <w:r w:rsidRPr="00183B5F">
                <w:rPr>
                  <w:b/>
                  <w:sz w:val="22"/>
                  <w:lang w:val="hu-HU"/>
                </w:rPr>
                <w:delText>Placebo</w:delText>
              </w:r>
              <w:r w:rsidRPr="00183B5F">
                <w:rPr>
                  <w:b/>
                  <w:sz w:val="22"/>
                  <w:lang w:val="hu-HU"/>
                </w:rPr>
                <w:br/>
                <w:delText>(</w:delText>
              </w:r>
              <w:r w:rsidR="00C2629A" w:rsidRPr="00183B5F">
                <w:rPr>
                  <w:b/>
                  <w:sz w:val="22"/>
                  <w:lang w:val="hu-HU"/>
                </w:rPr>
                <w:delText>kezelés megszakítva</w:delText>
              </w:r>
              <w:r w:rsidRPr="00183B5F">
                <w:rPr>
                  <w:b/>
                  <w:sz w:val="22"/>
                  <w:lang w:val="hu-HU"/>
                </w:rPr>
                <w:delText>)</w:delText>
              </w:r>
              <w:r w:rsidRPr="00183B5F">
                <w:rPr>
                  <w:b/>
                  <w:sz w:val="22"/>
                  <w:lang w:val="hu-HU"/>
                </w:rPr>
                <w:br/>
                <w:delText>N</w:delText>
              </w:r>
              <w:r w:rsidR="009D5AC1" w:rsidRPr="00183B5F">
                <w:rPr>
                  <w:b/>
                  <w:sz w:val="22"/>
                  <w:lang w:val="hu-HU"/>
                </w:rPr>
                <w:delText> </w:delText>
              </w:r>
              <w:r w:rsidRPr="00183B5F">
                <w:rPr>
                  <w:b/>
                  <w:sz w:val="22"/>
                  <w:lang w:val="hu-HU"/>
                </w:rPr>
                <w:delText>=</w:delText>
              </w:r>
              <w:r w:rsidR="009D5AC1" w:rsidRPr="00183B5F">
                <w:rPr>
                  <w:lang w:val="hu-HU"/>
                </w:rPr>
                <w:delText> </w:delText>
              </w:r>
              <w:r w:rsidRPr="00183B5F">
                <w:rPr>
                  <w:b/>
                  <w:sz w:val="22"/>
                  <w:lang w:val="hu-HU"/>
                </w:rPr>
                <w:delText>73</w:delText>
              </w:r>
            </w:del>
          </w:p>
        </w:tc>
        <w:tc>
          <w:tcPr>
            <w:tcW w:w="1980" w:type="dxa"/>
            <w:vAlign w:val="bottom"/>
          </w:tcPr>
          <w:p w14:paraId="65FC954F" w14:textId="635A9E52" w:rsidR="008B7AF7" w:rsidRPr="00183B5F" w:rsidRDefault="00943743" w:rsidP="004062FE">
            <w:pPr>
              <w:pStyle w:val="TableLeft"/>
              <w:spacing w:before="0" w:after="0" w:line="240" w:lineRule="auto"/>
              <w:jc w:val="center"/>
              <w:rPr>
                <w:del w:id="6814" w:author="AbbVie_HU_03" w:date="2025-05-14T15:27:00Z"/>
                <w:b/>
                <w:sz w:val="22"/>
                <w:lang w:val="hu-HU"/>
              </w:rPr>
            </w:pPr>
            <w:del w:id="6815" w:author="AbbVie_HU_03" w:date="2025-05-14T15:27:00Z">
              <w:r w:rsidRPr="00183B5F">
                <w:rPr>
                  <w:b/>
                  <w:sz w:val="22"/>
                  <w:lang w:val="hu-HU"/>
                </w:rPr>
                <w:delText>Humira 40</w:delText>
              </w:r>
              <w:r w:rsidR="009D5AC1" w:rsidRPr="00183B5F">
                <w:rPr>
                  <w:b/>
                  <w:sz w:val="22"/>
                  <w:lang w:val="hu-HU"/>
                </w:rPr>
                <w:delText> </w:delText>
              </w:r>
              <w:r w:rsidRPr="00183B5F">
                <w:rPr>
                  <w:b/>
                  <w:sz w:val="22"/>
                  <w:lang w:val="hu-HU"/>
                </w:rPr>
                <w:delText>mg</w:delText>
              </w:r>
              <w:r w:rsidRPr="00183B5F">
                <w:rPr>
                  <w:b/>
                  <w:sz w:val="22"/>
                  <w:lang w:val="hu-HU"/>
                </w:rPr>
                <w:br/>
              </w:r>
              <w:r w:rsidR="00C2629A" w:rsidRPr="00183B5F">
                <w:rPr>
                  <w:b/>
                  <w:sz w:val="22"/>
                  <w:lang w:val="hu-HU"/>
                </w:rPr>
                <w:delText>minden 2. héten</w:delText>
              </w:r>
              <w:r w:rsidRPr="00183B5F">
                <w:rPr>
                  <w:b/>
                  <w:sz w:val="22"/>
                  <w:lang w:val="hu-HU"/>
                </w:rPr>
                <w:br/>
                <w:delText>N</w:delText>
              </w:r>
              <w:r w:rsidR="009D5AC1" w:rsidRPr="00183B5F">
                <w:rPr>
                  <w:b/>
                  <w:sz w:val="22"/>
                  <w:lang w:val="hu-HU"/>
                </w:rPr>
                <w:delText> </w:delText>
              </w:r>
              <w:r w:rsidRPr="00183B5F">
                <w:rPr>
                  <w:b/>
                  <w:sz w:val="22"/>
                  <w:lang w:val="hu-HU"/>
                </w:rPr>
                <w:delText>=</w:delText>
              </w:r>
              <w:r w:rsidR="009D5AC1" w:rsidRPr="00183B5F">
                <w:rPr>
                  <w:b/>
                  <w:sz w:val="22"/>
                  <w:lang w:val="hu-HU"/>
                </w:rPr>
                <w:delText> </w:delText>
              </w:r>
              <w:r w:rsidRPr="00183B5F">
                <w:rPr>
                  <w:b/>
                  <w:sz w:val="22"/>
                  <w:lang w:val="hu-HU"/>
                </w:rPr>
                <w:delText>70</w:delText>
              </w:r>
            </w:del>
          </w:p>
        </w:tc>
        <w:tc>
          <w:tcPr>
            <w:tcW w:w="1855" w:type="dxa"/>
            <w:vAlign w:val="bottom"/>
          </w:tcPr>
          <w:p w14:paraId="25F8E552" w14:textId="09948B1C" w:rsidR="008B7AF7" w:rsidRPr="00183B5F" w:rsidRDefault="00943743" w:rsidP="004062FE">
            <w:pPr>
              <w:pStyle w:val="TableLeft"/>
              <w:spacing w:before="0" w:after="0" w:line="240" w:lineRule="auto"/>
              <w:jc w:val="center"/>
              <w:rPr>
                <w:del w:id="6816" w:author="AbbVie_HU_03" w:date="2025-05-14T15:27:00Z"/>
                <w:b/>
                <w:sz w:val="22"/>
                <w:lang w:val="hu-HU"/>
              </w:rPr>
            </w:pPr>
            <w:del w:id="6817" w:author="AbbVie_HU_03" w:date="2025-05-14T15:27:00Z">
              <w:r w:rsidRPr="00183B5F">
                <w:rPr>
                  <w:b/>
                  <w:sz w:val="22"/>
                  <w:lang w:val="hu-HU"/>
                </w:rPr>
                <w:delText>Humira 40</w:delText>
              </w:r>
              <w:r w:rsidR="009D5AC1" w:rsidRPr="00183B5F">
                <w:rPr>
                  <w:b/>
                  <w:sz w:val="22"/>
                  <w:lang w:val="hu-HU"/>
                </w:rPr>
                <w:delText> </w:delText>
              </w:r>
              <w:r w:rsidRPr="00183B5F">
                <w:rPr>
                  <w:b/>
                  <w:sz w:val="22"/>
                  <w:lang w:val="hu-HU"/>
                </w:rPr>
                <w:delText>mg</w:delText>
              </w:r>
              <w:r w:rsidRPr="00183B5F">
                <w:rPr>
                  <w:b/>
                  <w:sz w:val="22"/>
                  <w:lang w:val="hu-HU"/>
                </w:rPr>
                <w:br/>
                <w:delText>hetente</w:delText>
              </w:r>
              <w:r w:rsidRPr="00183B5F">
                <w:rPr>
                  <w:b/>
                  <w:sz w:val="22"/>
                  <w:lang w:val="hu-HU"/>
                </w:rPr>
                <w:br/>
                <w:delText>N</w:delText>
              </w:r>
              <w:r w:rsidR="009D5AC1" w:rsidRPr="00183B5F">
                <w:rPr>
                  <w:b/>
                  <w:sz w:val="22"/>
                  <w:lang w:val="hu-HU"/>
                </w:rPr>
                <w:delText> </w:delText>
              </w:r>
              <w:r w:rsidRPr="00183B5F">
                <w:rPr>
                  <w:b/>
                  <w:sz w:val="22"/>
                  <w:lang w:val="hu-HU"/>
                </w:rPr>
                <w:delText>=</w:delText>
              </w:r>
              <w:r w:rsidR="009D5AC1" w:rsidRPr="00183B5F">
                <w:rPr>
                  <w:b/>
                  <w:sz w:val="22"/>
                  <w:lang w:val="hu-HU"/>
                </w:rPr>
                <w:delText> </w:delText>
              </w:r>
              <w:r w:rsidRPr="00183B5F">
                <w:rPr>
                  <w:b/>
                  <w:sz w:val="22"/>
                  <w:lang w:val="hu-HU"/>
                </w:rPr>
                <w:delText>70</w:delText>
              </w:r>
            </w:del>
          </w:p>
        </w:tc>
      </w:tr>
      <w:tr w:rsidR="00011D2F" w14:paraId="4D77C7A6" w14:textId="0AD93DBE" w:rsidTr="008B7AF7">
        <w:trPr>
          <w:jc w:val="center"/>
          <w:del w:id="6818" w:author="AbbVie_HU_03" w:date="2025-05-14T15:27:00Z"/>
        </w:trPr>
        <w:tc>
          <w:tcPr>
            <w:tcW w:w="1437" w:type="dxa"/>
          </w:tcPr>
          <w:p w14:paraId="1977275D" w14:textId="05FAF2B5" w:rsidR="008B7AF7" w:rsidRPr="00183B5F" w:rsidRDefault="00943743" w:rsidP="004062FE">
            <w:pPr>
              <w:pStyle w:val="TableLeft"/>
              <w:spacing w:before="0" w:after="0" w:line="240" w:lineRule="auto"/>
              <w:rPr>
                <w:del w:id="6819" w:author="AbbVie_HU_03" w:date="2025-05-14T15:27:00Z"/>
                <w:sz w:val="22"/>
                <w:lang w:val="hu-HU"/>
              </w:rPr>
            </w:pPr>
            <w:del w:id="6820" w:author="AbbVie_HU_03" w:date="2025-05-14T15:27:00Z">
              <w:r w:rsidRPr="00183B5F">
                <w:rPr>
                  <w:sz w:val="22"/>
                  <w:lang w:val="hu-HU"/>
                </w:rPr>
                <w:delText>24. hét</w:delText>
              </w:r>
            </w:del>
          </w:p>
        </w:tc>
        <w:tc>
          <w:tcPr>
            <w:tcW w:w="1980" w:type="dxa"/>
          </w:tcPr>
          <w:p w14:paraId="0B2DD8D4" w14:textId="6757A92E" w:rsidR="008B7AF7" w:rsidRPr="00183B5F" w:rsidRDefault="00943743" w:rsidP="004062FE">
            <w:pPr>
              <w:pStyle w:val="TableLeft"/>
              <w:spacing w:before="0" w:after="0" w:line="240" w:lineRule="auto"/>
              <w:jc w:val="center"/>
              <w:rPr>
                <w:del w:id="6821" w:author="AbbVie_HU_03" w:date="2025-05-14T15:27:00Z"/>
                <w:sz w:val="22"/>
                <w:lang w:val="hu-HU"/>
              </w:rPr>
            </w:pPr>
            <w:del w:id="6822" w:author="AbbVie_HU_03" w:date="2025-05-14T15:27:00Z">
              <w:r w:rsidRPr="00183B5F">
                <w:rPr>
                  <w:sz w:val="22"/>
                  <w:lang w:val="hu-HU"/>
                </w:rPr>
                <w:delText>24 (32,9%)</w:delText>
              </w:r>
            </w:del>
          </w:p>
        </w:tc>
        <w:tc>
          <w:tcPr>
            <w:tcW w:w="1980" w:type="dxa"/>
          </w:tcPr>
          <w:p w14:paraId="78E3FFC6" w14:textId="556AA3BE" w:rsidR="008B7AF7" w:rsidRPr="00183B5F" w:rsidRDefault="00943743" w:rsidP="004062FE">
            <w:pPr>
              <w:pStyle w:val="TableLeft"/>
              <w:spacing w:before="0" w:after="0" w:line="240" w:lineRule="auto"/>
              <w:jc w:val="center"/>
              <w:rPr>
                <w:del w:id="6823" w:author="AbbVie_HU_03" w:date="2025-05-14T15:27:00Z"/>
                <w:sz w:val="22"/>
                <w:lang w:val="hu-HU"/>
              </w:rPr>
            </w:pPr>
            <w:del w:id="6824" w:author="AbbVie_HU_03" w:date="2025-05-14T15:27:00Z">
              <w:r w:rsidRPr="00183B5F">
                <w:rPr>
                  <w:sz w:val="22"/>
                  <w:lang w:val="hu-HU"/>
                </w:rPr>
                <w:delText>36 (51,4%)</w:delText>
              </w:r>
            </w:del>
          </w:p>
        </w:tc>
        <w:tc>
          <w:tcPr>
            <w:tcW w:w="1855" w:type="dxa"/>
          </w:tcPr>
          <w:p w14:paraId="5DD84910" w14:textId="0525812D" w:rsidR="008B7AF7" w:rsidRPr="00183B5F" w:rsidRDefault="00943743" w:rsidP="004062FE">
            <w:pPr>
              <w:pStyle w:val="TableLeft"/>
              <w:spacing w:before="0" w:after="0" w:line="240" w:lineRule="auto"/>
              <w:jc w:val="center"/>
              <w:rPr>
                <w:del w:id="6825" w:author="AbbVie_HU_03" w:date="2025-05-14T15:27:00Z"/>
                <w:sz w:val="22"/>
                <w:lang w:val="hu-HU"/>
              </w:rPr>
            </w:pPr>
            <w:del w:id="6826" w:author="AbbVie_HU_03" w:date="2025-05-14T15:27:00Z">
              <w:r w:rsidRPr="00183B5F">
                <w:rPr>
                  <w:sz w:val="22"/>
                  <w:lang w:val="hu-HU"/>
                </w:rPr>
                <w:delText>40 (57,1%)</w:delText>
              </w:r>
            </w:del>
          </w:p>
        </w:tc>
      </w:tr>
      <w:tr w:rsidR="00011D2F" w14:paraId="6A241BDE" w14:textId="13419FAB" w:rsidTr="008B7AF7">
        <w:trPr>
          <w:jc w:val="center"/>
          <w:del w:id="6827" w:author="AbbVie_HU_03" w:date="2025-05-14T15:27:00Z"/>
        </w:trPr>
        <w:tc>
          <w:tcPr>
            <w:tcW w:w="1437" w:type="dxa"/>
          </w:tcPr>
          <w:p w14:paraId="0733072C" w14:textId="3DF22F7E" w:rsidR="008B7AF7" w:rsidRPr="00183B5F" w:rsidRDefault="00943743" w:rsidP="004062FE">
            <w:pPr>
              <w:pStyle w:val="TableLeft"/>
              <w:spacing w:before="0" w:after="0" w:line="240" w:lineRule="auto"/>
              <w:rPr>
                <w:del w:id="6828" w:author="AbbVie_HU_03" w:date="2025-05-14T15:27:00Z"/>
                <w:sz w:val="22"/>
                <w:lang w:val="hu-HU"/>
              </w:rPr>
            </w:pPr>
            <w:del w:id="6829" w:author="AbbVie_HU_03" w:date="2025-05-14T15:27:00Z">
              <w:r w:rsidRPr="00183B5F">
                <w:rPr>
                  <w:sz w:val="22"/>
                  <w:lang w:val="hu-HU"/>
                </w:rPr>
                <w:delText>36</w:delText>
              </w:r>
              <w:r w:rsidR="00C2629A" w:rsidRPr="00183B5F">
                <w:rPr>
                  <w:sz w:val="22"/>
                  <w:lang w:val="hu-HU"/>
                </w:rPr>
                <w:delText>. hét</w:delText>
              </w:r>
            </w:del>
          </w:p>
        </w:tc>
        <w:tc>
          <w:tcPr>
            <w:tcW w:w="1980" w:type="dxa"/>
          </w:tcPr>
          <w:p w14:paraId="4BA6CA9F" w14:textId="29C35724" w:rsidR="008B7AF7" w:rsidRPr="00183B5F" w:rsidRDefault="00943743" w:rsidP="004062FE">
            <w:pPr>
              <w:pStyle w:val="TableLeft"/>
              <w:spacing w:before="0" w:after="0" w:line="240" w:lineRule="auto"/>
              <w:jc w:val="center"/>
              <w:rPr>
                <w:del w:id="6830" w:author="AbbVie_HU_03" w:date="2025-05-14T15:27:00Z"/>
                <w:sz w:val="22"/>
                <w:lang w:val="hu-HU"/>
              </w:rPr>
            </w:pPr>
            <w:del w:id="6831" w:author="AbbVie_HU_03" w:date="2025-05-14T15:27:00Z">
              <w:r w:rsidRPr="00183B5F">
                <w:rPr>
                  <w:sz w:val="22"/>
                  <w:lang w:val="hu-HU"/>
                </w:rPr>
                <w:delText>22 (30,1%)</w:delText>
              </w:r>
            </w:del>
          </w:p>
        </w:tc>
        <w:tc>
          <w:tcPr>
            <w:tcW w:w="1980" w:type="dxa"/>
          </w:tcPr>
          <w:p w14:paraId="58B812F9" w14:textId="0FB60886" w:rsidR="008B7AF7" w:rsidRPr="00183B5F" w:rsidRDefault="00943743" w:rsidP="004062FE">
            <w:pPr>
              <w:pStyle w:val="TableLeft"/>
              <w:spacing w:before="0" w:after="0" w:line="240" w:lineRule="auto"/>
              <w:jc w:val="center"/>
              <w:rPr>
                <w:del w:id="6832" w:author="AbbVie_HU_03" w:date="2025-05-14T15:27:00Z"/>
                <w:sz w:val="22"/>
                <w:lang w:val="hu-HU"/>
              </w:rPr>
            </w:pPr>
            <w:del w:id="6833" w:author="AbbVie_HU_03" w:date="2025-05-14T15:27:00Z">
              <w:r w:rsidRPr="00183B5F">
                <w:rPr>
                  <w:sz w:val="22"/>
                  <w:lang w:val="hu-HU"/>
                </w:rPr>
                <w:delText>28 (40,0%)</w:delText>
              </w:r>
            </w:del>
          </w:p>
        </w:tc>
        <w:tc>
          <w:tcPr>
            <w:tcW w:w="1855" w:type="dxa"/>
          </w:tcPr>
          <w:p w14:paraId="28BCB2CD" w14:textId="03B6B4C5" w:rsidR="008B7AF7" w:rsidRPr="00183B5F" w:rsidRDefault="00943743" w:rsidP="004062FE">
            <w:pPr>
              <w:pStyle w:val="TableLeft"/>
              <w:spacing w:before="0" w:after="0" w:line="240" w:lineRule="auto"/>
              <w:jc w:val="center"/>
              <w:rPr>
                <w:del w:id="6834" w:author="AbbVie_HU_03" w:date="2025-05-14T15:27:00Z"/>
                <w:sz w:val="22"/>
                <w:lang w:val="hu-HU"/>
              </w:rPr>
            </w:pPr>
            <w:del w:id="6835" w:author="AbbVie_HU_03" w:date="2025-05-14T15:27:00Z">
              <w:r w:rsidRPr="00183B5F">
                <w:rPr>
                  <w:sz w:val="22"/>
                  <w:lang w:val="hu-HU"/>
                </w:rPr>
                <w:delText>39 (55,7%)</w:delText>
              </w:r>
            </w:del>
          </w:p>
        </w:tc>
      </w:tr>
      <w:tr w:rsidR="00011D2F" w14:paraId="19DD415E" w14:textId="6F0059AB" w:rsidTr="008B7AF7">
        <w:trPr>
          <w:jc w:val="center"/>
          <w:del w:id="6836" w:author="AbbVie_HU_03" w:date="2025-05-14T15:27:00Z"/>
        </w:trPr>
        <w:tc>
          <w:tcPr>
            <w:tcW w:w="7252" w:type="dxa"/>
            <w:gridSpan w:val="4"/>
          </w:tcPr>
          <w:p w14:paraId="064DF2BC" w14:textId="29563B45" w:rsidR="008B7AF7" w:rsidRPr="00183B5F" w:rsidRDefault="00943743" w:rsidP="004062FE">
            <w:pPr>
              <w:pStyle w:val="TableFootnoteLetter"/>
              <w:keepNext/>
              <w:numPr>
                <w:ilvl w:val="0"/>
                <w:numId w:val="0"/>
              </w:numPr>
              <w:tabs>
                <w:tab w:val="left" w:pos="423"/>
              </w:tabs>
              <w:spacing w:before="0" w:line="240" w:lineRule="auto"/>
              <w:ind w:left="423"/>
              <w:rPr>
                <w:del w:id="6837" w:author="AbbVie_HU_03" w:date="2025-05-14T15:27:00Z"/>
                <w:rFonts w:ascii="Times New Roman" w:hAnsi="Times New Roman"/>
                <w:sz w:val="22"/>
                <w:lang w:val="hu-HU"/>
              </w:rPr>
            </w:pPr>
            <w:del w:id="6838" w:author="AbbVie_HU_03" w:date="2025-05-14T15:27:00Z">
              <w:r w:rsidRPr="00183B5F">
                <w:rPr>
                  <w:rFonts w:ascii="Times New Roman" w:hAnsi="Times New Roman"/>
                  <w:sz w:val="22"/>
                  <w:vertAlign w:val="superscript"/>
                  <w:lang w:val="hu-HU"/>
                </w:rPr>
                <w:delText>a</w:delText>
              </w:r>
              <w:r w:rsidRPr="00183B5F">
                <w:rPr>
                  <w:rFonts w:ascii="Times New Roman" w:hAnsi="Times New Roman"/>
                  <w:sz w:val="22"/>
                  <w:lang w:val="hu-HU"/>
                </w:rPr>
                <w:delText xml:space="preserve"> </w:delText>
              </w:r>
              <w:r w:rsidR="00C2629A" w:rsidRPr="00183B5F">
                <w:rPr>
                  <w:rFonts w:ascii="Times New Roman" w:hAnsi="Times New Roman"/>
                  <w:sz w:val="22"/>
                  <w:lang w:val="hu-HU"/>
                </w:rPr>
                <w:delText>Betegek</w:delText>
              </w:r>
              <w:r w:rsidRPr="00183B5F">
                <w:rPr>
                  <w:rFonts w:ascii="Times New Roman" w:hAnsi="Times New Roman"/>
                  <w:sz w:val="22"/>
                  <w:lang w:val="hu-HU"/>
                </w:rPr>
                <w:delText>, akik</w:delText>
              </w:r>
              <w:r w:rsidR="00C2629A" w:rsidRPr="00183B5F">
                <w:rPr>
                  <w:rFonts w:ascii="Times New Roman" w:hAnsi="Times New Roman"/>
                  <w:sz w:val="22"/>
                  <w:lang w:val="hu-HU"/>
                </w:rPr>
                <w:delText xml:space="preserve"> legalább részleges </w:delText>
              </w:r>
              <w:r w:rsidRPr="00183B5F">
                <w:rPr>
                  <w:rFonts w:ascii="Times New Roman" w:hAnsi="Times New Roman"/>
                  <w:sz w:val="22"/>
                  <w:lang w:val="hu-HU"/>
                </w:rPr>
                <w:delText>választ adtak</w:delText>
              </w:r>
              <w:r w:rsidR="00C2629A" w:rsidRPr="00183B5F">
                <w:rPr>
                  <w:rFonts w:ascii="Times New Roman" w:hAnsi="Times New Roman"/>
                  <w:sz w:val="22"/>
                  <w:lang w:val="hu-HU"/>
                </w:rPr>
                <w:delText xml:space="preserve"> a heti 40 mg Humira</w:delText>
              </w:r>
              <w:r w:rsidR="00C2629A" w:rsidRPr="00183B5F">
                <w:rPr>
                  <w:rFonts w:ascii="Times New Roman" w:hAnsi="Times New Roman"/>
                  <w:sz w:val="22"/>
                  <w:lang w:val="hu-HU"/>
                </w:rPr>
                <w:noBreakHyphen/>
                <w:delText>ra a 12. hét után</w:delText>
              </w:r>
            </w:del>
          </w:p>
          <w:p w14:paraId="7765DD07" w14:textId="08C45512" w:rsidR="008B7AF7" w:rsidRPr="00183B5F" w:rsidRDefault="00943743" w:rsidP="004062FE">
            <w:pPr>
              <w:pStyle w:val="TableFootnoteLetter"/>
              <w:keepNext/>
              <w:numPr>
                <w:ilvl w:val="0"/>
                <w:numId w:val="0"/>
              </w:numPr>
              <w:tabs>
                <w:tab w:val="left" w:pos="423"/>
              </w:tabs>
              <w:spacing w:before="0" w:line="240" w:lineRule="auto"/>
              <w:ind w:left="423"/>
              <w:rPr>
                <w:del w:id="6839" w:author="AbbVie_HU_03" w:date="2025-05-14T15:27:00Z"/>
                <w:rFonts w:ascii="Times New Roman" w:hAnsi="Times New Roman"/>
                <w:sz w:val="22"/>
                <w:lang w:val="hu-HU"/>
              </w:rPr>
            </w:pPr>
            <w:del w:id="6840" w:author="AbbVie_HU_03" w:date="2025-05-14T15:27:00Z">
              <w:r w:rsidRPr="00183B5F">
                <w:rPr>
                  <w:rFonts w:ascii="Times New Roman" w:hAnsi="Times New Roman"/>
                  <w:sz w:val="22"/>
                  <w:vertAlign w:val="superscript"/>
                  <w:lang w:val="hu-HU"/>
                </w:rPr>
                <w:delText>b</w:delText>
              </w:r>
              <w:r w:rsidRPr="00183B5F">
                <w:rPr>
                  <w:rFonts w:ascii="Times New Roman" w:hAnsi="Times New Roman"/>
                  <w:sz w:val="22"/>
                  <w:lang w:val="hu-HU"/>
                </w:rPr>
                <w:delText xml:space="preserve"> Azoknál a b</w:delText>
              </w:r>
              <w:r w:rsidR="00C2629A" w:rsidRPr="00183B5F">
                <w:rPr>
                  <w:rFonts w:ascii="Times New Roman" w:hAnsi="Times New Roman"/>
                  <w:sz w:val="22"/>
                  <w:lang w:val="hu-HU"/>
                </w:rPr>
                <w:delText>etegek</w:delText>
              </w:r>
              <w:r w:rsidRPr="00183B5F">
                <w:rPr>
                  <w:rFonts w:ascii="Times New Roman" w:hAnsi="Times New Roman"/>
                  <w:sz w:val="22"/>
                  <w:lang w:val="hu-HU"/>
                </w:rPr>
                <w:delText>nél</w:delText>
              </w:r>
              <w:r w:rsidR="00C2629A" w:rsidRPr="00183B5F">
                <w:rPr>
                  <w:rFonts w:ascii="Times New Roman" w:hAnsi="Times New Roman"/>
                  <w:sz w:val="22"/>
                  <w:lang w:val="hu-HU"/>
                </w:rPr>
                <w:delText xml:space="preserve">, akik </w:delText>
              </w:r>
              <w:r w:rsidR="009330D0" w:rsidRPr="00183B5F">
                <w:rPr>
                  <w:rFonts w:ascii="Times New Roman" w:hAnsi="Times New Roman"/>
                  <w:sz w:val="22"/>
                  <w:lang w:val="hu-HU"/>
                </w:rPr>
                <w:delText>megfeleltek a</w:delText>
              </w:r>
              <w:r w:rsidR="00C2629A" w:rsidRPr="00183B5F">
                <w:rPr>
                  <w:rFonts w:ascii="Times New Roman" w:hAnsi="Times New Roman"/>
                  <w:sz w:val="22"/>
                  <w:lang w:val="hu-HU"/>
                </w:rPr>
                <w:delText xml:space="preserve"> </w:delText>
              </w:r>
              <w:r w:rsidRPr="00183B5F">
                <w:rPr>
                  <w:rFonts w:ascii="Times New Roman" w:hAnsi="Times New Roman"/>
                  <w:sz w:val="22"/>
                  <w:lang w:val="hu-HU"/>
                </w:rPr>
                <w:delText>válasz</w:delText>
              </w:r>
              <w:r w:rsidR="00E4090D" w:rsidRPr="00183B5F">
                <w:rPr>
                  <w:rFonts w:ascii="Times New Roman" w:hAnsi="Times New Roman"/>
                  <w:sz w:val="22"/>
                  <w:lang w:val="hu-HU"/>
                </w:rPr>
                <w:delText>reakció</w:delText>
              </w:r>
              <w:r w:rsidRPr="00183B5F">
                <w:rPr>
                  <w:rFonts w:ascii="Times New Roman" w:hAnsi="Times New Roman"/>
                  <w:sz w:val="22"/>
                  <w:lang w:val="hu-HU"/>
                </w:rPr>
                <w:delText xml:space="preserve"> </w:delText>
              </w:r>
              <w:r w:rsidR="00E4090D" w:rsidRPr="00183B5F">
                <w:rPr>
                  <w:rFonts w:ascii="Times New Roman" w:hAnsi="Times New Roman"/>
                  <w:sz w:val="22"/>
                  <w:lang w:val="hu-HU"/>
                </w:rPr>
                <w:delText>megszűnés</w:delText>
              </w:r>
              <w:r w:rsidR="009330D0" w:rsidRPr="00183B5F">
                <w:rPr>
                  <w:rFonts w:ascii="Times New Roman" w:hAnsi="Times New Roman"/>
                  <w:sz w:val="22"/>
                  <w:lang w:val="hu-HU"/>
                </w:rPr>
                <w:delText xml:space="preserve">ének </w:delText>
              </w:r>
              <w:r w:rsidR="007F1C6B" w:rsidRPr="00183B5F">
                <w:rPr>
                  <w:rFonts w:ascii="Times New Roman" w:hAnsi="Times New Roman"/>
                  <w:sz w:val="22"/>
                  <w:lang w:val="hu-HU"/>
                </w:rPr>
                <w:delText xml:space="preserve">vagy a javulás hiányának </w:delText>
              </w:r>
              <w:r w:rsidR="009330D0" w:rsidRPr="00183B5F">
                <w:rPr>
                  <w:rFonts w:ascii="Times New Roman" w:hAnsi="Times New Roman"/>
                  <w:sz w:val="22"/>
                  <w:lang w:val="hu-HU"/>
                </w:rPr>
                <w:delText>protokollban meghatározott kritériumainak</w:delText>
              </w:r>
              <w:r w:rsidR="00C2629A" w:rsidRPr="00183B5F">
                <w:rPr>
                  <w:rFonts w:ascii="Times New Roman" w:hAnsi="Times New Roman"/>
                  <w:sz w:val="22"/>
                  <w:lang w:val="hu-HU"/>
                </w:rPr>
                <w:delText xml:space="preserve">, </w:delText>
              </w:r>
              <w:r w:rsidRPr="00183B5F">
                <w:rPr>
                  <w:rFonts w:ascii="Times New Roman" w:hAnsi="Times New Roman"/>
                  <w:sz w:val="22"/>
                  <w:lang w:val="hu-HU"/>
                </w:rPr>
                <w:delText>leállították a kezelést</w:delText>
              </w:r>
              <w:r w:rsidR="009330D0" w:rsidRPr="00183B5F">
                <w:rPr>
                  <w:rFonts w:ascii="Times New Roman" w:hAnsi="Times New Roman"/>
                  <w:sz w:val="22"/>
                  <w:lang w:val="hu-HU"/>
                </w:rPr>
                <w:delText>,</w:delText>
              </w:r>
              <w:r w:rsidR="00C2629A" w:rsidRPr="00183B5F">
                <w:rPr>
                  <w:rFonts w:ascii="Times New Roman" w:hAnsi="Times New Roman"/>
                  <w:sz w:val="22"/>
                  <w:lang w:val="hu-HU"/>
                </w:rPr>
                <w:delText xml:space="preserve"> és nem reagálóknak számítottak</w:delText>
              </w:r>
              <w:r w:rsidRPr="00183B5F">
                <w:rPr>
                  <w:rFonts w:ascii="Times New Roman" w:hAnsi="Times New Roman"/>
                  <w:sz w:val="22"/>
                  <w:lang w:val="hu-HU"/>
                </w:rPr>
                <w:delText>.</w:delText>
              </w:r>
            </w:del>
          </w:p>
        </w:tc>
      </w:tr>
    </w:tbl>
    <w:p w14:paraId="5821754F" w14:textId="7B7CF5EB" w:rsidR="008B7AF7" w:rsidRPr="00183B5F" w:rsidRDefault="008B7AF7" w:rsidP="004062FE">
      <w:pPr>
        <w:spacing w:line="240" w:lineRule="auto"/>
        <w:rPr>
          <w:del w:id="6841" w:author="AbbVie_HU_03" w:date="2025-05-14T15:27:00Z"/>
          <w:color w:val="000000"/>
        </w:rPr>
      </w:pPr>
    </w:p>
    <w:p w14:paraId="169E4074" w14:textId="42E28546" w:rsidR="008D7521" w:rsidRPr="00183B5F" w:rsidRDefault="00943743" w:rsidP="004062FE">
      <w:pPr>
        <w:spacing w:line="240" w:lineRule="auto"/>
        <w:rPr>
          <w:del w:id="6842" w:author="AbbVie_HU_03" w:date="2025-05-14T15:27:00Z"/>
          <w:color w:val="000000"/>
        </w:rPr>
      </w:pPr>
      <w:del w:id="6843" w:author="AbbVie_HU_03" w:date="2025-05-14T15:27:00Z">
        <w:r w:rsidRPr="00183B5F">
          <w:rPr>
            <w:color w:val="000000"/>
          </w:rPr>
          <w:delText>Azoknál a betegeknél, akik legalább részlegesen reagáltak a 12. héten</w:delText>
        </w:r>
        <w:r w:rsidR="009330D0" w:rsidRPr="00183B5F">
          <w:rPr>
            <w:color w:val="000000"/>
          </w:rPr>
          <w:delText>,</w:delText>
        </w:r>
        <w:r w:rsidRPr="00183B5F">
          <w:rPr>
            <w:color w:val="000000"/>
          </w:rPr>
          <w:delText xml:space="preserve"> és akik folyamatos heti Humira terápiát kaptak, a HiSCR arány a 48. héten </w:delText>
        </w:r>
        <w:r w:rsidR="00994AB3" w:rsidRPr="00183B5F">
          <w:rPr>
            <w:color w:val="000000"/>
          </w:rPr>
          <w:delText>68,3%</w:delText>
        </w:r>
        <w:r w:rsidR="00ED45A7" w:rsidRPr="00183B5F">
          <w:rPr>
            <w:color w:val="000000"/>
          </w:rPr>
          <w:delText>,</w:delText>
        </w:r>
        <w:r w:rsidR="00994AB3" w:rsidRPr="00183B5F">
          <w:rPr>
            <w:color w:val="000000"/>
          </w:rPr>
          <w:delText xml:space="preserve"> a 96. héten pedig 65,1% volt. </w:delText>
        </w:r>
        <w:r w:rsidRPr="00183B5F">
          <w:rPr>
            <w:color w:val="000000"/>
          </w:rPr>
          <w:delText xml:space="preserve">A </w:delText>
        </w:r>
        <w:r w:rsidR="006F700B" w:rsidRPr="00183B5F">
          <w:rPr>
            <w:color w:val="000000"/>
          </w:rPr>
          <w:delText xml:space="preserve">heti </w:delText>
        </w:r>
        <w:r w:rsidRPr="00183B5F">
          <w:rPr>
            <w:color w:val="000000"/>
          </w:rPr>
          <w:delText>40 mg Humira</w:delText>
        </w:r>
        <w:r w:rsidRPr="00183B5F">
          <w:rPr>
            <w:color w:val="000000"/>
          </w:rPr>
          <w:noBreakHyphen/>
        </w:r>
        <w:r w:rsidRPr="00183B5F">
          <w:rPr>
            <w:color w:val="000000"/>
          </w:rPr>
          <w:delText>val történő hosszabb távú kezelés során a 96. hétig nem azonosítottak új</w:delText>
        </w:r>
        <w:r w:rsidR="006F700B" w:rsidRPr="00183B5F">
          <w:rPr>
            <w:color w:val="000000"/>
          </w:rPr>
          <w:delText>,</w:delText>
        </w:r>
        <w:r w:rsidRPr="00183B5F">
          <w:rPr>
            <w:color w:val="000000"/>
          </w:rPr>
          <w:delText xml:space="preserve"> biztonság</w:delText>
        </w:r>
        <w:r w:rsidR="006F700B" w:rsidRPr="00183B5F">
          <w:rPr>
            <w:color w:val="000000"/>
          </w:rPr>
          <w:delText>osság</w:delText>
        </w:r>
        <w:r w:rsidR="00D20679" w:rsidRPr="00183B5F">
          <w:rPr>
            <w:color w:val="000000"/>
          </w:rPr>
          <w:delText>i</w:delText>
        </w:r>
        <w:r w:rsidRPr="00183B5F">
          <w:rPr>
            <w:color w:val="000000"/>
          </w:rPr>
          <w:delText xml:space="preserve"> eseményt.</w:delText>
        </w:r>
      </w:del>
    </w:p>
    <w:p w14:paraId="501B5311" w14:textId="071F9B9C" w:rsidR="00C2629A" w:rsidRPr="00183B5F" w:rsidRDefault="00C2629A">
      <w:pPr>
        <w:suppressAutoHyphens w:val="0"/>
        <w:spacing w:line="240" w:lineRule="auto"/>
        <w:rPr>
          <w:del w:id="6844" w:author="AbbVie_HU_03" w:date="2025-05-14T15:27:00Z"/>
          <w:color w:val="000000"/>
        </w:rPr>
      </w:pPr>
    </w:p>
    <w:p w14:paraId="434EA478" w14:textId="0F60B35B" w:rsidR="00C2629A" w:rsidRPr="00183B5F" w:rsidRDefault="00943743">
      <w:pPr>
        <w:suppressAutoHyphens w:val="0"/>
        <w:spacing w:line="240" w:lineRule="auto"/>
        <w:rPr>
          <w:del w:id="6845" w:author="AbbVie_HU_03" w:date="2025-05-14T15:27:00Z"/>
          <w:sz w:val="24"/>
        </w:rPr>
      </w:pPr>
      <w:del w:id="6846" w:author="AbbVie_HU_03" w:date="2025-05-14T15:27:00Z">
        <w:r w:rsidRPr="00183B5F">
          <w:rPr>
            <w:color w:val="000000"/>
          </w:rPr>
          <w:delText xml:space="preserve">Azoknál a betegeknél, </w:delText>
        </w:r>
        <w:r w:rsidR="007526F0" w:rsidRPr="00183B5F">
          <w:rPr>
            <w:color w:val="000000"/>
          </w:rPr>
          <w:delText>akiknél</w:delText>
        </w:r>
        <w:r w:rsidRPr="00183B5F">
          <w:rPr>
            <w:color w:val="000000"/>
          </w:rPr>
          <w:delText xml:space="preserve"> a 12. héten </w:delText>
        </w:r>
        <w:r w:rsidR="007526F0" w:rsidRPr="00183B5F">
          <w:rPr>
            <w:color w:val="000000"/>
          </w:rPr>
          <w:delText>leállították</w:delText>
        </w:r>
        <w:r w:rsidRPr="00183B5F">
          <w:rPr>
            <w:color w:val="000000"/>
          </w:rPr>
          <w:delText xml:space="preserve"> a Humira kezelést a HS</w:delText>
        </w:r>
        <w:r w:rsidRPr="00183B5F">
          <w:rPr>
            <w:color w:val="000000"/>
          </w:rPr>
          <w:noBreakHyphen/>
          <w:delText>I és HS</w:delText>
        </w:r>
        <w:r w:rsidRPr="00183B5F">
          <w:rPr>
            <w:color w:val="000000"/>
          </w:rPr>
          <w:noBreakHyphen/>
          <w:delText xml:space="preserve">II vizsgálatban, a HiSCR arány 12 héttel a 40 mg Humira heti adagolásának újbóli bevezetése után visszatért </w:delText>
        </w:r>
        <w:r w:rsidR="00C818A3" w:rsidRPr="00183B5F">
          <w:rPr>
            <w:color w:val="000000"/>
          </w:rPr>
          <w:delText xml:space="preserve">hasonló </w:delText>
        </w:r>
        <w:r w:rsidRPr="00183B5F">
          <w:rPr>
            <w:color w:val="000000"/>
          </w:rPr>
          <w:delText>szintre,</w:delText>
        </w:r>
        <w:r w:rsidR="00C818A3" w:rsidRPr="00183B5F">
          <w:rPr>
            <w:color w:val="000000"/>
          </w:rPr>
          <w:delText xml:space="preserve"> mint</w:delText>
        </w:r>
        <w:r w:rsidRPr="00183B5F">
          <w:rPr>
            <w:color w:val="000000"/>
          </w:rPr>
          <w:delText xml:space="preserve"> amit a </w:delText>
        </w:r>
        <w:r w:rsidR="007526F0" w:rsidRPr="00183B5F">
          <w:rPr>
            <w:color w:val="000000"/>
          </w:rPr>
          <w:delText>leállítás</w:delText>
        </w:r>
        <w:r w:rsidRPr="00183B5F">
          <w:rPr>
            <w:color w:val="000000"/>
          </w:rPr>
          <w:delText xml:space="preserve"> előtt megfigyeltek (56,0%).</w:delText>
        </w:r>
      </w:del>
    </w:p>
    <w:p w14:paraId="3B085BA6" w14:textId="0BCD693A" w:rsidR="00EA2231" w:rsidRPr="00183B5F" w:rsidRDefault="00EA2231" w:rsidP="004062FE">
      <w:pPr>
        <w:spacing w:line="240" w:lineRule="auto"/>
        <w:rPr>
          <w:del w:id="6847" w:author="AbbVie_HU_03" w:date="2025-05-14T15:27:00Z"/>
          <w:color w:val="000000"/>
        </w:rPr>
      </w:pPr>
    </w:p>
    <w:p w14:paraId="4AB0B0CB" w14:textId="3B43081C" w:rsidR="00FB6710" w:rsidRPr="00183B5F" w:rsidRDefault="00943743" w:rsidP="004062FE">
      <w:pPr>
        <w:keepNext/>
        <w:spacing w:line="240" w:lineRule="auto"/>
        <w:rPr>
          <w:del w:id="6848" w:author="AbbVie_HU_03" w:date="2025-05-14T15:27:00Z"/>
          <w:i/>
          <w:szCs w:val="22"/>
        </w:rPr>
      </w:pPr>
      <w:del w:id="6849" w:author="AbbVie_HU_03" w:date="2025-05-14T15:27:00Z">
        <w:r w:rsidRPr="00183B5F">
          <w:rPr>
            <w:i/>
            <w:szCs w:val="22"/>
          </w:rPr>
          <w:delText>Crohn</w:delText>
        </w:r>
        <w:r w:rsidR="0053774C" w:rsidRPr="00183B5F">
          <w:rPr>
            <w:i/>
            <w:szCs w:val="22"/>
          </w:rPr>
          <w:noBreakHyphen/>
        </w:r>
        <w:r w:rsidRPr="00183B5F">
          <w:rPr>
            <w:i/>
            <w:szCs w:val="22"/>
          </w:rPr>
          <w:delText>betegség</w:delText>
        </w:r>
      </w:del>
    </w:p>
    <w:p w14:paraId="777B2C24" w14:textId="159AEE3F" w:rsidR="00FB6710" w:rsidRPr="00183B5F" w:rsidRDefault="00FB6710" w:rsidP="004062FE">
      <w:pPr>
        <w:keepNext/>
        <w:spacing w:line="240" w:lineRule="auto"/>
        <w:rPr>
          <w:del w:id="6850" w:author="AbbVie_HU_03" w:date="2025-05-14T15:27:00Z"/>
          <w:szCs w:val="22"/>
        </w:rPr>
      </w:pPr>
    </w:p>
    <w:p w14:paraId="4B595D75" w14:textId="64A063C3" w:rsidR="00FB6710" w:rsidRPr="00183B5F" w:rsidRDefault="00943743" w:rsidP="004062FE">
      <w:pPr>
        <w:keepNext/>
        <w:spacing w:line="240" w:lineRule="auto"/>
        <w:rPr>
          <w:del w:id="6851" w:author="AbbVie_HU_03" w:date="2025-05-14T15:27:00Z"/>
          <w:szCs w:val="22"/>
        </w:rPr>
      </w:pPr>
      <w:del w:id="6852" w:author="AbbVie_HU_03" w:date="2025-05-14T15:27:00Z">
        <w:r w:rsidRPr="00183B5F">
          <w:rPr>
            <w:szCs w:val="22"/>
          </w:rPr>
          <w:delText xml:space="preserve">A Humira biztonságosságát és </w:delText>
        </w:r>
        <w:r w:rsidR="00DD05E1" w:rsidRPr="00183B5F">
          <w:rPr>
            <w:szCs w:val="22"/>
          </w:rPr>
          <w:delText xml:space="preserve">hatásosságát </w:delText>
        </w:r>
        <w:r w:rsidRPr="00183B5F">
          <w:rPr>
            <w:szCs w:val="22"/>
          </w:rPr>
          <w:delText>több mint 1500, köz</w:delText>
        </w:r>
        <w:r w:rsidR="00430282" w:rsidRPr="00183B5F">
          <w:rPr>
            <w:szCs w:val="22"/>
          </w:rPr>
          <w:delText>e</w:delText>
        </w:r>
        <w:r w:rsidRPr="00183B5F">
          <w:rPr>
            <w:szCs w:val="22"/>
          </w:rPr>
          <w:delText>p</w:delText>
        </w:r>
        <w:r w:rsidR="00430282" w:rsidRPr="00183B5F">
          <w:rPr>
            <w:szCs w:val="22"/>
          </w:rPr>
          <w:delText xml:space="preserve">esen </w:delText>
        </w:r>
        <w:r w:rsidRPr="00183B5F">
          <w:rPr>
            <w:szCs w:val="22"/>
          </w:rPr>
          <w:delText>súlyos</w:delText>
        </w:r>
        <w:r w:rsidR="00430282" w:rsidRPr="00183B5F">
          <w:rPr>
            <w:szCs w:val="22"/>
          </w:rPr>
          <w:delText xml:space="preserve"> </w:delText>
        </w:r>
        <w:r w:rsidR="00821DCB" w:rsidRPr="00183B5F">
          <w:rPr>
            <w:szCs w:val="22"/>
          </w:rPr>
          <w:delText>–</w:delText>
        </w:r>
        <w:r w:rsidR="00430282" w:rsidRPr="00183B5F">
          <w:rPr>
            <w:szCs w:val="22"/>
          </w:rPr>
          <w:delText xml:space="preserve"> </w:delText>
        </w:r>
        <w:r w:rsidRPr="00183B5F">
          <w:rPr>
            <w:szCs w:val="22"/>
          </w:rPr>
          <w:delText>súlyos aktivitású Crohn</w:delText>
        </w:r>
        <w:r w:rsidR="0053774C" w:rsidRPr="00183B5F">
          <w:rPr>
            <w:szCs w:val="22"/>
          </w:rPr>
          <w:noBreakHyphen/>
        </w:r>
        <w:r w:rsidRPr="00183B5F">
          <w:rPr>
            <w:szCs w:val="22"/>
          </w:rPr>
          <w:delText xml:space="preserve">betegségben (CDAI [Crohn’s Disease Activity Index – </w:delText>
        </w:r>
        <w:r w:rsidRPr="00183B5F">
          <w:rPr>
            <w:bCs/>
            <w:szCs w:val="22"/>
          </w:rPr>
          <w:delText>Crohn</w:delText>
        </w:r>
        <w:r w:rsidR="0053774C" w:rsidRPr="00183B5F">
          <w:rPr>
            <w:b/>
            <w:bCs/>
            <w:szCs w:val="22"/>
          </w:rPr>
          <w:noBreakHyphen/>
        </w:r>
        <w:r w:rsidRPr="00183B5F">
          <w:rPr>
            <w:szCs w:val="22"/>
          </w:rPr>
          <w:delText xml:space="preserve">betegség aktivitási index] </w:delText>
        </w:r>
        <w:r w:rsidR="00566101" w:rsidRPr="00183B5F">
          <w:rPr>
            <w:szCs w:val="22"/>
          </w:rPr>
          <w:delText>≥ </w:delText>
        </w:r>
        <w:r w:rsidRPr="00183B5F">
          <w:rPr>
            <w:szCs w:val="22"/>
          </w:rPr>
          <w:delText>220 – </w:delText>
        </w:r>
        <w:r w:rsidR="00566101" w:rsidRPr="00183B5F">
          <w:rPr>
            <w:szCs w:val="22"/>
          </w:rPr>
          <w:delText>≤</w:delText>
        </w:r>
        <w:r w:rsidRPr="00183B5F">
          <w:rPr>
            <w:szCs w:val="22"/>
          </w:rPr>
          <w:delText xml:space="preserve">450) szenvedő betegen értékelték randomizált, </w:delText>
        </w:r>
        <w:r w:rsidR="00E5381A" w:rsidRPr="00183B5F">
          <w:rPr>
            <w:szCs w:val="22"/>
          </w:rPr>
          <w:delText>kettős vak</w:delText>
        </w:r>
        <w:r w:rsidRPr="00183B5F">
          <w:rPr>
            <w:szCs w:val="22"/>
          </w:rPr>
          <w:delText>, placebokontrollos vizsgálattal. Az aminoszalicilátok, kortikoszteroidok és/vagy immunmodulánsok alkalmazását változatlan dózisban engedélyezték; e szerek legalább egyikét a betegek 80%</w:delText>
        </w:r>
        <w:r w:rsidR="0053774C" w:rsidRPr="00183B5F">
          <w:rPr>
            <w:szCs w:val="22"/>
          </w:rPr>
          <w:noBreakHyphen/>
        </w:r>
        <w:r w:rsidRPr="00183B5F">
          <w:rPr>
            <w:szCs w:val="22"/>
          </w:rPr>
          <w:delText>a továbbra is kapta.</w:delText>
        </w:r>
      </w:del>
    </w:p>
    <w:p w14:paraId="3E633F6D" w14:textId="78201AAF" w:rsidR="00FB6710" w:rsidRPr="00183B5F" w:rsidRDefault="00FB6710" w:rsidP="004062FE">
      <w:pPr>
        <w:spacing w:line="240" w:lineRule="auto"/>
        <w:rPr>
          <w:del w:id="6853" w:author="AbbVie_HU_03" w:date="2025-05-14T15:27:00Z"/>
          <w:szCs w:val="22"/>
        </w:rPr>
      </w:pPr>
    </w:p>
    <w:p w14:paraId="0084FDFC" w14:textId="64A15219" w:rsidR="00FB6710" w:rsidRPr="00183B5F" w:rsidRDefault="00943743" w:rsidP="004062FE">
      <w:pPr>
        <w:spacing w:line="240" w:lineRule="auto"/>
        <w:rPr>
          <w:del w:id="6854" w:author="AbbVie_HU_03" w:date="2025-05-14T15:27:00Z"/>
          <w:szCs w:val="22"/>
        </w:rPr>
      </w:pPr>
      <w:del w:id="6855" w:author="AbbVie_HU_03" w:date="2025-05-14T15:27:00Z">
        <w:r w:rsidRPr="00183B5F">
          <w:rPr>
            <w:szCs w:val="22"/>
          </w:rPr>
          <w:delText>A klinikai remisszió indukcióját (meghatározás szerint CDAI &lt; 150) két vizsgálat a CD</w:delText>
        </w:r>
        <w:r w:rsidR="0053774C" w:rsidRPr="00183B5F">
          <w:rPr>
            <w:szCs w:val="22"/>
          </w:rPr>
          <w:delText> </w:delText>
        </w:r>
        <w:r w:rsidRPr="00183B5F">
          <w:rPr>
            <w:szCs w:val="22"/>
          </w:rPr>
          <w:delText>I (CLASSIC I) és a CD</w:delText>
        </w:r>
        <w:r w:rsidR="0053774C" w:rsidRPr="00183B5F">
          <w:rPr>
            <w:szCs w:val="22"/>
          </w:rPr>
          <w:delText> </w:delText>
        </w:r>
        <w:r w:rsidRPr="00183B5F">
          <w:rPr>
            <w:szCs w:val="22"/>
          </w:rPr>
          <w:delText>II (GAIN) értékelte. A CD</w:delText>
        </w:r>
        <w:r w:rsidR="0053774C" w:rsidRPr="00183B5F">
          <w:rPr>
            <w:szCs w:val="22"/>
          </w:rPr>
          <w:delText> </w:delText>
        </w:r>
        <w:r w:rsidRPr="00183B5F">
          <w:rPr>
            <w:szCs w:val="22"/>
          </w:rPr>
          <w:delText>I vizsgálatban 299, TNF</w:delText>
        </w:r>
        <w:r w:rsidR="0053774C" w:rsidRPr="00183B5F">
          <w:rPr>
            <w:szCs w:val="22"/>
          </w:rPr>
          <w:noBreakHyphen/>
        </w:r>
        <w:r w:rsidRPr="00183B5F">
          <w:rPr>
            <w:szCs w:val="22"/>
          </w:rPr>
          <w:delText>antagonistával korábban még nem kezelt beteget soroltak véletlenszerűen a négy terápiás csoport valamelyikébe (placebokezelés a 0. és a 2.</w:delText>
        </w:r>
        <w:r w:rsidR="00A44DB6" w:rsidRPr="00183B5F">
          <w:rPr>
            <w:szCs w:val="22"/>
          </w:rPr>
          <w:delText> hét</w:delText>
        </w:r>
        <w:r w:rsidRPr="00183B5F">
          <w:rPr>
            <w:szCs w:val="22"/>
          </w:rPr>
          <w:delText>en; 160 mg Humira a 0. és 80 mg a 2.</w:delText>
        </w:r>
        <w:r w:rsidR="00A44DB6" w:rsidRPr="00183B5F">
          <w:rPr>
            <w:szCs w:val="22"/>
          </w:rPr>
          <w:delText> hét</w:delText>
        </w:r>
        <w:r w:rsidRPr="00183B5F">
          <w:rPr>
            <w:szCs w:val="22"/>
          </w:rPr>
          <w:delText>en; 80 mg Humira a 0. és 40 mg a 2.</w:delText>
        </w:r>
        <w:r w:rsidR="00A44DB6" w:rsidRPr="00183B5F">
          <w:rPr>
            <w:szCs w:val="22"/>
          </w:rPr>
          <w:delText> hét</w:delText>
        </w:r>
        <w:r w:rsidRPr="00183B5F">
          <w:rPr>
            <w:szCs w:val="22"/>
          </w:rPr>
          <w:delText>en; 40 mg Humira a 0. és 20 mg a 2.</w:delText>
        </w:r>
        <w:r w:rsidR="00A44DB6" w:rsidRPr="00183B5F">
          <w:rPr>
            <w:szCs w:val="22"/>
          </w:rPr>
          <w:delText> hét</w:delText>
        </w:r>
        <w:r w:rsidRPr="00183B5F">
          <w:rPr>
            <w:szCs w:val="22"/>
          </w:rPr>
          <w:delText>en). A CD</w:delText>
        </w:r>
        <w:r w:rsidR="00E91E1C" w:rsidRPr="00183B5F">
          <w:rPr>
            <w:szCs w:val="22"/>
          </w:rPr>
          <w:delText> </w:delText>
        </w:r>
        <w:r w:rsidRPr="00183B5F">
          <w:rPr>
            <w:szCs w:val="22"/>
          </w:rPr>
          <w:delText>II vizsgálatban 325</w:delText>
        </w:r>
        <w:r w:rsidR="00E91E1C" w:rsidRPr="00183B5F">
          <w:rPr>
            <w:szCs w:val="22"/>
          </w:rPr>
          <w:delText> </w:delText>
        </w:r>
        <w:r w:rsidRPr="00183B5F">
          <w:rPr>
            <w:szCs w:val="22"/>
          </w:rPr>
          <w:delText>beteget, akinél hatástalanná vált az infliximab, vagy infliximab-intolerancia állt fenn, véletlenszerű besorolás alapján a 0.</w:delText>
        </w:r>
        <w:r w:rsidR="00A44DB6" w:rsidRPr="00183B5F">
          <w:rPr>
            <w:szCs w:val="22"/>
          </w:rPr>
          <w:delText> hét</w:delText>
        </w:r>
        <w:r w:rsidRPr="00183B5F">
          <w:rPr>
            <w:szCs w:val="22"/>
          </w:rPr>
          <w:delText>en 160 mg, illetve a 2.</w:delText>
        </w:r>
        <w:r w:rsidR="00A44DB6" w:rsidRPr="00183B5F">
          <w:rPr>
            <w:szCs w:val="22"/>
          </w:rPr>
          <w:delText> hét</w:delText>
        </w:r>
        <w:r w:rsidRPr="00183B5F">
          <w:rPr>
            <w:szCs w:val="22"/>
          </w:rPr>
          <w:delText>en 80 mg Humira</w:delText>
        </w:r>
        <w:r w:rsidR="00E91E1C" w:rsidRPr="00183B5F">
          <w:rPr>
            <w:szCs w:val="22"/>
          </w:rPr>
          <w:noBreakHyphen/>
        </w:r>
        <w:r w:rsidRPr="00183B5F">
          <w:rPr>
            <w:szCs w:val="22"/>
          </w:rPr>
          <w:delText>val vagy a 0. és a 2.</w:delText>
        </w:r>
        <w:r w:rsidR="00A44DB6" w:rsidRPr="00183B5F">
          <w:rPr>
            <w:szCs w:val="22"/>
          </w:rPr>
          <w:delText> hét</w:delText>
        </w:r>
        <w:r w:rsidRPr="00183B5F">
          <w:rPr>
            <w:szCs w:val="22"/>
          </w:rPr>
          <w:delText>en adott placebóval kezeltek. A primer nem reagálókat kizárták a vizsgálatokból, ezért ezeket a betegeket a továbbiakban nem értékelték.</w:delText>
        </w:r>
      </w:del>
    </w:p>
    <w:p w14:paraId="091067AB" w14:textId="1BD76B17" w:rsidR="00FB6710" w:rsidRPr="00183B5F" w:rsidRDefault="00FB6710" w:rsidP="004062FE">
      <w:pPr>
        <w:spacing w:line="240" w:lineRule="auto"/>
        <w:rPr>
          <w:del w:id="6856" w:author="AbbVie_HU_03" w:date="2025-05-14T15:27:00Z"/>
          <w:szCs w:val="22"/>
        </w:rPr>
      </w:pPr>
    </w:p>
    <w:p w14:paraId="5565CAA9" w14:textId="0F0269B8" w:rsidR="00FB6710" w:rsidRPr="00183B5F" w:rsidRDefault="00943743" w:rsidP="004062FE">
      <w:pPr>
        <w:spacing w:line="240" w:lineRule="auto"/>
        <w:rPr>
          <w:del w:id="6857" w:author="AbbVie_HU_03" w:date="2025-05-14T15:27:00Z"/>
          <w:szCs w:val="22"/>
        </w:rPr>
      </w:pPr>
      <w:del w:id="6858" w:author="AbbVie_HU_03" w:date="2025-05-14T15:27:00Z">
        <w:r w:rsidRPr="00183B5F">
          <w:rPr>
            <w:szCs w:val="22"/>
          </w:rPr>
          <w:delText>A klinikai remisszió fenntartását a CD</w:delText>
        </w:r>
        <w:r w:rsidR="00E91E1C" w:rsidRPr="00183B5F">
          <w:rPr>
            <w:szCs w:val="22"/>
          </w:rPr>
          <w:delText> </w:delText>
        </w:r>
        <w:r w:rsidRPr="00183B5F">
          <w:rPr>
            <w:szCs w:val="22"/>
          </w:rPr>
          <w:delText>III (CHARM) vizsgálat értékelte. A CD</w:delText>
        </w:r>
        <w:r w:rsidR="00E91E1C" w:rsidRPr="00183B5F">
          <w:rPr>
            <w:szCs w:val="22"/>
          </w:rPr>
          <w:delText> </w:delText>
        </w:r>
        <w:r w:rsidRPr="00183B5F">
          <w:rPr>
            <w:szCs w:val="22"/>
          </w:rPr>
          <w:delText>III vizsgálatban 854</w:delText>
        </w:r>
        <w:r w:rsidR="00E91E1C" w:rsidRPr="00183B5F">
          <w:rPr>
            <w:szCs w:val="22"/>
          </w:rPr>
          <w:delText> </w:delText>
        </w:r>
        <w:r w:rsidRPr="00183B5F">
          <w:rPr>
            <w:szCs w:val="22"/>
          </w:rPr>
          <w:delText>beteget kezeltek nyílt vizsgálati elrendezésben, a 0.</w:delText>
        </w:r>
        <w:r w:rsidR="00A44DB6" w:rsidRPr="00183B5F">
          <w:rPr>
            <w:szCs w:val="22"/>
          </w:rPr>
          <w:delText> hét</w:delText>
        </w:r>
        <w:r w:rsidRPr="00183B5F">
          <w:rPr>
            <w:szCs w:val="22"/>
          </w:rPr>
          <w:delText>en 80 mg, a 2.</w:delText>
        </w:r>
        <w:r w:rsidR="00A44DB6" w:rsidRPr="00183B5F">
          <w:rPr>
            <w:szCs w:val="22"/>
          </w:rPr>
          <w:delText> hét</w:delText>
        </w:r>
        <w:r w:rsidRPr="00183B5F">
          <w:rPr>
            <w:szCs w:val="22"/>
          </w:rPr>
          <w:delText>en 40 mg dózissal. A 4.</w:delText>
        </w:r>
        <w:r w:rsidR="00A44DB6" w:rsidRPr="00183B5F">
          <w:rPr>
            <w:szCs w:val="22"/>
          </w:rPr>
          <w:delText> hét</w:delText>
        </w:r>
        <w:r w:rsidRPr="00183B5F">
          <w:rPr>
            <w:szCs w:val="22"/>
          </w:rPr>
          <w:delText>en a résztvevőket véletlenszerűen sorolták be minden második</w:delText>
        </w:r>
        <w:r w:rsidR="00A44DB6" w:rsidRPr="00183B5F">
          <w:rPr>
            <w:szCs w:val="22"/>
          </w:rPr>
          <w:delText> hét</w:delText>
        </w:r>
        <w:r w:rsidRPr="00183B5F">
          <w:rPr>
            <w:szCs w:val="22"/>
          </w:rPr>
          <w:delText>en 40 mg dózissal, hetente 40 mg dózissal vagy placebóval kezelt csoportba, összességében 56</w:delText>
        </w:r>
        <w:r w:rsidR="00E91E1C" w:rsidRPr="00183B5F">
          <w:rPr>
            <w:szCs w:val="22"/>
          </w:rPr>
          <w:delText> </w:delText>
        </w:r>
        <w:r w:rsidRPr="00183B5F">
          <w:rPr>
            <w:szCs w:val="22"/>
          </w:rPr>
          <w:delText>hetes vizsgálati időtartammal. A kezelés 4.</w:delText>
        </w:r>
        <w:r w:rsidR="00E91E1C" w:rsidRPr="00183B5F">
          <w:rPr>
            <w:szCs w:val="22"/>
          </w:rPr>
          <w:delText> </w:delText>
        </w:r>
        <w:r w:rsidRPr="00183B5F">
          <w:rPr>
            <w:szCs w:val="22"/>
          </w:rPr>
          <w:delText xml:space="preserve">hetében a klinikailag reagáló (a CDAI </w:delText>
        </w:r>
        <w:r w:rsidR="00566101" w:rsidRPr="00183B5F">
          <w:rPr>
            <w:szCs w:val="22"/>
          </w:rPr>
          <w:delText>≥</w:delText>
        </w:r>
        <w:r w:rsidRPr="00183B5F">
          <w:rPr>
            <w:szCs w:val="22"/>
          </w:rPr>
          <w:delText>70</w:delText>
        </w:r>
        <w:r w:rsidR="009719D4" w:rsidRPr="00183B5F">
          <w:rPr>
            <w:szCs w:val="22"/>
          </w:rPr>
          <w:delText> </w:delText>
        </w:r>
        <w:r w:rsidRPr="00183B5F">
          <w:rPr>
            <w:szCs w:val="22"/>
          </w:rPr>
          <w:delText>pontos csökkenése) betegek csoportját rétegezték, és eredményeiket a kezelésre a 4.</w:delText>
        </w:r>
        <w:r w:rsidR="00A44DB6" w:rsidRPr="00183B5F">
          <w:rPr>
            <w:szCs w:val="22"/>
          </w:rPr>
          <w:delText> hét</w:delText>
        </w:r>
        <w:r w:rsidRPr="00183B5F">
          <w:rPr>
            <w:szCs w:val="22"/>
          </w:rPr>
          <w:delText>ig klinikailag nem reagáló betegekétől különválasztva értékelték. A 8.</w:delText>
        </w:r>
        <w:r w:rsidR="00A44DB6" w:rsidRPr="00183B5F">
          <w:rPr>
            <w:szCs w:val="22"/>
          </w:rPr>
          <w:delText> hét</w:delText>
        </w:r>
        <w:r w:rsidRPr="00183B5F">
          <w:rPr>
            <w:szCs w:val="22"/>
          </w:rPr>
          <w:delText xml:space="preserve"> után engedélyezték a kortikoszteroid fokozatos csökkentését.</w:delText>
        </w:r>
      </w:del>
    </w:p>
    <w:p w14:paraId="3D1C9BEF" w14:textId="6A9E66D2" w:rsidR="00FB6710" w:rsidRPr="00183B5F" w:rsidRDefault="00FB6710" w:rsidP="004062FE">
      <w:pPr>
        <w:spacing w:line="240" w:lineRule="auto"/>
        <w:rPr>
          <w:del w:id="6859" w:author="AbbVie_HU_03" w:date="2025-05-14T15:27:00Z"/>
          <w:szCs w:val="22"/>
        </w:rPr>
      </w:pPr>
    </w:p>
    <w:p w14:paraId="0D96FC97" w14:textId="1E23491A" w:rsidR="00FB6710" w:rsidRPr="00183B5F" w:rsidRDefault="00943743" w:rsidP="004062FE">
      <w:pPr>
        <w:spacing w:line="240" w:lineRule="auto"/>
        <w:rPr>
          <w:del w:id="6860" w:author="AbbVie_HU_03" w:date="2025-05-14T15:27:00Z"/>
          <w:szCs w:val="22"/>
        </w:rPr>
      </w:pPr>
      <w:del w:id="6861" w:author="AbbVie_HU_03" w:date="2025-05-14T15:27:00Z">
        <w:r w:rsidRPr="00183B5F">
          <w:rPr>
            <w:szCs w:val="22"/>
          </w:rPr>
          <w:delText xml:space="preserve">A </w:delText>
        </w:r>
        <w:r w:rsidR="0039729B" w:rsidRPr="00183B5F">
          <w:rPr>
            <w:szCs w:val="22"/>
          </w:rPr>
          <w:delText>21</w:delText>
        </w:r>
        <w:r w:rsidRPr="00183B5F">
          <w:rPr>
            <w:szCs w:val="22"/>
          </w:rPr>
          <w:delText>.</w:delText>
        </w:r>
        <w:r w:rsidR="00A24D59" w:rsidRPr="00183B5F">
          <w:rPr>
            <w:szCs w:val="22"/>
          </w:rPr>
          <w:delText> </w:delText>
        </w:r>
        <w:r w:rsidRPr="00183B5F">
          <w:rPr>
            <w:szCs w:val="22"/>
          </w:rPr>
          <w:delText>táblázat a CD</w:delText>
        </w:r>
        <w:r w:rsidR="00E91E1C" w:rsidRPr="00183B5F">
          <w:rPr>
            <w:szCs w:val="22"/>
          </w:rPr>
          <w:delText> </w:delText>
        </w:r>
        <w:r w:rsidRPr="00183B5F">
          <w:rPr>
            <w:szCs w:val="22"/>
          </w:rPr>
          <w:delText>I és a CD</w:delText>
        </w:r>
        <w:r w:rsidR="00E91E1C" w:rsidRPr="00183B5F">
          <w:rPr>
            <w:szCs w:val="22"/>
          </w:rPr>
          <w:delText> </w:delText>
        </w:r>
        <w:r w:rsidRPr="00183B5F">
          <w:rPr>
            <w:szCs w:val="22"/>
          </w:rPr>
          <w:delText>II vizsgálat során kiváltott remisszió gyakoriságát és a kezelésre reagáló betegek részarányát összegezi.</w:delText>
        </w:r>
      </w:del>
    </w:p>
    <w:p w14:paraId="7464DB62" w14:textId="4AB83D2A" w:rsidR="00FB6710" w:rsidRPr="00183B5F" w:rsidRDefault="00FB6710" w:rsidP="004062FE">
      <w:pPr>
        <w:spacing w:line="240" w:lineRule="auto"/>
        <w:rPr>
          <w:del w:id="6862" w:author="AbbVie_HU_03" w:date="2025-05-14T15:27:00Z"/>
          <w:szCs w:val="22"/>
        </w:rPr>
      </w:pPr>
    </w:p>
    <w:p w14:paraId="5C413716" w14:textId="16CD1E98" w:rsidR="00C1029B" w:rsidRPr="00183B5F" w:rsidRDefault="00943743" w:rsidP="004062FE">
      <w:pPr>
        <w:keepNext/>
        <w:suppressAutoHyphens w:val="0"/>
        <w:spacing w:line="240" w:lineRule="auto"/>
        <w:jc w:val="center"/>
        <w:rPr>
          <w:del w:id="6863" w:author="AbbVie_HU_03" w:date="2025-05-14T15:27:00Z"/>
          <w:b/>
          <w:szCs w:val="22"/>
        </w:rPr>
      </w:pPr>
      <w:del w:id="6864" w:author="AbbVie_HU_03" w:date="2025-05-14T15:27:00Z">
        <w:r w:rsidRPr="00183B5F">
          <w:rPr>
            <w:b/>
            <w:szCs w:val="22"/>
          </w:rPr>
          <w:delText>2</w:delText>
        </w:r>
        <w:r w:rsidR="0039729B" w:rsidRPr="00183B5F">
          <w:rPr>
            <w:b/>
            <w:szCs w:val="22"/>
          </w:rPr>
          <w:delText>1</w:delText>
        </w:r>
        <w:r w:rsidR="00FB6710" w:rsidRPr="00183B5F">
          <w:rPr>
            <w:b/>
            <w:szCs w:val="22"/>
          </w:rPr>
          <w:delText>.</w:delText>
        </w:r>
        <w:r w:rsidR="00A24D59" w:rsidRPr="00183B5F">
          <w:rPr>
            <w:b/>
            <w:szCs w:val="22"/>
          </w:rPr>
          <w:delText> </w:delText>
        </w:r>
        <w:r w:rsidR="00FB6710" w:rsidRPr="00183B5F">
          <w:rPr>
            <w:b/>
            <w:szCs w:val="22"/>
          </w:rPr>
          <w:delText xml:space="preserve">táblázat </w:delText>
        </w:r>
      </w:del>
    </w:p>
    <w:p w14:paraId="4CEB23D4" w14:textId="612603EC" w:rsidR="00FB6710" w:rsidRPr="00183B5F" w:rsidRDefault="00943743" w:rsidP="004062FE">
      <w:pPr>
        <w:keepNext/>
        <w:suppressAutoHyphens w:val="0"/>
        <w:spacing w:line="240" w:lineRule="auto"/>
        <w:jc w:val="center"/>
        <w:rPr>
          <w:del w:id="6865" w:author="AbbVie_HU_03" w:date="2025-05-14T15:27:00Z"/>
          <w:b/>
          <w:szCs w:val="22"/>
        </w:rPr>
      </w:pPr>
      <w:del w:id="6866" w:author="AbbVie_HU_03" w:date="2025-05-14T15:27:00Z">
        <w:r w:rsidRPr="00183B5F">
          <w:rPr>
            <w:b/>
            <w:szCs w:val="22"/>
          </w:rPr>
          <w:delText>Klinikai remisszió</w:delText>
        </w:r>
        <w:r w:rsidR="006F1178" w:rsidRPr="00183B5F">
          <w:rPr>
            <w:b/>
            <w:szCs w:val="22"/>
          </w:rPr>
          <w:delText xml:space="preserve"> </w:delText>
        </w:r>
        <w:r w:rsidR="00DD4A45" w:rsidRPr="00183B5F">
          <w:rPr>
            <w:b/>
            <w:szCs w:val="22"/>
          </w:rPr>
          <w:delText xml:space="preserve">és válasz </w:delText>
        </w:r>
        <w:r w:rsidR="006F1178" w:rsidRPr="00183B5F">
          <w:rPr>
            <w:b/>
            <w:szCs w:val="22"/>
          </w:rPr>
          <w:delText>indukciója</w:delText>
        </w:r>
      </w:del>
    </w:p>
    <w:p w14:paraId="73CA57E0" w14:textId="3A9D8F85" w:rsidR="00FB6710" w:rsidRPr="00183B5F" w:rsidRDefault="00943743" w:rsidP="004062FE">
      <w:pPr>
        <w:keepNext/>
        <w:suppressAutoHyphens w:val="0"/>
        <w:spacing w:line="240" w:lineRule="auto"/>
        <w:jc w:val="center"/>
        <w:rPr>
          <w:del w:id="6867" w:author="AbbVie_HU_03" w:date="2025-05-14T15:27:00Z"/>
          <w:b/>
          <w:szCs w:val="22"/>
        </w:rPr>
      </w:pPr>
      <w:del w:id="6868" w:author="AbbVie_HU_03" w:date="2025-05-14T15:27:00Z">
        <w:r w:rsidRPr="00183B5F">
          <w:rPr>
            <w:b/>
            <w:szCs w:val="22"/>
          </w:rPr>
          <w:delText>(a betegek százaléka)</w:delText>
        </w:r>
      </w:del>
    </w:p>
    <w:p w14:paraId="349A20BD" w14:textId="4997B29D" w:rsidR="00FB6710" w:rsidRPr="00183B5F" w:rsidRDefault="00FB6710" w:rsidP="004062FE">
      <w:pPr>
        <w:keepNext/>
        <w:suppressAutoHyphens w:val="0"/>
        <w:spacing w:line="240" w:lineRule="auto"/>
        <w:jc w:val="center"/>
        <w:rPr>
          <w:del w:id="6869" w:author="AbbVie_HU_03" w:date="2025-05-14T15:27:00Z"/>
          <w:szCs w:val="22"/>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6"/>
        <w:gridCol w:w="1212"/>
        <w:gridCol w:w="1264"/>
        <w:gridCol w:w="1312"/>
        <w:gridCol w:w="1400"/>
        <w:gridCol w:w="1596"/>
      </w:tblGrid>
      <w:tr w:rsidR="00011D2F" w14:paraId="42A9A36D" w14:textId="4CCEF132">
        <w:trPr>
          <w:cantSplit/>
          <w:del w:id="6870" w:author="AbbVie_HU_03" w:date="2025-05-14T15:27:00Z"/>
        </w:trPr>
        <w:tc>
          <w:tcPr>
            <w:tcW w:w="2416" w:type="dxa"/>
          </w:tcPr>
          <w:p w14:paraId="17E6CFF3" w14:textId="5BAC0DF2" w:rsidR="00FB6710" w:rsidRPr="00183B5F" w:rsidRDefault="00FB6710" w:rsidP="004062FE">
            <w:pPr>
              <w:pStyle w:val="TableText"/>
              <w:keepLines w:val="0"/>
              <w:suppressAutoHyphens w:val="0"/>
              <w:spacing w:before="0" w:after="0" w:line="240" w:lineRule="auto"/>
              <w:rPr>
                <w:del w:id="6871" w:author="AbbVie_HU_03" w:date="2025-05-14T15:27:00Z"/>
                <w:b/>
                <w:bCs/>
                <w:sz w:val="22"/>
                <w:szCs w:val="22"/>
                <w:lang w:val="hu-HU"/>
              </w:rPr>
            </w:pPr>
          </w:p>
        </w:tc>
        <w:tc>
          <w:tcPr>
            <w:tcW w:w="3788" w:type="dxa"/>
            <w:gridSpan w:val="3"/>
          </w:tcPr>
          <w:p w14:paraId="0CC4563A" w14:textId="7A576C43" w:rsidR="00FB6710" w:rsidRPr="00183B5F" w:rsidRDefault="00943743" w:rsidP="004062FE">
            <w:pPr>
              <w:pStyle w:val="TableText"/>
              <w:keepLines w:val="0"/>
              <w:suppressAutoHyphens w:val="0"/>
              <w:spacing w:before="0" w:after="0" w:line="240" w:lineRule="auto"/>
              <w:rPr>
                <w:del w:id="6872" w:author="AbbVie_HU_03" w:date="2025-05-14T15:27:00Z"/>
                <w:b/>
                <w:bCs/>
                <w:sz w:val="22"/>
                <w:szCs w:val="22"/>
                <w:lang w:val="hu-HU"/>
              </w:rPr>
            </w:pPr>
            <w:del w:id="6873" w:author="AbbVie_HU_03" w:date="2025-05-14T15:27:00Z">
              <w:r w:rsidRPr="00183B5F">
                <w:rPr>
                  <w:b/>
                  <w:bCs/>
                  <w:sz w:val="22"/>
                  <w:szCs w:val="22"/>
                  <w:lang w:val="hu-HU"/>
                </w:rPr>
                <w:delText>CD I vizsgálat: Infliximab-naív betegek</w:delText>
              </w:r>
            </w:del>
          </w:p>
        </w:tc>
        <w:tc>
          <w:tcPr>
            <w:tcW w:w="2996" w:type="dxa"/>
            <w:gridSpan w:val="2"/>
          </w:tcPr>
          <w:p w14:paraId="632CA458" w14:textId="0BF18D85" w:rsidR="00FB6710" w:rsidRPr="00183B5F" w:rsidRDefault="00943743" w:rsidP="004062FE">
            <w:pPr>
              <w:pStyle w:val="TableText"/>
              <w:keepLines w:val="0"/>
              <w:suppressAutoHyphens w:val="0"/>
              <w:spacing w:before="0" w:after="0" w:line="240" w:lineRule="auto"/>
              <w:rPr>
                <w:del w:id="6874" w:author="AbbVie_HU_03" w:date="2025-05-14T15:27:00Z"/>
                <w:b/>
                <w:bCs/>
                <w:sz w:val="22"/>
                <w:szCs w:val="22"/>
                <w:lang w:val="hu-HU"/>
              </w:rPr>
            </w:pPr>
            <w:del w:id="6875" w:author="AbbVie_HU_03" w:date="2025-05-14T15:27:00Z">
              <w:r w:rsidRPr="00183B5F">
                <w:rPr>
                  <w:b/>
                  <w:bCs/>
                  <w:sz w:val="22"/>
                  <w:szCs w:val="22"/>
                  <w:lang w:val="hu-HU"/>
                </w:rPr>
                <w:delText xml:space="preserve">CD II vizsgálat: Infliximabbal már kezelt betegek </w:delText>
              </w:r>
            </w:del>
          </w:p>
        </w:tc>
      </w:tr>
      <w:tr w:rsidR="00011D2F" w14:paraId="64D9F01F" w14:textId="7C8831EF">
        <w:trPr>
          <w:cantSplit/>
          <w:del w:id="6876" w:author="AbbVie_HU_03" w:date="2025-05-14T15:27:00Z"/>
        </w:trPr>
        <w:tc>
          <w:tcPr>
            <w:tcW w:w="2416" w:type="dxa"/>
          </w:tcPr>
          <w:p w14:paraId="00EF762D" w14:textId="3A07E8C0" w:rsidR="00FB6710" w:rsidRPr="00183B5F" w:rsidRDefault="00FB6710" w:rsidP="004062FE">
            <w:pPr>
              <w:pStyle w:val="TableText"/>
              <w:keepLines w:val="0"/>
              <w:suppressAutoHyphens w:val="0"/>
              <w:spacing w:before="0" w:after="0" w:line="240" w:lineRule="auto"/>
              <w:jc w:val="center"/>
              <w:rPr>
                <w:del w:id="6877" w:author="AbbVie_HU_03" w:date="2025-05-14T15:27:00Z"/>
                <w:b/>
                <w:bCs/>
                <w:sz w:val="22"/>
                <w:szCs w:val="22"/>
                <w:lang w:val="hu-HU"/>
              </w:rPr>
            </w:pPr>
          </w:p>
        </w:tc>
        <w:tc>
          <w:tcPr>
            <w:tcW w:w="1212" w:type="dxa"/>
          </w:tcPr>
          <w:p w14:paraId="7D954D33" w14:textId="2498C632" w:rsidR="00FB6710" w:rsidRPr="00183B5F" w:rsidRDefault="00943743" w:rsidP="004062FE">
            <w:pPr>
              <w:pStyle w:val="TableText"/>
              <w:keepLines w:val="0"/>
              <w:suppressAutoHyphens w:val="0"/>
              <w:spacing w:before="0" w:after="0" w:line="240" w:lineRule="auto"/>
              <w:jc w:val="center"/>
              <w:rPr>
                <w:del w:id="6878" w:author="AbbVie_HU_03" w:date="2025-05-14T15:27:00Z"/>
                <w:b/>
                <w:sz w:val="22"/>
                <w:lang w:val="hu-HU"/>
              </w:rPr>
            </w:pPr>
            <w:del w:id="6879" w:author="AbbVie_HU_03" w:date="2025-05-14T15:27:00Z">
              <w:r w:rsidRPr="00183B5F">
                <w:rPr>
                  <w:b/>
                  <w:sz w:val="22"/>
                  <w:lang w:val="hu-HU"/>
                </w:rPr>
                <w:delText>Placebo</w:delText>
              </w:r>
            </w:del>
          </w:p>
          <w:p w14:paraId="63BF87DA" w14:textId="14BB63D1" w:rsidR="00FB6710" w:rsidRPr="00183B5F" w:rsidRDefault="00943743" w:rsidP="004062FE">
            <w:pPr>
              <w:pStyle w:val="TableText"/>
              <w:keepLines w:val="0"/>
              <w:suppressAutoHyphens w:val="0"/>
              <w:spacing w:before="0" w:after="0" w:line="240" w:lineRule="auto"/>
              <w:jc w:val="center"/>
              <w:rPr>
                <w:del w:id="6880" w:author="AbbVie_HU_03" w:date="2025-05-14T15:27:00Z"/>
                <w:b/>
                <w:sz w:val="22"/>
                <w:lang w:val="hu-HU"/>
              </w:rPr>
            </w:pPr>
            <w:del w:id="6881" w:author="AbbVie_HU_03" w:date="2025-05-14T15:27:00Z">
              <w:r w:rsidRPr="00183B5F">
                <w:rPr>
                  <w:b/>
                  <w:sz w:val="22"/>
                  <w:lang w:val="hu-HU"/>
                </w:rPr>
                <w:delText>N</w:delText>
              </w:r>
              <w:r w:rsidR="003F64BC" w:rsidRPr="00183B5F">
                <w:rPr>
                  <w:b/>
                  <w:sz w:val="22"/>
                  <w:lang w:val="hu-HU"/>
                </w:rPr>
                <w:delText> </w:delText>
              </w:r>
              <w:r w:rsidRPr="00183B5F">
                <w:rPr>
                  <w:b/>
                  <w:sz w:val="22"/>
                  <w:lang w:val="hu-HU"/>
                </w:rPr>
                <w:delText>=</w:delText>
              </w:r>
              <w:r w:rsidR="003F64BC" w:rsidRPr="00183B5F">
                <w:rPr>
                  <w:b/>
                  <w:sz w:val="22"/>
                  <w:lang w:val="hu-HU"/>
                </w:rPr>
                <w:delText> </w:delText>
              </w:r>
              <w:r w:rsidRPr="00183B5F">
                <w:rPr>
                  <w:b/>
                  <w:sz w:val="22"/>
                  <w:lang w:val="hu-HU"/>
                </w:rPr>
                <w:delText>74</w:delText>
              </w:r>
            </w:del>
          </w:p>
        </w:tc>
        <w:tc>
          <w:tcPr>
            <w:tcW w:w="1264" w:type="dxa"/>
          </w:tcPr>
          <w:p w14:paraId="45CB91FC" w14:textId="032BDDC3" w:rsidR="00FB6710" w:rsidRPr="00183B5F" w:rsidRDefault="00943743" w:rsidP="004062FE">
            <w:pPr>
              <w:pStyle w:val="TableText"/>
              <w:keepLines w:val="0"/>
              <w:suppressAutoHyphens w:val="0"/>
              <w:spacing w:before="0" w:after="0" w:line="240" w:lineRule="auto"/>
              <w:jc w:val="center"/>
              <w:rPr>
                <w:del w:id="6882" w:author="AbbVie_HU_03" w:date="2025-05-14T15:27:00Z"/>
                <w:b/>
                <w:sz w:val="22"/>
                <w:lang w:val="hu-HU"/>
              </w:rPr>
            </w:pPr>
            <w:del w:id="6883" w:author="AbbVie_HU_03" w:date="2025-05-14T15:27:00Z">
              <w:r w:rsidRPr="00183B5F">
                <w:rPr>
                  <w:b/>
                  <w:sz w:val="22"/>
                  <w:lang w:val="hu-HU"/>
                </w:rPr>
                <w:delText>Humira</w:delText>
              </w:r>
            </w:del>
          </w:p>
          <w:p w14:paraId="2DAC3795" w14:textId="73124BD3" w:rsidR="00FB6710" w:rsidRPr="00183B5F" w:rsidRDefault="00943743" w:rsidP="004062FE">
            <w:pPr>
              <w:pStyle w:val="TableText"/>
              <w:keepLines w:val="0"/>
              <w:suppressAutoHyphens w:val="0"/>
              <w:spacing w:before="0" w:after="0" w:line="240" w:lineRule="auto"/>
              <w:jc w:val="center"/>
              <w:rPr>
                <w:del w:id="6884" w:author="AbbVie_HU_03" w:date="2025-05-14T15:27:00Z"/>
                <w:b/>
                <w:sz w:val="22"/>
                <w:lang w:val="hu-HU"/>
              </w:rPr>
            </w:pPr>
            <w:del w:id="6885" w:author="AbbVie_HU_03" w:date="2025-05-14T15:27:00Z">
              <w:r w:rsidRPr="00183B5F">
                <w:rPr>
                  <w:b/>
                  <w:sz w:val="22"/>
                  <w:lang w:val="hu-HU"/>
                </w:rPr>
                <w:delText>80/40 mg</w:delText>
              </w:r>
            </w:del>
          </w:p>
          <w:p w14:paraId="42DD0A19" w14:textId="0C344D40" w:rsidR="00FB6710" w:rsidRPr="00183B5F" w:rsidRDefault="00943743" w:rsidP="004062FE">
            <w:pPr>
              <w:pStyle w:val="TableText"/>
              <w:keepLines w:val="0"/>
              <w:suppressAutoHyphens w:val="0"/>
              <w:spacing w:before="0" w:after="0" w:line="240" w:lineRule="auto"/>
              <w:jc w:val="center"/>
              <w:rPr>
                <w:del w:id="6886" w:author="AbbVie_HU_03" w:date="2025-05-14T15:27:00Z"/>
                <w:b/>
                <w:sz w:val="22"/>
                <w:lang w:val="hu-HU"/>
              </w:rPr>
            </w:pPr>
            <w:del w:id="6887" w:author="AbbVie_HU_03" w:date="2025-05-14T15:27:00Z">
              <w:r w:rsidRPr="00183B5F">
                <w:rPr>
                  <w:b/>
                  <w:sz w:val="22"/>
                  <w:lang w:val="hu-HU"/>
                </w:rPr>
                <w:delText>N</w:delText>
              </w:r>
              <w:r w:rsidR="003F64BC" w:rsidRPr="00183B5F">
                <w:rPr>
                  <w:b/>
                  <w:sz w:val="22"/>
                  <w:lang w:val="hu-HU"/>
                </w:rPr>
                <w:delText> </w:delText>
              </w:r>
              <w:r w:rsidRPr="00183B5F">
                <w:rPr>
                  <w:b/>
                  <w:sz w:val="22"/>
                  <w:lang w:val="hu-HU"/>
                </w:rPr>
                <w:delText>=</w:delText>
              </w:r>
              <w:r w:rsidR="003F64BC" w:rsidRPr="00183B5F">
                <w:rPr>
                  <w:b/>
                  <w:sz w:val="22"/>
                  <w:lang w:val="hu-HU"/>
                </w:rPr>
                <w:delText> </w:delText>
              </w:r>
              <w:r w:rsidRPr="00183B5F">
                <w:rPr>
                  <w:b/>
                  <w:sz w:val="22"/>
                  <w:lang w:val="hu-HU"/>
                </w:rPr>
                <w:delText>75</w:delText>
              </w:r>
            </w:del>
          </w:p>
        </w:tc>
        <w:tc>
          <w:tcPr>
            <w:tcW w:w="1312" w:type="dxa"/>
          </w:tcPr>
          <w:p w14:paraId="34D9390D" w14:textId="6674A4C0" w:rsidR="00FB6710" w:rsidRPr="00183B5F" w:rsidRDefault="00943743" w:rsidP="004062FE">
            <w:pPr>
              <w:pStyle w:val="TableText"/>
              <w:keepLines w:val="0"/>
              <w:suppressAutoHyphens w:val="0"/>
              <w:spacing w:before="0" w:after="0" w:line="240" w:lineRule="auto"/>
              <w:jc w:val="center"/>
              <w:rPr>
                <w:del w:id="6888" w:author="AbbVie_HU_03" w:date="2025-05-14T15:27:00Z"/>
                <w:b/>
                <w:sz w:val="22"/>
                <w:lang w:val="hu-HU"/>
              </w:rPr>
            </w:pPr>
            <w:del w:id="6889" w:author="AbbVie_HU_03" w:date="2025-05-14T15:27:00Z">
              <w:r w:rsidRPr="00183B5F">
                <w:rPr>
                  <w:b/>
                  <w:sz w:val="22"/>
                  <w:lang w:val="hu-HU"/>
                </w:rPr>
                <w:delText xml:space="preserve">Humira </w:delText>
              </w:r>
            </w:del>
          </w:p>
          <w:p w14:paraId="0C6E64A5" w14:textId="18575E97" w:rsidR="00FB6710" w:rsidRPr="00183B5F" w:rsidRDefault="00943743" w:rsidP="004062FE">
            <w:pPr>
              <w:pStyle w:val="TableText"/>
              <w:keepLines w:val="0"/>
              <w:suppressAutoHyphens w:val="0"/>
              <w:spacing w:before="0" w:after="0" w:line="240" w:lineRule="auto"/>
              <w:jc w:val="center"/>
              <w:rPr>
                <w:del w:id="6890" w:author="AbbVie_HU_03" w:date="2025-05-14T15:27:00Z"/>
                <w:b/>
                <w:sz w:val="22"/>
                <w:lang w:val="hu-HU"/>
              </w:rPr>
            </w:pPr>
            <w:del w:id="6891" w:author="AbbVie_HU_03" w:date="2025-05-14T15:27:00Z">
              <w:r w:rsidRPr="00183B5F">
                <w:rPr>
                  <w:b/>
                  <w:sz w:val="22"/>
                  <w:lang w:val="hu-HU"/>
                </w:rPr>
                <w:delText>160/80 mg N</w:delText>
              </w:r>
              <w:r w:rsidR="003F64BC" w:rsidRPr="00183B5F">
                <w:rPr>
                  <w:b/>
                  <w:sz w:val="22"/>
                  <w:lang w:val="hu-HU"/>
                </w:rPr>
                <w:delText> </w:delText>
              </w:r>
              <w:r w:rsidRPr="00183B5F">
                <w:rPr>
                  <w:b/>
                  <w:sz w:val="22"/>
                  <w:lang w:val="hu-HU"/>
                </w:rPr>
                <w:delText>=</w:delText>
              </w:r>
              <w:r w:rsidR="003F64BC" w:rsidRPr="00183B5F">
                <w:rPr>
                  <w:b/>
                  <w:sz w:val="22"/>
                  <w:lang w:val="hu-HU"/>
                </w:rPr>
                <w:delText> </w:delText>
              </w:r>
              <w:r w:rsidRPr="00183B5F">
                <w:rPr>
                  <w:b/>
                  <w:sz w:val="22"/>
                  <w:lang w:val="hu-HU"/>
                </w:rPr>
                <w:delText>76</w:delText>
              </w:r>
            </w:del>
          </w:p>
        </w:tc>
        <w:tc>
          <w:tcPr>
            <w:tcW w:w="1400" w:type="dxa"/>
          </w:tcPr>
          <w:p w14:paraId="0217B4E9" w14:textId="76966754" w:rsidR="00FB6710" w:rsidRPr="00183B5F" w:rsidRDefault="00943743" w:rsidP="004062FE">
            <w:pPr>
              <w:pStyle w:val="TableText"/>
              <w:keepLines w:val="0"/>
              <w:suppressAutoHyphens w:val="0"/>
              <w:spacing w:before="0" w:after="0" w:line="240" w:lineRule="auto"/>
              <w:jc w:val="center"/>
              <w:rPr>
                <w:del w:id="6892" w:author="AbbVie_HU_03" w:date="2025-05-14T15:27:00Z"/>
                <w:b/>
                <w:sz w:val="22"/>
                <w:lang w:val="hu-HU"/>
              </w:rPr>
            </w:pPr>
            <w:del w:id="6893" w:author="AbbVie_HU_03" w:date="2025-05-14T15:27:00Z">
              <w:r w:rsidRPr="00183B5F">
                <w:rPr>
                  <w:b/>
                  <w:sz w:val="22"/>
                  <w:lang w:val="hu-HU"/>
                </w:rPr>
                <w:delText>Placebo</w:delText>
              </w:r>
            </w:del>
          </w:p>
          <w:p w14:paraId="6283ED23" w14:textId="31074018" w:rsidR="00FB6710" w:rsidRPr="00183B5F" w:rsidRDefault="00943743" w:rsidP="004062FE">
            <w:pPr>
              <w:pStyle w:val="TableText"/>
              <w:keepLines w:val="0"/>
              <w:suppressAutoHyphens w:val="0"/>
              <w:spacing w:before="0" w:after="0" w:line="240" w:lineRule="auto"/>
              <w:jc w:val="center"/>
              <w:rPr>
                <w:del w:id="6894" w:author="AbbVie_HU_03" w:date="2025-05-14T15:27:00Z"/>
                <w:b/>
                <w:sz w:val="22"/>
                <w:lang w:val="hu-HU"/>
              </w:rPr>
            </w:pPr>
            <w:del w:id="6895" w:author="AbbVie_HU_03" w:date="2025-05-14T15:27:00Z">
              <w:r w:rsidRPr="00183B5F">
                <w:rPr>
                  <w:b/>
                  <w:sz w:val="22"/>
                  <w:lang w:val="hu-HU"/>
                </w:rPr>
                <w:delText>N</w:delText>
              </w:r>
              <w:r w:rsidR="003F64BC" w:rsidRPr="00183B5F">
                <w:rPr>
                  <w:b/>
                  <w:sz w:val="22"/>
                  <w:lang w:val="hu-HU"/>
                </w:rPr>
                <w:delText> </w:delText>
              </w:r>
              <w:r w:rsidRPr="00183B5F">
                <w:rPr>
                  <w:b/>
                  <w:sz w:val="22"/>
                  <w:lang w:val="hu-HU"/>
                </w:rPr>
                <w:delText>=</w:delText>
              </w:r>
              <w:r w:rsidR="003F64BC" w:rsidRPr="00183B5F">
                <w:rPr>
                  <w:b/>
                  <w:sz w:val="22"/>
                  <w:lang w:val="hu-HU"/>
                </w:rPr>
                <w:delText> </w:delText>
              </w:r>
              <w:r w:rsidRPr="00183B5F">
                <w:rPr>
                  <w:b/>
                  <w:sz w:val="22"/>
                  <w:lang w:val="hu-HU"/>
                </w:rPr>
                <w:delText>166</w:delText>
              </w:r>
            </w:del>
          </w:p>
        </w:tc>
        <w:tc>
          <w:tcPr>
            <w:tcW w:w="1596" w:type="dxa"/>
          </w:tcPr>
          <w:p w14:paraId="7A2D5525" w14:textId="785AFC3E" w:rsidR="00FB6710" w:rsidRPr="00183B5F" w:rsidRDefault="00943743" w:rsidP="004062FE">
            <w:pPr>
              <w:pStyle w:val="TableText"/>
              <w:keepLines w:val="0"/>
              <w:suppressAutoHyphens w:val="0"/>
              <w:spacing w:before="0" w:after="0" w:line="240" w:lineRule="auto"/>
              <w:jc w:val="center"/>
              <w:rPr>
                <w:del w:id="6896" w:author="AbbVie_HU_03" w:date="2025-05-14T15:27:00Z"/>
                <w:b/>
                <w:sz w:val="22"/>
                <w:lang w:val="hu-HU"/>
              </w:rPr>
            </w:pPr>
            <w:del w:id="6897" w:author="AbbVie_HU_03" w:date="2025-05-14T15:27:00Z">
              <w:r w:rsidRPr="00183B5F">
                <w:rPr>
                  <w:b/>
                  <w:sz w:val="22"/>
                  <w:lang w:val="hu-HU"/>
                </w:rPr>
                <w:delText xml:space="preserve">Humira </w:delText>
              </w:r>
            </w:del>
          </w:p>
          <w:p w14:paraId="38285FD5" w14:textId="6DA01302" w:rsidR="00FB6710" w:rsidRPr="00183B5F" w:rsidRDefault="00943743" w:rsidP="004062FE">
            <w:pPr>
              <w:pStyle w:val="TableText"/>
              <w:keepLines w:val="0"/>
              <w:suppressAutoHyphens w:val="0"/>
              <w:spacing w:before="0" w:after="0" w:line="240" w:lineRule="auto"/>
              <w:jc w:val="center"/>
              <w:rPr>
                <w:del w:id="6898" w:author="AbbVie_HU_03" w:date="2025-05-14T15:27:00Z"/>
                <w:b/>
                <w:sz w:val="22"/>
                <w:lang w:val="hu-HU"/>
              </w:rPr>
            </w:pPr>
            <w:del w:id="6899" w:author="AbbVie_HU_03" w:date="2025-05-14T15:27:00Z">
              <w:r w:rsidRPr="00183B5F">
                <w:rPr>
                  <w:b/>
                  <w:sz w:val="22"/>
                  <w:lang w:val="hu-HU"/>
                </w:rPr>
                <w:delText>160/80 mg</w:delText>
              </w:r>
            </w:del>
          </w:p>
          <w:p w14:paraId="7FF13DB9" w14:textId="481C30C8" w:rsidR="00FB6710" w:rsidRPr="00183B5F" w:rsidRDefault="00943743" w:rsidP="004062FE">
            <w:pPr>
              <w:pStyle w:val="TableText"/>
              <w:keepLines w:val="0"/>
              <w:suppressAutoHyphens w:val="0"/>
              <w:spacing w:before="0" w:after="0" w:line="240" w:lineRule="auto"/>
              <w:jc w:val="center"/>
              <w:rPr>
                <w:del w:id="6900" w:author="AbbVie_HU_03" w:date="2025-05-14T15:27:00Z"/>
                <w:b/>
                <w:sz w:val="22"/>
                <w:lang w:val="hu-HU"/>
              </w:rPr>
            </w:pPr>
            <w:del w:id="6901" w:author="AbbVie_HU_03" w:date="2025-05-14T15:27:00Z">
              <w:r w:rsidRPr="00183B5F">
                <w:rPr>
                  <w:b/>
                  <w:sz w:val="22"/>
                  <w:lang w:val="hu-HU"/>
                </w:rPr>
                <w:delText>N</w:delText>
              </w:r>
              <w:r w:rsidR="003F64BC" w:rsidRPr="00183B5F">
                <w:rPr>
                  <w:b/>
                  <w:sz w:val="22"/>
                  <w:lang w:val="hu-HU"/>
                </w:rPr>
                <w:delText> </w:delText>
              </w:r>
              <w:r w:rsidRPr="00183B5F">
                <w:rPr>
                  <w:b/>
                  <w:sz w:val="22"/>
                  <w:lang w:val="hu-HU"/>
                </w:rPr>
                <w:delText>=</w:delText>
              </w:r>
              <w:r w:rsidR="003F64BC" w:rsidRPr="00183B5F">
                <w:rPr>
                  <w:b/>
                  <w:sz w:val="22"/>
                  <w:lang w:val="hu-HU"/>
                </w:rPr>
                <w:delText> </w:delText>
              </w:r>
              <w:r w:rsidRPr="00183B5F">
                <w:rPr>
                  <w:b/>
                  <w:sz w:val="22"/>
                  <w:lang w:val="hu-HU"/>
                </w:rPr>
                <w:delText>159</w:delText>
              </w:r>
            </w:del>
          </w:p>
        </w:tc>
      </w:tr>
      <w:tr w:rsidR="00011D2F" w14:paraId="008C4443" w14:textId="3C275C8C">
        <w:trPr>
          <w:cantSplit/>
          <w:del w:id="6902" w:author="AbbVie_HU_03" w:date="2025-05-14T15:27:00Z"/>
        </w:trPr>
        <w:tc>
          <w:tcPr>
            <w:tcW w:w="2416" w:type="dxa"/>
            <w:vAlign w:val="bottom"/>
          </w:tcPr>
          <w:p w14:paraId="17DDB04D" w14:textId="22986324" w:rsidR="00FB6710" w:rsidRPr="00183B5F" w:rsidRDefault="00943743" w:rsidP="004062FE">
            <w:pPr>
              <w:pStyle w:val="TableText"/>
              <w:keepNext w:val="0"/>
              <w:keepLines w:val="0"/>
              <w:suppressAutoHyphens w:val="0"/>
              <w:spacing w:before="0" w:after="0" w:line="240" w:lineRule="auto"/>
              <w:rPr>
                <w:del w:id="6903" w:author="AbbVie_HU_03" w:date="2025-05-14T15:27:00Z"/>
                <w:sz w:val="22"/>
                <w:lang w:val="hu-HU"/>
              </w:rPr>
            </w:pPr>
            <w:del w:id="6904" w:author="AbbVie_HU_03" w:date="2025-05-14T15:27:00Z">
              <w:r w:rsidRPr="00183B5F">
                <w:rPr>
                  <w:sz w:val="22"/>
                  <w:lang w:val="hu-HU"/>
                </w:rPr>
                <w:delText>4.</w:delText>
              </w:r>
              <w:r w:rsidR="00A44DB6" w:rsidRPr="00183B5F">
                <w:rPr>
                  <w:sz w:val="22"/>
                  <w:lang w:val="hu-HU"/>
                </w:rPr>
                <w:delText> hét</w:delText>
              </w:r>
            </w:del>
          </w:p>
        </w:tc>
        <w:tc>
          <w:tcPr>
            <w:tcW w:w="1212" w:type="dxa"/>
            <w:vAlign w:val="bottom"/>
          </w:tcPr>
          <w:p w14:paraId="2EC1480D" w14:textId="4B202EB9" w:rsidR="00FB6710" w:rsidRPr="00183B5F" w:rsidRDefault="00FB6710" w:rsidP="004062FE">
            <w:pPr>
              <w:pStyle w:val="TableText"/>
              <w:keepNext w:val="0"/>
              <w:keepLines w:val="0"/>
              <w:suppressAutoHyphens w:val="0"/>
              <w:spacing w:before="0" w:after="0" w:line="240" w:lineRule="auto"/>
              <w:rPr>
                <w:del w:id="6905" w:author="AbbVie_HU_03" w:date="2025-05-14T15:27:00Z"/>
                <w:sz w:val="22"/>
                <w:lang w:val="hu-HU"/>
              </w:rPr>
            </w:pPr>
          </w:p>
        </w:tc>
        <w:tc>
          <w:tcPr>
            <w:tcW w:w="1264" w:type="dxa"/>
            <w:vAlign w:val="bottom"/>
          </w:tcPr>
          <w:p w14:paraId="47F5D88A" w14:textId="2CAD5676" w:rsidR="00FB6710" w:rsidRPr="00183B5F" w:rsidRDefault="00FB6710" w:rsidP="004062FE">
            <w:pPr>
              <w:pStyle w:val="TableText"/>
              <w:keepNext w:val="0"/>
              <w:keepLines w:val="0"/>
              <w:suppressAutoHyphens w:val="0"/>
              <w:spacing w:before="0" w:after="0" w:line="240" w:lineRule="auto"/>
              <w:rPr>
                <w:del w:id="6906" w:author="AbbVie_HU_03" w:date="2025-05-14T15:27:00Z"/>
                <w:sz w:val="22"/>
                <w:lang w:val="hu-HU"/>
              </w:rPr>
            </w:pPr>
          </w:p>
        </w:tc>
        <w:tc>
          <w:tcPr>
            <w:tcW w:w="1312" w:type="dxa"/>
            <w:vAlign w:val="bottom"/>
          </w:tcPr>
          <w:p w14:paraId="3D80FA5A" w14:textId="10DAABE3" w:rsidR="00FB6710" w:rsidRPr="00183B5F" w:rsidRDefault="00FB6710" w:rsidP="004062FE">
            <w:pPr>
              <w:pStyle w:val="TableText"/>
              <w:keepNext w:val="0"/>
              <w:keepLines w:val="0"/>
              <w:suppressAutoHyphens w:val="0"/>
              <w:spacing w:before="0" w:after="0" w:line="240" w:lineRule="auto"/>
              <w:rPr>
                <w:del w:id="6907" w:author="AbbVie_HU_03" w:date="2025-05-14T15:27:00Z"/>
                <w:sz w:val="22"/>
                <w:lang w:val="hu-HU"/>
              </w:rPr>
            </w:pPr>
          </w:p>
        </w:tc>
        <w:tc>
          <w:tcPr>
            <w:tcW w:w="1400" w:type="dxa"/>
            <w:vAlign w:val="bottom"/>
          </w:tcPr>
          <w:p w14:paraId="18112ED5" w14:textId="3000CDBA" w:rsidR="00FB6710" w:rsidRPr="00183B5F" w:rsidRDefault="00FB6710" w:rsidP="004062FE">
            <w:pPr>
              <w:pStyle w:val="TableText"/>
              <w:keepNext w:val="0"/>
              <w:keepLines w:val="0"/>
              <w:suppressAutoHyphens w:val="0"/>
              <w:spacing w:before="0" w:after="0" w:line="240" w:lineRule="auto"/>
              <w:rPr>
                <w:del w:id="6908" w:author="AbbVie_HU_03" w:date="2025-05-14T15:27:00Z"/>
                <w:sz w:val="22"/>
                <w:lang w:val="hu-HU"/>
              </w:rPr>
            </w:pPr>
          </w:p>
        </w:tc>
        <w:tc>
          <w:tcPr>
            <w:tcW w:w="1596" w:type="dxa"/>
            <w:vAlign w:val="bottom"/>
          </w:tcPr>
          <w:p w14:paraId="663E5693" w14:textId="29E11D22" w:rsidR="00FB6710" w:rsidRPr="00183B5F" w:rsidRDefault="00FB6710" w:rsidP="004062FE">
            <w:pPr>
              <w:pStyle w:val="TableText"/>
              <w:keepNext w:val="0"/>
              <w:keepLines w:val="0"/>
              <w:suppressAutoHyphens w:val="0"/>
              <w:spacing w:before="0" w:after="0" w:line="240" w:lineRule="auto"/>
              <w:rPr>
                <w:del w:id="6909" w:author="AbbVie_HU_03" w:date="2025-05-14T15:27:00Z"/>
                <w:sz w:val="22"/>
                <w:lang w:val="hu-HU"/>
              </w:rPr>
            </w:pPr>
          </w:p>
        </w:tc>
      </w:tr>
      <w:tr w:rsidR="00011D2F" w14:paraId="38E6E797" w14:textId="6F7CA9BA">
        <w:trPr>
          <w:cantSplit/>
          <w:del w:id="6910" w:author="AbbVie_HU_03" w:date="2025-05-14T15:27:00Z"/>
        </w:trPr>
        <w:tc>
          <w:tcPr>
            <w:tcW w:w="2416" w:type="dxa"/>
            <w:vAlign w:val="bottom"/>
          </w:tcPr>
          <w:p w14:paraId="20235F50" w14:textId="66D74610" w:rsidR="00FB6710" w:rsidRPr="00183B5F" w:rsidRDefault="00943743" w:rsidP="004062FE">
            <w:pPr>
              <w:pStyle w:val="TableText"/>
              <w:keepNext w:val="0"/>
              <w:keepLines w:val="0"/>
              <w:suppressAutoHyphens w:val="0"/>
              <w:spacing w:before="0" w:after="0" w:line="240" w:lineRule="auto"/>
              <w:rPr>
                <w:del w:id="6911" w:author="AbbVie_HU_03" w:date="2025-05-14T15:27:00Z"/>
                <w:sz w:val="22"/>
                <w:lang w:val="hu-HU"/>
              </w:rPr>
            </w:pPr>
            <w:del w:id="6912" w:author="AbbVie_HU_03" w:date="2025-05-14T15:27:00Z">
              <w:r w:rsidRPr="00183B5F">
                <w:rPr>
                  <w:sz w:val="22"/>
                  <w:lang w:val="hu-HU"/>
                </w:rPr>
                <w:delText>Klinikai remisszió</w:delText>
              </w:r>
            </w:del>
          </w:p>
        </w:tc>
        <w:tc>
          <w:tcPr>
            <w:tcW w:w="1212" w:type="dxa"/>
            <w:vAlign w:val="bottom"/>
          </w:tcPr>
          <w:p w14:paraId="080C308C" w14:textId="1EC882C9" w:rsidR="00FB6710" w:rsidRPr="00183B5F" w:rsidRDefault="00943743" w:rsidP="004062FE">
            <w:pPr>
              <w:pStyle w:val="TableText"/>
              <w:keepNext w:val="0"/>
              <w:keepLines w:val="0"/>
              <w:suppressAutoHyphens w:val="0"/>
              <w:spacing w:before="0" w:after="0" w:line="240" w:lineRule="auto"/>
              <w:jc w:val="center"/>
              <w:rPr>
                <w:del w:id="6913" w:author="AbbVie_HU_03" w:date="2025-05-14T15:27:00Z"/>
                <w:sz w:val="22"/>
                <w:lang w:val="hu-HU"/>
              </w:rPr>
            </w:pPr>
            <w:del w:id="6914" w:author="AbbVie_HU_03" w:date="2025-05-14T15:27:00Z">
              <w:r w:rsidRPr="00183B5F">
                <w:rPr>
                  <w:sz w:val="22"/>
                  <w:lang w:val="hu-HU"/>
                </w:rPr>
                <w:delText>12%</w:delText>
              </w:r>
            </w:del>
          </w:p>
        </w:tc>
        <w:tc>
          <w:tcPr>
            <w:tcW w:w="1264" w:type="dxa"/>
            <w:vAlign w:val="bottom"/>
          </w:tcPr>
          <w:p w14:paraId="56AF177A" w14:textId="0819A09A" w:rsidR="00FB6710" w:rsidRPr="00183B5F" w:rsidRDefault="00943743" w:rsidP="004062FE">
            <w:pPr>
              <w:pStyle w:val="TableText"/>
              <w:keepNext w:val="0"/>
              <w:keepLines w:val="0"/>
              <w:suppressAutoHyphens w:val="0"/>
              <w:spacing w:before="0" w:after="0" w:line="240" w:lineRule="auto"/>
              <w:jc w:val="center"/>
              <w:rPr>
                <w:del w:id="6915" w:author="AbbVie_HU_03" w:date="2025-05-14T15:27:00Z"/>
                <w:sz w:val="22"/>
                <w:lang w:val="hu-HU"/>
              </w:rPr>
            </w:pPr>
            <w:del w:id="6916" w:author="AbbVie_HU_03" w:date="2025-05-14T15:27:00Z">
              <w:r w:rsidRPr="00183B5F">
                <w:rPr>
                  <w:sz w:val="22"/>
                  <w:lang w:val="hu-HU"/>
                </w:rPr>
                <w:delText>24%</w:delText>
              </w:r>
            </w:del>
          </w:p>
        </w:tc>
        <w:tc>
          <w:tcPr>
            <w:tcW w:w="1312" w:type="dxa"/>
            <w:vAlign w:val="bottom"/>
          </w:tcPr>
          <w:p w14:paraId="162496C0" w14:textId="5A7D93E5" w:rsidR="00FB6710" w:rsidRPr="00183B5F" w:rsidRDefault="00943743" w:rsidP="004062FE">
            <w:pPr>
              <w:pStyle w:val="TableText"/>
              <w:keepNext w:val="0"/>
              <w:keepLines w:val="0"/>
              <w:suppressAutoHyphens w:val="0"/>
              <w:spacing w:before="0" w:after="0" w:line="240" w:lineRule="auto"/>
              <w:jc w:val="center"/>
              <w:rPr>
                <w:del w:id="6917" w:author="AbbVie_HU_03" w:date="2025-05-14T15:27:00Z"/>
                <w:sz w:val="22"/>
                <w:lang w:val="hu-HU"/>
              </w:rPr>
            </w:pPr>
            <w:del w:id="6918" w:author="AbbVie_HU_03" w:date="2025-05-14T15:27:00Z">
              <w:r w:rsidRPr="00183B5F">
                <w:rPr>
                  <w:sz w:val="22"/>
                  <w:lang w:val="hu-HU"/>
                </w:rPr>
                <w:delText>36%</w:delText>
              </w:r>
              <w:r w:rsidRPr="00183B5F">
                <w:rPr>
                  <w:sz w:val="22"/>
                  <w:vertAlign w:val="superscript"/>
                  <w:lang w:val="hu-HU"/>
                </w:rPr>
                <w:delText>*</w:delText>
              </w:r>
            </w:del>
          </w:p>
        </w:tc>
        <w:tc>
          <w:tcPr>
            <w:tcW w:w="1400" w:type="dxa"/>
            <w:vAlign w:val="bottom"/>
          </w:tcPr>
          <w:p w14:paraId="14B80371" w14:textId="6DE269D9" w:rsidR="00FB6710" w:rsidRPr="00183B5F" w:rsidRDefault="00943743" w:rsidP="004062FE">
            <w:pPr>
              <w:pStyle w:val="TableText"/>
              <w:keepNext w:val="0"/>
              <w:keepLines w:val="0"/>
              <w:suppressAutoHyphens w:val="0"/>
              <w:spacing w:before="0" w:after="0" w:line="240" w:lineRule="auto"/>
              <w:jc w:val="center"/>
              <w:rPr>
                <w:del w:id="6919" w:author="AbbVie_HU_03" w:date="2025-05-14T15:27:00Z"/>
                <w:sz w:val="22"/>
                <w:lang w:val="hu-HU"/>
              </w:rPr>
            </w:pPr>
            <w:del w:id="6920" w:author="AbbVie_HU_03" w:date="2025-05-14T15:27:00Z">
              <w:r w:rsidRPr="00183B5F">
                <w:rPr>
                  <w:sz w:val="22"/>
                  <w:lang w:val="hu-HU"/>
                </w:rPr>
                <w:delText>7%</w:delText>
              </w:r>
            </w:del>
          </w:p>
        </w:tc>
        <w:tc>
          <w:tcPr>
            <w:tcW w:w="1596" w:type="dxa"/>
            <w:vAlign w:val="bottom"/>
          </w:tcPr>
          <w:p w14:paraId="7268C8A9" w14:textId="33CD8BE5" w:rsidR="00FB6710" w:rsidRPr="00183B5F" w:rsidRDefault="00943743" w:rsidP="004062FE">
            <w:pPr>
              <w:pStyle w:val="TableText"/>
              <w:keepNext w:val="0"/>
              <w:keepLines w:val="0"/>
              <w:suppressAutoHyphens w:val="0"/>
              <w:spacing w:before="0" w:after="0" w:line="240" w:lineRule="auto"/>
              <w:jc w:val="center"/>
              <w:rPr>
                <w:del w:id="6921" w:author="AbbVie_HU_03" w:date="2025-05-14T15:27:00Z"/>
                <w:sz w:val="22"/>
                <w:lang w:val="hu-HU"/>
              </w:rPr>
            </w:pPr>
            <w:del w:id="6922" w:author="AbbVie_HU_03" w:date="2025-05-14T15:27:00Z">
              <w:r w:rsidRPr="00183B5F">
                <w:rPr>
                  <w:sz w:val="22"/>
                  <w:lang w:val="hu-HU"/>
                </w:rPr>
                <w:delText>21%</w:delText>
              </w:r>
              <w:r w:rsidRPr="00183B5F">
                <w:rPr>
                  <w:sz w:val="22"/>
                  <w:vertAlign w:val="superscript"/>
                  <w:lang w:val="hu-HU"/>
                </w:rPr>
                <w:delText>*</w:delText>
              </w:r>
            </w:del>
          </w:p>
        </w:tc>
      </w:tr>
      <w:tr w:rsidR="00011D2F" w14:paraId="542025C9" w14:textId="624B4B53">
        <w:trPr>
          <w:cantSplit/>
          <w:del w:id="6923" w:author="AbbVie_HU_03" w:date="2025-05-14T15:27:00Z"/>
        </w:trPr>
        <w:tc>
          <w:tcPr>
            <w:tcW w:w="2416" w:type="dxa"/>
          </w:tcPr>
          <w:p w14:paraId="0D4F70CA" w14:textId="148DCD8A" w:rsidR="00FB6710" w:rsidRPr="00183B5F" w:rsidRDefault="00943743" w:rsidP="004062FE">
            <w:pPr>
              <w:pStyle w:val="TableText"/>
              <w:keepNext w:val="0"/>
              <w:keepLines w:val="0"/>
              <w:suppressAutoHyphens w:val="0"/>
              <w:spacing w:before="0" w:after="0" w:line="240" w:lineRule="auto"/>
              <w:rPr>
                <w:del w:id="6924" w:author="AbbVie_HU_03" w:date="2025-05-14T15:27:00Z"/>
                <w:sz w:val="22"/>
                <w:lang w:val="hu-HU"/>
              </w:rPr>
            </w:pPr>
            <w:del w:id="6925" w:author="AbbVie_HU_03" w:date="2025-05-14T15:27:00Z">
              <w:r w:rsidRPr="00183B5F">
                <w:rPr>
                  <w:sz w:val="22"/>
                  <w:lang w:val="hu-HU"/>
                </w:rPr>
                <w:delText>Klinikai válasz (CR</w:delText>
              </w:r>
              <w:r w:rsidR="000135CA" w:rsidRPr="00183B5F">
                <w:rPr>
                  <w:sz w:val="22"/>
                  <w:lang w:val="hu-HU"/>
                </w:rPr>
                <w:noBreakHyphen/>
              </w:r>
              <w:r w:rsidRPr="00183B5F">
                <w:rPr>
                  <w:sz w:val="22"/>
                  <w:lang w:val="hu-HU"/>
                </w:rPr>
                <w:delText>100)</w:delText>
              </w:r>
            </w:del>
          </w:p>
        </w:tc>
        <w:tc>
          <w:tcPr>
            <w:tcW w:w="1212" w:type="dxa"/>
          </w:tcPr>
          <w:p w14:paraId="3BA69C32" w14:textId="303CD126" w:rsidR="00FB6710" w:rsidRPr="00183B5F" w:rsidRDefault="00943743" w:rsidP="004062FE">
            <w:pPr>
              <w:pStyle w:val="TableText"/>
              <w:keepNext w:val="0"/>
              <w:keepLines w:val="0"/>
              <w:suppressAutoHyphens w:val="0"/>
              <w:spacing w:before="0" w:after="0" w:line="240" w:lineRule="auto"/>
              <w:jc w:val="center"/>
              <w:rPr>
                <w:del w:id="6926" w:author="AbbVie_HU_03" w:date="2025-05-14T15:27:00Z"/>
                <w:sz w:val="22"/>
                <w:lang w:val="hu-HU"/>
              </w:rPr>
            </w:pPr>
            <w:del w:id="6927" w:author="AbbVie_HU_03" w:date="2025-05-14T15:27:00Z">
              <w:r w:rsidRPr="00183B5F">
                <w:rPr>
                  <w:sz w:val="22"/>
                  <w:lang w:val="hu-HU"/>
                </w:rPr>
                <w:delText>24%</w:delText>
              </w:r>
            </w:del>
          </w:p>
        </w:tc>
        <w:tc>
          <w:tcPr>
            <w:tcW w:w="1264" w:type="dxa"/>
          </w:tcPr>
          <w:p w14:paraId="01C30774" w14:textId="64665C92" w:rsidR="00FB6710" w:rsidRPr="00183B5F" w:rsidRDefault="00943743" w:rsidP="004062FE">
            <w:pPr>
              <w:pStyle w:val="TableText"/>
              <w:keepNext w:val="0"/>
              <w:keepLines w:val="0"/>
              <w:suppressAutoHyphens w:val="0"/>
              <w:spacing w:before="0" w:after="0" w:line="240" w:lineRule="auto"/>
              <w:jc w:val="center"/>
              <w:rPr>
                <w:del w:id="6928" w:author="AbbVie_HU_03" w:date="2025-05-14T15:27:00Z"/>
                <w:sz w:val="22"/>
                <w:lang w:val="hu-HU"/>
              </w:rPr>
            </w:pPr>
            <w:del w:id="6929" w:author="AbbVie_HU_03" w:date="2025-05-14T15:27:00Z">
              <w:r w:rsidRPr="00183B5F">
                <w:rPr>
                  <w:sz w:val="22"/>
                  <w:lang w:val="hu-HU"/>
                </w:rPr>
                <w:delText>37%</w:delText>
              </w:r>
            </w:del>
          </w:p>
        </w:tc>
        <w:tc>
          <w:tcPr>
            <w:tcW w:w="1312" w:type="dxa"/>
          </w:tcPr>
          <w:p w14:paraId="3201A616" w14:textId="504ED230" w:rsidR="00FB6710" w:rsidRPr="00183B5F" w:rsidRDefault="00943743" w:rsidP="004062FE">
            <w:pPr>
              <w:pStyle w:val="TableText"/>
              <w:keepNext w:val="0"/>
              <w:keepLines w:val="0"/>
              <w:suppressAutoHyphens w:val="0"/>
              <w:spacing w:before="0" w:after="0" w:line="240" w:lineRule="auto"/>
              <w:jc w:val="center"/>
              <w:rPr>
                <w:del w:id="6930" w:author="AbbVie_HU_03" w:date="2025-05-14T15:27:00Z"/>
                <w:sz w:val="22"/>
                <w:lang w:val="hu-HU"/>
              </w:rPr>
            </w:pPr>
            <w:del w:id="6931" w:author="AbbVie_HU_03" w:date="2025-05-14T15:27:00Z">
              <w:r w:rsidRPr="00183B5F">
                <w:rPr>
                  <w:sz w:val="22"/>
                  <w:lang w:val="hu-HU"/>
                </w:rPr>
                <w:delText>49%</w:delText>
              </w:r>
              <w:r w:rsidRPr="00183B5F">
                <w:rPr>
                  <w:sz w:val="22"/>
                  <w:vertAlign w:val="superscript"/>
                  <w:lang w:val="hu-HU"/>
                </w:rPr>
                <w:delText>**</w:delText>
              </w:r>
            </w:del>
          </w:p>
        </w:tc>
        <w:tc>
          <w:tcPr>
            <w:tcW w:w="1400" w:type="dxa"/>
          </w:tcPr>
          <w:p w14:paraId="044D75A3" w14:textId="59A9028C" w:rsidR="00FB6710" w:rsidRPr="00183B5F" w:rsidRDefault="00943743" w:rsidP="004062FE">
            <w:pPr>
              <w:pStyle w:val="TableText"/>
              <w:keepNext w:val="0"/>
              <w:keepLines w:val="0"/>
              <w:suppressAutoHyphens w:val="0"/>
              <w:spacing w:before="0" w:after="0" w:line="240" w:lineRule="auto"/>
              <w:jc w:val="center"/>
              <w:rPr>
                <w:del w:id="6932" w:author="AbbVie_HU_03" w:date="2025-05-14T15:27:00Z"/>
                <w:sz w:val="22"/>
                <w:lang w:val="hu-HU"/>
              </w:rPr>
            </w:pPr>
            <w:del w:id="6933" w:author="AbbVie_HU_03" w:date="2025-05-14T15:27:00Z">
              <w:r w:rsidRPr="00183B5F">
                <w:rPr>
                  <w:sz w:val="22"/>
                  <w:lang w:val="hu-HU"/>
                </w:rPr>
                <w:delText>25%</w:delText>
              </w:r>
            </w:del>
          </w:p>
        </w:tc>
        <w:tc>
          <w:tcPr>
            <w:tcW w:w="1596" w:type="dxa"/>
          </w:tcPr>
          <w:p w14:paraId="2AA697F4" w14:textId="748D0D7C" w:rsidR="00FB6710" w:rsidRPr="00183B5F" w:rsidRDefault="00943743" w:rsidP="004062FE">
            <w:pPr>
              <w:pStyle w:val="TableText"/>
              <w:keepNext w:val="0"/>
              <w:keepLines w:val="0"/>
              <w:suppressAutoHyphens w:val="0"/>
              <w:spacing w:before="0" w:after="0" w:line="240" w:lineRule="auto"/>
              <w:jc w:val="center"/>
              <w:rPr>
                <w:del w:id="6934" w:author="AbbVie_HU_03" w:date="2025-05-14T15:27:00Z"/>
                <w:sz w:val="22"/>
                <w:lang w:val="hu-HU"/>
              </w:rPr>
            </w:pPr>
            <w:del w:id="6935" w:author="AbbVie_HU_03" w:date="2025-05-14T15:27:00Z">
              <w:r w:rsidRPr="00183B5F">
                <w:rPr>
                  <w:sz w:val="22"/>
                  <w:lang w:val="hu-HU"/>
                </w:rPr>
                <w:delText>38%</w:delText>
              </w:r>
              <w:r w:rsidRPr="00183B5F">
                <w:rPr>
                  <w:sz w:val="22"/>
                  <w:vertAlign w:val="superscript"/>
                  <w:lang w:val="hu-HU"/>
                </w:rPr>
                <w:delText>**</w:delText>
              </w:r>
            </w:del>
          </w:p>
        </w:tc>
      </w:tr>
      <w:tr w:rsidR="00011D2F" w14:paraId="4BC367C6" w14:textId="5B710F1D">
        <w:trPr>
          <w:cantSplit/>
          <w:del w:id="6936" w:author="AbbVie_HU_03" w:date="2025-05-14T15:27:00Z"/>
        </w:trPr>
        <w:tc>
          <w:tcPr>
            <w:tcW w:w="9200" w:type="dxa"/>
            <w:gridSpan w:val="6"/>
            <w:tcBorders>
              <w:left w:val="nil"/>
              <w:bottom w:val="nil"/>
              <w:right w:val="nil"/>
            </w:tcBorders>
          </w:tcPr>
          <w:p w14:paraId="7056680F" w14:textId="11CFE160" w:rsidR="00FB6710" w:rsidRPr="00183B5F" w:rsidRDefault="00943743" w:rsidP="004062FE">
            <w:pPr>
              <w:pStyle w:val="TableText"/>
              <w:keepNext w:val="0"/>
              <w:keepLines w:val="0"/>
              <w:suppressAutoHyphens w:val="0"/>
              <w:spacing w:before="0" w:after="0" w:line="240" w:lineRule="auto"/>
              <w:rPr>
                <w:del w:id="6937" w:author="AbbVie_HU_03" w:date="2025-05-14T15:27:00Z"/>
                <w:sz w:val="22"/>
                <w:szCs w:val="22"/>
                <w:lang w:val="hu-HU"/>
              </w:rPr>
            </w:pPr>
            <w:del w:id="6938" w:author="AbbVie_HU_03" w:date="2025-05-14T15:27:00Z">
              <w:r w:rsidRPr="00183B5F">
                <w:rPr>
                  <w:sz w:val="22"/>
                  <w:szCs w:val="22"/>
                  <w:lang w:val="hu-HU"/>
                </w:rPr>
                <w:delText xml:space="preserve">Az összes p-érték a Humira </w:delText>
              </w:r>
              <w:r w:rsidRPr="00183B5F">
                <w:rPr>
                  <w:i/>
                  <w:sz w:val="22"/>
                  <w:szCs w:val="22"/>
                  <w:lang w:val="hu-HU"/>
                </w:rPr>
                <w:delText>versus</w:delText>
              </w:r>
              <w:r w:rsidRPr="00183B5F">
                <w:rPr>
                  <w:sz w:val="22"/>
                  <w:szCs w:val="22"/>
                  <w:lang w:val="hu-HU"/>
                </w:rPr>
                <w:delText xml:space="preserve"> placebokezelés során regisztrált részarányok páronkénti összehasonlításaira vonatkozik.</w:delText>
              </w:r>
            </w:del>
          </w:p>
          <w:p w14:paraId="3DE2F1B3" w14:textId="286DFFAC" w:rsidR="00FB6710" w:rsidRPr="00183B5F" w:rsidRDefault="00943743" w:rsidP="004062FE">
            <w:pPr>
              <w:pStyle w:val="TableText"/>
              <w:keepNext w:val="0"/>
              <w:keepLines w:val="0"/>
              <w:suppressAutoHyphens w:val="0"/>
              <w:spacing w:before="0" w:after="0" w:line="240" w:lineRule="auto"/>
              <w:rPr>
                <w:del w:id="6939" w:author="AbbVie_HU_03" w:date="2025-05-14T15:27:00Z"/>
                <w:sz w:val="22"/>
                <w:lang w:val="hu-HU"/>
              </w:rPr>
            </w:pPr>
            <w:del w:id="6940" w:author="AbbVie_HU_03" w:date="2025-05-14T15:27:00Z">
              <w:r w:rsidRPr="00183B5F">
                <w:rPr>
                  <w:sz w:val="22"/>
                  <w:vertAlign w:val="superscript"/>
                  <w:lang w:val="hu-HU"/>
                </w:rPr>
                <w:delText>*</w:delText>
              </w:r>
              <w:r w:rsidRPr="00183B5F">
                <w:rPr>
                  <w:sz w:val="22"/>
                  <w:lang w:val="hu-HU"/>
                </w:rPr>
                <w:tab/>
                <w:delText>p &lt; 0,001</w:delText>
              </w:r>
            </w:del>
          </w:p>
          <w:p w14:paraId="465F2962" w14:textId="7A7AFE0C" w:rsidR="00FB6710" w:rsidRPr="00183B5F" w:rsidRDefault="00943743" w:rsidP="004062FE">
            <w:pPr>
              <w:pStyle w:val="TableText"/>
              <w:keepNext w:val="0"/>
              <w:keepLines w:val="0"/>
              <w:suppressAutoHyphens w:val="0"/>
              <w:spacing w:before="0" w:after="0" w:line="240" w:lineRule="auto"/>
              <w:rPr>
                <w:del w:id="6941" w:author="AbbVie_HU_03" w:date="2025-05-14T15:27:00Z"/>
                <w:sz w:val="22"/>
                <w:lang w:val="hu-HU"/>
              </w:rPr>
            </w:pPr>
            <w:del w:id="6942" w:author="AbbVie_HU_03" w:date="2025-05-14T15:27:00Z">
              <w:r w:rsidRPr="00183B5F">
                <w:rPr>
                  <w:sz w:val="22"/>
                  <w:vertAlign w:val="superscript"/>
                  <w:lang w:val="hu-HU"/>
                </w:rPr>
                <w:delText>**</w:delText>
              </w:r>
              <w:r w:rsidRPr="00183B5F">
                <w:rPr>
                  <w:sz w:val="22"/>
                  <w:lang w:val="hu-HU"/>
                </w:rPr>
                <w:tab/>
                <w:delText>p &lt; 0,01</w:delText>
              </w:r>
            </w:del>
          </w:p>
        </w:tc>
      </w:tr>
    </w:tbl>
    <w:p w14:paraId="2270E23C" w14:textId="1B5DB603" w:rsidR="005B2F2E" w:rsidRPr="00183B5F" w:rsidRDefault="005B2F2E" w:rsidP="004062FE">
      <w:pPr>
        <w:suppressAutoHyphens w:val="0"/>
        <w:spacing w:line="240" w:lineRule="auto"/>
        <w:rPr>
          <w:del w:id="6943" w:author="AbbVie_HU_03" w:date="2025-05-14T15:27:00Z"/>
          <w:szCs w:val="22"/>
        </w:rPr>
      </w:pPr>
    </w:p>
    <w:p w14:paraId="5FA3E053" w14:textId="2CE02A95" w:rsidR="00FB6710" w:rsidRPr="00183B5F" w:rsidRDefault="00943743" w:rsidP="004062FE">
      <w:pPr>
        <w:suppressAutoHyphens w:val="0"/>
        <w:spacing w:line="240" w:lineRule="auto"/>
        <w:rPr>
          <w:del w:id="6944" w:author="AbbVie_HU_03" w:date="2025-05-14T15:27:00Z"/>
          <w:szCs w:val="22"/>
        </w:rPr>
      </w:pPr>
      <w:del w:id="6945" w:author="AbbVie_HU_03" w:date="2025-05-14T15:27:00Z">
        <w:r w:rsidRPr="00183B5F">
          <w:rPr>
            <w:szCs w:val="22"/>
          </w:rPr>
          <w:delText>A 160/80 mg, illetve a 80/40 mg dózisú indukciós kezelések után a 8.</w:delText>
        </w:r>
        <w:r w:rsidR="00A44DB6" w:rsidRPr="00183B5F">
          <w:rPr>
            <w:szCs w:val="22"/>
          </w:rPr>
          <w:delText> hét</w:delText>
        </w:r>
        <w:r w:rsidRPr="00183B5F">
          <w:rPr>
            <w:szCs w:val="22"/>
          </w:rPr>
          <w:delText>en hasonló remissziós rátát regisztráltak; a 160/80 mg dózis</w:delText>
        </w:r>
        <w:r w:rsidR="000135CA" w:rsidRPr="00183B5F">
          <w:rPr>
            <w:szCs w:val="22"/>
          </w:rPr>
          <w:delText>s</w:delText>
        </w:r>
        <w:r w:rsidRPr="00183B5F">
          <w:rPr>
            <w:szCs w:val="22"/>
          </w:rPr>
          <w:delText>al kezelt csoportban gyakrabban észleltek mellékhatásokat.</w:delText>
        </w:r>
      </w:del>
    </w:p>
    <w:p w14:paraId="2CE1C9C3" w14:textId="2ECE4FD3" w:rsidR="00FB6710" w:rsidRPr="00183B5F" w:rsidRDefault="00FB6710" w:rsidP="004062FE">
      <w:pPr>
        <w:suppressAutoHyphens w:val="0"/>
        <w:spacing w:line="240" w:lineRule="auto"/>
        <w:rPr>
          <w:del w:id="6946" w:author="AbbVie_HU_03" w:date="2025-05-14T15:27:00Z"/>
          <w:szCs w:val="22"/>
        </w:rPr>
      </w:pPr>
    </w:p>
    <w:p w14:paraId="6D06101C" w14:textId="45311ACE" w:rsidR="00FB6710" w:rsidRPr="00183B5F" w:rsidRDefault="00943743" w:rsidP="004062FE">
      <w:pPr>
        <w:spacing w:line="240" w:lineRule="auto"/>
        <w:rPr>
          <w:del w:id="6947" w:author="AbbVie_HU_03" w:date="2025-05-14T15:27:00Z"/>
          <w:szCs w:val="22"/>
        </w:rPr>
      </w:pPr>
      <w:del w:id="6948" w:author="AbbVie_HU_03" w:date="2025-05-14T15:27:00Z">
        <w:r w:rsidRPr="00183B5F">
          <w:rPr>
            <w:szCs w:val="22"/>
          </w:rPr>
          <w:delText>A CD</w:delText>
        </w:r>
        <w:r w:rsidR="00E91E1C" w:rsidRPr="00183B5F">
          <w:rPr>
            <w:szCs w:val="22"/>
          </w:rPr>
          <w:delText> </w:delText>
        </w:r>
        <w:r w:rsidRPr="00183B5F">
          <w:rPr>
            <w:szCs w:val="22"/>
          </w:rPr>
          <w:delText>III vizsgálat 4.</w:delText>
        </w:r>
        <w:r w:rsidR="00E91E1C" w:rsidRPr="00183B5F">
          <w:rPr>
            <w:szCs w:val="22"/>
          </w:rPr>
          <w:delText> </w:delText>
        </w:r>
        <w:r w:rsidRPr="00183B5F">
          <w:rPr>
            <w:szCs w:val="22"/>
          </w:rPr>
          <w:delText>hetében a betegek 58%</w:delText>
        </w:r>
        <w:r w:rsidR="00E91E1C" w:rsidRPr="00183B5F">
          <w:rPr>
            <w:szCs w:val="22"/>
          </w:rPr>
          <w:noBreakHyphen/>
        </w:r>
        <w:r w:rsidRPr="00183B5F">
          <w:rPr>
            <w:szCs w:val="22"/>
          </w:rPr>
          <w:delText>án (499/854) mutatkozott klinikai hatás; a primer elemzést ezeknek a résztvevőknek az eredményein végezték el. A kezelésre a 4.</w:delText>
        </w:r>
        <w:r w:rsidR="00A44DB6" w:rsidRPr="00183B5F">
          <w:rPr>
            <w:szCs w:val="22"/>
          </w:rPr>
          <w:delText> hét</w:delText>
        </w:r>
        <w:r w:rsidRPr="00183B5F">
          <w:rPr>
            <w:szCs w:val="22"/>
          </w:rPr>
          <w:delText>en klinikailag reagáló betegek 48%</w:delText>
        </w:r>
        <w:r w:rsidR="00E91E1C" w:rsidRPr="00183B5F">
          <w:rPr>
            <w:szCs w:val="22"/>
          </w:rPr>
          <w:noBreakHyphen/>
        </w:r>
        <w:r w:rsidRPr="00183B5F">
          <w:rPr>
            <w:szCs w:val="22"/>
          </w:rPr>
          <w:delText>át korábban már kezelték más TNF</w:delText>
        </w:r>
        <w:r w:rsidR="00E91E1C" w:rsidRPr="00183B5F">
          <w:rPr>
            <w:szCs w:val="22"/>
          </w:rPr>
          <w:noBreakHyphen/>
        </w:r>
        <w:r w:rsidR="002F57AE" w:rsidRPr="00183B5F">
          <w:rPr>
            <w:szCs w:val="22"/>
          </w:rPr>
          <w:delText>antagonistával</w:delText>
        </w:r>
        <w:r w:rsidRPr="00183B5F">
          <w:rPr>
            <w:szCs w:val="22"/>
          </w:rPr>
          <w:delText xml:space="preserve">. A tartós remissziót elért, illetve a kezelésre reagáló betegek részarányát a </w:delText>
        </w:r>
        <w:r w:rsidR="0039729B" w:rsidRPr="00183B5F">
          <w:rPr>
            <w:szCs w:val="22"/>
          </w:rPr>
          <w:delText>22</w:delText>
        </w:r>
        <w:r w:rsidRPr="00183B5F">
          <w:rPr>
            <w:szCs w:val="22"/>
          </w:rPr>
          <w:delText>.</w:delText>
        </w:r>
        <w:r w:rsidR="00A24D59" w:rsidRPr="00183B5F">
          <w:rPr>
            <w:szCs w:val="22"/>
          </w:rPr>
          <w:delText> </w:delText>
        </w:r>
        <w:r w:rsidRPr="00183B5F">
          <w:rPr>
            <w:szCs w:val="22"/>
          </w:rPr>
          <w:delText>táblázat mutatja be. A klinikai remisszióban lévő betegek részaránya viszonylag állandó maradt, függetlenül a TNF</w:delText>
        </w:r>
        <w:r w:rsidR="00E91E1C" w:rsidRPr="00183B5F">
          <w:rPr>
            <w:szCs w:val="22"/>
          </w:rPr>
          <w:noBreakHyphen/>
        </w:r>
        <w:r w:rsidRPr="00183B5F">
          <w:rPr>
            <w:szCs w:val="22"/>
          </w:rPr>
          <w:delText>antagonista</w:delText>
        </w:r>
        <w:r w:rsidR="000135CA" w:rsidRPr="00183B5F">
          <w:rPr>
            <w:szCs w:val="22"/>
          </w:rPr>
          <w:delText>-</w:delText>
        </w:r>
        <w:r w:rsidRPr="00183B5F">
          <w:rPr>
            <w:szCs w:val="22"/>
          </w:rPr>
          <w:delText xml:space="preserve">expozíciótól. </w:delText>
        </w:r>
      </w:del>
    </w:p>
    <w:p w14:paraId="1CA4ECF2" w14:textId="07DE3C5D" w:rsidR="00FB6710" w:rsidRPr="00183B5F" w:rsidRDefault="00FB6710" w:rsidP="004062FE">
      <w:pPr>
        <w:spacing w:line="240" w:lineRule="auto"/>
        <w:rPr>
          <w:del w:id="6949" w:author="AbbVie_HU_03" w:date="2025-05-14T15:27:00Z"/>
          <w:szCs w:val="22"/>
        </w:rPr>
      </w:pPr>
    </w:p>
    <w:p w14:paraId="7E22D39B" w14:textId="704A2BE3" w:rsidR="00FB6710" w:rsidRPr="00183B5F" w:rsidRDefault="00943743" w:rsidP="004062FE">
      <w:pPr>
        <w:spacing w:line="240" w:lineRule="auto"/>
        <w:rPr>
          <w:del w:id="6950" w:author="AbbVie_HU_03" w:date="2025-05-14T15:27:00Z"/>
          <w:szCs w:val="22"/>
        </w:rPr>
      </w:pPr>
      <w:del w:id="6951" w:author="AbbVie_HU_03" w:date="2025-05-14T15:27:00Z">
        <w:r w:rsidRPr="00183B5F">
          <w:rPr>
            <w:szCs w:val="22"/>
          </w:rPr>
          <w:delText>Az 56.</w:delText>
        </w:r>
        <w:r w:rsidR="00A44DB6" w:rsidRPr="00183B5F">
          <w:rPr>
            <w:szCs w:val="22"/>
          </w:rPr>
          <w:delText> hét</w:delText>
        </w:r>
        <w:r w:rsidRPr="00183B5F">
          <w:rPr>
            <w:szCs w:val="22"/>
          </w:rPr>
          <w:delText>re a placebóhoz képest az adalimumab esetén statisztikailag szignifikánsan csökkent a betegséggel összefüggő hospitalizációk és műtétek száma.</w:delText>
        </w:r>
      </w:del>
    </w:p>
    <w:p w14:paraId="191CDD64" w14:textId="68829AF9" w:rsidR="00FB6710" w:rsidRPr="00183B5F" w:rsidRDefault="00FB6710" w:rsidP="004062FE">
      <w:pPr>
        <w:suppressAutoHyphens w:val="0"/>
        <w:spacing w:line="240" w:lineRule="auto"/>
        <w:rPr>
          <w:del w:id="6952" w:author="AbbVie_HU_03" w:date="2025-05-14T15:27:00Z"/>
          <w:szCs w:val="22"/>
        </w:rPr>
      </w:pPr>
    </w:p>
    <w:p w14:paraId="03661761" w14:textId="4C906851" w:rsidR="00C1029B" w:rsidRPr="00183B5F" w:rsidRDefault="00943743" w:rsidP="004062FE">
      <w:pPr>
        <w:keepNext/>
        <w:suppressAutoHyphens w:val="0"/>
        <w:spacing w:line="240" w:lineRule="auto"/>
        <w:jc w:val="center"/>
        <w:rPr>
          <w:del w:id="6953" w:author="AbbVie_HU_03" w:date="2025-05-14T15:27:00Z"/>
          <w:b/>
          <w:szCs w:val="22"/>
        </w:rPr>
      </w:pPr>
      <w:del w:id="6954" w:author="AbbVie_HU_03" w:date="2025-05-14T15:27:00Z">
        <w:r w:rsidRPr="00183B5F">
          <w:rPr>
            <w:b/>
            <w:szCs w:val="22"/>
          </w:rPr>
          <w:delText>22</w:delText>
        </w:r>
        <w:r w:rsidR="00FB6710" w:rsidRPr="00183B5F">
          <w:rPr>
            <w:b/>
            <w:szCs w:val="22"/>
          </w:rPr>
          <w:delText>.</w:delText>
        </w:r>
        <w:r w:rsidR="00A24D59" w:rsidRPr="00183B5F">
          <w:rPr>
            <w:b/>
            <w:szCs w:val="22"/>
          </w:rPr>
          <w:delText> </w:delText>
        </w:r>
        <w:r w:rsidR="00FB6710" w:rsidRPr="00183B5F">
          <w:rPr>
            <w:b/>
            <w:szCs w:val="22"/>
          </w:rPr>
          <w:delText xml:space="preserve">táblázat </w:delText>
        </w:r>
      </w:del>
    </w:p>
    <w:p w14:paraId="7E9B93BD" w14:textId="7AE5733E" w:rsidR="00FB6710" w:rsidRPr="00183B5F" w:rsidRDefault="00943743" w:rsidP="004062FE">
      <w:pPr>
        <w:keepNext/>
        <w:suppressAutoHyphens w:val="0"/>
        <w:spacing w:line="240" w:lineRule="auto"/>
        <w:jc w:val="center"/>
        <w:rPr>
          <w:del w:id="6955" w:author="AbbVie_HU_03" w:date="2025-05-14T15:27:00Z"/>
          <w:b/>
          <w:szCs w:val="22"/>
        </w:rPr>
      </w:pPr>
      <w:del w:id="6956" w:author="AbbVie_HU_03" w:date="2025-05-14T15:27:00Z">
        <w:r w:rsidRPr="00183B5F">
          <w:rPr>
            <w:b/>
            <w:szCs w:val="22"/>
          </w:rPr>
          <w:delText>A klinikai remisszió és válasz fenntartása</w:delText>
        </w:r>
      </w:del>
    </w:p>
    <w:p w14:paraId="317FC002" w14:textId="719C8647" w:rsidR="00FB6710" w:rsidRPr="00183B5F" w:rsidRDefault="00943743" w:rsidP="004062FE">
      <w:pPr>
        <w:keepNext/>
        <w:suppressAutoHyphens w:val="0"/>
        <w:spacing w:line="240" w:lineRule="auto"/>
        <w:jc w:val="center"/>
        <w:rPr>
          <w:del w:id="6957" w:author="AbbVie_HU_03" w:date="2025-05-14T15:27:00Z"/>
          <w:b/>
          <w:szCs w:val="22"/>
        </w:rPr>
      </w:pPr>
      <w:del w:id="6958" w:author="AbbVie_HU_03" w:date="2025-05-14T15:27:00Z">
        <w:r w:rsidRPr="00183B5F">
          <w:rPr>
            <w:b/>
            <w:szCs w:val="22"/>
          </w:rPr>
          <w:delText>(betegek százaléka)</w:delText>
        </w:r>
      </w:del>
    </w:p>
    <w:p w14:paraId="0CF5DA6E" w14:textId="1CD84E54" w:rsidR="00FB6710" w:rsidRPr="00183B5F" w:rsidRDefault="00FB6710" w:rsidP="004062FE">
      <w:pPr>
        <w:keepNext/>
        <w:suppressAutoHyphens w:val="0"/>
        <w:spacing w:line="240" w:lineRule="auto"/>
        <w:rPr>
          <w:del w:id="6959" w:author="AbbVie_HU_03" w:date="2025-05-14T15:27:00Z"/>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6"/>
        <w:gridCol w:w="1710"/>
        <w:gridCol w:w="1885"/>
        <w:gridCol w:w="1820"/>
      </w:tblGrid>
      <w:tr w:rsidR="00011D2F" w14:paraId="292C8E7A" w14:textId="6643DB8C">
        <w:trPr>
          <w:del w:id="6960" w:author="AbbVie_HU_03" w:date="2025-05-14T15:27:00Z"/>
        </w:trPr>
        <w:tc>
          <w:tcPr>
            <w:tcW w:w="3747" w:type="dxa"/>
          </w:tcPr>
          <w:p w14:paraId="4EC96F4C" w14:textId="31419BCC" w:rsidR="00FB6710" w:rsidRPr="00183B5F" w:rsidRDefault="00FB6710" w:rsidP="004062FE">
            <w:pPr>
              <w:pStyle w:val="TableText"/>
              <w:keepLines w:val="0"/>
              <w:suppressAutoHyphens w:val="0"/>
              <w:spacing w:before="0" w:after="0" w:line="240" w:lineRule="auto"/>
              <w:rPr>
                <w:del w:id="6961" w:author="AbbVie_HU_03" w:date="2025-05-14T15:27:00Z"/>
                <w:b/>
                <w:bCs/>
                <w:sz w:val="22"/>
                <w:szCs w:val="22"/>
                <w:lang w:val="hu-HU"/>
              </w:rPr>
            </w:pPr>
          </w:p>
        </w:tc>
        <w:tc>
          <w:tcPr>
            <w:tcW w:w="1751" w:type="dxa"/>
          </w:tcPr>
          <w:p w14:paraId="20BF9F70" w14:textId="2A94876E" w:rsidR="00FB6710" w:rsidRPr="00183B5F" w:rsidRDefault="00943743" w:rsidP="004062FE">
            <w:pPr>
              <w:pStyle w:val="TableText"/>
              <w:keepLines w:val="0"/>
              <w:suppressAutoHyphens w:val="0"/>
              <w:spacing w:before="0" w:after="0" w:line="240" w:lineRule="auto"/>
              <w:jc w:val="center"/>
              <w:rPr>
                <w:del w:id="6962" w:author="AbbVie_HU_03" w:date="2025-05-14T15:27:00Z"/>
                <w:b/>
                <w:sz w:val="22"/>
                <w:lang w:val="hu-HU"/>
              </w:rPr>
            </w:pPr>
            <w:del w:id="6963" w:author="AbbVie_HU_03" w:date="2025-05-14T15:27:00Z">
              <w:r w:rsidRPr="00183B5F">
                <w:rPr>
                  <w:b/>
                  <w:sz w:val="22"/>
                  <w:lang w:val="hu-HU"/>
                </w:rPr>
                <w:delText>Placebo</w:delText>
              </w:r>
            </w:del>
          </w:p>
        </w:tc>
        <w:tc>
          <w:tcPr>
            <w:tcW w:w="1928" w:type="dxa"/>
          </w:tcPr>
          <w:p w14:paraId="72544395" w14:textId="19D80267" w:rsidR="00FB6710" w:rsidRPr="00183B5F" w:rsidRDefault="00943743" w:rsidP="004062FE">
            <w:pPr>
              <w:pStyle w:val="TableText"/>
              <w:keepLines w:val="0"/>
              <w:suppressAutoHyphens w:val="0"/>
              <w:spacing w:before="0" w:after="0" w:line="240" w:lineRule="auto"/>
              <w:jc w:val="center"/>
              <w:rPr>
                <w:del w:id="6964" w:author="AbbVie_HU_03" w:date="2025-05-14T15:27:00Z"/>
                <w:b/>
                <w:sz w:val="22"/>
                <w:lang w:val="hu-HU"/>
              </w:rPr>
            </w:pPr>
            <w:del w:id="6965" w:author="AbbVie_HU_03" w:date="2025-05-14T15:27:00Z">
              <w:r w:rsidRPr="00183B5F">
                <w:rPr>
                  <w:b/>
                  <w:sz w:val="22"/>
                  <w:lang w:val="hu-HU"/>
                </w:rPr>
                <w:delText>40 mg Humira</w:delText>
              </w:r>
              <w:r w:rsidRPr="00183B5F">
                <w:rPr>
                  <w:b/>
                  <w:sz w:val="22"/>
                  <w:lang w:val="hu-HU"/>
                </w:rPr>
                <w:br/>
                <w:delText>minden második héten</w:delText>
              </w:r>
            </w:del>
          </w:p>
        </w:tc>
        <w:tc>
          <w:tcPr>
            <w:tcW w:w="1859" w:type="dxa"/>
          </w:tcPr>
          <w:p w14:paraId="25B1984D" w14:textId="67A5FF66" w:rsidR="00FB6710" w:rsidRPr="00183B5F" w:rsidRDefault="00943743" w:rsidP="004062FE">
            <w:pPr>
              <w:pStyle w:val="TableText"/>
              <w:keepLines w:val="0"/>
              <w:suppressAutoHyphens w:val="0"/>
              <w:spacing w:before="0" w:after="0" w:line="240" w:lineRule="auto"/>
              <w:jc w:val="center"/>
              <w:rPr>
                <w:del w:id="6966" w:author="AbbVie_HU_03" w:date="2025-05-14T15:27:00Z"/>
                <w:b/>
                <w:sz w:val="22"/>
                <w:lang w:val="hu-HU"/>
              </w:rPr>
            </w:pPr>
            <w:del w:id="6967" w:author="AbbVie_HU_03" w:date="2025-05-14T15:27:00Z">
              <w:r w:rsidRPr="00183B5F">
                <w:rPr>
                  <w:b/>
                  <w:sz w:val="22"/>
                  <w:lang w:val="hu-HU"/>
                </w:rPr>
                <w:delText>40 mg Humira</w:delText>
              </w:r>
              <w:r w:rsidRPr="00183B5F">
                <w:rPr>
                  <w:b/>
                  <w:sz w:val="22"/>
                  <w:lang w:val="hu-HU"/>
                </w:rPr>
                <w:br/>
                <w:delText>hetente</w:delText>
              </w:r>
            </w:del>
          </w:p>
        </w:tc>
      </w:tr>
      <w:tr w:rsidR="00011D2F" w14:paraId="1E5A6F39" w14:textId="212B070F">
        <w:trPr>
          <w:del w:id="6968" w:author="AbbVie_HU_03" w:date="2025-05-14T15:27:00Z"/>
        </w:trPr>
        <w:tc>
          <w:tcPr>
            <w:tcW w:w="3747" w:type="dxa"/>
          </w:tcPr>
          <w:p w14:paraId="2D62A341" w14:textId="59008BAC" w:rsidR="00FB6710" w:rsidRPr="00183B5F" w:rsidRDefault="00943743" w:rsidP="004062FE">
            <w:pPr>
              <w:pStyle w:val="TableText"/>
              <w:keepLines w:val="0"/>
              <w:suppressAutoHyphens w:val="0"/>
              <w:spacing w:before="0" w:after="0" w:line="240" w:lineRule="auto"/>
              <w:rPr>
                <w:del w:id="6969" w:author="AbbVie_HU_03" w:date="2025-05-14T15:27:00Z"/>
                <w:b/>
                <w:sz w:val="22"/>
                <w:lang w:val="hu-HU"/>
              </w:rPr>
            </w:pPr>
            <w:del w:id="6970" w:author="AbbVie_HU_03" w:date="2025-05-14T15:27:00Z">
              <w:r w:rsidRPr="00183B5F">
                <w:rPr>
                  <w:b/>
                  <w:sz w:val="22"/>
                  <w:lang w:val="hu-HU"/>
                </w:rPr>
                <w:delText>26.</w:delText>
              </w:r>
              <w:r w:rsidR="00A44DB6" w:rsidRPr="00183B5F">
                <w:rPr>
                  <w:b/>
                  <w:sz w:val="22"/>
                  <w:lang w:val="hu-HU"/>
                </w:rPr>
                <w:delText> hét</w:delText>
              </w:r>
            </w:del>
          </w:p>
        </w:tc>
        <w:tc>
          <w:tcPr>
            <w:tcW w:w="1751" w:type="dxa"/>
          </w:tcPr>
          <w:p w14:paraId="3C1DD2A6" w14:textId="3F71A2C2" w:rsidR="00FB6710" w:rsidRPr="00183B5F" w:rsidRDefault="00943743" w:rsidP="004062FE">
            <w:pPr>
              <w:pStyle w:val="TableText"/>
              <w:keepLines w:val="0"/>
              <w:suppressAutoHyphens w:val="0"/>
              <w:spacing w:before="0" w:after="0" w:line="240" w:lineRule="auto"/>
              <w:jc w:val="center"/>
              <w:rPr>
                <w:del w:id="6971" w:author="AbbVie_HU_03" w:date="2025-05-14T15:27:00Z"/>
                <w:b/>
                <w:sz w:val="22"/>
                <w:lang w:val="hu-HU"/>
              </w:rPr>
            </w:pPr>
            <w:del w:id="6972" w:author="AbbVie_HU_03" w:date="2025-05-14T15:27:00Z">
              <w:r w:rsidRPr="00183B5F">
                <w:rPr>
                  <w:b/>
                  <w:sz w:val="22"/>
                  <w:lang w:val="hu-HU"/>
                </w:rPr>
                <w:delText>N</w:delText>
              </w:r>
              <w:r w:rsidR="003F64BC" w:rsidRPr="00183B5F">
                <w:rPr>
                  <w:b/>
                  <w:sz w:val="22"/>
                  <w:lang w:val="hu-HU"/>
                </w:rPr>
                <w:delText> </w:delText>
              </w:r>
              <w:r w:rsidRPr="00183B5F">
                <w:rPr>
                  <w:b/>
                  <w:sz w:val="22"/>
                  <w:lang w:val="hu-HU"/>
                </w:rPr>
                <w:delText>=</w:delText>
              </w:r>
              <w:r w:rsidR="003F64BC" w:rsidRPr="00183B5F">
                <w:rPr>
                  <w:b/>
                  <w:sz w:val="22"/>
                  <w:lang w:val="hu-HU"/>
                </w:rPr>
                <w:delText> </w:delText>
              </w:r>
              <w:r w:rsidRPr="00183B5F">
                <w:rPr>
                  <w:b/>
                  <w:sz w:val="22"/>
                  <w:lang w:val="hu-HU"/>
                </w:rPr>
                <w:delText>170</w:delText>
              </w:r>
            </w:del>
          </w:p>
        </w:tc>
        <w:tc>
          <w:tcPr>
            <w:tcW w:w="1928" w:type="dxa"/>
          </w:tcPr>
          <w:p w14:paraId="5F270292" w14:textId="07C91617" w:rsidR="00FB6710" w:rsidRPr="00183B5F" w:rsidRDefault="00943743" w:rsidP="004062FE">
            <w:pPr>
              <w:pStyle w:val="TableText"/>
              <w:keepLines w:val="0"/>
              <w:suppressAutoHyphens w:val="0"/>
              <w:spacing w:before="0" w:after="0" w:line="240" w:lineRule="auto"/>
              <w:jc w:val="center"/>
              <w:rPr>
                <w:del w:id="6973" w:author="AbbVie_HU_03" w:date="2025-05-14T15:27:00Z"/>
                <w:b/>
                <w:sz w:val="22"/>
                <w:lang w:val="hu-HU"/>
              </w:rPr>
            </w:pPr>
            <w:del w:id="6974" w:author="AbbVie_HU_03" w:date="2025-05-14T15:27:00Z">
              <w:r w:rsidRPr="00183B5F">
                <w:rPr>
                  <w:b/>
                  <w:sz w:val="22"/>
                  <w:lang w:val="hu-HU"/>
                </w:rPr>
                <w:delText>N</w:delText>
              </w:r>
              <w:r w:rsidR="003F64BC" w:rsidRPr="00183B5F">
                <w:rPr>
                  <w:b/>
                  <w:sz w:val="22"/>
                  <w:lang w:val="hu-HU"/>
                </w:rPr>
                <w:delText> </w:delText>
              </w:r>
              <w:r w:rsidRPr="00183B5F">
                <w:rPr>
                  <w:b/>
                  <w:sz w:val="22"/>
                  <w:lang w:val="hu-HU"/>
                </w:rPr>
                <w:delText>=</w:delText>
              </w:r>
              <w:r w:rsidR="003F64BC" w:rsidRPr="00183B5F">
                <w:rPr>
                  <w:b/>
                  <w:sz w:val="22"/>
                  <w:lang w:val="hu-HU"/>
                </w:rPr>
                <w:delText> </w:delText>
              </w:r>
              <w:r w:rsidRPr="00183B5F">
                <w:rPr>
                  <w:b/>
                  <w:sz w:val="22"/>
                  <w:lang w:val="hu-HU"/>
                </w:rPr>
                <w:delText>172</w:delText>
              </w:r>
            </w:del>
          </w:p>
        </w:tc>
        <w:tc>
          <w:tcPr>
            <w:tcW w:w="1859" w:type="dxa"/>
          </w:tcPr>
          <w:p w14:paraId="769A73D3" w14:textId="096FCD7E" w:rsidR="00FB6710" w:rsidRPr="00183B5F" w:rsidRDefault="00943743" w:rsidP="004062FE">
            <w:pPr>
              <w:pStyle w:val="TableText"/>
              <w:keepLines w:val="0"/>
              <w:suppressAutoHyphens w:val="0"/>
              <w:spacing w:before="0" w:after="0" w:line="240" w:lineRule="auto"/>
              <w:jc w:val="center"/>
              <w:rPr>
                <w:del w:id="6975" w:author="AbbVie_HU_03" w:date="2025-05-14T15:27:00Z"/>
                <w:b/>
                <w:sz w:val="22"/>
                <w:lang w:val="hu-HU"/>
              </w:rPr>
            </w:pPr>
            <w:del w:id="6976" w:author="AbbVie_HU_03" w:date="2025-05-14T15:27:00Z">
              <w:r w:rsidRPr="00183B5F">
                <w:rPr>
                  <w:b/>
                  <w:sz w:val="22"/>
                  <w:lang w:val="hu-HU"/>
                </w:rPr>
                <w:delText>N</w:delText>
              </w:r>
              <w:r w:rsidR="003F64BC" w:rsidRPr="00183B5F">
                <w:rPr>
                  <w:b/>
                  <w:sz w:val="22"/>
                  <w:lang w:val="hu-HU"/>
                </w:rPr>
                <w:delText> </w:delText>
              </w:r>
              <w:r w:rsidRPr="00183B5F">
                <w:rPr>
                  <w:b/>
                  <w:sz w:val="22"/>
                  <w:lang w:val="hu-HU"/>
                </w:rPr>
                <w:delText>=</w:delText>
              </w:r>
              <w:r w:rsidR="003F64BC" w:rsidRPr="00183B5F">
                <w:rPr>
                  <w:b/>
                  <w:sz w:val="22"/>
                  <w:lang w:val="hu-HU"/>
                </w:rPr>
                <w:delText> </w:delText>
              </w:r>
              <w:r w:rsidRPr="00183B5F">
                <w:rPr>
                  <w:b/>
                  <w:sz w:val="22"/>
                  <w:lang w:val="hu-HU"/>
                </w:rPr>
                <w:delText>157</w:delText>
              </w:r>
            </w:del>
          </w:p>
        </w:tc>
      </w:tr>
      <w:tr w:rsidR="00011D2F" w14:paraId="09A1C00F" w14:textId="7FCCA694">
        <w:trPr>
          <w:del w:id="6977" w:author="AbbVie_HU_03" w:date="2025-05-14T15:27:00Z"/>
        </w:trPr>
        <w:tc>
          <w:tcPr>
            <w:tcW w:w="3747" w:type="dxa"/>
          </w:tcPr>
          <w:p w14:paraId="0E69A411" w14:textId="3180479F" w:rsidR="00FB6710" w:rsidRPr="00183B5F" w:rsidRDefault="00943743" w:rsidP="004062FE">
            <w:pPr>
              <w:pStyle w:val="TableText"/>
              <w:keepLines w:val="0"/>
              <w:suppressAutoHyphens w:val="0"/>
              <w:spacing w:before="0" w:after="0" w:line="240" w:lineRule="auto"/>
              <w:rPr>
                <w:del w:id="6978" w:author="AbbVie_HU_03" w:date="2025-05-14T15:27:00Z"/>
                <w:sz w:val="22"/>
                <w:lang w:val="hu-HU"/>
              </w:rPr>
            </w:pPr>
            <w:del w:id="6979" w:author="AbbVie_HU_03" w:date="2025-05-14T15:27:00Z">
              <w:r w:rsidRPr="00183B5F">
                <w:rPr>
                  <w:sz w:val="22"/>
                  <w:lang w:val="hu-HU"/>
                </w:rPr>
                <w:delText>Klinikai remisszió</w:delText>
              </w:r>
            </w:del>
          </w:p>
        </w:tc>
        <w:tc>
          <w:tcPr>
            <w:tcW w:w="1751" w:type="dxa"/>
          </w:tcPr>
          <w:p w14:paraId="05C7E929" w14:textId="72E5ED85" w:rsidR="00FB6710" w:rsidRPr="00183B5F" w:rsidRDefault="00943743" w:rsidP="004062FE">
            <w:pPr>
              <w:pStyle w:val="TableText"/>
              <w:keepLines w:val="0"/>
              <w:suppressAutoHyphens w:val="0"/>
              <w:spacing w:before="0" w:after="0" w:line="240" w:lineRule="auto"/>
              <w:jc w:val="center"/>
              <w:rPr>
                <w:del w:id="6980" w:author="AbbVie_HU_03" w:date="2025-05-14T15:27:00Z"/>
                <w:sz w:val="22"/>
                <w:lang w:val="hu-HU"/>
              </w:rPr>
            </w:pPr>
            <w:del w:id="6981" w:author="AbbVie_HU_03" w:date="2025-05-14T15:27:00Z">
              <w:r w:rsidRPr="00183B5F">
                <w:rPr>
                  <w:sz w:val="22"/>
                  <w:lang w:val="hu-HU"/>
                </w:rPr>
                <w:delText>17%</w:delText>
              </w:r>
            </w:del>
          </w:p>
        </w:tc>
        <w:tc>
          <w:tcPr>
            <w:tcW w:w="1928" w:type="dxa"/>
          </w:tcPr>
          <w:p w14:paraId="61487A39" w14:textId="24135DD2" w:rsidR="00FB6710" w:rsidRPr="00183B5F" w:rsidRDefault="00943743" w:rsidP="004062FE">
            <w:pPr>
              <w:pStyle w:val="TableText"/>
              <w:keepLines w:val="0"/>
              <w:suppressAutoHyphens w:val="0"/>
              <w:spacing w:before="0" w:after="0" w:line="240" w:lineRule="auto"/>
              <w:jc w:val="center"/>
              <w:rPr>
                <w:del w:id="6982" w:author="AbbVie_HU_03" w:date="2025-05-14T15:27:00Z"/>
                <w:sz w:val="22"/>
                <w:lang w:val="hu-HU"/>
              </w:rPr>
            </w:pPr>
            <w:del w:id="6983" w:author="AbbVie_HU_03" w:date="2025-05-14T15:27:00Z">
              <w:r w:rsidRPr="00183B5F">
                <w:rPr>
                  <w:sz w:val="22"/>
                  <w:lang w:val="hu-HU"/>
                </w:rPr>
                <w:delText>40%*</w:delText>
              </w:r>
            </w:del>
          </w:p>
        </w:tc>
        <w:tc>
          <w:tcPr>
            <w:tcW w:w="1859" w:type="dxa"/>
          </w:tcPr>
          <w:p w14:paraId="3485BC9E" w14:textId="0C1E41BD" w:rsidR="00FB6710" w:rsidRPr="00183B5F" w:rsidRDefault="00943743" w:rsidP="004062FE">
            <w:pPr>
              <w:pStyle w:val="TableText"/>
              <w:keepLines w:val="0"/>
              <w:suppressAutoHyphens w:val="0"/>
              <w:spacing w:before="0" w:after="0" w:line="240" w:lineRule="auto"/>
              <w:jc w:val="center"/>
              <w:rPr>
                <w:del w:id="6984" w:author="AbbVie_HU_03" w:date="2025-05-14T15:27:00Z"/>
                <w:sz w:val="22"/>
                <w:lang w:val="hu-HU"/>
              </w:rPr>
            </w:pPr>
            <w:del w:id="6985" w:author="AbbVie_HU_03" w:date="2025-05-14T15:27:00Z">
              <w:r w:rsidRPr="00183B5F">
                <w:rPr>
                  <w:sz w:val="22"/>
                  <w:lang w:val="hu-HU"/>
                </w:rPr>
                <w:delText>47%*</w:delText>
              </w:r>
            </w:del>
          </w:p>
        </w:tc>
      </w:tr>
      <w:tr w:rsidR="00011D2F" w14:paraId="4980686E" w14:textId="3FF30873">
        <w:trPr>
          <w:del w:id="6986" w:author="AbbVie_HU_03" w:date="2025-05-14T15:27:00Z"/>
        </w:trPr>
        <w:tc>
          <w:tcPr>
            <w:tcW w:w="3747" w:type="dxa"/>
          </w:tcPr>
          <w:p w14:paraId="1D51BDF1" w14:textId="78B58152" w:rsidR="00FB6710" w:rsidRPr="00183B5F" w:rsidRDefault="00943743" w:rsidP="004062FE">
            <w:pPr>
              <w:pStyle w:val="TableText"/>
              <w:keepLines w:val="0"/>
              <w:suppressAutoHyphens w:val="0"/>
              <w:spacing w:before="0" w:after="0" w:line="240" w:lineRule="auto"/>
              <w:rPr>
                <w:del w:id="6987" w:author="AbbVie_HU_03" w:date="2025-05-14T15:27:00Z"/>
                <w:sz w:val="22"/>
                <w:lang w:val="hu-HU"/>
              </w:rPr>
            </w:pPr>
            <w:del w:id="6988" w:author="AbbVie_HU_03" w:date="2025-05-14T15:27:00Z">
              <w:r w:rsidRPr="00183B5F">
                <w:rPr>
                  <w:sz w:val="22"/>
                  <w:lang w:val="hu-HU"/>
                </w:rPr>
                <w:delText>Klinikai válasz (CR-100)</w:delText>
              </w:r>
            </w:del>
          </w:p>
        </w:tc>
        <w:tc>
          <w:tcPr>
            <w:tcW w:w="1751" w:type="dxa"/>
          </w:tcPr>
          <w:p w14:paraId="63F08CC2" w14:textId="3ACF4665" w:rsidR="00FB6710" w:rsidRPr="00183B5F" w:rsidRDefault="00943743" w:rsidP="004062FE">
            <w:pPr>
              <w:pStyle w:val="TableText"/>
              <w:keepLines w:val="0"/>
              <w:suppressAutoHyphens w:val="0"/>
              <w:spacing w:before="0" w:after="0" w:line="240" w:lineRule="auto"/>
              <w:jc w:val="center"/>
              <w:rPr>
                <w:del w:id="6989" w:author="AbbVie_HU_03" w:date="2025-05-14T15:27:00Z"/>
                <w:sz w:val="22"/>
                <w:lang w:val="hu-HU"/>
              </w:rPr>
            </w:pPr>
            <w:del w:id="6990" w:author="AbbVie_HU_03" w:date="2025-05-14T15:27:00Z">
              <w:r w:rsidRPr="00183B5F">
                <w:rPr>
                  <w:sz w:val="22"/>
                  <w:lang w:val="hu-HU"/>
                </w:rPr>
                <w:delText>27%</w:delText>
              </w:r>
            </w:del>
          </w:p>
        </w:tc>
        <w:tc>
          <w:tcPr>
            <w:tcW w:w="1928" w:type="dxa"/>
          </w:tcPr>
          <w:p w14:paraId="1E54CFE3" w14:textId="0AD1C18E" w:rsidR="00FB6710" w:rsidRPr="00183B5F" w:rsidRDefault="00943743" w:rsidP="004062FE">
            <w:pPr>
              <w:pStyle w:val="TableText"/>
              <w:keepLines w:val="0"/>
              <w:suppressAutoHyphens w:val="0"/>
              <w:spacing w:before="0" w:after="0" w:line="240" w:lineRule="auto"/>
              <w:jc w:val="center"/>
              <w:rPr>
                <w:del w:id="6991" w:author="AbbVie_HU_03" w:date="2025-05-14T15:27:00Z"/>
                <w:sz w:val="22"/>
                <w:lang w:val="hu-HU"/>
              </w:rPr>
            </w:pPr>
            <w:del w:id="6992" w:author="AbbVie_HU_03" w:date="2025-05-14T15:27:00Z">
              <w:r w:rsidRPr="00183B5F">
                <w:rPr>
                  <w:sz w:val="22"/>
                  <w:lang w:val="hu-HU"/>
                </w:rPr>
                <w:delText>52%*</w:delText>
              </w:r>
            </w:del>
          </w:p>
        </w:tc>
        <w:tc>
          <w:tcPr>
            <w:tcW w:w="1859" w:type="dxa"/>
          </w:tcPr>
          <w:p w14:paraId="36B7F009" w14:textId="5980DEDF" w:rsidR="00FB6710" w:rsidRPr="00183B5F" w:rsidRDefault="00943743" w:rsidP="004062FE">
            <w:pPr>
              <w:pStyle w:val="TableText"/>
              <w:keepLines w:val="0"/>
              <w:suppressAutoHyphens w:val="0"/>
              <w:spacing w:before="0" w:after="0" w:line="240" w:lineRule="auto"/>
              <w:jc w:val="center"/>
              <w:rPr>
                <w:del w:id="6993" w:author="AbbVie_HU_03" w:date="2025-05-14T15:27:00Z"/>
                <w:sz w:val="22"/>
                <w:lang w:val="hu-HU"/>
              </w:rPr>
            </w:pPr>
            <w:del w:id="6994" w:author="AbbVie_HU_03" w:date="2025-05-14T15:27:00Z">
              <w:r w:rsidRPr="00183B5F">
                <w:rPr>
                  <w:sz w:val="22"/>
                  <w:lang w:val="hu-HU"/>
                </w:rPr>
                <w:delText>52%*</w:delText>
              </w:r>
            </w:del>
          </w:p>
        </w:tc>
      </w:tr>
      <w:tr w:rsidR="00011D2F" w14:paraId="3F64D46F" w14:textId="06EB130D">
        <w:trPr>
          <w:del w:id="6995" w:author="AbbVie_HU_03" w:date="2025-05-14T15:27:00Z"/>
        </w:trPr>
        <w:tc>
          <w:tcPr>
            <w:tcW w:w="3747" w:type="dxa"/>
          </w:tcPr>
          <w:p w14:paraId="5E3311A9" w14:textId="25ACB4DF" w:rsidR="00FB6710" w:rsidRPr="00183B5F" w:rsidRDefault="00943743" w:rsidP="004062FE">
            <w:pPr>
              <w:pStyle w:val="TableText"/>
              <w:keepLines w:val="0"/>
              <w:suppressAutoHyphens w:val="0"/>
              <w:spacing w:before="0" w:after="0" w:line="240" w:lineRule="auto"/>
              <w:ind w:left="360"/>
              <w:rPr>
                <w:del w:id="6996" w:author="AbbVie_HU_03" w:date="2025-05-14T15:27:00Z"/>
                <w:sz w:val="22"/>
                <w:szCs w:val="22"/>
                <w:lang w:val="hu-HU"/>
              </w:rPr>
            </w:pPr>
            <w:del w:id="6997" w:author="AbbVie_HU_03" w:date="2025-05-14T15:27:00Z">
              <w:r w:rsidRPr="00183B5F">
                <w:rPr>
                  <w:sz w:val="22"/>
                  <w:szCs w:val="22"/>
                  <w:lang w:val="hu-HU"/>
                </w:rPr>
                <w:delText xml:space="preserve">Szteroid-kezelés nélkül is </w:delText>
              </w:r>
              <w:r w:rsidR="008F1752" w:rsidRPr="00183B5F">
                <w:rPr>
                  <w:sz w:val="22"/>
                  <w:lang w:val="hu-HU"/>
                </w:rPr>
                <w:delText>≥90</w:delText>
              </w:r>
              <w:r w:rsidRPr="00183B5F">
                <w:rPr>
                  <w:sz w:val="22"/>
                  <w:szCs w:val="22"/>
                  <w:lang w:val="hu-HU"/>
                </w:rPr>
                <w:delText xml:space="preserve"> napja remisszióban lévő betegek</w:delText>
              </w:r>
              <w:r w:rsidRPr="00183B5F">
                <w:rPr>
                  <w:sz w:val="22"/>
                  <w:szCs w:val="22"/>
                  <w:vertAlign w:val="superscript"/>
                  <w:lang w:val="hu-HU"/>
                </w:rPr>
                <w:delText>a</w:delText>
              </w:r>
            </w:del>
          </w:p>
        </w:tc>
        <w:tc>
          <w:tcPr>
            <w:tcW w:w="1751" w:type="dxa"/>
          </w:tcPr>
          <w:p w14:paraId="68396818" w14:textId="378687EA" w:rsidR="00FB6710" w:rsidRPr="00183B5F" w:rsidRDefault="00943743" w:rsidP="004062FE">
            <w:pPr>
              <w:pStyle w:val="TableText"/>
              <w:keepLines w:val="0"/>
              <w:suppressAutoHyphens w:val="0"/>
              <w:spacing w:before="0" w:after="0" w:line="240" w:lineRule="auto"/>
              <w:jc w:val="center"/>
              <w:rPr>
                <w:del w:id="6998" w:author="AbbVie_HU_03" w:date="2025-05-14T15:27:00Z"/>
                <w:sz w:val="22"/>
                <w:lang w:val="hu-HU"/>
              </w:rPr>
            </w:pPr>
            <w:del w:id="6999" w:author="AbbVie_HU_03" w:date="2025-05-14T15:27:00Z">
              <w:r w:rsidRPr="00183B5F">
                <w:rPr>
                  <w:sz w:val="22"/>
                  <w:lang w:val="hu-HU"/>
                </w:rPr>
                <w:delText>3% (2/66)</w:delText>
              </w:r>
            </w:del>
          </w:p>
        </w:tc>
        <w:tc>
          <w:tcPr>
            <w:tcW w:w="1928" w:type="dxa"/>
          </w:tcPr>
          <w:p w14:paraId="7D5B498A" w14:textId="3C31D0C8" w:rsidR="00FB6710" w:rsidRPr="00183B5F" w:rsidRDefault="00943743" w:rsidP="004062FE">
            <w:pPr>
              <w:pStyle w:val="TableText"/>
              <w:keepLines w:val="0"/>
              <w:suppressAutoHyphens w:val="0"/>
              <w:spacing w:before="0" w:after="0" w:line="240" w:lineRule="auto"/>
              <w:jc w:val="center"/>
              <w:rPr>
                <w:del w:id="7000" w:author="AbbVie_HU_03" w:date="2025-05-14T15:27:00Z"/>
                <w:sz w:val="22"/>
                <w:lang w:val="hu-HU"/>
              </w:rPr>
            </w:pPr>
            <w:del w:id="7001" w:author="AbbVie_HU_03" w:date="2025-05-14T15:27:00Z">
              <w:r w:rsidRPr="00183B5F">
                <w:rPr>
                  <w:sz w:val="22"/>
                  <w:lang w:val="hu-HU"/>
                </w:rPr>
                <w:delText>19% (11/58)**</w:delText>
              </w:r>
            </w:del>
          </w:p>
        </w:tc>
        <w:tc>
          <w:tcPr>
            <w:tcW w:w="1859" w:type="dxa"/>
          </w:tcPr>
          <w:p w14:paraId="322137C2" w14:textId="0B16DB63" w:rsidR="00FB6710" w:rsidRPr="00183B5F" w:rsidRDefault="00943743" w:rsidP="004062FE">
            <w:pPr>
              <w:pStyle w:val="TableText"/>
              <w:keepLines w:val="0"/>
              <w:suppressAutoHyphens w:val="0"/>
              <w:spacing w:before="0" w:after="0" w:line="240" w:lineRule="auto"/>
              <w:jc w:val="center"/>
              <w:rPr>
                <w:del w:id="7002" w:author="AbbVie_HU_03" w:date="2025-05-14T15:27:00Z"/>
                <w:sz w:val="22"/>
                <w:lang w:val="hu-HU"/>
              </w:rPr>
            </w:pPr>
            <w:del w:id="7003" w:author="AbbVie_HU_03" w:date="2025-05-14T15:27:00Z">
              <w:r w:rsidRPr="00183B5F">
                <w:rPr>
                  <w:sz w:val="22"/>
                  <w:lang w:val="hu-HU"/>
                </w:rPr>
                <w:delText>15% (11/74)**</w:delText>
              </w:r>
            </w:del>
          </w:p>
        </w:tc>
      </w:tr>
      <w:tr w:rsidR="00011D2F" w14:paraId="2D09BA92" w14:textId="0193081B">
        <w:trPr>
          <w:del w:id="7004" w:author="AbbVie_HU_03" w:date="2025-05-14T15:27:00Z"/>
        </w:trPr>
        <w:tc>
          <w:tcPr>
            <w:tcW w:w="3747" w:type="dxa"/>
          </w:tcPr>
          <w:p w14:paraId="1A3680B1" w14:textId="27896F36" w:rsidR="00FB6710" w:rsidRPr="00183B5F" w:rsidRDefault="00943743" w:rsidP="004062FE">
            <w:pPr>
              <w:pStyle w:val="TableText"/>
              <w:keepLines w:val="0"/>
              <w:suppressAutoHyphens w:val="0"/>
              <w:spacing w:before="0" w:after="0" w:line="240" w:lineRule="auto"/>
              <w:rPr>
                <w:del w:id="7005" w:author="AbbVie_HU_03" w:date="2025-05-14T15:27:00Z"/>
                <w:b/>
                <w:sz w:val="22"/>
                <w:lang w:val="hu-HU"/>
              </w:rPr>
            </w:pPr>
            <w:del w:id="7006" w:author="AbbVie_HU_03" w:date="2025-05-14T15:27:00Z">
              <w:r w:rsidRPr="00183B5F">
                <w:rPr>
                  <w:b/>
                  <w:sz w:val="22"/>
                  <w:lang w:val="hu-HU"/>
                </w:rPr>
                <w:delText>56.</w:delText>
              </w:r>
              <w:r w:rsidR="00A44DB6" w:rsidRPr="00183B5F">
                <w:rPr>
                  <w:b/>
                  <w:sz w:val="22"/>
                  <w:lang w:val="hu-HU"/>
                </w:rPr>
                <w:delText> hét</w:delText>
              </w:r>
            </w:del>
          </w:p>
        </w:tc>
        <w:tc>
          <w:tcPr>
            <w:tcW w:w="1751" w:type="dxa"/>
          </w:tcPr>
          <w:p w14:paraId="37F3BC06" w14:textId="6CD815E6" w:rsidR="00FB6710" w:rsidRPr="00183B5F" w:rsidRDefault="00943743" w:rsidP="004062FE">
            <w:pPr>
              <w:pStyle w:val="TableText"/>
              <w:keepLines w:val="0"/>
              <w:suppressAutoHyphens w:val="0"/>
              <w:spacing w:before="0" w:after="0" w:line="240" w:lineRule="auto"/>
              <w:jc w:val="center"/>
              <w:rPr>
                <w:del w:id="7007" w:author="AbbVie_HU_03" w:date="2025-05-14T15:27:00Z"/>
                <w:b/>
                <w:sz w:val="22"/>
                <w:lang w:val="hu-HU"/>
              </w:rPr>
            </w:pPr>
            <w:del w:id="7008" w:author="AbbVie_HU_03" w:date="2025-05-14T15:27:00Z">
              <w:r w:rsidRPr="00183B5F">
                <w:rPr>
                  <w:b/>
                  <w:sz w:val="22"/>
                  <w:lang w:val="hu-HU"/>
                </w:rPr>
                <w:delText>N</w:delText>
              </w:r>
              <w:r w:rsidR="003F64BC" w:rsidRPr="00183B5F">
                <w:rPr>
                  <w:b/>
                  <w:sz w:val="22"/>
                  <w:lang w:val="hu-HU"/>
                </w:rPr>
                <w:delText> </w:delText>
              </w:r>
              <w:r w:rsidRPr="00183B5F">
                <w:rPr>
                  <w:b/>
                  <w:sz w:val="22"/>
                  <w:lang w:val="hu-HU"/>
                </w:rPr>
                <w:delText>=</w:delText>
              </w:r>
              <w:r w:rsidR="003F64BC" w:rsidRPr="00183B5F">
                <w:rPr>
                  <w:b/>
                  <w:sz w:val="22"/>
                  <w:lang w:val="hu-HU"/>
                </w:rPr>
                <w:delText> </w:delText>
              </w:r>
              <w:r w:rsidRPr="00183B5F">
                <w:rPr>
                  <w:b/>
                  <w:sz w:val="22"/>
                  <w:lang w:val="hu-HU"/>
                </w:rPr>
                <w:delText>170</w:delText>
              </w:r>
            </w:del>
          </w:p>
        </w:tc>
        <w:tc>
          <w:tcPr>
            <w:tcW w:w="1928" w:type="dxa"/>
          </w:tcPr>
          <w:p w14:paraId="1C811516" w14:textId="408436D6" w:rsidR="00FB6710" w:rsidRPr="00183B5F" w:rsidRDefault="00943743" w:rsidP="004062FE">
            <w:pPr>
              <w:pStyle w:val="TableText"/>
              <w:keepLines w:val="0"/>
              <w:suppressAutoHyphens w:val="0"/>
              <w:spacing w:before="0" w:after="0" w:line="240" w:lineRule="auto"/>
              <w:jc w:val="center"/>
              <w:rPr>
                <w:del w:id="7009" w:author="AbbVie_HU_03" w:date="2025-05-14T15:27:00Z"/>
                <w:b/>
                <w:sz w:val="22"/>
                <w:lang w:val="hu-HU"/>
              </w:rPr>
            </w:pPr>
            <w:del w:id="7010" w:author="AbbVie_HU_03" w:date="2025-05-14T15:27:00Z">
              <w:r w:rsidRPr="00183B5F">
                <w:rPr>
                  <w:b/>
                  <w:sz w:val="22"/>
                  <w:lang w:val="hu-HU"/>
                </w:rPr>
                <w:delText>N</w:delText>
              </w:r>
              <w:r w:rsidR="003F64BC" w:rsidRPr="00183B5F">
                <w:rPr>
                  <w:b/>
                  <w:sz w:val="22"/>
                  <w:lang w:val="hu-HU"/>
                </w:rPr>
                <w:delText> </w:delText>
              </w:r>
              <w:r w:rsidRPr="00183B5F">
                <w:rPr>
                  <w:b/>
                  <w:sz w:val="22"/>
                  <w:lang w:val="hu-HU"/>
                </w:rPr>
                <w:delText>=</w:delText>
              </w:r>
              <w:r w:rsidR="003F64BC" w:rsidRPr="00183B5F">
                <w:rPr>
                  <w:b/>
                  <w:sz w:val="22"/>
                  <w:lang w:val="hu-HU"/>
                </w:rPr>
                <w:delText> </w:delText>
              </w:r>
              <w:r w:rsidRPr="00183B5F">
                <w:rPr>
                  <w:b/>
                  <w:sz w:val="22"/>
                  <w:lang w:val="hu-HU"/>
                </w:rPr>
                <w:delText>172</w:delText>
              </w:r>
            </w:del>
          </w:p>
        </w:tc>
        <w:tc>
          <w:tcPr>
            <w:tcW w:w="1859" w:type="dxa"/>
          </w:tcPr>
          <w:p w14:paraId="1F12BDD8" w14:textId="21E5A260" w:rsidR="00FB6710" w:rsidRPr="00183B5F" w:rsidRDefault="00943743" w:rsidP="004062FE">
            <w:pPr>
              <w:pStyle w:val="TableText"/>
              <w:keepLines w:val="0"/>
              <w:suppressAutoHyphens w:val="0"/>
              <w:spacing w:before="0" w:after="0" w:line="240" w:lineRule="auto"/>
              <w:jc w:val="center"/>
              <w:rPr>
                <w:del w:id="7011" w:author="AbbVie_HU_03" w:date="2025-05-14T15:27:00Z"/>
                <w:b/>
                <w:sz w:val="22"/>
                <w:lang w:val="hu-HU"/>
              </w:rPr>
            </w:pPr>
            <w:del w:id="7012" w:author="AbbVie_HU_03" w:date="2025-05-14T15:27:00Z">
              <w:r w:rsidRPr="00183B5F">
                <w:rPr>
                  <w:b/>
                  <w:sz w:val="22"/>
                  <w:lang w:val="hu-HU"/>
                </w:rPr>
                <w:delText>N</w:delText>
              </w:r>
              <w:r w:rsidR="003F64BC" w:rsidRPr="00183B5F">
                <w:rPr>
                  <w:b/>
                  <w:sz w:val="22"/>
                  <w:lang w:val="hu-HU"/>
                </w:rPr>
                <w:delText> </w:delText>
              </w:r>
              <w:r w:rsidRPr="00183B5F">
                <w:rPr>
                  <w:b/>
                  <w:sz w:val="22"/>
                  <w:lang w:val="hu-HU"/>
                </w:rPr>
                <w:delText>=</w:delText>
              </w:r>
              <w:r w:rsidR="003F64BC" w:rsidRPr="00183B5F">
                <w:rPr>
                  <w:b/>
                  <w:sz w:val="22"/>
                  <w:lang w:val="hu-HU"/>
                </w:rPr>
                <w:delText> </w:delText>
              </w:r>
              <w:r w:rsidRPr="00183B5F">
                <w:rPr>
                  <w:b/>
                  <w:sz w:val="22"/>
                  <w:lang w:val="hu-HU"/>
                </w:rPr>
                <w:delText>157</w:delText>
              </w:r>
            </w:del>
          </w:p>
        </w:tc>
      </w:tr>
      <w:tr w:rsidR="00011D2F" w14:paraId="4D275062" w14:textId="72C626A7">
        <w:trPr>
          <w:del w:id="7013" w:author="AbbVie_HU_03" w:date="2025-05-14T15:27:00Z"/>
        </w:trPr>
        <w:tc>
          <w:tcPr>
            <w:tcW w:w="3747" w:type="dxa"/>
          </w:tcPr>
          <w:p w14:paraId="6947483B" w14:textId="2FFCD4E1" w:rsidR="00FB6710" w:rsidRPr="00183B5F" w:rsidRDefault="00943743" w:rsidP="004062FE">
            <w:pPr>
              <w:pStyle w:val="TableText"/>
              <w:keepLines w:val="0"/>
              <w:suppressAutoHyphens w:val="0"/>
              <w:spacing w:before="0" w:after="0" w:line="240" w:lineRule="auto"/>
              <w:rPr>
                <w:del w:id="7014" w:author="AbbVie_HU_03" w:date="2025-05-14T15:27:00Z"/>
                <w:sz w:val="22"/>
                <w:lang w:val="hu-HU"/>
              </w:rPr>
            </w:pPr>
            <w:del w:id="7015" w:author="AbbVie_HU_03" w:date="2025-05-14T15:27:00Z">
              <w:r w:rsidRPr="00183B5F">
                <w:rPr>
                  <w:sz w:val="22"/>
                  <w:lang w:val="hu-HU"/>
                </w:rPr>
                <w:delText>Klinikai remisszió</w:delText>
              </w:r>
            </w:del>
          </w:p>
        </w:tc>
        <w:tc>
          <w:tcPr>
            <w:tcW w:w="1751" w:type="dxa"/>
          </w:tcPr>
          <w:p w14:paraId="6EAAED6D" w14:textId="6722934A" w:rsidR="00FB6710" w:rsidRPr="00183B5F" w:rsidRDefault="00943743" w:rsidP="004062FE">
            <w:pPr>
              <w:pStyle w:val="TableText"/>
              <w:keepLines w:val="0"/>
              <w:suppressAutoHyphens w:val="0"/>
              <w:spacing w:before="0" w:after="0" w:line="240" w:lineRule="auto"/>
              <w:jc w:val="center"/>
              <w:rPr>
                <w:del w:id="7016" w:author="AbbVie_HU_03" w:date="2025-05-14T15:27:00Z"/>
                <w:sz w:val="22"/>
                <w:lang w:val="hu-HU"/>
              </w:rPr>
            </w:pPr>
            <w:del w:id="7017" w:author="AbbVie_HU_03" w:date="2025-05-14T15:27:00Z">
              <w:r w:rsidRPr="00183B5F">
                <w:rPr>
                  <w:sz w:val="22"/>
                  <w:lang w:val="hu-HU"/>
                </w:rPr>
                <w:delText>12%</w:delText>
              </w:r>
            </w:del>
          </w:p>
        </w:tc>
        <w:tc>
          <w:tcPr>
            <w:tcW w:w="1928" w:type="dxa"/>
          </w:tcPr>
          <w:p w14:paraId="2E636150" w14:textId="31BAACA7" w:rsidR="00FB6710" w:rsidRPr="00183B5F" w:rsidRDefault="00943743" w:rsidP="004062FE">
            <w:pPr>
              <w:pStyle w:val="TableText"/>
              <w:keepLines w:val="0"/>
              <w:suppressAutoHyphens w:val="0"/>
              <w:spacing w:before="0" w:after="0" w:line="240" w:lineRule="auto"/>
              <w:jc w:val="center"/>
              <w:rPr>
                <w:del w:id="7018" w:author="AbbVie_HU_03" w:date="2025-05-14T15:27:00Z"/>
                <w:sz w:val="22"/>
                <w:lang w:val="hu-HU"/>
              </w:rPr>
            </w:pPr>
            <w:del w:id="7019" w:author="AbbVie_HU_03" w:date="2025-05-14T15:27:00Z">
              <w:r w:rsidRPr="00183B5F">
                <w:rPr>
                  <w:sz w:val="22"/>
                  <w:lang w:val="hu-HU"/>
                </w:rPr>
                <w:delText>36%*</w:delText>
              </w:r>
            </w:del>
          </w:p>
        </w:tc>
        <w:tc>
          <w:tcPr>
            <w:tcW w:w="1859" w:type="dxa"/>
          </w:tcPr>
          <w:p w14:paraId="35991780" w14:textId="45DE0DD9" w:rsidR="00FB6710" w:rsidRPr="00183B5F" w:rsidRDefault="00943743" w:rsidP="004062FE">
            <w:pPr>
              <w:pStyle w:val="TableText"/>
              <w:keepLines w:val="0"/>
              <w:suppressAutoHyphens w:val="0"/>
              <w:spacing w:before="0" w:after="0" w:line="240" w:lineRule="auto"/>
              <w:jc w:val="center"/>
              <w:rPr>
                <w:del w:id="7020" w:author="AbbVie_HU_03" w:date="2025-05-14T15:27:00Z"/>
                <w:sz w:val="22"/>
                <w:lang w:val="hu-HU"/>
              </w:rPr>
            </w:pPr>
            <w:del w:id="7021" w:author="AbbVie_HU_03" w:date="2025-05-14T15:27:00Z">
              <w:r w:rsidRPr="00183B5F">
                <w:rPr>
                  <w:sz w:val="22"/>
                  <w:lang w:val="hu-HU"/>
                </w:rPr>
                <w:delText>41%*</w:delText>
              </w:r>
            </w:del>
          </w:p>
        </w:tc>
      </w:tr>
      <w:tr w:rsidR="00011D2F" w14:paraId="46D8B138" w14:textId="7A54AE0C">
        <w:trPr>
          <w:del w:id="7022" w:author="AbbVie_HU_03" w:date="2025-05-14T15:27:00Z"/>
        </w:trPr>
        <w:tc>
          <w:tcPr>
            <w:tcW w:w="3747" w:type="dxa"/>
          </w:tcPr>
          <w:p w14:paraId="784392FE" w14:textId="5F2DD934" w:rsidR="00FB6710" w:rsidRPr="00183B5F" w:rsidRDefault="00943743" w:rsidP="004062FE">
            <w:pPr>
              <w:pStyle w:val="TableText"/>
              <w:keepLines w:val="0"/>
              <w:suppressAutoHyphens w:val="0"/>
              <w:spacing w:before="0" w:after="0" w:line="240" w:lineRule="auto"/>
              <w:rPr>
                <w:del w:id="7023" w:author="AbbVie_HU_03" w:date="2025-05-14T15:27:00Z"/>
                <w:sz w:val="22"/>
                <w:lang w:val="hu-HU"/>
              </w:rPr>
            </w:pPr>
            <w:del w:id="7024" w:author="AbbVie_HU_03" w:date="2025-05-14T15:27:00Z">
              <w:r w:rsidRPr="00183B5F">
                <w:rPr>
                  <w:sz w:val="22"/>
                  <w:lang w:val="hu-HU"/>
                </w:rPr>
                <w:delText>Klinikai válasz (CR-100)</w:delText>
              </w:r>
            </w:del>
          </w:p>
        </w:tc>
        <w:tc>
          <w:tcPr>
            <w:tcW w:w="1751" w:type="dxa"/>
          </w:tcPr>
          <w:p w14:paraId="536B20D8" w14:textId="7D48EBB2" w:rsidR="00FB6710" w:rsidRPr="00183B5F" w:rsidRDefault="00943743" w:rsidP="004062FE">
            <w:pPr>
              <w:pStyle w:val="TableText"/>
              <w:keepLines w:val="0"/>
              <w:suppressAutoHyphens w:val="0"/>
              <w:spacing w:before="0" w:after="0" w:line="240" w:lineRule="auto"/>
              <w:jc w:val="center"/>
              <w:rPr>
                <w:del w:id="7025" w:author="AbbVie_HU_03" w:date="2025-05-14T15:27:00Z"/>
                <w:sz w:val="22"/>
                <w:lang w:val="hu-HU"/>
              </w:rPr>
            </w:pPr>
            <w:del w:id="7026" w:author="AbbVie_HU_03" w:date="2025-05-14T15:27:00Z">
              <w:r w:rsidRPr="00183B5F">
                <w:rPr>
                  <w:sz w:val="22"/>
                  <w:lang w:val="hu-HU"/>
                </w:rPr>
                <w:delText>17%</w:delText>
              </w:r>
            </w:del>
          </w:p>
        </w:tc>
        <w:tc>
          <w:tcPr>
            <w:tcW w:w="1928" w:type="dxa"/>
          </w:tcPr>
          <w:p w14:paraId="4FD7E100" w14:textId="663DC59E" w:rsidR="00FB6710" w:rsidRPr="00183B5F" w:rsidRDefault="00943743" w:rsidP="004062FE">
            <w:pPr>
              <w:pStyle w:val="TableText"/>
              <w:keepLines w:val="0"/>
              <w:suppressAutoHyphens w:val="0"/>
              <w:spacing w:before="0" w:after="0" w:line="240" w:lineRule="auto"/>
              <w:jc w:val="center"/>
              <w:rPr>
                <w:del w:id="7027" w:author="AbbVie_HU_03" w:date="2025-05-14T15:27:00Z"/>
                <w:sz w:val="22"/>
                <w:lang w:val="hu-HU"/>
              </w:rPr>
            </w:pPr>
            <w:del w:id="7028" w:author="AbbVie_HU_03" w:date="2025-05-14T15:27:00Z">
              <w:r w:rsidRPr="00183B5F">
                <w:rPr>
                  <w:sz w:val="22"/>
                  <w:lang w:val="hu-HU"/>
                </w:rPr>
                <w:delText>41%*</w:delText>
              </w:r>
            </w:del>
          </w:p>
        </w:tc>
        <w:tc>
          <w:tcPr>
            <w:tcW w:w="1859" w:type="dxa"/>
          </w:tcPr>
          <w:p w14:paraId="27DF915F" w14:textId="3FB7696F" w:rsidR="00FB6710" w:rsidRPr="00183B5F" w:rsidRDefault="00943743" w:rsidP="004062FE">
            <w:pPr>
              <w:pStyle w:val="TableText"/>
              <w:keepLines w:val="0"/>
              <w:suppressAutoHyphens w:val="0"/>
              <w:spacing w:before="0" w:after="0" w:line="240" w:lineRule="auto"/>
              <w:jc w:val="center"/>
              <w:rPr>
                <w:del w:id="7029" w:author="AbbVie_HU_03" w:date="2025-05-14T15:27:00Z"/>
                <w:sz w:val="22"/>
                <w:lang w:val="hu-HU"/>
              </w:rPr>
            </w:pPr>
            <w:del w:id="7030" w:author="AbbVie_HU_03" w:date="2025-05-14T15:27:00Z">
              <w:r w:rsidRPr="00183B5F">
                <w:rPr>
                  <w:sz w:val="22"/>
                  <w:lang w:val="hu-HU"/>
                </w:rPr>
                <w:delText>48%*</w:delText>
              </w:r>
            </w:del>
          </w:p>
        </w:tc>
      </w:tr>
      <w:tr w:rsidR="00011D2F" w14:paraId="57722043" w14:textId="2205F7CF" w:rsidTr="00673624">
        <w:trPr>
          <w:del w:id="7031" w:author="AbbVie_HU_03" w:date="2025-05-14T15:27:00Z"/>
        </w:trPr>
        <w:tc>
          <w:tcPr>
            <w:tcW w:w="3747" w:type="dxa"/>
            <w:tcBorders>
              <w:bottom w:val="single" w:sz="4" w:space="0" w:color="auto"/>
            </w:tcBorders>
          </w:tcPr>
          <w:p w14:paraId="021384AB" w14:textId="23E99534" w:rsidR="00FB6710" w:rsidRPr="00183B5F" w:rsidRDefault="00943743" w:rsidP="004062FE">
            <w:pPr>
              <w:pStyle w:val="TableText"/>
              <w:keepLines w:val="0"/>
              <w:suppressAutoHyphens w:val="0"/>
              <w:spacing w:before="0" w:after="0" w:line="240" w:lineRule="auto"/>
              <w:ind w:left="360"/>
              <w:rPr>
                <w:del w:id="7032" w:author="AbbVie_HU_03" w:date="2025-05-14T15:27:00Z"/>
                <w:sz w:val="22"/>
                <w:szCs w:val="22"/>
                <w:lang w:val="hu-HU"/>
              </w:rPr>
            </w:pPr>
            <w:del w:id="7033" w:author="AbbVie_HU_03" w:date="2025-05-14T15:27:00Z">
              <w:r w:rsidRPr="00183B5F">
                <w:rPr>
                  <w:sz w:val="22"/>
                  <w:szCs w:val="22"/>
                  <w:lang w:val="hu-HU"/>
                </w:rPr>
                <w:delText xml:space="preserve">Szteroid-kezelés nélkül is </w:delText>
              </w:r>
              <w:r w:rsidR="008F1752" w:rsidRPr="00183B5F">
                <w:rPr>
                  <w:sz w:val="22"/>
                  <w:lang w:val="hu-HU"/>
                </w:rPr>
                <w:delText>≥90</w:delText>
              </w:r>
              <w:r w:rsidRPr="00183B5F">
                <w:rPr>
                  <w:sz w:val="22"/>
                  <w:szCs w:val="22"/>
                  <w:lang w:val="hu-HU"/>
                </w:rPr>
                <w:delText xml:space="preserve"> napja remisszióban lévő betegek</w:delText>
              </w:r>
              <w:r w:rsidRPr="00183B5F">
                <w:rPr>
                  <w:sz w:val="22"/>
                  <w:szCs w:val="22"/>
                  <w:vertAlign w:val="superscript"/>
                  <w:lang w:val="hu-HU"/>
                </w:rPr>
                <w:delText>a</w:delText>
              </w:r>
            </w:del>
          </w:p>
        </w:tc>
        <w:tc>
          <w:tcPr>
            <w:tcW w:w="1751" w:type="dxa"/>
            <w:tcBorders>
              <w:bottom w:val="single" w:sz="4" w:space="0" w:color="auto"/>
            </w:tcBorders>
          </w:tcPr>
          <w:p w14:paraId="41D546FF" w14:textId="4EF21070" w:rsidR="00FB6710" w:rsidRPr="00183B5F" w:rsidRDefault="00943743" w:rsidP="004062FE">
            <w:pPr>
              <w:pStyle w:val="TableText"/>
              <w:keepLines w:val="0"/>
              <w:suppressAutoHyphens w:val="0"/>
              <w:spacing w:before="0" w:after="0" w:line="240" w:lineRule="auto"/>
              <w:jc w:val="center"/>
              <w:rPr>
                <w:del w:id="7034" w:author="AbbVie_HU_03" w:date="2025-05-14T15:27:00Z"/>
                <w:sz w:val="22"/>
                <w:lang w:val="hu-HU"/>
              </w:rPr>
            </w:pPr>
            <w:del w:id="7035" w:author="AbbVie_HU_03" w:date="2025-05-14T15:27:00Z">
              <w:r w:rsidRPr="00183B5F">
                <w:rPr>
                  <w:sz w:val="22"/>
                  <w:lang w:val="hu-HU"/>
                </w:rPr>
                <w:delText>5% (3/66)</w:delText>
              </w:r>
            </w:del>
          </w:p>
        </w:tc>
        <w:tc>
          <w:tcPr>
            <w:tcW w:w="1928" w:type="dxa"/>
            <w:tcBorders>
              <w:bottom w:val="single" w:sz="4" w:space="0" w:color="auto"/>
            </w:tcBorders>
          </w:tcPr>
          <w:p w14:paraId="2E118B4B" w14:textId="7D3CB1CC" w:rsidR="00FB6710" w:rsidRPr="00183B5F" w:rsidRDefault="00943743" w:rsidP="004062FE">
            <w:pPr>
              <w:pStyle w:val="TableText"/>
              <w:keepLines w:val="0"/>
              <w:suppressAutoHyphens w:val="0"/>
              <w:spacing w:before="0" w:after="0" w:line="240" w:lineRule="auto"/>
              <w:jc w:val="center"/>
              <w:rPr>
                <w:del w:id="7036" w:author="AbbVie_HU_03" w:date="2025-05-14T15:27:00Z"/>
                <w:sz w:val="22"/>
                <w:lang w:val="hu-HU"/>
              </w:rPr>
            </w:pPr>
            <w:del w:id="7037" w:author="AbbVie_HU_03" w:date="2025-05-14T15:27:00Z">
              <w:r w:rsidRPr="00183B5F">
                <w:rPr>
                  <w:sz w:val="22"/>
                  <w:lang w:val="hu-HU"/>
                </w:rPr>
                <w:delText>29% (17/58)*</w:delText>
              </w:r>
            </w:del>
          </w:p>
        </w:tc>
        <w:tc>
          <w:tcPr>
            <w:tcW w:w="1859" w:type="dxa"/>
            <w:tcBorders>
              <w:bottom w:val="single" w:sz="4" w:space="0" w:color="auto"/>
            </w:tcBorders>
          </w:tcPr>
          <w:p w14:paraId="721980E1" w14:textId="2362D805" w:rsidR="00FB6710" w:rsidRPr="00183B5F" w:rsidRDefault="00943743" w:rsidP="004062FE">
            <w:pPr>
              <w:pStyle w:val="TableText"/>
              <w:keepLines w:val="0"/>
              <w:suppressAutoHyphens w:val="0"/>
              <w:spacing w:before="0" w:after="0" w:line="240" w:lineRule="auto"/>
              <w:jc w:val="center"/>
              <w:rPr>
                <w:del w:id="7038" w:author="AbbVie_HU_03" w:date="2025-05-14T15:27:00Z"/>
                <w:sz w:val="22"/>
                <w:lang w:val="hu-HU"/>
              </w:rPr>
            </w:pPr>
            <w:del w:id="7039" w:author="AbbVie_HU_03" w:date="2025-05-14T15:27:00Z">
              <w:r w:rsidRPr="00183B5F">
                <w:rPr>
                  <w:sz w:val="22"/>
                  <w:lang w:val="hu-HU"/>
                </w:rPr>
                <w:delText>20% (15/74)**</w:delText>
              </w:r>
            </w:del>
          </w:p>
        </w:tc>
      </w:tr>
      <w:tr w:rsidR="00011D2F" w14:paraId="5C78690D" w14:textId="64DBD739" w:rsidTr="00673624">
        <w:trPr>
          <w:cantSplit/>
          <w:del w:id="7040" w:author="AbbVie_HU_03" w:date="2025-05-14T15:27:00Z"/>
        </w:trPr>
        <w:tc>
          <w:tcPr>
            <w:tcW w:w="9285" w:type="dxa"/>
            <w:gridSpan w:val="4"/>
            <w:tcBorders>
              <w:left w:val="single" w:sz="4" w:space="0" w:color="auto"/>
              <w:bottom w:val="nil"/>
              <w:right w:val="nil"/>
            </w:tcBorders>
          </w:tcPr>
          <w:p w14:paraId="504C932A" w14:textId="32A1128D" w:rsidR="00FB6710" w:rsidRPr="00183B5F" w:rsidRDefault="00943743" w:rsidP="004062FE">
            <w:pPr>
              <w:pStyle w:val="TableText"/>
              <w:keepLines w:val="0"/>
              <w:suppressAutoHyphens w:val="0"/>
              <w:spacing w:before="0" w:after="0" w:line="240" w:lineRule="auto"/>
              <w:rPr>
                <w:del w:id="7041" w:author="AbbVie_HU_03" w:date="2025-05-14T15:27:00Z"/>
                <w:sz w:val="22"/>
                <w:szCs w:val="22"/>
                <w:lang w:val="hu-HU"/>
              </w:rPr>
            </w:pPr>
            <w:del w:id="7042" w:author="AbbVie_HU_03" w:date="2025-05-14T15:27:00Z">
              <w:r w:rsidRPr="00183B5F">
                <w:rPr>
                  <w:sz w:val="22"/>
                  <w:szCs w:val="22"/>
                  <w:lang w:val="hu-HU"/>
                </w:rPr>
                <w:delText>*</w:delText>
              </w:r>
              <w:r w:rsidRPr="00183B5F">
                <w:rPr>
                  <w:sz w:val="22"/>
                  <w:szCs w:val="22"/>
                  <w:lang w:val="hu-HU"/>
                </w:rPr>
                <w:tab/>
                <w:delText xml:space="preserve">p &lt; 0,001 Humira-val </w:delText>
              </w:r>
              <w:r w:rsidRPr="00183B5F">
                <w:rPr>
                  <w:i/>
                  <w:sz w:val="22"/>
                  <w:szCs w:val="22"/>
                  <w:lang w:val="hu-HU"/>
                </w:rPr>
                <w:delText>versus</w:delText>
              </w:r>
              <w:r w:rsidRPr="00183B5F">
                <w:rPr>
                  <w:sz w:val="22"/>
                  <w:szCs w:val="22"/>
                  <w:lang w:val="hu-HU"/>
                </w:rPr>
                <w:delText xml:space="preserve"> placebóval kezelt csoportokban regisztrált részarányok páronkénti összehasonlítása</w:delText>
              </w:r>
            </w:del>
          </w:p>
          <w:p w14:paraId="24B69085" w14:textId="53700DA0" w:rsidR="00FB6710" w:rsidRPr="00183B5F" w:rsidRDefault="00943743" w:rsidP="004062FE">
            <w:pPr>
              <w:pStyle w:val="TableText"/>
              <w:keepLines w:val="0"/>
              <w:suppressAutoHyphens w:val="0"/>
              <w:spacing w:before="0" w:after="0" w:line="240" w:lineRule="auto"/>
              <w:rPr>
                <w:del w:id="7043" w:author="AbbVie_HU_03" w:date="2025-05-14T15:27:00Z"/>
                <w:sz w:val="22"/>
                <w:szCs w:val="22"/>
                <w:lang w:val="hu-HU"/>
              </w:rPr>
            </w:pPr>
            <w:del w:id="7044" w:author="AbbVie_HU_03" w:date="2025-05-14T15:27:00Z">
              <w:r w:rsidRPr="00183B5F">
                <w:rPr>
                  <w:sz w:val="22"/>
                  <w:szCs w:val="22"/>
                  <w:lang w:val="hu-HU"/>
                </w:rPr>
                <w:delText>**</w:delText>
              </w:r>
              <w:r w:rsidRPr="00183B5F">
                <w:rPr>
                  <w:sz w:val="22"/>
                  <w:szCs w:val="22"/>
                  <w:lang w:val="hu-HU"/>
                </w:rPr>
                <w:tab/>
                <w:delText>p &lt; 0</w:delText>
              </w:r>
              <w:r w:rsidR="00B112D4" w:rsidRPr="00183B5F">
                <w:rPr>
                  <w:sz w:val="22"/>
                  <w:szCs w:val="22"/>
                  <w:lang w:val="hu-HU"/>
                </w:rPr>
                <w:delText>,</w:delText>
              </w:r>
              <w:r w:rsidRPr="00183B5F">
                <w:rPr>
                  <w:sz w:val="22"/>
                  <w:szCs w:val="22"/>
                  <w:lang w:val="hu-HU"/>
                </w:rPr>
                <w:delText xml:space="preserve">02 Humira-val </w:delText>
              </w:r>
              <w:r w:rsidRPr="00183B5F">
                <w:rPr>
                  <w:i/>
                  <w:sz w:val="22"/>
                  <w:szCs w:val="22"/>
                  <w:lang w:val="hu-HU"/>
                </w:rPr>
                <w:delText>versus</w:delText>
              </w:r>
              <w:r w:rsidRPr="00183B5F">
                <w:rPr>
                  <w:sz w:val="22"/>
                  <w:szCs w:val="22"/>
                  <w:lang w:val="hu-HU"/>
                </w:rPr>
                <w:delText xml:space="preserve"> placebóval kezelt csoportokban regisztrált részarányok páronkénti összehasonlítása</w:delText>
              </w:r>
            </w:del>
          </w:p>
          <w:p w14:paraId="0AD30521" w14:textId="2942058E" w:rsidR="00FB6710" w:rsidRPr="00183B5F" w:rsidRDefault="00943743" w:rsidP="004062FE">
            <w:pPr>
              <w:pStyle w:val="TableText"/>
              <w:keepLines w:val="0"/>
              <w:suppressAutoHyphens w:val="0"/>
              <w:spacing w:before="0" w:after="0" w:line="240" w:lineRule="auto"/>
              <w:rPr>
                <w:del w:id="7045" w:author="AbbVie_HU_03" w:date="2025-05-14T15:27:00Z"/>
                <w:sz w:val="22"/>
                <w:szCs w:val="22"/>
                <w:lang w:val="hu-HU"/>
              </w:rPr>
            </w:pPr>
            <w:del w:id="7046" w:author="AbbVie_HU_03" w:date="2025-05-14T15:27:00Z">
              <w:r w:rsidRPr="00183B5F">
                <w:rPr>
                  <w:sz w:val="22"/>
                  <w:szCs w:val="22"/>
                  <w:vertAlign w:val="superscript"/>
                  <w:lang w:val="hu-HU"/>
                </w:rPr>
                <w:delText>a</w:delText>
              </w:r>
              <w:r w:rsidRPr="00183B5F">
                <w:rPr>
                  <w:sz w:val="22"/>
                  <w:szCs w:val="22"/>
                  <w:vertAlign w:val="superscript"/>
                  <w:lang w:val="hu-HU"/>
                </w:rPr>
                <w:tab/>
              </w:r>
              <w:r w:rsidRPr="00183B5F">
                <w:rPr>
                  <w:sz w:val="22"/>
                  <w:szCs w:val="22"/>
                  <w:lang w:val="hu-HU"/>
                </w:rPr>
                <w:delText xml:space="preserve">A vizsgálat kezdetekor kortikoszteroidokkal kezelt betegek közül. </w:delText>
              </w:r>
            </w:del>
          </w:p>
        </w:tc>
      </w:tr>
    </w:tbl>
    <w:p w14:paraId="1262FC0E" w14:textId="60DCA037" w:rsidR="00FB6710" w:rsidRPr="00183B5F" w:rsidRDefault="00FB6710" w:rsidP="004062FE">
      <w:pPr>
        <w:suppressAutoHyphens w:val="0"/>
        <w:spacing w:line="240" w:lineRule="auto"/>
        <w:rPr>
          <w:del w:id="7047" w:author="AbbVie_HU_03" w:date="2025-05-14T15:27:00Z"/>
          <w:szCs w:val="22"/>
        </w:rPr>
      </w:pPr>
    </w:p>
    <w:p w14:paraId="7A6C60E0" w14:textId="79E2E0CF" w:rsidR="00FB6710" w:rsidRPr="00183B5F" w:rsidRDefault="00943743" w:rsidP="004062FE">
      <w:pPr>
        <w:suppressAutoHyphens w:val="0"/>
        <w:spacing w:line="240" w:lineRule="auto"/>
        <w:rPr>
          <w:del w:id="7048" w:author="AbbVie_HU_03" w:date="2025-05-14T15:27:00Z"/>
          <w:szCs w:val="22"/>
        </w:rPr>
      </w:pPr>
      <w:del w:id="7049" w:author="AbbVie_HU_03" w:date="2025-05-14T15:27:00Z">
        <w:r w:rsidRPr="00183B5F">
          <w:rPr>
            <w:szCs w:val="22"/>
          </w:rPr>
          <w:delText>A kezelésre a 4.</w:delText>
        </w:r>
        <w:r w:rsidR="00A44DB6" w:rsidRPr="00183B5F">
          <w:rPr>
            <w:szCs w:val="22"/>
          </w:rPr>
          <w:delText> hét</w:delText>
        </w:r>
        <w:r w:rsidRPr="00183B5F">
          <w:rPr>
            <w:szCs w:val="22"/>
          </w:rPr>
          <w:delText>ig nem reagáló betegek közül a fenntartó Humira</w:delText>
        </w:r>
        <w:r w:rsidR="00E91E1C" w:rsidRPr="00183B5F">
          <w:rPr>
            <w:szCs w:val="22"/>
          </w:rPr>
          <w:noBreakHyphen/>
        </w:r>
        <w:r w:rsidRPr="00183B5F">
          <w:rPr>
            <w:szCs w:val="22"/>
          </w:rPr>
          <w:delText>kezelésben részesülők 43%</w:delText>
        </w:r>
        <w:r w:rsidR="00E91E1C" w:rsidRPr="00183B5F">
          <w:rPr>
            <w:szCs w:val="22"/>
          </w:rPr>
          <w:noBreakHyphen/>
        </w:r>
        <w:r w:rsidRPr="00183B5F">
          <w:rPr>
            <w:szCs w:val="22"/>
          </w:rPr>
          <w:delText>án, míg a placebokezelésben részesülők 30%</w:delText>
        </w:r>
        <w:r w:rsidR="00E91E1C" w:rsidRPr="00183B5F">
          <w:rPr>
            <w:szCs w:val="22"/>
          </w:rPr>
          <w:noBreakHyphen/>
        </w:r>
        <w:r w:rsidRPr="00183B5F">
          <w:rPr>
            <w:szCs w:val="22"/>
          </w:rPr>
          <w:delText>án jelentkezett terápiás hatás a 12.</w:delText>
        </w:r>
        <w:r w:rsidR="00A44DB6" w:rsidRPr="00183B5F">
          <w:rPr>
            <w:szCs w:val="22"/>
          </w:rPr>
          <w:delText> hét</w:delText>
        </w:r>
        <w:r w:rsidRPr="00183B5F">
          <w:rPr>
            <w:szCs w:val="22"/>
          </w:rPr>
          <w:delText>ig. Ezek az eredmények amellett szólnak, hogy egyes, a kezelésre a 4.</w:delText>
        </w:r>
        <w:r w:rsidR="00A44DB6" w:rsidRPr="00183B5F">
          <w:rPr>
            <w:szCs w:val="22"/>
          </w:rPr>
          <w:delText> hét</w:delText>
        </w:r>
        <w:r w:rsidRPr="00183B5F">
          <w:rPr>
            <w:szCs w:val="22"/>
          </w:rPr>
          <w:delText>ig nem reagáló betegek fenntartó kezelését előnyös lehet a 12.</w:delText>
        </w:r>
        <w:r w:rsidR="00A44DB6" w:rsidRPr="00183B5F">
          <w:rPr>
            <w:szCs w:val="22"/>
          </w:rPr>
          <w:delText> hét</w:delText>
        </w:r>
        <w:r w:rsidRPr="00183B5F">
          <w:rPr>
            <w:szCs w:val="22"/>
          </w:rPr>
          <w:delText>ig folytatni. A kezelést a 12.</w:delText>
        </w:r>
        <w:r w:rsidR="00A44DB6" w:rsidRPr="00183B5F">
          <w:rPr>
            <w:szCs w:val="22"/>
          </w:rPr>
          <w:delText> hét</w:delText>
        </w:r>
        <w:r w:rsidRPr="00183B5F">
          <w:rPr>
            <w:szCs w:val="22"/>
          </w:rPr>
          <w:delText>en túl is folytatva már nem nőtt számottevően a kezelésre reagálók részaránya (lásd 4.2 pont).</w:delText>
        </w:r>
      </w:del>
    </w:p>
    <w:p w14:paraId="2ACD6FA1" w14:textId="0FD75452" w:rsidR="00FB6710" w:rsidRPr="00183B5F" w:rsidRDefault="00FB6710" w:rsidP="004062FE">
      <w:pPr>
        <w:suppressAutoHyphens w:val="0"/>
        <w:spacing w:line="240" w:lineRule="auto"/>
        <w:rPr>
          <w:del w:id="7050" w:author="AbbVie_HU_03" w:date="2025-05-14T15:27:00Z"/>
          <w:szCs w:val="22"/>
        </w:rPr>
      </w:pPr>
    </w:p>
    <w:p w14:paraId="26404FE0" w14:textId="5B15676C" w:rsidR="00FB6710" w:rsidRPr="00183B5F" w:rsidRDefault="00943743" w:rsidP="004062FE">
      <w:pPr>
        <w:suppressAutoHyphens w:val="0"/>
        <w:spacing w:line="240" w:lineRule="auto"/>
        <w:rPr>
          <w:del w:id="7051" w:author="AbbVie_HU_03" w:date="2025-05-14T15:27:00Z"/>
          <w:szCs w:val="22"/>
        </w:rPr>
      </w:pPr>
      <w:del w:id="7052" w:author="AbbVie_HU_03" w:date="2025-05-14T15:27:00Z">
        <w:r w:rsidRPr="00183B5F">
          <w:rPr>
            <w:szCs w:val="22"/>
          </w:rPr>
          <w:delText>A CD</w:delText>
        </w:r>
        <w:r w:rsidR="00E91E1C" w:rsidRPr="00183B5F">
          <w:rPr>
            <w:szCs w:val="22"/>
          </w:rPr>
          <w:delText> </w:delText>
        </w:r>
        <w:r w:rsidRPr="00183B5F">
          <w:rPr>
            <w:szCs w:val="22"/>
          </w:rPr>
          <w:delText>I vizsgálat 117/276</w:delText>
        </w:r>
        <w:r w:rsidR="00E91E1C" w:rsidRPr="00183B5F">
          <w:rPr>
            <w:szCs w:val="22"/>
          </w:rPr>
          <w:delText> </w:delText>
        </w:r>
        <w:r w:rsidRPr="00183B5F">
          <w:rPr>
            <w:szCs w:val="22"/>
          </w:rPr>
          <w:delText>betegét, míg a CD</w:delText>
        </w:r>
        <w:r w:rsidR="00E91E1C" w:rsidRPr="00183B5F">
          <w:rPr>
            <w:szCs w:val="22"/>
          </w:rPr>
          <w:delText> </w:delText>
        </w:r>
        <w:r w:rsidRPr="00183B5F">
          <w:rPr>
            <w:szCs w:val="22"/>
          </w:rPr>
          <w:delText>II és</w:delText>
        </w:r>
        <w:r w:rsidR="00E91E1C" w:rsidRPr="00183B5F">
          <w:rPr>
            <w:szCs w:val="22"/>
          </w:rPr>
          <w:delText> </w:delText>
        </w:r>
        <w:r w:rsidRPr="00183B5F">
          <w:rPr>
            <w:szCs w:val="22"/>
          </w:rPr>
          <w:delText>III</w:delText>
        </w:r>
        <w:r w:rsidR="00E91E1C" w:rsidRPr="00183B5F">
          <w:rPr>
            <w:szCs w:val="22"/>
          </w:rPr>
          <w:delText> </w:delText>
        </w:r>
        <w:r w:rsidRPr="00183B5F">
          <w:rPr>
            <w:szCs w:val="22"/>
          </w:rPr>
          <w:delText>vizsgálat 272/777</w:delText>
        </w:r>
        <w:r w:rsidR="00E91E1C" w:rsidRPr="00183B5F">
          <w:rPr>
            <w:szCs w:val="22"/>
          </w:rPr>
          <w:delText> </w:delText>
        </w:r>
        <w:r w:rsidRPr="00183B5F">
          <w:rPr>
            <w:szCs w:val="22"/>
          </w:rPr>
          <w:delText>betegét követték nyílt adalimumab</w:delText>
        </w:r>
        <w:r w:rsidRPr="00183B5F">
          <w:rPr>
            <w:szCs w:val="22"/>
          </w:rPr>
          <w:noBreakHyphen/>
          <w:delText>kezelés alatt legalább 3 éven keresztül. Sorrendben 88, illetve 189</w:delText>
        </w:r>
        <w:r w:rsidR="00E91E1C" w:rsidRPr="00183B5F">
          <w:rPr>
            <w:szCs w:val="22"/>
          </w:rPr>
          <w:delText> </w:delText>
        </w:r>
        <w:r w:rsidRPr="00183B5F">
          <w:rPr>
            <w:szCs w:val="22"/>
          </w:rPr>
          <w:delText>betegnél maradt fent a klinikai remisszió. Sorrendben 102 és 233</w:delText>
        </w:r>
        <w:r w:rsidR="00E91E1C" w:rsidRPr="00183B5F">
          <w:rPr>
            <w:szCs w:val="22"/>
          </w:rPr>
          <w:delText> </w:delText>
        </w:r>
        <w:r w:rsidRPr="00183B5F">
          <w:rPr>
            <w:szCs w:val="22"/>
          </w:rPr>
          <w:delText>betegnél maradt fent a klinikai válasz (CR-100).</w:delText>
        </w:r>
      </w:del>
    </w:p>
    <w:p w14:paraId="0C451CCB" w14:textId="5F2D8E72" w:rsidR="007D7D91" w:rsidRPr="00183B5F" w:rsidRDefault="007D7D91" w:rsidP="004062FE">
      <w:pPr>
        <w:spacing w:line="240" w:lineRule="auto"/>
        <w:rPr>
          <w:del w:id="7053" w:author="AbbVie_HU_03" w:date="2025-05-14T15:27:00Z"/>
          <w:szCs w:val="22"/>
          <w:u w:val="single"/>
        </w:rPr>
      </w:pPr>
    </w:p>
    <w:p w14:paraId="526E581C" w14:textId="3935504E" w:rsidR="00FB6710" w:rsidRPr="00183B5F" w:rsidRDefault="00943743" w:rsidP="004062FE">
      <w:pPr>
        <w:keepNext/>
        <w:spacing w:line="240" w:lineRule="auto"/>
        <w:rPr>
          <w:del w:id="7054" w:author="AbbVie_HU_03" w:date="2025-05-14T15:27:00Z"/>
          <w:i/>
          <w:szCs w:val="22"/>
          <w:u w:val="single"/>
        </w:rPr>
      </w:pPr>
      <w:del w:id="7055" w:author="AbbVie_HU_03" w:date="2025-05-14T15:27:00Z">
        <w:r w:rsidRPr="00183B5F">
          <w:rPr>
            <w:i/>
            <w:szCs w:val="22"/>
            <w:u w:val="single"/>
          </w:rPr>
          <w:delText>Életminőség</w:delText>
        </w:r>
      </w:del>
    </w:p>
    <w:p w14:paraId="6E370522" w14:textId="4D569F6B" w:rsidR="00FB6710" w:rsidRPr="00183B5F" w:rsidRDefault="00FB6710" w:rsidP="004062FE">
      <w:pPr>
        <w:keepNext/>
        <w:spacing w:line="240" w:lineRule="auto"/>
        <w:rPr>
          <w:del w:id="7056" w:author="AbbVie_HU_03" w:date="2025-05-14T15:27:00Z"/>
          <w:szCs w:val="22"/>
        </w:rPr>
      </w:pPr>
    </w:p>
    <w:p w14:paraId="4FCCD6D2" w14:textId="40F422D0" w:rsidR="00FB6710" w:rsidRPr="00183B5F" w:rsidRDefault="00943743" w:rsidP="004062FE">
      <w:pPr>
        <w:keepNext/>
        <w:spacing w:line="240" w:lineRule="auto"/>
        <w:rPr>
          <w:del w:id="7057" w:author="AbbVie_HU_03" w:date="2025-05-14T15:27:00Z"/>
          <w:bCs/>
          <w:szCs w:val="22"/>
        </w:rPr>
      </w:pPr>
      <w:del w:id="7058" w:author="AbbVie_HU_03" w:date="2025-05-14T15:27:00Z">
        <w:r w:rsidRPr="00183B5F">
          <w:rPr>
            <w:szCs w:val="22"/>
          </w:rPr>
          <w:delText>A CD</w:delText>
        </w:r>
        <w:r w:rsidR="00E91E1C" w:rsidRPr="00183B5F">
          <w:rPr>
            <w:szCs w:val="22"/>
          </w:rPr>
          <w:delText> </w:delText>
        </w:r>
        <w:r w:rsidRPr="00183B5F">
          <w:rPr>
            <w:szCs w:val="22"/>
          </w:rPr>
          <w:delText>I és a CD</w:delText>
        </w:r>
        <w:r w:rsidR="00E91E1C" w:rsidRPr="00183B5F">
          <w:rPr>
            <w:szCs w:val="22"/>
          </w:rPr>
          <w:delText> </w:delText>
        </w:r>
        <w:r w:rsidRPr="00183B5F">
          <w:rPr>
            <w:szCs w:val="22"/>
          </w:rPr>
          <w:delText xml:space="preserve">II vizsgálatban statisztikailag szignifikáns javulást értek el a betegségspecifikus Gyulladásos bélbetegség kérdőív (IBDQ – </w:delText>
        </w:r>
        <w:r w:rsidRPr="00183B5F">
          <w:rPr>
            <w:bCs/>
            <w:szCs w:val="22"/>
          </w:rPr>
          <w:delText>Inflammatory Bowel Disease Questionnaire) összpontszámában a kezelés 4.</w:delText>
        </w:r>
        <w:r w:rsidR="00E91E1C" w:rsidRPr="00183B5F">
          <w:rPr>
            <w:bCs/>
            <w:szCs w:val="22"/>
          </w:rPr>
          <w:delText> </w:delText>
        </w:r>
        <w:r w:rsidRPr="00183B5F">
          <w:rPr>
            <w:bCs/>
            <w:szCs w:val="22"/>
          </w:rPr>
          <w:delText>hetében azoknál a betegeknél, akiket</w:delText>
        </w:r>
        <w:r w:rsidRPr="00183B5F">
          <w:rPr>
            <w:szCs w:val="22"/>
          </w:rPr>
          <w:delText xml:space="preserve"> véletlenszerűen a Humira 80/40 mg, illetve Humira 160/80 mg csoportba soroltak be, a</w:delText>
        </w:r>
        <w:r w:rsidRPr="00183B5F">
          <w:rPr>
            <w:bCs/>
            <w:szCs w:val="22"/>
          </w:rPr>
          <w:delText xml:space="preserve"> placebocsoportba sorolt betegekével összehasonlítva, és ezt észlelték a CD</w:delText>
        </w:r>
        <w:r w:rsidR="00E91E1C" w:rsidRPr="00183B5F">
          <w:rPr>
            <w:bCs/>
            <w:szCs w:val="22"/>
          </w:rPr>
          <w:delText> </w:delText>
        </w:r>
        <w:r w:rsidRPr="00183B5F">
          <w:rPr>
            <w:bCs/>
            <w:szCs w:val="22"/>
          </w:rPr>
          <w:delText>III vizsgálat során is a 26. és az 56.</w:delText>
        </w:r>
        <w:r w:rsidR="00A44DB6" w:rsidRPr="00183B5F">
          <w:rPr>
            <w:bCs/>
            <w:szCs w:val="22"/>
          </w:rPr>
          <w:delText> hét</w:delText>
        </w:r>
        <w:r w:rsidRPr="00183B5F">
          <w:rPr>
            <w:bCs/>
            <w:szCs w:val="22"/>
          </w:rPr>
          <w:delText>en az adalimumabbal, illetve placebóval kezelt betegcsoportokban.</w:delText>
        </w:r>
      </w:del>
    </w:p>
    <w:p w14:paraId="005A1EAB" w14:textId="70E85D9A" w:rsidR="00FB6710" w:rsidRPr="00183B5F" w:rsidRDefault="00FB6710" w:rsidP="004062FE">
      <w:pPr>
        <w:spacing w:line="240" w:lineRule="auto"/>
        <w:rPr>
          <w:del w:id="7059" w:author="AbbVie_HU_03" w:date="2025-05-14T15:27:00Z"/>
          <w:szCs w:val="22"/>
        </w:rPr>
      </w:pPr>
    </w:p>
    <w:p w14:paraId="1C573A93" w14:textId="64F59284" w:rsidR="00690CE3" w:rsidRPr="00183B5F" w:rsidRDefault="00943743" w:rsidP="004062FE">
      <w:pPr>
        <w:spacing w:line="240" w:lineRule="auto"/>
        <w:rPr>
          <w:del w:id="7060" w:author="AbbVie_HU_03" w:date="2025-05-14T15:27:00Z"/>
          <w:i/>
          <w:szCs w:val="22"/>
        </w:rPr>
      </w:pPr>
      <w:del w:id="7061" w:author="AbbVie_HU_03" w:date="2025-05-14T15:27:00Z">
        <w:r w:rsidRPr="00183B5F">
          <w:rPr>
            <w:i/>
            <w:szCs w:val="22"/>
          </w:rPr>
          <w:delText>Colitis ulcerosa</w:delText>
        </w:r>
      </w:del>
    </w:p>
    <w:p w14:paraId="596ED293" w14:textId="3C02CB7D" w:rsidR="005575FF" w:rsidRPr="00183B5F" w:rsidRDefault="005575FF" w:rsidP="004062FE">
      <w:pPr>
        <w:spacing w:line="240" w:lineRule="auto"/>
        <w:rPr>
          <w:del w:id="7062" w:author="AbbVie_HU_03" w:date="2025-05-14T15:27:00Z"/>
          <w:szCs w:val="22"/>
          <w:u w:val="single"/>
        </w:rPr>
      </w:pPr>
    </w:p>
    <w:p w14:paraId="0B9129F9" w14:textId="228ED87D" w:rsidR="00690CE3" w:rsidRPr="00183B5F" w:rsidRDefault="00943743" w:rsidP="004062FE">
      <w:pPr>
        <w:spacing w:line="240" w:lineRule="auto"/>
        <w:rPr>
          <w:del w:id="7063" w:author="AbbVie_HU_03" w:date="2025-05-14T15:27:00Z"/>
          <w:szCs w:val="22"/>
        </w:rPr>
      </w:pPr>
      <w:del w:id="7064" w:author="AbbVie_HU_03" w:date="2025-05-14T15:27:00Z">
        <w:r w:rsidRPr="00183B5F">
          <w:rPr>
            <w:szCs w:val="22"/>
          </w:rPr>
          <w:delText>A Humira többszörös adagjának biztonságosságát és hat</w:delText>
        </w:r>
        <w:r w:rsidR="00B501E3" w:rsidRPr="00183B5F">
          <w:rPr>
            <w:szCs w:val="22"/>
          </w:rPr>
          <w:delText>ásos</w:delText>
        </w:r>
        <w:r w:rsidRPr="00183B5F">
          <w:rPr>
            <w:szCs w:val="22"/>
          </w:rPr>
          <w:delText xml:space="preserve">ságát </w:delText>
        </w:r>
        <w:r w:rsidR="00156CB3" w:rsidRPr="00183B5F">
          <w:rPr>
            <w:szCs w:val="22"/>
          </w:rPr>
          <w:delText>értékelték</w:delText>
        </w:r>
        <w:r w:rsidRPr="00183B5F">
          <w:rPr>
            <w:szCs w:val="22"/>
          </w:rPr>
          <w:delText xml:space="preserve"> köz</w:delText>
        </w:r>
        <w:r w:rsidR="0011114B" w:rsidRPr="00183B5F">
          <w:rPr>
            <w:szCs w:val="22"/>
          </w:rPr>
          <w:delText xml:space="preserve">epesen </w:delText>
        </w:r>
        <w:r w:rsidRPr="00183B5F">
          <w:rPr>
            <w:szCs w:val="22"/>
          </w:rPr>
          <w:delText>súlyos-súlyos akt</w:delText>
        </w:r>
        <w:r w:rsidR="003916B1" w:rsidRPr="00183B5F">
          <w:rPr>
            <w:szCs w:val="22"/>
          </w:rPr>
          <w:delText>i</w:delText>
        </w:r>
        <w:r w:rsidRPr="00183B5F">
          <w:rPr>
            <w:szCs w:val="22"/>
          </w:rPr>
          <w:delText>v</w:delText>
        </w:r>
        <w:r w:rsidR="003916B1" w:rsidRPr="00183B5F">
          <w:rPr>
            <w:szCs w:val="22"/>
          </w:rPr>
          <w:delText>itású</w:delText>
        </w:r>
        <w:r w:rsidRPr="00183B5F">
          <w:rPr>
            <w:szCs w:val="22"/>
          </w:rPr>
          <w:delText xml:space="preserve"> colitis ulcerosában szenvedő felnőtt betegeknél (Mayo pontszám 6-12, endoszkópos </w:delText>
        </w:r>
        <w:r w:rsidR="00156CB3" w:rsidRPr="00183B5F">
          <w:rPr>
            <w:szCs w:val="22"/>
          </w:rPr>
          <w:delText>alpontszám 2-3) r</w:delText>
        </w:r>
        <w:r w:rsidR="00A44DB6" w:rsidRPr="00183B5F">
          <w:rPr>
            <w:szCs w:val="22"/>
          </w:rPr>
          <w:delText>a</w:delText>
        </w:r>
        <w:r w:rsidR="00156CB3" w:rsidRPr="00183B5F">
          <w:rPr>
            <w:szCs w:val="22"/>
          </w:rPr>
          <w:delText xml:space="preserve">nadomizált, </w:delText>
        </w:r>
        <w:r w:rsidR="007C6745" w:rsidRPr="00183B5F">
          <w:rPr>
            <w:szCs w:val="22"/>
          </w:rPr>
          <w:delText xml:space="preserve">kettős </w:delText>
        </w:r>
        <w:r w:rsidR="00E5381A" w:rsidRPr="00183B5F">
          <w:rPr>
            <w:szCs w:val="22"/>
          </w:rPr>
          <w:delText>vak</w:delText>
        </w:r>
        <w:r w:rsidR="00156CB3" w:rsidRPr="00183B5F">
          <w:rPr>
            <w:szCs w:val="22"/>
          </w:rPr>
          <w:delText xml:space="preserve">, placebokontrollos vizsgálatokban. </w:delText>
        </w:r>
      </w:del>
    </w:p>
    <w:p w14:paraId="5B03DD64" w14:textId="5D13EF47" w:rsidR="00156CB3" w:rsidRPr="00183B5F" w:rsidRDefault="00156CB3" w:rsidP="004062FE">
      <w:pPr>
        <w:spacing w:line="240" w:lineRule="auto"/>
        <w:rPr>
          <w:del w:id="7065" w:author="AbbVie_HU_03" w:date="2025-05-14T15:27:00Z"/>
          <w:szCs w:val="22"/>
        </w:rPr>
      </w:pPr>
    </w:p>
    <w:p w14:paraId="3E513E6A" w14:textId="68EE73C8" w:rsidR="00156CB3" w:rsidRPr="00183B5F" w:rsidRDefault="00943743" w:rsidP="004062FE">
      <w:pPr>
        <w:spacing w:line="240" w:lineRule="auto"/>
        <w:rPr>
          <w:del w:id="7066" w:author="AbbVie_HU_03" w:date="2025-05-14T15:27:00Z"/>
          <w:szCs w:val="22"/>
        </w:rPr>
      </w:pPr>
      <w:del w:id="7067" w:author="AbbVie_HU_03" w:date="2025-05-14T15:27:00Z">
        <w:r w:rsidRPr="00183B5F">
          <w:rPr>
            <w:szCs w:val="22"/>
          </w:rPr>
          <w:delText>Az UC</w:delText>
        </w:r>
        <w:r w:rsidR="000573FD" w:rsidRPr="00183B5F">
          <w:rPr>
            <w:szCs w:val="22"/>
          </w:rPr>
          <w:noBreakHyphen/>
        </w:r>
        <w:r w:rsidRPr="00183B5F">
          <w:rPr>
            <w:szCs w:val="22"/>
          </w:rPr>
          <w:delText>I vizsgálatban 390, korábban TNF</w:delText>
        </w:r>
        <w:r w:rsidR="000573FD" w:rsidRPr="00183B5F">
          <w:rPr>
            <w:szCs w:val="22"/>
          </w:rPr>
          <w:noBreakHyphen/>
        </w:r>
        <w:r w:rsidR="00B501E3" w:rsidRPr="00183B5F">
          <w:rPr>
            <w:szCs w:val="22"/>
          </w:rPr>
          <w:delText>antagonista</w:delText>
        </w:r>
        <w:r w:rsidRPr="00183B5F">
          <w:rPr>
            <w:szCs w:val="22"/>
          </w:rPr>
          <w:delText xml:space="preserve"> kezelésben nem részesült beteget randomizáltak 3 csoportba: az egyik csoport a 0. és 2.</w:delText>
        </w:r>
        <w:r w:rsidR="00A44DB6" w:rsidRPr="00183B5F">
          <w:rPr>
            <w:szCs w:val="22"/>
          </w:rPr>
          <w:delText> hét</w:delText>
        </w:r>
        <w:r w:rsidRPr="00183B5F">
          <w:rPr>
            <w:szCs w:val="22"/>
          </w:rPr>
          <w:delText>en placebót kapott, a másik csoport a 0.</w:delText>
        </w:r>
        <w:r w:rsidR="00A44DB6" w:rsidRPr="00183B5F">
          <w:rPr>
            <w:szCs w:val="22"/>
          </w:rPr>
          <w:delText> hét</w:delText>
        </w:r>
        <w:r w:rsidRPr="00183B5F">
          <w:rPr>
            <w:szCs w:val="22"/>
          </w:rPr>
          <w:delText>en 160</w:delText>
        </w:r>
        <w:r w:rsidR="001B6C63" w:rsidRPr="00183B5F">
          <w:rPr>
            <w:szCs w:val="22"/>
          </w:rPr>
          <w:delText> </w:delText>
        </w:r>
        <w:r w:rsidRPr="00183B5F">
          <w:rPr>
            <w:szCs w:val="22"/>
          </w:rPr>
          <w:delText>mg, a 2.</w:delText>
        </w:r>
        <w:r w:rsidR="00A44DB6" w:rsidRPr="00183B5F">
          <w:rPr>
            <w:szCs w:val="22"/>
          </w:rPr>
          <w:delText> hét</w:delText>
        </w:r>
        <w:r w:rsidRPr="00183B5F">
          <w:rPr>
            <w:szCs w:val="22"/>
          </w:rPr>
          <w:delText>en 80</w:delText>
        </w:r>
        <w:r w:rsidR="001B6C63" w:rsidRPr="00183B5F">
          <w:rPr>
            <w:szCs w:val="22"/>
          </w:rPr>
          <w:delText> </w:delText>
        </w:r>
        <w:r w:rsidRPr="00183B5F">
          <w:rPr>
            <w:szCs w:val="22"/>
          </w:rPr>
          <w:delText>mg Humir</w:delText>
        </w:r>
        <w:r w:rsidR="00B501E3" w:rsidRPr="00183B5F">
          <w:rPr>
            <w:szCs w:val="22"/>
          </w:rPr>
          <w:delText>a</w:delText>
        </w:r>
        <w:r w:rsidR="00B501E3" w:rsidRPr="00183B5F">
          <w:rPr>
            <w:szCs w:val="22"/>
          </w:rPr>
          <w:noBreakHyphen/>
        </w:r>
        <w:r w:rsidRPr="00183B5F">
          <w:rPr>
            <w:szCs w:val="22"/>
          </w:rPr>
          <w:delText>t, míg a harmadik csoport a 0.</w:delText>
        </w:r>
        <w:r w:rsidR="00A44DB6" w:rsidRPr="00183B5F">
          <w:rPr>
            <w:szCs w:val="22"/>
          </w:rPr>
          <w:delText> hét</w:delText>
        </w:r>
        <w:r w:rsidRPr="00183B5F">
          <w:rPr>
            <w:szCs w:val="22"/>
          </w:rPr>
          <w:delText>en 80</w:delText>
        </w:r>
        <w:r w:rsidR="001B6C63" w:rsidRPr="00183B5F">
          <w:rPr>
            <w:szCs w:val="22"/>
          </w:rPr>
          <w:delText> </w:delText>
        </w:r>
        <w:r w:rsidRPr="00183B5F">
          <w:rPr>
            <w:szCs w:val="22"/>
          </w:rPr>
          <w:delText>mg, a 2.</w:delText>
        </w:r>
        <w:r w:rsidR="00A44DB6" w:rsidRPr="00183B5F">
          <w:rPr>
            <w:szCs w:val="22"/>
          </w:rPr>
          <w:delText> hét</w:delText>
        </w:r>
        <w:r w:rsidRPr="00183B5F">
          <w:rPr>
            <w:szCs w:val="22"/>
          </w:rPr>
          <w:delText>en pedig 40</w:delText>
        </w:r>
        <w:r w:rsidR="001B6C63" w:rsidRPr="00183B5F">
          <w:rPr>
            <w:szCs w:val="22"/>
          </w:rPr>
          <w:delText> </w:delText>
        </w:r>
        <w:r w:rsidRPr="00183B5F">
          <w:rPr>
            <w:szCs w:val="22"/>
          </w:rPr>
          <w:delText xml:space="preserve">mg </w:delText>
        </w:r>
        <w:r w:rsidR="00D31746" w:rsidRPr="00183B5F">
          <w:rPr>
            <w:szCs w:val="22"/>
          </w:rPr>
          <w:delText>Humira</w:delText>
        </w:r>
        <w:r w:rsidR="004F4F79" w:rsidRPr="00183B5F">
          <w:rPr>
            <w:szCs w:val="22"/>
          </w:rPr>
          <w:noBreakHyphen/>
        </w:r>
        <w:r w:rsidR="00D31746" w:rsidRPr="00183B5F">
          <w:rPr>
            <w:szCs w:val="22"/>
          </w:rPr>
          <w:delText>t</w:delText>
        </w:r>
        <w:r w:rsidRPr="00183B5F">
          <w:rPr>
            <w:szCs w:val="22"/>
          </w:rPr>
          <w:delText xml:space="preserve"> kapott. A 2.</w:delText>
        </w:r>
        <w:r w:rsidR="00A44DB6" w:rsidRPr="00183B5F">
          <w:rPr>
            <w:szCs w:val="22"/>
          </w:rPr>
          <w:delText> hét</w:delText>
        </w:r>
        <w:r w:rsidRPr="00183B5F">
          <w:rPr>
            <w:szCs w:val="22"/>
          </w:rPr>
          <w:delText xml:space="preserve"> után </w:delText>
        </w:r>
        <w:r w:rsidR="00A43282" w:rsidRPr="00183B5F">
          <w:rPr>
            <w:szCs w:val="22"/>
          </w:rPr>
          <w:delText>a betegek mind</w:delText>
        </w:r>
        <w:r w:rsidRPr="00183B5F">
          <w:rPr>
            <w:szCs w:val="22"/>
          </w:rPr>
          <w:delText xml:space="preserve">két adalimumab </w:delText>
        </w:r>
        <w:r w:rsidR="00B501E3" w:rsidRPr="00183B5F">
          <w:rPr>
            <w:szCs w:val="22"/>
          </w:rPr>
          <w:delText>karon</w:delText>
        </w:r>
        <w:r w:rsidRPr="00183B5F">
          <w:rPr>
            <w:szCs w:val="22"/>
          </w:rPr>
          <w:delText xml:space="preserve"> </w:delText>
        </w:r>
        <w:r w:rsidR="00A43282" w:rsidRPr="00183B5F">
          <w:rPr>
            <w:szCs w:val="22"/>
          </w:rPr>
          <w:delText xml:space="preserve">kéthetenként </w:delText>
        </w:r>
        <w:r w:rsidRPr="00183B5F">
          <w:rPr>
            <w:szCs w:val="22"/>
          </w:rPr>
          <w:delText>40</w:delText>
        </w:r>
        <w:r w:rsidR="001B6C63" w:rsidRPr="00183B5F">
          <w:rPr>
            <w:szCs w:val="22"/>
          </w:rPr>
          <w:delText> </w:delText>
        </w:r>
        <w:r w:rsidRPr="00183B5F">
          <w:rPr>
            <w:szCs w:val="22"/>
          </w:rPr>
          <w:delText xml:space="preserve">mg </w:delText>
        </w:r>
        <w:r w:rsidR="00D31746" w:rsidRPr="00183B5F">
          <w:rPr>
            <w:szCs w:val="22"/>
          </w:rPr>
          <w:delText>Humira-t</w:delText>
        </w:r>
        <w:r w:rsidR="00A43282" w:rsidRPr="00183B5F">
          <w:rPr>
            <w:szCs w:val="22"/>
          </w:rPr>
          <w:delText xml:space="preserve"> kaptak</w:delText>
        </w:r>
        <w:r w:rsidRPr="00183B5F">
          <w:rPr>
            <w:szCs w:val="22"/>
          </w:rPr>
          <w:delText>.</w:delText>
        </w:r>
        <w:r w:rsidR="00C4475D" w:rsidRPr="00183B5F">
          <w:rPr>
            <w:szCs w:val="22"/>
          </w:rPr>
          <w:delText xml:space="preserve"> A klinikai remissziót (meghatározás szerint a Mayo pontszám legfeljebb 2 és egyik endoszkópos alpontszám sem nagyobb mint 1) a 8.</w:delText>
        </w:r>
        <w:r w:rsidR="00A44DB6" w:rsidRPr="00183B5F">
          <w:rPr>
            <w:szCs w:val="22"/>
          </w:rPr>
          <w:delText> hét</w:delText>
        </w:r>
        <w:r w:rsidR="00C4475D" w:rsidRPr="00183B5F">
          <w:rPr>
            <w:szCs w:val="22"/>
          </w:rPr>
          <w:delText>en értékelték.</w:delText>
        </w:r>
      </w:del>
    </w:p>
    <w:p w14:paraId="4DD4305D" w14:textId="1EDCBAD7" w:rsidR="00BC1BD5" w:rsidRPr="00183B5F" w:rsidRDefault="00BC1BD5" w:rsidP="004062FE">
      <w:pPr>
        <w:spacing w:line="240" w:lineRule="auto"/>
        <w:rPr>
          <w:del w:id="7068" w:author="AbbVie_HU_03" w:date="2025-05-14T15:27:00Z"/>
          <w:szCs w:val="22"/>
        </w:rPr>
      </w:pPr>
    </w:p>
    <w:p w14:paraId="6050410A" w14:textId="0C152B84" w:rsidR="00BC1BD5" w:rsidRPr="00183B5F" w:rsidRDefault="00943743" w:rsidP="004062FE">
      <w:pPr>
        <w:spacing w:line="240" w:lineRule="auto"/>
        <w:rPr>
          <w:del w:id="7069" w:author="AbbVie_HU_03" w:date="2025-05-14T15:27:00Z"/>
          <w:szCs w:val="22"/>
        </w:rPr>
      </w:pPr>
      <w:del w:id="7070" w:author="AbbVie_HU_03" w:date="2025-05-14T15:27:00Z">
        <w:r w:rsidRPr="00183B5F">
          <w:rPr>
            <w:szCs w:val="22"/>
          </w:rPr>
          <w:delText>Az UC</w:delText>
        </w:r>
        <w:r w:rsidR="004F4F79" w:rsidRPr="00183B5F">
          <w:rPr>
            <w:szCs w:val="22"/>
          </w:rPr>
          <w:noBreakHyphen/>
        </w:r>
        <w:r w:rsidRPr="00183B5F">
          <w:rPr>
            <w:szCs w:val="22"/>
          </w:rPr>
          <w:delText>II vizsgálatban 248</w:delText>
        </w:r>
        <w:r w:rsidR="004F4F79" w:rsidRPr="00183B5F">
          <w:rPr>
            <w:szCs w:val="22"/>
          </w:rPr>
          <w:delText> </w:delText>
        </w:r>
        <w:r w:rsidRPr="00183B5F">
          <w:rPr>
            <w:szCs w:val="22"/>
          </w:rPr>
          <w:delText>beteg kapott 160</w:delText>
        </w:r>
        <w:r w:rsidR="001B6C63" w:rsidRPr="00183B5F">
          <w:rPr>
            <w:szCs w:val="22"/>
          </w:rPr>
          <w:delText> </w:delText>
        </w:r>
        <w:r w:rsidRPr="00183B5F">
          <w:rPr>
            <w:szCs w:val="22"/>
          </w:rPr>
          <w:delText xml:space="preserve">mg </w:delText>
        </w:r>
        <w:r w:rsidR="00D31746" w:rsidRPr="00183B5F">
          <w:rPr>
            <w:szCs w:val="22"/>
          </w:rPr>
          <w:delText>Humira</w:delText>
        </w:r>
        <w:r w:rsidR="004F4F79" w:rsidRPr="00183B5F">
          <w:rPr>
            <w:szCs w:val="22"/>
          </w:rPr>
          <w:noBreakHyphen/>
        </w:r>
        <w:r w:rsidR="00D31746" w:rsidRPr="00183B5F">
          <w:rPr>
            <w:szCs w:val="22"/>
          </w:rPr>
          <w:delText>t</w:delText>
        </w:r>
        <w:r w:rsidRPr="00183B5F">
          <w:rPr>
            <w:szCs w:val="22"/>
          </w:rPr>
          <w:delText xml:space="preserve"> a 0.</w:delText>
        </w:r>
        <w:r w:rsidR="00A44DB6" w:rsidRPr="00183B5F">
          <w:rPr>
            <w:szCs w:val="22"/>
          </w:rPr>
          <w:delText> hét</w:delText>
        </w:r>
        <w:r w:rsidRPr="00183B5F">
          <w:rPr>
            <w:szCs w:val="22"/>
          </w:rPr>
          <w:delText>en, 80</w:delText>
        </w:r>
        <w:r w:rsidR="001B6C63" w:rsidRPr="00183B5F">
          <w:rPr>
            <w:szCs w:val="22"/>
          </w:rPr>
          <w:delText> </w:delText>
        </w:r>
        <w:r w:rsidRPr="00183B5F">
          <w:rPr>
            <w:szCs w:val="22"/>
          </w:rPr>
          <w:delText>mg-ot a 2.</w:delText>
        </w:r>
        <w:r w:rsidR="00A44DB6" w:rsidRPr="00183B5F">
          <w:rPr>
            <w:szCs w:val="22"/>
          </w:rPr>
          <w:delText> hét</w:delText>
        </w:r>
        <w:r w:rsidRPr="00183B5F">
          <w:rPr>
            <w:szCs w:val="22"/>
          </w:rPr>
          <w:delText>en, majd ezt követően 40</w:delText>
        </w:r>
        <w:r w:rsidR="001B6C63" w:rsidRPr="00183B5F">
          <w:rPr>
            <w:szCs w:val="22"/>
          </w:rPr>
          <w:delText> </w:delText>
        </w:r>
        <w:r w:rsidRPr="00183B5F">
          <w:rPr>
            <w:szCs w:val="22"/>
          </w:rPr>
          <w:delText>mg-ot minden második</w:delText>
        </w:r>
        <w:r w:rsidR="001F5030" w:rsidRPr="00183B5F">
          <w:rPr>
            <w:szCs w:val="22"/>
          </w:rPr>
          <w:delText xml:space="preserve"> hét</w:delText>
        </w:r>
        <w:r w:rsidRPr="00183B5F">
          <w:rPr>
            <w:szCs w:val="22"/>
          </w:rPr>
          <w:delText>en, míg 246</w:delText>
        </w:r>
        <w:r w:rsidR="004F4F79" w:rsidRPr="00183B5F">
          <w:rPr>
            <w:szCs w:val="22"/>
          </w:rPr>
          <w:delText> </w:delText>
        </w:r>
        <w:r w:rsidRPr="00183B5F">
          <w:rPr>
            <w:szCs w:val="22"/>
          </w:rPr>
          <w:delText>betegnek placebót adtak. A klinikai eredményeket a 8.</w:delText>
        </w:r>
        <w:r w:rsidR="00A44DB6" w:rsidRPr="00183B5F">
          <w:rPr>
            <w:szCs w:val="22"/>
          </w:rPr>
          <w:delText> hét</w:delText>
        </w:r>
        <w:r w:rsidRPr="00183B5F">
          <w:rPr>
            <w:szCs w:val="22"/>
          </w:rPr>
          <w:delText>en a remisszió indukciójára vonatkozóan, az 52.</w:delText>
        </w:r>
        <w:r w:rsidR="00A44DB6" w:rsidRPr="00183B5F">
          <w:rPr>
            <w:szCs w:val="22"/>
          </w:rPr>
          <w:delText> hét</w:delText>
        </w:r>
        <w:r w:rsidRPr="00183B5F">
          <w:rPr>
            <w:szCs w:val="22"/>
          </w:rPr>
          <w:delText>en a remisszió fenntartására vonatkozóan értékelték.</w:delText>
        </w:r>
      </w:del>
    </w:p>
    <w:p w14:paraId="01DC13FF" w14:textId="23331809" w:rsidR="00BC1BD5" w:rsidRPr="00183B5F" w:rsidRDefault="00BC1BD5" w:rsidP="004062FE">
      <w:pPr>
        <w:spacing w:line="240" w:lineRule="auto"/>
        <w:rPr>
          <w:del w:id="7071" w:author="AbbVie_HU_03" w:date="2025-05-14T15:27:00Z"/>
          <w:szCs w:val="22"/>
        </w:rPr>
      </w:pPr>
    </w:p>
    <w:p w14:paraId="72F7DEAC" w14:textId="542AAF96" w:rsidR="00BC1BD5" w:rsidRPr="00183B5F" w:rsidRDefault="00943743" w:rsidP="004062FE">
      <w:pPr>
        <w:spacing w:line="240" w:lineRule="auto"/>
        <w:rPr>
          <w:del w:id="7072" w:author="AbbVie_HU_03" w:date="2025-05-14T15:27:00Z"/>
          <w:szCs w:val="22"/>
        </w:rPr>
      </w:pPr>
      <w:del w:id="7073" w:author="AbbVie_HU_03" w:date="2025-05-14T15:27:00Z">
        <w:r w:rsidRPr="00183B5F">
          <w:rPr>
            <w:szCs w:val="22"/>
          </w:rPr>
          <w:delText>A 160/80</w:delText>
        </w:r>
        <w:r w:rsidR="001B6C63" w:rsidRPr="00183B5F">
          <w:rPr>
            <w:szCs w:val="22"/>
          </w:rPr>
          <w:delText> </w:delText>
        </w:r>
        <w:r w:rsidRPr="00183B5F">
          <w:rPr>
            <w:szCs w:val="22"/>
          </w:rPr>
          <w:delText>mg indukciós Humira-kezelésben részesülő betegek statisztikailag szignifikánsan</w:delText>
        </w:r>
        <w:r w:rsidR="00EF331F" w:rsidRPr="00183B5F">
          <w:rPr>
            <w:szCs w:val="22"/>
          </w:rPr>
          <w:delText xml:space="preserve"> nagyobb százalé</w:delText>
        </w:r>
        <w:r w:rsidRPr="00183B5F">
          <w:rPr>
            <w:szCs w:val="22"/>
          </w:rPr>
          <w:delText>kban</w:delText>
        </w:r>
        <w:r w:rsidR="00EF331F" w:rsidRPr="00183B5F">
          <w:rPr>
            <w:szCs w:val="22"/>
          </w:rPr>
          <w:delText xml:space="preserve"> mutattak klinikai remissziót a 8.</w:delText>
        </w:r>
        <w:r w:rsidR="00A44DB6" w:rsidRPr="00183B5F">
          <w:rPr>
            <w:szCs w:val="22"/>
          </w:rPr>
          <w:delText> hét</w:delText>
        </w:r>
        <w:r w:rsidR="00EF331F" w:rsidRPr="00183B5F">
          <w:rPr>
            <w:szCs w:val="22"/>
          </w:rPr>
          <w:delText>en a placeb</w:delText>
        </w:r>
        <w:r w:rsidR="001B6C63" w:rsidRPr="00183B5F">
          <w:rPr>
            <w:szCs w:val="22"/>
          </w:rPr>
          <w:delText>ó</w:delText>
        </w:r>
        <w:r w:rsidR="00BF725E" w:rsidRPr="00183B5F">
          <w:rPr>
            <w:szCs w:val="22"/>
          </w:rPr>
          <w:delText>hoz</w:delText>
        </w:r>
        <w:r w:rsidR="00EF331F" w:rsidRPr="00183B5F">
          <w:rPr>
            <w:szCs w:val="22"/>
          </w:rPr>
          <w:delText xml:space="preserve"> </w:delText>
        </w:r>
        <w:r w:rsidR="00BF725E" w:rsidRPr="00183B5F">
          <w:rPr>
            <w:szCs w:val="22"/>
          </w:rPr>
          <w:delText>képest</w:delText>
        </w:r>
        <w:r w:rsidR="00EF331F" w:rsidRPr="00183B5F">
          <w:rPr>
            <w:szCs w:val="22"/>
          </w:rPr>
          <w:delText xml:space="preserve"> </w:delText>
        </w:r>
        <w:r w:rsidR="00FC5424" w:rsidRPr="00183B5F">
          <w:rPr>
            <w:szCs w:val="22"/>
          </w:rPr>
          <w:delText xml:space="preserve">az UC-I vizsgálatban </w:delText>
        </w:r>
        <w:r w:rsidR="00EF331F" w:rsidRPr="00183B5F">
          <w:rPr>
            <w:szCs w:val="22"/>
          </w:rPr>
          <w:delText>(sorrendben 18%, illetve 9%, p</w:delText>
        </w:r>
        <w:r w:rsidR="00B501E3" w:rsidRPr="00183B5F">
          <w:rPr>
            <w:szCs w:val="22"/>
          </w:rPr>
          <w:delText> </w:delText>
        </w:r>
        <w:r w:rsidR="00EF331F" w:rsidRPr="00183B5F">
          <w:rPr>
            <w:szCs w:val="22"/>
          </w:rPr>
          <w:delText>=</w:delText>
        </w:r>
        <w:r w:rsidR="00B501E3" w:rsidRPr="00183B5F">
          <w:rPr>
            <w:szCs w:val="22"/>
          </w:rPr>
          <w:delText> </w:delText>
        </w:r>
        <w:r w:rsidR="00EF331F" w:rsidRPr="00183B5F">
          <w:rPr>
            <w:szCs w:val="22"/>
          </w:rPr>
          <w:delText>0,</w:delText>
        </w:r>
        <w:r w:rsidR="00B45E1D" w:rsidRPr="00183B5F">
          <w:rPr>
            <w:szCs w:val="22"/>
          </w:rPr>
          <w:delText>031) és az UC-II vizsgálatban (sorrendben 17%, illetve 9%, p = 0,</w:delText>
        </w:r>
        <w:r w:rsidR="00EF331F" w:rsidRPr="00183B5F">
          <w:rPr>
            <w:szCs w:val="22"/>
          </w:rPr>
          <w:delText>019). Az UC</w:delText>
        </w:r>
        <w:r w:rsidR="004F4F79" w:rsidRPr="00183B5F">
          <w:rPr>
            <w:szCs w:val="22"/>
          </w:rPr>
          <w:noBreakHyphen/>
        </w:r>
        <w:r w:rsidR="00EF331F" w:rsidRPr="00183B5F">
          <w:rPr>
            <w:szCs w:val="22"/>
          </w:rPr>
          <w:delText xml:space="preserve">II vizsgálatban </w:delText>
        </w:r>
        <w:r w:rsidR="0036429F" w:rsidRPr="00183B5F">
          <w:rPr>
            <w:szCs w:val="22"/>
          </w:rPr>
          <w:delText>azo</w:delText>
        </w:r>
        <w:r w:rsidR="00B501E3" w:rsidRPr="00183B5F">
          <w:rPr>
            <w:szCs w:val="22"/>
          </w:rPr>
          <w:delText>k közül a</w:delText>
        </w:r>
        <w:r w:rsidR="0036429F" w:rsidRPr="00183B5F">
          <w:rPr>
            <w:szCs w:val="22"/>
          </w:rPr>
          <w:delText xml:space="preserve"> Humira</w:delText>
        </w:r>
        <w:r w:rsidR="00B501E3" w:rsidRPr="00183B5F">
          <w:rPr>
            <w:szCs w:val="22"/>
          </w:rPr>
          <w:noBreakHyphen/>
        </w:r>
        <w:r w:rsidR="0036429F" w:rsidRPr="00183B5F">
          <w:rPr>
            <w:szCs w:val="22"/>
          </w:rPr>
          <w:delText xml:space="preserve">val kezelt betegek közül, akik </w:delText>
        </w:r>
        <w:r w:rsidR="00EF331F" w:rsidRPr="00183B5F">
          <w:rPr>
            <w:szCs w:val="22"/>
          </w:rPr>
          <w:delText>a 8.</w:delText>
        </w:r>
        <w:r w:rsidR="00A44DB6" w:rsidRPr="00183B5F">
          <w:rPr>
            <w:szCs w:val="22"/>
          </w:rPr>
          <w:delText> hét</w:delText>
        </w:r>
        <w:r w:rsidR="00EF331F" w:rsidRPr="00183B5F">
          <w:rPr>
            <w:szCs w:val="22"/>
          </w:rPr>
          <w:delText>en remisszió</w:delText>
        </w:r>
        <w:r w:rsidR="0036429F" w:rsidRPr="00183B5F">
          <w:rPr>
            <w:szCs w:val="22"/>
          </w:rPr>
          <w:delText>ban voltak</w:delText>
        </w:r>
        <w:r w:rsidR="00EF331F" w:rsidRPr="00183B5F">
          <w:rPr>
            <w:szCs w:val="22"/>
          </w:rPr>
          <w:delText xml:space="preserve">, </w:delText>
        </w:r>
        <w:r w:rsidR="0036429F" w:rsidRPr="00183B5F">
          <w:rPr>
            <w:szCs w:val="22"/>
          </w:rPr>
          <w:delText>az 52.</w:delText>
        </w:r>
        <w:r w:rsidR="00A44DB6" w:rsidRPr="00183B5F">
          <w:rPr>
            <w:szCs w:val="22"/>
          </w:rPr>
          <w:delText> hét</w:delText>
        </w:r>
        <w:r w:rsidR="0036429F" w:rsidRPr="00183B5F">
          <w:rPr>
            <w:szCs w:val="22"/>
          </w:rPr>
          <w:delText xml:space="preserve">en </w:delText>
        </w:r>
        <w:r w:rsidR="00EF331F" w:rsidRPr="00183B5F">
          <w:rPr>
            <w:szCs w:val="22"/>
          </w:rPr>
          <w:delText xml:space="preserve">21/41 (51%) </w:delText>
        </w:r>
        <w:r w:rsidR="0036429F" w:rsidRPr="00183B5F">
          <w:rPr>
            <w:szCs w:val="22"/>
          </w:rPr>
          <w:delText xml:space="preserve">volt </w:delText>
        </w:r>
        <w:r w:rsidR="00EF331F" w:rsidRPr="00183B5F">
          <w:rPr>
            <w:szCs w:val="22"/>
          </w:rPr>
          <w:delText>remisszióban</w:delText>
        </w:r>
        <w:r w:rsidR="0036429F" w:rsidRPr="00183B5F">
          <w:rPr>
            <w:szCs w:val="22"/>
          </w:rPr>
          <w:delText>.</w:delText>
        </w:r>
      </w:del>
    </w:p>
    <w:p w14:paraId="2A265FCE" w14:textId="049EEB62" w:rsidR="00EF331F" w:rsidRPr="00183B5F" w:rsidRDefault="00EF331F" w:rsidP="004062FE">
      <w:pPr>
        <w:spacing w:line="240" w:lineRule="auto"/>
        <w:rPr>
          <w:del w:id="7074" w:author="AbbVie_HU_03" w:date="2025-05-14T15:27:00Z"/>
          <w:szCs w:val="22"/>
        </w:rPr>
      </w:pPr>
    </w:p>
    <w:p w14:paraId="1D361ADC" w14:textId="479BC22B" w:rsidR="00EF331F" w:rsidRPr="00183B5F" w:rsidRDefault="00943743" w:rsidP="004062FE">
      <w:pPr>
        <w:spacing w:line="240" w:lineRule="auto"/>
        <w:rPr>
          <w:del w:id="7075" w:author="AbbVie_HU_03" w:date="2025-05-14T15:27:00Z"/>
          <w:szCs w:val="22"/>
        </w:rPr>
      </w:pPr>
      <w:del w:id="7076" w:author="AbbVie_HU_03" w:date="2025-05-14T15:27:00Z">
        <w:r w:rsidRPr="00183B5F">
          <w:rPr>
            <w:szCs w:val="22"/>
          </w:rPr>
          <w:delText>Az UC</w:delText>
        </w:r>
        <w:r w:rsidR="004F4F79" w:rsidRPr="00183B5F">
          <w:rPr>
            <w:szCs w:val="22"/>
          </w:rPr>
          <w:noBreakHyphen/>
        </w:r>
        <w:r w:rsidRPr="00183B5F">
          <w:rPr>
            <w:szCs w:val="22"/>
          </w:rPr>
          <w:delText xml:space="preserve">II vizsgálatban részt vevő teljes betegpopuláció eredményeit a </w:delText>
        </w:r>
        <w:r w:rsidR="0039729B" w:rsidRPr="00183B5F">
          <w:rPr>
            <w:szCs w:val="22"/>
          </w:rPr>
          <w:delText>23</w:delText>
        </w:r>
        <w:r w:rsidRPr="00183B5F">
          <w:rPr>
            <w:szCs w:val="22"/>
          </w:rPr>
          <w:delText>.</w:delText>
        </w:r>
        <w:r w:rsidR="00DA7038" w:rsidRPr="00183B5F">
          <w:rPr>
            <w:szCs w:val="22"/>
          </w:rPr>
          <w:delText> </w:delText>
        </w:r>
        <w:r w:rsidRPr="00183B5F">
          <w:rPr>
            <w:szCs w:val="22"/>
          </w:rPr>
          <w:delText>táblázat mutatja.</w:delText>
        </w:r>
      </w:del>
    </w:p>
    <w:p w14:paraId="3FB1262A" w14:textId="3D74BA39" w:rsidR="00EC5082" w:rsidRPr="00183B5F" w:rsidRDefault="00EC5082" w:rsidP="004062FE">
      <w:pPr>
        <w:spacing w:line="240" w:lineRule="auto"/>
        <w:rPr>
          <w:del w:id="7077" w:author="AbbVie_HU_03" w:date="2025-05-14T15:27:00Z"/>
          <w:szCs w:val="22"/>
        </w:rPr>
      </w:pPr>
    </w:p>
    <w:p w14:paraId="0A11F499" w14:textId="5F9DCCAF" w:rsidR="00EF331F" w:rsidRPr="00183B5F" w:rsidRDefault="00943743" w:rsidP="004062FE">
      <w:pPr>
        <w:pStyle w:val="EMEANormal"/>
        <w:keepNext/>
        <w:jc w:val="center"/>
        <w:rPr>
          <w:del w:id="7078" w:author="AbbVie_HU_03" w:date="2025-05-14T15:27:00Z"/>
          <w:rFonts w:eastAsia="Arial Unicode MS"/>
          <w:b/>
          <w:bCs/>
          <w:szCs w:val="22"/>
          <w:lang w:val="hu-HU"/>
        </w:rPr>
      </w:pPr>
      <w:del w:id="7079" w:author="AbbVie_HU_03" w:date="2025-05-14T15:27:00Z">
        <w:r w:rsidRPr="00183B5F">
          <w:rPr>
            <w:rFonts w:eastAsia="Arial Unicode MS"/>
            <w:b/>
            <w:bCs/>
            <w:szCs w:val="22"/>
            <w:lang w:val="hu-HU"/>
          </w:rPr>
          <w:delText>23.</w:delText>
        </w:r>
        <w:r w:rsidR="00DA7038" w:rsidRPr="00183B5F">
          <w:rPr>
            <w:rFonts w:eastAsia="Arial Unicode MS"/>
            <w:b/>
            <w:bCs/>
            <w:szCs w:val="22"/>
            <w:lang w:val="hu-HU"/>
          </w:rPr>
          <w:delText> </w:delText>
        </w:r>
        <w:r w:rsidRPr="00183B5F">
          <w:rPr>
            <w:rFonts w:eastAsia="Arial Unicode MS"/>
            <w:b/>
            <w:bCs/>
            <w:szCs w:val="22"/>
            <w:lang w:val="hu-HU"/>
          </w:rPr>
          <w:delText>táblázat</w:delText>
        </w:r>
      </w:del>
    </w:p>
    <w:p w14:paraId="6DE1552A" w14:textId="0CCF999B" w:rsidR="00EF331F" w:rsidRPr="00183B5F" w:rsidRDefault="00943743" w:rsidP="004062FE">
      <w:pPr>
        <w:pStyle w:val="EMEANormal"/>
        <w:keepNext/>
        <w:jc w:val="center"/>
        <w:rPr>
          <w:del w:id="7080" w:author="AbbVie_HU_03" w:date="2025-05-14T15:27:00Z"/>
          <w:rFonts w:eastAsia="Arial Unicode MS"/>
          <w:b/>
          <w:bCs/>
          <w:szCs w:val="22"/>
          <w:lang w:val="hu-HU"/>
        </w:rPr>
      </w:pPr>
      <w:del w:id="7081" w:author="AbbVie_HU_03" w:date="2025-05-14T15:27:00Z">
        <w:r w:rsidRPr="00183B5F">
          <w:rPr>
            <w:rFonts w:eastAsia="Arial Unicode MS"/>
            <w:b/>
            <w:bCs/>
            <w:szCs w:val="22"/>
            <w:lang w:val="hu-HU"/>
          </w:rPr>
          <w:delText>UC-II vizsgálatban a klinikai válasz, remisszió és nyálkahártya gyógyulás aránya</w:delText>
        </w:r>
      </w:del>
    </w:p>
    <w:p w14:paraId="788D2650" w14:textId="44ADDDF6" w:rsidR="00EF331F" w:rsidRPr="00183B5F" w:rsidRDefault="00943743" w:rsidP="004062FE">
      <w:pPr>
        <w:pStyle w:val="EMEANormal"/>
        <w:keepNext/>
        <w:jc w:val="center"/>
        <w:rPr>
          <w:del w:id="7082" w:author="AbbVie_HU_03" w:date="2025-05-14T15:27:00Z"/>
          <w:rFonts w:eastAsia="Arial Unicode MS"/>
          <w:b/>
          <w:lang w:val="hu-HU"/>
        </w:rPr>
      </w:pPr>
      <w:del w:id="7083" w:author="AbbVie_HU_03" w:date="2025-05-14T15:27:00Z">
        <w:r w:rsidRPr="00183B5F">
          <w:rPr>
            <w:rFonts w:eastAsia="Arial Unicode MS"/>
            <w:b/>
            <w:lang w:val="hu-HU"/>
          </w:rPr>
          <w:delText>(betegek százalékában)</w:delText>
        </w:r>
      </w:del>
    </w:p>
    <w:p w14:paraId="5A03C738" w14:textId="5D28FFFB" w:rsidR="00CA454D" w:rsidRPr="00183B5F" w:rsidRDefault="00CA454D" w:rsidP="004062FE">
      <w:pPr>
        <w:pStyle w:val="EMEANormal"/>
        <w:keepNext/>
        <w:jc w:val="center"/>
        <w:rPr>
          <w:del w:id="7084" w:author="AbbVie_HU_03" w:date="2025-05-14T15:27:00Z"/>
          <w:rFonts w:eastAsia="Arial Unicode MS"/>
          <w:b/>
          <w:lang w:val="hu-HU"/>
        </w:rPr>
      </w:pPr>
    </w:p>
    <w:tbl>
      <w:tblPr>
        <w:tblW w:w="4375" w:type="pct"/>
        <w:jc w:val="center"/>
        <w:tblCellMar>
          <w:top w:w="15" w:type="dxa"/>
          <w:left w:w="15" w:type="dxa"/>
          <w:bottom w:w="15" w:type="dxa"/>
          <w:right w:w="15" w:type="dxa"/>
        </w:tblCellMar>
        <w:tblLook w:val="0000" w:firstRow="0" w:lastRow="0" w:firstColumn="0" w:lastColumn="0" w:noHBand="0" w:noVBand="0"/>
      </w:tblPr>
      <w:tblGrid>
        <w:gridCol w:w="4725"/>
        <w:gridCol w:w="1006"/>
        <w:gridCol w:w="2206"/>
      </w:tblGrid>
      <w:tr w:rsidR="00011D2F" w14:paraId="296BCD61" w14:textId="2C9048B0" w:rsidTr="00FE0197">
        <w:trPr>
          <w:jc w:val="center"/>
          <w:del w:id="7085" w:author="AbbVie_HU_03" w:date="2025-05-14T15:27:00Z"/>
        </w:trPr>
        <w:tc>
          <w:tcPr>
            <w:tcW w:w="2976" w:type="pct"/>
            <w:tcBorders>
              <w:top w:val="single" w:sz="6" w:space="0" w:color="000000"/>
              <w:left w:val="nil"/>
              <w:bottom w:val="single" w:sz="6" w:space="0" w:color="000000"/>
              <w:right w:val="nil"/>
            </w:tcBorders>
          </w:tcPr>
          <w:p w14:paraId="5DFE886F" w14:textId="08F12351" w:rsidR="00EF331F" w:rsidRPr="00183B5F" w:rsidRDefault="00EF331F" w:rsidP="004062FE">
            <w:pPr>
              <w:keepNext/>
              <w:spacing w:line="240" w:lineRule="auto"/>
              <w:jc w:val="center"/>
              <w:rPr>
                <w:del w:id="7086" w:author="AbbVie_HU_03" w:date="2025-05-14T15:27:00Z"/>
                <w:rFonts w:eastAsia="Arial Unicode MS"/>
              </w:rPr>
            </w:pPr>
          </w:p>
        </w:tc>
        <w:tc>
          <w:tcPr>
            <w:tcW w:w="634" w:type="pct"/>
            <w:tcBorders>
              <w:top w:val="single" w:sz="6" w:space="0" w:color="000000"/>
              <w:left w:val="nil"/>
              <w:bottom w:val="single" w:sz="6" w:space="0" w:color="000000"/>
              <w:right w:val="nil"/>
            </w:tcBorders>
          </w:tcPr>
          <w:p w14:paraId="08C4E30B" w14:textId="332046DD" w:rsidR="00EF331F" w:rsidRPr="00183B5F" w:rsidRDefault="00943743" w:rsidP="004062FE">
            <w:pPr>
              <w:keepNext/>
              <w:spacing w:line="240" w:lineRule="auto"/>
              <w:jc w:val="center"/>
              <w:rPr>
                <w:del w:id="7087" w:author="AbbVie_HU_03" w:date="2025-05-14T15:27:00Z"/>
                <w:rFonts w:eastAsia="Arial Unicode MS"/>
              </w:rPr>
            </w:pPr>
            <w:del w:id="7088" w:author="AbbVie_HU_03" w:date="2025-05-14T15:27:00Z">
              <w:r w:rsidRPr="00183B5F">
                <w:rPr>
                  <w:rStyle w:val="bold4"/>
                  <w:rFonts w:eastAsia="Arial Unicode MS"/>
                </w:rPr>
                <w:delText>Placebo</w:delText>
              </w:r>
              <w:r w:rsidRPr="00183B5F">
                <w:rPr>
                  <w:rFonts w:eastAsia="Arial Unicode MS"/>
                </w:rPr>
                <w:br/>
              </w:r>
            </w:del>
          </w:p>
        </w:tc>
        <w:tc>
          <w:tcPr>
            <w:tcW w:w="1391" w:type="pct"/>
            <w:tcBorders>
              <w:top w:val="single" w:sz="6" w:space="0" w:color="000000"/>
              <w:left w:val="nil"/>
              <w:bottom w:val="single" w:sz="6" w:space="0" w:color="000000"/>
              <w:right w:val="nil"/>
            </w:tcBorders>
          </w:tcPr>
          <w:p w14:paraId="0446D2E0" w14:textId="515CAC2E" w:rsidR="00EF331F" w:rsidRPr="00183B5F" w:rsidRDefault="00943743" w:rsidP="004062FE">
            <w:pPr>
              <w:keepNext/>
              <w:spacing w:line="240" w:lineRule="auto"/>
              <w:jc w:val="center"/>
              <w:rPr>
                <w:del w:id="7089" w:author="AbbVie_HU_03" w:date="2025-05-14T15:27:00Z"/>
                <w:rStyle w:val="bold4"/>
                <w:rFonts w:eastAsia="Arial Unicode MS"/>
              </w:rPr>
            </w:pPr>
            <w:del w:id="7090" w:author="AbbVie_HU_03" w:date="2025-05-14T15:27:00Z">
              <w:r w:rsidRPr="00183B5F">
                <w:rPr>
                  <w:rStyle w:val="bold4"/>
                  <w:rFonts w:eastAsia="Arial Unicode MS"/>
                </w:rPr>
                <w:delText>Humira 40</w:delText>
              </w:r>
              <w:r w:rsidR="000C5AA9" w:rsidRPr="00183B5F">
                <w:rPr>
                  <w:rStyle w:val="bold4"/>
                  <w:rFonts w:eastAsia="Arial Unicode MS"/>
                </w:rPr>
                <w:delText> </w:delText>
              </w:r>
              <w:r w:rsidRPr="00183B5F">
                <w:rPr>
                  <w:rStyle w:val="bold4"/>
                  <w:rFonts w:eastAsia="Arial Unicode MS"/>
                </w:rPr>
                <w:delText xml:space="preserve">mg </w:delText>
              </w:r>
            </w:del>
          </w:p>
          <w:p w14:paraId="2C147F7E" w14:textId="2E37C513" w:rsidR="00EF331F" w:rsidRPr="00183B5F" w:rsidRDefault="00943743" w:rsidP="004062FE">
            <w:pPr>
              <w:keepNext/>
              <w:spacing w:line="240" w:lineRule="auto"/>
              <w:jc w:val="center"/>
              <w:rPr>
                <w:del w:id="7091" w:author="AbbVie_HU_03" w:date="2025-05-14T15:27:00Z"/>
                <w:rFonts w:eastAsia="Arial Unicode MS"/>
              </w:rPr>
            </w:pPr>
            <w:del w:id="7092" w:author="AbbVie_HU_03" w:date="2025-05-14T15:27:00Z">
              <w:r w:rsidRPr="00183B5F">
                <w:rPr>
                  <w:rStyle w:val="bold4"/>
                  <w:rFonts w:eastAsia="Arial Unicode MS"/>
                </w:rPr>
                <w:delText>kéthetente</w:delText>
              </w:r>
              <w:r w:rsidRPr="00183B5F">
                <w:rPr>
                  <w:rFonts w:eastAsia="Arial Unicode MS"/>
                </w:rPr>
                <w:br/>
              </w:r>
            </w:del>
          </w:p>
        </w:tc>
      </w:tr>
      <w:tr w:rsidR="00011D2F" w14:paraId="3D94B901" w14:textId="22CBE447" w:rsidTr="00FE0197">
        <w:trPr>
          <w:jc w:val="center"/>
          <w:del w:id="7093" w:author="AbbVie_HU_03" w:date="2025-05-14T15:27:00Z"/>
        </w:trPr>
        <w:tc>
          <w:tcPr>
            <w:tcW w:w="2976" w:type="pct"/>
            <w:tcBorders>
              <w:top w:val="single" w:sz="6" w:space="0" w:color="000000"/>
              <w:left w:val="nil"/>
              <w:bottom w:val="single" w:sz="6" w:space="0" w:color="000000"/>
              <w:right w:val="nil"/>
            </w:tcBorders>
          </w:tcPr>
          <w:p w14:paraId="27B2DC74" w14:textId="0131ABB3" w:rsidR="00EF331F" w:rsidRPr="00183B5F" w:rsidRDefault="00943743" w:rsidP="004062FE">
            <w:pPr>
              <w:spacing w:line="240" w:lineRule="auto"/>
              <w:rPr>
                <w:del w:id="7094" w:author="AbbVie_HU_03" w:date="2025-05-14T15:27:00Z"/>
                <w:rFonts w:eastAsia="Arial Unicode MS"/>
              </w:rPr>
            </w:pPr>
            <w:del w:id="7095" w:author="AbbVie_HU_03" w:date="2025-05-14T15:27:00Z">
              <w:r w:rsidRPr="00183B5F">
                <w:rPr>
                  <w:rFonts w:eastAsia="Arial Unicode MS"/>
                </w:rPr>
                <w:delText>52.</w:delText>
              </w:r>
              <w:r w:rsidR="00A44DB6" w:rsidRPr="00183B5F">
                <w:rPr>
                  <w:rFonts w:eastAsia="Arial Unicode MS"/>
                </w:rPr>
                <w:delText> hét</w:delText>
              </w:r>
            </w:del>
          </w:p>
        </w:tc>
        <w:tc>
          <w:tcPr>
            <w:tcW w:w="634" w:type="pct"/>
            <w:tcBorders>
              <w:top w:val="single" w:sz="6" w:space="0" w:color="000000"/>
              <w:left w:val="nil"/>
              <w:bottom w:val="single" w:sz="6" w:space="0" w:color="000000"/>
              <w:right w:val="nil"/>
            </w:tcBorders>
          </w:tcPr>
          <w:p w14:paraId="13C01C4B" w14:textId="55B8DED9" w:rsidR="00EF331F" w:rsidRPr="00183B5F" w:rsidRDefault="00943743" w:rsidP="004062FE">
            <w:pPr>
              <w:spacing w:line="240" w:lineRule="auto"/>
              <w:jc w:val="center"/>
              <w:rPr>
                <w:del w:id="7096" w:author="AbbVie_HU_03" w:date="2025-05-14T15:27:00Z"/>
                <w:rStyle w:val="bold4"/>
                <w:rFonts w:eastAsia="Arial Unicode MS"/>
              </w:rPr>
            </w:pPr>
            <w:del w:id="7097" w:author="AbbVie_HU_03" w:date="2025-05-14T15:27:00Z">
              <w:r w:rsidRPr="00183B5F">
                <w:rPr>
                  <w:rStyle w:val="bold4"/>
                  <w:rFonts w:eastAsia="Arial Unicode MS"/>
                </w:rPr>
                <w:delText>N</w:delText>
              </w:r>
              <w:r w:rsidR="003F64BC" w:rsidRPr="00183B5F">
                <w:rPr>
                  <w:rStyle w:val="bold4"/>
                  <w:rFonts w:eastAsia="Arial Unicode MS"/>
                </w:rPr>
                <w:delText> </w:delText>
              </w:r>
              <w:r w:rsidRPr="00183B5F">
                <w:rPr>
                  <w:rStyle w:val="bold4"/>
                  <w:rFonts w:eastAsia="Arial Unicode MS"/>
                </w:rPr>
                <w:delText>=</w:delText>
              </w:r>
              <w:r w:rsidR="003F64BC" w:rsidRPr="00183B5F">
                <w:rPr>
                  <w:rStyle w:val="bold4"/>
                  <w:rFonts w:eastAsia="Arial Unicode MS"/>
                </w:rPr>
                <w:delText> </w:delText>
              </w:r>
              <w:r w:rsidRPr="00183B5F">
                <w:rPr>
                  <w:rStyle w:val="bold4"/>
                  <w:rFonts w:eastAsia="Arial Unicode MS"/>
                </w:rPr>
                <w:delText>246</w:delText>
              </w:r>
            </w:del>
          </w:p>
        </w:tc>
        <w:tc>
          <w:tcPr>
            <w:tcW w:w="1391" w:type="pct"/>
            <w:tcBorders>
              <w:top w:val="single" w:sz="6" w:space="0" w:color="000000"/>
              <w:left w:val="nil"/>
              <w:bottom w:val="single" w:sz="6" w:space="0" w:color="000000"/>
              <w:right w:val="nil"/>
            </w:tcBorders>
          </w:tcPr>
          <w:p w14:paraId="4C0A2E08" w14:textId="1BAEFA7A" w:rsidR="00EF331F" w:rsidRPr="00183B5F" w:rsidRDefault="00943743" w:rsidP="004062FE">
            <w:pPr>
              <w:spacing w:line="240" w:lineRule="auto"/>
              <w:jc w:val="center"/>
              <w:rPr>
                <w:del w:id="7098" w:author="AbbVie_HU_03" w:date="2025-05-14T15:27:00Z"/>
                <w:rStyle w:val="bold4"/>
                <w:rFonts w:eastAsia="Arial Unicode MS"/>
              </w:rPr>
            </w:pPr>
            <w:del w:id="7099" w:author="AbbVie_HU_03" w:date="2025-05-14T15:27:00Z">
              <w:r w:rsidRPr="00183B5F">
                <w:rPr>
                  <w:rStyle w:val="bold4"/>
                  <w:rFonts w:eastAsia="Arial Unicode MS"/>
                </w:rPr>
                <w:delText>N</w:delText>
              </w:r>
              <w:r w:rsidR="003F64BC" w:rsidRPr="00183B5F">
                <w:rPr>
                  <w:rStyle w:val="bold4"/>
                  <w:rFonts w:eastAsia="Arial Unicode MS"/>
                </w:rPr>
                <w:delText> </w:delText>
              </w:r>
              <w:r w:rsidRPr="00183B5F">
                <w:rPr>
                  <w:rStyle w:val="bold4"/>
                  <w:rFonts w:eastAsia="Arial Unicode MS"/>
                </w:rPr>
                <w:delText>=</w:delText>
              </w:r>
              <w:r w:rsidR="003F64BC" w:rsidRPr="00183B5F">
                <w:rPr>
                  <w:rStyle w:val="bold4"/>
                  <w:rFonts w:eastAsia="Arial Unicode MS"/>
                </w:rPr>
                <w:delText> </w:delText>
              </w:r>
              <w:r w:rsidRPr="00183B5F">
                <w:rPr>
                  <w:rStyle w:val="bold4"/>
                  <w:rFonts w:eastAsia="Arial Unicode MS"/>
                </w:rPr>
                <w:delText>248</w:delText>
              </w:r>
            </w:del>
          </w:p>
        </w:tc>
      </w:tr>
      <w:tr w:rsidR="00011D2F" w14:paraId="02D4C7AB" w14:textId="160CD653" w:rsidTr="00FE0197">
        <w:trPr>
          <w:jc w:val="center"/>
          <w:del w:id="7100" w:author="AbbVie_HU_03" w:date="2025-05-14T15:27:00Z"/>
        </w:trPr>
        <w:tc>
          <w:tcPr>
            <w:tcW w:w="2976" w:type="pct"/>
            <w:tcBorders>
              <w:top w:val="nil"/>
              <w:left w:val="nil"/>
              <w:right w:val="nil"/>
            </w:tcBorders>
          </w:tcPr>
          <w:p w14:paraId="0D8A3BE0" w14:textId="6080D53E" w:rsidR="00EF331F" w:rsidRPr="00183B5F" w:rsidRDefault="00943743" w:rsidP="004062FE">
            <w:pPr>
              <w:spacing w:line="240" w:lineRule="auto"/>
              <w:rPr>
                <w:del w:id="7101" w:author="AbbVie_HU_03" w:date="2025-05-14T15:27:00Z"/>
                <w:rFonts w:eastAsia="Arial Unicode MS"/>
              </w:rPr>
            </w:pPr>
            <w:del w:id="7102" w:author="AbbVie_HU_03" w:date="2025-05-14T15:27:00Z">
              <w:r w:rsidRPr="00183B5F">
                <w:rPr>
                  <w:rFonts w:eastAsia="Arial Unicode MS"/>
                </w:rPr>
                <w:delText xml:space="preserve">  Klinikai válasz </w:delText>
              </w:r>
            </w:del>
          </w:p>
        </w:tc>
        <w:tc>
          <w:tcPr>
            <w:tcW w:w="634" w:type="pct"/>
            <w:tcBorders>
              <w:top w:val="nil"/>
              <w:left w:val="nil"/>
              <w:right w:val="nil"/>
            </w:tcBorders>
          </w:tcPr>
          <w:p w14:paraId="0B27B20E" w14:textId="0C80DFF3" w:rsidR="00EF331F" w:rsidRPr="00183B5F" w:rsidRDefault="00943743" w:rsidP="004062FE">
            <w:pPr>
              <w:spacing w:line="240" w:lineRule="auto"/>
              <w:jc w:val="center"/>
              <w:rPr>
                <w:del w:id="7103" w:author="AbbVie_HU_03" w:date="2025-05-14T15:27:00Z"/>
                <w:rFonts w:eastAsia="Arial Unicode MS"/>
              </w:rPr>
            </w:pPr>
            <w:del w:id="7104" w:author="AbbVie_HU_03" w:date="2025-05-14T15:27:00Z">
              <w:r w:rsidRPr="00183B5F">
                <w:rPr>
                  <w:rFonts w:eastAsia="Arial Unicode MS"/>
                </w:rPr>
                <w:delText xml:space="preserve">18% </w:delText>
              </w:r>
            </w:del>
          </w:p>
        </w:tc>
        <w:tc>
          <w:tcPr>
            <w:tcW w:w="1391" w:type="pct"/>
            <w:tcBorders>
              <w:top w:val="nil"/>
              <w:left w:val="nil"/>
              <w:right w:val="nil"/>
            </w:tcBorders>
          </w:tcPr>
          <w:p w14:paraId="0CE686F9" w14:textId="1EAE0BF1" w:rsidR="00EF331F" w:rsidRPr="00183B5F" w:rsidRDefault="00943743" w:rsidP="004062FE">
            <w:pPr>
              <w:spacing w:line="240" w:lineRule="auto"/>
              <w:jc w:val="center"/>
              <w:rPr>
                <w:del w:id="7105" w:author="AbbVie_HU_03" w:date="2025-05-14T15:27:00Z"/>
                <w:rFonts w:eastAsia="Arial Unicode MS"/>
              </w:rPr>
            </w:pPr>
            <w:del w:id="7106" w:author="AbbVie_HU_03" w:date="2025-05-14T15:27:00Z">
              <w:r w:rsidRPr="00183B5F">
                <w:rPr>
                  <w:rFonts w:eastAsia="Arial Unicode MS"/>
                </w:rPr>
                <w:delText xml:space="preserve">   30%*</w:delText>
              </w:r>
            </w:del>
          </w:p>
        </w:tc>
      </w:tr>
      <w:tr w:rsidR="00011D2F" w14:paraId="26972D34" w14:textId="60D42485" w:rsidTr="00FE0197">
        <w:trPr>
          <w:jc w:val="center"/>
          <w:del w:id="7107" w:author="AbbVie_HU_03" w:date="2025-05-14T15:27:00Z"/>
        </w:trPr>
        <w:tc>
          <w:tcPr>
            <w:tcW w:w="2976" w:type="pct"/>
            <w:tcBorders>
              <w:top w:val="nil"/>
              <w:left w:val="nil"/>
              <w:right w:val="nil"/>
            </w:tcBorders>
          </w:tcPr>
          <w:p w14:paraId="37FC89FE" w14:textId="22CCCC30" w:rsidR="00EF331F" w:rsidRPr="00183B5F" w:rsidRDefault="00943743" w:rsidP="004062FE">
            <w:pPr>
              <w:spacing w:line="240" w:lineRule="auto"/>
              <w:rPr>
                <w:del w:id="7108" w:author="AbbVie_HU_03" w:date="2025-05-14T15:27:00Z"/>
                <w:rFonts w:eastAsia="Arial Unicode MS"/>
              </w:rPr>
            </w:pPr>
            <w:del w:id="7109" w:author="AbbVie_HU_03" w:date="2025-05-14T15:27:00Z">
              <w:r w:rsidRPr="00183B5F">
                <w:rPr>
                  <w:rFonts w:eastAsia="Arial Unicode MS"/>
                </w:rPr>
                <w:delText xml:space="preserve">  Klinikai remisszió</w:delText>
              </w:r>
            </w:del>
          </w:p>
        </w:tc>
        <w:tc>
          <w:tcPr>
            <w:tcW w:w="634" w:type="pct"/>
            <w:tcBorders>
              <w:top w:val="nil"/>
              <w:left w:val="nil"/>
              <w:right w:val="nil"/>
            </w:tcBorders>
          </w:tcPr>
          <w:p w14:paraId="6E46A8D1" w14:textId="21A3A069" w:rsidR="00EF331F" w:rsidRPr="00183B5F" w:rsidRDefault="00943743" w:rsidP="004062FE">
            <w:pPr>
              <w:spacing w:line="240" w:lineRule="auto"/>
              <w:jc w:val="center"/>
              <w:rPr>
                <w:del w:id="7110" w:author="AbbVie_HU_03" w:date="2025-05-14T15:27:00Z"/>
                <w:rFonts w:eastAsia="Arial Unicode MS"/>
              </w:rPr>
            </w:pPr>
            <w:del w:id="7111" w:author="AbbVie_HU_03" w:date="2025-05-14T15:27:00Z">
              <w:r w:rsidRPr="00183B5F">
                <w:rPr>
                  <w:rFonts w:eastAsia="Arial Unicode MS"/>
                </w:rPr>
                <w:delText>9%</w:delText>
              </w:r>
            </w:del>
          </w:p>
        </w:tc>
        <w:tc>
          <w:tcPr>
            <w:tcW w:w="1391" w:type="pct"/>
            <w:tcBorders>
              <w:top w:val="nil"/>
              <w:left w:val="nil"/>
              <w:right w:val="nil"/>
            </w:tcBorders>
          </w:tcPr>
          <w:p w14:paraId="27C75F13" w14:textId="468B15E7" w:rsidR="00EF331F" w:rsidRPr="00183B5F" w:rsidRDefault="00943743" w:rsidP="004062FE">
            <w:pPr>
              <w:spacing w:line="240" w:lineRule="auto"/>
              <w:jc w:val="center"/>
              <w:rPr>
                <w:del w:id="7112" w:author="AbbVie_HU_03" w:date="2025-05-14T15:27:00Z"/>
                <w:rFonts w:eastAsia="Arial Unicode MS"/>
              </w:rPr>
            </w:pPr>
            <w:del w:id="7113" w:author="AbbVie_HU_03" w:date="2025-05-14T15:27:00Z">
              <w:r w:rsidRPr="00183B5F">
                <w:rPr>
                  <w:rFonts w:eastAsia="Arial Unicode MS"/>
                </w:rPr>
                <w:delText xml:space="preserve">   17%*</w:delText>
              </w:r>
            </w:del>
          </w:p>
        </w:tc>
      </w:tr>
      <w:tr w:rsidR="00011D2F" w14:paraId="6B86B8E6" w14:textId="3A97203F" w:rsidTr="00FE0197">
        <w:trPr>
          <w:jc w:val="center"/>
          <w:del w:id="7114" w:author="AbbVie_HU_03" w:date="2025-05-14T15:27:00Z"/>
        </w:trPr>
        <w:tc>
          <w:tcPr>
            <w:tcW w:w="2976" w:type="pct"/>
            <w:tcBorders>
              <w:top w:val="nil"/>
              <w:left w:val="nil"/>
              <w:right w:val="nil"/>
            </w:tcBorders>
          </w:tcPr>
          <w:p w14:paraId="10ADDA71" w14:textId="56902807" w:rsidR="00EF331F" w:rsidRPr="00183B5F" w:rsidRDefault="00943743" w:rsidP="004062FE">
            <w:pPr>
              <w:spacing w:line="240" w:lineRule="auto"/>
              <w:rPr>
                <w:del w:id="7115" w:author="AbbVie_HU_03" w:date="2025-05-14T15:27:00Z"/>
                <w:rFonts w:eastAsia="Arial Unicode MS"/>
              </w:rPr>
            </w:pPr>
            <w:del w:id="7116" w:author="AbbVie_HU_03" w:date="2025-05-14T15:27:00Z">
              <w:r w:rsidRPr="00183B5F">
                <w:rPr>
                  <w:rFonts w:eastAsia="Arial Unicode MS"/>
                </w:rPr>
                <w:delText xml:space="preserve">  Nyálkahártya gyógyulás </w:delText>
              </w:r>
            </w:del>
          </w:p>
        </w:tc>
        <w:tc>
          <w:tcPr>
            <w:tcW w:w="634" w:type="pct"/>
            <w:tcBorders>
              <w:top w:val="nil"/>
              <w:left w:val="nil"/>
              <w:right w:val="nil"/>
            </w:tcBorders>
          </w:tcPr>
          <w:p w14:paraId="78A1DD84" w14:textId="3D56A803" w:rsidR="00EF331F" w:rsidRPr="00183B5F" w:rsidRDefault="00943743" w:rsidP="004062FE">
            <w:pPr>
              <w:spacing w:line="240" w:lineRule="auto"/>
              <w:jc w:val="center"/>
              <w:rPr>
                <w:del w:id="7117" w:author="AbbVie_HU_03" w:date="2025-05-14T15:27:00Z"/>
                <w:rFonts w:eastAsia="Arial Unicode MS"/>
              </w:rPr>
            </w:pPr>
            <w:del w:id="7118" w:author="AbbVie_HU_03" w:date="2025-05-14T15:27:00Z">
              <w:r w:rsidRPr="00183B5F">
                <w:rPr>
                  <w:rFonts w:eastAsia="Arial Unicode MS"/>
                </w:rPr>
                <w:delText>15%</w:delText>
              </w:r>
            </w:del>
          </w:p>
        </w:tc>
        <w:tc>
          <w:tcPr>
            <w:tcW w:w="1391" w:type="pct"/>
            <w:tcBorders>
              <w:top w:val="nil"/>
              <w:left w:val="nil"/>
              <w:right w:val="nil"/>
            </w:tcBorders>
          </w:tcPr>
          <w:p w14:paraId="74BC0131" w14:textId="652AEB70" w:rsidR="00EF331F" w:rsidRPr="00183B5F" w:rsidRDefault="00943743" w:rsidP="004062FE">
            <w:pPr>
              <w:spacing w:line="240" w:lineRule="auto"/>
              <w:jc w:val="center"/>
              <w:rPr>
                <w:del w:id="7119" w:author="AbbVie_HU_03" w:date="2025-05-14T15:27:00Z"/>
                <w:rFonts w:eastAsia="Arial Unicode MS"/>
              </w:rPr>
            </w:pPr>
            <w:del w:id="7120" w:author="AbbVie_HU_03" w:date="2025-05-14T15:27:00Z">
              <w:r w:rsidRPr="00183B5F">
                <w:rPr>
                  <w:rFonts w:eastAsia="Arial Unicode MS"/>
                </w:rPr>
                <w:delText xml:space="preserve">   25%*</w:delText>
              </w:r>
            </w:del>
          </w:p>
        </w:tc>
      </w:tr>
      <w:tr w:rsidR="00011D2F" w14:paraId="6D74F0D8" w14:textId="56A8E204" w:rsidTr="00FE0197">
        <w:trPr>
          <w:jc w:val="center"/>
          <w:del w:id="7121" w:author="AbbVie_HU_03" w:date="2025-05-14T15:27:00Z"/>
        </w:trPr>
        <w:tc>
          <w:tcPr>
            <w:tcW w:w="2976" w:type="pct"/>
            <w:tcBorders>
              <w:top w:val="nil"/>
              <w:left w:val="nil"/>
              <w:right w:val="nil"/>
            </w:tcBorders>
          </w:tcPr>
          <w:p w14:paraId="2A703263" w14:textId="142E9DC2" w:rsidR="00EF331F" w:rsidRPr="00183B5F" w:rsidRDefault="00943743" w:rsidP="004062FE">
            <w:pPr>
              <w:spacing w:line="240" w:lineRule="auto"/>
              <w:rPr>
                <w:del w:id="7122" w:author="AbbVie_HU_03" w:date="2025-05-14T15:27:00Z"/>
                <w:rFonts w:eastAsia="Arial Unicode MS"/>
              </w:rPr>
            </w:pPr>
            <w:del w:id="7123" w:author="AbbVie_HU_03" w:date="2025-05-14T15:27:00Z">
              <w:r w:rsidRPr="00183B5F">
                <w:rPr>
                  <w:rFonts w:eastAsia="Arial Unicode MS"/>
                </w:rPr>
                <w:delText xml:space="preserve">  Szteroidmentes remisszió </w:delText>
              </w:r>
              <w:r w:rsidR="00CB30BB" w:rsidRPr="00183B5F">
                <w:rPr>
                  <w:rFonts w:eastAsia="Arial Unicode MS"/>
                </w:rPr>
                <w:delText>legalább</w:delText>
              </w:r>
              <w:r w:rsidRPr="00183B5F">
                <w:rPr>
                  <w:rFonts w:eastAsia="Arial Unicode MS"/>
                </w:rPr>
                <w:delText xml:space="preserve"> 90 napig</w:delText>
              </w:r>
              <w:r w:rsidRPr="00183B5F">
                <w:rPr>
                  <w:vertAlign w:val="superscript"/>
                </w:rPr>
                <w:delText xml:space="preserve"> a</w:delText>
              </w:r>
              <w:r w:rsidRPr="00183B5F">
                <w:rPr>
                  <w:rFonts w:eastAsia="Arial Unicode MS"/>
                </w:rPr>
                <w:delText xml:space="preserve"> </w:delText>
              </w:r>
            </w:del>
          </w:p>
        </w:tc>
        <w:tc>
          <w:tcPr>
            <w:tcW w:w="634" w:type="pct"/>
            <w:tcBorders>
              <w:top w:val="nil"/>
              <w:left w:val="nil"/>
              <w:right w:val="nil"/>
            </w:tcBorders>
          </w:tcPr>
          <w:p w14:paraId="2D49C9EC" w14:textId="1603AB70" w:rsidR="00EF331F" w:rsidRPr="00183B5F" w:rsidRDefault="00943743" w:rsidP="004062FE">
            <w:pPr>
              <w:spacing w:line="240" w:lineRule="auto"/>
              <w:jc w:val="center"/>
              <w:rPr>
                <w:del w:id="7124" w:author="AbbVie_HU_03" w:date="2025-05-14T15:27:00Z"/>
                <w:rFonts w:eastAsia="Arial Unicode MS"/>
              </w:rPr>
            </w:pPr>
            <w:del w:id="7125" w:author="AbbVie_HU_03" w:date="2025-05-14T15:27:00Z">
              <w:r w:rsidRPr="00183B5F">
                <w:rPr>
                  <w:rFonts w:eastAsia="Arial Unicode MS"/>
                </w:rPr>
                <w:delText xml:space="preserve">6% </w:delText>
              </w:r>
            </w:del>
          </w:p>
          <w:p w14:paraId="02D420EE" w14:textId="3C08AB85" w:rsidR="00EF331F" w:rsidRPr="00183B5F" w:rsidRDefault="00943743" w:rsidP="004062FE">
            <w:pPr>
              <w:spacing w:line="240" w:lineRule="auto"/>
              <w:jc w:val="center"/>
              <w:rPr>
                <w:del w:id="7126" w:author="AbbVie_HU_03" w:date="2025-05-14T15:27:00Z"/>
                <w:rFonts w:eastAsia="Arial Unicode MS"/>
              </w:rPr>
            </w:pPr>
            <w:del w:id="7127" w:author="AbbVie_HU_03" w:date="2025-05-14T15:27:00Z">
              <w:r w:rsidRPr="00183B5F">
                <w:rPr>
                  <w:rFonts w:eastAsia="Arial Unicode MS"/>
                </w:rPr>
                <w:delText>(N</w:delText>
              </w:r>
              <w:r w:rsidR="003F64BC" w:rsidRPr="00183B5F">
                <w:rPr>
                  <w:rFonts w:eastAsia="Arial Unicode MS"/>
                </w:rPr>
                <w:delText> </w:delText>
              </w:r>
              <w:r w:rsidRPr="00183B5F">
                <w:rPr>
                  <w:rFonts w:eastAsia="Arial Unicode MS"/>
                </w:rPr>
                <w:delText>=</w:delText>
              </w:r>
              <w:r w:rsidR="003F64BC" w:rsidRPr="00183B5F">
                <w:rPr>
                  <w:rFonts w:eastAsia="Arial Unicode MS"/>
                </w:rPr>
                <w:delText> </w:delText>
              </w:r>
              <w:r w:rsidRPr="00183B5F">
                <w:rPr>
                  <w:rFonts w:eastAsia="Arial Unicode MS"/>
                </w:rPr>
                <w:delText>140)</w:delText>
              </w:r>
            </w:del>
          </w:p>
        </w:tc>
        <w:tc>
          <w:tcPr>
            <w:tcW w:w="1391" w:type="pct"/>
            <w:tcBorders>
              <w:top w:val="nil"/>
              <w:left w:val="nil"/>
              <w:right w:val="nil"/>
            </w:tcBorders>
          </w:tcPr>
          <w:p w14:paraId="1EFFF4CC" w14:textId="71E0F964" w:rsidR="00EF331F" w:rsidRPr="00183B5F" w:rsidRDefault="00943743" w:rsidP="004062FE">
            <w:pPr>
              <w:spacing w:line="240" w:lineRule="auto"/>
              <w:jc w:val="center"/>
              <w:rPr>
                <w:del w:id="7128" w:author="AbbVie_HU_03" w:date="2025-05-14T15:27:00Z"/>
                <w:rFonts w:eastAsia="Arial Unicode MS"/>
              </w:rPr>
            </w:pPr>
            <w:del w:id="7129" w:author="AbbVie_HU_03" w:date="2025-05-14T15:27:00Z">
              <w:r w:rsidRPr="00183B5F">
                <w:rPr>
                  <w:rFonts w:eastAsia="Arial Unicode MS"/>
                </w:rPr>
                <w:delText xml:space="preserve">     13% *</w:delText>
              </w:r>
            </w:del>
          </w:p>
          <w:p w14:paraId="5C5F01A3" w14:textId="539CC7FB" w:rsidR="00EF331F" w:rsidRPr="00183B5F" w:rsidRDefault="00943743" w:rsidP="004062FE">
            <w:pPr>
              <w:spacing w:line="240" w:lineRule="auto"/>
              <w:jc w:val="center"/>
              <w:rPr>
                <w:del w:id="7130" w:author="AbbVie_HU_03" w:date="2025-05-14T15:27:00Z"/>
                <w:rFonts w:eastAsia="Arial Unicode MS"/>
              </w:rPr>
            </w:pPr>
            <w:del w:id="7131" w:author="AbbVie_HU_03" w:date="2025-05-14T15:27:00Z">
              <w:r w:rsidRPr="00183B5F">
                <w:rPr>
                  <w:rFonts w:eastAsia="Arial Unicode MS"/>
                </w:rPr>
                <w:delText>(N</w:delText>
              </w:r>
              <w:r w:rsidR="003F64BC" w:rsidRPr="00183B5F">
                <w:rPr>
                  <w:rFonts w:eastAsia="Arial Unicode MS"/>
                </w:rPr>
                <w:delText> </w:delText>
              </w:r>
              <w:r w:rsidRPr="00183B5F">
                <w:rPr>
                  <w:rFonts w:eastAsia="Arial Unicode MS"/>
                </w:rPr>
                <w:delText>=</w:delText>
              </w:r>
              <w:r w:rsidR="003F64BC" w:rsidRPr="00183B5F">
                <w:rPr>
                  <w:rFonts w:eastAsia="Arial Unicode MS"/>
                </w:rPr>
                <w:delText> </w:delText>
              </w:r>
              <w:r w:rsidRPr="00183B5F">
                <w:rPr>
                  <w:rFonts w:eastAsia="Arial Unicode MS"/>
                </w:rPr>
                <w:delText>150)</w:delText>
              </w:r>
            </w:del>
          </w:p>
          <w:p w14:paraId="43CEBEA7" w14:textId="40B0B8A8" w:rsidR="00EF331F" w:rsidRPr="00183B5F" w:rsidRDefault="00EF331F" w:rsidP="004062FE">
            <w:pPr>
              <w:spacing w:line="240" w:lineRule="auto"/>
              <w:rPr>
                <w:del w:id="7132" w:author="AbbVie_HU_03" w:date="2025-05-14T15:27:00Z"/>
                <w:rFonts w:eastAsia="Arial Unicode MS"/>
              </w:rPr>
            </w:pPr>
          </w:p>
        </w:tc>
      </w:tr>
      <w:tr w:rsidR="00011D2F" w14:paraId="5976E5C0" w14:textId="06A88284" w:rsidTr="00FE0197">
        <w:trPr>
          <w:jc w:val="center"/>
          <w:del w:id="7133" w:author="AbbVie_HU_03" w:date="2025-05-14T15:27:00Z"/>
        </w:trPr>
        <w:tc>
          <w:tcPr>
            <w:tcW w:w="2976" w:type="pct"/>
            <w:tcBorders>
              <w:top w:val="nil"/>
              <w:left w:val="nil"/>
              <w:right w:val="nil"/>
            </w:tcBorders>
          </w:tcPr>
          <w:p w14:paraId="3A48890D" w14:textId="25E9F679" w:rsidR="00EF331F" w:rsidRPr="00183B5F" w:rsidRDefault="00943743" w:rsidP="004062FE">
            <w:pPr>
              <w:spacing w:line="240" w:lineRule="auto"/>
              <w:rPr>
                <w:del w:id="7134" w:author="AbbVie_HU_03" w:date="2025-05-14T15:27:00Z"/>
                <w:rFonts w:eastAsia="Arial Unicode MS"/>
              </w:rPr>
            </w:pPr>
            <w:del w:id="7135" w:author="AbbVie_HU_03" w:date="2025-05-14T15:27:00Z">
              <w:r w:rsidRPr="00183B5F">
                <w:rPr>
                  <w:rFonts w:eastAsia="Arial Unicode MS"/>
                </w:rPr>
                <w:delText>8. és 52.</w:delText>
              </w:r>
              <w:r w:rsidR="00A44DB6" w:rsidRPr="00183B5F">
                <w:rPr>
                  <w:rFonts w:eastAsia="Arial Unicode MS"/>
                </w:rPr>
                <w:delText> hét</w:delText>
              </w:r>
            </w:del>
          </w:p>
        </w:tc>
        <w:tc>
          <w:tcPr>
            <w:tcW w:w="634" w:type="pct"/>
            <w:tcBorders>
              <w:top w:val="nil"/>
              <w:left w:val="nil"/>
              <w:right w:val="nil"/>
            </w:tcBorders>
          </w:tcPr>
          <w:p w14:paraId="0BBE97DC" w14:textId="1BA15142" w:rsidR="00EF331F" w:rsidRPr="00183B5F" w:rsidRDefault="00EF331F" w:rsidP="004062FE">
            <w:pPr>
              <w:spacing w:line="240" w:lineRule="auto"/>
              <w:jc w:val="center"/>
              <w:rPr>
                <w:del w:id="7136" w:author="AbbVie_HU_03" w:date="2025-05-14T15:27:00Z"/>
                <w:rFonts w:eastAsia="Arial Unicode MS"/>
              </w:rPr>
            </w:pPr>
          </w:p>
        </w:tc>
        <w:tc>
          <w:tcPr>
            <w:tcW w:w="1391" w:type="pct"/>
            <w:tcBorders>
              <w:top w:val="nil"/>
              <w:left w:val="nil"/>
              <w:right w:val="nil"/>
            </w:tcBorders>
          </w:tcPr>
          <w:p w14:paraId="29D4881F" w14:textId="16B70787" w:rsidR="00EF331F" w:rsidRPr="00183B5F" w:rsidRDefault="00EF331F" w:rsidP="004062FE">
            <w:pPr>
              <w:spacing w:line="240" w:lineRule="auto"/>
              <w:jc w:val="center"/>
              <w:rPr>
                <w:del w:id="7137" w:author="AbbVie_HU_03" w:date="2025-05-14T15:27:00Z"/>
                <w:rFonts w:eastAsia="Arial Unicode MS"/>
              </w:rPr>
            </w:pPr>
          </w:p>
        </w:tc>
      </w:tr>
      <w:tr w:rsidR="00011D2F" w14:paraId="6A534C48" w14:textId="221B3F17" w:rsidTr="00FE0197">
        <w:trPr>
          <w:jc w:val="center"/>
          <w:del w:id="7138" w:author="AbbVie_HU_03" w:date="2025-05-14T15:27:00Z"/>
        </w:trPr>
        <w:tc>
          <w:tcPr>
            <w:tcW w:w="2976" w:type="pct"/>
            <w:tcBorders>
              <w:top w:val="nil"/>
              <w:left w:val="nil"/>
              <w:right w:val="nil"/>
            </w:tcBorders>
          </w:tcPr>
          <w:p w14:paraId="4158E472" w14:textId="660FCA2D" w:rsidR="00EF331F" w:rsidRPr="00183B5F" w:rsidRDefault="00943743" w:rsidP="004062FE">
            <w:pPr>
              <w:spacing w:line="240" w:lineRule="auto"/>
              <w:rPr>
                <w:del w:id="7139" w:author="AbbVie_HU_03" w:date="2025-05-14T15:27:00Z"/>
                <w:rFonts w:eastAsia="Arial Unicode MS"/>
              </w:rPr>
            </w:pPr>
            <w:del w:id="7140" w:author="AbbVie_HU_03" w:date="2025-05-14T15:27:00Z">
              <w:r w:rsidRPr="00183B5F">
                <w:rPr>
                  <w:rFonts w:eastAsia="Arial Unicode MS"/>
                </w:rPr>
                <w:delText xml:space="preserve">  Fenntartott válasz </w:delText>
              </w:r>
            </w:del>
          </w:p>
        </w:tc>
        <w:tc>
          <w:tcPr>
            <w:tcW w:w="634" w:type="pct"/>
            <w:tcBorders>
              <w:top w:val="nil"/>
              <w:left w:val="nil"/>
              <w:right w:val="nil"/>
            </w:tcBorders>
          </w:tcPr>
          <w:p w14:paraId="0A40C042" w14:textId="5F48FB8F" w:rsidR="00EF331F" w:rsidRPr="00183B5F" w:rsidRDefault="00943743" w:rsidP="004062FE">
            <w:pPr>
              <w:spacing w:line="240" w:lineRule="auto"/>
              <w:jc w:val="center"/>
              <w:rPr>
                <w:del w:id="7141" w:author="AbbVie_HU_03" w:date="2025-05-14T15:27:00Z"/>
                <w:rFonts w:eastAsia="Arial Unicode MS"/>
              </w:rPr>
            </w:pPr>
            <w:del w:id="7142" w:author="AbbVie_HU_03" w:date="2025-05-14T15:27:00Z">
              <w:r w:rsidRPr="00183B5F">
                <w:rPr>
                  <w:rFonts w:eastAsia="Arial Unicode MS"/>
                </w:rPr>
                <w:delText>12%</w:delText>
              </w:r>
            </w:del>
          </w:p>
        </w:tc>
        <w:tc>
          <w:tcPr>
            <w:tcW w:w="1391" w:type="pct"/>
            <w:tcBorders>
              <w:top w:val="nil"/>
              <w:left w:val="nil"/>
              <w:right w:val="nil"/>
            </w:tcBorders>
          </w:tcPr>
          <w:p w14:paraId="711C6B75" w14:textId="04D608C6" w:rsidR="00EF331F" w:rsidRPr="00183B5F" w:rsidRDefault="00943743" w:rsidP="004062FE">
            <w:pPr>
              <w:spacing w:line="240" w:lineRule="auto"/>
              <w:jc w:val="center"/>
              <w:rPr>
                <w:del w:id="7143" w:author="AbbVie_HU_03" w:date="2025-05-14T15:27:00Z"/>
                <w:rFonts w:eastAsia="Arial Unicode MS"/>
              </w:rPr>
            </w:pPr>
            <w:del w:id="7144" w:author="AbbVie_HU_03" w:date="2025-05-14T15:27:00Z">
              <w:r w:rsidRPr="00183B5F">
                <w:rPr>
                  <w:rFonts w:eastAsia="Arial Unicode MS"/>
                </w:rPr>
                <w:delText xml:space="preserve">   24%**</w:delText>
              </w:r>
            </w:del>
          </w:p>
        </w:tc>
      </w:tr>
      <w:tr w:rsidR="00011D2F" w14:paraId="4F9E339E" w14:textId="616D0657" w:rsidTr="00FE0197">
        <w:trPr>
          <w:jc w:val="center"/>
          <w:del w:id="7145" w:author="AbbVie_HU_03" w:date="2025-05-14T15:27:00Z"/>
        </w:trPr>
        <w:tc>
          <w:tcPr>
            <w:tcW w:w="2976" w:type="pct"/>
            <w:tcBorders>
              <w:top w:val="nil"/>
              <w:left w:val="nil"/>
              <w:right w:val="nil"/>
            </w:tcBorders>
          </w:tcPr>
          <w:p w14:paraId="18A24BD6" w14:textId="3F077BAB" w:rsidR="00EF331F" w:rsidRPr="00183B5F" w:rsidRDefault="00943743" w:rsidP="004062FE">
            <w:pPr>
              <w:spacing w:line="240" w:lineRule="auto"/>
              <w:rPr>
                <w:del w:id="7146" w:author="AbbVie_HU_03" w:date="2025-05-14T15:27:00Z"/>
                <w:rFonts w:eastAsia="Arial Unicode MS"/>
              </w:rPr>
            </w:pPr>
            <w:del w:id="7147" w:author="AbbVie_HU_03" w:date="2025-05-14T15:27:00Z">
              <w:r w:rsidRPr="00183B5F">
                <w:rPr>
                  <w:rFonts w:eastAsia="Arial Unicode MS"/>
                </w:rPr>
                <w:delText xml:space="preserve">  Fenntartott remisszió </w:delText>
              </w:r>
            </w:del>
          </w:p>
        </w:tc>
        <w:tc>
          <w:tcPr>
            <w:tcW w:w="634" w:type="pct"/>
            <w:tcBorders>
              <w:top w:val="nil"/>
              <w:left w:val="nil"/>
              <w:right w:val="nil"/>
            </w:tcBorders>
          </w:tcPr>
          <w:p w14:paraId="254416E1" w14:textId="739710A5" w:rsidR="00EF331F" w:rsidRPr="00183B5F" w:rsidRDefault="00943743" w:rsidP="004062FE">
            <w:pPr>
              <w:spacing w:line="240" w:lineRule="auto"/>
              <w:jc w:val="center"/>
              <w:rPr>
                <w:del w:id="7148" w:author="AbbVie_HU_03" w:date="2025-05-14T15:27:00Z"/>
                <w:rFonts w:eastAsia="Arial Unicode MS"/>
              </w:rPr>
            </w:pPr>
            <w:del w:id="7149" w:author="AbbVie_HU_03" w:date="2025-05-14T15:27:00Z">
              <w:r w:rsidRPr="00183B5F">
                <w:rPr>
                  <w:rFonts w:eastAsia="Arial Unicode MS"/>
                </w:rPr>
                <w:delText>4%</w:delText>
              </w:r>
            </w:del>
          </w:p>
        </w:tc>
        <w:tc>
          <w:tcPr>
            <w:tcW w:w="1391" w:type="pct"/>
            <w:tcBorders>
              <w:top w:val="nil"/>
              <w:left w:val="nil"/>
              <w:right w:val="nil"/>
            </w:tcBorders>
          </w:tcPr>
          <w:p w14:paraId="402E69D0" w14:textId="458A3055" w:rsidR="00EF331F" w:rsidRPr="00183B5F" w:rsidRDefault="00943743" w:rsidP="004062FE">
            <w:pPr>
              <w:spacing w:line="240" w:lineRule="auto"/>
              <w:jc w:val="center"/>
              <w:rPr>
                <w:del w:id="7150" w:author="AbbVie_HU_03" w:date="2025-05-14T15:27:00Z"/>
                <w:rFonts w:eastAsia="Arial Unicode MS"/>
              </w:rPr>
            </w:pPr>
            <w:del w:id="7151" w:author="AbbVie_HU_03" w:date="2025-05-14T15:27:00Z">
              <w:r w:rsidRPr="00183B5F">
                <w:rPr>
                  <w:rFonts w:eastAsia="Arial Unicode MS"/>
                </w:rPr>
                <w:delText xml:space="preserve">   8%*</w:delText>
              </w:r>
            </w:del>
          </w:p>
        </w:tc>
      </w:tr>
      <w:tr w:rsidR="00011D2F" w14:paraId="1B2BEF2E" w14:textId="59A621E2" w:rsidTr="00FE0197">
        <w:trPr>
          <w:jc w:val="center"/>
          <w:del w:id="7152" w:author="AbbVie_HU_03" w:date="2025-05-14T15:27:00Z"/>
        </w:trPr>
        <w:tc>
          <w:tcPr>
            <w:tcW w:w="2976" w:type="pct"/>
            <w:tcBorders>
              <w:top w:val="nil"/>
              <w:left w:val="nil"/>
              <w:bottom w:val="single" w:sz="6" w:space="0" w:color="000000"/>
              <w:right w:val="nil"/>
            </w:tcBorders>
          </w:tcPr>
          <w:p w14:paraId="032F1330" w14:textId="464C99E4" w:rsidR="00EF331F" w:rsidRPr="00183B5F" w:rsidRDefault="00943743" w:rsidP="004062FE">
            <w:pPr>
              <w:spacing w:line="240" w:lineRule="auto"/>
              <w:rPr>
                <w:del w:id="7153" w:author="AbbVie_HU_03" w:date="2025-05-14T15:27:00Z"/>
                <w:rFonts w:eastAsia="Arial Unicode MS"/>
              </w:rPr>
            </w:pPr>
            <w:del w:id="7154" w:author="AbbVie_HU_03" w:date="2025-05-14T15:27:00Z">
              <w:r w:rsidRPr="00183B5F">
                <w:rPr>
                  <w:rFonts w:eastAsia="Arial Unicode MS"/>
                </w:rPr>
                <w:delText xml:space="preserve">  Fenntartott nyálkahártya gyógyulás </w:delText>
              </w:r>
            </w:del>
          </w:p>
        </w:tc>
        <w:tc>
          <w:tcPr>
            <w:tcW w:w="634" w:type="pct"/>
            <w:tcBorders>
              <w:top w:val="nil"/>
              <w:left w:val="nil"/>
              <w:bottom w:val="single" w:sz="6" w:space="0" w:color="000000"/>
              <w:right w:val="nil"/>
            </w:tcBorders>
          </w:tcPr>
          <w:p w14:paraId="3FFFC34C" w14:textId="59E69E12" w:rsidR="00EF331F" w:rsidRPr="00183B5F" w:rsidRDefault="00943743" w:rsidP="004062FE">
            <w:pPr>
              <w:spacing w:line="240" w:lineRule="auto"/>
              <w:jc w:val="center"/>
              <w:rPr>
                <w:del w:id="7155" w:author="AbbVie_HU_03" w:date="2025-05-14T15:27:00Z"/>
                <w:rFonts w:eastAsia="Arial Unicode MS"/>
              </w:rPr>
            </w:pPr>
            <w:del w:id="7156" w:author="AbbVie_HU_03" w:date="2025-05-14T15:27:00Z">
              <w:r w:rsidRPr="00183B5F">
                <w:rPr>
                  <w:rFonts w:eastAsia="Arial Unicode MS"/>
                </w:rPr>
                <w:delText>11%</w:delText>
              </w:r>
            </w:del>
          </w:p>
        </w:tc>
        <w:tc>
          <w:tcPr>
            <w:tcW w:w="1391" w:type="pct"/>
            <w:tcBorders>
              <w:top w:val="nil"/>
              <w:left w:val="nil"/>
              <w:bottom w:val="single" w:sz="6" w:space="0" w:color="000000"/>
              <w:right w:val="nil"/>
            </w:tcBorders>
          </w:tcPr>
          <w:p w14:paraId="51F4108E" w14:textId="7B1E6F70" w:rsidR="00EF331F" w:rsidRPr="00183B5F" w:rsidRDefault="00943743" w:rsidP="004062FE">
            <w:pPr>
              <w:spacing w:line="240" w:lineRule="auto"/>
              <w:jc w:val="center"/>
              <w:rPr>
                <w:del w:id="7157" w:author="AbbVie_HU_03" w:date="2025-05-14T15:27:00Z"/>
                <w:rFonts w:eastAsia="Arial Unicode MS"/>
              </w:rPr>
            </w:pPr>
            <w:del w:id="7158" w:author="AbbVie_HU_03" w:date="2025-05-14T15:27:00Z">
              <w:r w:rsidRPr="00183B5F">
                <w:rPr>
                  <w:rFonts w:eastAsia="Arial Unicode MS"/>
                </w:rPr>
                <w:delText xml:space="preserve">  19%*</w:delText>
              </w:r>
            </w:del>
          </w:p>
        </w:tc>
      </w:tr>
      <w:tr w:rsidR="00011D2F" w14:paraId="560B6159" w14:textId="6E9974D7" w:rsidTr="00FE0197">
        <w:trPr>
          <w:jc w:val="center"/>
          <w:del w:id="7159" w:author="AbbVie_HU_03" w:date="2025-05-14T15:27:00Z"/>
        </w:trPr>
        <w:tc>
          <w:tcPr>
            <w:tcW w:w="5000" w:type="pct"/>
            <w:gridSpan w:val="3"/>
            <w:tcBorders>
              <w:top w:val="nil"/>
              <w:left w:val="nil"/>
              <w:bottom w:val="nil"/>
              <w:right w:val="nil"/>
            </w:tcBorders>
          </w:tcPr>
          <w:p w14:paraId="7F837825" w14:textId="3D85C452" w:rsidR="00EF331F" w:rsidRPr="00183B5F" w:rsidRDefault="00943743" w:rsidP="004062FE">
            <w:pPr>
              <w:spacing w:line="240" w:lineRule="auto"/>
              <w:rPr>
                <w:del w:id="7160" w:author="AbbVie_HU_03" w:date="2025-05-14T15:27:00Z"/>
                <w:rFonts w:eastAsia="Arial Unicode MS"/>
              </w:rPr>
            </w:pPr>
            <w:del w:id="7161" w:author="AbbVie_HU_03" w:date="2025-05-14T15:27:00Z">
              <w:r w:rsidRPr="00183B5F">
                <w:rPr>
                  <w:rFonts w:eastAsia="Arial Unicode MS"/>
                </w:rPr>
                <w:delText>Klinikai remisszió: Mayo pontszám ≤</w:delText>
              </w:r>
              <w:r w:rsidR="001B6C63" w:rsidRPr="00183B5F">
                <w:rPr>
                  <w:rFonts w:eastAsia="Arial Unicode MS"/>
                </w:rPr>
                <w:delText> </w:delText>
              </w:r>
              <w:r w:rsidRPr="00183B5F">
                <w:rPr>
                  <w:rFonts w:eastAsia="Arial Unicode MS"/>
                </w:rPr>
                <w:delText>2</w:delText>
              </w:r>
              <w:r w:rsidR="006501BC" w:rsidRPr="00183B5F">
                <w:rPr>
                  <w:rFonts w:eastAsia="Arial Unicode MS"/>
                </w:rPr>
                <w:delText xml:space="preserve"> és</w:delText>
              </w:r>
              <w:r w:rsidR="003B7E38" w:rsidRPr="00183B5F">
                <w:rPr>
                  <w:rFonts w:eastAsia="Arial Unicode MS"/>
                </w:rPr>
                <w:delText xml:space="preserve"> alpontszám</w:delText>
              </w:r>
              <w:r w:rsidRPr="00183B5F">
                <w:rPr>
                  <w:rFonts w:eastAsia="Arial Unicode MS"/>
                </w:rPr>
                <w:delText xml:space="preserve"> </w:delText>
              </w:r>
              <w:r w:rsidR="00B45E1D" w:rsidRPr="00183B5F">
                <w:rPr>
                  <w:rFonts w:eastAsia="Arial Unicode MS"/>
                </w:rPr>
                <w:delText>&gt;</w:delText>
              </w:r>
              <w:r w:rsidR="001B6C63" w:rsidRPr="00183B5F">
                <w:rPr>
                  <w:rFonts w:eastAsia="Arial Unicode MS"/>
                </w:rPr>
                <w:delText> </w:delText>
              </w:r>
              <w:r w:rsidRPr="00183B5F">
                <w:rPr>
                  <w:rFonts w:eastAsia="Arial Unicode MS"/>
                </w:rPr>
                <w:delText>1;</w:delText>
              </w:r>
            </w:del>
          </w:p>
          <w:p w14:paraId="71A52BBC" w14:textId="1A3B01B0" w:rsidR="002A6452" w:rsidRPr="00183B5F" w:rsidRDefault="00943743" w:rsidP="004062FE">
            <w:pPr>
              <w:spacing w:line="240" w:lineRule="auto"/>
              <w:rPr>
                <w:del w:id="7162" w:author="AbbVie_HU_03" w:date="2025-05-14T15:27:00Z"/>
                <w:rFonts w:eastAsia="Arial Unicode MS"/>
              </w:rPr>
            </w:pPr>
            <w:del w:id="7163" w:author="AbbVie_HU_03" w:date="2025-05-14T15:27:00Z">
              <w:r w:rsidRPr="00183B5F">
                <w:rPr>
                  <w:rFonts w:eastAsia="Arial Unicode MS"/>
                </w:rPr>
                <w:delText xml:space="preserve">Klinikai válasz: a Mayo pontszám kiindulási értékéhez </w:delText>
              </w:r>
              <w:r w:rsidR="00760FCD" w:rsidRPr="00183B5F">
                <w:rPr>
                  <w:rFonts w:eastAsia="Arial Unicode MS"/>
                </w:rPr>
                <w:delText>viszonyított</w:delText>
              </w:r>
              <w:r w:rsidRPr="00183B5F">
                <w:rPr>
                  <w:rFonts w:eastAsia="Arial Unicode MS"/>
                </w:rPr>
                <w:delText xml:space="preserve"> ≥3 pont</w:delText>
              </w:r>
              <w:r w:rsidR="00FC2403" w:rsidRPr="00183B5F">
                <w:rPr>
                  <w:rFonts w:eastAsia="Arial Unicode MS"/>
                </w:rPr>
                <w:delText>os</w:delText>
              </w:r>
              <w:r w:rsidRPr="00183B5F">
                <w:rPr>
                  <w:rFonts w:eastAsia="Arial Unicode MS"/>
                </w:rPr>
                <w:delText xml:space="preserve"> és </w:delText>
              </w:r>
              <w:r w:rsidR="00760FCD" w:rsidRPr="00183B5F">
                <w:rPr>
                  <w:rFonts w:eastAsia="Arial Unicode MS"/>
                </w:rPr>
                <w:delText>≥</w:delText>
              </w:r>
              <w:r w:rsidRPr="00183B5F">
                <w:rPr>
                  <w:rFonts w:eastAsia="Arial Unicode MS"/>
                </w:rPr>
                <w:delText>30%</w:delText>
              </w:r>
              <w:r w:rsidR="00FC2403" w:rsidRPr="00183B5F">
                <w:rPr>
                  <w:rFonts w:eastAsia="Arial Unicode MS"/>
                </w:rPr>
                <w:noBreakHyphen/>
                <w:delText>os</w:delText>
              </w:r>
              <w:r w:rsidRPr="00183B5F">
                <w:rPr>
                  <w:rFonts w:eastAsia="Arial Unicode MS"/>
                </w:rPr>
                <w:delText xml:space="preserve"> csökkenés</w:delText>
              </w:r>
              <w:r w:rsidR="00FC2403" w:rsidRPr="00183B5F">
                <w:rPr>
                  <w:rFonts w:eastAsia="Arial Unicode MS"/>
                </w:rPr>
                <w:delText>e,</w:delText>
              </w:r>
              <w:r w:rsidRPr="00183B5F">
                <w:rPr>
                  <w:rFonts w:eastAsia="Arial Unicode MS"/>
                </w:rPr>
                <w:delText xml:space="preserve"> és a rectalis vérzés alpontszámának [rectal bleeding subscore; RBS] ≥1 csökkenése vagy az abszolút RBS</w:delText>
              </w:r>
              <w:r w:rsidRPr="00183B5F">
                <w:rPr>
                  <w:rFonts w:eastAsia="Arial Unicode MS"/>
                </w:rPr>
                <w:noBreakHyphen/>
                <w:delText>érték 0 vagy 1;</w:delText>
              </w:r>
            </w:del>
          </w:p>
          <w:p w14:paraId="688BB4B8" w14:textId="6235AF96" w:rsidR="00EF331F" w:rsidRPr="00183B5F" w:rsidRDefault="00943743" w:rsidP="004062FE">
            <w:pPr>
              <w:spacing w:line="240" w:lineRule="auto"/>
              <w:rPr>
                <w:del w:id="7164" w:author="AbbVie_HU_03" w:date="2025-05-14T15:27:00Z"/>
                <w:rFonts w:eastAsia="Arial Unicode MS"/>
              </w:rPr>
            </w:pPr>
            <w:del w:id="7165" w:author="AbbVie_HU_03" w:date="2025-05-14T15:27:00Z">
              <w:r w:rsidRPr="00183B5F">
                <w:rPr>
                  <w:rStyle w:val="sup1"/>
                  <w:rFonts w:eastAsia="Arial Unicode MS"/>
                  <w:sz w:val="22"/>
                  <w:vertAlign w:val="superscript"/>
                </w:rPr>
                <w:delText>*</w:delText>
              </w:r>
              <w:r w:rsidRPr="00183B5F">
                <w:rPr>
                  <w:rFonts w:eastAsia="Arial Unicode MS"/>
                </w:rPr>
                <w:delText>p</w:delText>
              </w:r>
              <w:r w:rsidR="001B6C63" w:rsidRPr="00183B5F">
                <w:rPr>
                  <w:rFonts w:eastAsia="Arial Unicode MS"/>
                </w:rPr>
                <w:delText> </w:delText>
              </w:r>
              <w:r w:rsidRPr="00183B5F">
                <w:rPr>
                  <w:rFonts w:eastAsia="Arial Unicode MS"/>
                </w:rPr>
                <w:delText>&lt;</w:delText>
              </w:r>
              <w:r w:rsidR="001B6C63" w:rsidRPr="00183B5F">
                <w:rPr>
                  <w:rFonts w:eastAsia="Arial Unicode MS"/>
                </w:rPr>
                <w:delText> </w:delText>
              </w:r>
              <w:r w:rsidRPr="00183B5F">
                <w:rPr>
                  <w:rFonts w:eastAsia="Arial Unicode MS"/>
                </w:rPr>
                <w:delText>0</w:delText>
              </w:r>
              <w:r w:rsidR="00B501E3" w:rsidRPr="00183B5F">
                <w:rPr>
                  <w:rFonts w:eastAsia="Arial Unicode MS"/>
                </w:rPr>
                <w:delText>,</w:delText>
              </w:r>
              <w:r w:rsidRPr="00183B5F">
                <w:rPr>
                  <w:rFonts w:eastAsia="Arial Unicode MS"/>
                </w:rPr>
                <w:delText xml:space="preserve">05 </w:delText>
              </w:r>
              <w:r w:rsidR="006501BC" w:rsidRPr="00183B5F">
                <w:rPr>
                  <w:rFonts w:eastAsia="Arial Unicode MS"/>
                </w:rPr>
                <w:delText>Humira</w:delText>
              </w:r>
              <w:r w:rsidR="004F4F79" w:rsidRPr="00183B5F">
                <w:rPr>
                  <w:rFonts w:eastAsia="Arial Unicode MS"/>
                  <w:i/>
                </w:rPr>
                <w:noBreakHyphen/>
              </w:r>
              <w:r w:rsidR="006501BC" w:rsidRPr="00183B5F">
                <w:rPr>
                  <w:rStyle w:val="italics5"/>
                  <w:i w:val="0"/>
                </w:rPr>
                <w:delText>val</w:delText>
              </w:r>
              <w:r w:rsidR="006501BC" w:rsidRPr="00183B5F">
                <w:rPr>
                  <w:rStyle w:val="italics5"/>
                  <w:rFonts w:eastAsia="Arial Unicode MS"/>
                  <w:i w:val="0"/>
                </w:rPr>
                <w:delText xml:space="preserve"> versus</w:delText>
              </w:r>
              <w:r w:rsidR="006501BC" w:rsidRPr="00183B5F">
                <w:rPr>
                  <w:szCs w:val="22"/>
                </w:rPr>
                <w:delText xml:space="preserve"> </w:delText>
              </w:r>
              <w:r w:rsidR="006501BC" w:rsidRPr="00183B5F">
                <w:rPr>
                  <w:rFonts w:eastAsia="Arial Unicode MS"/>
                </w:rPr>
                <w:delText>placebóval kezelt csoportokban regisztrált részarányok páronkénti összehasonlítása</w:delText>
              </w:r>
            </w:del>
          </w:p>
          <w:p w14:paraId="52A0E690" w14:textId="595D2728" w:rsidR="00EF331F" w:rsidRPr="00183B5F" w:rsidRDefault="00943743" w:rsidP="004062FE">
            <w:pPr>
              <w:spacing w:line="240" w:lineRule="auto"/>
              <w:rPr>
                <w:del w:id="7166" w:author="AbbVie_HU_03" w:date="2025-05-14T15:27:00Z"/>
                <w:rFonts w:eastAsia="Arial Unicode MS"/>
              </w:rPr>
            </w:pPr>
            <w:del w:id="7167" w:author="AbbVie_HU_03" w:date="2025-05-14T15:27:00Z">
              <w:r w:rsidRPr="00183B5F">
                <w:rPr>
                  <w:rFonts w:eastAsia="Arial Unicode MS"/>
                </w:rPr>
                <w:delText>**p</w:delText>
              </w:r>
              <w:r w:rsidR="001B6C63" w:rsidRPr="00183B5F">
                <w:rPr>
                  <w:rFonts w:eastAsia="Arial Unicode MS"/>
                </w:rPr>
                <w:delText> </w:delText>
              </w:r>
              <w:r w:rsidRPr="00183B5F">
                <w:rPr>
                  <w:rFonts w:eastAsia="Arial Unicode MS"/>
                </w:rPr>
                <w:delText>&lt;</w:delText>
              </w:r>
              <w:r w:rsidR="001B6C63" w:rsidRPr="00183B5F">
                <w:rPr>
                  <w:rFonts w:eastAsia="Arial Unicode MS"/>
                </w:rPr>
                <w:delText> </w:delText>
              </w:r>
              <w:r w:rsidRPr="00183B5F">
                <w:rPr>
                  <w:rFonts w:eastAsia="Arial Unicode MS"/>
                </w:rPr>
                <w:delText>0</w:delText>
              </w:r>
              <w:r w:rsidR="00B501E3" w:rsidRPr="00183B5F">
                <w:rPr>
                  <w:rFonts w:eastAsia="Arial Unicode MS"/>
                </w:rPr>
                <w:delText>,</w:delText>
              </w:r>
              <w:r w:rsidRPr="00183B5F">
                <w:rPr>
                  <w:rFonts w:eastAsia="Arial Unicode MS"/>
                </w:rPr>
                <w:delText xml:space="preserve">001 </w:delText>
              </w:r>
              <w:r w:rsidR="006501BC" w:rsidRPr="00183B5F">
                <w:rPr>
                  <w:rFonts w:eastAsia="Arial Unicode MS"/>
                </w:rPr>
                <w:delText>Humira</w:delText>
              </w:r>
              <w:r w:rsidR="004F4F79" w:rsidRPr="00183B5F">
                <w:rPr>
                  <w:rFonts w:eastAsia="Arial Unicode MS"/>
                </w:rPr>
                <w:noBreakHyphen/>
              </w:r>
              <w:r w:rsidR="006501BC" w:rsidRPr="00183B5F">
                <w:rPr>
                  <w:rStyle w:val="italics5"/>
                  <w:i w:val="0"/>
                </w:rPr>
                <w:delText>val</w:delText>
              </w:r>
              <w:r w:rsidR="006501BC" w:rsidRPr="00183B5F">
                <w:rPr>
                  <w:rStyle w:val="italics5"/>
                  <w:rFonts w:eastAsia="Arial Unicode MS"/>
                  <w:i w:val="0"/>
                </w:rPr>
                <w:delText xml:space="preserve"> versus</w:delText>
              </w:r>
              <w:r w:rsidR="006501BC" w:rsidRPr="00183B5F">
                <w:rPr>
                  <w:szCs w:val="22"/>
                </w:rPr>
                <w:delText xml:space="preserve"> </w:delText>
              </w:r>
              <w:r w:rsidR="006501BC" w:rsidRPr="00183B5F">
                <w:rPr>
                  <w:rFonts w:eastAsia="Arial Unicode MS"/>
                </w:rPr>
                <w:delText>placebóval kezelt csoportokban regisztrált részarányok páronkénti összehasonlítása</w:delText>
              </w:r>
            </w:del>
          </w:p>
          <w:p w14:paraId="01B9F57D" w14:textId="10783517" w:rsidR="00EF331F" w:rsidRPr="00183B5F" w:rsidRDefault="00943743" w:rsidP="004062FE">
            <w:pPr>
              <w:spacing w:line="240" w:lineRule="auto"/>
              <w:rPr>
                <w:del w:id="7168" w:author="AbbVie_HU_03" w:date="2025-05-14T15:27:00Z"/>
                <w:rFonts w:eastAsia="Arial Unicode MS"/>
                <w:b/>
              </w:rPr>
            </w:pPr>
            <w:del w:id="7169" w:author="AbbVie_HU_03" w:date="2025-05-14T15:27:00Z">
              <w:r w:rsidRPr="00183B5F">
                <w:rPr>
                  <w:vertAlign w:val="superscript"/>
                </w:rPr>
                <w:delText>a</w:delText>
              </w:r>
              <w:r w:rsidR="00030883" w:rsidRPr="00183B5F">
                <w:rPr>
                  <w:vertAlign w:val="superscript"/>
                </w:rPr>
                <w:delText> </w:delText>
              </w:r>
              <w:r w:rsidR="00030883" w:rsidRPr="00183B5F">
                <w:delText>A</w:delText>
              </w:r>
              <w:r w:rsidR="003B7E38" w:rsidRPr="00183B5F">
                <w:delText>zo</w:delText>
              </w:r>
              <w:r w:rsidR="00B501E3" w:rsidRPr="00183B5F">
                <w:delText>k közül a</w:delText>
              </w:r>
              <w:r w:rsidR="003B7E38" w:rsidRPr="00183B5F">
                <w:delText xml:space="preserve"> betegek közül, akik a </w:delText>
              </w:r>
              <w:r w:rsidR="00B501E3" w:rsidRPr="00183B5F">
                <w:delText>vizsgálat megkezdésekor</w:delText>
              </w:r>
              <w:r w:rsidR="003B7E38" w:rsidRPr="00183B5F">
                <w:delText xml:space="preserve"> kortikoszteroidot kaptak</w:delText>
              </w:r>
            </w:del>
          </w:p>
        </w:tc>
      </w:tr>
    </w:tbl>
    <w:p w14:paraId="0DA2823B" w14:textId="102452DF" w:rsidR="00EF331F" w:rsidRPr="00183B5F" w:rsidRDefault="00EF331F" w:rsidP="004062FE">
      <w:pPr>
        <w:spacing w:line="240" w:lineRule="auto"/>
        <w:rPr>
          <w:del w:id="7170" w:author="AbbVie_HU_03" w:date="2025-05-14T15:27:00Z"/>
        </w:rPr>
      </w:pPr>
    </w:p>
    <w:p w14:paraId="2E6AD552" w14:textId="55E1554B" w:rsidR="002A6452" w:rsidRPr="00183B5F" w:rsidRDefault="00943743" w:rsidP="004062FE">
      <w:pPr>
        <w:spacing w:line="240" w:lineRule="auto"/>
        <w:rPr>
          <w:del w:id="7171" w:author="AbbVie_HU_03" w:date="2025-05-14T15:27:00Z"/>
        </w:rPr>
      </w:pPr>
      <w:del w:id="7172" w:author="AbbVie_HU_03" w:date="2025-05-14T15:27:00Z">
        <w:r w:rsidRPr="00183B5F">
          <w:delText xml:space="preserve">Azok közül a betegek közül, akiknél kialakult a válasz a 8. hétig, </w:delText>
        </w:r>
        <w:r w:rsidR="007D6190" w:rsidRPr="00183B5F">
          <w:delText xml:space="preserve">az 52. hétig </w:delText>
        </w:r>
        <w:r w:rsidRPr="00183B5F">
          <w:delText>47%</w:delText>
        </w:r>
        <w:r w:rsidRPr="00183B5F">
          <w:noBreakHyphen/>
          <w:delText>nál alakult ki válasz, 29% remisszióban volt, 41%</w:delText>
        </w:r>
        <w:r w:rsidRPr="00183B5F">
          <w:noBreakHyphen/>
          <w:delText>nál tapasztaltak nyálkahártya gyógyulást</w:delText>
        </w:r>
        <w:r w:rsidR="008716B9" w:rsidRPr="00183B5F">
          <w:delText>,</w:delText>
        </w:r>
        <w:r w:rsidRPr="00183B5F">
          <w:delText xml:space="preserve"> és 20% volt legalább 90 napja szteroidmentes remisszióban.</w:delText>
        </w:r>
      </w:del>
    </w:p>
    <w:p w14:paraId="538673FE" w14:textId="409214EF" w:rsidR="002A6452" w:rsidRPr="00183B5F" w:rsidRDefault="002A6452" w:rsidP="004062FE">
      <w:pPr>
        <w:spacing w:line="240" w:lineRule="auto"/>
        <w:rPr>
          <w:del w:id="7173" w:author="AbbVie_HU_03" w:date="2025-05-14T15:27:00Z"/>
        </w:rPr>
      </w:pPr>
    </w:p>
    <w:p w14:paraId="681CC2DE" w14:textId="086D5C2E" w:rsidR="006501BC" w:rsidRPr="00183B5F" w:rsidRDefault="00943743" w:rsidP="004062FE">
      <w:pPr>
        <w:spacing w:line="240" w:lineRule="auto"/>
        <w:rPr>
          <w:del w:id="7174" w:author="AbbVie_HU_03" w:date="2025-05-14T15:27:00Z"/>
        </w:rPr>
      </w:pPr>
      <w:del w:id="7175" w:author="AbbVie_HU_03" w:date="2025-05-14T15:27:00Z">
        <w:r w:rsidRPr="00183B5F">
          <w:delText>Az UC</w:delText>
        </w:r>
        <w:r w:rsidR="004F4F79" w:rsidRPr="00183B5F">
          <w:noBreakHyphen/>
        </w:r>
        <w:r w:rsidRPr="00183B5F">
          <w:delText>II vizsgálatban résztvevő betegek kb. 40%</w:delText>
        </w:r>
        <w:r w:rsidR="004F4F79" w:rsidRPr="00183B5F">
          <w:noBreakHyphen/>
        </w:r>
        <w:r w:rsidRPr="00183B5F">
          <w:delText>ánál a korábbi TNF</w:delText>
        </w:r>
        <w:r w:rsidR="004F4F79" w:rsidRPr="00183B5F">
          <w:noBreakHyphen/>
        </w:r>
        <w:r w:rsidR="0066731A" w:rsidRPr="00183B5F">
          <w:delText>elleni</w:delText>
        </w:r>
        <w:r w:rsidRPr="00183B5F">
          <w:delText xml:space="preserve"> kezelés (infliximab) </w:delText>
        </w:r>
        <w:r w:rsidR="00E977E7" w:rsidRPr="00183B5F">
          <w:delText>eredménytelen volt</w:delText>
        </w:r>
        <w:r w:rsidRPr="00183B5F">
          <w:delText>. Ezen betegeknél az adalimumab</w:delText>
        </w:r>
        <w:r w:rsidR="006B34D6" w:rsidRPr="00183B5F">
          <w:delText>-</w:delText>
        </w:r>
        <w:r w:rsidRPr="00183B5F">
          <w:delText>kezelés kevésbé volt hatékony, mint a korábban TNF</w:delText>
        </w:r>
        <w:r w:rsidR="004F4F79" w:rsidRPr="00183B5F">
          <w:noBreakHyphen/>
        </w:r>
        <w:r w:rsidR="0066731A" w:rsidRPr="00183B5F">
          <w:delText>elleni</w:delText>
        </w:r>
        <w:r w:rsidRPr="00183B5F">
          <w:delText xml:space="preserve"> kezelésben nem részesült betegek esetében. </w:delText>
        </w:r>
        <w:r w:rsidR="00E977E7" w:rsidRPr="00183B5F">
          <w:delText>Azoknál a betegeknél, akiknél a korábbi TNF</w:delText>
        </w:r>
        <w:r w:rsidR="0066731A" w:rsidRPr="00183B5F">
          <w:noBreakHyphen/>
          <w:delText>elleni</w:delText>
        </w:r>
        <w:r w:rsidR="00E977E7" w:rsidRPr="00183B5F">
          <w:delText xml:space="preserve"> kezelés eredménytelen volt, az 52.</w:delText>
        </w:r>
        <w:r w:rsidR="00A44DB6" w:rsidRPr="00183B5F">
          <w:delText> hét</w:delText>
        </w:r>
        <w:r w:rsidR="00E977E7" w:rsidRPr="00183B5F">
          <w:delText>re a placebót kapók 3%</w:delText>
        </w:r>
        <w:r w:rsidR="004F4F79" w:rsidRPr="00183B5F">
          <w:noBreakHyphen/>
        </w:r>
        <w:r w:rsidR="00E977E7" w:rsidRPr="00183B5F">
          <w:delText>a, az adalimumab</w:delText>
        </w:r>
        <w:r w:rsidR="006B34D6" w:rsidRPr="00183B5F">
          <w:delText>-</w:delText>
        </w:r>
        <w:r w:rsidR="00E977E7" w:rsidRPr="00183B5F">
          <w:delText>kezelésben részesülők 1</w:delText>
        </w:r>
        <w:r w:rsidR="00D273AB" w:rsidRPr="00183B5F">
          <w:delText>0</w:delText>
        </w:r>
        <w:r w:rsidR="00E977E7" w:rsidRPr="00183B5F">
          <w:delText>%</w:delText>
        </w:r>
        <w:r w:rsidR="004F4F79" w:rsidRPr="00183B5F">
          <w:noBreakHyphen/>
        </w:r>
        <w:r w:rsidR="00E977E7" w:rsidRPr="00183B5F">
          <w:delText>a ért el remissziót.</w:delText>
        </w:r>
      </w:del>
    </w:p>
    <w:p w14:paraId="326CB88F" w14:textId="667600BD" w:rsidR="005575FF" w:rsidRPr="00183B5F" w:rsidRDefault="005575FF" w:rsidP="004062FE">
      <w:pPr>
        <w:spacing w:line="240" w:lineRule="auto"/>
        <w:rPr>
          <w:del w:id="7176" w:author="AbbVie_HU_03" w:date="2025-05-14T15:27:00Z"/>
        </w:rPr>
      </w:pPr>
    </w:p>
    <w:p w14:paraId="0FF10DBC" w14:textId="29FE8E18" w:rsidR="00E977E7" w:rsidRPr="00183B5F" w:rsidRDefault="00943743" w:rsidP="004062FE">
      <w:pPr>
        <w:spacing w:line="240" w:lineRule="auto"/>
        <w:rPr>
          <w:del w:id="7177" w:author="AbbVie_HU_03" w:date="2025-05-14T15:27:00Z"/>
        </w:rPr>
      </w:pPr>
      <w:del w:id="7178" w:author="AbbVie_HU_03" w:date="2025-05-14T15:27:00Z">
        <w:r w:rsidRPr="00183B5F">
          <w:delText>Az UC</w:delText>
        </w:r>
        <w:r w:rsidR="004F4F79" w:rsidRPr="00183B5F">
          <w:noBreakHyphen/>
        </w:r>
        <w:r w:rsidRPr="00183B5F">
          <w:delText xml:space="preserve">I és </w:delText>
        </w:r>
        <w:r w:rsidR="002F23AB" w:rsidRPr="00183B5F">
          <w:delText>UC</w:delText>
        </w:r>
        <w:r w:rsidR="0066731A" w:rsidRPr="00183B5F">
          <w:noBreakHyphen/>
        </w:r>
        <w:r w:rsidRPr="00183B5F">
          <w:delText xml:space="preserve">II vizsálatban résztvevő betegeknek </w:delText>
        </w:r>
        <w:r w:rsidR="00874D51" w:rsidRPr="00183B5F">
          <w:delText>lehetőségük volt átlépni</w:delText>
        </w:r>
        <w:r w:rsidRPr="00183B5F">
          <w:delText xml:space="preserve"> egy nyílt, hosszú távú, kiterjeszt</w:delText>
        </w:r>
        <w:r w:rsidR="008C1D03" w:rsidRPr="00183B5F">
          <w:delText>éses</w:delText>
        </w:r>
        <w:r w:rsidRPr="00183B5F">
          <w:delText xml:space="preserve"> vizsgálatba</w:delText>
        </w:r>
        <w:r w:rsidR="002F23AB" w:rsidRPr="00183B5F">
          <w:delText xml:space="preserve"> (UC</w:delText>
        </w:r>
        <w:r w:rsidR="002F23AB" w:rsidRPr="00183B5F">
          <w:noBreakHyphen/>
          <w:delText>III)</w:delText>
        </w:r>
        <w:r w:rsidRPr="00183B5F">
          <w:delText xml:space="preserve">. </w:delText>
        </w:r>
        <w:r w:rsidR="002F23AB" w:rsidRPr="00183B5F">
          <w:delText>Három év adalimumab</w:delText>
        </w:r>
        <w:r w:rsidR="002F23AB" w:rsidRPr="00183B5F">
          <w:noBreakHyphen/>
          <w:delText>kezelést követően a betegek 75%</w:delText>
        </w:r>
        <w:r w:rsidR="002F23AB" w:rsidRPr="00183B5F">
          <w:noBreakHyphen/>
          <w:delText>a (301/402) maradt klinikai remisszióban a részleges Mayo pontszám alapján.</w:delText>
        </w:r>
      </w:del>
    </w:p>
    <w:p w14:paraId="2DA89939" w14:textId="259E0197" w:rsidR="002F23AB" w:rsidRPr="00183B5F" w:rsidRDefault="002F23AB" w:rsidP="004062FE">
      <w:pPr>
        <w:spacing w:line="240" w:lineRule="auto"/>
        <w:rPr>
          <w:del w:id="7179" w:author="AbbVie_HU_03" w:date="2025-05-14T15:27:00Z"/>
        </w:rPr>
      </w:pPr>
    </w:p>
    <w:p w14:paraId="380AF4D4" w14:textId="29576052" w:rsidR="002F23AB" w:rsidRPr="00183B5F" w:rsidRDefault="00943743" w:rsidP="004062FE">
      <w:pPr>
        <w:spacing w:line="240" w:lineRule="auto"/>
        <w:rPr>
          <w:del w:id="7180" w:author="AbbVie_HU_03" w:date="2025-05-14T15:27:00Z"/>
          <w:i/>
          <w:u w:val="single"/>
        </w:rPr>
      </w:pPr>
      <w:del w:id="7181" w:author="AbbVie_HU_03" w:date="2025-05-14T15:27:00Z">
        <w:r w:rsidRPr="00183B5F">
          <w:rPr>
            <w:i/>
            <w:u w:val="single"/>
          </w:rPr>
          <w:delText>Hospitalizációs arányok</w:delText>
        </w:r>
      </w:del>
    </w:p>
    <w:p w14:paraId="175F29AE" w14:textId="1816FB8A" w:rsidR="00690CE3" w:rsidRPr="00183B5F" w:rsidRDefault="00690CE3" w:rsidP="004062FE">
      <w:pPr>
        <w:spacing w:line="240" w:lineRule="auto"/>
        <w:rPr>
          <w:del w:id="7182" w:author="AbbVie_HU_03" w:date="2025-05-14T15:27:00Z"/>
          <w:szCs w:val="22"/>
        </w:rPr>
      </w:pPr>
    </w:p>
    <w:p w14:paraId="38CEC8AF" w14:textId="3F39E007" w:rsidR="00512386" w:rsidRPr="00183B5F" w:rsidRDefault="00943743" w:rsidP="004062FE">
      <w:pPr>
        <w:spacing w:line="240" w:lineRule="auto"/>
        <w:rPr>
          <w:del w:id="7183" w:author="AbbVie_HU_03" w:date="2025-05-14T15:27:00Z"/>
          <w:szCs w:val="22"/>
        </w:rPr>
      </w:pPr>
      <w:del w:id="7184" w:author="AbbVie_HU_03" w:date="2025-05-14T15:27:00Z">
        <w:r w:rsidRPr="00183B5F">
          <w:rPr>
            <w:szCs w:val="22"/>
          </w:rPr>
          <w:delText>Az UC</w:delText>
        </w:r>
        <w:r w:rsidRPr="00183B5F">
          <w:rPr>
            <w:szCs w:val="22"/>
          </w:rPr>
          <w:noBreakHyphen/>
          <w:delText>I és UC</w:delText>
        </w:r>
        <w:r w:rsidRPr="00183B5F">
          <w:rPr>
            <w:szCs w:val="22"/>
          </w:rPr>
          <w:noBreakHyphen/>
          <w:delText>II vizsgálatok 52 hete alatt alacsonyabb hospitalizációs arányokat (bármely okból bekövetkező hospitalizációt és az UC</w:delText>
        </w:r>
        <w:r w:rsidRPr="00183B5F">
          <w:rPr>
            <w:szCs w:val="22"/>
          </w:rPr>
          <w:noBreakHyphen/>
          <w:delText>vel összefüggő hospitalizációt) figyeltek meg az adalimumab</w:delText>
        </w:r>
        <w:r w:rsidRPr="00183B5F">
          <w:rPr>
            <w:szCs w:val="22"/>
          </w:rPr>
          <w:noBreakHyphen/>
          <w:delText>kezelésben részesülő karon, mint a placebo</w:delText>
        </w:r>
        <w:r w:rsidRPr="00183B5F">
          <w:rPr>
            <w:szCs w:val="22"/>
          </w:rPr>
          <w:noBreakHyphen/>
          <w:delText>karon. Az adalimumab</w:delText>
        </w:r>
        <w:r w:rsidR="006B34D6" w:rsidRPr="00183B5F">
          <w:rPr>
            <w:szCs w:val="22"/>
          </w:rPr>
          <w:delText>-</w:delText>
        </w:r>
        <w:r w:rsidRPr="00183B5F">
          <w:rPr>
            <w:szCs w:val="22"/>
          </w:rPr>
          <w:delText>kezelési csoportban a bármely okból bekövetkező hospitalizáció értéke 0,18</w:delText>
        </w:r>
        <w:r w:rsidR="004F4F79" w:rsidRPr="00183B5F">
          <w:rPr>
            <w:szCs w:val="22"/>
          </w:rPr>
          <w:delText>/</w:delText>
        </w:r>
        <w:r w:rsidRPr="00183B5F">
          <w:rPr>
            <w:szCs w:val="22"/>
          </w:rPr>
          <w:delText>betegév volt, ezzel szemben a placebocsoportban 0,26</w:delText>
        </w:r>
        <w:r w:rsidR="004F4F79" w:rsidRPr="00183B5F">
          <w:rPr>
            <w:szCs w:val="22"/>
          </w:rPr>
          <w:delText>/</w:delText>
        </w:r>
        <w:r w:rsidRPr="00183B5F">
          <w:rPr>
            <w:szCs w:val="22"/>
          </w:rPr>
          <w:delText>betegév volt. Az UC</w:delText>
        </w:r>
        <w:r w:rsidRPr="00183B5F">
          <w:rPr>
            <w:szCs w:val="22"/>
          </w:rPr>
          <w:noBreakHyphen/>
          <w:delText>vel összefüggő hospitalizáció 0,12</w:delText>
        </w:r>
        <w:r w:rsidR="004F4F79" w:rsidRPr="00183B5F">
          <w:rPr>
            <w:szCs w:val="22"/>
          </w:rPr>
          <w:delText>/</w:delText>
        </w:r>
        <w:r w:rsidRPr="00183B5F">
          <w:rPr>
            <w:szCs w:val="22"/>
          </w:rPr>
          <w:delText>betegév volt az adalimumab</w:delText>
        </w:r>
        <w:r w:rsidR="006B34D6" w:rsidRPr="00183B5F">
          <w:rPr>
            <w:szCs w:val="22"/>
          </w:rPr>
          <w:delText>-</w:delText>
        </w:r>
        <w:r w:rsidRPr="00183B5F">
          <w:rPr>
            <w:szCs w:val="22"/>
          </w:rPr>
          <w:delText>kezelési csoportban</w:delText>
        </w:r>
        <w:r w:rsidR="003A1DA7" w:rsidRPr="00183B5F">
          <w:rPr>
            <w:szCs w:val="22"/>
          </w:rPr>
          <w:delText>,</w:delText>
        </w:r>
        <w:r w:rsidRPr="00183B5F">
          <w:rPr>
            <w:szCs w:val="22"/>
          </w:rPr>
          <w:delText xml:space="preserve"> és 0,22</w:delText>
        </w:r>
        <w:r w:rsidR="004F4F79" w:rsidRPr="00183B5F">
          <w:rPr>
            <w:szCs w:val="22"/>
          </w:rPr>
          <w:delText>/</w:delText>
        </w:r>
        <w:r w:rsidRPr="00183B5F">
          <w:rPr>
            <w:szCs w:val="22"/>
          </w:rPr>
          <w:delText>betegév volt placebocsoportban.</w:delText>
        </w:r>
      </w:del>
    </w:p>
    <w:p w14:paraId="6FF5BE8F" w14:textId="2A544A94" w:rsidR="00512386" w:rsidRPr="00183B5F" w:rsidRDefault="00512386" w:rsidP="004062FE">
      <w:pPr>
        <w:spacing w:line="240" w:lineRule="auto"/>
        <w:rPr>
          <w:del w:id="7185" w:author="AbbVie_HU_03" w:date="2025-05-14T15:27:00Z"/>
          <w:szCs w:val="22"/>
        </w:rPr>
      </w:pPr>
    </w:p>
    <w:p w14:paraId="419C5DC0" w14:textId="567B53B2" w:rsidR="00512386" w:rsidRPr="00183B5F" w:rsidRDefault="00943743" w:rsidP="004062FE">
      <w:pPr>
        <w:keepNext/>
        <w:spacing w:line="240" w:lineRule="auto"/>
        <w:rPr>
          <w:del w:id="7186" w:author="AbbVie_HU_03" w:date="2025-05-14T15:27:00Z"/>
          <w:i/>
          <w:szCs w:val="22"/>
          <w:u w:val="single"/>
        </w:rPr>
      </w:pPr>
      <w:del w:id="7187" w:author="AbbVie_HU_03" w:date="2025-05-14T15:27:00Z">
        <w:r w:rsidRPr="00183B5F">
          <w:rPr>
            <w:i/>
            <w:szCs w:val="22"/>
            <w:u w:val="single"/>
          </w:rPr>
          <w:delText>Életminőség</w:delText>
        </w:r>
      </w:del>
    </w:p>
    <w:p w14:paraId="26C55483" w14:textId="5446B6F1" w:rsidR="00512386" w:rsidRPr="00183B5F" w:rsidRDefault="00512386" w:rsidP="004062FE">
      <w:pPr>
        <w:keepNext/>
        <w:spacing w:line="240" w:lineRule="auto"/>
        <w:rPr>
          <w:del w:id="7188" w:author="AbbVie_HU_03" w:date="2025-05-14T15:27:00Z"/>
          <w:szCs w:val="22"/>
        </w:rPr>
      </w:pPr>
    </w:p>
    <w:p w14:paraId="7B47DD2F" w14:textId="6E522261" w:rsidR="00512386" w:rsidRPr="00183B5F" w:rsidRDefault="00943743" w:rsidP="004062FE">
      <w:pPr>
        <w:keepNext/>
        <w:spacing w:line="240" w:lineRule="auto"/>
        <w:rPr>
          <w:del w:id="7189" w:author="AbbVie_HU_03" w:date="2025-05-14T15:27:00Z"/>
          <w:szCs w:val="22"/>
        </w:rPr>
      </w:pPr>
      <w:del w:id="7190" w:author="AbbVie_HU_03" w:date="2025-05-14T15:27:00Z">
        <w:r w:rsidRPr="00183B5F">
          <w:rPr>
            <w:szCs w:val="22"/>
          </w:rPr>
          <w:delText>Az UC</w:delText>
        </w:r>
        <w:r w:rsidRPr="00183B5F">
          <w:rPr>
            <w:szCs w:val="22"/>
          </w:rPr>
          <w:noBreakHyphen/>
          <w:delText>II vizsgálatban az adalimumab</w:delText>
        </w:r>
        <w:r w:rsidRPr="00183B5F">
          <w:rPr>
            <w:szCs w:val="22"/>
          </w:rPr>
          <w:noBreakHyphen/>
          <w:delText>kezelés a Gyulladásos Bélbetegség Kérdőív (Inflammatory Bowel Disease Questionnaire; IBDQ) pontszám javulását eredményezte.</w:delText>
        </w:r>
      </w:del>
    </w:p>
    <w:p w14:paraId="0EFD4BBD" w14:textId="5FFDE0AB" w:rsidR="00180572" w:rsidRPr="00183B5F" w:rsidRDefault="00180572">
      <w:pPr>
        <w:pStyle w:val="EMEANormal"/>
        <w:keepNext/>
        <w:rPr>
          <w:del w:id="7191" w:author="AbbVie_HU_03" w:date="2025-05-14T15:27:00Z"/>
          <w:bCs/>
          <w:i/>
          <w:szCs w:val="22"/>
          <w:lang w:val="hu-HU"/>
        </w:rPr>
      </w:pPr>
    </w:p>
    <w:p w14:paraId="264F4849" w14:textId="1B3DFF63" w:rsidR="00180572" w:rsidRPr="00183B5F" w:rsidRDefault="00943743">
      <w:pPr>
        <w:pStyle w:val="EMEANormal"/>
        <w:keepNext/>
        <w:rPr>
          <w:del w:id="7192" w:author="AbbVie_HU_03" w:date="2025-05-14T15:27:00Z"/>
          <w:bCs/>
          <w:i/>
          <w:szCs w:val="22"/>
          <w:lang w:val="hu-HU"/>
        </w:rPr>
      </w:pPr>
      <w:del w:id="7193" w:author="AbbVie_HU_03" w:date="2025-05-14T15:27:00Z">
        <w:r w:rsidRPr="00183B5F">
          <w:rPr>
            <w:bCs/>
            <w:i/>
            <w:szCs w:val="22"/>
            <w:lang w:val="hu-HU"/>
          </w:rPr>
          <w:delText>Uveitis</w:delText>
        </w:r>
      </w:del>
    </w:p>
    <w:p w14:paraId="4A94DBF4" w14:textId="347B3116" w:rsidR="00180572" w:rsidRPr="00183B5F" w:rsidRDefault="00180572">
      <w:pPr>
        <w:pStyle w:val="EMEANormal"/>
        <w:keepNext/>
        <w:rPr>
          <w:del w:id="7194" w:author="AbbVie_HU_03" w:date="2025-05-14T15:27:00Z"/>
          <w:bCs/>
          <w:szCs w:val="22"/>
          <w:lang w:val="hu-HU"/>
        </w:rPr>
      </w:pPr>
    </w:p>
    <w:p w14:paraId="4BC70BC3" w14:textId="48E20A53" w:rsidR="00180572" w:rsidRPr="00183B5F" w:rsidRDefault="00943743">
      <w:pPr>
        <w:pStyle w:val="EMEANormal"/>
        <w:rPr>
          <w:del w:id="7195" w:author="AbbVie_HU_03" w:date="2025-05-14T15:27:00Z"/>
          <w:szCs w:val="22"/>
          <w:lang w:val="hu-HU"/>
        </w:rPr>
      </w:pPr>
      <w:del w:id="7196" w:author="AbbVie_HU_03" w:date="2025-05-14T15:27:00Z">
        <w:r w:rsidRPr="00183B5F">
          <w:rPr>
            <w:szCs w:val="22"/>
            <w:lang w:val="hu-HU"/>
          </w:rPr>
          <w:delText>A Humira biztonságosságát és hatásosságát nem fertőz</w:delText>
        </w:r>
        <w:r w:rsidR="00AD347E" w:rsidRPr="00183B5F">
          <w:rPr>
            <w:szCs w:val="22"/>
            <w:lang w:val="hu-HU"/>
          </w:rPr>
          <w:delText>éses</w:delText>
        </w:r>
        <w:r w:rsidRPr="00183B5F">
          <w:rPr>
            <w:szCs w:val="22"/>
            <w:lang w:val="hu-HU"/>
          </w:rPr>
          <w:delText xml:space="preserve"> eredetű, intermedier, posterior és p</w:delText>
        </w:r>
        <w:r w:rsidR="00372715" w:rsidRPr="00183B5F">
          <w:rPr>
            <w:szCs w:val="22"/>
            <w:lang w:val="hu-HU"/>
          </w:rPr>
          <w:delText>a</w:delText>
        </w:r>
        <w:r w:rsidRPr="00183B5F">
          <w:rPr>
            <w:szCs w:val="22"/>
            <w:lang w:val="hu-HU"/>
          </w:rPr>
          <w:delText>nuveitisben szenvedő felnőtt betegeknél</w:delText>
        </w:r>
        <w:r w:rsidR="000474C6" w:rsidRPr="00183B5F">
          <w:rPr>
            <w:szCs w:val="22"/>
            <w:lang w:val="hu-HU"/>
          </w:rPr>
          <w:delText xml:space="preserve"> (</w:delText>
        </w:r>
        <w:r w:rsidR="00AD347E" w:rsidRPr="00183B5F">
          <w:rPr>
            <w:szCs w:val="22"/>
            <w:lang w:val="hu-HU"/>
          </w:rPr>
          <w:delText xml:space="preserve">az </w:delText>
        </w:r>
        <w:r w:rsidR="000474C6" w:rsidRPr="00183B5F">
          <w:rPr>
            <w:szCs w:val="22"/>
            <w:lang w:val="hu-HU"/>
          </w:rPr>
          <w:delText>izolált anterior uveitisben szenvedő betegek kizárás</w:delText>
        </w:r>
        <w:r w:rsidR="00AD347E" w:rsidRPr="00183B5F">
          <w:rPr>
            <w:szCs w:val="22"/>
            <w:lang w:val="hu-HU"/>
          </w:rPr>
          <w:delText>ra kerültek</w:delText>
        </w:r>
        <w:r w:rsidR="000474C6" w:rsidRPr="00183B5F">
          <w:rPr>
            <w:szCs w:val="22"/>
            <w:lang w:val="hu-HU"/>
          </w:rPr>
          <w:delText>)</w:delText>
        </w:r>
        <w:r w:rsidRPr="00183B5F">
          <w:rPr>
            <w:szCs w:val="22"/>
            <w:lang w:val="hu-HU"/>
          </w:rPr>
          <w:delText xml:space="preserve">, két randomizált, </w:delText>
        </w:r>
        <w:r w:rsidR="00E5381A" w:rsidRPr="00183B5F">
          <w:rPr>
            <w:szCs w:val="22"/>
            <w:lang w:val="hu-HU"/>
          </w:rPr>
          <w:delText>kettős vak</w:delText>
        </w:r>
        <w:r w:rsidRPr="00183B5F">
          <w:rPr>
            <w:szCs w:val="22"/>
            <w:lang w:val="hu-HU"/>
          </w:rPr>
          <w:delText xml:space="preserve">, </w:delText>
        </w:r>
        <w:r w:rsidR="000474C6" w:rsidRPr="00183B5F">
          <w:rPr>
            <w:szCs w:val="22"/>
            <w:lang w:val="hu-HU"/>
          </w:rPr>
          <w:delText>placebokontrollos vizsgálatban (UV</w:delText>
        </w:r>
        <w:r w:rsidR="00541700" w:rsidRPr="00183B5F">
          <w:rPr>
            <w:szCs w:val="22"/>
            <w:lang w:val="hu-HU"/>
          </w:rPr>
          <w:delText xml:space="preserve"> </w:delText>
        </w:r>
        <w:r w:rsidR="000474C6" w:rsidRPr="00183B5F">
          <w:rPr>
            <w:szCs w:val="22"/>
            <w:lang w:val="hu-HU"/>
          </w:rPr>
          <w:delText xml:space="preserve">I és II) értékelték. A betegek </w:delText>
        </w:r>
        <w:r w:rsidR="00AD347E" w:rsidRPr="00183B5F">
          <w:rPr>
            <w:szCs w:val="22"/>
            <w:lang w:val="hu-HU"/>
          </w:rPr>
          <w:delText xml:space="preserve">vagy </w:delText>
        </w:r>
        <w:r w:rsidR="000474C6" w:rsidRPr="00183B5F">
          <w:rPr>
            <w:szCs w:val="22"/>
            <w:lang w:val="hu-HU"/>
          </w:rPr>
          <w:delText>placeb</w:delText>
        </w:r>
        <w:r w:rsidR="0062676F" w:rsidRPr="00183B5F">
          <w:rPr>
            <w:szCs w:val="22"/>
            <w:lang w:val="hu-HU"/>
          </w:rPr>
          <w:delText>ót</w:delText>
        </w:r>
        <w:r w:rsidR="000474C6" w:rsidRPr="00183B5F">
          <w:rPr>
            <w:szCs w:val="22"/>
            <w:lang w:val="hu-HU"/>
          </w:rPr>
          <w:delText xml:space="preserve"> vagy </w:delText>
        </w:r>
        <w:r w:rsidR="00AD347E" w:rsidRPr="00183B5F">
          <w:rPr>
            <w:szCs w:val="22"/>
            <w:lang w:val="hu-HU"/>
          </w:rPr>
          <w:delText xml:space="preserve">80 mg </w:delText>
        </w:r>
        <w:r w:rsidR="000474C6" w:rsidRPr="00183B5F">
          <w:rPr>
            <w:szCs w:val="22"/>
            <w:lang w:val="hu-HU"/>
          </w:rPr>
          <w:delText>Humira</w:delText>
        </w:r>
        <w:r w:rsidR="000474C6" w:rsidRPr="00183B5F">
          <w:rPr>
            <w:szCs w:val="22"/>
            <w:lang w:val="hu-HU"/>
          </w:rPr>
          <w:noBreakHyphen/>
          <w:delText xml:space="preserve">t kaptak kezdő dózisként, melyet a kezdő dózis beadásától számított egy hét múlva minden második héten adott 40 mg </w:delText>
        </w:r>
        <w:r w:rsidR="00AD347E" w:rsidRPr="00183B5F">
          <w:rPr>
            <w:szCs w:val="22"/>
            <w:lang w:val="hu-HU"/>
          </w:rPr>
          <w:delText xml:space="preserve">Humira </w:delText>
        </w:r>
        <w:r w:rsidR="000474C6" w:rsidRPr="00183B5F">
          <w:rPr>
            <w:szCs w:val="22"/>
            <w:lang w:val="hu-HU"/>
          </w:rPr>
          <w:delText>követett. Egy nem biológiai immunszuppressz</w:delText>
        </w:r>
        <w:r w:rsidR="00AD347E" w:rsidRPr="00183B5F">
          <w:rPr>
            <w:szCs w:val="22"/>
            <w:lang w:val="hu-HU"/>
          </w:rPr>
          <w:delText>ív szer</w:delText>
        </w:r>
        <w:r w:rsidR="000474C6" w:rsidRPr="00183B5F">
          <w:rPr>
            <w:szCs w:val="22"/>
            <w:lang w:val="hu-HU"/>
          </w:rPr>
          <w:delText xml:space="preserve"> állandó </w:delText>
        </w:r>
        <w:r w:rsidR="00AD347E" w:rsidRPr="00183B5F">
          <w:rPr>
            <w:szCs w:val="22"/>
            <w:lang w:val="hu-HU"/>
          </w:rPr>
          <w:delText>dózisban történő</w:delText>
        </w:r>
        <w:r w:rsidR="000474C6" w:rsidRPr="00183B5F">
          <w:rPr>
            <w:szCs w:val="22"/>
            <w:lang w:val="hu-HU"/>
          </w:rPr>
          <w:delText xml:space="preserve"> együtt</w:delText>
        </w:r>
        <w:r w:rsidR="00AD347E" w:rsidRPr="00183B5F">
          <w:rPr>
            <w:szCs w:val="22"/>
            <w:lang w:val="hu-HU"/>
          </w:rPr>
          <w:delText xml:space="preserve">es alkalmazása </w:delText>
        </w:r>
        <w:r w:rsidR="000474C6" w:rsidRPr="00183B5F">
          <w:rPr>
            <w:szCs w:val="22"/>
            <w:lang w:val="hu-HU"/>
          </w:rPr>
          <w:delText>megengedett volt.</w:delText>
        </w:r>
      </w:del>
    </w:p>
    <w:p w14:paraId="2E1B15CD" w14:textId="22B2F1D6" w:rsidR="000474C6" w:rsidRPr="00183B5F" w:rsidRDefault="000474C6">
      <w:pPr>
        <w:pStyle w:val="EMEANormal"/>
        <w:rPr>
          <w:del w:id="7197" w:author="AbbVie_HU_03" w:date="2025-05-14T15:27:00Z"/>
          <w:szCs w:val="22"/>
          <w:lang w:val="hu-HU"/>
        </w:rPr>
      </w:pPr>
    </w:p>
    <w:p w14:paraId="60202AC5" w14:textId="23DC690F" w:rsidR="00180572" w:rsidRPr="00183B5F" w:rsidRDefault="00943743">
      <w:pPr>
        <w:pStyle w:val="EMEANormal"/>
        <w:rPr>
          <w:del w:id="7198" w:author="AbbVie_HU_03" w:date="2025-05-14T15:27:00Z"/>
          <w:szCs w:val="22"/>
          <w:lang w:val="hu-HU"/>
        </w:rPr>
      </w:pPr>
      <w:del w:id="7199" w:author="AbbVie_HU_03" w:date="2025-05-14T15:27:00Z">
        <w:r w:rsidRPr="00183B5F">
          <w:rPr>
            <w:szCs w:val="22"/>
            <w:lang w:val="hu-HU"/>
          </w:rPr>
          <w:delText>Az UV I vizsgálatban 217</w:delText>
        </w:r>
        <w:r w:rsidR="00CC2AF2" w:rsidRPr="00183B5F">
          <w:rPr>
            <w:szCs w:val="22"/>
            <w:lang w:val="hu-HU"/>
          </w:rPr>
          <w:delText>,</w:delText>
        </w:r>
        <w:r w:rsidRPr="00183B5F">
          <w:rPr>
            <w:szCs w:val="22"/>
            <w:lang w:val="hu-HU"/>
          </w:rPr>
          <w:delText xml:space="preserve"> kortikoszteroid</w:delText>
        </w:r>
        <w:r w:rsidR="009F6211" w:rsidRPr="00183B5F">
          <w:rPr>
            <w:szCs w:val="22"/>
            <w:lang w:val="hu-HU"/>
          </w:rPr>
          <w:delText>-</w:delText>
        </w:r>
        <w:r w:rsidRPr="00183B5F">
          <w:rPr>
            <w:szCs w:val="22"/>
            <w:lang w:val="hu-HU"/>
          </w:rPr>
          <w:delText>kezelés (napi 10</w:delText>
        </w:r>
        <w:r w:rsidRPr="00183B5F">
          <w:rPr>
            <w:szCs w:val="22"/>
            <w:lang w:val="hu-HU"/>
          </w:rPr>
          <w:noBreakHyphen/>
        </w:r>
        <w:r w:rsidRPr="00183B5F">
          <w:rPr>
            <w:szCs w:val="22"/>
            <w:lang w:val="hu-HU"/>
          </w:rPr>
          <w:delText>60 mg prednizon</w:delText>
        </w:r>
        <w:r w:rsidRPr="00183B5F">
          <w:rPr>
            <w:i/>
            <w:szCs w:val="22"/>
            <w:lang w:val="hu-HU"/>
          </w:rPr>
          <w:delText xml:space="preserve"> per os</w:delText>
        </w:r>
        <w:r w:rsidRPr="00183B5F">
          <w:rPr>
            <w:szCs w:val="22"/>
            <w:lang w:val="hu-HU"/>
          </w:rPr>
          <w:delText xml:space="preserve">) ellenére aktív uveitisben szenvedő beteget értékeltek. Minden beteg két hétig napi 60 mg prednizont </w:delText>
        </w:r>
        <w:r w:rsidR="00CC2AF2" w:rsidRPr="00183B5F">
          <w:rPr>
            <w:szCs w:val="22"/>
            <w:lang w:val="hu-HU"/>
          </w:rPr>
          <w:delText>kapott a vizsgálat kezdetekor, melyet kötelező fokozatos dóziscsökkentés követett, a</w:delText>
        </w:r>
        <w:r w:rsidR="00372715" w:rsidRPr="00183B5F">
          <w:rPr>
            <w:szCs w:val="22"/>
            <w:lang w:val="hu-HU"/>
          </w:rPr>
          <w:delText>mi a</w:delText>
        </w:r>
        <w:r w:rsidR="00CC2AF2" w:rsidRPr="00183B5F">
          <w:rPr>
            <w:szCs w:val="22"/>
            <w:lang w:val="hu-HU"/>
          </w:rPr>
          <w:delText xml:space="preserve"> </w:delText>
        </w:r>
        <w:r w:rsidR="00372715" w:rsidRPr="00183B5F">
          <w:rPr>
            <w:szCs w:val="22"/>
            <w:lang w:val="hu-HU"/>
          </w:rPr>
          <w:delText>15. hétig a kortikoszteroid teljes elhagyásával fejeződött be</w:delText>
        </w:r>
        <w:r w:rsidR="00CC2AF2" w:rsidRPr="00183B5F">
          <w:rPr>
            <w:szCs w:val="22"/>
            <w:lang w:val="hu-HU"/>
          </w:rPr>
          <w:delText>.</w:delText>
        </w:r>
        <w:r w:rsidR="00372715" w:rsidRPr="00183B5F">
          <w:rPr>
            <w:szCs w:val="22"/>
            <w:lang w:val="hu-HU"/>
          </w:rPr>
          <w:delText xml:space="preserve"> </w:delText>
        </w:r>
      </w:del>
    </w:p>
    <w:p w14:paraId="4D15A47A" w14:textId="59B73598" w:rsidR="00CC2AF2" w:rsidRPr="00183B5F" w:rsidRDefault="00CC2AF2">
      <w:pPr>
        <w:pStyle w:val="EMEANormal"/>
        <w:rPr>
          <w:del w:id="7200" w:author="AbbVie_HU_03" w:date="2025-05-14T15:27:00Z"/>
          <w:szCs w:val="22"/>
          <w:lang w:val="hu-HU"/>
        </w:rPr>
      </w:pPr>
    </w:p>
    <w:p w14:paraId="5253BF26" w14:textId="66B09C9E" w:rsidR="00CC2AF2" w:rsidRPr="00183B5F" w:rsidRDefault="00943743">
      <w:pPr>
        <w:pStyle w:val="EMEANormal"/>
        <w:rPr>
          <w:del w:id="7201" w:author="AbbVie_HU_03" w:date="2025-05-14T15:27:00Z"/>
          <w:szCs w:val="22"/>
          <w:lang w:val="hu-HU"/>
        </w:rPr>
      </w:pPr>
      <w:del w:id="7202" w:author="AbbVie_HU_03" w:date="2025-05-14T15:27:00Z">
        <w:r w:rsidRPr="00183B5F">
          <w:rPr>
            <w:szCs w:val="22"/>
            <w:lang w:val="hu-HU"/>
          </w:rPr>
          <w:delText xml:space="preserve">Az UV II </w:delText>
        </w:r>
        <w:r w:rsidR="00730AFF" w:rsidRPr="00183B5F">
          <w:rPr>
            <w:szCs w:val="22"/>
            <w:lang w:val="hu-HU"/>
          </w:rPr>
          <w:delText xml:space="preserve">vizsgálatban </w:delText>
        </w:r>
        <w:r w:rsidRPr="00183B5F">
          <w:rPr>
            <w:szCs w:val="22"/>
            <w:lang w:val="hu-HU"/>
          </w:rPr>
          <w:delText>226</w:delText>
        </w:r>
        <w:r w:rsidR="00730AFF" w:rsidRPr="00183B5F">
          <w:rPr>
            <w:szCs w:val="22"/>
            <w:lang w:val="hu-HU"/>
          </w:rPr>
          <w:delText xml:space="preserve">, </w:delText>
        </w:r>
        <w:r w:rsidR="00285D3D" w:rsidRPr="00183B5F">
          <w:rPr>
            <w:szCs w:val="22"/>
            <w:lang w:val="hu-HU"/>
          </w:rPr>
          <w:delText>inaktív uveitisben szenvedő</w:delText>
        </w:r>
        <w:r w:rsidR="00DC6E72" w:rsidRPr="00183B5F">
          <w:rPr>
            <w:szCs w:val="22"/>
            <w:lang w:val="hu-HU"/>
          </w:rPr>
          <w:delText xml:space="preserve"> olyan</w:delText>
        </w:r>
        <w:r w:rsidR="00285D3D" w:rsidRPr="00183B5F">
          <w:rPr>
            <w:szCs w:val="22"/>
            <w:lang w:val="hu-HU"/>
          </w:rPr>
          <w:delText xml:space="preserve"> beteget értékeltek, akik </w:delText>
        </w:r>
        <w:r w:rsidR="00730AFF" w:rsidRPr="00183B5F">
          <w:rPr>
            <w:szCs w:val="22"/>
            <w:lang w:val="hu-HU"/>
          </w:rPr>
          <w:delText>hoss</w:delText>
        </w:r>
        <w:r w:rsidR="00285D3D" w:rsidRPr="00183B5F">
          <w:rPr>
            <w:szCs w:val="22"/>
            <w:lang w:val="hu-HU"/>
          </w:rPr>
          <w:delText>zú távú kortikoszteroid-kezelést</w:delText>
        </w:r>
        <w:r w:rsidR="00730AFF" w:rsidRPr="00183B5F">
          <w:rPr>
            <w:szCs w:val="22"/>
            <w:lang w:val="hu-HU"/>
          </w:rPr>
          <w:delText xml:space="preserve"> (napi 10</w:delText>
        </w:r>
        <w:r w:rsidR="00730AFF" w:rsidRPr="00183B5F">
          <w:rPr>
            <w:szCs w:val="22"/>
            <w:lang w:val="hu-HU"/>
          </w:rPr>
          <w:noBreakHyphen/>
          <w:delText>35 mg prednizon</w:delText>
        </w:r>
        <w:r w:rsidR="00730AFF" w:rsidRPr="00183B5F">
          <w:rPr>
            <w:i/>
            <w:szCs w:val="22"/>
            <w:lang w:val="hu-HU"/>
          </w:rPr>
          <w:delText xml:space="preserve"> per os</w:delText>
        </w:r>
        <w:r w:rsidR="00730AFF" w:rsidRPr="00183B5F">
          <w:rPr>
            <w:szCs w:val="22"/>
            <w:lang w:val="hu-HU"/>
          </w:rPr>
          <w:delText>) igény</w:delText>
        </w:r>
        <w:r w:rsidR="00285D3D" w:rsidRPr="00183B5F">
          <w:rPr>
            <w:szCs w:val="22"/>
            <w:lang w:val="hu-HU"/>
          </w:rPr>
          <w:delText xml:space="preserve">eltek a </w:delText>
        </w:r>
        <w:r w:rsidR="0062676F" w:rsidRPr="00183B5F">
          <w:rPr>
            <w:szCs w:val="22"/>
            <w:lang w:val="hu-HU"/>
          </w:rPr>
          <w:delText>vizsgálat megkezdésekor</w:delText>
        </w:r>
        <w:r w:rsidR="00285D3D" w:rsidRPr="00183B5F">
          <w:rPr>
            <w:szCs w:val="22"/>
            <w:lang w:val="hu-HU"/>
          </w:rPr>
          <w:delText xml:space="preserve"> betegségük egyensúlyban tartásához. A betegek később kötelező</w:delText>
        </w:r>
        <w:r w:rsidR="0062676F" w:rsidRPr="00183B5F">
          <w:rPr>
            <w:szCs w:val="22"/>
            <w:lang w:val="hu-HU"/>
          </w:rPr>
          <w:delText>,</w:delText>
        </w:r>
        <w:r w:rsidR="00285D3D" w:rsidRPr="00183B5F">
          <w:rPr>
            <w:szCs w:val="22"/>
            <w:lang w:val="hu-HU"/>
          </w:rPr>
          <w:delText xml:space="preserve"> fokozatos dózicsökkentésen estek át, am</w:delText>
        </w:r>
        <w:r w:rsidR="00372715" w:rsidRPr="00183B5F">
          <w:rPr>
            <w:szCs w:val="22"/>
            <w:lang w:val="hu-HU"/>
          </w:rPr>
          <w:delText>i</w:delText>
        </w:r>
        <w:r w:rsidR="00285D3D" w:rsidRPr="00183B5F">
          <w:rPr>
            <w:szCs w:val="22"/>
            <w:lang w:val="hu-HU"/>
          </w:rPr>
          <w:delText xml:space="preserve"> a </w:delText>
        </w:r>
        <w:r w:rsidR="00372715" w:rsidRPr="00183B5F">
          <w:rPr>
            <w:szCs w:val="22"/>
            <w:lang w:val="hu-HU"/>
          </w:rPr>
          <w:delText>19. hétig a kortikoszteroid teljes elhagyásával fejeződött be</w:delText>
        </w:r>
        <w:r w:rsidR="00285D3D" w:rsidRPr="00183B5F">
          <w:rPr>
            <w:szCs w:val="22"/>
            <w:lang w:val="hu-HU"/>
          </w:rPr>
          <w:delText>.</w:delText>
        </w:r>
      </w:del>
    </w:p>
    <w:p w14:paraId="71D9050B" w14:textId="207537CF" w:rsidR="00285D3D" w:rsidRPr="00183B5F" w:rsidRDefault="00285D3D">
      <w:pPr>
        <w:pStyle w:val="EMEANormal"/>
        <w:rPr>
          <w:del w:id="7203" w:author="AbbVie_HU_03" w:date="2025-05-14T15:27:00Z"/>
          <w:szCs w:val="22"/>
          <w:lang w:val="hu-HU"/>
        </w:rPr>
      </w:pPr>
    </w:p>
    <w:p w14:paraId="2DA37AF2" w14:textId="6ABC2BA9" w:rsidR="00285D3D" w:rsidRPr="00183B5F" w:rsidRDefault="00943743">
      <w:pPr>
        <w:pStyle w:val="EMEANormal"/>
        <w:rPr>
          <w:del w:id="7204" w:author="AbbVie_HU_03" w:date="2025-05-14T15:27:00Z"/>
          <w:szCs w:val="22"/>
          <w:lang w:val="hu-HU"/>
        </w:rPr>
      </w:pPr>
      <w:del w:id="7205" w:author="AbbVie_HU_03" w:date="2025-05-14T15:27:00Z">
        <w:r w:rsidRPr="00183B5F">
          <w:rPr>
            <w:szCs w:val="22"/>
            <w:lang w:val="hu-HU"/>
          </w:rPr>
          <w:delText xml:space="preserve">Az elsődleges hatásossági végpont mindkét vizsgálatban a </w:delText>
        </w:r>
        <w:r w:rsidR="0062676F" w:rsidRPr="00183B5F">
          <w:rPr>
            <w:szCs w:val="22"/>
            <w:lang w:val="hu-HU"/>
          </w:rPr>
          <w:delText>„</w:delText>
        </w:r>
        <w:r w:rsidRPr="00183B5F">
          <w:rPr>
            <w:szCs w:val="22"/>
            <w:lang w:val="hu-HU"/>
          </w:rPr>
          <w:delText>kezelés eredménytelenség</w:delText>
        </w:r>
        <w:r w:rsidR="005A1C18" w:rsidRPr="00183B5F">
          <w:rPr>
            <w:szCs w:val="22"/>
            <w:lang w:val="hu-HU"/>
          </w:rPr>
          <w:delText xml:space="preserve">éig </w:delText>
        </w:r>
        <w:r w:rsidRPr="00183B5F">
          <w:rPr>
            <w:szCs w:val="22"/>
            <w:lang w:val="hu-HU"/>
          </w:rPr>
          <w:delText>e</w:delText>
        </w:r>
        <w:r w:rsidR="005A1C18" w:rsidRPr="00183B5F">
          <w:rPr>
            <w:szCs w:val="22"/>
            <w:lang w:val="hu-HU"/>
          </w:rPr>
          <w:delText>ltelt idő</w:delText>
        </w:r>
        <w:r w:rsidRPr="00183B5F">
          <w:rPr>
            <w:szCs w:val="22"/>
            <w:lang w:val="hu-HU"/>
          </w:rPr>
          <w:delText>” vo</w:delText>
        </w:r>
        <w:r w:rsidR="00D6462E" w:rsidRPr="00183B5F">
          <w:rPr>
            <w:szCs w:val="22"/>
            <w:lang w:val="hu-HU"/>
          </w:rPr>
          <w:delText>lt. A kezelés eredménytelenség</w:delText>
        </w:r>
        <w:r w:rsidR="00372715" w:rsidRPr="00183B5F">
          <w:rPr>
            <w:szCs w:val="22"/>
            <w:lang w:val="hu-HU"/>
          </w:rPr>
          <w:delText xml:space="preserve">e definíció szerint </w:delText>
        </w:r>
        <w:r w:rsidR="00E8696F" w:rsidRPr="00183B5F">
          <w:rPr>
            <w:szCs w:val="22"/>
            <w:lang w:val="hu-HU"/>
          </w:rPr>
          <w:delText xml:space="preserve">egy </w:delText>
        </w:r>
        <w:r w:rsidR="00D6462E" w:rsidRPr="00183B5F">
          <w:rPr>
            <w:szCs w:val="22"/>
            <w:lang w:val="hu-HU"/>
          </w:rPr>
          <w:delText>több</w:delText>
        </w:r>
        <w:r w:rsidR="00E8696F" w:rsidRPr="00183B5F">
          <w:rPr>
            <w:szCs w:val="22"/>
            <w:lang w:val="hu-HU"/>
          </w:rPr>
          <w:delText>komponensű</w:delText>
        </w:r>
        <w:r w:rsidR="00D6462E" w:rsidRPr="00183B5F">
          <w:rPr>
            <w:szCs w:val="22"/>
            <w:lang w:val="hu-HU"/>
          </w:rPr>
          <w:delText xml:space="preserve"> kimenetel, mely </w:delText>
        </w:r>
        <w:r w:rsidR="00AD347E" w:rsidRPr="00183B5F">
          <w:rPr>
            <w:szCs w:val="22"/>
            <w:lang w:val="hu-HU"/>
          </w:rPr>
          <w:delText xml:space="preserve">az alábbi komponensekből tevődött össze: </w:delText>
        </w:r>
        <w:r w:rsidR="00D6462E" w:rsidRPr="00183B5F">
          <w:rPr>
            <w:szCs w:val="22"/>
            <w:lang w:val="hu-HU"/>
          </w:rPr>
          <w:delText>gyulladásos chorioretinalis és/vagy gyulladásos retinalis vascularis léziók, elülső csarnoki sejtszint</w:delText>
        </w:r>
        <w:r w:rsidR="00F97113" w:rsidRPr="00183B5F">
          <w:rPr>
            <w:szCs w:val="22"/>
            <w:lang w:val="hu-HU"/>
          </w:rPr>
          <w:delText>,</w:delText>
        </w:r>
        <w:r w:rsidR="00E8696F" w:rsidRPr="00183B5F">
          <w:rPr>
            <w:szCs w:val="22"/>
            <w:lang w:val="hu-HU"/>
          </w:rPr>
          <w:delText xml:space="preserve"> </w:delText>
        </w:r>
        <w:r w:rsidR="00F97113" w:rsidRPr="00183B5F">
          <w:rPr>
            <w:szCs w:val="22"/>
            <w:lang w:val="hu-HU"/>
          </w:rPr>
          <w:delText xml:space="preserve">üvegtesti homály </w:delText>
        </w:r>
        <w:r w:rsidR="00AD347E" w:rsidRPr="00183B5F">
          <w:rPr>
            <w:szCs w:val="22"/>
            <w:lang w:val="hu-HU"/>
          </w:rPr>
          <w:delText>mértéke</w:delText>
        </w:r>
        <w:r w:rsidR="00F97113" w:rsidRPr="00183B5F">
          <w:rPr>
            <w:szCs w:val="22"/>
            <w:lang w:val="hu-HU"/>
          </w:rPr>
          <w:delText xml:space="preserve"> és a legjobb korrigált látásélesség.</w:delText>
        </w:r>
      </w:del>
    </w:p>
    <w:p w14:paraId="73B06ACE" w14:textId="4FE3E722" w:rsidR="00CC2AF2" w:rsidRPr="00183B5F" w:rsidRDefault="00CC2AF2">
      <w:pPr>
        <w:pStyle w:val="EMEANormal"/>
        <w:rPr>
          <w:del w:id="7206" w:author="AbbVie_HU_03" w:date="2025-05-14T15:27:00Z"/>
          <w:szCs w:val="22"/>
          <w:lang w:val="hu-HU"/>
        </w:rPr>
      </w:pPr>
    </w:p>
    <w:p w14:paraId="51FE5952" w14:textId="6EFAB2BB" w:rsidR="0011114B" w:rsidRPr="00183B5F" w:rsidRDefault="00943743" w:rsidP="0011114B">
      <w:pPr>
        <w:pStyle w:val="EMEANormal"/>
        <w:rPr>
          <w:del w:id="7207" w:author="AbbVie_HU_03" w:date="2025-05-14T15:27:00Z"/>
          <w:szCs w:val="22"/>
          <w:lang w:val="hu-HU"/>
        </w:rPr>
      </w:pPr>
      <w:del w:id="7208" w:author="AbbVie_HU_03" w:date="2025-05-14T15:27:00Z">
        <w:r w:rsidRPr="00183B5F">
          <w:rPr>
            <w:szCs w:val="22"/>
            <w:lang w:val="hu-HU"/>
          </w:rPr>
          <w:delText>Az UV I és az UV II vizsgálatot befejező betegek alkalmasak voltak egy nem kontrollos, hosszú távú, kiterjesztéses vizsgálatba való beválasztásra, melyet eredetileg 78 hetesre terveztek. A betegek a 78. héten túl is kaphatták a vizsgálati gyógyszert, egészen addig, amíg jogosulttá váltak a Humira</w:delText>
        </w:r>
        <w:r w:rsidRPr="00183B5F">
          <w:rPr>
            <w:szCs w:val="22"/>
            <w:lang w:val="hu-HU"/>
          </w:rPr>
          <w:noBreakHyphen/>
          <w:delText>ellátásra.</w:delText>
        </w:r>
      </w:del>
    </w:p>
    <w:p w14:paraId="25B57BA1" w14:textId="22A79191" w:rsidR="0011114B" w:rsidRPr="00183B5F" w:rsidRDefault="0011114B">
      <w:pPr>
        <w:pStyle w:val="EMEANormal"/>
        <w:rPr>
          <w:del w:id="7209" w:author="AbbVie_HU_03" w:date="2025-05-14T15:27:00Z"/>
          <w:szCs w:val="22"/>
          <w:lang w:val="hu-HU"/>
        </w:rPr>
      </w:pPr>
    </w:p>
    <w:p w14:paraId="3E5484FD" w14:textId="316ECBD6" w:rsidR="00180572" w:rsidRPr="00183B5F" w:rsidRDefault="00943743">
      <w:pPr>
        <w:pStyle w:val="EMEANormal"/>
        <w:rPr>
          <w:del w:id="7210" w:author="AbbVie_HU_03" w:date="2025-05-14T15:27:00Z"/>
          <w:i/>
          <w:szCs w:val="22"/>
          <w:u w:val="single"/>
          <w:lang w:val="hu-HU"/>
        </w:rPr>
      </w:pPr>
      <w:del w:id="7211" w:author="AbbVie_HU_03" w:date="2025-05-14T15:27:00Z">
        <w:r w:rsidRPr="00183B5F">
          <w:rPr>
            <w:i/>
            <w:szCs w:val="22"/>
            <w:u w:val="single"/>
            <w:lang w:val="hu-HU"/>
          </w:rPr>
          <w:delText>Klinikai válasz</w:delText>
        </w:r>
      </w:del>
    </w:p>
    <w:p w14:paraId="4B7EABE9" w14:textId="028E9B73" w:rsidR="00180572" w:rsidRPr="00183B5F" w:rsidRDefault="00180572">
      <w:pPr>
        <w:pStyle w:val="EMEANormal"/>
        <w:rPr>
          <w:del w:id="7212" w:author="AbbVie_HU_03" w:date="2025-05-14T15:27:00Z"/>
          <w:i/>
          <w:szCs w:val="22"/>
          <w:u w:val="single"/>
          <w:lang w:val="hu-HU"/>
        </w:rPr>
      </w:pPr>
    </w:p>
    <w:p w14:paraId="5595E6DB" w14:textId="41FF08AD" w:rsidR="00E8696F" w:rsidRPr="00183B5F" w:rsidRDefault="00943743">
      <w:pPr>
        <w:pStyle w:val="EMEANormal"/>
        <w:rPr>
          <w:del w:id="7213" w:author="AbbVie_HU_03" w:date="2025-05-14T15:27:00Z"/>
          <w:szCs w:val="22"/>
          <w:lang w:val="hu-HU"/>
        </w:rPr>
      </w:pPr>
      <w:del w:id="7214" w:author="AbbVie_HU_03" w:date="2025-05-14T15:27:00Z">
        <w:r w:rsidRPr="00183B5F">
          <w:rPr>
            <w:szCs w:val="22"/>
            <w:lang w:val="hu-HU"/>
          </w:rPr>
          <w:delText>Mindkét vizsgálat eredményei a kezelés eredménytelenség</w:delText>
        </w:r>
        <w:r w:rsidR="006B4E55" w:rsidRPr="00183B5F">
          <w:rPr>
            <w:szCs w:val="22"/>
            <w:lang w:val="hu-HU"/>
          </w:rPr>
          <w:delText>e</w:delText>
        </w:r>
        <w:r w:rsidRPr="00183B5F">
          <w:rPr>
            <w:szCs w:val="22"/>
            <w:lang w:val="hu-HU"/>
          </w:rPr>
          <w:delText xml:space="preserve"> kockázatá</w:delText>
        </w:r>
        <w:r w:rsidR="006B4E55" w:rsidRPr="00183B5F">
          <w:rPr>
            <w:szCs w:val="22"/>
            <w:lang w:val="hu-HU"/>
          </w:rPr>
          <w:delText>nak</w:delText>
        </w:r>
        <w:r w:rsidRPr="00183B5F">
          <w:rPr>
            <w:szCs w:val="22"/>
            <w:lang w:val="hu-HU"/>
          </w:rPr>
          <w:delText xml:space="preserve"> a </w:delText>
        </w:r>
        <w:r w:rsidR="006B4E55" w:rsidRPr="00183B5F">
          <w:rPr>
            <w:szCs w:val="22"/>
            <w:lang w:val="hu-HU"/>
          </w:rPr>
          <w:delText xml:space="preserve">statisztikailag szignifikáns csökkenését igazolták a </w:delText>
        </w:r>
        <w:r w:rsidRPr="00183B5F">
          <w:rPr>
            <w:szCs w:val="22"/>
            <w:lang w:val="hu-HU"/>
          </w:rPr>
          <w:delText>Hu</w:delText>
        </w:r>
        <w:r w:rsidR="00AD347E" w:rsidRPr="00183B5F">
          <w:rPr>
            <w:szCs w:val="22"/>
            <w:lang w:val="hu-HU"/>
          </w:rPr>
          <w:delText>mira</w:delText>
        </w:r>
        <w:r w:rsidR="00AD347E" w:rsidRPr="00183B5F">
          <w:rPr>
            <w:szCs w:val="22"/>
            <w:lang w:val="hu-HU"/>
          </w:rPr>
          <w:noBreakHyphen/>
          <w:delText>val kezelt betegeknél,</w:delText>
        </w:r>
        <w:r w:rsidRPr="00183B5F">
          <w:rPr>
            <w:szCs w:val="22"/>
            <w:lang w:val="hu-HU"/>
          </w:rPr>
          <w:delText xml:space="preserve"> a placeb</w:delText>
        </w:r>
        <w:r w:rsidR="006B4E55" w:rsidRPr="00183B5F">
          <w:rPr>
            <w:szCs w:val="22"/>
            <w:lang w:val="hu-HU"/>
          </w:rPr>
          <w:delText>ó</w:delText>
        </w:r>
        <w:r w:rsidRPr="00183B5F">
          <w:rPr>
            <w:szCs w:val="22"/>
            <w:lang w:val="hu-HU"/>
          </w:rPr>
          <w:delText>val kezelt</w:delText>
        </w:r>
        <w:r w:rsidR="00AD347E" w:rsidRPr="00183B5F">
          <w:rPr>
            <w:szCs w:val="22"/>
            <w:lang w:val="hu-HU"/>
          </w:rPr>
          <w:delText xml:space="preserve"> betegekhez képest</w:delText>
        </w:r>
        <w:r w:rsidRPr="00183B5F">
          <w:rPr>
            <w:szCs w:val="22"/>
            <w:lang w:val="hu-HU"/>
          </w:rPr>
          <w:delText xml:space="preserve"> (lásd </w:delText>
        </w:r>
        <w:r w:rsidR="0039729B" w:rsidRPr="00183B5F">
          <w:rPr>
            <w:szCs w:val="22"/>
            <w:lang w:val="hu-HU"/>
          </w:rPr>
          <w:delText>24</w:delText>
        </w:r>
        <w:r w:rsidRPr="00183B5F">
          <w:rPr>
            <w:szCs w:val="22"/>
            <w:lang w:val="hu-HU"/>
          </w:rPr>
          <w:delText xml:space="preserve">. táblázat). </w:delText>
        </w:r>
        <w:r w:rsidR="00255A51" w:rsidRPr="00183B5F">
          <w:rPr>
            <w:szCs w:val="22"/>
            <w:lang w:val="hu-HU"/>
          </w:rPr>
          <w:delText>A kezelés eredménytelenségének arányát tekintve m</w:delText>
        </w:r>
        <w:r w:rsidRPr="00183B5F">
          <w:rPr>
            <w:szCs w:val="22"/>
            <w:lang w:val="hu-HU"/>
          </w:rPr>
          <w:delText xml:space="preserve">indkét vizsgálat kimutatta a Humira korai és fenntartott hatását </w:delText>
        </w:r>
        <w:r w:rsidR="00255A51" w:rsidRPr="00183B5F">
          <w:rPr>
            <w:szCs w:val="22"/>
            <w:lang w:val="hu-HU"/>
          </w:rPr>
          <w:delText>a placeb</w:delText>
        </w:r>
        <w:r w:rsidR="006B4E55" w:rsidRPr="00183B5F">
          <w:rPr>
            <w:szCs w:val="22"/>
            <w:lang w:val="hu-HU"/>
          </w:rPr>
          <w:delText>ó</w:delText>
        </w:r>
        <w:r w:rsidR="00255A51" w:rsidRPr="00183B5F">
          <w:rPr>
            <w:szCs w:val="22"/>
            <w:lang w:val="hu-HU"/>
          </w:rPr>
          <w:delText xml:space="preserve">val szemben (lásd </w:delText>
        </w:r>
        <w:r w:rsidR="00586D0B" w:rsidRPr="00183B5F">
          <w:rPr>
            <w:szCs w:val="22"/>
            <w:lang w:val="hu-HU"/>
          </w:rPr>
          <w:delText>2</w:delText>
        </w:r>
        <w:r w:rsidR="00255A51" w:rsidRPr="00183B5F">
          <w:rPr>
            <w:szCs w:val="22"/>
            <w:lang w:val="hu-HU"/>
          </w:rPr>
          <w:delText>. ábra).</w:delText>
        </w:r>
      </w:del>
    </w:p>
    <w:p w14:paraId="72C637E5" w14:textId="6FFCA492" w:rsidR="00180572" w:rsidRPr="00183B5F" w:rsidRDefault="00180572">
      <w:pPr>
        <w:pStyle w:val="EMEANormal"/>
        <w:rPr>
          <w:del w:id="7215" w:author="AbbVie_HU_03" w:date="2025-05-14T15:27:00Z"/>
          <w:b/>
          <w:szCs w:val="22"/>
          <w:lang w:val="hu-HU"/>
        </w:rPr>
      </w:pPr>
    </w:p>
    <w:p w14:paraId="395B5250" w14:textId="555C939C" w:rsidR="00180572" w:rsidRPr="00183B5F" w:rsidRDefault="00943743" w:rsidP="00FE0197">
      <w:pPr>
        <w:pStyle w:val="EMEANormal"/>
        <w:keepNext/>
        <w:jc w:val="center"/>
        <w:rPr>
          <w:del w:id="7216" w:author="AbbVie_HU_03" w:date="2025-05-14T15:27:00Z"/>
          <w:b/>
          <w:szCs w:val="22"/>
          <w:lang w:val="hu-HU"/>
        </w:rPr>
      </w:pPr>
      <w:del w:id="7217" w:author="AbbVie_HU_03" w:date="2025-05-14T15:27:00Z">
        <w:r w:rsidRPr="00183B5F">
          <w:rPr>
            <w:b/>
            <w:szCs w:val="22"/>
            <w:lang w:val="hu-HU"/>
          </w:rPr>
          <w:delText>24</w:delText>
        </w:r>
        <w:r w:rsidR="00255A51" w:rsidRPr="00183B5F">
          <w:rPr>
            <w:b/>
            <w:szCs w:val="22"/>
            <w:lang w:val="hu-HU"/>
          </w:rPr>
          <w:delText>. táblázat</w:delText>
        </w:r>
        <w:r w:rsidRPr="00183B5F">
          <w:rPr>
            <w:b/>
            <w:szCs w:val="22"/>
            <w:lang w:val="hu-HU"/>
          </w:rPr>
          <w:delText xml:space="preserve"> </w:delText>
        </w:r>
      </w:del>
    </w:p>
    <w:p w14:paraId="7F71A64B" w14:textId="4D2EB180" w:rsidR="00180572" w:rsidRPr="00183B5F" w:rsidRDefault="00943743" w:rsidP="00FE0197">
      <w:pPr>
        <w:pStyle w:val="EMEANormal"/>
        <w:keepNext/>
        <w:jc w:val="center"/>
        <w:rPr>
          <w:del w:id="7218" w:author="AbbVie_HU_03" w:date="2025-05-14T15:27:00Z"/>
          <w:b/>
          <w:szCs w:val="22"/>
          <w:lang w:val="hu-HU"/>
        </w:rPr>
      </w:pPr>
      <w:del w:id="7219" w:author="AbbVie_HU_03" w:date="2025-05-14T15:27:00Z">
        <w:r w:rsidRPr="00183B5F">
          <w:rPr>
            <w:b/>
            <w:szCs w:val="22"/>
            <w:lang w:val="hu-HU"/>
          </w:rPr>
          <w:delText>A kezelés eredménytelenségéig eltelt i</w:delText>
        </w:r>
        <w:r w:rsidR="00EA4BDC" w:rsidRPr="00183B5F">
          <w:rPr>
            <w:b/>
            <w:szCs w:val="22"/>
            <w:lang w:val="hu-HU"/>
          </w:rPr>
          <w:delText>d</w:delText>
        </w:r>
        <w:r w:rsidRPr="00183B5F">
          <w:rPr>
            <w:b/>
            <w:szCs w:val="22"/>
            <w:lang w:val="hu-HU"/>
          </w:rPr>
          <w:delText>ő az UV I és UV II vizsgálatban</w:delText>
        </w:r>
      </w:del>
    </w:p>
    <w:p w14:paraId="46058647" w14:textId="135C568A" w:rsidR="00180572" w:rsidRPr="00183B5F" w:rsidRDefault="00180572" w:rsidP="00FE0197">
      <w:pPr>
        <w:pStyle w:val="EMEANormal"/>
        <w:keepNext/>
        <w:jc w:val="center"/>
        <w:rPr>
          <w:del w:id="7220" w:author="AbbVie_HU_03" w:date="2025-05-14T15:27:00Z"/>
          <w:b/>
          <w:szCs w:val="22"/>
          <w:lang w:val="hu-HU"/>
        </w:rPr>
      </w:pPr>
    </w:p>
    <w:tbl>
      <w:tblPr>
        <w:tblW w:w="0" w:type="auto"/>
        <w:tblBorders>
          <w:top w:val="single" w:sz="4" w:space="0" w:color="auto"/>
          <w:bottom w:val="single" w:sz="4" w:space="0" w:color="auto"/>
        </w:tblBorders>
        <w:tblLook w:val="04A0" w:firstRow="1" w:lastRow="0" w:firstColumn="1" w:lastColumn="0" w:noHBand="0" w:noVBand="1"/>
      </w:tblPr>
      <w:tblGrid>
        <w:gridCol w:w="2198"/>
        <w:gridCol w:w="684"/>
        <w:gridCol w:w="1267"/>
        <w:gridCol w:w="1855"/>
        <w:gridCol w:w="946"/>
        <w:gridCol w:w="1080"/>
        <w:gridCol w:w="1041"/>
      </w:tblGrid>
      <w:tr w:rsidR="00011D2F" w14:paraId="6811D577" w14:textId="6B2A4B6E" w:rsidTr="00180572">
        <w:trPr>
          <w:del w:id="7221" w:author="AbbVie_HU_03" w:date="2025-05-14T15:27:00Z"/>
        </w:trPr>
        <w:tc>
          <w:tcPr>
            <w:tcW w:w="2268" w:type="dxa"/>
            <w:tcBorders>
              <w:top w:val="single" w:sz="4" w:space="0" w:color="auto"/>
              <w:bottom w:val="single" w:sz="4" w:space="0" w:color="auto"/>
            </w:tcBorders>
          </w:tcPr>
          <w:p w14:paraId="5CFD3585" w14:textId="77A4676E" w:rsidR="00180572" w:rsidRPr="00183B5F" w:rsidRDefault="00943743" w:rsidP="00FE0197">
            <w:pPr>
              <w:pStyle w:val="EMEANormal"/>
              <w:keepNext/>
              <w:rPr>
                <w:del w:id="7222" w:author="AbbVie_HU_03" w:date="2025-05-14T15:27:00Z"/>
                <w:b/>
                <w:szCs w:val="22"/>
                <w:lang w:val="hu-HU"/>
              </w:rPr>
            </w:pPr>
            <w:del w:id="7223" w:author="AbbVie_HU_03" w:date="2025-05-14T15:27:00Z">
              <w:r w:rsidRPr="00183B5F">
                <w:rPr>
                  <w:b/>
                  <w:szCs w:val="22"/>
                  <w:lang w:val="hu-HU"/>
                </w:rPr>
                <w:delText>Elemzés</w:delText>
              </w:r>
            </w:del>
          </w:p>
          <w:p w14:paraId="78FB2673" w14:textId="37090920" w:rsidR="00180572" w:rsidRPr="00183B5F" w:rsidRDefault="00943743" w:rsidP="00FE0197">
            <w:pPr>
              <w:pStyle w:val="EMEANormal"/>
              <w:keepNext/>
              <w:rPr>
                <w:del w:id="7224" w:author="AbbVie_HU_03" w:date="2025-05-14T15:27:00Z"/>
                <w:b/>
                <w:szCs w:val="22"/>
                <w:lang w:val="hu-HU"/>
              </w:rPr>
            </w:pPr>
            <w:del w:id="7225" w:author="AbbVie_HU_03" w:date="2025-05-14T15:27:00Z">
              <w:r w:rsidRPr="00183B5F">
                <w:rPr>
                  <w:b/>
                  <w:szCs w:val="22"/>
                  <w:lang w:val="hu-HU"/>
                </w:rPr>
                <w:tab/>
              </w:r>
              <w:r w:rsidR="00255A51" w:rsidRPr="00183B5F">
                <w:rPr>
                  <w:b/>
                  <w:szCs w:val="22"/>
                  <w:lang w:val="hu-HU"/>
                </w:rPr>
                <w:delText>Kezelés</w:delText>
              </w:r>
            </w:del>
          </w:p>
        </w:tc>
        <w:tc>
          <w:tcPr>
            <w:tcW w:w="720" w:type="dxa"/>
            <w:tcBorders>
              <w:top w:val="single" w:sz="4" w:space="0" w:color="auto"/>
              <w:bottom w:val="single" w:sz="4" w:space="0" w:color="auto"/>
            </w:tcBorders>
          </w:tcPr>
          <w:p w14:paraId="55FF02A3" w14:textId="289D1F13" w:rsidR="00180572" w:rsidRPr="00183B5F" w:rsidRDefault="00943743" w:rsidP="00FE0197">
            <w:pPr>
              <w:pStyle w:val="EMEANormal"/>
              <w:keepNext/>
              <w:rPr>
                <w:del w:id="7226" w:author="AbbVie_HU_03" w:date="2025-05-14T15:27:00Z"/>
                <w:b/>
                <w:szCs w:val="22"/>
                <w:lang w:val="hu-HU"/>
              </w:rPr>
            </w:pPr>
            <w:del w:id="7227" w:author="AbbVie_HU_03" w:date="2025-05-14T15:27:00Z">
              <w:r w:rsidRPr="00183B5F">
                <w:rPr>
                  <w:b/>
                  <w:szCs w:val="22"/>
                  <w:lang w:val="hu-HU"/>
                </w:rPr>
                <w:delText>N</w:delText>
              </w:r>
            </w:del>
          </w:p>
        </w:tc>
        <w:tc>
          <w:tcPr>
            <w:tcW w:w="1170" w:type="dxa"/>
            <w:tcBorders>
              <w:top w:val="single" w:sz="4" w:space="0" w:color="auto"/>
              <w:bottom w:val="single" w:sz="4" w:space="0" w:color="auto"/>
            </w:tcBorders>
          </w:tcPr>
          <w:p w14:paraId="3315009B" w14:textId="478C5713" w:rsidR="00180572" w:rsidRPr="00183B5F" w:rsidRDefault="00943743" w:rsidP="00FE0197">
            <w:pPr>
              <w:pStyle w:val="EMEANormal"/>
              <w:keepNext/>
              <w:rPr>
                <w:del w:id="7228" w:author="AbbVie_HU_03" w:date="2025-05-14T15:27:00Z"/>
                <w:b/>
                <w:szCs w:val="22"/>
                <w:lang w:val="hu-HU"/>
              </w:rPr>
            </w:pPr>
            <w:del w:id="7229" w:author="AbbVie_HU_03" w:date="2025-05-14T15:27:00Z">
              <w:r w:rsidRPr="00183B5F">
                <w:rPr>
                  <w:b/>
                  <w:szCs w:val="22"/>
                  <w:lang w:val="hu-HU"/>
                </w:rPr>
                <w:delText>Eredmény-telenség</w:delText>
              </w:r>
              <w:r w:rsidRPr="00183B5F">
                <w:rPr>
                  <w:b/>
                  <w:szCs w:val="22"/>
                  <w:lang w:val="hu-HU"/>
                </w:rPr>
                <w:br/>
                <w:delText>N (%)</w:delText>
              </w:r>
            </w:del>
          </w:p>
        </w:tc>
        <w:tc>
          <w:tcPr>
            <w:tcW w:w="1890" w:type="dxa"/>
            <w:tcBorders>
              <w:top w:val="single" w:sz="4" w:space="0" w:color="auto"/>
              <w:bottom w:val="single" w:sz="4" w:space="0" w:color="auto"/>
            </w:tcBorders>
          </w:tcPr>
          <w:p w14:paraId="47C50889" w14:textId="05ACFE37" w:rsidR="00180572" w:rsidRPr="00183B5F" w:rsidRDefault="00943743" w:rsidP="00FE0197">
            <w:pPr>
              <w:pStyle w:val="EMEANormal"/>
              <w:keepNext/>
              <w:rPr>
                <w:del w:id="7230" w:author="AbbVie_HU_03" w:date="2025-05-14T15:27:00Z"/>
                <w:b/>
                <w:szCs w:val="22"/>
                <w:lang w:val="hu-HU"/>
              </w:rPr>
            </w:pPr>
            <w:del w:id="7231" w:author="AbbVie_HU_03" w:date="2025-05-14T15:27:00Z">
              <w:r w:rsidRPr="00183B5F">
                <w:rPr>
                  <w:b/>
                  <w:szCs w:val="22"/>
                  <w:lang w:val="hu-HU"/>
                </w:rPr>
                <w:delText xml:space="preserve">Eredménytelen-ségig eltelt idő </w:delText>
              </w:r>
              <w:r w:rsidR="00B45E1D" w:rsidRPr="00183B5F">
                <w:rPr>
                  <w:b/>
                  <w:szCs w:val="22"/>
                  <w:lang w:val="hu-HU"/>
                </w:rPr>
                <w:delText>mediánja</w:delText>
              </w:r>
              <w:r w:rsidRPr="00183B5F">
                <w:rPr>
                  <w:b/>
                  <w:szCs w:val="22"/>
                  <w:lang w:val="hu-HU"/>
                </w:rPr>
                <w:delText xml:space="preserve"> (hónap)</w:delText>
              </w:r>
            </w:del>
          </w:p>
        </w:tc>
        <w:tc>
          <w:tcPr>
            <w:tcW w:w="720" w:type="dxa"/>
            <w:tcBorders>
              <w:top w:val="single" w:sz="4" w:space="0" w:color="auto"/>
              <w:bottom w:val="single" w:sz="4" w:space="0" w:color="auto"/>
            </w:tcBorders>
          </w:tcPr>
          <w:p w14:paraId="6CE53B85" w14:textId="3C3DF0A6" w:rsidR="00255A51" w:rsidRPr="00183B5F" w:rsidRDefault="00943743" w:rsidP="00FE0197">
            <w:pPr>
              <w:pStyle w:val="EMEANormal"/>
              <w:keepNext/>
              <w:rPr>
                <w:del w:id="7232" w:author="AbbVie_HU_03" w:date="2025-05-14T15:27:00Z"/>
                <w:b/>
                <w:szCs w:val="22"/>
                <w:lang w:val="hu-HU"/>
              </w:rPr>
            </w:pPr>
            <w:del w:id="7233" w:author="AbbVie_HU_03" w:date="2025-05-14T15:27:00Z">
              <w:r w:rsidRPr="00183B5F">
                <w:rPr>
                  <w:b/>
                  <w:szCs w:val="22"/>
                  <w:lang w:val="hu-HU"/>
                </w:rPr>
                <w:delText>Relatív</w:delText>
              </w:r>
            </w:del>
          </w:p>
          <w:p w14:paraId="31294FA9" w14:textId="7999C7ED" w:rsidR="00180572" w:rsidRPr="00183B5F" w:rsidRDefault="00943743" w:rsidP="00FE0197">
            <w:pPr>
              <w:pStyle w:val="EMEANormal"/>
              <w:keepNext/>
              <w:rPr>
                <w:del w:id="7234" w:author="AbbVie_HU_03" w:date="2025-05-14T15:27:00Z"/>
                <w:b/>
                <w:szCs w:val="22"/>
                <w:lang w:val="hu-HU"/>
              </w:rPr>
            </w:pPr>
            <w:del w:id="7235" w:author="AbbVie_HU_03" w:date="2025-05-14T15:27:00Z">
              <w:r w:rsidRPr="00183B5F">
                <w:rPr>
                  <w:b/>
                  <w:szCs w:val="22"/>
                  <w:lang w:val="hu-HU"/>
                </w:rPr>
                <w:delText>haz</w:delText>
              </w:r>
              <w:r w:rsidR="00EA4BDC" w:rsidRPr="00183B5F">
                <w:rPr>
                  <w:b/>
                  <w:szCs w:val="22"/>
                  <w:lang w:val="hu-HU"/>
                </w:rPr>
                <w:delText>á</w:delText>
              </w:r>
              <w:r w:rsidRPr="00183B5F">
                <w:rPr>
                  <w:b/>
                  <w:szCs w:val="22"/>
                  <w:lang w:val="hu-HU"/>
                </w:rPr>
                <w:delText>rd</w:delText>
              </w:r>
              <w:r w:rsidR="00EA4BDC" w:rsidRPr="00183B5F">
                <w:rPr>
                  <w:b/>
                  <w:szCs w:val="22"/>
                  <w:vertAlign w:val="superscript"/>
                  <w:lang w:val="hu-HU"/>
                </w:rPr>
                <w:delText>a</w:delText>
              </w:r>
              <w:r w:rsidRPr="00183B5F">
                <w:rPr>
                  <w:b/>
                  <w:szCs w:val="22"/>
                  <w:lang w:val="hu-HU"/>
                </w:rPr>
                <w:delText xml:space="preserve"> (HR</w:delText>
              </w:r>
              <w:r w:rsidR="00EA4BDC" w:rsidRPr="00183B5F">
                <w:rPr>
                  <w:b/>
                  <w:szCs w:val="22"/>
                  <w:lang w:val="hu-HU"/>
                </w:rPr>
                <w:delText>)</w:delText>
              </w:r>
            </w:del>
          </w:p>
        </w:tc>
        <w:tc>
          <w:tcPr>
            <w:tcW w:w="1170" w:type="dxa"/>
            <w:tcBorders>
              <w:top w:val="single" w:sz="4" w:space="0" w:color="auto"/>
              <w:bottom w:val="single" w:sz="4" w:space="0" w:color="auto"/>
            </w:tcBorders>
          </w:tcPr>
          <w:p w14:paraId="18E1C111" w14:textId="7A276613" w:rsidR="00180572" w:rsidRPr="00183B5F" w:rsidRDefault="00943743" w:rsidP="00FE0197">
            <w:pPr>
              <w:pStyle w:val="EMEANormal"/>
              <w:keepNext/>
              <w:rPr>
                <w:del w:id="7236" w:author="AbbVie_HU_03" w:date="2025-05-14T15:27:00Z"/>
                <w:b/>
                <w:szCs w:val="22"/>
                <w:lang w:val="hu-HU"/>
              </w:rPr>
            </w:pPr>
            <w:del w:id="7237" w:author="AbbVie_HU_03" w:date="2025-05-14T15:27:00Z">
              <w:r w:rsidRPr="00183B5F">
                <w:rPr>
                  <w:b/>
                  <w:szCs w:val="22"/>
                  <w:lang w:val="hu-HU"/>
                </w:rPr>
                <w:delText>HR</w:delText>
              </w:r>
              <w:r w:rsidRPr="00183B5F">
                <w:rPr>
                  <w:b/>
                  <w:szCs w:val="22"/>
                  <w:vertAlign w:val="superscript"/>
                  <w:lang w:val="hu-HU"/>
                </w:rPr>
                <w:delText>a</w:delText>
              </w:r>
              <w:r w:rsidRPr="00183B5F">
                <w:rPr>
                  <w:b/>
                  <w:szCs w:val="22"/>
                  <w:lang w:val="hu-HU"/>
                </w:rPr>
                <w:delText xml:space="preserve"> 95%</w:delText>
              </w:r>
              <w:r w:rsidR="00EA4BDC" w:rsidRPr="00183B5F">
                <w:rPr>
                  <w:b/>
                  <w:szCs w:val="22"/>
                  <w:lang w:val="hu-HU"/>
                </w:rPr>
                <w:delText>-os</w:delText>
              </w:r>
              <w:r w:rsidRPr="00183B5F">
                <w:rPr>
                  <w:b/>
                  <w:szCs w:val="22"/>
                  <w:lang w:val="hu-HU"/>
                </w:rPr>
                <w:delText xml:space="preserve"> </w:delText>
              </w:r>
              <w:r w:rsidR="00EA4BDC" w:rsidRPr="00183B5F">
                <w:rPr>
                  <w:b/>
                  <w:szCs w:val="22"/>
                  <w:lang w:val="hu-HU"/>
                </w:rPr>
                <w:delText>CI</w:delText>
              </w:r>
            </w:del>
          </w:p>
        </w:tc>
        <w:tc>
          <w:tcPr>
            <w:tcW w:w="1080" w:type="dxa"/>
            <w:tcBorders>
              <w:top w:val="single" w:sz="4" w:space="0" w:color="auto"/>
              <w:bottom w:val="single" w:sz="4" w:space="0" w:color="auto"/>
            </w:tcBorders>
          </w:tcPr>
          <w:p w14:paraId="27B86545" w14:textId="75056616" w:rsidR="00180572" w:rsidRPr="00183B5F" w:rsidRDefault="00943743" w:rsidP="00FE0197">
            <w:pPr>
              <w:pStyle w:val="EMEANormal"/>
              <w:keepNext/>
              <w:rPr>
                <w:del w:id="7238" w:author="AbbVie_HU_03" w:date="2025-05-14T15:27:00Z"/>
                <w:b/>
                <w:szCs w:val="22"/>
                <w:lang w:val="hu-HU"/>
              </w:rPr>
            </w:pPr>
            <w:del w:id="7239" w:author="AbbVie_HU_03" w:date="2025-05-14T15:27:00Z">
              <w:r w:rsidRPr="00183B5F">
                <w:rPr>
                  <w:b/>
                  <w:i/>
                  <w:szCs w:val="22"/>
                  <w:lang w:val="hu-HU"/>
                </w:rPr>
                <w:delText>P</w:delText>
              </w:r>
              <w:r w:rsidRPr="00183B5F">
                <w:rPr>
                  <w:b/>
                  <w:szCs w:val="22"/>
                  <w:lang w:val="hu-HU"/>
                </w:rPr>
                <w:delText xml:space="preserve"> </w:delText>
              </w:r>
              <w:r w:rsidR="00EA4BDC" w:rsidRPr="00183B5F">
                <w:rPr>
                  <w:b/>
                  <w:szCs w:val="22"/>
                  <w:lang w:val="hu-HU"/>
                </w:rPr>
                <w:delText>érték</w:delText>
              </w:r>
              <w:r w:rsidRPr="00183B5F">
                <w:rPr>
                  <w:szCs w:val="22"/>
                  <w:vertAlign w:val="superscript"/>
                  <w:lang w:val="hu-HU"/>
                </w:rPr>
                <w:delText xml:space="preserve"> b</w:delText>
              </w:r>
            </w:del>
          </w:p>
        </w:tc>
      </w:tr>
      <w:tr w:rsidR="00011D2F" w14:paraId="52168A2E" w14:textId="07A6AFAB" w:rsidTr="00180572">
        <w:trPr>
          <w:del w:id="7240" w:author="AbbVie_HU_03" w:date="2025-05-14T15:27:00Z"/>
        </w:trPr>
        <w:tc>
          <w:tcPr>
            <w:tcW w:w="9018" w:type="dxa"/>
            <w:gridSpan w:val="7"/>
            <w:tcBorders>
              <w:top w:val="single" w:sz="4" w:space="0" w:color="auto"/>
              <w:bottom w:val="nil"/>
            </w:tcBorders>
          </w:tcPr>
          <w:p w14:paraId="0F37286D" w14:textId="128B5E20" w:rsidR="00180572" w:rsidRPr="00183B5F" w:rsidRDefault="00943743" w:rsidP="00B45E1D">
            <w:pPr>
              <w:pStyle w:val="EMEANormal"/>
              <w:rPr>
                <w:del w:id="7241" w:author="AbbVie_HU_03" w:date="2025-05-14T15:27:00Z"/>
                <w:b/>
                <w:szCs w:val="22"/>
                <w:lang w:val="hu-HU"/>
              </w:rPr>
            </w:pPr>
            <w:del w:id="7242" w:author="AbbVie_HU_03" w:date="2025-05-14T15:27:00Z">
              <w:r w:rsidRPr="00183B5F">
                <w:rPr>
                  <w:b/>
                  <w:szCs w:val="22"/>
                  <w:lang w:val="hu-HU"/>
                </w:rPr>
                <w:delText xml:space="preserve">A kezelés eredménytelenségéig eltelt idő a 6. héten vagy </w:delText>
              </w:r>
              <w:r w:rsidR="00AD347E" w:rsidRPr="00183B5F">
                <w:rPr>
                  <w:b/>
                  <w:szCs w:val="22"/>
                  <w:lang w:val="hu-HU"/>
                </w:rPr>
                <w:delText>azt követően</w:delText>
              </w:r>
              <w:r w:rsidRPr="00183B5F">
                <w:rPr>
                  <w:b/>
                  <w:szCs w:val="22"/>
                  <w:lang w:val="hu-HU"/>
                </w:rPr>
                <w:delText xml:space="preserve"> az UV I vizsgálatban</w:delText>
              </w:r>
            </w:del>
          </w:p>
        </w:tc>
      </w:tr>
      <w:tr w:rsidR="00011D2F" w14:paraId="276CCC0A" w14:textId="505B1B45" w:rsidTr="00180572">
        <w:trPr>
          <w:del w:id="7243" w:author="AbbVie_HU_03" w:date="2025-05-14T15:27:00Z"/>
        </w:trPr>
        <w:tc>
          <w:tcPr>
            <w:tcW w:w="2988" w:type="dxa"/>
            <w:gridSpan w:val="2"/>
            <w:tcBorders>
              <w:top w:val="nil"/>
              <w:bottom w:val="nil"/>
            </w:tcBorders>
          </w:tcPr>
          <w:p w14:paraId="45BFE379" w14:textId="4CBEB2DF" w:rsidR="00180572" w:rsidRPr="00183B5F" w:rsidRDefault="00943743" w:rsidP="00B45E1D">
            <w:pPr>
              <w:pStyle w:val="EMEANormal"/>
              <w:rPr>
                <w:del w:id="7244" w:author="AbbVie_HU_03" w:date="2025-05-14T15:27:00Z"/>
                <w:szCs w:val="22"/>
                <w:lang w:val="hu-HU"/>
              </w:rPr>
            </w:pPr>
            <w:del w:id="7245" w:author="AbbVie_HU_03" w:date="2025-05-14T15:27:00Z">
              <w:r w:rsidRPr="00183B5F">
                <w:rPr>
                  <w:szCs w:val="22"/>
                  <w:lang w:val="hu-HU"/>
                </w:rPr>
                <w:delText>Elsődleges elemzés (ITT)</w:delText>
              </w:r>
            </w:del>
          </w:p>
        </w:tc>
        <w:tc>
          <w:tcPr>
            <w:tcW w:w="1170" w:type="dxa"/>
            <w:tcBorders>
              <w:top w:val="nil"/>
              <w:bottom w:val="nil"/>
            </w:tcBorders>
          </w:tcPr>
          <w:p w14:paraId="6D866DD9" w14:textId="4AE0F1B3" w:rsidR="00180572" w:rsidRPr="00183B5F" w:rsidRDefault="00180572" w:rsidP="00B45E1D">
            <w:pPr>
              <w:pStyle w:val="EMEANormal"/>
              <w:rPr>
                <w:del w:id="7246" w:author="AbbVie_HU_03" w:date="2025-05-14T15:27:00Z"/>
                <w:szCs w:val="22"/>
                <w:lang w:val="hu-HU"/>
              </w:rPr>
            </w:pPr>
          </w:p>
        </w:tc>
        <w:tc>
          <w:tcPr>
            <w:tcW w:w="1890" w:type="dxa"/>
            <w:tcBorders>
              <w:top w:val="nil"/>
              <w:bottom w:val="nil"/>
            </w:tcBorders>
          </w:tcPr>
          <w:p w14:paraId="59311651" w14:textId="32A52DF4" w:rsidR="00180572" w:rsidRPr="00183B5F" w:rsidRDefault="00180572" w:rsidP="00B45E1D">
            <w:pPr>
              <w:pStyle w:val="EMEANormal"/>
              <w:rPr>
                <w:del w:id="7247" w:author="AbbVie_HU_03" w:date="2025-05-14T15:27:00Z"/>
                <w:szCs w:val="22"/>
                <w:lang w:val="hu-HU"/>
              </w:rPr>
            </w:pPr>
          </w:p>
        </w:tc>
        <w:tc>
          <w:tcPr>
            <w:tcW w:w="720" w:type="dxa"/>
            <w:tcBorders>
              <w:top w:val="nil"/>
              <w:bottom w:val="nil"/>
            </w:tcBorders>
          </w:tcPr>
          <w:p w14:paraId="4B31FE43" w14:textId="05E0BFE3" w:rsidR="00180572" w:rsidRPr="00183B5F" w:rsidRDefault="00180572" w:rsidP="00B45E1D">
            <w:pPr>
              <w:pStyle w:val="EMEANormal"/>
              <w:rPr>
                <w:del w:id="7248" w:author="AbbVie_HU_03" w:date="2025-05-14T15:27:00Z"/>
                <w:szCs w:val="22"/>
                <w:lang w:val="hu-HU"/>
              </w:rPr>
            </w:pPr>
          </w:p>
        </w:tc>
        <w:tc>
          <w:tcPr>
            <w:tcW w:w="1170" w:type="dxa"/>
            <w:tcBorders>
              <w:top w:val="nil"/>
              <w:bottom w:val="nil"/>
            </w:tcBorders>
          </w:tcPr>
          <w:p w14:paraId="57F42C33" w14:textId="1A2E1D91" w:rsidR="00180572" w:rsidRPr="00183B5F" w:rsidRDefault="00180572" w:rsidP="00B45E1D">
            <w:pPr>
              <w:pStyle w:val="EMEANormal"/>
              <w:rPr>
                <w:del w:id="7249" w:author="AbbVie_HU_03" w:date="2025-05-14T15:27:00Z"/>
                <w:szCs w:val="22"/>
                <w:lang w:val="hu-HU"/>
              </w:rPr>
            </w:pPr>
          </w:p>
        </w:tc>
        <w:tc>
          <w:tcPr>
            <w:tcW w:w="1080" w:type="dxa"/>
            <w:tcBorders>
              <w:top w:val="nil"/>
              <w:bottom w:val="nil"/>
            </w:tcBorders>
          </w:tcPr>
          <w:p w14:paraId="4D5094E4" w14:textId="7630FCB1" w:rsidR="00180572" w:rsidRPr="00183B5F" w:rsidRDefault="00180572" w:rsidP="00B45E1D">
            <w:pPr>
              <w:pStyle w:val="EMEANormal"/>
              <w:rPr>
                <w:del w:id="7250" w:author="AbbVie_HU_03" w:date="2025-05-14T15:27:00Z"/>
                <w:szCs w:val="22"/>
                <w:lang w:val="hu-HU"/>
              </w:rPr>
            </w:pPr>
          </w:p>
        </w:tc>
      </w:tr>
      <w:tr w:rsidR="00011D2F" w14:paraId="438CA4DF" w14:textId="276F2045" w:rsidTr="00180572">
        <w:trPr>
          <w:del w:id="7251" w:author="AbbVie_HU_03" w:date="2025-05-14T15:27:00Z"/>
        </w:trPr>
        <w:tc>
          <w:tcPr>
            <w:tcW w:w="2268" w:type="dxa"/>
            <w:tcBorders>
              <w:top w:val="nil"/>
              <w:bottom w:val="nil"/>
            </w:tcBorders>
          </w:tcPr>
          <w:p w14:paraId="13DC73FA" w14:textId="636CB65D" w:rsidR="00180572" w:rsidRPr="00183B5F" w:rsidRDefault="00943743" w:rsidP="00B45E1D">
            <w:pPr>
              <w:pStyle w:val="EMEANormal"/>
              <w:rPr>
                <w:del w:id="7252" w:author="AbbVie_HU_03" w:date="2025-05-14T15:27:00Z"/>
                <w:szCs w:val="22"/>
                <w:lang w:val="hu-HU"/>
              </w:rPr>
            </w:pPr>
            <w:del w:id="7253" w:author="AbbVie_HU_03" w:date="2025-05-14T15:27:00Z">
              <w:r w:rsidRPr="00183B5F">
                <w:rPr>
                  <w:szCs w:val="22"/>
                  <w:lang w:val="hu-HU"/>
                </w:rPr>
                <w:tab/>
                <w:delText>Placebo</w:delText>
              </w:r>
            </w:del>
          </w:p>
        </w:tc>
        <w:tc>
          <w:tcPr>
            <w:tcW w:w="720" w:type="dxa"/>
            <w:tcBorders>
              <w:top w:val="nil"/>
              <w:bottom w:val="nil"/>
            </w:tcBorders>
          </w:tcPr>
          <w:p w14:paraId="0B59F738" w14:textId="0F42BF31" w:rsidR="00180572" w:rsidRPr="00183B5F" w:rsidRDefault="00943743" w:rsidP="00B45E1D">
            <w:pPr>
              <w:pStyle w:val="EMEANormal"/>
              <w:rPr>
                <w:del w:id="7254" w:author="AbbVie_HU_03" w:date="2025-05-14T15:27:00Z"/>
                <w:szCs w:val="22"/>
                <w:lang w:val="hu-HU"/>
              </w:rPr>
            </w:pPr>
            <w:del w:id="7255" w:author="AbbVie_HU_03" w:date="2025-05-14T15:27:00Z">
              <w:r w:rsidRPr="00183B5F">
                <w:rPr>
                  <w:szCs w:val="22"/>
                  <w:lang w:val="hu-HU"/>
                </w:rPr>
                <w:delText>107</w:delText>
              </w:r>
            </w:del>
          </w:p>
        </w:tc>
        <w:tc>
          <w:tcPr>
            <w:tcW w:w="1170" w:type="dxa"/>
            <w:tcBorders>
              <w:top w:val="nil"/>
              <w:bottom w:val="nil"/>
            </w:tcBorders>
          </w:tcPr>
          <w:p w14:paraId="156DD811" w14:textId="7F3C45E5" w:rsidR="00180572" w:rsidRPr="00183B5F" w:rsidRDefault="00943743" w:rsidP="00B45E1D">
            <w:pPr>
              <w:pStyle w:val="EMEANormal"/>
              <w:rPr>
                <w:del w:id="7256" w:author="AbbVie_HU_03" w:date="2025-05-14T15:27:00Z"/>
                <w:szCs w:val="22"/>
                <w:lang w:val="hu-HU"/>
              </w:rPr>
            </w:pPr>
            <w:del w:id="7257" w:author="AbbVie_HU_03" w:date="2025-05-14T15:27:00Z">
              <w:r w:rsidRPr="00183B5F">
                <w:rPr>
                  <w:szCs w:val="22"/>
                  <w:lang w:val="hu-HU"/>
                </w:rPr>
                <w:delText>84 (78</w:delText>
              </w:r>
              <w:r w:rsidR="00EA4BDC" w:rsidRPr="00183B5F">
                <w:rPr>
                  <w:szCs w:val="22"/>
                  <w:lang w:val="hu-HU"/>
                </w:rPr>
                <w:delText>,</w:delText>
              </w:r>
              <w:r w:rsidRPr="00183B5F">
                <w:rPr>
                  <w:szCs w:val="22"/>
                  <w:lang w:val="hu-HU"/>
                </w:rPr>
                <w:delText>5)</w:delText>
              </w:r>
            </w:del>
          </w:p>
        </w:tc>
        <w:tc>
          <w:tcPr>
            <w:tcW w:w="1890" w:type="dxa"/>
            <w:tcBorders>
              <w:top w:val="nil"/>
              <w:bottom w:val="nil"/>
            </w:tcBorders>
          </w:tcPr>
          <w:p w14:paraId="3206CAE9" w14:textId="629E028A" w:rsidR="00180572" w:rsidRPr="00183B5F" w:rsidRDefault="00943743" w:rsidP="00B45E1D">
            <w:pPr>
              <w:pStyle w:val="EMEANormal"/>
              <w:rPr>
                <w:del w:id="7258" w:author="AbbVie_HU_03" w:date="2025-05-14T15:27:00Z"/>
                <w:szCs w:val="22"/>
                <w:lang w:val="hu-HU"/>
              </w:rPr>
            </w:pPr>
            <w:del w:id="7259" w:author="AbbVie_HU_03" w:date="2025-05-14T15:27:00Z">
              <w:r w:rsidRPr="00183B5F">
                <w:rPr>
                  <w:szCs w:val="22"/>
                  <w:lang w:val="hu-HU"/>
                </w:rPr>
                <w:delText>3,0</w:delText>
              </w:r>
            </w:del>
          </w:p>
        </w:tc>
        <w:tc>
          <w:tcPr>
            <w:tcW w:w="720" w:type="dxa"/>
            <w:tcBorders>
              <w:top w:val="nil"/>
              <w:bottom w:val="nil"/>
            </w:tcBorders>
          </w:tcPr>
          <w:p w14:paraId="49A3121A" w14:textId="059A4C1F" w:rsidR="00180572" w:rsidRPr="00183B5F" w:rsidRDefault="00943743" w:rsidP="00B45E1D">
            <w:pPr>
              <w:pStyle w:val="EMEANormal"/>
              <w:rPr>
                <w:del w:id="7260" w:author="AbbVie_HU_03" w:date="2025-05-14T15:27:00Z"/>
                <w:szCs w:val="22"/>
                <w:lang w:val="hu-HU"/>
              </w:rPr>
            </w:pPr>
            <w:del w:id="7261" w:author="AbbVie_HU_03" w:date="2025-05-14T15:27:00Z">
              <w:r w:rsidRPr="00183B5F">
                <w:rPr>
                  <w:szCs w:val="22"/>
                  <w:lang w:val="hu-HU"/>
                </w:rPr>
                <w:delText>--</w:delText>
              </w:r>
            </w:del>
          </w:p>
        </w:tc>
        <w:tc>
          <w:tcPr>
            <w:tcW w:w="1170" w:type="dxa"/>
            <w:tcBorders>
              <w:top w:val="nil"/>
              <w:bottom w:val="nil"/>
            </w:tcBorders>
          </w:tcPr>
          <w:p w14:paraId="0FFA57E6" w14:textId="08EA1B46" w:rsidR="00180572" w:rsidRPr="00183B5F" w:rsidRDefault="00943743" w:rsidP="00B45E1D">
            <w:pPr>
              <w:pStyle w:val="EMEANormal"/>
              <w:rPr>
                <w:del w:id="7262" w:author="AbbVie_HU_03" w:date="2025-05-14T15:27:00Z"/>
                <w:szCs w:val="22"/>
                <w:lang w:val="hu-HU"/>
              </w:rPr>
            </w:pPr>
            <w:del w:id="7263" w:author="AbbVie_HU_03" w:date="2025-05-14T15:27:00Z">
              <w:r w:rsidRPr="00183B5F">
                <w:rPr>
                  <w:szCs w:val="22"/>
                  <w:lang w:val="hu-HU"/>
                </w:rPr>
                <w:delText>--</w:delText>
              </w:r>
            </w:del>
          </w:p>
        </w:tc>
        <w:tc>
          <w:tcPr>
            <w:tcW w:w="1080" w:type="dxa"/>
            <w:tcBorders>
              <w:top w:val="nil"/>
              <w:bottom w:val="nil"/>
            </w:tcBorders>
          </w:tcPr>
          <w:p w14:paraId="120ACDFA" w14:textId="5F464FC5" w:rsidR="00180572" w:rsidRPr="00183B5F" w:rsidRDefault="00943743" w:rsidP="00B45E1D">
            <w:pPr>
              <w:pStyle w:val="EMEANormal"/>
              <w:rPr>
                <w:del w:id="7264" w:author="AbbVie_HU_03" w:date="2025-05-14T15:27:00Z"/>
                <w:szCs w:val="22"/>
                <w:lang w:val="hu-HU"/>
              </w:rPr>
            </w:pPr>
            <w:del w:id="7265" w:author="AbbVie_HU_03" w:date="2025-05-14T15:27:00Z">
              <w:r w:rsidRPr="00183B5F">
                <w:rPr>
                  <w:szCs w:val="22"/>
                  <w:lang w:val="hu-HU"/>
                </w:rPr>
                <w:delText>--</w:delText>
              </w:r>
            </w:del>
          </w:p>
        </w:tc>
      </w:tr>
      <w:tr w:rsidR="00011D2F" w14:paraId="0C5070FB" w14:textId="4830AF15" w:rsidTr="00180572">
        <w:trPr>
          <w:del w:id="7266" w:author="AbbVie_HU_03" w:date="2025-05-14T15:27:00Z"/>
        </w:trPr>
        <w:tc>
          <w:tcPr>
            <w:tcW w:w="2268" w:type="dxa"/>
            <w:tcBorders>
              <w:top w:val="nil"/>
              <w:bottom w:val="single" w:sz="4" w:space="0" w:color="auto"/>
            </w:tcBorders>
          </w:tcPr>
          <w:p w14:paraId="059DC992" w14:textId="411B4E4E" w:rsidR="00180572" w:rsidRPr="00183B5F" w:rsidRDefault="00943743" w:rsidP="00B45E1D">
            <w:pPr>
              <w:pStyle w:val="EMEANormal"/>
              <w:rPr>
                <w:del w:id="7267" w:author="AbbVie_HU_03" w:date="2025-05-14T15:27:00Z"/>
                <w:szCs w:val="22"/>
                <w:lang w:val="hu-HU"/>
              </w:rPr>
            </w:pPr>
            <w:del w:id="7268" w:author="AbbVie_HU_03" w:date="2025-05-14T15:27:00Z">
              <w:r w:rsidRPr="00183B5F">
                <w:rPr>
                  <w:szCs w:val="22"/>
                  <w:lang w:val="hu-HU"/>
                </w:rPr>
                <w:tab/>
              </w:r>
              <w:r w:rsidRPr="00183B5F">
                <w:rPr>
                  <w:szCs w:val="22"/>
                  <w:lang w:val="hu-HU"/>
                </w:rPr>
                <w:delText>Adalimumab</w:delText>
              </w:r>
            </w:del>
          </w:p>
        </w:tc>
        <w:tc>
          <w:tcPr>
            <w:tcW w:w="720" w:type="dxa"/>
            <w:tcBorders>
              <w:top w:val="nil"/>
              <w:bottom w:val="single" w:sz="4" w:space="0" w:color="auto"/>
            </w:tcBorders>
          </w:tcPr>
          <w:p w14:paraId="114A8F41" w14:textId="0DAB909D" w:rsidR="00180572" w:rsidRPr="00183B5F" w:rsidRDefault="00943743" w:rsidP="00B45E1D">
            <w:pPr>
              <w:pStyle w:val="EMEANormal"/>
              <w:rPr>
                <w:del w:id="7269" w:author="AbbVie_HU_03" w:date="2025-05-14T15:27:00Z"/>
                <w:szCs w:val="22"/>
                <w:lang w:val="hu-HU"/>
              </w:rPr>
            </w:pPr>
            <w:del w:id="7270" w:author="AbbVie_HU_03" w:date="2025-05-14T15:27:00Z">
              <w:r w:rsidRPr="00183B5F">
                <w:rPr>
                  <w:szCs w:val="22"/>
                  <w:lang w:val="hu-HU"/>
                </w:rPr>
                <w:delText>110</w:delText>
              </w:r>
            </w:del>
          </w:p>
        </w:tc>
        <w:tc>
          <w:tcPr>
            <w:tcW w:w="1170" w:type="dxa"/>
            <w:tcBorders>
              <w:top w:val="nil"/>
              <w:bottom w:val="single" w:sz="4" w:space="0" w:color="auto"/>
            </w:tcBorders>
          </w:tcPr>
          <w:p w14:paraId="74666057" w14:textId="2D3FD162" w:rsidR="00180572" w:rsidRPr="00183B5F" w:rsidRDefault="00943743" w:rsidP="00B45E1D">
            <w:pPr>
              <w:pStyle w:val="EMEANormal"/>
              <w:rPr>
                <w:del w:id="7271" w:author="AbbVie_HU_03" w:date="2025-05-14T15:27:00Z"/>
                <w:szCs w:val="22"/>
                <w:lang w:val="hu-HU"/>
              </w:rPr>
            </w:pPr>
            <w:del w:id="7272" w:author="AbbVie_HU_03" w:date="2025-05-14T15:27:00Z">
              <w:r w:rsidRPr="00183B5F">
                <w:rPr>
                  <w:szCs w:val="22"/>
                  <w:lang w:val="hu-HU"/>
                </w:rPr>
                <w:delText>60 (54,5)</w:delText>
              </w:r>
            </w:del>
          </w:p>
        </w:tc>
        <w:tc>
          <w:tcPr>
            <w:tcW w:w="1890" w:type="dxa"/>
            <w:tcBorders>
              <w:top w:val="nil"/>
              <w:bottom w:val="single" w:sz="4" w:space="0" w:color="auto"/>
            </w:tcBorders>
          </w:tcPr>
          <w:p w14:paraId="168ADE7F" w14:textId="1C83AE3F" w:rsidR="00180572" w:rsidRPr="00183B5F" w:rsidRDefault="00943743" w:rsidP="00B45E1D">
            <w:pPr>
              <w:pStyle w:val="EMEANormal"/>
              <w:rPr>
                <w:del w:id="7273" w:author="AbbVie_HU_03" w:date="2025-05-14T15:27:00Z"/>
                <w:szCs w:val="22"/>
                <w:lang w:val="hu-HU"/>
              </w:rPr>
            </w:pPr>
            <w:del w:id="7274" w:author="AbbVie_HU_03" w:date="2025-05-14T15:27:00Z">
              <w:r w:rsidRPr="00183B5F">
                <w:rPr>
                  <w:szCs w:val="22"/>
                  <w:lang w:val="hu-HU"/>
                </w:rPr>
                <w:delText>5,6</w:delText>
              </w:r>
            </w:del>
          </w:p>
        </w:tc>
        <w:tc>
          <w:tcPr>
            <w:tcW w:w="720" w:type="dxa"/>
            <w:tcBorders>
              <w:top w:val="nil"/>
              <w:bottom w:val="single" w:sz="4" w:space="0" w:color="auto"/>
            </w:tcBorders>
          </w:tcPr>
          <w:p w14:paraId="68866F66" w14:textId="27A53B7A" w:rsidR="00180572" w:rsidRPr="00183B5F" w:rsidRDefault="00943743" w:rsidP="00B45E1D">
            <w:pPr>
              <w:pStyle w:val="EMEANormal"/>
              <w:rPr>
                <w:del w:id="7275" w:author="AbbVie_HU_03" w:date="2025-05-14T15:27:00Z"/>
                <w:szCs w:val="22"/>
                <w:lang w:val="hu-HU"/>
              </w:rPr>
            </w:pPr>
            <w:del w:id="7276" w:author="AbbVie_HU_03" w:date="2025-05-14T15:27:00Z">
              <w:r w:rsidRPr="00183B5F">
                <w:rPr>
                  <w:szCs w:val="22"/>
                  <w:lang w:val="hu-HU"/>
                </w:rPr>
                <w:delText>0,50</w:delText>
              </w:r>
            </w:del>
          </w:p>
        </w:tc>
        <w:tc>
          <w:tcPr>
            <w:tcW w:w="1170" w:type="dxa"/>
            <w:tcBorders>
              <w:top w:val="nil"/>
              <w:bottom w:val="single" w:sz="4" w:space="0" w:color="auto"/>
            </w:tcBorders>
          </w:tcPr>
          <w:p w14:paraId="086C7DEA" w14:textId="5E57CF0B" w:rsidR="00180572" w:rsidRPr="00183B5F" w:rsidRDefault="00943743" w:rsidP="00B45E1D">
            <w:pPr>
              <w:pStyle w:val="EMEANormal"/>
              <w:rPr>
                <w:del w:id="7277" w:author="AbbVie_HU_03" w:date="2025-05-14T15:27:00Z"/>
                <w:szCs w:val="22"/>
                <w:lang w:val="hu-HU"/>
              </w:rPr>
            </w:pPr>
            <w:del w:id="7278" w:author="AbbVie_HU_03" w:date="2025-05-14T15:27:00Z">
              <w:r w:rsidRPr="00183B5F">
                <w:rPr>
                  <w:szCs w:val="22"/>
                  <w:lang w:val="hu-HU"/>
                </w:rPr>
                <w:delText>0,36; 0,70</w:delText>
              </w:r>
              <w:r w:rsidRPr="00183B5F">
                <w:rPr>
                  <w:szCs w:val="22"/>
                  <w:vertAlign w:val="superscript"/>
                  <w:lang w:val="hu-HU"/>
                </w:rPr>
                <w:delText xml:space="preserve"> </w:delText>
              </w:r>
            </w:del>
          </w:p>
        </w:tc>
        <w:tc>
          <w:tcPr>
            <w:tcW w:w="1080" w:type="dxa"/>
            <w:tcBorders>
              <w:top w:val="nil"/>
              <w:bottom w:val="single" w:sz="4" w:space="0" w:color="auto"/>
            </w:tcBorders>
          </w:tcPr>
          <w:p w14:paraId="45273606" w14:textId="6DD61000" w:rsidR="00180572" w:rsidRPr="00183B5F" w:rsidRDefault="00943743" w:rsidP="00B45E1D">
            <w:pPr>
              <w:pStyle w:val="EMEANormal"/>
              <w:rPr>
                <w:del w:id="7279" w:author="AbbVie_HU_03" w:date="2025-05-14T15:27:00Z"/>
                <w:szCs w:val="22"/>
                <w:lang w:val="hu-HU"/>
              </w:rPr>
            </w:pPr>
            <w:del w:id="7280" w:author="AbbVie_HU_03" w:date="2025-05-14T15:27:00Z">
              <w:r w:rsidRPr="00183B5F">
                <w:rPr>
                  <w:szCs w:val="22"/>
                  <w:lang w:val="hu-HU"/>
                </w:rPr>
                <w:delText>&lt; 0,001</w:delText>
              </w:r>
            </w:del>
          </w:p>
        </w:tc>
      </w:tr>
      <w:tr w:rsidR="00011D2F" w14:paraId="10A9B624" w14:textId="48DC4EDF" w:rsidTr="00180572">
        <w:tblPrEx>
          <w:tblBorders>
            <w:left w:val="single" w:sz="4" w:space="0" w:color="auto"/>
            <w:right w:val="single" w:sz="4" w:space="0" w:color="auto"/>
            <w:insideH w:val="single" w:sz="4" w:space="0" w:color="auto"/>
            <w:insideV w:val="single" w:sz="4" w:space="0" w:color="auto"/>
          </w:tblBorders>
        </w:tblPrEx>
        <w:trPr>
          <w:del w:id="7281" w:author="AbbVie_HU_03" w:date="2025-05-14T15:27:00Z"/>
        </w:trPr>
        <w:tc>
          <w:tcPr>
            <w:tcW w:w="9018" w:type="dxa"/>
            <w:gridSpan w:val="7"/>
            <w:tcBorders>
              <w:left w:val="nil"/>
              <w:bottom w:val="nil"/>
              <w:right w:val="nil"/>
            </w:tcBorders>
          </w:tcPr>
          <w:p w14:paraId="050AF6C6" w14:textId="460BAC43" w:rsidR="00180572" w:rsidRPr="00183B5F" w:rsidRDefault="00943743" w:rsidP="00B45E1D">
            <w:pPr>
              <w:pStyle w:val="EMEANormal"/>
              <w:rPr>
                <w:del w:id="7282" w:author="AbbVie_HU_03" w:date="2025-05-14T15:27:00Z"/>
                <w:b/>
                <w:szCs w:val="22"/>
                <w:lang w:val="hu-HU"/>
              </w:rPr>
            </w:pPr>
            <w:del w:id="7283" w:author="AbbVie_HU_03" w:date="2025-05-14T15:27:00Z">
              <w:r w:rsidRPr="00183B5F">
                <w:rPr>
                  <w:b/>
                  <w:szCs w:val="22"/>
                  <w:lang w:val="hu-HU"/>
                </w:rPr>
                <w:delText xml:space="preserve">A kezelés eredménytelenségéig eltelt idő a 2. héten vagy </w:delText>
              </w:r>
              <w:r w:rsidR="00AD347E" w:rsidRPr="00183B5F">
                <w:rPr>
                  <w:b/>
                  <w:szCs w:val="22"/>
                  <w:lang w:val="hu-HU"/>
                </w:rPr>
                <w:delText>azt követően</w:delText>
              </w:r>
              <w:r w:rsidRPr="00183B5F">
                <w:rPr>
                  <w:b/>
                  <w:szCs w:val="22"/>
                  <w:lang w:val="hu-HU"/>
                </w:rPr>
                <w:delText xml:space="preserve"> az UV II vizsgálatban</w:delText>
              </w:r>
            </w:del>
          </w:p>
        </w:tc>
      </w:tr>
      <w:tr w:rsidR="00011D2F" w14:paraId="07D1C1B2" w14:textId="37F4B60E" w:rsidTr="00180572">
        <w:tblPrEx>
          <w:tblBorders>
            <w:left w:val="single" w:sz="4" w:space="0" w:color="auto"/>
            <w:right w:val="single" w:sz="4" w:space="0" w:color="auto"/>
            <w:insideH w:val="single" w:sz="4" w:space="0" w:color="auto"/>
            <w:insideV w:val="single" w:sz="4" w:space="0" w:color="auto"/>
          </w:tblBorders>
        </w:tblPrEx>
        <w:trPr>
          <w:del w:id="7284" w:author="AbbVie_HU_03" w:date="2025-05-14T15:27:00Z"/>
        </w:trPr>
        <w:tc>
          <w:tcPr>
            <w:tcW w:w="2988" w:type="dxa"/>
            <w:gridSpan w:val="2"/>
            <w:tcBorders>
              <w:top w:val="nil"/>
              <w:left w:val="nil"/>
              <w:bottom w:val="nil"/>
              <w:right w:val="nil"/>
            </w:tcBorders>
          </w:tcPr>
          <w:p w14:paraId="59BD3CFF" w14:textId="64A67A3F" w:rsidR="00180572" w:rsidRPr="00183B5F" w:rsidRDefault="00943743" w:rsidP="00B45E1D">
            <w:pPr>
              <w:pStyle w:val="EMEANormal"/>
              <w:rPr>
                <w:del w:id="7285" w:author="AbbVie_HU_03" w:date="2025-05-14T15:27:00Z"/>
                <w:szCs w:val="22"/>
                <w:lang w:val="hu-HU"/>
              </w:rPr>
            </w:pPr>
            <w:del w:id="7286" w:author="AbbVie_HU_03" w:date="2025-05-14T15:27:00Z">
              <w:r w:rsidRPr="00183B5F">
                <w:rPr>
                  <w:szCs w:val="22"/>
                  <w:lang w:val="hu-HU"/>
                </w:rPr>
                <w:delText>Elsődleges elemzés (ITT)</w:delText>
              </w:r>
            </w:del>
          </w:p>
        </w:tc>
        <w:tc>
          <w:tcPr>
            <w:tcW w:w="1170" w:type="dxa"/>
            <w:tcBorders>
              <w:top w:val="nil"/>
              <w:left w:val="nil"/>
              <w:bottom w:val="nil"/>
              <w:right w:val="nil"/>
            </w:tcBorders>
          </w:tcPr>
          <w:p w14:paraId="4BD9EC23" w14:textId="61ACADA8" w:rsidR="00180572" w:rsidRPr="00183B5F" w:rsidRDefault="00180572" w:rsidP="00B45E1D">
            <w:pPr>
              <w:pStyle w:val="EMEANormal"/>
              <w:rPr>
                <w:del w:id="7287" w:author="AbbVie_HU_03" w:date="2025-05-14T15:27:00Z"/>
                <w:szCs w:val="22"/>
                <w:lang w:val="hu-HU"/>
              </w:rPr>
            </w:pPr>
          </w:p>
        </w:tc>
        <w:tc>
          <w:tcPr>
            <w:tcW w:w="1890" w:type="dxa"/>
            <w:tcBorders>
              <w:top w:val="nil"/>
              <w:left w:val="nil"/>
              <w:bottom w:val="nil"/>
              <w:right w:val="nil"/>
            </w:tcBorders>
          </w:tcPr>
          <w:p w14:paraId="0244CAF8" w14:textId="388F0004" w:rsidR="00180572" w:rsidRPr="00183B5F" w:rsidRDefault="00180572" w:rsidP="00B45E1D">
            <w:pPr>
              <w:pStyle w:val="EMEANormal"/>
              <w:rPr>
                <w:del w:id="7288" w:author="AbbVie_HU_03" w:date="2025-05-14T15:27:00Z"/>
                <w:szCs w:val="22"/>
                <w:lang w:val="hu-HU"/>
              </w:rPr>
            </w:pPr>
          </w:p>
        </w:tc>
        <w:tc>
          <w:tcPr>
            <w:tcW w:w="720" w:type="dxa"/>
            <w:tcBorders>
              <w:top w:val="nil"/>
              <w:left w:val="nil"/>
              <w:bottom w:val="nil"/>
              <w:right w:val="nil"/>
            </w:tcBorders>
          </w:tcPr>
          <w:p w14:paraId="242B2DD0" w14:textId="61006833" w:rsidR="00180572" w:rsidRPr="00183B5F" w:rsidRDefault="00180572" w:rsidP="00B45E1D">
            <w:pPr>
              <w:pStyle w:val="EMEANormal"/>
              <w:rPr>
                <w:del w:id="7289" w:author="AbbVie_HU_03" w:date="2025-05-14T15:27:00Z"/>
                <w:szCs w:val="22"/>
                <w:lang w:val="hu-HU"/>
              </w:rPr>
            </w:pPr>
          </w:p>
        </w:tc>
        <w:tc>
          <w:tcPr>
            <w:tcW w:w="1170" w:type="dxa"/>
            <w:tcBorders>
              <w:top w:val="nil"/>
              <w:left w:val="nil"/>
              <w:bottom w:val="nil"/>
              <w:right w:val="nil"/>
            </w:tcBorders>
          </w:tcPr>
          <w:p w14:paraId="2789545E" w14:textId="67AA690E" w:rsidR="00180572" w:rsidRPr="00183B5F" w:rsidRDefault="00180572" w:rsidP="00B45E1D">
            <w:pPr>
              <w:pStyle w:val="EMEANormal"/>
              <w:rPr>
                <w:del w:id="7290" w:author="AbbVie_HU_03" w:date="2025-05-14T15:27:00Z"/>
                <w:szCs w:val="22"/>
                <w:lang w:val="hu-HU"/>
              </w:rPr>
            </w:pPr>
          </w:p>
        </w:tc>
        <w:tc>
          <w:tcPr>
            <w:tcW w:w="1080" w:type="dxa"/>
            <w:tcBorders>
              <w:top w:val="nil"/>
              <w:left w:val="nil"/>
              <w:bottom w:val="nil"/>
              <w:right w:val="nil"/>
            </w:tcBorders>
          </w:tcPr>
          <w:p w14:paraId="5A764F6C" w14:textId="0F8D39F2" w:rsidR="00180572" w:rsidRPr="00183B5F" w:rsidRDefault="00180572" w:rsidP="00B45E1D">
            <w:pPr>
              <w:pStyle w:val="EMEANormal"/>
              <w:rPr>
                <w:del w:id="7291" w:author="AbbVie_HU_03" w:date="2025-05-14T15:27:00Z"/>
                <w:szCs w:val="22"/>
                <w:lang w:val="hu-HU"/>
              </w:rPr>
            </w:pPr>
          </w:p>
        </w:tc>
      </w:tr>
      <w:tr w:rsidR="00011D2F" w14:paraId="22746736" w14:textId="0A6E06D1" w:rsidTr="00180572">
        <w:tblPrEx>
          <w:tblBorders>
            <w:left w:val="single" w:sz="4" w:space="0" w:color="auto"/>
            <w:right w:val="single" w:sz="4" w:space="0" w:color="auto"/>
            <w:insideH w:val="single" w:sz="4" w:space="0" w:color="auto"/>
            <w:insideV w:val="single" w:sz="4" w:space="0" w:color="auto"/>
          </w:tblBorders>
        </w:tblPrEx>
        <w:trPr>
          <w:del w:id="7292" w:author="AbbVie_HU_03" w:date="2025-05-14T15:27:00Z"/>
        </w:trPr>
        <w:tc>
          <w:tcPr>
            <w:tcW w:w="2268" w:type="dxa"/>
            <w:tcBorders>
              <w:top w:val="nil"/>
              <w:left w:val="nil"/>
              <w:bottom w:val="nil"/>
              <w:right w:val="nil"/>
            </w:tcBorders>
          </w:tcPr>
          <w:p w14:paraId="15008CE1" w14:textId="0C4D174A" w:rsidR="00180572" w:rsidRPr="00183B5F" w:rsidRDefault="00943743" w:rsidP="00B45E1D">
            <w:pPr>
              <w:pStyle w:val="EMEANormal"/>
              <w:rPr>
                <w:del w:id="7293" w:author="AbbVie_HU_03" w:date="2025-05-14T15:27:00Z"/>
                <w:szCs w:val="22"/>
                <w:lang w:val="hu-HU"/>
              </w:rPr>
            </w:pPr>
            <w:del w:id="7294" w:author="AbbVie_HU_03" w:date="2025-05-14T15:27:00Z">
              <w:r w:rsidRPr="00183B5F">
                <w:rPr>
                  <w:szCs w:val="22"/>
                  <w:lang w:val="hu-HU"/>
                </w:rPr>
                <w:tab/>
                <w:delText>Placebo</w:delText>
              </w:r>
            </w:del>
          </w:p>
        </w:tc>
        <w:tc>
          <w:tcPr>
            <w:tcW w:w="720" w:type="dxa"/>
            <w:tcBorders>
              <w:top w:val="nil"/>
              <w:left w:val="nil"/>
              <w:bottom w:val="nil"/>
              <w:right w:val="nil"/>
            </w:tcBorders>
          </w:tcPr>
          <w:p w14:paraId="51294497" w14:textId="35FDCEF1" w:rsidR="00180572" w:rsidRPr="00183B5F" w:rsidRDefault="00943743" w:rsidP="00B45E1D">
            <w:pPr>
              <w:pStyle w:val="EMEANormal"/>
              <w:rPr>
                <w:del w:id="7295" w:author="AbbVie_HU_03" w:date="2025-05-14T15:27:00Z"/>
                <w:szCs w:val="22"/>
                <w:lang w:val="hu-HU"/>
              </w:rPr>
            </w:pPr>
            <w:del w:id="7296" w:author="AbbVie_HU_03" w:date="2025-05-14T15:27:00Z">
              <w:r w:rsidRPr="00183B5F">
                <w:rPr>
                  <w:szCs w:val="22"/>
                  <w:lang w:val="hu-HU"/>
                </w:rPr>
                <w:delText>111</w:delText>
              </w:r>
            </w:del>
          </w:p>
        </w:tc>
        <w:tc>
          <w:tcPr>
            <w:tcW w:w="1170" w:type="dxa"/>
            <w:tcBorders>
              <w:top w:val="nil"/>
              <w:left w:val="nil"/>
              <w:bottom w:val="nil"/>
              <w:right w:val="nil"/>
            </w:tcBorders>
          </w:tcPr>
          <w:p w14:paraId="37393F2E" w14:textId="3431F1F0" w:rsidR="00180572" w:rsidRPr="00183B5F" w:rsidRDefault="00943743" w:rsidP="00B45E1D">
            <w:pPr>
              <w:pStyle w:val="EMEANormal"/>
              <w:rPr>
                <w:del w:id="7297" w:author="AbbVie_HU_03" w:date="2025-05-14T15:27:00Z"/>
                <w:szCs w:val="22"/>
                <w:lang w:val="hu-HU"/>
              </w:rPr>
            </w:pPr>
            <w:del w:id="7298" w:author="AbbVie_HU_03" w:date="2025-05-14T15:27:00Z">
              <w:r w:rsidRPr="00183B5F">
                <w:rPr>
                  <w:szCs w:val="22"/>
                  <w:lang w:val="hu-HU"/>
                </w:rPr>
                <w:delText>61 (55,0)</w:delText>
              </w:r>
            </w:del>
          </w:p>
        </w:tc>
        <w:tc>
          <w:tcPr>
            <w:tcW w:w="1890" w:type="dxa"/>
            <w:tcBorders>
              <w:top w:val="nil"/>
              <w:left w:val="nil"/>
              <w:bottom w:val="nil"/>
              <w:right w:val="nil"/>
            </w:tcBorders>
          </w:tcPr>
          <w:p w14:paraId="2A3997E3" w14:textId="61F35B3C" w:rsidR="00180572" w:rsidRPr="00183B5F" w:rsidRDefault="00943743" w:rsidP="00B45E1D">
            <w:pPr>
              <w:pStyle w:val="EMEANormal"/>
              <w:rPr>
                <w:del w:id="7299" w:author="AbbVie_HU_03" w:date="2025-05-14T15:27:00Z"/>
                <w:szCs w:val="22"/>
                <w:lang w:val="hu-HU"/>
              </w:rPr>
            </w:pPr>
            <w:del w:id="7300" w:author="AbbVie_HU_03" w:date="2025-05-14T15:27:00Z">
              <w:r w:rsidRPr="00183B5F">
                <w:rPr>
                  <w:szCs w:val="22"/>
                  <w:lang w:val="hu-HU"/>
                </w:rPr>
                <w:delText>8,3</w:delText>
              </w:r>
            </w:del>
          </w:p>
        </w:tc>
        <w:tc>
          <w:tcPr>
            <w:tcW w:w="720" w:type="dxa"/>
            <w:tcBorders>
              <w:top w:val="nil"/>
              <w:left w:val="nil"/>
              <w:bottom w:val="nil"/>
              <w:right w:val="nil"/>
            </w:tcBorders>
          </w:tcPr>
          <w:p w14:paraId="7E84A093" w14:textId="27E0C5A5" w:rsidR="00180572" w:rsidRPr="00183B5F" w:rsidRDefault="00943743" w:rsidP="00B45E1D">
            <w:pPr>
              <w:pStyle w:val="EMEANormal"/>
              <w:rPr>
                <w:del w:id="7301" w:author="AbbVie_HU_03" w:date="2025-05-14T15:27:00Z"/>
                <w:szCs w:val="22"/>
                <w:lang w:val="hu-HU"/>
              </w:rPr>
            </w:pPr>
            <w:del w:id="7302" w:author="AbbVie_HU_03" w:date="2025-05-14T15:27:00Z">
              <w:r w:rsidRPr="00183B5F">
                <w:rPr>
                  <w:szCs w:val="22"/>
                  <w:lang w:val="hu-HU"/>
                </w:rPr>
                <w:delText>--</w:delText>
              </w:r>
            </w:del>
          </w:p>
        </w:tc>
        <w:tc>
          <w:tcPr>
            <w:tcW w:w="1170" w:type="dxa"/>
            <w:tcBorders>
              <w:top w:val="nil"/>
              <w:left w:val="nil"/>
              <w:bottom w:val="nil"/>
              <w:right w:val="nil"/>
            </w:tcBorders>
          </w:tcPr>
          <w:p w14:paraId="411121B0" w14:textId="4766A023" w:rsidR="00180572" w:rsidRPr="00183B5F" w:rsidRDefault="00943743" w:rsidP="00B45E1D">
            <w:pPr>
              <w:pStyle w:val="EMEANormal"/>
              <w:rPr>
                <w:del w:id="7303" w:author="AbbVie_HU_03" w:date="2025-05-14T15:27:00Z"/>
                <w:szCs w:val="22"/>
                <w:lang w:val="hu-HU"/>
              </w:rPr>
            </w:pPr>
            <w:del w:id="7304" w:author="AbbVie_HU_03" w:date="2025-05-14T15:27:00Z">
              <w:r w:rsidRPr="00183B5F">
                <w:rPr>
                  <w:szCs w:val="22"/>
                  <w:lang w:val="hu-HU"/>
                </w:rPr>
                <w:delText>--</w:delText>
              </w:r>
            </w:del>
          </w:p>
        </w:tc>
        <w:tc>
          <w:tcPr>
            <w:tcW w:w="1080" w:type="dxa"/>
            <w:tcBorders>
              <w:top w:val="nil"/>
              <w:left w:val="nil"/>
              <w:bottom w:val="nil"/>
              <w:right w:val="nil"/>
            </w:tcBorders>
          </w:tcPr>
          <w:p w14:paraId="49462132" w14:textId="56CCD0AB" w:rsidR="00180572" w:rsidRPr="00183B5F" w:rsidRDefault="00943743" w:rsidP="00B45E1D">
            <w:pPr>
              <w:pStyle w:val="EMEANormal"/>
              <w:rPr>
                <w:del w:id="7305" w:author="AbbVie_HU_03" w:date="2025-05-14T15:27:00Z"/>
                <w:szCs w:val="22"/>
                <w:lang w:val="hu-HU"/>
              </w:rPr>
            </w:pPr>
            <w:del w:id="7306" w:author="AbbVie_HU_03" w:date="2025-05-14T15:27:00Z">
              <w:r w:rsidRPr="00183B5F">
                <w:rPr>
                  <w:szCs w:val="22"/>
                  <w:lang w:val="hu-HU"/>
                </w:rPr>
                <w:delText>--</w:delText>
              </w:r>
            </w:del>
          </w:p>
        </w:tc>
      </w:tr>
      <w:tr w:rsidR="00011D2F" w14:paraId="0D7432EE" w14:textId="281B8C1C" w:rsidTr="00180572">
        <w:tblPrEx>
          <w:tblBorders>
            <w:left w:val="single" w:sz="4" w:space="0" w:color="auto"/>
            <w:right w:val="single" w:sz="4" w:space="0" w:color="auto"/>
            <w:insideH w:val="single" w:sz="4" w:space="0" w:color="auto"/>
            <w:insideV w:val="single" w:sz="4" w:space="0" w:color="auto"/>
          </w:tblBorders>
        </w:tblPrEx>
        <w:trPr>
          <w:del w:id="7307" w:author="AbbVie_HU_03" w:date="2025-05-14T15:27:00Z"/>
        </w:trPr>
        <w:tc>
          <w:tcPr>
            <w:tcW w:w="2268" w:type="dxa"/>
            <w:tcBorders>
              <w:top w:val="nil"/>
              <w:left w:val="nil"/>
              <w:bottom w:val="single" w:sz="4" w:space="0" w:color="auto"/>
              <w:right w:val="nil"/>
            </w:tcBorders>
          </w:tcPr>
          <w:p w14:paraId="66A8599B" w14:textId="68919D9D" w:rsidR="00180572" w:rsidRPr="00183B5F" w:rsidRDefault="00943743" w:rsidP="00B45E1D">
            <w:pPr>
              <w:pStyle w:val="EMEANormal"/>
              <w:rPr>
                <w:del w:id="7308" w:author="AbbVie_HU_03" w:date="2025-05-14T15:27:00Z"/>
                <w:szCs w:val="22"/>
                <w:lang w:val="hu-HU"/>
              </w:rPr>
            </w:pPr>
            <w:del w:id="7309" w:author="AbbVie_HU_03" w:date="2025-05-14T15:27:00Z">
              <w:r w:rsidRPr="00183B5F">
                <w:rPr>
                  <w:szCs w:val="22"/>
                  <w:lang w:val="hu-HU"/>
                </w:rPr>
                <w:tab/>
                <w:delText>Adalimumab</w:delText>
              </w:r>
            </w:del>
          </w:p>
        </w:tc>
        <w:tc>
          <w:tcPr>
            <w:tcW w:w="720" w:type="dxa"/>
            <w:tcBorders>
              <w:top w:val="nil"/>
              <w:left w:val="nil"/>
              <w:bottom w:val="single" w:sz="4" w:space="0" w:color="auto"/>
              <w:right w:val="nil"/>
            </w:tcBorders>
          </w:tcPr>
          <w:p w14:paraId="63828B17" w14:textId="1D89150A" w:rsidR="00180572" w:rsidRPr="00183B5F" w:rsidRDefault="00943743" w:rsidP="00B45E1D">
            <w:pPr>
              <w:pStyle w:val="EMEANormal"/>
              <w:rPr>
                <w:del w:id="7310" w:author="AbbVie_HU_03" w:date="2025-05-14T15:27:00Z"/>
                <w:szCs w:val="22"/>
                <w:lang w:val="hu-HU"/>
              </w:rPr>
            </w:pPr>
            <w:del w:id="7311" w:author="AbbVie_HU_03" w:date="2025-05-14T15:27:00Z">
              <w:r w:rsidRPr="00183B5F">
                <w:rPr>
                  <w:szCs w:val="22"/>
                  <w:lang w:val="hu-HU"/>
                </w:rPr>
                <w:delText>115</w:delText>
              </w:r>
            </w:del>
          </w:p>
        </w:tc>
        <w:tc>
          <w:tcPr>
            <w:tcW w:w="1170" w:type="dxa"/>
            <w:tcBorders>
              <w:top w:val="nil"/>
              <w:left w:val="nil"/>
              <w:bottom w:val="single" w:sz="4" w:space="0" w:color="auto"/>
              <w:right w:val="nil"/>
            </w:tcBorders>
          </w:tcPr>
          <w:p w14:paraId="221ECDE5" w14:textId="1C105AC9" w:rsidR="00180572" w:rsidRPr="00183B5F" w:rsidRDefault="00943743" w:rsidP="00B45E1D">
            <w:pPr>
              <w:pStyle w:val="EMEANormal"/>
              <w:rPr>
                <w:del w:id="7312" w:author="AbbVie_HU_03" w:date="2025-05-14T15:27:00Z"/>
                <w:szCs w:val="22"/>
                <w:lang w:val="hu-HU"/>
              </w:rPr>
            </w:pPr>
            <w:del w:id="7313" w:author="AbbVie_HU_03" w:date="2025-05-14T15:27:00Z">
              <w:r w:rsidRPr="00183B5F">
                <w:rPr>
                  <w:szCs w:val="22"/>
                  <w:lang w:val="hu-HU"/>
                </w:rPr>
                <w:delText>45 (39,1)</w:delText>
              </w:r>
            </w:del>
          </w:p>
        </w:tc>
        <w:tc>
          <w:tcPr>
            <w:tcW w:w="1890" w:type="dxa"/>
            <w:tcBorders>
              <w:top w:val="nil"/>
              <w:left w:val="nil"/>
              <w:bottom w:val="single" w:sz="4" w:space="0" w:color="auto"/>
              <w:right w:val="nil"/>
            </w:tcBorders>
          </w:tcPr>
          <w:p w14:paraId="12CD8A2F" w14:textId="6CDD487A" w:rsidR="00180572" w:rsidRPr="00183B5F" w:rsidRDefault="00943743" w:rsidP="00B45E1D">
            <w:pPr>
              <w:pStyle w:val="EMEANormal"/>
              <w:rPr>
                <w:del w:id="7314" w:author="AbbVie_HU_03" w:date="2025-05-14T15:27:00Z"/>
                <w:szCs w:val="22"/>
                <w:lang w:val="hu-HU"/>
              </w:rPr>
            </w:pPr>
            <w:del w:id="7315" w:author="AbbVie_HU_03" w:date="2025-05-14T15:27:00Z">
              <w:r w:rsidRPr="00183B5F">
                <w:rPr>
                  <w:szCs w:val="22"/>
                  <w:lang w:val="hu-HU"/>
                </w:rPr>
                <w:delText>N</w:delText>
              </w:r>
              <w:r w:rsidR="0020794F" w:rsidRPr="00183B5F">
                <w:rPr>
                  <w:szCs w:val="22"/>
                  <w:lang w:val="hu-HU"/>
                </w:rPr>
                <w:delText>B</w:delText>
              </w:r>
              <w:r w:rsidRPr="00183B5F">
                <w:rPr>
                  <w:szCs w:val="22"/>
                  <w:vertAlign w:val="superscript"/>
                  <w:lang w:val="hu-HU"/>
                </w:rPr>
                <w:delText>c</w:delText>
              </w:r>
            </w:del>
          </w:p>
        </w:tc>
        <w:tc>
          <w:tcPr>
            <w:tcW w:w="720" w:type="dxa"/>
            <w:tcBorders>
              <w:top w:val="nil"/>
              <w:left w:val="nil"/>
              <w:bottom w:val="single" w:sz="4" w:space="0" w:color="auto"/>
              <w:right w:val="nil"/>
            </w:tcBorders>
          </w:tcPr>
          <w:p w14:paraId="723AE531" w14:textId="24FD7117" w:rsidR="00180572" w:rsidRPr="00183B5F" w:rsidRDefault="00943743" w:rsidP="00B45E1D">
            <w:pPr>
              <w:pStyle w:val="EMEANormal"/>
              <w:rPr>
                <w:del w:id="7316" w:author="AbbVie_HU_03" w:date="2025-05-14T15:27:00Z"/>
                <w:szCs w:val="22"/>
                <w:lang w:val="hu-HU"/>
              </w:rPr>
            </w:pPr>
            <w:del w:id="7317" w:author="AbbVie_HU_03" w:date="2025-05-14T15:27:00Z">
              <w:r w:rsidRPr="00183B5F">
                <w:rPr>
                  <w:szCs w:val="22"/>
                  <w:lang w:val="hu-HU"/>
                </w:rPr>
                <w:delText>0,57</w:delText>
              </w:r>
            </w:del>
          </w:p>
        </w:tc>
        <w:tc>
          <w:tcPr>
            <w:tcW w:w="1170" w:type="dxa"/>
            <w:tcBorders>
              <w:top w:val="nil"/>
              <w:left w:val="nil"/>
              <w:bottom w:val="single" w:sz="4" w:space="0" w:color="auto"/>
              <w:right w:val="nil"/>
            </w:tcBorders>
          </w:tcPr>
          <w:p w14:paraId="58778AE0" w14:textId="4C071488" w:rsidR="00180572" w:rsidRPr="00183B5F" w:rsidRDefault="00943743" w:rsidP="00B45E1D">
            <w:pPr>
              <w:pStyle w:val="EMEANormal"/>
              <w:rPr>
                <w:del w:id="7318" w:author="AbbVie_HU_03" w:date="2025-05-14T15:27:00Z"/>
                <w:szCs w:val="22"/>
                <w:lang w:val="hu-HU"/>
              </w:rPr>
            </w:pPr>
            <w:del w:id="7319" w:author="AbbVie_HU_03" w:date="2025-05-14T15:27:00Z">
              <w:r w:rsidRPr="00183B5F">
                <w:rPr>
                  <w:szCs w:val="22"/>
                  <w:lang w:val="hu-HU"/>
                </w:rPr>
                <w:delText>0,39; 0,84</w:delText>
              </w:r>
            </w:del>
          </w:p>
        </w:tc>
        <w:tc>
          <w:tcPr>
            <w:tcW w:w="1080" w:type="dxa"/>
            <w:tcBorders>
              <w:top w:val="nil"/>
              <w:left w:val="nil"/>
              <w:bottom w:val="single" w:sz="4" w:space="0" w:color="auto"/>
              <w:right w:val="nil"/>
            </w:tcBorders>
          </w:tcPr>
          <w:p w14:paraId="7D1799CC" w14:textId="3CE13E30" w:rsidR="00180572" w:rsidRPr="00183B5F" w:rsidRDefault="00943743" w:rsidP="00B45E1D">
            <w:pPr>
              <w:pStyle w:val="EMEANormal"/>
              <w:rPr>
                <w:del w:id="7320" w:author="AbbVie_HU_03" w:date="2025-05-14T15:27:00Z"/>
                <w:szCs w:val="22"/>
                <w:lang w:val="hu-HU"/>
              </w:rPr>
            </w:pPr>
            <w:del w:id="7321" w:author="AbbVie_HU_03" w:date="2025-05-14T15:27:00Z">
              <w:r w:rsidRPr="00183B5F">
                <w:rPr>
                  <w:szCs w:val="22"/>
                  <w:lang w:val="hu-HU"/>
                </w:rPr>
                <w:delText>0,004</w:delText>
              </w:r>
            </w:del>
          </w:p>
        </w:tc>
      </w:tr>
    </w:tbl>
    <w:p w14:paraId="3DD285D7" w14:textId="365E9992" w:rsidR="00180572" w:rsidRPr="00183B5F" w:rsidRDefault="00943743" w:rsidP="00B45E1D">
      <w:pPr>
        <w:pStyle w:val="EMEANormal"/>
        <w:rPr>
          <w:del w:id="7322" w:author="AbbVie_HU_03" w:date="2025-05-14T15:27:00Z"/>
          <w:szCs w:val="22"/>
          <w:lang w:val="hu-HU"/>
        </w:rPr>
      </w:pPr>
      <w:del w:id="7323" w:author="AbbVie_HU_03" w:date="2025-05-14T15:27:00Z">
        <w:r w:rsidRPr="00183B5F">
          <w:rPr>
            <w:szCs w:val="22"/>
            <w:lang w:val="hu-HU"/>
          </w:rPr>
          <w:delText xml:space="preserve">Megjegyzés: </w:delText>
        </w:r>
        <w:r w:rsidR="00324F42" w:rsidRPr="00183B5F">
          <w:rPr>
            <w:szCs w:val="22"/>
            <w:lang w:val="hu-HU"/>
          </w:rPr>
          <w:delText>Esemény</w:delText>
        </w:r>
        <w:r w:rsidR="00AD347E" w:rsidRPr="00183B5F">
          <w:rPr>
            <w:szCs w:val="22"/>
            <w:lang w:val="hu-HU"/>
          </w:rPr>
          <w:delText>nek értékelték</w:delText>
        </w:r>
        <w:r w:rsidR="00324F42" w:rsidRPr="00183B5F">
          <w:rPr>
            <w:szCs w:val="22"/>
            <w:lang w:val="hu-HU"/>
          </w:rPr>
          <w:delText xml:space="preserve"> a </w:delText>
        </w:r>
        <w:r w:rsidRPr="00183B5F">
          <w:rPr>
            <w:szCs w:val="22"/>
            <w:lang w:val="hu-HU"/>
          </w:rPr>
          <w:delText xml:space="preserve">kezelés eredménytelenségét a 6. héten vagy </w:delText>
        </w:r>
        <w:r w:rsidR="00AD347E" w:rsidRPr="00183B5F">
          <w:rPr>
            <w:szCs w:val="22"/>
            <w:lang w:val="hu-HU"/>
          </w:rPr>
          <w:delText>azt követően</w:delText>
        </w:r>
        <w:r w:rsidRPr="00183B5F">
          <w:rPr>
            <w:szCs w:val="22"/>
            <w:lang w:val="hu-HU"/>
          </w:rPr>
          <w:delText xml:space="preserve"> (UV I vizsgálat) vagy a 2. héten vagy </w:delText>
        </w:r>
        <w:r w:rsidR="00AD347E" w:rsidRPr="00183B5F">
          <w:rPr>
            <w:szCs w:val="22"/>
            <w:lang w:val="hu-HU"/>
          </w:rPr>
          <w:delText>azt követően</w:delText>
        </w:r>
        <w:r w:rsidRPr="00183B5F">
          <w:rPr>
            <w:szCs w:val="22"/>
            <w:lang w:val="hu-HU"/>
          </w:rPr>
          <w:delText xml:space="preserve"> (UV II vizsgálat). </w:delText>
        </w:r>
        <w:r w:rsidR="0020794F" w:rsidRPr="00183B5F">
          <w:rPr>
            <w:szCs w:val="22"/>
            <w:lang w:val="hu-HU"/>
          </w:rPr>
          <w:delText>Azok</w:delText>
        </w:r>
        <w:r w:rsidR="00AD347E" w:rsidRPr="00183B5F">
          <w:rPr>
            <w:szCs w:val="22"/>
            <w:lang w:val="hu-HU"/>
          </w:rPr>
          <w:delText>nak</w:delText>
        </w:r>
        <w:r w:rsidR="0020794F" w:rsidRPr="00183B5F">
          <w:rPr>
            <w:szCs w:val="22"/>
            <w:lang w:val="hu-HU"/>
          </w:rPr>
          <w:delText xml:space="preserve"> a betegek</w:delText>
        </w:r>
        <w:r w:rsidR="00AD347E" w:rsidRPr="00183B5F">
          <w:rPr>
            <w:szCs w:val="22"/>
            <w:lang w:val="hu-HU"/>
          </w:rPr>
          <w:delText>nek az adatait cenzorálták a vizsgálat abbahagyásakor,</w:delText>
        </w:r>
        <w:r w:rsidR="00324F42" w:rsidRPr="00183B5F">
          <w:rPr>
            <w:szCs w:val="22"/>
            <w:lang w:val="hu-HU"/>
          </w:rPr>
          <w:delText xml:space="preserve"> akik nem a kezelés eredménytelensége miat</w:delText>
        </w:r>
        <w:r w:rsidR="0020794F" w:rsidRPr="00183B5F">
          <w:rPr>
            <w:szCs w:val="22"/>
            <w:lang w:val="hu-HU"/>
          </w:rPr>
          <w:delText>t hagyták abba a vizsgálatot.</w:delText>
        </w:r>
      </w:del>
    </w:p>
    <w:p w14:paraId="5065577B" w14:textId="1896E3C6" w:rsidR="00180572" w:rsidRPr="00183B5F" w:rsidRDefault="00943743" w:rsidP="009F6211">
      <w:pPr>
        <w:pStyle w:val="EMEANormal"/>
        <w:tabs>
          <w:tab w:val="clear" w:pos="562"/>
          <w:tab w:val="left" w:pos="426"/>
        </w:tabs>
        <w:ind w:left="426" w:hanging="426"/>
        <w:rPr>
          <w:del w:id="7324" w:author="AbbVie_HU_03" w:date="2025-05-14T15:27:00Z"/>
          <w:szCs w:val="22"/>
          <w:lang w:val="hu-HU"/>
        </w:rPr>
      </w:pPr>
      <w:del w:id="7325" w:author="AbbVie_HU_03" w:date="2025-05-14T15:27:00Z">
        <w:r w:rsidRPr="00183B5F">
          <w:rPr>
            <w:szCs w:val="22"/>
            <w:vertAlign w:val="superscript"/>
            <w:lang w:val="hu-HU"/>
          </w:rPr>
          <w:delText>a</w:delText>
        </w:r>
        <w:r w:rsidRPr="00183B5F">
          <w:rPr>
            <w:szCs w:val="22"/>
            <w:lang w:val="hu-HU"/>
          </w:rPr>
          <w:delText xml:space="preserve"> </w:delText>
        </w:r>
        <w:r w:rsidRPr="00183B5F">
          <w:rPr>
            <w:szCs w:val="22"/>
            <w:lang w:val="hu-HU"/>
          </w:rPr>
          <w:tab/>
        </w:r>
        <w:r w:rsidR="0020794F" w:rsidRPr="00183B5F">
          <w:rPr>
            <w:szCs w:val="22"/>
            <w:lang w:val="hu-HU"/>
          </w:rPr>
          <w:delText>az adalimumab placeb</w:delText>
        </w:r>
        <w:r w:rsidR="006B4E55" w:rsidRPr="00183B5F">
          <w:rPr>
            <w:szCs w:val="22"/>
            <w:lang w:val="hu-HU"/>
          </w:rPr>
          <w:delText>ó</w:delText>
        </w:r>
        <w:r w:rsidR="0020794F" w:rsidRPr="00183B5F">
          <w:rPr>
            <w:szCs w:val="22"/>
            <w:lang w:val="hu-HU"/>
          </w:rPr>
          <w:delText xml:space="preserve">val szembeni relatív hazárd értéke </w:delText>
        </w:r>
        <w:r w:rsidR="009F6211" w:rsidRPr="00183B5F">
          <w:rPr>
            <w:szCs w:val="22"/>
            <w:lang w:val="hu-HU"/>
          </w:rPr>
          <w:delText>(</w:delText>
        </w:r>
        <w:r w:rsidR="0020794F" w:rsidRPr="00183B5F">
          <w:rPr>
            <w:szCs w:val="22"/>
            <w:lang w:val="hu-HU"/>
          </w:rPr>
          <w:delText xml:space="preserve">arányos hazárd regresszióból, </w:delText>
        </w:r>
        <w:r w:rsidR="00AD347E" w:rsidRPr="00183B5F">
          <w:rPr>
            <w:szCs w:val="22"/>
            <w:lang w:val="hu-HU"/>
          </w:rPr>
          <w:delText xml:space="preserve">a </w:delText>
        </w:r>
        <w:r w:rsidR="0020794F" w:rsidRPr="00183B5F">
          <w:rPr>
            <w:szCs w:val="22"/>
            <w:lang w:val="hu-HU"/>
          </w:rPr>
          <w:delText>kezelés</w:delText>
        </w:r>
        <w:r w:rsidR="00AD347E" w:rsidRPr="00183B5F">
          <w:rPr>
            <w:szCs w:val="22"/>
            <w:lang w:val="hu-HU"/>
          </w:rPr>
          <w:delText>t</w:delText>
        </w:r>
        <w:r w:rsidR="0020794F" w:rsidRPr="00183B5F">
          <w:rPr>
            <w:szCs w:val="22"/>
            <w:lang w:val="hu-HU"/>
          </w:rPr>
          <w:delText xml:space="preserve"> faktor</w:delText>
        </w:r>
        <w:r w:rsidR="00AD347E" w:rsidRPr="00183B5F">
          <w:rPr>
            <w:szCs w:val="22"/>
            <w:lang w:val="hu-HU"/>
          </w:rPr>
          <w:delText>ként figyelembe véve</w:delText>
        </w:r>
        <w:r w:rsidR="009F6211" w:rsidRPr="00183B5F">
          <w:rPr>
            <w:szCs w:val="22"/>
            <w:lang w:val="hu-HU"/>
          </w:rPr>
          <w:delText>)</w:delText>
        </w:r>
        <w:r w:rsidRPr="00183B5F">
          <w:rPr>
            <w:szCs w:val="22"/>
            <w:lang w:val="hu-HU"/>
          </w:rPr>
          <w:delText>.</w:delText>
        </w:r>
      </w:del>
    </w:p>
    <w:p w14:paraId="5AD9E35F" w14:textId="4C47C2BC" w:rsidR="00180572" w:rsidRPr="00183B5F" w:rsidRDefault="00943743" w:rsidP="00832DC3">
      <w:pPr>
        <w:pStyle w:val="EMEANormal"/>
        <w:keepNext/>
        <w:tabs>
          <w:tab w:val="clear" w:pos="562"/>
          <w:tab w:val="left" w:pos="426"/>
        </w:tabs>
        <w:rPr>
          <w:del w:id="7326" w:author="AbbVie_HU_03" w:date="2025-05-14T15:27:00Z"/>
          <w:szCs w:val="22"/>
          <w:lang w:val="hu-HU"/>
        </w:rPr>
      </w:pPr>
      <w:del w:id="7327" w:author="AbbVie_HU_03" w:date="2025-05-14T15:27:00Z">
        <w:r w:rsidRPr="00183B5F">
          <w:rPr>
            <w:szCs w:val="22"/>
            <w:vertAlign w:val="superscript"/>
            <w:lang w:val="hu-HU"/>
          </w:rPr>
          <w:delText>b</w:delText>
        </w:r>
        <w:r w:rsidRPr="00183B5F">
          <w:rPr>
            <w:szCs w:val="22"/>
            <w:vertAlign w:val="superscript"/>
            <w:lang w:val="hu-HU"/>
          </w:rPr>
          <w:tab/>
        </w:r>
        <w:r w:rsidR="00667947" w:rsidRPr="00183B5F">
          <w:rPr>
            <w:szCs w:val="22"/>
            <w:lang w:val="hu-HU"/>
          </w:rPr>
          <w:delText>L</w:delText>
        </w:r>
        <w:r w:rsidR="0020794F" w:rsidRPr="00183B5F">
          <w:rPr>
            <w:szCs w:val="22"/>
            <w:lang w:val="hu-HU"/>
          </w:rPr>
          <w:delText>ograng</w:delText>
        </w:r>
        <w:r w:rsidR="00667947" w:rsidRPr="00183B5F">
          <w:rPr>
            <w:szCs w:val="22"/>
            <w:lang w:val="hu-HU"/>
          </w:rPr>
          <w:noBreakHyphen/>
        </w:r>
        <w:r w:rsidR="0020794F" w:rsidRPr="00183B5F">
          <w:rPr>
            <w:szCs w:val="22"/>
            <w:lang w:val="hu-HU"/>
          </w:rPr>
          <w:delText>próbából meghatározott 2-oldal</w:delText>
        </w:r>
        <w:r w:rsidR="00AD347E" w:rsidRPr="00183B5F">
          <w:rPr>
            <w:szCs w:val="22"/>
            <w:lang w:val="hu-HU"/>
          </w:rPr>
          <w:delText>as</w:delText>
        </w:r>
        <w:r w:rsidR="0020794F" w:rsidRPr="00183B5F">
          <w:rPr>
            <w:szCs w:val="22"/>
            <w:lang w:val="hu-HU"/>
          </w:rPr>
          <w:delText xml:space="preserve"> </w:delText>
        </w:r>
        <w:r w:rsidRPr="00183B5F">
          <w:rPr>
            <w:i/>
            <w:szCs w:val="22"/>
            <w:lang w:val="hu-HU"/>
          </w:rPr>
          <w:delText>P</w:delText>
        </w:r>
        <w:r w:rsidRPr="00183B5F">
          <w:rPr>
            <w:szCs w:val="22"/>
            <w:lang w:val="hu-HU"/>
          </w:rPr>
          <w:noBreakHyphen/>
        </w:r>
        <w:r w:rsidR="0020794F" w:rsidRPr="00183B5F">
          <w:rPr>
            <w:szCs w:val="22"/>
            <w:lang w:val="hu-HU"/>
          </w:rPr>
          <w:delText>érték</w:delText>
        </w:r>
        <w:r w:rsidRPr="00183B5F">
          <w:rPr>
            <w:szCs w:val="22"/>
            <w:lang w:val="hu-HU"/>
          </w:rPr>
          <w:delText>.</w:delText>
        </w:r>
      </w:del>
    </w:p>
    <w:p w14:paraId="73F49D9B" w14:textId="2BB76782" w:rsidR="00180572" w:rsidRPr="00183B5F" w:rsidRDefault="00943743" w:rsidP="00832DC3">
      <w:pPr>
        <w:pStyle w:val="EMEANormal"/>
        <w:keepNext/>
        <w:tabs>
          <w:tab w:val="clear" w:pos="562"/>
          <w:tab w:val="left" w:pos="426"/>
        </w:tabs>
        <w:rPr>
          <w:del w:id="7328" w:author="AbbVie_HU_03" w:date="2025-05-14T15:27:00Z"/>
          <w:szCs w:val="22"/>
          <w:lang w:val="hu-HU"/>
        </w:rPr>
      </w:pPr>
      <w:del w:id="7329" w:author="AbbVie_HU_03" w:date="2025-05-14T15:27:00Z">
        <w:r w:rsidRPr="00183B5F">
          <w:rPr>
            <w:szCs w:val="22"/>
            <w:vertAlign w:val="superscript"/>
            <w:lang w:val="hu-HU"/>
          </w:rPr>
          <w:delText>c</w:delText>
        </w:r>
        <w:r w:rsidRPr="00183B5F">
          <w:rPr>
            <w:szCs w:val="22"/>
            <w:lang w:val="hu-HU"/>
          </w:rPr>
          <w:delText xml:space="preserve"> </w:delText>
        </w:r>
        <w:r w:rsidRPr="00183B5F">
          <w:rPr>
            <w:szCs w:val="22"/>
            <w:lang w:val="hu-HU"/>
          </w:rPr>
          <w:tab/>
        </w:r>
        <w:r w:rsidR="0020794F" w:rsidRPr="00183B5F">
          <w:rPr>
            <w:szCs w:val="22"/>
            <w:lang w:val="hu-HU"/>
          </w:rPr>
          <w:delText>NB</w:delText>
        </w:r>
        <w:r w:rsidR="006D1109" w:rsidRPr="00183B5F">
          <w:rPr>
            <w:szCs w:val="22"/>
            <w:lang w:val="hu-HU"/>
          </w:rPr>
          <w:delText> </w:delText>
        </w:r>
        <w:r w:rsidRPr="00183B5F">
          <w:rPr>
            <w:szCs w:val="22"/>
            <w:lang w:val="hu-HU"/>
          </w:rPr>
          <w:delText>=</w:delText>
        </w:r>
        <w:r w:rsidR="006D1109" w:rsidRPr="00183B5F">
          <w:rPr>
            <w:szCs w:val="22"/>
            <w:lang w:val="hu-HU"/>
          </w:rPr>
          <w:delText> </w:delText>
        </w:r>
        <w:r w:rsidR="0020794F" w:rsidRPr="00183B5F">
          <w:rPr>
            <w:szCs w:val="22"/>
            <w:lang w:val="hu-HU"/>
          </w:rPr>
          <w:delText>nem becsülhető</w:delText>
        </w:r>
        <w:r w:rsidRPr="00183B5F">
          <w:rPr>
            <w:szCs w:val="22"/>
            <w:lang w:val="hu-HU"/>
          </w:rPr>
          <w:delText xml:space="preserve">. </w:delText>
        </w:r>
        <w:r w:rsidR="00A70657" w:rsidRPr="00183B5F">
          <w:rPr>
            <w:szCs w:val="22"/>
            <w:lang w:val="hu-HU"/>
          </w:rPr>
          <w:delText xml:space="preserve">A </w:delText>
        </w:r>
        <w:r w:rsidR="006B4E55" w:rsidRPr="00183B5F">
          <w:rPr>
            <w:szCs w:val="22"/>
            <w:lang w:val="hu-HU"/>
          </w:rPr>
          <w:delText>veszélyeztetett betegek</w:delText>
        </w:r>
        <w:r w:rsidR="00A70657" w:rsidRPr="00183B5F">
          <w:rPr>
            <w:szCs w:val="22"/>
            <w:lang w:val="hu-HU"/>
          </w:rPr>
          <w:delText xml:space="preserve"> kevesebb mint felénél történt esemény</w:delText>
        </w:r>
        <w:r w:rsidRPr="00183B5F">
          <w:rPr>
            <w:szCs w:val="22"/>
            <w:lang w:val="hu-HU"/>
          </w:rPr>
          <w:delText xml:space="preserve">. </w:delText>
        </w:r>
      </w:del>
    </w:p>
    <w:p w14:paraId="0A4F4B4F" w14:textId="360ABC18" w:rsidR="00180572" w:rsidRPr="00183B5F" w:rsidRDefault="00180572">
      <w:pPr>
        <w:pStyle w:val="EMEANormal"/>
        <w:rPr>
          <w:del w:id="7330" w:author="AbbVie_HU_03" w:date="2025-05-14T15:27:00Z"/>
          <w:szCs w:val="22"/>
          <w:lang w:val="hu-HU"/>
        </w:rPr>
      </w:pPr>
    </w:p>
    <w:p w14:paraId="1F08BCE4" w14:textId="0E310147" w:rsidR="00180572" w:rsidRPr="00183B5F" w:rsidRDefault="00943743" w:rsidP="00FC288C">
      <w:pPr>
        <w:pStyle w:val="EMEANormal"/>
        <w:ind w:left="360"/>
        <w:jc w:val="center"/>
        <w:rPr>
          <w:del w:id="7331" w:author="AbbVie_HU_03" w:date="2025-05-14T15:27:00Z"/>
          <w:b/>
          <w:szCs w:val="22"/>
          <w:lang w:val="hu-HU"/>
        </w:rPr>
      </w:pPr>
      <w:del w:id="7332" w:author="AbbVie_HU_03" w:date="2025-05-14T15:27:00Z">
        <w:r w:rsidRPr="00183B5F">
          <w:rPr>
            <w:b/>
            <w:szCs w:val="22"/>
            <w:lang w:val="hu-HU"/>
          </w:rPr>
          <w:delText xml:space="preserve">2. </w:delText>
        </w:r>
        <w:r w:rsidR="007E692B" w:rsidRPr="00183B5F">
          <w:rPr>
            <w:b/>
            <w:szCs w:val="22"/>
            <w:lang w:val="hu-HU"/>
          </w:rPr>
          <w:delText>ábra</w:delText>
        </w:r>
        <w:r w:rsidRPr="00183B5F">
          <w:rPr>
            <w:b/>
            <w:szCs w:val="22"/>
            <w:lang w:val="hu-HU"/>
          </w:rPr>
          <w:delText xml:space="preserve">: </w:delText>
        </w:r>
        <w:r w:rsidR="00AD347E" w:rsidRPr="00183B5F">
          <w:rPr>
            <w:b/>
            <w:szCs w:val="22"/>
            <w:lang w:val="hu-HU"/>
          </w:rPr>
          <w:delText>A</w:delText>
        </w:r>
        <w:r w:rsidR="007E692B" w:rsidRPr="00183B5F">
          <w:rPr>
            <w:b/>
            <w:szCs w:val="22"/>
            <w:lang w:val="hu-HU"/>
          </w:rPr>
          <w:delText xml:space="preserve"> kezelés eredménytelenségéig eltelt idő</w:delText>
        </w:r>
        <w:r w:rsidR="00AD347E" w:rsidRPr="00183B5F">
          <w:rPr>
            <w:b/>
            <w:szCs w:val="22"/>
            <w:lang w:val="hu-HU"/>
          </w:rPr>
          <w:delText>t</w:delText>
        </w:r>
        <w:r w:rsidR="007E692B" w:rsidRPr="00183B5F">
          <w:rPr>
            <w:b/>
            <w:szCs w:val="22"/>
            <w:lang w:val="hu-HU"/>
          </w:rPr>
          <w:delText xml:space="preserve"> a 6.</w:delText>
        </w:r>
        <w:r w:rsidR="00B45E1D" w:rsidRPr="00183B5F">
          <w:rPr>
            <w:b/>
            <w:szCs w:val="22"/>
            <w:lang w:val="hu-HU"/>
          </w:rPr>
          <w:delText> </w:delText>
        </w:r>
        <w:r w:rsidR="007E692B" w:rsidRPr="00183B5F">
          <w:rPr>
            <w:b/>
            <w:szCs w:val="22"/>
            <w:lang w:val="hu-HU"/>
          </w:rPr>
          <w:delText xml:space="preserve">héten vagy </w:delText>
        </w:r>
        <w:r w:rsidR="00AD347E" w:rsidRPr="00183B5F">
          <w:rPr>
            <w:b/>
            <w:szCs w:val="22"/>
            <w:lang w:val="hu-HU"/>
          </w:rPr>
          <w:delText>azt követően</w:delText>
        </w:r>
        <w:r w:rsidR="007E692B" w:rsidRPr="00183B5F">
          <w:rPr>
            <w:b/>
            <w:szCs w:val="22"/>
            <w:lang w:val="hu-HU"/>
          </w:rPr>
          <w:delText xml:space="preserve"> (UV I vizsgálat) </w:delText>
        </w:r>
        <w:r w:rsidR="00AD347E" w:rsidRPr="00183B5F">
          <w:rPr>
            <w:b/>
            <w:szCs w:val="22"/>
            <w:lang w:val="hu-HU"/>
          </w:rPr>
          <w:delText>illetve</w:delText>
        </w:r>
        <w:r w:rsidR="007E692B" w:rsidRPr="00183B5F">
          <w:rPr>
            <w:b/>
            <w:szCs w:val="22"/>
            <w:lang w:val="hu-HU"/>
          </w:rPr>
          <w:delText xml:space="preserve"> a 2.</w:delText>
        </w:r>
        <w:r w:rsidR="00B45E1D" w:rsidRPr="00183B5F">
          <w:rPr>
            <w:b/>
            <w:szCs w:val="22"/>
            <w:lang w:val="hu-HU"/>
          </w:rPr>
          <w:delText> </w:delText>
        </w:r>
        <w:r w:rsidR="007E692B" w:rsidRPr="00183B5F">
          <w:rPr>
            <w:b/>
            <w:szCs w:val="22"/>
            <w:lang w:val="hu-HU"/>
          </w:rPr>
          <w:delText xml:space="preserve">héten vagy </w:delText>
        </w:r>
        <w:r w:rsidR="00AD347E" w:rsidRPr="00183B5F">
          <w:rPr>
            <w:b/>
            <w:szCs w:val="22"/>
            <w:lang w:val="hu-HU"/>
          </w:rPr>
          <w:delText>azt követően</w:delText>
        </w:r>
        <w:r w:rsidR="007E692B" w:rsidRPr="00183B5F">
          <w:rPr>
            <w:b/>
            <w:szCs w:val="22"/>
            <w:lang w:val="hu-HU"/>
          </w:rPr>
          <w:delText xml:space="preserve"> (UV II vizsgálat) </w:delText>
        </w:r>
        <w:r w:rsidR="00AD347E" w:rsidRPr="00183B5F">
          <w:rPr>
            <w:b/>
            <w:szCs w:val="22"/>
            <w:lang w:val="hu-HU"/>
          </w:rPr>
          <w:delText>bemutató</w:delText>
        </w:r>
        <w:r w:rsidRPr="00183B5F">
          <w:rPr>
            <w:b/>
            <w:szCs w:val="22"/>
            <w:lang w:val="hu-HU"/>
          </w:rPr>
          <w:delText xml:space="preserve"> </w:delText>
        </w:r>
        <w:r w:rsidR="00AD347E" w:rsidRPr="00183B5F">
          <w:rPr>
            <w:b/>
            <w:szCs w:val="22"/>
            <w:lang w:val="hu-HU"/>
          </w:rPr>
          <w:delText>Kaplan-Meier görb</w:delText>
        </w:r>
        <w:r w:rsidR="007D32C8" w:rsidRPr="00183B5F">
          <w:rPr>
            <w:b/>
            <w:szCs w:val="22"/>
            <w:lang w:val="hu-HU"/>
          </w:rPr>
          <w:delText>ék</w:delText>
        </w:r>
      </w:del>
    </w:p>
    <w:p w14:paraId="2D432A3B" w14:textId="090AB9E4" w:rsidR="00180572" w:rsidRPr="00183B5F" w:rsidRDefault="00180572" w:rsidP="00FE0197">
      <w:pPr>
        <w:pStyle w:val="EMEANormal"/>
        <w:jc w:val="center"/>
        <w:rPr>
          <w:del w:id="7333" w:author="AbbVie_HU_03" w:date="2025-05-14T15:27:00Z"/>
          <w:b/>
          <w:szCs w:val="22"/>
          <w:lang w:val="hu-HU"/>
        </w:rPr>
      </w:pPr>
    </w:p>
    <w:tbl>
      <w:tblPr>
        <w:tblW w:w="9481" w:type="dxa"/>
        <w:tblLayout w:type="fixed"/>
        <w:tblLook w:val="04A0" w:firstRow="1" w:lastRow="0" w:firstColumn="1" w:lastColumn="0" w:noHBand="0" w:noVBand="1"/>
      </w:tblPr>
      <w:tblGrid>
        <w:gridCol w:w="675"/>
        <w:gridCol w:w="3496"/>
        <w:gridCol w:w="1170"/>
        <w:gridCol w:w="1350"/>
        <w:gridCol w:w="900"/>
        <w:gridCol w:w="1890"/>
      </w:tblGrid>
      <w:tr w:rsidR="00011D2F" w14:paraId="3487AEEC" w14:textId="096C8E37" w:rsidTr="00673624">
        <w:trPr>
          <w:cantSplit/>
          <w:trHeight w:val="3806"/>
          <w:del w:id="7334" w:author="AbbVie_HU_03" w:date="2025-05-14T15:27:00Z"/>
        </w:trPr>
        <w:tc>
          <w:tcPr>
            <w:tcW w:w="675" w:type="dxa"/>
            <w:textDirection w:val="btLr"/>
            <w:vAlign w:val="bottom"/>
          </w:tcPr>
          <w:p w14:paraId="04B7E424" w14:textId="618A6875" w:rsidR="00180572" w:rsidRPr="00183B5F" w:rsidRDefault="00943743" w:rsidP="00FE0197">
            <w:pPr>
              <w:pStyle w:val="EMEANormal"/>
              <w:ind w:left="113" w:right="113"/>
              <w:jc w:val="center"/>
              <w:rPr>
                <w:del w:id="7335" w:author="AbbVie_HU_03" w:date="2025-05-14T15:27:00Z"/>
                <w:b/>
                <w:szCs w:val="22"/>
                <w:lang w:val="hu-HU"/>
              </w:rPr>
            </w:pPr>
            <w:del w:id="7336" w:author="AbbVie_HU_03" w:date="2025-05-14T15:27:00Z">
              <w:r w:rsidRPr="00183B5F">
                <w:rPr>
                  <w:b/>
                  <w:szCs w:val="22"/>
                  <w:lang w:val="hu-HU"/>
                </w:rPr>
                <w:delText>Kezelés eredménytelenség</w:delText>
              </w:r>
              <w:r w:rsidR="007D32C8" w:rsidRPr="00183B5F">
                <w:rPr>
                  <w:b/>
                  <w:szCs w:val="22"/>
                  <w:lang w:val="hu-HU"/>
                </w:rPr>
                <w:delText>émek</w:delText>
              </w:r>
              <w:r w:rsidRPr="00183B5F">
                <w:rPr>
                  <w:b/>
                  <w:szCs w:val="22"/>
                  <w:lang w:val="hu-HU"/>
                </w:rPr>
                <w:delText xml:space="preserve"> arány</w:delText>
              </w:r>
              <w:r w:rsidR="007D32C8" w:rsidRPr="00183B5F">
                <w:rPr>
                  <w:b/>
                  <w:szCs w:val="22"/>
                  <w:lang w:val="hu-HU"/>
                </w:rPr>
                <w:delText xml:space="preserve">a </w:delText>
              </w:r>
              <w:r w:rsidRPr="00183B5F">
                <w:rPr>
                  <w:b/>
                  <w:szCs w:val="22"/>
                  <w:lang w:val="hu-HU"/>
                </w:rPr>
                <w:delText>(%)</w:delText>
              </w:r>
            </w:del>
          </w:p>
        </w:tc>
        <w:tc>
          <w:tcPr>
            <w:tcW w:w="8806" w:type="dxa"/>
            <w:gridSpan w:val="5"/>
            <w:vAlign w:val="bottom"/>
          </w:tcPr>
          <w:p w14:paraId="1DB7F03A" w14:textId="3F03A20C" w:rsidR="00180572" w:rsidRPr="00183B5F" w:rsidRDefault="00943743" w:rsidP="00FE0197">
            <w:pPr>
              <w:pStyle w:val="EMEANormal"/>
              <w:rPr>
                <w:del w:id="7337" w:author="AbbVie_HU_03" w:date="2025-05-14T15:27:00Z"/>
                <w:szCs w:val="22"/>
                <w:lang w:val="hu-HU"/>
              </w:rPr>
            </w:pPr>
            <w:del w:id="7338" w:author="AbbVie_HU_03" w:date="2025-05-14T15:27:00Z">
              <w:r w:rsidRPr="00202B95">
                <w:rPr>
                  <w:noProof/>
                  <w:lang w:val="en-GB"/>
                </w:rPr>
                <w:drawing>
                  <wp:inline distT="0" distB="0" distL="0" distR="0" wp14:anchorId="76B71CD5" wp14:editId="69DA0BE4">
                    <wp:extent cx="5486400" cy="2209800"/>
                    <wp:effectExtent l="0" t="0" r="0" b="0"/>
                    <wp:docPr id="87" name="Picture 87"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1" descr="Humira Uveitis Figure 5_6"/>
                            <pic:cNvPicPr>
                              <a:picLocks noChangeAspect="1" noChangeArrowheads="1"/>
                            </pic:cNvPicPr>
                          </pic:nvPicPr>
                          <pic:blipFill>
                            <a:blip r:embed="rId11" r:link="rId12">
                              <a:extLst>
                                <a:ext uri="{28A0092B-C50C-407E-A947-70E740481C1C}">
                                  <a14:useLocalDpi xmlns:a14="http://schemas.microsoft.com/office/drawing/2010/main" val="0"/>
                                </a:ext>
                              </a:extLst>
                            </a:blip>
                            <a:stretch>
                              <a:fillRect/>
                            </a:stretch>
                          </pic:blipFill>
                          <pic:spPr bwMode="auto">
                            <a:xfrm>
                              <a:off x="0" y="0"/>
                              <a:ext cx="5486400" cy="2209800"/>
                            </a:xfrm>
                            <a:prstGeom prst="rect">
                              <a:avLst/>
                            </a:prstGeom>
                            <a:noFill/>
                            <a:ln>
                              <a:noFill/>
                            </a:ln>
                          </pic:spPr>
                        </pic:pic>
                      </a:graphicData>
                    </a:graphic>
                  </wp:inline>
                </w:drawing>
              </w:r>
            </w:del>
          </w:p>
        </w:tc>
      </w:tr>
      <w:tr w:rsidR="00011D2F" w14:paraId="5132C9B5" w14:textId="38DACF56" w:rsidTr="00673624">
        <w:trPr>
          <w:del w:id="7339" w:author="AbbVie_HU_03" w:date="2025-05-14T15:27:00Z"/>
        </w:trPr>
        <w:tc>
          <w:tcPr>
            <w:tcW w:w="675" w:type="dxa"/>
          </w:tcPr>
          <w:p w14:paraId="544E6302" w14:textId="24987E04" w:rsidR="00180572" w:rsidRPr="00183B5F" w:rsidRDefault="00180572" w:rsidP="00FE0197">
            <w:pPr>
              <w:pStyle w:val="EMEANormal"/>
              <w:rPr>
                <w:del w:id="7340" w:author="AbbVie_HU_03" w:date="2025-05-14T15:27:00Z"/>
                <w:szCs w:val="22"/>
                <w:lang w:val="hu-HU"/>
              </w:rPr>
            </w:pPr>
          </w:p>
        </w:tc>
        <w:tc>
          <w:tcPr>
            <w:tcW w:w="8806" w:type="dxa"/>
            <w:gridSpan w:val="5"/>
          </w:tcPr>
          <w:p w14:paraId="5E39244F" w14:textId="403B2A84" w:rsidR="00180572" w:rsidRPr="00183B5F" w:rsidRDefault="00943743" w:rsidP="00FE0197">
            <w:pPr>
              <w:pStyle w:val="EMEANormal"/>
              <w:jc w:val="center"/>
              <w:rPr>
                <w:del w:id="7341" w:author="AbbVie_HU_03" w:date="2025-05-14T15:27:00Z"/>
                <w:b/>
                <w:szCs w:val="22"/>
                <w:lang w:val="hu-HU"/>
              </w:rPr>
            </w:pPr>
            <w:del w:id="7342" w:author="AbbVie_HU_03" w:date="2025-05-14T15:27:00Z">
              <w:r w:rsidRPr="00183B5F">
                <w:rPr>
                  <w:b/>
                  <w:szCs w:val="22"/>
                  <w:lang w:val="hu-HU"/>
                </w:rPr>
                <w:delText>Idő (hónap)</w:delText>
              </w:r>
            </w:del>
          </w:p>
        </w:tc>
      </w:tr>
      <w:tr w:rsidR="00011D2F" w14:paraId="47FA7E92" w14:textId="49DF31A6" w:rsidTr="00673624">
        <w:trPr>
          <w:del w:id="7343" w:author="AbbVie_HU_03" w:date="2025-05-14T15:27:00Z"/>
        </w:trPr>
        <w:tc>
          <w:tcPr>
            <w:tcW w:w="675" w:type="dxa"/>
          </w:tcPr>
          <w:p w14:paraId="24710AE2" w14:textId="3D50F7B9" w:rsidR="00180572" w:rsidRPr="00183B5F" w:rsidRDefault="00180572" w:rsidP="00FE0197">
            <w:pPr>
              <w:pStyle w:val="EMEANormal"/>
              <w:rPr>
                <w:del w:id="7344" w:author="AbbVie_HU_03" w:date="2025-05-14T15:27:00Z"/>
                <w:szCs w:val="22"/>
                <w:lang w:val="hu-HU"/>
              </w:rPr>
            </w:pPr>
          </w:p>
        </w:tc>
        <w:tc>
          <w:tcPr>
            <w:tcW w:w="3496" w:type="dxa"/>
          </w:tcPr>
          <w:p w14:paraId="1FBB49AF" w14:textId="6D9E4CFA" w:rsidR="00180572" w:rsidRPr="00183B5F" w:rsidRDefault="00943743" w:rsidP="00FE0197">
            <w:pPr>
              <w:pStyle w:val="EMEANormal"/>
              <w:rPr>
                <w:del w:id="7345" w:author="AbbVie_HU_03" w:date="2025-05-14T15:27:00Z"/>
                <w:szCs w:val="22"/>
                <w:lang w:val="hu-HU"/>
              </w:rPr>
            </w:pPr>
            <w:del w:id="7346" w:author="AbbVie_HU_03" w:date="2025-05-14T15:27:00Z">
              <w:r w:rsidRPr="00183B5F">
                <w:rPr>
                  <w:szCs w:val="22"/>
                  <w:lang w:val="hu-HU"/>
                </w:rPr>
                <w:delText>UV I</w:delText>
              </w:r>
              <w:r w:rsidR="00F46110" w:rsidRPr="00183B5F">
                <w:rPr>
                  <w:szCs w:val="22"/>
                  <w:lang w:val="hu-HU"/>
                </w:rPr>
                <w:delText xml:space="preserve"> vizsgálat</w:delText>
              </w:r>
              <w:r w:rsidRPr="00183B5F">
                <w:rPr>
                  <w:szCs w:val="22"/>
                  <w:lang w:val="hu-HU"/>
                </w:rPr>
                <w:delText xml:space="preserve">                  </w:delText>
              </w:r>
              <w:r w:rsidR="00F46110" w:rsidRPr="00183B5F">
                <w:rPr>
                  <w:szCs w:val="22"/>
                  <w:lang w:val="hu-HU"/>
                </w:rPr>
                <w:delText>Kezelés</w:delText>
              </w:r>
            </w:del>
          </w:p>
        </w:tc>
        <w:tc>
          <w:tcPr>
            <w:tcW w:w="1170" w:type="dxa"/>
          </w:tcPr>
          <w:p w14:paraId="6F068049" w14:textId="1A40D31A" w:rsidR="00180572" w:rsidRPr="00183B5F" w:rsidRDefault="00943743" w:rsidP="00FE0197">
            <w:pPr>
              <w:pStyle w:val="EMEANormal"/>
              <w:jc w:val="right"/>
              <w:rPr>
                <w:del w:id="7347" w:author="AbbVie_HU_03" w:date="2025-05-14T15:27:00Z"/>
                <w:szCs w:val="22"/>
                <w:lang w:val="hu-HU"/>
              </w:rPr>
            </w:pPr>
            <w:del w:id="7348" w:author="AbbVie_HU_03" w:date="2025-05-14T15:27:00Z">
              <w:r w:rsidRPr="00202B95">
                <w:rPr>
                  <w:noProof/>
                  <w:lang w:val="en-GB"/>
                </w:rPr>
                <w:drawing>
                  <wp:inline distT="0" distB="0" distL="0" distR="0" wp14:anchorId="6D07150C" wp14:editId="43BF6ACA">
                    <wp:extent cx="396875" cy="180975"/>
                    <wp:effectExtent l="0" t="0" r="3175" b="9525"/>
                    <wp:docPr id="2" name="Picture 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96875" cy="180975"/>
                            </a:xfrm>
                            <a:prstGeom prst="rect">
                              <a:avLst/>
                            </a:prstGeom>
                            <a:noFill/>
                            <a:ln>
                              <a:noFill/>
                            </a:ln>
                          </pic:spPr>
                        </pic:pic>
                      </a:graphicData>
                    </a:graphic>
                  </wp:inline>
                </w:drawing>
              </w:r>
            </w:del>
          </w:p>
        </w:tc>
        <w:tc>
          <w:tcPr>
            <w:tcW w:w="1350" w:type="dxa"/>
          </w:tcPr>
          <w:p w14:paraId="677455D2" w14:textId="4D06ABCF" w:rsidR="00180572" w:rsidRPr="00183B5F" w:rsidRDefault="00943743" w:rsidP="00FE0197">
            <w:pPr>
              <w:pStyle w:val="EMEANormal"/>
              <w:rPr>
                <w:del w:id="7349" w:author="AbbVie_HU_03" w:date="2025-05-14T15:27:00Z"/>
                <w:szCs w:val="22"/>
                <w:lang w:val="hu-HU"/>
              </w:rPr>
            </w:pPr>
            <w:del w:id="7350" w:author="AbbVie_HU_03" w:date="2025-05-14T15:27:00Z">
              <w:r w:rsidRPr="00183B5F">
                <w:rPr>
                  <w:szCs w:val="22"/>
                  <w:lang w:val="hu-HU"/>
                </w:rPr>
                <w:delText>Placebo</w:delText>
              </w:r>
            </w:del>
          </w:p>
        </w:tc>
        <w:tc>
          <w:tcPr>
            <w:tcW w:w="900" w:type="dxa"/>
          </w:tcPr>
          <w:p w14:paraId="750D494E" w14:textId="53F686A0" w:rsidR="00180572" w:rsidRPr="00183B5F" w:rsidRDefault="00943743" w:rsidP="00FE0197">
            <w:pPr>
              <w:pStyle w:val="EMEANormal"/>
              <w:jc w:val="right"/>
              <w:rPr>
                <w:del w:id="7351" w:author="AbbVie_HU_03" w:date="2025-05-14T15:27:00Z"/>
                <w:szCs w:val="22"/>
                <w:lang w:val="hu-HU"/>
              </w:rPr>
            </w:pPr>
            <w:del w:id="7352" w:author="AbbVie_HU_03" w:date="2025-05-14T15:27:00Z">
              <w:r w:rsidRPr="00202B95">
                <w:rPr>
                  <w:noProof/>
                  <w:lang w:val="en-GB"/>
                </w:rPr>
                <w:drawing>
                  <wp:inline distT="0" distB="0" distL="0" distR="0" wp14:anchorId="2170A3EC" wp14:editId="794D54B8">
                    <wp:extent cx="560705" cy="180975"/>
                    <wp:effectExtent l="0" t="0" r="0" b="9525"/>
                    <wp:docPr id="3" name="Picture 4"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Humira Uveitis Figure 5_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60705" cy="180975"/>
                            </a:xfrm>
                            <a:prstGeom prst="rect">
                              <a:avLst/>
                            </a:prstGeom>
                            <a:noFill/>
                            <a:ln>
                              <a:noFill/>
                            </a:ln>
                          </pic:spPr>
                        </pic:pic>
                      </a:graphicData>
                    </a:graphic>
                  </wp:inline>
                </w:drawing>
              </w:r>
            </w:del>
          </w:p>
        </w:tc>
        <w:tc>
          <w:tcPr>
            <w:tcW w:w="1890" w:type="dxa"/>
          </w:tcPr>
          <w:p w14:paraId="19C22462" w14:textId="5616F5C4" w:rsidR="00180572" w:rsidRPr="00183B5F" w:rsidRDefault="00943743" w:rsidP="00FE0197">
            <w:pPr>
              <w:pStyle w:val="EMEANormal"/>
              <w:rPr>
                <w:del w:id="7353" w:author="AbbVie_HU_03" w:date="2025-05-14T15:27:00Z"/>
                <w:szCs w:val="22"/>
                <w:lang w:val="hu-HU"/>
              </w:rPr>
            </w:pPr>
            <w:del w:id="7354" w:author="AbbVie_HU_03" w:date="2025-05-14T15:27:00Z">
              <w:r w:rsidRPr="00183B5F">
                <w:rPr>
                  <w:szCs w:val="22"/>
                  <w:lang w:val="hu-HU"/>
                </w:rPr>
                <w:delText>Adalimumab</w:delText>
              </w:r>
            </w:del>
          </w:p>
        </w:tc>
      </w:tr>
      <w:tr w:rsidR="00011D2F" w14:paraId="4A648358" w14:textId="3BD5A5B8" w:rsidTr="00673624">
        <w:trPr>
          <w:trHeight w:val="3869"/>
          <w:del w:id="7355" w:author="AbbVie_HU_03" w:date="2025-05-14T15:27:00Z"/>
        </w:trPr>
        <w:tc>
          <w:tcPr>
            <w:tcW w:w="675" w:type="dxa"/>
            <w:textDirection w:val="btLr"/>
            <w:vAlign w:val="bottom"/>
          </w:tcPr>
          <w:p w14:paraId="6FD67F01" w14:textId="41617FAB" w:rsidR="00180572" w:rsidRPr="00183B5F" w:rsidRDefault="00943743">
            <w:pPr>
              <w:pStyle w:val="EMEANormal"/>
              <w:keepNext/>
              <w:jc w:val="center"/>
              <w:rPr>
                <w:del w:id="7356" w:author="AbbVie_HU_03" w:date="2025-05-14T15:27:00Z"/>
                <w:szCs w:val="22"/>
                <w:lang w:val="hu-HU"/>
              </w:rPr>
            </w:pPr>
            <w:del w:id="7357" w:author="AbbVie_HU_03" w:date="2025-05-14T15:27:00Z">
              <w:r w:rsidRPr="00183B5F">
                <w:rPr>
                  <w:b/>
                  <w:szCs w:val="22"/>
                  <w:lang w:val="hu-HU"/>
                </w:rPr>
                <w:delText>Kezelés eredménytelenségének</w:delText>
              </w:r>
              <w:r w:rsidR="00F46110" w:rsidRPr="00183B5F">
                <w:rPr>
                  <w:b/>
                  <w:szCs w:val="22"/>
                  <w:lang w:val="hu-HU"/>
                </w:rPr>
                <w:delText xml:space="preserve"> arány</w:delText>
              </w:r>
              <w:r w:rsidRPr="00183B5F">
                <w:rPr>
                  <w:b/>
                  <w:szCs w:val="22"/>
                  <w:lang w:val="hu-HU"/>
                </w:rPr>
                <w:delText>a </w:delText>
              </w:r>
              <w:r w:rsidR="00F46110" w:rsidRPr="00183B5F">
                <w:rPr>
                  <w:b/>
                  <w:szCs w:val="22"/>
                  <w:lang w:val="hu-HU"/>
                </w:rPr>
                <w:delText>(%)</w:delText>
              </w:r>
            </w:del>
          </w:p>
        </w:tc>
        <w:tc>
          <w:tcPr>
            <w:tcW w:w="8806" w:type="dxa"/>
            <w:gridSpan w:val="5"/>
            <w:vAlign w:val="bottom"/>
          </w:tcPr>
          <w:p w14:paraId="12D32CA5" w14:textId="6722C468" w:rsidR="00180572" w:rsidRPr="00183B5F" w:rsidRDefault="00943743">
            <w:pPr>
              <w:pStyle w:val="EMEANormal"/>
              <w:keepNext/>
              <w:rPr>
                <w:del w:id="7358" w:author="AbbVie_HU_03" w:date="2025-05-14T15:27:00Z"/>
                <w:szCs w:val="22"/>
                <w:lang w:val="hu-HU"/>
              </w:rPr>
            </w:pPr>
            <w:del w:id="7359" w:author="AbbVie_HU_03" w:date="2025-05-14T15:27:00Z">
              <w:r w:rsidRPr="00202B95">
                <w:rPr>
                  <w:noProof/>
                  <w:lang w:val="en-GB"/>
                </w:rPr>
                <w:drawing>
                  <wp:inline distT="0" distB="0" distL="0" distR="0" wp14:anchorId="26B81BB2" wp14:editId="000B3118">
                    <wp:extent cx="5486400" cy="2179955"/>
                    <wp:effectExtent l="0" t="0" r="0" b="0"/>
                    <wp:docPr id="59" name="Picture 59"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3" descr="Humira Uveitis Figure 5_7"/>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486400" cy="2179955"/>
                            </a:xfrm>
                            <a:prstGeom prst="rect">
                              <a:avLst/>
                            </a:prstGeom>
                            <a:noFill/>
                            <a:ln>
                              <a:noFill/>
                            </a:ln>
                          </pic:spPr>
                        </pic:pic>
                      </a:graphicData>
                    </a:graphic>
                  </wp:inline>
                </w:drawing>
              </w:r>
            </w:del>
          </w:p>
        </w:tc>
      </w:tr>
      <w:tr w:rsidR="00011D2F" w14:paraId="18D448DA" w14:textId="538B6AD6" w:rsidTr="00673624">
        <w:trPr>
          <w:del w:id="7360" w:author="AbbVie_HU_03" w:date="2025-05-14T15:27:00Z"/>
        </w:trPr>
        <w:tc>
          <w:tcPr>
            <w:tcW w:w="675" w:type="dxa"/>
          </w:tcPr>
          <w:p w14:paraId="0D0F92CD" w14:textId="0E4358D1" w:rsidR="00180572" w:rsidRPr="00183B5F" w:rsidRDefault="00180572">
            <w:pPr>
              <w:pStyle w:val="EMEANormal"/>
              <w:keepNext/>
              <w:rPr>
                <w:del w:id="7361" w:author="AbbVie_HU_03" w:date="2025-05-14T15:27:00Z"/>
                <w:szCs w:val="22"/>
                <w:lang w:val="hu-HU"/>
              </w:rPr>
            </w:pPr>
          </w:p>
        </w:tc>
        <w:tc>
          <w:tcPr>
            <w:tcW w:w="8806" w:type="dxa"/>
            <w:gridSpan w:val="5"/>
          </w:tcPr>
          <w:p w14:paraId="297F6F0F" w14:textId="15936B63" w:rsidR="00180572" w:rsidRPr="00183B5F" w:rsidRDefault="00943743">
            <w:pPr>
              <w:pStyle w:val="EMEANormal"/>
              <w:keepNext/>
              <w:jc w:val="center"/>
              <w:rPr>
                <w:del w:id="7362" w:author="AbbVie_HU_03" w:date="2025-05-14T15:27:00Z"/>
                <w:b/>
                <w:szCs w:val="22"/>
                <w:lang w:val="hu-HU"/>
              </w:rPr>
            </w:pPr>
            <w:del w:id="7363" w:author="AbbVie_HU_03" w:date="2025-05-14T15:27:00Z">
              <w:r w:rsidRPr="00183B5F">
                <w:rPr>
                  <w:b/>
                  <w:szCs w:val="22"/>
                  <w:lang w:val="hu-HU"/>
                </w:rPr>
                <w:delText>Idő (hónap)</w:delText>
              </w:r>
            </w:del>
          </w:p>
        </w:tc>
      </w:tr>
      <w:tr w:rsidR="00011D2F" w14:paraId="3FD164D9" w14:textId="71DE572B" w:rsidTr="00673624">
        <w:trPr>
          <w:trHeight w:val="369"/>
          <w:del w:id="7364" w:author="AbbVie_HU_03" w:date="2025-05-14T15:27:00Z"/>
        </w:trPr>
        <w:tc>
          <w:tcPr>
            <w:tcW w:w="675" w:type="dxa"/>
          </w:tcPr>
          <w:p w14:paraId="22FB81BA" w14:textId="268E8496" w:rsidR="00180572" w:rsidRPr="00183B5F" w:rsidRDefault="00180572">
            <w:pPr>
              <w:pStyle w:val="EMEANormal"/>
              <w:keepNext/>
              <w:rPr>
                <w:del w:id="7365" w:author="AbbVie_HU_03" w:date="2025-05-14T15:27:00Z"/>
                <w:szCs w:val="22"/>
                <w:lang w:val="hu-HU"/>
              </w:rPr>
            </w:pPr>
          </w:p>
        </w:tc>
        <w:tc>
          <w:tcPr>
            <w:tcW w:w="3496" w:type="dxa"/>
          </w:tcPr>
          <w:p w14:paraId="25AC8EB2" w14:textId="2C2B944C" w:rsidR="00180572" w:rsidRPr="00183B5F" w:rsidRDefault="00943743">
            <w:pPr>
              <w:pStyle w:val="EMEANormal"/>
              <w:keepNext/>
              <w:rPr>
                <w:del w:id="7366" w:author="AbbVie_HU_03" w:date="2025-05-14T15:27:00Z"/>
                <w:szCs w:val="22"/>
                <w:lang w:val="hu-HU"/>
              </w:rPr>
            </w:pPr>
            <w:del w:id="7367" w:author="AbbVie_HU_03" w:date="2025-05-14T15:27:00Z">
              <w:r w:rsidRPr="00183B5F">
                <w:rPr>
                  <w:szCs w:val="22"/>
                  <w:lang w:val="hu-HU"/>
                </w:rPr>
                <w:delText>UV II vizsgálat                  Kezelés</w:delText>
              </w:r>
            </w:del>
          </w:p>
        </w:tc>
        <w:tc>
          <w:tcPr>
            <w:tcW w:w="1170" w:type="dxa"/>
          </w:tcPr>
          <w:p w14:paraId="67EAF923" w14:textId="3547FB24" w:rsidR="00180572" w:rsidRPr="00183B5F" w:rsidRDefault="00943743">
            <w:pPr>
              <w:pStyle w:val="EMEANormal"/>
              <w:keepNext/>
              <w:jc w:val="right"/>
              <w:rPr>
                <w:del w:id="7368" w:author="AbbVie_HU_03" w:date="2025-05-14T15:27:00Z"/>
                <w:szCs w:val="22"/>
                <w:lang w:val="hu-HU"/>
              </w:rPr>
            </w:pPr>
            <w:del w:id="7369" w:author="AbbVie_HU_03" w:date="2025-05-14T15:27:00Z">
              <w:r w:rsidRPr="00202B95">
                <w:rPr>
                  <w:noProof/>
                  <w:lang w:val="en-GB"/>
                </w:rPr>
                <w:drawing>
                  <wp:inline distT="0" distB="0" distL="0" distR="0" wp14:anchorId="48670663" wp14:editId="336CE54D">
                    <wp:extent cx="396875" cy="180975"/>
                    <wp:effectExtent l="0" t="0" r="3175" b="9525"/>
                    <wp:docPr id="5" name="Picture 2"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96875" cy="180975"/>
                            </a:xfrm>
                            <a:prstGeom prst="rect">
                              <a:avLst/>
                            </a:prstGeom>
                            <a:noFill/>
                            <a:ln>
                              <a:noFill/>
                            </a:ln>
                          </pic:spPr>
                        </pic:pic>
                      </a:graphicData>
                    </a:graphic>
                  </wp:inline>
                </w:drawing>
              </w:r>
            </w:del>
          </w:p>
        </w:tc>
        <w:tc>
          <w:tcPr>
            <w:tcW w:w="1350" w:type="dxa"/>
          </w:tcPr>
          <w:p w14:paraId="3C648F94" w14:textId="6364D2B9" w:rsidR="00180572" w:rsidRPr="00183B5F" w:rsidRDefault="00943743">
            <w:pPr>
              <w:pStyle w:val="EMEANormal"/>
              <w:keepNext/>
              <w:rPr>
                <w:del w:id="7370" w:author="AbbVie_HU_03" w:date="2025-05-14T15:27:00Z"/>
                <w:szCs w:val="22"/>
                <w:lang w:val="hu-HU"/>
              </w:rPr>
            </w:pPr>
            <w:del w:id="7371" w:author="AbbVie_HU_03" w:date="2025-05-14T15:27:00Z">
              <w:r w:rsidRPr="00183B5F">
                <w:rPr>
                  <w:szCs w:val="22"/>
                  <w:lang w:val="hu-HU"/>
                </w:rPr>
                <w:delText>Placebo</w:delText>
              </w:r>
            </w:del>
          </w:p>
        </w:tc>
        <w:tc>
          <w:tcPr>
            <w:tcW w:w="900" w:type="dxa"/>
          </w:tcPr>
          <w:p w14:paraId="78E4EEC3" w14:textId="7A809399" w:rsidR="00180572" w:rsidRPr="00183B5F" w:rsidRDefault="00943743">
            <w:pPr>
              <w:pStyle w:val="EMEANormal"/>
              <w:keepNext/>
              <w:jc w:val="right"/>
              <w:rPr>
                <w:del w:id="7372" w:author="AbbVie_HU_03" w:date="2025-05-14T15:27:00Z"/>
                <w:szCs w:val="22"/>
                <w:lang w:val="hu-HU"/>
              </w:rPr>
            </w:pPr>
            <w:del w:id="7373" w:author="AbbVie_HU_03" w:date="2025-05-14T15:27:00Z">
              <w:r w:rsidRPr="00202B95">
                <w:rPr>
                  <w:noProof/>
                  <w:lang w:val="en-GB"/>
                </w:rPr>
                <w:drawing>
                  <wp:inline distT="0" distB="0" distL="0" distR="0" wp14:anchorId="73A57A36" wp14:editId="2E4E4F25">
                    <wp:extent cx="560705" cy="180975"/>
                    <wp:effectExtent l="0" t="0" r="0" b="9525"/>
                    <wp:docPr id="6" name="Picture 6"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umira Uveitis Figure 5_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60705" cy="180975"/>
                            </a:xfrm>
                            <a:prstGeom prst="rect">
                              <a:avLst/>
                            </a:prstGeom>
                            <a:noFill/>
                            <a:ln>
                              <a:noFill/>
                            </a:ln>
                          </pic:spPr>
                        </pic:pic>
                      </a:graphicData>
                    </a:graphic>
                  </wp:inline>
                </w:drawing>
              </w:r>
            </w:del>
          </w:p>
        </w:tc>
        <w:tc>
          <w:tcPr>
            <w:tcW w:w="1890" w:type="dxa"/>
          </w:tcPr>
          <w:p w14:paraId="01A8B26B" w14:textId="16C07F3F" w:rsidR="00180572" w:rsidRPr="00183B5F" w:rsidRDefault="00943743">
            <w:pPr>
              <w:pStyle w:val="EMEANormal"/>
              <w:keepNext/>
              <w:rPr>
                <w:del w:id="7374" w:author="AbbVie_HU_03" w:date="2025-05-14T15:27:00Z"/>
                <w:szCs w:val="22"/>
                <w:lang w:val="hu-HU"/>
              </w:rPr>
            </w:pPr>
            <w:del w:id="7375" w:author="AbbVie_HU_03" w:date="2025-05-14T15:27:00Z">
              <w:r w:rsidRPr="00183B5F">
                <w:rPr>
                  <w:szCs w:val="22"/>
                  <w:lang w:val="hu-HU"/>
                </w:rPr>
                <w:delText>Adalimumab</w:delText>
              </w:r>
            </w:del>
          </w:p>
        </w:tc>
      </w:tr>
      <w:tr w:rsidR="00011D2F" w14:paraId="74564B7E" w14:textId="62135A79" w:rsidTr="00673624">
        <w:trPr>
          <w:trHeight w:val="629"/>
          <w:del w:id="7376" w:author="AbbVie_HU_03" w:date="2025-05-14T15:27:00Z"/>
        </w:trPr>
        <w:tc>
          <w:tcPr>
            <w:tcW w:w="9481" w:type="dxa"/>
            <w:gridSpan w:val="6"/>
            <w:vAlign w:val="center"/>
          </w:tcPr>
          <w:p w14:paraId="5F16B897" w14:textId="3C7DC93E" w:rsidR="00180572" w:rsidRPr="00183B5F" w:rsidRDefault="00943743">
            <w:pPr>
              <w:pStyle w:val="EMEANormal"/>
              <w:keepNext/>
              <w:rPr>
                <w:del w:id="7377" w:author="AbbVie_HU_03" w:date="2025-05-14T15:27:00Z"/>
                <w:szCs w:val="22"/>
                <w:lang w:val="hu-HU"/>
              </w:rPr>
            </w:pPr>
            <w:del w:id="7378" w:author="AbbVie_HU_03" w:date="2025-05-14T15:27:00Z">
              <w:r w:rsidRPr="00183B5F">
                <w:rPr>
                  <w:szCs w:val="22"/>
                  <w:lang w:val="hu-HU"/>
                </w:rPr>
                <w:delText>Megjegyzés: P# = Placebo (Esemény száma/</w:delText>
              </w:r>
              <w:r w:rsidR="00DC5DD7" w:rsidRPr="00183B5F">
                <w:rPr>
                  <w:szCs w:val="22"/>
                  <w:lang w:val="hu-HU"/>
                </w:rPr>
                <w:delText>Veszélyeztetett betegek</w:delText>
              </w:r>
              <w:r w:rsidRPr="00183B5F">
                <w:rPr>
                  <w:szCs w:val="22"/>
                  <w:lang w:val="hu-HU"/>
                </w:rPr>
                <w:delText xml:space="preserve"> száma); A# = HUMIRA (Esemény </w:delText>
              </w:r>
            </w:del>
          </w:p>
          <w:p w14:paraId="05B46368" w14:textId="016D8852" w:rsidR="00180572" w:rsidRPr="00183B5F" w:rsidRDefault="00943743">
            <w:pPr>
              <w:pStyle w:val="EMEANormal"/>
              <w:keepNext/>
              <w:rPr>
                <w:del w:id="7379" w:author="AbbVie_HU_03" w:date="2025-05-14T15:27:00Z"/>
                <w:szCs w:val="22"/>
                <w:lang w:val="hu-HU"/>
              </w:rPr>
            </w:pPr>
            <w:del w:id="7380" w:author="AbbVie_HU_03" w:date="2025-05-14T15:27:00Z">
              <w:r w:rsidRPr="00183B5F">
                <w:rPr>
                  <w:szCs w:val="22"/>
                  <w:lang w:val="hu-HU"/>
                </w:rPr>
                <w:delText>száma/</w:delText>
              </w:r>
              <w:r w:rsidR="00DC5DD7" w:rsidRPr="00183B5F">
                <w:rPr>
                  <w:szCs w:val="22"/>
                  <w:lang w:val="hu-HU"/>
                </w:rPr>
                <w:delText>Veszélyeztetett betegek</w:delText>
              </w:r>
              <w:r w:rsidRPr="00183B5F">
                <w:rPr>
                  <w:szCs w:val="22"/>
                  <w:lang w:val="hu-HU"/>
                </w:rPr>
                <w:delText xml:space="preserve"> száma).</w:delText>
              </w:r>
            </w:del>
          </w:p>
        </w:tc>
      </w:tr>
    </w:tbl>
    <w:p w14:paraId="2D9B2240" w14:textId="1B82C600" w:rsidR="00180572" w:rsidRPr="00183B5F" w:rsidRDefault="00180572">
      <w:pPr>
        <w:pStyle w:val="EMEANormal"/>
        <w:rPr>
          <w:del w:id="7381" w:author="AbbVie_HU_03" w:date="2025-05-14T15:27:00Z"/>
          <w:lang w:val="hu-HU"/>
        </w:rPr>
      </w:pPr>
    </w:p>
    <w:p w14:paraId="337DC64B" w14:textId="0612871D" w:rsidR="001A3E9B" w:rsidRPr="00183B5F" w:rsidRDefault="00943743">
      <w:pPr>
        <w:pStyle w:val="EMEANormal"/>
        <w:rPr>
          <w:del w:id="7382" w:author="AbbVie_HU_03" w:date="2025-05-14T15:27:00Z"/>
          <w:lang w:val="hu-HU"/>
        </w:rPr>
      </w:pPr>
      <w:del w:id="7383" w:author="AbbVie_HU_03" w:date="2025-05-14T15:27:00Z">
        <w:r w:rsidRPr="00183B5F">
          <w:rPr>
            <w:lang w:val="hu-HU"/>
          </w:rPr>
          <w:delText>Az UV I vizsgálatban statisztikailag szignifikáns különbségeket figyeltek meg az adalimumab javára a placeb</w:delText>
        </w:r>
        <w:r w:rsidR="00532532" w:rsidRPr="00183B5F">
          <w:rPr>
            <w:lang w:val="hu-HU"/>
          </w:rPr>
          <w:delText>óh</w:delText>
        </w:r>
        <w:r w:rsidRPr="00183B5F">
          <w:rPr>
            <w:lang w:val="hu-HU"/>
          </w:rPr>
          <w:delText xml:space="preserve">oz képest a kezelés eredménytelenségének </w:delText>
        </w:r>
        <w:r w:rsidR="007D32C8" w:rsidRPr="00183B5F">
          <w:rPr>
            <w:lang w:val="hu-HU"/>
          </w:rPr>
          <w:delText>valamennyi</w:delText>
        </w:r>
        <w:r w:rsidRPr="00183B5F">
          <w:rPr>
            <w:lang w:val="hu-HU"/>
          </w:rPr>
          <w:delText xml:space="preserve"> komponensét tekintve. </w:delText>
        </w:r>
        <w:r w:rsidR="00B827A4" w:rsidRPr="00183B5F">
          <w:rPr>
            <w:lang w:val="hu-HU"/>
          </w:rPr>
          <w:delText xml:space="preserve">Az UV II vizsgálatban csak a látásélesség esetén figyeltek meg statisztikailag szignifikáns különbséget, de a többi komponens </w:delText>
        </w:r>
        <w:r w:rsidR="007D32C8" w:rsidRPr="00183B5F">
          <w:rPr>
            <w:lang w:val="hu-HU"/>
          </w:rPr>
          <w:delText xml:space="preserve">esetében </w:delText>
        </w:r>
        <w:r w:rsidR="00B827A4" w:rsidRPr="00183B5F">
          <w:rPr>
            <w:lang w:val="hu-HU"/>
          </w:rPr>
          <w:delText>is az adalimumab</w:delText>
        </w:r>
        <w:r w:rsidR="007D32C8" w:rsidRPr="00183B5F">
          <w:rPr>
            <w:lang w:val="hu-HU"/>
          </w:rPr>
          <w:noBreakHyphen/>
          <w:delText>kezelés</w:delText>
        </w:r>
        <w:r w:rsidR="00B827A4" w:rsidRPr="00183B5F">
          <w:rPr>
            <w:lang w:val="hu-HU"/>
          </w:rPr>
          <w:delText xml:space="preserve"> számszerű előnye</w:delText>
        </w:r>
        <w:r w:rsidR="007D32C8" w:rsidRPr="00183B5F">
          <w:rPr>
            <w:lang w:val="hu-HU"/>
          </w:rPr>
          <w:delText xml:space="preserve"> igazolódott</w:delText>
        </w:r>
        <w:r w:rsidR="00B827A4" w:rsidRPr="00183B5F">
          <w:rPr>
            <w:lang w:val="hu-HU"/>
          </w:rPr>
          <w:delText>.</w:delText>
        </w:r>
      </w:del>
    </w:p>
    <w:p w14:paraId="7B2D0B4D" w14:textId="0FD62A45" w:rsidR="006D2530" w:rsidRPr="00183B5F" w:rsidRDefault="006D2530">
      <w:pPr>
        <w:pStyle w:val="EMEANormal"/>
        <w:rPr>
          <w:del w:id="7384" w:author="AbbVie_HU_03" w:date="2025-05-14T15:27:00Z"/>
          <w:lang w:val="hu-HU"/>
        </w:rPr>
      </w:pPr>
    </w:p>
    <w:p w14:paraId="0A1783EF" w14:textId="600BFCDC" w:rsidR="0011114B" w:rsidRPr="00183B5F" w:rsidRDefault="00943743" w:rsidP="0011114B">
      <w:pPr>
        <w:pStyle w:val="EMEANormal"/>
        <w:rPr>
          <w:del w:id="7385" w:author="AbbVie_HU_03" w:date="2025-05-14T15:27:00Z"/>
          <w:lang w:val="hu-HU"/>
        </w:rPr>
      </w:pPr>
      <w:del w:id="7386" w:author="AbbVie_HU_03" w:date="2025-05-14T15:27:00Z">
        <w:r w:rsidRPr="00183B5F">
          <w:rPr>
            <w:lang w:val="hu-HU"/>
          </w:rPr>
          <w:delText>Az UV I és UV II vizsgálat nem kontrollos, hosszú távú kiterjesztésében résztvevő 424 beteg közül 60 bizonyult vizsgálatra alkalmatlannak (például adminisztratív eltérések miatt, vagy mert a diabéteszes retinopathia másodlagos komplikációi alakultak ki náluk, szürkehályog</w:delText>
        </w:r>
        <w:r w:rsidRPr="00183B5F">
          <w:rPr>
            <w:lang w:val="hu-HU"/>
          </w:rPr>
          <w:noBreakHyphen/>
          <w:delText>műtét vagy vitrektómia következtében), és került kizárásra a hatásosság elsődleges elemzéséből. A 364 vizsgálatban maradó beteg közül 269 értékelésre alkalmas beteg (74%) érte el a 78 hetet a nyílt elrendezésű adalimumab</w:delText>
        </w:r>
        <w:r w:rsidR="006B34D6" w:rsidRPr="00183B5F">
          <w:rPr>
            <w:lang w:val="hu-HU"/>
          </w:rPr>
          <w:delText>-</w:delText>
        </w:r>
        <w:r w:rsidRPr="00183B5F">
          <w:rPr>
            <w:lang w:val="hu-HU"/>
          </w:rPr>
          <w:delText>kezelés során. A</w:delText>
        </w:r>
        <w:r w:rsidRPr="00183B5F">
          <w:rPr>
            <w:szCs w:val="22"/>
            <w:lang w:val="hu-HU"/>
          </w:rPr>
          <w:delText xml:space="preserve"> megfigyelt adatok elemzése alapján</w:delText>
        </w:r>
        <w:r w:rsidRPr="00183B5F">
          <w:rPr>
            <w:lang w:val="hu-HU"/>
          </w:rPr>
          <w:delText xml:space="preserve"> 216 beteg (80,3%) volt nyugalmi állapotban (aktív gyulladásos elváltozás nélkül, </w:delText>
        </w:r>
        <w:r w:rsidRPr="00183B5F">
          <w:rPr>
            <w:szCs w:val="22"/>
            <w:lang w:val="hu-HU"/>
          </w:rPr>
          <w:delText xml:space="preserve">elülső csarnoki sejtszint </w:delText>
        </w:r>
        <w:r w:rsidRPr="00183B5F">
          <w:rPr>
            <w:lang w:val="hu-HU"/>
          </w:rPr>
          <w:delText>≤ 0,5+</w:delText>
        </w:r>
        <w:r w:rsidRPr="00183B5F">
          <w:rPr>
            <w:szCs w:val="22"/>
            <w:lang w:val="hu-HU"/>
          </w:rPr>
          <w:delText xml:space="preserve">, üvegtesti homály mértéke </w:delText>
        </w:r>
        <w:r w:rsidRPr="00183B5F">
          <w:rPr>
            <w:lang w:val="hu-HU"/>
          </w:rPr>
          <w:delText xml:space="preserve">≤ 0,5+), napi folyamatos ≤ 7,5 mg szteroid dózis mellett, és 178 beteg (66,2%) szteroidkezelés nélküli nyugalmi állapotban volt. </w:delText>
        </w:r>
        <w:r w:rsidRPr="00183B5F">
          <w:rPr>
            <w:szCs w:val="22"/>
            <w:lang w:val="hu-HU"/>
          </w:rPr>
          <w:delText xml:space="preserve">A legjobb korrigált látásélesség javult vagy változatlan maradt </w:delText>
        </w:r>
        <w:r w:rsidRPr="00183B5F">
          <w:rPr>
            <w:lang w:val="hu-HU"/>
          </w:rPr>
          <w:delText>(kevesebb mint 5 értéket romlott) a szemek 88,6%</w:delText>
        </w:r>
        <w:r w:rsidRPr="00183B5F">
          <w:rPr>
            <w:lang w:val="hu-HU"/>
          </w:rPr>
          <w:noBreakHyphen/>
          <w:delText>a esetében a 78. héten. A 78. hetet követően az adatok általában konzisztensek voltak ezekkel az eredményekkel, de a bevont betegek száma ez után az idő után csökkent. Összességében a vizsgálatot abbahagyó betegek 18%-a mellékhatások, 8%-a az adalimumab</w:delText>
        </w:r>
        <w:r w:rsidRPr="00183B5F">
          <w:rPr>
            <w:lang w:val="hu-HU"/>
          </w:rPr>
          <w:noBreakHyphen/>
          <w:delText xml:space="preserve">kezelésre adott </w:delText>
        </w:r>
        <w:r w:rsidRPr="00183B5F">
          <w:rPr>
            <w:lang w:val="hu-HU"/>
          </w:rPr>
          <w:delText>elégtelen válasz miatt hagyta abba a kezelést.</w:delText>
        </w:r>
      </w:del>
    </w:p>
    <w:p w14:paraId="432D1E26" w14:textId="46F079DC" w:rsidR="00180572" w:rsidRPr="00183B5F" w:rsidRDefault="00180572">
      <w:pPr>
        <w:pStyle w:val="EMEANormal"/>
        <w:rPr>
          <w:del w:id="7387" w:author="AbbVie_HU_03" w:date="2025-05-14T15:27:00Z"/>
          <w:lang w:val="hu-HU"/>
        </w:rPr>
      </w:pPr>
    </w:p>
    <w:p w14:paraId="34EA65BB" w14:textId="4A693EFA" w:rsidR="00180572" w:rsidRPr="00183B5F" w:rsidRDefault="00943743">
      <w:pPr>
        <w:pStyle w:val="EMEANormal"/>
        <w:rPr>
          <w:del w:id="7388" w:author="AbbVie_HU_03" w:date="2025-05-14T15:27:00Z"/>
          <w:i/>
          <w:szCs w:val="22"/>
          <w:u w:val="single"/>
          <w:lang w:val="hu-HU"/>
        </w:rPr>
      </w:pPr>
      <w:del w:id="7389" w:author="AbbVie_HU_03" w:date="2025-05-14T15:27:00Z">
        <w:r w:rsidRPr="00183B5F">
          <w:rPr>
            <w:i/>
            <w:szCs w:val="22"/>
            <w:u w:val="single"/>
            <w:lang w:val="hu-HU"/>
          </w:rPr>
          <w:delText>Életminőség</w:delText>
        </w:r>
      </w:del>
    </w:p>
    <w:p w14:paraId="1F4D8D2E" w14:textId="42A1E472" w:rsidR="00180572" w:rsidRPr="00183B5F" w:rsidRDefault="00180572">
      <w:pPr>
        <w:pStyle w:val="EMEANormal"/>
        <w:rPr>
          <w:del w:id="7390" w:author="AbbVie_HU_03" w:date="2025-05-14T15:27:00Z"/>
          <w:i/>
          <w:szCs w:val="22"/>
          <w:u w:val="single"/>
          <w:lang w:val="hu-HU"/>
        </w:rPr>
      </w:pPr>
    </w:p>
    <w:p w14:paraId="7D2DD3CE" w14:textId="73FD3168" w:rsidR="00B827A4" w:rsidRPr="00183B5F" w:rsidRDefault="00943743">
      <w:pPr>
        <w:pStyle w:val="EMEANormal"/>
        <w:rPr>
          <w:del w:id="7391" w:author="AbbVie_HU_03" w:date="2025-05-14T15:27:00Z"/>
          <w:lang w:val="hu-HU"/>
        </w:rPr>
      </w:pPr>
      <w:del w:id="7392" w:author="AbbVie_HU_03" w:date="2025-05-14T15:27:00Z">
        <w:r w:rsidRPr="00183B5F">
          <w:rPr>
            <w:lang w:val="hu-HU"/>
          </w:rPr>
          <w:delText>A betegek által jelentett, látásfunkcióval összefüggő kimenetelt mindkét vizsgálatban a NEI VFQ</w:delText>
        </w:r>
        <w:r w:rsidRPr="00183B5F">
          <w:rPr>
            <w:lang w:val="hu-HU"/>
          </w:rPr>
          <w:noBreakHyphen/>
          <w:delText xml:space="preserve">25 </w:delText>
        </w:r>
        <w:r w:rsidR="007338B0" w:rsidRPr="00183B5F">
          <w:rPr>
            <w:lang w:val="hu-HU"/>
          </w:rPr>
          <w:delText xml:space="preserve">(National Eye Institute Vizuális Funkciós Kérdőíve) </w:delText>
        </w:r>
        <w:r w:rsidR="00EC4725" w:rsidRPr="00183B5F">
          <w:rPr>
            <w:lang w:val="hu-HU"/>
          </w:rPr>
          <w:delText>felhasználásával</w:delText>
        </w:r>
        <w:r w:rsidR="007D32C8" w:rsidRPr="00183B5F">
          <w:rPr>
            <w:lang w:val="hu-HU"/>
          </w:rPr>
          <w:delText xml:space="preserve"> mérték fel</w:delText>
        </w:r>
        <w:r w:rsidR="00EC4725" w:rsidRPr="00183B5F">
          <w:rPr>
            <w:lang w:val="hu-HU"/>
          </w:rPr>
          <w:delText>.</w:delText>
        </w:r>
        <w:r w:rsidRPr="00183B5F">
          <w:rPr>
            <w:lang w:val="hu-HU"/>
          </w:rPr>
          <w:delText xml:space="preserve"> </w:delText>
        </w:r>
        <w:r w:rsidR="00EC4725" w:rsidRPr="00183B5F">
          <w:rPr>
            <w:lang w:val="hu-HU"/>
          </w:rPr>
          <w:delText>A Humira számszerű előnyt mutatott az alpontok többségében,</w:delText>
        </w:r>
        <w:r w:rsidR="007D32C8" w:rsidRPr="00183B5F">
          <w:rPr>
            <w:lang w:val="hu-HU"/>
          </w:rPr>
          <w:delText xml:space="preserve"> és</w:delText>
        </w:r>
        <w:r w:rsidR="00EC4725" w:rsidRPr="00183B5F">
          <w:rPr>
            <w:lang w:val="hu-HU"/>
          </w:rPr>
          <w:delText xml:space="preserve"> statisztikailag szignifikáns </w:delText>
        </w:r>
        <w:r w:rsidR="00B45E1D" w:rsidRPr="00183B5F">
          <w:rPr>
            <w:lang w:val="hu-HU"/>
          </w:rPr>
          <w:delText xml:space="preserve">átlagos </w:delText>
        </w:r>
        <w:r w:rsidR="007D32C8" w:rsidRPr="00183B5F">
          <w:rPr>
            <w:lang w:val="hu-HU"/>
          </w:rPr>
          <w:delText>különbség</w:delText>
        </w:r>
        <w:r w:rsidR="00EC4725" w:rsidRPr="00183B5F">
          <w:rPr>
            <w:lang w:val="hu-HU"/>
          </w:rPr>
          <w:delText xml:space="preserve"> mutat</w:delText>
        </w:r>
        <w:r w:rsidR="007D32C8" w:rsidRPr="00183B5F">
          <w:rPr>
            <w:lang w:val="hu-HU"/>
          </w:rPr>
          <w:delText>kozott</w:delText>
        </w:r>
        <w:r w:rsidR="00EC4725" w:rsidRPr="00183B5F">
          <w:rPr>
            <w:lang w:val="hu-HU"/>
          </w:rPr>
          <w:delText xml:space="preserve"> a </w:delText>
        </w:r>
        <w:r w:rsidR="00A67C57" w:rsidRPr="00183B5F">
          <w:rPr>
            <w:lang w:val="hu-HU"/>
          </w:rPr>
          <w:delText>megszokott</w:delText>
        </w:r>
        <w:r w:rsidR="00EC4725" w:rsidRPr="00183B5F">
          <w:rPr>
            <w:lang w:val="hu-HU"/>
          </w:rPr>
          <w:delText xml:space="preserve"> látás, szemfájdalom, közellátás, mentális egészség és </w:delText>
        </w:r>
        <w:r w:rsidR="007D32C8" w:rsidRPr="00183B5F">
          <w:rPr>
            <w:lang w:val="hu-HU"/>
          </w:rPr>
          <w:delText xml:space="preserve">az </w:delText>
        </w:r>
        <w:r w:rsidR="00EC4725" w:rsidRPr="00183B5F">
          <w:rPr>
            <w:lang w:val="hu-HU"/>
          </w:rPr>
          <w:delText>összpontszám</w:delText>
        </w:r>
        <w:r w:rsidR="007D32C8" w:rsidRPr="00183B5F">
          <w:rPr>
            <w:lang w:val="hu-HU"/>
          </w:rPr>
          <w:delText>ok átlaga</w:delText>
        </w:r>
        <w:r w:rsidR="00EC4725" w:rsidRPr="00183B5F">
          <w:rPr>
            <w:lang w:val="hu-HU"/>
          </w:rPr>
          <w:delText xml:space="preserve"> tekintetében az UV I vizsgálatban</w:delText>
        </w:r>
        <w:r w:rsidR="00DC6E72" w:rsidRPr="00183B5F">
          <w:rPr>
            <w:lang w:val="hu-HU"/>
          </w:rPr>
          <w:delText>,</w:delText>
        </w:r>
        <w:r w:rsidR="00EC4725" w:rsidRPr="00183B5F">
          <w:rPr>
            <w:lang w:val="hu-HU"/>
          </w:rPr>
          <w:delText xml:space="preserve"> és</w:delText>
        </w:r>
        <w:r w:rsidR="00DC6E72" w:rsidRPr="00183B5F">
          <w:rPr>
            <w:lang w:val="hu-HU"/>
          </w:rPr>
          <w:delText xml:space="preserve"> a</w:delText>
        </w:r>
        <w:r w:rsidR="00EC4725" w:rsidRPr="00183B5F">
          <w:rPr>
            <w:lang w:val="hu-HU"/>
          </w:rPr>
          <w:delText xml:space="preserve"> </w:delText>
        </w:r>
        <w:r w:rsidR="00A67C57" w:rsidRPr="00183B5F">
          <w:rPr>
            <w:lang w:val="hu-HU"/>
          </w:rPr>
          <w:delText xml:space="preserve">megszokott </w:delText>
        </w:r>
        <w:r w:rsidR="00EC4725" w:rsidRPr="00183B5F">
          <w:rPr>
            <w:lang w:val="hu-HU"/>
          </w:rPr>
          <w:delText>látás és mentális egészség vonatkozás</w:delText>
        </w:r>
        <w:r w:rsidR="000D4D35" w:rsidRPr="00183B5F">
          <w:rPr>
            <w:lang w:val="hu-HU"/>
          </w:rPr>
          <w:delText>ában az UV II vizsgálatban. A l</w:delText>
        </w:r>
        <w:r w:rsidR="00EC4725" w:rsidRPr="00183B5F">
          <w:rPr>
            <w:lang w:val="hu-HU"/>
          </w:rPr>
          <w:delText>átással összefüggő hatások</w:delText>
        </w:r>
        <w:r w:rsidR="000D4D35" w:rsidRPr="00183B5F">
          <w:rPr>
            <w:lang w:val="hu-HU"/>
          </w:rPr>
          <w:delText xml:space="preserve"> közül nem mutatott számszerű előnyt a Humira a színlátás vonatkozásában az UV I vizsgálatban és a színlátás, a perifériás látás és a közellátás vonatkozásában az UV II vizsgálatban.</w:delText>
        </w:r>
      </w:del>
    </w:p>
    <w:p w14:paraId="62238B95" w14:textId="535D4E27" w:rsidR="00352ED2" w:rsidRPr="00183B5F" w:rsidRDefault="00352ED2">
      <w:pPr>
        <w:pStyle w:val="EMEANormal"/>
        <w:rPr>
          <w:del w:id="7393" w:author="AbbVie_HU_03" w:date="2025-05-14T15:27:00Z"/>
          <w:lang w:val="hu-HU"/>
        </w:rPr>
      </w:pPr>
    </w:p>
    <w:p w14:paraId="08AEB5D0" w14:textId="41CB3300" w:rsidR="009F08BF" w:rsidRPr="00183B5F" w:rsidRDefault="00943743" w:rsidP="004062FE">
      <w:pPr>
        <w:spacing w:line="240" w:lineRule="auto"/>
        <w:rPr>
          <w:del w:id="7394" w:author="AbbVie_HU_03" w:date="2025-05-14T15:27:00Z"/>
          <w:szCs w:val="22"/>
          <w:u w:val="single"/>
        </w:rPr>
      </w:pPr>
      <w:del w:id="7395" w:author="AbbVie_HU_03" w:date="2025-05-14T15:27:00Z">
        <w:r w:rsidRPr="00183B5F">
          <w:rPr>
            <w:szCs w:val="22"/>
            <w:u w:val="single"/>
          </w:rPr>
          <w:delText>Immunogenitás</w:delText>
        </w:r>
      </w:del>
    </w:p>
    <w:p w14:paraId="3181A882" w14:textId="2B705C0C" w:rsidR="009F08BF" w:rsidRPr="00183B5F" w:rsidRDefault="009F08BF" w:rsidP="004062FE">
      <w:pPr>
        <w:spacing w:line="240" w:lineRule="auto"/>
        <w:rPr>
          <w:del w:id="7396" w:author="AbbVie_HU_03" w:date="2025-05-14T15:27:00Z"/>
          <w:szCs w:val="22"/>
          <w:u w:val="single"/>
        </w:rPr>
      </w:pPr>
    </w:p>
    <w:p w14:paraId="562A42B1" w14:textId="2DF58073" w:rsidR="009F08BF" w:rsidRPr="00183B5F" w:rsidRDefault="00943743" w:rsidP="004062FE">
      <w:pPr>
        <w:spacing w:line="240" w:lineRule="auto"/>
        <w:rPr>
          <w:del w:id="7397" w:author="AbbVie_HU_03" w:date="2025-05-14T15:27:00Z"/>
          <w:szCs w:val="22"/>
        </w:rPr>
      </w:pPr>
      <w:del w:id="7398" w:author="AbbVie_HU_03" w:date="2025-05-14T15:27:00Z">
        <w:r w:rsidRPr="00183B5F">
          <w:rPr>
            <w:szCs w:val="22"/>
          </w:rPr>
          <w:delText>Adalimumab</w:delText>
        </w:r>
        <w:r w:rsidR="00022AEF" w:rsidRPr="00183B5F">
          <w:rPr>
            <w:szCs w:val="22"/>
          </w:rPr>
          <w:noBreakHyphen/>
        </w:r>
        <w:r w:rsidRPr="00183B5F">
          <w:rPr>
            <w:szCs w:val="22"/>
          </w:rPr>
          <w:delText>ellenes antiestek képződése az adalimumab clearance</w:delText>
        </w:r>
        <w:r w:rsidR="004F4F79" w:rsidRPr="00183B5F">
          <w:rPr>
            <w:szCs w:val="22"/>
          </w:rPr>
          <w:noBreakHyphen/>
        </w:r>
        <w:r w:rsidRPr="00183B5F">
          <w:rPr>
            <w:szCs w:val="22"/>
          </w:rPr>
          <w:delText>ének növekedésével és a hatásosságának csökkenésével jár. Az adalimumab</w:delText>
        </w:r>
        <w:r w:rsidR="00E5381A" w:rsidRPr="00183B5F">
          <w:rPr>
            <w:szCs w:val="22"/>
          </w:rPr>
          <w:noBreakHyphen/>
        </w:r>
        <w:r w:rsidRPr="00183B5F">
          <w:rPr>
            <w:szCs w:val="22"/>
          </w:rPr>
          <w:delText>ellenes antitestek jelenléte és a mellékhatások előfordulása között nincs nyilvánvaló összefüggés.</w:delText>
        </w:r>
      </w:del>
    </w:p>
    <w:p w14:paraId="2E4D545F" w14:textId="3E4D911F" w:rsidR="009F08BF" w:rsidRPr="00183B5F" w:rsidRDefault="009F08BF" w:rsidP="004062FE">
      <w:pPr>
        <w:spacing w:line="240" w:lineRule="auto"/>
        <w:rPr>
          <w:del w:id="7399" w:author="AbbVie_HU_03" w:date="2025-05-14T15:27:00Z"/>
          <w:szCs w:val="22"/>
        </w:rPr>
      </w:pPr>
    </w:p>
    <w:p w14:paraId="67AA92B5" w14:textId="480BE5F2" w:rsidR="009F08BF" w:rsidRPr="00183B5F" w:rsidRDefault="00943743" w:rsidP="004062FE">
      <w:pPr>
        <w:spacing w:line="240" w:lineRule="auto"/>
        <w:rPr>
          <w:del w:id="7400" w:author="AbbVie_HU_03" w:date="2025-05-14T15:27:00Z"/>
          <w:szCs w:val="22"/>
        </w:rPr>
      </w:pPr>
      <w:del w:id="7401" w:author="AbbVie_HU_03" w:date="2025-05-14T15:27:00Z">
        <w:r w:rsidRPr="00183B5F">
          <w:rPr>
            <w:szCs w:val="22"/>
          </w:rPr>
          <w:delText>A reumatoid arthritis</w:delText>
        </w:r>
        <w:r w:rsidR="004F4F79" w:rsidRPr="00183B5F">
          <w:rPr>
            <w:szCs w:val="22"/>
          </w:rPr>
          <w:delText> </w:delText>
        </w:r>
        <w:r w:rsidRPr="00183B5F">
          <w:rPr>
            <w:szCs w:val="22"/>
          </w:rPr>
          <w:delText>I,</w:delText>
        </w:r>
        <w:r w:rsidR="004F4F79" w:rsidRPr="00183B5F">
          <w:rPr>
            <w:szCs w:val="22"/>
          </w:rPr>
          <w:delText> </w:delText>
        </w:r>
        <w:r w:rsidRPr="00183B5F">
          <w:rPr>
            <w:szCs w:val="22"/>
          </w:rPr>
          <w:delText>II és</w:delText>
        </w:r>
        <w:r w:rsidR="004F4F79" w:rsidRPr="00183B5F">
          <w:rPr>
            <w:szCs w:val="22"/>
          </w:rPr>
          <w:delText> </w:delText>
        </w:r>
        <w:r w:rsidRPr="00183B5F">
          <w:rPr>
            <w:szCs w:val="22"/>
          </w:rPr>
          <w:delText>III vizsgálatban a betegeknél több időpontban vizsgálták az adalimumab</w:delText>
        </w:r>
        <w:r w:rsidR="00E5381A" w:rsidRPr="00183B5F">
          <w:rPr>
            <w:szCs w:val="22"/>
          </w:rPr>
          <w:noBreakHyphen/>
        </w:r>
        <w:r w:rsidRPr="00183B5F">
          <w:rPr>
            <w:szCs w:val="22"/>
          </w:rPr>
          <w:delText>ellenes antitestek jelenlétét a 6 – 12 hónapos időszak folyamán. A pivotális vizsgálatokban adalimumab</w:delText>
        </w:r>
        <w:r w:rsidRPr="00183B5F">
          <w:rPr>
            <w:szCs w:val="22"/>
          </w:rPr>
          <w:noBreakHyphen/>
          <w:delText xml:space="preserve">ellenes antitesteket </w:delText>
        </w:r>
        <w:r w:rsidR="00B45E1D" w:rsidRPr="00183B5F">
          <w:rPr>
            <w:szCs w:val="22"/>
          </w:rPr>
          <w:delText xml:space="preserve">az adalimumabbal kezelt betegek </w:delText>
        </w:r>
        <w:r w:rsidRPr="00183B5F">
          <w:rPr>
            <w:szCs w:val="22"/>
          </w:rPr>
          <w:delText>5,5%</w:delText>
        </w:r>
        <w:r w:rsidRPr="00183B5F">
          <w:rPr>
            <w:szCs w:val="22"/>
          </w:rPr>
          <w:noBreakHyphen/>
        </w:r>
        <w:r w:rsidR="00B45E1D" w:rsidRPr="00183B5F">
          <w:rPr>
            <w:szCs w:val="22"/>
          </w:rPr>
          <w:delText>ánál</w:delText>
        </w:r>
        <w:r w:rsidRPr="00183B5F">
          <w:rPr>
            <w:szCs w:val="22"/>
          </w:rPr>
          <w:delText xml:space="preserve"> (58/1053) észleltek, szemben a placebocsoportban észlelt 0,5%</w:delText>
        </w:r>
        <w:r w:rsidRPr="00183B5F">
          <w:rPr>
            <w:szCs w:val="22"/>
          </w:rPr>
          <w:noBreakHyphen/>
          <w:delText>kal (2/370). Az egyidejűleg metotrexát</w:delText>
        </w:r>
        <w:r w:rsidRPr="00183B5F">
          <w:rPr>
            <w:szCs w:val="22"/>
          </w:rPr>
          <w:noBreakHyphen/>
          <w:delText>kezelésben nem részesült betegeknél az incidencia 12,4% volt, szemben a 0,6%</w:delText>
        </w:r>
        <w:r w:rsidR="004F4F79" w:rsidRPr="00183B5F">
          <w:rPr>
            <w:szCs w:val="22"/>
          </w:rPr>
          <w:noBreakHyphen/>
        </w:r>
        <w:r w:rsidRPr="00183B5F">
          <w:rPr>
            <w:szCs w:val="22"/>
          </w:rPr>
          <w:delText>os incidenciával azoknál, akiknél az adalimumabot a metotrexát</w:delText>
        </w:r>
        <w:r w:rsidRPr="00183B5F">
          <w:rPr>
            <w:szCs w:val="22"/>
          </w:rPr>
          <w:noBreakHyphen/>
          <w:delText>kezeléssel kombinációban</w:delText>
        </w:r>
        <w:r w:rsidRPr="00183B5F">
          <w:rPr>
            <w:szCs w:val="22"/>
          </w:rPr>
          <w:delText xml:space="preserve"> alkalmazták.</w:delText>
        </w:r>
      </w:del>
    </w:p>
    <w:p w14:paraId="15CB0D90" w14:textId="0B815101" w:rsidR="00AC6F5F" w:rsidRPr="00183B5F" w:rsidRDefault="00AC6F5F" w:rsidP="004062FE">
      <w:pPr>
        <w:spacing w:line="240" w:lineRule="auto"/>
        <w:rPr>
          <w:del w:id="7402" w:author="AbbVie_HU_03" w:date="2025-05-14T15:27:00Z"/>
          <w:szCs w:val="22"/>
        </w:rPr>
      </w:pPr>
    </w:p>
    <w:p w14:paraId="29D3FEB1" w14:textId="6D233D16" w:rsidR="00843B31" w:rsidRPr="00183B5F" w:rsidRDefault="00943743" w:rsidP="004062FE">
      <w:pPr>
        <w:spacing w:line="240" w:lineRule="auto"/>
        <w:rPr>
          <w:del w:id="7403" w:author="AbbVie_HU_03" w:date="2025-05-14T15:27:00Z"/>
          <w:szCs w:val="22"/>
        </w:rPr>
      </w:pPr>
      <w:del w:id="7404" w:author="AbbVie_HU_03" w:date="2025-05-14T15:27:00Z">
        <w:r w:rsidRPr="00183B5F">
          <w:rPr>
            <w:szCs w:val="22"/>
          </w:rPr>
          <w:delText>Polyarticularis juvenilis idiopathiás arthritisben szenvedő</w:delText>
        </w:r>
        <w:r w:rsidR="005D7645" w:rsidRPr="00183B5F">
          <w:rPr>
            <w:szCs w:val="22"/>
          </w:rPr>
          <w:delText>,</w:delText>
        </w:r>
        <w:r w:rsidRPr="00183B5F">
          <w:rPr>
            <w:szCs w:val="22"/>
          </w:rPr>
          <w:delText xml:space="preserve"> 4</w:delText>
        </w:r>
        <w:r w:rsidRPr="00183B5F">
          <w:rPr>
            <w:szCs w:val="22"/>
          </w:rPr>
          <w:noBreakHyphen/>
          <w:delText>17 éves, adalimumabbal kezelt betegek körében 15,8%</w:delText>
        </w:r>
        <w:r w:rsidRPr="00183B5F">
          <w:rPr>
            <w:szCs w:val="22"/>
          </w:rPr>
          <w:noBreakHyphen/>
        </w:r>
        <w:r w:rsidR="00B45E1D" w:rsidRPr="00183B5F">
          <w:rPr>
            <w:szCs w:val="22"/>
          </w:rPr>
          <w:delText>nál</w:delText>
        </w:r>
        <w:r w:rsidRPr="00183B5F">
          <w:rPr>
            <w:szCs w:val="22"/>
          </w:rPr>
          <w:delText xml:space="preserve"> (27/171) mutattak ki adalimumab</w:delText>
        </w:r>
        <w:r w:rsidR="00E5381A" w:rsidRPr="00183B5F">
          <w:rPr>
            <w:szCs w:val="22"/>
          </w:rPr>
          <w:noBreakHyphen/>
        </w:r>
        <w:r w:rsidRPr="00183B5F">
          <w:rPr>
            <w:szCs w:val="22"/>
          </w:rPr>
          <w:delText>ellenes antitesteket. Azoknál a betegeknél, akik nem kaptak egyidejűleg metotrexátot, az incidencia 25,6% (22/86) volt, szemben az 5,9%</w:delText>
        </w:r>
        <w:r w:rsidRPr="00183B5F">
          <w:rPr>
            <w:szCs w:val="22"/>
          </w:rPr>
          <w:noBreakHyphen/>
          <w:delText>kal (5/85), amik</w:delText>
        </w:r>
        <w:r w:rsidR="00474A11" w:rsidRPr="00183B5F">
          <w:rPr>
            <w:szCs w:val="22"/>
          </w:rPr>
          <w:delText>or az adalimumabot a metotrexát</w:delText>
        </w:r>
        <w:r w:rsidR="00474A11" w:rsidRPr="00183B5F">
          <w:rPr>
            <w:szCs w:val="22"/>
          </w:rPr>
          <w:noBreakHyphen/>
        </w:r>
        <w:r w:rsidRPr="00183B5F">
          <w:rPr>
            <w:szCs w:val="22"/>
          </w:rPr>
          <w:delText>kezelés mellett alkalmazták.</w:delText>
        </w:r>
        <w:r w:rsidR="007809D6" w:rsidRPr="00183B5F">
          <w:rPr>
            <w:szCs w:val="22"/>
          </w:rPr>
          <w:delText xml:space="preserve"> Polyarticularis juvenilis idiopathiás arthritisben szenvedő</w:delText>
        </w:r>
        <w:r w:rsidR="005D7645" w:rsidRPr="00183B5F">
          <w:rPr>
            <w:szCs w:val="22"/>
          </w:rPr>
          <w:delText>,</w:delText>
        </w:r>
        <w:r w:rsidR="007809D6" w:rsidRPr="00183B5F">
          <w:rPr>
            <w:szCs w:val="22"/>
          </w:rPr>
          <w:delText xml:space="preserve"> 2 </w:delText>
        </w:r>
        <w:r w:rsidR="007809D6" w:rsidRPr="00183B5F">
          <w:rPr>
            <w:szCs w:val="22"/>
          </w:rPr>
          <w:noBreakHyphen/>
          <w:delText> &lt;4 év közötti vagy 4 év</w:delText>
        </w:r>
        <w:r w:rsidR="005D7645" w:rsidRPr="00183B5F">
          <w:rPr>
            <w:szCs w:val="22"/>
          </w:rPr>
          <w:delText>es</w:delText>
        </w:r>
        <w:r w:rsidR="007809D6" w:rsidRPr="00183B5F">
          <w:rPr>
            <w:szCs w:val="22"/>
          </w:rPr>
          <w:delText xml:space="preserve"> és a</w:delText>
        </w:r>
        <w:r w:rsidR="002C1F5C" w:rsidRPr="00183B5F">
          <w:rPr>
            <w:szCs w:val="22"/>
          </w:rPr>
          <w:delText xml:space="preserve"> </w:delText>
        </w:r>
        <w:r w:rsidR="007809D6" w:rsidRPr="00183B5F">
          <w:rPr>
            <w:szCs w:val="22"/>
          </w:rPr>
          <w:delText>feletti, 15 kg alatti betegek 7%</w:delText>
        </w:r>
        <w:r w:rsidR="007809D6" w:rsidRPr="00183B5F">
          <w:rPr>
            <w:szCs w:val="22"/>
          </w:rPr>
          <w:noBreakHyphen/>
          <w:delText>á</w:delText>
        </w:r>
        <w:r w:rsidR="00B45E1D" w:rsidRPr="00183B5F">
          <w:rPr>
            <w:szCs w:val="22"/>
          </w:rPr>
          <w:delText>nál</w:delText>
        </w:r>
        <w:r w:rsidR="007809D6" w:rsidRPr="00183B5F">
          <w:rPr>
            <w:szCs w:val="22"/>
          </w:rPr>
          <w:delText xml:space="preserve"> (1/15) mutattak ki adalimumab</w:delText>
        </w:r>
        <w:r w:rsidR="00E5381A" w:rsidRPr="00183B5F">
          <w:rPr>
            <w:szCs w:val="22"/>
          </w:rPr>
          <w:noBreakHyphen/>
        </w:r>
        <w:r w:rsidR="007809D6" w:rsidRPr="00183B5F">
          <w:rPr>
            <w:szCs w:val="22"/>
          </w:rPr>
          <w:delText>ellenes antitesteket</w:delText>
        </w:r>
        <w:r w:rsidR="00177C94" w:rsidRPr="00183B5F">
          <w:rPr>
            <w:szCs w:val="22"/>
          </w:rPr>
          <w:delText>,</w:delText>
        </w:r>
        <w:r w:rsidR="007809D6" w:rsidRPr="00183B5F">
          <w:rPr>
            <w:szCs w:val="22"/>
          </w:rPr>
          <w:delText xml:space="preserve"> és egy beteg részesült egyidejű metotrexát-</w:delText>
        </w:r>
        <w:r w:rsidR="005D7645" w:rsidRPr="00183B5F">
          <w:rPr>
            <w:szCs w:val="22"/>
          </w:rPr>
          <w:delText>kezelésben.</w:delText>
        </w:r>
      </w:del>
    </w:p>
    <w:p w14:paraId="44DE9AAD" w14:textId="7BEB58CB" w:rsidR="00843B31" w:rsidRPr="00183B5F" w:rsidRDefault="00843B31" w:rsidP="004062FE">
      <w:pPr>
        <w:spacing w:line="240" w:lineRule="auto"/>
        <w:rPr>
          <w:del w:id="7405" w:author="AbbVie_HU_03" w:date="2025-05-14T15:27:00Z"/>
          <w:szCs w:val="22"/>
        </w:rPr>
      </w:pPr>
    </w:p>
    <w:p w14:paraId="2AE0B88A" w14:textId="3DF033A6" w:rsidR="00843B31" w:rsidRPr="00183B5F" w:rsidRDefault="00943743" w:rsidP="004062FE">
      <w:pPr>
        <w:spacing w:line="240" w:lineRule="auto"/>
        <w:rPr>
          <w:del w:id="7406" w:author="AbbVie_HU_03" w:date="2025-05-14T15:27:00Z"/>
          <w:szCs w:val="22"/>
        </w:rPr>
      </w:pPr>
      <w:del w:id="7407" w:author="AbbVie_HU_03" w:date="2025-05-14T15:27:00Z">
        <w:r w:rsidRPr="00183B5F">
          <w:rPr>
            <w:szCs w:val="22"/>
          </w:rPr>
          <w:delText>Enthesitis-asszociált arthritisben szenvedő</w:delText>
        </w:r>
        <w:r w:rsidR="00B45E1D" w:rsidRPr="00183B5F">
          <w:rPr>
            <w:szCs w:val="22"/>
          </w:rPr>
          <w:delText>, adalimumabbal kezelt</w:delText>
        </w:r>
        <w:r w:rsidRPr="00183B5F">
          <w:rPr>
            <w:szCs w:val="22"/>
          </w:rPr>
          <w:delText xml:space="preserve"> betegek 10,9%</w:delText>
        </w:r>
        <w:r w:rsidR="00474A11" w:rsidRPr="00183B5F">
          <w:rPr>
            <w:szCs w:val="22"/>
          </w:rPr>
          <w:noBreakHyphen/>
          <w:delText>ánál</w:delText>
        </w:r>
        <w:r w:rsidRPr="00183B5F">
          <w:rPr>
            <w:szCs w:val="22"/>
          </w:rPr>
          <w:delText xml:space="preserve"> (5/46) azonosítottak adalimumab</w:delText>
        </w:r>
        <w:r w:rsidRPr="00183B5F">
          <w:rPr>
            <w:szCs w:val="22"/>
          </w:rPr>
          <w:noBreakHyphen/>
          <w:delText>ellenes antitesteket. Azoknál a betegeknél, akik nem kaptak egyidejűleg metotrexátot, az incidencia 13,6% (3/22) volt, szemben a 8,3%</w:delText>
        </w:r>
        <w:r w:rsidRPr="00183B5F">
          <w:rPr>
            <w:szCs w:val="22"/>
          </w:rPr>
          <w:noBreakHyphen/>
          <w:delText>kal (2/24), amik</w:delText>
        </w:r>
        <w:r w:rsidR="00474A11" w:rsidRPr="00183B5F">
          <w:rPr>
            <w:szCs w:val="22"/>
          </w:rPr>
          <w:delText>or az adalimumabot a metotrexát</w:delText>
        </w:r>
        <w:r w:rsidR="00474A11" w:rsidRPr="00183B5F">
          <w:rPr>
            <w:szCs w:val="22"/>
          </w:rPr>
          <w:noBreakHyphen/>
        </w:r>
        <w:r w:rsidRPr="00183B5F">
          <w:rPr>
            <w:szCs w:val="22"/>
          </w:rPr>
          <w:delText>kezelés mellett alkalmazták.</w:delText>
        </w:r>
      </w:del>
    </w:p>
    <w:p w14:paraId="0A1449DF" w14:textId="42FA32E8" w:rsidR="00843B31" w:rsidRPr="00183B5F" w:rsidRDefault="00843B31" w:rsidP="004062FE">
      <w:pPr>
        <w:spacing w:line="240" w:lineRule="auto"/>
        <w:rPr>
          <w:del w:id="7408" w:author="AbbVie_HU_03" w:date="2025-05-14T15:27:00Z"/>
          <w:szCs w:val="22"/>
        </w:rPr>
      </w:pPr>
    </w:p>
    <w:p w14:paraId="4762AB48" w14:textId="1721C80A" w:rsidR="00FB6710" w:rsidRPr="00183B5F" w:rsidRDefault="00943743" w:rsidP="004062FE">
      <w:pPr>
        <w:spacing w:line="240" w:lineRule="auto"/>
        <w:rPr>
          <w:del w:id="7409" w:author="AbbVie_HU_03" w:date="2025-05-14T15:27:00Z"/>
          <w:szCs w:val="22"/>
        </w:rPr>
      </w:pPr>
      <w:del w:id="7410" w:author="AbbVie_HU_03" w:date="2025-05-14T15:27:00Z">
        <w:r w:rsidRPr="00183B5F">
          <w:rPr>
            <w:szCs w:val="22"/>
          </w:rPr>
          <w:delText>Az arthritis psoriaticában szenvedő betegek esetében 376 közül 38 adalimumabbal kezelt betegben (10%) mutattak ki adalimumab</w:delText>
        </w:r>
        <w:r w:rsidR="00022AEF" w:rsidRPr="00183B5F">
          <w:rPr>
            <w:szCs w:val="22"/>
          </w:rPr>
          <w:noBreakHyphen/>
        </w:r>
        <w:r w:rsidR="00AC774F" w:rsidRPr="00183B5F">
          <w:rPr>
            <w:szCs w:val="22"/>
          </w:rPr>
          <w:delText>ellenes</w:delText>
        </w:r>
        <w:r w:rsidRPr="00183B5F">
          <w:rPr>
            <w:szCs w:val="22"/>
          </w:rPr>
          <w:delText xml:space="preserve"> antitesteket. Metotrexátot egyidejűleg nem kapó betegeknél az incidencia 13,5% volt (24/178), az adalimumabot a metotrexát mellé kiegészítésként kapóknál észlelt 7%-kal (14/198) szemben.</w:delText>
        </w:r>
      </w:del>
    </w:p>
    <w:p w14:paraId="2F51B6A2" w14:textId="0603D784" w:rsidR="00292AB0" w:rsidRPr="00183B5F" w:rsidRDefault="00292AB0" w:rsidP="004062FE">
      <w:pPr>
        <w:spacing w:line="240" w:lineRule="auto"/>
        <w:rPr>
          <w:del w:id="7411" w:author="AbbVie_HU_03" w:date="2025-05-14T15:27:00Z"/>
          <w:szCs w:val="22"/>
        </w:rPr>
      </w:pPr>
    </w:p>
    <w:p w14:paraId="6CD837A5" w14:textId="76A81ABC" w:rsidR="00292AB0" w:rsidRPr="00183B5F" w:rsidRDefault="00943743" w:rsidP="004062FE">
      <w:pPr>
        <w:spacing w:line="240" w:lineRule="auto"/>
        <w:rPr>
          <w:del w:id="7412" w:author="AbbVie_HU_03" w:date="2025-05-14T15:27:00Z"/>
          <w:szCs w:val="22"/>
        </w:rPr>
      </w:pPr>
      <w:del w:id="7413" w:author="AbbVie_HU_03" w:date="2025-05-14T15:27:00Z">
        <w:r w:rsidRPr="00183B5F">
          <w:rPr>
            <w:szCs w:val="22"/>
          </w:rPr>
          <w:delText xml:space="preserve">A </w:delText>
        </w:r>
        <w:r w:rsidRPr="00183B5F">
          <w:rPr>
            <w:rFonts w:eastAsia="SimSun"/>
            <w:szCs w:val="22"/>
            <w:lang w:eastAsia="zh-CN"/>
          </w:rPr>
          <w:delText xml:space="preserve">spondylitis ankylopoeticában szenvedő betegek esetében 204 közül 17 </w:delText>
        </w:r>
        <w:r w:rsidRPr="00183B5F">
          <w:rPr>
            <w:szCs w:val="22"/>
          </w:rPr>
          <w:delText>adalimumabbal kezelt betegben (8,3%) mutattak ki adalimumab</w:delText>
        </w:r>
        <w:r w:rsidR="00E5381A" w:rsidRPr="00183B5F">
          <w:rPr>
            <w:szCs w:val="22"/>
          </w:rPr>
          <w:noBreakHyphen/>
        </w:r>
        <w:r w:rsidRPr="00183B5F">
          <w:rPr>
            <w:szCs w:val="22"/>
          </w:rPr>
          <w:delText>ellenes antitesteket. Metotrexátot egyidejűleg nem kapó betegeknél az incidencia 8,6% volt (16/185</w:delText>
        </w:r>
        <w:r w:rsidR="004F4F79" w:rsidRPr="00183B5F">
          <w:rPr>
            <w:szCs w:val="22"/>
          </w:rPr>
          <w:delText> </w:delText>
        </w:r>
        <w:r w:rsidRPr="00183B5F">
          <w:rPr>
            <w:szCs w:val="22"/>
          </w:rPr>
          <w:delText>beteg), az adalimumabot a metotrexát mellé kiegészítésként kapóknál észlelt 5,3%-kal (1/19) szemben.</w:delText>
        </w:r>
      </w:del>
    </w:p>
    <w:p w14:paraId="3DDBAA21" w14:textId="2A169A9B" w:rsidR="00FB6710" w:rsidRPr="00183B5F" w:rsidRDefault="00FB6710" w:rsidP="004062FE">
      <w:pPr>
        <w:spacing w:line="240" w:lineRule="auto"/>
        <w:rPr>
          <w:del w:id="7414" w:author="AbbVie_HU_03" w:date="2025-05-14T15:27:00Z"/>
          <w:szCs w:val="22"/>
        </w:rPr>
      </w:pPr>
    </w:p>
    <w:p w14:paraId="2F1A9120" w14:textId="5F29C30C" w:rsidR="00485B87" w:rsidRPr="00183B5F" w:rsidRDefault="00943743" w:rsidP="004062FE">
      <w:pPr>
        <w:spacing w:line="240" w:lineRule="auto"/>
        <w:rPr>
          <w:del w:id="7415" w:author="AbbVie_HU_03" w:date="2025-05-14T15:27:00Z"/>
          <w:szCs w:val="22"/>
        </w:rPr>
      </w:pPr>
      <w:del w:id="7416" w:author="AbbVie_HU_03" w:date="2025-05-14T15:27:00Z">
        <w:r w:rsidRPr="00183B5F">
          <w:rPr>
            <w:rFonts w:eastAsia="SimSun"/>
            <w:szCs w:val="22"/>
            <w:lang w:eastAsia="zh-CN"/>
          </w:rPr>
          <w:delText>A röntgeneltéréssel nem járó</w:delText>
        </w:r>
        <w:r w:rsidRPr="00183B5F">
          <w:rPr>
            <w:szCs w:val="22"/>
          </w:rPr>
          <w:delText xml:space="preserve"> axiális spondyloarthritisben szenvedő betegek esetében 152 közül 8</w:delText>
        </w:r>
        <w:r w:rsidR="00105FE2" w:rsidRPr="00183B5F">
          <w:rPr>
            <w:szCs w:val="22"/>
          </w:rPr>
          <w:delText>, folyamatosan</w:delText>
        </w:r>
        <w:r w:rsidRPr="00183B5F">
          <w:rPr>
            <w:szCs w:val="22"/>
          </w:rPr>
          <w:delText xml:space="preserve"> adalimumabbal kezelt beteg</w:delText>
        </w:r>
        <w:r w:rsidR="00105FE2" w:rsidRPr="00183B5F">
          <w:rPr>
            <w:szCs w:val="22"/>
          </w:rPr>
          <w:delText>nél</w:delText>
        </w:r>
        <w:r w:rsidRPr="00183B5F">
          <w:rPr>
            <w:szCs w:val="22"/>
          </w:rPr>
          <w:delText xml:space="preserve"> (5,3%) mutattak ki adalimumab</w:delText>
        </w:r>
        <w:r w:rsidR="007004A2" w:rsidRPr="00183B5F">
          <w:rPr>
            <w:szCs w:val="22"/>
          </w:rPr>
          <w:noBreakHyphen/>
        </w:r>
        <w:r w:rsidRPr="00183B5F">
          <w:rPr>
            <w:szCs w:val="22"/>
          </w:rPr>
          <w:delText>ellenes antitesteket.</w:delText>
        </w:r>
      </w:del>
    </w:p>
    <w:p w14:paraId="293E4A00" w14:textId="602C95EC" w:rsidR="00871565" w:rsidRPr="00183B5F" w:rsidRDefault="00871565" w:rsidP="004062FE">
      <w:pPr>
        <w:spacing w:line="240" w:lineRule="auto"/>
        <w:rPr>
          <w:del w:id="7417" w:author="AbbVie_HU_03" w:date="2025-05-14T15:27:00Z"/>
          <w:szCs w:val="22"/>
        </w:rPr>
      </w:pPr>
    </w:p>
    <w:p w14:paraId="55A99F84" w14:textId="461AF840" w:rsidR="00FB6710" w:rsidRPr="00183B5F" w:rsidRDefault="00943743" w:rsidP="004062FE">
      <w:pPr>
        <w:spacing w:line="240" w:lineRule="auto"/>
        <w:rPr>
          <w:del w:id="7418" w:author="AbbVie_HU_03" w:date="2025-05-14T15:27:00Z"/>
          <w:szCs w:val="22"/>
        </w:rPr>
      </w:pPr>
      <w:del w:id="7419" w:author="AbbVie_HU_03" w:date="2025-05-14T15:27:00Z">
        <w:r w:rsidRPr="00183B5F">
          <w:rPr>
            <w:szCs w:val="22"/>
          </w:rPr>
          <w:delText>A 269</w:delText>
        </w:r>
        <w:r w:rsidR="0066731A" w:rsidRPr="00183B5F">
          <w:rPr>
            <w:szCs w:val="22"/>
          </w:rPr>
          <w:delText>,</w:delText>
        </w:r>
        <w:r w:rsidRPr="00183B5F">
          <w:rPr>
            <w:szCs w:val="22"/>
          </w:rPr>
          <w:delText xml:space="preserve"> Crohn</w:delText>
        </w:r>
        <w:r w:rsidR="004F4F79" w:rsidRPr="00183B5F">
          <w:rPr>
            <w:szCs w:val="22"/>
          </w:rPr>
          <w:noBreakHyphen/>
        </w:r>
        <w:r w:rsidRPr="00183B5F">
          <w:rPr>
            <w:szCs w:val="22"/>
          </w:rPr>
          <w:delText>betegségben szenvedő beteg közül 7 (2,6%)</w:delText>
        </w:r>
        <w:r w:rsidR="00D4102C" w:rsidRPr="00183B5F">
          <w:rPr>
            <w:szCs w:val="22"/>
          </w:rPr>
          <w:delText xml:space="preserve"> és 487</w:delText>
        </w:r>
        <w:r w:rsidR="0066731A" w:rsidRPr="00183B5F">
          <w:rPr>
            <w:szCs w:val="22"/>
          </w:rPr>
          <w:delText>,</w:delText>
        </w:r>
        <w:r w:rsidR="00D4102C" w:rsidRPr="00183B5F">
          <w:rPr>
            <w:szCs w:val="22"/>
          </w:rPr>
          <w:delText xml:space="preserve"> colitis ulcerosában szenvedő beteg közül 19 (3,9%)</w:delText>
        </w:r>
        <w:r w:rsidRPr="00183B5F">
          <w:rPr>
            <w:szCs w:val="22"/>
          </w:rPr>
          <w:delText xml:space="preserve"> szérumában mutattak ki adalimumab</w:delText>
        </w:r>
        <w:r w:rsidR="00B45E1D" w:rsidRPr="00183B5F">
          <w:rPr>
            <w:szCs w:val="22"/>
          </w:rPr>
          <w:delText>-ellenes</w:delText>
        </w:r>
        <w:r w:rsidRPr="00183B5F">
          <w:rPr>
            <w:szCs w:val="22"/>
          </w:rPr>
          <w:delText xml:space="preserve"> antitesteket. </w:delText>
        </w:r>
      </w:del>
    </w:p>
    <w:p w14:paraId="675969A9" w14:textId="13B28798" w:rsidR="00FB6710" w:rsidRPr="00183B5F" w:rsidRDefault="00FB6710" w:rsidP="004062FE">
      <w:pPr>
        <w:spacing w:line="240" w:lineRule="auto"/>
        <w:rPr>
          <w:del w:id="7420" w:author="AbbVie_HU_03" w:date="2025-05-14T15:27:00Z"/>
          <w:szCs w:val="22"/>
        </w:rPr>
      </w:pPr>
    </w:p>
    <w:p w14:paraId="6C376902" w14:textId="2FA64618" w:rsidR="00FB6710" w:rsidRPr="00183B5F" w:rsidRDefault="00943743" w:rsidP="004062FE">
      <w:pPr>
        <w:spacing w:line="240" w:lineRule="auto"/>
        <w:rPr>
          <w:del w:id="7421" w:author="AbbVie_HU_03" w:date="2025-05-14T15:27:00Z"/>
          <w:szCs w:val="22"/>
        </w:rPr>
      </w:pPr>
      <w:del w:id="7422" w:author="AbbVie_HU_03" w:date="2025-05-14T15:27:00Z">
        <w:r w:rsidRPr="00183B5F">
          <w:rPr>
            <w:szCs w:val="22"/>
          </w:rPr>
          <w:delText xml:space="preserve">Psoriasisos </w:delText>
        </w:r>
        <w:r w:rsidR="00EF6608" w:rsidRPr="00183B5F">
          <w:rPr>
            <w:szCs w:val="22"/>
          </w:rPr>
          <w:delText xml:space="preserve">felnőtt </w:delText>
        </w:r>
        <w:r w:rsidRPr="00183B5F">
          <w:rPr>
            <w:szCs w:val="22"/>
          </w:rPr>
          <w:delText>betegek körében 77/920 adalimumab</w:delText>
        </w:r>
        <w:r w:rsidR="002D38D3" w:rsidRPr="00183B5F">
          <w:rPr>
            <w:szCs w:val="22"/>
          </w:rPr>
          <w:delText>-</w:delText>
        </w:r>
        <w:r w:rsidRPr="00183B5F">
          <w:rPr>
            <w:szCs w:val="22"/>
          </w:rPr>
          <w:delText xml:space="preserve">monoterápiával kezelt </w:delText>
        </w:r>
        <w:r w:rsidR="00EA2737" w:rsidRPr="00183B5F">
          <w:rPr>
            <w:szCs w:val="22"/>
          </w:rPr>
          <w:delText>beteg</w:delText>
        </w:r>
        <w:r w:rsidRPr="00183B5F">
          <w:rPr>
            <w:szCs w:val="22"/>
          </w:rPr>
          <w:delText xml:space="preserve"> esetében (8,4%) mutattak ki adalimumab</w:delText>
        </w:r>
        <w:r w:rsidR="001C2086" w:rsidRPr="00183B5F">
          <w:rPr>
            <w:szCs w:val="22"/>
          </w:rPr>
          <w:delText>-ellenes</w:delText>
        </w:r>
        <w:r w:rsidRPr="00183B5F">
          <w:rPr>
            <w:szCs w:val="22"/>
          </w:rPr>
          <w:delText xml:space="preserve"> antitesteket.</w:delText>
        </w:r>
      </w:del>
    </w:p>
    <w:p w14:paraId="24C47228" w14:textId="18DBD818" w:rsidR="00FB6710" w:rsidRPr="00183B5F" w:rsidRDefault="00FB6710" w:rsidP="004062FE">
      <w:pPr>
        <w:spacing w:line="240" w:lineRule="auto"/>
        <w:rPr>
          <w:del w:id="7423" w:author="AbbVie_HU_03" w:date="2025-05-14T15:27:00Z"/>
          <w:szCs w:val="22"/>
        </w:rPr>
      </w:pPr>
    </w:p>
    <w:p w14:paraId="1F5C28E6" w14:textId="6435B448" w:rsidR="002E78A2" w:rsidRPr="00183B5F" w:rsidRDefault="00943743" w:rsidP="004062FE">
      <w:pPr>
        <w:spacing w:line="240" w:lineRule="auto"/>
        <w:rPr>
          <w:del w:id="7424" w:author="AbbVie_HU_03" w:date="2025-05-14T15:27:00Z"/>
          <w:szCs w:val="22"/>
        </w:rPr>
      </w:pPr>
      <w:del w:id="7425" w:author="AbbVie_HU_03" w:date="2025-05-14T15:27:00Z">
        <w:r w:rsidRPr="00183B5F">
          <w:rPr>
            <w:szCs w:val="22"/>
          </w:rPr>
          <w:delText>Azoknál a hosszú időn át adalimu</w:delText>
        </w:r>
        <w:r w:rsidR="00F20C3E" w:rsidRPr="00183B5F">
          <w:rPr>
            <w:szCs w:val="22"/>
          </w:rPr>
          <w:delText>m</w:delText>
        </w:r>
        <w:r w:rsidRPr="00183B5F">
          <w:rPr>
            <w:szCs w:val="22"/>
          </w:rPr>
          <w:delText>ab</w:delText>
        </w:r>
        <w:r w:rsidR="002D38D3" w:rsidRPr="00183B5F">
          <w:rPr>
            <w:szCs w:val="22"/>
          </w:rPr>
          <w:delText>-</w:delText>
        </w:r>
        <w:r w:rsidRPr="00183B5F">
          <w:rPr>
            <w:szCs w:val="22"/>
          </w:rPr>
          <w:delText>monoterápiá</w:delText>
        </w:r>
        <w:r w:rsidR="00AB46BD" w:rsidRPr="00183B5F">
          <w:rPr>
            <w:szCs w:val="22"/>
          </w:rPr>
          <w:delText>t kapó</w:delText>
        </w:r>
        <w:r w:rsidR="00E22338" w:rsidRPr="00183B5F">
          <w:rPr>
            <w:szCs w:val="22"/>
          </w:rPr>
          <w:delText>, p</w:delText>
        </w:r>
        <w:r w:rsidRPr="00183B5F">
          <w:rPr>
            <w:szCs w:val="22"/>
          </w:rPr>
          <w:delText xml:space="preserve">lakkos psoriasisos </w:delText>
        </w:r>
        <w:r w:rsidR="00247878" w:rsidRPr="00183B5F">
          <w:rPr>
            <w:szCs w:val="22"/>
          </w:rPr>
          <w:delText xml:space="preserve">felnőtt </w:delText>
        </w:r>
        <w:r w:rsidRPr="00183B5F">
          <w:rPr>
            <w:szCs w:val="22"/>
          </w:rPr>
          <w:delText>betegeknél, akik részt</w:delText>
        </w:r>
        <w:r w:rsidR="00EA2737" w:rsidRPr="00183B5F">
          <w:rPr>
            <w:szCs w:val="22"/>
          </w:rPr>
          <w:delText xml:space="preserve"> </w:delText>
        </w:r>
        <w:r w:rsidRPr="00183B5F">
          <w:rPr>
            <w:szCs w:val="22"/>
          </w:rPr>
          <w:delText>vettek a kezelés abbahagyását</w:delText>
        </w:r>
        <w:r w:rsidR="00177C94" w:rsidRPr="00183B5F">
          <w:rPr>
            <w:szCs w:val="22"/>
          </w:rPr>
          <w:delText>,</w:delText>
        </w:r>
        <w:r w:rsidRPr="00183B5F">
          <w:rPr>
            <w:szCs w:val="22"/>
          </w:rPr>
          <w:delText xml:space="preserve"> majd újrakezdését értékelő vizsgálatban, az újrakezdést </w:delText>
        </w:r>
        <w:r w:rsidR="002D38D3" w:rsidRPr="00183B5F">
          <w:rPr>
            <w:szCs w:val="22"/>
          </w:rPr>
          <w:delText>követően az adalimumab</w:delText>
        </w:r>
        <w:r w:rsidR="002D38D3" w:rsidRPr="00183B5F">
          <w:rPr>
            <w:szCs w:val="22"/>
          </w:rPr>
          <w:noBreakHyphen/>
          <w:delText>ellenes antitestek aránya</w:delText>
        </w:r>
        <w:r w:rsidRPr="00183B5F">
          <w:rPr>
            <w:szCs w:val="22"/>
          </w:rPr>
          <w:delText xml:space="preserve"> (482</w:delText>
        </w:r>
        <w:r w:rsidR="00F87A74" w:rsidRPr="00183B5F">
          <w:rPr>
            <w:szCs w:val="22"/>
          </w:rPr>
          <w:delText> </w:delText>
        </w:r>
        <w:r w:rsidR="00AB46BD" w:rsidRPr="00183B5F">
          <w:rPr>
            <w:szCs w:val="22"/>
          </w:rPr>
          <w:delText>beteg közül</w:delText>
        </w:r>
        <w:r w:rsidRPr="00183B5F">
          <w:rPr>
            <w:szCs w:val="22"/>
          </w:rPr>
          <w:delText>l 11; 2,3%) hasonló volt a kezelés abbahagyása előtti arányhoz (590</w:delText>
        </w:r>
        <w:r w:rsidR="00F87A74" w:rsidRPr="00183B5F">
          <w:rPr>
            <w:szCs w:val="22"/>
          </w:rPr>
          <w:delText> </w:delText>
        </w:r>
        <w:r w:rsidR="00AB46BD" w:rsidRPr="00183B5F">
          <w:rPr>
            <w:szCs w:val="22"/>
          </w:rPr>
          <w:delText>beteg közül</w:delText>
        </w:r>
        <w:r w:rsidRPr="00183B5F">
          <w:rPr>
            <w:szCs w:val="22"/>
          </w:rPr>
          <w:delText xml:space="preserve"> 11; 1,9%).</w:delText>
        </w:r>
      </w:del>
    </w:p>
    <w:p w14:paraId="2D99B428" w14:textId="7B521315" w:rsidR="002E78A2" w:rsidRPr="00183B5F" w:rsidRDefault="002E78A2" w:rsidP="004062FE">
      <w:pPr>
        <w:spacing w:line="240" w:lineRule="auto"/>
        <w:rPr>
          <w:del w:id="7426" w:author="AbbVie_HU_03" w:date="2025-05-14T15:27:00Z"/>
          <w:szCs w:val="22"/>
        </w:rPr>
      </w:pPr>
    </w:p>
    <w:p w14:paraId="7CA129A3" w14:textId="17B6DB67" w:rsidR="00554160" w:rsidRPr="00183B5F" w:rsidRDefault="00943743" w:rsidP="004062FE">
      <w:pPr>
        <w:spacing w:line="240" w:lineRule="auto"/>
        <w:rPr>
          <w:del w:id="7427" w:author="AbbVie_HU_03" w:date="2025-05-14T15:27:00Z"/>
          <w:szCs w:val="22"/>
        </w:rPr>
      </w:pPr>
      <w:del w:id="7428" w:author="AbbVie_HU_03" w:date="2025-05-14T15:27:00Z">
        <w:r w:rsidRPr="00183B5F">
          <w:rPr>
            <w:szCs w:val="22"/>
          </w:rPr>
          <w:delText>Gyerme</w:delText>
        </w:r>
        <w:r w:rsidR="00806672" w:rsidRPr="00183B5F">
          <w:rPr>
            <w:szCs w:val="22"/>
          </w:rPr>
          <w:delText>kkori psoriasisban szenvedő 0,8 </w:delText>
        </w:r>
        <w:r w:rsidRPr="00183B5F">
          <w:rPr>
            <w:szCs w:val="22"/>
          </w:rPr>
          <w:delText>mg</w:delText>
        </w:r>
        <w:r w:rsidR="00127A0B" w:rsidRPr="00183B5F">
          <w:rPr>
            <w:szCs w:val="22"/>
          </w:rPr>
          <w:delText>/ttkg</w:delText>
        </w:r>
        <w:r w:rsidRPr="00183B5F">
          <w:rPr>
            <w:szCs w:val="22"/>
          </w:rPr>
          <w:delText xml:space="preserve"> adalimumab</w:delText>
        </w:r>
        <w:r w:rsidR="002D38D3" w:rsidRPr="00183B5F">
          <w:rPr>
            <w:szCs w:val="22"/>
          </w:rPr>
          <w:delText>-</w:delText>
        </w:r>
        <w:r w:rsidRPr="00183B5F">
          <w:rPr>
            <w:szCs w:val="22"/>
          </w:rPr>
          <w:delText>mo</w:delText>
        </w:r>
        <w:r w:rsidR="00806672" w:rsidRPr="00183B5F">
          <w:rPr>
            <w:szCs w:val="22"/>
          </w:rPr>
          <w:delText>noterápiával kezelt betegek 13%</w:delText>
        </w:r>
        <w:r w:rsidR="00806672" w:rsidRPr="00183B5F">
          <w:rPr>
            <w:szCs w:val="22"/>
          </w:rPr>
          <w:noBreakHyphen/>
        </w:r>
        <w:r w:rsidRPr="00183B5F">
          <w:rPr>
            <w:szCs w:val="22"/>
          </w:rPr>
          <w:delText>ánál (5/38</w:delText>
        </w:r>
        <w:r w:rsidR="00247878" w:rsidRPr="00183B5F">
          <w:rPr>
            <w:szCs w:val="22"/>
          </w:rPr>
          <w:delText> betegnél</w:delText>
        </w:r>
        <w:r w:rsidRPr="00183B5F">
          <w:rPr>
            <w:szCs w:val="22"/>
          </w:rPr>
          <w:delText>) azonosítottak adalimumab</w:delText>
        </w:r>
        <w:r w:rsidR="00247878" w:rsidRPr="00183B5F">
          <w:rPr>
            <w:szCs w:val="22"/>
          </w:rPr>
          <w:noBreakHyphen/>
        </w:r>
        <w:r w:rsidRPr="00183B5F">
          <w:rPr>
            <w:szCs w:val="22"/>
          </w:rPr>
          <w:delText>ellenes antitesteket.</w:delText>
        </w:r>
      </w:del>
    </w:p>
    <w:p w14:paraId="4DC73A84" w14:textId="5D0BADFF" w:rsidR="00554160" w:rsidRPr="00183B5F" w:rsidRDefault="00554160" w:rsidP="004062FE">
      <w:pPr>
        <w:spacing w:line="240" w:lineRule="auto"/>
        <w:rPr>
          <w:del w:id="7429" w:author="AbbVie_HU_03" w:date="2025-05-14T15:27:00Z"/>
          <w:szCs w:val="22"/>
        </w:rPr>
      </w:pPr>
    </w:p>
    <w:p w14:paraId="6F1CADCC" w14:textId="19E7EE78" w:rsidR="00412808" w:rsidRPr="00183B5F" w:rsidRDefault="00943743" w:rsidP="004062FE">
      <w:pPr>
        <w:spacing w:line="240" w:lineRule="auto"/>
        <w:rPr>
          <w:del w:id="7430" w:author="AbbVie_HU_03" w:date="2025-05-14T15:27:00Z"/>
          <w:szCs w:val="22"/>
        </w:rPr>
      </w:pPr>
      <w:del w:id="7431" w:author="AbbVie_HU_03" w:date="2025-05-14T15:27:00Z">
        <w:r w:rsidRPr="00183B5F">
          <w:rPr>
            <w:szCs w:val="22"/>
          </w:rPr>
          <w:delText>A közepesen súlyos, súlyos hidradenitis suppurativában szenvedő</w:delText>
        </w:r>
        <w:r w:rsidR="001425E6" w:rsidRPr="00183B5F">
          <w:rPr>
            <w:szCs w:val="22"/>
          </w:rPr>
          <w:delText>,</w:delText>
        </w:r>
        <w:r w:rsidRPr="00183B5F">
          <w:rPr>
            <w:szCs w:val="22"/>
          </w:rPr>
          <w:delText xml:space="preserve"> adalimumabbal kezelt betegek 10,1%</w:delText>
        </w:r>
        <w:r w:rsidRPr="00183B5F">
          <w:rPr>
            <w:szCs w:val="22"/>
          </w:rPr>
          <w:noBreakHyphen/>
          <w:delText>ánál (10/99 betegnél) azonosítottak adalimumab</w:delText>
        </w:r>
        <w:r w:rsidRPr="00183B5F">
          <w:rPr>
            <w:szCs w:val="22"/>
          </w:rPr>
          <w:noBreakHyphen/>
          <w:delText>ellenes antitesteket.</w:delText>
        </w:r>
      </w:del>
    </w:p>
    <w:p w14:paraId="3A444EC4" w14:textId="71B43AF2" w:rsidR="00697D92" w:rsidRPr="00183B5F" w:rsidRDefault="00697D92">
      <w:pPr>
        <w:spacing w:line="240" w:lineRule="auto"/>
        <w:outlineLvl w:val="0"/>
        <w:rPr>
          <w:del w:id="7432" w:author="AbbVie_HU_03" w:date="2025-05-14T15:27:00Z"/>
          <w:noProof/>
          <w:szCs w:val="24"/>
        </w:rPr>
      </w:pPr>
    </w:p>
    <w:p w14:paraId="698E7F28" w14:textId="2FD302B7" w:rsidR="00697D92" w:rsidRPr="00183B5F" w:rsidRDefault="00943743" w:rsidP="004062FE">
      <w:pPr>
        <w:spacing w:line="240" w:lineRule="auto"/>
        <w:rPr>
          <w:del w:id="7433" w:author="AbbVie_HU_03" w:date="2025-05-14T15:27:00Z"/>
          <w:szCs w:val="22"/>
        </w:rPr>
      </w:pPr>
      <w:del w:id="7434" w:author="AbbVie_HU_03" w:date="2025-05-14T15:27:00Z">
        <w:r w:rsidRPr="00183B5F">
          <w:rPr>
            <w:szCs w:val="22"/>
          </w:rPr>
          <w:delText xml:space="preserve">Közepesen súlyos </w:delText>
        </w:r>
        <w:r w:rsidR="00821DCB" w:rsidRPr="00183B5F">
          <w:rPr>
            <w:szCs w:val="22"/>
          </w:rPr>
          <w:delText>–</w:delText>
        </w:r>
        <w:r w:rsidRPr="00183B5F">
          <w:rPr>
            <w:szCs w:val="22"/>
          </w:rPr>
          <w:delText xml:space="preserve"> súlyos aktivitású Crohn</w:delText>
        </w:r>
        <w:r w:rsidRPr="00183B5F">
          <w:rPr>
            <w:szCs w:val="22"/>
          </w:rPr>
          <w:noBreakHyphen/>
          <w:delText>betegségben szenvedő gyermekeknél az adalimumab</w:delText>
        </w:r>
        <w:r w:rsidR="00EA2737" w:rsidRPr="00183B5F">
          <w:rPr>
            <w:szCs w:val="22"/>
          </w:rPr>
          <w:noBreakHyphen/>
          <w:delText>ellenes</w:delText>
        </w:r>
        <w:r w:rsidRPr="00183B5F">
          <w:rPr>
            <w:szCs w:val="22"/>
          </w:rPr>
          <w:delText xml:space="preserve"> antitest kialakulásának aránya adalimumabot kapó betegeknél 3,3% volt.</w:delText>
        </w:r>
      </w:del>
    </w:p>
    <w:p w14:paraId="1AB10616" w14:textId="4D1BF322" w:rsidR="00412808" w:rsidRPr="00183B5F" w:rsidRDefault="00412808" w:rsidP="004062FE">
      <w:pPr>
        <w:spacing w:line="240" w:lineRule="auto"/>
        <w:rPr>
          <w:del w:id="7435" w:author="AbbVie_HU_03" w:date="2025-05-14T15:27:00Z"/>
          <w:szCs w:val="22"/>
        </w:rPr>
      </w:pPr>
    </w:p>
    <w:p w14:paraId="14434AB1" w14:textId="58279511" w:rsidR="000D4D35" w:rsidRPr="00183B5F" w:rsidRDefault="00943743" w:rsidP="004062FE">
      <w:pPr>
        <w:spacing w:line="240" w:lineRule="auto"/>
        <w:rPr>
          <w:del w:id="7436" w:author="AbbVie_HU_03" w:date="2025-05-14T15:27:00Z"/>
          <w:szCs w:val="22"/>
        </w:rPr>
      </w:pPr>
      <w:del w:id="7437" w:author="AbbVie_HU_03" w:date="2025-05-14T15:27:00Z">
        <w:r w:rsidRPr="00183B5F">
          <w:rPr>
            <w:szCs w:val="22"/>
          </w:rPr>
          <w:delText>A nem fertőz</w:delText>
        </w:r>
        <w:r w:rsidR="007D32C8" w:rsidRPr="00183B5F">
          <w:rPr>
            <w:szCs w:val="22"/>
          </w:rPr>
          <w:delText>éses</w:delText>
        </w:r>
        <w:r w:rsidRPr="00183B5F">
          <w:rPr>
            <w:szCs w:val="22"/>
          </w:rPr>
          <w:delText xml:space="preserve"> eredetű uveitisben szenvedő, adalimumabbal kezelt </w:delText>
        </w:r>
        <w:r w:rsidR="007809D6" w:rsidRPr="00183B5F">
          <w:rPr>
            <w:szCs w:val="22"/>
          </w:rPr>
          <w:delText xml:space="preserve">felnőtt </w:delText>
        </w:r>
        <w:r w:rsidRPr="00183B5F">
          <w:rPr>
            <w:szCs w:val="22"/>
          </w:rPr>
          <w:delText>betegek 4,8%</w:delText>
        </w:r>
        <w:r w:rsidRPr="00183B5F">
          <w:rPr>
            <w:szCs w:val="22"/>
          </w:rPr>
          <w:noBreakHyphen/>
          <w:delText>ánál (12/249) azonosítottak adalimumab</w:delText>
        </w:r>
        <w:r w:rsidRPr="00183B5F">
          <w:rPr>
            <w:szCs w:val="22"/>
          </w:rPr>
          <w:noBreakHyphen/>
          <w:delText>ellenes antitesteket.</w:delText>
        </w:r>
      </w:del>
    </w:p>
    <w:p w14:paraId="749533D3" w14:textId="018E9FAC" w:rsidR="003006E1" w:rsidRPr="00183B5F" w:rsidRDefault="003006E1" w:rsidP="004062FE">
      <w:pPr>
        <w:spacing w:line="240" w:lineRule="auto"/>
        <w:rPr>
          <w:del w:id="7438" w:author="AbbVie_HU_03" w:date="2025-05-14T15:27:00Z"/>
          <w:szCs w:val="22"/>
        </w:rPr>
      </w:pPr>
    </w:p>
    <w:p w14:paraId="1AF22974" w14:textId="2ECAAE51" w:rsidR="002A6D4E" w:rsidRPr="00183B5F" w:rsidRDefault="00943743" w:rsidP="002A6D4E">
      <w:pPr>
        <w:rPr>
          <w:del w:id="7439" w:author="AbbVie_HU_03" w:date="2025-05-14T15:27:00Z"/>
        </w:rPr>
      </w:pPr>
      <w:del w:id="7440" w:author="AbbVie_HU_03" w:date="2025-05-14T15:27:00Z">
        <w:r w:rsidRPr="00183B5F">
          <w:delText>Közepesen súlyos – súlyos akt</w:delText>
        </w:r>
        <w:r w:rsidR="00777CA4" w:rsidRPr="00183B5F">
          <w:delText>i</w:delText>
        </w:r>
        <w:r w:rsidRPr="00183B5F">
          <w:delText>v</w:delText>
        </w:r>
        <w:r w:rsidR="00777CA4" w:rsidRPr="00183B5F">
          <w:delText>itású</w:delText>
        </w:r>
        <w:r w:rsidRPr="00183B5F">
          <w:delText xml:space="preserve"> gyermek</w:delText>
        </w:r>
        <w:r w:rsidR="00777CA4" w:rsidRPr="00183B5F">
          <w:delText>- és serdülő</w:delText>
        </w:r>
        <w:r w:rsidRPr="00183B5F">
          <w:delText>kori colitis ulcerosában szenvedő betegeknél az adalimumab elleni antitestek kialakulásának aránya az adalimumabbal kezelt betegeknél 3% volt.</w:delText>
        </w:r>
      </w:del>
    </w:p>
    <w:p w14:paraId="572D0E19" w14:textId="308E1931" w:rsidR="000D4D35" w:rsidRPr="00183B5F" w:rsidRDefault="000D4D35" w:rsidP="004062FE">
      <w:pPr>
        <w:spacing w:line="240" w:lineRule="auto"/>
        <w:rPr>
          <w:del w:id="7441" w:author="AbbVie_HU_03" w:date="2025-05-14T15:27:00Z"/>
          <w:szCs w:val="22"/>
        </w:rPr>
      </w:pPr>
    </w:p>
    <w:p w14:paraId="7682AF71" w14:textId="1D580F51" w:rsidR="0060287F" w:rsidRPr="00183B5F" w:rsidRDefault="00943743" w:rsidP="004062FE">
      <w:pPr>
        <w:spacing w:line="240" w:lineRule="auto"/>
        <w:rPr>
          <w:del w:id="7442" w:author="AbbVie_HU_03" w:date="2025-05-14T15:27:00Z"/>
          <w:szCs w:val="22"/>
        </w:rPr>
      </w:pPr>
      <w:del w:id="7443" w:author="AbbVie_HU_03" w:date="2025-05-14T15:27:00Z">
        <w:r w:rsidRPr="00183B5F">
          <w:rPr>
            <w:szCs w:val="22"/>
          </w:rPr>
          <w:delText>Az immunogenitási vizsgálatok termékspecifikusak, így az antitestráták összehasonlítása más termékekével nem helyes.</w:delText>
        </w:r>
      </w:del>
    </w:p>
    <w:p w14:paraId="0E918481" w14:textId="5650555D" w:rsidR="0060287F" w:rsidRPr="00183B5F" w:rsidRDefault="0060287F">
      <w:pPr>
        <w:spacing w:line="240" w:lineRule="auto"/>
        <w:outlineLvl w:val="0"/>
        <w:rPr>
          <w:del w:id="7444" w:author="AbbVie_HU_03" w:date="2025-05-14T15:27:00Z"/>
          <w:rFonts w:eastAsia="SimSun"/>
          <w:szCs w:val="22"/>
          <w:lang w:eastAsia="zh-CN"/>
        </w:rPr>
      </w:pPr>
    </w:p>
    <w:p w14:paraId="7F95057A" w14:textId="6FDC6784" w:rsidR="00EA2231" w:rsidRPr="00183B5F" w:rsidRDefault="00943743">
      <w:pPr>
        <w:spacing w:line="240" w:lineRule="auto"/>
        <w:rPr>
          <w:del w:id="7445" w:author="AbbVie_HU_03" w:date="2025-05-14T15:27:00Z"/>
          <w:szCs w:val="22"/>
          <w:u w:val="single"/>
        </w:rPr>
      </w:pPr>
      <w:del w:id="7446" w:author="AbbVie_HU_03" w:date="2025-05-14T15:27:00Z">
        <w:r w:rsidRPr="00183B5F">
          <w:rPr>
            <w:szCs w:val="22"/>
            <w:u w:val="single"/>
          </w:rPr>
          <w:delText>Gyermekek és serdülők</w:delText>
        </w:r>
      </w:del>
    </w:p>
    <w:p w14:paraId="13001781" w14:textId="757C1422" w:rsidR="00C77D14" w:rsidRPr="00183B5F" w:rsidRDefault="00C77D14">
      <w:pPr>
        <w:spacing w:line="240" w:lineRule="auto"/>
        <w:rPr>
          <w:del w:id="7447" w:author="AbbVie_HU_03" w:date="2025-05-14T15:27:00Z"/>
          <w:szCs w:val="22"/>
          <w:u w:val="single"/>
        </w:rPr>
      </w:pPr>
    </w:p>
    <w:p w14:paraId="05925ED9" w14:textId="6318E07D" w:rsidR="00C77D14" w:rsidRPr="00183B5F" w:rsidRDefault="00943743" w:rsidP="00C77D14">
      <w:pPr>
        <w:pStyle w:val="BodyText3"/>
        <w:keepNext/>
        <w:spacing w:line="240" w:lineRule="auto"/>
        <w:jc w:val="left"/>
        <w:rPr>
          <w:del w:id="7448" w:author="AbbVie_HU_03" w:date="2025-05-14T15:27:00Z"/>
          <w:bCs/>
          <w:i/>
          <w:iCs/>
          <w:sz w:val="22"/>
          <w:szCs w:val="22"/>
          <w:lang w:val="hu-HU"/>
        </w:rPr>
      </w:pPr>
      <w:del w:id="7449" w:author="AbbVie_HU_03" w:date="2025-05-14T15:27:00Z">
        <w:r w:rsidRPr="00183B5F">
          <w:rPr>
            <w:bCs/>
            <w:i/>
            <w:iCs/>
            <w:sz w:val="22"/>
            <w:szCs w:val="22"/>
            <w:lang w:val="hu-HU"/>
          </w:rPr>
          <w:delText>Juvenilis idiopathiás arthritis (JIA)</w:delText>
        </w:r>
      </w:del>
    </w:p>
    <w:p w14:paraId="5B4D5A09" w14:textId="4C691132" w:rsidR="00C77D14" w:rsidRPr="00183B5F" w:rsidRDefault="00C77D14" w:rsidP="00C77D14">
      <w:pPr>
        <w:keepNext/>
        <w:spacing w:line="240" w:lineRule="auto"/>
        <w:rPr>
          <w:del w:id="7450" w:author="AbbVie_HU_03" w:date="2025-05-14T15:27:00Z"/>
          <w:szCs w:val="22"/>
          <w:u w:val="single"/>
        </w:rPr>
      </w:pPr>
    </w:p>
    <w:p w14:paraId="4183F5BE" w14:textId="38A5A558" w:rsidR="00C77D14" w:rsidRPr="00183B5F" w:rsidRDefault="00943743" w:rsidP="00C77D14">
      <w:pPr>
        <w:keepNext/>
        <w:spacing w:line="240" w:lineRule="auto"/>
        <w:rPr>
          <w:del w:id="7451" w:author="AbbVie_HU_03" w:date="2025-05-14T15:27:00Z"/>
          <w:i/>
          <w:szCs w:val="22"/>
          <w:u w:val="single"/>
        </w:rPr>
      </w:pPr>
      <w:del w:id="7452" w:author="AbbVie_HU_03" w:date="2025-05-14T15:27:00Z">
        <w:r w:rsidRPr="00183B5F">
          <w:rPr>
            <w:i/>
            <w:szCs w:val="22"/>
            <w:u w:val="single"/>
          </w:rPr>
          <w:delText>Polyarticularis juvenilis idiopathiás arthritis (pJIA)</w:delText>
        </w:r>
      </w:del>
    </w:p>
    <w:p w14:paraId="7E775821" w14:textId="45C4E1A2" w:rsidR="00C77D14" w:rsidRPr="00183B5F" w:rsidRDefault="00C77D14" w:rsidP="00C77D14">
      <w:pPr>
        <w:pStyle w:val="BodyText3"/>
        <w:keepNext/>
        <w:spacing w:line="240" w:lineRule="auto"/>
        <w:jc w:val="left"/>
        <w:rPr>
          <w:del w:id="7453" w:author="AbbVie_HU_03" w:date="2025-05-14T15:27:00Z"/>
          <w:bCs/>
          <w:iCs/>
          <w:sz w:val="22"/>
          <w:szCs w:val="22"/>
          <w:u w:val="single"/>
          <w:lang w:val="hu-HU"/>
        </w:rPr>
      </w:pPr>
    </w:p>
    <w:p w14:paraId="437CEF96" w14:textId="2F6B9584" w:rsidR="00C77D14" w:rsidRPr="00183B5F" w:rsidRDefault="00943743" w:rsidP="00C77D14">
      <w:pPr>
        <w:pStyle w:val="BodyText3"/>
        <w:keepNext/>
        <w:spacing w:line="240" w:lineRule="auto"/>
        <w:jc w:val="left"/>
        <w:rPr>
          <w:del w:id="7454" w:author="AbbVie_HU_03" w:date="2025-05-14T15:27:00Z"/>
          <w:bCs/>
          <w:iCs/>
          <w:sz w:val="22"/>
          <w:szCs w:val="22"/>
          <w:lang w:val="hu-HU"/>
        </w:rPr>
      </w:pPr>
      <w:del w:id="7455" w:author="AbbVie_HU_03" w:date="2025-05-14T15:27:00Z">
        <w:r w:rsidRPr="00183B5F">
          <w:rPr>
            <w:bCs/>
            <w:iCs/>
            <w:sz w:val="22"/>
            <w:szCs w:val="22"/>
            <w:lang w:val="hu-HU"/>
          </w:rPr>
          <w:delText>A Humira biztonságosságát és hatásosságát két vizsgálatban (pJIA I és II) értékelték aktív polyarticularis juvenilis idiopathiás arthritisben szenvedő gyermekeknél, akiknél a JIA kezdeti formája eltért (leggyakrabban rheumatoid faktor pozitív vagy negatív polyarthritis és extendált oligoarthritis fordult elő).</w:delText>
        </w:r>
      </w:del>
    </w:p>
    <w:p w14:paraId="2B00223D" w14:textId="4D53AEB6" w:rsidR="00C77D14" w:rsidRPr="00183B5F" w:rsidRDefault="00C77D14" w:rsidP="00C77D14">
      <w:pPr>
        <w:pStyle w:val="BodyText3"/>
        <w:spacing w:line="240" w:lineRule="auto"/>
        <w:jc w:val="left"/>
        <w:rPr>
          <w:del w:id="7456" w:author="AbbVie_HU_03" w:date="2025-05-14T15:27:00Z"/>
          <w:bCs/>
          <w:iCs/>
          <w:sz w:val="22"/>
          <w:szCs w:val="22"/>
          <w:u w:val="single"/>
          <w:lang w:val="hu-HU"/>
        </w:rPr>
      </w:pPr>
    </w:p>
    <w:p w14:paraId="3F2E4258" w14:textId="3E268290" w:rsidR="00C77D14" w:rsidRPr="00183B5F" w:rsidRDefault="00943743" w:rsidP="00C77D14">
      <w:pPr>
        <w:spacing w:line="240" w:lineRule="auto"/>
        <w:rPr>
          <w:del w:id="7457" w:author="AbbVie_HU_03" w:date="2025-05-14T15:27:00Z"/>
          <w:bCs/>
          <w:iCs/>
          <w:szCs w:val="22"/>
        </w:rPr>
      </w:pPr>
      <w:del w:id="7458" w:author="AbbVie_HU_03" w:date="2025-05-14T15:27:00Z">
        <w:r w:rsidRPr="00183B5F">
          <w:rPr>
            <w:bCs/>
            <w:iCs/>
            <w:szCs w:val="22"/>
          </w:rPr>
          <w:delText>pJIA I</w:delText>
        </w:r>
      </w:del>
    </w:p>
    <w:p w14:paraId="6CB40F0B" w14:textId="666BAB39" w:rsidR="00C77D14" w:rsidRPr="00183B5F" w:rsidRDefault="00C77D14" w:rsidP="00C77D14">
      <w:pPr>
        <w:spacing w:line="240" w:lineRule="auto"/>
        <w:rPr>
          <w:del w:id="7459" w:author="AbbVie_HU_03" w:date="2025-05-14T15:27:00Z"/>
          <w:szCs w:val="22"/>
          <w:u w:val="single"/>
        </w:rPr>
      </w:pPr>
    </w:p>
    <w:p w14:paraId="52B21A79" w14:textId="60A75735" w:rsidR="00C77D14" w:rsidRPr="00183B5F" w:rsidRDefault="00943743" w:rsidP="004B7A7F">
      <w:pPr>
        <w:spacing w:line="240" w:lineRule="auto"/>
        <w:rPr>
          <w:del w:id="7460" w:author="AbbVie_HU_03" w:date="2025-05-14T15:27:00Z"/>
          <w:szCs w:val="22"/>
        </w:rPr>
      </w:pPr>
      <w:del w:id="7461" w:author="AbbVie_HU_03" w:date="2025-05-14T15:27:00Z">
        <w:r w:rsidRPr="00183B5F">
          <w:rPr>
            <w:szCs w:val="22"/>
          </w:rPr>
          <w:delText>A Humira biztonságosságát és hatásosságát egy multicentrikus, randomizált, kettős vak, párhuzamos csoportos vizsgálatban értékelték 171 (4 – 17 éves) polyarticularis JIA-ban szenvedő gyermeknél. A nyílt elrendezésű bevezető fázisban (open-label lead in phase, OL LI) a betegeket két csoportba sorolták: MTX</w:delText>
        </w:r>
        <w:r w:rsidRPr="00183B5F">
          <w:rPr>
            <w:szCs w:val="22"/>
          </w:rPr>
          <w:noBreakHyphen/>
          <w:delText xml:space="preserve"> (metotrexát)-kezelést kapó, illetve MTX</w:delText>
        </w:r>
        <w:r w:rsidRPr="00183B5F">
          <w:rPr>
            <w:szCs w:val="22"/>
          </w:rPr>
          <w:noBreakHyphen/>
          <w:delText>tal nem kezelt csoportba különítették el. A nem-MTX csoportba azok a betegek tartoztak, akik korábban még nem részesültek MTX</w:delText>
        </w:r>
        <w:r w:rsidRPr="00183B5F">
          <w:rPr>
            <w:szCs w:val="22"/>
          </w:rPr>
          <w:noBreakHyphen/>
          <w:delText>kezelésben (naive), vagy a vizsgálati gyógyszer alkalmazása előtt legalább két héttel abbahagyták a MTX</w:delText>
        </w:r>
        <w:r w:rsidRPr="00183B5F">
          <w:rPr>
            <w:szCs w:val="22"/>
          </w:rPr>
          <w:noBreakHyphen/>
          <w:delText>kezelésüket. A betegeknél továbbra is stabil dózisokban alkalmaztak nem szteroid gyulladásgátlókat és/vagy prednizont (</w:delText>
        </w:r>
        <w:r w:rsidRPr="00183B5F">
          <w:rPr>
            <w:rFonts w:ascii="Symbol" w:hAnsi="Symbol"/>
            <w:szCs w:val="22"/>
          </w:rPr>
          <w:sym w:font="Symbol" w:char="F0A3"/>
        </w:r>
        <w:r w:rsidRPr="00183B5F">
          <w:rPr>
            <w:szCs w:val="22"/>
          </w:rPr>
          <w:delText> 0,2 mg/ttkg/nap vagy maximum 10 mg/nap) kaptak. Az OL LI szakaszban minden beteg 24 mg/m</w:delText>
        </w:r>
        <w:r w:rsidRPr="00183B5F">
          <w:rPr>
            <w:szCs w:val="22"/>
            <w:vertAlign w:val="superscript"/>
          </w:rPr>
          <w:delText>2</w:delText>
        </w:r>
        <w:r w:rsidRPr="00183B5F">
          <w:rPr>
            <w:szCs w:val="22"/>
          </w:rPr>
          <w:delText>, legfeljebb 40 mg Humira</w:delText>
        </w:r>
        <w:r w:rsidRPr="00183B5F">
          <w:rPr>
            <w:szCs w:val="22"/>
          </w:rPr>
          <w:noBreakHyphen/>
          <w:delText>t ka</w:delText>
        </w:r>
        <w:r w:rsidRPr="00183B5F">
          <w:rPr>
            <w:szCs w:val="22"/>
          </w:rPr>
          <w:delText xml:space="preserve">pott kéthetente, 16 héten keresztül. A betegek életkor szerinti megoszlását és az OL LI szakaszban kapott legkisebb, medián, illetve legnagyobb dózist a </w:delText>
        </w:r>
        <w:r w:rsidR="004B7A7F" w:rsidRPr="00183B5F">
          <w:rPr>
            <w:szCs w:val="22"/>
          </w:rPr>
          <w:delText>25</w:delText>
        </w:r>
        <w:r w:rsidRPr="00183B5F">
          <w:rPr>
            <w:szCs w:val="22"/>
          </w:rPr>
          <w:delText>. táblázat mutatja.</w:delText>
        </w:r>
      </w:del>
    </w:p>
    <w:p w14:paraId="15AE6901" w14:textId="0EC98916" w:rsidR="00C77D14" w:rsidRPr="00183B5F" w:rsidRDefault="00C77D14" w:rsidP="00C77D14">
      <w:pPr>
        <w:pStyle w:val="BodyText3"/>
        <w:spacing w:line="240" w:lineRule="auto"/>
        <w:rPr>
          <w:del w:id="7462" w:author="AbbVie_HU_03" w:date="2025-05-14T15:27:00Z"/>
          <w:b/>
          <w:i/>
          <w:sz w:val="22"/>
          <w:lang w:val="hu-HU"/>
        </w:rPr>
      </w:pPr>
    </w:p>
    <w:p w14:paraId="5EFF050E" w14:textId="41DD48C3" w:rsidR="00C77D14" w:rsidRPr="00183B5F" w:rsidRDefault="00943743" w:rsidP="00C77D14">
      <w:pPr>
        <w:pStyle w:val="BodyTextIndent"/>
        <w:keepNext/>
        <w:ind w:left="110" w:right="58" w:firstLine="0"/>
        <w:jc w:val="center"/>
        <w:rPr>
          <w:del w:id="7463" w:author="AbbVie_HU_03" w:date="2025-05-14T15:27:00Z"/>
          <w:b/>
          <w:lang w:val="hu-HU"/>
        </w:rPr>
      </w:pPr>
      <w:del w:id="7464" w:author="AbbVie_HU_03" w:date="2025-05-14T15:27:00Z">
        <w:r w:rsidRPr="00183B5F">
          <w:rPr>
            <w:b/>
            <w:szCs w:val="22"/>
            <w:lang w:val="hu-HU"/>
          </w:rPr>
          <w:delText>25</w:delText>
        </w:r>
        <w:r w:rsidRPr="00183B5F">
          <w:rPr>
            <w:b/>
            <w:lang w:val="hu-HU"/>
          </w:rPr>
          <w:delText>. táblázat</w:delText>
        </w:r>
      </w:del>
    </w:p>
    <w:p w14:paraId="7871E50A" w14:textId="03A80668" w:rsidR="00C77D14" w:rsidRPr="00183B5F" w:rsidRDefault="00943743" w:rsidP="00C77D14">
      <w:pPr>
        <w:pStyle w:val="BodyTextIndent"/>
        <w:keepNext/>
        <w:ind w:left="110" w:right="58" w:firstLine="0"/>
        <w:jc w:val="center"/>
        <w:rPr>
          <w:del w:id="7465" w:author="AbbVie_HU_03" w:date="2025-05-14T15:27:00Z"/>
          <w:b/>
          <w:lang w:val="hu-HU"/>
        </w:rPr>
      </w:pPr>
      <w:del w:id="7466" w:author="AbbVie_HU_03" w:date="2025-05-14T15:27:00Z">
        <w:r w:rsidRPr="00183B5F">
          <w:rPr>
            <w:b/>
            <w:lang w:val="hu-HU"/>
          </w:rPr>
          <w:delText>A betegek megoszlása az életkor szerint és az OL LI szakaszban kapott adalimumab-dózis</w:delText>
        </w:r>
      </w:del>
    </w:p>
    <w:p w14:paraId="446CB39C" w14:textId="600A729C" w:rsidR="00C77D14" w:rsidRPr="00183B5F" w:rsidRDefault="00C77D14" w:rsidP="00C77D14">
      <w:pPr>
        <w:pStyle w:val="BodyTextIndent"/>
        <w:keepNext/>
        <w:ind w:left="110" w:right="58" w:firstLine="0"/>
        <w:jc w:val="center"/>
        <w:rPr>
          <w:del w:id="7467" w:author="AbbVie_HU_03" w:date="2025-05-14T15:27:00Z"/>
          <w:b/>
          <w:lang w:val="hu-HU"/>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9"/>
        <w:gridCol w:w="3425"/>
        <w:gridCol w:w="3157"/>
      </w:tblGrid>
      <w:tr w:rsidR="00011D2F" w14:paraId="4335E810" w14:textId="6913DC7A" w:rsidTr="00C77D14">
        <w:trPr>
          <w:cantSplit/>
          <w:del w:id="7468" w:author="AbbVie_HU_03" w:date="2025-05-14T15:27:00Z"/>
        </w:trPr>
        <w:tc>
          <w:tcPr>
            <w:tcW w:w="2418" w:type="dxa"/>
          </w:tcPr>
          <w:p w14:paraId="19332EA2" w14:textId="0748447A" w:rsidR="00C77D14" w:rsidRPr="00183B5F" w:rsidRDefault="00943743" w:rsidP="00C77D14">
            <w:pPr>
              <w:pStyle w:val="BodyTextIndent"/>
              <w:keepNext/>
              <w:ind w:left="0" w:right="58" w:firstLine="0"/>
              <w:jc w:val="center"/>
              <w:rPr>
                <w:del w:id="7469" w:author="AbbVie_HU_03" w:date="2025-05-14T15:27:00Z"/>
                <w:lang w:val="hu-HU"/>
              </w:rPr>
            </w:pPr>
            <w:del w:id="7470" w:author="AbbVie_HU_03" w:date="2025-05-14T15:27:00Z">
              <w:r w:rsidRPr="00183B5F">
                <w:rPr>
                  <w:lang w:val="hu-HU"/>
                </w:rPr>
                <w:delText>Korcsoport</w:delText>
              </w:r>
            </w:del>
          </w:p>
        </w:tc>
        <w:tc>
          <w:tcPr>
            <w:tcW w:w="3520" w:type="dxa"/>
          </w:tcPr>
          <w:p w14:paraId="5B90B0DA" w14:textId="5D2710B4" w:rsidR="00C77D14" w:rsidRPr="00183B5F" w:rsidRDefault="00943743" w:rsidP="00C77D14">
            <w:pPr>
              <w:pStyle w:val="BodyTextIndent"/>
              <w:keepNext/>
              <w:ind w:left="0" w:right="58" w:firstLine="0"/>
              <w:jc w:val="center"/>
              <w:rPr>
                <w:del w:id="7471" w:author="AbbVie_HU_03" w:date="2025-05-14T15:27:00Z"/>
                <w:lang w:val="hu-HU"/>
              </w:rPr>
            </w:pPr>
            <w:del w:id="7472" w:author="AbbVie_HU_03" w:date="2025-05-14T15:27:00Z">
              <w:r w:rsidRPr="00183B5F">
                <w:rPr>
                  <w:lang w:val="hu-HU"/>
                </w:rPr>
                <w:delText>A betegek száma a kiindulási időpontban n (%)</w:delText>
              </w:r>
            </w:del>
          </w:p>
        </w:tc>
        <w:tc>
          <w:tcPr>
            <w:tcW w:w="3239" w:type="dxa"/>
          </w:tcPr>
          <w:p w14:paraId="58DD7748" w14:textId="4C04A3FC" w:rsidR="00C77D14" w:rsidRPr="00183B5F" w:rsidRDefault="00943743" w:rsidP="00C77D14">
            <w:pPr>
              <w:pStyle w:val="BodyTextIndent"/>
              <w:keepNext/>
              <w:ind w:left="0" w:right="58" w:firstLine="0"/>
              <w:jc w:val="center"/>
              <w:rPr>
                <w:del w:id="7473" w:author="AbbVie_HU_03" w:date="2025-05-14T15:27:00Z"/>
                <w:lang w:val="hu-HU"/>
              </w:rPr>
            </w:pPr>
            <w:del w:id="7474" w:author="AbbVie_HU_03" w:date="2025-05-14T15:27:00Z">
              <w:r w:rsidRPr="00183B5F">
                <w:rPr>
                  <w:lang w:val="hu-HU"/>
                </w:rPr>
                <w:delText>A legkisebb, medián, illetve legnagyobb dózis</w:delText>
              </w:r>
            </w:del>
          </w:p>
        </w:tc>
      </w:tr>
      <w:tr w:rsidR="00011D2F" w14:paraId="156DC188" w14:textId="5C9F210E" w:rsidTr="00C77D14">
        <w:trPr>
          <w:cantSplit/>
          <w:del w:id="7475" w:author="AbbVie_HU_03" w:date="2025-05-14T15:27:00Z"/>
        </w:trPr>
        <w:tc>
          <w:tcPr>
            <w:tcW w:w="2418" w:type="dxa"/>
          </w:tcPr>
          <w:p w14:paraId="06147EAA" w14:textId="64C511CB" w:rsidR="00C77D14" w:rsidRPr="00183B5F" w:rsidRDefault="00943743" w:rsidP="00C77D14">
            <w:pPr>
              <w:pStyle w:val="BodyTextIndent"/>
              <w:keepNext/>
              <w:ind w:left="0" w:right="53" w:firstLine="0"/>
              <w:rPr>
                <w:del w:id="7476" w:author="AbbVie_HU_03" w:date="2025-05-14T15:27:00Z"/>
                <w:lang w:val="hu-HU"/>
              </w:rPr>
            </w:pPr>
            <w:del w:id="7477" w:author="AbbVie_HU_03" w:date="2025-05-14T15:27:00Z">
              <w:r w:rsidRPr="00183B5F">
                <w:rPr>
                  <w:lang w:val="hu-HU"/>
                </w:rPr>
                <w:delText>4 – 7 év</w:delText>
              </w:r>
            </w:del>
          </w:p>
        </w:tc>
        <w:tc>
          <w:tcPr>
            <w:tcW w:w="3520" w:type="dxa"/>
          </w:tcPr>
          <w:p w14:paraId="5B4BF2DC" w14:textId="3E1E82A1" w:rsidR="00C77D14" w:rsidRPr="00183B5F" w:rsidRDefault="00943743" w:rsidP="00C77D14">
            <w:pPr>
              <w:pStyle w:val="BodyTextIndent"/>
              <w:keepNext/>
              <w:ind w:left="0" w:right="53" w:firstLine="0"/>
              <w:rPr>
                <w:del w:id="7478" w:author="AbbVie_HU_03" w:date="2025-05-14T15:27:00Z"/>
                <w:lang w:val="hu-HU"/>
              </w:rPr>
            </w:pPr>
            <w:del w:id="7479" w:author="AbbVie_HU_03" w:date="2025-05-14T15:27:00Z">
              <w:r w:rsidRPr="00183B5F">
                <w:rPr>
                  <w:lang w:val="hu-HU"/>
                </w:rPr>
                <w:delText>31 (18,1)</w:delText>
              </w:r>
            </w:del>
          </w:p>
        </w:tc>
        <w:tc>
          <w:tcPr>
            <w:tcW w:w="3239" w:type="dxa"/>
          </w:tcPr>
          <w:p w14:paraId="0BB0B71E" w14:textId="3C7E841D" w:rsidR="00C77D14" w:rsidRPr="00183B5F" w:rsidRDefault="00943743" w:rsidP="00C77D14">
            <w:pPr>
              <w:pStyle w:val="BodyTextIndent"/>
              <w:keepNext/>
              <w:ind w:left="0" w:right="53" w:firstLine="0"/>
              <w:rPr>
                <w:del w:id="7480" w:author="AbbVie_HU_03" w:date="2025-05-14T15:27:00Z"/>
                <w:lang w:val="hu-HU"/>
              </w:rPr>
            </w:pPr>
            <w:del w:id="7481" w:author="AbbVie_HU_03" w:date="2025-05-14T15:27:00Z">
              <w:r w:rsidRPr="00183B5F">
                <w:rPr>
                  <w:lang w:val="hu-HU"/>
                </w:rPr>
                <w:delText>10, 20, ill. 25 mg</w:delText>
              </w:r>
            </w:del>
          </w:p>
        </w:tc>
      </w:tr>
      <w:tr w:rsidR="00011D2F" w14:paraId="12A2C856" w14:textId="51C94DF1" w:rsidTr="00C77D14">
        <w:trPr>
          <w:cantSplit/>
          <w:del w:id="7482" w:author="AbbVie_HU_03" w:date="2025-05-14T15:27:00Z"/>
        </w:trPr>
        <w:tc>
          <w:tcPr>
            <w:tcW w:w="2418" w:type="dxa"/>
          </w:tcPr>
          <w:p w14:paraId="2EA64AC2" w14:textId="7A373002" w:rsidR="00C77D14" w:rsidRPr="00183B5F" w:rsidRDefault="00943743" w:rsidP="00C77D14">
            <w:pPr>
              <w:pStyle w:val="BodyTextIndent"/>
              <w:keepNext/>
              <w:ind w:left="0" w:right="53" w:firstLine="0"/>
              <w:rPr>
                <w:del w:id="7483" w:author="AbbVie_HU_03" w:date="2025-05-14T15:27:00Z"/>
                <w:lang w:val="hu-HU"/>
              </w:rPr>
            </w:pPr>
            <w:del w:id="7484" w:author="AbbVie_HU_03" w:date="2025-05-14T15:27:00Z">
              <w:r w:rsidRPr="00183B5F">
                <w:rPr>
                  <w:lang w:val="hu-HU"/>
                </w:rPr>
                <w:delText>8 – 12 év</w:delText>
              </w:r>
            </w:del>
          </w:p>
        </w:tc>
        <w:tc>
          <w:tcPr>
            <w:tcW w:w="3520" w:type="dxa"/>
          </w:tcPr>
          <w:p w14:paraId="3C8ED1D6" w14:textId="6C1787F2" w:rsidR="00C77D14" w:rsidRPr="00183B5F" w:rsidRDefault="00943743" w:rsidP="00C77D14">
            <w:pPr>
              <w:pStyle w:val="BodyTextIndent"/>
              <w:keepNext/>
              <w:ind w:left="0" w:right="53" w:firstLine="0"/>
              <w:rPr>
                <w:del w:id="7485" w:author="AbbVie_HU_03" w:date="2025-05-14T15:27:00Z"/>
                <w:lang w:val="hu-HU"/>
              </w:rPr>
            </w:pPr>
            <w:del w:id="7486" w:author="AbbVie_HU_03" w:date="2025-05-14T15:27:00Z">
              <w:r w:rsidRPr="00183B5F">
                <w:rPr>
                  <w:lang w:val="hu-HU"/>
                </w:rPr>
                <w:delText>71 (41,5)</w:delText>
              </w:r>
            </w:del>
          </w:p>
        </w:tc>
        <w:tc>
          <w:tcPr>
            <w:tcW w:w="3239" w:type="dxa"/>
          </w:tcPr>
          <w:p w14:paraId="4E14E505" w14:textId="41F0E68C" w:rsidR="00C77D14" w:rsidRPr="00183B5F" w:rsidRDefault="00943743" w:rsidP="00C77D14">
            <w:pPr>
              <w:pStyle w:val="BodyTextIndent"/>
              <w:keepNext/>
              <w:ind w:left="0" w:right="53" w:firstLine="0"/>
              <w:rPr>
                <w:del w:id="7487" w:author="AbbVie_HU_03" w:date="2025-05-14T15:27:00Z"/>
                <w:lang w:val="hu-HU"/>
              </w:rPr>
            </w:pPr>
            <w:del w:id="7488" w:author="AbbVie_HU_03" w:date="2025-05-14T15:27:00Z">
              <w:r w:rsidRPr="00183B5F">
                <w:rPr>
                  <w:lang w:val="hu-HU"/>
                </w:rPr>
                <w:delText>20, 25, ill. 40 mg</w:delText>
              </w:r>
            </w:del>
          </w:p>
        </w:tc>
      </w:tr>
      <w:tr w:rsidR="00011D2F" w14:paraId="724B456A" w14:textId="5E013B2B" w:rsidTr="00C77D14">
        <w:trPr>
          <w:cantSplit/>
          <w:del w:id="7489" w:author="AbbVie_HU_03" w:date="2025-05-14T15:27:00Z"/>
        </w:trPr>
        <w:tc>
          <w:tcPr>
            <w:tcW w:w="2418" w:type="dxa"/>
          </w:tcPr>
          <w:p w14:paraId="09EC44B7" w14:textId="0B2D9EB5" w:rsidR="00C77D14" w:rsidRPr="00183B5F" w:rsidRDefault="00943743" w:rsidP="00C77D14">
            <w:pPr>
              <w:pStyle w:val="BodyTextIndent"/>
              <w:keepNext/>
              <w:ind w:left="0" w:right="53" w:firstLine="0"/>
              <w:rPr>
                <w:del w:id="7490" w:author="AbbVie_HU_03" w:date="2025-05-14T15:27:00Z"/>
                <w:lang w:val="hu-HU"/>
              </w:rPr>
            </w:pPr>
            <w:del w:id="7491" w:author="AbbVie_HU_03" w:date="2025-05-14T15:27:00Z">
              <w:r w:rsidRPr="00183B5F">
                <w:rPr>
                  <w:lang w:val="hu-HU"/>
                </w:rPr>
                <w:delText>13 – 17 év</w:delText>
              </w:r>
            </w:del>
          </w:p>
        </w:tc>
        <w:tc>
          <w:tcPr>
            <w:tcW w:w="3520" w:type="dxa"/>
          </w:tcPr>
          <w:p w14:paraId="4814E02B" w14:textId="384ADEA0" w:rsidR="00C77D14" w:rsidRPr="00183B5F" w:rsidRDefault="00943743" w:rsidP="00C77D14">
            <w:pPr>
              <w:pStyle w:val="BodyTextIndent"/>
              <w:keepNext/>
              <w:ind w:left="0" w:right="53" w:firstLine="0"/>
              <w:rPr>
                <w:del w:id="7492" w:author="AbbVie_HU_03" w:date="2025-05-14T15:27:00Z"/>
                <w:lang w:val="hu-HU"/>
              </w:rPr>
            </w:pPr>
            <w:del w:id="7493" w:author="AbbVie_HU_03" w:date="2025-05-14T15:27:00Z">
              <w:r w:rsidRPr="00183B5F">
                <w:rPr>
                  <w:lang w:val="hu-HU"/>
                </w:rPr>
                <w:delText>69 (40,4)</w:delText>
              </w:r>
            </w:del>
          </w:p>
        </w:tc>
        <w:tc>
          <w:tcPr>
            <w:tcW w:w="3239" w:type="dxa"/>
          </w:tcPr>
          <w:p w14:paraId="63E8BA98" w14:textId="063FF0B0" w:rsidR="00C77D14" w:rsidRPr="00183B5F" w:rsidRDefault="00943743" w:rsidP="00C77D14">
            <w:pPr>
              <w:pStyle w:val="BodyTextIndent"/>
              <w:keepNext/>
              <w:ind w:left="0" w:right="53" w:firstLine="0"/>
              <w:rPr>
                <w:del w:id="7494" w:author="AbbVie_HU_03" w:date="2025-05-14T15:27:00Z"/>
                <w:lang w:val="hu-HU"/>
              </w:rPr>
            </w:pPr>
            <w:del w:id="7495" w:author="AbbVie_HU_03" w:date="2025-05-14T15:27:00Z">
              <w:r w:rsidRPr="00183B5F">
                <w:rPr>
                  <w:lang w:val="hu-HU"/>
                </w:rPr>
                <w:delText>25, 40, ill. 40 mg</w:delText>
              </w:r>
            </w:del>
          </w:p>
        </w:tc>
      </w:tr>
    </w:tbl>
    <w:p w14:paraId="4CB2D870" w14:textId="7047D967" w:rsidR="00C77D14" w:rsidRPr="00183B5F" w:rsidRDefault="00C77D14" w:rsidP="00C77D14">
      <w:pPr>
        <w:tabs>
          <w:tab w:val="left" w:pos="6840"/>
        </w:tabs>
        <w:autoSpaceDE w:val="0"/>
        <w:autoSpaceDN w:val="0"/>
        <w:adjustRightInd w:val="0"/>
        <w:spacing w:line="240" w:lineRule="auto"/>
        <w:ind w:right="53"/>
        <w:rPr>
          <w:del w:id="7496" w:author="AbbVie_HU_03" w:date="2025-05-14T15:27:00Z"/>
          <w:szCs w:val="22"/>
        </w:rPr>
      </w:pPr>
    </w:p>
    <w:p w14:paraId="04260DF1" w14:textId="68BCF4ED" w:rsidR="00C77D14" w:rsidRPr="00183B5F" w:rsidRDefault="00943743" w:rsidP="00C77D14">
      <w:pPr>
        <w:tabs>
          <w:tab w:val="left" w:pos="6840"/>
        </w:tabs>
        <w:autoSpaceDE w:val="0"/>
        <w:autoSpaceDN w:val="0"/>
        <w:adjustRightInd w:val="0"/>
        <w:spacing w:line="240" w:lineRule="auto"/>
        <w:ind w:right="53"/>
        <w:rPr>
          <w:del w:id="7497" w:author="AbbVie_HU_03" w:date="2025-05-14T15:27:00Z"/>
          <w:szCs w:val="22"/>
        </w:rPr>
      </w:pPr>
      <w:del w:id="7498" w:author="AbbVie_HU_03" w:date="2025-05-14T15:27:00Z">
        <w:r w:rsidRPr="00183B5F">
          <w:rPr>
            <w:szCs w:val="22"/>
          </w:rPr>
          <w:delText>Azok a betegek, akik 16. héten Pediátriai ACR 30 választ mutattak, alkalmasak voltak arra, hogy véletlenszerűen besorolják őket a kettős vak (DB) fázisba, melyben minden második héten 24 mg/m</w:delText>
        </w:r>
        <w:r w:rsidRPr="00183B5F">
          <w:rPr>
            <w:szCs w:val="22"/>
            <w:vertAlign w:val="superscript"/>
          </w:rPr>
          <w:delText>2</w:delText>
        </w:r>
        <w:r w:rsidRPr="00183B5F">
          <w:rPr>
            <w:szCs w:val="22"/>
          </w:rPr>
          <w:delText>, de legfeljebb 40 mg Humira</w:delText>
        </w:r>
        <w:r w:rsidRPr="00183B5F">
          <w:rPr>
            <w:szCs w:val="22"/>
          </w:rPr>
          <w:noBreakHyphen/>
          <w:delText>t vagy placebót kaptak további 32 héten át, vagy a betegség fellángolásáig. A betegség fellángolásának kritériumait a következőképpen határozták meg: a 6 Pediátriai ACR-alapkritérium közül 3 vagy több esetében legalább 30%</w:delText>
        </w:r>
        <w:r w:rsidRPr="00183B5F">
          <w:rPr>
            <w:szCs w:val="22"/>
          </w:rPr>
          <w:noBreakHyphen/>
          <w:delText>os romlás a kiindulási állapothoz képest, legalább 2 vagy több aktív ízület megléte, és a 6 kritérium közül legfeljebb 1</w:delText>
        </w:r>
        <w:r w:rsidRPr="00183B5F">
          <w:rPr>
            <w:szCs w:val="22"/>
          </w:rPr>
          <w:noBreakHyphen/>
          <w:delText xml:space="preserve">ben észlelhető 30%-nál nagyobb mértékű javulás. A 32. hét után vagy a betegség fellángolása esetén a betegek alkalmasak voltak arra, hogy </w:delText>
        </w:r>
        <w:r w:rsidRPr="00183B5F">
          <w:rPr>
            <w:szCs w:val="22"/>
          </w:rPr>
          <w:delText>beválasszák őket a nyílt kiterjesztéses fázisba.</w:delText>
        </w:r>
      </w:del>
    </w:p>
    <w:p w14:paraId="42F19471" w14:textId="340D1F4F" w:rsidR="00C77D14" w:rsidRPr="00183B5F" w:rsidRDefault="00C77D14" w:rsidP="00C77D14">
      <w:pPr>
        <w:tabs>
          <w:tab w:val="left" w:pos="6840"/>
        </w:tabs>
        <w:autoSpaceDE w:val="0"/>
        <w:autoSpaceDN w:val="0"/>
        <w:adjustRightInd w:val="0"/>
        <w:spacing w:line="240" w:lineRule="auto"/>
        <w:ind w:right="53"/>
        <w:rPr>
          <w:del w:id="7499" w:author="AbbVie_HU_03" w:date="2025-05-14T15:27:00Z"/>
          <w:szCs w:val="22"/>
        </w:rPr>
      </w:pPr>
    </w:p>
    <w:p w14:paraId="48D88E3D" w14:textId="699C94D8" w:rsidR="00C77D14" w:rsidRPr="00183B5F" w:rsidRDefault="00943743" w:rsidP="00FE0197">
      <w:pPr>
        <w:pStyle w:val="BodyTextIndent"/>
        <w:keepNext/>
        <w:ind w:left="110" w:right="58" w:firstLine="0"/>
        <w:jc w:val="center"/>
        <w:rPr>
          <w:del w:id="7500" w:author="AbbVie_HU_03" w:date="2025-05-14T15:27:00Z"/>
          <w:b/>
          <w:lang w:val="hu-HU"/>
        </w:rPr>
      </w:pPr>
      <w:del w:id="7501" w:author="AbbVie_HU_03" w:date="2025-05-14T15:27:00Z">
        <w:r w:rsidRPr="00183B5F">
          <w:rPr>
            <w:b/>
            <w:szCs w:val="22"/>
            <w:lang w:val="hu-HU"/>
          </w:rPr>
          <w:delText>26</w:delText>
        </w:r>
        <w:r w:rsidRPr="00183B5F">
          <w:rPr>
            <w:b/>
            <w:lang w:val="hu-HU"/>
          </w:rPr>
          <w:delText>. táblázat</w:delText>
        </w:r>
      </w:del>
    </w:p>
    <w:p w14:paraId="36D5962C" w14:textId="26CFDD69" w:rsidR="00C77D14" w:rsidRPr="00183B5F" w:rsidRDefault="00943743" w:rsidP="00FE0197">
      <w:pPr>
        <w:pStyle w:val="BodyTextIndent"/>
        <w:keepNext/>
        <w:ind w:left="110" w:right="58" w:firstLine="0"/>
        <w:jc w:val="center"/>
        <w:rPr>
          <w:del w:id="7502" w:author="AbbVie_HU_03" w:date="2025-05-14T15:27:00Z"/>
          <w:b/>
          <w:lang w:val="hu-HU"/>
        </w:rPr>
      </w:pPr>
      <w:del w:id="7503" w:author="AbbVie_HU_03" w:date="2025-05-14T15:27:00Z">
        <w:r w:rsidRPr="00183B5F">
          <w:rPr>
            <w:b/>
            <w:lang w:val="hu-HU"/>
          </w:rPr>
          <w:delText>Pediátriai ACR 30 válasz a JIA-vizsgálatban</w:delText>
        </w:r>
      </w:del>
    </w:p>
    <w:p w14:paraId="3AEEF1EC" w14:textId="0F6DC570" w:rsidR="00C77D14" w:rsidRPr="00183B5F" w:rsidRDefault="00C77D14" w:rsidP="00FE0197">
      <w:pPr>
        <w:pStyle w:val="BodyTextIndent"/>
        <w:keepNext/>
        <w:ind w:left="110" w:right="58" w:firstLine="0"/>
        <w:jc w:val="center"/>
        <w:rPr>
          <w:del w:id="7504" w:author="AbbVie_HU_03" w:date="2025-05-14T15:27:00Z"/>
          <w:b/>
          <w:lang w:val="hu-HU"/>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1"/>
        <w:gridCol w:w="1705"/>
        <w:gridCol w:w="1705"/>
        <w:gridCol w:w="1603"/>
        <w:gridCol w:w="1547"/>
      </w:tblGrid>
      <w:tr w:rsidR="00011D2F" w14:paraId="455E6D29" w14:textId="631674CD" w:rsidTr="00C77D14">
        <w:trPr>
          <w:cantSplit/>
          <w:tblHeader/>
          <w:del w:id="7505" w:author="AbbVie_HU_03" w:date="2025-05-14T15:27:00Z"/>
        </w:trPr>
        <w:tc>
          <w:tcPr>
            <w:tcW w:w="2418" w:type="dxa"/>
          </w:tcPr>
          <w:p w14:paraId="7BC3BFB3" w14:textId="76F1A004" w:rsidR="00C77D14" w:rsidRPr="00183B5F" w:rsidRDefault="00943743" w:rsidP="00FE0197">
            <w:pPr>
              <w:pStyle w:val="BodyTextIndent"/>
              <w:keepNext/>
              <w:ind w:left="0" w:right="58" w:firstLine="0"/>
              <w:rPr>
                <w:del w:id="7506" w:author="AbbVie_HU_03" w:date="2025-05-14T15:27:00Z"/>
                <w:b/>
                <w:lang w:val="hu-HU"/>
              </w:rPr>
            </w:pPr>
            <w:del w:id="7507" w:author="AbbVie_HU_03" w:date="2025-05-14T15:27:00Z">
              <w:r w:rsidRPr="00183B5F">
                <w:rPr>
                  <w:b/>
                  <w:lang w:val="hu-HU"/>
                </w:rPr>
                <w:delText>Betegcsoport</w:delText>
              </w:r>
            </w:del>
          </w:p>
        </w:tc>
        <w:tc>
          <w:tcPr>
            <w:tcW w:w="3520" w:type="dxa"/>
            <w:gridSpan w:val="2"/>
          </w:tcPr>
          <w:p w14:paraId="1F9E357C" w14:textId="16FFE939" w:rsidR="00C77D14" w:rsidRPr="00183B5F" w:rsidRDefault="00943743" w:rsidP="00FE0197">
            <w:pPr>
              <w:pStyle w:val="BodyTextIndent"/>
              <w:keepNext/>
              <w:ind w:left="0" w:right="58" w:firstLine="0"/>
              <w:jc w:val="center"/>
              <w:rPr>
                <w:del w:id="7508" w:author="AbbVie_HU_03" w:date="2025-05-14T15:27:00Z"/>
                <w:b/>
                <w:lang w:val="hu-HU"/>
              </w:rPr>
            </w:pPr>
            <w:del w:id="7509" w:author="AbbVie_HU_03" w:date="2025-05-14T15:27:00Z">
              <w:r w:rsidRPr="00183B5F">
                <w:rPr>
                  <w:b/>
                  <w:lang w:val="hu-HU"/>
                </w:rPr>
                <w:delText>MTX-tal kezelt</w:delText>
              </w:r>
            </w:del>
          </w:p>
        </w:tc>
        <w:tc>
          <w:tcPr>
            <w:tcW w:w="3239" w:type="dxa"/>
            <w:gridSpan w:val="2"/>
          </w:tcPr>
          <w:p w14:paraId="1376887A" w14:textId="6DA4B73C" w:rsidR="00C77D14" w:rsidRPr="00183B5F" w:rsidRDefault="00943743" w:rsidP="00FE0197">
            <w:pPr>
              <w:pStyle w:val="BodyTextIndent"/>
              <w:keepNext/>
              <w:ind w:left="0" w:right="58" w:firstLine="0"/>
              <w:jc w:val="center"/>
              <w:rPr>
                <w:del w:id="7510" w:author="AbbVie_HU_03" w:date="2025-05-14T15:27:00Z"/>
                <w:b/>
                <w:lang w:val="hu-HU"/>
              </w:rPr>
            </w:pPr>
            <w:del w:id="7511" w:author="AbbVie_HU_03" w:date="2025-05-14T15:27:00Z">
              <w:r w:rsidRPr="00183B5F">
                <w:rPr>
                  <w:b/>
                  <w:lang w:val="hu-HU"/>
                </w:rPr>
                <w:delText>MTX-tal nem kezelt</w:delText>
              </w:r>
            </w:del>
          </w:p>
        </w:tc>
      </w:tr>
      <w:tr w:rsidR="00011D2F" w14:paraId="7894055E" w14:textId="64D50264" w:rsidTr="00C77D14">
        <w:trPr>
          <w:cantSplit/>
          <w:tblHeader/>
          <w:del w:id="7512" w:author="AbbVie_HU_03" w:date="2025-05-14T15:27:00Z"/>
        </w:trPr>
        <w:tc>
          <w:tcPr>
            <w:tcW w:w="2418" w:type="dxa"/>
          </w:tcPr>
          <w:p w14:paraId="528EAA9D" w14:textId="616A43DE" w:rsidR="00C77D14" w:rsidRPr="00183B5F" w:rsidRDefault="00943743" w:rsidP="00FE0197">
            <w:pPr>
              <w:pStyle w:val="BodyTextIndent"/>
              <w:keepNext/>
              <w:ind w:left="0" w:right="58" w:firstLine="0"/>
              <w:rPr>
                <w:del w:id="7513" w:author="AbbVie_HU_03" w:date="2025-05-14T15:27:00Z"/>
                <w:b/>
                <w:lang w:val="hu-HU"/>
              </w:rPr>
            </w:pPr>
            <w:del w:id="7514" w:author="AbbVie_HU_03" w:date="2025-05-14T15:27:00Z">
              <w:r w:rsidRPr="00183B5F">
                <w:rPr>
                  <w:b/>
                  <w:lang w:val="hu-HU"/>
                </w:rPr>
                <w:delText>Szakasz</w:delText>
              </w:r>
            </w:del>
          </w:p>
        </w:tc>
        <w:tc>
          <w:tcPr>
            <w:tcW w:w="3520" w:type="dxa"/>
            <w:gridSpan w:val="2"/>
          </w:tcPr>
          <w:p w14:paraId="46343861" w14:textId="44BA7749" w:rsidR="00C77D14" w:rsidRPr="00183B5F" w:rsidRDefault="00C77D14" w:rsidP="00FE0197">
            <w:pPr>
              <w:pStyle w:val="BodyTextIndent"/>
              <w:keepNext/>
              <w:ind w:left="0" w:right="58" w:firstLine="0"/>
              <w:jc w:val="center"/>
              <w:rPr>
                <w:del w:id="7515" w:author="AbbVie_HU_03" w:date="2025-05-14T15:27:00Z"/>
                <w:b/>
                <w:lang w:val="hu-HU"/>
              </w:rPr>
            </w:pPr>
          </w:p>
        </w:tc>
        <w:tc>
          <w:tcPr>
            <w:tcW w:w="3239" w:type="dxa"/>
            <w:gridSpan w:val="2"/>
          </w:tcPr>
          <w:p w14:paraId="5C63B7EE" w14:textId="407F0AFA" w:rsidR="00C77D14" w:rsidRPr="00183B5F" w:rsidRDefault="00C77D14" w:rsidP="00FE0197">
            <w:pPr>
              <w:pStyle w:val="BodyTextIndent"/>
              <w:keepNext/>
              <w:ind w:left="0" w:right="58" w:firstLine="0"/>
              <w:jc w:val="center"/>
              <w:rPr>
                <w:del w:id="7516" w:author="AbbVie_HU_03" w:date="2025-05-14T15:27:00Z"/>
                <w:b/>
                <w:lang w:val="hu-HU"/>
              </w:rPr>
            </w:pPr>
          </w:p>
        </w:tc>
      </w:tr>
      <w:tr w:rsidR="00011D2F" w14:paraId="6C2A4657" w14:textId="547599D0" w:rsidTr="00C77D14">
        <w:trPr>
          <w:cantSplit/>
          <w:tblHeader/>
          <w:del w:id="7517" w:author="AbbVie_HU_03" w:date="2025-05-14T15:27:00Z"/>
        </w:trPr>
        <w:tc>
          <w:tcPr>
            <w:tcW w:w="2418" w:type="dxa"/>
          </w:tcPr>
          <w:p w14:paraId="619ED42B" w14:textId="0707B59C" w:rsidR="00C77D14" w:rsidRPr="00183B5F" w:rsidRDefault="00943743" w:rsidP="00FE0197">
            <w:pPr>
              <w:pStyle w:val="BodyTextIndent"/>
              <w:keepNext/>
              <w:ind w:left="0" w:right="58" w:firstLine="0"/>
              <w:rPr>
                <w:del w:id="7518" w:author="AbbVie_HU_03" w:date="2025-05-14T15:27:00Z"/>
                <w:lang w:val="hu-HU"/>
              </w:rPr>
            </w:pPr>
            <w:del w:id="7519" w:author="AbbVie_HU_03" w:date="2025-05-14T15:27:00Z">
              <w:r w:rsidRPr="00183B5F">
                <w:rPr>
                  <w:lang w:val="hu-HU"/>
                </w:rPr>
                <w:delText>OL-LI, 16 hét</w:delText>
              </w:r>
            </w:del>
          </w:p>
        </w:tc>
        <w:tc>
          <w:tcPr>
            <w:tcW w:w="3520" w:type="dxa"/>
            <w:gridSpan w:val="2"/>
          </w:tcPr>
          <w:p w14:paraId="253E5A8D" w14:textId="4DCECB7B" w:rsidR="00C77D14" w:rsidRPr="00183B5F" w:rsidRDefault="00C77D14" w:rsidP="00FE0197">
            <w:pPr>
              <w:pStyle w:val="BodyTextIndent"/>
              <w:keepNext/>
              <w:ind w:left="0" w:right="58" w:firstLine="0"/>
              <w:jc w:val="center"/>
              <w:rPr>
                <w:del w:id="7520" w:author="AbbVie_HU_03" w:date="2025-05-14T15:27:00Z"/>
                <w:lang w:val="hu-HU"/>
              </w:rPr>
            </w:pPr>
          </w:p>
        </w:tc>
        <w:tc>
          <w:tcPr>
            <w:tcW w:w="3239" w:type="dxa"/>
            <w:gridSpan w:val="2"/>
          </w:tcPr>
          <w:p w14:paraId="6424A066" w14:textId="1161152A" w:rsidR="00C77D14" w:rsidRPr="00183B5F" w:rsidRDefault="00C77D14" w:rsidP="00FE0197">
            <w:pPr>
              <w:pStyle w:val="BodyTextIndent"/>
              <w:keepNext/>
              <w:ind w:left="0" w:right="58" w:firstLine="0"/>
              <w:jc w:val="center"/>
              <w:rPr>
                <w:del w:id="7521" w:author="AbbVie_HU_03" w:date="2025-05-14T15:27:00Z"/>
                <w:lang w:val="hu-HU"/>
              </w:rPr>
            </w:pPr>
          </w:p>
        </w:tc>
      </w:tr>
      <w:tr w:rsidR="00011D2F" w14:paraId="67C5C1A0" w14:textId="127BEFA2" w:rsidTr="00C77D14">
        <w:trPr>
          <w:cantSplit/>
          <w:tblHeader/>
          <w:del w:id="7522" w:author="AbbVie_HU_03" w:date="2025-05-14T15:27:00Z"/>
        </w:trPr>
        <w:tc>
          <w:tcPr>
            <w:tcW w:w="2418" w:type="dxa"/>
          </w:tcPr>
          <w:p w14:paraId="2CD956EA" w14:textId="54AB7A41" w:rsidR="00C77D14" w:rsidRPr="00183B5F" w:rsidRDefault="00943743" w:rsidP="00FE0197">
            <w:pPr>
              <w:pStyle w:val="BodyTextIndent"/>
              <w:keepNext/>
              <w:ind w:right="53" w:firstLine="0"/>
              <w:rPr>
                <w:del w:id="7523" w:author="AbbVie_HU_03" w:date="2025-05-14T15:27:00Z"/>
                <w:lang w:val="hu-HU"/>
              </w:rPr>
            </w:pPr>
            <w:del w:id="7524" w:author="AbbVie_HU_03" w:date="2025-05-14T15:27:00Z">
              <w:r w:rsidRPr="00183B5F">
                <w:rPr>
                  <w:lang w:val="hu-HU"/>
                </w:rPr>
                <w:delText>Ped ACR 30 válasz (n/N)</w:delText>
              </w:r>
            </w:del>
          </w:p>
        </w:tc>
        <w:tc>
          <w:tcPr>
            <w:tcW w:w="3520" w:type="dxa"/>
            <w:gridSpan w:val="2"/>
          </w:tcPr>
          <w:p w14:paraId="28E82AA6" w14:textId="65C84071" w:rsidR="00C77D14" w:rsidRPr="00183B5F" w:rsidRDefault="00943743" w:rsidP="00FE0197">
            <w:pPr>
              <w:pStyle w:val="BodyTextIndent"/>
              <w:keepNext/>
              <w:ind w:left="0" w:right="53" w:firstLine="0"/>
              <w:jc w:val="center"/>
              <w:rPr>
                <w:del w:id="7525" w:author="AbbVie_HU_03" w:date="2025-05-14T15:27:00Z"/>
                <w:lang w:val="hu-HU"/>
              </w:rPr>
            </w:pPr>
            <w:del w:id="7526" w:author="AbbVie_HU_03" w:date="2025-05-14T15:27:00Z">
              <w:r w:rsidRPr="00183B5F">
                <w:rPr>
                  <w:lang w:val="hu-HU"/>
                </w:rPr>
                <w:delText>94,1% (80/85)</w:delText>
              </w:r>
            </w:del>
          </w:p>
        </w:tc>
        <w:tc>
          <w:tcPr>
            <w:tcW w:w="3239" w:type="dxa"/>
            <w:gridSpan w:val="2"/>
          </w:tcPr>
          <w:p w14:paraId="6DB8DB66" w14:textId="640AEEE7" w:rsidR="00C77D14" w:rsidRPr="00183B5F" w:rsidRDefault="00943743" w:rsidP="00FE0197">
            <w:pPr>
              <w:pStyle w:val="BodyTextIndent"/>
              <w:keepNext/>
              <w:ind w:left="0" w:right="53" w:firstLine="0"/>
              <w:jc w:val="center"/>
              <w:rPr>
                <w:del w:id="7527" w:author="AbbVie_HU_03" w:date="2025-05-14T15:27:00Z"/>
                <w:lang w:val="hu-HU"/>
              </w:rPr>
            </w:pPr>
            <w:del w:id="7528" w:author="AbbVie_HU_03" w:date="2025-05-14T15:27:00Z">
              <w:r w:rsidRPr="00183B5F">
                <w:rPr>
                  <w:lang w:val="hu-HU"/>
                </w:rPr>
                <w:delText>74,4% (64/86)</w:delText>
              </w:r>
            </w:del>
          </w:p>
        </w:tc>
      </w:tr>
      <w:tr w:rsidR="00011D2F" w14:paraId="6D040795" w14:textId="65B24575" w:rsidTr="00C77D14">
        <w:trPr>
          <w:cantSplit/>
          <w:del w:id="7529" w:author="AbbVie_HU_03" w:date="2025-05-14T15:27:00Z"/>
        </w:trPr>
        <w:tc>
          <w:tcPr>
            <w:tcW w:w="9177" w:type="dxa"/>
            <w:gridSpan w:val="5"/>
          </w:tcPr>
          <w:p w14:paraId="28A214C8" w14:textId="4A48CB76" w:rsidR="00C77D14" w:rsidRPr="00183B5F" w:rsidRDefault="00943743" w:rsidP="00FE0197">
            <w:pPr>
              <w:pStyle w:val="BodyTextIndent"/>
              <w:keepNext/>
              <w:ind w:left="0" w:right="53" w:firstLine="0"/>
              <w:jc w:val="center"/>
              <w:rPr>
                <w:del w:id="7530" w:author="AbbVie_HU_03" w:date="2025-05-14T15:27:00Z"/>
                <w:lang w:val="hu-HU"/>
              </w:rPr>
            </w:pPr>
            <w:del w:id="7531" w:author="AbbVie_HU_03" w:date="2025-05-14T15:27:00Z">
              <w:r w:rsidRPr="00183B5F">
                <w:rPr>
                  <w:lang w:val="hu-HU"/>
                </w:rPr>
                <w:delText>Hatásossági végpontok</w:delText>
              </w:r>
            </w:del>
          </w:p>
        </w:tc>
      </w:tr>
      <w:tr w:rsidR="00011D2F" w14:paraId="1562C0F8" w14:textId="785DF8F6" w:rsidTr="00C77D14">
        <w:trPr>
          <w:del w:id="7532" w:author="AbbVie_HU_03" w:date="2025-05-14T15:27:00Z"/>
        </w:trPr>
        <w:tc>
          <w:tcPr>
            <w:tcW w:w="2418" w:type="dxa"/>
          </w:tcPr>
          <w:p w14:paraId="4EA3D18B" w14:textId="6A8A1244" w:rsidR="00C77D14" w:rsidRPr="00183B5F" w:rsidRDefault="00943743" w:rsidP="00FE0197">
            <w:pPr>
              <w:pStyle w:val="BodyTextIndent"/>
              <w:keepNext/>
              <w:ind w:left="0" w:right="53" w:firstLine="0"/>
              <w:rPr>
                <w:del w:id="7533" w:author="AbbVie_HU_03" w:date="2025-05-14T15:27:00Z"/>
                <w:lang w:val="hu-HU"/>
              </w:rPr>
            </w:pPr>
            <w:del w:id="7534" w:author="AbbVie_HU_03" w:date="2025-05-14T15:27:00Z">
              <w:r w:rsidRPr="00183B5F">
                <w:rPr>
                  <w:lang w:val="hu-HU"/>
                </w:rPr>
                <w:delText>Kettős vak, 32 hét</w:delText>
              </w:r>
            </w:del>
          </w:p>
        </w:tc>
        <w:tc>
          <w:tcPr>
            <w:tcW w:w="1760" w:type="dxa"/>
          </w:tcPr>
          <w:p w14:paraId="7DAAA96B" w14:textId="64018666" w:rsidR="00C77D14" w:rsidRPr="00183B5F" w:rsidRDefault="00943743" w:rsidP="00FE0197">
            <w:pPr>
              <w:pStyle w:val="BodyTextIndent"/>
              <w:keepNext/>
              <w:ind w:left="0" w:right="53" w:firstLine="0"/>
              <w:rPr>
                <w:del w:id="7535" w:author="AbbVie_HU_03" w:date="2025-05-14T15:27:00Z"/>
                <w:lang w:val="hu-HU"/>
              </w:rPr>
            </w:pPr>
            <w:del w:id="7536" w:author="AbbVie_HU_03" w:date="2025-05-14T15:27:00Z">
              <w:r w:rsidRPr="00183B5F">
                <w:rPr>
                  <w:lang w:val="hu-HU"/>
                </w:rPr>
                <w:delText xml:space="preserve">Humira/ MTX </w:delText>
              </w:r>
            </w:del>
          </w:p>
          <w:p w14:paraId="17326B9B" w14:textId="438A90B9" w:rsidR="00C77D14" w:rsidRPr="00183B5F" w:rsidRDefault="00943743" w:rsidP="00FE0197">
            <w:pPr>
              <w:pStyle w:val="BodyTextIndent"/>
              <w:keepNext/>
              <w:ind w:left="0" w:right="53" w:firstLine="0"/>
              <w:rPr>
                <w:del w:id="7537" w:author="AbbVie_HU_03" w:date="2025-05-14T15:27:00Z"/>
                <w:lang w:val="hu-HU"/>
              </w:rPr>
            </w:pPr>
            <w:del w:id="7538" w:author="AbbVie_HU_03" w:date="2025-05-14T15:27:00Z">
              <w:r w:rsidRPr="00183B5F">
                <w:rPr>
                  <w:lang w:val="hu-HU"/>
                </w:rPr>
                <w:delText>(N = 38)</w:delText>
              </w:r>
            </w:del>
          </w:p>
          <w:p w14:paraId="0456C4FF" w14:textId="35DED4D0" w:rsidR="00C77D14" w:rsidRPr="00183B5F" w:rsidRDefault="00C77D14" w:rsidP="00FE0197">
            <w:pPr>
              <w:pStyle w:val="BodyTextIndent"/>
              <w:keepNext/>
              <w:ind w:left="0" w:right="53" w:firstLine="0"/>
              <w:rPr>
                <w:del w:id="7539" w:author="AbbVie_HU_03" w:date="2025-05-14T15:27:00Z"/>
                <w:lang w:val="hu-HU"/>
              </w:rPr>
            </w:pPr>
          </w:p>
        </w:tc>
        <w:tc>
          <w:tcPr>
            <w:tcW w:w="1760" w:type="dxa"/>
          </w:tcPr>
          <w:p w14:paraId="0FD01A25" w14:textId="79261611" w:rsidR="00C77D14" w:rsidRPr="00183B5F" w:rsidRDefault="00943743" w:rsidP="00FE0197">
            <w:pPr>
              <w:pStyle w:val="BodyTextIndent"/>
              <w:keepNext/>
              <w:ind w:left="0" w:right="53" w:firstLine="0"/>
              <w:rPr>
                <w:del w:id="7540" w:author="AbbVie_HU_03" w:date="2025-05-14T15:27:00Z"/>
                <w:lang w:val="hu-HU"/>
              </w:rPr>
            </w:pPr>
            <w:del w:id="7541" w:author="AbbVie_HU_03" w:date="2025-05-14T15:27:00Z">
              <w:r w:rsidRPr="00183B5F">
                <w:rPr>
                  <w:lang w:val="hu-HU"/>
                </w:rPr>
                <w:delText>Placebo/ MTX</w:delText>
              </w:r>
            </w:del>
          </w:p>
          <w:p w14:paraId="3D87B710" w14:textId="64C5A789" w:rsidR="00C77D14" w:rsidRPr="00183B5F" w:rsidRDefault="00943743" w:rsidP="00FE0197">
            <w:pPr>
              <w:pStyle w:val="BodyTextIndent"/>
              <w:keepNext/>
              <w:ind w:left="0" w:right="53" w:firstLine="0"/>
              <w:rPr>
                <w:del w:id="7542" w:author="AbbVie_HU_03" w:date="2025-05-14T15:27:00Z"/>
                <w:lang w:val="hu-HU"/>
              </w:rPr>
            </w:pPr>
            <w:del w:id="7543" w:author="AbbVie_HU_03" w:date="2025-05-14T15:27:00Z">
              <w:r w:rsidRPr="00183B5F">
                <w:rPr>
                  <w:lang w:val="hu-HU"/>
                </w:rPr>
                <w:delText>(N = 37)</w:delText>
              </w:r>
            </w:del>
          </w:p>
        </w:tc>
        <w:tc>
          <w:tcPr>
            <w:tcW w:w="1650" w:type="dxa"/>
          </w:tcPr>
          <w:p w14:paraId="1A86AE71" w14:textId="0F732ADB" w:rsidR="00C77D14" w:rsidRPr="00183B5F" w:rsidRDefault="00943743" w:rsidP="00FE0197">
            <w:pPr>
              <w:pStyle w:val="BodyTextIndent"/>
              <w:keepNext/>
              <w:ind w:left="0" w:right="53" w:firstLine="0"/>
              <w:rPr>
                <w:del w:id="7544" w:author="AbbVie_HU_03" w:date="2025-05-14T15:27:00Z"/>
                <w:lang w:val="hu-HU"/>
              </w:rPr>
            </w:pPr>
            <w:del w:id="7545" w:author="AbbVie_HU_03" w:date="2025-05-14T15:27:00Z">
              <w:r w:rsidRPr="00183B5F">
                <w:rPr>
                  <w:lang w:val="hu-HU"/>
                </w:rPr>
                <w:delText xml:space="preserve">Humira </w:delText>
              </w:r>
            </w:del>
          </w:p>
          <w:p w14:paraId="3BDEDF6C" w14:textId="3A44D01F" w:rsidR="00C77D14" w:rsidRPr="00183B5F" w:rsidRDefault="00943743" w:rsidP="00FE0197">
            <w:pPr>
              <w:pStyle w:val="BodyTextIndent"/>
              <w:keepNext/>
              <w:ind w:left="0" w:right="53" w:firstLine="0"/>
              <w:rPr>
                <w:del w:id="7546" w:author="AbbVie_HU_03" w:date="2025-05-14T15:27:00Z"/>
                <w:lang w:val="hu-HU"/>
              </w:rPr>
            </w:pPr>
            <w:del w:id="7547" w:author="AbbVie_HU_03" w:date="2025-05-14T15:27:00Z">
              <w:r w:rsidRPr="00183B5F">
                <w:rPr>
                  <w:lang w:val="hu-HU"/>
                </w:rPr>
                <w:delText>(N = 30)</w:delText>
              </w:r>
            </w:del>
          </w:p>
        </w:tc>
        <w:tc>
          <w:tcPr>
            <w:tcW w:w="1589" w:type="dxa"/>
          </w:tcPr>
          <w:p w14:paraId="702DF8D0" w14:textId="47C03FE6" w:rsidR="00C77D14" w:rsidRPr="00183B5F" w:rsidRDefault="00943743" w:rsidP="00FE0197">
            <w:pPr>
              <w:pStyle w:val="BodyTextIndent"/>
              <w:keepNext/>
              <w:ind w:left="0" w:right="53" w:firstLine="0"/>
              <w:rPr>
                <w:del w:id="7548" w:author="AbbVie_HU_03" w:date="2025-05-14T15:27:00Z"/>
                <w:lang w:val="hu-HU"/>
              </w:rPr>
            </w:pPr>
            <w:del w:id="7549" w:author="AbbVie_HU_03" w:date="2025-05-14T15:27:00Z">
              <w:r w:rsidRPr="00183B5F">
                <w:rPr>
                  <w:lang w:val="hu-HU"/>
                </w:rPr>
                <w:delText>Placebo</w:delText>
              </w:r>
            </w:del>
          </w:p>
          <w:p w14:paraId="2EAF47D0" w14:textId="49AC76FF" w:rsidR="00C77D14" w:rsidRPr="00183B5F" w:rsidRDefault="00943743" w:rsidP="00FE0197">
            <w:pPr>
              <w:pStyle w:val="BodyTextIndent"/>
              <w:keepNext/>
              <w:ind w:left="0" w:right="53" w:firstLine="0"/>
              <w:rPr>
                <w:del w:id="7550" w:author="AbbVie_HU_03" w:date="2025-05-14T15:27:00Z"/>
                <w:lang w:val="hu-HU"/>
              </w:rPr>
            </w:pPr>
            <w:del w:id="7551" w:author="AbbVie_HU_03" w:date="2025-05-14T15:27:00Z">
              <w:r w:rsidRPr="00183B5F">
                <w:rPr>
                  <w:lang w:val="hu-HU"/>
                </w:rPr>
                <w:delText>(N = 28)</w:delText>
              </w:r>
            </w:del>
          </w:p>
        </w:tc>
      </w:tr>
      <w:tr w:rsidR="00011D2F" w14:paraId="5A9D727C" w14:textId="325933F4" w:rsidTr="00C77D14">
        <w:trPr>
          <w:del w:id="7552" w:author="AbbVie_HU_03" w:date="2025-05-14T15:27:00Z"/>
        </w:trPr>
        <w:tc>
          <w:tcPr>
            <w:tcW w:w="2418" w:type="dxa"/>
          </w:tcPr>
          <w:p w14:paraId="0891ABBC" w14:textId="28B9B1BE" w:rsidR="00C77D14" w:rsidRPr="00183B5F" w:rsidRDefault="00943743" w:rsidP="00C77D14">
            <w:pPr>
              <w:pStyle w:val="BodyTextIndent"/>
              <w:keepNext/>
              <w:ind w:right="58" w:firstLine="0"/>
              <w:rPr>
                <w:del w:id="7553" w:author="AbbVie_HU_03" w:date="2025-05-14T15:27:00Z"/>
                <w:lang w:val="hu-HU"/>
              </w:rPr>
            </w:pPr>
            <w:del w:id="7554" w:author="AbbVie_HU_03" w:date="2025-05-14T15:27:00Z">
              <w:r w:rsidRPr="00183B5F">
                <w:rPr>
                  <w:lang w:val="hu-HU"/>
                </w:rPr>
                <w:delText>A betegség fellángolása a 32 hét végén</w:delText>
              </w:r>
              <w:r w:rsidRPr="00183B5F">
                <w:rPr>
                  <w:vertAlign w:val="superscript"/>
                  <w:lang w:val="hu-HU"/>
                </w:rPr>
                <w:delText>a</w:delText>
              </w:r>
              <w:r w:rsidRPr="00183B5F">
                <w:rPr>
                  <w:lang w:val="hu-HU"/>
                </w:rPr>
                <w:delText xml:space="preserve"> (n/N)</w:delText>
              </w:r>
            </w:del>
          </w:p>
        </w:tc>
        <w:tc>
          <w:tcPr>
            <w:tcW w:w="1760" w:type="dxa"/>
          </w:tcPr>
          <w:p w14:paraId="57760344" w14:textId="38BF3686" w:rsidR="00C77D14" w:rsidRPr="00183B5F" w:rsidRDefault="00943743" w:rsidP="00C77D14">
            <w:pPr>
              <w:pStyle w:val="BodyTextIndent"/>
              <w:keepNext/>
              <w:ind w:left="0" w:right="58" w:firstLine="0"/>
              <w:rPr>
                <w:del w:id="7555" w:author="AbbVie_HU_03" w:date="2025-05-14T15:27:00Z"/>
                <w:lang w:val="hu-HU"/>
              </w:rPr>
            </w:pPr>
            <w:del w:id="7556" w:author="AbbVie_HU_03" w:date="2025-05-14T15:27:00Z">
              <w:r w:rsidRPr="00183B5F">
                <w:rPr>
                  <w:lang w:val="hu-HU"/>
                </w:rPr>
                <w:delText>36,8% (14/38)</w:delText>
              </w:r>
            </w:del>
          </w:p>
        </w:tc>
        <w:tc>
          <w:tcPr>
            <w:tcW w:w="1760" w:type="dxa"/>
          </w:tcPr>
          <w:p w14:paraId="65683BD7" w14:textId="1EEBCC8B" w:rsidR="00C77D14" w:rsidRPr="00183B5F" w:rsidRDefault="00943743" w:rsidP="00C77D14">
            <w:pPr>
              <w:pStyle w:val="BodyTextIndent"/>
              <w:keepNext/>
              <w:ind w:left="0" w:right="58" w:firstLine="0"/>
              <w:rPr>
                <w:del w:id="7557" w:author="AbbVie_HU_03" w:date="2025-05-14T15:27:00Z"/>
                <w:lang w:val="hu-HU"/>
              </w:rPr>
            </w:pPr>
            <w:del w:id="7558" w:author="AbbVie_HU_03" w:date="2025-05-14T15:27:00Z">
              <w:r w:rsidRPr="00183B5F">
                <w:rPr>
                  <w:lang w:val="hu-HU"/>
                </w:rPr>
                <w:delText>64,9% (24/37)</w:delText>
              </w:r>
              <w:r w:rsidRPr="00183B5F">
                <w:rPr>
                  <w:vertAlign w:val="superscript"/>
                  <w:lang w:val="hu-HU"/>
                </w:rPr>
                <w:delText>b</w:delText>
              </w:r>
            </w:del>
          </w:p>
        </w:tc>
        <w:tc>
          <w:tcPr>
            <w:tcW w:w="1650" w:type="dxa"/>
          </w:tcPr>
          <w:p w14:paraId="6ACC95C6" w14:textId="2215FE97" w:rsidR="00C77D14" w:rsidRPr="00183B5F" w:rsidRDefault="00943743" w:rsidP="00C77D14">
            <w:pPr>
              <w:pStyle w:val="BodyTextIndent"/>
              <w:keepNext/>
              <w:ind w:left="0" w:right="58" w:firstLine="0"/>
              <w:rPr>
                <w:del w:id="7559" w:author="AbbVie_HU_03" w:date="2025-05-14T15:27:00Z"/>
                <w:lang w:val="hu-HU"/>
              </w:rPr>
            </w:pPr>
            <w:del w:id="7560" w:author="AbbVie_HU_03" w:date="2025-05-14T15:27:00Z">
              <w:r w:rsidRPr="00183B5F">
                <w:rPr>
                  <w:lang w:val="hu-HU"/>
                </w:rPr>
                <w:delText>43,3% (13/30)</w:delText>
              </w:r>
            </w:del>
          </w:p>
        </w:tc>
        <w:tc>
          <w:tcPr>
            <w:tcW w:w="1589" w:type="dxa"/>
          </w:tcPr>
          <w:p w14:paraId="459AB1A2" w14:textId="0A0664E4" w:rsidR="00C77D14" w:rsidRPr="00183B5F" w:rsidRDefault="00943743" w:rsidP="00C77D14">
            <w:pPr>
              <w:pStyle w:val="BodyTextIndent"/>
              <w:keepNext/>
              <w:ind w:left="0" w:right="58" w:firstLine="0"/>
              <w:rPr>
                <w:del w:id="7561" w:author="AbbVie_HU_03" w:date="2025-05-14T15:27:00Z"/>
                <w:lang w:val="hu-HU"/>
              </w:rPr>
            </w:pPr>
            <w:del w:id="7562" w:author="AbbVie_HU_03" w:date="2025-05-14T15:27:00Z">
              <w:r w:rsidRPr="00183B5F">
                <w:rPr>
                  <w:lang w:val="hu-HU"/>
                </w:rPr>
                <w:delText>71,4% (20/28)</w:delText>
              </w:r>
              <w:r w:rsidRPr="00183B5F">
                <w:rPr>
                  <w:vertAlign w:val="superscript"/>
                  <w:lang w:val="hu-HU"/>
                </w:rPr>
                <w:delText>c</w:delText>
              </w:r>
            </w:del>
          </w:p>
        </w:tc>
      </w:tr>
      <w:tr w:rsidR="00011D2F" w14:paraId="3C77986B" w14:textId="61D52002" w:rsidTr="00C77D14">
        <w:trPr>
          <w:del w:id="7563" w:author="AbbVie_HU_03" w:date="2025-05-14T15:27:00Z"/>
        </w:trPr>
        <w:tc>
          <w:tcPr>
            <w:tcW w:w="2418" w:type="dxa"/>
          </w:tcPr>
          <w:p w14:paraId="653DE8B2" w14:textId="403FBBB6" w:rsidR="00C77D14" w:rsidRPr="00183B5F" w:rsidRDefault="00943743" w:rsidP="00C77D14">
            <w:pPr>
              <w:pStyle w:val="BodyTextIndent"/>
              <w:ind w:right="53" w:firstLine="0"/>
              <w:rPr>
                <w:del w:id="7564" w:author="AbbVie_HU_03" w:date="2025-05-14T15:27:00Z"/>
                <w:lang w:val="hu-HU"/>
              </w:rPr>
            </w:pPr>
            <w:del w:id="7565" w:author="AbbVie_HU_03" w:date="2025-05-14T15:27:00Z">
              <w:r w:rsidRPr="00183B5F">
                <w:rPr>
                  <w:lang w:val="hu-HU"/>
                </w:rPr>
                <w:delText>A betegség fellángolásáig eltelt medián időtartam</w:delText>
              </w:r>
            </w:del>
          </w:p>
        </w:tc>
        <w:tc>
          <w:tcPr>
            <w:tcW w:w="1760" w:type="dxa"/>
          </w:tcPr>
          <w:p w14:paraId="1314D2DA" w14:textId="70F6447E" w:rsidR="00C77D14" w:rsidRPr="00183B5F" w:rsidRDefault="00943743" w:rsidP="00C77D14">
            <w:pPr>
              <w:pStyle w:val="BodyTextIndent"/>
              <w:ind w:left="0" w:right="53" w:firstLine="0"/>
              <w:rPr>
                <w:del w:id="7566" w:author="AbbVie_HU_03" w:date="2025-05-14T15:27:00Z"/>
                <w:lang w:val="hu-HU"/>
              </w:rPr>
            </w:pPr>
            <w:del w:id="7567" w:author="AbbVie_HU_03" w:date="2025-05-14T15:27:00Z">
              <w:r w:rsidRPr="00183B5F">
                <w:rPr>
                  <w:lang w:val="hu-HU"/>
                </w:rPr>
                <w:delText>&gt; 32 hét</w:delText>
              </w:r>
            </w:del>
          </w:p>
        </w:tc>
        <w:tc>
          <w:tcPr>
            <w:tcW w:w="1760" w:type="dxa"/>
          </w:tcPr>
          <w:p w14:paraId="20E9B509" w14:textId="6DB6D542" w:rsidR="00C77D14" w:rsidRPr="00183B5F" w:rsidRDefault="00943743" w:rsidP="00C77D14">
            <w:pPr>
              <w:pStyle w:val="BodyTextIndent"/>
              <w:ind w:left="0" w:right="53" w:firstLine="0"/>
              <w:rPr>
                <w:del w:id="7568" w:author="AbbVie_HU_03" w:date="2025-05-14T15:27:00Z"/>
                <w:lang w:val="hu-HU"/>
              </w:rPr>
            </w:pPr>
            <w:del w:id="7569" w:author="AbbVie_HU_03" w:date="2025-05-14T15:27:00Z">
              <w:r w:rsidRPr="00183B5F">
                <w:rPr>
                  <w:lang w:val="hu-HU"/>
                </w:rPr>
                <w:delText>20 hét</w:delText>
              </w:r>
            </w:del>
          </w:p>
        </w:tc>
        <w:tc>
          <w:tcPr>
            <w:tcW w:w="1650" w:type="dxa"/>
          </w:tcPr>
          <w:p w14:paraId="40D2EAD1" w14:textId="61AEF72E" w:rsidR="00C77D14" w:rsidRPr="00183B5F" w:rsidRDefault="00943743" w:rsidP="00C77D14">
            <w:pPr>
              <w:pStyle w:val="BodyTextIndent"/>
              <w:ind w:left="0" w:right="53" w:firstLine="0"/>
              <w:rPr>
                <w:del w:id="7570" w:author="AbbVie_HU_03" w:date="2025-05-14T15:27:00Z"/>
                <w:lang w:val="hu-HU"/>
              </w:rPr>
            </w:pPr>
            <w:del w:id="7571" w:author="AbbVie_HU_03" w:date="2025-05-14T15:27:00Z">
              <w:r w:rsidRPr="00183B5F">
                <w:rPr>
                  <w:lang w:val="hu-HU"/>
                </w:rPr>
                <w:delText>&gt; 32 hét</w:delText>
              </w:r>
            </w:del>
          </w:p>
        </w:tc>
        <w:tc>
          <w:tcPr>
            <w:tcW w:w="1589" w:type="dxa"/>
          </w:tcPr>
          <w:p w14:paraId="768737E1" w14:textId="093F70C0" w:rsidR="00C77D14" w:rsidRPr="00183B5F" w:rsidRDefault="00943743" w:rsidP="00C77D14">
            <w:pPr>
              <w:pStyle w:val="BodyTextIndent"/>
              <w:ind w:left="0" w:right="53" w:firstLine="0"/>
              <w:rPr>
                <w:del w:id="7572" w:author="AbbVie_HU_03" w:date="2025-05-14T15:27:00Z"/>
                <w:lang w:val="hu-HU"/>
              </w:rPr>
            </w:pPr>
            <w:del w:id="7573" w:author="AbbVie_HU_03" w:date="2025-05-14T15:27:00Z">
              <w:r w:rsidRPr="00183B5F">
                <w:rPr>
                  <w:lang w:val="hu-HU"/>
                </w:rPr>
                <w:delText>14 hét</w:delText>
              </w:r>
            </w:del>
          </w:p>
        </w:tc>
      </w:tr>
    </w:tbl>
    <w:p w14:paraId="531F0714" w14:textId="64AFD0CA" w:rsidR="00C77D14" w:rsidRPr="00183B5F" w:rsidRDefault="00943743" w:rsidP="00C77D14">
      <w:pPr>
        <w:pStyle w:val="BodyTextIndent"/>
        <w:ind w:left="110" w:right="53" w:firstLine="0"/>
        <w:rPr>
          <w:del w:id="7574" w:author="AbbVie_HU_03" w:date="2025-05-14T15:27:00Z"/>
          <w:i/>
          <w:lang w:val="hu-HU"/>
        </w:rPr>
      </w:pPr>
      <w:del w:id="7575" w:author="AbbVie_HU_03" w:date="2025-05-14T15:27:00Z">
        <w:r w:rsidRPr="00183B5F">
          <w:rPr>
            <w:vertAlign w:val="superscript"/>
            <w:lang w:val="hu-HU"/>
          </w:rPr>
          <w:delText xml:space="preserve">a </w:delText>
        </w:r>
        <w:r w:rsidRPr="00183B5F">
          <w:rPr>
            <w:lang w:val="hu-HU"/>
          </w:rPr>
          <w:delText>A 48. heti Pediátriai ACR 30/50/70 válaszok szignifikánsan magasabbak, mint a placebóval kezelt betegeknél kapott értékek</w:delText>
        </w:r>
      </w:del>
    </w:p>
    <w:p w14:paraId="685F6BAC" w14:textId="599345CD" w:rsidR="00C77D14" w:rsidRPr="00183B5F" w:rsidRDefault="00943743" w:rsidP="00C77D14">
      <w:pPr>
        <w:pStyle w:val="BodyTextIndent"/>
        <w:ind w:left="110" w:right="53" w:firstLine="0"/>
        <w:rPr>
          <w:del w:id="7576" w:author="AbbVie_HU_03" w:date="2025-05-14T15:27:00Z"/>
          <w:lang w:val="hu-HU"/>
        </w:rPr>
      </w:pPr>
      <w:del w:id="7577" w:author="AbbVie_HU_03" w:date="2025-05-14T15:27:00Z">
        <w:r w:rsidRPr="00183B5F">
          <w:rPr>
            <w:vertAlign w:val="superscript"/>
            <w:lang w:val="hu-HU"/>
          </w:rPr>
          <w:delText>b</w:delText>
        </w:r>
        <w:r w:rsidRPr="00183B5F">
          <w:rPr>
            <w:lang w:val="hu-HU"/>
          </w:rPr>
          <w:delText xml:space="preserve"> p = 0,015</w:delText>
        </w:r>
      </w:del>
    </w:p>
    <w:p w14:paraId="2FB2846B" w14:textId="1ABD5453" w:rsidR="00C77D14" w:rsidRPr="00183B5F" w:rsidRDefault="00943743" w:rsidP="00C77D14">
      <w:pPr>
        <w:pStyle w:val="BodyTextIndent"/>
        <w:ind w:left="110" w:right="53" w:firstLine="0"/>
        <w:rPr>
          <w:del w:id="7578" w:author="AbbVie_HU_03" w:date="2025-05-14T15:27:00Z"/>
          <w:lang w:val="hu-HU"/>
        </w:rPr>
      </w:pPr>
      <w:del w:id="7579" w:author="AbbVie_HU_03" w:date="2025-05-14T15:27:00Z">
        <w:r w:rsidRPr="00183B5F">
          <w:rPr>
            <w:vertAlign w:val="superscript"/>
            <w:lang w:val="hu-HU"/>
          </w:rPr>
          <w:delText>c</w:delText>
        </w:r>
        <w:r w:rsidRPr="00183B5F">
          <w:rPr>
            <w:lang w:val="hu-HU"/>
          </w:rPr>
          <w:delText xml:space="preserve"> p = 0,031</w:delText>
        </w:r>
      </w:del>
    </w:p>
    <w:p w14:paraId="6E8EDC07" w14:textId="6C58A53A" w:rsidR="00C77D14" w:rsidRPr="00183B5F" w:rsidRDefault="00C77D14" w:rsidP="00C77D14">
      <w:pPr>
        <w:pStyle w:val="EMEANormal"/>
        <w:rPr>
          <w:del w:id="7580" w:author="AbbVie_HU_03" w:date="2025-05-14T15:27:00Z"/>
          <w:lang w:val="hu-HU"/>
        </w:rPr>
      </w:pPr>
    </w:p>
    <w:p w14:paraId="799BEC9B" w14:textId="4E32CBE4" w:rsidR="00C77D14" w:rsidRPr="00183B5F" w:rsidRDefault="00943743" w:rsidP="00C77D14">
      <w:pPr>
        <w:pStyle w:val="BodyTextIndent"/>
        <w:ind w:left="0" w:right="53" w:firstLine="0"/>
        <w:rPr>
          <w:del w:id="7581" w:author="AbbVie_HU_03" w:date="2025-05-14T15:27:00Z"/>
          <w:lang w:val="hu-HU"/>
        </w:rPr>
      </w:pPr>
      <w:del w:id="7582" w:author="AbbVie_HU_03" w:date="2025-05-14T15:27:00Z">
        <w:r w:rsidRPr="00183B5F">
          <w:rPr>
            <w:lang w:val="hu-HU"/>
          </w:rPr>
          <w:delText>Azok közül, akiknél terápiás válasz alakult ki a 16. héten (n = 144), a Pediátriai ACR 30/50/70/90 válaszok a nyílt kiterjesztéses szakaszban akár 6 éven át fennmaradtak azoknál, akik Humira</w:delText>
        </w:r>
        <w:r w:rsidRPr="00183B5F">
          <w:rPr>
            <w:bCs/>
            <w:szCs w:val="22"/>
            <w:lang w:val="hu-HU"/>
          </w:rPr>
          <w:noBreakHyphen/>
        </w:r>
        <w:r w:rsidRPr="00183B5F">
          <w:rPr>
            <w:lang w:val="hu-HU"/>
          </w:rPr>
          <w:delText>t kaptak a vizsgálat teljes ideje alatt. Összesen 19 beteget kezeltek 6 évig vagy ennél hosszabb ideig, közülük 11</w:delText>
        </w:r>
        <w:r w:rsidRPr="00183B5F">
          <w:rPr>
            <w:bCs/>
            <w:szCs w:val="22"/>
            <w:lang w:val="hu-HU"/>
          </w:rPr>
          <w:noBreakHyphen/>
        </w:r>
        <w:r w:rsidRPr="00183B5F">
          <w:rPr>
            <w:lang w:val="hu-HU"/>
          </w:rPr>
          <w:delText>en tartoztak a 4 – 12 évesek, míg 8</w:delText>
        </w:r>
        <w:r w:rsidRPr="00183B5F">
          <w:rPr>
            <w:bCs/>
            <w:szCs w:val="22"/>
            <w:lang w:val="hu-HU"/>
          </w:rPr>
          <w:noBreakHyphen/>
        </w:r>
        <w:r w:rsidRPr="00183B5F">
          <w:rPr>
            <w:lang w:val="hu-HU"/>
          </w:rPr>
          <w:delText>an a 13 – 17 évesek kiindulási korcsoportjába.</w:delText>
        </w:r>
      </w:del>
    </w:p>
    <w:p w14:paraId="6DD0DE15" w14:textId="0DC4BF2D" w:rsidR="00C77D14" w:rsidRPr="00183B5F" w:rsidRDefault="00C77D14" w:rsidP="00C77D14">
      <w:pPr>
        <w:pStyle w:val="EMEANormal"/>
        <w:rPr>
          <w:del w:id="7583" w:author="AbbVie_HU_03" w:date="2025-05-14T15:27:00Z"/>
          <w:lang w:val="hu-HU"/>
        </w:rPr>
      </w:pPr>
    </w:p>
    <w:p w14:paraId="00E4BB80" w14:textId="64DB9BB2" w:rsidR="00C77D14" w:rsidRPr="00183B5F" w:rsidRDefault="00943743" w:rsidP="00C77D14">
      <w:pPr>
        <w:pStyle w:val="EMEANormal"/>
        <w:rPr>
          <w:del w:id="7584" w:author="AbbVie_HU_03" w:date="2025-05-14T15:27:00Z"/>
          <w:lang w:val="hu-HU"/>
        </w:rPr>
      </w:pPr>
      <w:del w:id="7585" w:author="AbbVie_HU_03" w:date="2025-05-14T15:27:00Z">
        <w:r w:rsidRPr="00183B5F">
          <w:rPr>
            <w:lang w:val="hu-HU"/>
          </w:rPr>
          <w:delText>A Humira és MTX kombinációjával kezelteknél az összesített terápiás válaszok általában jobbak voltak és kevesebb betegnél alakultak ki antitestek, mint azoknál, akik a Humira</w:delText>
        </w:r>
        <w:r w:rsidRPr="00183B5F">
          <w:rPr>
            <w:lang w:val="hu-HU"/>
          </w:rPr>
          <w:noBreakHyphen/>
          <w:delText>t önmagában kapták. Ezeket az eredményeket figyelembe véve a Humira alkalmazása MTX</w:delText>
        </w:r>
        <w:r w:rsidRPr="00183B5F">
          <w:rPr>
            <w:lang w:val="hu-HU"/>
          </w:rPr>
          <w:noBreakHyphen/>
          <w:delText>kombinációban, illetve monoterápiaként olyan betegeknél ajánlott, akiknél az MTX alkalmazása nem megfelelő (lásd 4.2 pont).</w:delText>
        </w:r>
      </w:del>
    </w:p>
    <w:p w14:paraId="61F9D851" w14:textId="57F0D9C6" w:rsidR="00C77D14" w:rsidRPr="00183B5F" w:rsidRDefault="00C77D14" w:rsidP="00C77D14">
      <w:pPr>
        <w:pStyle w:val="EMEANormal"/>
        <w:rPr>
          <w:del w:id="7586" w:author="AbbVie_HU_03" w:date="2025-05-14T15:27:00Z"/>
          <w:lang w:val="hu-HU"/>
        </w:rPr>
      </w:pPr>
    </w:p>
    <w:p w14:paraId="48EC8BD2" w14:textId="0D78FFEE" w:rsidR="00C77D14" w:rsidRPr="00183B5F" w:rsidRDefault="00943743" w:rsidP="00C77D14">
      <w:pPr>
        <w:pStyle w:val="EMEANormal"/>
        <w:keepNext/>
        <w:rPr>
          <w:del w:id="7587" w:author="AbbVie_HU_03" w:date="2025-05-14T15:27:00Z"/>
          <w:lang w:val="hu-HU"/>
        </w:rPr>
      </w:pPr>
      <w:del w:id="7588" w:author="AbbVie_HU_03" w:date="2025-05-14T15:27:00Z">
        <w:r w:rsidRPr="00183B5F">
          <w:rPr>
            <w:lang w:val="hu-HU"/>
          </w:rPr>
          <w:delText>pJIA II</w:delText>
        </w:r>
      </w:del>
    </w:p>
    <w:p w14:paraId="35BCC7EA" w14:textId="75FF0AAD" w:rsidR="00C77D14" w:rsidRPr="00183B5F" w:rsidRDefault="00C77D14" w:rsidP="00C77D14">
      <w:pPr>
        <w:pStyle w:val="EMEANormal"/>
        <w:keepNext/>
        <w:rPr>
          <w:del w:id="7589" w:author="AbbVie_HU_03" w:date="2025-05-14T15:27:00Z"/>
          <w:lang w:val="hu-HU"/>
        </w:rPr>
      </w:pPr>
    </w:p>
    <w:p w14:paraId="264E2092" w14:textId="1FB6B3C4" w:rsidR="00C77D14" w:rsidRPr="00183B5F" w:rsidRDefault="00943743" w:rsidP="00C77D14">
      <w:pPr>
        <w:pStyle w:val="EMEANormal"/>
        <w:keepNext/>
        <w:rPr>
          <w:del w:id="7590" w:author="AbbVie_HU_03" w:date="2025-05-14T15:27:00Z"/>
          <w:szCs w:val="22"/>
          <w:lang w:val="hu-HU"/>
        </w:rPr>
      </w:pPr>
      <w:del w:id="7591" w:author="AbbVie_HU_03" w:date="2025-05-14T15:27:00Z">
        <w:r w:rsidRPr="00183B5F">
          <w:rPr>
            <w:lang w:val="hu-HU"/>
          </w:rPr>
          <w:delText xml:space="preserve">A Humira biztonságosságát és hatásosságát egy nyílt, </w:delText>
        </w:r>
        <w:r w:rsidRPr="00183B5F">
          <w:rPr>
            <w:szCs w:val="22"/>
            <w:lang w:val="hu-HU"/>
          </w:rPr>
          <w:delText>multicentrikus vizsgálatban értékelték, amelyet 32 olyan gyermek bevonásával végeztek (életkoruk 2 </w:delText>
        </w:r>
        <w:r w:rsidRPr="00183B5F">
          <w:rPr>
            <w:szCs w:val="22"/>
            <w:lang w:val="hu-HU"/>
          </w:rPr>
          <w:noBreakHyphen/>
          <w:delText> &lt;4 év vagy 4 év és a feletti, testtömegük &lt;15 kg volt), akik közepesen súlyos vagy súlyos, aktív pJIA</w:delText>
        </w:r>
        <w:r w:rsidRPr="00183B5F">
          <w:rPr>
            <w:szCs w:val="22"/>
            <w:lang w:val="hu-HU"/>
          </w:rPr>
          <w:noBreakHyphen/>
          <w:delText>ban szenvedtek. A betegek 24 mg/ testfelszín m</w:delText>
        </w:r>
        <w:r w:rsidRPr="00183B5F">
          <w:rPr>
            <w:szCs w:val="22"/>
            <w:vertAlign w:val="superscript"/>
            <w:lang w:val="hu-HU"/>
          </w:rPr>
          <w:delText>2</w:delText>
        </w:r>
        <w:r w:rsidRPr="00183B5F">
          <w:rPr>
            <w:szCs w:val="22"/>
            <w:lang w:val="hu-HU"/>
          </w:rPr>
          <w:delText>, kéthetente legfeljebb 20 mg egyszeri adag Humira</w:delText>
        </w:r>
        <w:r w:rsidRPr="00183B5F">
          <w:rPr>
            <w:szCs w:val="22"/>
            <w:lang w:val="hu-HU"/>
          </w:rPr>
          <w:noBreakHyphen/>
          <w:delText>t kaptak sc. injekció formájában legalább 24 hétig. A vizsgálat alatt a legtöbb betegnél alkalmaztak kísérő MTX</w:delText>
        </w:r>
        <w:r w:rsidRPr="00183B5F">
          <w:rPr>
            <w:szCs w:val="22"/>
            <w:lang w:val="hu-HU"/>
          </w:rPr>
          <w:noBreakHyphen/>
          <w:delText>ot, néhány betegnél pedig kortikoszteroidok vagy nem szteroid gyulladásgátlók (NSAID) alkalmazásáró</w:delText>
        </w:r>
        <w:r w:rsidRPr="00183B5F">
          <w:rPr>
            <w:szCs w:val="22"/>
            <w:lang w:val="hu-HU"/>
          </w:rPr>
          <w:delText>l számoltak be.</w:delText>
        </w:r>
      </w:del>
    </w:p>
    <w:p w14:paraId="1E443C3C" w14:textId="3F1B381A" w:rsidR="00C77D14" w:rsidRPr="00183B5F" w:rsidRDefault="00C77D14" w:rsidP="00C77D14">
      <w:pPr>
        <w:pStyle w:val="EMEANormal"/>
        <w:rPr>
          <w:del w:id="7592" w:author="AbbVie_HU_03" w:date="2025-05-14T15:27:00Z"/>
          <w:szCs w:val="22"/>
          <w:lang w:val="hu-HU"/>
        </w:rPr>
      </w:pPr>
    </w:p>
    <w:p w14:paraId="3AC7904E" w14:textId="4B35DE52" w:rsidR="00C77D14" w:rsidRPr="00183B5F" w:rsidRDefault="00943743" w:rsidP="00C77D14">
      <w:pPr>
        <w:pStyle w:val="EMEANormal"/>
        <w:rPr>
          <w:del w:id="7593" w:author="AbbVie_HU_03" w:date="2025-05-14T15:27:00Z"/>
          <w:lang w:val="hu-HU"/>
        </w:rPr>
      </w:pPr>
      <w:del w:id="7594" w:author="AbbVie_HU_03" w:date="2025-05-14T15:27:00Z">
        <w:r w:rsidRPr="00183B5F">
          <w:rPr>
            <w:szCs w:val="22"/>
            <w:lang w:val="hu-HU"/>
          </w:rPr>
          <w:delText xml:space="preserve">A Pediátriai ACR 30 válasz a 12. héten 93,5% volt, a 24. héten pedig 90,0% volt a megfigyelt adatok elemzése alapján. A Pediátriai ACR 50/70/90 választ elérő betegek aránya a 12. héten 90,3%/61,3%/38,7%, a 24. héten 83,3%/73,3%/36,7% volt. </w:delText>
        </w:r>
        <w:r w:rsidRPr="00183B5F">
          <w:rPr>
            <w:lang w:val="hu-HU"/>
          </w:rPr>
          <w:delText>Azok közül, akiknél terápiás válasz (Pediátriai ACR 30 ) alakult ki a 24. héten (n = 27 a 30 betegből), a Pediátriai ACR 30 válasz a nyílt kiterjesztéses szakaszban akár 60 hétig fennmaradt azoknál, akik Humira-t kaptak ebben az időszakban. Összesen 20 beteget kezeltek 60 hétig vagy ennél hosszabb ideig.</w:delText>
        </w:r>
      </w:del>
    </w:p>
    <w:p w14:paraId="14F7D741" w14:textId="6C9ED790" w:rsidR="00C77D14" w:rsidRPr="00183B5F" w:rsidRDefault="00C77D14" w:rsidP="00C77D14">
      <w:pPr>
        <w:pStyle w:val="EMEANormal"/>
        <w:rPr>
          <w:del w:id="7595" w:author="AbbVie_HU_03" w:date="2025-05-14T15:27:00Z"/>
          <w:lang w:val="hu-HU"/>
        </w:rPr>
      </w:pPr>
    </w:p>
    <w:p w14:paraId="0309A711" w14:textId="0CA4A8F3" w:rsidR="00C77D14" w:rsidRPr="00183B5F" w:rsidRDefault="00943743" w:rsidP="00C77D14">
      <w:pPr>
        <w:keepNext/>
        <w:spacing w:line="240" w:lineRule="auto"/>
        <w:rPr>
          <w:del w:id="7596" w:author="AbbVie_HU_03" w:date="2025-05-14T15:27:00Z"/>
          <w:i/>
          <w:szCs w:val="22"/>
          <w:u w:val="single"/>
        </w:rPr>
      </w:pPr>
      <w:del w:id="7597" w:author="AbbVie_HU_03" w:date="2025-05-14T15:27:00Z">
        <w:r w:rsidRPr="00183B5F">
          <w:rPr>
            <w:i/>
            <w:szCs w:val="22"/>
            <w:u w:val="single"/>
          </w:rPr>
          <w:delText>Enthesitis-asszociált arthritis</w:delText>
        </w:r>
      </w:del>
    </w:p>
    <w:p w14:paraId="245AF179" w14:textId="23F23976" w:rsidR="00C77D14" w:rsidRPr="00183B5F" w:rsidRDefault="00C77D14" w:rsidP="00C77D14">
      <w:pPr>
        <w:keepNext/>
        <w:spacing w:line="240" w:lineRule="auto"/>
        <w:rPr>
          <w:del w:id="7598" w:author="AbbVie_HU_03" w:date="2025-05-14T15:27:00Z"/>
          <w:szCs w:val="22"/>
          <w:u w:val="single"/>
        </w:rPr>
      </w:pPr>
    </w:p>
    <w:p w14:paraId="4FEE6E93" w14:textId="1C292A5B" w:rsidR="00C77D14" w:rsidRPr="00183B5F" w:rsidRDefault="00943743" w:rsidP="00C77D14">
      <w:pPr>
        <w:pStyle w:val="EMEANormal"/>
        <w:keepNext/>
        <w:rPr>
          <w:del w:id="7599" w:author="AbbVie_HU_03" w:date="2025-05-14T15:27:00Z"/>
          <w:szCs w:val="22"/>
          <w:lang w:val="hu-HU"/>
        </w:rPr>
      </w:pPr>
      <w:del w:id="7600" w:author="AbbVie_HU_03" w:date="2025-05-14T15:27:00Z">
        <w:r w:rsidRPr="00183B5F">
          <w:rPr>
            <w:lang w:val="hu-HU"/>
          </w:rPr>
          <w:delText xml:space="preserve">A Humira biztonságosságát és hatásosságát egy </w:delText>
        </w:r>
        <w:r w:rsidRPr="00183B5F">
          <w:rPr>
            <w:szCs w:val="22"/>
            <w:lang w:val="hu-HU"/>
          </w:rPr>
          <w:delText>multicentrikus, randomizált, kettős vak vizsgálatban értékelték, amelyet 46 olyan beteg bevonásával végeztek (életkoruk 6</w:delText>
        </w:r>
        <w:r w:rsidRPr="00183B5F">
          <w:rPr>
            <w:szCs w:val="22"/>
            <w:lang w:val="hu-HU"/>
          </w:rPr>
          <w:noBreakHyphen/>
          <w:delText>17 év), akik közepesen súlyos enthesitis-asszociált arthritisben szenvedtek. A betegek vagy 24 mg/testfelszín m</w:delText>
        </w:r>
        <w:r w:rsidRPr="00183B5F">
          <w:rPr>
            <w:szCs w:val="22"/>
            <w:vertAlign w:val="superscript"/>
            <w:lang w:val="hu-HU"/>
          </w:rPr>
          <w:delText>2</w:delText>
        </w:r>
        <w:r w:rsidRPr="00183B5F">
          <w:rPr>
            <w:szCs w:val="22"/>
            <w:lang w:val="hu-HU"/>
          </w:rPr>
          <w:delText>, kéthetente legfeljebb 40 mg Humira</w:delText>
        </w:r>
        <w:r w:rsidRPr="00183B5F">
          <w:rPr>
            <w:szCs w:val="22"/>
            <w:lang w:val="hu-HU"/>
          </w:rPr>
          <w:noBreakHyphen/>
          <w:delText>t vagy placebót kaptak 12 hétig. A kettős vak szakaszt egy nyílt szakasz követte, ami alatt a betegek 24 mg/testfelszín m</w:delText>
        </w:r>
        <w:r w:rsidRPr="00183B5F">
          <w:rPr>
            <w:szCs w:val="22"/>
            <w:vertAlign w:val="superscript"/>
            <w:lang w:val="hu-HU"/>
          </w:rPr>
          <w:delText>2</w:delText>
        </w:r>
        <w:r w:rsidRPr="00183B5F">
          <w:rPr>
            <w:szCs w:val="22"/>
            <w:lang w:val="hu-HU"/>
          </w:rPr>
          <w:delText>, kéthetente legfeljebb 40 mg subcutan Humira</w:delText>
        </w:r>
        <w:r w:rsidRPr="00183B5F">
          <w:rPr>
            <w:szCs w:val="22"/>
            <w:lang w:val="hu-HU"/>
          </w:rPr>
          <w:noBreakHyphen/>
          <w:delText>t kaptak további 192 hétig. Az elsődleges végpont a kiindulási értékek és</w:delText>
        </w:r>
        <w:r w:rsidRPr="00183B5F">
          <w:rPr>
            <w:szCs w:val="22"/>
            <w:lang w:val="hu-HU"/>
          </w:rPr>
          <w:delText xml:space="preserve"> a 12. heti értékek közötti százalékos változás volt az aktív arthritises ízületek számában (ahol a duzzanatot nem az ízületi deformitás okozza vagy olyan ízület, amelynek mozgása korlátozott és fájdalmas és/vagy duzzadt). Az elsődleges végpont teljesült, a Humira</w:delText>
        </w:r>
        <w:r w:rsidRPr="00183B5F">
          <w:rPr>
            <w:szCs w:val="22"/>
            <w:lang w:val="hu-HU"/>
          </w:rPr>
          <w:noBreakHyphen/>
          <w:delText xml:space="preserve">csoportban az átlagos százalékos változás (csökkenés) </w:delText>
        </w:r>
        <w:r w:rsidRPr="00183B5F">
          <w:rPr>
            <w:szCs w:val="22"/>
            <w:lang w:val="hu-HU"/>
          </w:rPr>
          <w:noBreakHyphen/>
          <w:delText xml:space="preserve">62,6% (medián százalékos változás -88,9%) volt, a placebocsoportban pedig </w:delText>
        </w:r>
        <w:r w:rsidRPr="00183B5F">
          <w:rPr>
            <w:szCs w:val="22"/>
            <w:lang w:val="hu-HU"/>
          </w:rPr>
          <w:noBreakHyphen/>
          <w:delText xml:space="preserve">11,6% (medián százalékos változás </w:delText>
        </w:r>
        <w:r w:rsidRPr="00183B5F">
          <w:rPr>
            <w:szCs w:val="22"/>
            <w:lang w:val="hu-HU"/>
          </w:rPr>
          <w:noBreakHyphen/>
          <w:delText>50,0%) volt. Az aktív arthritises ízületek számának javulása a Humira-csoportban a</w:delText>
        </w:r>
        <w:r w:rsidRPr="00183B5F">
          <w:rPr>
            <w:szCs w:val="22"/>
            <w:lang w:val="hu-HU"/>
          </w:rPr>
          <w:delText xml:space="preserve"> 31 betegből a vizsgálatban maradó 26</w:delText>
        </w:r>
        <w:r w:rsidRPr="00183B5F">
          <w:rPr>
            <w:szCs w:val="22"/>
            <w:lang w:val="hu-HU"/>
          </w:rPr>
          <w:noBreakHyphen/>
          <w:delText>nál (84%) megmaradt a nyílt szakaszban a 156. hétig</w:delText>
        </w:r>
        <w:r w:rsidRPr="00183B5F">
          <w:rPr>
            <w:color w:val="000000" w:themeColor="text1"/>
            <w:lang w:val="hu-HU"/>
          </w:rPr>
          <w:delText>.</w:delText>
        </w:r>
        <w:r w:rsidRPr="00183B5F">
          <w:rPr>
            <w:szCs w:val="22"/>
            <w:lang w:val="hu-HU"/>
          </w:rPr>
          <w:delText xml:space="preserve"> Bár statisztikailag nem szignifikáns, de a betegek többsége klinikai javulást mutatott a másodlagos végpontok tekintetében is, pl. az enthesitis által érintett részek számában, az érzékeny ízületek számában, a duzzadt ízületek számában, a pediátriai ACR 50 válaszban és a pediátriai ACR 70 válaszban.</w:delText>
        </w:r>
      </w:del>
    </w:p>
    <w:p w14:paraId="0914D00D" w14:textId="724AA977" w:rsidR="004F1339" w:rsidRPr="00183B5F" w:rsidRDefault="004F1339" w:rsidP="00C77D14">
      <w:pPr>
        <w:pStyle w:val="EMEANormal"/>
        <w:keepNext/>
        <w:rPr>
          <w:del w:id="7601" w:author="AbbVie_HU_03" w:date="2025-05-14T15:27:00Z"/>
          <w:szCs w:val="22"/>
          <w:lang w:val="hu-HU"/>
        </w:rPr>
      </w:pPr>
    </w:p>
    <w:p w14:paraId="7E7E439B" w14:textId="7A63F0BA" w:rsidR="004F1339" w:rsidRPr="00183B5F" w:rsidRDefault="00943743" w:rsidP="004F1339">
      <w:pPr>
        <w:pStyle w:val="EMEANormal"/>
        <w:rPr>
          <w:del w:id="7602" w:author="AbbVie_HU_03" w:date="2025-05-14T15:27:00Z"/>
          <w:i/>
          <w:szCs w:val="22"/>
          <w:lang w:val="hu-HU"/>
        </w:rPr>
      </w:pPr>
      <w:del w:id="7603" w:author="AbbVie_HU_03" w:date="2025-05-14T15:27:00Z">
        <w:r w:rsidRPr="00183B5F">
          <w:rPr>
            <w:i/>
            <w:szCs w:val="22"/>
            <w:lang w:val="hu-HU"/>
          </w:rPr>
          <w:delText>Gyermekkori plakkos psoriasis</w:delText>
        </w:r>
      </w:del>
    </w:p>
    <w:p w14:paraId="4CF49D0D" w14:textId="67170C19" w:rsidR="004F1339" w:rsidRPr="00183B5F" w:rsidRDefault="004F1339" w:rsidP="004F1339">
      <w:pPr>
        <w:pStyle w:val="EMEANormal"/>
        <w:rPr>
          <w:del w:id="7604" w:author="AbbVie_HU_03" w:date="2025-05-14T15:27:00Z"/>
          <w:szCs w:val="22"/>
          <w:lang w:val="hu-HU"/>
        </w:rPr>
      </w:pPr>
    </w:p>
    <w:p w14:paraId="5F39CC6B" w14:textId="3F16006A" w:rsidR="004F1339" w:rsidRPr="00183B5F" w:rsidRDefault="00943743" w:rsidP="004F1339">
      <w:pPr>
        <w:pStyle w:val="EMEANormal"/>
        <w:rPr>
          <w:del w:id="7605" w:author="AbbVie_HU_03" w:date="2025-05-14T15:27:00Z"/>
          <w:szCs w:val="22"/>
          <w:lang w:val="hu-HU"/>
        </w:rPr>
      </w:pPr>
      <w:del w:id="7606" w:author="AbbVie_HU_03" w:date="2025-05-14T15:27:00Z">
        <w:r w:rsidRPr="00183B5F">
          <w:rPr>
            <w:szCs w:val="22"/>
            <w:lang w:val="hu-HU"/>
          </w:rPr>
          <w:delText>A Humira hatásosságát egy randomizált, kettős vak, kontrollos vizsgálattal értékelték, amelyet 114 olyan, 4 évnél idősebb, súlyos krónikus plakkos psoriasisban szenvedő gyermek (az orvos által végzett globális értékelés [Physician’s Global Assessment, PGA] szerint ≥ 4, vagy &gt; 20%-os testfelületi érintettség, vagy &gt; 10%-os testfelületi érintettség nagyon vastag elváltozásokkal, vagy psoriasisos terület és súlyossági index (</w:delText>
        </w:r>
        <w:r w:rsidRPr="00183B5F">
          <w:rPr>
            <w:lang w:val="hu-HU"/>
          </w:rPr>
          <w:delText xml:space="preserve">Psoriasis Area and Severity Index, </w:delText>
        </w:r>
        <w:r w:rsidRPr="00183B5F">
          <w:rPr>
            <w:szCs w:val="22"/>
            <w:lang w:val="hu-HU"/>
          </w:rPr>
          <w:delText>PASI) ≥ 20, vagy PASI ≥ 10 klinikailag jelentős arc-, genitális vagy kézfej/lábfej-érintettséggel) bevonásával végeztek, akiknél a helyi kezelés és fényterápia vagy a fototerápia hatástalan volt.</w:delText>
        </w:r>
      </w:del>
    </w:p>
    <w:p w14:paraId="476416C3" w14:textId="4A1AAB6A" w:rsidR="004F1339" w:rsidRPr="00183B5F" w:rsidRDefault="004F1339" w:rsidP="004F1339">
      <w:pPr>
        <w:pStyle w:val="EMEANormal"/>
        <w:rPr>
          <w:del w:id="7607" w:author="AbbVie_HU_03" w:date="2025-05-14T15:27:00Z"/>
          <w:szCs w:val="22"/>
          <w:lang w:val="hu-HU"/>
        </w:rPr>
      </w:pPr>
    </w:p>
    <w:p w14:paraId="65CA1446" w14:textId="2BD4A397" w:rsidR="004F1339" w:rsidRPr="00183B5F" w:rsidRDefault="00943743" w:rsidP="004F1339">
      <w:pPr>
        <w:pStyle w:val="EMEANormal"/>
        <w:rPr>
          <w:del w:id="7608" w:author="AbbVie_HU_03" w:date="2025-05-14T15:27:00Z"/>
          <w:szCs w:val="22"/>
          <w:lang w:val="hu-HU"/>
        </w:rPr>
      </w:pPr>
      <w:del w:id="7609" w:author="AbbVie_HU_03" w:date="2025-05-14T15:27:00Z">
        <w:r w:rsidRPr="00183B5F">
          <w:rPr>
            <w:szCs w:val="22"/>
            <w:lang w:val="hu-HU"/>
          </w:rPr>
          <w:delText>A betegek 0,8 mg/ttkg (legfeljebb 40 mg), 40 mg/ttkg (legfeljebb 20 mg) Humira</w:delText>
        </w:r>
        <w:r w:rsidRPr="00183B5F">
          <w:rPr>
            <w:szCs w:val="22"/>
            <w:lang w:val="hu-HU"/>
          </w:rPr>
          <w:noBreakHyphen/>
          <w:delText>t kaptak kéthetente vagy 0,1</w:delText>
        </w:r>
        <w:r w:rsidRPr="00183B5F">
          <w:rPr>
            <w:szCs w:val="22"/>
            <w:lang w:val="hu-HU"/>
          </w:rPr>
          <w:noBreakHyphen/>
          <w:delText>0,4 mg/ttkg (legfeljebb 25 mg) metotrexátot hetente. Tizenhat hetes kezelés után több, 0,8 mg/ttkg Humira</w:delText>
        </w:r>
        <w:r w:rsidRPr="00183B5F">
          <w:rPr>
            <w:szCs w:val="22"/>
            <w:lang w:val="hu-HU"/>
          </w:rPr>
          <w:noBreakHyphen/>
          <w:delText>ra randomizált beteg mutatott pozitív hatásossági választ (pl. PASI 75), mint a kéthetente 0,4 mg/ttkg Humira</w:delText>
        </w:r>
        <w:r w:rsidRPr="00183B5F">
          <w:rPr>
            <w:szCs w:val="22"/>
            <w:lang w:val="hu-HU"/>
          </w:rPr>
          <w:noBreakHyphen/>
          <w:delText>val vagy metotrexáttal kezelt betegek.</w:delText>
        </w:r>
      </w:del>
    </w:p>
    <w:p w14:paraId="1478AEAE" w14:textId="1794A0D7" w:rsidR="004F1339" w:rsidRPr="00183B5F" w:rsidRDefault="004F1339" w:rsidP="004F1339">
      <w:pPr>
        <w:pStyle w:val="EMEANormal"/>
        <w:rPr>
          <w:del w:id="7610" w:author="AbbVie_HU_03" w:date="2025-05-14T15:27:00Z"/>
          <w:szCs w:val="22"/>
          <w:lang w:val="hu-HU"/>
        </w:rPr>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464"/>
        <w:gridCol w:w="1554"/>
        <w:gridCol w:w="3070"/>
      </w:tblGrid>
      <w:tr w:rsidR="00011D2F" w14:paraId="151DB99A" w14:textId="013211A0" w:rsidTr="004F1339">
        <w:trPr>
          <w:jc w:val="center"/>
          <w:del w:id="7611" w:author="AbbVie_HU_03" w:date="2025-05-14T15:27:00Z"/>
        </w:trPr>
        <w:tc>
          <w:tcPr>
            <w:tcW w:w="5000" w:type="pct"/>
            <w:gridSpan w:val="3"/>
            <w:tcBorders>
              <w:top w:val="nil"/>
              <w:left w:val="nil"/>
              <w:bottom w:val="nil"/>
              <w:right w:val="nil"/>
            </w:tcBorders>
            <w:vAlign w:val="center"/>
          </w:tcPr>
          <w:p w14:paraId="74D1F63D" w14:textId="3B9E60D8" w:rsidR="004F1339" w:rsidRPr="00183B5F" w:rsidRDefault="00943743" w:rsidP="004F1339">
            <w:pPr>
              <w:keepNext/>
              <w:autoSpaceDE w:val="0"/>
              <w:autoSpaceDN w:val="0"/>
              <w:adjustRightInd w:val="0"/>
              <w:spacing w:line="240" w:lineRule="auto"/>
              <w:jc w:val="center"/>
              <w:rPr>
                <w:del w:id="7612" w:author="AbbVie_HU_03" w:date="2025-05-14T15:27:00Z"/>
                <w:b/>
                <w:bCs/>
                <w:szCs w:val="22"/>
              </w:rPr>
            </w:pPr>
            <w:del w:id="7613" w:author="AbbVie_HU_03" w:date="2025-05-14T15:27:00Z">
              <w:r w:rsidRPr="00183B5F">
                <w:rPr>
                  <w:rStyle w:val="gtcbold9"/>
                  <w:bCs w:val="0"/>
                  <w:szCs w:val="22"/>
                </w:rPr>
                <w:delText>2</w:delText>
              </w:r>
              <w:r w:rsidR="004B7A7F" w:rsidRPr="00183B5F">
                <w:rPr>
                  <w:rStyle w:val="gtcbold9"/>
                  <w:bCs w:val="0"/>
                  <w:szCs w:val="22"/>
                </w:rPr>
                <w:delText>7</w:delText>
              </w:r>
              <w:r w:rsidRPr="00183B5F">
                <w:rPr>
                  <w:rStyle w:val="gtcbold9"/>
                  <w:bCs w:val="0"/>
                  <w:szCs w:val="22"/>
                </w:rPr>
                <w:delText xml:space="preserve">. táblázat: </w:delText>
              </w:r>
              <w:r w:rsidRPr="00183B5F">
                <w:rPr>
                  <w:b/>
                  <w:bCs/>
                  <w:szCs w:val="22"/>
                </w:rPr>
                <w:delText>Gyermekkori plakkos psoriasis</w:delText>
              </w:r>
            </w:del>
          </w:p>
          <w:p w14:paraId="35E088BB" w14:textId="0E31B350" w:rsidR="004F1339" w:rsidRPr="00183B5F" w:rsidRDefault="00943743" w:rsidP="004F1339">
            <w:pPr>
              <w:keepNext/>
              <w:autoSpaceDE w:val="0"/>
              <w:autoSpaceDN w:val="0"/>
              <w:adjustRightInd w:val="0"/>
              <w:spacing w:line="240" w:lineRule="auto"/>
              <w:jc w:val="center"/>
              <w:rPr>
                <w:del w:id="7614" w:author="AbbVie_HU_03" w:date="2025-05-14T15:27:00Z"/>
                <w:b/>
                <w:bCs/>
                <w:szCs w:val="22"/>
              </w:rPr>
            </w:pPr>
            <w:del w:id="7615" w:author="AbbVie_HU_03" w:date="2025-05-14T15:27:00Z">
              <w:r w:rsidRPr="00183B5F">
                <w:rPr>
                  <w:b/>
                  <w:bCs/>
                  <w:szCs w:val="22"/>
                </w:rPr>
                <w:delText>Hatásossági eredmények a 16. héten</w:delText>
              </w:r>
            </w:del>
          </w:p>
          <w:p w14:paraId="01EA5078" w14:textId="23B8BCDC" w:rsidR="004F1339" w:rsidRPr="00183B5F" w:rsidRDefault="004F1339" w:rsidP="004F1339">
            <w:pPr>
              <w:keepNext/>
              <w:spacing w:line="240" w:lineRule="auto"/>
              <w:jc w:val="center"/>
              <w:rPr>
                <w:del w:id="7616" w:author="AbbVie_HU_03" w:date="2025-05-14T15:27:00Z"/>
                <w:b/>
                <w:szCs w:val="22"/>
              </w:rPr>
            </w:pPr>
          </w:p>
        </w:tc>
      </w:tr>
      <w:tr w:rsidR="00011D2F" w14:paraId="01CE2AC0" w14:textId="060E1431" w:rsidTr="004F1339">
        <w:trPr>
          <w:jc w:val="center"/>
          <w:del w:id="7617" w:author="AbbVie_HU_03" w:date="2025-05-14T15:27:00Z"/>
        </w:trPr>
        <w:tc>
          <w:tcPr>
            <w:tcW w:w="0" w:type="auto"/>
            <w:tcBorders>
              <w:top w:val="single" w:sz="6" w:space="0" w:color="000000"/>
              <w:left w:val="single" w:sz="6" w:space="0" w:color="000000"/>
              <w:bottom w:val="outset" w:sz="6" w:space="0" w:color="auto"/>
              <w:right w:val="outset" w:sz="6" w:space="0" w:color="auto"/>
            </w:tcBorders>
            <w:vAlign w:val="center"/>
          </w:tcPr>
          <w:p w14:paraId="306610A8" w14:textId="78DAE876" w:rsidR="004F1339" w:rsidRPr="00183B5F" w:rsidRDefault="004F1339" w:rsidP="004F1339">
            <w:pPr>
              <w:keepNext/>
              <w:spacing w:line="240" w:lineRule="auto"/>
              <w:rPr>
                <w:del w:id="7618" w:author="AbbVie_HU_03" w:date="2025-05-14T15:27:00Z"/>
                <w:szCs w:val="22"/>
              </w:rPr>
            </w:pPr>
          </w:p>
        </w:tc>
        <w:tc>
          <w:tcPr>
            <w:tcW w:w="0" w:type="auto"/>
            <w:tcBorders>
              <w:top w:val="single" w:sz="6" w:space="0" w:color="000000"/>
              <w:left w:val="single" w:sz="6" w:space="0" w:color="000000"/>
              <w:bottom w:val="outset" w:sz="6" w:space="0" w:color="auto"/>
              <w:right w:val="outset" w:sz="6" w:space="0" w:color="auto"/>
            </w:tcBorders>
            <w:vAlign w:val="center"/>
          </w:tcPr>
          <w:p w14:paraId="5699C0FD" w14:textId="7812883D" w:rsidR="004F1339" w:rsidRPr="00183B5F" w:rsidRDefault="00943743" w:rsidP="004F1339">
            <w:pPr>
              <w:keepNext/>
              <w:spacing w:line="240" w:lineRule="auto"/>
              <w:jc w:val="center"/>
              <w:rPr>
                <w:del w:id="7619" w:author="AbbVie_HU_03" w:date="2025-05-14T15:27:00Z"/>
                <w:szCs w:val="22"/>
              </w:rPr>
            </w:pPr>
            <w:del w:id="7620" w:author="AbbVie_HU_03" w:date="2025-05-14T15:27:00Z">
              <w:r w:rsidRPr="00183B5F">
                <w:rPr>
                  <w:szCs w:val="22"/>
                </w:rPr>
                <w:delText>MTX</w:delText>
              </w:r>
              <w:r w:rsidRPr="00183B5F">
                <w:rPr>
                  <w:szCs w:val="22"/>
                  <w:vertAlign w:val="superscript"/>
                </w:rPr>
                <w:delText>a</w:delText>
              </w:r>
              <w:r w:rsidRPr="00183B5F">
                <w:rPr>
                  <w:szCs w:val="22"/>
                </w:rPr>
                <w:br/>
                <w:delText xml:space="preserve">N = 37 </w:delText>
              </w:r>
            </w:del>
          </w:p>
        </w:tc>
        <w:tc>
          <w:tcPr>
            <w:tcW w:w="1898" w:type="pct"/>
            <w:tcBorders>
              <w:top w:val="single" w:sz="6" w:space="0" w:color="000000"/>
              <w:left w:val="single" w:sz="6" w:space="0" w:color="000000"/>
              <w:bottom w:val="outset" w:sz="6" w:space="0" w:color="auto"/>
              <w:right w:val="single" w:sz="6" w:space="0" w:color="000000"/>
            </w:tcBorders>
            <w:vAlign w:val="center"/>
          </w:tcPr>
          <w:p w14:paraId="638DA072" w14:textId="296F9227" w:rsidR="004F1339" w:rsidRPr="00183B5F" w:rsidRDefault="00943743" w:rsidP="004F1339">
            <w:pPr>
              <w:keepNext/>
              <w:spacing w:line="240" w:lineRule="auto"/>
              <w:jc w:val="center"/>
              <w:rPr>
                <w:del w:id="7621" w:author="AbbVie_HU_03" w:date="2025-05-14T15:27:00Z"/>
              </w:rPr>
            </w:pPr>
            <w:del w:id="7622" w:author="AbbVie_HU_03" w:date="2025-05-14T15:27:00Z">
              <w:r w:rsidRPr="00183B5F">
                <w:delText xml:space="preserve">Humira 0,8 mg/ttkg </w:delText>
              </w:r>
            </w:del>
          </w:p>
          <w:p w14:paraId="4B511CE4" w14:textId="0B097D06" w:rsidR="004F1339" w:rsidRPr="00183B5F" w:rsidRDefault="00943743" w:rsidP="004F1339">
            <w:pPr>
              <w:keepNext/>
              <w:spacing w:line="240" w:lineRule="auto"/>
              <w:jc w:val="center"/>
              <w:rPr>
                <w:del w:id="7623" w:author="AbbVie_HU_03" w:date="2025-05-14T15:27:00Z"/>
              </w:rPr>
            </w:pPr>
            <w:del w:id="7624" w:author="AbbVie_HU_03" w:date="2025-05-14T15:27:00Z">
              <w:r w:rsidRPr="00183B5F">
                <w:delText>kéthetente</w:delText>
              </w:r>
              <w:r w:rsidRPr="00183B5F">
                <w:br/>
                <w:delText xml:space="preserve">N = 38 </w:delText>
              </w:r>
            </w:del>
          </w:p>
        </w:tc>
      </w:tr>
      <w:tr w:rsidR="00011D2F" w14:paraId="79EED972" w14:textId="5617A522" w:rsidTr="004F1339">
        <w:trPr>
          <w:jc w:val="center"/>
          <w:del w:id="7625" w:author="AbbVie_HU_03" w:date="2025-05-14T15:27:00Z"/>
        </w:trPr>
        <w:tc>
          <w:tcPr>
            <w:tcW w:w="0" w:type="auto"/>
            <w:tcBorders>
              <w:top w:val="single" w:sz="6" w:space="0" w:color="000000"/>
              <w:left w:val="single" w:sz="6" w:space="0" w:color="000000"/>
              <w:bottom w:val="outset" w:sz="6" w:space="0" w:color="auto"/>
              <w:right w:val="outset" w:sz="6" w:space="0" w:color="auto"/>
            </w:tcBorders>
            <w:vAlign w:val="center"/>
          </w:tcPr>
          <w:p w14:paraId="5D4ACC02" w14:textId="2CDAEE5A" w:rsidR="004F1339" w:rsidRPr="00183B5F" w:rsidRDefault="00943743" w:rsidP="004F1339">
            <w:pPr>
              <w:keepNext/>
              <w:spacing w:line="240" w:lineRule="auto"/>
              <w:rPr>
                <w:del w:id="7626" w:author="AbbVie_HU_03" w:date="2025-05-14T15:27:00Z"/>
                <w:szCs w:val="22"/>
              </w:rPr>
            </w:pPr>
            <w:del w:id="7627" w:author="AbbVie_HU_03" w:date="2025-05-14T15:27:00Z">
              <w:r w:rsidRPr="00183B5F">
                <w:rPr>
                  <w:szCs w:val="22"/>
                </w:rPr>
                <w:delText> </w:delText>
              </w:r>
              <w:r w:rsidRPr="00183B5F">
                <w:rPr>
                  <w:szCs w:val="22"/>
                </w:rPr>
                <w:delText>PASI 75</w:delText>
              </w:r>
              <w:r w:rsidRPr="00183B5F">
                <w:rPr>
                  <w:szCs w:val="22"/>
                  <w:vertAlign w:val="superscript"/>
                </w:rPr>
                <w:delText>b</w:delText>
              </w:r>
            </w:del>
          </w:p>
        </w:tc>
        <w:tc>
          <w:tcPr>
            <w:tcW w:w="0" w:type="auto"/>
            <w:tcBorders>
              <w:top w:val="single" w:sz="6" w:space="0" w:color="000000"/>
              <w:left w:val="single" w:sz="6" w:space="0" w:color="000000"/>
              <w:bottom w:val="outset" w:sz="6" w:space="0" w:color="auto"/>
              <w:right w:val="outset" w:sz="6" w:space="0" w:color="auto"/>
            </w:tcBorders>
            <w:vAlign w:val="center"/>
          </w:tcPr>
          <w:p w14:paraId="198154C7" w14:textId="44292272" w:rsidR="004F1339" w:rsidRPr="00183B5F" w:rsidRDefault="00943743" w:rsidP="004F1339">
            <w:pPr>
              <w:keepNext/>
              <w:spacing w:line="240" w:lineRule="auto"/>
              <w:jc w:val="center"/>
              <w:rPr>
                <w:del w:id="7628" w:author="AbbVie_HU_03" w:date="2025-05-14T15:27:00Z"/>
                <w:szCs w:val="22"/>
              </w:rPr>
            </w:pPr>
            <w:del w:id="7629" w:author="AbbVie_HU_03" w:date="2025-05-14T15:27:00Z">
              <w:r w:rsidRPr="00183B5F">
                <w:rPr>
                  <w:szCs w:val="22"/>
                </w:rPr>
                <w:delText>12 (32,4%)</w:delText>
              </w:r>
            </w:del>
          </w:p>
        </w:tc>
        <w:tc>
          <w:tcPr>
            <w:tcW w:w="1898" w:type="pct"/>
            <w:tcBorders>
              <w:top w:val="single" w:sz="6" w:space="0" w:color="000000"/>
              <w:left w:val="single" w:sz="6" w:space="0" w:color="000000"/>
              <w:bottom w:val="outset" w:sz="6" w:space="0" w:color="auto"/>
              <w:right w:val="single" w:sz="6" w:space="0" w:color="000000"/>
            </w:tcBorders>
            <w:vAlign w:val="center"/>
          </w:tcPr>
          <w:p w14:paraId="119E1DED" w14:textId="28F83BB7" w:rsidR="004F1339" w:rsidRPr="00183B5F" w:rsidRDefault="00943743" w:rsidP="004F1339">
            <w:pPr>
              <w:keepNext/>
              <w:spacing w:line="240" w:lineRule="auto"/>
              <w:jc w:val="center"/>
              <w:rPr>
                <w:del w:id="7630" w:author="AbbVie_HU_03" w:date="2025-05-14T15:27:00Z"/>
                <w:szCs w:val="22"/>
              </w:rPr>
            </w:pPr>
            <w:del w:id="7631" w:author="AbbVie_HU_03" w:date="2025-05-14T15:27:00Z">
              <w:r w:rsidRPr="00183B5F">
                <w:rPr>
                  <w:szCs w:val="22"/>
                </w:rPr>
                <w:delText>22 (57,9%)</w:delText>
              </w:r>
            </w:del>
          </w:p>
        </w:tc>
      </w:tr>
      <w:tr w:rsidR="00011D2F" w14:paraId="54BECDFF" w14:textId="023270EC" w:rsidTr="004F1339">
        <w:trPr>
          <w:jc w:val="center"/>
          <w:del w:id="7632" w:author="AbbVie_HU_03" w:date="2025-05-14T15:27:00Z"/>
        </w:trPr>
        <w:tc>
          <w:tcPr>
            <w:tcW w:w="0" w:type="auto"/>
            <w:tcBorders>
              <w:top w:val="single" w:sz="6" w:space="0" w:color="000000"/>
              <w:left w:val="single" w:sz="6" w:space="0" w:color="000000"/>
              <w:bottom w:val="single" w:sz="6" w:space="0" w:color="000000"/>
              <w:right w:val="outset" w:sz="6" w:space="0" w:color="auto"/>
            </w:tcBorders>
            <w:vAlign w:val="center"/>
          </w:tcPr>
          <w:p w14:paraId="5B18EE23" w14:textId="5F2D9CF0" w:rsidR="004F1339" w:rsidRPr="00183B5F" w:rsidRDefault="00943743" w:rsidP="004F1339">
            <w:pPr>
              <w:keepNext/>
              <w:spacing w:line="240" w:lineRule="auto"/>
              <w:rPr>
                <w:del w:id="7633" w:author="AbbVie_HU_03" w:date="2025-05-14T15:27:00Z"/>
                <w:szCs w:val="22"/>
              </w:rPr>
            </w:pPr>
            <w:del w:id="7634" w:author="AbbVie_HU_03" w:date="2025-05-14T15:27:00Z">
              <w:r w:rsidRPr="00183B5F">
                <w:rPr>
                  <w:szCs w:val="22"/>
                </w:rPr>
                <w:delText> </w:delText>
              </w:r>
              <w:r w:rsidRPr="00183B5F">
                <w:rPr>
                  <w:szCs w:val="22"/>
                </w:rPr>
                <w:delText>PGA: tiszta/minimális</w:delText>
              </w:r>
              <w:r w:rsidRPr="00183B5F">
                <w:rPr>
                  <w:szCs w:val="22"/>
                  <w:vertAlign w:val="superscript"/>
                </w:rPr>
                <w:delText>c</w:delText>
              </w:r>
            </w:del>
          </w:p>
        </w:tc>
        <w:tc>
          <w:tcPr>
            <w:tcW w:w="0" w:type="auto"/>
            <w:tcBorders>
              <w:top w:val="single" w:sz="6" w:space="0" w:color="000000"/>
              <w:left w:val="single" w:sz="6" w:space="0" w:color="000000"/>
              <w:bottom w:val="single" w:sz="6" w:space="0" w:color="000000"/>
              <w:right w:val="outset" w:sz="6" w:space="0" w:color="auto"/>
            </w:tcBorders>
            <w:vAlign w:val="center"/>
          </w:tcPr>
          <w:p w14:paraId="66749B24" w14:textId="098E3BE5" w:rsidR="004F1339" w:rsidRPr="00183B5F" w:rsidRDefault="00943743" w:rsidP="004F1339">
            <w:pPr>
              <w:keepNext/>
              <w:spacing w:line="240" w:lineRule="auto"/>
              <w:jc w:val="center"/>
              <w:rPr>
                <w:del w:id="7635" w:author="AbbVie_HU_03" w:date="2025-05-14T15:27:00Z"/>
                <w:szCs w:val="22"/>
              </w:rPr>
            </w:pPr>
            <w:del w:id="7636" w:author="AbbVie_HU_03" w:date="2025-05-14T15:27:00Z">
              <w:r w:rsidRPr="00183B5F">
                <w:rPr>
                  <w:szCs w:val="22"/>
                </w:rPr>
                <w:delText>15 (40,5%)</w:delText>
              </w:r>
            </w:del>
          </w:p>
        </w:tc>
        <w:tc>
          <w:tcPr>
            <w:tcW w:w="1898" w:type="pct"/>
            <w:tcBorders>
              <w:top w:val="single" w:sz="6" w:space="0" w:color="000000"/>
              <w:left w:val="single" w:sz="6" w:space="0" w:color="000000"/>
              <w:bottom w:val="single" w:sz="6" w:space="0" w:color="000000"/>
              <w:right w:val="single" w:sz="6" w:space="0" w:color="000000"/>
            </w:tcBorders>
            <w:vAlign w:val="center"/>
          </w:tcPr>
          <w:p w14:paraId="22709988" w14:textId="7D13F888" w:rsidR="004F1339" w:rsidRPr="00183B5F" w:rsidRDefault="00943743" w:rsidP="004F1339">
            <w:pPr>
              <w:keepNext/>
              <w:spacing w:line="240" w:lineRule="auto"/>
              <w:jc w:val="center"/>
              <w:rPr>
                <w:del w:id="7637" w:author="AbbVie_HU_03" w:date="2025-05-14T15:27:00Z"/>
                <w:szCs w:val="22"/>
              </w:rPr>
            </w:pPr>
            <w:del w:id="7638" w:author="AbbVie_HU_03" w:date="2025-05-14T15:27:00Z">
              <w:r w:rsidRPr="00183B5F">
                <w:rPr>
                  <w:szCs w:val="22"/>
                </w:rPr>
                <w:delText>23 (60,5%)</w:delText>
              </w:r>
            </w:del>
          </w:p>
        </w:tc>
      </w:tr>
      <w:tr w:rsidR="00011D2F" w14:paraId="5E6C6E36" w14:textId="49CA16FA" w:rsidTr="004F1339">
        <w:trPr>
          <w:jc w:val="center"/>
          <w:del w:id="7639" w:author="AbbVie_HU_03" w:date="2025-05-14T15:27:00Z"/>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36F19670" w14:textId="4B71A505" w:rsidR="004F1339" w:rsidRPr="00183B5F" w:rsidRDefault="00943743" w:rsidP="004F1339">
            <w:pPr>
              <w:keepNext/>
              <w:spacing w:line="240" w:lineRule="auto"/>
              <w:rPr>
                <w:del w:id="7640" w:author="AbbVie_HU_03" w:date="2025-05-14T15:27:00Z"/>
              </w:rPr>
            </w:pPr>
            <w:del w:id="7641" w:author="AbbVie_HU_03" w:date="2025-05-14T15:27:00Z">
              <w:r w:rsidRPr="00183B5F">
                <w:rPr>
                  <w:vertAlign w:val="superscript"/>
                </w:rPr>
                <w:delText xml:space="preserve">a </w:delText>
              </w:r>
              <w:r w:rsidRPr="00183B5F">
                <w:delText>MTX = metotrexát</w:delText>
              </w:r>
            </w:del>
          </w:p>
          <w:p w14:paraId="6D25289E" w14:textId="5B1F07B8" w:rsidR="004F1339" w:rsidRPr="00183B5F" w:rsidRDefault="00943743" w:rsidP="004F1339">
            <w:pPr>
              <w:keepNext/>
              <w:spacing w:line="240" w:lineRule="auto"/>
              <w:rPr>
                <w:del w:id="7642" w:author="AbbVie_HU_03" w:date="2025-05-14T15:27:00Z"/>
              </w:rPr>
            </w:pPr>
            <w:del w:id="7643" w:author="AbbVie_HU_03" w:date="2025-05-14T15:27:00Z">
              <w:r w:rsidRPr="00183B5F">
                <w:rPr>
                  <w:vertAlign w:val="superscript"/>
                </w:rPr>
                <w:delText>b</w:delText>
              </w:r>
              <w:r w:rsidRPr="00183B5F">
                <w:delText xml:space="preserve"> P = 0,027, Humira 0,8 mg/ttkg vs. MTX</w:delText>
              </w:r>
            </w:del>
          </w:p>
          <w:p w14:paraId="45941EBF" w14:textId="565303EA" w:rsidR="004F1339" w:rsidRPr="00183B5F" w:rsidRDefault="00943743" w:rsidP="004F1339">
            <w:pPr>
              <w:keepNext/>
              <w:spacing w:line="240" w:lineRule="auto"/>
              <w:rPr>
                <w:del w:id="7644" w:author="AbbVie_HU_03" w:date="2025-05-14T15:27:00Z"/>
              </w:rPr>
            </w:pPr>
            <w:del w:id="7645" w:author="AbbVie_HU_03" w:date="2025-05-14T15:27:00Z">
              <w:r w:rsidRPr="00183B5F">
                <w:rPr>
                  <w:vertAlign w:val="superscript"/>
                </w:rPr>
                <w:delText>c</w:delText>
              </w:r>
              <w:r w:rsidRPr="00183B5F">
                <w:delText xml:space="preserve"> P = 0,083, Humira 0,8 mg/ttkg vs. MTX</w:delText>
              </w:r>
            </w:del>
          </w:p>
        </w:tc>
      </w:tr>
    </w:tbl>
    <w:p w14:paraId="00CCEBE2" w14:textId="68E04F08" w:rsidR="004F1339" w:rsidRPr="00183B5F" w:rsidRDefault="004F1339" w:rsidP="004F1339">
      <w:pPr>
        <w:pStyle w:val="EMEANormal"/>
        <w:rPr>
          <w:del w:id="7646" w:author="AbbVie_HU_03" w:date="2025-05-14T15:27:00Z"/>
          <w:szCs w:val="22"/>
          <w:lang w:val="hu-HU"/>
        </w:rPr>
      </w:pPr>
    </w:p>
    <w:p w14:paraId="5081DD8B" w14:textId="21DEC8FB" w:rsidR="004F1339" w:rsidRPr="00183B5F" w:rsidRDefault="00943743" w:rsidP="004F1339">
      <w:pPr>
        <w:pStyle w:val="EMEANormal"/>
        <w:rPr>
          <w:del w:id="7647" w:author="AbbVie_HU_03" w:date="2025-05-14T15:27:00Z"/>
          <w:szCs w:val="22"/>
          <w:lang w:val="hu-HU"/>
        </w:rPr>
      </w:pPr>
      <w:del w:id="7648" w:author="AbbVie_HU_03" w:date="2025-05-14T15:27:00Z">
        <w:r w:rsidRPr="00183B5F">
          <w:rPr>
            <w:szCs w:val="22"/>
            <w:lang w:val="hu-HU"/>
          </w:rPr>
          <w:delText>Azoknál a betegeknél, akik elérték a PASI 75 és a PGA szerinti tiszta vagy minimális értéket, felfüggesztették a kezelést legfeljebb 36 hétre, és az állapotuk romlását monitorozták (pl. a PGA-érték rosszabbodását legalább 2 értékkel). Majd további 16 héten át a betegeket kéthetente 0,8 mg/ttkg adalimumabbal kezelték, és az ez alatt megfigyelt válaszértékek hasonlóak voltak az előzőleg végzett kettős vak vizsgálathoz: 78,9%</w:delText>
        </w:r>
        <w:r w:rsidRPr="00183B5F">
          <w:rPr>
            <w:szCs w:val="22"/>
            <w:lang w:val="hu-HU"/>
          </w:rPr>
          <w:noBreakHyphen/>
          <w:delText>nál alakult ki PASI 75 válasz (19 betegből 15) és 52,6%</w:delText>
        </w:r>
        <w:r w:rsidRPr="00183B5F">
          <w:rPr>
            <w:szCs w:val="22"/>
            <w:lang w:val="hu-HU"/>
          </w:rPr>
          <w:noBreakHyphen/>
          <w:delText>nál alakult ki PGA szerinti tiszta vagy minimális (19 betegből 10) válasz.</w:delText>
        </w:r>
      </w:del>
    </w:p>
    <w:p w14:paraId="211D104A" w14:textId="7AD0F91B" w:rsidR="004F1339" w:rsidRPr="00183B5F" w:rsidRDefault="004F1339" w:rsidP="004F1339">
      <w:pPr>
        <w:pStyle w:val="EMEANormal"/>
        <w:rPr>
          <w:del w:id="7649" w:author="AbbVie_HU_03" w:date="2025-05-14T15:27:00Z"/>
          <w:szCs w:val="22"/>
          <w:lang w:val="hu-HU"/>
        </w:rPr>
      </w:pPr>
    </w:p>
    <w:p w14:paraId="7306B04F" w14:textId="743A09E8" w:rsidR="004F1339" w:rsidRPr="00183B5F" w:rsidRDefault="00943743" w:rsidP="004F1339">
      <w:pPr>
        <w:pStyle w:val="EMEANormal"/>
        <w:rPr>
          <w:del w:id="7650" w:author="AbbVie_HU_03" w:date="2025-05-14T15:27:00Z"/>
          <w:szCs w:val="22"/>
          <w:lang w:val="hu-HU"/>
        </w:rPr>
      </w:pPr>
      <w:del w:id="7651" w:author="AbbVie_HU_03" w:date="2025-05-14T15:27:00Z">
        <w:r w:rsidRPr="00183B5F">
          <w:rPr>
            <w:szCs w:val="22"/>
            <w:lang w:val="hu-HU"/>
          </w:rPr>
          <w:delText>A vizsgálat nyílt szakaszában, a PASI 75 és PGA szerinti tiszta vagy minimális érték legfeljebb további 52 hétig fennmaradt új biztonsági esemény nélkül.</w:delText>
        </w:r>
      </w:del>
    </w:p>
    <w:p w14:paraId="62A6C733" w14:textId="719B001D" w:rsidR="004F1339" w:rsidRPr="00183B5F" w:rsidRDefault="004F1339" w:rsidP="004F1339">
      <w:pPr>
        <w:pStyle w:val="EMEANormal"/>
        <w:rPr>
          <w:del w:id="7652" w:author="AbbVie_HU_03" w:date="2025-05-14T15:27:00Z"/>
          <w:i/>
          <w:szCs w:val="22"/>
          <w:lang w:val="hu-HU"/>
        </w:rPr>
      </w:pPr>
    </w:p>
    <w:p w14:paraId="3334DD26" w14:textId="25B796B8" w:rsidR="004F1339" w:rsidRPr="00183B5F" w:rsidRDefault="00943743" w:rsidP="004F1339">
      <w:pPr>
        <w:pStyle w:val="EMEANormal"/>
        <w:rPr>
          <w:del w:id="7653" w:author="AbbVie_HU_03" w:date="2025-05-14T15:27:00Z"/>
          <w:i/>
          <w:szCs w:val="22"/>
          <w:lang w:val="hu-HU"/>
        </w:rPr>
      </w:pPr>
      <w:del w:id="7654" w:author="AbbVie_HU_03" w:date="2025-05-14T15:27:00Z">
        <w:r w:rsidRPr="00183B5F">
          <w:rPr>
            <w:i/>
            <w:szCs w:val="22"/>
            <w:lang w:val="hu-HU"/>
          </w:rPr>
          <w:delText>Serdülőkori hidradenitis suppurativa</w:delText>
        </w:r>
      </w:del>
    </w:p>
    <w:p w14:paraId="0E14CAAE" w14:textId="0F1DD555" w:rsidR="004F1339" w:rsidRPr="00183B5F" w:rsidRDefault="004F1339" w:rsidP="004F1339">
      <w:pPr>
        <w:pStyle w:val="EMEANormal"/>
        <w:rPr>
          <w:del w:id="7655" w:author="AbbVie_HU_03" w:date="2025-05-14T15:27:00Z"/>
          <w:i/>
          <w:szCs w:val="22"/>
          <w:lang w:val="hu-HU"/>
        </w:rPr>
      </w:pPr>
    </w:p>
    <w:p w14:paraId="4EB040D0" w14:textId="77633F3A" w:rsidR="004F1339" w:rsidRPr="00183B5F" w:rsidRDefault="00943743" w:rsidP="004F1339">
      <w:pPr>
        <w:spacing w:line="240" w:lineRule="auto"/>
        <w:rPr>
          <w:del w:id="7656" w:author="AbbVie_HU_03" w:date="2025-05-14T15:27:00Z"/>
          <w:szCs w:val="22"/>
        </w:rPr>
      </w:pPr>
      <w:del w:id="7657" w:author="AbbVie_HU_03" w:date="2025-05-14T15:27:00Z">
        <w:r w:rsidRPr="00183B5F">
          <w:rPr>
            <w:szCs w:val="22"/>
          </w:rPr>
          <w:delText>A Humira-val nem folytattak klinikai vizsgálatokat HS-ben szenvedő serdülőkorú betegeknél. Az adalimumab hatásossága a HS-ben szenvedő serdülőkorú betegeknél a felnőtt HS betegeknél mutatott hatásosság és expozíciós válasz alapján előre látható, valamint annak a valószínűsége alapján, hogy betegség lefolyása, a kórélettan és a gyógyszer hatása lényegében megegyezik a felnőtteknél észlelttel az azonos expozíciós szinteken. A serdülőkori HS</w:delText>
        </w:r>
        <w:r w:rsidRPr="00183B5F">
          <w:rPr>
            <w:szCs w:val="22"/>
          </w:rPr>
          <w:noBreakHyphen/>
          <w:delText>ben ajánlott adalimumab adag biztonságosságának alapja az adalimumab keresztindikációs biztonságossági profilja mind a felnőtt, mind gyermekgyógyászati betegeknél, azonos vagy gyakoribb adagolás mellett (lásd 5.2 pont).</w:delText>
        </w:r>
      </w:del>
    </w:p>
    <w:p w14:paraId="5AB34FF7" w14:textId="357D8C68" w:rsidR="00EA2231" w:rsidRPr="00183B5F" w:rsidRDefault="00EA2231">
      <w:pPr>
        <w:spacing w:line="240" w:lineRule="auto"/>
        <w:rPr>
          <w:del w:id="7658" w:author="AbbVie_HU_03" w:date="2025-05-14T15:27:00Z"/>
          <w:szCs w:val="22"/>
        </w:rPr>
      </w:pPr>
    </w:p>
    <w:p w14:paraId="2C0F9FDB" w14:textId="4F43F70E" w:rsidR="002B552B" w:rsidRPr="00183B5F" w:rsidRDefault="00943743" w:rsidP="002B552B">
      <w:pPr>
        <w:pStyle w:val="EMEAHeadingUnderline"/>
        <w:tabs>
          <w:tab w:val="clear" w:pos="562"/>
        </w:tabs>
        <w:spacing w:beforeLines="0" w:afterLines="0"/>
        <w:rPr>
          <w:del w:id="7659" w:author="AbbVie_HU_03" w:date="2025-05-14T15:27:00Z"/>
          <w:i/>
          <w:szCs w:val="22"/>
          <w:u w:val="none"/>
          <w:lang w:val="hu-HU"/>
        </w:rPr>
      </w:pPr>
      <w:del w:id="7660" w:author="AbbVie_HU_03" w:date="2025-05-14T15:27:00Z">
        <w:r w:rsidRPr="00183B5F">
          <w:rPr>
            <w:i/>
            <w:szCs w:val="22"/>
            <w:u w:val="none"/>
            <w:lang w:val="hu-HU"/>
          </w:rPr>
          <w:delText>Gyermekkori Crohn</w:delText>
        </w:r>
        <w:r w:rsidRPr="00183B5F">
          <w:rPr>
            <w:i/>
            <w:szCs w:val="22"/>
            <w:u w:val="none"/>
            <w:lang w:val="hu-HU"/>
          </w:rPr>
          <w:noBreakHyphen/>
          <w:delText>betegség</w:delText>
        </w:r>
      </w:del>
    </w:p>
    <w:p w14:paraId="6E746853" w14:textId="533718AD" w:rsidR="002B552B" w:rsidRPr="00183B5F" w:rsidRDefault="00943743" w:rsidP="002B552B">
      <w:pPr>
        <w:pStyle w:val="EMEAHeadingUnderline"/>
        <w:tabs>
          <w:tab w:val="clear" w:pos="562"/>
        </w:tabs>
        <w:spacing w:beforeLines="0" w:afterLines="0"/>
        <w:rPr>
          <w:del w:id="7661" w:author="AbbVie_HU_03" w:date="2025-05-14T15:27:00Z"/>
          <w:szCs w:val="22"/>
          <w:u w:val="none"/>
          <w:lang w:val="hu-HU"/>
        </w:rPr>
      </w:pPr>
      <w:del w:id="7662" w:author="AbbVie_HU_03" w:date="2025-05-14T15:27:00Z">
        <w:r w:rsidRPr="00183B5F">
          <w:rPr>
            <w:szCs w:val="22"/>
            <w:lang w:val="hu-HU"/>
          </w:rPr>
          <w:br/>
        </w:r>
        <w:r w:rsidRPr="00183B5F">
          <w:rPr>
            <w:szCs w:val="22"/>
            <w:u w:val="none"/>
            <w:lang w:val="hu-HU"/>
          </w:rPr>
          <w:delText>Egy multicentrikus, randomizált, kettős vak klinikai vizsgálatban tanulmányozták az indukciós és fenntartó Humira</w:delText>
        </w:r>
        <w:r w:rsidRPr="00183B5F">
          <w:rPr>
            <w:szCs w:val="22"/>
            <w:u w:val="none"/>
            <w:lang w:val="hu-HU"/>
          </w:rPr>
          <w:noBreakHyphen/>
          <w:delText>kezelés hatásosságát és biztonságosságát testtömegre illesztett dózisokkal (&lt; 40 kg vagy ≥ 40 kg) 192, 6-17 éves korú (bezárólag), közepesen súlyos-súlyos aktivitású Crohn</w:delText>
        </w:r>
        <w:r w:rsidRPr="00183B5F">
          <w:rPr>
            <w:szCs w:val="22"/>
            <w:u w:val="none"/>
            <w:lang w:val="hu-HU"/>
          </w:rPr>
          <w:noBreakHyphen/>
          <w:delText>betegségben (CD) szenvedő gyermekeknél, amely a definíció szerint PCDAI (Gyermekkori Crohn</w:delText>
        </w:r>
        <w:r w:rsidRPr="00183B5F">
          <w:rPr>
            <w:szCs w:val="22"/>
            <w:u w:val="none"/>
            <w:lang w:val="hu-HU"/>
          </w:rPr>
          <w:noBreakHyphen/>
          <w:delText>betegség Aktivitási Index)-pontszám &gt; 30 esetén állt fenn. Beválasztási kritérium volt, hogy a betegek nem reagáltak a CD hagyományos k</w:delText>
        </w:r>
        <w:r w:rsidRPr="00183B5F">
          <w:rPr>
            <w:szCs w:val="22"/>
            <w:u w:val="none"/>
            <w:lang w:val="hu-HU"/>
          </w:rPr>
          <w:delText>ezelésére (beleértve egy kortikoszteroidot és/vagy egy immunmodulátort). Az infliximab hatásának megszűnése vagy az arra kialakuló intolerancia a kórtörténetben megengedett volt.</w:delText>
        </w:r>
      </w:del>
    </w:p>
    <w:p w14:paraId="02D33B35" w14:textId="03BA8489" w:rsidR="002B552B" w:rsidRPr="00183B5F" w:rsidRDefault="002B552B" w:rsidP="002B552B">
      <w:pPr>
        <w:spacing w:line="240" w:lineRule="auto"/>
        <w:rPr>
          <w:del w:id="7663" w:author="AbbVie_HU_03" w:date="2025-05-14T15:27:00Z"/>
          <w:szCs w:val="22"/>
        </w:rPr>
      </w:pPr>
    </w:p>
    <w:p w14:paraId="7C9307E3" w14:textId="018E388A" w:rsidR="002B552B" w:rsidRPr="00183B5F" w:rsidRDefault="00943743" w:rsidP="002B552B">
      <w:pPr>
        <w:pStyle w:val="EMEANormal"/>
        <w:rPr>
          <w:del w:id="7664" w:author="AbbVie_HU_03" w:date="2025-05-14T15:27:00Z"/>
          <w:szCs w:val="22"/>
          <w:lang w:val="hu-HU"/>
        </w:rPr>
      </w:pPr>
      <w:del w:id="7665" w:author="AbbVie_HU_03" w:date="2025-05-14T15:27:00Z">
        <w:r w:rsidRPr="00183B5F">
          <w:rPr>
            <w:szCs w:val="22"/>
            <w:lang w:val="hu-HU"/>
          </w:rPr>
          <w:delText>Minden beteg nyílt indukciós kezelést kapott a kiindulási testtömegnek megfelelő dózisban: a 0. héten 160 mg és a 2. héten 80 mg a legalább 40 kg testtömegű betegeknél, valamint 80 és 40 mg a 40 kg alatti testtömegű betegeknél.</w:delText>
        </w:r>
      </w:del>
    </w:p>
    <w:p w14:paraId="2FA2930B" w14:textId="481BA4DA" w:rsidR="002B552B" w:rsidRPr="00183B5F" w:rsidRDefault="002B552B" w:rsidP="002B552B">
      <w:pPr>
        <w:pStyle w:val="EMEANormal"/>
        <w:rPr>
          <w:del w:id="7666" w:author="AbbVie_HU_03" w:date="2025-05-14T15:27:00Z"/>
          <w:szCs w:val="22"/>
          <w:lang w:val="hu-HU"/>
        </w:rPr>
      </w:pPr>
    </w:p>
    <w:p w14:paraId="0AEFD60E" w14:textId="0430DB1F" w:rsidR="002B552B" w:rsidRPr="00183B5F" w:rsidRDefault="00943743" w:rsidP="002B552B">
      <w:pPr>
        <w:pStyle w:val="EMEANormal"/>
        <w:rPr>
          <w:del w:id="7667" w:author="AbbVie_HU_03" w:date="2025-05-14T15:27:00Z"/>
          <w:szCs w:val="22"/>
          <w:lang w:val="hu-HU"/>
        </w:rPr>
      </w:pPr>
      <w:del w:id="7668" w:author="AbbVie_HU_03" w:date="2025-05-14T15:27:00Z">
        <w:r w:rsidRPr="00183B5F">
          <w:rPr>
            <w:szCs w:val="22"/>
            <w:lang w:val="hu-HU"/>
          </w:rPr>
          <w:delText>A 4. héten a betegeket az aktuális testtömegük alapján Alacsony dózisú vagy Standard dózisú fenntartó kezelési sémákra randomizálták 1:1 arányban (2</w:delText>
        </w:r>
        <w:r w:rsidR="004B7A7F" w:rsidRPr="00183B5F">
          <w:rPr>
            <w:szCs w:val="22"/>
            <w:lang w:val="hu-HU"/>
          </w:rPr>
          <w:delText>8</w:delText>
        </w:r>
        <w:r w:rsidRPr="00183B5F">
          <w:rPr>
            <w:szCs w:val="22"/>
            <w:lang w:val="hu-HU"/>
          </w:rPr>
          <w:delText>. táblázat).</w:delText>
        </w:r>
      </w:del>
    </w:p>
    <w:p w14:paraId="2DF38E62" w14:textId="6152E45D" w:rsidR="002B552B" w:rsidRPr="00183B5F" w:rsidRDefault="002B552B" w:rsidP="002B552B">
      <w:pPr>
        <w:spacing w:line="240" w:lineRule="auto"/>
        <w:rPr>
          <w:del w:id="7669" w:author="AbbVie_HU_03" w:date="2025-05-14T15:27:00Z"/>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
        <w:gridCol w:w="1210"/>
        <w:gridCol w:w="1210"/>
      </w:tblGrid>
      <w:tr w:rsidR="00011D2F" w14:paraId="1D136AC2" w14:textId="5CFF1D5E" w:rsidTr="008638B3">
        <w:trPr>
          <w:trHeight w:val="263"/>
          <w:jc w:val="center"/>
          <w:del w:id="7670" w:author="AbbVie_HU_03" w:date="2025-05-14T15:27:00Z"/>
        </w:trPr>
        <w:tc>
          <w:tcPr>
            <w:tcW w:w="3529" w:type="dxa"/>
            <w:gridSpan w:val="3"/>
          </w:tcPr>
          <w:p w14:paraId="73AA2163" w14:textId="541AAF65" w:rsidR="002B552B" w:rsidRPr="00183B5F" w:rsidRDefault="00943743" w:rsidP="00FC288C">
            <w:pPr>
              <w:pStyle w:val="EMEANormal"/>
              <w:keepNext/>
              <w:jc w:val="center"/>
              <w:rPr>
                <w:del w:id="7671" w:author="AbbVie_HU_03" w:date="2025-05-14T15:27:00Z"/>
                <w:b/>
                <w:szCs w:val="22"/>
                <w:lang w:val="hu-HU"/>
              </w:rPr>
            </w:pPr>
            <w:del w:id="7672" w:author="AbbVie_HU_03" w:date="2025-05-14T15:27:00Z">
              <w:r w:rsidRPr="00183B5F">
                <w:rPr>
                  <w:b/>
                  <w:szCs w:val="22"/>
                  <w:lang w:val="hu-HU"/>
                </w:rPr>
                <w:delText>2</w:delText>
              </w:r>
              <w:r w:rsidR="004B7A7F" w:rsidRPr="00183B5F">
                <w:rPr>
                  <w:b/>
                  <w:szCs w:val="22"/>
                  <w:lang w:val="hu-HU"/>
                </w:rPr>
                <w:delText>8</w:delText>
              </w:r>
              <w:r w:rsidRPr="00183B5F">
                <w:rPr>
                  <w:b/>
                  <w:szCs w:val="22"/>
                  <w:lang w:val="hu-HU"/>
                </w:rPr>
                <w:delText>. táblázat</w:delText>
              </w:r>
            </w:del>
          </w:p>
          <w:p w14:paraId="60CFC05C" w14:textId="67C072C0" w:rsidR="002B552B" w:rsidRPr="00183B5F" w:rsidRDefault="00943743" w:rsidP="00FC288C">
            <w:pPr>
              <w:pStyle w:val="EMEANormal"/>
              <w:keepNext/>
              <w:jc w:val="center"/>
              <w:rPr>
                <w:del w:id="7673" w:author="AbbVie_HU_03" w:date="2025-05-14T15:27:00Z"/>
                <w:szCs w:val="22"/>
                <w:lang w:val="hu-HU"/>
              </w:rPr>
            </w:pPr>
            <w:del w:id="7674" w:author="AbbVie_HU_03" w:date="2025-05-14T15:27:00Z">
              <w:r w:rsidRPr="00183B5F">
                <w:rPr>
                  <w:b/>
                  <w:szCs w:val="22"/>
                  <w:lang w:val="hu-HU"/>
                </w:rPr>
                <w:delText>Fenntartó kezelési séma</w:delText>
              </w:r>
            </w:del>
          </w:p>
        </w:tc>
      </w:tr>
      <w:tr w:rsidR="00011D2F" w14:paraId="12CC6E4D" w14:textId="117BE37F" w:rsidTr="008638B3">
        <w:trPr>
          <w:jc w:val="center"/>
          <w:del w:id="7675" w:author="AbbVie_HU_03" w:date="2025-05-14T15:27:00Z"/>
        </w:trPr>
        <w:tc>
          <w:tcPr>
            <w:tcW w:w="1109" w:type="dxa"/>
          </w:tcPr>
          <w:p w14:paraId="0CF34615" w14:textId="776DC290" w:rsidR="002B552B" w:rsidRPr="00183B5F" w:rsidRDefault="00943743" w:rsidP="008638B3">
            <w:pPr>
              <w:pStyle w:val="EMEANormal"/>
              <w:rPr>
                <w:del w:id="7676" w:author="AbbVie_HU_03" w:date="2025-05-14T15:27:00Z"/>
                <w:b/>
                <w:szCs w:val="22"/>
                <w:lang w:val="hu-HU"/>
              </w:rPr>
            </w:pPr>
            <w:del w:id="7677" w:author="AbbVie_HU_03" w:date="2025-05-14T15:27:00Z">
              <w:r w:rsidRPr="00183B5F">
                <w:rPr>
                  <w:b/>
                  <w:szCs w:val="22"/>
                  <w:lang w:val="hu-HU"/>
                </w:rPr>
                <w:delText>A beteg testtömege</w:delText>
              </w:r>
            </w:del>
          </w:p>
        </w:tc>
        <w:tc>
          <w:tcPr>
            <w:tcW w:w="1210" w:type="dxa"/>
          </w:tcPr>
          <w:p w14:paraId="6BD4508B" w14:textId="25A4FD64" w:rsidR="002B552B" w:rsidRPr="00183B5F" w:rsidRDefault="00943743" w:rsidP="008638B3">
            <w:pPr>
              <w:pStyle w:val="EMEANormal"/>
              <w:rPr>
                <w:del w:id="7678" w:author="AbbVie_HU_03" w:date="2025-05-14T15:27:00Z"/>
                <w:b/>
                <w:szCs w:val="22"/>
                <w:lang w:val="hu-HU"/>
              </w:rPr>
            </w:pPr>
            <w:del w:id="7679" w:author="AbbVie_HU_03" w:date="2025-05-14T15:27:00Z">
              <w:r w:rsidRPr="00183B5F">
                <w:rPr>
                  <w:b/>
                  <w:szCs w:val="22"/>
                  <w:lang w:val="hu-HU"/>
                </w:rPr>
                <w:delText>Alacsony dózis</w:delText>
              </w:r>
            </w:del>
          </w:p>
        </w:tc>
        <w:tc>
          <w:tcPr>
            <w:tcW w:w="1210" w:type="dxa"/>
          </w:tcPr>
          <w:p w14:paraId="4B22D82F" w14:textId="355ED0C5" w:rsidR="002B552B" w:rsidRPr="00183B5F" w:rsidRDefault="00943743" w:rsidP="008638B3">
            <w:pPr>
              <w:pStyle w:val="EMEANormal"/>
              <w:rPr>
                <w:del w:id="7680" w:author="AbbVie_HU_03" w:date="2025-05-14T15:27:00Z"/>
                <w:b/>
                <w:szCs w:val="22"/>
                <w:lang w:val="hu-HU"/>
              </w:rPr>
            </w:pPr>
            <w:del w:id="7681" w:author="AbbVie_HU_03" w:date="2025-05-14T15:27:00Z">
              <w:r w:rsidRPr="00183B5F">
                <w:rPr>
                  <w:b/>
                  <w:szCs w:val="22"/>
                  <w:lang w:val="hu-HU"/>
                </w:rPr>
                <w:delText>Standard dózis</w:delText>
              </w:r>
            </w:del>
          </w:p>
        </w:tc>
      </w:tr>
      <w:tr w:rsidR="00011D2F" w14:paraId="55A65EEE" w14:textId="32E563F0" w:rsidTr="008638B3">
        <w:trPr>
          <w:jc w:val="center"/>
          <w:del w:id="7682" w:author="AbbVie_HU_03" w:date="2025-05-14T15:27:00Z"/>
        </w:trPr>
        <w:tc>
          <w:tcPr>
            <w:tcW w:w="1109" w:type="dxa"/>
          </w:tcPr>
          <w:p w14:paraId="47B030AD" w14:textId="38BF88EA" w:rsidR="002B552B" w:rsidRPr="00183B5F" w:rsidRDefault="00943743" w:rsidP="008638B3">
            <w:pPr>
              <w:pStyle w:val="EMEANormal"/>
              <w:rPr>
                <w:del w:id="7683" w:author="AbbVie_HU_03" w:date="2025-05-14T15:27:00Z"/>
                <w:szCs w:val="22"/>
                <w:lang w:val="hu-HU"/>
              </w:rPr>
            </w:pPr>
            <w:del w:id="7684" w:author="AbbVie_HU_03" w:date="2025-05-14T15:27:00Z">
              <w:r w:rsidRPr="00183B5F">
                <w:rPr>
                  <w:szCs w:val="22"/>
                  <w:lang w:val="hu-HU"/>
                </w:rPr>
                <w:delText>&lt; 40 kg</w:delText>
              </w:r>
            </w:del>
          </w:p>
        </w:tc>
        <w:tc>
          <w:tcPr>
            <w:tcW w:w="1210" w:type="dxa"/>
          </w:tcPr>
          <w:p w14:paraId="4D48393C" w14:textId="06EFD6F0" w:rsidR="002B552B" w:rsidRPr="00183B5F" w:rsidRDefault="00943743" w:rsidP="008638B3">
            <w:pPr>
              <w:pStyle w:val="EMEANormal"/>
              <w:rPr>
                <w:del w:id="7685" w:author="AbbVie_HU_03" w:date="2025-05-14T15:27:00Z"/>
                <w:szCs w:val="22"/>
                <w:lang w:val="hu-HU"/>
              </w:rPr>
            </w:pPr>
            <w:del w:id="7686" w:author="AbbVie_HU_03" w:date="2025-05-14T15:27:00Z">
              <w:r w:rsidRPr="00183B5F">
                <w:rPr>
                  <w:szCs w:val="22"/>
                  <w:lang w:val="hu-HU"/>
                </w:rPr>
                <w:delText>10 mg</w:delText>
              </w:r>
            </w:del>
          </w:p>
          <w:p w14:paraId="66C88B36" w14:textId="629690D7" w:rsidR="002B552B" w:rsidRPr="00183B5F" w:rsidRDefault="00943743" w:rsidP="008638B3">
            <w:pPr>
              <w:pStyle w:val="EMEANormal"/>
              <w:rPr>
                <w:del w:id="7687" w:author="AbbVie_HU_03" w:date="2025-05-14T15:27:00Z"/>
                <w:szCs w:val="22"/>
                <w:lang w:val="hu-HU"/>
              </w:rPr>
            </w:pPr>
            <w:del w:id="7688" w:author="AbbVie_HU_03" w:date="2025-05-14T15:27:00Z">
              <w:r w:rsidRPr="00183B5F">
                <w:rPr>
                  <w:szCs w:val="22"/>
                  <w:lang w:val="hu-HU"/>
                </w:rPr>
                <w:delText>kéthetente</w:delText>
              </w:r>
            </w:del>
          </w:p>
        </w:tc>
        <w:tc>
          <w:tcPr>
            <w:tcW w:w="1210" w:type="dxa"/>
          </w:tcPr>
          <w:p w14:paraId="36917D58" w14:textId="30715AFA" w:rsidR="002B552B" w:rsidRPr="00183B5F" w:rsidRDefault="00943743" w:rsidP="008638B3">
            <w:pPr>
              <w:pStyle w:val="EMEANormal"/>
              <w:rPr>
                <w:del w:id="7689" w:author="AbbVie_HU_03" w:date="2025-05-14T15:27:00Z"/>
                <w:szCs w:val="22"/>
                <w:lang w:val="hu-HU"/>
              </w:rPr>
            </w:pPr>
            <w:del w:id="7690" w:author="AbbVie_HU_03" w:date="2025-05-14T15:27:00Z">
              <w:r w:rsidRPr="00183B5F">
                <w:rPr>
                  <w:szCs w:val="22"/>
                  <w:lang w:val="hu-HU"/>
                </w:rPr>
                <w:delText>20 mg</w:delText>
              </w:r>
            </w:del>
          </w:p>
          <w:p w14:paraId="068273EF" w14:textId="5193EC84" w:rsidR="002B552B" w:rsidRPr="00183B5F" w:rsidRDefault="00943743" w:rsidP="008638B3">
            <w:pPr>
              <w:pStyle w:val="EMEANormal"/>
              <w:rPr>
                <w:del w:id="7691" w:author="AbbVie_HU_03" w:date="2025-05-14T15:27:00Z"/>
                <w:szCs w:val="22"/>
                <w:lang w:val="hu-HU"/>
              </w:rPr>
            </w:pPr>
            <w:del w:id="7692" w:author="AbbVie_HU_03" w:date="2025-05-14T15:27:00Z">
              <w:r w:rsidRPr="00183B5F">
                <w:rPr>
                  <w:szCs w:val="22"/>
                  <w:lang w:val="hu-HU"/>
                </w:rPr>
                <w:delText>kéthetente</w:delText>
              </w:r>
            </w:del>
          </w:p>
        </w:tc>
      </w:tr>
      <w:tr w:rsidR="00011D2F" w14:paraId="187F7B1B" w14:textId="6977AEDA" w:rsidTr="008638B3">
        <w:trPr>
          <w:jc w:val="center"/>
          <w:del w:id="7693" w:author="AbbVie_HU_03" w:date="2025-05-14T15:27:00Z"/>
        </w:trPr>
        <w:tc>
          <w:tcPr>
            <w:tcW w:w="1109" w:type="dxa"/>
          </w:tcPr>
          <w:p w14:paraId="6A94B8C2" w14:textId="662CFB4B" w:rsidR="002B552B" w:rsidRPr="00183B5F" w:rsidRDefault="00943743" w:rsidP="008638B3">
            <w:pPr>
              <w:pStyle w:val="EMEANormal"/>
              <w:rPr>
                <w:del w:id="7694" w:author="AbbVie_HU_03" w:date="2025-05-14T15:27:00Z"/>
                <w:szCs w:val="22"/>
                <w:lang w:val="hu-HU"/>
              </w:rPr>
            </w:pPr>
            <w:del w:id="7695" w:author="AbbVie_HU_03" w:date="2025-05-14T15:27:00Z">
              <w:r w:rsidRPr="00183B5F">
                <w:rPr>
                  <w:szCs w:val="22"/>
                  <w:lang w:val="hu-HU"/>
                </w:rPr>
                <w:delText>≥ 40 kg</w:delText>
              </w:r>
            </w:del>
          </w:p>
        </w:tc>
        <w:tc>
          <w:tcPr>
            <w:tcW w:w="1210" w:type="dxa"/>
          </w:tcPr>
          <w:p w14:paraId="6680E4AF" w14:textId="3CB78AB0" w:rsidR="002B552B" w:rsidRPr="00183B5F" w:rsidRDefault="00943743" w:rsidP="008638B3">
            <w:pPr>
              <w:pStyle w:val="EMEANormal"/>
              <w:rPr>
                <w:del w:id="7696" w:author="AbbVie_HU_03" w:date="2025-05-14T15:27:00Z"/>
                <w:szCs w:val="22"/>
                <w:lang w:val="hu-HU"/>
              </w:rPr>
            </w:pPr>
            <w:del w:id="7697" w:author="AbbVie_HU_03" w:date="2025-05-14T15:27:00Z">
              <w:r w:rsidRPr="00183B5F">
                <w:rPr>
                  <w:szCs w:val="22"/>
                  <w:lang w:val="hu-HU"/>
                </w:rPr>
                <w:delText>20 mg</w:delText>
              </w:r>
            </w:del>
          </w:p>
          <w:p w14:paraId="79D1F13A" w14:textId="6B8AADBC" w:rsidR="002B552B" w:rsidRPr="00183B5F" w:rsidRDefault="00943743" w:rsidP="008638B3">
            <w:pPr>
              <w:pStyle w:val="EMEANormal"/>
              <w:rPr>
                <w:del w:id="7698" w:author="AbbVie_HU_03" w:date="2025-05-14T15:27:00Z"/>
                <w:szCs w:val="22"/>
                <w:lang w:val="hu-HU"/>
              </w:rPr>
            </w:pPr>
            <w:del w:id="7699" w:author="AbbVie_HU_03" w:date="2025-05-14T15:27:00Z">
              <w:r w:rsidRPr="00183B5F">
                <w:rPr>
                  <w:szCs w:val="22"/>
                  <w:lang w:val="hu-HU"/>
                </w:rPr>
                <w:delText>kéthetente</w:delText>
              </w:r>
            </w:del>
          </w:p>
        </w:tc>
        <w:tc>
          <w:tcPr>
            <w:tcW w:w="1210" w:type="dxa"/>
          </w:tcPr>
          <w:p w14:paraId="06202E3E" w14:textId="75C2A4A9" w:rsidR="002B552B" w:rsidRPr="00183B5F" w:rsidRDefault="00943743" w:rsidP="008638B3">
            <w:pPr>
              <w:pStyle w:val="EMEANormal"/>
              <w:rPr>
                <w:del w:id="7700" w:author="AbbVie_HU_03" w:date="2025-05-14T15:27:00Z"/>
                <w:szCs w:val="22"/>
                <w:lang w:val="hu-HU"/>
              </w:rPr>
            </w:pPr>
            <w:del w:id="7701" w:author="AbbVie_HU_03" w:date="2025-05-14T15:27:00Z">
              <w:r w:rsidRPr="00183B5F">
                <w:rPr>
                  <w:szCs w:val="22"/>
                  <w:lang w:val="hu-HU"/>
                </w:rPr>
                <w:delText>40 mg</w:delText>
              </w:r>
            </w:del>
          </w:p>
          <w:p w14:paraId="1B9AB0DB" w14:textId="2D45CA89" w:rsidR="002B552B" w:rsidRPr="00183B5F" w:rsidRDefault="00943743" w:rsidP="008638B3">
            <w:pPr>
              <w:pStyle w:val="EMEANormal"/>
              <w:rPr>
                <w:del w:id="7702" w:author="AbbVie_HU_03" w:date="2025-05-14T15:27:00Z"/>
                <w:szCs w:val="22"/>
                <w:lang w:val="hu-HU"/>
              </w:rPr>
            </w:pPr>
            <w:del w:id="7703" w:author="AbbVie_HU_03" w:date="2025-05-14T15:27:00Z">
              <w:r w:rsidRPr="00183B5F">
                <w:rPr>
                  <w:szCs w:val="22"/>
                  <w:lang w:val="hu-HU"/>
                </w:rPr>
                <w:delText>kéthetente</w:delText>
              </w:r>
            </w:del>
          </w:p>
        </w:tc>
      </w:tr>
    </w:tbl>
    <w:p w14:paraId="6DA28177" w14:textId="2F7BCD2B" w:rsidR="002B552B" w:rsidRPr="00183B5F" w:rsidRDefault="002B552B" w:rsidP="002B552B">
      <w:pPr>
        <w:spacing w:line="240" w:lineRule="auto"/>
        <w:rPr>
          <w:del w:id="7704" w:author="AbbVie_HU_03" w:date="2025-05-14T15:27:00Z"/>
          <w:szCs w:val="22"/>
        </w:rPr>
      </w:pPr>
    </w:p>
    <w:p w14:paraId="0E4D9716" w14:textId="6E57257A" w:rsidR="002B552B" w:rsidRPr="00183B5F" w:rsidRDefault="00943743" w:rsidP="002B552B">
      <w:pPr>
        <w:pStyle w:val="EMEANormal"/>
        <w:keepNext/>
        <w:rPr>
          <w:del w:id="7705" w:author="AbbVie_HU_03" w:date="2025-05-14T15:27:00Z"/>
          <w:i/>
          <w:szCs w:val="22"/>
          <w:u w:val="single"/>
          <w:lang w:val="hu-HU"/>
        </w:rPr>
      </w:pPr>
      <w:del w:id="7706" w:author="AbbVie_HU_03" w:date="2025-05-14T15:27:00Z">
        <w:r w:rsidRPr="00183B5F">
          <w:rPr>
            <w:i/>
            <w:szCs w:val="22"/>
            <w:u w:val="single"/>
            <w:lang w:val="hu-HU"/>
          </w:rPr>
          <w:delText>Hatásossági eredmények</w:delText>
        </w:r>
      </w:del>
    </w:p>
    <w:p w14:paraId="51A9ED59" w14:textId="2045BBD9" w:rsidR="002B552B" w:rsidRPr="00183B5F" w:rsidRDefault="002B552B" w:rsidP="002B552B">
      <w:pPr>
        <w:pStyle w:val="EMEANormal"/>
        <w:keepNext/>
        <w:rPr>
          <w:del w:id="7707" w:author="AbbVie_HU_03" w:date="2025-05-14T15:27:00Z"/>
          <w:i/>
          <w:szCs w:val="22"/>
          <w:lang w:val="hu-HU"/>
        </w:rPr>
      </w:pPr>
    </w:p>
    <w:p w14:paraId="7F035EAC" w14:textId="64B71548" w:rsidR="002B552B" w:rsidRPr="00183B5F" w:rsidRDefault="00943743" w:rsidP="002B552B">
      <w:pPr>
        <w:pStyle w:val="EMEANormal"/>
        <w:keepNext/>
        <w:rPr>
          <w:del w:id="7708" w:author="AbbVie_HU_03" w:date="2025-05-14T15:27:00Z"/>
          <w:szCs w:val="22"/>
          <w:lang w:val="hu-HU"/>
        </w:rPr>
      </w:pPr>
      <w:del w:id="7709" w:author="AbbVie_HU_03" w:date="2025-05-14T15:27:00Z">
        <w:r w:rsidRPr="00183B5F">
          <w:rPr>
            <w:szCs w:val="22"/>
            <w:lang w:val="hu-HU"/>
          </w:rPr>
          <w:delText>A vizsgálat elsődleges végpontja a 26. hétre elért remisszió volt, amely a definíció szerint a PCDAI</w:delText>
        </w:r>
        <w:r w:rsidRPr="00183B5F">
          <w:rPr>
            <w:szCs w:val="22"/>
            <w:lang w:val="hu-HU"/>
          </w:rPr>
          <w:noBreakHyphen/>
          <w:delText>pontszám ≤ 10.</w:delText>
        </w:r>
      </w:del>
    </w:p>
    <w:p w14:paraId="3F53E98A" w14:textId="5EB863F0" w:rsidR="002B552B" w:rsidRPr="00183B5F" w:rsidRDefault="002B552B" w:rsidP="002B552B">
      <w:pPr>
        <w:pStyle w:val="EMEANormal"/>
        <w:rPr>
          <w:del w:id="7710" w:author="AbbVie_HU_03" w:date="2025-05-14T15:27:00Z"/>
          <w:szCs w:val="22"/>
          <w:lang w:val="hu-HU"/>
        </w:rPr>
      </w:pPr>
    </w:p>
    <w:p w14:paraId="1133331E" w14:textId="40D5F4F0" w:rsidR="002B552B" w:rsidRPr="00183B5F" w:rsidRDefault="00943743" w:rsidP="004B7A7F">
      <w:pPr>
        <w:pStyle w:val="EMEANormal"/>
        <w:rPr>
          <w:del w:id="7711" w:author="AbbVie_HU_03" w:date="2025-05-14T15:27:00Z"/>
          <w:szCs w:val="22"/>
          <w:lang w:val="hu-HU"/>
        </w:rPr>
      </w:pPr>
      <w:del w:id="7712" w:author="AbbVie_HU_03" w:date="2025-05-14T15:27:00Z">
        <w:r w:rsidRPr="00183B5F">
          <w:rPr>
            <w:szCs w:val="22"/>
            <w:lang w:val="hu-HU"/>
          </w:rPr>
          <w:delText xml:space="preserve">A klinikai remisszió és a klinikai válasz (meghatározás szerint a PCDAI-pontszám a kiindulási értéktől számított, legalább 15 pontos csökkenése) mértéke a </w:delText>
        </w:r>
        <w:r w:rsidR="004B7A7F" w:rsidRPr="00183B5F">
          <w:rPr>
            <w:szCs w:val="22"/>
            <w:lang w:val="hu-HU"/>
          </w:rPr>
          <w:delText>29</w:delText>
        </w:r>
        <w:r w:rsidRPr="00183B5F">
          <w:rPr>
            <w:szCs w:val="22"/>
            <w:lang w:val="hu-HU"/>
          </w:rPr>
          <w:delText xml:space="preserve">. táblázatban van feltüntetve. A kortikoszteroidok vagy az immunmodulátorok elhagyásának arányait a </w:delText>
        </w:r>
        <w:r w:rsidR="004B7A7F" w:rsidRPr="00183B5F">
          <w:rPr>
            <w:szCs w:val="22"/>
            <w:lang w:val="hu-HU"/>
          </w:rPr>
          <w:delText>30</w:delText>
        </w:r>
        <w:r w:rsidRPr="00183B5F">
          <w:rPr>
            <w:szCs w:val="22"/>
            <w:lang w:val="hu-HU"/>
          </w:rPr>
          <w:delText>. táblázat tartalmazza.</w:delText>
        </w:r>
      </w:del>
    </w:p>
    <w:p w14:paraId="743CD385" w14:textId="6B228090" w:rsidR="002B552B" w:rsidRPr="00183B5F" w:rsidRDefault="002B552B" w:rsidP="002B552B">
      <w:pPr>
        <w:spacing w:line="240" w:lineRule="auto"/>
        <w:rPr>
          <w:del w:id="7713" w:author="AbbVie_HU_03" w:date="2025-05-14T15:27:00Z"/>
        </w:rPr>
      </w:pPr>
    </w:p>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011D2F" w14:paraId="48094BE5" w14:textId="6133A24E" w:rsidTr="008638B3">
        <w:trPr>
          <w:jc w:val="center"/>
          <w:del w:id="7714" w:author="AbbVie_HU_03" w:date="2025-05-14T15:27:00Z"/>
        </w:trPr>
        <w:tc>
          <w:tcPr>
            <w:tcW w:w="6673" w:type="dxa"/>
            <w:gridSpan w:val="4"/>
            <w:tcBorders>
              <w:top w:val="single" w:sz="6" w:space="0" w:color="000000"/>
              <w:left w:val="single" w:sz="6" w:space="0" w:color="000000"/>
              <w:bottom w:val="single" w:sz="6" w:space="0" w:color="000000"/>
              <w:right w:val="single" w:sz="6" w:space="0" w:color="000000"/>
            </w:tcBorders>
          </w:tcPr>
          <w:p w14:paraId="5C8B9C69" w14:textId="2DDD4D89" w:rsidR="002B552B" w:rsidRPr="00183B5F" w:rsidRDefault="00943743" w:rsidP="008638B3">
            <w:pPr>
              <w:tabs>
                <w:tab w:val="left" w:pos="-878"/>
              </w:tabs>
              <w:suppressAutoHyphens w:val="0"/>
              <w:autoSpaceDE w:val="0"/>
              <w:autoSpaceDN w:val="0"/>
              <w:adjustRightInd w:val="0"/>
              <w:spacing w:line="240" w:lineRule="auto"/>
              <w:ind w:left="15"/>
              <w:jc w:val="center"/>
              <w:rPr>
                <w:del w:id="7715" w:author="AbbVie_HU_03" w:date="2025-05-14T15:27:00Z"/>
                <w:b/>
                <w:bCs/>
                <w:szCs w:val="22"/>
              </w:rPr>
            </w:pPr>
            <w:del w:id="7716" w:author="AbbVie_HU_03" w:date="2025-05-14T15:27:00Z">
              <w:r w:rsidRPr="00183B5F">
                <w:rPr>
                  <w:b/>
                  <w:bCs/>
                  <w:szCs w:val="22"/>
                </w:rPr>
                <w:delText>29. táblázat</w:delText>
              </w:r>
            </w:del>
          </w:p>
          <w:p w14:paraId="72FC552A" w14:textId="3DAD393D" w:rsidR="002B552B" w:rsidRPr="00183B5F" w:rsidRDefault="00943743" w:rsidP="008638B3">
            <w:pPr>
              <w:tabs>
                <w:tab w:val="left" w:pos="-878"/>
              </w:tabs>
              <w:suppressAutoHyphens w:val="0"/>
              <w:autoSpaceDE w:val="0"/>
              <w:autoSpaceDN w:val="0"/>
              <w:adjustRightInd w:val="0"/>
              <w:spacing w:line="240" w:lineRule="auto"/>
              <w:ind w:left="15"/>
              <w:jc w:val="center"/>
              <w:rPr>
                <w:del w:id="7717" w:author="AbbVie_HU_03" w:date="2025-05-14T15:27:00Z"/>
                <w:b/>
                <w:bCs/>
                <w:szCs w:val="22"/>
              </w:rPr>
            </w:pPr>
            <w:del w:id="7718" w:author="AbbVie_HU_03" w:date="2025-05-14T15:27:00Z">
              <w:r w:rsidRPr="00183B5F">
                <w:rPr>
                  <w:b/>
                  <w:bCs/>
                  <w:szCs w:val="22"/>
                </w:rPr>
                <w:delText>Gyermekkori CD Vizsgálat</w:delText>
              </w:r>
            </w:del>
          </w:p>
          <w:p w14:paraId="555C111C" w14:textId="11C582B2" w:rsidR="002B552B" w:rsidRPr="00183B5F" w:rsidRDefault="00943743" w:rsidP="008638B3">
            <w:pPr>
              <w:tabs>
                <w:tab w:val="left" w:pos="-878"/>
              </w:tabs>
              <w:suppressAutoHyphens w:val="0"/>
              <w:autoSpaceDE w:val="0"/>
              <w:autoSpaceDN w:val="0"/>
              <w:adjustRightInd w:val="0"/>
              <w:spacing w:line="240" w:lineRule="auto"/>
              <w:ind w:left="15"/>
              <w:jc w:val="center"/>
              <w:rPr>
                <w:del w:id="7719" w:author="AbbVie_HU_03" w:date="2025-05-14T15:27:00Z"/>
                <w:b/>
                <w:bCs/>
                <w:szCs w:val="22"/>
              </w:rPr>
            </w:pPr>
            <w:del w:id="7720" w:author="AbbVie_HU_03" w:date="2025-05-14T15:27:00Z">
              <w:r w:rsidRPr="00183B5F">
                <w:rPr>
                  <w:b/>
                  <w:bCs/>
                  <w:szCs w:val="22"/>
                </w:rPr>
                <w:delText xml:space="preserve">PCDAI </w:delText>
              </w:r>
              <w:r w:rsidRPr="00183B5F">
                <w:rPr>
                  <w:b/>
                  <w:szCs w:val="22"/>
                </w:rPr>
                <w:delText xml:space="preserve">Klinikai </w:delText>
              </w:r>
              <w:r w:rsidRPr="00183B5F">
                <w:rPr>
                  <w:b/>
                  <w:bCs/>
                  <w:szCs w:val="22"/>
                </w:rPr>
                <w:delText>remisszió és válasz</w:delText>
              </w:r>
            </w:del>
          </w:p>
        </w:tc>
      </w:tr>
      <w:tr w:rsidR="00011D2F" w14:paraId="32F28FA1" w14:textId="2B3A70B2" w:rsidTr="008638B3">
        <w:trPr>
          <w:jc w:val="center"/>
          <w:del w:id="7721" w:author="AbbVie_HU_03" w:date="2025-05-14T15:27:00Z"/>
        </w:trPr>
        <w:tc>
          <w:tcPr>
            <w:tcW w:w="2321" w:type="dxa"/>
            <w:tcBorders>
              <w:top w:val="single" w:sz="6" w:space="0" w:color="000000"/>
              <w:left w:val="single" w:sz="6" w:space="0" w:color="000000"/>
              <w:bottom w:val="single" w:sz="6" w:space="0" w:color="000000"/>
              <w:right w:val="single" w:sz="6" w:space="0" w:color="000000"/>
            </w:tcBorders>
          </w:tcPr>
          <w:p w14:paraId="27B1592C" w14:textId="14E67AA8" w:rsidR="002B552B" w:rsidRPr="00183B5F" w:rsidRDefault="002B552B" w:rsidP="008638B3">
            <w:pPr>
              <w:keepLines/>
              <w:tabs>
                <w:tab w:val="left" w:pos="-1080"/>
              </w:tabs>
              <w:suppressAutoHyphens w:val="0"/>
              <w:autoSpaceDE w:val="0"/>
              <w:autoSpaceDN w:val="0"/>
              <w:adjustRightInd w:val="0"/>
              <w:spacing w:line="240" w:lineRule="auto"/>
              <w:ind w:left="15"/>
              <w:jc w:val="center"/>
              <w:rPr>
                <w:del w:id="7722" w:author="AbbVie_HU_03" w:date="2025-05-14T15:27:00Z"/>
                <w:b/>
                <w:bCs/>
                <w:szCs w:val="22"/>
              </w:rPr>
            </w:pPr>
          </w:p>
        </w:tc>
        <w:tc>
          <w:tcPr>
            <w:tcW w:w="1614" w:type="dxa"/>
            <w:tcBorders>
              <w:top w:val="single" w:sz="6" w:space="0" w:color="000000"/>
              <w:left w:val="single" w:sz="6" w:space="0" w:color="000000"/>
              <w:bottom w:val="single" w:sz="6" w:space="0" w:color="000000"/>
              <w:right w:val="single" w:sz="6" w:space="0" w:color="000000"/>
            </w:tcBorders>
          </w:tcPr>
          <w:p w14:paraId="59B6C3AD" w14:textId="2FC58468" w:rsidR="002B552B" w:rsidRPr="00183B5F" w:rsidRDefault="00943743" w:rsidP="008638B3">
            <w:pPr>
              <w:keepLines/>
              <w:tabs>
                <w:tab w:val="left" w:pos="-1080"/>
              </w:tabs>
              <w:suppressAutoHyphens w:val="0"/>
              <w:autoSpaceDE w:val="0"/>
              <w:autoSpaceDN w:val="0"/>
              <w:adjustRightInd w:val="0"/>
              <w:spacing w:line="240" w:lineRule="auto"/>
              <w:ind w:left="15"/>
              <w:jc w:val="center"/>
              <w:rPr>
                <w:del w:id="7723" w:author="AbbVie_HU_03" w:date="2025-05-14T15:27:00Z"/>
                <w:b/>
                <w:bCs/>
                <w:szCs w:val="22"/>
              </w:rPr>
            </w:pPr>
            <w:del w:id="7724" w:author="AbbVie_HU_03" w:date="2025-05-14T15:27:00Z">
              <w:r w:rsidRPr="00183B5F">
                <w:rPr>
                  <w:b/>
                  <w:bCs/>
                  <w:szCs w:val="22"/>
                </w:rPr>
                <w:delText>Standard dózis</w:delText>
              </w:r>
            </w:del>
          </w:p>
          <w:p w14:paraId="537DA3C1" w14:textId="7B569522" w:rsidR="002B552B" w:rsidRPr="00183B5F" w:rsidRDefault="00943743" w:rsidP="008638B3">
            <w:pPr>
              <w:keepLines/>
              <w:tabs>
                <w:tab w:val="left" w:pos="-1080"/>
              </w:tabs>
              <w:suppressAutoHyphens w:val="0"/>
              <w:autoSpaceDE w:val="0"/>
              <w:autoSpaceDN w:val="0"/>
              <w:adjustRightInd w:val="0"/>
              <w:spacing w:line="240" w:lineRule="auto"/>
              <w:ind w:left="15"/>
              <w:jc w:val="center"/>
              <w:rPr>
                <w:del w:id="7725" w:author="AbbVie_HU_03" w:date="2025-05-14T15:27:00Z"/>
                <w:b/>
                <w:bCs/>
                <w:szCs w:val="22"/>
              </w:rPr>
            </w:pPr>
            <w:del w:id="7726" w:author="AbbVie_HU_03" w:date="2025-05-14T15:27:00Z">
              <w:r w:rsidRPr="00183B5F">
                <w:rPr>
                  <w:b/>
                  <w:bCs/>
                  <w:szCs w:val="22"/>
                </w:rPr>
                <w:delText>40/20 mg</w:delText>
              </w:r>
            </w:del>
          </w:p>
          <w:p w14:paraId="16001023" w14:textId="0B698F21" w:rsidR="002B552B" w:rsidRPr="00183B5F" w:rsidRDefault="00943743" w:rsidP="008638B3">
            <w:pPr>
              <w:keepLines/>
              <w:tabs>
                <w:tab w:val="left" w:pos="-1080"/>
              </w:tabs>
              <w:suppressAutoHyphens w:val="0"/>
              <w:autoSpaceDE w:val="0"/>
              <w:autoSpaceDN w:val="0"/>
              <w:adjustRightInd w:val="0"/>
              <w:spacing w:line="240" w:lineRule="auto"/>
              <w:ind w:left="15"/>
              <w:jc w:val="center"/>
              <w:rPr>
                <w:del w:id="7727" w:author="AbbVie_HU_03" w:date="2025-05-14T15:27:00Z"/>
                <w:b/>
                <w:bCs/>
                <w:szCs w:val="22"/>
              </w:rPr>
            </w:pPr>
            <w:del w:id="7728" w:author="AbbVie_HU_03" w:date="2025-05-14T15:27:00Z">
              <w:r w:rsidRPr="00183B5F">
                <w:rPr>
                  <w:b/>
                  <w:bCs/>
                  <w:szCs w:val="22"/>
                </w:rPr>
                <w:delText xml:space="preserve">kéthetente </w:delText>
              </w:r>
            </w:del>
          </w:p>
          <w:p w14:paraId="1B77CD35" w14:textId="2784DBDB" w:rsidR="002B552B" w:rsidRPr="00183B5F" w:rsidRDefault="00943743" w:rsidP="008638B3">
            <w:pPr>
              <w:keepLines/>
              <w:tabs>
                <w:tab w:val="left" w:pos="-1080"/>
              </w:tabs>
              <w:suppressAutoHyphens w:val="0"/>
              <w:autoSpaceDE w:val="0"/>
              <w:autoSpaceDN w:val="0"/>
              <w:adjustRightInd w:val="0"/>
              <w:spacing w:line="240" w:lineRule="auto"/>
              <w:ind w:left="15"/>
              <w:jc w:val="center"/>
              <w:rPr>
                <w:del w:id="7729" w:author="AbbVie_HU_03" w:date="2025-05-14T15:27:00Z"/>
                <w:b/>
                <w:bCs/>
                <w:szCs w:val="22"/>
              </w:rPr>
            </w:pPr>
            <w:del w:id="7730" w:author="AbbVie_HU_03" w:date="2025-05-14T15:27:00Z">
              <w:r w:rsidRPr="00183B5F">
                <w:rPr>
                  <w:b/>
                  <w:bCs/>
                  <w:szCs w:val="22"/>
                </w:rPr>
                <w:delText>N = 93</w:delText>
              </w:r>
            </w:del>
          </w:p>
        </w:tc>
        <w:tc>
          <w:tcPr>
            <w:tcW w:w="1591" w:type="dxa"/>
            <w:tcBorders>
              <w:top w:val="single" w:sz="6" w:space="0" w:color="000000"/>
              <w:left w:val="single" w:sz="6" w:space="0" w:color="000000"/>
              <w:bottom w:val="single" w:sz="6" w:space="0" w:color="000000"/>
              <w:right w:val="single" w:sz="6" w:space="0" w:color="000000"/>
            </w:tcBorders>
          </w:tcPr>
          <w:p w14:paraId="5E083076" w14:textId="4361F4BF" w:rsidR="002B552B" w:rsidRPr="00183B5F" w:rsidRDefault="00943743" w:rsidP="008638B3">
            <w:pPr>
              <w:keepLines/>
              <w:tabs>
                <w:tab w:val="left" w:pos="-1080"/>
              </w:tabs>
              <w:suppressAutoHyphens w:val="0"/>
              <w:autoSpaceDE w:val="0"/>
              <w:autoSpaceDN w:val="0"/>
              <w:adjustRightInd w:val="0"/>
              <w:spacing w:line="240" w:lineRule="auto"/>
              <w:ind w:left="15"/>
              <w:jc w:val="center"/>
              <w:rPr>
                <w:del w:id="7731" w:author="AbbVie_HU_03" w:date="2025-05-14T15:27:00Z"/>
                <w:b/>
                <w:bCs/>
                <w:szCs w:val="22"/>
              </w:rPr>
            </w:pPr>
            <w:del w:id="7732" w:author="AbbVie_HU_03" w:date="2025-05-14T15:27:00Z">
              <w:r w:rsidRPr="00183B5F">
                <w:rPr>
                  <w:b/>
                  <w:bCs/>
                  <w:szCs w:val="22"/>
                </w:rPr>
                <w:delText>Alacsony dózis</w:delText>
              </w:r>
            </w:del>
          </w:p>
          <w:p w14:paraId="7B380045" w14:textId="6423A305" w:rsidR="002B552B" w:rsidRPr="00183B5F" w:rsidRDefault="00943743" w:rsidP="008638B3">
            <w:pPr>
              <w:keepLines/>
              <w:tabs>
                <w:tab w:val="left" w:pos="-1080"/>
              </w:tabs>
              <w:suppressAutoHyphens w:val="0"/>
              <w:autoSpaceDE w:val="0"/>
              <w:autoSpaceDN w:val="0"/>
              <w:adjustRightInd w:val="0"/>
              <w:spacing w:line="240" w:lineRule="auto"/>
              <w:ind w:left="15"/>
              <w:jc w:val="center"/>
              <w:rPr>
                <w:del w:id="7733" w:author="AbbVie_HU_03" w:date="2025-05-14T15:27:00Z"/>
                <w:b/>
                <w:bCs/>
                <w:szCs w:val="22"/>
              </w:rPr>
            </w:pPr>
            <w:del w:id="7734" w:author="AbbVie_HU_03" w:date="2025-05-14T15:27:00Z">
              <w:r w:rsidRPr="00183B5F">
                <w:rPr>
                  <w:b/>
                  <w:bCs/>
                  <w:szCs w:val="22"/>
                </w:rPr>
                <w:delText>20/10 mg</w:delText>
              </w:r>
            </w:del>
          </w:p>
          <w:p w14:paraId="2E6F5C5E" w14:textId="01FBB93D" w:rsidR="002B552B" w:rsidRPr="00183B5F" w:rsidRDefault="00943743" w:rsidP="008638B3">
            <w:pPr>
              <w:keepLines/>
              <w:tabs>
                <w:tab w:val="left" w:pos="-1080"/>
              </w:tabs>
              <w:suppressAutoHyphens w:val="0"/>
              <w:autoSpaceDE w:val="0"/>
              <w:autoSpaceDN w:val="0"/>
              <w:adjustRightInd w:val="0"/>
              <w:spacing w:line="240" w:lineRule="auto"/>
              <w:ind w:left="15"/>
              <w:jc w:val="center"/>
              <w:rPr>
                <w:del w:id="7735" w:author="AbbVie_HU_03" w:date="2025-05-14T15:27:00Z"/>
                <w:b/>
                <w:bCs/>
                <w:szCs w:val="22"/>
              </w:rPr>
            </w:pPr>
            <w:del w:id="7736" w:author="AbbVie_HU_03" w:date="2025-05-14T15:27:00Z">
              <w:r w:rsidRPr="00183B5F">
                <w:rPr>
                  <w:b/>
                  <w:bCs/>
                  <w:szCs w:val="22"/>
                </w:rPr>
                <w:delText xml:space="preserve">kéthetente </w:delText>
              </w:r>
            </w:del>
          </w:p>
          <w:p w14:paraId="01373B06" w14:textId="1E1D908C" w:rsidR="002B552B" w:rsidRPr="00183B5F" w:rsidRDefault="00943743" w:rsidP="008638B3">
            <w:pPr>
              <w:keepLines/>
              <w:tabs>
                <w:tab w:val="left" w:pos="-1080"/>
              </w:tabs>
              <w:suppressAutoHyphens w:val="0"/>
              <w:autoSpaceDE w:val="0"/>
              <w:autoSpaceDN w:val="0"/>
              <w:adjustRightInd w:val="0"/>
              <w:spacing w:line="240" w:lineRule="auto"/>
              <w:ind w:left="15"/>
              <w:jc w:val="center"/>
              <w:rPr>
                <w:del w:id="7737" w:author="AbbVie_HU_03" w:date="2025-05-14T15:27:00Z"/>
                <w:b/>
                <w:bCs/>
                <w:szCs w:val="22"/>
              </w:rPr>
            </w:pPr>
            <w:del w:id="7738" w:author="AbbVie_HU_03" w:date="2025-05-14T15:27:00Z">
              <w:r w:rsidRPr="00183B5F">
                <w:rPr>
                  <w:b/>
                  <w:bCs/>
                  <w:szCs w:val="22"/>
                </w:rPr>
                <w:delText>N = 95</w:delText>
              </w:r>
            </w:del>
          </w:p>
        </w:tc>
        <w:tc>
          <w:tcPr>
            <w:tcW w:w="1147" w:type="dxa"/>
            <w:tcBorders>
              <w:top w:val="single" w:sz="6" w:space="0" w:color="000000"/>
              <w:left w:val="single" w:sz="6" w:space="0" w:color="000000"/>
              <w:bottom w:val="single" w:sz="6" w:space="0" w:color="000000"/>
              <w:right w:val="single" w:sz="6" w:space="0" w:color="000000"/>
            </w:tcBorders>
          </w:tcPr>
          <w:p w14:paraId="3EE0037C" w14:textId="581B528B" w:rsidR="002B552B" w:rsidRPr="00183B5F" w:rsidRDefault="00943743" w:rsidP="008638B3">
            <w:pPr>
              <w:keepLines/>
              <w:tabs>
                <w:tab w:val="left" w:pos="-1080"/>
              </w:tabs>
              <w:suppressAutoHyphens w:val="0"/>
              <w:autoSpaceDE w:val="0"/>
              <w:autoSpaceDN w:val="0"/>
              <w:adjustRightInd w:val="0"/>
              <w:spacing w:line="240" w:lineRule="auto"/>
              <w:ind w:left="15"/>
              <w:jc w:val="center"/>
              <w:rPr>
                <w:del w:id="7739" w:author="AbbVie_HU_03" w:date="2025-05-14T15:27:00Z"/>
                <w:szCs w:val="22"/>
              </w:rPr>
            </w:pPr>
            <w:del w:id="7740" w:author="AbbVie_HU_03" w:date="2025-05-14T15:27:00Z">
              <w:r w:rsidRPr="00183B5F">
                <w:rPr>
                  <w:b/>
                  <w:bCs/>
                  <w:szCs w:val="22"/>
                </w:rPr>
                <w:delText>p</w:delText>
              </w:r>
              <w:r w:rsidRPr="00183B5F">
                <w:rPr>
                  <w:b/>
                  <w:bCs/>
                  <w:szCs w:val="22"/>
                </w:rPr>
                <w:noBreakHyphen/>
                <w:delText>érték</w:delText>
              </w:r>
              <w:r w:rsidRPr="00183B5F">
                <w:rPr>
                  <w:szCs w:val="22"/>
                </w:rPr>
                <w:delText>*</w:delText>
              </w:r>
            </w:del>
          </w:p>
        </w:tc>
      </w:tr>
      <w:tr w:rsidR="00011D2F" w14:paraId="7F8D4D72" w14:textId="5A4AD2FB" w:rsidTr="008638B3">
        <w:trPr>
          <w:jc w:val="center"/>
          <w:del w:id="7741" w:author="AbbVie_HU_03" w:date="2025-05-14T15:27:00Z"/>
        </w:trPr>
        <w:tc>
          <w:tcPr>
            <w:tcW w:w="2321" w:type="dxa"/>
            <w:tcBorders>
              <w:top w:val="single" w:sz="6" w:space="0" w:color="000000"/>
              <w:left w:val="single" w:sz="6" w:space="0" w:color="000000"/>
              <w:bottom w:val="single" w:sz="6" w:space="0" w:color="000000"/>
              <w:right w:val="single" w:sz="6" w:space="0" w:color="000000"/>
            </w:tcBorders>
            <w:vAlign w:val="bottom"/>
          </w:tcPr>
          <w:p w14:paraId="1E7CE1CA" w14:textId="77B0558C" w:rsidR="002B552B" w:rsidRPr="00183B5F" w:rsidRDefault="00943743" w:rsidP="008638B3">
            <w:pPr>
              <w:keepLines/>
              <w:tabs>
                <w:tab w:val="left" w:pos="-1080"/>
              </w:tabs>
              <w:suppressAutoHyphens w:val="0"/>
              <w:autoSpaceDE w:val="0"/>
              <w:autoSpaceDN w:val="0"/>
              <w:adjustRightInd w:val="0"/>
              <w:spacing w:line="240" w:lineRule="auto"/>
              <w:ind w:left="15"/>
              <w:rPr>
                <w:del w:id="7742" w:author="AbbVie_HU_03" w:date="2025-05-14T15:27:00Z"/>
                <w:b/>
                <w:bCs/>
                <w:szCs w:val="22"/>
              </w:rPr>
            </w:pPr>
            <w:del w:id="7743" w:author="AbbVie_HU_03" w:date="2025-05-14T15:27:00Z">
              <w:r w:rsidRPr="00183B5F">
                <w:rPr>
                  <w:b/>
                  <w:bCs/>
                  <w:szCs w:val="22"/>
                </w:rPr>
                <w:delText>26. hét</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37EED51B" w14:textId="42CED0AC" w:rsidR="002B552B" w:rsidRPr="00183B5F" w:rsidRDefault="002B552B" w:rsidP="008638B3">
            <w:pPr>
              <w:keepLines/>
              <w:tabs>
                <w:tab w:val="left" w:pos="-1080"/>
              </w:tabs>
              <w:suppressAutoHyphens w:val="0"/>
              <w:autoSpaceDE w:val="0"/>
              <w:autoSpaceDN w:val="0"/>
              <w:adjustRightInd w:val="0"/>
              <w:spacing w:line="240" w:lineRule="auto"/>
              <w:ind w:left="15"/>
              <w:jc w:val="center"/>
              <w:rPr>
                <w:del w:id="7744" w:author="AbbVie_HU_03" w:date="2025-05-14T15:27:00Z"/>
                <w:b/>
                <w:bCs/>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607234AA" w14:textId="13283738" w:rsidR="002B552B" w:rsidRPr="00183B5F" w:rsidRDefault="002B552B" w:rsidP="008638B3">
            <w:pPr>
              <w:keepLines/>
              <w:tabs>
                <w:tab w:val="left" w:pos="-1080"/>
              </w:tabs>
              <w:suppressAutoHyphens w:val="0"/>
              <w:autoSpaceDE w:val="0"/>
              <w:autoSpaceDN w:val="0"/>
              <w:adjustRightInd w:val="0"/>
              <w:spacing w:line="240" w:lineRule="auto"/>
              <w:ind w:left="15"/>
              <w:jc w:val="center"/>
              <w:rPr>
                <w:del w:id="7745" w:author="AbbVie_HU_03" w:date="2025-05-14T15:27:00Z"/>
                <w:b/>
                <w:bCs/>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185B3F04" w14:textId="08DB25EE" w:rsidR="002B552B" w:rsidRPr="00183B5F" w:rsidRDefault="002B552B" w:rsidP="008638B3">
            <w:pPr>
              <w:suppressAutoHyphens w:val="0"/>
              <w:autoSpaceDE w:val="0"/>
              <w:autoSpaceDN w:val="0"/>
              <w:adjustRightInd w:val="0"/>
              <w:spacing w:line="240" w:lineRule="auto"/>
              <w:ind w:left="15"/>
              <w:rPr>
                <w:del w:id="7746" w:author="AbbVie_HU_03" w:date="2025-05-14T15:27:00Z"/>
                <w:b/>
                <w:bCs/>
                <w:szCs w:val="22"/>
              </w:rPr>
            </w:pPr>
          </w:p>
        </w:tc>
      </w:tr>
      <w:tr w:rsidR="00011D2F" w14:paraId="7FB17F5E" w14:textId="4836C147" w:rsidTr="008638B3">
        <w:trPr>
          <w:jc w:val="center"/>
          <w:del w:id="7747" w:author="AbbVie_HU_03" w:date="2025-05-14T15:27:00Z"/>
        </w:trPr>
        <w:tc>
          <w:tcPr>
            <w:tcW w:w="2321" w:type="dxa"/>
            <w:tcBorders>
              <w:top w:val="single" w:sz="6" w:space="0" w:color="000000"/>
              <w:left w:val="single" w:sz="6" w:space="0" w:color="000000"/>
              <w:bottom w:val="single" w:sz="6" w:space="0" w:color="000000"/>
              <w:right w:val="single" w:sz="6" w:space="0" w:color="000000"/>
            </w:tcBorders>
            <w:vAlign w:val="bottom"/>
          </w:tcPr>
          <w:p w14:paraId="6AE11C2D" w14:textId="4D428D68" w:rsidR="002B552B" w:rsidRPr="00183B5F" w:rsidRDefault="00943743" w:rsidP="008638B3">
            <w:pPr>
              <w:keepLines/>
              <w:tabs>
                <w:tab w:val="left" w:pos="-1080"/>
              </w:tabs>
              <w:suppressAutoHyphens w:val="0"/>
              <w:autoSpaceDE w:val="0"/>
              <w:autoSpaceDN w:val="0"/>
              <w:adjustRightInd w:val="0"/>
              <w:spacing w:line="240" w:lineRule="auto"/>
              <w:ind w:left="15"/>
              <w:rPr>
                <w:del w:id="7748" w:author="AbbVie_HU_03" w:date="2025-05-14T15:27:00Z"/>
                <w:szCs w:val="22"/>
              </w:rPr>
            </w:pPr>
            <w:del w:id="7749" w:author="AbbVie_HU_03" w:date="2025-05-14T15:27:00Z">
              <w:r w:rsidRPr="00183B5F">
                <w:rPr>
                  <w:szCs w:val="22"/>
                </w:rPr>
                <w:delText xml:space="preserve">   Klinikai remisszió</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5902DDA9" w14:textId="2C973E90" w:rsidR="002B552B" w:rsidRPr="00183B5F" w:rsidRDefault="00943743" w:rsidP="008638B3">
            <w:pPr>
              <w:keepLines/>
              <w:tabs>
                <w:tab w:val="left" w:pos="-1080"/>
              </w:tabs>
              <w:suppressAutoHyphens w:val="0"/>
              <w:autoSpaceDE w:val="0"/>
              <w:autoSpaceDN w:val="0"/>
              <w:adjustRightInd w:val="0"/>
              <w:spacing w:line="240" w:lineRule="auto"/>
              <w:ind w:left="15"/>
              <w:jc w:val="center"/>
              <w:rPr>
                <w:del w:id="7750" w:author="AbbVie_HU_03" w:date="2025-05-14T15:27:00Z"/>
                <w:szCs w:val="22"/>
              </w:rPr>
            </w:pPr>
            <w:del w:id="7751" w:author="AbbVie_HU_03" w:date="2025-05-14T15:27:00Z">
              <w:r w:rsidRPr="00183B5F">
                <w:rPr>
                  <w:szCs w:val="22"/>
                </w:rPr>
                <w:delText>38,7%</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14:paraId="5DFE8B36" w14:textId="7E54C605" w:rsidR="002B552B" w:rsidRPr="00183B5F" w:rsidRDefault="00943743" w:rsidP="008638B3">
            <w:pPr>
              <w:keepLines/>
              <w:tabs>
                <w:tab w:val="left" w:pos="-1080"/>
              </w:tabs>
              <w:suppressAutoHyphens w:val="0"/>
              <w:autoSpaceDE w:val="0"/>
              <w:autoSpaceDN w:val="0"/>
              <w:adjustRightInd w:val="0"/>
              <w:spacing w:line="240" w:lineRule="auto"/>
              <w:ind w:left="15"/>
              <w:jc w:val="center"/>
              <w:rPr>
                <w:del w:id="7752" w:author="AbbVie_HU_03" w:date="2025-05-14T15:27:00Z"/>
                <w:szCs w:val="22"/>
              </w:rPr>
            </w:pPr>
            <w:del w:id="7753" w:author="AbbVie_HU_03" w:date="2025-05-14T15:27:00Z">
              <w:r w:rsidRPr="00183B5F">
                <w:rPr>
                  <w:szCs w:val="22"/>
                </w:rPr>
                <w:delText>28,4%</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14:paraId="092F8943" w14:textId="7AB9E297" w:rsidR="002B552B" w:rsidRPr="00183B5F" w:rsidRDefault="00943743" w:rsidP="008638B3">
            <w:pPr>
              <w:keepLines/>
              <w:tabs>
                <w:tab w:val="left" w:pos="-1080"/>
              </w:tabs>
              <w:suppressAutoHyphens w:val="0"/>
              <w:autoSpaceDE w:val="0"/>
              <w:autoSpaceDN w:val="0"/>
              <w:adjustRightInd w:val="0"/>
              <w:spacing w:line="240" w:lineRule="auto"/>
              <w:ind w:left="15"/>
              <w:jc w:val="center"/>
              <w:rPr>
                <w:del w:id="7754" w:author="AbbVie_HU_03" w:date="2025-05-14T15:27:00Z"/>
                <w:szCs w:val="22"/>
              </w:rPr>
            </w:pPr>
            <w:del w:id="7755" w:author="AbbVie_HU_03" w:date="2025-05-14T15:27:00Z">
              <w:r w:rsidRPr="00183B5F">
                <w:rPr>
                  <w:szCs w:val="22"/>
                </w:rPr>
                <w:delText>0,075</w:delText>
              </w:r>
            </w:del>
          </w:p>
        </w:tc>
      </w:tr>
      <w:tr w:rsidR="00011D2F" w14:paraId="697186CB" w14:textId="62F42A83" w:rsidTr="008638B3">
        <w:trPr>
          <w:jc w:val="center"/>
          <w:del w:id="7756" w:author="AbbVie_HU_03" w:date="2025-05-14T15:27:00Z"/>
        </w:trPr>
        <w:tc>
          <w:tcPr>
            <w:tcW w:w="2321" w:type="dxa"/>
            <w:tcBorders>
              <w:top w:val="single" w:sz="6" w:space="0" w:color="000000"/>
              <w:left w:val="single" w:sz="6" w:space="0" w:color="000000"/>
              <w:bottom w:val="single" w:sz="6" w:space="0" w:color="000000"/>
              <w:right w:val="single" w:sz="6" w:space="0" w:color="000000"/>
            </w:tcBorders>
          </w:tcPr>
          <w:p w14:paraId="5770238C" w14:textId="0CF29352" w:rsidR="002B552B" w:rsidRPr="00183B5F" w:rsidRDefault="00943743" w:rsidP="008638B3">
            <w:pPr>
              <w:keepLines/>
              <w:tabs>
                <w:tab w:val="left" w:pos="-1080"/>
              </w:tabs>
              <w:suppressAutoHyphens w:val="0"/>
              <w:autoSpaceDE w:val="0"/>
              <w:autoSpaceDN w:val="0"/>
              <w:adjustRightInd w:val="0"/>
              <w:spacing w:line="240" w:lineRule="auto"/>
              <w:ind w:left="15"/>
              <w:rPr>
                <w:del w:id="7757" w:author="AbbVie_HU_03" w:date="2025-05-14T15:27:00Z"/>
                <w:szCs w:val="22"/>
              </w:rPr>
            </w:pPr>
            <w:del w:id="7758" w:author="AbbVie_HU_03" w:date="2025-05-14T15:27:00Z">
              <w:r w:rsidRPr="00183B5F">
                <w:rPr>
                  <w:szCs w:val="22"/>
                </w:rPr>
                <w:delText xml:space="preserve">   Klinikai válasz </w:delText>
              </w:r>
            </w:del>
          </w:p>
        </w:tc>
        <w:tc>
          <w:tcPr>
            <w:tcW w:w="1614" w:type="dxa"/>
            <w:tcBorders>
              <w:top w:val="single" w:sz="6" w:space="0" w:color="000000"/>
              <w:left w:val="single" w:sz="6" w:space="0" w:color="000000"/>
              <w:bottom w:val="single" w:sz="6" w:space="0" w:color="000000"/>
              <w:right w:val="single" w:sz="6" w:space="0" w:color="000000"/>
            </w:tcBorders>
          </w:tcPr>
          <w:p w14:paraId="04108901" w14:textId="186A42B8" w:rsidR="002B552B" w:rsidRPr="00183B5F" w:rsidRDefault="00943743" w:rsidP="008638B3">
            <w:pPr>
              <w:keepLines/>
              <w:tabs>
                <w:tab w:val="left" w:pos="-1080"/>
              </w:tabs>
              <w:suppressAutoHyphens w:val="0"/>
              <w:autoSpaceDE w:val="0"/>
              <w:autoSpaceDN w:val="0"/>
              <w:adjustRightInd w:val="0"/>
              <w:spacing w:line="240" w:lineRule="auto"/>
              <w:ind w:left="15"/>
              <w:jc w:val="center"/>
              <w:rPr>
                <w:del w:id="7759" w:author="AbbVie_HU_03" w:date="2025-05-14T15:27:00Z"/>
                <w:szCs w:val="22"/>
              </w:rPr>
            </w:pPr>
            <w:del w:id="7760" w:author="AbbVie_HU_03" w:date="2025-05-14T15:27:00Z">
              <w:r w:rsidRPr="00183B5F">
                <w:rPr>
                  <w:szCs w:val="22"/>
                </w:rPr>
                <w:delText>59,1%</w:delText>
              </w:r>
            </w:del>
          </w:p>
        </w:tc>
        <w:tc>
          <w:tcPr>
            <w:tcW w:w="1591" w:type="dxa"/>
            <w:tcBorders>
              <w:top w:val="single" w:sz="6" w:space="0" w:color="000000"/>
              <w:left w:val="single" w:sz="6" w:space="0" w:color="000000"/>
              <w:bottom w:val="single" w:sz="6" w:space="0" w:color="000000"/>
              <w:right w:val="single" w:sz="6" w:space="0" w:color="000000"/>
            </w:tcBorders>
          </w:tcPr>
          <w:p w14:paraId="0964A85C" w14:textId="5311EFBF" w:rsidR="002B552B" w:rsidRPr="00183B5F" w:rsidRDefault="00943743" w:rsidP="008638B3">
            <w:pPr>
              <w:keepLines/>
              <w:tabs>
                <w:tab w:val="left" w:pos="-1080"/>
              </w:tabs>
              <w:suppressAutoHyphens w:val="0"/>
              <w:autoSpaceDE w:val="0"/>
              <w:autoSpaceDN w:val="0"/>
              <w:adjustRightInd w:val="0"/>
              <w:spacing w:line="240" w:lineRule="auto"/>
              <w:ind w:left="15"/>
              <w:jc w:val="center"/>
              <w:rPr>
                <w:del w:id="7761" w:author="AbbVie_HU_03" w:date="2025-05-14T15:27:00Z"/>
                <w:szCs w:val="22"/>
              </w:rPr>
            </w:pPr>
            <w:del w:id="7762" w:author="AbbVie_HU_03" w:date="2025-05-14T15:27:00Z">
              <w:r w:rsidRPr="00183B5F">
                <w:rPr>
                  <w:szCs w:val="22"/>
                </w:rPr>
                <w:delText>48,4%</w:delText>
              </w:r>
            </w:del>
          </w:p>
        </w:tc>
        <w:tc>
          <w:tcPr>
            <w:tcW w:w="1147" w:type="dxa"/>
            <w:tcBorders>
              <w:top w:val="single" w:sz="6" w:space="0" w:color="000000"/>
              <w:left w:val="single" w:sz="6" w:space="0" w:color="000000"/>
              <w:bottom w:val="single" w:sz="6" w:space="0" w:color="000000"/>
              <w:right w:val="single" w:sz="6" w:space="0" w:color="000000"/>
            </w:tcBorders>
          </w:tcPr>
          <w:p w14:paraId="759B7F5A" w14:textId="6C8C71BC" w:rsidR="002B552B" w:rsidRPr="00183B5F" w:rsidRDefault="00943743" w:rsidP="008638B3">
            <w:pPr>
              <w:keepLines/>
              <w:tabs>
                <w:tab w:val="left" w:pos="-1080"/>
              </w:tabs>
              <w:suppressAutoHyphens w:val="0"/>
              <w:autoSpaceDE w:val="0"/>
              <w:autoSpaceDN w:val="0"/>
              <w:adjustRightInd w:val="0"/>
              <w:spacing w:line="240" w:lineRule="auto"/>
              <w:ind w:left="15"/>
              <w:jc w:val="center"/>
              <w:rPr>
                <w:del w:id="7763" w:author="AbbVie_HU_03" w:date="2025-05-14T15:27:00Z"/>
                <w:szCs w:val="22"/>
              </w:rPr>
            </w:pPr>
            <w:del w:id="7764" w:author="AbbVie_HU_03" w:date="2025-05-14T15:27:00Z">
              <w:r w:rsidRPr="00183B5F">
                <w:rPr>
                  <w:szCs w:val="22"/>
                </w:rPr>
                <w:delText>0,073</w:delText>
              </w:r>
            </w:del>
          </w:p>
        </w:tc>
      </w:tr>
      <w:tr w:rsidR="00011D2F" w14:paraId="437F3739" w14:textId="4414C9D6" w:rsidTr="008638B3">
        <w:trPr>
          <w:jc w:val="center"/>
          <w:del w:id="7765" w:author="AbbVie_HU_03" w:date="2025-05-14T15:27:00Z"/>
        </w:trPr>
        <w:tc>
          <w:tcPr>
            <w:tcW w:w="2321" w:type="dxa"/>
            <w:tcBorders>
              <w:top w:val="single" w:sz="6" w:space="0" w:color="000000"/>
              <w:left w:val="single" w:sz="6" w:space="0" w:color="000000"/>
              <w:bottom w:val="single" w:sz="6" w:space="0" w:color="000000"/>
              <w:right w:val="single" w:sz="6" w:space="0" w:color="000000"/>
            </w:tcBorders>
            <w:vAlign w:val="bottom"/>
          </w:tcPr>
          <w:p w14:paraId="434D178D" w14:textId="1589581D" w:rsidR="002B552B" w:rsidRPr="00183B5F" w:rsidRDefault="00943743" w:rsidP="008638B3">
            <w:pPr>
              <w:keepLines/>
              <w:tabs>
                <w:tab w:val="left" w:pos="-1080"/>
              </w:tabs>
              <w:suppressAutoHyphens w:val="0"/>
              <w:autoSpaceDE w:val="0"/>
              <w:autoSpaceDN w:val="0"/>
              <w:adjustRightInd w:val="0"/>
              <w:spacing w:line="240" w:lineRule="auto"/>
              <w:ind w:left="15"/>
              <w:rPr>
                <w:del w:id="7766" w:author="AbbVie_HU_03" w:date="2025-05-14T15:27:00Z"/>
                <w:b/>
                <w:bCs/>
                <w:szCs w:val="22"/>
              </w:rPr>
            </w:pPr>
            <w:del w:id="7767" w:author="AbbVie_HU_03" w:date="2025-05-14T15:27:00Z">
              <w:r w:rsidRPr="00183B5F">
                <w:rPr>
                  <w:b/>
                  <w:bCs/>
                  <w:szCs w:val="22"/>
                </w:rPr>
                <w:delText>52. hét</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7F8D5516" w14:textId="51061C70" w:rsidR="002B552B" w:rsidRPr="00183B5F" w:rsidRDefault="002B552B" w:rsidP="008638B3">
            <w:pPr>
              <w:keepLines/>
              <w:tabs>
                <w:tab w:val="left" w:pos="-1080"/>
              </w:tabs>
              <w:suppressAutoHyphens w:val="0"/>
              <w:autoSpaceDE w:val="0"/>
              <w:autoSpaceDN w:val="0"/>
              <w:adjustRightInd w:val="0"/>
              <w:spacing w:line="240" w:lineRule="auto"/>
              <w:ind w:left="15"/>
              <w:jc w:val="center"/>
              <w:rPr>
                <w:del w:id="7768" w:author="AbbVie_HU_03" w:date="2025-05-14T15:27:00Z"/>
                <w:b/>
                <w:bCs/>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6C06172A" w14:textId="727DCE99" w:rsidR="002B552B" w:rsidRPr="00183B5F" w:rsidRDefault="002B552B" w:rsidP="008638B3">
            <w:pPr>
              <w:keepLines/>
              <w:tabs>
                <w:tab w:val="left" w:pos="-1080"/>
              </w:tabs>
              <w:suppressAutoHyphens w:val="0"/>
              <w:autoSpaceDE w:val="0"/>
              <w:autoSpaceDN w:val="0"/>
              <w:adjustRightInd w:val="0"/>
              <w:spacing w:line="240" w:lineRule="auto"/>
              <w:ind w:left="15"/>
              <w:jc w:val="center"/>
              <w:rPr>
                <w:del w:id="7769" w:author="AbbVie_HU_03" w:date="2025-05-14T15:27:00Z"/>
                <w:b/>
                <w:bCs/>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40B38EEF" w14:textId="5F6BC295" w:rsidR="002B552B" w:rsidRPr="00183B5F" w:rsidRDefault="002B552B" w:rsidP="008638B3">
            <w:pPr>
              <w:suppressAutoHyphens w:val="0"/>
              <w:autoSpaceDE w:val="0"/>
              <w:autoSpaceDN w:val="0"/>
              <w:adjustRightInd w:val="0"/>
              <w:spacing w:line="240" w:lineRule="auto"/>
              <w:ind w:left="15"/>
              <w:rPr>
                <w:del w:id="7770" w:author="AbbVie_HU_03" w:date="2025-05-14T15:27:00Z"/>
                <w:b/>
                <w:bCs/>
                <w:szCs w:val="22"/>
              </w:rPr>
            </w:pPr>
          </w:p>
        </w:tc>
      </w:tr>
      <w:tr w:rsidR="00011D2F" w14:paraId="4C513479" w14:textId="565419E7" w:rsidTr="008638B3">
        <w:trPr>
          <w:jc w:val="center"/>
          <w:del w:id="7771" w:author="AbbVie_HU_03" w:date="2025-05-14T15:27:00Z"/>
        </w:trPr>
        <w:tc>
          <w:tcPr>
            <w:tcW w:w="2321" w:type="dxa"/>
            <w:tcBorders>
              <w:top w:val="single" w:sz="6" w:space="0" w:color="000000"/>
              <w:left w:val="single" w:sz="6" w:space="0" w:color="000000"/>
              <w:bottom w:val="single" w:sz="6" w:space="0" w:color="000000"/>
              <w:right w:val="single" w:sz="6" w:space="0" w:color="000000"/>
            </w:tcBorders>
            <w:vAlign w:val="bottom"/>
          </w:tcPr>
          <w:p w14:paraId="02765BBB" w14:textId="68697D2C" w:rsidR="002B552B" w:rsidRPr="00183B5F" w:rsidRDefault="00943743" w:rsidP="008638B3">
            <w:pPr>
              <w:keepLines/>
              <w:tabs>
                <w:tab w:val="left" w:pos="-1080"/>
              </w:tabs>
              <w:suppressAutoHyphens w:val="0"/>
              <w:autoSpaceDE w:val="0"/>
              <w:autoSpaceDN w:val="0"/>
              <w:adjustRightInd w:val="0"/>
              <w:spacing w:line="240" w:lineRule="auto"/>
              <w:ind w:left="15"/>
              <w:rPr>
                <w:del w:id="7772" w:author="AbbVie_HU_03" w:date="2025-05-14T15:27:00Z"/>
                <w:szCs w:val="22"/>
              </w:rPr>
            </w:pPr>
            <w:del w:id="7773" w:author="AbbVie_HU_03" w:date="2025-05-14T15:27:00Z">
              <w:r w:rsidRPr="00183B5F">
                <w:rPr>
                  <w:szCs w:val="22"/>
                </w:rPr>
                <w:delText xml:space="preserve">   Klinikai remisszió</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11A9B621" w14:textId="73C55AD2" w:rsidR="002B552B" w:rsidRPr="00183B5F" w:rsidRDefault="00943743" w:rsidP="008638B3">
            <w:pPr>
              <w:keepLines/>
              <w:tabs>
                <w:tab w:val="left" w:pos="-1080"/>
              </w:tabs>
              <w:suppressAutoHyphens w:val="0"/>
              <w:autoSpaceDE w:val="0"/>
              <w:autoSpaceDN w:val="0"/>
              <w:adjustRightInd w:val="0"/>
              <w:spacing w:line="240" w:lineRule="auto"/>
              <w:ind w:left="15"/>
              <w:jc w:val="center"/>
              <w:rPr>
                <w:del w:id="7774" w:author="AbbVie_HU_03" w:date="2025-05-14T15:27:00Z"/>
                <w:szCs w:val="22"/>
              </w:rPr>
            </w:pPr>
            <w:del w:id="7775" w:author="AbbVie_HU_03" w:date="2025-05-14T15:27:00Z">
              <w:r w:rsidRPr="00183B5F">
                <w:rPr>
                  <w:szCs w:val="22"/>
                </w:rPr>
                <w:delText>33,3%</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14:paraId="36BCD560" w14:textId="5218858E" w:rsidR="002B552B" w:rsidRPr="00183B5F" w:rsidRDefault="00943743" w:rsidP="008638B3">
            <w:pPr>
              <w:keepLines/>
              <w:tabs>
                <w:tab w:val="left" w:pos="-1080"/>
              </w:tabs>
              <w:suppressAutoHyphens w:val="0"/>
              <w:autoSpaceDE w:val="0"/>
              <w:autoSpaceDN w:val="0"/>
              <w:adjustRightInd w:val="0"/>
              <w:spacing w:line="240" w:lineRule="auto"/>
              <w:ind w:left="15"/>
              <w:jc w:val="center"/>
              <w:rPr>
                <w:del w:id="7776" w:author="AbbVie_HU_03" w:date="2025-05-14T15:27:00Z"/>
                <w:szCs w:val="22"/>
              </w:rPr>
            </w:pPr>
            <w:del w:id="7777" w:author="AbbVie_HU_03" w:date="2025-05-14T15:27:00Z">
              <w:r w:rsidRPr="00183B5F">
                <w:rPr>
                  <w:szCs w:val="22"/>
                </w:rPr>
                <w:delText>23,2%</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14:paraId="05529600" w14:textId="54AEF0AE" w:rsidR="002B552B" w:rsidRPr="00183B5F" w:rsidRDefault="00943743" w:rsidP="008638B3">
            <w:pPr>
              <w:keepLines/>
              <w:tabs>
                <w:tab w:val="left" w:pos="-1080"/>
              </w:tabs>
              <w:suppressAutoHyphens w:val="0"/>
              <w:autoSpaceDE w:val="0"/>
              <w:autoSpaceDN w:val="0"/>
              <w:adjustRightInd w:val="0"/>
              <w:spacing w:line="240" w:lineRule="auto"/>
              <w:ind w:left="15"/>
              <w:jc w:val="center"/>
              <w:rPr>
                <w:del w:id="7778" w:author="AbbVie_HU_03" w:date="2025-05-14T15:27:00Z"/>
                <w:szCs w:val="22"/>
              </w:rPr>
            </w:pPr>
            <w:del w:id="7779" w:author="AbbVie_HU_03" w:date="2025-05-14T15:27:00Z">
              <w:r w:rsidRPr="00183B5F">
                <w:rPr>
                  <w:szCs w:val="22"/>
                </w:rPr>
                <w:delText>0,100</w:delText>
              </w:r>
            </w:del>
          </w:p>
        </w:tc>
      </w:tr>
      <w:tr w:rsidR="00011D2F" w14:paraId="0FC2CF36" w14:textId="4DC47036" w:rsidTr="008638B3">
        <w:trPr>
          <w:jc w:val="center"/>
          <w:del w:id="7780" w:author="AbbVie_HU_03" w:date="2025-05-14T15:27:00Z"/>
        </w:trPr>
        <w:tc>
          <w:tcPr>
            <w:tcW w:w="2321" w:type="dxa"/>
            <w:tcBorders>
              <w:top w:val="single" w:sz="6" w:space="0" w:color="000000"/>
              <w:left w:val="single" w:sz="6" w:space="0" w:color="000000"/>
              <w:bottom w:val="single" w:sz="6" w:space="0" w:color="000000"/>
              <w:right w:val="single" w:sz="6" w:space="0" w:color="000000"/>
            </w:tcBorders>
          </w:tcPr>
          <w:p w14:paraId="6256E1D1" w14:textId="0D7795AD" w:rsidR="002B552B" w:rsidRPr="00183B5F" w:rsidRDefault="00943743" w:rsidP="008638B3">
            <w:pPr>
              <w:keepLines/>
              <w:tabs>
                <w:tab w:val="left" w:pos="-1080"/>
              </w:tabs>
              <w:suppressAutoHyphens w:val="0"/>
              <w:autoSpaceDE w:val="0"/>
              <w:autoSpaceDN w:val="0"/>
              <w:adjustRightInd w:val="0"/>
              <w:spacing w:line="240" w:lineRule="auto"/>
              <w:ind w:left="15"/>
              <w:rPr>
                <w:del w:id="7781" w:author="AbbVie_HU_03" w:date="2025-05-14T15:27:00Z"/>
                <w:szCs w:val="22"/>
              </w:rPr>
            </w:pPr>
            <w:del w:id="7782" w:author="AbbVie_HU_03" w:date="2025-05-14T15:27:00Z">
              <w:r w:rsidRPr="00183B5F">
                <w:rPr>
                  <w:szCs w:val="22"/>
                </w:rPr>
                <w:delText xml:space="preserve">   Klinikai válasz</w:delText>
              </w:r>
            </w:del>
          </w:p>
        </w:tc>
        <w:tc>
          <w:tcPr>
            <w:tcW w:w="1614" w:type="dxa"/>
            <w:tcBorders>
              <w:top w:val="single" w:sz="6" w:space="0" w:color="000000"/>
              <w:left w:val="single" w:sz="6" w:space="0" w:color="000000"/>
              <w:bottom w:val="single" w:sz="6" w:space="0" w:color="000000"/>
              <w:right w:val="single" w:sz="6" w:space="0" w:color="000000"/>
            </w:tcBorders>
          </w:tcPr>
          <w:p w14:paraId="3A22034A" w14:textId="3C6FCBAF" w:rsidR="002B552B" w:rsidRPr="00183B5F" w:rsidRDefault="00943743" w:rsidP="008638B3">
            <w:pPr>
              <w:keepLines/>
              <w:tabs>
                <w:tab w:val="left" w:pos="-1080"/>
              </w:tabs>
              <w:suppressAutoHyphens w:val="0"/>
              <w:autoSpaceDE w:val="0"/>
              <w:autoSpaceDN w:val="0"/>
              <w:adjustRightInd w:val="0"/>
              <w:spacing w:line="240" w:lineRule="auto"/>
              <w:ind w:left="15"/>
              <w:jc w:val="center"/>
              <w:rPr>
                <w:del w:id="7783" w:author="AbbVie_HU_03" w:date="2025-05-14T15:27:00Z"/>
                <w:szCs w:val="22"/>
              </w:rPr>
            </w:pPr>
            <w:del w:id="7784" w:author="AbbVie_HU_03" w:date="2025-05-14T15:27:00Z">
              <w:r w:rsidRPr="00183B5F">
                <w:rPr>
                  <w:szCs w:val="22"/>
                </w:rPr>
                <w:delText>41,9%</w:delText>
              </w:r>
            </w:del>
          </w:p>
        </w:tc>
        <w:tc>
          <w:tcPr>
            <w:tcW w:w="1591" w:type="dxa"/>
            <w:tcBorders>
              <w:top w:val="single" w:sz="6" w:space="0" w:color="000000"/>
              <w:left w:val="single" w:sz="6" w:space="0" w:color="000000"/>
              <w:bottom w:val="single" w:sz="6" w:space="0" w:color="000000"/>
              <w:right w:val="single" w:sz="6" w:space="0" w:color="000000"/>
            </w:tcBorders>
          </w:tcPr>
          <w:p w14:paraId="45E50B18" w14:textId="374A383B" w:rsidR="002B552B" w:rsidRPr="00183B5F" w:rsidRDefault="00943743" w:rsidP="008638B3">
            <w:pPr>
              <w:keepLines/>
              <w:tabs>
                <w:tab w:val="left" w:pos="-1080"/>
              </w:tabs>
              <w:suppressAutoHyphens w:val="0"/>
              <w:autoSpaceDE w:val="0"/>
              <w:autoSpaceDN w:val="0"/>
              <w:adjustRightInd w:val="0"/>
              <w:spacing w:line="240" w:lineRule="auto"/>
              <w:ind w:left="15"/>
              <w:jc w:val="center"/>
              <w:rPr>
                <w:del w:id="7785" w:author="AbbVie_HU_03" w:date="2025-05-14T15:27:00Z"/>
                <w:szCs w:val="22"/>
              </w:rPr>
            </w:pPr>
            <w:del w:id="7786" w:author="AbbVie_HU_03" w:date="2025-05-14T15:27:00Z">
              <w:r w:rsidRPr="00183B5F">
                <w:rPr>
                  <w:szCs w:val="22"/>
                </w:rPr>
                <w:delText>28,4%</w:delText>
              </w:r>
            </w:del>
          </w:p>
        </w:tc>
        <w:tc>
          <w:tcPr>
            <w:tcW w:w="1147" w:type="dxa"/>
            <w:tcBorders>
              <w:top w:val="single" w:sz="6" w:space="0" w:color="000000"/>
              <w:left w:val="single" w:sz="6" w:space="0" w:color="000000"/>
              <w:bottom w:val="single" w:sz="6" w:space="0" w:color="000000"/>
              <w:right w:val="single" w:sz="6" w:space="0" w:color="000000"/>
            </w:tcBorders>
          </w:tcPr>
          <w:p w14:paraId="7EE7700E" w14:textId="27219100" w:rsidR="002B552B" w:rsidRPr="00183B5F" w:rsidRDefault="00943743" w:rsidP="008638B3">
            <w:pPr>
              <w:keepLines/>
              <w:tabs>
                <w:tab w:val="left" w:pos="-1080"/>
              </w:tabs>
              <w:suppressAutoHyphens w:val="0"/>
              <w:autoSpaceDE w:val="0"/>
              <w:autoSpaceDN w:val="0"/>
              <w:adjustRightInd w:val="0"/>
              <w:spacing w:line="240" w:lineRule="auto"/>
              <w:ind w:left="15"/>
              <w:jc w:val="center"/>
              <w:rPr>
                <w:del w:id="7787" w:author="AbbVie_HU_03" w:date="2025-05-14T15:27:00Z"/>
                <w:szCs w:val="22"/>
              </w:rPr>
            </w:pPr>
            <w:del w:id="7788" w:author="AbbVie_HU_03" w:date="2025-05-14T15:27:00Z">
              <w:r w:rsidRPr="00183B5F">
                <w:rPr>
                  <w:szCs w:val="22"/>
                </w:rPr>
                <w:delText>0,038</w:delText>
              </w:r>
            </w:del>
          </w:p>
        </w:tc>
      </w:tr>
      <w:tr w:rsidR="00011D2F" w14:paraId="2C56A715" w14:textId="4CA8D3CA" w:rsidTr="008638B3">
        <w:trPr>
          <w:jc w:val="center"/>
          <w:del w:id="7789" w:author="AbbVie_HU_03" w:date="2025-05-14T15:27:00Z"/>
        </w:trPr>
        <w:tc>
          <w:tcPr>
            <w:tcW w:w="6673" w:type="dxa"/>
            <w:gridSpan w:val="4"/>
            <w:tcBorders>
              <w:top w:val="single" w:sz="6" w:space="0" w:color="000000"/>
              <w:left w:val="single" w:sz="6" w:space="0" w:color="000000"/>
              <w:bottom w:val="single" w:sz="6" w:space="0" w:color="000000"/>
              <w:right w:val="single" w:sz="6" w:space="0" w:color="000000"/>
            </w:tcBorders>
          </w:tcPr>
          <w:p w14:paraId="3F94037D" w14:textId="378A3891" w:rsidR="002B552B" w:rsidRPr="00183B5F" w:rsidRDefault="00943743" w:rsidP="008638B3">
            <w:pPr>
              <w:keepLines/>
              <w:tabs>
                <w:tab w:val="left" w:pos="-1080"/>
              </w:tabs>
              <w:suppressAutoHyphens w:val="0"/>
              <w:autoSpaceDE w:val="0"/>
              <w:autoSpaceDN w:val="0"/>
              <w:adjustRightInd w:val="0"/>
              <w:spacing w:line="240" w:lineRule="auto"/>
              <w:ind w:left="15"/>
              <w:rPr>
                <w:del w:id="7790" w:author="AbbVie_HU_03" w:date="2025-05-14T15:27:00Z"/>
                <w:szCs w:val="22"/>
              </w:rPr>
            </w:pPr>
            <w:del w:id="7791" w:author="AbbVie_HU_03" w:date="2025-05-14T15:27:00Z">
              <w:r w:rsidRPr="00183B5F">
                <w:rPr>
                  <w:szCs w:val="22"/>
                </w:rPr>
                <w:delText>* p</w:delText>
              </w:r>
              <w:r w:rsidRPr="00183B5F">
                <w:rPr>
                  <w:szCs w:val="22"/>
                </w:rPr>
                <w:noBreakHyphen/>
                <w:delText>érték a Standard dózis versus az Alacsony dózis összehasonlítása esetén.</w:delText>
              </w:r>
            </w:del>
          </w:p>
        </w:tc>
      </w:tr>
    </w:tbl>
    <w:p w14:paraId="13548DD9" w14:textId="03D1C04E" w:rsidR="002B552B" w:rsidRPr="00183B5F" w:rsidRDefault="002B552B" w:rsidP="002B552B">
      <w:pPr>
        <w:spacing w:line="240" w:lineRule="auto"/>
        <w:rPr>
          <w:del w:id="7792" w:author="AbbVie_HU_03" w:date="2025-05-14T15:27:00Z"/>
          <w:szCs w:val="22"/>
        </w:rPr>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011D2F" w14:paraId="600863DC" w14:textId="79FAAA27" w:rsidTr="008638B3">
        <w:trPr>
          <w:cantSplit/>
          <w:jc w:val="center"/>
          <w:del w:id="7793" w:author="AbbVie_HU_03" w:date="2025-05-14T15:27:00Z"/>
        </w:trPr>
        <w:tc>
          <w:tcPr>
            <w:tcW w:w="8440" w:type="dxa"/>
            <w:gridSpan w:val="4"/>
            <w:tcBorders>
              <w:top w:val="single" w:sz="6" w:space="0" w:color="000000"/>
              <w:left w:val="single" w:sz="6" w:space="0" w:color="000000"/>
              <w:bottom w:val="single" w:sz="6" w:space="0" w:color="000000"/>
              <w:right w:val="single" w:sz="6" w:space="0" w:color="000000"/>
            </w:tcBorders>
          </w:tcPr>
          <w:p w14:paraId="2DD280AB" w14:textId="2EAD9744" w:rsidR="002B552B" w:rsidRPr="00183B5F" w:rsidRDefault="00943743" w:rsidP="008638B3">
            <w:pPr>
              <w:keepNext/>
              <w:tabs>
                <w:tab w:val="left" w:pos="-878"/>
              </w:tabs>
              <w:suppressAutoHyphens w:val="0"/>
              <w:autoSpaceDE w:val="0"/>
              <w:autoSpaceDN w:val="0"/>
              <w:adjustRightInd w:val="0"/>
              <w:spacing w:line="240" w:lineRule="auto"/>
              <w:jc w:val="center"/>
              <w:rPr>
                <w:del w:id="7794" w:author="AbbVie_HU_03" w:date="2025-05-14T15:27:00Z"/>
                <w:b/>
                <w:bCs/>
                <w:szCs w:val="22"/>
              </w:rPr>
            </w:pPr>
            <w:del w:id="7795" w:author="AbbVie_HU_03" w:date="2025-05-14T15:27:00Z">
              <w:r w:rsidRPr="00183B5F">
                <w:rPr>
                  <w:b/>
                  <w:bCs/>
                  <w:szCs w:val="22"/>
                </w:rPr>
                <w:delText>30. táblázat</w:delText>
              </w:r>
            </w:del>
          </w:p>
          <w:p w14:paraId="7F9EFADB" w14:textId="55559C15" w:rsidR="002B552B" w:rsidRPr="00183B5F" w:rsidRDefault="00943743" w:rsidP="008638B3">
            <w:pPr>
              <w:keepNext/>
              <w:tabs>
                <w:tab w:val="left" w:pos="-878"/>
              </w:tabs>
              <w:suppressAutoHyphens w:val="0"/>
              <w:autoSpaceDE w:val="0"/>
              <w:autoSpaceDN w:val="0"/>
              <w:adjustRightInd w:val="0"/>
              <w:spacing w:line="240" w:lineRule="auto"/>
              <w:jc w:val="center"/>
              <w:rPr>
                <w:del w:id="7796" w:author="AbbVie_HU_03" w:date="2025-05-14T15:27:00Z"/>
                <w:b/>
                <w:bCs/>
                <w:szCs w:val="22"/>
              </w:rPr>
            </w:pPr>
            <w:del w:id="7797" w:author="AbbVie_HU_03" w:date="2025-05-14T15:27:00Z">
              <w:r w:rsidRPr="00183B5F">
                <w:rPr>
                  <w:b/>
                  <w:bCs/>
                  <w:szCs w:val="22"/>
                </w:rPr>
                <w:delText>Gyermekkori CD Vizsgálat</w:delText>
              </w:r>
            </w:del>
          </w:p>
          <w:p w14:paraId="110AA27E" w14:textId="6893679C" w:rsidR="002B552B" w:rsidRPr="00183B5F" w:rsidRDefault="00943743" w:rsidP="008638B3">
            <w:pPr>
              <w:keepNext/>
              <w:tabs>
                <w:tab w:val="left" w:pos="-878"/>
              </w:tabs>
              <w:suppressAutoHyphens w:val="0"/>
              <w:autoSpaceDE w:val="0"/>
              <w:autoSpaceDN w:val="0"/>
              <w:adjustRightInd w:val="0"/>
              <w:spacing w:line="240" w:lineRule="auto"/>
              <w:jc w:val="center"/>
              <w:rPr>
                <w:del w:id="7798" w:author="AbbVie_HU_03" w:date="2025-05-14T15:27:00Z"/>
                <w:b/>
                <w:bCs/>
                <w:szCs w:val="22"/>
              </w:rPr>
            </w:pPr>
            <w:del w:id="7799" w:author="AbbVie_HU_03" w:date="2025-05-14T15:27:00Z">
              <w:r w:rsidRPr="00183B5F">
                <w:rPr>
                  <w:b/>
                  <w:bCs/>
                  <w:szCs w:val="22"/>
                </w:rPr>
                <w:delText>Kortikoszteroidok vagy immunmodulátorok felfüggesztése és fistula-remisszió</w:delText>
              </w:r>
            </w:del>
          </w:p>
        </w:tc>
      </w:tr>
      <w:tr w:rsidR="00011D2F" w14:paraId="41893EAA" w14:textId="3E9E32D2" w:rsidTr="008638B3">
        <w:trPr>
          <w:cantSplit/>
          <w:trHeight w:val="696"/>
          <w:jc w:val="center"/>
          <w:del w:id="7800" w:author="AbbVie_HU_03" w:date="2025-05-14T15:27:00Z"/>
        </w:trPr>
        <w:tc>
          <w:tcPr>
            <w:tcW w:w="4025" w:type="dxa"/>
            <w:tcBorders>
              <w:top w:val="single" w:sz="6" w:space="0" w:color="000000"/>
              <w:left w:val="single" w:sz="6" w:space="0" w:color="000000"/>
              <w:bottom w:val="single" w:sz="6" w:space="0" w:color="000000"/>
              <w:right w:val="single" w:sz="6" w:space="0" w:color="000000"/>
            </w:tcBorders>
          </w:tcPr>
          <w:p w14:paraId="3CEBCF94" w14:textId="205E9C3F" w:rsidR="002B552B" w:rsidRPr="00183B5F" w:rsidRDefault="002B552B" w:rsidP="008638B3">
            <w:pPr>
              <w:keepNext/>
              <w:keepLines/>
              <w:tabs>
                <w:tab w:val="left" w:pos="-1080"/>
              </w:tabs>
              <w:suppressAutoHyphens w:val="0"/>
              <w:autoSpaceDE w:val="0"/>
              <w:autoSpaceDN w:val="0"/>
              <w:adjustRightInd w:val="0"/>
              <w:spacing w:line="240" w:lineRule="auto"/>
              <w:jc w:val="center"/>
              <w:rPr>
                <w:del w:id="7801" w:author="AbbVie_HU_03" w:date="2025-05-14T15:27:00Z"/>
                <w:b/>
                <w:bCs/>
                <w:szCs w:val="22"/>
              </w:rPr>
            </w:pPr>
          </w:p>
        </w:tc>
        <w:tc>
          <w:tcPr>
            <w:tcW w:w="1656" w:type="dxa"/>
            <w:tcBorders>
              <w:top w:val="single" w:sz="6" w:space="0" w:color="000000"/>
              <w:left w:val="single" w:sz="6" w:space="0" w:color="000000"/>
              <w:bottom w:val="single" w:sz="6" w:space="0" w:color="000000"/>
              <w:right w:val="single" w:sz="6" w:space="0" w:color="000000"/>
            </w:tcBorders>
          </w:tcPr>
          <w:p w14:paraId="3D8746BE" w14:textId="64D53BBA" w:rsidR="002B552B" w:rsidRPr="00183B5F" w:rsidRDefault="00943743" w:rsidP="008638B3">
            <w:pPr>
              <w:keepNext/>
              <w:keepLines/>
              <w:tabs>
                <w:tab w:val="left" w:pos="-1080"/>
              </w:tabs>
              <w:suppressAutoHyphens w:val="0"/>
              <w:autoSpaceDE w:val="0"/>
              <w:autoSpaceDN w:val="0"/>
              <w:adjustRightInd w:val="0"/>
              <w:spacing w:line="240" w:lineRule="auto"/>
              <w:ind w:left="15"/>
              <w:jc w:val="center"/>
              <w:rPr>
                <w:del w:id="7802" w:author="AbbVie_HU_03" w:date="2025-05-14T15:27:00Z"/>
                <w:b/>
                <w:bCs/>
                <w:szCs w:val="22"/>
              </w:rPr>
            </w:pPr>
            <w:del w:id="7803" w:author="AbbVie_HU_03" w:date="2025-05-14T15:27:00Z">
              <w:r w:rsidRPr="00183B5F">
                <w:rPr>
                  <w:b/>
                  <w:bCs/>
                  <w:szCs w:val="22"/>
                </w:rPr>
                <w:delText>Standard dózis</w:delText>
              </w:r>
            </w:del>
          </w:p>
          <w:p w14:paraId="09B1C909" w14:textId="26C1977C" w:rsidR="002B552B" w:rsidRPr="00183B5F" w:rsidRDefault="00943743" w:rsidP="008638B3">
            <w:pPr>
              <w:keepNext/>
              <w:keepLines/>
              <w:tabs>
                <w:tab w:val="left" w:pos="-1080"/>
              </w:tabs>
              <w:suppressAutoHyphens w:val="0"/>
              <w:autoSpaceDE w:val="0"/>
              <w:autoSpaceDN w:val="0"/>
              <w:adjustRightInd w:val="0"/>
              <w:spacing w:line="240" w:lineRule="auto"/>
              <w:ind w:left="15"/>
              <w:jc w:val="center"/>
              <w:rPr>
                <w:del w:id="7804" w:author="AbbVie_HU_03" w:date="2025-05-14T15:27:00Z"/>
                <w:b/>
                <w:bCs/>
                <w:szCs w:val="22"/>
              </w:rPr>
            </w:pPr>
            <w:del w:id="7805" w:author="AbbVie_HU_03" w:date="2025-05-14T15:27:00Z">
              <w:r w:rsidRPr="00183B5F">
                <w:rPr>
                  <w:b/>
                  <w:bCs/>
                  <w:szCs w:val="22"/>
                </w:rPr>
                <w:delText>40/20 mg</w:delText>
              </w:r>
            </w:del>
          </w:p>
          <w:p w14:paraId="047A01DD" w14:textId="1EDF0F63" w:rsidR="002B552B" w:rsidRPr="00183B5F" w:rsidRDefault="00943743" w:rsidP="008638B3">
            <w:pPr>
              <w:keepNext/>
              <w:keepLines/>
              <w:tabs>
                <w:tab w:val="left" w:pos="-1080"/>
              </w:tabs>
              <w:suppressAutoHyphens w:val="0"/>
              <w:autoSpaceDE w:val="0"/>
              <w:autoSpaceDN w:val="0"/>
              <w:adjustRightInd w:val="0"/>
              <w:spacing w:line="240" w:lineRule="auto"/>
              <w:ind w:left="15"/>
              <w:jc w:val="center"/>
              <w:rPr>
                <w:del w:id="7806" w:author="AbbVie_HU_03" w:date="2025-05-14T15:27:00Z"/>
                <w:b/>
                <w:bCs/>
                <w:szCs w:val="22"/>
              </w:rPr>
            </w:pPr>
            <w:del w:id="7807" w:author="AbbVie_HU_03" w:date="2025-05-14T15:27:00Z">
              <w:r w:rsidRPr="00183B5F">
                <w:rPr>
                  <w:b/>
                  <w:bCs/>
                  <w:szCs w:val="22"/>
                </w:rPr>
                <w:delText xml:space="preserve">kéthetente </w:delText>
              </w:r>
            </w:del>
          </w:p>
        </w:tc>
        <w:tc>
          <w:tcPr>
            <w:tcW w:w="1619" w:type="dxa"/>
            <w:tcBorders>
              <w:top w:val="single" w:sz="6" w:space="0" w:color="000000"/>
              <w:left w:val="single" w:sz="6" w:space="0" w:color="000000"/>
              <w:bottom w:val="single" w:sz="6" w:space="0" w:color="000000"/>
              <w:right w:val="single" w:sz="6" w:space="0" w:color="000000"/>
            </w:tcBorders>
          </w:tcPr>
          <w:p w14:paraId="57A63979" w14:textId="28E932DC" w:rsidR="002B552B" w:rsidRPr="00183B5F" w:rsidRDefault="00943743" w:rsidP="008638B3">
            <w:pPr>
              <w:keepNext/>
              <w:keepLines/>
              <w:tabs>
                <w:tab w:val="left" w:pos="-1080"/>
              </w:tabs>
              <w:suppressAutoHyphens w:val="0"/>
              <w:autoSpaceDE w:val="0"/>
              <w:autoSpaceDN w:val="0"/>
              <w:adjustRightInd w:val="0"/>
              <w:spacing w:line="240" w:lineRule="auto"/>
              <w:ind w:left="15"/>
              <w:jc w:val="center"/>
              <w:rPr>
                <w:del w:id="7808" w:author="AbbVie_HU_03" w:date="2025-05-14T15:27:00Z"/>
                <w:b/>
                <w:bCs/>
                <w:szCs w:val="22"/>
              </w:rPr>
            </w:pPr>
            <w:del w:id="7809" w:author="AbbVie_HU_03" w:date="2025-05-14T15:27:00Z">
              <w:r w:rsidRPr="00183B5F">
                <w:rPr>
                  <w:b/>
                  <w:bCs/>
                  <w:szCs w:val="22"/>
                </w:rPr>
                <w:delText>Alacsony dózis</w:delText>
              </w:r>
            </w:del>
          </w:p>
          <w:p w14:paraId="1EF7CE05" w14:textId="5C02DA1A" w:rsidR="002B552B" w:rsidRPr="00183B5F" w:rsidRDefault="00943743" w:rsidP="008638B3">
            <w:pPr>
              <w:keepNext/>
              <w:keepLines/>
              <w:tabs>
                <w:tab w:val="left" w:pos="-1080"/>
              </w:tabs>
              <w:suppressAutoHyphens w:val="0"/>
              <w:autoSpaceDE w:val="0"/>
              <w:autoSpaceDN w:val="0"/>
              <w:adjustRightInd w:val="0"/>
              <w:spacing w:line="240" w:lineRule="auto"/>
              <w:ind w:left="15"/>
              <w:jc w:val="center"/>
              <w:rPr>
                <w:del w:id="7810" w:author="AbbVie_HU_03" w:date="2025-05-14T15:27:00Z"/>
                <w:b/>
                <w:bCs/>
                <w:szCs w:val="22"/>
              </w:rPr>
            </w:pPr>
            <w:del w:id="7811" w:author="AbbVie_HU_03" w:date="2025-05-14T15:27:00Z">
              <w:r w:rsidRPr="00183B5F">
                <w:rPr>
                  <w:b/>
                  <w:bCs/>
                  <w:szCs w:val="22"/>
                </w:rPr>
                <w:delText>20/10 mg</w:delText>
              </w:r>
            </w:del>
          </w:p>
          <w:p w14:paraId="23A76159" w14:textId="6C0C8B4F" w:rsidR="002B552B" w:rsidRPr="00183B5F" w:rsidRDefault="00943743" w:rsidP="008638B3">
            <w:pPr>
              <w:keepNext/>
              <w:keepLines/>
              <w:tabs>
                <w:tab w:val="left" w:pos="-1080"/>
              </w:tabs>
              <w:suppressAutoHyphens w:val="0"/>
              <w:autoSpaceDE w:val="0"/>
              <w:autoSpaceDN w:val="0"/>
              <w:adjustRightInd w:val="0"/>
              <w:spacing w:line="240" w:lineRule="auto"/>
              <w:ind w:left="15"/>
              <w:jc w:val="center"/>
              <w:rPr>
                <w:del w:id="7812" w:author="AbbVie_HU_03" w:date="2025-05-14T15:27:00Z"/>
                <w:b/>
                <w:bCs/>
                <w:szCs w:val="22"/>
              </w:rPr>
            </w:pPr>
            <w:del w:id="7813" w:author="AbbVie_HU_03" w:date="2025-05-14T15:27:00Z">
              <w:r w:rsidRPr="00183B5F">
                <w:rPr>
                  <w:b/>
                  <w:bCs/>
                  <w:szCs w:val="22"/>
                </w:rPr>
                <w:delText xml:space="preserve">kéthetente </w:delText>
              </w:r>
            </w:del>
          </w:p>
        </w:tc>
        <w:tc>
          <w:tcPr>
            <w:tcW w:w="1140" w:type="dxa"/>
            <w:tcBorders>
              <w:top w:val="single" w:sz="6" w:space="0" w:color="000000"/>
              <w:left w:val="single" w:sz="6" w:space="0" w:color="000000"/>
              <w:bottom w:val="single" w:sz="6" w:space="0" w:color="000000"/>
              <w:right w:val="single" w:sz="6" w:space="0" w:color="000000"/>
            </w:tcBorders>
          </w:tcPr>
          <w:p w14:paraId="674E4A67" w14:textId="152EC73D" w:rsidR="002B552B" w:rsidRPr="00183B5F" w:rsidRDefault="00943743" w:rsidP="008638B3">
            <w:pPr>
              <w:keepNext/>
              <w:keepLines/>
              <w:tabs>
                <w:tab w:val="left" w:pos="-1080"/>
              </w:tabs>
              <w:suppressAutoHyphens w:val="0"/>
              <w:autoSpaceDE w:val="0"/>
              <w:autoSpaceDN w:val="0"/>
              <w:adjustRightInd w:val="0"/>
              <w:spacing w:line="240" w:lineRule="auto"/>
              <w:ind w:left="15"/>
              <w:jc w:val="center"/>
              <w:rPr>
                <w:del w:id="7814" w:author="AbbVie_HU_03" w:date="2025-05-14T15:27:00Z"/>
                <w:b/>
                <w:bCs/>
                <w:szCs w:val="22"/>
              </w:rPr>
            </w:pPr>
            <w:del w:id="7815" w:author="AbbVie_HU_03" w:date="2025-05-14T15:27:00Z">
              <w:r w:rsidRPr="00183B5F">
                <w:rPr>
                  <w:b/>
                  <w:bCs/>
                  <w:szCs w:val="22"/>
                </w:rPr>
                <w:delText>p</w:delText>
              </w:r>
              <w:r w:rsidRPr="00183B5F">
                <w:rPr>
                  <w:b/>
                  <w:bCs/>
                  <w:szCs w:val="22"/>
                </w:rPr>
                <w:noBreakHyphen/>
                <w:delText>érték</w:delText>
              </w:r>
              <w:r w:rsidRPr="00183B5F">
                <w:rPr>
                  <w:b/>
                  <w:bCs/>
                  <w:szCs w:val="22"/>
                  <w:vertAlign w:val="superscript"/>
                </w:rPr>
                <w:delText>1</w:delText>
              </w:r>
            </w:del>
          </w:p>
        </w:tc>
      </w:tr>
      <w:tr w:rsidR="00011D2F" w14:paraId="2D6F29E0" w14:textId="12C7D924" w:rsidTr="008638B3">
        <w:trPr>
          <w:cantSplit/>
          <w:jc w:val="center"/>
          <w:del w:id="7816" w:author="AbbVie_HU_03" w:date="2025-05-14T15:27:00Z"/>
        </w:trPr>
        <w:tc>
          <w:tcPr>
            <w:tcW w:w="4025" w:type="dxa"/>
            <w:tcBorders>
              <w:top w:val="single" w:sz="6" w:space="0" w:color="000000"/>
              <w:left w:val="single" w:sz="6" w:space="0" w:color="000000"/>
              <w:bottom w:val="single" w:sz="6" w:space="0" w:color="000000"/>
              <w:right w:val="single" w:sz="6" w:space="0" w:color="000000"/>
            </w:tcBorders>
            <w:vAlign w:val="bottom"/>
          </w:tcPr>
          <w:p w14:paraId="4935D327" w14:textId="51966E3D" w:rsidR="002B552B" w:rsidRPr="00183B5F" w:rsidRDefault="00943743" w:rsidP="008638B3">
            <w:pPr>
              <w:keepNext/>
              <w:keepLines/>
              <w:tabs>
                <w:tab w:val="left" w:pos="-1080"/>
              </w:tabs>
              <w:suppressAutoHyphens w:val="0"/>
              <w:autoSpaceDE w:val="0"/>
              <w:autoSpaceDN w:val="0"/>
              <w:adjustRightInd w:val="0"/>
              <w:spacing w:line="240" w:lineRule="auto"/>
              <w:rPr>
                <w:del w:id="7817" w:author="AbbVie_HU_03" w:date="2025-05-14T15:27:00Z"/>
                <w:b/>
                <w:szCs w:val="22"/>
              </w:rPr>
            </w:pPr>
            <w:del w:id="7818" w:author="AbbVie_HU_03" w:date="2025-05-14T15:27:00Z">
              <w:r w:rsidRPr="00183B5F">
                <w:rPr>
                  <w:b/>
                  <w:szCs w:val="22"/>
                </w:rPr>
                <w:delText>Kortikoszteroidok felfüggesztése</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30F25F61" w14:textId="64F3E279" w:rsidR="002B552B" w:rsidRPr="00183B5F" w:rsidRDefault="00943743" w:rsidP="008638B3">
            <w:pPr>
              <w:keepNext/>
              <w:keepLines/>
              <w:tabs>
                <w:tab w:val="left" w:pos="-1080"/>
              </w:tabs>
              <w:suppressAutoHyphens w:val="0"/>
              <w:autoSpaceDE w:val="0"/>
              <w:autoSpaceDN w:val="0"/>
              <w:adjustRightInd w:val="0"/>
              <w:spacing w:line="240" w:lineRule="auto"/>
              <w:ind w:left="15"/>
              <w:jc w:val="center"/>
              <w:rPr>
                <w:del w:id="7819" w:author="AbbVie_HU_03" w:date="2025-05-14T15:27:00Z"/>
                <w:b/>
                <w:szCs w:val="22"/>
              </w:rPr>
            </w:pPr>
            <w:del w:id="7820" w:author="AbbVie_HU_03" w:date="2025-05-14T15:27:00Z">
              <w:r w:rsidRPr="00183B5F">
                <w:rPr>
                  <w:b/>
                  <w:szCs w:val="22"/>
                </w:rPr>
                <w:delText>N = 33</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5D41C867" w14:textId="0199FB88" w:rsidR="002B552B" w:rsidRPr="00183B5F" w:rsidRDefault="00943743" w:rsidP="008638B3">
            <w:pPr>
              <w:keepNext/>
              <w:keepLines/>
              <w:tabs>
                <w:tab w:val="left" w:pos="-1080"/>
              </w:tabs>
              <w:suppressAutoHyphens w:val="0"/>
              <w:autoSpaceDE w:val="0"/>
              <w:autoSpaceDN w:val="0"/>
              <w:adjustRightInd w:val="0"/>
              <w:spacing w:line="240" w:lineRule="auto"/>
              <w:ind w:left="15"/>
              <w:jc w:val="center"/>
              <w:rPr>
                <w:del w:id="7821" w:author="AbbVie_HU_03" w:date="2025-05-14T15:27:00Z"/>
                <w:b/>
                <w:szCs w:val="22"/>
              </w:rPr>
            </w:pPr>
            <w:del w:id="7822" w:author="AbbVie_HU_03" w:date="2025-05-14T15:27:00Z">
              <w:r w:rsidRPr="00183B5F">
                <w:rPr>
                  <w:b/>
                  <w:szCs w:val="22"/>
                </w:rPr>
                <w:delText>N = 38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3FB21227" w14:textId="0B53393F" w:rsidR="002B552B" w:rsidRPr="00183B5F" w:rsidRDefault="002B552B" w:rsidP="008638B3">
            <w:pPr>
              <w:keepNext/>
              <w:keepLines/>
              <w:suppressAutoHyphens w:val="0"/>
              <w:autoSpaceDE w:val="0"/>
              <w:autoSpaceDN w:val="0"/>
              <w:adjustRightInd w:val="0"/>
              <w:spacing w:line="240" w:lineRule="auto"/>
              <w:ind w:left="15"/>
              <w:rPr>
                <w:del w:id="7823" w:author="AbbVie_HU_03" w:date="2025-05-14T15:27:00Z"/>
                <w:b/>
                <w:szCs w:val="22"/>
              </w:rPr>
            </w:pPr>
          </w:p>
        </w:tc>
      </w:tr>
      <w:tr w:rsidR="00011D2F" w14:paraId="7818BB7F" w14:textId="456208DC" w:rsidTr="008638B3">
        <w:trPr>
          <w:cantSplit/>
          <w:jc w:val="center"/>
          <w:del w:id="7824" w:author="AbbVie_HU_03" w:date="2025-05-14T15:27:00Z"/>
        </w:trPr>
        <w:tc>
          <w:tcPr>
            <w:tcW w:w="4025" w:type="dxa"/>
            <w:tcBorders>
              <w:top w:val="single" w:sz="6" w:space="0" w:color="000000"/>
              <w:left w:val="single" w:sz="6" w:space="0" w:color="000000"/>
              <w:bottom w:val="single" w:sz="6" w:space="0" w:color="000000"/>
              <w:right w:val="single" w:sz="6" w:space="0" w:color="000000"/>
            </w:tcBorders>
            <w:vAlign w:val="bottom"/>
          </w:tcPr>
          <w:p w14:paraId="1CA649B3" w14:textId="5480DE5E" w:rsidR="002B552B" w:rsidRPr="00183B5F" w:rsidRDefault="00943743" w:rsidP="008638B3">
            <w:pPr>
              <w:keepNext/>
              <w:keepLines/>
              <w:tabs>
                <w:tab w:val="left" w:pos="-1080"/>
              </w:tabs>
              <w:suppressAutoHyphens w:val="0"/>
              <w:autoSpaceDE w:val="0"/>
              <w:autoSpaceDN w:val="0"/>
              <w:adjustRightInd w:val="0"/>
              <w:spacing w:line="240" w:lineRule="auto"/>
              <w:rPr>
                <w:del w:id="7825" w:author="AbbVie_HU_03" w:date="2025-05-14T15:27:00Z"/>
                <w:bCs/>
                <w:szCs w:val="22"/>
              </w:rPr>
            </w:pPr>
            <w:del w:id="7826" w:author="AbbVie_HU_03" w:date="2025-05-14T15:27:00Z">
              <w:r w:rsidRPr="00183B5F">
                <w:rPr>
                  <w:bCs/>
                  <w:szCs w:val="22"/>
                </w:rPr>
                <w:delText>26. hét</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32660AE8" w14:textId="1670BFAE" w:rsidR="002B552B" w:rsidRPr="00183B5F" w:rsidRDefault="00943743" w:rsidP="008638B3">
            <w:pPr>
              <w:keepNext/>
              <w:keepLines/>
              <w:tabs>
                <w:tab w:val="left" w:pos="-1080"/>
              </w:tabs>
              <w:suppressAutoHyphens w:val="0"/>
              <w:autoSpaceDE w:val="0"/>
              <w:autoSpaceDN w:val="0"/>
              <w:adjustRightInd w:val="0"/>
              <w:spacing w:line="240" w:lineRule="auto"/>
              <w:ind w:left="15"/>
              <w:jc w:val="center"/>
              <w:rPr>
                <w:del w:id="7827" w:author="AbbVie_HU_03" w:date="2025-05-14T15:27:00Z"/>
                <w:szCs w:val="22"/>
              </w:rPr>
            </w:pPr>
            <w:del w:id="7828" w:author="AbbVie_HU_03" w:date="2025-05-14T15:27:00Z">
              <w:r w:rsidRPr="00183B5F">
                <w:rPr>
                  <w:szCs w:val="22"/>
                </w:rPr>
                <w:delText>84,8%</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0FBD2693" w14:textId="1A79E4F3" w:rsidR="002B552B" w:rsidRPr="00183B5F" w:rsidRDefault="00943743" w:rsidP="008638B3">
            <w:pPr>
              <w:keepNext/>
              <w:keepLines/>
              <w:tabs>
                <w:tab w:val="left" w:pos="-1080"/>
              </w:tabs>
              <w:suppressAutoHyphens w:val="0"/>
              <w:autoSpaceDE w:val="0"/>
              <w:autoSpaceDN w:val="0"/>
              <w:adjustRightInd w:val="0"/>
              <w:spacing w:line="240" w:lineRule="auto"/>
              <w:ind w:left="15"/>
              <w:jc w:val="center"/>
              <w:rPr>
                <w:del w:id="7829" w:author="AbbVie_HU_03" w:date="2025-05-14T15:27:00Z"/>
                <w:szCs w:val="22"/>
              </w:rPr>
            </w:pPr>
            <w:del w:id="7830" w:author="AbbVie_HU_03" w:date="2025-05-14T15:27:00Z">
              <w:r w:rsidRPr="00183B5F">
                <w:rPr>
                  <w:szCs w:val="22"/>
                </w:rPr>
                <w:delText>65,8%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667D8308" w14:textId="2D9B99A5" w:rsidR="002B552B" w:rsidRPr="00183B5F" w:rsidRDefault="00943743" w:rsidP="008638B3">
            <w:pPr>
              <w:keepNext/>
              <w:keepLines/>
              <w:tabs>
                <w:tab w:val="left" w:pos="-1080"/>
              </w:tabs>
              <w:suppressAutoHyphens w:val="0"/>
              <w:autoSpaceDE w:val="0"/>
              <w:autoSpaceDN w:val="0"/>
              <w:adjustRightInd w:val="0"/>
              <w:spacing w:line="240" w:lineRule="auto"/>
              <w:ind w:left="15"/>
              <w:jc w:val="center"/>
              <w:rPr>
                <w:del w:id="7831" w:author="AbbVie_HU_03" w:date="2025-05-14T15:27:00Z"/>
                <w:szCs w:val="22"/>
              </w:rPr>
            </w:pPr>
            <w:del w:id="7832" w:author="AbbVie_HU_03" w:date="2025-05-14T15:27:00Z">
              <w:r w:rsidRPr="00183B5F">
                <w:rPr>
                  <w:szCs w:val="22"/>
                </w:rPr>
                <w:delText>0,066</w:delText>
              </w:r>
            </w:del>
          </w:p>
        </w:tc>
      </w:tr>
      <w:tr w:rsidR="00011D2F" w14:paraId="192AFA73" w14:textId="0A1E7B8D" w:rsidTr="008638B3">
        <w:trPr>
          <w:cantSplit/>
          <w:jc w:val="center"/>
          <w:del w:id="7833" w:author="AbbVie_HU_03" w:date="2025-05-14T15:27:00Z"/>
        </w:trPr>
        <w:tc>
          <w:tcPr>
            <w:tcW w:w="4025" w:type="dxa"/>
            <w:tcBorders>
              <w:top w:val="single" w:sz="6" w:space="0" w:color="000000"/>
              <w:left w:val="single" w:sz="6" w:space="0" w:color="000000"/>
              <w:bottom w:val="single" w:sz="6" w:space="0" w:color="000000"/>
              <w:right w:val="single" w:sz="6" w:space="0" w:color="000000"/>
            </w:tcBorders>
            <w:vAlign w:val="bottom"/>
          </w:tcPr>
          <w:p w14:paraId="67DDDF0F" w14:textId="1C0E047C" w:rsidR="002B552B" w:rsidRPr="00183B5F" w:rsidRDefault="00943743" w:rsidP="008638B3">
            <w:pPr>
              <w:keepNext/>
              <w:keepLines/>
              <w:tabs>
                <w:tab w:val="left" w:pos="-1080"/>
              </w:tabs>
              <w:suppressAutoHyphens w:val="0"/>
              <w:autoSpaceDE w:val="0"/>
              <w:autoSpaceDN w:val="0"/>
              <w:adjustRightInd w:val="0"/>
              <w:spacing w:line="240" w:lineRule="auto"/>
              <w:rPr>
                <w:del w:id="7834" w:author="AbbVie_HU_03" w:date="2025-05-14T15:27:00Z"/>
                <w:bCs/>
                <w:szCs w:val="22"/>
              </w:rPr>
            </w:pPr>
            <w:del w:id="7835" w:author="AbbVie_HU_03" w:date="2025-05-14T15:27:00Z">
              <w:r w:rsidRPr="00183B5F">
                <w:rPr>
                  <w:bCs/>
                  <w:szCs w:val="22"/>
                </w:rPr>
                <w:delText>52. hét</w:delText>
              </w:r>
            </w:del>
          </w:p>
        </w:tc>
        <w:tc>
          <w:tcPr>
            <w:tcW w:w="1656" w:type="dxa"/>
            <w:tcBorders>
              <w:top w:val="single" w:sz="6" w:space="0" w:color="000000"/>
              <w:left w:val="single" w:sz="6" w:space="0" w:color="000000"/>
              <w:bottom w:val="single" w:sz="6" w:space="0" w:color="000000"/>
              <w:right w:val="single" w:sz="6" w:space="0" w:color="000000"/>
            </w:tcBorders>
          </w:tcPr>
          <w:p w14:paraId="45C34041" w14:textId="7939AEC9" w:rsidR="002B552B" w:rsidRPr="00183B5F" w:rsidRDefault="00943743" w:rsidP="008638B3">
            <w:pPr>
              <w:keepNext/>
              <w:keepLines/>
              <w:tabs>
                <w:tab w:val="left" w:pos="-1080"/>
              </w:tabs>
              <w:suppressAutoHyphens w:val="0"/>
              <w:autoSpaceDE w:val="0"/>
              <w:autoSpaceDN w:val="0"/>
              <w:adjustRightInd w:val="0"/>
              <w:spacing w:line="240" w:lineRule="auto"/>
              <w:ind w:left="15"/>
              <w:jc w:val="center"/>
              <w:rPr>
                <w:del w:id="7836" w:author="AbbVie_HU_03" w:date="2025-05-14T15:27:00Z"/>
                <w:szCs w:val="22"/>
              </w:rPr>
            </w:pPr>
            <w:del w:id="7837" w:author="AbbVie_HU_03" w:date="2025-05-14T15:27:00Z">
              <w:r w:rsidRPr="00183B5F">
                <w:rPr>
                  <w:szCs w:val="22"/>
                </w:rPr>
                <w:delText>69,7%</w:delText>
              </w:r>
            </w:del>
          </w:p>
        </w:tc>
        <w:tc>
          <w:tcPr>
            <w:tcW w:w="1619" w:type="dxa"/>
            <w:tcBorders>
              <w:top w:val="single" w:sz="6" w:space="0" w:color="000000"/>
              <w:left w:val="single" w:sz="6" w:space="0" w:color="000000"/>
              <w:bottom w:val="single" w:sz="6" w:space="0" w:color="000000"/>
              <w:right w:val="single" w:sz="6" w:space="0" w:color="000000"/>
            </w:tcBorders>
          </w:tcPr>
          <w:p w14:paraId="6E84D67A" w14:textId="72EBC1FA" w:rsidR="002B552B" w:rsidRPr="00183B5F" w:rsidRDefault="00943743" w:rsidP="008638B3">
            <w:pPr>
              <w:keepNext/>
              <w:keepLines/>
              <w:tabs>
                <w:tab w:val="left" w:pos="-1080"/>
              </w:tabs>
              <w:suppressAutoHyphens w:val="0"/>
              <w:autoSpaceDE w:val="0"/>
              <w:autoSpaceDN w:val="0"/>
              <w:adjustRightInd w:val="0"/>
              <w:spacing w:line="240" w:lineRule="auto"/>
              <w:ind w:left="15"/>
              <w:jc w:val="center"/>
              <w:rPr>
                <w:del w:id="7838" w:author="AbbVie_HU_03" w:date="2025-05-14T15:27:00Z"/>
                <w:szCs w:val="22"/>
              </w:rPr>
            </w:pPr>
            <w:del w:id="7839" w:author="AbbVie_HU_03" w:date="2025-05-14T15:27:00Z">
              <w:r w:rsidRPr="00183B5F">
                <w:rPr>
                  <w:szCs w:val="22"/>
                </w:rPr>
                <w:delText>60,5%</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7924F07E" w14:textId="3E20C47B" w:rsidR="002B552B" w:rsidRPr="00183B5F" w:rsidRDefault="00943743" w:rsidP="008638B3">
            <w:pPr>
              <w:keepNext/>
              <w:keepLines/>
              <w:tabs>
                <w:tab w:val="left" w:pos="-1080"/>
              </w:tabs>
              <w:suppressAutoHyphens w:val="0"/>
              <w:autoSpaceDE w:val="0"/>
              <w:autoSpaceDN w:val="0"/>
              <w:adjustRightInd w:val="0"/>
              <w:spacing w:line="240" w:lineRule="auto"/>
              <w:ind w:left="15"/>
              <w:jc w:val="center"/>
              <w:rPr>
                <w:del w:id="7840" w:author="AbbVie_HU_03" w:date="2025-05-14T15:27:00Z"/>
                <w:szCs w:val="22"/>
              </w:rPr>
            </w:pPr>
            <w:del w:id="7841" w:author="AbbVie_HU_03" w:date="2025-05-14T15:27:00Z">
              <w:r w:rsidRPr="00183B5F">
                <w:rPr>
                  <w:szCs w:val="22"/>
                </w:rPr>
                <w:delText>0,420</w:delText>
              </w:r>
            </w:del>
          </w:p>
        </w:tc>
      </w:tr>
      <w:tr w:rsidR="00011D2F" w14:paraId="3690D811" w14:textId="7B094FEC" w:rsidTr="008638B3">
        <w:trPr>
          <w:cantSplit/>
          <w:jc w:val="center"/>
          <w:del w:id="7842" w:author="AbbVie_HU_03" w:date="2025-05-14T15:27:00Z"/>
        </w:trPr>
        <w:tc>
          <w:tcPr>
            <w:tcW w:w="4025" w:type="dxa"/>
            <w:tcBorders>
              <w:top w:val="single" w:sz="6" w:space="0" w:color="000000"/>
              <w:left w:val="single" w:sz="6" w:space="0" w:color="000000"/>
              <w:bottom w:val="single" w:sz="6" w:space="0" w:color="000000"/>
              <w:right w:val="single" w:sz="6" w:space="0" w:color="000000"/>
            </w:tcBorders>
            <w:vAlign w:val="bottom"/>
          </w:tcPr>
          <w:p w14:paraId="20D6DE2D" w14:textId="19A04796" w:rsidR="002B552B" w:rsidRPr="00183B5F" w:rsidRDefault="00943743" w:rsidP="008638B3">
            <w:pPr>
              <w:keepNext/>
              <w:keepLines/>
              <w:tabs>
                <w:tab w:val="left" w:pos="-1080"/>
              </w:tabs>
              <w:suppressAutoHyphens w:val="0"/>
              <w:autoSpaceDE w:val="0"/>
              <w:autoSpaceDN w:val="0"/>
              <w:adjustRightInd w:val="0"/>
              <w:spacing w:line="240" w:lineRule="auto"/>
              <w:rPr>
                <w:del w:id="7843" w:author="AbbVie_HU_03" w:date="2025-05-14T15:27:00Z"/>
                <w:b/>
                <w:szCs w:val="22"/>
              </w:rPr>
            </w:pPr>
            <w:del w:id="7844" w:author="AbbVie_HU_03" w:date="2025-05-14T15:27:00Z">
              <w:r w:rsidRPr="00183B5F">
                <w:rPr>
                  <w:b/>
                  <w:szCs w:val="22"/>
                </w:rPr>
                <w:delText>Immunmodulátorok felfüggesztése</w:delText>
              </w:r>
              <w:r w:rsidRPr="00183B5F">
                <w:rPr>
                  <w:b/>
                  <w:szCs w:val="22"/>
                  <w:vertAlign w:val="superscript"/>
                </w:rPr>
                <w:delText>2</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6E163A5D" w14:textId="1AEA3F47" w:rsidR="002B552B" w:rsidRPr="00183B5F" w:rsidRDefault="00943743" w:rsidP="008638B3">
            <w:pPr>
              <w:keepNext/>
              <w:keepLines/>
              <w:tabs>
                <w:tab w:val="left" w:pos="-1080"/>
              </w:tabs>
              <w:suppressAutoHyphens w:val="0"/>
              <w:autoSpaceDE w:val="0"/>
              <w:autoSpaceDN w:val="0"/>
              <w:adjustRightInd w:val="0"/>
              <w:spacing w:line="240" w:lineRule="auto"/>
              <w:ind w:left="15"/>
              <w:jc w:val="center"/>
              <w:rPr>
                <w:del w:id="7845" w:author="AbbVie_HU_03" w:date="2025-05-14T15:27:00Z"/>
                <w:b/>
                <w:szCs w:val="22"/>
              </w:rPr>
            </w:pPr>
            <w:del w:id="7846" w:author="AbbVie_HU_03" w:date="2025-05-14T15:27:00Z">
              <w:r w:rsidRPr="00183B5F">
                <w:rPr>
                  <w:b/>
                  <w:szCs w:val="22"/>
                </w:rPr>
                <w:delText>N = 60</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65C9EFB4" w14:textId="0011F667" w:rsidR="002B552B" w:rsidRPr="00183B5F" w:rsidRDefault="00943743" w:rsidP="008638B3">
            <w:pPr>
              <w:keepNext/>
              <w:keepLines/>
              <w:tabs>
                <w:tab w:val="left" w:pos="-1080"/>
              </w:tabs>
              <w:suppressAutoHyphens w:val="0"/>
              <w:autoSpaceDE w:val="0"/>
              <w:autoSpaceDN w:val="0"/>
              <w:adjustRightInd w:val="0"/>
              <w:spacing w:line="240" w:lineRule="auto"/>
              <w:ind w:left="15"/>
              <w:jc w:val="center"/>
              <w:rPr>
                <w:del w:id="7847" w:author="AbbVie_HU_03" w:date="2025-05-14T15:27:00Z"/>
                <w:b/>
                <w:szCs w:val="22"/>
              </w:rPr>
            </w:pPr>
            <w:del w:id="7848" w:author="AbbVie_HU_03" w:date="2025-05-14T15:27:00Z">
              <w:r w:rsidRPr="00183B5F">
                <w:rPr>
                  <w:b/>
                  <w:szCs w:val="22"/>
                </w:rPr>
                <w:delText>N = 57</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0EFDB837" w14:textId="4C267953" w:rsidR="002B552B" w:rsidRPr="00183B5F" w:rsidRDefault="002B552B" w:rsidP="008638B3">
            <w:pPr>
              <w:keepNext/>
              <w:suppressAutoHyphens w:val="0"/>
              <w:autoSpaceDE w:val="0"/>
              <w:autoSpaceDN w:val="0"/>
              <w:adjustRightInd w:val="0"/>
              <w:spacing w:line="240" w:lineRule="auto"/>
              <w:ind w:left="15"/>
              <w:rPr>
                <w:del w:id="7849" w:author="AbbVie_HU_03" w:date="2025-05-14T15:27:00Z"/>
                <w:b/>
                <w:szCs w:val="22"/>
              </w:rPr>
            </w:pPr>
          </w:p>
        </w:tc>
      </w:tr>
      <w:tr w:rsidR="00011D2F" w14:paraId="7DC35913" w14:textId="50A83A32" w:rsidTr="008638B3">
        <w:trPr>
          <w:cantSplit/>
          <w:jc w:val="center"/>
          <w:del w:id="7850" w:author="AbbVie_HU_03" w:date="2025-05-14T15:27:00Z"/>
        </w:trPr>
        <w:tc>
          <w:tcPr>
            <w:tcW w:w="4025" w:type="dxa"/>
            <w:tcBorders>
              <w:top w:val="single" w:sz="6" w:space="0" w:color="000000"/>
              <w:left w:val="single" w:sz="6" w:space="0" w:color="000000"/>
              <w:bottom w:val="single" w:sz="6" w:space="0" w:color="000000"/>
              <w:right w:val="single" w:sz="6" w:space="0" w:color="000000"/>
            </w:tcBorders>
          </w:tcPr>
          <w:p w14:paraId="6DBDE5F4" w14:textId="154F2C35" w:rsidR="002B552B" w:rsidRPr="00183B5F" w:rsidRDefault="00943743" w:rsidP="008638B3">
            <w:pPr>
              <w:keepNext/>
              <w:keepLines/>
              <w:tabs>
                <w:tab w:val="left" w:pos="-1080"/>
              </w:tabs>
              <w:suppressAutoHyphens w:val="0"/>
              <w:autoSpaceDE w:val="0"/>
              <w:autoSpaceDN w:val="0"/>
              <w:adjustRightInd w:val="0"/>
              <w:spacing w:line="240" w:lineRule="auto"/>
              <w:rPr>
                <w:del w:id="7851" w:author="AbbVie_HU_03" w:date="2025-05-14T15:27:00Z"/>
                <w:bCs/>
                <w:szCs w:val="22"/>
              </w:rPr>
            </w:pPr>
            <w:del w:id="7852" w:author="AbbVie_HU_03" w:date="2025-05-14T15:27:00Z">
              <w:r w:rsidRPr="00183B5F">
                <w:rPr>
                  <w:bCs/>
                  <w:szCs w:val="22"/>
                </w:rPr>
                <w:delText>52. hét</w:delText>
              </w:r>
            </w:del>
          </w:p>
        </w:tc>
        <w:tc>
          <w:tcPr>
            <w:tcW w:w="1656" w:type="dxa"/>
            <w:tcBorders>
              <w:top w:val="single" w:sz="6" w:space="0" w:color="000000"/>
              <w:left w:val="single" w:sz="6" w:space="0" w:color="000000"/>
              <w:bottom w:val="single" w:sz="6" w:space="0" w:color="000000"/>
              <w:right w:val="single" w:sz="6" w:space="0" w:color="000000"/>
            </w:tcBorders>
          </w:tcPr>
          <w:p w14:paraId="292BC36B" w14:textId="08C4E826" w:rsidR="002B552B" w:rsidRPr="00183B5F" w:rsidRDefault="00943743" w:rsidP="008638B3">
            <w:pPr>
              <w:keepNext/>
              <w:keepLines/>
              <w:tabs>
                <w:tab w:val="left" w:pos="-1080"/>
              </w:tabs>
              <w:suppressAutoHyphens w:val="0"/>
              <w:autoSpaceDE w:val="0"/>
              <w:autoSpaceDN w:val="0"/>
              <w:adjustRightInd w:val="0"/>
              <w:spacing w:line="240" w:lineRule="auto"/>
              <w:ind w:left="15"/>
              <w:jc w:val="center"/>
              <w:rPr>
                <w:del w:id="7853" w:author="AbbVie_HU_03" w:date="2025-05-14T15:27:00Z"/>
                <w:szCs w:val="22"/>
              </w:rPr>
            </w:pPr>
            <w:del w:id="7854" w:author="AbbVie_HU_03" w:date="2025-05-14T15:27:00Z">
              <w:r w:rsidRPr="00183B5F">
                <w:rPr>
                  <w:szCs w:val="22"/>
                </w:rPr>
                <w:delText>30,0%</w:delText>
              </w:r>
            </w:del>
          </w:p>
        </w:tc>
        <w:tc>
          <w:tcPr>
            <w:tcW w:w="1619" w:type="dxa"/>
            <w:tcBorders>
              <w:top w:val="single" w:sz="6" w:space="0" w:color="000000"/>
              <w:left w:val="single" w:sz="6" w:space="0" w:color="000000"/>
              <w:bottom w:val="single" w:sz="6" w:space="0" w:color="000000"/>
              <w:right w:val="single" w:sz="6" w:space="0" w:color="000000"/>
            </w:tcBorders>
          </w:tcPr>
          <w:p w14:paraId="0EF4AA6E" w14:textId="032571AC" w:rsidR="002B552B" w:rsidRPr="00183B5F" w:rsidRDefault="00943743" w:rsidP="008638B3">
            <w:pPr>
              <w:keepNext/>
              <w:keepLines/>
              <w:tabs>
                <w:tab w:val="left" w:pos="-1080"/>
              </w:tabs>
              <w:suppressAutoHyphens w:val="0"/>
              <w:autoSpaceDE w:val="0"/>
              <w:autoSpaceDN w:val="0"/>
              <w:adjustRightInd w:val="0"/>
              <w:spacing w:line="240" w:lineRule="auto"/>
              <w:ind w:left="15"/>
              <w:jc w:val="center"/>
              <w:rPr>
                <w:del w:id="7855" w:author="AbbVie_HU_03" w:date="2025-05-14T15:27:00Z"/>
                <w:szCs w:val="22"/>
              </w:rPr>
            </w:pPr>
            <w:del w:id="7856" w:author="AbbVie_HU_03" w:date="2025-05-14T15:27:00Z">
              <w:r w:rsidRPr="00183B5F">
                <w:rPr>
                  <w:szCs w:val="22"/>
                </w:rPr>
                <w:delText>29,8%</w:delText>
              </w:r>
            </w:del>
          </w:p>
        </w:tc>
        <w:tc>
          <w:tcPr>
            <w:tcW w:w="1140" w:type="dxa"/>
            <w:tcBorders>
              <w:top w:val="single" w:sz="6" w:space="0" w:color="000000"/>
              <w:left w:val="single" w:sz="6" w:space="0" w:color="000000"/>
              <w:bottom w:val="single" w:sz="6" w:space="0" w:color="000000"/>
              <w:right w:val="single" w:sz="6" w:space="0" w:color="000000"/>
            </w:tcBorders>
          </w:tcPr>
          <w:p w14:paraId="5B3AE72C" w14:textId="19A100CB" w:rsidR="002B552B" w:rsidRPr="00183B5F" w:rsidRDefault="00943743" w:rsidP="008638B3">
            <w:pPr>
              <w:keepNext/>
              <w:keepLines/>
              <w:tabs>
                <w:tab w:val="left" w:pos="-1080"/>
              </w:tabs>
              <w:suppressAutoHyphens w:val="0"/>
              <w:autoSpaceDE w:val="0"/>
              <w:autoSpaceDN w:val="0"/>
              <w:adjustRightInd w:val="0"/>
              <w:spacing w:line="240" w:lineRule="auto"/>
              <w:ind w:left="15"/>
              <w:jc w:val="center"/>
              <w:rPr>
                <w:del w:id="7857" w:author="AbbVie_HU_03" w:date="2025-05-14T15:27:00Z"/>
                <w:szCs w:val="22"/>
              </w:rPr>
            </w:pPr>
            <w:del w:id="7858" w:author="AbbVie_HU_03" w:date="2025-05-14T15:27:00Z">
              <w:r w:rsidRPr="00183B5F">
                <w:rPr>
                  <w:szCs w:val="22"/>
                </w:rPr>
                <w:delText>0,983</w:delText>
              </w:r>
            </w:del>
          </w:p>
        </w:tc>
      </w:tr>
      <w:tr w:rsidR="00011D2F" w14:paraId="49D4C706" w14:textId="44C1C2DE" w:rsidTr="008638B3">
        <w:trPr>
          <w:cantSplit/>
          <w:jc w:val="center"/>
          <w:del w:id="7859" w:author="AbbVie_HU_03" w:date="2025-05-14T15:27:00Z"/>
        </w:trPr>
        <w:tc>
          <w:tcPr>
            <w:tcW w:w="4025" w:type="dxa"/>
            <w:tcBorders>
              <w:top w:val="single" w:sz="6" w:space="0" w:color="000000"/>
              <w:left w:val="single" w:sz="6" w:space="0" w:color="000000"/>
              <w:bottom w:val="single" w:sz="6" w:space="0" w:color="000000"/>
              <w:right w:val="single" w:sz="6" w:space="0" w:color="000000"/>
            </w:tcBorders>
          </w:tcPr>
          <w:p w14:paraId="4A3D22CA" w14:textId="4D2628B5" w:rsidR="002B552B" w:rsidRPr="00183B5F" w:rsidRDefault="00943743" w:rsidP="008638B3">
            <w:pPr>
              <w:keepNext/>
              <w:keepLines/>
              <w:tabs>
                <w:tab w:val="left" w:pos="-1080"/>
              </w:tabs>
              <w:suppressAutoHyphens w:val="0"/>
              <w:autoSpaceDE w:val="0"/>
              <w:autoSpaceDN w:val="0"/>
              <w:adjustRightInd w:val="0"/>
              <w:spacing w:line="240" w:lineRule="auto"/>
              <w:rPr>
                <w:del w:id="7860" w:author="AbbVie_HU_03" w:date="2025-05-14T15:27:00Z"/>
                <w:b/>
                <w:bCs/>
                <w:szCs w:val="22"/>
              </w:rPr>
            </w:pPr>
            <w:del w:id="7861" w:author="AbbVie_HU_03" w:date="2025-05-14T15:27:00Z">
              <w:r w:rsidRPr="00183B5F">
                <w:rPr>
                  <w:b/>
                  <w:szCs w:val="22"/>
                </w:rPr>
                <w:delText>Fistula-remisszió</w:delText>
              </w:r>
              <w:r w:rsidRPr="00183B5F">
                <w:rPr>
                  <w:b/>
                  <w:szCs w:val="22"/>
                  <w:vertAlign w:val="superscript"/>
                </w:rPr>
                <w:delText>3</w:delText>
              </w:r>
            </w:del>
          </w:p>
        </w:tc>
        <w:tc>
          <w:tcPr>
            <w:tcW w:w="1656" w:type="dxa"/>
            <w:tcBorders>
              <w:top w:val="single" w:sz="6" w:space="0" w:color="000000"/>
              <w:left w:val="single" w:sz="6" w:space="0" w:color="000000"/>
              <w:bottom w:val="single" w:sz="6" w:space="0" w:color="000000"/>
              <w:right w:val="single" w:sz="6" w:space="0" w:color="000000"/>
            </w:tcBorders>
          </w:tcPr>
          <w:p w14:paraId="266C8703" w14:textId="017ACF19" w:rsidR="002B552B" w:rsidRPr="00183B5F" w:rsidRDefault="00943743" w:rsidP="008638B3">
            <w:pPr>
              <w:keepNext/>
              <w:keepLines/>
              <w:tabs>
                <w:tab w:val="left" w:pos="-1080"/>
              </w:tabs>
              <w:suppressAutoHyphens w:val="0"/>
              <w:autoSpaceDE w:val="0"/>
              <w:autoSpaceDN w:val="0"/>
              <w:adjustRightInd w:val="0"/>
              <w:spacing w:line="240" w:lineRule="auto"/>
              <w:ind w:left="15"/>
              <w:jc w:val="center"/>
              <w:rPr>
                <w:del w:id="7862" w:author="AbbVie_HU_03" w:date="2025-05-14T15:27:00Z"/>
                <w:b/>
                <w:szCs w:val="22"/>
              </w:rPr>
            </w:pPr>
            <w:del w:id="7863" w:author="AbbVie_HU_03" w:date="2025-05-14T15:27:00Z">
              <w:r w:rsidRPr="00183B5F">
                <w:rPr>
                  <w:b/>
                  <w:szCs w:val="22"/>
                </w:rPr>
                <w:delText>N = 15</w:delText>
              </w:r>
            </w:del>
          </w:p>
        </w:tc>
        <w:tc>
          <w:tcPr>
            <w:tcW w:w="1619" w:type="dxa"/>
            <w:tcBorders>
              <w:top w:val="single" w:sz="6" w:space="0" w:color="000000"/>
              <w:left w:val="single" w:sz="6" w:space="0" w:color="000000"/>
              <w:bottom w:val="single" w:sz="6" w:space="0" w:color="000000"/>
              <w:right w:val="single" w:sz="6" w:space="0" w:color="000000"/>
            </w:tcBorders>
          </w:tcPr>
          <w:p w14:paraId="2C843996" w14:textId="24E88067" w:rsidR="002B552B" w:rsidRPr="00183B5F" w:rsidRDefault="00943743" w:rsidP="008638B3">
            <w:pPr>
              <w:keepNext/>
              <w:keepLines/>
              <w:tabs>
                <w:tab w:val="left" w:pos="-1080"/>
              </w:tabs>
              <w:suppressAutoHyphens w:val="0"/>
              <w:autoSpaceDE w:val="0"/>
              <w:autoSpaceDN w:val="0"/>
              <w:adjustRightInd w:val="0"/>
              <w:spacing w:line="240" w:lineRule="auto"/>
              <w:ind w:left="15"/>
              <w:jc w:val="center"/>
              <w:rPr>
                <w:del w:id="7864" w:author="AbbVie_HU_03" w:date="2025-05-14T15:27:00Z"/>
                <w:b/>
                <w:szCs w:val="22"/>
              </w:rPr>
            </w:pPr>
            <w:del w:id="7865" w:author="AbbVie_HU_03" w:date="2025-05-14T15:27:00Z">
              <w:r w:rsidRPr="00183B5F">
                <w:rPr>
                  <w:b/>
                  <w:szCs w:val="22"/>
                </w:rPr>
                <w:delText>N = 21</w:delText>
              </w:r>
            </w:del>
          </w:p>
        </w:tc>
        <w:tc>
          <w:tcPr>
            <w:tcW w:w="1140" w:type="dxa"/>
            <w:tcBorders>
              <w:top w:val="single" w:sz="6" w:space="0" w:color="000000"/>
              <w:left w:val="single" w:sz="6" w:space="0" w:color="000000"/>
              <w:bottom w:val="single" w:sz="6" w:space="0" w:color="000000"/>
              <w:right w:val="single" w:sz="6" w:space="0" w:color="000000"/>
            </w:tcBorders>
          </w:tcPr>
          <w:p w14:paraId="67A1EB82" w14:textId="0692B1F5" w:rsidR="002B552B" w:rsidRPr="00183B5F" w:rsidRDefault="002B552B" w:rsidP="008638B3">
            <w:pPr>
              <w:keepNext/>
              <w:keepLines/>
              <w:tabs>
                <w:tab w:val="left" w:pos="-1080"/>
              </w:tabs>
              <w:suppressAutoHyphens w:val="0"/>
              <w:autoSpaceDE w:val="0"/>
              <w:autoSpaceDN w:val="0"/>
              <w:adjustRightInd w:val="0"/>
              <w:spacing w:line="240" w:lineRule="auto"/>
              <w:ind w:left="15"/>
              <w:jc w:val="center"/>
              <w:rPr>
                <w:del w:id="7866" w:author="AbbVie_HU_03" w:date="2025-05-14T15:27:00Z"/>
                <w:szCs w:val="22"/>
              </w:rPr>
            </w:pPr>
          </w:p>
        </w:tc>
      </w:tr>
      <w:tr w:rsidR="00011D2F" w14:paraId="30938526" w14:textId="7851335D" w:rsidTr="008638B3">
        <w:trPr>
          <w:cantSplit/>
          <w:jc w:val="center"/>
          <w:del w:id="7867" w:author="AbbVie_HU_03" w:date="2025-05-14T15:27:00Z"/>
        </w:trPr>
        <w:tc>
          <w:tcPr>
            <w:tcW w:w="4025" w:type="dxa"/>
            <w:tcBorders>
              <w:top w:val="single" w:sz="6" w:space="0" w:color="000000"/>
              <w:left w:val="single" w:sz="6" w:space="0" w:color="000000"/>
              <w:bottom w:val="single" w:sz="6" w:space="0" w:color="000000"/>
              <w:right w:val="single" w:sz="6" w:space="0" w:color="000000"/>
            </w:tcBorders>
          </w:tcPr>
          <w:p w14:paraId="02E40122" w14:textId="1BF74AD5" w:rsidR="002B552B" w:rsidRPr="00183B5F" w:rsidRDefault="00943743" w:rsidP="008638B3">
            <w:pPr>
              <w:keepNext/>
              <w:keepLines/>
              <w:tabs>
                <w:tab w:val="left" w:pos="-1080"/>
              </w:tabs>
              <w:suppressAutoHyphens w:val="0"/>
              <w:autoSpaceDE w:val="0"/>
              <w:autoSpaceDN w:val="0"/>
              <w:adjustRightInd w:val="0"/>
              <w:spacing w:line="240" w:lineRule="auto"/>
              <w:rPr>
                <w:del w:id="7868" w:author="AbbVie_HU_03" w:date="2025-05-14T15:27:00Z"/>
                <w:bCs/>
                <w:szCs w:val="22"/>
              </w:rPr>
            </w:pPr>
            <w:del w:id="7869" w:author="AbbVie_HU_03" w:date="2025-05-14T15:27:00Z">
              <w:r w:rsidRPr="00183B5F">
                <w:rPr>
                  <w:bCs/>
                  <w:szCs w:val="22"/>
                </w:rPr>
                <w:delText>26. hét</w:delText>
              </w:r>
            </w:del>
          </w:p>
        </w:tc>
        <w:tc>
          <w:tcPr>
            <w:tcW w:w="1656" w:type="dxa"/>
            <w:tcBorders>
              <w:top w:val="single" w:sz="6" w:space="0" w:color="000000"/>
              <w:left w:val="single" w:sz="6" w:space="0" w:color="000000"/>
              <w:bottom w:val="single" w:sz="6" w:space="0" w:color="000000"/>
              <w:right w:val="single" w:sz="6" w:space="0" w:color="000000"/>
            </w:tcBorders>
          </w:tcPr>
          <w:p w14:paraId="000C2190" w14:textId="57AD7734" w:rsidR="002B552B" w:rsidRPr="00183B5F" w:rsidRDefault="00943743" w:rsidP="008638B3">
            <w:pPr>
              <w:keepNext/>
              <w:keepLines/>
              <w:tabs>
                <w:tab w:val="left" w:pos="-1080"/>
              </w:tabs>
              <w:suppressAutoHyphens w:val="0"/>
              <w:autoSpaceDE w:val="0"/>
              <w:autoSpaceDN w:val="0"/>
              <w:adjustRightInd w:val="0"/>
              <w:spacing w:line="240" w:lineRule="auto"/>
              <w:ind w:left="15"/>
              <w:jc w:val="center"/>
              <w:rPr>
                <w:del w:id="7870" w:author="AbbVie_HU_03" w:date="2025-05-14T15:27:00Z"/>
                <w:szCs w:val="22"/>
              </w:rPr>
            </w:pPr>
            <w:del w:id="7871" w:author="AbbVie_HU_03" w:date="2025-05-14T15:27:00Z">
              <w:r w:rsidRPr="00183B5F">
                <w:rPr>
                  <w:szCs w:val="22"/>
                </w:rPr>
                <w:delText>46,7%</w:delText>
              </w:r>
            </w:del>
          </w:p>
        </w:tc>
        <w:tc>
          <w:tcPr>
            <w:tcW w:w="1619" w:type="dxa"/>
            <w:tcBorders>
              <w:top w:val="single" w:sz="6" w:space="0" w:color="000000"/>
              <w:left w:val="single" w:sz="6" w:space="0" w:color="000000"/>
              <w:bottom w:val="single" w:sz="6" w:space="0" w:color="000000"/>
              <w:right w:val="single" w:sz="6" w:space="0" w:color="000000"/>
            </w:tcBorders>
          </w:tcPr>
          <w:p w14:paraId="6C704B3B" w14:textId="330DDA9B" w:rsidR="002B552B" w:rsidRPr="00183B5F" w:rsidRDefault="00943743" w:rsidP="008638B3">
            <w:pPr>
              <w:keepNext/>
              <w:keepLines/>
              <w:tabs>
                <w:tab w:val="left" w:pos="-1080"/>
              </w:tabs>
              <w:suppressAutoHyphens w:val="0"/>
              <w:autoSpaceDE w:val="0"/>
              <w:autoSpaceDN w:val="0"/>
              <w:adjustRightInd w:val="0"/>
              <w:spacing w:line="240" w:lineRule="auto"/>
              <w:ind w:left="15"/>
              <w:jc w:val="center"/>
              <w:rPr>
                <w:del w:id="7872" w:author="AbbVie_HU_03" w:date="2025-05-14T15:27:00Z"/>
                <w:szCs w:val="22"/>
              </w:rPr>
            </w:pPr>
            <w:del w:id="7873" w:author="AbbVie_HU_03" w:date="2025-05-14T15:27:00Z">
              <w:r w:rsidRPr="00183B5F">
                <w:rPr>
                  <w:szCs w:val="22"/>
                </w:rPr>
                <w:delText>38,1%</w:delText>
              </w:r>
            </w:del>
          </w:p>
        </w:tc>
        <w:tc>
          <w:tcPr>
            <w:tcW w:w="1140" w:type="dxa"/>
            <w:tcBorders>
              <w:top w:val="single" w:sz="6" w:space="0" w:color="000000"/>
              <w:left w:val="single" w:sz="6" w:space="0" w:color="000000"/>
              <w:bottom w:val="single" w:sz="6" w:space="0" w:color="000000"/>
              <w:right w:val="single" w:sz="6" w:space="0" w:color="000000"/>
            </w:tcBorders>
          </w:tcPr>
          <w:p w14:paraId="2B0316EE" w14:textId="47E6B241" w:rsidR="002B552B" w:rsidRPr="00183B5F" w:rsidRDefault="00943743" w:rsidP="008638B3">
            <w:pPr>
              <w:keepNext/>
              <w:keepLines/>
              <w:tabs>
                <w:tab w:val="left" w:pos="-1080"/>
              </w:tabs>
              <w:suppressAutoHyphens w:val="0"/>
              <w:autoSpaceDE w:val="0"/>
              <w:autoSpaceDN w:val="0"/>
              <w:adjustRightInd w:val="0"/>
              <w:spacing w:line="240" w:lineRule="auto"/>
              <w:ind w:left="15"/>
              <w:jc w:val="center"/>
              <w:rPr>
                <w:del w:id="7874" w:author="AbbVie_HU_03" w:date="2025-05-14T15:27:00Z"/>
                <w:szCs w:val="22"/>
              </w:rPr>
            </w:pPr>
            <w:del w:id="7875" w:author="AbbVie_HU_03" w:date="2025-05-14T15:27:00Z">
              <w:r w:rsidRPr="00183B5F">
                <w:rPr>
                  <w:szCs w:val="22"/>
                </w:rPr>
                <w:delText>0,608</w:delText>
              </w:r>
            </w:del>
          </w:p>
        </w:tc>
      </w:tr>
      <w:tr w:rsidR="00011D2F" w14:paraId="0625D07B" w14:textId="28595ACA" w:rsidTr="008638B3">
        <w:trPr>
          <w:cantSplit/>
          <w:jc w:val="center"/>
          <w:del w:id="7876" w:author="AbbVie_HU_03" w:date="2025-05-14T15:27:00Z"/>
        </w:trPr>
        <w:tc>
          <w:tcPr>
            <w:tcW w:w="4025" w:type="dxa"/>
            <w:tcBorders>
              <w:top w:val="single" w:sz="6" w:space="0" w:color="000000"/>
              <w:left w:val="single" w:sz="6" w:space="0" w:color="000000"/>
              <w:bottom w:val="single" w:sz="4" w:space="0" w:color="auto"/>
              <w:right w:val="single" w:sz="6" w:space="0" w:color="000000"/>
            </w:tcBorders>
          </w:tcPr>
          <w:p w14:paraId="2667D0BB" w14:textId="68C9D1A8" w:rsidR="002B552B" w:rsidRPr="00183B5F" w:rsidRDefault="00943743" w:rsidP="004B7A7F">
            <w:pPr>
              <w:keepNext/>
              <w:keepLines/>
              <w:tabs>
                <w:tab w:val="left" w:pos="-1080"/>
              </w:tabs>
              <w:suppressAutoHyphens w:val="0"/>
              <w:autoSpaceDE w:val="0"/>
              <w:autoSpaceDN w:val="0"/>
              <w:adjustRightInd w:val="0"/>
              <w:spacing w:line="240" w:lineRule="auto"/>
              <w:rPr>
                <w:del w:id="7877" w:author="AbbVie_HU_03" w:date="2025-05-14T15:27:00Z"/>
                <w:bCs/>
                <w:szCs w:val="22"/>
              </w:rPr>
            </w:pPr>
            <w:del w:id="7878" w:author="AbbVie_HU_03" w:date="2025-05-14T15:27:00Z">
              <w:r w:rsidRPr="00183B5F">
                <w:rPr>
                  <w:szCs w:val="22"/>
                </w:rPr>
                <w:delText>52. hét</w:delText>
              </w:r>
            </w:del>
          </w:p>
        </w:tc>
        <w:tc>
          <w:tcPr>
            <w:tcW w:w="1656" w:type="dxa"/>
            <w:tcBorders>
              <w:top w:val="single" w:sz="6" w:space="0" w:color="000000"/>
              <w:left w:val="single" w:sz="6" w:space="0" w:color="000000"/>
              <w:bottom w:val="single" w:sz="4" w:space="0" w:color="auto"/>
              <w:right w:val="single" w:sz="6" w:space="0" w:color="000000"/>
            </w:tcBorders>
          </w:tcPr>
          <w:p w14:paraId="77BF6C2C" w14:textId="52EF14CF" w:rsidR="002B552B" w:rsidRPr="00183B5F" w:rsidRDefault="00943743" w:rsidP="004B7A7F">
            <w:pPr>
              <w:keepNext/>
              <w:keepLines/>
              <w:tabs>
                <w:tab w:val="left" w:pos="-1080"/>
              </w:tabs>
              <w:suppressAutoHyphens w:val="0"/>
              <w:autoSpaceDE w:val="0"/>
              <w:autoSpaceDN w:val="0"/>
              <w:adjustRightInd w:val="0"/>
              <w:spacing w:line="240" w:lineRule="auto"/>
              <w:ind w:left="15"/>
              <w:jc w:val="center"/>
              <w:rPr>
                <w:del w:id="7879" w:author="AbbVie_HU_03" w:date="2025-05-14T15:27:00Z"/>
                <w:szCs w:val="22"/>
              </w:rPr>
            </w:pPr>
            <w:del w:id="7880" w:author="AbbVie_HU_03" w:date="2025-05-14T15:27:00Z">
              <w:r w:rsidRPr="00183B5F">
                <w:rPr>
                  <w:szCs w:val="22"/>
                </w:rPr>
                <w:delText>40,0%</w:delText>
              </w:r>
            </w:del>
          </w:p>
        </w:tc>
        <w:tc>
          <w:tcPr>
            <w:tcW w:w="1619" w:type="dxa"/>
            <w:tcBorders>
              <w:top w:val="single" w:sz="6" w:space="0" w:color="000000"/>
              <w:left w:val="single" w:sz="6" w:space="0" w:color="000000"/>
              <w:bottom w:val="single" w:sz="4" w:space="0" w:color="auto"/>
              <w:right w:val="single" w:sz="6" w:space="0" w:color="000000"/>
            </w:tcBorders>
          </w:tcPr>
          <w:p w14:paraId="05A5D6D0" w14:textId="0C393E47" w:rsidR="002B552B" w:rsidRPr="00183B5F" w:rsidRDefault="00943743" w:rsidP="004B7A7F">
            <w:pPr>
              <w:keepNext/>
              <w:keepLines/>
              <w:tabs>
                <w:tab w:val="left" w:pos="-1080"/>
              </w:tabs>
              <w:suppressAutoHyphens w:val="0"/>
              <w:autoSpaceDE w:val="0"/>
              <w:autoSpaceDN w:val="0"/>
              <w:adjustRightInd w:val="0"/>
              <w:spacing w:line="240" w:lineRule="auto"/>
              <w:ind w:left="15"/>
              <w:jc w:val="center"/>
              <w:rPr>
                <w:del w:id="7881" w:author="AbbVie_HU_03" w:date="2025-05-14T15:27:00Z"/>
                <w:szCs w:val="22"/>
              </w:rPr>
            </w:pPr>
            <w:del w:id="7882" w:author="AbbVie_HU_03" w:date="2025-05-14T15:27:00Z">
              <w:r w:rsidRPr="00183B5F">
                <w:rPr>
                  <w:szCs w:val="22"/>
                </w:rPr>
                <w:delText>23,8%</w:delText>
              </w:r>
            </w:del>
          </w:p>
        </w:tc>
        <w:tc>
          <w:tcPr>
            <w:tcW w:w="1140" w:type="dxa"/>
            <w:tcBorders>
              <w:top w:val="single" w:sz="6" w:space="0" w:color="000000"/>
              <w:left w:val="single" w:sz="6" w:space="0" w:color="000000"/>
              <w:bottom w:val="single" w:sz="4" w:space="0" w:color="auto"/>
              <w:right w:val="single" w:sz="6" w:space="0" w:color="000000"/>
            </w:tcBorders>
          </w:tcPr>
          <w:p w14:paraId="462EA2BC" w14:textId="07A38CB3" w:rsidR="002B552B" w:rsidRPr="00183B5F" w:rsidRDefault="00943743" w:rsidP="004B7A7F">
            <w:pPr>
              <w:keepNext/>
              <w:keepLines/>
              <w:tabs>
                <w:tab w:val="left" w:pos="-1080"/>
              </w:tabs>
              <w:suppressAutoHyphens w:val="0"/>
              <w:autoSpaceDE w:val="0"/>
              <w:autoSpaceDN w:val="0"/>
              <w:adjustRightInd w:val="0"/>
              <w:spacing w:line="240" w:lineRule="auto"/>
              <w:ind w:left="15"/>
              <w:jc w:val="center"/>
              <w:rPr>
                <w:del w:id="7883" w:author="AbbVie_HU_03" w:date="2025-05-14T15:27:00Z"/>
                <w:szCs w:val="22"/>
              </w:rPr>
            </w:pPr>
            <w:del w:id="7884" w:author="AbbVie_HU_03" w:date="2025-05-14T15:27:00Z">
              <w:r w:rsidRPr="00183B5F">
                <w:rPr>
                  <w:szCs w:val="22"/>
                </w:rPr>
                <w:delText>0,303</w:delText>
              </w:r>
            </w:del>
          </w:p>
        </w:tc>
      </w:tr>
      <w:tr w:rsidR="00011D2F" w14:paraId="56FE8C27" w14:textId="0ACEAAB6" w:rsidTr="008638B3">
        <w:trPr>
          <w:cantSplit/>
          <w:trHeight w:val="177"/>
          <w:jc w:val="center"/>
          <w:del w:id="7885" w:author="AbbVie_HU_03" w:date="2025-05-14T15:27:00Z"/>
        </w:trPr>
        <w:tc>
          <w:tcPr>
            <w:tcW w:w="8440" w:type="dxa"/>
            <w:gridSpan w:val="4"/>
            <w:tcBorders>
              <w:top w:val="single" w:sz="4" w:space="0" w:color="auto"/>
            </w:tcBorders>
          </w:tcPr>
          <w:p w14:paraId="73BBAB6A" w14:textId="304226EF" w:rsidR="002B552B" w:rsidRPr="00183B5F" w:rsidRDefault="00943743" w:rsidP="00FC288C">
            <w:pPr>
              <w:keepNext/>
              <w:keepLines/>
              <w:tabs>
                <w:tab w:val="left" w:pos="-1080"/>
              </w:tabs>
              <w:suppressAutoHyphens w:val="0"/>
              <w:autoSpaceDE w:val="0"/>
              <w:autoSpaceDN w:val="0"/>
              <w:adjustRightInd w:val="0"/>
              <w:spacing w:line="240" w:lineRule="auto"/>
              <w:ind w:left="360"/>
              <w:rPr>
                <w:del w:id="7886" w:author="AbbVie_HU_03" w:date="2025-05-14T15:27:00Z"/>
                <w:szCs w:val="22"/>
              </w:rPr>
            </w:pPr>
            <w:del w:id="7887" w:author="AbbVie_HU_03" w:date="2025-05-14T15:27:00Z">
              <w:r w:rsidRPr="00183B5F">
                <w:rPr>
                  <w:szCs w:val="22"/>
                  <w:vertAlign w:val="superscript"/>
                </w:rPr>
                <w:delText xml:space="preserve">1   </w:delText>
              </w:r>
              <w:r w:rsidRPr="00183B5F">
                <w:rPr>
                  <w:szCs w:val="22"/>
                </w:rPr>
                <w:delText>p</w:delText>
              </w:r>
              <w:r w:rsidRPr="00183B5F">
                <w:rPr>
                  <w:szCs w:val="22"/>
                </w:rPr>
                <w:noBreakHyphen/>
                <w:delText xml:space="preserve">érték Standard dózis </w:delText>
              </w:r>
              <w:r w:rsidRPr="00183B5F">
                <w:rPr>
                  <w:i/>
                  <w:iCs/>
                  <w:szCs w:val="22"/>
                </w:rPr>
                <w:delText xml:space="preserve">versus </w:delText>
              </w:r>
              <w:r w:rsidRPr="00183B5F">
                <w:rPr>
                  <w:iCs/>
                  <w:szCs w:val="22"/>
                </w:rPr>
                <w:delText>az Alacsony</w:delText>
              </w:r>
              <w:r w:rsidRPr="00183B5F">
                <w:rPr>
                  <w:szCs w:val="22"/>
                </w:rPr>
                <w:delText xml:space="preserve"> dózis összehasonlítása esetén.</w:delText>
              </w:r>
            </w:del>
          </w:p>
          <w:p w14:paraId="01ABEC36" w14:textId="38A894A1" w:rsidR="002B552B" w:rsidRPr="00183B5F" w:rsidRDefault="00943743" w:rsidP="004B7A7F">
            <w:pPr>
              <w:keepNext/>
              <w:keepLines/>
              <w:tabs>
                <w:tab w:val="left" w:pos="-1080"/>
              </w:tabs>
              <w:suppressAutoHyphens w:val="0"/>
              <w:autoSpaceDE w:val="0"/>
              <w:autoSpaceDN w:val="0"/>
              <w:adjustRightInd w:val="0"/>
              <w:spacing w:line="240" w:lineRule="auto"/>
              <w:rPr>
                <w:del w:id="7888" w:author="AbbVie_HU_03" w:date="2025-05-14T15:27:00Z"/>
                <w:szCs w:val="22"/>
              </w:rPr>
            </w:pPr>
            <w:del w:id="7889" w:author="AbbVie_HU_03" w:date="2025-05-14T15:27:00Z">
              <w:r w:rsidRPr="00183B5F">
                <w:rPr>
                  <w:szCs w:val="22"/>
                  <w:vertAlign w:val="superscript"/>
                </w:rPr>
                <w:delText xml:space="preserve"> 2</w:delText>
              </w:r>
              <w:r w:rsidRPr="00183B5F">
                <w:rPr>
                  <w:szCs w:val="22"/>
                </w:rPr>
                <w:delText xml:space="preserve">  Az immunszuppresszív kezelést csak a 26. héten vagy azt követően lehetett felfüggeszteni a vizsgáló orvos megítélése alapján, ha a beteg teljesítette a klinikai válasz kritériumait. </w:delText>
              </w:r>
            </w:del>
          </w:p>
          <w:p w14:paraId="3B9179E8" w14:textId="06FBF40F" w:rsidR="002B552B" w:rsidRPr="00183B5F" w:rsidRDefault="00943743" w:rsidP="004B7A7F">
            <w:pPr>
              <w:keepNext/>
              <w:keepLines/>
              <w:tabs>
                <w:tab w:val="left" w:pos="-1080"/>
              </w:tabs>
              <w:suppressAutoHyphens w:val="0"/>
              <w:autoSpaceDE w:val="0"/>
              <w:autoSpaceDN w:val="0"/>
              <w:adjustRightInd w:val="0"/>
              <w:spacing w:line="240" w:lineRule="auto"/>
              <w:rPr>
                <w:del w:id="7890" w:author="AbbVie_HU_03" w:date="2025-05-14T15:27:00Z"/>
                <w:szCs w:val="22"/>
              </w:rPr>
            </w:pPr>
            <w:del w:id="7891" w:author="AbbVie_HU_03" w:date="2025-05-14T15:27:00Z">
              <w:r w:rsidRPr="00183B5F">
                <w:rPr>
                  <w:szCs w:val="22"/>
                  <w:vertAlign w:val="superscript"/>
                </w:rPr>
                <w:delText>3</w:delText>
              </w:r>
              <w:r w:rsidRPr="00183B5F">
                <w:rPr>
                  <w:szCs w:val="22"/>
                </w:rPr>
                <w:delText xml:space="preserve">  Meghatározás szerint valamennyi, a vizsgálat megkezdésekor váladékozó fistula záródása legalább 2 egymást követő kontrollvizsgálat alkalmával.</w:delText>
              </w:r>
            </w:del>
          </w:p>
        </w:tc>
      </w:tr>
    </w:tbl>
    <w:p w14:paraId="7E53A0F6" w14:textId="3577B1A1" w:rsidR="002B552B" w:rsidRPr="00183B5F" w:rsidRDefault="002B552B" w:rsidP="002B552B">
      <w:pPr>
        <w:spacing w:line="240" w:lineRule="auto"/>
        <w:rPr>
          <w:del w:id="7892" w:author="AbbVie_HU_03" w:date="2025-05-14T15:27:00Z"/>
          <w:szCs w:val="22"/>
        </w:rPr>
      </w:pPr>
    </w:p>
    <w:p w14:paraId="6952F3AD" w14:textId="73B4FA99" w:rsidR="002B552B" w:rsidRPr="00183B5F" w:rsidRDefault="00943743" w:rsidP="002B552B">
      <w:pPr>
        <w:pStyle w:val="EMEANormal"/>
        <w:rPr>
          <w:del w:id="7893" w:author="AbbVie_HU_03" w:date="2025-05-14T15:27:00Z"/>
          <w:szCs w:val="22"/>
          <w:lang w:val="hu-HU"/>
        </w:rPr>
      </w:pPr>
      <w:del w:id="7894" w:author="AbbVie_HU_03" w:date="2025-05-14T15:27:00Z">
        <w:r w:rsidRPr="00183B5F">
          <w:rPr>
            <w:szCs w:val="22"/>
            <w:lang w:val="hu-HU"/>
          </w:rPr>
          <w:delText>Mindkét kezelési csoportban a testtömegindex és a növekedési sebesség kiindulási értékhez viszonyított, statisztikailag szignifikáns emelkedését (javulását) észlelték a 26. és az 52. héten.</w:delText>
        </w:r>
      </w:del>
    </w:p>
    <w:p w14:paraId="2E5B2CDC" w14:textId="00FEB9B8" w:rsidR="002B552B" w:rsidRPr="00183B5F" w:rsidRDefault="002B552B" w:rsidP="002B552B">
      <w:pPr>
        <w:pStyle w:val="EMEANormal"/>
        <w:rPr>
          <w:del w:id="7895" w:author="AbbVie_HU_03" w:date="2025-05-14T15:27:00Z"/>
          <w:szCs w:val="22"/>
          <w:lang w:val="hu-HU"/>
        </w:rPr>
      </w:pPr>
    </w:p>
    <w:p w14:paraId="7AD4B4CE" w14:textId="5125C54A" w:rsidR="002B552B" w:rsidRPr="00183B5F" w:rsidRDefault="00943743" w:rsidP="002B552B">
      <w:pPr>
        <w:pStyle w:val="EMEANormal"/>
        <w:rPr>
          <w:del w:id="7896" w:author="AbbVie_HU_03" w:date="2025-05-14T15:27:00Z"/>
          <w:szCs w:val="22"/>
          <w:lang w:val="hu-HU"/>
        </w:rPr>
      </w:pPr>
      <w:del w:id="7897" w:author="AbbVie_HU_03" w:date="2025-05-14T15:27:00Z">
        <w:r w:rsidRPr="00183B5F">
          <w:rPr>
            <w:szCs w:val="22"/>
            <w:lang w:val="hu-HU"/>
          </w:rPr>
          <w:delText>Mindkét kezelési csoportban az életminőségi paraméterek (köztük az IMPACT III-t) kiindulási értékhez viszonyított, statisztikailag szignifikáns és klinikailag jelentős javulását is megfigyelték.</w:delText>
        </w:r>
      </w:del>
    </w:p>
    <w:p w14:paraId="4D294E94" w14:textId="310E8159" w:rsidR="002B552B" w:rsidRPr="00183B5F" w:rsidRDefault="002B552B" w:rsidP="002B552B">
      <w:pPr>
        <w:pStyle w:val="EMEANormal"/>
        <w:rPr>
          <w:del w:id="7898" w:author="AbbVie_HU_03" w:date="2025-05-14T15:27:00Z"/>
          <w:szCs w:val="22"/>
          <w:lang w:val="hu-HU"/>
        </w:rPr>
      </w:pPr>
    </w:p>
    <w:p w14:paraId="44B85477" w14:textId="4EA4EAAD" w:rsidR="002B552B" w:rsidRPr="00183B5F" w:rsidRDefault="00943743" w:rsidP="002B552B">
      <w:pPr>
        <w:pStyle w:val="EMEANormal"/>
        <w:rPr>
          <w:del w:id="7899" w:author="AbbVie_HU_03" w:date="2025-05-14T15:27:00Z"/>
          <w:szCs w:val="22"/>
          <w:lang w:val="hu-HU"/>
        </w:rPr>
      </w:pPr>
      <w:del w:id="7900" w:author="AbbVie_HU_03" w:date="2025-05-14T15:27:00Z">
        <w:r w:rsidRPr="00183B5F">
          <w:rPr>
            <w:szCs w:val="22"/>
            <w:lang w:val="hu-HU"/>
          </w:rPr>
          <w:delText>A gyermekkori CD vizsgálatból 100 beteg (n = 100) egy további, nyílt elrendezésű, hosszú távú vizsgálatban vett részt. Az 5 évig tartó adalimumab</w:delText>
        </w:r>
        <w:r w:rsidRPr="00183B5F">
          <w:rPr>
            <w:szCs w:val="22"/>
            <w:lang w:val="hu-HU"/>
          </w:rPr>
          <w:noBreakHyphen/>
          <w:delText>kezelés után, a vizsgálatban továbbra is részt vevő 50 beteg 74,0%</w:delText>
        </w:r>
        <w:r w:rsidRPr="00183B5F">
          <w:rPr>
            <w:szCs w:val="22"/>
            <w:lang w:val="hu-HU"/>
          </w:rPr>
          <w:noBreakHyphen/>
          <w:delText>ánál (37/50) fennmaradt a klinikai remisszió, és 92%-uk (46/50) adott PCDAI szerinti klinikai választ.</w:delText>
        </w:r>
      </w:del>
    </w:p>
    <w:p w14:paraId="6E8D24C1" w14:textId="27CBBB34" w:rsidR="003006E1" w:rsidRPr="00183B5F" w:rsidRDefault="003006E1">
      <w:pPr>
        <w:spacing w:line="240" w:lineRule="auto"/>
        <w:outlineLvl w:val="0"/>
        <w:rPr>
          <w:del w:id="7901" w:author="AbbVie_HU_03" w:date="2025-05-14T15:27:00Z"/>
          <w:noProof/>
          <w:szCs w:val="24"/>
        </w:rPr>
      </w:pPr>
    </w:p>
    <w:p w14:paraId="37C803EA" w14:textId="605A87F7" w:rsidR="002A6D4E" w:rsidRPr="00183B5F" w:rsidRDefault="00943743" w:rsidP="002A6D4E">
      <w:pPr>
        <w:keepNext/>
        <w:rPr>
          <w:del w:id="7902" w:author="AbbVie_HU_03" w:date="2025-05-14T15:27:00Z"/>
          <w:bCs/>
          <w:i/>
        </w:rPr>
      </w:pPr>
      <w:del w:id="7903" w:author="AbbVie_HU_03" w:date="2025-05-14T15:27:00Z">
        <w:r w:rsidRPr="00183B5F">
          <w:rPr>
            <w:i/>
          </w:rPr>
          <w:delText>Gyermek</w:delText>
        </w:r>
        <w:r w:rsidR="00777CA4" w:rsidRPr="00183B5F">
          <w:rPr>
            <w:i/>
          </w:rPr>
          <w:delText>- és serdülő</w:delText>
        </w:r>
        <w:r w:rsidRPr="00183B5F">
          <w:rPr>
            <w:i/>
          </w:rPr>
          <w:delText>kori colitis ulcerosa</w:delText>
        </w:r>
      </w:del>
    </w:p>
    <w:p w14:paraId="0F4AEEF8" w14:textId="0C1EF4C9" w:rsidR="002A6D4E" w:rsidRPr="00183B5F" w:rsidRDefault="002A6D4E" w:rsidP="002A6D4E">
      <w:pPr>
        <w:keepNext/>
        <w:rPr>
          <w:del w:id="7904" w:author="AbbVie_HU_03" w:date="2025-05-14T15:27:00Z"/>
          <w:bCs/>
          <w:i/>
        </w:rPr>
      </w:pPr>
    </w:p>
    <w:p w14:paraId="48BE5418" w14:textId="76DB490A" w:rsidR="002A6D4E" w:rsidRPr="00183B5F" w:rsidRDefault="00943743" w:rsidP="002A6D4E">
      <w:pPr>
        <w:rPr>
          <w:del w:id="7905" w:author="AbbVie_HU_03" w:date="2025-05-14T15:27:00Z"/>
        </w:rPr>
      </w:pPr>
      <w:del w:id="7906" w:author="AbbVie_HU_03" w:date="2025-05-14T15:27:00Z">
        <w:r w:rsidRPr="00183B5F">
          <w:delText xml:space="preserve">A Humira biztonságosságát és hatásosságát egy multicentrikus, randomizált, kettős vak vizsgálatban értékelték, 93, közepesen súlyos </w:delText>
        </w:r>
        <w:r w:rsidRPr="00183B5F">
          <w:noBreakHyphen/>
          <w:delText xml:space="preserve"> súlyos </w:delText>
        </w:r>
        <w:r w:rsidR="003916B1" w:rsidRPr="00183B5F">
          <w:delText xml:space="preserve">aktivitású </w:delText>
        </w:r>
        <w:r w:rsidRPr="00183B5F">
          <w:delText>colitis ulcerosában szenvedő (Mayo</w:delText>
        </w:r>
        <w:r w:rsidRPr="00183B5F">
          <w:noBreakHyphen/>
          <w:delText xml:space="preserve">pontszám 6–12, endoszkópiás alpontszám 2–3, amelyet központilag </w:delText>
        </w:r>
        <w:r w:rsidR="003916B1" w:rsidRPr="00183B5F">
          <w:delText>értékelt</w:delText>
        </w:r>
        <w:r w:rsidRPr="00183B5F">
          <w:delText xml:space="preserve"> endoszkópiával igazoltak), 5–17 éves gyermeknél</w:delText>
        </w:r>
        <w:r w:rsidR="00777CA4" w:rsidRPr="00183B5F">
          <w:delText xml:space="preserve"> és serdülőnél</w:delText>
        </w:r>
        <w:r w:rsidRPr="00183B5F">
          <w:delText>, akik nem adtak megfelelő terápiás választ a hagyományos terápiára vagy intolerancia lépett fel</w:delText>
        </w:r>
        <w:r w:rsidR="003916B1" w:rsidRPr="00183B5F">
          <w:delText xml:space="preserve"> azokkal szemben</w:delText>
        </w:r>
        <w:r w:rsidRPr="00183B5F">
          <w:delText>. A vizsgálatban részt vevő betegek körülbelül 16%-ánál sikertelen volt a korábbi anti</w:delText>
        </w:r>
        <w:r w:rsidRPr="00183B5F">
          <w:noBreakHyphen/>
          <w:delText>TNF</w:delText>
        </w:r>
        <w:r w:rsidRPr="00183B5F">
          <w:noBreakHyphen/>
          <w:delText xml:space="preserve">kezelés. Azok a betegek, akik a bevonáskor kortikoszteroidot kaptak, a 4. hét után fokozatosan csökkenthették </w:delText>
        </w:r>
        <w:r w:rsidR="00C96EE0" w:rsidRPr="00183B5F">
          <w:delText xml:space="preserve">a </w:delText>
        </w:r>
        <w:r w:rsidRPr="00183B5F">
          <w:delText>kortikos</w:delText>
        </w:r>
        <w:r w:rsidRPr="00183B5F">
          <w:delText>zteroid-kezelést.</w:delText>
        </w:r>
      </w:del>
    </w:p>
    <w:p w14:paraId="48ACF8CE" w14:textId="558E0B81" w:rsidR="002A6D4E" w:rsidRPr="00183B5F" w:rsidRDefault="002A6D4E" w:rsidP="002A6D4E">
      <w:pPr>
        <w:rPr>
          <w:del w:id="7907" w:author="AbbVie_HU_03" w:date="2025-05-14T15:27:00Z"/>
        </w:rPr>
      </w:pPr>
    </w:p>
    <w:p w14:paraId="2ED1D9BE" w14:textId="2867B9AB" w:rsidR="002A6D4E" w:rsidRPr="00183B5F" w:rsidRDefault="00943743" w:rsidP="002A6D4E">
      <w:pPr>
        <w:rPr>
          <w:del w:id="7908" w:author="AbbVie_HU_03" w:date="2025-05-14T15:27:00Z"/>
          <w:shd w:val="clear" w:color="auto" w:fill="FFFFFF"/>
        </w:rPr>
      </w:pPr>
      <w:del w:id="7909" w:author="AbbVie_HU_03" w:date="2025-05-14T15:27:00Z">
        <w:r w:rsidRPr="00183B5F">
          <w:rPr>
            <w:shd w:val="clear" w:color="auto" w:fill="FFFFFF"/>
          </w:rPr>
          <w:delText>A vizsgálat indukciós periódusában 77 beteget randomizáltak kettős vak Humira-kezelésre 3:2 arányban</w:delText>
        </w:r>
        <w:r w:rsidR="00C96EE0" w:rsidRPr="00183B5F">
          <w:rPr>
            <w:shd w:val="clear" w:color="auto" w:fill="FFFFFF"/>
          </w:rPr>
          <w:delText xml:space="preserve"> a következő kezelési karokra:</w:delText>
        </w:r>
        <w:r w:rsidRPr="00183B5F">
          <w:rPr>
            <w:shd w:val="clear" w:color="auto" w:fill="FFFFFF"/>
          </w:rPr>
          <w:delText xml:space="preserve"> így indukciós dózisként a 0. és az 1. héten 2,4 mg/ttkg-os (legfeljebb 160 mg) és a 2. héten 1,2 mg/ttkg-os (legfeljebb 80 mg) adagot; vagy a 0. héten 2,4 mg/ttkg</w:delText>
        </w:r>
        <w:r w:rsidRPr="00183B5F">
          <w:rPr>
            <w:shd w:val="clear" w:color="auto" w:fill="FFFFFF"/>
          </w:rPr>
          <w:noBreakHyphen/>
          <w:delText>os (legfeljebb 160 mg), az 1. héten placebót és a 2. héten 1,2 mg/ttkg</w:delText>
        </w:r>
        <w:r w:rsidRPr="00183B5F">
          <w:rPr>
            <w:shd w:val="clear" w:color="auto" w:fill="FFFFFF"/>
          </w:rPr>
          <w:noBreakHyphen/>
          <w:delText>os (legfeljebb 80 mg) dózist kaptak. Mindkét csoport 0,6 mg/ttkg-os (legfeljebb 40 mg) dózist kapott a 4. és a 6. héten. A vizsgálati elrendezés módosítását követően az indukciós periódusba bevont további 16 beteg nyílt elrendezésben kapta a Humir</w:delText>
        </w:r>
        <w:r w:rsidRPr="00183B5F">
          <w:rPr>
            <w:shd w:val="clear" w:color="auto" w:fill="FFFFFF"/>
          </w:rPr>
          <w:delText>a</w:delText>
        </w:r>
        <w:r w:rsidRPr="00183B5F">
          <w:rPr>
            <w:shd w:val="clear" w:color="auto" w:fill="FFFFFF"/>
          </w:rPr>
          <w:noBreakHyphen/>
          <w:delText>kezelést: a 0. héten és az 1. héten 2,4 mg/ttkg-os (legfeljebb 160 mg), a 2. héten 1,2 mg/ttkg</w:delText>
        </w:r>
        <w:r w:rsidRPr="00183B5F">
          <w:rPr>
            <w:shd w:val="clear" w:color="auto" w:fill="FFFFFF"/>
          </w:rPr>
          <w:noBreakHyphen/>
          <w:delText>os (legfeljebb 80 mg) indukciós dózissal kezdve.</w:delText>
        </w:r>
      </w:del>
    </w:p>
    <w:p w14:paraId="439B1EDF" w14:textId="2E4A98C9" w:rsidR="002A6D4E" w:rsidRPr="00183B5F" w:rsidRDefault="002A6D4E" w:rsidP="002A6D4E">
      <w:pPr>
        <w:rPr>
          <w:del w:id="7910" w:author="AbbVie_HU_03" w:date="2025-05-14T15:27:00Z"/>
        </w:rPr>
      </w:pPr>
    </w:p>
    <w:p w14:paraId="30FC2A7A" w14:textId="221098B8" w:rsidR="002A6D4E" w:rsidRPr="00183B5F" w:rsidRDefault="00943743" w:rsidP="002A6D4E">
      <w:pPr>
        <w:rPr>
          <w:del w:id="7911" w:author="AbbVie_HU_03" w:date="2025-05-14T15:27:00Z"/>
          <w:shd w:val="clear" w:color="auto" w:fill="FFFFFF"/>
        </w:rPr>
      </w:pPr>
      <w:del w:id="7912" w:author="AbbVie_HU_03" w:date="2025-05-14T15:27:00Z">
        <w:r w:rsidRPr="00183B5F">
          <w:rPr>
            <w:shd w:val="clear" w:color="auto" w:fill="FFFFFF"/>
          </w:rPr>
          <w:delText>A 8. héten 62, a részleges Mayo-pontszám (PMS) szerint klinikai választ mutató (a kiinduláshoz képest a PMS ≥ 2 pontos és ≥ 30%-os csökkenése) beteget randomizáltak egyenlő arányban kettős vak Humira fenntartó kezelésre: hetente adott 0,6 mg/ttkg</w:delText>
        </w:r>
        <w:r w:rsidRPr="00183B5F">
          <w:rPr>
            <w:shd w:val="clear" w:color="auto" w:fill="FFFFFF"/>
          </w:rPr>
          <w:noBreakHyphen/>
          <w:delText>os (maximum 40 mg) dózisra, vagy minden második héten adott 0,6 mg/ttkg-os (maximum 40 mg) dózisra. A vizsgálati elrendezés módosítását megelőzően további 12, PMS szerint klinikai választ mutató beteget placebóra randomizáltak, de őket nem vették be a hatásosságot megerősítő elemzésbe.</w:delText>
        </w:r>
      </w:del>
    </w:p>
    <w:p w14:paraId="54F65F83" w14:textId="71BF813D" w:rsidR="002A6D4E" w:rsidRPr="00183B5F" w:rsidRDefault="002A6D4E" w:rsidP="002A6D4E">
      <w:pPr>
        <w:rPr>
          <w:del w:id="7913" w:author="AbbVie_HU_03" w:date="2025-05-14T15:27:00Z"/>
          <w:shd w:val="clear" w:color="auto" w:fill="FFFFFF"/>
        </w:rPr>
      </w:pPr>
    </w:p>
    <w:p w14:paraId="0ABB1297" w14:textId="2B596712" w:rsidR="002A6D4E" w:rsidRPr="00183B5F" w:rsidRDefault="00943743" w:rsidP="002A6D4E">
      <w:pPr>
        <w:rPr>
          <w:del w:id="7914" w:author="AbbVie_HU_03" w:date="2025-05-14T15:27:00Z"/>
        </w:rPr>
      </w:pPr>
      <w:del w:id="7915" w:author="AbbVie_HU_03" w:date="2025-05-14T15:27:00Z">
        <w:r w:rsidRPr="00183B5F">
          <w:delText>A betegség fellángolását a PMS legalább 3 pontos (a 8. héten 0–2-es PMS pontszámú betegeknél), legalább 2 pontos (a 8. héten 3–4-es PMS pontszámú betegeknél) vagy legalább 1 pontos (a 8. héten 5–6</w:delText>
        </w:r>
        <w:r w:rsidRPr="00183B5F">
          <w:noBreakHyphen/>
          <w:delText>os pontszámú betegeknél) növekedésével határozták meg.</w:delText>
        </w:r>
      </w:del>
    </w:p>
    <w:p w14:paraId="45C4D0D8" w14:textId="1FD3DAFC" w:rsidR="002A6D4E" w:rsidRPr="00183B5F" w:rsidRDefault="002A6D4E" w:rsidP="002A6D4E">
      <w:pPr>
        <w:rPr>
          <w:del w:id="7916" w:author="AbbVie_HU_03" w:date="2025-05-14T15:27:00Z"/>
        </w:rPr>
      </w:pPr>
    </w:p>
    <w:p w14:paraId="2A8CCBD5" w14:textId="0504A07A" w:rsidR="002A6D4E" w:rsidRPr="00183B5F" w:rsidRDefault="00943743" w:rsidP="002A6D4E">
      <w:pPr>
        <w:rPr>
          <w:del w:id="7917" w:author="AbbVie_HU_03" w:date="2025-05-14T15:27:00Z"/>
        </w:rPr>
      </w:pPr>
      <w:del w:id="7918" w:author="AbbVie_HU_03" w:date="2025-05-14T15:27:00Z">
        <w:r w:rsidRPr="00183B5F">
          <w:delText>Azokat a betegeket, akiknél a 12. héten vagy azt követően teljesült a betegség fellángolásának kritériuma, 2,4 mg/ttkg (maximum 160 mg) ismételt indukciós dózisra vagy 0,6 mg/ttkg (legfeljebb 40 mg) dózisra randomizálták, majd a továbbiakban őket a számukra meghatározott fenntartó adagolási sémával kezelték.</w:delText>
        </w:r>
      </w:del>
    </w:p>
    <w:p w14:paraId="76746A4A" w14:textId="496A730A" w:rsidR="002A6D4E" w:rsidRPr="00183B5F" w:rsidRDefault="00943743" w:rsidP="002A6D4E">
      <w:pPr>
        <w:spacing w:before="240"/>
        <w:rPr>
          <w:del w:id="7919" w:author="AbbVie_HU_03" w:date="2025-05-14T15:27:00Z"/>
          <w:i/>
        </w:rPr>
      </w:pPr>
      <w:del w:id="7920" w:author="AbbVie_HU_03" w:date="2025-05-14T15:27:00Z">
        <w:r w:rsidRPr="00183B5F">
          <w:rPr>
            <w:i/>
            <w:szCs w:val="24"/>
          </w:rPr>
          <w:delText>Hatásossági eredmények</w:delText>
        </w:r>
      </w:del>
    </w:p>
    <w:p w14:paraId="6B1E96C3" w14:textId="13CC2844" w:rsidR="002A6D4E" w:rsidRPr="00183B5F" w:rsidRDefault="002A6D4E" w:rsidP="002A6D4E">
      <w:pPr>
        <w:rPr>
          <w:del w:id="7921" w:author="AbbVie_HU_03" w:date="2025-05-14T15:27:00Z"/>
          <w:i/>
        </w:rPr>
      </w:pPr>
    </w:p>
    <w:p w14:paraId="0F8A96AD" w14:textId="3A49FA04" w:rsidR="002A6D4E" w:rsidRPr="00183B5F" w:rsidRDefault="00943743" w:rsidP="002A6D4E">
      <w:pPr>
        <w:textAlignment w:val="baseline"/>
        <w:rPr>
          <w:del w:id="7922" w:author="AbbVie_HU_03" w:date="2025-05-14T15:27:00Z"/>
        </w:rPr>
      </w:pPr>
      <w:del w:id="7923" w:author="AbbVie_HU_03" w:date="2025-05-14T15:27:00Z">
        <w:r w:rsidRPr="00183B5F">
          <w:delText xml:space="preserve">A vizsgálat elsődleges kompozit végpontjai a következők voltak: a PMS szerinti klinikai remisszió (PMS ≤ 2, és nincs </w:delText>
        </w:r>
        <w:r w:rsidR="00A84DFB" w:rsidRPr="00183B5F">
          <w:delText xml:space="preserve">olyan </w:delText>
        </w:r>
        <w:r w:rsidRPr="00183B5F">
          <w:delText>egyedi alpontszám</w:delText>
        </w:r>
        <w:r w:rsidR="00A84DFB" w:rsidRPr="00183B5F">
          <w:delText>, ami</w:delText>
        </w:r>
        <w:r w:rsidRPr="00183B5F">
          <w:delText xml:space="preserve"> &gt; 1) a 8. héten, és az FMS szerinti (Full Mayo Score) (meghatározva: Mayo-pontszám ≤ 2, és nincs </w:delText>
        </w:r>
        <w:r w:rsidR="00A84DFB" w:rsidRPr="00183B5F">
          <w:delText xml:space="preserve">olyan </w:delText>
        </w:r>
        <w:r w:rsidRPr="00183B5F">
          <w:delText>egyedi alpontszám</w:delText>
        </w:r>
        <w:r w:rsidR="00A84DFB" w:rsidRPr="00183B5F">
          <w:delText>, ami</w:delText>
        </w:r>
        <w:r w:rsidRPr="00183B5F">
          <w:delText xml:space="preserve"> &gt; 1) klinikai remisszió az 52. héten azoknál a betegeknél, akik a 8. héten PMS szerinti klinikai választ értek el.</w:delText>
        </w:r>
      </w:del>
    </w:p>
    <w:p w14:paraId="52C32A9C" w14:textId="43093149" w:rsidR="00A31545" w:rsidRPr="00183B5F" w:rsidRDefault="00A31545" w:rsidP="002A6D4E">
      <w:pPr>
        <w:textAlignment w:val="baseline"/>
        <w:rPr>
          <w:del w:id="7924" w:author="AbbVie_HU_03" w:date="2025-05-14T15:27:00Z"/>
        </w:rPr>
      </w:pPr>
    </w:p>
    <w:p w14:paraId="2446929E" w14:textId="13A0BD3A" w:rsidR="002A6D4E" w:rsidRPr="00183B5F" w:rsidRDefault="00943743" w:rsidP="002A6D4E">
      <w:pPr>
        <w:textAlignment w:val="baseline"/>
        <w:rPr>
          <w:del w:id="7925" w:author="AbbVie_HU_03" w:date="2025-05-14T15:27:00Z"/>
        </w:rPr>
      </w:pPr>
      <w:del w:id="7926" w:author="AbbVie_HU_03" w:date="2025-05-14T15:27:00Z">
        <w:r w:rsidRPr="00183B5F">
          <w:delText xml:space="preserve">A PMS szerinti klinikai remisszió arányát a 8. héten a Humira kettős vak indukciós csoport mindegyikében lévő betegeknél </w:delText>
        </w:r>
        <w:r w:rsidR="00A31545" w:rsidRPr="00183B5F">
          <w:delText>a 31</w:delText>
        </w:r>
        <w:r w:rsidRPr="00183B5F">
          <w:delText>. táblázat</w:delText>
        </w:r>
        <w:r w:rsidR="00A31545" w:rsidRPr="00183B5F">
          <w:delText xml:space="preserve"> mutatja be</w:delText>
        </w:r>
        <w:r w:rsidRPr="00183B5F">
          <w:delText>. </w:delText>
        </w:r>
      </w:del>
    </w:p>
    <w:p w14:paraId="4273791C" w14:textId="3699443D" w:rsidR="002A6D4E" w:rsidRPr="00183B5F" w:rsidRDefault="00943743" w:rsidP="00FC288C">
      <w:pPr>
        <w:keepNext/>
        <w:spacing w:before="240"/>
        <w:jc w:val="center"/>
        <w:rPr>
          <w:del w:id="7927" w:author="AbbVie_HU_03" w:date="2025-05-14T15:27:00Z"/>
          <w:b/>
          <w:szCs w:val="24"/>
        </w:rPr>
      </w:pPr>
      <w:del w:id="7928" w:author="AbbVie_HU_03" w:date="2025-05-14T15:27:00Z">
        <w:r w:rsidRPr="00183B5F">
          <w:rPr>
            <w:b/>
            <w:szCs w:val="24"/>
          </w:rPr>
          <w:delText xml:space="preserve">31. táblázat: A PMS szerint klinikai remisszió 8 hét alatt </w:delText>
        </w:r>
      </w:del>
    </w:p>
    <w:tbl>
      <w:tblPr>
        <w:tblW w:w="4246" w:type="pct"/>
        <w:jc w:val="center"/>
        <w:tblLook w:val="04A0" w:firstRow="1" w:lastRow="0" w:firstColumn="1" w:lastColumn="0" w:noHBand="0" w:noVBand="1"/>
      </w:tblPr>
      <w:tblGrid>
        <w:gridCol w:w="1904"/>
        <w:gridCol w:w="2867"/>
        <w:gridCol w:w="2919"/>
      </w:tblGrid>
      <w:tr w:rsidR="00011D2F" w14:paraId="77A088E2" w14:textId="2FF3FAD6" w:rsidTr="002A6D4E">
        <w:trPr>
          <w:jc w:val="center"/>
          <w:del w:id="7929" w:author="AbbVie_HU_03" w:date="2025-05-14T15:27: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2FA0C79" w14:textId="30DBAEB4" w:rsidR="002A6D4E" w:rsidRPr="00183B5F" w:rsidRDefault="002A6D4E" w:rsidP="00FC288C">
            <w:pPr>
              <w:keepNext/>
              <w:rPr>
                <w:del w:id="7930" w:author="AbbVie_HU_03" w:date="2025-05-14T15:27:00Z"/>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DBD6DFA" w14:textId="04AC7C56" w:rsidR="002A6D4E" w:rsidRPr="00183B5F" w:rsidRDefault="00943743" w:rsidP="00FC288C">
            <w:pPr>
              <w:keepNext/>
              <w:jc w:val="center"/>
              <w:textAlignment w:val="baseline"/>
              <w:rPr>
                <w:del w:id="7931" w:author="AbbVie_HU_03" w:date="2025-05-14T15:27:00Z"/>
                <w:b/>
                <w:bCs/>
              </w:rPr>
            </w:pPr>
            <w:del w:id="7932" w:author="AbbVie_HU_03" w:date="2025-05-14T15:27:00Z">
              <w:r w:rsidRPr="00183B5F">
                <w:rPr>
                  <w:b/>
                  <w:bCs/>
                  <w:szCs w:val="24"/>
                </w:rPr>
                <w:delText>Humira</w:delText>
              </w:r>
              <w:r w:rsidRPr="00183B5F">
                <w:rPr>
                  <w:b/>
                  <w:bCs/>
                  <w:szCs w:val="24"/>
                  <w:vertAlign w:val="superscript"/>
                </w:rPr>
                <w:delText>a</w:delText>
              </w:r>
              <w:r w:rsidRPr="00183B5F">
                <w:rPr>
                  <w:b/>
                  <w:bCs/>
                  <w:sz w:val="24"/>
                  <w:szCs w:val="24"/>
                </w:rPr>
                <w:delText> </w:delText>
              </w:r>
            </w:del>
          </w:p>
          <w:p w14:paraId="5730D880" w14:textId="47A2B3A7" w:rsidR="002A6D4E" w:rsidRPr="00183B5F" w:rsidRDefault="00943743" w:rsidP="00FC288C">
            <w:pPr>
              <w:keepNext/>
              <w:jc w:val="center"/>
              <w:rPr>
                <w:del w:id="7933" w:author="AbbVie_HU_03" w:date="2025-05-14T15:27:00Z"/>
                <w:b/>
                <w:bCs/>
              </w:rPr>
            </w:pPr>
            <w:del w:id="7934" w:author="AbbVie_HU_03" w:date="2025-05-14T15:27:00Z">
              <w:r w:rsidRPr="00183B5F">
                <w:rPr>
                  <w:b/>
                  <w:bCs/>
                </w:rPr>
                <w:delText>Legfeljebb 160 mg a 0. héten / placebo az 1. héten </w:delText>
              </w:r>
            </w:del>
          </w:p>
          <w:p w14:paraId="07EE87B0" w14:textId="00D47A3B" w:rsidR="002A6D4E" w:rsidRPr="00183B5F" w:rsidRDefault="00943743" w:rsidP="00FC288C">
            <w:pPr>
              <w:keepNext/>
              <w:jc w:val="center"/>
              <w:rPr>
                <w:del w:id="7935" w:author="AbbVie_HU_03" w:date="2025-05-14T15:27:00Z"/>
              </w:rPr>
            </w:pPr>
            <w:del w:id="7936" w:author="AbbVie_HU_03" w:date="2025-05-14T15:27:00Z">
              <w:r w:rsidRPr="00183B5F">
                <w:delText>N=30</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4D80E9A" w14:textId="0485B821" w:rsidR="002A6D4E" w:rsidRPr="00183B5F" w:rsidRDefault="00943743" w:rsidP="00FC288C">
            <w:pPr>
              <w:keepNext/>
              <w:jc w:val="center"/>
              <w:textAlignment w:val="baseline"/>
              <w:rPr>
                <w:del w:id="7937" w:author="AbbVie_HU_03" w:date="2025-05-14T15:27:00Z"/>
                <w:b/>
                <w:bCs/>
              </w:rPr>
            </w:pPr>
            <w:del w:id="7938" w:author="AbbVie_HU_03" w:date="2025-05-14T15:27:00Z">
              <w:r w:rsidRPr="00183B5F">
                <w:rPr>
                  <w:b/>
                  <w:bCs/>
                  <w:szCs w:val="24"/>
                </w:rPr>
                <w:delText>Humira</w:delText>
              </w:r>
              <w:r w:rsidRPr="00183B5F">
                <w:rPr>
                  <w:b/>
                  <w:bCs/>
                  <w:szCs w:val="24"/>
                  <w:vertAlign w:val="superscript"/>
                </w:rPr>
                <w:delText>b, c</w:delText>
              </w:r>
              <w:r w:rsidRPr="00183B5F">
                <w:rPr>
                  <w:b/>
                  <w:bCs/>
                  <w:sz w:val="24"/>
                  <w:szCs w:val="24"/>
                </w:rPr>
                <w:delText> </w:delText>
              </w:r>
            </w:del>
          </w:p>
          <w:p w14:paraId="4FB51577" w14:textId="1B7C5FAF" w:rsidR="002A6D4E" w:rsidRPr="00183B5F" w:rsidRDefault="00943743" w:rsidP="00FC288C">
            <w:pPr>
              <w:keepNext/>
              <w:jc w:val="center"/>
              <w:rPr>
                <w:del w:id="7939" w:author="AbbVie_HU_03" w:date="2025-05-14T15:27:00Z"/>
                <w:b/>
                <w:bCs/>
              </w:rPr>
            </w:pPr>
            <w:del w:id="7940" w:author="AbbVie_HU_03" w:date="2025-05-14T15:27:00Z">
              <w:r w:rsidRPr="00183B5F">
                <w:rPr>
                  <w:b/>
                  <w:bCs/>
                </w:rPr>
                <w:delText>Legfeljebb 160 mg a 0. és az 1. héten </w:delText>
              </w:r>
            </w:del>
          </w:p>
          <w:p w14:paraId="7105692B" w14:textId="07B46E31" w:rsidR="002A6D4E" w:rsidRPr="00183B5F" w:rsidRDefault="00943743" w:rsidP="00FC288C">
            <w:pPr>
              <w:keepNext/>
              <w:jc w:val="center"/>
              <w:rPr>
                <w:del w:id="7941" w:author="AbbVie_HU_03" w:date="2025-05-14T15:27:00Z"/>
              </w:rPr>
            </w:pPr>
            <w:del w:id="7942" w:author="AbbVie_HU_03" w:date="2025-05-14T15:27:00Z">
              <w:r w:rsidRPr="00183B5F">
                <w:delText>N=47</w:delText>
              </w:r>
            </w:del>
          </w:p>
        </w:tc>
      </w:tr>
      <w:tr w:rsidR="00011D2F" w14:paraId="13B4956C" w14:textId="604EF633" w:rsidTr="002A6D4E">
        <w:trPr>
          <w:jc w:val="center"/>
          <w:del w:id="7943" w:author="AbbVie_HU_03" w:date="2025-05-14T15:27: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4B04674" w14:textId="6CAC6605" w:rsidR="002A6D4E" w:rsidRPr="00183B5F" w:rsidRDefault="00943743" w:rsidP="00FC288C">
            <w:pPr>
              <w:keepNext/>
              <w:rPr>
                <w:del w:id="7944" w:author="AbbVie_HU_03" w:date="2025-05-14T15:27:00Z"/>
              </w:rPr>
            </w:pPr>
            <w:del w:id="7945" w:author="AbbVie_HU_03" w:date="2025-05-14T15:27:00Z">
              <w:r w:rsidRPr="00183B5F">
                <w:delText>Klinikai remisszió</w:delText>
              </w:r>
            </w:del>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98BAFD3" w14:textId="2D649115" w:rsidR="002A6D4E" w:rsidRPr="00183B5F" w:rsidRDefault="00943743" w:rsidP="00FC288C">
            <w:pPr>
              <w:keepNext/>
              <w:jc w:val="center"/>
              <w:rPr>
                <w:del w:id="7946" w:author="AbbVie_HU_03" w:date="2025-05-14T15:27:00Z"/>
              </w:rPr>
            </w:pPr>
            <w:del w:id="7947" w:author="AbbVie_HU_03" w:date="2025-05-14T15:27:00Z">
              <w:r w:rsidRPr="00183B5F">
                <w:delText>13/30 (43,3%)</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EE509C4" w14:textId="672DBA3F" w:rsidR="002A6D4E" w:rsidRPr="00183B5F" w:rsidRDefault="00943743" w:rsidP="00FC288C">
            <w:pPr>
              <w:keepNext/>
              <w:jc w:val="center"/>
              <w:rPr>
                <w:del w:id="7948" w:author="AbbVie_HU_03" w:date="2025-05-14T15:27:00Z"/>
                <w:vertAlign w:val="superscript"/>
              </w:rPr>
            </w:pPr>
            <w:del w:id="7949" w:author="AbbVie_HU_03" w:date="2025-05-14T15:27:00Z">
              <w:r w:rsidRPr="00183B5F">
                <w:delText>28/47 (59,6%)</w:delText>
              </w:r>
            </w:del>
          </w:p>
        </w:tc>
      </w:tr>
      <w:tr w:rsidR="00011D2F" w14:paraId="7FDD7782" w14:textId="14C3127B" w:rsidTr="002A6D4E">
        <w:trPr>
          <w:trHeight w:val="2517"/>
          <w:jc w:val="center"/>
          <w:del w:id="7950" w:author="AbbVie_HU_03" w:date="2025-05-14T15:27:00Z"/>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1D51552" w14:textId="2D636202" w:rsidR="002A6D4E" w:rsidRPr="00183B5F" w:rsidRDefault="00943743" w:rsidP="00FC288C">
            <w:pPr>
              <w:keepNext/>
              <w:textAlignment w:val="baseline"/>
              <w:rPr>
                <w:del w:id="7951" w:author="AbbVie_HU_03" w:date="2025-05-14T15:27:00Z"/>
              </w:rPr>
            </w:pPr>
            <w:del w:id="7952" w:author="AbbVie_HU_03" w:date="2025-05-14T15:27:00Z">
              <w:r w:rsidRPr="00183B5F">
                <w:rPr>
                  <w:szCs w:val="24"/>
                  <w:vertAlign w:val="superscript"/>
                </w:rPr>
                <w:delText>a </w:delText>
              </w:r>
              <w:r w:rsidRPr="00183B5F">
                <w:rPr>
                  <w:szCs w:val="24"/>
                </w:rPr>
                <w:delText>Humira 2,4 mg/ttkg (legfeljebb 160 mg) a 0. héten, placebo az 1. héten és 1,2 mg/ttkg (legfeljebb 80 mg) a 2. héten</w:delText>
              </w:r>
              <w:r w:rsidRPr="00183B5F">
                <w:rPr>
                  <w:sz w:val="24"/>
                  <w:szCs w:val="24"/>
                </w:rPr>
                <w:delText> </w:delText>
              </w:r>
            </w:del>
          </w:p>
          <w:p w14:paraId="369FB066" w14:textId="27EBB8AB" w:rsidR="002A6D4E" w:rsidRPr="00183B5F" w:rsidRDefault="00943743" w:rsidP="00FC288C">
            <w:pPr>
              <w:keepNext/>
              <w:textAlignment w:val="baseline"/>
              <w:rPr>
                <w:del w:id="7953" w:author="AbbVie_HU_03" w:date="2025-05-14T15:27:00Z"/>
              </w:rPr>
            </w:pPr>
            <w:del w:id="7954" w:author="AbbVie_HU_03" w:date="2025-05-14T15:27:00Z">
              <w:r w:rsidRPr="00183B5F">
                <w:rPr>
                  <w:szCs w:val="24"/>
                  <w:vertAlign w:val="superscript"/>
                </w:rPr>
                <w:delText>b </w:delText>
              </w:r>
              <w:r w:rsidRPr="00183B5F">
                <w:rPr>
                  <w:szCs w:val="24"/>
                </w:rPr>
                <w:delText>Humira 2,4 mg/ttkg (legfeljebb 160 mg) a 0. és az 1. héten és 1,2 mg/ttkg (legfeljebb 80 mg) a 2. héten</w:delText>
              </w:r>
              <w:r w:rsidRPr="00183B5F">
                <w:rPr>
                  <w:sz w:val="24"/>
                  <w:szCs w:val="24"/>
                </w:rPr>
                <w:delText> </w:delText>
              </w:r>
            </w:del>
          </w:p>
          <w:p w14:paraId="273F0914" w14:textId="48CC54B4" w:rsidR="002A6D4E" w:rsidRPr="00183B5F" w:rsidRDefault="00943743" w:rsidP="00FC288C">
            <w:pPr>
              <w:keepNext/>
              <w:textAlignment w:val="baseline"/>
              <w:rPr>
                <w:del w:id="7955" w:author="AbbVie_HU_03" w:date="2025-05-14T15:27:00Z"/>
              </w:rPr>
            </w:pPr>
            <w:del w:id="7956" w:author="AbbVie_HU_03" w:date="2025-05-14T15:27:00Z">
              <w:r w:rsidRPr="00183B5F">
                <w:rPr>
                  <w:szCs w:val="24"/>
                  <w:vertAlign w:val="superscript"/>
                </w:rPr>
                <w:delText>c </w:delText>
              </w:r>
              <w:r w:rsidRPr="00183B5F">
                <w:rPr>
                  <w:szCs w:val="24"/>
                </w:rPr>
                <w:delText>Nem tartalmazza a nyílt elrendezésű Humira indukciós dózist: 2,4 mg/ttkg (legfeljebb 160 mg) a 0. héten, placebo az 1. héten és 1,2 mg/ttkg (legfeljebb 80 mg) a 2. héten</w:delText>
              </w:r>
            </w:del>
          </w:p>
          <w:p w14:paraId="384C1DCE" w14:textId="260DF803" w:rsidR="002A6D4E" w:rsidRPr="00183B5F" w:rsidRDefault="00943743" w:rsidP="00FC288C">
            <w:pPr>
              <w:keepNext/>
              <w:textAlignment w:val="baseline"/>
              <w:rPr>
                <w:del w:id="7957" w:author="AbbVie_HU_03" w:date="2025-05-14T15:27:00Z"/>
              </w:rPr>
            </w:pPr>
            <w:del w:id="7958" w:author="AbbVie_HU_03" w:date="2025-05-14T15:27:00Z">
              <w:r w:rsidRPr="00183B5F">
                <w:rPr>
                  <w:szCs w:val="24"/>
                </w:rPr>
                <w:delText>1. megjegyzés: Mindkét indukciós csoport 0,6 mg/ttkg-ot (legfeljebb 40 mg) kapott a 4. és a 6. héten</w:delText>
              </w:r>
              <w:r w:rsidRPr="00183B5F">
                <w:rPr>
                  <w:sz w:val="24"/>
                  <w:szCs w:val="24"/>
                </w:rPr>
                <w:delText> </w:delText>
              </w:r>
            </w:del>
          </w:p>
          <w:p w14:paraId="5B2043FF" w14:textId="5A233C09" w:rsidR="002A6D4E" w:rsidRPr="00183B5F" w:rsidRDefault="00943743" w:rsidP="00FC288C">
            <w:pPr>
              <w:keepNext/>
              <w:textAlignment w:val="baseline"/>
              <w:rPr>
                <w:del w:id="7959" w:author="AbbVie_HU_03" w:date="2025-05-14T15:27:00Z"/>
              </w:rPr>
            </w:pPr>
            <w:del w:id="7960" w:author="AbbVie_HU_03" w:date="2025-05-14T15:27:00Z">
              <w:r w:rsidRPr="00183B5F">
                <w:rPr>
                  <w:szCs w:val="24"/>
                </w:rPr>
                <w:delText>2. megjegyzés: A 8. héten hiányzó értékek esetén úgy tekintették, hogy a betegek nem teljesítették a végpontot</w:delText>
              </w:r>
              <w:r w:rsidRPr="00183B5F">
                <w:rPr>
                  <w:sz w:val="24"/>
                  <w:szCs w:val="24"/>
                </w:rPr>
                <w:delText> </w:delText>
              </w:r>
            </w:del>
          </w:p>
        </w:tc>
      </w:tr>
    </w:tbl>
    <w:p w14:paraId="6E3EA950" w14:textId="1AA8B561" w:rsidR="002A6D4E" w:rsidRPr="00183B5F" w:rsidRDefault="002A6D4E" w:rsidP="002A6D4E">
      <w:pPr>
        <w:rPr>
          <w:del w:id="7961" w:author="AbbVie_HU_03" w:date="2025-05-14T15:27:00Z"/>
          <w:shd w:val="clear" w:color="auto" w:fill="FFFFFF"/>
        </w:rPr>
      </w:pPr>
    </w:p>
    <w:p w14:paraId="74F26243" w14:textId="2F18B10A" w:rsidR="002A6D4E" w:rsidRPr="00183B5F" w:rsidRDefault="00943743" w:rsidP="002A6D4E">
      <w:pPr>
        <w:rPr>
          <w:del w:id="7962" w:author="AbbVie_HU_03" w:date="2025-05-14T15:27:00Z"/>
        </w:rPr>
      </w:pPr>
      <w:del w:id="7963" w:author="AbbVie_HU_03" w:date="2025-05-14T15:27:00Z">
        <w:r w:rsidRPr="00183B5F">
          <w:rPr>
            <w:shd w:val="clear" w:color="auto" w:fill="FFFFFF"/>
          </w:rPr>
          <w:delText xml:space="preserve">Az 52. héten értékelték az FMS szerinti klinikai remissziót a 8. héten </w:delText>
        </w:r>
        <w:r w:rsidR="00C96EE0" w:rsidRPr="00183B5F">
          <w:rPr>
            <w:rStyle w:val="normaltextrun"/>
            <w:shd w:val="clear" w:color="auto" w:fill="FFFFFF"/>
          </w:rPr>
          <w:delText>választ mutatóknál</w:delText>
        </w:r>
        <w:r w:rsidRPr="00183B5F">
          <w:rPr>
            <w:shd w:val="clear" w:color="auto" w:fill="FFFFFF"/>
          </w:rPr>
          <w:delText xml:space="preserve">, az FMS szerinti klinikai választ (a Mayo Score ≥ 3 pontos és ≥ 30%-os csökkenése a kiindulási értékhez képest) a 8. héten </w:delText>
        </w:r>
        <w:r w:rsidR="00C96EE0" w:rsidRPr="00183B5F">
          <w:rPr>
            <w:shd w:val="clear" w:color="auto" w:fill="FFFFFF"/>
          </w:rPr>
          <w:delText>választ mutatóknál</w:delText>
        </w:r>
        <w:r w:rsidRPr="00183B5F">
          <w:rPr>
            <w:shd w:val="clear" w:color="auto" w:fill="FFFFFF"/>
          </w:rPr>
          <w:delText xml:space="preserve">, a nyálkahártya gyógyulást (Mayo endoszkópiás </w:delText>
        </w:r>
        <w:r w:rsidR="007112E4" w:rsidRPr="00183B5F">
          <w:rPr>
            <w:shd w:val="clear" w:color="auto" w:fill="FFFFFF"/>
          </w:rPr>
          <w:delText>al</w:delText>
        </w:r>
        <w:r w:rsidRPr="00183B5F">
          <w:rPr>
            <w:shd w:val="clear" w:color="auto" w:fill="FFFFFF"/>
          </w:rPr>
          <w:delText xml:space="preserve">pontszám ≤ 1) a 8. héten </w:delText>
        </w:r>
        <w:r w:rsidR="00D81D3E" w:rsidRPr="00183B5F">
          <w:rPr>
            <w:rStyle w:val="normaltextrun"/>
            <w:shd w:val="clear" w:color="auto" w:fill="FFFFFF"/>
          </w:rPr>
          <w:delText>választ mutatóknál</w:delText>
        </w:r>
        <w:r w:rsidRPr="00183B5F">
          <w:rPr>
            <w:shd w:val="clear" w:color="auto" w:fill="FFFFFF"/>
          </w:rPr>
          <w:delText xml:space="preserve">, az FMS szerinti klinikai remissziót a 8. héten remisszióban lévő betegeknél, valamint az FMS szerinti kortikoszteroidmentes remisszióban lévők arányát a 8. héten </w:delText>
        </w:r>
        <w:r w:rsidR="00D81D3E" w:rsidRPr="00183B5F">
          <w:rPr>
            <w:rStyle w:val="normaltextrun"/>
            <w:shd w:val="clear" w:color="auto" w:fill="FFFFFF"/>
          </w:rPr>
          <w:delText>választ mutatóknál</w:delText>
        </w:r>
        <w:r w:rsidRPr="00183B5F">
          <w:rPr>
            <w:shd w:val="clear" w:color="auto" w:fill="FFFFFF"/>
          </w:rPr>
          <w:delText xml:space="preserve"> azoknak a betegeknek körében, akik kettős vak elrendezésben kéthetente legfeljebb 40 mg/hét (0,6 mg/</w:delText>
        </w:r>
        <w:r w:rsidR="009134E6" w:rsidRPr="00183B5F">
          <w:rPr>
            <w:shd w:val="clear" w:color="auto" w:fill="FFFFFF"/>
          </w:rPr>
          <w:delText>tt</w:delText>
        </w:r>
        <w:r w:rsidRPr="00183B5F">
          <w:rPr>
            <w:shd w:val="clear" w:color="auto" w:fill="FFFFFF"/>
          </w:rPr>
          <w:delText>kg) és hetente legfeljebb 40 mg (0,6 mg/</w:delText>
        </w:r>
        <w:r w:rsidR="009134E6" w:rsidRPr="00183B5F">
          <w:rPr>
            <w:shd w:val="clear" w:color="auto" w:fill="FFFFFF"/>
          </w:rPr>
          <w:delText>tt</w:delText>
        </w:r>
        <w:r w:rsidRPr="00183B5F">
          <w:rPr>
            <w:shd w:val="clear" w:color="auto" w:fill="FFFFFF"/>
          </w:rPr>
          <w:delText>kg) fenntartó dózis Humira-t kaptak (</w:delText>
        </w:r>
        <w:r w:rsidR="00903C5C" w:rsidRPr="00183B5F">
          <w:rPr>
            <w:shd w:val="clear" w:color="auto" w:fill="FFFFFF"/>
          </w:rPr>
          <w:delText>32</w:delText>
        </w:r>
        <w:r w:rsidRPr="00183B5F">
          <w:rPr>
            <w:shd w:val="clear" w:color="auto" w:fill="FFFFFF"/>
          </w:rPr>
          <w:delText>. táblázat). </w:delText>
        </w:r>
      </w:del>
    </w:p>
    <w:p w14:paraId="11B09C74" w14:textId="614C9DEE" w:rsidR="002A6D4E" w:rsidRPr="00183B5F" w:rsidRDefault="002A6D4E" w:rsidP="002A6D4E">
      <w:pPr>
        <w:rPr>
          <w:del w:id="7964" w:author="AbbVie_HU_03" w:date="2025-05-14T15:27:00Z"/>
        </w:rPr>
      </w:pPr>
    </w:p>
    <w:p w14:paraId="3F6EC836" w14:textId="087A4CDA" w:rsidR="002A6D4E" w:rsidRPr="00183B5F" w:rsidRDefault="00943743" w:rsidP="00FE0197">
      <w:pPr>
        <w:keepNext/>
        <w:jc w:val="center"/>
        <w:textAlignment w:val="baseline"/>
        <w:rPr>
          <w:del w:id="7965" w:author="AbbVie_HU_03" w:date="2025-05-14T15:27:00Z"/>
        </w:rPr>
      </w:pPr>
      <w:del w:id="7966" w:author="AbbVie_HU_03" w:date="2025-05-14T15:27:00Z">
        <w:r w:rsidRPr="00183B5F">
          <w:rPr>
            <w:b/>
          </w:rPr>
          <w:delText>32. táblázat: Hatásossági eredmények az 52. héten</w:delText>
        </w:r>
        <w:r w:rsidRPr="00183B5F">
          <w:delText> </w:delText>
        </w:r>
      </w:del>
    </w:p>
    <w:p w14:paraId="180390B1" w14:textId="56E2FE6B" w:rsidR="002A6D4E" w:rsidRPr="00183B5F" w:rsidRDefault="002A6D4E" w:rsidP="00FE0197">
      <w:pPr>
        <w:keepNext/>
        <w:jc w:val="center"/>
        <w:textAlignment w:val="baseline"/>
        <w:rPr>
          <w:del w:id="7967" w:author="AbbVie_HU_03" w:date="2025-05-14T15:27:00Z"/>
          <w:lang w:eastAsia="en-GB"/>
        </w:rPr>
      </w:pP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7"/>
        <w:gridCol w:w="2728"/>
        <w:gridCol w:w="2543"/>
      </w:tblGrid>
      <w:tr w:rsidR="00011D2F" w14:paraId="7400F8A8" w14:textId="395D11DE" w:rsidTr="002A6D4E">
        <w:trPr>
          <w:trHeight w:val="912"/>
          <w:jc w:val="center"/>
          <w:del w:id="7968" w:author="AbbVie_HU_03" w:date="2025-05-14T15:27:00Z"/>
        </w:trPr>
        <w:tc>
          <w:tcPr>
            <w:tcW w:w="2526" w:type="dxa"/>
            <w:tcBorders>
              <w:top w:val="single" w:sz="6" w:space="0" w:color="auto"/>
              <w:left w:val="single" w:sz="6" w:space="0" w:color="auto"/>
              <w:bottom w:val="single" w:sz="6" w:space="0" w:color="auto"/>
              <w:right w:val="single" w:sz="6" w:space="0" w:color="auto"/>
            </w:tcBorders>
            <w:hideMark/>
          </w:tcPr>
          <w:p w14:paraId="5BD29E4E" w14:textId="5D4723B0" w:rsidR="002A6D4E" w:rsidRPr="00183B5F" w:rsidRDefault="002A6D4E" w:rsidP="00FE0197">
            <w:pPr>
              <w:keepNext/>
              <w:jc w:val="center"/>
              <w:textAlignment w:val="baseline"/>
              <w:rPr>
                <w:del w:id="7969" w:author="AbbVie_HU_03" w:date="2025-05-14T15:27:00Z"/>
                <w:lang w:eastAsia="en-GB"/>
              </w:rPr>
            </w:pPr>
          </w:p>
        </w:tc>
        <w:tc>
          <w:tcPr>
            <w:tcW w:w="2409" w:type="dxa"/>
            <w:tcBorders>
              <w:top w:val="single" w:sz="6" w:space="0" w:color="auto"/>
              <w:left w:val="nil"/>
              <w:bottom w:val="single" w:sz="6" w:space="0" w:color="auto"/>
              <w:right w:val="single" w:sz="6" w:space="0" w:color="auto"/>
            </w:tcBorders>
            <w:vAlign w:val="center"/>
            <w:hideMark/>
          </w:tcPr>
          <w:p w14:paraId="3A100588" w14:textId="6912CAC3" w:rsidR="002A6D4E" w:rsidRPr="00183B5F" w:rsidRDefault="00943743" w:rsidP="00FE0197">
            <w:pPr>
              <w:keepNext/>
              <w:jc w:val="center"/>
              <w:textAlignment w:val="baseline"/>
              <w:rPr>
                <w:del w:id="7970" w:author="AbbVie_HU_03" w:date="2025-05-14T15:27:00Z"/>
              </w:rPr>
            </w:pPr>
            <w:del w:id="7971" w:author="AbbVie_HU_03" w:date="2025-05-14T15:27:00Z">
              <w:r w:rsidRPr="00183B5F">
                <w:rPr>
                  <w:b/>
                </w:rPr>
                <w:delText>Humira</w:delText>
              </w:r>
              <w:r w:rsidRPr="00183B5F">
                <w:rPr>
                  <w:b/>
                  <w:vertAlign w:val="superscript"/>
                </w:rPr>
                <w:delText>a</w:delText>
              </w:r>
              <w:r w:rsidRPr="00183B5F">
                <w:rPr>
                  <w:b/>
                </w:rPr>
                <w:delText> </w:delText>
              </w:r>
              <w:r w:rsidRPr="00183B5F">
                <w:delText> </w:delText>
              </w:r>
            </w:del>
          </w:p>
          <w:p w14:paraId="13B0FB2A" w14:textId="523C6C7D" w:rsidR="002A6D4E" w:rsidRPr="00183B5F" w:rsidRDefault="00943743" w:rsidP="00FE0197">
            <w:pPr>
              <w:keepNext/>
              <w:jc w:val="center"/>
              <w:textAlignment w:val="baseline"/>
              <w:rPr>
                <w:del w:id="7972" w:author="AbbVie_HU_03" w:date="2025-05-14T15:27:00Z"/>
              </w:rPr>
            </w:pPr>
            <w:del w:id="7973" w:author="AbbVie_HU_03" w:date="2025-05-14T15:27:00Z">
              <w:r w:rsidRPr="00183B5F">
                <w:rPr>
                  <w:b/>
                  <w:bCs/>
                </w:rPr>
                <w:delText>Legfeljebb 40 mg kéthetente </w:delText>
              </w:r>
            </w:del>
          </w:p>
          <w:p w14:paraId="07A03C0C" w14:textId="65D4C1B0" w:rsidR="002A6D4E" w:rsidRPr="00183B5F" w:rsidRDefault="00943743" w:rsidP="00FE0197">
            <w:pPr>
              <w:keepNext/>
              <w:jc w:val="center"/>
              <w:textAlignment w:val="baseline"/>
              <w:rPr>
                <w:del w:id="7974" w:author="AbbVie_HU_03" w:date="2025-05-14T15:27:00Z"/>
              </w:rPr>
            </w:pPr>
            <w:del w:id="7975" w:author="AbbVie_HU_03" w:date="2025-05-14T15:27:00Z">
              <w:r w:rsidRPr="00183B5F">
                <w:delText>N=31</w:delText>
              </w:r>
            </w:del>
          </w:p>
        </w:tc>
        <w:tc>
          <w:tcPr>
            <w:tcW w:w="2633" w:type="dxa"/>
            <w:tcBorders>
              <w:top w:val="single" w:sz="6" w:space="0" w:color="auto"/>
              <w:left w:val="nil"/>
              <w:bottom w:val="single" w:sz="6" w:space="0" w:color="auto"/>
              <w:right w:val="single" w:sz="6" w:space="0" w:color="auto"/>
            </w:tcBorders>
            <w:vAlign w:val="center"/>
            <w:hideMark/>
          </w:tcPr>
          <w:p w14:paraId="292C5E45" w14:textId="2FF600CF" w:rsidR="002A6D4E" w:rsidRPr="00183B5F" w:rsidRDefault="00943743" w:rsidP="00FE0197">
            <w:pPr>
              <w:keepNext/>
              <w:jc w:val="center"/>
              <w:textAlignment w:val="baseline"/>
              <w:rPr>
                <w:del w:id="7976" w:author="AbbVie_HU_03" w:date="2025-05-14T15:27:00Z"/>
              </w:rPr>
            </w:pPr>
            <w:del w:id="7977" w:author="AbbVie_HU_03" w:date="2025-05-14T15:27:00Z">
              <w:r w:rsidRPr="00183B5F">
                <w:rPr>
                  <w:b/>
                </w:rPr>
                <w:delText>Humira</w:delText>
              </w:r>
              <w:r w:rsidRPr="00183B5F">
                <w:rPr>
                  <w:b/>
                  <w:vertAlign w:val="superscript"/>
                </w:rPr>
                <w:delText>b</w:delText>
              </w:r>
              <w:r w:rsidRPr="00183B5F">
                <w:rPr>
                  <w:b/>
                </w:rPr>
                <w:delText> </w:delText>
              </w:r>
              <w:r w:rsidRPr="00183B5F">
                <w:delText> </w:delText>
              </w:r>
            </w:del>
          </w:p>
          <w:p w14:paraId="2629429A" w14:textId="08227E97" w:rsidR="002A6D4E" w:rsidRPr="00183B5F" w:rsidRDefault="00943743" w:rsidP="00FE0197">
            <w:pPr>
              <w:keepNext/>
              <w:jc w:val="center"/>
              <w:textAlignment w:val="baseline"/>
              <w:rPr>
                <w:del w:id="7978" w:author="AbbVie_HU_03" w:date="2025-05-14T15:27:00Z"/>
              </w:rPr>
            </w:pPr>
            <w:del w:id="7979" w:author="AbbVie_HU_03" w:date="2025-05-14T15:27:00Z">
              <w:r w:rsidRPr="00183B5F">
                <w:rPr>
                  <w:b/>
                  <w:bCs/>
                </w:rPr>
                <w:delText>Legfeljebb 40 mg hetente</w:delText>
              </w:r>
              <w:r w:rsidRPr="00183B5F">
                <w:delText> </w:delText>
              </w:r>
            </w:del>
          </w:p>
          <w:p w14:paraId="17ECD701" w14:textId="1267F635" w:rsidR="002A6D4E" w:rsidRPr="00183B5F" w:rsidRDefault="00943743" w:rsidP="00FE0197">
            <w:pPr>
              <w:keepNext/>
              <w:jc w:val="center"/>
              <w:textAlignment w:val="baseline"/>
              <w:rPr>
                <w:del w:id="7980" w:author="AbbVie_HU_03" w:date="2025-05-14T15:27:00Z"/>
              </w:rPr>
            </w:pPr>
            <w:del w:id="7981" w:author="AbbVie_HU_03" w:date="2025-05-14T15:27:00Z">
              <w:r w:rsidRPr="00183B5F">
                <w:delText>N=31</w:delText>
              </w:r>
            </w:del>
          </w:p>
        </w:tc>
      </w:tr>
      <w:tr w:rsidR="00011D2F" w14:paraId="265004F0" w14:textId="02E00A05" w:rsidTr="002A6D4E">
        <w:trPr>
          <w:trHeight w:val="570"/>
          <w:jc w:val="center"/>
          <w:del w:id="7982" w:author="AbbVie_HU_03" w:date="2025-05-14T15:27:00Z"/>
        </w:trPr>
        <w:tc>
          <w:tcPr>
            <w:tcW w:w="2526" w:type="dxa"/>
            <w:tcBorders>
              <w:top w:val="nil"/>
              <w:left w:val="single" w:sz="6" w:space="0" w:color="auto"/>
              <w:bottom w:val="single" w:sz="6" w:space="0" w:color="auto"/>
              <w:right w:val="single" w:sz="6" w:space="0" w:color="auto"/>
            </w:tcBorders>
            <w:vAlign w:val="center"/>
            <w:hideMark/>
          </w:tcPr>
          <w:p w14:paraId="6450472E" w14:textId="5926B6E7" w:rsidR="002A6D4E" w:rsidRPr="00183B5F" w:rsidRDefault="00943743" w:rsidP="002A6D4E">
            <w:pPr>
              <w:textAlignment w:val="baseline"/>
              <w:rPr>
                <w:del w:id="7983" w:author="AbbVie_HU_03" w:date="2025-05-14T15:27:00Z"/>
              </w:rPr>
            </w:pPr>
            <w:del w:id="7984" w:author="AbbVie_HU_03" w:date="2025-05-14T15:27:00Z">
              <w:r w:rsidRPr="00183B5F">
                <w:delText xml:space="preserve">Klinikai remisszió a 8. héten PMS szerint </w:delText>
              </w:r>
              <w:r w:rsidR="00D81D3E" w:rsidRPr="00183B5F">
                <w:rPr>
                  <w:rStyle w:val="normaltextrun"/>
                  <w:shd w:val="clear" w:color="auto" w:fill="FFFFFF"/>
                </w:rPr>
                <w:delText>választ mutatóknál</w:delText>
              </w:r>
              <w:r w:rsidRPr="00183B5F">
                <w:delText> </w:delText>
              </w:r>
            </w:del>
          </w:p>
        </w:tc>
        <w:tc>
          <w:tcPr>
            <w:tcW w:w="2409" w:type="dxa"/>
            <w:tcBorders>
              <w:top w:val="nil"/>
              <w:left w:val="nil"/>
              <w:bottom w:val="single" w:sz="6" w:space="0" w:color="auto"/>
              <w:right w:val="single" w:sz="6" w:space="0" w:color="auto"/>
            </w:tcBorders>
            <w:vAlign w:val="center"/>
            <w:hideMark/>
          </w:tcPr>
          <w:p w14:paraId="76C79D2E" w14:textId="65A6DBB5" w:rsidR="002A6D4E" w:rsidRPr="00183B5F" w:rsidRDefault="00943743" w:rsidP="002A6D4E">
            <w:pPr>
              <w:jc w:val="center"/>
              <w:textAlignment w:val="baseline"/>
              <w:rPr>
                <w:del w:id="7985" w:author="AbbVie_HU_03" w:date="2025-05-14T15:27:00Z"/>
              </w:rPr>
            </w:pPr>
            <w:del w:id="7986" w:author="AbbVie_HU_03" w:date="2025-05-14T15:27:00Z">
              <w:r w:rsidRPr="00183B5F">
                <w:delText>9/31 (29,0%) </w:delText>
              </w:r>
            </w:del>
          </w:p>
        </w:tc>
        <w:tc>
          <w:tcPr>
            <w:tcW w:w="2633" w:type="dxa"/>
            <w:tcBorders>
              <w:top w:val="nil"/>
              <w:left w:val="nil"/>
              <w:bottom w:val="single" w:sz="6" w:space="0" w:color="auto"/>
              <w:right w:val="single" w:sz="6" w:space="0" w:color="auto"/>
            </w:tcBorders>
            <w:vAlign w:val="center"/>
            <w:hideMark/>
          </w:tcPr>
          <w:p w14:paraId="62E5D602" w14:textId="4D279731" w:rsidR="002A6D4E" w:rsidRPr="00183B5F" w:rsidRDefault="00943743" w:rsidP="002A6D4E">
            <w:pPr>
              <w:jc w:val="center"/>
              <w:textAlignment w:val="baseline"/>
              <w:rPr>
                <w:del w:id="7987" w:author="AbbVie_HU_03" w:date="2025-05-14T15:27:00Z"/>
              </w:rPr>
            </w:pPr>
            <w:del w:id="7988" w:author="AbbVie_HU_03" w:date="2025-05-14T15:27:00Z">
              <w:r w:rsidRPr="00183B5F">
                <w:delText>14/31 (45,2%)</w:delText>
              </w:r>
            </w:del>
          </w:p>
        </w:tc>
      </w:tr>
      <w:tr w:rsidR="00011D2F" w14:paraId="2E8FAF7C" w14:textId="0EB6C69E" w:rsidTr="002A6D4E">
        <w:trPr>
          <w:trHeight w:val="555"/>
          <w:jc w:val="center"/>
          <w:del w:id="7989" w:author="AbbVie_HU_03" w:date="2025-05-14T15:27:00Z"/>
        </w:trPr>
        <w:tc>
          <w:tcPr>
            <w:tcW w:w="2526" w:type="dxa"/>
            <w:tcBorders>
              <w:top w:val="nil"/>
              <w:left w:val="single" w:sz="6" w:space="0" w:color="auto"/>
              <w:bottom w:val="single" w:sz="6" w:space="0" w:color="auto"/>
              <w:right w:val="single" w:sz="6" w:space="0" w:color="auto"/>
            </w:tcBorders>
            <w:vAlign w:val="center"/>
            <w:hideMark/>
          </w:tcPr>
          <w:p w14:paraId="66DA287A" w14:textId="0049A2FA" w:rsidR="002A6D4E" w:rsidRPr="00183B5F" w:rsidRDefault="00943743" w:rsidP="002A6D4E">
            <w:pPr>
              <w:textAlignment w:val="baseline"/>
              <w:rPr>
                <w:del w:id="7990" w:author="AbbVie_HU_03" w:date="2025-05-14T15:27:00Z"/>
              </w:rPr>
            </w:pPr>
            <w:del w:id="7991" w:author="AbbVie_HU_03" w:date="2025-05-14T15:27:00Z">
              <w:r w:rsidRPr="00183B5F">
                <w:delText xml:space="preserve">Klinikai válasz a 8. héten  PMS szerint </w:delText>
              </w:r>
              <w:r w:rsidR="00D81D3E" w:rsidRPr="00183B5F">
                <w:rPr>
                  <w:rStyle w:val="normaltextrun"/>
                  <w:shd w:val="clear" w:color="auto" w:fill="FFFFFF"/>
                </w:rPr>
                <w:delText>választ mutatóknál</w:delText>
              </w:r>
              <w:r w:rsidRPr="00183B5F">
                <w:delText> </w:delText>
              </w:r>
            </w:del>
          </w:p>
        </w:tc>
        <w:tc>
          <w:tcPr>
            <w:tcW w:w="2409" w:type="dxa"/>
            <w:tcBorders>
              <w:top w:val="nil"/>
              <w:left w:val="nil"/>
              <w:bottom w:val="single" w:sz="6" w:space="0" w:color="auto"/>
              <w:right w:val="single" w:sz="6" w:space="0" w:color="auto"/>
            </w:tcBorders>
            <w:vAlign w:val="center"/>
            <w:hideMark/>
          </w:tcPr>
          <w:p w14:paraId="5A4FC07D" w14:textId="5FDB6D1B" w:rsidR="002A6D4E" w:rsidRPr="00183B5F" w:rsidRDefault="00943743" w:rsidP="002A6D4E">
            <w:pPr>
              <w:jc w:val="center"/>
              <w:textAlignment w:val="baseline"/>
              <w:rPr>
                <w:del w:id="7992" w:author="AbbVie_HU_03" w:date="2025-05-14T15:27:00Z"/>
              </w:rPr>
            </w:pPr>
            <w:del w:id="7993" w:author="AbbVie_HU_03" w:date="2025-05-14T15:27:00Z">
              <w:r w:rsidRPr="00183B5F">
                <w:delText>19/31 (61,3%) </w:delText>
              </w:r>
            </w:del>
          </w:p>
        </w:tc>
        <w:tc>
          <w:tcPr>
            <w:tcW w:w="2633" w:type="dxa"/>
            <w:tcBorders>
              <w:top w:val="nil"/>
              <w:left w:val="nil"/>
              <w:bottom w:val="single" w:sz="6" w:space="0" w:color="auto"/>
              <w:right w:val="single" w:sz="6" w:space="0" w:color="auto"/>
            </w:tcBorders>
            <w:vAlign w:val="center"/>
            <w:hideMark/>
          </w:tcPr>
          <w:p w14:paraId="40985207" w14:textId="08B7D017" w:rsidR="002A6D4E" w:rsidRPr="00183B5F" w:rsidRDefault="00943743" w:rsidP="002A6D4E">
            <w:pPr>
              <w:jc w:val="center"/>
              <w:textAlignment w:val="baseline"/>
              <w:rPr>
                <w:del w:id="7994" w:author="AbbVie_HU_03" w:date="2025-05-14T15:27:00Z"/>
              </w:rPr>
            </w:pPr>
            <w:del w:id="7995" w:author="AbbVie_HU_03" w:date="2025-05-14T15:27:00Z">
              <w:r w:rsidRPr="00183B5F">
                <w:delText>21/31 (67,7%) </w:delText>
              </w:r>
            </w:del>
          </w:p>
        </w:tc>
      </w:tr>
      <w:tr w:rsidR="00011D2F" w14:paraId="1150A448" w14:textId="2BB4EA19" w:rsidTr="002A6D4E">
        <w:trPr>
          <w:jc w:val="center"/>
          <w:del w:id="7996" w:author="AbbVie_HU_03" w:date="2025-05-14T15:27:00Z"/>
        </w:trPr>
        <w:tc>
          <w:tcPr>
            <w:tcW w:w="2526" w:type="dxa"/>
            <w:tcBorders>
              <w:top w:val="nil"/>
              <w:left w:val="single" w:sz="6" w:space="0" w:color="auto"/>
              <w:bottom w:val="single" w:sz="6" w:space="0" w:color="auto"/>
              <w:right w:val="single" w:sz="6" w:space="0" w:color="auto"/>
            </w:tcBorders>
            <w:vAlign w:val="center"/>
            <w:hideMark/>
          </w:tcPr>
          <w:p w14:paraId="594BF2D3" w14:textId="1B225E2F" w:rsidR="002A6D4E" w:rsidRPr="00183B5F" w:rsidRDefault="00943743" w:rsidP="002A6D4E">
            <w:pPr>
              <w:textAlignment w:val="baseline"/>
              <w:rPr>
                <w:del w:id="7997" w:author="AbbVie_HU_03" w:date="2025-05-14T15:27:00Z"/>
              </w:rPr>
            </w:pPr>
            <w:del w:id="7998" w:author="AbbVie_HU_03" w:date="2025-05-14T15:27:00Z">
              <w:r w:rsidRPr="00183B5F">
                <w:delText xml:space="preserve">Nyálkahártya-gyógyulás a 8. héten PMS szerint </w:delText>
              </w:r>
              <w:r w:rsidR="00D81D3E" w:rsidRPr="00183B5F">
                <w:rPr>
                  <w:rStyle w:val="normaltextrun"/>
                  <w:shd w:val="clear" w:color="auto" w:fill="FFFFFF"/>
                </w:rPr>
                <w:delText>választ mutatóknál</w:delText>
              </w:r>
            </w:del>
          </w:p>
        </w:tc>
        <w:tc>
          <w:tcPr>
            <w:tcW w:w="2409" w:type="dxa"/>
            <w:tcBorders>
              <w:top w:val="nil"/>
              <w:left w:val="nil"/>
              <w:bottom w:val="single" w:sz="6" w:space="0" w:color="auto"/>
              <w:right w:val="single" w:sz="6" w:space="0" w:color="auto"/>
            </w:tcBorders>
            <w:vAlign w:val="center"/>
            <w:hideMark/>
          </w:tcPr>
          <w:p w14:paraId="51AF6D21" w14:textId="2F4B423D" w:rsidR="002A6D4E" w:rsidRPr="00183B5F" w:rsidRDefault="00943743" w:rsidP="002A6D4E">
            <w:pPr>
              <w:jc w:val="center"/>
              <w:textAlignment w:val="baseline"/>
              <w:rPr>
                <w:del w:id="7999" w:author="AbbVie_HU_03" w:date="2025-05-14T15:27:00Z"/>
              </w:rPr>
            </w:pPr>
            <w:del w:id="8000" w:author="AbbVie_HU_03" w:date="2025-05-14T15:27:00Z">
              <w:r w:rsidRPr="00183B5F">
                <w:delText>12/31 (38,7%) </w:delText>
              </w:r>
            </w:del>
          </w:p>
        </w:tc>
        <w:tc>
          <w:tcPr>
            <w:tcW w:w="2633" w:type="dxa"/>
            <w:tcBorders>
              <w:top w:val="nil"/>
              <w:left w:val="nil"/>
              <w:bottom w:val="single" w:sz="6" w:space="0" w:color="auto"/>
              <w:right w:val="single" w:sz="6" w:space="0" w:color="auto"/>
            </w:tcBorders>
            <w:vAlign w:val="center"/>
            <w:hideMark/>
          </w:tcPr>
          <w:p w14:paraId="51FA7B15" w14:textId="264121A8" w:rsidR="002A6D4E" w:rsidRPr="00183B5F" w:rsidRDefault="00943743" w:rsidP="002A6D4E">
            <w:pPr>
              <w:jc w:val="center"/>
              <w:textAlignment w:val="baseline"/>
              <w:rPr>
                <w:del w:id="8001" w:author="AbbVie_HU_03" w:date="2025-05-14T15:27:00Z"/>
              </w:rPr>
            </w:pPr>
            <w:del w:id="8002" w:author="AbbVie_HU_03" w:date="2025-05-14T15:27:00Z">
              <w:r w:rsidRPr="00183B5F">
                <w:delText>16/31 (51,6%) </w:delText>
              </w:r>
            </w:del>
          </w:p>
        </w:tc>
      </w:tr>
      <w:tr w:rsidR="00011D2F" w14:paraId="7EF29C7B" w14:textId="156AF227" w:rsidTr="002A6D4E">
        <w:trPr>
          <w:jc w:val="center"/>
          <w:del w:id="8003" w:author="AbbVie_HU_03" w:date="2025-05-14T15:27:00Z"/>
        </w:trPr>
        <w:tc>
          <w:tcPr>
            <w:tcW w:w="2526" w:type="dxa"/>
            <w:tcBorders>
              <w:top w:val="nil"/>
              <w:left w:val="single" w:sz="6" w:space="0" w:color="auto"/>
              <w:bottom w:val="single" w:sz="6" w:space="0" w:color="auto"/>
              <w:right w:val="single" w:sz="6" w:space="0" w:color="auto"/>
            </w:tcBorders>
            <w:vAlign w:val="center"/>
            <w:hideMark/>
          </w:tcPr>
          <w:p w14:paraId="5DBB14DA" w14:textId="5A92EF93" w:rsidR="002A6D4E" w:rsidRPr="00183B5F" w:rsidRDefault="00943743" w:rsidP="002A6D4E">
            <w:pPr>
              <w:textAlignment w:val="baseline"/>
              <w:rPr>
                <w:del w:id="8004" w:author="AbbVie_HU_03" w:date="2025-05-14T15:27:00Z"/>
              </w:rPr>
            </w:pPr>
            <w:del w:id="8005" w:author="AbbVie_HU_03" w:date="2025-05-14T15:27:00Z">
              <w:r w:rsidRPr="00183B5F">
                <w:delText>Klinikai remisszió a 8. héten PMS szerint remisszióban lévőknél </w:delText>
              </w:r>
            </w:del>
          </w:p>
        </w:tc>
        <w:tc>
          <w:tcPr>
            <w:tcW w:w="2409" w:type="dxa"/>
            <w:tcBorders>
              <w:top w:val="nil"/>
              <w:left w:val="nil"/>
              <w:bottom w:val="single" w:sz="6" w:space="0" w:color="auto"/>
              <w:right w:val="single" w:sz="6" w:space="0" w:color="auto"/>
            </w:tcBorders>
            <w:vAlign w:val="center"/>
            <w:hideMark/>
          </w:tcPr>
          <w:p w14:paraId="6D1BDFF6" w14:textId="0EE9C9D3" w:rsidR="002A6D4E" w:rsidRPr="00183B5F" w:rsidRDefault="00943743" w:rsidP="002A6D4E">
            <w:pPr>
              <w:jc w:val="center"/>
              <w:textAlignment w:val="baseline"/>
              <w:rPr>
                <w:del w:id="8006" w:author="AbbVie_HU_03" w:date="2025-05-14T15:27:00Z"/>
              </w:rPr>
            </w:pPr>
            <w:del w:id="8007" w:author="AbbVie_HU_03" w:date="2025-05-14T15:27:00Z">
              <w:r w:rsidRPr="00183B5F">
                <w:delText>9/21 (42,9%) </w:delText>
              </w:r>
            </w:del>
          </w:p>
        </w:tc>
        <w:tc>
          <w:tcPr>
            <w:tcW w:w="2633" w:type="dxa"/>
            <w:tcBorders>
              <w:top w:val="nil"/>
              <w:left w:val="nil"/>
              <w:bottom w:val="single" w:sz="6" w:space="0" w:color="auto"/>
              <w:right w:val="single" w:sz="6" w:space="0" w:color="auto"/>
            </w:tcBorders>
            <w:vAlign w:val="center"/>
            <w:hideMark/>
          </w:tcPr>
          <w:p w14:paraId="616BC85E" w14:textId="569E63E3" w:rsidR="002A6D4E" w:rsidRPr="00183B5F" w:rsidRDefault="00943743" w:rsidP="002A6D4E">
            <w:pPr>
              <w:jc w:val="center"/>
              <w:textAlignment w:val="baseline"/>
              <w:rPr>
                <w:del w:id="8008" w:author="AbbVie_HU_03" w:date="2025-05-14T15:27:00Z"/>
              </w:rPr>
            </w:pPr>
            <w:del w:id="8009" w:author="AbbVie_HU_03" w:date="2025-05-14T15:27:00Z">
              <w:r w:rsidRPr="00183B5F">
                <w:delText>10/22 (45,5%) </w:delText>
              </w:r>
            </w:del>
          </w:p>
        </w:tc>
      </w:tr>
      <w:tr w:rsidR="00011D2F" w14:paraId="7FE87D2B" w14:textId="480852A5" w:rsidTr="002A6D4E">
        <w:trPr>
          <w:jc w:val="center"/>
          <w:del w:id="8010" w:author="AbbVie_HU_03" w:date="2025-05-14T15:27:00Z"/>
        </w:trPr>
        <w:tc>
          <w:tcPr>
            <w:tcW w:w="2526" w:type="dxa"/>
            <w:tcBorders>
              <w:top w:val="nil"/>
              <w:left w:val="single" w:sz="6" w:space="0" w:color="auto"/>
              <w:bottom w:val="single" w:sz="6" w:space="0" w:color="auto"/>
              <w:right w:val="single" w:sz="6" w:space="0" w:color="auto"/>
            </w:tcBorders>
            <w:vAlign w:val="center"/>
            <w:hideMark/>
          </w:tcPr>
          <w:p w14:paraId="3C6A0ED3" w14:textId="24F6F431" w:rsidR="002A6D4E" w:rsidRPr="00183B5F" w:rsidRDefault="00943743" w:rsidP="002A6D4E">
            <w:pPr>
              <w:textAlignment w:val="baseline"/>
              <w:rPr>
                <w:del w:id="8011" w:author="AbbVie_HU_03" w:date="2025-05-14T15:27:00Z"/>
              </w:rPr>
            </w:pPr>
            <w:del w:id="8012" w:author="AbbVie_HU_03" w:date="2025-05-14T15:27:00Z">
              <w:r w:rsidRPr="00183B5F">
                <w:delText xml:space="preserve">Kortikoszteroidmentes remisszió a 8. héten PMS szerint </w:delText>
              </w:r>
              <w:r w:rsidR="00D81D3E" w:rsidRPr="00183B5F">
                <w:rPr>
                  <w:rStyle w:val="normaltextrun"/>
                  <w:shd w:val="clear" w:color="auto" w:fill="FFFFFF"/>
                </w:rPr>
                <w:delText>választ mutatóknál</w:delText>
              </w:r>
            </w:del>
          </w:p>
        </w:tc>
        <w:tc>
          <w:tcPr>
            <w:tcW w:w="2409" w:type="dxa"/>
            <w:tcBorders>
              <w:top w:val="nil"/>
              <w:left w:val="nil"/>
              <w:bottom w:val="single" w:sz="6" w:space="0" w:color="auto"/>
              <w:right w:val="single" w:sz="6" w:space="0" w:color="auto"/>
            </w:tcBorders>
            <w:vAlign w:val="center"/>
            <w:hideMark/>
          </w:tcPr>
          <w:p w14:paraId="4BC77D1C" w14:textId="50B75532" w:rsidR="002A6D4E" w:rsidRPr="00183B5F" w:rsidRDefault="00943743" w:rsidP="002A6D4E">
            <w:pPr>
              <w:jc w:val="center"/>
              <w:textAlignment w:val="baseline"/>
              <w:rPr>
                <w:del w:id="8013" w:author="AbbVie_HU_03" w:date="2025-05-14T15:27:00Z"/>
              </w:rPr>
            </w:pPr>
            <w:del w:id="8014" w:author="AbbVie_HU_03" w:date="2025-05-14T15:27:00Z">
              <w:r w:rsidRPr="00183B5F">
                <w:delText>4/13 (30,8%) </w:delText>
              </w:r>
            </w:del>
          </w:p>
        </w:tc>
        <w:tc>
          <w:tcPr>
            <w:tcW w:w="2633" w:type="dxa"/>
            <w:tcBorders>
              <w:top w:val="nil"/>
              <w:left w:val="nil"/>
              <w:bottom w:val="single" w:sz="6" w:space="0" w:color="auto"/>
              <w:right w:val="single" w:sz="6" w:space="0" w:color="auto"/>
            </w:tcBorders>
            <w:vAlign w:val="center"/>
            <w:hideMark/>
          </w:tcPr>
          <w:p w14:paraId="3F176773" w14:textId="1B19CE34" w:rsidR="002A6D4E" w:rsidRPr="00183B5F" w:rsidRDefault="00943743" w:rsidP="002A6D4E">
            <w:pPr>
              <w:jc w:val="center"/>
              <w:textAlignment w:val="baseline"/>
              <w:rPr>
                <w:del w:id="8015" w:author="AbbVie_HU_03" w:date="2025-05-14T15:27:00Z"/>
              </w:rPr>
            </w:pPr>
            <w:del w:id="8016" w:author="AbbVie_HU_03" w:date="2025-05-14T15:27:00Z">
              <w:r w:rsidRPr="00183B5F">
                <w:delText>5/16 (31,3%) </w:delText>
              </w:r>
            </w:del>
          </w:p>
        </w:tc>
      </w:tr>
      <w:tr w:rsidR="00011D2F" w14:paraId="0D130996" w14:textId="5FE664DE" w:rsidTr="002A6D4E">
        <w:trPr>
          <w:jc w:val="center"/>
          <w:del w:id="8017" w:author="AbbVie_HU_03" w:date="2025-05-14T15:27:00Z"/>
        </w:trPr>
        <w:tc>
          <w:tcPr>
            <w:tcW w:w="7568" w:type="dxa"/>
            <w:gridSpan w:val="3"/>
            <w:tcBorders>
              <w:top w:val="nil"/>
              <w:left w:val="single" w:sz="6" w:space="0" w:color="auto"/>
              <w:bottom w:val="single" w:sz="6" w:space="0" w:color="auto"/>
              <w:right w:val="single" w:sz="6" w:space="0" w:color="auto"/>
            </w:tcBorders>
            <w:hideMark/>
          </w:tcPr>
          <w:p w14:paraId="1516C506" w14:textId="65DF1CC6" w:rsidR="002A6D4E" w:rsidRPr="00183B5F" w:rsidRDefault="00943743" w:rsidP="002A6D4E">
            <w:pPr>
              <w:textAlignment w:val="baseline"/>
              <w:rPr>
                <w:del w:id="8018" w:author="AbbVie_HU_03" w:date="2025-05-14T15:27:00Z"/>
              </w:rPr>
            </w:pPr>
            <w:del w:id="8019" w:author="AbbVie_HU_03" w:date="2025-05-14T15:27:00Z">
              <w:r w:rsidRPr="00183B5F">
                <w:rPr>
                  <w:vertAlign w:val="superscript"/>
                </w:rPr>
                <w:delText>a </w:delText>
              </w:r>
              <w:r w:rsidRPr="00183B5F">
                <w:delText>Humira 0,6 mg/ttkg (legfeljebb 40 mg) kéthetente </w:delText>
              </w:r>
            </w:del>
          </w:p>
          <w:p w14:paraId="259127F6" w14:textId="65995E4E" w:rsidR="002A6D4E" w:rsidRPr="00183B5F" w:rsidRDefault="00943743" w:rsidP="002A6D4E">
            <w:pPr>
              <w:textAlignment w:val="baseline"/>
              <w:rPr>
                <w:del w:id="8020" w:author="AbbVie_HU_03" w:date="2025-05-14T15:27:00Z"/>
              </w:rPr>
            </w:pPr>
            <w:del w:id="8021" w:author="AbbVie_HU_03" w:date="2025-05-14T15:27:00Z">
              <w:r w:rsidRPr="00183B5F">
                <w:rPr>
                  <w:vertAlign w:val="superscript"/>
                </w:rPr>
                <w:delText>b </w:delText>
              </w:r>
              <w:r w:rsidRPr="00183B5F">
                <w:delText>Humira 0,6 mg/ttkg (legfeljebb 40 mg) hetente </w:delText>
              </w:r>
            </w:del>
          </w:p>
          <w:p w14:paraId="4CB6C55C" w14:textId="3AB433EB" w:rsidR="002A6D4E" w:rsidRPr="00183B5F" w:rsidRDefault="00943743" w:rsidP="002A6D4E">
            <w:pPr>
              <w:textAlignment w:val="baseline"/>
              <w:rPr>
                <w:del w:id="8022" w:author="AbbVie_HU_03" w:date="2025-05-14T15:27:00Z"/>
              </w:rPr>
            </w:pPr>
            <w:del w:id="8023" w:author="AbbVie_HU_03" w:date="2025-05-14T15:27:00Z">
              <w:r w:rsidRPr="00183B5F">
                <w:delText>Kiindulásnál egyidejűleg kortikoszteroidokat kapó betegeknél </w:delText>
              </w:r>
            </w:del>
          </w:p>
          <w:p w14:paraId="1ABE2EB8" w14:textId="78B8AD89" w:rsidR="002A6D4E" w:rsidRPr="00183B5F" w:rsidRDefault="00943743" w:rsidP="002A6D4E">
            <w:pPr>
              <w:textAlignment w:val="baseline"/>
              <w:rPr>
                <w:del w:id="8024" w:author="AbbVie_HU_03" w:date="2025-05-14T15:27:00Z"/>
              </w:rPr>
            </w:pPr>
            <w:del w:id="8025" w:author="AbbVie_HU_03" w:date="2025-05-14T15:27:00Z">
              <w:r w:rsidRPr="00183B5F">
                <w:delText xml:space="preserve">Megjegyzés: Azokat a betegeket, akiknek az 52. héten hiányoztak az értékei, vagy akiket ismételt indukcióra vagy fenntartó kezelésre randomizáltak, az 52. hét végpontjain </w:delText>
              </w:r>
              <w:r w:rsidR="000809B5" w:rsidRPr="00183B5F">
                <w:delText>választ nem mutatóknak</w:delText>
              </w:r>
              <w:r w:rsidRPr="00183B5F">
                <w:delText xml:space="preserve"> tekintették </w:delText>
              </w:r>
            </w:del>
          </w:p>
        </w:tc>
      </w:tr>
    </w:tbl>
    <w:p w14:paraId="2E637092" w14:textId="24B87B7B" w:rsidR="002A6D4E" w:rsidRPr="00183B5F" w:rsidRDefault="002A6D4E" w:rsidP="002A6D4E">
      <w:pPr>
        <w:rPr>
          <w:del w:id="8026" w:author="AbbVie_HU_03" w:date="2025-05-14T15:27:00Z"/>
        </w:rPr>
      </w:pPr>
    </w:p>
    <w:p w14:paraId="37E269E8" w14:textId="6789B8DB" w:rsidR="002A6D4E" w:rsidRPr="00183B5F" w:rsidRDefault="00943743" w:rsidP="002A6D4E">
      <w:pPr>
        <w:rPr>
          <w:del w:id="8027" w:author="AbbVie_HU_03" w:date="2025-05-14T15:27:00Z"/>
        </w:rPr>
      </w:pPr>
      <w:del w:id="8028" w:author="AbbVie_HU_03" w:date="2025-05-14T15:27:00Z">
        <w:r w:rsidRPr="00183B5F">
          <w:delText>A további feltáró hatásossági végpontok között szerepelt a klinikai válasz a gyermek</w:delText>
        </w:r>
        <w:r w:rsidR="00777CA4" w:rsidRPr="00183B5F">
          <w:delText>- és serdülő</w:delText>
        </w:r>
        <w:r w:rsidRPr="00183B5F">
          <w:delText>kori colitis ulcerosa aktivitási indexe (PUCAI) (a PUCAI ≥ 20 pontos csökkenése a kiindulási értékhez viszonyítva) és a klinikai remisszió a PUCAI periódusonként (PUCAI &lt; 10 pontos csökkenéseként definiálva) a 8. és az 52. héten (</w:delText>
        </w:r>
        <w:r w:rsidR="00903C5C" w:rsidRPr="00183B5F">
          <w:delText>33</w:delText>
        </w:r>
        <w:r w:rsidRPr="00183B5F">
          <w:delText>. táblázat).</w:delText>
        </w:r>
      </w:del>
    </w:p>
    <w:p w14:paraId="0405AD18" w14:textId="29859D53" w:rsidR="002A6D4E" w:rsidRPr="00183B5F" w:rsidRDefault="002A6D4E" w:rsidP="002A6D4E">
      <w:pPr>
        <w:rPr>
          <w:del w:id="8029" w:author="AbbVie_HU_03" w:date="2025-05-14T15:27:00Z"/>
        </w:rPr>
      </w:pPr>
    </w:p>
    <w:tbl>
      <w:tblPr>
        <w:tblW w:w="8262" w:type="dxa"/>
        <w:jc w:val="center"/>
        <w:tblCellMar>
          <w:left w:w="0" w:type="dxa"/>
          <w:right w:w="0" w:type="dxa"/>
        </w:tblCellMar>
        <w:tblLook w:val="04A0" w:firstRow="1" w:lastRow="0" w:firstColumn="1" w:lastColumn="0" w:noHBand="0" w:noVBand="1"/>
      </w:tblPr>
      <w:tblGrid>
        <w:gridCol w:w="2785"/>
        <w:gridCol w:w="2896"/>
        <w:gridCol w:w="2581"/>
      </w:tblGrid>
      <w:tr w:rsidR="00011D2F" w14:paraId="49AC075C" w14:textId="7EA6E2BF" w:rsidTr="002A6D4E">
        <w:trPr>
          <w:trHeight w:val="60"/>
          <w:jc w:val="center"/>
          <w:del w:id="8030" w:author="AbbVie_HU_03" w:date="2025-05-14T15:27:00Z"/>
        </w:trPr>
        <w:tc>
          <w:tcPr>
            <w:tcW w:w="8262" w:type="dxa"/>
            <w:gridSpan w:val="3"/>
            <w:tcMar>
              <w:top w:w="0" w:type="dxa"/>
              <w:left w:w="108" w:type="dxa"/>
              <w:bottom w:w="0" w:type="dxa"/>
              <w:right w:w="108" w:type="dxa"/>
            </w:tcMar>
            <w:hideMark/>
          </w:tcPr>
          <w:p w14:paraId="68CE33F4" w14:textId="13F02422" w:rsidR="002A6D4E" w:rsidRPr="00183B5F" w:rsidRDefault="00943743" w:rsidP="002A6D4E">
            <w:pPr>
              <w:jc w:val="center"/>
              <w:rPr>
                <w:del w:id="8031" w:author="AbbVie_HU_03" w:date="2025-05-14T15:27:00Z"/>
                <w:b/>
                <w:bCs/>
              </w:rPr>
            </w:pPr>
            <w:del w:id="8032" w:author="AbbVie_HU_03" w:date="2025-05-14T15:27:00Z">
              <w:r w:rsidRPr="00183B5F">
                <w:rPr>
                  <w:b/>
                </w:rPr>
                <w:delText>33. táblázat: Feltáró végpontok eredményei PUCAI szerint</w:delText>
              </w:r>
            </w:del>
          </w:p>
        </w:tc>
      </w:tr>
      <w:tr w:rsidR="00011D2F" w14:paraId="2A9D8636" w14:textId="5FE6900E" w:rsidTr="002A6D4E">
        <w:trPr>
          <w:trHeight w:val="265"/>
          <w:jc w:val="center"/>
          <w:del w:id="8033" w:author="AbbVie_HU_03" w:date="2025-05-14T15:27:00Z"/>
        </w:trPr>
        <w:tc>
          <w:tcPr>
            <w:tcW w:w="2934"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67A32797" w14:textId="6355B4A4" w:rsidR="002A6D4E" w:rsidRPr="00183B5F" w:rsidRDefault="002A6D4E" w:rsidP="002A6D4E">
            <w:pPr>
              <w:rPr>
                <w:del w:id="8034" w:author="AbbVie_HU_03" w:date="2025-05-14T15:27:00Z"/>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32BD85" w14:textId="1AAC5286" w:rsidR="002A6D4E" w:rsidRPr="00183B5F" w:rsidRDefault="00943743" w:rsidP="002A6D4E">
            <w:pPr>
              <w:jc w:val="center"/>
              <w:rPr>
                <w:del w:id="8035" w:author="AbbVie_HU_03" w:date="2025-05-14T15:27:00Z"/>
                <w:b/>
                <w:bCs/>
              </w:rPr>
            </w:pPr>
            <w:del w:id="8036" w:author="AbbVie_HU_03" w:date="2025-05-14T15:27:00Z">
              <w:r w:rsidRPr="00183B5F">
                <w:rPr>
                  <w:b/>
                </w:rPr>
                <w:delText>8. hét</w:delText>
              </w:r>
            </w:del>
          </w:p>
        </w:tc>
      </w:tr>
      <w:tr w:rsidR="00011D2F" w14:paraId="1A408A4A" w14:textId="3F121890" w:rsidTr="002A6D4E">
        <w:trPr>
          <w:trHeight w:val="1042"/>
          <w:jc w:val="center"/>
          <w:del w:id="8037" w:author="AbbVie_HU_03" w:date="2025-05-14T15:27:00Z"/>
        </w:trPr>
        <w:tc>
          <w:tcPr>
            <w:tcW w:w="0" w:type="auto"/>
            <w:vMerge/>
            <w:tcBorders>
              <w:top w:val="single" w:sz="4" w:space="0" w:color="auto"/>
              <w:left w:val="single" w:sz="8" w:space="0" w:color="auto"/>
              <w:bottom w:val="single" w:sz="8" w:space="0" w:color="auto"/>
              <w:right w:val="single" w:sz="4" w:space="0" w:color="auto"/>
            </w:tcBorders>
            <w:vAlign w:val="center"/>
            <w:hideMark/>
          </w:tcPr>
          <w:p w14:paraId="783298DC" w14:textId="2B315DD3" w:rsidR="002A6D4E" w:rsidRPr="00183B5F" w:rsidRDefault="002A6D4E" w:rsidP="002A6D4E">
            <w:pPr>
              <w:rPr>
                <w:del w:id="8038" w:author="AbbVie_HU_03" w:date="2025-05-14T15:27:00Z"/>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1F288E" w14:textId="0FC82B07" w:rsidR="002A6D4E" w:rsidRPr="00183B5F" w:rsidRDefault="00943743" w:rsidP="002A6D4E">
            <w:pPr>
              <w:jc w:val="center"/>
              <w:rPr>
                <w:del w:id="8039" w:author="AbbVie_HU_03" w:date="2025-05-14T15:27:00Z"/>
                <w:b/>
                <w:bCs/>
                <w:vertAlign w:val="superscript"/>
              </w:rPr>
            </w:pPr>
            <w:del w:id="8040" w:author="AbbVie_HU_03" w:date="2025-05-14T15:27:00Z">
              <w:r w:rsidRPr="00183B5F">
                <w:rPr>
                  <w:b/>
                </w:rPr>
                <w:delText>Humira</w:delText>
              </w:r>
              <w:r w:rsidRPr="00183B5F">
                <w:rPr>
                  <w:b/>
                  <w:vertAlign w:val="superscript"/>
                </w:rPr>
                <w:delText>a</w:delText>
              </w:r>
            </w:del>
          </w:p>
          <w:p w14:paraId="6E63BA82" w14:textId="389AC9D4" w:rsidR="002A6D4E" w:rsidRPr="00183B5F" w:rsidRDefault="00943743" w:rsidP="002A6D4E">
            <w:pPr>
              <w:jc w:val="center"/>
              <w:rPr>
                <w:del w:id="8041" w:author="AbbVie_HU_03" w:date="2025-05-14T15:27:00Z"/>
                <w:b/>
                <w:bCs/>
              </w:rPr>
            </w:pPr>
            <w:del w:id="8042" w:author="AbbVie_HU_03" w:date="2025-05-14T15:27:00Z">
              <w:r w:rsidRPr="00183B5F">
                <w:rPr>
                  <w:b/>
                </w:rPr>
                <w:delText>Legfeljebb 160 mg a 0. héten / placebo az 1. héten</w:delText>
              </w:r>
            </w:del>
          </w:p>
          <w:p w14:paraId="02F6EECA" w14:textId="471D4D3E" w:rsidR="002A6D4E" w:rsidRPr="00183B5F" w:rsidRDefault="00943743" w:rsidP="002A6D4E">
            <w:pPr>
              <w:jc w:val="center"/>
              <w:rPr>
                <w:del w:id="8043" w:author="AbbVie_HU_03" w:date="2025-05-14T15:27:00Z"/>
              </w:rPr>
            </w:pPr>
            <w:del w:id="8044" w:author="AbbVie_HU_03" w:date="2025-05-14T15:27:00Z">
              <w:r w:rsidRPr="00183B5F">
                <w:delText>N=30</w:delText>
              </w:r>
            </w:del>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335BAD" w14:textId="7718863F" w:rsidR="002A6D4E" w:rsidRPr="00183B5F" w:rsidRDefault="00943743" w:rsidP="002A6D4E">
            <w:pPr>
              <w:jc w:val="center"/>
              <w:rPr>
                <w:del w:id="8045" w:author="AbbVie_HU_03" w:date="2025-05-14T15:27:00Z"/>
                <w:b/>
                <w:bCs/>
                <w:vertAlign w:val="superscript"/>
              </w:rPr>
            </w:pPr>
            <w:del w:id="8046" w:author="AbbVie_HU_03" w:date="2025-05-14T15:27:00Z">
              <w:r w:rsidRPr="00183B5F">
                <w:rPr>
                  <w:b/>
                </w:rPr>
                <w:delText>Humira</w:delText>
              </w:r>
              <w:r w:rsidRPr="00183B5F">
                <w:rPr>
                  <w:b/>
                  <w:vertAlign w:val="superscript"/>
                </w:rPr>
                <w:delText>b,c</w:delText>
              </w:r>
            </w:del>
          </w:p>
          <w:p w14:paraId="0B50E0B5" w14:textId="5411C78C" w:rsidR="002A6D4E" w:rsidRPr="00183B5F" w:rsidRDefault="00943743" w:rsidP="002A6D4E">
            <w:pPr>
              <w:jc w:val="center"/>
              <w:rPr>
                <w:del w:id="8047" w:author="AbbVie_HU_03" w:date="2025-05-14T15:27:00Z"/>
                <w:b/>
                <w:bCs/>
              </w:rPr>
            </w:pPr>
            <w:del w:id="8048" w:author="AbbVie_HU_03" w:date="2025-05-14T15:27:00Z">
              <w:r w:rsidRPr="00183B5F">
                <w:rPr>
                  <w:b/>
                </w:rPr>
                <w:delText>Legfeljebb 160 mg a 0. és az 1. héten</w:delText>
              </w:r>
            </w:del>
          </w:p>
          <w:p w14:paraId="38C9369A" w14:textId="17B2BD3A" w:rsidR="002A6D4E" w:rsidRPr="00183B5F" w:rsidRDefault="00943743" w:rsidP="002A6D4E">
            <w:pPr>
              <w:jc w:val="center"/>
              <w:rPr>
                <w:del w:id="8049" w:author="AbbVie_HU_03" w:date="2025-05-14T15:27:00Z"/>
              </w:rPr>
            </w:pPr>
            <w:del w:id="8050" w:author="AbbVie_HU_03" w:date="2025-05-14T15:27:00Z">
              <w:r w:rsidRPr="00183B5F">
                <w:delText>N=47</w:delText>
              </w:r>
            </w:del>
          </w:p>
        </w:tc>
      </w:tr>
      <w:tr w:rsidR="00011D2F" w14:paraId="3853796B" w14:textId="6499C996" w:rsidTr="002A6D4E">
        <w:trPr>
          <w:trHeight w:val="202"/>
          <w:jc w:val="center"/>
          <w:del w:id="8051" w:author="AbbVie_HU_03" w:date="2025-05-14T15:27:00Z"/>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05F247" w14:textId="58E459B9" w:rsidR="002A6D4E" w:rsidRPr="00183B5F" w:rsidRDefault="00943743" w:rsidP="002A6D4E">
            <w:pPr>
              <w:rPr>
                <w:del w:id="8052" w:author="AbbVie_HU_03" w:date="2025-05-14T15:27:00Z"/>
              </w:rPr>
            </w:pPr>
            <w:del w:id="8053" w:author="AbbVie_HU_03" w:date="2025-05-14T15:27:00Z">
              <w:r w:rsidRPr="00183B5F">
                <w:delText>Klinikai remisszió PUCAI szerint</w:delText>
              </w:r>
            </w:del>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342C6CE1" w14:textId="47605D3D" w:rsidR="002A6D4E" w:rsidRPr="00183B5F" w:rsidRDefault="00943743" w:rsidP="002A6D4E">
            <w:pPr>
              <w:jc w:val="center"/>
              <w:rPr>
                <w:del w:id="8054" w:author="AbbVie_HU_03" w:date="2025-05-14T15:27:00Z"/>
              </w:rPr>
            </w:pPr>
            <w:del w:id="8055" w:author="AbbVie_HU_03" w:date="2025-05-14T15:27:00Z">
              <w:r w:rsidRPr="00183B5F">
                <w:delText>10/30 (33,3%)</w:delText>
              </w:r>
            </w:del>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2759BA79" w14:textId="463E719F" w:rsidR="002A6D4E" w:rsidRPr="00183B5F" w:rsidRDefault="00943743" w:rsidP="002A6D4E">
            <w:pPr>
              <w:jc w:val="center"/>
              <w:rPr>
                <w:del w:id="8056" w:author="AbbVie_HU_03" w:date="2025-05-14T15:27:00Z"/>
              </w:rPr>
            </w:pPr>
            <w:del w:id="8057" w:author="AbbVie_HU_03" w:date="2025-05-14T15:27:00Z">
              <w:r w:rsidRPr="00183B5F">
                <w:delText>22/47 (46,8%)</w:delText>
              </w:r>
            </w:del>
          </w:p>
        </w:tc>
      </w:tr>
      <w:tr w:rsidR="00011D2F" w14:paraId="6F3631BF" w14:textId="2D01F208" w:rsidTr="002A6D4E">
        <w:trPr>
          <w:trHeight w:val="238"/>
          <w:jc w:val="center"/>
          <w:del w:id="8058" w:author="AbbVie_HU_03" w:date="2025-05-14T15:27: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565BFF4" w14:textId="33347BEC" w:rsidR="002A6D4E" w:rsidRPr="00183B5F" w:rsidRDefault="00943743" w:rsidP="002A6D4E">
            <w:pPr>
              <w:rPr>
                <w:del w:id="8059" w:author="AbbVie_HU_03" w:date="2025-05-14T15:27:00Z"/>
              </w:rPr>
            </w:pPr>
            <w:del w:id="8060" w:author="AbbVie_HU_03" w:date="2025-05-14T15:27:00Z">
              <w:r w:rsidRPr="00183B5F">
                <w:delText>Klinikai remisszió PUCAI szerint</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5B81FBC9" w14:textId="59D4BE18" w:rsidR="002A6D4E" w:rsidRPr="00183B5F" w:rsidRDefault="00943743" w:rsidP="002A6D4E">
            <w:pPr>
              <w:jc w:val="center"/>
              <w:rPr>
                <w:del w:id="8061" w:author="AbbVie_HU_03" w:date="2025-05-14T15:27:00Z"/>
              </w:rPr>
            </w:pPr>
            <w:del w:id="8062" w:author="AbbVie_HU_03" w:date="2025-05-14T15:27:00Z">
              <w:r w:rsidRPr="00183B5F">
                <w:delText>15/30 (50,0%)</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24A52982" w14:textId="3BF7D061" w:rsidR="002A6D4E" w:rsidRPr="00183B5F" w:rsidRDefault="00943743" w:rsidP="002A6D4E">
            <w:pPr>
              <w:jc w:val="center"/>
              <w:rPr>
                <w:del w:id="8063" w:author="AbbVie_HU_03" w:date="2025-05-14T15:27:00Z"/>
              </w:rPr>
            </w:pPr>
            <w:del w:id="8064" w:author="AbbVie_HU_03" w:date="2025-05-14T15:27:00Z">
              <w:r w:rsidRPr="00183B5F">
                <w:delText>32/47 (68,1%)</w:delText>
              </w:r>
            </w:del>
          </w:p>
        </w:tc>
      </w:tr>
      <w:tr w:rsidR="00011D2F" w14:paraId="1988BF4C" w14:textId="176D06DD" w:rsidTr="002A6D4E">
        <w:trPr>
          <w:trHeight w:val="238"/>
          <w:jc w:val="center"/>
          <w:del w:id="8065" w:author="AbbVie_HU_03" w:date="2025-05-14T15:27:00Z"/>
        </w:trPr>
        <w:tc>
          <w:tcPr>
            <w:tcW w:w="2934"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0D1F5E35" w14:textId="3EAED9C0" w:rsidR="002A6D4E" w:rsidRPr="00183B5F" w:rsidRDefault="002A6D4E" w:rsidP="002A6D4E">
            <w:pPr>
              <w:rPr>
                <w:del w:id="8066" w:author="AbbVie_HU_03" w:date="2025-05-14T15:27:00Z"/>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076DC770" w14:textId="586E3827" w:rsidR="002A6D4E" w:rsidRPr="00183B5F" w:rsidRDefault="00943743" w:rsidP="002A6D4E">
            <w:pPr>
              <w:jc w:val="center"/>
              <w:rPr>
                <w:del w:id="8067" w:author="AbbVie_HU_03" w:date="2025-05-14T15:27:00Z"/>
                <w:b/>
                <w:bCs/>
              </w:rPr>
            </w:pPr>
            <w:del w:id="8068" w:author="AbbVie_HU_03" w:date="2025-05-14T15:27:00Z">
              <w:r w:rsidRPr="00183B5F">
                <w:rPr>
                  <w:b/>
                </w:rPr>
                <w:delText>52. hét</w:delText>
              </w:r>
            </w:del>
          </w:p>
        </w:tc>
      </w:tr>
      <w:tr w:rsidR="00011D2F" w14:paraId="4133D579" w14:textId="7CB7D07C" w:rsidTr="002A6D4E">
        <w:trPr>
          <w:trHeight w:val="238"/>
          <w:jc w:val="center"/>
          <w:del w:id="8069" w:author="AbbVie_HU_03" w:date="2025-05-14T15:27:00Z"/>
        </w:trPr>
        <w:tc>
          <w:tcPr>
            <w:tcW w:w="0" w:type="auto"/>
            <w:vMerge/>
            <w:tcBorders>
              <w:top w:val="nil"/>
              <w:left w:val="single" w:sz="8" w:space="0" w:color="auto"/>
              <w:bottom w:val="single" w:sz="4" w:space="0" w:color="auto"/>
              <w:right w:val="single" w:sz="8" w:space="0" w:color="auto"/>
            </w:tcBorders>
            <w:vAlign w:val="center"/>
            <w:hideMark/>
          </w:tcPr>
          <w:p w14:paraId="2E1F9583" w14:textId="4CAD05D4" w:rsidR="002A6D4E" w:rsidRPr="00183B5F" w:rsidRDefault="002A6D4E" w:rsidP="002A6D4E">
            <w:pPr>
              <w:rPr>
                <w:del w:id="8070" w:author="AbbVie_HU_03" w:date="2025-05-14T15:27:00Z"/>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0CB78056" w14:textId="7A3CF2D4" w:rsidR="002A6D4E" w:rsidRPr="00183B5F" w:rsidRDefault="00943743" w:rsidP="002A6D4E">
            <w:pPr>
              <w:jc w:val="center"/>
              <w:rPr>
                <w:del w:id="8071" w:author="AbbVie_HU_03" w:date="2025-05-14T15:27:00Z"/>
                <w:b/>
                <w:bCs/>
                <w:vertAlign w:val="superscript"/>
              </w:rPr>
            </w:pPr>
            <w:del w:id="8072" w:author="AbbVie_HU_03" w:date="2025-05-14T15:27:00Z">
              <w:r w:rsidRPr="00183B5F">
                <w:rPr>
                  <w:b/>
                </w:rPr>
                <w:delText>Humira</w:delText>
              </w:r>
              <w:r w:rsidRPr="00183B5F">
                <w:rPr>
                  <w:b/>
                  <w:vertAlign w:val="superscript"/>
                </w:rPr>
                <w:delText>d</w:delText>
              </w:r>
            </w:del>
          </w:p>
          <w:p w14:paraId="76C30A21" w14:textId="273D1BF5" w:rsidR="002A6D4E" w:rsidRPr="00183B5F" w:rsidRDefault="00943743" w:rsidP="002A6D4E">
            <w:pPr>
              <w:jc w:val="center"/>
              <w:rPr>
                <w:del w:id="8073" w:author="AbbVie_HU_03" w:date="2025-05-14T15:27:00Z"/>
                <w:b/>
                <w:bCs/>
              </w:rPr>
            </w:pPr>
            <w:del w:id="8074" w:author="AbbVie_HU_03" w:date="2025-05-14T15:27:00Z">
              <w:r w:rsidRPr="00183B5F">
                <w:rPr>
                  <w:b/>
                  <w:bCs/>
                </w:rPr>
                <w:delText>Legfeljebb 40 mg kéthetente</w:delText>
              </w:r>
            </w:del>
          </w:p>
          <w:p w14:paraId="3368783E" w14:textId="63840C2C" w:rsidR="002A6D4E" w:rsidRPr="00183B5F" w:rsidRDefault="00943743" w:rsidP="002A6D4E">
            <w:pPr>
              <w:jc w:val="center"/>
              <w:rPr>
                <w:del w:id="8075" w:author="AbbVie_HU_03" w:date="2025-05-14T15:27:00Z"/>
              </w:rPr>
            </w:pPr>
            <w:del w:id="8076" w:author="AbbVie_HU_03" w:date="2025-05-14T15:27:00Z">
              <w:r w:rsidRPr="00183B5F">
                <w:delText>N=31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49D9BDDC" w14:textId="1CABDE35" w:rsidR="002A6D4E" w:rsidRPr="00183B5F" w:rsidRDefault="00943743" w:rsidP="002A6D4E">
            <w:pPr>
              <w:jc w:val="center"/>
              <w:rPr>
                <w:del w:id="8077" w:author="AbbVie_HU_03" w:date="2025-05-14T15:27:00Z"/>
                <w:b/>
                <w:bCs/>
                <w:vertAlign w:val="superscript"/>
              </w:rPr>
            </w:pPr>
            <w:del w:id="8078" w:author="AbbVie_HU_03" w:date="2025-05-14T15:27:00Z">
              <w:r w:rsidRPr="00183B5F">
                <w:rPr>
                  <w:b/>
                </w:rPr>
                <w:delText>Humira</w:delText>
              </w:r>
              <w:r w:rsidRPr="00183B5F">
                <w:rPr>
                  <w:b/>
                  <w:vertAlign w:val="superscript"/>
                </w:rPr>
                <w:delText>e</w:delText>
              </w:r>
            </w:del>
          </w:p>
          <w:p w14:paraId="41558ADF" w14:textId="0CCBB799" w:rsidR="002A6D4E" w:rsidRPr="00183B5F" w:rsidRDefault="00943743" w:rsidP="002A6D4E">
            <w:pPr>
              <w:jc w:val="center"/>
              <w:rPr>
                <w:del w:id="8079" w:author="AbbVie_HU_03" w:date="2025-05-14T15:27:00Z"/>
                <w:b/>
                <w:bCs/>
              </w:rPr>
            </w:pPr>
            <w:del w:id="8080" w:author="AbbVie_HU_03" w:date="2025-05-14T15:27:00Z">
              <w:r w:rsidRPr="00183B5F">
                <w:rPr>
                  <w:b/>
                  <w:bCs/>
                </w:rPr>
                <w:delText>Legfeljebb 40 mg hetente</w:delText>
              </w:r>
            </w:del>
          </w:p>
          <w:p w14:paraId="09BD60B6" w14:textId="3A702E95" w:rsidR="002A6D4E" w:rsidRPr="00183B5F" w:rsidRDefault="00943743" w:rsidP="002A6D4E">
            <w:pPr>
              <w:jc w:val="center"/>
              <w:rPr>
                <w:del w:id="8081" w:author="AbbVie_HU_03" w:date="2025-05-14T15:27:00Z"/>
              </w:rPr>
            </w:pPr>
            <w:del w:id="8082" w:author="AbbVie_HU_03" w:date="2025-05-14T15:27:00Z">
              <w:r w:rsidRPr="00183B5F">
                <w:delText>N=31</w:delText>
              </w:r>
            </w:del>
          </w:p>
        </w:tc>
      </w:tr>
      <w:tr w:rsidR="00011D2F" w14:paraId="0AAC9651" w14:textId="14542F02" w:rsidTr="002A6D4E">
        <w:trPr>
          <w:trHeight w:val="238"/>
          <w:jc w:val="center"/>
          <w:del w:id="8083" w:author="AbbVie_HU_03" w:date="2025-05-14T15:27: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C915500" w14:textId="1BCABA78" w:rsidR="002A6D4E" w:rsidRPr="00183B5F" w:rsidRDefault="00943743" w:rsidP="002A6D4E">
            <w:pPr>
              <w:rPr>
                <w:del w:id="8084" w:author="AbbVie_HU_03" w:date="2025-05-14T15:27:00Z"/>
              </w:rPr>
            </w:pPr>
            <w:del w:id="8085" w:author="AbbVie_HU_03" w:date="2025-05-14T15:27:00Z">
              <w:r w:rsidRPr="00183B5F">
                <w:delText xml:space="preserve">Klinikai remisszió PUCAI szerint a 8. héten PMS szerint </w:delText>
              </w:r>
              <w:r w:rsidR="00D81D3E" w:rsidRPr="00183B5F">
                <w:rPr>
                  <w:rStyle w:val="normaltextrun"/>
                  <w:shd w:val="clear" w:color="auto" w:fill="FFFFFF"/>
                </w:rPr>
                <w:delText>választ mutatóknál</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6E76DD3B" w14:textId="48568E12" w:rsidR="002A6D4E" w:rsidRPr="00183B5F" w:rsidRDefault="00943743" w:rsidP="002A6D4E">
            <w:pPr>
              <w:jc w:val="center"/>
              <w:rPr>
                <w:del w:id="8086" w:author="AbbVie_HU_03" w:date="2025-05-14T15:27:00Z"/>
              </w:rPr>
            </w:pPr>
            <w:del w:id="8087" w:author="AbbVie_HU_03" w:date="2025-05-14T15:27:00Z">
              <w:r w:rsidRPr="00183B5F">
                <w:delText>14/31 (45,2%)</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61120091" w14:textId="63D8EEF6" w:rsidR="002A6D4E" w:rsidRPr="00183B5F" w:rsidRDefault="00943743" w:rsidP="002A6D4E">
            <w:pPr>
              <w:jc w:val="center"/>
              <w:rPr>
                <w:del w:id="8088" w:author="AbbVie_HU_03" w:date="2025-05-14T15:27:00Z"/>
              </w:rPr>
            </w:pPr>
            <w:del w:id="8089" w:author="AbbVie_HU_03" w:date="2025-05-14T15:27:00Z">
              <w:r w:rsidRPr="00183B5F">
                <w:delText>18/31 (58,1%)</w:delText>
              </w:r>
            </w:del>
          </w:p>
        </w:tc>
      </w:tr>
      <w:tr w:rsidR="00011D2F" w14:paraId="188EDB52" w14:textId="5EEF22B3" w:rsidTr="002A6D4E">
        <w:trPr>
          <w:trHeight w:val="238"/>
          <w:jc w:val="center"/>
          <w:del w:id="8090" w:author="AbbVie_HU_03" w:date="2025-05-14T15:27: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A0F5A86" w14:textId="0CFA0A94" w:rsidR="002A6D4E" w:rsidRPr="00183B5F" w:rsidRDefault="00943743" w:rsidP="002A6D4E">
            <w:pPr>
              <w:rPr>
                <w:del w:id="8091" w:author="AbbVie_HU_03" w:date="2025-05-14T15:27:00Z"/>
              </w:rPr>
            </w:pPr>
            <w:del w:id="8092" w:author="AbbVie_HU_03" w:date="2025-05-14T15:27:00Z">
              <w:r w:rsidRPr="00183B5F">
                <w:delText xml:space="preserve">Klinikai válasz PUCAI szerint a 8. héten PMS szerint </w:delText>
              </w:r>
              <w:r w:rsidR="00D81D3E" w:rsidRPr="00183B5F">
                <w:rPr>
                  <w:rStyle w:val="normaltextrun"/>
                  <w:shd w:val="clear" w:color="auto" w:fill="FFFFFF"/>
                </w:rPr>
                <w:delText>választ mutatóknál</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5A1089E4" w14:textId="675F6AB7" w:rsidR="002A6D4E" w:rsidRPr="00183B5F" w:rsidRDefault="00943743" w:rsidP="002A6D4E">
            <w:pPr>
              <w:jc w:val="center"/>
              <w:rPr>
                <w:del w:id="8093" w:author="AbbVie_HU_03" w:date="2025-05-14T15:27:00Z"/>
              </w:rPr>
            </w:pPr>
            <w:del w:id="8094" w:author="AbbVie_HU_03" w:date="2025-05-14T15:27:00Z">
              <w:r w:rsidRPr="00183B5F">
                <w:delText>18/31 (58,1%)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4786C70B" w14:textId="26672B26" w:rsidR="002A6D4E" w:rsidRPr="00183B5F" w:rsidRDefault="00943743" w:rsidP="002A6D4E">
            <w:pPr>
              <w:jc w:val="center"/>
              <w:rPr>
                <w:del w:id="8095" w:author="AbbVie_HU_03" w:date="2025-05-14T15:27:00Z"/>
              </w:rPr>
            </w:pPr>
            <w:del w:id="8096" w:author="AbbVie_HU_03" w:date="2025-05-14T15:27:00Z">
              <w:r w:rsidRPr="00183B5F">
                <w:delText>16/31 (51,6%)</w:delText>
              </w:r>
            </w:del>
          </w:p>
        </w:tc>
      </w:tr>
      <w:tr w:rsidR="00011D2F" w14:paraId="497CFF21" w14:textId="55E617BF" w:rsidTr="002A6D4E">
        <w:trPr>
          <w:trHeight w:val="533"/>
          <w:jc w:val="center"/>
          <w:del w:id="8097" w:author="AbbVie_HU_03" w:date="2025-05-14T15:27:00Z"/>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B80A8F7" w14:textId="70F5B1FC" w:rsidR="002A6D4E" w:rsidRPr="00183B5F" w:rsidRDefault="00943743" w:rsidP="002A6D4E">
            <w:pPr>
              <w:rPr>
                <w:del w:id="8098" w:author="AbbVie_HU_03" w:date="2025-05-14T15:27:00Z"/>
              </w:rPr>
            </w:pPr>
            <w:del w:id="8099" w:author="AbbVie_HU_03" w:date="2025-05-14T15:27:00Z">
              <w:r w:rsidRPr="00183B5F">
                <w:rPr>
                  <w:vertAlign w:val="superscript"/>
                </w:rPr>
                <w:delText>a </w:delText>
              </w:r>
              <w:r w:rsidRPr="00183B5F">
                <w:delText>Humira 2,4 mg/ttkg (maximum 160 mg) a 0. héten, placebo az 1. héten és 1,2 mg/</w:delText>
              </w:r>
              <w:r w:rsidR="009134E6" w:rsidRPr="00183B5F">
                <w:delText>tt</w:delText>
              </w:r>
              <w:r w:rsidRPr="00183B5F">
                <w:delText>kg (maximum 80 mg) a 2. héten </w:delText>
              </w:r>
            </w:del>
          </w:p>
          <w:p w14:paraId="51DECCD8" w14:textId="5E3511CA" w:rsidR="002A6D4E" w:rsidRPr="00183B5F" w:rsidRDefault="00943743" w:rsidP="002A6D4E">
            <w:pPr>
              <w:textAlignment w:val="baseline"/>
              <w:rPr>
                <w:del w:id="8100" w:author="AbbVie_HU_03" w:date="2025-05-14T15:27:00Z"/>
                <w:sz w:val="24"/>
                <w:szCs w:val="24"/>
              </w:rPr>
            </w:pPr>
            <w:del w:id="8101" w:author="AbbVie_HU_03" w:date="2025-05-14T15:27:00Z">
              <w:r w:rsidRPr="00183B5F">
                <w:rPr>
                  <w:szCs w:val="24"/>
                  <w:vertAlign w:val="superscript"/>
                </w:rPr>
                <w:delText>b </w:delText>
              </w:r>
              <w:r w:rsidRPr="00183B5F">
                <w:rPr>
                  <w:szCs w:val="24"/>
                </w:rPr>
                <w:delText>Humira 2,4 mg/ttkg (maximum 160 mg) a 0. és az 1. héten és 1,2 mg/</w:delText>
              </w:r>
              <w:r w:rsidR="009134E6" w:rsidRPr="00183B5F">
                <w:rPr>
                  <w:szCs w:val="24"/>
                </w:rPr>
                <w:delText>tt</w:delText>
              </w:r>
              <w:r w:rsidRPr="00183B5F">
                <w:rPr>
                  <w:szCs w:val="24"/>
                </w:rPr>
                <w:delText>kg (maximum 80 mg) a 2. héten</w:delText>
              </w:r>
              <w:r w:rsidRPr="00183B5F">
                <w:rPr>
                  <w:sz w:val="24"/>
                  <w:szCs w:val="24"/>
                </w:rPr>
                <w:delText> </w:delText>
              </w:r>
            </w:del>
          </w:p>
          <w:p w14:paraId="6B654E63" w14:textId="61FB8D40" w:rsidR="002A6D4E" w:rsidRPr="00183B5F" w:rsidRDefault="00943743" w:rsidP="002A6D4E">
            <w:pPr>
              <w:textAlignment w:val="baseline"/>
              <w:rPr>
                <w:del w:id="8102" w:author="AbbVie_HU_03" w:date="2025-05-14T15:27:00Z"/>
              </w:rPr>
            </w:pPr>
            <w:del w:id="8103" w:author="AbbVie_HU_03" w:date="2025-05-14T15:27:00Z">
              <w:r w:rsidRPr="00183B5F">
                <w:rPr>
                  <w:szCs w:val="24"/>
                  <w:vertAlign w:val="superscript"/>
                </w:rPr>
                <w:delText>c </w:delText>
              </w:r>
              <w:r w:rsidRPr="00183B5F">
                <w:rPr>
                  <w:szCs w:val="24"/>
                </w:rPr>
                <w:delText>Nem tartalmazza a Humira nyílt indukciós dózist: 2,4 mg/ttkg (maximum 160 mg) a 0. héten, placebo az 1. héten és 1,2 mg/ttkg (maximum 80 mg) a 2. héten</w:delText>
              </w:r>
            </w:del>
          </w:p>
          <w:p w14:paraId="287D1697" w14:textId="05DBCEEE" w:rsidR="002A6D4E" w:rsidRPr="00183B5F" w:rsidRDefault="00943743" w:rsidP="002A6D4E">
            <w:pPr>
              <w:textAlignment w:val="baseline"/>
              <w:rPr>
                <w:del w:id="8104" w:author="AbbVie_HU_03" w:date="2025-05-14T15:27:00Z"/>
              </w:rPr>
            </w:pPr>
            <w:del w:id="8105" w:author="AbbVie_HU_03" w:date="2025-05-14T15:27:00Z">
              <w:r w:rsidRPr="00183B5F">
                <w:rPr>
                  <w:szCs w:val="24"/>
                  <w:vertAlign w:val="superscript"/>
                </w:rPr>
                <w:delText>d </w:delText>
              </w:r>
              <w:r w:rsidRPr="00183B5F">
                <w:rPr>
                  <w:szCs w:val="24"/>
                </w:rPr>
                <w:delText>Humira 0,6 mg/</w:delText>
              </w:r>
              <w:r w:rsidR="009134E6" w:rsidRPr="00183B5F">
                <w:rPr>
                  <w:szCs w:val="24"/>
                </w:rPr>
                <w:delText>tt</w:delText>
              </w:r>
              <w:r w:rsidRPr="00183B5F">
                <w:rPr>
                  <w:szCs w:val="24"/>
                </w:rPr>
                <w:delText>kg (maximum 40 mg) kéthetente</w:delText>
              </w:r>
            </w:del>
          </w:p>
          <w:p w14:paraId="61D8649D" w14:textId="68F65694" w:rsidR="002A6D4E" w:rsidRPr="00183B5F" w:rsidRDefault="00943743" w:rsidP="002A6D4E">
            <w:pPr>
              <w:rPr>
                <w:del w:id="8106" w:author="AbbVie_HU_03" w:date="2025-05-14T15:27:00Z"/>
              </w:rPr>
            </w:pPr>
            <w:del w:id="8107" w:author="AbbVie_HU_03" w:date="2025-05-14T15:27:00Z">
              <w:r w:rsidRPr="00183B5F">
                <w:rPr>
                  <w:vertAlign w:val="superscript"/>
                </w:rPr>
                <w:delText>e </w:delText>
              </w:r>
              <w:r w:rsidRPr="00183B5F">
                <w:delText>Humira 0,6 mg/</w:delText>
              </w:r>
              <w:r w:rsidR="009134E6" w:rsidRPr="00183B5F">
                <w:delText>tt</w:delText>
              </w:r>
              <w:r w:rsidRPr="00183B5F">
                <w:delText>kg (maximum 40 mg) hetente</w:delText>
              </w:r>
            </w:del>
          </w:p>
          <w:p w14:paraId="4598B8FF" w14:textId="47B8628F" w:rsidR="002A6D4E" w:rsidRPr="00183B5F" w:rsidRDefault="00943743" w:rsidP="002A6D4E">
            <w:pPr>
              <w:textAlignment w:val="baseline"/>
              <w:rPr>
                <w:del w:id="8108" w:author="AbbVie_HU_03" w:date="2025-05-14T15:27:00Z"/>
              </w:rPr>
            </w:pPr>
            <w:del w:id="8109" w:author="AbbVie_HU_03" w:date="2025-05-14T15:27:00Z">
              <w:r w:rsidRPr="00183B5F">
                <w:rPr>
                  <w:szCs w:val="24"/>
                </w:rPr>
                <w:delText>1. megjegyzés: Mindkét indukciós csoport 0,6 mg/ttkg-ot (maximum 40 mg) kapott a 4. és a 6. héten</w:delText>
              </w:r>
              <w:r w:rsidRPr="00183B5F">
                <w:rPr>
                  <w:sz w:val="24"/>
                  <w:szCs w:val="24"/>
                </w:rPr>
                <w:delText> </w:delText>
              </w:r>
            </w:del>
          </w:p>
          <w:p w14:paraId="0EFDDFF0" w14:textId="5EA0995A" w:rsidR="002A6D4E" w:rsidRPr="00183B5F" w:rsidRDefault="00943743" w:rsidP="002A6D4E">
            <w:pPr>
              <w:textAlignment w:val="baseline"/>
              <w:rPr>
                <w:del w:id="8110" w:author="AbbVie_HU_03" w:date="2025-05-14T15:27:00Z"/>
                <w:sz w:val="24"/>
                <w:szCs w:val="24"/>
              </w:rPr>
            </w:pPr>
            <w:del w:id="8111" w:author="AbbVie_HU_03" w:date="2025-05-14T15:27:00Z">
              <w:r w:rsidRPr="00183B5F">
                <w:rPr>
                  <w:szCs w:val="24"/>
                </w:rPr>
                <w:delText>2. megjegyzés: Úgy ítélték meg, hogy a 8. héten hiányzó adatok esetén a betegek nem teljesítették a végpontokat</w:delText>
              </w:r>
              <w:r w:rsidRPr="00183B5F">
                <w:rPr>
                  <w:sz w:val="24"/>
                  <w:szCs w:val="24"/>
                </w:rPr>
                <w:delText> </w:delText>
              </w:r>
            </w:del>
          </w:p>
          <w:p w14:paraId="3C84B0BC" w14:textId="6A8A4781" w:rsidR="002A6D4E" w:rsidRPr="00183B5F" w:rsidRDefault="00943743" w:rsidP="002A6D4E">
            <w:pPr>
              <w:textAlignment w:val="baseline"/>
              <w:rPr>
                <w:del w:id="8112" w:author="AbbVie_HU_03" w:date="2025-05-14T15:27:00Z"/>
              </w:rPr>
            </w:pPr>
            <w:del w:id="8113" w:author="AbbVie_HU_03" w:date="2025-05-14T15:27:00Z">
              <w:r w:rsidRPr="00183B5F">
                <w:delText xml:space="preserve">3. megjegyzés: Azokat a betegeket, akiknek az 52. héten hiányoztak az értékei, vagy akiket randomizáltak ismételt indukcióra vagy fenntartó kezelésre, az 52. hét végpontjain </w:delText>
              </w:r>
              <w:r w:rsidR="000809B5" w:rsidRPr="00183B5F">
                <w:delText>választ nem mutatóknak</w:delText>
              </w:r>
              <w:r w:rsidRPr="00183B5F">
                <w:delText xml:space="preserve"> tekintették</w:delText>
              </w:r>
            </w:del>
          </w:p>
        </w:tc>
      </w:tr>
    </w:tbl>
    <w:p w14:paraId="5B545EDE" w14:textId="7729EC33" w:rsidR="002A6D4E" w:rsidRPr="00183B5F" w:rsidRDefault="002A6D4E" w:rsidP="002A6D4E">
      <w:pPr>
        <w:rPr>
          <w:del w:id="8114" w:author="AbbVie_HU_03" w:date="2025-05-14T15:27:00Z"/>
        </w:rPr>
      </w:pPr>
    </w:p>
    <w:p w14:paraId="4EC8483C" w14:textId="18A55D94" w:rsidR="002A6D4E" w:rsidRPr="00183B5F" w:rsidRDefault="00943743" w:rsidP="002A6D4E">
      <w:pPr>
        <w:rPr>
          <w:del w:id="8115" w:author="AbbVie_HU_03" w:date="2025-05-14T15:27:00Z"/>
        </w:rPr>
      </w:pPr>
      <w:del w:id="8116" w:author="AbbVie_HU_03" w:date="2025-05-14T15:27:00Z">
        <w:r w:rsidRPr="00183B5F">
          <w:delText>A fenntartó periódus alatt ismételt indukciós kezelést kapott, Humira-val kezelt betegek közül 2/6 (33%) ért el klinikai választ FMS szerint az 52. héten.</w:delText>
        </w:r>
      </w:del>
    </w:p>
    <w:p w14:paraId="7487FA9D" w14:textId="1B03B15D" w:rsidR="002A6D4E" w:rsidRPr="00183B5F" w:rsidRDefault="002A6D4E" w:rsidP="002A6D4E">
      <w:pPr>
        <w:rPr>
          <w:del w:id="8117" w:author="AbbVie_HU_03" w:date="2025-05-14T15:27:00Z"/>
        </w:rPr>
      </w:pPr>
    </w:p>
    <w:p w14:paraId="1FA64A8E" w14:textId="66C8492A" w:rsidR="002A6D4E" w:rsidRPr="00183B5F" w:rsidRDefault="00943743" w:rsidP="002A6D4E">
      <w:pPr>
        <w:keepNext/>
        <w:rPr>
          <w:del w:id="8118" w:author="AbbVie_HU_03" w:date="2025-05-14T15:27:00Z"/>
          <w:bCs/>
          <w:i/>
          <w:u w:val="single"/>
        </w:rPr>
      </w:pPr>
      <w:del w:id="8119" w:author="AbbVie_HU_03" w:date="2025-05-14T15:27:00Z">
        <w:r w:rsidRPr="00183B5F">
          <w:rPr>
            <w:i/>
            <w:u w:val="single"/>
          </w:rPr>
          <w:delText>Életminőség</w:delText>
        </w:r>
      </w:del>
    </w:p>
    <w:p w14:paraId="4986E441" w14:textId="2CABC213" w:rsidR="002A6D4E" w:rsidRPr="00183B5F" w:rsidRDefault="002A6D4E" w:rsidP="002A6D4E">
      <w:pPr>
        <w:keepNext/>
        <w:rPr>
          <w:del w:id="8120" w:author="AbbVie_HU_03" w:date="2025-05-14T15:27:00Z"/>
          <w:bCs/>
          <w:i/>
          <w:u w:val="single"/>
        </w:rPr>
      </w:pPr>
    </w:p>
    <w:p w14:paraId="56EF7411" w14:textId="62DCEC83" w:rsidR="002A6D4E" w:rsidRPr="00183B5F" w:rsidRDefault="00943743" w:rsidP="002A6D4E">
      <w:pPr>
        <w:keepNext/>
        <w:rPr>
          <w:del w:id="8121" w:author="AbbVie_HU_03" w:date="2025-05-14T15:27:00Z"/>
        </w:rPr>
      </w:pPr>
      <w:del w:id="8122" w:author="AbbVie_HU_03" w:date="2025-05-14T15:27:00Z">
        <w:r w:rsidRPr="00183B5F">
          <w:delText>A kiindulási értékhez képest klinikailag jelentős javulást figyeltek meg az IMPACT III és a WPAI (gondozói munka produktivitás és aktivitásromlás) pontszámokban a Humira-val kezelt csoportoknál.</w:delText>
        </w:r>
      </w:del>
    </w:p>
    <w:p w14:paraId="3B44A3F1" w14:textId="506A56F9" w:rsidR="002A6D4E" w:rsidRPr="00183B5F" w:rsidRDefault="002A6D4E" w:rsidP="002A6D4E">
      <w:pPr>
        <w:keepNext/>
        <w:rPr>
          <w:del w:id="8123" w:author="AbbVie_HU_03" w:date="2025-05-14T15:27:00Z"/>
        </w:rPr>
      </w:pPr>
    </w:p>
    <w:p w14:paraId="53522061" w14:textId="3F046C36" w:rsidR="002A6D4E" w:rsidRPr="00183B5F" w:rsidRDefault="00943743" w:rsidP="002A6D4E">
      <w:pPr>
        <w:rPr>
          <w:del w:id="8124" w:author="AbbVie_HU_03" w:date="2025-05-14T15:27:00Z"/>
        </w:rPr>
      </w:pPr>
      <w:del w:id="8125" w:author="AbbVie_HU_03" w:date="2025-05-14T15:27:00Z">
        <w:r w:rsidRPr="00183B5F">
          <w:delText>Az adalimumabbal kezelt csoportoknál a növekedési sebesség klinikailag jelentős mértékű növekedését (javulását) figyelték meg a kiindulási értékhez képest és a testtömeg-index klinikailag jelentős növekedését (javulását) a kiindulási értékhez képest azoknál az alanyoknál, akik a nagy, hetente adott legfeljebb 40 mg (0,6 mg/ttkg) fenntartó dózist kapták.</w:delText>
        </w:r>
      </w:del>
    </w:p>
    <w:p w14:paraId="10B0FC30" w14:textId="27B8261D" w:rsidR="00E96CB2" w:rsidRPr="00183B5F" w:rsidRDefault="00E96CB2" w:rsidP="003006E1">
      <w:pPr>
        <w:spacing w:line="240" w:lineRule="auto"/>
        <w:rPr>
          <w:del w:id="8126" w:author="AbbVie_HU_03" w:date="2025-05-14T15:27:00Z"/>
        </w:rPr>
      </w:pPr>
    </w:p>
    <w:p w14:paraId="70C773D5" w14:textId="7B561573" w:rsidR="008638B3" w:rsidRPr="00183B5F" w:rsidRDefault="00943743" w:rsidP="00FC288C">
      <w:pPr>
        <w:pStyle w:val="EMEANormal"/>
        <w:keepNext/>
        <w:tabs>
          <w:tab w:val="left" w:pos="2595"/>
        </w:tabs>
        <w:rPr>
          <w:del w:id="8127" w:author="AbbVie_HU_03" w:date="2025-05-14T15:27:00Z"/>
          <w:bCs/>
          <w:i/>
          <w:szCs w:val="22"/>
          <w:lang w:val="hu-HU"/>
        </w:rPr>
      </w:pPr>
      <w:del w:id="8128" w:author="AbbVie_HU_03" w:date="2025-05-14T15:27:00Z">
        <w:r w:rsidRPr="00183B5F">
          <w:rPr>
            <w:bCs/>
            <w:i/>
            <w:szCs w:val="22"/>
            <w:lang w:val="hu-HU"/>
          </w:rPr>
          <w:delText>Gyermekkori uveitis</w:delText>
        </w:r>
      </w:del>
    </w:p>
    <w:p w14:paraId="2EB3ADA3" w14:textId="3081D304" w:rsidR="008638B3" w:rsidRPr="00183B5F" w:rsidRDefault="008638B3" w:rsidP="00FC288C">
      <w:pPr>
        <w:pStyle w:val="EMEANormal"/>
        <w:keepNext/>
        <w:tabs>
          <w:tab w:val="left" w:pos="2595"/>
        </w:tabs>
        <w:rPr>
          <w:del w:id="8129" w:author="AbbVie_HU_03" w:date="2025-05-14T15:27:00Z"/>
          <w:bCs/>
          <w:i/>
          <w:szCs w:val="22"/>
          <w:lang w:val="hu-HU"/>
        </w:rPr>
      </w:pPr>
    </w:p>
    <w:p w14:paraId="3E191869" w14:textId="4A22CD77" w:rsidR="008638B3" w:rsidRPr="00183B5F" w:rsidRDefault="00943743" w:rsidP="008638B3">
      <w:pPr>
        <w:pStyle w:val="EMEANormal"/>
        <w:tabs>
          <w:tab w:val="left" w:pos="2595"/>
        </w:tabs>
        <w:rPr>
          <w:del w:id="8130" w:author="AbbVie_HU_03" w:date="2025-05-14T15:27:00Z"/>
          <w:bCs/>
          <w:szCs w:val="22"/>
          <w:lang w:val="hu-HU"/>
        </w:rPr>
      </w:pPr>
      <w:del w:id="8131" w:author="AbbVie_HU_03" w:date="2025-05-14T15:27:00Z">
        <w:r w:rsidRPr="00183B5F">
          <w:rPr>
            <w:szCs w:val="22"/>
            <w:lang w:val="hu-HU"/>
          </w:rPr>
          <w:delText>A Humira biztonságosságát és hatásosságát</w:delText>
        </w:r>
        <w:r w:rsidRPr="00183B5F">
          <w:rPr>
            <w:bCs/>
            <w:szCs w:val="22"/>
            <w:lang w:val="hu-HU"/>
          </w:rPr>
          <w:delText xml:space="preserve"> 90, 2 – &lt;18 éves kor közötti, aktív, JIA-asszociált, nem fertőzéses eredetű anterior uvitisben szenvedő, legalább 12 hetes metotrexát-kezelésre refrakter gyermeknél egy randomizált, kettős vak, kontrollos vizsgálatban értékelték. A betegek vagy placebót, vagy 20 mg adalimumabot (30 kg testtömeg alatt), illetve 40 mg adalimumabot (legalább 30 kg</w:delText>
        </w:r>
        <w:r w:rsidRPr="00183B5F">
          <w:rPr>
            <w:bCs/>
            <w:szCs w:val="22"/>
            <w:lang w:val="hu-HU"/>
          </w:rPr>
          <w:noBreakHyphen/>
          <w:delText>os testtömeg esetén) kaptak minden második héten a kezelés kezdetén alkalmazott metotrexát dózissal kombinálva.</w:delText>
        </w:r>
      </w:del>
    </w:p>
    <w:p w14:paraId="63CA57F2" w14:textId="343130B0" w:rsidR="008638B3" w:rsidRPr="00183B5F" w:rsidRDefault="008638B3" w:rsidP="008638B3">
      <w:pPr>
        <w:pStyle w:val="EMEANormal"/>
        <w:tabs>
          <w:tab w:val="left" w:pos="2595"/>
        </w:tabs>
        <w:rPr>
          <w:del w:id="8132" w:author="AbbVie_HU_03" w:date="2025-05-14T15:27:00Z"/>
          <w:bCs/>
          <w:szCs w:val="22"/>
          <w:lang w:val="hu-HU"/>
        </w:rPr>
      </w:pPr>
    </w:p>
    <w:p w14:paraId="649CDD04" w14:textId="391602D4" w:rsidR="008638B3" w:rsidRPr="00183B5F" w:rsidRDefault="00943743" w:rsidP="008638B3">
      <w:pPr>
        <w:pStyle w:val="EMEANormal"/>
        <w:tabs>
          <w:tab w:val="left" w:pos="2595"/>
        </w:tabs>
        <w:rPr>
          <w:del w:id="8133" w:author="AbbVie_HU_03" w:date="2025-05-14T15:27:00Z"/>
          <w:szCs w:val="22"/>
          <w:lang w:val="hu-HU"/>
        </w:rPr>
      </w:pPr>
      <w:del w:id="8134" w:author="AbbVie_HU_03" w:date="2025-05-14T15:27:00Z">
        <w:r w:rsidRPr="00183B5F">
          <w:rPr>
            <w:bCs/>
            <w:szCs w:val="22"/>
            <w:lang w:val="hu-HU"/>
          </w:rPr>
          <w:delText xml:space="preserve">Az elsődleges végpont </w:delText>
        </w:r>
        <w:r w:rsidRPr="00183B5F">
          <w:rPr>
            <w:szCs w:val="22"/>
            <w:lang w:val="hu-HU"/>
          </w:rPr>
          <w:delText>a „kezelés eredménytelenségéig eltelt idő” volt. A kezelés eredménytelenségének kritériumai a szemgyulladás romlása, vagy tartós nem javulása, részleges javulás tartós szemészeti társbetegségek kialakulása mellett, vagy a szemészeti társbetegségek romlása, nem engedélyezett egyidejű gyógyszeralkalmazás, vagy a kezelés hosszabb ideig tartó felfüggesztése voltak.</w:delText>
        </w:r>
      </w:del>
    </w:p>
    <w:p w14:paraId="70D7D730" w14:textId="1C7753E9" w:rsidR="008638B3" w:rsidRPr="00183B5F" w:rsidRDefault="008638B3" w:rsidP="008638B3">
      <w:pPr>
        <w:pStyle w:val="EMEANormal"/>
        <w:tabs>
          <w:tab w:val="left" w:pos="2595"/>
        </w:tabs>
        <w:rPr>
          <w:del w:id="8135" w:author="AbbVie_HU_03" w:date="2025-05-14T15:27:00Z"/>
          <w:szCs w:val="22"/>
          <w:lang w:val="hu-HU"/>
        </w:rPr>
      </w:pPr>
    </w:p>
    <w:p w14:paraId="23674C7E" w14:textId="7060B309" w:rsidR="008638B3" w:rsidRPr="00183B5F" w:rsidRDefault="00943743" w:rsidP="008638B3">
      <w:pPr>
        <w:pStyle w:val="EMEANormal"/>
        <w:keepNext/>
        <w:rPr>
          <w:del w:id="8136" w:author="AbbVie_HU_03" w:date="2025-05-14T15:27:00Z"/>
          <w:i/>
          <w:szCs w:val="22"/>
          <w:u w:val="single"/>
          <w:lang w:val="hu-HU"/>
        </w:rPr>
      </w:pPr>
      <w:del w:id="8137" w:author="AbbVie_HU_03" w:date="2025-05-14T15:27:00Z">
        <w:r w:rsidRPr="00183B5F">
          <w:rPr>
            <w:i/>
            <w:szCs w:val="22"/>
            <w:u w:val="single"/>
            <w:lang w:val="hu-HU"/>
          </w:rPr>
          <w:delText>Klinikai válasz</w:delText>
        </w:r>
      </w:del>
    </w:p>
    <w:p w14:paraId="4CEE4195" w14:textId="48C1627F" w:rsidR="008638B3" w:rsidRPr="00183B5F" w:rsidRDefault="008638B3" w:rsidP="008638B3">
      <w:pPr>
        <w:pStyle w:val="EMEANormal"/>
        <w:keepNext/>
        <w:tabs>
          <w:tab w:val="left" w:pos="2595"/>
        </w:tabs>
        <w:rPr>
          <w:del w:id="8138" w:author="AbbVie_HU_03" w:date="2025-05-14T15:27:00Z"/>
          <w:bCs/>
          <w:szCs w:val="22"/>
          <w:lang w:val="hu-HU"/>
        </w:rPr>
      </w:pPr>
    </w:p>
    <w:p w14:paraId="6B56D9BA" w14:textId="3AA6EF38" w:rsidR="008638B3" w:rsidRPr="00183B5F" w:rsidRDefault="00943743" w:rsidP="008638B3">
      <w:pPr>
        <w:spacing w:line="240" w:lineRule="auto"/>
        <w:rPr>
          <w:del w:id="8139" w:author="AbbVie_HU_03" w:date="2025-05-14T15:27:00Z"/>
          <w:szCs w:val="22"/>
        </w:rPr>
      </w:pPr>
      <w:del w:id="8140" w:author="AbbVie_HU_03" w:date="2025-05-14T15:27:00Z">
        <w:r w:rsidRPr="00183B5F">
          <w:rPr>
            <w:szCs w:val="22"/>
          </w:rPr>
          <w:delText>Az adalimumab szignifikánsan késleltette a kezelés eredménytelenségéig eltelt időt a placebóhoz képest (lásd 3. ábra, p &lt; 0,0001, lograng</w:delText>
        </w:r>
        <w:r w:rsidRPr="00183B5F">
          <w:rPr>
            <w:szCs w:val="22"/>
          </w:rPr>
          <w:noBreakHyphen/>
          <w:delText>próba). A kezelés eredménytelenségéig eltelt medián időtartam 24,1 hét volt placebóval kezelt betegek esetén, míg az adalimumabbal kezelt betegek esetén a kezelés eredménytelenségéig eltelt medián időtartam nem volt becsülhető, mivel kevesebb mint a betegek felénél tapasztaltak kezelési eredménytelenséget. Az adalimumab szignifikánsan, 75%-kal csökkentette a kezelési eredménytelenség kockázatát a placebóhoz képest, ahogy ezt a relatív hazárd érték mutatja (HR = 0,25 [95%</w:delText>
        </w:r>
        <w:r w:rsidRPr="00183B5F">
          <w:rPr>
            <w:szCs w:val="22"/>
          </w:rPr>
          <w:noBreakHyphen/>
          <w:delText>os CI: 0,12; 0,49]).</w:delText>
        </w:r>
      </w:del>
    </w:p>
    <w:p w14:paraId="7DEBA449" w14:textId="313417DA" w:rsidR="008638B3" w:rsidRPr="00183B5F" w:rsidRDefault="008638B3" w:rsidP="008638B3">
      <w:pPr>
        <w:pStyle w:val="EMEANormal"/>
        <w:rPr>
          <w:del w:id="8141" w:author="AbbVie_HU_03" w:date="2025-05-14T15:27:00Z"/>
          <w:szCs w:val="22"/>
          <w:lang w:val="hu-HU"/>
        </w:rPr>
      </w:pPr>
    </w:p>
    <w:p w14:paraId="540A7E21" w14:textId="7BF18E0B" w:rsidR="008638B3" w:rsidRPr="00183B5F" w:rsidRDefault="00943743" w:rsidP="00FC288C">
      <w:pPr>
        <w:pStyle w:val="EMEANormal"/>
        <w:keepNext/>
        <w:numPr>
          <w:ilvl w:val="0"/>
          <w:numId w:val="240"/>
        </w:numPr>
        <w:jc w:val="center"/>
        <w:rPr>
          <w:del w:id="8142" w:author="AbbVie_HU_03" w:date="2025-05-14T15:27:00Z"/>
          <w:b/>
          <w:szCs w:val="22"/>
          <w:lang w:val="hu-HU"/>
        </w:rPr>
      </w:pPr>
      <w:del w:id="8143" w:author="AbbVie_HU_03" w:date="2025-05-14T15:27:00Z">
        <w:r w:rsidRPr="00183B5F">
          <w:rPr>
            <w:b/>
            <w:szCs w:val="22"/>
            <w:lang w:val="hu-HU"/>
          </w:rPr>
          <w:delText>ábra: A kezelés eredménytelenségéig eltelt időt bemutató Kaplan-Meier görbék gyermekkori uveitis vizsgálatban</w:delText>
        </w:r>
      </w:del>
    </w:p>
    <w:tbl>
      <w:tblPr>
        <w:tblW w:w="9288" w:type="dxa"/>
        <w:tblLayout w:type="fixed"/>
        <w:tblLook w:val="04A0" w:firstRow="1" w:lastRow="0" w:firstColumn="1" w:lastColumn="0" w:noHBand="0" w:noVBand="1"/>
      </w:tblPr>
      <w:tblGrid>
        <w:gridCol w:w="468"/>
        <w:gridCol w:w="3510"/>
        <w:gridCol w:w="1170"/>
        <w:gridCol w:w="1350"/>
        <w:gridCol w:w="900"/>
        <w:gridCol w:w="1890"/>
      </w:tblGrid>
      <w:tr w:rsidR="00011D2F" w14:paraId="0E983344" w14:textId="7411AE67" w:rsidTr="008638B3">
        <w:trPr>
          <w:cantSplit/>
          <w:trHeight w:val="3806"/>
          <w:del w:id="8144" w:author="AbbVie_HU_03" w:date="2025-05-14T15:27:00Z"/>
        </w:trPr>
        <w:tc>
          <w:tcPr>
            <w:tcW w:w="468" w:type="dxa"/>
            <w:textDirection w:val="btLr"/>
            <w:vAlign w:val="bottom"/>
          </w:tcPr>
          <w:p w14:paraId="31958A56" w14:textId="320B1EFC" w:rsidR="008638B3" w:rsidRPr="00183B5F" w:rsidRDefault="00943743" w:rsidP="008638B3">
            <w:pPr>
              <w:pStyle w:val="EMEANormal"/>
              <w:keepNext/>
              <w:ind w:left="720"/>
              <w:rPr>
                <w:del w:id="8145" w:author="AbbVie_HU_03" w:date="2025-05-14T15:27:00Z"/>
                <w:b/>
                <w:szCs w:val="22"/>
                <w:lang w:val="hu-HU"/>
              </w:rPr>
            </w:pPr>
            <w:del w:id="8146" w:author="AbbVie_HU_03" w:date="2025-05-14T15:27:00Z">
              <w:r w:rsidRPr="00183B5F">
                <w:rPr>
                  <w:b/>
                  <w:szCs w:val="22"/>
                  <w:lang w:val="hu-HU"/>
                </w:rPr>
                <w:delText>A KEZELÉS EREDMÉNYTELENSÉGÉNEK VALÓSZÍNŰSÉGE</w:delText>
              </w:r>
            </w:del>
          </w:p>
        </w:tc>
        <w:tc>
          <w:tcPr>
            <w:tcW w:w="8820" w:type="dxa"/>
            <w:gridSpan w:val="5"/>
            <w:vAlign w:val="bottom"/>
          </w:tcPr>
          <w:p w14:paraId="50E8D09F" w14:textId="288AE8CC" w:rsidR="008638B3" w:rsidRPr="00183B5F" w:rsidRDefault="00943743" w:rsidP="008638B3">
            <w:pPr>
              <w:pStyle w:val="EMEANormal"/>
              <w:keepNext/>
              <w:rPr>
                <w:del w:id="8147" w:author="AbbVie_HU_03" w:date="2025-05-14T15:27:00Z"/>
                <w:szCs w:val="22"/>
                <w:lang w:val="hu-HU"/>
              </w:rPr>
            </w:pPr>
            <w:del w:id="8148" w:author="AbbVie_HU_03" w:date="2025-05-14T15:27:00Z">
              <w:r w:rsidRPr="00202B95">
                <w:rPr>
                  <w:noProof/>
                  <w:lang w:val="en-GB"/>
                </w:rPr>
                <w:drawing>
                  <wp:inline distT="0" distB="0" distL="0" distR="0" wp14:anchorId="0D3F1D14" wp14:editId="494B4B8D">
                    <wp:extent cx="5486400" cy="4554855"/>
                    <wp:effectExtent l="0" t="0" r="0" b="0"/>
                    <wp:docPr id="162" name="Picture 162"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9" descr="Humira PED UV KM Curve REVISED 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486400" cy="4554855"/>
                            </a:xfrm>
                            <a:prstGeom prst="rect">
                              <a:avLst/>
                            </a:prstGeom>
                            <a:noFill/>
                            <a:ln>
                              <a:noFill/>
                            </a:ln>
                          </pic:spPr>
                        </pic:pic>
                      </a:graphicData>
                    </a:graphic>
                  </wp:inline>
                </w:drawing>
              </w:r>
            </w:del>
          </w:p>
        </w:tc>
      </w:tr>
      <w:tr w:rsidR="00011D2F" w14:paraId="461183B3" w14:textId="5790BBC7" w:rsidTr="008638B3">
        <w:trPr>
          <w:del w:id="8149" w:author="AbbVie_HU_03" w:date="2025-05-14T15:27:00Z"/>
        </w:trPr>
        <w:tc>
          <w:tcPr>
            <w:tcW w:w="468" w:type="dxa"/>
          </w:tcPr>
          <w:p w14:paraId="7FF36076" w14:textId="655C8C84" w:rsidR="008638B3" w:rsidRPr="00183B5F" w:rsidRDefault="008638B3" w:rsidP="008638B3">
            <w:pPr>
              <w:pStyle w:val="EMEANormal"/>
              <w:keepNext/>
              <w:rPr>
                <w:del w:id="8150" w:author="AbbVie_HU_03" w:date="2025-05-14T15:27:00Z"/>
                <w:szCs w:val="22"/>
                <w:lang w:val="hu-HU"/>
              </w:rPr>
            </w:pPr>
          </w:p>
        </w:tc>
        <w:tc>
          <w:tcPr>
            <w:tcW w:w="8820" w:type="dxa"/>
            <w:gridSpan w:val="5"/>
          </w:tcPr>
          <w:p w14:paraId="36C887E1" w14:textId="30556858" w:rsidR="008638B3" w:rsidRPr="00183B5F" w:rsidRDefault="00943743" w:rsidP="008638B3">
            <w:pPr>
              <w:pStyle w:val="EMEANormal"/>
              <w:keepNext/>
              <w:jc w:val="center"/>
              <w:rPr>
                <w:del w:id="8151" w:author="AbbVie_HU_03" w:date="2025-05-14T15:27:00Z"/>
                <w:b/>
                <w:szCs w:val="22"/>
                <w:lang w:val="hu-HU"/>
              </w:rPr>
            </w:pPr>
            <w:del w:id="8152" w:author="AbbVie_HU_03" w:date="2025-05-14T15:27:00Z">
              <w:r w:rsidRPr="00183B5F">
                <w:rPr>
                  <w:b/>
                  <w:szCs w:val="22"/>
                  <w:lang w:val="hu-HU"/>
                </w:rPr>
                <w:delText>IDŐ (HÉT)</w:delText>
              </w:r>
            </w:del>
          </w:p>
        </w:tc>
      </w:tr>
      <w:tr w:rsidR="00011D2F" w14:paraId="2E5F6F14" w14:textId="192204C3" w:rsidTr="008638B3">
        <w:trPr>
          <w:del w:id="8153" w:author="AbbVie_HU_03" w:date="2025-05-14T15:27:00Z"/>
        </w:trPr>
        <w:tc>
          <w:tcPr>
            <w:tcW w:w="468" w:type="dxa"/>
          </w:tcPr>
          <w:p w14:paraId="28F65660" w14:textId="6680A9E4" w:rsidR="008638B3" w:rsidRPr="00183B5F" w:rsidRDefault="008638B3" w:rsidP="008638B3">
            <w:pPr>
              <w:pStyle w:val="EMEANormal"/>
              <w:keepNext/>
              <w:rPr>
                <w:del w:id="8154" w:author="AbbVie_HU_03" w:date="2025-05-14T15:27:00Z"/>
                <w:szCs w:val="22"/>
                <w:lang w:val="hu-HU"/>
              </w:rPr>
            </w:pPr>
          </w:p>
        </w:tc>
        <w:tc>
          <w:tcPr>
            <w:tcW w:w="3510" w:type="dxa"/>
          </w:tcPr>
          <w:p w14:paraId="0D5C6D61" w14:textId="07E3F109" w:rsidR="008638B3" w:rsidRPr="00183B5F" w:rsidRDefault="00943743" w:rsidP="008638B3">
            <w:pPr>
              <w:pStyle w:val="EMEANormal"/>
              <w:keepNext/>
              <w:rPr>
                <w:del w:id="8155" w:author="AbbVie_HU_03" w:date="2025-05-14T15:27:00Z"/>
                <w:szCs w:val="22"/>
                <w:lang w:val="hu-HU"/>
              </w:rPr>
            </w:pPr>
            <w:del w:id="8156" w:author="AbbVie_HU_03" w:date="2025-05-14T15:27:00Z">
              <w:r w:rsidRPr="00183B5F">
                <w:rPr>
                  <w:szCs w:val="22"/>
                  <w:lang w:val="hu-HU"/>
                </w:rPr>
                <w:delText>Kezelés</w:delText>
              </w:r>
            </w:del>
          </w:p>
        </w:tc>
        <w:tc>
          <w:tcPr>
            <w:tcW w:w="1170" w:type="dxa"/>
            <w:vAlign w:val="bottom"/>
          </w:tcPr>
          <w:p w14:paraId="2DDCE72C" w14:textId="44EC60CB" w:rsidR="008638B3" w:rsidRPr="00183B5F" w:rsidRDefault="00943743" w:rsidP="008638B3">
            <w:pPr>
              <w:pStyle w:val="EMEANormal"/>
              <w:keepNext/>
              <w:jc w:val="center"/>
              <w:rPr>
                <w:del w:id="8157" w:author="AbbVie_HU_03" w:date="2025-05-14T15:27:00Z"/>
                <w:szCs w:val="22"/>
                <w:lang w:val="hu-HU"/>
              </w:rPr>
            </w:pPr>
            <w:del w:id="8158" w:author="AbbVie_HU_03" w:date="2025-05-14T15:27:00Z">
              <w:r w:rsidRPr="00202B95">
                <w:rPr>
                  <w:noProof/>
                  <w:lang w:val="en-GB"/>
                </w:rPr>
                <w:drawing>
                  <wp:inline distT="0" distB="0" distL="0" distR="0" wp14:anchorId="689E3E68" wp14:editId="19CD01FC">
                    <wp:extent cx="457200" cy="120650"/>
                    <wp:effectExtent l="0" t="0" r="0" b="0"/>
                    <wp:docPr id="163" name="Picture 163"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0" descr="Humira PED UV KM Curve 1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57200" cy="120650"/>
                            </a:xfrm>
                            <a:prstGeom prst="rect">
                              <a:avLst/>
                            </a:prstGeom>
                            <a:noFill/>
                            <a:ln>
                              <a:noFill/>
                            </a:ln>
                          </pic:spPr>
                        </pic:pic>
                      </a:graphicData>
                    </a:graphic>
                  </wp:inline>
                </w:drawing>
              </w:r>
            </w:del>
          </w:p>
        </w:tc>
        <w:tc>
          <w:tcPr>
            <w:tcW w:w="1350" w:type="dxa"/>
          </w:tcPr>
          <w:p w14:paraId="0E9D6106" w14:textId="257709D7" w:rsidR="008638B3" w:rsidRPr="00183B5F" w:rsidRDefault="00943743" w:rsidP="008638B3">
            <w:pPr>
              <w:pStyle w:val="EMEANormal"/>
              <w:keepNext/>
              <w:rPr>
                <w:del w:id="8159" w:author="AbbVie_HU_03" w:date="2025-05-14T15:27:00Z"/>
                <w:szCs w:val="22"/>
                <w:lang w:val="hu-HU"/>
              </w:rPr>
            </w:pPr>
            <w:del w:id="8160" w:author="AbbVie_HU_03" w:date="2025-05-14T15:27:00Z">
              <w:r w:rsidRPr="00183B5F">
                <w:rPr>
                  <w:szCs w:val="22"/>
                  <w:lang w:val="hu-HU"/>
                </w:rPr>
                <w:delText>Placebo</w:delText>
              </w:r>
            </w:del>
          </w:p>
        </w:tc>
        <w:tc>
          <w:tcPr>
            <w:tcW w:w="900" w:type="dxa"/>
            <w:vAlign w:val="center"/>
          </w:tcPr>
          <w:p w14:paraId="469FD515" w14:textId="2D9E5A3F" w:rsidR="008638B3" w:rsidRPr="00183B5F" w:rsidRDefault="00943743" w:rsidP="008638B3">
            <w:pPr>
              <w:pStyle w:val="EMEANormal"/>
              <w:keepNext/>
              <w:rPr>
                <w:del w:id="8161" w:author="AbbVie_HU_03" w:date="2025-05-14T15:27:00Z"/>
                <w:szCs w:val="22"/>
                <w:lang w:val="hu-HU"/>
              </w:rPr>
            </w:pPr>
            <w:del w:id="8162" w:author="AbbVie_HU_03" w:date="2025-05-14T15:27:00Z">
              <w:r w:rsidRPr="00202B95">
                <w:rPr>
                  <w:noProof/>
                  <w:lang w:val="en-GB"/>
                </w:rPr>
                <w:drawing>
                  <wp:inline distT="0" distB="0" distL="0" distR="0" wp14:anchorId="68D1F118" wp14:editId="591B09AC">
                    <wp:extent cx="457200" cy="86360"/>
                    <wp:effectExtent l="0" t="0" r="0" b="8890"/>
                    <wp:docPr id="164" name="Picture 164"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1" descr="Humira PED UV KM Curve 1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57200" cy="86360"/>
                            </a:xfrm>
                            <a:prstGeom prst="rect">
                              <a:avLst/>
                            </a:prstGeom>
                            <a:noFill/>
                            <a:ln>
                              <a:noFill/>
                            </a:ln>
                          </pic:spPr>
                        </pic:pic>
                      </a:graphicData>
                    </a:graphic>
                  </wp:inline>
                </w:drawing>
              </w:r>
            </w:del>
          </w:p>
        </w:tc>
        <w:tc>
          <w:tcPr>
            <w:tcW w:w="1890" w:type="dxa"/>
          </w:tcPr>
          <w:p w14:paraId="7CBE5F6A" w14:textId="21717854" w:rsidR="008638B3" w:rsidRPr="00183B5F" w:rsidRDefault="00943743" w:rsidP="008638B3">
            <w:pPr>
              <w:pStyle w:val="EMEANormal"/>
              <w:keepNext/>
              <w:rPr>
                <w:del w:id="8163" w:author="AbbVie_HU_03" w:date="2025-05-14T15:27:00Z"/>
                <w:szCs w:val="22"/>
                <w:lang w:val="hu-HU"/>
              </w:rPr>
            </w:pPr>
            <w:del w:id="8164" w:author="AbbVie_HU_03" w:date="2025-05-14T15:27:00Z">
              <w:r w:rsidRPr="00183B5F">
                <w:rPr>
                  <w:szCs w:val="22"/>
                  <w:lang w:val="hu-HU"/>
                </w:rPr>
                <w:delText>Adalimumab</w:delText>
              </w:r>
            </w:del>
          </w:p>
        </w:tc>
      </w:tr>
      <w:tr w:rsidR="00011D2F" w14:paraId="3EC59180" w14:textId="55ADF9D1" w:rsidTr="008638B3">
        <w:trPr>
          <w:del w:id="8165" w:author="AbbVie_HU_03" w:date="2025-05-14T15:27:00Z"/>
        </w:trPr>
        <w:tc>
          <w:tcPr>
            <w:tcW w:w="468" w:type="dxa"/>
          </w:tcPr>
          <w:p w14:paraId="1E3518A0" w14:textId="491D62F0" w:rsidR="008638B3" w:rsidRPr="00183B5F" w:rsidRDefault="008638B3" w:rsidP="008638B3">
            <w:pPr>
              <w:pStyle w:val="EMEANormal"/>
              <w:keepNext/>
              <w:rPr>
                <w:del w:id="8166" w:author="AbbVie_HU_03" w:date="2025-05-14T15:27:00Z"/>
                <w:szCs w:val="22"/>
                <w:lang w:val="hu-HU"/>
              </w:rPr>
            </w:pPr>
          </w:p>
        </w:tc>
        <w:tc>
          <w:tcPr>
            <w:tcW w:w="8820" w:type="dxa"/>
            <w:gridSpan w:val="5"/>
          </w:tcPr>
          <w:p w14:paraId="75FE7B1A" w14:textId="59315C47" w:rsidR="008638B3" w:rsidRPr="00183B5F" w:rsidRDefault="00943743" w:rsidP="008638B3">
            <w:pPr>
              <w:pStyle w:val="EMEANormal"/>
              <w:keepNext/>
              <w:rPr>
                <w:del w:id="8167" w:author="AbbVie_HU_03" w:date="2025-05-14T15:27:00Z"/>
                <w:szCs w:val="22"/>
                <w:lang w:val="hu-HU"/>
              </w:rPr>
            </w:pPr>
            <w:del w:id="8168" w:author="AbbVie_HU_03" w:date="2025-05-14T15:27:00Z">
              <w:r w:rsidRPr="00183B5F">
                <w:rPr>
                  <w:szCs w:val="22"/>
                  <w:lang w:val="hu-HU"/>
                </w:rPr>
                <w:delText>Megjegyzés: P = Placebo (Veszélyeztetett betegek száma); H = HUMIRA (Veszélyeztetett betegek száma).</w:delText>
              </w:r>
            </w:del>
          </w:p>
        </w:tc>
      </w:tr>
    </w:tbl>
    <w:p w14:paraId="3C6BBB7C" w14:textId="0E55A198" w:rsidR="00862E81" w:rsidRPr="00183B5F" w:rsidRDefault="00862E81" w:rsidP="004062FE">
      <w:pPr>
        <w:spacing w:line="240" w:lineRule="auto"/>
        <w:rPr>
          <w:del w:id="8169" w:author="AbbVie_HU_03" w:date="2025-05-14T15:27:00Z"/>
          <w:szCs w:val="22"/>
        </w:rPr>
      </w:pPr>
    </w:p>
    <w:p w14:paraId="0C0451AD" w14:textId="52030790" w:rsidR="00FB6710" w:rsidRPr="00183B5F" w:rsidRDefault="00943743" w:rsidP="004062FE">
      <w:pPr>
        <w:keepNext/>
        <w:spacing w:line="240" w:lineRule="auto"/>
        <w:rPr>
          <w:del w:id="8170" w:author="AbbVie_HU_03" w:date="2025-05-14T15:27:00Z"/>
          <w:szCs w:val="22"/>
        </w:rPr>
      </w:pPr>
      <w:del w:id="8171" w:author="AbbVie_HU_03" w:date="2025-05-14T15:27:00Z">
        <w:r w:rsidRPr="00183B5F">
          <w:rPr>
            <w:b/>
            <w:szCs w:val="22"/>
          </w:rPr>
          <w:delText>5.2</w:delText>
        </w:r>
        <w:r w:rsidRPr="00183B5F">
          <w:rPr>
            <w:b/>
            <w:szCs w:val="22"/>
          </w:rPr>
          <w:tab/>
          <w:delText>Farmakokinetikai tulajdonságok</w:delText>
        </w:r>
      </w:del>
    </w:p>
    <w:p w14:paraId="1CBE1438" w14:textId="5945F1A8" w:rsidR="00FB6710" w:rsidRPr="00183B5F" w:rsidRDefault="00FB6710" w:rsidP="004062FE">
      <w:pPr>
        <w:keepNext/>
        <w:spacing w:line="240" w:lineRule="auto"/>
        <w:rPr>
          <w:del w:id="8172" w:author="AbbVie_HU_03" w:date="2025-05-14T15:27:00Z"/>
          <w:szCs w:val="22"/>
        </w:rPr>
      </w:pPr>
    </w:p>
    <w:p w14:paraId="431A6EED" w14:textId="2A4E9A6E" w:rsidR="00D20685" w:rsidRPr="00183B5F" w:rsidRDefault="00943743" w:rsidP="004062FE">
      <w:pPr>
        <w:keepNext/>
        <w:numPr>
          <w:ilvl w:val="12"/>
          <w:numId w:val="0"/>
        </w:numPr>
        <w:suppressLineNumbers/>
        <w:spacing w:line="240" w:lineRule="auto"/>
        <w:ind w:right="-2"/>
        <w:rPr>
          <w:del w:id="8173" w:author="AbbVie_HU_03" w:date="2025-05-14T15:27:00Z"/>
          <w:szCs w:val="22"/>
        </w:rPr>
      </w:pPr>
      <w:del w:id="8174" w:author="AbbVie_HU_03" w:date="2025-05-14T15:27:00Z">
        <w:r w:rsidRPr="00183B5F">
          <w:rPr>
            <w:noProof/>
            <w:szCs w:val="24"/>
            <w:u w:val="single"/>
          </w:rPr>
          <w:delText>Felszívódás és eloszlás</w:delText>
        </w:r>
      </w:del>
    </w:p>
    <w:p w14:paraId="681E57FB" w14:textId="24873D2A" w:rsidR="00D20685" w:rsidRPr="00183B5F" w:rsidRDefault="00D20685" w:rsidP="004062FE">
      <w:pPr>
        <w:keepNext/>
        <w:spacing w:line="240" w:lineRule="auto"/>
        <w:rPr>
          <w:del w:id="8175" w:author="AbbVie_HU_03" w:date="2025-05-14T15:27:00Z"/>
          <w:szCs w:val="22"/>
        </w:rPr>
      </w:pPr>
    </w:p>
    <w:p w14:paraId="6F2228E0" w14:textId="350BA05E" w:rsidR="00FB6710" w:rsidRPr="00183B5F" w:rsidRDefault="00943743" w:rsidP="004062FE">
      <w:pPr>
        <w:keepNext/>
        <w:spacing w:line="240" w:lineRule="auto"/>
        <w:rPr>
          <w:del w:id="8176" w:author="AbbVie_HU_03" w:date="2025-05-14T15:27:00Z"/>
          <w:szCs w:val="22"/>
        </w:rPr>
      </w:pPr>
      <w:del w:id="8177" w:author="AbbVie_HU_03" w:date="2025-05-14T15:27:00Z">
        <w:r w:rsidRPr="00183B5F">
          <w:rPr>
            <w:szCs w:val="22"/>
          </w:rPr>
          <w:delText xml:space="preserve">40 mg </w:delText>
        </w:r>
        <w:r w:rsidR="001F6248" w:rsidRPr="00183B5F">
          <w:rPr>
            <w:szCs w:val="22"/>
          </w:rPr>
          <w:delText>adag e</w:delText>
        </w:r>
        <w:r w:rsidRPr="00183B5F">
          <w:rPr>
            <w:szCs w:val="22"/>
          </w:rPr>
          <w:delText>gyszeri subcutan beadását követően a</w:delText>
        </w:r>
        <w:r w:rsidR="001F6248" w:rsidRPr="00183B5F">
          <w:rPr>
            <w:szCs w:val="22"/>
          </w:rPr>
          <w:delText>z adalimumab</w:delText>
        </w:r>
        <w:r w:rsidRPr="00183B5F">
          <w:rPr>
            <w:szCs w:val="22"/>
          </w:rPr>
          <w:delText xml:space="preserve"> felszívódása és eloszlása lassú volt, a szérumban a csúcskoncentrációt csak a beadást követő 5. napon érte el. A</w:delText>
        </w:r>
        <w:r w:rsidR="001F6248" w:rsidRPr="00183B5F">
          <w:rPr>
            <w:szCs w:val="22"/>
          </w:rPr>
          <w:delText>z adalimumab</w:delText>
        </w:r>
        <w:r w:rsidRPr="00183B5F">
          <w:rPr>
            <w:szCs w:val="22"/>
          </w:rPr>
          <w:delText xml:space="preserve"> átlagos abszolút biohasznosulása, 40 mg adalimumab subcutan beadását követően, három vizsgálat eredményei alapján 64% volt. 0,25 mg</w:delText>
        </w:r>
        <w:r w:rsidR="00127A0B" w:rsidRPr="00183B5F">
          <w:rPr>
            <w:szCs w:val="22"/>
          </w:rPr>
          <w:delText>/ttkg</w:delText>
        </w:r>
        <w:r w:rsidRPr="00183B5F">
          <w:rPr>
            <w:szCs w:val="22"/>
          </w:rPr>
          <w:noBreakHyphen/>
          <w:delText>tól 10 mg</w:delText>
        </w:r>
        <w:r w:rsidR="00127A0B" w:rsidRPr="00183B5F">
          <w:rPr>
            <w:szCs w:val="22"/>
          </w:rPr>
          <w:delText>/ttkg</w:delText>
        </w:r>
        <w:r w:rsidRPr="00183B5F">
          <w:rPr>
            <w:szCs w:val="22"/>
          </w:rPr>
          <w:noBreakHyphen/>
          <w:delText xml:space="preserve">ig terjedő </w:delText>
        </w:r>
        <w:r w:rsidR="001F6248" w:rsidRPr="00183B5F">
          <w:rPr>
            <w:szCs w:val="22"/>
          </w:rPr>
          <w:delText>adag</w:delText>
        </w:r>
        <w:r w:rsidRPr="00183B5F">
          <w:rPr>
            <w:szCs w:val="22"/>
          </w:rPr>
          <w:delText xml:space="preserve"> egyszeri intravénás beadását követően a szérumkoncentráció a</w:delText>
        </w:r>
        <w:r w:rsidR="001F6248" w:rsidRPr="00183B5F">
          <w:rPr>
            <w:szCs w:val="22"/>
          </w:rPr>
          <w:delText>z adaggal</w:delText>
        </w:r>
        <w:r w:rsidRPr="00183B5F">
          <w:rPr>
            <w:szCs w:val="22"/>
          </w:rPr>
          <w:delText xml:space="preserve"> részarányos volt. 0,5 mg</w:delText>
        </w:r>
        <w:r w:rsidR="00127A0B" w:rsidRPr="00183B5F">
          <w:rPr>
            <w:szCs w:val="22"/>
          </w:rPr>
          <w:delText>/ttkg</w:delText>
        </w:r>
        <w:r w:rsidRPr="00183B5F">
          <w:rPr>
            <w:szCs w:val="22"/>
          </w:rPr>
          <w:noBreakHyphen/>
          <w:delText xml:space="preserve">os </w:delText>
        </w:r>
        <w:r w:rsidR="00DA0DD2" w:rsidRPr="00183B5F">
          <w:rPr>
            <w:szCs w:val="22"/>
          </w:rPr>
          <w:delText>adag</w:delText>
        </w:r>
        <w:r w:rsidRPr="00183B5F">
          <w:rPr>
            <w:szCs w:val="22"/>
          </w:rPr>
          <w:delText xml:space="preserve"> (~40 mg) beadását követően, a clearence 11 és 15 ml/óra között, az eloszlási térfogat (V</w:delText>
        </w:r>
        <w:r w:rsidRPr="00183B5F">
          <w:rPr>
            <w:szCs w:val="22"/>
            <w:vertAlign w:val="subscript"/>
          </w:rPr>
          <w:delText>ss</w:delText>
        </w:r>
        <w:r w:rsidRPr="00183B5F">
          <w:rPr>
            <w:szCs w:val="22"/>
          </w:rPr>
          <w:delText>) 5</w:delText>
        </w:r>
        <w:r w:rsidRPr="00183B5F">
          <w:rPr>
            <w:szCs w:val="22"/>
          </w:rPr>
          <w:noBreakHyphen/>
          <w:delText>6 liter között v</w:delText>
        </w:r>
        <w:r w:rsidRPr="00183B5F">
          <w:rPr>
            <w:szCs w:val="22"/>
          </w:rPr>
          <w:delText xml:space="preserve">áltozott, </w:delText>
        </w:r>
        <w:r w:rsidR="00DA0DD2" w:rsidRPr="00183B5F">
          <w:rPr>
            <w:szCs w:val="22"/>
          </w:rPr>
          <w:delText>és</w:delText>
        </w:r>
        <w:r w:rsidRPr="00183B5F">
          <w:rPr>
            <w:szCs w:val="22"/>
          </w:rPr>
          <w:delText xml:space="preserve"> az átlagos </w:delText>
        </w:r>
        <w:r w:rsidR="00EA2737" w:rsidRPr="00183B5F">
          <w:rPr>
            <w:szCs w:val="22"/>
          </w:rPr>
          <w:delText>terminális felezési idő</w:delText>
        </w:r>
        <w:r w:rsidRPr="00183B5F">
          <w:rPr>
            <w:szCs w:val="22"/>
          </w:rPr>
          <w:delText xml:space="preserve"> megközelítőleg két hét volt. Az adalimumab synovialis folyadékban mérhető koncentrációja néhány rheumatoid arthritis</w:delText>
        </w:r>
        <w:r w:rsidR="00DA0DD2" w:rsidRPr="00183B5F">
          <w:rPr>
            <w:szCs w:val="22"/>
          </w:rPr>
          <w:delText>es</w:delText>
        </w:r>
        <w:r w:rsidRPr="00183B5F">
          <w:rPr>
            <w:szCs w:val="22"/>
          </w:rPr>
          <w:delText xml:space="preserve"> beteg vizsgálata alapján, a szérumkoncentráció 31</w:delText>
        </w:r>
        <w:r w:rsidRPr="00183B5F">
          <w:rPr>
            <w:szCs w:val="22"/>
          </w:rPr>
          <w:noBreakHyphen/>
          <w:delText>96%</w:delText>
        </w:r>
        <w:r w:rsidRPr="00183B5F">
          <w:rPr>
            <w:szCs w:val="22"/>
          </w:rPr>
          <w:noBreakHyphen/>
          <w:delText>a volt.</w:delText>
        </w:r>
      </w:del>
    </w:p>
    <w:p w14:paraId="0C86FA69" w14:textId="1A13FDB5" w:rsidR="0076277D" w:rsidRPr="00183B5F" w:rsidRDefault="0076277D" w:rsidP="004062FE">
      <w:pPr>
        <w:spacing w:line="240" w:lineRule="auto"/>
        <w:rPr>
          <w:del w:id="8178" w:author="AbbVie_HU_03" w:date="2025-05-14T15:27:00Z"/>
          <w:szCs w:val="22"/>
        </w:rPr>
      </w:pPr>
    </w:p>
    <w:p w14:paraId="31414A50" w14:textId="020EC53C" w:rsidR="0060287F" w:rsidRPr="00183B5F" w:rsidRDefault="00943743" w:rsidP="004062FE">
      <w:pPr>
        <w:spacing w:line="240" w:lineRule="auto"/>
        <w:rPr>
          <w:del w:id="8179" w:author="AbbVie_HU_03" w:date="2025-05-14T15:27:00Z"/>
          <w:szCs w:val="22"/>
        </w:rPr>
      </w:pPr>
      <w:del w:id="8180" w:author="AbbVie_HU_03" w:date="2025-05-14T15:27:00Z">
        <w:r w:rsidRPr="00183B5F">
          <w:rPr>
            <w:szCs w:val="22"/>
          </w:rPr>
          <w:delText>Felnőtt rheumatoid arthritises (RA)</w:delText>
        </w:r>
        <w:r w:rsidR="00D82D5C" w:rsidRPr="00183B5F">
          <w:rPr>
            <w:szCs w:val="22"/>
          </w:rPr>
          <w:delText>, met</w:delText>
        </w:r>
        <w:r w:rsidR="00DA0DD2" w:rsidRPr="00183B5F">
          <w:rPr>
            <w:szCs w:val="22"/>
          </w:rPr>
          <w:delText>otrexáttal nem kezelt</w:delText>
        </w:r>
        <w:r w:rsidRPr="00183B5F">
          <w:rPr>
            <w:szCs w:val="22"/>
          </w:rPr>
          <w:delText xml:space="preserve"> betegeknek minden második héten subcutan beadott 40 mg </w:delText>
        </w:r>
        <w:r w:rsidR="009F08BF" w:rsidRPr="00183B5F">
          <w:rPr>
            <w:szCs w:val="22"/>
          </w:rPr>
          <w:delText xml:space="preserve">adalimumab </w:delText>
        </w:r>
        <w:r w:rsidRPr="00183B5F">
          <w:rPr>
            <w:szCs w:val="22"/>
          </w:rPr>
          <w:delText xml:space="preserve">után az átlagos </w:delText>
        </w:r>
        <w:r w:rsidR="009F08BF" w:rsidRPr="00183B5F">
          <w:rPr>
            <w:szCs w:val="22"/>
          </w:rPr>
          <w:delText xml:space="preserve">legalacsonyabb </w:delText>
        </w:r>
        <w:r w:rsidR="00FE5A94" w:rsidRPr="00183B5F">
          <w:rPr>
            <w:szCs w:val="22"/>
          </w:rPr>
          <w:delText>dinamikus egyensúlyi állapotban mért</w:delText>
        </w:r>
        <w:r w:rsidRPr="00183B5F">
          <w:rPr>
            <w:szCs w:val="22"/>
          </w:rPr>
          <w:delText xml:space="preserve"> koncentráció megközelítőleg 5 </w:delText>
        </w:r>
        <w:r w:rsidR="00CB73C8" w:rsidRPr="00183B5F">
          <w:rPr>
            <w:szCs w:val="22"/>
          </w:rPr>
          <w:delText>mikrogramm</w:delText>
        </w:r>
        <w:r w:rsidRPr="00183B5F">
          <w:rPr>
            <w:szCs w:val="22"/>
          </w:rPr>
          <w:delText>/ml volt</w:delText>
        </w:r>
        <w:r w:rsidR="00DA0DD2" w:rsidRPr="00183B5F">
          <w:rPr>
            <w:szCs w:val="22"/>
          </w:rPr>
          <w:delText>,</w:delText>
        </w:r>
        <w:r w:rsidRPr="00183B5F">
          <w:rPr>
            <w:szCs w:val="22"/>
          </w:rPr>
          <w:delText xml:space="preserve"> míg metotrexáttal együtt alkalmazva ez az érték 8</w:delText>
        </w:r>
        <w:r w:rsidRPr="00183B5F">
          <w:rPr>
            <w:szCs w:val="22"/>
          </w:rPr>
          <w:noBreakHyphen/>
          <w:delText>9 </w:delText>
        </w:r>
        <w:r w:rsidR="00CB73C8" w:rsidRPr="00183B5F">
          <w:rPr>
            <w:szCs w:val="22"/>
          </w:rPr>
          <w:delText>mikrogramm</w:delText>
        </w:r>
        <w:r w:rsidRPr="00183B5F">
          <w:rPr>
            <w:szCs w:val="22"/>
          </w:rPr>
          <w:delText xml:space="preserve">/ml volt. A adalimumab </w:delText>
        </w:r>
        <w:r w:rsidR="00FE5A94" w:rsidRPr="00183B5F">
          <w:rPr>
            <w:szCs w:val="22"/>
          </w:rPr>
          <w:delText>dinamikus egyensúlyi állapotban mért</w:delText>
        </w:r>
        <w:r w:rsidRPr="00183B5F">
          <w:rPr>
            <w:szCs w:val="22"/>
          </w:rPr>
          <w:delText xml:space="preserve"> </w:delText>
        </w:r>
        <w:r w:rsidR="00EA2737" w:rsidRPr="00183B5F">
          <w:rPr>
            <w:szCs w:val="22"/>
          </w:rPr>
          <w:delText xml:space="preserve">minimális </w:delText>
        </w:r>
        <w:r w:rsidRPr="00183B5F">
          <w:rPr>
            <w:szCs w:val="22"/>
          </w:rPr>
          <w:delText>szérumkoncentrációja csaknem részarányosan nőtt kéthetenként</w:delText>
        </w:r>
        <w:r w:rsidR="00DA0DD2" w:rsidRPr="00183B5F">
          <w:rPr>
            <w:szCs w:val="22"/>
          </w:rPr>
          <w:delText>,</w:delText>
        </w:r>
        <w:r w:rsidRPr="00183B5F">
          <w:rPr>
            <w:szCs w:val="22"/>
          </w:rPr>
          <w:delText xml:space="preserve"> illetve hetenként </w:delText>
        </w:r>
        <w:r w:rsidR="00891E18" w:rsidRPr="00183B5F">
          <w:rPr>
            <w:szCs w:val="22"/>
          </w:rPr>
          <w:delText>subcutan</w:delText>
        </w:r>
        <w:r w:rsidRPr="00183B5F">
          <w:rPr>
            <w:szCs w:val="22"/>
          </w:rPr>
          <w:delText xml:space="preserve"> adott 20, 40 illetve 80 mg</w:delText>
        </w:r>
        <w:r w:rsidR="00DA0DD2" w:rsidRPr="00183B5F">
          <w:rPr>
            <w:szCs w:val="22"/>
          </w:rPr>
          <w:delText xml:space="preserve"> dózis adagolásával.</w:delText>
        </w:r>
      </w:del>
    </w:p>
    <w:p w14:paraId="30CCB36F" w14:textId="0BB14220" w:rsidR="0060287F" w:rsidRPr="00183B5F" w:rsidRDefault="0060287F" w:rsidP="004062FE">
      <w:pPr>
        <w:spacing w:line="240" w:lineRule="auto"/>
        <w:rPr>
          <w:del w:id="8181" w:author="AbbVie_HU_03" w:date="2025-05-14T15:27:00Z"/>
          <w:szCs w:val="22"/>
        </w:rPr>
      </w:pPr>
    </w:p>
    <w:p w14:paraId="380C7108" w14:textId="4C3A2769" w:rsidR="00D4102C" w:rsidRPr="00183B5F" w:rsidRDefault="00943743" w:rsidP="004062FE">
      <w:pPr>
        <w:spacing w:line="240" w:lineRule="auto"/>
        <w:rPr>
          <w:del w:id="8182" w:author="AbbVie_HU_03" w:date="2025-05-14T15:27:00Z"/>
          <w:szCs w:val="22"/>
        </w:rPr>
      </w:pPr>
      <w:del w:id="8183" w:author="AbbVie_HU_03" w:date="2025-05-14T15:27:00Z">
        <w:r w:rsidRPr="00183B5F">
          <w:rPr>
            <w:szCs w:val="22"/>
          </w:rPr>
          <w:delText>A kéthetente 24 mg/m</w:delText>
        </w:r>
        <w:r w:rsidRPr="00183B5F">
          <w:rPr>
            <w:szCs w:val="22"/>
            <w:vertAlign w:val="superscript"/>
          </w:rPr>
          <w:delText>2</w:delText>
        </w:r>
        <w:r w:rsidRPr="00183B5F">
          <w:rPr>
            <w:szCs w:val="22"/>
          </w:rPr>
          <w:delText xml:space="preserve"> (legfeljebb 40 mg) dózis subcutan alkalmazását követően a polyarticularis juvenilis idiopathiás arthritises (JIA) betegeknél</w:delText>
        </w:r>
        <w:r w:rsidR="00D20685" w:rsidRPr="00183B5F">
          <w:rPr>
            <w:szCs w:val="22"/>
          </w:rPr>
          <w:delText>, akiknek életkora 4 – 17 év volt,</w:delText>
        </w:r>
        <w:r w:rsidRPr="00183B5F">
          <w:rPr>
            <w:szCs w:val="22"/>
          </w:rPr>
          <w:delText xml:space="preserve"> az átlagos legalacsonyabb dinamikus egyensúlyi állapotú (a 20.</w:delText>
        </w:r>
        <w:r w:rsidRPr="00183B5F">
          <w:rPr>
            <w:szCs w:val="22"/>
          </w:rPr>
          <w:noBreakHyphen/>
          <w:delText>tól a 48.</w:delText>
        </w:r>
        <w:r w:rsidR="00A44DB6" w:rsidRPr="00183B5F">
          <w:rPr>
            <w:szCs w:val="22"/>
          </w:rPr>
          <w:delText> hét</w:delText>
        </w:r>
        <w:r w:rsidRPr="00183B5F">
          <w:rPr>
            <w:szCs w:val="22"/>
          </w:rPr>
          <w:delText>ig mért értékek) szérum</w:delText>
        </w:r>
        <w:r w:rsidR="00A033CB" w:rsidRPr="00183B5F">
          <w:rPr>
            <w:szCs w:val="22"/>
          </w:rPr>
          <w:delText>-</w:delText>
        </w:r>
        <w:r w:rsidRPr="00183B5F">
          <w:rPr>
            <w:szCs w:val="22"/>
          </w:rPr>
          <w:delText>adalimumab</w:delText>
        </w:r>
        <w:r w:rsidR="00A033CB" w:rsidRPr="00183B5F">
          <w:rPr>
            <w:szCs w:val="22"/>
          </w:rPr>
          <w:delText>-</w:delText>
        </w:r>
        <w:r w:rsidRPr="00183B5F">
          <w:rPr>
            <w:szCs w:val="22"/>
          </w:rPr>
          <w:delText>koncentráció értéke 5,6 ± 5,6 </w:delText>
        </w:r>
        <w:r w:rsidR="00A033CB" w:rsidRPr="00183B5F">
          <w:rPr>
            <w:szCs w:val="22"/>
          </w:rPr>
          <w:delText>mikrogramm</w:delText>
        </w:r>
        <w:r w:rsidRPr="00183B5F">
          <w:rPr>
            <w:szCs w:val="22"/>
          </w:rPr>
          <w:delText>/ml (102% CV) volt</w:delText>
        </w:r>
        <w:r w:rsidR="00474A11" w:rsidRPr="00183B5F">
          <w:rPr>
            <w:szCs w:val="22"/>
          </w:rPr>
          <w:delText>,</w:delText>
        </w:r>
        <w:r w:rsidRPr="00183B5F">
          <w:rPr>
            <w:szCs w:val="22"/>
          </w:rPr>
          <w:delText xml:space="preserve"> </w:delText>
        </w:r>
        <w:r w:rsidR="009F08BF" w:rsidRPr="00183B5F">
          <w:rPr>
            <w:szCs w:val="22"/>
          </w:rPr>
          <w:delText>ha az adalimumabot együttadott metotrexát nélkül alkalmazták</w:delText>
        </w:r>
        <w:r w:rsidRPr="00183B5F">
          <w:rPr>
            <w:szCs w:val="22"/>
          </w:rPr>
          <w:delText>, míg 10,9 ± 5,2 </w:delText>
        </w:r>
        <w:r w:rsidR="00A033CB" w:rsidRPr="00183B5F">
          <w:rPr>
            <w:szCs w:val="22"/>
          </w:rPr>
          <w:delText>mikrogramm</w:delText>
        </w:r>
        <w:r w:rsidRPr="00183B5F">
          <w:rPr>
            <w:szCs w:val="22"/>
          </w:rPr>
          <w:delText>/ml (47,7% CV) a kiegészítő metotrexát</w:delText>
        </w:r>
        <w:r w:rsidRPr="00183B5F">
          <w:rPr>
            <w:szCs w:val="22"/>
          </w:rPr>
          <w:noBreakHyphen/>
          <w:delText>kezelés esetén.</w:delText>
        </w:r>
      </w:del>
    </w:p>
    <w:p w14:paraId="5059133A" w14:textId="6E06C0AE" w:rsidR="00C0358A" w:rsidRPr="00183B5F" w:rsidRDefault="00C0358A" w:rsidP="004062FE">
      <w:pPr>
        <w:spacing w:line="240" w:lineRule="auto"/>
        <w:rPr>
          <w:del w:id="8184" w:author="AbbVie_HU_03" w:date="2025-05-14T15:27:00Z"/>
          <w:szCs w:val="22"/>
        </w:rPr>
      </w:pPr>
    </w:p>
    <w:p w14:paraId="04437150" w14:textId="1DB40540" w:rsidR="00D20685" w:rsidRPr="00183B5F" w:rsidRDefault="00943743" w:rsidP="004062FE">
      <w:pPr>
        <w:spacing w:line="240" w:lineRule="auto"/>
        <w:rPr>
          <w:del w:id="8185" w:author="AbbVie_HU_03" w:date="2025-05-14T15:27:00Z"/>
          <w:szCs w:val="22"/>
        </w:rPr>
      </w:pPr>
      <w:del w:id="8186" w:author="AbbVie_HU_03" w:date="2025-05-14T15:27:00Z">
        <w:r w:rsidRPr="00183B5F">
          <w:rPr>
            <w:szCs w:val="22"/>
          </w:rPr>
          <w:delText>Azoknál a polyarticularis JIA</w:delText>
        </w:r>
        <w:r w:rsidRPr="00183B5F">
          <w:rPr>
            <w:szCs w:val="22"/>
          </w:rPr>
          <w:noBreakHyphen/>
          <w:delText>ban szenvedő betegeknél, akiknek életkora 2 </w:delText>
        </w:r>
        <w:r w:rsidRPr="00183B5F">
          <w:rPr>
            <w:szCs w:val="22"/>
          </w:rPr>
          <w:noBreakHyphen/>
          <w:delText> &lt;4 vagy 4 év és a</w:delText>
        </w:r>
        <w:r w:rsidR="002C1F5C" w:rsidRPr="00183B5F">
          <w:rPr>
            <w:szCs w:val="22"/>
          </w:rPr>
          <w:delText xml:space="preserve"> </w:delText>
        </w:r>
        <w:r w:rsidRPr="00183B5F">
          <w:rPr>
            <w:szCs w:val="22"/>
          </w:rPr>
          <w:delText>feletti, testtömege &lt;15 kg volt és 24 mg/m</w:delText>
        </w:r>
        <w:r w:rsidRPr="00183B5F">
          <w:rPr>
            <w:szCs w:val="22"/>
            <w:vertAlign w:val="superscript"/>
          </w:rPr>
          <w:delText>2</w:delText>
        </w:r>
        <w:r w:rsidRPr="00183B5F">
          <w:rPr>
            <w:szCs w:val="22"/>
          </w:rPr>
          <w:delText xml:space="preserve"> dózisú adalimumabot kaptak, a legalacsonyabb átlagos </w:delText>
        </w:r>
        <w:r w:rsidR="00FE5A94" w:rsidRPr="00183B5F">
          <w:rPr>
            <w:szCs w:val="22"/>
          </w:rPr>
          <w:delText>dinamikus egyensúlyi állapotban mért</w:delText>
        </w:r>
        <w:r w:rsidRPr="00183B5F">
          <w:rPr>
            <w:szCs w:val="22"/>
          </w:rPr>
          <w:delText xml:space="preserve"> adalimumab</w:delText>
        </w:r>
        <w:r w:rsidR="00A033CB" w:rsidRPr="00183B5F">
          <w:rPr>
            <w:szCs w:val="22"/>
          </w:rPr>
          <w:delText>-</w:delText>
        </w:r>
        <w:r w:rsidRPr="00183B5F">
          <w:rPr>
            <w:szCs w:val="22"/>
          </w:rPr>
          <w:delText>koncentráció 6,0 ± 6,1 </w:delText>
        </w:r>
        <w:r w:rsidR="00A033CB" w:rsidRPr="00183B5F">
          <w:rPr>
            <w:szCs w:val="22"/>
          </w:rPr>
          <w:delText>mikrogramm</w:delText>
        </w:r>
        <w:r w:rsidRPr="00183B5F">
          <w:rPr>
            <w:szCs w:val="22"/>
          </w:rPr>
          <w:delText>/ml (101% CV) volt</w:delText>
        </w:r>
        <w:r w:rsidR="00474A11" w:rsidRPr="00183B5F">
          <w:rPr>
            <w:szCs w:val="22"/>
          </w:rPr>
          <w:delText>,</w:delText>
        </w:r>
        <w:r w:rsidRPr="00183B5F">
          <w:rPr>
            <w:szCs w:val="22"/>
          </w:rPr>
          <w:delText xml:space="preserve"> ha az adalimumabot együttadott metotrexát nélkül alkalmazták és 7,9 ± 5,6 </w:delText>
        </w:r>
        <w:r w:rsidR="00A033CB" w:rsidRPr="00183B5F">
          <w:rPr>
            <w:szCs w:val="22"/>
          </w:rPr>
          <w:delText>mikrogramm</w:delText>
        </w:r>
        <w:r w:rsidRPr="00183B5F">
          <w:rPr>
            <w:szCs w:val="22"/>
          </w:rPr>
          <w:delText>/ml (71,2% CV) volt metotrexáttal kombinált terápia esetén</w:delText>
        </w:r>
        <w:r w:rsidR="003E51F4" w:rsidRPr="00183B5F">
          <w:rPr>
            <w:szCs w:val="22"/>
          </w:rPr>
          <w:delText>.</w:delText>
        </w:r>
      </w:del>
    </w:p>
    <w:p w14:paraId="2A5ECA5A" w14:textId="1E3A38BA" w:rsidR="00D20685" w:rsidRPr="00183B5F" w:rsidRDefault="00D20685" w:rsidP="004062FE">
      <w:pPr>
        <w:spacing w:line="240" w:lineRule="auto"/>
        <w:rPr>
          <w:del w:id="8187" w:author="AbbVie_HU_03" w:date="2025-05-14T15:27:00Z"/>
          <w:szCs w:val="22"/>
        </w:rPr>
      </w:pPr>
    </w:p>
    <w:p w14:paraId="1185B2B1" w14:textId="0F04BB7D" w:rsidR="009F08BF" w:rsidRPr="00183B5F" w:rsidRDefault="00943743" w:rsidP="004062FE">
      <w:pPr>
        <w:spacing w:line="240" w:lineRule="auto"/>
        <w:rPr>
          <w:del w:id="8188" w:author="AbbVie_HU_03" w:date="2025-05-14T15:27:00Z"/>
          <w:szCs w:val="22"/>
        </w:rPr>
      </w:pPr>
      <w:del w:id="8189" w:author="AbbVie_HU_03" w:date="2025-05-14T15:27:00Z">
        <w:r w:rsidRPr="00183B5F">
          <w:rPr>
            <w:szCs w:val="22"/>
          </w:rPr>
          <w:delText>Azoknál a 6</w:delText>
        </w:r>
        <w:r w:rsidRPr="00183B5F">
          <w:rPr>
            <w:szCs w:val="22"/>
          </w:rPr>
          <w:noBreakHyphen/>
        </w:r>
        <w:r w:rsidRPr="00183B5F">
          <w:rPr>
            <w:szCs w:val="22"/>
          </w:rPr>
          <w:delText xml:space="preserve">17 éves, </w:delText>
        </w:r>
        <w:r w:rsidR="00677908" w:rsidRPr="00183B5F">
          <w:rPr>
            <w:szCs w:val="22"/>
          </w:rPr>
          <w:delText>enthesitis-asszociált</w:delText>
        </w:r>
        <w:r w:rsidRPr="00183B5F">
          <w:rPr>
            <w:szCs w:val="22"/>
          </w:rPr>
          <w:delText xml:space="preserve"> arthritisben szenvedő betegeknél, akik 24 mg/m</w:delText>
        </w:r>
        <w:r w:rsidRPr="00183B5F">
          <w:rPr>
            <w:szCs w:val="22"/>
            <w:vertAlign w:val="superscript"/>
          </w:rPr>
          <w:delText>2</w:delText>
        </w:r>
        <w:r w:rsidRPr="00183B5F">
          <w:rPr>
            <w:szCs w:val="22"/>
          </w:rPr>
          <w:delText xml:space="preserve"> (maximum 40 mg) dózisú adalimumabot kaptak subcutan minden második héten, a legalacsonyabb átlagos </w:delText>
        </w:r>
        <w:r w:rsidR="00FE5A94" w:rsidRPr="00183B5F">
          <w:rPr>
            <w:szCs w:val="22"/>
          </w:rPr>
          <w:delText>dinamikus egyensúlyi állapotban mért</w:delText>
        </w:r>
        <w:r w:rsidRPr="00183B5F">
          <w:rPr>
            <w:szCs w:val="22"/>
          </w:rPr>
          <w:delText xml:space="preserve"> adalimumab</w:delText>
        </w:r>
        <w:r w:rsidR="00A033CB" w:rsidRPr="00183B5F">
          <w:rPr>
            <w:szCs w:val="22"/>
          </w:rPr>
          <w:delText>-</w:delText>
        </w:r>
        <w:r w:rsidRPr="00183B5F">
          <w:rPr>
            <w:szCs w:val="22"/>
          </w:rPr>
          <w:delText>koncentráció (a 24. héten mérve) 8,8 ± 6,6 </w:delText>
        </w:r>
        <w:r w:rsidR="00A033CB" w:rsidRPr="00183B5F">
          <w:rPr>
            <w:szCs w:val="22"/>
          </w:rPr>
          <w:delText>mikrogramm</w:delText>
        </w:r>
        <w:r w:rsidRPr="00183B5F">
          <w:rPr>
            <w:szCs w:val="22"/>
          </w:rPr>
          <w:delText>/ml volt</w:delText>
        </w:r>
        <w:r w:rsidR="00474A11" w:rsidRPr="00183B5F">
          <w:rPr>
            <w:szCs w:val="22"/>
          </w:rPr>
          <w:delText>,</w:delText>
        </w:r>
        <w:r w:rsidRPr="00183B5F">
          <w:rPr>
            <w:szCs w:val="22"/>
          </w:rPr>
          <w:delText xml:space="preserve"> ha az adalimumabot együttadott metotrexát nélkül alkalmazták és 11,8 ± 4,3 </w:delText>
        </w:r>
        <w:r w:rsidR="00A033CB" w:rsidRPr="00183B5F">
          <w:rPr>
            <w:szCs w:val="22"/>
          </w:rPr>
          <w:delText>mikrogramm</w:delText>
        </w:r>
        <w:r w:rsidRPr="00183B5F">
          <w:rPr>
            <w:szCs w:val="22"/>
          </w:rPr>
          <w:delText>/ml volt metotrexáttal kombinált terápia esetén.</w:delText>
        </w:r>
      </w:del>
    </w:p>
    <w:p w14:paraId="5124FB87" w14:textId="4399551F" w:rsidR="00C0358A" w:rsidRPr="00183B5F" w:rsidRDefault="00C0358A" w:rsidP="00C0358A">
      <w:pPr>
        <w:spacing w:line="240" w:lineRule="auto"/>
        <w:rPr>
          <w:del w:id="8190" w:author="AbbVie_HU_03" w:date="2025-05-14T15:27:00Z"/>
          <w:szCs w:val="22"/>
        </w:rPr>
      </w:pPr>
    </w:p>
    <w:p w14:paraId="12D251F9" w14:textId="7AE4F62D" w:rsidR="00C0358A" w:rsidRPr="00183B5F" w:rsidRDefault="00943743" w:rsidP="00C0358A">
      <w:pPr>
        <w:spacing w:line="240" w:lineRule="auto"/>
        <w:rPr>
          <w:del w:id="8191" w:author="AbbVie_HU_03" w:date="2025-05-14T15:27:00Z"/>
          <w:szCs w:val="22"/>
        </w:rPr>
      </w:pPr>
      <w:del w:id="8192" w:author="AbbVie_HU_03" w:date="2025-05-14T15:27:00Z">
        <w:r w:rsidRPr="00183B5F">
          <w:rPr>
            <w:szCs w:val="22"/>
          </w:rPr>
          <w:delText>A kéthetente 40 mg adalimumab subcutan alkalmazását követően</w:delText>
        </w:r>
        <w:r w:rsidR="00D92B20" w:rsidRPr="00183B5F">
          <w:rPr>
            <w:szCs w:val="22"/>
          </w:rPr>
          <w:delText xml:space="preserve"> a</w:delText>
        </w:r>
        <w:r w:rsidRPr="00183B5F">
          <w:rPr>
            <w:szCs w:val="22"/>
          </w:rPr>
          <w:delText xml:space="preserve"> </w:delText>
        </w:r>
        <w:r w:rsidRPr="00183B5F">
          <w:rPr>
            <w:rFonts w:eastAsia="SimSun"/>
            <w:szCs w:val="22"/>
            <w:lang w:eastAsia="zh-CN"/>
          </w:rPr>
          <w:delText>röntgeneltéréssel nem járó</w:delText>
        </w:r>
        <w:r w:rsidRPr="00183B5F">
          <w:rPr>
            <w:szCs w:val="22"/>
          </w:rPr>
          <w:delText xml:space="preserve"> axiális spondyloarthritisben szenvedő </w:delText>
        </w:r>
        <w:r w:rsidR="00D92B20" w:rsidRPr="00183B5F">
          <w:rPr>
            <w:szCs w:val="22"/>
          </w:rPr>
          <w:delText xml:space="preserve">felnőtt </w:delText>
        </w:r>
        <w:r w:rsidRPr="00183B5F">
          <w:rPr>
            <w:szCs w:val="22"/>
          </w:rPr>
          <w:delText xml:space="preserve">betegeknél az átlagos (± SD) dinamikus egyensúlyi állapotban mért </w:delText>
        </w:r>
        <w:r w:rsidR="00EA2737" w:rsidRPr="00183B5F">
          <w:rPr>
            <w:szCs w:val="22"/>
          </w:rPr>
          <w:delText xml:space="preserve">minimális </w:delText>
        </w:r>
        <w:r w:rsidRPr="00183B5F">
          <w:rPr>
            <w:szCs w:val="22"/>
          </w:rPr>
          <w:delText>adalimumab</w:delText>
        </w:r>
        <w:r w:rsidR="00D92B20" w:rsidRPr="00183B5F">
          <w:rPr>
            <w:szCs w:val="22"/>
          </w:rPr>
          <w:delText>-</w:delText>
        </w:r>
        <w:r w:rsidRPr="00183B5F">
          <w:rPr>
            <w:szCs w:val="22"/>
          </w:rPr>
          <w:delText xml:space="preserve">koncentráció </w:delText>
        </w:r>
        <w:r w:rsidRPr="00183B5F">
          <w:delText>8,0 ± 4,6 </w:delText>
        </w:r>
        <w:r w:rsidRPr="00183B5F">
          <w:rPr>
            <w:rFonts w:ascii="Symbol" w:hAnsi="Symbol"/>
          </w:rPr>
          <w:sym w:font="Symbol" w:char="F06D"/>
        </w:r>
        <w:r w:rsidRPr="00183B5F">
          <w:delText>g/ml volt a 68. héten.</w:delText>
        </w:r>
      </w:del>
    </w:p>
    <w:p w14:paraId="299F6E76" w14:textId="3CC51D60" w:rsidR="009F08BF" w:rsidRPr="00183B5F" w:rsidRDefault="009F08BF" w:rsidP="004062FE">
      <w:pPr>
        <w:spacing w:line="240" w:lineRule="auto"/>
        <w:rPr>
          <w:del w:id="8193" w:author="AbbVie_HU_03" w:date="2025-05-14T15:27:00Z"/>
          <w:szCs w:val="22"/>
        </w:rPr>
      </w:pPr>
    </w:p>
    <w:p w14:paraId="645D76C3" w14:textId="4285850B" w:rsidR="00FB6710" w:rsidRPr="00183B5F" w:rsidRDefault="00943743" w:rsidP="004062FE">
      <w:pPr>
        <w:spacing w:line="240" w:lineRule="auto"/>
        <w:rPr>
          <w:del w:id="8194" w:author="AbbVie_HU_03" w:date="2025-05-14T15:27:00Z"/>
          <w:szCs w:val="22"/>
        </w:rPr>
      </w:pPr>
      <w:del w:id="8195" w:author="AbbVie_HU_03" w:date="2025-05-14T15:27:00Z">
        <w:r w:rsidRPr="00183B5F">
          <w:rPr>
            <w:szCs w:val="22"/>
          </w:rPr>
          <w:delText xml:space="preserve">Psoriasisos </w:delText>
        </w:r>
        <w:r w:rsidR="00247878" w:rsidRPr="00183B5F">
          <w:rPr>
            <w:szCs w:val="22"/>
          </w:rPr>
          <w:delText xml:space="preserve">felnőtt </w:delText>
        </w:r>
        <w:r w:rsidRPr="00183B5F">
          <w:rPr>
            <w:szCs w:val="22"/>
          </w:rPr>
          <w:delText>betegek esetében a legalacsonyabb egyensúlyi plazmakoncentráció átlagértéke 5 </w:delText>
        </w:r>
        <w:r w:rsidR="00A033CB" w:rsidRPr="00183B5F">
          <w:rPr>
            <w:szCs w:val="22"/>
          </w:rPr>
          <w:delText>mikrogramm</w:delText>
        </w:r>
        <w:r w:rsidRPr="00183B5F">
          <w:rPr>
            <w:szCs w:val="22"/>
          </w:rPr>
          <w:delText>/ml volt a kéthetente 40 mg adalimumabbal végzett monoterápiás kezelés esetén.</w:delText>
        </w:r>
      </w:del>
    </w:p>
    <w:p w14:paraId="70A20522" w14:textId="174DDA6E" w:rsidR="005575FF" w:rsidRPr="00183B5F" w:rsidRDefault="005575FF" w:rsidP="004062FE">
      <w:pPr>
        <w:spacing w:line="240" w:lineRule="auto"/>
        <w:rPr>
          <w:del w:id="8196" w:author="AbbVie_HU_03" w:date="2025-05-14T15:27:00Z"/>
          <w:szCs w:val="22"/>
        </w:rPr>
      </w:pPr>
    </w:p>
    <w:p w14:paraId="12ABD194" w14:textId="5B887557" w:rsidR="00993EFC" w:rsidRPr="00183B5F" w:rsidRDefault="00943743">
      <w:pPr>
        <w:pStyle w:val="EMEANormal"/>
        <w:rPr>
          <w:del w:id="8197" w:author="AbbVie_HU_03" w:date="2025-05-14T15:27:00Z"/>
          <w:szCs w:val="22"/>
          <w:lang w:val="hu-HU"/>
        </w:rPr>
      </w:pPr>
      <w:del w:id="8198" w:author="AbbVie_HU_03" w:date="2025-05-14T15:27:00Z">
        <w:r w:rsidRPr="00183B5F">
          <w:rPr>
            <w:szCs w:val="22"/>
            <w:lang w:val="hu-HU"/>
          </w:rPr>
          <w:delText>Azoknál a krónikus plakkos psoriasisban szenvedő gyermekeknél, akik 0,8 mg</w:delText>
        </w:r>
        <w:r w:rsidR="00127A0B" w:rsidRPr="00183B5F">
          <w:rPr>
            <w:szCs w:val="22"/>
            <w:lang w:val="hu-HU"/>
          </w:rPr>
          <w:delText>/ttkg</w:delText>
        </w:r>
        <w:r w:rsidRPr="00183B5F">
          <w:rPr>
            <w:szCs w:val="22"/>
            <w:lang w:val="hu-HU"/>
          </w:rPr>
          <w:delText xml:space="preserve"> (legfeljebb 40 mg) dózisú adalimumabot kaptak subcutan minden második héten, az átlagos (± SD), dinamikus egyensúlyi állapotban mért </w:delText>
        </w:r>
        <w:r w:rsidR="00EA2737" w:rsidRPr="00183B5F">
          <w:rPr>
            <w:szCs w:val="22"/>
            <w:lang w:val="hu-HU"/>
          </w:rPr>
          <w:delText xml:space="preserve">minimális </w:delText>
        </w:r>
        <w:r w:rsidRPr="00183B5F">
          <w:rPr>
            <w:szCs w:val="22"/>
            <w:lang w:val="hu-HU"/>
          </w:rPr>
          <w:delText>adalimumab</w:delText>
        </w:r>
        <w:r w:rsidR="00A033CB" w:rsidRPr="00183B5F">
          <w:rPr>
            <w:szCs w:val="22"/>
            <w:lang w:val="hu-HU"/>
          </w:rPr>
          <w:delText>-</w:delText>
        </w:r>
        <w:r w:rsidRPr="00183B5F">
          <w:rPr>
            <w:szCs w:val="22"/>
            <w:lang w:val="hu-HU"/>
          </w:rPr>
          <w:delText>koncentráció körülbelül 7,4 ± 5,8 </w:delText>
        </w:r>
        <w:r w:rsidR="00A033CB" w:rsidRPr="00183B5F">
          <w:rPr>
            <w:szCs w:val="22"/>
            <w:lang w:val="hu-HU"/>
          </w:rPr>
          <w:delText>mikrogramm</w:delText>
        </w:r>
        <w:r w:rsidRPr="00183B5F">
          <w:rPr>
            <w:szCs w:val="22"/>
            <w:lang w:val="hu-HU"/>
          </w:rPr>
          <w:delText>/ml (79% CV) volt.</w:delText>
        </w:r>
      </w:del>
    </w:p>
    <w:p w14:paraId="6493E7B7" w14:textId="1D0A76BB" w:rsidR="00554160" w:rsidRPr="00183B5F" w:rsidRDefault="00554160" w:rsidP="004062FE">
      <w:pPr>
        <w:spacing w:line="240" w:lineRule="auto"/>
        <w:rPr>
          <w:del w:id="8199" w:author="AbbVie_HU_03" w:date="2025-05-14T15:27:00Z"/>
          <w:szCs w:val="22"/>
        </w:rPr>
      </w:pPr>
    </w:p>
    <w:p w14:paraId="192D463A" w14:textId="168EE5E8" w:rsidR="00886D36" w:rsidRPr="00183B5F" w:rsidRDefault="00943743" w:rsidP="004062FE">
      <w:pPr>
        <w:spacing w:line="240" w:lineRule="auto"/>
        <w:rPr>
          <w:del w:id="8200" w:author="AbbVie_HU_03" w:date="2025-05-14T15:27:00Z"/>
          <w:szCs w:val="22"/>
        </w:rPr>
      </w:pPr>
      <w:del w:id="8201" w:author="AbbVie_HU_03" w:date="2025-05-14T15:27:00Z">
        <w:r w:rsidRPr="00183B5F">
          <w:rPr>
            <w:szCs w:val="22"/>
          </w:rPr>
          <w:delText>A hidradenitis suppurativában szenvedő</w:delText>
        </w:r>
        <w:r w:rsidR="00E92AC2" w:rsidRPr="00183B5F">
          <w:rPr>
            <w:szCs w:val="22"/>
          </w:rPr>
          <w:delText xml:space="preserve"> felnőtt</w:delText>
        </w:r>
        <w:r w:rsidRPr="00183B5F">
          <w:rPr>
            <w:szCs w:val="22"/>
          </w:rPr>
          <w:delText xml:space="preserve"> betegeknél a Humira 160 mg</w:delText>
        </w:r>
        <w:r w:rsidR="00E5381A" w:rsidRPr="00183B5F">
          <w:rPr>
            <w:szCs w:val="22"/>
          </w:rPr>
          <w:noBreakHyphen/>
        </w:r>
        <w:r w:rsidRPr="00183B5F">
          <w:rPr>
            <w:szCs w:val="22"/>
          </w:rPr>
          <w:delText>os adagja a 0. héten, majd 80 mg a 2. héten kb. 7</w:delText>
        </w:r>
        <w:r w:rsidRPr="00183B5F">
          <w:rPr>
            <w:szCs w:val="22"/>
          </w:rPr>
          <w:noBreakHyphen/>
          <w:delText>8 </w:delText>
        </w:r>
        <w:r w:rsidR="00A033CB" w:rsidRPr="00183B5F">
          <w:rPr>
            <w:szCs w:val="22"/>
          </w:rPr>
          <w:delText>mikrogramm</w:delText>
        </w:r>
        <w:r w:rsidRPr="00183B5F">
          <w:rPr>
            <w:szCs w:val="22"/>
          </w:rPr>
          <w:delText>/ml-es minimális adalimumab</w:delText>
        </w:r>
        <w:r w:rsidR="00FD08D3" w:rsidRPr="00183B5F">
          <w:rPr>
            <w:szCs w:val="22"/>
          </w:rPr>
          <w:delText>-</w:delText>
        </w:r>
        <w:r w:rsidRPr="00183B5F">
          <w:rPr>
            <w:szCs w:val="22"/>
          </w:rPr>
          <w:delText>szérumszintet eredményez</w:delText>
        </w:r>
        <w:r w:rsidR="007526F0" w:rsidRPr="00183B5F">
          <w:rPr>
            <w:szCs w:val="22"/>
          </w:rPr>
          <w:delText>ett</w:delText>
        </w:r>
        <w:r w:rsidRPr="00183B5F">
          <w:rPr>
            <w:szCs w:val="22"/>
          </w:rPr>
          <w:delText xml:space="preserve"> a 2. és 4 héten. Megközelítőleg 8</w:delText>
        </w:r>
        <w:r w:rsidRPr="00183B5F">
          <w:rPr>
            <w:szCs w:val="22"/>
          </w:rPr>
          <w:noBreakHyphen/>
          <w:delText>10 </w:delText>
        </w:r>
        <w:r w:rsidR="00A033CB" w:rsidRPr="00183B5F">
          <w:rPr>
            <w:szCs w:val="22"/>
          </w:rPr>
          <w:delText>mikrogramm</w:delText>
        </w:r>
        <w:r w:rsidRPr="00183B5F">
          <w:rPr>
            <w:szCs w:val="22"/>
          </w:rPr>
          <w:delText>/ml</w:delText>
        </w:r>
        <w:r w:rsidR="00A76CD1" w:rsidRPr="00183B5F">
          <w:rPr>
            <w:szCs w:val="22"/>
          </w:rPr>
          <w:noBreakHyphen/>
          <w:delText>es átlagos</w:delText>
        </w:r>
        <w:r w:rsidRPr="00183B5F">
          <w:rPr>
            <w:szCs w:val="22"/>
          </w:rPr>
          <w:delText xml:space="preserve"> </w:delText>
        </w:r>
        <w:r w:rsidR="001425E6" w:rsidRPr="00183B5F">
          <w:rPr>
            <w:szCs w:val="22"/>
          </w:rPr>
          <w:delText xml:space="preserve">dinamikus </w:delText>
        </w:r>
        <w:r w:rsidRPr="00183B5F">
          <w:rPr>
            <w:szCs w:val="22"/>
          </w:rPr>
          <w:delText xml:space="preserve">egyensúlyi </w:delText>
        </w:r>
        <w:r w:rsidR="001425E6" w:rsidRPr="00183B5F">
          <w:rPr>
            <w:szCs w:val="22"/>
          </w:rPr>
          <w:delText xml:space="preserve">állapotú </w:delText>
        </w:r>
        <w:r w:rsidRPr="00183B5F">
          <w:rPr>
            <w:szCs w:val="22"/>
          </w:rPr>
          <w:delText>minimális szérumszintet mértek</w:delText>
        </w:r>
        <w:r w:rsidR="00580757" w:rsidRPr="00183B5F">
          <w:rPr>
            <w:szCs w:val="22"/>
          </w:rPr>
          <w:delText xml:space="preserve"> a 12. héttől a 36. hétig, a hetente 40 mg adalimumab</w:delText>
        </w:r>
        <w:r w:rsidR="006B34D6" w:rsidRPr="00183B5F">
          <w:rPr>
            <w:szCs w:val="22"/>
          </w:rPr>
          <w:delText>-</w:delText>
        </w:r>
        <w:r w:rsidR="00580757" w:rsidRPr="00183B5F">
          <w:rPr>
            <w:szCs w:val="22"/>
          </w:rPr>
          <w:delText>kezelés alatt.</w:delText>
        </w:r>
      </w:del>
    </w:p>
    <w:p w14:paraId="78EBE460" w14:textId="0316A4DD" w:rsidR="00886D36" w:rsidRPr="00183B5F" w:rsidRDefault="00886D36" w:rsidP="004062FE">
      <w:pPr>
        <w:spacing w:line="240" w:lineRule="auto"/>
        <w:rPr>
          <w:del w:id="8202" w:author="AbbVie_HU_03" w:date="2025-05-14T15:27:00Z"/>
          <w:szCs w:val="22"/>
        </w:rPr>
      </w:pPr>
    </w:p>
    <w:p w14:paraId="0CA537C1" w14:textId="11ACF37C" w:rsidR="0073500E" w:rsidRPr="00183B5F" w:rsidRDefault="00943743">
      <w:pPr>
        <w:pStyle w:val="EMEANormal"/>
        <w:rPr>
          <w:del w:id="8203" w:author="AbbVie_HU_03" w:date="2025-05-14T15:27:00Z"/>
          <w:szCs w:val="22"/>
          <w:lang w:val="hu-HU"/>
        </w:rPr>
      </w:pPr>
      <w:del w:id="8204" w:author="AbbVie_HU_03" w:date="2025-05-14T15:27:00Z">
        <w:r w:rsidRPr="00183B5F">
          <w:rPr>
            <w:szCs w:val="22"/>
            <w:lang w:val="hu-HU"/>
          </w:rPr>
          <w:delText xml:space="preserve">Az adalimumab expozícióját HS-ben szenvedő serdülőknél populációs farmakokinetikai modellezéssel és szimulációval határozták meg, egyéb keresztindikációs gyermekgyógyászati betegek (gyermekkori psoriasis, juvenilis idiopathiás arthritis, gyermekkori Crohn-betegség és </w:delText>
        </w:r>
        <w:r w:rsidR="00677908" w:rsidRPr="00183B5F">
          <w:rPr>
            <w:szCs w:val="22"/>
            <w:lang w:val="hu-HU"/>
          </w:rPr>
          <w:delText>enthesitis-asszociált</w:delText>
        </w:r>
        <w:r w:rsidRPr="00183B5F">
          <w:rPr>
            <w:szCs w:val="22"/>
            <w:lang w:val="hu-HU"/>
          </w:rPr>
          <w:delText xml:space="preserve"> arthritis) farmakokinetikája alapján. HS-ben szenvedő serdülőknél az ajánlott adag 40 mg minden második héten. Mivel az adalimumab expozícióját a testméret befolyásolhatja, a nagyobb testtömegű serdülők</w:delText>
        </w:r>
        <w:r w:rsidR="003265C1" w:rsidRPr="00183B5F">
          <w:rPr>
            <w:szCs w:val="22"/>
            <w:lang w:val="hu-HU"/>
          </w:rPr>
          <w:delText>nél</w:delText>
        </w:r>
        <w:r w:rsidRPr="00183B5F">
          <w:rPr>
            <w:szCs w:val="22"/>
            <w:lang w:val="hu-HU"/>
          </w:rPr>
          <w:delText xml:space="preserve">, vagy </w:delText>
        </w:r>
        <w:r w:rsidR="003265C1" w:rsidRPr="00183B5F">
          <w:rPr>
            <w:szCs w:val="22"/>
            <w:lang w:val="hu-HU"/>
          </w:rPr>
          <w:delText xml:space="preserve">azoknál, </w:delText>
        </w:r>
        <w:r w:rsidRPr="00183B5F">
          <w:rPr>
            <w:szCs w:val="22"/>
            <w:lang w:val="hu-HU"/>
          </w:rPr>
          <w:delText>akik nem megfelelően reagáltak a kezelésre, előnyös lehet, a dózis heti 40 mg</w:delText>
        </w:r>
        <w:r w:rsidR="00D92B20" w:rsidRPr="00183B5F">
          <w:rPr>
            <w:szCs w:val="22"/>
            <w:lang w:val="hu-HU"/>
          </w:rPr>
          <w:noBreakHyphen/>
        </w:r>
        <w:r w:rsidRPr="00183B5F">
          <w:rPr>
            <w:szCs w:val="22"/>
            <w:lang w:val="hu-HU"/>
          </w:rPr>
          <w:delText>os, felnőtt adagra való növelése.</w:delText>
        </w:r>
      </w:del>
    </w:p>
    <w:p w14:paraId="3958AAC6" w14:textId="33058CD4" w:rsidR="0073500E" w:rsidRPr="00183B5F" w:rsidRDefault="0073500E" w:rsidP="004062FE">
      <w:pPr>
        <w:spacing w:line="240" w:lineRule="auto"/>
        <w:rPr>
          <w:del w:id="8205" w:author="AbbVie_HU_03" w:date="2025-05-14T15:27:00Z"/>
          <w:szCs w:val="22"/>
        </w:rPr>
      </w:pPr>
    </w:p>
    <w:p w14:paraId="199C4898" w14:textId="17555911" w:rsidR="00FB6710" w:rsidRPr="00183B5F" w:rsidRDefault="00943743" w:rsidP="004062FE">
      <w:pPr>
        <w:spacing w:line="240" w:lineRule="auto"/>
        <w:rPr>
          <w:del w:id="8206" w:author="AbbVie_HU_03" w:date="2025-05-14T15:27:00Z"/>
          <w:szCs w:val="22"/>
        </w:rPr>
      </w:pPr>
      <w:del w:id="8207" w:author="AbbVie_HU_03" w:date="2025-05-14T15:27:00Z">
        <w:r w:rsidRPr="00183B5F">
          <w:rPr>
            <w:szCs w:val="22"/>
          </w:rPr>
          <w:delText>Crohn</w:delText>
        </w:r>
        <w:r w:rsidR="00F87A74" w:rsidRPr="00183B5F">
          <w:rPr>
            <w:szCs w:val="22"/>
          </w:rPr>
          <w:noBreakHyphen/>
        </w:r>
        <w:r w:rsidRPr="00183B5F">
          <w:rPr>
            <w:szCs w:val="22"/>
          </w:rPr>
          <w:delText>betegségben szenvedő betegeknél a Humira 80 mg</w:delText>
        </w:r>
        <w:r w:rsidR="00F87A74" w:rsidRPr="00183B5F">
          <w:rPr>
            <w:szCs w:val="22"/>
          </w:rPr>
          <w:noBreakHyphen/>
        </w:r>
        <w:r w:rsidRPr="00183B5F">
          <w:rPr>
            <w:szCs w:val="22"/>
          </w:rPr>
          <w:delText>os telítő adagja a 0.</w:delText>
        </w:r>
        <w:r w:rsidR="00A44DB6" w:rsidRPr="00183B5F">
          <w:rPr>
            <w:szCs w:val="22"/>
          </w:rPr>
          <w:delText> hét</w:delText>
        </w:r>
        <w:r w:rsidRPr="00183B5F">
          <w:rPr>
            <w:szCs w:val="22"/>
          </w:rPr>
          <w:delText>en, majd 40 mg a 2.</w:delText>
        </w:r>
        <w:r w:rsidR="00A44DB6" w:rsidRPr="00183B5F">
          <w:rPr>
            <w:szCs w:val="22"/>
          </w:rPr>
          <w:delText> hét</w:delText>
        </w:r>
        <w:r w:rsidRPr="00183B5F">
          <w:rPr>
            <w:szCs w:val="22"/>
          </w:rPr>
          <w:delText>en kb. 5,5 </w:delText>
        </w:r>
        <w:r w:rsidR="00A033CB" w:rsidRPr="00183B5F">
          <w:rPr>
            <w:szCs w:val="22"/>
          </w:rPr>
          <w:delText>mikrogramm</w:delText>
        </w:r>
        <w:r w:rsidRPr="00183B5F">
          <w:rPr>
            <w:szCs w:val="22"/>
          </w:rPr>
          <w:delText>/ml-es minimális adalimumab</w:delText>
        </w:r>
        <w:r w:rsidR="00FD08D3" w:rsidRPr="00183B5F">
          <w:rPr>
            <w:szCs w:val="22"/>
          </w:rPr>
          <w:delText>-</w:delText>
        </w:r>
        <w:r w:rsidRPr="00183B5F">
          <w:rPr>
            <w:szCs w:val="22"/>
          </w:rPr>
          <w:delText>szérumszintet eredményez az indukció időszakában. A 0.</w:delText>
        </w:r>
        <w:r w:rsidR="00A44DB6" w:rsidRPr="00183B5F">
          <w:rPr>
            <w:szCs w:val="22"/>
          </w:rPr>
          <w:delText> hét</w:delText>
        </w:r>
        <w:r w:rsidRPr="00183B5F">
          <w:rPr>
            <w:szCs w:val="22"/>
          </w:rPr>
          <w:delText>en 160 mg</w:delText>
        </w:r>
        <w:r w:rsidR="00D92B20" w:rsidRPr="00183B5F">
          <w:rPr>
            <w:szCs w:val="22"/>
          </w:rPr>
          <w:noBreakHyphen/>
        </w:r>
        <w:r w:rsidRPr="00183B5F">
          <w:rPr>
            <w:szCs w:val="22"/>
          </w:rPr>
          <w:delText xml:space="preserve">os telítő dózist, majd a </w:delText>
        </w:r>
        <w:r w:rsidR="00053993" w:rsidRPr="00183B5F">
          <w:rPr>
            <w:szCs w:val="22"/>
          </w:rPr>
          <w:delText>2</w:delText>
        </w:r>
        <w:r w:rsidRPr="00183B5F">
          <w:rPr>
            <w:szCs w:val="22"/>
          </w:rPr>
          <w:delText>.</w:delText>
        </w:r>
        <w:r w:rsidR="00A44DB6" w:rsidRPr="00183B5F">
          <w:rPr>
            <w:szCs w:val="22"/>
          </w:rPr>
          <w:delText> hét</w:delText>
        </w:r>
        <w:r w:rsidRPr="00183B5F">
          <w:rPr>
            <w:szCs w:val="22"/>
          </w:rPr>
          <w:delText>en 80 mg Humira</w:delText>
        </w:r>
        <w:r w:rsidR="00F87A74" w:rsidRPr="00183B5F">
          <w:rPr>
            <w:szCs w:val="22"/>
          </w:rPr>
          <w:noBreakHyphen/>
        </w:r>
        <w:r w:rsidRPr="00183B5F">
          <w:rPr>
            <w:szCs w:val="22"/>
          </w:rPr>
          <w:delText>t adva az adalimumab minimális szérumszintje kb. 12 </w:delText>
        </w:r>
        <w:r w:rsidR="00A033CB" w:rsidRPr="00183B5F">
          <w:rPr>
            <w:szCs w:val="22"/>
          </w:rPr>
          <w:delText>mikrogramm</w:delText>
        </w:r>
        <w:r w:rsidRPr="00183B5F">
          <w:rPr>
            <w:szCs w:val="22"/>
          </w:rPr>
          <w:delText>/ml-ot ér el az indukció időszakában. Megközelítőleg 7 </w:delText>
        </w:r>
        <w:r w:rsidR="00A033CB" w:rsidRPr="00183B5F">
          <w:rPr>
            <w:szCs w:val="22"/>
          </w:rPr>
          <w:delText>mikrogramm</w:delText>
        </w:r>
        <w:r w:rsidRPr="00183B5F">
          <w:rPr>
            <w:szCs w:val="22"/>
          </w:rPr>
          <w:delText>/ml egyensúlyi minimális szérumszintet mértek olyan Crohn</w:delText>
        </w:r>
        <w:r w:rsidR="00F87A74" w:rsidRPr="00183B5F">
          <w:rPr>
            <w:szCs w:val="22"/>
          </w:rPr>
          <w:noBreakHyphen/>
        </w:r>
        <w:r w:rsidRPr="00183B5F">
          <w:rPr>
            <w:szCs w:val="22"/>
          </w:rPr>
          <w:delText>betegségben szenvedő betegeknél, akik minden második héten 40 mg Humira</w:delText>
        </w:r>
        <w:r w:rsidR="00F87A74" w:rsidRPr="00183B5F">
          <w:rPr>
            <w:szCs w:val="22"/>
          </w:rPr>
          <w:noBreakHyphen/>
        </w:r>
        <w:r w:rsidRPr="00183B5F">
          <w:rPr>
            <w:szCs w:val="22"/>
          </w:rPr>
          <w:delText>t kaptak fenntartó adagként.</w:delText>
        </w:r>
      </w:del>
    </w:p>
    <w:p w14:paraId="1B99C0D1" w14:textId="4046ABBB" w:rsidR="00FB6710" w:rsidRPr="00183B5F" w:rsidRDefault="00FB6710" w:rsidP="004062FE">
      <w:pPr>
        <w:spacing w:line="240" w:lineRule="auto"/>
        <w:rPr>
          <w:del w:id="8208" w:author="AbbVie_HU_03" w:date="2025-05-14T15:27:00Z"/>
          <w:szCs w:val="22"/>
        </w:rPr>
      </w:pPr>
    </w:p>
    <w:p w14:paraId="7486E458" w14:textId="2532B383" w:rsidR="00221424" w:rsidRPr="00183B5F" w:rsidRDefault="00943743">
      <w:pPr>
        <w:pStyle w:val="EMEANormal"/>
        <w:rPr>
          <w:del w:id="8209" w:author="AbbVie_HU_03" w:date="2025-05-14T15:27:00Z"/>
          <w:szCs w:val="22"/>
          <w:lang w:val="hu-HU"/>
        </w:rPr>
      </w:pPr>
      <w:del w:id="8210" w:author="AbbVie_HU_03" w:date="2025-05-14T15:27:00Z">
        <w:r w:rsidRPr="00183B5F">
          <w:rPr>
            <w:szCs w:val="22"/>
            <w:lang w:val="hu-HU"/>
          </w:rPr>
          <w:delText>Köz</w:delText>
        </w:r>
        <w:r w:rsidR="00EA2737" w:rsidRPr="00183B5F">
          <w:rPr>
            <w:szCs w:val="22"/>
            <w:lang w:val="hu-HU"/>
          </w:rPr>
          <w:delText xml:space="preserve">epesen </w:delText>
        </w:r>
        <w:r w:rsidRPr="00183B5F">
          <w:rPr>
            <w:szCs w:val="22"/>
            <w:lang w:val="hu-HU"/>
          </w:rPr>
          <w:delText xml:space="preserve">súlyos-súlyos </w:delText>
        </w:r>
        <w:r w:rsidR="00EA2737" w:rsidRPr="00183B5F">
          <w:rPr>
            <w:szCs w:val="22"/>
            <w:lang w:val="hu-HU"/>
          </w:rPr>
          <w:delText xml:space="preserve">aktivitású </w:delText>
        </w:r>
        <w:r w:rsidRPr="00183B5F">
          <w:rPr>
            <w:szCs w:val="22"/>
            <w:lang w:val="hu-HU"/>
          </w:rPr>
          <w:delText>Crohn</w:delText>
        </w:r>
        <w:r w:rsidR="00F87A74" w:rsidRPr="00183B5F">
          <w:rPr>
            <w:szCs w:val="22"/>
            <w:lang w:val="hu-HU"/>
          </w:rPr>
          <w:noBreakHyphen/>
        </w:r>
        <w:r w:rsidRPr="00183B5F">
          <w:rPr>
            <w:szCs w:val="22"/>
            <w:lang w:val="hu-HU"/>
          </w:rPr>
          <w:delText xml:space="preserve">betegségben szenvedő </w:delText>
        </w:r>
        <w:r w:rsidR="00CB73C8" w:rsidRPr="00183B5F">
          <w:rPr>
            <w:szCs w:val="22"/>
            <w:lang w:val="hu-HU"/>
          </w:rPr>
          <w:delText>gyermekeknél és serdülőknél</w:delText>
        </w:r>
        <w:r w:rsidRPr="00183B5F">
          <w:rPr>
            <w:szCs w:val="22"/>
            <w:lang w:val="hu-HU"/>
          </w:rPr>
          <w:delText xml:space="preserve"> a</w:delText>
        </w:r>
        <w:r w:rsidR="007D1B2E" w:rsidRPr="00183B5F">
          <w:rPr>
            <w:szCs w:val="22"/>
            <w:lang w:val="hu-HU"/>
          </w:rPr>
          <w:delText xml:space="preserve">z adalimumab </w:delText>
        </w:r>
        <w:r w:rsidRPr="00183B5F">
          <w:rPr>
            <w:szCs w:val="22"/>
            <w:lang w:val="hu-HU"/>
          </w:rPr>
          <w:delText>nyílt elrendezés</w:delText>
        </w:r>
        <w:r w:rsidR="007D1B2E" w:rsidRPr="00183B5F">
          <w:rPr>
            <w:szCs w:val="22"/>
            <w:lang w:val="hu-HU"/>
          </w:rPr>
          <w:delText>ben alkalmazott</w:delText>
        </w:r>
        <w:r w:rsidRPr="00183B5F">
          <w:rPr>
            <w:szCs w:val="22"/>
            <w:lang w:val="hu-HU"/>
          </w:rPr>
          <w:delText xml:space="preserve"> indukciós dózis</w:delText>
        </w:r>
        <w:r w:rsidR="007D1B2E" w:rsidRPr="00183B5F">
          <w:rPr>
            <w:szCs w:val="22"/>
            <w:lang w:val="hu-HU"/>
          </w:rPr>
          <w:delText>a</w:delText>
        </w:r>
        <w:r w:rsidRPr="00183B5F">
          <w:rPr>
            <w:szCs w:val="22"/>
            <w:lang w:val="hu-HU"/>
          </w:rPr>
          <w:delText xml:space="preserve"> 160/80</w:delText>
        </w:r>
        <w:r w:rsidR="00DA7038" w:rsidRPr="00183B5F">
          <w:rPr>
            <w:szCs w:val="22"/>
            <w:lang w:val="hu-HU"/>
          </w:rPr>
          <w:delText> </w:delText>
        </w:r>
        <w:r w:rsidRPr="00183B5F">
          <w:rPr>
            <w:szCs w:val="22"/>
            <w:lang w:val="hu-HU"/>
          </w:rPr>
          <w:delText>mg, illetve 80/40</w:delText>
        </w:r>
        <w:r w:rsidR="00DA7038" w:rsidRPr="00183B5F">
          <w:rPr>
            <w:szCs w:val="22"/>
            <w:lang w:val="hu-HU"/>
          </w:rPr>
          <w:delText> </w:delText>
        </w:r>
        <w:r w:rsidRPr="00183B5F">
          <w:rPr>
            <w:szCs w:val="22"/>
            <w:lang w:val="hu-HU"/>
          </w:rPr>
          <w:delText>mg volt a 0.</w:delText>
        </w:r>
        <w:r w:rsidR="007D65BB" w:rsidRPr="00183B5F">
          <w:rPr>
            <w:szCs w:val="22"/>
            <w:lang w:val="hu-HU"/>
          </w:rPr>
          <w:delText> </w:delText>
        </w:r>
        <w:r w:rsidRPr="00183B5F">
          <w:rPr>
            <w:szCs w:val="22"/>
            <w:lang w:val="hu-HU"/>
          </w:rPr>
          <w:delText>és a 2.</w:delText>
        </w:r>
        <w:r w:rsidR="00DA7038" w:rsidRPr="00183B5F">
          <w:rPr>
            <w:szCs w:val="22"/>
            <w:lang w:val="hu-HU"/>
          </w:rPr>
          <w:delText> </w:delText>
        </w:r>
        <w:r w:rsidRPr="00183B5F">
          <w:rPr>
            <w:szCs w:val="22"/>
            <w:lang w:val="hu-HU"/>
          </w:rPr>
          <w:delText>héten</w:delText>
        </w:r>
        <w:r w:rsidR="007D1B2E" w:rsidRPr="00183B5F">
          <w:rPr>
            <w:szCs w:val="22"/>
            <w:lang w:val="hu-HU"/>
          </w:rPr>
          <w:delText>,</w:delText>
        </w:r>
        <w:r w:rsidRPr="00183B5F">
          <w:rPr>
            <w:szCs w:val="22"/>
            <w:lang w:val="hu-HU"/>
          </w:rPr>
          <w:delText xml:space="preserve"> </w:delText>
        </w:r>
        <w:r w:rsidR="007D1B2E" w:rsidRPr="00183B5F">
          <w:rPr>
            <w:szCs w:val="22"/>
            <w:lang w:val="hu-HU"/>
          </w:rPr>
          <w:delText>figyelembe véve</w:delText>
        </w:r>
        <w:r w:rsidR="00036DE7" w:rsidRPr="00183B5F">
          <w:rPr>
            <w:szCs w:val="22"/>
            <w:lang w:val="hu-HU"/>
          </w:rPr>
          <w:delText xml:space="preserve"> a testtömegre meghatározott</w:delText>
        </w:r>
        <w:r w:rsidRPr="00183B5F">
          <w:rPr>
            <w:szCs w:val="22"/>
            <w:lang w:val="hu-HU"/>
          </w:rPr>
          <w:delText xml:space="preserve"> 40</w:delText>
        </w:r>
        <w:r w:rsidR="00DA7038" w:rsidRPr="00183B5F">
          <w:rPr>
            <w:szCs w:val="22"/>
            <w:lang w:val="hu-HU"/>
          </w:rPr>
          <w:delText> </w:delText>
        </w:r>
        <w:r w:rsidRPr="00183B5F">
          <w:rPr>
            <w:szCs w:val="22"/>
            <w:lang w:val="hu-HU"/>
          </w:rPr>
          <w:delText>kg</w:delText>
        </w:r>
        <w:r w:rsidR="00036DE7" w:rsidRPr="00183B5F">
          <w:rPr>
            <w:szCs w:val="22"/>
            <w:lang w:val="hu-HU"/>
          </w:rPr>
          <w:delText>-os határértéket.</w:delText>
        </w:r>
        <w:r w:rsidRPr="00183B5F">
          <w:rPr>
            <w:szCs w:val="22"/>
            <w:lang w:val="hu-HU"/>
          </w:rPr>
          <w:delText>. A 4.</w:delText>
        </w:r>
        <w:r w:rsidR="00DA7038" w:rsidRPr="00183B5F">
          <w:rPr>
            <w:szCs w:val="22"/>
            <w:lang w:val="hu-HU"/>
          </w:rPr>
          <w:delText> </w:delText>
        </w:r>
        <w:r w:rsidRPr="00183B5F">
          <w:rPr>
            <w:szCs w:val="22"/>
            <w:lang w:val="hu-HU"/>
          </w:rPr>
          <w:delText>héten a betegeket 1:1</w:delText>
        </w:r>
        <w:r w:rsidR="00DA7038" w:rsidRPr="00183B5F">
          <w:rPr>
            <w:szCs w:val="22"/>
            <w:lang w:val="hu-HU"/>
          </w:rPr>
          <w:delText> </w:delText>
        </w:r>
        <w:r w:rsidRPr="00183B5F">
          <w:rPr>
            <w:szCs w:val="22"/>
            <w:lang w:val="hu-HU"/>
          </w:rPr>
          <w:delText xml:space="preserve">arányban Standard </w:delText>
        </w:r>
        <w:r w:rsidR="00036DE7" w:rsidRPr="00183B5F">
          <w:rPr>
            <w:szCs w:val="22"/>
            <w:lang w:val="hu-HU"/>
          </w:rPr>
          <w:delText xml:space="preserve">dózisú </w:delText>
        </w:r>
        <w:r w:rsidRPr="00183B5F">
          <w:rPr>
            <w:szCs w:val="22"/>
            <w:lang w:val="hu-HU"/>
          </w:rPr>
          <w:delText>(40/20</w:delText>
        </w:r>
        <w:r w:rsidR="00DA7038" w:rsidRPr="00183B5F">
          <w:rPr>
            <w:szCs w:val="22"/>
            <w:lang w:val="hu-HU"/>
          </w:rPr>
          <w:delText> </w:delText>
        </w:r>
        <w:r w:rsidRPr="00183B5F">
          <w:rPr>
            <w:szCs w:val="22"/>
            <w:lang w:val="hu-HU"/>
          </w:rPr>
          <w:delText xml:space="preserve">mg minden második héten) vagy Alacsony dózisú (20/10 mg minden második héten) fenntartó kezelési csoportba </w:delText>
        </w:r>
        <w:r w:rsidR="00AF272A" w:rsidRPr="00183B5F">
          <w:rPr>
            <w:szCs w:val="22"/>
            <w:lang w:val="hu-HU"/>
          </w:rPr>
          <w:delText xml:space="preserve">randomizálták </w:delText>
        </w:r>
        <w:r w:rsidRPr="00183B5F">
          <w:rPr>
            <w:szCs w:val="22"/>
            <w:lang w:val="hu-HU"/>
          </w:rPr>
          <w:delText>a test</w:delText>
        </w:r>
        <w:r w:rsidR="00AF272A" w:rsidRPr="00183B5F">
          <w:rPr>
            <w:szCs w:val="22"/>
            <w:lang w:val="hu-HU"/>
          </w:rPr>
          <w:delText>tömegük</w:delText>
        </w:r>
        <w:r w:rsidRPr="00183B5F">
          <w:rPr>
            <w:szCs w:val="22"/>
            <w:lang w:val="hu-HU"/>
          </w:rPr>
          <w:delText xml:space="preserve"> alapján. A 4.</w:delText>
        </w:r>
        <w:r w:rsidR="00DA7038" w:rsidRPr="00183B5F">
          <w:rPr>
            <w:szCs w:val="22"/>
            <w:lang w:val="hu-HU"/>
          </w:rPr>
          <w:delText> </w:delText>
        </w:r>
        <w:r w:rsidRPr="00183B5F">
          <w:rPr>
            <w:szCs w:val="22"/>
            <w:lang w:val="hu-HU"/>
          </w:rPr>
          <w:delText xml:space="preserve">hétre elért átlag (±SD) </w:delText>
        </w:r>
        <w:r w:rsidR="00AF272A" w:rsidRPr="00183B5F">
          <w:rPr>
            <w:szCs w:val="22"/>
            <w:lang w:val="hu-HU"/>
          </w:rPr>
          <w:delText xml:space="preserve">maradék </w:delText>
        </w:r>
        <w:r w:rsidRPr="00183B5F">
          <w:rPr>
            <w:szCs w:val="22"/>
            <w:lang w:val="hu-HU"/>
          </w:rPr>
          <w:delText>szérum</w:delText>
        </w:r>
        <w:r w:rsidR="00CB73C8" w:rsidRPr="00183B5F">
          <w:rPr>
            <w:szCs w:val="22"/>
            <w:lang w:val="hu-HU"/>
          </w:rPr>
          <w:delText>-</w:delText>
        </w:r>
        <w:r w:rsidRPr="00183B5F">
          <w:rPr>
            <w:szCs w:val="22"/>
            <w:lang w:val="hu-HU"/>
          </w:rPr>
          <w:delText>adalimumab</w:delText>
        </w:r>
        <w:r w:rsidR="00AF272A" w:rsidRPr="00183B5F">
          <w:rPr>
            <w:szCs w:val="22"/>
            <w:lang w:val="hu-HU"/>
          </w:rPr>
          <w:delText>-</w:delText>
        </w:r>
        <w:r w:rsidR="00DF4AC3" w:rsidRPr="00183B5F">
          <w:rPr>
            <w:szCs w:val="22"/>
            <w:lang w:val="hu-HU"/>
          </w:rPr>
          <w:delText xml:space="preserve">koncentráció </w:delText>
        </w:r>
        <w:r w:rsidRPr="00183B5F">
          <w:rPr>
            <w:szCs w:val="22"/>
            <w:lang w:val="hu-HU"/>
          </w:rPr>
          <w:delText>15,7±6,6</w:delText>
        </w:r>
        <w:r w:rsidR="00DA7038" w:rsidRPr="00183B5F">
          <w:rPr>
            <w:szCs w:val="22"/>
            <w:lang w:val="hu-HU"/>
          </w:rPr>
          <w:delText> </w:delText>
        </w:r>
        <w:r w:rsidR="00CB73C8" w:rsidRPr="00183B5F">
          <w:rPr>
            <w:szCs w:val="22"/>
            <w:lang w:val="hu-HU"/>
          </w:rPr>
          <w:delText>mikrogramm</w:delText>
        </w:r>
        <w:r w:rsidRPr="00183B5F">
          <w:rPr>
            <w:szCs w:val="22"/>
            <w:lang w:val="hu-HU"/>
          </w:rPr>
          <w:delText xml:space="preserve">/ml </w:delText>
        </w:r>
        <w:r w:rsidR="00AF272A" w:rsidRPr="00183B5F">
          <w:rPr>
            <w:szCs w:val="22"/>
            <w:lang w:val="hu-HU"/>
          </w:rPr>
          <w:delText>volt</w:delText>
        </w:r>
        <w:r w:rsidRPr="00183B5F">
          <w:rPr>
            <w:szCs w:val="22"/>
            <w:lang w:val="hu-HU"/>
          </w:rPr>
          <w:delText xml:space="preserve"> a 40</w:delText>
        </w:r>
        <w:r w:rsidR="00DA7038" w:rsidRPr="00183B5F">
          <w:rPr>
            <w:szCs w:val="22"/>
            <w:lang w:val="hu-HU"/>
          </w:rPr>
          <w:delText> </w:delText>
        </w:r>
        <w:r w:rsidRPr="00183B5F">
          <w:rPr>
            <w:szCs w:val="22"/>
            <w:lang w:val="hu-HU"/>
          </w:rPr>
          <w:delText>kg-</w:delText>
        </w:r>
        <w:r w:rsidR="00AF272A" w:rsidRPr="00183B5F">
          <w:rPr>
            <w:szCs w:val="22"/>
            <w:lang w:val="hu-HU"/>
          </w:rPr>
          <w:delText xml:space="preserve">os, vagy annál </w:delText>
        </w:r>
        <w:r w:rsidR="00D5597D" w:rsidRPr="00183B5F">
          <w:rPr>
            <w:szCs w:val="22"/>
            <w:lang w:val="hu-HU"/>
          </w:rPr>
          <w:delText>nagyobb testtömegű betegeknél (160/80 mg), míg a 40 kg-nál</w:delText>
        </w:r>
        <w:r w:rsidRPr="00183B5F">
          <w:rPr>
            <w:szCs w:val="22"/>
            <w:lang w:val="hu-HU"/>
          </w:rPr>
          <w:delText xml:space="preserve"> alacsonyabb test</w:delText>
        </w:r>
        <w:r w:rsidR="00D5597D" w:rsidRPr="00183B5F">
          <w:rPr>
            <w:szCs w:val="22"/>
            <w:lang w:val="hu-HU"/>
          </w:rPr>
          <w:delText>tömegű</w:delText>
        </w:r>
        <w:r w:rsidRPr="00183B5F">
          <w:rPr>
            <w:szCs w:val="22"/>
            <w:lang w:val="hu-HU"/>
          </w:rPr>
          <w:delText xml:space="preserve"> betegeknél (80/40</w:delText>
        </w:r>
        <w:r w:rsidR="00DA7038" w:rsidRPr="00183B5F">
          <w:rPr>
            <w:szCs w:val="22"/>
            <w:lang w:val="hu-HU"/>
          </w:rPr>
          <w:delText> </w:delText>
        </w:r>
        <w:r w:rsidRPr="00183B5F">
          <w:rPr>
            <w:szCs w:val="22"/>
            <w:lang w:val="hu-HU"/>
          </w:rPr>
          <w:delText xml:space="preserve">mg) </w:delText>
        </w:r>
        <w:r w:rsidR="00D5597D" w:rsidRPr="00183B5F">
          <w:rPr>
            <w:szCs w:val="22"/>
            <w:lang w:val="hu-HU"/>
          </w:rPr>
          <w:delText xml:space="preserve">ez az érték </w:delText>
        </w:r>
        <w:r w:rsidRPr="00183B5F">
          <w:rPr>
            <w:szCs w:val="22"/>
            <w:lang w:val="hu-HU"/>
          </w:rPr>
          <w:delText>10,6±6,1</w:delText>
        </w:r>
        <w:r w:rsidR="00DA7038" w:rsidRPr="00183B5F">
          <w:rPr>
            <w:szCs w:val="22"/>
            <w:lang w:val="hu-HU"/>
          </w:rPr>
          <w:delText> </w:delText>
        </w:r>
        <w:r w:rsidR="00CB73C8" w:rsidRPr="00183B5F">
          <w:rPr>
            <w:szCs w:val="22"/>
            <w:lang w:val="hu-HU"/>
          </w:rPr>
          <w:delText>mikrogramm</w:delText>
        </w:r>
        <w:r w:rsidRPr="00183B5F">
          <w:rPr>
            <w:szCs w:val="22"/>
            <w:lang w:val="hu-HU"/>
          </w:rPr>
          <w:delText>/ml volt.</w:delText>
        </w:r>
      </w:del>
    </w:p>
    <w:p w14:paraId="75F2FCAD" w14:textId="251D6762" w:rsidR="00221424" w:rsidRPr="00183B5F" w:rsidRDefault="00221424">
      <w:pPr>
        <w:pStyle w:val="EMEANormal"/>
        <w:rPr>
          <w:del w:id="8211" w:author="AbbVie_HU_03" w:date="2025-05-14T15:27:00Z"/>
          <w:szCs w:val="22"/>
          <w:lang w:val="hu-HU"/>
        </w:rPr>
      </w:pPr>
    </w:p>
    <w:p w14:paraId="05D46AAB" w14:textId="756EBF83" w:rsidR="00221424" w:rsidRPr="00183B5F" w:rsidRDefault="00943743">
      <w:pPr>
        <w:pStyle w:val="EMEANormal"/>
        <w:rPr>
          <w:del w:id="8212" w:author="AbbVie_HU_03" w:date="2025-05-14T15:27:00Z"/>
          <w:szCs w:val="22"/>
          <w:lang w:val="hu-HU"/>
        </w:rPr>
      </w:pPr>
      <w:del w:id="8213" w:author="AbbVie_HU_03" w:date="2025-05-14T15:27:00Z">
        <w:r w:rsidRPr="00183B5F">
          <w:rPr>
            <w:szCs w:val="22"/>
            <w:lang w:val="hu-HU"/>
          </w:rPr>
          <w:delText>A</w:delText>
        </w:r>
        <w:r w:rsidR="00DF4AC3" w:rsidRPr="00183B5F">
          <w:rPr>
            <w:szCs w:val="22"/>
            <w:lang w:val="hu-HU"/>
          </w:rPr>
          <w:delText xml:space="preserve">zoknál a betegeknél, akik a </w:delText>
        </w:r>
        <w:r w:rsidRPr="00183B5F">
          <w:rPr>
            <w:szCs w:val="22"/>
            <w:lang w:val="hu-HU"/>
          </w:rPr>
          <w:delText>randomizált kezelés</w:delText>
        </w:r>
        <w:r w:rsidR="00DF4AC3" w:rsidRPr="00183B5F">
          <w:rPr>
            <w:szCs w:val="22"/>
            <w:lang w:val="hu-HU"/>
          </w:rPr>
          <w:delText>en</w:delText>
        </w:r>
        <w:r w:rsidR="00205A14" w:rsidRPr="00183B5F">
          <w:rPr>
            <w:szCs w:val="22"/>
            <w:lang w:val="hu-HU"/>
          </w:rPr>
          <w:delText xml:space="preserve"> maradtak, </w:delText>
        </w:r>
        <w:r w:rsidRPr="00183B5F">
          <w:rPr>
            <w:szCs w:val="22"/>
            <w:lang w:val="hu-HU"/>
          </w:rPr>
          <w:delText>az 52.</w:delText>
        </w:r>
        <w:r w:rsidR="00DA7038" w:rsidRPr="00183B5F">
          <w:rPr>
            <w:szCs w:val="22"/>
            <w:lang w:val="hu-HU"/>
          </w:rPr>
          <w:delText> </w:delText>
        </w:r>
        <w:r w:rsidRPr="00183B5F">
          <w:rPr>
            <w:szCs w:val="22"/>
            <w:lang w:val="hu-HU"/>
          </w:rPr>
          <w:delText>hét</w:delText>
        </w:r>
        <w:r w:rsidR="00205A14" w:rsidRPr="00183B5F">
          <w:rPr>
            <w:szCs w:val="22"/>
            <w:lang w:val="hu-HU"/>
          </w:rPr>
          <w:delText>en</w:delText>
        </w:r>
        <w:r w:rsidRPr="00183B5F">
          <w:rPr>
            <w:szCs w:val="22"/>
            <w:lang w:val="hu-HU"/>
          </w:rPr>
          <w:delText xml:space="preserve"> az átlag</w:delText>
        </w:r>
        <w:r w:rsidR="00205A14" w:rsidRPr="00183B5F">
          <w:rPr>
            <w:szCs w:val="22"/>
            <w:lang w:val="hu-HU"/>
          </w:rPr>
          <w:delText>os</w:delText>
        </w:r>
        <w:r w:rsidRPr="00183B5F">
          <w:rPr>
            <w:szCs w:val="22"/>
            <w:lang w:val="hu-HU"/>
          </w:rPr>
          <w:delText xml:space="preserve"> (±SD)</w:delText>
        </w:r>
        <w:r w:rsidR="00205A14" w:rsidRPr="00183B5F">
          <w:rPr>
            <w:szCs w:val="22"/>
            <w:lang w:val="hu-HU"/>
          </w:rPr>
          <w:delText>maradék</w:delText>
        </w:r>
        <w:r w:rsidRPr="00183B5F">
          <w:rPr>
            <w:szCs w:val="22"/>
            <w:lang w:val="hu-HU"/>
          </w:rPr>
          <w:delText xml:space="preserve"> szérum</w:delText>
        </w:r>
        <w:r w:rsidR="00CB73C8" w:rsidRPr="00183B5F">
          <w:rPr>
            <w:szCs w:val="22"/>
            <w:lang w:val="hu-HU"/>
          </w:rPr>
          <w:delText>-</w:delText>
        </w:r>
        <w:r w:rsidRPr="00183B5F">
          <w:rPr>
            <w:szCs w:val="22"/>
            <w:lang w:val="hu-HU"/>
          </w:rPr>
          <w:delText>adalimumab</w:delText>
        </w:r>
        <w:r w:rsidR="00205A14" w:rsidRPr="00183B5F">
          <w:rPr>
            <w:szCs w:val="22"/>
            <w:lang w:val="hu-HU"/>
          </w:rPr>
          <w:delText>-</w:delText>
        </w:r>
        <w:r w:rsidRPr="00183B5F">
          <w:rPr>
            <w:szCs w:val="22"/>
            <w:lang w:val="hu-HU"/>
          </w:rPr>
          <w:delText>koncentráció a Standard dózis</w:delText>
        </w:r>
        <w:r w:rsidR="00205A14" w:rsidRPr="00183B5F">
          <w:rPr>
            <w:szCs w:val="22"/>
            <w:lang w:val="hu-HU"/>
          </w:rPr>
          <w:delText>sal</w:delText>
        </w:r>
        <w:r w:rsidRPr="00183B5F">
          <w:rPr>
            <w:szCs w:val="22"/>
            <w:lang w:val="hu-HU"/>
          </w:rPr>
          <w:delText xml:space="preserve"> k</w:delText>
        </w:r>
        <w:r w:rsidR="00205A14" w:rsidRPr="00183B5F">
          <w:rPr>
            <w:szCs w:val="22"/>
            <w:lang w:val="hu-HU"/>
          </w:rPr>
          <w:delText>ezeltek csoportjában</w:delText>
        </w:r>
        <w:r w:rsidRPr="00183B5F">
          <w:rPr>
            <w:szCs w:val="22"/>
            <w:lang w:val="hu-HU"/>
          </w:rPr>
          <w:delText xml:space="preserve"> 9,5±5,6</w:delText>
        </w:r>
        <w:r w:rsidR="00DA7038" w:rsidRPr="00183B5F">
          <w:rPr>
            <w:szCs w:val="22"/>
            <w:lang w:val="hu-HU"/>
          </w:rPr>
          <w:delText> </w:delText>
        </w:r>
        <w:r w:rsidR="00CB73C8" w:rsidRPr="00183B5F">
          <w:rPr>
            <w:szCs w:val="22"/>
            <w:lang w:val="hu-HU"/>
          </w:rPr>
          <w:delText>mikrogramm</w:delText>
        </w:r>
        <w:r w:rsidRPr="00183B5F">
          <w:rPr>
            <w:szCs w:val="22"/>
            <w:lang w:val="hu-HU"/>
          </w:rPr>
          <w:delText xml:space="preserve">/ml, </w:delText>
        </w:r>
        <w:r w:rsidR="00205A14" w:rsidRPr="00183B5F">
          <w:rPr>
            <w:szCs w:val="22"/>
            <w:lang w:val="hu-HU"/>
          </w:rPr>
          <w:delText xml:space="preserve">míg </w:delText>
        </w:r>
        <w:r w:rsidRPr="00183B5F">
          <w:rPr>
            <w:szCs w:val="22"/>
            <w:lang w:val="hu-HU"/>
          </w:rPr>
          <w:delText>az Alacsony dózis</w:delText>
        </w:r>
        <w:r w:rsidR="00205A14" w:rsidRPr="00183B5F">
          <w:rPr>
            <w:szCs w:val="22"/>
            <w:lang w:val="hu-HU"/>
          </w:rPr>
          <w:delText>sal</w:delText>
        </w:r>
        <w:r w:rsidRPr="00183B5F">
          <w:rPr>
            <w:szCs w:val="22"/>
            <w:lang w:val="hu-HU"/>
          </w:rPr>
          <w:delText xml:space="preserve"> k</w:delText>
        </w:r>
        <w:r w:rsidR="005F6215" w:rsidRPr="00183B5F">
          <w:rPr>
            <w:szCs w:val="22"/>
            <w:lang w:val="hu-HU"/>
          </w:rPr>
          <w:delText>ezelteknél</w:delText>
        </w:r>
        <w:r w:rsidRPr="00183B5F">
          <w:rPr>
            <w:szCs w:val="22"/>
            <w:lang w:val="hu-HU"/>
          </w:rPr>
          <w:delText xml:space="preserve"> 3,5±2,2</w:delText>
        </w:r>
        <w:r w:rsidR="00DA7038" w:rsidRPr="00183B5F">
          <w:rPr>
            <w:szCs w:val="22"/>
            <w:lang w:val="hu-HU"/>
          </w:rPr>
          <w:delText> </w:delText>
        </w:r>
        <w:r w:rsidR="00CB73C8" w:rsidRPr="00183B5F">
          <w:rPr>
            <w:szCs w:val="22"/>
            <w:lang w:val="hu-HU"/>
          </w:rPr>
          <w:delText>mikrogramm</w:delText>
        </w:r>
        <w:r w:rsidRPr="00183B5F">
          <w:rPr>
            <w:szCs w:val="22"/>
            <w:lang w:val="hu-HU"/>
          </w:rPr>
          <w:delText>/ml volt. Az átlagos m</w:delText>
        </w:r>
        <w:r w:rsidR="005F6215" w:rsidRPr="00183B5F">
          <w:rPr>
            <w:szCs w:val="22"/>
            <w:lang w:val="hu-HU"/>
          </w:rPr>
          <w:delText>aradék</w:delText>
        </w:r>
        <w:r w:rsidRPr="00183B5F">
          <w:rPr>
            <w:szCs w:val="22"/>
            <w:lang w:val="hu-HU"/>
          </w:rPr>
          <w:delText xml:space="preserve"> koncentrác</w:delText>
        </w:r>
        <w:r w:rsidR="00C32A74" w:rsidRPr="00183B5F">
          <w:rPr>
            <w:szCs w:val="22"/>
            <w:lang w:val="hu-HU"/>
          </w:rPr>
          <w:delText>i</w:delText>
        </w:r>
        <w:r w:rsidRPr="00183B5F">
          <w:rPr>
            <w:szCs w:val="22"/>
            <w:lang w:val="hu-HU"/>
          </w:rPr>
          <w:delText>ó fennmaradt azoknál a betegeknél, akik kéthetenkénti adalimumab</w:delText>
        </w:r>
        <w:r w:rsidR="005F6215" w:rsidRPr="00183B5F">
          <w:rPr>
            <w:szCs w:val="22"/>
            <w:lang w:val="hu-HU"/>
          </w:rPr>
          <w:delText>-</w:delText>
        </w:r>
        <w:r w:rsidRPr="00183B5F">
          <w:rPr>
            <w:szCs w:val="22"/>
            <w:lang w:val="hu-HU"/>
          </w:rPr>
          <w:delText>kezelést</w:delText>
        </w:r>
        <w:r w:rsidR="005F6215" w:rsidRPr="00183B5F">
          <w:rPr>
            <w:szCs w:val="22"/>
            <w:lang w:val="hu-HU"/>
          </w:rPr>
          <w:delText xml:space="preserve"> kaptak az 52. hétig. </w:delText>
        </w:r>
        <w:r w:rsidRPr="00183B5F">
          <w:rPr>
            <w:szCs w:val="22"/>
            <w:lang w:val="hu-HU"/>
          </w:rPr>
          <w:delText xml:space="preserve">Azoknál a betegeknél, akiknél </w:delText>
        </w:r>
        <w:r w:rsidR="00C32A74" w:rsidRPr="00183B5F">
          <w:rPr>
            <w:szCs w:val="22"/>
            <w:lang w:val="hu-HU"/>
          </w:rPr>
          <w:delText>a kezelés gyakoriságát kéthetenkéntiről heti egyszeri</w:delText>
        </w:r>
        <w:r w:rsidR="006B7597" w:rsidRPr="00183B5F">
          <w:rPr>
            <w:szCs w:val="22"/>
            <w:lang w:val="hu-HU"/>
          </w:rPr>
          <w:delText>re</w:delText>
        </w:r>
        <w:r w:rsidR="00C32A74" w:rsidRPr="00183B5F">
          <w:rPr>
            <w:szCs w:val="22"/>
            <w:lang w:val="hu-HU"/>
          </w:rPr>
          <w:delText xml:space="preserve"> </w:delText>
        </w:r>
        <w:r w:rsidRPr="00183B5F">
          <w:rPr>
            <w:szCs w:val="22"/>
            <w:lang w:val="hu-HU"/>
          </w:rPr>
          <w:delText>emelték, az átlag</w:delText>
        </w:r>
        <w:r w:rsidR="006B7597" w:rsidRPr="00183B5F">
          <w:rPr>
            <w:szCs w:val="22"/>
            <w:lang w:val="hu-HU"/>
          </w:rPr>
          <w:delText>os</w:delText>
        </w:r>
        <w:r w:rsidRPr="00183B5F">
          <w:rPr>
            <w:szCs w:val="22"/>
            <w:lang w:val="hu-HU"/>
          </w:rPr>
          <w:delText xml:space="preserve"> (±SD) szérum</w:delText>
        </w:r>
        <w:r w:rsidR="00CB73C8" w:rsidRPr="00183B5F">
          <w:rPr>
            <w:szCs w:val="22"/>
            <w:lang w:val="hu-HU"/>
          </w:rPr>
          <w:delText>-</w:delText>
        </w:r>
        <w:r w:rsidRPr="00183B5F">
          <w:rPr>
            <w:szCs w:val="22"/>
            <w:lang w:val="hu-HU"/>
          </w:rPr>
          <w:delText>adalimumab</w:delText>
        </w:r>
        <w:r w:rsidR="006B7597" w:rsidRPr="00183B5F">
          <w:rPr>
            <w:szCs w:val="22"/>
            <w:lang w:val="hu-HU"/>
          </w:rPr>
          <w:delText>-</w:delText>
        </w:r>
        <w:r w:rsidRPr="00183B5F">
          <w:rPr>
            <w:szCs w:val="22"/>
            <w:lang w:val="hu-HU"/>
          </w:rPr>
          <w:delText xml:space="preserve">koncentráció </w:delText>
        </w:r>
        <w:r w:rsidR="006B7597" w:rsidRPr="00183B5F">
          <w:rPr>
            <w:szCs w:val="22"/>
            <w:lang w:val="hu-HU"/>
          </w:rPr>
          <w:delText xml:space="preserve">az 52. héten </w:delText>
        </w:r>
        <w:r w:rsidRPr="00183B5F">
          <w:rPr>
            <w:szCs w:val="22"/>
            <w:lang w:val="hu-HU"/>
          </w:rPr>
          <w:delText>15,3±11,4</w:delText>
        </w:r>
        <w:r w:rsidR="00DA7038" w:rsidRPr="00183B5F">
          <w:rPr>
            <w:szCs w:val="22"/>
            <w:lang w:val="hu-HU"/>
          </w:rPr>
          <w:delText> </w:delText>
        </w:r>
        <w:r w:rsidR="00CB73C8" w:rsidRPr="00183B5F">
          <w:rPr>
            <w:szCs w:val="22"/>
            <w:lang w:val="hu-HU"/>
          </w:rPr>
          <w:delText>mikrogramm</w:delText>
        </w:r>
        <w:r w:rsidRPr="00183B5F">
          <w:rPr>
            <w:szCs w:val="22"/>
            <w:lang w:val="hu-HU"/>
          </w:rPr>
          <w:delText>/ml (40/20</w:delText>
        </w:r>
        <w:r w:rsidR="00DA7038" w:rsidRPr="00183B5F">
          <w:rPr>
            <w:szCs w:val="22"/>
            <w:lang w:val="hu-HU"/>
          </w:rPr>
          <w:delText> </w:delText>
        </w:r>
        <w:r w:rsidRPr="00183B5F">
          <w:rPr>
            <w:szCs w:val="22"/>
            <w:lang w:val="hu-HU"/>
          </w:rPr>
          <w:delText>mg hetente)</w:delText>
        </w:r>
        <w:r w:rsidR="006B7597" w:rsidRPr="00183B5F">
          <w:rPr>
            <w:szCs w:val="22"/>
            <w:lang w:val="hu-HU"/>
          </w:rPr>
          <w:delText>, illetve</w:delText>
        </w:r>
        <w:r w:rsidRPr="00183B5F">
          <w:rPr>
            <w:szCs w:val="22"/>
            <w:lang w:val="hu-HU"/>
          </w:rPr>
          <w:delText xml:space="preserve"> 6,7±3,5</w:delText>
        </w:r>
        <w:r w:rsidR="00DA7038" w:rsidRPr="00183B5F">
          <w:rPr>
            <w:szCs w:val="22"/>
            <w:lang w:val="hu-HU"/>
          </w:rPr>
          <w:delText> </w:delText>
        </w:r>
        <w:r w:rsidR="00CB73C8" w:rsidRPr="00183B5F">
          <w:rPr>
            <w:szCs w:val="22"/>
            <w:lang w:val="hu-HU"/>
          </w:rPr>
          <w:delText>mikrogramm</w:delText>
        </w:r>
        <w:r w:rsidRPr="00183B5F">
          <w:rPr>
            <w:szCs w:val="22"/>
            <w:lang w:val="hu-HU"/>
          </w:rPr>
          <w:delText>/ml (20/10</w:delText>
        </w:r>
        <w:r w:rsidR="00DA7038" w:rsidRPr="00183B5F">
          <w:rPr>
            <w:szCs w:val="22"/>
            <w:lang w:val="hu-HU"/>
          </w:rPr>
          <w:delText> </w:delText>
        </w:r>
        <w:r w:rsidRPr="00183B5F">
          <w:rPr>
            <w:szCs w:val="22"/>
            <w:lang w:val="hu-HU"/>
          </w:rPr>
          <w:delText>mg hetente) volt</w:delText>
        </w:r>
        <w:r w:rsidR="00C32A74" w:rsidRPr="00183B5F">
          <w:rPr>
            <w:szCs w:val="22"/>
            <w:lang w:val="hu-HU"/>
          </w:rPr>
          <w:delText>.</w:delText>
        </w:r>
      </w:del>
    </w:p>
    <w:p w14:paraId="410CD24D" w14:textId="34B6083D" w:rsidR="00221424" w:rsidRPr="00183B5F" w:rsidRDefault="00221424" w:rsidP="004062FE">
      <w:pPr>
        <w:spacing w:line="240" w:lineRule="auto"/>
        <w:rPr>
          <w:del w:id="8214" w:author="AbbVie_HU_03" w:date="2025-05-14T15:27:00Z"/>
          <w:szCs w:val="22"/>
        </w:rPr>
      </w:pPr>
    </w:p>
    <w:p w14:paraId="23ECA5F2" w14:textId="0A1D4A10" w:rsidR="00037F83" w:rsidRPr="00183B5F" w:rsidRDefault="00943743" w:rsidP="004062FE">
      <w:pPr>
        <w:spacing w:line="240" w:lineRule="auto"/>
        <w:rPr>
          <w:del w:id="8215" w:author="AbbVie_HU_03" w:date="2025-05-14T15:27:00Z"/>
          <w:szCs w:val="22"/>
        </w:rPr>
      </w:pPr>
      <w:del w:id="8216" w:author="AbbVie_HU_03" w:date="2025-05-14T15:27:00Z">
        <w:r w:rsidRPr="00183B5F">
          <w:rPr>
            <w:szCs w:val="22"/>
          </w:rPr>
          <w:delText>A colitis ulcerosában szenvedő betegeknél a Humira 160 mg</w:delText>
        </w:r>
        <w:r w:rsidR="00E5381A" w:rsidRPr="00183B5F">
          <w:rPr>
            <w:szCs w:val="22"/>
          </w:rPr>
          <w:noBreakHyphen/>
        </w:r>
        <w:r w:rsidRPr="00183B5F">
          <w:rPr>
            <w:szCs w:val="22"/>
          </w:rPr>
          <w:delText>os telítő adagja a 0.</w:delText>
        </w:r>
        <w:r w:rsidR="00A44DB6" w:rsidRPr="00183B5F">
          <w:rPr>
            <w:szCs w:val="22"/>
          </w:rPr>
          <w:delText> hét</w:delText>
        </w:r>
        <w:r w:rsidRPr="00183B5F">
          <w:rPr>
            <w:szCs w:val="22"/>
          </w:rPr>
          <w:delText>en, majd 80 mg a 2.</w:delText>
        </w:r>
        <w:r w:rsidR="00A44DB6" w:rsidRPr="00183B5F">
          <w:rPr>
            <w:szCs w:val="22"/>
          </w:rPr>
          <w:delText> hét</w:delText>
        </w:r>
        <w:r w:rsidRPr="00183B5F">
          <w:rPr>
            <w:szCs w:val="22"/>
          </w:rPr>
          <w:delText>en kb. 12 </w:delText>
        </w:r>
        <w:r w:rsidR="00A033CB" w:rsidRPr="00183B5F">
          <w:rPr>
            <w:szCs w:val="22"/>
          </w:rPr>
          <w:delText>mikrogramm</w:delText>
        </w:r>
        <w:r w:rsidRPr="00183B5F">
          <w:rPr>
            <w:szCs w:val="22"/>
          </w:rPr>
          <w:delText>/ml-es minimális adalimumab</w:delText>
        </w:r>
        <w:r w:rsidR="00FD08D3" w:rsidRPr="00183B5F">
          <w:rPr>
            <w:szCs w:val="22"/>
          </w:rPr>
          <w:delText>-</w:delText>
        </w:r>
        <w:r w:rsidRPr="00183B5F">
          <w:rPr>
            <w:szCs w:val="22"/>
          </w:rPr>
          <w:delText>szérumszintet eredményez az indukció időszakában. Megközelítőleg 8 </w:delText>
        </w:r>
        <w:r w:rsidR="00A033CB" w:rsidRPr="00183B5F">
          <w:rPr>
            <w:szCs w:val="22"/>
          </w:rPr>
          <w:delText>mikrogramm</w:delText>
        </w:r>
        <w:r w:rsidRPr="00183B5F">
          <w:rPr>
            <w:szCs w:val="22"/>
          </w:rPr>
          <w:delText xml:space="preserve">/ml </w:delText>
        </w:r>
        <w:r w:rsidR="00F671E4" w:rsidRPr="00183B5F">
          <w:rPr>
            <w:szCs w:val="22"/>
          </w:rPr>
          <w:delText xml:space="preserve">minimális </w:delText>
        </w:r>
        <w:r w:rsidRPr="00183B5F">
          <w:rPr>
            <w:szCs w:val="22"/>
          </w:rPr>
          <w:delText xml:space="preserve">egyensúlyi szérumszintet mértek olyan </w:delText>
        </w:r>
        <w:r w:rsidR="00F671E4" w:rsidRPr="00183B5F">
          <w:rPr>
            <w:szCs w:val="22"/>
          </w:rPr>
          <w:delText>colitis ulcerosaban</w:delText>
        </w:r>
        <w:r w:rsidRPr="00183B5F">
          <w:rPr>
            <w:szCs w:val="22"/>
          </w:rPr>
          <w:delText xml:space="preserve"> szenvedő betegeknél, akik minden második</w:delText>
        </w:r>
        <w:r w:rsidR="00A0655A" w:rsidRPr="00183B5F">
          <w:rPr>
            <w:szCs w:val="22"/>
          </w:rPr>
          <w:delText xml:space="preserve"> hét</w:delText>
        </w:r>
        <w:r w:rsidRPr="00183B5F">
          <w:rPr>
            <w:szCs w:val="22"/>
          </w:rPr>
          <w:delText>en 40 mg Humira</w:delText>
        </w:r>
        <w:r w:rsidR="00343531" w:rsidRPr="00183B5F">
          <w:rPr>
            <w:szCs w:val="22"/>
          </w:rPr>
          <w:noBreakHyphen/>
        </w:r>
        <w:r w:rsidRPr="00183B5F">
          <w:rPr>
            <w:szCs w:val="22"/>
          </w:rPr>
          <w:delText>t kaptak fenntartó adagként.</w:delText>
        </w:r>
      </w:del>
    </w:p>
    <w:p w14:paraId="48A703D0" w14:textId="20AEEF4D" w:rsidR="00D20685" w:rsidRPr="00183B5F" w:rsidRDefault="00D20685" w:rsidP="004062FE">
      <w:pPr>
        <w:spacing w:line="240" w:lineRule="auto"/>
        <w:rPr>
          <w:del w:id="8217" w:author="AbbVie_HU_03" w:date="2025-05-14T15:27:00Z"/>
          <w:szCs w:val="22"/>
        </w:rPr>
      </w:pPr>
    </w:p>
    <w:p w14:paraId="4A4A26AB" w14:textId="100680F2" w:rsidR="00500BAB" w:rsidRPr="00183B5F" w:rsidRDefault="00943743" w:rsidP="00500BAB">
      <w:pPr>
        <w:rPr>
          <w:del w:id="8218" w:author="AbbVie_HU_03" w:date="2025-05-14T15:27:00Z"/>
        </w:rPr>
      </w:pPr>
      <w:del w:id="8219" w:author="AbbVie_HU_03" w:date="2025-05-14T15:27:00Z">
        <w:r w:rsidRPr="00183B5F">
          <w:delText>A colitis ulcerosában szenvedő gyermekeknél</w:delText>
        </w:r>
        <w:r w:rsidR="00777CA4" w:rsidRPr="00183B5F">
          <w:delText xml:space="preserve"> és serdülőknél</w:delText>
        </w:r>
        <w:r w:rsidRPr="00183B5F">
          <w:delText xml:space="preserve"> subcutan adott, testtömeg-alapú, kéthetente 0,6 mg/ttkg</w:delText>
        </w:r>
        <w:r w:rsidRPr="00183B5F">
          <w:noBreakHyphen/>
        </w:r>
        <w:r w:rsidRPr="00183B5F">
          <w:delText>os (legfeljebb 40 mg) adagolás esetén az átlagos minimális egyensúlyi állapotú szérum adalimumab-koncentráció 5,01±3,28 mikrogramm/ml volt az 52. héten. Azoknál a betegeknél, akik hetente 0,6 mg/ttkg-ot (legfeljebb 40 mg) kaptak, az átlagos (± SD) minimális egyensúlyi állapotú szérum adalimumab-koncentráció 15,7±5,60 mikrogramm/ml volt az 52. héten.</w:delText>
        </w:r>
      </w:del>
    </w:p>
    <w:p w14:paraId="19BA3B60" w14:textId="648D895F" w:rsidR="005737F4" w:rsidRPr="00183B5F" w:rsidRDefault="005737F4" w:rsidP="004062FE">
      <w:pPr>
        <w:spacing w:line="240" w:lineRule="auto"/>
        <w:rPr>
          <w:del w:id="8220" w:author="AbbVie_HU_03" w:date="2025-05-14T15:27:00Z"/>
          <w:szCs w:val="22"/>
        </w:rPr>
      </w:pPr>
    </w:p>
    <w:p w14:paraId="18848FC5" w14:textId="60B179A2" w:rsidR="00A70C16" w:rsidRPr="00183B5F" w:rsidRDefault="00943743" w:rsidP="004062FE">
      <w:pPr>
        <w:spacing w:line="240" w:lineRule="auto"/>
        <w:rPr>
          <w:del w:id="8221" w:author="AbbVie_HU_03" w:date="2025-05-14T15:27:00Z"/>
          <w:szCs w:val="22"/>
        </w:rPr>
      </w:pPr>
      <w:del w:id="8222" w:author="AbbVie_HU_03" w:date="2025-05-14T15:27:00Z">
        <w:r w:rsidRPr="00183B5F">
          <w:rPr>
            <w:szCs w:val="22"/>
          </w:rPr>
          <w:delText xml:space="preserve">Uveitisben szenvedő </w:delText>
        </w:r>
        <w:r w:rsidR="007809D6" w:rsidRPr="00183B5F">
          <w:rPr>
            <w:szCs w:val="22"/>
          </w:rPr>
          <w:delText xml:space="preserve">felnőtt </w:delText>
        </w:r>
        <w:r w:rsidRPr="00183B5F">
          <w:rPr>
            <w:szCs w:val="22"/>
          </w:rPr>
          <w:delText>betegeknél a 80 mg</w:delText>
        </w:r>
        <w:r w:rsidRPr="00183B5F">
          <w:rPr>
            <w:szCs w:val="22"/>
          </w:rPr>
          <w:noBreakHyphen/>
          <w:delText>os telítő adag a 0. héten, melyet minden második héten beadott 40 mg követ a</w:delText>
        </w:r>
        <w:r w:rsidR="007D32C8" w:rsidRPr="00183B5F">
          <w:rPr>
            <w:szCs w:val="22"/>
          </w:rPr>
          <w:delText>z</w:delText>
        </w:r>
        <w:r w:rsidRPr="00183B5F">
          <w:rPr>
            <w:szCs w:val="22"/>
          </w:rPr>
          <w:delText xml:space="preserve"> 1. </w:delText>
        </w:r>
        <w:r w:rsidR="007D32C8" w:rsidRPr="00183B5F">
          <w:rPr>
            <w:szCs w:val="22"/>
          </w:rPr>
          <w:delText>h</w:delText>
        </w:r>
        <w:r w:rsidRPr="00183B5F">
          <w:rPr>
            <w:szCs w:val="22"/>
          </w:rPr>
          <w:delText>éttől kezdve, hozzávetőlegesen 8</w:delText>
        </w:r>
        <w:r w:rsidRPr="00183B5F">
          <w:rPr>
            <w:szCs w:val="22"/>
          </w:rPr>
          <w:noBreakHyphen/>
          <w:delText>10 </w:delText>
        </w:r>
        <w:r w:rsidR="00A033CB" w:rsidRPr="00183B5F">
          <w:rPr>
            <w:szCs w:val="22"/>
          </w:rPr>
          <w:delText>mikrogramm</w:delText>
        </w:r>
        <w:r w:rsidR="00E15E62" w:rsidRPr="00183B5F">
          <w:rPr>
            <w:szCs w:val="22"/>
          </w:rPr>
          <w:delText>/</w:delText>
        </w:r>
        <w:r w:rsidRPr="00183B5F">
          <w:rPr>
            <w:szCs w:val="22"/>
          </w:rPr>
          <w:delText>ml átlagos egyensúlyi koncentrációt eredményezett.</w:delText>
        </w:r>
      </w:del>
    </w:p>
    <w:p w14:paraId="308C2D64" w14:textId="13941DF0" w:rsidR="00153373" w:rsidRPr="00183B5F" w:rsidRDefault="00153373" w:rsidP="004062FE">
      <w:pPr>
        <w:spacing w:line="240" w:lineRule="auto"/>
        <w:rPr>
          <w:del w:id="8223" w:author="AbbVie_HU_03" w:date="2025-05-14T15:27:00Z"/>
          <w:szCs w:val="22"/>
        </w:rPr>
      </w:pPr>
    </w:p>
    <w:p w14:paraId="0CB63158" w14:textId="2E909537" w:rsidR="00153373" w:rsidRPr="00183B5F" w:rsidRDefault="00943743">
      <w:pPr>
        <w:pStyle w:val="EMEANormal"/>
        <w:rPr>
          <w:del w:id="8224" w:author="AbbVie_HU_03" w:date="2025-05-14T15:27:00Z"/>
          <w:szCs w:val="22"/>
          <w:lang w:val="hu-HU"/>
        </w:rPr>
      </w:pPr>
      <w:del w:id="8225" w:author="AbbVie_HU_03" w:date="2025-05-14T15:27:00Z">
        <w:r w:rsidRPr="00183B5F">
          <w:rPr>
            <w:szCs w:val="22"/>
            <w:lang w:val="hu-HU"/>
          </w:rPr>
          <w:delText xml:space="preserve">Az adalimumab expozícióját gyermekeknél populációs farmakokinetikai modellezéssel és szimulációval határozták meg egyéb keresztindikációs gyermekgyógyászati betegek (gyermekkori psoriasis, juvenilis idiopathiás arthritis, gyermekkori Crohn-betegség és </w:delText>
        </w:r>
        <w:r w:rsidR="00677908" w:rsidRPr="00183B5F">
          <w:rPr>
            <w:szCs w:val="22"/>
            <w:lang w:val="hu-HU"/>
          </w:rPr>
          <w:delText>enthesitis-asszociált</w:delText>
        </w:r>
        <w:r w:rsidRPr="00183B5F">
          <w:rPr>
            <w:szCs w:val="22"/>
            <w:lang w:val="hu-HU"/>
          </w:rPr>
          <w:delText xml:space="preserve"> arthritis) farmakokinetikája alapján. Nem állnak rendelkezésre klinikai expozíciós adatok a telí</w:delText>
        </w:r>
        <w:r w:rsidR="009129E3" w:rsidRPr="00183B5F">
          <w:rPr>
            <w:szCs w:val="22"/>
            <w:lang w:val="hu-HU"/>
          </w:rPr>
          <w:delText>tő dózis 6 évnél fiatalabb gyer</w:delText>
        </w:r>
        <w:r w:rsidRPr="00183B5F">
          <w:rPr>
            <w:szCs w:val="22"/>
            <w:lang w:val="hu-HU"/>
          </w:rPr>
          <w:delText>mekeknél történő alkalmazásá</w:delText>
        </w:r>
        <w:r w:rsidR="00997B75" w:rsidRPr="00183B5F">
          <w:rPr>
            <w:szCs w:val="22"/>
            <w:lang w:val="hu-HU"/>
          </w:rPr>
          <w:delText>ról</w:delText>
        </w:r>
        <w:r w:rsidRPr="00183B5F">
          <w:rPr>
            <w:szCs w:val="22"/>
            <w:lang w:val="hu-HU"/>
          </w:rPr>
          <w:delText>. A várható expozíció alapján metotrexát hiányában a telítő dózis a szisztémás expozíció kezdeti növekedé</w:delText>
        </w:r>
        <w:r w:rsidR="00667947" w:rsidRPr="00183B5F">
          <w:rPr>
            <w:szCs w:val="22"/>
            <w:lang w:val="hu-HU"/>
          </w:rPr>
          <w:delText>sé</w:delText>
        </w:r>
        <w:r w:rsidRPr="00183B5F">
          <w:rPr>
            <w:szCs w:val="22"/>
            <w:lang w:val="hu-HU"/>
          </w:rPr>
          <w:delText>hez vezethet.</w:delText>
        </w:r>
      </w:del>
    </w:p>
    <w:p w14:paraId="448FB28B" w14:textId="7BB92808" w:rsidR="00A47E6E" w:rsidRPr="00183B5F" w:rsidRDefault="00A47E6E" w:rsidP="00A47E6E">
      <w:pPr>
        <w:spacing w:line="240" w:lineRule="auto"/>
        <w:rPr>
          <w:del w:id="8226" w:author="AbbVie_HU_03" w:date="2025-05-14T15:27:00Z"/>
          <w:szCs w:val="22"/>
        </w:rPr>
      </w:pPr>
    </w:p>
    <w:p w14:paraId="57C15377" w14:textId="5E6FE5B8" w:rsidR="00082481" w:rsidRPr="00183B5F" w:rsidRDefault="00943743" w:rsidP="00082481">
      <w:pPr>
        <w:spacing w:line="240" w:lineRule="auto"/>
        <w:rPr>
          <w:del w:id="8227" w:author="AbbVie_HU_03" w:date="2025-05-14T15:27:00Z"/>
          <w:szCs w:val="22"/>
        </w:rPr>
      </w:pPr>
      <w:del w:id="8228" w:author="AbbVie_HU_03" w:date="2025-05-14T15:27:00Z">
        <w:r w:rsidRPr="00183B5F">
          <w:rPr>
            <w:szCs w:val="22"/>
          </w:rPr>
          <w:delText xml:space="preserve">A populációs farmakokinetikai és farmakokinetikai/farmakodinámás modellezés és szimuláció </w:delText>
        </w:r>
        <w:r w:rsidR="00FB57E7" w:rsidRPr="00183B5F">
          <w:rPr>
            <w:szCs w:val="22"/>
          </w:rPr>
          <w:delText>hasonló</w:delText>
        </w:r>
        <w:r w:rsidRPr="00183B5F">
          <w:rPr>
            <w:szCs w:val="22"/>
          </w:rPr>
          <w:delText xml:space="preserve"> adalimumab</w:delText>
        </w:r>
        <w:r w:rsidR="00A53928" w:rsidRPr="00183B5F">
          <w:rPr>
            <w:szCs w:val="22"/>
          </w:rPr>
          <w:noBreakHyphen/>
        </w:r>
        <w:r w:rsidRPr="00183B5F">
          <w:rPr>
            <w:szCs w:val="22"/>
          </w:rPr>
          <w:delText>expozíció</w:delText>
        </w:r>
        <w:r w:rsidR="00FB57E7" w:rsidRPr="00183B5F">
          <w:rPr>
            <w:szCs w:val="22"/>
          </w:rPr>
          <w:delText>t</w:delText>
        </w:r>
        <w:r w:rsidRPr="00183B5F">
          <w:rPr>
            <w:szCs w:val="22"/>
          </w:rPr>
          <w:delText xml:space="preserve"> és hatásosság</w:delText>
        </w:r>
        <w:r w:rsidR="00FB57E7" w:rsidRPr="00183B5F">
          <w:rPr>
            <w:szCs w:val="22"/>
          </w:rPr>
          <w:delText>ot prognosztizált</w:delText>
        </w:r>
        <w:r w:rsidRPr="00183B5F">
          <w:rPr>
            <w:szCs w:val="22"/>
          </w:rPr>
          <w:delText xml:space="preserve"> azoknál a betegeknél, akiket minden második héten 80 mg-mal kezeltek, </w:delText>
        </w:r>
        <w:r w:rsidR="00FB57E7" w:rsidRPr="00183B5F">
          <w:rPr>
            <w:szCs w:val="22"/>
          </w:rPr>
          <w:delText xml:space="preserve">és azoknál, </w:delText>
        </w:r>
        <w:r w:rsidRPr="00183B5F">
          <w:rPr>
            <w:szCs w:val="22"/>
          </w:rPr>
          <w:delText>akiket hetente 40 mg</w:delText>
        </w:r>
        <w:r w:rsidRPr="00183B5F">
          <w:rPr>
            <w:szCs w:val="22"/>
          </w:rPr>
          <w:noBreakHyphen/>
          <w:delText xml:space="preserve">mal kezeltek (ideértve a rheumatoid arthritisben, hidradenitis suppurativában, colitis ulcerosában, Crohn-betegségben vagy psoriasisban szenvedő felnőtt betegeket, serdülőkori HS-ben szenvedő betegeket és legalább 40 kg testtömegű, Crohn-betegségben </w:delText>
        </w:r>
        <w:r w:rsidR="005737F4" w:rsidRPr="00183B5F">
          <w:rPr>
            <w:szCs w:val="22"/>
          </w:rPr>
          <w:delText xml:space="preserve">és colitis ulcerosában </w:delText>
        </w:r>
        <w:r w:rsidRPr="00183B5F">
          <w:rPr>
            <w:szCs w:val="22"/>
          </w:rPr>
          <w:delText>szenvedő gyermekeket</w:delText>
        </w:r>
        <w:r w:rsidR="00FB57E7" w:rsidRPr="00183B5F">
          <w:rPr>
            <w:szCs w:val="22"/>
          </w:rPr>
          <w:delText xml:space="preserve"> is</w:delText>
        </w:r>
        <w:r w:rsidRPr="00183B5F">
          <w:rPr>
            <w:szCs w:val="22"/>
          </w:rPr>
          <w:delText>).</w:delText>
        </w:r>
      </w:del>
    </w:p>
    <w:p w14:paraId="2EABD552" w14:textId="05CC9BE3" w:rsidR="00816B7B" w:rsidRPr="00183B5F" w:rsidRDefault="00816B7B">
      <w:pPr>
        <w:pStyle w:val="EMEANormal"/>
        <w:keepNext/>
        <w:rPr>
          <w:del w:id="8229" w:author="AbbVie_HU_03" w:date="2025-05-14T15:27:00Z"/>
          <w:szCs w:val="22"/>
          <w:lang w:val="hu-HU"/>
        </w:rPr>
      </w:pPr>
    </w:p>
    <w:p w14:paraId="11238382" w14:textId="2A728327" w:rsidR="00816B7B" w:rsidRPr="00183B5F" w:rsidRDefault="00943743">
      <w:pPr>
        <w:pStyle w:val="EMEANormal"/>
        <w:keepNext/>
        <w:rPr>
          <w:del w:id="8230" w:author="AbbVie_HU_03" w:date="2025-05-14T15:27:00Z"/>
          <w:szCs w:val="22"/>
          <w:u w:val="single"/>
          <w:lang w:val="hu-HU"/>
        </w:rPr>
      </w:pPr>
      <w:del w:id="8231" w:author="AbbVie_HU_03" w:date="2025-05-14T15:27:00Z">
        <w:r w:rsidRPr="00183B5F">
          <w:rPr>
            <w:szCs w:val="22"/>
            <w:u w:val="single"/>
            <w:lang w:val="hu-HU"/>
          </w:rPr>
          <w:delText>Dózis-hatás összefüggés gyermek</w:delText>
        </w:r>
        <w:r w:rsidR="00FD08D3" w:rsidRPr="00183B5F">
          <w:rPr>
            <w:szCs w:val="22"/>
            <w:u w:val="single"/>
            <w:lang w:val="hu-HU"/>
          </w:rPr>
          <w:delText>eknél és serdülőknél</w:delText>
        </w:r>
      </w:del>
    </w:p>
    <w:p w14:paraId="1A78C81A" w14:textId="061E42B8" w:rsidR="00FC288C" w:rsidRPr="00183B5F" w:rsidRDefault="00FC288C">
      <w:pPr>
        <w:pStyle w:val="EMEANormal"/>
        <w:keepNext/>
        <w:rPr>
          <w:del w:id="8232" w:author="AbbVie_HU_03" w:date="2025-05-14T15:27:00Z"/>
          <w:szCs w:val="22"/>
          <w:u w:val="single"/>
          <w:lang w:val="hu-HU"/>
        </w:rPr>
      </w:pPr>
    </w:p>
    <w:p w14:paraId="26A157ED" w14:textId="1957EFC6" w:rsidR="00816B7B" w:rsidRPr="00183B5F" w:rsidRDefault="00943743" w:rsidP="004062FE">
      <w:pPr>
        <w:keepNext/>
        <w:spacing w:line="240" w:lineRule="auto"/>
        <w:rPr>
          <w:del w:id="8233" w:author="AbbVie_HU_03" w:date="2025-05-14T15:27:00Z"/>
        </w:rPr>
      </w:pPr>
      <w:del w:id="8234" w:author="AbbVie_HU_03" w:date="2025-05-14T15:27:00Z">
        <w:r w:rsidRPr="00183B5F">
          <w:delText>JIA-ban (pJIA és ERA) szenvedő betegek</w:delText>
        </w:r>
        <w:r w:rsidR="0074519E" w:rsidRPr="00183B5F">
          <w:delText>nél</w:delText>
        </w:r>
        <w:r w:rsidRPr="00183B5F">
          <w:delText xml:space="preserve"> végzett klinikai vizsgálati adatok alapján </w:delText>
        </w:r>
        <w:r w:rsidR="0074519E" w:rsidRPr="00183B5F">
          <w:delText xml:space="preserve">állapították meg </w:delText>
        </w:r>
        <w:r w:rsidRPr="00183B5F">
          <w:delText xml:space="preserve">a dózis-hatás összefüggést a plazmakoncentrációk és a Pediátriai ACR 50 válasz </w:delText>
        </w:r>
        <w:r w:rsidR="0074519E" w:rsidRPr="00183B5F">
          <w:delText>között</w:delText>
        </w:r>
        <w:r w:rsidRPr="00183B5F">
          <w:delText xml:space="preserve">. Az adalimumab látszólagos </w:delText>
        </w:r>
        <w:r w:rsidR="00C34634" w:rsidRPr="00183B5F">
          <w:delText>plazma</w:delText>
        </w:r>
        <w:r w:rsidRPr="00183B5F">
          <w:delText xml:space="preserve">koncentrációja, ami a Pediátriai ACR 50 válasz </w:delText>
        </w:r>
        <w:r w:rsidR="0074519E" w:rsidRPr="00183B5F">
          <w:delText xml:space="preserve">maximális valószínűsége </w:delText>
        </w:r>
        <w:r w:rsidRPr="00183B5F">
          <w:delText>felének eléréséhez szükséges (EC50)</w:delText>
        </w:r>
        <w:r w:rsidR="00D12B39" w:rsidRPr="00183B5F">
          <w:delText>,</w:delText>
        </w:r>
        <w:r w:rsidRPr="00183B5F">
          <w:delText xml:space="preserve"> 3 </w:delText>
        </w:r>
        <w:r w:rsidR="00CB73C8" w:rsidRPr="00183B5F">
          <w:delText>mikrogramm</w:delText>
        </w:r>
        <w:r w:rsidRPr="00183B5F">
          <w:delText>/ml (95%</w:delText>
        </w:r>
        <w:r w:rsidR="00D12B39" w:rsidRPr="00183B5F">
          <w:noBreakHyphen/>
          <w:delText>os</w:delText>
        </w:r>
        <w:r w:rsidRPr="00183B5F">
          <w:delText xml:space="preserve"> CI: 1</w:delText>
        </w:r>
        <w:r w:rsidRPr="00183B5F">
          <w:noBreakHyphen/>
          <w:delText>6 </w:delText>
        </w:r>
        <w:r w:rsidR="00CB73C8" w:rsidRPr="00183B5F">
          <w:delText>mikrogramm</w:delText>
        </w:r>
        <w:r w:rsidRPr="00183B5F">
          <w:delText>/ml) volt.</w:delText>
        </w:r>
      </w:del>
    </w:p>
    <w:p w14:paraId="16B6E7B5" w14:textId="5D962D9C" w:rsidR="00816B7B" w:rsidRPr="00183B5F" w:rsidRDefault="00816B7B" w:rsidP="004062FE">
      <w:pPr>
        <w:autoSpaceDE w:val="0"/>
        <w:autoSpaceDN w:val="0"/>
        <w:adjustRightInd w:val="0"/>
        <w:spacing w:line="240" w:lineRule="auto"/>
        <w:rPr>
          <w:del w:id="8235" w:author="AbbVie_HU_03" w:date="2025-05-14T15:27:00Z"/>
        </w:rPr>
      </w:pPr>
    </w:p>
    <w:p w14:paraId="01E3BE9C" w14:textId="06158C53" w:rsidR="00816B7B" w:rsidRPr="00183B5F" w:rsidRDefault="00943743" w:rsidP="004062FE">
      <w:pPr>
        <w:autoSpaceDE w:val="0"/>
        <w:autoSpaceDN w:val="0"/>
        <w:adjustRightInd w:val="0"/>
        <w:spacing w:line="240" w:lineRule="auto"/>
        <w:rPr>
          <w:del w:id="8236" w:author="AbbVie_HU_03" w:date="2025-05-14T15:27:00Z"/>
          <w:szCs w:val="22"/>
        </w:rPr>
      </w:pPr>
      <w:del w:id="8237" w:author="AbbVie_HU_03" w:date="2025-05-14T15:27:00Z">
        <w:r w:rsidRPr="00183B5F">
          <w:delText xml:space="preserve">Az adalimumab koncentrációja és hatásossága közötti dózis-hatás összefüggést </w:delText>
        </w:r>
        <w:r w:rsidR="0074519E" w:rsidRPr="00183B5F">
          <w:delText xml:space="preserve">a </w:delText>
        </w:r>
        <w:r w:rsidRPr="00183B5F">
          <w:delText xml:space="preserve">súlyos, krónikus plakkos psoriasisban szenvedő gyermekeknél a PASI 75 és PGA </w:delText>
        </w:r>
        <w:r w:rsidR="00F23D70" w:rsidRPr="00183B5F">
          <w:delText xml:space="preserve">szerinti </w:delText>
        </w:r>
        <w:r w:rsidRPr="00183B5F">
          <w:delText>tiszta vagy minimális érték</w:delText>
        </w:r>
        <w:r w:rsidR="0074519E" w:rsidRPr="00183B5F">
          <w:delText>re vonatkozóan állapították meg</w:delText>
        </w:r>
        <w:r w:rsidRPr="00183B5F">
          <w:delText xml:space="preserve">. A </w:delText>
        </w:r>
        <w:r w:rsidRPr="00183B5F">
          <w:rPr>
            <w:szCs w:val="22"/>
          </w:rPr>
          <w:delText xml:space="preserve">PASI 75 és PGA </w:delText>
        </w:r>
        <w:r w:rsidR="00F23D70" w:rsidRPr="00183B5F">
          <w:rPr>
            <w:szCs w:val="22"/>
          </w:rPr>
          <w:delText xml:space="preserve">szerinti </w:delText>
        </w:r>
        <w:r w:rsidRPr="00183B5F">
          <w:rPr>
            <w:szCs w:val="22"/>
          </w:rPr>
          <w:delText xml:space="preserve">tiszta vagy minimális értéke </w:delText>
        </w:r>
        <w:r w:rsidR="0074519E" w:rsidRPr="00183B5F">
          <w:rPr>
            <w:szCs w:val="22"/>
          </w:rPr>
          <w:delText xml:space="preserve">emelkedett </w:delText>
        </w:r>
        <w:r w:rsidR="000C5B43" w:rsidRPr="00183B5F">
          <w:rPr>
            <w:szCs w:val="22"/>
          </w:rPr>
          <w:delText xml:space="preserve">a </w:delText>
        </w:r>
        <w:r w:rsidRPr="00183B5F">
          <w:rPr>
            <w:szCs w:val="22"/>
          </w:rPr>
          <w:delText>növekvő adal</w:delText>
        </w:r>
        <w:r w:rsidR="0074519E" w:rsidRPr="00183B5F">
          <w:rPr>
            <w:szCs w:val="22"/>
          </w:rPr>
          <w:delText>imu</w:delText>
        </w:r>
        <w:r w:rsidRPr="00183B5F">
          <w:rPr>
            <w:szCs w:val="22"/>
          </w:rPr>
          <w:delText>mab-koncentráció</w:delText>
        </w:r>
        <w:r w:rsidR="000C5B43" w:rsidRPr="00183B5F">
          <w:rPr>
            <w:szCs w:val="22"/>
          </w:rPr>
          <w:delText>kkal</w:delText>
        </w:r>
        <w:r w:rsidRPr="00183B5F">
          <w:rPr>
            <w:szCs w:val="22"/>
          </w:rPr>
          <w:delText>, mindkettő hasonló látszólagos EC50 érték</w:delText>
        </w:r>
        <w:r w:rsidR="0074519E" w:rsidRPr="00183B5F">
          <w:rPr>
            <w:szCs w:val="22"/>
          </w:rPr>
          <w:delText>k</w:delText>
        </w:r>
        <w:r w:rsidRPr="00183B5F">
          <w:rPr>
            <w:szCs w:val="22"/>
          </w:rPr>
          <w:delText>e</w:delText>
        </w:r>
        <w:r w:rsidR="0074519E" w:rsidRPr="00183B5F">
          <w:rPr>
            <w:szCs w:val="22"/>
          </w:rPr>
          <w:delText>l, ami hozzávetőlegesen</w:delText>
        </w:r>
        <w:r w:rsidRPr="00183B5F">
          <w:rPr>
            <w:szCs w:val="22"/>
          </w:rPr>
          <w:delText xml:space="preserve"> 4,5 </w:delText>
        </w:r>
        <w:r w:rsidR="00CB73C8" w:rsidRPr="00183B5F">
          <w:rPr>
            <w:szCs w:val="22"/>
          </w:rPr>
          <w:delText>mikrogramm</w:delText>
        </w:r>
        <w:r w:rsidRPr="00183B5F">
          <w:rPr>
            <w:szCs w:val="22"/>
          </w:rPr>
          <w:delText>/m</w:delText>
        </w:r>
        <w:r w:rsidR="0074519E" w:rsidRPr="00183B5F">
          <w:rPr>
            <w:szCs w:val="22"/>
          </w:rPr>
          <w:delText>l</w:delText>
        </w:r>
        <w:r w:rsidRPr="00183B5F">
          <w:rPr>
            <w:szCs w:val="22"/>
          </w:rPr>
          <w:delText xml:space="preserve"> (95%</w:delText>
        </w:r>
        <w:r w:rsidR="00D12B39" w:rsidRPr="00183B5F">
          <w:rPr>
            <w:szCs w:val="22"/>
          </w:rPr>
          <w:noBreakHyphen/>
          <w:delText>os</w:delText>
        </w:r>
        <w:r w:rsidRPr="00183B5F">
          <w:rPr>
            <w:szCs w:val="22"/>
          </w:rPr>
          <w:delText xml:space="preserve"> CI 0</w:delText>
        </w:r>
        <w:r w:rsidR="0074519E" w:rsidRPr="00183B5F">
          <w:rPr>
            <w:szCs w:val="22"/>
          </w:rPr>
          <w:delText>,</w:delText>
        </w:r>
        <w:r w:rsidRPr="00183B5F">
          <w:rPr>
            <w:szCs w:val="22"/>
          </w:rPr>
          <w:delText xml:space="preserve">4-47,6 </w:delText>
        </w:r>
        <w:r w:rsidR="000807DC" w:rsidRPr="00183B5F">
          <w:rPr>
            <w:szCs w:val="22"/>
          </w:rPr>
          <w:delText>illetve</w:delText>
        </w:r>
        <w:r w:rsidRPr="00183B5F">
          <w:rPr>
            <w:szCs w:val="22"/>
          </w:rPr>
          <w:delText xml:space="preserve"> 1,9-10,5) volt.</w:delText>
        </w:r>
      </w:del>
    </w:p>
    <w:p w14:paraId="19140E76" w14:textId="03B4F2AB" w:rsidR="00A70C16" w:rsidRPr="00183B5F" w:rsidRDefault="00A70C16" w:rsidP="004062FE">
      <w:pPr>
        <w:spacing w:line="240" w:lineRule="auto"/>
        <w:rPr>
          <w:del w:id="8238" w:author="AbbVie_HU_03" w:date="2025-05-14T15:27:00Z"/>
          <w:szCs w:val="22"/>
        </w:rPr>
      </w:pPr>
    </w:p>
    <w:p w14:paraId="317B89A8" w14:textId="38349033" w:rsidR="00D20685" w:rsidRPr="00183B5F" w:rsidRDefault="00943743" w:rsidP="00FE0197">
      <w:pPr>
        <w:keepNext/>
        <w:spacing w:line="240" w:lineRule="auto"/>
        <w:rPr>
          <w:del w:id="8239" w:author="AbbVie_HU_03" w:date="2025-05-14T15:27:00Z"/>
          <w:szCs w:val="22"/>
          <w:u w:val="single"/>
        </w:rPr>
      </w:pPr>
      <w:del w:id="8240" w:author="AbbVie_HU_03" w:date="2025-05-14T15:27:00Z">
        <w:r w:rsidRPr="00183B5F">
          <w:rPr>
            <w:szCs w:val="22"/>
            <w:u w:val="single"/>
          </w:rPr>
          <w:delText>Elimináció</w:delText>
        </w:r>
      </w:del>
    </w:p>
    <w:p w14:paraId="6B5CB2C4" w14:textId="538CCEAA" w:rsidR="00FB6710" w:rsidRPr="00183B5F" w:rsidRDefault="00FB6710" w:rsidP="00FE0197">
      <w:pPr>
        <w:keepNext/>
        <w:spacing w:line="240" w:lineRule="auto"/>
        <w:rPr>
          <w:del w:id="8241" w:author="AbbVie_HU_03" w:date="2025-05-14T15:27:00Z"/>
          <w:szCs w:val="22"/>
        </w:rPr>
      </w:pPr>
    </w:p>
    <w:p w14:paraId="5E430702" w14:textId="3A94EC78" w:rsidR="00FB6710" w:rsidRPr="00183B5F" w:rsidRDefault="00943743" w:rsidP="004062FE">
      <w:pPr>
        <w:spacing w:line="240" w:lineRule="auto"/>
        <w:rPr>
          <w:del w:id="8242" w:author="AbbVie_HU_03" w:date="2025-05-14T15:27:00Z"/>
          <w:szCs w:val="22"/>
        </w:rPr>
      </w:pPr>
      <w:del w:id="8243" w:author="AbbVie_HU_03" w:date="2025-05-14T15:27:00Z">
        <w:r w:rsidRPr="00183B5F">
          <w:rPr>
            <w:szCs w:val="22"/>
          </w:rPr>
          <w:delText>Több</w:delText>
        </w:r>
        <w:r w:rsidR="00DA0DD2" w:rsidRPr="00183B5F">
          <w:rPr>
            <w:szCs w:val="22"/>
          </w:rPr>
          <w:delText xml:space="preserve"> mint 1300 </w:delText>
        </w:r>
        <w:r w:rsidRPr="00183B5F">
          <w:rPr>
            <w:szCs w:val="22"/>
          </w:rPr>
          <w:delText>RA beteg</w:delText>
        </w:r>
        <w:r w:rsidR="00DA0DD2" w:rsidRPr="00183B5F">
          <w:rPr>
            <w:szCs w:val="22"/>
          </w:rPr>
          <w:delText>en</w:delText>
        </w:r>
        <w:r w:rsidRPr="00183B5F">
          <w:rPr>
            <w:szCs w:val="22"/>
          </w:rPr>
          <w:delText xml:space="preserve"> végzett populációs farmakokinetikai vizsgálatokból származó adatok alapján derült ki, hogy a testsúly növekedésével nő az adalimumab</w:delText>
        </w:r>
        <w:r w:rsidR="00DA0DD2" w:rsidRPr="00183B5F">
          <w:rPr>
            <w:szCs w:val="22"/>
          </w:rPr>
          <w:delText>-</w:delText>
        </w:r>
        <w:r w:rsidRPr="00183B5F">
          <w:rPr>
            <w:szCs w:val="22"/>
          </w:rPr>
          <w:delText>clearence. A testsúlykülönbség korrekciója után úgy látszik, a nemnek és az életkornak minimális hatása van az adalimumab clearence</w:delText>
        </w:r>
        <w:r w:rsidRPr="00183B5F">
          <w:rPr>
            <w:szCs w:val="22"/>
          </w:rPr>
          <w:noBreakHyphen/>
          <w:delText>ére. A szérumban mérhető</w:delText>
        </w:r>
        <w:r w:rsidR="00DA0DD2" w:rsidRPr="00183B5F">
          <w:rPr>
            <w:szCs w:val="22"/>
          </w:rPr>
          <w:delText>, adalimumab</w:delText>
        </w:r>
        <w:r w:rsidR="00E5381A" w:rsidRPr="00183B5F">
          <w:rPr>
            <w:szCs w:val="22"/>
          </w:rPr>
          <w:noBreakHyphen/>
        </w:r>
        <w:r w:rsidR="00DA0DD2" w:rsidRPr="00183B5F">
          <w:rPr>
            <w:szCs w:val="22"/>
          </w:rPr>
          <w:delText>ellenes antitestekhez (AAA) nem kötődő</w:delText>
        </w:r>
        <w:r w:rsidRPr="00183B5F">
          <w:rPr>
            <w:szCs w:val="22"/>
          </w:rPr>
          <w:delText xml:space="preserve"> szabad</w:delText>
        </w:r>
        <w:r w:rsidR="00D12B39" w:rsidRPr="00183B5F">
          <w:rPr>
            <w:szCs w:val="22"/>
          </w:rPr>
          <w:delText xml:space="preserve"> </w:delText>
        </w:r>
        <w:r w:rsidRPr="00183B5F">
          <w:rPr>
            <w:szCs w:val="22"/>
          </w:rPr>
          <w:delText>adalimumab</w:delText>
        </w:r>
        <w:r w:rsidR="00322FDE" w:rsidRPr="00183B5F">
          <w:rPr>
            <w:szCs w:val="22"/>
          </w:rPr>
          <w:delText xml:space="preserve"> </w:delText>
        </w:r>
        <w:r w:rsidRPr="00183B5F">
          <w:rPr>
            <w:szCs w:val="22"/>
          </w:rPr>
          <w:delText>koncentráció</w:delText>
        </w:r>
        <w:r w:rsidR="00322FDE" w:rsidRPr="00183B5F">
          <w:rPr>
            <w:szCs w:val="22"/>
          </w:rPr>
          <w:delText>ja</w:delText>
        </w:r>
        <w:r w:rsidRPr="00183B5F">
          <w:rPr>
            <w:szCs w:val="22"/>
          </w:rPr>
          <w:delText xml:space="preserve"> alacsonyabbnak bizonyult olyan betegek esetében, akiknél mérhető </w:delText>
        </w:r>
        <w:r w:rsidR="00DA0DD2" w:rsidRPr="00183B5F">
          <w:rPr>
            <w:szCs w:val="22"/>
          </w:rPr>
          <w:delText xml:space="preserve">volt </w:delText>
        </w:r>
        <w:r w:rsidRPr="00183B5F">
          <w:rPr>
            <w:szCs w:val="22"/>
          </w:rPr>
          <w:delText>az AAA</w:delText>
        </w:r>
        <w:r w:rsidR="00DA0DD2" w:rsidRPr="00183B5F">
          <w:rPr>
            <w:szCs w:val="22"/>
          </w:rPr>
          <w:delText xml:space="preserve"> </w:delText>
        </w:r>
        <w:r w:rsidRPr="00183B5F">
          <w:rPr>
            <w:szCs w:val="22"/>
          </w:rPr>
          <w:delText>szintje.</w:delText>
        </w:r>
      </w:del>
    </w:p>
    <w:p w14:paraId="4C70B0AA" w14:textId="7E409E04" w:rsidR="00D20685" w:rsidRPr="00183B5F" w:rsidRDefault="00D20685" w:rsidP="004062FE">
      <w:pPr>
        <w:spacing w:line="240" w:lineRule="auto"/>
        <w:rPr>
          <w:del w:id="8244" w:author="AbbVie_HU_03" w:date="2025-05-14T15:27:00Z"/>
          <w:szCs w:val="22"/>
        </w:rPr>
      </w:pPr>
    </w:p>
    <w:p w14:paraId="1A365AE7" w14:textId="2CEC2DCF" w:rsidR="00D20685" w:rsidRPr="00183B5F" w:rsidRDefault="00943743" w:rsidP="004062FE">
      <w:pPr>
        <w:keepNext/>
        <w:spacing w:line="240" w:lineRule="auto"/>
        <w:rPr>
          <w:del w:id="8245" w:author="AbbVie_HU_03" w:date="2025-05-14T15:27:00Z"/>
          <w:szCs w:val="22"/>
          <w:u w:val="single"/>
        </w:rPr>
      </w:pPr>
      <w:del w:id="8246" w:author="AbbVie_HU_03" w:date="2025-05-14T15:27:00Z">
        <w:r w:rsidRPr="00183B5F">
          <w:rPr>
            <w:szCs w:val="22"/>
            <w:u w:val="single"/>
          </w:rPr>
          <w:delText>Máj- vagy vesekárosodás</w:delText>
        </w:r>
      </w:del>
    </w:p>
    <w:p w14:paraId="324A0E09" w14:textId="7BA62C92" w:rsidR="00D20685" w:rsidRPr="00183B5F" w:rsidRDefault="00D20685" w:rsidP="004062FE">
      <w:pPr>
        <w:keepNext/>
        <w:spacing w:line="240" w:lineRule="auto"/>
        <w:rPr>
          <w:del w:id="8247" w:author="AbbVie_HU_03" w:date="2025-05-14T15:27:00Z"/>
          <w:szCs w:val="22"/>
        </w:rPr>
      </w:pPr>
    </w:p>
    <w:p w14:paraId="5E0938FF" w14:textId="3C16A588" w:rsidR="00D20685" w:rsidRPr="00183B5F" w:rsidRDefault="00943743" w:rsidP="004062FE">
      <w:pPr>
        <w:spacing w:line="240" w:lineRule="auto"/>
        <w:rPr>
          <w:del w:id="8248" w:author="AbbVie_HU_03" w:date="2025-05-14T15:27:00Z"/>
          <w:szCs w:val="22"/>
        </w:rPr>
      </w:pPr>
      <w:del w:id="8249" w:author="AbbVie_HU_03" w:date="2025-05-14T15:27:00Z">
        <w:r w:rsidRPr="00183B5F">
          <w:rPr>
            <w:szCs w:val="22"/>
          </w:rPr>
          <w:delText>A Humira</w:delText>
        </w:r>
        <w:r w:rsidRPr="00183B5F">
          <w:rPr>
            <w:szCs w:val="22"/>
          </w:rPr>
          <w:noBreakHyphen/>
          <w:delText>t nem vizsgálták máj- vagy vesekárosodásban szenvedő betegeknél.</w:delText>
        </w:r>
      </w:del>
    </w:p>
    <w:p w14:paraId="22DC84A7" w14:textId="4BD914A4" w:rsidR="00FB6710" w:rsidRPr="00183B5F" w:rsidRDefault="00FB6710" w:rsidP="004062FE">
      <w:pPr>
        <w:spacing w:line="240" w:lineRule="auto"/>
        <w:rPr>
          <w:del w:id="8250" w:author="AbbVie_HU_03" w:date="2025-05-14T15:27:00Z"/>
          <w:szCs w:val="22"/>
        </w:rPr>
      </w:pPr>
    </w:p>
    <w:p w14:paraId="00D9B15F" w14:textId="465F81C8" w:rsidR="00FB6710" w:rsidRPr="00183B5F" w:rsidRDefault="00943743" w:rsidP="004062FE">
      <w:pPr>
        <w:keepNext/>
        <w:spacing w:line="240" w:lineRule="auto"/>
        <w:rPr>
          <w:del w:id="8251" w:author="AbbVie_HU_03" w:date="2025-05-14T15:27:00Z"/>
          <w:b/>
          <w:szCs w:val="22"/>
        </w:rPr>
      </w:pPr>
      <w:del w:id="8252" w:author="AbbVie_HU_03" w:date="2025-05-14T15:27:00Z">
        <w:r w:rsidRPr="00183B5F">
          <w:rPr>
            <w:b/>
            <w:szCs w:val="22"/>
          </w:rPr>
          <w:delText>5.3</w:delText>
        </w:r>
        <w:r w:rsidRPr="00183B5F">
          <w:rPr>
            <w:b/>
            <w:szCs w:val="22"/>
          </w:rPr>
          <w:tab/>
          <w:delText>A preklinikai biztonságossági vizsgálatok eredményei</w:delText>
        </w:r>
      </w:del>
    </w:p>
    <w:p w14:paraId="3A762D8E" w14:textId="5902A0F5" w:rsidR="00FB6710" w:rsidRPr="00183B5F" w:rsidRDefault="00FB6710" w:rsidP="004062FE">
      <w:pPr>
        <w:keepNext/>
        <w:spacing w:line="240" w:lineRule="auto"/>
        <w:rPr>
          <w:del w:id="8253" w:author="AbbVie_HU_03" w:date="2025-05-14T15:27:00Z"/>
          <w:szCs w:val="22"/>
        </w:rPr>
      </w:pPr>
    </w:p>
    <w:p w14:paraId="62BE6239" w14:textId="0DE5DBCE" w:rsidR="00322FDE" w:rsidRPr="00183B5F" w:rsidRDefault="00943743" w:rsidP="004062FE">
      <w:pPr>
        <w:pStyle w:val="EndnoteText"/>
        <w:tabs>
          <w:tab w:val="clear" w:pos="567"/>
          <w:tab w:val="left" w:pos="708"/>
        </w:tabs>
        <w:suppressAutoHyphens/>
        <w:rPr>
          <w:del w:id="8254" w:author="AbbVie_HU_03" w:date="2025-05-14T15:27:00Z"/>
          <w:sz w:val="22"/>
          <w:szCs w:val="22"/>
          <w:lang w:val="hu-HU" w:eastAsia="hu-HU"/>
        </w:rPr>
      </w:pPr>
      <w:del w:id="8255" w:author="AbbVie_HU_03" w:date="2025-05-14T15:27:00Z">
        <w:r w:rsidRPr="00183B5F">
          <w:rPr>
            <w:sz w:val="22"/>
            <w:szCs w:val="22"/>
            <w:lang w:val="hu-HU" w:eastAsia="hu-HU"/>
          </w:rPr>
          <w:delText>Egyszeri és ismételt adagolású dózistoxicitási, valamint genotoxicitási vizsgálatokból származó nem klinikai jellegű adatok azt igazolták, hogy a készítmény alkalmazásakor humán vonatkozásban különleges kockázat nem várható.</w:delText>
        </w:r>
      </w:del>
    </w:p>
    <w:p w14:paraId="3CCB0E82" w14:textId="462E19BE" w:rsidR="00FB6710" w:rsidRPr="00183B5F" w:rsidRDefault="00FB6710" w:rsidP="004062FE">
      <w:pPr>
        <w:pStyle w:val="EndnoteText"/>
        <w:tabs>
          <w:tab w:val="clear" w:pos="567"/>
          <w:tab w:val="left" w:pos="708"/>
        </w:tabs>
        <w:suppressAutoHyphens/>
        <w:rPr>
          <w:del w:id="8256" w:author="AbbVie_HU_03" w:date="2025-05-14T15:27:00Z"/>
          <w:sz w:val="22"/>
          <w:szCs w:val="22"/>
          <w:lang w:val="hu-HU" w:eastAsia="hu-HU"/>
        </w:rPr>
      </w:pPr>
    </w:p>
    <w:p w14:paraId="54F856FC" w14:textId="569DA7C1" w:rsidR="00FB6710" w:rsidRPr="00183B5F" w:rsidRDefault="00943743" w:rsidP="004062FE">
      <w:pPr>
        <w:spacing w:line="240" w:lineRule="auto"/>
        <w:rPr>
          <w:del w:id="8257" w:author="AbbVie_HU_03" w:date="2025-05-14T15:27:00Z"/>
          <w:szCs w:val="22"/>
        </w:rPr>
      </w:pPr>
      <w:del w:id="8258" w:author="AbbVie_HU_03" w:date="2025-05-14T15:27:00Z">
        <w:r w:rsidRPr="00183B5F">
          <w:rPr>
            <w:szCs w:val="22"/>
          </w:rPr>
          <w:delText xml:space="preserve">Majmokon folytattak vizsgálatot a gyógyszernek az embrionális </w:delText>
        </w:r>
        <w:r w:rsidR="00821DCB" w:rsidRPr="00183B5F">
          <w:rPr>
            <w:szCs w:val="22"/>
          </w:rPr>
          <w:delText>–</w:delText>
        </w:r>
        <w:r w:rsidRPr="00183B5F">
          <w:rPr>
            <w:szCs w:val="22"/>
          </w:rPr>
          <w:delText xml:space="preserve"> magzati fejlődésre, illetve a perinatalis fejlődésre gyakorolt hatásának felmérésére, aminek során 0</w:delText>
        </w:r>
        <w:r w:rsidR="00D12B39" w:rsidRPr="00183B5F">
          <w:rPr>
            <w:szCs w:val="22"/>
          </w:rPr>
          <w:delText> mg/ttkg</w:delText>
        </w:r>
        <w:r w:rsidRPr="00183B5F">
          <w:rPr>
            <w:szCs w:val="22"/>
          </w:rPr>
          <w:delText>,</w:delText>
        </w:r>
        <w:r w:rsidR="00D12B39" w:rsidRPr="00183B5F">
          <w:rPr>
            <w:szCs w:val="22"/>
          </w:rPr>
          <w:delText xml:space="preserve"> </w:delText>
        </w:r>
        <w:r w:rsidRPr="00183B5F">
          <w:rPr>
            <w:szCs w:val="22"/>
          </w:rPr>
          <w:delText>30 mg</w:delText>
        </w:r>
        <w:r w:rsidR="00127A0B" w:rsidRPr="00183B5F">
          <w:rPr>
            <w:szCs w:val="22"/>
          </w:rPr>
          <w:delText>/ttkg</w:delText>
        </w:r>
        <w:r w:rsidRPr="00183B5F">
          <w:rPr>
            <w:szCs w:val="22"/>
          </w:rPr>
          <w:delText xml:space="preserve"> illetve 100 mg</w:delText>
        </w:r>
        <w:r w:rsidR="00127A0B" w:rsidRPr="00183B5F">
          <w:rPr>
            <w:szCs w:val="22"/>
          </w:rPr>
          <w:delText>/ttkg</w:delText>
        </w:r>
        <w:r w:rsidRPr="00183B5F">
          <w:rPr>
            <w:szCs w:val="22"/>
          </w:rPr>
          <w:delText xml:space="preserve"> dózisú adalimumabot adtak majmoknak (csoportonként 9</w:delText>
        </w:r>
        <w:r w:rsidRPr="00183B5F">
          <w:rPr>
            <w:szCs w:val="22"/>
          </w:rPr>
          <w:noBreakHyphen/>
          <w:delText>17</w:delText>
        </w:r>
        <w:r w:rsidR="00343531" w:rsidRPr="00183B5F">
          <w:rPr>
            <w:szCs w:val="22"/>
          </w:rPr>
          <w:delText> </w:delText>
        </w:r>
        <w:r w:rsidRPr="00183B5F">
          <w:rPr>
            <w:szCs w:val="22"/>
          </w:rPr>
          <w:delText xml:space="preserve">majom volt), a magzati károsodás minden jele nélkül. Sem karcinogenitási vizsgálatok, sem </w:delText>
        </w:r>
        <w:r w:rsidR="00DA0DD2" w:rsidRPr="00183B5F">
          <w:rPr>
            <w:szCs w:val="22"/>
          </w:rPr>
          <w:delText xml:space="preserve">standard </w:delText>
        </w:r>
        <w:r w:rsidR="00171E97" w:rsidRPr="00183B5F">
          <w:rPr>
            <w:szCs w:val="22"/>
          </w:rPr>
          <w:delText xml:space="preserve">termékenységi vagy </w:delText>
        </w:r>
        <w:r w:rsidRPr="00183B5F">
          <w:rPr>
            <w:szCs w:val="22"/>
          </w:rPr>
          <w:delText>postnatalis toxicitási vizsgálatok nem történtek</w:delText>
        </w:r>
        <w:r w:rsidR="00DA0DD2" w:rsidRPr="00183B5F">
          <w:rPr>
            <w:szCs w:val="22"/>
          </w:rPr>
          <w:delText xml:space="preserve"> megfelelő antitestmodell hiányában, mivel az adalimumab</w:delText>
        </w:r>
        <w:r w:rsidRPr="00183B5F">
          <w:rPr>
            <w:szCs w:val="22"/>
          </w:rPr>
          <w:delText xml:space="preserve"> a </w:delText>
        </w:r>
        <w:r w:rsidR="00DA0DD2" w:rsidRPr="00183B5F">
          <w:rPr>
            <w:szCs w:val="22"/>
          </w:rPr>
          <w:delText>rágcsáló TNF</w:delText>
        </w:r>
        <w:r w:rsidR="00343531" w:rsidRPr="00183B5F">
          <w:rPr>
            <w:szCs w:val="22"/>
          </w:rPr>
          <w:noBreakHyphen/>
        </w:r>
        <w:r w:rsidR="00DA0DD2" w:rsidRPr="00183B5F">
          <w:rPr>
            <w:szCs w:val="22"/>
          </w:rPr>
          <w:delText xml:space="preserve">fel alacsony keresztreakciót mutat, és ellene a </w:delText>
        </w:r>
        <w:r w:rsidRPr="00183B5F">
          <w:rPr>
            <w:szCs w:val="22"/>
          </w:rPr>
          <w:delText>rágcsálókban neutralizáló antitestek képződnek.</w:delText>
        </w:r>
      </w:del>
    </w:p>
    <w:p w14:paraId="562DDF82" w14:textId="793975BF" w:rsidR="009620B9" w:rsidRPr="00183B5F" w:rsidRDefault="009620B9" w:rsidP="004062FE">
      <w:pPr>
        <w:spacing w:line="240" w:lineRule="auto"/>
        <w:rPr>
          <w:del w:id="8259" w:author="AbbVie_HU_03" w:date="2025-05-14T15:27:00Z"/>
          <w:b/>
          <w:szCs w:val="22"/>
        </w:rPr>
      </w:pPr>
    </w:p>
    <w:p w14:paraId="38E44F86" w14:textId="2C670A0A" w:rsidR="009620B9" w:rsidRPr="00183B5F" w:rsidRDefault="009620B9" w:rsidP="004062FE">
      <w:pPr>
        <w:spacing w:line="240" w:lineRule="auto"/>
        <w:rPr>
          <w:del w:id="8260" w:author="AbbVie_HU_03" w:date="2025-05-14T15:27:00Z"/>
          <w:b/>
          <w:szCs w:val="22"/>
        </w:rPr>
      </w:pPr>
    </w:p>
    <w:p w14:paraId="29CBA498" w14:textId="70C0DD15" w:rsidR="00FB6710" w:rsidRPr="00183B5F" w:rsidRDefault="00943743" w:rsidP="004062FE">
      <w:pPr>
        <w:spacing w:line="240" w:lineRule="auto"/>
        <w:rPr>
          <w:del w:id="8261" w:author="AbbVie_HU_03" w:date="2025-05-14T15:27:00Z"/>
          <w:b/>
          <w:szCs w:val="22"/>
        </w:rPr>
      </w:pPr>
      <w:del w:id="8262" w:author="AbbVie_HU_03" w:date="2025-05-14T15:27:00Z">
        <w:r w:rsidRPr="00183B5F">
          <w:rPr>
            <w:b/>
            <w:szCs w:val="22"/>
          </w:rPr>
          <w:delText>6.</w:delText>
        </w:r>
        <w:r w:rsidRPr="00183B5F">
          <w:rPr>
            <w:b/>
            <w:szCs w:val="22"/>
          </w:rPr>
          <w:tab/>
          <w:delText>GYÓGYSZERÉSZETI JELLEMZŐK</w:delText>
        </w:r>
      </w:del>
    </w:p>
    <w:p w14:paraId="047617B1" w14:textId="31EE5D4D" w:rsidR="00FB6710" w:rsidRPr="00183B5F" w:rsidRDefault="00FB6710" w:rsidP="004062FE">
      <w:pPr>
        <w:spacing w:line="240" w:lineRule="auto"/>
        <w:rPr>
          <w:del w:id="8263" w:author="AbbVie_HU_03" w:date="2025-05-14T15:27:00Z"/>
          <w:szCs w:val="22"/>
        </w:rPr>
      </w:pPr>
    </w:p>
    <w:p w14:paraId="417784D1" w14:textId="1F6DE892" w:rsidR="00FB6710" w:rsidRPr="00183B5F" w:rsidRDefault="00943743" w:rsidP="004062FE">
      <w:pPr>
        <w:spacing w:line="240" w:lineRule="auto"/>
        <w:ind w:left="567" w:hanging="567"/>
        <w:rPr>
          <w:del w:id="8264" w:author="AbbVie_HU_03" w:date="2025-05-14T15:27:00Z"/>
          <w:b/>
          <w:szCs w:val="22"/>
        </w:rPr>
      </w:pPr>
      <w:del w:id="8265" w:author="AbbVie_HU_03" w:date="2025-05-14T15:27:00Z">
        <w:r w:rsidRPr="00183B5F">
          <w:rPr>
            <w:b/>
            <w:szCs w:val="22"/>
          </w:rPr>
          <w:delText>6.1</w:delText>
        </w:r>
        <w:r w:rsidRPr="00183B5F">
          <w:rPr>
            <w:b/>
            <w:szCs w:val="22"/>
          </w:rPr>
          <w:tab/>
          <w:delText>Segédanyagok felsorolása</w:delText>
        </w:r>
      </w:del>
    </w:p>
    <w:p w14:paraId="212F2383" w14:textId="567FE834" w:rsidR="005B2F2E" w:rsidRPr="00183B5F" w:rsidRDefault="005B2F2E" w:rsidP="004062FE">
      <w:pPr>
        <w:spacing w:line="240" w:lineRule="auto"/>
        <w:rPr>
          <w:del w:id="8266" w:author="AbbVie_HU_03" w:date="2025-05-14T15:27:00Z"/>
          <w:szCs w:val="22"/>
        </w:rPr>
      </w:pPr>
    </w:p>
    <w:p w14:paraId="28722D69" w14:textId="736AAB75" w:rsidR="00FB6710" w:rsidRPr="00183B5F" w:rsidRDefault="00943743" w:rsidP="004062FE">
      <w:pPr>
        <w:spacing w:line="240" w:lineRule="auto"/>
        <w:rPr>
          <w:del w:id="8267" w:author="AbbVie_HU_03" w:date="2025-05-14T15:27:00Z"/>
          <w:szCs w:val="22"/>
        </w:rPr>
      </w:pPr>
      <w:del w:id="8268" w:author="AbbVie_HU_03" w:date="2025-05-14T15:27:00Z">
        <w:r w:rsidRPr="00183B5F">
          <w:rPr>
            <w:szCs w:val="22"/>
          </w:rPr>
          <w:delText>Mannit,</w:delText>
        </w:r>
      </w:del>
    </w:p>
    <w:p w14:paraId="3F44E04C" w14:textId="6CF3B006" w:rsidR="00FB6710" w:rsidRPr="00183B5F" w:rsidRDefault="00943743" w:rsidP="004062FE">
      <w:pPr>
        <w:spacing w:line="240" w:lineRule="auto"/>
        <w:rPr>
          <w:del w:id="8269" w:author="AbbVie_HU_03" w:date="2025-05-14T15:27:00Z"/>
          <w:szCs w:val="22"/>
        </w:rPr>
      </w:pPr>
      <w:del w:id="8270" w:author="AbbVie_HU_03" w:date="2025-05-14T15:27:00Z">
        <w:r w:rsidRPr="00183B5F">
          <w:rPr>
            <w:szCs w:val="22"/>
          </w:rPr>
          <w:delText>citromsav</w:delText>
        </w:r>
        <w:r w:rsidRPr="00183B5F">
          <w:rPr>
            <w:szCs w:val="22"/>
          </w:rPr>
          <w:noBreakHyphen/>
          <w:delText>monohidrát,</w:delText>
        </w:r>
      </w:del>
    </w:p>
    <w:p w14:paraId="505DA491" w14:textId="1190AFB0" w:rsidR="00FB6710" w:rsidRPr="00183B5F" w:rsidRDefault="00943743" w:rsidP="004062FE">
      <w:pPr>
        <w:spacing w:line="240" w:lineRule="auto"/>
        <w:rPr>
          <w:del w:id="8271" w:author="AbbVie_HU_03" w:date="2025-05-14T15:27:00Z"/>
          <w:szCs w:val="22"/>
        </w:rPr>
      </w:pPr>
      <w:del w:id="8272" w:author="AbbVie_HU_03" w:date="2025-05-14T15:27:00Z">
        <w:r w:rsidRPr="00183B5F">
          <w:rPr>
            <w:szCs w:val="22"/>
          </w:rPr>
          <w:delText>trinátrium</w:delText>
        </w:r>
        <w:r w:rsidR="00343531" w:rsidRPr="00183B5F">
          <w:rPr>
            <w:szCs w:val="22"/>
          </w:rPr>
          <w:noBreakHyphen/>
        </w:r>
        <w:r w:rsidRPr="00183B5F">
          <w:rPr>
            <w:szCs w:val="22"/>
          </w:rPr>
          <w:delText>citrát,</w:delText>
        </w:r>
      </w:del>
    </w:p>
    <w:p w14:paraId="337F2A2A" w14:textId="7051F4AC" w:rsidR="00FB6710" w:rsidRPr="00183B5F" w:rsidRDefault="00943743" w:rsidP="004062FE">
      <w:pPr>
        <w:spacing w:line="240" w:lineRule="auto"/>
        <w:rPr>
          <w:del w:id="8273" w:author="AbbVie_HU_03" w:date="2025-05-14T15:27:00Z"/>
          <w:szCs w:val="22"/>
        </w:rPr>
      </w:pPr>
      <w:del w:id="8274" w:author="AbbVie_HU_03" w:date="2025-05-14T15:27:00Z">
        <w:r w:rsidRPr="00183B5F">
          <w:rPr>
            <w:szCs w:val="22"/>
          </w:rPr>
          <w:delText>nátrium</w:delText>
        </w:r>
        <w:r w:rsidRPr="00183B5F">
          <w:rPr>
            <w:szCs w:val="22"/>
          </w:rPr>
          <w:noBreakHyphen/>
          <w:delText>dihidrogén</w:delText>
        </w:r>
        <w:r w:rsidRPr="00183B5F">
          <w:rPr>
            <w:szCs w:val="22"/>
          </w:rPr>
          <w:noBreakHyphen/>
          <w:delText>foszfát</w:delText>
        </w:r>
        <w:r w:rsidRPr="00183B5F">
          <w:rPr>
            <w:szCs w:val="22"/>
          </w:rPr>
          <w:noBreakHyphen/>
          <w:delText>dihidrát,</w:delText>
        </w:r>
      </w:del>
    </w:p>
    <w:p w14:paraId="30815EC8" w14:textId="73635E9E" w:rsidR="00FB6710" w:rsidRPr="00183B5F" w:rsidRDefault="00943743" w:rsidP="004062FE">
      <w:pPr>
        <w:spacing w:line="240" w:lineRule="auto"/>
        <w:rPr>
          <w:del w:id="8275" w:author="AbbVie_HU_03" w:date="2025-05-14T15:27:00Z"/>
          <w:szCs w:val="22"/>
        </w:rPr>
      </w:pPr>
      <w:del w:id="8276" w:author="AbbVie_HU_03" w:date="2025-05-14T15:27:00Z">
        <w:r w:rsidRPr="00183B5F">
          <w:rPr>
            <w:szCs w:val="22"/>
          </w:rPr>
          <w:delText>dinátrium</w:delText>
        </w:r>
        <w:r w:rsidRPr="00183B5F">
          <w:rPr>
            <w:szCs w:val="22"/>
          </w:rPr>
          <w:noBreakHyphen/>
          <w:delText>hidrogén</w:delText>
        </w:r>
        <w:r w:rsidRPr="00183B5F">
          <w:rPr>
            <w:szCs w:val="22"/>
          </w:rPr>
          <w:noBreakHyphen/>
        </w:r>
        <w:r w:rsidRPr="00183B5F">
          <w:rPr>
            <w:szCs w:val="22"/>
          </w:rPr>
          <w:delText>foszfát</w:delText>
        </w:r>
        <w:r w:rsidRPr="00183B5F">
          <w:rPr>
            <w:szCs w:val="22"/>
          </w:rPr>
          <w:noBreakHyphen/>
          <w:delText>dihidrát,</w:delText>
        </w:r>
      </w:del>
    </w:p>
    <w:p w14:paraId="6E1DEA1B" w14:textId="7F9B37C2" w:rsidR="00FB6710" w:rsidRPr="00183B5F" w:rsidRDefault="00943743" w:rsidP="004062FE">
      <w:pPr>
        <w:spacing w:line="240" w:lineRule="auto"/>
        <w:rPr>
          <w:del w:id="8277" w:author="AbbVie_HU_03" w:date="2025-05-14T15:27:00Z"/>
          <w:szCs w:val="22"/>
        </w:rPr>
      </w:pPr>
      <w:del w:id="8278" w:author="AbbVie_HU_03" w:date="2025-05-14T15:27:00Z">
        <w:r w:rsidRPr="00183B5F">
          <w:rPr>
            <w:szCs w:val="22"/>
          </w:rPr>
          <w:delText>nátrium</w:delText>
        </w:r>
        <w:r w:rsidRPr="00183B5F">
          <w:rPr>
            <w:szCs w:val="22"/>
          </w:rPr>
          <w:noBreakHyphen/>
          <w:delText>klorid,</w:delText>
        </w:r>
      </w:del>
    </w:p>
    <w:p w14:paraId="0CAB0AA5" w14:textId="069AE04F" w:rsidR="00FB6710" w:rsidRPr="00183B5F" w:rsidRDefault="00943743" w:rsidP="004062FE">
      <w:pPr>
        <w:spacing w:line="240" w:lineRule="auto"/>
        <w:rPr>
          <w:del w:id="8279" w:author="AbbVie_HU_03" w:date="2025-05-14T15:27:00Z"/>
          <w:szCs w:val="22"/>
        </w:rPr>
      </w:pPr>
      <w:del w:id="8280" w:author="AbbVie_HU_03" w:date="2025-05-14T15:27:00Z">
        <w:r w:rsidRPr="00183B5F">
          <w:rPr>
            <w:szCs w:val="22"/>
          </w:rPr>
          <w:delText>poliszorbát 80,</w:delText>
        </w:r>
      </w:del>
    </w:p>
    <w:p w14:paraId="18C400BC" w14:textId="64DA39A1" w:rsidR="00FB6710" w:rsidRPr="00183B5F" w:rsidRDefault="00943743" w:rsidP="004062FE">
      <w:pPr>
        <w:spacing w:line="240" w:lineRule="auto"/>
        <w:rPr>
          <w:del w:id="8281" w:author="AbbVie_HU_03" w:date="2025-05-14T15:27:00Z"/>
          <w:szCs w:val="22"/>
        </w:rPr>
      </w:pPr>
      <w:del w:id="8282" w:author="AbbVie_HU_03" w:date="2025-05-14T15:27:00Z">
        <w:r w:rsidRPr="00183B5F">
          <w:rPr>
            <w:szCs w:val="22"/>
          </w:rPr>
          <w:delText>nátrium</w:delText>
        </w:r>
        <w:r w:rsidRPr="00183B5F">
          <w:rPr>
            <w:szCs w:val="22"/>
          </w:rPr>
          <w:noBreakHyphen/>
          <w:delText>hidroxid,</w:delText>
        </w:r>
      </w:del>
    </w:p>
    <w:p w14:paraId="325CE6E4" w14:textId="47521836" w:rsidR="00FB6710" w:rsidRPr="00183B5F" w:rsidRDefault="00943743" w:rsidP="004062FE">
      <w:pPr>
        <w:spacing w:line="240" w:lineRule="auto"/>
        <w:rPr>
          <w:del w:id="8283" w:author="AbbVie_HU_03" w:date="2025-05-14T15:27:00Z"/>
          <w:szCs w:val="22"/>
        </w:rPr>
      </w:pPr>
      <w:del w:id="8284" w:author="AbbVie_HU_03" w:date="2025-05-14T15:27:00Z">
        <w:r w:rsidRPr="00183B5F">
          <w:rPr>
            <w:szCs w:val="22"/>
          </w:rPr>
          <w:delText>injekcióhoz való víz.</w:delText>
        </w:r>
      </w:del>
    </w:p>
    <w:p w14:paraId="31129451" w14:textId="3377BD50" w:rsidR="00FB6710" w:rsidRPr="00183B5F" w:rsidRDefault="00FB6710" w:rsidP="004062FE">
      <w:pPr>
        <w:spacing w:line="240" w:lineRule="auto"/>
        <w:rPr>
          <w:del w:id="8285" w:author="AbbVie_HU_03" w:date="2025-05-14T15:27:00Z"/>
          <w:szCs w:val="22"/>
        </w:rPr>
      </w:pPr>
    </w:p>
    <w:p w14:paraId="30D0B8F3" w14:textId="751297C3" w:rsidR="00FB6710" w:rsidRPr="00183B5F" w:rsidRDefault="00943743" w:rsidP="004062FE">
      <w:pPr>
        <w:spacing w:line="240" w:lineRule="auto"/>
        <w:rPr>
          <w:del w:id="8286" w:author="AbbVie_HU_03" w:date="2025-05-14T15:27:00Z"/>
          <w:b/>
          <w:szCs w:val="22"/>
        </w:rPr>
      </w:pPr>
      <w:del w:id="8287" w:author="AbbVie_HU_03" w:date="2025-05-14T15:27:00Z">
        <w:r w:rsidRPr="00183B5F">
          <w:rPr>
            <w:b/>
            <w:szCs w:val="22"/>
          </w:rPr>
          <w:delText>6.2</w:delText>
        </w:r>
        <w:r w:rsidRPr="00183B5F">
          <w:rPr>
            <w:b/>
            <w:szCs w:val="22"/>
          </w:rPr>
          <w:tab/>
          <w:delText>Inkompatibilitások</w:delText>
        </w:r>
      </w:del>
    </w:p>
    <w:p w14:paraId="52540DBB" w14:textId="6554F89E" w:rsidR="00FB6710" w:rsidRPr="00183B5F" w:rsidRDefault="00FB6710" w:rsidP="004062FE">
      <w:pPr>
        <w:spacing w:line="240" w:lineRule="auto"/>
        <w:rPr>
          <w:del w:id="8288" w:author="AbbVie_HU_03" w:date="2025-05-14T15:27:00Z"/>
          <w:szCs w:val="22"/>
        </w:rPr>
      </w:pPr>
    </w:p>
    <w:p w14:paraId="7D9F9566" w14:textId="37F9E466" w:rsidR="00FB6710" w:rsidRPr="00183B5F" w:rsidRDefault="00943743" w:rsidP="004062FE">
      <w:pPr>
        <w:spacing w:line="240" w:lineRule="auto"/>
        <w:rPr>
          <w:del w:id="8289" w:author="AbbVie_HU_03" w:date="2025-05-14T15:27:00Z"/>
          <w:szCs w:val="22"/>
        </w:rPr>
      </w:pPr>
      <w:del w:id="8290" w:author="AbbVie_HU_03" w:date="2025-05-14T15:27:00Z">
        <w:r w:rsidRPr="00183B5F">
          <w:rPr>
            <w:szCs w:val="22"/>
          </w:rPr>
          <w:delText>Kompatibilitási vizsgálatok hiányában ez a gyógyszer nem keverhető más gyógyszerekkel.</w:delText>
        </w:r>
      </w:del>
    </w:p>
    <w:p w14:paraId="6E335B6B" w14:textId="08BBF77F" w:rsidR="00FB6710" w:rsidRPr="00183B5F" w:rsidRDefault="00FB6710" w:rsidP="004062FE">
      <w:pPr>
        <w:spacing w:line="240" w:lineRule="auto"/>
        <w:rPr>
          <w:del w:id="8291" w:author="AbbVie_HU_03" w:date="2025-05-14T15:27:00Z"/>
          <w:szCs w:val="22"/>
        </w:rPr>
      </w:pPr>
    </w:p>
    <w:p w14:paraId="43471154" w14:textId="16BEC6CE" w:rsidR="00FB6710" w:rsidRPr="00183B5F" w:rsidRDefault="00943743" w:rsidP="004062FE">
      <w:pPr>
        <w:spacing w:line="240" w:lineRule="auto"/>
        <w:rPr>
          <w:del w:id="8292" w:author="AbbVie_HU_03" w:date="2025-05-14T15:27:00Z"/>
          <w:b/>
          <w:szCs w:val="22"/>
        </w:rPr>
      </w:pPr>
      <w:del w:id="8293" w:author="AbbVie_HU_03" w:date="2025-05-14T15:27:00Z">
        <w:r w:rsidRPr="00183B5F">
          <w:rPr>
            <w:b/>
            <w:szCs w:val="22"/>
          </w:rPr>
          <w:delText>6.3</w:delText>
        </w:r>
        <w:r w:rsidRPr="00183B5F">
          <w:rPr>
            <w:b/>
            <w:szCs w:val="22"/>
          </w:rPr>
          <w:tab/>
          <w:delText>Felhasználhatósági időtartam</w:delText>
        </w:r>
      </w:del>
    </w:p>
    <w:p w14:paraId="1870AE4B" w14:textId="2FDD77B2" w:rsidR="00FB6710" w:rsidRPr="00183B5F" w:rsidRDefault="00FB6710" w:rsidP="004062FE">
      <w:pPr>
        <w:spacing w:line="240" w:lineRule="auto"/>
        <w:rPr>
          <w:del w:id="8294" w:author="AbbVie_HU_03" w:date="2025-05-14T15:27:00Z"/>
          <w:szCs w:val="22"/>
        </w:rPr>
      </w:pPr>
    </w:p>
    <w:p w14:paraId="35DB2081" w14:textId="586735D8" w:rsidR="00FB6710" w:rsidRPr="00183B5F" w:rsidRDefault="00943743" w:rsidP="004062FE">
      <w:pPr>
        <w:spacing w:line="240" w:lineRule="auto"/>
        <w:rPr>
          <w:del w:id="8295" w:author="AbbVie_HU_03" w:date="2025-05-14T15:27:00Z"/>
          <w:szCs w:val="22"/>
        </w:rPr>
      </w:pPr>
      <w:del w:id="8296" w:author="AbbVie_HU_03" w:date="2025-05-14T15:27:00Z">
        <w:r w:rsidRPr="00183B5F">
          <w:rPr>
            <w:szCs w:val="22"/>
          </w:rPr>
          <w:delText>2</w:delText>
        </w:r>
        <w:r w:rsidR="00D25814" w:rsidRPr="00183B5F">
          <w:rPr>
            <w:szCs w:val="22"/>
          </w:rPr>
          <w:delText> év</w:delText>
        </w:r>
      </w:del>
    </w:p>
    <w:p w14:paraId="327AC39D" w14:textId="0A898094" w:rsidR="00FB6710" w:rsidRPr="00183B5F" w:rsidRDefault="00FB6710" w:rsidP="004062FE">
      <w:pPr>
        <w:spacing w:line="240" w:lineRule="auto"/>
        <w:rPr>
          <w:del w:id="8297" w:author="AbbVie_HU_03" w:date="2025-05-14T15:27:00Z"/>
          <w:szCs w:val="22"/>
        </w:rPr>
      </w:pPr>
    </w:p>
    <w:p w14:paraId="2AAF3434" w14:textId="6FF33E4B" w:rsidR="00FB6710" w:rsidRPr="00183B5F" w:rsidRDefault="00943743" w:rsidP="006B2397">
      <w:pPr>
        <w:keepNext/>
        <w:spacing w:line="240" w:lineRule="auto"/>
        <w:ind w:left="567" w:hanging="567"/>
        <w:rPr>
          <w:del w:id="8298" w:author="AbbVie_HU_03" w:date="2025-05-14T15:27:00Z"/>
          <w:b/>
          <w:szCs w:val="22"/>
        </w:rPr>
      </w:pPr>
      <w:del w:id="8299" w:author="AbbVie_HU_03" w:date="2025-05-14T15:27:00Z">
        <w:r w:rsidRPr="00183B5F">
          <w:rPr>
            <w:b/>
            <w:szCs w:val="22"/>
          </w:rPr>
          <w:delText>6.4</w:delText>
        </w:r>
        <w:r w:rsidRPr="00183B5F">
          <w:rPr>
            <w:b/>
            <w:szCs w:val="22"/>
          </w:rPr>
          <w:tab/>
          <w:delText>Különleges tárolási előírások</w:delText>
        </w:r>
      </w:del>
    </w:p>
    <w:p w14:paraId="1E728463" w14:textId="61A9B5CF" w:rsidR="00FB6710" w:rsidRPr="00183B5F" w:rsidRDefault="00FB6710" w:rsidP="006B2397">
      <w:pPr>
        <w:keepNext/>
        <w:spacing w:line="240" w:lineRule="auto"/>
        <w:rPr>
          <w:del w:id="8300" w:author="AbbVie_HU_03" w:date="2025-05-14T15:27:00Z"/>
          <w:szCs w:val="22"/>
        </w:rPr>
      </w:pPr>
    </w:p>
    <w:p w14:paraId="2A4D871C" w14:textId="6B4F9039" w:rsidR="00333A9D" w:rsidRPr="00183B5F" w:rsidRDefault="00943743" w:rsidP="004062FE">
      <w:pPr>
        <w:spacing w:line="240" w:lineRule="auto"/>
        <w:rPr>
          <w:del w:id="8301" w:author="AbbVie_HU_03" w:date="2025-05-14T15:27:00Z"/>
          <w:szCs w:val="22"/>
        </w:rPr>
      </w:pPr>
      <w:del w:id="8302" w:author="AbbVie_HU_03" w:date="2025-05-14T15:27:00Z">
        <w:r w:rsidRPr="00183B5F">
          <w:rPr>
            <w:szCs w:val="22"/>
          </w:rPr>
          <w:delText xml:space="preserve">Hűtőszekrényben </w:delText>
        </w:r>
        <w:r w:rsidR="004A68FA" w:rsidRPr="00183B5F">
          <w:rPr>
            <w:szCs w:val="22"/>
          </w:rPr>
          <w:delText>(2°C</w:delText>
        </w:r>
        <w:r w:rsidR="001B213F" w:rsidRPr="00183B5F">
          <w:rPr>
            <w:szCs w:val="22"/>
          </w:rPr>
          <w:noBreakHyphen/>
        </w:r>
        <w:r w:rsidR="004A68FA" w:rsidRPr="00183B5F">
          <w:rPr>
            <w:szCs w:val="22"/>
          </w:rPr>
          <w:delText>8</w:delText>
        </w:r>
        <w:r w:rsidR="00E3529F" w:rsidRPr="00183B5F">
          <w:rPr>
            <w:rFonts w:ascii="Symbol" w:hAnsi="Symbol"/>
            <w:szCs w:val="22"/>
          </w:rPr>
          <w:sym w:font="Symbol" w:char="F0B0"/>
        </w:r>
        <w:r w:rsidR="004A68FA" w:rsidRPr="00183B5F">
          <w:rPr>
            <w:szCs w:val="22"/>
          </w:rPr>
          <w:delText xml:space="preserve">C) </w:delText>
        </w:r>
        <w:r w:rsidRPr="00183B5F">
          <w:rPr>
            <w:szCs w:val="22"/>
          </w:rPr>
          <w:delText>tárolandó. Nem fagyasztható</w:delText>
        </w:r>
        <w:r w:rsidR="004A68FA" w:rsidRPr="00183B5F">
          <w:rPr>
            <w:szCs w:val="22"/>
          </w:rPr>
          <w:delText>!</w:delText>
        </w:r>
        <w:r w:rsidRPr="00183B5F">
          <w:rPr>
            <w:szCs w:val="22"/>
          </w:rPr>
          <w:delText xml:space="preserve"> </w:delText>
        </w:r>
        <w:r w:rsidR="00672243" w:rsidRPr="00183B5F">
          <w:rPr>
            <w:szCs w:val="22"/>
          </w:rPr>
          <w:delText>A fénytől való védelem érdekében a</w:delText>
        </w:r>
        <w:r w:rsidR="004A68FA" w:rsidRPr="00183B5F">
          <w:rPr>
            <w:szCs w:val="22"/>
          </w:rPr>
          <w:delText xml:space="preserve">z előretöltött fecskendő </w:delText>
        </w:r>
        <w:r w:rsidR="00B112D4" w:rsidRPr="00183B5F">
          <w:rPr>
            <w:szCs w:val="22"/>
          </w:rPr>
          <w:delText xml:space="preserve">vagy az előretöltött injekciós toll </w:delText>
        </w:r>
        <w:r w:rsidR="004A68FA" w:rsidRPr="00183B5F">
          <w:rPr>
            <w:szCs w:val="22"/>
          </w:rPr>
          <w:delText>az eredeti dobozban tárolandó.</w:delText>
        </w:r>
      </w:del>
    </w:p>
    <w:p w14:paraId="7B44F909" w14:textId="665CC627" w:rsidR="00333A9D" w:rsidRPr="00183B5F" w:rsidRDefault="00333A9D" w:rsidP="004062FE">
      <w:pPr>
        <w:spacing w:line="240" w:lineRule="auto"/>
        <w:rPr>
          <w:del w:id="8303" w:author="AbbVie_HU_03" w:date="2025-05-14T15:27:00Z"/>
          <w:szCs w:val="22"/>
        </w:rPr>
      </w:pPr>
    </w:p>
    <w:p w14:paraId="2012D37F" w14:textId="3A249BD9" w:rsidR="00FB6710" w:rsidRPr="00183B5F" w:rsidRDefault="00943743" w:rsidP="004062FE">
      <w:pPr>
        <w:spacing w:line="240" w:lineRule="auto"/>
        <w:rPr>
          <w:del w:id="8304" w:author="AbbVie_HU_03" w:date="2025-05-14T15:27:00Z"/>
          <w:szCs w:val="22"/>
        </w:rPr>
      </w:pPr>
      <w:del w:id="8305" w:author="AbbVie_HU_03" w:date="2025-05-14T15:27:00Z">
        <w:r w:rsidRPr="00183B5F">
          <w:rPr>
            <w:szCs w:val="22"/>
            <w:lang w:eastAsia="en-US"/>
          </w:rPr>
          <w:delText>Ö</w:delText>
        </w:r>
        <w:r w:rsidR="009D4736" w:rsidRPr="00183B5F">
          <w:rPr>
            <w:szCs w:val="22"/>
            <w:lang w:eastAsia="en-US"/>
          </w:rPr>
          <w:delText>nmagában a</w:delText>
        </w:r>
        <w:r w:rsidR="00146D05" w:rsidRPr="00183B5F">
          <w:rPr>
            <w:szCs w:val="22"/>
            <w:lang w:eastAsia="en-US"/>
          </w:rPr>
          <w:delText xml:space="preserve"> </w:delText>
        </w:r>
        <w:r w:rsidR="000D35AF" w:rsidRPr="00183B5F">
          <w:rPr>
            <w:szCs w:val="22"/>
          </w:rPr>
          <w:delText xml:space="preserve">Humira </w:delText>
        </w:r>
        <w:r w:rsidR="00372AA4" w:rsidRPr="00183B5F">
          <w:rPr>
            <w:szCs w:val="22"/>
          </w:rPr>
          <w:delText>előretöltött fecskendő</w:delText>
        </w:r>
        <w:r w:rsidR="00333A9D" w:rsidRPr="00183B5F">
          <w:rPr>
            <w:szCs w:val="22"/>
          </w:rPr>
          <w:delText xml:space="preserve"> </w:delText>
        </w:r>
        <w:r w:rsidR="00B112D4" w:rsidRPr="00183B5F">
          <w:rPr>
            <w:szCs w:val="22"/>
          </w:rPr>
          <w:delText xml:space="preserve">vagy előretöltött injekciós toll </w:delText>
        </w:r>
        <w:r w:rsidR="000D35AF" w:rsidRPr="00183B5F">
          <w:rPr>
            <w:szCs w:val="22"/>
          </w:rPr>
          <w:delText>legfeljebb 25</w:delText>
        </w:r>
        <w:r w:rsidR="00D3170A" w:rsidRPr="00183B5F">
          <w:rPr>
            <w:rFonts w:ascii="Symbol" w:hAnsi="Symbol"/>
            <w:szCs w:val="22"/>
          </w:rPr>
          <w:sym w:font="Symbol" w:char="F0B0"/>
        </w:r>
        <w:r w:rsidR="000D35AF" w:rsidRPr="00183B5F">
          <w:rPr>
            <w:szCs w:val="22"/>
          </w:rPr>
          <w:delText>C</w:delText>
        </w:r>
        <w:r w:rsidR="00343531" w:rsidRPr="00183B5F">
          <w:rPr>
            <w:szCs w:val="22"/>
          </w:rPr>
          <w:noBreakHyphen/>
        </w:r>
        <w:r w:rsidR="008D0AD3" w:rsidRPr="00183B5F">
          <w:rPr>
            <w:szCs w:val="22"/>
          </w:rPr>
          <w:delText>on</w:delText>
        </w:r>
        <w:r w:rsidR="009D4736" w:rsidRPr="00183B5F">
          <w:rPr>
            <w:szCs w:val="22"/>
          </w:rPr>
          <w:delText>,</w:delText>
        </w:r>
        <w:r w:rsidR="008D0AD3" w:rsidRPr="00183B5F">
          <w:rPr>
            <w:szCs w:val="22"/>
          </w:rPr>
          <w:delText xml:space="preserve"> </w:delText>
        </w:r>
        <w:r w:rsidR="00D9451C" w:rsidRPr="00183B5F">
          <w:rPr>
            <w:szCs w:val="22"/>
          </w:rPr>
          <w:delText xml:space="preserve">maximum </w:delText>
        </w:r>
        <w:r w:rsidR="00F57637" w:rsidRPr="00183B5F">
          <w:rPr>
            <w:szCs w:val="22"/>
          </w:rPr>
          <w:delText>14</w:delText>
        </w:r>
        <w:r w:rsidRPr="00183B5F">
          <w:rPr>
            <w:szCs w:val="22"/>
          </w:rPr>
          <w:delText> </w:delText>
        </w:r>
        <w:r w:rsidR="00F57637" w:rsidRPr="00183B5F">
          <w:rPr>
            <w:szCs w:val="22"/>
          </w:rPr>
          <w:delText xml:space="preserve">napig </w:delText>
        </w:r>
        <w:r w:rsidR="008D0AD3" w:rsidRPr="00183B5F">
          <w:rPr>
            <w:szCs w:val="22"/>
          </w:rPr>
          <w:delText>tárol</w:delText>
        </w:r>
        <w:r w:rsidR="00314809" w:rsidRPr="00183B5F">
          <w:rPr>
            <w:szCs w:val="22"/>
          </w:rPr>
          <w:delText>hat</w:delText>
        </w:r>
        <w:r w:rsidR="008D0AD3" w:rsidRPr="00183B5F">
          <w:rPr>
            <w:szCs w:val="22"/>
          </w:rPr>
          <w:delText>ó</w:delText>
        </w:r>
        <w:r w:rsidR="000D35AF" w:rsidRPr="00183B5F">
          <w:rPr>
            <w:szCs w:val="22"/>
          </w:rPr>
          <w:delText>.</w:delText>
        </w:r>
        <w:r w:rsidRPr="00183B5F">
          <w:rPr>
            <w:szCs w:val="22"/>
          </w:rPr>
          <w:delText xml:space="preserve"> </w:delText>
        </w:r>
        <w:r w:rsidR="00F57637" w:rsidRPr="00183B5F">
          <w:rPr>
            <w:szCs w:val="22"/>
          </w:rPr>
          <w:delText xml:space="preserve">A </w:delText>
        </w:r>
        <w:r w:rsidR="00DF29BD" w:rsidRPr="00183B5F">
          <w:rPr>
            <w:szCs w:val="22"/>
          </w:rPr>
          <w:delText xml:space="preserve">fecskendőt </w:delText>
        </w:r>
        <w:r w:rsidR="00B112D4" w:rsidRPr="00183B5F">
          <w:rPr>
            <w:szCs w:val="22"/>
          </w:rPr>
          <w:delText xml:space="preserve">vagy az injekciós tollat </w:delText>
        </w:r>
        <w:r w:rsidR="00DF29BD" w:rsidRPr="00183B5F">
          <w:rPr>
            <w:szCs w:val="22"/>
          </w:rPr>
          <w:delText>fénytől védeni kell</w:delText>
        </w:r>
        <w:r w:rsidR="009D4736" w:rsidRPr="00183B5F">
          <w:rPr>
            <w:szCs w:val="22"/>
          </w:rPr>
          <w:delText>,</w:delText>
        </w:r>
        <w:r w:rsidR="00DF29BD" w:rsidRPr="00183B5F">
          <w:rPr>
            <w:szCs w:val="22"/>
          </w:rPr>
          <w:delText xml:space="preserve"> és </w:delText>
        </w:r>
        <w:r w:rsidR="00ED4C47" w:rsidRPr="00183B5F">
          <w:rPr>
            <w:szCs w:val="22"/>
          </w:rPr>
          <w:delText>meg kell semmisíteni, amennyiben a 14</w:delText>
        </w:r>
        <w:r w:rsidRPr="00183B5F">
          <w:rPr>
            <w:szCs w:val="22"/>
          </w:rPr>
          <w:delText> </w:delText>
        </w:r>
        <w:r w:rsidR="00ED4C47" w:rsidRPr="00183B5F">
          <w:rPr>
            <w:szCs w:val="22"/>
          </w:rPr>
          <w:delText>napos időtartam alatt nem használták fel.</w:delText>
        </w:r>
      </w:del>
    </w:p>
    <w:p w14:paraId="0D48611E" w14:textId="297BAEDF" w:rsidR="00CA454D" w:rsidRPr="00183B5F" w:rsidRDefault="00CA454D" w:rsidP="004062FE">
      <w:pPr>
        <w:spacing w:line="240" w:lineRule="auto"/>
        <w:rPr>
          <w:del w:id="8306" w:author="AbbVie_HU_03" w:date="2025-05-14T15:27:00Z"/>
          <w:szCs w:val="22"/>
        </w:rPr>
      </w:pPr>
    </w:p>
    <w:p w14:paraId="2CC2754C" w14:textId="0AE2832D" w:rsidR="00FB6710" w:rsidRPr="00183B5F" w:rsidRDefault="00943743" w:rsidP="004062FE">
      <w:pPr>
        <w:spacing w:line="240" w:lineRule="auto"/>
        <w:rPr>
          <w:del w:id="8307" w:author="AbbVie_HU_03" w:date="2025-05-14T15:27:00Z"/>
          <w:b/>
          <w:szCs w:val="22"/>
        </w:rPr>
      </w:pPr>
      <w:del w:id="8308" w:author="AbbVie_HU_03" w:date="2025-05-14T15:27:00Z">
        <w:r w:rsidRPr="00183B5F">
          <w:rPr>
            <w:b/>
            <w:szCs w:val="22"/>
          </w:rPr>
          <w:delText>6.5</w:delText>
        </w:r>
        <w:r w:rsidRPr="00183B5F">
          <w:rPr>
            <w:b/>
            <w:szCs w:val="22"/>
          </w:rPr>
          <w:tab/>
          <w:delText>Csomagolás típusa és kiszerelése</w:delText>
        </w:r>
      </w:del>
    </w:p>
    <w:p w14:paraId="3B1A9D55" w14:textId="2ECF0335" w:rsidR="00FB6710" w:rsidRPr="00183B5F" w:rsidRDefault="00FB6710" w:rsidP="004062FE">
      <w:pPr>
        <w:pStyle w:val="EndnoteText"/>
        <w:tabs>
          <w:tab w:val="clear" w:pos="567"/>
        </w:tabs>
        <w:suppressAutoHyphens/>
        <w:rPr>
          <w:del w:id="8309" w:author="AbbVie_HU_03" w:date="2025-05-14T15:27:00Z"/>
          <w:sz w:val="22"/>
          <w:szCs w:val="22"/>
          <w:lang w:val="hu-HU" w:eastAsia="hu-HU"/>
        </w:rPr>
      </w:pPr>
    </w:p>
    <w:p w14:paraId="07128C9D" w14:textId="31AAC084" w:rsidR="00B112D4" w:rsidRPr="00183B5F" w:rsidRDefault="00943743" w:rsidP="004062FE">
      <w:pPr>
        <w:pStyle w:val="EndnoteText"/>
        <w:tabs>
          <w:tab w:val="clear" w:pos="567"/>
        </w:tabs>
        <w:suppressAutoHyphens/>
        <w:rPr>
          <w:del w:id="8310" w:author="AbbVie_HU_03" w:date="2025-05-14T15:27:00Z"/>
          <w:sz w:val="22"/>
          <w:u w:val="single"/>
          <w:lang w:val="hu-HU"/>
        </w:rPr>
      </w:pPr>
      <w:del w:id="8311" w:author="AbbVie_HU_03" w:date="2025-05-14T15:27:00Z">
        <w:r w:rsidRPr="00183B5F">
          <w:rPr>
            <w:sz w:val="22"/>
            <w:u w:val="single"/>
            <w:lang w:val="hu-HU"/>
          </w:rPr>
          <w:delText>Humira 40 mg oldatos injekció előretöltött fecskendőben</w:delText>
        </w:r>
      </w:del>
    </w:p>
    <w:p w14:paraId="6DA9287E" w14:textId="691E8D46" w:rsidR="000F3921" w:rsidRPr="00183B5F" w:rsidRDefault="00943743" w:rsidP="004062FE">
      <w:pPr>
        <w:pStyle w:val="EndnoteText"/>
        <w:tabs>
          <w:tab w:val="clear" w:pos="567"/>
        </w:tabs>
        <w:suppressAutoHyphens/>
        <w:rPr>
          <w:del w:id="8312" w:author="AbbVie_HU_03" w:date="2025-05-14T15:27:00Z"/>
          <w:sz w:val="22"/>
          <w:lang w:val="hu-HU"/>
        </w:rPr>
      </w:pPr>
      <w:del w:id="8313" w:author="AbbVie_HU_03" w:date="2025-05-14T15:27:00Z">
        <w:r w:rsidRPr="00183B5F">
          <w:rPr>
            <w:sz w:val="22"/>
            <w:lang w:val="hu-HU"/>
          </w:rPr>
          <w:delText>Humira 40 mg oldatos injekció egyszer használatos,</w:delText>
        </w:r>
        <w:r w:rsidR="004469E8" w:rsidRPr="00183B5F">
          <w:rPr>
            <w:sz w:val="22"/>
            <w:lang w:val="hu-HU"/>
          </w:rPr>
          <w:delText xml:space="preserve"> </w:delText>
        </w:r>
        <w:r w:rsidRPr="00183B5F">
          <w:rPr>
            <w:sz w:val="22"/>
            <w:lang w:val="hu-HU"/>
          </w:rPr>
          <w:delText xml:space="preserve">előretöltött fecskendőben (I. típusú üveg) </w:delText>
        </w:r>
        <w:r w:rsidR="00FD2A6F" w:rsidRPr="00183B5F">
          <w:rPr>
            <w:sz w:val="22"/>
            <w:lang w:val="hu-HU"/>
          </w:rPr>
          <w:delText>br</w:delText>
        </w:r>
        <w:r w:rsidR="008E70EF" w:rsidRPr="00183B5F">
          <w:rPr>
            <w:sz w:val="22"/>
            <w:lang w:val="hu-HU"/>
          </w:rPr>
          <w:delText>óm</w:delText>
        </w:r>
        <w:r w:rsidR="00FD2A6F" w:rsidRPr="00183B5F">
          <w:rPr>
            <w:sz w:val="22"/>
            <w:lang w:val="hu-HU"/>
          </w:rPr>
          <w:delText xml:space="preserve">butil gumitömítéses dugattyúval </w:delText>
        </w:r>
        <w:r w:rsidR="009D47AD" w:rsidRPr="00183B5F">
          <w:rPr>
            <w:sz w:val="22"/>
            <w:lang w:val="hu-HU"/>
          </w:rPr>
          <w:delText xml:space="preserve">és </w:delText>
        </w:r>
        <w:r w:rsidR="004D3C69" w:rsidRPr="00183B5F">
          <w:rPr>
            <w:sz w:val="22"/>
            <w:lang w:val="hu-HU"/>
          </w:rPr>
          <w:delText>tű</w:delText>
        </w:r>
        <w:r w:rsidR="004469E8" w:rsidRPr="00183B5F">
          <w:rPr>
            <w:sz w:val="22"/>
            <w:lang w:val="hu-HU"/>
          </w:rPr>
          <w:delText>védő</w:delText>
        </w:r>
        <w:r w:rsidR="004D3C69" w:rsidRPr="00183B5F">
          <w:rPr>
            <w:sz w:val="22"/>
            <w:lang w:val="hu-HU"/>
          </w:rPr>
          <w:delText>ve</w:delText>
        </w:r>
        <w:r w:rsidR="004469E8" w:rsidRPr="00183B5F">
          <w:rPr>
            <w:sz w:val="22"/>
            <w:lang w:val="hu-HU"/>
          </w:rPr>
          <w:delText>l ellátott tűvel (termoplasztikus elasztomer)</w:delText>
        </w:r>
        <w:r w:rsidR="00D25814" w:rsidRPr="00183B5F">
          <w:rPr>
            <w:sz w:val="22"/>
            <w:szCs w:val="22"/>
            <w:lang w:val="hu-HU"/>
          </w:rPr>
          <w:delText>.</w:delText>
        </w:r>
      </w:del>
    </w:p>
    <w:p w14:paraId="0D83523A" w14:textId="541E9EF4" w:rsidR="00FB6710" w:rsidRPr="00183B5F" w:rsidRDefault="00FB6710" w:rsidP="004062FE">
      <w:pPr>
        <w:pStyle w:val="EndnoteText"/>
        <w:tabs>
          <w:tab w:val="clear" w:pos="567"/>
        </w:tabs>
        <w:suppressAutoHyphens/>
        <w:rPr>
          <w:del w:id="8314" w:author="AbbVie_HU_03" w:date="2025-05-14T15:27:00Z"/>
          <w:sz w:val="22"/>
          <w:szCs w:val="22"/>
          <w:lang w:val="hu-HU" w:eastAsia="hu-HU"/>
        </w:rPr>
      </w:pPr>
    </w:p>
    <w:p w14:paraId="01F636A4" w14:textId="5CBAD69E" w:rsidR="00FB6710" w:rsidRPr="00183B5F" w:rsidRDefault="00943743" w:rsidP="004062FE">
      <w:pPr>
        <w:keepNext/>
        <w:spacing w:line="240" w:lineRule="auto"/>
        <w:rPr>
          <w:del w:id="8315" w:author="AbbVie_HU_03" w:date="2025-05-14T15:27:00Z"/>
          <w:szCs w:val="22"/>
        </w:rPr>
      </w:pPr>
      <w:del w:id="8316" w:author="AbbVie_HU_03" w:date="2025-05-14T15:27:00Z">
        <w:r w:rsidRPr="00183B5F">
          <w:rPr>
            <w:szCs w:val="22"/>
          </w:rPr>
          <w:delText>Csomagolási egységek:</w:delText>
        </w:r>
      </w:del>
    </w:p>
    <w:p w14:paraId="5D9AF490" w14:textId="63C34D41" w:rsidR="00FB6710" w:rsidRPr="00183B5F" w:rsidRDefault="00943743" w:rsidP="004062FE">
      <w:pPr>
        <w:numPr>
          <w:ilvl w:val="0"/>
          <w:numId w:val="18"/>
        </w:numPr>
        <w:tabs>
          <w:tab w:val="clear" w:pos="720"/>
        </w:tabs>
        <w:spacing w:line="240" w:lineRule="auto"/>
        <w:ind w:left="567" w:hanging="567"/>
        <w:rPr>
          <w:del w:id="8317" w:author="AbbVie_HU_03" w:date="2025-05-14T15:27:00Z"/>
          <w:szCs w:val="22"/>
        </w:rPr>
      </w:pPr>
      <w:del w:id="8318" w:author="AbbVie_HU_03" w:date="2025-05-14T15:27:00Z">
        <w:r w:rsidRPr="00183B5F">
          <w:rPr>
            <w:szCs w:val="22"/>
          </w:rPr>
          <w:delText xml:space="preserve">1 előretöltött fecskendő (0,8 ml steril oldat) egy alkoholos törlőkendővel, </w:delText>
        </w:r>
        <w:r w:rsidR="00E30CC2" w:rsidRPr="00183B5F">
          <w:rPr>
            <w:szCs w:val="22"/>
          </w:rPr>
          <w:delText>buborékcsomagolásban</w:delText>
        </w:r>
        <w:r w:rsidRPr="00183B5F">
          <w:rPr>
            <w:szCs w:val="22"/>
          </w:rPr>
          <w:delText>.</w:delText>
        </w:r>
      </w:del>
    </w:p>
    <w:p w14:paraId="1CA520FE" w14:textId="5F661B57" w:rsidR="00FB6710" w:rsidRPr="00183B5F" w:rsidRDefault="00943743" w:rsidP="004062FE">
      <w:pPr>
        <w:numPr>
          <w:ilvl w:val="0"/>
          <w:numId w:val="18"/>
        </w:numPr>
        <w:tabs>
          <w:tab w:val="clear" w:pos="720"/>
        </w:tabs>
        <w:spacing w:line="240" w:lineRule="auto"/>
        <w:ind w:left="567" w:hanging="567"/>
        <w:rPr>
          <w:del w:id="8319" w:author="AbbVie_HU_03" w:date="2025-05-14T15:27:00Z"/>
          <w:szCs w:val="22"/>
        </w:rPr>
      </w:pPr>
      <w:del w:id="8320" w:author="AbbVie_HU_03" w:date="2025-05-14T15:27:00Z">
        <w:r w:rsidRPr="00183B5F">
          <w:rPr>
            <w:szCs w:val="22"/>
          </w:rPr>
          <w:delText xml:space="preserve">2 előretöltött fecskendő (0,8 ml steril oldat) egy-egy alkoholos törlőkendővel, </w:delText>
        </w:r>
        <w:r w:rsidR="00720BE4" w:rsidRPr="00183B5F">
          <w:rPr>
            <w:szCs w:val="22"/>
          </w:rPr>
          <w:delText>buborékcsomagolásban</w:delText>
        </w:r>
        <w:r w:rsidRPr="00183B5F">
          <w:rPr>
            <w:szCs w:val="22"/>
          </w:rPr>
          <w:delText>.</w:delText>
        </w:r>
      </w:del>
    </w:p>
    <w:p w14:paraId="05EF713D" w14:textId="50901858" w:rsidR="00FB6710" w:rsidRPr="00183B5F" w:rsidRDefault="00943743" w:rsidP="004062FE">
      <w:pPr>
        <w:numPr>
          <w:ilvl w:val="0"/>
          <w:numId w:val="18"/>
        </w:numPr>
        <w:tabs>
          <w:tab w:val="clear" w:pos="720"/>
        </w:tabs>
        <w:spacing w:line="240" w:lineRule="auto"/>
        <w:ind w:left="567" w:hanging="567"/>
        <w:rPr>
          <w:del w:id="8321" w:author="AbbVie_HU_03" w:date="2025-05-14T15:27:00Z"/>
          <w:szCs w:val="22"/>
        </w:rPr>
      </w:pPr>
      <w:del w:id="8322" w:author="AbbVie_HU_03" w:date="2025-05-14T15:27:00Z">
        <w:r w:rsidRPr="00183B5F">
          <w:rPr>
            <w:szCs w:val="22"/>
          </w:rPr>
          <w:delText xml:space="preserve">4 előretöltött fecskendő (0,8 ml steril oldat) egy-egy alkoholos törlőkendővel, </w:delText>
        </w:r>
        <w:r w:rsidR="00720BE4" w:rsidRPr="00183B5F">
          <w:rPr>
            <w:szCs w:val="22"/>
          </w:rPr>
          <w:delText>buborékcsomagolásban</w:delText>
        </w:r>
        <w:r w:rsidRPr="00183B5F">
          <w:rPr>
            <w:szCs w:val="22"/>
          </w:rPr>
          <w:delText>.</w:delText>
        </w:r>
      </w:del>
    </w:p>
    <w:p w14:paraId="4DD7F725" w14:textId="11810249" w:rsidR="00FB6710" w:rsidRPr="00183B5F" w:rsidRDefault="00943743" w:rsidP="004062FE">
      <w:pPr>
        <w:numPr>
          <w:ilvl w:val="0"/>
          <w:numId w:val="18"/>
        </w:numPr>
        <w:tabs>
          <w:tab w:val="clear" w:pos="720"/>
        </w:tabs>
        <w:spacing w:line="240" w:lineRule="auto"/>
        <w:ind w:left="567" w:hanging="567"/>
        <w:rPr>
          <w:del w:id="8323" w:author="AbbVie_HU_03" w:date="2025-05-14T15:27:00Z"/>
          <w:szCs w:val="22"/>
        </w:rPr>
      </w:pPr>
      <w:del w:id="8324" w:author="AbbVie_HU_03" w:date="2025-05-14T15:27:00Z">
        <w:r w:rsidRPr="00183B5F">
          <w:rPr>
            <w:szCs w:val="22"/>
          </w:rPr>
          <w:delText xml:space="preserve">6 előretöltött fecskendő (0,8 ml steril oldat) egy-egy alkoholos törlőkendővel, </w:delText>
        </w:r>
        <w:r w:rsidR="00720BE4" w:rsidRPr="00183B5F">
          <w:rPr>
            <w:szCs w:val="22"/>
          </w:rPr>
          <w:delText>buborékcsomagolásban</w:delText>
        </w:r>
        <w:r w:rsidRPr="00183B5F">
          <w:rPr>
            <w:szCs w:val="22"/>
          </w:rPr>
          <w:delText>.</w:delText>
        </w:r>
      </w:del>
    </w:p>
    <w:p w14:paraId="713112F1" w14:textId="1D4173BA" w:rsidR="00B112D4" w:rsidRPr="00183B5F" w:rsidRDefault="00B112D4" w:rsidP="004062FE">
      <w:pPr>
        <w:spacing w:line="240" w:lineRule="auto"/>
        <w:rPr>
          <w:del w:id="8325" w:author="AbbVie_HU_03" w:date="2025-05-14T15:27:00Z"/>
          <w:szCs w:val="22"/>
        </w:rPr>
      </w:pPr>
    </w:p>
    <w:p w14:paraId="02B092DA" w14:textId="791A7DC2" w:rsidR="00B112D4" w:rsidRPr="00183B5F" w:rsidRDefault="00943743" w:rsidP="004062FE">
      <w:pPr>
        <w:pStyle w:val="EndnoteText"/>
        <w:tabs>
          <w:tab w:val="clear" w:pos="567"/>
        </w:tabs>
        <w:suppressAutoHyphens/>
        <w:rPr>
          <w:del w:id="8326" w:author="AbbVie_HU_03" w:date="2025-05-14T15:27:00Z"/>
          <w:u w:val="single"/>
          <w:lang w:val="hu-HU"/>
        </w:rPr>
      </w:pPr>
      <w:del w:id="8327" w:author="AbbVie_HU_03" w:date="2025-05-14T15:27:00Z">
        <w:r w:rsidRPr="00183B5F">
          <w:rPr>
            <w:sz w:val="22"/>
            <w:u w:val="single"/>
            <w:lang w:val="hu-HU"/>
          </w:rPr>
          <w:delText xml:space="preserve">Humira 40 mg oldatos injekció előretöltött fecskendőben </w:delText>
        </w:r>
        <w:r w:rsidR="00BC5442" w:rsidRPr="00183B5F">
          <w:rPr>
            <w:sz w:val="22"/>
            <w:u w:val="single"/>
            <w:lang w:val="hu-HU"/>
          </w:rPr>
          <w:delText xml:space="preserve"> </w:delText>
        </w:r>
        <w:r w:rsidRPr="00183B5F">
          <w:rPr>
            <w:sz w:val="22"/>
            <w:u w:val="single"/>
            <w:lang w:val="hu-HU"/>
          </w:rPr>
          <w:delText>tűvédővel</w:delText>
        </w:r>
      </w:del>
    </w:p>
    <w:p w14:paraId="4AFE6CDE" w14:textId="1DDD6338" w:rsidR="005C2503" w:rsidRPr="00183B5F" w:rsidRDefault="00943743" w:rsidP="004062FE">
      <w:pPr>
        <w:spacing w:line="240" w:lineRule="auto"/>
        <w:rPr>
          <w:del w:id="8328" w:author="AbbVie_HU_03" w:date="2025-05-14T15:27:00Z"/>
          <w:szCs w:val="22"/>
        </w:rPr>
      </w:pPr>
      <w:del w:id="8329" w:author="AbbVie_HU_03" w:date="2025-05-14T15:27:00Z">
        <w:r w:rsidRPr="00183B5F">
          <w:rPr>
            <w:szCs w:val="22"/>
          </w:rPr>
          <w:delText>Humira 40 mg oldatos injekció egyszer használatos, előretöltött fecskendőben (I. típusú üveg) tűvédővel, kórházi és gondozói alkalmazásra. A fecskendő I. típusú üvegből készült dugattyúval (brómbutil gumi), és egy tű, tűvédővel (termoplasztikus elasztomer).</w:delText>
        </w:r>
      </w:del>
    </w:p>
    <w:p w14:paraId="1DA358EB" w14:textId="51342F43" w:rsidR="005C2503" w:rsidRPr="00183B5F" w:rsidRDefault="005C2503" w:rsidP="004062FE">
      <w:pPr>
        <w:tabs>
          <w:tab w:val="left" w:pos="0"/>
        </w:tabs>
        <w:spacing w:line="240" w:lineRule="auto"/>
        <w:rPr>
          <w:del w:id="8330" w:author="AbbVie_HU_03" w:date="2025-05-14T15:27:00Z"/>
          <w:szCs w:val="22"/>
        </w:rPr>
      </w:pPr>
    </w:p>
    <w:p w14:paraId="1E96F8CE" w14:textId="346C546A" w:rsidR="00FF76FE" w:rsidRPr="00183B5F" w:rsidRDefault="00943743" w:rsidP="004062FE">
      <w:pPr>
        <w:tabs>
          <w:tab w:val="left" w:pos="0"/>
        </w:tabs>
        <w:spacing w:line="240" w:lineRule="auto"/>
        <w:rPr>
          <w:del w:id="8331" w:author="AbbVie_HU_03" w:date="2025-05-14T15:27:00Z"/>
          <w:szCs w:val="22"/>
        </w:rPr>
      </w:pPr>
      <w:del w:id="8332" w:author="AbbVie_HU_03" w:date="2025-05-14T15:27:00Z">
        <w:r w:rsidRPr="00183B5F">
          <w:rPr>
            <w:szCs w:val="22"/>
          </w:rPr>
          <w:delText>Csomagolási egység:</w:delText>
        </w:r>
      </w:del>
    </w:p>
    <w:p w14:paraId="20D3AA9D" w14:textId="1F261DA3" w:rsidR="00FF76FE" w:rsidRPr="00183B5F" w:rsidRDefault="00943743" w:rsidP="004062FE">
      <w:pPr>
        <w:pStyle w:val="EndnoteText"/>
        <w:tabs>
          <w:tab w:val="clear" w:pos="567"/>
          <w:tab w:val="left" w:pos="0"/>
        </w:tabs>
        <w:suppressAutoHyphens/>
        <w:rPr>
          <w:del w:id="8333" w:author="AbbVie_HU_03" w:date="2025-05-14T15:27:00Z"/>
          <w:sz w:val="22"/>
          <w:lang w:val="hu-HU"/>
        </w:rPr>
      </w:pPr>
      <w:del w:id="8334" w:author="AbbVie_HU_03" w:date="2025-05-14T15:27:00Z">
        <w:r w:rsidRPr="00183B5F">
          <w:rPr>
            <w:sz w:val="22"/>
            <w:lang w:val="hu-HU"/>
          </w:rPr>
          <w:delText xml:space="preserve">1 előretöltött fecskendő </w:delText>
        </w:r>
        <w:r w:rsidR="00BC5442" w:rsidRPr="00183B5F">
          <w:rPr>
            <w:sz w:val="22"/>
            <w:lang w:val="hu-HU"/>
          </w:rPr>
          <w:delText xml:space="preserve">tűvédővel </w:delText>
        </w:r>
        <w:r w:rsidRPr="00183B5F">
          <w:rPr>
            <w:sz w:val="22"/>
            <w:lang w:val="hu-HU"/>
          </w:rPr>
          <w:delText>(0,8 ml steril oldat) és egy alkoholos törlőkendő, buborékcsomagolásban.</w:delText>
        </w:r>
      </w:del>
    </w:p>
    <w:p w14:paraId="73451037" w14:textId="144BAE57" w:rsidR="00433990" w:rsidRPr="00183B5F" w:rsidRDefault="00433990" w:rsidP="004062FE">
      <w:pPr>
        <w:spacing w:line="240" w:lineRule="auto"/>
        <w:rPr>
          <w:del w:id="8335" w:author="AbbVie_HU_03" w:date="2025-05-14T15:27:00Z"/>
          <w:szCs w:val="22"/>
        </w:rPr>
      </w:pPr>
    </w:p>
    <w:p w14:paraId="3B8BFD40" w14:textId="66A11B11" w:rsidR="00B112D4" w:rsidRPr="00183B5F" w:rsidRDefault="00943743" w:rsidP="004062FE">
      <w:pPr>
        <w:spacing w:line="240" w:lineRule="auto"/>
        <w:rPr>
          <w:del w:id="8336" w:author="AbbVie_HU_03" w:date="2025-05-14T15:27:00Z"/>
          <w:szCs w:val="22"/>
        </w:rPr>
      </w:pPr>
      <w:del w:id="8337" w:author="AbbVie_HU_03" w:date="2025-05-14T15:27:00Z">
        <w:r w:rsidRPr="00183B5F">
          <w:rPr>
            <w:u w:val="single"/>
          </w:rPr>
          <w:delText>Humira 40 mg oldatos injekció előretöltött injekciós tollban</w:delText>
        </w:r>
      </w:del>
    </w:p>
    <w:p w14:paraId="047F500D" w14:textId="64F43814" w:rsidR="005C2503" w:rsidRPr="00183B5F" w:rsidRDefault="00943743" w:rsidP="004062FE">
      <w:pPr>
        <w:spacing w:line="240" w:lineRule="auto"/>
        <w:rPr>
          <w:del w:id="8338" w:author="AbbVie_HU_03" w:date="2025-05-14T15:27:00Z"/>
          <w:szCs w:val="22"/>
        </w:rPr>
      </w:pPr>
      <w:del w:id="8339" w:author="AbbVie_HU_03" w:date="2025-05-14T15:27:00Z">
        <w:r w:rsidRPr="00183B5F">
          <w:rPr>
            <w:szCs w:val="22"/>
          </w:rPr>
          <w:delText>Humira 40 mg oldatos injekció egyszer használatos, előretöltött injekciós toll, beteg általi alkalmazásra egy előretöltött fecskendőt tartalmaz. Az injekciós tollban lévő fecskendő I. típusú üvegből készült, dugattyúval (brómbutil gumi), és egy tű, tűvédővel (termoplasztikus elasztomer).</w:delText>
        </w:r>
      </w:del>
    </w:p>
    <w:p w14:paraId="232EC75C" w14:textId="08183E12" w:rsidR="005C2503" w:rsidRPr="00183B5F" w:rsidRDefault="005C2503" w:rsidP="004062FE">
      <w:pPr>
        <w:spacing w:line="240" w:lineRule="auto"/>
        <w:rPr>
          <w:del w:id="8340" w:author="AbbVie_HU_03" w:date="2025-05-14T15:27:00Z"/>
          <w:szCs w:val="22"/>
        </w:rPr>
      </w:pPr>
    </w:p>
    <w:p w14:paraId="54A2D695" w14:textId="3CCE9929" w:rsidR="005C2503" w:rsidRPr="00183B5F" w:rsidRDefault="00943743" w:rsidP="004062FE">
      <w:pPr>
        <w:spacing w:line="240" w:lineRule="auto"/>
        <w:rPr>
          <w:del w:id="8341" w:author="AbbVie_HU_03" w:date="2025-05-14T15:27:00Z"/>
          <w:szCs w:val="22"/>
        </w:rPr>
      </w:pPr>
      <w:del w:id="8342" w:author="AbbVie_HU_03" w:date="2025-05-14T15:27:00Z">
        <w:r w:rsidRPr="00183B5F">
          <w:rPr>
            <w:szCs w:val="22"/>
          </w:rPr>
          <w:delText>Csomagolási egység:</w:delText>
        </w:r>
      </w:del>
    </w:p>
    <w:p w14:paraId="060EFAE2" w14:textId="152B6552" w:rsidR="005C2503" w:rsidRPr="00183B5F" w:rsidRDefault="00943743" w:rsidP="004062FE">
      <w:pPr>
        <w:pStyle w:val="EndnoteText"/>
        <w:numPr>
          <w:ilvl w:val="0"/>
          <w:numId w:val="63"/>
        </w:numPr>
        <w:suppressAutoHyphens/>
        <w:rPr>
          <w:del w:id="8343" w:author="AbbVie_HU_03" w:date="2025-05-14T15:27:00Z"/>
          <w:sz w:val="22"/>
          <w:szCs w:val="22"/>
          <w:lang w:val="hu-HU"/>
        </w:rPr>
      </w:pPr>
      <w:del w:id="8344" w:author="AbbVie_HU_03" w:date="2025-05-14T15:27:00Z">
        <w:r w:rsidRPr="00183B5F">
          <w:rPr>
            <w:noProof/>
            <w:sz w:val="22"/>
            <w:szCs w:val="22"/>
            <w:lang w:val="hu-HU"/>
          </w:rPr>
          <w:delText>1 előretöltött injekciós toll (0,4 ml steril oldat) 2 alkoholos törlőkendő</w:delText>
        </w:r>
        <w:r w:rsidR="00507E71" w:rsidRPr="00183B5F">
          <w:rPr>
            <w:noProof/>
            <w:sz w:val="22"/>
            <w:szCs w:val="22"/>
            <w:lang w:val="hu-HU"/>
          </w:rPr>
          <w:delText>vel</w:delText>
        </w:r>
        <w:r w:rsidRPr="00183B5F">
          <w:rPr>
            <w:noProof/>
            <w:sz w:val="22"/>
            <w:szCs w:val="22"/>
            <w:lang w:val="hu-HU"/>
          </w:rPr>
          <w:delText>,</w:delText>
        </w:r>
        <w:r w:rsidRPr="00183B5F">
          <w:rPr>
            <w:sz w:val="22"/>
            <w:szCs w:val="22"/>
            <w:lang w:val="hu-HU"/>
          </w:rPr>
          <w:delText xml:space="preserve"> buborékcsomagolásban.</w:delText>
        </w:r>
      </w:del>
    </w:p>
    <w:p w14:paraId="07BB6109" w14:textId="25862B05" w:rsidR="005C2503" w:rsidRPr="00183B5F" w:rsidRDefault="00943743" w:rsidP="004062FE">
      <w:pPr>
        <w:numPr>
          <w:ilvl w:val="0"/>
          <w:numId w:val="63"/>
        </w:numPr>
        <w:spacing w:line="240" w:lineRule="auto"/>
        <w:rPr>
          <w:del w:id="8345" w:author="AbbVie_HU_03" w:date="2025-05-14T15:27:00Z"/>
          <w:szCs w:val="22"/>
        </w:rPr>
      </w:pPr>
      <w:del w:id="8346" w:author="AbbVie_HU_03" w:date="2025-05-14T15:27:00Z">
        <w:r w:rsidRPr="00183B5F">
          <w:rPr>
            <w:szCs w:val="22"/>
          </w:rPr>
          <w:delText xml:space="preserve">2 </w:delText>
        </w:r>
        <w:r w:rsidRPr="00183B5F">
          <w:rPr>
            <w:noProof/>
            <w:szCs w:val="22"/>
          </w:rPr>
          <w:delText xml:space="preserve">előretöltött injekciós toll (0,4 ml steril oldat) </w:delText>
        </w:r>
        <w:r w:rsidR="00507E71" w:rsidRPr="00183B5F">
          <w:rPr>
            <w:noProof/>
            <w:szCs w:val="22"/>
          </w:rPr>
          <w:delText>egy-egy</w:delText>
        </w:r>
        <w:r w:rsidRPr="00183B5F">
          <w:rPr>
            <w:noProof/>
            <w:szCs w:val="22"/>
          </w:rPr>
          <w:delText xml:space="preserve"> alkoholos törlőkendővel,</w:delText>
        </w:r>
        <w:r w:rsidRPr="00183B5F">
          <w:rPr>
            <w:szCs w:val="22"/>
          </w:rPr>
          <w:delText xml:space="preserve"> buborékcsomagolásban.</w:delText>
        </w:r>
      </w:del>
    </w:p>
    <w:p w14:paraId="3A863AD6" w14:textId="73C4A66E" w:rsidR="005C2503" w:rsidRPr="00183B5F" w:rsidRDefault="00943743" w:rsidP="004062FE">
      <w:pPr>
        <w:numPr>
          <w:ilvl w:val="0"/>
          <w:numId w:val="63"/>
        </w:numPr>
        <w:spacing w:line="240" w:lineRule="auto"/>
        <w:rPr>
          <w:del w:id="8347" w:author="AbbVie_HU_03" w:date="2025-05-14T15:27:00Z"/>
          <w:szCs w:val="22"/>
        </w:rPr>
      </w:pPr>
      <w:del w:id="8348" w:author="AbbVie_HU_03" w:date="2025-05-14T15:27:00Z">
        <w:r w:rsidRPr="00183B5F">
          <w:rPr>
            <w:szCs w:val="22"/>
          </w:rPr>
          <w:delText xml:space="preserve">4 </w:delText>
        </w:r>
        <w:r w:rsidRPr="00183B5F">
          <w:rPr>
            <w:noProof/>
            <w:szCs w:val="22"/>
          </w:rPr>
          <w:delText xml:space="preserve">előretöltött injekciós toll (0,4 ml steril oldat) </w:delText>
        </w:r>
        <w:r w:rsidR="00507E71" w:rsidRPr="00183B5F">
          <w:rPr>
            <w:noProof/>
            <w:szCs w:val="22"/>
          </w:rPr>
          <w:delText xml:space="preserve">egy-egy </w:delText>
        </w:r>
        <w:r w:rsidRPr="00183B5F">
          <w:rPr>
            <w:noProof/>
            <w:szCs w:val="22"/>
          </w:rPr>
          <w:delText>alkoholos törlőkendővel,</w:delText>
        </w:r>
        <w:r w:rsidRPr="00183B5F">
          <w:rPr>
            <w:szCs w:val="22"/>
          </w:rPr>
          <w:delText xml:space="preserve"> buborékcsomagolásban.</w:delText>
        </w:r>
      </w:del>
    </w:p>
    <w:p w14:paraId="4A8BEFCB" w14:textId="1B641BA8" w:rsidR="005C2503" w:rsidRPr="00183B5F" w:rsidRDefault="00943743" w:rsidP="004062FE">
      <w:pPr>
        <w:numPr>
          <w:ilvl w:val="0"/>
          <w:numId w:val="63"/>
        </w:numPr>
        <w:spacing w:line="240" w:lineRule="auto"/>
        <w:rPr>
          <w:del w:id="8349" w:author="AbbVie_HU_03" w:date="2025-05-14T15:27:00Z"/>
          <w:szCs w:val="22"/>
        </w:rPr>
      </w:pPr>
      <w:del w:id="8350" w:author="AbbVie_HU_03" w:date="2025-05-14T15:27:00Z">
        <w:r w:rsidRPr="00183B5F">
          <w:rPr>
            <w:noProof/>
            <w:szCs w:val="22"/>
          </w:rPr>
          <w:delText>6 előretöltött injekciós toll (0,4</w:delText>
        </w:r>
        <w:r w:rsidR="00D12B39" w:rsidRPr="00183B5F">
          <w:rPr>
            <w:noProof/>
            <w:szCs w:val="22"/>
          </w:rPr>
          <w:delText> </w:delText>
        </w:r>
        <w:r w:rsidRPr="00183B5F">
          <w:rPr>
            <w:noProof/>
            <w:szCs w:val="22"/>
          </w:rPr>
          <w:delText xml:space="preserve">ml steril oldat) </w:delText>
        </w:r>
        <w:r w:rsidR="00507E71" w:rsidRPr="00183B5F">
          <w:rPr>
            <w:noProof/>
            <w:szCs w:val="22"/>
          </w:rPr>
          <w:delText>egy-egy</w:delText>
        </w:r>
        <w:r w:rsidRPr="00183B5F">
          <w:rPr>
            <w:noProof/>
            <w:szCs w:val="22"/>
          </w:rPr>
          <w:delText xml:space="preserve"> alkoholos törlőkendővel,</w:delText>
        </w:r>
        <w:r w:rsidRPr="00183B5F">
          <w:rPr>
            <w:szCs w:val="22"/>
          </w:rPr>
          <w:delText xml:space="preserve"> buborékcsomagolásban.</w:delText>
        </w:r>
      </w:del>
    </w:p>
    <w:p w14:paraId="757B2698" w14:textId="6A85B50D" w:rsidR="00B112D4" w:rsidRPr="00183B5F" w:rsidRDefault="00B112D4" w:rsidP="004062FE">
      <w:pPr>
        <w:spacing w:line="240" w:lineRule="auto"/>
        <w:rPr>
          <w:del w:id="8351" w:author="AbbVie_HU_03" w:date="2025-05-14T15:27:00Z"/>
          <w:szCs w:val="22"/>
        </w:rPr>
      </w:pPr>
    </w:p>
    <w:p w14:paraId="10848BFC" w14:textId="07B6EFDB" w:rsidR="00FB6710" w:rsidRPr="00183B5F" w:rsidRDefault="00943743" w:rsidP="004062FE">
      <w:pPr>
        <w:spacing w:line="240" w:lineRule="auto"/>
        <w:rPr>
          <w:del w:id="8352" w:author="AbbVie_HU_03" w:date="2025-05-14T15:27:00Z"/>
          <w:szCs w:val="22"/>
        </w:rPr>
      </w:pPr>
      <w:del w:id="8353" w:author="AbbVie_HU_03" w:date="2025-05-14T15:27:00Z">
        <w:r w:rsidRPr="00183B5F">
          <w:rPr>
            <w:szCs w:val="22"/>
          </w:rPr>
          <w:delText>Nem feltétlenül mindegyik kiszerelés kerül kereskedelmi forgalomba.</w:delText>
        </w:r>
      </w:del>
    </w:p>
    <w:p w14:paraId="47FAF247" w14:textId="101C6826" w:rsidR="00FB6710" w:rsidRPr="00183B5F" w:rsidRDefault="00FB6710" w:rsidP="004062FE">
      <w:pPr>
        <w:spacing w:line="240" w:lineRule="auto"/>
        <w:rPr>
          <w:del w:id="8354" w:author="AbbVie_HU_03" w:date="2025-05-14T15:27:00Z"/>
          <w:szCs w:val="22"/>
        </w:rPr>
      </w:pPr>
    </w:p>
    <w:p w14:paraId="012D5C52" w14:textId="0C045760" w:rsidR="00FB6710" w:rsidRPr="00183B5F" w:rsidRDefault="00943743" w:rsidP="0080649D">
      <w:pPr>
        <w:keepNext/>
        <w:spacing w:line="240" w:lineRule="auto"/>
        <w:ind w:left="567" w:hanging="567"/>
        <w:rPr>
          <w:del w:id="8355" w:author="AbbVie_HU_03" w:date="2025-05-14T15:27:00Z"/>
          <w:b/>
          <w:szCs w:val="22"/>
        </w:rPr>
      </w:pPr>
      <w:del w:id="8356" w:author="AbbVie_HU_03" w:date="2025-05-14T15:27:00Z">
        <w:r w:rsidRPr="00183B5F">
          <w:rPr>
            <w:b/>
            <w:szCs w:val="22"/>
          </w:rPr>
          <w:delText>6.6</w:delText>
        </w:r>
        <w:r w:rsidRPr="00183B5F">
          <w:rPr>
            <w:b/>
            <w:szCs w:val="22"/>
          </w:rPr>
          <w:tab/>
          <w:delText>A megsemmisítésre vonatkozó különleges óvintézkedések és egyéb, a készítmény kezelésével kapcsolatos információk</w:delText>
        </w:r>
      </w:del>
    </w:p>
    <w:p w14:paraId="443B770D" w14:textId="1D98AD62" w:rsidR="00FB6710" w:rsidRPr="00183B5F" w:rsidRDefault="00FB6710" w:rsidP="004062FE">
      <w:pPr>
        <w:spacing w:line="240" w:lineRule="auto"/>
        <w:rPr>
          <w:del w:id="8357" w:author="AbbVie_HU_03" w:date="2025-05-14T15:27:00Z"/>
          <w:szCs w:val="22"/>
        </w:rPr>
      </w:pPr>
    </w:p>
    <w:p w14:paraId="38530F95" w14:textId="00517198" w:rsidR="00FB6710" w:rsidRPr="00183B5F" w:rsidRDefault="00943743" w:rsidP="004062FE">
      <w:pPr>
        <w:spacing w:line="240" w:lineRule="auto"/>
        <w:rPr>
          <w:del w:id="8358" w:author="AbbVie_HU_03" w:date="2025-05-14T15:27:00Z"/>
          <w:szCs w:val="22"/>
        </w:rPr>
      </w:pPr>
      <w:del w:id="8359" w:author="AbbVie_HU_03" w:date="2025-05-14T15:27:00Z">
        <w:r w:rsidRPr="00183B5F">
          <w:rPr>
            <w:szCs w:val="22"/>
          </w:rPr>
          <w:delText xml:space="preserve">Bármilyen fel nem használt </w:delText>
        </w:r>
        <w:r w:rsidR="00D20685" w:rsidRPr="00183B5F">
          <w:rPr>
            <w:szCs w:val="22"/>
          </w:rPr>
          <w:delText>gyógyszer</w:delText>
        </w:r>
        <w:r w:rsidRPr="00183B5F">
          <w:rPr>
            <w:szCs w:val="22"/>
          </w:rPr>
          <w:delText xml:space="preserve">, illetve hulladékanyag megsemmisítését a </w:delText>
        </w:r>
        <w:r w:rsidR="00D20685" w:rsidRPr="00183B5F">
          <w:rPr>
            <w:szCs w:val="22"/>
          </w:rPr>
          <w:delText>gyógyszerekre vonatkozó</w:delText>
        </w:r>
        <w:r w:rsidRPr="00183B5F">
          <w:rPr>
            <w:szCs w:val="22"/>
          </w:rPr>
          <w:delText xml:space="preserve"> előírások szerint kell végrehajtani.</w:delText>
        </w:r>
      </w:del>
    </w:p>
    <w:p w14:paraId="65898E9C" w14:textId="4F7F86A5" w:rsidR="005575FF" w:rsidRPr="00183B5F" w:rsidRDefault="005575FF" w:rsidP="004062FE">
      <w:pPr>
        <w:spacing w:line="240" w:lineRule="auto"/>
        <w:rPr>
          <w:del w:id="8360" w:author="AbbVie_HU_03" w:date="2025-05-14T15:27:00Z"/>
          <w:szCs w:val="22"/>
        </w:rPr>
      </w:pPr>
    </w:p>
    <w:p w14:paraId="6930DB73" w14:textId="6A5D4B25" w:rsidR="005575FF" w:rsidRPr="00183B5F" w:rsidRDefault="005575FF" w:rsidP="004062FE">
      <w:pPr>
        <w:spacing w:line="240" w:lineRule="auto"/>
        <w:rPr>
          <w:del w:id="8361" w:author="AbbVie_HU_03" w:date="2025-05-14T15:27:00Z"/>
          <w:szCs w:val="22"/>
        </w:rPr>
      </w:pPr>
    </w:p>
    <w:p w14:paraId="125FB062" w14:textId="095F7669" w:rsidR="00FB6710" w:rsidRPr="00183B5F" w:rsidRDefault="00943743" w:rsidP="00FE0197">
      <w:pPr>
        <w:keepNext/>
        <w:spacing w:line="240" w:lineRule="auto"/>
        <w:ind w:left="567" w:hanging="567"/>
        <w:rPr>
          <w:del w:id="8362" w:author="AbbVie_HU_03" w:date="2025-05-14T15:27:00Z"/>
          <w:b/>
          <w:szCs w:val="22"/>
        </w:rPr>
      </w:pPr>
      <w:del w:id="8363" w:author="AbbVie_HU_03" w:date="2025-05-14T15:27:00Z">
        <w:r w:rsidRPr="00183B5F">
          <w:rPr>
            <w:b/>
            <w:szCs w:val="22"/>
          </w:rPr>
          <w:delText>7.</w:delText>
        </w:r>
        <w:r w:rsidRPr="00183B5F">
          <w:rPr>
            <w:b/>
            <w:szCs w:val="22"/>
          </w:rPr>
          <w:tab/>
          <w:delText>A FORGALOMBA HOZATALI ENGEDÉLY JOGOSULTJA</w:delText>
        </w:r>
      </w:del>
    </w:p>
    <w:p w14:paraId="7BFE5EC3" w14:textId="2E4E58DC" w:rsidR="00FB6710" w:rsidRPr="00183B5F" w:rsidRDefault="00FB6710" w:rsidP="00FE0197">
      <w:pPr>
        <w:keepNext/>
        <w:spacing w:line="240" w:lineRule="auto"/>
        <w:rPr>
          <w:del w:id="8364" w:author="AbbVie_HU_03" w:date="2025-05-14T15:27:00Z"/>
          <w:szCs w:val="22"/>
        </w:rPr>
      </w:pPr>
    </w:p>
    <w:p w14:paraId="688663C3" w14:textId="2280ED51" w:rsidR="0054572E" w:rsidRPr="00183B5F" w:rsidRDefault="00943743" w:rsidP="0054572E">
      <w:pPr>
        <w:keepNext/>
        <w:suppressAutoHyphens w:val="0"/>
        <w:autoSpaceDE w:val="0"/>
        <w:autoSpaceDN w:val="0"/>
        <w:adjustRightInd w:val="0"/>
        <w:spacing w:line="240" w:lineRule="atLeast"/>
        <w:rPr>
          <w:del w:id="8365" w:author="AbbVie_HU_03" w:date="2025-05-14T15:27:00Z"/>
          <w:szCs w:val="22"/>
          <w:lang w:eastAsia="en-GB"/>
        </w:rPr>
      </w:pPr>
      <w:del w:id="8366" w:author="AbbVie_HU_03" w:date="2025-05-14T15:27:00Z">
        <w:r w:rsidRPr="00183B5F">
          <w:rPr>
            <w:szCs w:val="22"/>
            <w:lang w:eastAsia="en-GB"/>
          </w:rPr>
          <w:delText>AbbVie Deutschland GmbH &amp; Co. KG</w:delText>
        </w:r>
      </w:del>
    </w:p>
    <w:p w14:paraId="06AE12AD" w14:textId="3D1AD7DB" w:rsidR="0054572E" w:rsidRPr="00183B5F" w:rsidRDefault="00943743" w:rsidP="0054572E">
      <w:pPr>
        <w:keepNext/>
        <w:suppressAutoHyphens w:val="0"/>
        <w:autoSpaceDE w:val="0"/>
        <w:autoSpaceDN w:val="0"/>
        <w:adjustRightInd w:val="0"/>
        <w:spacing w:line="240" w:lineRule="atLeast"/>
        <w:rPr>
          <w:del w:id="8367" w:author="AbbVie_HU_03" w:date="2025-05-14T15:27:00Z"/>
          <w:szCs w:val="22"/>
          <w:lang w:eastAsia="en-GB"/>
        </w:rPr>
      </w:pPr>
      <w:del w:id="8368" w:author="AbbVie_HU_03" w:date="2025-05-14T15:27:00Z">
        <w:r w:rsidRPr="00183B5F">
          <w:rPr>
            <w:szCs w:val="22"/>
            <w:lang w:eastAsia="en-GB"/>
          </w:rPr>
          <w:delText>Knollstrasse</w:delText>
        </w:r>
      </w:del>
    </w:p>
    <w:p w14:paraId="5F0F1A5D" w14:textId="764D63F0" w:rsidR="0054572E" w:rsidRPr="00183B5F" w:rsidRDefault="00943743" w:rsidP="0054572E">
      <w:pPr>
        <w:keepNext/>
        <w:suppressAutoHyphens w:val="0"/>
        <w:autoSpaceDE w:val="0"/>
        <w:autoSpaceDN w:val="0"/>
        <w:adjustRightInd w:val="0"/>
        <w:spacing w:line="240" w:lineRule="atLeast"/>
        <w:rPr>
          <w:del w:id="8369" w:author="AbbVie_HU_03" w:date="2025-05-14T15:27:00Z"/>
          <w:szCs w:val="22"/>
          <w:lang w:eastAsia="en-GB"/>
        </w:rPr>
      </w:pPr>
      <w:del w:id="8370" w:author="AbbVie_HU_03" w:date="2025-05-14T15:27:00Z">
        <w:r w:rsidRPr="00183B5F">
          <w:rPr>
            <w:szCs w:val="22"/>
            <w:lang w:eastAsia="en-GB"/>
          </w:rPr>
          <w:delText>67061 Ludwigshafen</w:delText>
        </w:r>
      </w:del>
    </w:p>
    <w:p w14:paraId="61733F5E" w14:textId="227D633F" w:rsidR="0054572E" w:rsidRPr="00183B5F" w:rsidRDefault="00943743" w:rsidP="0054572E">
      <w:pPr>
        <w:keepNext/>
        <w:suppressAutoHyphens w:val="0"/>
        <w:autoSpaceDE w:val="0"/>
        <w:autoSpaceDN w:val="0"/>
        <w:adjustRightInd w:val="0"/>
        <w:spacing w:line="240" w:lineRule="atLeast"/>
        <w:rPr>
          <w:del w:id="8371" w:author="AbbVie_HU_03" w:date="2025-05-14T15:27:00Z"/>
          <w:szCs w:val="22"/>
          <w:lang w:eastAsia="en-GB"/>
        </w:rPr>
      </w:pPr>
      <w:del w:id="8372" w:author="AbbVie_HU_03" w:date="2025-05-14T15:27:00Z">
        <w:r w:rsidRPr="00183B5F">
          <w:rPr>
            <w:szCs w:val="22"/>
            <w:lang w:eastAsia="en-GB"/>
          </w:rPr>
          <w:delText xml:space="preserve">Németország </w:delText>
        </w:r>
      </w:del>
    </w:p>
    <w:p w14:paraId="1D52F455" w14:textId="3F55325E" w:rsidR="00390DB9" w:rsidRPr="00183B5F" w:rsidRDefault="00390DB9" w:rsidP="004062FE">
      <w:pPr>
        <w:tabs>
          <w:tab w:val="left" w:pos="562"/>
        </w:tabs>
        <w:spacing w:line="240" w:lineRule="auto"/>
        <w:rPr>
          <w:del w:id="8373" w:author="AbbVie_HU_03" w:date="2025-05-14T15:27:00Z"/>
          <w:szCs w:val="22"/>
        </w:rPr>
      </w:pPr>
    </w:p>
    <w:p w14:paraId="12742C09" w14:textId="427A08C1" w:rsidR="00390DB9" w:rsidRPr="00183B5F" w:rsidRDefault="00390DB9" w:rsidP="004062FE">
      <w:pPr>
        <w:tabs>
          <w:tab w:val="left" w:pos="562"/>
        </w:tabs>
        <w:spacing w:line="240" w:lineRule="auto"/>
        <w:rPr>
          <w:del w:id="8374" w:author="AbbVie_HU_03" w:date="2025-05-14T15:27:00Z"/>
          <w:szCs w:val="22"/>
        </w:rPr>
      </w:pPr>
    </w:p>
    <w:p w14:paraId="0DCA0FDE" w14:textId="6E629AAA" w:rsidR="00FB6710" w:rsidRPr="00183B5F" w:rsidRDefault="00943743" w:rsidP="004062FE">
      <w:pPr>
        <w:keepNext/>
        <w:spacing w:line="240" w:lineRule="auto"/>
        <w:rPr>
          <w:del w:id="8375" w:author="AbbVie_HU_03" w:date="2025-05-14T15:27:00Z"/>
          <w:b/>
          <w:szCs w:val="22"/>
        </w:rPr>
      </w:pPr>
      <w:del w:id="8376" w:author="AbbVie_HU_03" w:date="2025-05-14T15:27:00Z">
        <w:r w:rsidRPr="00183B5F">
          <w:rPr>
            <w:b/>
            <w:szCs w:val="22"/>
          </w:rPr>
          <w:delText>8.</w:delText>
        </w:r>
        <w:r w:rsidRPr="00183B5F">
          <w:rPr>
            <w:b/>
            <w:szCs w:val="22"/>
          </w:rPr>
          <w:tab/>
        </w:r>
        <w:r w:rsidRPr="00183B5F">
          <w:rPr>
            <w:b/>
            <w:szCs w:val="22"/>
          </w:rPr>
          <w:delText>A FORGALOMBA HOZATALI ENGEDÉLY SZÁMA(I)</w:delText>
        </w:r>
      </w:del>
    </w:p>
    <w:p w14:paraId="1BCF6CC6" w14:textId="57D456E7" w:rsidR="0013172E" w:rsidRPr="00183B5F" w:rsidRDefault="0013172E" w:rsidP="004062FE">
      <w:pPr>
        <w:keepNext/>
        <w:spacing w:line="240" w:lineRule="auto"/>
        <w:rPr>
          <w:del w:id="8377" w:author="AbbVie_HU_03" w:date="2025-05-14T15:27:00Z"/>
          <w:szCs w:val="22"/>
        </w:rPr>
      </w:pPr>
    </w:p>
    <w:p w14:paraId="7F8CB973" w14:textId="43365235" w:rsidR="005C2503" w:rsidRPr="00183B5F" w:rsidRDefault="00943743" w:rsidP="004062FE">
      <w:pPr>
        <w:keepNext/>
        <w:spacing w:line="240" w:lineRule="auto"/>
        <w:rPr>
          <w:del w:id="8378" w:author="AbbVie_HU_03" w:date="2025-05-14T15:27:00Z"/>
          <w:szCs w:val="22"/>
        </w:rPr>
      </w:pPr>
      <w:del w:id="8379" w:author="AbbVie_HU_03" w:date="2025-05-14T15:27:00Z">
        <w:r w:rsidRPr="00183B5F">
          <w:rPr>
            <w:u w:val="single"/>
          </w:rPr>
          <w:delText>Humira 40 mg oldatos injekció előretöltött fecskendőben</w:delText>
        </w:r>
        <w:r w:rsidRPr="00183B5F">
          <w:rPr>
            <w:szCs w:val="22"/>
          </w:rPr>
          <w:delText xml:space="preserve"> </w:delText>
        </w:r>
      </w:del>
    </w:p>
    <w:p w14:paraId="54B36298" w14:textId="1885ADA6" w:rsidR="00FB6710" w:rsidRPr="00183B5F" w:rsidRDefault="00943743" w:rsidP="004062FE">
      <w:pPr>
        <w:keepNext/>
        <w:spacing w:line="240" w:lineRule="auto"/>
        <w:rPr>
          <w:del w:id="8380" w:author="AbbVie_HU_03" w:date="2025-05-14T15:27:00Z"/>
          <w:szCs w:val="22"/>
        </w:rPr>
      </w:pPr>
      <w:del w:id="8381" w:author="AbbVie_HU_03" w:date="2025-05-14T15:27:00Z">
        <w:r w:rsidRPr="00183B5F">
          <w:rPr>
            <w:szCs w:val="22"/>
          </w:rPr>
          <w:delText>EU/1/03/256/002</w:delText>
        </w:r>
      </w:del>
    </w:p>
    <w:p w14:paraId="00DA37C4" w14:textId="11EEF3B5" w:rsidR="00FB6710" w:rsidRPr="00183B5F" w:rsidRDefault="00943743" w:rsidP="004062FE">
      <w:pPr>
        <w:spacing w:line="240" w:lineRule="auto"/>
        <w:rPr>
          <w:del w:id="8382" w:author="AbbVie_HU_03" w:date="2025-05-14T15:27:00Z"/>
          <w:szCs w:val="22"/>
        </w:rPr>
      </w:pPr>
      <w:del w:id="8383" w:author="AbbVie_HU_03" w:date="2025-05-14T15:27:00Z">
        <w:r w:rsidRPr="00183B5F">
          <w:rPr>
            <w:szCs w:val="22"/>
          </w:rPr>
          <w:delText>EU/1/03/256/003</w:delText>
        </w:r>
      </w:del>
    </w:p>
    <w:p w14:paraId="4E9A05D0" w14:textId="2FDFB8B5" w:rsidR="00FB6710" w:rsidRPr="00183B5F" w:rsidRDefault="00943743" w:rsidP="004062FE">
      <w:pPr>
        <w:spacing w:line="240" w:lineRule="auto"/>
        <w:rPr>
          <w:del w:id="8384" w:author="AbbVie_HU_03" w:date="2025-05-14T15:27:00Z"/>
          <w:szCs w:val="22"/>
        </w:rPr>
      </w:pPr>
      <w:del w:id="8385" w:author="AbbVie_HU_03" w:date="2025-05-14T15:27:00Z">
        <w:r w:rsidRPr="00183B5F">
          <w:rPr>
            <w:szCs w:val="22"/>
          </w:rPr>
          <w:delText>EU/1/03/256/004</w:delText>
        </w:r>
      </w:del>
    </w:p>
    <w:p w14:paraId="05DDCB78" w14:textId="6DC02CB0" w:rsidR="00FB6710" w:rsidRPr="00183B5F" w:rsidRDefault="00943743" w:rsidP="004062FE">
      <w:pPr>
        <w:spacing w:line="240" w:lineRule="auto"/>
        <w:rPr>
          <w:del w:id="8386" w:author="AbbVie_HU_03" w:date="2025-05-14T15:27:00Z"/>
          <w:szCs w:val="22"/>
        </w:rPr>
      </w:pPr>
      <w:del w:id="8387" w:author="AbbVie_HU_03" w:date="2025-05-14T15:27:00Z">
        <w:r w:rsidRPr="00183B5F">
          <w:rPr>
            <w:szCs w:val="22"/>
          </w:rPr>
          <w:delText>EU/1/03/256/005</w:delText>
        </w:r>
      </w:del>
    </w:p>
    <w:p w14:paraId="28D35D70" w14:textId="007F3E06" w:rsidR="00FB6710" w:rsidRPr="00183B5F" w:rsidRDefault="00FB6710" w:rsidP="004062FE">
      <w:pPr>
        <w:spacing w:line="240" w:lineRule="auto"/>
        <w:rPr>
          <w:del w:id="8388" w:author="AbbVie_HU_03" w:date="2025-05-14T15:27:00Z"/>
          <w:szCs w:val="22"/>
        </w:rPr>
      </w:pPr>
    </w:p>
    <w:p w14:paraId="4FB456EC" w14:textId="3AC2AC2F" w:rsidR="005C2503" w:rsidRPr="00183B5F" w:rsidRDefault="00943743" w:rsidP="004062FE">
      <w:pPr>
        <w:spacing w:line="240" w:lineRule="auto"/>
        <w:rPr>
          <w:del w:id="8389" w:author="AbbVie_HU_03" w:date="2025-05-14T15:27:00Z"/>
          <w:u w:val="single"/>
        </w:rPr>
      </w:pPr>
      <w:del w:id="8390" w:author="AbbVie_HU_03" w:date="2025-05-14T15:27:00Z">
        <w:r w:rsidRPr="00183B5F">
          <w:rPr>
            <w:u w:val="single"/>
          </w:rPr>
          <w:delText>Humira 40 mg oldatos injekció előretöltött fecskendőben tűvédővel</w:delText>
        </w:r>
      </w:del>
    </w:p>
    <w:p w14:paraId="54776F47" w14:textId="14AAF77F" w:rsidR="005C2503" w:rsidRPr="00183B5F" w:rsidRDefault="00943743" w:rsidP="004062FE">
      <w:pPr>
        <w:spacing w:line="240" w:lineRule="auto"/>
        <w:rPr>
          <w:del w:id="8391" w:author="AbbVie_HU_03" w:date="2025-05-14T15:27:00Z"/>
        </w:rPr>
      </w:pPr>
      <w:del w:id="8392" w:author="AbbVie_HU_03" w:date="2025-05-14T15:27:00Z">
        <w:r w:rsidRPr="00183B5F">
          <w:delText>EU/1/03/256/006</w:delText>
        </w:r>
      </w:del>
    </w:p>
    <w:p w14:paraId="04F4E4F1" w14:textId="7DE573C3" w:rsidR="005C2503" w:rsidRPr="00183B5F" w:rsidRDefault="005C2503" w:rsidP="004062FE">
      <w:pPr>
        <w:spacing w:line="240" w:lineRule="auto"/>
        <w:rPr>
          <w:del w:id="8393" w:author="AbbVie_HU_03" w:date="2025-05-14T15:27:00Z"/>
        </w:rPr>
      </w:pPr>
    </w:p>
    <w:p w14:paraId="41FFA57A" w14:textId="493FDF4C" w:rsidR="005C2503" w:rsidRPr="00183B5F" w:rsidRDefault="00943743" w:rsidP="004062FE">
      <w:pPr>
        <w:spacing w:line="240" w:lineRule="auto"/>
        <w:rPr>
          <w:del w:id="8394" w:author="AbbVie_HU_03" w:date="2025-05-14T15:27:00Z"/>
          <w:szCs w:val="22"/>
        </w:rPr>
      </w:pPr>
      <w:del w:id="8395" w:author="AbbVie_HU_03" w:date="2025-05-14T15:27:00Z">
        <w:r w:rsidRPr="00183B5F">
          <w:rPr>
            <w:u w:val="single"/>
          </w:rPr>
          <w:delText>Humira 40 mg oldatos injekció előretöltött injekciós tollban</w:delText>
        </w:r>
      </w:del>
    </w:p>
    <w:p w14:paraId="077C0E71" w14:textId="19A357DB" w:rsidR="005C2503" w:rsidRPr="00183B5F" w:rsidRDefault="00943743">
      <w:pPr>
        <w:pStyle w:val="EMEANormal"/>
        <w:rPr>
          <w:del w:id="8396" w:author="AbbVie_HU_03" w:date="2025-05-14T15:27:00Z"/>
          <w:lang w:val="hu-HU"/>
        </w:rPr>
      </w:pPr>
      <w:del w:id="8397" w:author="AbbVie_HU_03" w:date="2025-05-14T15:27:00Z">
        <w:r w:rsidRPr="00183B5F">
          <w:rPr>
            <w:lang w:val="hu-HU"/>
          </w:rPr>
          <w:delText>EU/1/03/256/007</w:delText>
        </w:r>
      </w:del>
    </w:p>
    <w:p w14:paraId="3D42C5B7" w14:textId="5E17A7B5" w:rsidR="005C2503" w:rsidRPr="00183B5F" w:rsidRDefault="00943743">
      <w:pPr>
        <w:pStyle w:val="EMEANormal"/>
        <w:rPr>
          <w:del w:id="8398" w:author="AbbVie_HU_03" w:date="2025-05-14T15:27:00Z"/>
          <w:lang w:val="hu-HU"/>
        </w:rPr>
      </w:pPr>
      <w:del w:id="8399" w:author="AbbVie_HU_03" w:date="2025-05-14T15:27:00Z">
        <w:r w:rsidRPr="00183B5F">
          <w:rPr>
            <w:lang w:val="hu-HU"/>
          </w:rPr>
          <w:delText>EU/1/03/256/008</w:delText>
        </w:r>
      </w:del>
    </w:p>
    <w:p w14:paraId="45A7CDF4" w14:textId="5939B8D8" w:rsidR="005C2503" w:rsidRPr="00183B5F" w:rsidRDefault="00943743">
      <w:pPr>
        <w:pStyle w:val="EMEANormal"/>
        <w:rPr>
          <w:del w:id="8400" w:author="AbbVie_HU_03" w:date="2025-05-14T15:27:00Z"/>
          <w:lang w:val="hu-HU"/>
        </w:rPr>
      </w:pPr>
      <w:del w:id="8401" w:author="AbbVie_HU_03" w:date="2025-05-14T15:27:00Z">
        <w:r w:rsidRPr="00183B5F">
          <w:rPr>
            <w:lang w:val="hu-HU"/>
          </w:rPr>
          <w:delText>EU/1/03/256/009</w:delText>
        </w:r>
      </w:del>
    </w:p>
    <w:p w14:paraId="5194E6A0" w14:textId="25F0C200" w:rsidR="005C2503" w:rsidRPr="00183B5F" w:rsidRDefault="00943743">
      <w:pPr>
        <w:pStyle w:val="EMEANormal"/>
        <w:rPr>
          <w:del w:id="8402" w:author="AbbVie_HU_03" w:date="2025-05-14T15:27:00Z"/>
          <w:lang w:val="hu-HU"/>
        </w:rPr>
      </w:pPr>
      <w:del w:id="8403" w:author="AbbVie_HU_03" w:date="2025-05-14T15:27:00Z">
        <w:r w:rsidRPr="00183B5F">
          <w:rPr>
            <w:lang w:val="hu-HU"/>
          </w:rPr>
          <w:delText>EU/1/03/256/010</w:delText>
        </w:r>
      </w:del>
    </w:p>
    <w:p w14:paraId="586071EC" w14:textId="204F3CFD" w:rsidR="005C2503" w:rsidRPr="00183B5F" w:rsidRDefault="005C2503" w:rsidP="004062FE">
      <w:pPr>
        <w:spacing w:line="240" w:lineRule="auto"/>
        <w:rPr>
          <w:del w:id="8404" w:author="AbbVie_HU_03" w:date="2025-05-14T15:27:00Z"/>
          <w:szCs w:val="22"/>
        </w:rPr>
      </w:pPr>
    </w:p>
    <w:p w14:paraId="06FF56DC" w14:textId="1AE37839" w:rsidR="00FB6710" w:rsidRPr="00183B5F" w:rsidRDefault="00FB6710" w:rsidP="004062FE">
      <w:pPr>
        <w:spacing w:line="240" w:lineRule="auto"/>
        <w:rPr>
          <w:del w:id="8405" w:author="AbbVie_HU_03" w:date="2025-05-14T15:27:00Z"/>
          <w:szCs w:val="22"/>
        </w:rPr>
      </w:pPr>
    </w:p>
    <w:p w14:paraId="0CB3ED86" w14:textId="318348F5" w:rsidR="00FB6710" w:rsidRPr="00183B5F" w:rsidRDefault="00943743" w:rsidP="004062FE">
      <w:pPr>
        <w:keepNext/>
        <w:spacing w:line="240" w:lineRule="auto"/>
        <w:ind w:left="567" w:hanging="567"/>
        <w:rPr>
          <w:del w:id="8406" w:author="AbbVie_HU_03" w:date="2025-05-14T15:27:00Z"/>
          <w:b/>
          <w:szCs w:val="22"/>
        </w:rPr>
      </w:pPr>
      <w:del w:id="8407" w:author="AbbVie_HU_03" w:date="2025-05-14T15:27:00Z">
        <w:r w:rsidRPr="00183B5F">
          <w:rPr>
            <w:b/>
            <w:szCs w:val="22"/>
          </w:rPr>
          <w:delText>9.</w:delText>
        </w:r>
        <w:r w:rsidRPr="00183B5F">
          <w:rPr>
            <w:b/>
            <w:szCs w:val="22"/>
          </w:rPr>
          <w:tab/>
        </w:r>
        <w:r w:rsidRPr="00183B5F">
          <w:rPr>
            <w:b/>
            <w:szCs w:val="22"/>
          </w:rPr>
          <w:delText>A FORGALOMBA HOZATALI ENGEDÉLY ELSŐ KIADÁSÁNAK/MEGÚJÍTÁSÁNAK DÁTUMA</w:delText>
        </w:r>
      </w:del>
    </w:p>
    <w:p w14:paraId="6DABD89C" w14:textId="1492AAAF" w:rsidR="00FB6710" w:rsidRPr="00183B5F" w:rsidRDefault="00FB6710" w:rsidP="004062FE">
      <w:pPr>
        <w:keepNext/>
        <w:spacing w:line="240" w:lineRule="auto"/>
        <w:rPr>
          <w:del w:id="8408" w:author="AbbVie_HU_03" w:date="2025-05-14T15:27:00Z"/>
          <w:szCs w:val="22"/>
        </w:rPr>
      </w:pPr>
    </w:p>
    <w:p w14:paraId="74A1DBF1" w14:textId="6A7154A8" w:rsidR="008B3A05" w:rsidRPr="00183B5F" w:rsidRDefault="00943743" w:rsidP="004062FE">
      <w:pPr>
        <w:keepNext/>
        <w:spacing w:line="240" w:lineRule="auto"/>
        <w:rPr>
          <w:del w:id="8409" w:author="AbbVie_HU_03" w:date="2025-05-14T15:27:00Z"/>
          <w:rStyle w:val="hps"/>
          <w:szCs w:val="22"/>
        </w:rPr>
      </w:pPr>
      <w:del w:id="8410" w:author="AbbVie_HU_03" w:date="2025-05-14T15:27:00Z">
        <w:r w:rsidRPr="00183B5F">
          <w:rPr>
            <w:szCs w:val="22"/>
          </w:rPr>
          <w:delText>Forgalomba hozatali engedély első kiadásának dátuma: 2003.</w:delText>
        </w:r>
        <w:r w:rsidRPr="00183B5F">
          <w:rPr>
            <w:rStyle w:val="Heading1Char"/>
            <w:rFonts w:ascii="Times New Roman" w:hAnsi="Times New Roman"/>
            <w:sz w:val="22"/>
            <w:szCs w:val="22"/>
          </w:rPr>
          <w:delText xml:space="preserve"> </w:delText>
        </w:r>
        <w:r w:rsidR="00E15E62" w:rsidRPr="00183B5F">
          <w:rPr>
            <w:rStyle w:val="hps"/>
            <w:szCs w:val="22"/>
          </w:rPr>
          <w:delText>s</w:delText>
        </w:r>
        <w:r w:rsidRPr="00183B5F">
          <w:rPr>
            <w:rStyle w:val="hps"/>
            <w:szCs w:val="22"/>
          </w:rPr>
          <w:delText xml:space="preserve">zeptember </w:delText>
        </w:r>
        <w:r w:rsidR="00D12B39" w:rsidRPr="00183B5F">
          <w:rPr>
            <w:rStyle w:val="hps"/>
            <w:szCs w:val="22"/>
          </w:rPr>
          <w:delText>8</w:delText>
        </w:r>
        <w:r w:rsidR="00E15E62" w:rsidRPr="00183B5F">
          <w:rPr>
            <w:rStyle w:val="hps"/>
            <w:szCs w:val="22"/>
          </w:rPr>
          <w:delText>.</w:delText>
        </w:r>
      </w:del>
    </w:p>
    <w:p w14:paraId="007FB5C0" w14:textId="2E3E2C52" w:rsidR="008B3A05" w:rsidRPr="00183B5F" w:rsidRDefault="00943743" w:rsidP="004062FE">
      <w:pPr>
        <w:keepNext/>
        <w:spacing w:line="240" w:lineRule="auto"/>
        <w:rPr>
          <w:del w:id="8411" w:author="AbbVie_HU_03" w:date="2025-05-14T15:27:00Z"/>
          <w:szCs w:val="22"/>
        </w:rPr>
      </w:pPr>
      <w:del w:id="8412" w:author="AbbVie_HU_03" w:date="2025-05-14T15:27:00Z">
        <w:r w:rsidRPr="00183B5F">
          <w:rPr>
            <w:szCs w:val="22"/>
          </w:rPr>
          <w:delText>Forgalomba hozatali engedély legutolsó megújításának dátuma: 2008</w:delText>
        </w:r>
        <w:r w:rsidR="00A67C57" w:rsidRPr="00183B5F">
          <w:rPr>
            <w:szCs w:val="22"/>
          </w:rPr>
          <w:delText>.</w:delText>
        </w:r>
        <w:r w:rsidRPr="00183B5F">
          <w:rPr>
            <w:szCs w:val="22"/>
          </w:rPr>
          <w:delText xml:space="preserve"> </w:delText>
        </w:r>
        <w:r w:rsidR="00E15E62" w:rsidRPr="00183B5F">
          <w:rPr>
            <w:rStyle w:val="hps"/>
            <w:szCs w:val="22"/>
          </w:rPr>
          <w:delText>s</w:delText>
        </w:r>
        <w:r w:rsidRPr="00183B5F">
          <w:rPr>
            <w:rStyle w:val="hps"/>
            <w:szCs w:val="22"/>
          </w:rPr>
          <w:delText>zeptember 8</w:delText>
        </w:r>
        <w:r w:rsidR="00E15E62" w:rsidRPr="00183B5F">
          <w:rPr>
            <w:rStyle w:val="hps"/>
            <w:szCs w:val="22"/>
          </w:rPr>
          <w:delText>.</w:delText>
        </w:r>
      </w:del>
    </w:p>
    <w:p w14:paraId="3E6C2A57" w14:textId="22371FA1" w:rsidR="00FB6710" w:rsidRPr="00183B5F" w:rsidRDefault="00FB6710" w:rsidP="004062FE">
      <w:pPr>
        <w:spacing w:line="240" w:lineRule="auto"/>
        <w:rPr>
          <w:del w:id="8413" w:author="AbbVie_HU_03" w:date="2025-05-14T15:27:00Z"/>
          <w:szCs w:val="22"/>
        </w:rPr>
      </w:pPr>
    </w:p>
    <w:p w14:paraId="56A13029" w14:textId="37C53529" w:rsidR="00FB6710" w:rsidRPr="00183B5F" w:rsidRDefault="00FB6710" w:rsidP="004062FE">
      <w:pPr>
        <w:spacing w:line="240" w:lineRule="auto"/>
        <w:rPr>
          <w:del w:id="8414" w:author="AbbVie_HU_03" w:date="2025-05-14T15:27:00Z"/>
          <w:szCs w:val="22"/>
        </w:rPr>
      </w:pPr>
    </w:p>
    <w:p w14:paraId="00C1710F" w14:textId="2FA9A1BF" w:rsidR="00FB6710" w:rsidRPr="00183B5F" w:rsidRDefault="00943743" w:rsidP="004062FE">
      <w:pPr>
        <w:spacing w:line="240" w:lineRule="auto"/>
        <w:ind w:left="567" w:hanging="567"/>
        <w:rPr>
          <w:del w:id="8415" w:author="AbbVie_HU_03" w:date="2025-05-14T15:27:00Z"/>
          <w:b/>
          <w:szCs w:val="22"/>
        </w:rPr>
      </w:pPr>
      <w:del w:id="8416" w:author="AbbVie_HU_03" w:date="2025-05-14T15:27:00Z">
        <w:r w:rsidRPr="00183B5F">
          <w:rPr>
            <w:b/>
            <w:szCs w:val="22"/>
          </w:rPr>
          <w:delText>10.</w:delText>
        </w:r>
        <w:r w:rsidRPr="00183B5F">
          <w:rPr>
            <w:b/>
            <w:szCs w:val="22"/>
          </w:rPr>
          <w:tab/>
        </w:r>
        <w:r w:rsidRPr="00183B5F">
          <w:rPr>
            <w:b/>
            <w:szCs w:val="22"/>
          </w:rPr>
          <w:delText>A SZÖVEG ELLENŐRZÉSÉNEK DÁTUMA</w:delText>
        </w:r>
      </w:del>
    </w:p>
    <w:p w14:paraId="181B0FF6" w14:textId="19AEE824" w:rsidR="00D20685" w:rsidRPr="00183B5F" w:rsidRDefault="00D20685" w:rsidP="004062FE">
      <w:pPr>
        <w:spacing w:line="240" w:lineRule="auto"/>
        <w:ind w:left="567" w:hanging="567"/>
        <w:rPr>
          <w:del w:id="8417" w:author="AbbVie_HU_03" w:date="2025-05-14T15:27:00Z"/>
          <w:bCs/>
          <w:szCs w:val="22"/>
        </w:rPr>
      </w:pPr>
    </w:p>
    <w:p w14:paraId="61401D18" w14:textId="44B8749D" w:rsidR="00D20685" w:rsidRPr="00183B5F" w:rsidRDefault="00943743" w:rsidP="004062FE">
      <w:pPr>
        <w:spacing w:line="240" w:lineRule="auto"/>
        <w:rPr>
          <w:del w:id="8418" w:author="AbbVie_HU_03" w:date="2025-05-14T15:27:00Z"/>
          <w:bCs/>
          <w:szCs w:val="22"/>
        </w:rPr>
      </w:pPr>
      <w:del w:id="8419" w:author="AbbVie_HU_03" w:date="2025-05-14T15:27:00Z">
        <w:r w:rsidRPr="00183B5F">
          <w:rPr>
            <w:bCs/>
            <w:szCs w:val="22"/>
          </w:rPr>
          <w:delText>A gyógyszerről részletes információ az Európai Gyógyszerügynökség internetes honlapján (http://www.ema.europa.eu) található.</w:delText>
        </w:r>
      </w:del>
    </w:p>
    <w:p w14:paraId="73A9070E" w14:textId="0B7B5E4B" w:rsidR="008D5780" w:rsidRPr="00183B5F" w:rsidRDefault="00943743" w:rsidP="004062FE">
      <w:pPr>
        <w:spacing w:line="240" w:lineRule="auto"/>
        <w:ind w:left="567" w:hanging="567"/>
        <w:rPr>
          <w:del w:id="8420" w:author="AbbVie_HU_03" w:date="2025-05-14T15:27:00Z"/>
          <w:bCs/>
          <w:szCs w:val="22"/>
        </w:rPr>
      </w:pPr>
      <w:del w:id="8421" w:author="AbbVie_HU_03" w:date="2025-05-14T15:27:00Z">
        <w:r w:rsidRPr="00183B5F">
          <w:rPr>
            <w:bCs/>
            <w:szCs w:val="22"/>
          </w:rPr>
          <w:br w:type="page"/>
        </w:r>
      </w:del>
    </w:p>
    <w:p w14:paraId="3680AACF" w14:textId="77777777" w:rsidR="00D0403E" w:rsidRPr="00183B5F" w:rsidRDefault="00943743" w:rsidP="0080649D">
      <w:pPr>
        <w:spacing w:line="240" w:lineRule="auto"/>
        <w:rPr>
          <w:b/>
          <w:szCs w:val="22"/>
        </w:rPr>
      </w:pPr>
      <w:r w:rsidRPr="00183B5F">
        <w:rPr>
          <w:b/>
          <w:szCs w:val="22"/>
        </w:rPr>
        <w:t>1.</w:t>
      </w:r>
      <w:r w:rsidRPr="00183B5F">
        <w:rPr>
          <w:b/>
          <w:szCs w:val="22"/>
        </w:rPr>
        <w:tab/>
        <w:t>A GYÓGYSZER NEVE</w:t>
      </w:r>
    </w:p>
    <w:p w14:paraId="01259175" w14:textId="77777777" w:rsidR="00D0403E" w:rsidRPr="00183B5F" w:rsidRDefault="00D0403E" w:rsidP="004062FE">
      <w:pPr>
        <w:spacing w:line="240" w:lineRule="auto"/>
        <w:rPr>
          <w:szCs w:val="22"/>
        </w:rPr>
      </w:pPr>
    </w:p>
    <w:p w14:paraId="1949E935" w14:textId="77777777" w:rsidR="00D0403E" w:rsidRPr="00183B5F" w:rsidRDefault="00943743" w:rsidP="004062FE">
      <w:pPr>
        <w:spacing w:line="240" w:lineRule="auto"/>
        <w:rPr>
          <w:szCs w:val="22"/>
        </w:rPr>
      </w:pPr>
      <w:r w:rsidRPr="00183B5F">
        <w:rPr>
          <w:szCs w:val="22"/>
        </w:rPr>
        <w:t>Humira 40 mg oldatos injekció előretöltött fecskendőben</w:t>
      </w:r>
    </w:p>
    <w:p w14:paraId="43845678" w14:textId="77777777" w:rsidR="00D0403E" w:rsidRPr="00183B5F" w:rsidRDefault="00943743" w:rsidP="004062FE">
      <w:pPr>
        <w:spacing w:line="240" w:lineRule="auto"/>
        <w:rPr>
          <w:szCs w:val="22"/>
        </w:rPr>
      </w:pPr>
      <w:r w:rsidRPr="00183B5F">
        <w:rPr>
          <w:szCs w:val="22"/>
        </w:rPr>
        <w:t>Humira 40 mg oldatos injekció előretöltött injekciós tollban</w:t>
      </w:r>
    </w:p>
    <w:p w14:paraId="46F6121F" w14:textId="77777777" w:rsidR="00D0403E" w:rsidRPr="00183B5F" w:rsidRDefault="00D0403E" w:rsidP="004062FE">
      <w:pPr>
        <w:spacing w:line="240" w:lineRule="auto"/>
        <w:rPr>
          <w:szCs w:val="22"/>
        </w:rPr>
      </w:pPr>
    </w:p>
    <w:p w14:paraId="69220D38" w14:textId="77777777" w:rsidR="00857349" w:rsidRPr="00183B5F" w:rsidRDefault="00857349" w:rsidP="004062FE">
      <w:pPr>
        <w:spacing w:line="240" w:lineRule="auto"/>
        <w:rPr>
          <w:szCs w:val="22"/>
        </w:rPr>
      </w:pPr>
    </w:p>
    <w:p w14:paraId="5A621501" w14:textId="77777777" w:rsidR="00D0403E" w:rsidRPr="00183B5F" w:rsidRDefault="00943743" w:rsidP="004062FE">
      <w:pPr>
        <w:pStyle w:val="EndnoteText"/>
        <w:tabs>
          <w:tab w:val="clear" w:pos="567"/>
        </w:tabs>
        <w:suppressAutoHyphens/>
        <w:rPr>
          <w:sz w:val="22"/>
          <w:lang w:val="hu-HU"/>
        </w:rPr>
      </w:pPr>
      <w:r w:rsidRPr="00183B5F">
        <w:rPr>
          <w:b/>
          <w:sz w:val="22"/>
          <w:szCs w:val="22"/>
          <w:lang w:val="hu-HU"/>
        </w:rPr>
        <w:t>2</w:t>
      </w:r>
      <w:r w:rsidRPr="00183B5F">
        <w:rPr>
          <w:b/>
          <w:sz w:val="22"/>
          <w:lang w:val="hu-HU"/>
        </w:rPr>
        <w:t>.</w:t>
      </w:r>
      <w:r w:rsidRPr="00183B5F">
        <w:rPr>
          <w:b/>
          <w:sz w:val="22"/>
          <w:lang w:val="hu-HU"/>
        </w:rPr>
        <w:tab/>
        <w:t>MINŐSÉGI ÉS MENNYISÉGI ÖSSZETÉTEL</w:t>
      </w:r>
    </w:p>
    <w:p w14:paraId="7FCCA445" w14:textId="77777777" w:rsidR="00D0403E" w:rsidRPr="00183B5F" w:rsidRDefault="00D0403E" w:rsidP="004062FE">
      <w:pPr>
        <w:spacing w:line="240" w:lineRule="auto"/>
        <w:rPr>
          <w:szCs w:val="22"/>
        </w:rPr>
      </w:pPr>
    </w:p>
    <w:p w14:paraId="68C6F442" w14:textId="77777777" w:rsidR="00857349" w:rsidRPr="00183B5F" w:rsidRDefault="00943743" w:rsidP="004062FE">
      <w:pPr>
        <w:spacing w:line="240" w:lineRule="auto"/>
        <w:rPr>
          <w:szCs w:val="22"/>
          <w:u w:val="single"/>
        </w:rPr>
      </w:pPr>
      <w:r w:rsidRPr="00183B5F">
        <w:rPr>
          <w:szCs w:val="22"/>
          <w:u w:val="single"/>
        </w:rPr>
        <w:t>Humira 40 mg oldatos injekció előretöltött fecskendőben</w:t>
      </w:r>
    </w:p>
    <w:p w14:paraId="3395784C" w14:textId="77777777" w:rsidR="00D0403E" w:rsidRPr="00183B5F" w:rsidRDefault="00943743" w:rsidP="004062FE">
      <w:pPr>
        <w:spacing w:line="240" w:lineRule="auto"/>
        <w:rPr>
          <w:szCs w:val="22"/>
        </w:rPr>
      </w:pPr>
      <w:r w:rsidRPr="00183B5F">
        <w:rPr>
          <w:szCs w:val="22"/>
        </w:rPr>
        <w:t>40 mg adalimumab 0,4 ml</w:t>
      </w:r>
      <w:r w:rsidRPr="00183B5F">
        <w:rPr>
          <w:szCs w:val="22"/>
        </w:rPr>
        <w:noBreakHyphen/>
        <w:t>es, egyadagos, előretöltött fecskendőben.</w:t>
      </w:r>
    </w:p>
    <w:p w14:paraId="0834B9CE" w14:textId="77777777" w:rsidR="00BC5442" w:rsidRPr="00183B5F" w:rsidRDefault="00BC5442" w:rsidP="004062FE">
      <w:pPr>
        <w:spacing w:line="240" w:lineRule="auto"/>
        <w:rPr>
          <w:szCs w:val="22"/>
        </w:rPr>
      </w:pPr>
    </w:p>
    <w:p w14:paraId="69C8BE2B" w14:textId="77777777" w:rsidR="00857349" w:rsidRPr="00183B5F" w:rsidRDefault="00943743" w:rsidP="004062FE">
      <w:pPr>
        <w:spacing w:line="240" w:lineRule="auto"/>
        <w:rPr>
          <w:szCs w:val="22"/>
          <w:u w:val="single"/>
        </w:rPr>
      </w:pPr>
      <w:r w:rsidRPr="00183B5F">
        <w:rPr>
          <w:szCs w:val="22"/>
          <w:u w:val="single"/>
        </w:rPr>
        <w:t>Humira 40 mg oldatos injekció előretöltött injekciós tollban</w:t>
      </w:r>
    </w:p>
    <w:p w14:paraId="55346983" w14:textId="77777777" w:rsidR="00857349" w:rsidRPr="00183B5F" w:rsidRDefault="00943743" w:rsidP="004062FE">
      <w:pPr>
        <w:spacing w:line="240" w:lineRule="auto"/>
        <w:rPr>
          <w:szCs w:val="22"/>
        </w:rPr>
      </w:pPr>
      <w:r w:rsidRPr="00183B5F">
        <w:rPr>
          <w:szCs w:val="22"/>
        </w:rPr>
        <w:t>40 mg adalimumab 0,4 ml</w:t>
      </w:r>
      <w:r w:rsidRPr="00183B5F">
        <w:rPr>
          <w:szCs w:val="22"/>
        </w:rPr>
        <w:noBreakHyphen/>
        <w:t>es, egyadagos, előretöltött injekciós tollban.</w:t>
      </w:r>
    </w:p>
    <w:p w14:paraId="56C0A406" w14:textId="77777777" w:rsidR="00857349" w:rsidRPr="00183B5F" w:rsidRDefault="00857349" w:rsidP="004062FE">
      <w:pPr>
        <w:spacing w:line="240" w:lineRule="auto"/>
        <w:rPr>
          <w:szCs w:val="22"/>
        </w:rPr>
      </w:pPr>
    </w:p>
    <w:p w14:paraId="3761676D" w14:textId="77777777" w:rsidR="00D0403E" w:rsidRPr="00183B5F" w:rsidRDefault="00943743" w:rsidP="004062FE">
      <w:pPr>
        <w:pStyle w:val="EndnoteText"/>
        <w:tabs>
          <w:tab w:val="clear" w:pos="567"/>
        </w:tabs>
        <w:suppressAutoHyphens/>
        <w:rPr>
          <w:sz w:val="22"/>
          <w:lang w:val="hu-HU"/>
        </w:rPr>
      </w:pPr>
      <w:r w:rsidRPr="00183B5F">
        <w:rPr>
          <w:sz w:val="22"/>
          <w:lang w:val="hu-HU"/>
        </w:rPr>
        <w:t>Az adalimumab egy rekombináns humán monoklonális antitest, melyet kínai hörcsög petefészek sejtekben állítanak elő.</w:t>
      </w:r>
    </w:p>
    <w:p w14:paraId="7D089C8D" w14:textId="77777777" w:rsidR="00521FAF" w:rsidRDefault="00521FAF" w:rsidP="00521FAF">
      <w:pPr>
        <w:spacing w:line="240" w:lineRule="auto"/>
        <w:rPr>
          <w:ins w:id="8422" w:author="AbbVie_HU_03" w:date="2025-05-14T15:29:00Z"/>
          <w:noProof/>
          <w:szCs w:val="22"/>
        </w:rPr>
      </w:pPr>
    </w:p>
    <w:p w14:paraId="4E6ABB4B" w14:textId="77777777" w:rsidR="00521FAF" w:rsidRDefault="00943743" w:rsidP="00521FAF">
      <w:pPr>
        <w:spacing w:line="240" w:lineRule="auto"/>
        <w:rPr>
          <w:ins w:id="8423" w:author="AbbVie_HU_03" w:date="2025-05-14T15:29:00Z"/>
          <w:u w:val="single"/>
        </w:rPr>
      </w:pPr>
      <w:ins w:id="8424" w:author="AbbVie_HU_03" w:date="2025-05-14T15:29:00Z">
        <w:r w:rsidRPr="00071EBC">
          <w:rPr>
            <w:u w:val="single"/>
          </w:rPr>
          <w:t>Ismert hatású segédanyag(ok)</w:t>
        </w:r>
      </w:ins>
    </w:p>
    <w:p w14:paraId="6F9FFFA4" w14:textId="77777777" w:rsidR="00521FAF" w:rsidRDefault="00521FAF" w:rsidP="00521FAF">
      <w:pPr>
        <w:spacing w:line="240" w:lineRule="auto"/>
        <w:rPr>
          <w:ins w:id="8425" w:author="AbbVie_HU_03" w:date="2025-05-14T15:29:00Z"/>
          <w:u w:val="single"/>
        </w:rPr>
      </w:pPr>
    </w:p>
    <w:p w14:paraId="49358714" w14:textId="3893F11B" w:rsidR="00521FAF" w:rsidRPr="00C261BD" w:rsidRDefault="00943743" w:rsidP="00521FAF">
      <w:pPr>
        <w:spacing w:line="240" w:lineRule="auto"/>
        <w:rPr>
          <w:ins w:id="8426" w:author="AbbVie_HU_03" w:date="2025-05-14T15:29:00Z"/>
          <w:rPrChange w:id="8427" w:author="AbbVie_HU_03" w:date="2025-05-14T15:39:00Z">
            <w:rPr>
              <w:ins w:id="8428" w:author="AbbVie_HU_03" w:date="2025-05-14T15:29:00Z"/>
              <w:u w:val="single"/>
            </w:rPr>
          </w:rPrChange>
        </w:rPr>
      </w:pPr>
      <w:ins w:id="8429" w:author="AbbVie_HU_03" w:date="2025-05-14T15:29:00Z">
        <w:r w:rsidRPr="00C261BD">
          <w:rPr>
            <w:rPrChange w:id="8430" w:author="AbbVie_HU_03" w:date="2025-05-14T15:39:00Z">
              <w:rPr>
                <w:u w:val="single"/>
              </w:rPr>
            </w:rPrChange>
          </w:rPr>
          <w:t>Ez a gyógyszer 0,</w:t>
        </w:r>
      </w:ins>
      <w:ins w:id="8431" w:author="AbbVie_HU_03" w:date="2025-05-14T15:30:00Z">
        <w:r w:rsidRPr="00C261BD">
          <w:rPr>
            <w:rPrChange w:id="8432" w:author="AbbVie_HU_03" w:date="2025-05-14T15:39:00Z">
              <w:rPr>
                <w:u w:val="single"/>
              </w:rPr>
            </w:rPrChange>
          </w:rPr>
          <w:t>4</w:t>
        </w:r>
      </w:ins>
      <w:ins w:id="8433" w:author="AbbVie_HU_03" w:date="2025-05-14T16:57:00Z">
        <w:r w:rsidR="005F356A">
          <w:t> </w:t>
        </w:r>
      </w:ins>
      <w:ins w:id="8434" w:author="AbbVie_HU_03" w:date="2025-05-14T15:29:00Z">
        <w:r w:rsidRPr="00C261BD">
          <w:rPr>
            <w:rPrChange w:id="8435" w:author="AbbVie_HU_03" w:date="2025-05-14T15:39:00Z">
              <w:rPr>
                <w:u w:val="single"/>
              </w:rPr>
            </w:rPrChange>
          </w:rPr>
          <w:t xml:space="preserve">mg poliszorbát 80-at tartalmaz </w:t>
        </w:r>
      </w:ins>
      <w:ins w:id="8436" w:author="AbbVie_HU_03" w:date="2025-05-14T15:30:00Z">
        <w:r w:rsidRPr="00C261BD">
          <w:rPr>
            <w:rPrChange w:id="8437" w:author="AbbVie_HU_03" w:date="2025-05-14T15:39:00Z">
              <w:rPr>
                <w:u w:val="single"/>
              </w:rPr>
            </w:rPrChange>
          </w:rPr>
          <w:t>4</w:t>
        </w:r>
      </w:ins>
      <w:ins w:id="8438" w:author="AbbVie_HU_03" w:date="2025-05-14T15:29:00Z">
        <w:r w:rsidRPr="00C261BD">
          <w:rPr>
            <w:rPrChange w:id="8439" w:author="AbbVie_HU_03" w:date="2025-05-14T15:39:00Z">
              <w:rPr>
                <w:u w:val="single"/>
              </w:rPr>
            </w:rPrChange>
          </w:rPr>
          <w:t>0</w:t>
        </w:r>
      </w:ins>
      <w:ins w:id="8440" w:author="AbbVie_HU_03" w:date="2025-05-14T16:57:00Z">
        <w:r w:rsidR="005F356A">
          <w:t> </w:t>
        </w:r>
      </w:ins>
      <w:ins w:id="8441" w:author="AbbVie_HU_03" w:date="2025-05-14T15:29:00Z">
        <w:r w:rsidRPr="00C261BD">
          <w:rPr>
            <w:rPrChange w:id="8442" w:author="AbbVie_HU_03" w:date="2025-05-14T15:39:00Z">
              <w:rPr>
                <w:u w:val="single"/>
              </w:rPr>
            </w:rPrChange>
          </w:rPr>
          <w:t>mg-os adagonként.</w:t>
        </w:r>
      </w:ins>
    </w:p>
    <w:p w14:paraId="42B199A2" w14:textId="77777777" w:rsidR="00521FAF" w:rsidRPr="00183B5F" w:rsidRDefault="00521FAF" w:rsidP="00521FAF">
      <w:pPr>
        <w:spacing w:line="240" w:lineRule="auto"/>
        <w:rPr>
          <w:szCs w:val="22"/>
        </w:rPr>
      </w:pPr>
    </w:p>
    <w:p w14:paraId="063F577C" w14:textId="77777777" w:rsidR="00D0403E" w:rsidRPr="00183B5F" w:rsidRDefault="00943743" w:rsidP="004062FE">
      <w:pPr>
        <w:spacing w:line="240" w:lineRule="auto"/>
        <w:rPr>
          <w:szCs w:val="22"/>
        </w:rPr>
      </w:pPr>
      <w:r w:rsidRPr="00183B5F">
        <w:rPr>
          <w:szCs w:val="22"/>
        </w:rPr>
        <w:t>A segédanyagok teljes listáját lásd a 6.1 pontban.</w:t>
      </w:r>
    </w:p>
    <w:p w14:paraId="470BEC37" w14:textId="77777777" w:rsidR="00D0403E" w:rsidRPr="00183B5F" w:rsidRDefault="00D0403E" w:rsidP="004062FE">
      <w:pPr>
        <w:spacing w:line="240" w:lineRule="auto"/>
        <w:rPr>
          <w:szCs w:val="22"/>
        </w:rPr>
      </w:pPr>
    </w:p>
    <w:p w14:paraId="2F71CE5A" w14:textId="77777777" w:rsidR="00D0403E" w:rsidRPr="00183B5F" w:rsidRDefault="00D0403E" w:rsidP="004062FE">
      <w:pPr>
        <w:spacing w:line="240" w:lineRule="auto"/>
        <w:rPr>
          <w:szCs w:val="22"/>
        </w:rPr>
      </w:pPr>
    </w:p>
    <w:p w14:paraId="3C061A67" w14:textId="77777777" w:rsidR="00D0403E" w:rsidRPr="00183B5F" w:rsidRDefault="00943743" w:rsidP="006B2397">
      <w:pPr>
        <w:spacing w:line="240" w:lineRule="auto"/>
        <w:rPr>
          <w:b/>
          <w:szCs w:val="22"/>
        </w:rPr>
      </w:pPr>
      <w:r w:rsidRPr="00183B5F">
        <w:rPr>
          <w:b/>
          <w:szCs w:val="22"/>
        </w:rPr>
        <w:t>3.</w:t>
      </w:r>
      <w:r w:rsidRPr="00183B5F">
        <w:rPr>
          <w:b/>
          <w:szCs w:val="22"/>
        </w:rPr>
        <w:tab/>
        <w:t>GYÓGYSZERFORMA</w:t>
      </w:r>
    </w:p>
    <w:p w14:paraId="512FB4BD" w14:textId="77777777" w:rsidR="00D0403E" w:rsidRPr="00183B5F" w:rsidRDefault="00D0403E" w:rsidP="004062FE">
      <w:pPr>
        <w:spacing w:line="240" w:lineRule="auto"/>
        <w:rPr>
          <w:szCs w:val="22"/>
        </w:rPr>
      </w:pPr>
    </w:p>
    <w:p w14:paraId="2E358FE7" w14:textId="77777777" w:rsidR="00D0403E" w:rsidRPr="00183B5F" w:rsidRDefault="00943743" w:rsidP="004062FE">
      <w:pPr>
        <w:spacing w:line="240" w:lineRule="auto"/>
        <w:rPr>
          <w:szCs w:val="22"/>
        </w:rPr>
      </w:pPr>
      <w:r w:rsidRPr="00183B5F">
        <w:rPr>
          <w:szCs w:val="22"/>
        </w:rPr>
        <w:t>Oldatos injekció</w:t>
      </w:r>
      <w:r w:rsidR="001C34E2" w:rsidRPr="00183B5F">
        <w:rPr>
          <w:szCs w:val="22"/>
        </w:rPr>
        <w:t xml:space="preserve"> (</w:t>
      </w:r>
      <w:r w:rsidR="00A43FB3" w:rsidRPr="00183B5F">
        <w:rPr>
          <w:szCs w:val="22"/>
        </w:rPr>
        <w:t>i</w:t>
      </w:r>
      <w:r w:rsidR="001C34E2" w:rsidRPr="00183B5F">
        <w:rPr>
          <w:szCs w:val="22"/>
        </w:rPr>
        <w:t>njekció)</w:t>
      </w:r>
      <w:r w:rsidR="00A43FB3" w:rsidRPr="00183B5F">
        <w:rPr>
          <w:szCs w:val="22"/>
        </w:rPr>
        <w:t>.</w:t>
      </w:r>
    </w:p>
    <w:p w14:paraId="57DE5135" w14:textId="77777777" w:rsidR="00D0403E" w:rsidRPr="00183B5F" w:rsidRDefault="00D0403E" w:rsidP="004062FE">
      <w:pPr>
        <w:spacing w:line="240" w:lineRule="auto"/>
        <w:rPr>
          <w:szCs w:val="22"/>
        </w:rPr>
      </w:pPr>
    </w:p>
    <w:p w14:paraId="06DE3241" w14:textId="77777777" w:rsidR="00D0403E" w:rsidRPr="00183B5F" w:rsidRDefault="00943743" w:rsidP="004062FE">
      <w:pPr>
        <w:spacing w:line="240" w:lineRule="auto"/>
        <w:rPr>
          <w:szCs w:val="22"/>
        </w:rPr>
      </w:pPr>
      <w:r w:rsidRPr="00183B5F">
        <w:rPr>
          <w:szCs w:val="22"/>
        </w:rPr>
        <w:t>Tiszta, színtelen oldat.</w:t>
      </w:r>
    </w:p>
    <w:p w14:paraId="153A8C7B" w14:textId="77777777" w:rsidR="00D0403E" w:rsidRPr="00183B5F" w:rsidRDefault="00D0403E" w:rsidP="004062FE">
      <w:pPr>
        <w:pStyle w:val="EndnoteText"/>
        <w:tabs>
          <w:tab w:val="clear" w:pos="567"/>
        </w:tabs>
        <w:suppressAutoHyphens/>
        <w:rPr>
          <w:sz w:val="22"/>
          <w:szCs w:val="22"/>
          <w:lang w:val="hu-HU" w:eastAsia="hu-HU"/>
        </w:rPr>
      </w:pPr>
    </w:p>
    <w:p w14:paraId="022C0C40" w14:textId="77777777" w:rsidR="00D0403E" w:rsidRPr="00183B5F" w:rsidRDefault="00D0403E" w:rsidP="004062FE">
      <w:pPr>
        <w:spacing w:line="240" w:lineRule="auto"/>
        <w:rPr>
          <w:szCs w:val="22"/>
        </w:rPr>
      </w:pPr>
    </w:p>
    <w:p w14:paraId="6EDEA440" w14:textId="77777777" w:rsidR="00D0403E" w:rsidRPr="00183B5F" w:rsidRDefault="00943743" w:rsidP="006B2397">
      <w:pPr>
        <w:spacing w:line="240" w:lineRule="auto"/>
        <w:rPr>
          <w:b/>
          <w:caps/>
          <w:szCs w:val="22"/>
        </w:rPr>
      </w:pPr>
      <w:r w:rsidRPr="00183B5F">
        <w:rPr>
          <w:b/>
          <w:caps/>
          <w:szCs w:val="22"/>
        </w:rPr>
        <w:t>4.</w:t>
      </w:r>
      <w:r w:rsidRPr="00183B5F">
        <w:rPr>
          <w:b/>
          <w:caps/>
          <w:szCs w:val="22"/>
        </w:rPr>
        <w:tab/>
      </w:r>
      <w:r w:rsidRPr="00183B5F">
        <w:rPr>
          <w:b/>
          <w:caps/>
          <w:szCs w:val="22"/>
        </w:rPr>
        <w:t>KLINIKAI JELLEMZŐK</w:t>
      </w:r>
    </w:p>
    <w:p w14:paraId="6E502382" w14:textId="77777777" w:rsidR="00D0403E" w:rsidRPr="00183B5F" w:rsidRDefault="00D0403E" w:rsidP="004062FE">
      <w:pPr>
        <w:spacing w:line="240" w:lineRule="auto"/>
        <w:rPr>
          <w:szCs w:val="22"/>
        </w:rPr>
      </w:pPr>
    </w:p>
    <w:p w14:paraId="136F3787" w14:textId="77777777" w:rsidR="00D0403E" w:rsidRPr="00183B5F" w:rsidRDefault="00943743" w:rsidP="004062FE">
      <w:pPr>
        <w:numPr>
          <w:ilvl w:val="1"/>
          <w:numId w:val="187"/>
        </w:numPr>
        <w:spacing w:line="240" w:lineRule="auto"/>
        <w:rPr>
          <w:b/>
          <w:szCs w:val="22"/>
        </w:rPr>
      </w:pPr>
      <w:r w:rsidRPr="00183B5F">
        <w:rPr>
          <w:b/>
          <w:szCs w:val="22"/>
        </w:rPr>
        <w:t>Terápiás javallatok</w:t>
      </w:r>
    </w:p>
    <w:p w14:paraId="2CB1EEEA" w14:textId="77777777" w:rsidR="00D0403E" w:rsidRPr="00183B5F" w:rsidRDefault="00D0403E" w:rsidP="004062FE">
      <w:pPr>
        <w:spacing w:line="240" w:lineRule="auto"/>
        <w:rPr>
          <w:b/>
          <w:szCs w:val="22"/>
        </w:rPr>
      </w:pPr>
    </w:p>
    <w:p w14:paraId="41275BAD" w14:textId="77777777" w:rsidR="00D0403E" w:rsidRPr="00183B5F" w:rsidRDefault="00943743" w:rsidP="004062FE">
      <w:pPr>
        <w:spacing w:line="240" w:lineRule="auto"/>
        <w:rPr>
          <w:szCs w:val="22"/>
          <w:u w:val="single"/>
        </w:rPr>
      </w:pPr>
      <w:r w:rsidRPr="00183B5F">
        <w:rPr>
          <w:szCs w:val="22"/>
          <w:u w:val="single"/>
        </w:rPr>
        <w:t>Rheumatoid arthritis</w:t>
      </w:r>
    </w:p>
    <w:p w14:paraId="1DF4DF6E" w14:textId="77777777" w:rsidR="00D0403E" w:rsidRPr="00183B5F" w:rsidRDefault="00D0403E" w:rsidP="004062FE">
      <w:pPr>
        <w:spacing w:line="240" w:lineRule="auto"/>
        <w:rPr>
          <w:szCs w:val="22"/>
        </w:rPr>
      </w:pPr>
    </w:p>
    <w:p w14:paraId="562C41CC" w14:textId="77777777" w:rsidR="00D0403E" w:rsidRPr="00183B5F" w:rsidRDefault="00943743" w:rsidP="004062FE">
      <w:pPr>
        <w:spacing w:line="240" w:lineRule="auto"/>
        <w:rPr>
          <w:szCs w:val="22"/>
        </w:rPr>
      </w:pPr>
      <w:r w:rsidRPr="00183B5F">
        <w:rPr>
          <w:szCs w:val="22"/>
        </w:rPr>
        <w:t>A Humira metotrexáttal együtt adagolva javallott:</w:t>
      </w:r>
    </w:p>
    <w:p w14:paraId="7AE509D8" w14:textId="77777777" w:rsidR="00D0403E" w:rsidRPr="00183B5F" w:rsidRDefault="00D0403E" w:rsidP="004062FE">
      <w:pPr>
        <w:spacing w:line="240" w:lineRule="auto"/>
        <w:rPr>
          <w:szCs w:val="22"/>
        </w:rPr>
      </w:pPr>
    </w:p>
    <w:p w14:paraId="3FB7A266" w14:textId="77777777" w:rsidR="00D0403E" w:rsidRPr="00183B5F" w:rsidRDefault="00943743" w:rsidP="004062FE">
      <w:pPr>
        <w:numPr>
          <w:ilvl w:val="0"/>
          <w:numId w:val="77"/>
        </w:numPr>
        <w:tabs>
          <w:tab w:val="clear" w:pos="720"/>
          <w:tab w:val="num" w:pos="540"/>
        </w:tabs>
        <w:spacing w:line="240" w:lineRule="auto"/>
        <w:ind w:left="540" w:hanging="540"/>
        <w:rPr>
          <w:szCs w:val="22"/>
        </w:rPr>
      </w:pPr>
      <w:r w:rsidRPr="00183B5F">
        <w:rPr>
          <w:szCs w:val="22"/>
        </w:rPr>
        <w:t>közepesen súlyos, illetve súlyos aktív rheumatoid arthritisben szenvedő felnőtt betegek kezelésére, ha a betegséget befolyásoló reumaellenes szerek, beleértve a metotrexátot, nem hatásosak.</w:t>
      </w:r>
    </w:p>
    <w:p w14:paraId="02DDF182" w14:textId="77777777" w:rsidR="00D0403E" w:rsidRPr="00183B5F" w:rsidRDefault="00943743" w:rsidP="004062FE">
      <w:pPr>
        <w:numPr>
          <w:ilvl w:val="0"/>
          <w:numId w:val="30"/>
        </w:numPr>
        <w:spacing w:line="240" w:lineRule="auto"/>
        <w:rPr>
          <w:szCs w:val="22"/>
        </w:rPr>
      </w:pPr>
      <w:r w:rsidRPr="00183B5F">
        <w:rPr>
          <w:szCs w:val="22"/>
        </w:rPr>
        <w:t>súlyos, aktív és progresszív rheumatoid arthritis betegségben szenvedő felnőttek kezelésére, akiket előzőleg még nem kezeltek metotrexáttal.</w:t>
      </w:r>
    </w:p>
    <w:p w14:paraId="1786C286" w14:textId="77777777" w:rsidR="00D0403E" w:rsidRPr="00183B5F" w:rsidRDefault="00D0403E" w:rsidP="004062FE">
      <w:pPr>
        <w:spacing w:line="240" w:lineRule="auto"/>
        <w:rPr>
          <w:szCs w:val="22"/>
        </w:rPr>
      </w:pPr>
    </w:p>
    <w:p w14:paraId="27E14E4C" w14:textId="77777777" w:rsidR="00D0403E" w:rsidRPr="00183B5F" w:rsidRDefault="00943743" w:rsidP="004062FE">
      <w:pPr>
        <w:spacing w:line="240" w:lineRule="auto"/>
        <w:rPr>
          <w:szCs w:val="22"/>
        </w:rPr>
      </w:pPr>
      <w:r w:rsidRPr="00183B5F">
        <w:rPr>
          <w:szCs w:val="22"/>
        </w:rPr>
        <w:t>A Humira metotrexát-intolerancia esetén, vagy ha a folyamatos metotrexát</w:t>
      </w:r>
      <w:r w:rsidRPr="00183B5F">
        <w:rPr>
          <w:szCs w:val="22"/>
        </w:rPr>
        <w:noBreakHyphen/>
        <w:t>kezelés nem megfelelő, monoterápiaként is alkalmazható.</w:t>
      </w:r>
    </w:p>
    <w:p w14:paraId="09858C42" w14:textId="77777777" w:rsidR="00D0403E" w:rsidRPr="00183B5F" w:rsidRDefault="00D0403E" w:rsidP="004062FE">
      <w:pPr>
        <w:spacing w:line="240" w:lineRule="auto"/>
        <w:rPr>
          <w:szCs w:val="22"/>
        </w:rPr>
      </w:pPr>
    </w:p>
    <w:p w14:paraId="636280DD" w14:textId="77777777" w:rsidR="00D0403E" w:rsidRPr="00183B5F" w:rsidRDefault="00943743" w:rsidP="004062FE">
      <w:pPr>
        <w:suppressAutoHyphens w:val="0"/>
        <w:spacing w:line="240" w:lineRule="auto"/>
        <w:rPr>
          <w:szCs w:val="22"/>
        </w:rPr>
      </w:pPr>
      <w:r w:rsidRPr="00183B5F">
        <w:rPr>
          <w:szCs w:val="22"/>
        </w:rPr>
        <w:t>A Humira csökkenti a röntgen felvétellel kimutatott ízületi károsodás progressziójának mértékét és javítja a fizikai funkciókat, ha metotrexáttal kombinálva kerül alkalmazásra.</w:t>
      </w:r>
    </w:p>
    <w:p w14:paraId="54F683AA" w14:textId="77777777" w:rsidR="00D0403E" w:rsidRPr="00183B5F" w:rsidRDefault="00D0403E" w:rsidP="004062FE">
      <w:pPr>
        <w:suppressAutoHyphens w:val="0"/>
        <w:spacing w:line="240" w:lineRule="auto"/>
        <w:rPr>
          <w:szCs w:val="22"/>
        </w:rPr>
      </w:pPr>
    </w:p>
    <w:p w14:paraId="1025E162" w14:textId="77777777" w:rsidR="00D0403E" w:rsidRPr="00183B5F" w:rsidRDefault="00943743">
      <w:pPr>
        <w:pStyle w:val="EMEANormal"/>
        <w:rPr>
          <w:szCs w:val="22"/>
          <w:u w:val="single"/>
          <w:lang w:val="hu-HU"/>
        </w:rPr>
      </w:pPr>
      <w:r w:rsidRPr="00183B5F">
        <w:rPr>
          <w:szCs w:val="22"/>
          <w:u w:val="single"/>
          <w:lang w:val="hu-HU"/>
        </w:rPr>
        <w:t>Juvenilis idiopathiás arthritis</w:t>
      </w:r>
    </w:p>
    <w:p w14:paraId="1844312A" w14:textId="77777777" w:rsidR="00D0403E" w:rsidRPr="00183B5F" w:rsidRDefault="00D0403E">
      <w:pPr>
        <w:pStyle w:val="EMEANormal"/>
        <w:rPr>
          <w:szCs w:val="22"/>
          <w:lang w:val="hu-HU"/>
        </w:rPr>
      </w:pPr>
    </w:p>
    <w:p w14:paraId="0B1ED374" w14:textId="77777777" w:rsidR="00D0403E" w:rsidRPr="00183B5F" w:rsidRDefault="00943743">
      <w:pPr>
        <w:pStyle w:val="EMEANormal"/>
        <w:rPr>
          <w:i/>
          <w:szCs w:val="22"/>
          <w:lang w:val="hu-HU"/>
        </w:rPr>
      </w:pPr>
      <w:r w:rsidRPr="00183B5F">
        <w:rPr>
          <w:i/>
          <w:szCs w:val="22"/>
          <w:lang w:val="hu-HU"/>
        </w:rPr>
        <w:t>Polyarticularis juvenilis idiopathiás arthritis</w:t>
      </w:r>
    </w:p>
    <w:p w14:paraId="38A2CFA6" w14:textId="77777777" w:rsidR="00D0403E" w:rsidRPr="00183B5F" w:rsidRDefault="00D0403E" w:rsidP="004062FE">
      <w:pPr>
        <w:suppressAutoHyphens w:val="0"/>
        <w:spacing w:line="240" w:lineRule="auto"/>
        <w:rPr>
          <w:szCs w:val="22"/>
        </w:rPr>
      </w:pPr>
    </w:p>
    <w:p w14:paraId="5904EA38" w14:textId="77777777" w:rsidR="00D0403E" w:rsidRPr="00183B5F" w:rsidRDefault="00943743" w:rsidP="004062FE">
      <w:pPr>
        <w:spacing w:line="240" w:lineRule="auto"/>
        <w:rPr>
          <w:szCs w:val="22"/>
        </w:rPr>
      </w:pPr>
      <w:r w:rsidRPr="00183B5F">
        <w:rPr>
          <w:szCs w:val="22"/>
        </w:rPr>
        <w:t>A Humira metotrexáttal kombinálva a polyarticularis juvenilis idiopathiás arthritis kezelésére javallott 2 éves kortól olyan betegeknél, akik nem reagáltak megfelelően egy vagy több, betegséget befolyásoló reumaellenes szerre (disease</w:t>
      </w:r>
      <w:r w:rsidRPr="00183B5F">
        <w:rPr>
          <w:szCs w:val="22"/>
        </w:rPr>
        <w:noBreakHyphen/>
        <w:t>modifying antirheumatic drug, DMARDS). A Humira egyedül is adható metotrexát-intolerancia esetén, vagy ha a további metotrexát</w:t>
      </w:r>
      <w:r w:rsidRPr="00183B5F">
        <w:rPr>
          <w:szCs w:val="22"/>
        </w:rPr>
        <w:noBreakHyphen/>
        <w:t>kezelés nem megfelelő (a monoterápiában mutatott hatásossággal kapcsolatban lásd az 5.1 pontot). A Humira</w:t>
      </w:r>
      <w:r w:rsidRPr="00183B5F">
        <w:rPr>
          <w:szCs w:val="22"/>
        </w:rPr>
        <w:noBreakHyphen/>
        <w:t>t 2 évesnél fiatalabb betegek esetén nem vizsgálták.</w:t>
      </w:r>
    </w:p>
    <w:p w14:paraId="2C9A5B29" w14:textId="77777777" w:rsidR="00D0403E" w:rsidRPr="00183B5F" w:rsidRDefault="00D0403E" w:rsidP="004062FE">
      <w:pPr>
        <w:spacing w:line="240" w:lineRule="auto"/>
        <w:rPr>
          <w:b/>
          <w:szCs w:val="22"/>
        </w:rPr>
      </w:pPr>
    </w:p>
    <w:p w14:paraId="38A7EE31" w14:textId="77777777" w:rsidR="00D0403E" w:rsidRPr="00183B5F" w:rsidRDefault="00943743" w:rsidP="004062FE">
      <w:pPr>
        <w:keepNext/>
        <w:spacing w:line="240" w:lineRule="auto"/>
        <w:rPr>
          <w:i/>
          <w:szCs w:val="22"/>
        </w:rPr>
      </w:pPr>
      <w:r w:rsidRPr="00183B5F">
        <w:rPr>
          <w:i/>
          <w:szCs w:val="22"/>
        </w:rPr>
        <w:t>Enthesitis-asszociált arthritis</w:t>
      </w:r>
    </w:p>
    <w:p w14:paraId="1D698D6B" w14:textId="77777777" w:rsidR="00D0403E" w:rsidRPr="00183B5F" w:rsidRDefault="00D0403E" w:rsidP="004062FE">
      <w:pPr>
        <w:keepNext/>
        <w:spacing w:line="240" w:lineRule="auto"/>
        <w:rPr>
          <w:szCs w:val="22"/>
        </w:rPr>
      </w:pPr>
    </w:p>
    <w:p w14:paraId="7562FD83" w14:textId="77777777" w:rsidR="00D0403E" w:rsidRPr="00183B5F" w:rsidRDefault="00943743" w:rsidP="004062FE">
      <w:pPr>
        <w:keepNext/>
        <w:spacing w:line="240" w:lineRule="auto"/>
        <w:rPr>
          <w:szCs w:val="22"/>
        </w:rPr>
      </w:pPr>
      <w:r w:rsidRPr="00183B5F">
        <w:rPr>
          <w:szCs w:val="22"/>
        </w:rPr>
        <w:t xml:space="preserve">A Humira az aktív, </w:t>
      </w:r>
      <w:r w:rsidR="00677908" w:rsidRPr="00183B5F">
        <w:rPr>
          <w:szCs w:val="22"/>
        </w:rPr>
        <w:t>enthesitis-asszociált</w:t>
      </w:r>
      <w:r w:rsidRPr="00183B5F">
        <w:rPr>
          <w:szCs w:val="22"/>
        </w:rPr>
        <w:t xml:space="preserve"> arthritis kezelésére javallott 6 éves kortól olyan betegeknél, akik a hagyományos kezelésre nem reagáltak megfelelően vagy azt nem tolerálták (lásd 5.1 pont).</w:t>
      </w:r>
    </w:p>
    <w:p w14:paraId="71A47AE8" w14:textId="77777777" w:rsidR="00D0403E" w:rsidRPr="00183B5F" w:rsidRDefault="00D0403E" w:rsidP="004062FE">
      <w:pPr>
        <w:spacing w:line="240" w:lineRule="auto"/>
        <w:rPr>
          <w:szCs w:val="22"/>
        </w:rPr>
      </w:pPr>
    </w:p>
    <w:p w14:paraId="4E0BFAE9" w14:textId="77777777" w:rsidR="00D0403E" w:rsidRPr="00183B5F" w:rsidRDefault="00943743" w:rsidP="004062FE">
      <w:pPr>
        <w:keepNext/>
        <w:spacing w:line="240" w:lineRule="auto"/>
        <w:rPr>
          <w:szCs w:val="22"/>
          <w:u w:val="single"/>
        </w:rPr>
      </w:pPr>
      <w:r w:rsidRPr="00183B5F">
        <w:rPr>
          <w:szCs w:val="22"/>
          <w:u w:val="single"/>
        </w:rPr>
        <w:t>Axiális spondyloarthritis</w:t>
      </w:r>
    </w:p>
    <w:p w14:paraId="3CA59463" w14:textId="77777777" w:rsidR="00D0403E" w:rsidRPr="00183B5F" w:rsidRDefault="00D0403E" w:rsidP="004062FE">
      <w:pPr>
        <w:keepNext/>
        <w:spacing w:line="240" w:lineRule="auto"/>
        <w:rPr>
          <w:szCs w:val="22"/>
          <w:u w:val="single"/>
        </w:rPr>
      </w:pPr>
    </w:p>
    <w:p w14:paraId="373A6857" w14:textId="77777777" w:rsidR="00D0403E" w:rsidRPr="00183B5F" w:rsidRDefault="00943743" w:rsidP="004062FE">
      <w:pPr>
        <w:keepNext/>
        <w:spacing w:line="240" w:lineRule="auto"/>
        <w:rPr>
          <w:i/>
          <w:szCs w:val="22"/>
        </w:rPr>
      </w:pPr>
      <w:r w:rsidRPr="00183B5F">
        <w:rPr>
          <w:i/>
          <w:szCs w:val="22"/>
        </w:rPr>
        <w:t>Spondylitis ankylopoetica (SPA)</w:t>
      </w:r>
    </w:p>
    <w:p w14:paraId="56C1AB4B" w14:textId="77777777" w:rsidR="00D0403E" w:rsidRPr="00183B5F" w:rsidRDefault="00D0403E" w:rsidP="004062FE">
      <w:pPr>
        <w:keepNext/>
        <w:spacing w:line="240" w:lineRule="auto"/>
        <w:rPr>
          <w:szCs w:val="22"/>
          <w:u w:val="single"/>
        </w:rPr>
      </w:pPr>
    </w:p>
    <w:p w14:paraId="5ED54658" w14:textId="77777777" w:rsidR="00D0403E" w:rsidRPr="00183B5F" w:rsidRDefault="00943743" w:rsidP="004062FE">
      <w:pPr>
        <w:keepNext/>
        <w:spacing w:line="240" w:lineRule="auto"/>
        <w:rPr>
          <w:szCs w:val="22"/>
        </w:rPr>
      </w:pPr>
      <w:r w:rsidRPr="00183B5F">
        <w:rPr>
          <w:szCs w:val="22"/>
        </w:rPr>
        <w:t>A Humira felnőttkori súlyos aktív spondylitis ankylopoetica kezelésére javallott, ha a beteg nem reagál megfelelően a hagyományos kezelésre.</w:t>
      </w:r>
    </w:p>
    <w:p w14:paraId="36F87F9A" w14:textId="77777777" w:rsidR="00D0403E" w:rsidRPr="00183B5F" w:rsidRDefault="00D0403E" w:rsidP="004062FE">
      <w:pPr>
        <w:spacing w:line="240" w:lineRule="auto"/>
        <w:rPr>
          <w:szCs w:val="22"/>
        </w:rPr>
      </w:pPr>
    </w:p>
    <w:p w14:paraId="7644046B" w14:textId="77777777" w:rsidR="00D0403E" w:rsidRPr="00183B5F" w:rsidRDefault="00943743">
      <w:pPr>
        <w:keepNext/>
        <w:suppressAutoHyphens w:val="0"/>
        <w:spacing w:line="240" w:lineRule="auto"/>
        <w:rPr>
          <w:i/>
          <w:szCs w:val="22"/>
        </w:rPr>
      </w:pPr>
      <w:r w:rsidRPr="00183B5F">
        <w:rPr>
          <w:rFonts w:eastAsia="SimSun"/>
          <w:i/>
          <w:szCs w:val="22"/>
          <w:lang w:eastAsia="zh-CN"/>
        </w:rPr>
        <w:t>Spondylitis ankylopoeticának (SPA) megfelelő röntgeneltéréssel nem járó</w:t>
      </w:r>
      <w:r w:rsidRPr="00183B5F">
        <w:rPr>
          <w:i/>
          <w:szCs w:val="22"/>
        </w:rPr>
        <w:t xml:space="preserve"> axiális spondyloarthritis</w:t>
      </w:r>
    </w:p>
    <w:p w14:paraId="2A6A7608" w14:textId="77777777" w:rsidR="00D0403E" w:rsidRPr="00183B5F" w:rsidRDefault="00D0403E">
      <w:pPr>
        <w:keepNext/>
        <w:suppressAutoHyphens w:val="0"/>
        <w:spacing w:line="240" w:lineRule="auto"/>
        <w:rPr>
          <w:rFonts w:eastAsia="MS Mincho"/>
          <w:i/>
          <w:szCs w:val="22"/>
          <w:lang w:eastAsia="ja-JP"/>
        </w:rPr>
      </w:pPr>
    </w:p>
    <w:p w14:paraId="513EDFCE" w14:textId="77777777" w:rsidR="00D0403E" w:rsidRPr="00183B5F" w:rsidRDefault="00943743" w:rsidP="004062FE">
      <w:pPr>
        <w:keepNext/>
        <w:spacing w:line="240" w:lineRule="auto"/>
        <w:rPr>
          <w:szCs w:val="22"/>
          <w:u w:val="single"/>
        </w:rPr>
      </w:pPr>
      <w:r w:rsidRPr="00183B5F">
        <w:rPr>
          <w:szCs w:val="22"/>
        </w:rPr>
        <w:t>A Humira</w:t>
      </w:r>
      <w:r w:rsidRPr="00183B5F">
        <w:rPr>
          <w:szCs w:val="22"/>
        </w:rPr>
        <w:noBreakHyphen/>
        <w:t>kezelés indikált az olyan, felnőttkori</w:t>
      </w:r>
      <w:r w:rsidRPr="00183B5F">
        <w:rPr>
          <w:szCs w:val="22"/>
          <w:u w:val="single"/>
        </w:rPr>
        <w:t xml:space="preserve"> </w:t>
      </w:r>
      <w:r w:rsidRPr="00183B5F">
        <w:rPr>
          <w:rFonts w:eastAsia="SimSun"/>
          <w:szCs w:val="22"/>
          <w:lang w:eastAsia="zh-CN"/>
        </w:rPr>
        <w:t>súlyos axiális spondyloarthritisben szenvedő betegeknél, akiknél az SPA</w:t>
      </w:r>
      <w:r w:rsidRPr="00183B5F">
        <w:rPr>
          <w:rFonts w:eastAsia="SimSun"/>
          <w:szCs w:val="22"/>
          <w:lang w:eastAsia="zh-CN"/>
        </w:rPr>
        <w:noBreakHyphen/>
      </w:r>
      <w:r w:rsidRPr="00183B5F">
        <w:rPr>
          <w:rFonts w:eastAsia="SimSun"/>
          <w:szCs w:val="22"/>
          <w:lang w:eastAsia="zh-CN"/>
        </w:rPr>
        <w:t>nak megfelelő röntgeneltérés nem mutatható ki, de a gyulladás objektív jelei emelkedett CRP</w:t>
      </w:r>
      <w:r w:rsidRPr="00183B5F">
        <w:rPr>
          <w:rFonts w:eastAsia="SimSun"/>
          <w:szCs w:val="22"/>
          <w:lang w:eastAsia="zh-CN"/>
        </w:rPr>
        <w:noBreakHyphen/>
        <w:t xml:space="preserve">vel és/vagy MR vizsgálattal igazolhatók, és akik </w:t>
      </w:r>
      <w:r w:rsidRPr="00183B5F">
        <w:rPr>
          <w:szCs w:val="22"/>
        </w:rPr>
        <w:t>nem reagáltak megfelelően</w:t>
      </w:r>
      <w:r w:rsidRPr="00183B5F">
        <w:rPr>
          <w:rFonts w:eastAsia="SimSun"/>
          <w:szCs w:val="22"/>
          <w:lang w:eastAsia="zh-CN"/>
        </w:rPr>
        <w:t xml:space="preserve"> a nem</w:t>
      </w:r>
      <w:r w:rsidR="00081EB1" w:rsidRPr="00183B5F">
        <w:rPr>
          <w:rFonts w:eastAsia="SimSun"/>
          <w:szCs w:val="22"/>
          <w:lang w:eastAsia="zh-CN"/>
        </w:rPr>
        <w:t xml:space="preserve"> </w:t>
      </w:r>
      <w:r w:rsidRPr="00183B5F">
        <w:rPr>
          <w:rFonts w:eastAsia="SimSun"/>
          <w:szCs w:val="22"/>
          <w:lang w:eastAsia="zh-CN"/>
        </w:rPr>
        <w:t>szteroid gyulladáscsökkentő gyógyszerekre</w:t>
      </w:r>
      <w:r w:rsidR="00A32CD9" w:rsidRPr="00183B5F">
        <w:rPr>
          <w:rFonts w:eastAsia="SimSun"/>
          <w:szCs w:val="22"/>
          <w:lang w:eastAsia="zh-CN"/>
        </w:rPr>
        <w:t xml:space="preserve"> (NSAID)</w:t>
      </w:r>
      <w:r w:rsidRPr="00183B5F">
        <w:rPr>
          <w:rFonts w:eastAsia="SimSun"/>
          <w:szCs w:val="22"/>
          <w:lang w:eastAsia="zh-CN"/>
        </w:rPr>
        <w:t xml:space="preserve"> vagy nem tolerálták azokat.</w:t>
      </w:r>
    </w:p>
    <w:p w14:paraId="741CC5F0" w14:textId="77777777" w:rsidR="00D0403E" w:rsidRPr="00183B5F" w:rsidRDefault="00D0403E" w:rsidP="004062FE">
      <w:pPr>
        <w:spacing w:line="240" w:lineRule="auto"/>
        <w:rPr>
          <w:szCs w:val="22"/>
        </w:rPr>
      </w:pPr>
    </w:p>
    <w:p w14:paraId="0EE27BCE" w14:textId="77777777" w:rsidR="00D0403E" w:rsidRPr="00183B5F" w:rsidRDefault="00943743" w:rsidP="004062FE">
      <w:pPr>
        <w:spacing w:line="240" w:lineRule="auto"/>
        <w:rPr>
          <w:szCs w:val="22"/>
          <w:u w:val="single"/>
        </w:rPr>
      </w:pPr>
      <w:r w:rsidRPr="00183B5F">
        <w:rPr>
          <w:szCs w:val="22"/>
          <w:u w:val="single"/>
        </w:rPr>
        <w:t>Arthritis psoriatica</w:t>
      </w:r>
    </w:p>
    <w:p w14:paraId="21B44BCE" w14:textId="77777777" w:rsidR="00D0403E" w:rsidRPr="00183B5F" w:rsidRDefault="00D0403E" w:rsidP="004062FE">
      <w:pPr>
        <w:spacing w:line="240" w:lineRule="auto"/>
        <w:rPr>
          <w:szCs w:val="22"/>
        </w:rPr>
      </w:pPr>
    </w:p>
    <w:p w14:paraId="1CCCD9A2" w14:textId="77777777" w:rsidR="00D0403E" w:rsidRPr="00183B5F" w:rsidRDefault="00943743" w:rsidP="004062FE">
      <w:pPr>
        <w:spacing w:line="240" w:lineRule="auto"/>
        <w:rPr>
          <w:szCs w:val="22"/>
        </w:rPr>
      </w:pPr>
      <w:r w:rsidRPr="00183B5F">
        <w:rPr>
          <w:szCs w:val="22"/>
        </w:rPr>
        <w:t>A Humira javasolt felnőttkori aktív és progrediáló arthritis psoriatica kezelésére, ha a betegséget befolyásoló reumaellenes szerek (disease</w:t>
      </w:r>
      <w:r w:rsidRPr="00183B5F">
        <w:rPr>
          <w:szCs w:val="22"/>
        </w:rPr>
        <w:noBreakHyphen/>
        <w:t>modifying antirheumatic drugs) használata nem járt terápiás sikerrel.</w:t>
      </w:r>
      <w:r w:rsidR="006F4B23" w:rsidRPr="00183B5F">
        <w:rPr>
          <w:szCs w:val="22"/>
        </w:rPr>
        <w:t xml:space="preserve"> </w:t>
      </w:r>
      <w:r w:rsidRPr="00183B5F">
        <w:rPr>
          <w:szCs w:val="22"/>
        </w:rPr>
        <w:t>A Humira röntgenfelvételekkel igazoltan csökkenti a perifériás ízületi károsodások progressziós rátáját a betegség sokízületi szimmetrikus altípusában szenvedő betegek körében (lásd 5.1 pont), valamint javítja a fizikális funkciót.</w:t>
      </w:r>
    </w:p>
    <w:p w14:paraId="79C5CD60" w14:textId="77777777" w:rsidR="00D0403E" w:rsidRPr="00183B5F" w:rsidRDefault="00D0403E" w:rsidP="004062FE">
      <w:pPr>
        <w:spacing w:line="240" w:lineRule="auto"/>
        <w:rPr>
          <w:szCs w:val="22"/>
        </w:rPr>
      </w:pPr>
    </w:p>
    <w:p w14:paraId="3464DE8D" w14:textId="77777777" w:rsidR="00D0403E" w:rsidRPr="00183B5F" w:rsidRDefault="00943743" w:rsidP="004062FE">
      <w:pPr>
        <w:spacing w:line="240" w:lineRule="auto"/>
        <w:rPr>
          <w:szCs w:val="22"/>
          <w:u w:val="single"/>
        </w:rPr>
      </w:pPr>
      <w:r w:rsidRPr="00183B5F">
        <w:rPr>
          <w:szCs w:val="22"/>
          <w:u w:val="single"/>
        </w:rPr>
        <w:t>Psoriasis</w:t>
      </w:r>
    </w:p>
    <w:p w14:paraId="1CBA98AC" w14:textId="77777777" w:rsidR="00D0403E" w:rsidRPr="00183B5F" w:rsidRDefault="00D0403E">
      <w:pPr>
        <w:spacing w:line="240" w:lineRule="auto"/>
        <w:rPr>
          <w:szCs w:val="22"/>
          <w:u w:val="single"/>
        </w:rPr>
      </w:pPr>
    </w:p>
    <w:p w14:paraId="3D7FC2F8" w14:textId="77777777" w:rsidR="00946C82" w:rsidRPr="00183B5F" w:rsidRDefault="00943743" w:rsidP="004062FE">
      <w:pPr>
        <w:spacing w:line="240" w:lineRule="auto"/>
        <w:rPr>
          <w:szCs w:val="22"/>
        </w:rPr>
      </w:pPr>
      <w:r w:rsidRPr="00183B5F">
        <w:rPr>
          <w:szCs w:val="22"/>
        </w:rPr>
        <w:t>A Humira olyan felnőtt betegek közepesen súlyos, illetve súlyos krónikus, plakkos psoriasisának kezelésére javallott, akik</w:t>
      </w:r>
      <w:r w:rsidR="000A06E6" w:rsidRPr="00183B5F">
        <w:rPr>
          <w:szCs w:val="22"/>
        </w:rPr>
        <w:t xml:space="preserve"> alkalmasak</w:t>
      </w:r>
      <w:r w:rsidRPr="00183B5F">
        <w:rPr>
          <w:szCs w:val="22"/>
        </w:rPr>
        <w:t xml:space="preserve"> szisztémás kezelés</w:t>
      </w:r>
      <w:r w:rsidR="000A06E6" w:rsidRPr="00183B5F">
        <w:rPr>
          <w:szCs w:val="22"/>
        </w:rPr>
        <w:t>re</w:t>
      </w:r>
      <w:r w:rsidRPr="00183B5F">
        <w:rPr>
          <w:szCs w:val="22"/>
        </w:rPr>
        <w:t>.</w:t>
      </w:r>
    </w:p>
    <w:p w14:paraId="69677EAE" w14:textId="77777777" w:rsidR="00D0403E" w:rsidRPr="00183B5F" w:rsidRDefault="00D0403E" w:rsidP="004062FE">
      <w:pPr>
        <w:spacing w:line="240" w:lineRule="auto"/>
        <w:rPr>
          <w:szCs w:val="22"/>
        </w:rPr>
      </w:pPr>
    </w:p>
    <w:p w14:paraId="4273CA34" w14:textId="77777777" w:rsidR="00D0403E" w:rsidRPr="00183B5F" w:rsidRDefault="00943743" w:rsidP="004062FE">
      <w:pPr>
        <w:spacing w:line="240" w:lineRule="auto"/>
        <w:rPr>
          <w:szCs w:val="22"/>
          <w:u w:val="single"/>
        </w:rPr>
      </w:pPr>
      <w:r w:rsidRPr="00183B5F">
        <w:rPr>
          <w:szCs w:val="22"/>
          <w:u w:val="single"/>
        </w:rPr>
        <w:t>Gyermekkori plakkos psoriasis</w:t>
      </w:r>
    </w:p>
    <w:p w14:paraId="6F21036E" w14:textId="77777777" w:rsidR="00D0403E" w:rsidRPr="00183B5F" w:rsidRDefault="00D0403E" w:rsidP="004062FE">
      <w:pPr>
        <w:spacing w:line="240" w:lineRule="auto"/>
        <w:rPr>
          <w:szCs w:val="22"/>
        </w:rPr>
      </w:pPr>
    </w:p>
    <w:p w14:paraId="608D8B4B" w14:textId="77777777" w:rsidR="00D0403E" w:rsidRPr="00183B5F" w:rsidRDefault="00943743" w:rsidP="004062FE">
      <w:pPr>
        <w:spacing w:line="240" w:lineRule="auto"/>
        <w:rPr>
          <w:szCs w:val="22"/>
        </w:rPr>
      </w:pPr>
      <w:r w:rsidRPr="00183B5F">
        <w:rPr>
          <w:szCs w:val="22"/>
        </w:rPr>
        <w:t>A Humira súlyos, krónikus plakkos psoriasis kezelésére javallott olyan 4 év feletti gyermekeknél és serdülőknél, akik nem megfelelően reagáltak vagy alkalmatlannak bizonyultak a helyi kezelésre és fényterápiákra.</w:t>
      </w:r>
    </w:p>
    <w:p w14:paraId="3125B1A9" w14:textId="77777777" w:rsidR="00D0403E" w:rsidRPr="00183B5F" w:rsidRDefault="00D0403E" w:rsidP="004062FE">
      <w:pPr>
        <w:spacing w:line="240" w:lineRule="auto"/>
        <w:rPr>
          <w:szCs w:val="22"/>
        </w:rPr>
      </w:pPr>
    </w:p>
    <w:p w14:paraId="0E1D6C13" w14:textId="77777777" w:rsidR="00DD0429" w:rsidRPr="00183B5F" w:rsidRDefault="00943743" w:rsidP="004062FE">
      <w:pPr>
        <w:spacing w:line="240" w:lineRule="auto"/>
        <w:rPr>
          <w:szCs w:val="22"/>
          <w:u w:val="single"/>
        </w:rPr>
      </w:pPr>
      <w:r w:rsidRPr="00183B5F">
        <w:rPr>
          <w:szCs w:val="22"/>
          <w:u w:val="single"/>
        </w:rPr>
        <w:t>Hidradenitis suppurativa (HS)</w:t>
      </w:r>
    </w:p>
    <w:p w14:paraId="19C7D9EA" w14:textId="77777777" w:rsidR="00DD0429" w:rsidRPr="00183B5F" w:rsidRDefault="00DD0429" w:rsidP="004062FE">
      <w:pPr>
        <w:spacing w:line="240" w:lineRule="auto"/>
        <w:rPr>
          <w:szCs w:val="22"/>
          <w:u w:val="single"/>
        </w:rPr>
      </w:pPr>
    </w:p>
    <w:p w14:paraId="22FFA4A6" w14:textId="77777777" w:rsidR="00DD0429" w:rsidRPr="00183B5F" w:rsidRDefault="00943743" w:rsidP="004062FE">
      <w:pPr>
        <w:spacing w:line="240" w:lineRule="auto"/>
        <w:rPr>
          <w:szCs w:val="22"/>
        </w:rPr>
      </w:pPr>
      <w:r w:rsidRPr="00183B5F">
        <w:rPr>
          <w:szCs w:val="22"/>
        </w:rPr>
        <w:t>A Humira aktív köz</w:t>
      </w:r>
      <w:r w:rsidR="0011114B" w:rsidRPr="00183B5F">
        <w:rPr>
          <w:szCs w:val="22"/>
        </w:rPr>
        <w:t xml:space="preserve">epesen </w:t>
      </w:r>
      <w:r w:rsidRPr="00183B5F">
        <w:rPr>
          <w:szCs w:val="22"/>
        </w:rPr>
        <w:t>súlyos, illetve súlyos hidradenitis suppurativa (acne inversa) kezelésére javallott olyan felnőtteknél és serdülőknél 12 éves kortól, akik nem reagáltak megfelelően a hagyományos, szisztémás HS kezelésre (lásd 5.1 és 5.2 pont).</w:t>
      </w:r>
    </w:p>
    <w:p w14:paraId="445C4873" w14:textId="77777777" w:rsidR="004A3DBF" w:rsidRPr="00183B5F" w:rsidRDefault="004A3DBF" w:rsidP="004062FE">
      <w:pPr>
        <w:spacing w:line="240" w:lineRule="auto"/>
        <w:rPr>
          <w:szCs w:val="22"/>
        </w:rPr>
      </w:pPr>
    </w:p>
    <w:p w14:paraId="23543CF2" w14:textId="77777777" w:rsidR="00D0403E" w:rsidRPr="00183B5F" w:rsidRDefault="00943743" w:rsidP="004062FE">
      <w:pPr>
        <w:spacing w:line="240" w:lineRule="auto"/>
        <w:rPr>
          <w:szCs w:val="22"/>
          <w:u w:val="single"/>
        </w:rPr>
      </w:pPr>
      <w:r w:rsidRPr="00183B5F">
        <w:rPr>
          <w:szCs w:val="22"/>
          <w:u w:val="single"/>
        </w:rPr>
        <w:t>Crohn</w:t>
      </w:r>
      <w:r w:rsidRPr="00183B5F">
        <w:rPr>
          <w:szCs w:val="22"/>
          <w:u w:val="single"/>
        </w:rPr>
        <w:noBreakHyphen/>
        <w:t>betegség</w:t>
      </w:r>
    </w:p>
    <w:p w14:paraId="71B2C93B" w14:textId="77777777" w:rsidR="00D0403E" w:rsidRPr="00183B5F" w:rsidRDefault="00D0403E" w:rsidP="004062FE">
      <w:pPr>
        <w:spacing w:line="240" w:lineRule="auto"/>
        <w:rPr>
          <w:szCs w:val="22"/>
        </w:rPr>
      </w:pPr>
    </w:p>
    <w:p w14:paraId="72DEDAE9" w14:textId="77777777" w:rsidR="00D0403E" w:rsidRPr="00183B5F" w:rsidRDefault="00943743" w:rsidP="004062FE">
      <w:pPr>
        <w:spacing w:line="240" w:lineRule="auto"/>
        <w:rPr>
          <w:szCs w:val="22"/>
        </w:rPr>
      </w:pPr>
      <w:r w:rsidRPr="00183B5F">
        <w:rPr>
          <w:szCs w:val="22"/>
        </w:rPr>
        <w:t>A Humira köz</w:t>
      </w:r>
      <w:r w:rsidR="00430282" w:rsidRPr="00183B5F">
        <w:rPr>
          <w:szCs w:val="22"/>
        </w:rPr>
        <w:t>e</w:t>
      </w:r>
      <w:r w:rsidRPr="00183B5F">
        <w:rPr>
          <w:szCs w:val="22"/>
        </w:rPr>
        <w:t>p</w:t>
      </w:r>
      <w:r w:rsidR="00430282" w:rsidRPr="00183B5F">
        <w:rPr>
          <w:szCs w:val="22"/>
        </w:rPr>
        <w:t xml:space="preserve">esen </w:t>
      </w:r>
      <w:r w:rsidRPr="00183B5F">
        <w:rPr>
          <w:szCs w:val="22"/>
        </w:rPr>
        <w:t>súlyos</w:t>
      </w:r>
      <w:r w:rsidR="00430282" w:rsidRPr="00183B5F">
        <w:rPr>
          <w:szCs w:val="22"/>
        </w:rPr>
        <w:t xml:space="preserve"> </w:t>
      </w:r>
      <w:r w:rsidR="00821DCB" w:rsidRPr="00183B5F">
        <w:rPr>
          <w:szCs w:val="22"/>
        </w:rPr>
        <w:t>–</w:t>
      </w:r>
      <w:r w:rsidR="00430282" w:rsidRPr="00183B5F">
        <w:rPr>
          <w:szCs w:val="22"/>
        </w:rPr>
        <w:t xml:space="preserve"> </w:t>
      </w:r>
      <w:r w:rsidRPr="00183B5F">
        <w:rPr>
          <w:szCs w:val="22"/>
        </w:rPr>
        <w:t>súlyos aktivitású Crohn</w:t>
      </w:r>
      <w:r w:rsidRPr="00183B5F">
        <w:rPr>
          <w:szCs w:val="22"/>
        </w:rPr>
        <w:noBreakHyphen/>
        <w:t>betegség kezelésére javallott olyan felnőtt betegeknél, akik nem reagáltak a kortikoszteroiddal és/vagy immunszuppresszív szerrel végzett teljes és adekvát kúrára, vagy akik nem tolerálják ezeket a szereket vagy akiknél e szerek alkalmazása orvosi szempontból ellenjavallt.</w:t>
      </w:r>
    </w:p>
    <w:p w14:paraId="6A810DDC" w14:textId="77777777" w:rsidR="00D0403E" w:rsidRPr="00183B5F" w:rsidRDefault="00D0403E" w:rsidP="004062FE">
      <w:pPr>
        <w:spacing w:line="240" w:lineRule="auto"/>
        <w:rPr>
          <w:szCs w:val="22"/>
        </w:rPr>
      </w:pPr>
    </w:p>
    <w:p w14:paraId="73FD9C71" w14:textId="77777777" w:rsidR="00D0403E" w:rsidRPr="00183B5F" w:rsidRDefault="00943743" w:rsidP="004062FE">
      <w:pPr>
        <w:keepNext/>
        <w:spacing w:line="240" w:lineRule="auto"/>
        <w:rPr>
          <w:szCs w:val="22"/>
          <w:u w:val="single"/>
        </w:rPr>
      </w:pPr>
      <w:r w:rsidRPr="00183B5F">
        <w:rPr>
          <w:szCs w:val="22"/>
          <w:u w:val="single"/>
        </w:rPr>
        <w:t>Gyermekkori Crohn</w:t>
      </w:r>
      <w:r w:rsidRPr="00183B5F">
        <w:rPr>
          <w:szCs w:val="22"/>
          <w:u w:val="single"/>
        </w:rPr>
        <w:noBreakHyphen/>
        <w:t>betegség</w:t>
      </w:r>
    </w:p>
    <w:p w14:paraId="63678DFD" w14:textId="77777777" w:rsidR="00D0403E" w:rsidRPr="00183B5F" w:rsidRDefault="00D0403E" w:rsidP="004062FE">
      <w:pPr>
        <w:keepNext/>
        <w:spacing w:line="240" w:lineRule="auto"/>
        <w:rPr>
          <w:szCs w:val="22"/>
          <w:u w:val="single"/>
        </w:rPr>
      </w:pPr>
    </w:p>
    <w:p w14:paraId="16BF1554" w14:textId="77777777" w:rsidR="00D0403E" w:rsidRPr="00183B5F" w:rsidRDefault="00943743" w:rsidP="004062FE">
      <w:pPr>
        <w:keepNext/>
        <w:spacing w:line="240" w:lineRule="auto"/>
        <w:rPr>
          <w:szCs w:val="22"/>
        </w:rPr>
      </w:pPr>
      <w:r w:rsidRPr="00183B5F">
        <w:rPr>
          <w:szCs w:val="22"/>
        </w:rPr>
        <w:t xml:space="preserve">A Humira </w:t>
      </w:r>
      <w:r w:rsidR="0031779A" w:rsidRPr="00183B5F">
        <w:rPr>
          <w:szCs w:val="22"/>
        </w:rPr>
        <w:t xml:space="preserve">közepesen súlyos </w:t>
      </w:r>
      <w:r w:rsidR="00821DCB" w:rsidRPr="00183B5F">
        <w:rPr>
          <w:szCs w:val="22"/>
        </w:rPr>
        <w:t>–</w:t>
      </w:r>
      <w:r w:rsidR="0031779A" w:rsidRPr="00183B5F">
        <w:rPr>
          <w:szCs w:val="22"/>
        </w:rPr>
        <w:t xml:space="preserve"> </w:t>
      </w:r>
      <w:r w:rsidRPr="00183B5F">
        <w:rPr>
          <w:szCs w:val="22"/>
        </w:rPr>
        <w:t>súlyos aktivitású Crohn</w:t>
      </w:r>
      <w:r w:rsidRPr="00183B5F">
        <w:rPr>
          <w:szCs w:val="22"/>
        </w:rPr>
        <w:noBreakHyphen/>
        <w:t xml:space="preserve">betegség kezelésére javallott olyan gyermekeknél (6 éves kortól), akik nem reagáltak megfelelően a hagyományos kezelésekre, beleértve a primer étrendi kezelést, </w:t>
      </w:r>
      <w:r w:rsidR="0031779A" w:rsidRPr="00183B5F">
        <w:rPr>
          <w:szCs w:val="22"/>
        </w:rPr>
        <w:t xml:space="preserve">és </w:t>
      </w:r>
      <w:r w:rsidRPr="00183B5F">
        <w:rPr>
          <w:szCs w:val="22"/>
        </w:rPr>
        <w:t>egy kortikoszteroidot</w:t>
      </w:r>
      <w:r w:rsidR="0031779A" w:rsidRPr="00183B5F">
        <w:rPr>
          <w:szCs w:val="22"/>
        </w:rPr>
        <w:t>,</w:t>
      </w:r>
      <w:r w:rsidRPr="00183B5F">
        <w:rPr>
          <w:szCs w:val="22"/>
        </w:rPr>
        <w:t xml:space="preserve"> és</w:t>
      </w:r>
      <w:r w:rsidR="0031779A" w:rsidRPr="00183B5F">
        <w:rPr>
          <w:szCs w:val="22"/>
        </w:rPr>
        <w:t>/vagy</w:t>
      </w:r>
      <w:r w:rsidRPr="00183B5F">
        <w:rPr>
          <w:szCs w:val="22"/>
        </w:rPr>
        <w:t xml:space="preserve"> egy immunmodulánst vagy akik nem tolerálták ezeket a szereket, illetve akiknél ezek a kezelések kontraindikáltak.</w:t>
      </w:r>
    </w:p>
    <w:p w14:paraId="3BA1F901" w14:textId="77777777" w:rsidR="00D0403E" w:rsidRPr="00183B5F" w:rsidRDefault="00D0403E" w:rsidP="004062FE">
      <w:pPr>
        <w:spacing w:line="240" w:lineRule="auto"/>
        <w:rPr>
          <w:szCs w:val="22"/>
        </w:rPr>
      </w:pPr>
    </w:p>
    <w:p w14:paraId="4FDA6BC3" w14:textId="77777777" w:rsidR="00D0403E" w:rsidRPr="00183B5F" w:rsidRDefault="00943743" w:rsidP="004062FE">
      <w:pPr>
        <w:keepNext/>
        <w:spacing w:line="240" w:lineRule="auto"/>
        <w:rPr>
          <w:szCs w:val="22"/>
          <w:u w:val="single"/>
        </w:rPr>
      </w:pPr>
      <w:r w:rsidRPr="00183B5F">
        <w:rPr>
          <w:szCs w:val="22"/>
          <w:u w:val="single"/>
        </w:rPr>
        <w:t>Colitis ulcerosa</w:t>
      </w:r>
    </w:p>
    <w:p w14:paraId="0964EDDC" w14:textId="77777777" w:rsidR="00D0403E" w:rsidRPr="00183B5F" w:rsidRDefault="00D0403E" w:rsidP="004062FE">
      <w:pPr>
        <w:keepNext/>
        <w:spacing w:line="240" w:lineRule="auto"/>
        <w:rPr>
          <w:szCs w:val="22"/>
          <w:u w:val="single"/>
        </w:rPr>
      </w:pPr>
    </w:p>
    <w:p w14:paraId="0005D87C" w14:textId="77777777" w:rsidR="00D0403E" w:rsidRPr="00183B5F" w:rsidRDefault="00943743" w:rsidP="004062FE">
      <w:pPr>
        <w:keepNext/>
        <w:spacing w:line="240" w:lineRule="auto"/>
        <w:rPr>
          <w:szCs w:val="22"/>
        </w:rPr>
      </w:pPr>
      <w:r w:rsidRPr="00183B5F">
        <w:rPr>
          <w:szCs w:val="22"/>
        </w:rPr>
        <w:t>A Humira felnőttkori, köz</w:t>
      </w:r>
      <w:r w:rsidR="0011114B" w:rsidRPr="00183B5F">
        <w:rPr>
          <w:szCs w:val="22"/>
        </w:rPr>
        <w:t xml:space="preserve">epesen </w:t>
      </w:r>
      <w:r w:rsidRPr="00183B5F">
        <w:rPr>
          <w:szCs w:val="22"/>
        </w:rPr>
        <w:t>súlyos-súlyos akt</w:t>
      </w:r>
      <w:r w:rsidR="003916B1" w:rsidRPr="00183B5F">
        <w:rPr>
          <w:szCs w:val="22"/>
        </w:rPr>
        <w:t>i</w:t>
      </w:r>
      <w:r w:rsidRPr="00183B5F">
        <w:rPr>
          <w:szCs w:val="22"/>
        </w:rPr>
        <w:t>v</w:t>
      </w:r>
      <w:r w:rsidR="003916B1" w:rsidRPr="00183B5F">
        <w:rPr>
          <w:szCs w:val="22"/>
        </w:rPr>
        <w:t>itású</w:t>
      </w:r>
      <w:r w:rsidRPr="00183B5F">
        <w:rPr>
          <w:szCs w:val="22"/>
        </w:rPr>
        <w:t xml:space="preserve"> colitis ulcerosa kezelésére javallott olyan betegeknél, akik a hagyományos kezelésre, köztük kortikoszteroidra és 6</w:t>
      </w:r>
      <w:r w:rsidRPr="00183B5F">
        <w:rPr>
          <w:szCs w:val="22"/>
        </w:rPr>
        <w:noBreakHyphen/>
        <w:t>merkaptopurinra (6</w:t>
      </w:r>
      <w:r w:rsidRPr="00183B5F">
        <w:rPr>
          <w:szCs w:val="22"/>
        </w:rPr>
        <w:noBreakHyphen/>
        <w:t>MP) vagy azathioprinre (AZA) nem mutattak megfelelő terápiás választ, vagy nem tolerálják ezeket a kezeléseket, illetve orvosi szempontból ellenjavallt ezen gyógyszerek adása.</w:t>
      </w:r>
    </w:p>
    <w:p w14:paraId="7B4EAC10" w14:textId="77777777" w:rsidR="002D4DAC" w:rsidRPr="00183B5F" w:rsidRDefault="002D4DAC" w:rsidP="004062FE">
      <w:pPr>
        <w:spacing w:line="240" w:lineRule="auto"/>
        <w:rPr>
          <w:szCs w:val="22"/>
        </w:rPr>
      </w:pPr>
    </w:p>
    <w:p w14:paraId="142BE9A9" w14:textId="77777777" w:rsidR="0095434F" w:rsidRPr="00183B5F" w:rsidRDefault="00943743" w:rsidP="0095434F">
      <w:pPr>
        <w:rPr>
          <w:b/>
          <w:iCs/>
          <w:u w:val="single"/>
        </w:rPr>
      </w:pPr>
      <w:r w:rsidRPr="00183B5F">
        <w:rPr>
          <w:iCs/>
          <w:u w:val="single"/>
        </w:rPr>
        <w:t>Gyermek</w:t>
      </w:r>
      <w:r w:rsidR="00B47ED7" w:rsidRPr="00183B5F">
        <w:rPr>
          <w:iCs/>
          <w:u w:val="single"/>
        </w:rPr>
        <w:t>- és serdülő</w:t>
      </w:r>
      <w:r w:rsidRPr="00183B5F">
        <w:rPr>
          <w:iCs/>
          <w:u w:val="single"/>
        </w:rPr>
        <w:t>kori colitis ulcerosa</w:t>
      </w:r>
    </w:p>
    <w:p w14:paraId="73AFC5CB" w14:textId="77777777" w:rsidR="0095434F" w:rsidRPr="00183B5F" w:rsidRDefault="0095434F" w:rsidP="0095434F"/>
    <w:p w14:paraId="3943EEF0" w14:textId="77777777" w:rsidR="0095434F" w:rsidRPr="00183B5F" w:rsidRDefault="00943743" w:rsidP="0095434F">
      <w:r w:rsidRPr="00183B5F">
        <w:t>A Humira közepesen súlyos – súlyos akt</w:t>
      </w:r>
      <w:r w:rsidR="003916B1" w:rsidRPr="00183B5F">
        <w:t>i</w:t>
      </w:r>
      <w:r w:rsidRPr="00183B5F">
        <w:t>v</w:t>
      </w:r>
      <w:r w:rsidR="003916B1" w:rsidRPr="00183B5F">
        <w:t>itású</w:t>
      </w:r>
      <w:r w:rsidRPr="00183B5F">
        <w:t xml:space="preserve"> colitis ulcerosa kezelésére javallott olyan gyermekeknél</w:t>
      </w:r>
      <w:r w:rsidR="00B47ED7" w:rsidRPr="00183B5F">
        <w:t xml:space="preserve"> és serdülőknél</w:t>
      </w:r>
      <w:r w:rsidRPr="00183B5F">
        <w:t xml:space="preserve"> (6 éves kortól), akik a hagyományos kezelésre, köztük kortikoszteroidra és 6</w:t>
      </w:r>
      <w:r w:rsidRPr="00183B5F">
        <w:noBreakHyphen/>
        <w:t>merkaptopurinra (6</w:t>
      </w:r>
      <w:r w:rsidRPr="00183B5F">
        <w:noBreakHyphen/>
        <w:t>MP) vagy azathioprinre (AZA) nem mutattak megfelelő terápiás választ, vagy nem tolerálják ezeket a kezeléseket, illetve orvosi szempontból ellenjavallt ezen gyógyszerek adása.</w:t>
      </w:r>
    </w:p>
    <w:p w14:paraId="7E324021" w14:textId="77777777" w:rsidR="005737F4" w:rsidRPr="00183B5F" w:rsidRDefault="005737F4" w:rsidP="004062FE">
      <w:pPr>
        <w:spacing w:line="240" w:lineRule="auto"/>
        <w:rPr>
          <w:szCs w:val="22"/>
        </w:rPr>
      </w:pPr>
    </w:p>
    <w:p w14:paraId="68D3351C" w14:textId="77777777" w:rsidR="002D4DAC" w:rsidRPr="00183B5F" w:rsidRDefault="00943743" w:rsidP="004062FE">
      <w:pPr>
        <w:spacing w:line="240" w:lineRule="auto"/>
        <w:rPr>
          <w:szCs w:val="22"/>
          <w:u w:val="single"/>
        </w:rPr>
      </w:pPr>
      <w:r w:rsidRPr="00183B5F">
        <w:rPr>
          <w:szCs w:val="22"/>
          <w:u w:val="single"/>
        </w:rPr>
        <w:t>Uveitis</w:t>
      </w:r>
    </w:p>
    <w:p w14:paraId="09A96E95" w14:textId="77777777" w:rsidR="002D4DAC" w:rsidRPr="00183B5F" w:rsidRDefault="002D4DAC" w:rsidP="004062FE">
      <w:pPr>
        <w:spacing w:line="240" w:lineRule="auto"/>
        <w:rPr>
          <w:szCs w:val="22"/>
        </w:rPr>
      </w:pPr>
    </w:p>
    <w:p w14:paraId="440403D3" w14:textId="77777777" w:rsidR="002D4DAC" w:rsidRPr="00183B5F" w:rsidRDefault="00943743" w:rsidP="004062FE">
      <w:pPr>
        <w:spacing w:line="240" w:lineRule="auto"/>
        <w:rPr>
          <w:szCs w:val="22"/>
        </w:rPr>
      </w:pPr>
      <w:r w:rsidRPr="00183B5F">
        <w:rPr>
          <w:szCs w:val="22"/>
        </w:rPr>
        <w:t>A Humira a nem fertőzéses eredetű, intermedier, posterior és panuveitis kezelésére javallott olyan felnőtt betegeknél, akik nem megfelelően reagálnak a kortikoszteroid-kezelésre, illetve olyan betegeknél, akiknél kortikoszteroid-mentes kezelés szükséges, vagy akiknél a kortikoszteroid</w:t>
      </w:r>
      <w:r w:rsidRPr="00183B5F">
        <w:rPr>
          <w:szCs w:val="22"/>
        </w:rPr>
        <w:noBreakHyphen/>
        <w:t>kezelés nem alkalmazható.</w:t>
      </w:r>
    </w:p>
    <w:p w14:paraId="69138A3F" w14:textId="77777777" w:rsidR="005D0A88" w:rsidRPr="00183B5F" w:rsidRDefault="005D0A88" w:rsidP="004062FE">
      <w:pPr>
        <w:spacing w:line="240" w:lineRule="auto"/>
        <w:rPr>
          <w:szCs w:val="22"/>
        </w:rPr>
      </w:pPr>
    </w:p>
    <w:p w14:paraId="2DAB6F80" w14:textId="77777777" w:rsidR="005D0A88" w:rsidRPr="00183B5F" w:rsidRDefault="00943743">
      <w:pPr>
        <w:spacing w:line="240" w:lineRule="auto"/>
        <w:rPr>
          <w:szCs w:val="22"/>
          <w:u w:val="single"/>
        </w:rPr>
      </w:pPr>
      <w:r w:rsidRPr="00183B5F">
        <w:rPr>
          <w:szCs w:val="22"/>
          <w:u w:val="single"/>
        </w:rPr>
        <w:t>Gyermekkori uveitis</w:t>
      </w:r>
    </w:p>
    <w:p w14:paraId="24E14876" w14:textId="77777777" w:rsidR="005D0A88" w:rsidRPr="00183B5F" w:rsidRDefault="005D0A88">
      <w:pPr>
        <w:spacing w:line="240" w:lineRule="auto"/>
        <w:rPr>
          <w:szCs w:val="22"/>
        </w:rPr>
      </w:pPr>
    </w:p>
    <w:p w14:paraId="71A58ADD" w14:textId="77777777" w:rsidR="005D0A88" w:rsidRPr="00183B5F" w:rsidRDefault="00943743">
      <w:pPr>
        <w:spacing w:line="240" w:lineRule="auto"/>
        <w:rPr>
          <w:szCs w:val="22"/>
        </w:rPr>
      </w:pPr>
      <w:r w:rsidRPr="00183B5F">
        <w:rPr>
          <w:szCs w:val="22"/>
        </w:rPr>
        <w:t>A Humira a krónikus, nem fertőzéses er</w:t>
      </w:r>
      <w:r w:rsidR="00AD6612" w:rsidRPr="00183B5F">
        <w:rPr>
          <w:szCs w:val="22"/>
        </w:rPr>
        <w:t>e</w:t>
      </w:r>
      <w:r w:rsidRPr="00183B5F">
        <w:rPr>
          <w:szCs w:val="22"/>
        </w:rPr>
        <w:t>detű anterior uveitis kezelésére javallott olyan 2 évnél idős</w:t>
      </w:r>
      <w:r w:rsidR="003B67F0" w:rsidRPr="00183B5F">
        <w:rPr>
          <w:szCs w:val="22"/>
        </w:rPr>
        <w:t>ebb gyermekek</w:t>
      </w:r>
      <w:r w:rsidR="00DC6E72" w:rsidRPr="00183B5F">
        <w:rPr>
          <w:szCs w:val="22"/>
        </w:rPr>
        <w:t>nél</w:t>
      </w:r>
      <w:r w:rsidR="003B67F0" w:rsidRPr="00183B5F">
        <w:rPr>
          <w:szCs w:val="22"/>
        </w:rPr>
        <w:t xml:space="preserve">, akik </w:t>
      </w:r>
      <w:r w:rsidRPr="00183B5F">
        <w:rPr>
          <w:szCs w:val="22"/>
        </w:rPr>
        <w:t>nem megfel</w:t>
      </w:r>
      <w:r w:rsidR="002C6A2C" w:rsidRPr="00183B5F">
        <w:rPr>
          <w:szCs w:val="22"/>
        </w:rPr>
        <w:t>el</w:t>
      </w:r>
      <w:r w:rsidRPr="00183B5F">
        <w:rPr>
          <w:szCs w:val="22"/>
        </w:rPr>
        <w:t xml:space="preserve">ően reagáltak </w:t>
      </w:r>
      <w:r w:rsidR="002C6A2C" w:rsidRPr="00183B5F">
        <w:rPr>
          <w:szCs w:val="22"/>
        </w:rPr>
        <w:t xml:space="preserve">a hagyományos kezelésre </w:t>
      </w:r>
      <w:r w:rsidRPr="00183B5F">
        <w:rPr>
          <w:szCs w:val="22"/>
        </w:rPr>
        <w:t xml:space="preserve">vagy </w:t>
      </w:r>
      <w:r w:rsidR="002C6A2C" w:rsidRPr="00183B5F">
        <w:rPr>
          <w:szCs w:val="22"/>
        </w:rPr>
        <w:t xml:space="preserve">nem </w:t>
      </w:r>
      <w:r w:rsidRPr="00183B5F">
        <w:rPr>
          <w:szCs w:val="22"/>
        </w:rPr>
        <w:t>tolerá</w:t>
      </w:r>
      <w:r w:rsidR="002C6A2C" w:rsidRPr="00183B5F">
        <w:rPr>
          <w:szCs w:val="22"/>
        </w:rPr>
        <w:t>lták azt</w:t>
      </w:r>
      <w:r w:rsidRPr="00183B5F">
        <w:rPr>
          <w:szCs w:val="22"/>
        </w:rPr>
        <w:t>, illetve akik</w:t>
      </w:r>
      <w:r w:rsidR="005A1C18" w:rsidRPr="00183B5F">
        <w:rPr>
          <w:szCs w:val="22"/>
        </w:rPr>
        <w:t>nél</w:t>
      </w:r>
      <w:r w:rsidRPr="00183B5F">
        <w:rPr>
          <w:szCs w:val="22"/>
        </w:rPr>
        <w:t xml:space="preserve"> a hagyományos kezelés nem </w:t>
      </w:r>
      <w:r w:rsidR="005A1C18" w:rsidRPr="00183B5F">
        <w:rPr>
          <w:szCs w:val="22"/>
        </w:rPr>
        <w:t>alkalmazható</w:t>
      </w:r>
      <w:r w:rsidRPr="00183B5F">
        <w:rPr>
          <w:szCs w:val="22"/>
        </w:rPr>
        <w:t>.</w:t>
      </w:r>
    </w:p>
    <w:p w14:paraId="76CD42BB" w14:textId="77777777" w:rsidR="00D0403E" w:rsidRPr="00183B5F" w:rsidRDefault="00D0403E" w:rsidP="004062FE">
      <w:pPr>
        <w:spacing w:line="240" w:lineRule="auto"/>
        <w:rPr>
          <w:szCs w:val="22"/>
        </w:rPr>
      </w:pPr>
    </w:p>
    <w:p w14:paraId="3B860947" w14:textId="77777777" w:rsidR="00D0403E" w:rsidRPr="00183B5F" w:rsidRDefault="00943743" w:rsidP="0080649D">
      <w:pPr>
        <w:keepNext/>
        <w:spacing w:line="240" w:lineRule="auto"/>
        <w:rPr>
          <w:b/>
          <w:bCs/>
          <w:caps/>
          <w:szCs w:val="22"/>
        </w:rPr>
      </w:pPr>
      <w:r w:rsidRPr="00183B5F">
        <w:rPr>
          <w:b/>
          <w:bCs/>
          <w:caps/>
          <w:szCs w:val="22"/>
        </w:rPr>
        <w:t>4.2</w:t>
      </w:r>
      <w:r w:rsidRPr="00183B5F">
        <w:rPr>
          <w:b/>
          <w:bCs/>
          <w:caps/>
          <w:szCs w:val="22"/>
        </w:rPr>
        <w:tab/>
      </w:r>
      <w:r w:rsidRPr="00183B5F">
        <w:rPr>
          <w:b/>
          <w:bCs/>
          <w:szCs w:val="22"/>
        </w:rPr>
        <w:t>Adagolás és alkalmazás</w:t>
      </w:r>
    </w:p>
    <w:p w14:paraId="201EC0B0" w14:textId="77777777" w:rsidR="00D0403E" w:rsidRPr="00183B5F" w:rsidRDefault="00D0403E" w:rsidP="004062FE">
      <w:pPr>
        <w:keepNext/>
        <w:spacing w:line="240" w:lineRule="auto"/>
        <w:rPr>
          <w:szCs w:val="22"/>
        </w:rPr>
      </w:pPr>
    </w:p>
    <w:p w14:paraId="56D2D5E3" w14:textId="77777777" w:rsidR="00D0403E" w:rsidRPr="00183B5F" w:rsidRDefault="00943743" w:rsidP="004062FE">
      <w:pPr>
        <w:keepNext/>
        <w:spacing w:line="240" w:lineRule="auto"/>
        <w:rPr>
          <w:szCs w:val="22"/>
        </w:rPr>
      </w:pPr>
      <w:r w:rsidRPr="00183B5F">
        <w:rPr>
          <w:szCs w:val="22"/>
        </w:rPr>
        <w:t>Humira</w:t>
      </w:r>
      <w:r w:rsidRPr="00183B5F">
        <w:rPr>
          <w:szCs w:val="22"/>
        </w:rPr>
        <w:noBreakHyphen/>
        <w:t xml:space="preserve">val történő kezelést csak olyan szakorvos kezdhet el, illetve folytathat, aki jártas a Humira indikációs listájában szereplő betegségek diagnosztikájában és kezelésében. </w:t>
      </w:r>
      <w:r w:rsidR="004B1EE3" w:rsidRPr="00183B5F">
        <w:rPr>
          <w:szCs w:val="22"/>
        </w:rPr>
        <w:t xml:space="preserve">Javasolt, hogy a </w:t>
      </w:r>
      <w:r w:rsidR="00DE2F25" w:rsidRPr="00183B5F">
        <w:rPr>
          <w:szCs w:val="22"/>
        </w:rPr>
        <w:t>s</w:t>
      </w:r>
      <w:r w:rsidR="00EB06D0" w:rsidRPr="00183B5F">
        <w:rPr>
          <w:szCs w:val="22"/>
        </w:rPr>
        <w:t>zemészek a Humira</w:t>
      </w:r>
      <w:r w:rsidR="00EB06D0" w:rsidRPr="00183B5F">
        <w:rPr>
          <w:szCs w:val="22"/>
        </w:rPr>
        <w:noBreakHyphen/>
        <w:t>kezelés megkezdése előtt konzultáljanak a megfelelő szakorvossal</w:t>
      </w:r>
      <w:r w:rsidR="006F15A9" w:rsidRPr="00183B5F">
        <w:rPr>
          <w:szCs w:val="22"/>
        </w:rPr>
        <w:t xml:space="preserve"> (lásd 4.4 pont)</w:t>
      </w:r>
      <w:r w:rsidR="00EB06D0" w:rsidRPr="00183B5F">
        <w:rPr>
          <w:szCs w:val="22"/>
        </w:rPr>
        <w:t xml:space="preserve">. </w:t>
      </w:r>
      <w:r w:rsidRPr="00183B5F">
        <w:rPr>
          <w:szCs w:val="22"/>
        </w:rPr>
        <w:t>A Humira</w:t>
      </w:r>
      <w:r w:rsidRPr="00183B5F">
        <w:rPr>
          <w:szCs w:val="22"/>
        </w:rPr>
        <w:noBreakHyphen/>
        <w:t xml:space="preserve">val kezelt betegek egy </w:t>
      </w:r>
      <w:r w:rsidR="0048779F" w:rsidRPr="00183B5F">
        <w:rPr>
          <w:szCs w:val="22"/>
        </w:rPr>
        <w:t>Betegemlékeztető</w:t>
      </w:r>
      <w:r w:rsidRPr="00183B5F">
        <w:rPr>
          <w:szCs w:val="22"/>
        </w:rPr>
        <w:t xml:space="preserve"> Kártyát kapnak.</w:t>
      </w:r>
    </w:p>
    <w:p w14:paraId="716436E9" w14:textId="77777777" w:rsidR="00D0403E" w:rsidRPr="00183B5F" w:rsidRDefault="00D0403E" w:rsidP="004062FE">
      <w:pPr>
        <w:spacing w:line="240" w:lineRule="auto"/>
        <w:rPr>
          <w:szCs w:val="22"/>
        </w:rPr>
      </w:pPr>
    </w:p>
    <w:p w14:paraId="2C9B737E" w14:textId="77777777" w:rsidR="00D0403E" w:rsidRPr="00183B5F" w:rsidRDefault="00943743" w:rsidP="004062FE">
      <w:pPr>
        <w:spacing w:line="240" w:lineRule="auto"/>
        <w:rPr>
          <w:szCs w:val="22"/>
        </w:rPr>
      </w:pPr>
      <w:r w:rsidRPr="00183B5F">
        <w:rPr>
          <w:szCs w:val="22"/>
        </w:rPr>
        <w:t>A helyes injekciós technika elsajátítása után a betegek, ha az orvos úgy ítéli meg, akár önmaguknak is beadhatják a Humira</w:t>
      </w:r>
      <w:r w:rsidRPr="00183B5F">
        <w:rPr>
          <w:szCs w:val="22"/>
        </w:rPr>
        <w:noBreakHyphen/>
        <w:t>t, szükség szerinti orvosi ellenőrzés mellett.</w:t>
      </w:r>
    </w:p>
    <w:p w14:paraId="62AA8383" w14:textId="77777777" w:rsidR="00D0403E" w:rsidRPr="00183B5F" w:rsidRDefault="00D0403E" w:rsidP="004062FE">
      <w:pPr>
        <w:spacing w:line="240" w:lineRule="auto"/>
        <w:rPr>
          <w:szCs w:val="22"/>
        </w:rPr>
      </w:pPr>
    </w:p>
    <w:p w14:paraId="42841128" w14:textId="77777777" w:rsidR="00D0403E" w:rsidRPr="00183B5F" w:rsidRDefault="00943743" w:rsidP="004062FE">
      <w:pPr>
        <w:spacing w:line="240" w:lineRule="auto"/>
        <w:rPr>
          <w:szCs w:val="22"/>
        </w:rPr>
      </w:pPr>
      <w:r w:rsidRPr="00183B5F">
        <w:rPr>
          <w:szCs w:val="22"/>
        </w:rPr>
        <w:t>A Humira</w:t>
      </w:r>
      <w:r w:rsidRPr="00183B5F">
        <w:rPr>
          <w:szCs w:val="22"/>
        </w:rPr>
        <w:noBreakHyphen/>
        <w:t xml:space="preserve">kezelés ideje alatt optimalizálni kell a más szerek (pl. kortikoszteroidok és/vagy immunmodulánsok) alkalmazásával végzett </w:t>
      </w:r>
      <w:r w:rsidR="00A43FB3" w:rsidRPr="00183B5F">
        <w:rPr>
          <w:szCs w:val="22"/>
        </w:rPr>
        <w:t xml:space="preserve">egyidejű </w:t>
      </w:r>
      <w:r w:rsidRPr="00183B5F">
        <w:rPr>
          <w:szCs w:val="22"/>
        </w:rPr>
        <w:t>terápiá</w:t>
      </w:r>
      <w:r w:rsidR="00A43FB3" w:rsidRPr="00183B5F">
        <w:rPr>
          <w:szCs w:val="22"/>
        </w:rPr>
        <w:t>ka</w:t>
      </w:r>
      <w:r w:rsidRPr="00183B5F">
        <w:rPr>
          <w:szCs w:val="22"/>
        </w:rPr>
        <w:t>t.</w:t>
      </w:r>
    </w:p>
    <w:p w14:paraId="5F92F9D4" w14:textId="77777777" w:rsidR="00D0403E" w:rsidRPr="00183B5F" w:rsidRDefault="00D0403E" w:rsidP="004062FE">
      <w:pPr>
        <w:keepNext/>
        <w:spacing w:line="240" w:lineRule="auto"/>
        <w:rPr>
          <w:szCs w:val="22"/>
          <w:u w:val="single"/>
        </w:rPr>
      </w:pPr>
    </w:p>
    <w:p w14:paraId="2487331A" w14:textId="77777777" w:rsidR="00D0403E" w:rsidRPr="00183B5F" w:rsidRDefault="00943743" w:rsidP="004062FE">
      <w:pPr>
        <w:keepNext/>
        <w:spacing w:line="240" w:lineRule="auto"/>
        <w:rPr>
          <w:szCs w:val="22"/>
          <w:u w:val="single"/>
        </w:rPr>
      </w:pPr>
      <w:r w:rsidRPr="00183B5F">
        <w:rPr>
          <w:szCs w:val="22"/>
          <w:u w:val="single"/>
        </w:rPr>
        <w:t>Adagolás</w:t>
      </w:r>
    </w:p>
    <w:p w14:paraId="71C0344D" w14:textId="77777777" w:rsidR="00D0403E" w:rsidRPr="00183B5F" w:rsidRDefault="00D0403E" w:rsidP="004062FE">
      <w:pPr>
        <w:keepNext/>
        <w:spacing w:line="240" w:lineRule="auto"/>
        <w:rPr>
          <w:szCs w:val="22"/>
          <w:u w:val="single"/>
        </w:rPr>
      </w:pPr>
    </w:p>
    <w:p w14:paraId="75A34F3A" w14:textId="77777777" w:rsidR="00D0403E" w:rsidRPr="00183B5F" w:rsidRDefault="00943743" w:rsidP="004062FE">
      <w:pPr>
        <w:pStyle w:val="EndnoteText"/>
        <w:keepNext/>
        <w:tabs>
          <w:tab w:val="clear" w:pos="567"/>
        </w:tabs>
        <w:suppressAutoHyphens/>
        <w:rPr>
          <w:i/>
          <w:sz w:val="22"/>
          <w:szCs w:val="22"/>
          <w:lang w:val="hu-HU" w:eastAsia="hu-HU"/>
        </w:rPr>
      </w:pPr>
      <w:r w:rsidRPr="00183B5F">
        <w:rPr>
          <w:i/>
          <w:sz w:val="22"/>
          <w:szCs w:val="22"/>
          <w:lang w:val="hu-HU" w:eastAsia="hu-HU"/>
        </w:rPr>
        <w:t>Rheumatoid arthritis</w:t>
      </w:r>
    </w:p>
    <w:p w14:paraId="15235B95" w14:textId="77777777" w:rsidR="00D0403E" w:rsidRPr="00183B5F" w:rsidRDefault="00D0403E" w:rsidP="004062FE">
      <w:pPr>
        <w:keepNext/>
        <w:spacing w:line="240" w:lineRule="auto"/>
        <w:rPr>
          <w:szCs w:val="22"/>
        </w:rPr>
      </w:pPr>
    </w:p>
    <w:p w14:paraId="087D322F" w14:textId="77777777" w:rsidR="00D0403E" w:rsidRPr="00183B5F" w:rsidRDefault="00943743" w:rsidP="004062FE">
      <w:pPr>
        <w:keepNext/>
        <w:spacing w:line="240" w:lineRule="auto"/>
        <w:rPr>
          <w:szCs w:val="22"/>
        </w:rPr>
      </w:pPr>
      <w:r w:rsidRPr="00183B5F">
        <w:rPr>
          <w:szCs w:val="22"/>
        </w:rPr>
        <w:t>A Humira javasolt dózisa rheumatoid arthritisben szenvedő felnőttek esetében 40 mg adalimumab, kéthetente egy alkalommal egy adagban subcutan injekció formájában. A metotrexát folytatása javasolt a Humira</w:t>
      </w:r>
      <w:r w:rsidRPr="00183B5F">
        <w:rPr>
          <w:szCs w:val="22"/>
        </w:rPr>
        <w:noBreakHyphen/>
        <w:t>val való kezelés ideje alatt.</w:t>
      </w:r>
    </w:p>
    <w:p w14:paraId="45FADA63" w14:textId="77777777" w:rsidR="00D0403E" w:rsidRPr="00183B5F" w:rsidRDefault="00D0403E" w:rsidP="004062FE">
      <w:pPr>
        <w:spacing w:line="240" w:lineRule="auto"/>
        <w:rPr>
          <w:szCs w:val="22"/>
        </w:rPr>
      </w:pPr>
    </w:p>
    <w:p w14:paraId="4398F356" w14:textId="77777777" w:rsidR="00D0403E" w:rsidRPr="00183B5F" w:rsidRDefault="00943743" w:rsidP="004062FE">
      <w:pPr>
        <w:spacing w:line="240" w:lineRule="auto"/>
        <w:rPr>
          <w:szCs w:val="22"/>
        </w:rPr>
      </w:pPr>
      <w:r w:rsidRPr="00183B5F">
        <w:rPr>
          <w:szCs w:val="22"/>
        </w:rPr>
        <w:t xml:space="preserve">Glükokortikoidok, szalicilátok, nem szteroid </w:t>
      </w:r>
      <w:r w:rsidR="008511AE" w:rsidRPr="00183B5F">
        <w:rPr>
          <w:szCs w:val="22"/>
        </w:rPr>
        <w:t>gyulladásgátlók</w:t>
      </w:r>
      <w:r w:rsidRPr="00183B5F">
        <w:rPr>
          <w:szCs w:val="22"/>
        </w:rPr>
        <w:t>, illetve analgetikumok adása is folytatható a Humira</w:t>
      </w:r>
      <w:r w:rsidRPr="00183B5F">
        <w:rPr>
          <w:szCs w:val="22"/>
        </w:rPr>
        <w:noBreakHyphen/>
        <w:t>kezelés ideje alatt. A metotrexáton kívüli más, betegséget befolyásoló reumaellenes szerekkel való együttes szedést illetően lásd a 4.4 és az 5.1 pontokat.</w:t>
      </w:r>
    </w:p>
    <w:p w14:paraId="5DBC0F3E" w14:textId="77777777" w:rsidR="00D0403E" w:rsidRPr="00183B5F" w:rsidRDefault="00D0403E" w:rsidP="004062FE">
      <w:pPr>
        <w:spacing w:line="240" w:lineRule="auto"/>
        <w:ind w:left="567" w:hanging="567"/>
        <w:rPr>
          <w:szCs w:val="22"/>
        </w:rPr>
      </w:pPr>
    </w:p>
    <w:p w14:paraId="12A1B809" w14:textId="77777777" w:rsidR="00D0403E" w:rsidRPr="00183B5F" w:rsidRDefault="00943743" w:rsidP="004062FE">
      <w:pPr>
        <w:spacing w:line="240" w:lineRule="auto"/>
        <w:rPr>
          <w:szCs w:val="22"/>
        </w:rPr>
      </w:pPr>
      <w:r w:rsidRPr="00183B5F">
        <w:rPr>
          <w:szCs w:val="22"/>
        </w:rPr>
        <w:t>Monoterápiában, olyan betegek esetében, akiknél hatáscsökkenés mutatkozik</w:t>
      </w:r>
      <w:r w:rsidR="00141C96" w:rsidRPr="00183B5F">
        <w:rPr>
          <w:szCs w:val="22"/>
        </w:rPr>
        <w:t xml:space="preserve"> a minden második héten alkalmazott 40 mg Humira</w:t>
      </w:r>
      <w:r w:rsidR="00141C96" w:rsidRPr="00183B5F">
        <w:rPr>
          <w:szCs w:val="22"/>
        </w:rPr>
        <w:noBreakHyphen/>
        <w:t>kezelés mellett</w:t>
      </w:r>
      <w:r w:rsidRPr="00183B5F">
        <w:rPr>
          <w:szCs w:val="22"/>
        </w:rPr>
        <w:t>, jó eredmény érhető el a dózis het</w:t>
      </w:r>
      <w:r w:rsidR="00C35B94" w:rsidRPr="00183B5F">
        <w:rPr>
          <w:szCs w:val="22"/>
        </w:rPr>
        <w:t>i</w:t>
      </w:r>
      <w:r w:rsidRPr="00183B5F">
        <w:rPr>
          <w:szCs w:val="22"/>
        </w:rPr>
        <w:t xml:space="preserve"> 40 mg</w:t>
      </w:r>
      <w:r w:rsidRPr="00183B5F">
        <w:rPr>
          <w:szCs w:val="22"/>
        </w:rPr>
        <w:noBreakHyphen/>
        <w:t>ra</w:t>
      </w:r>
      <w:r w:rsidR="00141C96" w:rsidRPr="00183B5F">
        <w:rPr>
          <w:szCs w:val="22"/>
        </w:rPr>
        <w:t xml:space="preserve"> vagy kéthetenként 80 mg</w:t>
      </w:r>
      <w:r w:rsidR="00CE0694" w:rsidRPr="00183B5F">
        <w:rPr>
          <w:szCs w:val="22"/>
        </w:rPr>
        <w:noBreakHyphen/>
      </w:r>
      <w:r w:rsidR="00141C96" w:rsidRPr="00183B5F">
        <w:rPr>
          <w:szCs w:val="22"/>
        </w:rPr>
        <w:t>ra</w:t>
      </w:r>
      <w:r w:rsidRPr="00183B5F">
        <w:rPr>
          <w:szCs w:val="22"/>
        </w:rPr>
        <w:t xml:space="preserve"> való emelésével.</w:t>
      </w:r>
    </w:p>
    <w:p w14:paraId="611DE412" w14:textId="77777777" w:rsidR="00484960" w:rsidRPr="00183B5F" w:rsidRDefault="00484960" w:rsidP="004062FE">
      <w:pPr>
        <w:spacing w:line="240" w:lineRule="auto"/>
        <w:rPr>
          <w:szCs w:val="22"/>
        </w:rPr>
      </w:pPr>
    </w:p>
    <w:p w14:paraId="52C36639" w14:textId="77777777" w:rsidR="00371788" w:rsidRPr="00183B5F" w:rsidRDefault="00943743" w:rsidP="004062FE">
      <w:pPr>
        <w:spacing w:line="240" w:lineRule="auto"/>
        <w:rPr>
          <w:szCs w:val="22"/>
        </w:rPr>
      </w:pPr>
      <w:r w:rsidRPr="00183B5F">
        <w:rPr>
          <w:szCs w:val="22"/>
        </w:rPr>
        <w:t>A rendelkezésre álló adatok arra utalnak, hogy a klinikai válasz általában 12 hetes kezelésen belül elérhető. Olyan betegeknél, akik ezen idő alatt nem reagálnak a kezelésre, megfontolandó a terápia folytatása.</w:t>
      </w:r>
    </w:p>
    <w:p w14:paraId="2D3570D3" w14:textId="77777777" w:rsidR="00141C96" w:rsidRPr="00183B5F" w:rsidRDefault="00141C96" w:rsidP="004062FE">
      <w:pPr>
        <w:spacing w:line="240" w:lineRule="auto"/>
        <w:rPr>
          <w:szCs w:val="22"/>
        </w:rPr>
      </w:pPr>
    </w:p>
    <w:p w14:paraId="76361981" w14:textId="77777777" w:rsidR="00141C96" w:rsidRPr="00183B5F" w:rsidRDefault="00943743" w:rsidP="004062FE">
      <w:pPr>
        <w:spacing w:line="240" w:lineRule="auto"/>
        <w:rPr>
          <w:szCs w:val="22"/>
        </w:rPr>
      </w:pPr>
      <w:r w:rsidRPr="00183B5F">
        <w:rPr>
          <w:szCs w:val="22"/>
        </w:rPr>
        <w:t>A Humira más hatáserősségben és/vagy kiszerelésben is elérhető az egyéni terápiás igényeknek megfelelően.</w:t>
      </w:r>
    </w:p>
    <w:p w14:paraId="147D5550" w14:textId="77777777" w:rsidR="00D0403E" w:rsidRPr="00183B5F" w:rsidRDefault="00D0403E" w:rsidP="004062FE">
      <w:pPr>
        <w:spacing w:line="240" w:lineRule="auto"/>
        <w:rPr>
          <w:szCs w:val="22"/>
        </w:rPr>
      </w:pPr>
    </w:p>
    <w:p w14:paraId="273EA3D3" w14:textId="77777777" w:rsidR="00D0403E" w:rsidRPr="00183B5F" w:rsidRDefault="00943743" w:rsidP="004062FE">
      <w:pPr>
        <w:keepNext/>
        <w:spacing w:line="240" w:lineRule="auto"/>
        <w:rPr>
          <w:i/>
          <w:szCs w:val="22"/>
          <w:u w:val="single"/>
        </w:rPr>
      </w:pPr>
      <w:r w:rsidRPr="00183B5F">
        <w:rPr>
          <w:i/>
          <w:szCs w:val="22"/>
          <w:u w:val="single"/>
        </w:rPr>
        <w:t>Az adagolás megszakítása</w:t>
      </w:r>
    </w:p>
    <w:p w14:paraId="291F8D40" w14:textId="77777777" w:rsidR="00D0403E" w:rsidRPr="00183B5F" w:rsidRDefault="00D0403E" w:rsidP="004062FE">
      <w:pPr>
        <w:keepNext/>
        <w:spacing w:line="240" w:lineRule="auto"/>
        <w:rPr>
          <w:szCs w:val="22"/>
        </w:rPr>
      </w:pPr>
    </w:p>
    <w:p w14:paraId="3A7AA18C" w14:textId="77777777" w:rsidR="00D0403E" w:rsidRPr="00183B5F" w:rsidRDefault="00943743">
      <w:pPr>
        <w:pStyle w:val="EMEANormal"/>
        <w:keepNext/>
        <w:rPr>
          <w:bCs/>
          <w:iCs/>
          <w:szCs w:val="22"/>
          <w:lang w:val="hu-HU"/>
        </w:rPr>
      </w:pPr>
      <w:r w:rsidRPr="00183B5F">
        <w:rPr>
          <w:bCs/>
          <w:iCs/>
          <w:szCs w:val="22"/>
          <w:lang w:val="hu-HU"/>
        </w:rPr>
        <w:t>Szükség lehet az adagolás megszakítására, például műtét előtt vagy ha egy súlyos fertőzés alakul ki.</w:t>
      </w:r>
    </w:p>
    <w:p w14:paraId="0D9454C6" w14:textId="77777777" w:rsidR="00714344" w:rsidRPr="00183B5F" w:rsidRDefault="00714344">
      <w:pPr>
        <w:pStyle w:val="EMEANormal"/>
        <w:rPr>
          <w:szCs w:val="22"/>
          <w:lang w:val="hu-HU"/>
        </w:rPr>
      </w:pPr>
    </w:p>
    <w:p w14:paraId="0E84EC66" w14:textId="77777777" w:rsidR="00D0403E" w:rsidRPr="00183B5F" w:rsidRDefault="00943743">
      <w:pPr>
        <w:spacing w:line="240" w:lineRule="auto"/>
        <w:rPr>
          <w:szCs w:val="22"/>
        </w:rPr>
      </w:pPr>
      <w:r w:rsidRPr="00183B5F">
        <w:rPr>
          <w:szCs w:val="22"/>
        </w:rPr>
        <w:t>A rendelkezésre álló adatok arra utalnak, hogy a Humira alkalmazásának 70 napra vagy hosszabb időre történt abbahagyását követő újrakezdése ugyanolyan mértékű klinikai választ és hasonló biztonságossági profilt eredményezett, mint az adagolás megszakítása előtt.</w:t>
      </w:r>
    </w:p>
    <w:p w14:paraId="1C6DCEF0" w14:textId="77777777" w:rsidR="00D0403E" w:rsidRPr="00183B5F" w:rsidRDefault="00D0403E">
      <w:pPr>
        <w:spacing w:line="240" w:lineRule="auto"/>
        <w:rPr>
          <w:szCs w:val="22"/>
        </w:rPr>
      </w:pPr>
    </w:p>
    <w:p w14:paraId="3BA88469" w14:textId="77777777" w:rsidR="00D0403E" w:rsidRPr="00183B5F" w:rsidRDefault="00943743">
      <w:pPr>
        <w:suppressAutoHyphens w:val="0"/>
        <w:spacing w:line="240" w:lineRule="auto"/>
        <w:rPr>
          <w:i/>
          <w:szCs w:val="22"/>
        </w:rPr>
      </w:pPr>
      <w:r w:rsidRPr="00183B5F">
        <w:rPr>
          <w:i/>
          <w:szCs w:val="22"/>
        </w:rPr>
        <w:t>Spondylitis ankylopoetica</w:t>
      </w:r>
      <w:r w:rsidR="006F4B23" w:rsidRPr="00183B5F">
        <w:rPr>
          <w:i/>
          <w:szCs w:val="22"/>
        </w:rPr>
        <w:t>,</w:t>
      </w:r>
      <w:r w:rsidRPr="00183B5F">
        <w:rPr>
          <w:rFonts w:eastAsia="SimSun"/>
          <w:i/>
          <w:szCs w:val="22"/>
          <w:lang w:eastAsia="zh-CN"/>
        </w:rPr>
        <w:t xml:space="preserve"> spondylitis ankylopoeticának (SPA) megfelelő röntgeneltéréssel nem járó</w:t>
      </w:r>
      <w:r w:rsidRPr="00183B5F">
        <w:rPr>
          <w:i/>
          <w:szCs w:val="22"/>
        </w:rPr>
        <w:t xml:space="preserve"> axiális spondyloarthritis és arthritis psoriatica</w:t>
      </w:r>
    </w:p>
    <w:p w14:paraId="4AEC84F7" w14:textId="77777777" w:rsidR="00D0403E" w:rsidRPr="00183B5F" w:rsidRDefault="00D0403E" w:rsidP="004062FE">
      <w:pPr>
        <w:spacing w:line="240" w:lineRule="auto"/>
        <w:rPr>
          <w:szCs w:val="22"/>
          <w:u w:val="single"/>
        </w:rPr>
      </w:pPr>
    </w:p>
    <w:p w14:paraId="6EB5C2E2" w14:textId="77777777" w:rsidR="00D0403E" w:rsidRPr="00183B5F" w:rsidRDefault="00943743">
      <w:pPr>
        <w:suppressAutoHyphens w:val="0"/>
        <w:spacing w:line="240" w:lineRule="auto"/>
        <w:rPr>
          <w:szCs w:val="22"/>
        </w:rPr>
      </w:pPr>
      <w:r w:rsidRPr="00183B5F">
        <w:rPr>
          <w:szCs w:val="22"/>
        </w:rPr>
        <w:t xml:space="preserve">A Humira ajánlott adagja spondylitis ankylopoeticában, </w:t>
      </w:r>
      <w:r w:rsidRPr="00183B5F">
        <w:rPr>
          <w:rFonts w:eastAsia="SimSun"/>
          <w:szCs w:val="22"/>
          <w:lang w:eastAsia="zh-CN"/>
        </w:rPr>
        <w:t>spondylitis ankylopoeticának (SPA) megfelelő röntgeneltéréssel nem járó</w:t>
      </w:r>
      <w:r w:rsidRPr="00183B5F">
        <w:rPr>
          <w:szCs w:val="22"/>
        </w:rPr>
        <w:t xml:space="preserve"> axiális spondyloarthritisben és arthritis psoriaticában szenvedő betegeknél 40 mg adalimumab kéthetente egy alkalommal subcutan injekcióban.</w:t>
      </w:r>
    </w:p>
    <w:p w14:paraId="4E02390F" w14:textId="77777777" w:rsidR="00D0403E" w:rsidRPr="00183B5F" w:rsidRDefault="00D0403E" w:rsidP="004062FE">
      <w:pPr>
        <w:spacing w:line="240" w:lineRule="auto"/>
        <w:rPr>
          <w:szCs w:val="22"/>
        </w:rPr>
      </w:pPr>
    </w:p>
    <w:p w14:paraId="4653D016" w14:textId="77777777" w:rsidR="000A06E6" w:rsidRPr="00183B5F" w:rsidRDefault="00943743" w:rsidP="004062FE">
      <w:pPr>
        <w:spacing w:line="240" w:lineRule="auto"/>
        <w:rPr>
          <w:szCs w:val="22"/>
        </w:rPr>
      </w:pPr>
      <w:r w:rsidRPr="00183B5F">
        <w:rPr>
          <w:szCs w:val="22"/>
        </w:rPr>
        <w:t>A rendelkezésre álló adatok arra utalnak, hogy a klinikai válasz általában 12 hetes kezelésen belül elérhető. Olyan betegeknél, akik ezen idő alatt nem reagálnak a kezelésre, megfontolandó a terápia folytatása.</w:t>
      </w:r>
    </w:p>
    <w:p w14:paraId="1862BB74" w14:textId="77777777" w:rsidR="00D0403E" w:rsidRPr="00183B5F" w:rsidRDefault="00D0403E" w:rsidP="004062FE">
      <w:pPr>
        <w:spacing w:line="240" w:lineRule="auto"/>
        <w:rPr>
          <w:szCs w:val="22"/>
        </w:rPr>
      </w:pPr>
    </w:p>
    <w:p w14:paraId="1EBE145B" w14:textId="77777777" w:rsidR="00D0403E" w:rsidRPr="00183B5F" w:rsidRDefault="00943743" w:rsidP="004062FE">
      <w:pPr>
        <w:keepNext/>
        <w:spacing w:line="240" w:lineRule="auto"/>
        <w:rPr>
          <w:i/>
          <w:szCs w:val="22"/>
        </w:rPr>
      </w:pPr>
      <w:r w:rsidRPr="00183B5F">
        <w:rPr>
          <w:i/>
          <w:szCs w:val="22"/>
        </w:rPr>
        <w:t>Psoriasis</w:t>
      </w:r>
    </w:p>
    <w:p w14:paraId="7D1F97E9" w14:textId="77777777" w:rsidR="00D0403E" w:rsidRPr="00183B5F" w:rsidRDefault="00D0403E" w:rsidP="004062FE">
      <w:pPr>
        <w:keepNext/>
        <w:spacing w:line="240" w:lineRule="auto"/>
        <w:rPr>
          <w:szCs w:val="22"/>
        </w:rPr>
      </w:pPr>
    </w:p>
    <w:p w14:paraId="4013AFF8" w14:textId="77777777" w:rsidR="00D0403E" w:rsidRPr="00183B5F" w:rsidRDefault="00943743" w:rsidP="004062FE">
      <w:pPr>
        <w:keepNext/>
        <w:spacing w:line="240" w:lineRule="auto"/>
        <w:rPr>
          <w:szCs w:val="22"/>
        </w:rPr>
      </w:pPr>
      <w:r w:rsidRPr="00183B5F">
        <w:rPr>
          <w:szCs w:val="22"/>
        </w:rPr>
        <w:t>A Humira ajánlott adagja felnőtt betegek részére kezdő dózisként 80 mg subcutan alkalmazva, amelyet a kezdő dózis beadásától számított egy hét múlva minden második héten subcutan beadott 40 mg</w:t>
      </w:r>
      <w:r w:rsidR="00E5381A" w:rsidRPr="00183B5F">
        <w:rPr>
          <w:szCs w:val="22"/>
        </w:rPr>
        <w:noBreakHyphen/>
      </w:r>
      <w:r w:rsidRPr="00183B5F">
        <w:rPr>
          <w:szCs w:val="22"/>
        </w:rPr>
        <w:t>os dózisok követnek.</w:t>
      </w:r>
    </w:p>
    <w:p w14:paraId="4E528D57" w14:textId="77777777" w:rsidR="00D0403E" w:rsidRPr="00183B5F" w:rsidRDefault="00D0403E" w:rsidP="004062FE">
      <w:pPr>
        <w:spacing w:line="240" w:lineRule="auto"/>
        <w:rPr>
          <w:szCs w:val="22"/>
        </w:rPr>
      </w:pPr>
    </w:p>
    <w:p w14:paraId="5005310D" w14:textId="77777777" w:rsidR="00D0403E" w:rsidRPr="00183B5F" w:rsidRDefault="00943743" w:rsidP="004062FE">
      <w:pPr>
        <w:spacing w:line="240" w:lineRule="auto"/>
        <w:rPr>
          <w:szCs w:val="22"/>
        </w:rPr>
      </w:pPr>
      <w:r w:rsidRPr="00183B5F">
        <w:rPr>
          <w:szCs w:val="22"/>
        </w:rPr>
        <w:t>A 16 hétnél hosszabb ideig tartó kezeléseket gondosan újra kell mérlegelni olyan betegek esetében, akik ezen időszak alatt nem reagáltak a terápiára.</w:t>
      </w:r>
    </w:p>
    <w:p w14:paraId="72378F85" w14:textId="77777777" w:rsidR="007F281F" w:rsidRPr="00183B5F" w:rsidRDefault="007F281F" w:rsidP="004062FE">
      <w:pPr>
        <w:spacing w:line="240" w:lineRule="auto"/>
        <w:rPr>
          <w:szCs w:val="22"/>
        </w:rPr>
      </w:pPr>
    </w:p>
    <w:p w14:paraId="5889CC50" w14:textId="77777777" w:rsidR="00DE45AA" w:rsidRPr="00183B5F" w:rsidRDefault="00943743" w:rsidP="00DE45AA">
      <w:pPr>
        <w:spacing w:line="240" w:lineRule="auto"/>
        <w:rPr>
          <w:szCs w:val="22"/>
        </w:rPr>
      </w:pPr>
      <w:r w:rsidRPr="00183B5F">
        <w:rPr>
          <w:szCs w:val="22"/>
        </w:rPr>
        <w:t>A 16. hét után azoknál a betegeknél, akik nem megfelelően reagáltak a kéthetente adott 40 mg Humira</w:t>
      </w:r>
      <w:r w:rsidRPr="00183B5F">
        <w:rPr>
          <w:szCs w:val="22"/>
        </w:rPr>
        <w:noBreakHyphen/>
        <w:t>kezelésre, előnyös lehet az adag növelése heti 40 mg</w:t>
      </w:r>
      <w:r w:rsidRPr="00183B5F">
        <w:rPr>
          <w:szCs w:val="22"/>
        </w:rPr>
        <w:noBreakHyphen/>
        <w:t>ra vagy kéthetente 80 mg</w:t>
      </w:r>
      <w:r w:rsidRPr="00183B5F">
        <w:rPr>
          <w:szCs w:val="22"/>
        </w:rPr>
        <w:noBreakHyphen/>
        <w:t>ra. Alaposan mérlegelni kell a Humira heti 40 mg vagy kéthetente 80 mg adagolásának előnyeit és kockázatait az olyan betegeknél, akik nem megfelelően reagáltak az adag növelése után (lásd 5.1 pont). Ha a heti 40 mg vagy kéthetente 80 mg adagolással elérték a megfelelő választ, a dózis ezután kéthetente 40 mg</w:t>
      </w:r>
      <w:r w:rsidRPr="00183B5F">
        <w:rPr>
          <w:szCs w:val="22"/>
        </w:rPr>
        <w:noBreakHyphen/>
        <w:t>ra csökkenthető.</w:t>
      </w:r>
    </w:p>
    <w:p w14:paraId="39700197" w14:textId="77777777" w:rsidR="00D0403E" w:rsidRPr="00183B5F" w:rsidRDefault="00D0403E" w:rsidP="004062FE">
      <w:pPr>
        <w:spacing w:line="240" w:lineRule="auto"/>
        <w:rPr>
          <w:szCs w:val="22"/>
        </w:rPr>
      </w:pPr>
    </w:p>
    <w:p w14:paraId="18F9C03F" w14:textId="77777777" w:rsidR="006F4B23" w:rsidRPr="00183B5F" w:rsidRDefault="00943743" w:rsidP="006F4B23">
      <w:pPr>
        <w:spacing w:line="240" w:lineRule="auto"/>
        <w:rPr>
          <w:szCs w:val="22"/>
        </w:rPr>
      </w:pPr>
      <w:r w:rsidRPr="00183B5F">
        <w:rPr>
          <w:szCs w:val="22"/>
        </w:rPr>
        <w:t>A Humira más hatáserősségben és/vagy kiszerelésben is elérhető az egyéni terápiás igényeknek megfelelően.</w:t>
      </w:r>
    </w:p>
    <w:p w14:paraId="4050E1D1" w14:textId="77777777" w:rsidR="006F4B23" w:rsidRPr="00183B5F" w:rsidRDefault="006F4B23" w:rsidP="004062FE">
      <w:pPr>
        <w:spacing w:line="240" w:lineRule="auto"/>
        <w:rPr>
          <w:i/>
          <w:szCs w:val="22"/>
        </w:rPr>
      </w:pPr>
    </w:p>
    <w:p w14:paraId="79F3D9DA" w14:textId="77777777" w:rsidR="009A314C" w:rsidRPr="00183B5F" w:rsidRDefault="00943743" w:rsidP="004062FE">
      <w:pPr>
        <w:spacing w:line="240" w:lineRule="auto"/>
        <w:rPr>
          <w:i/>
          <w:szCs w:val="22"/>
        </w:rPr>
      </w:pPr>
      <w:r w:rsidRPr="00183B5F">
        <w:rPr>
          <w:i/>
          <w:szCs w:val="22"/>
        </w:rPr>
        <w:t>Hidradenitis suppurativa</w:t>
      </w:r>
    </w:p>
    <w:p w14:paraId="1AF9729D" w14:textId="77777777" w:rsidR="009A314C" w:rsidRPr="00183B5F" w:rsidRDefault="009A314C" w:rsidP="004062FE">
      <w:pPr>
        <w:spacing w:line="240" w:lineRule="auto"/>
        <w:rPr>
          <w:i/>
          <w:szCs w:val="22"/>
        </w:rPr>
      </w:pPr>
    </w:p>
    <w:p w14:paraId="6EAEB298" w14:textId="77777777" w:rsidR="006D2DE9" w:rsidRPr="00183B5F" w:rsidRDefault="00943743" w:rsidP="004062FE">
      <w:pPr>
        <w:spacing w:line="240" w:lineRule="auto"/>
        <w:rPr>
          <w:szCs w:val="22"/>
        </w:rPr>
      </w:pPr>
      <w:r w:rsidRPr="00183B5F">
        <w:rPr>
          <w:szCs w:val="22"/>
        </w:rPr>
        <w:t>A Humira javasolt adagja hidradenitis suppurativában (HS) szenvedő felnőttek indukciós kezelésére 160 mg az 1. nap</w:t>
      </w:r>
      <w:r w:rsidR="006F4B23" w:rsidRPr="00183B5F">
        <w:rPr>
          <w:szCs w:val="22"/>
        </w:rPr>
        <w:t>on</w:t>
      </w:r>
      <w:r w:rsidRPr="00183B5F">
        <w:rPr>
          <w:szCs w:val="22"/>
        </w:rPr>
        <w:t xml:space="preserve"> (</w:t>
      </w:r>
      <w:r w:rsidR="004B565B" w:rsidRPr="00183B5F">
        <w:rPr>
          <w:szCs w:val="22"/>
        </w:rPr>
        <w:t xml:space="preserve">négy </w:t>
      </w:r>
      <w:r w:rsidRPr="00183B5F">
        <w:rPr>
          <w:szCs w:val="22"/>
        </w:rPr>
        <w:t>darab 40 mg</w:t>
      </w:r>
      <w:r w:rsidRPr="00183B5F">
        <w:rPr>
          <w:szCs w:val="22"/>
        </w:rPr>
        <w:noBreakHyphen/>
        <w:t xml:space="preserve">os injekcióban egyetlen napon, vagy napi </w:t>
      </w:r>
      <w:r w:rsidR="004B565B" w:rsidRPr="00183B5F">
        <w:rPr>
          <w:szCs w:val="22"/>
        </w:rPr>
        <w:t>két</w:t>
      </w:r>
      <w:r w:rsidR="00B5663C" w:rsidRPr="00183B5F">
        <w:rPr>
          <w:szCs w:val="22"/>
        </w:rPr>
        <w:t xml:space="preserve"> 40 mg</w:t>
      </w:r>
      <w:r w:rsidR="00B5663C" w:rsidRPr="00183B5F">
        <w:rPr>
          <w:szCs w:val="22"/>
        </w:rPr>
        <w:noBreakHyphen/>
        <w:t>os</w:t>
      </w:r>
      <w:r w:rsidR="004B565B" w:rsidRPr="00183B5F">
        <w:rPr>
          <w:szCs w:val="22"/>
        </w:rPr>
        <w:t xml:space="preserve"> </w:t>
      </w:r>
      <w:r w:rsidRPr="00183B5F">
        <w:rPr>
          <w:szCs w:val="22"/>
        </w:rPr>
        <w:t>injekcióban két egymást követő napon beadva), melyet 2 héttel később 80 mg követ a 15. napon (</w:t>
      </w:r>
      <w:r w:rsidR="004B565B" w:rsidRPr="00183B5F">
        <w:rPr>
          <w:szCs w:val="22"/>
        </w:rPr>
        <w:t xml:space="preserve">két </w:t>
      </w:r>
      <w:r w:rsidRPr="00183B5F">
        <w:rPr>
          <w:szCs w:val="22"/>
        </w:rPr>
        <w:t>darab 40 mg</w:t>
      </w:r>
      <w:r w:rsidR="00E5381A" w:rsidRPr="00183B5F">
        <w:rPr>
          <w:szCs w:val="22"/>
        </w:rPr>
        <w:noBreakHyphen/>
      </w:r>
      <w:r w:rsidRPr="00183B5F">
        <w:rPr>
          <w:szCs w:val="22"/>
        </w:rPr>
        <w:t xml:space="preserve">os injekcióban beadva egyetlen napon). Két héttel később (a 29. napon) heti 40 mg </w:t>
      </w:r>
      <w:r w:rsidR="00F13823" w:rsidRPr="00183B5F">
        <w:rPr>
          <w:szCs w:val="22"/>
        </w:rPr>
        <w:t>vagy kéthetente</w:t>
      </w:r>
      <w:r w:rsidR="004B565B" w:rsidRPr="00183B5F">
        <w:rPr>
          <w:szCs w:val="22"/>
        </w:rPr>
        <w:t xml:space="preserve"> 80 mg (két darab 40 mg</w:t>
      </w:r>
      <w:r w:rsidR="004B565B" w:rsidRPr="00183B5F">
        <w:rPr>
          <w:szCs w:val="22"/>
        </w:rPr>
        <w:noBreakHyphen/>
        <w:t xml:space="preserve">os injekcióban beadva egyetlen napon) dózissal </w:t>
      </w:r>
      <w:r w:rsidRPr="00183B5F">
        <w:rPr>
          <w:szCs w:val="22"/>
        </w:rPr>
        <w:t>folytatva. Antibiotikum adása folytatható a Humira kezelés alatt,</w:t>
      </w:r>
      <w:r w:rsidR="00E040AF" w:rsidRPr="00183B5F">
        <w:t xml:space="preserve"> </w:t>
      </w:r>
      <w:r w:rsidRPr="00183B5F">
        <w:rPr>
          <w:szCs w:val="22"/>
        </w:rPr>
        <w:t xml:space="preserve">ha szükséges. Javasolt, hogy a betegek </w:t>
      </w:r>
      <w:r w:rsidR="006F4B23" w:rsidRPr="00183B5F">
        <w:rPr>
          <w:szCs w:val="22"/>
        </w:rPr>
        <w:t>naponta</w:t>
      </w:r>
      <w:r w:rsidRPr="00183B5F">
        <w:rPr>
          <w:szCs w:val="22"/>
        </w:rPr>
        <w:t xml:space="preserve"> helyi fertőtlenítő lemosót használjanak a HS léziókon a Humira kezelés ideje alatt.</w:t>
      </w:r>
    </w:p>
    <w:p w14:paraId="3F066EF3" w14:textId="77777777" w:rsidR="009A314C" w:rsidRPr="00183B5F" w:rsidRDefault="009A314C" w:rsidP="004062FE">
      <w:pPr>
        <w:spacing w:line="240" w:lineRule="auto"/>
        <w:rPr>
          <w:szCs w:val="22"/>
        </w:rPr>
      </w:pPr>
    </w:p>
    <w:p w14:paraId="74DB3252" w14:textId="77777777" w:rsidR="009A314C" w:rsidRPr="00183B5F" w:rsidRDefault="00943743" w:rsidP="004062FE">
      <w:pPr>
        <w:spacing w:line="240" w:lineRule="auto"/>
        <w:rPr>
          <w:szCs w:val="22"/>
        </w:rPr>
      </w:pPr>
      <w:r w:rsidRPr="00183B5F">
        <w:rPr>
          <w:szCs w:val="22"/>
        </w:rPr>
        <w:t>A kezelésre 12 hét alatt sem reagáló betegek esetében körültekintően át kell gondolni a terápia folytatását.</w:t>
      </w:r>
    </w:p>
    <w:p w14:paraId="18267006" w14:textId="77777777" w:rsidR="009A314C" w:rsidRPr="00183B5F" w:rsidRDefault="009A314C" w:rsidP="004062FE">
      <w:pPr>
        <w:spacing w:line="240" w:lineRule="auto"/>
        <w:rPr>
          <w:szCs w:val="22"/>
        </w:rPr>
      </w:pPr>
    </w:p>
    <w:p w14:paraId="15A44FF4" w14:textId="77777777" w:rsidR="009A314C" w:rsidRPr="00183B5F" w:rsidRDefault="00943743" w:rsidP="004062FE">
      <w:pPr>
        <w:spacing w:line="240" w:lineRule="auto"/>
        <w:rPr>
          <w:szCs w:val="22"/>
        </w:rPr>
      </w:pPr>
      <w:r w:rsidRPr="00183B5F">
        <w:rPr>
          <w:szCs w:val="22"/>
        </w:rPr>
        <w:t>Amennyiben a kezelés megszakad, heti 40 mg</w:t>
      </w:r>
      <w:r w:rsidR="00F13823" w:rsidRPr="00183B5F">
        <w:rPr>
          <w:szCs w:val="22"/>
        </w:rPr>
        <w:t xml:space="preserve"> vagy kéthetente</w:t>
      </w:r>
      <w:r w:rsidR="004B565B" w:rsidRPr="00183B5F">
        <w:rPr>
          <w:szCs w:val="22"/>
        </w:rPr>
        <w:t xml:space="preserve"> 80 mg</w:t>
      </w:r>
      <w:r w:rsidRPr="00183B5F">
        <w:rPr>
          <w:szCs w:val="22"/>
        </w:rPr>
        <w:t xml:space="preserve"> Humira adása újrakezdhető (lásd 5.1 pont).</w:t>
      </w:r>
    </w:p>
    <w:p w14:paraId="5B9BF8D7" w14:textId="77777777" w:rsidR="009A314C" w:rsidRPr="00183B5F" w:rsidRDefault="009A314C" w:rsidP="004062FE">
      <w:pPr>
        <w:spacing w:line="240" w:lineRule="auto"/>
        <w:rPr>
          <w:szCs w:val="22"/>
        </w:rPr>
      </w:pPr>
    </w:p>
    <w:p w14:paraId="09A62899" w14:textId="77777777" w:rsidR="009A314C" w:rsidRPr="00183B5F" w:rsidRDefault="00943743" w:rsidP="004062FE">
      <w:pPr>
        <w:spacing w:line="240" w:lineRule="auto"/>
        <w:rPr>
          <w:szCs w:val="22"/>
        </w:rPr>
      </w:pPr>
      <w:r w:rsidRPr="00183B5F">
        <w:rPr>
          <w:szCs w:val="22"/>
        </w:rPr>
        <w:t>A hosszú távú kezelés előnyeit és kockázatát időszakosan mérlegelni kell (lásd 5.1 pont).</w:t>
      </w:r>
    </w:p>
    <w:p w14:paraId="46703CEA" w14:textId="77777777" w:rsidR="004B565B" w:rsidRPr="00183B5F" w:rsidRDefault="004B565B" w:rsidP="004062FE">
      <w:pPr>
        <w:spacing w:line="240" w:lineRule="auto"/>
        <w:rPr>
          <w:szCs w:val="22"/>
        </w:rPr>
      </w:pPr>
    </w:p>
    <w:p w14:paraId="5ADDB3D9" w14:textId="77777777" w:rsidR="004B565B" w:rsidRPr="00183B5F" w:rsidRDefault="00943743" w:rsidP="004062FE">
      <w:pPr>
        <w:spacing w:line="240" w:lineRule="auto"/>
        <w:rPr>
          <w:szCs w:val="22"/>
        </w:rPr>
      </w:pPr>
      <w:r w:rsidRPr="00183B5F">
        <w:rPr>
          <w:szCs w:val="22"/>
        </w:rPr>
        <w:t>A Humira más hatáserősségben és/vagy kiszerelésben is elérhető az egyéni terápiás igényeknek megfelelően.</w:t>
      </w:r>
    </w:p>
    <w:p w14:paraId="064979AE" w14:textId="77777777" w:rsidR="004A3DBF" w:rsidRPr="00183B5F" w:rsidRDefault="004A3DBF" w:rsidP="004062FE">
      <w:pPr>
        <w:spacing w:line="240" w:lineRule="auto"/>
        <w:rPr>
          <w:szCs w:val="22"/>
        </w:rPr>
      </w:pPr>
    </w:p>
    <w:p w14:paraId="4BCDC6A0" w14:textId="77777777" w:rsidR="00D0403E" w:rsidRPr="00183B5F" w:rsidRDefault="00943743" w:rsidP="004062FE">
      <w:pPr>
        <w:keepNext/>
        <w:spacing w:line="240" w:lineRule="auto"/>
        <w:rPr>
          <w:i/>
          <w:szCs w:val="22"/>
        </w:rPr>
      </w:pPr>
      <w:r w:rsidRPr="00183B5F">
        <w:rPr>
          <w:i/>
          <w:szCs w:val="22"/>
        </w:rPr>
        <w:t>Crohn</w:t>
      </w:r>
      <w:r w:rsidRPr="00183B5F">
        <w:rPr>
          <w:i/>
          <w:szCs w:val="22"/>
        </w:rPr>
        <w:noBreakHyphen/>
        <w:t>betegség</w:t>
      </w:r>
    </w:p>
    <w:p w14:paraId="3049CDBB" w14:textId="77777777" w:rsidR="00D0403E" w:rsidRPr="00183B5F" w:rsidRDefault="00D0403E" w:rsidP="004062FE">
      <w:pPr>
        <w:keepNext/>
        <w:spacing w:line="240" w:lineRule="auto"/>
        <w:rPr>
          <w:szCs w:val="22"/>
        </w:rPr>
      </w:pPr>
    </w:p>
    <w:p w14:paraId="1A663E1A" w14:textId="77777777" w:rsidR="00D0403E" w:rsidRPr="00183B5F" w:rsidRDefault="00943743" w:rsidP="004062FE">
      <w:pPr>
        <w:keepNext/>
        <w:spacing w:line="240" w:lineRule="auto"/>
        <w:rPr>
          <w:szCs w:val="22"/>
        </w:rPr>
      </w:pPr>
      <w:r w:rsidRPr="00183B5F">
        <w:rPr>
          <w:szCs w:val="22"/>
        </w:rPr>
        <w:t>A Humira javasolt adagolása köz</w:t>
      </w:r>
      <w:r w:rsidR="00430282" w:rsidRPr="00183B5F">
        <w:rPr>
          <w:szCs w:val="22"/>
        </w:rPr>
        <w:t>e</w:t>
      </w:r>
      <w:r w:rsidRPr="00183B5F">
        <w:rPr>
          <w:szCs w:val="22"/>
        </w:rPr>
        <w:t>p</w:t>
      </w:r>
      <w:r w:rsidR="00430282" w:rsidRPr="00183B5F">
        <w:rPr>
          <w:szCs w:val="22"/>
        </w:rPr>
        <w:t xml:space="preserve">esen </w:t>
      </w:r>
      <w:r w:rsidRPr="00183B5F">
        <w:rPr>
          <w:szCs w:val="22"/>
        </w:rPr>
        <w:t>súlyos</w:t>
      </w:r>
      <w:r w:rsidR="00430282" w:rsidRPr="00183B5F">
        <w:rPr>
          <w:szCs w:val="22"/>
        </w:rPr>
        <w:t xml:space="preserve"> </w:t>
      </w:r>
      <w:r w:rsidR="00821DCB" w:rsidRPr="00183B5F">
        <w:rPr>
          <w:szCs w:val="22"/>
        </w:rPr>
        <w:t>–</w:t>
      </w:r>
      <w:r w:rsidR="00430282" w:rsidRPr="00183B5F">
        <w:rPr>
          <w:szCs w:val="22"/>
        </w:rPr>
        <w:t xml:space="preserve"> </w:t>
      </w:r>
      <w:r w:rsidRPr="00183B5F">
        <w:rPr>
          <w:szCs w:val="22"/>
        </w:rPr>
        <w:t>súlyos aktivitású Crohn</w:t>
      </w:r>
      <w:r w:rsidRPr="00183B5F">
        <w:rPr>
          <w:szCs w:val="22"/>
        </w:rPr>
        <w:noBreakHyphen/>
      </w:r>
      <w:r w:rsidRPr="00183B5F">
        <w:rPr>
          <w:szCs w:val="22"/>
        </w:rPr>
        <w:t>betegségben szenvedő felnőttek indukciós kezelésére 80 mg a 0. héten, majd 40 mg a 2. héten. Ha hamarabb szükséges elérni a terápiás hatást, akkor a készítmény alkalmazható a 0. héten 160 mg (</w:t>
      </w:r>
      <w:r w:rsidR="003A59FB" w:rsidRPr="00183B5F">
        <w:rPr>
          <w:szCs w:val="22"/>
        </w:rPr>
        <w:t>négy 40 mg</w:t>
      </w:r>
      <w:r w:rsidR="00CE0694" w:rsidRPr="00183B5F">
        <w:rPr>
          <w:szCs w:val="22"/>
        </w:rPr>
        <w:noBreakHyphen/>
      </w:r>
      <w:r w:rsidR="003A59FB" w:rsidRPr="00183B5F">
        <w:rPr>
          <w:szCs w:val="22"/>
        </w:rPr>
        <w:t xml:space="preserve">os </w:t>
      </w:r>
      <w:r w:rsidRPr="00183B5F">
        <w:rPr>
          <w:szCs w:val="22"/>
        </w:rPr>
        <w:t xml:space="preserve">injekcióban </w:t>
      </w:r>
      <w:r w:rsidR="003A59FB" w:rsidRPr="00183B5F">
        <w:rPr>
          <w:szCs w:val="22"/>
        </w:rPr>
        <w:t xml:space="preserve">beadva </w:t>
      </w:r>
      <w:r w:rsidRPr="00183B5F">
        <w:rPr>
          <w:szCs w:val="22"/>
        </w:rPr>
        <w:t xml:space="preserve">egyetlen napon, vagy napi </w:t>
      </w:r>
      <w:r w:rsidR="003A59FB" w:rsidRPr="00183B5F">
        <w:rPr>
          <w:szCs w:val="22"/>
        </w:rPr>
        <w:t>két</w:t>
      </w:r>
      <w:r w:rsidRPr="00183B5F">
        <w:rPr>
          <w:szCs w:val="22"/>
        </w:rPr>
        <w:t xml:space="preserve"> </w:t>
      </w:r>
      <w:r w:rsidR="003A59FB" w:rsidRPr="00183B5F">
        <w:rPr>
          <w:szCs w:val="22"/>
        </w:rPr>
        <w:t>40 mg</w:t>
      </w:r>
      <w:r w:rsidR="00CE0694" w:rsidRPr="00183B5F">
        <w:rPr>
          <w:szCs w:val="22"/>
        </w:rPr>
        <w:noBreakHyphen/>
      </w:r>
      <w:r w:rsidR="003A59FB" w:rsidRPr="00183B5F">
        <w:rPr>
          <w:szCs w:val="22"/>
        </w:rPr>
        <w:t xml:space="preserve">os </w:t>
      </w:r>
      <w:r w:rsidRPr="00183B5F">
        <w:rPr>
          <w:szCs w:val="22"/>
        </w:rPr>
        <w:t xml:space="preserve">injekcióban két egymást követő napon), </w:t>
      </w:r>
      <w:r w:rsidR="005737F4" w:rsidRPr="00183B5F">
        <w:rPr>
          <w:szCs w:val="22"/>
        </w:rPr>
        <w:t xml:space="preserve">majd </w:t>
      </w:r>
      <w:r w:rsidRPr="00183B5F">
        <w:rPr>
          <w:szCs w:val="22"/>
        </w:rPr>
        <w:t xml:space="preserve">a 2. héten 80 mg </w:t>
      </w:r>
      <w:r w:rsidR="003A59FB" w:rsidRPr="00183B5F">
        <w:rPr>
          <w:szCs w:val="22"/>
        </w:rPr>
        <w:t>(két 40 mg</w:t>
      </w:r>
      <w:r w:rsidR="00CE0694" w:rsidRPr="00183B5F">
        <w:rPr>
          <w:szCs w:val="22"/>
        </w:rPr>
        <w:noBreakHyphen/>
      </w:r>
      <w:r w:rsidR="003A59FB" w:rsidRPr="00183B5F">
        <w:rPr>
          <w:szCs w:val="22"/>
        </w:rPr>
        <w:t xml:space="preserve">os injekcióban beadva egyetlen napon) </w:t>
      </w:r>
      <w:r w:rsidRPr="00183B5F">
        <w:rPr>
          <w:szCs w:val="22"/>
        </w:rPr>
        <w:t>dózisban annak tudatában, hogy az indukciós kezelés során nagyobb a mellékhatások kockázata.</w:t>
      </w:r>
    </w:p>
    <w:p w14:paraId="5F6923A4" w14:textId="77777777" w:rsidR="00D0403E" w:rsidRPr="00183B5F" w:rsidRDefault="00D0403E" w:rsidP="004062FE">
      <w:pPr>
        <w:spacing w:line="240" w:lineRule="auto"/>
        <w:rPr>
          <w:szCs w:val="22"/>
        </w:rPr>
      </w:pPr>
    </w:p>
    <w:p w14:paraId="5F892D42" w14:textId="77777777" w:rsidR="00D0403E" w:rsidRPr="00183B5F" w:rsidRDefault="00943743" w:rsidP="004062FE">
      <w:pPr>
        <w:spacing w:line="240" w:lineRule="auto"/>
        <w:rPr>
          <w:szCs w:val="22"/>
        </w:rPr>
      </w:pPr>
      <w:r w:rsidRPr="00183B5F">
        <w:rPr>
          <w:szCs w:val="22"/>
        </w:rPr>
        <w:t xml:space="preserve">Az indukciós kezelést követően a javasolt adag 40 mg minden második héten, subcután injekcióban. Ha a betegnél abbahagyták a Humira alkalmazását, és kiújulnak a betegség okozta </w:t>
      </w:r>
      <w:r w:rsidR="00D02F61" w:rsidRPr="00183B5F">
        <w:rPr>
          <w:szCs w:val="22"/>
        </w:rPr>
        <w:t xml:space="preserve">jelek </w:t>
      </w:r>
      <w:r w:rsidRPr="00183B5F">
        <w:rPr>
          <w:szCs w:val="22"/>
        </w:rPr>
        <w:t>és tünetek, újrakezdhető a Humira adása. Kevés a tapasztalat a kezelés újrakezdésével, ha az előző dózis beadása után 8 hétnél hosszabb idő telt el.</w:t>
      </w:r>
    </w:p>
    <w:p w14:paraId="2C9A1F49" w14:textId="77777777" w:rsidR="00D0403E" w:rsidRPr="00183B5F" w:rsidRDefault="00D0403E" w:rsidP="004062FE">
      <w:pPr>
        <w:spacing w:line="240" w:lineRule="auto"/>
        <w:rPr>
          <w:szCs w:val="22"/>
        </w:rPr>
      </w:pPr>
    </w:p>
    <w:p w14:paraId="2FAEF2FC" w14:textId="77777777" w:rsidR="00D0403E" w:rsidRPr="00183B5F" w:rsidRDefault="00943743" w:rsidP="004062FE">
      <w:pPr>
        <w:spacing w:line="240" w:lineRule="auto"/>
        <w:rPr>
          <w:szCs w:val="22"/>
        </w:rPr>
      </w:pPr>
      <w:r w:rsidRPr="00183B5F">
        <w:rPr>
          <w:szCs w:val="22"/>
        </w:rPr>
        <w:t>A fenntartó kezelés során a kortikoszteroidokat a klinikai irányelvekkel összhangban fokozatosan csökkenteni lehet.</w:t>
      </w:r>
    </w:p>
    <w:p w14:paraId="65AC819D" w14:textId="77777777" w:rsidR="00714344" w:rsidRPr="00183B5F" w:rsidRDefault="00714344" w:rsidP="004062FE">
      <w:pPr>
        <w:spacing w:line="240" w:lineRule="auto"/>
        <w:rPr>
          <w:szCs w:val="22"/>
        </w:rPr>
      </w:pPr>
    </w:p>
    <w:p w14:paraId="25F55C99" w14:textId="77777777" w:rsidR="00D0403E" w:rsidRPr="00183B5F" w:rsidRDefault="00943743" w:rsidP="004062FE">
      <w:pPr>
        <w:spacing w:line="240" w:lineRule="auto"/>
        <w:rPr>
          <w:szCs w:val="22"/>
        </w:rPr>
      </w:pPr>
      <w:r w:rsidRPr="00183B5F">
        <w:rPr>
          <w:szCs w:val="22"/>
        </w:rPr>
        <w:t>Azoknál a betegeknél, akiknél csökken a</w:t>
      </w:r>
      <w:r w:rsidR="003A59FB" w:rsidRPr="00183B5F">
        <w:rPr>
          <w:szCs w:val="22"/>
        </w:rPr>
        <w:t xml:space="preserve"> </w:t>
      </w:r>
      <w:r w:rsidR="00C35B94" w:rsidRPr="00183B5F">
        <w:rPr>
          <w:szCs w:val="22"/>
        </w:rPr>
        <w:t xml:space="preserve">minden második héten alkalmazott 40 mg Humira mellett a </w:t>
      </w:r>
      <w:r w:rsidRPr="00183B5F">
        <w:rPr>
          <w:szCs w:val="22"/>
        </w:rPr>
        <w:t>terápiás hatás, előnyös lehet a Humira adagolási gyakoriságát heti 40 mg</w:t>
      </w:r>
      <w:r w:rsidR="00E5381A" w:rsidRPr="00183B5F">
        <w:rPr>
          <w:szCs w:val="22"/>
        </w:rPr>
        <w:noBreakHyphen/>
      </w:r>
      <w:r w:rsidRPr="00183B5F">
        <w:rPr>
          <w:szCs w:val="22"/>
        </w:rPr>
        <w:t>ra</w:t>
      </w:r>
      <w:r w:rsidR="003A59FB" w:rsidRPr="00183B5F">
        <w:rPr>
          <w:szCs w:val="22"/>
        </w:rPr>
        <w:t xml:space="preserve"> vagy kéthetente 80 mg</w:t>
      </w:r>
      <w:r w:rsidR="00CE0694" w:rsidRPr="00183B5F">
        <w:rPr>
          <w:szCs w:val="22"/>
        </w:rPr>
        <w:noBreakHyphen/>
      </w:r>
      <w:r w:rsidR="003A59FB" w:rsidRPr="00183B5F">
        <w:rPr>
          <w:szCs w:val="22"/>
        </w:rPr>
        <w:t>ra</w:t>
      </w:r>
      <w:r w:rsidRPr="00183B5F">
        <w:rPr>
          <w:szCs w:val="22"/>
        </w:rPr>
        <w:t xml:space="preserve"> emelni.</w:t>
      </w:r>
    </w:p>
    <w:p w14:paraId="50EE1706" w14:textId="77777777" w:rsidR="00D0403E" w:rsidRPr="00183B5F" w:rsidRDefault="00D0403E" w:rsidP="004062FE">
      <w:pPr>
        <w:spacing w:line="240" w:lineRule="auto"/>
        <w:rPr>
          <w:szCs w:val="22"/>
        </w:rPr>
      </w:pPr>
    </w:p>
    <w:p w14:paraId="58F618EB" w14:textId="77777777" w:rsidR="00D0403E" w:rsidRPr="00183B5F" w:rsidRDefault="00943743" w:rsidP="004062FE">
      <w:pPr>
        <w:spacing w:line="240" w:lineRule="auto"/>
        <w:rPr>
          <w:szCs w:val="22"/>
        </w:rPr>
      </w:pPr>
      <w:r w:rsidRPr="00183B5F">
        <w:rPr>
          <w:szCs w:val="22"/>
        </w:rPr>
        <w:t>Azoknál a betegeknél, akiknél a kezelés 4. hetéig nem jelentkezik terápiás hatás, előnyös lehet a fenntartó kezelést folytatása a 12. hétig. A kezelésre ennyi idő alatt sem reagáló betegek esetében körültekintően át kell gondolni a terápia folytatását.</w:t>
      </w:r>
    </w:p>
    <w:p w14:paraId="7426E41B" w14:textId="77777777" w:rsidR="003A59FB" w:rsidRPr="00183B5F" w:rsidRDefault="003A59FB" w:rsidP="003A59FB">
      <w:pPr>
        <w:spacing w:line="240" w:lineRule="auto"/>
        <w:rPr>
          <w:szCs w:val="22"/>
        </w:rPr>
      </w:pPr>
    </w:p>
    <w:p w14:paraId="1309DFDD" w14:textId="77777777" w:rsidR="00D0403E" w:rsidRPr="00183B5F" w:rsidRDefault="00943743" w:rsidP="004062FE">
      <w:pPr>
        <w:spacing w:line="240" w:lineRule="auto"/>
        <w:rPr>
          <w:szCs w:val="22"/>
          <w:u w:val="single"/>
        </w:rPr>
      </w:pPr>
      <w:r w:rsidRPr="00183B5F">
        <w:rPr>
          <w:szCs w:val="22"/>
        </w:rPr>
        <w:t>A Humira más hatáserősségben és/vagy kiszerelésben is elérhető az egyéni terápiás igényeknek megfelelően.</w:t>
      </w:r>
    </w:p>
    <w:p w14:paraId="7CDDE518" w14:textId="77777777" w:rsidR="003A59FB" w:rsidRPr="00183B5F" w:rsidRDefault="003A59FB" w:rsidP="004062FE">
      <w:pPr>
        <w:spacing w:line="240" w:lineRule="auto"/>
        <w:rPr>
          <w:szCs w:val="22"/>
          <w:u w:val="single"/>
        </w:rPr>
      </w:pPr>
    </w:p>
    <w:p w14:paraId="67AAB251" w14:textId="77777777" w:rsidR="00D0403E" w:rsidRPr="00183B5F" w:rsidRDefault="00943743" w:rsidP="004062FE">
      <w:pPr>
        <w:spacing w:line="240" w:lineRule="auto"/>
        <w:rPr>
          <w:i/>
          <w:szCs w:val="22"/>
        </w:rPr>
      </w:pPr>
      <w:r w:rsidRPr="00183B5F">
        <w:rPr>
          <w:i/>
          <w:szCs w:val="22"/>
        </w:rPr>
        <w:t>Colitis ulcerosa</w:t>
      </w:r>
    </w:p>
    <w:p w14:paraId="1A87BD25" w14:textId="77777777" w:rsidR="00D0403E" w:rsidRPr="00183B5F" w:rsidRDefault="00D0403E" w:rsidP="004062FE">
      <w:pPr>
        <w:spacing w:line="240" w:lineRule="auto"/>
        <w:rPr>
          <w:szCs w:val="22"/>
        </w:rPr>
      </w:pPr>
    </w:p>
    <w:p w14:paraId="6470079C" w14:textId="77777777" w:rsidR="00D0403E" w:rsidRPr="00183B5F" w:rsidRDefault="00943743" w:rsidP="004062FE">
      <w:pPr>
        <w:spacing w:line="240" w:lineRule="auto"/>
        <w:rPr>
          <w:szCs w:val="22"/>
        </w:rPr>
      </w:pPr>
      <w:r w:rsidRPr="00183B5F">
        <w:rPr>
          <w:szCs w:val="22"/>
        </w:rPr>
        <w:t>A Humira javasolt adagolása köz</w:t>
      </w:r>
      <w:r w:rsidR="0011114B" w:rsidRPr="00183B5F">
        <w:rPr>
          <w:szCs w:val="22"/>
        </w:rPr>
        <w:t xml:space="preserve">epesen </w:t>
      </w:r>
      <w:r w:rsidRPr="00183B5F">
        <w:rPr>
          <w:szCs w:val="22"/>
        </w:rPr>
        <w:t>súlyos-súlyos colitis ulcerosában szenvedő felnőttek indukciós kezelésére 160 mg a 0. héten (</w:t>
      </w:r>
      <w:r w:rsidR="003A59FB" w:rsidRPr="00183B5F">
        <w:rPr>
          <w:szCs w:val="22"/>
        </w:rPr>
        <w:t>négy 40 mg</w:t>
      </w:r>
      <w:r w:rsidR="00CE0694" w:rsidRPr="00183B5F">
        <w:rPr>
          <w:szCs w:val="22"/>
        </w:rPr>
        <w:noBreakHyphen/>
      </w:r>
      <w:r w:rsidR="003A59FB" w:rsidRPr="00183B5F">
        <w:rPr>
          <w:szCs w:val="22"/>
        </w:rPr>
        <w:t>os</w:t>
      </w:r>
      <w:r w:rsidRPr="00183B5F">
        <w:rPr>
          <w:szCs w:val="22"/>
        </w:rPr>
        <w:t xml:space="preserve"> injekcióban egyetlen napon vagy napi </w:t>
      </w:r>
      <w:r w:rsidR="003A59FB" w:rsidRPr="00183B5F">
        <w:rPr>
          <w:szCs w:val="22"/>
        </w:rPr>
        <w:t>két 40 mg</w:t>
      </w:r>
      <w:r w:rsidR="00E5381A" w:rsidRPr="00183B5F">
        <w:rPr>
          <w:szCs w:val="22"/>
        </w:rPr>
        <w:noBreakHyphen/>
      </w:r>
      <w:r w:rsidR="003A59FB" w:rsidRPr="00183B5F">
        <w:rPr>
          <w:szCs w:val="22"/>
        </w:rPr>
        <w:t>os</w:t>
      </w:r>
      <w:r w:rsidRPr="00183B5F">
        <w:rPr>
          <w:szCs w:val="22"/>
        </w:rPr>
        <w:t xml:space="preserve"> injekcióban két egymást követő napon), majd 80 mg a 2. </w:t>
      </w:r>
      <w:r w:rsidR="003A59FB" w:rsidRPr="00183B5F">
        <w:rPr>
          <w:szCs w:val="22"/>
        </w:rPr>
        <w:t>h</w:t>
      </w:r>
      <w:r w:rsidRPr="00183B5F">
        <w:rPr>
          <w:szCs w:val="22"/>
        </w:rPr>
        <w:t>éten</w:t>
      </w:r>
      <w:r w:rsidR="003A59FB" w:rsidRPr="00183B5F">
        <w:rPr>
          <w:szCs w:val="22"/>
        </w:rPr>
        <w:t xml:space="preserve"> (két 40 mg</w:t>
      </w:r>
      <w:r w:rsidR="00E5381A" w:rsidRPr="00183B5F">
        <w:rPr>
          <w:szCs w:val="22"/>
        </w:rPr>
        <w:noBreakHyphen/>
      </w:r>
      <w:r w:rsidR="003A59FB" w:rsidRPr="00183B5F">
        <w:rPr>
          <w:szCs w:val="22"/>
        </w:rPr>
        <w:t>os injekcióban egyetlen napon)</w:t>
      </w:r>
      <w:r w:rsidRPr="00183B5F">
        <w:rPr>
          <w:szCs w:val="22"/>
        </w:rPr>
        <w:t>. Az indukciós kezelést követően a javasolt adag 40 mg minden második héten, subcutan injekcióban.</w:t>
      </w:r>
    </w:p>
    <w:p w14:paraId="38E0DD57" w14:textId="77777777" w:rsidR="00D0403E" w:rsidRPr="00183B5F" w:rsidRDefault="00D0403E" w:rsidP="004062FE">
      <w:pPr>
        <w:spacing w:line="240" w:lineRule="auto"/>
        <w:rPr>
          <w:szCs w:val="22"/>
        </w:rPr>
      </w:pPr>
    </w:p>
    <w:p w14:paraId="25981B23" w14:textId="77777777" w:rsidR="00D0403E" w:rsidRPr="00183B5F" w:rsidRDefault="00943743" w:rsidP="004062FE">
      <w:pPr>
        <w:spacing w:line="240" w:lineRule="auto"/>
        <w:rPr>
          <w:szCs w:val="22"/>
        </w:rPr>
      </w:pPr>
      <w:r w:rsidRPr="00183B5F">
        <w:rPr>
          <w:szCs w:val="22"/>
        </w:rPr>
        <w:t>A fenntartó kezelés során a kortikoszteroidokat a klinikai irányelvekkel összhangban fokozatosan csökkenteni lehet.</w:t>
      </w:r>
    </w:p>
    <w:p w14:paraId="5755E0F6" w14:textId="77777777" w:rsidR="00D0403E" w:rsidRPr="00183B5F" w:rsidRDefault="00D0403E" w:rsidP="004062FE">
      <w:pPr>
        <w:spacing w:line="240" w:lineRule="auto"/>
        <w:rPr>
          <w:szCs w:val="22"/>
        </w:rPr>
      </w:pPr>
    </w:p>
    <w:p w14:paraId="14A40FA4" w14:textId="77777777" w:rsidR="00D0403E" w:rsidRPr="00183B5F" w:rsidRDefault="00943743" w:rsidP="004062FE">
      <w:pPr>
        <w:spacing w:line="240" w:lineRule="auto"/>
        <w:rPr>
          <w:szCs w:val="22"/>
        </w:rPr>
      </w:pPr>
      <w:r w:rsidRPr="00183B5F">
        <w:rPr>
          <w:szCs w:val="22"/>
        </w:rPr>
        <w:t>Azoknál a betegeknél, akiknél csökken a</w:t>
      </w:r>
      <w:r w:rsidR="003A59FB" w:rsidRPr="00183B5F">
        <w:rPr>
          <w:szCs w:val="22"/>
        </w:rPr>
        <w:t xml:space="preserve"> minden második héten alkalmazott 40 mg Humira mellett a</w:t>
      </w:r>
      <w:r w:rsidRPr="00183B5F">
        <w:rPr>
          <w:szCs w:val="22"/>
        </w:rPr>
        <w:t xml:space="preserve"> terápiás hatás, előnyös lehet a Humira adagolási gyakoriságát heti 40 mg</w:t>
      </w:r>
      <w:r w:rsidR="00E5381A" w:rsidRPr="00183B5F">
        <w:rPr>
          <w:szCs w:val="22"/>
        </w:rPr>
        <w:noBreakHyphen/>
      </w:r>
      <w:r w:rsidRPr="00183B5F">
        <w:rPr>
          <w:szCs w:val="22"/>
        </w:rPr>
        <w:t>ra</w:t>
      </w:r>
      <w:r w:rsidR="003A59FB" w:rsidRPr="00183B5F">
        <w:rPr>
          <w:szCs w:val="22"/>
        </w:rPr>
        <w:t xml:space="preserve"> vagy kéthetente 80 mg</w:t>
      </w:r>
      <w:r w:rsidR="002C5457" w:rsidRPr="00183B5F">
        <w:rPr>
          <w:szCs w:val="22"/>
        </w:rPr>
        <w:noBreakHyphen/>
      </w:r>
      <w:r w:rsidR="003A59FB" w:rsidRPr="00183B5F">
        <w:rPr>
          <w:szCs w:val="22"/>
        </w:rPr>
        <w:t>ra</w:t>
      </w:r>
      <w:r w:rsidRPr="00183B5F">
        <w:rPr>
          <w:szCs w:val="22"/>
        </w:rPr>
        <w:t xml:space="preserve"> emelni.</w:t>
      </w:r>
    </w:p>
    <w:p w14:paraId="74F8CAFC" w14:textId="77777777" w:rsidR="00D0403E" w:rsidRPr="00183B5F" w:rsidRDefault="00D0403E" w:rsidP="004062FE">
      <w:pPr>
        <w:spacing w:line="240" w:lineRule="auto"/>
        <w:rPr>
          <w:szCs w:val="22"/>
        </w:rPr>
      </w:pPr>
    </w:p>
    <w:p w14:paraId="07901F89" w14:textId="77777777" w:rsidR="00D0403E" w:rsidRPr="00183B5F" w:rsidRDefault="00943743" w:rsidP="004062FE">
      <w:pPr>
        <w:spacing w:line="240" w:lineRule="auto"/>
        <w:rPr>
          <w:szCs w:val="22"/>
        </w:rPr>
      </w:pPr>
      <w:r w:rsidRPr="00183B5F">
        <w:rPr>
          <w:szCs w:val="22"/>
        </w:rPr>
        <w:t>A rendelkezésre álló adatok alapján a kezelésre adott klinikai választ általában 2-8 héten belül elérik. Azoknál a betegeknél, akik nem reagálnak ennyi idő alatt a terápiára, a Humira</w:t>
      </w:r>
      <w:r w:rsidRPr="00183B5F">
        <w:rPr>
          <w:szCs w:val="22"/>
        </w:rPr>
        <w:noBreakHyphen/>
        <w:t>kezelés folytatása nem javasolt.</w:t>
      </w:r>
    </w:p>
    <w:p w14:paraId="3F167328" w14:textId="77777777" w:rsidR="002D4DAC" w:rsidRPr="00183B5F" w:rsidRDefault="002D4DAC" w:rsidP="004062FE">
      <w:pPr>
        <w:spacing w:line="240" w:lineRule="auto"/>
        <w:rPr>
          <w:i/>
          <w:szCs w:val="22"/>
        </w:rPr>
      </w:pPr>
    </w:p>
    <w:p w14:paraId="5B4C9BB3" w14:textId="77777777" w:rsidR="003A59FB" w:rsidRPr="00183B5F" w:rsidRDefault="00943743" w:rsidP="004062FE">
      <w:pPr>
        <w:spacing w:line="240" w:lineRule="auto"/>
        <w:rPr>
          <w:i/>
          <w:szCs w:val="22"/>
        </w:rPr>
      </w:pPr>
      <w:r w:rsidRPr="00183B5F">
        <w:rPr>
          <w:szCs w:val="22"/>
        </w:rPr>
        <w:t>A Humira más hatáserősségben és/vagy kiszerelésben is elérhető az egyéni terápiás igényeknek megfelelően.</w:t>
      </w:r>
    </w:p>
    <w:p w14:paraId="24FDF786" w14:textId="77777777" w:rsidR="003A59FB" w:rsidRPr="00183B5F" w:rsidRDefault="003A59FB" w:rsidP="004062FE">
      <w:pPr>
        <w:spacing w:line="240" w:lineRule="auto"/>
        <w:rPr>
          <w:i/>
          <w:szCs w:val="22"/>
        </w:rPr>
      </w:pPr>
    </w:p>
    <w:p w14:paraId="3E0D8CD2" w14:textId="77777777" w:rsidR="002D4DAC" w:rsidRPr="00183B5F" w:rsidRDefault="00943743" w:rsidP="00832DC3">
      <w:pPr>
        <w:keepNext/>
        <w:spacing w:line="240" w:lineRule="auto"/>
        <w:rPr>
          <w:i/>
          <w:szCs w:val="22"/>
        </w:rPr>
      </w:pPr>
      <w:r w:rsidRPr="00183B5F">
        <w:rPr>
          <w:i/>
          <w:szCs w:val="22"/>
        </w:rPr>
        <w:t>Uveitis</w:t>
      </w:r>
    </w:p>
    <w:p w14:paraId="28E03686" w14:textId="77777777" w:rsidR="002D4DAC" w:rsidRPr="00183B5F" w:rsidRDefault="002D4DAC" w:rsidP="00832DC3">
      <w:pPr>
        <w:keepNext/>
        <w:spacing w:line="240" w:lineRule="auto"/>
        <w:rPr>
          <w:szCs w:val="22"/>
        </w:rPr>
      </w:pPr>
    </w:p>
    <w:p w14:paraId="3C986B2D" w14:textId="77777777" w:rsidR="002D4DAC" w:rsidRPr="00183B5F" w:rsidRDefault="00943743" w:rsidP="004062FE">
      <w:pPr>
        <w:spacing w:line="240" w:lineRule="auto"/>
        <w:rPr>
          <w:szCs w:val="22"/>
        </w:rPr>
      </w:pPr>
      <w:r w:rsidRPr="00183B5F">
        <w:rPr>
          <w:szCs w:val="22"/>
        </w:rPr>
        <w:t>A Humira javasolt adagja uveitisben szenvedő felnőtt betegeknél</w:t>
      </w:r>
      <w:r w:rsidR="00187ABC" w:rsidRPr="00183B5F">
        <w:rPr>
          <w:szCs w:val="22"/>
        </w:rPr>
        <w:t>:</w:t>
      </w:r>
      <w:r w:rsidRPr="00183B5F">
        <w:rPr>
          <w:szCs w:val="22"/>
        </w:rPr>
        <w:t xml:space="preserve"> a kezdő dózis 80 mg, melyet a kezdő adag beadásától számított egy hét múlva minden második héten beadott 40 mg követ. Korlátozott tapasztalat áll rendelkezésre a Humira</w:t>
      </w:r>
      <w:r w:rsidRPr="00183B5F">
        <w:rPr>
          <w:szCs w:val="22"/>
        </w:rPr>
        <w:noBreakHyphen/>
        <w:t>kezelés monoterápiában történő megkezdésével kapcsolatban. A Humira</w:t>
      </w:r>
      <w:r w:rsidRPr="00183B5F">
        <w:rPr>
          <w:szCs w:val="22"/>
        </w:rPr>
        <w:noBreakHyphen/>
        <w:t>val való kezelés megkezdhető kortikoszteroiddal és/vagy egyéb</w:t>
      </w:r>
      <w:r w:rsidR="006F15A9" w:rsidRPr="00183B5F">
        <w:rPr>
          <w:szCs w:val="22"/>
        </w:rPr>
        <w:t>,</w:t>
      </w:r>
      <w:r w:rsidRPr="00183B5F">
        <w:rPr>
          <w:szCs w:val="22"/>
        </w:rPr>
        <w:t xml:space="preserve"> nem biológiai immunmodulátor szerrel kombinációban. Az együttadott kortikoszteroid fokozatos dóziscsökkentését két héttel a Humira</w:t>
      </w:r>
      <w:r w:rsidRPr="00183B5F">
        <w:rPr>
          <w:szCs w:val="22"/>
        </w:rPr>
        <w:noBreakHyphen/>
        <w:t>kezelés elkezdése után lehet elkezdeni, a klinikai gyakorlatnak megfelelően.</w:t>
      </w:r>
    </w:p>
    <w:p w14:paraId="3E54758A" w14:textId="77777777" w:rsidR="002D4DAC" w:rsidRPr="00183B5F" w:rsidRDefault="002D4DAC" w:rsidP="004062FE">
      <w:pPr>
        <w:spacing w:line="240" w:lineRule="auto"/>
        <w:rPr>
          <w:szCs w:val="22"/>
        </w:rPr>
      </w:pPr>
    </w:p>
    <w:p w14:paraId="492E00F4" w14:textId="77777777" w:rsidR="002D4DAC" w:rsidRPr="00183B5F" w:rsidRDefault="00943743" w:rsidP="004062FE">
      <w:pPr>
        <w:spacing w:line="240" w:lineRule="auto"/>
        <w:rPr>
          <w:szCs w:val="22"/>
        </w:rPr>
      </w:pPr>
      <w:r w:rsidRPr="00183B5F">
        <w:rPr>
          <w:szCs w:val="22"/>
        </w:rPr>
        <w:t>Javasolt a hosszú távú kezelés előnyeinek és kockázatának évente történő értékelése (lásd 5.1 pont).</w:t>
      </w:r>
    </w:p>
    <w:p w14:paraId="04E777F8" w14:textId="77777777" w:rsidR="003A59FB" w:rsidRPr="00183B5F" w:rsidRDefault="003A59FB" w:rsidP="004062FE">
      <w:pPr>
        <w:spacing w:line="240" w:lineRule="auto"/>
        <w:rPr>
          <w:szCs w:val="22"/>
        </w:rPr>
      </w:pPr>
    </w:p>
    <w:p w14:paraId="3EF22B14" w14:textId="77777777" w:rsidR="003A59FB" w:rsidRPr="00183B5F" w:rsidRDefault="00943743" w:rsidP="004062FE">
      <w:pPr>
        <w:spacing w:line="240" w:lineRule="auto"/>
        <w:rPr>
          <w:i/>
          <w:szCs w:val="22"/>
        </w:rPr>
      </w:pPr>
      <w:r w:rsidRPr="00183B5F">
        <w:rPr>
          <w:szCs w:val="22"/>
        </w:rPr>
        <w:t>A Humira más hatáserősségben és/vagy kiszerelésben is elérhető az egyéni terápiás igényeknek megfelelően.</w:t>
      </w:r>
    </w:p>
    <w:p w14:paraId="6B6B6AC4" w14:textId="77777777" w:rsidR="00DF0CD9" w:rsidRPr="00183B5F" w:rsidRDefault="00DF0CD9" w:rsidP="004062FE">
      <w:pPr>
        <w:keepNext/>
        <w:spacing w:line="240" w:lineRule="auto"/>
        <w:rPr>
          <w:szCs w:val="22"/>
          <w:u w:val="single"/>
        </w:rPr>
      </w:pPr>
    </w:p>
    <w:p w14:paraId="12EBCC81" w14:textId="77777777" w:rsidR="00DF0CD9" w:rsidRPr="00183B5F" w:rsidRDefault="00943743" w:rsidP="004062FE">
      <w:pPr>
        <w:keepNext/>
        <w:spacing w:line="240" w:lineRule="auto"/>
        <w:rPr>
          <w:szCs w:val="22"/>
          <w:u w:val="single"/>
        </w:rPr>
      </w:pPr>
      <w:r w:rsidRPr="00183B5F">
        <w:rPr>
          <w:szCs w:val="22"/>
          <w:u w:val="single"/>
        </w:rPr>
        <w:t>Különleges betegcsoportok</w:t>
      </w:r>
    </w:p>
    <w:p w14:paraId="7B112888" w14:textId="77777777" w:rsidR="00D0403E" w:rsidRPr="00183B5F" w:rsidRDefault="00D0403E" w:rsidP="004062FE">
      <w:pPr>
        <w:spacing w:line="240" w:lineRule="auto"/>
        <w:rPr>
          <w:szCs w:val="22"/>
        </w:rPr>
      </w:pPr>
    </w:p>
    <w:p w14:paraId="5C4CE809" w14:textId="77777777" w:rsidR="00D0403E" w:rsidRPr="00183B5F" w:rsidRDefault="00943743" w:rsidP="004062FE">
      <w:pPr>
        <w:spacing w:line="240" w:lineRule="auto"/>
        <w:ind w:left="567" w:hanging="567"/>
        <w:rPr>
          <w:szCs w:val="22"/>
        </w:rPr>
      </w:pPr>
      <w:r w:rsidRPr="00183B5F">
        <w:rPr>
          <w:szCs w:val="22"/>
        </w:rPr>
        <w:t>Idősek</w:t>
      </w:r>
    </w:p>
    <w:p w14:paraId="0D6E7A36" w14:textId="77777777" w:rsidR="00D0403E" w:rsidRPr="00183B5F" w:rsidRDefault="00D0403E" w:rsidP="004062FE">
      <w:pPr>
        <w:spacing w:line="240" w:lineRule="auto"/>
        <w:ind w:left="567" w:hanging="567"/>
        <w:rPr>
          <w:b/>
          <w:szCs w:val="22"/>
        </w:rPr>
      </w:pPr>
    </w:p>
    <w:p w14:paraId="62533465" w14:textId="77777777" w:rsidR="00D0403E" w:rsidRPr="00183B5F" w:rsidRDefault="00943743" w:rsidP="004062FE">
      <w:pPr>
        <w:spacing w:line="240" w:lineRule="auto"/>
        <w:ind w:left="567" w:hanging="567"/>
        <w:rPr>
          <w:szCs w:val="22"/>
        </w:rPr>
      </w:pPr>
      <w:r w:rsidRPr="00183B5F">
        <w:rPr>
          <w:szCs w:val="22"/>
        </w:rPr>
        <w:t>Az adagolás megváltoztatása nem szükséges.</w:t>
      </w:r>
    </w:p>
    <w:p w14:paraId="2D0DEB2C" w14:textId="77777777" w:rsidR="00D0403E" w:rsidRPr="00183B5F" w:rsidRDefault="00D0403E" w:rsidP="004062FE">
      <w:pPr>
        <w:spacing w:line="240" w:lineRule="auto"/>
        <w:ind w:left="567" w:hanging="567"/>
        <w:rPr>
          <w:b/>
          <w:szCs w:val="22"/>
        </w:rPr>
      </w:pPr>
    </w:p>
    <w:p w14:paraId="0A03C0B8" w14:textId="77777777" w:rsidR="00D0403E" w:rsidRPr="00183B5F" w:rsidRDefault="00943743" w:rsidP="004062FE">
      <w:pPr>
        <w:spacing w:line="240" w:lineRule="auto"/>
        <w:rPr>
          <w:szCs w:val="22"/>
        </w:rPr>
      </w:pPr>
      <w:r w:rsidRPr="00183B5F">
        <w:rPr>
          <w:szCs w:val="22"/>
        </w:rPr>
        <w:t>Vese</w:t>
      </w:r>
      <w:r w:rsidRPr="00183B5F">
        <w:rPr>
          <w:szCs w:val="22"/>
        </w:rPr>
        <w:noBreakHyphen/>
        <w:t xml:space="preserve"> és/vagy májkárosodás</w:t>
      </w:r>
    </w:p>
    <w:p w14:paraId="4D04FC21" w14:textId="77777777" w:rsidR="00D0403E" w:rsidRPr="00183B5F" w:rsidRDefault="00D0403E" w:rsidP="004062FE">
      <w:pPr>
        <w:spacing w:line="240" w:lineRule="auto"/>
        <w:rPr>
          <w:szCs w:val="22"/>
          <w:u w:val="single"/>
        </w:rPr>
      </w:pPr>
    </w:p>
    <w:p w14:paraId="53495B0C" w14:textId="77777777" w:rsidR="00D0403E" w:rsidRPr="00183B5F" w:rsidRDefault="00943743" w:rsidP="004062FE">
      <w:pPr>
        <w:pStyle w:val="EndnoteText"/>
        <w:tabs>
          <w:tab w:val="clear" w:pos="567"/>
        </w:tabs>
        <w:suppressAutoHyphens/>
        <w:rPr>
          <w:noProof/>
          <w:sz w:val="22"/>
          <w:szCs w:val="22"/>
          <w:lang w:val="hu-HU"/>
        </w:rPr>
      </w:pPr>
      <w:r w:rsidRPr="00183B5F">
        <w:rPr>
          <w:sz w:val="22"/>
          <w:szCs w:val="22"/>
          <w:lang w:val="hu-HU"/>
        </w:rPr>
        <w:t>Eze</w:t>
      </w:r>
      <w:r w:rsidR="00E97B8A" w:rsidRPr="00183B5F">
        <w:rPr>
          <w:sz w:val="22"/>
          <w:szCs w:val="22"/>
          <w:lang w:val="hu-HU"/>
        </w:rPr>
        <w:t>kbe</w:t>
      </w:r>
      <w:r w:rsidRPr="00183B5F">
        <w:rPr>
          <w:sz w:val="22"/>
          <w:szCs w:val="22"/>
          <w:lang w:val="hu-HU"/>
        </w:rPr>
        <w:t xml:space="preserve">n </w:t>
      </w:r>
      <w:r w:rsidR="00E97B8A" w:rsidRPr="00183B5F">
        <w:rPr>
          <w:sz w:val="22"/>
          <w:szCs w:val="22"/>
          <w:lang w:val="hu-HU"/>
        </w:rPr>
        <w:t xml:space="preserve">a </w:t>
      </w:r>
      <w:r w:rsidRPr="00183B5F">
        <w:rPr>
          <w:sz w:val="22"/>
          <w:szCs w:val="22"/>
          <w:lang w:val="hu-HU"/>
        </w:rPr>
        <w:t>betegpopulációkban nem állnak rendelkezésre adatok</w:t>
      </w:r>
      <w:r w:rsidR="00D7676A" w:rsidRPr="00183B5F">
        <w:rPr>
          <w:sz w:val="22"/>
          <w:szCs w:val="22"/>
          <w:lang w:val="hu-HU"/>
        </w:rPr>
        <w:t>.</w:t>
      </w:r>
      <w:r w:rsidRPr="00183B5F">
        <w:rPr>
          <w:sz w:val="22"/>
          <w:szCs w:val="22"/>
          <w:lang w:val="hu-HU"/>
        </w:rPr>
        <w:t xml:space="preserve"> </w:t>
      </w:r>
      <w:r w:rsidR="00D7676A" w:rsidRPr="00183B5F">
        <w:rPr>
          <w:sz w:val="22"/>
          <w:szCs w:val="22"/>
          <w:lang w:val="hu-HU"/>
        </w:rPr>
        <w:t>N</w:t>
      </w:r>
      <w:r w:rsidR="00E97B8A" w:rsidRPr="00183B5F">
        <w:rPr>
          <w:noProof/>
          <w:sz w:val="22"/>
          <w:szCs w:val="22"/>
          <w:lang w:val="hu-HU"/>
        </w:rPr>
        <w:t>incs az adagolásra vonatkozó javaslat.</w:t>
      </w:r>
    </w:p>
    <w:p w14:paraId="4036CC20" w14:textId="77777777" w:rsidR="00D0403E" w:rsidRPr="00183B5F" w:rsidRDefault="00D0403E">
      <w:pPr>
        <w:pStyle w:val="EMEAHeadingUnderline"/>
        <w:spacing w:beforeLines="0" w:afterLines="0"/>
        <w:rPr>
          <w:szCs w:val="22"/>
          <w:lang w:val="hu-HU"/>
        </w:rPr>
      </w:pPr>
    </w:p>
    <w:p w14:paraId="1141CFA1" w14:textId="77777777" w:rsidR="00D0403E" w:rsidRPr="00C62489" w:rsidRDefault="00943743">
      <w:pPr>
        <w:pStyle w:val="EMEAHeadingUnderline"/>
        <w:keepNext/>
        <w:spacing w:beforeLines="0" w:afterLines="0"/>
        <w:rPr>
          <w:szCs w:val="22"/>
          <w:lang w:val="hu-HU"/>
          <w:rPrChange w:id="8443" w:author="AbbVie_HU_03" w:date="2025-05-16T12:46:00Z">
            <w:rPr>
              <w:szCs w:val="22"/>
              <w:u w:val="none"/>
              <w:lang w:val="hu-HU"/>
            </w:rPr>
          </w:rPrChange>
        </w:rPr>
      </w:pPr>
      <w:r w:rsidRPr="00C62489">
        <w:rPr>
          <w:szCs w:val="22"/>
          <w:lang w:val="hu-HU"/>
          <w:rPrChange w:id="8444" w:author="AbbVie_HU_03" w:date="2025-05-16T12:46:00Z">
            <w:rPr>
              <w:szCs w:val="22"/>
              <w:u w:val="none"/>
              <w:lang w:val="hu-HU"/>
            </w:rPr>
          </w:rPrChange>
        </w:rPr>
        <w:t>Gyermekek</w:t>
      </w:r>
      <w:r w:rsidR="00E107ED" w:rsidRPr="00C62489">
        <w:rPr>
          <w:szCs w:val="22"/>
          <w:lang w:val="hu-HU"/>
          <w:rPrChange w:id="8445" w:author="AbbVie_HU_03" w:date="2025-05-16T12:46:00Z">
            <w:rPr>
              <w:szCs w:val="22"/>
              <w:u w:val="none"/>
              <w:lang w:val="hu-HU"/>
            </w:rPr>
          </w:rPrChange>
        </w:rPr>
        <w:t xml:space="preserve"> és serdülők</w:t>
      </w:r>
    </w:p>
    <w:p w14:paraId="24C70B76" w14:textId="77777777" w:rsidR="00D0403E" w:rsidRPr="00183B5F" w:rsidRDefault="00D0403E">
      <w:pPr>
        <w:pStyle w:val="DefaultText"/>
        <w:keepNext/>
        <w:rPr>
          <w:rFonts w:ascii="Times New Roman" w:hAnsi="Times New Roman"/>
          <w:szCs w:val="22"/>
          <w:lang w:val="hu-HU"/>
        </w:rPr>
      </w:pPr>
    </w:p>
    <w:p w14:paraId="030F7BA6" w14:textId="77777777" w:rsidR="00D0403E" w:rsidRPr="00183B5F" w:rsidRDefault="00943743">
      <w:pPr>
        <w:pStyle w:val="DefaultText"/>
        <w:keepNext/>
        <w:rPr>
          <w:rFonts w:ascii="Times New Roman" w:hAnsi="Times New Roman"/>
          <w:i/>
          <w:szCs w:val="22"/>
          <w:lang w:val="hu-HU"/>
        </w:rPr>
      </w:pPr>
      <w:r w:rsidRPr="00183B5F">
        <w:rPr>
          <w:rFonts w:ascii="Times New Roman" w:hAnsi="Times New Roman"/>
          <w:i/>
          <w:szCs w:val="22"/>
          <w:lang w:val="hu-HU"/>
        </w:rPr>
        <w:t>Juvenilis idiopathiás arthritis</w:t>
      </w:r>
    </w:p>
    <w:p w14:paraId="04073140" w14:textId="77777777" w:rsidR="00D0403E" w:rsidRPr="00183B5F" w:rsidRDefault="00D0403E">
      <w:pPr>
        <w:pStyle w:val="DefaultText"/>
        <w:keepNext/>
        <w:rPr>
          <w:rFonts w:ascii="Times New Roman" w:hAnsi="Times New Roman"/>
          <w:szCs w:val="22"/>
          <w:lang w:val="hu-HU"/>
        </w:rPr>
      </w:pPr>
    </w:p>
    <w:p w14:paraId="22F92298" w14:textId="77777777" w:rsidR="00D0403E" w:rsidRPr="00183B5F" w:rsidRDefault="00943743">
      <w:pPr>
        <w:pStyle w:val="DefaultText"/>
        <w:keepNext/>
        <w:rPr>
          <w:rFonts w:ascii="Times New Roman" w:hAnsi="Times New Roman"/>
          <w:i/>
          <w:szCs w:val="22"/>
          <w:u w:val="single"/>
          <w:lang w:val="hu-HU"/>
        </w:rPr>
      </w:pPr>
      <w:r w:rsidRPr="00183B5F">
        <w:rPr>
          <w:rFonts w:ascii="Times New Roman" w:hAnsi="Times New Roman"/>
          <w:i/>
          <w:szCs w:val="22"/>
          <w:u w:val="single"/>
          <w:lang w:val="hu-HU"/>
        </w:rPr>
        <w:t>Polyarticularis juvenilis idiopathiás arthritis 2 éves kor</w:t>
      </w:r>
      <w:r w:rsidR="00985C51" w:rsidRPr="00183B5F">
        <w:rPr>
          <w:rFonts w:ascii="Times New Roman" w:hAnsi="Times New Roman"/>
          <w:i/>
          <w:szCs w:val="22"/>
          <w:u w:val="single"/>
          <w:lang w:val="hu-HU"/>
        </w:rPr>
        <w:t>tól</w:t>
      </w:r>
    </w:p>
    <w:p w14:paraId="4AB0F07C" w14:textId="77777777" w:rsidR="00D0403E" w:rsidRPr="00183B5F" w:rsidRDefault="00D0403E">
      <w:pPr>
        <w:spacing w:line="240" w:lineRule="auto"/>
        <w:rPr>
          <w:szCs w:val="22"/>
        </w:rPr>
      </w:pPr>
    </w:p>
    <w:p w14:paraId="01069663" w14:textId="77777777" w:rsidR="00985C51" w:rsidRPr="00183B5F" w:rsidRDefault="00943743" w:rsidP="004062FE">
      <w:pPr>
        <w:spacing w:line="240" w:lineRule="auto"/>
        <w:rPr>
          <w:szCs w:val="22"/>
        </w:rPr>
      </w:pPr>
      <w:r w:rsidRPr="00183B5F">
        <w:rPr>
          <w:szCs w:val="22"/>
        </w:rPr>
        <w:t xml:space="preserve">A Humira ajánlott adagja polyarticularis juvenilis idiopathiás arthritisben </w:t>
      </w:r>
      <w:r w:rsidR="000807DC" w:rsidRPr="00183B5F">
        <w:rPr>
          <w:szCs w:val="22"/>
        </w:rPr>
        <w:t>szenvedő</w:t>
      </w:r>
      <w:r w:rsidR="001212F4" w:rsidRPr="00183B5F">
        <w:rPr>
          <w:szCs w:val="22"/>
        </w:rPr>
        <w:t>,</w:t>
      </w:r>
      <w:r w:rsidR="000807DC" w:rsidRPr="00183B5F">
        <w:rPr>
          <w:szCs w:val="22"/>
        </w:rPr>
        <w:t xml:space="preserve"> </w:t>
      </w:r>
      <w:r w:rsidRPr="00183B5F">
        <w:rPr>
          <w:szCs w:val="22"/>
        </w:rPr>
        <w:t>2 éves kor felett</w:t>
      </w:r>
      <w:r w:rsidR="000807DC" w:rsidRPr="00183B5F">
        <w:rPr>
          <w:szCs w:val="22"/>
        </w:rPr>
        <w:t>i betegeknél a</w:t>
      </w:r>
      <w:r w:rsidRPr="00183B5F">
        <w:rPr>
          <w:szCs w:val="22"/>
        </w:rPr>
        <w:t xml:space="preserve"> testtömegtől függ (1. táblázat)</w:t>
      </w:r>
      <w:r w:rsidR="008206B2" w:rsidRPr="00183B5F">
        <w:rPr>
          <w:szCs w:val="22"/>
        </w:rPr>
        <w:t>.</w:t>
      </w:r>
      <w:r w:rsidRPr="00183B5F">
        <w:rPr>
          <w:szCs w:val="22"/>
        </w:rPr>
        <w:t xml:space="preserve"> A Humira</w:t>
      </w:r>
      <w:r w:rsidR="00DD77ED" w:rsidRPr="00183B5F">
        <w:rPr>
          <w:szCs w:val="22"/>
        </w:rPr>
        <w:noBreakHyphen/>
      </w:r>
      <w:r w:rsidRPr="00183B5F">
        <w:rPr>
          <w:szCs w:val="22"/>
        </w:rPr>
        <w:t xml:space="preserve">t minden második héten subcutan injekció formájában </w:t>
      </w:r>
      <w:r w:rsidR="000807DC" w:rsidRPr="00183B5F">
        <w:rPr>
          <w:szCs w:val="22"/>
        </w:rPr>
        <w:t xml:space="preserve">kell </w:t>
      </w:r>
      <w:r w:rsidRPr="00183B5F">
        <w:rPr>
          <w:szCs w:val="22"/>
        </w:rPr>
        <w:t>alkalmaz</w:t>
      </w:r>
      <w:r w:rsidR="000807DC" w:rsidRPr="00183B5F">
        <w:rPr>
          <w:szCs w:val="22"/>
        </w:rPr>
        <w:t>ni</w:t>
      </w:r>
      <w:r w:rsidRPr="00183B5F">
        <w:rPr>
          <w:szCs w:val="22"/>
        </w:rPr>
        <w:t xml:space="preserve">. </w:t>
      </w:r>
    </w:p>
    <w:p w14:paraId="74C3FAC6" w14:textId="77777777" w:rsidR="00114DE7" w:rsidRPr="00183B5F" w:rsidRDefault="00114DE7" w:rsidP="004062FE">
      <w:pPr>
        <w:spacing w:line="240" w:lineRule="auto"/>
        <w:rPr>
          <w:szCs w:val="22"/>
        </w:rPr>
      </w:pPr>
    </w:p>
    <w:p w14:paraId="1D788195" w14:textId="77777777" w:rsidR="00985C51" w:rsidRPr="00183B5F" w:rsidRDefault="00943743" w:rsidP="0080649D">
      <w:pPr>
        <w:spacing w:line="240" w:lineRule="auto"/>
        <w:jc w:val="center"/>
        <w:rPr>
          <w:b/>
          <w:szCs w:val="22"/>
        </w:rPr>
      </w:pPr>
      <w:r w:rsidRPr="00183B5F">
        <w:rPr>
          <w:b/>
          <w:szCs w:val="22"/>
        </w:rPr>
        <w:t>1. táblázat: A Humira dózisa polyarticularis juvenilis idiopathiás arthritisben szenvedő betegek</w:t>
      </w:r>
      <w:r w:rsidR="000807DC" w:rsidRPr="00183B5F">
        <w:rPr>
          <w:b/>
          <w:szCs w:val="22"/>
        </w:rPr>
        <w:t>nél</w:t>
      </w:r>
    </w:p>
    <w:p w14:paraId="330FF5B0" w14:textId="77777777" w:rsidR="00985C51" w:rsidRPr="00183B5F" w:rsidRDefault="00985C51" w:rsidP="004062FE">
      <w:pPr>
        <w:spacing w:line="240" w:lineRule="auto"/>
        <w:rPr>
          <w:szCs w:val="22"/>
        </w:rPr>
      </w:pPr>
    </w:p>
    <w:tbl>
      <w:tblPr>
        <w:tblW w:w="6795" w:type="dxa"/>
        <w:jc w:val="center"/>
        <w:tblLayout w:type="fixed"/>
        <w:tblLook w:val="0000" w:firstRow="0" w:lastRow="0" w:firstColumn="0" w:lastColumn="0" w:noHBand="0" w:noVBand="0"/>
      </w:tblPr>
      <w:tblGrid>
        <w:gridCol w:w="3401"/>
        <w:gridCol w:w="3394"/>
      </w:tblGrid>
      <w:tr w:rsidR="00011D2F" w14:paraId="5FCE38DB" w14:textId="77777777" w:rsidTr="00832DC3">
        <w:trPr>
          <w:tblHeader/>
          <w:jc w:val="center"/>
        </w:trPr>
        <w:tc>
          <w:tcPr>
            <w:tcW w:w="3401" w:type="dxa"/>
            <w:tcBorders>
              <w:top w:val="single" w:sz="4" w:space="0" w:color="auto"/>
              <w:bottom w:val="single" w:sz="4" w:space="0" w:color="auto"/>
            </w:tcBorders>
          </w:tcPr>
          <w:p w14:paraId="0651427F" w14:textId="77777777" w:rsidR="00985C51" w:rsidRPr="00183B5F" w:rsidRDefault="00943743" w:rsidP="004062FE">
            <w:pPr>
              <w:pStyle w:val="TableLeft"/>
              <w:spacing w:before="0" w:after="0" w:line="240" w:lineRule="auto"/>
              <w:jc w:val="center"/>
              <w:rPr>
                <w:b/>
                <w:sz w:val="22"/>
                <w:szCs w:val="22"/>
                <w:lang w:val="hu-HU"/>
              </w:rPr>
            </w:pPr>
            <w:r w:rsidRPr="00183B5F">
              <w:rPr>
                <w:b/>
                <w:sz w:val="22"/>
                <w:szCs w:val="22"/>
                <w:lang w:val="hu-HU"/>
              </w:rPr>
              <w:t xml:space="preserve">A beteg testtömege </w:t>
            </w:r>
          </w:p>
        </w:tc>
        <w:tc>
          <w:tcPr>
            <w:tcW w:w="3394" w:type="dxa"/>
            <w:tcBorders>
              <w:top w:val="single" w:sz="4" w:space="0" w:color="auto"/>
              <w:bottom w:val="single" w:sz="4" w:space="0" w:color="auto"/>
            </w:tcBorders>
          </w:tcPr>
          <w:p w14:paraId="7670C8A4" w14:textId="77777777" w:rsidR="00985C51" w:rsidRPr="00183B5F" w:rsidRDefault="00943743" w:rsidP="004062FE">
            <w:pPr>
              <w:pStyle w:val="TableLeft"/>
              <w:spacing w:before="0" w:after="0" w:line="240" w:lineRule="auto"/>
              <w:jc w:val="center"/>
              <w:rPr>
                <w:b/>
                <w:sz w:val="22"/>
                <w:szCs w:val="22"/>
                <w:lang w:val="hu-HU"/>
              </w:rPr>
            </w:pPr>
            <w:r w:rsidRPr="00183B5F">
              <w:rPr>
                <w:b/>
                <w:sz w:val="22"/>
                <w:szCs w:val="22"/>
                <w:lang w:val="hu-HU"/>
              </w:rPr>
              <w:t>Adagolási rend</w:t>
            </w:r>
          </w:p>
        </w:tc>
      </w:tr>
      <w:tr w:rsidR="00011D2F" w14:paraId="79206E98" w14:textId="77777777" w:rsidTr="00832DC3">
        <w:trPr>
          <w:tblHeader/>
          <w:jc w:val="center"/>
        </w:trPr>
        <w:tc>
          <w:tcPr>
            <w:tcW w:w="3401" w:type="dxa"/>
            <w:tcBorders>
              <w:top w:val="single" w:sz="4" w:space="0" w:color="auto"/>
              <w:bottom w:val="single" w:sz="4" w:space="0" w:color="auto"/>
            </w:tcBorders>
          </w:tcPr>
          <w:p w14:paraId="05681E60" w14:textId="77777777" w:rsidR="00985C51" w:rsidRPr="00183B5F" w:rsidRDefault="00943743" w:rsidP="004062FE">
            <w:pPr>
              <w:pStyle w:val="TableLeft"/>
              <w:spacing w:before="0" w:after="0" w:line="240" w:lineRule="auto"/>
              <w:jc w:val="center"/>
              <w:rPr>
                <w:b/>
                <w:sz w:val="22"/>
                <w:szCs w:val="22"/>
                <w:lang w:val="hu-HU"/>
              </w:rPr>
            </w:pPr>
            <w:r w:rsidRPr="00183B5F">
              <w:rPr>
                <w:sz w:val="22"/>
                <w:szCs w:val="22"/>
                <w:lang w:val="hu-HU"/>
              </w:rPr>
              <w:t>10 kg</w:t>
            </w:r>
            <w:r w:rsidR="0025391D" w:rsidRPr="00183B5F">
              <w:rPr>
                <w:sz w:val="22"/>
                <w:szCs w:val="22"/>
                <w:lang w:val="hu-HU"/>
              </w:rPr>
              <w:t> </w:t>
            </w:r>
            <w:r w:rsidR="00DD77ED" w:rsidRPr="00183B5F">
              <w:rPr>
                <w:sz w:val="22"/>
                <w:szCs w:val="22"/>
                <w:lang w:val="hu-HU"/>
              </w:rPr>
              <w:noBreakHyphen/>
            </w:r>
            <w:r w:rsidR="0025391D" w:rsidRPr="00183B5F">
              <w:rPr>
                <w:sz w:val="22"/>
                <w:szCs w:val="22"/>
                <w:lang w:val="hu-HU"/>
              </w:rPr>
              <w:t> </w:t>
            </w:r>
            <w:r w:rsidRPr="00183B5F">
              <w:rPr>
                <w:sz w:val="22"/>
                <w:szCs w:val="22"/>
                <w:lang w:val="hu-HU"/>
              </w:rPr>
              <w:t>&lt;</w:t>
            </w:r>
            <w:r w:rsidR="000807DC" w:rsidRPr="00183B5F">
              <w:rPr>
                <w:sz w:val="22"/>
                <w:szCs w:val="22"/>
                <w:lang w:val="hu-HU"/>
              </w:rPr>
              <w:t> </w:t>
            </w:r>
            <w:r w:rsidRPr="00183B5F">
              <w:rPr>
                <w:sz w:val="22"/>
                <w:szCs w:val="22"/>
                <w:lang w:val="hu-HU"/>
              </w:rPr>
              <w:t>30 kg</w:t>
            </w:r>
          </w:p>
        </w:tc>
        <w:tc>
          <w:tcPr>
            <w:tcW w:w="3394" w:type="dxa"/>
            <w:tcBorders>
              <w:top w:val="single" w:sz="4" w:space="0" w:color="auto"/>
              <w:bottom w:val="single" w:sz="4" w:space="0" w:color="auto"/>
            </w:tcBorders>
          </w:tcPr>
          <w:p w14:paraId="0662032C" w14:textId="77777777" w:rsidR="00985C51" w:rsidRPr="00183B5F" w:rsidRDefault="00943743" w:rsidP="004062FE">
            <w:pPr>
              <w:pStyle w:val="TableLeft"/>
              <w:spacing w:before="0" w:after="0" w:line="240" w:lineRule="auto"/>
              <w:jc w:val="center"/>
              <w:rPr>
                <w:b/>
                <w:sz w:val="22"/>
                <w:szCs w:val="22"/>
                <w:lang w:val="hu-HU"/>
              </w:rPr>
            </w:pPr>
            <w:r w:rsidRPr="00183B5F">
              <w:rPr>
                <w:sz w:val="22"/>
                <w:szCs w:val="22"/>
                <w:lang w:val="hu-HU"/>
              </w:rPr>
              <w:t>20 mg minden második héten</w:t>
            </w:r>
          </w:p>
        </w:tc>
      </w:tr>
      <w:tr w:rsidR="00011D2F" w14:paraId="464818D4" w14:textId="77777777" w:rsidTr="00832DC3">
        <w:trPr>
          <w:tblHeader/>
          <w:jc w:val="center"/>
        </w:trPr>
        <w:tc>
          <w:tcPr>
            <w:tcW w:w="3401" w:type="dxa"/>
            <w:tcBorders>
              <w:top w:val="single" w:sz="4" w:space="0" w:color="auto"/>
              <w:bottom w:val="single" w:sz="4" w:space="0" w:color="auto"/>
            </w:tcBorders>
          </w:tcPr>
          <w:p w14:paraId="6C3FC596" w14:textId="77777777" w:rsidR="00985C51" w:rsidRPr="00183B5F" w:rsidRDefault="00943743" w:rsidP="004062FE">
            <w:pPr>
              <w:pStyle w:val="TableLeft"/>
              <w:spacing w:before="0" w:after="0" w:line="240" w:lineRule="auto"/>
              <w:jc w:val="center"/>
              <w:rPr>
                <w:b/>
                <w:sz w:val="22"/>
                <w:szCs w:val="22"/>
                <w:lang w:val="hu-HU"/>
              </w:rPr>
            </w:pPr>
            <w:r w:rsidRPr="00183B5F">
              <w:rPr>
                <w:sz w:val="22"/>
                <w:szCs w:val="22"/>
                <w:lang w:val="hu-HU"/>
              </w:rPr>
              <w:t>≥</w:t>
            </w:r>
            <w:r w:rsidR="000807DC" w:rsidRPr="00183B5F">
              <w:rPr>
                <w:sz w:val="22"/>
                <w:szCs w:val="22"/>
                <w:lang w:val="hu-HU"/>
              </w:rPr>
              <w:t> </w:t>
            </w:r>
            <w:r w:rsidRPr="00183B5F">
              <w:rPr>
                <w:sz w:val="22"/>
                <w:szCs w:val="22"/>
                <w:lang w:val="hu-HU"/>
              </w:rPr>
              <w:t>30 kg</w:t>
            </w:r>
          </w:p>
        </w:tc>
        <w:tc>
          <w:tcPr>
            <w:tcW w:w="3394" w:type="dxa"/>
            <w:tcBorders>
              <w:top w:val="single" w:sz="4" w:space="0" w:color="auto"/>
              <w:bottom w:val="single" w:sz="4" w:space="0" w:color="auto"/>
            </w:tcBorders>
          </w:tcPr>
          <w:p w14:paraId="658BFBCF" w14:textId="77777777" w:rsidR="00985C51" w:rsidRPr="00183B5F" w:rsidRDefault="00943743" w:rsidP="004062FE">
            <w:pPr>
              <w:pStyle w:val="TableLeft"/>
              <w:spacing w:before="0" w:after="0" w:line="240" w:lineRule="auto"/>
              <w:jc w:val="center"/>
              <w:rPr>
                <w:b/>
                <w:sz w:val="22"/>
                <w:szCs w:val="22"/>
                <w:lang w:val="hu-HU"/>
              </w:rPr>
            </w:pPr>
            <w:r w:rsidRPr="00183B5F">
              <w:rPr>
                <w:sz w:val="22"/>
                <w:szCs w:val="22"/>
                <w:lang w:val="hu-HU"/>
              </w:rPr>
              <w:t>40 mg minden második héten</w:t>
            </w:r>
          </w:p>
        </w:tc>
      </w:tr>
    </w:tbl>
    <w:p w14:paraId="56ED54AE" w14:textId="77777777" w:rsidR="00D0403E" w:rsidRPr="00183B5F" w:rsidRDefault="00D0403E">
      <w:pPr>
        <w:spacing w:line="240" w:lineRule="auto"/>
        <w:rPr>
          <w:szCs w:val="22"/>
        </w:rPr>
      </w:pPr>
    </w:p>
    <w:p w14:paraId="69D684FB" w14:textId="77777777" w:rsidR="00D0403E" w:rsidRPr="00183B5F" w:rsidRDefault="00943743">
      <w:pPr>
        <w:spacing w:line="240" w:lineRule="auto"/>
        <w:rPr>
          <w:szCs w:val="22"/>
        </w:rPr>
      </w:pPr>
      <w:r w:rsidRPr="00183B5F">
        <w:rPr>
          <w:szCs w:val="22"/>
        </w:rPr>
        <w:t>A rendelkezésre álló adatok arra utalnak, hogy a klinikai választ rendszerint 12 hetes kezelési időn belül érik el. A kezelés folytatását alaposan meg kell fontolni, ha a beteg ezen időszak alatt nem reagál a kezelésre.</w:t>
      </w:r>
    </w:p>
    <w:p w14:paraId="65B86EFE" w14:textId="77777777" w:rsidR="00D0403E" w:rsidRPr="00183B5F" w:rsidRDefault="00D0403E">
      <w:pPr>
        <w:spacing w:line="240" w:lineRule="auto"/>
        <w:rPr>
          <w:szCs w:val="22"/>
        </w:rPr>
      </w:pPr>
    </w:p>
    <w:p w14:paraId="6F86EFFF" w14:textId="77777777" w:rsidR="00D0403E" w:rsidRPr="00183B5F" w:rsidRDefault="00943743">
      <w:pPr>
        <w:spacing w:line="240" w:lineRule="auto"/>
        <w:rPr>
          <w:szCs w:val="22"/>
        </w:rPr>
      </w:pPr>
      <w:r w:rsidRPr="00183B5F">
        <w:rPr>
          <w:szCs w:val="22"/>
        </w:rPr>
        <w:t>A Humira</w:t>
      </w:r>
      <w:r w:rsidRPr="00183B5F">
        <w:rPr>
          <w:szCs w:val="22"/>
        </w:rPr>
        <w:noBreakHyphen/>
        <w:t>nak 2 évesnél fiatalabb betegeknél ebben a javallatban nincs releváns alkalmazása.</w:t>
      </w:r>
    </w:p>
    <w:p w14:paraId="26B1EECB" w14:textId="77777777" w:rsidR="003A59FB" w:rsidRPr="00183B5F" w:rsidRDefault="003A59FB">
      <w:pPr>
        <w:spacing w:line="240" w:lineRule="auto"/>
        <w:rPr>
          <w:szCs w:val="22"/>
        </w:rPr>
      </w:pPr>
    </w:p>
    <w:p w14:paraId="13229D9E" w14:textId="77777777" w:rsidR="003A59FB" w:rsidRPr="00183B5F" w:rsidRDefault="00943743">
      <w:pPr>
        <w:spacing w:line="240" w:lineRule="auto"/>
        <w:rPr>
          <w:szCs w:val="22"/>
        </w:rPr>
      </w:pPr>
      <w:r w:rsidRPr="00183B5F">
        <w:rPr>
          <w:szCs w:val="22"/>
        </w:rPr>
        <w:t>A Humira más hatáserősségben és/vagy kiszerelésben is elérhető az egyéni terápiás igényeknek megfelelően.</w:t>
      </w:r>
    </w:p>
    <w:p w14:paraId="32056EE5" w14:textId="77777777" w:rsidR="00D0403E" w:rsidRPr="00183B5F" w:rsidRDefault="00D0403E">
      <w:pPr>
        <w:spacing w:line="240" w:lineRule="auto"/>
        <w:rPr>
          <w:szCs w:val="22"/>
        </w:rPr>
      </w:pPr>
    </w:p>
    <w:p w14:paraId="157C1F63" w14:textId="77777777" w:rsidR="00D0403E" w:rsidRPr="00183B5F" w:rsidRDefault="00943743" w:rsidP="00832DC3">
      <w:pPr>
        <w:keepNext/>
        <w:spacing w:line="240" w:lineRule="auto"/>
        <w:rPr>
          <w:i/>
          <w:szCs w:val="22"/>
          <w:u w:val="single"/>
        </w:rPr>
      </w:pPr>
      <w:r w:rsidRPr="00183B5F">
        <w:rPr>
          <w:i/>
          <w:szCs w:val="22"/>
          <w:u w:val="single"/>
        </w:rPr>
        <w:t>Enthesitis-asszociált arthritis</w:t>
      </w:r>
    </w:p>
    <w:p w14:paraId="55CCC46C" w14:textId="77777777" w:rsidR="00D0403E" w:rsidRPr="00183B5F" w:rsidRDefault="00D0403E" w:rsidP="00832DC3">
      <w:pPr>
        <w:keepNext/>
        <w:spacing w:line="240" w:lineRule="auto"/>
        <w:rPr>
          <w:szCs w:val="22"/>
        </w:rPr>
      </w:pPr>
    </w:p>
    <w:p w14:paraId="2B984A90" w14:textId="77777777" w:rsidR="00B6252A" w:rsidRPr="00183B5F" w:rsidRDefault="00943743" w:rsidP="004062FE">
      <w:pPr>
        <w:spacing w:line="240" w:lineRule="auto"/>
        <w:rPr>
          <w:szCs w:val="22"/>
        </w:rPr>
      </w:pPr>
      <w:r w:rsidRPr="00183B5F">
        <w:rPr>
          <w:szCs w:val="22"/>
        </w:rPr>
        <w:t xml:space="preserve">A Humira ajánlott adagja </w:t>
      </w:r>
      <w:r w:rsidR="00677908" w:rsidRPr="00183B5F">
        <w:rPr>
          <w:szCs w:val="22"/>
        </w:rPr>
        <w:t>enthesitis-asszociált</w:t>
      </w:r>
      <w:r w:rsidRPr="00183B5F">
        <w:rPr>
          <w:szCs w:val="22"/>
        </w:rPr>
        <w:t xml:space="preserve"> arthritisben szenvedő</w:t>
      </w:r>
      <w:r w:rsidR="005027C3" w:rsidRPr="00183B5F">
        <w:rPr>
          <w:szCs w:val="22"/>
        </w:rPr>
        <w:t>,</w:t>
      </w:r>
      <w:r w:rsidRPr="00183B5F">
        <w:rPr>
          <w:szCs w:val="22"/>
        </w:rPr>
        <w:t xml:space="preserve"> </w:t>
      </w:r>
      <w:r w:rsidR="000807DC" w:rsidRPr="00183B5F">
        <w:rPr>
          <w:szCs w:val="22"/>
        </w:rPr>
        <w:t xml:space="preserve">6 éves kor feletti </w:t>
      </w:r>
      <w:r w:rsidRPr="00183B5F">
        <w:rPr>
          <w:szCs w:val="22"/>
        </w:rPr>
        <w:t>betegekn</w:t>
      </w:r>
      <w:r w:rsidR="000807DC" w:rsidRPr="00183B5F">
        <w:rPr>
          <w:szCs w:val="22"/>
        </w:rPr>
        <w:t>él</w:t>
      </w:r>
      <w:r w:rsidRPr="00183B5F">
        <w:rPr>
          <w:szCs w:val="22"/>
        </w:rPr>
        <w:t xml:space="preserve"> </w:t>
      </w:r>
      <w:r w:rsidR="000807DC" w:rsidRPr="00183B5F">
        <w:rPr>
          <w:szCs w:val="22"/>
        </w:rPr>
        <w:t xml:space="preserve">a </w:t>
      </w:r>
      <w:r w:rsidRPr="00183B5F">
        <w:rPr>
          <w:szCs w:val="22"/>
        </w:rPr>
        <w:t>testtömegtől függ (2. táblázat). A Humira</w:t>
      </w:r>
      <w:r w:rsidR="00DD77ED" w:rsidRPr="00183B5F">
        <w:rPr>
          <w:szCs w:val="22"/>
        </w:rPr>
        <w:noBreakHyphen/>
      </w:r>
      <w:r w:rsidRPr="00183B5F">
        <w:rPr>
          <w:szCs w:val="22"/>
        </w:rPr>
        <w:t xml:space="preserve">t minden második héten subcutan injekció formájában </w:t>
      </w:r>
      <w:r w:rsidR="000807DC" w:rsidRPr="00183B5F">
        <w:rPr>
          <w:szCs w:val="22"/>
        </w:rPr>
        <w:t xml:space="preserve">kell </w:t>
      </w:r>
      <w:r w:rsidRPr="00183B5F">
        <w:rPr>
          <w:szCs w:val="22"/>
        </w:rPr>
        <w:t>alkalmaz</w:t>
      </w:r>
      <w:r w:rsidR="000807DC" w:rsidRPr="00183B5F">
        <w:rPr>
          <w:szCs w:val="22"/>
        </w:rPr>
        <w:t>ni</w:t>
      </w:r>
      <w:r w:rsidRPr="00183B5F">
        <w:rPr>
          <w:szCs w:val="22"/>
        </w:rPr>
        <w:t>.</w:t>
      </w:r>
    </w:p>
    <w:p w14:paraId="0C713C4D" w14:textId="77777777" w:rsidR="0029235C" w:rsidRPr="00183B5F" w:rsidRDefault="0029235C" w:rsidP="004062FE">
      <w:pPr>
        <w:spacing w:line="240" w:lineRule="auto"/>
        <w:rPr>
          <w:szCs w:val="22"/>
        </w:rPr>
      </w:pPr>
    </w:p>
    <w:p w14:paraId="6F22FC1C" w14:textId="77777777" w:rsidR="00B6252A" w:rsidRPr="00183B5F" w:rsidRDefault="00943743" w:rsidP="004062FE">
      <w:pPr>
        <w:keepNext/>
        <w:spacing w:line="240" w:lineRule="auto"/>
        <w:jc w:val="center"/>
        <w:rPr>
          <w:b/>
          <w:szCs w:val="22"/>
        </w:rPr>
      </w:pPr>
      <w:r w:rsidRPr="00183B5F">
        <w:rPr>
          <w:b/>
          <w:szCs w:val="22"/>
        </w:rPr>
        <w:t xml:space="preserve">2. táblázat: A Humira dózisa </w:t>
      </w:r>
      <w:r w:rsidR="00677908" w:rsidRPr="00183B5F">
        <w:rPr>
          <w:b/>
          <w:szCs w:val="22"/>
        </w:rPr>
        <w:t>enthesitis-asszociált</w:t>
      </w:r>
      <w:r w:rsidRPr="00183B5F">
        <w:rPr>
          <w:b/>
          <w:szCs w:val="22"/>
        </w:rPr>
        <w:t xml:space="preserve"> arthritisben szenvedő betegek</w:t>
      </w:r>
      <w:r w:rsidR="000807DC" w:rsidRPr="00183B5F">
        <w:rPr>
          <w:b/>
          <w:szCs w:val="22"/>
        </w:rPr>
        <w:t>nél</w:t>
      </w:r>
    </w:p>
    <w:p w14:paraId="2C2EA979" w14:textId="77777777" w:rsidR="00B6252A" w:rsidRPr="00183B5F" w:rsidRDefault="00B6252A" w:rsidP="004062FE">
      <w:pPr>
        <w:keepNext/>
        <w:spacing w:line="240" w:lineRule="auto"/>
        <w:rPr>
          <w:szCs w:val="22"/>
        </w:rPr>
      </w:pPr>
    </w:p>
    <w:tbl>
      <w:tblPr>
        <w:tblW w:w="6795" w:type="dxa"/>
        <w:jc w:val="center"/>
        <w:tblLayout w:type="fixed"/>
        <w:tblLook w:val="0000" w:firstRow="0" w:lastRow="0" w:firstColumn="0" w:lastColumn="0" w:noHBand="0" w:noVBand="0"/>
      </w:tblPr>
      <w:tblGrid>
        <w:gridCol w:w="3401"/>
        <w:gridCol w:w="3394"/>
      </w:tblGrid>
      <w:tr w:rsidR="00011D2F" w14:paraId="08C68AE8" w14:textId="77777777" w:rsidTr="00832DC3">
        <w:trPr>
          <w:tblHeader/>
          <w:jc w:val="center"/>
        </w:trPr>
        <w:tc>
          <w:tcPr>
            <w:tcW w:w="3401" w:type="dxa"/>
            <w:tcBorders>
              <w:top w:val="single" w:sz="4" w:space="0" w:color="auto"/>
              <w:bottom w:val="single" w:sz="4" w:space="0" w:color="auto"/>
            </w:tcBorders>
          </w:tcPr>
          <w:p w14:paraId="15283EA2" w14:textId="77777777" w:rsidR="00B6252A" w:rsidRPr="00183B5F" w:rsidRDefault="00943743" w:rsidP="004062FE">
            <w:pPr>
              <w:pStyle w:val="TableLeft"/>
              <w:spacing w:before="0" w:after="0" w:line="240" w:lineRule="auto"/>
              <w:jc w:val="center"/>
              <w:rPr>
                <w:b/>
                <w:sz w:val="22"/>
                <w:szCs w:val="22"/>
                <w:lang w:val="hu-HU"/>
              </w:rPr>
            </w:pPr>
            <w:r w:rsidRPr="00183B5F">
              <w:rPr>
                <w:b/>
                <w:sz w:val="22"/>
                <w:szCs w:val="22"/>
                <w:lang w:val="hu-HU"/>
              </w:rPr>
              <w:t xml:space="preserve">A beteg testtömege </w:t>
            </w:r>
          </w:p>
        </w:tc>
        <w:tc>
          <w:tcPr>
            <w:tcW w:w="3394" w:type="dxa"/>
            <w:tcBorders>
              <w:top w:val="single" w:sz="4" w:space="0" w:color="auto"/>
              <w:bottom w:val="single" w:sz="4" w:space="0" w:color="auto"/>
            </w:tcBorders>
          </w:tcPr>
          <w:p w14:paraId="43F77EC1" w14:textId="77777777" w:rsidR="00B6252A" w:rsidRPr="00183B5F" w:rsidRDefault="00943743" w:rsidP="004062FE">
            <w:pPr>
              <w:pStyle w:val="TableLeft"/>
              <w:spacing w:before="0" w:after="0" w:line="240" w:lineRule="auto"/>
              <w:jc w:val="center"/>
              <w:rPr>
                <w:b/>
                <w:sz w:val="22"/>
                <w:szCs w:val="22"/>
                <w:lang w:val="hu-HU"/>
              </w:rPr>
            </w:pPr>
            <w:r w:rsidRPr="00183B5F">
              <w:rPr>
                <w:b/>
                <w:sz w:val="22"/>
                <w:szCs w:val="22"/>
                <w:lang w:val="hu-HU"/>
              </w:rPr>
              <w:t>Adagolási rend</w:t>
            </w:r>
          </w:p>
        </w:tc>
      </w:tr>
      <w:tr w:rsidR="00011D2F" w14:paraId="3B543487" w14:textId="77777777" w:rsidTr="00832DC3">
        <w:trPr>
          <w:tblHeader/>
          <w:jc w:val="center"/>
        </w:trPr>
        <w:tc>
          <w:tcPr>
            <w:tcW w:w="3401" w:type="dxa"/>
            <w:tcBorders>
              <w:top w:val="single" w:sz="4" w:space="0" w:color="auto"/>
              <w:bottom w:val="single" w:sz="4" w:space="0" w:color="auto"/>
            </w:tcBorders>
          </w:tcPr>
          <w:p w14:paraId="43CBA320" w14:textId="77777777" w:rsidR="00B6252A" w:rsidRPr="00183B5F" w:rsidRDefault="00943743" w:rsidP="004062FE">
            <w:pPr>
              <w:pStyle w:val="TableLeft"/>
              <w:spacing w:before="0" w:after="0" w:line="240" w:lineRule="auto"/>
              <w:jc w:val="center"/>
              <w:rPr>
                <w:b/>
                <w:sz w:val="22"/>
                <w:szCs w:val="22"/>
                <w:lang w:val="hu-HU"/>
              </w:rPr>
            </w:pPr>
            <w:r w:rsidRPr="00183B5F">
              <w:rPr>
                <w:sz w:val="22"/>
                <w:szCs w:val="22"/>
                <w:lang w:val="hu-HU"/>
              </w:rPr>
              <w:t>15 kg</w:t>
            </w:r>
            <w:r w:rsidR="0025391D" w:rsidRPr="00183B5F">
              <w:rPr>
                <w:sz w:val="22"/>
                <w:szCs w:val="22"/>
                <w:lang w:val="hu-HU"/>
              </w:rPr>
              <w:t> </w:t>
            </w:r>
            <w:r w:rsidR="00DD77ED" w:rsidRPr="00183B5F">
              <w:rPr>
                <w:sz w:val="22"/>
                <w:szCs w:val="22"/>
                <w:lang w:val="hu-HU"/>
              </w:rPr>
              <w:noBreakHyphen/>
            </w:r>
            <w:r w:rsidR="0025391D" w:rsidRPr="00183B5F">
              <w:rPr>
                <w:sz w:val="22"/>
                <w:szCs w:val="22"/>
                <w:lang w:val="hu-HU"/>
              </w:rPr>
              <w:t> </w:t>
            </w:r>
            <w:r w:rsidRPr="00183B5F">
              <w:rPr>
                <w:sz w:val="22"/>
                <w:szCs w:val="22"/>
                <w:lang w:val="hu-HU"/>
              </w:rPr>
              <w:t>&lt;</w:t>
            </w:r>
            <w:r w:rsidR="000807DC" w:rsidRPr="00183B5F">
              <w:rPr>
                <w:sz w:val="22"/>
                <w:szCs w:val="22"/>
                <w:lang w:val="hu-HU"/>
              </w:rPr>
              <w:t> </w:t>
            </w:r>
            <w:r w:rsidRPr="00183B5F">
              <w:rPr>
                <w:sz w:val="22"/>
                <w:szCs w:val="22"/>
                <w:lang w:val="hu-HU"/>
              </w:rPr>
              <w:t>30 kg</w:t>
            </w:r>
          </w:p>
        </w:tc>
        <w:tc>
          <w:tcPr>
            <w:tcW w:w="3394" w:type="dxa"/>
            <w:tcBorders>
              <w:top w:val="single" w:sz="4" w:space="0" w:color="auto"/>
              <w:bottom w:val="single" w:sz="4" w:space="0" w:color="auto"/>
            </w:tcBorders>
          </w:tcPr>
          <w:p w14:paraId="763DC8FB" w14:textId="77777777" w:rsidR="00B6252A" w:rsidRPr="00183B5F" w:rsidRDefault="00943743" w:rsidP="004062FE">
            <w:pPr>
              <w:pStyle w:val="TableLeft"/>
              <w:spacing w:before="0" w:after="0" w:line="240" w:lineRule="auto"/>
              <w:jc w:val="center"/>
              <w:rPr>
                <w:b/>
                <w:sz w:val="22"/>
                <w:szCs w:val="22"/>
                <w:lang w:val="hu-HU"/>
              </w:rPr>
            </w:pPr>
            <w:r w:rsidRPr="00183B5F">
              <w:rPr>
                <w:sz w:val="22"/>
                <w:szCs w:val="22"/>
                <w:lang w:val="hu-HU"/>
              </w:rPr>
              <w:t>20 mg minden második héten</w:t>
            </w:r>
          </w:p>
        </w:tc>
      </w:tr>
      <w:tr w:rsidR="00011D2F" w14:paraId="201B44B2" w14:textId="77777777" w:rsidTr="00832DC3">
        <w:trPr>
          <w:tblHeader/>
          <w:jc w:val="center"/>
        </w:trPr>
        <w:tc>
          <w:tcPr>
            <w:tcW w:w="3401" w:type="dxa"/>
            <w:tcBorders>
              <w:top w:val="single" w:sz="4" w:space="0" w:color="auto"/>
              <w:bottom w:val="single" w:sz="4" w:space="0" w:color="auto"/>
            </w:tcBorders>
          </w:tcPr>
          <w:p w14:paraId="286FF5E3" w14:textId="77777777" w:rsidR="00B6252A" w:rsidRPr="00183B5F" w:rsidRDefault="00943743" w:rsidP="004062FE">
            <w:pPr>
              <w:pStyle w:val="TableLeft"/>
              <w:spacing w:before="0" w:after="0" w:line="240" w:lineRule="auto"/>
              <w:jc w:val="center"/>
              <w:rPr>
                <w:b/>
                <w:sz w:val="22"/>
                <w:szCs w:val="22"/>
                <w:lang w:val="hu-HU"/>
              </w:rPr>
            </w:pPr>
            <w:r w:rsidRPr="00183B5F">
              <w:rPr>
                <w:sz w:val="22"/>
                <w:szCs w:val="22"/>
                <w:lang w:val="hu-HU"/>
              </w:rPr>
              <w:t>≥</w:t>
            </w:r>
            <w:r w:rsidR="000807DC" w:rsidRPr="00183B5F">
              <w:rPr>
                <w:sz w:val="22"/>
                <w:szCs w:val="22"/>
                <w:lang w:val="hu-HU"/>
              </w:rPr>
              <w:t> </w:t>
            </w:r>
            <w:r w:rsidRPr="00183B5F">
              <w:rPr>
                <w:sz w:val="22"/>
                <w:szCs w:val="22"/>
                <w:lang w:val="hu-HU"/>
              </w:rPr>
              <w:t>30 kg</w:t>
            </w:r>
          </w:p>
        </w:tc>
        <w:tc>
          <w:tcPr>
            <w:tcW w:w="3394" w:type="dxa"/>
            <w:tcBorders>
              <w:top w:val="single" w:sz="4" w:space="0" w:color="auto"/>
              <w:bottom w:val="single" w:sz="4" w:space="0" w:color="auto"/>
            </w:tcBorders>
          </w:tcPr>
          <w:p w14:paraId="6A38CCF2" w14:textId="77777777" w:rsidR="00B6252A" w:rsidRPr="00183B5F" w:rsidRDefault="00943743" w:rsidP="004062FE">
            <w:pPr>
              <w:pStyle w:val="TableLeft"/>
              <w:spacing w:before="0" w:after="0" w:line="240" w:lineRule="auto"/>
              <w:jc w:val="center"/>
              <w:rPr>
                <w:b/>
                <w:sz w:val="22"/>
                <w:szCs w:val="22"/>
                <w:lang w:val="hu-HU"/>
              </w:rPr>
            </w:pPr>
            <w:r w:rsidRPr="00183B5F">
              <w:rPr>
                <w:sz w:val="22"/>
                <w:szCs w:val="22"/>
                <w:lang w:val="hu-HU"/>
              </w:rPr>
              <w:t>40 mg minden második héten</w:t>
            </w:r>
          </w:p>
        </w:tc>
      </w:tr>
    </w:tbl>
    <w:p w14:paraId="51271FE7" w14:textId="77777777" w:rsidR="00B6252A" w:rsidRPr="00183B5F" w:rsidRDefault="00B6252A" w:rsidP="004062FE">
      <w:pPr>
        <w:spacing w:line="240" w:lineRule="auto"/>
        <w:rPr>
          <w:szCs w:val="22"/>
        </w:rPr>
      </w:pPr>
    </w:p>
    <w:p w14:paraId="64FFC672" w14:textId="77777777" w:rsidR="00D0403E" w:rsidRPr="00183B5F" w:rsidRDefault="00943743" w:rsidP="004062FE">
      <w:pPr>
        <w:spacing w:line="240" w:lineRule="auto"/>
        <w:rPr>
          <w:szCs w:val="22"/>
        </w:rPr>
      </w:pPr>
      <w:r w:rsidRPr="00183B5F">
        <w:rPr>
          <w:szCs w:val="22"/>
        </w:rPr>
        <w:t>A Humira</w:t>
      </w:r>
      <w:r w:rsidRPr="00183B5F">
        <w:rPr>
          <w:szCs w:val="22"/>
        </w:rPr>
        <w:noBreakHyphen/>
        <w:t xml:space="preserve">t nem vizsgálták 6 évesnél fiatalabb, </w:t>
      </w:r>
      <w:r w:rsidR="00677908" w:rsidRPr="00183B5F">
        <w:rPr>
          <w:szCs w:val="22"/>
        </w:rPr>
        <w:t>enthesitis-asszociált</w:t>
      </w:r>
      <w:r w:rsidRPr="00183B5F">
        <w:rPr>
          <w:szCs w:val="22"/>
        </w:rPr>
        <w:t xml:space="preserve"> arthritisben szenvedő betegeknél.</w:t>
      </w:r>
    </w:p>
    <w:p w14:paraId="436CE1F9" w14:textId="77777777" w:rsidR="003A59FB" w:rsidRPr="00183B5F" w:rsidRDefault="003A59FB" w:rsidP="004062FE">
      <w:pPr>
        <w:spacing w:line="240" w:lineRule="auto"/>
        <w:rPr>
          <w:szCs w:val="22"/>
        </w:rPr>
      </w:pPr>
    </w:p>
    <w:p w14:paraId="4325F023" w14:textId="77777777" w:rsidR="003A59FB" w:rsidRPr="00183B5F" w:rsidRDefault="00943743" w:rsidP="004062FE">
      <w:pPr>
        <w:spacing w:line="240" w:lineRule="auto"/>
        <w:rPr>
          <w:szCs w:val="22"/>
        </w:rPr>
      </w:pPr>
      <w:r w:rsidRPr="00183B5F">
        <w:rPr>
          <w:szCs w:val="22"/>
        </w:rPr>
        <w:t>A Humira más hatáserősségben és/vagy kiszerelésben is elérhető az egyéni terápiás igényeknek megfelelően.</w:t>
      </w:r>
    </w:p>
    <w:p w14:paraId="217A5106" w14:textId="77777777" w:rsidR="00D0403E" w:rsidRPr="00183B5F" w:rsidRDefault="00D0403E">
      <w:pPr>
        <w:spacing w:line="240" w:lineRule="auto"/>
        <w:rPr>
          <w:szCs w:val="22"/>
          <w:u w:val="single"/>
        </w:rPr>
      </w:pPr>
    </w:p>
    <w:p w14:paraId="6C8312A4" w14:textId="77777777" w:rsidR="00297F92" w:rsidRPr="00183B5F" w:rsidRDefault="00943743" w:rsidP="00297F92">
      <w:pPr>
        <w:spacing w:line="240" w:lineRule="auto"/>
        <w:rPr>
          <w:i/>
          <w:szCs w:val="22"/>
        </w:rPr>
      </w:pPr>
      <w:r w:rsidRPr="00183B5F">
        <w:rPr>
          <w:i/>
          <w:szCs w:val="22"/>
        </w:rPr>
        <w:t xml:space="preserve">Gyermekkori arthritis psoriatica és axiális </w:t>
      </w:r>
      <w:r w:rsidRPr="00183B5F">
        <w:rPr>
          <w:i/>
        </w:rPr>
        <w:t>spondyloarthritis, beleértve a spondylitis ankylopoeticát</w:t>
      </w:r>
    </w:p>
    <w:p w14:paraId="7B6F1802" w14:textId="77777777" w:rsidR="00297F92" w:rsidRPr="00183B5F" w:rsidRDefault="00297F92" w:rsidP="00297F92">
      <w:pPr>
        <w:spacing w:line="240" w:lineRule="auto"/>
        <w:rPr>
          <w:szCs w:val="22"/>
        </w:rPr>
      </w:pPr>
    </w:p>
    <w:p w14:paraId="6FF8FD6F" w14:textId="77777777" w:rsidR="00297F92" w:rsidRPr="00183B5F" w:rsidRDefault="00943743" w:rsidP="00297F92">
      <w:pPr>
        <w:spacing w:line="240" w:lineRule="auto"/>
        <w:rPr>
          <w:szCs w:val="22"/>
        </w:rPr>
      </w:pPr>
      <w:r w:rsidRPr="00183B5F">
        <w:rPr>
          <w:szCs w:val="22"/>
        </w:rPr>
        <w:t>A Humira</w:t>
      </w:r>
      <w:r w:rsidRPr="00183B5F">
        <w:rPr>
          <w:szCs w:val="22"/>
        </w:rPr>
        <w:noBreakHyphen/>
        <w:t xml:space="preserve">nak </w:t>
      </w:r>
      <w:r w:rsidRPr="00183B5F">
        <w:rPr>
          <w:noProof/>
          <w:szCs w:val="24"/>
        </w:rPr>
        <w:t>gyermekpopulációban</w:t>
      </w:r>
      <w:r w:rsidRPr="00183B5F">
        <w:rPr>
          <w:szCs w:val="22"/>
        </w:rPr>
        <w:t xml:space="preserve"> a </w:t>
      </w:r>
      <w:r w:rsidRPr="00183B5F">
        <w:t xml:space="preserve">spondylitis ankylopoetica és </w:t>
      </w:r>
      <w:r w:rsidRPr="00183B5F">
        <w:rPr>
          <w:szCs w:val="22"/>
        </w:rPr>
        <w:t>arthritis psoriatica javallata esetén</w:t>
      </w:r>
      <w:r w:rsidRPr="00183B5F">
        <w:rPr>
          <w:szCs w:val="22"/>
          <w:u w:val="single"/>
        </w:rPr>
        <w:t xml:space="preserve"> </w:t>
      </w:r>
      <w:r w:rsidRPr="00183B5F">
        <w:rPr>
          <w:szCs w:val="22"/>
        </w:rPr>
        <w:t>nincs releváns alkalmazása.</w:t>
      </w:r>
    </w:p>
    <w:p w14:paraId="3E1F7D24" w14:textId="77777777" w:rsidR="005737F4" w:rsidRPr="00183B5F" w:rsidRDefault="005737F4">
      <w:pPr>
        <w:spacing w:line="240" w:lineRule="auto"/>
        <w:rPr>
          <w:szCs w:val="22"/>
          <w:u w:val="single"/>
        </w:rPr>
      </w:pPr>
    </w:p>
    <w:p w14:paraId="5910A49E" w14:textId="77777777" w:rsidR="00D0403E" w:rsidRPr="00183B5F" w:rsidRDefault="00943743" w:rsidP="004062FE">
      <w:pPr>
        <w:spacing w:line="240" w:lineRule="auto"/>
        <w:rPr>
          <w:i/>
          <w:szCs w:val="22"/>
        </w:rPr>
      </w:pPr>
      <w:r w:rsidRPr="00183B5F">
        <w:rPr>
          <w:i/>
          <w:szCs w:val="22"/>
        </w:rPr>
        <w:t>Gyermekkori plakkos psoriasis</w:t>
      </w:r>
    </w:p>
    <w:p w14:paraId="6E8839BB" w14:textId="77777777" w:rsidR="00D0403E" w:rsidRPr="00183B5F" w:rsidRDefault="00D0403E" w:rsidP="004062FE">
      <w:pPr>
        <w:spacing w:line="240" w:lineRule="auto"/>
        <w:rPr>
          <w:szCs w:val="22"/>
        </w:rPr>
      </w:pPr>
    </w:p>
    <w:p w14:paraId="7B1BB031" w14:textId="77777777" w:rsidR="00B6252A" w:rsidRPr="00183B5F" w:rsidRDefault="00943743" w:rsidP="004062FE">
      <w:pPr>
        <w:spacing w:line="240" w:lineRule="auto"/>
        <w:rPr>
          <w:szCs w:val="22"/>
        </w:rPr>
      </w:pPr>
      <w:r w:rsidRPr="00183B5F">
        <w:rPr>
          <w:szCs w:val="22"/>
        </w:rPr>
        <w:t>A Humira ajánlott adagja gyermekkori plakkos psoriasisban szenvedő, 4</w:t>
      </w:r>
      <w:r w:rsidR="00824F0F" w:rsidRPr="00183B5F">
        <w:rPr>
          <w:szCs w:val="22"/>
        </w:rPr>
        <w:noBreakHyphen/>
      </w:r>
      <w:r w:rsidRPr="00183B5F">
        <w:rPr>
          <w:szCs w:val="22"/>
        </w:rPr>
        <w:t>17 éves betegek</w:t>
      </w:r>
      <w:r w:rsidR="000807DC" w:rsidRPr="00183B5F">
        <w:rPr>
          <w:szCs w:val="22"/>
        </w:rPr>
        <w:t>nél</w:t>
      </w:r>
      <w:r w:rsidRPr="00183B5F">
        <w:rPr>
          <w:szCs w:val="22"/>
        </w:rPr>
        <w:t xml:space="preserve"> </w:t>
      </w:r>
      <w:r w:rsidR="000807DC" w:rsidRPr="00183B5F">
        <w:rPr>
          <w:szCs w:val="22"/>
        </w:rPr>
        <w:t xml:space="preserve">a </w:t>
      </w:r>
      <w:r w:rsidRPr="00183B5F">
        <w:rPr>
          <w:szCs w:val="22"/>
        </w:rPr>
        <w:t>testtömegtől függ (3. táblázat). A Humira</w:t>
      </w:r>
      <w:r w:rsidR="00DD77ED" w:rsidRPr="00183B5F">
        <w:rPr>
          <w:szCs w:val="22"/>
        </w:rPr>
        <w:noBreakHyphen/>
      </w:r>
      <w:r w:rsidRPr="00183B5F">
        <w:rPr>
          <w:szCs w:val="22"/>
        </w:rPr>
        <w:t xml:space="preserve">t subcutan injekció formájában </w:t>
      </w:r>
      <w:r w:rsidR="000807DC" w:rsidRPr="00183B5F">
        <w:rPr>
          <w:szCs w:val="22"/>
        </w:rPr>
        <w:t xml:space="preserve">kell </w:t>
      </w:r>
      <w:r w:rsidRPr="00183B5F">
        <w:rPr>
          <w:szCs w:val="22"/>
        </w:rPr>
        <w:t>alkalmaz</w:t>
      </w:r>
      <w:r w:rsidR="000807DC" w:rsidRPr="00183B5F">
        <w:rPr>
          <w:szCs w:val="22"/>
        </w:rPr>
        <w:t>ni</w:t>
      </w:r>
      <w:r w:rsidRPr="00183B5F">
        <w:rPr>
          <w:szCs w:val="22"/>
        </w:rPr>
        <w:t xml:space="preserve">. </w:t>
      </w:r>
    </w:p>
    <w:p w14:paraId="70435257" w14:textId="77777777" w:rsidR="005027C3" w:rsidRPr="00183B5F" w:rsidRDefault="005027C3" w:rsidP="004062FE">
      <w:pPr>
        <w:spacing w:line="240" w:lineRule="auto"/>
        <w:rPr>
          <w:szCs w:val="22"/>
        </w:rPr>
      </w:pPr>
    </w:p>
    <w:p w14:paraId="61BACE43" w14:textId="77777777" w:rsidR="00B6252A" w:rsidRPr="00183B5F" w:rsidRDefault="00943743" w:rsidP="0080649D">
      <w:pPr>
        <w:keepNext/>
        <w:spacing w:line="240" w:lineRule="auto"/>
        <w:jc w:val="center"/>
        <w:rPr>
          <w:b/>
          <w:szCs w:val="22"/>
        </w:rPr>
      </w:pPr>
      <w:r w:rsidRPr="00183B5F">
        <w:rPr>
          <w:b/>
          <w:szCs w:val="22"/>
        </w:rPr>
        <w:t>3. táblázat: A Humira dózisa plakkos psoriasisban szenvedő gyermekek</w:t>
      </w:r>
      <w:r w:rsidR="000807DC" w:rsidRPr="00183B5F">
        <w:rPr>
          <w:b/>
          <w:szCs w:val="22"/>
        </w:rPr>
        <w:t>nél</w:t>
      </w:r>
    </w:p>
    <w:p w14:paraId="5687C784" w14:textId="77777777" w:rsidR="00B6252A" w:rsidRPr="00183B5F" w:rsidRDefault="00B6252A" w:rsidP="004062FE">
      <w:pPr>
        <w:keepNext/>
        <w:spacing w:line="240" w:lineRule="auto"/>
        <w:rPr>
          <w:szCs w:val="22"/>
        </w:rPr>
      </w:pPr>
    </w:p>
    <w:tbl>
      <w:tblPr>
        <w:tblW w:w="6795" w:type="dxa"/>
        <w:jc w:val="center"/>
        <w:tblLayout w:type="fixed"/>
        <w:tblLook w:val="0000" w:firstRow="0" w:lastRow="0" w:firstColumn="0" w:lastColumn="0" w:noHBand="0" w:noVBand="0"/>
      </w:tblPr>
      <w:tblGrid>
        <w:gridCol w:w="3401"/>
        <w:gridCol w:w="3394"/>
      </w:tblGrid>
      <w:tr w:rsidR="00011D2F" w14:paraId="77419297" w14:textId="77777777" w:rsidTr="00832DC3">
        <w:trPr>
          <w:tblHeader/>
          <w:jc w:val="center"/>
        </w:trPr>
        <w:tc>
          <w:tcPr>
            <w:tcW w:w="3401" w:type="dxa"/>
            <w:tcBorders>
              <w:top w:val="single" w:sz="4" w:space="0" w:color="auto"/>
              <w:bottom w:val="single" w:sz="4" w:space="0" w:color="auto"/>
            </w:tcBorders>
          </w:tcPr>
          <w:p w14:paraId="31FDF15D" w14:textId="77777777" w:rsidR="00B6252A" w:rsidRPr="00183B5F" w:rsidRDefault="00943743" w:rsidP="004062FE">
            <w:pPr>
              <w:pStyle w:val="TableLeft"/>
              <w:spacing w:before="0" w:after="0" w:line="240" w:lineRule="auto"/>
              <w:jc w:val="center"/>
              <w:rPr>
                <w:b/>
                <w:sz w:val="22"/>
                <w:szCs w:val="22"/>
                <w:lang w:val="hu-HU"/>
              </w:rPr>
            </w:pPr>
            <w:r w:rsidRPr="00183B5F">
              <w:rPr>
                <w:b/>
                <w:sz w:val="22"/>
                <w:szCs w:val="22"/>
                <w:lang w:val="hu-HU"/>
              </w:rPr>
              <w:t xml:space="preserve">A beteg testtömege </w:t>
            </w:r>
          </w:p>
        </w:tc>
        <w:tc>
          <w:tcPr>
            <w:tcW w:w="3394" w:type="dxa"/>
            <w:tcBorders>
              <w:top w:val="single" w:sz="4" w:space="0" w:color="auto"/>
              <w:bottom w:val="single" w:sz="4" w:space="0" w:color="auto"/>
            </w:tcBorders>
          </w:tcPr>
          <w:p w14:paraId="76215187" w14:textId="77777777" w:rsidR="00B6252A" w:rsidRPr="00183B5F" w:rsidRDefault="00943743" w:rsidP="004062FE">
            <w:pPr>
              <w:pStyle w:val="TableLeft"/>
              <w:spacing w:before="0" w:after="0" w:line="240" w:lineRule="auto"/>
              <w:jc w:val="center"/>
              <w:rPr>
                <w:b/>
                <w:sz w:val="22"/>
                <w:szCs w:val="22"/>
                <w:lang w:val="hu-HU"/>
              </w:rPr>
            </w:pPr>
            <w:r w:rsidRPr="00183B5F">
              <w:rPr>
                <w:b/>
                <w:sz w:val="22"/>
                <w:szCs w:val="22"/>
                <w:lang w:val="hu-HU"/>
              </w:rPr>
              <w:t>Adagolási rend</w:t>
            </w:r>
          </w:p>
        </w:tc>
      </w:tr>
      <w:tr w:rsidR="00011D2F" w14:paraId="393CE5E2" w14:textId="77777777" w:rsidTr="00832DC3">
        <w:trPr>
          <w:tblHeader/>
          <w:jc w:val="center"/>
        </w:trPr>
        <w:tc>
          <w:tcPr>
            <w:tcW w:w="3401" w:type="dxa"/>
            <w:tcBorders>
              <w:top w:val="single" w:sz="4" w:space="0" w:color="auto"/>
              <w:bottom w:val="single" w:sz="4" w:space="0" w:color="auto"/>
            </w:tcBorders>
          </w:tcPr>
          <w:p w14:paraId="29A19016" w14:textId="77777777" w:rsidR="00B6252A" w:rsidRPr="00183B5F" w:rsidRDefault="00943743" w:rsidP="004062FE">
            <w:pPr>
              <w:pStyle w:val="TableLeft"/>
              <w:spacing w:before="0" w:after="0" w:line="240" w:lineRule="auto"/>
              <w:jc w:val="center"/>
              <w:rPr>
                <w:b/>
                <w:sz w:val="22"/>
                <w:szCs w:val="22"/>
                <w:lang w:val="hu-HU"/>
              </w:rPr>
            </w:pPr>
            <w:r w:rsidRPr="00183B5F">
              <w:rPr>
                <w:sz w:val="22"/>
                <w:szCs w:val="22"/>
                <w:lang w:val="hu-HU"/>
              </w:rPr>
              <w:t>15 kg</w:t>
            </w:r>
            <w:r w:rsidR="0025391D" w:rsidRPr="00183B5F">
              <w:rPr>
                <w:sz w:val="22"/>
                <w:szCs w:val="22"/>
                <w:lang w:val="hu-HU"/>
              </w:rPr>
              <w:t> </w:t>
            </w:r>
            <w:r w:rsidR="00DD77ED" w:rsidRPr="00183B5F">
              <w:rPr>
                <w:sz w:val="22"/>
                <w:szCs w:val="22"/>
                <w:lang w:val="hu-HU"/>
              </w:rPr>
              <w:noBreakHyphen/>
            </w:r>
            <w:r w:rsidR="0025391D" w:rsidRPr="00183B5F">
              <w:rPr>
                <w:sz w:val="22"/>
                <w:szCs w:val="22"/>
                <w:lang w:val="hu-HU"/>
              </w:rPr>
              <w:t> </w:t>
            </w:r>
            <w:r w:rsidRPr="00183B5F">
              <w:rPr>
                <w:sz w:val="22"/>
                <w:szCs w:val="22"/>
                <w:lang w:val="hu-HU"/>
              </w:rPr>
              <w:t>&lt;</w:t>
            </w:r>
            <w:r w:rsidR="000807DC" w:rsidRPr="00183B5F">
              <w:rPr>
                <w:sz w:val="22"/>
                <w:szCs w:val="22"/>
                <w:lang w:val="hu-HU"/>
              </w:rPr>
              <w:t> </w:t>
            </w:r>
            <w:r w:rsidRPr="00183B5F">
              <w:rPr>
                <w:sz w:val="22"/>
                <w:szCs w:val="22"/>
                <w:lang w:val="hu-HU"/>
              </w:rPr>
              <w:t>30 kg</w:t>
            </w:r>
          </w:p>
        </w:tc>
        <w:tc>
          <w:tcPr>
            <w:tcW w:w="3394" w:type="dxa"/>
            <w:tcBorders>
              <w:top w:val="single" w:sz="4" w:space="0" w:color="auto"/>
              <w:bottom w:val="single" w:sz="4" w:space="0" w:color="auto"/>
            </w:tcBorders>
          </w:tcPr>
          <w:p w14:paraId="36215EC1" w14:textId="77777777" w:rsidR="00B6252A" w:rsidRPr="00183B5F" w:rsidRDefault="00943743" w:rsidP="004062FE">
            <w:pPr>
              <w:pStyle w:val="TableLeft"/>
              <w:spacing w:before="0" w:after="0" w:line="240" w:lineRule="auto"/>
              <w:jc w:val="center"/>
              <w:rPr>
                <w:b/>
                <w:sz w:val="22"/>
                <w:szCs w:val="22"/>
                <w:lang w:val="hu-HU"/>
              </w:rPr>
            </w:pPr>
            <w:r w:rsidRPr="00183B5F">
              <w:rPr>
                <w:sz w:val="22"/>
                <w:szCs w:val="22"/>
                <w:lang w:val="hu-HU"/>
              </w:rPr>
              <w:t>A kezdő adag 20 mg, amelyet minden második héten adott 20 mg követ a kezdő dózis utáni első héttől kezdve</w:t>
            </w:r>
          </w:p>
        </w:tc>
      </w:tr>
      <w:tr w:rsidR="00011D2F" w14:paraId="6BAB16F0" w14:textId="77777777" w:rsidTr="00832DC3">
        <w:trPr>
          <w:tblHeader/>
          <w:jc w:val="center"/>
        </w:trPr>
        <w:tc>
          <w:tcPr>
            <w:tcW w:w="3401" w:type="dxa"/>
            <w:tcBorders>
              <w:top w:val="single" w:sz="4" w:space="0" w:color="auto"/>
              <w:bottom w:val="single" w:sz="4" w:space="0" w:color="auto"/>
            </w:tcBorders>
          </w:tcPr>
          <w:p w14:paraId="704BEBC9" w14:textId="77777777" w:rsidR="00B6252A" w:rsidRPr="00183B5F" w:rsidRDefault="00943743" w:rsidP="004062FE">
            <w:pPr>
              <w:pStyle w:val="TableLeft"/>
              <w:spacing w:before="0" w:after="0" w:line="240" w:lineRule="auto"/>
              <w:jc w:val="center"/>
              <w:rPr>
                <w:b/>
                <w:sz w:val="22"/>
                <w:szCs w:val="22"/>
                <w:lang w:val="hu-HU"/>
              </w:rPr>
            </w:pPr>
            <w:r w:rsidRPr="00183B5F">
              <w:rPr>
                <w:sz w:val="22"/>
                <w:szCs w:val="22"/>
                <w:lang w:val="hu-HU"/>
              </w:rPr>
              <w:t>≥</w:t>
            </w:r>
            <w:r w:rsidR="000807DC" w:rsidRPr="00183B5F">
              <w:rPr>
                <w:sz w:val="22"/>
                <w:szCs w:val="22"/>
                <w:lang w:val="hu-HU"/>
              </w:rPr>
              <w:t> </w:t>
            </w:r>
            <w:r w:rsidRPr="00183B5F">
              <w:rPr>
                <w:sz w:val="22"/>
                <w:szCs w:val="22"/>
                <w:lang w:val="hu-HU"/>
              </w:rPr>
              <w:t>30 kg</w:t>
            </w:r>
          </w:p>
        </w:tc>
        <w:tc>
          <w:tcPr>
            <w:tcW w:w="3394" w:type="dxa"/>
            <w:tcBorders>
              <w:top w:val="single" w:sz="4" w:space="0" w:color="auto"/>
              <w:bottom w:val="single" w:sz="4" w:space="0" w:color="auto"/>
            </w:tcBorders>
          </w:tcPr>
          <w:p w14:paraId="2BA1724F" w14:textId="77777777" w:rsidR="00B6252A" w:rsidRPr="00183B5F" w:rsidRDefault="00943743" w:rsidP="004062FE">
            <w:pPr>
              <w:pStyle w:val="TableLeft"/>
              <w:spacing w:before="0" w:after="0" w:line="240" w:lineRule="auto"/>
              <w:jc w:val="center"/>
              <w:rPr>
                <w:b/>
                <w:sz w:val="22"/>
                <w:szCs w:val="22"/>
                <w:lang w:val="hu-HU"/>
              </w:rPr>
            </w:pPr>
            <w:r w:rsidRPr="00183B5F">
              <w:rPr>
                <w:sz w:val="22"/>
                <w:szCs w:val="22"/>
                <w:lang w:val="hu-HU"/>
              </w:rPr>
              <w:t>A kezdő adag 40 mg, amelyet minden második héten adott 40 mg követ a kezdő dózis utáni első héttől kezdve</w:t>
            </w:r>
          </w:p>
        </w:tc>
      </w:tr>
    </w:tbl>
    <w:p w14:paraId="1D9BF804" w14:textId="77777777" w:rsidR="00B6252A" w:rsidRPr="00183B5F" w:rsidRDefault="00B6252A" w:rsidP="004062FE">
      <w:pPr>
        <w:spacing w:line="240" w:lineRule="auto"/>
        <w:rPr>
          <w:szCs w:val="22"/>
        </w:rPr>
      </w:pPr>
    </w:p>
    <w:p w14:paraId="03866AA1" w14:textId="77777777" w:rsidR="00D0403E" w:rsidRPr="00183B5F" w:rsidRDefault="00943743" w:rsidP="004062FE">
      <w:pPr>
        <w:spacing w:line="240" w:lineRule="auto"/>
        <w:rPr>
          <w:szCs w:val="22"/>
        </w:rPr>
      </w:pPr>
      <w:r w:rsidRPr="00183B5F">
        <w:rPr>
          <w:szCs w:val="22"/>
        </w:rPr>
        <w:t>A kezelés folytatását a 16. hét után gondosan mérlegelni kell, ha a beteg nem reagál ennyi idő alatt.</w:t>
      </w:r>
    </w:p>
    <w:p w14:paraId="56B5464E" w14:textId="77777777" w:rsidR="00D0403E" w:rsidRPr="00183B5F" w:rsidRDefault="00D0403E" w:rsidP="004062FE">
      <w:pPr>
        <w:spacing w:line="240" w:lineRule="auto"/>
        <w:rPr>
          <w:szCs w:val="22"/>
        </w:rPr>
      </w:pPr>
    </w:p>
    <w:p w14:paraId="0356F16F" w14:textId="77777777" w:rsidR="00D0403E" w:rsidRPr="00183B5F" w:rsidRDefault="00943743" w:rsidP="004062FE">
      <w:pPr>
        <w:spacing w:line="240" w:lineRule="auto"/>
        <w:rPr>
          <w:szCs w:val="22"/>
        </w:rPr>
      </w:pPr>
      <w:r w:rsidRPr="00183B5F">
        <w:rPr>
          <w:szCs w:val="22"/>
        </w:rPr>
        <w:t xml:space="preserve">Ha újabb adag Humira kezelés javasolt, a </w:t>
      </w:r>
      <w:r w:rsidR="004E1449" w:rsidRPr="00183B5F">
        <w:rPr>
          <w:szCs w:val="22"/>
        </w:rPr>
        <w:t>fenti</w:t>
      </w:r>
      <w:r w:rsidRPr="00183B5F">
        <w:rPr>
          <w:szCs w:val="22"/>
        </w:rPr>
        <w:t xml:space="preserve"> adagolási útmutatót és kezelési időtartamot kell követni.</w:t>
      </w:r>
    </w:p>
    <w:p w14:paraId="3978F3A9" w14:textId="77777777" w:rsidR="00D0403E" w:rsidRPr="00183B5F" w:rsidRDefault="00D0403E" w:rsidP="004062FE">
      <w:pPr>
        <w:spacing w:line="240" w:lineRule="auto"/>
        <w:rPr>
          <w:szCs w:val="22"/>
        </w:rPr>
      </w:pPr>
    </w:p>
    <w:p w14:paraId="7028670B" w14:textId="77777777" w:rsidR="00D0403E" w:rsidRPr="00183B5F" w:rsidRDefault="00943743" w:rsidP="004062FE">
      <w:pPr>
        <w:spacing w:line="240" w:lineRule="auto"/>
        <w:rPr>
          <w:szCs w:val="22"/>
        </w:rPr>
      </w:pPr>
      <w:r w:rsidRPr="00183B5F">
        <w:rPr>
          <w:szCs w:val="22"/>
        </w:rPr>
        <w:t>A Humira biztonságosságát plakkos psoriasisban szenvedő gyermekeknél átlagosan 13 hónapig vizsgálták.</w:t>
      </w:r>
    </w:p>
    <w:p w14:paraId="59060A3B" w14:textId="77777777" w:rsidR="00D0403E" w:rsidRPr="00183B5F" w:rsidRDefault="00D0403E" w:rsidP="004062FE">
      <w:pPr>
        <w:spacing w:line="240" w:lineRule="auto"/>
        <w:rPr>
          <w:szCs w:val="22"/>
        </w:rPr>
      </w:pPr>
    </w:p>
    <w:p w14:paraId="57C34F60" w14:textId="77777777" w:rsidR="00D0403E" w:rsidRPr="00183B5F" w:rsidRDefault="00943743" w:rsidP="004062FE">
      <w:pPr>
        <w:spacing w:line="240" w:lineRule="auto"/>
        <w:rPr>
          <w:szCs w:val="22"/>
        </w:rPr>
      </w:pPr>
      <w:r w:rsidRPr="00183B5F">
        <w:rPr>
          <w:szCs w:val="22"/>
        </w:rPr>
        <w:t>A Humira</w:t>
      </w:r>
      <w:r w:rsidRPr="00183B5F">
        <w:rPr>
          <w:szCs w:val="22"/>
        </w:rPr>
        <w:noBreakHyphen/>
        <w:t>nak 4 évesnél fiatalabb gyermekeknél ebben a javallatban nincs releváns alkalmazása.</w:t>
      </w:r>
    </w:p>
    <w:p w14:paraId="7AC8FCD3" w14:textId="77777777" w:rsidR="00A00BD9" w:rsidRPr="00183B5F" w:rsidRDefault="00A00BD9" w:rsidP="004062FE">
      <w:pPr>
        <w:spacing w:line="240" w:lineRule="auto"/>
        <w:rPr>
          <w:szCs w:val="22"/>
        </w:rPr>
      </w:pPr>
    </w:p>
    <w:p w14:paraId="0B981A86" w14:textId="77777777" w:rsidR="00A00BD9" w:rsidRPr="00183B5F" w:rsidRDefault="00943743" w:rsidP="004062FE">
      <w:pPr>
        <w:spacing w:line="240" w:lineRule="auto"/>
        <w:rPr>
          <w:szCs w:val="22"/>
        </w:rPr>
      </w:pPr>
      <w:r w:rsidRPr="00183B5F">
        <w:rPr>
          <w:szCs w:val="22"/>
        </w:rPr>
        <w:t>A Humira más hatáserősségben és/vagy kiszerelésben is elérhető az egyéni terápiás igényeknek megfelelően.</w:t>
      </w:r>
    </w:p>
    <w:p w14:paraId="653E417F" w14:textId="77777777" w:rsidR="00D0403E" w:rsidRPr="00183B5F" w:rsidRDefault="00D0403E" w:rsidP="004062FE">
      <w:pPr>
        <w:spacing w:line="240" w:lineRule="auto"/>
        <w:rPr>
          <w:szCs w:val="22"/>
        </w:rPr>
      </w:pPr>
    </w:p>
    <w:p w14:paraId="20639588" w14:textId="77777777" w:rsidR="00C227A0" w:rsidRPr="00183B5F" w:rsidRDefault="00943743">
      <w:pPr>
        <w:keepNext/>
        <w:spacing w:line="240" w:lineRule="auto"/>
        <w:rPr>
          <w:i/>
          <w:szCs w:val="22"/>
        </w:rPr>
      </w:pPr>
      <w:r w:rsidRPr="00183B5F">
        <w:rPr>
          <w:i/>
          <w:szCs w:val="22"/>
        </w:rPr>
        <w:t>Serdülőkori hidradenitis suppurativa (12 éves kortól, legalább 30 kg</w:t>
      </w:r>
      <w:r w:rsidRPr="00183B5F">
        <w:rPr>
          <w:i/>
          <w:szCs w:val="22"/>
        </w:rPr>
        <w:noBreakHyphen/>
        <w:t>os betegek)</w:t>
      </w:r>
    </w:p>
    <w:p w14:paraId="276C4791" w14:textId="77777777" w:rsidR="00C227A0" w:rsidRPr="00183B5F" w:rsidRDefault="00C227A0">
      <w:pPr>
        <w:keepNext/>
        <w:spacing w:line="240" w:lineRule="auto"/>
        <w:rPr>
          <w:szCs w:val="22"/>
        </w:rPr>
      </w:pPr>
    </w:p>
    <w:p w14:paraId="00025242" w14:textId="77777777" w:rsidR="00C227A0" w:rsidRPr="00183B5F" w:rsidRDefault="00943743">
      <w:pPr>
        <w:spacing w:line="240" w:lineRule="auto"/>
        <w:rPr>
          <w:szCs w:val="22"/>
        </w:rPr>
      </w:pPr>
      <w:r w:rsidRPr="00183B5F">
        <w:rPr>
          <w:szCs w:val="22"/>
        </w:rPr>
        <w:t>Nem végeztek klinikai vizsgálatokat Humira</w:t>
      </w:r>
      <w:r w:rsidRPr="00183B5F">
        <w:rPr>
          <w:szCs w:val="22"/>
        </w:rPr>
        <w:noBreakHyphen/>
        <w:t>val HS</w:t>
      </w:r>
      <w:r w:rsidRPr="00183B5F">
        <w:rPr>
          <w:szCs w:val="22"/>
        </w:rPr>
        <w:noBreakHyphen/>
        <w:t>ben szenvedő serdülőknél. A Humira adagolását ezeknél a betegeknél farmakokinetikai modellezéssel és szimulációval határozták meg (lásd 5.2 pont).</w:t>
      </w:r>
    </w:p>
    <w:p w14:paraId="741A5383" w14:textId="77777777" w:rsidR="00C227A0" w:rsidRPr="00183B5F" w:rsidRDefault="00C227A0">
      <w:pPr>
        <w:spacing w:line="240" w:lineRule="auto"/>
        <w:rPr>
          <w:szCs w:val="22"/>
        </w:rPr>
      </w:pPr>
    </w:p>
    <w:p w14:paraId="3102C8DF" w14:textId="77777777" w:rsidR="00C227A0" w:rsidRPr="00183B5F" w:rsidRDefault="00943743">
      <w:pPr>
        <w:spacing w:line="240" w:lineRule="auto"/>
        <w:rPr>
          <w:szCs w:val="22"/>
        </w:rPr>
      </w:pPr>
      <w:r w:rsidRPr="00183B5F">
        <w:rPr>
          <w:szCs w:val="22"/>
        </w:rPr>
        <w:t xml:space="preserve">A Humira ajánlott adagja a 0. héten 80 mg, amit első héttől kezdve 40 mg </w:t>
      </w:r>
      <w:r w:rsidRPr="00183B5F">
        <w:rPr>
          <w:i/>
          <w:szCs w:val="22"/>
        </w:rPr>
        <w:t>subcutan</w:t>
      </w:r>
      <w:r w:rsidRPr="00183B5F">
        <w:rPr>
          <w:szCs w:val="22"/>
        </w:rPr>
        <w:t xml:space="preserve"> adott injekció követ minden 2. héten.</w:t>
      </w:r>
      <w:r w:rsidR="00B6252A" w:rsidRPr="00183B5F">
        <w:rPr>
          <w:szCs w:val="22"/>
        </w:rPr>
        <w:t xml:space="preserve"> </w:t>
      </w:r>
    </w:p>
    <w:p w14:paraId="52E0D339" w14:textId="77777777" w:rsidR="00373AF7" w:rsidRPr="00183B5F" w:rsidRDefault="00373AF7">
      <w:pPr>
        <w:spacing w:line="240" w:lineRule="auto"/>
        <w:rPr>
          <w:szCs w:val="22"/>
        </w:rPr>
      </w:pPr>
    </w:p>
    <w:p w14:paraId="16142519" w14:textId="77777777" w:rsidR="00C227A0" w:rsidRPr="00183B5F" w:rsidRDefault="00943743">
      <w:pPr>
        <w:spacing w:line="240" w:lineRule="auto"/>
        <w:rPr>
          <w:szCs w:val="22"/>
        </w:rPr>
      </w:pPr>
      <w:r w:rsidRPr="00183B5F">
        <w:rPr>
          <w:szCs w:val="22"/>
        </w:rPr>
        <w:t xml:space="preserve">Azoknál a serdülőkorú betegeknél, akik nem megfelelően reagálnak a kéthetente adagolt 40 mg Humira kezelésre, megfontolandó a Humira </w:t>
      </w:r>
      <w:r w:rsidR="00A00BD9" w:rsidRPr="00183B5F">
        <w:rPr>
          <w:szCs w:val="22"/>
        </w:rPr>
        <w:t>adagjá</w:t>
      </w:r>
      <w:r w:rsidR="006B5EC3" w:rsidRPr="00183B5F">
        <w:rPr>
          <w:szCs w:val="22"/>
        </w:rPr>
        <w:t>t</w:t>
      </w:r>
      <w:r w:rsidR="00A00BD9" w:rsidRPr="00183B5F">
        <w:rPr>
          <w:szCs w:val="22"/>
        </w:rPr>
        <w:t xml:space="preserve"> </w:t>
      </w:r>
      <w:r w:rsidRPr="00183B5F">
        <w:rPr>
          <w:szCs w:val="22"/>
        </w:rPr>
        <w:t>heti 40 mg</w:t>
      </w:r>
      <w:r w:rsidRPr="00183B5F">
        <w:rPr>
          <w:szCs w:val="22"/>
        </w:rPr>
        <w:noBreakHyphen/>
        <w:t>ra</w:t>
      </w:r>
      <w:r w:rsidR="00F13823" w:rsidRPr="00183B5F">
        <w:rPr>
          <w:szCs w:val="22"/>
        </w:rPr>
        <w:t xml:space="preserve"> vagy kéthetente</w:t>
      </w:r>
      <w:r w:rsidR="00A00BD9" w:rsidRPr="00183B5F">
        <w:rPr>
          <w:szCs w:val="22"/>
        </w:rPr>
        <w:t xml:space="preserve"> 80 mg</w:t>
      </w:r>
      <w:r w:rsidR="00E5381A" w:rsidRPr="00183B5F">
        <w:rPr>
          <w:szCs w:val="22"/>
        </w:rPr>
        <w:noBreakHyphen/>
      </w:r>
      <w:r w:rsidR="00A00BD9" w:rsidRPr="00183B5F">
        <w:rPr>
          <w:szCs w:val="22"/>
        </w:rPr>
        <w:t>ra</w:t>
      </w:r>
      <w:r w:rsidRPr="00183B5F">
        <w:rPr>
          <w:szCs w:val="22"/>
        </w:rPr>
        <w:t xml:space="preserve"> emelni.</w:t>
      </w:r>
    </w:p>
    <w:p w14:paraId="1DDFFF6F" w14:textId="77777777" w:rsidR="00C227A0" w:rsidRPr="00183B5F" w:rsidRDefault="00C227A0">
      <w:pPr>
        <w:spacing w:line="240" w:lineRule="auto"/>
        <w:rPr>
          <w:szCs w:val="22"/>
        </w:rPr>
      </w:pPr>
    </w:p>
    <w:p w14:paraId="35570683" w14:textId="77777777" w:rsidR="00C227A0" w:rsidRPr="00183B5F" w:rsidRDefault="00943743">
      <w:pPr>
        <w:spacing w:line="240" w:lineRule="auto"/>
        <w:rPr>
          <w:szCs w:val="22"/>
        </w:rPr>
      </w:pPr>
      <w:r w:rsidRPr="00183B5F">
        <w:rPr>
          <w:szCs w:val="22"/>
        </w:rPr>
        <w:t>Szükség esetén folytatható az antibiotikum szedése a Humira</w:t>
      </w:r>
      <w:r w:rsidR="00373AF7" w:rsidRPr="00183B5F">
        <w:rPr>
          <w:szCs w:val="22"/>
        </w:rPr>
        <w:noBreakHyphen/>
      </w:r>
      <w:r w:rsidRPr="00183B5F">
        <w:rPr>
          <w:szCs w:val="22"/>
        </w:rPr>
        <w:t>kezelés alatt. Humira</w:t>
      </w:r>
      <w:r w:rsidR="00373AF7" w:rsidRPr="00183B5F">
        <w:rPr>
          <w:szCs w:val="22"/>
        </w:rPr>
        <w:noBreakHyphen/>
      </w:r>
      <w:r w:rsidRPr="00183B5F">
        <w:rPr>
          <w:szCs w:val="22"/>
        </w:rPr>
        <w:t>kezelés alatt javasolt, hogy a beteg naponta alkalmazzon helyi fertőtlenítő lemosót a HS léziókon.</w:t>
      </w:r>
    </w:p>
    <w:p w14:paraId="66A1AA7A" w14:textId="77777777" w:rsidR="00C227A0" w:rsidRPr="00183B5F" w:rsidRDefault="00C227A0">
      <w:pPr>
        <w:spacing w:line="240" w:lineRule="auto"/>
        <w:rPr>
          <w:szCs w:val="22"/>
        </w:rPr>
      </w:pPr>
    </w:p>
    <w:p w14:paraId="6315F0D2" w14:textId="77777777" w:rsidR="00C227A0" w:rsidRPr="00183B5F" w:rsidRDefault="00943743">
      <w:pPr>
        <w:spacing w:line="240" w:lineRule="auto"/>
        <w:rPr>
          <w:szCs w:val="22"/>
        </w:rPr>
      </w:pPr>
      <w:r w:rsidRPr="00183B5F">
        <w:rPr>
          <w:szCs w:val="22"/>
        </w:rPr>
        <w:t>A kezelés folytatását alaposan meg kell fontolni azoknál a betegeknél, akik a 12. hétig nem reagálnak a kezelésre.</w:t>
      </w:r>
    </w:p>
    <w:p w14:paraId="5BC494B5" w14:textId="77777777" w:rsidR="00C227A0" w:rsidRPr="00183B5F" w:rsidRDefault="00C227A0">
      <w:pPr>
        <w:spacing w:line="240" w:lineRule="auto"/>
        <w:rPr>
          <w:szCs w:val="22"/>
        </w:rPr>
      </w:pPr>
    </w:p>
    <w:p w14:paraId="1F89DD97" w14:textId="77777777" w:rsidR="00C227A0" w:rsidRPr="00183B5F" w:rsidRDefault="00943743">
      <w:pPr>
        <w:spacing w:line="240" w:lineRule="auto"/>
        <w:rPr>
          <w:szCs w:val="22"/>
        </w:rPr>
      </w:pPr>
      <w:r w:rsidRPr="00183B5F">
        <w:rPr>
          <w:szCs w:val="22"/>
        </w:rPr>
        <w:t>Amennyiben a kezelés megszakadt, a Humira szükség szerint újra alkalmazható.</w:t>
      </w:r>
    </w:p>
    <w:p w14:paraId="0706AAAC" w14:textId="77777777" w:rsidR="00C227A0" w:rsidRPr="00183B5F" w:rsidRDefault="00C227A0">
      <w:pPr>
        <w:spacing w:line="240" w:lineRule="auto"/>
        <w:rPr>
          <w:szCs w:val="22"/>
        </w:rPr>
      </w:pPr>
    </w:p>
    <w:p w14:paraId="25CE4088" w14:textId="77777777" w:rsidR="00C227A0" w:rsidRPr="00183B5F" w:rsidRDefault="00943743">
      <w:pPr>
        <w:spacing w:line="240" w:lineRule="auto"/>
        <w:rPr>
          <w:szCs w:val="22"/>
        </w:rPr>
      </w:pPr>
      <w:r w:rsidRPr="00183B5F">
        <w:rPr>
          <w:szCs w:val="22"/>
        </w:rPr>
        <w:t>A folyamatos, hosszú távú kezelés előnyét és kockázatát időszakosan értékelni kell (lásd felnőtt adatok, 5.1 pont).</w:t>
      </w:r>
    </w:p>
    <w:p w14:paraId="748E7626" w14:textId="77777777" w:rsidR="00C227A0" w:rsidRPr="00183B5F" w:rsidRDefault="00C227A0">
      <w:pPr>
        <w:spacing w:line="240" w:lineRule="auto"/>
        <w:rPr>
          <w:szCs w:val="22"/>
        </w:rPr>
      </w:pPr>
    </w:p>
    <w:p w14:paraId="18577A5B" w14:textId="77777777" w:rsidR="00C227A0" w:rsidRPr="00183B5F" w:rsidRDefault="00943743">
      <w:pPr>
        <w:spacing w:line="240" w:lineRule="auto"/>
        <w:rPr>
          <w:szCs w:val="22"/>
        </w:rPr>
      </w:pPr>
      <w:r w:rsidRPr="00183B5F">
        <w:rPr>
          <w:szCs w:val="22"/>
        </w:rPr>
        <w:t>A Humira</w:t>
      </w:r>
      <w:r w:rsidRPr="00183B5F">
        <w:rPr>
          <w:szCs w:val="22"/>
        </w:rPr>
        <w:noBreakHyphen/>
        <w:t>nak 12 évesnél fiatalabb gyermekeknél ebben a javallatban nincs releváns alkalmazása.</w:t>
      </w:r>
    </w:p>
    <w:p w14:paraId="6EFDB3EC" w14:textId="77777777" w:rsidR="00A00BD9" w:rsidRPr="00183B5F" w:rsidRDefault="00A00BD9">
      <w:pPr>
        <w:spacing w:line="240" w:lineRule="auto"/>
        <w:rPr>
          <w:szCs w:val="22"/>
        </w:rPr>
      </w:pPr>
    </w:p>
    <w:p w14:paraId="15EC4DC9" w14:textId="77777777" w:rsidR="00A00BD9" w:rsidRPr="00183B5F" w:rsidRDefault="00943743">
      <w:pPr>
        <w:spacing w:line="240" w:lineRule="auto"/>
        <w:rPr>
          <w:szCs w:val="22"/>
        </w:rPr>
      </w:pPr>
      <w:r w:rsidRPr="00183B5F">
        <w:rPr>
          <w:szCs w:val="22"/>
        </w:rPr>
        <w:t>A Humira más hatáserősségben és/vagy kiszerelésben is elérhető az egyéni terápiás igényeknek megfelelően.</w:t>
      </w:r>
    </w:p>
    <w:p w14:paraId="2570E4F9" w14:textId="77777777" w:rsidR="00C227A0" w:rsidRPr="00183B5F" w:rsidRDefault="00C227A0" w:rsidP="004062FE">
      <w:pPr>
        <w:spacing w:line="240" w:lineRule="auto"/>
        <w:rPr>
          <w:szCs w:val="22"/>
        </w:rPr>
      </w:pPr>
    </w:p>
    <w:p w14:paraId="770CECD6" w14:textId="77777777" w:rsidR="00D0403E" w:rsidRPr="00183B5F" w:rsidRDefault="00943743" w:rsidP="004062FE">
      <w:pPr>
        <w:spacing w:line="240" w:lineRule="auto"/>
        <w:rPr>
          <w:i/>
          <w:szCs w:val="22"/>
        </w:rPr>
      </w:pPr>
      <w:r w:rsidRPr="00183B5F">
        <w:rPr>
          <w:i/>
          <w:szCs w:val="22"/>
        </w:rPr>
        <w:t>Gyermekkori Crohn</w:t>
      </w:r>
      <w:r w:rsidRPr="00183B5F">
        <w:rPr>
          <w:i/>
          <w:szCs w:val="22"/>
        </w:rPr>
        <w:noBreakHyphen/>
        <w:t>betegség</w:t>
      </w:r>
    </w:p>
    <w:p w14:paraId="45E6B96A" w14:textId="77777777" w:rsidR="00D0403E" w:rsidRPr="00183B5F" w:rsidRDefault="00D0403E" w:rsidP="004062FE">
      <w:pPr>
        <w:spacing w:line="240" w:lineRule="auto"/>
        <w:rPr>
          <w:szCs w:val="22"/>
        </w:rPr>
      </w:pPr>
    </w:p>
    <w:p w14:paraId="3F63F219" w14:textId="77777777" w:rsidR="00D0403E" w:rsidRPr="00183B5F" w:rsidRDefault="00943743" w:rsidP="004062FE">
      <w:pPr>
        <w:spacing w:line="240" w:lineRule="auto"/>
        <w:rPr>
          <w:szCs w:val="22"/>
        </w:rPr>
      </w:pPr>
      <w:r w:rsidRPr="00183B5F">
        <w:rPr>
          <w:szCs w:val="22"/>
        </w:rPr>
        <w:t>A Humira ajánlott adagja Crohn</w:t>
      </w:r>
      <w:r w:rsidR="00DD77ED" w:rsidRPr="00183B5F">
        <w:rPr>
          <w:szCs w:val="22"/>
        </w:rPr>
        <w:noBreakHyphen/>
      </w:r>
      <w:r w:rsidRPr="00183B5F">
        <w:rPr>
          <w:szCs w:val="22"/>
        </w:rPr>
        <w:t xml:space="preserve">betegségben szenvedő </w:t>
      </w:r>
      <w:r w:rsidRPr="00183B5F">
        <w:t>6</w:t>
      </w:r>
      <w:r w:rsidR="00DD77ED" w:rsidRPr="00183B5F">
        <w:noBreakHyphen/>
      </w:r>
      <w:r w:rsidRPr="00183B5F">
        <w:t>17 éves</w:t>
      </w:r>
      <w:r w:rsidRPr="00183B5F">
        <w:rPr>
          <w:szCs w:val="22"/>
        </w:rPr>
        <w:t xml:space="preserve"> betegek részére testtömegtől függ (4. táblázat). A Humira</w:t>
      </w:r>
      <w:r w:rsidR="00DD77ED" w:rsidRPr="00183B5F">
        <w:rPr>
          <w:szCs w:val="22"/>
        </w:rPr>
        <w:noBreakHyphen/>
      </w:r>
      <w:r w:rsidRPr="00183B5F">
        <w:rPr>
          <w:szCs w:val="22"/>
        </w:rPr>
        <w:t xml:space="preserve">t subcutan injekció formájában alkalmazzák. </w:t>
      </w:r>
    </w:p>
    <w:p w14:paraId="784B73B5" w14:textId="77777777" w:rsidR="00B6252A" w:rsidRPr="00183B5F" w:rsidRDefault="00B6252A" w:rsidP="004062FE">
      <w:pPr>
        <w:spacing w:line="240" w:lineRule="auto"/>
        <w:rPr>
          <w:szCs w:val="22"/>
        </w:rPr>
      </w:pPr>
    </w:p>
    <w:p w14:paraId="01A2E3AA" w14:textId="77777777" w:rsidR="00B6252A" w:rsidRPr="00183B5F" w:rsidRDefault="00943743" w:rsidP="0080649D">
      <w:pPr>
        <w:keepNext/>
        <w:spacing w:line="240" w:lineRule="auto"/>
        <w:jc w:val="center"/>
        <w:rPr>
          <w:b/>
          <w:szCs w:val="22"/>
        </w:rPr>
      </w:pPr>
      <w:r w:rsidRPr="00183B5F">
        <w:rPr>
          <w:b/>
          <w:szCs w:val="22"/>
        </w:rPr>
        <w:t>4. táblázat: A Humira dózisa Crohn</w:t>
      </w:r>
      <w:r w:rsidR="00DD77ED" w:rsidRPr="00183B5F">
        <w:rPr>
          <w:b/>
          <w:szCs w:val="22"/>
        </w:rPr>
        <w:noBreakHyphen/>
      </w:r>
      <w:r w:rsidRPr="00183B5F">
        <w:rPr>
          <w:b/>
          <w:szCs w:val="22"/>
        </w:rPr>
        <w:t>betegségben szenvedő gyermekek</w:t>
      </w:r>
      <w:r w:rsidR="000807DC" w:rsidRPr="00183B5F">
        <w:rPr>
          <w:b/>
          <w:szCs w:val="22"/>
        </w:rPr>
        <w:t>nél</w:t>
      </w:r>
    </w:p>
    <w:p w14:paraId="61049C70" w14:textId="77777777" w:rsidR="00B6252A" w:rsidRPr="00183B5F" w:rsidRDefault="00B6252A" w:rsidP="004062FE">
      <w:pPr>
        <w:keepNext/>
        <w:spacing w:line="240" w:lineRule="auto"/>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63"/>
        <w:gridCol w:w="6312"/>
        <w:gridCol w:w="1480"/>
      </w:tblGrid>
      <w:tr w:rsidR="00011D2F" w14:paraId="2F705294" w14:textId="77777777" w:rsidTr="00C41E8A">
        <w:trPr>
          <w:tblHeader/>
        </w:trPr>
        <w:tc>
          <w:tcPr>
            <w:tcW w:w="0" w:type="auto"/>
            <w:tcBorders>
              <w:top w:val="single" w:sz="6" w:space="0" w:color="000000"/>
              <w:left w:val="single" w:sz="6" w:space="0" w:color="000000"/>
              <w:bottom w:val="single" w:sz="6" w:space="0" w:color="000000"/>
              <w:right w:val="single" w:sz="6" w:space="0" w:color="000000"/>
            </w:tcBorders>
            <w:hideMark/>
          </w:tcPr>
          <w:p w14:paraId="08F270EC" w14:textId="77777777" w:rsidR="00B6252A" w:rsidRPr="00183B5F" w:rsidRDefault="00943743" w:rsidP="004062FE">
            <w:pPr>
              <w:keepNext/>
              <w:spacing w:line="240" w:lineRule="auto"/>
              <w:jc w:val="center"/>
            </w:pPr>
            <w:r w:rsidRPr="00183B5F">
              <w:rPr>
                <w:b/>
              </w:rPr>
              <w:t>A beteg testtömege</w:t>
            </w:r>
          </w:p>
        </w:tc>
        <w:tc>
          <w:tcPr>
            <w:tcW w:w="0" w:type="auto"/>
            <w:tcBorders>
              <w:top w:val="single" w:sz="6" w:space="0" w:color="000000"/>
              <w:left w:val="single" w:sz="6" w:space="0" w:color="000000"/>
              <w:bottom w:val="single" w:sz="6" w:space="0" w:color="000000"/>
              <w:right w:val="single" w:sz="6" w:space="0" w:color="000000"/>
            </w:tcBorders>
            <w:hideMark/>
          </w:tcPr>
          <w:p w14:paraId="57E2D2D1" w14:textId="77777777" w:rsidR="00B6252A" w:rsidRPr="00183B5F" w:rsidRDefault="00943743" w:rsidP="004062FE">
            <w:pPr>
              <w:keepNext/>
              <w:spacing w:line="240" w:lineRule="auto"/>
              <w:jc w:val="center"/>
            </w:pPr>
            <w:r w:rsidRPr="00183B5F">
              <w:rPr>
                <w:b/>
              </w:rPr>
              <w:t>Indukciós dózis</w:t>
            </w:r>
          </w:p>
        </w:tc>
        <w:tc>
          <w:tcPr>
            <w:tcW w:w="0" w:type="auto"/>
            <w:tcBorders>
              <w:top w:val="single" w:sz="6" w:space="0" w:color="000000"/>
              <w:left w:val="single" w:sz="6" w:space="0" w:color="000000"/>
              <w:bottom w:val="single" w:sz="6" w:space="0" w:color="000000"/>
              <w:right w:val="single" w:sz="6" w:space="0" w:color="000000"/>
            </w:tcBorders>
            <w:hideMark/>
          </w:tcPr>
          <w:p w14:paraId="33BE87E6" w14:textId="77777777" w:rsidR="00B6252A" w:rsidRPr="00183B5F" w:rsidRDefault="00943743" w:rsidP="004062FE">
            <w:pPr>
              <w:keepNext/>
              <w:spacing w:line="240" w:lineRule="auto"/>
              <w:jc w:val="center"/>
            </w:pPr>
            <w:r w:rsidRPr="00183B5F">
              <w:rPr>
                <w:b/>
              </w:rPr>
              <w:t>Fenntartó dózis</w:t>
            </w:r>
            <w:r w:rsidRPr="00183B5F">
              <w:rPr>
                <w:b/>
              </w:rPr>
              <w:br/>
            </w:r>
            <w:r w:rsidRPr="00183B5F">
              <w:rPr>
                <w:b/>
              </w:rPr>
              <w:t>4. héttől kezdve</w:t>
            </w:r>
          </w:p>
        </w:tc>
      </w:tr>
      <w:tr w:rsidR="00011D2F" w14:paraId="5BE5AC47" w14:textId="77777777" w:rsidTr="00C41E8A">
        <w:tc>
          <w:tcPr>
            <w:tcW w:w="0" w:type="auto"/>
            <w:tcBorders>
              <w:top w:val="single" w:sz="6" w:space="0" w:color="000000"/>
              <w:left w:val="single" w:sz="6" w:space="0" w:color="000000"/>
              <w:bottom w:val="single" w:sz="6" w:space="0" w:color="000000"/>
              <w:right w:val="single" w:sz="6" w:space="0" w:color="000000"/>
            </w:tcBorders>
            <w:hideMark/>
          </w:tcPr>
          <w:p w14:paraId="031CD14F" w14:textId="77777777" w:rsidR="00B6252A" w:rsidRPr="00183B5F" w:rsidRDefault="00943743" w:rsidP="004062FE">
            <w:pPr>
              <w:keepNext/>
              <w:spacing w:line="240" w:lineRule="auto"/>
              <w:jc w:val="center"/>
            </w:pPr>
            <w:r w:rsidRPr="00183B5F">
              <w:t>&lt;</w:t>
            </w:r>
            <w:r w:rsidR="000807DC" w:rsidRPr="00183B5F">
              <w:t> </w:t>
            </w:r>
            <w:r w:rsidRPr="00183B5F">
              <w:t>40 kg</w:t>
            </w:r>
          </w:p>
        </w:tc>
        <w:tc>
          <w:tcPr>
            <w:tcW w:w="0" w:type="auto"/>
            <w:tcBorders>
              <w:top w:val="single" w:sz="6" w:space="0" w:color="000000"/>
              <w:left w:val="single" w:sz="6" w:space="0" w:color="000000"/>
              <w:bottom w:val="single" w:sz="6" w:space="0" w:color="000000"/>
              <w:right w:val="single" w:sz="6" w:space="0" w:color="000000"/>
            </w:tcBorders>
            <w:hideMark/>
          </w:tcPr>
          <w:p w14:paraId="03967980" w14:textId="77777777" w:rsidR="00B6252A" w:rsidRPr="00183B5F" w:rsidRDefault="00943743" w:rsidP="004062FE">
            <w:pPr>
              <w:pStyle w:val="ListParagraph"/>
              <w:keepNext/>
              <w:numPr>
                <w:ilvl w:val="0"/>
                <w:numId w:val="145"/>
              </w:numPr>
              <w:suppressAutoHyphens w:val="0"/>
              <w:spacing w:line="240" w:lineRule="auto"/>
              <w:contextualSpacing/>
              <w:rPr>
                <w:szCs w:val="22"/>
              </w:rPr>
            </w:pPr>
            <w:r w:rsidRPr="00183B5F">
              <w:rPr>
                <w:szCs w:val="22"/>
              </w:rPr>
              <w:t>40 mg a 0. héten és 20 mg a 2. héten.</w:t>
            </w:r>
          </w:p>
          <w:p w14:paraId="3EBFE703" w14:textId="77777777" w:rsidR="00B6252A" w:rsidRPr="00183B5F" w:rsidRDefault="00B6252A" w:rsidP="004062FE">
            <w:pPr>
              <w:keepNext/>
              <w:suppressAutoHyphens w:val="0"/>
              <w:spacing w:line="240" w:lineRule="auto"/>
              <w:rPr>
                <w:szCs w:val="22"/>
              </w:rPr>
            </w:pPr>
          </w:p>
          <w:p w14:paraId="630E41CF" w14:textId="77777777" w:rsidR="00B6252A" w:rsidRPr="00183B5F" w:rsidRDefault="00943743" w:rsidP="004062FE">
            <w:pPr>
              <w:keepNext/>
              <w:suppressAutoHyphens w:val="0"/>
              <w:spacing w:line="240" w:lineRule="auto"/>
              <w:rPr>
                <w:szCs w:val="22"/>
              </w:rPr>
            </w:pPr>
            <w:r w:rsidRPr="00183B5F">
              <w:rPr>
                <w:szCs w:val="22"/>
              </w:rPr>
              <w:t>Amennyiben gyorsabb terápiás válaszra van szükség, figyelembe véve, hogy a nagyobb indukciós dózis adásakor a nemkívánatos események kockázata is nagyobb, úgy a következő adagolás alkalmazható:</w:t>
            </w:r>
          </w:p>
          <w:p w14:paraId="34FF8A0D" w14:textId="77777777" w:rsidR="00B6252A" w:rsidRPr="00183B5F" w:rsidRDefault="00943743" w:rsidP="004062FE">
            <w:pPr>
              <w:keepNext/>
              <w:numPr>
                <w:ilvl w:val="0"/>
                <w:numId w:val="144"/>
              </w:numPr>
              <w:suppressAutoHyphens w:val="0"/>
              <w:spacing w:line="240" w:lineRule="auto"/>
              <w:ind w:left="357" w:hanging="357"/>
              <w:rPr>
                <w:iCs/>
                <w:szCs w:val="22"/>
              </w:rPr>
            </w:pPr>
            <w:r w:rsidRPr="00183B5F">
              <w:rPr>
                <w:szCs w:val="22"/>
              </w:rPr>
              <w:t>80 mg a 0. héten és 40 mg a 2. héten</w:t>
            </w:r>
          </w:p>
        </w:tc>
        <w:tc>
          <w:tcPr>
            <w:tcW w:w="0" w:type="auto"/>
            <w:tcBorders>
              <w:top w:val="single" w:sz="6" w:space="0" w:color="000000"/>
              <w:left w:val="single" w:sz="6" w:space="0" w:color="000000"/>
              <w:bottom w:val="single" w:sz="6" w:space="0" w:color="000000"/>
              <w:right w:val="single" w:sz="6" w:space="0" w:color="000000"/>
            </w:tcBorders>
            <w:hideMark/>
          </w:tcPr>
          <w:p w14:paraId="4A5FE51F" w14:textId="77777777" w:rsidR="00B6252A" w:rsidRPr="00183B5F" w:rsidRDefault="00943743" w:rsidP="004062FE">
            <w:pPr>
              <w:keepNext/>
              <w:suppressAutoHyphens w:val="0"/>
              <w:spacing w:line="240" w:lineRule="auto"/>
              <w:ind w:left="27"/>
              <w:jc w:val="center"/>
            </w:pPr>
            <w:r w:rsidRPr="00183B5F">
              <w:t>20 mg minden második héten</w:t>
            </w:r>
          </w:p>
        </w:tc>
      </w:tr>
      <w:tr w:rsidR="00011D2F" w14:paraId="0B4C82BE" w14:textId="77777777" w:rsidTr="00C41E8A">
        <w:tc>
          <w:tcPr>
            <w:tcW w:w="0" w:type="auto"/>
            <w:tcBorders>
              <w:top w:val="single" w:sz="6" w:space="0" w:color="000000"/>
              <w:left w:val="single" w:sz="6" w:space="0" w:color="000000"/>
              <w:bottom w:val="single" w:sz="6" w:space="0" w:color="000000"/>
              <w:right w:val="single" w:sz="6" w:space="0" w:color="000000"/>
            </w:tcBorders>
            <w:hideMark/>
          </w:tcPr>
          <w:p w14:paraId="150F0DB7" w14:textId="77777777" w:rsidR="00B6252A" w:rsidRPr="00183B5F" w:rsidRDefault="00943743" w:rsidP="004062FE">
            <w:pPr>
              <w:keepNext/>
              <w:spacing w:line="240" w:lineRule="auto"/>
              <w:jc w:val="center"/>
            </w:pPr>
            <w:r w:rsidRPr="00183B5F">
              <w:t>≥</w:t>
            </w:r>
            <w:r w:rsidR="000807DC" w:rsidRPr="00183B5F">
              <w:t> </w:t>
            </w:r>
            <w:r w:rsidRPr="00183B5F">
              <w:t>40 kg</w:t>
            </w:r>
          </w:p>
        </w:tc>
        <w:tc>
          <w:tcPr>
            <w:tcW w:w="0" w:type="auto"/>
            <w:tcBorders>
              <w:top w:val="single" w:sz="6" w:space="0" w:color="000000"/>
              <w:left w:val="single" w:sz="6" w:space="0" w:color="000000"/>
              <w:bottom w:val="single" w:sz="6" w:space="0" w:color="000000"/>
              <w:right w:val="single" w:sz="6" w:space="0" w:color="000000"/>
            </w:tcBorders>
            <w:hideMark/>
          </w:tcPr>
          <w:p w14:paraId="7D8DEADC" w14:textId="77777777" w:rsidR="00B6252A" w:rsidRPr="00183B5F" w:rsidRDefault="00943743" w:rsidP="004062FE">
            <w:pPr>
              <w:pStyle w:val="ListParagraph"/>
              <w:keepNext/>
              <w:numPr>
                <w:ilvl w:val="0"/>
                <w:numId w:val="144"/>
              </w:numPr>
              <w:suppressAutoHyphens w:val="0"/>
              <w:spacing w:line="240" w:lineRule="auto"/>
              <w:ind w:left="357" w:hanging="357"/>
              <w:contextualSpacing/>
              <w:rPr>
                <w:szCs w:val="22"/>
              </w:rPr>
            </w:pPr>
            <w:r w:rsidRPr="00183B5F">
              <w:rPr>
                <w:szCs w:val="22"/>
              </w:rPr>
              <w:t>80 mg a 0. héten és 40 mg a 2. </w:t>
            </w:r>
            <w:r w:rsidR="000807DC" w:rsidRPr="00183B5F">
              <w:rPr>
                <w:szCs w:val="22"/>
              </w:rPr>
              <w:t>h</w:t>
            </w:r>
            <w:r w:rsidRPr="00183B5F">
              <w:rPr>
                <w:szCs w:val="22"/>
              </w:rPr>
              <w:t>éten</w:t>
            </w:r>
          </w:p>
          <w:p w14:paraId="487801C4" w14:textId="77777777" w:rsidR="00B6252A" w:rsidRPr="00183B5F" w:rsidRDefault="00B6252A" w:rsidP="004062FE">
            <w:pPr>
              <w:keepNext/>
              <w:suppressAutoHyphens w:val="0"/>
              <w:spacing w:line="240" w:lineRule="auto"/>
              <w:rPr>
                <w:szCs w:val="22"/>
              </w:rPr>
            </w:pPr>
          </w:p>
          <w:p w14:paraId="3EE8A22E" w14:textId="77777777" w:rsidR="00B6252A" w:rsidRPr="00183B5F" w:rsidRDefault="00943743" w:rsidP="004062FE">
            <w:pPr>
              <w:keepNext/>
              <w:suppressAutoHyphens w:val="0"/>
              <w:spacing w:line="240" w:lineRule="auto"/>
              <w:rPr>
                <w:szCs w:val="22"/>
              </w:rPr>
            </w:pPr>
            <w:r w:rsidRPr="00183B5F">
              <w:rPr>
                <w:szCs w:val="22"/>
              </w:rPr>
              <w:t>Amennyiben gyorsabb terápiás válaszra van szükség, figyelembe véve, hogy a nagyobb indukciós dózis adásakor a nemkívánatos események kockázata is nagyobb, úgy a következő adagolás alkalmazható:</w:t>
            </w:r>
          </w:p>
          <w:p w14:paraId="7DA2A0B7" w14:textId="77777777" w:rsidR="00B6252A" w:rsidRPr="00183B5F" w:rsidRDefault="00943743" w:rsidP="004062FE">
            <w:pPr>
              <w:keepNext/>
              <w:numPr>
                <w:ilvl w:val="0"/>
                <w:numId w:val="143"/>
              </w:numPr>
              <w:suppressAutoHyphens w:val="0"/>
              <w:spacing w:line="240" w:lineRule="auto"/>
              <w:ind w:left="357" w:hanging="357"/>
              <w:rPr>
                <w:szCs w:val="22"/>
              </w:rPr>
            </w:pPr>
            <w:r w:rsidRPr="00183B5F">
              <w:rPr>
                <w:szCs w:val="22"/>
              </w:rPr>
              <w:t>160 mg a 0. héten és 80 mg a 2. héten</w:t>
            </w:r>
          </w:p>
        </w:tc>
        <w:tc>
          <w:tcPr>
            <w:tcW w:w="0" w:type="auto"/>
            <w:tcBorders>
              <w:top w:val="single" w:sz="6" w:space="0" w:color="000000"/>
              <w:left w:val="single" w:sz="6" w:space="0" w:color="000000"/>
              <w:bottom w:val="single" w:sz="6" w:space="0" w:color="000000"/>
              <w:right w:val="single" w:sz="6" w:space="0" w:color="000000"/>
            </w:tcBorders>
            <w:hideMark/>
          </w:tcPr>
          <w:p w14:paraId="62FC7CCC" w14:textId="77777777" w:rsidR="00B6252A" w:rsidRPr="00183B5F" w:rsidRDefault="00943743" w:rsidP="004062FE">
            <w:pPr>
              <w:keepNext/>
              <w:suppressAutoHyphens w:val="0"/>
              <w:spacing w:line="240" w:lineRule="auto"/>
              <w:ind w:left="36"/>
              <w:jc w:val="center"/>
            </w:pPr>
            <w:r w:rsidRPr="00183B5F">
              <w:t>40 mg minden második héten</w:t>
            </w:r>
          </w:p>
        </w:tc>
      </w:tr>
    </w:tbl>
    <w:p w14:paraId="11406454" w14:textId="77777777" w:rsidR="00B6252A" w:rsidRPr="00183B5F" w:rsidRDefault="00B6252A" w:rsidP="004062FE">
      <w:pPr>
        <w:spacing w:line="240" w:lineRule="auto"/>
        <w:rPr>
          <w:szCs w:val="22"/>
        </w:rPr>
      </w:pPr>
    </w:p>
    <w:p w14:paraId="6E55B1EB" w14:textId="77777777" w:rsidR="00B6252A" w:rsidRPr="00183B5F" w:rsidRDefault="00943743" w:rsidP="004062FE">
      <w:pPr>
        <w:spacing w:line="240" w:lineRule="auto"/>
        <w:rPr>
          <w:szCs w:val="22"/>
        </w:rPr>
      </w:pPr>
      <w:r w:rsidRPr="00183B5F">
        <w:rPr>
          <w:szCs w:val="22"/>
        </w:rPr>
        <w:t>A nem megfelelően reagáló betegeknél előnyös lehet az adag</w:t>
      </w:r>
      <w:r w:rsidR="000807DC" w:rsidRPr="00183B5F">
        <w:rPr>
          <w:szCs w:val="22"/>
        </w:rPr>
        <w:t xml:space="preserve"> növelése</w:t>
      </w:r>
      <w:r w:rsidRPr="00183B5F">
        <w:rPr>
          <w:szCs w:val="22"/>
        </w:rPr>
        <w:t>:</w:t>
      </w:r>
    </w:p>
    <w:p w14:paraId="6897888B" w14:textId="77777777" w:rsidR="00B6252A" w:rsidRPr="00183B5F" w:rsidRDefault="00943743">
      <w:pPr>
        <w:keepNext/>
        <w:numPr>
          <w:ilvl w:val="0"/>
          <w:numId w:val="143"/>
        </w:numPr>
        <w:tabs>
          <w:tab w:val="left" w:pos="540"/>
        </w:tabs>
        <w:spacing w:line="240" w:lineRule="auto"/>
        <w:ind w:left="540" w:hanging="540"/>
      </w:pPr>
      <w:r w:rsidRPr="00183B5F">
        <w:t>&lt;</w:t>
      </w:r>
      <w:r w:rsidR="000807DC" w:rsidRPr="00183B5F">
        <w:t> </w:t>
      </w:r>
      <w:r w:rsidRPr="00183B5F">
        <w:t>40 kg: 20 mg minden héten</w:t>
      </w:r>
    </w:p>
    <w:p w14:paraId="185E2639" w14:textId="77777777" w:rsidR="00B6252A" w:rsidRPr="00183B5F" w:rsidRDefault="00943743">
      <w:pPr>
        <w:keepNext/>
        <w:numPr>
          <w:ilvl w:val="0"/>
          <w:numId w:val="143"/>
        </w:numPr>
        <w:tabs>
          <w:tab w:val="left" w:pos="540"/>
        </w:tabs>
        <w:spacing w:line="240" w:lineRule="auto"/>
        <w:ind w:left="540" w:hanging="540"/>
      </w:pPr>
      <w:r w:rsidRPr="00183B5F">
        <w:t>≥</w:t>
      </w:r>
      <w:r w:rsidR="000807DC" w:rsidRPr="00183B5F">
        <w:t> </w:t>
      </w:r>
      <w:r w:rsidRPr="00183B5F">
        <w:t>40 kg: 40 mg minden héten</w:t>
      </w:r>
      <w:r w:rsidR="00A00BD9" w:rsidRPr="00183B5F">
        <w:t xml:space="preserve"> vagy 80 mg minden második héten</w:t>
      </w:r>
    </w:p>
    <w:p w14:paraId="6EED177F" w14:textId="77777777" w:rsidR="00B6252A" w:rsidRPr="00183B5F" w:rsidRDefault="00B6252A" w:rsidP="004062FE">
      <w:pPr>
        <w:spacing w:line="240" w:lineRule="auto"/>
        <w:rPr>
          <w:szCs w:val="22"/>
        </w:rPr>
      </w:pPr>
    </w:p>
    <w:p w14:paraId="18AB4538" w14:textId="77777777" w:rsidR="00D0403E" w:rsidRPr="00183B5F" w:rsidRDefault="00943743" w:rsidP="004062FE">
      <w:pPr>
        <w:spacing w:line="240" w:lineRule="auto"/>
        <w:rPr>
          <w:szCs w:val="22"/>
        </w:rPr>
      </w:pPr>
      <w:r w:rsidRPr="00183B5F">
        <w:rPr>
          <w:szCs w:val="22"/>
        </w:rPr>
        <w:t>A kezelés folytatását alaposan meg kell fontolni azoknál a betegeknél, akik a 12. hétig nem reagálnak a kezelésre.</w:t>
      </w:r>
    </w:p>
    <w:p w14:paraId="7D8B4656" w14:textId="77777777" w:rsidR="00D0403E" w:rsidRPr="00183B5F" w:rsidRDefault="00D0403E" w:rsidP="004062FE">
      <w:pPr>
        <w:spacing w:line="240" w:lineRule="auto"/>
        <w:rPr>
          <w:szCs w:val="22"/>
        </w:rPr>
      </w:pPr>
    </w:p>
    <w:p w14:paraId="63165F01" w14:textId="77777777" w:rsidR="00D0403E" w:rsidRPr="00183B5F" w:rsidRDefault="00943743">
      <w:pPr>
        <w:spacing w:line="240" w:lineRule="auto"/>
        <w:rPr>
          <w:szCs w:val="22"/>
        </w:rPr>
      </w:pPr>
      <w:r w:rsidRPr="00183B5F">
        <w:rPr>
          <w:szCs w:val="22"/>
        </w:rPr>
        <w:t>A Humira</w:t>
      </w:r>
      <w:r w:rsidRPr="00183B5F">
        <w:rPr>
          <w:szCs w:val="22"/>
        </w:rPr>
        <w:noBreakHyphen/>
      </w:r>
      <w:r w:rsidRPr="00183B5F">
        <w:rPr>
          <w:szCs w:val="22"/>
        </w:rPr>
        <w:t>nak 6 évesnél fiatalabb gyermekeknél ebben a javallatban nincs releváns alkalmazása.</w:t>
      </w:r>
    </w:p>
    <w:p w14:paraId="6C479CAD" w14:textId="77777777" w:rsidR="00A00BD9" w:rsidRPr="00183B5F" w:rsidRDefault="00A00BD9">
      <w:pPr>
        <w:spacing w:line="240" w:lineRule="auto"/>
        <w:rPr>
          <w:szCs w:val="22"/>
        </w:rPr>
      </w:pPr>
    </w:p>
    <w:p w14:paraId="12528798" w14:textId="77777777" w:rsidR="00A00BD9" w:rsidRPr="00183B5F" w:rsidRDefault="00943743">
      <w:pPr>
        <w:spacing w:line="240" w:lineRule="auto"/>
        <w:rPr>
          <w:szCs w:val="22"/>
        </w:rPr>
      </w:pPr>
      <w:r w:rsidRPr="00183B5F">
        <w:rPr>
          <w:szCs w:val="22"/>
        </w:rPr>
        <w:t>A Humira más hatáserősségben és/vagy kiszerelésben is elérhető az egyéni terápiás igényeknek megfelelően.</w:t>
      </w:r>
    </w:p>
    <w:p w14:paraId="032897AE" w14:textId="77777777" w:rsidR="005D0A88" w:rsidRPr="00183B5F" w:rsidRDefault="005D0A88">
      <w:pPr>
        <w:spacing w:line="240" w:lineRule="auto"/>
        <w:rPr>
          <w:szCs w:val="22"/>
        </w:rPr>
      </w:pPr>
    </w:p>
    <w:p w14:paraId="474FB04C" w14:textId="77777777" w:rsidR="0095434F" w:rsidRPr="00183B5F" w:rsidRDefault="00943743" w:rsidP="0095434F">
      <w:pPr>
        <w:rPr>
          <w:b/>
        </w:rPr>
      </w:pPr>
      <w:r w:rsidRPr="00183B5F">
        <w:rPr>
          <w:i/>
        </w:rPr>
        <w:t>Gyermek</w:t>
      </w:r>
      <w:r w:rsidR="00B47ED7" w:rsidRPr="00183B5F">
        <w:rPr>
          <w:i/>
        </w:rPr>
        <w:t>- és serdülő</w:t>
      </w:r>
      <w:r w:rsidRPr="00183B5F">
        <w:rPr>
          <w:i/>
        </w:rPr>
        <w:t>kori colitis ulcerosa</w:t>
      </w:r>
      <w:r w:rsidRPr="00183B5F">
        <w:rPr>
          <w:b/>
        </w:rPr>
        <w:t xml:space="preserve"> </w:t>
      </w:r>
    </w:p>
    <w:p w14:paraId="572B3564" w14:textId="77777777" w:rsidR="0095434F" w:rsidRPr="00183B5F" w:rsidRDefault="0095434F" w:rsidP="0095434F">
      <w:pPr>
        <w:rPr>
          <w:b/>
        </w:rPr>
      </w:pPr>
    </w:p>
    <w:p w14:paraId="2FAC2FBF" w14:textId="77777777" w:rsidR="0095434F" w:rsidRPr="00183B5F" w:rsidRDefault="00943743" w:rsidP="0095434F">
      <w:r w:rsidRPr="00183B5F">
        <w:t>A Humira ajánlott adagja colitis ulcerosában szenvedő, 6–17 éves korú betegeknél a testtömegtől függ (5. táblázat). A Humira-t subcutan injekció formájában kell beadni.</w:t>
      </w:r>
    </w:p>
    <w:p w14:paraId="7BB073DF" w14:textId="77777777" w:rsidR="0095434F" w:rsidRPr="00183B5F" w:rsidRDefault="00943743" w:rsidP="0095434F">
      <w:r w:rsidRPr="00183B5F">
        <w:t xml:space="preserve"> </w:t>
      </w:r>
    </w:p>
    <w:p w14:paraId="3B5A28C6" w14:textId="77777777" w:rsidR="0095434F" w:rsidRPr="00183B5F" w:rsidRDefault="00943743" w:rsidP="0095434F">
      <w:pPr>
        <w:keepNext/>
        <w:jc w:val="center"/>
      </w:pPr>
      <w:r w:rsidRPr="00183B5F">
        <w:rPr>
          <w:b/>
        </w:rPr>
        <w:t xml:space="preserve">5. táblázat: A Humira dózisa colitis ulcerosában szenvedő gyermekeknél és serdülőknél </w:t>
      </w: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4"/>
        <w:gridCol w:w="3322"/>
        <w:gridCol w:w="3158"/>
      </w:tblGrid>
      <w:tr w:rsidR="00011D2F" w14:paraId="096ABF15" w14:textId="77777777" w:rsidTr="0095434F">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CDB0A07" w14:textId="77777777" w:rsidR="0095434F" w:rsidRPr="00183B5F" w:rsidRDefault="00943743" w:rsidP="0095434F">
            <w:pPr>
              <w:jc w:val="center"/>
              <w:rPr>
                <w:b/>
              </w:rPr>
            </w:pPr>
            <w:r w:rsidRPr="00183B5F">
              <w:rPr>
                <w:b/>
              </w:rPr>
              <w:t>A beteg testtömege</w:t>
            </w:r>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4A1C56B4" w14:textId="77777777" w:rsidR="0095434F" w:rsidRPr="00183B5F" w:rsidRDefault="00943743" w:rsidP="0095434F">
            <w:pPr>
              <w:jc w:val="center"/>
              <w:rPr>
                <w:b/>
              </w:rPr>
            </w:pPr>
            <w:r w:rsidRPr="00183B5F">
              <w:rPr>
                <w:b/>
              </w:rPr>
              <w:t>Indukciós dózis</w:t>
            </w:r>
          </w:p>
        </w:tc>
        <w:tc>
          <w:tcPr>
            <w:tcW w:w="1906" w:type="pct"/>
            <w:tcBorders>
              <w:top w:val="single" w:sz="6" w:space="0" w:color="000000"/>
              <w:left w:val="single" w:sz="6" w:space="0" w:color="000000"/>
              <w:bottom w:val="single" w:sz="6" w:space="0" w:color="000000"/>
              <w:right w:val="single" w:sz="6" w:space="0" w:color="000000"/>
            </w:tcBorders>
            <w:hideMark/>
          </w:tcPr>
          <w:p w14:paraId="3C371F04" w14:textId="77777777" w:rsidR="0095434F" w:rsidRPr="00183B5F" w:rsidRDefault="00943743" w:rsidP="0095434F">
            <w:pPr>
              <w:jc w:val="center"/>
              <w:rPr>
                <w:b/>
              </w:rPr>
            </w:pPr>
            <w:r w:rsidRPr="00183B5F">
              <w:rPr>
                <w:b/>
              </w:rPr>
              <w:t>Fenntartó dózis</w:t>
            </w:r>
          </w:p>
          <w:p w14:paraId="29ADBE50" w14:textId="77777777" w:rsidR="0095434F" w:rsidRPr="00183B5F" w:rsidRDefault="00943743" w:rsidP="0095434F">
            <w:pPr>
              <w:jc w:val="center"/>
              <w:rPr>
                <w:b/>
              </w:rPr>
            </w:pPr>
            <w:r w:rsidRPr="00183B5F">
              <w:rPr>
                <w:b/>
              </w:rPr>
              <w:t>4. héttől kezdve*</w:t>
            </w:r>
          </w:p>
        </w:tc>
      </w:tr>
      <w:tr w:rsidR="00011D2F" w14:paraId="4C8A2D19" w14:textId="77777777" w:rsidTr="0095434F">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5F314F0F" w14:textId="77777777" w:rsidR="0095434F" w:rsidRPr="00183B5F" w:rsidRDefault="00943743" w:rsidP="0095434F">
            <w:pPr>
              <w:jc w:val="center"/>
            </w:pPr>
            <w:r w:rsidRPr="00183B5F">
              <w:t>&lt; 40 kg</w:t>
            </w:r>
          </w:p>
        </w:tc>
        <w:tc>
          <w:tcPr>
            <w:tcW w:w="2005" w:type="pct"/>
            <w:tcBorders>
              <w:top w:val="single" w:sz="6" w:space="0" w:color="000000"/>
              <w:left w:val="single" w:sz="6" w:space="0" w:color="000000"/>
              <w:bottom w:val="single" w:sz="6" w:space="0" w:color="000000"/>
              <w:right w:val="single" w:sz="6" w:space="0" w:color="000000"/>
            </w:tcBorders>
            <w:hideMark/>
          </w:tcPr>
          <w:p w14:paraId="01B2E8C4" w14:textId="77777777" w:rsidR="0095434F" w:rsidRPr="00183B5F" w:rsidRDefault="00943743" w:rsidP="0095434F">
            <w:pPr>
              <w:numPr>
                <w:ilvl w:val="0"/>
                <w:numId w:val="231"/>
              </w:numPr>
              <w:ind w:left="360" w:hanging="210"/>
            </w:pPr>
            <w:r w:rsidRPr="00183B5F">
              <w:t>80 mg a 0. héten (két 40 mg-os injekció formájában egy napon) és</w:t>
            </w:r>
          </w:p>
          <w:p w14:paraId="47985369" w14:textId="77777777" w:rsidR="0095434F" w:rsidRPr="00183B5F" w:rsidRDefault="00943743" w:rsidP="0095434F">
            <w:pPr>
              <w:numPr>
                <w:ilvl w:val="0"/>
                <w:numId w:val="231"/>
              </w:numPr>
              <w:ind w:left="360" w:hanging="210"/>
            </w:pPr>
            <w:r w:rsidRPr="00183B5F">
              <w:t>40 mg a 2. héten (egy 40 mg-os injekció formájában)</w:t>
            </w:r>
          </w:p>
        </w:tc>
        <w:tc>
          <w:tcPr>
            <w:tcW w:w="1906" w:type="pct"/>
            <w:tcBorders>
              <w:top w:val="single" w:sz="6" w:space="0" w:color="000000"/>
              <w:left w:val="single" w:sz="6" w:space="0" w:color="000000"/>
              <w:bottom w:val="single" w:sz="6" w:space="0" w:color="000000"/>
              <w:right w:val="single" w:sz="6" w:space="0" w:color="000000"/>
            </w:tcBorders>
            <w:hideMark/>
          </w:tcPr>
          <w:p w14:paraId="39C4C36E" w14:textId="77777777" w:rsidR="0095434F" w:rsidRPr="00183B5F" w:rsidRDefault="00943743" w:rsidP="0095434F">
            <w:pPr>
              <w:numPr>
                <w:ilvl w:val="0"/>
                <w:numId w:val="231"/>
              </w:numPr>
              <w:ind w:left="360" w:hanging="210"/>
            </w:pPr>
            <w:r w:rsidRPr="00183B5F">
              <w:t>40 mg minden második héten</w:t>
            </w:r>
          </w:p>
        </w:tc>
      </w:tr>
      <w:tr w:rsidR="00011D2F" w14:paraId="4263704E" w14:textId="77777777" w:rsidTr="0095434F">
        <w:trPr>
          <w:jc w:val="center"/>
        </w:trPr>
        <w:tc>
          <w:tcPr>
            <w:tcW w:w="0" w:type="auto"/>
            <w:tcBorders>
              <w:top w:val="single" w:sz="6" w:space="0" w:color="000000"/>
              <w:left w:val="single" w:sz="6" w:space="0" w:color="000000"/>
              <w:bottom w:val="single" w:sz="4" w:space="0" w:color="auto"/>
              <w:right w:val="single" w:sz="6" w:space="0" w:color="000000"/>
            </w:tcBorders>
            <w:hideMark/>
          </w:tcPr>
          <w:p w14:paraId="6BF105A0" w14:textId="77777777" w:rsidR="0095434F" w:rsidRPr="00183B5F" w:rsidRDefault="00943743" w:rsidP="0095434F">
            <w:pPr>
              <w:jc w:val="center"/>
            </w:pPr>
            <w:r w:rsidRPr="00183B5F">
              <w:t>≥ 40 kg</w:t>
            </w:r>
          </w:p>
        </w:tc>
        <w:tc>
          <w:tcPr>
            <w:tcW w:w="2005" w:type="pct"/>
            <w:tcBorders>
              <w:top w:val="single" w:sz="6" w:space="0" w:color="000000"/>
              <w:left w:val="single" w:sz="6" w:space="0" w:color="000000"/>
              <w:bottom w:val="single" w:sz="4" w:space="0" w:color="auto"/>
              <w:right w:val="single" w:sz="6" w:space="0" w:color="000000"/>
            </w:tcBorders>
            <w:hideMark/>
          </w:tcPr>
          <w:p w14:paraId="1871BA65" w14:textId="77777777" w:rsidR="0095434F" w:rsidRPr="00183B5F" w:rsidRDefault="00943743" w:rsidP="0095434F">
            <w:pPr>
              <w:numPr>
                <w:ilvl w:val="0"/>
                <w:numId w:val="232"/>
              </w:numPr>
              <w:ind w:left="360" w:hanging="210"/>
            </w:pPr>
            <w:r w:rsidRPr="00183B5F">
              <w:t>160 mg a 0. héten (négy 40 mg</w:t>
            </w:r>
            <w:r w:rsidRPr="00183B5F">
              <w:noBreakHyphen/>
              <w:t>os injekció formájában egy napon vagy két 40 mg</w:t>
            </w:r>
            <w:r w:rsidRPr="00183B5F">
              <w:noBreakHyphen/>
              <w:t>os injekció két egymást követő napon beadva) és</w:t>
            </w:r>
          </w:p>
          <w:p w14:paraId="5E08847D" w14:textId="77777777" w:rsidR="0095434F" w:rsidRPr="00183B5F" w:rsidRDefault="00943743" w:rsidP="0095434F">
            <w:pPr>
              <w:numPr>
                <w:ilvl w:val="0"/>
                <w:numId w:val="232"/>
              </w:numPr>
              <w:ind w:left="360" w:hanging="210"/>
            </w:pPr>
            <w:r w:rsidRPr="00183B5F">
              <w:t>80 mg a 2. héten (két 40 mg-os injekció formájában egy napon)</w:t>
            </w:r>
          </w:p>
        </w:tc>
        <w:tc>
          <w:tcPr>
            <w:tcW w:w="1906" w:type="pct"/>
            <w:tcBorders>
              <w:top w:val="single" w:sz="6" w:space="0" w:color="000000"/>
              <w:left w:val="single" w:sz="6" w:space="0" w:color="000000"/>
              <w:bottom w:val="single" w:sz="4" w:space="0" w:color="auto"/>
              <w:right w:val="single" w:sz="6" w:space="0" w:color="000000"/>
            </w:tcBorders>
            <w:hideMark/>
          </w:tcPr>
          <w:p w14:paraId="07CF9A69" w14:textId="77777777" w:rsidR="0095434F" w:rsidRPr="00183B5F" w:rsidRDefault="00943743" w:rsidP="0095434F">
            <w:pPr>
              <w:numPr>
                <w:ilvl w:val="0"/>
                <w:numId w:val="231"/>
              </w:numPr>
              <w:ind w:left="360" w:hanging="210"/>
            </w:pPr>
            <w:r w:rsidRPr="00183B5F">
              <w:t>80 mg minden második héten</w:t>
            </w:r>
          </w:p>
        </w:tc>
      </w:tr>
      <w:tr w:rsidR="00011D2F" w14:paraId="3378A849" w14:textId="77777777" w:rsidTr="0095434F">
        <w:trPr>
          <w:jc w:val="center"/>
        </w:trPr>
        <w:tc>
          <w:tcPr>
            <w:tcW w:w="5000" w:type="pct"/>
            <w:gridSpan w:val="3"/>
            <w:tcBorders>
              <w:top w:val="single" w:sz="4" w:space="0" w:color="auto"/>
              <w:left w:val="nil"/>
              <w:bottom w:val="nil"/>
              <w:right w:val="nil"/>
            </w:tcBorders>
          </w:tcPr>
          <w:p w14:paraId="7BD84915" w14:textId="77777777" w:rsidR="0095434F" w:rsidRPr="00183B5F" w:rsidRDefault="00943743" w:rsidP="0095434F">
            <w:r w:rsidRPr="00183B5F">
              <w:t xml:space="preserve">*Azoknak a serdülőknek, akik a Humira-kezelés alatt töltik be 18 éves kort, folytatniuk kell az előírt fenntartó </w:t>
            </w:r>
            <w:r w:rsidR="003916B1" w:rsidRPr="00183B5F">
              <w:t>kezelést</w:t>
            </w:r>
            <w:r w:rsidRPr="00183B5F">
              <w:t>.</w:t>
            </w:r>
          </w:p>
        </w:tc>
      </w:tr>
    </w:tbl>
    <w:p w14:paraId="36DCC386" w14:textId="77777777" w:rsidR="0095434F" w:rsidRPr="00183B5F" w:rsidRDefault="0095434F" w:rsidP="0095434F"/>
    <w:p w14:paraId="4E45BEB3" w14:textId="77777777" w:rsidR="0095434F" w:rsidRPr="00183B5F" w:rsidRDefault="00943743" w:rsidP="0095434F">
      <w:r w:rsidRPr="00183B5F">
        <w:t>A kezelés folytatását alaposan meg kell fontolni azoknál a betegeknél, akik 12. hétig nem reagálnak a kezelésre.</w:t>
      </w:r>
    </w:p>
    <w:p w14:paraId="64B1BCC1" w14:textId="77777777" w:rsidR="0095434F" w:rsidRPr="00183B5F" w:rsidRDefault="0095434F" w:rsidP="0095434F"/>
    <w:p w14:paraId="11A32F41" w14:textId="77777777" w:rsidR="0095434F" w:rsidRPr="00183B5F" w:rsidRDefault="00943743" w:rsidP="0095434F">
      <w:r w:rsidRPr="00183B5F">
        <w:t>A Humira-nak 6 évesnél fiatalabb betegeknél ebben a javallatban nincs releváns alkalmazása.</w:t>
      </w:r>
    </w:p>
    <w:p w14:paraId="3C587CBF" w14:textId="77777777" w:rsidR="0095434F" w:rsidRPr="00183B5F" w:rsidRDefault="0095434F" w:rsidP="0095434F"/>
    <w:p w14:paraId="29B684B4" w14:textId="77777777" w:rsidR="0095434F" w:rsidRPr="00183B5F" w:rsidRDefault="00943743" w:rsidP="0095434F">
      <w:r w:rsidRPr="00183B5F">
        <w:t>A Humira más hatáserősségben és/vagy kiszerelésben is elérhető az egyéni terápiás igényeknek megfelelően.</w:t>
      </w:r>
    </w:p>
    <w:p w14:paraId="5A0DB4A5" w14:textId="77777777" w:rsidR="002D2ADE" w:rsidRPr="00183B5F" w:rsidRDefault="002D2ADE" w:rsidP="002D2ADE">
      <w:pPr>
        <w:spacing w:line="240" w:lineRule="auto"/>
        <w:rPr>
          <w:szCs w:val="22"/>
        </w:rPr>
      </w:pPr>
    </w:p>
    <w:p w14:paraId="5AD8142D" w14:textId="77777777" w:rsidR="005D0A88" w:rsidRPr="00183B5F" w:rsidRDefault="00943743">
      <w:pPr>
        <w:keepNext/>
        <w:spacing w:line="240" w:lineRule="auto"/>
        <w:rPr>
          <w:i/>
          <w:szCs w:val="22"/>
          <w:u w:val="single"/>
        </w:rPr>
      </w:pPr>
      <w:r w:rsidRPr="00183B5F">
        <w:rPr>
          <w:i/>
          <w:szCs w:val="22"/>
          <w:u w:val="single"/>
        </w:rPr>
        <w:t>Gyermekkori uveitis</w:t>
      </w:r>
    </w:p>
    <w:p w14:paraId="2E8AF451" w14:textId="77777777" w:rsidR="00C41E8A" w:rsidRPr="00183B5F" w:rsidRDefault="00C41E8A" w:rsidP="00832DC3">
      <w:pPr>
        <w:keepNext/>
        <w:spacing w:line="240" w:lineRule="auto"/>
        <w:rPr>
          <w:szCs w:val="22"/>
        </w:rPr>
      </w:pPr>
    </w:p>
    <w:p w14:paraId="23CB8578" w14:textId="77777777" w:rsidR="00A00BD9" w:rsidRPr="00183B5F" w:rsidRDefault="00943743" w:rsidP="0009469D">
      <w:pPr>
        <w:spacing w:line="240" w:lineRule="auto"/>
        <w:rPr>
          <w:szCs w:val="22"/>
        </w:rPr>
      </w:pPr>
      <w:r w:rsidRPr="00183B5F">
        <w:rPr>
          <w:szCs w:val="22"/>
        </w:rPr>
        <w:t>A Humira ajánlott adagja uve</w:t>
      </w:r>
      <w:r w:rsidR="004C0238" w:rsidRPr="00183B5F">
        <w:rPr>
          <w:szCs w:val="22"/>
        </w:rPr>
        <w:t>i</w:t>
      </w:r>
      <w:r w:rsidRPr="00183B5F">
        <w:rPr>
          <w:szCs w:val="22"/>
        </w:rPr>
        <w:t>tisben szenvedő</w:t>
      </w:r>
      <w:r w:rsidR="003C3FF6" w:rsidRPr="00183B5F">
        <w:rPr>
          <w:szCs w:val="22"/>
        </w:rPr>
        <w:t>,</w:t>
      </w:r>
      <w:r w:rsidRPr="00183B5F">
        <w:rPr>
          <w:szCs w:val="22"/>
        </w:rPr>
        <w:t xml:space="preserve"> 2 évesnél idősebb gyermekek</w:t>
      </w:r>
      <w:r w:rsidR="000807DC" w:rsidRPr="00183B5F">
        <w:rPr>
          <w:szCs w:val="22"/>
        </w:rPr>
        <w:t>nél a</w:t>
      </w:r>
      <w:r w:rsidRPr="00183B5F">
        <w:rPr>
          <w:szCs w:val="22"/>
        </w:rPr>
        <w:t xml:space="preserve"> testtömegtől függ (</w:t>
      </w:r>
      <w:r w:rsidR="002D2ADE" w:rsidRPr="00183B5F">
        <w:rPr>
          <w:szCs w:val="22"/>
        </w:rPr>
        <w:t>6</w:t>
      </w:r>
      <w:r w:rsidRPr="00183B5F">
        <w:rPr>
          <w:szCs w:val="22"/>
        </w:rPr>
        <w:t>. táblázat). A Humira</w:t>
      </w:r>
      <w:r w:rsidR="00DD77ED" w:rsidRPr="00183B5F">
        <w:rPr>
          <w:szCs w:val="22"/>
        </w:rPr>
        <w:noBreakHyphen/>
      </w:r>
      <w:r w:rsidRPr="00183B5F">
        <w:rPr>
          <w:szCs w:val="22"/>
        </w:rPr>
        <w:t xml:space="preserve">t subcutan injekció formájában </w:t>
      </w:r>
      <w:r w:rsidR="000807DC" w:rsidRPr="00183B5F">
        <w:rPr>
          <w:szCs w:val="22"/>
        </w:rPr>
        <w:t xml:space="preserve">kell </w:t>
      </w:r>
      <w:r w:rsidRPr="00183B5F">
        <w:rPr>
          <w:szCs w:val="22"/>
        </w:rPr>
        <w:t>alkalmaz</w:t>
      </w:r>
      <w:r w:rsidR="000807DC" w:rsidRPr="00183B5F">
        <w:rPr>
          <w:szCs w:val="22"/>
        </w:rPr>
        <w:t>ni</w:t>
      </w:r>
      <w:r w:rsidRPr="00183B5F">
        <w:rPr>
          <w:szCs w:val="22"/>
        </w:rPr>
        <w:t>.</w:t>
      </w:r>
    </w:p>
    <w:p w14:paraId="51CC0F5B" w14:textId="77777777" w:rsidR="005D0A88" w:rsidRPr="00183B5F" w:rsidRDefault="005D0A88" w:rsidP="0009469D">
      <w:pPr>
        <w:spacing w:line="240" w:lineRule="auto"/>
        <w:rPr>
          <w:i/>
          <w:szCs w:val="22"/>
        </w:rPr>
      </w:pPr>
    </w:p>
    <w:p w14:paraId="1C75E9D5" w14:textId="77777777" w:rsidR="005D0A88" w:rsidRPr="00183B5F" w:rsidRDefault="00943743" w:rsidP="00FE0197">
      <w:pPr>
        <w:spacing w:line="240" w:lineRule="auto"/>
        <w:rPr>
          <w:szCs w:val="22"/>
        </w:rPr>
      </w:pPr>
      <w:r w:rsidRPr="00183B5F">
        <w:rPr>
          <w:szCs w:val="22"/>
        </w:rPr>
        <w:t>Gyermekkori uveitisben nincs tapasztalat az egyidejű metotrexát</w:t>
      </w:r>
      <w:r w:rsidRPr="00183B5F">
        <w:rPr>
          <w:szCs w:val="22"/>
        </w:rPr>
        <w:noBreakHyphen/>
        <w:t>kezelés nélküli Humira</w:t>
      </w:r>
      <w:r w:rsidR="00DC6E72" w:rsidRPr="00183B5F">
        <w:rPr>
          <w:szCs w:val="22"/>
        </w:rPr>
        <w:noBreakHyphen/>
        <w:t>kezeléssel</w:t>
      </w:r>
      <w:r w:rsidRPr="00183B5F">
        <w:rPr>
          <w:szCs w:val="22"/>
        </w:rPr>
        <w:t xml:space="preserve">. </w:t>
      </w:r>
    </w:p>
    <w:p w14:paraId="729846B3" w14:textId="77777777" w:rsidR="00C41E8A" w:rsidRPr="00183B5F" w:rsidRDefault="00C41E8A" w:rsidP="00FE0197">
      <w:pPr>
        <w:spacing w:line="240" w:lineRule="auto"/>
        <w:rPr>
          <w:szCs w:val="22"/>
        </w:rPr>
      </w:pPr>
    </w:p>
    <w:p w14:paraId="56DD3551" w14:textId="77777777" w:rsidR="00C41E8A" w:rsidRPr="00183B5F" w:rsidRDefault="00943743" w:rsidP="00FE0197">
      <w:pPr>
        <w:spacing w:line="240" w:lineRule="auto"/>
        <w:jc w:val="center"/>
        <w:rPr>
          <w:b/>
          <w:szCs w:val="22"/>
        </w:rPr>
      </w:pPr>
      <w:r w:rsidRPr="00183B5F">
        <w:rPr>
          <w:b/>
          <w:szCs w:val="22"/>
        </w:rPr>
        <w:t>6. táblázat: A Humira dózisa uveitisben szenvedő gyermekek</w:t>
      </w:r>
      <w:r w:rsidR="000807DC" w:rsidRPr="00183B5F">
        <w:rPr>
          <w:b/>
          <w:szCs w:val="22"/>
        </w:rPr>
        <w:t>nél</w:t>
      </w:r>
    </w:p>
    <w:p w14:paraId="7F533AAA" w14:textId="77777777" w:rsidR="00C41E8A" w:rsidRPr="00183B5F" w:rsidRDefault="00C41E8A" w:rsidP="00FE0197">
      <w:pPr>
        <w:spacing w:line="240" w:lineRule="auto"/>
        <w:rPr>
          <w:szCs w:val="22"/>
        </w:rPr>
      </w:pPr>
    </w:p>
    <w:tbl>
      <w:tblPr>
        <w:tblW w:w="6795" w:type="dxa"/>
        <w:jc w:val="center"/>
        <w:tblLayout w:type="fixed"/>
        <w:tblLook w:val="0000" w:firstRow="0" w:lastRow="0" w:firstColumn="0" w:lastColumn="0" w:noHBand="0" w:noVBand="0"/>
      </w:tblPr>
      <w:tblGrid>
        <w:gridCol w:w="3401"/>
        <w:gridCol w:w="3394"/>
      </w:tblGrid>
      <w:tr w:rsidR="00011D2F" w14:paraId="3F3548F0" w14:textId="77777777" w:rsidTr="00832DC3">
        <w:trPr>
          <w:tblHeader/>
          <w:jc w:val="center"/>
        </w:trPr>
        <w:tc>
          <w:tcPr>
            <w:tcW w:w="3401" w:type="dxa"/>
            <w:tcBorders>
              <w:top w:val="single" w:sz="4" w:space="0" w:color="auto"/>
              <w:bottom w:val="single" w:sz="4" w:space="0" w:color="auto"/>
            </w:tcBorders>
          </w:tcPr>
          <w:p w14:paraId="36FE8E95" w14:textId="77777777" w:rsidR="00C41E8A" w:rsidRPr="00183B5F" w:rsidRDefault="00943743" w:rsidP="00FE0197">
            <w:pPr>
              <w:pStyle w:val="TableLeft"/>
              <w:keepNext w:val="0"/>
              <w:spacing w:before="0" w:after="0" w:line="240" w:lineRule="auto"/>
              <w:jc w:val="center"/>
              <w:rPr>
                <w:b/>
                <w:sz w:val="22"/>
                <w:szCs w:val="22"/>
                <w:lang w:val="hu-HU"/>
              </w:rPr>
            </w:pPr>
            <w:r w:rsidRPr="00183B5F">
              <w:rPr>
                <w:b/>
                <w:sz w:val="22"/>
                <w:szCs w:val="22"/>
                <w:lang w:val="hu-HU"/>
              </w:rPr>
              <w:t xml:space="preserve">A beteg testtömege </w:t>
            </w:r>
          </w:p>
        </w:tc>
        <w:tc>
          <w:tcPr>
            <w:tcW w:w="3394" w:type="dxa"/>
            <w:tcBorders>
              <w:top w:val="single" w:sz="4" w:space="0" w:color="auto"/>
              <w:bottom w:val="single" w:sz="4" w:space="0" w:color="auto"/>
            </w:tcBorders>
          </w:tcPr>
          <w:p w14:paraId="5EB0C9A9" w14:textId="77777777" w:rsidR="00C41E8A" w:rsidRPr="00183B5F" w:rsidRDefault="00943743" w:rsidP="00FE0197">
            <w:pPr>
              <w:pStyle w:val="TableLeft"/>
              <w:keepNext w:val="0"/>
              <w:spacing w:before="0" w:after="0" w:line="240" w:lineRule="auto"/>
              <w:jc w:val="center"/>
              <w:rPr>
                <w:b/>
                <w:sz w:val="22"/>
                <w:szCs w:val="22"/>
                <w:lang w:val="hu-HU"/>
              </w:rPr>
            </w:pPr>
            <w:r w:rsidRPr="00183B5F">
              <w:rPr>
                <w:b/>
                <w:sz w:val="22"/>
                <w:szCs w:val="22"/>
                <w:lang w:val="hu-HU"/>
              </w:rPr>
              <w:t>Adagolási rend</w:t>
            </w:r>
          </w:p>
        </w:tc>
      </w:tr>
      <w:tr w:rsidR="00011D2F" w14:paraId="403D0436" w14:textId="77777777" w:rsidTr="00832DC3">
        <w:trPr>
          <w:tblHeader/>
          <w:jc w:val="center"/>
        </w:trPr>
        <w:tc>
          <w:tcPr>
            <w:tcW w:w="3401" w:type="dxa"/>
            <w:tcBorders>
              <w:top w:val="single" w:sz="4" w:space="0" w:color="auto"/>
              <w:bottom w:val="single" w:sz="4" w:space="0" w:color="auto"/>
            </w:tcBorders>
          </w:tcPr>
          <w:p w14:paraId="7A3BF248" w14:textId="77777777" w:rsidR="00C41E8A" w:rsidRPr="00183B5F" w:rsidRDefault="00943743" w:rsidP="00FE0197">
            <w:pPr>
              <w:pStyle w:val="TableLeft"/>
              <w:keepNext w:val="0"/>
              <w:spacing w:before="0" w:after="0" w:line="240" w:lineRule="auto"/>
              <w:jc w:val="center"/>
              <w:rPr>
                <w:b/>
                <w:sz w:val="22"/>
                <w:szCs w:val="22"/>
                <w:lang w:val="hu-HU"/>
              </w:rPr>
            </w:pPr>
            <w:r w:rsidRPr="00183B5F">
              <w:rPr>
                <w:sz w:val="22"/>
                <w:szCs w:val="22"/>
                <w:lang w:val="hu-HU"/>
              </w:rPr>
              <w:t>&lt;</w:t>
            </w:r>
            <w:r w:rsidR="0025391D" w:rsidRPr="00183B5F">
              <w:rPr>
                <w:sz w:val="22"/>
                <w:szCs w:val="22"/>
                <w:lang w:val="hu-HU"/>
              </w:rPr>
              <w:t> </w:t>
            </w:r>
            <w:r w:rsidRPr="00183B5F">
              <w:rPr>
                <w:sz w:val="22"/>
                <w:szCs w:val="22"/>
                <w:lang w:val="hu-HU"/>
              </w:rPr>
              <w:t>30 kg</w:t>
            </w:r>
          </w:p>
        </w:tc>
        <w:tc>
          <w:tcPr>
            <w:tcW w:w="3394" w:type="dxa"/>
            <w:tcBorders>
              <w:top w:val="single" w:sz="4" w:space="0" w:color="auto"/>
              <w:bottom w:val="single" w:sz="4" w:space="0" w:color="auto"/>
            </w:tcBorders>
          </w:tcPr>
          <w:p w14:paraId="68CA9EDA" w14:textId="77777777" w:rsidR="00C41E8A" w:rsidRPr="00183B5F" w:rsidRDefault="00943743" w:rsidP="00FE0197">
            <w:pPr>
              <w:pStyle w:val="TableLeft"/>
              <w:keepNext w:val="0"/>
              <w:spacing w:before="0" w:after="0" w:line="240" w:lineRule="auto"/>
              <w:jc w:val="center"/>
              <w:rPr>
                <w:b/>
                <w:sz w:val="22"/>
                <w:szCs w:val="22"/>
                <w:lang w:val="hu-HU"/>
              </w:rPr>
            </w:pPr>
            <w:r w:rsidRPr="00183B5F">
              <w:rPr>
                <w:sz w:val="22"/>
                <w:szCs w:val="22"/>
                <w:lang w:val="hu-HU"/>
              </w:rPr>
              <w:t>20 mg minden második héten metotrexáttal kombinálva</w:t>
            </w:r>
          </w:p>
        </w:tc>
      </w:tr>
      <w:tr w:rsidR="00011D2F" w14:paraId="27911EFB" w14:textId="77777777" w:rsidTr="00832DC3">
        <w:trPr>
          <w:tblHeader/>
          <w:jc w:val="center"/>
        </w:trPr>
        <w:tc>
          <w:tcPr>
            <w:tcW w:w="3401" w:type="dxa"/>
            <w:tcBorders>
              <w:top w:val="single" w:sz="4" w:space="0" w:color="auto"/>
              <w:bottom w:val="single" w:sz="4" w:space="0" w:color="auto"/>
            </w:tcBorders>
          </w:tcPr>
          <w:p w14:paraId="7FD75E7C" w14:textId="77777777" w:rsidR="00C41E8A" w:rsidRPr="00183B5F" w:rsidRDefault="00943743" w:rsidP="00FE0197">
            <w:pPr>
              <w:pStyle w:val="TableLeft"/>
              <w:keepNext w:val="0"/>
              <w:spacing w:before="0" w:after="0" w:line="240" w:lineRule="auto"/>
              <w:jc w:val="center"/>
              <w:rPr>
                <w:b/>
                <w:sz w:val="22"/>
                <w:szCs w:val="22"/>
                <w:lang w:val="hu-HU"/>
              </w:rPr>
            </w:pPr>
            <w:r w:rsidRPr="00183B5F">
              <w:rPr>
                <w:sz w:val="22"/>
                <w:szCs w:val="22"/>
                <w:lang w:val="hu-HU"/>
              </w:rPr>
              <w:t>≥</w:t>
            </w:r>
            <w:r w:rsidR="0025391D" w:rsidRPr="00183B5F">
              <w:rPr>
                <w:sz w:val="22"/>
                <w:szCs w:val="22"/>
                <w:lang w:val="hu-HU"/>
              </w:rPr>
              <w:t> </w:t>
            </w:r>
            <w:r w:rsidRPr="00183B5F">
              <w:rPr>
                <w:sz w:val="22"/>
                <w:szCs w:val="22"/>
                <w:lang w:val="hu-HU"/>
              </w:rPr>
              <w:t>30 kg</w:t>
            </w:r>
          </w:p>
        </w:tc>
        <w:tc>
          <w:tcPr>
            <w:tcW w:w="3394" w:type="dxa"/>
            <w:tcBorders>
              <w:top w:val="single" w:sz="4" w:space="0" w:color="auto"/>
              <w:bottom w:val="single" w:sz="4" w:space="0" w:color="auto"/>
            </w:tcBorders>
          </w:tcPr>
          <w:p w14:paraId="0450B735" w14:textId="77777777" w:rsidR="00C41E8A" w:rsidRPr="00183B5F" w:rsidRDefault="00943743" w:rsidP="00FE0197">
            <w:pPr>
              <w:pStyle w:val="TableLeft"/>
              <w:keepNext w:val="0"/>
              <w:spacing w:before="0" w:after="0" w:line="240" w:lineRule="auto"/>
              <w:jc w:val="center"/>
              <w:rPr>
                <w:b/>
                <w:sz w:val="22"/>
                <w:szCs w:val="22"/>
                <w:lang w:val="hu-HU"/>
              </w:rPr>
            </w:pPr>
            <w:r w:rsidRPr="00183B5F">
              <w:rPr>
                <w:sz w:val="22"/>
                <w:szCs w:val="22"/>
                <w:lang w:val="hu-HU"/>
              </w:rPr>
              <w:t>40 mg minden második héten metotrexáttal kombinálva</w:t>
            </w:r>
          </w:p>
        </w:tc>
      </w:tr>
    </w:tbl>
    <w:p w14:paraId="055E5BE7" w14:textId="77777777" w:rsidR="00C41E8A" w:rsidRPr="00183B5F" w:rsidRDefault="00C41E8A" w:rsidP="00FE0197">
      <w:pPr>
        <w:spacing w:line="240" w:lineRule="auto"/>
        <w:rPr>
          <w:szCs w:val="22"/>
        </w:rPr>
      </w:pPr>
    </w:p>
    <w:p w14:paraId="0FF862CB" w14:textId="77777777" w:rsidR="005D0A88" w:rsidRPr="00183B5F" w:rsidRDefault="00943743" w:rsidP="004062FE">
      <w:pPr>
        <w:spacing w:line="240" w:lineRule="auto"/>
        <w:rPr>
          <w:szCs w:val="22"/>
        </w:rPr>
      </w:pPr>
      <w:r w:rsidRPr="00183B5F">
        <w:rPr>
          <w:szCs w:val="22"/>
        </w:rPr>
        <w:t>A Humira</w:t>
      </w:r>
      <w:r w:rsidRPr="00183B5F">
        <w:rPr>
          <w:szCs w:val="22"/>
        </w:rPr>
        <w:noBreakHyphen/>
        <w:t>kezelés megkezdésekor egy 40 mg</w:t>
      </w:r>
      <w:r w:rsidRPr="00183B5F">
        <w:rPr>
          <w:szCs w:val="22"/>
        </w:rPr>
        <w:noBreakHyphen/>
        <w:t>os telítő dózis adható</w:t>
      </w:r>
      <w:r w:rsidR="00C41E8A" w:rsidRPr="00183B5F">
        <w:rPr>
          <w:szCs w:val="22"/>
        </w:rPr>
        <w:t xml:space="preserve"> a 30 kg alatti betegeknek vagy egy 80 mg</w:t>
      </w:r>
      <w:r w:rsidR="00C41E8A" w:rsidRPr="00183B5F">
        <w:rPr>
          <w:szCs w:val="22"/>
        </w:rPr>
        <w:noBreakHyphen/>
        <w:t>os telítő dózis adható a legalább 30 kg</w:t>
      </w:r>
      <w:r w:rsidR="00DD77ED" w:rsidRPr="00183B5F">
        <w:rPr>
          <w:szCs w:val="22"/>
        </w:rPr>
        <w:noBreakHyphen/>
      </w:r>
      <w:r w:rsidR="00C41E8A" w:rsidRPr="00183B5F">
        <w:rPr>
          <w:szCs w:val="22"/>
        </w:rPr>
        <w:t>os betegeknek</w:t>
      </w:r>
      <w:r w:rsidRPr="00183B5F">
        <w:rPr>
          <w:szCs w:val="22"/>
        </w:rPr>
        <w:t xml:space="preserve"> egy héttel a fenntartó kezelés megkezdése előtt. Nem állnak rendelkezésre klinikai adatok </w:t>
      </w:r>
      <w:r w:rsidR="001A6052" w:rsidRPr="00183B5F">
        <w:rPr>
          <w:szCs w:val="22"/>
        </w:rPr>
        <w:t xml:space="preserve">a </w:t>
      </w:r>
      <w:r w:rsidRPr="00183B5F">
        <w:rPr>
          <w:szCs w:val="22"/>
        </w:rPr>
        <w:t>Humira telítő adagjának 6 évnél fiatalabb gyerm</w:t>
      </w:r>
      <w:r w:rsidR="003B67F0" w:rsidRPr="00183B5F">
        <w:rPr>
          <w:szCs w:val="22"/>
        </w:rPr>
        <w:t>ek</w:t>
      </w:r>
      <w:r w:rsidRPr="00183B5F">
        <w:rPr>
          <w:szCs w:val="22"/>
        </w:rPr>
        <w:t>ek esetén történő alkalmazásáról (lásd 5.2 pont).</w:t>
      </w:r>
    </w:p>
    <w:p w14:paraId="46F2D03A" w14:textId="77777777" w:rsidR="005D0A88" w:rsidRPr="00183B5F" w:rsidRDefault="005D0A88" w:rsidP="004062FE">
      <w:pPr>
        <w:spacing w:line="240" w:lineRule="auto"/>
        <w:rPr>
          <w:szCs w:val="22"/>
        </w:rPr>
      </w:pPr>
    </w:p>
    <w:p w14:paraId="6C2B09AC" w14:textId="77777777" w:rsidR="005D0A88" w:rsidRPr="00183B5F" w:rsidRDefault="00943743" w:rsidP="004062FE">
      <w:pPr>
        <w:spacing w:line="240" w:lineRule="auto"/>
        <w:rPr>
          <w:szCs w:val="22"/>
        </w:rPr>
      </w:pPr>
      <w:r w:rsidRPr="00183B5F">
        <w:rPr>
          <w:szCs w:val="22"/>
        </w:rPr>
        <w:t xml:space="preserve">A </w:t>
      </w:r>
      <w:r w:rsidR="00ED45A7" w:rsidRPr="00183B5F">
        <w:rPr>
          <w:szCs w:val="22"/>
        </w:rPr>
        <w:t>Humira</w:t>
      </w:r>
      <w:r w:rsidR="00ED45A7" w:rsidRPr="00183B5F">
        <w:rPr>
          <w:szCs w:val="22"/>
        </w:rPr>
        <w:noBreakHyphen/>
        <w:t>nak</w:t>
      </w:r>
      <w:r w:rsidRPr="00183B5F">
        <w:rPr>
          <w:szCs w:val="22"/>
        </w:rPr>
        <w:t xml:space="preserve"> 2 évesnél fiatalabb gyermekeknél ebben a javallatban nincs releváns alkalmazása.</w:t>
      </w:r>
    </w:p>
    <w:p w14:paraId="4A1F0C10" w14:textId="77777777" w:rsidR="005D0A88" w:rsidRPr="00183B5F" w:rsidRDefault="005D0A88" w:rsidP="004062FE">
      <w:pPr>
        <w:spacing w:line="240" w:lineRule="auto"/>
        <w:rPr>
          <w:szCs w:val="22"/>
        </w:rPr>
      </w:pPr>
    </w:p>
    <w:p w14:paraId="241E8FF7" w14:textId="77777777" w:rsidR="005D0A88" w:rsidRPr="00183B5F" w:rsidRDefault="00943743" w:rsidP="004062FE">
      <w:pPr>
        <w:spacing w:line="240" w:lineRule="auto"/>
        <w:rPr>
          <w:szCs w:val="22"/>
        </w:rPr>
      </w:pPr>
      <w:r w:rsidRPr="00183B5F">
        <w:rPr>
          <w:szCs w:val="22"/>
        </w:rPr>
        <w:t>Javasolt a folyamatos, hosszú távú kezelés előnyét és kockázatát évente értékelni (lásd 5.1 pont).</w:t>
      </w:r>
    </w:p>
    <w:p w14:paraId="4385BB84" w14:textId="77777777" w:rsidR="00A00BD9" w:rsidRPr="00183B5F" w:rsidRDefault="00A00BD9" w:rsidP="004062FE">
      <w:pPr>
        <w:spacing w:line="240" w:lineRule="auto"/>
        <w:rPr>
          <w:szCs w:val="22"/>
        </w:rPr>
      </w:pPr>
    </w:p>
    <w:p w14:paraId="7C77870C" w14:textId="77777777" w:rsidR="00A00BD9" w:rsidRPr="00183B5F" w:rsidRDefault="00943743" w:rsidP="004062FE">
      <w:pPr>
        <w:spacing w:line="240" w:lineRule="auto"/>
        <w:rPr>
          <w:szCs w:val="22"/>
        </w:rPr>
      </w:pPr>
      <w:r w:rsidRPr="00183B5F">
        <w:rPr>
          <w:szCs w:val="22"/>
        </w:rPr>
        <w:t>A Humira más hatáserősségben és/vagy kiszerelésben is elérhető az egyéni terápiás igényeknek megfelelően.</w:t>
      </w:r>
    </w:p>
    <w:p w14:paraId="1084DE3C" w14:textId="77777777" w:rsidR="00C55D56" w:rsidRPr="00183B5F" w:rsidRDefault="00C55D56">
      <w:pPr>
        <w:spacing w:line="240" w:lineRule="auto"/>
        <w:rPr>
          <w:i/>
          <w:szCs w:val="22"/>
        </w:rPr>
      </w:pPr>
    </w:p>
    <w:p w14:paraId="544E5579" w14:textId="77777777" w:rsidR="00D0403E" w:rsidRPr="00183B5F" w:rsidRDefault="00943743" w:rsidP="004062FE">
      <w:pPr>
        <w:spacing w:line="240" w:lineRule="auto"/>
        <w:rPr>
          <w:u w:val="single"/>
          <w:lang w:eastAsia="x-none"/>
        </w:rPr>
      </w:pPr>
      <w:r w:rsidRPr="00183B5F">
        <w:rPr>
          <w:u w:val="single"/>
          <w:lang w:eastAsia="x-none"/>
        </w:rPr>
        <w:t>Az alkalmazás módja</w:t>
      </w:r>
    </w:p>
    <w:p w14:paraId="5C31ED34" w14:textId="77777777" w:rsidR="00D0403E" w:rsidRPr="00183B5F" w:rsidRDefault="00D0403E" w:rsidP="004062FE">
      <w:pPr>
        <w:spacing w:line="240" w:lineRule="auto"/>
        <w:rPr>
          <w:u w:val="single"/>
          <w:lang w:eastAsia="x-none"/>
        </w:rPr>
      </w:pPr>
    </w:p>
    <w:p w14:paraId="0265D377" w14:textId="77777777" w:rsidR="00D0403E" w:rsidRPr="00183B5F" w:rsidRDefault="00943743" w:rsidP="004062FE">
      <w:pPr>
        <w:spacing w:line="240" w:lineRule="auto"/>
        <w:rPr>
          <w:lang w:eastAsia="x-none"/>
        </w:rPr>
      </w:pPr>
      <w:r w:rsidRPr="00183B5F">
        <w:rPr>
          <w:lang w:eastAsia="x-none"/>
        </w:rPr>
        <w:t xml:space="preserve">A Humira </w:t>
      </w:r>
      <w:r w:rsidRPr="00183B5F">
        <w:rPr>
          <w:szCs w:val="22"/>
        </w:rPr>
        <w:t>subcutan injekció formájában kerül beadásra. Az alkalmazásra vonatkozó teljes körű utasítás a betegtájékoztatóban található.</w:t>
      </w:r>
    </w:p>
    <w:p w14:paraId="176E1B1B" w14:textId="77777777" w:rsidR="00D0403E" w:rsidRPr="00183B5F" w:rsidRDefault="00D0403E" w:rsidP="004062FE">
      <w:pPr>
        <w:spacing w:line="240" w:lineRule="auto"/>
        <w:rPr>
          <w:szCs w:val="22"/>
        </w:rPr>
      </w:pPr>
    </w:p>
    <w:p w14:paraId="761287FD" w14:textId="77777777" w:rsidR="00C41E8A" w:rsidRPr="00183B5F" w:rsidRDefault="00943743">
      <w:pPr>
        <w:spacing w:line="240" w:lineRule="auto"/>
        <w:rPr>
          <w:lang w:eastAsia="x-none"/>
        </w:rPr>
      </w:pPr>
      <w:r w:rsidRPr="00183B5F">
        <w:rPr>
          <w:szCs w:val="22"/>
        </w:rPr>
        <w:t>A Humira más hatáserősségekben és kiszerelésekben is rendelkezésre áll.</w:t>
      </w:r>
    </w:p>
    <w:p w14:paraId="3FF7FA0F" w14:textId="77777777" w:rsidR="00D0403E" w:rsidRPr="00183B5F" w:rsidRDefault="00D0403E">
      <w:pPr>
        <w:spacing w:line="240" w:lineRule="auto"/>
        <w:rPr>
          <w:szCs w:val="22"/>
        </w:rPr>
      </w:pPr>
    </w:p>
    <w:p w14:paraId="2740E2C0" w14:textId="77777777" w:rsidR="00D0403E" w:rsidRPr="00183B5F" w:rsidRDefault="00943743" w:rsidP="006B2397">
      <w:pPr>
        <w:spacing w:line="240" w:lineRule="auto"/>
        <w:rPr>
          <w:b/>
          <w:szCs w:val="22"/>
        </w:rPr>
      </w:pPr>
      <w:r w:rsidRPr="00183B5F">
        <w:rPr>
          <w:b/>
          <w:szCs w:val="22"/>
        </w:rPr>
        <w:t>4.3</w:t>
      </w:r>
      <w:r w:rsidRPr="00183B5F">
        <w:rPr>
          <w:b/>
          <w:szCs w:val="22"/>
        </w:rPr>
        <w:tab/>
        <w:t>Ellenjavallatok</w:t>
      </w:r>
    </w:p>
    <w:p w14:paraId="7F47964B" w14:textId="77777777" w:rsidR="00D0403E" w:rsidRPr="00183B5F" w:rsidRDefault="00D0403E" w:rsidP="004062FE">
      <w:pPr>
        <w:spacing w:line="240" w:lineRule="auto"/>
        <w:rPr>
          <w:szCs w:val="22"/>
        </w:rPr>
      </w:pPr>
    </w:p>
    <w:p w14:paraId="785DC470" w14:textId="77777777" w:rsidR="00D0403E" w:rsidRPr="00183B5F" w:rsidRDefault="00943743" w:rsidP="004062FE">
      <w:pPr>
        <w:spacing w:line="240" w:lineRule="auto"/>
        <w:rPr>
          <w:szCs w:val="22"/>
        </w:rPr>
      </w:pPr>
      <w:r w:rsidRPr="00183B5F">
        <w:rPr>
          <w:szCs w:val="22"/>
        </w:rPr>
        <w:t xml:space="preserve">A készítmény hatóanyagával vagy </w:t>
      </w:r>
      <w:r w:rsidRPr="00183B5F">
        <w:rPr>
          <w:noProof/>
          <w:szCs w:val="24"/>
        </w:rPr>
        <w:t xml:space="preserve">a 6.1 pontban felsorolt </w:t>
      </w:r>
      <w:r w:rsidRPr="00183B5F">
        <w:rPr>
          <w:szCs w:val="22"/>
        </w:rPr>
        <w:t>bármely segédanyagával szembeni túlérzékenység.</w:t>
      </w:r>
    </w:p>
    <w:p w14:paraId="4045ED01" w14:textId="77777777" w:rsidR="00D0403E" w:rsidRPr="00183B5F" w:rsidRDefault="00D0403E" w:rsidP="004062FE">
      <w:pPr>
        <w:spacing w:line="240" w:lineRule="auto"/>
        <w:rPr>
          <w:szCs w:val="22"/>
        </w:rPr>
      </w:pPr>
    </w:p>
    <w:p w14:paraId="55A223FE" w14:textId="77777777" w:rsidR="00D0403E" w:rsidRPr="00183B5F" w:rsidRDefault="00943743" w:rsidP="004062FE">
      <w:pPr>
        <w:spacing w:line="240" w:lineRule="auto"/>
        <w:rPr>
          <w:szCs w:val="22"/>
        </w:rPr>
      </w:pPr>
      <w:r w:rsidRPr="00183B5F">
        <w:rPr>
          <w:szCs w:val="22"/>
        </w:rPr>
        <w:t>Aktív tuberculosis vagy más súlyos fertőzés, mint szepszis vagy opportunista fertőzések (lásd 4.4 pont).</w:t>
      </w:r>
    </w:p>
    <w:p w14:paraId="484B9EF0" w14:textId="77777777" w:rsidR="00D0403E" w:rsidRPr="00183B5F" w:rsidRDefault="00D0403E" w:rsidP="004062FE">
      <w:pPr>
        <w:spacing w:line="240" w:lineRule="auto"/>
        <w:rPr>
          <w:szCs w:val="22"/>
        </w:rPr>
      </w:pPr>
    </w:p>
    <w:p w14:paraId="181D4AF6" w14:textId="77777777" w:rsidR="00D0403E" w:rsidRPr="00183B5F" w:rsidRDefault="00943743" w:rsidP="004062FE">
      <w:pPr>
        <w:spacing w:line="240" w:lineRule="auto"/>
        <w:rPr>
          <w:szCs w:val="22"/>
        </w:rPr>
      </w:pPr>
      <w:r w:rsidRPr="00183B5F">
        <w:rPr>
          <w:szCs w:val="22"/>
        </w:rPr>
        <w:t>Köz</w:t>
      </w:r>
      <w:r w:rsidR="0011114B" w:rsidRPr="00183B5F">
        <w:rPr>
          <w:szCs w:val="22"/>
        </w:rPr>
        <w:t xml:space="preserve">epesen </w:t>
      </w:r>
      <w:r w:rsidRPr="00183B5F">
        <w:rPr>
          <w:szCs w:val="22"/>
        </w:rPr>
        <w:t>súlyos, súlyos szívelégtelenség (NYHA III/IV) (lásd 4.4 pont).</w:t>
      </w:r>
    </w:p>
    <w:p w14:paraId="36D176D1" w14:textId="77777777" w:rsidR="00D0403E" w:rsidRPr="00183B5F" w:rsidRDefault="00D0403E" w:rsidP="004062FE">
      <w:pPr>
        <w:spacing w:line="240" w:lineRule="auto"/>
        <w:rPr>
          <w:szCs w:val="22"/>
        </w:rPr>
      </w:pPr>
    </w:p>
    <w:p w14:paraId="1CC7F34A" w14:textId="77777777" w:rsidR="00D0403E" w:rsidRPr="00183B5F" w:rsidRDefault="00943743" w:rsidP="004062FE">
      <w:pPr>
        <w:keepNext/>
        <w:spacing w:line="240" w:lineRule="auto"/>
        <w:ind w:left="567" w:hanging="567"/>
        <w:rPr>
          <w:b/>
          <w:szCs w:val="22"/>
        </w:rPr>
      </w:pPr>
      <w:r w:rsidRPr="00183B5F">
        <w:rPr>
          <w:b/>
          <w:szCs w:val="22"/>
        </w:rPr>
        <w:t>4.4</w:t>
      </w:r>
      <w:r w:rsidRPr="00183B5F">
        <w:rPr>
          <w:b/>
          <w:szCs w:val="22"/>
        </w:rPr>
        <w:tab/>
        <w:t>Különleges figyelmeztetések és az alkalmazással kapcsolatos óvintézkedések</w:t>
      </w:r>
    </w:p>
    <w:p w14:paraId="3DCD1CAC" w14:textId="77777777" w:rsidR="009D4252" w:rsidRPr="00183B5F" w:rsidRDefault="009D4252" w:rsidP="004062FE">
      <w:pPr>
        <w:pStyle w:val="EMEANormal"/>
        <w:keepNext/>
        <w:rPr>
          <w:lang w:val="hu-HU"/>
        </w:rPr>
      </w:pPr>
    </w:p>
    <w:p w14:paraId="00D1D492" w14:textId="77777777" w:rsidR="009D4252" w:rsidRPr="00183B5F" w:rsidRDefault="00943743" w:rsidP="004062FE">
      <w:pPr>
        <w:pStyle w:val="EMEANormal"/>
        <w:keepNext/>
        <w:rPr>
          <w:u w:val="single"/>
          <w:lang w:val="hu-HU"/>
        </w:rPr>
      </w:pPr>
      <w:r w:rsidRPr="00183B5F">
        <w:rPr>
          <w:u w:val="single"/>
          <w:lang w:val="hu-HU"/>
        </w:rPr>
        <w:t>Nyomonkövethetőség</w:t>
      </w:r>
    </w:p>
    <w:p w14:paraId="0CD48F9A" w14:textId="77777777" w:rsidR="00D0403E" w:rsidRPr="00183B5F" w:rsidRDefault="00D0403E" w:rsidP="004062FE">
      <w:pPr>
        <w:keepNext/>
        <w:spacing w:line="240" w:lineRule="auto"/>
        <w:rPr>
          <w:szCs w:val="22"/>
        </w:rPr>
      </w:pPr>
    </w:p>
    <w:p w14:paraId="5195C104" w14:textId="77777777" w:rsidR="00D0403E" w:rsidRPr="00183B5F" w:rsidRDefault="00943743" w:rsidP="004062FE">
      <w:pPr>
        <w:keepNext/>
        <w:spacing w:line="240" w:lineRule="auto"/>
        <w:rPr>
          <w:szCs w:val="22"/>
        </w:rPr>
      </w:pPr>
      <w:r w:rsidRPr="00183B5F">
        <w:rPr>
          <w:szCs w:val="22"/>
        </w:rPr>
        <w:t>A biológiai gyógyszerek nyomonkövethetőségének javítása érdekében a gyógyszer nevét és gyártási számát egyértelműen fel kell jegyezni.</w:t>
      </w:r>
    </w:p>
    <w:p w14:paraId="791A9306" w14:textId="77777777" w:rsidR="00D0403E" w:rsidRPr="00183B5F" w:rsidRDefault="00D0403E" w:rsidP="004062FE">
      <w:pPr>
        <w:spacing w:line="240" w:lineRule="auto"/>
        <w:rPr>
          <w:szCs w:val="22"/>
          <w:u w:val="single"/>
        </w:rPr>
      </w:pPr>
    </w:p>
    <w:p w14:paraId="0B874A2A" w14:textId="77777777" w:rsidR="00D0403E" w:rsidRPr="00183B5F" w:rsidRDefault="00943743" w:rsidP="004062FE">
      <w:pPr>
        <w:keepNext/>
        <w:spacing w:line="240" w:lineRule="auto"/>
        <w:rPr>
          <w:szCs w:val="22"/>
          <w:u w:val="single"/>
        </w:rPr>
      </w:pPr>
      <w:r w:rsidRPr="00183B5F">
        <w:rPr>
          <w:szCs w:val="22"/>
          <w:u w:val="single"/>
        </w:rPr>
        <w:t>Fertőzések</w:t>
      </w:r>
    </w:p>
    <w:p w14:paraId="6034DFD5" w14:textId="77777777" w:rsidR="00D0403E" w:rsidRPr="00183B5F" w:rsidRDefault="00D0403E" w:rsidP="004062FE">
      <w:pPr>
        <w:keepNext/>
        <w:spacing w:line="240" w:lineRule="auto"/>
        <w:rPr>
          <w:szCs w:val="22"/>
          <w:u w:val="single"/>
        </w:rPr>
      </w:pPr>
    </w:p>
    <w:p w14:paraId="677BDF85" w14:textId="77777777" w:rsidR="00D0403E" w:rsidRPr="00183B5F" w:rsidRDefault="00943743" w:rsidP="004062FE">
      <w:pPr>
        <w:keepNext/>
        <w:spacing w:line="240" w:lineRule="auto"/>
        <w:rPr>
          <w:szCs w:val="22"/>
        </w:rPr>
      </w:pPr>
      <w:r w:rsidRPr="00183B5F">
        <w:rPr>
          <w:szCs w:val="22"/>
        </w:rPr>
        <w:t>A TNF</w:t>
      </w:r>
      <w:r w:rsidRPr="00183B5F">
        <w:rPr>
          <w:szCs w:val="22"/>
        </w:rPr>
        <w:noBreakHyphen/>
        <w:t>antagonistákat kapó betegek fogékonyabbak a súlyos fertőzésekre. A károsodott légzésfunkció növelheti a fertőzések kialakulásának kockázatát.</w:t>
      </w:r>
      <w:r w:rsidRPr="00183B5F">
        <w:t xml:space="preserve"> </w:t>
      </w:r>
      <w:r w:rsidRPr="00183B5F">
        <w:rPr>
          <w:szCs w:val="22"/>
        </w:rPr>
        <w:t>Ezért a Humira</w:t>
      </w:r>
      <w:r w:rsidRPr="00183B5F">
        <w:rPr>
          <w:szCs w:val="22"/>
        </w:rPr>
        <w:noBreakHyphen/>
        <w:t>val való kezelés előtt, alatt és után a betegeknél gondosan figyelni kell a fertőzéseket, beleértve a tuberculosist is. Tekintettel arra, hogy az adalimumab teljes eliminációja akár négy hónapot vehet igénybe, a megfigyelés ezen idő alatt is szükséges.</w:t>
      </w:r>
    </w:p>
    <w:p w14:paraId="163AD5CC" w14:textId="77777777" w:rsidR="00D0403E" w:rsidRPr="00183B5F" w:rsidRDefault="00D0403E" w:rsidP="004062FE">
      <w:pPr>
        <w:spacing w:line="240" w:lineRule="auto"/>
        <w:rPr>
          <w:szCs w:val="22"/>
        </w:rPr>
      </w:pPr>
    </w:p>
    <w:p w14:paraId="6A28BCD6" w14:textId="77777777" w:rsidR="00D0403E" w:rsidRPr="00183B5F" w:rsidRDefault="00943743" w:rsidP="004062FE">
      <w:pPr>
        <w:spacing w:line="240" w:lineRule="auto"/>
        <w:rPr>
          <w:szCs w:val="22"/>
        </w:rPr>
      </w:pPr>
      <w:r w:rsidRPr="00183B5F">
        <w:rPr>
          <w:szCs w:val="22"/>
        </w:rPr>
        <w:t>Humira</w:t>
      </w:r>
      <w:r w:rsidRPr="00183B5F">
        <w:rPr>
          <w:szCs w:val="22"/>
        </w:rPr>
        <w:noBreakHyphen/>
        <w:t>val való kezelés nem kezdhető aktív fertőzésben szenvedő betegek esetében, beleértve a krónikus és lokális fertőzéseket is, amíg a fertőzés nem gyógyul meg. A tuberculosis által veszélyeztetett betegeknél és azoknál a betegeknél, akik olyan területekre utaztak, ahol nagy a tuberculosis vagy az endemiás mycosisok, mint például a histoplasmosis, coccidioidomycosis vagy blastomycosis kockázata, a Humira</w:t>
      </w:r>
      <w:r w:rsidRPr="00183B5F">
        <w:rPr>
          <w:szCs w:val="22"/>
        </w:rPr>
        <w:noBreakHyphen/>
        <w:t xml:space="preserve">kezelés kockázatát és előnyét a kezelés megkezdése előtt mérlegelni kell (lásd </w:t>
      </w:r>
      <w:r w:rsidRPr="00183B5F">
        <w:rPr>
          <w:i/>
          <w:iCs/>
          <w:szCs w:val="22"/>
        </w:rPr>
        <w:t>Egyéb opportunista fertőzése</w:t>
      </w:r>
      <w:r w:rsidRPr="00183B5F">
        <w:rPr>
          <w:i/>
          <w:iCs/>
          <w:szCs w:val="22"/>
        </w:rPr>
        <w:t>k</w:t>
      </w:r>
      <w:r w:rsidRPr="00183B5F">
        <w:rPr>
          <w:szCs w:val="22"/>
        </w:rPr>
        <w:t>).</w:t>
      </w:r>
    </w:p>
    <w:p w14:paraId="37E153C1" w14:textId="77777777" w:rsidR="00D0403E" w:rsidRPr="00183B5F" w:rsidRDefault="00D0403E" w:rsidP="004062FE">
      <w:pPr>
        <w:spacing w:line="240" w:lineRule="auto"/>
        <w:rPr>
          <w:szCs w:val="22"/>
        </w:rPr>
      </w:pPr>
    </w:p>
    <w:p w14:paraId="5A56F02C" w14:textId="77777777" w:rsidR="00D0403E" w:rsidRPr="00183B5F" w:rsidRDefault="00943743" w:rsidP="004062FE">
      <w:pPr>
        <w:spacing w:line="240" w:lineRule="auto"/>
        <w:rPr>
          <w:szCs w:val="22"/>
        </w:rPr>
      </w:pPr>
      <w:r w:rsidRPr="00183B5F">
        <w:rPr>
          <w:szCs w:val="22"/>
        </w:rPr>
        <w:t>Szoros megfigyelés alatt kell tartani azokat a betegeket, akiknél a Humira</w:t>
      </w:r>
      <w:r w:rsidRPr="00183B5F">
        <w:rPr>
          <w:szCs w:val="22"/>
        </w:rPr>
        <w:noBreakHyphen/>
      </w:r>
      <w:r w:rsidRPr="00183B5F">
        <w:rPr>
          <w:szCs w:val="22"/>
        </w:rPr>
        <w:t>val való kezelés során alakul ki új fertőzés, és teljes diagnosztikus kivizsgáláson kell átesniük. Olyan esetekben, amikor új, súlyos fertőzés vagy sepsis alakul ki a Humira</w:t>
      </w:r>
      <w:r w:rsidRPr="00183B5F">
        <w:rPr>
          <w:szCs w:val="22"/>
        </w:rPr>
        <w:noBreakHyphen/>
        <w:t>val való kezelést meg kell szakítani, és megfelelő antimikrobiális és gombaellenes kezelést kell kezdeni, amíg a fertőzés meg nem gyógyul. Az orvos különös gonddal döntsön a Humira adása mellett olyan betegek esetében, akiknek az anamnézisében visszatérő, gyakori fertőzések illetve fertőzésekre való hajlamosító tényező szerepel, az immu</w:t>
      </w:r>
      <w:r w:rsidRPr="00183B5F">
        <w:rPr>
          <w:szCs w:val="22"/>
        </w:rPr>
        <w:t>noszuppresszív szerek egyidejű alkalmazását is beleértve.</w:t>
      </w:r>
    </w:p>
    <w:p w14:paraId="5448B8C0" w14:textId="77777777" w:rsidR="00D0403E" w:rsidRPr="00183B5F" w:rsidRDefault="00D0403E" w:rsidP="004062FE">
      <w:pPr>
        <w:spacing w:line="240" w:lineRule="auto"/>
        <w:rPr>
          <w:szCs w:val="22"/>
        </w:rPr>
      </w:pPr>
    </w:p>
    <w:p w14:paraId="04E485C1" w14:textId="77777777" w:rsidR="00D0403E" w:rsidRPr="00183B5F" w:rsidRDefault="00943743" w:rsidP="004062FE">
      <w:pPr>
        <w:keepNext/>
        <w:spacing w:line="240" w:lineRule="auto"/>
        <w:rPr>
          <w:i/>
          <w:iCs/>
          <w:szCs w:val="22"/>
        </w:rPr>
      </w:pPr>
      <w:r w:rsidRPr="00183B5F">
        <w:rPr>
          <w:i/>
          <w:iCs/>
          <w:szCs w:val="22"/>
        </w:rPr>
        <w:t>Súlyos fertőzések</w:t>
      </w:r>
    </w:p>
    <w:p w14:paraId="4DEBF516" w14:textId="77777777" w:rsidR="00D0403E" w:rsidRPr="00183B5F" w:rsidRDefault="00D0403E" w:rsidP="004062FE">
      <w:pPr>
        <w:keepNext/>
        <w:spacing w:line="240" w:lineRule="auto"/>
        <w:rPr>
          <w:szCs w:val="22"/>
        </w:rPr>
      </w:pPr>
    </w:p>
    <w:p w14:paraId="70261AC4" w14:textId="77777777" w:rsidR="00D0403E" w:rsidRPr="00183B5F" w:rsidRDefault="00943743" w:rsidP="004062FE">
      <w:pPr>
        <w:spacing w:line="240" w:lineRule="auto"/>
        <w:rPr>
          <w:szCs w:val="22"/>
        </w:rPr>
      </w:pPr>
      <w:r w:rsidRPr="00183B5F">
        <w:rPr>
          <w:szCs w:val="22"/>
        </w:rPr>
        <w:t>Humira</w:t>
      </w:r>
      <w:r w:rsidRPr="00183B5F">
        <w:rPr>
          <w:szCs w:val="22"/>
        </w:rPr>
        <w:noBreakHyphen/>
        <w:t xml:space="preserve">val kezelt betegeknél leírtak súlyos fertőzéseket, beleértve a sepsist is, melyeket bakteriális, mycobacterialis, invazív gomba-, parazita- és vírusfertőzés, vagy egyéb opportunista fertőzés, például </w:t>
      </w:r>
      <w:r w:rsidRPr="00183B5F">
        <w:rPr>
          <w:szCs w:val="22"/>
          <w:u w:color="0000FF"/>
        </w:rPr>
        <w:t>listeriosis, legionellosis és pneumocystis</w:t>
      </w:r>
      <w:r w:rsidR="00F24C6D" w:rsidRPr="00183B5F">
        <w:rPr>
          <w:szCs w:val="22"/>
        </w:rPr>
        <w:t>-</w:t>
      </w:r>
      <w:r w:rsidRPr="00183B5F">
        <w:rPr>
          <w:szCs w:val="22"/>
        </w:rPr>
        <w:t>fertőzés okozott.</w:t>
      </w:r>
    </w:p>
    <w:p w14:paraId="00DDBFE0" w14:textId="77777777" w:rsidR="00D0403E" w:rsidRPr="00183B5F" w:rsidRDefault="00D0403E" w:rsidP="004062FE">
      <w:pPr>
        <w:pStyle w:val="EndnoteText"/>
        <w:tabs>
          <w:tab w:val="clear" w:pos="567"/>
        </w:tabs>
        <w:suppressAutoHyphens/>
        <w:rPr>
          <w:sz w:val="22"/>
          <w:szCs w:val="22"/>
          <w:lang w:val="hu-HU" w:eastAsia="hu-HU"/>
        </w:rPr>
      </w:pPr>
    </w:p>
    <w:p w14:paraId="5616B2CA" w14:textId="77777777" w:rsidR="00D0403E" w:rsidRPr="00183B5F" w:rsidRDefault="00943743" w:rsidP="004062FE">
      <w:pPr>
        <w:spacing w:line="240" w:lineRule="auto"/>
        <w:rPr>
          <w:szCs w:val="22"/>
        </w:rPr>
      </w:pPr>
      <w:r w:rsidRPr="00183B5F">
        <w:rPr>
          <w:szCs w:val="22"/>
        </w:rPr>
        <w:t>A klinikai vizsgálatokban további súlyos fertőzéseket, köztük pneumoniát, pyelonephritist, septicus arthritist, valamint septicaemiát észleltek. A fertőzésekkel kapcsolatban hospitalizációról vagy fatális kimenetelről számoltak be.</w:t>
      </w:r>
    </w:p>
    <w:p w14:paraId="3FD5D4FD" w14:textId="77777777" w:rsidR="00D0403E" w:rsidRPr="00183B5F" w:rsidRDefault="00D0403E" w:rsidP="004062FE">
      <w:pPr>
        <w:spacing w:line="240" w:lineRule="auto"/>
        <w:rPr>
          <w:szCs w:val="22"/>
        </w:rPr>
      </w:pPr>
    </w:p>
    <w:p w14:paraId="0958B88B" w14:textId="77777777" w:rsidR="00D0403E" w:rsidRPr="00183B5F" w:rsidRDefault="00943743" w:rsidP="004062FE">
      <w:pPr>
        <w:spacing w:line="240" w:lineRule="auto"/>
        <w:rPr>
          <w:i/>
          <w:iCs/>
          <w:szCs w:val="22"/>
        </w:rPr>
      </w:pPr>
      <w:r w:rsidRPr="00183B5F">
        <w:rPr>
          <w:i/>
          <w:iCs/>
          <w:szCs w:val="22"/>
        </w:rPr>
        <w:t>Tuberculosis</w:t>
      </w:r>
    </w:p>
    <w:p w14:paraId="2BAC5CAD" w14:textId="77777777" w:rsidR="00D0403E" w:rsidRPr="00183B5F" w:rsidRDefault="00D0403E" w:rsidP="004062FE">
      <w:pPr>
        <w:spacing w:line="240" w:lineRule="auto"/>
        <w:rPr>
          <w:szCs w:val="22"/>
        </w:rPr>
      </w:pPr>
    </w:p>
    <w:p w14:paraId="0E6C2AD3" w14:textId="77777777" w:rsidR="00D0403E" w:rsidRPr="00183B5F" w:rsidRDefault="00943743" w:rsidP="004062FE">
      <w:pPr>
        <w:spacing w:line="240" w:lineRule="auto"/>
        <w:rPr>
          <w:szCs w:val="22"/>
        </w:rPr>
      </w:pPr>
      <w:r w:rsidRPr="00183B5F">
        <w:rPr>
          <w:szCs w:val="22"/>
        </w:rPr>
        <w:t>Humira</w:t>
      </w:r>
      <w:r w:rsidRPr="00183B5F">
        <w:rPr>
          <w:szCs w:val="22"/>
        </w:rPr>
        <w:noBreakHyphen/>
        <w:t>val kezelt betegeknél tuberculosisról számoltak be, beleértve a reaktivációt és új tuberculosis kialakulását</w:t>
      </w:r>
      <w:r w:rsidR="00FD3AF2" w:rsidRPr="00183B5F">
        <w:rPr>
          <w:szCs w:val="22"/>
        </w:rPr>
        <w:t>.</w:t>
      </w:r>
      <w:r w:rsidRPr="00183B5F">
        <w:rPr>
          <w:szCs w:val="22"/>
        </w:rPr>
        <w:t xml:space="preserve"> A bejelentések pulmonalis és extrapulmonalis (azaz disszeminált) eseteket tartalmaztak.</w:t>
      </w:r>
    </w:p>
    <w:p w14:paraId="66B38930" w14:textId="77777777" w:rsidR="00D0403E" w:rsidRPr="00183B5F" w:rsidRDefault="00D0403E" w:rsidP="004062FE">
      <w:pPr>
        <w:spacing w:line="240" w:lineRule="auto"/>
        <w:rPr>
          <w:szCs w:val="22"/>
        </w:rPr>
      </w:pPr>
    </w:p>
    <w:p w14:paraId="10A2DA8B" w14:textId="77777777" w:rsidR="00D0403E" w:rsidRPr="00183B5F" w:rsidRDefault="00943743" w:rsidP="004062FE">
      <w:pPr>
        <w:spacing w:line="240" w:lineRule="auto"/>
        <w:rPr>
          <w:szCs w:val="22"/>
        </w:rPr>
      </w:pPr>
      <w:r w:rsidRPr="00183B5F">
        <w:rPr>
          <w:szCs w:val="22"/>
        </w:rPr>
        <w:t>A Humira</w:t>
      </w:r>
      <w:r w:rsidRPr="00183B5F">
        <w:rPr>
          <w:szCs w:val="22"/>
        </w:rPr>
        <w:noBreakHyphen/>
        <w:t>val való kezelés megkezdése előtt minden beteget meg kell vizsgálni aktív és inaktív („látens”) tuberculosis irányában. A felmérés során részletesen értékelni kell a beteg tuberculosissal kapcsolatos kórtörténetét, hogy a beteg kapcsolatba került</w:t>
      </w:r>
      <w:r w:rsidRPr="00183B5F">
        <w:rPr>
          <w:szCs w:val="22"/>
        </w:rPr>
        <w:noBreakHyphen/>
        <w:t>e aktív tuberculosisban szenvedő beteggel, valamint a múltban vagy jelenleg immunszuppresszív kezelés alatt áll</w:t>
      </w:r>
      <w:r w:rsidRPr="00183B5F">
        <w:rPr>
          <w:szCs w:val="22"/>
        </w:rPr>
        <w:noBreakHyphen/>
        <w:t>e. Minden beteg esetében a megfelelő szűrővizsgálatok (úgy mint tuberkulin bőrteszt és mellkasröntgen) elvégzése szükséges (helyi irányelvek követendők)</w:t>
      </w:r>
      <w:r w:rsidRPr="00183B5F">
        <w:rPr>
          <w:szCs w:val="22"/>
        </w:rPr>
        <w:t xml:space="preserve">. A szűrővizsgálatok elvégzésének tényét és azok eredményét javasolt feltüntetni a </w:t>
      </w:r>
      <w:r w:rsidR="0048779F" w:rsidRPr="00183B5F">
        <w:rPr>
          <w:szCs w:val="22"/>
        </w:rPr>
        <w:t>Betegemlékeztető</w:t>
      </w:r>
      <w:r w:rsidRPr="00183B5F">
        <w:rPr>
          <w:szCs w:val="22"/>
        </w:rPr>
        <w:t xml:space="preserve"> Kártyán. </w:t>
      </w:r>
    </w:p>
    <w:p w14:paraId="52A6D3BF" w14:textId="77777777" w:rsidR="00D0403E" w:rsidRPr="00183B5F" w:rsidRDefault="00943743" w:rsidP="004062FE">
      <w:pPr>
        <w:spacing w:line="240" w:lineRule="auto"/>
        <w:rPr>
          <w:szCs w:val="22"/>
        </w:rPr>
      </w:pPr>
      <w:r w:rsidRPr="00183B5F">
        <w:rPr>
          <w:szCs w:val="22"/>
        </w:rPr>
        <w:t>A kezelést indikáló orvosnak számolnia kell az álnegatív tuberculin bőrteszt lehetőségével is, különösen a súlyos állapotú, illetve az immundeficiens betegek esetében.</w:t>
      </w:r>
    </w:p>
    <w:p w14:paraId="65162AA4" w14:textId="77777777" w:rsidR="00D0403E" w:rsidRPr="00183B5F" w:rsidRDefault="00D0403E" w:rsidP="004062FE">
      <w:pPr>
        <w:pStyle w:val="EndnoteText"/>
        <w:tabs>
          <w:tab w:val="clear" w:pos="567"/>
          <w:tab w:val="left" w:pos="708"/>
        </w:tabs>
        <w:suppressAutoHyphens/>
        <w:rPr>
          <w:sz w:val="22"/>
          <w:szCs w:val="22"/>
          <w:lang w:val="hu-HU" w:eastAsia="hu-HU"/>
        </w:rPr>
      </w:pPr>
    </w:p>
    <w:p w14:paraId="1E6EB0C5" w14:textId="77777777" w:rsidR="00D0403E" w:rsidRPr="00183B5F" w:rsidRDefault="00943743" w:rsidP="004062FE">
      <w:pPr>
        <w:spacing w:line="240" w:lineRule="auto"/>
        <w:ind w:left="567" w:hanging="567"/>
        <w:rPr>
          <w:szCs w:val="22"/>
        </w:rPr>
      </w:pPr>
      <w:r w:rsidRPr="00183B5F">
        <w:rPr>
          <w:szCs w:val="22"/>
        </w:rPr>
        <w:t>Ha a diagnózis aktív tuberculosis, a Humira</w:t>
      </w:r>
      <w:r w:rsidRPr="00183B5F">
        <w:rPr>
          <w:szCs w:val="22"/>
        </w:rPr>
        <w:noBreakHyphen/>
        <w:t>kezelést nem szabad elkezdeni (lásd 4.3 pont).</w:t>
      </w:r>
    </w:p>
    <w:p w14:paraId="17802B38" w14:textId="77777777" w:rsidR="004E1449" w:rsidRPr="00183B5F" w:rsidRDefault="004E1449" w:rsidP="004062FE">
      <w:pPr>
        <w:spacing w:line="240" w:lineRule="auto"/>
        <w:rPr>
          <w:szCs w:val="22"/>
        </w:rPr>
      </w:pPr>
    </w:p>
    <w:p w14:paraId="2B06B8EB" w14:textId="77777777" w:rsidR="00D0403E" w:rsidRPr="00183B5F" w:rsidRDefault="00943743" w:rsidP="004062FE">
      <w:pPr>
        <w:spacing w:line="240" w:lineRule="auto"/>
        <w:rPr>
          <w:szCs w:val="22"/>
        </w:rPr>
      </w:pPr>
      <w:r w:rsidRPr="00183B5F">
        <w:rPr>
          <w:szCs w:val="22"/>
        </w:rPr>
        <w:t>Az alábbiakban felsorolt összes esetben nagyon gondosan kell mérlegelni a Humira</w:t>
      </w:r>
      <w:r w:rsidRPr="00183B5F">
        <w:rPr>
          <w:szCs w:val="22"/>
        </w:rPr>
        <w:noBreakHyphen/>
        <w:t xml:space="preserve">kezelés </w:t>
      </w:r>
      <w:r w:rsidR="0084104C" w:rsidRPr="00183B5F">
        <w:rPr>
          <w:szCs w:val="22"/>
        </w:rPr>
        <w:t>előny/</w:t>
      </w:r>
      <w:r w:rsidRPr="00183B5F">
        <w:rPr>
          <w:szCs w:val="22"/>
        </w:rPr>
        <w:t>kockázat arányát.</w:t>
      </w:r>
    </w:p>
    <w:p w14:paraId="3BF0E457" w14:textId="77777777" w:rsidR="00D0403E" w:rsidRPr="00183B5F" w:rsidRDefault="00D0403E" w:rsidP="004062FE">
      <w:pPr>
        <w:spacing w:line="240" w:lineRule="auto"/>
        <w:ind w:left="567" w:hanging="567"/>
        <w:rPr>
          <w:b/>
          <w:szCs w:val="22"/>
        </w:rPr>
      </w:pPr>
    </w:p>
    <w:p w14:paraId="2374B6B3" w14:textId="77777777" w:rsidR="00D0403E" w:rsidRPr="00183B5F" w:rsidRDefault="00943743" w:rsidP="004062FE">
      <w:pPr>
        <w:spacing w:line="240" w:lineRule="auto"/>
        <w:rPr>
          <w:szCs w:val="22"/>
        </w:rPr>
      </w:pPr>
      <w:r w:rsidRPr="00183B5F">
        <w:rPr>
          <w:szCs w:val="22"/>
        </w:rPr>
        <w:t xml:space="preserve">Látens tuberculosis gyanúja esetén egy, a tuberculosis kezelésében jártas orvossal kell konzultálni. </w:t>
      </w:r>
    </w:p>
    <w:p w14:paraId="4F91A361" w14:textId="77777777" w:rsidR="00D0403E" w:rsidRPr="00183B5F" w:rsidRDefault="00D0403E" w:rsidP="004062FE">
      <w:pPr>
        <w:spacing w:line="240" w:lineRule="auto"/>
        <w:rPr>
          <w:szCs w:val="22"/>
        </w:rPr>
      </w:pPr>
    </w:p>
    <w:p w14:paraId="21359C7A" w14:textId="77777777" w:rsidR="00D0403E" w:rsidRPr="00183B5F" w:rsidRDefault="00943743" w:rsidP="004062FE">
      <w:pPr>
        <w:spacing w:line="240" w:lineRule="auto"/>
        <w:rPr>
          <w:szCs w:val="22"/>
        </w:rPr>
      </w:pPr>
      <w:r w:rsidRPr="00183B5F">
        <w:rPr>
          <w:szCs w:val="22"/>
        </w:rPr>
        <w:t>Ha látens tubeculosist diagnosztizálnak, a helyi ajánlásokkal összhangban lévő, antituberkulotikus profilaktikus kezelésnek a Humira alkalmazásának megkezdése előtt el kell kezdődnie.</w:t>
      </w:r>
    </w:p>
    <w:p w14:paraId="20C0BECD" w14:textId="77777777" w:rsidR="00D0403E" w:rsidRPr="00183B5F" w:rsidRDefault="00D0403E" w:rsidP="004062FE">
      <w:pPr>
        <w:spacing w:line="240" w:lineRule="auto"/>
        <w:rPr>
          <w:szCs w:val="22"/>
        </w:rPr>
      </w:pPr>
    </w:p>
    <w:p w14:paraId="1D648715" w14:textId="77777777" w:rsidR="00D0403E" w:rsidRPr="00183B5F" w:rsidRDefault="00943743" w:rsidP="004062FE">
      <w:pPr>
        <w:spacing w:line="240" w:lineRule="auto"/>
        <w:rPr>
          <w:szCs w:val="22"/>
        </w:rPr>
      </w:pPr>
      <w:r w:rsidRPr="00183B5F">
        <w:rPr>
          <w:szCs w:val="22"/>
        </w:rPr>
        <w:t>Humira</w:t>
      </w:r>
      <w:r w:rsidRPr="00183B5F">
        <w:rPr>
          <w:szCs w:val="22"/>
        </w:rPr>
        <w:noBreakHyphen/>
      </w:r>
      <w:r w:rsidRPr="00183B5F">
        <w:rPr>
          <w:szCs w:val="22"/>
        </w:rPr>
        <w:t>kezelés indítása előtt az antituberkulotikus profilaktikus kezelést azoknál a betegeknél is fontolóra kell venni, akik a tuberculosis több vagy jelentős kockázati tényezőjével rendelkeznek, bár a tuberculosis</w:t>
      </w:r>
      <w:r w:rsidR="00261256" w:rsidRPr="00183B5F">
        <w:rPr>
          <w:szCs w:val="22"/>
        </w:rPr>
        <w:t>-</w:t>
      </w:r>
      <w:r w:rsidRPr="00183B5F">
        <w:rPr>
          <w:szCs w:val="22"/>
        </w:rPr>
        <w:t>tesztjük negatív, valamint akiknek az anamnézisében látens vagy aktív tuberculosis szerepel, de annak megfelelő kezelése nem igazolható.</w:t>
      </w:r>
    </w:p>
    <w:p w14:paraId="349EE47B" w14:textId="77777777" w:rsidR="00D0403E" w:rsidRPr="00183B5F" w:rsidRDefault="00D0403E" w:rsidP="004062FE">
      <w:pPr>
        <w:spacing w:line="240" w:lineRule="auto"/>
        <w:rPr>
          <w:szCs w:val="22"/>
        </w:rPr>
      </w:pPr>
    </w:p>
    <w:p w14:paraId="4EB010D5" w14:textId="77777777" w:rsidR="00D0403E" w:rsidRPr="00183B5F" w:rsidRDefault="00943743" w:rsidP="004062FE">
      <w:pPr>
        <w:spacing w:line="240" w:lineRule="auto"/>
        <w:rPr>
          <w:szCs w:val="22"/>
        </w:rPr>
      </w:pPr>
      <w:r w:rsidRPr="00183B5F">
        <w:rPr>
          <w:szCs w:val="22"/>
        </w:rPr>
        <w:t>A profilaktikus antituberkulotikus kezelés ellenére előfordultak tuberculosis reaktiválódásának esetei Humira</w:t>
      </w:r>
      <w:r w:rsidRPr="00183B5F">
        <w:rPr>
          <w:szCs w:val="22"/>
        </w:rPr>
        <w:noBreakHyphen/>
        <w:t>val kezelt betegeknél. Egyes betegeknél, akiket korábban sikeresen kezeltek aktív tuberculosis ellen, a Humira</w:t>
      </w:r>
      <w:r w:rsidRPr="00183B5F">
        <w:rPr>
          <w:szCs w:val="22"/>
        </w:rPr>
        <w:noBreakHyphen/>
        <w:t>kezelés alatt ismét tuberculosis alakult ki.</w:t>
      </w:r>
    </w:p>
    <w:p w14:paraId="5382A687" w14:textId="77777777" w:rsidR="00D0403E" w:rsidRPr="00183B5F" w:rsidRDefault="00D0403E" w:rsidP="004062FE">
      <w:pPr>
        <w:spacing w:line="240" w:lineRule="auto"/>
        <w:rPr>
          <w:szCs w:val="22"/>
        </w:rPr>
      </w:pPr>
    </w:p>
    <w:p w14:paraId="563B5924" w14:textId="77777777" w:rsidR="00B740E5" w:rsidRPr="00183B5F" w:rsidRDefault="00943743" w:rsidP="00B740E5">
      <w:pPr>
        <w:spacing w:line="240" w:lineRule="auto"/>
        <w:rPr>
          <w:szCs w:val="22"/>
        </w:rPr>
      </w:pPr>
      <w:r w:rsidRPr="00183B5F">
        <w:rPr>
          <w:szCs w:val="22"/>
        </w:rPr>
        <w:t>A betegeket tájékoztatni kell, hogy – Humira</w:t>
      </w:r>
      <w:r w:rsidRPr="00183B5F">
        <w:rPr>
          <w:szCs w:val="22"/>
        </w:rPr>
        <w:noBreakHyphen/>
        <w:t>kezelés alatt vagy után – tuberculosisra jellemző tünetek (pl. tartós köhögés, fogyás, kisebb fokú láz, fáradékonyság) fellépése esetén forduljanak orvoshoz.</w:t>
      </w:r>
    </w:p>
    <w:p w14:paraId="3DD79A96" w14:textId="77777777" w:rsidR="00D0403E" w:rsidRPr="00183B5F" w:rsidRDefault="00D0403E" w:rsidP="004062FE">
      <w:pPr>
        <w:pStyle w:val="EndnoteText"/>
        <w:tabs>
          <w:tab w:val="clear" w:pos="567"/>
          <w:tab w:val="left" w:pos="708"/>
        </w:tabs>
        <w:suppressAutoHyphens/>
        <w:rPr>
          <w:sz w:val="22"/>
          <w:szCs w:val="22"/>
          <w:lang w:val="hu-HU"/>
        </w:rPr>
      </w:pPr>
    </w:p>
    <w:p w14:paraId="13524489" w14:textId="77777777" w:rsidR="00D0403E" w:rsidRPr="00183B5F" w:rsidRDefault="00943743" w:rsidP="004062FE">
      <w:pPr>
        <w:keepNext/>
        <w:spacing w:line="240" w:lineRule="auto"/>
        <w:rPr>
          <w:i/>
          <w:iCs/>
          <w:szCs w:val="22"/>
        </w:rPr>
      </w:pPr>
      <w:r w:rsidRPr="00183B5F">
        <w:rPr>
          <w:i/>
          <w:iCs/>
          <w:szCs w:val="22"/>
        </w:rPr>
        <w:t>Egyéb opportunista fertőzések</w:t>
      </w:r>
    </w:p>
    <w:p w14:paraId="561BFFA7" w14:textId="77777777" w:rsidR="00D0403E" w:rsidRPr="00183B5F" w:rsidRDefault="00D0403E" w:rsidP="004062FE">
      <w:pPr>
        <w:keepNext/>
        <w:spacing w:line="240" w:lineRule="auto"/>
        <w:rPr>
          <w:szCs w:val="22"/>
        </w:rPr>
      </w:pPr>
    </w:p>
    <w:p w14:paraId="0B2B993D" w14:textId="77777777" w:rsidR="00D0403E" w:rsidRPr="00183B5F" w:rsidRDefault="00943743" w:rsidP="004062FE">
      <w:pPr>
        <w:keepNext/>
        <w:spacing w:line="240" w:lineRule="auto"/>
        <w:rPr>
          <w:szCs w:val="22"/>
        </w:rPr>
      </w:pPr>
      <w:r w:rsidRPr="00183B5F">
        <w:rPr>
          <w:szCs w:val="22"/>
        </w:rPr>
        <w:t>A Humira</w:t>
      </w:r>
      <w:r w:rsidRPr="00183B5F">
        <w:rPr>
          <w:szCs w:val="22"/>
        </w:rPr>
        <w:noBreakHyphen/>
        <w:t>kezelést kapó betegeknél opportunista fertőzéseket, köztük invazív gombafertőzéseket észleltek. Ezek a fertőzések a TNF</w:t>
      </w:r>
      <w:r w:rsidRPr="00183B5F">
        <w:rPr>
          <w:szCs w:val="22"/>
        </w:rPr>
        <w:noBreakHyphen/>
        <w:t xml:space="preserve">antagonistákat kapó betegeknél nem kerültek következetesen felismerésre, és ez a megfelelő kezelés </w:t>
      </w:r>
      <w:r w:rsidR="003B6CBC" w:rsidRPr="00183B5F">
        <w:rPr>
          <w:szCs w:val="22"/>
        </w:rPr>
        <w:t>késését</w:t>
      </w:r>
      <w:r w:rsidRPr="00183B5F">
        <w:rPr>
          <w:szCs w:val="22"/>
        </w:rPr>
        <w:t xml:space="preserve"> eredményezte, ami néha halálos kimenetelhez vezetett.</w:t>
      </w:r>
    </w:p>
    <w:p w14:paraId="22A27E65" w14:textId="77777777" w:rsidR="00D0403E" w:rsidRPr="00183B5F" w:rsidRDefault="00D0403E" w:rsidP="004062FE">
      <w:pPr>
        <w:spacing w:line="240" w:lineRule="auto"/>
        <w:rPr>
          <w:szCs w:val="22"/>
        </w:rPr>
      </w:pPr>
    </w:p>
    <w:p w14:paraId="4ED7BC3C" w14:textId="77777777" w:rsidR="00D0403E" w:rsidRPr="00183B5F" w:rsidRDefault="00943743" w:rsidP="004062FE">
      <w:pPr>
        <w:spacing w:line="240" w:lineRule="auto"/>
        <w:rPr>
          <w:szCs w:val="22"/>
        </w:rPr>
      </w:pPr>
      <w:r w:rsidRPr="00183B5F">
        <w:rPr>
          <w:szCs w:val="22"/>
        </w:rPr>
        <w:t xml:space="preserve">Azoknál a betegeknél, akiknél olyan </w:t>
      </w:r>
      <w:r w:rsidR="00D02F61" w:rsidRPr="00183B5F">
        <w:rPr>
          <w:szCs w:val="22"/>
        </w:rPr>
        <w:t xml:space="preserve">jelek </w:t>
      </w:r>
      <w:r w:rsidRPr="00183B5F">
        <w:rPr>
          <w:szCs w:val="22"/>
        </w:rPr>
        <w:t>és tünetek alakulnak ki, mint például a láz, rossz közérzet, fogyás, verejtékezés, köhögés, dyspnoe és/vagy pulmonalis infiltrátumok</w:t>
      </w:r>
      <w:r w:rsidR="003B6CBC" w:rsidRPr="00183B5F">
        <w:rPr>
          <w:szCs w:val="22"/>
        </w:rPr>
        <w:t>,</w:t>
      </w:r>
      <w:r w:rsidRPr="00183B5F">
        <w:rPr>
          <w:szCs w:val="22"/>
        </w:rPr>
        <w:t xml:space="preserve"> illetve sokkal vagy anélkül jelentkező egyéb súlyos, szisztémás betegségek, invazív gombafertőzésre kell gyanakodni, és a Humira adását azonnal abba kell hagyni. Ezeknél a betegeknél a diagnózis megállapítását és az emp</w:t>
      </w:r>
      <w:r w:rsidR="00516B92" w:rsidRPr="00183B5F">
        <w:rPr>
          <w:szCs w:val="22"/>
        </w:rPr>
        <w:t>i</w:t>
      </w:r>
      <w:r w:rsidRPr="00183B5F">
        <w:rPr>
          <w:szCs w:val="22"/>
        </w:rPr>
        <w:t>rikus gombaellenes kezelés megkezdését olyan szakemberrel történő konzultációt követően kell elvégezni, aki jártas az invazív gombafertőzések kezelésében.</w:t>
      </w:r>
    </w:p>
    <w:p w14:paraId="455D37F1" w14:textId="77777777" w:rsidR="00D0403E" w:rsidRPr="00183B5F" w:rsidRDefault="00D0403E" w:rsidP="004062FE">
      <w:pPr>
        <w:spacing w:line="240" w:lineRule="auto"/>
        <w:rPr>
          <w:szCs w:val="22"/>
        </w:rPr>
      </w:pPr>
    </w:p>
    <w:p w14:paraId="2437F2D7" w14:textId="77777777" w:rsidR="00D0403E" w:rsidRPr="00183B5F" w:rsidRDefault="00943743" w:rsidP="004062FE">
      <w:pPr>
        <w:keepNext/>
        <w:spacing w:line="240" w:lineRule="auto"/>
        <w:rPr>
          <w:szCs w:val="22"/>
          <w:u w:val="single"/>
        </w:rPr>
      </w:pPr>
      <w:r w:rsidRPr="00183B5F">
        <w:rPr>
          <w:szCs w:val="22"/>
          <w:u w:val="single"/>
        </w:rPr>
        <w:t>Hepatitis B reaktiválódása</w:t>
      </w:r>
    </w:p>
    <w:p w14:paraId="116BF73A" w14:textId="77777777" w:rsidR="00D0403E" w:rsidRPr="00183B5F" w:rsidRDefault="00D0403E" w:rsidP="004062FE">
      <w:pPr>
        <w:keepNext/>
        <w:spacing w:line="240" w:lineRule="auto"/>
        <w:rPr>
          <w:szCs w:val="22"/>
          <w:u w:val="single"/>
        </w:rPr>
      </w:pPr>
    </w:p>
    <w:p w14:paraId="75F82CBB" w14:textId="77777777" w:rsidR="00D0403E" w:rsidRPr="00183B5F" w:rsidRDefault="00943743" w:rsidP="004062FE">
      <w:pPr>
        <w:keepNext/>
        <w:spacing w:line="240" w:lineRule="auto"/>
        <w:rPr>
          <w:szCs w:val="22"/>
        </w:rPr>
      </w:pPr>
      <w:r w:rsidRPr="00183B5F">
        <w:rPr>
          <w:szCs w:val="22"/>
        </w:rPr>
        <w:t>Idült hepatitis B</w:t>
      </w:r>
      <w:r w:rsidR="003B6CBC" w:rsidRPr="00183B5F">
        <w:rPr>
          <w:szCs w:val="22"/>
        </w:rPr>
        <w:noBreakHyphen/>
      </w:r>
      <w:r w:rsidRPr="00183B5F">
        <w:rPr>
          <w:szCs w:val="22"/>
        </w:rPr>
        <w:t>vírus</w:t>
      </w:r>
      <w:r w:rsidR="003B6CBC" w:rsidRPr="00183B5F">
        <w:rPr>
          <w:szCs w:val="22"/>
        </w:rPr>
        <w:t>-</w:t>
      </w:r>
      <w:r w:rsidRPr="00183B5F">
        <w:rPr>
          <w:szCs w:val="22"/>
        </w:rPr>
        <w:t>hordozó betegeknél (azaz a felszíni antigén pozitív) a hepatitis B reaktiválódása fordult elő, amennyiben TNF</w:t>
      </w:r>
      <w:r w:rsidRPr="00183B5F">
        <w:rPr>
          <w:szCs w:val="22"/>
        </w:rPr>
        <w:noBreakHyphen/>
        <w:t>antagonista (köztük Humira)</w:t>
      </w:r>
      <w:r w:rsidRPr="00183B5F">
        <w:rPr>
          <w:szCs w:val="22"/>
        </w:rPr>
        <w:noBreakHyphen/>
        <w:t>kezelésben részesültek. Néhány esetben ez halálhoz vezetett. A Humira</w:t>
      </w:r>
      <w:r w:rsidRPr="00183B5F">
        <w:rPr>
          <w:szCs w:val="22"/>
        </w:rPr>
        <w:noBreakHyphen/>
        <w:t xml:space="preserve">kezelés elkezdése előtt a betegeket </w:t>
      </w:r>
      <w:r w:rsidR="000A456B" w:rsidRPr="00183B5F">
        <w:rPr>
          <w:szCs w:val="22"/>
        </w:rPr>
        <w:t>HBV-fertőz</w:t>
      </w:r>
      <w:r w:rsidRPr="00183B5F">
        <w:rPr>
          <w:szCs w:val="22"/>
        </w:rPr>
        <w:t>és irányában vizsgálni kell. Azoknál a betegeknél, akiknél a hepatitis B infekció vizsgálatának eredménye pozitív, konzultáció javasolt egy, a hepatitis B kezelésében jártas orvossal.</w:t>
      </w:r>
    </w:p>
    <w:p w14:paraId="4CD8F8C5" w14:textId="77777777" w:rsidR="00D0403E" w:rsidRPr="00183B5F" w:rsidRDefault="00D0403E" w:rsidP="004062FE">
      <w:pPr>
        <w:spacing w:line="240" w:lineRule="auto"/>
        <w:rPr>
          <w:szCs w:val="22"/>
        </w:rPr>
      </w:pPr>
    </w:p>
    <w:p w14:paraId="3ACC7AB4" w14:textId="77777777" w:rsidR="00D0403E" w:rsidRPr="00183B5F" w:rsidRDefault="00943743" w:rsidP="004062FE">
      <w:pPr>
        <w:spacing w:line="240" w:lineRule="auto"/>
        <w:rPr>
          <w:szCs w:val="22"/>
        </w:rPr>
      </w:pPr>
      <w:r w:rsidRPr="00183B5F">
        <w:rPr>
          <w:szCs w:val="22"/>
        </w:rPr>
        <w:t xml:space="preserve">A Humira terápiára szoruló </w:t>
      </w:r>
      <w:r w:rsidR="000A456B" w:rsidRPr="00183B5F">
        <w:rPr>
          <w:szCs w:val="22"/>
        </w:rPr>
        <w:t>HBV-hordo</w:t>
      </w:r>
      <w:r w:rsidRPr="00183B5F">
        <w:rPr>
          <w:szCs w:val="22"/>
        </w:rPr>
        <w:t xml:space="preserve">zókat a kezelés ideje alatt, illetve a befejezését követő néhány hónapon keresztül gondosan meg kell figyelni, hogy jelentkeznek-e rajtuk aktív </w:t>
      </w:r>
      <w:r w:rsidR="000A456B" w:rsidRPr="00183B5F">
        <w:rPr>
          <w:szCs w:val="22"/>
        </w:rPr>
        <w:t>HBV-fertőz</w:t>
      </w:r>
      <w:r w:rsidRPr="00183B5F">
        <w:rPr>
          <w:szCs w:val="22"/>
        </w:rPr>
        <w:t xml:space="preserve">ésre utaló </w:t>
      </w:r>
      <w:r w:rsidR="00D02F61" w:rsidRPr="00183B5F">
        <w:rPr>
          <w:szCs w:val="22"/>
        </w:rPr>
        <w:t xml:space="preserve">jelek </w:t>
      </w:r>
      <w:r w:rsidRPr="00183B5F">
        <w:rPr>
          <w:szCs w:val="22"/>
        </w:rPr>
        <w:t xml:space="preserve">és tünetek. A </w:t>
      </w:r>
      <w:r w:rsidR="000A456B" w:rsidRPr="00183B5F">
        <w:rPr>
          <w:szCs w:val="22"/>
        </w:rPr>
        <w:t>HBV-hordo</w:t>
      </w:r>
      <w:r w:rsidRPr="00183B5F">
        <w:rPr>
          <w:szCs w:val="22"/>
        </w:rPr>
        <w:t>zóknak a HBV reaktiválódásának megelőzése céljából végzett TNF</w:t>
      </w:r>
      <w:r w:rsidRPr="00183B5F">
        <w:rPr>
          <w:szCs w:val="22"/>
        </w:rPr>
        <w:noBreakHyphen/>
        <w:t xml:space="preserve">antagonista és antiretrovirális szer kombinációjával végzett kezeléséről nem állnak rendelkezésre megfelelő adatok. Azoknál a betegeknél, akiknél a HBV reaktiválódása alakul ki, abba kell hagyni a Humira adását, és hatékony antiretrovirális szer </w:t>
      </w:r>
      <w:r w:rsidRPr="00183B5F">
        <w:rPr>
          <w:szCs w:val="22"/>
        </w:rPr>
        <w:t>adását, valamint megfelelő szupportív kezelést kell kezdeni.</w:t>
      </w:r>
    </w:p>
    <w:p w14:paraId="518C1CC3" w14:textId="77777777" w:rsidR="00D0403E" w:rsidRPr="00183B5F" w:rsidRDefault="00D0403E" w:rsidP="004062FE">
      <w:pPr>
        <w:spacing w:line="240" w:lineRule="auto"/>
        <w:rPr>
          <w:szCs w:val="22"/>
        </w:rPr>
      </w:pPr>
    </w:p>
    <w:p w14:paraId="073848B9" w14:textId="77777777" w:rsidR="00D0403E" w:rsidRPr="00183B5F" w:rsidRDefault="00943743" w:rsidP="004062FE">
      <w:pPr>
        <w:keepNext/>
        <w:spacing w:line="240" w:lineRule="auto"/>
        <w:rPr>
          <w:szCs w:val="22"/>
          <w:u w:val="single"/>
        </w:rPr>
      </w:pPr>
      <w:r w:rsidRPr="00183B5F">
        <w:rPr>
          <w:szCs w:val="22"/>
          <w:u w:val="single"/>
        </w:rPr>
        <w:t>Neurológiai vonatkozások</w:t>
      </w:r>
    </w:p>
    <w:p w14:paraId="154A998E" w14:textId="77777777" w:rsidR="00D0403E" w:rsidRPr="00183B5F" w:rsidRDefault="00D0403E" w:rsidP="004062FE">
      <w:pPr>
        <w:keepNext/>
        <w:spacing w:line="240" w:lineRule="auto"/>
        <w:rPr>
          <w:szCs w:val="22"/>
          <w:u w:val="single"/>
        </w:rPr>
      </w:pPr>
    </w:p>
    <w:p w14:paraId="69F1A6D6" w14:textId="77777777" w:rsidR="00C55D56" w:rsidRPr="00183B5F" w:rsidRDefault="00943743" w:rsidP="004062FE">
      <w:pPr>
        <w:spacing w:line="240" w:lineRule="auto"/>
        <w:rPr>
          <w:szCs w:val="22"/>
        </w:rPr>
      </w:pPr>
      <w:r w:rsidRPr="00183B5F">
        <w:rPr>
          <w:szCs w:val="22"/>
        </w:rPr>
        <w:t>A TNF</w:t>
      </w:r>
      <w:r w:rsidRPr="00183B5F">
        <w:rPr>
          <w:szCs w:val="22"/>
        </w:rPr>
        <w:noBreakHyphen/>
        <w:t>antagonisták, beleértve a Humira</w:t>
      </w:r>
      <w:r w:rsidRPr="00183B5F">
        <w:rPr>
          <w:szCs w:val="22"/>
        </w:rPr>
        <w:noBreakHyphen/>
        <w:t xml:space="preserve">t, ritkán a központi idegrendszeri </w:t>
      </w:r>
      <w:r w:rsidR="001B6725" w:rsidRPr="00183B5F">
        <w:rPr>
          <w:szCs w:val="22"/>
        </w:rPr>
        <w:t>demyelinisati</w:t>
      </w:r>
      <w:r w:rsidRPr="00183B5F">
        <w:rPr>
          <w:szCs w:val="22"/>
        </w:rPr>
        <w:t xml:space="preserve">ós betegség (közte a sclerosis multiplex és az opticus neuritis) és a perifériás </w:t>
      </w:r>
      <w:r w:rsidR="001B6725" w:rsidRPr="00183B5F">
        <w:rPr>
          <w:szCs w:val="22"/>
        </w:rPr>
        <w:t>demyelinisati</w:t>
      </w:r>
      <w:r w:rsidRPr="00183B5F">
        <w:rPr>
          <w:szCs w:val="22"/>
        </w:rPr>
        <w:t>ós betegség (közte a Guillan</w:t>
      </w:r>
      <w:r w:rsidRPr="00183B5F">
        <w:rPr>
          <w:szCs w:val="22"/>
        </w:rPr>
        <w:noBreakHyphen/>
        <w:t>Barré szindróma) klinikai tüneteinek és/vagy radiológiai bizonyítékának új megjelenésével vagy súlyosbodásával társultak. A gyógyszert felíró orvosnak különös gonddal kell eljárnia olyan esetekben, amikor Humira</w:t>
      </w:r>
      <w:r w:rsidRPr="00183B5F">
        <w:rPr>
          <w:szCs w:val="22"/>
        </w:rPr>
        <w:noBreakHyphen/>
        <w:t xml:space="preserve">kezelés lehetősége felmerül régi vagy friss központi idegrendszeri vagy perifériás </w:t>
      </w:r>
      <w:r w:rsidR="001B6725" w:rsidRPr="00183B5F">
        <w:rPr>
          <w:szCs w:val="22"/>
        </w:rPr>
        <w:t>demyelinisati</w:t>
      </w:r>
      <w:r w:rsidRPr="00183B5F">
        <w:rPr>
          <w:szCs w:val="22"/>
        </w:rPr>
        <w:t>ós betegségben szenvedő betegeknél: ezen betegségek bármelyikének kialakulása esetén fontolóra kell venni a Humira adásának felfüggesztését. Ismert az összefüggés az intermedier uveitis és a központi idegrendszeri demyelini</w:t>
      </w:r>
      <w:r w:rsidR="00EB06D0" w:rsidRPr="00183B5F">
        <w:rPr>
          <w:szCs w:val="22"/>
        </w:rPr>
        <w:t>sat</w:t>
      </w:r>
      <w:r w:rsidRPr="00183B5F">
        <w:rPr>
          <w:szCs w:val="22"/>
        </w:rPr>
        <w:t>iós betegség között. A nem fertőzéses eredetű, intermedier uveitisben szenvedő betegeknél neurológiai vizsgálatot kell végezni a Humira</w:t>
      </w:r>
      <w:r w:rsidRPr="00183B5F">
        <w:rPr>
          <w:szCs w:val="22"/>
        </w:rPr>
        <w:noBreakHyphen/>
        <w:t xml:space="preserve">kezelés megkezdése előtt és a kezelés ideje alatt rendszeresen, a már meglévő vagy kialakuló központi idegrendszeri </w:t>
      </w:r>
      <w:r w:rsidR="001B6725" w:rsidRPr="00183B5F">
        <w:rPr>
          <w:szCs w:val="22"/>
        </w:rPr>
        <w:t>demyelinisati</w:t>
      </w:r>
      <w:r w:rsidRPr="00183B5F">
        <w:rPr>
          <w:szCs w:val="22"/>
        </w:rPr>
        <w:t>ós betegség értékelé</w:t>
      </w:r>
      <w:r w:rsidRPr="00183B5F">
        <w:rPr>
          <w:szCs w:val="22"/>
        </w:rPr>
        <w:t>sére.</w:t>
      </w:r>
    </w:p>
    <w:p w14:paraId="769A602B" w14:textId="77777777" w:rsidR="00D0403E" w:rsidRPr="00183B5F" w:rsidRDefault="00D0403E" w:rsidP="004062FE">
      <w:pPr>
        <w:keepNext/>
        <w:spacing w:line="240" w:lineRule="auto"/>
        <w:rPr>
          <w:b/>
          <w:szCs w:val="22"/>
        </w:rPr>
      </w:pPr>
    </w:p>
    <w:p w14:paraId="1B683833" w14:textId="77777777" w:rsidR="00D0403E" w:rsidRPr="00183B5F" w:rsidRDefault="00943743" w:rsidP="004062FE">
      <w:pPr>
        <w:keepNext/>
        <w:spacing w:line="240" w:lineRule="auto"/>
        <w:ind w:left="567" w:hanging="567"/>
        <w:rPr>
          <w:szCs w:val="22"/>
          <w:u w:val="single"/>
        </w:rPr>
      </w:pPr>
      <w:r w:rsidRPr="00183B5F">
        <w:rPr>
          <w:szCs w:val="22"/>
          <w:u w:val="single"/>
        </w:rPr>
        <w:t>Allergiás reakciók</w:t>
      </w:r>
    </w:p>
    <w:p w14:paraId="0840C9A2" w14:textId="77777777" w:rsidR="00D0403E" w:rsidRPr="00183B5F" w:rsidRDefault="00D0403E" w:rsidP="004062FE">
      <w:pPr>
        <w:keepNext/>
        <w:spacing w:line="240" w:lineRule="auto"/>
        <w:ind w:left="567" w:hanging="567"/>
        <w:rPr>
          <w:b/>
          <w:szCs w:val="22"/>
        </w:rPr>
      </w:pPr>
    </w:p>
    <w:p w14:paraId="3883FBCE" w14:textId="77777777" w:rsidR="00D0403E" w:rsidRPr="00183B5F" w:rsidRDefault="00943743" w:rsidP="004062FE">
      <w:pPr>
        <w:keepNext/>
        <w:spacing w:line="240" w:lineRule="auto"/>
        <w:rPr>
          <w:szCs w:val="22"/>
        </w:rPr>
      </w:pPr>
      <w:r w:rsidRPr="00183B5F">
        <w:rPr>
          <w:szCs w:val="22"/>
        </w:rPr>
        <w:t>A klinikai vizsgálatok során a Humira alkalmazásával összefüggő súlyos allergiás reakciók ritkán fordultak elő. Nem súlyos allergiás reakciók nem gyakran fordultak elő a Humira</w:t>
      </w:r>
      <w:r w:rsidRPr="00183B5F">
        <w:rPr>
          <w:szCs w:val="22"/>
        </w:rPr>
        <w:noBreakHyphen/>
        <w:t>val végzett klinikai vizsgálatok során. Humira alkalmazását követően jelentettek súlyos allergiás reakciót, beleértve az anafilaxiát. Ha anafilaxiás vagy más súlyos allergiás reakció előfordulna, a Humira adását azonnal abba kell hagyni, és a megfelelő kezelést kell elkezdeni.</w:t>
      </w:r>
    </w:p>
    <w:p w14:paraId="3A5FF144" w14:textId="77777777" w:rsidR="00D0403E" w:rsidRPr="00183B5F" w:rsidRDefault="00D0403E" w:rsidP="004062FE">
      <w:pPr>
        <w:spacing w:line="240" w:lineRule="auto"/>
        <w:rPr>
          <w:szCs w:val="22"/>
        </w:rPr>
      </w:pPr>
    </w:p>
    <w:p w14:paraId="0DB798F8" w14:textId="77777777" w:rsidR="00D0403E" w:rsidRPr="00183B5F" w:rsidRDefault="00943743" w:rsidP="004062FE">
      <w:pPr>
        <w:spacing w:line="240" w:lineRule="auto"/>
        <w:ind w:left="567" w:hanging="567"/>
        <w:rPr>
          <w:szCs w:val="22"/>
          <w:u w:val="single"/>
        </w:rPr>
      </w:pPr>
      <w:r w:rsidRPr="00183B5F">
        <w:rPr>
          <w:szCs w:val="22"/>
          <w:u w:val="single"/>
        </w:rPr>
        <w:t>Immunszuppresszió</w:t>
      </w:r>
    </w:p>
    <w:p w14:paraId="57741EB6" w14:textId="77777777" w:rsidR="00D0403E" w:rsidRPr="00183B5F" w:rsidRDefault="00D0403E" w:rsidP="004062FE">
      <w:pPr>
        <w:spacing w:line="240" w:lineRule="auto"/>
        <w:ind w:left="567" w:hanging="567"/>
        <w:rPr>
          <w:b/>
          <w:szCs w:val="22"/>
        </w:rPr>
      </w:pPr>
    </w:p>
    <w:p w14:paraId="1CCB03F0" w14:textId="77777777" w:rsidR="00D0403E" w:rsidRPr="00183B5F" w:rsidRDefault="00943743" w:rsidP="004062FE">
      <w:pPr>
        <w:spacing w:line="240" w:lineRule="auto"/>
        <w:rPr>
          <w:szCs w:val="22"/>
        </w:rPr>
      </w:pPr>
      <w:r w:rsidRPr="00183B5F">
        <w:rPr>
          <w:szCs w:val="22"/>
        </w:rPr>
        <w:t>Rheumatoid arthritisben szenvedő, Humira</w:t>
      </w:r>
      <w:r w:rsidRPr="00183B5F">
        <w:rPr>
          <w:szCs w:val="22"/>
        </w:rPr>
        <w:noBreakHyphen/>
        <w:t>val kezelt 64 beteg vizsgálata során nem tapasztaltak csökkent késői típusú hyperszenzitivitási reakciót, alacsonyabb immunglobulin</w:t>
      </w:r>
      <w:r w:rsidR="001B6725" w:rsidRPr="00183B5F">
        <w:rPr>
          <w:szCs w:val="22"/>
        </w:rPr>
        <w:t>-</w:t>
      </w:r>
      <w:r w:rsidRPr="00183B5F">
        <w:rPr>
          <w:szCs w:val="22"/>
        </w:rPr>
        <w:t>szinteket, illetve nem észleltek változást az effektor</w:t>
      </w:r>
      <w:r w:rsidRPr="00183B5F">
        <w:rPr>
          <w:szCs w:val="22"/>
        </w:rPr>
        <w:noBreakHyphen/>
        <w:t>T</w:t>
      </w:r>
      <w:r w:rsidRPr="00183B5F">
        <w:rPr>
          <w:szCs w:val="22"/>
        </w:rPr>
        <w:noBreakHyphen/>
        <w:t>, B</w:t>
      </w:r>
      <w:r w:rsidRPr="00183B5F">
        <w:rPr>
          <w:szCs w:val="22"/>
        </w:rPr>
        <w:noBreakHyphen/>
        <w:t xml:space="preserve"> és NK</w:t>
      </w:r>
      <w:r w:rsidRPr="00183B5F">
        <w:rPr>
          <w:szCs w:val="22"/>
        </w:rPr>
        <w:noBreakHyphen/>
        <w:t>sejtek, monocyták/macrophagok és neutrophilek számában.</w:t>
      </w:r>
    </w:p>
    <w:p w14:paraId="3362BD2B" w14:textId="77777777" w:rsidR="00D0403E" w:rsidRPr="00183B5F" w:rsidRDefault="00D0403E" w:rsidP="004062FE">
      <w:pPr>
        <w:spacing w:line="240" w:lineRule="auto"/>
        <w:rPr>
          <w:szCs w:val="22"/>
        </w:rPr>
      </w:pPr>
    </w:p>
    <w:p w14:paraId="6DFFF030" w14:textId="77777777" w:rsidR="00D0403E" w:rsidRPr="00183B5F" w:rsidRDefault="00943743" w:rsidP="004062FE">
      <w:pPr>
        <w:keepNext/>
        <w:spacing w:line="240" w:lineRule="auto"/>
        <w:rPr>
          <w:szCs w:val="22"/>
          <w:u w:val="single"/>
        </w:rPr>
      </w:pPr>
      <w:r w:rsidRPr="00183B5F">
        <w:rPr>
          <w:szCs w:val="22"/>
          <w:u w:val="single"/>
        </w:rPr>
        <w:t>Malignus és lymphoproliferativ betegségek</w:t>
      </w:r>
    </w:p>
    <w:p w14:paraId="0EAE4BEA" w14:textId="77777777" w:rsidR="00D0403E" w:rsidRPr="00183B5F" w:rsidRDefault="00D0403E" w:rsidP="004062FE">
      <w:pPr>
        <w:keepNext/>
        <w:spacing w:line="240" w:lineRule="auto"/>
        <w:rPr>
          <w:szCs w:val="22"/>
          <w:u w:val="single"/>
        </w:rPr>
      </w:pPr>
    </w:p>
    <w:p w14:paraId="4FA307D4" w14:textId="77777777" w:rsidR="00D0403E" w:rsidRPr="00183B5F" w:rsidRDefault="00943743" w:rsidP="004062FE">
      <w:pPr>
        <w:keepNext/>
        <w:spacing w:line="240" w:lineRule="auto"/>
        <w:rPr>
          <w:szCs w:val="22"/>
        </w:rPr>
      </w:pPr>
      <w:r w:rsidRPr="00183B5F">
        <w:rPr>
          <w:szCs w:val="22"/>
        </w:rPr>
        <w:t>A TNF</w:t>
      </w:r>
      <w:r w:rsidRPr="00183B5F">
        <w:rPr>
          <w:szCs w:val="22"/>
        </w:rPr>
        <w:noBreakHyphen/>
        <w:t>antagonistákkal végzett klinikai vizsgálatok kontrollos részeiben a TNF</w:t>
      </w:r>
      <w:r w:rsidRPr="00183B5F">
        <w:rPr>
          <w:szCs w:val="22"/>
        </w:rPr>
        <w:noBreakHyphen/>
        <w:t>antagonistát kapott betegek körében nagyobb számban észleltek malignomákat, beleértve a lymphomát, mint a kontro</w:t>
      </w:r>
      <w:r w:rsidR="0089402C" w:rsidRPr="00183B5F">
        <w:rPr>
          <w:szCs w:val="22"/>
        </w:rPr>
        <w:t>llcs</w:t>
      </w:r>
      <w:r w:rsidRPr="00183B5F">
        <w:rPr>
          <w:szCs w:val="22"/>
        </w:rPr>
        <w:t>oport betegeinél. Ez azonban ritkán fordult elő. Posztmarketing alkalmazás körülményei között TNF</w:t>
      </w:r>
      <w:r w:rsidRPr="00183B5F">
        <w:rPr>
          <w:szCs w:val="22"/>
        </w:rPr>
        <w:noBreakHyphen/>
        <w:t>antagonistával kezelt betegek körében leukémi</w:t>
      </w:r>
      <w:r w:rsidR="001B6725" w:rsidRPr="00183B5F">
        <w:rPr>
          <w:szCs w:val="22"/>
        </w:rPr>
        <w:t>ás</w:t>
      </w:r>
      <w:r w:rsidRPr="00183B5F">
        <w:rPr>
          <w:szCs w:val="22"/>
        </w:rPr>
        <w:t xml:space="preserve"> eseteket jelentettek. A kockázat megítélését nehezíti, hogy a lymphoma és a leukémia háttérkockázata nagyobb olyan rheumatoid arthritisben szenvedő betegeknél, akiknek régóta fe</w:t>
      </w:r>
      <w:r w:rsidRPr="00183B5F">
        <w:rPr>
          <w:szCs w:val="22"/>
        </w:rPr>
        <w:t>nnálló, fokozott aktivitású gyulladásos betegségük van. Jelenlegi ismereteink szerint a TNF</w:t>
      </w:r>
      <w:r w:rsidRPr="00183B5F">
        <w:rPr>
          <w:szCs w:val="22"/>
        </w:rPr>
        <w:noBreakHyphen/>
        <w:t>antagonistákkal kezelt betegeknél a ly</w:t>
      </w:r>
      <w:r w:rsidR="00DC5DD7" w:rsidRPr="00183B5F">
        <w:rPr>
          <w:szCs w:val="22"/>
        </w:rPr>
        <w:t>m</w:t>
      </w:r>
      <w:r w:rsidRPr="00183B5F">
        <w:rPr>
          <w:szCs w:val="22"/>
        </w:rPr>
        <w:t>phoma</w:t>
      </w:r>
      <w:r w:rsidR="00DC5DD7" w:rsidRPr="00183B5F">
        <w:rPr>
          <w:szCs w:val="22"/>
        </w:rPr>
        <w:t>,</w:t>
      </w:r>
      <w:r w:rsidRPr="00183B5F">
        <w:rPr>
          <w:szCs w:val="22"/>
        </w:rPr>
        <w:t xml:space="preserve"> leukaemia vagy más malignus betegségek kialakulásának lehetséges rizikója nem zárható ki.</w:t>
      </w:r>
    </w:p>
    <w:p w14:paraId="3C703638" w14:textId="77777777" w:rsidR="00D0403E" w:rsidRPr="00183B5F" w:rsidRDefault="00D0403E" w:rsidP="004062FE">
      <w:pPr>
        <w:spacing w:line="240" w:lineRule="auto"/>
        <w:rPr>
          <w:szCs w:val="22"/>
        </w:rPr>
      </w:pPr>
    </w:p>
    <w:p w14:paraId="37DCD2E4" w14:textId="77777777" w:rsidR="00D0403E" w:rsidRPr="00183B5F" w:rsidRDefault="00943743">
      <w:pPr>
        <w:pStyle w:val="EMEANormal"/>
        <w:rPr>
          <w:szCs w:val="22"/>
          <w:lang w:val="hu-HU"/>
        </w:rPr>
      </w:pPr>
      <w:r w:rsidRPr="00183B5F">
        <w:rPr>
          <w:szCs w:val="22"/>
          <w:lang w:val="hu-HU"/>
        </w:rPr>
        <w:t>A forgalomba hozatalt követő megfigyelés során a TNF</w:t>
      </w:r>
      <w:r w:rsidRPr="00183B5F">
        <w:rPr>
          <w:szCs w:val="22"/>
          <w:lang w:val="hu-HU"/>
        </w:rPr>
        <w:noBreakHyphen/>
        <w:t>blokkoló szerekkel, köztük az adalimu</w:t>
      </w:r>
      <w:r w:rsidR="004E1449" w:rsidRPr="00183B5F">
        <w:rPr>
          <w:szCs w:val="22"/>
          <w:lang w:val="hu-HU"/>
        </w:rPr>
        <w:t>m</w:t>
      </w:r>
      <w:r w:rsidRPr="00183B5F">
        <w:rPr>
          <w:szCs w:val="22"/>
          <w:lang w:val="hu-HU"/>
        </w:rPr>
        <w:t>abb</w:t>
      </w:r>
      <w:r w:rsidR="00DB0C95" w:rsidRPr="00183B5F">
        <w:rPr>
          <w:szCs w:val="22"/>
          <w:lang w:val="hu-HU"/>
        </w:rPr>
        <w:t>al kezelt (a kezelés megkezdése </w:t>
      </w:r>
      <w:r w:rsidRPr="00183B5F">
        <w:rPr>
          <w:szCs w:val="22"/>
          <w:lang w:val="hu-HU"/>
        </w:rPr>
        <w:t>≤ 18 éves életkor) gyermekeknél, serdülőknél és fiatal felnőtteknél (22 éves korig) malignitásokról számoltak be, melyek némelyike végzetes kimenetelű volt. Az esetek mintegy fele lymphoma volt. A többi eset sokféle különböző malignitás volt, köztük ritka malignitások is, amelyek rendszerint immunszuppresszióhoz társultak. A TNF</w:t>
      </w:r>
      <w:r w:rsidRPr="00183B5F">
        <w:rPr>
          <w:szCs w:val="22"/>
          <w:lang w:val="hu-HU"/>
        </w:rPr>
        <w:noBreakHyphen/>
        <w:t>blokkolókkal kezelt gyermekeknél és serdülőknél a malignitások kialakulásának kockázata nem zárható ki.</w:t>
      </w:r>
    </w:p>
    <w:p w14:paraId="2D9358C9" w14:textId="77777777" w:rsidR="00D0403E" w:rsidRPr="00183B5F" w:rsidRDefault="00D0403E" w:rsidP="004062FE">
      <w:pPr>
        <w:spacing w:line="240" w:lineRule="auto"/>
        <w:rPr>
          <w:szCs w:val="22"/>
        </w:rPr>
      </w:pPr>
    </w:p>
    <w:p w14:paraId="08C1D656" w14:textId="77777777" w:rsidR="00D0403E" w:rsidRPr="00183B5F" w:rsidRDefault="00943743" w:rsidP="004062FE">
      <w:pPr>
        <w:spacing w:line="240" w:lineRule="auto"/>
        <w:rPr>
          <w:szCs w:val="22"/>
        </w:rPr>
      </w:pPr>
      <w:r w:rsidRPr="00183B5F">
        <w:rPr>
          <w:szCs w:val="22"/>
        </w:rPr>
        <w:t xml:space="preserve">Adalimumabbal kezelt betegeknél a forgalomba hozatalt követően ritkán </w:t>
      </w:r>
      <w:r w:rsidR="00AA4D42" w:rsidRPr="00183B5F">
        <w:rPr>
          <w:szCs w:val="22"/>
        </w:rPr>
        <w:t>hepatosplenicus</w:t>
      </w:r>
      <w:r w:rsidRPr="00183B5F">
        <w:rPr>
          <w:szCs w:val="22"/>
        </w:rPr>
        <w:t xml:space="preserve"> T</w:t>
      </w:r>
      <w:r w:rsidRPr="00183B5F">
        <w:rPr>
          <w:szCs w:val="22"/>
        </w:rPr>
        <w:noBreakHyphen/>
        <w:t>sejtes lymphoma esete</w:t>
      </w:r>
      <w:r w:rsidR="00C61C07" w:rsidRPr="00183B5F">
        <w:rPr>
          <w:szCs w:val="22"/>
        </w:rPr>
        <w:t>i</w:t>
      </w:r>
      <w:r w:rsidRPr="00183B5F">
        <w:rPr>
          <w:szCs w:val="22"/>
        </w:rPr>
        <w:t>t észlelt</w:t>
      </w:r>
      <w:r w:rsidR="00C61C07" w:rsidRPr="00183B5F">
        <w:rPr>
          <w:szCs w:val="22"/>
        </w:rPr>
        <w:t>é</w:t>
      </w:r>
      <w:r w:rsidRPr="00183B5F">
        <w:rPr>
          <w:szCs w:val="22"/>
        </w:rPr>
        <w:t>k. A T</w:t>
      </w:r>
      <w:r w:rsidRPr="00183B5F">
        <w:rPr>
          <w:szCs w:val="22"/>
        </w:rPr>
        <w:noBreakHyphen/>
        <w:t>sejtes lymphoma e ritkán előforduló típusa nagyon agresszív lefolyású és rendszerint halálos kimenetelű. A Humira</w:t>
      </w:r>
      <w:r w:rsidRPr="00183B5F">
        <w:rPr>
          <w:szCs w:val="22"/>
        </w:rPr>
        <w:noBreakHyphen/>
        <w:t xml:space="preserve">kezelés során észlelt </w:t>
      </w:r>
      <w:r w:rsidR="00AA4D42" w:rsidRPr="00183B5F">
        <w:rPr>
          <w:szCs w:val="22"/>
        </w:rPr>
        <w:t>hepatosplenicus</w:t>
      </w:r>
      <w:r w:rsidRPr="00183B5F">
        <w:rPr>
          <w:szCs w:val="22"/>
        </w:rPr>
        <w:t xml:space="preserve"> T</w:t>
      </w:r>
      <w:r w:rsidRPr="00183B5F">
        <w:rPr>
          <w:szCs w:val="22"/>
        </w:rPr>
        <w:noBreakHyphen/>
        <w:t>sejtes lymphoma</w:t>
      </w:r>
      <w:r w:rsidR="003D6A39" w:rsidRPr="00183B5F">
        <w:rPr>
          <w:szCs w:val="22"/>
        </w:rPr>
        <w:t>-</w:t>
      </w:r>
      <w:r w:rsidRPr="00183B5F">
        <w:rPr>
          <w:szCs w:val="22"/>
        </w:rPr>
        <w:t>esetek némelyike olyan fiatal felnőtt betegeknél fordult elő, akiket gyulladásos bélbetegség miatt egyidejűleg azatioprinnel, illetve 6</w:t>
      </w:r>
      <w:r w:rsidRPr="00183B5F">
        <w:rPr>
          <w:szCs w:val="22"/>
        </w:rPr>
        <w:noBreakHyphen/>
        <w:t>merkaptopurinnal kezeltek. Az azatioprin vagy a 6</w:t>
      </w:r>
      <w:r w:rsidRPr="00183B5F">
        <w:rPr>
          <w:szCs w:val="22"/>
        </w:rPr>
        <w:noBreakHyphen/>
        <w:t>merkaptopurin Humira</w:t>
      </w:r>
      <w:r w:rsidRPr="00183B5F">
        <w:rPr>
          <w:szCs w:val="22"/>
        </w:rPr>
        <w:noBreakHyphen/>
        <w:t xml:space="preserve">val történő egyidejű adásának lehetséges kockázatát alaposan mérlegelni kell. </w:t>
      </w:r>
      <w:r w:rsidRPr="00183B5F">
        <w:rPr>
          <w:szCs w:val="22"/>
        </w:rPr>
        <w:t xml:space="preserve">A </w:t>
      </w:r>
      <w:r w:rsidR="00AA4D42" w:rsidRPr="00183B5F">
        <w:rPr>
          <w:szCs w:val="22"/>
        </w:rPr>
        <w:t>hepatosplenicus</w:t>
      </w:r>
      <w:r w:rsidRPr="00183B5F">
        <w:rPr>
          <w:szCs w:val="22"/>
        </w:rPr>
        <w:t xml:space="preserve"> T</w:t>
      </w:r>
      <w:r w:rsidRPr="00183B5F">
        <w:rPr>
          <w:szCs w:val="22"/>
        </w:rPr>
        <w:noBreakHyphen/>
        <w:t>sejtes lymphoma kialakulása nem zárható ki a Humira</w:t>
      </w:r>
      <w:r w:rsidRPr="00183B5F">
        <w:rPr>
          <w:szCs w:val="22"/>
        </w:rPr>
        <w:noBreakHyphen/>
        <w:t>val kezelt betegeknél (lásd 4.8 pont).</w:t>
      </w:r>
    </w:p>
    <w:p w14:paraId="0F486761" w14:textId="77777777" w:rsidR="00D0403E" w:rsidRPr="00183B5F" w:rsidRDefault="00D0403E" w:rsidP="004062FE">
      <w:pPr>
        <w:spacing w:line="240" w:lineRule="auto"/>
        <w:rPr>
          <w:szCs w:val="22"/>
        </w:rPr>
      </w:pPr>
    </w:p>
    <w:p w14:paraId="67B2A850" w14:textId="77777777" w:rsidR="00D0403E" w:rsidRPr="00183B5F" w:rsidRDefault="00943743" w:rsidP="004062FE">
      <w:pPr>
        <w:spacing w:line="240" w:lineRule="auto"/>
        <w:rPr>
          <w:szCs w:val="22"/>
        </w:rPr>
      </w:pPr>
      <w:r w:rsidRPr="00183B5F">
        <w:rPr>
          <w:szCs w:val="22"/>
        </w:rPr>
        <w:t>Ezidáig nem végeztek vizsgálatokat olyan betegek bevonásával, akiknek kórtörténetében malignitás szerepelt, vagy akiknél a Humira</w:t>
      </w:r>
      <w:r w:rsidRPr="00183B5F">
        <w:rPr>
          <w:szCs w:val="22"/>
        </w:rPr>
        <w:noBreakHyphen/>
        <w:t>kezelést malignitás kialakulását követően is folytatták. Ezért ezen betegek Humira</w:t>
      </w:r>
      <w:r w:rsidRPr="00183B5F">
        <w:rPr>
          <w:szCs w:val="22"/>
        </w:rPr>
        <w:noBreakHyphen/>
        <w:t>kezelésbe való bevonásának mérlegelésekor fokozott elővigyázatosság szükséges (lásd 4.8 pont).</w:t>
      </w:r>
    </w:p>
    <w:p w14:paraId="4BEFE81E" w14:textId="77777777" w:rsidR="00D0403E" w:rsidRPr="00183B5F" w:rsidRDefault="00D0403E" w:rsidP="004062FE">
      <w:pPr>
        <w:spacing w:line="240" w:lineRule="auto"/>
        <w:rPr>
          <w:szCs w:val="22"/>
        </w:rPr>
      </w:pPr>
    </w:p>
    <w:p w14:paraId="4DA8A5AF" w14:textId="77777777" w:rsidR="00D0403E" w:rsidRPr="00183B5F" w:rsidRDefault="00943743" w:rsidP="004062FE">
      <w:pPr>
        <w:spacing w:line="240" w:lineRule="auto"/>
        <w:rPr>
          <w:szCs w:val="22"/>
        </w:rPr>
      </w:pPr>
      <w:r w:rsidRPr="00183B5F">
        <w:rPr>
          <w:szCs w:val="22"/>
        </w:rPr>
        <w:t>Minden betegnél, de főként azoknál, akiknek az anamnézisében extenzív immunszuppresszív kezelés szerepel, illetve olyan psoriasisos betegeknél, akik PUVA</w:t>
      </w:r>
      <w:r w:rsidRPr="00183B5F">
        <w:rPr>
          <w:szCs w:val="22"/>
        </w:rPr>
        <w:noBreakHyphen/>
        <w:t>kezelést kaptak, a Humira</w:t>
      </w:r>
      <w:r w:rsidRPr="00183B5F">
        <w:rPr>
          <w:szCs w:val="22"/>
        </w:rPr>
        <w:noBreakHyphen/>
        <w:t>kezelés kezdete előtt és az alatt vizsgálni kell a nem melanomás bőrrák előfordulását. Melanoma és Merkel</w:t>
      </w:r>
      <w:r w:rsidRPr="00183B5F">
        <w:rPr>
          <w:szCs w:val="22"/>
        </w:rPr>
        <w:noBreakHyphen/>
        <w:t>sejtes carcinoma előfordulásáról is beszámoltak TNF</w:t>
      </w:r>
      <w:r w:rsidRPr="00183B5F">
        <w:rPr>
          <w:szCs w:val="22"/>
        </w:rPr>
        <w:noBreakHyphen/>
        <w:t>antagonistával kezelt betegeknél, beleértve az adalimumabot (lásd 4.8 pont).</w:t>
      </w:r>
    </w:p>
    <w:p w14:paraId="59E8FBCC" w14:textId="77777777" w:rsidR="00D0403E" w:rsidRPr="00183B5F" w:rsidRDefault="00D0403E" w:rsidP="004062FE">
      <w:pPr>
        <w:spacing w:line="240" w:lineRule="auto"/>
        <w:rPr>
          <w:szCs w:val="22"/>
        </w:rPr>
      </w:pPr>
    </w:p>
    <w:p w14:paraId="5A10970D" w14:textId="77777777" w:rsidR="00D0403E" w:rsidRPr="00183B5F" w:rsidRDefault="00943743" w:rsidP="004062FE">
      <w:pPr>
        <w:spacing w:line="240" w:lineRule="auto"/>
        <w:rPr>
          <w:szCs w:val="22"/>
        </w:rPr>
      </w:pPr>
      <w:r w:rsidRPr="00183B5F">
        <w:rPr>
          <w:szCs w:val="22"/>
        </w:rPr>
        <w:t>Egy másik TNF</w:t>
      </w:r>
      <w:r w:rsidRPr="00183B5F">
        <w:rPr>
          <w:szCs w:val="22"/>
        </w:rPr>
        <w:noBreakHyphen/>
        <w:t>antagonista, az infliximab hatásait köz</w:t>
      </w:r>
      <w:r w:rsidR="0011114B" w:rsidRPr="00183B5F">
        <w:rPr>
          <w:szCs w:val="22"/>
        </w:rPr>
        <w:t xml:space="preserve">epesen </w:t>
      </w:r>
      <w:r w:rsidRPr="00183B5F">
        <w:rPr>
          <w:szCs w:val="22"/>
        </w:rPr>
        <w:t>súlyos-súlyos idült obstruktív tüdőbetegségben (COPD) értékelték egy feltáró klinikai vizsgálattal. Az infliximabbal kezelt betegeken több rosszindulatú (javarészt tüdő-, fej-, vagy nyaki) daganatot észleltek, mint a kontro</w:t>
      </w:r>
      <w:r w:rsidR="0089402C" w:rsidRPr="00183B5F">
        <w:rPr>
          <w:szCs w:val="22"/>
        </w:rPr>
        <w:t>llcs</w:t>
      </w:r>
      <w:r w:rsidRPr="00183B5F">
        <w:rPr>
          <w:szCs w:val="22"/>
        </w:rPr>
        <w:t>oportban. A kórelőzmény alapján mindegyik beteg erős dohányos volt. Ennélfogva, COPD</w:t>
      </w:r>
      <w:r w:rsidRPr="00183B5F">
        <w:rPr>
          <w:szCs w:val="22"/>
        </w:rPr>
        <w:noBreakHyphen/>
      </w:r>
      <w:r w:rsidRPr="00183B5F">
        <w:rPr>
          <w:szCs w:val="22"/>
        </w:rPr>
        <w:t>ben szenvedő, valamint az erős dohányzás miatt rosszindulatú daganat kialakulása szempontjából fokozottan veszélyeztetett betegeken körültekintően kell alkalmazni a TNF</w:t>
      </w:r>
      <w:r w:rsidRPr="00183B5F">
        <w:rPr>
          <w:szCs w:val="22"/>
        </w:rPr>
        <w:noBreakHyphen/>
        <w:t>antagonistákat.</w:t>
      </w:r>
    </w:p>
    <w:p w14:paraId="497FB4AD" w14:textId="77777777" w:rsidR="00D0403E" w:rsidRPr="00183B5F" w:rsidRDefault="00D0403E" w:rsidP="004062FE">
      <w:pPr>
        <w:spacing w:line="240" w:lineRule="auto"/>
        <w:rPr>
          <w:szCs w:val="22"/>
        </w:rPr>
      </w:pPr>
    </w:p>
    <w:p w14:paraId="43431A5A" w14:textId="77777777" w:rsidR="00D0403E" w:rsidRPr="00183B5F" w:rsidRDefault="00943743" w:rsidP="004062FE">
      <w:pPr>
        <w:spacing w:line="240" w:lineRule="auto"/>
        <w:rPr>
          <w:szCs w:val="22"/>
        </w:rPr>
      </w:pPr>
      <w:r w:rsidRPr="00183B5F">
        <w:rPr>
          <w:szCs w:val="22"/>
        </w:rPr>
        <w:t>A rendelkezésre álló adatok alapján nem ismert, hogy az adalimumab</w:t>
      </w:r>
      <w:r w:rsidRPr="00183B5F">
        <w:rPr>
          <w:szCs w:val="22"/>
        </w:rPr>
        <w:noBreakHyphen/>
        <w:t>kezelés befolyásolja-e a dysplasia vagy a vastagbélrák kialakulásának kockázatát. A kezelés megkezdése előtt és a betegség teljes lefolyása alatt azokat a colitis ulcerosában szenvedő betegeket, akiknél dysplasia vagy vastagbélrák kialakulásának fokozott kockázata áll fenn (pl. hosszan fennálló colitis ulcerosában vagy primer cholangitis sclerotisansban szenvedő betegeknél) vagy akiknek az anamnézisében dysplasia vagy vastagbélrák szerepel, rendszeresen szűrni kell dysplasia irányában. A szűrővizsgálat sor</w:t>
      </w:r>
      <w:r w:rsidRPr="00183B5F">
        <w:rPr>
          <w:szCs w:val="22"/>
        </w:rPr>
        <w:t>án kolonoszkópiát és szövettani mintavételt is kell végezni a helyi ajánlásoknak megfelelően.</w:t>
      </w:r>
    </w:p>
    <w:p w14:paraId="0056CFCE" w14:textId="77777777" w:rsidR="00D0403E" w:rsidRPr="00183B5F" w:rsidRDefault="00D0403E" w:rsidP="004062FE">
      <w:pPr>
        <w:spacing w:line="240" w:lineRule="auto"/>
        <w:rPr>
          <w:szCs w:val="22"/>
          <w:u w:val="single"/>
        </w:rPr>
      </w:pPr>
    </w:p>
    <w:p w14:paraId="1D6ED4E6" w14:textId="77777777" w:rsidR="00D0403E" w:rsidRPr="00183B5F" w:rsidRDefault="00943743" w:rsidP="004062FE">
      <w:pPr>
        <w:keepNext/>
        <w:spacing w:line="240" w:lineRule="auto"/>
        <w:rPr>
          <w:szCs w:val="22"/>
          <w:u w:val="single"/>
        </w:rPr>
      </w:pPr>
      <w:r w:rsidRPr="00183B5F">
        <w:rPr>
          <w:szCs w:val="22"/>
          <w:u w:val="single"/>
        </w:rPr>
        <w:t>Hematológiai reakciók</w:t>
      </w:r>
    </w:p>
    <w:p w14:paraId="3FEA44D6" w14:textId="77777777" w:rsidR="00D0403E" w:rsidRPr="00183B5F" w:rsidRDefault="00D0403E" w:rsidP="004062FE">
      <w:pPr>
        <w:keepNext/>
        <w:spacing w:line="240" w:lineRule="auto"/>
        <w:rPr>
          <w:szCs w:val="22"/>
        </w:rPr>
      </w:pPr>
    </w:p>
    <w:p w14:paraId="195FA055" w14:textId="77777777" w:rsidR="00D0403E" w:rsidRPr="00183B5F" w:rsidRDefault="00943743" w:rsidP="004062FE">
      <w:pPr>
        <w:keepNext/>
        <w:spacing w:line="240" w:lineRule="auto"/>
        <w:rPr>
          <w:szCs w:val="22"/>
        </w:rPr>
      </w:pPr>
      <w:r w:rsidRPr="00183B5F">
        <w:rPr>
          <w:szCs w:val="22"/>
        </w:rPr>
        <w:t>TNF</w:t>
      </w:r>
      <w:r w:rsidRPr="00183B5F">
        <w:rPr>
          <w:szCs w:val="22"/>
        </w:rPr>
        <w:noBreakHyphen/>
      </w:r>
      <w:r w:rsidRPr="00183B5F">
        <w:rPr>
          <w:szCs w:val="22"/>
        </w:rPr>
        <w:t>antagonista szerek használata kapcsán ritkán pancytopeniáról számoltak be, beleértve az aplasticus anaemiát is. A Humira kapcsán hematológiai mellékhatásokról, köztük klinikailag jelentős cytopeniáról (pl. thrombocytopenia, leukopenia) számoltak be. Minden betegnél javasolt az azonnali orvosi felügyelet, amennyiben Humira</w:t>
      </w:r>
      <w:r w:rsidRPr="00183B5F">
        <w:rPr>
          <w:szCs w:val="22"/>
        </w:rPr>
        <w:noBreakHyphen/>
        <w:t>kezelés alatt a vérképváltozásra utaló jelek és tünetek jelentkeznek (pl. állandósult láz, véraláfutások, vérzés, sápadtság). A Humira</w:t>
      </w:r>
      <w:r w:rsidRPr="00183B5F">
        <w:rPr>
          <w:szCs w:val="22"/>
        </w:rPr>
        <w:noBreakHyphen/>
        <w:t>kezelés megszakítását fontolóra kell venni, ha a bete</w:t>
      </w:r>
      <w:r w:rsidRPr="00183B5F">
        <w:rPr>
          <w:szCs w:val="22"/>
        </w:rPr>
        <w:t>gnél igazolt, jelentős hematológiai eltérések vannak.</w:t>
      </w:r>
    </w:p>
    <w:p w14:paraId="0496A783" w14:textId="77777777" w:rsidR="00D0403E" w:rsidRPr="00183B5F" w:rsidRDefault="00D0403E" w:rsidP="004062FE">
      <w:pPr>
        <w:spacing w:line="240" w:lineRule="auto"/>
        <w:rPr>
          <w:szCs w:val="22"/>
        </w:rPr>
      </w:pPr>
    </w:p>
    <w:p w14:paraId="22A4FCC5" w14:textId="77777777" w:rsidR="00D0403E" w:rsidRPr="00183B5F" w:rsidRDefault="00943743" w:rsidP="004062FE">
      <w:pPr>
        <w:keepNext/>
        <w:spacing w:line="240" w:lineRule="auto"/>
        <w:rPr>
          <w:szCs w:val="22"/>
          <w:u w:val="single"/>
        </w:rPr>
      </w:pPr>
      <w:r w:rsidRPr="00183B5F">
        <w:rPr>
          <w:szCs w:val="22"/>
          <w:u w:val="single"/>
        </w:rPr>
        <w:t>Védőoltások</w:t>
      </w:r>
    </w:p>
    <w:p w14:paraId="2E81E38A" w14:textId="77777777" w:rsidR="00D0403E" w:rsidRPr="00183B5F" w:rsidRDefault="00D0403E" w:rsidP="004062FE">
      <w:pPr>
        <w:keepNext/>
        <w:spacing w:line="240" w:lineRule="auto"/>
        <w:ind w:left="567" w:hanging="567"/>
        <w:rPr>
          <w:b/>
          <w:szCs w:val="22"/>
        </w:rPr>
      </w:pPr>
    </w:p>
    <w:p w14:paraId="4802F408" w14:textId="77777777" w:rsidR="00D0403E" w:rsidRPr="00183B5F" w:rsidRDefault="00943743" w:rsidP="004062FE">
      <w:pPr>
        <w:keepNext/>
        <w:spacing w:line="240" w:lineRule="auto"/>
        <w:rPr>
          <w:bCs/>
          <w:szCs w:val="22"/>
        </w:rPr>
      </w:pPr>
      <w:r w:rsidRPr="00183B5F">
        <w:rPr>
          <w:szCs w:val="22"/>
        </w:rPr>
        <w:t xml:space="preserve">Egy vizsgálat 226 rheumatoid arthritises, adalimumabbal vagy placebóval kezelt résztvevőjén hasonló antitestválaszt figyeltek meg a </w:t>
      </w:r>
      <w:r w:rsidRPr="00183B5F">
        <w:rPr>
          <w:i/>
          <w:szCs w:val="22"/>
        </w:rPr>
        <w:t>Pneumococcus</w:t>
      </w:r>
      <w:r w:rsidRPr="00183B5F">
        <w:rPr>
          <w:szCs w:val="22"/>
        </w:rPr>
        <w:t> 23 szerotípusát tartalmazó standard oltóanyaggal</w:t>
      </w:r>
      <w:r w:rsidRPr="00183B5F">
        <w:rPr>
          <w:bCs/>
          <w:szCs w:val="22"/>
        </w:rPr>
        <w:t>, valamint a trivalens influenzavírus</w:t>
      </w:r>
      <w:r w:rsidR="003B4347" w:rsidRPr="00183B5F">
        <w:rPr>
          <w:bCs/>
          <w:szCs w:val="22"/>
        </w:rPr>
        <w:t>-</w:t>
      </w:r>
      <w:r w:rsidRPr="00183B5F">
        <w:rPr>
          <w:bCs/>
          <w:szCs w:val="22"/>
        </w:rPr>
        <w:t>vakcinával szemben. Nincs adat arról, hogy Humira</w:t>
      </w:r>
      <w:r w:rsidRPr="00183B5F">
        <w:rPr>
          <w:bCs/>
          <w:szCs w:val="22"/>
        </w:rPr>
        <w:noBreakHyphen/>
        <w:t xml:space="preserve">val kezelt betegek élő kórokozót tartalmazó vakcinával végzett védőoltása esetén bekövetkezhet-e a fertőzés másodlagos transzmissziója. </w:t>
      </w:r>
    </w:p>
    <w:p w14:paraId="3458BB03" w14:textId="77777777" w:rsidR="00D0403E" w:rsidRPr="00183B5F" w:rsidRDefault="00D0403E" w:rsidP="004062FE">
      <w:pPr>
        <w:spacing w:line="240" w:lineRule="auto"/>
        <w:rPr>
          <w:bCs/>
          <w:szCs w:val="22"/>
        </w:rPr>
      </w:pPr>
    </w:p>
    <w:p w14:paraId="4B0B2F57" w14:textId="77777777" w:rsidR="00D0403E" w:rsidRPr="00183B5F" w:rsidRDefault="00943743" w:rsidP="004062FE">
      <w:pPr>
        <w:autoSpaceDE w:val="0"/>
        <w:autoSpaceDN w:val="0"/>
        <w:adjustRightInd w:val="0"/>
        <w:spacing w:line="240" w:lineRule="auto"/>
        <w:rPr>
          <w:szCs w:val="22"/>
        </w:rPr>
      </w:pPr>
      <w:r w:rsidRPr="00183B5F">
        <w:rPr>
          <w:szCs w:val="22"/>
        </w:rPr>
        <w:t>Ajánlott, hogy</w:t>
      </w:r>
      <w:r w:rsidR="00626979" w:rsidRPr="00183B5F">
        <w:rPr>
          <w:szCs w:val="22"/>
        </w:rPr>
        <w:t xml:space="preserve"> – </w:t>
      </w:r>
      <w:r w:rsidRPr="00183B5F">
        <w:rPr>
          <w:szCs w:val="22"/>
        </w:rPr>
        <w:t>ha lehetséges</w:t>
      </w:r>
      <w:r w:rsidR="00626979" w:rsidRPr="00183B5F">
        <w:t xml:space="preserve"> –</w:t>
      </w:r>
      <w:r w:rsidRPr="00183B5F">
        <w:rPr>
          <w:szCs w:val="22"/>
        </w:rPr>
        <w:t xml:space="preserve"> a </w:t>
      </w:r>
      <w:r w:rsidR="00CB73C8" w:rsidRPr="00183B5F">
        <w:rPr>
          <w:szCs w:val="22"/>
        </w:rPr>
        <w:t>gyermekeknél és serdülőknél</w:t>
      </w:r>
      <w:r w:rsidRPr="00183B5F">
        <w:rPr>
          <w:szCs w:val="22"/>
        </w:rPr>
        <w:t xml:space="preserve"> a Humira</w:t>
      </w:r>
      <w:r w:rsidRPr="00183B5F">
        <w:rPr>
          <w:szCs w:val="22"/>
        </w:rPr>
        <w:noBreakHyphen/>
        <w:t xml:space="preserve">kezelés megkezdése előtt adjanak be minden védőoltást a hatályos védőoltási irányelvek alapján. </w:t>
      </w:r>
    </w:p>
    <w:p w14:paraId="072400DD" w14:textId="77777777" w:rsidR="00D0403E" w:rsidRPr="00183B5F" w:rsidRDefault="00D0403E" w:rsidP="004062FE">
      <w:pPr>
        <w:spacing w:line="240" w:lineRule="auto"/>
        <w:rPr>
          <w:bCs/>
          <w:szCs w:val="22"/>
        </w:rPr>
      </w:pPr>
    </w:p>
    <w:p w14:paraId="0B41D31D" w14:textId="77777777" w:rsidR="00D0403E" w:rsidRPr="00183B5F" w:rsidRDefault="00943743" w:rsidP="004062FE">
      <w:pPr>
        <w:spacing w:line="240" w:lineRule="auto"/>
        <w:rPr>
          <w:bCs/>
          <w:szCs w:val="22"/>
        </w:rPr>
      </w:pPr>
      <w:r w:rsidRPr="00183B5F">
        <w:rPr>
          <w:bCs/>
          <w:szCs w:val="22"/>
        </w:rPr>
        <w:t>A Humira</w:t>
      </w:r>
      <w:r w:rsidRPr="00183B5F">
        <w:rPr>
          <w:bCs/>
          <w:szCs w:val="22"/>
        </w:rPr>
        <w:noBreakHyphen/>
        <w:t>val kezelt betegeknek – élő kórokozót tartalmazó vakcinák kivételével – adható egyidejűleg védőoltás. Az anya terhesség alatti utolsó adalimumab</w:t>
      </w:r>
      <w:r w:rsidR="00626979" w:rsidRPr="00183B5F">
        <w:rPr>
          <w:bCs/>
          <w:szCs w:val="22"/>
        </w:rPr>
        <w:t>-</w:t>
      </w:r>
      <w:r w:rsidRPr="00183B5F">
        <w:rPr>
          <w:bCs/>
          <w:szCs w:val="22"/>
        </w:rPr>
        <w:t xml:space="preserve">injekciójától számított 5 hónapig nem javasolt az olyan csecsemők élő kórokozót tartalmazó vakcinával </w:t>
      </w:r>
      <w:r w:rsidR="0089718B" w:rsidRPr="00183B5F">
        <w:rPr>
          <w:bCs/>
          <w:szCs w:val="22"/>
        </w:rPr>
        <w:t>(pl. BCG</w:t>
      </w:r>
      <w:r w:rsidR="00626979" w:rsidRPr="00183B5F">
        <w:rPr>
          <w:bCs/>
          <w:szCs w:val="22"/>
        </w:rPr>
        <w:t>-</w:t>
      </w:r>
      <w:r w:rsidR="0089718B" w:rsidRPr="00183B5F">
        <w:rPr>
          <w:bCs/>
          <w:szCs w:val="22"/>
        </w:rPr>
        <w:t xml:space="preserve">vakcinával) </w:t>
      </w:r>
      <w:r w:rsidRPr="00183B5F">
        <w:rPr>
          <w:bCs/>
          <w:szCs w:val="22"/>
        </w:rPr>
        <w:t xml:space="preserve">való oltása, akik </w:t>
      </w:r>
      <w:r w:rsidRPr="00183B5F">
        <w:rPr>
          <w:bCs/>
          <w:i/>
          <w:szCs w:val="22"/>
        </w:rPr>
        <w:t>in utero</w:t>
      </w:r>
      <w:r w:rsidRPr="00183B5F">
        <w:rPr>
          <w:bCs/>
          <w:szCs w:val="22"/>
        </w:rPr>
        <w:t xml:space="preserve"> adalimumab hatásának voltak kitéve.</w:t>
      </w:r>
    </w:p>
    <w:p w14:paraId="774CB52E" w14:textId="77777777" w:rsidR="00D0403E" w:rsidRPr="00183B5F" w:rsidRDefault="00D0403E" w:rsidP="004062FE">
      <w:pPr>
        <w:spacing w:line="240" w:lineRule="auto"/>
        <w:rPr>
          <w:b/>
          <w:szCs w:val="22"/>
        </w:rPr>
      </w:pPr>
    </w:p>
    <w:p w14:paraId="54CFA803" w14:textId="77777777" w:rsidR="00D0403E" w:rsidRPr="00183B5F" w:rsidRDefault="00943743" w:rsidP="004062FE">
      <w:pPr>
        <w:keepNext/>
        <w:spacing w:line="240" w:lineRule="auto"/>
        <w:ind w:left="567" w:hanging="567"/>
        <w:rPr>
          <w:szCs w:val="22"/>
          <w:u w:val="single"/>
        </w:rPr>
      </w:pPr>
      <w:r w:rsidRPr="00183B5F">
        <w:rPr>
          <w:szCs w:val="22"/>
          <w:u w:val="single"/>
        </w:rPr>
        <w:t>Pangásos szívelégtelenség</w:t>
      </w:r>
    </w:p>
    <w:p w14:paraId="3D6D5022" w14:textId="77777777" w:rsidR="00D0403E" w:rsidRPr="00183B5F" w:rsidRDefault="00D0403E" w:rsidP="004062FE">
      <w:pPr>
        <w:keepNext/>
        <w:spacing w:line="240" w:lineRule="auto"/>
        <w:ind w:left="567" w:hanging="567"/>
        <w:rPr>
          <w:b/>
          <w:szCs w:val="22"/>
        </w:rPr>
      </w:pPr>
    </w:p>
    <w:p w14:paraId="25A80869" w14:textId="77777777" w:rsidR="00D0403E" w:rsidRPr="00183B5F" w:rsidRDefault="00943743" w:rsidP="004062FE">
      <w:pPr>
        <w:spacing w:line="240" w:lineRule="auto"/>
        <w:rPr>
          <w:szCs w:val="22"/>
        </w:rPr>
      </w:pPr>
      <w:r w:rsidRPr="00183B5F">
        <w:rPr>
          <w:szCs w:val="22"/>
        </w:rPr>
        <w:t>Egy másik TNF</w:t>
      </w:r>
      <w:r w:rsidRPr="00183B5F">
        <w:rPr>
          <w:szCs w:val="22"/>
        </w:rPr>
        <w:noBreakHyphen/>
        <w:t>antagonistával végzett klinikai vizsgálat során a pangásos szívelégtelenség súlyosbodását</w:t>
      </w:r>
      <w:r w:rsidR="00626979" w:rsidRPr="00183B5F">
        <w:rPr>
          <w:szCs w:val="22"/>
        </w:rPr>
        <w:t>,</w:t>
      </w:r>
      <w:r w:rsidRPr="00183B5F">
        <w:rPr>
          <w:szCs w:val="22"/>
        </w:rPr>
        <w:t xml:space="preserve"> illetve a pangásos szívelégtelenséggel összefüggésben levő halálesetek számának növekedését tapasztalták. A pangásos szívelégtelenség súlyosbodásáról szintén beszámoltak Humira</w:t>
      </w:r>
      <w:r w:rsidRPr="00183B5F">
        <w:rPr>
          <w:szCs w:val="22"/>
        </w:rPr>
        <w:noBreakHyphen/>
        <w:t>val kezelt betegeknél. A Humira</w:t>
      </w:r>
      <w:r w:rsidRPr="00183B5F">
        <w:rPr>
          <w:szCs w:val="22"/>
        </w:rPr>
        <w:noBreakHyphen/>
        <w:t>t csak fokozott óvatossággal szabad használni enyhe szívelégtelenségben (NYHA I/II stádium) szenvedők kezelésére. A Humira kontraindikált a köz</w:t>
      </w:r>
      <w:r w:rsidR="0011114B" w:rsidRPr="00183B5F">
        <w:rPr>
          <w:szCs w:val="22"/>
        </w:rPr>
        <w:t xml:space="preserve">epesen </w:t>
      </w:r>
      <w:r w:rsidRPr="00183B5F">
        <w:rPr>
          <w:szCs w:val="22"/>
        </w:rPr>
        <w:t>súlyos</w:t>
      </w:r>
      <w:r w:rsidRPr="00183B5F">
        <w:rPr>
          <w:szCs w:val="22"/>
        </w:rPr>
        <w:noBreakHyphen/>
      </w:r>
      <w:r w:rsidRPr="00183B5F">
        <w:rPr>
          <w:szCs w:val="22"/>
        </w:rPr>
        <w:t>súlyos szívelégtelenség eseteiben (lásd 4.3 pont). A Humira</w:t>
      </w:r>
      <w:r w:rsidRPr="00183B5F">
        <w:rPr>
          <w:szCs w:val="22"/>
        </w:rPr>
        <w:noBreakHyphen/>
        <w:t>kezelést fel kell függeszteni minden olyan beteg esetében, akinél a pangásos szívelégtelenség rosszabbodása, illetve új tünet megjelenése tapasztalható.</w:t>
      </w:r>
    </w:p>
    <w:p w14:paraId="3A5778BD" w14:textId="77777777" w:rsidR="00D0403E" w:rsidRPr="00183B5F" w:rsidRDefault="00D0403E" w:rsidP="004062FE">
      <w:pPr>
        <w:spacing w:line="240" w:lineRule="auto"/>
        <w:rPr>
          <w:szCs w:val="22"/>
        </w:rPr>
      </w:pPr>
    </w:p>
    <w:p w14:paraId="48BFC745" w14:textId="77777777" w:rsidR="00D0403E" w:rsidRPr="00183B5F" w:rsidRDefault="00943743" w:rsidP="00832DC3">
      <w:pPr>
        <w:keepNext/>
        <w:spacing w:line="240" w:lineRule="auto"/>
        <w:rPr>
          <w:szCs w:val="22"/>
          <w:u w:val="single"/>
        </w:rPr>
      </w:pPr>
      <w:r w:rsidRPr="00183B5F">
        <w:rPr>
          <w:szCs w:val="22"/>
          <w:u w:val="single"/>
        </w:rPr>
        <w:t>Autoimmun folyamatok</w:t>
      </w:r>
    </w:p>
    <w:p w14:paraId="004C8F64" w14:textId="77777777" w:rsidR="00D0403E" w:rsidRPr="00183B5F" w:rsidRDefault="00D0403E" w:rsidP="00832DC3">
      <w:pPr>
        <w:keepNext/>
        <w:spacing w:line="240" w:lineRule="auto"/>
        <w:rPr>
          <w:szCs w:val="22"/>
        </w:rPr>
      </w:pPr>
    </w:p>
    <w:p w14:paraId="1425A355" w14:textId="77777777" w:rsidR="00D0403E" w:rsidRPr="00183B5F" w:rsidRDefault="00943743" w:rsidP="004062FE">
      <w:pPr>
        <w:spacing w:line="240" w:lineRule="auto"/>
        <w:rPr>
          <w:szCs w:val="22"/>
        </w:rPr>
      </w:pPr>
      <w:r w:rsidRPr="00183B5F">
        <w:rPr>
          <w:szCs w:val="22"/>
        </w:rPr>
        <w:t>A Humira</w:t>
      </w:r>
      <w:r w:rsidRPr="00183B5F">
        <w:rPr>
          <w:szCs w:val="22"/>
        </w:rPr>
        <w:noBreakHyphen/>
        <w:t>val való kezelés során autoantitestek képződése előfordulhat. A Humira hosszú</w:t>
      </w:r>
      <w:r w:rsidR="004E1449" w:rsidRPr="00183B5F">
        <w:rPr>
          <w:szCs w:val="22"/>
        </w:rPr>
        <w:t xml:space="preserve"> </w:t>
      </w:r>
      <w:r w:rsidRPr="00183B5F">
        <w:rPr>
          <w:szCs w:val="22"/>
        </w:rPr>
        <w:t>távú hatása az autoimmun betegségek kialakulására nem ismert. Ha a Humira alkalmazása után lupus-szerű szindrómára utaló tünetek jelentkeznek, továbbá kettős szálú DNS elleni antitestek jelennek meg, akkor nem szabad folytatni a Humira adását (lásd</w:t>
      </w:r>
      <w:r w:rsidRPr="00183B5F">
        <w:rPr>
          <w:i/>
          <w:iCs/>
          <w:szCs w:val="22"/>
        </w:rPr>
        <w:t xml:space="preserve"> </w:t>
      </w:r>
      <w:r w:rsidRPr="00183B5F">
        <w:rPr>
          <w:szCs w:val="22"/>
        </w:rPr>
        <w:t>4.8 pont).</w:t>
      </w:r>
    </w:p>
    <w:p w14:paraId="02F7A99C" w14:textId="77777777" w:rsidR="00D0403E" w:rsidRPr="00183B5F" w:rsidRDefault="00D0403E" w:rsidP="004062FE">
      <w:pPr>
        <w:pStyle w:val="EndnoteText"/>
        <w:tabs>
          <w:tab w:val="clear" w:pos="567"/>
        </w:tabs>
        <w:suppressAutoHyphens/>
        <w:rPr>
          <w:sz w:val="22"/>
          <w:szCs w:val="22"/>
          <w:lang w:val="hu-HU" w:eastAsia="hu-HU"/>
        </w:rPr>
      </w:pPr>
    </w:p>
    <w:p w14:paraId="72326A37" w14:textId="77777777" w:rsidR="00D0403E" w:rsidRPr="00183B5F" w:rsidRDefault="00943743" w:rsidP="004062FE">
      <w:pPr>
        <w:spacing w:line="240" w:lineRule="auto"/>
        <w:rPr>
          <w:szCs w:val="22"/>
          <w:u w:val="single"/>
        </w:rPr>
      </w:pPr>
      <w:r w:rsidRPr="00183B5F">
        <w:rPr>
          <w:szCs w:val="22"/>
          <w:u w:val="single"/>
        </w:rPr>
        <w:t>Biológiai reumaellenes betegségmódosító gyógyszerek (DMARD</w:t>
      </w:r>
      <w:r w:rsidRPr="00183B5F">
        <w:rPr>
          <w:szCs w:val="22"/>
          <w:u w:val="single"/>
        </w:rPr>
        <w:noBreakHyphen/>
        <w:t>ok) vagy TNF</w:t>
      </w:r>
      <w:r w:rsidRPr="00183B5F">
        <w:rPr>
          <w:szCs w:val="22"/>
          <w:u w:val="single"/>
        </w:rPr>
        <w:noBreakHyphen/>
        <w:t>antagonisták együttadása</w:t>
      </w:r>
    </w:p>
    <w:p w14:paraId="1321BA40" w14:textId="77777777" w:rsidR="00D0403E" w:rsidRPr="00183B5F" w:rsidRDefault="00D0403E" w:rsidP="004062FE">
      <w:pPr>
        <w:spacing w:line="240" w:lineRule="auto"/>
        <w:rPr>
          <w:szCs w:val="22"/>
        </w:rPr>
      </w:pPr>
    </w:p>
    <w:p w14:paraId="0FF2E605" w14:textId="77777777" w:rsidR="00D0403E" w:rsidRPr="00183B5F" w:rsidRDefault="00943743" w:rsidP="004062FE">
      <w:pPr>
        <w:spacing w:line="240" w:lineRule="auto"/>
        <w:rPr>
          <w:szCs w:val="22"/>
        </w:rPr>
      </w:pPr>
      <w:r w:rsidRPr="00183B5F">
        <w:rPr>
          <w:szCs w:val="22"/>
        </w:rPr>
        <w:t>Klinikai vizsgálatokban súlyos fertőzéseket tapasztaltak előnyösebb klinikai hatás nélkül anakinra és egy másik TNF</w:t>
      </w:r>
      <w:r w:rsidRPr="00183B5F">
        <w:rPr>
          <w:szCs w:val="22"/>
        </w:rPr>
        <w:noBreakHyphen/>
        <w:t xml:space="preserve">antagonista, az etanercept együttes adásakor, amennyiben a kombinált kezelés hatását az önmagában adagolt etanercept hatásával hasonlították össze. </w:t>
      </w:r>
      <w:r w:rsidR="009B6893" w:rsidRPr="00183B5F">
        <w:rPr>
          <w:szCs w:val="22"/>
        </w:rPr>
        <w:t>Az etanercepttel és anakinrával végzett kombinációs kezelésnél észlelt mellékhatások természete miatt hasonló toxicitás várható az anakinra és más TNF</w:t>
      </w:r>
      <w:r w:rsidR="009B6893" w:rsidRPr="00183B5F">
        <w:rPr>
          <w:szCs w:val="22"/>
        </w:rPr>
        <w:noBreakHyphen/>
        <w:t>antagonista kombinációjánál is. Ezért az adalimumab és anakinra kombinációjának alkalmazása nem javasolt (lásd 4.5 pont).</w:t>
      </w:r>
    </w:p>
    <w:p w14:paraId="746F0D34" w14:textId="77777777" w:rsidR="00D0403E" w:rsidRPr="00183B5F" w:rsidRDefault="00D0403E" w:rsidP="004062FE">
      <w:pPr>
        <w:spacing w:line="240" w:lineRule="auto"/>
        <w:rPr>
          <w:szCs w:val="22"/>
          <w:u w:val="single"/>
        </w:rPr>
      </w:pPr>
    </w:p>
    <w:p w14:paraId="635A775A" w14:textId="77777777" w:rsidR="00D0403E" w:rsidRPr="00183B5F" w:rsidRDefault="00943743" w:rsidP="004062FE">
      <w:pPr>
        <w:spacing w:line="240" w:lineRule="auto"/>
        <w:rPr>
          <w:szCs w:val="22"/>
        </w:rPr>
      </w:pPr>
      <w:r w:rsidRPr="00183B5F">
        <w:rPr>
          <w:szCs w:val="22"/>
        </w:rPr>
        <w:t>Az adalimumab és egyéb biológiai betegségmódosító reumaellenes gyógyszerek (pl. anakinra és abatacept) vagy egyéb TNF</w:t>
      </w:r>
      <w:r w:rsidRPr="00183B5F">
        <w:rPr>
          <w:szCs w:val="22"/>
        </w:rPr>
        <w:noBreakHyphen/>
        <w:t xml:space="preserve">antagonisták egyidejű alkalmazása nem javasolt a fertőzések </w:t>
      </w:r>
      <w:r w:rsidR="009B6893" w:rsidRPr="00183B5F">
        <w:rPr>
          <w:szCs w:val="22"/>
        </w:rPr>
        <w:t>–</w:t>
      </w:r>
      <w:r w:rsidRPr="00183B5F">
        <w:rPr>
          <w:szCs w:val="22"/>
        </w:rPr>
        <w:t xml:space="preserve"> köztük súlyos fertőzések </w:t>
      </w:r>
      <w:r w:rsidR="009B6893" w:rsidRPr="00183B5F">
        <w:rPr>
          <w:szCs w:val="22"/>
        </w:rPr>
        <w:t>–</w:t>
      </w:r>
      <w:r w:rsidRPr="00183B5F">
        <w:rPr>
          <w:szCs w:val="22"/>
        </w:rPr>
        <w:t xml:space="preserve"> lehetséges fokozott kockázata és egyéb potenciális gyógyszerkölcsönhatások miatt. (lásd 4.5 pont).</w:t>
      </w:r>
    </w:p>
    <w:p w14:paraId="20A1B474" w14:textId="77777777" w:rsidR="00D0403E" w:rsidRPr="00183B5F" w:rsidRDefault="00D0403E" w:rsidP="004062FE">
      <w:pPr>
        <w:spacing w:line="240" w:lineRule="auto"/>
        <w:rPr>
          <w:szCs w:val="22"/>
        </w:rPr>
      </w:pPr>
    </w:p>
    <w:p w14:paraId="76948A2C" w14:textId="77777777" w:rsidR="00D0403E" w:rsidRPr="00183B5F" w:rsidRDefault="00943743" w:rsidP="004062FE">
      <w:pPr>
        <w:spacing w:line="240" w:lineRule="auto"/>
        <w:rPr>
          <w:szCs w:val="22"/>
          <w:u w:val="single"/>
        </w:rPr>
      </w:pPr>
      <w:r w:rsidRPr="00183B5F">
        <w:rPr>
          <w:szCs w:val="22"/>
          <w:u w:val="single"/>
        </w:rPr>
        <w:t>Sebészet</w:t>
      </w:r>
    </w:p>
    <w:p w14:paraId="3B85B77D" w14:textId="77777777" w:rsidR="00D0403E" w:rsidRPr="00183B5F" w:rsidRDefault="00D0403E" w:rsidP="004062FE">
      <w:pPr>
        <w:spacing w:line="240" w:lineRule="auto"/>
        <w:rPr>
          <w:szCs w:val="22"/>
          <w:u w:val="single"/>
        </w:rPr>
      </w:pPr>
    </w:p>
    <w:p w14:paraId="13DD19D8" w14:textId="77777777" w:rsidR="00D0403E" w:rsidRPr="00183B5F" w:rsidRDefault="00943743" w:rsidP="004062FE">
      <w:pPr>
        <w:spacing w:line="240" w:lineRule="auto"/>
        <w:rPr>
          <w:szCs w:val="22"/>
          <w:u w:val="single"/>
        </w:rPr>
      </w:pPr>
      <w:r w:rsidRPr="00183B5F">
        <w:rPr>
          <w:szCs w:val="22"/>
        </w:rPr>
        <w:t>Sebészeti beavatkozások során Humira</w:t>
      </w:r>
      <w:r w:rsidRPr="00183B5F">
        <w:rPr>
          <w:szCs w:val="22"/>
        </w:rPr>
        <w:noBreakHyphen/>
        <w:t>val kezelt betegek körében biztonságossági tapasztalatok korlátozottan állnak rendelkezésre. Az adalimumab hosszú felezési idejét a tervezett műtéti beavatkozás során figyelembe kell venni. Humira</w:t>
      </w:r>
      <w:r w:rsidRPr="00183B5F">
        <w:rPr>
          <w:szCs w:val="22"/>
        </w:rPr>
        <w:noBreakHyphen/>
        <w:t xml:space="preserve">kezelés alatt műtéti beavatkozást igénylő beteget infekció tekintetében szorosan </w:t>
      </w:r>
      <w:r w:rsidR="003B3F6D" w:rsidRPr="00183B5F">
        <w:rPr>
          <w:szCs w:val="22"/>
        </w:rPr>
        <w:t>monitorozni</w:t>
      </w:r>
      <w:r w:rsidRPr="00183B5F">
        <w:rPr>
          <w:szCs w:val="22"/>
        </w:rPr>
        <w:t xml:space="preserve"> kell és megfelelő módon kell ellátni. A Humira</w:t>
      </w:r>
      <w:r w:rsidRPr="00183B5F">
        <w:rPr>
          <w:szCs w:val="22"/>
        </w:rPr>
        <w:noBreakHyphen/>
        <w:t>val kezelt arthroplasztikán áteső betegekkel szerzett biztonságossági tapasztalatok korlátozottak.</w:t>
      </w:r>
    </w:p>
    <w:p w14:paraId="2435285F" w14:textId="77777777" w:rsidR="00D0403E" w:rsidRPr="00183B5F" w:rsidRDefault="00D0403E" w:rsidP="004062FE">
      <w:pPr>
        <w:spacing w:line="240" w:lineRule="auto"/>
        <w:rPr>
          <w:szCs w:val="22"/>
          <w:u w:val="single"/>
        </w:rPr>
      </w:pPr>
    </w:p>
    <w:p w14:paraId="265A8121" w14:textId="77777777" w:rsidR="00D0403E" w:rsidRPr="00183B5F" w:rsidRDefault="00943743" w:rsidP="004062FE">
      <w:pPr>
        <w:spacing w:line="240" w:lineRule="auto"/>
        <w:rPr>
          <w:szCs w:val="22"/>
          <w:u w:val="single"/>
        </w:rPr>
      </w:pPr>
      <w:r w:rsidRPr="00183B5F">
        <w:rPr>
          <w:szCs w:val="22"/>
          <w:u w:val="single"/>
        </w:rPr>
        <w:t>Vékonybél</w:t>
      </w:r>
      <w:r w:rsidRPr="00183B5F">
        <w:rPr>
          <w:szCs w:val="22"/>
          <w:u w:val="single"/>
        </w:rPr>
        <w:noBreakHyphen/>
        <w:t>elzáródás</w:t>
      </w:r>
    </w:p>
    <w:p w14:paraId="7918A6CD" w14:textId="77777777" w:rsidR="00D0403E" w:rsidRPr="00183B5F" w:rsidRDefault="00D0403E" w:rsidP="004062FE">
      <w:pPr>
        <w:spacing w:line="240" w:lineRule="auto"/>
        <w:rPr>
          <w:szCs w:val="22"/>
          <w:u w:val="single"/>
        </w:rPr>
      </w:pPr>
    </w:p>
    <w:p w14:paraId="41C4022E" w14:textId="77777777" w:rsidR="00D0403E" w:rsidRPr="00183B5F" w:rsidRDefault="00943743" w:rsidP="004062FE">
      <w:pPr>
        <w:spacing w:line="240" w:lineRule="auto"/>
        <w:rPr>
          <w:szCs w:val="22"/>
        </w:rPr>
      </w:pPr>
      <w:r w:rsidRPr="00183B5F">
        <w:rPr>
          <w:szCs w:val="22"/>
        </w:rPr>
        <w:t>A Crohn</w:t>
      </w:r>
      <w:r w:rsidRPr="00183B5F">
        <w:rPr>
          <w:szCs w:val="22"/>
        </w:rPr>
        <w:noBreakHyphen/>
        <w:t>betegség kezelésének hatástalansága műtéti kezelést igénylő, heges szűkület jelenlétére utalhat. A rendelkezésre álló adatok alapján a Humira nem idéz elő bélszűkületet, és nem is súlyosbítja a már kialakult stricturát.</w:t>
      </w:r>
    </w:p>
    <w:p w14:paraId="1794745B" w14:textId="77777777" w:rsidR="00D0403E" w:rsidRPr="00183B5F" w:rsidRDefault="00D0403E" w:rsidP="004062FE">
      <w:pPr>
        <w:spacing w:line="240" w:lineRule="auto"/>
        <w:rPr>
          <w:szCs w:val="22"/>
        </w:rPr>
      </w:pPr>
    </w:p>
    <w:p w14:paraId="35409223" w14:textId="77777777" w:rsidR="00D0403E" w:rsidRPr="00183B5F" w:rsidRDefault="00943743" w:rsidP="004062FE">
      <w:pPr>
        <w:keepNext/>
        <w:spacing w:line="240" w:lineRule="auto"/>
        <w:rPr>
          <w:szCs w:val="22"/>
          <w:u w:val="single"/>
        </w:rPr>
      </w:pPr>
      <w:r w:rsidRPr="00183B5F">
        <w:rPr>
          <w:szCs w:val="22"/>
          <w:u w:val="single"/>
        </w:rPr>
        <w:t>Idősek</w:t>
      </w:r>
    </w:p>
    <w:p w14:paraId="093322B5" w14:textId="77777777" w:rsidR="00D0403E" w:rsidRPr="00183B5F" w:rsidRDefault="00D0403E" w:rsidP="004062FE">
      <w:pPr>
        <w:keepNext/>
        <w:spacing w:line="240" w:lineRule="auto"/>
        <w:rPr>
          <w:szCs w:val="22"/>
        </w:rPr>
      </w:pPr>
    </w:p>
    <w:p w14:paraId="09C73301" w14:textId="77777777" w:rsidR="00D0403E" w:rsidRPr="00183B5F" w:rsidRDefault="00943743" w:rsidP="004062FE">
      <w:pPr>
        <w:keepNext/>
        <w:spacing w:line="240" w:lineRule="auto"/>
        <w:rPr>
          <w:szCs w:val="22"/>
        </w:rPr>
      </w:pPr>
      <w:r w:rsidRPr="00183B5F">
        <w:rPr>
          <w:szCs w:val="22"/>
        </w:rPr>
        <w:t>A Humira</w:t>
      </w:r>
      <w:r w:rsidRPr="00183B5F">
        <w:rPr>
          <w:szCs w:val="22"/>
        </w:rPr>
        <w:noBreakHyphen/>
        <w:t>val kezelt, 65 éves kor feletti betegeknél a súlyos fertőzések gyakorisága magasabb volt (3,</w:t>
      </w:r>
      <w:r w:rsidR="00C55D56" w:rsidRPr="00183B5F">
        <w:rPr>
          <w:szCs w:val="22"/>
        </w:rPr>
        <w:t>7</w:t>
      </w:r>
      <w:r w:rsidRPr="00183B5F">
        <w:rPr>
          <w:szCs w:val="22"/>
        </w:rPr>
        <w:t>%), mint a 65 évnél fiatalabbaknál (1,</w:t>
      </w:r>
      <w:r w:rsidR="00C55D56" w:rsidRPr="00183B5F">
        <w:rPr>
          <w:szCs w:val="22"/>
        </w:rPr>
        <w:t>5</w:t>
      </w:r>
      <w:r w:rsidRPr="00183B5F">
        <w:rPr>
          <w:szCs w:val="22"/>
        </w:rPr>
        <w:t>%). Némelyiküknél ez végzetes volt. Idősek kezelésekor különös figyelmet kell fordítani a fertőzés veszélyére.</w:t>
      </w:r>
    </w:p>
    <w:p w14:paraId="39FC5826" w14:textId="77777777" w:rsidR="00D0403E" w:rsidRPr="00183B5F" w:rsidRDefault="00D0403E" w:rsidP="004062FE">
      <w:pPr>
        <w:spacing w:line="240" w:lineRule="auto"/>
        <w:rPr>
          <w:b/>
          <w:szCs w:val="22"/>
        </w:rPr>
      </w:pPr>
    </w:p>
    <w:p w14:paraId="20CE78C8" w14:textId="77777777" w:rsidR="00D0403E" w:rsidRPr="00183B5F" w:rsidRDefault="00943743" w:rsidP="004062FE">
      <w:pPr>
        <w:keepNext/>
        <w:spacing w:line="240" w:lineRule="auto"/>
        <w:rPr>
          <w:szCs w:val="22"/>
        </w:rPr>
      </w:pPr>
      <w:r w:rsidRPr="00183B5F">
        <w:rPr>
          <w:noProof/>
          <w:szCs w:val="24"/>
          <w:u w:val="single"/>
        </w:rPr>
        <w:t>Gyermekek</w:t>
      </w:r>
      <w:r w:rsidR="00E107ED" w:rsidRPr="00183B5F">
        <w:rPr>
          <w:noProof/>
          <w:szCs w:val="24"/>
          <w:u w:val="single"/>
        </w:rPr>
        <w:t xml:space="preserve"> és se</w:t>
      </w:r>
      <w:r w:rsidR="00507E71" w:rsidRPr="00183B5F">
        <w:rPr>
          <w:noProof/>
          <w:szCs w:val="24"/>
          <w:u w:val="single"/>
        </w:rPr>
        <w:t>r</w:t>
      </w:r>
      <w:r w:rsidR="00E107ED" w:rsidRPr="00183B5F">
        <w:rPr>
          <w:noProof/>
          <w:szCs w:val="24"/>
          <w:u w:val="single"/>
        </w:rPr>
        <w:t>dülők</w:t>
      </w:r>
    </w:p>
    <w:p w14:paraId="2BFC555E" w14:textId="77777777" w:rsidR="00D0403E" w:rsidRPr="00183B5F" w:rsidRDefault="00D0403E" w:rsidP="004062FE">
      <w:pPr>
        <w:spacing w:line="240" w:lineRule="auto"/>
        <w:rPr>
          <w:szCs w:val="22"/>
        </w:rPr>
      </w:pPr>
    </w:p>
    <w:p w14:paraId="0A63C048" w14:textId="77777777" w:rsidR="00D0403E" w:rsidRDefault="00943743" w:rsidP="004062FE">
      <w:pPr>
        <w:spacing w:line="240" w:lineRule="auto"/>
        <w:rPr>
          <w:ins w:id="8446" w:author="AbbVie_HU_03" w:date="2025-05-14T15:31:00Z"/>
          <w:szCs w:val="22"/>
        </w:rPr>
      </w:pPr>
      <w:r w:rsidRPr="00183B5F">
        <w:rPr>
          <w:szCs w:val="22"/>
        </w:rPr>
        <w:t>Lásd feljebb a Védőoltások részben.</w:t>
      </w:r>
    </w:p>
    <w:p w14:paraId="7B8692A3" w14:textId="77777777" w:rsidR="00521FAF" w:rsidRDefault="00521FAF" w:rsidP="00521FAF">
      <w:pPr>
        <w:spacing w:line="240" w:lineRule="auto"/>
        <w:rPr>
          <w:ins w:id="8447" w:author="AbbVie_HU_03" w:date="2025-05-14T15:31:00Z"/>
          <w:noProof/>
          <w:szCs w:val="22"/>
        </w:rPr>
      </w:pPr>
    </w:p>
    <w:p w14:paraId="74B46488" w14:textId="77777777" w:rsidR="00521FAF" w:rsidRDefault="00943743" w:rsidP="00521FAF">
      <w:pPr>
        <w:spacing w:line="240" w:lineRule="auto"/>
        <w:rPr>
          <w:ins w:id="8448" w:author="AbbVie_HU_03" w:date="2025-05-14T15:31:00Z"/>
          <w:u w:val="single"/>
        </w:rPr>
      </w:pPr>
      <w:ins w:id="8449" w:author="AbbVie_HU_03" w:date="2025-05-14T15:31:00Z">
        <w:r w:rsidRPr="00071EBC">
          <w:rPr>
            <w:u w:val="single"/>
          </w:rPr>
          <w:t>Ismert hatású segédanyag(ok)</w:t>
        </w:r>
      </w:ins>
    </w:p>
    <w:p w14:paraId="4781B635" w14:textId="77777777" w:rsidR="00521FAF" w:rsidRDefault="00521FAF" w:rsidP="00521FAF">
      <w:pPr>
        <w:spacing w:line="240" w:lineRule="auto"/>
        <w:rPr>
          <w:ins w:id="8450" w:author="AbbVie_HU_03" w:date="2025-05-14T15:31:00Z"/>
          <w:u w:val="single"/>
        </w:rPr>
      </w:pPr>
    </w:p>
    <w:p w14:paraId="21027593" w14:textId="47D3D43E" w:rsidR="00521FAF" w:rsidRPr="00C261BD" w:rsidRDefault="00943743" w:rsidP="00521FAF">
      <w:pPr>
        <w:spacing w:line="240" w:lineRule="auto"/>
        <w:rPr>
          <w:ins w:id="8451" w:author="AbbVie_HU_03" w:date="2025-05-14T15:31:00Z"/>
          <w:rPrChange w:id="8452" w:author="AbbVie_HU_03" w:date="2025-05-14T15:41:00Z">
            <w:rPr>
              <w:ins w:id="8453" w:author="AbbVie_HU_03" w:date="2025-05-14T15:31:00Z"/>
              <w:u w:val="single"/>
            </w:rPr>
          </w:rPrChange>
        </w:rPr>
      </w:pPr>
      <w:ins w:id="8454" w:author="AbbVie_HU_03" w:date="2025-05-14T15:31:00Z">
        <w:r w:rsidRPr="00C261BD">
          <w:rPr>
            <w:rPrChange w:id="8455" w:author="AbbVie_HU_03" w:date="2025-05-14T15:41:00Z">
              <w:rPr>
                <w:u w:val="single"/>
              </w:rPr>
            </w:rPrChange>
          </w:rPr>
          <w:t>Ez a gyógyszer 0,4</w:t>
        </w:r>
      </w:ins>
      <w:ins w:id="8456" w:author="AbbVie_HU_03" w:date="2025-05-14T16:57:00Z">
        <w:r w:rsidR="00673483">
          <w:t> </w:t>
        </w:r>
      </w:ins>
      <w:ins w:id="8457" w:author="AbbVie_HU_03" w:date="2025-05-14T15:31:00Z">
        <w:r w:rsidRPr="00C261BD">
          <w:rPr>
            <w:rPrChange w:id="8458" w:author="AbbVie_HU_03" w:date="2025-05-14T15:41:00Z">
              <w:rPr>
                <w:u w:val="single"/>
              </w:rPr>
            </w:rPrChange>
          </w:rPr>
          <w:t>mg poliszorbát 80-at tartalmaz 40</w:t>
        </w:r>
      </w:ins>
      <w:ins w:id="8459" w:author="AbbVie_HU_03" w:date="2025-05-14T16:57:00Z">
        <w:r w:rsidR="00673483">
          <w:t> </w:t>
        </w:r>
      </w:ins>
      <w:ins w:id="8460" w:author="AbbVie_HU_03" w:date="2025-05-14T15:31:00Z">
        <w:r w:rsidRPr="00C261BD">
          <w:rPr>
            <w:rPrChange w:id="8461" w:author="AbbVie_HU_03" w:date="2025-05-14T15:41:00Z">
              <w:rPr>
                <w:u w:val="single"/>
              </w:rPr>
            </w:rPrChange>
          </w:rPr>
          <w:t>mg-os adagonként.</w:t>
        </w:r>
      </w:ins>
      <w:ins w:id="8462" w:author="AbbVie_HU_03" w:date="2025-09-05T15:34:00Z">
        <w:r w:rsidR="0004722C">
          <w:t xml:space="preserve"> A poliszorbátok allergiás reakciókat okozhatnak.</w:t>
        </w:r>
      </w:ins>
    </w:p>
    <w:p w14:paraId="57DA5B33" w14:textId="77777777" w:rsidR="00521FAF" w:rsidRPr="00183B5F" w:rsidRDefault="00521FAF" w:rsidP="00521FAF">
      <w:pPr>
        <w:spacing w:line="240" w:lineRule="auto"/>
        <w:rPr>
          <w:szCs w:val="22"/>
          <w:u w:val="single"/>
        </w:rPr>
      </w:pPr>
    </w:p>
    <w:p w14:paraId="2FD4486C" w14:textId="77777777" w:rsidR="00D0403E" w:rsidRPr="00183B5F" w:rsidRDefault="00D0403E" w:rsidP="004062FE">
      <w:pPr>
        <w:spacing w:line="240" w:lineRule="auto"/>
        <w:rPr>
          <w:b/>
          <w:szCs w:val="22"/>
        </w:rPr>
      </w:pPr>
    </w:p>
    <w:p w14:paraId="7DEB2EE6" w14:textId="77777777" w:rsidR="00D0403E" w:rsidRPr="00183B5F" w:rsidRDefault="00943743" w:rsidP="004062FE">
      <w:pPr>
        <w:spacing w:line="240" w:lineRule="auto"/>
        <w:ind w:left="567" w:hanging="567"/>
        <w:rPr>
          <w:b/>
          <w:szCs w:val="22"/>
        </w:rPr>
      </w:pPr>
      <w:r w:rsidRPr="00183B5F">
        <w:rPr>
          <w:b/>
          <w:szCs w:val="22"/>
        </w:rPr>
        <w:t>4.5</w:t>
      </w:r>
      <w:r w:rsidRPr="00183B5F">
        <w:rPr>
          <w:b/>
          <w:szCs w:val="22"/>
        </w:rPr>
        <w:tab/>
        <w:t>Gyógyszerkölcsönhatások és egyéb interakciók</w:t>
      </w:r>
    </w:p>
    <w:p w14:paraId="42731B53" w14:textId="77777777" w:rsidR="00D0403E" w:rsidRPr="00183B5F" w:rsidRDefault="00D0403E" w:rsidP="004062FE">
      <w:pPr>
        <w:pStyle w:val="EndnoteText"/>
        <w:tabs>
          <w:tab w:val="clear" w:pos="567"/>
        </w:tabs>
        <w:suppressAutoHyphens/>
        <w:rPr>
          <w:sz w:val="22"/>
          <w:szCs w:val="22"/>
          <w:lang w:val="hu-HU" w:eastAsia="hu-HU"/>
        </w:rPr>
      </w:pPr>
    </w:p>
    <w:p w14:paraId="54EC1D09" w14:textId="77777777" w:rsidR="00D0403E" w:rsidRPr="00183B5F" w:rsidRDefault="00943743" w:rsidP="004062FE">
      <w:pPr>
        <w:spacing w:line="240" w:lineRule="auto"/>
        <w:rPr>
          <w:szCs w:val="22"/>
        </w:rPr>
      </w:pPr>
      <w:r w:rsidRPr="00183B5F">
        <w:rPr>
          <w:szCs w:val="22"/>
        </w:rPr>
        <w:t>A Humira</w:t>
      </w:r>
      <w:r w:rsidRPr="00183B5F">
        <w:rPr>
          <w:szCs w:val="22"/>
        </w:rPr>
        <w:noBreakHyphen/>
      </w:r>
      <w:r w:rsidRPr="00183B5F">
        <w:rPr>
          <w:szCs w:val="22"/>
        </w:rPr>
        <w:t>t vizsgálták monoterápiában, illetve metotrexáttal együtt adva rheumatoid arthritises, polyarticularis juvenilis idiopathiás arthritises, valamint arthritis psoriaticában szenvedő betegek körében is. Ha a Humira</w:t>
      </w:r>
      <w:r w:rsidRPr="00183B5F">
        <w:rPr>
          <w:szCs w:val="22"/>
        </w:rPr>
        <w:noBreakHyphen/>
        <w:t>t kombinációban adták metotrexáttal, az antitestképződés alacsonyabb volt, mint monoterápiában. A Humira metotrexát nélküli alkalmazása fokozott antitestképződést, továbbá az adalimumab</w:t>
      </w:r>
      <w:r w:rsidRPr="00183B5F">
        <w:rPr>
          <w:szCs w:val="22"/>
        </w:rPr>
        <w:noBreakHyphen/>
        <w:t>clearance fokozódását és a hatásosság csökkenését eredményezte (lásd 5.1 pont).</w:t>
      </w:r>
    </w:p>
    <w:p w14:paraId="0122D2F7" w14:textId="77777777" w:rsidR="00D0403E" w:rsidRPr="00183B5F" w:rsidRDefault="00D0403E" w:rsidP="004062FE">
      <w:pPr>
        <w:spacing w:line="240" w:lineRule="auto"/>
        <w:rPr>
          <w:b/>
          <w:szCs w:val="22"/>
        </w:rPr>
      </w:pPr>
    </w:p>
    <w:p w14:paraId="30040867" w14:textId="77777777" w:rsidR="00D0403E" w:rsidRPr="00183B5F" w:rsidRDefault="00943743" w:rsidP="004062FE">
      <w:pPr>
        <w:spacing w:line="240" w:lineRule="auto"/>
        <w:rPr>
          <w:szCs w:val="22"/>
        </w:rPr>
      </w:pPr>
      <w:r w:rsidRPr="00183B5F">
        <w:rPr>
          <w:szCs w:val="22"/>
        </w:rPr>
        <w:t>A Humira és az anakinra kombinált alkalmazása nem ajánlott (lásd a 4.4 pont „Biológiai reumaellenes betegségmódosító gyógyszerek (DMARD-ok) vagy TNF</w:t>
      </w:r>
      <w:r w:rsidRPr="00183B5F">
        <w:rPr>
          <w:szCs w:val="22"/>
        </w:rPr>
        <w:noBreakHyphen/>
        <w:t>antagonisták együttadása” c. fejezetét).</w:t>
      </w:r>
    </w:p>
    <w:p w14:paraId="25C31383" w14:textId="77777777" w:rsidR="00D0403E" w:rsidRPr="00183B5F" w:rsidRDefault="00D0403E" w:rsidP="004062FE">
      <w:pPr>
        <w:spacing w:line="240" w:lineRule="auto"/>
        <w:rPr>
          <w:szCs w:val="22"/>
        </w:rPr>
      </w:pPr>
    </w:p>
    <w:p w14:paraId="47D0617E" w14:textId="77777777" w:rsidR="00D0403E" w:rsidRPr="00183B5F" w:rsidRDefault="00943743" w:rsidP="004062FE">
      <w:pPr>
        <w:spacing w:line="240" w:lineRule="auto"/>
        <w:rPr>
          <w:szCs w:val="22"/>
        </w:rPr>
      </w:pPr>
      <w:r w:rsidRPr="00183B5F">
        <w:rPr>
          <w:szCs w:val="22"/>
        </w:rPr>
        <w:t>A Humira és az abatacept kombinált alkalmazása nem ajánlott (lásd a 4.4 pont „Biológiai reumaellenes betegségmódosító gyógyszerek (DMARD-ok) vagy TNF</w:t>
      </w:r>
      <w:r w:rsidRPr="00183B5F">
        <w:rPr>
          <w:szCs w:val="22"/>
        </w:rPr>
        <w:noBreakHyphen/>
        <w:t>antagonisták együttadása” c. fejezetét).</w:t>
      </w:r>
    </w:p>
    <w:p w14:paraId="2038F940" w14:textId="77777777" w:rsidR="00D0403E" w:rsidRPr="00183B5F" w:rsidRDefault="00D0403E" w:rsidP="004062FE">
      <w:pPr>
        <w:spacing w:line="240" w:lineRule="auto"/>
        <w:rPr>
          <w:szCs w:val="22"/>
        </w:rPr>
      </w:pPr>
    </w:p>
    <w:p w14:paraId="44BEDF92" w14:textId="77777777" w:rsidR="004B37B2" w:rsidRPr="00183B5F" w:rsidRDefault="00943743" w:rsidP="004B37B2">
      <w:pPr>
        <w:keepNext/>
        <w:spacing w:line="240" w:lineRule="auto"/>
        <w:rPr>
          <w:b/>
          <w:szCs w:val="22"/>
        </w:rPr>
      </w:pPr>
      <w:r w:rsidRPr="00183B5F">
        <w:rPr>
          <w:b/>
          <w:szCs w:val="22"/>
        </w:rPr>
        <w:t>4.6</w:t>
      </w:r>
      <w:r w:rsidRPr="00183B5F">
        <w:rPr>
          <w:b/>
          <w:szCs w:val="22"/>
        </w:rPr>
        <w:tab/>
        <w:t>Termékenység, terhesség és szoptatás</w:t>
      </w:r>
    </w:p>
    <w:p w14:paraId="6993BD47" w14:textId="77777777" w:rsidR="004B37B2" w:rsidRPr="00183B5F" w:rsidRDefault="004B37B2" w:rsidP="004B37B2">
      <w:pPr>
        <w:pStyle w:val="EndnoteText"/>
        <w:keepNext/>
        <w:tabs>
          <w:tab w:val="clear" w:pos="567"/>
          <w:tab w:val="left" w:pos="708"/>
        </w:tabs>
        <w:suppressAutoHyphens/>
        <w:rPr>
          <w:sz w:val="22"/>
          <w:szCs w:val="22"/>
          <w:lang w:val="hu-HU" w:eastAsia="hu-HU"/>
        </w:rPr>
      </w:pPr>
    </w:p>
    <w:p w14:paraId="63D13371" w14:textId="77777777" w:rsidR="004B37B2" w:rsidRPr="00183B5F" w:rsidRDefault="00943743" w:rsidP="00832DC3">
      <w:pPr>
        <w:keepNext/>
        <w:spacing w:line="240" w:lineRule="auto"/>
        <w:rPr>
          <w:szCs w:val="22"/>
          <w:u w:val="single"/>
        </w:rPr>
      </w:pPr>
      <w:r w:rsidRPr="00183B5F">
        <w:rPr>
          <w:szCs w:val="22"/>
          <w:u w:val="single"/>
        </w:rPr>
        <w:t>Fogamzóképes korú nők</w:t>
      </w:r>
    </w:p>
    <w:p w14:paraId="6BAF7068" w14:textId="77777777" w:rsidR="004B37B2" w:rsidRPr="00183B5F" w:rsidRDefault="004B37B2" w:rsidP="00832DC3">
      <w:pPr>
        <w:keepNext/>
        <w:spacing w:line="240" w:lineRule="auto"/>
        <w:rPr>
          <w:szCs w:val="22"/>
        </w:rPr>
      </w:pPr>
    </w:p>
    <w:p w14:paraId="4478375F" w14:textId="77777777" w:rsidR="004B37B2" w:rsidRPr="00183B5F" w:rsidRDefault="00943743" w:rsidP="00365CB4">
      <w:pPr>
        <w:spacing w:line="240" w:lineRule="auto"/>
        <w:rPr>
          <w:szCs w:val="22"/>
        </w:rPr>
      </w:pPr>
      <w:r w:rsidRPr="00183B5F">
        <w:rPr>
          <w:szCs w:val="22"/>
        </w:rPr>
        <w:t xml:space="preserve">Fogamzóképes korú nőknek fontolóra kell venniük </w:t>
      </w:r>
      <w:r w:rsidR="00365CB4" w:rsidRPr="00183B5F">
        <w:rPr>
          <w:szCs w:val="22"/>
        </w:rPr>
        <w:t>egy</w:t>
      </w:r>
      <w:r w:rsidRPr="00183B5F">
        <w:rPr>
          <w:szCs w:val="22"/>
        </w:rPr>
        <w:t xml:space="preserve"> megfelelő fogamzásgátlás</w:t>
      </w:r>
      <w:r w:rsidR="00365CB4" w:rsidRPr="00183B5F">
        <w:rPr>
          <w:szCs w:val="22"/>
        </w:rPr>
        <w:t xml:space="preserve"> alkalmazását</w:t>
      </w:r>
      <w:r w:rsidRPr="00183B5F">
        <w:rPr>
          <w:szCs w:val="22"/>
        </w:rPr>
        <w:t xml:space="preserve">, és </w:t>
      </w:r>
      <w:r w:rsidR="00365CB4" w:rsidRPr="00183B5F">
        <w:rPr>
          <w:szCs w:val="22"/>
        </w:rPr>
        <w:t>az</w:t>
      </w:r>
      <w:r w:rsidRPr="00183B5F">
        <w:rPr>
          <w:szCs w:val="22"/>
        </w:rPr>
        <w:t xml:space="preserve"> alkalmazás</w:t>
      </w:r>
      <w:r w:rsidR="00365CB4" w:rsidRPr="00183B5F">
        <w:rPr>
          <w:szCs w:val="22"/>
        </w:rPr>
        <w:t xml:space="preserve"> folytatását</w:t>
      </w:r>
      <w:r w:rsidRPr="00183B5F">
        <w:rPr>
          <w:szCs w:val="22"/>
        </w:rPr>
        <w:t xml:space="preserve"> az utolsó Humira</w:t>
      </w:r>
      <w:r w:rsidRPr="00183B5F">
        <w:rPr>
          <w:szCs w:val="22"/>
        </w:rPr>
        <w:noBreakHyphen/>
        <w:t>kezelés után legalább öt hónapon keresztül.</w:t>
      </w:r>
    </w:p>
    <w:p w14:paraId="52F11F70" w14:textId="77777777" w:rsidR="004B37B2" w:rsidRPr="00183B5F" w:rsidRDefault="004B37B2" w:rsidP="004B37B2">
      <w:pPr>
        <w:spacing w:line="240" w:lineRule="auto"/>
      </w:pPr>
    </w:p>
    <w:p w14:paraId="074FE30F" w14:textId="77777777" w:rsidR="004B37B2" w:rsidRPr="00183B5F" w:rsidRDefault="00943743" w:rsidP="004B37B2">
      <w:pPr>
        <w:keepNext/>
        <w:spacing w:line="240" w:lineRule="auto"/>
        <w:rPr>
          <w:szCs w:val="22"/>
          <w:u w:val="single"/>
        </w:rPr>
      </w:pPr>
      <w:r w:rsidRPr="00183B5F">
        <w:rPr>
          <w:szCs w:val="22"/>
          <w:u w:val="single"/>
        </w:rPr>
        <w:t>Terhesség</w:t>
      </w:r>
    </w:p>
    <w:p w14:paraId="1EC661FC" w14:textId="77777777" w:rsidR="004B37B2" w:rsidRPr="00183B5F" w:rsidRDefault="004B37B2" w:rsidP="004B37B2">
      <w:pPr>
        <w:keepNext/>
        <w:spacing w:line="240" w:lineRule="auto"/>
        <w:rPr>
          <w:szCs w:val="22"/>
          <w:u w:val="single"/>
        </w:rPr>
      </w:pPr>
    </w:p>
    <w:p w14:paraId="3BA9C87B" w14:textId="77777777" w:rsidR="004B37B2" w:rsidRPr="00183B5F" w:rsidRDefault="00943743" w:rsidP="004B37B2">
      <w:pPr>
        <w:keepNext/>
        <w:spacing w:line="240" w:lineRule="auto"/>
        <w:rPr>
          <w:szCs w:val="22"/>
        </w:rPr>
      </w:pPr>
      <w:r w:rsidRPr="00183B5F">
        <w:rPr>
          <w:szCs w:val="22"/>
        </w:rPr>
        <w:t>Nagy számú (körülbelül 2100), adalimumab</w:t>
      </w:r>
      <w:r w:rsidR="003D6EEE" w:rsidRPr="00183B5F">
        <w:rPr>
          <w:szCs w:val="22"/>
        </w:rPr>
        <w:noBreakHyphen/>
      </w:r>
      <w:r w:rsidRPr="00183B5F">
        <w:rPr>
          <w:szCs w:val="22"/>
        </w:rPr>
        <w:t xml:space="preserve">expozíciónak kitett, ismert kimenetelű, élve születéssel végződő terhesség prospektív módon gyűjtött adatai </w:t>
      </w:r>
      <w:r w:rsidR="00EC4188" w:rsidRPr="00183B5F">
        <w:rPr>
          <w:szCs w:val="22"/>
        </w:rPr>
        <w:t>–</w:t>
      </w:r>
      <w:r w:rsidRPr="00183B5F">
        <w:rPr>
          <w:szCs w:val="22"/>
        </w:rPr>
        <w:t xml:space="preserve"> beleértve több mint 1500 esetet, mikor az első trimeszterben alkalmazták az adalimumabot – nem igazolták a rendellenességek arányának növekedését az újszülöttek</w:t>
      </w:r>
      <w:r w:rsidR="00365CB4" w:rsidRPr="00183B5F">
        <w:rPr>
          <w:szCs w:val="22"/>
        </w:rPr>
        <w:t>nél</w:t>
      </w:r>
      <w:r w:rsidRPr="00183B5F">
        <w:rPr>
          <w:szCs w:val="22"/>
        </w:rPr>
        <w:t>.</w:t>
      </w:r>
    </w:p>
    <w:p w14:paraId="7B7CD88B" w14:textId="77777777" w:rsidR="004B37B2" w:rsidRPr="00183B5F" w:rsidRDefault="004B37B2" w:rsidP="00E87C31">
      <w:pPr>
        <w:spacing w:line="240" w:lineRule="auto"/>
        <w:rPr>
          <w:szCs w:val="22"/>
        </w:rPr>
      </w:pPr>
    </w:p>
    <w:p w14:paraId="7F8C3FBB" w14:textId="77777777" w:rsidR="004B37B2" w:rsidRPr="00183B5F" w:rsidRDefault="00943743" w:rsidP="00E87C31">
      <w:pPr>
        <w:spacing w:line="240" w:lineRule="auto"/>
        <w:rPr>
          <w:szCs w:val="22"/>
        </w:rPr>
      </w:pPr>
      <w:r w:rsidRPr="00183B5F">
        <w:rPr>
          <w:szCs w:val="22"/>
        </w:rPr>
        <w:t>Egy prospektív kohorsz regiszterben 257, rheumatoid arthritisben (RA) vagy Crohn-betegségben (CD) szenvedő, a terhességük legalább első trimeszterében adalimumabbal kezelt nőt és 120, RA</w:t>
      </w:r>
      <w:r w:rsidRPr="00183B5F">
        <w:rPr>
          <w:szCs w:val="22"/>
        </w:rPr>
        <w:noBreakHyphen/>
        <w:t>ban vagy Crohn-betegségben szenvedő, adalimumabbal nem kezelt nőt vizsgáltak. Az elsődleges végpont a major születési rendellenesség születéskori prevalenciája volt. Azo</w:t>
      </w:r>
      <w:r w:rsidR="00365CB4" w:rsidRPr="00183B5F">
        <w:rPr>
          <w:szCs w:val="22"/>
        </w:rPr>
        <w:t>knak a</w:t>
      </w:r>
      <w:r w:rsidRPr="00183B5F">
        <w:rPr>
          <w:szCs w:val="22"/>
        </w:rPr>
        <w:t xml:space="preserve"> terhességek</w:t>
      </w:r>
      <w:r w:rsidR="00365CB4" w:rsidRPr="00183B5F">
        <w:rPr>
          <w:szCs w:val="22"/>
        </w:rPr>
        <w:t>nek az</w:t>
      </w:r>
      <w:r w:rsidRPr="00183B5F">
        <w:rPr>
          <w:szCs w:val="22"/>
        </w:rPr>
        <w:t xml:space="preserve"> aránya, amelyek kimenetele legalább egy, major fejlődési rendellenességgel élve született csecsemő volt, 6/69 (8,7%) volt az adalimumab-kezelésben részesült RA-s nőknél</w:t>
      </w:r>
      <w:r w:rsidR="00365CB4" w:rsidRPr="00183B5F">
        <w:rPr>
          <w:szCs w:val="22"/>
        </w:rPr>
        <w:t>,</w:t>
      </w:r>
      <w:r w:rsidRPr="00183B5F">
        <w:rPr>
          <w:szCs w:val="22"/>
        </w:rPr>
        <w:t xml:space="preserve"> és 5/74 (6,8%) volt a nem kezelt RA-s nőknél (nem korrigált OR: 1,31; 95%</w:t>
      </w:r>
      <w:r w:rsidR="00983CDC" w:rsidRPr="00183B5F">
        <w:rPr>
          <w:szCs w:val="22"/>
        </w:rPr>
        <w:noBreakHyphen/>
        <w:t>os</w:t>
      </w:r>
      <w:r w:rsidRPr="00183B5F">
        <w:rPr>
          <w:szCs w:val="22"/>
        </w:rPr>
        <w:t xml:space="preserve"> </w:t>
      </w:r>
      <w:r w:rsidR="00EC4188" w:rsidRPr="00183B5F">
        <w:rPr>
          <w:szCs w:val="22"/>
        </w:rPr>
        <w:t>konfidencia intervallum [CI]</w:t>
      </w:r>
      <w:r w:rsidRPr="00183B5F">
        <w:rPr>
          <w:szCs w:val="22"/>
        </w:rPr>
        <w:t xml:space="preserve">: 0,38-4,52), továbbá 16/152 (10,5%) volt </w:t>
      </w:r>
      <w:r w:rsidRPr="00183B5F">
        <w:rPr>
          <w:szCs w:val="22"/>
        </w:rPr>
        <w:t>az adalimumab</w:t>
      </w:r>
      <w:r w:rsidRPr="00183B5F">
        <w:rPr>
          <w:szCs w:val="22"/>
        </w:rPr>
        <w:noBreakHyphen/>
        <w:t>kezelésben részesült Crohn</w:t>
      </w:r>
      <w:r w:rsidRPr="00183B5F">
        <w:rPr>
          <w:szCs w:val="22"/>
        </w:rPr>
        <w:noBreakHyphen/>
        <w:t>beteg nőknél</w:t>
      </w:r>
      <w:r w:rsidR="00365CB4" w:rsidRPr="00183B5F">
        <w:rPr>
          <w:szCs w:val="22"/>
        </w:rPr>
        <w:t>,</w:t>
      </w:r>
      <w:r w:rsidRPr="00183B5F">
        <w:rPr>
          <w:szCs w:val="22"/>
        </w:rPr>
        <w:t xml:space="preserve"> és 3/32 (9,4%) volt a nem kezelt Crohn</w:t>
      </w:r>
      <w:r w:rsidRPr="00183B5F">
        <w:rPr>
          <w:szCs w:val="22"/>
        </w:rPr>
        <w:noBreakHyphen/>
      </w:r>
      <w:r w:rsidRPr="00183B5F">
        <w:rPr>
          <w:szCs w:val="22"/>
        </w:rPr>
        <w:t>beteg nőknél (nem korrigált OR: 1,14; 95%</w:t>
      </w:r>
      <w:r w:rsidR="00983CDC" w:rsidRPr="00183B5F">
        <w:rPr>
          <w:szCs w:val="22"/>
        </w:rPr>
        <w:noBreakHyphen/>
        <w:t>os</w:t>
      </w:r>
      <w:r w:rsidRPr="00183B5F">
        <w:rPr>
          <w:szCs w:val="22"/>
        </w:rPr>
        <w:t xml:space="preserve"> CI: 0,31-4,16). A korrigált OR (a kiindulási különbségeket tekintetbe véve) 1,10 volt (95%</w:t>
      </w:r>
      <w:r w:rsidR="000A61CF" w:rsidRPr="00183B5F">
        <w:rPr>
          <w:szCs w:val="22"/>
        </w:rPr>
        <w:noBreakHyphen/>
        <w:t>os</w:t>
      </w:r>
      <w:r w:rsidRPr="00183B5F">
        <w:rPr>
          <w:szCs w:val="22"/>
        </w:rPr>
        <w:t xml:space="preserve"> CI: 0,45-2,73) együttesen RA-ban és </w:t>
      </w:r>
      <w:r w:rsidR="00365CB4" w:rsidRPr="00183B5F">
        <w:rPr>
          <w:szCs w:val="22"/>
        </w:rPr>
        <w:t>Crohn</w:t>
      </w:r>
      <w:r w:rsidR="00365CB4" w:rsidRPr="00183B5F">
        <w:rPr>
          <w:szCs w:val="22"/>
        </w:rPr>
        <w:noBreakHyphen/>
        <w:t>betegség</w:t>
      </w:r>
      <w:r w:rsidRPr="00183B5F">
        <w:rPr>
          <w:szCs w:val="22"/>
        </w:rPr>
        <w:t>ben. Nem volt határozott különbség az adalimumabbal kezelt és nem kezelt nők esetében a másodlagos végpontokban, amelyek a spontán abortusz, a minor születési rendellenességek, a koraszülés, a kis születési súly és a súlyos vagy opportunista fertőzések voltak, és nem jelentettek halvaszületést vagy rosszindulatú daganat k</w:t>
      </w:r>
      <w:r w:rsidRPr="00183B5F">
        <w:rPr>
          <w:szCs w:val="22"/>
        </w:rPr>
        <w:t>ialakulást sem. Az adatok értelmezésére hatással lehetnek a regiszter módszertani korlátai, beleértve a kis mintaszámot és a nem</w:t>
      </w:r>
      <w:r w:rsidR="00365CB4" w:rsidRPr="00183B5F">
        <w:rPr>
          <w:szCs w:val="22"/>
        </w:rPr>
        <w:t xml:space="preserve"> </w:t>
      </w:r>
      <w:r w:rsidRPr="00183B5F">
        <w:rPr>
          <w:szCs w:val="22"/>
        </w:rPr>
        <w:t>randomizált elrendezést.</w:t>
      </w:r>
    </w:p>
    <w:p w14:paraId="4275F739" w14:textId="77777777" w:rsidR="004B37B2" w:rsidRPr="00183B5F" w:rsidRDefault="004B37B2" w:rsidP="004B37B2">
      <w:pPr>
        <w:spacing w:line="240" w:lineRule="auto"/>
        <w:rPr>
          <w:szCs w:val="22"/>
        </w:rPr>
      </w:pPr>
    </w:p>
    <w:p w14:paraId="429A1D26" w14:textId="77777777" w:rsidR="004B37B2" w:rsidRPr="00183B5F" w:rsidRDefault="00943743" w:rsidP="004B37B2">
      <w:pPr>
        <w:spacing w:line="240" w:lineRule="auto"/>
        <w:rPr>
          <w:szCs w:val="22"/>
        </w:rPr>
      </w:pPr>
      <w:r w:rsidRPr="00183B5F">
        <w:rPr>
          <w:szCs w:val="22"/>
        </w:rPr>
        <w:t>Majmokban végzett fejlődés toxicitási vizsgálat során anyai, illetve embriótoxicitásra vagy teratogenitásra utaló eltérést nem észleltek. Az adalimumab postnatalis toxicitást okozó hatására vonatkozó preklinikai adatok nem állnak rendelkezésre (lásd 5.3 pont).</w:t>
      </w:r>
    </w:p>
    <w:p w14:paraId="2D5D13AC" w14:textId="77777777" w:rsidR="004B37B2" w:rsidRPr="00183B5F" w:rsidRDefault="004B37B2" w:rsidP="004B37B2">
      <w:pPr>
        <w:spacing w:line="240" w:lineRule="auto"/>
        <w:rPr>
          <w:szCs w:val="22"/>
        </w:rPr>
      </w:pPr>
    </w:p>
    <w:p w14:paraId="66C8714B" w14:textId="77777777" w:rsidR="004B37B2" w:rsidRPr="00183B5F" w:rsidRDefault="00943743" w:rsidP="004B37B2">
      <w:pPr>
        <w:spacing w:line="240" w:lineRule="auto"/>
        <w:rPr>
          <w:szCs w:val="22"/>
        </w:rPr>
      </w:pPr>
      <w:r w:rsidRPr="00183B5F">
        <w:rPr>
          <w:szCs w:val="22"/>
        </w:rPr>
        <w:t>A TNF</w:t>
      </w:r>
      <w:r w:rsidRPr="00183B5F">
        <w:rPr>
          <w:szCs w:val="22"/>
        </w:rPr>
        <w:noBreakHyphen/>
        <w:t>alfa</w:t>
      </w:r>
      <w:r w:rsidR="00C15375" w:rsidRPr="00183B5F">
        <w:rPr>
          <w:szCs w:val="22"/>
        </w:rPr>
        <w:t>-</w:t>
      </w:r>
      <w:r w:rsidRPr="00183B5F">
        <w:rPr>
          <w:szCs w:val="22"/>
        </w:rPr>
        <w:t>gátlást okozó hatása miatt a terhesség alatt adott adalimumab befolyásolhatja az újszülött normális immunreakcióit. Az adalimumab csak akkor alkalmazható terhesség alatt, ha egyértelműen szükséges.</w:t>
      </w:r>
    </w:p>
    <w:p w14:paraId="32AF32D9" w14:textId="77777777" w:rsidR="004B37B2" w:rsidRPr="00183B5F" w:rsidRDefault="004B37B2" w:rsidP="004B37B2">
      <w:pPr>
        <w:spacing w:line="240" w:lineRule="auto"/>
        <w:rPr>
          <w:b/>
          <w:szCs w:val="22"/>
        </w:rPr>
      </w:pPr>
    </w:p>
    <w:p w14:paraId="063E7831" w14:textId="77777777" w:rsidR="004B37B2" w:rsidRPr="00183B5F" w:rsidRDefault="00943743" w:rsidP="004B37B2">
      <w:pPr>
        <w:spacing w:line="240" w:lineRule="auto"/>
        <w:rPr>
          <w:szCs w:val="22"/>
        </w:rPr>
      </w:pPr>
      <w:r w:rsidRPr="00183B5F">
        <w:rPr>
          <w:szCs w:val="22"/>
        </w:rPr>
        <w:t>A terhesség alatt adalimumabbal kezelt nőknél az adalimumab a placentán átjutva bekerülhet a csecsemő szérumába. Emiatt ezeknél a csecsemőknél fokozott a fertőzések kialakulásának a kockázata. Az intrauterin adalimumab-expozíciónak kitett csecsemőknél az anya által a terhesség alatt kapott utolsó adalimumab</w:t>
      </w:r>
      <w:r w:rsidR="00626979" w:rsidRPr="00183B5F">
        <w:rPr>
          <w:szCs w:val="22"/>
        </w:rPr>
        <w:t>-</w:t>
      </w:r>
      <w:r w:rsidRPr="00183B5F">
        <w:rPr>
          <w:szCs w:val="22"/>
        </w:rPr>
        <w:t>injekció után 5 hónapig nem ajánlott az élő kórokozót tartalmazó védőoltás (pl. BCG</w:t>
      </w:r>
      <w:r w:rsidR="00C15375" w:rsidRPr="00183B5F">
        <w:rPr>
          <w:szCs w:val="22"/>
        </w:rPr>
        <w:t>-</w:t>
      </w:r>
      <w:r w:rsidRPr="00183B5F">
        <w:rPr>
          <w:szCs w:val="22"/>
        </w:rPr>
        <w:t>oltás) adása.</w:t>
      </w:r>
    </w:p>
    <w:p w14:paraId="25959C9C" w14:textId="77777777" w:rsidR="004B37B2" w:rsidRPr="00183B5F" w:rsidRDefault="004B37B2" w:rsidP="004B37B2">
      <w:pPr>
        <w:spacing w:line="240" w:lineRule="auto"/>
        <w:rPr>
          <w:szCs w:val="22"/>
        </w:rPr>
      </w:pPr>
    </w:p>
    <w:p w14:paraId="77A5D7F9" w14:textId="77777777" w:rsidR="004B37B2" w:rsidRPr="00183B5F" w:rsidRDefault="00943743" w:rsidP="004B37B2">
      <w:pPr>
        <w:keepNext/>
        <w:spacing w:line="240" w:lineRule="auto"/>
        <w:rPr>
          <w:szCs w:val="22"/>
          <w:u w:val="single"/>
        </w:rPr>
      </w:pPr>
      <w:r w:rsidRPr="00183B5F">
        <w:rPr>
          <w:szCs w:val="22"/>
          <w:u w:val="single"/>
        </w:rPr>
        <w:t>Szoptatás</w:t>
      </w:r>
    </w:p>
    <w:p w14:paraId="305B5A5A" w14:textId="77777777" w:rsidR="004B37B2" w:rsidRPr="00183B5F" w:rsidRDefault="004B37B2" w:rsidP="004B37B2">
      <w:pPr>
        <w:keepNext/>
        <w:spacing w:line="240" w:lineRule="auto"/>
        <w:rPr>
          <w:b/>
          <w:szCs w:val="22"/>
        </w:rPr>
      </w:pPr>
    </w:p>
    <w:p w14:paraId="3BA601F1" w14:textId="77777777" w:rsidR="004B37B2" w:rsidRPr="00183B5F" w:rsidRDefault="00943743" w:rsidP="00E87C31">
      <w:pPr>
        <w:rPr>
          <w:szCs w:val="22"/>
        </w:rPr>
      </w:pPr>
      <w:r w:rsidRPr="00183B5F">
        <w:rPr>
          <w:szCs w:val="22"/>
        </w:rPr>
        <w:t>A szakirodalomban közzétett korlátozott mennyiségű információ alapján az adalimumab nagyon kis koncentrációban kiválasztódik az anyatejbe, az anyai szérumszint 0,1</w:t>
      </w:r>
      <w:r w:rsidRPr="00183B5F">
        <w:rPr>
          <w:szCs w:val="22"/>
        </w:rPr>
        <w:noBreakHyphen/>
        <w:t>1%</w:t>
      </w:r>
      <w:r w:rsidRPr="00183B5F">
        <w:rPr>
          <w:szCs w:val="22"/>
        </w:rPr>
        <w:noBreakHyphen/>
        <w:t>ában van jelen. Szájon át adva, az immunglobulin G</w:t>
      </w:r>
      <w:r w:rsidR="0029612D" w:rsidRPr="00183B5F">
        <w:rPr>
          <w:szCs w:val="22"/>
        </w:rPr>
        <w:t>-</w:t>
      </w:r>
      <w:r w:rsidRPr="00183B5F">
        <w:rPr>
          <w:szCs w:val="22"/>
        </w:rPr>
        <w:t>fehérjék intestin</w:t>
      </w:r>
      <w:r w:rsidR="00365CB4" w:rsidRPr="00183B5F">
        <w:rPr>
          <w:szCs w:val="22"/>
        </w:rPr>
        <w:t>a</w:t>
      </w:r>
      <w:r w:rsidRPr="00183B5F">
        <w:rPr>
          <w:szCs w:val="22"/>
        </w:rPr>
        <w:t>lis proteolízist szenvednek</w:t>
      </w:r>
      <w:r w:rsidR="00365CB4" w:rsidRPr="00183B5F">
        <w:rPr>
          <w:szCs w:val="22"/>
        </w:rPr>
        <w:t>,</w:t>
      </w:r>
      <w:r w:rsidRPr="00183B5F">
        <w:rPr>
          <w:szCs w:val="22"/>
        </w:rPr>
        <w:t xml:space="preserve"> és a biohasznosulásuk csekély. </w:t>
      </w:r>
      <w:r w:rsidR="00365CB4" w:rsidRPr="00183B5F">
        <w:rPr>
          <w:szCs w:val="22"/>
        </w:rPr>
        <w:t>N</w:t>
      </w:r>
      <w:r w:rsidRPr="00183B5F">
        <w:rPr>
          <w:szCs w:val="22"/>
        </w:rPr>
        <w:t>em várható</w:t>
      </w:r>
      <w:r w:rsidR="00365CB4" w:rsidRPr="00183B5F">
        <w:rPr>
          <w:szCs w:val="22"/>
        </w:rPr>
        <w:t>ak</w:t>
      </w:r>
      <w:r w:rsidRPr="00183B5F">
        <w:rPr>
          <w:szCs w:val="22"/>
        </w:rPr>
        <w:t xml:space="preserve"> a szoptatott újszülöttekre/csecsemőkre </w:t>
      </w:r>
      <w:r w:rsidR="00365CB4" w:rsidRPr="00183B5F">
        <w:rPr>
          <w:szCs w:val="22"/>
        </w:rPr>
        <w:t>gyakorolt hatások</w:t>
      </w:r>
      <w:r w:rsidRPr="00183B5F">
        <w:rPr>
          <w:szCs w:val="22"/>
        </w:rPr>
        <w:t>. Következésképpen a Humira alkalmazható szoptatás alatt.</w:t>
      </w:r>
    </w:p>
    <w:p w14:paraId="6AA54CD2" w14:textId="77777777" w:rsidR="004B37B2" w:rsidRPr="00183B5F" w:rsidRDefault="004B37B2" w:rsidP="004B37B2">
      <w:pPr>
        <w:spacing w:line="240" w:lineRule="auto"/>
        <w:rPr>
          <w:b/>
          <w:szCs w:val="22"/>
        </w:rPr>
      </w:pPr>
    </w:p>
    <w:p w14:paraId="6280FF0F" w14:textId="77777777" w:rsidR="004B37B2" w:rsidRPr="00183B5F" w:rsidRDefault="00943743" w:rsidP="004B37B2">
      <w:pPr>
        <w:keepNext/>
        <w:spacing w:line="240" w:lineRule="auto"/>
        <w:rPr>
          <w:szCs w:val="22"/>
          <w:u w:val="single"/>
        </w:rPr>
      </w:pPr>
      <w:r w:rsidRPr="00183B5F">
        <w:rPr>
          <w:szCs w:val="22"/>
          <w:u w:val="single"/>
        </w:rPr>
        <w:t>Termékenység</w:t>
      </w:r>
    </w:p>
    <w:p w14:paraId="09C5DC70" w14:textId="77777777" w:rsidR="004B37B2" w:rsidRPr="00183B5F" w:rsidRDefault="004B37B2" w:rsidP="004B37B2">
      <w:pPr>
        <w:keepNext/>
        <w:spacing w:line="240" w:lineRule="auto"/>
        <w:rPr>
          <w:szCs w:val="22"/>
        </w:rPr>
      </w:pPr>
    </w:p>
    <w:p w14:paraId="06A65D14" w14:textId="77777777" w:rsidR="004B37B2" w:rsidRPr="00183B5F" w:rsidRDefault="00943743" w:rsidP="004B37B2">
      <w:pPr>
        <w:spacing w:line="240" w:lineRule="auto"/>
        <w:rPr>
          <w:szCs w:val="22"/>
        </w:rPr>
      </w:pPr>
      <w:r w:rsidRPr="00183B5F">
        <w:rPr>
          <w:szCs w:val="22"/>
        </w:rPr>
        <w:t>Nem áll rendelkezésre preklinikai adat az adalimumab termékenységre gyakorolt hatásával kapcsolatban.</w:t>
      </w:r>
    </w:p>
    <w:p w14:paraId="374D7812" w14:textId="77777777" w:rsidR="004B37B2" w:rsidRPr="00183B5F" w:rsidRDefault="004B37B2" w:rsidP="004B37B2">
      <w:pPr>
        <w:spacing w:line="240" w:lineRule="auto"/>
        <w:rPr>
          <w:b/>
          <w:szCs w:val="22"/>
        </w:rPr>
      </w:pPr>
    </w:p>
    <w:p w14:paraId="32042009" w14:textId="77777777" w:rsidR="00D0403E" w:rsidRPr="00183B5F" w:rsidRDefault="00943743" w:rsidP="004062FE">
      <w:pPr>
        <w:keepNext/>
        <w:spacing w:line="240" w:lineRule="auto"/>
        <w:rPr>
          <w:b/>
          <w:szCs w:val="22"/>
        </w:rPr>
      </w:pPr>
      <w:r w:rsidRPr="00183B5F">
        <w:rPr>
          <w:b/>
          <w:szCs w:val="22"/>
        </w:rPr>
        <w:t>4.7</w:t>
      </w:r>
      <w:r w:rsidRPr="00183B5F">
        <w:rPr>
          <w:b/>
          <w:szCs w:val="22"/>
        </w:rPr>
        <w:tab/>
        <w:t>A készítmény hatásai a gépjárművezetéshez és a gépek kezeléséhez szükséges képességekre</w:t>
      </w:r>
    </w:p>
    <w:p w14:paraId="634DB669" w14:textId="77777777" w:rsidR="00D0403E" w:rsidRPr="00183B5F" w:rsidRDefault="00D0403E" w:rsidP="004062FE">
      <w:pPr>
        <w:keepNext/>
        <w:spacing w:line="240" w:lineRule="auto"/>
        <w:rPr>
          <w:b/>
          <w:szCs w:val="22"/>
        </w:rPr>
      </w:pPr>
    </w:p>
    <w:p w14:paraId="375BBC60" w14:textId="77777777" w:rsidR="00D0403E" w:rsidRPr="00183B5F" w:rsidRDefault="00943743" w:rsidP="004062FE">
      <w:pPr>
        <w:spacing w:line="240" w:lineRule="auto"/>
        <w:rPr>
          <w:szCs w:val="22"/>
        </w:rPr>
      </w:pPr>
      <w:r w:rsidRPr="00183B5F">
        <w:rPr>
          <w:szCs w:val="22"/>
        </w:rPr>
        <w:t xml:space="preserve">A Humira csekély mértékben befolyásolhatja a gépjárművezetéshez és a gépek </w:t>
      </w:r>
      <w:r w:rsidRPr="00183B5F">
        <w:rPr>
          <w:noProof/>
          <w:szCs w:val="22"/>
        </w:rPr>
        <w:t>kezeléséhez</w:t>
      </w:r>
      <w:r w:rsidRPr="00183B5F">
        <w:rPr>
          <w:szCs w:val="22"/>
        </w:rPr>
        <w:t xml:space="preserve"> szükséges képességeket. A Humira alkalmazását követően vertigo és látásromlás fordulhat elő (lásd 4.8 pont).</w:t>
      </w:r>
    </w:p>
    <w:p w14:paraId="55568DBC" w14:textId="77777777" w:rsidR="00D0403E" w:rsidRPr="00183B5F" w:rsidRDefault="00D0403E" w:rsidP="004062FE">
      <w:pPr>
        <w:spacing w:line="240" w:lineRule="auto"/>
        <w:rPr>
          <w:b/>
          <w:szCs w:val="22"/>
        </w:rPr>
      </w:pPr>
    </w:p>
    <w:p w14:paraId="74883D7C" w14:textId="77777777" w:rsidR="00D0403E" w:rsidRPr="00183B5F" w:rsidRDefault="00943743" w:rsidP="004062FE">
      <w:pPr>
        <w:spacing w:line="240" w:lineRule="auto"/>
        <w:rPr>
          <w:b/>
          <w:szCs w:val="22"/>
        </w:rPr>
      </w:pPr>
      <w:r w:rsidRPr="00183B5F">
        <w:rPr>
          <w:b/>
          <w:szCs w:val="22"/>
        </w:rPr>
        <w:t>4.8</w:t>
      </w:r>
      <w:r w:rsidRPr="00183B5F">
        <w:rPr>
          <w:b/>
          <w:szCs w:val="22"/>
        </w:rPr>
        <w:tab/>
        <w:t>Nemkívánatos hatások, mellékhatások</w:t>
      </w:r>
    </w:p>
    <w:p w14:paraId="29ABB63C" w14:textId="77777777" w:rsidR="00D0403E" w:rsidRPr="00183B5F" w:rsidRDefault="00D0403E" w:rsidP="004062FE">
      <w:pPr>
        <w:spacing w:line="240" w:lineRule="auto"/>
        <w:rPr>
          <w:b/>
          <w:szCs w:val="22"/>
        </w:rPr>
      </w:pPr>
    </w:p>
    <w:p w14:paraId="3B7ADCC3" w14:textId="77777777" w:rsidR="00D0403E" w:rsidRPr="00183B5F" w:rsidRDefault="00943743" w:rsidP="004062FE">
      <w:pPr>
        <w:spacing w:line="240" w:lineRule="auto"/>
        <w:rPr>
          <w:szCs w:val="22"/>
          <w:u w:val="single"/>
        </w:rPr>
      </w:pPr>
      <w:r w:rsidRPr="00183B5F">
        <w:rPr>
          <w:szCs w:val="22"/>
          <w:u w:val="single"/>
        </w:rPr>
        <w:t>A biztonságossági profil összefoglalása</w:t>
      </w:r>
    </w:p>
    <w:p w14:paraId="7373EAD2" w14:textId="77777777" w:rsidR="00D0403E" w:rsidRPr="00183B5F" w:rsidRDefault="00D0403E" w:rsidP="004062FE">
      <w:pPr>
        <w:spacing w:line="240" w:lineRule="auto"/>
        <w:rPr>
          <w:b/>
          <w:szCs w:val="22"/>
        </w:rPr>
      </w:pPr>
    </w:p>
    <w:p w14:paraId="41046D28" w14:textId="77777777" w:rsidR="00D0403E" w:rsidRPr="00183B5F" w:rsidRDefault="00943743" w:rsidP="004062FE">
      <w:pPr>
        <w:spacing w:line="240" w:lineRule="auto"/>
        <w:rPr>
          <w:szCs w:val="22"/>
        </w:rPr>
      </w:pPr>
      <w:r w:rsidRPr="00183B5F">
        <w:rPr>
          <w:szCs w:val="22"/>
        </w:rPr>
        <w:t>A Humira</w:t>
      </w:r>
      <w:r w:rsidRPr="00183B5F">
        <w:rPr>
          <w:szCs w:val="22"/>
        </w:rPr>
        <w:noBreakHyphen/>
        <w:t xml:space="preserve">t </w:t>
      </w:r>
      <w:r w:rsidR="00FC5B65" w:rsidRPr="00183B5F">
        <w:rPr>
          <w:szCs w:val="22"/>
        </w:rPr>
        <w:t>9506</w:t>
      </w:r>
      <w:r w:rsidRPr="00183B5F">
        <w:rPr>
          <w:szCs w:val="22"/>
        </w:rPr>
        <w:t xml:space="preserve"> beteg bevonásával tanulmányozták pivotális, kontrollos és nyílt vizsgálatokban, 60 hónapig vagy még tovább. Ezekbe a vizsgálatokba rövidebb vagy hosszabb ideje rheumatoid arthritisben, juvenilis idiopathiás arthritisben (polyarticularis juvenilis idiopathiás arthritisben és </w:t>
      </w:r>
      <w:r w:rsidR="00677908" w:rsidRPr="00183B5F">
        <w:rPr>
          <w:szCs w:val="22"/>
        </w:rPr>
        <w:t>enthesitis-asszociált</w:t>
      </w:r>
      <w:r w:rsidRPr="00183B5F">
        <w:rPr>
          <w:szCs w:val="22"/>
        </w:rPr>
        <w:t xml:space="preserve"> arthritisben), valamint axialis spondyloarthritisben (spondylitis ankylopoeticában és </w:t>
      </w:r>
      <w:r w:rsidRPr="00183B5F">
        <w:rPr>
          <w:rFonts w:eastAsia="SimSun"/>
          <w:szCs w:val="22"/>
          <w:lang w:eastAsia="zh-CN"/>
        </w:rPr>
        <w:t>a spondylitis ankylopoeticának (SPA) megfelelő röntgeneltéréssel nem járó</w:t>
      </w:r>
      <w:r w:rsidRPr="00183B5F">
        <w:rPr>
          <w:szCs w:val="22"/>
        </w:rPr>
        <w:t xml:space="preserve"> axiális spondyloarthritisben), arthritis psoria</w:t>
      </w:r>
      <w:r w:rsidRPr="00183B5F">
        <w:rPr>
          <w:szCs w:val="22"/>
        </w:rPr>
        <w:t>ticában, Crohn</w:t>
      </w:r>
      <w:r w:rsidRPr="00183B5F">
        <w:rPr>
          <w:szCs w:val="22"/>
        </w:rPr>
        <w:noBreakHyphen/>
        <w:t>betegségben, colitis ulcerosában</w:t>
      </w:r>
      <w:r w:rsidR="0024208D" w:rsidRPr="00183B5F">
        <w:rPr>
          <w:szCs w:val="22"/>
        </w:rPr>
        <w:t>,</w:t>
      </w:r>
      <w:r w:rsidRPr="00183B5F">
        <w:rPr>
          <w:szCs w:val="22"/>
        </w:rPr>
        <w:t xml:space="preserve"> psoriasisban</w:t>
      </w:r>
      <w:r w:rsidR="00FC5B65" w:rsidRPr="00183B5F">
        <w:rPr>
          <w:szCs w:val="22"/>
        </w:rPr>
        <w:t>,</w:t>
      </w:r>
      <w:r w:rsidR="000A06E6" w:rsidRPr="00183B5F">
        <w:rPr>
          <w:szCs w:val="22"/>
        </w:rPr>
        <w:t xml:space="preserve"> hidradenitis suppurativában</w:t>
      </w:r>
      <w:r w:rsidRPr="00183B5F">
        <w:rPr>
          <w:szCs w:val="22"/>
        </w:rPr>
        <w:t xml:space="preserve"> </w:t>
      </w:r>
      <w:r w:rsidR="00FC5B65" w:rsidRPr="00183B5F">
        <w:rPr>
          <w:szCs w:val="22"/>
        </w:rPr>
        <w:t xml:space="preserve">és uveitisben </w:t>
      </w:r>
      <w:r w:rsidRPr="00183B5F">
        <w:rPr>
          <w:szCs w:val="22"/>
        </w:rPr>
        <w:t xml:space="preserve">szenvedő betegeket választottak be. A pivotális, kontrollos vizsgálatok, amelyek során </w:t>
      </w:r>
      <w:r w:rsidR="00FC5B65" w:rsidRPr="00183B5F">
        <w:rPr>
          <w:szCs w:val="22"/>
        </w:rPr>
        <w:t>6089</w:t>
      </w:r>
      <w:r w:rsidRPr="00183B5F">
        <w:rPr>
          <w:szCs w:val="22"/>
        </w:rPr>
        <w:t> beteg részesült Humira</w:t>
      </w:r>
      <w:r w:rsidRPr="00183B5F">
        <w:rPr>
          <w:szCs w:val="22"/>
        </w:rPr>
        <w:noBreakHyphen/>
        <w:t xml:space="preserve">kezelésben és </w:t>
      </w:r>
      <w:r w:rsidR="00FC5B65" w:rsidRPr="00183B5F">
        <w:rPr>
          <w:szCs w:val="22"/>
        </w:rPr>
        <w:t>3801</w:t>
      </w:r>
      <w:r w:rsidRPr="00183B5F">
        <w:rPr>
          <w:szCs w:val="22"/>
        </w:rPr>
        <w:t> beteg kapott placebót vagy aktív összehasonlító gyógyszert a kontrollos periódusban és a spontán jelentés során.</w:t>
      </w:r>
    </w:p>
    <w:p w14:paraId="61DC5C8A" w14:textId="77777777" w:rsidR="00D0403E" w:rsidRPr="00183B5F" w:rsidRDefault="00D0403E">
      <w:pPr>
        <w:suppressAutoHyphens w:val="0"/>
        <w:spacing w:line="240" w:lineRule="auto"/>
        <w:rPr>
          <w:szCs w:val="22"/>
        </w:rPr>
      </w:pPr>
    </w:p>
    <w:p w14:paraId="5DD6FF22" w14:textId="77777777" w:rsidR="00D0403E" w:rsidRPr="00183B5F" w:rsidRDefault="00943743" w:rsidP="004062FE">
      <w:pPr>
        <w:spacing w:line="240" w:lineRule="auto"/>
        <w:rPr>
          <w:szCs w:val="22"/>
        </w:rPr>
      </w:pPr>
      <w:r w:rsidRPr="00183B5F">
        <w:rPr>
          <w:szCs w:val="22"/>
        </w:rPr>
        <w:t xml:space="preserve">Azon betegek aránya, akik a pivotális vizsgálatok </w:t>
      </w:r>
      <w:r w:rsidR="00E5381A" w:rsidRPr="00183B5F">
        <w:rPr>
          <w:szCs w:val="22"/>
        </w:rPr>
        <w:t>kettős vak</w:t>
      </w:r>
      <w:r w:rsidRPr="00183B5F">
        <w:rPr>
          <w:szCs w:val="22"/>
        </w:rPr>
        <w:t>, kontrollos részében mellékhatások miatt abbahagyták a kezelést, a Humira</w:t>
      </w:r>
      <w:r w:rsidRPr="00183B5F">
        <w:rPr>
          <w:szCs w:val="22"/>
        </w:rPr>
        <w:noBreakHyphen/>
        <w:t xml:space="preserve">val kezelt betegcsoportban </w:t>
      </w:r>
      <w:r w:rsidR="00955B36" w:rsidRPr="00183B5F">
        <w:rPr>
          <w:szCs w:val="22"/>
        </w:rPr>
        <w:t>5,</w:t>
      </w:r>
      <w:r w:rsidR="00FC5B65" w:rsidRPr="00183B5F">
        <w:rPr>
          <w:szCs w:val="22"/>
        </w:rPr>
        <w:t>9</w:t>
      </w:r>
      <w:r w:rsidRPr="00183B5F">
        <w:rPr>
          <w:szCs w:val="22"/>
        </w:rPr>
        <w:t>%, míg a kontroll kezelt betegeknél 5,</w:t>
      </w:r>
      <w:r w:rsidR="00955B36" w:rsidRPr="00183B5F">
        <w:rPr>
          <w:szCs w:val="22"/>
        </w:rPr>
        <w:t>4</w:t>
      </w:r>
      <w:r w:rsidRPr="00183B5F">
        <w:rPr>
          <w:szCs w:val="22"/>
        </w:rPr>
        <w:t>% volt.</w:t>
      </w:r>
    </w:p>
    <w:p w14:paraId="1C06B5DD" w14:textId="77777777" w:rsidR="00D0403E" w:rsidRPr="00183B5F" w:rsidRDefault="00D0403E" w:rsidP="004062FE">
      <w:pPr>
        <w:spacing w:line="240" w:lineRule="auto"/>
        <w:rPr>
          <w:szCs w:val="22"/>
        </w:rPr>
      </w:pPr>
    </w:p>
    <w:p w14:paraId="487B9216" w14:textId="77777777" w:rsidR="00D0403E" w:rsidRPr="00183B5F" w:rsidRDefault="00943743" w:rsidP="004062FE">
      <w:pPr>
        <w:spacing w:line="240" w:lineRule="auto"/>
        <w:rPr>
          <w:szCs w:val="22"/>
        </w:rPr>
      </w:pPr>
      <w:r w:rsidRPr="00183B5F">
        <w:rPr>
          <w:szCs w:val="22"/>
        </w:rPr>
        <w:t>A leggyakoribb mellékhatások a fertőzések (mint pl. nasopharyngitis, felső légúti fertőzés és sinusitis), az injekció beadási helyén jelentkező reakciók (erythema, pruritus, suffusio, fájdalom vagy duzzanat), a fejfájás és a mozgásszervi eredetű fájdalom.</w:t>
      </w:r>
    </w:p>
    <w:p w14:paraId="47A035AD" w14:textId="77777777" w:rsidR="00D0403E" w:rsidRPr="00183B5F" w:rsidRDefault="00D0403E" w:rsidP="004062FE">
      <w:pPr>
        <w:spacing w:line="240" w:lineRule="auto"/>
        <w:rPr>
          <w:szCs w:val="22"/>
        </w:rPr>
      </w:pPr>
    </w:p>
    <w:p w14:paraId="683805F6" w14:textId="77777777" w:rsidR="00D0403E" w:rsidRPr="00183B5F" w:rsidRDefault="00943743" w:rsidP="004062FE">
      <w:pPr>
        <w:spacing w:line="240" w:lineRule="auto"/>
        <w:rPr>
          <w:szCs w:val="22"/>
        </w:rPr>
      </w:pPr>
      <w:r w:rsidRPr="00183B5F">
        <w:rPr>
          <w:szCs w:val="22"/>
        </w:rPr>
        <w:t>Súlyos mellékhatásokról is beszámoltak a Humira alkalmazása során. A TNF</w:t>
      </w:r>
      <w:r w:rsidRPr="00183B5F">
        <w:rPr>
          <w:szCs w:val="22"/>
        </w:rPr>
        <w:noBreakHyphen/>
        <w:t>antagonisták, így a Humira is befolyásolja az immunrendszert, és alkalmazásuk megváltoztathatja a szervezet fertőzésekkel és daganatokkal szembeni védekező képességét.</w:t>
      </w:r>
    </w:p>
    <w:p w14:paraId="48499F95" w14:textId="77777777" w:rsidR="00D0403E" w:rsidRPr="00183B5F" w:rsidRDefault="00943743" w:rsidP="004062FE">
      <w:pPr>
        <w:spacing w:line="240" w:lineRule="auto"/>
        <w:rPr>
          <w:szCs w:val="22"/>
        </w:rPr>
      </w:pPr>
      <w:r w:rsidRPr="00183B5F">
        <w:rPr>
          <w:szCs w:val="22"/>
        </w:rPr>
        <w:t>A Humira alkalmazása során beszámoltak fatális és életveszélyes fertőzésekről (beleértve a szepszist, az oppurtunista fertőzést és a TBC</w:t>
      </w:r>
      <w:r w:rsidRPr="00183B5F">
        <w:rPr>
          <w:szCs w:val="22"/>
        </w:rPr>
        <w:noBreakHyphen/>
        <w:t>t), HBV</w:t>
      </w:r>
      <w:r w:rsidR="000A456B" w:rsidRPr="00183B5F">
        <w:rPr>
          <w:szCs w:val="22"/>
        </w:rPr>
        <w:t>-</w:t>
      </w:r>
      <w:r w:rsidRPr="00183B5F">
        <w:rPr>
          <w:szCs w:val="22"/>
        </w:rPr>
        <w:t>reaktiválódásról és különböző malignus betegségekről is (beleértve a leukaemiát, a lymphomát és hepatosplenicus T</w:t>
      </w:r>
      <w:r w:rsidRPr="00183B5F">
        <w:rPr>
          <w:szCs w:val="22"/>
        </w:rPr>
        <w:noBreakHyphen/>
        <w:t>sejtes lymphomát).</w:t>
      </w:r>
    </w:p>
    <w:p w14:paraId="4B7C0293" w14:textId="77777777" w:rsidR="00D0403E" w:rsidRPr="00183B5F" w:rsidRDefault="00D0403E" w:rsidP="004062FE">
      <w:pPr>
        <w:spacing w:line="240" w:lineRule="auto"/>
        <w:rPr>
          <w:szCs w:val="22"/>
        </w:rPr>
      </w:pPr>
    </w:p>
    <w:p w14:paraId="6F7BAD5F" w14:textId="77777777" w:rsidR="00D0403E" w:rsidRPr="00183B5F" w:rsidRDefault="00943743" w:rsidP="004062FE">
      <w:pPr>
        <w:spacing w:line="240" w:lineRule="auto"/>
        <w:rPr>
          <w:szCs w:val="22"/>
        </w:rPr>
      </w:pPr>
      <w:r w:rsidRPr="00183B5F">
        <w:rPr>
          <w:szCs w:val="22"/>
        </w:rPr>
        <w:t>Súlyos haematol</w:t>
      </w:r>
      <w:r w:rsidR="00CC3CC6" w:rsidRPr="00183B5F">
        <w:rPr>
          <w:szCs w:val="22"/>
        </w:rPr>
        <w:t>ó</w:t>
      </w:r>
      <w:r w:rsidRPr="00183B5F">
        <w:rPr>
          <w:szCs w:val="22"/>
        </w:rPr>
        <w:t>giai, neurológiai és autoimmun folyamatokról is beszámoltak, mint pl. pancytopenia, aplasticus anaemia, központi és perifériás demyelinisatiós betegségek néhány esete, lupus erythemato</w:t>
      </w:r>
      <w:r w:rsidR="00004B4F" w:rsidRPr="00183B5F">
        <w:rPr>
          <w:szCs w:val="22"/>
        </w:rPr>
        <w:t>sus</w:t>
      </w:r>
      <w:r w:rsidRPr="00183B5F">
        <w:rPr>
          <w:szCs w:val="22"/>
        </w:rPr>
        <w:t>, lupus</w:t>
      </w:r>
      <w:r w:rsidRPr="00183B5F">
        <w:rPr>
          <w:szCs w:val="22"/>
        </w:rPr>
        <w:noBreakHyphen/>
        <w:t>szal összefüggő betegségek és Stevens</w:t>
      </w:r>
      <w:r w:rsidR="00004B4F" w:rsidRPr="00183B5F">
        <w:rPr>
          <w:szCs w:val="22"/>
        </w:rPr>
        <w:t>–</w:t>
      </w:r>
      <w:r w:rsidRPr="00183B5F">
        <w:rPr>
          <w:szCs w:val="22"/>
        </w:rPr>
        <w:t>Johnson</w:t>
      </w:r>
      <w:r w:rsidR="0011114B" w:rsidRPr="00183B5F">
        <w:rPr>
          <w:szCs w:val="22"/>
        </w:rPr>
        <w:t>-</w:t>
      </w:r>
      <w:r w:rsidRPr="00183B5F">
        <w:rPr>
          <w:szCs w:val="22"/>
        </w:rPr>
        <w:t>szindróma.</w:t>
      </w:r>
    </w:p>
    <w:p w14:paraId="76B70BE5" w14:textId="77777777" w:rsidR="00D0403E" w:rsidRPr="00183B5F" w:rsidRDefault="00D0403E" w:rsidP="004062FE">
      <w:pPr>
        <w:spacing w:line="240" w:lineRule="auto"/>
        <w:rPr>
          <w:szCs w:val="22"/>
        </w:rPr>
      </w:pPr>
    </w:p>
    <w:p w14:paraId="67505018" w14:textId="77777777" w:rsidR="00D0403E" w:rsidRPr="00183B5F" w:rsidRDefault="00943743" w:rsidP="004062FE">
      <w:pPr>
        <w:keepNext/>
        <w:spacing w:line="240" w:lineRule="auto"/>
        <w:rPr>
          <w:iCs/>
          <w:szCs w:val="22"/>
          <w:u w:val="single"/>
        </w:rPr>
      </w:pPr>
      <w:r w:rsidRPr="00183B5F">
        <w:rPr>
          <w:iCs/>
          <w:szCs w:val="22"/>
          <w:u w:val="single"/>
        </w:rPr>
        <w:t>Gyermekek</w:t>
      </w:r>
      <w:r w:rsidR="00E107ED" w:rsidRPr="00183B5F">
        <w:rPr>
          <w:iCs/>
          <w:szCs w:val="22"/>
          <w:u w:val="single"/>
        </w:rPr>
        <w:t xml:space="preserve"> és serdülők</w:t>
      </w:r>
    </w:p>
    <w:p w14:paraId="0F1D84F5" w14:textId="77777777" w:rsidR="00D0403E" w:rsidRPr="00183B5F" w:rsidRDefault="00D0403E" w:rsidP="004062FE">
      <w:pPr>
        <w:keepNext/>
        <w:spacing w:line="240" w:lineRule="auto"/>
        <w:rPr>
          <w:szCs w:val="22"/>
        </w:rPr>
      </w:pPr>
    </w:p>
    <w:p w14:paraId="7A82757B" w14:textId="77777777" w:rsidR="00D0403E" w:rsidRPr="00183B5F" w:rsidRDefault="00943743" w:rsidP="004062FE">
      <w:pPr>
        <w:spacing w:line="240" w:lineRule="auto"/>
        <w:rPr>
          <w:szCs w:val="22"/>
        </w:rPr>
      </w:pPr>
      <w:r w:rsidRPr="00183B5F">
        <w:rPr>
          <w:szCs w:val="22"/>
        </w:rPr>
        <w:t xml:space="preserve">Általában véve a </w:t>
      </w:r>
      <w:r w:rsidR="00004B4F" w:rsidRPr="00183B5F">
        <w:rPr>
          <w:szCs w:val="22"/>
        </w:rPr>
        <w:t>gyermekeknél és serdülőknél</w:t>
      </w:r>
      <w:r w:rsidRPr="00183B5F">
        <w:rPr>
          <w:szCs w:val="22"/>
        </w:rPr>
        <w:t xml:space="preserve"> megfigyelt nemkívánatos események gyakorisága és típusa hasonló volt azokhoz, mint amiket a felnőtt betegeknél észleltek.</w:t>
      </w:r>
    </w:p>
    <w:p w14:paraId="79E1DEA6" w14:textId="77777777" w:rsidR="00D0403E" w:rsidRPr="00183B5F" w:rsidRDefault="00D0403E" w:rsidP="004062FE">
      <w:pPr>
        <w:spacing w:line="240" w:lineRule="auto"/>
        <w:rPr>
          <w:szCs w:val="22"/>
        </w:rPr>
      </w:pPr>
    </w:p>
    <w:p w14:paraId="692786F4" w14:textId="77777777" w:rsidR="00D0403E" w:rsidRPr="00183B5F" w:rsidRDefault="00943743" w:rsidP="004062FE">
      <w:pPr>
        <w:keepNext/>
        <w:spacing w:line="240" w:lineRule="auto"/>
        <w:rPr>
          <w:szCs w:val="22"/>
          <w:u w:val="single"/>
        </w:rPr>
      </w:pPr>
      <w:r w:rsidRPr="00183B5F">
        <w:rPr>
          <w:szCs w:val="22"/>
          <w:u w:val="single"/>
        </w:rPr>
        <w:t>A mellékhatások táblázatos felsorolása</w:t>
      </w:r>
    </w:p>
    <w:p w14:paraId="2C713A33" w14:textId="77777777" w:rsidR="00D0403E" w:rsidRPr="00183B5F" w:rsidRDefault="00D0403E" w:rsidP="004062FE">
      <w:pPr>
        <w:keepNext/>
        <w:spacing w:line="240" w:lineRule="auto"/>
        <w:rPr>
          <w:szCs w:val="22"/>
          <w:u w:val="single"/>
        </w:rPr>
      </w:pPr>
    </w:p>
    <w:p w14:paraId="0ED27E2A" w14:textId="77777777" w:rsidR="00D0403E" w:rsidRPr="00183B5F" w:rsidRDefault="00943743" w:rsidP="004062FE">
      <w:pPr>
        <w:keepNext/>
        <w:spacing w:line="240" w:lineRule="auto"/>
        <w:rPr>
          <w:szCs w:val="22"/>
        </w:rPr>
      </w:pPr>
      <w:r w:rsidRPr="00183B5F">
        <w:rPr>
          <w:szCs w:val="22"/>
        </w:rPr>
        <w:t xml:space="preserve">A </w:t>
      </w:r>
      <w:r w:rsidR="002D2ADE" w:rsidRPr="00183B5F">
        <w:rPr>
          <w:szCs w:val="22"/>
        </w:rPr>
        <w:t>7</w:t>
      </w:r>
      <w:r w:rsidRPr="00183B5F">
        <w:rPr>
          <w:szCs w:val="22"/>
        </w:rPr>
        <w:t>. táblázatban a klinikai vizsgálatok során és a forgalomba hozatalt követően észlelt mellékhatások vannak szervrendszer és gyakoriság szerint felsorolva nagyon gyakori (≥ 1/10); gyakori (≥ 1/100 - </w:t>
      </w:r>
      <w:r w:rsidRPr="00183B5F">
        <w:rPr>
          <w:rFonts w:ascii="Symbol" w:hAnsi="Symbol"/>
          <w:szCs w:val="22"/>
        </w:rPr>
        <w:sym w:font="Symbol" w:char="F03C"/>
      </w:r>
      <w:r w:rsidRPr="00183B5F">
        <w:rPr>
          <w:szCs w:val="22"/>
        </w:rPr>
        <w:t> 1/10); nem gyakori (≥ 1/1000 - </w:t>
      </w:r>
      <w:r w:rsidRPr="00183B5F">
        <w:rPr>
          <w:rFonts w:ascii="Symbol" w:hAnsi="Symbol"/>
          <w:szCs w:val="22"/>
        </w:rPr>
        <w:sym w:font="Symbol" w:char="F0A3"/>
      </w:r>
      <w:r w:rsidRPr="00183B5F">
        <w:rPr>
          <w:szCs w:val="22"/>
        </w:rPr>
        <w:t> 1/100), ritka (</w:t>
      </w:r>
      <w:r w:rsidRPr="00183B5F">
        <w:rPr>
          <w:rFonts w:ascii="Symbol" w:hAnsi="Symbol"/>
        </w:rPr>
        <w:sym w:font="Symbol" w:char="F0B3"/>
      </w:r>
      <w:r w:rsidRPr="00183B5F">
        <w:rPr>
          <w:szCs w:val="22"/>
        </w:rPr>
        <w:t> 1/10</w:t>
      </w:r>
      <w:r w:rsidR="00CC3CC6" w:rsidRPr="00183B5F">
        <w:rPr>
          <w:szCs w:val="22"/>
        </w:rPr>
        <w:t> </w:t>
      </w:r>
      <w:r w:rsidRPr="00183B5F">
        <w:rPr>
          <w:szCs w:val="22"/>
        </w:rPr>
        <w:t xml:space="preserve">000 - </w:t>
      </w:r>
      <w:r w:rsidRPr="00183B5F">
        <w:rPr>
          <w:rFonts w:ascii="Symbol" w:hAnsi="Symbol"/>
          <w:szCs w:val="22"/>
        </w:rPr>
        <w:sym w:font="Symbol" w:char="F0A3"/>
      </w:r>
      <w:r w:rsidRPr="00183B5F">
        <w:rPr>
          <w:szCs w:val="22"/>
        </w:rPr>
        <w:t xml:space="preserve"> 1/1000) és nem ismert (a </w:t>
      </w:r>
      <w:r w:rsidR="00004B4F" w:rsidRPr="00183B5F">
        <w:rPr>
          <w:szCs w:val="22"/>
        </w:rPr>
        <w:t xml:space="preserve">gyakoriság a </w:t>
      </w:r>
      <w:r w:rsidRPr="00183B5F">
        <w:rPr>
          <w:szCs w:val="22"/>
        </w:rPr>
        <w:t xml:space="preserve">rendelkezésre álló adatokból nem állapítható meg). </w:t>
      </w:r>
      <w:r w:rsidRPr="00183B5F">
        <w:rPr>
          <w:bCs/>
          <w:szCs w:val="22"/>
        </w:rPr>
        <w:t>Az egyes gyakorisági kategóriákon belül a mellékhatások csökkenő súlyosság szerint kerülnek megadásra</w:t>
      </w:r>
      <w:r w:rsidRPr="00183B5F">
        <w:rPr>
          <w:szCs w:val="22"/>
        </w:rPr>
        <w:t>. A különböző indikációk esetén előforduló legnagyobb előfo</w:t>
      </w:r>
      <w:r w:rsidRPr="00183B5F">
        <w:rPr>
          <w:szCs w:val="22"/>
        </w:rPr>
        <w:t xml:space="preserve">rdulási gyakoriság került feltüntetésre. A szervrendszeri kategóriák oszlopában csillag (*) jelzi, ha </w:t>
      </w:r>
      <w:r w:rsidR="003B0C01" w:rsidRPr="00183B5F">
        <w:rPr>
          <w:szCs w:val="22"/>
        </w:rPr>
        <w:t>további információ található</w:t>
      </w:r>
      <w:r w:rsidRPr="00183B5F">
        <w:rPr>
          <w:szCs w:val="22"/>
        </w:rPr>
        <w:t xml:space="preserve"> a 4.3, 4.4 és 4.8 pontban.</w:t>
      </w:r>
    </w:p>
    <w:p w14:paraId="3C3EB73F" w14:textId="77777777" w:rsidR="00D0403E" w:rsidRPr="00183B5F" w:rsidRDefault="00D0403E" w:rsidP="004062FE">
      <w:pPr>
        <w:suppressAutoHyphens w:val="0"/>
        <w:spacing w:line="240" w:lineRule="auto"/>
        <w:rPr>
          <w:szCs w:val="22"/>
        </w:rPr>
      </w:pPr>
    </w:p>
    <w:p w14:paraId="4D08C93F" w14:textId="77777777" w:rsidR="00D0403E" w:rsidRPr="00183B5F" w:rsidRDefault="00943743" w:rsidP="00832DC3">
      <w:pPr>
        <w:keepNext/>
        <w:suppressAutoHyphens w:val="0"/>
        <w:spacing w:line="240" w:lineRule="auto"/>
        <w:ind w:left="360"/>
        <w:jc w:val="center"/>
        <w:rPr>
          <w:b/>
          <w:szCs w:val="22"/>
        </w:rPr>
      </w:pPr>
      <w:r w:rsidRPr="00183B5F">
        <w:rPr>
          <w:b/>
          <w:szCs w:val="22"/>
        </w:rPr>
        <w:t>7. táblázat</w:t>
      </w:r>
    </w:p>
    <w:p w14:paraId="651D5C29" w14:textId="77777777" w:rsidR="00D0403E" w:rsidRPr="00183B5F" w:rsidRDefault="00943743" w:rsidP="00832DC3">
      <w:pPr>
        <w:keepNext/>
        <w:suppressAutoHyphens w:val="0"/>
        <w:spacing w:line="240" w:lineRule="auto"/>
        <w:jc w:val="center"/>
        <w:rPr>
          <w:b/>
          <w:szCs w:val="22"/>
        </w:rPr>
      </w:pPr>
      <w:r w:rsidRPr="00183B5F">
        <w:rPr>
          <w:b/>
          <w:szCs w:val="22"/>
        </w:rPr>
        <w:t>Nemkívánatos hatások</w:t>
      </w:r>
    </w:p>
    <w:p w14:paraId="32658EC6" w14:textId="77777777" w:rsidR="00D0403E" w:rsidRPr="00183B5F" w:rsidRDefault="00D0403E" w:rsidP="00832DC3">
      <w:pPr>
        <w:keepNext/>
        <w:suppressAutoHyphens w:val="0"/>
        <w:spacing w:line="240" w:lineRule="auto"/>
        <w:jc w:val="cente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0"/>
        <w:gridCol w:w="2027"/>
        <w:gridCol w:w="4454"/>
      </w:tblGrid>
      <w:tr w:rsidR="00011D2F" w14:paraId="5CCC7E69" w14:textId="77777777" w:rsidTr="00202B95">
        <w:trPr>
          <w:cantSplit/>
          <w:tblHeader/>
        </w:trPr>
        <w:tc>
          <w:tcPr>
            <w:tcW w:w="2580" w:type="dxa"/>
            <w:tcBorders>
              <w:bottom w:val="single" w:sz="4" w:space="0" w:color="auto"/>
            </w:tcBorders>
          </w:tcPr>
          <w:p w14:paraId="7D2321C2" w14:textId="77777777" w:rsidR="00D0403E" w:rsidRPr="00183B5F" w:rsidRDefault="00943743" w:rsidP="004062FE">
            <w:pPr>
              <w:widowControl w:val="0"/>
              <w:suppressAutoHyphens w:val="0"/>
              <w:spacing w:line="240" w:lineRule="auto"/>
              <w:jc w:val="center"/>
              <w:rPr>
                <w:b/>
              </w:rPr>
            </w:pPr>
            <w:r w:rsidRPr="00183B5F">
              <w:rPr>
                <w:b/>
              </w:rPr>
              <w:t>Szervrendszerenkénti csoportosítás</w:t>
            </w:r>
          </w:p>
        </w:tc>
        <w:tc>
          <w:tcPr>
            <w:tcW w:w="2027" w:type="dxa"/>
            <w:tcBorders>
              <w:bottom w:val="single" w:sz="4" w:space="0" w:color="auto"/>
            </w:tcBorders>
          </w:tcPr>
          <w:p w14:paraId="47D31BE4" w14:textId="77777777" w:rsidR="00D0403E" w:rsidRPr="00183B5F" w:rsidRDefault="00943743" w:rsidP="004062FE">
            <w:pPr>
              <w:widowControl w:val="0"/>
              <w:suppressAutoHyphens w:val="0"/>
              <w:spacing w:line="240" w:lineRule="auto"/>
              <w:jc w:val="center"/>
              <w:rPr>
                <w:b/>
              </w:rPr>
            </w:pPr>
            <w:r w:rsidRPr="00183B5F">
              <w:rPr>
                <w:b/>
              </w:rPr>
              <w:t>Gyakoriság</w:t>
            </w:r>
          </w:p>
        </w:tc>
        <w:tc>
          <w:tcPr>
            <w:tcW w:w="4454" w:type="dxa"/>
            <w:tcBorders>
              <w:bottom w:val="single" w:sz="4" w:space="0" w:color="auto"/>
            </w:tcBorders>
          </w:tcPr>
          <w:p w14:paraId="08E1E2F5" w14:textId="77777777" w:rsidR="00D0403E" w:rsidRPr="00183B5F" w:rsidRDefault="00943743" w:rsidP="004062FE">
            <w:pPr>
              <w:widowControl w:val="0"/>
              <w:suppressAutoHyphens w:val="0"/>
              <w:spacing w:line="240" w:lineRule="auto"/>
              <w:jc w:val="center"/>
              <w:rPr>
                <w:b/>
              </w:rPr>
            </w:pPr>
            <w:r w:rsidRPr="00183B5F">
              <w:rPr>
                <w:b/>
              </w:rPr>
              <w:t>Mellékhatás</w:t>
            </w:r>
          </w:p>
        </w:tc>
      </w:tr>
      <w:tr w:rsidR="00011D2F" w14:paraId="442349B9" w14:textId="77777777" w:rsidTr="00202B95">
        <w:trPr>
          <w:cantSplit/>
          <w:trHeight w:val="1061"/>
        </w:trPr>
        <w:tc>
          <w:tcPr>
            <w:tcW w:w="2580" w:type="dxa"/>
            <w:vMerge w:val="restart"/>
            <w:tcBorders>
              <w:bottom w:val="single" w:sz="4" w:space="0" w:color="auto"/>
            </w:tcBorders>
          </w:tcPr>
          <w:p w14:paraId="2C1A5ED5" w14:textId="77777777" w:rsidR="00D0403E" w:rsidRPr="00183B5F" w:rsidRDefault="00943743" w:rsidP="004062FE">
            <w:pPr>
              <w:pStyle w:val="EMEANormal"/>
              <w:widowControl w:val="0"/>
              <w:suppressAutoHyphens w:val="0"/>
              <w:rPr>
                <w:lang w:val="hu-HU"/>
              </w:rPr>
            </w:pPr>
            <w:r w:rsidRPr="00183B5F">
              <w:rPr>
                <w:lang w:val="hu-HU"/>
              </w:rPr>
              <w:t>Fertőző betegségek és parazitafertőzések*</w:t>
            </w:r>
          </w:p>
          <w:p w14:paraId="0AB4DF4F" w14:textId="77777777" w:rsidR="00D0403E" w:rsidRPr="00183B5F" w:rsidRDefault="00D0403E" w:rsidP="004062FE">
            <w:pPr>
              <w:widowControl w:val="0"/>
              <w:suppressAutoHyphens w:val="0"/>
              <w:spacing w:line="240" w:lineRule="auto"/>
            </w:pPr>
          </w:p>
        </w:tc>
        <w:tc>
          <w:tcPr>
            <w:tcW w:w="2027" w:type="dxa"/>
            <w:tcBorders>
              <w:bottom w:val="single" w:sz="4" w:space="0" w:color="auto"/>
            </w:tcBorders>
          </w:tcPr>
          <w:p w14:paraId="57E78994" w14:textId="77777777" w:rsidR="00D0403E" w:rsidRPr="00183B5F" w:rsidRDefault="00943743" w:rsidP="004062FE">
            <w:pPr>
              <w:pStyle w:val="EMEANormal"/>
              <w:widowControl w:val="0"/>
              <w:suppressAutoHyphens w:val="0"/>
              <w:rPr>
                <w:lang w:val="hu-HU"/>
              </w:rPr>
            </w:pPr>
            <w:r w:rsidRPr="00183B5F">
              <w:rPr>
                <w:lang w:val="hu-HU"/>
              </w:rPr>
              <w:t>Nagyon gyakori</w:t>
            </w:r>
          </w:p>
          <w:p w14:paraId="6895CF3A" w14:textId="77777777" w:rsidR="00D0403E" w:rsidRPr="00183B5F" w:rsidRDefault="00D0403E" w:rsidP="004062FE">
            <w:pPr>
              <w:pStyle w:val="EMEANormal"/>
              <w:widowControl w:val="0"/>
              <w:suppressAutoHyphens w:val="0"/>
              <w:rPr>
                <w:lang w:val="hu-HU"/>
              </w:rPr>
            </w:pPr>
          </w:p>
        </w:tc>
        <w:tc>
          <w:tcPr>
            <w:tcW w:w="4454" w:type="dxa"/>
            <w:tcBorders>
              <w:bottom w:val="single" w:sz="4" w:space="0" w:color="auto"/>
            </w:tcBorders>
          </w:tcPr>
          <w:p w14:paraId="563BC374" w14:textId="77777777" w:rsidR="00D0403E" w:rsidRPr="00183B5F" w:rsidRDefault="00943743" w:rsidP="004062FE">
            <w:pPr>
              <w:pStyle w:val="EMEANormal"/>
              <w:widowControl w:val="0"/>
              <w:suppressAutoHyphens w:val="0"/>
              <w:rPr>
                <w:lang w:val="hu-HU"/>
              </w:rPr>
            </w:pPr>
            <w:r w:rsidRPr="00183B5F">
              <w:rPr>
                <w:lang w:val="hu-HU"/>
              </w:rPr>
              <w:t>Légúti fertőzések (beleértve az alsó- és a felső légúti fertőzéseket, pneumoniát, sinusitist, pharyngitist, nasopharyngitist és a herpes vírus okozta pneumoniát is)</w:t>
            </w:r>
          </w:p>
          <w:p w14:paraId="4DC61BBF" w14:textId="77777777" w:rsidR="00D0403E" w:rsidRPr="00183B5F" w:rsidRDefault="00D0403E" w:rsidP="004062FE">
            <w:pPr>
              <w:pStyle w:val="EMEANormal"/>
              <w:widowControl w:val="0"/>
              <w:suppressAutoHyphens w:val="0"/>
              <w:rPr>
                <w:lang w:val="hu-HU"/>
              </w:rPr>
            </w:pPr>
          </w:p>
        </w:tc>
      </w:tr>
      <w:tr w:rsidR="00011D2F" w14:paraId="2C045211" w14:textId="77777777" w:rsidTr="00202B95">
        <w:trPr>
          <w:cantSplit/>
        </w:trPr>
        <w:tc>
          <w:tcPr>
            <w:tcW w:w="2580" w:type="dxa"/>
            <w:vMerge/>
            <w:tcBorders>
              <w:bottom w:val="single" w:sz="4" w:space="0" w:color="auto"/>
            </w:tcBorders>
          </w:tcPr>
          <w:p w14:paraId="18D02829" w14:textId="77777777" w:rsidR="00D0403E" w:rsidRPr="00183B5F" w:rsidRDefault="00D0403E" w:rsidP="004062FE">
            <w:pPr>
              <w:widowControl w:val="0"/>
              <w:suppressAutoHyphens w:val="0"/>
              <w:spacing w:line="240" w:lineRule="auto"/>
              <w:jc w:val="center"/>
              <w:rPr>
                <w:b/>
              </w:rPr>
            </w:pPr>
          </w:p>
        </w:tc>
        <w:tc>
          <w:tcPr>
            <w:tcW w:w="2027" w:type="dxa"/>
            <w:tcBorders>
              <w:bottom w:val="single" w:sz="4" w:space="0" w:color="auto"/>
            </w:tcBorders>
          </w:tcPr>
          <w:p w14:paraId="04A15A3B" w14:textId="77777777" w:rsidR="00D0403E" w:rsidRPr="00183B5F" w:rsidRDefault="00943743" w:rsidP="004062FE">
            <w:pPr>
              <w:pStyle w:val="EMEANormal"/>
              <w:widowControl w:val="0"/>
              <w:suppressAutoHyphens w:val="0"/>
              <w:rPr>
                <w:lang w:val="hu-HU"/>
              </w:rPr>
            </w:pPr>
            <w:r w:rsidRPr="00183B5F">
              <w:rPr>
                <w:lang w:val="hu-HU"/>
              </w:rPr>
              <w:t>Gyakori</w:t>
            </w:r>
          </w:p>
          <w:p w14:paraId="3D0F38CA" w14:textId="77777777" w:rsidR="00D0403E" w:rsidRPr="00183B5F" w:rsidRDefault="00D0403E" w:rsidP="004062FE">
            <w:pPr>
              <w:pStyle w:val="EMEANormal"/>
              <w:widowControl w:val="0"/>
              <w:suppressAutoHyphens w:val="0"/>
              <w:rPr>
                <w:lang w:val="hu-HU"/>
              </w:rPr>
            </w:pPr>
          </w:p>
        </w:tc>
        <w:tc>
          <w:tcPr>
            <w:tcW w:w="4454" w:type="dxa"/>
            <w:tcBorders>
              <w:bottom w:val="single" w:sz="4" w:space="0" w:color="auto"/>
            </w:tcBorders>
          </w:tcPr>
          <w:p w14:paraId="0C026F6F" w14:textId="77777777" w:rsidR="00D0403E" w:rsidRPr="00183B5F" w:rsidRDefault="00943743" w:rsidP="004062FE">
            <w:pPr>
              <w:widowControl w:val="0"/>
              <w:suppressAutoHyphens w:val="0"/>
              <w:spacing w:line="240" w:lineRule="auto"/>
              <w:rPr>
                <w:szCs w:val="22"/>
              </w:rPr>
            </w:pPr>
            <w:r w:rsidRPr="00183B5F">
              <w:rPr>
                <w:szCs w:val="22"/>
              </w:rPr>
              <w:t>Szisztémás fertőzések (beleértve a sepsist, candidiasist és az influenzát is),</w:t>
            </w:r>
          </w:p>
          <w:p w14:paraId="5479A4D4" w14:textId="77777777" w:rsidR="00D0403E" w:rsidRPr="00183B5F" w:rsidRDefault="00943743" w:rsidP="004062FE">
            <w:pPr>
              <w:widowControl w:val="0"/>
              <w:suppressAutoHyphens w:val="0"/>
              <w:spacing w:line="240" w:lineRule="auto"/>
              <w:rPr>
                <w:szCs w:val="22"/>
              </w:rPr>
            </w:pPr>
            <w:r w:rsidRPr="00183B5F">
              <w:rPr>
                <w:szCs w:val="22"/>
              </w:rPr>
              <w:t>bélfertőzések (beleértve a vírusos gastroenteritist is),</w:t>
            </w:r>
          </w:p>
          <w:p w14:paraId="59B538FF" w14:textId="77777777" w:rsidR="00D0403E" w:rsidRPr="00183B5F" w:rsidRDefault="00943743" w:rsidP="004062FE">
            <w:pPr>
              <w:widowControl w:val="0"/>
              <w:suppressAutoHyphens w:val="0"/>
              <w:spacing w:line="240" w:lineRule="auto"/>
              <w:rPr>
                <w:szCs w:val="22"/>
              </w:rPr>
            </w:pPr>
            <w:r w:rsidRPr="00183B5F">
              <w:rPr>
                <w:szCs w:val="22"/>
              </w:rPr>
              <w:t>bőr- és lágyrészfertőzések (beleértve a paronychiát, cellulitist, impetigót, necrotisáló fasciitist és a herpes zostert is),</w:t>
            </w:r>
          </w:p>
          <w:p w14:paraId="185882A1" w14:textId="77777777" w:rsidR="00D0403E" w:rsidRPr="00183B5F" w:rsidRDefault="00943743" w:rsidP="004062FE">
            <w:pPr>
              <w:widowControl w:val="0"/>
              <w:suppressAutoHyphens w:val="0"/>
              <w:spacing w:line="240" w:lineRule="auto"/>
              <w:rPr>
                <w:szCs w:val="22"/>
              </w:rPr>
            </w:pPr>
            <w:r w:rsidRPr="00183B5F">
              <w:rPr>
                <w:szCs w:val="22"/>
              </w:rPr>
              <w:t>fülfertőzések,</w:t>
            </w:r>
          </w:p>
          <w:p w14:paraId="169814DC" w14:textId="77777777" w:rsidR="00D0403E" w:rsidRPr="00183B5F" w:rsidRDefault="00943743" w:rsidP="004062FE">
            <w:pPr>
              <w:widowControl w:val="0"/>
              <w:suppressAutoHyphens w:val="0"/>
              <w:spacing w:line="240" w:lineRule="auto"/>
              <w:rPr>
                <w:szCs w:val="22"/>
              </w:rPr>
            </w:pPr>
            <w:r w:rsidRPr="00183B5F">
              <w:rPr>
                <w:szCs w:val="22"/>
              </w:rPr>
              <w:t xml:space="preserve">oralis fertőzések (beleértve a herpes simplexet, oralis herpest és a fogfertőzéseket is), </w:t>
            </w:r>
          </w:p>
          <w:p w14:paraId="63650281" w14:textId="77777777" w:rsidR="00D0403E" w:rsidRPr="00183B5F" w:rsidRDefault="00943743" w:rsidP="004062FE">
            <w:pPr>
              <w:widowControl w:val="0"/>
              <w:suppressAutoHyphens w:val="0"/>
              <w:spacing w:line="240" w:lineRule="auto"/>
              <w:rPr>
                <w:szCs w:val="22"/>
              </w:rPr>
            </w:pPr>
            <w:r w:rsidRPr="00183B5F">
              <w:rPr>
                <w:szCs w:val="22"/>
              </w:rPr>
              <w:t xml:space="preserve">a nemi szervek fertőzései (beleértve a vulvovaginalis mycoticus fertőzéseket is), </w:t>
            </w:r>
          </w:p>
          <w:p w14:paraId="351DECC0" w14:textId="77777777" w:rsidR="00D0403E" w:rsidRPr="00183B5F" w:rsidRDefault="00943743" w:rsidP="004062FE">
            <w:pPr>
              <w:pStyle w:val="EMEANormal"/>
              <w:widowControl w:val="0"/>
              <w:suppressAutoHyphens w:val="0"/>
              <w:rPr>
                <w:szCs w:val="22"/>
                <w:lang w:val="hu-HU"/>
              </w:rPr>
            </w:pPr>
            <w:r w:rsidRPr="00183B5F">
              <w:rPr>
                <w:szCs w:val="22"/>
                <w:lang w:val="hu-HU"/>
              </w:rPr>
              <w:t>húgyúti fertőzések (beleértve a pylonephritist is),</w:t>
            </w:r>
          </w:p>
          <w:p w14:paraId="58104C14" w14:textId="77777777" w:rsidR="00D0403E" w:rsidRPr="00183B5F" w:rsidRDefault="00943743">
            <w:pPr>
              <w:pStyle w:val="EMEANormal"/>
              <w:widowControl w:val="0"/>
              <w:suppressAutoHyphens w:val="0"/>
              <w:rPr>
                <w:lang w:val="hu-HU"/>
              </w:rPr>
            </w:pPr>
            <w:r w:rsidRPr="00183B5F">
              <w:rPr>
                <w:lang w:val="hu-HU"/>
              </w:rPr>
              <w:t>gombás fertőzések,</w:t>
            </w:r>
          </w:p>
          <w:p w14:paraId="04437C4D" w14:textId="77777777" w:rsidR="00D0403E" w:rsidRPr="00183B5F" w:rsidRDefault="00943743" w:rsidP="004062FE">
            <w:pPr>
              <w:pStyle w:val="EMEANormal"/>
              <w:widowControl w:val="0"/>
              <w:suppressAutoHyphens w:val="0"/>
              <w:rPr>
                <w:lang w:val="hu-HU"/>
              </w:rPr>
            </w:pPr>
            <w:r w:rsidRPr="00183B5F">
              <w:rPr>
                <w:lang w:val="hu-HU"/>
              </w:rPr>
              <w:t>ízületi fertőzések</w:t>
            </w:r>
          </w:p>
        </w:tc>
      </w:tr>
      <w:tr w:rsidR="00011D2F" w14:paraId="174B42CC" w14:textId="77777777" w:rsidTr="00202B95">
        <w:trPr>
          <w:cantSplit/>
        </w:trPr>
        <w:tc>
          <w:tcPr>
            <w:tcW w:w="2580" w:type="dxa"/>
            <w:vMerge/>
            <w:tcBorders>
              <w:bottom w:val="single" w:sz="4" w:space="0" w:color="auto"/>
            </w:tcBorders>
          </w:tcPr>
          <w:p w14:paraId="3CCD2394" w14:textId="77777777" w:rsidR="00D0403E" w:rsidRPr="00183B5F" w:rsidRDefault="00D0403E"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24DAB098" w14:textId="77777777" w:rsidR="00D0403E" w:rsidRPr="00183B5F" w:rsidRDefault="00943743">
            <w:pPr>
              <w:pStyle w:val="EMEANormal"/>
              <w:widowControl w:val="0"/>
              <w:suppressAutoHyphens w:val="0"/>
              <w:rPr>
                <w:lang w:val="hu-HU"/>
              </w:rPr>
            </w:pPr>
            <w:r w:rsidRPr="00183B5F">
              <w:rPr>
                <w:lang w:val="hu-HU"/>
              </w:rPr>
              <w:t>Nem gyakori</w:t>
            </w:r>
          </w:p>
          <w:p w14:paraId="74B58A29" w14:textId="77777777" w:rsidR="00D0403E" w:rsidRPr="00183B5F" w:rsidRDefault="00D0403E">
            <w:pPr>
              <w:pStyle w:val="EMEANormal"/>
              <w:widowControl w:val="0"/>
              <w:suppressAutoHyphens w:val="0"/>
              <w:rPr>
                <w:lang w:val="hu-HU"/>
              </w:rPr>
            </w:pPr>
          </w:p>
        </w:tc>
        <w:tc>
          <w:tcPr>
            <w:tcW w:w="4454" w:type="dxa"/>
            <w:tcBorders>
              <w:top w:val="single" w:sz="4" w:space="0" w:color="auto"/>
              <w:bottom w:val="single" w:sz="4" w:space="0" w:color="auto"/>
            </w:tcBorders>
          </w:tcPr>
          <w:p w14:paraId="73824A04" w14:textId="77777777" w:rsidR="00D0403E" w:rsidRPr="00183B5F" w:rsidRDefault="00943743">
            <w:pPr>
              <w:pStyle w:val="EMEANormal"/>
              <w:widowControl w:val="0"/>
              <w:suppressAutoHyphens w:val="0"/>
              <w:rPr>
                <w:lang w:val="hu-HU"/>
              </w:rPr>
            </w:pPr>
            <w:r w:rsidRPr="00183B5F">
              <w:rPr>
                <w:lang w:val="hu-HU"/>
              </w:rPr>
              <w:t>Neurológiai fertőzések (beleértve a vírusos meningitist is),</w:t>
            </w:r>
          </w:p>
          <w:p w14:paraId="685E76DC" w14:textId="77777777" w:rsidR="00D0403E" w:rsidRPr="00183B5F" w:rsidRDefault="00943743">
            <w:pPr>
              <w:pStyle w:val="EMEANormal"/>
              <w:widowControl w:val="0"/>
              <w:suppressAutoHyphens w:val="0"/>
              <w:rPr>
                <w:lang w:val="hu-HU"/>
              </w:rPr>
            </w:pPr>
            <w:r w:rsidRPr="00183B5F">
              <w:rPr>
                <w:lang w:val="hu-HU"/>
              </w:rPr>
              <w:t xml:space="preserve">opportunista fertőzések és tuberculosis (beleértve a coccidioidomycosist, histoplasmosist és a mycobacterium avium complex fertőzést is), </w:t>
            </w:r>
          </w:p>
          <w:p w14:paraId="0B02B60F" w14:textId="77777777" w:rsidR="00D0403E" w:rsidRPr="00183B5F" w:rsidRDefault="00943743">
            <w:pPr>
              <w:pStyle w:val="EMEANormal"/>
              <w:widowControl w:val="0"/>
              <w:suppressAutoHyphens w:val="0"/>
              <w:rPr>
                <w:b/>
                <w:i/>
                <w:lang w:val="hu-HU"/>
              </w:rPr>
            </w:pPr>
            <w:r w:rsidRPr="00183B5F">
              <w:rPr>
                <w:lang w:val="hu-HU"/>
              </w:rPr>
              <w:t>bakteriális fertőzések,szemfertőzések,</w:t>
            </w:r>
          </w:p>
          <w:p w14:paraId="020F12A7" w14:textId="77777777" w:rsidR="00D0403E" w:rsidRPr="00183B5F" w:rsidRDefault="00943743">
            <w:pPr>
              <w:pStyle w:val="EMEANormal"/>
              <w:widowControl w:val="0"/>
              <w:suppressAutoHyphens w:val="0"/>
              <w:rPr>
                <w:lang w:val="hu-HU"/>
              </w:rPr>
            </w:pPr>
            <w:r w:rsidRPr="00183B5F">
              <w:rPr>
                <w:lang w:val="hu-HU"/>
              </w:rPr>
              <w:t>diverticulitis</w:t>
            </w:r>
            <w:r w:rsidRPr="00183B5F">
              <w:rPr>
                <w:vertAlign w:val="superscript"/>
                <w:lang w:val="hu-HU"/>
              </w:rPr>
              <w:t>1)</w:t>
            </w:r>
          </w:p>
        </w:tc>
      </w:tr>
      <w:tr w:rsidR="00011D2F" w14:paraId="49E84F93" w14:textId="77777777" w:rsidTr="00202B95">
        <w:trPr>
          <w:cantSplit/>
        </w:trPr>
        <w:tc>
          <w:tcPr>
            <w:tcW w:w="2580" w:type="dxa"/>
            <w:vMerge w:val="restart"/>
            <w:tcBorders>
              <w:top w:val="single" w:sz="4" w:space="0" w:color="auto"/>
              <w:bottom w:val="single" w:sz="4" w:space="0" w:color="auto"/>
            </w:tcBorders>
          </w:tcPr>
          <w:p w14:paraId="3D4E5372" w14:textId="77777777" w:rsidR="00D0403E" w:rsidRPr="00183B5F" w:rsidRDefault="00943743" w:rsidP="004062FE">
            <w:pPr>
              <w:widowControl w:val="0"/>
              <w:suppressAutoHyphens w:val="0"/>
              <w:spacing w:line="240" w:lineRule="auto"/>
              <w:rPr>
                <w:szCs w:val="22"/>
              </w:rPr>
            </w:pPr>
            <w:r w:rsidRPr="00183B5F">
              <w:rPr>
                <w:szCs w:val="22"/>
              </w:rPr>
              <w:t>Jó</w:t>
            </w:r>
            <w:r w:rsidRPr="00183B5F">
              <w:rPr>
                <w:szCs w:val="22"/>
              </w:rPr>
              <w:noBreakHyphen/>
              <w:t>, rosszindulatú és nem meghatározott daganatok (beleértve a cisztákat és polipokat is)*</w:t>
            </w:r>
          </w:p>
        </w:tc>
        <w:tc>
          <w:tcPr>
            <w:tcW w:w="2027" w:type="dxa"/>
            <w:tcBorders>
              <w:bottom w:val="single" w:sz="4" w:space="0" w:color="auto"/>
            </w:tcBorders>
          </w:tcPr>
          <w:p w14:paraId="00E403E6" w14:textId="77777777" w:rsidR="00D0403E" w:rsidRPr="00183B5F" w:rsidRDefault="00943743" w:rsidP="004062FE">
            <w:pPr>
              <w:pStyle w:val="EMEANormal"/>
              <w:widowControl w:val="0"/>
              <w:suppressAutoHyphens w:val="0"/>
              <w:rPr>
                <w:lang w:val="hu-HU"/>
              </w:rPr>
            </w:pPr>
            <w:r w:rsidRPr="00183B5F">
              <w:rPr>
                <w:lang w:val="hu-HU"/>
              </w:rPr>
              <w:t>Gyakori</w:t>
            </w:r>
          </w:p>
          <w:p w14:paraId="46764CF8" w14:textId="77777777" w:rsidR="00D0403E" w:rsidRPr="00183B5F" w:rsidRDefault="00D0403E" w:rsidP="004062FE">
            <w:pPr>
              <w:pStyle w:val="EMEANormal"/>
              <w:widowControl w:val="0"/>
              <w:suppressAutoHyphens w:val="0"/>
              <w:rPr>
                <w:lang w:val="hu-HU"/>
              </w:rPr>
            </w:pPr>
          </w:p>
        </w:tc>
        <w:tc>
          <w:tcPr>
            <w:tcW w:w="4454" w:type="dxa"/>
            <w:tcBorders>
              <w:bottom w:val="single" w:sz="4" w:space="0" w:color="auto"/>
            </w:tcBorders>
          </w:tcPr>
          <w:p w14:paraId="4373ABB3" w14:textId="77777777" w:rsidR="00D0403E" w:rsidRPr="00183B5F" w:rsidRDefault="00943743" w:rsidP="004062FE">
            <w:pPr>
              <w:pStyle w:val="EMEANormal"/>
              <w:widowControl w:val="0"/>
              <w:suppressAutoHyphens w:val="0"/>
              <w:rPr>
                <w:lang w:val="hu-HU"/>
              </w:rPr>
            </w:pPr>
            <w:r w:rsidRPr="00183B5F">
              <w:rPr>
                <w:lang w:val="hu-HU"/>
              </w:rPr>
              <w:t>Bőrrák, kivéve a melanomát (beleértve a basalsejtes carcinomát és a planocellularis carcinomát is),</w:t>
            </w:r>
          </w:p>
          <w:p w14:paraId="478EBCA8" w14:textId="77777777" w:rsidR="00D0403E" w:rsidRPr="00183B5F" w:rsidRDefault="00943743" w:rsidP="004062FE">
            <w:pPr>
              <w:pStyle w:val="EMEANormal"/>
              <w:widowControl w:val="0"/>
              <w:suppressAutoHyphens w:val="0"/>
              <w:rPr>
                <w:lang w:val="hu-HU"/>
              </w:rPr>
            </w:pPr>
            <w:r w:rsidRPr="00183B5F">
              <w:rPr>
                <w:lang w:val="hu-HU"/>
              </w:rPr>
              <w:t>jóindulatú daganat</w:t>
            </w:r>
          </w:p>
        </w:tc>
      </w:tr>
      <w:tr w:rsidR="00011D2F" w14:paraId="4AF516E6" w14:textId="77777777" w:rsidTr="00202B95">
        <w:trPr>
          <w:cantSplit/>
        </w:trPr>
        <w:tc>
          <w:tcPr>
            <w:tcW w:w="2580" w:type="dxa"/>
            <w:vMerge/>
            <w:tcBorders>
              <w:top w:val="single" w:sz="4" w:space="0" w:color="auto"/>
              <w:bottom w:val="nil"/>
            </w:tcBorders>
          </w:tcPr>
          <w:p w14:paraId="70418C5F" w14:textId="77777777" w:rsidR="00D0403E" w:rsidRPr="00183B5F" w:rsidRDefault="00D0403E"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1DB30DC7" w14:textId="77777777" w:rsidR="00D0403E" w:rsidRPr="00183B5F" w:rsidRDefault="00943743">
            <w:pPr>
              <w:pStyle w:val="EMEANormal"/>
              <w:widowControl w:val="0"/>
              <w:suppressAutoHyphens w:val="0"/>
              <w:rPr>
                <w:lang w:val="hu-HU"/>
              </w:rPr>
            </w:pPr>
            <w:r w:rsidRPr="00183B5F">
              <w:rPr>
                <w:lang w:val="hu-HU"/>
              </w:rPr>
              <w:t>Nem gyakori</w:t>
            </w:r>
          </w:p>
          <w:p w14:paraId="7924491B" w14:textId="77777777" w:rsidR="00D0403E" w:rsidRPr="00183B5F" w:rsidRDefault="00D0403E">
            <w:pPr>
              <w:pStyle w:val="EMEANormal"/>
              <w:widowControl w:val="0"/>
              <w:suppressAutoHyphens w:val="0"/>
              <w:rPr>
                <w:lang w:val="hu-HU"/>
              </w:rPr>
            </w:pPr>
          </w:p>
          <w:p w14:paraId="00158B65" w14:textId="77777777" w:rsidR="00D0403E" w:rsidRPr="00183B5F" w:rsidRDefault="00D0403E">
            <w:pPr>
              <w:pStyle w:val="EMEANormal"/>
              <w:widowControl w:val="0"/>
              <w:suppressAutoHyphens w:val="0"/>
              <w:rPr>
                <w:lang w:val="hu-HU"/>
              </w:rPr>
            </w:pPr>
          </w:p>
          <w:p w14:paraId="55915B76" w14:textId="77777777" w:rsidR="00D0403E" w:rsidRPr="00183B5F" w:rsidRDefault="00D0403E">
            <w:pPr>
              <w:pStyle w:val="EMEANormal"/>
              <w:widowControl w:val="0"/>
              <w:suppressAutoHyphens w:val="0"/>
              <w:rPr>
                <w:lang w:val="hu-HU"/>
              </w:rPr>
            </w:pPr>
          </w:p>
        </w:tc>
        <w:tc>
          <w:tcPr>
            <w:tcW w:w="4454" w:type="dxa"/>
            <w:tcBorders>
              <w:top w:val="single" w:sz="4" w:space="0" w:color="auto"/>
              <w:bottom w:val="single" w:sz="4" w:space="0" w:color="auto"/>
            </w:tcBorders>
          </w:tcPr>
          <w:p w14:paraId="446E996E" w14:textId="77777777" w:rsidR="00D0403E" w:rsidRPr="00183B5F" w:rsidRDefault="00943743">
            <w:pPr>
              <w:pStyle w:val="EMEANormal"/>
              <w:widowControl w:val="0"/>
              <w:suppressAutoHyphens w:val="0"/>
              <w:rPr>
                <w:lang w:val="hu-HU"/>
              </w:rPr>
            </w:pPr>
            <w:r w:rsidRPr="00183B5F">
              <w:rPr>
                <w:lang w:val="hu-HU"/>
              </w:rPr>
              <w:t xml:space="preserve">Lymphoma**, </w:t>
            </w:r>
          </w:p>
          <w:p w14:paraId="6200F716" w14:textId="77777777" w:rsidR="00D0403E" w:rsidRPr="00183B5F" w:rsidRDefault="00943743">
            <w:pPr>
              <w:pStyle w:val="EMEANormal"/>
              <w:widowControl w:val="0"/>
              <w:suppressAutoHyphens w:val="0"/>
              <w:rPr>
                <w:lang w:val="hu-HU"/>
              </w:rPr>
            </w:pPr>
            <w:r w:rsidRPr="00183B5F">
              <w:rPr>
                <w:lang w:val="hu-HU"/>
              </w:rPr>
              <w:t>solid szervek daganatai (beleértve az emlőrákot, a tüdődaganatot és a pajzsmirigy</w:t>
            </w:r>
            <w:r w:rsidRPr="00183B5F">
              <w:rPr>
                <w:lang w:val="hu-HU"/>
              </w:rPr>
              <w:noBreakHyphen/>
              <w:t>dag</w:t>
            </w:r>
            <w:r w:rsidR="00E97065" w:rsidRPr="00183B5F">
              <w:rPr>
                <w:lang w:val="hu-HU"/>
              </w:rPr>
              <w:t>a</w:t>
            </w:r>
            <w:r w:rsidRPr="00183B5F">
              <w:rPr>
                <w:lang w:val="hu-HU"/>
              </w:rPr>
              <w:t>natot is),</w:t>
            </w:r>
          </w:p>
          <w:p w14:paraId="5A13F6EF" w14:textId="77777777" w:rsidR="00D0403E" w:rsidRPr="00183B5F" w:rsidRDefault="00943743">
            <w:pPr>
              <w:pStyle w:val="EMEANormal"/>
              <w:widowControl w:val="0"/>
              <w:suppressAutoHyphens w:val="0"/>
              <w:rPr>
                <w:lang w:val="hu-HU"/>
              </w:rPr>
            </w:pPr>
            <w:r w:rsidRPr="00183B5F">
              <w:rPr>
                <w:lang w:val="hu-HU"/>
              </w:rPr>
              <w:t>melanoma**</w:t>
            </w:r>
          </w:p>
        </w:tc>
      </w:tr>
      <w:tr w:rsidR="00011D2F" w14:paraId="2E7C9F99" w14:textId="77777777" w:rsidTr="00202B95">
        <w:trPr>
          <w:cantSplit/>
        </w:trPr>
        <w:tc>
          <w:tcPr>
            <w:tcW w:w="2580" w:type="dxa"/>
            <w:tcBorders>
              <w:top w:val="nil"/>
              <w:bottom w:val="nil"/>
            </w:tcBorders>
          </w:tcPr>
          <w:p w14:paraId="377C5ADC" w14:textId="77777777" w:rsidR="003B0C01" w:rsidRPr="00183B5F" w:rsidRDefault="003B0C01"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38B67394" w14:textId="77777777" w:rsidR="003B0C01" w:rsidRPr="00183B5F" w:rsidRDefault="00943743">
            <w:pPr>
              <w:pStyle w:val="EMEANormal"/>
              <w:widowControl w:val="0"/>
              <w:suppressAutoHyphens w:val="0"/>
              <w:rPr>
                <w:lang w:val="hu-HU"/>
              </w:rPr>
            </w:pPr>
            <w:r w:rsidRPr="00183B5F">
              <w:rPr>
                <w:lang w:val="hu-HU"/>
              </w:rPr>
              <w:t>Ritka</w:t>
            </w:r>
          </w:p>
        </w:tc>
        <w:tc>
          <w:tcPr>
            <w:tcW w:w="4454" w:type="dxa"/>
            <w:tcBorders>
              <w:top w:val="single" w:sz="4" w:space="0" w:color="auto"/>
              <w:bottom w:val="single" w:sz="4" w:space="0" w:color="auto"/>
            </w:tcBorders>
          </w:tcPr>
          <w:p w14:paraId="4A7CBD72" w14:textId="77777777" w:rsidR="003B0C01" w:rsidRPr="00183B5F" w:rsidRDefault="00943743">
            <w:pPr>
              <w:pStyle w:val="EMEANormal"/>
              <w:widowControl w:val="0"/>
              <w:suppressAutoHyphens w:val="0"/>
              <w:rPr>
                <w:lang w:val="hu-HU"/>
              </w:rPr>
            </w:pPr>
            <w:r w:rsidRPr="00183B5F">
              <w:rPr>
                <w:lang w:val="hu-HU"/>
              </w:rPr>
              <w:t>Leukaemia</w:t>
            </w:r>
            <w:r w:rsidRPr="00183B5F">
              <w:rPr>
                <w:vertAlign w:val="superscript"/>
                <w:lang w:val="hu-HU"/>
              </w:rPr>
              <w:t>1)</w:t>
            </w:r>
          </w:p>
        </w:tc>
      </w:tr>
      <w:tr w:rsidR="00011D2F" w14:paraId="78B59601" w14:textId="77777777" w:rsidTr="00202B95">
        <w:trPr>
          <w:cantSplit/>
        </w:trPr>
        <w:tc>
          <w:tcPr>
            <w:tcW w:w="2580" w:type="dxa"/>
            <w:tcBorders>
              <w:top w:val="nil"/>
            </w:tcBorders>
          </w:tcPr>
          <w:p w14:paraId="7E037A9C" w14:textId="77777777" w:rsidR="003B0C01" w:rsidRPr="00183B5F" w:rsidRDefault="003B0C01"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66839E31" w14:textId="77777777" w:rsidR="003B0C01" w:rsidRPr="00183B5F" w:rsidRDefault="00943743">
            <w:pPr>
              <w:pStyle w:val="EMEANormal"/>
              <w:widowControl w:val="0"/>
              <w:suppressAutoHyphens w:val="0"/>
              <w:rPr>
                <w:lang w:val="hu-HU"/>
              </w:rPr>
            </w:pPr>
            <w:r w:rsidRPr="00183B5F">
              <w:rPr>
                <w:lang w:val="hu-HU"/>
              </w:rPr>
              <w:t>Nem ismert</w:t>
            </w:r>
          </w:p>
        </w:tc>
        <w:tc>
          <w:tcPr>
            <w:tcW w:w="4454" w:type="dxa"/>
            <w:tcBorders>
              <w:top w:val="single" w:sz="4" w:space="0" w:color="auto"/>
              <w:bottom w:val="single" w:sz="4" w:space="0" w:color="auto"/>
            </w:tcBorders>
          </w:tcPr>
          <w:p w14:paraId="6258B0D0" w14:textId="77777777" w:rsidR="003B0C01" w:rsidRPr="00183B5F" w:rsidRDefault="00943743">
            <w:pPr>
              <w:pStyle w:val="EMEANormal"/>
              <w:widowControl w:val="0"/>
              <w:suppressAutoHyphens w:val="0"/>
              <w:rPr>
                <w:vertAlign w:val="superscript"/>
                <w:lang w:val="hu-HU"/>
              </w:rPr>
            </w:pPr>
            <w:r w:rsidRPr="00183B5F">
              <w:rPr>
                <w:lang w:val="hu-HU"/>
              </w:rPr>
              <w:t>Hepatosplenicus T</w:t>
            </w:r>
            <w:r w:rsidRPr="00183B5F">
              <w:rPr>
                <w:lang w:val="hu-HU"/>
              </w:rPr>
              <w:noBreakHyphen/>
              <w:t>sejtes lymphoma</w:t>
            </w:r>
            <w:r w:rsidRPr="00183B5F">
              <w:rPr>
                <w:vertAlign w:val="superscript"/>
                <w:lang w:val="hu-HU"/>
              </w:rPr>
              <w:t>1)</w:t>
            </w:r>
          </w:p>
          <w:p w14:paraId="7F8414CB" w14:textId="77777777" w:rsidR="00342FE6" w:rsidRPr="00183B5F" w:rsidRDefault="00943743" w:rsidP="00342FE6">
            <w:pPr>
              <w:pStyle w:val="EMEANormal"/>
              <w:widowControl w:val="0"/>
              <w:suppressAutoHyphens w:val="0"/>
              <w:rPr>
                <w:lang w:val="hu-HU"/>
              </w:rPr>
            </w:pPr>
            <w:r w:rsidRPr="00183B5F">
              <w:rPr>
                <w:lang w:val="hu-HU"/>
              </w:rPr>
              <w:t>Merkel-sejtes carcinoma (a bőr neuroendokrin daganata)</w:t>
            </w:r>
            <w:r w:rsidRPr="00183B5F">
              <w:rPr>
                <w:vertAlign w:val="superscript"/>
                <w:lang w:val="hu-HU"/>
              </w:rPr>
              <w:t xml:space="preserve"> 1)</w:t>
            </w:r>
            <w:r w:rsidRPr="00183B5F">
              <w:rPr>
                <w:lang w:val="hu-HU"/>
              </w:rPr>
              <w:t>,</w:t>
            </w:r>
          </w:p>
          <w:p w14:paraId="091EABE8" w14:textId="77777777" w:rsidR="003B0C01" w:rsidRPr="00183B5F" w:rsidRDefault="00943743" w:rsidP="00342FE6">
            <w:pPr>
              <w:pStyle w:val="EMEANormal"/>
              <w:widowControl w:val="0"/>
              <w:suppressAutoHyphens w:val="0"/>
              <w:rPr>
                <w:lang w:val="hu-HU"/>
              </w:rPr>
            </w:pPr>
            <w:r w:rsidRPr="00183B5F">
              <w:rPr>
                <w:lang w:val="hu-HU"/>
              </w:rPr>
              <w:t>Kaposi-sarcoma</w:t>
            </w:r>
          </w:p>
        </w:tc>
      </w:tr>
      <w:tr w:rsidR="00011D2F" w14:paraId="1C06DFA6" w14:textId="77777777" w:rsidTr="00202B95">
        <w:trPr>
          <w:cantSplit/>
        </w:trPr>
        <w:tc>
          <w:tcPr>
            <w:tcW w:w="2580" w:type="dxa"/>
            <w:vMerge w:val="restart"/>
          </w:tcPr>
          <w:p w14:paraId="6948A371" w14:textId="77777777" w:rsidR="00D0403E" w:rsidRPr="00183B5F" w:rsidRDefault="00943743" w:rsidP="004062FE">
            <w:pPr>
              <w:widowControl w:val="0"/>
              <w:suppressAutoHyphens w:val="0"/>
              <w:spacing w:line="240" w:lineRule="auto"/>
              <w:rPr>
                <w:szCs w:val="22"/>
              </w:rPr>
            </w:pPr>
            <w:r w:rsidRPr="00183B5F">
              <w:rPr>
                <w:szCs w:val="22"/>
              </w:rPr>
              <w:t>Vérképzőszervi és nyirokrendszeri betegségek és tünetek*</w:t>
            </w:r>
          </w:p>
        </w:tc>
        <w:tc>
          <w:tcPr>
            <w:tcW w:w="2027" w:type="dxa"/>
            <w:tcBorders>
              <w:bottom w:val="single" w:sz="4" w:space="0" w:color="auto"/>
            </w:tcBorders>
          </w:tcPr>
          <w:p w14:paraId="22B3024A" w14:textId="77777777" w:rsidR="00D0403E" w:rsidRPr="00183B5F" w:rsidRDefault="00943743" w:rsidP="004062FE">
            <w:pPr>
              <w:pStyle w:val="EMEANormal"/>
              <w:widowControl w:val="0"/>
              <w:suppressAutoHyphens w:val="0"/>
              <w:jc w:val="both"/>
              <w:rPr>
                <w:lang w:val="hu-HU"/>
              </w:rPr>
            </w:pPr>
            <w:r w:rsidRPr="00183B5F">
              <w:rPr>
                <w:lang w:val="hu-HU"/>
              </w:rPr>
              <w:t>Nagyon gyakori</w:t>
            </w:r>
          </w:p>
          <w:p w14:paraId="486B9B5D" w14:textId="77777777" w:rsidR="00D0403E" w:rsidRPr="00183B5F" w:rsidRDefault="00D0403E" w:rsidP="004062FE">
            <w:pPr>
              <w:pStyle w:val="EMEANormal"/>
              <w:widowControl w:val="0"/>
              <w:suppressAutoHyphens w:val="0"/>
              <w:jc w:val="both"/>
              <w:rPr>
                <w:lang w:val="hu-HU"/>
              </w:rPr>
            </w:pPr>
          </w:p>
        </w:tc>
        <w:tc>
          <w:tcPr>
            <w:tcW w:w="4454" w:type="dxa"/>
            <w:tcBorders>
              <w:bottom w:val="single" w:sz="4" w:space="0" w:color="auto"/>
            </w:tcBorders>
          </w:tcPr>
          <w:p w14:paraId="63340764" w14:textId="77777777" w:rsidR="00D0403E" w:rsidRPr="00183B5F" w:rsidRDefault="00943743" w:rsidP="004062FE">
            <w:pPr>
              <w:widowControl w:val="0"/>
              <w:suppressAutoHyphens w:val="0"/>
              <w:spacing w:line="240" w:lineRule="auto"/>
            </w:pPr>
            <w:r w:rsidRPr="00183B5F">
              <w:t>Leukopenia (</w:t>
            </w:r>
            <w:r w:rsidRPr="00183B5F">
              <w:rPr>
                <w:szCs w:val="22"/>
              </w:rPr>
              <w:t xml:space="preserve">beleértve a </w:t>
            </w:r>
            <w:r w:rsidRPr="00183B5F">
              <w:t xml:space="preserve">neutropeniát és az agranulocytosist is), </w:t>
            </w:r>
          </w:p>
          <w:p w14:paraId="5E0C618A" w14:textId="77777777" w:rsidR="00D0403E" w:rsidRPr="00183B5F" w:rsidRDefault="00943743" w:rsidP="004062FE">
            <w:pPr>
              <w:widowControl w:val="0"/>
              <w:suppressAutoHyphens w:val="0"/>
              <w:spacing w:line="240" w:lineRule="auto"/>
              <w:rPr>
                <w:b/>
              </w:rPr>
            </w:pPr>
            <w:r w:rsidRPr="00183B5F">
              <w:t xml:space="preserve">anaemia </w:t>
            </w:r>
          </w:p>
        </w:tc>
      </w:tr>
      <w:tr w:rsidR="00011D2F" w14:paraId="563143D8" w14:textId="77777777" w:rsidTr="00202B95">
        <w:trPr>
          <w:cantSplit/>
        </w:trPr>
        <w:tc>
          <w:tcPr>
            <w:tcW w:w="2580" w:type="dxa"/>
            <w:vMerge/>
          </w:tcPr>
          <w:p w14:paraId="4EBEA817" w14:textId="77777777" w:rsidR="00D0403E" w:rsidRPr="00183B5F" w:rsidRDefault="00D0403E"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03434A75" w14:textId="77777777" w:rsidR="00D0403E" w:rsidRPr="00183B5F" w:rsidRDefault="00943743">
            <w:pPr>
              <w:pStyle w:val="EMEANormal"/>
              <w:widowControl w:val="0"/>
              <w:suppressAutoHyphens w:val="0"/>
              <w:jc w:val="both"/>
              <w:rPr>
                <w:lang w:val="hu-HU"/>
              </w:rPr>
            </w:pPr>
            <w:r w:rsidRPr="00183B5F">
              <w:rPr>
                <w:lang w:val="hu-HU"/>
              </w:rPr>
              <w:t>Gyakori</w:t>
            </w:r>
          </w:p>
        </w:tc>
        <w:tc>
          <w:tcPr>
            <w:tcW w:w="4454" w:type="dxa"/>
            <w:tcBorders>
              <w:top w:val="single" w:sz="4" w:space="0" w:color="auto"/>
              <w:bottom w:val="single" w:sz="4" w:space="0" w:color="auto"/>
            </w:tcBorders>
          </w:tcPr>
          <w:p w14:paraId="478C24A6" w14:textId="77777777" w:rsidR="00D0403E" w:rsidRPr="00183B5F" w:rsidRDefault="00943743" w:rsidP="004062FE">
            <w:pPr>
              <w:widowControl w:val="0"/>
              <w:suppressAutoHyphens w:val="0"/>
              <w:spacing w:line="240" w:lineRule="auto"/>
              <w:rPr>
                <w:szCs w:val="22"/>
              </w:rPr>
            </w:pPr>
            <w:r w:rsidRPr="00183B5F">
              <w:rPr>
                <w:szCs w:val="22"/>
              </w:rPr>
              <w:t>Leukocytosis,</w:t>
            </w:r>
          </w:p>
          <w:p w14:paraId="6666CC59" w14:textId="77777777" w:rsidR="00D0403E" w:rsidRPr="00183B5F" w:rsidRDefault="00943743" w:rsidP="004062FE">
            <w:pPr>
              <w:widowControl w:val="0"/>
              <w:suppressAutoHyphens w:val="0"/>
              <w:spacing w:line="240" w:lineRule="auto"/>
            </w:pPr>
            <w:r w:rsidRPr="00183B5F">
              <w:t xml:space="preserve">thrombocytopenia, </w:t>
            </w:r>
          </w:p>
          <w:p w14:paraId="10BA4D39" w14:textId="77777777" w:rsidR="00D0403E" w:rsidRPr="00183B5F" w:rsidRDefault="00D0403E" w:rsidP="004062FE">
            <w:pPr>
              <w:widowControl w:val="0"/>
              <w:suppressAutoHyphens w:val="0"/>
              <w:spacing w:line="240" w:lineRule="auto"/>
            </w:pPr>
          </w:p>
        </w:tc>
      </w:tr>
      <w:tr w:rsidR="00011D2F" w14:paraId="1144726F" w14:textId="77777777" w:rsidTr="00202B95">
        <w:trPr>
          <w:cantSplit/>
        </w:trPr>
        <w:tc>
          <w:tcPr>
            <w:tcW w:w="2580" w:type="dxa"/>
            <w:vMerge/>
          </w:tcPr>
          <w:p w14:paraId="3B04A1E4" w14:textId="77777777" w:rsidR="00D0403E" w:rsidRPr="00183B5F" w:rsidRDefault="00D0403E" w:rsidP="004062FE">
            <w:pPr>
              <w:widowControl w:val="0"/>
              <w:suppressAutoHyphens w:val="0"/>
              <w:spacing w:line="240" w:lineRule="auto"/>
              <w:jc w:val="center"/>
              <w:rPr>
                <w:b/>
              </w:rPr>
            </w:pPr>
          </w:p>
        </w:tc>
        <w:tc>
          <w:tcPr>
            <w:tcW w:w="2027" w:type="dxa"/>
            <w:tcBorders>
              <w:top w:val="single" w:sz="4" w:space="0" w:color="auto"/>
            </w:tcBorders>
          </w:tcPr>
          <w:p w14:paraId="3BC37B4C" w14:textId="77777777" w:rsidR="00D0403E" w:rsidRPr="00183B5F" w:rsidRDefault="00943743">
            <w:pPr>
              <w:pStyle w:val="EMEANormal"/>
              <w:widowControl w:val="0"/>
              <w:suppressAutoHyphens w:val="0"/>
              <w:jc w:val="both"/>
              <w:rPr>
                <w:lang w:val="hu-HU"/>
              </w:rPr>
            </w:pPr>
            <w:r w:rsidRPr="00183B5F">
              <w:rPr>
                <w:lang w:val="hu-HU"/>
              </w:rPr>
              <w:t>Nem gyakori</w:t>
            </w:r>
          </w:p>
        </w:tc>
        <w:tc>
          <w:tcPr>
            <w:tcW w:w="4454" w:type="dxa"/>
            <w:tcBorders>
              <w:top w:val="single" w:sz="4" w:space="0" w:color="auto"/>
            </w:tcBorders>
          </w:tcPr>
          <w:p w14:paraId="555DF9C9" w14:textId="77777777" w:rsidR="00D0403E" w:rsidRPr="00183B5F" w:rsidRDefault="00943743" w:rsidP="004062FE">
            <w:pPr>
              <w:widowControl w:val="0"/>
              <w:suppressAutoHyphens w:val="0"/>
              <w:spacing w:line="240" w:lineRule="auto"/>
            </w:pPr>
            <w:r w:rsidRPr="00183B5F">
              <w:t>Idiopathiás thrombocytopeniás purpura</w:t>
            </w:r>
          </w:p>
        </w:tc>
      </w:tr>
      <w:tr w:rsidR="00011D2F" w14:paraId="1F38D4E5" w14:textId="77777777" w:rsidTr="00202B95">
        <w:trPr>
          <w:cantSplit/>
        </w:trPr>
        <w:tc>
          <w:tcPr>
            <w:tcW w:w="2580" w:type="dxa"/>
            <w:vMerge/>
          </w:tcPr>
          <w:p w14:paraId="09E6BAB5" w14:textId="77777777" w:rsidR="00D0403E" w:rsidRPr="00183B5F" w:rsidRDefault="00D0403E" w:rsidP="004062FE">
            <w:pPr>
              <w:widowControl w:val="0"/>
              <w:suppressAutoHyphens w:val="0"/>
              <w:spacing w:line="240" w:lineRule="auto"/>
              <w:jc w:val="center"/>
              <w:rPr>
                <w:b/>
              </w:rPr>
            </w:pPr>
          </w:p>
        </w:tc>
        <w:tc>
          <w:tcPr>
            <w:tcW w:w="2027" w:type="dxa"/>
            <w:tcBorders>
              <w:top w:val="nil"/>
            </w:tcBorders>
          </w:tcPr>
          <w:p w14:paraId="739575F0" w14:textId="77777777" w:rsidR="00D0403E" w:rsidRPr="00183B5F" w:rsidRDefault="00943743">
            <w:pPr>
              <w:pStyle w:val="EMEANormal"/>
              <w:widowControl w:val="0"/>
              <w:suppressAutoHyphens w:val="0"/>
              <w:jc w:val="both"/>
              <w:rPr>
                <w:lang w:val="hu-HU"/>
              </w:rPr>
            </w:pPr>
            <w:r w:rsidRPr="00183B5F">
              <w:rPr>
                <w:lang w:val="hu-HU"/>
              </w:rPr>
              <w:t>Ritka</w:t>
            </w:r>
          </w:p>
        </w:tc>
        <w:tc>
          <w:tcPr>
            <w:tcW w:w="4454" w:type="dxa"/>
            <w:tcBorders>
              <w:top w:val="nil"/>
            </w:tcBorders>
          </w:tcPr>
          <w:p w14:paraId="47DA5D44" w14:textId="77777777" w:rsidR="00D0403E" w:rsidRPr="00183B5F" w:rsidRDefault="00943743" w:rsidP="004062FE">
            <w:pPr>
              <w:widowControl w:val="0"/>
              <w:suppressAutoHyphens w:val="0"/>
              <w:spacing w:line="240" w:lineRule="auto"/>
              <w:rPr>
                <w:b/>
              </w:rPr>
            </w:pPr>
            <w:r w:rsidRPr="00183B5F">
              <w:t>Pancytopenia</w:t>
            </w:r>
          </w:p>
        </w:tc>
      </w:tr>
      <w:tr w:rsidR="00011D2F" w14:paraId="36F00379" w14:textId="77777777" w:rsidTr="00202B95">
        <w:trPr>
          <w:cantSplit/>
        </w:trPr>
        <w:tc>
          <w:tcPr>
            <w:tcW w:w="2580" w:type="dxa"/>
            <w:tcBorders>
              <w:bottom w:val="nil"/>
            </w:tcBorders>
          </w:tcPr>
          <w:p w14:paraId="624C0AD7" w14:textId="77777777" w:rsidR="00D0403E" w:rsidRPr="00183B5F" w:rsidRDefault="00943743" w:rsidP="004062FE">
            <w:pPr>
              <w:pStyle w:val="EMEANormal"/>
              <w:widowControl w:val="0"/>
              <w:suppressAutoHyphens w:val="0"/>
              <w:rPr>
                <w:lang w:val="hu-HU"/>
              </w:rPr>
            </w:pPr>
            <w:r w:rsidRPr="00183B5F">
              <w:rPr>
                <w:szCs w:val="22"/>
                <w:lang w:val="hu-HU"/>
              </w:rPr>
              <w:t>Immunrendszeri betegségek és tünetek</w:t>
            </w:r>
            <w:r w:rsidRPr="00183B5F">
              <w:rPr>
                <w:lang w:val="hu-HU"/>
              </w:rPr>
              <w:t>*</w:t>
            </w:r>
          </w:p>
        </w:tc>
        <w:tc>
          <w:tcPr>
            <w:tcW w:w="2027" w:type="dxa"/>
            <w:tcBorders>
              <w:bottom w:val="single" w:sz="4" w:space="0" w:color="auto"/>
            </w:tcBorders>
          </w:tcPr>
          <w:p w14:paraId="1A48B60C" w14:textId="77777777" w:rsidR="00D0403E" w:rsidRPr="00183B5F" w:rsidRDefault="00943743" w:rsidP="004062FE">
            <w:pPr>
              <w:pStyle w:val="EMEANormal"/>
              <w:widowControl w:val="0"/>
              <w:suppressAutoHyphens w:val="0"/>
              <w:rPr>
                <w:lang w:val="hu-HU"/>
              </w:rPr>
            </w:pPr>
            <w:r w:rsidRPr="00183B5F">
              <w:rPr>
                <w:lang w:val="hu-HU"/>
              </w:rPr>
              <w:t>Gyakori</w:t>
            </w:r>
          </w:p>
          <w:p w14:paraId="727C98F6" w14:textId="77777777" w:rsidR="00D0403E" w:rsidRPr="00183B5F" w:rsidRDefault="00D0403E" w:rsidP="004062FE">
            <w:pPr>
              <w:pStyle w:val="EMEANormal"/>
              <w:widowControl w:val="0"/>
              <w:suppressAutoHyphens w:val="0"/>
              <w:rPr>
                <w:lang w:val="hu-HU"/>
              </w:rPr>
            </w:pPr>
          </w:p>
        </w:tc>
        <w:tc>
          <w:tcPr>
            <w:tcW w:w="4454" w:type="dxa"/>
            <w:tcBorders>
              <w:bottom w:val="single" w:sz="4" w:space="0" w:color="auto"/>
            </w:tcBorders>
          </w:tcPr>
          <w:p w14:paraId="310514D2" w14:textId="77777777" w:rsidR="00D0403E" w:rsidRPr="00183B5F" w:rsidRDefault="00943743" w:rsidP="004062FE">
            <w:pPr>
              <w:pStyle w:val="EMEANormal"/>
              <w:widowControl w:val="0"/>
              <w:suppressAutoHyphens w:val="0"/>
              <w:rPr>
                <w:lang w:val="hu-HU"/>
              </w:rPr>
            </w:pPr>
            <w:r w:rsidRPr="00183B5F">
              <w:rPr>
                <w:lang w:val="hu-HU"/>
              </w:rPr>
              <w:t>Hypersensitivitás,</w:t>
            </w:r>
          </w:p>
          <w:p w14:paraId="2AFC9515" w14:textId="77777777" w:rsidR="00D0403E" w:rsidRPr="00183B5F" w:rsidRDefault="00943743" w:rsidP="004062FE">
            <w:pPr>
              <w:pStyle w:val="EMEANormal"/>
              <w:widowControl w:val="0"/>
              <w:suppressAutoHyphens w:val="0"/>
              <w:rPr>
                <w:lang w:val="hu-HU"/>
              </w:rPr>
            </w:pPr>
            <w:r w:rsidRPr="00183B5F">
              <w:rPr>
                <w:lang w:val="hu-HU"/>
              </w:rPr>
              <w:t>allergiák (beleértve a szezonális allergiát is)</w:t>
            </w:r>
          </w:p>
        </w:tc>
      </w:tr>
      <w:tr w:rsidR="00011D2F" w14:paraId="287AFF4F" w14:textId="77777777" w:rsidTr="00202B95">
        <w:trPr>
          <w:cantSplit/>
        </w:trPr>
        <w:tc>
          <w:tcPr>
            <w:tcW w:w="2580" w:type="dxa"/>
            <w:tcBorders>
              <w:top w:val="nil"/>
              <w:bottom w:val="nil"/>
            </w:tcBorders>
          </w:tcPr>
          <w:p w14:paraId="30C1FF51" w14:textId="77777777" w:rsidR="003B0C01" w:rsidRPr="00183B5F" w:rsidRDefault="003B0C01" w:rsidP="004062FE">
            <w:pPr>
              <w:pStyle w:val="EMEANormal"/>
              <w:widowControl w:val="0"/>
              <w:suppressAutoHyphens w:val="0"/>
              <w:rPr>
                <w:szCs w:val="22"/>
                <w:lang w:val="hu-HU"/>
              </w:rPr>
            </w:pPr>
          </w:p>
        </w:tc>
        <w:tc>
          <w:tcPr>
            <w:tcW w:w="2027" w:type="dxa"/>
            <w:tcBorders>
              <w:bottom w:val="single" w:sz="4" w:space="0" w:color="auto"/>
            </w:tcBorders>
          </w:tcPr>
          <w:p w14:paraId="1D6C8F69" w14:textId="77777777" w:rsidR="003B0C01" w:rsidRPr="00183B5F" w:rsidRDefault="00943743" w:rsidP="004062FE">
            <w:pPr>
              <w:pStyle w:val="EMEANormal"/>
              <w:widowControl w:val="0"/>
              <w:suppressAutoHyphens w:val="0"/>
              <w:rPr>
                <w:lang w:val="hu-HU"/>
              </w:rPr>
            </w:pPr>
            <w:r w:rsidRPr="00183B5F">
              <w:rPr>
                <w:szCs w:val="22"/>
                <w:lang w:val="hu-HU"/>
              </w:rPr>
              <w:t>Nem gyakori</w:t>
            </w:r>
          </w:p>
        </w:tc>
        <w:tc>
          <w:tcPr>
            <w:tcW w:w="4454" w:type="dxa"/>
            <w:tcBorders>
              <w:bottom w:val="single" w:sz="4" w:space="0" w:color="auto"/>
            </w:tcBorders>
          </w:tcPr>
          <w:p w14:paraId="68C65F79" w14:textId="77777777" w:rsidR="003B0C01" w:rsidRPr="00183B5F" w:rsidRDefault="00943743" w:rsidP="004062FE">
            <w:pPr>
              <w:pStyle w:val="EMEANormal"/>
              <w:widowControl w:val="0"/>
              <w:suppressAutoHyphens w:val="0"/>
              <w:rPr>
                <w:lang w:val="hu-HU"/>
              </w:rPr>
            </w:pPr>
            <w:r w:rsidRPr="00183B5F">
              <w:rPr>
                <w:szCs w:val="22"/>
                <w:lang w:val="hu-HU"/>
              </w:rPr>
              <w:t>Sarcoidosis</w:t>
            </w:r>
            <w:r w:rsidRPr="00183B5F">
              <w:rPr>
                <w:szCs w:val="22"/>
                <w:vertAlign w:val="superscript"/>
                <w:lang w:val="hu-HU"/>
              </w:rPr>
              <w:t>1</w:t>
            </w:r>
            <w:r w:rsidRPr="00183B5F">
              <w:rPr>
                <w:vertAlign w:val="superscript"/>
                <w:lang w:val="hu-HU"/>
              </w:rPr>
              <w:t>)</w:t>
            </w:r>
            <w:r w:rsidRPr="00183B5F">
              <w:rPr>
                <w:lang w:val="hu-HU"/>
              </w:rPr>
              <w:t>,</w:t>
            </w:r>
          </w:p>
          <w:p w14:paraId="1D4984DE" w14:textId="77777777" w:rsidR="003B0C01" w:rsidRPr="00183B5F" w:rsidRDefault="00943743" w:rsidP="004062FE">
            <w:pPr>
              <w:pStyle w:val="EMEANormal"/>
              <w:widowControl w:val="0"/>
              <w:suppressAutoHyphens w:val="0"/>
              <w:rPr>
                <w:lang w:val="hu-HU"/>
              </w:rPr>
            </w:pPr>
            <w:r w:rsidRPr="00183B5F">
              <w:rPr>
                <w:lang w:val="hu-HU"/>
              </w:rPr>
              <w:t>vasculitis</w:t>
            </w:r>
          </w:p>
        </w:tc>
      </w:tr>
      <w:tr w:rsidR="00011D2F" w14:paraId="56875349" w14:textId="77777777" w:rsidTr="00202B95">
        <w:trPr>
          <w:cantSplit/>
        </w:trPr>
        <w:tc>
          <w:tcPr>
            <w:tcW w:w="2580" w:type="dxa"/>
            <w:tcBorders>
              <w:top w:val="nil"/>
            </w:tcBorders>
          </w:tcPr>
          <w:p w14:paraId="11A13831" w14:textId="77777777" w:rsidR="003B0C01" w:rsidRPr="00183B5F" w:rsidRDefault="003B0C01" w:rsidP="004062FE">
            <w:pPr>
              <w:pStyle w:val="EMEANormal"/>
              <w:widowControl w:val="0"/>
              <w:suppressAutoHyphens w:val="0"/>
              <w:rPr>
                <w:szCs w:val="22"/>
                <w:lang w:val="hu-HU"/>
              </w:rPr>
            </w:pPr>
          </w:p>
        </w:tc>
        <w:tc>
          <w:tcPr>
            <w:tcW w:w="2027" w:type="dxa"/>
            <w:tcBorders>
              <w:bottom w:val="single" w:sz="4" w:space="0" w:color="auto"/>
            </w:tcBorders>
          </w:tcPr>
          <w:p w14:paraId="70F57602" w14:textId="77777777" w:rsidR="003B0C01" w:rsidRPr="00183B5F" w:rsidRDefault="00943743" w:rsidP="004062FE">
            <w:pPr>
              <w:pStyle w:val="EMEANormal"/>
              <w:widowControl w:val="0"/>
              <w:suppressAutoHyphens w:val="0"/>
              <w:rPr>
                <w:lang w:val="hu-HU"/>
              </w:rPr>
            </w:pPr>
            <w:r w:rsidRPr="00183B5F">
              <w:rPr>
                <w:szCs w:val="22"/>
                <w:lang w:val="hu-HU"/>
              </w:rPr>
              <w:t>Ritka</w:t>
            </w:r>
          </w:p>
        </w:tc>
        <w:tc>
          <w:tcPr>
            <w:tcW w:w="4454" w:type="dxa"/>
            <w:tcBorders>
              <w:bottom w:val="single" w:sz="4" w:space="0" w:color="auto"/>
            </w:tcBorders>
          </w:tcPr>
          <w:p w14:paraId="13BD0C23" w14:textId="77777777" w:rsidR="003B0C01" w:rsidRPr="00183B5F" w:rsidRDefault="00943743" w:rsidP="004062FE">
            <w:pPr>
              <w:pStyle w:val="EMEANormal"/>
              <w:widowControl w:val="0"/>
              <w:suppressAutoHyphens w:val="0"/>
              <w:rPr>
                <w:lang w:val="hu-HU"/>
              </w:rPr>
            </w:pPr>
            <w:r w:rsidRPr="00183B5F">
              <w:rPr>
                <w:szCs w:val="22"/>
                <w:lang w:val="hu-HU"/>
              </w:rPr>
              <w:t>Anaphylaxia</w:t>
            </w:r>
            <w:r w:rsidRPr="00183B5F">
              <w:rPr>
                <w:szCs w:val="22"/>
                <w:vertAlign w:val="superscript"/>
                <w:lang w:val="hu-HU"/>
              </w:rPr>
              <w:t>1)</w:t>
            </w:r>
          </w:p>
        </w:tc>
      </w:tr>
      <w:tr w:rsidR="00011D2F" w14:paraId="6E9A10CA" w14:textId="77777777" w:rsidTr="00202B95">
        <w:trPr>
          <w:cantSplit/>
        </w:trPr>
        <w:tc>
          <w:tcPr>
            <w:tcW w:w="2580" w:type="dxa"/>
            <w:vMerge w:val="restart"/>
          </w:tcPr>
          <w:p w14:paraId="2092F6AE" w14:textId="77777777" w:rsidR="00D0403E" w:rsidRPr="00183B5F" w:rsidRDefault="00943743" w:rsidP="004062FE">
            <w:pPr>
              <w:pStyle w:val="EMEANormal"/>
              <w:widowControl w:val="0"/>
              <w:suppressAutoHyphens w:val="0"/>
              <w:rPr>
                <w:szCs w:val="22"/>
                <w:lang w:val="hu-HU"/>
              </w:rPr>
            </w:pPr>
            <w:r w:rsidRPr="00183B5F">
              <w:rPr>
                <w:szCs w:val="22"/>
                <w:lang w:val="hu-HU"/>
              </w:rPr>
              <w:t>Anyagcsere- és táplálkozási betegségek és tünetek</w:t>
            </w:r>
          </w:p>
        </w:tc>
        <w:tc>
          <w:tcPr>
            <w:tcW w:w="2027" w:type="dxa"/>
            <w:tcBorders>
              <w:bottom w:val="single" w:sz="4" w:space="0" w:color="auto"/>
            </w:tcBorders>
          </w:tcPr>
          <w:p w14:paraId="410E3EE9" w14:textId="77777777" w:rsidR="00D0403E" w:rsidRPr="00183B5F" w:rsidRDefault="00943743" w:rsidP="004062FE">
            <w:pPr>
              <w:pStyle w:val="EMEANormal"/>
              <w:widowControl w:val="0"/>
              <w:suppressAutoHyphens w:val="0"/>
              <w:rPr>
                <w:lang w:val="hu-HU"/>
              </w:rPr>
            </w:pPr>
            <w:r w:rsidRPr="00183B5F">
              <w:rPr>
                <w:lang w:val="hu-HU"/>
              </w:rPr>
              <w:t>Nagyon gyakori</w:t>
            </w:r>
          </w:p>
        </w:tc>
        <w:tc>
          <w:tcPr>
            <w:tcW w:w="4454" w:type="dxa"/>
            <w:tcBorders>
              <w:bottom w:val="single" w:sz="4" w:space="0" w:color="auto"/>
            </w:tcBorders>
          </w:tcPr>
          <w:p w14:paraId="5A905858" w14:textId="77777777" w:rsidR="00D0403E" w:rsidRPr="00183B5F" w:rsidRDefault="00943743" w:rsidP="004062FE">
            <w:pPr>
              <w:pStyle w:val="EMEANormal"/>
              <w:widowControl w:val="0"/>
              <w:suppressAutoHyphens w:val="0"/>
              <w:rPr>
                <w:lang w:val="hu-HU"/>
              </w:rPr>
            </w:pPr>
            <w:r w:rsidRPr="00183B5F">
              <w:rPr>
                <w:lang w:val="hu-HU"/>
              </w:rPr>
              <w:t xml:space="preserve">Emelkedett lipidszint </w:t>
            </w:r>
          </w:p>
        </w:tc>
      </w:tr>
      <w:tr w:rsidR="00011D2F" w14:paraId="016D8356" w14:textId="77777777" w:rsidTr="00202B95">
        <w:trPr>
          <w:cantSplit/>
          <w:trHeight w:val="3085"/>
        </w:trPr>
        <w:tc>
          <w:tcPr>
            <w:tcW w:w="2580" w:type="dxa"/>
            <w:vMerge/>
          </w:tcPr>
          <w:p w14:paraId="27831A02" w14:textId="77777777" w:rsidR="00D0403E" w:rsidRPr="00183B5F" w:rsidRDefault="00D0403E" w:rsidP="004062FE">
            <w:pPr>
              <w:pStyle w:val="EMEANormal"/>
              <w:widowControl w:val="0"/>
              <w:suppressAutoHyphens w:val="0"/>
              <w:rPr>
                <w:lang w:val="hu-HU"/>
              </w:rPr>
            </w:pPr>
          </w:p>
        </w:tc>
        <w:tc>
          <w:tcPr>
            <w:tcW w:w="2027" w:type="dxa"/>
            <w:tcBorders>
              <w:top w:val="single" w:sz="4" w:space="0" w:color="auto"/>
            </w:tcBorders>
          </w:tcPr>
          <w:p w14:paraId="6B8985AE" w14:textId="77777777" w:rsidR="00D0403E" w:rsidRPr="00183B5F" w:rsidRDefault="00943743" w:rsidP="004062FE">
            <w:pPr>
              <w:pStyle w:val="EMEANormal"/>
              <w:widowControl w:val="0"/>
              <w:suppressAutoHyphens w:val="0"/>
              <w:rPr>
                <w:lang w:val="hu-HU"/>
              </w:rPr>
            </w:pPr>
            <w:r w:rsidRPr="00183B5F">
              <w:rPr>
                <w:lang w:val="hu-HU"/>
              </w:rPr>
              <w:t>Gyakori</w:t>
            </w:r>
          </w:p>
          <w:p w14:paraId="15DA64F1" w14:textId="77777777" w:rsidR="00D0403E" w:rsidRPr="00183B5F" w:rsidRDefault="00D0403E">
            <w:pPr>
              <w:pStyle w:val="EMEANormal"/>
              <w:widowControl w:val="0"/>
              <w:rPr>
                <w:lang w:val="hu-HU"/>
              </w:rPr>
            </w:pPr>
          </w:p>
        </w:tc>
        <w:tc>
          <w:tcPr>
            <w:tcW w:w="4454" w:type="dxa"/>
            <w:tcBorders>
              <w:top w:val="single" w:sz="4" w:space="0" w:color="auto"/>
            </w:tcBorders>
          </w:tcPr>
          <w:p w14:paraId="765F276C" w14:textId="77777777" w:rsidR="00D0403E" w:rsidRPr="00183B5F" w:rsidRDefault="00943743" w:rsidP="004062FE">
            <w:pPr>
              <w:pStyle w:val="EMEANormal"/>
              <w:widowControl w:val="0"/>
              <w:suppressAutoHyphens w:val="0"/>
              <w:rPr>
                <w:lang w:val="hu-HU"/>
              </w:rPr>
            </w:pPr>
            <w:r w:rsidRPr="00183B5F">
              <w:rPr>
                <w:lang w:val="hu-HU"/>
              </w:rPr>
              <w:t xml:space="preserve">Hypokalaemia, </w:t>
            </w:r>
          </w:p>
          <w:p w14:paraId="3B784B14" w14:textId="77777777" w:rsidR="00D0403E" w:rsidRPr="00183B5F" w:rsidRDefault="00943743" w:rsidP="004062FE">
            <w:pPr>
              <w:pStyle w:val="EMEANormal"/>
              <w:widowControl w:val="0"/>
              <w:suppressAutoHyphens w:val="0"/>
              <w:rPr>
                <w:lang w:val="hu-HU"/>
              </w:rPr>
            </w:pPr>
            <w:r w:rsidRPr="00183B5F">
              <w:rPr>
                <w:lang w:val="hu-HU"/>
              </w:rPr>
              <w:t xml:space="preserve">emelkedett húgysavszint, </w:t>
            </w:r>
          </w:p>
          <w:p w14:paraId="10E50706" w14:textId="77777777" w:rsidR="00D0403E" w:rsidRPr="00183B5F" w:rsidRDefault="00943743" w:rsidP="004062FE">
            <w:pPr>
              <w:pStyle w:val="EMEANormal"/>
              <w:widowControl w:val="0"/>
              <w:suppressAutoHyphens w:val="0"/>
              <w:rPr>
                <w:lang w:val="hu-HU"/>
              </w:rPr>
            </w:pPr>
            <w:r w:rsidRPr="00183B5F">
              <w:rPr>
                <w:lang w:val="hu-HU"/>
              </w:rPr>
              <w:t>kóros nátriumszint a vérben,</w:t>
            </w:r>
          </w:p>
          <w:p w14:paraId="3D4B32F8" w14:textId="77777777" w:rsidR="00D0403E" w:rsidRPr="00183B5F" w:rsidRDefault="00943743" w:rsidP="004062FE">
            <w:pPr>
              <w:pStyle w:val="EMEANormal"/>
              <w:widowControl w:val="0"/>
              <w:suppressAutoHyphens w:val="0"/>
              <w:rPr>
                <w:lang w:val="hu-HU"/>
              </w:rPr>
            </w:pPr>
            <w:r w:rsidRPr="00183B5F">
              <w:rPr>
                <w:lang w:val="hu-HU"/>
              </w:rPr>
              <w:t>hypocalcaemia</w:t>
            </w:r>
          </w:p>
          <w:p w14:paraId="08EF1A01" w14:textId="77777777" w:rsidR="00D0403E" w:rsidRPr="00183B5F" w:rsidRDefault="00943743" w:rsidP="004062FE">
            <w:pPr>
              <w:pStyle w:val="EMEANormal"/>
              <w:widowControl w:val="0"/>
              <w:suppressAutoHyphens w:val="0"/>
              <w:rPr>
                <w:lang w:val="hu-HU"/>
              </w:rPr>
            </w:pPr>
            <w:r w:rsidRPr="00183B5F">
              <w:rPr>
                <w:lang w:val="hu-HU"/>
              </w:rPr>
              <w:t>hyperglykaemia,</w:t>
            </w:r>
          </w:p>
          <w:p w14:paraId="57C55DE5" w14:textId="77777777" w:rsidR="00D0403E" w:rsidRPr="00183B5F" w:rsidRDefault="00943743" w:rsidP="004062FE">
            <w:pPr>
              <w:pStyle w:val="EMEANormal"/>
              <w:widowControl w:val="0"/>
              <w:suppressAutoHyphens w:val="0"/>
              <w:rPr>
                <w:lang w:val="hu-HU"/>
              </w:rPr>
            </w:pPr>
            <w:r w:rsidRPr="00183B5F">
              <w:rPr>
                <w:lang w:val="hu-HU"/>
              </w:rPr>
              <w:t>hypophosphataemia,</w:t>
            </w:r>
          </w:p>
          <w:p w14:paraId="49B0099C" w14:textId="77777777" w:rsidR="00D0403E" w:rsidRPr="00183B5F" w:rsidRDefault="00943743">
            <w:pPr>
              <w:pStyle w:val="EMEANormal"/>
              <w:widowControl w:val="0"/>
              <w:rPr>
                <w:lang w:val="hu-HU"/>
              </w:rPr>
            </w:pPr>
            <w:r w:rsidRPr="00183B5F">
              <w:rPr>
                <w:lang w:val="hu-HU"/>
              </w:rPr>
              <w:t>dehydratio</w:t>
            </w:r>
          </w:p>
        </w:tc>
      </w:tr>
      <w:tr w:rsidR="00011D2F" w14:paraId="69053AAF" w14:textId="77777777" w:rsidTr="00202B95">
        <w:trPr>
          <w:cantSplit/>
        </w:trPr>
        <w:tc>
          <w:tcPr>
            <w:tcW w:w="2580" w:type="dxa"/>
            <w:tcBorders>
              <w:bottom w:val="single" w:sz="4" w:space="0" w:color="auto"/>
            </w:tcBorders>
          </w:tcPr>
          <w:p w14:paraId="61542FAA" w14:textId="77777777" w:rsidR="00D0403E" w:rsidRPr="00183B5F" w:rsidRDefault="00943743" w:rsidP="004062FE">
            <w:pPr>
              <w:pStyle w:val="EMEANormal"/>
              <w:widowControl w:val="0"/>
              <w:suppressAutoHyphens w:val="0"/>
              <w:rPr>
                <w:lang w:val="hu-HU"/>
              </w:rPr>
            </w:pPr>
            <w:r w:rsidRPr="00183B5F">
              <w:rPr>
                <w:lang w:val="hu-HU"/>
              </w:rPr>
              <w:t>Pszichiátriai kórképek</w:t>
            </w:r>
          </w:p>
        </w:tc>
        <w:tc>
          <w:tcPr>
            <w:tcW w:w="2027" w:type="dxa"/>
            <w:tcBorders>
              <w:bottom w:val="single" w:sz="4" w:space="0" w:color="auto"/>
            </w:tcBorders>
          </w:tcPr>
          <w:p w14:paraId="75B57A27" w14:textId="77777777" w:rsidR="00D0403E" w:rsidRPr="00183B5F" w:rsidRDefault="00943743" w:rsidP="004062FE">
            <w:pPr>
              <w:pStyle w:val="EMEANormal"/>
              <w:widowControl w:val="0"/>
              <w:suppressAutoHyphens w:val="0"/>
              <w:rPr>
                <w:lang w:val="hu-HU"/>
              </w:rPr>
            </w:pPr>
            <w:r w:rsidRPr="00183B5F">
              <w:rPr>
                <w:lang w:val="hu-HU"/>
              </w:rPr>
              <w:t>Gyakori</w:t>
            </w:r>
          </w:p>
          <w:p w14:paraId="4E1C16F7" w14:textId="77777777" w:rsidR="00D0403E" w:rsidRPr="00183B5F" w:rsidRDefault="00D0403E" w:rsidP="004062FE">
            <w:pPr>
              <w:pStyle w:val="EMEANormal"/>
              <w:widowControl w:val="0"/>
              <w:suppressAutoHyphens w:val="0"/>
              <w:rPr>
                <w:lang w:val="hu-HU"/>
              </w:rPr>
            </w:pPr>
          </w:p>
        </w:tc>
        <w:tc>
          <w:tcPr>
            <w:tcW w:w="4454" w:type="dxa"/>
            <w:tcBorders>
              <w:bottom w:val="single" w:sz="4" w:space="0" w:color="auto"/>
            </w:tcBorders>
          </w:tcPr>
          <w:p w14:paraId="26A9D1AE" w14:textId="77777777" w:rsidR="00D0403E" w:rsidRPr="00183B5F" w:rsidRDefault="00943743" w:rsidP="004062FE">
            <w:pPr>
              <w:pStyle w:val="EMEANormal"/>
              <w:widowControl w:val="0"/>
              <w:suppressAutoHyphens w:val="0"/>
              <w:rPr>
                <w:lang w:val="hu-HU"/>
              </w:rPr>
            </w:pPr>
            <w:r w:rsidRPr="00183B5F">
              <w:rPr>
                <w:lang w:val="hu-HU"/>
              </w:rPr>
              <w:t xml:space="preserve">Hangulatváltozás (beleértve a depressziót is), </w:t>
            </w:r>
          </w:p>
          <w:p w14:paraId="5BDDD2C8" w14:textId="77777777" w:rsidR="00C17B6B" w:rsidRPr="00183B5F" w:rsidRDefault="00943743" w:rsidP="004062FE">
            <w:pPr>
              <w:pStyle w:val="EMEANormal"/>
              <w:widowControl w:val="0"/>
              <w:suppressAutoHyphens w:val="0"/>
              <w:rPr>
                <w:lang w:val="hu-HU"/>
              </w:rPr>
            </w:pPr>
            <w:r w:rsidRPr="00183B5F">
              <w:rPr>
                <w:lang w:val="hu-HU"/>
              </w:rPr>
              <w:t xml:space="preserve">szorongás, </w:t>
            </w:r>
          </w:p>
          <w:p w14:paraId="67EC22F0" w14:textId="77777777" w:rsidR="00D0403E" w:rsidRPr="00183B5F" w:rsidRDefault="00943743" w:rsidP="004062FE">
            <w:pPr>
              <w:pStyle w:val="EMEANormal"/>
              <w:widowControl w:val="0"/>
              <w:suppressAutoHyphens w:val="0"/>
              <w:rPr>
                <w:lang w:val="hu-HU"/>
              </w:rPr>
            </w:pPr>
            <w:r w:rsidRPr="00183B5F">
              <w:rPr>
                <w:lang w:val="hu-HU"/>
              </w:rPr>
              <w:t>insomnia</w:t>
            </w:r>
          </w:p>
        </w:tc>
      </w:tr>
      <w:tr w:rsidR="00011D2F" w14:paraId="678C1488" w14:textId="77777777" w:rsidTr="00202B95">
        <w:trPr>
          <w:cantSplit/>
        </w:trPr>
        <w:tc>
          <w:tcPr>
            <w:tcW w:w="2580" w:type="dxa"/>
            <w:vMerge w:val="restart"/>
            <w:tcBorders>
              <w:bottom w:val="single" w:sz="4" w:space="0" w:color="auto"/>
            </w:tcBorders>
          </w:tcPr>
          <w:p w14:paraId="08A94230" w14:textId="77777777" w:rsidR="00D0403E" w:rsidRPr="00183B5F" w:rsidRDefault="00943743" w:rsidP="004062FE">
            <w:pPr>
              <w:pStyle w:val="EMEANormal"/>
              <w:widowControl w:val="0"/>
              <w:suppressAutoHyphens w:val="0"/>
              <w:rPr>
                <w:lang w:val="hu-HU"/>
              </w:rPr>
            </w:pPr>
            <w:r w:rsidRPr="00183B5F">
              <w:rPr>
                <w:lang w:val="hu-HU"/>
              </w:rPr>
              <w:t>Idegrendszeri betegségek és tünetek*</w:t>
            </w:r>
          </w:p>
        </w:tc>
        <w:tc>
          <w:tcPr>
            <w:tcW w:w="2027" w:type="dxa"/>
            <w:tcBorders>
              <w:bottom w:val="single" w:sz="4" w:space="0" w:color="auto"/>
            </w:tcBorders>
          </w:tcPr>
          <w:p w14:paraId="605CF384" w14:textId="77777777" w:rsidR="00D0403E" w:rsidRPr="00183B5F" w:rsidRDefault="00943743" w:rsidP="004062FE">
            <w:pPr>
              <w:pStyle w:val="EMEANormal"/>
              <w:widowControl w:val="0"/>
              <w:suppressAutoHyphens w:val="0"/>
              <w:rPr>
                <w:lang w:val="hu-HU"/>
              </w:rPr>
            </w:pPr>
            <w:r w:rsidRPr="00183B5F">
              <w:rPr>
                <w:lang w:val="hu-HU"/>
              </w:rPr>
              <w:t>Nagyon gyakori</w:t>
            </w:r>
          </w:p>
        </w:tc>
        <w:tc>
          <w:tcPr>
            <w:tcW w:w="4454" w:type="dxa"/>
            <w:tcBorders>
              <w:bottom w:val="single" w:sz="4" w:space="0" w:color="auto"/>
            </w:tcBorders>
          </w:tcPr>
          <w:p w14:paraId="68F7051D" w14:textId="77777777" w:rsidR="00D0403E" w:rsidRPr="00183B5F" w:rsidRDefault="00943743" w:rsidP="004062FE">
            <w:pPr>
              <w:pStyle w:val="EMEANormal"/>
              <w:widowControl w:val="0"/>
              <w:suppressAutoHyphens w:val="0"/>
              <w:rPr>
                <w:lang w:val="hu-HU"/>
              </w:rPr>
            </w:pPr>
            <w:r w:rsidRPr="00183B5F">
              <w:rPr>
                <w:lang w:val="hu-HU"/>
              </w:rPr>
              <w:t>Fejfájás</w:t>
            </w:r>
          </w:p>
        </w:tc>
      </w:tr>
      <w:tr w:rsidR="00011D2F" w14:paraId="427CC3D2" w14:textId="77777777" w:rsidTr="00202B95">
        <w:trPr>
          <w:cantSplit/>
        </w:trPr>
        <w:tc>
          <w:tcPr>
            <w:tcW w:w="2580" w:type="dxa"/>
            <w:vMerge/>
            <w:tcBorders>
              <w:top w:val="single" w:sz="4" w:space="0" w:color="auto"/>
            </w:tcBorders>
          </w:tcPr>
          <w:p w14:paraId="03FC8DEF" w14:textId="77777777" w:rsidR="00D0403E" w:rsidRPr="00183B5F" w:rsidRDefault="00D0403E" w:rsidP="004062FE">
            <w:pPr>
              <w:pStyle w:val="EMEANormal"/>
              <w:widowControl w:val="0"/>
              <w:suppressAutoHyphens w:val="0"/>
              <w:rPr>
                <w:lang w:val="hu-HU"/>
              </w:rPr>
            </w:pPr>
          </w:p>
        </w:tc>
        <w:tc>
          <w:tcPr>
            <w:tcW w:w="2027" w:type="dxa"/>
            <w:tcBorders>
              <w:top w:val="single" w:sz="4" w:space="0" w:color="auto"/>
              <w:bottom w:val="single" w:sz="4" w:space="0" w:color="auto"/>
            </w:tcBorders>
          </w:tcPr>
          <w:p w14:paraId="0ADDCC37" w14:textId="77777777" w:rsidR="00D0403E" w:rsidRPr="00183B5F" w:rsidRDefault="00943743" w:rsidP="004062FE">
            <w:pPr>
              <w:pStyle w:val="EMEANormal"/>
              <w:widowControl w:val="0"/>
              <w:suppressAutoHyphens w:val="0"/>
              <w:rPr>
                <w:lang w:val="hu-HU"/>
              </w:rPr>
            </w:pPr>
            <w:r w:rsidRPr="00183B5F">
              <w:rPr>
                <w:lang w:val="hu-HU"/>
              </w:rPr>
              <w:t>Gyakori</w:t>
            </w:r>
          </w:p>
          <w:p w14:paraId="79F00AE8" w14:textId="77777777" w:rsidR="00D0403E" w:rsidRPr="00183B5F" w:rsidRDefault="00D0403E" w:rsidP="004062FE">
            <w:pPr>
              <w:pStyle w:val="EMEANormal"/>
              <w:widowControl w:val="0"/>
              <w:suppressAutoHyphens w:val="0"/>
              <w:rPr>
                <w:lang w:val="hu-HU"/>
              </w:rPr>
            </w:pPr>
          </w:p>
        </w:tc>
        <w:tc>
          <w:tcPr>
            <w:tcW w:w="4454" w:type="dxa"/>
            <w:tcBorders>
              <w:top w:val="single" w:sz="4" w:space="0" w:color="auto"/>
              <w:bottom w:val="single" w:sz="4" w:space="0" w:color="auto"/>
            </w:tcBorders>
          </w:tcPr>
          <w:p w14:paraId="08DF5794" w14:textId="77777777" w:rsidR="00D0403E" w:rsidRPr="00183B5F" w:rsidRDefault="00943743" w:rsidP="004062FE">
            <w:pPr>
              <w:pStyle w:val="EMEANormal"/>
              <w:widowControl w:val="0"/>
              <w:suppressAutoHyphens w:val="0"/>
              <w:rPr>
                <w:lang w:val="hu-HU"/>
              </w:rPr>
            </w:pPr>
            <w:r w:rsidRPr="00183B5F">
              <w:rPr>
                <w:lang w:val="hu-HU"/>
              </w:rPr>
              <w:t>Paraesthesiák (beleértve a hypa</w:t>
            </w:r>
            <w:r w:rsidR="00F4121D" w:rsidRPr="00183B5F">
              <w:rPr>
                <w:lang w:val="hu-HU"/>
              </w:rPr>
              <w:t>e</w:t>
            </w:r>
            <w:r w:rsidRPr="00183B5F">
              <w:rPr>
                <w:lang w:val="hu-HU"/>
              </w:rPr>
              <w:t>sthesiát is),</w:t>
            </w:r>
          </w:p>
          <w:p w14:paraId="7B2F6E74" w14:textId="77777777" w:rsidR="00D0403E" w:rsidRPr="00183B5F" w:rsidRDefault="00943743" w:rsidP="004062FE">
            <w:pPr>
              <w:pStyle w:val="EMEANormal"/>
              <w:widowControl w:val="0"/>
              <w:suppressAutoHyphens w:val="0"/>
              <w:rPr>
                <w:lang w:val="hu-HU"/>
              </w:rPr>
            </w:pPr>
            <w:r w:rsidRPr="00183B5F">
              <w:rPr>
                <w:lang w:val="hu-HU"/>
              </w:rPr>
              <w:t>migr</w:t>
            </w:r>
            <w:r w:rsidR="00761819" w:rsidRPr="00183B5F">
              <w:rPr>
                <w:lang w:val="hu-HU"/>
              </w:rPr>
              <w:t>é</w:t>
            </w:r>
            <w:r w:rsidRPr="00183B5F">
              <w:rPr>
                <w:lang w:val="hu-HU"/>
              </w:rPr>
              <w:t>n,</w:t>
            </w:r>
          </w:p>
          <w:p w14:paraId="65AD3FFD" w14:textId="77777777" w:rsidR="00D0403E" w:rsidRPr="00183B5F" w:rsidRDefault="00943743" w:rsidP="004062FE">
            <w:pPr>
              <w:pStyle w:val="EMEANormal"/>
              <w:widowControl w:val="0"/>
              <w:suppressAutoHyphens w:val="0"/>
              <w:rPr>
                <w:lang w:val="hu-HU"/>
              </w:rPr>
            </w:pPr>
            <w:r w:rsidRPr="00183B5F">
              <w:rPr>
                <w:lang w:val="hu-HU"/>
              </w:rPr>
              <w:t>ideggyök</w:t>
            </w:r>
            <w:r w:rsidR="00F12F0A" w:rsidRPr="00183B5F">
              <w:rPr>
                <w:lang w:val="hu-HU"/>
              </w:rPr>
              <w:t>-</w:t>
            </w:r>
            <w:r w:rsidRPr="00183B5F">
              <w:rPr>
                <w:lang w:val="hu-HU"/>
              </w:rPr>
              <w:t>kompresszió</w:t>
            </w:r>
          </w:p>
        </w:tc>
      </w:tr>
      <w:tr w:rsidR="00011D2F" w14:paraId="13FA3CF0" w14:textId="77777777" w:rsidTr="00202B95">
        <w:trPr>
          <w:cantSplit/>
        </w:trPr>
        <w:tc>
          <w:tcPr>
            <w:tcW w:w="2580" w:type="dxa"/>
            <w:vMerge/>
          </w:tcPr>
          <w:p w14:paraId="4771333E" w14:textId="77777777" w:rsidR="00D0403E" w:rsidRPr="00183B5F" w:rsidRDefault="00D0403E"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5CC7B733" w14:textId="77777777" w:rsidR="00D0403E" w:rsidRPr="00183B5F" w:rsidRDefault="00943743">
            <w:pPr>
              <w:pStyle w:val="EMEANormal"/>
              <w:widowControl w:val="0"/>
              <w:suppressAutoHyphens w:val="0"/>
              <w:rPr>
                <w:lang w:val="hu-HU"/>
              </w:rPr>
            </w:pPr>
            <w:r w:rsidRPr="00183B5F">
              <w:rPr>
                <w:lang w:val="hu-HU"/>
              </w:rPr>
              <w:t>Nem gyakori</w:t>
            </w:r>
          </w:p>
          <w:p w14:paraId="74CC0C05" w14:textId="77777777" w:rsidR="00D0403E" w:rsidRPr="00183B5F" w:rsidRDefault="00D0403E">
            <w:pPr>
              <w:pStyle w:val="EMEANormal"/>
              <w:widowControl w:val="0"/>
              <w:suppressAutoHyphens w:val="0"/>
              <w:rPr>
                <w:lang w:val="hu-HU"/>
              </w:rPr>
            </w:pPr>
          </w:p>
        </w:tc>
        <w:tc>
          <w:tcPr>
            <w:tcW w:w="4454" w:type="dxa"/>
            <w:tcBorders>
              <w:top w:val="single" w:sz="4" w:space="0" w:color="auto"/>
              <w:bottom w:val="single" w:sz="4" w:space="0" w:color="auto"/>
            </w:tcBorders>
          </w:tcPr>
          <w:p w14:paraId="52F61C9E" w14:textId="77777777" w:rsidR="00D0403E" w:rsidRPr="00183B5F" w:rsidRDefault="00943743">
            <w:pPr>
              <w:pStyle w:val="EMEANormal"/>
              <w:widowControl w:val="0"/>
              <w:suppressAutoHyphens w:val="0"/>
              <w:rPr>
                <w:szCs w:val="22"/>
                <w:lang w:val="hu-HU"/>
              </w:rPr>
            </w:pPr>
            <w:r w:rsidRPr="00183B5F">
              <w:rPr>
                <w:szCs w:val="22"/>
                <w:lang w:val="hu-HU"/>
              </w:rPr>
              <w:t>Cerebrovascularis történések</w:t>
            </w:r>
            <w:r w:rsidRPr="00183B5F">
              <w:rPr>
                <w:vertAlign w:val="superscript"/>
                <w:lang w:val="hu-HU"/>
              </w:rPr>
              <w:t>1)</w:t>
            </w:r>
            <w:r w:rsidRPr="00183B5F">
              <w:rPr>
                <w:szCs w:val="22"/>
                <w:lang w:val="hu-HU"/>
              </w:rPr>
              <w:t>,</w:t>
            </w:r>
          </w:p>
          <w:p w14:paraId="46B4BC87" w14:textId="77777777" w:rsidR="00D0403E" w:rsidRPr="00183B5F" w:rsidRDefault="00943743">
            <w:pPr>
              <w:pStyle w:val="EMEANormal"/>
              <w:widowControl w:val="0"/>
              <w:suppressAutoHyphens w:val="0"/>
              <w:rPr>
                <w:lang w:val="hu-HU"/>
              </w:rPr>
            </w:pPr>
            <w:r w:rsidRPr="00183B5F">
              <w:rPr>
                <w:lang w:val="hu-HU"/>
              </w:rPr>
              <w:t>tremor</w:t>
            </w:r>
          </w:p>
          <w:p w14:paraId="1EB16CCC" w14:textId="77777777" w:rsidR="00D0403E" w:rsidRPr="00183B5F" w:rsidRDefault="00943743">
            <w:pPr>
              <w:pStyle w:val="EMEANormal"/>
              <w:widowControl w:val="0"/>
              <w:suppressAutoHyphens w:val="0"/>
              <w:rPr>
                <w:lang w:val="hu-HU"/>
              </w:rPr>
            </w:pPr>
            <w:r w:rsidRPr="00183B5F">
              <w:rPr>
                <w:lang w:val="hu-HU"/>
              </w:rPr>
              <w:t>neuropathia</w:t>
            </w:r>
          </w:p>
          <w:p w14:paraId="17A79B37" w14:textId="77777777" w:rsidR="00D0403E" w:rsidRPr="00183B5F" w:rsidRDefault="00D0403E">
            <w:pPr>
              <w:pStyle w:val="EMEANormal"/>
              <w:widowControl w:val="0"/>
              <w:suppressAutoHyphens w:val="0"/>
              <w:rPr>
                <w:lang w:val="hu-HU"/>
              </w:rPr>
            </w:pPr>
          </w:p>
        </w:tc>
      </w:tr>
      <w:tr w:rsidR="00011D2F" w14:paraId="520D18D8" w14:textId="77777777" w:rsidTr="00202B95">
        <w:trPr>
          <w:cantSplit/>
        </w:trPr>
        <w:tc>
          <w:tcPr>
            <w:tcW w:w="2580" w:type="dxa"/>
            <w:vMerge/>
          </w:tcPr>
          <w:p w14:paraId="02008042" w14:textId="77777777" w:rsidR="00D0403E" w:rsidRPr="00183B5F" w:rsidRDefault="00D0403E"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684518E0" w14:textId="77777777" w:rsidR="00D0403E" w:rsidRPr="00183B5F" w:rsidRDefault="00943743">
            <w:pPr>
              <w:pStyle w:val="EMEANormal"/>
              <w:widowControl w:val="0"/>
              <w:suppressAutoHyphens w:val="0"/>
              <w:rPr>
                <w:lang w:val="hu-HU"/>
              </w:rPr>
            </w:pPr>
            <w:r w:rsidRPr="00183B5F">
              <w:rPr>
                <w:lang w:val="hu-HU"/>
              </w:rPr>
              <w:t>Ritka</w:t>
            </w:r>
          </w:p>
          <w:p w14:paraId="3DD82C5C" w14:textId="77777777" w:rsidR="00D0403E" w:rsidRPr="00183B5F" w:rsidRDefault="00D0403E">
            <w:pPr>
              <w:pStyle w:val="EMEANormal"/>
              <w:widowControl w:val="0"/>
              <w:suppressAutoHyphens w:val="0"/>
              <w:rPr>
                <w:lang w:val="hu-HU"/>
              </w:rPr>
            </w:pPr>
          </w:p>
        </w:tc>
        <w:tc>
          <w:tcPr>
            <w:tcW w:w="4454" w:type="dxa"/>
            <w:tcBorders>
              <w:top w:val="single" w:sz="4" w:space="0" w:color="auto"/>
              <w:bottom w:val="single" w:sz="4" w:space="0" w:color="auto"/>
            </w:tcBorders>
          </w:tcPr>
          <w:p w14:paraId="292A8DE1" w14:textId="77777777" w:rsidR="00D0403E" w:rsidRPr="00183B5F" w:rsidRDefault="00943743">
            <w:pPr>
              <w:pStyle w:val="EMEANormal"/>
              <w:widowControl w:val="0"/>
              <w:suppressAutoHyphens w:val="0"/>
              <w:rPr>
                <w:lang w:val="hu-HU"/>
              </w:rPr>
            </w:pPr>
            <w:r w:rsidRPr="00183B5F">
              <w:rPr>
                <w:lang w:val="hu-HU"/>
              </w:rPr>
              <w:t>Sclerosis multiplex,</w:t>
            </w:r>
          </w:p>
          <w:p w14:paraId="6091BD03" w14:textId="77777777" w:rsidR="00D0403E" w:rsidRPr="00183B5F" w:rsidRDefault="00943743">
            <w:pPr>
              <w:pStyle w:val="EMEANormal"/>
              <w:widowControl w:val="0"/>
              <w:suppressAutoHyphens w:val="0"/>
              <w:rPr>
                <w:lang w:val="hu-HU"/>
              </w:rPr>
            </w:pPr>
            <w:r w:rsidRPr="00183B5F">
              <w:rPr>
                <w:szCs w:val="22"/>
                <w:lang w:val="hu-HU"/>
              </w:rPr>
              <w:t>demyelinisatiós betegségek (pl. neuritis nervi optici, Guillain</w:t>
            </w:r>
            <w:r w:rsidR="00F12F0A" w:rsidRPr="00183B5F">
              <w:rPr>
                <w:szCs w:val="22"/>
                <w:lang w:val="hu-HU"/>
              </w:rPr>
              <w:t>–</w:t>
            </w:r>
            <w:r w:rsidRPr="00183B5F">
              <w:rPr>
                <w:szCs w:val="22"/>
                <w:lang w:val="hu-HU"/>
              </w:rPr>
              <w:t>Barré-szindróma)</w:t>
            </w:r>
            <w:r w:rsidRPr="00183B5F">
              <w:rPr>
                <w:szCs w:val="22"/>
                <w:vertAlign w:val="superscript"/>
                <w:lang w:val="hu-HU"/>
              </w:rPr>
              <w:t>1)</w:t>
            </w:r>
          </w:p>
        </w:tc>
      </w:tr>
      <w:tr w:rsidR="00011D2F" w14:paraId="3EECC6CC" w14:textId="77777777" w:rsidTr="00202B95">
        <w:trPr>
          <w:cantSplit/>
        </w:trPr>
        <w:tc>
          <w:tcPr>
            <w:tcW w:w="2580" w:type="dxa"/>
            <w:vMerge w:val="restart"/>
          </w:tcPr>
          <w:p w14:paraId="5B7F00DE" w14:textId="77777777" w:rsidR="00D0403E" w:rsidRPr="00183B5F" w:rsidRDefault="00943743" w:rsidP="004062FE">
            <w:pPr>
              <w:pStyle w:val="EMEANormal"/>
              <w:widowControl w:val="0"/>
              <w:suppressAutoHyphens w:val="0"/>
              <w:rPr>
                <w:lang w:val="hu-HU"/>
              </w:rPr>
            </w:pPr>
            <w:r w:rsidRPr="00183B5F">
              <w:rPr>
                <w:lang w:val="hu-HU"/>
              </w:rPr>
              <w:t>Szembetegségek és szemészeti tünetek</w:t>
            </w:r>
          </w:p>
        </w:tc>
        <w:tc>
          <w:tcPr>
            <w:tcW w:w="2027" w:type="dxa"/>
            <w:tcBorders>
              <w:bottom w:val="single" w:sz="4" w:space="0" w:color="auto"/>
            </w:tcBorders>
          </w:tcPr>
          <w:p w14:paraId="32511BCB" w14:textId="77777777" w:rsidR="00D0403E" w:rsidRPr="00183B5F" w:rsidRDefault="00943743" w:rsidP="004062FE">
            <w:pPr>
              <w:pStyle w:val="EMEANormal"/>
              <w:widowControl w:val="0"/>
              <w:suppressAutoHyphens w:val="0"/>
              <w:rPr>
                <w:lang w:val="hu-HU"/>
              </w:rPr>
            </w:pPr>
            <w:r w:rsidRPr="00183B5F">
              <w:rPr>
                <w:lang w:val="hu-HU"/>
              </w:rPr>
              <w:t>Gyakori</w:t>
            </w:r>
          </w:p>
          <w:p w14:paraId="6CA3F7BC" w14:textId="77777777" w:rsidR="00D0403E" w:rsidRPr="00183B5F" w:rsidRDefault="00D0403E" w:rsidP="004062FE">
            <w:pPr>
              <w:pStyle w:val="EMEANormal"/>
              <w:widowControl w:val="0"/>
              <w:suppressAutoHyphens w:val="0"/>
              <w:rPr>
                <w:lang w:val="hu-HU"/>
              </w:rPr>
            </w:pPr>
          </w:p>
        </w:tc>
        <w:tc>
          <w:tcPr>
            <w:tcW w:w="4454" w:type="dxa"/>
            <w:tcBorders>
              <w:bottom w:val="single" w:sz="4" w:space="0" w:color="auto"/>
            </w:tcBorders>
          </w:tcPr>
          <w:p w14:paraId="6963E1F4" w14:textId="77777777" w:rsidR="00D0403E" w:rsidRPr="00183B5F" w:rsidRDefault="00943743" w:rsidP="004062FE">
            <w:pPr>
              <w:pStyle w:val="EMEANormal"/>
              <w:widowControl w:val="0"/>
              <w:suppressAutoHyphens w:val="0"/>
              <w:rPr>
                <w:lang w:val="hu-HU"/>
              </w:rPr>
            </w:pPr>
            <w:r w:rsidRPr="00183B5F">
              <w:rPr>
                <w:lang w:val="hu-HU"/>
              </w:rPr>
              <w:t>Látásromlás,</w:t>
            </w:r>
          </w:p>
          <w:p w14:paraId="37E034D1" w14:textId="77777777" w:rsidR="00D0403E" w:rsidRPr="00183B5F" w:rsidRDefault="00943743" w:rsidP="004062FE">
            <w:pPr>
              <w:pStyle w:val="EMEANormal"/>
              <w:widowControl w:val="0"/>
              <w:suppressAutoHyphens w:val="0"/>
              <w:rPr>
                <w:lang w:val="hu-HU"/>
              </w:rPr>
            </w:pPr>
            <w:r w:rsidRPr="00183B5F">
              <w:rPr>
                <w:lang w:val="hu-HU"/>
              </w:rPr>
              <w:t>conjunctivitis,</w:t>
            </w:r>
          </w:p>
          <w:p w14:paraId="2F571456" w14:textId="77777777" w:rsidR="00D0403E" w:rsidRPr="00183B5F" w:rsidRDefault="00943743">
            <w:pPr>
              <w:pStyle w:val="EMEANormal"/>
              <w:widowControl w:val="0"/>
              <w:suppressAutoHyphens w:val="0"/>
              <w:rPr>
                <w:lang w:val="hu-HU"/>
              </w:rPr>
            </w:pPr>
            <w:r w:rsidRPr="00183B5F">
              <w:rPr>
                <w:lang w:val="hu-HU"/>
              </w:rPr>
              <w:t>blepharitis,</w:t>
            </w:r>
          </w:p>
          <w:p w14:paraId="3AB3FBFD" w14:textId="77777777" w:rsidR="00D0403E" w:rsidRPr="00183B5F" w:rsidRDefault="00943743">
            <w:pPr>
              <w:pStyle w:val="EMEANormal"/>
              <w:widowControl w:val="0"/>
              <w:suppressAutoHyphens w:val="0"/>
              <w:rPr>
                <w:lang w:val="hu-HU"/>
              </w:rPr>
            </w:pPr>
            <w:r w:rsidRPr="00183B5F">
              <w:rPr>
                <w:lang w:val="hu-HU"/>
              </w:rPr>
              <w:t>szemkörnyéki duzzanat</w:t>
            </w:r>
          </w:p>
          <w:p w14:paraId="25D6DD19" w14:textId="77777777" w:rsidR="00D0403E" w:rsidRPr="00183B5F" w:rsidRDefault="00D0403E" w:rsidP="004062FE">
            <w:pPr>
              <w:pStyle w:val="EMEANormal"/>
              <w:widowControl w:val="0"/>
              <w:suppressAutoHyphens w:val="0"/>
              <w:rPr>
                <w:lang w:val="hu-HU"/>
              </w:rPr>
            </w:pPr>
          </w:p>
        </w:tc>
      </w:tr>
      <w:tr w:rsidR="00011D2F" w14:paraId="2E5FD05C" w14:textId="77777777" w:rsidTr="00202B95">
        <w:trPr>
          <w:cantSplit/>
        </w:trPr>
        <w:tc>
          <w:tcPr>
            <w:tcW w:w="2580" w:type="dxa"/>
            <w:vMerge/>
          </w:tcPr>
          <w:p w14:paraId="1C935B3A" w14:textId="77777777" w:rsidR="00D0403E" w:rsidRPr="00183B5F" w:rsidRDefault="00D0403E" w:rsidP="004062FE">
            <w:pPr>
              <w:widowControl w:val="0"/>
              <w:suppressAutoHyphens w:val="0"/>
              <w:spacing w:line="240" w:lineRule="auto"/>
              <w:jc w:val="center"/>
              <w:rPr>
                <w:b/>
              </w:rPr>
            </w:pPr>
          </w:p>
        </w:tc>
        <w:tc>
          <w:tcPr>
            <w:tcW w:w="2027" w:type="dxa"/>
            <w:tcBorders>
              <w:top w:val="single" w:sz="4" w:space="0" w:color="auto"/>
            </w:tcBorders>
          </w:tcPr>
          <w:p w14:paraId="5C1F6EC0" w14:textId="77777777" w:rsidR="00D0403E" w:rsidRPr="00183B5F" w:rsidRDefault="00943743">
            <w:pPr>
              <w:pStyle w:val="EMEANormal"/>
              <w:widowControl w:val="0"/>
              <w:suppressAutoHyphens w:val="0"/>
              <w:rPr>
                <w:lang w:val="hu-HU"/>
              </w:rPr>
            </w:pPr>
            <w:r w:rsidRPr="00183B5F">
              <w:rPr>
                <w:lang w:val="hu-HU"/>
              </w:rPr>
              <w:t>Nem gyakori</w:t>
            </w:r>
          </w:p>
        </w:tc>
        <w:tc>
          <w:tcPr>
            <w:tcW w:w="4454" w:type="dxa"/>
            <w:tcBorders>
              <w:top w:val="single" w:sz="4" w:space="0" w:color="auto"/>
            </w:tcBorders>
          </w:tcPr>
          <w:p w14:paraId="3CE89BCF" w14:textId="77777777" w:rsidR="00D0403E" w:rsidRPr="00183B5F" w:rsidRDefault="00943743">
            <w:pPr>
              <w:pStyle w:val="EMEANormal"/>
              <w:widowControl w:val="0"/>
              <w:suppressAutoHyphens w:val="0"/>
              <w:rPr>
                <w:lang w:val="hu-HU"/>
              </w:rPr>
            </w:pPr>
            <w:r w:rsidRPr="00183B5F">
              <w:rPr>
                <w:lang w:val="hu-HU"/>
              </w:rPr>
              <w:t>Diplopia</w:t>
            </w:r>
          </w:p>
          <w:p w14:paraId="42AE28CB" w14:textId="77777777" w:rsidR="00D0403E" w:rsidRPr="00183B5F" w:rsidRDefault="00D0403E">
            <w:pPr>
              <w:pStyle w:val="EMEANormal"/>
              <w:widowControl w:val="0"/>
              <w:suppressAutoHyphens w:val="0"/>
              <w:rPr>
                <w:lang w:val="hu-HU"/>
              </w:rPr>
            </w:pPr>
          </w:p>
        </w:tc>
      </w:tr>
      <w:tr w:rsidR="00011D2F" w14:paraId="62815303" w14:textId="77777777" w:rsidTr="00202B95">
        <w:trPr>
          <w:cantSplit/>
        </w:trPr>
        <w:tc>
          <w:tcPr>
            <w:tcW w:w="2580" w:type="dxa"/>
            <w:vMerge w:val="restart"/>
          </w:tcPr>
          <w:p w14:paraId="2CC92061" w14:textId="77777777" w:rsidR="00D0403E" w:rsidRPr="00183B5F" w:rsidRDefault="00943743" w:rsidP="004062FE">
            <w:pPr>
              <w:pStyle w:val="EMEANormal"/>
              <w:widowControl w:val="0"/>
              <w:suppressAutoHyphens w:val="0"/>
              <w:rPr>
                <w:szCs w:val="22"/>
                <w:lang w:val="hu-HU"/>
              </w:rPr>
            </w:pPr>
            <w:r w:rsidRPr="00183B5F">
              <w:rPr>
                <w:szCs w:val="22"/>
                <w:lang w:val="hu-HU"/>
              </w:rPr>
              <w:t xml:space="preserve">A fül és az egyensúly-érzékelő szerv betegségei és tünetei </w:t>
            </w:r>
          </w:p>
          <w:p w14:paraId="3AEC039A" w14:textId="77777777" w:rsidR="00D0403E" w:rsidRPr="00183B5F" w:rsidRDefault="00D0403E" w:rsidP="004062FE">
            <w:pPr>
              <w:pStyle w:val="EMEANormal"/>
              <w:widowControl w:val="0"/>
              <w:suppressAutoHyphens w:val="0"/>
              <w:rPr>
                <w:szCs w:val="22"/>
                <w:lang w:val="hu-HU"/>
              </w:rPr>
            </w:pPr>
          </w:p>
        </w:tc>
        <w:tc>
          <w:tcPr>
            <w:tcW w:w="2027" w:type="dxa"/>
            <w:tcBorders>
              <w:bottom w:val="single" w:sz="4" w:space="0" w:color="auto"/>
            </w:tcBorders>
          </w:tcPr>
          <w:p w14:paraId="0B530709" w14:textId="77777777" w:rsidR="00D0403E" w:rsidRPr="00183B5F" w:rsidRDefault="00943743" w:rsidP="004062FE">
            <w:pPr>
              <w:pStyle w:val="EMEANormal"/>
              <w:widowControl w:val="0"/>
              <w:suppressAutoHyphens w:val="0"/>
              <w:rPr>
                <w:lang w:val="hu-HU"/>
              </w:rPr>
            </w:pPr>
            <w:r w:rsidRPr="00183B5F">
              <w:rPr>
                <w:lang w:val="hu-HU"/>
              </w:rPr>
              <w:t>Gyakori</w:t>
            </w:r>
          </w:p>
          <w:p w14:paraId="0B41A0D1" w14:textId="77777777" w:rsidR="00D0403E" w:rsidRPr="00183B5F" w:rsidRDefault="00D0403E" w:rsidP="004062FE">
            <w:pPr>
              <w:pStyle w:val="EMEANormal"/>
              <w:widowControl w:val="0"/>
              <w:suppressAutoHyphens w:val="0"/>
              <w:rPr>
                <w:lang w:val="hu-HU"/>
              </w:rPr>
            </w:pPr>
          </w:p>
        </w:tc>
        <w:tc>
          <w:tcPr>
            <w:tcW w:w="4454" w:type="dxa"/>
            <w:tcBorders>
              <w:bottom w:val="single" w:sz="4" w:space="0" w:color="auto"/>
            </w:tcBorders>
          </w:tcPr>
          <w:p w14:paraId="6FC31C68" w14:textId="77777777" w:rsidR="00D0403E" w:rsidRPr="00183B5F" w:rsidRDefault="00943743" w:rsidP="004062FE">
            <w:pPr>
              <w:pStyle w:val="EMEANormal"/>
              <w:widowControl w:val="0"/>
              <w:suppressAutoHyphens w:val="0"/>
              <w:rPr>
                <w:lang w:val="hu-HU"/>
              </w:rPr>
            </w:pPr>
            <w:r w:rsidRPr="00183B5F">
              <w:rPr>
                <w:lang w:val="hu-HU"/>
              </w:rPr>
              <w:t>Vertigo</w:t>
            </w:r>
          </w:p>
          <w:p w14:paraId="2B25C19C" w14:textId="77777777" w:rsidR="00D0403E" w:rsidRPr="00183B5F" w:rsidRDefault="00D0403E" w:rsidP="004062FE">
            <w:pPr>
              <w:pStyle w:val="EMEANormal"/>
              <w:widowControl w:val="0"/>
              <w:suppressAutoHyphens w:val="0"/>
              <w:rPr>
                <w:lang w:val="hu-HU"/>
              </w:rPr>
            </w:pPr>
          </w:p>
        </w:tc>
      </w:tr>
      <w:tr w:rsidR="00011D2F" w14:paraId="7D6157C4" w14:textId="77777777" w:rsidTr="00202B95">
        <w:trPr>
          <w:cantSplit/>
        </w:trPr>
        <w:tc>
          <w:tcPr>
            <w:tcW w:w="2580" w:type="dxa"/>
            <w:vMerge/>
          </w:tcPr>
          <w:p w14:paraId="165A9606" w14:textId="77777777" w:rsidR="00D0403E" w:rsidRPr="00183B5F" w:rsidRDefault="00D0403E"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2C3A284B" w14:textId="77777777" w:rsidR="00D0403E" w:rsidRPr="00183B5F" w:rsidRDefault="00943743">
            <w:pPr>
              <w:pStyle w:val="EMEANormal"/>
              <w:widowControl w:val="0"/>
              <w:suppressAutoHyphens w:val="0"/>
              <w:rPr>
                <w:lang w:val="hu-HU"/>
              </w:rPr>
            </w:pPr>
            <w:r w:rsidRPr="00183B5F">
              <w:rPr>
                <w:lang w:val="hu-HU"/>
              </w:rPr>
              <w:t>Nem gyakori</w:t>
            </w:r>
          </w:p>
          <w:p w14:paraId="4E287CFE" w14:textId="77777777" w:rsidR="00D0403E" w:rsidRPr="00183B5F" w:rsidRDefault="00D0403E">
            <w:pPr>
              <w:pStyle w:val="EMEANormal"/>
              <w:widowControl w:val="0"/>
              <w:suppressAutoHyphens w:val="0"/>
              <w:rPr>
                <w:lang w:val="hu-HU"/>
              </w:rPr>
            </w:pPr>
          </w:p>
        </w:tc>
        <w:tc>
          <w:tcPr>
            <w:tcW w:w="4454" w:type="dxa"/>
            <w:tcBorders>
              <w:top w:val="single" w:sz="4" w:space="0" w:color="auto"/>
              <w:bottom w:val="single" w:sz="4" w:space="0" w:color="auto"/>
            </w:tcBorders>
          </w:tcPr>
          <w:p w14:paraId="024FFB83" w14:textId="77777777" w:rsidR="00D0403E" w:rsidRPr="00183B5F" w:rsidRDefault="00943743">
            <w:pPr>
              <w:pStyle w:val="EMEANormal"/>
              <w:widowControl w:val="0"/>
              <w:suppressAutoHyphens w:val="0"/>
              <w:rPr>
                <w:lang w:val="hu-HU"/>
              </w:rPr>
            </w:pPr>
            <w:r w:rsidRPr="00183B5F">
              <w:rPr>
                <w:lang w:val="hu-HU"/>
              </w:rPr>
              <w:t xml:space="preserve">Süketség, </w:t>
            </w:r>
          </w:p>
          <w:p w14:paraId="51707EE5" w14:textId="77777777" w:rsidR="00D0403E" w:rsidRPr="00183B5F" w:rsidRDefault="00943743">
            <w:pPr>
              <w:pStyle w:val="EMEANormal"/>
              <w:widowControl w:val="0"/>
              <w:suppressAutoHyphens w:val="0"/>
              <w:rPr>
                <w:lang w:val="hu-HU"/>
              </w:rPr>
            </w:pPr>
            <w:r w:rsidRPr="00183B5F">
              <w:rPr>
                <w:lang w:val="hu-HU"/>
              </w:rPr>
              <w:t>tinnitus</w:t>
            </w:r>
          </w:p>
          <w:p w14:paraId="63C0FAC6" w14:textId="77777777" w:rsidR="00D0403E" w:rsidRPr="00183B5F" w:rsidRDefault="00D0403E">
            <w:pPr>
              <w:pStyle w:val="EMEANormal"/>
              <w:widowControl w:val="0"/>
              <w:suppressAutoHyphens w:val="0"/>
              <w:rPr>
                <w:lang w:val="hu-HU"/>
              </w:rPr>
            </w:pPr>
          </w:p>
        </w:tc>
      </w:tr>
      <w:tr w:rsidR="00011D2F" w14:paraId="56CA0D76" w14:textId="77777777" w:rsidTr="00202B95">
        <w:trPr>
          <w:cantSplit/>
        </w:trPr>
        <w:tc>
          <w:tcPr>
            <w:tcW w:w="2580" w:type="dxa"/>
            <w:vMerge w:val="restart"/>
          </w:tcPr>
          <w:p w14:paraId="1A70F23E" w14:textId="77777777" w:rsidR="00D0403E" w:rsidRPr="00183B5F" w:rsidRDefault="00943743" w:rsidP="004062FE">
            <w:pPr>
              <w:pStyle w:val="EMEANormal"/>
              <w:widowControl w:val="0"/>
              <w:suppressAutoHyphens w:val="0"/>
              <w:rPr>
                <w:szCs w:val="22"/>
                <w:lang w:val="hu-HU"/>
              </w:rPr>
            </w:pPr>
            <w:r w:rsidRPr="00183B5F">
              <w:rPr>
                <w:szCs w:val="22"/>
                <w:lang w:val="hu-HU"/>
              </w:rPr>
              <w:t xml:space="preserve">Szívbetegségek és a szívvel kapcsolatos tünetek* </w:t>
            </w:r>
          </w:p>
        </w:tc>
        <w:tc>
          <w:tcPr>
            <w:tcW w:w="2027" w:type="dxa"/>
            <w:tcBorders>
              <w:bottom w:val="single" w:sz="4" w:space="0" w:color="auto"/>
            </w:tcBorders>
          </w:tcPr>
          <w:p w14:paraId="7A09E7B2" w14:textId="77777777" w:rsidR="00D0403E" w:rsidRPr="00183B5F" w:rsidRDefault="00943743" w:rsidP="004062FE">
            <w:pPr>
              <w:pStyle w:val="EMEANormal"/>
              <w:widowControl w:val="0"/>
              <w:suppressAutoHyphens w:val="0"/>
              <w:rPr>
                <w:lang w:val="hu-HU"/>
              </w:rPr>
            </w:pPr>
            <w:r w:rsidRPr="00183B5F">
              <w:rPr>
                <w:lang w:val="hu-HU"/>
              </w:rPr>
              <w:t>Gyakori</w:t>
            </w:r>
          </w:p>
        </w:tc>
        <w:tc>
          <w:tcPr>
            <w:tcW w:w="4454" w:type="dxa"/>
            <w:tcBorders>
              <w:bottom w:val="single" w:sz="4" w:space="0" w:color="auto"/>
            </w:tcBorders>
          </w:tcPr>
          <w:p w14:paraId="690A9A30" w14:textId="77777777" w:rsidR="00D0403E" w:rsidRPr="00183B5F" w:rsidRDefault="00943743" w:rsidP="004062FE">
            <w:pPr>
              <w:pStyle w:val="EMEANormal"/>
              <w:widowControl w:val="0"/>
              <w:suppressAutoHyphens w:val="0"/>
              <w:rPr>
                <w:lang w:val="hu-HU"/>
              </w:rPr>
            </w:pPr>
            <w:r w:rsidRPr="00183B5F">
              <w:rPr>
                <w:lang w:val="hu-HU"/>
              </w:rPr>
              <w:t>Tachycardia</w:t>
            </w:r>
          </w:p>
        </w:tc>
      </w:tr>
      <w:tr w:rsidR="00011D2F" w14:paraId="449BD2E7" w14:textId="77777777" w:rsidTr="00202B95">
        <w:trPr>
          <w:cantSplit/>
        </w:trPr>
        <w:tc>
          <w:tcPr>
            <w:tcW w:w="2580" w:type="dxa"/>
            <w:vMerge/>
          </w:tcPr>
          <w:p w14:paraId="20734288" w14:textId="77777777" w:rsidR="00D0403E" w:rsidRPr="00183B5F" w:rsidRDefault="00D0403E" w:rsidP="004062FE">
            <w:pPr>
              <w:pStyle w:val="EMEANormal"/>
              <w:widowControl w:val="0"/>
              <w:suppressAutoHyphens w:val="0"/>
              <w:rPr>
                <w:lang w:val="hu-HU"/>
              </w:rPr>
            </w:pPr>
          </w:p>
        </w:tc>
        <w:tc>
          <w:tcPr>
            <w:tcW w:w="2027" w:type="dxa"/>
            <w:tcBorders>
              <w:top w:val="single" w:sz="4" w:space="0" w:color="auto"/>
              <w:bottom w:val="single" w:sz="4" w:space="0" w:color="auto"/>
            </w:tcBorders>
          </w:tcPr>
          <w:p w14:paraId="00CC2D02" w14:textId="77777777" w:rsidR="00D0403E" w:rsidRPr="00183B5F" w:rsidRDefault="00943743" w:rsidP="004062FE">
            <w:pPr>
              <w:pStyle w:val="EMEANormal"/>
              <w:widowControl w:val="0"/>
              <w:suppressAutoHyphens w:val="0"/>
              <w:rPr>
                <w:lang w:val="hu-HU"/>
              </w:rPr>
            </w:pPr>
            <w:r w:rsidRPr="00183B5F">
              <w:rPr>
                <w:lang w:val="hu-HU"/>
              </w:rPr>
              <w:t>Nem gyakori</w:t>
            </w:r>
          </w:p>
          <w:p w14:paraId="33E751C9" w14:textId="77777777" w:rsidR="00D0403E" w:rsidRPr="00183B5F" w:rsidRDefault="00D0403E" w:rsidP="004062FE">
            <w:pPr>
              <w:pStyle w:val="EMEANormal"/>
              <w:widowControl w:val="0"/>
              <w:suppressAutoHyphens w:val="0"/>
              <w:rPr>
                <w:lang w:val="hu-HU"/>
              </w:rPr>
            </w:pPr>
          </w:p>
        </w:tc>
        <w:tc>
          <w:tcPr>
            <w:tcW w:w="4454" w:type="dxa"/>
            <w:tcBorders>
              <w:top w:val="single" w:sz="4" w:space="0" w:color="auto"/>
              <w:bottom w:val="single" w:sz="4" w:space="0" w:color="auto"/>
            </w:tcBorders>
          </w:tcPr>
          <w:p w14:paraId="4C395E5E" w14:textId="77777777" w:rsidR="00D0403E" w:rsidRPr="00183B5F" w:rsidRDefault="00943743" w:rsidP="004062FE">
            <w:pPr>
              <w:pStyle w:val="EMEANormal"/>
              <w:widowControl w:val="0"/>
              <w:suppressAutoHyphens w:val="0"/>
              <w:rPr>
                <w:szCs w:val="22"/>
                <w:lang w:val="hu-HU"/>
              </w:rPr>
            </w:pPr>
            <w:r w:rsidRPr="00183B5F">
              <w:rPr>
                <w:szCs w:val="22"/>
                <w:lang w:val="hu-HU"/>
              </w:rPr>
              <w:t>Myocardialis infarktus</w:t>
            </w:r>
            <w:r w:rsidRPr="00183B5F">
              <w:rPr>
                <w:vertAlign w:val="superscript"/>
                <w:lang w:val="hu-HU"/>
              </w:rPr>
              <w:t>1)</w:t>
            </w:r>
            <w:r w:rsidRPr="00183B5F">
              <w:rPr>
                <w:szCs w:val="22"/>
                <w:lang w:val="hu-HU"/>
              </w:rPr>
              <w:t>,</w:t>
            </w:r>
          </w:p>
          <w:p w14:paraId="4FE61307" w14:textId="77777777" w:rsidR="00D0403E" w:rsidRPr="00183B5F" w:rsidRDefault="00943743" w:rsidP="004062FE">
            <w:pPr>
              <w:pStyle w:val="EMEANormal"/>
              <w:widowControl w:val="0"/>
              <w:suppressAutoHyphens w:val="0"/>
              <w:rPr>
                <w:lang w:val="hu-HU"/>
              </w:rPr>
            </w:pPr>
            <w:r w:rsidRPr="00183B5F">
              <w:rPr>
                <w:lang w:val="hu-HU"/>
              </w:rPr>
              <w:t>arrhythmia,</w:t>
            </w:r>
          </w:p>
          <w:p w14:paraId="4874D1A7" w14:textId="77777777" w:rsidR="00D0403E" w:rsidRPr="00183B5F" w:rsidRDefault="00943743" w:rsidP="0011114B">
            <w:pPr>
              <w:pStyle w:val="EMEANormal"/>
              <w:widowControl w:val="0"/>
              <w:suppressAutoHyphens w:val="0"/>
              <w:rPr>
                <w:lang w:val="hu-HU"/>
              </w:rPr>
            </w:pPr>
            <w:r w:rsidRPr="00183B5F">
              <w:rPr>
                <w:lang w:val="hu-HU"/>
              </w:rPr>
              <w:t>pangásos szívelégtelenség</w:t>
            </w:r>
          </w:p>
        </w:tc>
      </w:tr>
      <w:tr w:rsidR="00011D2F" w14:paraId="51B2F666" w14:textId="77777777" w:rsidTr="00202B95">
        <w:trPr>
          <w:cantSplit/>
        </w:trPr>
        <w:tc>
          <w:tcPr>
            <w:tcW w:w="2580" w:type="dxa"/>
            <w:vMerge/>
          </w:tcPr>
          <w:p w14:paraId="28F6BC97" w14:textId="77777777" w:rsidR="00D0403E" w:rsidRPr="00183B5F" w:rsidRDefault="00D0403E" w:rsidP="004062FE">
            <w:pPr>
              <w:widowControl w:val="0"/>
              <w:suppressAutoHyphens w:val="0"/>
              <w:spacing w:line="240" w:lineRule="auto"/>
              <w:jc w:val="center"/>
              <w:rPr>
                <w:b/>
              </w:rPr>
            </w:pPr>
          </w:p>
        </w:tc>
        <w:tc>
          <w:tcPr>
            <w:tcW w:w="2027" w:type="dxa"/>
            <w:tcBorders>
              <w:top w:val="single" w:sz="4" w:space="0" w:color="auto"/>
            </w:tcBorders>
          </w:tcPr>
          <w:p w14:paraId="1CADAA13" w14:textId="77777777" w:rsidR="00D0403E" w:rsidRPr="00183B5F" w:rsidRDefault="00943743">
            <w:pPr>
              <w:pStyle w:val="EMEANormal"/>
              <w:widowControl w:val="0"/>
              <w:suppressAutoHyphens w:val="0"/>
              <w:rPr>
                <w:lang w:val="hu-HU"/>
              </w:rPr>
            </w:pPr>
            <w:r w:rsidRPr="00183B5F">
              <w:rPr>
                <w:lang w:val="hu-HU"/>
              </w:rPr>
              <w:t>Ritka</w:t>
            </w:r>
          </w:p>
        </w:tc>
        <w:tc>
          <w:tcPr>
            <w:tcW w:w="4454" w:type="dxa"/>
            <w:tcBorders>
              <w:top w:val="single" w:sz="4" w:space="0" w:color="auto"/>
            </w:tcBorders>
          </w:tcPr>
          <w:p w14:paraId="4D625DBD" w14:textId="77777777" w:rsidR="00D0403E" w:rsidRPr="00183B5F" w:rsidRDefault="00943743">
            <w:pPr>
              <w:pStyle w:val="EMEANormal"/>
              <w:widowControl w:val="0"/>
              <w:suppressAutoHyphens w:val="0"/>
              <w:rPr>
                <w:lang w:val="hu-HU"/>
              </w:rPr>
            </w:pPr>
            <w:r w:rsidRPr="00183B5F">
              <w:rPr>
                <w:lang w:val="hu-HU"/>
              </w:rPr>
              <w:t>Szívleállás</w:t>
            </w:r>
          </w:p>
        </w:tc>
      </w:tr>
      <w:tr w:rsidR="00011D2F" w14:paraId="4C95EF7F" w14:textId="77777777" w:rsidTr="00202B95">
        <w:trPr>
          <w:cantSplit/>
        </w:trPr>
        <w:tc>
          <w:tcPr>
            <w:tcW w:w="2580" w:type="dxa"/>
            <w:vMerge w:val="restart"/>
          </w:tcPr>
          <w:p w14:paraId="59A37F9E" w14:textId="77777777" w:rsidR="00D0403E" w:rsidRPr="00183B5F" w:rsidRDefault="00943743" w:rsidP="004062FE">
            <w:pPr>
              <w:pStyle w:val="EMEANormal"/>
              <w:widowControl w:val="0"/>
              <w:suppressAutoHyphens w:val="0"/>
              <w:rPr>
                <w:lang w:val="hu-HU"/>
              </w:rPr>
            </w:pPr>
            <w:r w:rsidRPr="00183B5F">
              <w:rPr>
                <w:lang w:val="hu-HU"/>
              </w:rPr>
              <w:t>Érbetegségek és tünetek</w:t>
            </w:r>
          </w:p>
        </w:tc>
        <w:tc>
          <w:tcPr>
            <w:tcW w:w="2027" w:type="dxa"/>
            <w:tcBorders>
              <w:bottom w:val="single" w:sz="4" w:space="0" w:color="auto"/>
            </w:tcBorders>
          </w:tcPr>
          <w:p w14:paraId="7063C50F" w14:textId="77777777" w:rsidR="00D0403E" w:rsidRPr="00183B5F" w:rsidRDefault="00943743" w:rsidP="004062FE">
            <w:pPr>
              <w:pStyle w:val="EMEANormal"/>
              <w:widowControl w:val="0"/>
              <w:suppressAutoHyphens w:val="0"/>
              <w:rPr>
                <w:lang w:val="hu-HU"/>
              </w:rPr>
            </w:pPr>
            <w:r w:rsidRPr="00183B5F">
              <w:rPr>
                <w:lang w:val="hu-HU"/>
              </w:rPr>
              <w:t>Gyakori</w:t>
            </w:r>
          </w:p>
          <w:p w14:paraId="3E8BC989" w14:textId="77777777" w:rsidR="00D0403E" w:rsidRPr="00183B5F" w:rsidRDefault="00D0403E" w:rsidP="004062FE">
            <w:pPr>
              <w:pStyle w:val="EMEANormal"/>
              <w:widowControl w:val="0"/>
              <w:suppressAutoHyphens w:val="0"/>
              <w:rPr>
                <w:lang w:val="hu-HU"/>
              </w:rPr>
            </w:pPr>
          </w:p>
        </w:tc>
        <w:tc>
          <w:tcPr>
            <w:tcW w:w="4454" w:type="dxa"/>
            <w:tcBorders>
              <w:bottom w:val="single" w:sz="4" w:space="0" w:color="auto"/>
            </w:tcBorders>
          </w:tcPr>
          <w:p w14:paraId="13BF54A1" w14:textId="77777777" w:rsidR="00D0403E" w:rsidRPr="00183B5F" w:rsidRDefault="00943743" w:rsidP="004062FE">
            <w:pPr>
              <w:pStyle w:val="EMEANormal"/>
              <w:widowControl w:val="0"/>
              <w:suppressAutoHyphens w:val="0"/>
              <w:rPr>
                <w:lang w:val="hu-HU"/>
              </w:rPr>
            </w:pPr>
            <w:r w:rsidRPr="00183B5F">
              <w:rPr>
                <w:lang w:val="hu-HU"/>
              </w:rPr>
              <w:t xml:space="preserve">Hypertensio, </w:t>
            </w:r>
          </w:p>
          <w:p w14:paraId="2E1E5F62" w14:textId="77777777" w:rsidR="00D0403E" w:rsidRPr="00183B5F" w:rsidRDefault="00943743" w:rsidP="004062FE">
            <w:pPr>
              <w:pStyle w:val="EMEANormal"/>
              <w:widowControl w:val="0"/>
              <w:suppressAutoHyphens w:val="0"/>
              <w:rPr>
                <w:lang w:val="hu-HU"/>
              </w:rPr>
            </w:pPr>
            <w:r w:rsidRPr="00183B5F">
              <w:rPr>
                <w:lang w:val="hu-HU"/>
              </w:rPr>
              <w:t xml:space="preserve">kipirulás, </w:t>
            </w:r>
          </w:p>
          <w:p w14:paraId="5E3E0399" w14:textId="77777777" w:rsidR="00D0403E" w:rsidRPr="00183B5F" w:rsidRDefault="00943743" w:rsidP="004062FE">
            <w:pPr>
              <w:pStyle w:val="EMEANormal"/>
              <w:widowControl w:val="0"/>
              <w:suppressAutoHyphens w:val="0"/>
              <w:rPr>
                <w:lang w:val="hu-HU"/>
              </w:rPr>
            </w:pPr>
            <w:r w:rsidRPr="00183B5F">
              <w:rPr>
                <w:lang w:val="hu-HU"/>
              </w:rPr>
              <w:t>haematoma</w:t>
            </w:r>
          </w:p>
          <w:p w14:paraId="0C1CEBFD" w14:textId="77777777" w:rsidR="00D0403E" w:rsidRPr="00183B5F" w:rsidRDefault="00D0403E" w:rsidP="004062FE">
            <w:pPr>
              <w:pStyle w:val="EMEANormal"/>
              <w:widowControl w:val="0"/>
              <w:suppressAutoHyphens w:val="0"/>
              <w:rPr>
                <w:lang w:val="hu-HU"/>
              </w:rPr>
            </w:pPr>
          </w:p>
        </w:tc>
      </w:tr>
      <w:tr w:rsidR="00011D2F" w14:paraId="775EA9CA" w14:textId="77777777" w:rsidTr="00202B95">
        <w:trPr>
          <w:cantSplit/>
        </w:trPr>
        <w:tc>
          <w:tcPr>
            <w:tcW w:w="2580" w:type="dxa"/>
            <w:vMerge/>
            <w:tcBorders>
              <w:bottom w:val="single" w:sz="4" w:space="0" w:color="auto"/>
            </w:tcBorders>
          </w:tcPr>
          <w:p w14:paraId="2F11C9E2" w14:textId="77777777" w:rsidR="00D0403E" w:rsidRPr="00183B5F" w:rsidRDefault="00D0403E" w:rsidP="004062FE">
            <w:pPr>
              <w:pStyle w:val="EMEANormal"/>
              <w:widowControl w:val="0"/>
              <w:suppressAutoHyphens w:val="0"/>
              <w:rPr>
                <w:lang w:val="hu-HU"/>
              </w:rPr>
            </w:pPr>
          </w:p>
        </w:tc>
        <w:tc>
          <w:tcPr>
            <w:tcW w:w="2027" w:type="dxa"/>
            <w:tcBorders>
              <w:top w:val="single" w:sz="4" w:space="0" w:color="auto"/>
              <w:bottom w:val="single" w:sz="4" w:space="0" w:color="auto"/>
            </w:tcBorders>
          </w:tcPr>
          <w:p w14:paraId="587AA869" w14:textId="77777777" w:rsidR="00D0403E" w:rsidRPr="00183B5F" w:rsidRDefault="00943743">
            <w:pPr>
              <w:pStyle w:val="EMEANormal"/>
              <w:widowControl w:val="0"/>
              <w:suppressAutoHyphens w:val="0"/>
              <w:rPr>
                <w:lang w:val="hu-HU"/>
              </w:rPr>
            </w:pPr>
            <w:r w:rsidRPr="00183B5F">
              <w:rPr>
                <w:lang w:val="hu-HU"/>
              </w:rPr>
              <w:t>Nem gyakori</w:t>
            </w:r>
          </w:p>
        </w:tc>
        <w:tc>
          <w:tcPr>
            <w:tcW w:w="4454" w:type="dxa"/>
            <w:tcBorders>
              <w:top w:val="single" w:sz="4" w:space="0" w:color="auto"/>
              <w:bottom w:val="single" w:sz="4" w:space="0" w:color="auto"/>
            </w:tcBorders>
          </w:tcPr>
          <w:p w14:paraId="749B9EA8" w14:textId="77777777" w:rsidR="00D0403E" w:rsidRPr="00183B5F" w:rsidRDefault="00943743">
            <w:pPr>
              <w:pStyle w:val="EMEANormal"/>
              <w:widowControl w:val="0"/>
              <w:suppressAutoHyphens w:val="0"/>
              <w:rPr>
                <w:lang w:val="hu-HU"/>
              </w:rPr>
            </w:pPr>
            <w:r w:rsidRPr="00183B5F">
              <w:rPr>
                <w:lang w:val="hu-HU"/>
              </w:rPr>
              <w:t>Aorta aneurysma,</w:t>
            </w:r>
          </w:p>
          <w:p w14:paraId="11227D0F" w14:textId="77777777" w:rsidR="00D0403E" w:rsidRPr="00183B5F" w:rsidRDefault="00943743">
            <w:pPr>
              <w:pStyle w:val="EMEANormal"/>
              <w:widowControl w:val="0"/>
              <w:suppressAutoHyphens w:val="0"/>
              <w:rPr>
                <w:lang w:val="hu-HU"/>
              </w:rPr>
            </w:pPr>
            <w:r w:rsidRPr="00183B5F">
              <w:rPr>
                <w:lang w:val="hu-HU"/>
              </w:rPr>
              <w:t>arteriás occlusio,</w:t>
            </w:r>
          </w:p>
          <w:p w14:paraId="73245CD2" w14:textId="77777777" w:rsidR="00D0403E" w:rsidRPr="00183B5F" w:rsidRDefault="00943743">
            <w:pPr>
              <w:pStyle w:val="EMEANormal"/>
              <w:widowControl w:val="0"/>
              <w:suppressAutoHyphens w:val="0"/>
              <w:rPr>
                <w:lang w:val="hu-HU"/>
              </w:rPr>
            </w:pPr>
            <w:r w:rsidRPr="00183B5F">
              <w:rPr>
                <w:lang w:val="hu-HU"/>
              </w:rPr>
              <w:t xml:space="preserve">thrombophlebitis, </w:t>
            </w:r>
          </w:p>
          <w:p w14:paraId="5509E337" w14:textId="77777777" w:rsidR="00D0403E" w:rsidRPr="00183B5F" w:rsidRDefault="00D0403E">
            <w:pPr>
              <w:pStyle w:val="EMEANormal"/>
              <w:widowControl w:val="0"/>
              <w:suppressAutoHyphens w:val="0"/>
              <w:rPr>
                <w:lang w:val="hu-HU"/>
              </w:rPr>
            </w:pPr>
          </w:p>
        </w:tc>
      </w:tr>
      <w:tr w:rsidR="00011D2F" w14:paraId="16D26E06" w14:textId="77777777" w:rsidTr="00202B95">
        <w:trPr>
          <w:cantSplit/>
        </w:trPr>
        <w:tc>
          <w:tcPr>
            <w:tcW w:w="2580" w:type="dxa"/>
            <w:vMerge w:val="restart"/>
            <w:tcBorders>
              <w:bottom w:val="single" w:sz="4" w:space="0" w:color="auto"/>
            </w:tcBorders>
          </w:tcPr>
          <w:p w14:paraId="05A4B168" w14:textId="77777777" w:rsidR="00D0403E" w:rsidRPr="00183B5F" w:rsidRDefault="00943743" w:rsidP="004062FE">
            <w:pPr>
              <w:pStyle w:val="EMEANormal"/>
              <w:widowControl w:val="0"/>
              <w:suppressAutoHyphens w:val="0"/>
              <w:rPr>
                <w:szCs w:val="22"/>
                <w:lang w:val="hu-HU"/>
              </w:rPr>
            </w:pPr>
            <w:r w:rsidRPr="00183B5F">
              <w:rPr>
                <w:szCs w:val="22"/>
                <w:lang w:val="hu-HU"/>
              </w:rPr>
              <w:t>Légzőrendszeri, mellkasi és mediastinalis betegségek és tünetek*</w:t>
            </w:r>
          </w:p>
        </w:tc>
        <w:tc>
          <w:tcPr>
            <w:tcW w:w="2027" w:type="dxa"/>
            <w:tcBorders>
              <w:bottom w:val="single" w:sz="4" w:space="0" w:color="auto"/>
            </w:tcBorders>
          </w:tcPr>
          <w:p w14:paraId="1A36A28C" w14:textId="77777777" w:rsidR="00D0403E" w:rsidRPr="00183B5F" w:rsidRDefault="00943743" w:rsidP="004062FE">
            <w:pPr>
              <w:pStyle w:val="EMEANormal"/>
              <w:widowControl w:val="0"/>
              <w:suppressAutoHyphens w:val="0"/>
              <w:rPr>
                <w:lang w:val="hu-HU"/>
              </w:rPr>
            </w:pPr>
            <w:r w:rsidRPr="00183B5F">
              <w:rPr>
                <w:lang w:val="hu-HU"/>
              </w:rPr>
              <w:t>Gyakori</w:t>
            </w:r>
          </w:p>
          <w:p w14:paraId="3D069E71" w14:textId="77777777" w:rsidR="00D0403E" w:rsidRPr="00183B5F" w:rsidRDefault="00D0403E" w:rsidP="004062FE">
            <w:pPr>
              <w:pStyle w:val="EMEANormal"/>
              <w:widowControl w:val="0"/>
              <w:suppressAutoHyphens w:val="0"/>
              <w:rPr>
                <w:lang w:val="hu-HU"/>
              </w:rPr>
            </w:pPr>
          </w:p>
        </w:tc>
        <w:tc>
          <w:tcPr>
            <w:tcW w:w="4454" w:type="dxa"/>
            <w:tcBorders>
              <w:bottom w:val="single" w:sz="4" w:space="0" w:color="auto"/>
            </w:tcBorders>
          </w:tcPr>
          <w:p w14:paraId="41F916C3" w14:textId="77777777" w:rsidR="00D0403E" w:rsidRPr="00183B5F" w:rsidRDefault="00943743" w:rsidP="004062FE">
            <w:pPr>
              <w:pStyle w:val="EMEANormal"/>
              <w:widowControl w:val="0"/>
              <w:suppressAutoHyphens w:val="0"/>
              <w:rPr>
                <w:lang w:val="hu-HU"/>
              </w:rPr>
            </w:pPr>
            <w:r w:rsidRPr="00183B5F">
              <w:rPr>
                <w:lang w:val="hu-HU"/>
              </w:rPr>
              <w:t xml:space="preserve">Asthma, </w:t>
            </w:r>
          </w:p>
          <w:p w14:paraId="0BEB1C25" w14:textId="77777777" w:rsidR="00D0403E" w:rsidRPr="00183B5F" w:rsidRDefault="00943743" w:rsidP="004062FE">
            <w:pPr>
              <w:pStyle w:val="EMEANormal"/>
              <w:widowControl w:val="0"/>
              <w:suppressAutoHyphens w:val="0"/>
              <w:rPr>
                <w:lang w:val="hu-HU"/>
              </w:rPr>
            </w:pPr>
            <w:r w:rsidRPr="00183B5F">
              <w:rPr>
                <w:lang w:val="hu-HU"/>
              </w:rPr>
              <w:t>dyspnoe,</w:t>
            </w:r>
          </w:p>
          <w:p w14:paraId="55A38118" w14:textId="77777777" w:rsidR="00D0403E" w:rsidRPr="00183B5F" w:rsidRDefault="00943743" w:rsidP="004062FE">
            <w:pPr>
              <w:pStyle w:val="EMEANormal"/>
              <w:widowControl w:val="0"/>
              <w:suppressAutoHyphens w:val="0"/>
              <w:rPr>
                <w:lang w:val="hu-HU"/>
              </w:rPr>
            </w:pPr>
            <w:r w:rsidRPr="00183B5F">
              <w:rPr>
                <w:lang w:val="hu-HU"/>
              </w:rPr>
              <w:t>köhögés</w:t>
            </w:r>
          </w:p>
          <w:p w14:paraId="7C9C64C2" w14:textId="77777777" w:rsidR="00D0403E" w:rsidRPr="00183B5F" w:rsidRDefault="00D0403E" w:rsidP="004062FE">
            <w:pPr>
              <w:pStyle w:val="EMEANormal"/>
              <w:widowControl w:val="0"/>
              <w:suppressAutoHyphens w:val="0"/>
              <w:rPr>
                <w:lang w:val="hu-HU"/>
              </w:rPr>
            </w:pPr>
          </w:p>
        </w:tc>
      </w:tr>
      <w:tr w:rsidR="00011D2F" w14:paraId="3F99443A" w14:textId="77777777" w:rsidTr="00202B95">
        <w:trPr>
          <w:cantSplit/>
        </w:trPr>
        <w:tc>
          <w:tcPr>
            <w:tcW w:w="2580" w:type="dxa"/>
            <w:vMerge/>
            <w:tcBorders>
              <w:top w:val="single" w:sz="4" w:space="0" w:color="auto"/>
              <w:bottom w:val="nil"/>
            </w:tcBorders>
          </w:tcPr>
          <w:p w14:paraId="21D3A649" w14:textId="77777777" w:rsidR="00D0403E" w:rsidRPr="00183B5F" w:rsidRDefault="00D0403E"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4F9F0AA5" w14:textId="77777777" w:rsidR="00D0403E" w:rsidRPr="00183B5F" w:rsidRDefault="00943743">
            <w:pPr>
              <w:pStyle w:val="EMEANormal"/>
              <w:widowControl w:val="0"/>
              <w:suppressAutoHyphens w:val="0"/>
              <w:rPr>
                <w:lang w:val="hu-HU"/>
              </w:rPr>
            </w:pPr>
            <w:r w:rsidRPr="00183B5F">
              <w:rPr>
                <w:lang w:val="hu-HU"/>
              </w:rPr>
              <w:t>Nem gyakori</w:t>
            </w:r>
          </w:p>
          <w:p w14:paraId="23684AC3" w14:textId="77777777" w:rsidR="00D0403E" w:rsidRPr="00183B5F" w:rsidRDefault="00D0403E">
            <w:pPr>
              <w:pStyle w:val="EMEANormal"/>
              <w:widowControl w:val="0"/>
              <w:suppressAutoHyphens w:val="0"/>
              <w:rPr>
                <w:lang w:val="hu-HU"/>
              </w:rPr>
            </w:pPr>
          </w:p>
        </w:tc>
        <w:tc>
          <w:tcPr>
            <w:tcW w:w="4454" w:type="dxa"/>
            <w:tcBorders>
              <w:top w:val="single" w:sz="4" w:space="0" w:color="auto"/>
              <w:bottom w:val="single" w:sz="4" w:space="0" w:color="auto"/>
            </w:tcBorders>
          </w:tcPr>
          <w:p w14:paraId="7308E71D" w14:textId="77777777" w:rsidR="00D0403E" w:rsidRPr="00183B5F" w:rsidRDefault="00943743">
            <w:pPr>
              <w:pStyle w:val="EMEANormal"/>
              <w:widowControl w:val="0"/>
              <w:suppressAutoHyphens w:val="0"/>
              <w:rPr>
                <w:szCs w:val="22"/>
                <w:lang w:val="hu-HU"/>
              </w:rPr>
            </w:pPr>
            <w:r w:rsidRPr="00183B5F">
              <w:rPr>
                <w:szCs w:val="22"/>
                <w:lang w:val="hu-HU"/>
              </w:rPr>
              <w:t>Tüdőembólia</w:t>
            </w:r>
            <w:r w:rsidRPr="00183B5F">
              <w:rPr>
                <w:szCs w:val="22"/>
                <w:vertAlign w:val="superscript"/>
                <w:lang w:val="hu-HU"/>
              </w:rPr>
              <w:t>1)</w:t>
            </w:r>
            <w:r w:rsidRPr="00183B5F">
              <w:rPr>
                <w:szCs w:val="22"/>
                <w:lang w:val="hu-HU"/>
              </w:rPr>
              <w:t>,</w:t>
            </w:r>
          </w:p>
          <w:p w14:paraId="3797404B" w14:textId="77777777" w:rsidR="00C17B6B" w:rsidRPr="00183B5F" w:rsidRDefault="00943743">
            <w:pPr>
              <w:pStyle w:val="EMEANormal"/>
              <w:widowControl w:val="0"/>
              <w:suppressAutoHyphens w:val="0"/>
              <w:rPr>
                <w:szCs w:val="22"/>
                <w:lang w:val="hu-HU"/>
              </w:rPr>
            </w:pPr>
            <w:r w:rsidRPr="00183B5F">
              <w:rPr>
                <w:szCs w:val="22"/>
                <w:lang w:val="hu-HU"/>
              </w:rPr>
              <w:t xml:space="preserve">interstitialis tüdőbetegség, </w:t>
            </w:r>
          </w:p>
          <w:p w14:paraId="408A415B" w14:textId="77777777" w:rsidR="00D0403E" w:rsidRPr="00183B5F" w:rsidRDefault="00943743">
            <w:pPr>
              <w:pStyle w:val="EMEANormal"/>
              <w:widowControl w:val="0"/>
              <w:suppressAutoHyphens w:val="0"/>
              <w:rPr>
                <w:lang w:val="hu-HU"/>
              </w:rPr>
            </w:pPr>
            <w:r w:rsidRPr="00183B5F">
              <w:rPr>
                <w:lang w:val="hu-HU"/>
              </w:rPr>
              <w:t>krónikus obstruktív tüdőbetegség,</w:t>
            </w:r>
          </w:p>
          <w:p w14:paraId="12FA1E2C" w14:textId="77777777" w:rsidR="00D0403E" w:rsidRPr="00183B5F" w:rsidRDefault="00943743">
            <w:pPr>
              <w:pStyle w:val="EMEANormal"/>
              <w:widowControl w:val="0"/>
              <w:suppressAutoHyphens w:val="0"/>
              <w:rPr>
                <w:lang w:val="hu-HU"/>
              </w:rPr>
            </w:pPr>
            <w:r w:rsidRPr="00183B5F">
              <w:rPr>
                <w:lang w:val="hu-HU"/>
              </w:rPr>
              <w:t>pneumonitis,</w:t>
            </w:r>
          </w:p>
          <w:p w14:paraId="206436DB" w14:textId="77777777" w:rsidR="00D0403E" w:rsidRPr="00183B5F" w:rsidRDefault="00943743">
            <w:pPr>
              <w:pStyle w:val="EMEANormal"/>
              <w:widowControl w:val="0"/>
              <w:suppressAutoHyphens w:val="0"/>
              <w:rPr>
                <w:lang w:val="hu-HU"/>
              </w:rPr>
            </w:pPr>
            <w:r w:rsidRPr="00183B5F">
              <w:rPr>
                <w:szCs w:val="22"/>
                <w:lang w:val="hu-HU"/>
              </w:rPr>
              <w:t>pleuralis folyadékgyülem</w:t>
            </w:r>
            <w:r w:rsidRPr="00183B5F">
              <w:rPr>
                <w:szCs w:val="22"/>
                <w:vertAlign w:val="superscript"/>
                <w:lang w:val="hu-HU"/>
              </w:rPr>
              <w:t>1)</w:t>
            </w:r>
          </w:p>
        </w:tc>
      </w:tr>
      <w:tr w:rsidR="00011D2F" w14:paraId="5F673895" w14:textId="77777777" w:rsidTr="00202B95">
        <w:trPr>
          <w:cantSplit/>
        </w:trPr>
        <w:tc>
          <w:tcPr>
            <w:tcW w:w="2580" w:type="dxa"/>
            <w:tcBorders>
              <w:top w:val="nil"/>
              <w:bottom w:val="single" w:sz="4" w:space="0" w:color="auto"/>
            </w:tcBorders>
          </w:tcPr>
          <w:p w14:paraId="75DB48A6" w14:textId="77777777" w:rsidR="003B0C01" w:rsidRPr="00183B5F" w:rsidRDefault="003B0C01"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787EF180" w14:textId="77777777" w:rsidR="003B0C01" w:rsidRPr="00183B5F" w:rsidRDefault="00943743">
            <w:pPr>
              <w:pStyle w:val="EMEANormal"/>
              <w:widowControl w:val="0"/>
              <w:suppressAutoHyphens w:val="0"/>
              <w:rPr>
                <w:lang w:val="hu-HU"/>
              </w:rPr>
            </w:pPr>
            <w:r w:rsidRPr="00183B5F">
              <w:rPr>
                <w:lang w:val="hu-HU"/>
              </w:rPr>
              <w:t>Ritka</w:t>
            </w:r>
          </w:p>
        </w:tc>
        <w:tc>
          <w:tcPr>
            <w:tcW w:w="4454" w:type="dxa"/>
            <w:tcBorders>
              <w:top w:val="single" w:sz="4" w:space="0" w:color="auto"/>
              <w:bottom w:val="single" w:sz="4" w:space="0" w:color="auto"/>
            </w:tcBorders>
          </w:tcPr>
          <w:p w14:paraId="3903BC9A" w14:textId="77777777" w:rsidR="003B0C01" w:rsidRPr="00183B5F" w:rsidRDefault="00943743">
            <w:pPr>
              <w:pStyle w:val="EMEANormal"/>
              <w:widowControl w:val="0"/>
              <w:suppressAutoHyphens w:val="0"/>
              <w:rPr>
                <w:szCs w:val="22"/>
                <w:lang w:val="hu-HU"/>
              </w:rPr>
            </w:pPr>
            <w:r w:rsidRPr="00183B5F">
              <w:rPr>
                <w:lang w:val="hu-HU"/>
              </w:rPr>
              <w:t>Tüdőfibrosis</w:t>
            </w:r>
            <w:r w:rsidRPr="00183B5F">
              <w:rPr>
                <w:vertAlign w:val="superscript"/>
                <w:lang w:val="hu-HU"/>
              </w:rPr>
              <w:t>1)</w:t>
            </w:r>
          </w:p>
        </w:tc>
      </w:tr>
      <w:tr w:rsidR="00011D2F" w14:paraId="6CC2231F" w14:textId="77777777" w:rsidTr="00202B95">
        <w:trPr>
          <w:cantSplit/>
        </w:trPr>
        <w:tc>
          <w:tcPr>
            <w:tcW w:w="2580" w:type="dxa"/>
            <w:vMerge w:val="restart"/>
            <w:tcBorders>
              <w:top w:val="single" w:sz="4" w:space="0" w:color="auto"/>
            </w:tcBorders>
          </w:tcPr>
          <w:p w14:paraId="15F2A7C3" w14:textId="77777777" w:rsidR="00D0403E" w:rsidRPr="00183B5F" w:rsidRDefault="00943743" w:rsidP="004062FE">
            <w:pPr>
              <w:pStyle w:val="EMEANormal"/>
              <w:widowControl w:val="0"/>
              <w:suppressAutoHyphens w:val="0"/>
              <w:rPr>
                <w:lang w:val="hu-HU"/>
              </w:rPr>
            </w:pPr>
            <w:r w:rsidRPr="00183B5F">
              <w:rPr>
                <w:lang w:val="hu-HU"/>
              </w:rPr>
              <w:t>Emésztőrendszeri betegségek és tünetek</w:t>
            </w:r>
          </w:p>
        </w:tc>
        <w:tc>
          <w:tcPr>
            <w:tcW w:w="2027" w:type="dxa"/>
            <w:tcBorders>
              <w:top w:val="single" w:sz="4" w:space="0" w:color="auto"/>
              <w:bottom w:val="single" w:sz="4" w:space="0" w:color="auto"/>
            </w:tcBorders>
          </w:tcPr>
          <w:p w14:paraId="191AB271" w14:textId="77777777" w:rsidR="00D0403E" w:rsidRPr="00183B5F" w:rsidRDefault="00943743" w:rsidP="004062FE">
            <w:pPr>
              <w:pStyle w:val="EMEANormal"/>
              <w:widowControl w:val="0"/>
              <w:suppressAutoHyphens w:val="0"/>
              <w:rPr>
                <w:lang w:val="hu-HU"/>
              </w:rPr>
            </w:pPr>
            <w:r w:rsidRPr="00183B5F">
              <w:rPr>
                <w:lang w:val="hu-HU"/>
              </w:rPr>
              <w:t>Nagyon gyakori</w:t>
            </w:r>
          </w:p>
          <w:p w14:paraId="303C6148" w14:textId="77777777" w:rsidR="00D0403E" w:rsidRPr="00183B5F" w:rsidRDefault="00D0403E" w:rsidP="004062FE">
            <w:pPr>
              <w:pStyle w:val="EMEANormal"/>
              <w:widowControl w:val="0"/>
              <w:suppressAutoHyphens w:val="0"/>
              <w:rPr>
                <w:lang w:val="hu-HU"/>
              </w:rPr>
            </w:pPr>
          </w:p>
        </w:tc>
        <w:tc>
          <w:tcPr>
            <w:tcW w:w="4454" w:type="dxa"/>
            <w:tcBorders>
              <w:top w:val="single" w:sz="4" w:space="0" w:color="auto"/>
              <w:bottom w:val="single" w:sz="4" w:space="0" w:color="auto"/>
            </w:tcBorders>
          </w:tcPr>
          <w:p w14:paraId="176CE4E5" w14:textId="77777777" w:rsidR="00D0403E" w:rsidRPr="00183B5F" w:rsidRDefault="00943743" w:rsidP="004062FE">
            <w:pPr>
              <w:pStyle w:val="EMEANormal"/>
              <w:widowControl w:val="0"/>
              <w:suppressAutoHyphens w:val="0"/>
              <w:rPr>
                <w:lang w:val="hu-HU"/>
              </w:rPr>
            </w:pPr>
            <w:r w:rsidRPr="00183B5F">
              <w:rPr>
                <w:lang w:val="hu-HU"/>
              </w:rPr>
              <w:t xml:space="preserve">Hasi fájdalom, </w:t>
            </w:r>
          </w:p>
          <w:p w14:paraId="4795E195" w14:textId="77777777" w:rsidR="00D0403E" w:rsidRPr="00183B5F" w:rsidRDefault="00943743" w:rsidP="004062FE">
            <w:pPr>
              <w:pStyle w:val="EMEANormal"/>
              <w:widowControl w:val="0"/>
              <w:suppressAutoHyphens w:val="0"/>
              <w:rPr>
                <w:lang w:val="hu-HU"/>
              </w:rPr>
            </w:pPr>
            <w:r w:rsidRPr="00183B5F">
              <w:rPr>
                <w:lang w:val="hu-HU"/>
              </w:rPr>
              <w:t>hányinger és hányás</w:t>
            </w:r>
          </w:p>
          <w:p w14:paraId="5BFBFA67" w14:textId="77777777" w:rsidR="00D0403E" w:rsidRPr="00183B5F" w:rsidRDefault="00D0403E" w:rsidP="004062FE">
            <w:pPr>
              <w:pStyle w:val="EMEANormal"/>
              <w:widowControl w:val="0"/>
              <w:suppressAutoHyphens w:val="0"/>
              <w:rPr>
                <w:lang w:val="hu-HU"/>
              </w:rPr>
            </w:pPr>
          </w:p>
        </w:tc>
      </w:tr>
      <w:tr w:rsidR="00011D2F" w14:paraId="53B61F0C" w14:textId="77777777" w:rsidTr="00202B95">
        <w:trPr>
          <w:cantSplit/>
        </w:trPr>
        <w:tc>
          <w:tcPr>
            <w:tcW w:w="2580" w:type="dxa"/>
            <w:vMerge/>
          </w:tcPr>
          <w:p w14:paraId="6ECA5711" w14:textId="77777777" w:rsidR="00D0403E" w:rsidRPr="00183B5F" w:rsidRDefault="00D0403E"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637B1C49" w14:textId="77777777" w:rsidR="00D0403E" w:rsidRPr="00183B5F" w:rsidRDefault="00943743">
            <w:pPr>
              <w:pStyle w:val="EMEANormal"/>
              <w:widowControl w:val="0"/>
              <w:suppressAutoHyphens w:val="0"/>
              <w:rPr>
                <w:lang w:val="hu-HU"/>
              </w:rPr>
            </w:pPr>
            <w:r w:rsidRPr="00183B5F">
              <w:rPr>
                <w:lang w:val="hu-HU"/>
              </w:rPr>
              <w:t>Gyakori</w:t>
            </w:r>
          </w:p>
          <w:p w14:paraId="04F91921" w14:textId="77777777" w:rsidR="00D0403E" w:rsidRPr="00183B5F" w:rsidRDefault="00D0403E">
            <w:pPr>
              <w:pStyle w:val="EMEANormal"/>
              <w:widowControl w:val="0"/>
              <w:suppressAutoHyphens w:val="0"/>
              <w:rPr>
                <w:lang w:val="hu-HU"/>
              </w:rPr>
            </w:pPr>
          </w:p>
        </w:tc>
        <w:tc>
          <w:tcPr>
            <w:tcW w:w="4454" w:type="dxa"/>
            <w:tcBorders>
              <w:top w:val="single" w:sz="4" w:space="0" w:color="auto"/>
              <w:bottom w:val="single" w:sz="4" w:space="0" w:color="auto"/>
            </w:tcBorders>
          </w:tcPr>
          <w:p w14:paraId="6345BD16" w14:textId="77777777" w:rsidR="00D0403E" w:rsidRPr="00183B5F" w:rsidRDefault="00943743">
            <w:pPr>
              <w:pStyle w:val="EMEANormal"/>
              <w:widowControl w:val="0"/>
              <w:suppressAutoHyphens w:val="0"/>
              <w:rPr>
                <w:lang w:val="hu-HU"/>
              </w:rPr>
            </w:pPr>
            <w:r w:rsidRPr="00183B5F">
              <w:rPr>
                <w:lang w:val="hu-HU"/>
              </w:rPr>
              <w:t xml:space="preserve">Gastrointestinalis vérzés, </w:t>
            </w:r>
          </w:p>
          <w:p w14:paraId="0573D461" w14:textId="77777777" w:rsidR="00D0403E" w:rsidRPr="00183B5F" w:rsidRDefault="00943743">
            <w:pPr>
              <w:pStyle w:val="EMEANormal"/>
              <w:widowControl w:val="0"/>
              <w:suppressAutoHyphens w:val="0"/>
              <w:rPr>
                <w:lang w:val="hu-HU"/>
              </w:rPr>
            </w:pPr>
            <w:r w:rsidRPr="00183B5F">
              <w:rPr>
                <w:lang w:val="hu-HU"/>
              </w:rPr>
              <w:t xml:space="preserve">dyspepsia, </w:t>
            </w:r>
          </w:p>
          <w:p w14:paraId="47A7497B" w14:textId="77777777" w:rsidR="00D0403E" w:rsidRPr="00183B5F" w:rsidRDefault="00943743">
            <w:pPr>
              <w:pStyle w:val="EMEANormal"/>
              <w:widowControl w:val="0"/>
              <w:suppressAutoHyphens w:val="0"/>
              <w:rPr>
                <w:lang w:val="hu-HU"/>
              </w:rPr>
            </w:pPr>
            <w:r w:rsidRPr="00183B5F">
              <w:rPr>
                <w:lang w:val="hu-HU"/>
              </w:rPr>
              <w:t>gastrooesophagealis reflux betegség,</w:t>
            </w:r>
          </w:p>
          <w:p w14:paraId="77BACF05" w14:textId="77777777" w:rsidR="00D0403E" w:rsidRPr="00183B5F" w:rsidRDefault="00943743">
            <w:pPr>
              <w:pStyle w:val="EMEANormal"/>
              <w:widowControl w:val="0"/>
              <w:suppressAutoHyphens w:val="0"/>
              <w:rPr>
                <w:lang w:val="hu-HU"/>
              </w:rPr>
            </w:pPr>
            <w:r w:rsidRPr="00183B5F">
              <w:rPr>
                <w:lang w:val="hu-HU"/>
              </w:rPr>
              <w:t>sicca-szindróma</w:t>
            </w:r>
          </w:p>
          <w:p w14:paraId="54A4DCC4" w14:textId="77777777" w:rsidR="00D0403E" w:rsidRPr="00183B5F" w:rsidRDefault="00D0403E">
            <w:pPr>
              <w:pStyle w:val="EMEANormal"/>
              <w:widowControl w:val="0"/>
              <w:suppressAutoHyphens w:val="0"/>
              <w:rPr>
                <w:lang w:val="hu-HU"/>
              </w:rPr>
            </w:pPr>
          </w:p>
        </w:tc>
      </w:tr>
      <w:tr w:rsidR="00011D2F" w14:paraId="5BA76863" w14:textId="77777777" w:rsidTr="00202B95">
        <w:trPr>
          <w:cantSplit/>
        </w:trPr>
        <w:tc>
          <w:tcPr>
            <w:tcW w:w="2580" w:type="dxa"/>
            <w:vMerge/>
            <w:tcBorders>
              <w:bottom w:val="nil"/>
            </w:tcBorders>
          </w:tcPr>
          <w:p w14:paraId="0CD1F304" w14:textId="77777777" w:rsidR="00D0403E" w:rsidRPr="00183B5F" w:rsidRDefault="00D0403E" w:rsidP="004062FE">
            <w:pPr>
              <w:widowControl w:val="0"/>
              <w:suppressAutoHyphens w:val="0"/>
              <w:spacing w:line="240" w:lineRule="auto"/>
              <w:jc w:val="center"/>
              <w:rPr>
                <w:b/>
              </w:rPr>
            </w:pPr>
          </w:p>
        </w:tc>
        <w:tc>
          <w:tcPr>
            <w:tcW w:w="2027" w:type="dxa"/>
            <w:tcBorders>
              <w:top w:val="single" w:sz="4" w:space="0" w:color="auto"/>
              <w:bottom w:val="single" w:sz="4" w:space="0" w:color="auto"/>
              <w:right w:val="single" w:sz="4" w:space="0" w:color="auto"/>
            </w:tcBorders>
          </w:tcPr>
          <w:p w14:paraId="6D64AA41" w14:textId="77777777" w:rsidR="00D0403E" w:rsidRPr="00183B5F" w:rsidRDefault="00943743">
            <w:pPr>
              <w:pStyle w:val="EMEANormal"/>
              <w:widowControl w:val="0"/>
              <w:suppressAutoHyphens w:val="0"/>
              <w:rPr>
                <w:lang w:val="hu-HU"/>
              </w:rPr>
            </w:pPr>
            <w:r w:rsidRPr="00183B5F">
              <w:rPr>
                <w:lang w:val="hu-HU"/>
              </w:rPr>
              <w:t>Nem gyakori</w:t>
            </w:r>
          </w:p>
          <w:p w14:paraId="49E47C98" w14:textId="77777777" w:rsidR="00D0403E" w:rsidRPr="00183B5F" w:rsidRDefault="00D0403E">
            <w:pPr>
              <w:pStyle w:val="EMEANormal"/>
              <w:widowControl w:val="0"/>
              <w:suppressAutoHyphens w:val="0"/>
              <w:rPr>
                <w:lang w:val="hu-HU"/>
              </w:rPr>
            </w:pPr>
          </w:p>
          <w:p w14:paraId="5D8CAC28" w14:textId="77777777" w:rsidR="00D0403E" w:rsidRPr="00183B5F" w:rsidRDefault="00D0403E">
            <w:pPr>
              <w:pStyle w:val="EMEANormal"/>
              <w:widowControl w:val="0"/>
              <w:suppressAutoHyphens w:val="0"/>
              <w:rPr>
                <w:lang w:val="hu-HU"/>
              </w:rPr>
            </w:pPr>
          </w:p>
        </w:tc>
        <w:tc>
          <w:tcPr>
            <w:tcW w:w="4454" w:type="dxa"/>
            <w:tcBorders>
              <w:top w:val="single" w:sz="4" w:space="0" w:color="auto"/>
              <w:left w:val="single" w:sz="4" w:space="0" w:color="auto"/>
              <w:bottom w:val="single" w:sz="4" w:space="0" w:color="auto"/>
            </w:tcBorders>
          </w:tcPr>
          <w:p w14:paraId="78B56BAB" w14:textId="77777777" w:rsidR="00D0403E" w:rsidRPr="00183B5F" w:rsidRDefault="00943743">
            <w:pPr>
              <w:pStyle w:val="EMEANormal"/>
              <w:widowControl w:val="0"/>
              <w:suppressAutoHyphens w:val="0"/>
              <w:rPr>
                <w:lang w:val="hu-HU"/>
              </w:rPr>
            </w:pPr>
            <w:r w:rsidRPr="00183B5F">
              <w:rPr>
                <w:lang w:val="hu-HU"/>
              </w:rPr>
              <w:t xml:space="preserve">Pancreatitis, </w:t>
            </w:r>
          </w:p>
          <w:p w14:paraId="62F089F6" w14:textId="77777777" w:rsidR="00D0403E" w:rsidRPr="00183B5F" w:rsidRDefault="00943743">
            <w:pPr>
              <w:pStyle w:val="EMEANormal"/>
              <w:widowControl w:val="0"/>
              <w:suppressAutoHyphens w:val="0"/>
              <w:rPr>
                <w:lang w:val="hu-HU"/>
              </w:rPr>
            </w:pPr>
            <w:r w:rsidRPr="00183B5F">
              <w:rPr>
                <w:lang w:val="hu-HU"/>
              </w:rPr>
              <w:t>dysphagia</w:t>
            </w:r>
          </w:p>
          <w:p w14:paraId="40E99289" w14:textId="77777777" w:rsidR="00D0403E" w:rsidRPr="00183B5F" w:rsidRDefault="00943743">
            <w:pPr>
              <w:pStyle w:val="EMEANormal"/>
              <w:widowControl w:val="0"/>
              <w:suppressAutoHyphens w:val="0"/>
              <w:rPr>
                <w:lang w:val="hu-HU"/>
              </w:rPr>
            </w:pPr>
            <w:r w:rsidRPr="00183B5F">
              <w:rPr>
                <w:lang w:val="hu-HU"/>
              </w:rPr>
              <w:t>arc-oedema</w:t>
            </w:r>
          </w:p>
        </w:tc>
      </w:tr>
      <w:tr w:rsidR="00011D2F" w14:paraId="14CAC031" w14:textId="77777777" w:rsidTr="00202B95">
        <w:trPr>
          <w:cantSplit/>
        </w:trPr>
        <w:tc>
          <w:tcPr>
            <w:tcW w:w="2580" w:type="dxa"/>
            <w:tcBorders>
              <w:top w:val="nil"/>
            </w:tcBorders>
          </w:tcPr>
          <w:p w14:paraId="405C76E8" w14:textId="77777777" w:rsidR="003B0C01" w:rsidRPr="00183B5F" w:rsidRDefault="003B0C01" w:rsidP="004062FE">
            <w:pPr>
              <w:widowControl w:val="0"/>
              <w:suppressAutoHyphens w:val="0"/>
              <w:spacing w:line="240" w:lineRule="auto"/>
              <w:jc w:val="center"/>
              <w:rPr>
                <w:b/>
              </w:rPr>
            </w:pPr>
          </w:p>
        </w:tc>
        <w:tc>
          <w:tcPr>
            <w:tcW w:w="2027" w:type="dxa"/>
            <w:tcBorders>
              <w:top w:val="single" w:sz="4" w:space="0" w:color="auto"/>
              <w:bottom w:val="single" w:sz="4" w:space="0" w:color="auto"/>
              <w:right w:val="single" w:sz="4" w:space="0" w:color="auto"/>
            </w:tcBorders>
          </w:tcPr>
          <w:p w14:paraId="364A6D10" w14:textId="77777777" w:rsidR="003B0C01" w:rsidRPr="00183B5F" w:rsidRDefault="00943743">
            <w:pPr>
              <w:pStyle w:val="EMEANormal"/>
              <w:widowControl w:val="0"/>
              <w:suppressAutoHyphens w:val="0"/>
              <w:rPr>
                <w:lang w:val="hu-HU"/>
              </w:rPr>
            </w:pPr>
            <w:r w:rsidRPr="00183B5F">
              <w:rPr>
                <w:szCs w:val="22"/>
                <w:lang w:val="hu-HU"/>
              </w:rPr>
              <w:t>Ritka</w:t>
            </w:r>
          </w:p>
        </w:tc>
        <w:tc>
          <w:tcPr>
            <w:tcW w:w="4454" w:type="dxa"/>
            <w:tcBorders>
              <w:top w:val="single" w:sz="4" w:space="0" w:color="auto"/>
              <w:left w:val="single" w:sz="4" w:space="0" w:color="auto"/>
              <w:bottom w:val="single" w:sz="4" w:space="0" w:color="auto"/>
            </w:tcBorders>
          </w:tcPr>
          <w:p w14:paraId="6046BCED" w14:textId="77777777" w:rsidR="003B0C01" w:rsidRPr="00183B5F" w:rsidRDefault="00943743">
            <w:pPr>
              <w:pStyle w:val="EMEANormal"/>
              <w:widowControl w:val="0"/>
              <w:suppressAutoHyphens w:val="0"/>
              <w:rPr>
                <w:lang w:val="hu-HU"/>
              </w:rPr>
            </w:pPr>
            <w:r w:rsidRPr="00183B5F">
              <w:rPr>
                <w:szCs w:val="22"/>
                <w:lang w:val="hu-HU"/>
              </w:rPr>
              <w:t>Bélperforatio</w:t>
            </w:r>
            <w:r w:rsidRPr="00183B5F">
              <w:rPr>
                <w:szCs w:val="22"/>
                <w:vertAlign w:val="superscript"/>
                <w:lang w:val="hu-HU"/>
              </w:rPr>
              <w:t>1)</w:t>
            </w:r>
          </w:p>
        </w:tc>
      </w:tr>
      <w:tr w:rsidR="00011D2F" w14:paraId="32738E8F" w14:textId="77777777" w:rsidTr="00202B95">
        <w:trPr>
          <w:cantSplit/>
        </w:trPr>
        <w:tc>
          <w:tcPr>
            <w:tcW w:w="2580" w:type="dxa"/>
            <w:vMerge w:val="restart"/>
          </w:tcPr>
          <w:p w14:paraId="413BE773" w14:textId="77777777" w:rsidR="00D0403E" w:rsidRPr="00183B5F" w:rsidRDefault="00943743" w:rsidP="004062FE">
            <w:pPr>
              <w:pStyle w:val="EMEANormal"/>
              <w:widowControl w:val="0"/>
              <w:suppressAutoHyphens w:val="0"/>
              <w:rPr>
                <w:szCs w:val="22"/>
                <w:lang w:val="hu-HU"/>
              </w:rPr>
            </w:pPr>
            <w:r w:rsidRPr="00183B5F">
              <w:rPr>
                <w:szCs w:val="22"/>
                <w:lang w:val="hu-HU"/>
              </w:rPr>
              <w:t>Máj- és epebetegségek, illetve tünetek*</w:t>
            </w:r>
          </w:p>
        </w:tc>
        <w:tc>
          <w:tcPr>
            <w:tcW w:w="2027" w:type="dxa"/>
            <w:tcBorders>
              <w:bottom w:val="single" w:sz="4" w:space="0" w:color="auto"/>
            </w:tcBorders>
          </w:tcPr>
          <w:p w14:paraId="322B03D7" w14:textId="77777777" w:rsidR="00D0403E" w:rsidRPr="00183B5F" w:rsidRDefault="00943743" w:rsidP="004062FE">
            <w:pPr>
              <w:pStyle w:val="EMEANormal"/>
              <w:widowControl w:val="0"/>
              <w:suppressAutoHyphens w:val="0"/>
              <w:rPr>
                <w:lang w:val="hu-HU"/>
              </w:rPr>
            </w:pPr>
            <w:r w:rsidRPr="00183B5F">
              <w:rPr>
                <w:lang w:val="hu-HU"/>
              </w:rPr>
              <w:t>Nagyon gyakori</w:t>
            </w:r>
          </w:p>
          <w:p w14:paraId="373F1983" w14:textId="77777777" w:rsidR="00D0403E" w:rsidRPr="00183B5F" w:rsidRDefault="00D0403E" w:rsidP="004062FE">
            <w:pPr>
              <w:pStyle w:val="EMEANormal"/>
              <w:widowControl w:val="0"/>
              <w:suppressAutoHyphens w:val="0"/>
              <w:rPr>
                <w:lang w:val="hu-HU"/>
              </w:rPr>
            </w:pPr>
          </w:p>
        </w:tc>
        <w:tc>
          <w:tcPr>
            <w:tcW w:w="4454" w:type="dxa"/>
            <w:tcBorders>
              <w:bottom w:val="single" w:sz="4" w:space="0" w:color="auto"/>
            </w:tcBorders>
          </w:tcPr>
          <w:p w14:paraId="0AC2783B" w14:textId="77777777" w:rsidR="00D0403E" w:rsidRPr="00183B5F" w:rsidRDefault="00943743" w:rsidP="004062FE">
            <w:pPr>
              <w:pStyle w:val="EMEANormal"/>
              <w:widowControl w:val="0"/>
              <w:suppressAutoHyphens w:val="0"/>
              <w:rPr>
                <w:lang w:val="hu-HU"/>
              </w:rPr>
            </w:pPr>
            <w:r w:rsidRPr="00183B5F">
              <w:rPr>
                <w:lang w:val="hu-HU"/>
              </w:rPr>
              <w:t xml:space="preserve">Emelkedett májenzimszintek </w:t>
            </w:r>
          </w:p>
          <w:p w14:paraId="618B2767" w14:textId="77777777" w:rsidR="00D0403E" w:rsidRPr="00183B5F" w:rsidRDefault="00D0403E" w:rsidP="004062FE">
            <w:pPr>
              <w:pStyle w:val="EMEANormal"/>
              <w:widowControl w:val="0"/>
              <w:suppressAutoHyphens w:val="0"/>
              <w:rPr>
                <w:lang w:val="hu-HU"/>
              </w:rPr>
            </w:pPr>
          </w:p>
        </w:tc>
      </w:tr>
      <w:tr w:rsidR="00011D2F" w14:paraId="1854009D" w14:textId="77777777" w:rsidTr="00202B95">
        <w:trPr>
          <w:cantSplit/>
        </w:trPr>
        <w:tc>
          <w:tcPr>
            <w:tcW w:w="2580" w:type="dxa"/>
            <w:vMerge/>
            <w:tcBorders>
              <w:bottom w:val="nil"/>
            </w:tcBorders>
          </w:tcPr>
          <w:p w14:paraId="1630CC42" w14:textId="77777777" w:rsidR="00D0403E" w:rsidRPr="00183B5F" w:rsidRDefault="00D0403E" w:rsidP="004062FE">
            <w:pPr>
              <w:pStyle w:val="EMEANormal"/>
              <w:widowControl w:val="0"/>
              <w:suppressAutoHyphens w:val="0"/>
              <w:rPr>
                <w:lang w:val="hu-HU"/>
              </w:rPr>
            </w:pPr>
          </w:p>
        </w:tc>
        <w:tc>
          <w:tcPr>
            <w:tcW w:w="2027" w:type="dxa"/>
            <w:tcBorders>
              <w:top w:val="single" w:sz="4" w:space="0" w:color="auto"/>
              <w:bottom w:val="single" w:sz="4" w:space="0" w:color="auto"/>
              <w:right w:val="single" w:sz="4" w:space="0" w:color="auto"/>
            </w:tcBorders>
          </w:tcPr>
          <w:p w14:paraId="6918BE51" w14:textId="77777777" w:rsidR="00D0403E" w:rsidRPr="00183B5F" w:rsidRDefault="00943743">
            <w:pPr>
              <w:pStyle w:val="EMEANormal"/>
              <w:widowControl w:val="0"/>
              <w:suppressAutoHyphens w:val="0"/>
              <w:rPr>
                <w:lang w:val="hu-HU"/>
              </w:rPr>
            </w:pPr>
            <w:r w:rsidRPr="00183B5F">
              <w:rPr>
                <w:lang w:val="hu-HU"/>
              </w:rPr>
              <w:t>Nem gyakori</w:t>
            </w:r>
          </w:p>
          <w:p w14:paraId="754A080F" w14:textId="77777777" w:rsidR="00D0403E" w:rsidRPr="00183B5F" w:rsidRDefault="00D0403E">
            <w:pPr>
              <w:pStyle w:val="EMEANormal"/>
              <w:widowControl w:val="0"/>
              <w:suppressAutoHyphens w:val="0"/>
              <w:rPr>
                <w:lang w:val="hu-HU"/>
              </w:rPr>
            </w:pPr>
          </w:p>
        </w:tc>
        <w:tc>
          <w:tcPr>
            <w:tcW w:w="4454" w:type="dxa"/>
            <w:tcBorders>
              <w:top w:val="single" w:sz="4" w:space="0" w:color="auto"/>
              <w:left w:val="single" w:sz="4" w:space="0" w:color="auto"/>
              <w:bottom w:val="single" w:sz="4" w:space="0" w:color="auto"/>
            </w:tcBorders>
          </w:tcPr>
          <w:p w14:paraId="34241119" w14:textId="77777777" w:rsidR="00D0403E" w:rsidRPr="00183B5F" w:rsidRDefault="00943743">
            <w:pPr>
              <w:pStyle w:val="EMEANormal"/>
              <w:widowControl w:val="0"/>
              <w:suppressAutoHyphens w:val="0"/>
              <w:rPr>
                <w:lang w:val="hu-HU"/>
              </w:rPr>
            </w:pPr>
            <w:r w:rsidRPr="00183B5F">
              <w:rPr>
                <w:lang w:val="hu-HU"/>
              </w:rPr>
              <w:t xml:space="preserve">Cholecystitis és cholelithiasis, </w:t>
            </w:r>
          </w:p>
          <w:p w14:paraId="66B0CA6A" w14:textId="77777777" w:rsidR="00D0403E" w:rsidRPr="00183B5F" w:rsidRDefault="00943743">
            <w:pPr>
              <w:pStyle w:val="EMEANormal"/>
              <w:widowControl w:val="0"/>
              <w:suppressAutoHyphens w:val="0"/>
              <w:rPr>
                <w:szCs w:val="22"/>
                <w:lang w:val="hu-HU"/>
              </w:rPr>
            </w:pPr>
            <w:r w:rsidRPr="00183B5F">
              <w:rPr>
                <w:szCs w:val="22"/>
                <w:lang w:val="hu-HU"/>
              </w:rPr>
              <w:t>steatosis hepatis,</w:t>
            </w:r>
          </w:p>
          <w:p w14:paraId="275238A6" w14:textId="77777777" w:rsidR="00D0403E" w:rsidRPr="00183B5F" w:rsidRDefault="00943743">
            <w:pPr>
              <w:pStyle w:val="EMEANormal"/>
              <w:widowControl w:val="0"/>
              <w:suppressAutoHyphens w:val="0"/>
              <w:rPr>
                <w:vertAlign w:val="superscript"/>
                <w:lang w:val="hu-HU"/>
              </w:rPr>
            </w:pPr>
            <w:r w:rsidRPr="00183B5F">
              <w:rPr>
                <w:szCs w:val="22"/>
                <w:lang w:val="hu-HU"/>
              </w:rPr>
              <w:t xml:space="preserve">emelkedett bilirubinszint </w:t>
            </w:r>
          </w:p>
        </w:tc>
      </w:tr>
      <w:tr w:rsidR="00011D2F" w14:paraId="1F950D80" w14:textId="77777777" w:rsidTr="00202B95">
        <w:trPr>
          <w:cantSplit/>
        </w:trPr>
        <w:tc>
          <w:tcPr>
            <w:tcW w:w="2580" w:type="dxa"/>
            <w:tcBorders>
              <w:top w:val="nil"/>
              <w:bottom w:val="nil"/>
            </w:tcBorders>
          </w:tcPr>
          <w:p w14:paraId="69A84560" w14:textId="77777777" w:rsidR="003B0C01" w:rsidRPr="00183B5F" w:rsidRDefault="003B0C01" w:rsidP="004062FE">
            <w:pPr>
              <w:pStyle w:val="EMEANormal"/>
              <w:widowControl w:val="0"/>
              <w:suppressAutoHyphens w:val="0"/>
              <w:rPr>
                <w:lang w:val="hu-HU"/>
              </w:rPr>
            </w:pPr>
          </w:p>
        </w:tc>
        <w:tc>
          <w:tcPr>
            <w:tcW w:w="2027" w:type="dxa"/>
            <w:tcBorders>
              <w:top w:val="single" w:sz="4" w:space="0" w:color="auto"/>
              <w:bottom w:val="single" w:sz="4" w:space="0" w:color="auto"/>
              <w:right w:val="single" w:sz="4" w:space="0" w:color="auto"/>
            </w:tcBorders>
          </w:tcPr>
          <w:p w14:paraId="777A5282" w14:textId="77777777" w:rsidR="003B0C01" w:rsidRPr="00183B5F" w:rsidRDefault="00943743">
            <w:pPr>
              <w:pStyle w:val="EMEANormal"/>
              <w:widowControl w:val="0"/>
              <w:suppressAutoHyphens w:val="0"/>
              <w:rPr>
                <w:lang w:val="hu-HU"/>
              </w:rPr>
            </w:pPr>
            <w:r w:rsidRPr="00183B5F">
              <w:rPr>
                <w:lang w:val="hu-HU"/>
              </w:rPr>
              <w:t>Ritka</w:t>
            </w:r>
          </w:p>
        </w:tc>
        <w:tc>
          <w:tcPr>
            <w:tcW w:w="4454" w:type="dxa"/>
            <w:tcBorders>
              <w:top w:val="single" w:sz="4" w:space="0" w:color="auto"/>
              <w:left w:val="single" w:sz="4" w:space="0" w:color="auto"/>
              <w:bottom w:val="single" w:sz="4" w:space="0" w:color="auto"/>
            </w:tcBorders>
          </w:tcPr>
          <w:p w14:paraId="2ABC2EE1" w14:textId="77777777" w:rsidR="003B0C01" w:rsidRPr="00183B5F" w:rsidRDefault="00943743">
            <w:pPr>
              <w:pStyle w:val="EMEANormal"/>
              <w:widowControl w:val="0"/>
              <w:suppressAutoHyphens w:val="0"/>
              <w:rPr>
                <w:szCs w:val="22"/>
                <w:lang w:val="hu-HU"/>
              </w:rPr>
            </w:pPr>
            <w:r w:rsidRPr="00183B5F">
              <w:rPr>
                <w:szCs w:val="22"/>
                <w:lang w:val="hu-HU"/>
              </w:rPr>
              <w:t>Hepatitis</w:t>
            </w:r>
          </w:p>
          <w:p w14:paraId="105F25B7" w14:textId="77777777" w:rsidR="003B0C01" w:rsidRPr="00183B5F" w:rsidRDefault="00943743">
            <w:pPr>
              <w:pStyle w:val="EMEANormal"/>
              <w:widowControl w:val="0"/>
              <w:suppressAutoHyphens w:val="0"/>
              <w:rPr>
                <w:szCs w:val="22"/>
                <w:lang w:val="hu-HU"/>
              </w:rPr>
            </w:pPr>
            <w:r w:rsidRPr="00183B5F">
              <w:rPr>
                <w:szCs w:val="22"/>
                <w:lang w:val="hu-HU"/>
              </w:rPr>
              <w:t>a hepatitis B reaktiválódása</w:t>
            </w:r>
            <w:r w:rsidRPr="00183B5F">
              <w:rPr>
                <w:szCs w:val="22"/>
                <w:vertAlign w:val="superscript"/>
                <w:lang w:val="hu-HU"/>
              </w:rPr>
              <w:t>1)</w:t>
            </w:r>
          </w:p>
          <w:p w14:paraId="2D3684E5" w14:textId="77777777" w:rsidR="003B0C01" w:rsidRPr="00183B5F" w:rsidRDefault="00943743">
            <w:pPr>
              <w:pStyle w:val="EMEANormal"/>
              <w:widowControl w:val="0"/>
              <w:suppressAutoHyphens w:val="0"/>
              <w:rPr>
                <w:lang w:val="hu-HU"/>
              </w:rPr>
            </w:pPr>
            <w:r w:rsidRPr="00183B5F">
              <w:rPr>
                <w:szCs w:val="22"/>
                <w:lang w:val="hu-HU"/>
              </w:rPr>
              <w:t>autoimmun hepatitis</w:t>
            </w:r>
            <w:r w:rsidRPr="00183B5F">
              <w:rPr>
                <w:szCs w:val="22"/>
                <w:vertAlign w:val="superscript"/>
                <w:lang w:val="hu-HU"/>
              </w:rPr>
              <w:t>1)</w:t>
            </w:r>
          </w:p>
        </w:tc>
      </w:tr>
      <w:tr w:rsidR="00011D2F" w14:paraId="7E89FFE1" w14:textId="77777777" w:rsidTr="00202B95">
        <w:trPr>
          <w:cantSplit/>
        </w:trPr>
        <w:tc>
          <w:tcPr>
            <w:tcW w:w="2580" w:type="dxa"/>
            <w:tcBorders>
              <w:top w:val="nil"/>
            </w:tcBorders>
          </w:tcPr>
          <w:p w14:paraId="3433A5D7" w14:textId="77777777" w:rsidR="003B0C01" w:rsidRPr="00183B5F" w:rsidRDefault="003B0C01" w:rsidP="004062FE">
            <w:pPr>
              <w:pStyle w:val="EMEANormal"/>
              <w:widowControl w:val="0"/>
              <w:suppressAutoHyphens w:val="0"/>
              <w:rPr>
                <w:lang w:val="hu-HU"/>
              </w:rPr>
            </w:pPr>
          </w:p>
        </w:tc>
        <w:tc>
          <w:tcPr>
            <w:tcW w:w="2027" w:type="dxa"/>
            <w:tcBorders>
              <w:top w:val="single" w:sz="4" w:space="0" w:color="auto"/>
              <w:bottom w:val="single" w:sz="4" w:space="0" w:color="auto"/>
              <w:right w:val="single" w:sz="4" w:space="0" w:color="auto"/>
            </w:tcBorders>
          </w:tcPr>
          <w:p w14:paraId="3C6E07BE" w14:textId="77777777" w:rsidR="003B0C01" w:rsidRPr="00183B5F" w:rsidRDefault="00943743">
            <w:pPr>
              <w:pStyle w:val="EMEANormal"/>
              <w:widowControl w:val="0"/>
              <w:suppressAutoHyphens w:val="0"/>
              <w:rPr>
                <w:lang w:val="hu-HU"/>
              </w:rPr>
            </w:pPr>
            <w:r w:rsidRPr="00183B5F">
              <w:rPr>
                <w:lang w:val="hu-HU"/>
              </w:rPr>
              <w:t>Nem ismert</w:t>
            </w:r>
          </w:p>
        </w:tc>
        <w:tc>
          <w:tcPr>
            <w:tcW w:w="4454" w:type="dxa"/>
            <w:tcBorders>
              <w:top w:val="single" w:sz="4" w:space="0" w:color="auto"/>
              <w:left w:val="single" w:sz="4" w:space="0" w:color="auto"/>
              <w:bottom w:val="single" w:sz="4" w:space="0" w:color="auto"/>
            </w:tcBorders>
          </w:tcPr>
          <w:p w14:paraId="642BC74F" w14:textId="77777777" w:rsidR="003B0C01" w:rsidRPr="00183B5F" w:rsidRDefault="00943743">
            <w:pPr>
              <w:pStyle w:val="EMEANormal"/>
              <w:widowControl w:val="0"/>
              <w:suppressAutoHyphens w:val="0"/>
              <w:rPr>
                <w:lang w:val="hu-HU"/>
              </w:rPr>
            </w:pPr>
            <w:r w:rsidRPr="00183B5F">
              <w:rPr>
                <w:lang w:val="hu-HU"/>
              </w:rPr>
              <w:t>Májelégtelenség</w:t>
            </w:r>
            <w:r w:rsidRPr="00183B5F">
              <w:rPr>
                <w:vertAlign w:val="superscript"/>
                <w:lang w:val="hu-HU"/>
              </w:rPr>
              <w:t>1)</w:t>
            </w:r>
          </w:p>
        </w:tc>
      </w:tr>
      <w:tr w:rsidR="00011D2F" w14:paraId="19DFFBC4" w14:textId="77777777" w:rsidTr="00202B95">
        <w:trPr>
          <w:cantSplit/>
        </w:trPr>
        <w:tc>
          <w:tcPr>
            <w:tcW w:w="2580" w:type="dxa"/>
            <w:vMerge w:val="restart"/>
          </w:tcPr>
          <w:p w14:paraId="0F2A674F" w14:textId="77777777" w:rsidR="00D0403E" w:rsidRPr="00183B5F" w:rsidRDefault="00943743" w:rsidP="004062FE">
            <w:pPr>
              <w:pStyle w:val="EMEANormal"/>
              <w:widowControl w:val="0"/>
              <w:suppressAutoHyphens w:val="0"/>
              <w:rPr>
                <w:szCs w:val="22"/>
                <w:lang w:val="hu-HU"/>
              </w:rPr>
            </w:pPr>
            <w:r w:rsidRPr="00183B5F">
              <w:rPr>
                <w:szCs w:val="22"/>
                <w:lang w:val="hu-HU"/>
              </w:rPr>
              <w:t>A bőr és a bőr alatti szövet betegségei és tünetei</w:t>
            </w:r>
          </w:p>
        </w:tc>
        <w:tc>
          <w:tcPr>
            <w:tcW w:w="2027" w:type="dxa"/>
            <w:tcBorders>
              <w:bottom w:val="single" w:sz="4" w:space="0" w:color="auto"/>
            </w:tcBorders>
          </w:tcPr>
          <w:p w14:paraId="68C9EBE2" w14:textId="77777777" w:rsidR="00D0403E" w:rsidRPr="00183B5F" w:rsidRDefault="00943743" w:rsidP="004062FE">
            <w:pPr>
              <w:pStyle w:val="EMEANormal"/>
              <w:widowControl w:val="0"/>
              <w:suppressAutoHyphens w:val="0"/>
              <w:rPr>
                <w:lang w:val="hu-HU"/>
              </w:rPr>
            </w:pPr>
            <w:r w:rsidRPr="00183B5F">
              <w:rPr>
                <w:lang w:val="hu-HU"/>
              </w:rPr>
              <w:t>Nagyon gyakori</w:t>
            </w:r>
          </w:p>
        </w:tc>
        <w:tc>
          <w:tcPr>
            <w:tcW w:w="4454" w:type="dxa"/>
            <w:tcBorders>
              <w:bottom w:val="single" w:sz="4" w:space="0" w:color="auto"/>
            </w:tcBorders>
          </w:tcPr>
          <w:p w14:paraId="256B210F" w14:textId="77777777" w:rsidR="00D0403E" w:rsidRPr="00183B5F" w:rsidRDefault="00943743" w:rsidP="004062FE">
            <w:pPr>
              <w:pStyle w:val="EMEANormal"/>
              <w:widowControl w:val="0"/>
              <w:suppressAutoHyphens w:val="0"/>
              <w:rPr>
                <w:lang w:val="hu-HU"/>
              </w:rPr>
            </w:pPr>
            <w:r w:rsidRPr="00183B5F">
              <w:rPr>
                <w:lang w:val="hu-HU"/>
              </w:rPr>
              <w:t>Bőrkiütés (beleértve az exfoliativ bőrkiütést is)</w:t>
            </w:r>
          </w:p>
        </w:tc>
      </w:tr>
      <w:tr w:rsidR="00011D2F" w14:paraId="2DAE6EF7" w14:textId="77777777" w:rsidTr="00202B95">
        <w:trPr>
          <w:cantSplit/>
        </w:trPr>
        <w:tc>
          <w:tcPr>
            <w:tcW w:w="2580" w:type="dxa"/>
            <w:vMerge/>
          </w:tcPr>
          <w:p w14:paraId="40CA5456" w14:textId="77777777" w:rsidR="00D0403E" w:rsidRPr="00183B5F" w:rsidRDefault="00D0403E"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2D1241AF" w14:textId="77777777" w:rsidR="00D0403E" w:rsidRPr="00183B5F" w:rsidRDefault="00943743">
            <w:pPr>
              <w:pStyle w:val="EMEANormal"/>
              <w:widowControl w:val="0"/>
              <w:suppressAutoHyphens w:val="0"/>
              <w:rPr>
                <w:lang w:val="hu-HU"/>
              </w:rPr>
            </w:pPr>
            <w:r w:rsidRPr="00183B5F">
              <w:rPr>
                <w:lang w:val="hu-HU"/>
              </w:rPr>
              <w:t>Gyakori</w:t>
            </w:r>
          </w:p>
          <w:p w14:paraId="306E9344" w14:textId="77777777" w:rsidR="00D0403E" w:rsidRPr="00183B5F" w:rsidRDefault="00D0403E">
            <w:pPr>
              <w:pStyle w:val="EMEANormal"/>
              <w:widowControl w:val="0"/>
              <w:suppressAutoHyphens w:val="0"/>
              <w:rPr>
                <w:lang w:val="hu-HU"/>
              </w:rPr>
            </w:pPr>
          </w:p>
        </w:tc>
        <w:tc>
          <w:tcPr>
            <w:tcW w:w="4454" w:type="dxa"/>
            <w:tcBorders>
              <w:top w:val="single" w:sz="4" w:space="0" w:color="auto"/>
              <w:bottom w:val="single" w:sz="4" w:space="0" w:color="auto"/>
            </w:tcBorders>
          </w:tcPr>
          <w:p w14:paraId="1D14767D" w14:textId="77777777" w:rsidR="00D0403E" w:rsidRPr="00183B5F" w:rsidRDefault="00943743">
            <w:pPr>
              <w:pStyle w:val="EMEANormal"/>
              <w:widowControl w:val="0"/>
              <w:suppressAutoHyphens w:val="0"/>
              <w:rPr>
                <w:lang w:val="hu-HU"/>
              </w:rPr>
            </w:pPr>
            <w:r w:rsidRPr="00183B5F">
              <w:rPr>
                <w:szCs w:val="22"/>
                <w:lang w:val="hu-HU"/>
              </w:rPr>
              <w:t>Psoriasis rosszabbodása, illetve újonnan kialakulása (beleértve a palmoplantaris pustulosus psoriasist)</w:t>
            </w:r>
            <w:r w:rsidRPr="00183B5F">
              <w:rPr>
                <w:szCs w:val="22"/>
                <w:vertAlign w:val="superscript"/>
                <w:lang w:val="hu-HU"/>
              </w:rPr>
              <w:t>1)</w:t>
            </w:r>
            <w:r w:rsidRPr="00183B5F">
              <w:rPr>
                <w:lang w:val="hu-HU"/>
              </w:rPr>
              <w:t>,</w:t>
            </w:r>
          </w:p>
          <w:p w14:paraId="35126AA2" w14:textId="77777777" w:rsidR="00D0403E" w:rsidRPr="00183B5F" w:rsidRDefault="00943743">
            <w:pPr>
              <w:pStyle w:val="EMEANormal"/>
              <w:widowControl w:val="0"/>
              <w:suppressAutoHyphens w:val="0"/>
              <w:rPr>
                <w:lang w:val="hu-HU"/>
              </w:rPr>
            </w:pPr>
            <w:r w:rsidRPr="00183B5F">
              <w:rPr>
                <w:lang w:val="hu-HU"/>
              </w:rPr>
              <w:t>urticaria,</w:t>
            </w:r>
          </w:p>
          <w:p w14:paraId="1E919ECC" w14:textId="77777777" w:rsidR="00D0403E" w:rsidRPr="00183B5F" w:rsidRDefault="00943743">
            <w:pPr>
              <w:pStyle w:val="EMEANormal"/>
              <w:widowControl w:val="0"/>
              <w:suppressAutoHyphens w:val="0"/>
              <w:rPr>
                <w:lang w:val="hu-HU"/>
              </w:rPr>
            </w:pPr>
            <w:r w:rsidRPr="00183B5F">
              <w:rPr>
                <w:lang w:val="hu-HU"/>
              </w:rPr>
              <w:t xml:space="preserve">suffusio (beleértve a purpurát is), </w:t>
            </w:r>
          </w:p>
          <w:p w14:paraId="5385B8B2" w14:textId="77777777" w:rsidR="00D0403E" w:rsidRPr="00183B5F" w:rsidRDefault="00943743">
            <w:pPr>
              <w:pStyle w:val="EMEANormal"/>
              <w:widowControl w:val="0"/>
              <w:suppressAutoHyphens w:val="0"/>
              <w:rPr>
                <w:lang w:val="hu-HU"/>
              </w:rPr>
            </w:pPr>
            <w:r w:rsidRPr="00183B5F">
              <w:rPr>
                <w:lang w:val="hu-HU"/>
              </w:rPr>
              <w:t>dermatitis (beleértve az e</w:t>
            </w:r>
            <w:r w:rsidR="00761819" w:rsidRPr="00183B5F">
              <w:rPr>
                <w:lang w:val="hu-HU"/>
              </w:rPr>
              <w:t>k</w:t>
            </w:r>
            <w:r w:rsidRPr="00183B5F">
              <w:rPr>
                <w:lang w:val="hu-HU"/>
              </w:rPr>
              <w:t>zemát is),</w:t>
            </w:r>
          </w:p>
          <w:p w14:paraId="4C0B7488" w14:textId="77777777" w:rsidR="00D0403E" w:rsidRPr="00183B5F" w:rsidRDefault="00943743">
            <w:pPr>
              <w:pStyle w:val="EMEANormal"/>
              <w:widowControl w:val="0"/>
              <w:suppressAutoHyphens w:val="0"/>
              <w:rPr>
                <w:lang w:val="hu-HU"/>
              </w:rPr>
            </w:pPr>
            <w:r w:rsidRPr="00183B5F">
              <w:rPr>
                <w:lang w:val="hu-HU"/>
              </w:rPr>
              <w:t xml:space="preserve">onychoclasia, </w:t>
            </w:r>
          </w:p>
          <w:p w14:paraId="6E826683" w14:textId="77777777" w:rsidR="00D0403E" w:rsidRPr="00183B5F" w:rsidRDefault="00943743">
            <w:pPr>
              <w:pStyle w:val="EMEANormal"/>
              <w:widowControl w:val="0"/>
              <w:suppressAutoHyphens w:val="0"/>
              <w:rPr>
                <w:lang w:val="hu-HU"/>
              </w:rPr>
            </w:pPr>
            <w:r w:rsidRPr="00183B5F">
              <w:rPr>
                <w:lang w:val="hu-HU"/>
              </w:rPr>
              <w:t>hyperhydrosis,</w:t>
            </w:r>
          </w:p>
          <w:p w14:paraId="1BA39904" w14:textId="77777777" w:rsidR="00D0403E" w:rsidRPr="00183B5F" w:rsidRDefault="00943743">
            <w:pPr>
              <w:pStyle w:val="EMEANormal"/>
              <w:widowControl w:val="0"/>
              <w:suppressAutoHyphens w:val="0"/>
              <w:rPr>
                <w:lang w:val="hu-HU"/>
              </w:rPr>
            </w:pPr>
            <w:r w:rsidRPr="00183B5F">
              <w:rPr>
                <w:lang w:val="hu-HU"/>
              </w:rPr>
              <w:t>alopecia</w:t>
            </w:r>
            <w:r w:rsidRPr="00183B5F">
              <w:rPr>
                <w:vertAlign w:val="superscript"/>
                <w:lang w:val="hu-HU"/>
              </w:rPr>
              <w:t>1)</w:t>
            </w:r>
            <w:r w:rsidRPr="00183B5F">
              <w:rPr>
                <w:lang w:val="hu-HU"/>
              </w:rPr>
              <w:t>,</w:t>
            </w:r>
          </w:p>
          <w:p w14:paraId="6E31F7CE" w14:textId="77777777" w:rsidR="00D0403E" w:rsidRPr="00183B5F" w:rsidRDefault="00943743">
            <w:pPr>
              <w:pStyle w:val="EMEANormal"/>
              <w:widowControl w:val="0"/>
              <w:suppressAutoHyphens w:val="0"/>
              <w:rPr>
                <w:lang w:val="hu-HU"/>
              </w:rPr>
            </w:pPr>
            <w:r w:rsidRPr="00183B5F">
              <w:rPr>
                <w:lang w:val="hu-HU"/>
              </w:rPr>
              <w:t>pruritus</w:t>
            </w:r>
          </w:p>
          <w:p w14:paraId="0DFC935F" w14:textId="77777777" w:rsidR="00D0403E" w:rsidRPr="00183B5F" w:rsidRDefault="00D0403E">
            <w:pPr>
              <w:pStyle w:val="EMEANormal"/>
              <w:widowControl w:val="0"/>
              <w:suppressAutoHyphens w:val="0"/>
              <w:rPr>
                <w:lang w:val="hu-HU"/>
              </w:rPr>
            </w:pPr>
          </w:p>
        </w:tc>
      </w:tr>
      <w:tr w:rsidR="00011D2F" w14:paraId="6FE84887" w14:textId="77777777" w:rsidTr="00202B95">
        <w:trPr>
          <w:cantSplit/>
        </w:trPr>
        <w:tc>
          <w:tcPr>
            <w:tcW w:w="2580" w:type="dxa"/>
            <w:vMerge/>
            <w:tcBorders>
              <w:bottom w:val="nil"/>
            </w:tcBorders>
          </w:tcPr>
          <w:p w14:paraId="17E3D033" w14:textId="77777777" w:rsidR="00D0403E" w:rsidRPr="00183B5F" w:rsidRDefault="00D0403E" w:rsidP="004062FE">
            <w:pPr>
              <w:widowControl w:val="0"/>
              <w:suppressAutoHyphens w:val="0"/>
              <w:spacing w:line="240" w:lineRule="auto"/>
              <w:jc w:val="center"/>
              <w:rPr>
                <w:b/>
              </w:rPr>
            </w:pPr>
          </w:p>
        </w:tc>
        <w:tc>
          <w:tcPr>
            <w:tcW w:w="2027" w:type="dxa"/>
            <w:tcBorders>
              <w:top w:val="single" w:sz="4" w:space="0" w:color="auto"/>
            </w:tcBorders>
          </w:tcPr>
          <w:p w14:paraId="19B6FF89" w14:textId="77777777" w:rsidR="00D0403E" w:rsidRPr="00183B5F" w:rsidRDefault="00943743">
            <w:pPr>
              <w:pStyle w:val="EMEANormal"/>
              <w:widowControl w:val="0"/>
              <w:suppressAutoHyphens w:val="0"/>
              <w:rPr>
                <w:lang w:val="hu-HU"/>
              </w:rPr>
            </w:pPr>
            <w:r w:rsidRPr="00183B5F">
              <w:rPr>
                <w:lang w:val="hu-HU"/>
              </w:rPr>
              <w:t>Nem gyakori</w:t>
            </w:r>
          </w:p>
          <w:p w14:paraId="1C75D76E" w14:textId="77777777" w:rsidR="00D0403E" w:rsidRPr="00183B5F" w:rsidRDefault="00D0403E">
            <w:pPr>
              <w:pStyle w:val="EMEANormal"/>
              <w:widowControl w:val="0"/>
              <w:suppressAutoHyphens w:val="0"/>
              <w:rPr>
                <w:lang w:val="hu-HU"/>
              </w:rPr>
            </w:pPr>
          </w:p>
        </w:tc>
        <w:tc>
          <w:tcPr>
            <w:tcW w:w="4454" w:type="dxa"/>
            <w:tcBorders>
              <w:top w:val="single" w:sz="4" w:space="0" w:color="auto"/>
            </w:tcBorders>
          </w:tcPr>
          <w:p w14:paraId="6FD65453" w14:textId="77777777" w:rsidR="00D0403E" w:rsidRPr="00183B5F" w:rsidRDefault="00943743">
            <w:pPr>
              <w:pStyle w:val="EMEANormal"/>
              <w:widowControl w:val="0"/>
              <w:suppressAutoHyphens w:val="0"/>
              <w:rPr>
                <w:lang w:val="hu-HU"/>
              </w:rPr>
            </w:pPr>
            <w:r w:rsidRPr="00183B5F">
              <w:rPr>
                <w:lang w:val="hu-HU"/>
              </w:rPr>
              <w:t>Éjszakai verítékezés,</w:t>
            </w:r>
          </w:p>
          <w:p w14:paraId="0C6DEB4B" w14:textId="77777777" w:rsidR="00D0403E" w:rsidRPr="00183B5F" w:rsidRDefault="00943743">
            <w:pPr>
              <w:pStyle w:val="EMEANormal"/>
              <w:widowControl w:val="0"/>
              <w:suppressAutoHyphens w:val="0"/>
              <w:rPr>
                <w:lang w:val="hu-HU"/>
              </w:rPr>
            </w:pPr>
            <w:r w:rsidRPr="00183B5F">
              <w:rPr>
                <w:lang w:val="hu-HU"/>
              </w:rPr>
              <w:t>hegesedés</w:t>
            </w:r>
          </w:p>
        </w:tc>
      </w:tr>
      <w:tr w:rsidR="00011D2F" w14:paraId="7E4F3A2D" w14:textId="77777777" w:rsidTr="00202B95">
        <w:trPr>
          <w:cantSplit/>
        </w:trPr>
        <w:tc>
          <w:tcPr>
            <w:tcW w:w="2580" w:type="dxa"/>
            <w:tcBorders>
              <w:top w:val="nil"/>
              <w:bottom w:val="nil"/>
            </w:tcBorders>
          </w:tcPr>
          <w:p w14:paraId="3D334A4B" w14:textId="77777777" w:rsidR="003B0C01" w:rsidRPr="00183B5F" w:rsidRDefault="003B0C01" w:rsidP="004062FE">
            <w:pPr>
              <w:widowControl w:val="0"/>
              <w:suppressAutoHyphens w:val="0"/>
              <w:spacing w:line="240" w:lineRule="auto"/>
              <w:jc w:val="center"/>
              <w:rPr>
                <w:b/>
              </w:rPr>
            </w:pPr>
          </w:p>
        </w:tc>
        <w:tc>
          <w:tcPr>
            <w:tcW w:w="2027" w:type="dxa"/>
            <w:tcBorders>
              <w:top w:val="single" w:sz="4" w:space="0" w:color="auto"/>
            </w:tcBorders>
          </w:tcPr>
          <w:p w14:paraId="73B604C5" w14:textId="77777777" w:rsidR="003B0C01" w:rsidRPr="00183B5F" w:rsidRDefault="00943743">
            <w:pPr>
              <w:pStyle w:val="EMEANormal"/>
              <w:widowControl w:val="0"/>
              <w:suppressAutoHyphens w:val="0"/>
              <w:rPr>
                <w:lang w:val="hu-HU"/>
              </w:rPr>
            </w:pPr>
            <w:r w:rsidRPr="00183B5F">
              <w:rPr>
                <w:lang w:val="hu-HU"/>
              </w:rPr>
              <w:t>Ritka</w:t>
            </w:r>
          </w:p>
          <w:p w14:paraId="28E1FE7E" w14:textId="77777777" w:rsidR="003B0C01" w:rsidRPr="00183B5F" w:rsidRDefault="003B0C01">
            <w:pPr>
              <w:pStyle w:val="EMEANormal"/>
              <w:widowControl w:val="0"/>
              <w:suppressAutoHyphens w:val="0"/>
              <w:rPr>
                <w:lang w:val="hu-HU"/>
              </w:rPr>
            </w:pPr>
          </w:p>
        </w:tc>
        <w:tc>
          <w:tcPr>
            <w:tcW w:w="4454" w:type="dxa"/>
            <w:tcBorders>
              <w:top w:val="single" w:sz="4" w:space="0" w:color="auto"/>
            </w:tcBorders>
          </w:tcPr>
          <w:p w14:paraId="00ECE43F" w14:textId="77777777" w:rsidR="003B0C01" w:rsidRPr="00183B5F" w:rsidRDefault="00943743">
            <w:pPr>
              <w:pStyle w:val="EMEANormal"/>
              <w:widowControl w:val="0"/>
              <w:suppressAutoHyphens w:val="0"/>
              <w:rPr>
                <w:lang w:val="hu-HU"/>
              </w:rPr>
            </w:pPr>
            <w:r w:rsidRPr="00183B5F">
              <w:rPr>
                <w:lang w:val="hu-HU"/>
              </w:rPr>
              <w:t>Erythema multiforme</w:t>
            </w:r>
            <w:r w:rsidRPr="00183B5F">
              <w:rPr>
                <w:vertAlign w:val="superscript"/>
                <w:lang w:val="hu-HU"/>
              </w:rPr>
              <w:t>1)</w:t>
            </w:r>
            <w:r w:rsidRPr="00183B5F">
              <w:rPr>
                <w:lang w:val="hu-HU"/>
              </w:rPr>
              <w:t>,</w:t>
            </w:r>
          </w:p>
          <w:p w14:paraId="1AFCE868" w14:textId="77777777" w:rsidR="003B0C01" w:rsidRPr="00183B5F" w:rsidRDefault="00943743">
            <w:pPr>
              <w:pStyle w:val="EMEANormal"/>
              <w:widowControl w:val="0"/>
              <w:suppressAutoHyphens w:val="0"/>
              <w:rPr>
                <w:lang w:val="hu-HU"/>
              </w:rPr>
            </w:pPr>
            <w:r w:rsidRPr="00183B5F">
              <w:rPr>
                <w:lang w:val="hu-HU"/>
              </w:rPr>
              <w:t>Stevens</w:t>
            </w:r>
            <w:r w:rsidR="00004B4F" w:rsidRPr="00183B5F">
              <w:rPr>
                <w:lang w:val="hu-HU"/>
              </w:rPr>
              <w:t>–</w:t>
            </w:r>
            <w:r w:rsidRPr="00183B5F">
              <w:rPr>
                <w:lang w:val="hu-HU"/>
              </w:rPr>
              <w:t>Johnson</w:t>
            </w:r>
            <w:r w:rsidR="0011114B" w:rsidRPr="00183B5F">
              <w:rPr>
                <w:lang w:val="hu-HU"/>
              </w:rPr>
              <w:t>-</w:t>
            </w:r>
            <w:r w:rsidRPr="00183B5F">
              <w:rPr>
                <w:lang w:val="hu-HU"/>
              </w:rPr>
              <w:t>szindróma</w:t>
            </w:r>
            <w:r w:rsidRPr="00183B5F">
              <w:rPr>
                <w:vertAlign w:val="superscript"/>
                <w:lang w:val="hu-HU"/>
              </w:rPr>
              <w:t>1)</w:t>
            </w:r>
            <w:r w:rsidRPr="00183B5F">
              <w:rPr>
                <w:lang w:val="hu-HU"/>
              </w:rPr>
              <w:t>,</w:t>
            </w:r>
          </w:p>
          <w:p w14:paraId="736C9500" w14:textId="77777777" w:rsidR="003B0C01" w:rsidRPr="00183B5F" w:rsidRDefault="00943743">
            <w:pPr>
              <w:pStyle w:val="EMEANormal"/>
              <w:widowControl w:val="0"/>
              <w:suppressAutoHyphens w:val="0"/>
              <w:rPr>
                <w:lang w:val="hu-HU"/>
              </w:rPr>
            </w:pPr>
            <w:r w:rsidRPr="00183B5F">
              <w:rPr>
                <w:lang w:val="hu-HU"/>
              </w:rPr>
              <w:t>angi</w:t>
            </w:r>
            <w:r w:rsidR="00752566" w:rsidRPr="00183B5F">
              <w:rPr>
                <w:lang w:val="hu-HU"/>
              </w:rPr>
              <w:t>o</w:t>
            </w:r>
            <w:r w:rsidRPr="00183B5F">
              <w:rPr>
                <w:lang w:val="hu-HU"/>
              </w:rPr>
              <w:t>oedema</w:t>
            </w:r>
            <w:r w:rsidRPr="00183B5F">
              <w:rPr>
                <w:vertAlign w:val="superscript"/>
                <w:lang w:val="hu-HU"/>
              </w:rPr>
              <w:t>1)</w:t>
            </w:r>
            <w:r w:rsidRPr="00183B5F">
              <w:rPr>
                <w:lang w:val="hu-HU"/>
              </w:rPr>
              <w:t>,</w:t>
            </w:r>
          </w:p>
          <w:p w14:paraId="279D27AF" w14:textId="77777777" w:rsidR="003B0C01" w:rsidRPr="00183B5F" w:rsidRDefault="00943743">
            <w:pPr>
              <w:pStyle w:val="EMEANormal"/>
              <w:widowControl w:val="0"/>
              <w:suppressAutoHyphens w:val="0"/>
              <w:rPr>
                <w:vertAlign w:val="superscript"/>
                <w:lang w:val="hu-HU"/>
              </w:rPr>
            </w:pPr>
            <w:r w:rsidRPr="00183B5F">
              <w:rPr>
                <w:lang w:val="hu-HU"/>
              </w:rPr>
              <w:t>cutan vasculitis</w:t>
            </w:r>
            <w:r w:rsidRPr="00183B5F">
              <w:rPr>
                <w:vertAlign w:val="superscript"/>
                <w:lang w:val="hu-HU"/>
              </w:rPr>
              <w:t>1)</w:t>
            </w:r>
          </w:p>
          <w:p w14:paraId="53083E6A" w14:textId="77777777" w:rsidR="003B0C01" w:rsidRPr="00183B5F" w:rsidRDefault="00943743">
            <w:pPr>
              <w:pStyle w:val="EMEANormal"/>
              <w:widowControl w:val="0"/>
              <w:suppressAutoHyphens w:val="0"/>
              <w:rPr>
                <w:lang w:val="hu-HU"/>
              </w:rPr>
            </w:pPr>
            <w:r w:rsidRPr="00183B5F">
              <w:rPr>
                <w:lang w:val="hu-HU"/>
              </w:rPr>
              <w:t>lichenoid bőrreakció</w:t>
            </w:r>
            <w:r w:rsidRPr="00183B5F">
              <w:rPr>
                <w:vertAlign w:val="superscript"/>
                <w:lang w:val="hu-HU"/>
              </w:rPr>
              <w:t>1)</w:t>
            </w:r>
          </w:p>
        </w:tc>
      </w:tr>
      <w:tr w:rsidR="00011D2F" w14:paraId="0E25FF08" w14:textId="77777777" w:rsidTr="00202B95">
        <w:trPr>
          <w:cantSplit/>
        </w:trPr>
        <w:tc>
          <w:tcPr>
            <w:tcW w:w="2580" w:type="dxa"/>
            <w:tcBorders>
              <w:top w:val="nil"/>
            </w:tcBorders>
          </w:tcPr>
          <w:p w14:paraId="4077D01A" w14:textId="77777777" w:rsidR="003B0C01" w:rsidRPr="00183B5F" w:rsidRDefault="003B0C01" w:rsidP="004062FE">
            <w:pPr>
              <w:widowControl w:val="0"/>
              <w:suppressAutoHyphens w:val="0"/>
              <w:spacing w:line="240" w:lineRule="auto"/>
              <w:jc w:val="center"/>
              <w:rPr>
                <w:b/>
              </w:rPr>
            </w:pPr>
          </w:p>
        </w:tc>
        <w:tc>
          <w:tcPr>
            <w:tcW w:w="2027" w:type="dxa"/>
            <w:tcBorders>
              <w:top w:val="single" w:sz="4" w:space="0" w:color="auto"/>
            </w:tcBorders>
          </w:tcPr>
          <w:p w14:paraId="4F7743BF" w14:textId="77777777" w:rsidR="003B0C01" w:rsidRPr="00183B5F" w:rsidRDefault="00943743">
            <w:pPr>
              <w:pStyle w:val="EMEANormal"/>
              <w:widowControl w:val="0"/>
              <w:suppressAutoHyphens w:val="0"/>
              <w:rPr>
                <w:lang w:val="hu-HU"/>
              </w:rPr>
            </w:pPr>
            <w:r w:rsidRPr="00183B5F">
              <w:rPr>
                <w:lang w:val="hu-HU"/>
              </w:rPr>
              <w:t>Nem ismert</w:t>
            </w:r>
          </w:p>
        </w:tc>
        <w:tc>
          <w:tcPr>
            <w:tcW w:w="4454" w:type="dxa"/>
            <w:tcBorders>
              <w:top w:val="single" w:sz="4" w:space="0" w:color="auto"/>
            </w:tcBorders>
          </w:tcPr>
          <w:p w14:paraId="2D6EC91C" w14:textId="77777777" w:rsidR="003B0C01" w:rsidRPr="00183B5F" w:rsidRDefault="00943743">
            <w:pPr>
              <w:pStyle w:val="EMEANormal"/>
              <w:widowControl w:val="0"/>
              <w:suppressAutoHyphens w:val="0"/>
              <w:rPr>
                <w:lang w:val="hu-HU"/>
              </w:rPr>
            </w:pPr>
            <w:r w:rsidRPr="00183B5F">
              <w:rPr>
                <w:lang w:val="hu-HU"/>
              </w:rPr>
              <w:t>Dermatomyositis tüneteinek súlyosbodása</w:t>
            </w:r>
            <w:r w:rsidRPr="00183B5F">
              <w:rPr>
                <w:vertAlign w:val="superscript"/>
                <w:lang w:val="hu-HU"/>
              </w:rPr>
              <w:t>1)</w:t>
            </w:r>
          </w:p>
        </w:tc>
      </w:tr>
      <w:tr w:rsidR="00011D2F" w14:paraId="527ADC57" w14:textId="77777777" w:rsidTr="00202B95">
        <w:trPr>
          <w:cantSplit/>
        </w:trPr>
        <w:tc>
          <w:tcPr>
            <w:tcW w:w="2580" w:type="dxa"/>
            <w:vMerge w:val="restart"/>
          </w:tcPr>
          <w:p w14:paraId="62B590CC" w14:textId="77777777" w:rsidR="00D0403E" w:rsidRPr="00183B5F" w:rsidRDefault="00943743" w:rsidP="004062FE">
            <w:pPr>
              <w:pStyle w:val="EMEANormal"/>
              <w:widowControl w:val="0"/>
              <w:suppressAutoHyphens w:val="0"/>
              <w:rPr>
                <w:szCs w:val="22"/>
                <w:lang w:val="hu-HU"/>
              </w:rPr>
            </w:pPr>
            <w:r w:rsidRPr="00183B5F">
              <w:rPr>
                <w:szCs w:val="22"/>
                <w:lang w:val="hu-HU"/>
              </w:rPr>
              <w:t>A csont- és izomrendszer, valamint a kötőszövet betegségei és tünetei</w:t>
            </w:r>
          </w:p>
        </w:tc>
        <w:tc>
          <w:tcPr>
            <w:tcW w:w="2027" w:type="dxa"/>
            <w:tcBorders>
              <w:bottom w:val="single" w:sz="4" w:space="0" w:color="auto"/>
            </w:tcBorders>
          </w:tcPr>
          <w:p w14:paraId="6A80D978" w14:textId="77777777" w:rsidR="00D0403E" w:rsidRPr="00183B5F" w:rsidRDefault="00943743" w:rsidP="004062FE">
            <w:pPr>
              <w:pStyle w:val="EMEANormal"/>
              <w:widowControl w:val="0"/>
              <w:suppressAutoHyphens w:val="0"/>
              <w:rPr>
                <w:lang w:val="hu-HU"/>
              </w:rPr>
            </w:pPr>
            <w:r w:rsidRPr="00183B5F">
              <w:rPr>
                <w:lang w:val="hu-HU"/>
              </w:rPr>
              <w:t>Nagyon gyakori</w:t>
            </w:r>
          </w:p>
          <w:p w14:paraId="6C23B7FE" w14:textId="77777777" w:rsidR="00D0403E" w:rsidRPr="00183B5F" w:rsidRDefault="00D0403E" w:rsidP="004062FE">
            <w:pPr>
              <w:pStyle w:val="EMEANormal"/>
              <w:widowControl w:val="0"/>
              <w:suppressAutoHyphens w:val="0"/>
              <w:rPr>
                <w:lang w:val="hu-HU"/>
              </w:rPr>
            </w:pPr>
          </w:p>
        </w:tc>
        <w:tc>
          <w:tcPr>
            <w:tcW w:w="4454" w:type="dxa"/>
            <w:tcBorders>
              <w:bottom w:val="single" w:sz="4" w:space="0" w:color="auto"/>
            </w:tcBorders>
          </w:tcPr>
          <w:p w14:paraId="31567E97" w14:textId="77777777" w:rsidR="00D0403E" w:rsidRPr="00183B5F" w:rsidRDefault="00943743" w:rsidP="004062FE">
            <w:pPr>
              <w:pStyle w:val="EMEANormal"/>
              <w:widowControl w:val="0"/>
              <w:suppressAutoHyphens w:val="0"/>
              <w:rPr>
                <w:lang w:val="hu-HU"/>
              </w:rPr>
            </w:pPr>
            <w:r w:rsidRPr="00183B5F">
              <w:rPr>
                <w:lang w:val="hu-HU"/>
              </w:rPr>
              <w:t>Mozgásszervi eredetű fájdalom</w:t>
            </w:r>
          </w:p>
          <w:p w14:paraId="5E432F4F" w14:textId="77777777" w:rsidR="00D0403E" w:rsidRPr="00183B5F" w:rsidRDefault="00D0403E" w:rsidP="004062FE">
            <w:pPr>
              <w:pStyle w:val="EMEANormal"/>
              <w:widowControl w:val="0"/>
              <w:suppressAutoHyphens w:val="0"/>
              <w:rPr>
                <w:lang w:val="hu-HU"/>
              </w:rPr>
            </w:pPr>
          </w:p>
        </w:tc>
      </w:tr>
      <w:tr w:rsidR="00011D2F" w14:paraId="6EA0D5CB" w14:textId="77777777" w:rsidTr="00202B95">
        <w:trPr>
          <w:cantSplit/>
        </w:trPr>
        <w:tc>
          <w:tcPr>
            <w:tcW w:w="2580" w:type="dxa"/>
            <w:vMerge/>
          </w:tcPr>
          <w:p w14:paraId="4E63CBFF" w14:textId="77777777" w:rsidR="00D0403E" w:rsidRPr="00183B5F" w:rsidRDefault="00D0403E" w:rsidP="004062FE">
            <w:pPr>
              <w:pStyle w:val="EMEANormal"/>
              <w:widowControl w:val="0"/>
              <w:suppressAutoHyphens w:val="0"/>
              <w:rPr>
                <w:lang w:val="hu-HU"/>
              </w:rPr>
            </w:pPr>
          </w:p>
        </w:tc>
        <w:tc>
          <w:tcPr>
            <w:tcW w:w="2027" w:type="dxa"/>
            <w:tcBorders>
              <w:top w:val="single" w:sz="4" w:space="0" w:color="auto"/>
              <w:bottom w:val="single" w:sz="4" w:space="0" w:color="auto"/>
            </w:tcBorders>
          </w:tcPr>
          <w:p w14:paraId="6595E008" w14:textId="77777777" w:rsidR="00D0403E" w:rsidRPr="00183B5F" w:rsidRDefault="00943743" w:rsidP="004062FE">
            <w:pPr>
              <w:pStyle w:val="EMEANormal"/>
              <w:widowControl w:val="0"/>
              <w:suppressAutoHyphens w:val="0"/>
              <w:rPr>
                <w:lang w:val="hu-HU"/>
              </w:rPr>
            </w:pPr>
            <w:r w:rsidRPr="00183B5F">
              <w:rPr>
                <w:lang w:val="hu-HU"/>
              </w:rPr>
              <w:t>Gyakori</w:t>
            </w:r>
          </w:p>
        </w:tc>
        <w:tc>
          <w:tcPr>
            <w:tcW w:w="4454" w:type="dxa"/>
            <w:tcBorders>
              <w:top w:val="single" w:sz="4" w:space="0" w:color="auto"/>
              <w:bottom w:val="single" w:sz="4" w:space="0" w:color="auto"/>
            </w:tcBorders>
          </w:tcPr>
          <w:p w14:paraId="41C09069" w14:textId="77777777" w:rsidR="00D0403E" w:rsidRPr="00183B5F" w:rsidRDefault="00943743" w:rsidP="004062FE">
            <w:pPr>
              <w:pStyle w:val="EMEANormal"/>
              <w:widowControl w:val="0"/>
              <w:suppressAutoHyphens w:val="0"/>
              <w:rPr>
                <w:lang w:val="hu-HU"/>
              </w:rPr>
            </w:pPr>
            <w:r w:rsidRPr="00183B5F">
              <w:rPr>
                <w:lang w:val="hu-HU"/>
              </w:rPr>
              <w:t>Izomspasmus (beleértve a kreatin</w:t>
            </w:r>
            <w:r w:rsidRPr="00183B5F">
              <w:rPr>
                <w:lang w:val="hu-HU"/>
              </w:rPr>
              <w:noBreakHyphen/>
              <w:t>foszfokináz</w:t>
            </w:r>
            <w:r w:rsidR="00DC71C1" w:rsidRPr="00183B5F">
              <w:rPr>
                <w:lang w:val="hu-HU"/>
              </w:rPr>
              <w:noBreakHyphen/>
            </w:r>
            <w:r w:rsidRPr="00183B5F">
              <w:rPr>
                <w:lang w:val="hu-HU"/>
              </w:rPr>
              <w:t xml:space="preserve">szint emelkedését is a vérben) </w:t>
            </w:r>
          </w:p>
          <w:p w14:paraId="1370EF81" w14:textId="77777777" w:rsidR="00D0403E" w:rsidRPr="00183B5F" w:rsidRDefault="00D0403E" w:rsidP="004062FE">
            <w:pPr>
              <w:pStyle w:val="EMEANormal"/>
              <w:widowControl w:val="0"/>
              <w:suppressAutoHyphens w:val="0"/>
              <w:rPr>
                <w:lang w:val="hu-HU"/>
              </w:rPr>
            </w:pPr>
          </w:p>
        </w:tc>
      </w:tr>
      <w:tr w:rsidR="00011D2F" w14:paraId="27F35137" w14:textId="77777777" w:rsidTr="00202B95">
        <w:trPr>
          <w:cantSplit/>
        </w:trPr>
        <w:tc>
          <w:tcPr>
            <w:tcW w:w="2580" w:type="dxa"/>
            <w:vMerge/>
          </w:tcPr>
          <w:p w14:paraId="2B36B3D9" w14:textId="77777777" w:rsidR="00D0403E" w:rsidRPr="00183B5F" w:rsidRDefault="00D0403E" w:rsidP="004062FE">
            <w:pPr>
              <w:widowControl w:val="0"/>
              <w:suppressAutoHyphens w:val="0"/>
              <w:spacing w:line="240" w:lineRule="auto"/>
              <w:jc w:val="center"/>
              <w:rPr>
                <w:b/>
              </w:rPr>
            </w:pPr>
          </w:p>
        </w:tc>
        <w:tc>
          <w:tcPr>
            <w:tcW w:w="2027" w:type="dxa"/>
            <w:tcBorders>
              <w:top w:val="single" w:sz="4" w:space="0" w:color="auto"/>
            </w:tcBorders>
          </w:tcPr>
          <w:p w14:paraId="6C9E6345" w14:textId="77777777" w:rsidR="00D0403E" w:rsidRPr="00183B5F" w:rsidRDefault="00943743">
            <w:pPr>
              <w:pStyle w:val="EMEANormal"/>
              <w:widowControl w:val="0"/>
              <w:suppressAutoHyphens w:val="0"/>
              <w:rPr>
                <w:lang w:val="hu-HU"/>
              </w:rPr>
            </w:pPr>
            <w:r w:rsidRPr="00183B5F">
              <w:rPr>
                <w:lang w:val="hu-HU"/>
              </w:rPr>
              <w:t>Nem gyakori</w:t>
            </w:r>
          </w:p>
        </w:tc>
        <w:tc>
          <w:tcPr>
            <w:tcW w:w="4454" w:type="dxa"/>
            <w:tcBorders>
              <w:top w:val="single" w:sz="4" w:space="0" w:color="auto"/>
            </w:tcBorders>
          </w:tcPr>
          <w:p w14:paraId="13534D4C" w14:textId="77777777" w:rsidR="00C17B6B" w:rsidRPr="00183B5F" w:rsidRDefault="00943743">
            <w:pPr>
              <w:pStyle w:val="EMEANormal"/>
              <w:widowControl w:val="0"/>
              <w:suppressAutoHyphens w:val="0"/>
              <w:rPr>
                <w:lang w:val="hu-HU"/>
              </w:rPr>
            </w:pPr>
            <w:r w:rsidRPr="00183B5F">
              <w:rPr>
                <w:lang w:val="hu-HU"/>
              </w:rPr>
              <w:t>R</w:t>
            </w:r>
            <w:r w:rsidR="00D0403E" w:rsidRPr="00183B5F">
              <w:rPr>
                <w:lang w:val="hu-HU"/>
              </w:rPr>
              <w:t xml:space="preserve">habdomyolysis, </w:t>
            </w:r>
          </w:p>
          <w:p w14:paraId="7DC92091" w14:textId="77777777" w:rsidR="00D0403E" w:rsidRPr="00183B5F" w:rsidRDefault="00943743">
            <w:pPr>
              <w:pStyle w:val="EMEANormal"/>
              <w:widowControl w:val="0"/>
              <w:suppressAutoHyphens w:val="0"/>
              <w:rPr>
                <w:lang w:val="hu-HU"/>
              </w:rPr>
            </w:pPr>
            <w:r w:rsidRPr="00183B5F">
              <w:rPr>
                <w:lang w:val="hu-HU"/>
              </w:rPr>
              <w:t>szisztémás lupus erythematosus</w:t>
            </w:r>
          </w:p>
        </w:tc>
      </w:tr>
      <w:tr w:rsidR="00011D2F" w14:paraId="080F2AFD" w14:textId="77777777" w:rsidTr="00202B95">
        <w:trPr>
          <w:cantSplit/>
        </w:trPr>
        <w:tc>
          <w:tcPr>
            <w:tcW w:w="2580" w:type="dxa"/>
            <w:vMerge/>
          </w:tcPr>
          <w:p w14:paraId="3C7F6C3E" w14:textId="77777777" w:rsidR="00D0403E" w:rsidRPr="00183B5F" w:rsidRDefault="00D0403E" w:rsidP="004062FE">
            <w:pPr>
              <w:widowControl w:val="0"/>
              <w:suppressAutoHyphens w:val="0"/>
              <w:spacing w:line="240" w:lineRule="auto"/>
              <w:jc w:val="center"/>
              <w:rPr>
                <w:b/>
              </w:rPr>
            </w:pPr>
          </w:p>
        </w:tc>
        <w:tc>
          <w:tcPr>
            <w:tcW w:w="2027" w:type="dxa"/>
            <w:tcBorders>
              <w:top w:val="nil"/>
              <w:bottom w:val="single" w:sz="4" w:space="0" w:color="auto"/>
            </w:tcBorders>
          </w:tcPr>
          <w:p w14:paraId="7F686860" w14:textId="77777777" w:rsidR="00D0403E" w:rsidRPr="00183B5F" w:rsidRDefault="00943743">
            <w:pPr>
              <w:pStyle w:val="EMEANormal"/>
              <w:widowControl w:val="0"/>
              <w:suppressAutoHyphens w:val="0"/>
              <w:rPr>
                <w:lang w:val="hu-HU"/>
              </w:rPr>
            </w:pPr>
            <w:r w:rsidRPr="00183B5F">
              <w:rPr>
                <w:lang w:val="hu-HU"/>
              </w:rPr>
              <w:t>Ritka</w:t>
            </w:r>
          </w:p>
          <w:p w14:paraId="6379339E" w14:textId="77777777" w:rsidR="00D0403E" w:rsidRPr="00183B5F" w:rsidRDefault="00D0403E">
            <w:pPr>
              <w:pStyle w:val="EMEANormal"/>
              <w:widowControl w:val="0"/>
              <w:suppressAutoHyphens w:val="0"/>
              <w:rPr>
                <w:lang w:val="hu-HU"/>
              </w:rPr>
            </w:pPr>
          </w:p>
        </w:tc>
        <w:tc>
          <w:tcPr>
            <w:tcW w:w="4454" w:type="dxa"/>
            <w:tcBorders>
              <w:top w:val="nil"/>
              <w:bottom w:val="single" w:sz="4" w:space="0" w:color="auto"/>
            </w:tcBorders>
          </w:tcPr>
          <w:p w14:paraId="3BBE2145" w14:textId="77777777" w:rsidR="00D0403E" w:rsidRPr="00183B5F" w:rsidRDefault="00943743">
            <w:pPr>
              <w:pStyle w:val="EMEANormal"/>
              <w:widowControl w:val="0"/>
              <w:suppressAutoHyphens w:val="0"/>
              <w:rPr>
                <w:lang w:val="hu-HU"/>
              </w:rPr>
            </w:pPr>
            <w:r w:rsidRPr="00183B5F">
              <w:rPr>
                <w:lang w:val="hu-HU"/>
              </w:rPr>
              <w:t>Lupus-szerű szindróma</w:t>
            </w:r>
            <w:r w:rsidRPr="00183B5F">
              <w:rPr>
                <w:vertAlign w:val="superscript"/>
                <w:lang w:val="hu-HU"/>
              </w:rPr>
              <w:t>1)</w:t>
            </w:r>
          </w:p>
        </w:tc>
      </w:tr>
      <w:tr w:rsidR="00011D2F" w14:paraId="5EF6316F" w14:textId="77777777" w:rsidTr="00202B95">
        <w:trPr>
          <w:cantSplit/>
        </w:trPr>
        <w:tc>
          <w:tcPr>
            <w:tcW w:w="2580" w:type="dxa"/>
            <w:vMerge w:val="restart"/>
          </w:tcPr>
          <w:p w14:paraId="48F0D3FF" w14:textId="77777777" w:rsidR="00D0403E" w:rsidRPr="00183B5F" w:rsidRDefault="00943743" w:rsidP="004062FE">
            <w:pPr>
              <w:pStyle w:val="EMEANormal"/>
              <w:widowControl w:val="0"/>
              <w:suppressAutoHyphens w:val="0"/>
              <w:rPr>
                <w:szCs w:val="22"/>
                <w:lang w:val="hu-HU"/>
              </w:rPr>
            </w:pPr>
            <w:r w:rsidRPr="00183B5F">
              <w:rPr>
                <w:szCs w:val="22"/>
                <w:lang w:val="hu-HU"/>
              </w:rPr>
              <w:t>Vese- és húgyúti betegségek és tünetek</w:t>
            </w:r>
          </w:p>
        </w:tc>
        <w:tc>
          <w:tcPr>
            <w:tcW w:w="2027" w:type="dxa"/>
            <w:tcBorders>
              <w:bottom w:val="single" w:sz="4" w:space="0" w:color="auto"/>
            </w:tcBorders>
          </w:tcPr>
          <w:p w14:paraId="5A01BE4B" w14:textId="77777777" w:rsidR="00D0403E" w:rsidRPr="00183B5F" w:rsidRDefault="00943743" w:rsidP="004062FE">
            <w:pPr>
              <w:pStyle w:val="EMEANormal"/>
              <w:widowControl w:val="0"/>
              <w:suppressAutoHyphens w:val="0"/>
              <w:rPr>
                <w:lang w:val="hu-HU"/>
              </w:rPr>
            </w:pPr>
            <w:r w:rsidRPr="00183B5F">
              <w:rPr>
                <w:lang w:val="hu-HU"/>
              </w:rPr>
              <w:t>Gyakori</w:t>
            </w:r>
          </w:p>
          <w:p w14:paraId="0FEE293A" w14:textId="77777777" w:rsidR="00D0403E" w:rsidRPr="00183B5F" w:rsidRDefault="00D0403E" w:rsidP="004062FE">
            <w:pPr>
              <w:pStyle w:val="EMEANormal"/>
              <w:widowControl w:val="0"/>
              <w:suppressAutoHyphens w:val="0"/>
              <w:rPr>
                <w:lang w:val="hu-HU"/>
              </w:rPr>
            </w:pPr>
          </w:p>
        </w:tc>
        <w:tc>
          <w:tcPr>
            <w:tcW w:w="4454" w:type="dxa"/>
            <w:tcBorders>
              <w:bottom w:val="single" w:sz="4" w:space="0" w:color="auto"/>
            </w:tcBorders>
          </w:tcPr>
          <w:p w14:paraId="3EB051B7" w14:textId="77777777" w:rsidR="00D0403E" w:rsidRPr="00183B5F" w:rsidRDefault="00943743" w:rsidP="004062FE">
            <w:pPr>
              <w:pStyle w:val="EMEANormal"/>
              <w:widowControl w:val="0"/>
              <w:suppressAutoHyphens w:val="0"/>
              <w:rPr>
                <w:lang w:val="hu-HU"/>
              </w:rPr>
            </w:pPr>
            <w:r w:rsidRPr="00183B5F">
              <w:rPr>
                <w:lang w:val="hu-HU"/>
              </w:rPr>
              <w:t>Beszűkült vesefunkció,</w:t>
            </w:r>
          </w:p>
          <w:p w14:paraId="0D3BA370" w14:textId="77777777" w:rsidR="00D0403E" w:rsidRPr="00183B5F" w:rsidRDefault="00943743" w:rsidP="004062FE">
            <w:pPr>
              <w:pStyle w:val="EMEANormal"/>
              <w:widowControl w:val="0"/>
              <w:suppressAutoHyphens w:val="0"/>
              <w:rPr>
                <w:lang w:val="hu-HU"/>
              </w:rPr>
            </w:pPr>
            <w:r w:rsidRPr="00183B5F">
              <w:rPr>
                <w:lang w:val="hu-HU"/>
              </w:rPr>
              <w:t>haematuria</w:t>
            </w:r>
          </w:p>
          <w:p w14:paraId="43F9BDE1" w14:textId="77777777" w:rsidR="00D0403E" w:rsidRPr="00183B5F" w:rsidRDefault="00D0403E" w:rsidP="004062FE">
            <w:pPr>
              <w:pStyle w:val="EMEANormal"/>
              <w:widowControl w:val="0"/>
              <w:suppressAutoHyphens w:val="0"/>
              <w:rPr>
                <w:lang w:val="hu-HU"/>
              </w:rPr>
            </w:pPr>
          </w:p>
        </w:tc>
      </w:tr>
      <w:tr w:rsidR="00011D2F" w14:paraId="0CC50A83" w14:textId="77777777" w:rsidTr="00202B95">
        <w:trPr>
          <w:cantSplit/>
        </w:trPr>
        <w:tc>
          <w:tcPr>
            <w:tcW w:w="2580" w:type="dxa"/>
            <w:vMerge/>
          </w:tcPr>
          <w:p w14:paraId="25D36138" w14:textId="77777777" w:rsidR="00D0403E" w:rsidRPr="00183B5F" w:rsidRDefault="00D0403E" w:rsidP="004062FE">
            <w:pPr>
              <w:widowControl w:val="0"/>
              <w:suppressAutoHyphens w:val="0"/>
              <w:spacing w:line="240" w:lineRule="auto"/>
              <w:jc w:val="center"/>
              <w:rPr>
                <w:b/>
              </w:rPr>
            </w:pPr>
          </w:p>
        </w:tc>
        <w:tc>
          <w:tcPr>
            <w:tcW w:w="2027" w:type="dxa"/>
            <w:tcBorders>
              <w:top w:val="single" w:sz="4" w:space="0" w:color="auto"/>
            </w:tcBorders>
          </w:tcPr>
          <w:p w14:paraId="3945586B" w14:textId="77777777" w:rsidR="00D0403E" w:rsidRPr="00183B5F" w:rsidRDefault="00943743">
            <w:pPr>
              <w:pStyle w:val="EMEANormal"/>
              <w:widowControl w:val="0"/>
              <w:suppressAutoHyphens w:val="0"/>
              <w:rPr>
                <w:lang w:val="hu-HU"/>
              </w:rPr>
            </w:pPr>
            <w:r w:rsidRPr="00183B5F">
              <w:rPr>
                <w:lang w:val="hu-HU"/>
              </w:rPr>
              <w:t>Nem gyakori</w:t>
            </w:r>
          </w:p>
        </w:tc>
        <w:tc>
          <w:tcPr>
            <w:tcW w:w="4454" w:type="dxa"/>
            <w:tcBorders>
              <w:top w:val="single" w:sz="4" w:space="0" w:color="auto"/>
            </w:tcBorders>
          </w:tcPr>
          <w:p w14:paraId="345DC7C1" w14:textId="77777777" w:rsidR="00D0403E" w:rsidRPr="00183B5F" w:rsidRDefault="00943743">
            <w:pPr>
              <w:pStyle w:val="EMEANormal"/>
              <w:widowControl w:val="0"/>
              <w:suppressAutoHyphens w:val="0"/>
              <w:rPr>
                <w:lang w:val="hu-HU"/>
              </w:rPr>
            </w:pPr>
            <w:r w:rsidRPr="00183B5F">
              <w:rPr>
                <w:lang w:val="hu-HU"/>
              </w:rPr>
              <w:t>Nocturia</w:t>
            </w:r>
          </w:p>
        </w:tc>
      </w:tr>
      <w:tr w:rsidR="00011D2F" w14:paraId="7E03C6D4" w14:textId="77777777" w:rsidTr="00202B95">
        <w:trPr>
          <w:cantSplit/>
        </w:trPr>
        <w:tc>
          <w:tcPr>
            <w:tcW w:w="2580" w:type="dxa"/>
          </w:tcPr>
          <w:p w14:paraId="7E30FD6E" w14:textId="77777777" w:rsidR="00D0403E" w:rsidRPr="00183B5F" w:rsidRDefault="00943743" w:rsidP="004062FE">
            <w:pPr>
              <w:pStyle w:val="EMEANormal"/>
              <w:widowControl w:val="0"/>
              <w:suppressAutoHyphens w:val="0"/>
              <w:rPr>
                <w:szCs w:val="22"/>
                <w:lang w:val="hu-HU"/>
              </w:rPr>
            </w:pPr>
            <w:r w:rsidRPr="00183B5F">
              <w:rPr>
                <w:szCs w:val="22"/>
                <w:lang w:val="hu-HU"/>
              </w:rPr>
              <w:t>A nemi szervekkel és az emlőkkel kapcsolatos betegségek és tünetek</w:t>
            </w:r>
          </w:p>
        </w:tc>
        <w:tc>
          <w:tcPr>
            <w:tcW w:w="2027" w:type="dxa"/>
            <w:tcBorders>
              <w:bottom w:val="single" w:sz="4" w:space="0" w:color="auto"/>
            </w:tcBorders>
          </w:tcPr>
          <w:p w14:paraId="38776DDB" w14:textId="77777777" w:rsidR="00D0403E" w:rsidRPr="00183B5F" w:rsidRDefault="00943743" w:rsidP="004062FE">
            <w:pPr>
              <w:pStyle w:val="EMEANormal"/>
              <w:widowControl w:val="0"/>
              <w:suppressAutoHyphens w:val="0"/>
              <w:rPr>
                <w:lang w:val="hu-HU"/>
              </w:rPr>
            </w:pPr>
            <w:r w:rsidRPr="00183B5F">
              <w:rPr>
                <w:lang w:val="hu-HU"/>
              </w:rPr>
              <w:t>Nem gyakori</w:t>
            </w:r>
          </w:p>
        </w:tc>
        <w:tc>
          <w:tcPr>
            <w:tcW w:w="4454" w:type="dxa"/>
            <w:tcBorders>
              <w:bottom w:val="single" w:sz="4" w:space="0" w:color="auto"/>
            </w:tcBorders>
          </w:tcPr>
          <w:p w14:paraId="58BE3F00" w14:textId="77777777" w:rsidR="00D0403E" w:rsidRPr="00183B5F" w:rsidRDefault="00943743" w:rsidP="004062FE">
            <w:pPr>
              <w:pStyle w:val="EMEANormal"/>
              <w:widowControl w:val="0"/>
              <w:suppressAutoHyphens w:val="0"/>
              <w:rPr>
                <w:lang w:val="hu-HU"/>
              </w:rPr>
            </w:pPr>
            <w:r w:rsidRPr="00183B5F">
              <w:rPr>
                <w:lang w:val="hu-HU"/>
              </w:rPr>
              <w:t>Erectilis dysfunctio</w:t>
            </w:r>
          </w:p>
          <w:p w14:paraId="1583D80A" w14:textId="77777777" w:rsidR="00D0403E" w:rsidRPr="00183B5F" w:rsidRDefault="00D0403E" w:rsidP="004062FE">
            <w:pPr>
              <w:pStyle w:val="EMEANormal"/>
              <w:widowControl w:val="0"/>
              <w:suppressAutoHyphens w:val="0"/>
              <w:rPr>
                <w:lang w:val="hu-HU"/>
              </w:rPr>
            </w:pPr>
          </w:p>
        </w:tc>
      </w:tr>
      <w:tr w:rsidR="00011D2F" w14:paraId="120B8756" w14:textId="77777777" w:rsidTr="00202B95">
        <w:trPr>
          <w:cantSplit/>
        </w:trPr>
        <w:tc>
          <w:tcPr>
            <w:tcW w:w="2580" w:type="dxa"/>
            <w:vMerge w:val="restart"/>
          </w:tcPr>
          <w:p w14:paraId="71EFB2FE" w14:textId="77777777" w:rsidR="00D0403E" w:rsidRPr="00183B5F" w:rsidRDefault="00943743" w:rsidP="004062FE">
            <w:pPr>
              <w:pStyle w:val="EMEANormal"/>
              <w:widowControl w:val="0"/>
              <w:suppressAutoHyphens w:val="0"/>
              <w:rPr>
                <w:szCs w:val="22"/>
                <w:lang w:val="hu-HU"/>
              </w:rPr>
            </w:pPr>
            <w:r w:rsidRPr="00183B5F">
              <w:rPr>
                <w:szCs w:val="22"/>
                <w:lang w:val="hu-HU"/>
              </w:rPr>
              <w:t>Általános tünetek, az alkalmazás helyén fellépő reakciók*</w:t>
            </w:r>
          </w:p>
        </w:tc>
        <w:tc>
          <w:tcPr>
            <w:tcW w:w="2027" w:type="dxa"/>
            <w:tcBorders>
              <w:bottom w:val="single" w:sz="4" w:space="0" w:color="auto"/>
            </w:tcBorders>
          </w:tcPr>
          <w:p w14:paraId="13B29D68" w14:textId="77777777" w:rsidR="00D0403E" w:rsidRPr="00183B5F" w:rsidRDefault="00943743" w:rsidP="004062FE">
            <w:pPr>
              <w:pStyle w:val="EMEANormal"/>
              <w:widowControl w:val="0"/>
              <w:suppressAutoHyphens w:val="0"/>
              <w:rPr>
                <w:lang w:val="hu-HU"/>
              </w:rPr>
            </w:pPr>
            <w:r w:rsidRPr="00183B5F">
              <w:rPr>
                <w:lang w:val="hu-HU"/>
              </w:rPr>
              <w:t>Nagyon gyakori</w:t>
            </w:r>
          </w:p>
          <w:p w14:paraId="464D5E3F" w14:textId="77777777" w:rsidR="00D0403E" w:rsidRPr="00183B5F" w:rsidRDefault="00D0403E" w:rsidP="004062FE">
            <w:pPr>
              <w:pStyle w:val="EMEANormal"/>
              <w:widowControl w:val="0"/>
              <w:suppressAutoHyphens w:val="0"/>
              <w:rPr>
                <w:lang w:val="hu-HU"/>
              </w:rPr>
            </w:pPr>
          </w:p>
        </w:tc>
        <w:tc>
          <w:tcPr>
            <w:tcW w:w="4454" w:type="dxa"/>
            <w:tcBorders>
              <w:bottom w:val="single" w:sz="4" w:space="0" w:color="auto"/>
            </w:tcBorders>
          </w:tcPr>
          <w:p w14:paraId="21256AF5" w14:textId="77777777" w:rsidR="00D0403E" w:rsidRPr="00183B5F" w:rsidRDefault="00943743" w:rsidP="004062FE">
            <w:pPr>
              <w:pStyle w:val="EMEANormal"/>
              <w:widowControl w:val="0"/>
              <w:suppressAutoHyphens w:val="0"/>
              <w:rPr>
                <w:lang w:val="hu-HU"/>
              </w:rPr>
            </w:pPr>
            <w:r w:rsidRPr="00183B5F">
              <w:rPr>
                <w:lang w:val="hu-HU"/>
              </w:rPr>
              <w:t>Az injekció beadási helyén jelentkező reakció (beleértve az injekció beadási helyén jelentkező reakciót erythemát is)</w:t>
            </w:r>
          </w:p>
          <w:p w14:paraId="33850B34" w14:textId="77777777" w:rsidR="00D0403E" w:rsidRPr="00183B5F" w:rsidRDefault="00D0403E" w:rsidP="004062FE">
            <w:pPr>
              <w:pStyle w:val="EMEANormal"/>
              <w:widowControl w:val="0"/>
              <w:suppressAutoHyphens w:val="0"/>
              <w:rPr>
                <w:lang w:val="hu-HU"/>
              </w:rPr>
            </w:pPr>
          </w:p>
        </w:tc>
      </w:tr>
      <w:tr w:rsidR="00011D2F" w14:paraId="1CB64EE4" w14:textId="77777777" w:rsidTr="00202B95">
        <w:trPr>
          <w:cantSplit/>
        </w:trPr>
        <w:tc>
          <w:tcPr>
            <w:tcW w:w="2580" w:type="dxa"/>
            <w:vMerge/>
          </w:tcPr>
          <w:p w14:paraId="5F539F9E" w14:textId="77777777" w:rsidR="00D0403E" w:rsidRPr="00183B5F" w:rsidRDefault="00D0403E"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261F6523" w14:textId="77777777" w:rsidR="00D0403E" w:rsidRPr="00183B5F" w:rsidRDefault="00943743">
            <w:pPr>
              <w:pStyle w:val="EMEANormal"/>
              <w:widowControl w:val="0"/>
              <w:suppressAutoHyphens w:val="0"/>
              <w:rPr>
                <w:lang w:val="hu-HU"/>
              </w:rPr>
            </w:pPr>
            <w:r w:rsidRPr="00183B5F">
              <w:rPr>
                <w:lang w:val="hu-HU"/>
              </w:rPr>
              <w:t>Gyakori</w:t>
            </w:r>
          </w:p>
          <w:p w14:paraId="1D77C968" w14:textId="77777777" w:rsidR="00D0403E" w:rsidRPr="00183B5F" w:rsidRDefault="00D0403E">
            <w:pPr>
              <w:pStyle w:val="EMEANormal"/>
              <w:widowControl w:val="0"/>
              <w:suppressAutoHyphens w:val="0"/>
              <w:rPr>
                <w:lang w:val="hu-HU"/>
              </w:rPr>
            </w:pPr>
          </w:p>
        </w:tc>
        <w:tc>
          <w:tcPr>
            <w:tcW w:w="4454" w:type="dxa"/>
            <w:tcBorders>
              <w:top w:val="single" w:sz="4" w:space="0" w:color="auto"/>
              <w:bottom w:val="single" w:sz="4" w:space="0" w:color="auto"/>
            </w:tcBorders>
          </w:tcPr>
          <w:p w14:paraId="17765E85" w14:textId="77777777" w:rsidR="00D0403E" w:rsidRPr="00183B5F" w:rsidRDefault="00943743">
            <w:pPr>
              <w:pStyle w:val="EMEANormal"/>
              <w:widowControl w:val="0"/>
              <w:suppressAutoHyphens w:val="0"/>
              <w:rPr>
                <w:lang w:val="hu-HU"/>
              </w:rPr>
            </w:pPr>
            <w:r w:rsidRPr="00183B5F">
              <w:rPr>
                <w:lang w:val="hu-HU"/>
              </w:rPr>
              <w:t xml:space="preserve">Mellkasi fájdalom, </w:t>
            </w:r>
          </w:p>
          <w:p w14:paraId="3314CF96" w14:textId="77777777" w:rsidR="00D0403E" w:rsidRPr="00183B5F" w:rsidRDefault="00943743">
            <w:pPr>
              <w:pStyle w:val="EMEANormal"/>
              <w:widowControl w:val="0"/>
              <w:suppressAutoHyphens w:val="0"/>
              <w:rPr>
                <w:lang w:val="hu-HU"/>
              </w:rPr>
            </w:pPr>
            <w:r w:rsidRPr="00183B5F">
              <w:rPr>
                <w:lang w:val="hu-HU"/>
              </w:rPr>
              <w:t>oedema,</w:t>
            </w:r>
          </w:p>
          <w:p w14:paraId="406C7AF8" w14:textId="77777777" w:rsidR="00D0403E" w:rsidRPr="00183B5F" w:rsidRDefault="00943743">
            <w:pPr>
              <w:pStyle w:val="EMEANormal"/>
              <w:widowControl w:val="0"/>
              <w:suppressAutoHyphens w:val="0"/>
              <w:rPr>
                <w:lang w:val="hu-HU"/>
              </w:rPr>
            </w:pPr>
            <w:r w:rsidRPr="00183B5F">
              <w:rPr>
                <w:lang w:val="hu-HU"/>
              </w:rPr>
              <w:t>láz</w:t>
            </w:r>
            <w:r w:rsidRPr="00183B5F">
              <w:rPr>
                <w:vertAlign w:val="superscript"/>
                <w:lang w:val="hu-HU"/>
              </w:rPr>
              <w:t>1)</w:t>
            </w:r>
          </w:p>
        </w:tc>
      </w:tr>
      <w:tr w:rsidR="00011D2F" w14:paraId="5B2A760F" w14:textId="77777777" w:rsidTr="00202B95">
        <w:trPr>
          <w:cantSplit/>
        </w:trPr>
        <w:tc>
          <w:tcPr>
            <w:tcW w:w="2580" w:type="dxa"/>
            <w:vMerge/>
          </w:tcPr>
          <w:p w14:paraId="18FD4FA8" w14:textId="77777777" w:rsidR="00D0403E" w:rsidRPr="00183B5F" w:rsidRDefault="00D0403E" w:rsidP="004062FE">
            <w:pPr>
              <w:widowControl w:val="0"/>
              <w:suppressAutoHyphens w:val="0"/>
              <w:spacing w:line="240" w:lineRule="auto"/>
              <w:jc w:val="center"/>
              <w:rPr>
                <w:b/>
              </w:rPr>
            </w:pPr>
          </w:p>
        </w:tc>
        <w:tc>
          <w:tcPr>
            <w:tcW w:w="2027" w:type="dxa"/>
            <w:tcBorders>
              <w:top w:val="single" w:sz="4" w:space="0" w:color="auto"/>
            </w:tcBorders>
          </w:tcPr>
          <w:p w14:paraId="48E596CE" w14:textId="77777777" w:rsidR="00D0403E" w:rsidRPr="00183B5F" w:rsidRDefault="00943743">
            <w:pPr>
              <w:pStyle w:val="EMEANormal"/>
              <w:widowControl w:val="0"/>
              <w:suppressAutoHyphens w:val="0"/>
              <w:rPr>
                <w:lang w:val="hu-HU"/>
              </w:rPr>
            </w:pPr>
            <w:r w:rsidRPr="00183B5F">
              <w:rPr>
                <w:lang w:val="hu-HU"/>
              </w:rPr>
              <w:t>Nem gyakori</w:t>
            </w:r>
          </w:p>
          <w:p w14:paraId="2AD72E36" w14:textId="77777777" w:rsidR="00D0403E" w:rsidRPr="00183B5F" w:rsidRDefault="00D0403E">
            <w:pPr>
              <w:pStyle w:val="EMEANormal"/>
              <w:widowControl w:val="0"/>
              <w:suppressAutoHyphens w:val="0"/>
              <w:rPr>
                <w:lang w:val="hu-HU"/>
              </w:rPr>
            </w:pPr>
          </w:p>
        </w:tc>
        <w:tc>
          <w:tcPr>
            <w:tcW w:w="4454" w:type="dxa"/>
            <w:tcBorders>
              <w:top w:val="single" w:sz="4" w:space="0" w:color="auto"/>
            </w:tcBorders>
          </w:tcPr>
          <w:p w14:paraId="1C148B23" w14:textId="77777777" w:rsidR="00D0403E" w:rsidRPr="00183B5F" w:rsidRDefault="00943743">
            <w:pPr>
              <w:pStyle w:val="EMEANormal"/>
              <w:widowControl w:val="0"/>
              <w:suppressAutoHyphens w:val="0"/>
              <w:rPr>
                <w:lang w:val="hu-HU"/>
              </w:rPr>
            </w:pPr>
            <w:r w:rsidRPr="00183B5F">
              <w:rPr>
                <w:lang w:val="hu-HU"/>
              </w:rPr>
              <w:t>Gyulladás</w:t>
            </w:r>
          </w:p>
        </w:tc>
      </w:tr>
      <w:tr w:rsidR="00011D2F" w14:paraId="6DD47D6D" w14:textId="77777777" w:rsidTr="00202B95">
        <w:trPr>
          <w:cantSplit/>
        </w:trPr>
        <w:tc>
          <w:tcPr>
            <w:tcW w:w="2580" w:type="dxa"/>
            <w:vMerge w:val="restart"/>
          </w:tcPr>
          <w:p w14:paraId="07000E12" w14:textId="77777777" w:rsidR="00796272" w:rsidRPr="00183B5F" w:rsidRDefault="00943743" w:rsidP="004062FE">
            <w:pPr>
              <w:pStyle w:val="EMEANormal"/>
              <w:widowControl w:val="0"/>
              <w:suppressAutoHyphens w:val="0"/>
              <w:rPr>
                <w:szCs w:val="22"/>
                <w:lang w:val="hu-HU"/>
              </w:rPr>
            </w:pPr>
            <w:r w:rsidRPr="00183B5F">
              <w:rPr>
                <w:szCs w:val="22"/>
                <w:lang w:val="hu-HU"/>
              </w:rPr>
              <w:t>Laboratóriumi és egyéb vizsgálatok eredményei*</w:t>
            </w:r>
          </w:p>
        </w:tc>
        <w:tc>
          <w:tcPr>
            <w:tcW w:w="2027" w:type="dxa"/>
          </w:tcPr>
          <w:p w14:paraId="28287C3E" w14:textId="77777777" w:rsidR="00796272" w:rsidRPr="00183B5F" w:rsidRDefault="00943743" w:rsidP="004062FE">
            <w:pPr>
              <w:pStyle w:val="EMEANormal"/>
              <w:widowControl w:val="0"/>
              <w:suppressAutoHyphens w:val="0"/>
              <w:rPr>
                <w:lang w:val="hu-HU"/>
              </w:rPr>
            </w:pPr>
            <w:r w:rsidRPr="00183B5F">
              <w:rPr>
                <w:lang w:val="hu-HU"/>
              </w:rPr>
              <w:t>Gyakori</w:t>
            </w:r>
          </w:p>
        </w:tc>
        <w:tc>
          <w:tcPr>
            <w:tcW w:w="4454" w:type="dxa"/>
          </w:tcPr>
          <w:p w14:paraId="343316BD" w14:textId="77777777" w:rsidR="00796272" w:rsidRPr="00183B5F" w:rsidRDefault="00943743" w:rsidP="004062FE">
            <w:pPr>
              <w:pStyle w:val="EMEANormal"/>
              <w:widowControl w:val="0"/>
              <w:suppressAutoHyphens w:val="0"/>
              <w:rPr>
                <w:lang w:val="hu-HU"/>
              </w:rPr>
            </w:pPr>
            <w:r w:rsidRPr="00183B5F">
              <w:rPr>
                <w:lang w:val="hu-HU"/>
              </w:rPr>
              <w:t xml:space="preserve">Véralvadási zavar vagy vérzékenység (beleértve az aktivált parciális thromboplastin-idő megnyúlását is), </w:t>
            </w:r>
          </w:p>
          <w:p w14:paraId="26FC1DB0" w14:textId="77777777" w:rsidR="00796272" w:rsidRPr="00183B5F" w:rsidRDefault="00943743" w:rsidP="004062FE">
            <w:pPr>
              <w:pStyle w:val="EMEANormal"/>
              <w:widowControl w:val="0"/>
              <w:suppressAutoHyphens w:val="0"/>
              <w:rPr>
                <w:lang w:val="hu-HU"/>
              </w:rPr>
            </w:pPr>
            <w:r w:rsidRPr="00183B5F">
              <w:rPr>
                <w:lang w:val="hu-HU"/>
              </w:rPr>
              <w:t xml:space="preserve">az autoantitest-vizsgálat pozitívvá válása (beleértve a kettős szálú DNS-ellenes antitestet is), </w:t>
            </w:r>
          </w:p>
          <w:p w14:paraId="310BB84A" w14:textId="77777777" w:rsidR="00796272" w:rsidRPr="00183B5F" w:rsidRDefault="00943743" w:rsidP="004062FE">
            <w:pPr>
              <w:pStyle w:val="EMEANormal"/>
              <w:widowControl w:val="0"/>
              <w:suppressAutoHyphens w:val="0"/>
              <w:rPr>
                <w:lang w:val="hu-HU"/>
              </w:rPr>
            </w:pPr>
            <w:r w:rsidRPr="00183B5F">
              <w:rPr>
                <w:lang w:val="hu-HU"/>
              </w:rPr>
              <w:t>a vér laktát</w:t>
            </w:r>
            <w:r w:rsidRPr="00183B5F">
              <w:rPr>
                <w:lang w:val="hu-HU"/>
              </w:rPr>
              <w:noBreakHyphen/>
              <w:t xml:space="preserve">dehidrogenáz-szintjének emelkedése </w:t>
            </w:r>
          </w:p>
          <w:p w14:paraId="29A9B012" w14:textId="77777777" w:rsidR="00796272" w:rsidRPr="00183B5F" w:rsidRDefault="00796272" w:rsidP="004062FE">
            <w:pPr>
              <w:pStyle w:val="EMEANormal"/>
              <w:widowControl w:val="0"/>
              <w:suppressAutoHyphens w:val="0"/>
              <w:rPr>
                <w:lang w:val="hu-HU"/>
              </w:rPr>
            </w:pPr>
          </w:p>
        </w:tc>
      </w:tr>
      <w:tr w:rsidR="00011D2F" w14:paraId="7A44A80D" w14:textId="77777777" w:rsidTr="00796272">
        <w:trPr>
          <w:cantSplit/>
        </w:trPr>
        <w:tc>
          <w:tcPr>
            <w:tcW w:w="2580" w:type="dxa"/>
            <w:vMerge/>
          </w:tcPr>
          <w:p w14:paraId="0BDCA51A" w14:textId="77777777" w:rsidR="00796272" w:rsidRPr="00183B5F" w:rsidRDefault="00796272" w:rsidP="004062FE">
            <w:pPr>
              <w:pStyle w:val="EMEANormal"/>
              <w:widowControl w:val="0"/>
              <w:suppressAutoHyphens w:val="0"/>
              <w:rPr>
                <w:szCs w:val="22"/>
                <w:lang w:val="hu-HU"/>
              </w:rPr>
            </w:pPr>
          </w:p>
        </w:tc>
        <w:tc>
          <w:tcPr>
            <w:tcW w:w="2027" w:type="dxa"/>
          </w:tcPr>
          <w:p w14:paraId="2AB69C81" w14:textId="77777777" w:rsidR="00796272" w:rsidRPr="00183B5F" w:rsidRDefault="00943743" w:rsidP="004062FE">
            <w:pPr>
              <w:pStyle w:val="EMEANormal"/>
              <w:widowControl w:val="0"/>
              <w:suppressAutoHyphens w:val="0"/>
              <w:rPr>
                <w:lang w:val="hu-HU"/>
              </w:rPr>
            </w:pPr>
            <w:r w:rsidRPr="00183B5F">
              <w:rPr>
                <w:lang w:val="hu-HU"/>
              </w:rPr>
              <w:t>Nem ismert</w:t>
            </w:r>
          </w:p>
        </w:tc>
        <w:tc>
          <w:tcPr>
            <w:tcW w:w="4454" w:type="dxa"/>
          </w:tcPr>
          <w:p w14:paraId="3A9ED456" w14:textId="77777777" w:rsidR="00796272" w:rsidRPr="00183B5F" w:rsidRDefault="00943743" w:rsidP="004062FE">
            <w:pPr>
              <w:pStyle w:val="EMEANormal"/>
              <w:widowControl w:val="0"/>
              <w:suppressAutoHyphens w:val="0"/>
              <w:rPr>
                <w:lang w:val="hu-HU"/>
              </w:rPr>
            </w:pPr>
            <w:r w:rsidRPr="00183B5F">
              <w:rPr>
                <w:lang w:val="hu-HU"/>
              </w:rPr>
              <w:t>Testtömeg növekedése</w:t>
            </w:r>
            <w:r w:rsidRPr="00183B5F">
              <w:rPr>
                <w:vertAlign w:val="superscript"/>
                <w:lang w:val="hu-HU"/>
              </w:rPr>
              <w:t>2)</w:t>
            </w:r>
          </w:p>
        </w:tc>
      </w:tr>
      <w:tr w:rsidR="00011D2F" w14:paraId="28A8D6B2" w14:textId="77777777" w:rsidTr="00202B95">
        <w:trPr>
          <w:cantSplit/>
        </w:trPr>
        <w:tc>
          <w:tcPr>
            <w:tcW w:w="2580" w:type="dxa"/>
          </w:tcPr>
          <w:p w14:paraId="36EFFF7F" w14:textId="77777777" w:rsidR="00D0403E" w:rsidRPr="00183B5F" w:rsidRDefault="00943743" w:rsidP="004062FE">
            <w:pPr>
              <w:pStyle w:val="EMEANormal"/>
              <w:keepNext/>
              <w:widowControl w:val="0"/>
              <w:suppressAutoHyphens w:val="0"/>
              <w:rPr>
                <w:szCs w:val="22"/>
                <w:lang w:val="hu-HU"/>
              </w:rPr>
            </w:pPr>
            <w:r w:rsidRPr="00183B5F">
              <w:rPr>
                <w:szCs w:val="22"/>
                <w:lang w:val="hu-HU"/>
              </w:rPr>
              <w:t>Sérülés, mérgezés és a beavatkozással kapcsolatos szövődmények</w:t>
            </w:r>
          </w:p>
        </w:tc>
        <w:tc>
          <w:tcPr>
            <w:tcW w:w="2027" w:type="dxa"/>
          </w:tcPr>
          <w:p w14:paraId="30297FE2" w14:textId="77777777" w:rsidR="00D0403E" w:rsidRPr="00183B5F" w:rsidRDefault="00943743" w:rsidP="004062FE">
            <w:pPr>
              <w:pStyle w:val="EMEANormal"/>
              <w:keepNext/>
              <w:widowControl w:val="0"/>
              <w:suppressAutoHyphens w:val="0"/>
              <w:rPr>
                <w:lang w:val="hu-HU"/>
              </w:rPr>
            </w:pPr>
            <w:r w:rsidRPr="00183B5F">
              <w:rPr>
                <w:lang w:val="hu-HU"/>
              </w:rPr>
              <w:t>Gyakori</w:t>
            </w:r>
          </w:p>
        </w:tc>
        <w:tc>
          <w:tcPr>
            <w:tcW w:w="4454" w:type="dxa"/>
          </w:tcPr>
          <w:p w14:paraId="431BC549" w14:textId="77777777" w:rsidR="004A6A7C" w:rsidRPr="00183B5F" w:rsidRDefault="00943743" w:rsidP="004062FE">
            <w:pPr>
              <w:pStyle w:val="EMEANormal"/>
              <w:keepNext/>
              <w:widowControl w:val="0"/>
              <w:suppressAutoHyphens w:val="0"/>
              <w:rPr>
                <w:lang w:val="hu-HU"/>
              </w:rPr>
            </w:pPr>
            <w:r w:rsidRPr="00183B5F">
              <w:rPr>
                <w:lang w:val="hu-HU"/>
              </w:rPr>
              <w:t>Sebgyógyulási zavar</w:t>
            </w:r>
          </w:p>
          <w:p w14:paraId="1B6C669A" w14:textId="77777777" w:rsidR="00D0403E" w:rsidRPr="00183B5F" w:rsidRDefault="00D0403E" w:rsidP="004062FE">
            <w:pPr>
              <w:pStyle w:val="EMEANormal"/>
              <w:keepNext/>
              <w:widowControl w:val="0"/>
              <w:suppressAutoHyphens w:val="0"/>
              <w:rPr>
                <w:lang w:val="hu-HU"/>
              </w:rPr>
            </w:pPr>
          </w:p>
        </w:tc>
      </w:tr>
    </w:tbl>
    <w:p w14:paraId="70413FB4" w14:textId="77777777" w:rsidR="00D0403E" w:rsidRPr="00183B5F" w:rsidRDefault="00943743" w:rsidP="004062FE">
      <w:pPr>
        <w:keepNext/>
        <w:suppressAutoHyphens w:val="0"/>
        <w:spacing w:line="240" w:lineRule="auto"/>
        <w:rPr>
          <w:szCs w:val="22"/>
        </w:rPr>
      </w:pPr>
      <w:r w:rsidRPr="00183B5F">
        <w:rPr>
          <w:szCs w:val="22"/>
        </w:rPr>
        <w:t>*  a 4.3, 4.4 és 4.8 pontban további információ található</w:t>
      </w:r>
    </w:p>
    <w:p w14:paraId="1235E2D1" w14:textId="77777777" w:rsidR="00D0403E" w:rsidRPr="00183B5F" w:rsidRDefault="00943743">
      <w:pPr>
        <w:pStyle w:val="EMEAHeadingUnderline"/>
        <w:keepNext/>
        <w:suppressAutoHyphens w:val="0"/>
        <w:spacing w:beforeLines="0" w:afterLines="0"/>
        <w:rPr>
          <w:szCs w:val="22"/>
          <w:u w:val="none"/>
          <w:lang w:val="hu-HU"/>
        </w:rPr>
      </w:pPr>
      <w:r w:rsidRPr="00183B5F">
        <w:rPr>
          <w:szCs w:val="22"/>
          <w:u w:val="none"/>
          <w:lang w:val="hu-HU"/>
        </w:rPr>
        <w:t>** a nyílt, kiterjesztett vizsgálatokat is beleértve</w:t>
      </w:r>
    </w:p>
    <w:p w14:paraId="384B1A4F" w14:textId="77777777" w:rsidR="00D0403E" w:rsidRPr="00183B5F" w:rsidRDefault="00943743" w:rsidP="005B33D0">
      <w:pPr>
        <w:pStyle w:val="EMEANormal"/>
        <w:keepNext/>
        <w:suppressAutoHyphens w:val="0"/>
        <w:rPr>
          <w:szCs w:val="22"/>
          <w:lang w:val="hu-HU"/>
        </w:rPr>
      </w:pPr>
      <w:r w:rsidRPr="00183B5F">
        <w:rPr>
          <w:szCs w:val="22"/>
          <w:vertAlign w:val="superscript"/>
          <w:lang w:val="hu-HU"/>
        </w:rPr>
        <w:t xml:space="preserve">1) </w:t>
      </w:r>
      <w:r w:rsidRPr="00183B5F">
        <w:rPr>
          <w:szCs w:val="22"/>
          <w:lang w:val="hu-HU"/>
        </w:rPr>
        <w:t xml:space="preserve">a spontán </w:t>
      </w:r>
      <w:r w:rsidR="00A9243E" w:rsidRPr="00183B5F">
        <w:rPr>
          <w:szCs w:val="22"/>
          <w:lang w:val="hu-HU"/>
        </w:rPr>
        <w:t xml:space="preserve">jelentéseket </w:t>
      </w:r>
      <w:r w:rsidRPr="00183B5F">
        <w:rPr>
          <w:szCs w:val="22"/>
          <w:lang w:val="hu-HU"/>
        </w:rPr>
        <w:t>is beleértve</w:t>
      </w:r>
    </w:p>
    <w:p w14:paraId="343D0CE3" w14:textId="77777777" w:rsidR="00796272" w:rsidRPr="00183B5F" w:rsidRDefault="00943743" w:rsidP="00796272">
      <w:pPr>
        <w:pStyle w:val="EMEANormal"/>
        <w:keepNext/>
        <w:rPr>
          <w:szCs w:val="22"/>
          <w:lang w:val="hu-HU"/>
        </w:rPr>
      </w:pPr>
      <w:r w:rsidRPr="00183B5F">
        <w:rPr>
          <w:vertAlign w:val="superscript"/>
          <w:lang w:val="hu-HU"/>
        </w:rPr>
        <w:t>2)</w:t>
      </w:r>
      <w:r w:rsidRPr="00183B5F">
        <w:rPr>
          <w:lang w:val="hu-HU"/>
        </w:rPr>
        <w:t xml:space="preserve"> 4–6 hónapos kezelési időszak alatt a kiindulási értékhez képest a testtömeg átlagos változása az adalimumab esetében +0,3 kg és +1,0 kg között volt a felnőtt indikációkban, míg a placebo esetében ugyanez –0,4 kg és +0,4 kg között volt. Vizsgálatok hosszú távú kiterjesztési szakaszában 5-6 kg-os testtömegnövekedést is megfigyeltek átlagosan kb. 1-2 év expozíció során, kontrollcsoport nélkül, különösen a Crohn</w:t>
      </w:r>
      <w:r w:rsidR="008F5634" w:rsidRPr="00183B5F">
        <w:rPr>
          <w:lang w:val="hu-HU"/>
        </w:rPr>
        <w:t>-</w:t>
      </w:r>
      <w:r w:rsidRPr="00183B5F">
        <w:rPr>
          <w:lang w:val="hu-HU"/>
        </w:rPr>
        <w:t>betegségben és a colitis ulcerosában szenvedő betegek esetében. Ennek a hatásnak a mechanizmusa nem</w:t>
      </w:r>
      <w:r w:rsidRPr="00183B5F">
        <w:rPr>
          <w:lang w:val="hu-HU"/>
        </w:rPr>
        <w:t xml:space="preserve"> tisztázott, de összefügghet az adalimumab gyulladáscsökkentő hatásával.</w:t>
      </w:r>
    </w:p>
    <w:p w14:paraId="25241F2F" w14:textId="77777777" w:rsidR="00D0403E" w:rsidRPr="00183B5F" w:rsidRDefault="00D0403E" w:rsidP="004062FE">
      <w:pPr>
        <w:spacing w:line="240" w:lineRule="auto"/>
        <w:rPr>
          <w:szCs w:val="22"/>
          <w:u w:val="single"/>
        </w:rPr>
      </w:pPr>
    </w:p>
    <w:p w14:paraId="75CD02D2" w14:textId="77777777" w:rsidR="00243521" w:rsidRPr="00183B5F" w:rsidRDefault="00943743" w:rsidP="004062FE">
      <w:pPr>
        <w:spacing w:line="240" w:lineRule="auto"/>
        <w:rPr>
          <w:szCs w:val="22"/>
          <w:u w:val="single"/>
        </w:rPr>
      </w:pPr>
      <w:r w:rsidRPr="00183B5F">
        <w:rPr>
          <w:szCs w:val="22"/>
          <w:u w:val="single"/>
        </w:rPr>
        <w:t>Hidradenitis suppurativa</w:t>
      </w:r>
    </w:p>
    <w:p w14:paraId="54F22DB2" w14:textId="77777777" w:rsidR="00243521" w:rsidRPr="00183B5F" w:rsidRDefault="00243521" w:rsidP="004062FE">
      <w:pPr>
        <w:spacing w:line="240" w:lineRule="auto"/>
        <w:rPr>
          <w:szCs w:val="22"/>
          <w:u w:val="single"/>
        </w:rPr>
      </w:pPr>
    </w:p>
    <w:p w14:paraId="69CFE5CB" w14:textId="77777777" w:rsidR="00243521" w:rsidRPr="00183B5F" w:rsidRDefault="00943743" w:rsidP="004062FE">
      <w:pPr>
        <w:spacing w:line="240" w:lineRule="auto"/>
        <w:rPr>
          <w:szCs w:val="22"/>
        </w:rPr>
      </w:pPr>
      <w:r w:rsidRPr="00183B5F">
        <w:rPr>
          <w:szCs w:val="22"/>
        </w:rPr>
        <w:t>A biztonság</w:t>
      </w:r>
      <w:r w:rsidR="00FC5B65" w:rsidRPr="00183B5F">
        <w:rPr>
          <w:szCs w:val="22"/>
        </w:rPr>
        <w:t>osság</w:t>
      </w:r>
      <w:r w:rsidRPr="00183B5F">
        <w:rPr>
          <w:szCs w:val="22"/>
        </w:rPr>
        <w:t>i profil</w:t>
      </w:r>
      <w:r w:rsidR="00FC5B65" w:rsidRPr="00183B5F">
        <w:rPr>
          <w:szCs w:val="22"/>
        </w:rPr>
        <w:t xml:space="preserve"> a Humira</w:t>
      </w:r>
      <w:r w:rsidR="00FC5B65" w:rsidRPr="00183B5F">
        <w:rPr>
          <w:szCs w:val="22"/>
        </w:rPr>
        <w:noBreakHyphen/>
        <w:t xml:space="preserve">val </w:t>
      </w:r>
      <w:r w:rsidR="00663798" w:rsidRPr="00183B5F">
        <w:rPr>
          <w:szCs w:val="22"/>
        </w:rPr>
        <w:t xml:space="preserve">hetente </w:t>
      </w:r>
      <w:r w:rsidR="00FC5B65" w:rsidRPr="00183B5F">
        <w:rPr>
          <w:szCs w:val="22"/>
        </w:rPr>
        <w:t>kezelt,</w:t>
      </w:r>
      <w:r w:rsidRPr="00183B5F">
        <w:rPr>
          <w:szCs w:val="22"/>
        </w:rPr>
        <w:t xml:space="preserve"> HS</w:t>
      </w:r>
      <w:r w:rsidRPr="00183B5F">
        <w:rPr>
          <w:szCs w:val="22"/>
        </w:rPr>
        <w:noBreakHyphen/>
      </w:r>
      <w:r w:rsidRPr="00183B5F">
        <w:rPr>
          <w:szCs w:val="22"/>
        </w:rPr>
        <w:t xml:space="preserve">ben szenvedő betegek esetén </w:t>
      </w:r>
      <w:r w:rsidR="00FC5B65" w:rsidRPr="00183B5F">
        <w:rPr>
          <w:szCs w:val="22"/>
        </w:rPr>
        <w:t>megegyezett</w:t>
      </w:r>
      <w:r w:rsidRPr="00183B5F">
        <w:rPr>
          <w:szCs w:val="22"/>
        </w:rPr>
        <w:t xml:space="preserve"> a Humira ismert biztonság</w:t>
      </w:r>
      <w:r w:rsidR="00FC5B65" w:rsidRPr="00183B5F">
        <w:rPr>
          <w:szCs w:val="22"/>
        </w:rPr>
        <w:t>osság</w:t>
      </w:r>
      <w:r w:rsidRPr="00183B5F">
        <w:rPr>
          <w:szCs w:val="22"/>
        </w:rPr>
        <w:t>i profiljával.</w:t>
      </w:r>
    </w:p>
    <w:p w14:paraId="67AF9EAB" w14:textId="77777777" w:rsidR="00C55D56" w:rsidRPr="00183B5F" w:rsidRDefault="00C55D56" w:rsidP="004062FE">
      <w:pPr>
        <w:keepNext/>
        <w:spacing w:line="240" w:lineRule="auto"/>
        <w:rPr>
          <w:szCs w:val="22"/>
          <w:u w:val="single"/>
        </w:rPr>
      </w:pPr>
    </w:p>
    <w:p w14:paraId="576704F9" w14:textId="77777777" w:rsidR="00C55D56" w:rsidRPr="00183B5F" w:rsidRDefault="00943743" w:rsidP="004062FE">
      <w:pPr>
        <w:keepNext/>
        <w:spacing w:line="240" w:lineRule="auto"/>
        <w:rPr>
          <w:szCs w:val="22"/>
          <w:u w:val="single"/>
        </w:rPr>
      </w:pPr>
      <w:r w:rsidRPr="00183B5F">
        <w:rPr>
          <w:szCs w:val="22"/>
          <w:u w:val="single"/>
        </w:rPr>
        <w:t>Uveitis</w:t>
      </w:r>
    </w:p>
    <w:p w14:paraId="2636B227" w14:textId="77777777" w:rsidR="00C55D56" w:rsidRPr="00183B5F" w:rsidRDefault="00C55D56" w:rsidP="004062FE">
      <w:pPr>
        <w:keepNext/>
        <w:spacing w:line="240" w:lineRule="auto"/>
        <w:rPr>
          <w:szCs w:val="22"/>
          <w:u w:val="single"/>
        </w:rPr>
      </w:pPr>
    </w:p>
    <w:p w14:paraId="1B5D5903" w14:textId="77777777" w:rsidR="00C55D56" w:rsidRPr="00183B5F" w:rsidRDefault="00943743" w:rsidP="004062FE">
      <w:pPr>
        <w:keepNext/>
        <w:spacing w:line="240" w:lineRule="auto"/>
        <w:rPr>
          <w:szCs w:val="22"/>
        </w:rPr>
      </w:pPr>
      <w:r w:rsidRPr="00183B5F">
        <w:rPr>
          <w:szCs w:val="22"/>
        </w:rPr>
        <w:t>A biztonságossági profil a minden második héten Humira</w:t>
      </w:r>
      <w:r w:rsidRPr="00183B5F">
        <w:rPr>
          <w:szCs w:val="22"/>
        </w:rPr>
        <w:noBreakHyphen/>
        <w:t>val kezelt, uveitisben szenvedő betegek esetén megegyezett a Humira ismert biztonságossági profiljával.</w:t>
      </w:r>
    </w:p>
    <w:p w14:paraId="672C8F92" w14:textId="77777777" w:rsidR="00955B36" w:rsidRPr="00183B5F" w:rsidRDefault="00955B36" w:rsidP="004062FE">
      <w:pPr>
        <w:spacing w:line="240" w:lineRule="auto"/>
        <w:rPr>
          <w:szCs w:val="22"/>
          <w:u w:val="single"/>
        </w:rPr>
      </w:pPr>
    </w:p>
    <w:p w14:paraId="338CB8D2" w14:textId="77777777" w:rsidR="00D0403E" w:rsidRPr="00183B5F" w:rsidRDefault="00943743" w:rsidP="00832DC3">
      <w:pPr>
        <w:pStyle w:val="EMEANormal"/>
        <w:keepNext/>
        <w:suppressAutoHyphens w:val="0"/>
        <w:rPr>
          <w:szCs w:val="22"/>
          <w:u w:val="single"/>
          <w:lang w:val="hu-HU"/>
        </w:rPr>
      </w:pPr>
      <w:r w:rsidRPr="00183B5F">
        <w:rPr>
          <w:szCs w:val="22"/>
          <w:u w:val="single"/>
          <w:lang w:val="hu-HU"/>
        </w:rPr>
        <w:t>Kiválasztott mellékhatások leírása</w:t>
      </w:r>
    </w:p>
    <w:p w14:paraId="389B0F88" w14:textId="77777777" w:rsidR="00D0403E" w:rsidRPr="00183B5F" w:rsidRDefault="00D0403E" w:rsidP="00832DC3">
      <w:pPr>
        <w:keepNext/>
        <w:spacing w:line="240" w:lineRule="auto"/>
        <w:rPr>
          <w:szCs w:val="22"/>
          <w:u w:val="single"/>
        </w:rPr>
      </w:pPr>
    </w:p>
    <w:p w14:paraId="2FAF9392" w14:textId="77777777" w:rsidR="00D0403E" w:rsidRPr="00183B5F" w:rsidRDefault="00943743" w:rsidP="00832DC3">
      <w:pPr>
        <w:keepNext/>
        <w:spacing w:line="240" w:lineRule="auto"/>
        <w:rPr>
          <w:i/>
          <w:szCs w:val="22"/>
        </w:rPr>
      </w:pPr>
      <w:r w:rsidRPr="00183B5F">
        <w:rPr>
          <w:i/>
          <w:szCs w:val="22"/>
        </w:rPr>
        <w:t>Az injekció helyén fellépő reakció</w:t>
      </w:r>
    </w:p>
    <w:p w14:paraId="7DBD2698" w14:textId="77777777" w:rsidR="00D0403E" w:rsidRPr="00183B5F" w:rsidRDefault="00D0403E" w:rsidP="00832DC3">
      <w:pPr>
        <w:keepNext/>
        <w:spacing w:line="240" w:lineRule="auto"/>
        <w:rPr>
          <w:b/>
          <w:i/>
          <w:szCs w:val="22"/>
        </w:rPr>
      </w:pPr>
    </w:p>
    <w:p w14:paraId="5C7E9E43" w14:textId="77777777" w:rsidR="00D0403E" w:rsidRPr="00183B5F" w:rsidRDefault="00943743" w:rsidP="004062FE">
      <w:pPr>
        <w:spacing w:line="240" w:lineRule="auto"/>
        <w:rPr>
          <w:szCs w:val="22"/>
        </w:rPr>
      </w:pPr>
      <w:r w:rsidRPr="00183B5F">
        <w:rPr>
          <w:szCs w:val="22"/>
        </w:rPr>
        <w:t>A felnőttek és gyermekek bevonásával végzett pivotális, kontrollos vizsgálatokban, a Humira</w:t>
      </w:r>
      <w:r w:rsidRPr="00183B5F">
        <w:rPr>
          <w:szCs w:val="22"/>
        </w:rPr>
        <w:noBreakHyphen/>
        <w:t>val kezelt betegek 1</w:t>
      </w:r>
      <w:r w:rsidR="00955B36" w:rsidRPr="00183B5F">
        <w:rPr>
          <w:szCs w:val="22"/>
        </w:rPr>
        <w:t>2,9</w:t>
      </w:r>
      <w:r w:rsidRPr="00183B5F">
        <w:rPr>
          <w:szCs w:val="22"/>
        </w:rPr>
        <w:t>%</w:t>
      </w:r>
      <w:r w:rsidRPr="00183B5F">
        <w:rPr>
          <w:szCs w:val="22"/>
        </w:rPr>
        <w:noBreakHyphen/>
        <w:t>ánál alakult ki lokális reakció az injekció helyén (bőrpír és/vagy viszketés, vérzés, fájdalom vagy duzzadás), míg a placebo</w:t>
      </w:r>
      <w:r w:rsidR="0011114B" w:rsidRPr="00183B5F">
        <w:rPr>
          <w:szCs w:val="22"/>
        </w:rPr>
        <w:t>-</w:t>
      </w:r>
      <w:r w:rsidRPr="00183B5F">
        <w:rPr>
          <w:szCs w:val="22"/>
        </w:rPr>
        <w:t xml:space="preserve"> vagy aktív kontroll</w:t>
      </w:r>
      <w:r w:rsidR="001D2134" w:rsidRPr="00183B5F">
        <w:rPr>
          <w:szCs w:val="22"/>
        </w:rPr>
        <w:t>-</w:t>
      </w:r>
      <w:r w:rsidRPr="00183B5F">
        <w:rPr>
          <w:szCs w:val="22"/>
        </w:rPr>
        <w:t>csoportban a betegek 7,</w:t>
      </w:r>
      <w:r w:rsidR="00821448" w:rsidRPr="00183B5F">
        <w:rPr>
          <w:szCs w:val="22"/>
        </w:rPr>
        <w:t>2</w:t>
      </w:r>
      <w:r w:rsidRPr="00183B5F">
        <w:rPr>
          <w:szCs w:val="22"/>
        </w:rPr>
        <w:t>%</w:t>
      </w:r>
      <w:r w:rsidRPr="00183B5F">
        <w:rPr>
          <w:szCs w:val="22"/>
        </w:rPr>
        <w:noBreakHyphen/>
      </w:r>
      <w:r w:rsidRPr="00183B5F">
        <w:rPr>
          <w:szCs w:val="22"/>
        </w:rPr>
        <w:t>ánál. A helyi reakciók általában nem tették szükségessé a kezelés felfüggesztését.</w:t>
      </w:r>
    </w:p>
    <w:p w14:paraId="008A52BA" w14:textId="77777777" w:rsidR="00D0403E" w:rsidRPr="00183B5F" w:rsidRDefault="00D0403E" w:rsidP="004062FE">
      <w:pPr>
        <w:spacing w:line="240" w:lineRule="auto"/>
        <w:ind w:left="567" w:hanging="567"/>
        <w:rPr>
          <w:szCs w:val="22"/>
        </w:rPr>
      </w:pPr>
    </w:p>
    <w:p w14:paraId="559449A3" w14:textId="77777777" w:rsidR="00D0403E" w:rsidRPr="00183B5F" w:rsidRDefault="00943743" w:rsidP="00832DC3">
      <w:pPr>
        <w:keepNext/>
        <w:spacing w:line="240" w:lineRule="auto"/>
        <w:rPr>
          <w:i/>
          <w:szCs w:val="22"/>
        </w:rPr>
      </w:pPr>
      <w:r w:rsidRPr="00183B5F">
        <w:rPr>
          <w:i/>
          <w:szCs w:val="22"/>
        </w:rPr>
        <w:t>Fertőzések</w:t>
      </w:r>
    </w:p>
    <w:p w14:paraId="34D9E887" w14:textId="77777777" w:rsidR="00D0403E" w:rsidRPr="00183B5F" w:rsidRDefault="00D0403E" w:rsidP="00832DC3">
      <w:pPr>
        <w:keepNext/>
        <w:spacing w:line="240" w:lineRule="auto"/>
        <w:ind w:left="567" w:hanging="567"/>
        <w:rPr>
          <w:szCs w:val="22"/>
        </w:rPr>
      </w:pPr>
    </w:p>
    <w:p w14:paraId="26BA6114" w14:textId="77777777" w:rsidR="00D0403E" w:rsidRPr="00183B5F" w:rsidRDefault="00943743" w:rsidP="004062FE">
      <w:pPr>
        <w:spacing w:line="240" w:lineRule="auto"/>
        <w:rPr>
          <w:szCs w:val="22"/>
        </w:rPr>
      </w:pPr>
      <w:r w:rsidRPr="00183B5F">
        <w:rPr>
          <w:szCs w:val="22"/>
        </w:rPr>
        <w:t>A felnőttek és gyermekek bevonásával végzett pivotális, kontrollos vizsgálatokban a fertőzések arányszáma a Humira</w:t>
      </w:r>
      <w:r w:rsidRPr="00183B5F">
        <w:rPr>
          <w:szCs w:val="22"/>
        </w:rPr>
        <w:noBreakHyphen/>
        <w:t>val kezelt csoportban betegévenként 1,51 volt, míg betegévenként 1,4</w:t>
      </w:r>
      <w:r w:rsidR="00955B36" w:rsidRPr="00183B5F">
        <w:rPr>
          <w:szCs w:val="22"/>
        </w:rPr>
        <w:t>6</w:t>
      </w:r>
      <w:r w:rsidRPr="00183B5F">
        <w:rPr>
          <w:szCs w:val="22"/>
        </w:rPr>
        <w:t xml:space="preserve"> volt a placeb</w:t>
      </w:r>
      <w:r w:rsidR="001D2134" w:rsidRPr="00183B5F">
        <w:rPr>
          <w:szCs w:val="22"/>
        </w:rPr>
        <w:t>óval</w:t>
      </w:r>
      <w:r w:rsidRPr="00183B5F">
        <w:rPr>
          <w:szCs w:val="22"/>
        </w:rPr>
        <w:t xml:space="preserve"> és az aktív kontroll</w:t>
      </w:r>
      <w:r w:rsidRPr="00183B5F">
        <w:rPr>
          <w:szCs w:val="22"/>
        </w:rPr>
        <w:noBreakHyphen/>
        <w:t>készítménnyel kezelt betegek csoportjában. A fertőzések döntő többsége nasopharyngitis, felső légúti</w:t>
      </w:r>
      <w:r w:rsidR="001D2134" w:rsidRPr="00183B5F">
        <w:rPr>
          <w:szCs w:val="22"/>
        </w:rPr>
        <w:t xml:space="preserve"> fertőzés</w:t>
      </w:r>
      <w:r w:rsidRPr="00183B5F">
        <w:rPr>
          <w:szCs w:val="22"/>
        </w:rPr>
        <w:t xml:space="preserve"> és </w:t>
      </w:r>
      <w:r w:rsidR="00955B36" w:rsidRPr="00183B5F">
        <w:rPr>
          <w:szCs w:val="22"/>
        </w:rPr>
        <w:t>sinusitis</w:t>
      </w:r>
      <w:r w:rsidRPr="00183B5F">
        <w:rPr>
          <w:szCs w:val="22"/>
        </w:rPr>
        <w:t xml:space="preserve"> volt. A Humira</w:t>
      </w:r>
      <w:r w:rsidRPr="00183B5F">
        <w:rPr>
          <w:szCs w:val="22"/>
        </w:rPr>
        <w:noBreakHyphen/>
        <w:t>kezelést a fertőzés megszűnését követően a betegek nagy részénél folytatni lehetett.</w:t>
      </w:r>
    </w:p>
    <w:p w14:paraId="572B1488" w14:textId="77777777" w:rsidR="00D0403E" w:rsidRPr="00183B5F" w:rsidRDefault="00D0403E" w:rsidP="004062FE">
      <w:pPr>
        <w:spacing w:line="240" w:lineRule="auto"/>
        <w:rPr>
          <w:szCs w:val="22"/>
        </w:rPr>
      </w:pPr>
    </w:p>
    <w:p w14:paraId="2ABF7E33" w14:textId="77777777" w:rsidR="00D0403E" w:rsidRPr="00183B5F" w:rsidRDefault="00943743" w:rsidP="004062FE">
      <w:pPr>
        <w:spacing w:line="240" w:lineRule="auto"/>
        <w:rPr>
          <w:szCs w:val="22"/>
        </w:rPr>
      </w:pPr>
      <w:r w:rsidRPr="00183B5F">
        <w:rPr>
          <w:szCs w:val="22"/>
        </w:rPr>
        <w:t>A súlyos fertőzések incidenciája 0,04 volt betegévenként a Humira</w:t>
      </w:r>
      <w:r w:rsidRPr="00183B5F">
        <w:rPr>
          <w:szCs w:val="22"/>
        </w:rPr>
        <w:noBreakHyphen/>
      </w:r>
      <w:r w:rsidR="00087B40" w:rsidRPr="00183B5F">
        <w:rPr>
          <w:szCs w:val="22"/>
        </w:rPr>
        <w:t>val kezeltek</w:t>
      </w:r>
      <w:r w:rsidRPr="00183B5F">
        <w:rPr>
          <w:szCs w:val="22"/>
        </w:rPr>
        <w:t xml:space="preserve"> csoportjában, míg 0,03 volt betegévenként a placebóval és az aktív kontroll</w:t>
      </w:r>
      <w:r w:rsidR="00087B40" w:rsidRPr="00183B5F">
        <w:rPr>
          <w:szCs w:val="22"/>
        </w:rPr>
        <w:t>al</w:t>
      </w:r>
      <w:r w:rsidRPr="00183B5F">
        <w:rPr>
          <w:szCs w:val="22"/>
        </w:rPr>
        <w:t xml:space="preserve"> kezelt betegek csoportjában.</w:t>
      </w:r>
    </w:p>
    <w:p w14:paraId="0F59275F" w14:textId="77777777" w:rsidR="00D0403E" w:rsidRPr="00183B5F" w:rsidRDefault="00D0403E" w:rsidP="004062FE">
      <w:pPr>
        <w:spacing w:line="240" w:lineRule="auto"/>
        <w:rPr>
          <w:szCs w:val="22"/>
        </w:rPr>
      </w:pPr>
    </w:p>
    <w:p w14:paraId="6A482DDE" w14:textId="77777777" w:rsidR="00D0403E" w:rsidRPr="00183B5F" w:rsidRDefault="00943743" w:rsidP="004062FE">
      <w:pPr>
        <w:spacing w:line="240" w:lineRule="auto"/>
        <w:rPr>
          <w:szCs w:val="22"/>
        </w:rPr>
      </w:pPr>
      <w:r w:rsidRPr="00183B5F">
        <w:rPr>
          <w:szCs w:val="22"/>
        </w:rPr>
        <w:t>A Humira</w:t>
      </w:r>
      <w:r w:rsidRPr="00183B5F">
        <w:rPr>
          <w:szCs w:val="22"/>
        </w:rPr>
        <w:noBreakHyphen/>
        <w:t>val felnőttek és gyermekek bevonásával végzett kontrollos</w:t>
      </w:r>
      <w:r w:rsidR="001D2134" w:rsidRPr="00183B5F">
        <w:rPr>
          <w:szCs w:val="22"/>
        </w:rPr>
        <w:t>, valamint</w:t>
      </w:r>
      <w:r w:rsidRPr="00183B5F">
        <w:rPr>
          <w:szCs w:val="22"/>
        </w:rPr>
        <w:t xml:space="preserve"> nyílt vizsgálatokban súlyos fertőzésekről (beleértve halálos kimenetelű fertőzést, amely csak ritkán fordult elő) számoltak be többek között tuberculosisról (miliaris és extrapulmon</w:t>
      </w:r>
      <w:r w:rsidR="001D2134" w:rsidRPr="00183B5F">
        <w:rPr>
          <w:szCs w:val="22"/>
        </w:rPr>
        <w:t>a</w:t>
      </w:r>
      <w:r w:rsidRPr="00183B5F">
        <w:rPr>
          <w:szCs w:val="22"/>
        </w:rPr>
        <w:t xml:space="preserve">lis előfordulással) és invazív opportunista fertőzésekről (pl. disszeminált vagy extrapulmonalis histoplasmosis, </w:t>
      </w:r>
      <w:r w:rsidRPr="00183B5F">
        <w:rPr>
          <w:szCs w:val="22"/>
          <w:u w:color="0000FF"/>
        </w:rPr>
        <w:t>blastomycosis, coccidioidomycosis, pneumocystosis</w:t>
      </w:r>
      <w:r w:rsidRPr="00183B5F">
        <w:rPr>
          <w:szCs w:val="22"/>
        </w:rPr>
        <w:t xml:space="preserve">, </w:t>
      </w:r>
      <w:r w:rsidRPr="00183B5F">
        <w:rPr>
          <w:szCs w:val="22"/>
          <w:u w:color="0000FF"/>
        </w:rPr>
        <w:t>candidiasis</w:t>
      </w:r>
      <w:r w:rsidRPr="00183B5F">
        <w:rPr>
          <w:szCs w:val="22"/>
        </w:rPr>
        <w:t>, aspergillosis és listeriosis). A tuberculosisos megbetegedések többsége a Humira</w:t>
      </w:r>
      <w:r w:rsidR="00573D37" w:rsidRPr="00183B5F">
        <w:rPr>
          <w:szCs w:val="22"/>
        </w:rPr>
        <w:noBreakHyphen/>
      </w:r>
      <w:r w:rsidRPr="00183B5F">
        <w:rPr>
          <w:szCs w:val="22"/>
        </w:rPr>
        <w:t>kez</w:t>
      </w:r>
      <w:r w:rsidRPr="00183B5F">
        <w:rPr>
          <w:szCs w:val="22"/>
        </w:rPr>
        <w:t>elés első 8 hónapjában következett be és a látens betegség kiújulásaként manifesztálódhatott.</w:t>
      </w:r>
    </w:p>
    <w:p w14:paraId="6E148CFD" w14:textId="77777777" w:rsidR="00D0403E" w:rsidRPr="00183B5F" w:rsidRDefault="00D0403E" w:rsidP="004062FE">
      <w:pPr>
        <w:suppressAutoHyphens w:val="0"/>
        <w:spacing w:line="240" w:lineRule="auto"/>
        <w:rPr>
          <w:szCs w:val="22"/>
        </w:rPr>
      </w:pPr>
    </w:p>
    <w:p w14:paraId="2571C2F8" w14:textId="77777777" w:rsidR="00D0403E" w:rsidRPr="00183B5F" w:rsidRDefault="00943743" w:rsidP="004062FE">
      <w:pPr>
        <w:keepNext/>
        <w:suppressAutoHyphens w:val="0"/>
        <w:spacing w:line="240" w:lineRule="auto"/>
        <w:rPr>
          <w:i/>
          <w:szCs w:val="22"/>
        </w:rPr>
      </w:pPr>
      <w:r w:rsidRPr="00183B5F">
        <w:rPr>
          <w:i/>
          <w:szCs w:val="22"/>
        </w:rPr>
        <w:t>Rosszindulatú és lymphoproliferativ betegségek</w:t>
      </w:r>
    </w:p>
    <w:p w14:paraId="18515DB7" w14:textId="77777777" w:rsidR="00D0403E" w:rsidRPr="00183B5F" w:rsidRDefault="00D0403E" w:rsidP="004062FE">
      <w:pPr>
        <w:keepNext/>
        <w:suppressAutoHyphens w:val="0"/>
        <w:spacing w:line="240" w:lineRule="auto"/>
        <w:ind w:left="567" w:hanging="567"/>
        <w:rPr>
          <w:szCs w:val="22"/>
        </w:rPr>
      </w:pPr>
    </w:p>
    <w:p w14:paraId="0485031C" w14:textId="77777777" w:rsidR="00D0403E" w:rsidRPr="00183B5F" w:rsidRDefault="00943743" w:rsidP="004062FE">
      <w:pPr>
        <w:spacing w:line="240" w:lineRule="auto"/>
        <w:rPr>
          <w:szCs w:val="22"/>
        </w:rPr>
      </w:pPr>
      <w:r w:rsidRPr="00183B5F">
        <w:rPr>
          <w:szCs w:val="22"/>
        </w:rPr>
        <w:t>Humira</w:t>
      </w:r>
      <w:r w:rsidRPr="00183B5F">
        <w:rPr>
          <w:szCs w:val="22"/>
        </w:rPr>
        <w:noBreakHyphen/>
        <w:t xml:space="preserve">val juvenilis idiopathiás arthritisben (polyarticularis juvenilis idiopathiás arthritisben és </w:t>
      </w:r>
      <w:r w:rsidR="00677908" w:rsidRPr="00183B5F">
        <w:rPr>
          <w:szCs w:val="22"/>
        </w:rPr>
        <w:t>enthesitis-asszociált</w:t>
      </w:r>
      <w:r w:rsidRPr="00183B5F">
        <w:rPr>
          <w:szCs w:val="22"/>
        </w:rPr>
        <w:t xml:space="preserve"> arthritisben) szenvedő betegek körében végzett vizsgálatokban 655,6 betegévnyi expozíciónak kitett</w:t>
      </w:r>
      <w:r w:rsidR="00E97B8A" w:rsidRPr="00183B5F">
        <w:rPr>
          <w:szCs w:val="22"/>
        </w:rPr>
        <w:t>,</w:t>
      </w:r>
      <w:r w:rsidRPr="00183B5F">
        <w:rPr>
          <w:szCs w:val="22"/>
        </w:rPr>
        <w:t xml:space="preserve"> 249 pediátriai betegnél nem figyeltek meg malignitást. Ezen kívül Crohn</w:t>
      </w:r>
      <w:r w:rsidRPr="00183B5F">
        <w:rPr>
          <w:szCs w:val="22"/>
        </w:rPr>
        <w:noBreakHyphen/>
        <w:t>betegségben szenvedő betegek körében Humira</w:t>
      </w:r>
      <w:r w:rsidRPr="00183B5F">
        <w:rPr>
          <w:szCs w:val="22"/>
        </w:rPr>
        <w:noBreakHyphen/>
        <w:t>val végzett vizsgálat</w:t>
      </w:r>
      <w:r w:rsidR="00561ADC" w:rsidRPr="00183B5F">
        <w:rPr>
          <w:szCs w:val="22"/>
        </w:rPr>
        <w:t>ok</w:t>
      </w:r>
      <w:r w:rsidRPr="00183B5F">
        <w:rPr>
          <w:szCs w:val="22"/>
        </w:rPr>
        <w:t xml:space="preserve">ban </w:t>
      </w:r>
      <w:r w:rsidR="00561ADC" w:rsidRPr="00183B5F">
        <w:rPr>
          <w:szCs w:val="22"/>
        </w:rPr>
        <w:t>498,1</w:t>
      </w:r>
      <w:r w:rsidRPr="00183B5F">
        <w:rPr>
          <w:szCs w:val="22"/>
        </w:rPr>
        <w:t> betegévnyi expozíciónak kitett</w:t>
      </w:r>
      <w:r w:rsidR="00E97B8A" w:rsidRPr="00183B5F">
        <w:rPr>
          <w:szCs w:val="22"/>
        </w:rPr>
        <w:t>,</w:t>
      </w:r>
      <w:r w:rsidRPr="00183B5F">
        <w:rPr>
          <w:szCs w:val="22"/>
        </w:rPr>
        <w:t xml:space="preserve"> 192 </w:t>
      </w:r>
      <w:r w:rsidR="00B42EF3" w:rsidRPr="00183B5F">
        <w:rPr>
          <w:szCs w:val="22"/>
        </w:rPr>
        <w:t xml:space="preserve">pediátriai </w:t>
      </w:r>
      <w:r w:rsidRPr="00183B5F">
        <w:rPr>
          <w:szCs w:val="22"/>
        </w:rPr>
        <w:t>betegnél nem figyeltek meg malignitást. Krónikus plakkos psoriasisban szenvedő gyermekeknél Humira</w:t>
      </w:r>
      <w:r w:rsidRPr="00183B5F">
        <w:rPr>
          <w:szCs w:val="22"/>
        </w:rPr>
        <w:noBreakHyphen/>
      </w:r>
      <w:r w:rsidRPr="00183B5F">
        <w:rPr>
          <w:szCs w:val="22"/>
        </w:rPr>
        <w:t>val végzett vizsgálatban 80 betegévnyi expozíciónak kitett</w:t>
      </w:r>
      <w:r w:rsidR="00E97B8A" w:rsidRPr="00183B5F">
        <w:rPr>
          <w:szCs w:val="22"/>
        </w:rPr>
        <w:t>,</w:t>
      </w:r>
      <w:r w:rsidRPr="00183B5F">
        <w:rPr>
          <w:szCs w:val="22"/>
        </w:rPr>
        <w:t xml:space="preserve"> 77 pediátriai betegnél nem figyeltek meg malignitást.</w:t>
      </w:r>
      <w:r w:rsidR="00504A40" w:rsidRPr="00183B5F">
        <w:rPr>
          <w:szCs w:val="22"/>
        </w:rPr>
        <w:t xml:space="preserve"> </w:t>
      </w:r>
      <w:r w:rsidR="004B01AF" w:rsidRPr="00183B5F">
        <w:rPr>
          <w:rStyle w:val="normaltextrun"/>
          <w:shd w:val="clear" w:color="auto" w:fill="FFFFFF"/>
        </w:rPr>
        <w:t>Egy Humira-vizsgálat során 65,3 betegévnyi expozíciónak kitett, colitis ulcerosában szenvedő 93 </w:t>
      </w:r>
      <w:r w:rsidR="0095434F" w:rsidRPr="00183B5F">
        <w:rPr>
          <w:rStyle w:val="normaltextrun"/>
          <w:shd w:val="clear" w:color="auto" w:fill="FFFFFF"/>
        </w:rPr>
        <w:t>gyermek</w:t>
      </w:r>
      <w:r w:rsidR="00241682" w:rsidRPr="00183B5F">
        <w:rPr>
          <w:rStyle w:val="normaltextrun"/>
          <w:shd w:val="clear" w:color="auto" w:fill="FFFFFF"/>
        </w:rPr>
        <w:t>- és serdülő</w:t>
      </w:r>
      <w:r w:rsidR="0095434F" w:rsidRPr="00183B5F">
        <w:rPr>
          <w:rStyle w:val="normaltextrun"/>
          <w:shd w:val="clear" w:color="auto" w:fill="FFFFFF"/>
        </w:rPr>
        <w:t>korú</w:t>
      </w:r>
      <w:r w:rsidR="004B01AF" w:rsidRPr="00183B5F">
        <w:rPr>
          <w:rStyle w:val="normaltextrun"/>
          <w:shd w:val="clear" w:color="auto" w:fill="FFFFFF"/>
        </w:rPr>
        <w:t xml:space="preserve"> betegnél nem figyeltek meg malignitást. </w:t>
      </w:r>
      <w:r w:rsidR="00504A40" w:rsidRPr="00183B5F">
        <w:rPr>
          <w:szCs w:val="22"/>
        </w:rPr>
        <w:t>Uveitisben szenvedő gyermekeknél Humira</w:t>
      </w:r>
      <w:r w:rsidR="00504A40" w:rsidRPr="00183B5F">
        <w:rPr>
          <w:szCs w:val="22"/>
        </w:rPr>
        <w:noBreakHyphen/>
        <w:t>val végzett vizsgálatban 58,4 betegévnyi expozíciónak kitett</w:t>
      </w:r>
      <w:r w:rsidR="00E97B8A" w:rsidRPr="00183B5F">
        <w:rPr>
          <w:szCs w:val="22"/>
        </w:rPr>
        <w:t>,</w:t>
      </w:r>
      <w:r w:rsidR="00504A40" w:rsidRPr="00183B5F">
        <w:rPr>
          <w:szCs w:val="22"/>
        </w:rPr>
        <w:t xml:space="preserve"> 60 </w:t>
      </w:r>
      <w:r w:rsidR="00B42EF3" w:rsidRPr="00183B5F">
        <w:rPr>
          <w:szCs w:val="22"/>
        </w:rPr>
        <w:t xml:space="preserve">pediátriai </w:t>
      </w:r>
      <w:r w:rsidR="00504A40" w:rsidRPr="00183B5F">
        <w:rPr>
          <w:szCs w:val="22"/>
        </w:rPr>
        <w:t>betegnél nem figyeltek meg malignitást.</w:t>
      </w:r>
    </w:p>
    <w:p w14:paraId="7DD5038A" w14:textId="77777777" w:rsidR="00D0403E" w:rsidRPr="00183B5F" w:rsidRDefault="00D0403E" w:rsidP="004062FE">
      <w:pPr>
        <w:spacing w:line="240" w:lineRule="auto"/>
        <w:rPr>
          <w:szCs w:val="22"/>
        </w:rPr>
      </w:pPr>
    </w:p>
    <w:p w14:paraId="6FF5B213" w14:textId="77777777" w:rsidR="00FC5B65" w:rsidRPr="00183B5F" w:rsidRDefault="00943743" w:rsidP="004062FE">
      <w:pPr>
        <w:spacing w:line="240" w:lineRule="auto"/>
        <w:rPr>
          <w:szCs w:val="22"/>
        </w:rPr>
      </w:pPr>
      <w:r w:rsidRPr="00183B5F">
        <w:rPr>
          <w:szCs w:val="22"/>
        </w:rPr>
        <w:t xml:space="preserve">A Humira hatásait közepesen </w:t>
      </w:r>
      <w:r w:rsidR="002B407A" w:rsidRPr="00183B5F">
        <w:rPr>
          <w:szCs w:val="22"/>
        </w:rPr>
        <w:t>súlyos</w:t>
      </w:r>
      <w:r w:rsidRPr="00183B5F">
        <w:rPr>
          <w:szCs w:val="22"/>
        </w:rPr>
        <w:t xml:space="preserve"> vagy súlyos aktivitású rheumatoid arthritisben, spondylitis ankylopoeticában, </w:t>
      </w:r>
      <w:r w:rsidRPr="00183B5F">
        <w:rPr>
          <w:rFonts w:eastAsia="SimSun"/>
          <w:szCs w:val="22"/>
          <w:lang w:eastAsia="zh-CN"/>
        </w:rPr>
        <w:t>spondylitis ankylopoeticának (SPA) megfelelő röntgeneltéréssel nem járó</w:t>
      </w:r>
      <w:r w:rsidRPr="00183B5F">
        <w:rPr>
          <w:szCs w:val="22"/>
        </w:rPr>
        <w:t xml:space="preserve"> axiális spondyloarthritisben, arthritis psoriaticában, psoriasisban, hidradenitis suppurativában, Crohn</w:t>
      </w:r>
      <w:r w:rsidRPr="00183B5F">
        <w:rPr>
          <w:szCs w:val="22"/>
        </w:rPr>
        <w:noBreakHyphen/>
        <w:t>betegségben, colitis ulcerosában és uveitisben szenvedő betegeken értékelő legalább 12 hét időtartamú, felnőttek körében végzett pivotális vizsgálatok kontroll</w:t>
      </w:r>
      <w:r w:rsidR="00573D37" w:rsidRPr="00183B5F">
        <w:rPr>
          <w:szCs w:val="22"/>
        </w:rPr>
        <w:t>os</w:t>
      </w:r>
      <w:r w:rsidRPr="00183B5F">
        <w:rPr>
          <w:szCs w:val="22"/>
        </w:rPr>
        <w:t xml:space="preserve"> szakaszaiban a következőképpen alakult a rosszindulatú daganatok gyakorisága (a lymphoma és a nem melanomás bőrrák kivételével): az 1000 betegévre számított gyakoriság (95%</w:t>
      </w:r>
      <w:r w:rsidRPr="00183B5F">
        <w:rPr>
          <w:szCs w:val="22"/>
        </w:rPr>
        <w:noBreakHyphen/>
        <w:t>o</w:t>
      </w:r>
      <w:r w:rsidRPr="00183B5F">
        <w:rPr>
          <w:szCs w:val="22"/>
        </w:rPr>
        <w:t>s konfidencia intervallum) a 5291 Humira</w:t>
      </w:r>
      <w:r w:rsidRPr="00183B5F">
        <w:rPr>
          <w:szCs w:val="22"/>
        </w:rPr>
        <w:noBreakHyphen/>
        <w:t>val kezelt beteg esetében 6,8 (4,4; 10,5) míg az 3444 fős kontro</w:t>
      </w:r>
      <w:r w:rsidR="0089402C" w:rsidRPr="00183B5F">
        <w:rPr>
          <w:szCs w:val="22"/>
        </w:rPr>
        <w:t>llcs</w:t>
      </w:r>
      <w:r w:rsidRPr="00183B5F">
        <w:rPr>
          <w:szCs w:val="22"/>
        </w:rPr>
        <w:t>oportban 6,3 (3,4; 11,8) volt. (A kezelés medián időtartama a Humira</w:t>
      </w:r>
      <w:r w:rsidRPr="00183B5F">
        <w:rPr>
          <w:szCs w:val="22"/>
        </w:rPr>
        <w:noBreakHyphen/>
        <w:t>csoportban 4,0 hónap, a kontro</w:t>
      </w:r>
      <w:r w:rsidR="0089402C" w:rsidRPr="00183B5F">
        <w:rPr>
          <w:szCs w:val="22"/>
        </w:rPr>
        <w:t>llcs</w:t>
      </w:r>
      <w:r w:rsidRPr="00183B5F">
        <w:rPr>
          <w:szCs w:val="22"/>
        </w:rPr>
        <w:t>oportban 3,8 hónap volt.) A nem melanomás bőrrák 1000 betegévre számított gyakorisága (95%</w:t>
      </w:r>
      <w:r w:rsidRPr="00183B5F">
        <w:rPr>
          <w:szCs w:val="22"/>
        </w:rPr>
        <w:noBreakHyphen/>
        <w:t>os konfidencia intervallum) a Humira</w:t>
      </w:r>
      <w:r w:rsidRPr="00183B5F">
        <w:rPr>
          <w:szCs w:val="22"/>
        </w:rPr>
        <w:noBreakHyphen/>
        <w:t>val kezelt betegek esetében 8,8 (6,0; 13,0), míg a kontrollcsoportban 3,2 (1,3; 7,6) volt. E bőrrákok közül a laphám</w:t>
      </w:r>
      <w:r w:rsidR="00573D37" w:rsidRPr="00183B5F">
        <w:rPr>
          <w:szCs w:val="22"/>
        </w:rPr>
        <w:t>-</w:t>
      </w:r>
      <w:r w:rsidRPr="00183B5F">
        <w:rPr>
          <w:szCs w:val="22"/>
        </w:rPr>
        <w:t xml:space="preserve">carcinoma 1000 betegévre számított gyakorisága (95%-os </w:t>
      </w:r>
      <w:r w:rsidRPr="00183B5F">
        <w:rPr>
          <w:szCs w:val="22"/>
        </w:rPr>
        <w:t>konfidencia intervallum) a Humira</w:t>
      </w:r>
      <w:r w:rsidRPr="00183B5F">
        <w:rPr>
          <w:szCs w:val="22"/>
        </w:rPr>
        <w:noBreakHyphen/>
        <w:t>csoportban 2,7 (1,4; 5,4), a kontro</w:t>
      </w:r>
      <w:r w:rsidR="0089402C" w:rsidRPr="00183B5F">
        <w:rPr>
          <w:szCs w:val="22"/>
        </w:rPr>
        <w:t>llcs</w:t>
      </w:r>
      <w:r w:rsidRPr="00183B5F">
        <w:rPr>
          <w:szCs w:val="22"/>
        </w:rPr>
        <w:t>oportban 0,6 (0,1, 4,5) volt. A lymphomák 1000 betegévre vetített gyakorisága (95%-os konfidencia intervallum) a Humira</w:t>
      </w:r>
      <w:r w:rsidRPr="00183B5F">
        <w:rPr>
          <w:szCs w:val="22"/>
        </w:rPr>
        <w:noBreakHyphen/>
        <w:t>val kezelt betegek körében 0,7 (0,2, 2,7) , a kontrollok esetében 0,6 (0,1; 4,5) volt.</w:t>
      </w:r>
    </w:p>
    <w:p w14:paraId="3FBD874D" w14:textId="77777777" w:rsidR="00955B36" w:rsidRPr="00183B5F" w:rsidRDefault="00955B36" w:rsidP="004062FE">
      <w:pPr>
        <w:spacing w:line="240" w:lineRule="auto"/>
        <w:rPr>
          <w:szCs w:val="22"/>
        </w:rPr>
      </w:pPr>
    </w:p>
    <w:p w14:paraId="64FC6D50" w14:textId="77777777" w:rsidR="00955B36" w:rsidRPr="00183B5F" w:rsidRDefault="00943743" w:rsidP="004062FE">
      <w:pPr>
        <w:spacing w:line="240" w:lineRule="auto"/>
        <w:rPr>
          <w:szCs w:val="22"/>
        </w:rPr>
      </w:pPr>
      <w:r w:rsidRPr="00183B5F">
        <w:rPr>
          <w:szCs w:val="22"/>
        </w:rPr>
        <w:t xml:space="preserve">E vizsgálatok kontrollos szakaszai és a folyamatban lévő, valamint befejezett nyílt kiterjesztéses vizsgálatok összevont értékelése során, melyben összesen </w:t>
      </w:r>
      <w:r w:rsidR="00FC5B65" w:rsidRPr="00183B5F">
        <w:rPr>
          <w:szCs w:val="22"/>
        </w:rPr>
        <w:t>6427</w:t>
      </w:r>
      <w:r w:rsidRPr="00183B5F">
        <w:rPr>
          <w:szCs w:val="22"/>
        </w:rPr>
        <w:t> beteget kb. 3,</w:t>
      </w:r>
      <w:r w:rsidR="00FC5B65" w:rsidRPr="00183B5F">
        <w:rPr>
          <w:szCs w:val="22"/>
        </w:rPr>
        <w:t>3</w:t>
      </w:r>
      <w:r w:rsidRPr="00183B5F">
        <w:rPr>
          <w:szCs w:val="22"/>
        </w:rPr>
        <w:t xml:space="preserve"> év medián időtartamig követtek (több mint </w:t>
      </w:r>
      <w:r w:rsidR="00FC5B65" w:rsidRPr="00183B5F">
        <w:rPr>
          <w:szCs w:val="22"/>
        </w:rPr>
        <w:t>26 439</w:t>
      </w:r>
      <w:r w:rsidRPr="00183B5F">
        <w:rPr>
          <w:szCs w:val="22"/>
        </w:rPr>
        <w:t xml:space="preserve"> betegév), a rosszindulatú daganatok </w:t>
      </w:r>
      <w:r w:rsidR="002B407A" w:rsidRPr="00183B5F">
        <w:rPr>
          <w:szCs w:val="22"/>
        </w:rPr>
        <w:t xml:space="preserve">(a lymphoma és a nem melanomás bőrrák kivételével) </w:t>
      </w:r>
      <w:r w:rsidRPr="00183B5F">
        <w:rPr>
          <w:szCs w:val="22"/>
        </w:rPr>
        <w:t>1000 betegévre számított gyakorisága 8,5 volt. A nem melanomás bőrrák 1000 betegévre vetített, megfigyelt aránya kb. 9,</w:t>
      </w:r>
      <w:r w:rsidR="00FC5B65" w:rsidRPr="00183B5F">
        <w:rPr>
          <w:szCs w:val="22"/>
        </w:rPr>
        <w:t>6</w:t>
      </w:r>
      <w:r w:rsidRPr="00183B5F">
        <w:rPr>
          <w:szCs w:val="22"/>
        </w:rPr>
        <w:t>, míg a lymphomáké kb. 1,3 volt.</w:t>
      </w:r>
    </w:p>
    <w:p w14:paraId="42FA75D2" w14:textId="77777777" w:rsidR="00D0403E" w:rsidRPr="00183B5F" w:rsidRDefault="00D0403E" w:rsidP="004062FE">
      <w:pPr>
        <w:pStyle w:val="EndnoteText"/>
        <w:tabs>
          <w:tab w:val="clear" w:pos="567"/>
        </w:tabs>
        <w:suppressAutoHyphens/>
        <w:rPr>
          <w:sz w:val="22"/>
          <w:szCs w:val="22"/>
          <w:lang w:val="hu-HU" w:eastAsia="hu-HU"/>
        </w:rPr>
      </w:pPr>
    </w:p>
    <w:p w14:paraId="1D86D860" w14:textId="0ECF9852" w:rsidR="00AA4D42" w:rsidRPr="00183B5F" w:rsidRDefault="00943743" w:rsidP="00AA4D42">
      <w:pPr>
        <w:spacing w:line="240" w:lineRule="auto"/>
        <w:rPr>
          <w:szCs w:val="22"/>
        </w:rPr>
      </w:pPr>
      <w:r w:rsidRPr="00183B5F">
        <w:rPr>
          <w:szCs w:val="22"/>
        </w:rPr>
        <w:t xml:space="preserve">A Humira forgalomba hozatala után (2003. január és 2010. december között), javarészt rheumatoid arthritises betegeken szerzett tapasztalatok alapján, a </w:t>
      </w:r>
      <w:r w:rsidR="00395B23">
        <w:rPr>
          <w:szCs w:val="22"/>
        </w:rPr>
        <w:t>spontán jelent</w:t>
      </w:r>
      <w:r w:rsidR="00FE5BDF">
        <w:rPr>
          <w:szCs w:val="22"/>
        </w:rPr>
        <w:t>ésekből származó,</w:t>
      </w:r>
      <w:r w:rsidR="00395B23">
        <w:rPr>
          <w:szCs w:val="22"/>
        </w:rPr>
        <w:t xml:space="preserve"> </w:t>
      </w:r>
      <w:r w:rsidRPr="00183B5F">
        <w:rPr>
          <w:szCs w:val="22"/>
        </w:rPr>
        <w:t>rosszindulatú daganatok</w:t>
      </w:r>
      <w:r w:rsidR="00FE5BDF">
        <w:rPr>
          <w:szCs w:val="22"/>
        </w:rPr>
        <w:t>ra vonatkozó</w:t>
      </w:r>
      <w:r w:rsidRPr="00183B5F">
        <w:rPr>
          <w:szCs w:val="22"/>
        </w:rPr>
        <w:t xml:space="preserve"> bejelent</w:t>
      </w:r>
      <w:r w:rsidR="00FE5BDF">
        <w:rPr>
          <w:szCs w:val="22"/>
        </w:rPr>
        <w:t>ések</w:t>
      </w:r>
      <w:r w:rsidRPr="00183B5F">
        <w:rPr>
          <w:szCs w:val="22"/>
        </w:rPr>
        <w:t xml:space="preserve"> gyakorisága kb. 2,7/1000 beteg-kezelési év. A </w:t>
      </w:r>
      <w:r w:rsidR="00395B23">
        <w:rPr>
          <w:szCs w:val="22"/>
        </w:rPr>
        <w:t>spontán jelent</w:t>
      </w:r>
      <w:r w:rsidR="00FE5BDF">
        <w:rPr>
          <w:szCs w:val="22"/>
        </w:rPr>
        <w:t>ésekből származó,</w:t>
      </w:r>
      <w:r w:rsidR="00395B23">
        <w:rPr>
          <w:szCs w:val="22"/>
        </w:rPr>
        <w:t xml:space="preserve"> </w:t>
      </w:r>
      <w:r w:rsidRPr="00183B5F">
        <w:rPr>
          <w:szCs w:val="22"/>
        </w:rPr>
        <w:t>nem melanomás bőrrák</w:t>
      </w:r>
      <w:r w:rsidR="00FE5BDF">
        <w:rPr>
          <w:szCs w:val="22"/>
        </w:rPr>
        <w:t>ra</w:t>
      </w:r>
      <w:r w:rsidRPr="00183B5F">
        <w:rPr>
          <w:szCs w:val="22"/>
        </w:rPr>
        <w:t xml:space="preserve"> </w:t>
      </w:r>
      <w:r w:rsidR="00395B23">
        <w:rPr>
          <w:szCs w:val="22"/>
        </w:rPr>
        <w:t>és lymphomák</w:t>
      </w:r>
      <w:r w:rsidR="00FE5BDF">
        <w:rPr>
          <w:szCs w:val="22"/>
        </w:rPr>
        <w:t>ra vonatkozó bejelentések gyakorisága</w:t>
      </w:r>
      <w:r w:rsidR="00395B23">
        <w:rPr>
          <w:szCs w:val="22"/>
        </w:rPr>
        <w:t xml:space="preserve"> </w:t>
      </w:r>
      <w:r w:rsidRPr="00183B5F">
        <w:rPr>
          <w:szCs w:val="22"/>
        </w:rPr>
        <w:t>1000 beteg-kezelési évre számít</w:t>
      </w:r>
      <w:r w:rsidR="00FE5BDF">
        <w:rPr>
          <w:szCs w:val="22"/>
        </w:rPr>
        <w:t>va</w:t>
      </w:r>
      <w:r w:rsidRPr="00183B5F">
        <w:rPr>
          <w:szCs w:val="22"/>
        </w:rPr>
        <w:t xml:space="preserve"> 0,2, </w:t>
      </w:r>
      <w:r w:rsidR="00395B23">
        <w:rPr>
          <w:szCs w:val="22"/>
        </w:rPr>
        <w:t>illetve</w:t>
      </w:r>
      <w:r w:rsidRPr="00183B5F">
        <w:rPr>
          <w:szCs w:val="22"/>
        </w:rPr>
        <w:t xml:space="preserve"> 0,3 volt (lásd</w:t>
      </w:r>
      <w:r w:rsidRPr="00183B5F">
        <w:rPr>
          <w:i/>
          <w:iCs/>
          <w:szCs w:val="22"/>
        </w:rPr>
        <w:t xml:space="preserve"> </w:t>
      </w:r>
      <w:r w:rsidRPr="00183B5F">
        <w:rPr>
          <w:szCs w:val="22"/>
        </w:rPr>
        <w:t>a 4.4 pontban).</w:t>
      </w:r>
    </w:p>
    <w:p w14:paraId="5927A19B" w14:textId="77777777" w:rsidR="00D0403E" w:rsidRPr="00183B5F" w:rsidRDefault="00D0403E" w:rsidP="004062FE">
      <w:pPr>
        <w:tabs>
          <w:tab w:val="left" w:pos="840"/>
        </w:tabs>
        <w:spacing w:line="240" w:lineRule="auto"/>
        <w:ind w:left="567" w:hanging="567"/>
        <w:rPr>
          <w:szCs w:val="22"/>
        </w:rPr>
      </w:pPr>
    </w:p>
    <w:p w14:paraId="606FA321" w14:textId="77777777" w:rsidR="00D0403E" w:rsidRPr="00183B5F" w:rsidRDefault="00943743" w:rsidP="004062FE">
      <w:pPr>
        <w:spacing w:line="240" w:lineRule="auto"/>
        <w:rPr>
          <w:szCs w:val="22"/>
        </w:rPr>
      </w:pPr>
      <w:r w:rsidRPr="00183B5F">
        <w:rPr>
          <w:szCs w:val="22"/>
        </w:rPr>
        <w:t xml:space="preserve">Adalimumabbal kezelt betegeknél a forgalomba hozatalt követően ritkán </w:t>
      </w:r>
      <w:r w:rsidR="00AA4D42" w:rsidRPr="00183B5F">
        <w:rPr>
          <w:szCs w:val="22"/>
        </w:rPr>
        <w:t>hepatosplenicus</w:t>
      </w:r>
      <w:r w:rsidRPr="00183B5F">
        <w:rPr>
          <w:szCs w:val="22"/>
        </w:rPr>
        <w:t xml:space="preserve"> T</w:t>
      </w:r>
      <w:r w:rsidRPr="00183B5F">
        <w:rPr>
          <w:szCs w:val="22"/>
        </w:rPr>
        <w:noBreakHyphen/>
        <w:t>sejtes lymphomát jelentettek (lásd 4.4 pont).</w:t>
      </w:r>
    </w:p>
    <w:p w14:paraId="35D21170" w14:textId="77777777" w:rsidR="00D0403E" w:rsidRPr="00183B5F" w:rsidRDefault="00D0403E" w:rsidP="004062FE">
      <w:pPr>
        <w:tabs>
          <w:tab w:val="left" w:pos="840"/>
        </w:tabs>
        <w:spacing w:line="240" w:lineRule="auto"/>
        <w:ind w:left="567" w:hanging="567"/>
        <w:rPr>
          <w:szCs w:val="22"/>
        </w:rPr>
      </w:pPr>
    </w:p>
    <w:p w14:paraId="56F3D778" w14:textId="77777777" w:rsidR="00D0403E" w:rsidRPr="00183B5F" w:rsidRDefault="00943743" w:rsidP="004062FE">
      <w:pPr>
        <w:keepNext/>
        <w:spacing w:line="240" w:lineRule="auto"/>
        <w:rPr>
          <w:i/>
          <w:szCs w:val="22"/>
        </w:rPr>
      </w:pPr>
      <w:r w:rsidRPr="00183B5F">
        <w:rPr>
          <w:i/>
          <w:szCs w:val="22"/>
        </w:rPr>
        <w:t>Autoantitestek</w:t>
      </w:r>
    </w:p>
    <w:p w14:paraId="639DF201" w14:textId="77777777" w:rsidR="00D0403E" w:rsidRPr="00183B5F" w:rsidRDefault="00D0403E" w:rsidP="004062FE">
      <w:pPr>
        <w:keepNext/>
        <w:spacing w:line="240" w:lineRule="auto"/>
        <w:rPr>
          <w:szCs w:val="22"/>
        </w:rPr>
      </w:pPr>
    </w:p>
    <w:p w14:paraId="3D5A0148" w14:textId="77777777" w:rsidR="00D0403E" w:rsidRPr="00183B5F" w:rsidRDefault="00943743" w:rsidP="004062FE">
      <w:pPr>
        <w:spacing w:line="240" w:lineRule="auto"/>
        <w:rPr>
          <w:szCs w:val="22"/>
        </w:rPr>
      </w:pPr>
      <w:r w:rsidRPr="00183B5F">
        <w:rPr>
          <w:szCs w:val="22"/>
        </w:rPr>
        <w:t>A betegektől vett vérsavómintákban különböző időpontokban vizsgálták az autoantitesteket az I </w:t>
      </w:r>
      <w:r w:rsidR="00821DCB" w:rsidRPr="00183B5F">
        <w:rPr>
          <w:szCs w:val="22"/>
        </w:rPr>
        <w:t>–</w:t>
      </w:r>
      <w:r w:rsidRPr="00183B5F">
        <w:rPr>
          <w:szCs w:val="22"/>
        </w:rPr>
        <w:t> V rheumatoid arthritis vizsgálatokban. Ezekben a vizsgálatokban, a negatív kiindulási antinukleáris antitest titerrel rendelkező betegek közül a Humira</w:t>
      </w:r>
      <w:r w:rsidRPr="00183B5F">
        <w:rPr>
          <w:szCs w:val="22"/>
        </w:rPr>
        <w:noBreakHyphen/>
        <w:t>val kezeltek 11,9%</w:t>
      </w:r>
      <w:r w:rsidRPr="00183B5F">
        <w:rPr>
          <w:szCs w:val="22"/>
        </w:rPr>
        <w:noBreakHyphen/>
        <w:t xml:space="preserve">ánál, míg a </w:t>
      </w:r>
      <w:r w:rsidR="00E017F2" w:rsidRPr="00183B5F">
        <w:rPr>
          <w:szCs w:val="22"/>
        </w:rPr>
        <w:t>placebóval vagy aktív kontrollal</w:t>
      </w:r>
      <w:r w:rsidRPr="00183B5F">
        <w:rPr>
          <w:szCs w:val="22"/>
        </w:rPr>
        <w:t xml:space="preserve"> kezelt betegek 8,1%</w:t>
      </w:r>
      <w:r w:rsidRPr="00183B5F">
        <w:rPr>
          <w:szCs w:val="22"/>
        </w:rPr>
        <w:noBreakHyphen/>
        <w:t>ánál fejlődött ki antinukleáris antitest titer pozitivitás a 24. hétre. Az összes rheumatoid arthritis és arthritis psoriatica vizsgálatban a 3441 Humira</w:t>
      </w:r>
      <w:r w:rsidRPr="00183B5F">
        <w:rPr>
          <w:szCs w:val="22"/>
        </w:rPr>
        <w:noBreakHyphen/>
        <w:t>val kezelt beteg közül 2</w:t>
      </w:r>
      <w:r w:rsidRPr="00183B5F">
        <w:rPr>
          <w:szCs w:val="22"/>
        </w:rPr>
        <w:noBreakHyphen/>
        <w:t>nél alakultak ki újonnan fellépő lupus-szerű szindróma klinikai jelei. A beteg állapota javult,</w:t>
      </w:r>
      <w:r w:rsidRPr="00183B5F">
        <w:rPr>
          <w:szCs w:val="22"/>
        </w:rPr>
        <w:t xml:space="preserve"> amint a kezelést abbahagyták. Egy beteg esetében sem alakult ki lupus</w:t>
      </w:r>
      <w:r w:rsidRPr="00183B5F">
        <w:rPr>
          <w:szCs w:val="22"/>
        </w:rPr>
        <w:noBreakHyphen/>
        <w:t>nephritis vagy központi idegrendszeri tünet.</w:t>
      </w:r>
    </w:p>
    <w:p w14:paraId="40EFF6BB" w14:textId="77777777" w:rsidR="00D0403E" w:rsidRPr="00183B5F" w:rsidRDefault="00D0403E" w:rsidP="004062FE">
      <w:pPr>
        <w:spacing w:line="240" w:lineRule="auto"/>
        <w:rPr>
          <w:szCs w:val="22"/>
        </w:rPr>
      </w:pPr>
    </w:p>
    <w:p w14:paraId="50D93A07" w14:textId="77777777" w:rsidR="00D0403E" w:rsidRPr="00183B5F" w:rsidRDefault="00943743" w:rsidP="004062FE">
      <w:pPr>
        <w:pStyle w:val="EMEANormal"/>
        <w:keepNext/>
        <w:widowControl w:val="0"/>
        <w:rPr>
          <w:i/>
          <w:szCs w:val="22"/>
          <w:lang w:val="hu-HU"/>
        </w:rPr>
      </w:pPr>
      <w:r w:rsidRPr="00183B5F">
        <w:rPr>
          <w:i/>
          <w:szCs w:val="22"/>
          <w:lang w:val="hu-HU"/>
        </w:rPr>
        <w:t>Hepatobiliaris események</w:t>
      </w:r>
    </w:p>
    <w:p w14:paraId="3893ED12" w14:textId="77777777" w:rsidR="00D0403E" w:rsidRPr="00183B5F" w:rsidRDefault="00D0403E" w:rsidP="004062FE">
      <w:pPr>
        <w:keepNext/>
        <w:spacing w:line="240" w:lineRule="auto"/>
        <w:rPr>
          <w:szCs w:val="22"/>
        </w:rPr>
      </w:pPr>
    </w:p>
    <w:p w14:paraId="1DFA8CCE" w14:textId="77777777" w:rsidR="00D0403E" w:rsidRPr="00183B5F" w:rsidRDefault="00943743" w:rsidP="004062FE">
      <w:pPr>
        <w:keepNext/>
        <w:spacing w:line="240" w:lineRule="auto"/>
        <w:rPr>
          <w:szCs w:val="22"/>
        </w:rPr>
      </w:pPr>
      <w:r w:rsidRPr="00183B5F">
        <w:rPr>
          <w:szCs w:val="22"/>
        </w:rPr>
        <w:t>Rheumatoid arthritisben és arthritis psoriaticában szenvedő betegeknél végzett, III</w:t>
      </w:r>
      <w:r w:rsidR="00ED247D" w:rsidRPr="00183B5F">
        <w:rPr>
          <w:szCs w:val="22"/>
        </w:rPr>
        <w:t>. fázisú</w:t>
      </w:r>
      <w:r w:rsidRPr="00183B5F">
        <w:rPr>
          <w:szCs w:val="22"/>
        </w:rPr>
        <w:t xml:space="preserve"> klinikai vizsgálatokban a 4-104 hetes ellenőrzött periódusban a </w:t>
      </w:r>
      <w:r w:rsidR="000258FB" w:rsidRPr="00183B5F">
        <w:rPr>
          <w:szCs w:val="22"/>
        </w:rPr>
        <w:t xml:space="preserve">GPT </w:t>
      </w:r>
      <w:r w:rsidR="00677908" w:rsidRPr="00183B5F">
        <w:rPr>
          <w:szCs w:val="22"/>
        </w:rPr>
        <w:t>(</w:t>
      </w:r>
      <w:r w:rsidR="00934342" w:rsidRPr="00183B5F">
        <w:rPr>
          <w:szCs w:val="22"/>
        </w:rPr>
        <w:t>ALAT</w:t>
      </w:r>
      <w:r w:rsidR="00677908" w:rsidRPr="00183B5F">
        <w:rPr>
          <w:szCs w:val="22"/>
        </w:rPr>
        <w:t>)-</w:t>
      </w:r>
      <w:r w:rsidR="00E77109" w:rsidRPr="00183B5F">
        <w:rPr>
          <w:szCs w:val="22"/>
        </w:rPr>
        <w:t>szint</w:t>
      </w:r>
      <w:r w:rsidRPr="00183B5F">
        <w:rPr>
          <w:szCs w:val="22"/>
        </w:rPr>
        <w:t xml:space="preserve"> a normálérték felső határának ≥ 3</w:t>
      </w:r>
      <w:r w:rsidRPr="00183B5F">
        <w:rPr>
          <w:szCs w:val="22"/>
        </w:rPr>
        <w:noBreakHyphen/>
        <w:t>szorosára történő emelkedése a Humira</w:t>
      </w:r>
      <w:r w:rsidRPr="00183B5F">
        <w:rPr>
          <w:szCs w:val="22"/>
        </w:rPr>
        <w:noBreakHyphen/>
        <w:t>val kezeltek 3,7%</w:t>
      </w:r>
      <w:r w:rsidRPr="00183B5F">
        <w:rPr>
          <w:szCs w:val="22"/>
        </w:rPr>
        <w:noBreakHyphen/>
        <w:t>ánál, míg a kontrollkezelést kapó betegek 1,6%</w:t>
      </w:r>
      <w:r w:rsidRPr="00183B5F">
        <w:rPr>
          <w:szCs w:val="22"/>
        </w:rPr>
        <w:noBreakHyphen/>
        <w:t>nál fordult elő.</w:t>
      </w:r>
    </w:p>
    <w:p w14:paraId="2FF87655" w14:textId="77777777" w:rsidR="00D0403E" w:rsidRPr="00183B5F" w:rsidRDefault="00D0403E" w:rsidP="004062FE">
      <w:pPr>
        <w:spacing w:line="240" w:lineRule="auto"/>
        <w:rPr>
          <w:szCs w:val="22"/>
        </w:rPr>
      </w:pPr>
    </w:p>
    <w:p w14:paraId="69E056E5" w14:textId="77777777" w:rsidR="00D0403E" w:rsidRPr="00183B5F" w:rsidRDefault="00943743">
      <w:pPr>
        <w:spacing w:line="240" w:lineRule="auto"/>
        <w:rPr>
          <w:szCs w:val="22"/>
        </w:rPr>
      </w:pPr>
      <w:r w:rsidRPr="00183B5F">
        <w:rPr>
          <w:szCs w:val="22"/>
        </w:rPr>
        <w:t>Polyarticularis juvenilis idiopathiás arthritisben szenvedő</w:t>
      </w:r>
      <w:r w:rsidR="005D7645" w:rsidRPr="00183B5F">
        <w:rPr>
          <w:szCs w:val="22"/>
        </w:rPr>
        <w:t>,</w:t>
      </w:r>
      <w:r w:rsidRPr="00183B5F">
        <w:rPr>
          <w:szCs w:val="22"/>
        </w:rPr>
        <w:t xml:space="preserve"> 4</w:t>
      </w:r>
      <w:r w:rsidRPr="00183B5F">
        <w:rPr>
          <w:szCs w:val="22"/>
        </w:rPr>
        <w:noBreakHyphen/>
        <w:t xml:space="preserve">17 éves és </w:t>
      </w:r>
      <w:r w:rsidR="00677908" w:rsidRPr="00183B5F">
        <w:rPr>
          <w:szCs w:val="22"/>
        </w:rPr>
        <w:t>enthesitis-asszociált</w:t>
      </w:r>
      <w:r w:rsidRPr="00183B5F">
        <w:rPr>
          <w:szCs w:val="22"/>
        </w:rPr>
        <w:t xml:space="preserve"> arthritisben szenvedő 6</w:t>
      </w:r>
      <w:r w:rsidRPr="00183B5F">
        <w:rPr>
          <w:szCs w:val="22"/>
        </w:rPr>
        <w:noBreakHyphen/>
        <w:t>17 éves betegeknél Humira</w:t>
      </w:r>
      <w:r w:rsidRPr="00183B5F">
        <w:rPr>
          <w:szCs w:val="22"/>
        </w:rPr>
        <w:noBreakHyphen/>
        <w:t xml:space="preserve">val végzett kontrollos </w:t>
      </w:r>
      <w:r w:rsidR="00ED247D" w:rsidRPr="00183B5F">
        <w:rPr>
          <w:szCs w:val="22"/>
        </w:rPr>
        <w:t>III. fázisú</w:t>
      </w:r>
      <w:r w:rsidRPr="00183B5F">
        <w:rPr>
          <w:szCs w:val="22"/>
        </w:rPr>
        <w:t xml:space="preserve"> vizsgálatok során a Humira</w:t>
      </w:r>
      <w:r w:rsidRPr="00183B5F">
        <w:rPr>
          <w:szCs w:val="22"/>
        </w:rPr>
        <w:noBreakHyphen/>
        <w:t>val kezelt betegek 6,1</w:t>
      </w:r>
      <w:r w:rsidRPr="00183B5F">
        <w:t>%</w:t>
      </w:r>
      <w:r w:rsidRPr="00183B5F">
        <w:noBreakHyphen/>
        <w:t>nál és a kontrollkezelésben részesülő betegek 1,3%</w:t>
      </w:r>
      <w:r w:rsidRPr="00183B5F">
        <w:noBreakHyphen/>
        <w:t xml:space="preserve">ánál a </w:t>
      </w:r>
      <w:r w:rsidR="000258FB" w:rsidRPr="00183B5F">
        <w:rPr>
          <w:szCs w:val="22"/>
        </w:rPr>
        <w:t>GPT </w:t>
      </w:r>
      <w:r w:rsidR="00677908" w:rsidRPr="00183B5F">
        <w:rPr>
          <w:szCs w:val="22"/>
        </w:rPr>
        <w:t>(</w:t>
      </w:r>
      <w:r w:rsidR="00934342" w:rsidRPr="00183B5F">
        <w:rPr>
          <w:szCs w:val="22"/>
        </w:rPr>
        <w:t>ALAT</w:t>
      </w:r>
      <w:r w:rsidR="00677908" w:rsidRPr="00183B5F">
        <w:rPr>
          <w:szCs w:val="22"/>
        </w:rPr>
        <w:t>)-</w:t>
      </w:r>
      <w:r w:rsidRPr="00183B5F">
        <w:rPr>
          <w:szCs w:val="22"/>
        </w:rPr>
        <w:t>szint a normálérték felső határának ≥ 3</w:t>
      </w:r>
      <w:r w:rsidRPr="00183B5F">
        <w:rPr>
          <w:szCs w:val="22"/>
        </w:rPr>
        <w:noBreakHyphen/>
        <w:t xml:space="preserve">szorosára emelkedett. A legtöbb </w:t>
      </w:r>
      <w:r w:rsidR="000258FB" w:rsidRPr="00183B5F">
        <w:rPr>
          <w:szCs w:val="22"/>
        </w:rPr>
        <w:t>GPT </w:t>
      </w:r>
      <w:r w:rsidR="00677908" w:rsidRPr="00183B5F">
        <w:rPr>
          <w:szCs w:val="22"/>
        </w:rPr>
        <w:t>(</w:t>
      </w:r>
      <w:r w:rsidR="00934342" w:rsidRPr="00183B5F">
        <w:rPr>
          <w:szCs w:val="22"/>
        </w:rPr>
        <w:t>ALAT</w:t>
      </w:r>
      <w:r w:rsidR="00677908" w:rsidRPr="00183B5F">
        <w:rPr>
          <w:szCs w:val="22"/>
        </w:rPr>
        <w:t>)-</w:t>
      </w:r>
      <w:r w:rsidRPr="00183B5F">
        <w:rPr>
          <w:szCs w:val="22"/>
        </w:rPr>
        <w:t>szint emelkedés együttadott metotrexát</w:t>
      </w:r>
      <w:r w:rsidRPr="00183B5F">
        <w:rPr>
          <w:szCs w:val="22"/>
        </w:rPr>
        <w:noBreakHyphen/>
        <w:t>kezelés mellett fordult elő. Polyarticularis juvenilis idiopathiás arthritisben szenvedő</w:t>
      </w:r>
      <w:r w:rsidR="005D7645" w:rsidRPr="00183B5F">
        <w:rPr>
          <w:szCs w:val="22"/>
        </w:rPr>
        <w:t>,</w:t>
      </w:r>
      <w:r w:rsidRPr="00183B5F">
        <w:rPr>
          <w:szCs w:val="22"/>
        </w:rPr>
        <w:t xml:space="preserve"> 2</w:t>
      </w:r>
      <w:r w:rsidR="00E77109" w:rsidRPr="00183B5F">
        <w:rPr>
          <w:szCs w:val="22"/>
        </w:rPr>
        <w:t> </w:t>
      </w:r>
      <w:r w:rsidRPr="00183B5F">
        <w:rPr>
          <w:szCs w:val="22"/>
        </w:rPr>
        <w:noBreakHyphen/>
      </w:r>
      <w:r w:rsidR="00E77109" w:rsidRPr="00183B5F">
        <w:rPr>
          <w:szCs w:val="22"/>
        </w:rPr>
        <w:t> </w:t>
      </w:r>
      <w:r w:rsidRPr="00183B5F">
        <w:rPr>
          <w:szCs w:val="22"/>
        </w:rPr>
        <w:t>&lt;4 éves betegeknél Humira</w:t>
      </w:r>
      <w:r w:rsidRPr="00183B5F">
        <w:rPr>
          <w:szCs w:val="22"/>
        </w:rPr>
        <w:noBreakHyphen/>
        <w:t xml:space="preserve">val végzett kontrollos </w:t>
      </w:r>
      <w:r w:rsidR="00ED247D" w:rsidRPr="00183B5F">
        <w:rPr>
          <w:szCs w:val="22"/>
        </w:rPr>
        <w:t>III. fázisú</w:t>
      </w:r>
      <w:r w:rsidRPr="00183B5F">
        <w:rPr>
          <w:szCs w:val="22"/>
        </w:rPr>
        <w:t xml:space="preserve"> vizsgálatok során nem fordult elő, hogy a </w:t>
      </w:r>
      <w:r w:rsidR="000258FB" w:rsidRPr="00183B5F">
        <w:rPr>
          <w:szCs w:val="22"/>
        </w:rPr>
        <w:t xml:space="preserve">GPT </w:t>
      </w:r>
      <w:r w:rsidR="00677908" w:rsidRPr="00183B5F">
        <w:rPr>
          <w:szCs w:val="22"/>
        </w:rPr>
        <w:t>(</w:t>
      </w:r>
      <w:r w:rsidR="00934342" w:rsidRPr="00183B5F">
        <w:rPr>
          <w:szCs w:val="22"/>
        </w:rPr>
        <w:t>ALAT</w:t>
      </w:r>
      <w:r w:rsidR="00677908" w:rsidRPr="00183B5F">
        <w:rPr>
          <w:szCs w:val="22"/>
        </w:rPr>
        <w:t>)-</w:t>
      </w:r>
      <w:r w:rsidRPr="00183B5F">
        <w:rPr>
          <w:szCs w:val="22"/>
        </w:rPr>
        <w:t>szint a normálérték felső határának ≥ 3</w:t>
      </w:r>
      <w:r w:rsidRPr="00183B5F">
        <w:rPr>
          <w:szCs w:val="22"/>
        </w:rPr>
        <w:noBreakHyphen/>
        <w:t>szorosára emelkedett.</w:t>
      </w:r>
    </w:p>
    <w:p w14:paraId="5E727BFC" w14:textId="77777777" w:rsidR="00D0403E" w:rsidRPr="00183B5F" w:rsidRDefault="00D0403E" w:rsidP="004062FE">
      <w:pPr>
        <w:spacing w:line="240" w:lineRule="auto"/>
        <w:rPr>
          <w:szCs w:val="22"/>
        </w:rPr>
      </w:pPr>
    </w:p>
    <w:p w14:paraId="690B68DB" w14:textId="77777777" w:rsidR="00D0403E" w:rsidRPr="00183B5F" w:rsidRDefault="00943743" w:rsidP="004062FE">
      <w:pPr>
        <w:spacing w:line="240" w:lineRule="auto"/>
        <w:rPr>
          <w:i/>
          <w:szCs w:val="22"/>
        </w:rPr>
      </w:pPr>
      <w:r w:rsidRPr="00183B5F">
        <w:rPr>
          <w:szCs w:val="22"/>
        </w:rPr>
        <w:t>Crohn</w:t>
      </w:r>
      <w:r w:rsidRPr="00183B5F">
        <w:rPr>
          <w:szCs w:val="22"/>
        </w:rPr>
        <w:noBreakHyphen/>
        <w:t>betegségben és colitis ulcerosában szenvedő betegeknél Humira</w:t>
      </w:r>
      <w:r w:rsidRPr="00183B5F">
        <w:rPr>
          <w:szCs w:val="22"/>
        </w:rPr>
        <w:noBreakHyphen/>
        <w:t>val végzett, 4-52 hetes III</w:t>
      </w:r>
      <w:r w:rsidR="00ED247D" w:rsidRPr="00183B5F">
        <w:rPr>
          <w:szCs w:val="22"/>
        </w:rPr>
        <w:t>. fázisú</w:t>
      </w:r>
      <w:r w:rsidRPr="00183B5F">
        <w:rPr>
          <w:szCs w:val="22"/>
        </w:rPr>
        <w:t xml:space="preserve"> </w:t>
      </w:r>
      <w:r w:rsidR="0072236B" w:rsidRPr="00183B5F">
        <w:rPr>
          <w:szCs w:val="22"/>
        </w:rPr>
        <w:t xml:space="preserve">kontrollos </w:t>
      </w:r>
      <w:r w:rsidRPr="00183B5F">
        <w:rPr>
          <w:szCs w:val="22"/>
        </w:rPr>
        <w:t xml:space="preserve">vizsgálatokban a </w:t>
      </w:r>
      <w:r w:rsidR="000258FB" w:rsidRPr="00183B5F">
        <w:rPr>
          <w:szCs w:val="22"/>
        </w:rPr>
        <w:t xml:space="preserve">GPT </w:t>
      </w:r>
      <w:r w:rsidR="00677908" w:rsidRPr="00183B5F">
        <w:rPr>
          <w:szCs w:val="22"/>
        </w:rPr>
        <w:t>(</w:t>
      </w:r>
      <w:r w:rsidR="00934342" w:rsidRPr="00183B5F">
        <w:rPr>
          <w:szCs w:val="22"/>
        </w:rPr>
        <w:t>ALAT</w:t>
      </w:r>
      <w:r w:rsidR="00677908" w:rsidRPr="00183B5F">
        <w:rPr>
          <w:szCs w:val="22"/>
        </w:rPr>
        <w:t>)-</w:t>
      </w:r>
      <w:r w:rsidR="009627E3" w:rsidRPr="00183B5F">
        <w:rPr>
          <w:szCs w:val="22"/>
        </w:rPr>
        <w:t>szint</w:t>
      </w:r>
      <w:r w:rsidRPr="00183B5F">
        <w:rPr>
          <w:szCs w:val="22"/>
        </w:rPr>
        <w:t xml:space="preserve"> a normálérték felső határának ≥ 3</w:t>
      </w:r>
      <w:r w:rsidRPr="00183B5F">
        <w:rPr>
          <w:szCs w:val="22"/>
        </w:rPr>
        <w:noBreakHyphen/>
        <w:t>szorosára történő emelkedése a Humira</w:t>
      </w:r>
      <w:r w:rsidRPr="00183B5F">
        <w:rPr>
          <w:szCs w:val="22"/>
        </w:rPr>
        <w:noBreakHyphen/>
        <w:t>val kezelt betegek 0,9%</w:t>
      </w:r>
      <w:r w:rsidRPr="00183B5F">
        <w:rPr>
          <w:szCs w:val="22"/>
        </w:rPr>
        <w:noBreakHyphen/>
        <w:t xml:space="preserve">ánál, </w:t>
      </w:r>
      <w:r w:rsidR="0072236B" w:rsidRPr="00183B5F">
        <w:rPr>
          <w:szCs w:val="22"/>
        </w:rPr>
        <w:t xml:space="preserve">valamint a kontrollal </w:t>
      </w:r>
      <w:r w:rsidRPr="00183B5F">
        <w:rPr>
          <w:szCs w:val="22"/>
        </w:rPr>
        <w:t>kezelt betegek 0,9%</w:t>
      </w:r>
      <w:r w:rsidRPr="00183B5F">
        <w:rPr>
          <w:szCs w:val="22"/>
        </w:rPr>
        <w:noBreakHyphen/>
        <w:t>nál fordult elő</w:t>
      </w:r>
      <w:r w:rsidRPr="00183B5F">
        <w:rPr>
          <w:i/>
          <w:szCs w:val="22"/>
        </w:rPr>
        <w:t>.</w:t>
      </w:r>
    </w:p>
    <w:p w14:paraId="75C2927D" w14:textId="77777777" w:rsidR="00D0403E" w:rsidRPr="00183B5F" w:rsidRDefault="00D0403E" w:rsidP="004062FE">
      <w:pPr>
        <w:spacing w:line="240" w:lineRule="auto"/>
        <w:rPr>
          <w:i/>
          <w:szCs w:val="22"/>
        </w:rPr>
      </w:pPr>
    </w:p>
    <w:p w14:paraId="447ACC0E" w14:textId="77777777" w:rsidR="00955B36" w:rsidRPr="00183B5F" w:rsidRDefault="00943743" w:rsidP="004062FE">
      <w:pPr>
        <w:spacing w:line="240" w:lineRule="auto"/>
        <w:rPr>
          <w:szCs w:val="22"/>
        </w:rPr>
      </w:pPr>
      <w:r w:rsidRPr="00183B5F">
        <w:rPr>
          <w:szCs w:val="22"/>
        </w:rPr>
        <w:t>A gyermekkori Crohn</w:t>
      </w:r>
      <w:r w:rsidRPr="00183B5F">
        <w:rPr>
          <w:szCs w:val="22"/>
        </w:rPr>
        <w:noBreakHyphen/>
        <w:t>betegségben szenvedő betegeknél Humira</w:t>
      </w:r>
      <w:r w:rsidRPr="00183B5F">
        <w:rPr>
          <w:szCs w:val="22"/>
        </w:rPr>
        <w:noBreakHyphen/>
        <w:t xml:space="preserve">val végzett </w:t>
      </w:r>
      <w:r w:rsidR="00ED247D" w:rsidRPr="00183B5F">
        <w:rPr>
          <w:szCs w:val="22"/>
        </w:rPr>
        <w:t>III. fázisú</w:t>
      </w:r>
      <w:r w:rsidRPr="00183B5F">
        <w:rPr>
          <w:szCs w:val="22"/>
        </w:rPr>
        <w:t xml:space="preserve"> vizsgálatban két, testsúlyra korrigált fenntartó adagolási rend hatásosságát és biztonságosságát vizsgálták 52 kezelési hétig, testsúlyra korrigált indukciós kezelést követően. A vizsgálatok során a betegek 2,6%</w:t>
      </w:r>
      <w:r w:rsidRPr="00183B5F">
        <w:rPr>
          <w:szCs w:val="22"/>
        </w:rPr>
        <w:noBreakHyphen/>
        <w:t>ánál (5/192), akik közül 4 egyidejűleg immunszup</w:t>
      </w:r>
      <w:r w:rsidR="00073099" w:rsidRPr="00183B5F">
        <w:rPr>
          <w:szCs w:val="22"/>
        </w:rPr>
        <w:t>p</w:t>
      </w:r>
      <w:r w:rsidRPr="00183B5F">
        <w:rPr>
          <w:szCs w:val="22"/>
        </w:rPr>
        <w:t>resszánst is kapott, a</w:t>
      </w:r>
      <w:r w:rsidR="000258FB" w:rsidRPr="00183B5F">
        <w:rPr>
          <w:szCs w:val="22"/>
        </w:rPr>
        <w:t xml:space="preserve"> GPT</w:t>
      </w:r>
      <w:r w:rsidR="00677908" w:rsidRPr="00183B5F">
        <w:rPr>
          <w:szCs w:val="22"/>
        </w:rPr>
        <w:t xml:space="preserve"> (</w:t>
      </w:r>
      <w:r w:rsidR="00934342" w:rsidRPr="00183B5F">
        <w:rPr>
          <w:szCs w:val="22"/>
        </w:rPr>
        <w:t>ALAT</w:t>
      </w:r>
      <w:r w:rsidR="00677908" w:rsidRPr="00183B5F">
        <w:rPr>
          <w:szCs w:val="22"/>
        </w:rPr>
        <w:t>)-</w:t>
      </w:r>
      <w:r w:rsidR="009627E3" w:rsidRPr="00183B5F">
        <w:rPr>
          <w:szCs w:val="22"/>
        </w:rPr>
        <w:t>szint</w:t>
      </w:r>
      <w:r w:rsidRPr="00183B5F">
        <w:rPr>
          <w:szCs w:val="22"/>
        </w:rPr>
        <w:t xml:space="preserve"> a normálérték felső határának  ≥ 3 szorosára emelkedett. </w:t>
      </w:r>
    </w:p>
    <w:p w14:paraId="35F31EA9" w14:textId="77777777" w:rsidR="00D0403E" w:rsidRPr="00183B5F" w:rsidRDefault="00D0403E" w:rsidP="004062FE">
      <w:pPr>
        <w:spacing w:line="240" w:lineRule="auto"/>
        <w:rPr>
          <w:szCs w:val="22"/>
        </w:rPr>
      </w:pPr>
    </w:p>
    <w:p w14:paraId="4AEC109C" w14:textId="77777777" w:rsidR="00D0403E" w:rsidRPr="00183B5F" w:rsidRDefault="00943743" w:rsidP="004062FE">
      <w:pPr>
        <w:spacing w:line="240" w:lineRule="auto"/>
        <w:rPr>
          <w:szCs w:val="22"/>
        </w:rPr>
      </w:pPr>
      <w:r w:rsidRPr="00183B5F">
        <w:rPr>
          <w:szCs w:val="22"/>
        </w:rPr>
        <w:t>Plakkos psoriasisban szenvedő betegeknél Humira</w:t>
      </w:r>
      <w:r w:rsidRPr="00183B5F">
        <w:rPr>
          <w:szCs w:val="22"/>
        </w:rPr>
        <w:noBreakHyphen/>
        <w:t>val végzett, 12</w:t>
      </w:r>
      <w:r w:rsidRPr="00183B5F">
        <w:rPr>
          <w:szCs w:val="22"/>
        </w:rPr>
        <w:noBreakHyphen/>
        <w:t xml:space="preserve">24 hetes, </w:t>
      </w:r>
      <w:r w:rsidR="00ED247D" w:rsidRPr="00183B5F">
        <w:rPr>
          <w:szCs w:val="22"/>
        </w:rPr>
        <w:t>III. fázisú</w:t>
      </w:r>
      <w:r w:rsidRPr="00183B5F">
        <w:rPr>
          <w:szCs w:val="22"/>
        </w:rPr>
        <w:t xml:space="preserve"> vizsgálatokban a </w:t>
      </w:r>
      <w:r w:rsidR="000258FB" w:rsidRPr="00183B5F">
        <w:rPr>
          <w:szCs w:val="22"/>
        </w:rPr>
        <w:t xml:space="preserve">GPT </w:t>
      </w:r>
      <w:r w:rsidR="00677908" w:rsidRPr="00183B5F">
        <w:rPr>
          <w:szCs w:val="22"/>
        </w:rPr>
        <w:t>(</w:t>
      </w:r>
      <w:r w:rsidR="00934342" w:rsidRPr="00183B5F">
        <w:rPr>
          <w:szCs w:val="22"/>
        </w:rPr>
        <w:t>ALAT</w:t>
      </w:r>
      <w:r w:rsidR="00677908" w:rsidRPr="00183B5F">
        <w:rPr>
          <w:szCs w:val="22"/>
        </w:rPr>
        <w:t>)-</w:t>
      </w:r>
      <w:r w:rsidR="009627E3" w:rsidRPr="00183B5F">
        <w:rPr>
          <w:szCs w:val="22"/>
        </w:rPr>
        <w:t>szint</w:t>
      </w:r>
      <w:r w:rsidRPr="00183B5F">
        <w:rPr>
          <w:szCs w:val="22"/>
        </w:rPr>
        <w:t xml:space="preserve"> a normálérték felső határának ≥ 3</w:t>
      </w:r>
      <w:r w:rsidRPr="00183B5F">
        <w:rPr>
          <w:szCs w:val="22"/>
        </w:rPr>
        <w:noBreakHyphen/>
        <w:t>szorosára történő emelkedése a Humira</w:t>
      </w:r>
      <w:r w:rsidRPr="00183B5F">
        <w:rPr>
          <w:szCs w:val="22"/>
        </w:rPr>
        <w:noBreakHyphen/>
        <w:t>val kezelt betegek 1,8%</w:t>
      </w:r>
      <w:r w:rsidRPr="00183B5F">
        <w:rPr>
          <w:szCs w:val="22"/>
        </w:rPr>
        <w:noBreakHyphen/>
        <w:t>ánál, a kontroll</w:t>
      </w:r>
      <w:r w:rsidR="000922A3" w:rsidRPr="00183B5F">
        <w:rPr>
          <w:szCs w:val="22"/>
        </w:rPr>
        <w:t>-</w:t>
      </w:r>
      <w:r w:rsidRPr="00183B5F">
        <w:rPr>
          <w:szCs w:val="22"/>
        </w:rPr>
        <w:t>kezelés mellett a betegek 1,8%</w:t>
      </w:r>
      <w:r w:rsidRPr="00183B5F">
        <w:rPr>
          <w:szCs w:val="22"/>
        </w:rPr>
        <w:noBreakHyphen/>
        <w:t>ánál fordult elő.</w:t>
      </w:r>
    </w:p>
    <w:p w14:paraId="5D461AFE" w14:textId="77777777" w:rsidR="00D0403E" w:rsidRPr="00183B5F" w:rsidRDefault="00D0403E" w:rsidP="004062FE">
      <w:pPr>
        <w:spacing w:line="240" w:lineRule="auto"/>
        <w:rPr>
          <w:szCs w:val="22"/>
        </w:rPr>
      </w:pPr>
    </w:p>
    <w:p w14:paraId="658678CF" w14:textId="77777777" w:rsidR="00D0403E" w:rsidRPr="00183B5F" w:rsidRDefault="00943743">
      <w:pPr>
        <w:spacing w:line="240" w:lineRule="auto"/>
        <w:rPr>
          <w:szCs w:val="22"/>
        </w:rPr>
      </w:pPr>
      <w:r w:rsidRPr="00183B5F">
        <w:rPr>
          <w:szCs w:val="22"/>
        </w:rPr>
        <w:t>Plakkos psoriasisban szenvedő pediátriai</w:t>
      </w:r>
      <w:r w:rsidR="009627E3" w:rsidRPr="00183B5F">
        <w:rPr>
          <w:szCs w:val="22"/>
        </w:rPr>
        <w:t xml:space="preserve"> </w:t>
      </w:r>
      <w:r w:rsidRPr="00183B5F">
        <w:rPr>
          <w:szCs w:val="22"/>
        </w:rPr>
        <w:t>betegeknél Humira</w:t>
      </w:r>
      <w:r w:rsidRPr="00183B5F">
        <w:rPr>
          <w:szCs w:val="22"/>
        </w:rPr>
        <w:noBreakHyphen/>
        <w:t xml:space="preserve">val végzett </w:t>
      </w:r>
      <w:r w:rsidR="00ED247D" w:rsidRPr="00183B5F">
        <w:rPr>
          <w:szCs w:val="22"/>
        </w:rPr>
        <w:t>III. fázisú</w:t>
      </w:r>
      <w:r w:rsidRPr="00183B5F">
        <w:rPr>
          <w:szCs w:val="22"/>
        </w:rPr>
        <w:t xml:space="preserve"> vizsgálatok során nem fordult elő a </w:t>
      </w:r>
      <w:r w:rsidR="000258FB" w:rsidRPr="00183B5F">
        <w:rPr>
          <w:szCs w:val="22"/>
        </w:rPr>
        <w:t xml:space="preserve">GPT </w:t>
      </w:r>
      <w:r w:rsidR="00677908" w:rsidRPr="00183B5F">
        <w:rPr>
          <w:szCs w:val="22"/>
        </w:rPr>
        <w:t>(</w:t>
      </w:r>
      <w:r w:rsidR="00934342" w:rsidRPr="00183B5F">
        <w:rPr>
          <w:szCs w:val="22"/>
        </w:rPr>
        <w:t>ALAT</w:t>
      </w:r>
      <w:r w:rsidR="00677908" w:rsidRPr="00183B5F">
        <w:rPr>
          <w:szCs w:val="22"/>
        </w:rPr>
        <w:t>)-</w:t>
      </w:r>
      <w:r w:rsidRPr="00183B5F">
        <w:rPr>
          <w:szCs w:val="22"/>
        </w:rPr>
        <w:t>szintnek a normálérték felső határának ≥ 3</w:t>
      </w:r>
      <w:r w:rsidRPr="00183B5F">
        <w:rPr>
          <w:szCs w:val="22"/>
        </w:rPr>
        <w:noBreakHyphen/>
        <w:t>szorosára való emelkedése.</w:t>
      </w:r>
    </w:p>
    <w:p w14:paraId="72D584AC" w14:textId="77777777" w:rsidR="00D0403E" w:rsidRPr="00183B5F" w:rsidRDefault="00D0403E" w:rsidP="004062FE">
      <w:pPr>
        <w:spacing w:line="240" w:lineRule="auto"/>
        <w:rPr>
          <w:szCs w:val="22"/>
        </w:rPr>
      </w:pPr>
    </w:p>
    <w:p w14:paraId="044FB4C5" w14:textId="77777777" w:rsidR="00320EF8" w:rsidRPr="00183B5F" w:rsidRDefault="00943743" w:rsidP="004062FE">
      <w:pPr>
        <w:spacing w:line="240" w:lineRule="auto"/>
        <w:rPr>
          <w:szCs w:val="22"/>
        </w:rPr>
      </w:pPr>
      <w:r w:rsidRPr="00183B5F">
        <w:rPr>
          <w:szCs w:val="22"/>
        </w:rPr>
        <w:t>Hidradenitis suppurativában szenvedő betegeknél a Humira</w:t>
      </w:r>
      <w:r w:rsidRPr="00183B5F">
        <w:rPr>
          <w:szCs w:val="22"/>
        </w:rPr>
        <w:noBreakHyphen/>
        <w:t>val (kezdő dózis a 0. héten 160 mg és a 2. héten 80 mg, melyet a 4. héttől kezdve hetente 40 mg követ) végzett kontrollos vizsgálatokban, a 12</w:t>
      </w:r>
      <w:r w:rsidRPr="00183B5F">
        <w:rPr>
          <w:szCs w:val="22"/>
        </w:rPr>
        <w:noBreakHyphen/>
        <w:t xml:space="preserve">16 hetes kontrollperiódusban a </w:t>
      </w:r>
      <w:r w:rsidR="000258FB" w:rsidRPr="00183B5F">
        <w:rPr>
          <w:szCs w:val="22"/>
        </w:rPr>
        <w:t xml:space="preserve">GPT </w:t>
      </w:r>
      <w:r w:rsidR="00677908" w:rsidRPr="00183B5F">
        <w:rPr>
          <w:szCs w:val="22"/>
        </w:rPr>
        <w:t>(</w:t>
      </w:r>
      <w:r w:rsidR="00934342" w:rsidRPr="00183B5F">
        <w:rPr>
          <w:szCs w:val="22"/>
        </w:rPr>
        <w:t>ALAT</w:t>
      </w:r>
      <w:r w:rsidR="00677908" w:rsidRPr="00183B5F">
        <w:rPr>
          <w:szCs w:val="22"/>
        </w:rPr>
        <w:t>)-</w:t>
      </w:r>
      <w:r w:rsidR="009627E3" w:rsidRPr="00183B5F">
        <w:rPr>
          <w:szCs w:val="22"/>
        </w:rPr>
        <w:t>szint</w:t>
      </w:r>
      <w:r w:rsidRPr="00183B5F">
        <w:rPr>
          <w:szCs w:val="22"/>
        </w:rPr>
        <w:t xml:space="preserve"> normálérték felső határának ≥ 3</w:t>
      </w:r>
      <w:r w:rsidRPr="00183B5F">
        <w:rPr>
          <w:szCs w:val="22"/>
        </w:rPr>
        <w:noBreakHyphen/>
        <w:t>szorosára történő emelkedése a Humira</w:t>
      </w:r>
      <w:r w:rsidRPr="00183B5F">
        <w:rPr>
          <w:szCs w:val="22"/>
        </w:rPr>
        <w:noBreakHyphen/>
        <w:t>val kezelt betegek 0,3%</w:t>
      </w:r>
      <w:r w:rsidRPr="00183B5F">
        <w:rPr>
          <w:szCs w:val="22"/>
        </w:rPr>
        <w:noBreakHyphen/>
        <w:t>ánál, míg a kontrollal kezelt betegek 0,6%</w:t>
      </w:r>
      <w:r w:rsidRPr="00183B5F">
        <w:rPr>
          <w:szCs w:val="22"/>
        </w:rPr>
        <w:noBreakHyphen/>
        <w:t>ánál fordult elő.</w:t>
      </w:r>
    </w:p>
    <w:p w14:paraId="00D6ADD5" w14:textId="77777777" w:rsidR="00C55D56" w:rsidRPr="00183B5F" w:rsidRDefault="00C55D56" w:rsidP="004062FE">
      <w:pPr>
        <w:spacing w:line="240" w:lineRule="auto"/>
        <w:rPr>
          <w:szCs w:val="22"/>
        </w:rPr>
      </w:pPr>
    </w:p>
    <w:p w14:paraId="46D763B3" w14:textId="77777777" w:rsidR="00C55D56" w:rsidRPr="00183B5F" w:rsidRDefault="00943743" w:rsidP="004062FE">
      <w:pPr>
        <w:spacing w:line="240" w:lineRule="auto"/>
        <w:rPr>
          <w:szCs w:val="22"/>
        </w:rPr>
      </w:pPr>
      <w:r w:rsidRPr="00183B5F">
        <w:rPr>
          <w:szCs w:val="22"/>
        </w:rPr>
        <w:t xml:space="preserve">Uveitisben szenvedő </w:t>
      </w:r>
      <w:r w:rsidR="001B24BF" w:rsidRPr="00183B5F">
        <w:rPr>
          <w:szCs w:val="22"/>
        </w:rPr>
        <w:t xml:space="preserve">felnőtt </w:t>
      </w:r>
      <w:r w:rsidRPr="00183B5F">
        <w:rPr>
          <w:szCs w:val="22"/>
        </w:rPr>
        <w:t>betegeknél a Humira</w:t>
      </w:r>
      <w:r w:rsidR="001212F4" w:rsidRPr="00183B5F">
        <w:rPr>
          <w:szCs w:val="22"/>
        </w:rPr>
        <w:noBreakHyphen/>
      </w:r>
      <w:r w:rsidRPr="00183B5F">
        <w:rPr>
          <w:szCs w:val="22"/>
        </w:rPr>
        <w:t>val (kezdő dózis a 0. héten 80 mg, melyet az 1. héttől kezdve minden második héten adott 40 mg követett) végzett, 80 hétig tartó kontrollos vizsgálatokban, a Humira</w:t>
      </w:r>
      <w:r w:rsidRPr="00183B5F">
        <w:rPr>
          <w:szCs w:val="22"/>
        </w:rPr>
        <w:noBreakHyphen/>
        <w:t xml:space="preserve">val kezelt betegeknél 166,5 nap, a kontrollcsoportnál 105 nap medián expozíciós idő esetén, a </w:t>
      </w:r>
      <w:r w:rsidR="000258FB" w:rsidRPr="00183B5F">
        <w:rPr>
          <w:szCs w:val="22"/>
        </w:rPr>
        <w:t xml:space="preserve">GPT </w:t>
      </w:r>
      <w:r w:rsidR="00677908" w:rsidRPr="00183B5F">
        <w:rPr>
          <w:szCs w:val="22"/>
        </w:rPr>
        <w:t>(</w:t>
      </w:r>
      <w:r w:rsidR="00934342" w:rsidRPr="00183B5F">
        <w:rPr>
          <w:szCs w:val="22"/>
        </w:rPr>
        <w:t>ALAT</w:t>
      </w:r>
      <w:r w:rsidR="00677908" w:rsidRPr="00183B5F">
        <w:rPr>
          <w:szCs w:val="22"/>
        </w:rPr>
        <w:t>)-</w:t>
      </w:r>
      <w:r w:rsidRPr="00183B5F">
        <w:rPr>
          <w:szCs w:val="22"/>
        </w:rPr>
        <w:t>szint normálérték felső határának ≥ 3</w:t>
      </w:r>
      <w:r w:rsidRPr="00183B5F">
        <w:rPr>
          <w:szCs w:val="22"/>
        </w:rPr>
        <w:noBreakHyphen/>
        <w:t>szorosára való emelkedése a Humira</w:t>
      </w:r>
      <w:r w:rsidRPr="00183B5F">
        <w:rPr>
          <w:szCs w:val="22"/>
        </w:rPr>
        <w:noBreakHyphen/>
        <w:t>val kezelt betegek 2,4%</w:t>
      </w:r>
      <w:r w:rsidRPr="00183B5F">
        <w:rPr>
          <w:szCs w:val="22"/>
        </w:rPr>
        <w:noBreakHyphen/>
        <w:t>ánál, a kontrollkezelés mellett a betegek 2,4%</w:t>
      </w:r>
      <w:r w:rsidRPr="00183B5F">
        <w:rPr>
          <w:szCs w:val="22"/>
        </w:rPr>
        <w:noBreakHyphen/>
        <w:t>ánál fordult elő.</w:t>
      </w:r>
    </w:p>
    <w:p w14:paraId="5018A105" w14:textId="77777777" w:rsidR="009A314C" w:rsidRPr="00183B5F" w:rsidRDefault="009A314C" w:rsidP="004062FE">
      <w:pPr>
        <w:spacing w:line="240" w:lineRule="auto"/>
        <w:rPr>
          <w:szCs w:val="22"/>
        </w:rPr>
      </w:pPr>
    </w:p>
    <w:p w14:paraId="5BE61DB3" w14:textId="77777777" w:rsidR="0095434F" w:rsidRPr="00183B5F" w:rsidRDefault="00943743" w:rsidP="0095434F">
      <w:r w:rsidRPr="00183B5F">
        <w:rPr>
          <w:shd w:val="clear" w:color="auto" w:fill="FFFFFF"/>
        </w:rPr>
        <w:t>Egy gyermek</w:t>
      </w:r>
      <w:r w:rsidR="00241682" w:rsidRPr="00183B5F">
        <w:rPr>
          <w:shd w:val="clear" w:color="auto" w:fill="FFFFFF"/>
        </w:rPr>
        <w:t>- és serdülő</w:t>
      </w:r>
      <w:r w:rsidRPr="00183B5F">
        <w:rPr>
          <w:shd w:val="clear" w:color="auto" w:fill="FFFFFF"/>
        </w:rPr>
        <w:t>kori colitis ulcerosában szenvedő betegek körében (N=93) Humira</w:t>
      </w:r>
      <w:r w:rsidRPr="00183B5F">
        <w:rPr>
          <w:shd w:val="clear" w:color="auto" w:fill="FFFFFF"/>
        </w:rPr>
        <w:noBreakHyphen/>
        <w:t>val végzett, kontrollált III. fázisú vizsgálatban a következő adagolási sémák hatásosságát és biztonságosságát értékelték: a 0. és 1. héten a testtömeghez igazított 2,4 mg/ttkg (legfeljebb 160 mg), és a 2. héten 1,2 mg/ttkg (legfeljebb 80 mg) indukciós dózis (N=63), vagy a 0. héten 2,4 mg/ttkg (legfeljebb 160 mg), az 1. héten placebo, a 2. héten 1,2 mg/ttkg (legfeljebb 80 mg) indukciós dózis (N=30), amit minden második héten adott 0</w:t>
      </w:r>
      <w:r w:rsidRPr="00183B5F">
        <w:rPr>
          <w:shd w:val="clear" w:color="auto" w:fill="FFFFFF"/>
        </w:rPr>
        <w:t>,6 mg/ttkg (legfeljebb 40 mg) fenntartó dózis (N=31), vagy hetente adott 0,6 mg/ttkg (legfeljebb 40 mg) fenntartó dózis (N=32) követ. A fenti dózisok mellett a betegek 1,1%</w:t>
      </w:r>
      <w:r w:rsidRPr="00183B5F">
        <w:rPr>
          <w:shd w:val="clear" w:color="auto" w:fill="FFFFFF"/>
        </w:rPr>
        <w:noBreakHyphen/>
        <w:t xml:space="preserve">ánál (1/93) az ALAT a </w:t>
      </w:r>
      <w:r w:rsidRPr="00183B5F">
        <w:t>normálérték felső határának ≥ 3</w:t>
      </w:r>
      <w:r w:rsidRPr="00183B5F">
        <w:noBreakHyphen/>
        <w:t>szorosára emelkedett.</w:t>
      </w:r>
    </w:p>
    <w:p w14:paraId="260E308C" w14:textId="77777777" w:rsidR="00411A48" w:rsidRPr="00183B5F" w:rsidRDefault="00411A48" w:rsidP="004062FE">
      <w:pPr>
        <w:spacing w:line="240" w:lineRule="auto"/>
        <w:rPr>
          <w:szCs w:val="22"/>
        </w:rPr>
      </w:pPr>
    </w:p>
    <w:p w14:paraId="09694082" w14:textId="77777777" w:rsidR="00D0403E" w:rsidRPr="00183B5F" w:rsidRDefault="00943743" w:rsidP="004062FE">
      <w:pPr>
        <w:spacing w:line="240" w:lineRule="auto"/>
        <w:rPr>
          <w:szCs w:val="22"/>
        </w:rPr>
      </w:pPr>
      <w:r w:rsidRPr="00183B5F">
        <w:rPr>
          <w:szCs w:val="22"/>
        </w:rPr>
        <w:t xml:space="preserve">A klinikai vizsgálatokban a magasabb </w:t>
      </w:r>
      <w:r w:rsidR="000258FB" w:rsidRPr="00183B5F">
        <w:rPr>
          <w:szCs w:val="22"/>
        </w:rPr>
        <w:t xml:space="preserve">GPT </w:t>
      </w:r>
      <w:r w:rsidR="00677908" w:rsidRPr="00183B5F">
        <w:rPr>
          <w:szCs w:val="22"/>
        </w:rPr>
        <w:t>(</w:t>
      </w:r>
      <w:r w:rsidR="00934342" w:rsidRPr="00183B5F">
        <w:rPr>
          <w:szCs w:val="22"/>
        </w:rPr>
        <w:t>ALAT</w:t>
      </w:r>
      <w:r w:rsidR="00677908" w:rsidRPr="00183B5F">
        <w:rPr>
          <w:szCs w:val="22"/>
        </w:rPr>
        <w:t>)-</w:t>
      </w:r>
      <w:r w:rsidR="009627E3" w:rsidRPr="00183B5F">
        <w:rPr>
          <w:szCs w:val="22"/>
        </w:rPr>
        <w:t>szintű</w:t>
      </w:r>
      <w:r w:rsidRPr="00183B5F">
        <w:rPr>
          <w:szCs w:val="22"/>
        </w:rPr>
        <w:t xml:space="preserve"> betegek tünetmentesek voltak valamennyi indikációban. Az esetek többségében az emelkedés átmeneti volt és a kezelés folytatása mellett megszűnt. A forgalomba hozatalt követően is beszámoltak májelégtelenségről és kevésbé súlyos olyan májbetegségekről is, amelyek megelőzhetik a májelégtelenséget, mint pl. a hepatitis, beleértve az autoimmun hepatitist az adalimumabbal kezelt betegeknél.</w:t>
      </w:r>
    </w:p>
    <w:p w14:paraId="25DC5FF1" w14:textId="77777777" w:rsidR="00D0403E" w:rsidRPr="00183B5F" w:rsidRDefault="00D0403E" w:rsidP="004062FE">
      <w:pPr>
        <w:spacing w:line="240" w:lineRule="auto"/>
        <w:rPr>
          <w:b/>
          <w:szCs w:val="22"/>
        </w:rPr>
      </w:pPr>
    </w:p>
    <w:p w14:paraId="12597A8B" w14:textId="77777777" w:rsidR="00D0403E" w:rsidRPr="00183B5F" w:rsidRDefault="00943743" w:rsidP="004062FE">
      <w:pPr>
        <w:keepNext/>
        <w:spacing w:line="240" w:lineRule="auto"/>
        <w:rPr>
          <w:szCs w:val="22"/>
          <w:u w:val="single"/>
        </w:rPr>
      </w:pPr>
      <w:r w:rsidRPr="00183B5F">
        <w:rPr>
          <w:szCs w:val="22"/>
          <w:u w:val="single"/>
        </w:rPr>
        <w:t>Egyidejű azatioprin/6</w:t>
      </w:r>
      <w:r w:rsidRPr="00183B5F">
        <w:rPr>
          <w:szCs w:val="22"/>
          <w:u w:val="single"/>
        </w:rPr>
        <w:noBreakHyphen/>
        <w:t>merkaptopurin-kezelés</w:t>
      </w:r>
    </w:p>
    <w:p w14:paraId="0DBEDFBF" w14:textId="77777777" w:rsidR="00D0403E" w:rsidRPr="00183B5F" w:rsidRDefault="00D0403E" w:rsidP="004062FE">
      <w:pPr>
        <w:keepNext/>
        <w:spacing w:line="240" w:lineRule="auto"/>
        <w:rPr>
          <w:szCs w:val="22"/>
        </w:rPr>
      </w:pPr>
    </w:p>
    <w:p w14:paraId="6E9A4D2B" w14:textId="77777777" w:rsidR="00D0403E" w:rsidRPr="00183B5F" w:rsidRDefault="00943743" w:rsidP="004062FE">
      <w:pPr>
        <w:keepNext/>
        <w:spacing w:line="240" w:lineRule="auto"/>
        <w:rPr>
          <w:szCs w:val="22"/>
        </w:rPr>
      </w:pPr>
      <w:r w:rsidRPr="00183B5F">
        <w:rPr>
          <w:szCs w:val="22"/>
        </w:rPr>
        <w:t>Felnőttkori Crohn</w:t>
      </w:r>
      <w:r w:rsidRPr="00183B5F">
        <w:rPr>
          <w:szCs w:val="22"/>
        </w:rPr>
        <w:noBreakHyphen/>
        <w:t>betegségben végzett vizsgálatok során a rosszindulatú daganatokkal és súlyos fertőzésekkel kapcsolatos nemkívánatos események nagyobb gyakoriságát észlelték Humira és azatioprin/6</w:t>
      </w:r>
      <w:r w:rsidRPr="00183B5F">
        <w:rPr>
          <w:szCs w:val="22"/>
        </w:rPr>
        <w:noBreakHyphen/>
        <w:t>merkaptopurin kombinációs kezelés során, mint az önmagában adott Humira</w:t>
      </w:r>
      <w:r w:rsidRPr="00183B5F">
        <w:rPr>
          <w:szCs w:val="22"/>
        </w:rPr>
        <w:noBreakHyphen/>
        <w:t>kezelés esetén.</w:t>
      </w:r>
    </w:p>
    <w:p w14:paraId="308F5FF6" w14:textId="77777777" w:rsidR="00D0403E" w:rsidRPr="00183B5F" w:rsidRDefault="00D0403E">
      <w:pPr>
        <w:pStyle w:val="EMEANormal"/>
        <w:suppressAutoHyphens w:val="0"/>
        <w:rPr>
          <w:szCs w:val="22"/>
          <w:lang w:val="hu-HU"/>
        </w:rPr>
      </w:pPr>
    </w:p>
    <w:p w14:paraId="0761253B" w14:textId="77777777" w:rsidR="00D0403E" w:rsidRPr="00183B5F" w:rsidRDefault="00943743">
      <w:pPr>
        <w:keepNext/>
        <w:spacing w:line="240" w:lineRule="auto"/>
        <w:rPr>
          <w:szCs w:val="22"/>
          <w:u w:val="single"/>
        </w:rPr>
      </w:pPr>
      <w:r w:rsidRPr="00183B5F">
        <w:rPr>
          <w:szCs w:val="22"/>
          <w:u w:val="single"/>
        </w:rPr>
        <w:t>Feltételezett mellékhatások bejelentése</w:t>
      </w:r>
    </w:p>
    <w:p w14:paraId="34DDF923" w14:textId="77777777" w:rsidR="00D0403E" w:rsidRPr="00183B5F" w:rsidRDefault="00D0403E">
      <w:pPr>
        <w:keepNext/>
        <w:spacing w:line="240" w:lineRule="auto"/>
        <w:rPr>
          <w:szCs w:val="22"/>
          <w:u w:val="single"/>
        </w:rPr>
      </w:pPr>
    </w:p>
    <w:p w14:paraId="42AB901A" w14:textId="77777777" w:rsidR="00D0403E" w:rsidRPr="00183B5F" w:rsidRDefault="00943743">
      <w:pPr>
        <w:keepNext/>
        <w:spacing w:line="240" w:lineRule="auto"/>
        <w:rPr>
          <w:szCs w:val="22"/>
        </w:rPr>
      </w:pPr>
      <w:r w:rsidRPr="00183B5F">
        <w:rPr>
          <w:szCs w:val="22"/>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20" w:history="1">
        <w:r w:rsidR="00D0403E" w:rsidRPr="00183B5F">
          <w:rPr>
            <w:rStyle w:val="Hyperlink"/>
            <w:highlight w:val="lightGray"/>
          </w:rPr>
          <w:t>V. függelékben</w:t>
        </w:r>
      </w:hyperlink>
      <w:r w:rsidRPr="00183B5F">
        <w:rPr>
          <w:highlight w:val="lightGray"/>
        </w:rPr>
        <w:t xml:space="preserve"> található elérhetőségek valamelyikén keresztül</w:t>
      </w:r>
      <w:r w:rsidRPr="00183B5F">
        <w:rPr>
          <w:color w:val="008000"/>
        </w:rPr>
        <w:t>.</w:t>
      </w:r>
    </w:p>
    <w:p w14:paraId="4AC40DDC" w14:textId="77777777" w:rsidR="00D0403E" w:rsidRPr="00183B5F" w:rsidRDefault="00D0403E" w:rsidP="004062FE">
      <w:pPr>
        <w:spacing w:line="240" w:lineRule="auto"/>
        <w:rPr>
          <w:b/>
          <w:szCs w:val="22"/>
        </w:rPr>
      </w:pPr>
    </w:p>
    <w:p w14:paraId="5E5497A6" w14:textId="77777777" w:rsidR="00D0403E" w:rsidRPr="00183B5F" w:rsidRDefault="00943743" w:rsidP="004062FE">
      <w:pPr>
        <w:keepNext/>
        <w:spacing w:line="240" w:lineRule="auto"/>
        <w:rPr>
          <w:b/>
          <w:szCs w:val="22"/>
        </w:rPr>
      </w:pPr>
      <w:r w:rsidRPr="00183B5F">
        <w:rPr>
          <w:b/>
          <w:szCs w:val="22"/>
        </w:rPr>
        <w:t>4.9</w:t>
      </w:r>
      <w:r w:rsidRPr="00183B5F">
        <w:rPr>
          <w:b/>
          <w:szCs w:val="22"/>
        </w:rPr>
        <w:tab/>
        <w:t>Túladagolás</w:t>
      </w:r>
    </w:p>
    <w:p w14:paraId="6E4A9644" w14:textId="77777777" w:rsidR="00D0403E" w:rsidRPr="00183B5F" w:rsidRDefault="00D0403E" w:rsidP="004062FE">
      <w:pPr>
        <w:keepNext/>
        <w:spacing w:line="240" w:lineRule="auto"/>
        <w:rPr>
          <w:szCs w:val="22"/>
        </w:rPr>
      </w:pPr>
    </w:p>
    <w:p w14:paraId="3E739C2C" w14:textId="77777777" w:rsidR="00D0403E" w:rsidRPr="00183B5F" w:rsidRDefault="00943743" w:rsidP="004062FE">
      <w:pPr>
        <w:keepNext/>
        <w:spacing w:line="240" w:lineRule="auto"/>
        <w:rPr>
          <w:szCs w:val="22"/>
        </w:rPr>
      </w:pPr>
      <w:r w:rsidRPr="00183B5F">
        <w:rPr>
          <w:szCs w:val="22"/>
        </w:rPr>
        <w:t>A klinikai vizsgálatok során nem észlelt</w:t>
      </w:r>
      <w:r w:rsidR="00196BE7" w:rsidRPr="00183B5F">
        <w:rPr>
          <w:szCs w:val="22"/>
        </w:rPr>
        <w:t>é</w:t>
      </w:r>
      <w:r w:rsidRPr="00183B5F">
        <w:rPr>
          <w:szCs w:val="22"/>
        </w:rPr>
        <w:t>k dóziskorlátozó toxicitás jele</w:t>
      </w:r>
      <w:r w:rsidR="00196BE7" w:rsidRPr="00183B5F">
        <w:rPr>
          <w:szCs w:val="22"/>
        </w:rPr>
        <w:t>i</w:t>
      </w:r>
      <w:r w:rsidRPr="00183B5F">
        <w:rPr>
          <w:szCs w:val="22"/>
        </w:rPr>
        <w:t>t. A legmagasabb vizsgált dózis az intravénásan beadott 10 mg</w:t>
      </w:r>
      <w:r w:rsidR="00127A0B" w:rsidRPr="00183B5F">
        <w:rPr>
          <w:szCs w:val="22"/>
        </w:rPr>
        <w:t>/ttkg</w:t>
      </w:r>
      <w:r w:rsidRPr="00183B5F">
        <w:rPr>
          <w:szCs w:val="22"/>
        </w:rPr>
        <w:t>-os dózis többszöröse volt, amely az ajánlott dózis kb.</w:t>
      </w:r>
      <w:r w:rsidR="00BE1F94" w:rsidRPr="00183B5F">
        <w:rPr>
          <w:szCs w:val="22"/>
        </w:rPr>
        <w:t> </w:t>
      </w:r>
      <w:r w:rsidRPr="00183B5F">
        <w:rPr>
          <w:szCs w:val="22"/>
        </w:rPr>
        <w:t>15</w:t>
      </w:r>
      <w:r w:rsidR="00BE1F94" w:rsidRPr="00183B5F">
        <w:rPr>
          <w:szCs w:val="22"/>
        </w:rPr>
        <w:noBreakHyphen/>
      </w:r>
      <w:r w:rsidRPr="00183B5F">
        <w:rPr>
          <w:szCs w:val="22"/>
        </w:rPr>
        <w:t>szörösét teszi ki.</w:t>
      </w:r>
    </w:p>
    <w:p w14:paraId="743B2C5B" w14:textId="77777777" w:rsidR="00D0403E" w:rsidRPr="00183B5F" w:rsidRDefault="00D0403E" w:rsidP="004062FE">
      <w:pPr>
        <w:pStyle w:val="EndnoteText"/>
        <w:tabs>
          <w:tab w:val="clear" w:pos="567"/>
          <w:tab w:val="left" w:pos="708"/>
        </w:tabs>
        <w:suppressAutoHyphens/>
        <w:rPr>
          <w:sz w:val="22"/>
          <w:szCs w:val="22"/>
          <w:lang w:val="hu-HU"/>
        </w:rPr>
      </w:pPr>
    </w:p>
    <w:p w14:paraId="1D21A03D" w14:textId="77777777" w:rsidR="00D0403E" w:rsidRPr="00183B5F" w:rsidRDefault="00D0403E" w:rsidP="004062FE">
      <w:pPr>
        <w:spacing w:line="240" w:lineRule="auto"/>
        <w:rPr>
          <w:szCs w:val="22"/>
        </w:rPr>
      </w:pPr>
    </w:p>
    <w:p w14:paraId="2E0CFD55" w14:textId="77777777" w:rsidR="00D0403E" w:rsidRPr="00183B5F" w:rsidRDefault="00943743" w:rsidP="006B2397">
      <w:pPr>
        <w:keepNext/>
        <w:spacing w:line="240" w:lineRule="auto"/>
        <w:rPr>
          <w:b/>
          <w:szCs w:val="22"/>
        </w:rPr>
      </w:pPr>
      <w:r w:rsidRPr="00183B5F">
        <w:rPr>
          <w:b/>
          <w:szCs w:val="22"/>
        </w:rPr>
        <w:t>5.</w:t>
      </w:r>
      <w:r w:rsidRPr="00183B5F">
        <w:rPr>
          <w:b/>
          <w:szCs w:val="22"/>
        </w:rPr>
        <w:tab/>
        <w:t>FARMAKOLÓGIAI TULAJDONSÁGOK</w:t>
      </w:r>
    </w:p>
    <w:p w14:paraId="435F700F" w14:textId="77777777" w:rsidR="00D0403E" w:rsidRPr="00183B5F" w:rsidRDefault="00D0403E" w:rsidP="006B2397">
      <w:pPr>
        <w:keepNext/>
        <w:spacing w:line="240" w:lineRule="auto"/>
        <w:rPr>
          <w:szCs w:val="22"/>
        </w:rPr>
      </w:pPr>
    </w:p>
    <w:p w14:paraId="3F5AC28C" w14:textId="77777777" w:rsidR="00D0403E" w:rsidRPr="00183B5F" w:rsidRDefault="00943743" w:rsidP="006B2397">
      <w:pPr>
        <w:keepNext/>
        <w:spacing w:line="240" w:lineRule="auto"/>
        <w:ind w:left="567" w:hanging="567"/>
        <w:rPr>
          <w:b/>
          <w:szCs w:val="22"/>
        </w:rPr>
      </w:pPr>
      <w:r w:rsidRPr="00183B5F">
        <w:rPr>
          <w:b/>
          <w:szCs w:val="22"/>
        </w:rPr>
        <w:t>5.1</w:t>
      </w:r>
      <w:r w:rsidRPr="00183B5F">
        <w:rPr>
          <w:b/>
          <w:szCs w:val="22"/>
        </w:rPr>
        <w:tab/>
        <w:t>Farmakodinámiás tulajdonságok</w:t>
      </w:r>
    </w:p>
    <w:p w14:paraId="17E63932" w14:textId="77777777" w:rsidR="00D0403E" w:rsidRPr="00183B5F" w:rsidRDefault="00D0403E" w:rsidP="006B2397">
      <w:pPr>
        <w:keepNext/>
        <w:spacing w:line="240" w:lineRule="auto"/>
        <w:rPr>
          <w:szCs w:val="22"/>
        </w:rPr>
      </w:pPr>
    </w:p>
    <w:p w14:paraId="762CFFD0" w14:textId="77777777" w:rsidR="00D0403E" w:rsidRPr="00183B5F" w:rsidRDefault="00943743" w:rsidP="006B2397">
      <w:pPr>
        <w:keepNext/>
        <w:spacing w:line="240" w:lineRule="auto"/>
        <w:rPr>
          <w:szCs w:val="22"/>
        </w:rPr>
      </w:pPr>
      <w:r w:rsidRPr="00183B5F">
        <w:rPr>
          <w:szCs w:val="22"/>
        </w:rPr>
        <w:t>Farmakoterápiás csoport: Immunszup</w:t>
      </w:r>
      <w:r w:rsidR="00073099" w:rsidRPr="00183B5F">
        <w:rPr>
          <w:szCs w:val="22"/>
        </w:rPr>
        <w:t>p</w:t>
      </w:r>
      <w:r w:rsidRPr="00183B5F">
        <w:rPr>
          <w:szCs w:val="22"/>
        </w:rPr>
        <w:t>resszánsok, Tumornekrózis</w:t>
      </w:r>
      <w:r w:rsidRPr="00183B5F">
        <w:rPr>
          <w:szCs w:val="22"/>
        </w:rPr>
        <w:noBreakHyphen/>
        <w:t>faktor</w:t>
      </w:r>
      <w:r w:rsidRPr="00183B5F">
        <w:rPr>
          <w:szCs w:val="22"/>
        </w:rPr>
        <w:noBreakHyphen/>
        <w:t>alfa (TNF</w:t>
      </w:r>
      <w:r w:rsidRPr="00183B5F">
        <w:rPr>
          <w:szCs w:val="22"/>
        </w:rPr>
        <w:noBreakHyphen/>
        <w:t>α)</w:t>
      </w:r>
      <w:r w:rsidRPr="00183B5F">
        <w:rPr>
          <w:szCs w:val="22"/>
        </w:rPr>
        <w:noBreakHyphen/>
        <w:t>gátlók</w:t>
      </w:r>
    </w:p>
    <w:p w14:paraId="375EC7CC" w14:textId="77777777" w:rsidR="00D0403E" w:rsidRPr="00183B5F" w:rsidRDefault="00943743" w:rsidP="004062FE">
      <w:pPr>
        <w:spacing w:line="240" w:lineRule="auto"/>
        <w:rPr>
          <w:szCs w:val="22"/>
        </w:rPr>
      </w:pPr>
      <w:r w:rsidRPr="00183B5F">
        <w:rPr>
          <w:szCs w:val="22"/>
        </w:rPr>
        <w:t>ATC kód: L04AB04</w:t>
      </w:r>
    </w:p>
    <w:p w14:paraId="4A23B30D" w14:textId="77777777" w:rsidR="00D0403E" w:rsidRPr="00183B5F" w:rsidRDefault="00D0403E" w:rsidP="004062FE">
      <w:pPr>
        <w:pStyle w:val="EndnoteText"/>
        <w:tabs>
          <w:tab w:val="clear" w:pos="567"/>
          <w:tab w:val="left" w:pos="708"/>
        </w:tabs>
        <w:suppressAutoHyphens/>
        <w:rPr>
          <w:sz w:val="22"/>
          <w:szCs w:val="22"/>
          <w:lang w:val="hu-HU" w:eastAsia="hu-HU"/>
        </w:rPr>
      </w:pPr>
    </w:p>
    <w:p w14:paraId="5698E0AC" w14:textId="77777777" w:rsidR="00D0403E" w:rsidRPr="00183B5F" w:rsidRDefault="00943743" w:rsidP="00832DC3">
      <w:pPr>
        <w:keepNext/>
        <w:spacing w:line="240" w:lineRule="auto"/>
        <w:rPr>
          <w:szCs w:val="22"/>
          <w:u w:val="single"/>
        </w:rPr>
      </w:pPr>
      <w:r w:rsidRPr="00183B5F">
        <w:rPr>
          <w:szCs w:val="22"/>
          <w:u w:val="single"/>
        </w:rPr>
        <w:t>Hatásmechanizmus</w:t>
      </w:r>
    </w:p>
    <w:p w14:paraId="41F0165A" w14:textId="77777777" w:rsidR="00D0403E" w:rsidRPr="00183B5F" w:rsidRDefault="00D0403E" w:rsidP="00832DC3">
      <w:pPr>
        <w:keepNext/>
        <w:spacing w:line="240" w:lineRule="auto"/>
        <w:rPr>
          <w:szCs w:val="22"/>
        </w:rPr>
      </w:pPr>
    </w:p>
    <w:p w14:paraId="32965BCE" w14:textId="77777777" w:rsidR="00D0403E" w:rsidRPr="00183B5F" w:rsidRDefault="00943743" w:rsidP="004062FE">
      <w:pPr>
        <w:spacing w:line="240" w:lineRule="auto"/>
        <w:rPr>
          <w:szCs w:val="22"/>
        </w:rPr>
      </w:pPr>
      <w:r w:rsidRPr="00183B5F">
        <w:rPr>
          <w:szCs w:val="22"/>
        </w:rPr>
        <w:t>Az adalimumab specifikusan kötődik a TNF</w:t>
      </w:r>
      <w:r w:rsidRPr="00183B5F">
        <w:rPr>
          <w:szCs w:val="22"/>
        </w:rPr>
        <w:noBreakHyphen/>
        <w:t>hez és semlegesíti a TNF biológiai hatását azáltal, hogy megakadályozza a TNF interakcióját a p55 és p75 sejtfelszíni TNF</w:t>
      </w:r>
      <w:r w:rsidR="007F0C9D" w:rsidRPr="00183B5F">
        <w:rPr>
          <w:szCs w:val="22"/>
        </w:rPr>
        <w:noBreakHyphen/>
      </w:r>
      <w:r w:rsidRPr="00183B5F">
        <w:rPr>
          <w:szCs w:val="22"/>
        </w:rPr>
        <w:t>receptorokkal.</w:t>
      </w:r>
    </w:p>
    <w:p w14:paraId="4D4CB0E5" w14:textId="77777777" w:rsidR="00D0403E" w:rsidRPr="00183B5F" w:rsidRDefault="00D0403E" w:rsidP="004062FE">
      <w:pPr>
        <w:spacing w:line="240" w:lineRule="auto"/>
        <w:rPr>
          <w:szCs w:val="22"/>
        </w:rPr>
      </w:pPr>
    </w:p>
    <w:p w14:paraId="122B30D6" w14:textId="77777777" w:rsidR="00D0403E" w:rsidRPr="00183B5F" w:rsidRDefault="00943743" w:rsidP="004062FE">
      <w:pPr>
        <w:spacing w:line="240" w:lineRule="auto"/>
        <w:rPr>
          <w:szCs w:val="22"/>
        </w:rPr>
      </w:pPr>
      <w:r w:rsidRPr="00183B5F">
        <w:rPr>
          <w:szCs w:val="22"/>
        </w:rPr>
        <w:t>Továbbá az adalimumab módosítja azokat a biológiai válaszokat, melyeket a TNF indukál, illetve szabályoz, beleértve a leukocyták vándorlásáért felelős adhéziós molekulák szintjeinek változtatását (ELAM</w:t>
      </w:r>
      <w:r w:rsidRPr="00183B5F">
        <w:rPr>
          <w:szCs w:val="22"/>
        </w:rPr>
        <w:noBreakHyphen/>
        <w:t>1, VCAM</w:t>
      </w:r>
      <w:r w:rsidRPr="00183B5F">
        <w:rPr>
          <w:szCs w:val="22"/>
        </w:rPr>
        <w:noBreakHyphen/>
        <w:t>1 és ICAM</w:t>
      </w:r>
      <w:r w:rsidRPr="00183B5F">
        <w:rPr>
          <w:szCs w:val="22"/>
        </w:rPr>
        <w:noBreakHyphen/>
        <w:t>1, melyek IC</w:t>
      </w:r>
      <w:r w:rsidRPr="00183B5F">
        <w:rPr>
          <w:szCs w:val="22"/>
          <w:vertAlign w:val="subscript"/>
        </w:rPr>
        <w:t>50</w:t>
      </w:r>
      <w:r w:rsidRPr="00183B5F">
        <w:rPr>
          <w:szCs w:val="22"/>
        </w:rPr>
        <w:t xml:space="preserve"> értékei 0,1 – 0,2</w:t>
      </w:r>
      <w:r w:rsidRPr="00183B5F">
        <w:rPr>
          <w:szCs w:val="22"/>
          <w:vertAlign w:val="superscript"/>
        </w:rPr>
        <w:t> </w:t>
      </w:r>
      <w:r w:rsidRPr="00183B5F">
        <w:rPr>
          <w:szCs w:val="22"/>
        </w:rPr>
        <w:t>nM)</w:t>
      </w:r>
      <w:r w:rsidR="005027C3" w:rsidRPr="00183B5F">
        <w:rPr>
          <w:szCs w:val="22"/>
        </w:rPr>
        <w:t>.</w:t>
      </w:r>
    </w:p>
    <w:p w14:paraId="1DFD4DF2" w14:textId="77777777" w:rsidR="00D0403E" w:rsidRPr="00183B5F" w:rsidRDefault="00D0403E" w:rsidP="004062FE">
      <w:pPr>
        <w:spacing w:line="240" w:lineRule="auto"/>
        <w:rPr>
          <w:szCs w:val="22"/>
          <w:u w:val="single"/>
        </w:rPr>
      </w:pPr>
    </w:p>
    <w:p w14:paraId="19A40C57" w14:textId="77777777" w:rsidR="00D0403E" w:rsidRPr="00183B5F" w:rsidRDefault="00943743" w:rsidP="004062FE">
      <w:pPr>
        <w:keepNext/>
        <w:spacing w:line="240" w:lineRule="auto"/>
        <w:rPr>
          <w:szCs w:val="22"/>
          <w:u w:val="single"/>
        </w:rPr>
      </w:pPr>
      <w:r w:rsidRPr="00183B5F">
        <w:rPr>
          <w:szCs w:val="22"/>
          <w:u w:val="single"/>
        </w:rPr>
        <w:t>Farmakodinámiás hatások</w:t>
      </w:r>
    </w:p>
    <w:p w14:paraId="457A2DC3" w14:textId="77777777" w:rsidR="00D0403E" w:rsidRPr="00183B5F" w:rsidRDefault="00D0403E" w:rsidP="004062FE">
      <w:pPr>
        <w:pStyle w:val="EndnoteText"/>
        <w:keepNext/>
        <w:tabs>
          <w:tab w:val="clear" w:pos="567"/>
          <w:tab w:val="left" w:pos="708"/>
        </w:tabs>
        <w:suppressAutoHyphens/>
        <w:rPr>
          <w:sz w:val="22"/>
          <w:szCs w:val="22"/>
          <w:lang w:val="hu-HU" w:eastAsia="hu-HU"/>
        </w:rPr>
      </w:pPr>
    </w:p>
    <w:p w14:paraId="7B3A689B" w14:textId="77777777" w:rsidR="00D0403E" w:rsidRPr="00183B5F" w:rsidRDefault="00943743" w:rsidP="004062FE">
      <w:pPr>
        <w:keepNext/>
        <w:spacing w:line="240" w:lineRule="auto"/>
        <w:rPr>
          <w:szCs w:val="22"/>
        </w:rPr>
      </w:pPr>
      <w:r w:rsidRPr="00183B5F">
        <w:rPr>
          <w:szCs w:val="22"/>
        </w:rPr>
        <w:t>A rheumatoid arthritisben szenvedő betegek Humira</w:t>
      </w:r>
      <w:r w:rsidRPr="00183B5F">
        <w:rPr>
          <w:szCs w:val="22"/>
        </w:rPr>
        <w:noBreakHyphen/>
      </w:r>
      <w:r w:rsidRPr="00183B5F">
        <w:rPr>
          <w:szCs w:val="22"/>
        </w:rPr>
        <w:t>val való kezelését követően gyors csökkenés tapasztalható az akutfázis</w:t>
      </w:r>
      <w:r w:rsidR="00F4121D" w:rsidRPr="00183B5F">
        <w:rPr>
          <w:szCs w:val="22"/>
        </w:rPr>
        <w:t>-</w:t>
      </w:r>
      <w:r w:rsidRPr="00183B5F">
        <w:rPr>
          <w:szCs w:val="22"/>
        </w:rPr>
        <w:t>fehérjék (C</w:t>
      </w:r>
      <w:r w:rsidR="00FE1A55" w:rsidRPr="00183B5F">
        <w:rPr>
          <w:szCs w:val="22"/>
        </w:rPr>
        <w:t>-</w:t>
      </w:r>
      <w:r w:rsidRPr="00183B5F">
        <w:rPr>
          <w:szCs w:val="22"/>
        </w:rPr>
        <w:t>reaktív protein</w:t>
      </w:r>
      <w:r w:rsidR="00FE1A55" w:rsidRPr="00183B5F">
        <w:rPr>
          <w:szCs w:val="22"/>
        </w:rPr>
        <w:t xml:space="preserve"> </w:t>
      </w:r>
      <w:r w:rsidR="00821DCB" w:rsidRPr="00183B5F">
        <w:rPr>
          <w:szCs w:val="22"/>
        </w:rPr>
        <w:t>–</w:t>
      </w:r>
      <w:r w:rsidR="00FE1A55" w:rsidRPr="00183B5F">
        <w:rPr>
          <w:szCs w:val="22"/>
        </w:rPr>
        <w:t xml:space="preserve"> </w:t>
      </w:r>
      <w:r w:rsidRPr="00183B5F">
        <w:rPr>
          <w:szCs w:val="22"/>
        </w:rPr>
        <w:t>CRP), a süllyedés, illetve a citokinek (IL</w:t>
      </w:r>
      <w:r w:rsidRPr="00183B5F">
        <w:rPr>
          <w:szCs w:val="22"/>
        </w:rPr>
        <w:noBreakHyphen/>
        <w:t>6) szintjeiben, összehasonlítva a kezelés előtti kiindulási értékekkel. A porcszövet pusztulását eredményező szöveti remodelingért felelős matrix metalloproteinázok (MMP</w:t>
      </w:r>
      <w:r w:rsidRPr="00183B5F">
        <w:rPr>
          <w:szCs w:val="22"/>
        </w:rPr>
        <w:noBreakHyphen/>
        <w:t>1 és MMP</w:t>
      </w:r>
      <w:r w:rsidRPr="00183B5F">
        <w:rPr>
          <w:szCs w:val="22"/>
        </w:rPr>
        <w:noBreakHyphen/>
        <w:t>3) szérumszintjeiben is csökkenés tapasztalható a Humira alkalmazása után. A Humira</w:t>
      </w:r>
      <w:r w:rsidRPr="00183B5F">
        <w:rPr>
          <w:szCs w:val="22"/>
        </w:rPr>
        <w:noBreakHyphen/>
        <w:t>val kezelt betegeknél rendszerint a krónikus gyulladás hematológiai paramétereiben is javulás tapasztalha</w:t>
      </w:r>
      <w:r w:rsidRPr="00183B5F">
        <w:rPr>
          <w:szCs w:val="22"/>
        </w:rPr>
        <w:t>tó.</w:t>
      </w:r>
    </w:p>
    <w:p w14:paraId="0ACBE930" w14:textId="77777777" w:rsidR="00D0403E" w:rsidRPr="00183B5F" w:rsidRDefault="00D0403E" w:rsidP="004062FE">
      <w:pPr>
        <w:spacing w:line="240" w:lineRule="auto"/>
        <w:rPr>
          <w:b/>
          <w:szCs w:val="22"/>
        </w:rPr>
      </w:pPr>
    </w:p>
    <w:p w14:paraId="4BBD990C" w14:textId="77777777" w:rsidR="00D0403E" w:rsidRPr="00183B5F" w:rsidRDefault="00943743" w:rsidP="004062FE">
      <w:pPr>
        <w:spacing w:line="240" w:lineRule="auto"/>
        <w:rPr>
          <w:szCs w:val="22"/>
        </w:rPr>
      </w:pPr>
      <w:r w:rsidRPr="00183B5F">
        <w:rPr>
          <w:szCs w:val="22"/>
        </w:rPr>
        <w:t>Polyarticularis juvenilis idiopathiás arthritisben, Crohn</w:t>
      </w:r>
      <w:r w:rsidRPr="00183B5F">
        <w:rPr>
          <w:szCs w:val="22"/>
        </w:rPr>
        <w:noBreakHyphen/>
        <w:t>betegségben</w:t>
      </w:r>
      <w:r w:rsidR="00955B36" w:rsidRPr="00183B5F">
        <w:rPr>
          <w:szCs w:val="22"/>
        </w:rPr>
        <w:t>,</w:t>
      </w:r>
      <w:r w:rsidRPr="00183B5F">
        <w:rPr>
          <w:szCs w:val="22"/>
        </w:rPr>
        <w:t xml:space="preserve"> colitis ulcerosában </w:t>
      </w:r>
      <w:r w:rsidR="00955B36" w:rsidRPr="00183B5F">
        <w:rPr>
          <w:szCs w:val="22"/>
        </w:rPr>
        <w:t xml:space="preserve">és hidradenitis suppurativában </w:t>
      </w:r>
      <w:r w:rsidRPr="00183B5F">
        <w:rPr>
          <w:szCs w:val="22"/>
        </w:rPr>
        <w:t>is a CRP</w:t>
      </w:r>
      <w:r w:rsidRPr="00183B5F">
        <w:rPr>
          <w:szCs w:val="22"/>
        </w:rPr>
        <w:noBreakHyphen/>
        <w:t>szint gyors csökkenését figyelték meg a Humira</w:t>
      </w:r>
      <w:r w:rsidRPr="00183B5F">
        <w:rPr>
          <w:szCs w:val="22"/>
        </w:rPr>
        <w:noBreakHyphen/>
        <w:t>kezelést követően. Crohn</w:t>
      </w:r>
      <w:r w:rsidRPr="00183B5F">
        <w:rPr>
          <w:szCs w:val="22"/>
        </w:rPr>
        <w:noBreakHyphen/>
        <w:t>betegségben szenvedő betegeknél a gyulladásos markereket expresszáló sejtek számának csökkenését figyelték meg a vastagbélben, beleértve a TNFα csökkent expresszióját is. A bélnyálkahártya endoszkópos vizsgálatai az adalimumabbal kezelt betegeknél a nyálkahártya gyógyulására utaló bizonyítékot mutattak.</w:t>
      </w:r>
    </w:p>
    <w:p w14:paraId="43A54D8E" w14:textId="77777777" w:rsidR="00D0403E" w:rsidRPr="00183B5F" w:rsidRDefault="00D0403E" w:rsidP="004062FE">
      <w:pPr>
        <w:spacing w:line="240" w:lineRule="auto"/>
        <w:rPr>
          <w:szCs w:val="22"/>
        </w:rPr>
      </w:pPr>
    </w:p>
    <w:p w14:paraId="379D2584" w14:textId="77777777" w:rsidR="00D0403E" w:rsidRPr="00183B5F" w:rsidRDefault="00943743" w:rsidP="004062FE">
      <w:pPr>
        <w:keepNext/>
        <w:spacing w:line="240" w:lineRule="auto"/>
        <w:rPr>
          <w:szCs w:val="22"/>
          <w:u w:val="single"/>
        </w:rPr>
      </w:pPr>
      <w:r w:rsidRPr="00183B5F">
        <w:rPr>
          <w:szCs w:val="22"/>
          <w:u w:val="single"/>
        </w:rPr>
        <w:t xml:space="preserve">Klinikai </w:t>
      </w:r>
      <w:r w:rsidRPr="00183B5F">
        <w:rPr>
          <w:noProof/>
          <w:szCs w:val="24"/>
          <w:u w:val="single"/>
        </w:rPr>
        <w:t>hatásosság és biztonságosság</w:t>
      </w:r>
    </w:p>
    <w:p w14:paraId="22B50622" w14:textId="77777777" w:rsidR="00D0403E" w:rsidRPr="00183B5F" w:rsidRDefault="00D0403E" w:rsidP="004062FE">
      <w:pPr>
        <w:keepNext/>
        <w:spacing w:line="240" w:lineRule="auto"/>
        <w:rPr>
          <w:szCs w:val="22"/>
          <w:u w:val="single"/>
        </w:rPr>
      </w:pPr>
    </w:p>
    <w:p w14:paraId="15B8FD47" w14:textId="77777777" w:rsidR="00D0403E" w:rsidRPr="00183B5F" w:rsidRDefault="00943743" w:rsidP="004062FE">
      <w:pPr>
        <w:keepNext/>
        <w:spacing w:line="240" w:lineRule="auto"/>
        <w:rPr>
          <w:i/>
          <w:szCs w:val="22"/>
        </w:rPr>
      </w:pPr>
      <w:r w:rsidRPr="00183B5F">
        <w:rPr>
          <w:i/>
          <w:szCs w:val="22"/>
        </w:rPr>
        <w:t>Rheumatoid arthritis</w:t>
      </w:r>
    </w:p>
    <w:p w14:paraId="74D945BC" w14:textId="77777777" w:rsidR="00D0403E" w:rsidRPr="00183B5F" w:rsidRDefault="00D0403E" w:rsidP="004062FE">
      <w:pPr>
        <w:keepNext/>
        <w:spacing w:line="240" w:lineRule="auto"/>
        <w:rPr>
          <w:szCs w:val="22"/>
          <w:u w:val="single"/>
        </w:rPr>
      </w:pPr>
    </w:p>
    <w:p w14:paraId="4E553F4C" w14:textId="77777777" w:rsidR="002047B2" w:rsidRPr="00183B5F" w:rsidRDefault="00943743" w:rsidP="004062FE">
      <w:pPr>
        <w:keepNext/>
        <w:spacing w:line="240" w:lineRule="auto"/>
        <w:rPr>
          <w:szCs w:val="22"/>
        </w:rPr>
      </w:pPr>
      <w:r w:rsidRPr="00183B5F">
        <w:rPr>
          <w:szCs w:val="22"/>
        </w:rPr>
        <w:t>A Humira</w:t>
      </w:r>
      <w:r w:rsidRPr="00183B5F">
        <w:rPr>
          <w:szCs w:val="22"/>
        </w:rPr>
        <w:noBreakHyphen/>
      </w:r>
      <w:r w:rsidRPr="00183B5F">
        <w:rPr>
          <w:szCs w:val="22"/>
        </w:rPr>
        <w:t xml:space="preserve">t több mint 3000 betegen vizsgálták az összes rheumatoid arthritisben folytatott klinikai vizsgálat során. A Humira hatásosságát és biztonságosságát öt randomizált, </w:t>
      </w:r>
      <w:r w:rsidR="00E5381A" w:rsidRPr="00183B5F">
        <w:rPr>
          <w:szCs w:val="22"/>
        </w:rPr>
        <w:t>kettős vak</w:t>
      </w:r>
      <w:r w:rsidRPr="00183B5F">
        <w:rPr>
          <w:szCs w:val="22"/>
        </w:rPr>
        <w:t xml:space="preserve"> és </w:t>
      </w:r>
      <w:r w:rsidR="008511AE" w:rsidRPr="00183B5F">
        <w:rPr>
          <w:szCs w:val="22"/>
        </w:rPr>
        <w:t>megfelelő kontrollt alka</w:t>
      </w:r>
      <w:r w:rsidR="00A32269" w:rsidRPr="00183B5F">
        <w:rPr>
          <w:szCs w:val="22"/>
        </w:rPr>
        <w:t>l</w:t>
      </w:r>
      <w:r w:rsidR="008511AE" w:rsidRPr="00183B5F">
        <w:rPr>
          <w:szCs w:val="22"/>
        </w:rPr>
        <w:t>mazó</w:t>
      </w:r>
      <w:r w:rsidRPr="00183B5F">
        <w:rPr>
          <w:szCs w:val="22"/>
        </w:rPr>
        <w:t xml:space="preserve"> vizsgálat során vizsgálták. Néhány beteg akár 120 hónapig tartó kezelést kapott.</w:t>
      </w:r>
      <w:r w:rsidR="0024208D" w:rsidRPr="00183B5F">
        <w:rPr>
          <w:szCs w:val="22"/>
        </w:rPr>
        <w:t xml:space="preserve"> </w:t>
      </w:r>
      <w:r w:rsidRPr="00183B5F">
        <w:rPr>
          <w:szCs w:val="22"/>
        </w:rPr>
        <w:t>A beadás helyén fellépő fájdalmat a Humira 40 mg/0,4 ml esetén két randomizált, aktív kontrollos, egyszer vak, két időszakból álló keresztezett vizsgálatban vizsgálták.</w:t>
      </w:r>
    </w:p>
    <w:p w14:paraId="376A2625" w14:textId="77777777" w:rsidR="00D0403E" w:rsidRPr="00183B5F" w:rsidRDefault="00D0403E" w:rsidP="004062FE">
      <w:pPr>
        <w:spacing w:line="240" w:lineRule="auto"/>
        <w:rPr>
          <w:szCs w:val="22"/>
        </w:rPr>
      </w:pPr>
    </w:p>
    <w:p w14:paraId="7E46239E" w14:textId="77777777" w:rsidR="00D0403E" w:rsidRPr="00183B5F" w:rsidRDefault="00943743" w:rsidP="004062FE">
      <w:pPr>
        <w:spacing w:line="240" w:lineRule="auto"/>
        <w:rPr>
          <w:szCs w:val="22"/>
        </w:rPr>
      </w:pPr>
      <w:r w:rsidRPr="00183B5F">
        <w:rPr>
          <w:szCs w:val="22"/>
        </w:rPr>
        <w:t>Az RA I vizsgálatban 271 beteget értékeltek. A résztvevők mind köz</w:t>
      </w:r>
      <w:r w:rsidR="00297FBD" w:rsidRPr="00183B5F">
        <w:rPr>
          <w:szCs w:val="22"/>
        </w:rPr>
        <w:t xml:space="preserve">epesen </w:t>
      </w:r>
      <w:r w:rsidRPr="00183B5F">
        <w:rPr>
          <w:szCs w:val="22"/>
        </w:rPr>
        <w:t>súlyos</w:t>
      </w:r>
      <w:r w:rsidRPr="00183B5F">
        <w:rPr>
          <w:szCs w:val="22"/>
        </w:rPr>
        <w:noBreakHyphen/>
        <w:t>súlyos aktív rheumatoid arthritisben szenvedő 18 éves és idősebb betegek voltak, akiknél legalább egy betegséget befolyásoló reumaellenes gyógyszer nem járt eredménnyel</w:t>
      </w:r>
      <w:r w:rsidR="00821DCB" w:rsidRPr="00183B5F">
        <w:rPr>
          <w:szCs w:val="22"/>
        </w:rPr>
        <w:t>,</w:t>
      </w:r>
      <w:r w:rsidRPr="00183B5F">
        <w:rPr>
          <w:szCs w:val="22"/>
        </w:rPr>
        <w:t xml:space="preserve"> és korábban a metotrexát heti 12,5</w:t>
      </w:r>
      <w:r w:rsidRPr="00183B5F">
        <w:rPr>
          <w:szCs w:val="22"/>
        </w:rPr>
        <w:noBreakHyphen/>
        <w:t>25 mg</w:t>
      </w:r>
      <w:r w:rsidR="00E5381A" w:rsidRPr="00183B5F">
        <w:rPr>
          <w:szCs w:val="22"/>
        </w:rPr>
        <w:noBreakHyphen/>
      </w:r>
      <w:r w:rsidRPr="00183B5F">
        <w:rPr>
          <w:szCs w:val="22"/>
        </w:rPr>
        <w:t>os (10 mg metotrexát</w:t>
      </w:r>
      <w:r w:rsidR="00C15C85" w:rsidRPr="00183B5F">
        <w:rPr>
          <w:szCs w:val="22"/>
        </w:rPr>
        <w:t>-</w:t>
      </w:r>
      <w:r w:rsidRPr="00183B5F">
        <w:rPr>
          <w:szCs w:val="22"/>
        </w:rPr>
        <w:t>intoleran</w:t>
      </w:r>
      <w:r w:rsidR="00C15C85" w:rsidRPr="00183B5F">
        <w:rPr>
          <w:szCs w:val="22"/>
        </w:rPr>
        <w:t>c</w:t>
      </w:r>
      <w:r w:rsidRPr="00183B5F">
        <w:rPr>
          <w:szCs w:val="22"/>
        </w:rPr>
        <w:t>ia esetén) dózisaival sem lehetett kielégítő hatást elérni, és akiknél a metotrexát dózisa a vizsgálatot megelőzően stabilan heti 10</w:t>
      </w:r>
      <w:r w:rsidRPr="00183B5F">
        <w:rPr>
          <w:szCs w:val="22"/>
        </w:rPr>
        <w:noBreakHyphen/>
        <w:t>25 mg volt. A vizsgálat során 20, 40 illetve 80 mg Humira</w:t>
      </w:r>
      <w:r w:rsidRPr="00183B5F">
        <w:rPr>
          <w:szCs w:val="22"/>
        </w:rPr>
        <w:noBreakHyphen/>
        <w:t>t vagy placebót kaptak minden második héten, 24 héten át.</w:t>
      </w:r>
    </w:p>
    <w:p w14:paraId="63D15DDB" w14:textId="77777777" w:rsidR="00D0403E" w:rsidRPr="00183B5F" w:rsidRDefault="00D0403E" w:rsidP="004062FE">
      <w:pPr>
        <w:spacing w:line="240" w:lineRule="auto"/>
        <w:rPr>
          <w:szCs w:val="22"/>
        </w:rPr>
      </w:pPr>
    </w:p>
    <w:p w14:paraId="720A8554" w14:textId="77777777" w:rsidR="00D0403E" w:rsidRPr="00183B5F" w:rsidRDefault="00943743" w:rsidP="004062FE">
      <w:pPr>
        <w:spacing w:line="240" w:lineRule="auto"/>
        <w:rPr>
          <w:szCs w:val="22"/>
        </w:rPr>
      </w:pPr>
      <w:r w:rsidRPr="00183B5F">
        <w:rPr>
          <w:szCs w:val="22"/>
        </w:rPr>
        <w:t>Az RA II vizsgálatban 544 beteget értékeltek. A betegek mind köz</w:t>
      </w:r>
      <w:r w:rsidR="00297FBD" w:rsidRPr="00183B5F">
        <w:rPr>
          <w:szCs w:val="22"/>
        </w:rPr>
        <w:t xml:space="preserve">epesen </w:t>
      </w:r>
      <w:r w:rsidRPr="00183B5F">
        <w:rPr>
          <w:szCs w:val="22"/>
        </w:rPr>
        <w:t>súlyos</w:t>
      </w:r>
      <w:r w:rsidRPr="00183B5F">
        <w:rPr>
          <w:szCs w:val="22"/>
        </w:rPr>
        <w:noBreakHyphen/>
        <w:t>súlyos rheumatoid arthritisben szenvedtek, 18 évesek vagy annál idősebbek voltak és esetükben legalább egy betegséget befolyásoló reumaellenes gyógyszer alkalmazása nem járt eredménnyel. 20</w:t>
      </w:r>
      <w:r w:rsidR="00006163" w:rsidRPr="00183B5F">
        <w:rPr>
          <w:szCs w:val="22"/>
        </w:rPr>
        <w:t>,</w:t>
      </w:r>
      <w:r w:rsidRPr="00183B5F">
        <w:rPr>
          <w:szCs w:val="22"/>
        </w:rPr>
        <w:t xml:space="preserve"> illetve 40 mg Humira</w:t>
      </w:r>
      <w:r w:rsidRPr="00183B5F">
        <w:rPr>
          <w:szCs w:val="22"/>
        </w:rPr>
        <w:noBreakHyphen/>
        <w:t>t kaptak subcutan injekció formájában minden második héten, placebóval az alternáló heteken vagy minden héten 26 héten át; illetve placebót kaptak minden héten azonos időtartamban. Egyéb betegséget befolyásoló reumaellenes gyógyszert nem kaphattak.</w:t>
      </w:r>
    </w:p>
    <w:p w14:paraId="18A9E180" w14:textId="77777777" w:rsidR="00D0403E" w:rsidRPr="00183B5F" w:rsidRDefault="00D0403E" w:rsidP="004062FE">
      <w:pPr>
        <w:spacing w:line="240" w:lineRule="auto"/>
        <w:rPr>
          <w:szCs w:val="22"/>
        </w:rPr>
      </w:pPr>
    </w:p>
    <w:p w14:paraId="483CBA40" w14:textId="77777777" w:rsidR="00D0403E" w:rsidRPr="00183B5F" w:rsidRDefault="00943743" w:rsidP="004062FE">
      <w:pPr>
        <w:pStyle w:val="BodyText"/>
        <w:spacing w:line="240" w:lineRule="auto"/>
        <w:rPr>
          <w:szCs w:val="22"/>
          <w:lang w:val="hu-HU" w:eastAsia="hu-HU"/>
        </w:rPr>
      </w:pPr>
      <w:r w:rsidRPr="00183B5F">
        <w:rPr>
          <w:lang w:val="hu-HU"/>
        </w:rPr>
        <w:t>Az RA</w:t>
      </w:r>
      <w:r w:rsidRPr="00183B5F">
        <w:rPr>
          <w:bCs/>
          <w:iCs/>
          <w:szCs w:val="22"/>
          <w:lang w:val="hu-HU"/>
        </w:rPr>
        <w:t> </w:t>
      </w:r>
      <w:r w:rsidRPr="00183B5F">
        <w:rPr>
          <w:lang w:val="hu-HU"/>
        </w:rPr>
        <w:t>III vizsgálatban 619</w:t>
      </w:r>
      <w:r w:rsidRPr="00183B5F">
        <w:rPr>
          <w:bCs/>
          <w:iCs/>
          <w:szCs w:val="22"/>
          <w:lang w:val="hu-HU"/>
        </w:rPr>
        <w:t> </w:t>
      </w:r>
      <w:r w:rsidRPr="00183B5F">
        <w:rPr>
          <w:lang w:val="hu-HU"/>
        </w:rPr>
        <w:t xml:space="preserve">közepesen súlyos és súlyos aktív rheumatoid arthritisben szenvedő, </w:t>
      </w:r>
      <w:r w:rsidRPr="00183B5F">
        <w:rPr>
          <w:rFonts w:ascii="Symbol" w:hAnsi="Symbol"/>
          <w:lang w:val="hu-HU"/>
        </w:rPr>
        <w:sym w:font="Symbol" w:char="F0B3"/>
      </w:r>
      <w:r w:rsidRPr="00183B5F">
        <w:rPr>
          <w:szCs w:val="22"/>
          <w:lang w:val="hu-HU"/>
        </w:rPr>
        <w:t> 18</w:t>
      </w:r>
      <w:r w:rsidR="00006163" w:rsidRPr="00183B5F">
        <w:rPr>
          <w:szCs w:val="22"/>
          <w:lang w:val="hu-HU"/>
        </w:rPr>
        <w:t> </w:t>
      </w:r>
      <w:r w:rsidRPr="00183B5F">
        <w:rPr>
          <w:szCs w:val="22"/>
          <w:lang w:val="hu-HU"/>
        </w:rPr>
        <w:t>éves beteget értékeltek, akik nem megfelelően reagáltak a 12,5 – 25 mg közötti metotrexát dózisokra, vagy nem tolerálták a hetenkénti 10 mg metotrexátot</w:t>
      </w:r>
      <w:r w:rsidRPr="00183B5F">
        <w:rPr>
          <w:lang w:val="hu-HU"/>
        </w:rPr>
        <w:t>. Ebben a vizsgálatban a betegeket három csoportra osztották. Az első csoportba tartozók placebo injekciót kaptak minden héten 52 héten át. A második csoport tagjai 20 mg Humira</w:t>
      </w:r>
      <w:r w:rsidRPr="00183B5F">
        <w:rPr>
          <w:bCs/>
          <w:iCs/>
          <w:szCs w:val="22"/>
          <w:lang w:val="hu-HU"/>
        </w:rPr>
        <w:noBreakHyphen/>
      </w:r>
      <w:r w:rsidRPr="00183B5F">
        <w:rPr>
          <w:lang w:val="hu-HU"/>
        </w:rPr>
        <w:t>t kaptak hetente</w:t>
      </w:r>
      <w:r w:rsidR="00006163" w:rsidRPr="00183B5F">
        <w:rPr>
          <w:lang w:val="hu-HU"/>
        </w:rPr>
        <w:t>,</w:t>
      </w:r>
      <w:r w:rsidRPr="00183B5F">
        <w:rPr>
          <w:lang w:val="hu-HU"/>
        </w:rPr>
        <w:t xml:space="preserve"> 52 héten át. A harmadik csoport 40 mg Humira</w:t>
      </w:r>
      <w:r w:rsidRPr="00183B5F">
        <w:rPr>
          <w:bCs/>
          <w:iCs/>
          <w:szCs w:val="22"/>
          <w:lang w:val="hu-HU"/>
        </w:rPr>
        <w:noBreakHyphen/>
      </w:r>
      <w:r w:rsidRPr="00183B5F">
        <w:rPr>
          <w:lang w:val="hu-HU"/>
        </w:rPr>
        <w:t>t kapott minden második h</w:t>
      </w:r>
      <w:r w:rsidRPr="00183B5F">
        <w:rPr>
          <w:lang w:val="hu-HU"/>
        </w:rPr>
        <w:t xml:space="preserve">éten és placebo injekciót az alternáló heteken. </w:t>
      </w:r>
      <w:r w:rsidRPr="00183B5F">
        <w:rPr>
          <w:bCs/>
          <w:iCs/>
          <w:szCs w:val="22"/>
          <w:lang w:val="hu-HU"/>
        </w:rPr>
        <w:t>Az első 52 hetes kezelést</w:t>
      </w:r>
      <w:r w:rsidRPr="00183B5F">
        <w:rPr>
          <w:lang w:val="hu-HU"/>
        </w:rPr>
        <w:t xml:space="preserve"> követően </w:t>
      </w:r>
      <w:r w:rsidRPr="00183B5F">
        <w:rPr>
          <w:bCs/>
          <w:iCs/>
          <w:szCs w:val="22"/>
          <w:lang w:val="hu-HU"/>
        </w:rPr>
        <w:t>457 </w:t>
      </w:r>
      <w:r w:rsidRPr="00183B5F">
        <w:rPr>
          <w:lang w:val="hu-HU"/>
        </w:rPr>
        <w:t>beteget egy nyílt, kiterjesztett fáz</w:t>
      </w:r>
      <w:r w:rsidR="001D5D6D" w:rsidRPr="00183B5F">
        <w:rPr>
          <w:lang w:val="hu-HU"/>
        </w:rPr>
        <w:t>i</w:t>
      </w:r>
      <w:r w:rsidRPr="00183B5F">
        <w:rPr>
          <w:lang w:val="hu-HU"/>
        </w:rPr>
        <w:t>sba választották be, melynek során kéthetente 40 mg Humira</w:t>
      </w:r>
      <w:r w:rsidRPr="00183B5F">
        <w:rPr>
          <w:bCs/>
          <w:iCs/>
          <w:szCs w:val="22"/>
          <w:lang w:val="hu-HU"/>
        </w:rPr>
        <w:noBreakHyphen/>
      </w:r>
      <w:r w:rsidRPr="00183B5F">
        <w:rPr>
          <w:lang w:val="hu-HU"/>
        </w:rPr>
        <w:t>t</w:t>
      </w:r>
      <w:r w:rsidRPr="00183B5F">
        <w:rPr>
          <w:bCs/>
          <w:iCs/>
          <w:szCs w:val="22"/>
          <w:lang w:val="hu-HU"/>
        </w:rPr>
        <w:t>/ metotrexátot</w:t>
      </w:r>
      <w:r w:rsidRPr="00183B5F">
        <w:rPr>
          <w:lang w:val="hu-HU"/>
        </w:rPr>
        <w:t xml:space="preserve"> kaptak, legfeljebb 10 évig.</w:t>
      </w:r>
    </w:p>
    <w:p w14:paraId="5CC1FF6B" w14:textId="77777777" w:rsidR="00D0403E" w:rsidRPr="00183B5F" w:rsidRDefault="00D0403E" w:rsidP="004062FE">
      <w:pPr>
        <w:spacing w:line="240" w:lineRule="auto"/>
        <w:rPr>
          <w:szCs w:val="22"/>
        </w:rPr>
      </w:pPr>
    </w:p>
    <w:p w14:paraId="1970815E" w14:textId="77777777" w:rsidR="00D0403E" w:rsidRPr="00183B5F" w:rsidRDefault="00943743" w:rsidP="004062FE">
      <w:pPr>
        <w:spacing w:line="240" w:lineRule="auto"/>
        <w:rPr>
          <w:szCs w:val="22"/>
        </w:rPr>
      </w:pPr>
      <w:r w:rsidRPr="00183B5F">
        <w:rPr>
          <w:szCs w:val="22"/>
        </w:rPr>
        <w:t>Az RA IV vizsgálat elsősorban a kezelés biztonságosságát volt hivatott felmérni. Ebbe a vizsgálatba 636 köz</w:t>
      </w:r>
      <w:r w:rsidR="00297FBD" w:rsidRPr="00183B5F">
        <w:rPr>
          <w:szCs w:val="22"/>
        </w:rPr>
        <w:t xml:space="preserve">epesen </w:t>
      </w:r>
      <w:r w:rsidRPr="00183B5F">
        <w:rPr>
          <w:szCs w:val="22"/>
        </w:rPr>
        <w:t>súlyos</w:t>
      </w:r>
      <w:r w:rsidRPr="00183B5F">
        <w:rPr>
          <w:szCs w:val="22"/>
        </w:rPr>
        <w:noBreakHyphen/>
        <w:t>súlyos rheumatoid arthritisben szenvedő, 18 éves és idősebb beteget vontak be. A vizsgálatban részt vevő betegek vagy soha nem szedtek betegséget befolyásoló reumaellenes szereket, vagy a korábban alkalmazott anti</w:t>
      </w:r>
      <w:r w:rsidRPr="00183B5F">
        <w:rPr>
          <w:szCs w:val="22"/>
        </w:rPr>
        <w:noBreakHyphen/>
        <w:t>rheumás kezelésüket folytatták, ha a kezelés legalább 28 napig változatlan volt. A kezelések metotrexát, leflunomid, hidroxiklorokin, szulfaszalazin és/vagy aranysók alkalmazását foglalták magukba. A betegeket 40 mg Humira vagy placebo adására randomizálták, a kezelést minden második</w:t>
      </w:r>
      <w:r w:rsidRPr="00183B5F">
        <w:rPr>
          <w:szCs w:val="22"/>
        </w:rPr>
        <w:t xml:space="preserve"> héten 24 héten át kapták.</w:t>
      </w:r>
    </w:p>
    <w:p w14:paraId="0C1FB04B" w14:textId="77777777" w:rsidR="00D0403E" w:rsidRPr="00183B5F" w:rsidRDefault="00D0403E" w:rsidP="004062FE">
      <w:pPr>
        <w:spacing w:line="240" w:lineRule="auto"/>
        <w:rPr>
          <w:szCs w:val="22"/>
        </w:rPr>
      </w:pPr>
    </w:p>
    <w:p w14:paraId="36BAE91D" w14:textId="77777777" w:rsidR="00D0403E" w:rsidRPr="00183B5F" w:rsidRDefault="00943743" w:rsidP="004062FE">
      <w:pPr>
        <w:spacing w:line="240" w:lineRule="auto"/>
        <w:rPr>
          <w:szCs w:val="22"/>
        </w:rPr>
      </w:pPr>
      <w:r w:rsidRPr="00183B5F">
        <w:rPr>
          <w:szCs w:val="22"/>
        </w:rPr>
        <w:t>Az RA V vizsgálatban felnőtt, 799 köz</w:t>
      </w:r>
      <w:r w:rsidR="00297FBD" w:rsidRPr="00183B5F">
        <w:rPr>
          <w:szCs w:val="22"/>
        </w:rPr>
        <w:t xml:space="preserve">epesen </w:t>
      </w:r>
      <w:r w:rsidRPr="00183B5F">
        <w:rPr>
          <w:szCs w:val="22"/>
        </w:rPr>
        <w:t>súlyos</w:t>
      </w:r>
      <w:r w:rsidRPr="00183B5F">
        <w:rPr>
          <w:szCs w:val="22"/>
        </w:rPr>
        <w:noBreakHyphen/>
        <w:t>súlyos, aktív</w:t>
      </w:r>
      <w:r w:rsidR="005C406C" w:rsidRPr="00183B5F">
        <w:rPr>
          <w:szCs w:val="22"/>
        </w:rPr>
        <w:t>,</w:t>
      </w:r>
      <w:r w:rsidRPr="00183B5F">
        <w:rPr>
          <w:szCs w:val="22"/>
        </w:rPr>
        <w:t xml:space="preserve"> korai (a betegség átlagos fennállási ideje kevesebb mint 9 hónap) rheumatoid arthritisben szenvedő, metotrexáttal még nem kezelt beteget vizsgáltak. A vizsgálat 104 hétig tartó időszaka alatt a kéthetente egyszer metotrexát</w:t>
      </w:r>
      <w:r w:rsidR="005C406C" w:rsidRPr="00183B5F">
        <w:rPr>
          <w:szCs w:val="22"/>
        </w:rPr>
        <w:t>-</w:t>
      </w:r>
      <w:r w:rsidRPr="00183B5F">
        <w:rPr>
          <w:szCs w:val="22"/>
        </w:rPr>
        <w:t>kombinációban adott 40 mg Humira, 40 mg Humira</w:t>
      </w:r>
      <w:r w:rsidR="005C406C" w:rsidRPr="00183B5F">
        <w:rPr>
          <w:szCs w:val="22"/>
        </w:rPr>
        <w:t>-</w:t>
      </w:r>
      <w:r w:rsidRPr="00183B5F">
        <w:rPr>
          <w:szCs w:val="22"/>
        </w:rPr>
        <w:t xml:space="preserve">monoterápia, illetve </w:t>
      </w:r>
      <w:r w:rsidR="001A6E66" w:rsidRPr="00183B5F">
        <w:rPr>
          <w:szCs w:val="22"/>
        </w:rPr>
        <w:t>metotrexát-mono</w:t>
      </w:r>
      <w:r w:rsidRPr="00183B5F">
        <w:rPr>
          <w:szCs w:val="22"/>
        </w:rPr>
        <w:t>terápia hatását vizsgálták arra vonatkozóan, hogy a betegség okozta jelek és tünetek mérséklődnek-e, illetve reumatoid arthritisb</w:t>
      </w:r>
      <w:r w:rsidR="001D5D6D" w:rsidRPr="00183B5F">
        <w:rPr>
          <w:szCs w:val="22"/>
        </w:rPr>
        <w:t>e</w:t>
      </w:r>
      <w:r w:rsidRPr="00183B5F">
        <w:rPr>
          <w:szCs w:val="22"/>
        </w:rPr>
        <w:t>n az ízületi károsodás előrehaladásának folyam</w:t>
      </w:r>
      <w:r w:rsidRPr="00183B5F">
        <w:rPr>
          <w:szCs w:val="22"/>
        </w:rPr>
        <w:t>ata csökken-e.</w:t>
      </w:r>
      <w:r w:rsidR="00042B4D" w:rsidRPr="00183B5F">
        <w:rPr>
          <w:szCs w:val="22"/>
        </w:rPr>
        <w:t xml:space="preserve"> Az el</w:t>
      </w:r>
      <w:r w:rsidR="006E4087" w:rsidRPr="00183B5F">
        <w:rPr>
          <w:szCs w:val="22"/>
        </w:rPr>
        <w:t>ső 104 hét befejezését követően 497</w:t>
      </w:r>
      <w:r w:rsidR="00042B4D" w:rsidRPr="00183B5F">
        <w:rPr>
          <w:szCs w:val="22"/>
        </w:rPr>
        <w:t xml:space="preserve"> beteget vontak be egy nyílt kiterjesztésű vizsgálatba, amelyben 40 mg Humira</w:t>
      </w:r>
      <w:r w:rsidR="00042B4D" w:rsidRPr="00183B5F">
        <w:rPr>
          <w:szCs w:val="22"/>
        </w:rPr>
        <w:noBreakHyphen/>
        <w:t>t alkalmaztak minden 2. héten</w:t>
      </w:r>
      <w:r w:rsidR="005C406C" w:rsidRPr="00183B5F">
        <w:rPr>
          <w:szCs w:val="22"/>
        </w:rPr>
        <w:t>,</w:t>
      </w:r>
      <w:r w:rsidR="00042B4D" w:rsidRPr="00183B5F">
        <w:rPr>
          <w:szCs w:val="22"/>
        </w:rPr>
        <w:t xml:space="preserve"> legfeljebb 10 évig.</w:t>
      </w:r>
    </w:p>
    <w:p w14:paraId="3B8DDC65" w14:textId="77777777" w:rsidR="00DD2F74" w:rsidRPr="00183B5F" w:rsidRDefault="00DD2F74" w:rsidP="004062FE">
      <w:pPr>
        <w:spacing w:line="240" w:lineRule="auto"/>
        <w:rPr>
          <w:szCs w:val="22"/>
        </w:rPr>
      </w:pPr>
    </w:p>
    <w:p w14:paraId="4C4CE6E2" w14:textId="77777777" w:rsidR="0024208D" w:rsidRPr="00183B5F" w:rsidRDefault="00943743" w:rsidP="004062FE">
      <w:pPr>
        <w:spacing w:line="240" w:lineRule="auto"/>
        <w:rPr>
          <w:szCs w:val="22"/>
        </w:rPr>
      </w:pPr>
      <w:r w:rsidRPr="00183B5F">
        <w:rPr>
          <w:szCs w:val="22"/>
        </w:rPr>
        <w:t xml:space="preserve">Mind az RA VI, mind az RA VII vizsgálatba 60 beteget vontak be, akik közepes súlyos </w:t>
      </w:r>
      <w:r w:rsidR="00360CD5" w:rsidRPr="00183B5F">
        <w:rPr>
          <w:szCs w:val="22"/>
        </w:rPr>
        <w:t>- súlyos</w:t>
      </w:r>
      <w:r w:rsidRPr="00183B5F">
        <w:rPr>
          <w:szCs w:val="22"/>
        </w:rPr>
        <w:t xml:space="preserve"> aktív rheumatoid arthrit</w:t>
      </w:r>
      <w:r w:rsidR="00CF3313" w:rsidRPr="00183B5F">
        <w:rPr>
          <w:szCs w:val="22"/>
        </w:rPr>
        <w:t>isben szenvedtek és legalább 18 </w:t>
      </w:r>
      <w:r w:rsidRPr="00183B5F">
        <w:rPr>
          <w:szCs w:val="22"/>
        </w:rPr>
        <w:t>évesek voltak. A bevont bet</w:t>
      </w:r>
      <w:r w:rsidR="00CF3313" w:rsidRPr="00183B5F">
        <w:rPr>
          <w:szCs w:val="22"/>
        </w:rPr>
        <w:t>egek vagy éppen akkor Humira 40 mg/0,8 </w:t>
      </w:r>
      <w:r w:rsidRPr="00183B5F">
        <w:rPr>
          <w:szCs w:val="22"/>
        </w:rPr>
        <w:t>ml terápiában részesültek és az injekció beadás helyén fellépő fájdalmat átlagosan lega</w:t>
      </w:r>
      <w:r w:rsidR="00CF3313" w:rsidRPr="00183B5F">
        <w:rPr>
          <w:szCs w:val="22"/>
        </w:rPr>
        <w:t>lább 3 cm</w:t>
      </w:r>
      <w:r w:rsidR="00360CD5" w:rsidRPr="00183B5F">
        <w:rPr>
          <w:szCs w:val="22"/>
        </w:rPr>
        <w:noBreakHyphen/>
      </w:r>
      <w:r w:rsidR="00CF3313" w:rsidRPr="00183B5F">
        <w:rPr>
          <w:szCs w:val="22"/>
        </w:rPr>
        <w:t>nek értékelték (egy 0-</w:t>
      </w:r>
      <w:r w:rsidRPr="00183B5F">
        <w:rPr>
          <w:szCs w:val="22"/>
        </w:rPr>
        <w:t>10</w:t>
      </w:r>
      <w:r w:rsidR="00CF3313" w:rsidRPr="00183B5F">
        <w:rPr>
          <w:szCs w:val="22"/>
        </w:rPr>
        <w:t>-ig</w:t>
      </w:r>
      <w:r w:rsidRPr="00183B5F">
        <w:rPr>
          <w:szCs w:val="22"/>
        </w:rPr>
        <w:t xml:space="preserve"> terjedő vizuális analóg skálán), vagy bionaív betegek voltak,</w:t>
      </w:r>
      <w:r w:rsidR="00CF3313" w:rsidRPr="00183B5F">
        <w:rPr>
          <w:szCs w:val="22"/>
        </w:rPr>
        <w:t xml:space="preserve"> akik akkor kezdték a Humira 40 mg/0,8 </w:t>
      </w:r>
      <w:r w:rsidRPr="00183B5F">
        <w:rPr>
          <w:szCs w:val="22"/>
        </w:rPr>
        <w:t>ml terápiát. A betegeket úgy randomizáltá</w:t>
      </w:r>
      <w:r w:rsidR="00CF3313" w:rsidRPr="00183B5F">
        <w:rPr>
          <w:szCs w:val="22"/>
        </w:rPr>
        <w:t>k, hogy egyszeri adag Humira 40 mg/0,</w:t>
      </w:r>
      <w:r w:rsidR="00CF3313" w:rsidRPr="00183B5F">
        <w:t>8 </w:t>
      </w:r>
      <w:r w:rsidRPr="00183B5F">
        <w:t>ml</w:t>
      </w:r>
      <w:r w:rsidR="00CF3313" w:rsidRPr="00183B5F">
        <w:rPr>
          <w:szCs w:val="22"/>
        </w:rPr>
        <w:t xml:space="preserve"> injekciót vagy Humira 40 mg/0,4 </w:t>
      </w:r>
      <w:r w:rsidRPr="00183B5F">
        <w:rPr>
          <w:szCs w:val="22"/>
        </w:rPr>
        <w:t>ml injekciót kapjanak, amelyet a következő beadásnál egyszeri adag követett a másik injekcióból.</w:t>
      </w:r>
    </w:p>
    <w:p w14:paraId="3D423DEC" w14:textId="77777777" w:rsidR="00DD2F74" w:rsidRPr="00183B5F" w:rsidRDefault="00DD2F74" w:rsidP="004062FE">
      <w:pPr>
        <w:spacing w:line="240" w:lineRule="auto"/>
        <w:rPr>
          <w:szCs w:val="22"/>
        </w:rPr>
      </w:pPr>
    </w:p>
    <w:p w14:paraId="314E6E10" w14:textId="77777777" w:rsidR="00DD2F74" w:rsidRPr="00183B5F" w:rsidRDefault="00943743" w:rsidP="004062FE">
      <w:pPr>
        <w:spacing w:line="240" w:lineRule="auto"/>
        <w:rPr>
          <w:szCs w:val="22"/>
        </w:rPr>
      </w:pPr>
      <w:r w:rsidRPr="00183B5F">
        <w:rPr>
          <w:szCs w:val="22"/>
        </w:rPr>
        <w:t>Az RA I, II, és III vizsgálatokban az elsődleges végpont, míg az RA IV vizsgálatban a másodlagos végpont azon betegek százalékos aránya volt, akiknél a 24</w:t>
      </w:r>
      <w:r w:rsidR="005D174E" w:rsidRPr="00183B5F">
        <w:rPr>
          <w:szCs w:val="22"/>
        </w:rPr>
        <w:t>,</w:t>
      </w:r>
      <w:r w:rsidRPr="00183B5F">
        <w:rPr>
          <w:szCs w:val="22"/>
        </w:rPr>
        <w:t xml:space="preserve"> illetve 26 hét leteltével kialakult az ACR 20 válasz. Az V. vizsgálatban az elsődleges végpont az ACR 50 válasz</w:t>
      </w:r>
      <w:r w:rsidR="00C67C60" w:rsidRPr="00183B5F">
        <w:rPr>
          <w:szCs w:val="22"/>
        </w:rPr>
        <w:t>t</w:t>
      </w:r>
      <w:r w:rsidRPr="00183B5F">
        <w:rPr>
          <w:szCs w:val="22"/>
        </w:rPr>
        <w:t xml:space="preserve"> adó betegek százalékos aránya volt a vizsgálat 52. hetében. Az RA III és RA V vizsgálatban további elsődleges végpontot jelentett az 52. hétre a betegség progressziójának lassulása (röntgenfelvételek alapján). Az RA III</w:t>
      </w:r>
      <w:r w:rsidR="005D174E" w:rsidRPr="00183B5F">
        <w:rPr>
          <w:szCs w:val="22"/>
        </w:rPr>
        <w:t> </w:t>
      </w:r>
      <w:r w:rsidRPr="00183B5F">
        <w:rPr>
          <w:szCs w:val="22"/>
        </w:rPr>
        <w:t>vizsgálatban elsődleges végpont volt még az életminőség megváltozása.</w:t>
      </w:r>
      <w:r w:rsidR="0024208D" w:rsidRPr="00183B5F">
        <w:rPr>
          <w:szCs w:val="22"/>
        </w:rPr>
        <w:t xml:space="preserve"> </w:t>
      </w:r>
      <w:r w:rsidRPr="00183B5F">
        <w:rPr>
          <w:szCs w:val="22"/>
        </w:rPr>
        <w:t>Az RA VI és VII vizsgálatokban a beadás helyén tapasztalt fájdalom volt az elsődleges végpont közvetlenül a</w:t>
      </w:r>
      <w:r w:rsidRPr="00183B5F">
        <w:rPr>
          <w:szCs w:val="22"/>
        </w:rPr>
        <w:t>z injekció beadását követően, egy 0</w:t>
      </w:r>
      <w:r w:rsidRPr="00183B5F">
        <w:rPr>
          <w:szCs w:val="22"/>
        </w:rPr>
        <w:noBreakHyphen/>
        <w:t>10-ig terjedő vizuális analóg skálán mérve.</w:t>
      </w:r>
    </w:p>
    <w:p w14:paraId="28E121CC" w14:textId="77777777" w:rsidR="0024208D" w:rsidRPr="00183B5F" w:rsidRDefault="0024208D" w:rsidP="004062FE">
      <w:pPr>
        <w:spacing w:line="240" w:lineRule="auto"/>
        <w:rPr>
          <w:szCs w:val="22"/>
        </w:rPr>
      </w:pPr>
    </w:p>
    <w:p w14:paraId="5FDA5B9C" w14:textId="77777777" w:rsidR="00D0403E" w:rsidRPr="00183B5F" w:rsidRDefault="00943743" w:rsidP="004062FE">
      <w:pPr>
        <w:keepNext/>
        <w:spacing w:line="240" w:lineRule="auto"/>
        <w:rPr>
          <w:i/>
          <w:szCs w:val="22"/>
          <w:u w:val="single"/>
        </w:rPr>
      </w:pPr>
      <w:r w:rsidRPr="00183B5F">
        <w:rPr>
          <w:i/>
          <w:szCs w:val="22"/>
          <w:u w:val="single"/>
        </w:rPr>
        <w:t>ACR-válasz</w:t>
      </w:r>
    </w:p>
    <w:p w14:paraId="56F95AF8" w14:textId="77777777" w:rsidR="00D0403E" w:rsidRPr="00183B5F" w:rsidRDefault="00D0403E" w:rsidP="004062FE">
      <w:pPr>
        <w:keepNext/>
        <w:spacing w:line="240" w:lineRule="auto"/>
        <w:rPr>
          <w:szCs w:val="22"/>
        </w:rPr>
      </w:pPr>
    </w:p>
    <w:p w14:paraId="3723BA21" w14:textId="77777777" w:rsidR="00D0403E" w:rsidRPr="00183B5F" w:rsidRDefault="00943743" w:rsidP="004062FE">
      <w:pPr>
        <w:keepNext/>
        <w:spacing w:line="240" w:lineRule="auto"/>
        <w:rPr>
          <w:szCs w:val="22"/>
        </w:rPr>
      </w:pPr>
      <w:r w:rsidRPr="00183B5F">
        <w:rPr>
          <w:szCs w:val="22"/>
        </w:rPr>
        <w:t>Az ACR 20, 50 vagy 70</w:t>
      </w:r>
      <w:r w:rsidRPr="00183B5F">
        <w:rPr>
          <w:szCs w:val="22"/>
        </w:rPr>
        <w:noBreakHyphen/>
        <w:t>es választ produkáló Humira</w:t>
      </w:r>
      <w:r w:rsidRPr="00183B5F">
        <w:rPr>
          <w:szCs w:val="22"/>
        </w:rPr>
        <w:noBreakHyphen/>
        <w:t>kezelt betegek százalékos aránya állandó volt az RA I, II, és III vizsgálatokban. Minden második héten adott 40 mg</w:t>
      </w:r>
      <w:r w:rsidRPr="00183B5F">
        <w:rPr>
          <w:szCs w:val="22"/>
        </w:rPr>
        <w:noBreakHyphen/>
        <w:t xml:space="preserve">os dózissal elért eredmények összefoglalása található a </w:t>
      </w:r>
      <w:r w:rsidR="00411A48" w:rsidRPr="00183B5F">
        <w:rPr>
          <w:szCs w:val="22"/>
        </w:rPr>
        <w:t>8</w:t>
      </w:r>
      <w:r w:rsidRPr="00183B5F">
        <w:rPr>
          <w:szCs w:val="22"/>
        </w:rPr>
        <w:t xml:space="preserve">. táblázatban. </w:t>
      </w:r>
    </w:p>
    <w:p w14:paraId="70A85C40" w14:textId="77777777" w:rsidR="00D0403E" w:rsidRPr="00183B5F" w:rsidRDefault="00D0403E" w:rsidP="004062FE">
      <w:pPr>
        <w:spacing w:line="240" w:lineRule="auto"/>
        <w:rPr>
          <w:szCs w:val="22"/>
        </w:rPr>
      </w:pPr>
    </w:p>
    <w:p w14:paraId="05E80268" w14:textId="77777777" w:rsidR="00D0403E" w:rsidRPr="00183B5F" w:rsidRDefault="00943743" w:rsidP="004062FE">
      <w:pPr>
        <w:keepNext/>
        <w:spacing w:line="240" w:lineRule="auto"/>
        <w:jc w:val="center"/>
        <w:rPr>
          <w:b/>
          <w:szCs w:val="22"/>
        </w:rPr>
      </w:pPr>
      <w:r w:rsidRPr="00183B5F">
        <w:rPr>
          <w:b/>
          <w:szCs w:val="22"/>
        </w:rPr>
        <w:t xml:space="preserve">8. táblázat </w:t>
      </w:r>
    </w:p>
    <w:p w14:paraId="30B10CB3" w14:textId="77777777" w:rsidR="00D0403E" w:rsidRPr="00183B5F" w:rsidRDefault="00943743" w:rsidP="004062FE">
      <w:pPr>
        <w:keepNext/>
        <w:spacing w:line="240" w:lineRule="auto"/>
        <w:jc w:val="center"/>
        <w:rPr>
          <w:b/>
          <w:szCs w:val="22"/>
        </w:rPr>
      </w:pPr>
      <w:r w:rsidRPr="00183B5F">
        <w:rPr>
          <w:b/>
          <w:szCs w:val="22"/>
        </w:rPr>
        <w:t>ACR-válasz placebokontrollos vizsgálatokban</w:t>
      </w:r>
    </w:p>
    <w:tbl>
      <w:tblPr>
        <w:tblW w:w="9214" w:type="dxa"/>
        <w:tblInd w:w="8" w:type="dxa"/>
        <w:tblLayout w:type="fixed"/>
        <w:tblCellMar>
          <w:left w:w="0" w:type="dxa"/>
          <w:right w:w="0" w:type="dxa"/>
        </w:tblCellMar>
        <w:tblLook w:val="0000" w:firstRow="0" w:lastRow="0" w:firstColumn="0" w:lastColumn="0" w:noHBand="0" w:noVBand="0"/>
      </w:tblPr>
      <w:tblGrid>
        <w:gridCol w:w="1159"/>
        <w:gridCol w:w="1393"/>
        <w:gridCol w:w="1417"/>
        <w:gridCol w:w="1071"/>
        <w:gridCol w:w="1197"/>
        <w:gridCol w:w="1418"/>
        <w:gridCol w:w="1559"/>
      </w:tblGrid>
      <w:tr w:rsidR="00011D2F" w14:paraId="7B23556F" w14:textId="77777777" w:rsidTr="00D0403E">
        <w:trPr>
          <w:cantSplit/>
          <w:tblHeader/>
        </w:trPr>
        <w:tc>
          <w:tcPr>
            <w:tcW w:w="9214" w:type="dxa"/>
            <w:gridSpan w:val="7"/>
            <w:tcBorders>
              <w:bottom w:val="single" w:sz="4" w:space="0" w:color="auto"/>
            </w:tcBorders>
          </w:tcPr>
          <w:p w14:paraId="1340FC5B" w14:textId="77777777" w:rsidR="00D0403E" w:rsidRPr="00183B5F" w:rsidRDefault="00943743" w:rsidP="004062FE">
            <w:pPr>
              <w:keepNext/>
              <w:spacing w:line="240" w:lineRule="auto"/>
              <w:jc w:val="center"/>
              <w:rPr>
                <w:b/>
                <w:bCs/>
                <w:szCs w:val="22"/>
              </w:rPr>
            </w:pPr>
            <w:r w:rsidRPr="00183B5F">
              <w:rPr>
                <w:b/>
                <w:bCs/>
                <w:szCs w:val="22"/>
              </w:rPr>
              <w:t>(Betegek százaléka)</w:t>
            </w:r>
          </w:p>
          <w:p w14:paraId="3F1DF3EB" w14:textId="77777777" w:rsidR="00D0403E" w:rsidRPr="00183B5F" w:rsidRDefault="00D0403E" w:rsidP="004062FE">
            <w:pPr>
              <w:keepNext/>
              <w:spacing w:line="240" w:lineRule="auto"/>
              <w:jc w:val="center"/>
              <w:rPr>
                <w:b/>
                <w:bCs/>
                <w:szCs w:val="22"/>
              </w:rPr>
            </w:pPr>
          </w:p>
        </w:tc>
      </w:tr>
      <w:tr w:rsidR="00011D2F" w14:paraId="0914EBAA" w14:textId="77777777" w:rsidTr="00D0403E">
        <w:trPr>
          <w:cantSplit/>
        </w:trPr>
        <w:tc>
          <w:tcPr>
            <w:tcW w:w="1159" w:type="dxa"/>
            <w:tcBorders>
              <w:top w:val="single" w:sz="4" w:space="0" w:color="auto"/>
              <w:left w:val="single" w:sz="4" w:space="0" w:color="auto"/>
              <w:bottom w:val="nil"/>
              <w:right w:val="single" w:sz="6" w:space="0" w:color="auto"/>
            </w:tcBorders>
          </w:tcPr>
          <w:p w14:paraId="15918614" w14:textId="77777777" w:rsidR="00D0403E" w:rsidRPr="00183B5F" w:rsidRDefault="00943743">
            <w:pPr>
              <w:pStyle w:val="In-texttable"/>
              <w:spacing w:line="240" w:lineRule="auto"/>
              <w:rPr>
                <w:rFonts w:ascii="Times New Roman" w:hAnsi="Times New Roman"/>
                <w:sz w:val="22"/>
                <w:szCs w:val="22"/>
                <w:lang w:val="hu-HU"/>
              </w:rPr>
            </w:pPr>
            <w:r w:rsidRPr="00183B5F">
              <w:rPr>
                <w:rFonts w:ascii="Times New Roman" w:hAnsi="Times New Roman"/>
                <w:sz w:val="22"/>
                <w:szCs w:val="22"/>
                <w:lang w:val="hu-HU"/>
              </w:rPr>
              <w:t>Válasz</w:t>
            </w:r>
          </w:p>
        </w:tc>
        <w:tc>
          <w:tcPr>
            <w:tcW w:w="2810" w:type="dxa"/>
            <w:gridSpan w:val="2"/>
            <w:tcBorders>
              <w:top w:val="single" w:sz="4" w:space="0" w:color="auto"/>
              <w:left w:val="single" w:sz="6" w:space="0" w:color="auto"/>
              <w:bottom w:val="single" w:sz="6" w:space="0" w:color="auto"/>
              <w:right w:val="single" w:sz="6" w:space="0" w:color="auto"/>
            </w:tcBorders>
          </w:tcPr>
          <w:p w14:paraId="0AD15F65" w14:textId="77777777" w:rsidR="00D0403E" w:rsidRPr="00183B5F" w:rsidRDefault="00943743">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RA I vizsgálat</w:t>
            </w:r>
            <w:r w:rsidRPr="00183B5F">
              <w:rPr>
                <w:rFonts w:ascii="Times New Roman" w:hAnsi="Times New Roman"/>
                <w:sz w:val="22"/>
                <w:szCs w:val="22"/>
                <w:vertAlign w:val="superscript"/>
                <w:lang w:val="hu-HU"/>
              </w:rPr>
              <w:t>a **</w:t>
            </w:r>
          </w:p>
        </w:tc>
        <w:tc>
          <w:tcPr>
            <w:tcW w:w="2268" w:type="dxa"/>
            <w:gridSpan w:val="2"/>
            <w:tcBorders>
              <w:top w:val="single" w:sz="4" w:space="0" w:color="auto"/>
              <w:left w:val="single" w:sz="6" w:space="0" w:color="auto"/>
              <w:bottom w:val="single" w:sz="6" w:space="0" w:color="auto"/>
              <w:right w:val="single" w:sz="6" w:space="0" w:color="auto"/>
            </w:tcBorders>
          </w:tcPr>
          <w:p w14:paraId="1D456D07" w14:textId="77777777" w:rsidR="00D0403E" w:rsidRPr="00183B5F" w:rsidRDefault="00943743">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RA II vizsgálat</w:t>
            </w:r>
            <w:r w:rsidRPr="00183B5F">
              <w:rPr>
                <w:rFonts w:ascii="Times New Roman" w:hAnsi="Times New Roman"/>
                <w:sz w:val="22"/>
                <w:szCs w:val="22"/>
                <w:vertAlign w:val="superscript"/>
                <w:lang w:val="hu-HU"/>
              </w:rPr>
              <w:t>a **</w:t>
            </w:r>
          </w:p>
        </w:tc>
        <w:tc>
          <w:tcPr>
            <w:tcW w:w="2977" w:type="dxa"/>
            <w:gridSpan w:val="2"/>
            <w:tcBorders>
              <w:top w:val="single" w:sz="4" w:space="0" w:color="auto"/>
              <w:left w:val="single" w:sz="6" w:space="0" w:color="auto"/>
              <w:bottom w:val="single" w:sz="6" w:space="0" w:color="auto"/>
              <w:right w:val="single" w:sz="4" w:space="0" w:color="auto"/>
            </w:tcBorders>
          </w:tcPr>
          <w:p w14:paraId="0B745606" w14:textId="77777777" w:rsidR="00D0403E" w:rsidRPr="00183B5F" w:rsidRDefault="00943743">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RA III Vizsgálat</w:t>
            </w:r>
            <w:r w:rsidRPr="00183B5F">
              <w:rPr>
                <w:rFonts w:ascii="Times New Roman" w:hAnsi="Times New Roman"/>
                <w:sz w:val="22"/>
                <w:szCs w:val="22"/>
                <w:vertAlign w:val="superscript"/>
                <w:lang w:val="hu-HU"/>
              </w:rPr>
              <w:t>a **</w:t>
            </w:r>
          </w:p>
        </w:tc>
      </w:tr>
      <w:tr w:rsidR="00011D2F" w14:paraId="5172D439" w14:textId="77777777" w:rsidTr="00D0403E">
        <w:trPr>
          <w:cantSplit/>
        </w:trPr>
        <w:tc>
          <w:tcPr>
            <w:tcW w:w="1159" w:type="dxa"/>
            <w:tcBorders>
              <w:top w:val="nil"/>
              <w:left w:val="single" w:sz="4" w:space="0" w:color="auto"/>
              <w:bottom w:val="single" w:sz="6" w:space="0" w:color="auto"/>
              <w:right w:val="single" w:sz="6" w:space="0" w:color="auto"/>
            </w:tcBorders>
          </w:tcPr>
          <w:p w14:paraId="02A1972D" w14:textId="77777777" w:rsidR="00D0403E" w:rsidRPr="00183B5F" w:rsidRDefault="00D0403E">
            <w:pPr>
              <w:pStyle w:val="In-texttable"/>
              <w:spacing w:line="240" w:lineRule="auto"/>
              <w:rPr>
                <w:rFonts w:ascii="Times New Roman" w:hAnsi="Times New Roman"/>
                <w:sz w:val="22"/>
                <w:szCs w:val="22"/>
                <w:lang w:val="hu-HU"/>
              </w:rPr>
            </w:pPr>
          </w:p>
        </w:tc>
        <w:tc>
          <w:tcPr>
            <w:tcW w:w="1393" w:type="dxa"/>
            <w:tcBorders>
              <w:top w:val="single" w:sz="6" w:space="0" w:color="auto"/>
              <w:left w:val="single" w:sz="6" w:space="0" w:color="auto"/>
              <w:bottom w:val="single" w:sz="6" w:space="0" w:color="auto"/>
              <w:right w:val="nil"/>
            </w:tcBorders>
          </w:tcPr>
          <w:p w14:paraId="0C315897" w14:textId="77777777" w:rsidR="00D2264C" w:rsidRPr="00183B5F" w:rsidRDefault="00943743">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 xml:space="preserve">Placebo/ </w:t>
            </w:r>
          </w:p>
          <w:p w14:paraId="5C205805" w14:textId="77777777" w:rsidR="00D0403E" w:rsidRPr="00183B5F" w:rsidRDefault="00943743">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MTX</w:t>
            </w:r>
            <w:r w:rsidRPr="00183B5F">
              <w:rPr>
                <w:rFonts w:ascii="Times New Roman" w:hAnsi="Times New Roman"/>
                <w:sz w:val="22"/>
                <w:szCs w:val="22"/>
                <w:vertAlign w:val="superscript"/>
                <w:lang w:val="hu-HU"/>
              </w:rPr>
              <w:t>c</w:t>
            </w:r>
          </w:p>
          <w:p w14:paraId="5FDDAD5E" w14:textId="77777777" w:rsidR="00D0403E" w:rsidRPr="00183B5F" w:rsidRDefault="00943743">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n</w:t>
            </w:r>
            <w:r w:rsidR="003F64BC" w:rsidRPr="00183B5F">
              <w:rPr>
                <w:rFonts w:ascii="Times New Roman" w:hAnsi="Times New Roman"/>
                <w:sz w:val="22"/>
                <w:szCs w:val="22"/>
                <w:lang w:val="hu-HU"/>
              </w:rPr>
              <w:t> </w:t>
            </w:r>
            <w:r w:rsidRPr="00183B5F">
              <w:rPr>
                <w:rFonts w:ascii="Times New Roman" w:hAnsi="Times New Roman"/>
                <w:sz w:val="22"/>
                <w:szCs w:val="22"/>
                <w:lang w:val="hu-HU"/>
              </w:rPr>
              <w:t>=</w:t>
            </w:r>
            <w:r w:rsidR="003F64BC" w:rsidRPr="00183B5F">
              <w:rPr>
                <w:rFonts w:ascii="Times New Roman" w:hAnsi="Times New Roman"/>
                <w:sz w:val="22"/>
                <w:szCs w:val="22"/>
                <w:lang w:val="hu-HU"/>
              </w:rPr>
              <w:t> </w:t>
            </w:r>
            <w:r w:rsidRPr="00183B5F">
              <w:rPr>
                <w:rFonts w:ascii="Times New Roman" w:hAnsi="Times New Roman"/>
                <w:sz w:val="22"/>
                <w:szCs w:val="22"/>
                <w:lang w:val="hu-HU"/>
              </w:rPr>
              <w:t>60</w:t>
            </w:r>
          </w:p>
        </w:tc>
        <w:tc>
          <w:tcPr>
            <w:tcW w:w="1417" w:type="dxa"/>
            <w:tcBorders>
              <w:top w:val="single" w:sz="6" w:space="0" w:color="auto"/>
              <w:left w:val="nil"/>
              <w:bottom w:val="single" w:sz="6" w:space="0" w:color="auto"/>
              <w:right w:val="single" w:sz="6" w:space="0" w:color="auto"/>
            </w:tcBorders>
          </w:tcPr>
          <w:p w14:paraId="5650DFD7" w14:textId="77777777" w:rsidR="00D0403E" w:rsidRPr="00183B5F" w:rsidRDefault="00943743">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Humira</w:t>
            </w:r>
            <w:r w:rsidRPr="00183B5F">
              <w:rPr>
                <w:rFonts w:ascii="Times New Roman" w:hAnsi="Times New Roman"/>
                <w:sz w:val="22"/>
                <w:vertAlign w:val="superscript"/>
                <w:lang w:val="hu-HU"/>
              </w:rPr>
              <w:t>b</w:t>
            </w:r>
            <w:r w:rsidRPr="00183B5F">
              <w:rPr>
                <w:rFonts w:ascii="Times New Roman" w:hAnsi="Times New Roman"/>
                <w:sz w:val="22"/>
                <w:lang w:val="hu-HU"/>
              </w:rPr>
              <w:t>/ MTX</w:t>
            </w:r>
            <w:r w:rsidRPr="00183B5F">
              <w:rPr>
                <w:rFonts w:ascii="Times New Roman" w:hAnsi="Times New Roman"/>
                <w:sz w:val="22"/>
                <w:vertAlign w:val="superscript"/>
                <w:lang w:val="hu-HU"/>
              </w:rPr>
              <w:t>c</w:t>
            </w:r>
          </w:p>
          <w:p w14:paraId="77A81C22" w14:textId="77777777" w:rsidR="00D0403E" w:rsidRPr="00183B5F" w:rsidRDefault="00943743">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n</w:t>
            </w:r>
            <w:r w:rsidR="003F64BC" w:rsidRPr="00183B5F">
              <w:rPr>
                <w:rFonts w:ascii="Times New Roman" w:hAnsi="Times New Roman"/>
                <w:sz w:val="22"/>
                <w:lang w:val="hu-HU"/>
              </w:rPr>
              <w:t> </w:t>
            </w:r>
            <w:r w:rsidRPr="00183B5F">
              <w:rPr>
                <w:rFonts w:ascii="Times New Roman" w:hAnsi="Times New Roman"/>
                <w:sz w:val="22"/>
                <w:lang w:val="hu-HU"/>
              </w:rPr>
              <w:t>=</w:t>
            </w:r>
            <w:r w:rsidR="003F64BC" w:rsidRPr="00183B5F">
              <w:rPr>
                <w:rFonts w:ascii="Times New Roman" w:hAnsi="Times New Roman"/>
                <w:sz w:val="22"/>
                <w:lang w:val="hu-HU"/>
              </w:rPr>
              <w:t> </w:t>
            </w:r>
            <w:r w:rsidRPr="00183B5F">
              <w:rPr>
                <w:rFonts w:ascii="Times New Roman" w:hAnsi="Times New Roman"/>
                <w:sz w:val="22"/>
                <w:lang w:val="hu-HU"/>
              </w:rPr>
              <w:t>63</w:t>
            </w:r>
          </w:p>
        </w:tc>
        <w:tc>
          <w:tcPr>
            <w:tcW w:w="1071" w:type="dxa"/>
            <w:tcBorders>
              <w:top w:val="single" w:sz="6" w:space="0" w:color="auto"/>
              <w:left w:val="single" w:sz="6" w:space="0" w:color="auto"/>
              <w:bottom w:val="single" w:sz="6" w:space="0" w:color="auto"/>
              <w:right w:val="nil"/>
            </w:tcBorders>
          </w:tcPr>
          <w:p w14:paraId="074C4D2D" w14:textId="77777777" w:rsidR="00D0403E" w:rsidRPr="00183B5F" w:rsidRDefault="00943743">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Placebo</w:t>
            </w:r>
          </w:p>
          <w:p w14:paraId="15395E8A" w14:textId="77777777" w:rsidR="00D0403E" w:rsidRPr="00183B5F" w:rsidRDefault="00943743">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n</w:t>
            </w:r>
            <w:r w:rsidR="003F64BC" w:rsidRPr="00183B5F">
              <w:rPr>
                <w:rFonts w:ascii="Times New Roman" w:hAnsi="Times New Roman"/>
                <w:sz w:val="22"/>
                <w:lang w:val="hu-HU"/>
              </w:rPr>
              <w:t> </w:t>
            </w:r>
            <w:r w:rsidRPr="00183B5F">
              <w:rPr>
                <w:rFonts w:ascii="Times New Roman" w:hAnsi="Times New Roman"/>
                <w:sz w:val="22"/>
                <w:lang w:val="hu-HU"/>
              </w:rPr>
              <w:t>=</w:t>
            </w:r>
            <w:r w:rsidR="003F64BC" w:rsidRPr="00183B5F">
              <w:rPr>
                <w:rFonts w:ascii="Times New Roman" w:hAnsi="Times New Roman"/>
                <w:sz w:val="22"/>
                <w:lang w:val="hu-HU"/>
              </w:rPr>
              <w:t> </w:t>
            </w:r>
            <w:r w:rsidRPr="00183B5F">
              <w:rPr>
                <w:rFonts w:ascii="Times New Roman" w:hAnsi="Times New Roman"/>
                <w:sz w:val="22"/>
                <w:lang w:val="hu-HU"/>
              </w:rPr>
              <w:t>110</w:t>
            </w:r>
          </w:p>
        </w:tc>
        <w:tc>
          <w:tcPr>
            <w:tcW w:w="1197" w:type="dxa"/>
            <w:tcBorders>
              <w:top w:val="single" w:sz="6" w:space="0" w:color="auto"/>
              <w:left w:val="nil"/>
              <w:bottom w:val="single" w:sz="6" w:space="0" w:color="auto"/>
              <w:right w:val="single" w:sz="6" w:space="0" w:color="auto"/>
            </w:tcBorders>
          </w:tcPr>
          <w:p w14:paraId="54EC8788" w14:textId="77777777" w:rsidR="00D0403E" w:rsidRPr="00183B5F" w:rsidRDefault="00943743">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Humira</w:t>
            </w:r>
            <w:r w:rsidRPr="00183B5F">
              <w:rPr>
                <w:rFonts w:ascii="Times New Roman" w:hAnsi="Times New Roman"/>
                <w:sz w:val="22"/>
                <w:vertAlign w:val="superscript"/>
                <w:lang w:val="hu-HU"/>
              </w:rPr>
              <w:t>b</w:t>
            </w:r>
          </w:p>
          <w:p w14:paraId="11185D7A" w14:textId="77777777" w:rsidR="00D0403E" w:rsidRPr="00183B5F" w:rsidRDefault="00943743">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n</w:t>
            </w:r>
            <w:r w:rsidR="003F64BC" w:rsidRPr="00183B5F">
              <w:rPr>
                <w:rFonts w:ascii="Times New Roman" w:hAnsi="Times New Roman"/>
                <w:sz w:val="22"/>
                <w:lang w:val="hu-HU"/>
              </w:rPr>
              <w:t> </w:t>
            </w:r>
            <w:r w:rsidRPr="00183B5F">
              <w:rPr>
                <w:rFonts w:ascii="Times New Roman" w:hAnsi="Times New Roman"/>
                <w:sz w:val="22"/>
                <w:lang w:val="hu-HU"/>
              </w:rPr>
              <w:t>=</w:t>
            </w:r>
            <w:r w:rsidR="003F64BC" w:rsidRPr="00183B5F">
              <w:rPr>
                <w:rFonts w:ascii="Times New Roman" w:hAnsi="Times New Roman"/>
                <w:sz w:val="22"/>
                <w:lang w:val="hu-HU"/>
              </w:rPr>
              <w:t> </w:t>
            </w:r>
            <w:r w:rsidRPr="00183B5F">
              <w:rPr>
                <w:rFonts w:ascii="Times New Roman" w:hAnsi="Times New Roman"/>
                <w:sz w:val="22"/>
                <w:lang w:val="hu-HU"/>
              </w:rPr>
              <w:t>113</w:t>
            </w:r>
          </w:p>
        </w:tc>
        <w:tc>
          <w:tcPr>
            <w:tcW w:w="1418" w:type="dxa"/>
            <w:tcBorders>
              <w:top w:val="single" w:sz="6" w:space="0" w:color="auto"/>
              <w:left w:val="single" w:sz="6" w:space="0" w:color="auto"/>
              <w:bottom w:val="single" w:sz="6" w:space="0" w:color="auto"/>
              <w:right w:val="nil"/>
            </w:tcBorders>
          </w:tcPr>
          <w:p w14:paraId="6EC6C877" w14:textId="77777777" w:rsidR="00D2264C" w:rsidRPr="00183B5F" w:rsidRDefault="00943743">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 xml:space="preserve">Placebo/ </w:t>
            </w:r>
          </w:p>
          <w:p w14:paraId="5B057171" w14:textId="77777777" w:rsidR="00D0403E" w:rsidRPr="00183B5F" w:rsidRDefault="00943743">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MTX</w:t>
            </w:r>
            <w:r w:rsidRPr="00183B5F">
              <w:rPr>
                <w:rFonts w:ascii="Times New Roman" w:hAnsi="Times New Roman"/>
                <w:sz w:val="22"/>
                <w:szCs w:val="22"/>
                <w:vertAlign w:val="superscript"/>
                <w:lang w:val="hu-HU"/>
              </w:rPr>
              <w:t>c</w:t>
            </w:r>
          </w:p>
          <w:p w14:paraId="7ADDF1C3" w14:textId="77777777" w:rsidR="00D0403E" w:rsidRPr="00183B5F" w:rsidRDefault="00943743">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n</w:t>
            </w:r>
            <w:r w:rsidR="003F64BC" w:rsidRPr="00183B5F">
              <w:rPr>
                <w:rFonts w:ascii="Times New Roman" w:hAnsi="Times New Roman"/>
                <w:sz w:val="22"/>
                <w:szCs w:val="22"/>
                <w:lang w:val="hu-HU"/>
              </w:rPr>
              <w:t> </w:t>
            </w:r>
            <w:r w:rsidRPr="00183B5F">
              <w:rPr>
                <w:rFonts w:ascii="Times New Roman" w:hAnsi="Times New Roman"/>
                <w:sz w:val="22"/>
                <w:szCs w:val="22"/>
                <w:lang w:val="hu-HU"/>
              </w:rPr>
              <w:t>=</w:t>
            </w:r>
            <w:r w:rsidR="003F64BC" w:rsidRPr="00183B5F">
              <w:rPr>
                <w:rFonts w:ascii="Times New Roman" w:hAnsi="Times New Roman"/>
                <w:sz w:val="22"/>
                <w:szCs w:val="22"/>
                <w:lang w:val="hu-HU"/>
              </w:rPr>
              <w:t> </w:t>
            </w:r>
            <w:r w:rsidRPr="00183B5F">
              <w:rPr>
                <w:rFonts w:ascii="Times New Roman" w:hAnsi="Times New Roman"/>
                <w:sz w:val="22"/>
                <w:szCs w:val="22"/>
                <w:lang w:val="hu-HU"/>
              </w:rPr>
              <w:t>200</w:t>
            </w:r>
          </w:p>
        </w:tc>
        <w:tc>
          <w:tcPr>
            <w:tcW w:w="1559" w:type="dxa"/>
            <w:tcBorders>
              <w:top w:val="single" w:sz="6" w:space="0" w:color="auto"/>
              <w:left w:val="nil"/>
              <w:bottom w:val="single" w:sz="6" w:space="0" w:color="auto"/>
              <w:right w:val="single" w:sz="4" w:space="0" w:color="auto"/>
            </w:tcBorders>
          </w:tcPr>
          <w:p w14:paraId="2F90AD64" w14:textId="77777777" w:rsidR="00D0403E" w:rsidRPr="00183B5F" w:rsidRDefault="00943743">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Humira</w:t>
            </w:r>
            <w:r w:rsidRPr="00183B5F">
              <w:rPr>
                <w:rFonts w:ascii="Times New Roman" w:hAnsi="Times New Roman"/>
                <w:sz w:val="22"/>
                <w:vertAlign w:val="superscript"/>
                <w:lang w:val="hu-HU"/>
              </w:rPr>
              <w:t>b</w:t>
            </w:r>
            <w:r w:rsidRPr="00183B5F">
              <w:rPr>
                <w:rFonts w:ascii="Times New Roman" w:hAnsi="Times New Roman"/>
                <w:sz w:val="22"/>
                <w:lang w:val="hu-HU"/>
              </w:rPr>
              <w:t>/ MTX</w:t>
            </w:r>
            <w:r w:rsidRPr="00183B5F">
              <w:rPr>
                <w:rFonts w:ascii="Times New Roman" w:hAnsi="Times New Roman"/>
                <w:sz w:val="22"/>
                <w:vertAlign w:val="superscript"/>
                <w:lang w:val="hu-HU"/>
              </w:rPr>
              <w:t>c</w:t>
            </w:r>
          </w:p>
          <w:p w14:paraId="5C58B05D" w14:textId="77777777" w:rsidR="00D0403E" w:rsidRPr="00183B5F" w:rsidRDefault="00943743">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n</w:t>
            </w:r>
            <w:r w:rsidR="003F64BC" w:rsidRPr="00183B5F">
              <w:rPr>
                <w:rFonts w:ascii="Times New Roman" w:hAnsi="Times New Roman"/>
                <w:sz w:val="22"/>
                <w:lang w:val="hu-HU"/>
              </w:rPr>
              <w:t> </w:t>
            </w:r>
            <w:r w:rsidRPr="00183B5F">
              <w:rPr>
                <w:rFonts w:ascii="Times New Roman" w:hAnsi="Times New Roman"/>
                <w:sz w:val="22"/>
                <w:lang w:val="hu-HU"/>
              </w:rPr>
              <w:t>=</w:t>
            </w:r>
            <w:r w:rsidR="003F64BC" w:rsidRPr="00183B5F">
              <w:rPr>
                <w:rFonts w:ascii="Times New Roman" w:hAnsi="Times New Roman"/>
                <w:sz w:val="22"/>
                <w:lang w:val="hu-HU"/>
              </w:rPr>
              <w:t> </w:t>
            </w:r>
            <w:r w:rsidRPr="00183B5F">
              <w:rPr>
                <w:rFonts w:ascii="Times New Roman" w:hAnsi="Times New Roman"/>
                <w:sz w:val="22"/>
                <w:lang w:val="hu-HU"/>
              </w:rPr>
              <w:t>207</w:t>
            </w:r>
          </w:p>
        </w:tc>
      </w:tr>
      <w:tr w:rsidR="00011D2F" w14:paraId="1389962C" w14:textId="77777777" w:rsidTr="00D0403E">
        <w:trPr>
          <w:cantSplit/>
        </w:trPr>
        <w:tc>
          <w:tcPr>
            <w:tcW w:w="1159" w:type="dxa"/>
            <w:tcBorders>
              <w:top w:val="nil"/>
              <w:left w:val="single" w:sz="4" w:space="0" w:color="auto"/>
              <w:bottom w:val="nil"/>
              <w:right w:val="single" w:sz="6" w:space="0" w:color="auto"/>
            </w:tcBorders>
          </w:tcPr>
          <w:p w14:paraId="3D4472E3" w14:textId="77777777" w:rsidR="00D0403E" w:rsidRPr="00183B5F" w:rsidRDefault="00943743">
            <w:pPr>
              <w:pStyle w:val="In-texttable"/>
              <w:tabs>
                <w:tab w:val="left" w:pos="144"/>
              </w:tabs>
              <w:spacing w:line="240" w:lineRule="auto"/>
              <w:rPr>
                <w:rFonts w:ascii="Times New Roman" w:hAnsi="Times New Roman"/>
                <w:sz w:val="22"/>
                <w:lang w:val="hu-HU"/>
              </w:rPr>
            </w:pPr>
            <w:r w:rsidRPr="00183B5F">
              <w:rPr>
                <w:rFonts w:ascii="Times New Roman" w:hAnsi="Times New Roman"/>
                <w:sz w:val="22"/>
                <w:lang w:val="hu-HU"/>
              </w:rPr>
              <w:t>ACR 20</w:t>
            </w:r>
          </w:p>
        </w:tc>
        <w:tc>
          <w:tcPr>
            <w:tcW w:w="1393" w:type="dxa"/>
            <w:tcBorders>
              <w:top w:val="nil"/>
              <w:left w:val="single" w:sz="6" w:space="0" w:color="auto"/>
              <w:bottom w:val="nil"/>
              <w:right w:val="nil"/>
            </w:tcBorders>
          </w:tcPr>
          <w:p w14:paraId="05F842B0" w14:textId="77777777" w:rsidR="00D0403E" w:rsidRPr="00183B5F" w:rsidRDefault="00D0403E">
            <w:pPr>
              <w:pStyle w:val="In-texttable"/>
              <w:spacing w:line="240" w:lineRule="auto"/>
              <w:jc w:val="center"/>
              <w:rPr>
                <w:rFonts w:ascii="Times New Roman" w:hAnsi="Times New Roman"/>
                <w:sz w:val="22"/>
                <w:lang w:val="hu-HU"/>
              </w:rPr>
            </w:pPr>
          </w:p>
        </w:tc>
        <w:tc>
          <w:tcPr>
            <w:tcW w:w="1417" w:type="dxa"/>
            <w:tcBorders>
              <w:top w:val="nil"/>
              <w:left w:val="nil"/>
              <w:bottom w:val="nil"/>
              <w:right w:val="single" w:sz="6" w:space="0" w:color="auto"/>
            </w:tcBorders>
          </w:tcPr>
          <w:p w14:paraId="202313B6" w14:textId="77777777" w:rsidR="00D0403E" w:rsidRPr="00183B5F" w:rsidRDefault="00D0403E">
            <w:pPr>
              <w:pStyle w:val="In-texttable"/>
              <w:spacing w:line="240" w:lineRule="auto"/>
              <w:jc w:val="center"/>
              <w:rPr>
                <w:rFonts w:ascii="Times New Roman" w:hAnsi="Times New Roman"/>
                <w:sz w:val="22"/>
                <w:lang w:val="hu-HU"/>
              </w:rPr>
            </w:pPr>
          </w:p>
        </w:tc>
        <w:tc>
          <w:tcPr>
            <w:tcW w:w="1071" w:type="dxa"/>
            <w:tcBorders>
              <w:top w:val="nil"/>
              <w:left w:val="single" w:sz="6" w:space="0" w:color="auto"/>
              <w:bottom w:val="nil"/>
              <w:right w:val="nil"/>
            </w:tcBorders>
          </w:tcPr>
          <w:p w14:paraId="7CB7E250" w14:textId="77777777" w:rsidR="00D0403E" w:rsidRPr="00183B5F" w:rsidRDefault="00D0403E">
            <w:pPr>
              <w:pStyle w:val="In-texttable"/>
              <w:spacing w:line="240" w:lineRule="auto"/>
              <w:jc w:val="center"/>
              <w:rPr>
                <w:rFonts w:ascii="Times New Roman" w:hAnsi="Times New Roman"/>
                <w:sz w:val="22"/>
                <w:lang w:val="hu-HU"/>
              </w:rPr>
            </w:pPr>
          </w:p>
        </w:tc>
        <w:tc>
          <w:tcPr>
            <w:tcW w:w="1197" w:type="dxa"/>
            <w:tcBorders>
              <w:top w:val="nil"/>
              <w:left w:val="nil"/>
              <w:bottom w:val="nil"/>
              <w:right w:val="single" w:sz="6" w:space="0" w:color="auto"/>
            </w:tcBorders>
          </w:tcPr>
          <w:p w14:paraId="357215EB" w14:textId="77777777" w:rsidR="00D0403E" w:rsidRPr="00183B5F" w:rsidRDefault="00D0403E">
            <w:pPr>
              <w:pStyle w:val="In-texttable"/>
              <w:spacing w:line="240" w:lineRule="auto"/>
              <w:jc w:val="center"/>
              <w:rPr>
                <w:rFonts w:ascii="Times New Roman" w:hAnsi="Times New Roman"/>
                <w:sz w:val="22"/>
                <w:lang w:val="hu-HU"/>
              </w:rPr>
            </w:pPr>
          </w:p>
        </w:tc>
        <w:tc>
          <w:tcPr>
            <w:tcW w:w="1418" w:type="dxa"/>
            <w:tcBorders>
              <w:top w:val="single" w:sz="6" w:space="0" w:color="auto"/>
              <w:left w:val="single" w:sz="6" w:space="0" w:color="auto"/>
              <w:bottom w:val="nil"/>
              <w:right w:val="nil"/>
            </w:tcBorders>
          </w:tcPr>
          <w:p w14:paraId="74BF9FC6" w14:textId="77777777" w:rsidR="00D0403E" w:rsidRPr="00183B5F" w:rsidRDefault="00D0403E">
            <w:pPr>
              <w:pStyle w:val="In-texttable"/>
              <w:spacing w:line="240" w:lineRule="auto"/>
              <w:jc w:val="center"/>
              <w:rPr>
                <w:rFonts w:ascii="Times New Roman" w:hAnsi="Times New Roman"/>
                <w:sz w:val="22"/>
                <w:lang w:val="hu-HU"/>
              </w:rPr>
            </w:pPr>
          </w:p>
        </w:tc>
        <w:tc>
          <w:tcPr>
            <w:tcW w:w="1559" w:type="dxa"/>
            <w:tcBorders>
              <w:top w:val="single" w:sz="6" w:space="0" w:color="auto"/>
              <w:left w:val="nil"/>
              <w:bottom w:val="nil"/>
              <w:right w:val="single" w:sz="4" w:space="0" w:color="auto"/>
            </w:tcBorders>
          </w:tcPr>
          <w:p w14:paraId="7661731A" w14:textId="77777777" w:rsidR="00D0403E" w:rsidRPr="00183B5F" w:rsidRDefault="00D0403E">
            <w:pPr>
              <w:pStyle w:val="In-texttable"/>
              <w:spacing w:line="240" w:lineRule="auto"/>
              <w:jc w:val="center"/>
              <w:rPr>
                <w:rFonts w:ascii="Times New Roman" w:hAnsi="Times New Roman"/>
                <w:sz w:val="22"/>
                <w:lang w:val="hu-HU"/>
              </w:rPr>
            </w:pPr>
          </w:p>
        </w:tc>
      </w:tr>
      <w:tr w:rsidR="00011D2F" w14:paraId="3F34CA79" w14:textId="77777777" w:rsidTr="00D0403E">
        <w:trPr>
          <w:cantSplit/>
        </w:trPr>
        <w:tc>
          <w:tcPr>
            <w:tcW w:w="1159" w:type="dxa"/>
            <w:tcBorders>
              <w:top w:val="nil"/>
              <w:left w:val="single" w:sz="4" w:space="0" w:color="auto"/>
              <w:bottom w:val="nil"/>
              <w:right w:val="single" w:sz="6" w:space="0" w:color="auto"/>
            </w:tcBorders>
          </w:tcPr>
          <w:p w14:paraId="2052D4DA" w14:textId="77777777" w:rsidR="00D0403E" w:rsidRPr="00183B5F" w:rsidRDefault="00943743">
            <w:pPr>
              <w:pStyle w:val="In-texttable"/>
              <w:tabs>
                <w:tab w:val="left" w:pos="144"/>
              </w:tabs>
              <w:spacing w:line="240" w:lineRule="auto"/>
              <w:rPr>
                <w:rFonts w:ascii="Times New Roman" w:hAnsi="Times New Roman"/>
                <w:sz w:val="22"/>
                <w:lang w:val="hu-HU"/>
              </w:rPr>
            </w:pPr>
            <w:r w:rsidRPr="00183B5F">
              <w:rPr>
                <w:rFonts w:ascii="Times New Roman" w:hAnsi="Times New Roman"/>
                <w:sz w:val="22"/>
                <w:lang w:val="hu-HU"/>
              </w:rPr>
              <w:tab/>
              <w:t>6 hónap</w:t>
            </w:r>
          </w:p>
        </w:tc>
        <w:tc>
          <w:tcPr>
            <w:tcW w:w="1393" w:type="dxa"/>
            <w:tcBorders>
              <w:top w:val="nil"/>
              <w:left w:val="single" w:sz="6" w:space="0" w:color="auto"/>
              <w:bottom w:val="nil"/>
              <w:right w:val="nil"/>
            </w:tcBorders>
          </w:tcPr>
          <w:p w14:paraId="24BC71E2" w14:textId="77777777" w:rsidR="00D0403E" w:rsidRPr="00183B5F" w:rsidRDefault="00943743">
            <w:pPr>
              <w:pStyle w:val="In-texttable"/>
              <w:tabs>
                <w:tab w:val="decimal" w:pos="259"/>
              </w:tabs>
              <w:spacing w:line="240" w:lineRule="auto"/>
              <w:jc w:val="center"/>
              <w:rPr>
                <w:rFonts w:ascii="Times New Roman" w:hAnsi="Times New Roman"/>
                <w:sz w:val="22"/>
                <w:lang w:val="hu-HU"/>
              </w:rPr>
            </w:pPr>
            <w:r w:rsidRPr="00183B5F">
              <w:rPr>
                <w:rFonts w:ascii="Times New Roman" w:hAnsi="Times New Roman"/>
                <w:sz w:val="22"/>
                <w:lang w:val="hu-HU"/>
              </w:rPr>
              <w:t>13,3%</w:t>
            </w:r>
          </w:p>
        </w:tc>
        <w:tc>
          <w:tcPr>
            <w:tcW w:w="1417" w:type="dxa"/>
            <w:tcBorders>
              <w:top w:val="nil"/>
              <w:left w:val="nil"/>
              <w:bottom w:val="nil"/>
              <w:right w:val="single" w:sz="6" w:space="0" w:color="auto"/>
            </w:tcBorders>
          </w:tcPr>
          <w:p w14:paraId="6C69B7E7" w14:textId="77777777" w:rsidR="00D0403E" w:rsidRPr="00183B5F" w:rsidRDefault="00943743">
            <w:pPr>
              <w:pStyle w:val="In-texttable"/>
              <w:tabs>
                <w:tab w:val="decimal" w:pos="250"/>
              </w:tabs>
              <w:spacing w:line="240" w:lineRule="auto"/>
              <w:jc w:val="center"/>
              <w:rPr>
                <w:rFonts w:ascii="Times New Roman" w:hAnsi="Times New Roman"/>
                <w:sz w:val="22"/>
                <w:lang w:val="hu-HU"/>
              </w:rPr>
            </w:pPr>
            <w:r w:rsidRPr="00183B5F">
              <w:rPr>
                <w:rFonts w:ascii="Times New Roman" w:hAnsi="Times New Roman"/>
                <w:sz w:val="22"/>
                <w:lang w:val="hu-HU"/>
              </w:rPr>
              <w:t>65,1%</w:t>
            </w:r>
          </w:p>
        </w:tc>
        <w:tc>
          <w:tcPr>
            <w:tcW w:w="1071" w:type="dxa"/>
            <w:tcBorders>
              <w:top w:val="nil"/>
              <w:left w:val="single" w:sz="6" w:space="0" w:color="auto"/>
              <w:bottom w:val="nil"/>
              <w:right w:val="nil"/>
            </w:tcBorders>
          </w:tcPr>
          <w:p w14:paraId="2EC0F9BA" w14:textId="77777777" w:rsidR="00D0403E" w:rsidRPr="00183B5F" w:rsidRDefault="00943743">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19,1%</w:t>
            </w:r>
          </w:p>
        </w:tc>
        <w:tc>
          <w:tcPr>
            <w:tcW w:w="1197" w:type="dxa"/>
            <w:tcBorders>
              <w:top w:val="nil"/>
              <w:left w:val="nil"/>
              <w:bottom w:val="nil"/>
              <w:right w:val="single" w:sz="6" w:space="0" w:color="auto"/>
            </w:tcBorders>
          </w:tcPr>
          <w:p w14:paraId="3C39221F" w14:textId="77777777" w:rsidR="00D0403E" w:rsidRPr="00183B5F" w:rsidRDefault="00943743">
            <w:pPr>
              <w:pStyle w:val="In-texttable"/>
              <w:tabs>
                <w:tab w:val="decimal" w:pos="205"/>
              </w:tabs>
              <w:spacing w:line="240" w:lineRule="auto"/>
              <w:jc w:val="center"/>
              <w:rPr>
                <w:rFonts w:ascii="Times New Roman" w:hAnsi="Times New Roman"/>
                <w:sz w:val="22"/>
                <w:lang w:val="hu-HU"/>
              </w:rPr>
            </w:pPr>
            <w:r w:rsidRPr="00183B5F">
              <w:rPr>
                <w:rFonts w:ascii="Times New Roman" w:hAnsi="Times New Roman"/>
                <w:sz w:val="22"/>
                <w:lang w:val="hu-HU"/>
              </w:rPr>
              <w:t>46,0%</w:t>
            </w:r>
          </w:p>
        </w:tc>
        <w:tc>
          <w:tcPr>
            <w:tcW w:w="1418" w:type="dxa"/>
            <w:tcBorders>
              <w:top w:val="nil"/>
              <w:left w:val="single" w:sz="6" w:space="0" w:color="auto"/>
              <w:bottom w:val="nil"/>
              <w:right w:val="nil"/>
            </w:tcBorders>
          </w:tcPr>
          <w:p w14:paraId="76DED906" w14:textId="77777777" w:rsidR="00D0403E" w:rsidRPr="00183B5F" w:rsidRDefault="00943743">
            <w:pPr>
              <w:pStyle w:val="In-texttable"/>
              <w:tabs>
                <w:tab w:val="decimal" w:pos="144"/>
              </w:tabs>
              <w:spacing w:line="240" w:lineRule="auto"/>
              <w:jc w:val="center"/>
              <w:rPr>
                <w:rFonts w:ascii="Times New Roman" w:hAnsi="Times New Roman"/>
                <w:sz w:val="22"/>
                <w:lang w:val="hu-HU"/>
              </w:rPr>
            </w:pPr>
            <w:r w:rsidRPr="00183B5F">
              <w:rPr>
                <w:rFonts w:ascii="Times New Roman" w:hAnsi="Times New Roman"/>
                <w:sz w:val="22"/>
                <w:lang w:val="hu-HU"/>
              </w:rPr>
              <w:t>29,5%</w:t>
            </w:r>
          </w:p>
        </w:tc>
        <w:tc>
          <w:tcPr>
            <w:tcW w:w="1559" w:type="dxa"/>
            <w:tcBorders>
              <w:right w:val="single" w:sz="4" w:space="0" w:color="auto"/>
            </w:tcBorders>
          </w:tcPr>
          <w:p w14:paraId="5E38AC3F" w14:textId="77777777" w:rsidR="00D0403E" w:rsidRPr="00183B5F" w:rsidRDefault="00943743">
            <w:pPr>
              <w:pStyle w:val="In-texttable"/>
              <w:tabs>
                <w:tab w:val="decimal" w:pos="95"/>
              </w:tabs>
              <w:spacing w:line="240" w:lineRule="auto"/>
              <w:jc w:val="center"/>
              <w:rPr>
                <w:rFonts w:ascii="Times New Roman" w:hAnsi="Times New Roman"/>
                <w:sz w:val="22"/>
                <w:lang w:val="hu-HU"/>
              </w:rPr>
            </w:pPr>
            <w:r w:rsidRPr="00183B5F">
              <w:rPr>
                <w:rFonts w:ascii="Times New Roman" w:hAnsi="Times New Roman"/>
                <w:sz w:val="22"/>
                <w:lang w:val="hu-HU"/>
              </w:rPr>
              <w:t>63,3%</w:t>
            </w:r>
          </w:p>
        </w:tc>
      </w:tr>
      <w:tr w:rsidR="00011D2F" w14:paraId="1803E17F" w14:textId="77777777" w:rsidTr="00D0403E">
        <w:trPr>
          <w:cantSplit/>
        </w:trPr>
        <w:tc>
          <w:tcPr>
            <w:tcW w:w="1159" w:type="dxa"/>
            <w:tcBorders>
              <w:top w:val="nil"/>
              <w:left w:val="single" w:sz="4" w:space="0" w:color="auto"/>
              <w:bottom w:val="nil"/>
              <w:right w:val="single" w:sz="6" w:space="0" w:color="auto"/>
            </w:tcBorders>
          </w:tcPr>
          <w:p w14:paraId="674858C6" w14:textId="77777777" w:rsidR="00D0403E" w:rsidRPr="00183B5F" w:rsidRDefault="00943743">
            <w:pPr>
              <w:pStyle w:val="In-texttable"/>
              <w:tabs>
                <w:tab w:val="left" w:pos="144"/>
              </w:tabs>
              <w:spacing w:line="240" w:lineRule="auto"/>
              <w:rPr>
                <w:rFonts w:ascii="Times New Roman" w:hAnsi="Times New Roman"/>
                <w:sz w:val="22"/>
                <w:lang w:val="hu-HU"/>
              </w:rPr>
            </w:pPr>
            <w:r w:rsidRPr="00183B5F">
              <w:rPr>
                <w:rFonts w:ascii="Times New Roman" w:hAnsi="Times New Roman"/>
                <w:sz w:val="22"/>
                <w:lang w:val="hu-HU"/>
              </w:rPr>
              <w:tab/>
              <w:t>12 hónap</w:t>
            </w:r>
          </w:p>
        </w:tc>
        <w:tc>
          <w:tcPr>
            <w:tcW w:w="1393" w:type="dxa"/>
            <w:tcBorders>
              <w:top w:val="nil"/>
              <w:left w:val="single" w:sz="6" w:space="0" w:color="auto"/>
              <w:bottom w:val="nil"/>
              <w:right w:val="nil"/>
            </w:tcBorders>
          </w:tcPr>
          <w:p w14:paraId="5D829572" w14:textId="77777777" w:rsidR="00D0403E" w:rsidRPr="00183B5F" w:rsidRDefault="00943743">
            <w:pPr>
              <w:pStyle w:val="In-texttable"/>
              <w:tabs>
                <w:tab w:val="decimal" w:pos="259"/>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417" w:type="dxa"/>
            <w:tcBorders>
              <w:top w:val="nil"/>
              <w:left w:val="nil"/>
              <w:bottom w:val="nil"/>
              <w:right w:val="single" w:sz="6" w:space="0" w:color="auto"/>
            </w:tcBorders>
          </w:tcPr>
          <w:p w14:paraId="75AC175E" w14:textId="77777777" w:rsidR="00D0403E" w:rsidRPr="00183B5F" w:rsidRDefault="00943743">
            <w:pPr>
              <w:pStyle w:val="In-texttable"/>
              <w:tabs>
                <w:tab w:val="decimal" w:pos="250"/>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071" w:type="dxa"/>
            <w:tcBorders>
              <w:top w:val="nil"/>
              <w:left w:val="single" w:sz="6" w:space="0" w:color="auto"/>
              <w:bottom w:val="nil"/>
              <w:right w:val="nil"/>
            </w:tcBorders>
          </w:tcPr>
          <w:p w14:paraId="660972FF" w14:textId="77777777" w:rsidR="00D0403E" w:rsidRPr="00183B5F" w:rsidRDefault="00943743">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197" w:type="dxa"/>
            <w:tcBorders>
              <w:top w:val="nil"/>
              <w:left w:val="nil"/>
              <w:bottom w:val="nil"/>
              <w:right w:val="single" w:sz="6" w:space="0" w:color="auto"/>
            </w:tcBorders>
          </w:tcPr>
          <w:p w14:paraId="138D989A" w14:textId="77777777" w:rsidR="00D0403E" w:rsidRPr="00183B5F" w:rsidRDefault="00943743">
            <w:pPr>
              <w:pStyle w:val="In-texttable"/>
              <w:tabs>
                <w:tab w:val="decimal" w:pos="205"/>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418" w:type="dxa"/>
            <w:tcBorders>
              <w:top w:val="nil"/>
              <w:left w:val="single" w:sz="6" w:space="0" w:color="auto"/>
              <w:bottom w:val="nil"/>
              <w:right w:val="nil"/>
            </w:tcBorders>
          </w:tcPr>
          <w:p w14:paraId="3A23F801" w14:textId="77777777" w:rsidR="00D0403E" w:rsidRPr="00183B5F" w:rsidRDefault="00943743">
            <w:pPr>
              <w:pStyle w:val="In-texttable"/>
              <w:tabs>
                <w:tab w:val="decimal" w:pos="144"/>
              </w:tabs>
              <w:spacing w:line="240" w:lineRule="auto"/>
              <w:jc w:val="center"/>
              <w:rPr>
                <w:rFonts w:ascii="Times New Roman" w:hAnsi="Times New Roman"/>
                <w:sz w:val="22"/>
                <w:lang w:val="hu-HU"/>
              </w:rPr>
            </w:pPr>
            <w:r w:rsidRPr="00183B5F">
              <w:rPr>
                <w:rFonts w:ascii="Times New Roman" w:hAnsi="Times New Roman"/>
                <w:sz w:val="22"/>
                <w:lang w:val="hu-HU"/>
              </w:rPr>
              <w:t>24,0%</w:t>
            </w:r>
          </w:p>
        </w:tc>
        <w:tc>
          <w:tcPr>
            <w:tcW w:w="1559" w:type="dxa"/>
            <w:tcBorders>
              <w:right w:val="single" w:sz="4" w:space="0" w:color="auto"/>
            </w:tcBorders>
          </w:tcPr>
          <w:p w14:paraId="10EE10B6" w14:textId="77777777" w:rsidR="00D0403E" w:rsidRPr="00183B5F" w:rsidRDefault="00943743">
            <w:pPr>
              <w:pStyle w:val="In-texttable"/>
              <w:tabs>
                <w:tab w:val="decimal" w:pos="95"/>
              </w:tabs>
              <w:spacing w:line="240" w:lineRule="auto"/>
              <w:jc w:val="center"/>
              <w:rPr>
                <w:rFonts w:ascii="Times New Roman" w:hAnsi="Times New Roman"/>
                <w:sz w:val="22"/>
                <w:lang w:val="hu-HU"/>
              </w:rPr>
            </w:pPr>
            <w:r w:rsidRPr="00183B5F">
              <w:rPr>
                <w:rFonts w:ascii="Times New Roman" w:hAnsi="Times New Roman"/>
                <w:sz w:val="22"/>
                <w:lang w:val="hu-HU"/>
              </w:rPr>
              <w:t>58,9%</w:t>
            </w:r>
          </w:p>
        </w:tc>
      </w:tr>
      <w:tr w:rsidR="00011D2F" w14:paraId="141F2687" w14:textId="77777777" w:rsidTr="00D0403E">
        <w:trPr>
          <w:cantSplit/>
        </w:trPr>
        <w:tc>
          <w:tcPr>
            <w:tcW w:w="1159" w:type="dxa"/>
            <w:tcBorders>
              <w:top w:val="nil"/>
              <w:left w:val="single" w:sz="4" w:space="0" w:color="auto"/>
              <w:bottom w:val="nil"/>
              <w:right w:val="single" w:sz="6" w:space="0" w:color="auto"/>
            </w:tcBorders>
          </w:tcPr>
          <w:p w14:paraId="67EE94A2" w14:textId="77777777" w:rsidR="00D0403E" w:rsidRPr="00183B5F" w:rsidRDefault="00943743">
            <w:pPr>
              <w:pStyle w:val="In-texttable"/>
              <w:tabs>
                <w:tab w:val="left" w:pos="144"/>
              </w:tabs>
              <w:spacing w:line="240" w:lineRule="auto"/>
              <w:rPr>
                <w:rFonts w:ascii="Times New Roman" w:hAnsi="Times New Roman"/>
                <w:sz w:val="22"/>
                <w:lang w:val="hu-HU"/>
              </w:rPr>
            </w:pPr>
            <w:r w:rsidRPr="00183B5F">
              <w:rPr>
                <w:rFonts w:ascii="Times New Roman" w:hAnsi="Times New Roman"/>
                <w:sz w:val="22"/>
                <w:lang w:val="hu-HU"/>
              </w:rPr>
              <w:t>ACR 50</w:t>
            </w:r>
          </w:p>
        </w:tc>
        <w:tc>
          <w:tcPr>
            <w:tcW w:w="1393" w:type="dxa"/>
            <w:tcBorders>
              <w:top w:val="nil"/>
              <w:left w:val="single" w:sz="6" w:space="0" w:color="auto"/>
              <w:bottom w:val="nil"/>
              <w:right w:val="nil"/>
            </w:tcBorders>
          </w:tcPr>
          <w:p w14:paraId="46C90057" w14:textId="77777777" w:rsidR="00D0403E" w:rsidRPr="00183B5F" w:rsidRDefault="00D0403E">
            <w:pPr>
              <w:pStyle w:val="In-texttable"/>
              <w:tabs>
                <w:tab w:val="decimal" w:pos="259"/>
              </w:tabs>
              <w:spacing w:line="240" w:lineRule="auto"/>
              <w:jc w:val="center"/>
              <w:rPr>
                <w:rFonts w:ascii="Times New Roman" w:hAnsi="Times New Roman"/>
                <w:sz w:val="22"/>
                <w:lang w:val="hu-HU"/>
              </w:rPr>
            </w:pPr>
          </w:p>
        </w:tc>
        <w:tc>
          <w:tcPr>
            <w:tcW w:w="1417" w:type="dxa"/>
            <w:tcBorders>
              <w:top w:val="nil"/>
              <w:left w:val="nil"/>
              <w:bottom w:val="nil"/>
              <w:right w:val="single" w:sz="6" w:space="0" w:color="auto"/>
            </w:tcBorders>
          </w:tcPr>
          <w:p w14:paraId="281EDC41" w14:textId="77777777" w:rsidR="00D0403E" w:rsidRPr="00183B5F" w:rsidRDefault="00D0403E">
            <w:pPr>
              <w:pStyle w:val="In-texttable"/>
              <w:tabs>
                <w:tab w:val="decimal" w:pos="250"/>
              </w:tabs>
              <w:spacing w:line="240" w:lineRule="auto"/>
              <w:jc w:val="center"/>
              <w:rPr>
                <w:rFonts w:ascii="Times New Roman" w:hAnsi="Times New Roman"/>
                <w:sz w:val="22"/>
                <w:lang w:val="hu-HU"/>
              </w:rPr>
            </w:pPr>
          </w:p>
        </w:tc>
        <w:tc>
          <w:tcPr>
            <w:tcW w:w="1071" w:type="dxa"/>
            <w:tcBorders>
              <w:top w:val="nil"/>
              <w:left w:val="single" w:sz="6" w:space="0" w:color="auto"/>
              <w:bottom w:val="nil"/>
              <w:right w:val="nil"/>
            </w:tcBorders>
          </w:tcPr>
          <w:p w14:paraId="42F46A80" w14:textId="77777777" w:rsidR="00D0403E" w:rsidRPr="00183B5F" w:rsidRDefault="00D0403E">
            <w:pPr>
              <w:pStyle w:val="In-texttable"/>
              <w:spacing w:line="240" w:lineRule="auto"/>
              <w:jc w:val="center"/>
              <w:rPr>
                <w:rFonts w:ascii="Times New Roman" w:hAnsi="Times New Roman"/>
                <w:sz w:val="22"/>
                <w:lang w:val="hu-HU"/>
              </w:rPr>
            </w:pPr>
          </w:p>
        </w:tc>
        <w:tc>
          <w:tcPr>
            <w:tcW w:w="1197" w:type="dxa"/>
            <w:tcBorders>
              <w:top w:val="nil"/>
              <w:left w:val="nil"/>
              <w:bottom w:val="nil"/>
              <w:right w:val="single" w:sz="6" w:space="0" w:color="auto"/>
            </w:tcBorders>
          </w:tcPr>
          <w:p w14:paraId="35A695E1" w14:textId="77777777" w:rsidR="00D0403E" w:rsidRPr="00183B5F" w:rsidRDefault="00D0403E">
            <w:pPr>
              <w:pStyle w:val="In-texttable"/>
              <w:tabs>
                <w:tab w:val="decimal" w:pos="205"/>
              </w:tabs>
              <w:spacing w:line="240" w:lineRule="auto"/>
              <w:jc w:val="center"/>
              <w:rPr>
                <w:rFonts w:ascii="Times New Roman" w:hAnsi="Times New Roman"/>
                <w:sz w:val="22"/>
                <w:lang w:val="hu-HU"/>
              </w:rPr>
            </w:pPr>
          </w:p>
        </w:tc>
        <w:tc>
          <w:tcPr>
            <w:tcW w:w="1418" w:type="dxa"/>
            <w:tcBorders>
              <w:top w:val="nil"/>
              <w:left w:val="single" w:sz="6" w:space="0" w:color="auto"/>
              <w:bottom w:val="nil"/>
              <w:right w:val="nil"/>
            </w:tcBorders>
          </w:tcPr>
          <w:p w14:paraId="52D0A95C" w14:textId="77777777" w:rsidR="00D0403E" w:rsidRPr="00183B5F" w:rsidRDefault="00D0403E">
            <w:pPr>
              <w:pStyle w:val="In-texttable"/>
              <w:tabs>
                <w:tab w:val="decimal" w:pos="144"/>
              </w:tabs>
              <w:spacing w:line="240" w:lineRule="auto"/>
              <w:jc w:val="center"/>
              <w:rPr>
                <w:rFonts w:ascii="Times New Roman" w:hAnsi="Times New Roman"/>
                <w:sz w:val="22"/>
                <w:lang w:val="hu-HU"/>
              </w:rPr>
            </w:pPr>
          </w:p>
        </w:tc>
        <w:tc>
          <w:tcPr>
            <w:tcW w:w="1559" w:type="dxa"/>
            <w:tcBorders>
              <w:right w:val="single" w:sz="4" w:space="0" w:color="auto"/>
            </w:tcBorders>
          </w:tcPr>
          <w:p w14:paraId="29FE1959" w14:textId="77777777" w:rsidR="00D0403E" w:rsidRPr="00183B5F" w:rsidRDefault="00D0403E">
            <w:pPr>
              <w:pStyle w:val="In-texttable"/>
              <w:tabs>
                <w:tab w:val="decimal" w:pos="95"/>
              </w:tabs>
              <w:spacing w:line="240" w:lineRule="auto"/>
              <w:jc w:val="center"/>
              <w:rPr>
                <w:rFonts w:ascii="Times New Roman" w:hAnsi="Times New Roman"/>
                <w:sz w:val="22"/>
                <w:lang w:val="hu-HU"/>
              </w:rPr>
            </w:pPr>
          </w:p>
        </w:tc>
      </w:tr>
      <w:tr w:rsidR="00011D2F" w14:paraId="63C3C03C" w14:textId="77777777" w:rsidTr="00D0403E">
        <w:trPr>
          <w:cantSplit/>
        </w:trPr>
        <w:tc>
          <w:tcPr>
            <w:tcW w:w="1159" w:type="dxa"/>
            <w:tcBorders>
              <w:top w:val="nil"/>
              <w:left w:val="single" w:sz="4" w:space="0" w:color="auto"/>
              <w:bottom w:val="nil"/>
              <w:right w:val="single" w:sz="6" w:space="0" w:color="auto"/>
            </w:tcBorders>
          </w:tcPr>
          <w:p w14:paraId="0A15CF8E" w14:textId="77777777" w:rsidR="00D0403E" w:rsidRPr="00183B5F" w:rsidRDefault="00943743">
            <w:pPr>
              <w:pStyle w:val="In-texttable"/>
              <w:tabs>
                <w:tab w:val="left" w:pos="144"/>
              </w:tabs>
              <w:spacing w:line="240" w:lineRule="auto"/>
              <w:rPr>
                <w:rFonts w:ascii="Times New Roman" w:hAnsi="Times New Roman"/>
                <w:sz w:val="22"/>
                <w:lang w:val="hu-HU"/>
              </w:rPr>
            </w:pPr>
            <w:r w:rsidRPr="00183B5F">
              <w:rPr>
                <w:rFonts w:ascii="Times New Roman" w:hAnsi="Times New Roman"/>
                <w:sz w:val="22"/>
                <w:lang w:val="hu-HU"/>
              </w:rPr>
              <w:tab/>
              <w:t>6 hónap</w:t>
            </w:r>
          </w:p>
        </w:tc>
        <w:tc>
          <w:tcPr>
            <w:tcW w:w="1393" w:type="dxa"/>
            <w:tcBorders>
              <w:top w:val="nil"/>
              <w:left w:val="single" w:sz="6" w:space="0" w:color="auto"/>
              <w:bottom w:val="nil"/>
              <w:right w:val="nil"/>
            </w:tcBorders>
          </w:tcPr>
          <w:p w14:paraId="01C82B25" w14:textId="77777777" w:rsidR="00D0403E" w:rsidRPr="00183B5F" w:rsidRDefault="00943743">
            <w:pPr>
              <w:pStyle w:val="In-texttable"/>
              <w:tabs>
                <w:tab w:val="decimal" w:pos="259"/>
              </w:tabs>
              <w:spacing w:line="240" w:lineRule="auto"/>
              <w:jc w:val="center"/>
              <w:rPr>
                <w:rFonts w:ascii="Times New Roman" w:hAnsi="Times New Roman"/>
                <w:sz w:val="22"/>
                <w:lang w:val="hu-HU"/>
              </w:rPr>
            </w:pPr>
            <w:r w:rsidRPr="00183B5F">
              <w:rPr>
                <w:rFonts w:ascii="Times New Roman" w:hAnsi="Times New Roman"/>
                <w:sz w:val="22"/>
                <w:lang w:val="hu-HU"/>
              </w:rPr>
              <w:t>6,7%</w:t>
            </w:r>
          </w:p>
        </w:tc>
        <w:tc>
          <w:tcPr>
            <w:tcW w:w="1417" w:type="dxa"/>
            <w:tcBorders>
              <w:top w:val="nil"/>
              <w:left w:val="nil"/>
              <w:bottom w:val="nil"/>
              <w:right w:val="single" w:sz="6" w:space="0" w:color="auto"/>
            </w:tcBorders>
          </w:tcPr>
          <w:p w14:paraId="772BD286" w14:textId="77777777" w:rsidR="00D0403E" w:rsidRPr="00183B5F" w:rsidRDefault="00943743">
            <w:pPr>
              <w:pStyle w:val="In-texttable"/>
              <w:tabs>
                <w:tab w:val="decimal" w:pos="250"/>
              </w:tabs>
              <w:spacing w:line="240" w:lineRule="auto"/>
              <w:jc w:val="center"/>
              <w:rPr>
                <w:rFonts w:ascii="Times New Roman" w:hAnsi="Times New Roman"/>
                <w:sz w:val="22"/>
                <w:lang w:val="hu-HU"/>
              </w:rPr>
            </w:pPr>
            <w:r w:rsidRPr="00183B5F">
              <w:rPr>
                <w:rFonts w:ascii="Times New Roman" w:hAnsi="Times New Roman"/>
                <w:sz w:val="22"/>
                <w:lang w:val="hu-HU"/>
              </w:rPr>
              <w:t>52,4%</w:t>
            </w:r>
          </w:p>
        </w:tc>
        <w:tc>
          <w:tcPr>
            <w:tcW w:w="1071" w:type="dxa"/>
            <w:tcBorders>
              <w:top w:val="nil"/>
              <w:left w:val="single" w:sz="6" w:space="0" w:color="auto"/>
              <w:bottom w:val="nil"/>
              <w:right w:val="nil"/>
            </w:tcBorders>
          </w:tcPr>
          <w:p w14:paraId="673865B3" w14:textId="77777777" w:rsidR="00D0403E" w:rsidRPr="00183B5F" w:rsidRDefault="00943743">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8,2%</w:t>
            </w:r>
          </w:p>
        </w:tc>
        <w:tc>
          <w:tcPr>
            <w:tcW w:w="1197" w:type="dxa"/>
            <w:tcBorders>
              <w:top w:val="nil"/>
              <w:left w:val="nil"/>
              <w:bottom w:val="nil"/>
              <w:right w:val="single" w:sz="6" w:space="0" w:color="auto"/>
            </w:tcBorders>
          </w:tcPr>
          <w:p w14:paraId="79A28114" w14:textId="77777777" w:rsidR="00D0403E" w:rsidRPr="00183B5F" w:rsidRDefault="00943743">
            <w:pPr>
              <w:pStyle w:val="In-texttable"/>
              <w:tabs>
                <w:tab w:val="decimal" w:pos="205"/>
              </w:tabs>
              <w:spacing w:line="240" w:lineRule="auto"/>
              <w:jc w:val="center"/>
              <w:rPr>
                <w:rFonts w:ascii="Times New Roman" w:hAnsi="Times New Roman"/>
                <w:sz w:val="22"/>
                <w:lang w:val="hu-HU"/>
              </w:rPr>
            </w:pPr>
            <w:r w:rsidRPr="00183B5F">
              <w:rPr>
                <w:rFonts w:ascii="Times New Roman" w:hAnsi="Times New Roman"/>
                <w:sz w:val="22"/>
                <w:lang w:val="hu-HU"/>
              </w:rPr>
              <w:t>22,1%</w:t>
            </w:r>
          </w:p>
        </w:tc>
        <w:tc>
          <w:tcPr>
            <w:tcW w:w="1418" w:type="dxa"/>
            <w:tcBorders>
              <w:top w:val="nil"/>
              <w:left w:val="single" w:sz="6" w:space="0" w:color="auto"/>
              <w:bottom w:val="nil"/>
              <w:right w:val="nil"/>
            </w:tcBorders>
          </w:tcPr>
          <w:p w14:paraId="6A3EE289" w14:textId="77777777" w:rsidR="00D0403E" w:rsidRPr="00183B5F" w:rsidRDefault="00943743">
            <w:pPr>
              <w:pStyle w:val="In-texttable"/>
              <w:tabs>
                <w:tab w:val="decimal" w:pos="144"/>
              </w:tabs>
              <w:spacing w:line="240" w:lineRule="auto"/>
              <w:jc w:val="center"/>
              <w:rPr>
                <w:rFonts w:ascii="Times New Roman" w:hAnsi="Times New Roman"/>
                <w:sz w:val="22"/>
                <w:lang w:val="hu-HU"/>
              </w:rPr>
            </w:pPr>
            <w:r w:rsidRPr="00183B5F">
              <w:rPr>
                <w:rFonts w:ascii="Times New Roman" w:hAnsi="Times New Roman"/>
                <w:sz w:val="22"/>
                <w:lang w:val="hu-HU"/>
              </w:rPr>
              <w:t>9,5%</w:t>
            </w:r>
          </w:p>
        </w:tc>
        <w:tc>
          <w:tcPr>
            <w:tcW w:w="1559" w:type="dxa"/>
            <w:tcBorders>
              <w:right w:val="single" w:sz="4" w:space="0" w:color="auto"/>
            </w:tcBorders>
          </w:tcPr>
          <w:p w14:paraId="09858ECB" w14:textId="77777777" w:rsidR="00D0403E" w:rsidRPr="00183B5F" w:rsidRDefault="00943743">
            <w:pPr>
              <w:pStyle w:val="In-texttable"/>
              <w:tabs>
                <w:tab w:val="decimal" w:pos="95"/>
              </w:tabs>
              <w:spacing w:line="240" w:lineRule="auto"/>
              <w:jc w:val="center"/>
              <w:rPr>
                <w:rFonts w:ascii="Times New Roman" w:hAnsi="Times New Roman"/>
                <w:sz w:val="22"/>
                <w:lang w:val="hu-HU"/>
              </w:rPr>
            </w:pPr>
            <w:r w:rsidRPr="00183B5F">
              <w:rPr>
                <w:rFonts w:ascii="Times New Roman" w:hAnsi="Times New Roman"/>
                <w:sz w:val="22"/>
                <w:lang w:val="hu-HU"/>
              </w:rPr>
              <w:t>39,1%</w:t>
            </w:r>
          </w:p>
        </w:tc>
      </w:tr>
      <w:tr w:rsidR="00011D2F" w14:paraId="3230C98E" w14:textId="77777777" w:rsidTr="00D0403E">
        <w:trPr>
          <w:cantSplit/>
        </w:trPr>
        <w:tc>
          <w:tcPr>
            <w:tcW w:w="1159" w:type="dxa"/>
            <w:tcBorders>
              <w:top w:val="nil"/>
              <w:left w:val="single" w:sz="4" w:space="0" w:color="auto"/>
              <w:bottom w:val="nil"/>
              <w:right w:val="single" w:sz="6" w:space="0" w:color="auto"/>
            </w:tcBorders>
          </w:tcPr>
          <w:p w14:paraId="67B2AA5E" w14:textId="77777777" w:rsidR="00D0403E" w:rsidRPr="00183B5F" w:rsidRDefault="00943743">
            <w:pPr>
              <w:pStyle w:val="In-texttable"/>
              <w:tabs>
                <w:tab w:val="left" w:pos="144"/>
              </w:tabs>
              <w:spacing w:line="240" w:lineRule="auto"/>
              <w:rPr>
                <w:rFonts w:ascii="Times New Roman" w:hAnsi="Times New Roman"/>
                <w:sz w:val="22"/>
                <w:lang w:val="hu-HU"/>
              </w:rPr>
            </w:pPr>
            <w:r w:rsidRPr="00183B5F">
              <w:rPr>
                <w:rFonts w:ascii="Times New Roman" w:hAnsi="Times New Roman"/>
                <w:sz w:val="22"/>
                <w:lang w:val="hu-HU"/>
              </w:rPr>
              <w:tab/>
              <w:t>12 hónap</w:t>
            </w:r>
          </w:p>
        </w:tc>
        <w:tc>
          <w:tcPr>
            <w:tcW w:w="1393" w:type="dxa"/>
            <w:tcBorders>
              <w:top w:val="nil"/>
              <w:left w:val="single" w:sz="6" w:space="0" w:color="auto"/>
              <w:bottom w:val="nil"/>
              <w:right w:val="nil"/>
            </w:tcBorders>
          </w:tcPr>
          <w:p w14:paraId="4C3EB98E" w14:textId="77777777" w:rsidR="00D0403E" w:rsidRPr="00183B5F" w:rsidRDefault="00943743">
            <w:pPr>
              <w:pStyle w:val="In-texttable"/>
              <w:tabs>
                <w:tab w:val="decimal" w:pos="259"/>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417" w:type="dxa"/>
            <w:tcBorders>
              <w:top w:val="nil"/>
              <w:left w:val="nil"/>
              <w:bottom w:val="nil"/>
              <w:right w:val="single" w:sz="6" w:space="0" w:color="auto"/>
            </w:tcBorders>
          </w:tcPr>
          <w:p w14:paraId="1D615B86" w14:textId="77777777" w:rsidR="00D0403E" w:rsidRPr="00183B5F" w:rsidRDefault="00943743">
            <w:pPr>
              <w:pStyle w:val="In-texttable"/>
              <w:tabs>
                <w:tab w:val="decimal" w:pos="250"/>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071" w:type="dxa"/>
            <w:tcBorders>
              <w:top w:val="nil"/>
              <w:left w:val="single" w:sz="6" w:space="0" w:color="auto"/>
              <w:bottom w:val="nil"/>
              <w:right w:val="nil"/>
            </w:tcBorders>
          </w:tcPr>
          <w:p w14:paraId="3B00DC7A" w14:textId="77777777" w:rsidR="00D0403E" w:rsidRPr="00183B5F" w:rsidRDefault="00943743">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197" w:type="dxa"/>
            <w:tcBorders>
              <w:top w:val="nil"/>
              <w:left w:val="nil"/>
              <w:bottom w:val="nil"/>
              <w:right w:val="single" w:sz="6" w:space="0" w:color="auto"/>
            </w:tcBorders>
          </w:tcPr>
          <w:p w14:paraId="2B170206" w14:textId="77777777" w:rsidR="00D0403E" w:rsidRPr="00183B5F" w:rsidRDefault="00943743">
            <w:pPr>
              <w:pStyle w:val="In-texttable"/>
              <w:tabs>
                <w:tab w:val="decimal" w:pos="205"/>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418" w:type="dxa"/>
            <w:tcBorders>
              <w:top w:val="nil"/>
              <w:left w:val="single" w:sz="6" w:space="0" w:color="auto"/>
              <w:bottom w:val="nil"/>
              <w:right w:val="nil"/>
            </w:tcBorders>
          </w:tcPr>
          <w:p w14:paraId="2CB56185" w14:textId="77777777" w:rsidR="00D0403E" w:rsidRPr="00183B5F" w:rsidRDefault="00943743">
            <w:pPr>
              <w:pStyle w:val="In-texttable"/>
              <w:tabs>
                <w:tab w:val="decimal" w:pos="144"/>
              </w:tabs>
              <w:spacing w:line="240" w:lineRule="auto"/>
              <w:jc w:val="center"/>
              <w:rPr>
                <w:rFonts w:ascii="Times New Roman" w:hAnsi="Times New Roman"/>
                <w:sz w:val="22"/>
                <w:lang w:val="hu-HU"/>
              </w:rPr>
            </w:pPr>
            <w:r w:rsidRPr="00183B5F">
              <w:rPr>
                <w:rFonts w:ascii="Times New Roman" w:hAnsi="Times New Roman"/>
                <w:sz w:val="22"/>
                <w:lang w:val="hu-HU"/>
              </w:rPr>
              <w:t>9,5%</w:t>
            </w:r>
          </w:p>
        </w:tc>
        <w:tc>
          <w:tcPr>
            <w:tcW w:w="1559" w:type="dxa"/>
            <w:tcBorders>
              <w:right w:val="single" w:sz="4" w:space="0" w:color="auto"/>
            </w:tcBorders>
          </w:tcPr>
          <w:p w14:paraId="456AEDC7" w14:textId="77777777" w:rsidR="00D0403E" w:rsidRPr="00183B5F" w:rsidRDefault="00943743">
            <w:pPr>
              <w:pStyle w:val="In-texttable"/>
              <w:tabs>
                <w:tab w:val="decimal" w:pos="95"/>
              </w:tabs>
              <w:spacing w:line="240" w:lineRule="auto"/>
              <w:jc w:val="center"/>
              <w:rPr>
                <w:rFonts w:ascii="Times New Roman" w:hAnsi="Times New Roman"/>
                <w:sz w:val="22"/>
                <w:lang w:val="hu-HU"/>
              </w:rPr>
            </w:pPr>
            <w:r w:rsidRPr="00183B5F">
              <w:rPr>
                <w:rFonts w:ascii="Times New Roman" w:hAnsi="Times New Roman"/>
                <w:sz w:val="22"/>
                <w:lang w:val="hu-HU"/>
              </w:rPr>
              <w:t>41,5%</w:t>
            </w:r>
          </w:p>
        </w:tc>
      </w:tr>
      <w:tr w:rsidR="00011D2F" w14:paraId="694664E0" w14:textId="77777777" w:rsidTr="00D0403E">
        <w:trPr>
          <w:cantSplit/>
        </w:trPr>
        <w:tc>
          <w:tcPr>
            <w:tcW w:w="1159" w:type="dxa"/>
            <w:tcBorders>
              <w:top w:val="nil"/>
              <w:left w:val="single" w:sz="4" w:space="0" w:color="auto"/>
              <w:bottom w:val="nil"/>
              <w:right w:val="single" w:sz="6" w:space="0" w:color="auto"/>
            </w:tcBorders>
          </w:tcPr>
          <w:p w14:paraId="14B11365" w14:textId="77777777" w:rsidR="00D0403E" w:rsidRPr="00183B5F" w:rsidRDefault="00943743">
            <w:pPr>
              <w:pStyle w:val="In-texttable"/>
              <w:tabs>
                <w:tab w:val="left" w:pos="144"/>
              </w:tabs>
              <w:spacing w:line="240" w:lineRule="auto"/>
              <w:rPr>
                <w:rFonts w:ascii="Times New Roman" w:hAnsi="Times New Roman"/>
                <w:sz w:val="22"/>
                <w:lang w:val="hu-HU"/>
              </w:rPr>
            </w:pPr>
            <w:r w:rsidRPr="00202B95">
              <w:rPr>
                <w:noProof/>
                <w:lang w:val="en-GB"/>
              </w:rPr>
              <mc:AlternateContent>
                <mc:Choice Requires="wps">
                  <w:drawing>
                    <wp:anchor distT="0" distB="0" distL="114300" distR="114300" simplePos="0" relativeHeight="251666432" behindDoc="0" locked="0" layoutInCell="0" allowOverlap="1" wp14:anchorId="7D4EF129" wp14:editId="58869E64">
                      <wp:simplePos x="0" y="0"/>
                      <wp:positionH relativeFrom="column">
                        <wp:posOffset>-4972050</wp:posOffset>
                      </wp:positionH>
                      <wp:positionV relativeFrom="paragraph">
                        <wp:posOffset>38735</wp:posOffset>
                      </wp:positionV>
                      <wp:extent cx="3543300" cy="342900"/>
                      <wp:effectExtent l="0" t="0" r="0" b="0"/>
                      <wp:wrapNone/>
                      <wp:docPr id="8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C42746" w14:textId="77777777" w:rsidR="00117602" w:rsidRDefault="00117602" w:rsidP="00D0403E">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D4EF129" id="Text Box 82" o:spid="_x0000_s1030" type="#_x0000_t202" style="position:absolute;margin-left:-391.5pt;margin-top:3.05pt;width:279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" o:allowincell="f" stroked="f">
                      <v:textbox>
                        <w:txbxContent>
                          <w:p w14:paraId="3AC42746" w14:textId="77777777" w:rsidR="00117602" w:rsidRDefault="00117602" w:rsidP="00D0403E">
                            <w:pPr>
                              <w:rPr>
                                <w:sz w:val="20"/>
                              </w:rPr>
                            </w:pPr>
                          </w:p>
                        </w:txbxContent>
                      </v:textbox>
                    </v:shape>
                  </w:pict>
                </mc:Fallback>
              </mc:AlternateContent>
            </w:r>
            <w:r w:rsidR="00D0403E" w:rsidRPr="00183B5F">
              <w:rPr>
                <w:rFonts w:ascii="Times New Roman" w:hAnsi="Times New Roman"/>
                <w:sz w:val="22"/>
                <w:lang w:val="hu-HU"/>
              </w:rPr>
              <w:t>ACR 70</w:t>
            </w:r>
          </w:p>
        </w:tc>
        <w:tc>
          <w:tcPr>
            <w:tcW w:w="1393" w:type="dxa"/>
            <w:tcBorders>
              <w:top w:val="nil"/>
              <w:left w:val="single" w:sz="6" w:space="0" w:color="auto"/>
              <w:bottom w:val="nil"/>
              <w:right w:val="nil"/>
            </w:tcBorders>
          </w:tcPr>
          <w:p w14:paraId="6841D61E" w14:textId="77777777" w:rsidR="00D0403E" w:rsidRPr="00183B5F" w:rsidRDefault="00D0403E">
            <w:pPr>
              <w:pStyle w:val="In-texttable"/>
              <w:tabs>
                <w:tab w:val="decimal" w:pos="259"/>
              </w:tabs>
              <w:spacing w:line="240" w:lineRule="auto"/>
              <w:jc w:val="center"/>
              <w:rPr>
                <w:rFonts w:ascii="Times New Roman" w:hAnsi="Times New Roman"/>
                <w:sz w:val="22"/>
                <w:lang w:val="hu-HU"/>
              </w:rPr>
            </w:pPr>
          </w:p>
        </w:tc>
        <w:tc>
          <w:tcPr>
            <w:tcW w:w="1417" w:type="dxa"/>
            <w:tcBorders>
              <w:top w:val="nil"/>
              <w:left w:val="nil"/>
              <w:bottom w:val="nil"/>
              <w:right w:val="single" w:sz="6" w:space="0" w:color="auto"/>
            </w:tcBorders>
          </w:tcPr>
          <w:p w14:paraId="40C0213A" w14:textId="77777777" w:rsidR="00D0403E" w:rsidRPr="00183B5F" w:rsidRDefault="00D0403E">
            <w:pPr>
              <w:pStyle w:val="In-texttable"/>
              <w:tabs>
                <w:tab w:val="decimal" w:pos="250"/>
              </w:tabs>
              <w:spacing w:line="240" w:lineRule="auto"/>
              <w:jc w:val="center"/>
              <w:rPr>
                <w:rFonts w:ascii="Times New Roman" w:hAnsi="Times New Roman"/>
                <w:sz w:val="22"/>
                <w:lang w:val="hu-HU"/>
              </w:rPr>
            </w:pPr>
          </w:p>
        </w:tc>
        <w:tc>
          <w:tcPr>
            <w:tcW w:w="1071" w:type="dxa"/>
            <w:tcBorders>
              <w:top w:val="nil"/>
              <w:left w:val="single" w:sz="6" w:space="0" w:color="auto"/>
              <w:bottom w:val="nil"/>
              <w:right w:val="nil"/>
            </w:tcBorders>
          </w:tcPr>
          <w:p w14:paraId="25C7903A" w14:textId="77777777" w:rsidR="00D0403E" w:rsidRPr="00183B5F" w:rsidRDefault="00D0403E">
            <w:pPr>
              <w:pStyle w:val="In-texttable"/>
              <w:spacing w:line="240" w:lineRule="auto"/>
              <w:jc w:val="center"/>
              <w:rPr>
                <w:rFonts w:ascii="Times New Roman" w:hAnsi="Times New Roman"/>
                <w:sz w:val="22"/>
                <w:lang w:val="hu-HU"/>
              </w:rPr>
            </w:pPr>
          </w:p>
        </w:tc>
        <w:tc>
          <w:tcPr>
            <w:tcW w:w="1197" w:type="dxa"/>
            <w:tcBorders>
              <w:top w:val="nil"/>
              <w:left w:val="nil"/>
              <w:bottom w:val="nil"/>
              <w:right w:val="single" w:sz="6" w:space="0" w:color="auto"/>
            </w:tcBorders>
          </w:tcPr>
          <w:p w14:paraId="73F4D8F5" w14:textId="77777777" w:rsidR="00D0403E" w:rsidRPr="00183B5F" w:rsidRDefault="00D0403E">
            <w:pPr>
              <w:pStyle w:val="In-texttable"/>
              <w:tabs>
                <w:tab w:val="decimal" w:pos="205"/>
              </w:tabs>
              <w:spacing w:line="240" w:lineRule="auto"/>
              <w:jc w:val="center"/>
              <w:rPr>
                <w:rFonts w:ascii="Times New Roman" w:hAnsi="Times New Roman"/>
                <w:sz w:val="22"/>
                <w:lang w:val="hu-HU"/>
              </w:rPr>
            </w:pPr>
          </w:p>
        </w:tc>
        <w:tc>
          <w:tcPr>
            <w:tcW w:w="1418" w:type="dxa"/>
            <w:tcBorders>
              <w:top w:val="nil"/>
              <w:left w:val="single" w:sz="6" w:space="0" w:color="auto"/>
              <w:bottom w:val="nil"/>
              <w:right w:val="nil"/>
            </w:tcBorders>
          </w:tcPr>
          <w:p w14:paraId="133431AF" w14:textId="77777777" w:rsidR="00D0403E" w:rsidRPr="00183B5F" w:rsidRDefault="00D0403E">
            <w:pPr>
              <w:pStyle w:val="In-texttable"/>
              <w:tabs>
                <w:tab w:val="decimal" w:pos="144"/>
              </w:tabs>
              <w:spacing w:line="240" w:lineRule="auto"/>
              <w:jc w:val="center"/>
              <w:rPr>
                <w:rFonts w:ascii="Times New Roman" w:hAnsi="Times New Roman"/>
                <w:sz w:val="22"/>
                <w:lang w:val="hu-HU"/>
              </w:rPr>
            </w:pPr>
          </w:p>
        </w:tc>
        <w:tc>
          <w:tcPr>
            <w:tcW w:w="1559" w:type="dxa"/>
            <w:tcBorders>
              <w:right w:val="single" w:sz="4" w:space="0" w:color="auto"/>
            </w:tcBorders>
          </w:tcPr>
          <w:p w14:paraId="5462B1A8" w14:textId="77777777" w:rsidR="00D0403E" w:rsidRPr="00183B5F" w:rsidRDefault="00D0403E">
            <w:pPr>
              <w:pStyle w:val="In-texttable"/>
              <w:tabs>
                <w:tab w:val="decimal" w:pos="95"/>
              </w:tabs>
              <w:spacing w:line="240" w:lineRule="auto"/>
              <w:jc w:val="center"/>
              <w:rPr>
                <w:rFonts w:ascii="Times New Roman" w:hAnsi="Times New Roman"/>
                <w:sz w:val="22"/>
                <w:lang w:val="hu-HU"/>
              </w:rPr>
            </w:pPr>
          </w:p>
        </w:tc>
      </w:tr>
      <w:tr w:rsidR="00011D2F" w14:paraId="3DF06FC8" w14:textId="77777777" w:rsidTr="00D0403E">
        <w:trPr>
          <w:cantSplit/>
        </w:trPr>
        <w:tc>
          <w:tcPr>
            <w:tcW w:w="1159" w:type="dxa"/>
            <w:tcBorders>
              <w:top w:val="nil"/>
              <w:left w:val="single" w:sz="4" w:space="0" w:color="auto"/>
              <w:bottom w:val="nil"/>
              <w:right w:val="single" w:sz="6" w:space="0" w:color="auto"/>
            </w:tcBorders>
          </w:tcPr>
          <w:p w14:paraId="4C98E653" w14:textId="77777777" w:rsidR="00D0403E" w:rsidRPr="00183B5F" w:rsidRDefault="00943743">
            <w:pPr>
              <w:pStyle w:val="In-texttable"/>
              <w:tabs>
                <w:tab w:val="left" w:pos="144"/>
              </w:tabs>
              <w:spacing w:line="240" w:lineRule="auto"/>
              <w:rPr>
                <w:rFonts w:ascii="Times New Roman" w:hAnsi="Times New Roman"/>
                <w:sz w:val="22"/>
                <w:lang w:val="hu-HU"/>
              </w:rPr>
            </w:pPr>
            <w:r w:rsidRPr="00183B5F">
              <w:rPr>
                <w:rFonts w:ascii="Times New Roman" w:hAnsi="Times New Roman"/>
                <w:sz w:val="22"/>
                <w:lang w:val="hu-HU"/>
              </w:rPr>
              <w:tab/>
              <w:t>6 hónap</w:t>
            </w:r>
          </w:p>
        </w:tc>
        <w:tc>
          <w:tcPr>
            <w:tcW w:w="1393" w:type="dxa"/>
            <w:tcBorders>
              <w:top w:val="nil"/>
              <w:left w:val="single" w:sz="6" w:space="0" w:color="auto"/>
              <w:bottom w:val="nil"/>
              <w:right w:val="nil"/>
            </w:tcBorders>
          </w:tcPr>
          <w:p w14:paraId="20C8EF25" w14:textId="77777777" w:rsidR="00D0403E" w:rsidRPr="00183B5F" w:rsidRDefault="00943743">
            <w:pPr>
              <w:pStyle w:val="In-texttable"/>
              <w:tabs>
                <w:tab w:val="decimal" w:pos="259"/>
              </w:tabs>
              <w:spacing w:line="240" w:lineRule="auto"/>
              <w:jc w:val="center"/>
              <w:rPr>
                <w:rFonts w:ascii="Times New Roman" w:hAnsi="Times New Roman"/>
                <w:sz w:val="22"/>
                <w:lang w:val="hu-HU"/>
              </w:rPr>
            </w:pPr>
            <w:r w:rsidRPr="00183B5F">
              <w:rPr>
                <w:rFonts w:ascii="Times New Roman" w:hAnsi="Times New Roman"/>
                <w:sz w:val="22"/>
                <w:lang w:val="hu-HU"/>
              </w:rPr>
              <w:t>3,3%</w:t>
            </w:r>
          </w:p>
        </w:tc>
        <w:tc>
          <w:tcPr>
            <w:tcW w:w="1417" w:type="dxa"/>
            <w:tcBorders>
              <w:top w:val="nil"/>
              <w:left w:val="nil"/>
              <w:bottom w:val="nil"/>
              <w:right w:val="single" w:sz="6" w:space="0" w:color="auto"/>
            </w:tcBorders>
          </w:tcPr>
          <w:p w14:paraId="578B34FC" w14:textId="77777777" w:rsidR="00D0403E" w:rsidRPr="00183B5F" w:rsidRDefault="00943743">
            <w:pPr>
              <w:pStyle w:val="In-texttable"/>
              <w:tabs>
                <w:tab w:val="decimal" w:pos="250"/>
              </w:tabs>
              <w:spacing w:line="240" w:lineRule="auto"/>
              <w:jc w:val="center"/>
              <w:rPr>
                <w:rFonts w:ascii="Times New Roman" w:hAnsi="Times New Roman"/>
                <w:sz w:val="22"/>
                <w:lang w:val="hu-HU"/>
              </w:rPr>
            </w:pPr>
            <w:r w:rsidRPr="00183B5F">
              <w:rPr>
                <w:rFonts w:ascii="Times New Roman" w:hAnsi="Times New Roman"/>
                <w:sz w:val="22"/>
                <w:lang w:val="hu-HU"/>
              </w:rPr>
              <w:t>23,8%</w:t>
            </w:r>
          </w:p>
        </w:tc>
        <w:tc>
          <w:tcPr>
            <w:tcW w:w="1071" w:type="dxa"/>
            <w:tcBorders>
              <w:top w:val="nil"/>
              <w:left w:val="single" w:sz="6" w:space="0" w:color="auto"/>
              <w:bottom w:val="nil"/>
              <w:right w:val="nil"/>
            </w:tcBorders>
          </w:tcPr>
          <w:p w14:paraId="127C7986" w14:textId="77777777" w:rsidR="00D0403E" w:rsidRPr="00183B5F" w:rsidRDefault="00943743">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1,8%</w:t>
            </w:r>
          </w:p>
        </w:tc>
        <w:tc>
          <w:tcPr>
            <w:tcW w:w="1197" w:type="dxa"/>
            <w:tcBorders>
              <w:top w:val="nil"/>
              <w:left w:val="nil"/>
              <w:bottom w:val="nil"/>
              <w:right w:val="single" w:sz="6" w:space="0" w:color="auto"/>
            </w:tcBorders>
          </w:tcPr>
          <w:p w14:paraId="4C4EB237" w14:textId="77777777" w:rsidR="00D0403E" w:rsidRPr="00183B5F" w:rsidRDefault="00943743">
            <w:pPr>
              <w:pStyle w:val="In-texttable"/>
              <w:tabs>
                <w:tab w:val="decimal" w:pos="205"/>
              </w:tabs>
              <w:spacing w:line="240" w:lineRule="auto"/>
              <w:jc w:val="center"/>
              <w:rPr>
                <w:rFonts w:ascii="Times New Roman" w:hAnsi="Times New Roman"/>
                <w:sz w:val="22"/>
                <w:lang w:val="hu-HU"/>
              </w:rPr>
            </w:pPr>
            <w:r w:rsidRPr="00183B5F">
              <w:rPr>
                <w:rFonts w:ascii="Times New Roman" w:hAnsi="Times New Roman"/>
                <w:sz w:val="22"/>
                <w:lang w:val="hu-HU"/>
              </w:rPr>
              <w:t>12,4%</w:t>
            </w:r>
          </w:p>
        </w:tc>
        <w:tc>
          <w:tcPr>
            <w:tcW w:w="1418" w:type="dxa"/>
            <w:tcBorders>
              <w:top w:val="nil"/>
              <w:left w:val="single" w:sz="6" w:space="0" w:color="auto"/>
              <w:bottom w:val="nil"/>
              <w:right w:val="nil"/>
            </w:tcBorders>
          </w:tcPr>
          <w:p w14:paraId="0217CC17" w14:textId="77777777" w:rsidR="00D0403E" w:rsidRPr="00183B5F" w:rsidRDefault="00943743">
            <w:pPr>
              <w:pStyle w:val="In-texttable"/>
              <w:tabs>
                <w:tab w:val="decimal" w:pos="144"/>
              </w:tabs>
              <w:spacing w:line="240" w:lineRule="auto"/>
              <w:jc w:val="center"/>
              <w:rPr>
                <w:rFonts w:ascii="Times New Roman" w:hAnsi="Times New Roman"/>
                <w:sz w:val="22"/>
                <w:lang w:val="hu-HU"/>
              </w:rPr>
            </w:pPr>
            <w:r w:rsidRPr="00183B5F">
              <w:rPr>
                <w:rFonts w:ascii="Times New Roman" w:hAnsi="Times New Roman"/>
                <w:sz w:val="22"/>
                <w:lang w:val="hu-HU"/>
              </w:rPr>
              <w:t>2,5%</w:t>
            </w:r>
          </w:p>
        </w:tc>
        <w:tc>
          <w:tcPr>
            <w:tcW w:w="1559" w:type="dxa"/>
            <w:tcBorders>
              <w:right w:val="single" w:sz="4" w:space="0" w:color="auto"/>
            </w:tcBorders>
          </w:tcPr>
          <w:p w14:paraId="65FD353E" w14:textId="77777777" w:rsidR="00D0403E" w:rsidRPr="00183B5F" w:rsidRDefault="00943743">
            <w:pPr>
              <w:pStyle w:val="In-texttable"/>
              <w:tabs>
                <w:tab w:val="decimal" w:pos="95"/>
              </w:tabs>
              <w:spacing w:line="240" w:lineRule="auto"/>
              <w:jc w:val="center"/>
              <w:rPr>
                <w:rFonts w:ascii="Times New Roman" w:hAnsi="Times New Roman"/>
                <w:sz w:val="22"/>
                <w:lang w:val="hu-HU"/>
              </w:rPr>
            </w:pPr>
            <w:r w:rsidRPr="00183B5F">
              <w:rPr>
                <w:rFonts w:ascii="Times New Roman" w:hAnsi="Times New Roman"/>
                <w:sz w:val="22"/>
                <w:lang w:val="hu-HU"/>
              </w:rPr>
              <w:t>20,8%</w:t>
            </w:r>
          </w:p>
        </w:tc>
      </w:tr>
      <w:tr w:rsidR="00011D2F" w14:paraId="7653215A" w14:textId="77777777" w:rsidTr="00D0403E">
        <w:trPr>
          <w:cantSplit/>
        </w:trPr>
        <w:tc>
          <w:tcPr>
            <w:tcW w:w="1159" w:type="dxa"/>
            <w:tcBorders>
              <w:top w:val="nil"/>
              <w:left w:val="single" w:sz="4" w:space="0" w:color="auto"/>
              <w:bottom w:val="single" w:sz="4" w:space="0" w:color="auto"/>
              <w:right w:val="single" w:sz="6" w:space="0" w:color="auto"/>
            </w:tcBorders>
          </w:tcPr>
          <w:p w14:paraId="4BFD177C" w14:textId="77777777" w:rsidR="00D0403E" w:rsidRPr="00183B5F" w:rsidRDefault="00943743">
            <w:pPr>
              <w:pStyle w:val="In-texttable"/>
              <w:tabs>
                <w:tab w:val="left" w:pos="144"/>
              </w:tabs>
              <w:spacing w:line="240" w:lineRule="auto"/>
              <w:rPr>
                <w:rFonts w:ascii="Times New Roman" w:hAnsi="Times New Roman"/>
                <w:sz w:val="22"/>
                <w:lang w:val="hu-HU"/>
              </w:rPr>
            </w:pPr>
            <w:r w:rsidRPr="00183B5F">
              <w:rPr>
                <w:rFonts w:ascii="Times New Roman" w:hAnsi="Times New Roman"/>
                <w:sz w:val="22"/>
                <w:lang w:val="hu-HU"/>
              </w:rPr>
              <w:tab/>
              <w:t>12 hónap</w:t>
            </w:r>
          </w:p>
        </w:tc>
        <w:tc>
          <w:tcPr>
            <w:tcW w:w="1393" w:type="dxa"/>
            <w:tcBorders>
              <w:top w:val="nil"/>
              <w:left w:val="single" w:sz="6" w:space="0" w:color="auto"/>
              <w:bottom w:val="single" w:sz="4" w:space="0" w:color="auto"/>
              <w:right w:val="nil"/>
            </w:tcBorders>
          </w:tcPr>
          <w:p w14:paraId="477AC2FE" w14:textId="77777777" w:rsidR="00D0403E" w:rsidRPr="00183B5F" w:rsidRDefault="00943743">
            <w:pPr>
              <w:pStyle w:val="In-texttable"/>
              <w:tabs>
                <w:tab w:val="decimal" w:pos="259"/>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417" w:type="dxa"/>
            <w:tcBorders>
              <w:top w:val="nil"/>
              <w:left w:val="nil"/>
              <w:bottom w:val="single" w:sz="4" w:space="0" w:color="auto"/>
              <w:right w:val="single" w:sz="6" w:space="0" w:color="auto"/>
            </w:tcBorders>
          </w:tcPr>
          <w:p w14:paraId="4B976709" w14:textId="77777777" w:rsidR="00D0403E" w:rsidRPr="00183B5F" w:rsidRDefault="00943743">
            <w:pPr>
              <w:pStyle w:val="In-texttable"/>
              <w:tabs>
                <w:tab w:val="decimal" w:pos="250"/>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071" w:type="dxa"/>
            <w:tcBorders>
              <w:top w:val="nil"/>
              <w:left w:val="single" w:sz="6" w:space="0" w:color="auto"/>
              <w:bottom w:val="single" w:sz="4" w:space="0" w:color="auto"/>
              <w:right w:val="nil"/>
            </w:tcBorders>
          </w:tcPr>
          <w:p w14:paraId="0A58992B" w14:textId="77777777" w:rsidR="00D0403E" w:rsidRPr="00183B5F" w:rsidRDefault="00943743">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197" w:type="dxa"/>
            <w:tcBorders>
              <w:top w:val="nil"/>
              <w:left w:val="nil"/>
              <w:bottom w:val="single" w:sz="4" w:space="0" w:color="auto"/>
              <w:right w:val="single" w:sz="6" w:space="0" w:color="auto"/>
            </w:tcBorders>
          </w:tcPr>
          <w:p w14:paraId="03F8B262" w14:textId="77777777" w:rsidR="00D0403E" w:rsidRPr="00183B5F" w:rsidRDefault="00943743">
            <w:pPr>
              <w:pStyle w:val="In-texttable"/>
              <w:tabs>
                <w:tab w:val="decimal" w:pos="205"/>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418" w:type="dxa"/>
            <w:tcBorders>
              <w:top w:val="nil"/>
              <w:left w:val="single" w:sz="6" w:space="0" w:color="auto"/>
              <w:bottom w:val="single" w:sz="4" w:space="0" w:color="auto"/>
              <w:right w:val="nil"/>
            </w:tcBorders>
          </w:tcPr>
          <w:p w14:paraId="76E01012" w14:textId="77777777" w:rsidR="00D0403E" w:rsidRPr="00183B5F" w:rsidRDefault="00943743">
            <w:pPr>
              <w:pStyle w:val="In-texttable"/>
              <w:tabs>
                <w:tab w:val="decimal" w:pos="144"/>
              </w:tabs>
              <w:spacing w:line="240" w:lineRule="auto"/>
              <w:jc w:val="center"/>
              <w:rPr>
                <w:rFonts w:ascii="Times New Roman" w:hAnsi="Times New Roman"/>
                <w:sz w:val="22"/>
                <w:lang w:val="hu-HU"/>
              </w:rPr>
            </w:pPr>
            <w:r w:rsidRPr="00183B5F">
              <w:rPr>
                <w:rFonts w:ascii="Times New Roman" w:hAnsi="Times New Roman"/>
                <w:sz w:val="22"/>
                <w:lang w:val="hu-HU"/>
              </w:rPr>
              <w:t>4,5%</w:t>
            </w:r>
          </w:p>
        </w:tc>
        <w:tc>
          <w:tcPr>
            <w:tcW w:w="1559" w:type="dxa"/>
            <w:tcBorders>
              <w:top w:val="nil"/>
              <w:left w:val="nil"/>
              <w:bottom w:val="single" w:sz="4" w:space="0" w:color="auto"/>
              <w:right w:val="single" w:sz="4" w:space="0" w:color="auto"/>
            </w:tcBorders>
          </w:tcPr>
          <w:p w14:paraId="0CD584C5" w14:textId="77777777" w:rsidR="00D0403E" w:rsidRPr="00183B5F" w:rsidRDefault="00943743">
            <w:pPr>
              <w:pStyle w:val="In-texttable"/>
              <w:tabs>
                <w:tab w:val="decimal" w:pos="95"/>
              </w:tabs>
              <w:spacing w:line="240" w:lineRule="auto"/>
              <w:jc w:val="center"/>
              <w:rPr>
                <w:rFonts w:ascii="Times New Roman" w:hAnsi="Times New Roman"/>
                <w:sz w:val="22"/>
                <w:lang w:val="hu-HU"/>
              </w:rPr>
            </w:pPr>
            <w:r w:rsidRPr="00183B5F">
              <w:rPr>
                <w:rFonts w:ascii="Times New Roman" w:hAnsi="Times New Roman"/>
                <w:sz w:val="22"/>
                <w:lang w:val="hu-HU"/>
              </w:rPr>
              <w:t>23,2%</w:t>
            </w:r>
          </w:p>
        </w:tc>
      </w:tr>
      <w:tr w:rsidR="00011D2F" w14:paraId="092B452B" w14:textId="77777777" w:rsidTr="00D0403E">
        <w:trPr>
          <w:cantSplit/>
        </w:trPr>
        <w:tc>
          <w:tcPr>
            <w:tcW w:w="9214" w:type="dxa"/>
            <w:gridSpan w:val="7"/>
            <w:tcBorders>
              <w:top w:val="single" w:sz="4" w:space="0" w:color="auto"/>
            </w:tcBorders>
          </w:tcPr>
          <w:p w14:paraId="6E3364D7" w14:textId="77777777" w:rsidR="00D0403E" w:rsidRPr="00183B5F" w:rsidRDefault="00943743" w:rsidP="004062FE">
            <w:pPr>
              <w:pStyle w:val="EndnoteText"/>
              <w:tabs>
                <w:tab w:val="clear" w:pos="567"/>
                <w:tab w:val="left" w:pos="708"/>
              </w:tabs>
              <w:suppressAutoHyphens/>
              <w:rPr>
                <w:sz w:val="22"/>
                <w:szCs w:val="22"/>
                <w:lang w:val="hu-HU" w:eastAsia="hu-HU"/>
              </w:rPr>
            </w:pPr>
            <w:r w:rsidRPr="00183B5F">
              <w:rPr>
                <w:sz w:val="22"/>
                <w:szCs w:val="22"/>
                <w:vertAlign w:val="superscript"/>
                <w:lang w:val="hu-HU" w:eastAsia="hu-HU"/>
              </w:rPr>
              <w:t xml:space="preserve">a </w:t>
            </w:r>
            <w:r w:rsidRPr="00183B5F">
              <w:rPr>
                <w:sz w:val="22"/>
                <w:szCs w:val="22"/>
                <w:lang w:val="hu-HU" w:eastAsia="hu-HU"/>
              </w:rPr>
              <w:t>RA I vizsgálat 24. héten, RA II vizsgálat 26. héten, RA III vizsgálat 24. és 52. héten</w:t>
            </w:r>
          </w:p>
          <w:p w14:paraId="44B082B8" w14:textId="77777777" w:rsidR="00D0403E" w:rsidRPr="00183B5F" w:rsidRDefault="00943743" w:rsidP="004062FE">
            <w:pPr>
              <w:pStyle w:val="EndnoteText"/>
              <w:tabs>
                <w:tab w:val="clear" w:pos="567"/>
                <w:tab w:val="left" w:pos="708"/>
              </w:tabs>
              <w:suppressAutoHyphens/>
              <w:rPr>
                <w:sz w:val="22"/>
                <w:szCs w:val="22"/>
                <w:lang w:val="hu-HU" w:eastAsia="hu-HU"/>
              </w:rPr>
            </w:pPr>
            <w:r w:rsidRPr="00183B5F">
              <w:rPr>
                <w:sz w:val="22"/>
                <w:szCs w:val="22"/>
                <w:vertAlign w:val="superscript"/>
                <w:lang w:val="hu-HU" w:eastAsia="hu-HU"/>
              </w:rPr>
              <w:t xml:space="preserve">b </w:t>
            </w:r>
            <w:r w:rsidRPr="00183B5F">
              <w:rPr>
                <w:sz w:val="22"/>
                <w:szCs w:val="22"/>
                <w:lang w:val="hu-HU" w:eastAsia="hu-HU"/>
              </w:rPr>
              <w:t>40 mg Humira minden második héten alkalmazva</w:t>
            </w:r>
          </w:p>
          <w:p w14:paraId="42939500" w14:textId="77777777" w:rsidR="00D0403E" w:rsidRPr="00183B5F" w:rsidRDefault="00943743" w:rsidP="004062FE">
            <w:pPr>
              <w:pStyle w:val="EndnoteText"/>
              <w:tabs>
                <w:tab w:val="clear" w:pos="567"/>
                <w:tab w:val="left" w:pos="708"/>
              </w:tabs>
              <w:suppressAutoHyphens/>
              <w:rPr>
                <w:sz w:val="22"/>
                <w:szCs w:val="22"/>
                <w:lang w:val="hu-HU" w:eastAsia="hu-HU"/>
              </w:rPr>
            </w:pPr>
            <w:r w:rsidRPr="00183B5F">
              <w:rPr>
                <w:sz w:val="22"/>
                <w:szCs w:val="22"/>
                <w:vertAlign w:val="superscript"/>
                <w:lang w:val="hu-HU" w:eastAsia="hu-HU"/>
              </w:rPr>
              <w:t xml:space="preserve">c </w:t>
            </w:r>
            <w:r w:rsidRPr="00183B5F">
              <w:rPr>
                <w:sz w:val="22"/>
                <w:szCs w:val="22"/>
                <w:lang w:val="hu-HU" w:eastAsia="hu-HU"/>
              </w:rPr>
              <w:t>MTX =</w:t>
            </w:r>
            <w:r w:rsidRPr="00183B5F">
              <w:rPr>
                <w:sz w:val="22"/>
                <w:lang w:val="hu-HU"/>
              </w:rPr>
              <w:t> metotrexát</w:t>
            </w:r>
          </w:p>
          <w:p w14:paraId="32C7F7C5" w14:textId="77777777" w:rsidR="00D0403E" w:rsidRPr="00183B5F" w:rsidRDefault="00943743" w:rsidP="004062FE">
            <w:pPr>
              <w:pStyle w:val="EndnoteText"/>
              <w:tabs>
                <w:tab w:val="clear" w:pos="567"/>
                <w:tab w:val="left" w:pos="708"/>
              </w:tabs>
              <w:suppressAutoHyphens/>
              <w:rPr>
                <w:sz w:val="22"/>
                <w:lang w:val="hu-HU"/>
              </w:rPr>
            </w:pPr>
            <w:r w:rsidRPr="00183B5F">
              <w:rPr>
                <w:sz w:val="22"/>
                <w:vertAlign w:val="superscript"/>
                <w:lang w:val="hu-HU"/>
              </w:rPr>
              <w:t xml:space="preserve">* * </w:t>
            </w:r>
            <w:r w:rsidRPr="00183B5F">
              <w:rPr>
                <w:sz w:val="22"/>
                <w:lang w:val="hu-HU"/>
              </w:rPr>
              <w:t xml:space="preserve">p &lt; 0,01, Humira </w:t>
            </w:r>
            <w:r w:rsidRPr="00183B5F">
              <w:rPr>
                <w:i/>
                <w:sz w:val="22"/>
                <w:lang w:val="hu-HU"/>
              </w:rPr>
              <w:t>versus</w:t>
            </w:r>
            <w:r w:rsidRPr="00183B5F">
              <w:rPr>
                <w:sz w:val="22"/>
                <w:lang w:val="hu-HU"/>
              </w:rPr>
              <w:t xml:space="preserve"> placebo</w:t>
            </w:r>
          </w:p>
          <w:p w14:paraId="3C790115" w14:textId="77777777" w:rsidR="00D0403E" w:rsidRPr="00183B5F" w:rsidRDefault="00943743" w:rsidP="004062FE">
            <w:pPr>
              <w:spacing w:line="240" w:lineRule="auto"/>
              <w:rPr>
                <w:szCs w:val="22"/>
              </w:rPr>
            </w:pPr>
            <w:r w:rsidRPr="00183B5F">
              <w:rPr>
                <w:szCs w:val="22"/>
              </w:rPr>
              <w:t>NA: nincs adat</w:t>
            </w:r>
          </w:p>
        </w:tc>
      </w:tr>
    </w:tbl>
    <w:p w14:paraId="5C09417C" w14:textId="77777777" w:rsidR="00D0403E" w:rsidRPr="00183B5F" w:rsidRDefault="00D0403E" w:rsidP="004062FE">
      <w:pPr>
        <w:spacing w:line="240" w:lineRule="auto"/>
        <w:rPr>
          <w:szCs w:val="22"/>
        </w:rPr>
      </w:pPr>
    </w:p>
    <w:p w14:paraId="6A221B18" w14:textId="77777777" w:rsidR="00D0403E" w:rsidRPr="00183B5F" w:rsidRDefault="00943743" w:rsidP="004062FE">
      <w:pPr>
        <w:suppressAutoHyphens w:val="0"/>
        <w:spacing w:line="240" w:lineRule="auto"/>
        <w:rPr>
          <w:szCs w:val="22"/>
        </w:rPr>
      </w:pPr>
      <w:r w:rsidRPr="00183B5F">
        <w:rPr>
          <w:szCs w:val="22"/>
        </w:rPr>
        <w:t>Az RA I</w:t>
      </w:r>
      <w:r w:rsidRPr="00183B5F">
        <w:rPr>
          <w:szCs w:val="22"/>
        </w:rPr>
        <w:noBreakHyphen/>
        <w:t xml:space="preserve">IV vizsgálatokban az </w:t>
      </w:r>
      <w:r w:rsidR="005D174E" w:rsidRPr="00183B5F">
        <w:rPr>
          <w:szCs w:val="22"/>
        </w:rPr>
        <w:t>ACR-válasz</w:t>
      </w:r>
      <w:r w:rsidRPr="00183B5F">
        <w:rPr>
          <w:szCs w:val="22"/>
        </w:rPr>
        <w:t xml:space="preserve">t alkotó kritériumok (duzzadt és érzékeny ízületek száma, a beteg és az orvos értékelése a betegség aktivitásáról és a fájdalomról, rokkantsági index (HAQ), CRP (mg/dl) érték) mindegyike egyedileg is javulást mutatott </w:t>
      </w:r>
      <w:r w:rsidR="00D2264C" w:rsidRPr="00183B5F">
        <w:rPr>
          <w:szCs w:val="22"/>
        </w:rPr>
        <w:t xml:space="preserve">a </w:t>
      </w:r>
      <w:r w:rsidRPr="00183B5F">
        <w:rPr>
          <w:szCs w:val="22"/>
        </w:rPr>
        <w:t>24</w:t>
      </w:r>
      <w:r w:rsidR="00D2264C" w:rsidRPr="00183B5F">
        <w:rPr>
          <w:szCs w:val="22"/>
        </w:rPr>
        <w:t>.</w:t>
      </w:r>
      <w:r w:rsidRPr="00183B5F">
        <w:rPr>
          <w:szCs w:val="22"/>
        </w:rPr>
        <w:t xml:space="preserve"> illetve 26</w:t>
      </w:r>
      <w:r w:rsidR="00D2264C" w:rsidRPr="00183B5F">
        <w:rPr>
          <w:szCs w:val="22"/>
        </w:rPr>
        <w:t>.</w:t>
      </w:r>
      <w:r w:rsidRPr="00183B5F">
        <w:rPr>
          <w:szCs w:val="22"/>
        </w:rPr>
        <w:t> hét</w:t>
      </w:r>
      <w:r w:rsidR="00D2264C" w:rsidRPr="00183B5F">
        <w:rPr>
          <w:szCs w:val="22"/>
        </w:rPr>
        <w:t>en</w:t>
      </w:r>
      <w:r w:rsidRPr="00183B5F">
        <w:rPr>
          <w:szCs w:val="22"/>
        </w:rPr>
        <w:t xml:space="preserve"> a placebocsoporthoz képest. A</w:t>
      </w:r>
      <w:r w:rsidR="00D2264C" w:rsidRPr="00183B5F">
        <w:rPr>
          <w:szCs w:val="22"/>
        </w:rPr>
        <w:t>z RA</w:t>
      </w:r>
      <w:r w:rsidRPr="00183B5F">
        <w:rPr>
          <w:szCs w:val="22"/>
        </w:rPr>
        <w:t xml:space="preserve"> III vizsgálatban ez a javuló tendencia 52 héten át tartott.</w:t>
      </w:r>
    </w:p>
    <w:p w14:paraId="39765AE2" w14:textId="77777777" w:rsidR="00D0403E" w:rsidRPr="00183B5F" w:rsidRDefault="00D0403E" w:rsidP="004062FE">
      <w:pPr>
        <w:suppressAutoHyphens w:val="0"/>
        <w:spacing w:line="240" w:lineRule="auto"/>
        <w:rPr>
          <w:szCs w:val="22"/>
        </w:rPr>
      </w:pPr>
    </w:p>
    <w:p w14:paraId="0C8970EA" w14:textId="77777777" w:rsidR="00D0403E" w:rsidRPr="00183B5F" w:rsidRDefault="00943743" w:rsidP="004062FE">
      <w:pPr>
        <w:suppressAutoHyphens w:val="0"/>
        <w:spacing w:line="240" w:lineRule="auto"/>
        <w:rPr>
          <w:szCs w:val="22"/>
        </w:rPr>
      </w:pPr>
      <w:r w:rsidRPr="00183B5F">
        <w:rPr>
          <w:szCs w:val="22"/>
        </w:rPr>
        <w:t xml:space="preserve">Az RA III vizsgálat nyílt kiterjesztésének legfeljebb 10 éves követési fázisában az </w:t>
      </w:r>
      <w:r w:rsidR="005D174E" w:rsidRPr="00183B5F">
        <w:rPr>
          <w:szCs w:val="22"/>
        </w:rPr>
        <w:t>ACR-válasz</w:t>
      </w:r>
      <w:r w:rsidRPr="00183B5F">
        <w:rPr>
          <w:szCs w:val="22"/>
        </w:rPr>
        <w:t>t adó betegek többségénél fennmaradt a válasz. A minden második héten Humira</w:t>
      </w:r>
      <w:r w:rsidRPr="00183B5F">
        <w:rPr>
          <w:szCs w:val="22"/>
        </w:rPr>
        <w:noBreakHyphen/>
        <w:t>val kezelt 207 beteg közül 114 beteg folytatta a 2 hetenkénti 40 mg</w:t>
      </w:r>
      <w:r w:rsidR="00E5381A" w:rsidRPr="00183B5F">
        <w:rPr>
          <w:szCs w:val="22"/>
        </w:rPr>
        <w:noBreakHyphen/>
      </w:r>
      <w:r w:rsidRPr="00183B5F">
        <w:rPr>
          <w:szCs w:val="22"/>
        </w:rPr>
        <w:t>os Humira</w:t>
      </w:r>
      <w:r w:rsidRPr="00183B5F">
        <w:rPr>
          <w:szCs w:val="22"/>
        </w:rPr>
        <w:noBreakHyphen/>
        <w:t>kezelést 5 éven keresztül. Közülük 86 (75,4%) mutatott ACR 20 választ, 72 beteg (63,2%) ACR 50 választ és 41 beteg (36%) ACR 70 választ. A 207 beteg közül 81 beteg folytatta a 2 hetenkénti 40 mg</w:t>
      </w:r>
      <w:r w:rsidRPr="00183B5F">
        <w:rPr>
          <w:szCs w:val="22"/>
        </w:rPr>
        <w:noBreakHyphen/>
        <w:t>os Humira</w:t>
      </w:r>
      <w:r w:rsidRPr="00183B5F">
        <w:rPr>
          <w:szCs w:val="22"/>
        </w:rPr>
        <w:noBreakHyphen/>
        <w:t>kezelést 10 éven keresztül. Közülük 64 beteg (79,0%) adott ACR 20 választ, 56 beteg (69,1%) ACR 50 választ és 43 beteg (53,1%) ACR 70 választ.</w:t>
      </w:r>
    </w:p>
    <w:p w14:paraId="0FBD6833" w14:textId="77777777" w:rsidR="00D0403E" w:rsidRPr="00183B5F" w:rsidRDefault="00D0403E" w:rsidP="004062FE">
      <w:pPr>
        <w:suppressAutoHyphens w:val="0"/>
        <w:spacing w:line="240" w:lineRule="auto"/>
        <w:rPr>
          <w:szCs w:val="22"/>
        </w:rPr>
      </w:pPr>
    </w:p>
    <w:p w14:paraId="70531FED" w14:textId="77777777" w:rsidR="00D0403E" w:rsidRPr="00183B5F" w:rsidRDefault="00943743">
      <w:pPr>
        <w:spacing w:line="240" w:lineRule="auto"/>
        <w:rPr>
          <w:szCs w:val="22"/>
        </w:rPr>
      </w:pPr>
      <w:r w:rsidRPr="00183B5F">
        <w:rPr>
          <w:szCs w:val="22"/>
        </w:rPr>
        <w:t>Az RA IV vizsgálatban, a Humira</w:t>
      </w:r>
      <w:r w:rsidRPr="00183B5F">
        <w:rPr>
          <w:szCs w:val="22"/>
        </w:rPr>
        <w:noBreakHyphen/>
        <w:t xml:space="preserve">val és a standard terápiával kezelt betegek szignifikánsan jobb ACR 20 választ értek el mint a placebóval és a </w:t>
      </w:r>
      <w:r w:rsidR="00E05EEC" w:rsidRPr="00183B5F">
        <w:rPr>
          <w:szCs w:val="22"/>
        </w:rPr>
        <w:t xml:space="preserve">standard </w:t>
      </w:r>
      <w:r w:rsidRPr="00183B5F">
        <w:rPr>
          <w:szCs w:val="22"/>
        </w:rPr>
        <w:t>terápiával kezeltek (p &lt; 0,001).</w:t>
      </w:r>
    </w:p>
    <w:p w14:paraId="3FFCB82A" w14:textId="77777777" w:rsidR="00D0403E" w:rsidRPr="00183B5F" w:rsidRDefault="00D0403E">
      <w:pPr>
        <w:pStyle w:val="EndnoteText"/>
        <w:tabs>
          <w:tab w:val="clear" w:pos="567"/>
        </w:tabs>
        <w:suppressAutoHyphens/>
        <w:rPr>
          <w:sz w:val="22"/>
          <w:szCs w:val="22"/>
          <w:lang w:val="hu-HU" w:eastAsia="hu-HU"/>
        </w:rPr>
      </w:pPr>
    </w:p>
    <w:p w14:paraId="5D3200D7" w14:textId="77777777" w:rsidR="00D0403E" w:rsidRPr="00183B5F" w:rsidRDefault="00943743">
      <w:pPr>
        <w:spacing w:line="240" w:lineRule="auto"/>
        <w:rPr>
          <w:szCs w:val="22"/>
        </w:rPr>
      </w:pPr>
      <w:r w:rsidRPr="00183B5F">
        <w:rPr>
          <w:szCs w:val="22"/>
        </w:rPr>
        <w:t>Az RA I</w:t>
      </w:r>
      <w:r w:rsidRPr="00183B5F">
        <w:rPr>
          <w:szCs w:val="22"/>
        </w:rPr>
        <w:noBreakHyphen/>
        <w:t>IV vizsgálatban, a Humira</w:t>
      </w:r>
      <w:r w:rsidRPr="00183B5F">
        <w:rPr>
          <w:szCs w:val="22"/>
        </w:rPr>
        <w:noBreakHyphen/>
        <w:t>val kezelt betegek statisztikailag szignifikánsan jobb ACR 20 és 50 választ értek el a placebocsoporttal összehasonlítva, már egy vagy két héttel a vizsgálat kezdete után.</w:t>
      </w:r>
    </w:p>
    <w:p w14:paraId="62573349" w14:textId="77777777" w:rsidR="006B70C9" w:rsidRPr="00183B5F" w:rsidRDefault="006B70C9">
      <w:pPr>
        <w:spacing w:line="240" w:lineRule="auto"/>
        <w:rPr>
          <w:szCs w:val="22"/>
        </w:rPr>
      </w:pPr>
    </w:p>
    <w:p w14:paraId="46576909" w14:textId="77777777" w:rsidR="00D0403E" w:rsidRPr="00183B5F" w:rsidRDefault="00943743" w:rsidP="004062FE">
      <w:pPr>
        <w:spacing w:line="240" w:lineRule="auto"/>
        <w:rPr>
          <w:szCs w:val="22"/>
        </w:rPr>
      </w:pPr>
      <w:r w:rsidRPr="00183B5F">
        <w:rPr>
          <w:szCs w:val="22"/>
        </w:rPr>
        <w:t xml:space="preserve">Az RA V vizsgálatban, amelybe </w:t>
      </w:r>
      <w:r w:rsidR="001A6E66" w:rsidRPr="00183B5F">
        <w:rPr>
          <w:szCs w:val="22"/>
        </w:rPr>
        <w:t>metotrexát-keze</w:t>
      </w:r>
      <w:r w:rsidRPr="00183B5F">
        <w:rPr>
          <w:szCs w:val="22"/>
        </w:rPr>
        <w:t xml:space="preserve">lésben korábban nem részesült korai rheumatoid arthritises betegeket vontak be, a Humira/metotrexát kombinációs kezelés gyorsabb és jelentősen nagyobb </w:t>
      </w:r>
      <w:r w:rsidR="005D174E" w:rsidRPr="00183B5F">
        <w:rPr>
          <w:szCs w:val="22"/>
        </w:rPr>
        <w:t>ACR-válasz</w:t>
      </w:r>
      <w:r w:rsidRPr="00183B5F">
        <w:rPr>
          <w:szCs w:val="22"/>
        </w:rPr>
        <w:t xml:space="preserve">t adott, mint a metotrexát, vagy a </w:t>
      </w:r>
      <w:r w:rsidR="005C406C" w:rsidRPr="00183B5F">
        <w:rPr>
          <w:szCs w:val="22"/>
        </w:rPr>
        <w:t>Humira-monoterá</w:t>
      </w:r>
      <w:r w:rsidRPr="00183B5F">
        <w:rPr>
          <w:szCs w:val="22"/>
        </w:rPr>
        <w:t xml:space="preserve">pia az 52. héten és a hatás fennmaradt a 104. hétig (lásd </w:t>
      </w:r>
      <w:r w:rsidR="007D329A" w:rsidRPr="00183B5F">
        <w:rPr>
          <w:szCs w:val="22"/>
        </w:rPr>
        <w:t>9</w:t>
      </w:r>
      <w:r w:rsidRPr="00183B5F">
        <w:rPr>
          <w:szCs w:val="22"/>
        </w:rPr>
        <w:t>. táblázat).</w:t>
      </w:r>
    </w:p>
    <w:p w14:paraId="22655F3B" w14:textId="77777777" w:rsidR="00D0403E" w:rsidRPr="00183B5F" w:rsidRDefault="00D0403E" w:rsidP="004062FE">
      <w:pPr>
        <w:keepNext/>
        <w:spacing w:line="240" w:lineRule="auto"/>
        <w:rPr>
          <w:szCs w:val="22"/>
        </w:rPr>
      </w:pPr>
    </w:p>
    <w:p w14:paraId="26030F8F" w14:textId="77777777" w:rsidR="00D0403E" w:rsidRPr="00183B5F" w:rsidRDefault="00943743" w:rsidP="004062FE">
      <w:pPr>
        <w:keepNext/>
        <w:spacing w:line="240" w:lineRule="auto"/>
        <w:jc w:val="center"/>
        <w:rPr>
          <w:b/>
          <w:bCs/>
          <w:szCs w:val="22"/>
        </w:rPr>
      </w:pPr>
      <w:r w:rsidRPr="00183B5F">
        <w:rPr>
          <w:b/>
          <w:bCs/>
          <w:szCs w:val="22"/>
        </w:rPr>
        <w:t xml:space="preserve">9. táblázat </w:t>
      </w:r>
    </w:p>
    <w:p w14:paraId="5E78B278" w14:textId="77777777" w:rsidR="00D0403E" w:rsidRPr="00183B5F" w:rsidRDefault="00943743" w:rsidP="004062FE">
      <w:pPr>
        <w:keepNext/>
        <w:spacing w:line="240" w:lineRule="auto"/>
        <w:jc w:val="center"/>
        <w:rPr>
          <w:b/>
          <w:bCs/>
          <w:szCs w:val="22"/>
        </w:rPr>
      </w:pPr>
      <w:r w:rsidRPr="00183B5F">
        <w:rPr>
          <w:b/>
          <w:bCs/>
          <w:szCs w:val="22"/>
        </w:rPr>
        <w:t>ACR-válasz az RA V vizsgálatban (a betegek százaléka)</w:t>
      </w:r>
    </w:p>
    <w:p w14:paraId="57639769" w14:textId="77777777" w:rsidR="00D0403E" w:rsidRPr="00183B5F" w:rsidRDefault="00D0403E" w:rsidP="009765F2">
      <w:pPr>
        <w:keepNext/>
        <w:spacing w:line="240" w:lineRule="auto"/>
        <w:rPr>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94"/>
        <w:gridCol w:w="1299"/>
        <w:gridCol w:w="1299"/>
        <w:gridCol w:w="1460"/>
        <w:gridCol w:w="1291"/>
        <w:gridCol w:w="1287"/>
        <w:gridCol w:w="1354"/>
      </w:tblGrid>
      <w:tr w:rsidR="00011D2F" w14:paraId="09D9D08B" w14:textId="77777777" w:rsidTr="00832DC3">
        <w:trPr>
          <w:cantSplit/>
        </w:trPr>
        <w:tc>
          <w:tcPr>
            <w:tcW w:w="1310" w:type="dxa"/>
          </w:tcPr>
          <w:p w14:paraId="22B46D9D" w14:textId="77777777" w:rsidR="00D0403E" w:rsidRPr="00183B5F" w:rsidRDefault="00943743" w:rsidP="004062FE">
            <w:pPr>
              <w:keepNext/>
              <w:spacing w:line="240" w:lineRule="auto"/>
              <w:rPr>
                <w:b/>
              </w:rPr>
            </w:pPr>
            <w:r w:rsidRPr="00183B5F">
              <w:rPr>
                <w:b/>
              </w:rPr>
              <w:t>Válasz</w:t>
            </w:r>
          </w:p>
        </w:tc>
        <w:tc>
          <w:tcPr>
            <w:tcW w:w="1310" w:type="dxa"/>
          </w:tcPr>
          <w:p w14:paraId="7EDDEB09" w14:textId="77777777" w:rsidR="00D0403E" w:rsidRPr="00183B5F" w:rsidRDefault="00943743" w:rsidP="004062FE">
            <w:pPr>
              <w:keepNext/>
              <w:spacing w:line="240" w:lineRule="auto"/>
              <w:rPr>
                <w:b/>
              </w:rPr>
            </w:pPr>
            <w:r w:rsidRPr="00183B5F">
              <w:rPr>
                <w:b/>
              </w:rPr>
              <w:t>MTX (n</w:t>
            </w:r>
            <w:r w:rsidR="003F64BC" w:rsidRPr="00183B5F">
              <w:rPr>
                <w:b/>
              </w:rPr>
              <w:t> </w:t>
            </w:r>
            <w:r w:rsidRPr="00183B5F">
              <w:rPr>
                <w:b/>
              </w:rPr>
              <w:t>=</w:t>
            </w:r>
            <w:r w:rsidR="003F64BC" w:rsidRPr="00183B5F">
              <w:rPr>
                <w:b/>
              </w:rPr>
              <w:t> </w:t>
            </w:r>
            <w:r w:rsidRPr="00183B5F">
              <w:rPr>
                <w:b/>
              </w:rPr>
              <w:t>257)</w:t>
            </w:r>
          </w:p>
        </w:tc>
        <w:tc>
          <w:tcPr>
            <w:tcW w:w="1310" w:type="dxa"/>
          </w:tcPr>
          <w:p w14:paraId="228EB1A8" w14:textId="77777777" w:rsidR="00D0403E" w:rsidRPr="00183B5F" w:rsidRDefault="00943743" w:rsidP="004062FE">
            <w:pPr>
              <w:keepNext/>
              <w:spacing w:line="240" w:lineRule="auto"/>
              <w:rPr>
                <w:b/>
              </w:rPr>
            </w:pPr>
            <w:r w:rsidRPr="00183B5F">
              <w:rPr>
                <w:b/>
              </w:rPr>
              <w:t>Humira (n</w:t>
            </w:r>
            <w:r w:rsidR="003F64BC" w:rsidRPr="00183B5F">
              <w:rPr>
                <w:b/>
              </w:rPr>
              <w:t> </w:t>
            </w:r>
            <w:r w:rsidRPr="00183B5F">
              <w:rPr>
                <w:b/>
              </w:rPr>
              <w:t>=</w:t>
            </w:r>
            <w:r w:rsidR="003F64BC" w:rsidRPr="00183B5F">
              <w:rPr>
                <w:b/>
              </w:rPr>
              <w:t> </w:t>
            </w:r>
            <w:r w:rsidRPr="00183B5F">
              <w:rPr>
                <w:b/>
              </w:rPr>
              <w:t>274)</w:t>
            </w:r>
          </w:p>
        </w:tc>
        <w:tc>
          <w:tcPr>
            <w:tcW w:w="1363" w:type="dxa"/>
          </w:tcPr>
          <w:p w14:paraId="57423765" w14:textId="77777777" w:rsidR="00D0403E" w:rsidRPr="00183B5F" w:rsidRDefault="00943743" w:rsidP="004062FE">
            <w:pPr>
              <w:keepNext/>
              <w:spacing w:line="240" w:lineRule="auto"/>
              <w:rPr>
                <w:b/>
              </w:rPr>
            </w:pPr>
            <w:r w:rsidRPr="00183B5F">
              <w:rPr>
                <w:b/>
              </w:rPr>
              <w:t>Humira/MTX (n</w:t>
            </w:r>
            <w:r w:rsidR="003F64BC" w:rsidRPr="00183B5F">
              <w:rPr>
                <w:b/>
              </w:rPr>
              <w:t> </w:t>
            </w:r>
            <w:r w:rsidRPr="00183B5F">
              <w:rPr>
                <w:b/>
              </w:rPr>
              <w:t>=</w:t>
            </w:r>
            <w:r w:rsidR="003F64BC" w:rsidRPr="00183B5F">
              <w:rPr>
                <w:b/>
              </w:rPr>
              <w:t> </w:t>
            </w:r>
            <w:r w:rsidRPr="00183B5F">
              <w:rPr>
                <w:b/>
              </w:rPr>
              <w:t xml:space="preserve">268) </w:t>
            </w:r>
          </w:p>
        </w:tc>
        <w:tc>
          <w:tcPr>
            <w:tcW w:w="1308" w:type="dxa"/>
          </w:tcPr>
          <w:p w14:paraId="225414D4" w14:textId="77777777" w:rsidR="00D0403E" w:rsidRPr="00183B5F" w:rsidRDefault="00943743" w:rsidP="004062FE">
            <w:pPr>
              <w:keepNext/>
              <w:spacing w:line="240" w:lineRule="auto"/>
              <w:rPr>
                <w:b/>
              </w:rPr>
            </w:pPr>
            <w:r w:rsidRPr="00183B5F">
              <w:rPr>
                <w:b/>
              </w:rPr>
              <w:t xml:space="preserve">p-érték </w:t>
            </w:r>
            <w:r w:rsidRPr="00183B5F">
              <w:rPr>
                <w:b/>
                <w:vertAlign w:val="superscript"/>
              </w:rPr>
              <w:t>a</w:t>
            </w:r>
          </w:p>
        </w:tc>
        <w:tc>
          <w:tcPr>
            <w:tcW w:w="1304" w:type="dxa"/>
          </w:tcPr>
          <w:p w14:paraId="0EAFDB84" w14:textId="77777777" w:rsidR="00D0403E" w:rsidRPr="00183B5F" w:rsidRDefault="00943743" w:rsidP="004062FE">
            <w:pPr>
              <w:keepNext/>
              <w:spacing w:line="240" w:lineRule="auto"/>
              <w:rPr>
                <w:b/>
              </w:rPr>
            </w:pPr>
            <w:r w:rsidRPr="00183B5F">
              <w:rPr>
                <w:b/>
              </w:rPr>
              <w:t xml:space="preserve">p-érték </w:t>
            </w:r>
            <w:r w:rsidRPr="00183B5F">
              <w:rPr>
                <w:b/>
                <w:vertAlign w:val="superscript"/>
              </w:rPr>
              <w:t>b</w:t>
            </w:r>
          </w:p>
        </w:tc>
        <w:tc>
          <w:tcPr>
            <w:tcW w:w="1379" w:type="dxa"/>
          </w:tcPr>
          <w:p w14:paraId="0B8509E8" w14:textId="77777777" w:rsidR="00D0403E" w:rsidRPr="00183B5F" w:rsidRDefault="00943743" w:rsidP="004062FE">
            <w:pPr>
              <w:keepNext/>
              <w:spacing w:line="240" w:lineRule="auto"/>
              <w:rPr>
                <w:b/>
              </w:rPr>
            </w:pPr>
            <w:r w:rsidRPr="00183B5F">
              <w:rPr>
                <w:b/>
              </w:rPr>
              <w:t xml:space="preserve">p-érték </w:t>
            </w:r>
            <w:r w:rsidRPr="00183B5F">
              <w:rPr>
                <w:b/>
                <w:vertAlign w:val="superscript"/>
              </w:rPr>
              <w:t>c</w:t>
            </w:r>
          </w:p>
        </w:tc>
      </w:tr>
      <w:tr w:rsidR="00011D2F" w14:paraId="147D2510" w14:textId="77777777" w:rsidTr="00832DC3">
        <w:trPr>
          <w:cantSplit/>
        </w:trPr>
        <w:tc>
          <w:tcPr>
            <w:tcW w:w="1310" w:type="dxa"/>
          </w:tcPr>
          <w:p w14:paraId="04220E03" w14:textId="77777777" w:rsidR="00D0403E" w:rsidRPr="00183B5F" w:rsidRDefault="00943743" w:rsidP="004062FE">
            <w:pPr>
              <w:keepNext/>
              <w:spacing w:line="240" w:lineRule="auto"/>
              <w:rPr>
                <w:szCs w:val="22"/>
              </w:rPr>
            </w:pPr>
            <w:r w:rsidRPr="00183B5F">
              <w:rPr>
                <w:szCs w:val="22"/>
              </w:rPr>
              <w:t>ACR 20</w:t>
            </w:r>
          </w:p>
        </w:tc>
        <w:tc>
          <w:tcPr>
            <w:tcW w:w="1310" w:type="dxa"/>
          </w:tcPr>
          <w:p w14:paraId="29802E55" w14:textId="77777777" w:rsidR="00D0403E" w:rsidRPr="00183B5F" w:rsidRDefault="00D0403E" w:rsidP="004062FE">
            <w:pPr>
              <w:keepNext/>
              <w:spacing w:line="240" w:lineRule="auto"/>
              <w:jc w:val="center"/>
              <w:rPr>
                <w:szCs w:val="22"/>
              </w:rPr>
            </w:pPr>
          </w:p>
        </w:tc>
        <w:tc>
          <w:tcPr>
            <w:tcW w:w="1310" w:type="dxa"/>
          </w:tcPr>
          <w:p w14:paraId="357E30EC" w14:textId="77777777" w:rsidR="00D0403E" w:rsidRPr="00183B5F" w:rsidRDefault="00D0403E" w:rsidP="004062FE">
            <w:pPr>
              <w:keepNext/>
              <w:spacing w:line="240" w:lineRule="auto"/>
              <w:jc w:val="center"/>
              <w:rPr>
                <w:szCs w:val="22"/>
              </w:rPr>
            </w:pPr>
          </w:p>
        </w:tc>
        <w:tc>
          <w:tcPr>
            <w:tcW w:w="1363" w:type="dxa"/>
          </w:tcPr>
          <w:p w14:paraId="4527907F" w14:textId="77777777" w:rsidR="00D0403E" w:rsidRPr="00183B5F" w:rsidRDefault="00D0403E" w:rsidP="004062FE">
            <w:pPr>
              <w:keepNext/>
              <w:spacing w:line="240" w:lineRule="auto"/>
              <w:jc w:val="center"/>
              <w:rPr>
                <w:szCs w:val="22"/>
              </w:rPr>
            </w:pPr>
          </w:p>
        </w:tc>
        <w:tc>
          <w:tcPr>
            <w:tcW w:w="1308" w:type="dxa"/>
          </w:tcPr>
          <w:p w14:paraId="19DF2BE9" w14:textId="77777777" w:rsidR="00D0403E" w:rsidRPr="00183B5F" w:rsidRDefault="00D0403E" w:rsidP="004062FE">
            <w:pPr>
              <w:keepNext/>
              <w:spacing w:line="240" w:lineRule="auto"/>
              <w:jc w:val="center"/>
              <w:rPr>
                <w:szCs w:val="22"/>
              </w:rPr>
            </w:pPr>
          </w:p>
        </w:tc>
        <w:tc>
          <w:tcPr>
            <w:tcW w:w="1304" w:type="dxa"/>
          </w:tcPr>
          <w:p w14:paraId="21A43FF8" w14:textId="77777777" w:rsidR="00D0403E" w:rsidRPr="00183B5F" w:rsidRDefault="00D0403E" w:rsidP="004062FE">
            <w:pPr>
              <w:keepNext/>
              <w:spacing w:line="240" w:lineRule="auto"/>
              <w:jc w:val="center"/>
              <w:rPr>
                <w:szCs w:val="22"/>
              </w:rPr>
            </w:pPr>
          </w:p>
        </w:tc>
        <w:tc>
          <w:tcPr>
            <w:tcW w:w="1379" w:type="dxa"/>
          </w:tcPr>
          <w:p w14:paraId="3536DB05" w14:textId="77777777" w:rsidR="00D0403E" w:rsidRPr="00183B5F" w:rsidRDefault="00D0403E" w:rsidP="004062FE">
            <w:pPr>
              <w:keepNext/>
              <w:spacing w:line="240" w:lineRule="auto"/>
              <w:jc w:val="center"/>
              <w:rPr>
                <w:szCs w:val="22"/>
              </w:rPr>
            </w:pPr>
          </w:p>
        </w:tc>
      </w:tr>
      <w:tr w:rsidR="00011D2F" w14:paraId="540EDFA8" w14:textId="77777777" w:rsidTr="00832DC3">
        <w:trPr>
          <w:cantSplit/>
        </w:trPr>
        <w:tc>
          <w:tcPr>
            <w:tcW w:w="1310" w:type="dxa"/>
          </w:tcPr>
          <w:p w14:paraId="20038CEA" w14:textId="77777777" w:rsidR="00D0403E" w:rsidRPr="00183B5F" w:rsidRDefault="00943743" w:rsidP="004062FE">
            <w:pPr>
              <w:keepNext/>
              <w:spacing w:line="240" w:lineRule="auto"/>
              <w:jc w:val="right"/>
              <w:rPr>
                <w:szCs w:val="22"/>
              </w:rPr>
            </w:pPr>
            <w:r w:rsidRPr="00183B5F">
              <w:rPr>
                <w:szCs w:val="22"/>
              </w:rPr>
              <w:t>52. hét</w:t>
            </w:r>
          </w:p>
        </w:tc>
        <w:tc>
          <w:tcPr>
            <w:tcW w:w="1310" w:type="dxa"/>
          </w:tcPr>
          <w:p w14:paraId="4341A607" w14:textId="77777777" w:rsidR="00D0403E" w:rsidRPr="00183B5F" w:rsidRDefault="00943743" w:rsidP="004062FE">
            <w:pPr>
              <w:keepNext/>
              <w:spacing w:line="240" w:lineRule="auto"/>
              <w:jc w:val="center"/>
              <w:rPr>
                <w:szCs w:val="22"/>
              </w:rPr>
            </w:pPr>
            <w:r w:rsidRPr="00183B5F">
              <w:rPr>
                <w:szCs w:val="22"/>
              </w:rPr>
              <w:t>62,6%</w:t>
            </w:r>
          </w:p>
        </w:tc>
        <w:tc>
          <w:tcPr>
            <w:tcW w:w="1310" w:type="dxa"/>
          </w:tcPr>
          <w:p w14:paraId="488B3D26" w14:textId="77777777" w:rsidR="00D0403E" w:rsidRPr="00183B5F" w:rsidRDefault="00943743" w:rsidP="004062FE">
            <w:pPr>
              <w:keepNext/>
              <w:spacing w:line="240" w:lineRule="auto"/>
              <w:jc w:val="center"/>
              <w:rPr>
                <w:szCs w:val="22"/>
              </w:rPr>
            </w:pPr>
            <w:r w:rsidRPr="00183B5F">
              <w:rPr>
                <w:szCs w:val="22"/>
              </w:rPr>
              <w:t>54,4%</w:t>
            </w:r>
          </w:p>
        </w:tc>
        <w:tc>
          <w:tcPr>
            <w:tcW w:w="1363" w:type="dxa"/>
          </w:tcPr>
          <w:p w14:paraId="20B5B625" w14:textId="77777777" w:rsidR="00D0403E" w:rsidRPr="00183B5F" w:rsidRDefault="00943743" w:rsidP="004062FE">
            <w:pPr>
              <w:keepNext/>
              <w:spacing w:line="240" w:lineRule="auto"/>
              <w:jc w:val="center"/>
              <w:rPr>
                <w:szCs w:val="22"/>
              </w:rPr>
            </w:pPr>
            <w:r w:rsidRPr="00183B5F">
              <w:rPr>
                <w:szCs w:val="22"/>
              </w:rPr>
              <w:t>72,8%</w:t>
            </w:r>
          </w:p>
        </w:tc>
        <w:tc>
          <w:tcPr>
            <w:tcW w:w="1308" w:type="dxa"/>
          </w:tcPr>
          <w:p w14:paraId="76196D06" w14:textId="77777777" w:rsidR="00D0403E" w:rsidRPr="00183B5F" w:rsidRDefault="00943743" w:rsidP="004062FE">
            <w:pPr>
              <w:keepNext/>
              <w:spacing w:line="240" w:lineRule="auto"/>
              <w:jc w:val="center"/>
              <w:rPr>
                <w:szCs w:val="22"/>
              </w:rPr>
            </w:pPr>
            <w:r w:rsidRPr="00183B5F">
              <w:rPr>
                <w:szCs w:val="22"/>
              </w:rPr>
              <w:t>0,013</w:t>
            </w:r>
          </w:p>
        </w:tc>
        <w:tc>
          <w:tcPr>
            <w:tcW w:w="1304" w:type="dxa"/>
          </w:tcPr>
          <w:p w14:paraId="4878793D" w14:textId="77777777" w:rsidR="00D0403E" w:rsidRPr="00183B5F" w:rsidRDefault="00943743" w:rsidP="004062FE">
            <w:pPr>
              <w:keepNext/>
              <w:spacing w:line="240" w:lineRule="auto"/>
              <w:jc w:val="center"/>
              <w:rPr>
                <w:szCs w:val="22"/>
              </w:rPr>
            </w:pPr>
            <w:r w:rsidRPr="00183B5F">
              <w:rPr>
                <w:szCs w:val="22"/>
              </w:rPr>
              <w:t>&lt; 0,001</w:t>
            </w:r>
          </w:p>
        </w:tc>
        <w:tc>
          <w:tcPr>
            <w:tcW w:w="1379" w:type="dxa"/>
          </w:tcPr>
          <w:p w14:paraId="50CFEEF4" w14:textId="77777777" w:rsidR="00D0403E" w:rsidRPr="00183B5F" w:rsidRDefault="00943743" w:rsidP="004062FE">
            <w:pPr>
              <w:keepNext/>
              <w:spacing w:line="240" w:lineRule="auto"/>
              <w:jc w:val="center"/>
              <w:rPr>
                <w:szCs w:val="22"/>
              </w:rPr>
            </w:pPr>
            <w:r w:rsidRPr="00183B5F">
              <w:rPr>
                <w:szCs w:val="22"/>
              </w:rPr>
              <w:t>0,043</w:t>
            </w:r>
          </w:p>
        </w:tc>
      </w:tr>
      <w:tr w:rsidR="00011D2F" w14:paraId="4333B15F" w14:textId="77777777" w:rsidTr="00832DC3">
        <w:trPr>
          <w:cantSplit/>
        </w:trPr>
        <w:tc>
          <w:tcPr>
            <w:tcW w:w="1310" w:type="dxa"/>
          </w:tcPr>
          <w:p w14:paraId="59A701C7" w14:textId="77777777" w:rsidR="00D0403E" w:rsidRPr="00183B5F" w:rsidRDefault="00943743" w:rsidP="004062FE">
            <w:pPr>
              <w:keepNext/>
              <w:spacing w:line="240" w:lineRule="auto"/>
              <w:jc w:val="right"/>
              <w:rPr>
                <w:szCs w:val="22"/>
              </w:rPr>
            </w:pPr>
            <w:r w:rsidRPr="00183B5F">
              <w:rPr>
                <w:szCs w:val="22"/>
              </w:rPr>
              <w:t>104. hét</w:t>
            </w:r>
          </w:p>
        </w:tc>
        <w:tc>
          <w:tcPr>
            <w:tcW w:w="1310" w:type="dxa"/>
          </w:tcPr>
          <w:p w14:paraId="76FC0FA6" w14:textId="77777777" w:rsidR="00D0403E" w:rsidRPr="00183B5F" w:rsidRDefault="00943743" w:rsidP="004062FE">
            <w:pPr>
              <w:keepNext/>
              <w:spacing w:line="240" w:lineRule="auto"/>
              <w:jc w:val="center"/>
              <w:rPr>
                <w:szCs w:val="22"/>
              </w:rPr>
            </w:pPr>
            <w:r w:rsidRPr="00183B5F">
              <w:rPr>
                <w:szCs w:val="22"/>
              </w:rPr>
              <w:t>56,0%</w:t>
            </w:r>
          </w:p>
        </w:tc>
        <w:tc>
          <w:tcPr>
            <w:tcW w:w="1310" w:type="dxa"/>
          </w:tcPr>
          <w:p w14:paraId="3EF143C6" w14:textId="77777777" w:rsidR="00D0403E" w:rsidRPr="00183B5F" w:rsidRDefault="00943743" w:rsidP="004062FE">
            <w:pPr>
              <w:keepNext/>
              <w:spacing w:line="240" w:lineRule="auto"/>
              <w:jc w:val="center"/>
              <w:rPr>
                <w:szCs w:val="22"/>
              </w:rPr>
            </w:pPr>
            <w:r w:rsidRPr="00183B5F">
              <w:rPr>
                <w:szCs w:val="22"/>
              </w:rPr>
              <w:t>49,3%</w:t>
            </w:r>
          </w:p>
        </w:tc>
        <w:tc>
          <w:tcPr>
            <w:tcW w:w="1363" w:type="dxa"/>
          </w:tcPr>
          <w:p w14:paraId="48C1CF22" w14:textId="77777777" w:rsidR="00D0403E" w:rsidRPr="00183B5F" w:rsidRDefault="00943743" w:rsidP="004062FE">
            <w:pPr>
              <w:keepNext/>
              <w:spacing w:line="240" w:lineRule="auto"/>
              <w:jc w:val="center"/>
              <w:rPr>
                <w:szCs w:val="22"/>
              </w:rPr>
            </w:pPr>
            <w:r w:rsidRPr="00183B5F">
              <w:rPr>
                <w:szCs w:val="22"/>
              </w:rPr>
              <w:t>69,4%</w:t>
            </w:r>
          </w:p>
        </w:tc>
        <w:tc>
          <w:tcPr>
            <w:tcW w:w="1308" w:type="dxa"/>
          </w:tcPr>
          <w:p w14:paraId="4E341AC6" w14:textId="77777777" w:rsidR="00D0403E" w:rsidRPr="00183B5F" w:rsidRDefault="00943743" w:rsidP="004062FE">
            <w:pPr>
              <w:keepNext/>
              <w:spacing w:line="240" w:lineRule="auto"/>
              <w:jc w:val="center"/>
              <w:rPr>
                <w:szCs w:val="22"/>
              </w:rPr>
            </w:pPr>
            <w:r w:rsidRPr="00183B5F">
              <w:rPr>
                <w:szCs w:val="22"/>
              </w:rPr>
              <w:t>0,002</w:t>
            </w:r>
          </w:p>
        </w:tc>
        <w:tc>
          <w:tcPr>
            <w:tcW w:w="1304" w:type="dxa"/>
          </w:tcPr>
          <w:p w14:paraId="3FF40C73" w14:textId="77777777" w:rsidR="00D0403E" w:rsidRPr="00183B5F" w:rsidRDefault="00943743" w:rsidP="004062FE">
            <w:pPr>
              <w:keepNext/>
              <w:spacing w:line="240" w:lineRule="auto"/>
              <w:jc w:val="center"/>
              <w:rPr>
                <w:szCs w:val="22"/>
              </w:rPr>
            </w:pPr>
            <w:r w:rsidRPr="00183B5F">
              <w:rPr>
                <w:szCs w:val="22"/>
              </w:rPr>
              <w:t>&lt; 0,001</w:t>
            </w:r>
          </w:p>
        </w:tc>
        <w:tc>
          <w:tcPr>
            <w:tcW w:w="1379" w:type="dxa"/>
          </w:tcPr>
          <w:p w14:paraId="108E6E8C" w14:textId="77777777" w:rsidR="00D0403E" w:rsidRPr="00183B5F" w:rsidRDefault="00943743" w:rsidP="004062FE">
            <w:pPr>
              <w:keepNext/>
              <w:spacing w:line="240" w:lineRule="auto"/>
              <w:jc w:val="center"/>
              <w:rPr>
                <w:szCs w:val="22"/>
              </w:rPr>
            </w:pPr>
            <w:r w:rsidRPr="00183B5F">
              <w:rPr>
                <w:szCs w:val="22"/>
              </w:rPr>
              <w:t>0,140</w:t>
            </w:r>
          </w:p>
        </w:tc>
      </w:tr>
      <w:tr w:rsidR="00011D2F" w14:paraId="6C798E11" w14:textId="77777777" w:rsidTr="00832DC3">
        <w:trPr>
          <w:cantSplit/>
        </w:trPr>
        <w:tc>
          <w:tcPr>
            <w:tcW w:w="1310" w:type="dxa"/>
          </w:tcPr>
          <w:p w14:paraId="3128726A" w14:textId="77777777" w:rsidR="00D0403E" w:rsidRPr="00183B5F" w:rsidRDefault="00943743" w:rsidP="004062FE">
            <w:pPr>
              <w:keepNext/>
              <w:spacing w:line="240" w:lineRule="auto"/>
              <w:rPr>
                <w:szCs w:val="22"/>
              </w:rPr>
            </w:pPr>
            <w:r w:rsidRPr="00183B5F">
              <w:rPr>
                <w:szCs w:val="22"/>
              </w:rPr>
              <w:t>ACR 50</w:t>
            </w:r>
          </w:p>
        </w:tc>
        <w:tc>
          <w:tcPr>
            <w:tcW w:w="1310" w:type="dxa"/>
          </w:tcPr>
          <w:p w14:paraId="77BA0B5F" w14:textId="77777777" w:rsidR="00D0403E" w:rsidRPr="00183B5F" w:rsidRDefault="00D0403E" w:rsidP="004062FE">
            <w:pPr>
              <w:keepNext/>
              <w:spacing w:line="240" w:lineRule="auto"/>
              <w:jc w:val="center"/>
              <w:rPr>
                <w:szCs w:val="22"/>
              </w:rPr>
            </w:pPr>
          </w:p>
        </w:tc>
        <w:tc>
          <w:tcPr>
            <w:tcW w:w="1310" w:type="dxa"/>
          </w:tcPr>
          <w:p w14:paraId="37532490" w14:textId="77777777" w:rsidR="00D0403E" w:rsidRPr="00183B5F" w:rsidRDefault="00D0403E" w:rsidP="004062FE">
            <w:pPr>
              <w:keepNext/>
              <w:spacing w:line="240" w:lineRule="auto"/>
              <w:jc w:val="center"/>
              <w:rPr>
                <w:szCs w:val="22"/>
              </w:rPr>
            </w:pPr>
          </w:p>
        </w:tc>
        <w:tc>
          <w:tcPr>
            <w:tcW w:w="1363" w:type="dxa"/>
          </w:tcPr>
          <w:p w14:paraId="0BAE7544" w14:textId="77777777" w:rsidR="00D0403E" w:rsidRPr="00183B5F" w:rsidRDefault="00D0403E" w:rsidP="004062FE">
            <w:pPr>
              <w:keepNext/>
              <w:spacing w:line="240" w:lineRule="auto"/>
              <w:jc w:val="center"/>
              <w:rPr>
                <w:szCs w:val="22"/>
              </w:rPr>
            </w:pPr>
          </w:p>
        </w:tc>
        <w:tc>
          <w:tcPr>
            <w:tcW w:w="1308" w:type="dxa"/>
          </w:tcPr>
          <w:p w14:paraId="3ED57A16" w14:textId="77777777" w:rsidR="00D0403E" w:rsidRPr="00183B5F" w:rsidRDefault="00D0403E" w:rsidP="004062FE">
            <w:pPr>
              <w:keepNext/>
              <w:spacing w:line="240" w:lineRule="auto"/>
              <w:jc w:val="center"/>
              <w:rPr>
                <w:szCs w:val="22"/>
              </w:rPr>
            </w:pPr>
          </w:p>
        </w:tc>
        <w:tc>
          <w:tcPr>
            <w:tcW w:w="1304" w:type="dxa"/>
          </w:tcPr>
          <w:p w14:paraId="1EB9634E" w14:textId="77777777" w:rsidR="00D0403E" w:rsidRPr="00183B5F" w:rsidRDefault="00D0403E" w:rsidP="004062FE">
            <w:pPr>
              <w:keepNext/>
              <w:spacing w:line="240" w:lineRule="auto"/>
              <w:jc w:val="center"/>
              <w:rPr>
                <w:szCs w:val="22"/>
              </w:rPr>
            </w:pPr>
          </w:p>
        </w:tc>
        <w:tc>
          <w:tcPr>
            <w:tcW w:w="1379" w:type="dxa"/>
          </w:tcPr>
          <w:p w14:paraId="49235B7C" w14:textId="77777777" w:rsidR="00D0403E" w:rsidRPr="00183B5F" w:rsidRDefault="00D0403E" w:rsidP="004062FE">
            <w:pPr>
              <w:keepNext/>
              <w:spacing w:line="240" w:lineRule="auto"/>
              <w:jc w:val="center"/>
              <w:rPr>
                <w:szCs w:val="22"/>
              </w:rPr>
            </w:pPr>
          </w:p>
        </w:tc>
      </w:tr>
      <w:tr w:rsidR="00011D2F" w14:paraId="6E20DCD3" w14:textId="77777777" w:rsidTr="00832DC3">
        <w:trPr>
          <w:cantSplit/>
        </w:trPr>
        <w:tc>
          <w:tcPr>
            <w:tcW w:w="1310" w:type="dxa"/>
          </w:tcPr>
          <w:p w14:paraId="0E4C2335" w14:textId="77777777" w:rsidR="00D0403E" w:rsidRPr="00183B5F" w:rsidRDefault="00943743" w:rsidP="004062FE">
            <w:pPr>
              <w:keepNext/>
              <w:spacing w:line="240" w:lineRule="auto"/>
              <w:jc w:val="right"/>
              <w:rPr>
                <w:szCs w:val="22"/>
              </w:rPr>
            </w:pPr>
            <w:r w:rsidRPr="00183B5F">
              <w:rPr>
                <w:szCs w:val="22"/>
              </w:rPr>
              <w:t>52. hét</w:t>
            </w:r>
          </w:p>
        </w:tc>
        <w:tc>
          <w:tcPr>
            <w:tcW w:w="1310" w:type="dxa"/>
          </w:tcPr>
          <w:p w14:paraId="19EF53A4" w14:textId="77777777" w:rsidR="00D0403E" w:rsidRPr="00183B5F" w:rsidRDefault="00943743" w:rsidP="004062FE">
            <w:pPr>
              <w:keepNext/>
              <w:spacing w:line="240" w:lineRule="auto"/>
              <w:jc w:val="center"/>
              <w:rPr>
                <w:szCs w:val="22"/>
              </w:rPr>
            </w:pPr>
            <w:r w:rsidRPr="00183B5F">
              <w:rPr>
                <w:szCs w:val="22"/>
              </w:rPr>
              <w:t>45,9%</w:t>
            </w:r>
          </w:p>
        </w:tc>
        <w:tc>
          <w:tcPr>
            <w:tcW w:w="1310" w:type="dxa"/>
          </w:tcPr>
          <w:p w14:paraId="0D687493" w14:textId="77777777" w:rsidR="00D0403E" w:rsidRPr="00183B5F" w:rsidRDefault="00943743" w:rsidP="004062FE">
            <w:pPr>
              <w:keepNext/>
              <w:spacing w:line="240" w:lineRule="auto"/>
              <w:jc w:val="center"/>
              <w:rPr>
                <w:szCs w:val="22"/>
              </w:rPr>
            </w:pPr>
            <w:r w:rsidRPr="00183B5F">
              <w:rPr>
                <w:szCs w:val="22"/>
              </w:rPr>
              <w:t>41,2%</w:t>
            </w:r>
          </w:p>
        </w:tc>
        <w:tc>
          <w:tcPr>
            <w:tcW w:w="1363" w:type="dxa"/>
          </w:tcPr>
          <w:p w14:paraId="7B4CF581" w14:textId="77777777" w:rsidR="00D0403E" w:rsidRPr="00183B5F" w:rsidRDefault="00943743" w:rsidP="004062FE">
            <w:pPr>
              <w:keepNext/>
              <w:spacing w:line="240" w:lineRule="auto"/>
              <w:jc w:val="center"/>
              <w:rPr>
                <w:szCs w:val="22"/>
              </w:rPr>
            </w:pPr>
            <w:r w:rsidRPr="00183B5F">
              <w:rPr>
                <w:szCs w:val="22"/>
              </w:rPr>
              <w:t>61,6%</w:t>
            </w:r>
          </w:p>
        </w:tc>
        <w:tc>
          <w:tcPr>
            <w:tcW w:w="1308" w:type="dxa"/>
          </w:tcPr>
          <w:p w14:paraId="5273485A" w14:textId="77777777" w:rsidR="00D0403E" w:rsidRPr="00183B5F" w:rsidRDefault="00943743" w:rsidP="004062FE">
            <w:pPr>
              <w:keepNext/>
              <w:spacing w:line="240" w:lineRule="auto"/>
              <w:jc w:val="center"/>
              <w:rPr>
                <w:szCs w:val="22"/>
              </w:rPr>
            </w:pPr>
            <w:r w:rsidRPr="00183B5F">
              <w:rPr>
                <w:szCs w:val="22"/>
              </w:rPr>
              <w:t>&lt; 0,001</w:t>
            </w:r>
          </w:p>
        </w:tc>
        <w:tc>
          <w:tcPr>
            <w:tcW w:w="1304" w:type="dxa"/>
          </w:tcPr>
          <w:p w14:paraId="2BAB9384" w14:textId="77777777" w:rsidR="00D0403E" w:rsidRPr="00183B5F" w:rsidRDefault="00943743" w:rsidP="004062FE">
            <w:pPr>
              <w:keepNext/>
              <w:spacing w:line="240" w:lineRule="auto"/>
              <w:jc w:val="center"/>
              <w:rPr>
                <w:szCs w:val="22"/>
              </w:rPr>
            </w:pPr>
            <w:r w:rsidRPr="00183B5F">
              <w:rPr>
                <w:szCs w:val="22"/>
              </w:rPr>
              <w:t>&lt; 0,001</w:t>
            </w:r>
          </w:p>
        </w:tc>
        <w:tc>
          <w:tcPr>
            <w:tcW w:w="1379" w:type="dxa"/>
          </w:tcPr>
          <w:p w14:paraId="7046FB3A" w14:textId="77777777" w:rsidR="00D0403E" w:rsidRPr="00183B5F" w:rsidRDefault="00943743" w:rsidP="004062FE">
            <w:pPr>
              <w:keepNext/>
              <w:spacing w:line="240" w:lineRule="auto"/>
              <w:jc w:val="center"/>
              <w:rPr>
                <w:szCs w:val="22"/>
              </w:rPr>
            </w:pPr>
            <w:r w:rsidRPr="00183B5F">
              <w:rPr>
                <w:szCs w:val="22"/>
              </w:rPr>
              <w:t>0,317</w:t>
            </w:r>
          </w:p>
        </w:tc>
      </w:tr>
      <w:tr w:rsidR="00011D2F" w14:paraId="14C31D1B" w14:textId="77777777" w:rsidTr="00832DC3">
        <w:trPr>
          <w:cantSplit/>
        </w:trPr>
        <w:tc>
          <w:tcPr>
            <w:tcW w:w="1310" w:type="dxa"/>
          </w:tcPr>
          <w:p w14:paraId="7DC4751F" w14:textId="77777777" w:rsidR="00D0403E" w:rsidRPr="00183B5F" w:rsidRDefault="00943743" w:rsidP="004062FE">
            <w:pPr>
              <w:keepNext/>
              <w:spacing w:line="240" w:lineRule="auto"/>
              <w:jc w:val="right"/>
              <w:rPr>
                <w:szCs w:val="22"/>
              </w:rPr>
            </w:pPr>
            <w:r w:rsidRPr="00183B5F">
              <w:rPr>
                <w:szCs w:val="22"/>
              </w:rPr>
              <w:t>104. hét</w:t>
            </w:r>
          </w:p>
        </w:tc>
        <w:tc>
          <w:tcPr>
            <w:tcW w:w="1310" w:type="dxa"/>
          </w:tcPr>
          <w:p w14:paraId="74CE2ACF" w14:textId="77777777" w:rsidR="00D0403E" w:rsidRPr="00183B5F" w:rsidRDefault="00943743" w:rsidP="004062FE">
            <w:pPr>
              <w:keepNext/>
              <w:spacing w:line="240" w:lineRule="auto"/>
              <w:jc w:val="center"/>
              <w:rPr>
                <w:szCs w:val="22"/>
              </w:rPr>
            </w:pPr>
            <w:r w:rsidRPr="00183B5F">
              <w:rPr>
                <w:szCs w:val="22"/>
              </w:rPr>
              <w:t>42,8%</w:t>
            </w:r>
          </w:p>
        </w:tc>
        <w:tc>
          <w:tcPr>
            <w:tcW w:w="1310" w:type="dxa"/>
          </w:tcPr>
          <w:p w14:paraId="244D2D7A" w14:textId="77777777" w:rsidR="00D0403E" w:rsidRPr="00183B5F" w:rsidRDefault="00943743" w:rsidP="004062FE">
            <w:pPr>
              <w:keepNext/>
              <w:spacing w:line="240" w:lineRule="auto"/>
              <w:jc w:val="center"/>
              <w:rPr>
                <w:szCs w:val="22"/>
              </w:rPr>
            </w:pPr>
            <w:r w:rsidRPr="00183B5F">
              <w:rPr>
                <w:szCs w:val="22"/>
              </w:rPr>
              <w:t>36,9%</w:t>
            </w:r>
          </w:p>
        </w:tc>
        <w:tc>
          <w:tcPr>
            <w:tcW w:w="1363" w:type="dxa"/>
          </w:tcPr>
          <w:p w14:paraId="3FD678E9" w14:textId="77777777" w:rsidR="00D0403E" w:rsidRPr="00183B5F" w:rsidRDefault="00943743" w:rsidP="004062FE">
            <w:pPr>
              <w:keepNext/>
              <w:spacing w:line="240" w:lineRule="auto"/>
              <w:jc w:val="center"/>
              <w:rPr>
                <w:szCs w:val="22"/>
              </w:rPr>
            </w:pPr>
            <w:r w:rsidRPr="00183B5F">
              <w:rPr>
                <w:szCs w:val="22"/>
              </w:rPr>
              <w:t>59,0%</w:t>
            </w:r>
          </w:p>
        </w:tc>
        <w:tc>
          <w:tcPr>
            <w:tcW w:w="1308" w:type="dxa"/>
          </w:tcPr>
          <w:p w14:paraId="21E96973" w14:textId="77777777" w:rsidR="00D0403E" w:rsidRPr="00183B5F" w:rsidRDefault="00943743" w:rsidP="004062FE">
            <w:pPr>
              <w:keepNext/>
              <w:spacing w:line="240" w:lineRule="auto"/>
              <w:jc w:val="center"/>
              <w:rPr>
                <w:szCs w:val="22"/>
              </w:rPr>
            </w:pPr>
            <w:r w:rsidRPr="00183B5F">
              <w:rPr>
                <w:szCs w:val="22"/>
              </w:rPr>
              <w:t>&lt; 0,001</w:t>
            </w:r>
          </w:p>
        </w:tc>
        <w:tc>
          <w:tcPr>
            <w:tcW w:w="1304" w:type="dxa"/>
          </w:tcPr>
          <w:p w14:paraId="127F1C59" w14:textId="77777777" w:rsidR="00D0403E" w:rsidRPr="00183B5F" w:rsidRDefault="00943743" w:rsidP="004062FE">
            <w:pPr>
              <w:keepNext/>
              <w:spacing w:line="240" w:lineRule="auto"/>
              <w:jc w:val="center"/>
              <w:rPr>
                <w:szCs w:val="22"/>
              </w:rPr>
            </w:pPr>
            <w:r w:rsidRPr="00183B5F">
              <w:rPr>
                <w:szCs w:val="22"/>
              </w:rPr>
              <w:t>&lt; 0,001</w:t>
            </w:r>
          </w:p>
        </w:tc>
        <w:tc>
          <w:tcPr>
            <w:tcW w:w="1379" w:type="dxa"/>
          </w:tcPr>
          <w:p w14:paraId="316F4552" w14:textId="77777777" w:rsidR="00D0403E" w:rsidRPr="00183B5F" w:rsidRDefault="00943743" w:rsidP="004062FE">
            <w:pPr>
              <w:keepNext/>
              <w:spacing w:line="240" w:lineRule="auto"/>
              <w:jc w:val="center"/>
              <w:rPr>
                <w:szCs w:val="22"/>
              </w:rPr>
            </w:pPr>
            <w:r w:rsidRPr="00183B5F">
              <w:rPr>
                <w:szCs w:val="22"/>
              </w:rPr>
              <w:t>0,162</w:t>
            </w:r>
          </w:p>
        </w:tc>
      </w:tr>
      <w:tr w:rsidR="00011D2F" w14:paraId="1A3DD950" w14:textId="77777777" w:rsidTr="00832DC3">
        <w:trPr>
          <w:cantSplit/>
        </w:trPr>
        <w:tc>
          <w:tcPr>
            <w:tcW w:w="1310" w:type="dxa"/>
          </w:tcPr>
          <w:p w14:paraId="1C403EC5" w14:textId="77777777" w:rsidR="00D0403E" w:rsidRPr="00183B5F" w:rsidRDefault="00943743" w:rsidP="004062FE">
            <w:pPr>
              <w:keepNext/>
              <w:spacing w:line="240" w:lineRule="auto"/>
              <w:rPr>
                <w:szCs w:val="22"/>
              </w:rPr>
            </w:pPr>
            <w:r w:rsidRPr="00183B5F">
              <w:rPr>
                <w:szCs w:val="22"/>
              </w:rPr>
              <w:t>ACR 70</w:t>
            </w:r>
          </w:p>
        </w:tc>
        <w:tc>
          <w:tcPr>
            <w:tcW w:w="1310" w:type="dxa"/>
          </w:tcPr>
          <w:p w14:paraId="67B4DA9D" w14:textId="77777777" w:rsidR="00D0403E" w:rsidRPr="00183B5F" w:rsidRDefault="00D0403E" w:rsidP="004062FE">
            <w:pPr>
              <w:keepNext/>
              <w:spacing w:line="240" w:lineRule="auto"/>
              <w:jc w:val="center"/>
              <w:rPr>
                <w:szCs w:val="22"/>
              </w:rPr>
            </w:pPr>
          </w:p>
        </w:tc>
        <w:tc>
          <w:tcPr>
            <w:tcW w:w="1310" w:type="dxa"/>
          </w:tcPr>
          <w:p w14:paraId="2033AB14" w14:textId="77777777" w:rsidR="00D0403E" w:rsidRPr="00183B5F" w:rsidRDefault="00D0403E" w:rsidP="004062FE">
            <w:pPr>
              <w:keepNext/>
              <w:spacing w:line="240" w:lineRule="auto"/>
              <w:jc w:val="center"/>
              <w:rPr>
                <w:szCs w:val="22"/>
              </w:rPr>
            </w:pPr>
          </w:p>
        </w:tc>
        <w:tc>
          <w:tcPr>
            <w:tcW w:w="1363" w:type="dxa"/>
          </w:tcPr>
          <w:p w14:paraId="7936E345" w14:textId="77777777" w:rsidR="00D0403E" w:rsidRPr="00183B5F" w:rsidRDefault="00D0403E" w:rsidP="004062FE">
            <w:pPr>
              <w:keepNext/>
              <w:spacing w:line="240" w:lineRule="auto"/>
              <w:jc w:val="center"/>
              <w:rPr>
                <w:szCs w:val="22"/>
              </w:rPr>
            </w:pPr>
          </w:p>
        </w:tc>
        <w:tc>
          <w:tcPr>
            <w:tcW w:w="1308" w:type="dxa"/>
          </w:tcPr>
          <w:p w14:paraId="49B9D96F" w14:textId="77777777" w:rsidR="00D0403E" w:rsidRPr="00183B5F" w:rsidRDefault="00D0403E" w:rsidP="004062FE">
            <w:pPr>
              <w:keepNext/>
              <w:spacing w:line="240" w:lineRule="auto"/>
              <w:jc w:val="center"/>
              <w:rPr>
                <w:szCs w:val="22"/>
              </w:rPr>
            </w:pPr>
          </w:p>
        </w:tc>
        <w:tc>
          <w:tcPr>
            <w:tcW w:w="1304" w:type="dxa"/>
          </w:tcPr>
          <w:p w14:paraId="79D74B77" w14:textId="77777777" w:rsidR="00D0403E" w:rsidRPr="00183B5F" w:rsidRDefault="00D0403E" w:rsidP="004062FE">
            <w:pPr>
              <w:keepNext/>
              <w:spacing w:line="240" w:lineRule="auto"/>
              <w:jc w:val="center"/>
              <w:rPr>
                <w:szCs w:val="22"/>
              </w:rPr>
            </w:pPr>
          </w:p>
        </w:tc>
        <w:tc>
          <w:tcPr>
            <w:tcW w:w="1379" w:type="dxa"/>
          </w:tcPr>
          <w:p w14:paraId="537713C2" w14:textId="77777777" w:rsidR="00D0403E" w:rsidRPr="00183B5F" w:rsidRDefault="00D0403E" w:rsidP="004062FE">
            <w:pPr>
              <w:keepNext/>
              <w:spacing w:line="240" w:lineRule="auto"/>
              <w:jc w:val="center"/>
              <w:rPr>
                <w:szCs w:val="22"/>
              </w:rPr>
            </w:pPr>
          </w:p>
        </w:tc>
      </w:tr>
      <w:tr w:rsidR="00011D2F" w14:paraId="7C69D230" w14:textId="77777777" w:rsidTr="00832DC3">
        <w:trPr>
          <w:cantSplit/>
        </w:trPr>
        <w:tc>
          <w:tcPr>
            <w:tcW w:w="1310" w:type="dxa"/>
          </w:tcPr>
          <w:p w14:paraId="51C691C0" w14:textId="77777777" w:rsidR="00D0403E" w:rsidRPr="00183B5F" w:rsidRDefault="00943743" w:rsidP="004062FE">
            <w:pPr>
              <w:keepNext/>
              <w:spacing w:line="240" w:lineRule="auto"/>
              <w:jc w:val="right"/>
              <w:rPr>
                <w:szCs w:val="22"/>
              </w:rPr>
            </w:pPr>
            <w:r w:rsidRPr="00183B5F">
              <w:rPr>
                <w:szCs w:val="22"/>
              </w:rPr>
              <w:t>52. hét</w:t>
            </w:r>
          </w:p>
        </w:tc>
        <w:tc>
          <w:tcPr>
            <w:tcW w:w="1310" w:type="dxa"/>
          </w:tcPr>
          <w:p w14:paraId="49D25BB9" w14:textId="77777777" w:rsidR="00D0403E" w:rsidRPr="00183B5F" w:rsidRDefault="00943743" w:rsidP="004062FE">
            <w:pPr>
              <w:keepNext/>
              <w:spacing w:line="240" w:lineRule="auto"/>
              <w:jc w:val="center"/>
              <w:rPr>
                <w:szCs w:val="22"/>
              </w:rPr>
            </w:pPr>
            <w:r w:rsidRPr="00183B5F">
              <w:rPr>
                <w:szCs w:val="22"/>
              </w:rPr>
              <w:t>27,2%</w:t>
            </w:r>
          </w:p>
        </w:tc>
        <w:tc>
          <w:tcPr>
            <w:tcW w:w="1310" w:type="dxa"/>
          </w:tcPr>
          <w:p w14:paraId="2615B468" w14:textId="77777777" w:rsidR="00D0403E" w:rsidRPr="00183B5F" w:rsidRDefault="00943743" w:rsidP="004062FE">
            <w:pPr>
              <w:keepNext/>
              <w:spacing w:line="240" w:lineRule="auto"/>
              <w:jc w:val="center"/>
              <w:rPr>
                <w:szCs w:val="22"/>
              </w:rPr>
            </w:pPr>
            <w:r w:rsidRPr="00183B5F">
              <w:rPr>
                <w:szCs w:val="22"/>
              </w:rPr>
              <w:t>25,9%</w:t>
            </w:r>
          </w:p>
        </w:tc>
        <w:tc>
          <w:tcPr>
            <w:tcW w:w="1363" w:type="dxa"/>
          </w:tcPr>
          <w:p w14:paraId="29B6B859" w14:textId="77777777" w:rsidR="00D0403E" w:rsidRPr="00183B5F" w:rsidRDefault="00943743" w:rsidP="004062FE">
            <w:pPr>
              <w:keepNext/>
              <w:spacing w:line="240" w:lineRule="auto"/>
              <w:jc w:val="center"/>
              <w:rPr>
                <w:szCs w:val="22"/>
              </w:rPr>
            </w:pPr>
            <w:r w:rsidRPr="00183B5F">
              <w:rPr>
                <w:szCs w:val="22"/>
              </w:rPr>
              <w:t>45,5%</w:t>
            </w:r>
          </w:p>
        </w:tc>
        <w:tc>
          <w:tcPr>
            <w:tcW w:w="1308" w:type="dxa"/>
          </w:tcPr>
          <w:p w14:paraId="61CAFB82" w14:textId="77777777" w:rsidR="00D0403E" w:rsidRPr="00183B5F" w:rsidRDefault="00943743" w:rsidP="004062FE">
            <w:pPr>
              <w:keepNext/>
              <w:spacing w:line="240" w:lineRule="auto"/>
              <w:jc w:val="center"/>
              <w:rPr>
                <w:szCs w:val="22"/>
              </w:rPr>
            </w:pPr>
            <w:r w:rsidRPr="00183B5F">
              <w:rPr>
                <w:szCs w:val="22"/>
              </w:rPr>
              <w:t>&lt; 0,001</w:t>
            </w:r>
          </w:p>
        </w:tc>
        <w:tc>
          <w:tcPr>
            <w:tcW w:w="1304" w:type="dxa"/>
          </w:tcPr>
          <w:p w14:paraId="431F8783" w14:textId="77777777" w:rsidR="00D0403E" w:rsidRPr="00183B5F" w:rsidRDefault="00943743" w:rsidP="004062FE">
            <w:pPr>
              <w:keepNext/>
              <w:spacing w:line="240" w:lineRule="auto"/>
              <w:jc w:val="center"/>
              <w:rPr>
                <w:szCs w:val="22"/>
              </w:rPr>
            </w:pPr>
            <w:r w:rsidRPr="00183B5F">
              <w:rPr>
                <w:szCs w:val="22"/>
              </w:rPr>
              <w:t>&lt; 0,001</w:t>
            </w:r>
          </w:p>
        </w:tc>
        <w:tc>
          <w:tcPr>
            <w:tcW w:w="1379" w:type="dxa"/>
          </w:tcPr>
          <w:p w14:paraId="2B9E8BE6" w14:textId="77777777" w:rsidR="00D0403E" w:rsidRPr="00183B5F" w:rsidRDefault="00943743" w:rsidP="004062FE">
            <w:pPr>
              <w:keepNext/>
              <w:spacing w:line="240" w:lineRule="auto"/>
              <w:jc w:val="center"/>
              <w:rPr>
                <w:szCs w:val="22"/>
              </w:rPr>
            </w:pPr>
            <w:r w:rsidRPr="00183B5F">
              <w:rPr>
                <w:szCs w:val="22"/>
              </w:rPr>
              <w:t>0,656</w:t>
            </w:r>
          </w:p>
        </w:tc>
      </w:tr>
      <w:tr w:rsidR="00011D2F" w14:paraId="5AEB350D" w14:textId="77777777" w:rsidTr="00832DC3">
        <w:trPr>
          <w:cantSplit/>
        </w:trPr>
        <w:tc>
          <w:tcPr>
            <w:tcW w:w="1310" w:type="dxa"/>
          </w:tcPr>
          <w:p w14:paraId="02B18143" w14:textId="77777777" w:rsidR="00D0403E" w:rsidRPr="00183B5F" w:rsidRDefault="00943743" w:rsidP="004062FE">
            <w:pPr>
              <w:keepNext/>
              <w:spacing w:line="240" w:lineRule="auto"/>
              <w:jc w:val="right"/>
              <w:rPr>
                <w:szCs w:val="22"/>
              </w:rPr>
            </w:pPr>
            <w:r w:rsidRPr="00183B5F">
              <w:rPr>
                <w:szCs w:val="22"/>
              </w:rPr>
              <w:t>104. hét</w:t>
            </w:r>
          </w:p>
        </w:tc>
        <w:tc>
          <w:tcPr>
            <w:tcW w:w="1310" w:type="dxa"/>
          </w:tcPr>
          <w:p w14:paraId="6EB8AAB3" w14:textId="77777777" w:rsidR="00D0403E" w:rsidRPr="00183B5F" w:rsidRDefault="00943743" w:rsidP="004062FE">
            <w:pPr>
              <w:keepNext/>
              <w:spacing w:line="240" w:lineRule="auto"/>
              <w:jc w:val="center"/>
              <w:rPr>
                <w:szCs w:val="22"/>
              </w:rPr>
            </w:pPr>
            <w:r w:rsidRPr="00183B5F">
              <w:rPr>
                <w:szCs w:val="22"/>
              </w:rPr>
              <w:t>28,4%</w:t>
            </w:r>
          </w:p>
        </w:tc>
        <w:tc>
          <w:tcPr>
            <w:tcW w:w="1310" w:type="dxa"/>
          </w:tcPr>
          <w:p w14:paraId="3D797A2F" w14:textId="77777777" w:rsidR="00D0403E" w:rsidRPr="00183B5F" w:rsidRDefault="00943743" w:rsidP="004062FE">
            <w:pPr>
              <w:keepNext/>
              <w:spacing w:line="240" w:lineRule="auto"/>
              <w:jc w:val="center"/>
              <w:rPr>
                <w:szCs w:val="22"/>
              </w:rPr>
            </w:pPr>
            <w:r w:rsidRPr="00183B5F">
              <w:rPr>
                <w:szCs w:val="22"/>
              </w:rPr>
              <w:t>28,1%</w:t>
            </w:r>
          </w:p>
        </w:tc>
        <w:tc>
          <w:tcPr>
            <w:tcW w:w="1363" w:type="dxa"/>
          </w:tcPr>
          <w:p w14:paraId="78512FDE" w14:textId="77777777" w:rsidR="00D0403E" w:rsidRPr="00183B5F" w:rsidRDefault="00943743" w:rsidP="004062FE">
            <w:pPr>
              <w:keepNext/>
              <w:spacing w:line="240" w:lineRule="auto"/>
              <w:jc w:val="center"/>
              <w:rPr>
                <w:szCs w:val="22"/>
              </w:rPr>
            </w:pPr>
            <w:r w:rsidRPr="00183B5F">
              <w:rPr>
                <w:szCs w:val="22"/>
              </w:rPr>
              <w:t>46,6%</w:t>
            </w:r>
          </w:p>
        </w:tc>
        <w:tc>
          <w:tcPr>
            <w:tcW w:w="1308" w:type="dxa"/>
          </w:tcPr>
          <w:p w14:paraId="5DA64CD6" w14:textId="77777777" w:rsidR="00D0403E" w:rsidRPr="00183B5F" w:rsidRDefault="00943743" w:rsidP="004062FE">
            <w:pPr>
              <w:keepNext/>
              <w:spacing w:line="240" w:lineRule="auto"/>
              <w:jc w:val="center"/>
              <w:rPr>
                <w:szCs w:val="22"/>
              </w:rPr>
            </w:pPr>
            <w:r w:rsidRPr="00183B5F">
              <w:rPr>
                <w:szCs w:val="22"/>
              </w:rPr>
              <w:t>&lt; 0,001</w:t>
            </w:r>
          </w:p>
        </w:tc>
        <w:tc>
          <w:tcPr>
            <w:tcW w:w="1304" w:type="dxa"/>
          </w:tcPr>
          <w:p w14:paraId="4FDE8AE1" w14:textId="77777777" w:rsidR="00D0403E" w:rsidRPr="00183B5F" w:rsidRDefault="00943743" w:rsidP="004062FE">
            <w:pPr>
              <w:keepNext/>
              <w:spacing w:line="240" w:lineRule="auto"/>
              <w:jc w:val="center"/>
              <w:rPr>
                <w:szCs w:val="22"/>
              </w:rPr>
            </w:pPr>
            <w:r w:rsidRPr="00183B5F">
              <w:rPr>
                <w:szCs w:val="22"/>
              </w:rPr>
              <w:t>&lt; 0,001</w:t>
            </w:r>
          </w:p>
        </w:tc>
        <w:tc>
          <w:tcPr>
            <w:tcW w:w="1379" w:type="dxa"/>
          </w:tcPr>
          <w:p w14:paraId="2782AB1D" w14:textId="77777777" w:rsidR="00D0403E" w:rsidRPr="00183B5F" w:rsidRDefault="00943743" w:rsidP="004062FE">
            <w:pPr>
              <w:keepNext/>
              <w:spacing w:line="240" w:lineRule="auto"/>
              <w:jc w:val="center"/>
              <w:rPr>
                <w:szCs w:val="22"/>
              </w:rPr>
            </w:pPr>
            <w:r w:rsidRPr="00183B5F">
              <w:rPr>
                <w:szCs w:val="22"/>
              </w:rPr>
              <w:t>0,864</w:t>
            </w:r>
          </w:p>
        </w:tc>
      </w:tr>
    </w:tbl>
    <w:p w14:paraId="0C5F126F" w14:textId="77777777" w:rsidR="00D0403E" w:rsidRPr="00183B5F" w:rsidRDefault="00943743" w:rsidP="00832DC3">
      <w:pPr>
        <w:spacing w:line="240" w:lineRule="auto"/>
        <w:rPr>
          <w:szCs w:val="22"/>
        </w:rPr>
      </w:pPr>
      <w:r w:rsidRPr="00183B5F">
        <w:rPr>
          <w:szCs w:val="22"/>
          <w:vertAlign w:val="superscript"/>
        </w:rPr>
        <w:t>a</w:t>
      </w:r>
      <w:r w:rsidRPr="00183B5F">
        <w:rPr>
          <w:szCs w:val="22"/>
        </w:rPr>
        <w:t> a p</w:t>
      </w:r>
      <w:r w:rsidRPr="00183B5F">
        <w:rPr>
          <w:szCs w:val="22"/>
        </w:rPr>
        <w:noBreakHyphen/>
        <w:t xml:space="preserve">érték a </w:t>
      </w:r>
      <w:r w:rsidR="001A6E66" w:rsidRPr="00183B5F">
        <w:rPr>
          <w:szCs w:val="22"/>
        </w:rPr>
        <w:t>metotrexát-mono</w:t>
      </w:r>
      <w:r w:rsidRPr="00183B5F">
        <w:rPr>
          <w:szCs w:val="22"/>
        </w:rPr>
        <w:t xml:space="preserve">terápia és a Humira/metotrexát kombinációs terápia páros összehasonlítása </w:t>
      </w:r>
      <w:r w:rsidR="001A6E66" w:rsidRPr="00183B5F">
        <w:rPr>
          <w:szCs w:val="22"/>
        </w:rPr>
        <w:t>alapján, Mann</w:t>
      </w:r>
      <w:r w:rsidRPr="00183B5F">
        <w:rPr>
          <w:szCs w:val="22"/>
        </w:rPr>
        <w:noBreakHyphen/>
        <w:t xml:space="preserve">Whitney </w:t>
      </w:r>
      <w:r w:rsidR="001A6E66" w:rsidRPr="00183B5F">
        <w:rPr>
          <w:szCs w:val="22"/>
        </w:rPr>
        <w:t>U-teszt</w:t>
      </w:r>
      <w:r w:rsidRPr="00183B5F">
        <w:rPr>
          <w:szCs w:val="22"/>
        </w:rPr>
        <w:t xml:space="preserve"> szerint</w:t>
      </w:r>
    </w:p>
    <w:p w14:paraId="3652F694" w14:textId="77777777" w:rsidR="00D0403E" w:rsidRPr="00183B5F" w:rsidRDefault="00943743" w:rsidP="00832DC3">
      <w:pPr>
        <w:spacing w:line="240" w:lineRule="auto"/>
        <w:rPr>
          <w:szCs w:val="22"/>
        </w:rPr>
      </w:pPr>
      <w:r w:rsidRPr="00183B5F">
        <w:rPr>
          <w:szCs w:val="22"/>
          <w:vertAlign w:val="superscript"/>
        </w:rPr>
        <w:t>b</w:t>
      </w:r>
      <w:r w:rsidRPr="00183B5F">
        <w:rPr>
          <w:szCs w:val="22"/>
        </w:rPr>
        <w:t> a p</w:t>
      </w:r>
      <w:r w:rsidRPr="00183B5F">
        <w:rPr>
          <w:szCs w:val="22"/>
        </w:rPr>
        <w:noBreakHyphen/>
        <w:t xml:space="preserve">érték a </w:t>
      </w:r>
      <w:r w:rsidR="005C406C" w:rsidRPr="00183B5F">
        <w:rPr>
          <w:szCs w:val="22"/>
        </w:rPr>
        <w:t>Humira-monoterá</w:t>
      </w:r>
      <w:r w:rsidRPr="00183B5F">
        <w:rPr>
          <w:szCs w:val="22"/>
        </w:rPr>
        <w:t xml:space="preserve">pia és a Humira/metotrexát kombinációs terápia páros összehasonlítása </w:t>
      </w:r>
      <w:r w:rsidR="001A6E66" w:rsidRPr="00183B5F">
        <w:rPr>
          <w:szCs w:val="22"/>
        </w:rPr>
        <w:t>alapján, Mann</w:t>
      </w:r>
      <w:r w:rsidRPr="00183B5F">
        <w:rPr>
          <w:szCs w:val="22"/>
        </w:rPr>
        <w:noBreakHyphen/>
        <w:t xml:space="preserve">Whitney </w:t>
      </w:r>
      <w:r w:rsidR="001A6E66" w:rsidRPr="00183B5F">
        <w:rPr>
          <w:szCs w:val="22"/>
        </w:rPr>
        <w:t>U-teszt</w:t>
      </w:r>
      <w:r w:rsidRPr="00183B5F">
        <w:rPr>
          <w:szCs w:val="22"/>
        </w:rPr>
        <w:t xml:space="preserve"> szerint</w:t>
      </w:r>
    </w:p>
    <w:p w14:paraId="27CA65D5" w14:textId="77777777" w:rsidR="00D0403E" w:rsidRPr="00183B5F" w:rsidRDefault="00943743" w:rsidP="00832DC3">
      <w:pPr>
        <w:spacing w:line="240" w:lineRule="auto"/>
        <w:rPr>
          <w:szCs w:val="22"/>
        </w:rPr>
      </w:pPr>
      <w:r w:rsidRPr="00183B5F">
        <w:rPr>
          <w:szCs w:val="22"/>
          <w:vertAlign w:val="superscript"/>
        </w:rPr>
        <w:t>c</w:t>
      </w:r>
      <w:r w:rsidRPr="00183B5F">
        <w:rPr>
          <w:szCs w:val="22"/>
        </w:rPr>
        <w:t> a p</w:t>
      </w:r>
      <w:r w:rsidRPr="00183B5F">
        <w:rPr>
          <w:szCs w:val="22"/>
        </w:rPr>
        <w:noBreakHyphen/>
        <w:t xml:space="preserve">érték a </w:t>
      </w:r>
      <w:r w:rsidR="005C406C" w:rsidRPr="00183B5F">
        <w:rPr>
          <w:szCs w:val="22"/>
        </w:rPr>
        <w:t>Humira-monoterá</w:t>
      </w:r>
      <w:r w:rsidRPr="00183B5F">
        <w:rPr>
          <w:szCs w:val="22"/>
        </w:rPr>
        <w:t xml:space="preserve">pia és a </w:t>
      </w:r>
      <w:r w:rsidR="001A6E66" w:rsidRPr="00183B5F">
        <w:rPr>
          <w:szCs w:val="22"/>
        </w:rPr>
        <w:t>metotrexát-mono</w:t>
      </w:r>
      <w:r w:rsidRPr="00183B5F">
        <w:rPr>
          <w:szCs w:val="22"/>
        </w:rPr>
        <w:t xml:space="preserve">terápia páros összehasonlítása </w:t>
      </w:r>
      <w:r w:rsidR="001A6E66" w:rsidRPr="00183B5F">
        <w:rPr>
          <w:szCs w:val="22"/>
        </w:rPr>
        <w:t>alapján, Mann</w:t>
      </w:r>
      <w:r w:rsidRPr="00183B5F">
        <w:rPr>
          <w:szCs w:val="22"/>
        </w:rPr>
        <w:noBreakHyphen/>
        <w:t xml:space="preserve">Whitney </w:t>
      </w:r>
      <w:r w:rsidR="001A6E66" w:rsidRPr="00183B5F">
        <w:rPr>
          <w:szCs w:val="22"/>
        </w:rPr>
        <w:t>U-teszt</w:t>
      </w:r>
      <w:r w:rsidRPr="00183B5F">
        <w:rPr>
          <w:szCs w:val="22"/>
        </w:rPr>
        <w:t xml:space="preserve"> szerint</w:t>
      </w:r>
    </w:p>
    <w:p w14:paraId="1AB15C98" w14:textId="77777777" w:rsidR="008D3451" w:rsidRPr="00183B5F" w:rsidRDefault="008D3451">
      <w:pPr>
        <w:spacing w:line="240" w:lineRule="auto"/>
        <w:rPr>
          <w:szCs w:val="22"/>
        </w:rPr>
      </w:pPr>
    </w:p>
    <w:p w14:paraId="213A003F" w14:textId="77777777" w:rsidR="008D3451" w:rsidRPr="00183B5F" w:rsidRDefault="00943743" w:rsidP="004062FE">
      <w:pPr>
        <w:spacing w:line="240" w:lineRule="auto"/>
        <w:rPr>
          <w:szCs w:val="22"/>
        </w:rPr>
      </w:pPr>
      <w:r w:rsidRPr="00183B5F">
        <w:rPr>
          <w:szCs w:val="22"/>
        </w:rPr>
        <w:t xml:space="preserve">Az RA V vizsgálat nyílt elrendezésű kiterjesztésében az </w:t>
      </w:r>
      <w:r w:rsidR="005D174E" w:rsidRPr="00183B5F">
        <w:rPr>
          <w:szCs w:val="22"/>
        </w:rPr>
        <w:t>ACR-válasz</w:t>
      </w:r>
      <w:r w:rsidRPr="00183B5F">
        <w:rPr>
          <w:szCs w:val="22"/>
        </w:rPr>
        <w:t xml:space="preserve"> aránya fennmaradt a legfeljebb 10 éves követés alatt. Az 542 betegből, akiket 2 hetente 40 mg Humira</w:t>
      </w:r>
      <w:r w:rsidRPr="00183B5F">
        <w:rPr>
          <w:szCs w:val="22"/>
        </w:rPr>
        <w:noBreakHyphen/>
        <w:t>ra randomizáltak, 170 betegnél folytatták a 40 mg Humira</w:t>
      </w:r>
      <w:r w:rsidR="001A6E66" w:rsidRPr="00183B5F">
        <w:rPr>
          <w:szCs w:val="22"/>
        </w:rPr>
        <w:t>-</w:t>
      </w:r>
      <w:r w:rsidRPr="00183B5F">
        <w:rPr>
          <w:szCs w:val="22"/>
        </w:rPr>
        <w:t>kezelést minden 2. héten, 10 éven keresztül. Közülük 154 beteg (90,6%) adott ACR 20 választ, 127 beteg (74,7%) adott ACR 50 választ és 102 beteg (60,0%) adott ACR 70 választ.</w:t>
      </w:r>
    </w:p>
    <w:p w14:paraId="4928403C" w14:textId="77777777" w:rsidR="00D0403E" w:rsidRPr="00183B5F" w:rsidRDefault="00D0403E">
      <w:pPr>
        <w:spacing w:line="240" w:lineRule="auto"/>
        <w:rPr>
          <w:szCs w:val="22"/>
        </w:rPr>
      </w:pPr>
    </w:p>
    <w:p w14:paraId="28352559" w14:textId="77777777" w:rsidR="008D3451" w:rsidRPr="00183B5F" w:rsidRDefault="00943743" w:rsidP="004062FE">
      <w:pPr>
        <w:spacing w:line="240" w:lineRule="auto"/>
        <w:rPr>
          <w:szCs w:val="22"/>
        </w:rPr>
      </w:pPr>
      <w:r w:rsidRPr="00183B5F">
        <w:rPr>
          <w:szCs w:val="22"/>
        </w:rPr>
        <w:t xml:space="preserve">Az 52. héten a Humira/metotrexát kombinációval kezelt betegek 42,9%-a klinikai remisszióba került (DAS28 (CRP) &lt; 2,6) összehasonlítva a </w:t>
      </w:r>
      <w:r w:rsidR="001A6E66" w:rsidRPr="00183B5F">
        <w:rPr>
          <w:szCs w:val="22"/>
        </w:rPr>
        <w:t>metotrexát-mono</w:t>
      </w:r>
      <w:r w:rsidRPr="00183B5F">
        <w:rPr>
          <w:szCs w:val="22"/>
        </w:rPr>
        <w:t xml:space="preserve">terápiát kapó 20,6% és </w:t>
      </w:r>
      <w:r w:rsidR="005C406C" w:rsidRPr="00183B5F">
        <w:rPr>
          <w:szCs w:val="22"/>
        </w:rPr>
        <w:t>Humira-monoterá</w:t>
      </w:r>
      <w:r w:rsidRPr="00183B5F">
        <w:rPr>
          <w:szCs w:val="22"/>
        </w:rPr>
        <w:t xml:space="preserve">piában részesült 23,4% beteggel. A Humira/metotrexát kombinációs terápia klinikailag és statisztikailag jobb volt, mint a metotrexát (p &lt; 0,001) és </w:t>
      </w:r>
      <w:r w:rsidR="005C406C" w:rsidRPr="00183B5F">
        <w:rPr>
          <w:szCs w:val="22"/>
        </w:rPr>
        <w:t>Humira-monoterá</w:t>
      </w:r>
      <w:r w:rsidRPr="00183B5F">
        <w:rPr>
          <w:szCs w:val="22"/>
        </w:rPr>
        <w:t xml:space="preserve">pia (p &lt; 0,001) az alacsony betegségaktivitási szint elérése tekintetében, amennyiben korai </w:t>
      </w:r>
      <w:r w:rsidR="00FF74DC" w:rsidRPr="00183B5F">
        <w:rPr>
          <w:szCs w:val="22"/>
        </w:rPr>
        <w:t xml:space="preserve">közepesen súlyos </w:t>
      </w:r>
      <w:r w:rsidRPr="00183B5F">
        <w:rPr>
          <w:szCs w:val="22"/>
        </w:rPr>
        <w:t>-</w:t>
      </w:r>
      <w:r w:rsidR="00FF74DC" w:rsidRPr="00183B5F">
        <w:rPr>
          <w:szCs w:val="22"/>
        </w:rPr>
        <w:t xml:space="preserve"> </w:t>
      </w:r>
      <w:r w:rsidRPr="00183B5F">
        <w:rPr>
          <w:szCs w:val="22"/>
        </w:rPr>
        <w:t xml:space="preserve">súlyos rheumatoid arthritisük volt. A két monoterápiás karon kapott válasz hasonló volt (p = 0,447). Az eredetileg </w:t>
      </w:r>
      <w:r w:rsidR="005C406C" w:rsidRPr="00183B5F">
        <w:rPr>
          <w:szCs w:val="22"/>
        </w:rPr>
        <w:t>Humira-monoterá</w:t>
      </w:r>
      <w:r w:rsidRPr="00183B5F">
        <w:rPr>
          <w:szCs w:val="22"/>
        </w:rPr>
        <w:t xml:space="preserve">piára vagy Humira/methotrexát kombinációra randomizált </w:t>
      </w:r>
      <w:r w:rsidRPr="00183B5F">
        <w:rPr>
          <w:szCs w:val="22"/>
        </w:rPr>
        <w:t>342 beteg közül, akik beléptek a nyílt kiterjesztéses vizsgálatba, 171 beteg fejezte be a 10 éves Humira</w:t>
      </w:r>
      <w:r w:rsidR="00D646B9" w:rsidRPr="00183B5F">
        <w:rPr>
          <w:szCs w:val="22"/>
        </w:rPr>
        <w:t>-</w:t>
      </w:r>
      <w:r w:rsidRPr="00183B5F">
        <w:rPr>
          <w:szCs w:val="22"/>
        </w:rPr>
        <w:t>kezelést. Közülük 109 beteg (63,7%) került remisszióba a 10 év alatt.</w:t>
      </w:r>
    </w:p>
    <w:p w14:paraId="19E6A239" w14:textId="77777777" w:rsidR="00D0403E" w:rsidRPr="00183B5F" w:rsidRDefault="00D0403E" w:rsidP="004062FE">
      <w:pPr>
        <w:spacing w:line="240" w:lineRule="auto"/>
        <w:rPr>
          <w:szCs w:val="22"/>
        </w:rPr>
      </w:pPr>
    </w:p>
    <w:p w14:paraId="3FEA24D9" w14:textId="77777777" w:rsidR="00D0403E" w:rsidRPr="00183B5F" w:rsidRDefault="00943743" w:rsidP="004062FE">
      <w:pPr>
        <w:keepNext/>
        <w:spacing w:line="240" w:lineRule="auto"/>
        <w:rPr>
          <w:i/>
          <w:szCs w:val="22"/>
          <w:u w:val="single"/>
        </w:rPr>
      </w:pPr>
      <w:r w:rsidRPr="00183B5F">
        <w:rPr>
          <w:i/>
          <w:szCs w:val="22"/>
          <w:u w:val="single"/>
        </w:rPr>
        <w:t>Radiológiai válasz</w:t>
      </w:r>
    </w:p>
    <w:p w14:paraId="14945EE5" w14:textId="77777777" w:rsidR="00D0403E" w:rsidRPr="00183B5F" w:rsidRDefault="00D0403E">
      <w:pPr>
        <w:pStyle w:val="EndnoteText"/>
        <w:keepNext/>
        <w:tabs>
          <w:tab w:val="clear" w:pos="567"/>
        </w:tabs>
        <w:suppressAutoHyphens/>
        <w:rPr>
          <w:sz w:val="22"/>
          <w:szCs w:val="22"/>
          <w:lang w:val="hu-HU" w:eastAsia="hu-HU"/>
        </w:rPr>
      </w:pPr>
    </w:p>
    <w:p w14:paraId="1B09244D" w14:textId="77777777" w:rsidR="00D0403E" w:rsidRPr="00183B5F" w:rsidRDefault="00943743" w:rsidP="004062FE">
      <w:pPr>
        <w:keepNext/>
        <w:spacing w:line="240" w:lineRule="auto"/>
        <w:rPr>
          <w:szCs w:val="22"/>
        </w:rPr>
      </w:pPr>
      <w:r w:rsidRPr="00183B5F">
        <w:rPr>
          <w:szCs w:val="22"/>
        </w:rPr>
        <w:t>Az RA III vizsgálatban, amelyben a Humira</w:t>
      </w:r>
      <w:r w:rsidRPr="00183B5F">
        <w:rPr>
          <w:szCs w:val="22"/>
        </w:rPr>
        <w:noBreakHyphen/>
        <w:t>val kezelt betegek rheumatoid arthritise átlagosan 11 éve állt fenn, az ízületek szerkezeti károsodását radiológiailag értékelték és a változást módosított teljes Sharp</w:t>
      </w:r>
      <w:r w:rsidR="00117647" w:rsidRPr="00183B5F">
        <w:rPr>
          <w:szCs w:val="22"/>
        </w:rPr>
        <w:t>-</w:t>
      </w:r>
      <w:r w:rsidRPr="00183B5F">
        <w:rPr>
          <w:szCs w:val="22"/>
        </w:rPr>
        <w:t>pontértékkel (Total Sharp Score, TSS) és összetevőivel, az er</w:t>
      </w:r>
      <w:r w:rsidR="00116852" w:rsidRPr="00183B5F">
        <w:rPr>
          <w:szCs w:val="22"/>
        </w:rPr>
        <w:t>ó</w:t>
      </w:r>
      <w:r w:rsidRPr="00183B5F">
        <w:rPr>
          <w:szCs w:val="22"/>
        </w:rPr>
        <w:t>ziós pontértékkel és az ízületi rés beszűkülésének pontértékével fejezték ki. Humira</w:t>
      </w:r>
      <w:r w:rsidRPr="00183B5F">
        <w:rPr>
          <w:szCs w:val="22"/>
        </w:rPr>
        <w:noBreakHyphen/>
        <w:t>val/metotrexáttal kezelt betegeknél szignifikánsan kisebb mértékű radiológiai progressziót mutattak ki a 6. és 12. hónapban, mint a csak metotrexáttal kezelt betegeknél (lásd</w:t>
      </w:r>
      <w:r w:rsidRPr="00183B5F">
        <w:rPr>
          <w:i/>
          <w:iCs/>
          <w:szCs w:val="22"/>
        </w:rPr>
        <w:t xml:space="preserve"> </w:t>
      </w:r>
      <w:r w:rsidR="007D329A" w:rsidRPr="00183B5F">
        <w:rPr>
          <w:szCs w:val="22"/>
        </w:rPr>
        <w:t>10</w:t>
      </w:r>
      <w:r w:rsidRPr="00183B5F">
        <w:rPr>
          <w:szCs w:val="22"/>
        </w:rPr>
        <w:t>. táblázat).</w:t>
      </w:r>
    </w:p>
    <w:p w14:paraId="48C25EC9" w14:textId="77777777" w:rsidR="00D0403E" w:rsidRPr="00183B5F" w:rsidRDefault="00D0403E" w:rsidP="004062FE">
      <w:pPr>
        <w:spacing w:line="240" w:lineRule="auto"/>
        <w:rPr>
          <w:szCs w:val="22"/>
        </w:rPr>
      </w:pPr>
    </w:p>
    <w:p w14:paraId="63BB236D" w14:textId="77777777" w:rsidR="00D0403E" w:rsidRPr="00183B5F" w:rsidRDefault="00943743" w:rsidP="004062FE">
      <w:pPr>
        <w:spacing w:line="240" w:lineRule="auto"/>
        <w:rPr>
          <w:szCs w:val="22"/>
        </w:rPr>
      </w:pPr>
      <w:r w:rsidRPr="00183B5F">
        <w:rPr>
          <w:szCs w:val="22"/>
        </w:rPr>
        <w:t>Az RA III vizsgálat nyílt, kiterjesztett fázisában a strukturális károsodás progressziójának csökkent mértéke 8 és 10 évig fenntartható a betegek egy részénél. Az eredetileg minden második héten 40 mg Humira</w:t>
      </w:r>
      <w:r w:rsidRPr="00183B5F">
        <w:rPr>
          <w:szCs w:val="22"/>
        </w:rPr>
        <w:noBreakHyphen/>
        <w:t>val kezelt 207 beteg közül 81</w:t>
      </w:r>
      <w:r w:rsidRPr="00183B5F">
        <w:rPr>
          <w:szCs w:val="22"/>
        </w:rPr>
        <w:noBreakHyphen/>
        <w:t>et értékeltek radiológiailag a 8. évben. Közülük 48 betegnél nem észlelték a strukturális károsodás progresszióját, melynek definíciója a Teljes Sharp</w:t>
      </w:r>
      <w:r w:rsidR="00117647" w:rsidRPr="00183B5F">
        <w:rPr>
          <w:szCs w:val="22"/>
        </w:rPr>
        <w:t>-</w:t>
      </w:r>
      <w:r w:rsidRPr="00183B5F">
        <w:rPr>
          <w:szCs w:val="22"/>
        </w:rPr>
        <w:t>pontértékben bekövetkezett 0,5 vagy még alacsonyabb változás volt a kiindulási értékhez képest. Az eredetileg minden második héten 40 mg Humira</w:t>
      </w:r>
      <w:r w:rsidRPr="00183B5F">
        <w:rPr>
          <w:szCs w:val="22"/>
        </w:rPr>
        <w:noBreakHyphen/>
        <w:t>val kezelt 207 beteg közül 79</w:t>
      </w:r>
      <w:r w:rsidRPr="00183B5F">
        <w:rPr>
          <w:szCs w:val="22"/>
        </w:rPr>
        <w:noBreakHyphen/>
        <w:t>et értékeltek radiológiailag a 10. évben. Közülük 40 betegnél nem észlelték a strukturális károsodás progresszióját, melynek definíciója a Teljes Sharp</w:t>
      </w:r>
      <w:r w:rsidR="00117647" w:rsidRPr="00183B5F">
        <w:rPr>
          <w:szCs w:val="22"/>
        </w:rPr>
        <w:t>-</w:t>
      </w:r>
      <w:r w:rsidRPr="00183B5F">
        <w:rPr>
          <w:szCs w:val="22"/>
        </w:rPr>
        <w:t>pont</w:t>
      </w:r>
      <w:r w:rsidRPr="00183B5F">
        <w:rPr>
          <w:szCs w:val="22"/>
        </w:rPr>
        <w:t>értékben bekövetkezett 0,5 vagy ennél alacsonyabb változás volt a kiindulási értékhez képest.</w:t>
      </w:r>
    </w:p>
    <w:p w14:paraId="1D4B07B5" w14:textId="77777777" w:rsidR="00D0403E" w:rsidRPr="00183B5F" w:rsidRDefault="00D0403E" w:rsidP="004062FE">
      <w:pPr>
        <w:pStyle w:val="EMEAHeading1"/>
        <w:tabs>
          <w:tab w:val="clear" w:pos="562"/>
        </w:tabs>
        <w:spacing w:beforeLines="0" w:afterLines="0"/>
        <w:outlineLvl w:val="9"/>
        <w:rPr>
          <w:rFonts w:ascii="Times New Roman" w:hAnsi="Times New Roman"/>
          <w:bCs/>
          <w:caps w:val="0"/>
          <w:szCs w:val="22"/>
          <w:lang w:val="hu-HU" w:eastAsia="hu-HU"/>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88"/>
        <w:gridCol w:w="1430"/>
        <w:gridCol w:w="1790"/>
        <w:gridCol w:w="2000"/>
        <w:gridCol w:w="1548"/>
      </w:tblGrid>
      <w:tr w:rsidR="00011D2F" w14:paraId="322707F9" w14:textId="77777777" w:rsidTr="00D0403E">
        <w:trPr>
          <w:cantSplit/>
        </w:trPr>
        <w:tc>
          <w:tcPr>
            <w:tcW w:w="8856" w:type="dxa"/>
            <w:gridSpan w:val="5"/>
            <w:tcBorders>
              <w:top w:val="nil"/>
              <w:left w:val="nil"/>
              <w:bottom w:val="single" w:sz="4" w:space="0" w:color="auto"/>
              <w:right w:val="nil"/>
            </w:tcBorders>
          </w:tcPr>
          <w:p w14:paraId="62736EF0" w14:textId="77777777" w:rsidR="00D0403E" w:rsidRPr="00183B5F" w:rsidRDefault="00943743" w:rsidP="004062FE">
            <w:pPr>
              <w:pStyle w:val="EMEAHeading1"/>
              <w:keepNext/>
              <w:tabs>
                <w:tab w:val="clear" w:pos="562"/>
              </w:tabs>
              <w:spacing w:beforeLines="0" w:afterLines="0"/>
              <w:jc w:val="center"/>
              <w:outlineLvl w:val="9"/>
              <w:rPr>
                <w:rFonts w:ascii="Times New Roman" w:hAnsi="Times New Roman"/>
                <w:bCs/>
                <w:caps w:val="0"/>
                <w:szCs w:val="22"/>
                <w:lang w:val="hu-HU" w:eastAsia="hu-HU"/>
              </w:rPr>
            </w:pPr>
            <w:r w:rsidRPr="00183B5F">
              <w:rPr>
                <w:rFonts w:ascii="Times New Roman" w:hAnsi="Times New Roman"/>
                <w:bCs/>
                <w:caps w:val="0"/>
                <w:szCs w:val="22"/>
                <w:lang w:val="hu-HU" w:eastAsia="hu-HU"/>
              </w:rPr>
              <w:t xml:space="preserve">10. táblázat </w:t>
            </w:r>
          </w:p>
          <w:p w14:paraId="0173D245" w14:textId="77777777" w:rsidR="00D0403E" w:rsidRPr="00183B5F" w:rsidRDefault="00943743" w:rsidP="004062FE">
            <w:pPr>
              <w:pStyle w:val="EMEAHeading1"/>
              <w:keepNext/>
              <w:tabs>
                <w:tab w:val="clear" w:pos="562"/>
              </w:tabs>
              <w:spacing w:beforeLines="0" w:afterLines="0"/>
              <w:jc w:val="center"/>
              <w:outlineLvl w:val="9"/>
              <w:rPr>
                <w:rFonts w:ascii="Times New Roman" w:hAnsi="Times New Roman"/>
                <w:bCs/>
                <w:caps w:val="0"/>
                <w:strike/>
                <w:szCs w:val="22"/>
                <w:lang w:val="hu-HU" w:eastAsia="hu-HU"/>
              </w:rPr>
            </w:pPr>
            <w:r w:rsidRPr="00183B5F">
              <w:rPr>
                <w:rFonts w:ascii="Times New Roman" w:hAnsi="Times New Roman"/>
                <w:bCs/>
                <w:caps w:val="0"/>
                <w:szCs w:val="22"/>
                <w:lang w:val="hu-HU" w:eastAsia="hu-HU"/>
              </w:rPr>
              <w:t>Az RA III vizsgálatban észlelt radiológiai változások átlaga 12 hónapot követően</w:t>
            </w:r>
          </w:p>
          <w:p w14:paraId="535655D1" w14:textId="77777777" w:rsidR="00D0403E" w:rsidRPr="00183B5F" w:rsidRDefault="00D0403E" w:rsidP="004062FE">
            <w:pPr>
              <w:keepNext/>
              <w:spacing w:line="240" w:lineRule="auto"/>
              <w:jc w:val="center"/>
              <w:rPr>
                <w:b/>
                <w:bCs/>
                <w:szCs w:val="22"/>
              </w:rPr>
            </w:pPr>
          </w:p>
        </w:tc>
      </w:tr>
      <w:tr w:rsidR="00011D2F" w14:paraId="3A0E7939" w14:textId="77777777" w:rsidTr="00D0403E">
        <w:trPr>
          <w:cantSplit/>
        </w:trPr>
        <w:tc>
          <w:tcPr>
            <w:tcW w:w="2088" w:type="dxa"/>
            <w:tcBorders>
              <w:top w:val="single" w:sz="4" w:space="0" w:color="auto"/>
              <w:bottom w:val="single" w:sz="4" w:space="0" w:color="auto"/>
              <w:right w:val="single" w:sz="4" w:space="0" w:color="auto"/>
            </w:tcBorders>
          </w:tcPr>
          <w:p w14:paraId="1E69A09E" w14:textId="77777777" w:rsidR="00D0403E" w:rsidRPr="00183B5F" w:rsidRDefault="00D0403E" w:rsidP="004062FE">
            <w:pPr>
              <w:keepNext/>
              <w:spacing w:line="240" w:lineRule="auto"/>
              <w:jc w:val="center"/>
              <w:rPr>
                <w:szCs w:val="22"/>
              </w:rPr>
            </w:pPr>
          </w:p>
        </w:tc>
        <w:tc>
          <w:tcPr>
            <w:tcW w:w="1430" w:type="dxa"/>
            <w:tcBorders>
              <w:top w:val="single" w:sz="4" w:space="0" w:color="auto"/>
              <w:left w:val="single" w:sz="4" w:space="0" w:color="auto"/>
              <w:bottom w:val="single" w:sz="4" w:space="0" w:color="auto"/>
              <w:right w:val="single" w:sz="4" w:space="0" w:color="auto"/>
            </w:tcBorders>
          </w:tcPr>
          <w:p w14:paraId="554399F9" w14:textId="77777777" w:rsidR="00D0403E" w:rsidRPr="00183B5F" w:rsidRDefault="00943743" w:rsidP="004062FE">
            <w:pPr>
              <w:keepNext/>
              <w:spacing w:line="240" w:lineRule="auto"/>
              <w:rPr>
                <w:szCs w:val="22"/>
              </w:rPr>
            </w:pPr>
            <w:r w:rsidRPr="00183B5F">
              <w:rPr>
                <w:szCs w:val="22"/>
              </w:rPr>
              <w:t>Placebo/</w:t>
            </w:r>
          </w:p>
          <w:p w14:paraId="1D76D7BA" w14:textId="77777777" w:rsidR="00D0403E" w:rsidRPr="00183B5F" w:rsidRDefault="00943743" w:rsidP="004062FE">
            <w:pPr>
              <w:keepNext/>
              <w:spacing w:line="240" w:lineRule="auto"/>
              <w:rPr>
                <w:szCs w:val="22"/>
                <w:vertAlign w:val="superscript"/>
              </w:rPr>
            </w:pPr>
            <w:r w:rsidRPr="00183B5F">
              <w:rPr>
                <w:szCs w:val="22"/>
              </w:rPr>
              <w:t>MTX</w:t>
            </w:r>
            <w:r w:rsidRPr="00183B5F">
              <w:rPr>
                <w:szCs w:val="22"/>
                <w:vertAlign w:val="superscript"/>
              </w:rPr>
              <w:t>a</w:t>
            </w:r>
          </w:p>
        </w:tc>
        <w:tc>
          <w:tcPr>
            <w:tcW w:w="1790" w:type="dxa"/>
            <w:tcBorders>
              <w:top w:val="single" w:sz="4" w:space="0" w:color="auto"/>
              <w:left w:val="single" w:sz="4" w:space="0" w:color="auto"/>
              <w:bottom w:val="single" w:sz="4" w:space="0" w:color="auto"/>
              <w:right w:val="single" w:sz="4" w:space="0" w:color="auto"/>
            </w:tcBorders>
          </w:tcPr>
          <w:p w14:paraId="733EAE1E" w14:textId="77777777" w:rsidR="00D0403E" w:rsidRPr="00183B5F" w:rsidRDefault="00943743" w:rsidP="004062FE">
            <w:pPr>
              <w:keepNext/>
              <w:spacing w:line="240" w:lineRule="auto"/>
              <w:jc w:val="center"/>
              <w:rPr>
                <w:szCs w:val="22"/>
              </w:rPr>
            </w:pPr>
            <w:r w:rsidRPr="00183B5F">
              <w:rPr>
                <w:szCs w:val="22"/>
              </w:rPr>
              <w:t>Humira/MTX</w:t>
            </w:r>
          </w:p>
          <w:p w14:paraId="46AAB3E7" w14:textId="77777777" w:rsidR="00D0403E" w:rsidRPr="00183B5F" w:rsidRDefault="00943743" w:rsidP="004062FE">
            <w:pPr>
              <w:keepNext/>
              <w:spacing w:line="240" w:lineRule="auto"/>
              <w:jc w:val="center"/>
              <w:rPr>
                <w:szCs w:val="22"/>
              </w:rPr>
            </w:pPr>
            <w:r w:rsidRPr="00183B5F">
              <w:rPr>
                <w:szCs w:val="22"/>
              </w:rPr>
              <w:t>40 mg kéthetente</w:t>
            </w:r>
          </w:p>
        </w:tc>
        <w:tc>
          <w:tcPr>
            <w:tcW w:w="2000" w:type="dxa"/>
            <w:tcBorders>
              <w:top w:val="single" w:sz="4" w:space="0" w:color="auto"/>
              <w:left w:val="single" w:sz="4" w:space="0" w:color="auto"/>
              <w:bottom w:val="single" w:sz="4" w:space="0" w:color="auto"/>
              <w:right w:val="single" w:sz="4" w:space="0" w:color="auto"/>
            </w:tcBorders>
          </w:tcPr>
          <w:p w14:paraId="1DC47A44" w14:textId="77777777" w:rsidR="00D0403E" w:rsidRPr="00183B5F" w:rsidRDefault="00943743" w:rsidP="004062FE">
            <w:pPr>
              <w:keepNext/>
              <w:spacing w:line="240" w:lineRule="auto"/>
              <w:jc w:val="center"/>
              <w:rPr>
                <w:szCs w:val="22"/>
              </w:rPr>
            </w:pPr>
            <w:r w:rsidRPr="00183B5F">
              <w:rPr>
                <w:szCs w:val="22"/>
              </w:rPr>
              <w:t>Placebo/MTX-Humira/MTX (95%-os konfidencia intervallum)</w:t>
            </w:r>
            <w:r w:rsidR="00DD7EEF" w:rsidRPr="00183B5F">
              <w:rPr>
                <w:szCs w:val="22"/>
                <w:vertAlign w:val="superscript"/>
              </w:rPr>
              <w:t>b</w:t>
            </w:r>
          </w:p>
          <w:p w14:paraId="159331E9" w14:textId="77777777" w:rsidR="00D0403E" w:rsidRPr="00183B5F" w:rsidRDefault="00D0403E" w:rsidP="004062FE">
            <w:pPr>
              <w:keepNext/>
              <w:spacing w:line="240" w:lineRule="auto"/>
              <w:jc w:val="center"/>
              <w:rPr>
                <w:szCs w:val="22"/>
              </w:rPr>
            </w:pPr>
          </w:p>
        </w:tc>
        <w:tc>
          <w:tcPr>
            <w:tcW w:w="1548" w:type="dxa"/>
            <w:tcBorders>
              <w:top w:val="single" w:sz="4" w:space="0" w:color="auto"/>
              <w:left w:val="single" w:sz="4" w:space="0" w:color="auto"/>
              <w:bottom w:val="single" w:sz="4" w:space="0" w:color="auto"/>
            </w:tcBorders>
          </w:tcPr>
          <w:p w14:paraId="4AEE7BC1" w14:textId="77777777" w:rsidR="00D0403E" w:rsidRPr="00183B5F" w:rsidRDefault="00943743" w:rsidP="004062FE">
            <w:pPr>
              <w:keepNext/>
              <w:spacing w:line="240" w:lineRule="auto"/>
              <w:jc w:val="center"/>
              <w:rPr>
                <w:szCs w:val="22"/>
              </w:rPr>
            </w:pPr>
            <w:r w:rsidRPr="00183B5F">
              <w:rPr>
                <w:szCs w:val="22"/>
              </w:rPr>
              <w:t>p-érték</w:t>
            </w:r>
          </w:p>
        </w:tc>
      </w:tr>
      <w:tr w:rsidR="00011D2F" w14:paraId="30A57CE1" w14:textId="77777777" w:rsidTr="00D0403E">
        <w:trPr>
          <w:cantSplit/>
        </w:trPr>
        <w:tc>
          <w:tcPr>
            <w:tcW w:w="2088" w:type="dxa"/>
            <w:tcBorders>
              <w:top w:val="single" w:sz="4" w:space="0" w:color="auto"/>
              <w:bottom w:val="single" w:sz="4" w:space="0" w:color="auto"/>
              <w:right w:val="single" w:sz="4" w:space="0" w:color="auto"/>
            </w:tcBorders>
          </w:tcPr>
          <w:p w14:paraId="584D5EF1" w14:textId="77777777" w:rsidR="00D0403E" w:rsidRPr="00183B5F" w:rsidRDefault="00943743" w:rsidP="004062FE">
            <w:pPr>
              <w:keepNext/>
              <w:spacing w:line="240" w:lineRule="auto"/>
              <w:jc w:val="center"/>
              <w:rPr>
                <w:szCs w:val="22"/>
              </w:rPr>
            </w:pPr>
            <w:r w:rsidRPr="00183B5F">
              <w:rPr>
                <w:szCs w:val="22"/>
              </w:rPr>
              <w:t>Teljes Sharp</w:t>
            </w:r>
            <w:r w:rsidR="005E4FD2" w:rsidRPr="00183B5F">
              <w:rPr>
                <w:szCs w:val="22"/>
              </w:rPr>
              <w:t>-</w:t>
            </w:r>
            <w:r w:rsidRPr="00183B5F">
              <w:rPr>
                <w:szCs w:val="22"/>
              </w:rPr>
              <w:t>pontérték</w:t>
            </w:r>
          </w:p>
        </w:tc>
        <w:tc>
          <w:tcPr>
            <w:tcW w:w="1430" w:type="dxa"/>
            <w:tcBorders>
              <w:top w:val="single" w:sz="4" w:space="0" w:color="auto"/>
              <w:left w:val="single" w:sz="4" w:space="0" w:color="auto"/>
              <w:bottom w:val="single" w:sz="4" w:space="0" w:color="auto"/>
              <w:right w:val="single" w:sz="4" w:space="0" w:color="auto"/>
            </w:tcBorders>
          </w:tcPr>
          <w:p w14:paraId="2B401839" w14:textId="77777777" w:rsidR="00D0403E" w:rsidRPr="00183B5F" w:rsidRDefault="00943743" w:rsidP="004062FE">
            <w:pPr>
              <w:keepNext/>
              <w:spacing w:line="240" w:lineRule="auto"/>
              <w:jc w:val="center"/>
              <w:rPr>
                <w:szCs w:val="22"/>
              </w:rPr>
            </w:pPr>
            <w:r w:rsidRPr="00183B5F">
              <w:rPr>
                <w:szCs w:val="22"/>
              </w:rPr>
              <w:t>2,7</w:t>
            </w:r>
          </w:p>
        </w:tc>
        <w:tc>
          <w:tcPr>
            <w:tcW w:w="1790" w:type="dxa"/>
            <w:tcBorders>
              <w:top w:val="single" w:sz="4" w:space="0" w:color="auto"/>
              <w:left w:val="single" w:sz="4" w:space="0" w:color="auto"/>
              <w:bottom w:val="single" w:sz="4" w:space="0" w:color="auto"/>
              <w:right w:val="single" w:sz="4" w:space="0" w:color="auto"/>
            </w:tcBorders>
          </w:tcPr>
          <w:p w14:paraId="54EDFFEC" w14:textId="77777777" w:rsidR="00D0403E" w:rsidRPr="00183B5F" w:rsidRDefault="00943743" w:rsidP="004062FE">
            <w:pPr>
              <w:keepNext/>
              <w:spacing w:line="240" w:lineRule="auto"/>
              <w:jc w:val="center"/>
              <w:rPr>
                <w:szCs w:val="22"/>
              </w:rPr>
            </w:pPr>
            <w:r w:rsidRPr="00183B5F">
              <w:rPr>
                <w:szCs w:val="22"/>
              </w:rPr>
              <w:t>0,1</w:t>
            </w:r>
          </w:p>
        </w:tc>
        <w:tc>
          <w:tcPr>
            <w:tcW w:w="2000" w:type="dxa"/>
            <w:tcBorders>
              <w:top w:val="single" w:sz="4" w:space="0" w:color="auto"/>
              <w:left w:val="single" w:sz="4" w:space="0" w:color="auto"/>
              <w:bottom w:val="single" w:sz="4" w:space="0" w:color="auto"/>
              <w:right w:val="single" w:sz="4" w:space="0" w:color="auto"/>
            </w:tcBorders>
          </w:tcPr>
          <w:p w14:paraId="497FE9EF" w14:textId="77777777" w:rsidR="00D0403E" w:rsidRPr="00183B5F" w:rsidRDefault="00943743" w:rsidP="004062FE">
            <w:pPr>
              <w:keepNext/>
              <w:spacing w:line="240" w:lineRule="auto"/>
              <w:jc w:val="center"/>
              <w:rPr>
                <w:szCs w:val="22"/>
              </w:rPr>
            </w:pPr>
            <w:r w:rsidRPr="00183B5F">
              <w:rPr>
                <w:szCs w:val="22"/>
              </w:rPr>
              <w:t>2,6 (1,4</w:t>
            </w:r>
            <w:r w:rsidR="00DD7EEF" w:rsidRPr="00183B5F">
              <w:rPr>
                <w:szCs w:val="22"/>
              </w:rPr>
              <w:t>;</w:t>
            </w:r>
            <w:r w:rsidRPr="00183B5F">
              <w:rPr>
                <w:szCs w:val="22"/>
              </w:rPr>
              <w:t xml:space="preserve"> 3,8) </w:t>
            </w:r>
          </w:p>
        </w:tc>
        <w:tc>
          <w:tcPr>
            <w:tcW w:w="1548" w:type="dxa"/>
            <w:tcBorders>
              <w:top w:val="single" w:sz="4" w:space="0" w:color="auto"/>
              <w:left w:val="single" w:sz="4" w:space="0" w:color="auto"/>
              <w:bottom w:val="single" w:sz="4" w:space="0" w:color="auto"/>
            </w:tcBorders>
          </w:tcPr>
          <w:p w14:paraId="4B3E5090" w14:textId="77777777" w:rsidR="00D0403E" w:rsidRPr="00183B5F" w:rsidRDefault="00943743" w:rsidP="004062FE">
            <w:pPr>
              <w:keepNext/>
              <w:spacing w:line="240" w:lineRule="auto"/>
              <w:jc w:val="center"/>
              <w:rPr>
                <w:szCs w:val="22"/>
                <w:vertAlign w:val="superscript"/>
              </w:rPr>
            </w:pPr>
            <w:r w:rsidRPr="00183B5F">
              <w:rPr>
                <w:szCs w:val="22"/>
              </w:rPr>
              <w:t>&lt; 0,001</w:t>
            </w:r>
            <w:r w:rsidRPr="00183B5F">
              <w:rPr>
                <w:szCs w:val="22"/>
                <w:vertAlign w:val="superscript"/>
              </w:rPr>
              <w:t>c</w:t>
            </w:r>
          </w:p>
        </w:tc>
      </w:tr>
      <w:tr w:rsidR="00011D2F" w14:paraId="3FE9F3C9" w14:textId="77777777" w:rsidTr="00D0403E">
        <w:trPr>
          <w:cantSplit/>
        </w:trPr>
        <w:tc>
          <w:tcPr>
            <w:tcW w:w="2088" w:type="dxa"/>
            <w:tcBorders>
              <w:top w:val="single" w:sz="4" w:space="0" w:color="auto"/>
              <w:bottom w:val="single" w:sz="4" w:space="0" w:color="auto"/>
              <w:right w:val="single" w:sz="4" w:space="0" w:color="auto"/>
            </w:tcBorders>
          </w:tcPr>
          <w:p w14:paraId="57B4920A" w14:textId="77777777" w:rsidR="00D0403E" w:rsidRPr="00183B5F" w:rsidRDefault="00943743" w:rsidP="004062FE">
            <w:pPr>
              <w:spacing w:line="240" w:lineRule="auto"/>
              <w:jc w:val="center"/>
              <w:rPr>
                <w:szCs w:val="22"/>
              </w:rPr>
            </w:pPr>
            <w:r w:rsidRPr="00183B5F">
              <w:rPr>
                <w:szCs w:val="22"/>
              </w:rPr>
              <w:t>Eróziós pontérték</w:t>
            </w:r>
          </w:p>
          <w:p w14:paraId="45535C5B" w14:textId="77777777" w:rsidR="00D0403E" w:rsidRPr="00183B5F" w:rsidRDefault="00D0403E" w:rsidP="004062FE">
            <w:pPr>
              <w:spacing w:line="240" w:lineRule="auto"/>
              <w:jc w:val="center"/>
              <w:rPr>
                <w:szCs w:val="22"/>
              </w:rPr>
            </w:pPr>
          </w:p>
        </w:tc>
        <w:tc>
          <w:tcPr>
            <w:tcW w:w="1430" w:type="dxa"/>
            <w:tcBorders>
              <w:top w:val="single" w:sz="4" w:space="0" w:color="auto"/>
              <w:left w:val="single" w:sz="4" w:space="0" w:color="auto"/>
              <w:bottom w:val="single" w:sz="4" w:space="0" w:color="auto"/>
              <w:right w:val="single" w:sz="4" w:space="0" w:color="auto"/>
            </w:tcBorders>
          </w:tcPr>
          <w:p w14:paraId="2A0AD6EB" w14:textId="77777777" w:rsidR="00D0403E" w:rsidRPr="00183B5F" w:rsidRDefault="00943743" w:rsidP="004062FE">
            <w:pPr>
              <w:spacing w:line="240" w:lineRule="auto"/>
              <w:jc w:val="center"/>
              <w:rPr>
                <w:szCs w:val="22"/>
              </w:rPr>
            </w:pPr>
            <w:r w:rsidRPr="00183B5F">
              <w:rPr>
                <w:szCs w:val="22"/>
              </w:rPr>
              <w:t>1,6</w:t>
            </w:r>
          </w:p>
        </w:tc>
        <w:tc>
          <w:tcPr>
            <w:tcW w:w="1790" w:type="dxa"/>
            <w:tcBorders>
              <w:top w:val="single" w:sz="4" w:space="0" w:color="auto"/>
              <w:left w:val="single" w:sz="4" w:space="0" w:color="auto"/>
              <w:bottom w:val="single" w:sz="4" w:space="0" w:color="auto"/>
              <w:right w:val="single" w:sz="4" w:space="0" w:color="auto"/>
            </w:tcBorders>
          </w:tcPr>
          <w:p w14:paraId="7CE3B043" w14:textId="77777777" w:rsidR="00D0403E" w:rsidRPr="00183B5F" w:rsidRDefault="00943743" w:rsidP="004062FE">
            <w:pPr>
              <w:spacing w:line="240" w:lineRule="auto"/>
              <w:jc w:val="center"/>
              <w:rPr>
                <w:szCs w:val="22"/>
              </w:rPr>
            </w:pPr>
            <w:r w:rsidRPr="00183B5F">
              <w:rPr>
                <w:szCs w:val="22"/>
              </w:rPr>
              <w:t>0,0</w:t>
            </w:r>
          </w:p>
        </w:tc>
        <w:tc>
          <w:tcPr>
            <w:tcW w:w="2000" w:type="dxa"/>
            <w:tcBorders>
              <w:top w:val="single" w:sz="4" w:space="0" w:color="auto"/>
              <w:left w:val="single" w:sz="4" w:space="0" w:color="auto"/>
              <w:bottom w:val="single" w:sz="4" w:space="0" w:color="auto"/>
              <w:right w:val="single" w:sz="4" w:space="0" w:color="auto"/>
            </w:tcBorders>
          </w:tcPr>
          <w:p w14:paraId="45EDF1B3" w14:textId="77777777" w:rsidR="00D0403E" w:rsidRPr="00183B5F" w:rsidRDefault="00943743" w:rsidP="004062FE">
            <w:pPr>
              <w:spacing w:line="240" w:lineRule="auto"/>
              <w:jc w:val="center"/>
              <w:rPr>
                <w:szCs w:val="22"/>
              </w:rPr>
            </w:pPr>
            <w:r w:rsidRPr="00183B5F">
              <w:rPr>
                <w:szCs w:val="22"/>
              </w:rPr>
              <w:t>1,6 (0,9</w:t>
            </w:r>
            <w:r w:rsidR="00DD7EEF" w:rsidRPr="00183B5F">
              <w:rPr>
                <w:szCs w:val="22"/>
              </w:rPr>
              <w:t>;</w:t>
            </w:r>
            <w:r w:rsidRPr="00183B5F">
              <w:rPr>
                <w:szCs w:val="22"/>
              </w:rPr>
              <w:t xml:space="preserve"> 2,2)</w:t>
            </w:r>
          </w:p>
        </w:tc>
        <w:tc>
          <w:tcPr>
            <w:tcW w:w="1548" w:type="dxa"/>
            <w:tcBorders>
              <w:top w:val="single" w:sz="4" w:space="0" w:color="auto"/>
              <w:left w:val="single" w:sz="4" w:space="0" w:color="auto"/>
              <w:bottom w:val="single" w:sz="4" w:space="0" w:color="auto"/>
            </w:tcBorders>
          </w:tcPr>
          <w:p w14:paraId="545E4781" w14:textId="77777777" w:rsidR="00D0403E" w:rsidRPr="00183B5F" w:rsidRDefault="00943743" w:rsidP="004062FE">
            <w:pPr>
              <w:spacing w:line="240" w:lineRule="auto"/>
              <w:jc w:val="center"/>
              <w:rPr>
                <w:szCs w:val="22"/>
              </w:rPr>
            </w:pPr>
            <w:r w:rsidRPr="00183B5F">
              <w:rPr>
                <w:szCs w:val="22"/>
              </w:rPr>
              <w:t>&lt; 0,001</w:t>
            </w:r>
          </w:p>
        </w:tc>
      </w:tr>
      <w:tr w:rsidR="00011D2F" w14:paraId="5059D865" w14:textId="77777777" w:rsidTr="00D0403E">
        <w:trPr>
          <w:cantSplit/>
        </w:trPr>
        <w:tc>
          <w:tcPr>
            <w:tcW w:w="2088" w:type="dxa"/>
            <w:tcBorders>
              <w:top w:val="single" w:sz="4" w:space="0" w:color="auto"/>
              <w:bottom w:val="single" w:sz="4" w:space="0" w:color="auto"/>
              <w:right w:val="single" w:sz="4" w:space="0" w:color="auto"/>
            </w:tcBorders>
          </w:tcPr>
          <w:p w14:paraId="0D3A2A48" w14:textId="77777777" w:rsidR="00D0403E" w:rsidRPr="00183B5F" w:rsidRDefault="00943743" w:rsidP="004062FE">
            <w:pPr>
              <w:spacing w:line="240" w:lineRule="auto"/>
              <w:jc w:val="center"/>
              <w:rPr>
                <w:szCs w:val="22"/>
                <w:vertAlign w:val="superscript"/>
              </w:rPr>
            </w:pPr>
            <w:r w:rsidRPr="00183B5F">
              <w:rPr>
                <w:szCs w:val="22"/>
              </w:rPr>
              <w:t>JSN</w:t>
            </w:r>
            <w:r w:rsidRPr="00183B5F">
              <w:rPr>
                <w:szCs w:val="22"/>
                <w:vertAlign w:val="superscript"/>
              </w:rPr>
              <w:t>d</w:t>
            </w:r>
            <w:r w:rsidR="005E4FD2" w:rsidRPr="00183B5F">
              <w:rPr>
                <w:szCs w:val="22"/>
              </w:rPr>
              <w:t>-</w:t>
            </w:r>
            <w:r w:rsidRPr="00183B5F">
              <w:rPr>
                <w:szCs w:val="22"/>
              </w:rPr>
              <w:t>pontérték</w:t>
            </w:r>
          </w:p>
          <w:p w14:paraId="0B74D1D8" w14:textId="77777777" w:rsidR="00D0403E" w:rsidRPr="00183B5F" w:rsidRDefault="00D0403E" w:rsidP="004062FE">
            <w:pPr>
              <w:spacing w:line="240" w:lineRule="auto"/>
              <w:jc w:val="center"/>
              <w:rPr>
                <w:szCs w:val="22"/>
              </w:rPr>
            </w:pPr>
          </w:p>
        </w:tc>
        <w:tc>
          <w:tcPr>
            <w:tcW w:w="1430" w:type="dxa"/>
            <w:tcBorders>
              <w:top w:val="single" w:sz="4" w:space="0" w:color="auto"/>
              <w:left w:val="single" w:sz="4" w:space="0" w:color="auto"/>
              <w:bottom w:val="single" w:sz="4" w:space="0" w:color="auto"/>
              <w:right w:val="single" w:sz="4" w:space="0" w:color="auto"/>
            </w:tcBorders>
          </w:tcPr>
          <w:p w14:paraId="1BA2FC1A" w14:textId="77777777" w:rsidR="00D0403E" w:rsidRPr="00183B5F" w:rsidRDefault="00943743" w:rsidP="004062FE">
            <w:pPr>
              <w:spacing w:line="240" w:lineRule="auto"/>
              <w:jc w:val="center"/>
              <w:rPr>
                <w:szCs w:val="22"/>
              </w:rPr>
            </w:pPr>
            <w:r w:rsidRPr="00183B5F">
              <w:rPr>
                <w:szCs w:val="22"/>
              </w:rPr>
              <w:t>1,0</w:t>
            </w:r>
          </w:p>
        </w:tc>
        <w:tc>
          <w:tcPr>
            <w:tcW w:w="1790" w:type="dxa"/>
            <w:tcBorders>
              <w:top w:val="single" w:sz="4" w:space="0" w:color="auto"/>
              <w:left w:val="single" w:sz="4" w:space="0" w:color="auto"/>
              <w:bottom w:val="single" w:sz="4" w:space="0" w:color="auto"/>
              <w:right w:val="single" w:sz="4" w:space="0" w:color="auto"/>
            </w:tcBorders>
          </w:tcPr>
          <w:p w14:paraId="56AE2080" w14:textId="77777777" w:rsidR="00D0403E" w:rsidRPr="00183B5F" w:rsidRDefault="00943743" w:rsidP="004062FE">
            <w:pPr>
              <w:spacing w:line="240" w:lineRule="auto"/>
              <w:jc w:val="center"/>
              <w:rPr>
                <w:szCs w:val="22"/>
              </w:rPr>
            </w:pPr>
            <w:r w:rsidRPr="00183B5F">
              <w:rPr>
                <w:szCs w:val="22"/>
              </w:rPr>
              <w:t>0,1</w:t>
            </w:r>
          </w:p>
        </w:tc>
        <w:tc>
          <w:tcPr>
            <w:tcW w:w="2000" w:type="dxa"/>
            <w:tcBorders>
              <w:top w:val="single" w:sz="4" w:space="0" w:color="auto"/>
              <w:left w:val="single" w:sz="4" w:space="0" w:color="auto"/>
              <w:bottom w:val="single" w:sz="4" w:space="0" w:color="auto"/>
              <w:right w:val="single" w:sz="4" w:space="0" w:color="auto"/>
            </w:tcBorders>
          </w:tcPr>
          <w:p w14:paraId="7121AB09" w14:textId="77777777" w:rsidR="00D0403E" w:rsidRPr="00183B5F" w:rsidRDefault="00943743" w:rsidP="004062FE">
            <w:pPr>
              <w:spacing w:line="240" w:lineRule="auto"/>
              <w:jc w:val="center"/>
              <w:rPr>
                <w:szCs w:val="22"/>
              </w:rPr>
            </w:pPr>
            <w:r w:rsidRPr="00183B5F">
              <w:rPr>
                <w:szCs w:val="22"/>
              </w:rPr>
              <w:t>0,9 (0,3</w:t>
            </w:r>
            <w:r w:rsidR="00DD7EEF" w:rsidRPr="00183B5F">
              <w:rPr>
                <w:szCs w:val="22"/>
              </w:rPr>
              <w:t>;</w:t>
            </w:r>
            <w:r w:rsidRPr="00183B5F">
              <w:rPr>
                <w:szCs w:val="22"/>
              </w:rPr>
              <w:t xml:space="preserve"> 1,4)</w:t>
            </w:r>
          </w:p>
        </w:tc>
        <w:tc>
          <w:tcPr>
            <w:tcW w:w="1548" w:type="dxa"/>
            <w:tcBorders>
              <w:top w:val="single" w:sz="4" w:space="0" w:color="auto"/>
              <w:left w:val="single" w:sz="4" w:space="0" w:color="auto"/>
              <w:bottom w:val="single" w:sz="4" w:space="0" w:color="auto"/>
            </w:tcBorders>
          </w:tcPr>
          <w:p w14:paraId="33AB5E9F" w14:textId="77777777" w:rsidR="00D0403E" w:rsidRPr="00183B5F" w:rsidRDefault="00943743" w:rsidP="004062FE">
            <w:pPr>
              <w:spacing w:line="240" w:lineRule="auto"/>
              <w:jc w:val="center"/>
              <w:rPr>
                <w:szCs w:val="22"/>
              </w:rPr>
            </w:pPr>
            <w:r w:rsidRPr="00183B5F">
              <w:rPr>
                <w:szCs w:val="22"/>
              </w:rPr>
              <w:t>0,002</w:t>
            </w:r>
          </w:p>
        </w:tc>
      </w:tr>
    </w:tbl>
    <w:p w14:paraId="21CF8458" w14:textId="77777777" w:rsidR="00D0403E" w:rsidRPr="00183B5F" w:rsidRDefault="00943743" w:rsidP="004062FE">
      <w:pPr>
        <w:pStyle w:val="In-textfootnote"/>
        <w:keepNext w:val="0"/>
        <w:spacing w:before="0" w:line="240" w:lineRule="auto"/>
        <w:rPr>
          <w:rFonts w:ascii="Times New Roman" w:hAnsi="Times New Roman"/>
          <w:sz w:val="22"/>
          <w:szCs w:val="22"/>
          <w:lang w:val="hu-HU"/>
        </w:rPr>
      </w:pPr>
      <w:r w:rsidRPr="00183B5F">
        <w:rPr>
          <w:rFonts w:ascii="Times New Roman" w:hAnsi="Times New Roman"/>
          <w:b/>
          <w:bCs/>
          <w:sz w:val="22"/>
          <w:szCs w:val="22"/>
          <w:vertAlign w:val="superscript"/>
          <w:lang w:val="hu-HU"/>
        </w:rPr>
        <w:t>a</w:t>
      </w:r>
      <w:r w:rsidRPr="00183B5F">
        <w:rPr>
          <w:rFonts w:ascii="Times New Roman" w:hAnsi="Times New Roman"/>
          <w:sz w:val="22"/>
          <w:szCs w:val="22"/>
          <w:lang w:val="hu-HU"/>
        </w:rPr>
        <w:t>metotrexát</w:t>
      </w:r>
    </w:p>
    <w:p w14:paraId="3114DBCB" w14:textId="77777777" w:rsidR="00D0403E" w:rsidRPr="00183B5F" w:rsidRDefault="00943743" w:rsidP="004062FE">
      <w:pPr>
        <w:pStyle w:val="In-textfootnote"/>
        <w:keepNext w:val="0"/>
        <w:spacing w:before="0" w:line="240" w:lineRule="auto"/>
        <w:rPr>
          <w:rFonts w:ascii="Times New Roman" w:hAnsi="Times New Roman"/>
          <w:sz w:val="22"/>
          <w:szCs w:val="22"/>
          <w:lang w:val="hu-HU"/>
        </w:rPr>
      </w:pPr>
      <w:r w:rsidRPr="00183B5F">
        <w:rPr>
          <w:rFonts w:ascii="Times New Roman" w:hAnsi="Times New Roman"/>
          <w:sz w:val="22"/>
          <w:szCs w:val="22"/>
          <w:vertAlign w:val="superscript"/>
          <w:lang w:val="hu-HU"/>
        </w:rPr>
        <w:t>b</w:t>
      </w:r>
      <w:r w:rsidRPr="00183B5F">
        <w:rPr>
          <w:rFonts w:ascii="Times New Roman" w:hAnsi="Times New Roman"/>
          <w:sz w:val="22"/>
          <w:szCs w:val="22"/>
          <w:lang w:val="hu-HU"/>
        </w:rPr>
        <w:t>95%</w:t>
      </w:r>
      <w:r w:rsidRPr="00183B5F">
        <w:rPr>
          <w:rFonts w:ascii="Times New Roman" w:hAnsi="Times New Roman"/>
          <w:sz w:val="22"/>
          <w:szCs w:val="22"/>
          <w:lang w:val="hu-HU"/>
        </w:rPr>
        <w:noBreakHyphen/>
        <w:t xml:space="preserve">os konfidencia intervallum a metotrexát és a Humira </w:t>
      </w:r>
      <w:r w:rsidR="00DD7EEF" w:rsidRPr="00183B5F">
        <w:rPr>
          <w:rFonts w:ascii="Times New Roman" w:hAnsi="Times New Roman"/>
          <w:sz w:val="22"/>
          <w:szCs w:val="22"/>
          <w:lang w:val="hu-HU"/>
        </w:rPr>
        <w:t>pontértékeinek</w:t>
      </w:r>
      <w:r w:rsidRPr="00183B5F">
        <w:rPr>
          <w:rFonts w:ascii="Times New Roman" w:hAnsi="Times New Roman"/>
          <w:sz w:val="22"/>
          <w:szCs w:val="22"/>
          <w:lang w:val="hu-HU"/>
        </w:rPr>
        <w:t xml:space="preserve"> változása közötti különbségre</w:t>
      </w:r>
    </w:p>
    <w:p w14:paraId="0840BA97" w14:textId="77777777" w:rsidR="00D0403E" w:rsidRPr="00183B5F" w:rsidRDefault="00943743" w:rsidP="004062FE">
      <w:pPr>
        <w:pStyle w:val="In-textfootnote"/>
        <w:keepNext w:val="0"/>
        <w:spacing w:before="0" w:line="240" w:lineRule="auto"/>
        <w:rPr>
          <w:rFonts w:ascii="Times New Roman" w:hAnsi="Times New Roman"/>
          <w:sz w:val="22"/>
          <w:szCs w:val="22"/>
          <w:lang w:val="hu-HU"/>
        </w:rPr>
      </w:pPr>
      <w:r w:rsidRPr="00183B5F">
        <w:rPr>
          <w:rFonts w:ascii="Times New Roman" w:hAnsi="Times New Roman"/>
          <w:sz w:val="22"/>
          <w:szCs w:val="22"/>
          <w:vertAlign w:val="superscript"/>
          <w:lang w:val="hu-HU"/>
        </w:rPr>
        <w:t>c</w:t>
      </w:r>
      <w:r w:rsidRPr="00183B5F">
        <w:rPr>
          <w:rFonts w:ascii="Times New Roman" w:hAnsi="Times New Roman"/>
          <w:sz w:val="22"/>
          <w:szCs w:val="22"/>
          <w:lang w:val="hu-HU"/>
        </w:rPr>
        <w:t>rank anal</w:t>
      </w:r>
      <w:r w:rsidR="00DD7EEF" w:rsidRPr="00183B5F">
        <w:rPr>
          <w:rFonts w:ascii="Times New Roman" w:hAnsi="Times New Roman"/>
          <w:sz w:val="22"/>
          <w:szCs w:val="22"/>
          <w:lang w:val="hu-HU"/>
        </w:rPr>
        <w:t>í</w:t>
      </w:r>
      <w:r w:rsidRPr="00183B5F">
        <w:rPr>
          <w:rFonts w:ascii="Times New Roman" w:hAnsi="Times New Roman"/>
          <w:sz w:val="22"/>
          <w:szCs w:val="22"/>
          <w:lang w:val="hu-HU"/>
        </w:rPr>
        <w:t>zis alapján</w:t>
      </w:r>
    </w:p>
    <w:p w14:paraId="3642DD0B" w14:textId="77777777" w:rsidR="00D0403E" w:rsidRPr="00183B5F" w:rsidRDefault="00943743" w:rsidP="004062FE">
      <w:pPr>
        <w:pStyle w:val="In-textfootnote"/>
        <w:keepNext w:val="0"/>
        <w:spacing w:before="0" w:line="240" w:lineRule="auto"/>
        <w:rPr>
          <w:rFonts w:ascii="Times New Roman" w:hAnsi="Times New Roman"/>
          <w:sz w:val="22"/>
          <w:szCs w:val="22"/>
          <w:lang w:val="hu-HU"/>
        </w:rPr>
      </w:pPr>
      <w:r w:rsidRPr="00183B5F">
        <w:rPr>
          <w:rFonts w:ascii="Times New Roman" w:hAnsi="Times New Roman"/>
          <w:sz w:val="22"/>
          <w:szCs w:val="22"/>
          <w:vertAlign w:val="superscript"/>
          <w:lang w:val="hu-HU"/>
        </w:rPr>
        <w:t>d</w:t>
      </w:r>
      <w:r w:rsidRPr="00183B5F">
        <w:rPr>
          <w:rFonts w:ascii="Times New Roman" w:hAnsi="Times New Roman"/>
          <w:sz w:val="22"/>
          <w:szCs w:val="22"/>
          <w:lang w:val="hu-HU"/>
        </w:rPr>
        <w:t>Ízületi rés beszűkülése (JSN-Joint Space Narrowing)</w:t>
      </w:r>
    </w:p>
    <w:p w14:paraId="3E26AC96" w14:textId="77777777" w:rsidR="00D0403E" w:rsidRPr="00183B5F" w:rsidRDefault="00D0403E" w:rsidP="004062FE">
      <w:pPr>
        <w:spacing w:line="240" w:lineRule="auto"/>
        <w:rPr>
          <w:szCs w:val="22"/>
        </w:rPr>
      </w:pPr>
    </w:p>
    <w:p w14:paraId="6CB7DC2B" w14:textId="77777777" w:rsidR="00D0403E" w:rsidRPr="00183B5F" w:rsidRDefault="00943743" w:rsidP="004062FE">
      <w:pPr>
        <w:pStyle w:val="In-textfootnote"/>
        <w:keepNext w:val="0"/>
        <w:spacing w:before="0" w:line="240" w:lineRule="auto"/>
        <w:rPr>
          <w:rFonts w:ascii="Times New Roman" w:hAnsi="Times New Roman"/>
          <w:sz w:val="22"/>
          <w:szCs w:val="22"/>
          <w:lang w:val="hu-HU"/>
        </w:rPr>
      </w:pPr>
      <w:r w:rsidRPr="00183B5F">
        <w:rPr>
          <w:rFonts w:ascii="Times New Roman" w:hAnsi="Times New Roman"/>
          <w:sz w:val="22"/>
          <w:szCs w:val="22"/>
          <w:lang w:val="hu-HU"/>
        </w:rPr>
        <w:t xml:space="preserve">Az RA V vizsgálatban az ízületi károsodást radiológiailag is </w:t>
      </w:r>
      <w:r w:rsidR="00DD7EEF" w:rsidRPr="00183B5F">
        <w:rPr>
          <w:rFonts w:ascii="Times New Roman" w:hAnsi="Times New Roman"/>
          <w:sz w:val="22"/>
          <w:szCs w:val="22"/>
          <w:lang w:val="hu-HU"/>
        </w:rPr>
        <w:t xml:space="preserve">értékelték </w:t>
      </w:r>
      <w:r w:rsidRPr="00183B5F">
        <w:rPr>
          <w:rFonts w:ascii="Times New Roman" w:hAnsi="Times New Roman"/>
          <w:sz w:val="22"/>
          <w:szCs w:val="22"/>
          <w:lang w:val="hu-HU"/>
        </w:rPr>
        <w:t>és módosított teljes Sharp</w:t>
      </w:r>
      <w:r w:rsidR="005E4FD2" w:rsidRPr="00183B5F">
        <w:rPr>
          <w:rFonts w:ascii="Times New Roman" w:hAnsi="Times New Roman"/>
          <w:sz w:val="22"/>
          <w:szCs w:val="22"/>
          <w:lang w:val="hu-HU"/>
        </w:rPr>
        <w:t>-</w:t>
      </w:r>
      <w:r w:rsidRPr="00183B5F">
        <w:rPr>
          <w:rFonts w:ascii="Times New Roman" w:hAnsi="Times New Roman"/>
          <w:sz w:val="22"/>
          <w:szCs w:val="22"/>
          <w:lang w:val="hu-HU"/>
        </w:rPr>
        <w:t xml:space="preserve">pontokban fejezték ki (lásd </w:t>
      </w:r>
      <w:r w:rsidR="007D329A" w:rsidRPr="00183B5F">
        <w:rPr>
          <w:rFonts w:ascii="Times New Roman" w:hAnsi="Times New Roman"/>
          <w:sz w:val="22"/>
          <w:szCs w:val="22"/>
          <w:lang w:val="hu-HU"/>
        </w:rPr>
        <w:t>11</w:t>
      </w:r>
      <w:r w:rsidRPr="00183B5F">
        <w:rPr>
          <w:rFonts w:ascii="Times New Roman" w:hAnsi="Times New Roman"/>
          <w:sz w:val="22"/>
          <w:szCs w:val="22"/>
          <w:lang w:val="hu-HU"/>
        </w:rPr>
        <w:t>. tábl</w:t>
      </w:r>
      <w:r w:rsidR="00E107ED" w:rsidRPr="00183B5F">
        <w:rPr>
          <w:rFonts w:ascii="Times New Roman" w:hAnsi="Times New Roman"/>
          <w:sz w:val="22"/>
          <w:szCs w:val="22"/>
          <w:lang w:val="hu-HU"/>
        </w:rPr>
        <w:t>ázat</w:t>
      </w:r>
      <w:r w:rsidRPr="00183B5F">
        <w:rPr>
          <w:rFonts w:ascii="Times New Roman" w:hAnsi="Times New Roman"/>
          <w:sz w:val="22"/>
          <w:szCs w:val="22"/>
          <w:lang w:val="hu-HU"/>
        </w:rPr>
        <w:t>).</w:t>
      </w:r>
    </w:p>
    <w:p w14:paraId="64864A1E" w14:textId="77777777" w:rsidR="00A502ED" w:rsidRPr="00183B5F" w:rsidRDefault="00A502ED" w:rsidP="004062FE">
      <w:pPr>
        <w:pStyle w:val="In-textfootnote"/>
        <w:keepNext w:val="0"/>
        <w:spacing w:before="0" w:line="240" w:lineRule="auto"/>
        <w:rPr>
          <w:rFonts w:ascii="Times New Roman" w:hAnsi="Times New Roman"/>
          <w:sz w:val="22"/>
          <w:szCs w:val="22"/>
          <w:lang w:val="hu-HU"/>
        </w:rPr>
      </w:pPr>
    </w:p>
    <w:p w14:paraId="0ED63B57" w14:textId="77777777" w:rsidR="00D0403E" w:rsidRPr="00183B5F" w:rsidRDefault="00943743" w:rsidP="004062FE">
      <w:pPr>
        <w:pStyle w:val="In-textfootnote"/>
        <w:suppressAutoHyphens/>
        <w:overflowPunct/>
        <w:autoSpaceDE/>
        <w:autoSpaceDN/>
        <w:adjustRightInd/>
        <w:spacing w:before="0" w:line="240" w:lineRule="auto"/>
        <w:ind w:left="0" w:firstLine="0"/>
        <w:jc w:val="center"/>
        <w:textAlignment w:val="auto"/>
        <w:rPr>
          <w:rFonts w:ascii="Times New Roman" w:hAnsi="Times New Roman"/>
          <w:b/>
          <w:bCs/>
          <w:sz w:val="22"/>
          <w:szCs w:val="22"/>
          <w:lang w:val="hu-HU"/>
        </w:rPr>
      </w:pPr>
      <w:r w:rsidRPr="00183B5F">
        <w:rPr>
          <w:rFonts w:ascii="Times New Roman" w:hAnsi="Times New Roman"/>
          <w:b/>
          <w:bCs/>
          <w:sz w:val="22"/>
          <w:szCs w:val="22"/>
          <w:lang w:val="hu-HU"/>
        </w:rPr>
        <w:t xml:space="preserve">11. táblázat </w:t>
      </w:r>
    </w:p>
    <w:p w14:paraId="4BAF354C" w14:textId="77777777" w:rsidR="00D0403E" w:rsidRPr="00183B5F" w:rsidRDefault="00943743" w:rsidP="004062FE">
      <w:pPr>
        <w:pStyle w:val="In-textfootnote"/>
        <w:suppressAutoHyphens/>
        <w:overflowPunct/>
        <w:autoSpaceDE/>
        <w:autoSpaceDN/>
        <w:adjustRightInd/>
        <w:spacing w:before="0" w:line="240" w:lineRule="auto"/>
        <w:ind w:left="0" w:firstLine="0"/>
        <w:jc w:val="center"/>
        <w:textAlignment w:val="auto"/>
        <w:rPr>
          <w:rFonts w:ascii="Times New Roman" w:hAnsi="Times New Roman"/>
          <w:b/>
          <w:bCs/>
          <w:sz w:val="22"/>
          <w:szCs w:val="22"/>
          <w:lang w:val="hu-HU"/>
        </w:rPr>
      </w:pPr>
      <w:r w:rsidRPr="00183B5F">
        <w:rPr>
          <w:rFonts w:ascii="Times New Roman" w:hAnsi="Times New Roman"/>
          <w:b/>
          <w:bCs/>
          <w:sz w:val="22"/>
          <w:szCs w:val="22"/>
          <w:lang w:val="hu-HU"/>
        </w:rPr>
        <w:t>Átlagos radiológiai változások az 52. héten az RA V vizsgálatban</w:t>
      </w:r>
    </w:p>
    <w:p w14:paraId="1B9C8365" w14:textId="77777777" w:rsidR="00D0403E" w:rsidRPr="00183B5F" w:rsidRDefault="00D0403E" w:rsidP="004062FE">
      <w:pPr>
        <w:keepNext/>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8"/>
        <w:gridCol w:w="1319"/>
        <w:gridCol w:w="1319"/>
        <w:gridCol w:w="1439"/>
        <w:gridCol w:w="1242"/>
        <w:gridCol w:w="1232"/>
        <w:gridCol w:w="1242"/>
      </w:tblGrid>
      <w:tr w:rsidR="00011D2F" w14:paraId="01159169" w14:textId="77777777" w:rsidTr="00D0403E">
        <w:tc>
          <w:tcPr>
            <w:tcW w:w="1303" w:type="dxa"/>
          </w:tcPr>
          <w:p w14:paraId="5E698AEA" w14:textId="77777777" w:rsidR="00D0403E" w:rsidRPr="00183B5F" w:rsidRDefault="00D0403E" w:rsidP="004062FE">
            <w:pPr>
              <w:keepNext/>
              <w:spacing w:line="240" w:lineRule="auto"/>
              <w:rPr>
                <w:szCs w:val="22"/>
              </w:rPr>
            </w:pPr>
          </w:p>
        </w:tc>
        <w:tc>
          <w:tcPr>
            <w:tcW w:w="1322" w:type="dxa"/>
          </w:tcPr>
          <w:p w14:paraId="120308F4" w14:textId="77777777" w:rsidR="00D0403E" w:rsidRPr="00183B5F" w:rsidRDefault="00943743" w:rsidP="004062FE">
            <w:pPr>
              <w:keepNext/>
              <w:spacing w:line="240" w:lineRule="auto"/>
              <w:rPr>
                <w:szCs w:val="22"/>
              </w:rPr>
            </w:pPr>
            <w:r w:rsidRPr="00183B5F">
              <w:rPr>
                <w:szCs w:val="22"/>
              </w:rPr>
              <w:t>MTX n</w:t>
            </w:r>
            <w:r w:rsidR="003F64BC" w:rsidRPr="00183B5F">
              <w:rPr>
                <w:szCs w:val="22"/>
              </w:rPr>
              <w:t> </w:t>
            </w:r>
            <w:r w:rsidRPr="00183B5F">
              <w:rPr>
                <w:szCs w:val="22"/>
              </w:rPr>
              <w:t>=</w:t>
            </w:r>
            <w:r w:rsidR="003F64BC" w:rsidRPr="00183B5F">
              <w:rPr>
                <w:szCs w:val="22"/>
              </w:rPr>
              <w:t> </w:t>
            </w:r>
            <w:r w:rsidRPr="00183B5F">
              <w:rPr>
                <w:szCs w:val="22"/>
              </w:rPr>
              <w:t>257 (95%-os konfidencia intervallum)</w:t>
            </w:r>
          </w:p>
        </w:tc>
        <w:tc>
          <w:tcPr>
            <w:tcW w:w="1322" w:type="dxa"/>
          </w:tcPr>
          <w:p w14:paraId="197B393B" w14:textId="77777777" w:rsidR="00D0403E" w:rsidRPr="00183B5F" w:rsidRDefault="00943743" w:rsidP="004062FE">
            <w:pPr>
              <w:keepNext/>
              <w:spacing w:line="240" w:lineRule="auto"/>
              <w:rPr>
                <w:szCs w:val="22"/>
              </w:rPr>
            </w:pPr>
            <w:r w:rsidRPr="00183B5F">
              <w:rPr>
                <w:szCs w:val="22"/>
              </w:rPr>
              <w:t>Humira n</w:t>
            </w:r>
            <w:r w:rsidR="003F64BC" w:rsidRPr="00183B5F">
              <w:rPr>
                <w:szCs w:val="22"/>
              </w:rPr>
              <w:t> </w:t>
            </w:r>
            <w:r w:rsidRPr="00183B5F">
              <w:rPr>
                <w:szCs w:val="22"/>
              </w:rPr>
              <w:t>=</w:t>
            </w:r>
            <w:r w:rsidR="003F64BC" w:rsidRPr="00183B5F">
              <w:rPr>
                <w:szCs w:val="22"/>
              </w:rPr>
              <w:t> </w:t>
            </w:r>
            <w:r w:rsidRPr="00183B5F">
              <w:rPr>
                <w:szCs w:val="22"/>
              </w:rPr>
              <w:t>274 (9</w:t>
            </w:r>
            <w:r w:rsidR="00836B6C" w:rsidRPr="00183B5F">
              <w:rPr>
                <w:szCs w:val="22"/>
              </w:rPr>
              <w:t>5</w:t>
            </w:r>
            <w:r w:rsidRPr="00183B5F">
              <w:rPr>
                <w:szCs w:val="22"/>
              </w:rPr>
              <w:t>%-os konfidencia intervallum)</w:t>
            </w:r>
          </w:p>
        </w:tc>
        <w:tc>
          <w:tcPr>
            <w:tcW w:w="1439" w:type="dxa"/>
          </w:tcPr>
          <w:p w14:paraId="274F55F1" w14:textId="77777777" w:rsidR="00D0403E" w:rsidRPr="00183B5F" w:rsidRDefault="00943743" w:rsidP="004062FE">
            <w:pPr>
              <w:keepNext/>
              <w:spacing w:line="240" w:lineRule="auto"/>
              <w:rPr>
                <w:szCs w:val="22"/>
              </w:rPr>
            </w:pPr>
            <w:r w:rsidRPr="00183B5F">
              <w:rPr>
                <w:szCs w:val="22"/>
              </w:rPr>
              <w:t>Humira/MTX n</w:t>
            </w:r>
            <w:r w:rsidR="003F64BC" w:rsidRPr="00183B5F">
              <w:rPr>
                <w:szCs w:val="22"/>
              </w:rPr>
              <w:t> </w:t>
            </w:r>
            <w:r w:rsidRPr="00183B5F">
              <w:rPr>
                <w:szCs w:val="22"/>
              </w:rPr>
              <w:t>=</w:t>
            </w:r>
            <w:r w:rsidR="003F64BC" w:rsidRPr="00183B5F">
              <w:rPr>
                <w:szCs w:val="22"/>
              </w:rPr>
              <w:t> </w:t>
            </w:r>
            <w:r w:rsidRPr="00183B5F">
              <w:rPr>
                <w:szCs w:val="22"/>
              </w:rPr>
              <w:t>268 (95%-os konfidencia intervallum)</w:t>
            </w:r>
          </w:p>
        </w:tc>
        <w:tc>
          <w:tcPr>
            <w:tcW w:w="1300" w:type="dxa"/>
          </w:tcPr>
          <w:p w14:paraId="29A0B94C" w14:textId="77777777" w:rsidR="00D0403E" w:rsidRPr="00183B5F" w:rsidRDefault="00943743" w:rsidP="004062FE">
            <w:pPr>
              <w:keepNext/>
              <w:spacing w:line="240" w:lineRule="auto"/>
              <w:rPr>
                <w:szCs w:val="22"/>
              </w:rPr>
            </w:pPr>
            <w:r w:rsidRPr="00183B5F">
              <w:rPr>
                <w:szCs w:val="22"/>
              </w:rPr>
              <w:t xml:space="preserve">p-érték </w:t>
            </w:r>
            <w:r w:rsidRPr="00183B5F">
              <w:rPr>
                <w:szCs w:val="22"/>
                <w:vertAlign w:val="superscript"/>
              </w:rPr>
              <w:t>a</w:t>
            </w:r>
          </w:p>
        </w:tc>
        <w:tc>
          <w:tcPr>
            <w:tcW w:w="1299" w:type="dxa"/>
          </w:tcPr>
          <w:p w14:paraId="15F15BAC" w14:textId="77777777" w:rsidR="00D0403E" w:rsidRPr="00183B5F" w:rsidRDefault="00943743" w:rsidP="004062FE">
            <w:pPr>
              <w:keepNext/>
              <w:spacing w:line="240" w:lineRule="auto"/>
              <w:rPr>
                <w:szCs w:val="22"/>
              </w:rPr>
            </w:pPr>
            <w:r w:rsidRPr="00183B5F">
              <w:rPr>
                <w:szCs w:val="22"/>
              </w:rPr>
              <w:t xml:space="preserve">p-érték </w:t>
            </w:r>
            <w:r w:rsidRPr="00183B5F">
              <w:rPr>
                <w:szCs w:val="22"/>
                <w:vertAlign w:val="superscript"/>
              </w:rPr>
              <w:t>b</w:t>
            </w:r>
          </w:p>
        </w:tc>
        <w:tc>
          <w:tcPr>
            <w:tcW w:w="1300" w:type="dxa"/>
          </w:tcPr>
          <w:p w14:paraId="67569EC3" w14:textId="77777777" w:rsidR="00D0403E" w:rsidRPr="00183B5F" w:rsidRDefault="00943743" w:rsidP="004062FE">
            <w:pPr>
              <w:keepNext/>
              <w:spacing w:line="240" w:lineRule="auto"/>
              <w:rPr>
                <w:szCs w:val="22"/>
              </w:rPr>
            </w:pPr>
            <w:r w:rsidRPr="00183B5F">
              <w:rPr>
                <w:szCs w:val="22"/>
              </w:rPr>
              <w:t xml:space="preserve">p-érték </w:t>
            </w:r>
            <w:r w:rsidRPr="00183B5F">
              <w:rPr>
                <w:szCs w:val="22"/>
                <w:vertAlign w:val="superscript"/>
              </w:rPr>
              <w:t>c</w:t>
            </w:r>
          </w:p>
        </w:tc>
      </w:tr>
      <w:tr w:rsidR="00011D2F" w14:paraId="1F6CB963" w14:textId="77777777" w:rsidTr="00D0403E">
        <w:tc>
          <w:tcPr>
            <w:tcW w:w="1303" w:type="dxa"/>
          </w:tcPr>
          <w:p w14:paraId="33781235" w14:textId="77777777" w:rsidR="00D0403E" w:rsidRPr="00183B5F" w:rsidRDefault="00943743" w:rsidP="004062FE">
            <w:pPr>
              <w:keepNext/>
              <w:spacing w:line="240" w:lineRule="auto"/>
              <w:rPr>
                <w:szCs w:val="22"/>
              </w:rPr>
            </w:pPr>
            <w:r w:rsidRPr="00183B5F">
              <w:rPr>
                <w:szCs w:val="22"/>
              </w:rPr>
              <w:t>Teljes Sharp</w:t>
            </w:r>
            <w:r w:rsidR="005E4FD2" w:rsidRPr="00183B5F">
              <w:rPr>
                <w:szCs w:val="22"/>
              </w:rPr>
              <w:t>-</w:t>
            </w:r>
            <w:r w:rsidRPr="00183B5F">
              <w:rPr>
                <w:szCs w:val="22"/>
              </w:rPr>
              <w:t>pont</w:t>
            </w:r>
            <w:r w:rsidR="00836B6C" w:rsidRPr="00183B5F">
              <w:rPr>
                <w:szCs w:val="22"/>
              </w:rPr>
              <w:t>érték</w:t>
            </w:r>
          </w:p>
        </w:tc>
        <w:tc>
          <w:tcPr>
            <w:tcW w:w="1322" w:type="dxa"/>
          </w:tcPr>
          <w:p w14:paraId="205F436A" w14:textId="77777777" w:rsidR="00D0403E" w:rsidRPr="00183B5F" w:rsidRDefault="00943743" w:rsidP="004062FE">
            <w:pPr>
              <w:keepNext/>
              <w:spacing w:line="240" w:lineRule="auto"/>
              <w:rPr>
                <w:szCs w:val="22"/>
              </w:rPr>
            </w:pPr>
            <w:r w:rsidRPr="00183B5F">
              <w:rPr>
                <w:szCs w:val="22"/>
              </w:rPr>
              <w:t>5,7 (4,2-7,3)</w:t>
            </w:r>
          </w:p>
        </w:tc>
        <w:tc>
          <w:tcPr>
            <w:tcW w:w="1322" w:type="dxa"/>
          </w:tcPr>
          <w:p w14:paraId="01A9F56B" w14:textId="77777777" w:rsidR="00D0403E" w:rsidRPr="00183B5F" w:rsidRDefault="00943743" w:rsidP="004062FE">
            <w:pPr>
              <w:keepNext/>
              <w:spacing w:line="240" w:lineRule="auto"/>
              <w:rPr>
                <w:szCs w:val="22"/>
              </w:rPr>
            </w:pPr>
            <w:r w:rsidRPr="00183B5F">
              <w:rPr>
                <w:szCs w:val="22"/>
              </w:rPr>
              <w:t>3,0 (1,7-4,3)</w:t>
            </w:r>
          </w:p>
        </w:tc>
        <w:tc>
          <w:tcPr>
            <w:tcW w:w="1439" w:type="dxa"/>
          </w:tcPr>
          <w:p w14:paraId="7038B2AB" w14:textId="77777777" w:rsidR="00D0403E" w:rsidRPr="00183B5F" w:rsidRDefault="00943743" w:rsidP="004062FE">
            <w:pPr>
              <w:keepNext/>
              <w:spacing w:line="240" w:lineRule="auto"/>
              <w:rPr>
                <w:szCs w:val="22"/>
              </w:rPr>
            </w:pPr>
            <w:r w:rsidRPr="00183B5F">
              <w:rPr>
                <w:szCs w:val="22"/>
              </w:rPr>
              <w:t>1,3 (0,5-2,1)</w:t>
            </w:r>
          </w:p>
        </w:tc>
        <w:tc>
          <w:tcPr>
            <w:tcW w:w="1300" w:type="dxa"/>
          </w:tcPr>
          <w:p w14:paraId="4A2B336F" w14:textId="77777777" w:rsidR="00D0403E" w:rsidRPr="00183B5F" w:rsidRDefault="00943743" w:rsidP="004062FE">
            <w:pPr>
              <w:keepNext/>
              <w:spacing w:line="240" w:lineRule="auto"/>
              <w:rPr>
                <w:szCs w:val="22"/>
              </w:rPr>
            </w:pPr>
            <w:r w:rsidRPr="00183B5F">
              <w:rPr>
                <w:szCs w:val="22"/>
              </w:rPr>
              <w:t>&lt; 0,001</w:t>
            </w:r>
          </w:p>
        </w:tc>
        <w:tc>
          <w:tcPr>
            <w:tcW w:w="1299" w:type="dxa"/>
          </w:tcPr>
          <w:p w14:paraId="766106E8" w14:textId="77777777" w:rsidR="00D0403E" w:rsidRPr="00183B5F" w:rsidRDefault="00943743" w:rsidP="004062FE">
            <w:pPr>
              <w:keepNext/>
              <w:spacing w:line="240" w:lineRule="auto"/>
              <w:rPr>
                <w:szCs w:val="22"/>
              </w:rPr>
            </w:pPr>
            <w:r w:rsidRPr="00183B5F">
              <w:rPr>
                <w:szCs w:val="22"/>
              </w:rPr>
              <w:t>0,0020</w:t>
            </w:r>
          </w:p>
        </w:tc>
        <w:tc>
          <w:tcPr>
            <w:tcW w:w="1300" w:type="dxa"/>
          </w:tcPr>
          <w:p w14:paraId="0352ED78" w14:textId="77777777" w:rsidR="00D0403E" w:rsidRPr="00183B5F" w:rsidRDefault="00943743" w:rsidP="004062FE">
            <w:pPr>
              <w:keepNext/>
              <w:spacing w:line="240" w:lineRule="auto"/>
              <w:rPr>
                <w:szCs w:val="22"/>
              </w:rPr>
            </w:pPr>
            <w:r w:rsidRPr="00183B5F">
              <w:rPr>
                <w:szCs w:val="22"/>
              </w:rPr>
              <w:t>&lt; 0,001</w:t>
            </w:r>
          </w:p>
        </w:tc>
      </w:tr>
      <w:tr w:rsidR="00011D2F" w14:paraId="1791908D" w14:textId="77777777" w:rsidTr="00D0403E">
        <w:tc>
          <w:tcPr>
            <w:tcW w:w="1303" w:type="dxa"/>
          </w:tcPr>
          <w:p w14:paraId="2910C590" w14:textId="77777777" w:rsidR="00D0403E" w:rsidRPr="00183B5F" w:rsidRDefault="00943743" w:rsidP="004062FE">
            <w:pPr>
              <w:keepNext/>
              <w:spacing w:line="240" w:lineRule="auto"/>
              <w:rPr>
                <w:szCs w:val="22"/>
              </w:rPr>
            </w:pPr>
            <w:r w:rsidRPr="00183B5F">
              <w:rPr>
                <w:szCs w:val="22"/>
              </w:rPr>
              <w:t>Eróziós pont</w:t>
            </w:r>
            <w:r w:rsidR="00836B6C" w:rsidRPr="00183B5F">
              <w:rPr>
                <w:szCs w:val="22"/>
              </w:rPr>
              <w:t>érték</w:t>
            </w:r>
          </w:p>
        </w:tc>
        <w:tc>
          <w:tcPr>
            <w:tcW w:w="1322" w:type="dxa"/>
          </w:tcPr>
          <w:p w14:paraId="0377F172" w14:textId="77777777" w:rsidR="00D0403E" w:rsidRPr="00183B5F" w:rsidRDefault="00943743" w:rsidP="004062FE">
            <w:pPr>
              <w:keepNext/>
              <w:spacing w:line="240" w:lineRule="auto"/>
              <w:rPr>
                <w:szCs w:val="22"/>
              </w:rPr>
            </w:pPr>
            <w:r w:rsidRPr="00183B5F">
              <w:rPr>
                <w:szCs w:val="22"/>
              </w:rPr>
              <w:t>3,7 (2,7-4,7)</w:t>
            </w:r>
          </w:p>
        </w:tc>
        <w:tc>
          <w:tcPr>
            <w:tcW w:w="1322" w:type="dxa"/>
          </w:tcPr>
          <w:p w14:paraId="2B764482" w14:textId="77777777" w:rsidR="00D0403E" w:rsidRPr="00183B5F" w:rsidRDefault="00943743" w:rsidP="004062FE">
            <w:pPr>
              <w:keepNext/>
              <w:spacing w:line="240" w:lineRule="auto"/>
              <w:rPr>
                <w:szCs w:val="22"/>
              </w:rPr>
            </w:pPr>
            <w:r w:rsidRPr="00183B5F">
              <w:rPr>
                <w:szCs w:val="22"/>
              </w:rPr>
              <w:t>1,7 (1,0-2,4)</w:t>
            </w:r>
          </w:p>
        </w:tc>
        <w:tc>
          <w:tcPr>
            <w:tcW w:w="1439" w:type="dxa"/>
          </w:tcPr>
          <w:p w14:paraId="732EFB80" w14:textId="77777777" w:rsidR="00D0403E" w:rsidRPr="00183B5F" w:rsidRDefault="00943743" w:rsidP="004062FE">
            <w:pPr>
              <w:keepNext/>
              <w:spacing w:line="240" w:lineRule="auto"/>
              <w:rPr>
                <w:szCs w:val="22"/>
              </w:rPr>
            </w:pPr>
            <w:r w:rsidRPr="00183B5F">
              <w:rPr>
                <w:szCs w:val="22"/>
              </w:rPr>
              <w:t>0,8 (0,4-1,2)</w:t>
            </w:r>
          </w:p>
        </w:tc>
        <w:tc>
          <w:tcPr>
            <w:tcW w:w="1300" w:type="dxa"/>
          </w:tcPr>
          <w:p w14:paraId="6C735A41" w14:textId="77777777" w:rsidR="00D0403E" w:rsidRPr="00183B5F" w:rsidRDefault="00943743" w:rsidP="004062FE">
            <w:pPr>
              <w:keepNext/>
              <w:spacing w:line="240" w:lineRule="auto"/>
              <w:rPr>
                <w:szCs w:val="22"/>
              </w:rPr>
            </w:pPr>
            <w:r w:rsidRPr="00183B5F">
              <w:rPr>
                <w:szCs w:val="22"/>
              </w:rPr>
              <w:t>&lt; 0,001</w:t>
            </w:r>
          </w:p>
        </w:tc>
        <w:tc>
          <w:tcPr>
            <w:tcW w:w="1299" w:type="dxa"/>
          </w:tcPr>
          <w:p w14:paraId="205A5A17" w14:textId="77777777" w:rsidR="00D0403E" w:rsidRPr="00183B5F" w:rsidRDefault="00943743" w:rsidP="004062FE">
            <w:pPr>
              <w:keepNext/>
              <w:spacing w:line="240" w:lineRule="auto"/>
              <w:rPr>
                <w:szCs w:val="22"/>
              </w:rPr>
            </w:pPr>
            <w:r w:rsidRPr="00183B5F">
              <w:rPr>
                <w:szCs w:val="22"/>
              </w:rPr>
              <w:t>0,0082</w:t>
            </w:r>
          </w:p>
        </w:tc>
        <w:tc>
          <w:tcPr>
            <w:tcW w:w="1300" w:type="dxa"/>
          </w:tcPr>
          <w:p w14:paraId="453EDC2D" w14:textId="77777777" w:rsidR="00D0403E" w:rsidRPr="00183B5F" w:rsidRDefault="00943743" w:rsidP="004062FE">
            <w:pPr>
              <w:keepNext/>
              <w:spacing w:line="240" w:lineRule="auto"/>
              <w:rPr>
                <w:szCs w:val="22"/>
              </w:rPr>
            </w:pPr>
            <w:r w:rsidRPr="00183B5F">
              <w:rPr>
                <w:szCs w:val="22"/>
              </w:rPr>
              <w:t>&lt; 0,001</w:t>
            </w:r>
          </w:p>
        </w:tc>
      </w:tr>
      <w:tr w:rsidR="00011D2F" w14:paraId="00A78355" w14:textId="77777777" w:rsidTr="00D0403E">
        <w:tc>
          <w:tcPr>
            <w:tcW w:w="1303" w:type="dxa"/>
          </w:tcPr>
          <w:p w14:paraId="466341C5" w14:textId="77777777" w:rsidR="00D0403E" w:rsidRPr="00183B5F" w:rsidRDefault="00943743" w:rsidP="004062FE">
            <w:pPr>
              <w:keepNext/>
              <w:spacing w:line="240" w:lineRule="auto"/>
              <w:rPr>
                <w:szCs w:val="22"/>
              </w:rPr>
            </w:pPr>
            <w:r w:rsidRPr="00183B5F">
              <w:rPr>
                <w:szCs w:val="22"/>
              </w:rPr>
              <w:t>JSN</w:t>
            </w:r>
            <w:r w:rsidR="00095F2C" w:rsidRPr="00183B5F">
              <w:rPr>
                <w:szCs w:val="22"/>
              </w:rPr>
              <w:t>-</w:t>
            </w:r>
            <w:r w:rsidRPr="00183B5F">
              <w:rPr>
                <w:szCs w:val="22"/>
              </w:rPr>
              <w:t>pont</w:t>
            </w:r>
            <w:r w:rsidR="00836B6C" w:rsidRPr="00183B5F">
              <w:rPr>
                <w:szCs w:val="22"/>
              </w:rPr>
              <w:t>érték</w:t>
            </w:r>
          </w:p>
        </w:tc>
        <w:tc>
          <w:tcPr>
            <w:tcW w:w="1322" w:type="dxa"/>
          </w:tcPr>
          <w:p w14:paraId="68DF0685" w14:textId="77777777" w:rsidR="00D0403E" w:rsidRPr="00183B5F" w:rsidRDefault="00943743" w:rsidP="004062FE">
            <w:pPr>
              <w:keepNext/>
              <w:spacing w:line="240" w:lineRule="auto"/>
              <w:rPr>
                <w:szCs w:val="22"/>
              </w:rPr>
            </w:pPr>
            <w:r w:rsidRPr="00183B5F">
              <w:rPr>
                <w:szCs w:val="22"/>
              </w:rPr>
              <w:t>2,0 (1,2-2,8)</w:t>
            </w:r>
          </w:p>
        </w:tc>
        <w:tc>
          <w:tcPr>
            <w:tcW w:w="1322" w:type="dxa"/>
          </w:tcPr>
          <w:p w14:paraId="4F0A01FE" w14:textId="77777777" w:rsidR="00D0403E" w:rsidRPr="00183B5F" w:rsidRDefault="00943743" w:rsidP="004062FE">
            <w:pPr>
              <w:keepNext/>
              <w:spacing w:line="240" w:lineRule="auto"/>
              <w:rPr>
                <w:szCs w:val="22"/>
              </w:rPr>
            </w:pPr>
            <w:r w:rsidRPr="00183B5F">
              <w:rPr>
                <w:szCs w:val="22"/>
              </w:rPr>
              <w:t>1,3 (0,5-2,1)</w:t>
            </w:r>
          </w:p>
        </w:tc>
        <w:tc>
          <w:tcPr>
            <w:tcW w:w="1439" w:type="dxa"/>
          </w:tcPr>
          <w:p w14:paraId="4DFB59C5" w14:textId="77777777" w:rsidR="00D0403E" w:rsidRPr="00183B5F" w:rsidRDefault="00943743" w:rsidP="004062FE">
            <w:pPr>
              <w:keepNext/>
              <w:spacing w:line="240" w:lineRule="auto"/>
              <w:rPr>
                <w:szCs w:val="22"/>
              </w:rPr>
            </w:pPr>
            <w:r w:rsidRPr="00183B5F">
              <w:rPr>
                <w:szCs w:val="22"/>
              </w:rPr>
              <w:t>0,5 (0-1,0)</w:t>
            </w:r>
          </w:p>
        </w:tc>
        <w:tc>
          <w:tcPr>
            <w:tcW w:w="1300" w:type="dxa"/>
          </w:tcPr>
          <w:p w14:paraId="3EAFB501" w14:textId="77777777" w:rsidR="00D0403E" w:rsidRPr="00183B5F" w:rsidRDefault="00943743" w:rsidP="004062FE">
            <w:pPr>
              <w:keepNext/>
              <w:spacing w:line="240" w:lineRule="auto"/>
              <w:rPr>
                <w:szCs w:val="22"/>
              </w:rPr>
            </w:pPr>
            <w:r w:rsidRPr="00183B5F">
              <w:rPr>
                <w:szCs w:val="22"/>
              </w:rPr>
              <w:t>&lt; 0,001</w:t>
            </w:r>
          </w:p>
        </w:tc>
        <w:tc>
          <w:tcPr>
            <w:tcW w:w="1299" w:type="dxa"/>
          </w:tcPr>
          <w:p w14:paraId="75BFCA6A" w14:textId="77777777" w:rsidR="00D0403E" w:rsidRPr="00183B5F" w:rsidRDefault="00943743" w:rsidP="004062FE">
            <w:pPr>
              <w:keepNext/>
              <w:spacing w:line="240" w:lineRule="auto"/>
              <w:rPr>
                <w:szCs w:val="22"/>
              </w:rPr>
            </w:pPr>
            <w:r w:rsidRPr="00183B5F">
              <w:rPr>
                <w:szCs w:val="22"/>
              </w:rPr>
              <w:t>0,0037</w:t>
            </w:r>
          </w:p>
        </w:tc>
        <w:tc>
          <w:tcPr>
            <w:tcW w:w="1300" w:type="dxa"/>
          </w:tcPr>
          <w:p w14:paraId="59C549A7" w14:textId="77777777" w:rsidR="00D0403E" w:rsidRPr="00183B5F" w:rsidRDefault="00943743" w:rsidP="004062FE">
            <w:pPr>
              <w:keepNext/>
              <w:spacing w:line="240" w:lineRule="auto"/>
              <w:rPr>
                <w:szCs w:val="22"/>
              </w:rPr>
            </w:pPr>
            <w:r w:rsidRPr="00183B5F">
              <w:rPr>
                <w:szCs w:val="22"/>
              </w:rPr>
              <w:t>0,151</w:t>
            </w:r>
          </w:p>
        </w:tc>
      </w:tr>
    </w:tbl>
    <w:p w14:paraId="35660A6D" w14:textId="77777777" w:rsidR="00D0403E" w:rsidRPr="00183B5F" w:rsidRDefault="00943743" w:rsidP="004062FE">
      <w:pPr>
        <w:spacing w:line="240" w:lineRule="auto"/>
        <w:rPr>
          <w:szCs w:val="22"/>
        </w:rPr>
      </w:pPr>
      <w:r w:rsidRPr="00183B5F">
        <w:rPr>
          <w:szCs w:val="22"/>
          <w:vertAlign w:val="superscript"/>
        </w:rPr>
        <w:t>a</w:t>
      </w:r>
      <w:r w:rsidRPr="00183B5F">
        <w:rPr>
          <w:szCs w:val="22"/>
        </w:rPr>
        <w:t> a p</w:t>
      </w:r>
      <w:r w:rsidRPr="00183B5F">
        <w:rPr>
          <w:szCs w:val="22"/>
        </w:rPr>
        <w:noBreakHyphen/>
        <w:t xml:space="preserve">érték a </w:t>
      </w:r>
      <w:r w:rsidR="001A6E66" w:rsidRPr="00183B5F">
        <w:rPr>
          <w:szCs w:val="22"/>
        </w:rPr>
        <w:t>metotrexát-mono</w:t>
      </w:r>
      <w:r w:rsidRPr="00183B5F">
        <w:rPr>
          <w:szCs w:val="22"/>
        </w:rPr>
        <w:t xml:space="preserve">terápia és a Humira/metotrexát kombinációs terápia páros összehasonlítása </w:t>
      </w:r>
      <w:r w:rsidR="001A6E66" w:rsidRPr="00183B5F">
        <w:rPr>
          <w:szCs w:val="22"/>
        </w:rPr>
        <w:t>alapján, Mann</w:t>
      </w:r>
      <w:r w:rsidRPr="00183B5F">
        <w:rPr>
          <w:szCs w:val="22"/>
        </w:rPr>
        <w:noBreakHyphen/>
        <w:t xml:space="preserve">Whitney </w:t>
      </w:r>
      <w:r w:rsidR="001A6E66" w:rsidRPr="00183B5F">
        <w:rPr>
          <w:szCs w:val="22"/>
        </w:rPr>
        <w:t>U-teszt</w:t>
      </w:r>
      <w:r w:rsidRPr="00183B5F">
        <w:rPr>
          <w:szCs w:val="22"/>
        </w:rPr>
        <w:t xml:space="preserve"> szerint</w:t>
      </w:r>
    </w:p>
    <w:p w14:paraId="26AADA6E" w14:textId="77777777" w:rsidR="00D0403E" w:rsidRPr="00183B5F" w:rsidRDefault="00943743" w:rsidP="004062FE">
      <w:pPr>
        <w:spacing w:line="240" w:lineRule="auto"/>
        <w:rPr>
          <w:szCs w:val="22"/>
        </w:rPr>
      </w:pPr>
      <w:r w:rsidRPr="00183B5F">
        <w:rPr>
          <w:szCs w:val="22"/>
          <w:vertAlign w:val="superscript"/>
        </w:rPr>
        <w:t>b</w:t>
      </w:r>
      <w:r w:rsidRPr="00183B5F">
        <w:rPr>
          <w:szCs w:val="22"/>
        </w:rPr>
        <w:t> a p</w:t>
      </w:r>
      <w:r w:rsidRPr="00183B5F">
        <w:rPr>
          <w:szCs w:val="22"/>
        </w:rPr>
        <w:noBreakHyphen/>
        <w:t xml:space="preserve">érték a </w:t>
      </w:r>
      <w:r w:rsidR="005C406C" w:rsidRPr="00183B5F">
        <w:rPr>
          <w:szCs w:val="22"/>
        </w:rPr>
        <w:t>Humira-monoterá</w:t>
      </w:r>
      <w:r w:rsidRPr="00183B5F">
        <w:rPr>
          <w:szCs w:val="22"/>
        </w:rPr>
        <w:t xml:space="preserve">pia és a Humira/metotrexát kombinációs terápia páros összehasonlítása </w:t>
      </w:r>
      <w:r w:rsidR="001A6E66" w:rsidRPr="00183B5F">
        <w:rPr>
          <w:szCs w:val="22"/>
        </w:rPr>
        <w:t>alapján, Mann</w:t>
      </w:r>
      <w:r w:rsidRPr="00183B5F">
        <w:rPr>
          <w:szCs w:val="22"/>
        </w:rPr>
        <w:noBreakHyphen/>
        <w:t xml:space="preserve">Whitney </w:t>
      </w:r>
      <w:r w:rsidR="001A6E66" w:rsidRPr="00183B5F">
        <w:rPr>
          <w:szCs w:val="22"/>
        </w:rPr>
        <w:t>U-teszt</w:t>
      </w:r>
      <w:r w:rsidRPr="00183B5F">
        <w:rPr>
          <w:szCs w:val="22"/>
        </w:rPr>
        <w:t xml:space="preserve"> szerint</w:t>
      </w:r>
    </w:p>
    <w:p w14:paraId="038A834F" w14:textId="77777777" w:rsidR="00D0403E" w:rsidRPr="00183B5F" w:rsidRDefault="00943743" w:rsidP="004062FE">
      <w:pPr>
        <w:spacing w:line="240" w:lineRule="auto"/>
        <w:rPr>
          <w:szCs w:val="22"/>
        </w:rPr>
      </w:pPr>
      <w:r w:rsidRPr="00183B5F">
        <w:rPr>
          <w:szCs w:val="22"/>
          <w:vertAlign w:val="superscript"/>
        </w:rPr>
        <w:t>c</w:t>
      </w:r>
      <w:r w:rsidRPr="00183B5F">
        <w:rPr>
          <w:szCs w:val="22"/>
        </w:rPr>
        <w:t> a p</w:t>
      </w:r>
      <w:r w:rsidRPr="00183B5F">
        <w:rPr>
          <w:szCs w:val="22"/>
        </w:rPr>
        <w:noBreakHyphen/>
        <w:t xml:space="preserve">érték a </w:t>
      </w:r>
      <w:r w:rsidR="005C406C" w:rsidRPr="00183B5F">
        <w:rPr>
          <w:szCs w:val="22"/>
        </w:rPr>
        <w:t>Humira-monoterá</w:t>
      </w:r>
      <w:r w:rsidRPr="00183B5F">
        <w:rPr>
          <w:szCs w:val="22"/>
        </w:rPr>
        <w:t xml:space="preserve">pia és a </w:t>
      </w:r>
      <w:r w:rsidR="001A6E66" w:rsidRPr="00183B5F">
        <w:rPr>
          <w:szCs w:val="22"/>
        </w:rPr>
        <w:t>metotrexát-mono</w:t>
      </w:r>
      <w:r w:rsidRPr="00183B5F">
        <w:rPr>
          <w:szCs w:val="22"/>
        </w:rPr>
        <w:t xml:space="preserve">terápia páros összehasonlítása </w:t>
      </w:r>
      <w:r w:rsidR="001A6E66" w:rsidRPr="00183B5F">
        <w:rPr>
          <w:szCs w:val="22"/>
        </w:rPr>
        <w:t>alapján, Mann</w:t>
      </w:r>
      <w:r w:rsidRPr="00183B5F">
        <w:rPr>
          <w:szCs w:val="22"/>
        </w:rPr>
        <w:noBreakHyphen/>
        <w:t xml:space="preserve">Whitney </w:t>
      </w:r>
      <w:r w:rsidR="001A6E66" w:rsidRPr="00183B5F">
        <w:rPr>
          <w:szCs w:val="22"/>
        </w:rPr>
        <w:t>U-teszt</w:t>
      </w:r>
      <w:r w:rsidRPr="00183B5F">
        <w:rPr>
          <w:szCs w:val="22"/>
        </w:rPr>
        <w:t xml:space="preserve"> szerint</w:t>
      </w:r>
    </w:p>
    <w:p w14:paraId="73DC1CE7" w14:textId="77777777" w:rsidR="00042B4D" w:rsidRPr="00183B5F" w:rsidRDefault="00042B4D" w:rsidP="004062FE">
      <w:pPr>
        <w:spacing w:line="240" w:lineRule="auto"/>
        <w:rPr>
          <w:szCs w:val="22"/>
          <w:u w:val="single"/>
        </w:rPr>
      </w:pPr>
    </w:p>
    <w:p w14:paraId="5E4DB464" w14:textId="77777777" w:rsidR="00D0403E" w:rsidRPr="00183B5F" w:rsidRDefault="00943743" w:rsidP="004062FE">
      <w:pPr>
        <w:spacing w:line="240" w:lineRule="auto"/>
        <w:rPr>
          <w:szCs w:val="22"/>
        </w:rPr>
      </w:pPr>
      <w:r w:rsidRPr="00183B5F">
        <w:rPr>
          <w:szCs w:val="22"/>
        </w:rPr>
        <w:t xml:space="preserve">Ötvenkét, illetve 104 hétig tartó kezelés után a progresszió nélküli betegek százaléka (a módosított </w:t>
      </w:r>
      <w:r w:rsidR="005E4FD2" w:rsidRPr="00183B5F">
        <w:rPr>
          <w:szCs w:val="22"/>
        </w:rPr>
        <w:t xml:space="preserve">teljes </w:t>
      </w:r>
      <w:r w:rsidRPr="00183B5F">
        <w:rPr>
          <w:szCs w:val="22"/>
        </w:rPr>
        <w:t>Sharp</w:t>
      </w:r>
      <w:r w:rsidR="005E4FD2" w:rsidRPr="00183B5F">
        <w:rPr>
          <w:szCs w:val="22"/>
        </w:rPr>
        <w:t>-</w:t>
      </w:r>
      <w:r w:rsidRPr="00183B5F">
        <w:rPr>
          <w:szCs w:val="22"/>
        </w:rPr>
        <w:t>pont</w:t>
      </w:r>
      <w:r w:rsidR="00836B6C" w:rsidRPr="00183B5F">
        <w:rPr>
          <w:szCs w:val="22"/>
        </w:rPr>
        <w:t>érték</w:t>
      </w:r>
      <w:r w:rsidRPr="00183B5F">
        <w:rPr>
          <w:szCs w:val="22"/>
        </w:rPr>
        <w:t xml:space="preserve"> változása a kiinduláshoz képest ≤ 0,5) </w:t>
      </w:r>
      <w:r w:rsidR="00836B6C" w:rsidRPr="00183B5F">
        <w:rPr>
          <w:szCs w:val="22"/>
        </w:rPr>
        <w:t>szignifikánsan</w:t>
      </w:r>
      <w:r w:rsidRPr="00183B5F">
        <w:rPr>
          <w:szCs w:val="22"/>
        </w:rPr>
        <w:t xml:space="preserve"> magasabb volt a Humira/metotrexát kombinációs kezelésben részesült betegeknél (rendre 63,8%, illetve 61,2%) összehasonlítva a </w:t>
      </w:r>
      <w:r w:rsidR="001A6E66" w:rsidRPr="00183B5F">
        <w:rPr>
          <w:szCs w:val="22"/>
        </w:rPr>
        <w:t>metotrexát-mono</w:t>
      </w:r>
      <w:r w:rsidRPr="00183B5F">
        <w:rPr>
          <w:szCs w:val="22"/>
        </w:rPr>
        <w:t xml:space="preserve">terápia eredményével (rendre 37,4% és 33,5%, p &lt; 0,001) és </w:t>
      </w:r>
      <w:r w:rsidR="005C406C" w:rsidRPr="00183B5F">
        <w:rPr>
          <w:szCs w:val="22"/>
        </w:rPr>
        <w:t>Humira-monoterá</w:t>
      </w:r>
      <w:r w:rsidRPr="00183B5F">
        <w:rPr>
          <w:szCs w:val="22"/>
        </w:rPr>
        <w:t>piával (rendre 50,7%, p &lt; 0,002 és 44,5%, p &lt; 0,001).</w:t>
      </w:r>
    </w:p>
    <w:p w14:paraId="660E3E83" w14:textId="77777777" w:rsidR="00D0403E" w:rsidRPr="00183B5F" w:rsidRDefault="00D0403E" w:rsidP="004062FE">
      <w:pPr>
        <w:spacing w:line="240" w:lineRule="auto"/>
        <w:rPr>
          <w:szCs w:val="22"/>
          <w:u w:val="single"/>
        </w:rPr>
      </w:pPr>
    </w:p>
    <w:p w14:paraId="4B810DCB" w14:textId="77777777" w:rsidR="00BB07E5" w:rsidRPr="00183B5F" w:rsidRDefault="00943743" w:rsidP="004062FE">
      <w:pPr>
        <w:spacing w:line="240" w:lineRule="auto"/>
        <w:rPr>
          <w:szCs w:val="22"/>
        </w:rPr>
      </w:pPr>
      <w:r w:rsidRPr="00183B5F">
        <w:rPr>
          <w:szCs w:val="22"/>
        </w:rPr>
        <w:t>Az RA V vizsgálat nyílt elrendezésű kiterjesztésének 10. évében a módosított teljes Sharp</w:t>
      </w:r>
      <w:r w:rsidR="005E4FD2" w:rsidRPr="00183B5F">
        <w:rPr>
          <w:szCs w:val="22"/>
        </w:rPr>
        <w:t>-</w:t>
      </w:r>
      <w:r w:rsidRPr="00183B5F">
        <w:rPr>
          <w:szCs w:val="22"/>
        </w:rPr>
        <w:t>pont</w:t>
      </w:r>
      <w:r w:rsidR="00836B6C" w:rsidRPr="00183B5F">
        <w:rPr>
          <w:szCs w:val="22"/>
        </w:rPr>
        <w:t>érték</w:t>
      </w:r>
      <w:r w:rsidRPr="00183B5F">
        <w:rPr>
          <w:szCs w:val="22"/>
        </w:rPr>
        <w:t xml:space="preserve"> átlagos változása a kiinduláshoz képest az eredetileg </w:t>
      </w:r>
      <w:r w:rsidR="001A6E66" w:rsidRPr="00183B5F">
        <w:rPr>
          <w:szCs w:val="22"/>
        </w:rPr>
        <w:t>metotrexát-mono</w:t>
      </w:r>
      <w:r w:rsidRPr="00183B5F">
        <w:rPr>
          <w:szCs w:val="22"/>
        </w:rPr>
        <w:t xml:space="preserve">terápiára, </w:t>
      </w:r>
      <w:r w:rsidR="005C406C" w:rsidRPr="00183B5F">
        <w:rPr>
          <w:szCs w:val="22"/>
        </w:rPr>
        <w:t>Humira-monoterá</w:t>
      </w:r>
      <w:r w:rsidRPr="00183B5F">
        <w:rPr>
          <w:szCs w:val="22"/>
        </w:rPr>
        <w:t xml:space="preserve">piára és Humira/metotrexát kombinációs terápiára randomizált betegeknél </w:t>
      </w:r>
      <w:r w:rsidR="006E4087" w:rsidRPr="00183B5F">
        <w:rPr>
          <w:szCs w:val="22"/>
        </w:rPr>
        <w:t xml:space="preserve">sorrendben </w:t>
      </w:r>
      <w:r w:rsidRPr="00183B5F">
        <w:rPr>
          <w:szCs w:val="22"/>
        </w:rPr>
        <w:t xml:space="preserve">10,8; 9,2 és 3,9 volt. A radiológiai progressziót nem mutató betegeknél az arány </w:t>
      </w:r>
      <w:r w:rsidR="006E4087" w:rsidRPr="00183B5F">
        <w:rPr>
          <w:szCs w:val="22"/>
        </w:rPr>
        <w:t xml:space="preserve">sorrendben </w:t>
      </w:r>
      <w:r w:rsidRPr="00183B5F">
        <w:rPr>
          <w:szCs w:val="22"/>
        </w:rPr>
        <w:t>31,3%, 23,7% és 36,7% volt.</w:t>
      </w:r>
    </w:p>
    <w:p w14:paraId="30FAF54C" w14:textId="77777777" w:rsidR="00BB07E5" w:rsidRPr="00183B5F" w:rsidRDefault="00BB07E5" w:rsidP="004062FE">
      <w:pPr>
        <w:spacing w:line="240" w:lineRule="auto"/>
        <w:rPr>
          <w:szCs w:val="22"/>
          <w:u w:val="single"/>
        </w:rPr>
      </w:pPr>
    </w:p>
    <w:p w14:paraId="26A12234" w14:textId="77777777" w:rsidR="00D0403E" w:rsidRPr="00183B5F" w:rsidRDefault="00943743" w:rsidP="004062FE">
      <w:pPr>
        <w:keepNext/>
        <w:spacing w:line="240" w:lineRule="auto"/>
        <w:rPr>
          <w:i/>
          <w:szCs w:val="22"/>
          <w:u w:val="single"/>
        </w:rPr>
      </w:pPr>
      <w:r w:rsidRPr="00183B5F">
        <w:rPr>
          <w:i/>
          <w:szCs w:val="22"/>
          <w:u w:val="single"/>
        </w:rPr>
        <w:t>Életminőség és fizikai aktivitás</w:t>
      </w:r>
    </w:p>
    <w:p w14:paraId="0EA9E435" w14:textId="77777777" w:rsidR="00D0403E" w:rsidRPr="00183B5F" w:rsidRDefault="00D0403E" w:rsidP="004062FE">
      <w:pPr>
        <w:keepNext/>
        <w:spacing w:line="240" w:lineRule="auto"/>
        <w:rPr>
          <w:szCs w:val="22"/>
        </w:rPr>
      </w:pPr>
    </w:p>
    <w:p w14:paraId="26A48B63" w14:textId="77777777" w:rsidR="00D0403E" w:rsidRPr="00183B5F" w:rsidRDefault="00943743" w:rsidP="004062FE">
      <w:pPr>
        <w:keepNext/>
        <w:spacing w:line="240" w:lineRule="auto"/>
        <w:rPr>
          <w:szCs w:val="22"/>
        </w:rPr>
      </w:pPr>
      <w:r w:rsidRPr="00183B5F">
        <w:rPr>
          <w:szCs w:val="22"/>
        </w:rPr>
        <w:t xml:space="preserve">Az Egészségfelmérő kérdőív (Health Assessment Questionnaire-HAQ) rokkantsági indexének segítségével a négy eredeti és </w:t>
      </w:r>
      <w:r w:rsidR="008511AE" w:rsidRPr="00183B5F">
        <w:rPr>
          <w:szCs w:val="22"/>
        </w:rPr>
        <w:t>megfelelő kontrollt alka</w:t>
      </w:r>
      <w:r w:rsidR="00A32269" w:rsidRPr="00183B5F">
        <w:rPr>
          <w:szCs w:val="22"/>
        </w:rPr>
        <w:t>l</w:t>
      </w:r>
      <w:r w:rsidR="008511AE" w:rsidRPr="00183B5F">
        <w:rPr>
          <w:szCs w:val="22"/>
        </w:rPr>
        <w:t>mazó</w:t>
      </w:r>
      <w:r w:rsidRPr="00183B5F">
        <w:rPr>
          <w:szCs w:val="22"/>
        </w:rPr>
        <w:t xml:space="preserve"> vizsgálatban megvizsgálták az egészségfüggő életminőséget és fizikális működést, illetve az RA III vizsgálatban ez egy előre megállapított elsődleges végpontja volt a vizsgálatnak az 52. héten. A Humira, adagolási módtól és dózistól függetlenül, mind a négy vizsgálatban a kiinduláshoz viszonyítva a vizsgált hat hónap alatt statisztikailag szignifikáns javulást eredményezett a HAQ rokkantsági indexében a placebóval összehasonlítva, és az RA III. vizsgálatban ugyanezt észlelték az 52. héten. A Rövid Egészség</w:t>
      </w:r>
      <w:r w:rsidRPr="00183B5F">
        <w:rPr>
          <w:szCs w:val="22"/>
        </w:rPr>
        <w:t>felmérés (Short Form Health Survey (SF 36)) eredményei is alátámasztják a fentieket, a kéthetente alkalmazott 40 mg</w:t>
      </w:r>
      <w:r w:rsidRPr="00183B5F">
        <w:rPr>
          <w:szCs w:val="22"/>
        </w:rPr>
        <w:noBreakHyphen/>
        <w:t>os dózis esetében a fizikális komponensre (PCS) adott értékek, illetve a fájdalmat valamint a vitalitást mérő értékek is statisztikailag szignifikáns javulást mutattak. A krónikus betegségek terápiájának funkcionális felmérését szolgáló kérdőívben (FACIT) a fáradtságra adott értékek alapján statisztikailag jelentős javulás állapítható meg mindhárom vizsgálatban, amelyben ezt kiértékelték (RA I</w:t>
      </w:r>
      <w:r w:rsidRPr="00183B5F">
        <w:rPr>
          <w:szCs w:val="22"/>
        </w:rPr>
        <w:t>, III, IV vizsgálatok).</w:t>
      </w:r>
    </w:p>
    <w:p w14:paraId="11842F68" w14:textId="77777777" w:rsidR="00D0403E" w:rsidRPr="00183B5F" w:rsidRDefault="00D0403E" w:rsidP="004062FE">
      <w:pPr>
        <w:spacing w:line="240" w:lineRule="auto"/>
        <w:rPr>
          <w:szCs w:val="22"/>
        </w:rPr>
      </w:pPr>
    </w:p>
    <w:p w14:paraId="171B657A" w14:textId="77777777" w:rsidR="00D0403E" w:rsidRPr="00183B5F" w:rsidRDefault="00943743" w:rsidP="004062FE">
      <w:pPr>
        <w:spacing w:line="240" w:lineRule="auto"/>
        <w:rPr>
          <w:szCs w:val="22"/>
        </w:rPr>
      </w:pPr>
      <w:r w:rsidRPr="00183B5F">
        <w:rPr>
          <w:szCs w:val="22"/>
        </w:rPr>
        <w:t>Az RA III vizsgálatban a nyílt kezelés során a betegek többsége, akiknél a fizikai funkció javulása volt megfigyelhető és folytatták a kezelést, a javulás 520 héten (120 hónap) keresztül fenn</w:t>
      </w:r>
      <w:r w:rsidR="00F07A7D" w:rsidRPr="00183B5F">
        <w:rPr>
          <w:szCs w:val="22"/>
        </w:rPr>
        <w:t>maradt</w:t>
      </w:r>
      <w:r w:rsidRPr="00183B5F">
        <w:rPr>
          <w:szCs w:val="22"/>
        </w:rPr>
        <w:t>. Az életminőség javulását legfeljebb 156 hétig (36 hónap) mérték, és a javulás ezalatt az idő alatt fennmaradt.</w:t>
      </w:r>
    </w:p>
    <w:p w14:paraId="1110B1BF" w14:textId="77777777" w:rsidR="00D0403E" w:rsidRPr="00183B5F" w:rsidRDefault="00D0403E" w:rsidP="004062FE">
      <w:pPr>
        <w:spacing w:line="240" w:lineRule="auto"/>
        <w:rPr>
          <w:szCs w:val="22"/>
        </w:rPr>
      </w:pPr>
    </w:p>
    <w:p w14:paraId="487F973F" w14:textId="77777777" w:rsidR="00721CEC" w:rsidRPr="00183B5F" w:rsidRDefault="00943743" w:rsidP="004062FE">
      <w:pPr>
        <w:pStyle w:val="EMEAHeadingUnderline"/>
        <w:tabs>
          <w:tab w:val="clear" w:pos="562"/>
        </w:tabs>
        <w:spacing w:beforeLines="0" w:afterLines="0"/>
        <w:rPr>
          <w:szCs w:val="22"/>
          <w:u w:val="none"/>
          <w:lang w:val="hu-HU"/>
        </w:rPr>
      </w:pPr>
      <w:r w:rsidRPr="00183B5F">
        <w:rPr>
          <w:szCs w:val="22"/>
          <w:u w:val="none"/>
          <w:lang w:val="hu-HU"/>
        </w:rPr>
        <w:t>Az RA V vizsgálatban az 52. héten a HAQ rokkantsági indexben és az SF 36 fizikai összetevőiben mutatkozó javulás nagyobb volt (p &lt; 0,001) a Humira/metotrexát kombinációs kezelést kapott csoportban, mint a metotrexát</w:t>
      </w:r>
      <w:r w:rsidR="00287AD5" w:rsidRPr="00183B5F">
        <w:rPr>
          <w:szCs w:val="22"/>
          <w:u w:val="none"/>
          <w:lang w:val="hu-HU"/>
        </w:rPr>
        <w:t>-</w:t>
      </w:r>
      <w:r w:rsidRPr="00183B5F">
        <w:rPr>
          <w:szCs w:val="22"/>
          <w:u w:val="none"/>
          <w:lang w:val="hu-HU"/>
        </w:rPr>
        <w:t xml:space="preserve"> és </w:t>
      </w:r>
      <w:r w:rsidR="005C406C" w:rsidRPr="00183B5F">
        <w:rPr>
          <w:szCs w:val="22"/>
          <w:u w:val="none"/>
          <w:lang w:val="hu-HU"/>
        </w:rPr>
        <w:t>Humira-monoterá</w:t>
      </w:r>
      <w:r w:rsidRPr="00183B5F">
        <w:rPr>
          <w:szCs w:val="22"/>
          <w:u w:val="none"/>
          <w:lang w:val="hu-HU"/>
        </w:rPr>
        <w:t>piákban. Ezek a változások a 104. hétig fennálltak. A 250 betegnél, akik befejezték a nyílt elrendezésű kiterjesztéses vizsgálatot, a fizikai funkció javulása a kezelés 10 éve alatt fennmaradt.</w:t>
      </w:r>
    </w:p>
    <w:p w14:paraId="61DA21D4" w14:textId="77777777" w:rsidR="00D0403E" w:rsidRPr="00183B5F" w:rsidRDefault="00D0403E" w:rsidP="004062FE">
      <w:pPr>
        <w:spacing w:line="240" w:lineRule="auto"/>
        <w:rPr>
          <w:szCs w:val="22"/>
        </w:rPr>
      </w:pPr>
    </w:p>
    <w:p w14:paraId="0850A8F9" w14:textId="77777777" w:rsidR="00AA144E" w:rsidRPr="00183B5F" w:rsidRDefault="00943743" w:rsidP="004062FE">
      <w:pPr>
        <w:spacing w:line="240" w:lineRule="auto"/>
        <w:rPr>
          <w:i/>
          <w:szCs w:val="22"/>
          <w:u w:val="single"/>
        </w:rPr>
      </w:pPr>
      <w:r w:rsidRPr="00183B5F">
        <w:rPr>
          <w:i/>
          <w:szCs w:val="22"/>
          <w:u w:val="single"/>
        </w:rPr>
        <w:t>Fá</w:t>
      </w:r>
      <w:r w:rsidR="009A314C" w:rsidRPr="00183B5F">
        <w:rPr>
          <w:i/>
          <w:szCs w:val="22"/>
          <w:u w:val="single"/>
        </w:rPr>
        <w:t>j</w:t>
      </w:r>
      <w:r w:rsidRPr="00183B5F">
        <w:rPr>
          <w:i/>
          <w:szCs w:val="22"/>
          <w:u w:val="single"/>
        </w:rPr>
        <w:t>dalom a beadás helyén</w:t>
      </w:r>
    </w:p>
    <w:p w14:paraId="196EFB9A" w14:textId="77777777" w:rsidR="00AA144E" w:rsidRPr="00183B5F" w:rsidRDefault="00AA144E" w:rsidP="004062FE">
      <w:pPr>
        <w:spacing w:line="240" w:lineRule="auto"/>
        <w:rPr>
          <w:i/>
          <w:szCs w:val="22"/>
          <w:u w:val="single"/>
        </w:rPr>
      </w:pPr>
    </w:p>
    <w:p w14:paraId="51B6FDB0" w14:textId="77777777" w:rsidR="00AA144E" w:rsidRPr="00183B5F" w:rsidRDefault="00943743" w:rsidP="004062FE">
      <w:pPr>
        <w:spacing w:line="240" w:lineRule="auto"/>
        <w:rPr>
          <w:szCs w:val="22"/>
        </w:rPr>
      </w:pPr>
      <w:r w:rsidRPr="00183B5F">
        <w:rPr>
          <w:szCs w:val="22"/>
        </w:rPr>
        <w:t>Az RA VI és VII</w:t>
      </w:r>
      <w:r w:rsidRPr="00183B5F">
        <w:rPr>
          <w:szCs w:val="22"/>
        </w:rPr>
        <w:noBreakHyphen/>
        <w:t xml:space="preserve">es vizsgálatok </w:t>
      </w:r>
      <w:r w:rsidR="009A314C" w:rsidRPr="00183B5F">
        <w:rPr>
          <w:szCs w:val="22"/>
        </w:rPr>
        <w:t xml:space="preserve">összesített adatai </w:t>
      </w:r>
      <w:r w:rsidRPr="00183B5F">
        <w:rPr>
          <w:szCs w:val="22"/>
        </w:rPr>
        <w:t>alapján statisztikailag szignifikáns különbség volt megfigyelhető az injekció beadásának helyén fellépő azonnali fájdalomban a Humira 40 mg/0,8 ml és a Humira 40 mg/0,4 ml között</w:t>
      </w:r>
      <w:r w:rsidR="00752797" w:rsidRPr="00183B5F">
        <w:rPr>
          <w:szCs w:val="22"/>
        </w:rPr>
        <w:t xml:space="preserve"> (a 0</w:t>
      </w:r>
      <w:r w:rsidR="00752797" w:rsidRPr="00183B5F">
        <w:rPr>
          <w:szCs w:val="22"/>
        </w:rPr>
        <w:noBreakHyphen/>
        <w:t>10 cm</w:t>
      </w:r>
      <w:r w:rsidR="00752797" w:rsidRPr="00183B5F">
        <w:rPr>
          <w:szCs w:val="22"/>
        </w:rPr>
        <w:noBreakHyphen/>
        <w:t xml:space="preserve">es vizuál analóg skálán átlagosan </w:t>
      </w:r>
      <w:r w:rsidR="0024208D" w:rsidRPr="00183B5F">
        <w:rPr>
          <w:szCs w:val="22"/>
        </w:rPr>
        <w:t xml:space="preserve">3,7 cm </w:t>
      </w:r>
      <w:r w:rsidR="00DD2F74" w:rsidRPr="00183B5F">
        <w:rPr>
          <w:szCs w:val="22"/>
        </w:rPr>
        <w:t>szemben az</w:t>
      </w:r>
      <w:r w:rsidR="0024208D" w:rsidRPr="00183B5F">
        <w:rPr>
          <w:szCs w:val="22"/>
        </w:rPr>
        <w:t xml:space="preserve"> </w:t>
      </w:r>
      <w:r w:rsidR="00752797" w:rsidRPr="00183B5F">
        <w:rPr>
          <w:szCs w:val="22"/>
        </w:rPr>
        <w:t>1,2</w:t>
      </w:r>
      <w:r w:rsidR="00DD2F74" w:rsidRPr="00183B5F">
        <w:rPr>
          <w:szCs w:val="22"/>
        </w:rPr>
        <w:t> cm-rel</w:t>
      </w:r>
      <w:r w:rsidR="00752797" w:rsidRPr="00183B5F">
        <w:rPr>
          <w:szCs w:val="22"/>
        </w:rPr>
        <w:t xml:space="preserve"> , P &lt; 0,001)</w:t>
      </w:r>
      <w:r w:rsidRPr="00183B5F">
        <w:rPr>
          <w:szCs w:val="22"/>
        </w:rPr>
        <w:t>.</w:t>
      </w:r>
      <w:r w:rsidR="00DB08DB" w:rsidRPr="00183B5F">
        <w:rPr>
          <w:szCs w:val="22"/>
        </w:rPr>
        <w:t xml:space="preserve"> Ez 84%</w:t>
      </w:r>
      <w:r w:rsidR="00DB08DB" w:rsidRPr="00183B5F">
        <w:rPr>
          <w:szCs w:val="22"/>
        </w:rPr>
        <w:noBreakHyphen/>
        <w:t>os</w:t>
      </w:r>
      <w:r w:rsidR="007F0606" w:rsidRPr="00183B5F">
        <w:rPr>
          <w:szCs w:val="22"/>
        </w:rPr>
        <w:t xml:space="preserve"> medián</w:t>
      </w:r>
      <w:r w:rsidR="00DB08DB" w:rsidRPr="00183B5F">
        <w:rPr>
          <w:szCs w:val="22"/>
        </w:rPr>
        <w:t xml:space="preserve"> fájdalomcsökkenést mutat az injekció beadásának helyén.</w:t>
      </w:r>
    </w:p>
    <w:p w14:paraId="742F325C" w14:textId="77777777" w:rsidR="00DB08DB" w:rsidRPr="00183B5F" w:rsidRDefault="00DB08DB" w:rsidP="004062FE">
      <w:pPr>
        <w:spacing w:line="240" w:lineRule="auto"/>
        <w:rPr>
          <w:szCs w:val="22"/>
        </w:rPr>
      </w:pPr>
    </w:p>
    <w:p w14:paraId="51ABE310" w14:textId="77777777" w:rsidR="00D0403E" w:rsidRPr="00183B5F" w:rsidRDefault="00943743">
      <w:pPr>
        <w:pStyle w:val="EMEANormal"/>
        <w:keepNext/>
        <w:rPr>
          <w:i/>
          <w:szCs w:val="22"/>
          <w:lang w:val="hu-HU"/>
        </w:rPr>
      </w:pPr>
      <w:r w:rsidRPr="00183B5F">
        <w:rPr>
          <w:i/>
          <w:szCs w:val="22"/>
          <w:lang w:val="hu-HU"/>
        </w:rPr>
        <w:t>Axiális spondyloarthritis</w:t>
      </w:r>
    </w:p>
    <w:p w14:paraId="4A32CF87" w14:textId="77777777" w:rsidR="00D0403E" w:rsidRPr="00183B5F" w:rsidRDefault="00D0403E">
      <w:pPr>
        <w:pStyle w:val="EMEANormal"/>
        <w:keepNext/>
        <w:rPr>
          <w:szCs w:val="22"/>
          <w:lang w:val="hu-HU"/>
        </w:rPr>
      </w:pPr>
    </w:p>
    <w:p w14:paraId="1A504B68" w14:textId="77777777" w:rsidR="00D0403E" w:rsidRPr="00183B5F" w:rsidRDefault="00943743" w:rsidP="004062FE">
      <w:pPr>
        <w:keepNext/>
        <w:spacing w:line="240" w:lineRule="auto"/>
        <w:rPr>
          <w:i/>
          <w:szCs w:val="22"/>
          <w:u w:val="single"/>
        </w:rPr>
      </w:pPr>
      <w:r w:rsidRPr="00183B5F">
        <w:rPr>
          <w:i/>
          <w:szCs w:val="22"/>
          <w:u w:val="single"/>
        </w:rPr>
        <w:t>Spondylitis ankylopoetica (SPA)</w:t>
      </w:r>
    </w:p>
    <w:p w14:paraId="156994B3" w14:textId="77777777" w:rsidR="00D0403E" w:rsidRPr="00183B5F" w:rsidRDefault="00D0403E" w:rsidP="004062FE">
      <w:pPr>
        <w:keepNext/>
        <w:spacing w:line="240" w:lineRule="auto"/>
        <w:rPr>
          <w:szCs w:val="22"/>
        </w:rPr>
      </w:pPr>
    </w:p>
    <w:p w14:paraId="0E7A482F" w14:textId="77777777" w:rsidR="00D0403E" w:rsidRPr="00183B5F" w:rsidRDefault="00943743" w:rsidP="004062FE">
      <w:pPr>
        <w:keepNext/>
        <w:spacing w:line="240" w:lineRule="auto"/>
        <w:rPr>
          <w:szCs w:val="22"/>
        </w:rPr>
      </w:pPr>
      <w:r w:rsidRPr="00183B5F">
        <w:rPr>
          <w:szCs w:val="22"/>
        </w:rPr>
        <w:t xml:space="preserve">A 40 mg Humira hatását kéthetenkénti egyszeri adagolással 393 aktív spondylitis ankylopoeticában szenvedő olyan betegen vizsgálták két, randomizált, 24 hetes, </w:t>
      </w:r>
      <w:r w:rsidR="00E5381A" w:rsidRPr="00183B5F">
        <w:rPr>
          <w:szCs w:val="22"/>
        </w:rPr>
        <w:t>kettős vak</w:t>
      </w:r>
      <w:r w:rsidRPr="00183B5F">
        <w:rPr>
          <w:szCs w:val="22"/>
        </w:rPr>
        <w:t>, placebokontrollos vizsgálatban (betegség aktivitásának átlagos kiindulási pontértéke [Bath Ankylosing Spondilitis Disease Activity Index (BASDAI)] 6,3 volt mindegyik csoportban), akik nem adtak megfelelő választ a szokásos kezelésre. 79 beteg (20,1%) kapott egyidejűleg betegséget befolyásoló reumaellenes szert, 37 beteg (9,4%) kapott egyidejűleg glükokortikoiddal kezelést. A vak szakaszt</w:t>
      </w:r>
      <w:r w:rsidRPr="00183B5F">
        <w:rPr>
          <w:b/>
          <w:bCs/>
          <w:i/>
          <w:iCs/>
          <w:szCs w:val="22"/>
        </w:rPr>
        <w:t xml:space="preserve"> </w:t>
      </w:r>
      <w:r w:rsidRPr="00183B5F">
        <w:rPr>
          <w:szCs w:val="22"/>
        </w:rPr>
        <w:t>egy nyílt vizsgálati fázissal folytatták, amelynek során a betegek kéthetente subcutan 40 mg Humira</w:t>
      </w:r>
      <w:r w:rsidRPr="00183B5F">
        <w:rPr>
          <w:szCs w:val="22"/>
        </w:rPr>
        <w:noBreakHyphen/>
        <w:t>t kaptak,</w:t>
      </w:r>
      <w:r w:rsidRPr="00183B5F">
        <w:rPr>
          <w:szCs w:val="22"/>
        </w:rPr>
        <w:t xml:space="preserve"> további 28 héten keresztül. Azok a betegek, akik nem érték el az ASAS 20 választ (n = 215, 54,7%) a 12. vagy a 16. vagy a 20. héten, korai mentesítő terápiaként kéthetente 40 mg adalimumab subcutan kezelést kaptak nyílt formában, és következményesen nem reagálóként dolgozták fel a </w:t>
      </w:r>
      <w:r w:rsidR="00E5381A" w:rsidRPr="00183B5F">
        <w:rPr>
          <w:szCs w:val="22"/>
        </w:rPr>
        <w:t>kettős vak</w:t>
      </w:r>
      <w:r w:rsidRPr="00183B5F">
        <w:rPr>
          <w:szCs w:val="22"/>
        </w:rPr>
        <w:t xml:space="preserve"> fázis statisztikai elemzése során.</w:t>
      </w:r>
    </w:p>
    <w:p w14:paraId="042FEC8C" w14:textId="77777777" w:rsidR="00D0403E" w:rsidRPr="00183B5F" w:rsidRDefault="00D0403E" w:rsidP="004062FE">
      <w:pPr>
        <w:spacing w:line="240" w:lineRule="auto"/>
        <w:rPr>
          <w:szCs w:val="22"/>
        </w:rPr>
      </w:pPr>
    </w:p>
    <w:p w14:paraId="3D92768D" w14:textId="77777777" w:rsidR="00D0403E" w:rsidRPr="00183B5F" w:rsidRDefault="00943743" w:rsidP="004062FE">
      <w:pPr>
        <w:spacing w:line="240" w:lineRule="auto"/>
        <w:rPr>
          <w:szCs w:val="22"/>
        </w:rPr>
      </w:pPr>
      <w:r w:rsidRPr="00183B5F">
        <w:rPr>
          <w:szCs w:val="22"/>
        </w:rPr>
        <w:t>Egy 315 betegen végzett nagyobb klinikai vizsgálatban (AS I) az eredmények a spondylitis ankylopoetica jeleinek és tüneteinek statisztikailag szignifikáns javulását mutatták a Humira</w:t>
      </w:r>
      <w:r w:rsidRPr="00183B5F">
        <w:rPr>
          <w:szCs w:val="22"/>
        </w:rPr>
        <w:noBreakHyphen/>
        <w:t>val kezelt betegek körében, a placebóval kezeltekhez képest. Szignifikáns hatást először a 2. héten észleltek, ami 24 héten keresztül fennmaradt (</w:t>
      </w:r>
      <w:r w:rsidR="007D329A" w:rsidRPr="00183B5F">
        <w:rPr>
          <w:szCs w:val="22"/>
        </w:rPr>
        <w:t>12</w:t>
      </w:r>
      <w:r w:rsidRPr="00183B5F">
        <w:rPr>
          <w:szCs w:val="22"/>
        </w:rPr>
        <w:t>. táblázat).</w:t>
      </w:r>
    </w:p>
    <w:p w14:paraId="36DAC1D6" w14:textId="77777777" w:rsidR="00D0403E" w:rsidRPr="00183B5F" w:rsidRDefault="00D0403E" w:rsidP="004062FE">
      <w:pPr>
        <w:spacing w:line="240" w:lineRule="auto"/>
        <w:rPr>
          <w:szCs w:val="22"/>
        </w:rPr>
      </w:pPr>
    </w:p>
    <w:p w14:paraId="014AF494" w14:textId="77777777" w:rsidR="00D0403E" w:rsidRPr="00183B5F" w:rsidRDefault="00943743">
      <w:pPr>
        <w:pStyle w:val="EMEANormal"/>
        <w:keepNext/>
        <w:jc w:val="center"/>
        <w:rPr>
          <w:b/>
          <w:bCs/>
          <w:szCs w:val="22"/>
          <w:lang w:val="hu-HU"/>
        </w:rPr>
      </w:pPr>
      <w:r w:rsidRPr="00183B5F">
        <w:rPr>
          <w:b/>
          <w:bCs/>
          <w:szCs w:val="22"/>
          <w:lang w:val="hu-HU"/>
        </w:rPr>
        <w:t xml:space="preserve">12. táblázat </w:t>
      </w:r>
    </w:p>
    <w:p w14:paraId="33959055" w14:textId="77777777" w:rsidR="00D0403E" w:rsidRPr="00183B5F" w:rsidRDefault="00943743">
      <w:pPr>
        <w:pStyle w:val="EMEANormal"/>
        <w:keepNext/>
        <w:jc w:val="center"/>
        <w:rPr>
          <w:b/>
          <w:bCs/>
          <w:szCs w:val="22"/>
          <w:lang w:val="hu-HU"/>
        </w:rPr>
      </w:pPr>
      <w:r w:rsidRPr="00183B5F">
        <w:rPr>
          <w:b/>
          <w:bCs/>
          <w:szCs w:val="22"/>
          <w:lang w:val="hu-HU"/>
        </w:rPr>
        <w:t>Hatásossági válaszarányok a placebokontrollos AS vizsgálatban – I. vizsgálat</w:t>
      </w:r>
    </w:p>
    <w:p w14:paraId="0BCEDA0F" w14:textId="77777777" w:rsidR="00D0403E" w:rsidRPr="00183B5F" w:rsidRDefault="00943743">
      <w:pPr>
        <w:pStyle w:val="EMEANormal"/>
        <w:keepNext/>
        <w:jc w:val="center"/>
        <w:rPr>
          <w:b/>
          <w:bCs/>
          <w:szCs w:val="22"/>
          <w:lang w:val="hu-HU"/>
        </w:rPr>
      </w:pPr>
      <w:r w:rsidRPr="00183B5F">
        <w:rPr>
          <w:b/>
          <w:bCs/>
          <w:szCs w:val="22"/>
          <w:lang w:val="hu-HU"/>
        </w:rPr>
        <w:t>Jelek és tünetek csökkenése</w:t>
      </w:r>
    </w:p>
    <w:p w14:paraId="199033E0" w14:textId="77777777" w:rsidR="00D0403E" w:rsidRPr="00183B5F" w:rsidRDefault="00D0403E">
      <w:pPr>
        <w:pStyle w:val="EMEANormal"/>
        <w:keepNext/>
        <w:rPr>
          <w:szCs w:val="22"/>
          <w:lang w:val="hu-HU"/>
        </w:rPr>
      </w:pPr>
    </w:p>
    <w:tbl>
      <w:tblPr>
        <w:tblW w:w="7480" w:type="dxa"/>
        <w:tblInd w:w="95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300"/>
        <w:gridCol w:w="2200"/>
        <w:gridCol w:w="1980"/>
      </w:tblGrid>
      <w:tr w:rsidR="00011D2F" w14:paraId="5CE6EE3C" w14:textId="77777777" w:rsidTr="00D0403E">
        <w:trPr>
          <w:cantSplit/>
          <w:tblHeader/>
        </w:trPr>
        <w:tc>
          <w:tcPr>
            <w:tcW w:w="3300" w:type="dxa"/>
            <w:tcBorders>
              <w:top w:val="single" w:sz="4" w:space="0" w:color="auto"/>
              <w:bottom w:val="single" w:sz="4" w:space="0" w:color="auto"/>
              <w:right w:val="single" w:sz="4" w:space="0" w:color="auto"/>
            </w:tcBorders>
          </w:tcPr>
          <w:p w14:paraId="4C22DFF8" w14:textId="77777777" w:rsidR="00D0403E" w:rsidRPr="00183B5F" w:rsidRDefault="00943743" w:rsidP="004062FE">
            <w:pPr>
              <w:pStyle w:val="EMEAHeading1"/>
              <w:keepNext/>
              <w:spacing w:beforeLines="0" w:afterLines="0"/>
              <w:rPr>
                <w:rFonts w:ascii="Times New Roman" w:hAnsi="Times New Roman"/>
                <w:caps w:val="0"/>
                <w:lang w:val="hu-HU"/>
              </w:rPr>
            </w:pPr>
            <w:r w:rsidRPr="00183B5F">
              <w:rPr>
                <w:rFonts w:ascii="Times New Roman" w:hAnsi="Times New Roman"/>
                <w:caps w:val="0"/>
                <w:lang w:val="hu-HU"/>
              </w:rPr>
              <w:t>Válasz</w:t>
            </w:r>
          </w:p>
        </w:tc>
        <w:tc>
          <w:tcPr>
            <w:tcW w:w="2200" w:type="dxa"/>
            <w:tcBorders>
              <w:top w:val="single" w:sz="4" w:space="0" w:color="auto"/>
              <w:left w:val="single" w:sz="4" w:space="0" w:color="auto"/>
              <w:bottom w:val="single" w:sz="4" w:space="0" w:color="auto"/>
              <w:right w:val="single" w:sz="4" w:space="0" w:color="auto"/>
            </w:tcBorders>
          </w:tcPr>
          <w:p w14:paraId="70F70924" w14:textId="77777777" w:rsidR="00D0403E" w:rsidRPr="00183B5F" w:rsidRDefault="00943743" w:rsidP="004062FE">
            <w:pPr>
              <w:keepNext/>
              <w:tabs>
                <w:tab w:val="left" w:pos="562"/>
              </w:tabs>
              <w:spacing w:line="240" w:lineRule="auto"/>
              <w:jc w:val="center"/>
              <w:rPr>
                <w:b/>
              </w:rPr>
            </w:pPr>
            <w:r w:rsidRPr="00183B5F">
              <w:rPr>
                <w:b/>
              </w:rPr>
              <w:t>Placebo</w:t>
            </w:r>
          </w:p>
          <w:p w14:paraId="50269CB8" w14:textId="77777777" w:rsidR="00D0403E" w:rsidRPr="00183B5F" w:rsidRDefault="00943743" w:rsidP="004062FE">
            <w:pPr>
              <w:keepNext/>
              <w:tabs>
                <w:tab w:val="left" w:pos="562"/>
              </w:tabs>
              <w:spacing w:line="240" w:lineRule="auto"/>
              <w:jc w:val="center"/>
              <w:rPr>
                <w:b/>
              </w:rPr>
            </w:pPr>
            <w:r w:rsidRPr="00183B5F">
              <w:rPr>
                <w:b/>
              </w:rPr>
              <w:t>N</w:t>
            </w:r>
            <w:r w:rsidR="003F64BC" w:rsidRPr="00183B5F">
              <w:rPr>
                <w:b/>
              </w:rPr>
              <w:t> </w:t>
            </w:r>
            <w:r w:rsidRPr="00183B5F">
              <w:rPr>
                <w:b/>
              </w:rPr>
              <w:t>=</w:t>
            </w:r>
            <w:r w:rsidR="003F64BC" w:rsidRPr="00183B5F">
              <w:rPr>
                <w:b/>
              </w:rPr>
              <w:t> </w:t>
            </w:r>
            <w:r w:rsidRPr="00183B5F">
              <w:rPr>
                <w:b/>
              </w:rPr>
              <w:t>107</w:t>
            </w:r>
          </w:p>
        </w:tc>
        <w:tc>
          <w:tcPr>
            <w:tcW w:w="1980" w:type="dxa"/>
            <w:tcBorders>
              <w:top w:val="single" w:sz="4" w:space="0" w:color="auto"/>
              <w:left w:val="single" w:sz="4" w:space="0" w:color="auto"/>
              <w:bottom w:val="single" w:sz="4" w:space="0" w:color="auto"/>
            </w:tcBorders>
          </w:tcPr>
          <w:p w14:paraId="74571562" w14:textId="77777777" w:rsidR="00D0403E" w:rsidRPr="00183B5F" w:rsidRDefault="00943743" w:rsidP="004062FE">
            <w:pPr>
              <w:keepNext/>
              <w:tabs>
                <w:tab w:val="left" w:pos="562"/>
              </w:tabs>
              <w:spacing w:line="240" w:lineRule="auto"/>
              <w:jc w:val="center"/>
              <w:rPr>
                <w:b/>
              </w:rPr>
            </w:pPr>
            <w:r w:rsidRPr="00183B5F">
              <w:rPr>
                <w:b/>
              </w:rPr>
              <w:t>Humira</w:t>
            </w:r>
          </w:p>
          <w:p w14:paraId="4BDC48F0" w14:textId="77777777" w:rsidR="00D0403E" w:rsidRPr="00183B5F" w:rsidRDefault="00943743" w:rsidP="004062FE">
            <w:pPr>
              <w:keepNext/>
              <w:tabs>
                <w:tab w:val="left" w:pos="562"/>
              </w:tabs>
              <w:spacing w:line="240" w:lineRule="auto"/>
              <w:jc w:val="center"/>
              <w:rPr>
                <w:b/>
              </w:rPr>
            </w:pPr>
            <w:r w:rsidRPr="00183B5F">
              <w:rPr>
                <w:b/>
              </w:rPr>
              <w:t>N</w:t>
            </w:r>
            <w:r w:rsidR="003F64BC" w:rsidRPr="00183B5F">
              <w:rPr>
                <w:b/>
              </w:rPr>
              <w:t> </w:t>
            </w:r>
            <w:r w:rsidRPr="00183B5F">
              <w:rPr>
                <w:b/>
              </w:rPr>
              <w:t>=</w:t>
            </w:r>
            <w:r w:rsidR="003F64BC" w:rsidRPr="00183B5F">
              <w:rPr>
                <w:b/>
              </w:rPr>
              <w:t> </w:t>
            </w:r>
            <w:r w:rsidRPr="00183B5F">
              <w:rPr>
                <w:b/>
              </w:rPr>
              <w:t>208</w:t>
            </w:r>
          </w:p>
        </w:tc>
      </w:tr>
      <w:tr w:rsidR="00011D2F" w14:paraId="78FE4946" w14:textId="77777777" w:rsidTr="00D0403E">
        <w:trPr>
          <w:tblHeader/>
        </w:trPr>
        <w:tc>
          <w:tcPr>
            <w:tcW w:w="3300" w:type="dxa"/>
            <w:tcBorders>
              <w:top w:val="single" w:sz="4" w:space="0" w:color="auto"/>
              <w:bottom w:val="single" w:sz="4" w:space="0" w:color="auto"/>
              <w:right w:val="single" w:sz="4" w:space="0" w:color="auto"/>
            </w:tcBorders>
          </w:tcPr>
          <w:p w14:paraId="224E65D7" w14:textId="77777777" w:rsidR="00D0403E" w:rsidRPr="00183B5F" w:rsidRDefault="00943743" w:rsidP="004062FE">
            <w:pPr>
              <w:keepNext/>
              <w:tabs>
                <w:tab w:val="left" w:pos="562"/>
              </w:tabs>
              <w:suppressAutoHyphens w:val="0"/>
              <w:spacing w:line="240" w:lineRule="auto"/>
            </w:pPr>
            <w:r w:rsidRPr="00183B5F">
              <w:t>ASAS</w:t>
            </w:r>
            <w:r w:rsidRPr="00183B5F">
              <w:rPr>
                <w:vertAlign w:val="superscript"/>
              </w:rPr>
              <w:t>a</w:t>
            </w:r>
            <w:r w:rsidRPr="00183B5F">
              <w:t xml:space="preserve"> 20</w:t>
            </w:r>
          </w:p>
        </w:tc>
        <w:tc>
          <w:tcPr>
            <w:tcW w:w="2200" w:type="dxa"/>
            <w:tcBorders>
              <w:top w:val="single" w:sz="4" w:space="0" w:color="auto"/>
              <w:left w:val="single" w:sz="4" w:space="0" w:color="auto"/>
              <w:bottom w:val="single" w:sz="4" w:space="0" w:color="auto"/>
              <w:right w:val="single" w:sz="4" w:space="0" w:color="auto"/>
            </w:tcBorders>
          </w:tcPr>
          <w:p w14:paraId="34A5AE1E" w14:textId="77777777" w:rsidR="00D0403E" w:rsidRPr="00183B5F" w:rsidRDefault="00D0403E" w:rsidP="004062FE">
            <w:pPr>
              <w:keepNext/>
              <w:tabs>
                <w:tab w:val="left" w:pos="562"/>
              </w:tabs>
              <w:suppressAutoHyphens w:val="0"/>
              <w:spacing w:line="240" w:lineRule="auto"/>
              <w:jc w:val="center"/>
            </w:pPr>
          </w:p>
        </w:tc>
        <w:tc>
          <w:tcPr>
            <w:tcW w:w="1980" w:type="dxa"/>
            <w:tcBorders>
              <w:top w:val="single" w:sz="4" w:space="0" w:color="auto"/>
              <w:left w:val="single" w:sz="4" w:space="0" w:color="auto"/>
              <w:bottom w:val="single" w:sz="4" w:space="0" w:color="auto"/>
            </w:tcBorders>
          </w:tcPr>
          <w:p w14:paraId="5315738A" w14:textId="77777777" w:rsidR="00D0403E" w:rsidRPr="00183B5F" w:rsidRDefault="00D0403E" w:rsidP="004062FE">
            <w:pPr>
              <w:keepNext/>
              <w:tabs>
                <w:tab w:val="left" w:pos="562"/>
              </w:tabs>
              <w:suppressAutoHyphens w:val="0"/>
              <w:spacing w:line="240" w:lineRule="auto"/>
              <w:jc w:val="center"/>
            </w:pPr>
          </w:p>
        </w:tc>
      </w:tr>
      <w:tr w:rsidR="00011D2F" w14:paraId="5225DAB8" w14:textId="77777777" w:rsidTr="00D0403E">
        <w:trPr>
          <w:tblHeader/>
        </w:trPr>
        <w:tc>
          <w:tcPr>
            <w:tcW w:w="3300" w:type="dxa"/>
            <w:tcBorders>
              <w:top w:val="single" w:sz="4" w:space="0" w:color="auto"/>
              <w:bottom w:val="single" w:sz="4" w:space="0" w:color="auto"/>
              <w:right w:val="single" w:sz="4" w:space="0" w:color="auto"/>
            </w:tcBorders>
          </w:tcPr>
          <w:p w14:paraId="4E4E01F5" w14:textId="77777777" w:rsidR="00D0403E" w:rsidRPr="00183B5F" w:rsidRDefault="00943743" w:rsidP="004062FE">
            <w:pPr>
              <w:pStyle w:val="EndnoteText"/>
              <w:overflowPunct w:val="0"/>
              <w:autoSpaceDE w:val="0"/>
              <w:autoSpaceDN w:val="0"/>
              <w:adjustRightInd w:val="0"/>
              <w:textAlignment w:val="baseline"/>
              <w:rPr>
                <w:sz w:val="22"/>
                <w:lang w:val="hu-HU"/>
              </w:rPr>
            </w:pPr>
            <w:r w:rsidRPr="00183B5F">
              <w:rPr>
                <w:sz w:val="22"/>
                <w:lang w:val="hu-HU"/>
              </w:rPr>
              <w:tab/>
              <w:t>2. hét</w:t>
            </w:r>
          </w:p>
        </w:tc>
        <w:tc>
          <w:tcPr>
            <w:tcW w:w="2200" w:type="dxa"/>
            <w:tcBorders>
              <w:top w:val="single" w:sz="4" w:space="0" w:color="auto"/>
              <w:left w:val="single" w:sz="4" w:space="0" w:color="auto"/>
              <w:bottom w:val="single" w:sz="4" w:space="0" w:color="auto"/>
              <w:right w:val="single" w:sz="4" w:space="0" w:color="auto"/>
            </w:tcBorders>
          </w:tcPr>
          <w:p w14:paraId="21ADF3D7" w14:textId="77777777" w:rsidR="00D0403E" w:rsidRPr="00183B5F" w:rsidRDefault="00943743" w:rsidP="004062FE">
            <w:pPr>
              <w:tabs>
                <w:tab w:val="left" w:pos="562"/>
              </w:tabs>
              <w:suppressAutoHyphens w:val="0"/>
              <w:spacing w:line="240" w:lineRule="auto"/>
              <w:jc w:val="center"/>
            </w:pPr>
            <w:r w:rsidRPr="00183B5F">
              <w:t>16%</w:t>
            </w:r>
          </w:p>
        </w:tc>
        <w:tc>
          <w:tcPr>
            <w:tcW w:w="1980" w:type="dxa"/>
            <w:tcBorders>
              <w:top w:val="single" w:sz="4" w:space="0" w:color="auto"/>
              <w:left w:val="single" w:sz="4" w:space="0" w:color="auto"/>
              <w:bottom w:val="single" w:sz="4" w:space="0" w:color="auto"/>
            </w:tcBorders>
          </w:tcPr>
          <w:p w14:paraId="29703ECC" w14:textId="77777777" w:rsidR="00D0403E" w:rsidRPr="00183B5F" w:rsidRDefault="00943743" w:rsidP="004062FE">
            <w:pPr>
              <w:tabs>
                <w:tab w:val="left" w:pos="562"/>
              </w:tabs>
              <w:suppressAutoHyphens w:val="0"/>
              <w:spacing w:line="240" w:lineRule="auto"/>
              <w:jc w:val="center"/>
            </w:pPr>
            <w:r w:rsidRPr="00183B5F">
              <w:t>42%***</w:t>
            </w:r>
          </w:p>
        </w:tc>
      </w:tr>
      <w:tr w:rsidR="00011D2F" w14:paraId="6EC2CEB1" w14:textId="77777777" w:rsidTr="00D0403E">
        <w:trPr>
          <w:tblHeader/>
        </w:trPr>
        <w:tc>
          <w:tcPr>
            <w:tcW w:w="3300" w:type="dxa"/>
            <w:tcBorders>
              <w:top w:val="single" w:sz="4" w:space="0" w:color="auto"/>
              <w:bottom w:val="single" w:sz="4" w:space="0" w:color="auto"/>
              <w:right w:val="single" w:sz="4" w:space="0" w:color="auto"/>
            </w:tcBorders>
          </w:tcPr>
          <w:p w14:paraId="1144B10B" w14:textId="77777777" w:rsidR="00D0403E" w:rsidRPr="00183B5F" w:rsidRDefault="00943743" w:rsidP="004062FE">
            <w:pPr>
              <w:tabs>
                <w:tab w:val="left" w:pos="562"/>
              </w:tabs>
              <w:suppressAutoHyphens w:val="0"/>
              <w:overflowPunct w:val="0"/>
              <w:autoSpaceDE w:val="0"/>
              <w:autoSpaceDN w:val="0"/>
              <w:adjustRightInd w:val="0"/>
              <w:spacing w:line="240" w:lineRule="auto"/>
              <w:ind w:left="610" w:hanging="610"/>
              <w:textAlignment w:val="baseline"/>
            </w:pPr>
            <w:r w:rsidRPr="00183B5F">
              <w:tab/>
              <w:t>12. hét</w:t>
            </w:r>
          </w:p>
        </w:tc>
        <w:tc>
          <w:tcPr>
            <w:tcW w:w="2200" w:type="dxa"/>
            <w:tcBorders>
              <w:top w:val="single" w:sz="4" w:space="0" w:color="auto"/>
              <w:left w:val="single" w:sz="4" w:space="0" w:color="auto"/>
              <w:bottom w:val="single" w:sz="4" w:space="0" w:color="auto"/>
              <w:right w:val="single" w:sz="4" w:space="0" w:color="auto"/>
            </w:tcBorders>
          </w:tcPr>
          <w:p w14:paraId="1348B190" w14:textId="77777777" w:rsidR="00D0403E" w:rsidRPr="00183B5F" w:rsidRDefault="00943743" w:rsidP="004062FE">
            <w:pPr>
              <w:tabs>
                <w:tab w:val="left" w:pos="562"/>
              </w:tabs>
              <w:suppressAutoHyphens w:val="0"/>
              <w:spacing w:line="240" w:lineRule="auto"/>
              <w:jc w:val="center"/>
            </w:pPr>
            <w:r w:rsidRPr="00183B5F">
              <w:t>21%</w:t>
            </w:r>
          </w:p>
        </w:tc>
        <w:tc>
          <w:tcPr>
            <w:tcW w:w="1980" w:type="dxa"/>
            <w:tcBorders>
              <w:top w:val="single" w:sz="4" w:space="0" w:color="auto"/>
              <w:left w:val="single" w:sz="4" w:space="0" w:color="auto"/>
              <w:bottom w:val="single" w:sz="4" w:space="0" w:color="auto"/>
            </w:tcBorders>
          </w:tcPr>
          <w:p w14:paraId="66D0AE7D" w14:textId="77777777" w:rsidR="00D0403E" w:rsidRPr="00183B5F" w:rsidRDefault="00943743" w:rsidP="004062FE">
            <w:pPr>
              <w:tabs>
                <w:tab w:val="left" w:pos="562"/>
              </w:tabs>
              <w:suppressAutoHyphens w:val="0"/>
              <w:spacing w:line="240" w:lineRule="auto"/>
              <w:jc w:val="center"/>
            </w:pPr>
            <w:r w:rsidRPr="00183B5F">
              <w:t>58%***</w:t>
            </w:r>
          </w:p>
        </w:tc>
      </w:tr>
      <w:tr w:rsidR="00011D2F" w14:paraId="2609B0EC" w14:textId="77777777" w:rsidTr="00D0403E">
        <w:trPr>
          <w:tblHeader/>
        </w:trPr>
        <w:tc>
          <w:tcPr>
            <w:tcW w:w="3300" w:type="dxa"/>
            <w:tcBorders>
              <w:top w:val="single" w:sz="4" w:space="0" w:color="auto"/>
              <w:bottom w:val="single" w:sz="4" w:space="0" w:color="auto"/>
              <w:right w:val="single" w:sz="4" w:space="0" w:color="auto"/>
            </w:tcBorders>
          </w:tcPr>
          <w:p w14:paraId="428061F9" w14:textId="77777777" w:rsidR="00D0403E" w:rsidRPr="00183B5F" w:rsidRDefault="00943743" w:rsidP="004062FE">
            <w:pPr>
              <w:tabs>
                <w:tab w:val="left" w:pos="562"/>
              </w:tabs>
              <w:suppressAutoHyphens w:val="0"/>
              <w:spacing w:line="240" w:lineRule="auto"/>
            </w:pPr>
            <w:r w:rsidRPr="00183B5F">
              <w:tab/>
              <w:t>24. hét</w:t>
            </w:r>
          </w:p>
        </w:tc>
        <w:tc>
          <w:tcPr>
            <w:tcW w:w="2200" w:type="dxa"/>
            <w:tcBorders>
              <w:top w:val="single" w:sz="4" w:space="0" w:color="auto"/>
              <w:left w:val="single" w:sz="4" w:space="0" w:color="auto"/>
              <w:bottom w:val="single" w:sz="4" w:space="0" w:color="auto"/>
              <w:right w:val="single" w:sz="4" w:space="0" w:color="auto"/>
            </w:tcBorders>
          </w:tcPr>
          <w:p w14:paraId="523B6918" w14:textId="77777777" w:rsidR="00D0403E" w:rsidRPr="00183B5F" w:rsidRDefault="00943743" w:rsidP="004062FE">
            <w:pPr>
              <w:tabs>
                <w:tab w:val="left" w:pos="562"/>
              </w:tabs>
              <w:suppressAutoHyphens w:val="0"/>
              <w:spacing w:line="240" w:lineRule="auto"/>
              <w:jc w:val="center"/>
            </w:pPr>
            <w:r w:rsidRPr="00183B5F">
              <w:t>19%</w:t>
            </w:r>
          </w:p>
        </w:tc>
        <w:tc>
          <w:tcPr>
            <w:tcW w:w="1980" w:type="dxa"/>
            <w:tcBorders>
              <w:top w:val="single" w:sz="4" w:space="0" w:color="auto"/>
              <w:left w:val="single" w:sz="4" w:space="0" w:color="auto"/>
              <w:bottom w:val="single" w:sz="4" w:space="0" w:color="auto"/>
            </w:tcBorders>
          </w:tcPr>
          <w:p w14:paraId="4C3B9D2D" w14:textId="77777777" w:rsidR="00D0403E" w:rsidRPr="00183B5F" w:rsidRDefault="00943743" w:rsidP="004062FE">
            <w:pPr>
              <w:tabs>
                <w:tab w:val="left" w:pos="562"/>
              </w:tabs>
              <w:suppressAutoHyphens w:val="0"/>
              <w:spacing w:line="240" w:lineRule="auto"/>
              <w:jc w:val="center"/>
            </w:pPr>
            <w:r w:rsidRPr="00183B5F">
              <w:t>51%***</w:t>
            </w:r>
          </w:p>
        </w:tc>
      </w:tr>
      <w:tr w:rsidR="00011D2F" w14:paraId="3BFBE286" w14:textId="77777777" w:rsidTr="00D0403E">
        <w:trPr>
          <w:tblHeader/>
        </w:trPr>
        <w:tc>
          <w:tcPr>
            <w:tcW w:w="3300" w:type="dxa"/>
            <w:tcBorders>
              <w:top w:val="single" w:sz="4" w:space="0" w:color="auto"/>
              <w:bottom w:val="single" w:sz="4" w:space="0" w:color="auto"/>
              <w:right w:val="single" w:sz="4" w:space="0" w:color="auto"/>
            </w:tcBorders>
          </w:tcPr>
          <w:p w14:paraId="5CD524F3" w14:textId="77777777" w:rsidR="00D0403E" w:rsidRPr="00183B5F" w:rsidRDefault="00943743" w:rsidP="004062FE">
            <w:pPr>
              <w:tabs>
                <w:tab w:val="left" w:pos="562"/>
              </w:tabs>
              <w:suppressAutoHyphens w:val="0"/>
              <w:spacing w:line="240" w:lineRule="auto"/>
            </w:pPr>
            <w:r w:rsidRPr="00183B5F">
              <w:t>ASAS 50</w:t>
            </w:r>
          </w:p>
        </w:tc>
        <w:tc>
          <w:tcPr>
            <w:tcW w:w="2200" w:type="dxa"/>
            <w:tcBorders>
              <w:top w:val="single" w:sz="4" w:space="0" w:color="auto"/>
              <w:left w:val="single" w:sz="4" w:space="0" w:color="auto"/>
              <w:bottom w:val="single" w:sz="4" w:space="0" w:color="auto"/>
              <w:right w:val="single" w:sz="4" w:space="0" w:color="auto"/>
            </w:tcBorders>
          </w:tcPr>
          <w:p w14:paraId="77F76899" w14:textId="77777777" w:rsidR="00D0403E" w:rsidRPr="00183B5F" w:rsidRDefault="00D0403E" w:rsidP="004062FE">
            <w:pPr>
              <w:tabs>
                <w:tab w:val="left" w:pos="562"/>
              </w:tabs>
              <w:suppressAutoHyphens w:val="0"/>
              <w:spacing w:line="240" w:lineRule="auto"/>
              <w:jc w:val="center"/>
            </w:pPr>
          </w:p>
        </w:tc>
        <w:tc>
          <w:tcPr>
            <w:tcW w:w="1980" w:type="dxa"/>
            <w:tcBorders>
              <w:top w:val="single" w:sz="4" w:space="0" w:color="auto"/>
              <w:left w:val="single" w:sz="4" w:space="0" w:color="auto"/>
              <w:bottom w:val="single" w:sz="4" w:space="0" w:color="auto"/>
            </w:tcBorders>
          </w:tcPr>
          <w:p w14:paraId="6974AC1E" w14:textId="77777777" w:rsidR="00D0403E" w:rsidRPr="00183B5F" w:rsidRDefault="00D0403E" w:rsidP="004062FE">
            <w:pPr>
              <w:tabs>
                <w:tab w:val="left" w:pos="562"/>
              </w:tabs>
              <w:suppressAutoHyphens w:val="0"/>
              <w:spacing w:line="240" w:lineRule="auto"/>
              <w:jc w:val="center"/>
            </w:pPr>
          </w:p>
        </w:tc>
      </w:tr>
      <w:tr w:rsidR="00011D2F" w14:paraId="5D3FD3E4" w14:textId="77777777" w:rsidTr="00D0403E">
        <w:trPr>
          <w:tblHeader/>
        </w:trPr>
        <w:tc>
          <w:tcPr>
            <w:tcW w:w="3300" w:type="dxa"/>
            <w:tcBorders>
              <w:top w:val="single" w:sz="4" w:space="0" w:color="auto"/>
              <w:bottom w:val="single" w:sz="4" w:space="0" w:color="auto"/>
              <w:right w:val="single" w:sz="4" w:space="0" w:color="auto"/>
            </w:tcBorders>
          </w:tcPr>
          <w:p w14:paraId="492E1089" w14:textId="77777777" w:rsidR="00D0403E" w:rsidRPr="00183B5F" w:rsidRDefault="00943743" w:rsidP="004062FE">
            <w:pPr>
              <w:pStyle w:val="EndnoteText"/>
              <w:overflowPunct w:val="0"/>
              <w:autoSpaceDE w:val="0"/>
              <w:autoSpaceDN w:val="0"/>
              <w:adjustRightInd w:val="0"/>
              <w:textAlignment w:val="baseline"/>
              <w:rPr>
                <w:sz w:val="22"/>
                <w:lang w:val="hu-HU"/>
              </w:rPr>
            </w:pPr>
            <w:r w:rsidRPr="00183B5F">
              <w:rPr>
                <w:sz w:val="22"/>
                <w:lang w:val="hu-HU"/>
              </w:rPr>
              <w:tab/>
              <w:t>2. hét</w:t>
            </w:r>
          </w:p>
        </w:tc>
        <w:tc>
          <w:tcPr>
            <w:tcW w:w="2200" w:type="dxa"/>
            <w:tcBorders>
              <w:top w:val="single" w:sz="4" w:space="0" w:color="auto"/>
              <w:left w:val="single" w:sz="4" w:space="0" w:color="auto"/>
              <w:bottom w:val="single" w:sz="4" w:space="0" w:color="auto"/>
              <w:right w:val="single" w:sz="4" w:space="0" w:color="auto"/>
            </w:tcBorders>
          </w:tcPr>
          <w:p w14:paraId="073D3A27" w14:textId="77777777" w:rsidR="00D0403E" w:rsidRPr="00183B5F" w:rsidRDefault="00943743" w:rsidP="004062FE">
            <w:pPr>
              <w:tabs>
                <w:tab w:val="left" w:pos="562"/>
              </w:tabs>
              <w:suppressAutoHyphens w:val="0"/>
              <w:spacing w:line="240" w:lineRule="auto"/>
              <w:jc w:val="center"/>
            </w:pPr>
            <w:r w:rsidRPr="00183B5F">
              <w:t>3%</w:t>
            </w:r>
          </w:p>
        </w:tc>
        <w:tc>
          <w:tcPr>
            <w:tcW w:w="1980" w:type="dxa"/>
            <w:tcBorders>
              <w:top w:val="single" w:sz="4" w:space="0" w:color="auto"/>
              <w:left w:val="single" w:sz="4" w:space="0" w:color="auto"/>
              <w:bottom w:val="single" w:sz="4" w:space="0" w:color="auto"/>
            </w:tcBorders>
          </w:tcPr>
          <w:p w14:paraId="52ECB09A" w14:textId="77777777" w:rsidR="00D0403E" w:rsidRPr="00183B5F" w:rsidRDefault="00943743" w:rsidP="004062FE">
            <w:pPr>
              <w:tabs>
                <w:tab w:val="left" w:pos="562"/>
              </w:tabs>
              <w:suppressAutoHyphens w:val="0"/>
              <w:spacing w:line="240" w:lineRule="auto"/>
              <w:jc w:val="center"/>
            </w:pPr>
            <w:r w:rsidRPr="00183B5F">
              <w:t>16%***</w:t>
            </w:r>
          </w:p>
        </w:tc>
      </w:tr>
      <w:tr w:rsidR="00011D2F" w14:paraId="7E6811F5" w14:textId="77777777" w:rsidTr="00D0403E">
        <w:trPr>
          <w:tblHeader/>
        </w:trPr>
        <w:tc>
          <w:tcPr>
            <w:tcW w:w="3300" w:type="dxa"/>
            <w:tcBorders>
              <w:top w:val="single" w:sz="4" w:space="0" w:color="auto"/>
              <w:bottom w:val="single" w:sz="4" w:space="0" w:color="auto"/>
              <w:right w:val="single" w:sz="4" w:space="0" w:color="auto"/>
            </w:tcBorders>
          </w:tcPr>
          <w:p w14:paraId="74B0CAC2" w14:textId="77777777" w:rsidR="00D0403E" w:rsidRPr="00183B5F" w:rsidRDefault="00943743" w:rsidP="004062FE">
            <w:pPr>
              <w:tabs>
                <w:tab w:val="left" w:pos="562"/>
              </w:tabs>
              <w:suppressAutoHyphens w:val="0"/>
              <w:overflowPunct w:val="0"/>
              <w:autoSpaceDE w:val="0"/>
              <w:autoSpaceDN w:val="0"/>
              <w:adjustRightInd w:val="0"/>
              <w:spacing w:line="240" w:lineRule="auto"/>
              <w:ind w:left="610" w:hanging="610"/>
              <w:textAlignment w:val="baseline"/>
            </w:pPr>
            <w:r w:rsidRPr="00183B5F">
              <w:tab/>
              <w:t>12. hét</w:t>
            </w:r>
          </w:p>
        </w:tc>
        <w:tc>
          <w:tcPr>
            <w:tcW w:w="2200" w:type="dxa"/>
            <w:tcBorders>
              <w:top w:val="single" w:sz="4" w:space="0" w:color="auto"/>
              <w:left w:val="single" w:sz="4" w:space="0" w:color="auto"/>
              <w:bottom w:val="single" w:sz="4" w:space="0" w:color="auto"/>
              <w:right w:val="single" w:sz="4" w:space="0" w:color="auto"/>
            </w:tcBorders>
          </w:tcPr>
          <w:p w14:paraId="3D5F7B20" w14:textId="77777777" w:rsidR="00D0403E" w:rsidRPr="00183B5F" w:rsidRDefault="00943743" w:rsidP="004062FE">
            <w:pPr>
              <w:tabs>
                <w:tab w:val="left" w:pos="562"/>
              </w:tabs>
              <w:suppressAutoHyphens w:val="0"/>
              <w:spacing w:line="240" w:lineRule="auto"/>
              <w:jc w:val="center"/>
            </w:pPr>
            <w:r w:rsidRPr="00183B5F">
              <w:t>10%</w:t>
            </w:r>
          </w:p>
        </w:tc>
        <w:tc>
          <w:tcPr>
            <w:tcW w:w="1980" w:type="dxa"/>
            <w:tcBorders>
              <w:top w:val="single" w:sz="4" w:space="0" w:color="auto"/>
              <w:left w:val="single" w:sz="4" w:space="0" w:color="auto"/>
              <w:bottom w:val="single" w:sz="4" w:space="0" w:color="auto"/>
            </w:tcBorders>
          </w:tcPr>
          <w:p w14:paraId="13033DD7" w14:textId="77777777" w:rsidR="00D0403E" w:rsidRPr="00183B5F" w:rsidRDefault="00943743" w:rsidP="004062FE">
            <w:pPr>
              <w:tabs>
                <w:tab w:val="left" w:pos="562"/>
              </w:tabs>
              <w:suppressAutoHyphens w:val="0"/>
              <w:spacing w:line="240" w:lineRule="auto"/>
              <w:jc w:val="center"/>
            </w:pPr>
            <w:r w:rsidRPr="00183B5F">
              <w:t>38%***</w:t>
            </w:r>
          </w:p>
        </w:tc>
      </w:tr>
      <w:tr w:rsidR="00011D2F" w14:paraId="0F00E731" w14:textId="77777777" w:rsidTr="00D0403E">
        <w:trPr>
          <w:tblHeader/>
        </w:trPr>
        <w:tc>
          <w:tcPr>
            <w:tcW w:w="3300" w:type="dxa"/>
            <w:tcBorders>
              <w:top w:val="single" w:sz="4" w:space="0" w:color="auto"/>
              <w:bottom w:val="single" w:sz="4" w:space="0" w:color="auto"/>
              <w:right w:val="single" w:sz="4" w:space="0" w:color="auto"/>
            </w:tcBorders>
          </w:tcPr>
          <w:p w14:paraId="7985CE53" w14:textId="77777777" w:rsidR="00D0403E" w:rsidRPr="00183B5F" w:rsidRDefault="00943743" w:rsidP="004062FE">
            <w:pPr>
              <w:tabs>
                <w:tab w:val="left" w:pos="562"/>
              </w:tabs>
              <w:suppressAutoHyphens w:val="0"/>
              <w:spacing w:line="240" w:lineRule="auto"/>
            </w:pPr>
            <w:r w:rsidRPr="00183B5F">
              <w:tab/>
              <w:t>24. hét</w:t>
            </w:r>
          </w:p>
        </w:tc>
        <w:tc>
          <w:tcPr>
            <w:tcW w:w="2200" w:type="dxa"/>
            <w:tcBorders>
              <w:top w:val="single" w:sz="4" w:space="0" w:color="auto"/>
              <w:left w:val="single" w:sz="4" w:space="0" w:color="auto"/>
              <w:bottom w:val="single" w:sz="4" w:space="0" w:color="auto"/>
              <w:right w:val="single" w:sz="4" w:space="0" w:color="auto"/>
            </w:tcBorders>
          </w:tcPr>
          <w:p w14:paraId="1D493CC4" w14:textId="77777777" w:rsidR="00D0403E" w:rsidRPr="00183B5F" w:rsidRDefault="00943743" w:rsidP="004062FE">
            <w:pPr>
              <w:tabs>
                <w:tab w:val="left" w:pos="562"/>
              </w:tabs>
              <w:suppressAutoHyphens w:val="0"/>
              <w:spacing w:line="240" w:lineRule="auto"/>
              <w:jc w:val="center"/>
            </w:pPr>
            <w:r w:rsidRPr="00183B5F">
              <w:t>11%</w:t>
            </w:r>
          </w:p>
        </w:tc>
        <w:tc>
          <w:tcPr>
            <w:tcW w:w="1980" w:type="dxa"/>
            <w:tcBorders>
              <w:top w:val="single" w:sz="4" w:space="0" w:color="auto"/>
              <w:left w:val="single" w:sz="4" w:space="0" w:color="auto"/>
              <w:bottom w:val="single" w:sz="4" w:space="0" w:color="auto"/>
            </w:tcBorders>
          </w:tcPr>
          <w:p w14:paraId="1DACF35D" w14:textId="77777777" w:rsidR="00D0403E" w:rsidRPr="00183B5F" w:rsidRDefault="00943743" w:rsidP="004062FE">
            <w:pPr>
              <w:tabs>
                <w:tab w:val="left" w:pos="562"/>
              </w:tabs>
              <w:suppressAutoHyphens w:val="0"/>
              <w:spacing w:line="240" w:lineRule="auto"/>
              <w:jc w:val="center"/>
            </w:pPr>
            <w:r w:rsidRPr="00183B5F">
              <w:t>35%***</w:t>
            </w:r>
          </w:p>
        </w:tc>
      </w:tr>
      <w:tr w:rsidR="00011D2F" w14:paraId="60720644" w14:textId="77777777" w:rsidTr="00D0403E">
        <w:trPr>
          <w:tblHeader/>
        </w:trPr>
        <w:tc>
          <w:tcPr>
            <w:tcW w:w="3300" w:type="dxa"/>
            <w:tcBorders>
              <w:top w:val="single" w:sz="4" w:space="0" w:color="auto"/>
              <w:bottom w:val="single" w:sz="4" w:space="0" w:color="auto"/>
              <w:right w:val="single" w:sz="4" w:space="0" w:color="auto"/>
            </w:tcBorders>
          </w:tcPr>
          <w:p w14:paraId="30B20351" w14:textId="77777777" w:rsidR="00D0403E" w:rsidRPr="00183B5F" w:rsidRDefault="00943743" w:rsidP="004062FE">
            <w:pPr>
              <w:tabs>
                <w:tab w:val="left" w:pos="562"/>
              </w:tabs>
              <w:suppressAutoHyphens w:val="0"/>
              <w:spacing w:line="240" w:lineRule="auto"/>
            </w:pPr>
            <w:r w:rsidRPr="00183B5F">
              <w:t>ASAS 70</w:t>
            </w:r>
          </w:p>
        </w:tc>
        <w:tc>
          <w:tcPr>
            <w:tcW w:w="2200" w:type="dxa"/>
            <w:tcBorders>
              <w:top w:val="single" w:sz="4" w:space="0" w:color="auto"/>
              <w:left w:val="single" w:sz="4" w:space="0" w:color="auto"/>
              <w:bottom w:val="single" w:sz="4" w:space="0" w:color="auto"/>
              <w:right w:val="single" w:sz="4" w:space="0" w:color="auto"/>
            </w:tcBorders>
          </w:tcPr>
          <w:p w14:paraId="3835FCF7" w14:textId="77777777" w:rsidR="00D0403E" w:rsidRPr="00183B5F" w:rsidRDefault="00D0403E" w:rsidP="004062FE">
            <w:pPr>
              <w:tabs>
                <w:tab w:val="left" w:pos="562"/>
              </w:tabs>
              <w:suppressAutoHyphens w:val="0"/>
              <w:spacing w:line="240" w:lineRule="auto"/>
              <w:jc w:val="center"/>
            </w:pPr>
          </w:p>
        </w:tc>
        <w:tc>
          <w:tcPr>
            <w:tcW w:w="1980" w:type="dxa"/>
            <w:tcBorders>
              <w:top w:val="single" w:sz="4" w:space="0" w:color="auto"/>
              <w:left w:val="single" w:sz="4" w:space="0" w:color="auto"/>
              <w:bottom w:val="single" w:sz="4" w:space="0" w:color="auto"/>
            </w:tcBorders>
          </w:tcPr>
          <w:p w14:paraId="0A364E99" w14:textId="77777777" w:rsidR="00D0403E" w:rsidRPr="00183B5F" w:rsidRDefault="00D0403E" w:rsidP="004062FE">
            <w:pPr>
              <w:tabs>
                <w:tab w:val="left" w:pos="562"/>
              </w:tabs>
              <w:suppressAutoHyphens w:val="0"/>
              <w:spacing w:line="240" w:lineRule="auto"/>
              <w:jc w:val="center"/>
            </w:pPr>
          </w:p>
        </w:tc>
      </w:tr>
      <w:tr w:rsidR="00011D2F" w14:paraId="4AB0D2DA" w14:textId="77777777" w:rsidTr="00D0403E">
        <w:trPr>
          <w:tblHeader/>
        </w:trPr>
        <w:tc>
          <w:tcPr>
            <w:tcW w:w="3300" w:type="dxa"/>
            <w:tcBorders>
              <w:top w:val="single" w:sz="4" w:space="0" w:color="auto"/>
              <w:bottom w:val="single" w:sz="4" w:space="0" w:color="auto"/>
              <w:right w:val="single" w:sz="4" w:space="0" w:color="auto"/>
            </w:tcBorders>
          </w:tcPr>
          <w:p w14:paraId="116751DF" w14:textId="77777777" w:rsidR="00D0403E" w:rsidRPr="00183B5F" w:rsidRDefault="00943743" w:rsidP="004062FE">
            <w:pPr>
              <w:pStyle w:val="EndnoteText"/>
              <w:overflowPunct w:val="0"/>
              <w:autoSpaceDE w:val="0"/>
              <w:autoSpaceDN w:val="0"/>
              <w:adjustRightInd w:val="0"/>
              <w:textAlignment w:val="baseline"/>
              <w:rPr>
                <w:sz w:val="22"/>
                <w:lang w:val="hu-HU"/>
              </w:rPr>
            </w:pPr>
            <w:r w:rsidRPr="00183B5F">
              <w:rPr>
                <w:sz w:val="22"/>
                <w:lang w:val="hu-HU"/>
              </w:rPr>
              <w:tab/>
              <w:t>2. hét</w:t>
            </w:r>
          </w:p>
        </w:tc>
        <w:tc>
          <w:tcPr>
            <w:tcW w:w="2200" w:type="dxa"/>
            <w:tcBorders>
              <w:top w:val="single" w:sz="4" w:space="0" w:color="auto"/>
              <w:left w:val="single" w:sz="4" w:space="0" w:color="auto"/>
              <w:bottom w:val="single" w:sz="4" w:space="0" w:color="auto"/>
              <w:right w:val="single" w:sz="4" w:space="0" w:color="auto"/>
            </w:tcBorders>
          </w:tcPr>
          <w:p w14:paraId="43BC9275" w14:textId="77777777" w:rsidR="00D0403E" w:rsidRPr="00183B5F" w:rsidRDefault="00943743" w:rsidP="004062FE">
            <w:pPr>
              <w:tabs>
                <w:tab w:val="left" w:pos="562"/>
              </w:tabs>
              <w:suppressAutoHyphens w:val="0"/>
              <w:spacing w:line="240" w:lineRule="auto"/>
              <w:jc w:val="center"/>
            </w:pPr>
            <w:r w:rsidRPr="00183B5F">
              <w:t>0%</w:t>
            </w:r>
          </w:p>
        </w:tc>
        <w:tc>
          <w:tcPr>
            <w:tcW w:w="1980" w:type="dxa"/>
            <w:tcBorders>
              <w:top w:val="single" w:sz="4" w:space="0" w:color="auto"/>
              <w:left w:val="single" w:sz="4" w:space="0" w:color="auto"/>
              <w:bottom w:val="single" w:sz="4" w:space="0" w:color="auto"/>
            </w:tcBorders>
          </w:tcPr>
          <w:p w14:paraId="344B600E" w14:textId="77777777" w:rsidR="00D0403E" w:rsidRPr="00183B5F" w:rsidRDefault="00943743" w:rsidP="004062FE">
            <w:pPr>
              <w:tabs>
                <w:tab w:val="left" w:pos="562"/>
              </w:tabs>
              <w:suppressAutoHyphens w:val="0"/>
              <w:spacing w:line="240" w:lineRule="auto"/>
              <w:jc w:val="center"/>
            </w:pPr>
            <w:r w:rsidRPr="00183B5F">
              <w:t>7%**</w:t>
            </w:r>
          </w:p>
        </w:tc>
      </w:tr>
      <w:tr w:rsidR="00011D2F" w14:paraId="450D05D1" w14:textId="77777777" w:rsidTr="00D0403E">
        <w:trPr>
          <w:tblHeader/>
        </w:trPr>
        <w:tc>
          <w:tcPr>
            <w:tcW w:w="3300" w:type="dxa"/>
            <w:tcBorders>
              <w:top w:val="single" w:sz="4" w:space="0" w:color="auto"/>
              <w:bottom w:val="single" w:sz="4" w:space="0" w:color="auto"/>
              <w:right w:val="single" w:sz="4" w:space="0" w:color="auto"/>
            </w:tcBorders>
          </w:tcPr>
          <w:p w14:paraId="7C95BFE5" w14:textId="77777777" w:rsidR="00D0403E" w:rsidRPr="00183B5F" w:rsidRDefault="00943743" w:rsidP="004062FE">
            <w:pPr>
              <w:tabs>
                <w:tab w:val="left" w:pos="562"/>
              </w:tabs>
              <w:suppressAutoHyphens w:val="0"/>
              <w:overflowPunct w:val="0"/>
              <w:autoSpaceDE w:val="0"/>
              <w:autoSpaceDN w:val="0"/>
              <w:adjustRightInd w:val="0"/>
              <w:spacing w:line="240" w:lineRule="auto"/>
              <w:ind w:left="610" w:hanging="610"/>
              <w:textAlignment w:val="baseline"/>
            </w:pPr>
            <w:r w:rsidRPr="00183B5F">
              <w:tab/>
              <w:t>12. hét</w:t>
            </w:r>
          </w:p>
        </w:tc>
        <w:tc>
          <w:tcPr>
            <w:tcW w:w="2200" w:type="dxa"/>
            <w:tcBorders>
              <w:top w:val="single" w:sz="4" w:space="0" w:color="auto"/>
              <w:left w:val="single" w:sz="4" w:space="0" w:color="auto"/>
              <w:bottom w:val="single" w:sz="4" w:space="0" w:color="auto"/>
              <w:right w:val="single" w:sz="4" w:space="0" w:color="auto"/>
            </w:tcBorders>
          </w:tcPr>
          <w:p w14:paraId="17EFB811" w14:textId="77777777" w:rsidR="00D0403E" w:rsidRPr="00183B5F" w:rsidRDefault="00943743" w:rsidP="004062FE">
            <w:pPr>
              <w:tabs>
                <w:tab w:val="left" w:pos="562"/>
              </w:tabs>
              <w:suppressAutoHyphens w:val="0"/>
              <w:spacing w:line="240" w:lineRule="auto"/>
              <w:jc w:val="center"/>
            </w:pPr>
            <w:r w:rsidRPr="00183B5F">
              <w:t>5%</w:t>
            </w:r>
          </w:p>
        </w:tc>
        <w:tc>
          <w:tcPr>
            <w:tcW w:w="1980" w:type="dxa"/>
            <w:tcBorders>
              <w:top w:val="single" w:sz="4" w:space="0" w:color="auto"/>
              <w:left w:val="single" w:sz="4" w:space="0" w:color="auto"/>
              <w:bottom w:val="single" w:sz="4" w:space="0" w:color="auto"/>
            </w:tcBorders>
          </w:tcPr>
          <w:p w14:paraId="62753206" w14:textId="77777777" w:rsidR="00D0403E" w:rsidRPr="00183B5F" w:rsidRDefault="00943743" w:rsidP="004062FE">
            <w:pPr>
              <w:tabs>
                <w:tab w:val="left" w:pos="562"/>
              </w:tabs>
              <w:suppressAutoHyphens w:val="0"/>
              <w:spacing w:line="240" w:lineRule="auto"/>
              <w:jc w:val="center"/>
            </w:pPr>
            <w:r w:rsidRPr="00183B5F">
              <w:t>23%***</w:t>
            </w:r>
          </w:p>
        </w:tc>
      </w:tr>
      <w:tr w:rsidR="00011D2F" w14:paraId="083F7DAE" w14:textId="77777777" w:rsidTr="00D0403E">
        <w:trPr>
          <w:tblHeader/>
        </w:trPr>
        <w:tc>
          <w:tcPr>
            <w:tcW w:w="3300" w:type="dxa"/>
            <w:tcBorders>
              <w:top w:val="single" w:sz="4" w:space="0" w:color="auto"/>
              <w:bottom w:val="single" w:sz="4" w:space="0" w:color="auto"/>
              <w:right w:val="single" w:sz="4" w:space="0" w:color="auto"/>
            </w:tcBorders>
          </w:tcPr>
          <w:p w14:paraId="1FA50383" w14:textId="77777777" w:rsidR="00D0403E" w:rsidRPr="00183B5F" w:rsidRDefault="00943743" w:rsidP="004062FE">
            <w:pPr>
              <w:tabs>
                <w:tab w:val="left" w:pos="562"/>
              </w:tabs>
              <w:suppressAutoHyphens w:val="0"/>
              <w:spacing w:line="240" w:lineRule="auto"/>
            </w:pPr>
            <w:r w:rsidRPr="00183B5F">
              <w:tab/>
              <w:t>24. hét</w:t>
            </w:r>
          </w:p>
        </w:tc>
        <w:tc>
          <w:tcPr>
            <w:tcW w:w="2200" w:type="dxa"/>
            <w:tcBorders>
              <w:top w:val="single" w:sz="4" w:space="0" w:color="auto"/>
              <w:left w:val="single" w:sz="4" w:space="0" w:color="auto"/>
              <w:bottom w:val="single" w:sz="4" w:space="0" w:color="auto"/>
              <w:right w:val="single" w:sz="4" w:space="0" w:color="auto"/>
            </w:tcBorders>
          </w:tcPr>
          <w:p w14:paraId="1884713D" w14:textId="77777777" w:rsidR="00D0403E" w:rsidRPr="00183B5F" w:rsidRDefault="00943743" w:rsidP="004062FE">
            <w:pPr>
              <w:tabs>
                <w:tab w:val="left" w:pos="562"/>
              </w:tabs>
              <w:suppressAutoHyphens w:val="0"/>
              <w:spacing w:line="240" w:lineRule="auto"/>
              <w:jc w:val="center"/>
            </w:pPr>
            <w:r w:rsidRPr="00183B5F">
              <w:t>8%</w:t>
            </w:r>
          </w:p>
        </w:tc>
        <w:tc>
          <w:tcPr>
            <w:tcW w:w="1980" w:type="dxa"/>
            <w:tcBorders>
              <w:top w:val="single" w:sz="4" w:space="0" w:color="auto"/>
              <w:left w:val="single" w:sz="4" w:space="0" w:color="auto"/>
              <w:bottom w:val="single" w:sz="4" w:space="0" w:color="auto"/>
            </w:tcBorders>
          </w:tcPr>
          <w:p w14:paraId="2BF8F0ED" w14:textId="77777777" w:rsidR="00D0403E" w:rsidRPr="00183B5F" w:rsidRDefault="00943743" w:rsidP="004062FE">
            <w:pPr>
              <w:tabs>
                <w:tab w:val="left" w:pos="562"/>
              </w:tabs>
              <w:suppressAutoHyphens w:val="0"/>
              <w:spacing w:line="240" w:lineRule="auto"/>
              <w:jc w:val="center"/>
            </w:pPr>
            <w:r w:rsidRPr="00183B5F">
              <w:t>24%***</w:t>
            </w:r>
          </w:p>
        </w:tc>
      </w:tr>
      <w:tr w:rsidR="00011D2F" w14:paraId="05FC3091" w14:textId="77777777" w:rsidTr="00D0403E">
        <w:trPr>
          <w:tblHeader/>
        </w:trPr>
        <w:tc>
          <w:tcPr>
            <w:tcW w:w="3300" w:type="dxa"/>
            <w:tcBorders>
              <w:top w:val="single" w:sz="4" w:space="0" w:color="auto"/>
              <w:bottom w:val="single" w:sz="4" w:space="0" w:color="auto"/>
              <w:right w:val="single" w:sz="4" w:space="0" w:color="auto"/>
            </w:tcBorders>
          </w:tcPr>
          <w:p w14:paraId="06C53DED" w14:textId="77777777" w:rsidR="00D0403E" w:rsidRPr="00183B5F" w:rsidRDefault="00D0403E" w:rsidP="004062FE">
            <w:pPr>
              <w:tabs>
                <w:tab w:val="left" w:pos="562"/>
              </w:tabs>
              <w:suppressAutoHyphens w:val="0"/>
              <w:spacing w:line="240" w:lineRule="auto"/>
            </w:pPr>
          </w:p>
        </w:tc>
        <w:tc>
          <w:tcPr>
            <w:tcW w:w="2200" w:type="dxa"/>
            <w:tcBorders>
              <w:top w:val="single" w:sz="4" w:space="0" w:color="auto"/>
              <w:left w:val="single" w:sz="4" w:space="0" w:color="auto"/>
              <w:bottom w:val="single" w:sz="4" w:space="0" w:color="auto"/>
              <w:right w:val="single" w:sz="4" w:space="0" w:color="auto"/>
            </w:tcBorders>
          </w:tcPr>
          <w:p w14:paraId="57E56C09" w14:textId="77777777" w:rsidR="00D0403E" w:rsidRPr="00183B5F" w:rsidRDefault="00D0403E" w:rsidP="004062FE">
            <w:pPr>
              <w:tabs>
                <w:tab w:val="left" w:pos="562"/>
              </w:tabs>
              <w:suppressAutoHyphens w:val="0"/>
              <w:spacing w:line="240" w:lineRule="auto"/>
              <w:jc w:val="center"/>
            </w:pPr>
          </w:p>
        </w:tc>
        <w:tc>
          <w:tcPr>
            <w:tcW w:w="1980" w:type="dxa"/>
            <w:tcBorders>
              <w:top w:val="single" w:sz="4" w:space="0" w:color="auto"/>
              <w:left w:val="single" w:sz="4" w:space="0" w:color="auto"/>
              <w:bottom w:val="single" w:sz="4" w:space="0" w:color="auto"/>
            </w:tcBorders>
          </w:tcPr>
          <w:p w14:paraId="176E854A" w14:textId="77777777" w:rsidR="00D0403E" w:rsidRPr="00183B5F" w:rsidRDefault="00D0403E" w:rsidP="004062FE">
            <w:pPr>
              <w:tabs>
                <w:tab w:val="left" w:pos="562"/>
              </w:tabs>
              <w:suppressAutoHyphens w:val="0"/>
              <w:spacing w:line="240" w:lineRule="auto"/>
              <w:jc w:val="center"/>
            </w:pPr>
          </w:p>
        </w:tc>
      </w:tr>
      <w:tr w:rsidR="00011D2F" w14:paraId="7F76BE3B" w14:textId="77777777" w:rsidTr="00D0403E">
        <w:trPr>
          <w:tblHeader/>
        </w:trPr>
        <w:tc>
          <w:tcPr>
            <w:tcW w:w="3300" w:type="dxa"/>
            <w:tcBorders>
              <w:top w:val="single" w:sz="4" w:space="0" w:color="auto"/>
              <w:bottom w:val="single" w:sz="4" w:space="0" w:color="auto"/>
              <w:right w:val="single" w:sz="4" w:space="0" w:color="auto"/>
            </w:tcBorders>
          </w:tcPr>
          <w:p w14:paraId="36DFE57F" w14:textId="77777777" w:rsidR="00D0403E" w:rsidRPr="00183B5F" w:rsidRDefault="00943743" w:rsidP="004062FE">
            <w:pPr>
              <w:tabs>
                <w:tab w:val="left" w:pos="562"/>
              </w:tabs>
              <w:suppressAutoHyphens w:val="0"/>
              <w:spacing w:line="240" w:lineRule="auto"/>
            </w:pPr>
            <w:r w:rsidRPr="00183B5F">
              <w:t>BASDAI</w:t>
            </w:r>
            <w:r w:rsidRPr="00183B5F">
              <w:rPr>
                <w:vertAlign w:val="superscript"/>
              </w:rPr>
              <w:t>b</w:t>
            </w:r>
            <w:r w:rsidRPr="00183B5F">
              <w:t xml:space="preserve"> 50 </w:t>
            </w:r>
          </w:p>
        </w:tc>
        <w:tc>
          <w:tcPr>
            <w:tcW w:w="2200" w:type="dxa"/>
            <w:tcBorders>
              <w:top w:val="single" w:sz="4" w:space="0" w:color="auto"/>
              <w:left w:val="single" w:sz="4" w:space="0" w:color="auto"/>
              <w:bottom w:val="single" w:sz="4" w:space="0" w:color="auto"/>
              <w:right w:val="single" w:sz="4" w:space="0" w:color="auto"/>
            </w:tcBorders>
          </w:tcPr>
          <w:p w14:paraId="4674032A" w14:textId="77777777" w:rsidR="00D0403E" w:rsidRPr="00183B5F" w:rsidRDefault="00D0403E" w:rsidP="004062FE">
            <w:pPr>
              <w:tabs>
                <w:tab w:val="left" w:pos="562"/>
              </w:tabs>
              <w:suppressAutoHyphens w:val="0"/>
              <w:spacing w:line="240" w:lineRule="auto"/>
              <w:jc w:val="center"/>
            </w:pPr>
          </w:p>
        </w:tc>
        <w:tc>
          <w:tcPr>
            <w:tcW w:w="1980" w:type="dxa"/>
            <w:tcBorders>
              <w:top w:val="single" w:sz="4" w:space="0" w:color="auto"/>
              <w:left w:val="single" w:sz="4" w:space="0" w:color="auto"/>
              <w:bottom w:val="single" w:sz="4" w:space="0" w:color="auto"/>
            </w:tcBorders>
          </w:tcPr>
          <w:p w14:paraId="6BAA4DC7" w14:textId="77777777" w:rsidR="00D0403E" w:rsidRPr="00183B5F" w:rsidRDefault="00D0403E" w:rsidP="004062FE">
            <w:pPr>
              <w:tabs>
                <w:tab w:val="left" w:pos="562"/>
              </w:tabs>
              <w:suppressAutoHyphens w:val="0"/>
              <w:spacing w:line="240" w:lineRule="auto"/>
              <w:jc w:val="center"/>
            </w:pPr>
          </w:p>
        </w:tc>
      </w:tr>
      <w:tr w:rsidR="00011D2F" w14:paraId="733AAC5D" w14:textId="77777777" w:rsidTr="00D0403E">
        <w:trPr>
          <w:tblHeader/>
        </w:trPr>
        <w:tc>
          <w:tcPr>
            <w:tcW w:w="3300" w:type="dxa"/>
            <w:tcBorders>
              <w:top w:val="single" w:sz="4" w:space="0" w:color="auto"/>
              <w:bottom w:val="single" w:sz="4" w:space="0" w:color="auto"/>
              <w:right w:val="single" w:sz="4" w:space="0" w:color="auto"/>
            </w:tcBorders>
          </w:tcPr>
          <w:p w14:paraId="096CCFDA" w14:textId="77777777" w:rsidR="00D0403E" w:rsidRPr="00183B5F" w:rsidRDefault="00943743" w:rsidP="004062FE">
            <w:pPr>
              <w:pStyle w:val="EndnoteText"/>
              <w:overflowPunct w:val="0"/>
              <w:autoSpaceDE w:val="0"/>
              <w:autoSpaceDN w:val="0"/>
              <w:adjustRightInd w:val="0"/>
              <w:textAlignment w:val="baseline"/>
              <w:rPr>
                <w:sz w:val="22"/>
                <w:lang w:val="hu-HU"/>
              </w:rPr>
            </w:pPr>
            <w:r w:rsidRPr="00183B5F">
              <w:rPr>
                <w:sz w:val="22"/>
                <w:lang w:val="hu-HU"/>
              </w:rPr>
              <w:tab/>
              <w:t>2. hét</w:t>
            </w:r>
          </w:p>
        </w:tc>
        <w:tc>
          <w:tcPr>
            <w:tcW w:w="2200" w:type="dxa"/>
            <w:tcBorders>
              <w:top w:val="single" w:sz="4" w:space="0" w:color="auto"/>
              <w:left w:val="single" w:sz="4" w:space="0" w:color="auto"/>
              <w:bottom w:val="single" w:sz="4" w:space="0" w:color="auto"/>
              <w:right w:val="single" w:sz="4" w:space="0" w:color="auto"/>
            </w:tcBorders>
          </w:tcPr>
          <w:p w14:paraId="2E6E9FC2" w14:textId="77777777" w:rsidR="00D0403E" w:rsidRPr="00183B5F" w:rsidRDefault="00943743" w:rsidP="004062FE">
            <w:pPr>
              <w:tabs>
                <w:tab w:val="left" w:pos="562"/>
              </w:tabs>
              <w:suppressAutoHyphens w:val="0"/>
              <w:spacing w:line="240" w:lineRule="auto"/>
              <w:jc w:val="center"/>
            </w:pPr>
            <w:r w:rsidRPr="00183B5F">
              <w:t>4%</w:t>
            </w:r>
          </w:p>
        </w:tc>
        <w:tc>
          <w:tcPr>
            <w:tcW w:w="1980" w:type="dxa"/>
            <w:tcBorders>
              <w:top w:val="single" w:sz="4" w:space="0" w:color="auto"/>
              <w:left w:val="single" w:sz="4" w:space="0" w:color="auto"/>
              <w:bottom w:val="single" w:sz="4" w:space="0" w:color="auto"/>
            </w:tcBorders>
          </w:tcPr>
          <w:p w14:paraId="64F3ACD7" w14:textId="77777777" w:rsidR="00D0403E" w:rsidRPr="00183B5F" w:rsidRDefault="00943743" w:rsidP="004062FE">
            <w:pPr>
              <w:tabs>
                <w:tab w:val="left" w:pos="562"/>
              </w:tabs>
              <w:suppressAutoHyphens w:val="0"/>
              <w:spacing w:line="240" w:lineRule="auto"/>
              <w:jc w:val="center"/>
            </w:pPr>
            <w:r w:rsidRPr="00183B5F">
              <w:t>20%***</w:t>
            </w:r>
          </w:p>
        </w:tc>
      </w:tr>
      <w:tr w:rsidR="00011D2F" w14:paraId="2C941F15" w14:textId="77777777" w:rsidTr="00D0403E">
        <w:trPr>
          <w:tblHeader/>
        </w:trPr>
        <w:tc>
          <w:tcPr>
            <w:tcW w:w="3300" w:type="dxa"/>
            <w:tcBorders>
              <w:top w:val="single" w:sz="4" w:space="0" w:color="auto"/>
              <w:bottom w:val="single" w:sz="4" w:space="0" w:color="auto"/>
              <w:right w:val="single" w:sz="4" w:space="0" w:color="auto"/>
            </w:tcBorders>
          </w:tcPr>
          <w:p w14:paraId="2CF35A15" w14:textId="77777777" w:rsidR="00D0403E" w:rsidRPr="00183B5F" w:rsidRDefault="00943743" w:rsidP="004062FE">
            <w:pPr>
              <w:tabs>
                <w:tab w:val="left" w:pos="562"/>
              </w:tabs>
              <w:suppressAutoHyphens w:val="0"/>
              <w:overflowPunct w:val="0"/>
              <w:autoSpaceDE w:val="0"/>
              <w:autoSpaceDN w:val="0"/>
              <w:adjustRightInd w:val="0"/>
              <w:spacing w:line="240" w:lineRule="auto"/>
              <w:ind w:left="610" w:hanging="610"/>
              <w:textAlignment w:val="baseline"/>
            </w:pPr>
            <w:r w:rsidRPr="00183B5F">
              <w:tab/>
              <w:t>12. hét</w:t>
            </w:r>
          </w:p>
        </w:tc>
        <w:tc>
          <w:tcPr>
            <w:tcW w:w="2200" w:type="dxa"/>
            <w:tcBorders>
              <w:top w:val="single" w:sz="4" w:space="0" w:color="auto"/>
              <w:left w:val="single" w:sz="4" w:space="0" w:color="auto"/>
              <w:bottom w:val="single" w:sz="4" w:space="0" w:color="auto"/>
              <w:right w:val="single" w:sz="4" w:space="0" w:color="auto"/>
            </w:tcBorders>
          </w:tcPr>
          <w:p w14:paraId="0ED3997F" w14:textId="77777777" w:rsidR="00D0403E" w:rsidRPr="00183B5F" w:rsidRDefault="00943743" w:rsidP="004062FE">
            <w:pPr>
              <w:tabs>
                <w:tab w:val="left" w:pos="562"/>
              </w:tabs>
              <w:suppressAutoHyphens w:val="0"/>
              <w:spacing w:line="240" w:lineRule="auto"/>
              <w:jc w:val="center"/>
            </w:pPr>
            <w:r w:rsidRPr="00183B5F">
              <w:t>16%</w:t>
            </w:r>
          </w:p>
        </w:tc>
        <w:tc>
          <w:tcPr>
            <w:tcW w:w="1980" w:type="dxa"/>
            <w:tcBorders>
              <w:top w:val="single" w:sz="4" w:space="0" w:color="auto"/>
              <w:left w:val="single" w:sz="4" w:space="0" w:color="auto"/>
              <w:bottom w:val="single" w:sz="4" w:space="0" w:color="auto"/>
            </w:tcBorders>
          </w:tcPr>
          <w:p w14:paraId="66B443A6" w14:textId="77777777" w:rsidR="00D0403E" w:rsidRPr="00183B5F" w:rsidRDefault="00943743" w:rsidP="004062FE">
            <w:pPr>
              <w:tabs>
                <w:tab w:val="left" w:pos="562"/>
              </w:tabs>
              <w:suppressAutoHyphens w:val="0"/>
              <w:spacing w:line="240" w:lineRule="auto"/>
              <w:jc w:val="center"/>
            </w:pPr>
            <w:r w:rsidRPr="00183B5F">
              <w:t>45%***</w:t>
            </w:r>
          </w:p>
        </w:tc>
      </w:tr>
      <w:tr w:rsidR="00011D2F" w14:paraId="1818AB8A" w14:textId="77777777" w:rsidTr="00D0403E">
        <w:trPr>
          <w:tblHeader/>
        </w:trPr>
        <w:tc>
          <w:tcPr>
            <w:tcW w:w="3300" w:type="dxa"/>
            <w:tcBorders>
              <w:top w:val="single" w:sz="4" w:space="0" w:color="auto"/>
              <w:bottom w:val="single" w:sz="4" w:space="0" w:color="auto"/>
              <w:right w:val="single" w:sz="4" w:space="0" w:color="auto"/>
            </w:tcBorders>
          </w:tcPr>
          <w:p w14:paraId="4979320F" w14:textId="77777777" w:rsidR="00D0403E" w:rsidRPr="00183B5F" w:rsidRDefault="00943743" w:rsidP="004062FE">
            <w:pPr>
              <w:tabs>
                <w:tab w:val="left" w:pos="562"/>
              </w:tabs>
              <w:suppressAutoHyphens w:val="0"/>
              <w:spacing w:line="240" w:lineRule="auto"/>
            </w:pPr>
            <w:r w:rsidRPr="00183B5F">
              <w:tab/>
            </w:r>
            <w:r w:rsidRPr="00183B5F">
              <w:t>24. hét</w:t>
            </w:r>
          </w:p>
        </w:tc>
        <w:tc>
          <w:tcPr>
            <w:tcW w:w="2200" w:type="dxa"/>
            <w:tcBorders>
              <w:top w:val="single" w:sz="4" w:space="0" w:color="auto"/>
              <w:left w:val="single" w:sz="4" w:space="0" w:color="auto"/>
              <w:bottom w:val="single" w:sz="4" w:space="0" w:color="auto"/>
              <w:right w:val="single" w:sz="4" w:space="0" w:color="auto"/>
            </w:tcBorders>
          </w:tcPr>
          <w:p w14:paraId="49824396" w14:textId="77777777" w:rsidR="00D0403E" w:rsidRPr="00183B5F" w:rsidRDefault="00943743" w:rsidP="004062FE">
            <w:pPr>
              <w:tabs>
                <w:tab w:val="left" w:pos="562"/>
              </w:tabs>
              <w:suppressAutoHyphens w:val="0"/>
              <w:spacing w:line="240" w:lineRule="auto"/>
              <w:jc w:val="center"/>
            </w:pPr>
            <w:r w:rsidRPr="00183B5F">
              <w:t>15%</w:t>
            </w:r>
          </w:p>
        </w:tc>
        <w:tc>
          <w:tcPr>
            <w:tcW w:w="1980" w:type="dxa"/>
            <w:tcBorders>
              <w:top w:val="single" w:sz="4" w:space="0" w:color="auto"/>
              <w:left w:val="single" w:sz="4" w:space="0" w:color="auto"/>
              <w:bottom w:val="single" w:sz="4" w:space="0" w:color="auto"/>
            </w:tcBorders>
          </w:tcPr>
          <w:p w14:paraId="2567BF0A" w14:textId="77777777" w:rsidR="00D0403E" w:rsidRPr="00183B5F" w:rsidRDefault="00943743" w:rsidP="004062FE">
            <w:pPr>
              <w:tabs>
                <w:tab w:val="left" w:pos="562"/>
              </w:tabs>
              <w:suppressAutoHyphens w:val="0"/>
              <w:spacing w:line="240" w:lineRule="auto"/>
              <w:jc w:val="center"/>
            </w:pPr>
            <w:r w:rsidRPr="00183B5F">
              <w:t>42%***</w:t>
            </w:r>
          </w:p>
        </w:tc>
      </w:tr>
    </w:tbl>
    <w:p w14:paraId="05799CDC" w14:textId="77777777" w:rsidR="00D0403E" w:rsidRPr="00183B5F" w:rsidRDefault="00943743">
      <w:pPr>
        <w:pStyle w:val="DefaultText"/>
        <w:ind w:left="880"/>
        <w:rPr>
          <w:rFonts w:ascii="Times New Roman" w:hAnsi="Times New Roman"/>
          <w:szCs w:val="22"/>
          <w:lang w:val="hu-HU"/>
        </w:rPr>
      </w:pPr>
      <w:r w:rsidRPr="00183B5F">
        <w:rPr>
          <w:rFonts w:ascii="Times New Roman" w:hAnsi="Times New Roman"/>
          <w:szCs w:val="22"/>
          <w:lang w:val="hu-HU"/>
        </w:rPr>
        <w:t>***,** Statisztikailag szignifikáns különbség (p &lt; 0,001, &lt; 0,01) Humira és a placebocsoportok közötti valamennyi összehasonlítás tekintetében a 2., 12.és 24. héten</w:t>
      </w:r>
    </w:p>
    <w:p w14:paraId="25836197" w14:textId="77777777" w:rsidR="00D0403E" w:rsidRPr="00183B5F" w:rsidRDefault="00943743" w:rsidP="004062FE">
      <w:pPr>
        <w:tabs>
          <w:tab w:val="left" w:pos="708"/>
        </w:tabs>
        <w:suppressAutoHyphens w:val="0"/>
        <w:autoSpaceDE w:val="0"/>
        <w:autoSpaceDN w:val="0"/>
        <w:adjustRightInd w:val="0"/>
        <w:spacing w:line="240" w:lineRule="auto"/>
        <w:ind w:left="880"/>
        <w:rPr>
          <w:szCs w:val="22"/>
          <w:vertAlign w:val="superscript"/>
        </w:rPr>
      </w:pPr>
      <w:r w:rsidRPr="00183B5F">
        <w:rPr>
          <w:szCs w:val="22"/>
          <w:vertAlign w:val="superscript"/>
        </w:rPr>
        <w:t>a</w:t>
      </w:r>
      <w:r w:rsidRPr="00183B5F">
        <w:rPr>
          <w:szCs w:val="22"/>
        </w:rPr>
        <w:t xml:space="preserve"> ASsessments in Ankylosing Spondylitis (Spondylitis Ankylopoetica Értékelése) </w:t>
      </w:r>
    </w:p>
    <w:p w14:paraId="3C43A424" w14:textId="77777777" w:rsidR="00D0403E" w:rsidRPr="00183B5F" w:rsidRDefault="00943743" w:rsidP="004062FE">
      <w:pPr>
        <w:tabs>
          <w:tab w:val="left" w:pos="708"/>
        </w:tabs>
        <w:suppressAutoHyphens w:val="0"/>
        <w:autoSpaceDE w:val="0"/>
        <w:autoSpaceDN w:val="0"/>
        <w:adjustRightInd w:val="0"/>
        <w:spacing w:line="240" w:lineRule="auto"/>
        <w:ind w:left="880"/>
        <w:rPr>
          <w:szCs w:val="22"/>
        </w:rPr>
      </w:pPr>
      <w:r w:rsidRPr="00183B5F">
        <w:rPr>
          <w:szCs w:val="22"/>
          <w:vertAlign w:val="superscript"/>
        </w:rPr>
        <w:t>b</w:t>
      </w:r>
      <w:r w:rsidRPr="00183B5F">
        <w:rPr>
          <w:szCs w:val="22"/>
        </w:rPr>
        <w:t xml:space="preserve"> Bath Ankylosing Spondylitis Disease Activity Index (Bath Spondylitis Ankylopoetica Betegség Aktivitási Index)</w:t>
      </w:r>
    </w:p>
    <w:p w14:paraId="09FCBB18" w14:textId="77777777" w:rsidR="00D0403E" w:rsidRPr="00183B5F" w:rsidRDefault="00D0403E" w:rsidP="004062FE">
      <w:pPr>
        <w:tabs>
          <w:tab w:val="left" w:pos="708"/>
        </w:tabs>
        <w:suppressAutoHyphens w:val="0"/>
        <w:autoSpaceDE w:val="0"/>
        <w:autoSpaceDN w:val="0"/>
        <w:adjustRightInd w:val="0"/>
        <w:spacing w:line="240" w:lineRule="auto"/>
        <w:rPr>
          <w:szCs w:val="22"/>
        </w:rPr>
      </w:pPr>
    </w:p>
    <w:p w14:paraId="3FA23C2B" w14:textId="77777777" w:rsidR="00D0403E" w:rsidRPr="00183B5F" w:rsidRDefault="00943743" w:rsidP="004062FE">
      <w:pPr>
        <w:suppressAutoHyphens w:val="0"/>
        <w:spacing w:line="240" w:lineRule="auto"/>
        <w:rPr>
          <w:szCs w:val="22"/>
        </w:rPr>
      </w:pPr>
      <w:r w:rsidRPr="00183B5F">
        <w:rPr>
          <w:szCs w:val="22"/>
        </w:rPr>
        <w:t>Humira</w:t>
      </w:r>
      <w:r w:rsidRPr="00183B5F">
        <w:rPr>
          <w:szCs w:val="22"/>
        </w:rPr>
        <w:noBreakHyphen/>
      </w:r>
      <w:r w:rsidRPr="00183B5F">
        <w:rPr>
          <w:szCs w:val="22"/>
        </w:rPr>
        <w:t>val kezelt betegek szignifikánsan nagyobb mértékű javulást mutattak a 12. héten, mind a SF36</w:t>
      </w:r>
      <w:r w:rsidRPr="00183B5F">
        <w:rPr>
          <w:szCs w:val="22"/>
        </w:rPr>
        <w:noBreakHyphen/>
        <w:t>ban, mind az Ankylosing Spondylitis Quality of Life Questionnaire (ASQoL) (Spondylitis Ankylopoetica Életminőség Kérdőív) alapján, ami 24 héten keresztül fennmaradt.</w:t>
      </w:r>
    </w:p>
    <w:p w14:paraId="4DEB1D27" w14:textId="77777777" w:rsidR="00D0403E" w:rsidRPr="00183B5F" w:rsidRDefault="00D0403E" w:rsidP="004062FE">
      <w:pPr>
        <w:suppressAutoHyphens w:val="0"/>
        <w:spacing w:line="240" w:lineRule="auto"/>
        <w:rPr>
          <w:szCs w:val="22"/>
        </w:rPr>
      </w:pPr>
    </w:p>
    <w:p w14:paraId="4FCA51B6" w14:textId="77777777" w:rsidR="00D0403E" w:rsidRPr="00183B5F" w:rsidRDefault="00943743" w:rsidP="004062FE">
      <w:pPr>
        <w:suppressAutoHyphens w:val="0"/>
        <w:spacing w:line="240" w:lineRule="auto"/>
        <w:rPr>
          <w:szCs w:val="22"/>
        </w:rPr>
      </w:pPr>
      <w:r w:rsidRPr="00183B5F">
        <w:rPr>
          <w:szCs w:val="22"/>
        </w:rPr>
        <w:t xml:space="preserve">Hasonló trendeket (nem minden esetben statisztikailag szignifikáns) észleltek egy kisebb, 82 aktív spondylitis ankylopoeticában szenvedő beteg bevonásával végzett randomizált, </w:t>
      </w:r>
      <w:r w:rsidR="00E5381A" w:rsidRPr="00183B5F">
        <w:rPr>
          <w:szCs w:val="22"/>
        </w:rPr>
        <w:t>kettős vak</w:t>
      </w:r>
      <w:r w:rsidRPr="00183B5F">
        <w:rPr>
          <w:szCs w:val="22"/>
        </w:rPr>
        <w:t>, placebo-kontrollos vizsgálatban (AS II).</w:t>
      </w:r>
    </w:p>
    <w:p w14:paraId="1FAD8637" w14:textId="77777777" w:rsidR="00D0403E" w:rsidRPr="00183B5F" w:rsidRDefault="00D0403E" w:rsidP="004062FE">
      <w:pPr>
        <w:suppressAutoHyphens w:val="0"/>
        <w:spacing w:line="240" w:lineRule="auto"/>
        <w:rPr>
          <w:szCs w:val="22"/>
        </w:rPr>
      </w:pPr>
    </w:p>
    <w:p w14:paraId="5F02B050" w14:textId="77777777" w:rsidR="00D0403E" w:rsidRPr="00183B5F" w:rsidRDefault="00943743">
      <w:pPr>
        <w:suppressAutoHyphens w:val="0"/>
        <w:spacing w:line="240" w:lineRule="auto"/>
        <w:rPr>
          <w:rFonts w:eastAsia="MS Mincho"/>
          <w:i/>
          <w:szCs w:val="22"/>
          <w:u w:val="single"/>
          <w:lang w:eastAsia="ja-JP"/>
        </w:rPr>
      </w:pPr>
      <w:r w:rsidRPr="00183B5F">
        <w:rPr>
          <w:rFonts w:eastAsia="SimSun"/>
          <w:i/>
          <w:szCs w:val="22"/>
          <w:u w:val="single"/>
          <w:lang w:eastAsia="zh-CN"/>
        </w:rPr>
        <w:t>Spondylitis ankylopoeticának (SPA) megfelelő röntgeneltéréssel nem járó</w:t>
      </w:r>
      <w:r w:rsidRPr="00183B5F">
        <w:rPr>
          <w:i/>
          <w:szCs w:val="22"/>
          <w:u w:val="single"/>
        </w:rPr>
        <w:t xml:space="preserve"> axiális spondyloarthritis</w:t>
      </w:r>
    </w:p>
    <w:p w14:paraId="0532E015" w14:textId="77777777" w:rsidR="006C0A64" w:rsidRPr="00183B5F" w:rsidRDefault="006C0A64" w:rsidP="006C0A64">
      <w:pPr>
        <w:rPr>
          <w:bCs/>
          <w:iCs/>
          <w:szCs w:val="22"/>
        </w:rPr>
      </w:pPr>
    </w:p>
    <w:p w14:paraId="0BCB3224" w14:textId="77777777" w:rsidR="006C0A64" w:rsidRPr="00183B5F" w:rsidRDefault="00943743" w:rsidP="006C0A64">
      <w:pPr>
        <w:rPr>
          <w:szCs w:val="22"/>
        </w:rPr>
      </w:pPr>
      <w:r w:rsidRPr="00183B5F">
        <w:rPr>
          <w:bCs/>
          <w:iCs/>
          <w:szCs w:val="22"/>
        </w:rPr>
        <w:t xml:space="preserve">A Humira </w:t>
      </w:r>
      <w:r w:rsidRPr="00183B5F">
        <w:t>biztonságosságát és hatásosságát</w:t>
      </w:r>
      <w:r w:rsidRPr="00183B5F">
        <w:rPr>
          <w:rFonts w:eastAsia="SimSun"/>
          <w:szCs w:val="22"/>
          <w:lang w:eastAsia="zh-CN"/>
        </w:rPr>
        <w:t xml:space="preserve"> spondylitis ankylopoeticának (SPA)</w:t>
      </w:r>
      <w:r w:rsidRPr="00183B5F">
        <w:t xml:space="preserve"> </w:t>
      </w:r>
      <w:r w:rsidRPr="00183B5F">
        <w:rPr>
          <w:szCs w:val="22"/>
        </w:rPr>
        <w:t>megfelelő röntgeneltéréssel nem járó axiális spondyloarthritisben (</w:t>
      </w:r>
      <w:r w:rsidRPr="00183B5F">
        <w:t xml:space="preserve">nr-axSpA) szenvedő betegeknél értékelték </w:t>
      </w:r>
      <w:r w:rsidRPr="00183B5F">
        <w:rPr>
          <w:bCs/>
          <w:iCs/>
          <w:szCs w:val="22"/>
        </w:rPr>
        <w:t>két rand</w:t>
      </w:r>
      <w:r w:rsidR="00023220" w:rsidRPr="00183B5F">
        <w:rPr>
          <w:szCs w:val="22"/>
        </w:rPr>
        <w:t xml:space="preserve">omizált, kettős </w:t>
      </w:r>
      <w:r w:rsidRPr="00183B5F">
        <w:rPr>
          <w:szCs w:val="22"/>
        </w:rPr>
        <w:t xml:space="preserve">vak, placebokontrollos vizsgálatban. Az </w:t>
      </w:r>
      <w:r w:rsidRPr="00183B5F">
        <w:t>Nr-axSpA I klinikai vizsgálatban aktív nr-axSpA-ban szenvedő betegeket értékeltek. Az Nr-axSp</w:t>
      </w:r>
      <w:r w:rsidR="00023220" w:rsidRPr="00183B5F">
        <w:t xml:space="preserve">A II </w:t>
      </w:r>
      <w:r w:rsidR="00D92B20" w:rsidRPr="00183B5F">
        <w:t>vizsgálatban a kezelés megszakításának hatását vizsgálták olyan</w:t>
      </w:r>
      <w:r w:rsidRPr="00183B5F">
        <w:t xml:space="preserve"> aktív nr</w:t>
      </w:r>
      <w:r w:rsidRPr="00183B5F">
        <w:noBreakHyphen/>
        <w:t>axSpA-ban szenvedő betegeknél, akik remisszióba kerültek a nyílt elrendezésű Humira</w:t>
      </w:r>
      <w:r w:rsidR="00B447F9" w:rsidRPr="00183B5F">
        <w:t>-</w:t>
      </w:r>
      <w:r w:rsidRPr="00183B5F">
        <w:t>kezelés során.</w:t>
      </w:r>
    </w:p>
    <w:p w14:paraId="0D4F3E83" w14:textId="77777777" w:rsidR="006C0A64" w:rsidRPr="00183B5F" w:rsidRDefault="006C0A64" w:rsidP="006C0A64">
      <w:pPr>
        <w:suppressAutoHyphens w:val="0"/>
        <w:spacing w:line="240" w:lineRule="auto"/>
        <w:rPr>
          <w:szCs w:val="22"/>
        </w:rPr>
      </w:pPr>
    </w:p>
    <w:p w14:paraId="341DDA3E" w14:textId="77777777" w:rsidR="006C0A64" w:rsidRPr="00183B5F" w:rsidRDefault="00943743" w:rsidP="006C0A64">
      <w:r w:rsidRPr="00183B5F">
        <w:t>Nr-axSpA I klinikai vizsgálat</w:t>
      </w:r>
    </w:p>
    <w:p w14:paraId="784A4E44" w14:textId="77777777" w:rsidR="00D0403E" w:rsidRPr="00183B5F" w:rsidRDefault="00D0403E" w:rsidP="004062FE">
      <w:pPr>
        <w:suppressAutoHyphens w:val="0"/>
        <w:spacing w:line="240" w:lineRule="auto"/>
        <w:rPr>
          <w:szCs w:val="22"/>
        </w:rPr>
      </w:pPr>
    </w:p>
    <w:p w14:paraId="55A98D6C" w14:textId="77777777" w:rsidR="00D0403E" w:rsidRPr="00183B5F" w:rsidRDefault="00943743">
      <w:pPr>
        <w:suppressAutoHyphens w:val="0"/>
        <w:spacing w:line="240" w:lineRule="auto"/>
        <w:rPr>
          <w:szCs w:val="22"/>
        </w:rPr>
      </w:pPr>
      <w:r w:rsidRPr="00183B5F">
        <w:t>Az Nr-axSpA I klinikai vizsgálatban</w:t>
      </w:r>
      <w:r w:rsidRPr="00183B5F">
        <w:rPr>
          <w:szCs w:val="22"/>
        </w:rPr>
        <w:t xml:space="preserve"> a kéthetente egyszer 40 mg dózisban adagolt Humira</w:t>
      </w:r>
      <w:r w:rsidRPr="00183B5F">
        <w:rPr>
          <w:szCs w:val="22"/>
        </w:rPr>
        <w:noBreakHyphen/>
        <w:t xml:space="preserve">kezelés hatását 185 aktív </w:t>
      </w:r>
      <w:r w:rsidRPr="00183B5F">
        <w:rPr>
          <w:rFonts w:eastAsia="SimSun"/>
          <w:szCs w:val="22"/>
          <w:lang w:eastAsia="zh-CN"/>
        </w:rPr>
        <w:t>nr-axSpA-ban</w:t>
      </w:r>
      <w:r w:rsidRPr="00183B5F">
        <w:rPr>
          <w:szCs w:val="22"/>
        </w:rPr>
        <w:t xml:space="preserve"> szenvedő beteg</w:t>
      </w:r>
      <w:r w:rsidR="00D92B20" w:rsidRPr="00183B5F">
        <w:rPr>
          <w:szCs w:val="22"/>
        </w:rPr>
        <w:t>nél</w:t>
      </w:r>
      <w:r w:rsidRPr="00183B5F">
        <w:rPr>
          <w:szCs w:val="22"/>
        </w:rPr>
        <w:t xml:space="preserve"> vizsgálták egy randomizált, 12 hetes, kettős</w:t>
      </w:r>
      <w:r w:rsidR="00D92B20" w:rsidRPr="00183B5F">
        <w:rPr>
          <w:szCs w:val="22"/>
        </w:rPr>
        <w:t xml:space="preserve"> </w:t>
      </w:r>
      <w:r w:rsidRPr="00183B5F">
        <w:rPr>
          <w:szCs w:val="22"/>
        </w:rPr>
        <w:t>vak, placebokontrollos vizsgálatban (betegség aktivitásának átlagos kiindulási pontértéke [a Bath Ankylosing Spondylitis Disease Activity Index (BASDAI) alapján értékelve] 6,4 volt a Humira</w:t>
      </w:r>
      <w:r w:rsidRPr="00183B5F">
        <w:rPr>
          <w:szCs w:val="22"/>
        </w:rPr>
        <w:noBreakHyphen/>
        <w:t>val kezelt és 6,5 a placebót kapó betegeknél), akik nem adtak megfelelő választ legalább 1 NSAID</w:t>
      </w:r>
      <w:r w:rsidRPr="00183B5F">
        <w:rPr>
          <w:szCs w:val="22"/>
        </w:rPr>
        <w:noBreakHyphen/>
        <w:t>re vagy nem tolerálták azt, illetve a NSAID adása számukra ellenjavallt</w:t>
      </w:r>
      <w:r w:rsidRPr="00183B5F">
        <w:rPr>
          <w:szCs w:val="22"/>
        </w:rPr>
        <w:t xml:space="preserve"> volt.</w:t>
      </w:r>
    </w:p>
    <w:p w14:paraId="64A358DA" w14:textId="77777777" w:rsidR="006B70C9" w:rsidRPr="00183B5F" w:rsidRDefault="006B70C9">
      <w:pPr>
        <w:suppressAutoHyphens w:val="0"/>
        <w:spacing w:line="240" w:lineRule="auto"/>
        <w:rPr>
          <w:szCs w:val="22"/>
        </w:rPr>
      </w:pPr>
    </w:p>
    <w:p w14:paraId="69947D42" w14:textId="77777777" w:rsidR="00D0403E" w:rsidRPr="00183B5F" w:rsidRDefault="00943743" w:rsidP="004062FE">
      <w:pPr>
        <w:suppressAutoHyphens w:val="0"/>
        <w:spacing w:line="240" w:lineRule="auto"/>
        <w:rPr>
          <w:szCs w:val="22"/>
        </w:rPr>
      </w:pPr>
      <w:r w:rsidRPr="00183B5F">
        <w:rPr>
          <w:szCs w:val="22"/>
        </w:rPr>
        <w:t xml:space="preserve">A vizsgálat megkezdésekor 33 beteg (18%) kapott egyidejűleg betegségmódosító reumaellenes szert és 146 beteg (79%) kapott NSAID kezelést. A </w:t>
      </w:r>
      <w:r w:rsidR="00E5381A" w:rsidRPr="00183B5F">
        <w:rPr>
          <w:szCs w:val="22"/>
        </w:rPr>
        <w:t>kettős vak</w:t>
      </w:r>
      <w:r w:rsidRPr="00183B5F">
        <w:rPr>
          <w:szCs w:val="22"/>
        </w:rPr>
        <w:t xml:space="preserve"> szakaszt</w:t>
      </w:r>
      <w:r w:rsidRPr="00183B5F">
        <w:rPr>
          <w:b/>
          <w:bCs/>
          <w:i/>
          <w:iCs/>
          <w:szCs w:val="22"/>
        </w:rPr>
        <w:t xml:space="preserve"> </w:t>
      </w:r>
      <w:r w:rsidRPr="00183B5F">
        <w:rPr>
          <w:szCs w:val="22"/>
        </w:rPr>
        <w:t>egy nyílt vizsgálati fázis követte, amely során további 144 héten keresztül a betegek kéthetente 40 mg Humira</w:t>
      </w:r>
      <w:r w:rsidRPr="00183B5F">
        <w:rPr>
          <w:szCs w:val="22"/>
        </w:rPr>
        <w:noBreakHyphen/>
        <w:t xml:space="preserve">t kaptak subcutan. A 12. heti eredemények alapján az aktív </w:t>
      </w:r>
      <w:r w:rsidR="00551864" w:rsidRPr="00183B5F">
        <w:rPr>
          <w:szCs w:val="22"/>
        </w:rPr>
        <w:t>nr</w:t>
      </w:r>
      <w:r w:rsidR="00551864" w:rsidRPr="00183B5F">
        <w:rPr>
          <w:szCs w:val="22"/>
        </w:rPr>
        <w:noBreakHyphen/>
      </w:r>
      <w:r w:rsidR="006C0A64" w:rsidRPr="00183B5F">
        <w:rPr>
          <w:szCs w:val="22"/>
        </w:rPr>
        <w:t>axSpA-ban</w:t>
      </w:r>
      <w:r w:rsidRPr="00183B5F">
        <w:rPr>
          <w:szCs w:val="22"/>
        </w:rPr>
        <w:t xml:space="preserve"> szenvedő betegek panaszai és tünetei statisztikailag szignifikáns javulást mutatt</w:t>
      </w:r>
      <w:r w:rsidR="00B447F9" w:rsidRPr="00183B5F">
        <w:rPr>
          <w:szCs w:val="22"/>
        </w:rPr>
        <w:t>a</w:t>
      </w:r>
      <w:r w:rsidRPr="00183B5F">
        <w:rPr>
          <w:szCs w:val="22"/>
        </w:rPr>
        <w:t>k a Humira</w:t>
      </w:r>
      <w:r w:rsidRPr="00183B5F">
        <w:rPr>
          <w:szCs w:val="22"/>
        </w:rPr>
        <w:noBreakHyphen/>
        <w:t>val kezelt betegek esetében, összehasonlít</w:t>
      </w:r>
      <w:r w:rsidR="004F479A" w:rsidRPr="00183B5F">
        <w:rPr>
          <w:szCs w:val="22"/>
        </w:rPr>
        <w:t>va a placebót kapó betegekkel (</w:t>
      </w:r>
      <w:r w:rsidR="007D329A" w:rsidRPr="00183B5F">
        <w:rPr>
          <w:szCs w:val="22"/>
        </w:rPr>
        <w:t>13</w:t>
      </w:r>
      <w:r w:rsidRPr="00183B5F">
        <w:rPr>
          <w:szCs w:val="22"/>
        </w:rPr>
        <w:t>. táblázat).</w:t>
      </w:r>
    </w:p>
    <w:p w14:paraId="0096338F" w14:textId="77777777" w:rsidR="00D0403E" w:rsidRPr="00183B5F" w:rsidRDefault="00D0403E" w:rsidP="004062FE">
      <w:pPr>
        <w:suppressAutoHyphens w:val="0"/>
        <w:spacing w:line="240" w:lineRule="auto"/>
        <w:rPr>
          <w:szCs w:val="22"/>
        </w:rPr>
      </w:pPr>
    </w:p>
    <w:p w14:paraId="1D449B9D" w14:textId="77777777" w:rsidR="00D0403E" w:rsidRPr="00183B5F" w:rsidRDefault="00943743" w:rsidP="00993916">
      <w:pPr>
        <w:keepNext/>
        <w:suppressAutoHyphens w:val="0"/>
        <w:spacing w:line="240" w:lineRule="auto"/>
        <w:jc w:val="center"/>
        <w:rPr>
          <w:szCs w:val="22"/>
        </w:rPr>
      </w:pPr>
      <w:r w:rsidRPr="00183B5F">
        <w:rPr>
          <w:b/>
          <w:szCs w:val="22"/>
        </w:rPr>
        <w:t>13. táblázat</w:t>
      </w:r>
    </w:p>
    <w:p w14:paraId="6C12A562" w14:textId="77777777" w:rsidR="00D0403E" w:rsidRPr="00183B5F" w:rsidRDefault="00943743" w:rsidP="00993916">
      <w:pPr>
        <w:pStyle w:val="EMEANormal"/>
        <w:keepNext/>
        <w:jc w:val="center"/>
        <w:rPr>
          <w:szCs w:val="22"/>
          <w:lang w:val="hu-HU"/>
        </w:rPr>
      </w:pPr>
      <w:r w:rsidRPr="00183B5F">
        <w:rPr>
          <w:b/>
          <w:szCs w:val="22"/>
          <w:lang w:val="hu-HU"/>
        </w:rPr>
        <w:t xml:space="preserve">Hatásossági válaszarányok a placebokontrollos </w:t>
      </w:r>
      <w:r w:rsidR="00D92B20" w:rsidRPr="00183B5F">
        <w:rPr>
          <w:b/>
          <w:szCs w:val="22"/>
          <w:lang w:val="hu-HU"/>
        </w:rPr>
        <w:t>N</w:t>
      </w:r>
      <w:r w:rsidR="006C0A64" w:rsidRPr="00183B5F">
        <w:rPr>
          <w:b/>
          <w:szCs w:val="22"/>
          <w:lang w:val="hu-HU"/>
        </w:rPr>
        <w:t>r</w:t>
      </w:r>
      <w:r w:rsidR="006C0A64" w:rsidRPr="00183B5F">
        <w:rPr>
          <w:b/>
          <w:szCs w:val="22"/>
          <w:lang w:val="hu-HU"/>
        </w:rPr>
        <w:noBreakHyphen/>
        <w:t xml:space="preserve">axSpA I </w:t>
      </w:r>
      <w:r w:rsidR="002F4E6E" w:rsidRPr="00183B5F">
        <w:rPr>
          <w:b/>
          <w:szCs w:val="22"/>
          <w:lang w:val="hu-HU"/>
        </w:rPr>
        <w:t>vizsgálatban</w:t>
      </w:r>
    </w:p>
    <w:p w14:paraId="225F93A8" w14:textId="77777777" w:rsidR="009A314C" w:rsidRPr="00183B5F" w:rsidRDefault="009A314C" w:rsidP="00993916">
      <w:pPr>
        <w:pStyle w:val="EMEANormal"/>
        <w:keepNext/>
        <w:rPr>
          <w:szCs w:val="22"/>
          <w:lang w:val="hu-H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18"/>
        <w:gridCol w:w="1660"/>
        <w:gridCol w:w="1683"/>
      </w:tblGrid>
      <w:tr w:rsidR="00011D2F" w14:paraId="1BB34461" w14:textId="77777777" w:rsidTr="00832DC3">
        <w:trPr>
          <w:jc w:val="center"/>
        </w:trPr>
        <w:tc>
          <w:tcPr>
            <w:tcW w:w="0" w:type="auto"/>
          </w:tcPr>
          <w:p w14:paraId="47B0573E" w14:textId="77777777" w:rsidR="009A314C" w:rsidRPr="00183B5F" w:rsidRDefault="00943743" w:rsidP="00993916">
            <w:pPr>
              <w:keepNext/>
              <w:spacing w:line="240" w:lineRule="auto"/>
              <w:rPr>
                <w:b/>
                <w:bCs/>
                <w:szCs w:val="22"/>
              </w:rPr>
            </w:pPr>
            <w:r w:rsidRPr="00183B5F">
              <w:rPr>
                <w:b/>
                <w:bCs/>
                <w:szCs w:val="22"/>
              </w:rPr>
              <w:t>Kettős vak fázis,</w:t>
            </w:r>
          </w:p>
          <w:p w14:paraId="530FBCBD" w14:textId="77777777" w:rsidR="009A314C" w:rsidRPr="00183B5F" w:rsidRDefault="00943743" w:rsidP="00993916">
            <w:pPr>
              <w:keepNext/>
              <w:spacing w:line="240" w:lineRule="auto"/>
              <w:rPr>
                <w:b/>
                <w:bCs/>
                <w:szCs w:val="22"/>
              </w:rPr>
            </w:pPr>
            <w:r w:rsidRPr="00183B5F">
              <w:rPr>
                <w:b/>
                <w:bCs/>
                <w:szCs w:val="22"/>
              </w:rPr>
              <w:t>12. heti válasz</w:t>
            </w:r>
          </w:p>
        </w:tc>
        <w:tc>
          <w:tcPr>
            <w:tcW w:w="0" w:type="auto"/>
          </w:tcPr>
          <w:p w14:paraId="1DC888FC" w14:textId="77777777" w:rsidR="009A314C" w:rsidRPr="00183B5F" w:rsidRDefault="00943743" w:rsidP="00993916">
            <w:pPr>
              <w:keepNext/>
              <w:spacing w:line="240" w:lineRule="auto"/>
              <w:jc w:val="center"/>
              <w:rPr>
                <w:b/>
              </w:rPr>
            </w:pPr>
            <w:r w:rsidRPr="00183B5F">
              <w:rPr>
                <w:b/>
              </w:rPr>
              <w:t>Placebo</w:t>
            </w:r>
          </w:p>
          <w:p w14:paraId="313BFBB9" w14:textId="77777777" w:rsidR="009A314C" w:rsidRPr="00183B5F" w:rsidRDefault="00943743" w:rsidP="00993916">
            <w:pPr>
              <w:keepNext/>
              <w:spacing w:line="240" w:lineRule="auto"/>
              <w:jc w:val="center"/>
              <w:rPr>
                <w:b/>
              </w:rPr>
            </w:pPr>
            <w:r w:rsidRPr="00183B5F">
              <w:rPr>
                <w:b/>
              </w:rPr>
              <w:t>N</w:t>
            </w:r>
            <w:r w:rsidR="003F64BC" w:rsidRPr="00183B5F">
              <w:rPr>
                <w:b/>
              </w:rPr>
              <w:t> </w:t>
            </w:r>
            <w:r w:rsidRPr="00183B5F">
              <w:rPr>
                <w:b/>
              </w:rPr>
              <w:t>=</w:t>
            </w:r>
            <w:r w:rsidR="003F64BC" w:rsidRPr="00183B5F">
              <w:rPr>
                <w:b/>
              </w:rPr>
              <w:t> </w:t>
            </w:r>
            <w:r w:rsidRPr="00183B5F">
              <w:rPr>
                <w:b/>
              </w:rPr>
              <w:t>94</w:t>
            </w:r>
          </w:p>
        </w:tc>
        <w:tc>
          <w:tcPr>
            <w:tcW w:w="0" w:type="auto"/>
          </w:tcPr>
          <w:p w14:paraId="6534A951" w14:textId="77777777" w:rsidR="009A314C" w:rsidRPr="00183B5F" w:rsidRDefault="00943743" w:rsidP="00993916">
            <w:pPr>
              <w:keepNext/>
              <w:spacing w:line="240" w:lineRule="auto"/>
              <w:jc w:val="center"/>
              <w:rPr>
                <w:b/>
              </w:rPr>
            </w:pPr>
            <w:r w:rsidRPr="00183B5F">
              <w:rPr>
                <w:b/>
              </w:rPr>
              <w:t>Humira</w:t>
            </w:r>
          </w:p>
          <w:p w14:paraId="305082B6" w14:textId="77777777" w:rsidR="009A314C" w:rsidRPr="00183B5F" w:rsidRDefault="00943743" w:rsidP="00993916">
            <w:pPr>
              <w:keepNext/>
              <w:spacing w:line="240" w:lineRule="auto"/>
              <w:jc w:val="center"/>
              <w:rPr>
                <w:b/>
              </w:rPr>
            </w:pPr>
            <w:r w:rsidRPr="00183B5F">
              <w:rPr>
                <w:b/>
              </w:rPr>
              <w:t>N</w:t>
            </w:r>
            <w:r w:rsidR="003F64BC" w:rsidRPr="00183B5F">
              <w:rPr>
                <w:b/>
              </w:rPr>
              <w:t> </w:t>
            </w:r>
            <w:r w:rsidRPr="00183B5F">
              <w:rPr>
                <w:b/>
              </w:rPr>
              <w:t>=</w:t>
            </w:r>
            <w:r w:rsidR="003F64BC" w:rsidRPr="00183B5F">
              <w:rPr>
                <w:b/>
              </w:rPr>
              <w:t> </w:t>
            </w:r>
            <w:r w:rsidRPr="00183B5F">
              <w:rPr>
                <w:b/>
              </w:rPr>
              <w:t>91</w:t>
            </w:r>
          </w:p>
        </w:tc>
      </w:tr>
      <w:tr w:rsidR="00011D2F" w14:paraId="23200873" w14:textId="77777777" w:rsidTr="00832DC3">
        <w:trPr>
          <w:jc w:val="center"/>
        </w:trPr>
        <w:tc>
          <w:tcPr>
            <w:tcW w:w="0" w:type="auto"/>
          </w:tcPr>
          <w:p w14:paraId="475302EC" w14:textId="77777777" w:rsidR="009A314C" w:rsidRPr="00183B5F" w:rsidRDefault="00943743" w:rsidP="004062FE">
            <w:pPr>
              <w:spacing w:line="240" w:lineRule="auto"/>
            </w:pPr>
            <w:r w:rsidRPr="00183B5F">
              <w:t>ASAS</w:t>
            </w:r>
            <w:r w:rsidRPr="00183B5F">
              <w:rPr>
                <w:vertAlign w:val="superscript"/>
              </w:rPr>
              <w:t>a</w:t>
            </w:r>
            <w:r w:rsidRPr="00183B5F">
              <w:t xml:space="preserve"> 40</w:t>
            </w:r>
          </w:p>
        </w:tc>
        <w:tc>
          <w:tcPr>
            <w:tcW w:w="0" w:type="auto"/>
          </w:tcPr>
          <w:p w14:paraId="56A3EEBA" w14:textId="77777777" w:rsidR="009A314C" w:rsidRPr="00183B5F" w:rsidRDefault="00943743" w:rsidP="004062FE">
            <w:pPr>
              <w:spacing w:line="240" w:lineRule="auto"/>
              <w:jc w:val="center"/>
            </w:pPr>
            <w:r w:rsidRPr="00183B5F">
              <w:t>15%</w:t>
            </w:r>
          </w:p>
        </w:tc>
        <w:tc>
          <w:tcPr>
            <w:tcW w:w="0" w:type="auto"/>
          </w:tcPr>
          <w:p w14:paraId="6A0A2AFC" w14:textId="77777777" w:rsidR="009A314C" w:rsidRPr="00183B5F" w:rsidRDefault="00943743" w:rsidP="004062FE">
            <w:pPr>
              <w:spacing w:line="240" w:lineRule="auto"/>
              <w:jc w:val="center"/>
            </w:pPr>
            <w:r w:rsidRPr="00183B5F">
              <w:t>36%***</w:t>
            </w:r>
          </w:p>
        </w:tc>
      </w:tr>
      <w:tr w:rsidR="00011D2F" w14:paraId="366789BC" w14:textId="77777777" w:rsidTr="00832DC3">
        <w:trPr>
          <w:jc w:val="center"/>
        </w:trPr>
        <w:tc>
          <w:tcPr>
            <w:tcW w:w="0" w:type="auto"/>
          </w:tcPr>
          <w:p w14:paraId="1EF0E3C5" w14:textId="77777777" w:rsidR="009A314C" w:rsidRPr="00183B5F" w:rsidRDefault="00943743" w:rsidP="004062FE">
            <w:pPr>
              <w:spacing w:line="240" w:lineRule="auto"/>
            </w:pPr>
            <w:r w:rsidRPr="00183B5F">
              <w:t>ASAS 20</w:t>
            </w:r>
          </w:p>
        </w:tc>
        <w:tc>
          <w:tcPr>
            <w:tcW w:w="0" w:type="auto"/>
          </w:tcPr>
          <w:p w14:paraId="1A5EB4B1" w14:textId="77777777" w:rsidR="009A314C" w:rsidRPr="00183B5F" w:rsidRDefault="00943743" w:rsidP="004062FE">
            <w:pPr>
              <w:spacing w:line="240" w:lineRule="auto"/>
              <w:jc w:val="center"/>
            </w:pPr>
            <w:r w:rsidRPr="00183B5F">
              <w:t>31%</w:t>
            </w:r>
          </w:p>
        </w:tc>
        <w:tc>
          <w:tcPr>
            <w:tcW w:w="0" w:type="auto"/>
          </w:tcPr>
          <w:p w14:paraId="3E469FA6" w14:textId="77777777" w:rsidR="009A314C" w:rsidRPr="00183B5F" w:rsidRDefault="00943743" w:rsidP="004062FE">
            <w:pPr>
              <w:spacing w:line="240" w:lineRule="auto"/>
              <w:jc w:val="center"/>
            </w:pPr>
            <w:r w:rsidRPr="00183B5F">
              <w:t>52%**</w:t>
            </w:r>
          </w:p>
        </w:tc>
      </w:tr>
      <w:tr w:rsidR="00011D2F" w14:paraId="36D8B2E6" w14:textId="77777777" w:rsidTr="00832DC3">
        <w:trPr>
          <w:jc w:val="center"/>
        </w:trPr>
        <w:tc>
          <w:tcPr>
            <w:tcW w:w="0" w:type="auto"/>
          </w:tcPr>
          <w:p w14:paraId="3D1BB063" w14:textId="77777777" w:rsidR="009A314C" w:rsidRPr="00183B5F" w:rsidRDefault="00943743" w:rsidP="004062FE">
            <w:pPr>
              <w:spacing w:line="240" w:lineRule="auto"/>
            </w:pPr>
            <w:r w:rsidRPr="00183B5F">
              <w:t>ASAS 5/6</w:t>
            </w:r>
          </w:p>
        </w:tc>
        <w:tc>
          <w:tcPr>
            <w:tcW w:w="0" w:type="auto"/>
          </w:tcPr>
          <w:p w14:paraId="6A4A9D8E" w14:textId="77777777" w:rsidR="009A314C" w:rsidRPr="00183B5F" w:rsidRDefault="00943743" w:rsidP="004062FE">
            <w:pPr>
              <w:spacing w:line="240" w:lineRule="auto"/>
              <w:jc w:val="center"/>
            </w:pPr>
            <w:r w:rsidRPr="00183B5F">
              <w:t>6%</w:t>
            </w:r>
          </w:p>
        </w:tc>
        <w:tc>
          <w:tcPr>
            <w:tcW w:w="0" w:type="auto"/>
          </w:tcPr>
          <w:p w14:paraId="4B8B3763" w14:textId="77777777" w:rsidR="009A314C" w:rsidRPr="00183B5F" w:rsidRDefault="00943743" w:rsidP="004062FE">
            <w:pPr>
              <w:spacing w:line="240" w:lineRule="auto"/>
              <w:jc w:val="center"/>
            </w:pPr>
            <w:r w:rsidRPr="00183B5F">
              <w:t>31%***</w:t>
            </w:r>
          </w:p>
        </w:tc>
      </w:tr>
      <w:tr w:rsidR="00011D2F" w14:paraId="708B7EBA" w14:textId="77777777" w:rsidTr="00832DC3">
        <w:trPr>
          <w:jc w:val="center"/>
        </w:trPr>
        <w:tc>
          <w:tcPr>
            <w:tcW w:w="0" w:type="auto"/>
          </w:tcPr>
          <w:p w14:paraId="3253E48B" w14:textId="77777777" w:rsidR="009A314C" w:rsidRPr="00183B5F" w:rsidRDefault="00943743" w:rsidP="004062FE">
            <w:pPr>
              <w:spacing w:line="240" w:lineRule="auto"/>
            </w:pPr>
            <w:r w:rsidRPr="00183B5F">
              <w:t>ASAS Részleges Remisszió</w:t>
            </w:r>
          </w:p>
        </w:tc>
        <w:tc>
          <w:tcPr>
            <w:tcW w:w="0" w:type="auto"/>
          </w:tcPr>
          <w:p w14:paraId="57736ACE" w14:textId="77777777" w:rsidR="009A314C" w:rsidRPr="00183B5F" w:rsidRDefault="00943743" w:rsidP="004062FE">
            <w:pPr>
              <w:spacing w:line="240" w:lineRule="auto"/>
              <w:jc w:val="center"/>
            </w:pPr>
            <w:r w:rsidRPr="00183B5F">
              <w:t>5%</w:t>
            </w:r>
          </w:p>
        </w:tc>
        <w:tc>
          <w:tcPr>
            <w:tcW w:w="0" w:type="auto"/>
          </w:tcPr>
          <w:p w14:paraId="01D55787" w14:textId="77777777" w:rsidR="009A314C" w:rsidRPr="00183B5F" w:rsidRDefault="00943743" w:rsidP="004062FE">
            <w:pPr>
              <w:spacing w:line="240" w:lineRule="auto"/>
              <w:jc w:val="center"/>
            </w:pPr>
            <w:r w:rsidRPr="00183B5F">
              <w:t>16%*</w:t>
            </w:r>
          </w:p>
        </w:tc>
      </w:tr>
      <w:tr w:rsidR="00011D2F" w14:paraId="03F25879" w14:textId="77777777" w:rsidTr="00832DC3">
        <w:trPr>
          <w:jc w:val="center"/>
        </w:trPr>
        <w:tc>
          <w:tcPr>
            <w:tcW w:w="0" w:type="auto"/>
            <w:tcBorders>
              <w:bottom w:val="single" w:sz="4" w:space="0" w:color="auto"/>
            </w:tcBorders>
          </w:tcPr>
          <w:p w14:paraId="3289979D" w14:textId="77777777" w:rsidR="009A314C" w:rsidRPr="00183B5F" w:rsidRDefault="00943743" w:rsidP="004062FE">
            <w:pPr>
              <w:spacing w:line="240" w:lineRule="auto"/>
            </w:pPr>
            <w:r w:rsidRPr="00183B5F">
              <w:t>BASDAI</w:t>
            </w:r>
            <w:r w:rsidRPr="00183B5F">
              <w:rPr>
                <w:vertAlign w:val="superscript"/>
              </w:rPr>
              <w:t>b</w:t>
            </w:r>
            <w:r w:rsidRPr="00183B5F">
              <w:t xml:space="preserve"> 50</w:t>
            </w:r>
          </w:p>
        </w:tc>
        <w:tc>
          <w:tcPr>
            <w:tcW w:w="0" w:type="auto"/>
            <w:tcBorders>
              <w:bottom w:val="single" w:sz="4" w:space="0" w:color="auto"/>
            </w:tcBorders>
          </w:tcPr>
          <w:p w14:paraId="638A3E1F" w14:textId="77777777" w:rsidR="009A314C" w:rsidRPr="00183B5F" w:rsidRDefault="00943743" w:rsidP="004062FE">
            <w:pPr>
              <w:spacing w:line="240" w:lineRule="auto"/>
              <w:jc w:val="center"/>
            </w:pPr>
            <w:r w:rsidRPr="00183B5F">
              <w:t>15%</w:t>
            </w:r>
          </w:p>
        </w:tc>
        <w:tc>
          <w:tcPr>
            <w:tcW w:w="0" w:type="auto"/>
            <w:tcBorders>
              <w:bottom w:val="single" w:sz="4" w:space="0" w:color="auto"/>
            </w:tcBorders>
          </w:tcPr>
          <w:p w14:paraId="497E0E2B" w14:textId="77777777" w:rsidR="009A314C" w:rsidRPr="00183B5F" w:rsidRDefault="00943743" w:rsidP="004062FE">
            <w:pPr>
              <w:spacing w:line="240" w:lineRule="auto"/>
              <w:jc w:val="center"/>
            </w:pPr>
            <w:r w:rsidRPr="00183B5F">
              <w:t>35%**</w:t>
            </w:r>
          </w:p>
        </w:tc>
      </w:tr>
      <w:tr w:rsidR="00011D2F" w14:paraId="3CC77CC2" w14:textId="77777777" w:rsidTr="00832DC3">
        <w:trPr>
          <w:jc w:val="center"/>
        </w:trPr>
        <w:tc>
          <w:tcPr>
            <w:tcW w:w="0" w:type="auto"/>
            <w:tcBorders>
              <w:bottom w:val="single" w:sz="4" w:space="0" w:color="auto"/>
            </w:tcBorders>
          </w:tcPr>
          <w:p w14:paraId="0338CD10" w14:textId="77777777" w:rsidR="009A314C" w:rsidRPr="00183B5F" w:rsidRDefault="00943743" w:rsidP="004062FE">
            <w:pPr>
              <w:spacing w:line="240" w:lineRule="auto"/>
            </w:pPr>
            <w:r w:rsidRPr="00183B5F">
              <w:t>ASDAS</w:t>
            </w:r>
            <w:r w:rsidRPr="00183B5F">
              <w:rPr>
                <w:vertAlign w:val="superscript"/>
              </w:rPr>
              <w:t>c,d,e</w:t>
            </w:r>
          </w:p>
        </w:tc>
        <w:tc>
          <w:tcPr>
            <w:tcW w:w="0" w:type="auto"/>
            <w:tcBorders>
              <w:bottom w:val="single" w:sz="4" w:space="0" w:color="auto"/>
            </w:tcBorders>
          </w:tcPr>
          <w:p w14:paraId="351F8DA5" w14:textId="77777777" w:rsidR="009A314C" w:rsidRPr="00183B5F" w:rsidRDefault="00943743" w:rsidP="004062FE">
            <w:pPr>
              <w:spacing w:line="240" w:lineRule="auto"/>
              <w:jc w:val="center"/>
            </w:pPr>
            <w:r w:rsidRPr="00183B5F">
              <w:t>-0,3</w:t>
            </w:r>
          </w:p>
        </w:tc>
        <w:tc>
          <w:tcPr>
            <w:tcW w:w="0" w:type="auto"/>
            <w:tcBorders>
              <w:bottom w:val="single" w:sz="4" w:space="0" w:color="auto"/>
            </w:tcBorders>
          </w:tcPr>
          <w:p w14:paraId="1689BA94" w14:textId="77777777" w:rsidR="009A314C" w:rsidRPr="00183B5F" w:rsidRDefault="00943743" w:rsidP="004062FE">
            <w:pPr>
              <w:spacing w:line="240" w:lineRule="auto"/>
              <w:jc w:val="center"/>
            </w:pPr>
            <w:r w:rsidRPr="00183B5F">
              <w:t>-1,0***</w:t>
            </w:r>
          </w:p>
        </w:tc>
      </w:tr>
      <w:tr w:rsidR="00011D2F" w14:paraId="1F122E2E" w14:textId="77777777" w:rsidTr="00832DC3">
        <w:trPr>
          <w:jc w:val="center"/>
        </w:trPr>
        <w:tc>
          <w:tcPr>
            <w:tcW w:w="0" w:type="auto"/>
            <w:tcBorders>
              <w:bottom w:val="single" w:sz="4" w:space="0" w:color="auto"/>
            </w:tcBorders>
          </w:tcPr>
          <w:p w14:paraId="4C09F2C5" w14:textId="77777777" w:rsidR="009A314C" w:rsidRPr="00183B5F" w:rsidRDefault="00943743" w:rsidP="004062FE">
            <w:pPr>
              <w:spacing w:line="240" w:lineRule="auto"/>
            </w:pPr>
            <w:r w:rsidRPr="00183B5F">
              <w:t>ASDAS Inaktív Betegség</w:t>
            </w:r>
          </w:p>
        </w:tc>
        <w:tc>
          <w:tcPr>
            <w:tcW w:w="0" w:type="auto"/>
            <w:tcBorders>
              <w:bottom w:val="single" w:sz="4" w:space="0" w:color="auto"/>
            </w:tcBorders>
          </w:tcPr>
          <w:p w14:paraId="34B356AB" w14:textId="77777777" w:rsidR="009A314C" w:rsidRPr="00183B5F" w:rsidRDefault="00943743" w:rsidP="004062FE">
            <w:pPr>
              <w:spacing w:line="240" w:lineRule="auto"/>
              <w:jc w:val="center"/>
            </w:pPr>
            <w:r w:rsidRPr="00183B5F">
              <w:t>4%</w:t>
            </w:r>
          </w:p>
        </w:tc>
        <w:tc>
          <w:tcPr>
            <w:tcW w:w="0" w:type="auto"/>
            <w:tcBorders>
              <w:bottom w:val="single" w:sz="4" w:space="0" w:color="auto"/>
            </w:tcBorders>
          </w:tcPr>
          <w:p w14:paraId="5F10B590" w14:textId="77777777" w:rsidR="009A314C" w:rsidRPr="00183B5F" w:rsidRDefault="00943743" w:rsidP="004062FE">
            <w:pPr>
              <w:spacing w:line="240" w:lineRule="auto"/>
              <w:jc w:val="center"/>
            </w:pPr>
            <w:r w:rsidRPr="00183B5F">
              <w:t>24%</w:t>
            </w:r>
            <w:r w:rsidR="00114DB6" w:rsidRPr="00183B5F">
              <w:t>***</w:t>
            </w:r>
          </w:p>
        </w:tc>
      </w:tr>
      <w:tr w:rsidR="00011D2F" w14:paraId="195A8ED1" w14:textId="77777777" w:rsidTr="00832DC3">
        <w:trPr>
          <w:jc w:val="center"/>
        </w:trPr>
        <w:tc>
          <w:tcPr>
            <w:tcW w:w="0" w:type="auto"/>
            <w:tcBorders>
              <w:bottom w:val="single" w:sz="4" w:space="0" w:color="auto"/>
            </w:tcBorders>
          </w:tcPr>
          <w:p w14:paraId="17825E86" w14:textId="77777777" w:rsidR="009A314C" w:rsidRPr="00183B5F" w:rsidRDefault="00943743" w:rsidP="004062FE">
            <w:pPr>
              <w:spacing w:line="240" w:lineRule="auto"/>
            </w:pPr>
            <w:r w:rsidRPr="00183B5F">
              <w:t>hs-CRP</w:t>
            </w:r>
            <w:r w:rsidRPr="00183B5F">
              <w:rPr>
                <w:vertAlign w:val="superscript"/>
              </w:rPr>
              <w:t>d,f,g</w:t>
            </w:r>
          </w:p>
        </w:tc>
        <w:tc>
          <w:tcPr>
            <w:tcW w:w="0" w:type="auto"/>
            <w:tcBorders>
              <w:bottom w:val="single" w:sz="4" w:space="0" w:color="auto"/>
            </w:tcBorders>
          </w:tcPr>
          <w:p w14:paraId="7F70FCEA" w14:textId="77777777" w:rsidR="009A314C" w:rsidRPr="00183B5F" w:rsidRDefault="00943743" w:rsidP="004062FE">
            <w:pPr>
              <w:spacing w:line="240" w:lineRule="auto"/>
              <w:jc w:val="center"/>
            </w:pPr>
            <w:r w:rsidRPr="00183B5F">
              <w:t>-0,3</w:t>
            </w:r>
          </w:p>
        </w:tc>
        <w:tc>
          <w:tcPr>
            <w:tcW w:w="0" w:type="auto"/>
            <w:tcBorders>
              <w:bottom w:val="single" w:sz="4" w:space="0" w:color="auto"/>
            </w:tcBorders>
          </w:tcPr>
          <w:p w14:paraId="2CA38CBA" w14:textId="77777777" w:rsidR="009A314C" w:rsidRPr="00183B5F" w:rsidRDefault="00943743" w:rsidP="004062FE">
            <w:pPr>
              <w:spacing w:line="240" w:lineRule="auto"/>
              <w:jc w:val="center"/>
            </w:pPr>
            <w:r w:rsidRPr="00183B5F">
              <w:t>-4,7***</w:t>
            </w:r>
          </w:p>
        </w:tc>
      </w:tr>
      <w:tr w:rsidR="00011D2F" w14:paraId="37BB7FF3" w14:textId="77777777" w:rsidTr="009A314C">
        <w:trPr>
          <w:jc w:val="center"/>
        </w:trPr>
        <w:tc>
          <w:tcPr>
            <w:tcW w:w="0" w:type="auto"/>
            <w:tcBorders>
              <w:bottom w:val="single" w:sz="4" w:space="0" w:color="auto"/>
            </w:tcBorders>
          </w:tcPr>
          <w:p w14:paraId="4225BA32" w14:textId="77777777" w:rsidR="009A314C" w:rsidRPr="00183B5F" w:rsidRDefault="00943743" w:rsidP="004062FE">
            <w:pPr>
              <w:spacing w:line="240" w:lineRule="auto"/>
            </w:pPr>
            <w:r w:rsidRPr="00183B5F">
              <w:t>SPARCC</w:t>
            </w:r>
            <w:r w:rsidRPr="00183B5F">
              <w:rPr>
                <w:vertAlign w:val="superscript"/>
              </w:rPr>
              <w:t>h</w:t>
            </w:r>
            <w:r w:rsidRPr="00183B5F">
              <w:t xml:space="preserve"> MR </w:t>
            </w:r>
            <w:r w:rsidR="0094162A" w:rsidRPr="00183B5F">
              <w:t>sacroiliacalis í</w:t>
            </w:r>
            <w:r w:rsidRPr="00183B5F">
              <w:t>zületek</w:t>
            </w:r>
            <w:r w:rsidR="00B447F9" w:rsidRPr="00183B5F">
              <w:rPr>
                <w:vertAlign w:val="superscript"/>
              </w:rPr>
              <w:t>d,i</w:t>
            </w:r>
          </w:p>
        </w:tc>
        <w:tc>
          <w:tcPr>
            <w:tcW w:w="0" w:type="auto"/>
            <w:tcBorders>
              <w:bottom w:val="single" w:sz="4" w:space="0" w:color="auto"/>
            </w:tcBorders>
          </w:tcPr>
          <w:p w14:paraId="3C64FAF0" w14:textId="77777777" w:rsidR="009A314C" w:rsidRPr="00183B5F" w:rsidRDefault="00943743" w:rsidP="004062FE">
            <w:pPr>
              <w:spacing w:line="240" w:lineRule="auto"/>
              <w:jc w:val="center"/>
            </w:pPr>
            <w:r w:rsidRPr="00183B5F">
              <w:t>-0,6</w:t>
            </w:r>
          </w:p>
        </w:tc>
        <w:tc>
          <w:tcPr>
            <w:tcW w:w="0" w:type="auto"/>
            <w:tcBorders>
              <w:bottom w:val="single" w:sz="4" w:space="0" w:color="auto"/>
            </w:tcBorders>
          </w:tcPr>
          <w:p w14:paraId="08FB9CD0" w14:textId="77777777" w:rsidR="009A314C" w:rsidRPr="00183B5F" w:rsidRDefault="00943743" w:rsidP="004062FE">
            <w:pPr>
              <w:spacing w:line="240" w:lineRule="auto"/>
              <w:jc w:val="center"/>
            </w:pPr>
            <w:r w:rsidRPr="00183B5F">
              <w:t>-3,2**</w:t>
            </w:r>
          </w:p>
        </w:tc>
      </w:tr>
      <w:tr w:rsidR="00011D2F" w14:paraId="16A55541" w14:textId="77777777" w:rsidTr="009A314C">
        <w:trPr>
          <w:jc w:val="center"/>
        </w:trPr>
        <w:tc>
          <w:tcPr>
            <w:tcW w:w="0" w:type="auto"/>
            <w:tcBorders>
              <w:bottom w:val="single" w:sz="4" w:space="0" w:color="auto"/>
            </w:tcBorders>
          </w:tcPr>
          <w:p w14:paraId="2F286372" w14:textId="77777777" w:rsidR="009A314C" w:rsidRPr="00183B5F" w:rsidRDefault="00943743" w:rsidP="004062FE">
            <w:pPr>
              <w:spacing w:line="240" w:lineRule="auto"/>
            </w:pPr>
            <w:r w:rsidRPr="00183B5F">
              <w:t>SPARCC MR Gerinc</w:t>
            </w:r>
            <w:r w:rsidR="00B447F9" w:rsidRPr="00183B5F">
              <w:rPr>
                <w:vertAlign w:val="superscript"/>
              </w:rPr>
              <w:t>d,j</w:t>
            </w:r>
          </w:p>
        </w:tc>
        <w:tc>
          <w:tcPr>
            <w:tcW w:w="0" w:type="auto"/>
            <w:tcBorders>
              <w:bottom w:val="single" w:sz="4" w:space="0" w:color="auto"/>
            </w:tcBorders>
          </w:tcPr>
          <w:p w14:paraId="3B7BE1E8" w14:textId="77777777" w:rsidR="009A314C" w:rsidRPr="00183B5F" w:rsidRDefault="00943743" w:rsidP="004062FE">
            <w:pPr>
              <w:spacing w:line="240" w:lineRule="auto"/>
              <w:jc w:val="center"/>
            </w:pPr>
            <w:r w:rsidRPr="00183B5F">
              <w:t>-0,2</w:t>
            </w:r>
          </w:p>
        </w:tc>
        <w:tc>
          <w:tcPr>
            <w:tcW w:w="0" w:type="auto"/>
            <w:tcBorders>
              <w:bottom w:val="single" w:sz="4" w:space="0" w:color="auto"/>
            </w:tcBorders>
          </w:tcPr>
          <w:p w14:paraId="1A9664CA" w14:textId="77777777" w:rsidR="009A314C" w:rsidRPr="00183B5F" w:rsidRDefault="00943743" w:rsidP="004062FE">
            <w:pPr>
              <w:spacing w:line="240" w:lineRule="auto"/>
              <w:jc w:val="center"/>
            </w:pPr>
            <w:r w:rsidRPr="00183B5F">
              <w:t>-1,8**</w:t>
            </w:r>
          </w:p>
        </w:tc>
      </w:tr>
      <w:tr w:rsidR="00011D2F" w14:paraId="78380094" w14:textId="77777777" w:rsidTr="00116305">
        <w:trPr>
          <w:jc w:val="center"/>
        </w:trPr>
        <w:tc>
          <w:tcPr>
            <w:tcW w:w="0" w:type="auto"/>
            <w:gridSpan w:val="3"/>
            <w:tcBorders>
              <w:left w:val="nil"/>
              <w:bottom w:val="nil"/>
              <w:right w:val="nil"/>
            </w:tcBorders>
          </w:tcPr>
          <w:p w14:paraId="5FC4571C" w14:textId="77777777" w:rsidR="00116305" w:rsidRPr="00183B5F" w:rsidRDefault="00943743" w:rsidP="004062FE">
            <w:pPr>
              <w:suppressAutoHyphens w:val="0"/>
              <w:autoSpaceDE w:val="0"/>
              <w:autoSpaceDN w:val="0"/>
              <w:adjustRightInd w:val="0"/>
              <w:spacing w:line="240" w:lineRule="auto"/>
            </w:pPr>
            <w:r w:rsidRPr="00183B5F">
              <w:rPr>
                <w:vertAlign w:val="superscript"/>
              </w:rPr>
              <w:t>a</w:t>
            </w:r>
            <w:r w:rsidRPr="00183B5F">
              <w:t xml:space="preserve"> ASAS</w:t>
            </w:r>
            <w:r w:rsidR="006D1109" w:rsidRPr="00183B5F">
              <w:t> </w:t>
            </w:r>
            <w:r w:rsidRPr="00183B5F">
              <w:t>=</w:t>
            </w:r>
            <w:r w:rsidR="006D1109" w:rsidRPr="00183B5F">
              <w:t> </w:t>
            </w:r>
            <w:r w:rsidRPr="00183B5F">
              <w:t>Assessments of Spondyloarthritis International Society (</w:t>
            </w:r>
            <w:r w:rsidRPr="00183B5F">
              <w:rPr>
                <w:szCs w:val="22"/>
              </w:rPr>
              <w:t>Spondylitis Ankylopoetica Értékelése)</w:t>
            </w:r>
          </w:p>
          <w:p w14:paraId="0A4EA55E" w14:textId="77777777" w:rsidR="00116305" w:rsidRPr="00183B5F" w:rsidRDefault="00943743">
            <w:pPr>
              <w:pStyle w:val="EMEANormal"/>
              <w:ind w:left="20"/>
              <w:rPr>
                <w:lang w:val="hu-HU"/>
              </w:rPr>
            </w:pPr>
            <w:r w:rsidRPr="00183B5F">
              <w:rPr>
                <w:vertAlign w:val="superscript"/>
                <w:lang w:val="hu-HU"/>
              </w:rPr>
              <w:t>b</w:t>
            </w:r>
            <w:r w:rsidRPr="00183B5F">
              <w:rPr>
                <w:lang w:val="hu-HU"/>
              </w:rPr>
              <w:t xml:space="preserve"> Bath Ankylosing Spondylitis Disease Activity Index (Bath Spondylitis Ankylopoetica Betegség Aktivitási Index)</w:t>
            </w:r>
          </w:p>
          <w:p w14:paraId="062AB29C" w14:textId="77777777" w:rsidR="00116305" w:rsidRPr="00183B5F" w:rsidRDefault="00943743">
            <w:pPr>
              <w:pStyle w:val="EMEANormal"/>
              <w:ind w:left="20"/>
              <w:rPr>
                <w:lang w:val="hu-HU"/>
              </w:rPr>
            </w:pPr>
            <w:r w:rsidRPr="00183B5F">
              <w:rPr>
                <w:vertAlign w:val="superscript"/>
                <w:lang w:val="hu-HU"/>
              </w:rPr>
              <w:t xml:space="preserve">c </w:t>
            </w:r>
            <w:r w:rsidRPr="00183B5F">
              <w:rPr>
                <w:lang w:val="hu-HU"/>
              </w:rPr>
              <w:t>ASDAS</w:t>
            </w:r>
            <w:r w:rsidR="006D1109" w:rsidRPr="00183B5F">
              <w:rPr>
                <w:lang w:val="hu-HU"/>
              </w:rPr>
              <w:t> </w:t>
            </w:r>
            <w:r w:rsidRPr="00183B5F">
              <w:rPr>
                <w:lang w:val="hu-HU"/>
              </w:rPr>
              <w:t>=</w:t>
            </w:r>
            <w:r w:rsidR="006D1109" w:rsidRPr="00183B5F">
              <w:rPr>
                <w:lang w:val="hu-HU"/>
              </w:rPr>
              <w:t> </w:t>
            </w:r>
            <w:r w:rsidRPr="00183B5F">
              <w:rPr>
                <w:lang w:val="hu-HU"/>
              </w:rPr>
              <w:t>Ankylosing Spondylitis Disease Activity Score (Spondylitis Ankylopoetica Betegség Aktivitási pontszám)</w:t>
            </w:r>
          </w:p>
          <w:p w14:paraId="2F12CBA3" w14:textId="77777777" w:rsidR="00116305" w:rsidRPr="00183B5F" w:rsidRDefault="00943743">
            <w:pPr>
              <w:pStyle w:val="EMEANormal"/>
              <w:ind w:left="20"/>
              <w:rPr>
                <w:lang w:val="hu-HU"/>
              </w:rPr>
            </w:pPr>
            <w:r w:rsidRPr="00183B5F">
              <w:rPr>
                <w:vertAlign w:val="superscript"/>
                <w:lang w:val="hu-HU"/>
              </w:rPr>
              <w:t xml:space="preserve">d </w:t>
            </w:r>
            <w:r w:rsidRPr="00183B5F">
              <w:rPr>
                <w:lang w:val="hu-HU"/>
              </w:rPr>
              <w:t>Átlag változás a kezdeti értékektől</w:t>
            </w:r>
          </w:p>
          <w:p w14:paraId="7F1AF232" w14:textId="77777777" w:rsidR="00116305" w:rsidRPr="00183B5F" w:rsidRDefault="00943743">
            <w:pPr>
              <w:pStyle w:val="EMEANormal"/>
              <w:ind w:left="20"/>
              <w:rPr>
                <w:lang w:val="hu-HU"/>
              </w:rPr>
            </w:pPr>
            <w:r w:rsidRPr="00183B5F">
              <w:rPr>
                <w:vertAlign w:val="superscript"/>
                <w:lang w:val="hu-HU"/>
              </w:rPr>
              <w:t xml:space="preserve">e </w:t>
            </w:r>
            <w:r w:rsidRPr="00183B5F">
              <w:rPr>
                <w:lang w:val="hu-HU"/>
              </w:rPr>
              <w:t>n = 91 placebo és n</w:t>
            </w:r>
            <w:r w:rsidR="00A05BD2" w:rsidRPr="00183B5F">
              <w:rPr>
                <w:lang w:val="hu-HU"/>
              </w:rPr>
              <w:t> </w:t>
            </w:r>
            <w:r w:rsidRPr="00183B5F">
              <w:rPr>
                <w:lang w:val="hu-HU"/>
              </w:rPr>
              <w:t>=</w:t>
            </w:r>
            <w:r w:rsidR="00A05BD2" w:rsidRPr="00183B5F">
              <w:rPr>
                <w:lang w:val="hu-HU"/>
              </w:rPr>
              <w:t> </w:t>
            </w:r>
            <w:r w:rsidRPr="00183B5F">
              <w:rPr>
                <w:lang w:val="hu-HU"/>
              </w:rPr>
              <w:t>87 Humira</w:t>
            </w:r>
          </w:p>
          <w:p w14:paraId="47CA5B07" w14:textId="77777777" w:rsidR="00116305" w:rsidRPr="00183B5F" w:rsidRDefault="00943743">
            <w:pPr>
              <w:pStyle w:val="EMEANormal"/>
              <w:ind w:left="20"/>
              <w:rPr>
                <w:lang w:val="hu-HU"/>
              </w:rPr>
            </w:pPr>
            <w:r w:rsidRPr="00183B5F">
              <w:rPr>
                <w:vertAlign w:val="superscript"/>
                <w:lang w:val="hu-HU"/>
              </w:rPr>
              <w:t xml:space="preserve">f </w:t>
            </w:r>
            <w:r w:rsidRPr="00183B5F">
              <w:rPr>
                <w:lang w:val="hu-HU"/>
              </w:rPr>
              <w:t>Nagy szenzitivitású C</w:t>
            </w:r>
            <w:r w:rsidRPr="00183B5F">
              <w:rPr>
                <w:lang w:val="hu-HU"/>
              </w:rPr>
              <w:noBreakHyphen/>
              <w:t>reaktív protein (mg/l)</w:t>
            </w:r>
          </w:p>
          <w:p w14:paraId="391306EA" w14:textId="77777777" w:rsidR="00116305" w:rsidRPr="00183B5F" w:rsidRDefault="00943743">
            <w:pPr>
              <w:pStyle w:val="EMEANormal"/>
              <w:ind w:left="20"/>
              <w:rPr>
                <w:lang w:val="hu-HU"/>
              </w:rPr>
            </w:pPr>
            <w:r w:rsidRPr="00183B5F">
              <w:rPr>
                <w:vertAlign w:val="superscript"/>
                <w:lang w:val="hu-HU"/>
              </w:rPr>
              <w:t xml:space="preserve">g </w:t>
            </w:r>
            <w:r w:rsidRPr="00183B5F">
              <w:rPr>
                <w:lang w:val="hu-HU"/>
              </w:rPr>
              <w:t>n</w:t>
            </w:r>
            <w:r w:rsidR="00A05BD2" w:rsidRPr="00183B5F">
              <w:rPr>
                <w:lang w:val="hu-HU"/>
              </w:rPr>
              <w:t> </w:t>
            </w:r>
            <w:r w:rsidRPr="00183B5F">
              <w:rPr>
                <w:lang w:val="hu-HU"/>
              </w:rPr>
              <w:t>=</w:t>
            </w:r>
            <w:r w:rsidR="00A05BD2" w:rsidRPr="00183B5F">
              <w:rPr>
                <w:lang w:val="hu-HU"/>
              </w:rPr>
              <w:t> </w:t>
            </w:r>
            <w:r w:rsidRPr="00183B5F">
              <w:rPr>
                <w:lang w:val="hu-HU"/>
              </w:rPr>
              <w:t>73 placebo és n</w:t>
            </w:r>
            <w:r w:rsidR="00A05BD2" w:rsidRPr="00183B5F">
              <w:rPr>
                <w:lang w:val="hu-HU"/>
              </w:rPr>
              <w:t> </w:t>
            </w:r>
            <w:r w:rsidRPr="00183B5F">
              <w:rPr>
                <w:lang w:val="hu-HU"/>
              </w:rPr>
              <w:t>=</w:t>
            </w:r>
            <w:r w:rsidR="00A05BD2" w:rsidRPr="00183B5F">
              <w:rPr>
                <w:lang w:val="hu-HU"/>
              </w:rPr>
              <w:t> </w:t>
            </w:r>
            <w:r w:rsidRPr="00183B5F">
              <w:rPr>
                <w:lang w:val="hu-HU"/>
              </w:rPr>
              <w:t>70 Humira</w:t>
            </w:r>
          </w:p>
          <w:p w14:paraId="29FD2403" w14:textId="77777777" w:rsidR="00116305" w:rsidRPr="00183B5F" w:rsidRDefault="00943743">
            <w:pPr>
              <w:pStyle w:val="EMEANormal"/>
              <w:ind w:left="20"/>
              <w:rPr>
                <w:lang w:val="hu-HU"/>
              </w:rPr>
            </w:pPr>
            <w:r w:rsidRPr="00183B5F">
              <w:rPr>
                <w:vertAlign w:val="superscript"/>
                <w:lang w:val="hu-HU"/>
              </w:rPr>
              <w:t xml:space="preserve">h </w:t>
            </w:r>
            <w:r w:rsidRPr="00183B5F">
              <w:rPr>
                <w:lang w:val="hu-HU"/>
              </w:rPr>
              <w:t>Spondylitis Ankylopoetica Kanadai Kutató Konzorcium</w:t>
            </w:r>
          </w:p>
          <w:p w14:paraId="6F5B5B3B" w14:textId="77777777" w:rsidR="00116305" w:rsidRPr="00183B5F" w:rsidRDefault="00943743">
            <w:pPr>
              <w:pStyle w:val="EMEANormal"/>
              <w:ind w:left="20"/>
              <w:rPr>
                <w:lang w:val="hu-HU"/>
              </w:rPr>
            </w:pPr>
            <w:r w:rsidRPr="00183B5F">
              <w:rPr>
                <w:vertAlign w:val="superscript"/>
                <w:lang w:val="hu-HU"/>
              </w:rPr>
              <w:t xml:space="preserve">I </w:t>
            </w:r>
            <w:r w:rsidRPr="00183B5F">
              <w:rPr>
                <w:lang w:val="hu-HU"/>
              </w:rPr>
              <w:t>n</w:t>
            </w:r>
            <w:r w:rsidR="00A05BD2" w:rsidRPr="00183B5F">
              <w:rPr>
                <w:lang w:val="hu-HU"/>
              </w:rPr>
              <w:t> </w:t>
            </w:r>
            <w:r w:rsidRPr="00183B5F">
              <w:rPr>
                <w:lang w:val="hu-HU"/>
              </w:rPr>
              <w:t>=</w:t>
            </w:r>
            <w:r w:rsidR="00A05BD2" w:rsidRPr="00183B5F">
              <w:rPr>
                <w:lang w:val="hu-HU"/>
              </w:rPr>
              <w:t> </w:t>
            </w:r>
            <w:r w:rsidRPr="00183B5F">
              <w:rPr>
                <w:lang w:val="hu-HU"/>
              </w:rPr>
              <w:t>84 placebo és Humira</w:t>
            </w:r>
          </w:p>
          <w:p w14:paraId="1EC7E5F7" w14:textId="77777777" w:rsidR="00116305" w:rsidRPr="00183B5F" w:rsidRDefault="00943743">
            <w:pPr>
              <w:pStyle w:val="EMEANormal"/>
              <w:ind w:left="20"/>
              <w:rPr>
                <w:lang w:val="hu-HU"/>
              </w:rPr>
            </w:pPr>
            <w:r w:rsidRPr="00183B5F">
              <w:rPr>
                <w:vertAlign w:val="superscript"/>
                <w:lang w:val="hu-HU"/>
              </w:rPr>
              <w:t xml:space="preserve">j </w:t>
            </w:r>
            <w:r w:rsidRPr="00183B5F">
              <w:rPr>
                <w:lang w:val="hu-HU"/>
              </w:rPr>
              <w:t>n</w:t>
            </w:r>
            <w:r w:rsidR="00A05BD2" w:rsidRPr="00183B5F">
              <w:rPr>
                <w:lang w:val="hu-HU"/>
              </w:rPr>
              <w:t> </w:t>
            </w:r>
            <w:r w:rsidRPr="00183B5F">
              <w:rPr>
                <w:lang w:val="hu-HU"/>
              </w:rPr>
              <w:t>=</w:t>
            </w:r>
            <w:r w:rsidR="00A05BD2" w:rsidRPr="00183B5F">
              <w:rPr>
                <w:lang w:val="hu-HU"/>
              </w:rPr>
              <w:t> </w:t>
            </w:r>
            <w:r w:rsidRPr="00183B5F">
              <w:rPr>
                <w:lang w:val="hu-HU"/>
              </w:rPr>
              <w:t>82 placebo és n</w:t>
            </w:r>
            <w:r w:rsidR="00A05BD2" w:rsidRPr="00183B5F">
              <w:rPr>
                <w:lang w:val="hu-HU"/>
              </w:rPr>
              <w:t> </w:t>
            </w:r>
            <w:r w:rsidRPr="00183B5F">
              <w:rPr>
                <w:lang w:val="hu-HU"/>
              </w:rPr>
              <w:t>=</w:t>
            </w:r>
            <w:r w:rsidR="00A05BD2" w:rsidRPr="00183B5F">
              <w:rPr>
                <w:lang w:val="hu-HU"/>
              </w:rPr>
              <w:t> </w:t>
            </w:r>
            <w:r w:rsidRPr="00183B5F">
              <w:rPr>
                <w:lang w:val="hu-HU"/>
              </w:rPr>
              <w:t>85 Humira</w:t>
            </w:r>
          </w:p>
          <w:p w14:paraId="75CDEE33" w14:textId="77777777" w:rsidR="00116305" w:rsidRPr="00183B5F" w:rsidRDefault="00943743">
            <w:pPr>
              <w:pStyle w:val="EMEANormal"/>
              <w:ind w:left="20"/>
              <w:rPr>
                <w:lang w:val="hu-HU"/>
              </w:rPr>
            </w:pPr>
            <w:r w:rsidRPr="00183B5F">
              <w:rPr>
                <w:lang w:val="hu-HU"/>
              </w:rPr>
              <w:t>***, **, * Statisztikailag szignifikáns különbség, rendre p &lt; 0,001, &lt; 0,01 és &lt; 0,05 érték esetén, a Humira és a placebo valamennyi összehasonlítását illetően</w:t>
            </w:r>
          </w:p>
        </w:tc>
      </w:tr>
    </w:tbl>
    <w:p w14:paraId="177B16E5" w14:textId="77777777" w:rsidR="00116305" w:rsidRPr="00183B5F" w:rsidRDefault="00116305">
      <w:pPr>
        <w:pStyle w:val="EMEANormal"/>
        <w:rPr>
          <w:lang w:val="hu-HU"/>
        </w:rPr>
      </w:pPr>
    </w:p>
    <w:p w14:paraId="6829FCAC" w14:textId="77777777" w:rsidR="00116305" w:rsidRPr="00183B5F" w:rsidRDefault="00943743">
      <w:pPr>
        <w:pStyle w:val="EMEANormal"/>
        <w:rPr>
          <w:lang w:val="hu-HU"/>
        </w:rPr>
      </w:pPr>
      <w:r w:rsidRPr="00183B5F">
        <w:rPr>
          <w:lang w:val="hu-HU"/>
        </w:rPr>
        <w:t>A nyílt kiterjesztésű vizsgálatban a Humira terápia mellett a tünetek és panaszok javulása a 156. hétig megmaradt.</w:t>
      </w:r>
    </w:p>
    <w:p w14:paraId="2DCF3624" w14:textId="77777777" w:rsidR="009A314C" w:rsidRPr="00183B5F" w:rsidRDefault="009A314C">
      <w:pPr>
        <w:pStyle w:val="EMEANormal"/>
        <w:rPr>
          <w:lang w:val="hu-HU"/>
        </w:rPr>
      </w:pPr>
    </w:p>
    <w:p w14:paraId="015CCCE3" w14:textId="77777777" w:rsidR="009A314C" w:rsidRPr="00183B5F" w:rsidRDefault="00943743" w:rsidP="00832DC3">
      <w:pPr>
        <w:pStyle w:val="EMEANormal"/>
        <w:keepNext/>
        <w:rPr>
          <w:lang w:val="hu-HU"/>
        </w:rPr>
      </w:pPr>
      <w:r w:rsidRPr="00183B5F">
        <w:rPr>
          <w:lang w:val="hu-HU"/>
        </w:rPr>
        <w:t>A gyulladás gátlása</w:t>
      </w:r>
    </w:p>
    <w:p w14:paraId="602CD0B8" w14:textId="77777777" w:rsidR="009A314C" w:rsidRPr="00183B5F" w:rsidRDefault="009A314C" w:rsidP="00832DC3">
      <w:pPr>
        <w:pStyle w:val="EMEANormal"/>
        <w:keepNext/>
        <w:rPr>
          <w:lang w:val="hu-HU"/>
        </w:rPr>
      </w:pPr>
    </w:p>
    <w:p w14:paraId="324FFBC9" w14:textId="77777777" w:rsidR="00475E9F" w:rsidRPr="00183B5F" w:rsidRDefault="00943743">
      <w:pPr>
        <w:pStyle w:val="EMEANormal"/>
        <w:rPr>
          <w:lang w:val="hu-HU"/>
        </w:rPr>
      </w:pPr>
      <w:r w:rsidRPr="00183B5F">
        <w:rPr>
          <w:lang w:val="hu-HU"/>
        </w:rPr>
        <w:t>A Humira</w:t>
      </w:r>
      <w:r w:rsidRPr="00183B5F">
        <w:rPr>
          <w:lang w:val="hu-HU"/>
        </w:rPr>
        <w:noBreakHyphen/>
        <w:t>val kezelt betegeknél a sacroiliacalis ízületek és a gerinc gyulladásának nagy érzékenységű C</w:t>
      </w:r>
      <w:r w:rsidRPr="00183B5F">
        <w:rPr>
          <w:lang w:val="hu-HU"/>
        </w:rPr>
        <w:noBreakHyphen/>
        <w:t xml:space="preserve">reaktív proteinnel </w:t>
      </w:r>
      <w:r w:rsidR="006C0A64" w:rsidRPr="00183B5F">
        <w:rPr>
          <w:lang w:val="hu-HU"/>
        </w:rPr>
        <w:t xml:space="preserve">(hs-CRP) </w:t>
      </w:r>
      <w:r w:rsidRPr="00183B5F">
        <w:rPr>
          <w:lang w:val="hu-HU"/>
        </w:rPr>
        <w:t>mért és MR</w:t>
      </w:r>
      <w:r w:rsidRPr="00183B5F">
        <w:rPr>
          <w:lang w:val="hu-HU"/>
        </w:rPr>
        <w:noBreakHyphen/>
      </w:r>
      <w:r w:rsidR="003D6EDB" w:rsidRPr="00183B5F">
        <w:rPr>
          <w:lang w:val="hu-HU"/>
        </w:rPr>
        <w:t>r</w:t>
      </w:r>
      <w:r w:rsidRPr="00183B5F">
        <w:rPr>
          <w:lang w:val="hu-HU"/>
        </w:rPr>
        <w:t>el kimutatott jelentős javulása sorrendben 156 héten át és 104 héten át megmaradt.</w:t>
      </w:r>
    </w:p>
    <w:p w14:paraId="417B2443" w14:textId="77777777" w:rsidR="009A314C" w:rsidRPr="00183B5F" w:rsidRDefault="009A314C">
      <w:pPr>
        <w:pStyle w:val="EMEANormal"/>
        <w:rPr>
          <w:lang w:val="hu-HU"/>
        </w:rPr>
      </w:pPr>
    </w:p>
    <w:p w14:paraId="2C2AFACE" w14:textId="77777777" w:rsidR="009A314C" w:rsidRPr="00183B5F" w:rsidRDefault="00943743">
      <w:pPr>
        <w:pStyle w:val="EMEANormal"/>
        <w:rPr>
          <w:lang w:val="hu-HU"/>
        </w:rPr>
      </w:pPr>
      <w:r w:rsidRPr="00183B5F">
        <w:rPr>
          <w:lang w:val="hu-HU"/>
        </w:rPr>
        <w:t>Életminőség és fizikai aktivitás</w:t>
      </w:r>
    </w:p>
    <w:p w14:paraId="07E469DC" w14:textId="77777777" w:rsidR="009A314C" w:rsidRPr="00183B5F" w:rsidRDefault="009A314C">
      <w:pPr>
        <w:pStyle w:val="EMEANormal"/>
        <w:rPr>
          <w:lang w:val="hu-HU"/>
        </w:rPr>
      </w:pPr>
    </w:p>
    <w:p w14:paraId="60BDD92A" w14:textId="77777777" w:rsidR="009A314C" w:rsidRPr="00183B5F" w:rsidRDefault="00943743">
      <w:pPr>
        <w:pStyle w:val="EMEANormal"/>
        <w:rPr>
          <w:lang w:val="hu-HU"/>
        </w:rPr>
      </w:pPr>
      <w:r w:rsidRPr="00183B5F">
        <w:rPr>
          <w:lang w:val="hu-HU"/>
        </w:rPr>
        <w:t>Az egészségi állapottal kapcsolatos életminőséget és fizikális funkciót a HAQ</w:t>
      </w:r>
      <w:r w:rsidRPr="00183B5F">
        <w:rPr>
          <w:lang w:val="hu-HU"/>
        </w:rPr>
        <w:noBreakHyphen/>
        <w:t>S és az SF</w:t>
      </w:r>
      <w:r w:rsidRPr="00183B5F">
        <w:rPr>
          <w:lang w:val="hu-HU"/>
        </w:rPr>
        <w:noBreakHyphen/>
        <w:t>36 kérdőívekkel vizsgálták. A Humira a placebóval összehasonlítva statisztikailag szignifikánsan nagyobb javulást mutatott a HAQ</w:t>
      </w:r>
      <w:r w:rsidRPr="00183B5F">
        <w:rPr>
          <w:lang w:val="hu-HU"/>
        </w:rPr>
        <w:noBreakHyphen/>
        <w:t>S összesített értékét illetően és az SF</w:t>
      </w:r>
      <w:r w:rsidRPr="00183B5F">
        <w:rPr>
          <w:lang w:val="hu-HU"/>
        </w:rPr>
        <w:noBreakHyphen/>
        <w:t>36 Fizikális Komponens Érték [Physical Component Score (PCS)] tekintetében, a vizsgálat megkezdésétől a 12. hétig. Az egészségi állapottal kapcsolatos életminőség és fizikai funkció javulás</w:t>
      </w:r>
      <w:r w:rsidR="00BD2012" w:rsidRPr="00183B5F">
        <w:rPr>
          <w:lang w:val="hu-HU"/>
        </w:rPr>
        <w:t>a</w:t>
      </w:r>
      <w:r w:rsidRPr="00183B5F">
        <w:rPr>
          <w:lang w:val="hu-HU"/>
        </w:rPr>
        <w:t xml:space="preserve"> </w:t>
      </w:r>
      <w:r w:rsidR="00BD2012" w:rsidRPr="00183B5F">
        <w:rPr>
          <w:lang w:val="hu-HU"/>
        </w:rPr>
        <w:t>fennmaradt a vizsgálat nyílt kiterjesztéses szakaszában is,</w:t>
      </w:r>
      <w:r w:rsidRPr="00183B5F">
        <w:rPr>
          <w:lang w:val="hu-HU"/>
        </w:rPr>
        <w:t xml:space="preserve"> 156 héten át</w:t>
      </w:r>
      <w:r w:rsidR="00BD2012" w:rsidRPr="00183B5F">
        <w:rPr>
          <w:lang w:val="hu-HU"/>
        </w:rPr>
        <w:t>.</w:t>
      </w:r>
    </w:p>
    <w:p w14:paraId="6E40FB98" w14:textId="77777777" w:rsidR="00D0403E" w:rsidRPr="00183B5F" w:rsidRDefault="00D0403E" w:rsidP="004062FE">
      <w:pPr>
        <w:spacing w:line="240" w:lineRule="auto"/>
        <w:rPr>
          <w:szCs w:val="22"/>
          <w:u w:val="single"/>
        </w:rPr>
      </w:pPr>
    </w:p>
    <w:p w14:paraId="4E00E02B" w14:textId="77777777" w:rsidR="001E62B8" w:rsidRPr="00183B5F" w:rsidRDefault="00943743" w:rsidP="005570EB">
      <w:pPr>
        <w:keepNext/>
      </w:pPr>
      <w:r w:rsidRPr="00183B5F">
        <w:t>Nr-axSpA II klinikai vizsgálat</w:t>
      </w:r>
    </w:p>
    <w:p w14:paraId="12A4A578" w14:textId="77777777" w:rsidR="001E62B8" w:rsidRPr="00183B5F" w:rsidRDefault="001E62B8" w:rsidP="005570EB">
      <w:pPr>
        <w:keepNext/>
      </w:pPr>
    </w:p>
    <w:p w14:paraId="516CA9E2" w14:textId="77777777" w:rsidR="001E62B8" w:rsidRPr="00183B5F" w:rsidRDefault="00943743" w:rsidP="005570EB">
      <w:pPr>
        <w:keepNext/>
      </w:pPr>
      <w:r w:rsidRPr="00183B5F">
        <w:t>Az Nr-axSpA II klinikai vizsgálat nyílt elrendezésű szakaszába (</w:t>
      </w:r>
      <w:r w:rsidRPr="00183B5F">
        <w:rPr>
          <w:szCs w:val="22"/>
        </w:rPr>
        <w:t>melynek során kéthetente egyszer 40 mg Humira</w:t>
      </w:r>
      <w:r w:rsidRPr="00183B5F">
        <w:rPr>
          <w:szCs w:val="22"/>
        </w:rPr>
        <w:noBreakHyphen/>
      </w:r>
      <w:r w:rsidRPr="00183B5F">
        <w:rPr>
          <w:szCs w:val="22"/>
        </w:rPr>
        <w:t xml:space="preserve">t adagoltak 28 héten keresztül), </w:t>
      </w:r>
      <w:r w:rsidRPr="00183B5F">
        <w:t>673, olyan aktív nr-axSpA-ban szenvedő beteget vontak be (</w:t>
      </w:r>
      <w:r w:rsidRPr="00183B5F">
        <w:rPr>
          <w:szCs w:val="22"/>
        </w:rPr>
        <w:t>betegség aktivitásának átlagos kiindulási pontértéke [a Bath Ankylosing Spondylitis Disease Activity Index (BASDAI) 7,0 volt), akik nem megfelelően reagáltak legalább két NSAID</w:t>
      </w:r>
      <w:r w:rsidRPr="00183B5F">
        <w:rPr>
          <w:szCs w:val="22"/>
        </w:rPr>
        <w:noBreakHyphen/>
        <w:t>re, vagy nem tolerálták az NSAID-kezelést, illetve az ellenjavallt volt számukra. Ezeknél a betegeknél MR</w:t>
      </w:r>
      <w:r w:rsidR="003D6EDB" w:rsidRPr="00183B5F">
        <w:rPr>
          <w:szCs w:val="22"/>
        </w:rPr>
        <w:t>-</w:t>
      </w:r>
      <w:r w:rsidRPr="00183B5F">
        <w:rPr>
          <w:szCs w:val="22"/>
        </w:rPr>
        <w:t>vizsgálat vagy az emelkedett hs-CRP-szint igazolt gyulladást a sacroiliacalis ízületekben vagy a gerincben.</w:t>
      </w:r>
      <w:r w:rsidRPr="00183B5F">
        <w:t xml:space="preserve"> Azokat a betegeket, akik tartó</w:t>
      </w:r>
      <w:r w:rsidRPr="00183B5F">
        <w:t xml:space="preserve">s remissziót értek el </w:t>
      </w:r>
      <w:r w:rsidRPr="00183B5F">
        <w:rPr>
          <w:szCs w:val="22"/>
        </w:rPr>
        <w:t>a nyílt elrendezésű szakasz során</w:t>
      </w:r>
      <w:r w:rsidRPr="00183B5F">
        <w:t xml:space="preserve"> legalább 12 héten keresztül (N = 305) </w:t>
      </w:r>
      <w:r w:rsidRPr="00183B5F">
        <w:rPr>
          <w:szCs w:val="22"/>
        </w:rPr>
        <w:t>(ASDAS &lt; 1,3 a 16., 20., 24. és 28. héten), randomizálták folytatólagos kéthetente adagolt 40 mg Humira-kezelésre (</w:t>
      </w:r>
      <w:r w:rsidRPr="00183B5F">
        <w:t>N = 152) vagy placeb</w:t>
      </w:r>
      <w:r w:rsidR="004257F4" w:rsidRPr="00183B5F">
        <w:t>ó</w:t>
      </w:r>
      <w:r w:rsidRPr="00183B5F">
        <w:t xml:space="preserve">ra </w:t>
      </w:r>
      <w:r w:rsidRPr="00183B5F">
        <w:rPr>
          <w:szCs w:val="22"/>
        </w:rPr>
        <w:t>(</w:t>
      </w:r>
      <w:r w:rsidRPr="00183B5F">
        <w:t>N = 153) egy további, 40 hetes, kettős vak, placebokontrollos szakaszban (a vizsgálat teljes időtartama 68 hét volt). Azok a betegek, akiknek betegsége a kettős vak szakaszban fellángolt, minden második héten adott 40 mg Humira kiegészítő kezelést kaphattak legalább 12 hétig.</w:t>
      </w:r>
    </w:p>
    <w:p w14:paraId="50BE3345" w14:textId="77777777" w:rsidR="006C0A64" w:rsidRPr="00183B5F" w:rsidRDefault="006C0A64" w:rsidP="006C0A64"/>
    <w:p w14:paraId="2BC1B4AF" w14:textId="77777777" w:rsidR="001E62B8" w:rsidRPr="00183B5F" w:rsidRDefault="00943743" w:rsidP="001E62B8">
      <w:r w:rsidRPr="00183B5F">
        <w:rPr>
          <w:szCs w:val="22"/>
        </w:rPr>
        <w:t xml:space="preserve">A vizsgálat elsődleges végpontja azoknak a betegeknek az aránya volt, akiknek a vizsgálat 68. hetéig nem lángolt fel a betegségük. A fellángolás definíciója az </w:t>
      </w:r>
      <w:r w:rsidRPr="00183B5F">
        <w:t>ASDAS ≥ 2,1 két egymást követő viziten, négy hét különbséggel. A Humira</w:t>
      </w:r>
      <w:r w:rsidRPr="00183B5F">
        <w:noBreakHyphen/>
        <w:t>val kezelt betegek nagyobb arányán</w:t>
      </w:r>
      <w:r w:rsidR="00F85766" w:rsidRPr="00183B5F">
        <w:t>ál</w:t>
      </w:r>
      <w:r w:rsidRPr="00183B5F">
        <w:t xml:space="preserve"> nem fordult elő a betegség fellángolása a kettős vak szakasz során, összehasonlítva a placeb</w:t>
      </w:r>
      <w:r w:rsidR="00FB4704" w:rsidRPr="00183B5F">
        <w:t>ó</w:t>
      </w:r>
      <w:r w:rsidRPr="00183B5F">
        <w:t>t kapókkal (70,4% vs. 47,1%, p&lt;0,001) (1. ábra).</w:t>
      </w:r>
    </w:p>
    <w:p w14:paraId="413D7684" w14:textId="77777777" w:rsidR="006C0A64" w:rsidRPr="00183B5F" w:rsidRDefault="006C0A64" w:rsidP="00832DC3">
      <w:pPr>
        <w:pStyle w:val="EMEANormal"/>
        <w:jc w:val="center"/>
        <w:rPr>
          <w:lang w:val="hu-HU"/>
        </w:rPr>
      </w:pPr>
    </w:p>
    <w:p w14:paraId="6DF870BB" w14:textId="77777777" w:rsidR="006C0A64" w:rsidRPr="00183B5F" w:rsidRDefault="00943743" w:rsidP="00FE0197">
      <w:pPr>
        <w:pStyle w:val="EMEANormal"/>
        <w:keepNext/>
        <w:jc w:val="center"/>
        <w:rPr>
          <w:lang w:val="hu-HU"/>
        </w:rPr>
      </w:pPr>
      <w:r w:rsidRPr="00183B5F">
        <w:rPr>
          <w:b/>
          <w:lang w:val="hu-HU"/>
        </w:rPr>
        <w:t>1.</w:t>
      </w:r>
      <w:r w:rsidR="00D220DD" w:rsidRPr="00183B5F">
        <w:rPr>
          <w:b/>
          <w:lang w:val="hu-HU"/>
        </w:rPr>
        <w:t> </w:t>
      </w:r>
      <w:r w:rsidRPr="00183B5F">
        <w:rPr>
          <w:b/>
          <w:lang w:val="hu-HU"/>
        </w:rPr>
        <w:t>ábra: A betegség fellángolásáig eltelt időt bemutató Kaplan-Meier görbék az Nr-axSpA II vizsgálatban</w:t>
      </w:r>
    </w:p>
    <w:p w14:paraId="6F099A69" w14:textId="77777777" w:rsidR="006C0A64" w:rsidRPr="00183B5F" w:rsidRDefault="006C0A64" w:rsidP="00FE0197">
      <w:pPr>
        <w:keepNext/>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8603"/>
      </w:tblGrid>
      <w:tr w:rsidR="00011D2F" w14:paraId="047F8107" w14:textId="77777777" w:rsidTr="006C0A64">
        <w:trPr>
          <w:cantSplit/>
          <w:trHeight w:val="1134"/>
        </w:trPr>
        <w:tc>
          <w:tcPr>
            <w:tcW w:w="474" w:type="dxa"/>
            <w:textDirection w:val="btLr"/>
            <w:vAlign w:val="center"/>
            <w:hideMark/>
          </w:tcPr>
          <w:p w14:paraId="5E759E50" w14:textId="77777777" w:rsidR="006C0A64" w:rsidRPr="00183B5F" w:rsidRDefault="00943743" w:rsidP="00FE0197">
            <w:pPr>
              <w:keepNext/>
              <w:ind w:left="113" w:right="113"/>
              <w:jc w:val="center"/>
              <w:rPr>
                <w:b/>
                <w:sz w:val="20"/>
                <w:szCs w:val="24"/>
              </w:rPr>
            </w:pPr>
            <w:r w:rsidRPr="00183B5F">
              <w:rPr>
                <w:b/>
                <w:sz w:val="20"/>
              </w:rPr>
              <w:t>A EFLLÁNGOLÁS HIÁNYÁNAK VALÓSZÍNŰSÉGE</w:t>
            </w:r>
          </w:p>
        </w:tc>
        <w:tc>
          <w:tcPr>
            <w:tcW w:w="8813" w:type="dxa"/>
            <w:hideMark/>
          </w:tcPr>
          <w:p w14:paraId="614739C1" w14:textId="77777777" w:rsidR="006C0A64" w:rsidRPr="00183B5F" w:rsidRDefault="00943743" w:rsidP="00FE0197">
            <w:pPr>
              <w:keepNext/>
              <w:rPr>
                <w:sz w:val="20"/>
                <w:szCs w:val="24"/>
              </w:rPr>
            </w:pPr>
            <w:r w:rsidRPr="00202B95">
              <w:rPr>
                <w:noProof/>
                <w:sz w:val="20"/>
                <w:lang w:val="en-GB"/>
              </w:rPr>
              <w:drawing>
                <wp:anchor distT="0" distB="0" distL="114300" distR="114300" simplePos="0" relativeHeight="251675648" behindDoc="0" locked="0" layoutInCell="1" allowOverlap="1" wp14:anchorId="3F773CC4" wp14:editId="73709E2A">
                  <wp:simplePos x="0" y="0"/>
                  <wp:positionH relativeFrom="column">
                    <wp:posOffset>-635</wp:posOffset>
                  </wp:positionH>
                  <wp:positionV relativeFrom="paragraph">
                    <wp:posOffset>-2883535</wp:posOffset>
                  </wp:positionV>
                  <wp:extent cx="5619750" cy="3000375"/>
                  <wp:effectExtent l="0" t="0" r="0" b="9525"/>
                  <wp:wrapTopAndBottom/>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619750" cy="3000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11D2F" w14:paraId="56FAA2CA" w14:textId="77777777" w:rsidTr="006C0A64">
        <w:tc>
          <w:tcPr>
            <w:tcW w:w="474" w:type="dxa"/>
          </w:tcPr>
          <w:p w14:paraId="2A8589D7" w14:textId="77777777" w:rsidR="006C0A64" w:rsidRPr="00183B5F" w:rsidRDefault="006C0A64" w:rsidP="00FE0197">
            <w:pPr>
              <w:keepNext/>
              <w:rPr>
                <w:sz w:val="20"/>
                <w:szCs w:val="24"/>
              </w:rPr>
            </w:pPr>
          </w:p>
        </w:tc>
        <w:tc>
          <w:tcPr>
            <w:tcW w:w="8813" w:type="dxa"/>
            <w:vAlign w:val="center"/>
            <w:hideMark/>
          </w:tcPr>
          <w:p w14:paraId="6005BB98" w14:textId="77777777" w:rsidR="006C0A64" w:rsidRPr="00183B5F" w:rsidRDefault="00943743" w:rsidP="00FE0197">
            <w:pPr>
              <w:keepNext/>
              <w:jc w:val="center"/>
              <w:rPr>
                <w:b/>
                <w:sz w:val="20"/>
                <w:szCs w:val="24"/>
              </w:rPr>
            </w:pPr>
            <w:r w:rsidRPr="00183B5F">
              <w:rPr>
                <w:b/>
                <w:sz w:val="20"/>
              </w:rPr>
              <w:t>IDŐ (H</w:t>
            </w:r>
            <w:r w:rsidR="001E62B8" w:rsidRPr="00183B5F">
              <w:rPr>
                <w:b/>
                <w:sz w:val="20"/>
              </w:rPr>
              <w:t>ÉT</w:t>
            </w:r>
            <w:r w:rsidRPr="00183B5F">
              <w:rPr>
                <w:b/>
                <w:sz w:val="20"/>
              </w:rPr>
              <w:t>)</w:t>
            </w:r>
          </w:p>
        </w:tc>
      </w:tr>
      <w:tr w:rsidR="00011D2F" w14:paraId="72811695" w14:textId="77777777" w:rsidTr="006C0A64">
        <w:tc>
          <w:tcPr>
            <w:tcW w:w="9287" w:type="dxa"/>
            <w:gridSpan w:val="2"/>
            <w:hideMark/>
          </w:tcPr>
          <w:p w14:paraId="684400CA" w14:textId="77777777" w:rsidR="006C0A64" w:rsidRPr="00183B5F" w:rsidRDefault="00943743" w:rsidP="00FE0197">
            <w:pPr>
              <w:keepNext/>
              <w:rPr>
                <w:sz w:val="20"/>
              </w:rPr>
            </w:pPr>
            <w:r w:rsidRPr="00183B5F">
              <w:rPr>
                <w:sz w:val="20"/>
              </w:rPr>
              <w:t xml:space="preserve">                                  Kezelés      </w:t>
            </w:r>
            <w:r w:rsidRPr="00183B5F">
              <w:rPr>
                <w:noProof/>
                <w:sz w:val="20"/>
              </w:rPr>
              <w:t xml:space="preserve"> </w:t>
            </w:r>
            <w:r w:rsidRPr="00202B95">
              <w:rPr>
                <w:noProof/>
                <w:sz w:val="20"/>
                <w:lang w:val="en-GB"/>
              </w:rPr>
              <mc:AlternateContent>
                <mc:Choice Requires="wps">
                  <w:drawing>
                    <wp:inline distT="0" distB="0" distL="0" distR="0" wp14:anchorId="5F26D8C2" wp14:editId="7056820F">
                      <wp:extent cx="381000" cy="0"/>
                      <wp:effectExtent l="19050" t="19050" r="19050" b="19050"/>
                      <wp:docPr id="133" name="Straight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28575">
                                <a:solidFill>
                                  <a:schemeClr val="tx1">
                                    <a:lumMod val="65000"/>
                                    <a:lumOff val="35000"/>
                                  </a:schemeClr>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133" o:spid="_x0000_i1032" style="mso-left-percent:-10001;mso-position-horizontal-relative:char;mso-position-vertical-relative:line;mso-top-percent:-10001;mso-wrap-style:square;visibility:visible" from="0,0" to="30pt,0" strokecolor="#5a5a5a" strokeweight="2.25pt">
                      <v:stroke dashstyle="1 1"/>
                      <w10:anchorlock/>
                    </v:line>
                  </w:pict>
                </mc:Fallback>
              </mc:AlternateContent>
            </w:r>
            <w:r w:rsidRPr="00183B5F">
              <w:rPr>
                <w:noProof/>
                <w:sz w:val="20"/>
              </w:rPr>
              <w:t xml:space="preserve"> </w:t>
            </w:r>
            <w:r w:rsidRPr="00183B5F">
              <w:rPr>
                <w:sz w:val="20"/>
              </w:rPr>
              <w:t xml:space="preserve">Placebo     </w:t>
            </w:r>
            <w:r w:rsidRPr="00202B95">
              <w:rPr>
                <w:noProof/>
                <w:sz w:val="20"/>
                <w:lang w:val="en-GB"/>
              </w:rPr>
              <mc:AlternateContent>
                <mc:Choice Requires="wps">
                  <w:drawing>
                    <wp:inline distT="0" distB="0" distL="0" distR="0" wp14:anchorId="41C875C1" wp14:editId="425A5424">
                      <wp:extent cx="401320" cy="0"/>
                      <wp:effectExtent l="9525" t="9525" r="17780" b="9525"/>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320" cy="0"/>
                              </a:xfrm>
                              <a:prstGeom prst="line">
                                <a:avLst/>
                              </a:prstGeom>
                              <a:noFill/>
                              <a:ln w="19050">
                                <a:solidFill>
                                  <a:schemeClr val="tx1">
                                    <a:lumMod val="75000"/>
                                    <a:lumOff val="25000"/>
                                  </a:schemeClr>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134" o:spid="_x0000_i1033" style="mso-left-percent:-10001;mso-position-horizontal-relative:char;mso-position-vertical-relative:line;mso-top-percent:-10001;mso-wrap-style:square;visibility:visible" from="0,0" to="31.6pt,0" strokecolor="#404040" strokeweight="1.5pt">
                      <w10:anchorlock/>
                    </v:line>
                  </w:pict>
                </mc:Fallback>
              </mc:AlternateContent>
            </w:r>
            <w:r w:rsidRPr="00183B5F">
              <w:rPr>
                <w:sz w:val="20"/>
              </w:rPr>
              <w:t xml:space="preserve"> Humira     ∆ Cen</w:t>
            </w:r>
            <w:r w:rsidR="00551864" w:rsidRPr="00183B5F">
              <w:rPr>
                <w:sz w:val="20"/>
              </w:rPr>
              <w:t>zo</w:t>
            </w:r>
            <w:r w:rsidR="009C192B" w:rsidRPr="00183B5F">
              <w:rPr>
                <w:sz w:val="20"/>
              </w:rPr>
              <w:t>rált</w:t>
            </w:r>
          </w:p>
          <w:p w14:paraId="13DF2452" w14:textId="77777777" w:rsidR="006C0A64" w:rsidRPr="00183B5F" w:rsidRDefault="006C0A64" w:rsidP="00FE0197">
            <w:pPr>
              <w:keepNext/>
              <w:rPr>
                <w:sz w:val="20"/>
                <w:szCs w:val="24"/>
              </w:rPr>
            </w:pPr>
          </w:p>
        </w:tc>
      </w:tr>
    </w:tbl>
    <w:tbl>
      <w:tblPr>
        <w:tblW w:w="9285" w:type="dxa"/>
        <w:tblLayout w:type="fixed"/>
        <w:tblLook w:val="04A0" w:firstRow="1" w:lastRow="0" w:firstColumn="1" w:lastColumn="0" w:noHBand="0" w:noVBand="1"/>
      </w:tblPr>
      <w:tblGrid>
        <w:gridCol w:w="468"/>
        <w:gridCol w:w="8817"/>
      </w:tblGrid>
      <w:tr w:rsidR="00011D2F" w14:paraId="3D68D032" w14:textId="77777777" w:rsidTr="006C0A64">
        <w:tc>
          <w:tcPr>
            <w:tcW w:w="468" w:type="dxa"/>
          </w:tcPr>
          <w:p w14:paraId="5D4C4631" w14:textId="77777777" w:rsidR="006C0A64" w:rsidRPr="00183B5F" w:rsidRDefault="006C0A64" w:rsidP="00FE0197">
            <w:pPr>
              <w:pStyle w:val="EMEANormal"/>
              <w:keepNext/>
              <w:rPr>
                <w:szCs w:val="22"/>
                <w:lang w:val="hu-HU"/>
              </w:rPr>
            </w:pPr>
          </w:p>
        </w:tc>
        <w:tc>
          <w:tcPr>
            <w:tcW w:w="8817" w:type="dxa"/>
            <w:hideMark/>
          </w:tcPr>
          <w:p w14:paraId="522DAD93" w14:textId="77777777" w:rsidR="006C0A64" w:rsidRPr="00183B5F" w:rsidRDefault="00943743" w:rsidP="00FE0197">
            <w:pPr>
              <w:pStyle w:val="EMEANormal"/>
              <w:keepNext/>
              <w:rPr>
                <w:szCs w:val="22"/>
                <w:lang w:val="hu-HU"/>
              </w:rPr>
            </w:pPr>
            <w:r w:rsidRPr="00183B5F">
              <w:rPr>
                <w:szCs w:val="22"/>
                <w:lang w:val="hu-HU"/>
              </w:rPr>
              <w:t>Megjegyzés: P = Placebo (Veszélyeztetett betegek száma (fellángolások)); H = HUMIRA (Veszélyeztetett betegek száma (fellángolások)).</w:t>
            </w:r>
          </w:p>
        </w:tc>
      </w:tr>
    </w:tbl>
    <w:p w14:paraId="7907E84D" w14:textId="77777777" w:rsidR="006C0A64" w:rsidRPr="00183B5F" w:rsidRDefault="006C0A64" w:rsidP="004062FE">
      <w:pPr>
        <w:spacing w:line="240" w:lineRule="auto"/>
        <w:rPr>
          <w:szCs w:val="22"/>
          <w:u w:val="single"/>
        </w:rPr>
      </w:pPr>
    </w:p>
    <w:p w14:paraId="3F67BF85" w14:textId="77777777" w:rsidR="001E62B8" w:rsidRPr="00183B5F" w:rsidRDefault="00943743" w:rsidP="00163756">
      <w:pPr>
        <w:spacing w:line="240" w:lineRule="auto"/>
      </w:pPr>
      <w:r w:rsidRPr="00183B5F">
        <w:rPr>
          <w:szCs w:val="22"/>
        </w:rPr>
        <w:t>A 68 beteg közül, akiknek a kezelést megszakító csoportban fellángolt a betegsége, 65</w:t>
      </w:r>
      <w:r w:rsidRPr="00183B5F">
        <w:rPr>
          <w:szCs w:val="22"/>
        </w:rPr>
        <w:noBreakHyphen/>
        <w:t>en fejezték be a 12 hetes kiegészítő Humira</w:t>
      </w:r>
      <w:r w:rsidRPr="00183B5F">
        <w:rPr>
          <w:szCs w:val="22"/>
        </w:rPr>
        <w:noBreakHyphen/>
        <w:t>kezelést, közülük 37</w:t>
      </w:r>
      <w:r w:rsidRPr="00183B5F">
        <w:rPr>
          <w:szCs w:val="22"/>
        </w:rPr>
        <w:noBreakHyphen/>
        <w:t xml:space="preserve">en (56,9%) újra remisszióba kerültek </w:t>
      </w:r>
      <w:r w:rsidRPr="00183B5F">
        <w:t>(ASDAS &lt; 1,3) 12 héttel a nyílt elrendezésű kezelés újrakezdését követően.</w:t>
      </w:r>
    </w:p>
    <w:p w14:paraId="0A2B1A60" w14:textId="77777777" w:rsidR="001E62B8" w:rsidRPr="00183B5F" w:rsidRDefault="001E62B8" w:rsidP="00163756">
      <w:pPr>
        <w:spacing w:line="240" w:lineRule="auto"/>
      </w:pPr>
    </w:p>
    <w:p w14:paraId="329F8C2C" w14:textId="77777777" w:rsidR="001E62B8" w:rsidRPr="00183B5F" w:rsidRDefault="00943743" w:rsidP="00163756">
      <w:pPr>
        <w:spacing w:line="240" w:lineRule="auto"/>
        <w:rPr>
          <w:szCs w:val="22"/>
        </w:rPr>
      </w:pPr>
      <w:r w:rsidRPr="00183B5F">
        <w:t>A 68. hétre a folyamatos Humira</w:t>
      </w:r>
      <w:r w:rsidRPr="00183B5F">
        <w:noBreakHyphen/>
        <w:t xml:space="preserve">kezelésben részesült betegeknél </w:t>
      </w:r>
      <w:r w:rsidRPr="00183B5F">
        <w:rPr>
          <w:szCs w:val="22"/>
        </w:rPr>
        <w:t xml:space="preserve">az aktív nr-axSpA </w:t>
      </w:r>
      <w:r w:rsidR="00730A2E" w:rsidRPr="00183B5F">
        <w:rPr>
          <w:szCs w:val="22"/>
        </w:rPr>
        <w:t>okozta panaszokban</w:t>
      </w:r>
      <w:r w:rsidRPr="00183B5F">
        <w:rPr>
          <w:szCs w:val="22"/>
        </w:rPr>
        <w:t xml:space="preserve"> és tünete</w:t>
      </w:r>
      <w:r w:rsidR="003C67CE" w:rsidRPr="00183B5F">
        <w:rPr>
          <w:szCs w:val="22"/>
        </w:rPr>
        <w:t>k</w:t>
      </w:r>
      <w:r w:rsidRPr="00183B5F">
        <w:rPr>
          <w:szCs w:val="22"/>
        </w:rPr>
        <w:t>ben</w:t>
      </w:r>
      <w:r w:rsidRPr="00183B5F">
        <w:t xml:space="preserve"> s</w:t>
      </w:r>
      <w:r w:rsidRPr="00183B5F">
        <w:rPr>
          <w:szCs w:val="22"/>
        </w:rPr>
        <w:t>tatisztikailag szignifikánsan nagyobb javulás jelentkezett</w:t>
      </w:r>
      <w:r w:rsidR="003C67CE" w:rsidRPr="00183B5F">
        <w:rPr>
          <w:szCs w:val="22"/>
        </w:rPr>
        <w:t>, mint a vizsgálat kettős vak szakaszában</w:t>
      </w:r>
      <w:r w:rsidRPr="00183B5F">
        <w:rPr>
          <w:szCs w:val="22"/>
        </w:rPr>
        <w:t xml:space="preserve"> a kezelést megszakító csoportba sorolt betegeknél (</w:t>
      </w:r>
      <w:r w:rsidR="007D329A" w:rsidRPr="00183B5F">
        <w:rPr>
          <w:szCs w:val="22"/>
        </w:rPr>
        <w:t>14</w:t>
      </w:r>
      <w:r w:rsidRPr="00183B5F">
        <w:rPr>
          <w:szCs w:val="22"/>
        </w:rPr>
        <w:t>. táblázat).</w:t>
      </w:r>
    </w:p>
    <w:p w14:paraId="2DD14FC6" w14:textId="77777777" w:rsidR="006C0A64" w:rsidRPr="00183B5F" w:rsidRDefault="006C0A64" w:rsidP="006C0A64">
      <w:pPr>
        <w:spacing w:line="240" w:lineRule="auto"/>
        <w:rPr>
          <w:szCs w:val="22"/>
        </w:rPr>
      </w:pPr>
    </w:p>
    <w:p w14:paraId="51EE25F6" w14:textId="77777777" w:rsidR="006C0A64" w:rsidRPr="00183B5F" w:rsidRDefault="00943743" w:rsidP="006C0A64">
      <w:pPr>
        <w:pStyle w:val="EMEANormal"/>
        <w:ind w:left="720"/>
        <w:jc w:val="center"/>
        <w:rPr>
          <w:lang w:val="hu-HU"/>
        </w:rPr>
      </w:pPr>
      <w:r w:rsidRPr="00183B5F">
        <w:rPr>
          <w:b/>
          <w:lang w:val="hu-HU"/>
        </w:rPr>
        <w:t>14. táblázat</w:t>
      </w:r>
    </w:p>
    <w:p w14:paraId="38332FB3" w14:textId="77777777" w:rsidR="006C0A64" w:rsidRPr="00183B5F" w:rsidRDefault="00943743" w:rsidP="006C0A64">
      <w:pPr>
        <w:pStyle w:val="EMEANormal"/>
        <w:keepNext/>
        <w:jc w:val="center"/>
        <w:rPr>
          <w:lang w:val="hu-HU"/>
        </w:rPr>
      </w:pPr>
      <w:r w:rsidRPr="00183B5F">
        <w:rPr>
          <w:b/>
          <w:szCs w:val="22"/>
          <w:lang w:val="hu-HU"/>
        </w:rPr>
        <w:t xml:space="preserve">Hatásossági válaszarányok a placebokontrollos </w:t>
      </w:r>
      <w:r w:rsidR="001E62B8" w:rsidRPr="00183B5F">
        <w:rPr>
          <w:b/>
          <w:szCs w:val="22"/>
          <w:lang w:val="hu-HU"/>
        </w:rPr>
        <w:t>N</w:t>
      </w:r>
      <w:r w:rsidRPr="00183B5F">
        <w:rPr>
          <w:b/>
          <w:szCs w:val="22"/>
          <w:lang w:val="hu-HU"/>
        </w:rPr>
        <w:t>r</w:t>
      </w:r>
      <w:r w:rsidRPr="00183B5F">
        <w:rPr>
          <w:b/>
          <w:szCs w:val="22"/>
          <w:lang w:val="hu-HU"/>
        </w:rPr>
        <w:noBreakHyphen/>
        <w:t>axSpA II vizsgálatban</w:t>
      </w:r>
    </w:p>
    <w:p w14:paraId="1EB9BDFF" w14:textId="77777777" w:rsidR="006C0A64" w:rsidRPr="00183B5F" w:rsidRDefault="006C0A64" w:rsidP="006C0A64">
      <w:pPr>
        <w:pStyle w:val="EMEANormal"/>
        <w:ind w:left="720"/>
        <w:rPr>
          <w:lang w:val="hu-H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58"/>
        <w:gridCol w:w="1682"/>
        <w:gridCol w:w="1821"/>
      </w:tblGrid>
      <w:tr w:rsidR="00011D2F" w14:paraId="59DA898A" w14:textId="77777777" w:rsidTr="006C0A64">
        <w:trPr>
          <w:jc w:val="center"/>
        </w:trPr>
        <w:tc>
          <w:tcPr>
            <w:tcW w:w="3067" w:type="pct"/>
            <w:tcBorders>
              <w:top w:val="single" w:sz="4" w:space="0" w:color="auto"/>
              <w:left w:val="single" w:sz="4" w:space="0" w:color="auto"/>
              <w:bottom w:val="single" w:sz="4" w:space="0" w:color="auto"/>
              <w:right w:val="single" w:sz="4" w:space="0" w:color="auto"/>
            </w:tcBorders>
            <w:hideMark/>
          </w:tcPr>
          <w:p w14:paraId="56BA9C8D" w14:textId="77777777" w:rsidR="006C0A64" w:rsidRPr="00183B5F" w:rsidRDefault="00943743" w:rsidP="006C0A64">
            <w:pPr>
              <w:keepNext/>
              <w:spacing w:line="276" w:lineRule="auto"/>
              <w:rPr>
                <w:b/>
                <w:bCs/>
                <w:szCs w:val="24"/>
              </w:rPr>
            </w:pPr>
            <w:r w:rsidRPr="00183B5F">
              <w:rPr>
                <w:b/>
                <w:bCs/>
              </w:rPr>
              <w:t>Kettős vak</w:t>
            </w:r>
          </w:p>
          <w:p w14:paraId="5014C0E9" w14:textId="77777777" w:rsidR="006C0A64" w:rsidRPr="00183B5F" w:rsidRDefault="00943743" w:rsidP="006C0A64">
            <w:pPr>
              <w:keepNext/>
              <w:tabs>
                <w:tab w:val="left" w:pos="562"/>
              </w:tabs>
              <w:spacing w:line="276" w:lineRule="auto"/>
              <w:rPr>
                <w:b/>
                <w:bCs/>
                <w:szCs w:val="24"/>
              </w:rPr>
            </w:pPr>
            <w:r w:rsidRPr="00183B5F">
              <w:rPr>
                <w:b/>
                <w:bCs/>
              </w:rPr>
              <w:t>Válasz a 68. héten</w:t>
            </w:r>
          </w:p>
        </w:tc>
        <w:tc>
          <w:tcPr>
            <w:tcW w:w="928" w:type="pct"/>
            <w:tcBorders>
              <w:top w:val="single" w:sz="4" w:space="0" w:color="auto"/>
              <w:left w:val="single" w:sz="4" w:space="0" w:color="auto"/>
              <w:bottom w:val="single" w:sz="4" w:space="0" w:color="auto"/>
              <w:right w:val="single" w:sz="4" w:space="0" w:color="auto"/>
            </w:tcBorders>
            <w:hideMark/>
          </w:tcPr>
          <w:p w14:paraId="473995DE" w14:textId="77777777" w:rsidR="006C0A64" w:rsidRPr="00183B5F" w:rsidRDefault="00943743" w:rsidP="006C0A64">
            <w:pPr>
              <w:keepNext/>
              <w:spacing w:line="276" w:lineRule="auto"/>
              <w:jc w:val="center"/>
              <w:rPr>
                <w:b/>
                <w:bCs/>
                <w:sz w:val="20"/>
              </w:rPr>
            </w:pPr>
            <w:r w:rsidRPr="00183B5F">
              <w:rPr>
                <w:b/>
                <w:bCs/>
                <w:sz w:val="20"/>
              </w:rPr>
              <w:t>Placebo</w:t>
            </w:r>
          </w:p>
          <w:p w14:paraId="07373CB8" w14:textId="77777777" w:rsidR="006C0A64" w:rsidRPr="00183B5F" w:rsidRDefault="00943743" w:rsidP="006C0A64">
            <w:pPr>
              <w:keepNext/>
              <w:tabs>
                <w:tab w:val="left" w:pos="562"/>
              </w:tabs>
              <w:spacing w:line="276" w:lineRule="auto"/>
              <w:jc w:val="center"/>
              <w:rPr>
                <w:b/>
                <w:bCs/>
                <w:sz w:val="20"/>
              </w:rPr>
            </w:pPr>
            <w:r w:rsidRPr="00183B5F">
              <w:rPr>
                <w:b/>
                <w:bCs/>
                <w:sz w:val="20"/>
              </w:rPr>
              <w:t>N</w:t>
            </w:r>
            <w:r w:rsidR="009C192B" w:rsidRPr="00183B5F">
              <w:rPr>
                <w:b/>
                <w:bCs/>
                <w:sz w:val="20"/>
              </w:rPr>
              <w:t> </w:t>
            </w:r>
            <w:r w:rsidRPr="00183B5F">
              <w:rPr>
                <w:b/>
                <w:bCs/>
                <w:sz w:val="20"/>
              </w:rPr>
              <w:t>=</w:t>
            </w:r>
            <w:r w:rsidR="009C192B" w:rsidRPr="00183B5F">
              <w:rPr>
                <w:b/>
                <w:bCs/>
                <w:sz w:val="20"/>
              </w:rPr>
              <w:t> </w:t>
            </w:r>
            <w:r w:rsidRPr="00183B5F">
              <w:rPr>
                <w:b/>
                <w:bCs/>
                <w:sz w:val="20"/>
              </w:rPr>
              <w:t>153</w:t>
            </w:r>
          </w:p>
        </w:tc>
        <w:tc>
          <w:tcPr>
            <w:tcW w:w="1005" w:type="pct"/>
            <w:tcBorders>
              <w:top w:val="single" w:sz="4" w:space="0" w:color="auto"/>
              <w:left w:val="single" w:sz="4" w:space="0" w:color="auto"/>
              <w:bottom w:val="single" w:sz="4" w:space="0" w:color="auto"/>
              <w:right w:val="single" w:sz="4" w:space="0" w:color="auto"/>
            </w:tcBorders>
            <w:hideMark/>
          </w:tcPr>
          <w:p w14:paraId="6D2114DD" w14:textId="77777777" w:rsidR="006C0A64" w:rsidRPr="00183B5F" w:rsidRDefault="00943743" w:rsidP="006C0A64">
            <w:pPr>
              <w:keepNext/>
              <w:spacing w:line="276" w:lineRule="auto"/>
              <w:jc w:val="center"/>
              <w:rPr>
                <w:b/>
                <w:bCs/>
                <w:sz w:val="20"/>
              </w:rPr>
            </w:pPr>
            <w:r w:rsidRPr="00183B5F">
              <w:rPr>
                <w:b/>
                <w:bCs/>
                <w:sz w:val="20"/>
              </w:rPr>
              <w:t>Humira</w:t>
            </w:r>
          </w:p>
          <w:p w14:paraId="292A6111" w14:textId="77777777" w:rsidR="006C0A64" w:rsidRPr="00183B5F" w:rsidRDefault="00943743" w:rsidP="006C0A64">
            <w:pPr>
              <w:keepNext/>
              <w:tabs>
                <w:tab w:val="left" w:pos="562"/>
              </w:tabs>
              <w:spacing w:line="276" w:lineRule="auto"/>
              <w:jc w:val="center"/>
              <w:rPr>
                <w:b/>
                <w:bCs/>
                <w:sz w:val="20"/>
              </w:rPr>
            </w:pPr>
            <w:r w:rsidRPr="00183B5F">
              <w:rPr>
                <w:b/>
                <w:bCs/>
                <w:sz w:val="20"/>
              </w:rPr>
              <w:t>N</w:t>
            </w:r>
            <w:r w:rsidR="009C192B" w:rsidRPr="00183B5F">
              <w:rPr>
                <w:b/>
                <w:bCs/>
                <w:sz w:val="20"/>
              </w:rPr>
              <w:t> </w:t>
            </w:r>
            <w:r w:rsidRPr="00183B5F">
              <w:rPr>
                <w:b/>
                <w:bCs/>
                <w:sz w:val="20"/>
              </w:rPr>
              <w:t>=</w:t>
            </w:r>
            <w:r w:rsidR="009C192B" w:rsidRPr="00183B5F">
              <w:rPr>
                <w:b/>
                <w:bCs/>
                <w:sz w:val="20"/>
              </w:rPr>
              <w:t> </w:t>
            </w:r>
            <w:r w:rsidRPr="00183B5F">
              <w:rPr>
                <w:b/>
                <w:bCs/>
                <w:sz w:val="20"/>
              </w:rPr>
              <w:t>152</w:t>
            </w:r>
          </w:p>
        </w:tc>
      </w:tr>
      <w:tr w:rsidR="00011D2F" w14:paraId="684BF781" w14:textId="77777777" w:rsidTr="006C0A64">
        <w:trPr>
          <w:jc w:val="center"/>
        </w:trPr>
        <w:tc>
          <w:tcPr>
            <w:tcW w:w="3067" w:type="pct"/>
            <w:tcBorders>
              <w:top w:val="single" w:sz="4" w:space="0" w:color="auto"/>
              <w:left w:val="single" w:sz="4" w:space="0" w:color="auto"/>
              <w:bottom w:val="single" w:sz="4" w:space="0" w:color="auto"/>
              <w:right w:val="single" w:sz="4" w:space="0" w:color="auto"/>
            </w:tcBorders>
            <w:hideMark/>
          </w:tcPr>
          <w:p w14:paraId="2FDB4E19" w14:textId="77777777" w:rsidR="006C0A64" w:rsidRPr="00183B5F" w:rsidRDefault="00943743" w:rsidP="006C0A64">
            <w:pPr>
              <w:keepNext/>
              <w:tabs>
                <w:tab w:val="left" w:pos="562"/>
              </w:tabs>
              <w:spacing w:line="276" w:lineRule="auto"/>
              <w:rPr>
                <w:szCs w:val="24"/>
              </w:rPr>
            </w:pPr>
            <w:r w:rsidRPr="00183B5F">
              <w:t>ASAS</w:t>
            </w:r>
            <w:r w:rsidRPr="00183B5F">
              <w:rPr>
                <w:vertAlign w:val="superscript"/>
              </w:rPr>
              <w:t>a,b</w:t>
            </w:r>
            <w:r w:rsidRPr="00183B5F">
              <w:t xml:space="preserve"> 20</w:t>
            </w:r>
          </w:p>
        </w:tc>
        <w:tc>
          <w:tcPr>
            <w:tcW w:w="928" w:type="pct"/>
            <w:tcBorders>
              <w:top w:val="single" w:sz="4" w:space="0" w:color="auto"/>
              <w:left w:val="single" w:sz="4" w:space="0" w:color="auto"/>
              <w:bottom w:val="single" w:sz="4" w:space="0" w:color="auto"/>
              <w:right w:val="single" w:sz="4" w:space="0" w:color="auto"/>
            </w:tcBorders>
            <w:hideMark/>
          </w:tcPr>
          <w:p w14:paraId="0B4FDC31" w14:textId="77777777" w:rsidR="006C0A64" w:rsidRPr="00183B5F" w:rsidRDefault="00943743" w:rsidP="006C0A64">
            <w:pPr>
              <w:keepNext/>
              <w:tabs>
                <w:tab w:val="left" w:pos="562"/>
              </w:tabs>
              <w:spacing w:line="276" w:lineRule="auto"/>
              <w:jc w:val="center"/>
              <w:rPr>
                <w:szCs w:val="24"/>
              </w:rPr>
            </w:pPr>
            <w:r w:rsidRPr="00183B5F">
              <w:t>47,1%</w:t>
            </w:r>
          </w:p>
        </w:tc>
        <w:tc>
          <w:tcPr>
            <w:tcW w:w="1005" w:type="pct"/>
            <w:tcBorders>
              <w:top w:val="single" w:sz="4" w:space="0" w:color="auto"/>
              <w:left w:val="single" w:sz="4" w:space="0" w:color="auto"/>
              <w:bottom w:val="single" w:sz="4" w:space="0" w:color="auto"/>
              <w:right w:val="single" w:sz="4" w:space="0" w:color="auto"/>
            </w:tcBorders>
            <w:hideMark/>
          </w:tcPr>
          <w:p w14:paraId="11BF05BE" w14:textId="77777777" w:rsidR="006C0A64" w:rsidRPr="00183B5F" w:rsidRDefault="00943743" w:rsidP="006C0A64">
            <w:pPr>
              <w:keepNext/>
              <w:tabs>
                <w:tab w:val="left" w:pos="562"/>
              </w:tabs>
              <w:spacing w:line="276" w:lineRule="auto"/>
              <w:jc w:val="center"/>
              <w:rPr>
                <w:szCs w:val="24"/>
              </w:rPr>
            </w:pPr>
            <w:r w:rsidRPr="00183B5F">
              <w:t>70,4%***</w:t>
            </w:r>
          </w:p>
        </w:tc>
      </w:tr>
      <w:tr w:rsidR="00011D2F" w14:paraId="371976AE" w14:textId="77777777" w:rsidTr="006C0A64">
        <w:trPr>
          <w:jc w:val="center"/>
        </w:trPr>
        <w:tc>
          <w:tcPr>
            <w:tcW w:w="3067" w:type="pct"/>
            <w:tcBorders>
              <w:top w:val="single" w:sz="4" w:space="0" w:color="auto"/>
              <w:left w:val="single" w:sz="4" w:space="0" w:color="auto"/>
              <w:bottom w:val="single" w:sz="4" w:space="0" w:color="auto"/>
              <w:right w:val="single" w:sz="4" w:space="0" w:color="auto"/>
            </w:tcBorders>
            <w:hideMark/>
          </w:tcPr>
          <w:p w14:paraId="4562F385" w14:textId="77777777" w:rsidR="006C0A64" w:rsidRPr="00183B5F" w:rsidRDefault="00943743" w:rsidP="006C0A64">
            <w:pPr>
              <w:keepNext/>
              <w:tabs>
                <w:tab w:val="left" w:pos="562"/>
              </w:tabs>
              <w:spacing w:line="276" w:lineRule="auto"/>
              <w:rPr>
                <w:szCs w:val="24"/>
              </w:rPr>
            </w:pPr>
            <w:r w:rsidRPr="00183B5F">
              <w:t>ASAS</w:t>
            </w:r>
            <w:r w:rsidRPr="00183B5F">
              <w:rPr>
                <w:vertAlign w:val="superscript"/>
              </w:rPr>
              <w:t>a,b</w:t>
            </w:r>
            <w:r w:rsidRPr="00183B5F">
              <w:t xml:space="preserve"> 40</w:t>
            </w:r>
          </w:p>
        </w:tc>
        <w:tc>
          <w:tcPr>
            <w:tcW w:w="928" w:type="pct"/>
            <w:tcBorders>
              <w:top w:val="single" w:sz="4" w:space="0" w:color="auto"/>
              <w:left w:val="single" w:sz="4" w:space="0" w:color="auto"/>
              <w:bottom w:val="single" w:sz="4" w:space="0" w:color="auto"/>
              <w:right w:val="single" w:sz="4" w:space="0" w:color="auto"/>
            </w:tcBorders>
            <w:hideMark/>
          </w:tcPr>
          <w:p w14:paraId="0024FF20" w14:textId="77777777" w:rsidR="006C0A64" w:rsidRPr="00183B5F" w:rsidRDefault="00943743" w:rsidP="006C0A64">
            <w:pPr>
              <w:keepNext/>
              <w:tabs>
                <w:tab w:val="left" w:pos="562"/>
              </w:tabs>
              <w:spacing w:line="276" w:lineRule="auto"/>
              <w:jc w:val="center"/>
              <w:rPr>
                <w:szCs w:val="24"/>
              </w:rPr>
            </w:pPr>
            <w:r w:rsidRPr="00183B5F">
              <w:t>45,8%</w:t>
            </w:r>
          </w:p>
        </w:tc>
        <w:tc>
          <w:tcPr>
            <w:tcW w:w="1005" w:type="pct"/>
            <w:tcBorders>
              <w:top w:val="single" w:sz="4" w:space="0" w:color="auto"/>
              <w:left w:val="single" w:sz="4" w:space="0" w:color="auto"/>
              <w:bottom w:val="single" w:sz="4" w:space="0" w:color="auto"/>
              <w:right w:val="single" w:sz="4" w:space="0" w:color="auto"/>
            </w:tcBorders>
            <w:hideMark/>
          </w:tcPr>
          <w:p w14:paraId="265C1EE1" w14:textId="77777777" w:rsidR="006C0A64" w:rsidRPr="00183B5F" w:rsidRDefault="00943743" w:rsidP="006C0A64">
            <w:pPr>
              <w:keepNext/>
              <w:tabs>
                <w:tab w:val="left" w:pos="562"/>
              </w:tabs>
              <w:spacing w:line="276" w:lineRule="auto"/>
              <w:jc w:val="center"/>
              <w:rPr>
                <w:szCs w:val="24"/>
              </w:rPr>
            </w:pPr>
            <w:r w:rsidRPr="00183B5F">
              <w:t>65,8%***</w:t>
            </w:r>
          </w:p>
        </w:tc>
      </w:tr>
      <w:tr w:rsidR="00011D2F" w14:paraId="216D8908" w14:textId="77777777" w:rsidTr="006C0A64">
        <w:trPr>
          <w:jc w:val="center"/>
        </w:trPr>
        <w:tc>
          <w:tcPr>
            <w:tcW w:w="3067" w:type="pct"/>
            <w:tcBorders>
              <w:top w:val="single" w:sz="4" w:space="0" w:color="auto"/>
              <w:left w:val="single" w:sz="4" w:space="0" w:color="auto"/>
              <w:bottom w:val="single" w:sz="4" w:space="0" w:color="auto"/>
              <w:right w:val="single" w:sz="4" w:space="0" w:color="auto"/>
            </w:tcBorders>
            <w:hideMark/>
          </w:tcPr>
          <w:p w14:paraId="66EACA60" w14:textId="77777777" w:rsidR="006C0A64" w:rsidRPr="00183B5F" w:rsidRDefault="00943743" w:rsidP="006C0A64">
            <w:pPr>
              <w:keepNext/>
              <w:tabs>
                <w:tab w:val="left" w:pos="562"/>
              </w:tabs>
              <w:spacing w:line="276" w:lineRule="auto"/>
              <w:rPr>
                <w:szCs w:val="24"/>
              </w:rPr>
            </w:pPr>
            <w:r w:rsidRPr="00183B5F">
              <w:t>ASAS</w:t>
            </w:r>
            <w:r w:rsidRPr="00183B5F">
              <w:rPr>
                <w:vertAlign w:val="superscript"/>
              </w:rPr>
              <w:t>a</w:t>
            </w:r>
            <w:r w:rsidRPr="00183B5F">
              <w:t xml:space="preserve"> Részleges Remisszió</w:t>
            </w:r>
          </w:p>
        </w:tc>
        <w:tc>
          <w:tcPr>
            <w:tcW w:w="928" w:type="pct"/>
            <w:tcBorders>
              <w:top w:val="single" w:sz="4" w:space="0" w:color="auto"/>
              <w:left w:val="single" w:sz="4" w:space="0" w:color="auto"/>
              <w:bottom w:val="single" w:sz="4" w:space="0" w:color="auto"/>
              <w:right w:val="single" w:sz="4" w:space="0" w:color="auto"/>
            </w:tcBorders>
            <w:hideMark/>
          </w:tcPr>
          <w:p w14:paraId="5862A48F" w14:textId="77777777" w:rsidR="006C0A64" w:rsidRPr="00183B5F" w:rsidRDefault="00943743" w:rsidP="006C0A64">
            <w:pPr>
              <w:keepNext/>
              <w:tabs>
                <w:tab w:val="left" w:pos="562"/>
              </w:tabs>
              <w:spacing w:line="276" w:lineRule="auto"/>
              <w:jc w:val="center"/>
              <w:rPr>
                <w:szCs w:val="24"/>
              </w:rPr>
            </w:pPr>
            <w:r w:rsidRPr="00183B5F">
              <w:t>26,8%</w:t>
            </w:r>
          </w:p>
        </w:tc>
        <w:tc>
          <w:tcPr>
            <w:tcW w:w="1005" w:type="pct"/>
            <w:tcBorders>
              <w:top w:val="single" w:sz="4" w:space="0" w:color="auto"/>
              <w:left w:val="single" w:sz="4" w:space="0" w:color="auto"/>
              <w:bottom w:val="single" w:sz="4" w:space="0" w:color="auto"/>
              <w:right w:val="single" w:sz="4" w:space="0" w:color="auto"/>
            </w:tcBorders>
            <w:hideMark/>
          </w:tcPr>
          <w:p w14:paraId="5B4FDA10" w14:textId="77777777" w:rsidR="006C0A64" w:rsidRPr="00183B5F" w:rsidRDefault="00943743" w:rsidP="006C0A64">
            <w:pPr>
              <w:keepNext/>
              <w:tabs>
                <w:tab w:val="left" w:pos="562"/>
              </w:tabs>
              <w:spacing w:line="276" w:lineRule="auto"/>
              <w:jc w:val="center"/>
              <w:rPr>
                <w:szCs w:val="24"/>
              </w:rPr>
            </w:pPr>
            <w:r w:rsidRPr="00183B5F">
              <w:t>42,1%**</w:t>
            </w:r>
          </w:p>
        </w:tc>
      </w:tr>
      <w:tr w:rsidR="00011D2F" w14:paraId="37CEDB2B" w14:textId="77777777" w:rsidTr="006C0A64">
        <w:trPr>
          <w:jc w:val="center"/>
        </w:trPr>
        <w:tc>
          <w:tcPr>
            <w:tcW w:w="3067" w:type="pct"/>
            <w:tcBorders>
              <w:top w:val="single" w:sz="4" w:space="0" w:color="auto"/>
              <w:left w:val="single" w:sz="4" w:space="0" w:color="auto"/>
              <w:bottom w:val="single" w:sz="4" w:space="0" w:color="auto"/>
              <w:right w:val="single" w:sz="4" w:space="0" w:color="auto"/>
            </w:tcBorders>
            <w:hideMark/>
          </w:tcPr>
          <w:p w14:paraId="022EBCFF" w14:textId="77777777" w:rsidR="006C0A64" w:rsidRPr="00183B5F" w:rsidRDefault="00943743" w:rsidP="006C0A64">
            <w:pPr>
              <w:keepNext/>
              <w:tabs>
                <w:tab w:val="left" w:pos="562"/>
              </w:tabs>
              <w:spacing w:line="276" w:lineRule="auto"/>
              <w:rPr>
                <w:szCs w:val="24"/>
              </w:rPr>
            </w:pPr>
            <w:r w:rsidRPr="00183B5F">
              <w:t>ASDAS</w:t>
            </w:r>
            <w:r w:rsidRPr="00183B5F">
              <w:rPr>
                <w:vertAlign w:val="superscript"/>
              </w:rPr>
              <w:t>c</w:t>
            </w:r>
            <w:r w:rsidRPr="00183B5F">
              <w:t xml:space="preserve"> Inaktív Betegség</w:t>
            </w:r>
          </w:p>
        </w:tc>
        <w:tc>
          <w:tcPr>
            <w:tcW w:w="928" w:type="pct"/>
            <w:tcBorders>
              <w:top w:val="single" w:sz="4" w:space="0" w:color="auto"/>
              <w:left w:val="single" w:sz="4" w:space="0" w:color="auto"/>
              <w:bottom w:val="single" w:sz="4" w:space="0" w:color="auto"/>
              <w:right w:val="single" w:sz="4" w:space="0" w:color="auto"/>
            </w:tcBorders>
            <w:hideMark/>
          </w:tcPr>
          <w:p w14:paraId="561521E1" w14:textId="77777777" w:rsidR="006C0A64" w:rsidRPr="00183B5F" w:rsidRDefault="00943743" w:rsidP="006C0A64">
            <w:pPr>
              <w:keepNext/>
              <w:tabs>
                <w:tab w:val="left" w:pos="562"/>
              </w:tabs>
              <w:spacing w:line="276" w:lineRule="auto"/>
              <w:jc w:val="center"/>
              <w:rPr>
                <w:szCs w:val="24"/>
              </w:rPr>
            </w:pPr>
            <w:r w:rsidRPr="00183B5F">
              <w:t>33,3%</w:t>
            </w:r>
          </w:p>
        </w:tc>
        <w:tc>
          <w:tcPr>
            <w:tcW w:w="1005" w:type="pct"/>
            <w:tcBorders>
              <w:top w:val="single" w:sz="4" w:space="0" w:color="auto"/>
              <w:left w:val="single" w:sz="4" w:space="0" w:color="auto"/>
              <w:bottom w:val="single" w:sz="4" w:space="0" w:color="auto"/>
              <w:right w:val="single" w:sz="4" w:space="0" w:color="auto"/>
            </w:tcBorders>
            <w:hideMark/>
          </w:tcPr>
          <w:p w14:paraId="03C1AB22" w14:textId="77777777" w:rsidR="006C0A64" w:rsidRPr="00183B5F" w:rsidRDefault="00943743" w:rsidP="006C0A64">
            <w:pPr>
              <w:keepNext/>
              <w:tabs>
                <w:tab w:val="left" w:pos="562"/>
              </w:tabs>
              <w:spacing w:line="276" w:lineRule="auto"/>
              <w:jc w:val="center"/>
              <w:rPr>
                <w:szCs w:val="24"/>
              </w:rPr>
            </w:pPr>
            <w:r w:rsidRPr="00183B5F">
              <w:t>57,2%***</w:t>
            </w:r>
          </w:p>
        </w:tc>
      </w:tr>
      <w:tr w:rsidR="00011D2F" w14:paraId="2BED7DA8" w14:textId="77777777" w:rsidTr="006C0A64">
        <w:trPr>
          <w:jc w:val="center"/>
        </w:trPr>
        <w:tc>
          <w:tcPr>
            <w:tcW w:w="3067" w:type="pct"/>
            <w:tcBorders>
              <w:top w:val="single" w:sz="4" w:space="0" w:color="auto"/>
              <w:left w:val="single" w:sz="4" w:space="0" w:color="auto"/>
              <w:bottom w:val="single" w:sz="4" w:space="0" w:color="auto"/>
              <w:right w:val="single" w:sz="4" w:space="0" w:color="auto"/>
            </w:tcBorders>
            <w:hideMark/>
          </w:tcPr>
          <w:p w14:paraId="15BAD3B8" w14:textId="77777777" w:rsidR="006C0A64" w:rsidRPr="00183B5F" w:rsidRDefault="00943743" w:rsidP="006C0A64">
            <w:pPr>
              <w:keepNext/>
              <w:tabs>
                <w:tab w:val="left" w:pos="562"/>
              </w:tabs>
              <w:spacing w:line="276" w:lineRule="auto"/>
              <w:rPr>
                <w:szCs w:val="24"/>
              </w:rPr>
            </w:pPr>
            <w:r w:rsidRPr="00183B5F">
              <w:t>A betegség részleges fellángolása</w:t>
            </w:r>
            <w:r w:rsidRPr="00183B5F">
              <w:rPr>
                <w:vertAlign w:val="superscript"/>
              </w:rPr>
              <w:t>d</w:t>
            </w:r>
          </w:p>
        </w:tc>
        <w:tc>
          <w:tcPr>
            <w:tcW w:w="928" w:type="pct"/>
            <w:tcBorders>
              <w:top w:val="single" w:sz="4" w:space="0" w:color="auto"/>
              <w:left w:val="single" w:sz="4" w:space="0" w:color="auto"/>
              <w:bottom w:val="single" w:sz="4" w:space="0" w:color="auto"/>
              <w:right w:val="single" w:sz="4" w:space="0" w:color="auto"/>
            </w:tcBorders>
            <w:hideMark/>
          </w:tcPr>
          <w:p w14:paraId="3B58FE2E" w14:textId="77777777" w:rsidR="006C0A64" w:rsidRPr="00183B5F" w:rsidRDefault="00943743" w:rsidP="006C0A64">
            <w:pPr>
              <w:keepNext/>
              <w:tabs>
                <w:tab w:val="left" w:pos="562"/>
              </w:tabs>
              <w:spacing w:line="276" w:lineRule="auto"/>
              <w:jc w:val="center"/>
              <w:rPr>
                <w:szCs w:val="24"/>
              </w:rPr>
            </w:pPr>
            <w:r w:rsidRPr="00183B5F">
              <w:t>64,1%</w:t>
            </w:r>
          </w:p>
        </w:tc>
        <w:tc>
          <w:tcPr>
            <w:tcW w:w="1005" w:type="pct"/>
            <w:tcBorders>
              <w:top w:val="single" w:sz="4" w:space="0" w:color="auto"/>
              <w:left w:val="single" w:sz="4" w:space="0" w:color="auto"/>
              <w:bottom w:val="single" w:sz="4" w:space="0" w:color="auto"/>
              <w:right w:val="single" w:sz="4" w:space="0" w:color="auto"/>
            </w:tcBorders>
            <w:hideMark/>
          </w:tcPr>
          <w:p w14:paraId="601BF75C" w14:textId="77777777" w:rsidR="006C0A64" w:rsidRPr="00183B5F" w:rsidRDefault="00943743" w:rsidP="006C0A64">
            <w:pPr>
              <w:keepNext/>
              <w:tabs>
                <w:tab w:val="left" w:pos="562"/>
              </w:tabs>
              <w:spacing w:line="276" w:lineRule="auto"/>
              <w:jc w:val="center"/>
              <w:rPr>
                <w:szCs w:val="24"/>
              </w:rPr>
            </w:pPr>
            <w:r w:rsidRPr="00183B5F">
              <w:t>40,8%***</w:t>
            </w:r>
          </w:p>
        </w:tc>
      </w:tr>
      <w:tr w:rsidR="00011D2F" w14:paraId="225D2D82" w14:textId="77777777" w:rsidTr="006C0A64">
        <w:trPr>
          <w:jc w:val="center"/>
        </w:trPr>
        <w:tc>
          <w:tcPr>
            <w:tcW w:w="5000" w:type="pct"/>
            <w:gridSpan w:val="3"/>
            <w:tcBorders>
              <w:top w:val="single" w:sz="4" w:space="0" w:color="auto"/>
              <w:left w:val="nil"/>
              <w:bottom w:val="nil"/>
              <w:right w:val="nil"/>
            </w:tcBorders>
            <w:hideMark/>
          </w:tcPr>
          <w:p w14:paraId="50FA6BD3" w14:textId="77777777" w:rsidR="00C91B9B" w:rsidRPr="00183B5F" w:rsidRDefault="00943743" w:rsidP="00C91B9B">
            <w:pPr>
              <w:suppressAutoHyphens w:val="0"/>
              <w:autoSpaceDE w:val="0"/>
              <w:autoSpaceDN w:val="0"/>
              <w:adjustRightInd w:val="0"/>
              <w:spacing w:line="240" w:lineRule="auto"/>
            </w:pPr>
            <w:r w:rsidRPr="00183B5F">
              <w:rPr>
                <w:szCs w:val="22"/>
                <w:vertAlign w:val="superscript"/>
              </w:rPr>
              <w:t>a</w:t>
            </w:r>
            <w:r w:rsidRPr="00183B5F">
              <w:rPr>
                <w:szCs w:val="22"/>
              </w:rPr>
              <w:t xml:space="preserve"> </w:t>
            </w:r>
            <w:r w:rsidRPr="00183B5F">
              <w:t>Assessments of Spondyloarthritis International Society (</w:t>
            </w:r>
            <w:r w:rsidRPr="00183B5F">
              <w:rPr>
                <w:szCs w:val="22"/>
              </w:rPr>
              <w:t>Spondylitis Ankylopoetica Értékelése)</w:t>
            </w:r>
          </w:p>
          <w:p w14:paraId="320756AB" w14:textId="77777777" w:rsidR="00C91B9B" w:rsidRPr="00183B5F" w:rsidRDefault="00943743" w:rsidP="00C91B9B">
            <w:pPr>
              <w:pStyle w:val="EMEANormal"/>
              <w:spacing w:line="276" w:lineRule="auto"/>
              <w:ind w:left="20"/>
              <w:rPr>
                <w:szCs w:val="22"/>
                <w:vertAlign w:val="superscript"/>
                <w:lang w:val="hu-HU"/>
              </w:rPr>
            </w:pPr>
            <w:r w:rsidRPr="00183B5F">
              <w:rPr>
                <w:szCs w:val="22"/>
                <w:vertAlign w:val="superscript"/>
                <w:lang w:val="hu-HU"/>
              </w:rPr>
              <w:t>b</w:t>
            </w:r>
            <w:r w:rsidRPr="00183B5F">
              <w:rPr>
                <w:szCs w:val="22"/>
                <w:lang w:val="hu-HU"/>
              </w:rPr>
              <w:t xml:space="preserve"> A kiindulás definíció szerint a nyílt elrendezésű szakasz kezdete, amikor a betegeknek aktív betegsége van.</w:t>
            </w:r>
          </w:p>
          <w:p w14:paraId="5E94AFDE" w14:textId="77777777" w:rsidR="00C91B9B" w:rsidRPr="00183B5F" w:rsidRDefault="00943743" w:rsidP="00C91B9B">
            <w:pPr>
              <w:pStyle w:val="EMEANormal"/>
              <w:spacing w:line="276" w:lineRule="auto"/>
              <w:ind w:left="20"/>
              <w:rPr>
                <w:szCs w:val="22"/>
                <w:vertAlign w:val="superscript"/>
                <w:lang w:val="hu-HU"/>
              </w:rPr>
            </w:pPr>
            <w:r w:rsidRPr="00183B5F">
              <w:rPr>
                <w:szCs w:val="22"/>
                <w:vertAlign w:val="superscript"/>
                <w:lang w:val="hu-HU"/>
              </w:rPr>
              <w:t>c</w:t>
            </w:r>
            <w:r w:rsidRPr="00183B5F">
              <w:rPr>
                <w:szCs w:val="22"/>
                <w:lang w:val="hu-HU"/>
              </w:rPr>
              <w:t xml:space="preserve"> </w:t>
            </w:r>
            <w:r w:rsidRPr="00183B5F">
              <w:rPr>
                <w:lang w:val="hu-HU"/>
              </w:rPr>
              <w:t>Ankylosing Spondylitis Disease Activity Score (Spondylitis Ankylopoetica Betegség Aktivitási pontszám)</w:t>
            </w:r>
          </w:p>
          <w:p w14:paraId="092BB803" w14:textId="77777777" w:rsidR="00C91B9B" w:rsidRPr="00183B5F" w:rsidRDefault="00943743" w:rsidP="00C91B9B">
            <w:pPr>
              <w:tabs>
                <w:tab w:val="left" w:pos="720"/>
              </w:tabs>
              <w:suppressAutoHyphens w:val="0"/>
              <w:autoSpaceDE w:val="0"/>
              <w:autoSpaceDN w:val="0"/>
              <w:adjustRightInd w:val="0"/>
              <w:spacing w:line="276" w:lineRule="auto"/>
              <w:rPr>
                <w:szCs w:val="22"/>
              </w:rPr>
            </w:pPr>
            <w:r w:rsidRPr="00183B5F">
              <w:rPr>
                <w:szCs w:val="22"/>
                <w:vertAlign w:val="superscript"/>
              </w:rPr>
              <w:t>d</w:t>
            </w:r>
            <w:r w:rsidRPr="00183B5F">
              <w:rPr>
                <w:szCs w:val="22"/>
              </w:rPr>
              <w:t xml:space="preserve"> A </w:t>
            </w:r>
            <w:r w:rsidR="009C192B" w:rsidRPr="00183B5F">
              <w:rPr>
                <w:szCs w:val="22"/>
              </w:rPr>
              <w:t xml:space="preserve">betegség </w:t>
            </w:r>
            <w:r w:rsidRPr="00183B5F">
              <w:rPr>
                <w:szCs w:val="22"/>
              </w:rPr>
              <w:t>részleges fellángolás</w:t>
            </w:r>
            <w:r w:rsidR="009C192B" w:rsidRPr="00183B5F">
              <w:rPr>
                <w:szCs w:val="22"/>
              </w:rPr>
              <w:t>a</w:t>
            </w:r>
            <w:r w:rsidRPr="00183B5F">
              <w:rPr>
                <w:szCs w:val="22"/>
              </w:rPr>
              <w:t xml:space="preserve"> definíció szerint az AS</w:t>
            </w:r>
            <w:r w:rsidR="003853EA" w:rsidRPr="00183B5F">
              <w:rPr>
                <w:rFonts w:eastAsiaTheme="minorHAnsi"/>
                <w:szCs w:val="22"/>
              </w:rPr>
              <w:t>DAS</w:t>
            </w:r>
            <w:r w:rsidR="003853EA" w:rsidRPr="00183B5F">
              <w:rPr>
                <w:rFonts w:eastAsiaTheme="minorHAnsi"/>
                <w:szCs w:val="22"/>
              </w:rPr>
              <w:noBreakHyphen/>
            </w:r>
            <w:r w:rsidRPr="00183B5F">
              <w:rPr>
                <w:rFonts w:eastAsiaTheme="minorHAnsi"/>
                <w:szCs w:val="22"/>
              </w:rPr>
              <w:t>értéke legalább 1,3 de kisebb, mint 2,1; két egymást követő vizit során.</w:t>
            </w:r>
          </w:p>
          <w:p w14:paraId="6D3EEED4" w14:textId="77777777" w:rsidR="006C0A64" w:rsidRPr="00183B5F" w:rsidRDefault="00943743" w:rsidP="00C91B9B">
            <w:pPr>
              <w:pStyle w:val="EMEANormal"/>
              <w:keepNext/>
              <w:spacing w:line="276" w:lineRule="auto"/>
              <w:ind w:left="20"/>
              <w:rPr>
                <w:lang w:val="hu-HU"/>
              </w:rPr>
            </w:pPr>
            <w:r w:rsidRPr="00183B5F">
              <w:rPr>
                <w:szCs w:val="22"/>
                <w:lang w:val="hu-HU"/>
              </w:rPr>
              <w:t xml:space="preserve">***, ** </w:t>
            </w:r>
            <w:r w:rsidRPr="00183B5F">
              <w:rPr>
                <w:lang w:val="hu-HU"/>
              </w:rPr>
              <w:t>Statisztikailag szignifik</w:t>
            </w:r>
            <w:r w:rsidR="009C192B" w:rsidRPr="00183B5F">
              <w:rPr>
                <w:lang w:val="hu-HU"/>
              </w:rPr>
              <w:t xml:space="preserve">áns különbség, rendre p &lt; 0,001 </w:t>
            </w:r>
            <w:r w:rsidRPr="00183B5F">
              <w:rPr>
                <w:lang w:val="hu-HU"/>
              </w:rPr>
              <w:t>és &lt; 0,01 érték esetén, a Humira és a placebo valamennyi összehasonlítását illetően.</w:t>
            </w:r>
          </w:p>
        </w:tc>
      </w:tr>
    </w:tbl>
    <w:p w14:paraId="6BA79CAE" w14:textId="77777777" w:rsidR="006C0A64" w:rsidRPr="00183B5F" w:rsidRDefault="006C0A64" w:rsidP="004062FE">
      <w:pPr>
        <w:spacing w:line="240" w:lineRule="auto"/>
        <w:rPr>
          <w:szCs w:val="22"/>
          <w:u w:val="single"/>
        </w:rPr>
      </w:pPr>
    </w:p>
    <w:p w14:paraId="1832B1DB" w14:textId="77777777" w:rsidR="00D0403E" w:rsidRPr="00183B5F" w:rsidRDefault="00943743" w:rsidP="004062FE">
      <w:pPr>
        <w:keepNext/>
        <w:spacing w:line="240" w:lineRule="auto"/>
        <w:rPr>
          <w:i/>
          <w:szCs w:val="22"/>
        </w:rPr>
      </w:pPr>
      <w:r w:rsidRPr="00183B5F">
        <w:rPr>
          <w:i/>
          <w:szCs w:val="22"/>
        </w:rPr>
        <w:t>Arthritis psoriatica</w:t>
      </w:r>
    </w:p>
    <w:p w14:paraId="6BDDCEBC" w14:textId="77777777" w:rsidR="00D0403E" w:rsidRPr="00183B5F" w:rsidRDefault="00D0403E" w:rsidP="004062FE">
      <w:pPr>
        <w:keepNext/>
        <w:spacing w:line="240" w:lineRule="auto"/>
        <w:rPr>
          <w:szCs w:val="22"/>
          <w:u w:val="single"/>
        </w:rPr>
      </w:pPr>
    </w:p>
    <w:p w14:paraId="3750FAA2" w14:textId="77777777" w:rsidR="00D0403E" w:rsidRPr="00183B5F" w:rsidRDefault="00943743" w:rsidP="004062FE">
      <w:pPr>
        <w:keepNext/>
        <w:spacing w:line="240" w:lineRule="auto"/>
        <w:rPr>
          <w:szCs w:val="22"/>
        </w:rPr>
      </w:pPr>
      <w:r w:rsidRPr="00183B5F">
        <w:rPr>
          <w:szCs w:val="22"/>
        </w:rPr>
        <w:t>A 40 mg Humira hatását kétheten</w:t>
      </w:r>
      <w:r w:rsidR="00F136C1" w:rsidRPr="00183B5F">
        <w:rPr>
          <w:szCs w:val="22"/>
        </w:rPr>
        <w:t>te</w:t>
      </w:r>
      <w:r w:rsidRPr="00183B5F">
        <w:rPr>
          <w:szCs w:val="22"/>
        </w:rPr>
        <w:t xml:space="preserve"> egyszeri adagolással köz</w:t>
      </w:r>
      <w:r w:rsidR="00297FBD" w:rsidRPr="00183B5F">
        <w:rPr>
          <w:szCs w:val="22"/>
        </w:rPr>
        <w:t xml:space="preserve">epesen </w:t>
      </w:r>
      <w:r w:rsidRPr="00183B5F">
        <w:rPr>
          <w:szCs w:val="22"/>
        </w:rPr>
        <w:t>súlyos – súlyos aktív a</w:t>
      </w:r>
      <w:r w:rsidR="00F136C1" w:rsidRPr="00183B5F">
        <w:rPr>
          <w:szCs w:val="22"/>
        </w:rPr>
        <w:t>r</w:t>
      </w:r>
      <w:r w:rsidRPr="00183B5F">
        <w:rPr>
          <w:szCs w:val="22"/>
        </w:rPr>
        <w:t xml:space="preserve">thritis psoriaticában szenvedő betegeken vizsgálták </w:t>
      </w:r>
      <w:r w:rsidR="00F136C1" w:rsidRPr="00183B5F">
        <w:rPr>
          <w:szCs w:val="22"/>
        </w:rPr>
        <w:t>két</w:t>
      </w:r>
      <w:r w:rsidRPr="00183B5F">
        <w:rPr>
          <w:szCs w:val="22"/>
        </w:rPr>
        <w:t xml:space="preserve"> placebo</w:t>
      </w:r>
      <w:r w:rsidRPr="00183B5F">
        <w:rPr>
          <w:szCs w:val="22"/>
        </w:rPr>
        <w:noBreakHyphen/>
        <w:t>kontrollos vizsgálatban, a PsA I és PsA II vizsgálatban. A PsA I vizsgálat 24 hét időtartammal folyt, 313 felnőtt, nem szteroid gyulladáscsökkentőre nem reagáló beteg vett részt benne, akiknek kb. 50%</w:t>
      </w:r>
      <w:r w:rsidRPr="00183B5F">
        <w:rPr>
          <w:szCs w:val="22"/>
        </w:rPr>
        <w:noBreakHyphen/>
        <w:t>a metotrex</w:t>
      </w:r>
      <w:r w:rsidR="00F136C1" w:rsidRPr="00183B5F">
        <w:rPr>
          <w:szCs w:val="22"/>
        </w:rPr>
        <w:t>á</w:t>
      </w:r>
      <w:r w:rsidRPr="00183B5F">
        <w:rPr>
          <w:szCs w:val="22"/>
        </w:rPr>
        <w:t>tot kapott. A 12 hétig tartó PsA II vizsgálatban 100 olyan beteget kezeltek, akik nem megfelelő választ adtak a DMARD kezelésre. A két vizsgálat befejezését követően 383 beteget válogattak be egy nyílt elrendezésű kiterjesztéses vizsgál</w:t>
      </w:r>
      <w:r w:rsidRPr="00183B5F">
        <w:rPr>
          <w:szCs w:val="22"/>
        </w:rPr>
        <w:t>atba, amelyben kéthetente 40 mg Humira-t adagoltak.</w:t>
      </w:r>
    </w:p>
    <w:p w14:paraId="38ABE7E7" w14:textId="77777777" w:rsidR="00D0403E" w:rsidRPr="00183B5F" w:rsidRDefault="00D0403E" w:rsidP="004062FE">
      <w:pPr>
        <w:spacing w:line="240" w:lineRule="auto"/>
        <w:rPr>
          <w:szCs w:val="22"/>
        </w:rPr>
      </w:pPr>
    </w:p>
    <w:p w14:paraId="35EC5499" w14:textId="77777777" w:rsidR="00D0403E" w:rsidRPr="00183B5F" w:rsidRDefault="00943743" w:rsidP="004062FE">
      <w:pPr>
        <w:spacing w:line="240" w:lineRule="auto"/>
        <w:rPr>
          <w:szCs w:val="22"/>
        </w:rPr>
      </w:pPr>
      <w:r w:rsidRPr="00183B5F">
        <w:rPr>
          <w:szCs w:val="22"/>
        </w:rPr>
        <w:t xml:space="preserve">A betegek kis száma miatt nincs </w:t>
      </w:r>
      <w:r w:rsidR="00F136C1" w:rsidRPr="00183B5F">
        <w:rPr>
          <w:szCs w:val="22"/>
        </w:rPr>
        <w:t>elegendő</w:t>
      </w:r>
      <w:r w:rsidRPr="00183B5F">
        <w:rPr>
          <w:szCs w:val="22"/>
        </w:rPr>
        <w:t xml:space="preserve"> bizonyíték a Humira hatásosságára spondylitis ankylopoetica-szerű psoria</w:t>
      </w:r>
      <w:r w:rsidR="00F136C1" w:rsidRPr="00183B5F">
        <w:rPr>
          <w:szCs w:val="22"/>
        </w:rPr>
        <w:t>sisos arthropathiában</w:t>
      </w:r>
      <w:r w:rsidRPr="00183B5F">
        <w:rPr>
          <w:szCs w:val="22"/>
        </w:rPr>
        <w:t>.</w:t>
      </w:r>
    </w:p>
    <w:p w14:paraId="46763697" w14:textId="77777777" w:rsidR="00D0403E" w:rsidRPr="00183B5F" w:rsidRDefault="00D0403E" w:rsidP="004062FE">
      <w:pPr>
        <w:spacing w:line="240" w:lineRule="auto"/>
        <w:rPr>
          <w:szCs w:val="22"/>
        </w:rPr>
      </w:pPr>
    </w:p>
    <w:p w14:paraId="401923DC" w14:textId="77777777" w:rsidR="00D0403E" w:rsidRPr="00183B5F" w:rsidRDefault="00943743" w:rsidP="004062FE">
      <w:pPr>
        <w:spacing w:line="240" w:lineRule="auto"/>
        <w:jc w:val="center"/>
        <w:rPr>
          <w:bCs/>
          <w:szCs w:val="22"/>
        </w:rPr>
      </w:pPr>
      <w:r w:rsidRPr="00183B5F">
        <w:rPr>
          <w:b/>
          <w:bCs/>
          <w:szCs w:val="22"/>
        </w:rPr>
        <w:t>15. táblázat</w:t>
      </w:r>
    </w:p>
    <w:p w14:paraId="1F818312" w14:textId="77777777" w:rsidR="002F4E6E" w:rsidRPr="00183B5F" w:rsidRDefault="00943743" w:rsidP="004062FE">
      <w:pPr>
        <w:spacing w:line="240" w:lineRule="auto"/>
        <w:jc w:val="center"/>
        <w:rPr>
          <w:bCs/>
          <w:szCs w:val="22"/>
        </w:rPr>
      </w:pPr>
      <w:r w:rsidRPr="00183B5F">
        <w:rPr>
          <w:b/>
          <w:bCs/>
          <w:szCs w:val="22"/>
        </w:rPr>
        <w:t>ACR-válasz</w:t>
      </w:r>
      <w:r w:rsidR="00D0403E" w:rsidRPr="00183B5F">
        <w:rPr>
          <w:b/>
          <w:bCs/>
          <w:szCs w:val="22"/>
        </w:rPr>
        <w:t xml:space="preserve"> placebokont</w:t>
      </w:r>
      <w:r w:rsidR="005570EB" w:rsidRPr="00183B5F">
        <w:rPr>
          <w:b/>
          <w:bCs/>
          <w:szCs w:val="22"/>
        </w:rPr>
        <w:t>rollált arthritis psoriaticában</w:t>
      </w:r>
    </w:p>
    <w:p w14:paraId="468DFC57" w14:textId="77777777" w:rsidR="00D0403E" w:rsidRPr="00183B5F" w:rsidRDefault="00943743" w:rsidP="004062FE">
      <w:pPr>
        <w:spacing w:line="240" w:lineRule="auto"/>
        <w:jc w:val="center"/>
        <w:rPr>
          <w:bCs/>
          <w:szCs w:val="22"/>
        </w:rPr>
      </w:pPr>
      <w:r w:rsidRPr="00183B5F">
        <w:rPr>
          <w:b/>
          <w:bCs/>
          <w:szCs w:val="22"/>
        </w:rPr>
        <w:t>(betegek százaléka)</w:t>
      </w:r>
    </w:p>
    <w:p w14:paraId="5016754A" w14:textId="77777777" w:rsidR="00D0403E" w:rsidRPr="00183B5F" w:rsidRDefault="00D0403E" w:rsidP="004062FE">
      <w:pPr>
        <w:spacing w:line="240" w:lineRule="auto"/>
        <w:jc w:val="cente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3"/>
        <w:gridCol w:w="1817"/>
        <w:gridCol w:w="1817"/>
        <w:gridCol w:w="1812"/>
        <w:gridCol w:w="1812"/>
      </w:tblGrid>
      <w:tr w:rsidR="00011D2F" w14:paraId="65BDC78C" w14:textId="77777777" w:rsidTr="003B0E00">
        <w:tc>
          <w:tcPr>
            <w:tcW w:w="1857" w:type="dxa"/>
          </w:tcPr>
          <w:p w14:paraId="089E7001" w14:textId="77777777" w:rsidR="00DA438A" w:rsidRPr="00183B5F" w:rsidRDefault="00DA438A" w:rsidP="004062FE">
            <w:pPr>
              <w:spacing w:line="240" w:lineRule="auto"/>
              <w:jc w:val="center"/>
              <w:rPr>
                <w:szCs w:val="22"/>
              </w:rPr>
            </w:pPr>
          </w:p>
        </w:tc>
        <w:tc>
          <w:tcPr>
            <w:tcW w:w="3714" w:type="dxa"/>
            <w:gridSpan w:val="2"/>
          </w:tcPr>
          <w:p w14:paraId="413B7ADB" w14:textId="77777777" w:rsidR="00DA438A" w:rsidRPr="00183B5F" w:rsidRDefault="00943743" w:rsidP="004062FE">
            <w:pPr>
              <w:spacing w:line="240" w:lineRule="auto"/>
              <w:jc w:val="center"/>
              <w:rPr>
                <w:szCs w:val="22"/>
              </w:rPr>
            </w:pPr>
            <w:r w:rsidRPr="00183B5F">
              <w:rPr>
                <w:szCs w:val="22"/>
              </w:rPr>
              <w:t>PsA I vizsgálat</w:t>
            </w:r>
          </w:p>
        </w:tc>
        <w:tc>
          <w:tcPr>
            <w:tcW w:w="3714" w:type="dxa"/>
            <w:gridSpan w:val="2"/>
          </w:tcPr>
          <w:p w14:paraId="21E4E8A5" w14:textId="77777777" w:rsidR="00DA438A" w:rsidRPr="00183B5F" w:rsidRDefault="00943743" w:rsidP="004062FE">
            <w:pPr>
              <w:spacing w:line="240" w:lineRule="auto"/>
              <w:jc w:val="center"/>
              <w:rPr>
                <w:szCs w:val="22"/>
              </w:rPr>
            </w:pPr>
            <w:r w:rsidRPr="00183B5F">
              <w:rPr>
                <w:szCs w:val="22"/>
              </w:rPr>
              <w:t>PsA II vizsgálat</w:t>
            </w:r>
          </w:p>
        </w:tc>
      </w:tr>
      <w:tr w:rsidR="00011D2F" w14:paraId="798228DA" w14:textId="77777777" w:rsidTr="004062FE">
        <w:tc>
          <w:tcPr>
            <w:tcW w:w="1857" w:type="dxa"/>
            <w:tcBorders>
              <w:bottom w:val="single" w:sz="4" w:space="0" w:color="auto"/>
            </w:tcBorders>
          </w:tcPr>
          <w:p w14:paraId="3C9D3C3F" w14:textId="77777777" w:rsidR="00D0403E" w:rsidRPr="00183B5F" w:rsidRDefault="00943743" w:rsidP="004062FE">
            <w:pPr>
              <w:spacing w:line="240" w:lineRule="auto"/>
              <w:jc w:val="center"/>
              <w:rPr>
                <w:szCs w:val="22"/>
              </w:rPr>
            </w:pPr>
            <w:r w:rsidRPr="00183B5F">
              <w:rPr>
                <w:szCs w:val="22"/>
              </w:rPr>
              <w:t>Válasz</w:t>
            </w:r>
          </w:p>
        </w:tc>
        <w:tc>
          <w:tcPr>
            <w:tcW w:w="1857" w:type="dxa"/>
            <w:tcBorders>
              <w:bottom w:val="single" w:sz="4" w:space="0" w:color="auto"/>
            </w:tcBorders>
          </w:tcPr>
          <w:p w14:paraId="771D166C" w14:textId="77777777" w:rsidR="00D0403E" w:rsidRPr="00183B5F" w:rsidRDefault="00943743" w:rsidP="004062FE">
            <w:pPr>
              <w:spacing w:line="240" w:lineRule="auto"/>
              <w:jc w:val="center"/>
              <w:rPr>
                <w:szCs w:val="22"/>
              </w:rPr>
            </w:pPr>
            <w:r w:rsidRPr="00183B5F">
              <w:rPr>
                <w:szCs w:val="22"/>
              </w:rPr>
              <w:t>Placebo (N = 162)</w:t>
            </w:r>
          </w:p>
        </w:tc>
        <w:tc>
          <w:tcPr>
            <w:tcW w:w="1857" w:type="dxa"/>
            <w:tcBorders>
              <w:bottom w:val="single" w:sz="4" w:space="0" w:color="auto"/>
            </w:tcBorders>
          </w:tcPr>
          <w:p w14:paraId="31F22FC3" w14:textId="77777777" w:rsidR="00D0403E" w:rsidRPr="00183B5F" w:rsidRDefault="00943743" w:rsidP="004062FE">
            <w:pPr>
              <w:spacing w:line="240" w:lineRule="auto"/>
              <w:jc w:val="center"/>
              <w:rPr>
                <w:szCs w:val="22"/>
              </w:rPr>
            </w:pPr>
            <w:r w:rsidRPr="00183B5F">
              <w:rPr>
                <w:szCs w:val="22"/>
              </w:rPr>
              <w:t>Humira (N = 151)</w:t>
            </w:r>
          </w:p>
        </w:tc>
        <w:tc>
          <w:tcPr>
            <w:tcW w:w="1857" w:type="dxa"/>
            <w:tcBorders>
              <w:bottom w:val="single" w:sz="4" w:space="0" w:color="auto"/>
            </w:tcBorders>
          </w:tcPr>
          <w:p w14:paraId="331F0F80" w14:textId="77777777" w:rsidR="00D0403E" w:rsidRPr="00183B5F" w:rsidRDefault="00943743" w:rsidP="004062FE">
            <w:pPr>
              <w:spacing w:line="240" w:lineRule="auto"/>
              <w:jc w:val="center"/>
              <w:rPr>
                <w:szCs w:val="22"/>
              </w:rPr>
            </w:pPr>
            <w:r w:rsidRPr="00183B5F">
              <w:rPr>
                <w:szCs w:val="22"/>
              </w:rPr>
              <w:t>Placebo (N = 49)</w:t>
            </w:r>
          </w:p>
        </w:tc>
        <w:tc>
          <w:tcPr>
            <w:tcW w:w="1857" w:type="dxa"/>
            <w:tcBorders>
              <w:bottom w:val="single" w:sz="4" w:space="0" w:color="auto"/>
            </w:tcBorders>
          </w:tcPr>
          <w:p w14:paraId="49A27C2A" w14:textId="77777777" w:rsidR="00D0403E" w:rsidRPr="00183B5F" w:rsidRDefault="00943743" w:rsidP="004062FE">
            <w:pPr>
              <w:spacing w:line="240" w:lineRule="auto"/>
              <w:jc w:val="center"/>
              <w:rPr>
                <w:szCs w:val="22"/>
              </w:rPr>
            </w:pPr>
            <w:r w:rsidRPr="00183B5F">
              <w:rPr>
                <w:szCs w:val="22"/>
              </w:rPr>
              <w:t>Humira (N = 51)</w:t>
            </w:r>
          </w:p>
        </w:tc>
      </w:tr>
      <w:tr w:rsidR="00011D2F" w14:paraId="5C8092B2" w14:textId="77777777" w:rsidTr="004062FE">
        <w:tc>
          <w:tcPr>
            <w:tcW w:w="1857" w:type="dxa"/>
            <w:tcBorders>
              <w:bottom w:val="nil"/>
            </w:tcBorders>
          </w:tcPr>
          <w:p w14:paraId="11662BFC" w14:textId="77777777" w:rsidR="00D0403E" w:rsidRPr="00183B5F" w:rsidRDefault="00943743" w:rsidP="004062FE">
            <w:pPr>
              <w:spacing w:line="240" w:lineRule="auto"/>
              <w:rPr>
                <w:szCs w:val="22"/>
              </w:rPr>
            </w:pPr>
            <w:r w:rsidRPr="00183B5F">
              <w:rPr>
                <w:szCs w:val="22"/>
              </w:rPr>
              <w:t>ACR 20</w:t>
            </w:r>
          </w:p>
        </w:tc>
        <w:tc>
          <w:tcPr>
            <w:tcW w:w="1857" w:type="dxa"/>
            <w:tcBorders>
              <w:bottom w:val="nil"/>
            </w:tcBorders>
          </w:tcPr>
          <w:p w14:paraId="17B20E88" w14:textId="77777777" w:rsidR="00D0403E" w:rsidRPr="00183B5F" w:rsidRDefault="00D0403E" w:rsidP="004062FE">
            <w:pPr>
              <w:spacing w:line="240" w:lineRule="auto"/>
              <w:jc w:val="center"/>
              <w:rPr>
                <w:szCs w:val="22"/>
              </w:rPr>
            </w:pPr>
          </w:p>
        </w:tc>
        <w:tc>
          <w:tcPr>
            <w:tcW w:w="1857" w:type="dxa"/>
            <w:tcBorders>
              <w:bottom w:val="nil"/>
            </w:tcBorders>
          </w:tcPr>
          <w:p w14:paraId="24E442C9" w14:textId="77777777" w:rsidR="00D0403E" w:rsidRPr="00183B5F" w:rsidRDefault="00D0403E" w:rsidP="004062FE">
            <w:pPr>
              <w:spacing w:line="240" w:lineRule="auto"/>
              <w:jc w:val="center"/>
              <w:rPr>
                <w:szCs w:val="22"/>
              </w:rPr>
            </w:pPr>
          </w:p>
        </w:tc>
        <w:tc>
          <w:tcPr>
            <w:tcW w:w="1857" w:type="dxa"/>
            <w:tcBorders>
              <w:bottom w:val="nil"/>
            </w:tcBorders>
          </w:tcPr>
          <w:p w14:paraId="63E2E884" w14:textId="77777777" w:rsidR="00D0403E" w:rsidRPr="00183B5F" w:rsidRDefault="00D0403E" w:rsidP="004062FE">
            <w:pPr>
              <w:spacing w:line="240" w:lineRule="auto"/>
              <w:jc w:val="center"/>
              <w:rPr>
                <w:szCs w:val="22"/>
              </w:rPr>
            </w:pPr>
          </w:p>
        </w:tc>
        <w:tc>
          <w:tcPr>
            <w:tcW w:w="1857" w:type="dxa"/>
            <w:tcBorders>
              <w:bottom w:val="nil"/>
            </w:tcBorders>
          </w:tcPr>
          <w:p w14:paraId="12FF0572" w14:textId="77777777" w:rsidR="00D0403E" w:rsidRPr="00183B5F" w:rsidRDefault="00D0403E" w:rsidP="004062FE">
            <w:pPr>
              <w:spacing w:line="240" w:lineRule="auto"/>
              <w:jc w:val="center"/>
              <w:rPr>
                <w:szCs w:val="22"/>
              </w:rPr>
            </w:pPr>
          </w:p>
        </w:tc>
      </w:tr>
      <w:tr w:rsidR="00011D2F" w14:paraId="2D1740D6" w14:textId="77777777" w:rsidTr="004062FE">
        <w:tc>
          <w:tcPr>
            <w:tcW w:w="1857" w:type="dxa"/>
            <w:tcBorders>
              <w:top w:val="nil"/>
              <w:bottom w:val="nil"/>
            </w:tcBorders>
          </w:tcPr>
          <w:p w14:paraId="4B889DEA" w14:textId="77777777" w:rsidR="00D0403E" w:rsidRPr="00183B5F" w:rsidRDefault="00943743" w:rsidP="004062FE">
            <w:pPr>
              <w:spacing w:line="240" w:lineRule="auto"/>
              <w:jc w:val="center"/>
              <w:rPr>
                <w:szCs w:val="22"/>
              </w:rPr>
            </w:pPr>
            <w:r w:rsidRPr="00183B5F">
              <w:rPr>
                <w:szCs w:val="22"/>
              </w:rPr>
              <w:t>12. hét</w:t>
            </w:r>
          </w:p>
        </w:tc>
        <w:tc>
          <w:tcPr>
            <w:tcW w:w="1857" w:type="dxa"/>
            <w:tcBorders>
              <w:top w:val="nil"/>
              <w:bottom w:val="nil"/>
            </w:tcBorders>
          </w:tcPr>
          <w:p w14:paraId="531EFF63" w14:textId="77777777" w:rsidR="00D0403E" w:rsidRPr="00183B5F" w:rsidRDefault="00943743" w:rsidP="004062FE">
            <w:pPr>
              <w:spacing w:line="240" w:lineRule="auto"/>
              <w:jc w:val="center"/>
              <w:rPr>
                <w:szCs w:val="22"/>
              </w:rPr>
            </w:pPr>
            <w:r w:rsidRPr="00183B5F">
              <w:rPr>
                <w:szCs w:val="22"/>
              </w:rPr>
              <w:t>14%</w:t>
            </w:r>
          </w:p>
        </w:tc>
        <w:tc>
          <w:tcPr>
            <w:tcW w:w="1857" w:type="dxa"/>
            <w:tcBorders>
              <w:top w:val="nil"/>
              <w:bottom w:val="nil"/>
            </w:tcBorders>
          </w:tcPr>
          <w:p w14:paraId="67384996" w14:textId="77777777" w:rsidR="00D0403E" w:rsidRPr="00183B5F" w:rsidRDefault="00943743" w:rsidP="004062FE">
            <w:pPr>
              <w:spacing w:line="240" w:lineRule="auto"/>
              <w:jc w:val="center"/>
              <w:rPr>
                <w:szCs w:val="22"/>
              </w:rPr>
            </w:pPr>
            <w:r w:rsidRPr="00183B5F">
              <w:rPr>
                <w:szCs w:val="22"/>
              </w:rPr>
              <w:t>58%</w:t>
            </w:r>
            <w:r w:rsidRPr="00183B5F">
              <w:rPr>
                <w:szCs w:val="22"/>
                <w:vertAlign w:val="superscript"/>
              </w:rPr>
              <w:t>***</w:t>
            </w:r>
          </w:p>
        </w:tc>
        <w:tc>
          <w:tcPr>
            <w:tcW w:w="1857" w:type="dxa"/>
            <w:tcBorders>
              <w:top w:val="nil"/>
              <w:bottom w:val="nil"/>
            </w:tcBorders>
          </w:tcPr>
          <w:p w14:paraId="756BEA69" w14:textId="77777777" w:rsidR="00D0403E" w:rsidRPr="00183B5F" w:rsidRDefault="00943743" w:rsidP="004062FE">
            <w:pPr>
              <w:spacing w:line="240" w:lineRule="auto"/>
              <w:jc w:val="center"/>
              <w:rPr>
                <w:szCs w:val="22"/>
              </w:rPr>
            </w:pPr>
            <w:r w:rsidRPr="00183B5F">
              <w:rPr>
                <w:szCs w:val="22"/>
              </w:rPr>
              <w:t>16%</w:t>
            </w:r>
          </w:p>
        </w:tc>
        <w:tc>
          <w:tcPr>
            <w:tcW w:w="1857" w:type="dxa"/>
            <w:tcBorders>
              <w:top w:val="nil"/>
              <w:bottom w:val="nil"/>
            </w:tcBorders>
          </w:tcPr>
          <w:p w14:paraId="480CC610" w14:textId="77777777" w:rsidR="00D0403E" w:rsidRPr="00183B5F" w:rsidRDefault="00943743" w:rsidP="004062FE">
            <w:pPr>
              <w:spacing w:line="240" w:lineRule="auto"/>
              <w:jc w:val="center"/>
              <w:rPr>
                <w:szCs w:val="22"/>
              </w:rPr>
            </w:pPr>
            <w:r w:rsidRPr="00183B5F">
              <w:rPr>
                <w:szCs w:val="22"/>
              </w:rPr>
              <w:t>39%</w:t>
            </w:r>
            <w:r w:rsidRPr="00183B5F">
              <w:rPr>
                <w:szCs w:val="22"/>
                <w:vertAlign w:val="superscript"/>
              </w:rPr>
              <w:t>*</w:t>
            </w:r>
          </w:p>
        </w:tc>
      </w:tr>
      <w:tr w:rsidR="00011D2F" w14:paraId="3A440F30" w14:textId="77777777" w:rsidTr="004062FE">
        <w:tc>
          <w:tcPr>
            <w:tcW w:w="1857" w:type="dxa"/>
            <w:tcBorders>
              <w:top w:val="nil"/>
              <w:bottom w:val="nil"/>
            </w:tcBorders>
          </w:tcPr>
          <w:p w14:paraId="701F103B" w14:textId="77777777" w:rsidR="00D0403E" w:rsidRPr="00183B5F" w:rsidRDefault="00943743" w:rsidP="004062FE">
            <w:pPr>
              <w:spacing w:line="240" w:lineRule="auto"/>
              <w:jc w:val="center"/>
              <w:rPr>
                <w:szCs w:val="22"/>
              </w:rPr>
            </w:pPr>
            <w:r w:rsidRPr="00183B5F">
              <w:rPr>
                <w:szCs w:val="22"/>
              </w:rPr>
              <w:t>24. hét</w:t>
            </w:r>
          </w:p>
        </w:tc>
        <w:tc>
          <w:tcPr>
            <w:tcW w:w="1857" w:type="dxa"/>
            <w:tcBorders>
              <w:top w:val="nil"/>
              <w:bottom w:val="nil"/>
            </w:tcBorders>
          </w:tcPr>
          <w:p w14:paraId="72BE9400" w14:textId="77777777" w:rsidR="00D0403E" w:rsidRPr="00183B5F" w:rsidRDefault="00943743" w:rsidP="004062FE">
            <w:pPr>
              <w:spacing w:line="240" w:lineRule="auto"/>
              <w:jc w:val="center"/>
              <w:rPr>
                <w:szCs w:val="22"/>
              </w:rPr>
            </w:pPr>
            <w:r w:rsidRPr="00183B5F">
              <w:rPr>
                <w:szCs w:val="22"/>
              </w:rPr>
              <w:t>15%</w:t>
            </w:r>
          </w:p>
        </w:tc>
        <w:tc>
          <w:tcPr>
            <w:tcW w:w="1857" w:type="dxa"/>
            <w:tcBorders>
              <w:top w:val="nil"/>
              <w:bottom w:val="nil"/>
            </w:tcBorders>
          </w:tcPr>
          <w:p w14:paraId="1440CBD9" w14:textId="77777777" w:rsidR="00D0403E" w:rsidRPr="00183B5F" w:rsidRDefault="00943743" w:rsidP="004062FE">
            <w:pPr>
              <w:spacing w:line="240" w:lineRule="auto"/>
              <w:jc w:val="center"/>
              <w:rPr>
                <w:szCs w:val="22"/>
              </w:rPr>
            </w:pPr>
            <w:r w:rsidRPr="00183B5F">
              <w:rPr>
                <w:szCs w:val="22"/>
              </w:rPr>
              <w:t>57%</w:t>
            </w:r>
            <w:r w:rsidRPr="00183B5F">
              <w:rPr>
                <w:szCs w:val="22"/>
                <w:vertAlign w:val="superscript"/>
              </w:rPr>
              <w:t>***</w:t>
            </w:r>
          </w:p>
        </w:tc>
        <w:tc>
          <w:tcPr>
            <w:tcW w:w="1857" w:type="dxa"/>
            <w:tcBorders>
              <w:top w:val="nil"/>
              <w:bottom w:val="nil"/>
            </w:tcBorders>
          </w:tcPr>
          <w:p w14:paraId="14D90373" w14:textId="77777777" w:rsidR="00D0403E" w:rsidRPr="00183B5F" w:rsidRDefault="00943743" w:rsidP="004062FE">
            <w:pPr>
              <w:spacing w:line="240" w:lineRule="auto"/>
              <w:jc w:val="center"/>
              <w:rPr>
                <w:szCs w:val="22"/>
              </w:rPr>
            </w:pPr>
            <w:r w:rsidRPr="00183B5F">
              <w:rPr>
                <w:szCs w:val="22"/>
              </w:rPr>
              <w:t>N/A</w:t>
            </w:r>
          </w:p>
        </w:tc>
        <w:tc>
          <w:tcPr>
            <w:tcW w:w="1857" w:type="dxa"/>
            <w:tcBorders>
              <w:top w:val="nil"/>
              <w:bottom w:val="nil"/>
            </w:tcBorders>
          </w:tcPr>
          <w:p w14:paraId="64660E6B" w14:textId="77777777" w:rsidR="00D0403E" w:rsidRPr="00183B5F" w:rsidRDefault="00943743" w:rsidP="004062FE">
            <w:pPr>
              <w:spacing w:line="240" w:lineRule="auto"/>
              <w:jc w:val="center"/>
              <w:rPr>
                <w:szCs w:val="22"/>
              </w:rPr>
            </w:pPr>
            <w:r w:rsidRPr="00183B5F">
              <w:rPr>
                <w:szCs w:val="22"/>
              </w:rPr>
              <w:t>N/A</w:t>
            </w:r>
          </w:p>
        </w:tc>
      </w:tr>
      <w:tr w:rsidR="00011D2F" w14:paraId="116C403B" w14:textId="77777777" w:rsidTr="004062FE">
        <w:tc>
          <w:tcPr>
            <w:tcW w:w="1857" w:type="dxa"/>
            <w:tcBorders>
              <w:top w:val="nil"/>
              <w:bottom w:val="nil"/>
            </w:tcBorders>
          </w:tcPr>
          <w:p w14:paraId="600788FD" w14:textId="77777777" w:rsidR="00D0403E" w:rsidRPr="00183B5F" w:rsidRDefault="00943743" w:rsidP="004062FE">
            <w:pPr>
              <w:spacing w:line="240" w:lineRule="auto"/>
              <w:rPr>
                <w:szCs w:val="22"/>
              </w:rPr>
            </w:pPr>
            <w:r w:rsidRPr="00183B5F">
              <w:rPr>
                <w:szCs w:val="22"/>
              </w:rPr>
              <w:t>ACR 50</w:t>
            </w:r>
          </w:p>
        </w:tc>
        <w:tc>
          <w:tcPr>
            <w:tcW w:w="1857" w:type="dxa"/>
            <w:tcBorders>
              <w:top w:val="nil"/>
              <w:bottom w:val="nil"/>
            </w:tcBorders>
          </w:tcPr>
          <w:p w14:paraId="1C1F48F9" w14:textId="77777777" w:rsidR="00D0403E" w:rsidRPr="00183B5F" w:rsidRDefault="00D0403E" w:rsidP="004062FE">
            <w:pPr>
              <w:spacing w:line="240" w:lineRule="auto"/>
              <w:jc w:val="center"/>
              <w:rPr>
                <w:szCs w:val="22"/>
              </w:rPr>
            </w:pPr>
          </w:p>
        </w:tc>
        <w:tc>
          <w:tcPr>
            <w:tcW w:w="1857" w:type="dxa"/>
            <w:tcBorders>
              <w:top w:val="nil"/>
              <w:bottom w:val="nil"/>
            </w:tcBorders>
          </w:tcPr>
          <w:p w14:paraId="773F43FB" w14:textId="77777777" w:rsidR="00D0403E" w:rsidRPr="00183B5F" w:rsidRDefault="00D0403E" w:rsidP="004062FE">
            <w:pPr>
              <w:spacing w:line="240" w:lineRule="auto"/>
              <w:jc w:val="center"/>
              <w:rPr>
                <w:szCs w:val="22"/>
              </w:rPr>
            </w:pPr>
          </w:p>
        </w:tc>
        <w:tc>
          <w:tcPr>
            <w:tcW w:w="1857" w:type="dxa"/>
            <w:tcBorders>
              <w:top w:val="nil"/>
              <w:bottom w:val="nil"/>
            </w:tcBorders>
          </w:tcPr>
          <w:p w14:paraId="511FF7FB" w14:textId="77777777" w:rsidR="00D0403E" w:rsidRPr="00183B5F" w:rsidRDefault="00D0403E" w:rsidP="004062FE">
            <w:pPr>
              <w:spacing w:line="240" w:lineRule="auto"/>
              <w:jc w:val="center"/>
              <w:rPr>
                <w:szCs w:val="22"/>
              </w:rPr>
            </w:pPr>
          </w:p>
        </w:tc>
        <w:tc>
          <w:tcPr>
            <w:tcW w:w="1857" w:type="dxa"/>
            <w:tcBorders>
              <w:top w:val="nil"/>
              <w:bottom w:val="nil"/>
            </w:tcBorders>
          </w:tcPr>
          <w:p w14:paraId="52794581" w14:textId="77777777" w:rsidR="00D0403E" w:rsidRPr="00183B5F" w:rsidRDefault="00D0403E" w:rsidP="004062FE">
            <w:pPr>
              <w:spacing w:line="240" w:lineRule="auto"/>
              <w:jc w:val="center"/>
              <w:rPr>
                <w:szCs w:val="22"/>
              </w:rPr>
            </w:pPr>
          </w:p>
        </w:tc>
      </w:tr>
      <w:tr w:rsidR="00011D2F" w14:paraId="7DDEDEF4" w14:textId="77777777" w:rsidTr="004062FE">
        <w:tc>
          <w:tcPr>
            <w:tcW w:w="1857" w:type="dxa"/>
            <w:tcBorders>
              <w:top w:val="nil"/>
              <w:bottom w:val="nil"/>
            </w:tcBorders>
          </w:tcPr>
          <w:p w14:paraId="00E8CD29" w14:textId="77777777" w:rsidR="00D0403E" w:rsidRPr="00183B5F" w:rsidRDefault="00943743" w:rsidP="004062FE">
            <w:pPr>
              <w:spacing w:line="240" w:lineRule="auto"/>
              <w:jc w:val="center"/>
              <w:rPr>
                <w:szCs w:val="22"/>
              </w:rPr>
            </w:pPr>
            <w:r w:rsidRPr="00183B5F">
              <w:rPr>
                <w:szCs w:val="22"/>
              </w:rPr>
              <w:t>12. hét</w:t>
            </w:r>
          </w:p>
        </w:tc>
        <w:tc>
          <w:tcPr>
            <w:tcW w:w="1857" w:type="dxa"/>
            <w:tcBorders>
              <w:top w:val="nil"/>
              <w:bottom w:val="nil"/>
            </w:tcBorders>
          </w:tcPr>
          <w:p w14:paraId="7E135A6F" w14:textId="77777777" w:rsidR="00D0403E" w:rsidRPr="00183B5F" w:rsidRDefault="00943743" w:rsidP="004062FE">
            <w:pPr>
              <w:spacing w:line="240" w:lineRule="auto"/>
              <w:jc w:val="center"/>
              <w:rPr>
                <w:szCs w:val="22"/>
              </w:rPr>
            </w:pPr>
            <w:r w:rsidRPr="00183B5F">
              <w:rPr>
                <w:szCs w:val="22"/>
              </w:rPr>
              <w:t>4%</w:t>
            </w:r>
          </w:p>
        </w:tc>
        <w:tc>
          <w:tcPr>
            <w:tcW w:w="1857" w:type="dxa"/>
            <w:tcBorders>
              <w:top w:val="nil"/>
              <w:bottom w:val="nil"/>
            </w:tcBorders>
          </w:tcPr>
          <w:p w14:paraId="47814B89" w14:textId="77777777" w:rsidR="00D0403E" w:rsidRPr="00183B5F" w:rsidRDefault="00943743" w:rsidP="004062FE">
            <w:pPr>
              <w:spacing w:line="240" w:lineRule="auto"/>
              <w:jc w:val="center"/>
              <w:rPr>
                <w:szCs w:val="22"/>
              </w:rPr>
            </w:pPr>
            <w:r w:rsidRPr="00183B5F">
              <w:rPr>
                <w:szCs w:val="22"/>
              </w:rPr>
              <w:t>36%</w:t>
            </w:r>
            <w:r w:rsidRPr="00183B5F">
              <w:rPr>
                <w:szCs w:val="22"/>
                <w:vertAlign w:val="superscript"/>
              </w:rPr>
              <w:t>***</w:t>
            </w:r>
          </w:p>
        </w:tc>
        <w:tc>
          <w:tcPr>
            <w:tcW w:w="1857" w:type="dxa"/>
            <w:tcBorders>
              <w:top w:val="nil"/>
              <w:bottom w:val="nil"/>
            </w:tcBorders>
          </w:tcPr>
          <w:p w14:paraId="463BABD9" w14:textId="77777777" w:rsidR="00D0403E" w:rsidRPr="00183B5F" w:rsidRDefault="00943743" w:rsidP="004062FE">
            <w:pPr>
              <w:spacing w:line="240" w:lineRule="auto"/>
              <w:jc w:val="center"/>
              <w:rPr>
                <w:szCs w:val="22"/>
              </w:rPr>
            </w:pPr>
            <w:r w:rsidRPr="00183B5F">
              <w:rPr>
                <w:szCs w:val="22"/>
              </w:rPr>
              <w:t>2%</w:t>
            </w:r>
          </w:p>
        </w:tc>
        <w:tc>
          <w:tcPr>
            <w:tcW w:w="1857" w:type="dxa"/>
            <w:tcBorders>
              <w:top w:val="nil"/>
              <w:bottom w:val="nil"/>
            </w:tcBorders>
          </w:tcPr>
          <w:p w14:paraId="7A3C7EF1" w14:textId="77777777" w:rsidR="00D0403E" w:rsidRPr="00183B5F" w:rsidRDefault="00943743" w:rsidP="004062FE">
            <w:pPr>
              <w:spacing w:line="240" w:lineRule="auto"/>
              <w:jc w:val="center"/>
              <w:rPr>
                <w:szCs w:val="22"/>
              </w:rPr>
            </w:pPr>
            <w:r w:rsidRPr="00183B5F">
              <w:rPr>
                <w:szCs w:val="22"/>
              </w:rPr>
              <w:t>25%</w:t>
            </w:r>
            <w:r w:rsidRPr="00183B5F">
              <w:rPr>
                <w:szCs w:val="22"/>
                <w:vertAlign w:val="superscript"/>
              </w:rPr>
              <w:t>***</w:t>
            </w:r>
          </w:p>
        </w:tc>
      </w:tr>
      <w:tr w:rsidR="00011D2F" w14:paraId="38C0267C" w14:textId="77777777" w:rsidTr="004062FE">
        <w:trPr>
          <w:trHeight w:val="70"/>
        </w:trPr>
        <w:tc>
          <w:tcPr>
            <w:tcW w:w="1857" w:type="dxa"/>
            <w:tcBorders>
              <w:top w:val="nil"/>
              <w:bottom w:val="nil"/>
            </w:tcBorders>
          </w:tcPr>
          <w:p w14:paraId="6A1C3D22" w14:textId="77777777" w:rsidR="00D0403E" w:rsidRPr="00183B5F" w:rsidRDefault="00943743" w:rsidP="004062FE">
            <w:pPr>
              <w:spacing w:line="240" w:lineRule="auto"/>
              <w:jc w:val="center"/>
              <w:rPr>
                <w:szCs w:val="22"/>
              </w:rPr>
            </w:pPr>
            <w:r w:rsidRPr="00183B5F">
              <w:rPr>
                <w:szCs w:val="22"/>
              </w:rPr>
              <w:t>24. hét</w:t>
            </w:r>
          </w:p>
        </w:tc>
        <w:tc>
          <w:tcPr>
            <w:tcW w:w="1857" w:type="dxa"/>
            <w:tcBorders>
              <w:top w:val="nil"/>
              <w:bottom w:val="nil"/>
            </w:tcBorders>
          </w:tcPr>
          <w:p w14:paraId="5862435A" w14:textId="77777777" w:rsidR="00D0403E" w:rsidRPr="00183B5F" w:rsidRDefault="00943743" w:rsidP="004062FE">
            <w:pPr>
              <w:spacing w:line="240" w:lineRule="auto"/>
              <w:jc w:val="center"/>
              <w:rPr>
                <w:szCs w:val="22"/>
              </w:rPr>
            </w:pPr>
            <w:r w:rsidRPr="00183B5F">
              <w:rPr>
                <w:szCs w:val="22"/>
              </w:rPr>
              <w:t>6%</w:t>
            </w:r>
          </w:p>
        </w:tc>
        <w:tc>
          <w:tcPr>
            <w:tcW w:w="1857" w:type="dxa"/>
            <w:tcBorders>
              <w:top w:val="nil"/>
              <w:bottom w:val="nil"/>
            </w:tcBorders>
          </w:tcPr>
          <w:p w14:paraId="4CBEB327" w14:textId="77777777" w:rsidR="00D0403E" w:rsidRPr="00183B5F" w:rsidRDefault="00943743" w:rsidP="004062FE">
            <w:pPr>
              <w:spacing w:line="240" w:lineRule="auto"/>
              <w:jc w:val="center"/>
              <w:rPr>
                <w:szCs w:val="22"/>
              </w:rPr>
            </w:pPr>
            <w:r w:rsidRPr="00183B5F">
              <w:rPr>
                <w:szCs w:val="22"/>
              </w:rPr>
              <w:t>39%</w:t>
            </w:r>
            <w:r w:rsidRPr="00183B5F">
              <w:rPr>
                <w:szCs w:val="22"/>
                <w:vertAlign w:val="superscript"/>
              </w:rPr>
              <w:t>***</w:t>
            </w:r>
          </w:p>
        </w:tc>
        <w:tc>
          <w:tcPr>
            <w:tcW w:w="1857" w:type="dxa"/>
            <w:tcBorders>
              <w:top w:val="nil"/>
              <w:bottom w:val="nil"/>
            </w:tcBorders>
          </w:tcPr>
          <w:p w14:paraId="4AEBC8BE" w14:textId="77777777" w:rsidR="00D0403E" w:rsidRPr="00183B5F" w:rsidRDefault="00943743" w:rsidP="004062FE">
            <w:pPr>
              <w:spacing w:line="240" w:lineRule="auto"/>
              <w:jc w:val="center"/>
              <w:rPr>
                <w:szCs w:val="22"/>
              </w:rPr>
            </w:pPr>
            <w:r w:rsidRPr="00183B5F">
              <w:rPr>
                <w:szCs w:val="22"/>
              </w:rPr>
              <w:t>N/A</w:t>
            </w:r>
          </w:p>
        </w:tc>
        <w:tc>
          <w:tcPr>
            <w:tcW w:w="1857" w:type="dxa"/>
            <w:tcBorders>
              <w:top w:val="nil"/>
              <w:bottom w:val="nil"/>
            </w:tcBorders>
          </w:tcPr>
          <w:p w14:paraId="5280F83D" w14:textId="77777777" w:rsidR="00D0403E" w:rsidRPr="00183B5F" w:rsidRDefault="00943743" w:rsidP="004062FE">
            <w:pPr>
              <w:spacing w:line="240" w:lineRule="auto"/>
              <w:jc w:val="center"/>
              <w:rPr>
                <w:szCs w:val="22"/>
              </w:rPr>
            </w:pPr>
            <w:r w:rsidRPr="00183B5F">
              <w:rPr>
                <w:szCs w:val="22"/>
              </w:rPr>
              <w:t>N/A</w:t>
            </w:r>
          </w:p>
        </w:tc>
      </w:tr>
      <w:tr w:rsidR="00011D2F" w14:paraId="7C4D3018" w14:textId="77777777" w:rsidTr="004062FE">
        <w:tc>
          <w:tcPr>
            <w:tcW w:w="1857" w:type="dxa"/>
            <w:tcBorders>
              <w:top w:val="nil"/>
              <w:bottom w:val="nil"/>
            </w:tcBorders>
          </w:tcPr>
          <w:p w14:paraId="3E913338" w14:textId="77777777" w:rsidR="00D0403E" w:rsidRPr="00183B5F" w:rsidRDefault="00943743" w:rsidP="004062FE">
            <w:pPr>
              <w:spacing w:line="240" w:lineRule="auto"/>
              <w:rPr>
                <w:szCs w:val="22"/>
              </w:rPr>
            </w:pPr>
            <w:r w:rsidRPr="00183B5F">
              <w:rPr>
                <w:szCs w:val="22"/>
              </w:rPr>
              <w:t>ACR 70</w:t>
            </w:r>
          </w:p>
        </w:tc>
        <w:tc>
          <w:tcPr>
            <w:tcW w:w="1857" w:type="dxa"/>
            <w:tcBorders>
              <w:top w:val="nil"/>
              <w:bottom w:val="nil"/>
            </w:tcBorders>
          </w:tcPr>
          <w:p w14:paraId="6366D2D1" w14:textId="77777777" w:rsidR="00D0403E" w:rsidRPr="00183B5F" w:rsidRDefault="00D0403E" w:rsidP="004062FE">
            <w:pPr>
              <w:spacing w:line="240" w:lineRule="auto"/>
              <w:jc w:val="center"/>
              <w:rPr>
                <w:szCs w:val="22"/>
              </w:rPr>
            </w:pPr>
          </w:p>
        </w:tc>
        <w:tc>
          <w:tcPr>
            <w:tcW w:w="1857" w:type="dxa"/>
            <w:tcBorders>
              <w:top w:val="nil"/>
              <w:bottom w:val="nil"/>
            </w:tcBorders>
          </w:tcPr>
          <w:p w14:paraId="7AB29635" w14:textId="77777777" w:rsidR="00D0403E" w:rsidRPr="00183B5F" w:rsidRDefault="00D0403E" w:rsidP="004062FE">
            <w:pPr>
              <w:spacing w:line="240" w:lineRule="auto"/>
              <w:jc w:val="center"/>
              <w:rPr>
                <w:szCs w:val="22"/>
              </w:rPr>
            </w:pPr>
          </w:p>
        </w:tc>
        <w:tc>
          <w:tcPr>
            <w:tcW w:w="1857" w:type="dxa"/>
            <w:tcBorders>
              <w:top w:val="nil"/>
              <w:bottom w:val="nil"/>
            </w:tcBorders>
          </w:tcPr>
          <w:p w14:paraId="303959E1" w14:textId="77777777" w:rsidR="00D0403E" w:rsidRPr="00183B5F" w:rsidRDefault="00D0403E" w:rsidP="004062FE">
            <w:pPr>
              <w:spacing w:line="240" w:lineRule="auto"/>
              <w:jc w:val="center"/>
              <w:rPr>
                <w:szCs w:val="22"/>
              </w:rPr>
            </w:pPr>
          </w:p>
        </w:tc>
        <w:tc>
          <w:tcPr>
            <w:tcW w:w="1857" w:type="dxa"/>
            <w:tcBorders>
              <w:top w:val="nil"/>
              <w:bottom w:val="nil"/>
            </w:tcBorders>
          </w:tcPr>
          <w:p w14:paraId="2339D280" w14:textId="77777777" w:rsidR="00D0403E" w:rsidRPr="00183B5F" w:rsidRDefault="00D0403E" w:rsidP="004062FE">
            <w:pPr>
              <w:spacing w:line="240" w:lineRule="auto"/>
              <w:jc w:val="center"/>
              <w:rPr>
                <w:szCs w:val="22"/>
              </w:rPr>
            </w:pPr>
          </w:p>
        </w:tc>
      </w:tr>
      <w:tr w:rsidR="00011D2F" w14:paraId="0C0F93AD" w14:textId="77777777" w:rsidTr="004062FE">
        <w:tc>
          <w:tcPr>
            <w:tcW w:w="1857" w:type="dxa"/>
            <w:tcBorders>
              <w:top w:val="nil"/>
              <w:bottom w:val="nil"/>
            </w:tcBorders>
          </w:tcPr>
          <w:p w14:paraId="383B0061" w14:textId="77777777" w:rsidR="00D0403E" w:rsidRPr="00183B5F" w:rsidRDefault="00943743" w:rsidP="004062FE">
            <w:pPr>
              <w:spacing w:line="240" w:lineRule="auto"/>
              <w:jc w:val="center"/>
              <w:rPr>
                <w:szCs w:val="22"/>
              </w:rPr>
            </w:pPr>
            <w:r w:rsidRPr="00183B5F">
              <w:rPr>
                <w:szCs w:val="22"/>
              </w:rPr>
              <w:t>12. hét</w:t>
            </w:r>
          </w:p>
        </w:tc>
        <w:tc>
          <w:tcPr>
            <w:tcW w:w="1857" w:type="dxa"/>
            <w:tcBorders>
              <w:top w:val="nil"/>
              <w:bottom w:val="nil"/>
            </w:tcBorders>
          </w:tcPr>
          <w:p w14:paraId="4A8A6639" w14:textId="77777777" w:rsidR="00D0403E" w:rsidRPr="00183B5F" w:rsidRDefault="00943743" w:rsidP="004062FE">
            <w:pPr>
              <w:spacing w:line="240" w:lineRule="auto"/>
              <w:jc w:val="center"/>
              <w:rPr>
                <w:szCs w:val="22"/>
              </w:rPr>
            </w:pPr>
            <w:r w:rsidRPr="00183B5F">
              <w:rPr>
                <w:szCs w:val="22"/>
              </w:rPr>
              <w:t>1%</w:t>
            </w:r>
          </w:p>
        </w:tc>
        <w:tc>
          <w:tcPr>
            <w:tcW w:w="1857" w:type="dxa"/>
            <w:tcBorders>
              <w:top w:val="nil"/>
              <w:bottom w:val="nil"/>
            </w:tcBorders>
          </w:tcPr>
          <w:p w14:paraId="3A808282" w14:textId="77777777" w:rsidR="00D0403E" w:rsidRPr="00183B5F" w:rsidRDefault="00943743" w:rsidP="004062FE">
            <w:pPr>
              <w:spacing w:line="240" w:lineRule="auto"/>
              <w:jc w:val="center"/>
              <w:rPr>
                <w:szCs w:val="22"/>
              </w:rPr>
            </w:pPr>
            <w:r w:rsidRPr="00183B5F">
              <w:rPr>
                <w:szCs w:val="22"/>
              </w:rPr>
              <w:t>20%</w:t>
            </w:r>
            <w:r w:rsidRPr="00183B5F">
              <w:rPr>
                <w:szCs w:val="22"/>
                <w:vertAlign w:val="superscript"/>
              </w:rPr>
              <w:t>***</w:t>
            </w:r>
          </w:p>
        </w:tc>
        <w:tc>
          <w:tcPr>
            <w:tcW w:w="1857" w:type="dxa"/>
            <w:tcBorders>
              <w:top w:val="nil"/>
              <w:bottom w:val="nil"/>
            </w:tcBorders>
          </w:tcPr>
          <w:p w14:paraId="6F1B7AFB" w14:textId="77777777" w:rsidR="00D0403E" w:rsidRPr="00183B5F" w:rsidRDefault="00943743" w:rsidP="004062FE">
            <w:pPr>
              <w:spacing w:line="240" w:lineRule="auto"/>
              <w:jc w:val="center"/>
              <w:rPr>
                <w:szCs w:val="22"/>
              </w:rPr>
            </w:pPr>
            <w:r w:rsidRPr="00183B5F">
              <w:rPr>
                <w:szCs w:val="22"/>
              </w:rPr>
              <w:t>0%</w:t>
            </w:r>
          </w:p>
        </w:tc>
        <w:tc>
          <w:tcPr>
            <w:tcW w:w="1857" w:type="dxa"/>
            <w:tcBorders>
              <w:top w:val="nil"/>
              <w:bottom w:val="nil"/>
            </w:tcBorders>
          </w:tcPr>
          <w:p w14:paraId="0C49F383" w14:textId="77777777" w:rsidR="00D0403E" w:rsidRPr="00183B5F" w:rsidRDefault="00943743" w:rsidP="004062FE">
            <w:pPr>
              <w:spacing w:line="240" w:lineRule="auto"/>
              <w:jc w:val="center"/>
              <w:rPr>
                <w:szCs w:val="22"/>
              </w:rPr>
            </w:pPr>
            <w:r w:rsidRPr="00183B5F">
              <w:rPr>
                <w:szCs w:val="22"/>
              </w:rPr>
              <w:t>14%</w:t>
            </w:r>
            <w:r w:rsidRPr="00183B5F">
              <w:rPr>
                <w:szCs w:val="22"/>
                <w:vertAlign w:val="superscript"/>
              </w:rPr>
              <w:t>*</w:t>
            </w:r>
          </w:p>
        </w:tc>
      </w:tr>
      <w:tr w:rsidR="00011D2F" w14:paraId="4FE804C1" w14:textId="77777777" w:rsidTr="004062FE">
        <w:tc>
          <w:tcPr>
            <w:tcW w:w="1857" w:type="dxa"/>
            <w:tcBorders>
              <w:top w:val="nil"/>
            </w:tcBorders>
          </w:tcPr>
          <w:p w14:paraId="4CA11855" w14:textId="77777777" w:rsidR="00D0403E" w:rsidRPr="00183B5F" w:rsidRDefault="00943743" w:rsidP="004062FE">
            <w:pPr>
              <w:spacing w:line="240" w:lineRule="auto"/>
              <w:jc w:val="center"/>
              <w:rPr>
                <w:szCs w:val="22"/>
              </w:rPr>
            </w:pPr>
            <w:r w:rsidRPr="00183B5F">
              <w:rPr>
                <w:szCs w:val="22"/>
              </w:rPr>
              <w:t>24. hét</w:t>
            </w:r>
          </w:p>
        </w:tc>
        <w:tc>
          <w:tcPr>
            <w:tcW w:w="1857" w:type="dxa"/>
            <w:tcBorders>
              <w:top w:val="nil"/>
            </w:tcBorders>
          </w:tcPr>
          <w:p w14:paraId="5B2F4F77" w14:textId="77777777" w:rsidR="00D0403E" w:rsidRPr="00183B5F" w:rsidRDefault="00943743" w:rsidP="004062FE">
            <w:pPr>
              <w:spacing w:line="240" w:lineRule="auto"/>
              <w:jc w:val="center"/>
              <w:rPr>
                <w:szCs w:val="22"/>
              </w:rPr>
            </w:pPr>
            <w:r w:rsidRPr="00183B5F">
              <w:rPr>
                <w:szCs w:val="22"/>
              </w:rPr>
              <w:t>1%</w:t>
            </w:r>
          </w:p>
        </w:tc>
        <w:tc>
          <w:tcPr>
            <w:tcW w:w="1857" w:type="dxa"/>
            <w:tcBorders>
              <w:top w:val="nil"/>
            </w:tcBorders>
          </w:tcPr>
          <w:p w14:paraId="41087939" w14:textId="77777777" w:rsidR="00D0403E" w:rsidRPr="00183B5F" w:rsidRDefault="00943743" w:rsidP="004062FE">
            <w:pPr>
              <w:spacing w:line="240" w:lineRule="auto"/>
              <w:jc w:val="center"/>
              <w:rPr>
                <w:szCs w:val="22"/>
              </w:rPr>
            </w:pPr>
            <w:r w:rsidRPr="00183B5F">
              <w:rPr>
                <w:szCs w:val="22"/>
              </w:rPr>
              <w:t>23%</w:t>
            </w:r>
            <w:r w:rsidRPr="00183B5F">
              <w:rPr>
                <w:szCs w:val="22"/>
                <w:vertAlign w:val="superscript"/>
              </w:rPr>
              <w:t>***</w:t>
            </w:r>
          </w:p>
        </w:tc>
        <w:tc>
          <w:tcPr>
            <w:tcW w:w="1857" w:type="dxa"/>
            <w:tcBorders>
              <w:top w:val="nil"/>
            </w:tcBorders>
          </w:tcPr>
          <w:p w14:paraId="7D1F563F" w14:textId="77777777" w:rsidR="00D0403E" w:rsidRPr="00183B5F" w:rsidRDefault="00943743" w:rsidP="004062FE">
            <w:pPr>
              <w:spacing w:line="240" w:lineRule="auto"/>
              <w:jc w:val="center"/>
              <w:rPr>
                <w:szCs w:val="22"/>
              </w:rPr>
            </w:pPr>
            <w:r w:rsidRPr="00183B5F">
              <w:rPr>
                <w:szCs w:val="22"/>
              </w:rPr>
              <w:t>N/A</w:t>
            </w:r>
          </w:p>
        </w:tc>
        <w:tc>
          <w:tcPr>
            <w:tcW w:w="1857" w:type="dxa"/>
            <w:tcBorders>
              <w:top w:val="nil"/>
            </w:tcBorders>
          </w:tcPr>
          <w:p w14:paraId="363CA739" w14:textId="77777777" w:rsidR="00D0403E" w:rsidRPr="00183B5F" w:rsidRDefault="00943743" w:rsidP="004062FE">
            <w:pPr>
              <w:spacing w:line="240" w:lineRule="auto"/>
              <w:jc w:val="center"/>
              <w:rPr>
                <w:szCs w:val="22"/>
              </w:rPr>
            </w:pPr>
            <w:r w:rsidRPr="00183B5F">
              <w:rPr>
                <w:szCs w:val="22"/>
              </w:rPr>
              <w:t xml:space="preserve">N/A </w:t>
            </w:r>
          </w:p>
        </w:tc>
      </w:tr>
    </w:tbl>
    <w:p w14:paraId="130B5228" w14:textId="77777777" w:rsidR="00D0403E" w:rsidRPr="00183B5F" w:rsidRDefault="00943743" w:rsidP="004062FE">
      <w:pPr>
        <w:spacing w:line="240" w:lineRule="auto"/>
        <w:rPr>
          <w:szCs w:val="22"/>
        </w:rPr>
      </w:pPr>
      <w:r w:rsidRPr="00183B5F">
        <w:rPr>
          <w:szCs w:val="22"/>
          <w:vertAlign w:val="superscript"/>
        </w:rPr>
        <w:t>* * *</w:t>
      </w:r>
      <w:r w:rsidRPr="00183B5F">
        <w:rPr>
          <w:szCs w:val="22"/>
        </w:rPr>
        <w:t> p &lt; 0,001 minden összehasonlításra Humira és placebo között</w:t>
      </w:r>
    </w:p>
    <w:p w14:paraId="345B8D8B" w14:textId="77777777" w:rsidR="00D0403E" w:rsidRPr="00183B5F" w:rsidRDefault="00943743" w:rsidP="004062FE">
      <w:pPr>
        <w:pStyle w:val="EndnoteText"/>
        <w:tabs>
          <w:tab w:val="clear" w:pos="567"/>
        </w:tabs>
        <w:suppressAutoHyphens/>
        <w:rPr>
          <w:sz w:val="22"/>
          <w:szCs w:val="22"/>
          <w:lang w:val="hu-HU" w:eastAsia="hu-HU"/>
        </w:rPr>
      </w:pPr>
      <w:r w:rsidRPr="00183B5F">
        <w:rPr>
          <w:sz w:val="22"/>
          <w:vertAlign w:val="superscript"/>
          <w:lang w:val="hu-HU"/>
        </w:rPr>
        <w:t>*</w:t>
      </w:r>
      <w:r w:rsidRPr="00183B5F">
        <w:rPr>
          <w:sz w:val="22"/>
          <w:szCs w:val="22"/>
          <w:lang w:val="hu-HU" w:eastAsia="hu-HU"/>
        </w:rPr>
        <w:t> p &lt; 0,05 minden összehasonlításra Humira és placebo között</w:t>
      </w:r>
    </w:p>
    <w:p w14:paraId="3751CC23" w14:textId="77777777" w:rsidR="00D0403E" w:rsidRPr="00183B5F" w:rsidRDefault="00943743" w:rsidP="004062FE">
      <w:pPr>
        <w:spacing w:line="240" w:lineRule="auto"/>
        <w:rPr>
          <w:szCs w:val="22"/>
        </w:rPr>
      </w:pPr>
      <w:r w:rsidRPr="00183B5F">
        <w:rPr>
          <w:szCs w:val="22"/>
        </w:rPr>
        <w:t>N/A nem értelmezhető</w:t>
      </w:r>
    </w:p>
    <w:p w14:paraId="58112EDC" w14:textId="77777777" w:rsidR="00D0403E" w:rsidRPr="00183B5F" w:rsidRDefault="00D0403E" w:rsidP="004062FE">
      <w:pPr>
        <w:spacing w:line="240" w:lineRule="auto"/>
        <w:rPr>
          <w:szCs w:val="22"/>
        </w:rPr>
      </w:pPr>
    </w:p>
    <w:p w14:paraId="263F8717" w14:textId="77777777" w:rsidR="00D0403E" w:rsidRPr="00183B5F" w:rsidRDefault="00943743" w:rsidP="004062FE">
      <w:pPr>
        <w:spacing w:line="240" w:lineRule="auto"/>
        <w:rPr>
          <w:szCs w:val="22"/>
        </w:rPr>
      </w:pPr>
      <w:r w:rsidRPr="00183B5F">
        <w:rPr>
          <w:szCs w:val="22"/>
        </w:rPr>
        <w:t xml:space="preserve">A PsA I vizsgálatban az </w:t>
      </w:r>
      <w:r w:rsidR="005D174E" w:rsidRPr="00183B5F">
        <w:rPr>
          <w:szCs w:val="22"/>
        </w:rPr>
        <w:t>ACR-válasz</w:t>
      </w:r>
      <w:r w:rsidRPr="00183B5F">
        <w:rPr>
          <w:szCs w:val="22"/>
        </w:rPr>
        <w:t xml:space="preserve">ok hasonlóak voltak az alkalmazott metotrexát kombinációtól függetlenül (vele vagy nélküle). Az </w:t>
      </w:r>
      <w:r w:rsidR="005D174E" w:rsidRPr="00183B5F">
        <w:rPr>
          <w:szCs w:val="22"/>
        </w:rPr>
        <w:t>ACR-válasz</w:t>
      </w:r>
      <w:r w:rsidRPr="00183B5F">
        <w:rPr>
          <w:szCs w:val="22"/>
        </w:rPr>
        <w:t>ok a nyílt elrendezésű kiterjesztéses vizsgálatban 136 hétig is fennmaradtak.</w:t>
      </w:r>
    </w:p>
    <w:p w14:paraId="6E2E36AC" w14:textId="77777777" w:rsidR="00D0403E" w:rsidRPr="00183B5F" w:rsidRDefault="00D0403E" w:rsidP="004062FE">
      <w:pPr>
        <w:spacing w:line="240" w:lineRule="auto"/>
        <w:rPr>
          <w:szCs w:val="22"/>
        </w:rPr>
      </w:pPr>
    </w:p>
    <w:p w14:paraId="7DF462F6" w14:textId="77777777" w:rsidR="00D0403E" w:rsidRPr="00183B5F" w:rsidRDefault="00943743">
      <w:pPr>
        <w:pStyle w:val="EMEANormal"/>
        <w:rPr>
          <w:szCs w:val="22"/>
          <w:lang w:val="hu-HU"/>
        </w:rPr>
      </w:pPr>
      <w:r w:rsidRPr="00183B5F">
        <w:rPr>
          <w:szCs w:val="22"/>
          <w:lang w:val="hu-HU"/>
        </w:rPr>
        <w:t xml:space="preserve">Az arthritis psoriaticában folytatott vizsgálatokban radiológiai változásokat értékeltek. A kézfejről, a csuklóról és a lábfejről röntgenfelvételeket készítettek a vizsgálat kezdetekor, majd a </w:t>
      </w:r>
      <w:r w:rsidR="00E5381A" w:rsidRPr="00183B5F">
        <w:rPr>
          <w:szCs w:val="22"/>
          <w:lang w:val="hu-HU"/>
        </w:rPr>
        <w:t>kettős vak</w:t>
      </w:r>
      <w:r w:rsidRPr="00183B5F">
        <w:rPr>
          <w:szCs w:val="22"/>
          <w:lang w:val="hu-HU"/>
        </w:rPr>
        <w:t xml:space="preserve"> szakasz 24. hetében, amikor a betegek vagy Humira</w:t>
      </w:r>
      <w:r w:rsidRPr="00183B5F">
        <w:rPr>
          <w:szCs w:val="22"/>
          <w:lang w:val="hu-HU"/>
        </w:rPr>
        <w:noBreakHyphen/>
        <w:t>t, vagy placebót kaptak, és a 48. héten, amikor minden beteg nyílt elrendezésben Humira</w:t>
      </w:r>
      <w:r w:rsidRPr="00183B5F">
        <w:rPr>
          <w:szCs w:val="22"/>
          <w:lang w:val="hu-HU"/>
        </w:rPr>
        <w:noBreakHyphen/>
        <w:t>t kapott. A kiértékeléshez distalis interphalangealis ízületeket magában foglaló módosított teljes Sharp</w:t>
      </w:r>
      <w:r w:rsidR="005E4FD2" w:rsidRPr="00183B5F">
        <w:rPr>
          <w:szCs w:val="22"/>
          <w:lang w:val="hu-HU"/>
        </w:rPr>
        <w:t>-</w:t>
      </w:r>
      <w:r w:rsidRPr="00183B5F">
        <w:rPr>
          <w:szCs w:val="22"/>
          <w:lang w:val="hu-HU"/>
        </w:rPr>
        <w:t>pontértéket (modified Total Sharp Score – mTSS) használtak, amely nem azonos a rheumatoid arthritisben használt teljes Sharp</w:t>
      </w:r>
      <w:r w:rsidR="00117647" w:rsidRPr="00183B5F">
        <w:rPr>
          <w:szCs w:val="22"/>
          <w:lang w:val="hu-HU"/>
        </w:rPr>
        <w:t>-</w:t>
      </w:r>
      <w:r w:rsidRPr="00183B5F">
        <w:rPr>
          <w:szCs w:val="22"/>
          <w:lang w:val="hu-HU"/>
        </w:rPr>
        <w:t>pontértékkel (TSS).</w:t>
      </w:r>
    </w:p>
    <w:p w14:paraId="23856896" w14:textId="77777777" w:rsidR="00D0403E" w:rsidRPr="00183B5F" w:rsidRDefault="00D0403E">
      <w:pPr>
        <w:pStyle w:val="EMEANormal"/>
        <w:rPr>
          <w:szCs w:val="22"/>
          <w:lang w:val="hu-HU"/>
        </w:rPr>
      </w:pPr>
    </w:p>
    <w:p w14:paraId="500A07A6" w14:textId="77777777" w:rsidR="00D0403E" w:rsidRPr="00183B5F" w:rsidRDefault="00943743">
      <w:pPr>
        <w:pStyle w:val="EMEANormal"/>
        <w:rPr>
          <w:szCs w:val="22"/>
          <w:lang w:val="hu-HU"/>
        </w:rPr>
      </w:pPr>
      <w:r w:rsidRPr="00183B5F">
        <w:rPr>
          <w:szCs w:val="22"/>
          <w:lang w:val="hu-HU"/>
        </w:rPr>
        <w:t>A Humira a placebóhoz képest csökkentette a perifériás ízületi károsodás progressziós rátáját, amint azt a módosított teljes Sharp</w:t>
      </w:r>
      <w:r w:rsidR="005E4FD2" w:rsidRPr="00183B5F">
        <w:rPr>
          <w:szCs w:val="22"/>
          <w:lang w:val="hu-HU"/>
        </w:rPr>
        <w:t>-</w:t>
      </w:r>
      <w:r w:rsidRPr="00183B5F">
        <w:rPr>
          <w:szCs w:val="22"/>
          <w:lang w:val="hu-HU"/>
        </w:rPr>
        <w:t>pontszám placebocsoportban a 24. héten mért 0,8 ± 2,5 (átlag ± szórás) értéke mutatja, a Humira</w:t>
      </w:r>
      <w:r w:rsidRPr="00183B5F">
        <w:rPr>
          <w:szCs w:val="22"/>
          <w:lang w:val="hu-HU"/>
        </w:rPr>
        <w:noBreakHyphen/>
        <w:t>csoport 48. héten mért 0,0 ± 1,9 értékével (p &lt; 0,001) szemben.</w:t>
      </w:r>
    </w:p>
    <w:p w14:paraId="2BD45E3F" w14:textId="77777777" w:rsidR="00D0403E" w:rsidRPr="00183B5F" w:rsidRDefault="00D0403E">
      <w:pPr>
        <w:pStyle w:val="EMEANormal"/>
        <w:rPr>
          <w:szCs w:val="22"/>
          <w:lang w:val="hu-HU"/>
        </w:rPr>
      </w:pPr>
    </w:p>
    <w:p w14:paraId="0D3062CB" w14:textId="77777777" w:rsidR="00D0403E" w:rsidRPr="00183B5F" w:rsidRDefault="00943743">
      <w:pPr>
        <w:pStyle w:val="EMEANormal"/>
        <w:rPr>
          <w:szCs w:val="22"/>
          <w:lang w:val="hu-HU"/>
        </w:rPr>
      </w:pPr>
      <w:r w:rsidRPr="00183B5F">
        <w:rPr>
          <w:szCs w:val="22"/>
          <w:lang w:val="hu-HU"/>
        </w:rPr>
        <w:t>A Humira</w:t>
      </w:r>
      <w:r w:rsidRPr="00183B5F">
        <w:rPr>
          <w:szCs w:val="22"/>
          <w:lang w:val="hu-HU"/>
        </w:rPr>
        <w:noBreakHyphen/>
        <w:t>kezelésben részesült, a kiindulási időszaktól a 48. hétig radiológiai progressziót nem mutató betegek (n = 102) 84%-a a 144. hétig továbbra sem mutatott radiológiai progressziót.</w:t>
      </w:r>
    </w:p>
    <w:p w14:paraId="144AB94D" w14:textId="77777777" w:rsidR="00D0403E" w:rsidRPr="00183B5F" w:rsidRDefault="00943743">
      <w:pPr>
        <w:pStyle w:val="EMEANormal"/>
        <w:rPr>
          <w:szCs w:val="22"/>
          <w:lang w:val="hu-HU"/>
        </w:rPr>
      </w:pPr>
      <w:r w:rsidRPr="00183B5F">
        <w:rPr>
          <w:szCs w:val="22"/>
          <w:lang w:val="hu-HU"/>
        </w:rPr>
        <w:t>A Humira</w:t>
      </w:r>
      <w:r w:rsidRPr="00183B5F">
        <w:rPr>
          <w:szCs w:val="22"/>
          <w:lang w:val="hu-HU"/>
        </w:rPr>
        <w:noBreakHyphen/>
        <w:t>val kezelt betegek fizikális funkciója a placebóhoz képest az egészségfelmérő kérdőív (HAQ) és a Rövid Egészségfelmérés (Short Form Health Survey – SF 36) skála alapján a 24. héten statisztikailag szignifikáns javulást mutatott. A jobb fizikális funkció a nyílt elrendezésű kiterjesztéses vizsgálat során is fennmaradt egészen a 136. hétig.</w:t>
      </w:r>
    </w:p>
    <w:p w14:paraId="11B37141" w14:textId="77777777" w:rsidR="00D0403E" w:rsidRPr="00183B5F" w:rsidRDefault="00D0403E" w:rsidP="004062FE">
      <w:pPr>
        <w:spacing w:line="240" w:lineRule="auto"/>
        <w:rPr>
          <w:szCs w:val="22"/>
          <w:u w:val="single"/>
        </w:rPr>
      </w:pPr>
    </w:p>
    <w:p w14:paraId="2C0C7985" w14:textId="77777777" w:rsidR="00D0403E" w:rsidRPr="00183B5F" w:rsidRDefault="00943743" w:rsidP="004062FE">
      <w:pPr>
        <w:pStyle w:val="EMEAHeadingUnderline"/>
        <w:keepNext/>
        <w:tabs>
          <w:tab w:val="clear" w:pos="562"/>
        </w:tabs>
        <w:spacing w:beforeLines="0" w:afterLines="0"/>
        <w:rPr>
          <w:i/>
          <w:szCs w:val="22"/>
          <w:u w:val="none"/>
          <w:lang w:val="hu-HU" w:eastAsia="hu-HU"/>
        </w:rPr>
      </w:pPr>
      <w:r w:rsidRPr="00183B5F">
        <w:rPr>
          <w:i/>
          <w:szCs w:val="22"/>
          <w:u w:val="none"/>
          <w:lang w:val="hu-HU" w:eastAsia="hu-HU"/>
        </w:rPr>
        <w:t>Psoriasis</w:t>
      </w:r>
    </w:p>
    <w:p w14:paraId="759EB1EA" w14:textId="77777777" w:rsidR="00D0403E" w:rsidRPr="00183B5F" w:rsidRDefault="00D0403E" w:rsidP="004062FE">
      <w:pPr>
        <w:keepNext/>
        <w:spacing w:line="240" w:lineRule="auto"/>
        <w:rPr>
          <w:szCs w:val="22"/>
        </w:rPr>
      </w:pPr>
    </w:p>
    <w:p w14:paraId="641C4C9A" w14:textId="77777777" w:rsidR="00D0403E" w:rsidRPr="00183B5F" w:rsidRDefault="00943743" w:rsidP="004062FE">
      <w:pPr>
        <w:keepNext/>
        <w:spacing w:line="240" w:lineRule="auto"/>
        <w:rPr>
          <w:szCs w:val="22"/>
        </w:rPr>
      </w:pPr>
      <w:r w:rsidRPr="00183B5F">
        <w:rPr>
          <w:szCs w:val="22"/>
        </w:rPr>
        <w:t xml:space="preserve">A Humira biztonságosságát és hatásosságát randomizált, </w:t>
      </w:r>
      <w:r w:rsidR="00E5381A" w:rsidRPr="00183B5F">
        <w:rPr>
          <w:szCs w:val="22"/>
        </w:rPr>
        <w:t>kettős vak</w:t>
      </w:r>
      <w:r w:rsidRPr="00183B5F">
        <w:rPr>
          <w:szCs w:val="22"/>
        </w:rPr>
        <w:t xml:space="preserve"> vizsgálatokban értékelték olyan krónikus, plakkos psoriasisban szenvedő felnőtt betegek körében (</w:t>
      </w:r>
      <w:r w:rsidRPr="00183B5F">
        <w:rPr>
          <w:rFonts w:ascii="Symbol" w:hAnsi="Symbol"/>
          <w:szCs w:val="22"/>
        </w:rPr>
        <w:sym w:font="Symbol" w:char="F0B3"/>
      </w:r>
      <w:r w:rsidRPr="00183B5F">
        <w:rPr>
          <w:szCs w:val="22"/>
        </w:rPr>
        <w:t xml:space="preserve"> 10% testfelület-érintettség és </w:t>
      </w:r>
      <w:r w:rsidRPr="00183B5F">
        <w:rPr>
          <w:rFonts w:ascii="Symbol" w:hAnsi="Symbol"/>
          <w:szCs w:val="22"/>
        </w:rPr>
        <w:sym w:font="Symbol" w:char="F0B3"/>
      </w:r>
      <w:r w:rsidRPr="00183B5F">
        <w:rPr>
          <w:szCs w:val="22"/>
        </w:rPr>
        <w:t xml:space="preserve"> 12, ill. </w:t>
      </w:r>
      <w:r w:rsidRPr="00183B5F">
        <w:rPr>
          <w:rFonts w:ascii="Symbol" w:hAnsi="Symbol"/>
          <w:szCs w:val="22"/>
        </w:rPr>
        <w:sym w:font="Symbol" w:char="F0B3"/>
      </w:r>
      <w:r w:rsidRPr="00183B5F">
        <w:rPr>
          <w:szCs w:val="22"/>
        </w:rPr>
        <w:t> 10 Psoriasis Area and Severity Index [PASI]), akik szisztémás vagy fototerápiás kezelésre vártak. A Psoriasis I és II vizsgálatokba beválogatott betegek 73%</w:t>
      </w:r>
      <w:r w:rsidRPr="00183B5F">
        <w:rPr>
          <w:szCs w:val="22"/>
        </w:rPr>
        <w:noBreakHyphen/>
        <w:t>a kapott már korábban szisztémás kezelést vagy fototerápiát. A Humira biztonságosságát és hatásosságát olyan köz</w:t>
      </w:r>
      <w:r w:rsidR="00297FBD" w:rsidRPr="00183B5F">
        <w:rPr>
          <w:szCs w:val="22"/>
        </w:rPr>
        <w:t xml:space="preserve">epesen </w:t>
      </w:r>
      <w:r w:rsidRPr="00183B5F">
        <w:rPr>
          <w:szCs w:val="22"/>
        </w:rPr>
        <w:t>súlyos</w:t>
      </w:r>
      <w:r w:rsidRPr="00183B5F">
        <w:rPr>
          <w:szCs w:val="22"/>
        </w:rPr>
        <w:noBreakHyphen/>
        <w:t>súlyos krónikus plakkos psoriasisban szenvedő felnőtt betegek körében is értékelték egy randomizált kettős</w:t>
      </w:r>
      <w:r w:rsidR="002E6AB9" w:rsidRPr="00183B5F">
        <w:rPr>
          <w:szCs w:val="22"/>
        </w:rPr>
        <w:t xml:space="preserve"> </w:t>
      </w:r>
      <w:r w:rsidRPr="00183B5F">
        <w:rPr>
          <w:szCs w:val="22"/>
        </w:rPr>
        <w:t>vak vizsgálat során (Psoriasis III vizsgálat), akik egyidejűleg a kézfejet és/vagy a lábfejet érintő psoriasisban is szen</w:t>
      </w:r>
      <w:r w:rsidRPr="00183B5F">
        <w:rPr>
          <w:szCs w:val="22"/>
        </w:rPr>
        <w:t>vedtek és szisztémás kezelésre vártak.</w:t>
      </w:r>
    </w:p>
    <w:p w14:paraId="2CB38DAF" w14:textId="77777777" w:rsidR="00D0403E" w:rsidRPr="00183B5F" w:rsidRDefault="00D0403E">
      <w:pPr>
        <w:pStyle w:val="EndnoteText"/>
        <w:rPr>
          <w:sz w:val="22"/>
          <w:lang w:val="hu-HU"/>
        </w:rPr>
      </w:pPr>
    </w:p>
    <w:p w14:paraId="7F4F2EF6" w14:textId="77777777" w:rsidR="00D0403E" w:rsidRPr="00183B5F" w:rsidRDefault="00943743" w:rsidP="004062FE">
      <w:pPr>
        <w:spacing w:line="240" w:lineRule="auto"/>
        <w:rPr>
          <w:szCs w:val="22"/>
        </w:rPr>
      </w:pPr>
      <w:r w:rsidRPr="00183B5F">
        <w:rPr>
          <w:szCs w:val="22"/>
        </w:rPr>
        <w:t>A Psoriasis I (REVEAL) vizsgálatban 1212 beteg állapotát értékelték három kezelési időszakban. Az „A” időszakban a betegek placebót vagy 80 mg kezdő dózisú Humira</w:t>
      </w:r>
      <w:r w:rsidRPr="00183B5F">
        <w:rPr>
          <w:szCs w:val="22"/>
        </w:rPr>
        <w:noBreakHyphen/>
        <w:t>t kaptak, amelyet egy héttel a kezdő dózist követően minden második héten 40 mg adaggal folytattak. Tizenhat</w:t>
      </w:r>
      <w:r w:rsidR="00903BD3" w:rsidRPr="00183B5F">
        <w:rPr>
          <w:szCs w:val="22"/>
        </w:rPr>
        <w:t xml:space="preserve"> </w:t>
      </w:r>
      <w:r w:rsidRPr="00183B5F">
        <w:rPr>
          <w:szCs w:val="22"/>
        </w:rPr>
        <w:t>hetes kezelés után a legalább PASI 75 választ (a kiindulási értékhez képest legalább 75%</w:t>
      </w:r>
      <w:r w:rsidRPr="00183B5F">
        <w:rPr>
          <w:szCs w:val="22"/>
        </w:rPr>
        <w:noBreakHyphen/>
        <w:t>os PASI</w:t>
      </w:r>
      <w:r w:rsidR="00110863" w:rsidRPr="00183B5F">
        <w:rPr>
          <w:szCs w:val="22"/>
        </w:rPr>
        <w:t>-</w:t>
      </w:r>
      <w:r w:rsidRPr="00183B5F">
        <w:rPr>
          <w:szCs w:val="22"/>
        </w:rPr>
        <w:t>pontszám-javulást) mutató betegek egy „B” időszakba léptek, amelyben nyílt elrendezésben, minden második héten 40 mg Humira</w:t>
      </w:r>
      <w:r w:rsidRPr="00183B5F">
        <w:rPr>
          <w:szCs w:val="22"/>
        </w:rPr>
        <w:noBreakHyphen/>
        <w:t>t kaptak. A 33</w:t>
      </w:r>
      <w:r w:rsidR="002E6AB9" w:rsidRPr="00183B5F">
        <w:rPr>
          <w:szCs w:val="22"/>
        </w:rPr>
        <w:t>.</w:t>
      </w:r>
      <w:r w:rsidRPr="00183B5F">
        <w:rPr>
          <w:szCs w:val="22"/>
        </w:rPr>
        <w:t xml:space="preserve"> héten </w:t>
      </w:r>
      <w:r w:rsidRPr="00183B5F">
        <w:rPr>
          <w:rFonts w:ascii="Symbol" w:hAnsi="Symbol"/>
          <w:szCs w:val="22"/>
        </w:rPr>
        <w:sym w:font="Symbol" w:char="F0B3"/>
      </w:r>
      <w:r w:rsidRPr="00183B5F">
        <w:rPr>
          <w:szCs w:val="22"/>
        </w:rPr>
        <w:t> PASI 75 választ mutató és eredetileg az „A” időszakban aktív kezelést kapók közé randomizált betegeket a „C” időszakban újrarandomizálták, hogy további 19 hé</w:t>
      </w:r>
      <w:r w:rsidRPr="00183B5F">
        <w:rPr>
          <w:szCs w:val="22"/>
        </w:rPr>
        <w:t>ten át minden második héten 40 mg Humira</w:t>
      </w:r>
      <w:r w:rsidRPr="00183B5F">
        <w:rPr>
          <w:szCs w:val="22"/>
        </w:rPr>
        <w:noBreakHyphen/>
        <w:t xml:space="preserve">t </w:t>
      </w:r>
      <w:r w:rsidR="002E6AB9" w:rsidRPr="00183B5F">
        <w:rPr>
          <w:szCs w:val="22"/>
        </w:rPr>
        <w:t xml:space="preserve">vagy placebót </w:t>
      </w:r>
      <w:r w:rsidRPr="00183B5F">
        <w:rPr>
          <w:szCs w:val="22"/>
        </w:rPr>
        <w:t>kapjanak. Minden kezelési csoportot figyelembe véve a kiindulási PASI</w:t>
      </w:r>
      <w:r w:rsidRPr="00183B5F">
        <w:rPr>
          <w:szCs w:val="22"/>
        </w:rPr>
        <w:noBreakHyphen/>
        <w:t>pontérték 18,9 volt, míg a kiindulási PGA</w:t>
      </w:r>
      <w:r w:rsidR="00110863" w:rsidRPr="00183B5F">
        <w:rPr>
          <w:szCs w:val="22"/>
        </w:rPr>
        <w:noBreakHyphen/>
      </w:r>
      <w:r w:rsidRPr="00183B5F">
        <w:rPr>
          <w:szCs w:val="22"/>
        </w:rPr>
        <w:t>pontszám a „közepestől” (a vizsgálatban résztvevők 53%-a) a „súlyosig” (41%) és a „nagyon súlyosig” (6%) terjedt.</w:t>
      </w:r>
    </w:p>
    <w:p w14:paraId="1BC9A302" w14:textId="77777777" w:rsidR="00D0403E" w:rsidRPr="00183B5F" w:rsidRDefault="00D0403E" w:rsidP="004062FE">
      <w:pPr>
        <w:spacing w:line="240" w:lineRule="auto"/>
        <w:rPr>
          <w:szCs w:val="22"/>
        </w:rPr>
      </w:pPr>
    </w:p>
    <w:p w14:paraId="217F3F26" w14:textId="77777777" w:rsidR="00D0403E" w:rsidRPr="00183B5F" w:rsidRDefault="00943743" w:rsidP="004062FE">
      <w:pPr>
        <w:spacing w:line="240" w:lineRule="auto"/>
        <w:rPr>
          <w:szCs w:val="22"/>
        </w:rPr>
      </w:pPr>
      <w:r w:rsidRPr="00183B5F">
        <w:rPr>
          <w:szCs w:val="22"/>
        </w:rPr>
        <w:t>A Psoriasis II vizsgálatban (CHAMPION) a Humira hatásosságát és biztonságosságát a metotrexátéval és a placebóéval hasonlították össze 271 beteg részvételével. A betegek placebót, egy kezdeti, 7,5 mg</w:t>
      </w:r>
      <w:r w:rsidRPr="00183B5F">
        <w:rPr>
          <w:szCs w:val="22"/>
        </w:rPr>
        <w:noBreakHyphen/>
        <w:t>os metotrexát</w:t>
      </w:r>
      <w:r w:rsidR="00110863" w:rsidRPr="00183B5F">
        <w:rPr>
          <w:szCs w:val="22"/>
        </w:rPr>
        <w:t>-</w:t>
      </w:r>
      <w:r w:rsidRPr="00183B5F">
        <w:rPr>
          <w:szCs w:val="22"/>
        </w:rPr>
        <w:t>dózist kaptak, és azt követően az adagot legfeljebb a 12. hétig, 25 mg-os maximális dózisig emelték, vagy egy 80 mg</w:t>
      </w:r>
      <w:r w:rsidRPr="00183B5F">
        <w:rPr>
          <w:szCs w:val="22"/>
        </w:rPr>
        <w:noBreakHyphen/>
        <w:t>os Humira kezdő dózisban részesültek, amit 16 hétig kéthetente 40 mg</w:t>
      </w:r>
      <w:r w:rsidRPr="00183B5F">
        <w:rPr>
          <w:szCs w:val="22"/>
        </w:rPr>
        <w:noBreakHyphen/>
        <w:t>os adag követett (egy héttel a kezdő dózis beadása után kezdve). Nincs a Humira- és a metotrexát</w:t>
      </w:r>
      <w:r w:rsidRPr="00183B5F">
        <w:rPr>
          <w:szCs w:val="22"/>
        </w:rPr>
        <w:noBreakHyphen/>
        <w:t xml:space="preserve">kezelést 16 hétnél hosszabb idő után összehasonlító adat. A metotrexátot szedő és </w:t>
      </w:r>
      <w:r w:rsidRPr="00183B5F">
        <w:rPr>
          <w:rFonts w:ascii="Symbol" w:hAnsi="Symbol"/>
          <w:szCs w:val="22"/>
        </w:rPr>
        <w:sym w:font="Symbol" w:char="F0B3"/>
      </w:r>
      <w:r w:rsidRPr="00183B5F">
        <w:rPr>
          <w:szCs w:val="22"/>
        </w:rPr>
        <w:t> PASI 50 választ a 8. és/vagy a 12. héten elérő betegeknél nem növelték tovább a dózist. Minden kezelési csoportot figyelembe</w:t>
      </w:r>
      <w:r w:rsidR="0047618A" w:rsidRPr="00183B5F">
        <w:rPr>
          <w:szCs w:val="22"/>
        </w:rPr>
        <w:t xml:space="preserve"> </w:t>
      </w:r>
      <w:r w:rsidRPr="00183B5F">
        <w:rPr>
          <w:szCs w:val="22"/>
        </w:rPr>
        <w:t>véve a</w:t>
      </w:r>
      <w:r w:rsidRPr="00183B5F">
        <w:rPr>
          <w:szCs w:val="22"/>
        </w:rPr>
        <w:t>z átlagos PASI</w:t>
      </w:r>
      <w:r w:rsidRPr="00183B5F">
        <w:rPr>
          <w:szCs w:val="22"/>
        </w:rPr>
        <w:noBreakHyphen/>
        <w:t>pontszám 19,7 volt, míg a kiindulási PGA</w:t>
      </w:r>
      <w:r w:rsidR="00110863" w:rsidRPr="00183B5F">
        <w:rPr>
          <w:szCs w:val="22"/>
        </w:rPr>
        <w:noBreakHyphen/>
      </w:r>
      <w:r w:rsidRPr="00183B5F">
        <w:rPr>
          <w:szCs w:val="22"/>
        </w:rPr>
        <w:t>pontszám az „enyhétől” (&lt; 1%) a „közepesen át” (48%) a „súlyosig” (46%) és a „nagyon súlyosig” (6%) terjedt.</w:t>
      </w:r>
    </w:p>
    <w:p w14:paraId="29A649DB" w14:textId="77777777" w:rsidR="002E6AB9" w:rsidRPr="00183B5F" w:rsidRDefault="002E6AB9" w:rsidP="004062FE">
      <w:pPr>
        <w:spacing w:line="240" w:lineRule="auto"/>
        <w:rPr>
          <w:szCs w:val="22"/>
        </w:rPr>
      </w:pPr>
    </w:p>
    <w:p w14:paraId="6B6C211C" w14:textId="77777777" w:rsidR="00D0403E" w:rsidRPr="00183B5F" w:rsidRDefault="00943743" w:rsidP="004062FE">
      <w:pPr>
        <w:spacing w:line="240" w:lineRule="auto"/>
        <w:rPr>
          <w:szCs w:val="22"/>
        </w:rPr>
      </w:pPr>
      <w:r w:rsidRPr="00183B5F">
        <w:rPr>
          <w:szCs w:val="22"/>
        </w:rPr>
        <w:t xml:space="preserve">Az összes </w:t>
      </w:r>
      <w:r w:rsidR="00B52567" w:rsidRPr="00183B5F">
        <w:rPr>
          <w:szCs w:val="22"/>
        </w:rPr>
        <w:t xml:space="preserve">II. és III. </w:t>
      </w:r>
      <w:r w:rsidR="002E6AB9" w:rsidRPr="00183B5F">
        <w:rPr>
          <w:szCs w:val="22"/>
        </w:rPr>
        <w:t>f</w:t>
      </w:r>
      <w:r w:rsidRPr="00183B5F">
        <w:rPr>
          <w:szCs w:val="22"/>
        </w:rPr>
        <w:t>ázis</w:t>
      </w:r>
      <w:r w:rsidR="00B52567" w:rsidRPr="00183B5F">
        <w:rPr>
          <w:szCs w:val="22"/>
        </w:rPr>
        <w:t>ú</w:t>
      </w:r>
      <w:r w:rsidRPr="00183B5F">
        <w:rPr>
          <w:szCs w:val="22"/>
        </w:rPr>
        <w:t xml:space="preserve"> psoriasis vizsgálatban részt</w:t>
      </w:r>
      <w:r w:rsidR="00B52567" w:rsidRPr="00183B5F">
        <w:rPr>
          <w:szCs w:val="22"/>
        </w:rPr>
        <w:t xml:space="preserve"> </w:t>
      </w:r>
      <w:r w:rsidRPr="00183B5F">
        <w:rPr>
          <w:szCs w:val="22"/>
        </w:rPr>
        <w:t>vevő beteg alkalmas volt egy nyílt elrendezésű kiterjesztéses vizsgálatba való beválogatásra, amelyben a Humira</w:t>
      </w:r>
      <w:r w:rsidRPr="00183B5F">
        <w:rPr>
          <w:szCs w:val="22"/>
        </w:rPr>
        <w:noBreakHyphen/>
        <w:t>t legalább további 108 héten át adták.</w:t>
      </w:r>
    </w:p>
    <w:p w14:paraId="2E3F251C" w14:textId="77777777" w:rsidR="002E6AB9" w:rsidRPr="00183B5F" w:rsidRDefault="002E6AB9" w:rsidP="004062FE">
      <w:pPr>
        <w:spacing w:line="240" w:lineRule="auto"/>
        <w:rPr>
          <w:szCs w:val="22"/>
        </w:rPr>
      </w:pPr>
    </w:p>
    <w:p w14:paraId="477F796A" w14:textId="77777777" w:rsidR="00D0403E" w:rsidRPr="00183B5F" w:rsidRDefault="00943743" w:rsidP="004062FE">
      <w:pPr>
        <w:spacing w:line="240" w:lineRule="auto"/>
        <w:rPr>
          <w:szCs w:val="22"/>
        </w:rPr>
      </w:pPr>
      <w:r w:rsidRPr="00183B5F">
        <w:rPr>
          <w:szCs w:val="22"/>
        </w:rPr>
        <w:t xml:space="preserve">A Psoriasis I és II vizsgálatokban az elsődleges végpont azon betegek aránya volt, akik a kiindulási időponttól a 16. hétig PASI 75 választ értek el (lásd </w:t>
      </w:r>
      <w:r w:rsidR="007D329A" w:rsidRPr="00183B5F">
        <w:rPr>
          <w:szCs w:val="22"/>
        </w:rPr>
        <w:t>16</w:t>
      </w:r>
      <w:r w:rsidRPr="00183B5F">
        <w:rPr>
          <w:szCs w:val="22"/>
        </w:rPr>
        <w:t>. és 1</w:t>
      </w:r>
      <w:r w:rsidR="007D329A" w:rsidRPr="00183B5F">
        <w:rPr>
          <w:szCs w:val="22"/>
        </w:rPr>
        <w:t>7</w:t>
      </w:r>
      <w:r w:rsidRPr="00183B5F">
        <w:rPr>
          <w:szCs w:val="22"/>
        </w:rPr>
        <w:t>.</w:t>
      </w:r>
      <w:r w:rsidR="00507E71" w:rsidRPr="00183B5F">
        <w:rPr>
          <w:szCs w:val="22"/>
        </w:rPr>
        <w:t> </w:t>
      </w:r>
      <w:r w:rsidR="00E107ED" w:rsidRPr="00183B5F">
        <w:rPr>
          <w:szCs w:val="22"/>
        </w:rPr>
        <w:t>táblázat</w:t>
      </w:r>
      <w:r w:rsidRPr="00183B5F">
        <w:rPr>
          <w:szCs w:val="22"/>
        </w:rPr>
        <w:t>).</w:t>
      </w:r>
    </w:p>
    <w:p w14:paraId="0061B3F9" w14:textId="77777777" w:rsidR="00D0403E" w:rsidRPr="00183B5F" w:rsidRDefault="00D0403E">
      <w:pPr>
        <w:pStyle w:val="DefaultText"/>
        <w:keepNext/>
        <w:rPr>
          <w:rFonts w:ascii="Times New Roman" w:hAnsi="Times New Roman"/>
          <w:szCs w:val="22"/>
          <w:lang w:val="hu-HU"/>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620"/>
        <w:gridCol w:w="2352"/>
      </w:tblGrid>
      <w:tr w:rsidR="00011D2F" w14:paraId="34531148" w14:textId="77777777" w:rsidTr="00D0403E">
        <w:trPr>
          <w:cantSplit/>
          <w:jc w:val="center"/>
        </w:trPr>
        <w:tc>
          <w:tcPr>
            <w:tcW w:w="6949" w:type="dxa"/>
            <w:gridSpan w:val="3"/>
            <w:tcBorders>
              <w:top w:val="nil"/>
              <w:left w:val="nil"/>
              <w:right w:val="nil"/>
            </w:tcBorders>
          </w:tcPr>
          <w:p w14:paraId="3F42107A" w14:textId="77777777" w:rsidR="00D0403E" w:rsidRPr="00183B5F" w:rsidRDefault="00943743">
            <w:pPr>
              <w:pStyle w:val="DefaultText"/>
              <w:keepNext/>
              <w:jc w:val="center"/>
              <w:rPr>
                <w:rFonts w:ascii="Times New Roman" w:hAnsi="Times New Roman"/>
                <w:b/>
                <w:bCs w:val="0"/>
                <w:szCs w:val="22"/>
                <w:lang w:val="hu-HU"/>
              </w:rPr>
            </w:pPr>
            <w:r w:rsidRPr="00183B5F">
              <w:rPr>
                <w:rFonts w:ascii="Times New Roman" w:hAnsi="Times New Roman"/>
                <w:b/>
                <w:bCs w:val="0"/>
                <w:szCs w:val="22"/>
                <w:lang w:val="hu-HU"/>
              </w:rPr>
              <w:t xml:space="preserve">16. táblázat </w:t>
            </w:r>
          </w:p>
          <w:p w14:paraId="647EFAED" w14:textId="77777777" w:rsidR="00D0403E" w:rsidRPr="00183B5F" w:rsidRDefault="00943743">
            <w:pPr>
              <w:pStyle w:val="DefaultText"/>
              <w:keepNext/>
              <w:jc w:val="center"/>
              <w:rPr>
                <w:rFonts w:ascii="Times New Roman" w:hAnsi="Times New Roman"/>
                <w:b/>
                <w:bCs w:val="0"/>
                <w:szCs w:val="22"/>
                <w:lang w:val="hu-HU"/>
              </w:rPr>
            </w:pPr>
            <w:r w:rsidRPr="00183B5F">
              <w:rPr>
                <w:rFonts w:ascii="Times New Roman" w:hAnsi="Times New Roman"/>
                <w:b/>
                <w:bCs w:val="0"/>
                <w:szCs w:val="22"/>
                <w:lang w:val="hu-HU"/>
              </w:rPr>
              <w:t>Psoriasis I (REVEAL) vizsgálat</w:t>
            </w:r>
          </w:p>
          <w:p w14:paraId="766D3FD2" w14:textId="77777777" w:rsidR="00D0403E" w:rsidRPr="00183B5F" w:rsidRDefault="00943743">
            <w:pPr>
              <w:pStyle w:val="DefaultText"/>
              <w:keepNext/>
              <w:jc w:val="center"/>
              <w:rPr>
                <w:rFonts w:ascii="Times New Roman" w:hAnsi="Times New Roman"/>
                <w:b/>
                <w:bCs w:val="0"/>
                <w:szCs w:val="22"/>
                <w:lang w:val="hu-HU"/>
              </w:rPr>
            </w:pPr>
            <w:r w:rsidRPr="00183B5F">
              <w:rPr>
                <w:rFonts w:ascii="Times New Roman" w:hAnsi="Times New Roman"/>
                <w:b/>
                <w:bCs w:val="0"/>
                <w:szCs w:val="22"/>
                <w:lang w:val="hu-HU"/>
              </w:rPr>
              <w:t xml:space="preserve">Hatékonysági eredmények a 16. héten </w:t>
            </w:r>
          </w:p>
          <w:p w14:paraId="58364071" w14:textId="77777777" w:rsidR="00D0403E" w:rsidRPr="00183B5F" w:rsidRDefault="00D0403E">
            <w:pPr>
              <w:pStyle w:val="DefaultText"/>
              <w:keepNext/>
              <w:jc w:val="center"/>
              <w:rPr>
                <w:rFonts w:ascii="Times New Roman" w:hAnsi="Times New Roman"/>
                <w:b/>
                <w:bCs w:val="0"/>
                <w:szCs w:val="22"/>
                <w:u w:val="single"/>
                <w:lang w:val="hu-HU"/>
              </w:rPr>
            </w:pPr>
          </w:p>
        </w:tc>
      </w:tr>
      <w:tr w:rsidR="00011D2F" w14:paraId="03FB4169" w14:textId="77777777" w:rsidTr="00D0403E">
        <w:trPr>
          <w:cantSplit/>
          <w:jc w:val="center"/>
        </w:trPr>
        <w:tc>
          <w:tcPr>
            <w:tcW w:w="2977" w:type="dxa"/>
            <w:vAlign w:val="center"/>
          </w:tcPr>
          <w:p w14:paraId="71CAD603" w14:textId="77777777" w:rsidR="00D0403E" w:rsidRPr="00183B5F" w:rsidRDefault="00D0403E">
            <w:pPr>
              <w:pStyle w:val="DefaultText"/>
              <w:keepNext/>
              <w:rPr>
                <w:rFonts w:ascii="Times New Roman" w:hAnsi="Times New Roman"/>
                <w:b/>
                <w:bCs w:val="0"/>
                <w:szCs w:val="22"/>
                <w:lang w:val="hu-HU"/>
              </w:rPr>
            </w:pPr>
          </w:p>
        </w:tc>
        <w:tc>
          <w:tcPr>
            <w:tcW w:w="1620" w:type="dxa"/>
            <w:vAlign w:val="center"/>
          </w:tcPr>
          <w:p w14:paraId="0D812FA6" w14:textId="77777777" w:rsidR="00D0403E"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Placebo</w:t>
            </w:r>
          </w:p>
          <w:p w14:paraId="300D9ED7" w14:textId="77777777" w:rsidR="00D0403E"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N = 398</w:t>
            </w:r>
          </w:p>
          <w:p w14:paraId="1593660A" w14:textId="77777777" w:rsidR="00D0403E"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n (%)</w:t>
            </w:r>
          </w:p>
        </w:tc>
        <w:tc>
          <w:tcPr>
            <w:tcW w:w="2352" w:type="dxa"/>
            <w:vAlign w:val="center"/>
          </w:tcPr>
          <w:p w14:paraId="52BE4F7E" w14:textId="77777777" w:rsidR="00D0403E"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 xml:space="preserve">Humira 40 mg </w:t>
            </w:r>
          </w:p>
          <w:p w14:paraId="69FC8803" w14:textId="77777777" w:rsidR="00D0403E"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minden második héten</w:t>
            </w:r>
          </w:p>
          <w:p w14:paraId="17FAC2DE" w14:textId="77777777" w:rsidR="00D0403E"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N = 814</w:t>
            </w:r>
          </w:p>
          <w:p w14:paraId="0A128815" w14:textId="77777777" w:rsidR="00D0403E"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n (%)</w:t>
            </w:r>
          </w:p>
        </w:tc>
      </w:tr>
      <w:tr w:rsidR="00011D2F" w14:paraId="4B09B037" w14:textId="77777777" w:rsidTr="00D0403E">
        <w:trPr>
          <w:cantSplit/>
          <w:jc w:val="center"/>
        </w:trPr>
        <w:tc>
          <w:tcPr>
            <w:tcW w:w="2977" w:type="dxa"/>
          </w:tcPr>
          <w:p w14:paraId="5908F9F6" w14:textId="77777777" w:rsidR="00D0403E" w:rsidRPr="00183B5F" w:rsidRDefault="00943743">
            <w:pPr>
              <w:pStyle w:val="DefaultText"/>
              <w:keepNext/>
              <w:rPr>
                <w:rFonts w:ascii="Times New Roman" w:hAnsi="Times New Roman"/>
                <w:b/>
                <w:lang w:val="hu-HU"/>
              </w:rPr>
            </w:pPr>
            <w:r w:rsidRPr="00183B5F">
              <w:rPr>
                <w:rFonts w:ascii="Times New Roman" w:hAnsi="Times New Roman"/>
                <w:b/>
                <w:lang w:val="hu-HU"/>
              </w:rPr>
              <w:t xml:space="preserve">    </w:t>
            </w:r>
            <w:r w:rsidRPr="00183B5F">
              <w:rPr>
                <w:rFonts w:ascii="Symbol" w:hAnsi="Symbol"/>
                <w:b/>
                <w:lang w:val="hu-HU"/>
              </w:rPr>
              <w:sym w:font="Symbol" w:char="F0B3"/>
            </w:r>
            <w:r w:rsidRPr="00183B5F">
              <w:rPr>
                <w:rFonts w:ascii="Times New Roman" w:hAnsi="Times New Roman"/>
                <w:b/>
                <w:lang w:val="hu-HU"/>
              </w:rPr>
              <w:t xml:space="preserve"> PASI 75</w:t>
            </w:r>
            <w:r w:rsidRPr="00183B5F">
              <w:rPr>
                <w:rFonts w:ascii="Times New Roman" w:hAnsi="Times New Roman"/>
                <w:b/>
                <w:vertAlign w:val="superscript"/>
                <w:lang w:val="hu-HU"/>
              </w:rPr>
              <w:t>a</w:t>
            </w:r>
          </w:p>
        </w:tc>
        <w:tc>
          <w:tcPr>
            <w:tcW w:w="1620" w:type="dxa"/>
          </w:tcPr>
          <w:p w14:paraId="486A41A3" w14:textId="77777777" w:rsidR="00D0403E" w:rsidRPr="00183B5F" w:rsidRDefault="00943743">
            <w:pPr>
              <w:pStyle w:val="DefaultText"/>
              <w:keepNext/>
              <w:jc w:val="center"/>
              <w:rPr>
                <w:rFonts w:ascii="Times New Roman" w:hAnsi="Times New Roman"/>
                <w:lang w:val="hu-HU"/>
              </w:rPr>
            </w:pPr>
            <w:r w:rsidRPr="00183B5F">
              <w:rPr>
                <w:rFonts w:ascii="Times New Roman" w:hAnsi="Times New Roman"/>
                <w:lang w:val="hu-HU"/>
              </w:rPr>
              <w:t>26 (6,5)</w:t>
            </w:r>
          </w:p>
        </w:tc>
        <w:tc>
          <w:tcPr>
            <w:tcW w:w="2352" w:type="dxa"/>
          </w:tcPr>
          <w:p w14:paraId="2F64D9F1" w14:textId="77777777" w:rsidR="00D0403E" w:rsidRPr="00183B5F" w:rsidRDefault="00943743">
            <w:pPr>
              <w:pStyle w:val="DefaultText"/>
              <w:keepNext/>
              <w:jc w:val="center"/>
              <w:rPr>
                <w:rFonts w:ascii="Times New Roman" w:hAnsi="Times New Roman"/>
                <w:lang w:val="hu-HU"/>
              </w:rPr>
            </w:pPr>
            <w:r w:rsidRPr="00183B5F">
              <w:rPr>
                <w:rFonts w:ascii="Times New Roman" w:hAnsi="Times New Roman"/>
                <w:lang w:val="hu-HU"/>
              </w:rPr>
              <w:t>578 (70,9)</w:t>
            </w:r>
            <w:r w:rsidRPr="00183B5F">
              <w:rPr>
                <w:rFonts w:ascii="Times New Roman" w:hAnsi="Times New Roman"/>
                <w:vertAlign w:val="superscript"/>
                <w:lang w:val="hu-HU"/>
              </w:rPr>
              <w:t>b</w:t>
            </w:r>
          </w:p>
        </w:tc>
      </w:tr>
      <w:tr w:rsidR="00011D2F" w14:paraId="36D41599" w14:textId="77777777" w:rsidTr="00D0403E">
        <w:trPr>
          <w:cantSplit/>
          <w:trHeight w:val="70"/>
          <w:jc w:val="center"/>
        </w:trPr>
        <w:tc>
          <w:tcPr>
            <w:tcW w:w="2977" w:type="dxa"/>
          </w:tcPr>
          <w:p w14:paraId="4DBA1AA0" w14:textId="77777777" w:rsidR="00D0403E" w:rsidRPr="00183B5F" w:rsidRDefault="00943743">
            <w:pPr>
              <w:pStyle w:val="DefaultText"/>
              <w:keepNext/>
              <w:rPr>
                <w:rFonts w:ascii="Times New Roman" w:hAnsi="Times New Roman"/>
                <w:b/>
                <w:lang w:val="hu-HU"/>
              </w:rPr>
            </w:pPr>
            <w:r w:rsidRPr="00183B5F">
              <w:rPr>
                <w:rFonts w:ascii="Times New Roman" w:hAnsi="Times New Roman"/>
                <w:b/>
                <w:lang w:val="hu-HU"/>
              </w:rPr>
              <w:t xml:space="preserve">    PASI 100</w:t>
            </w:r>
          </w:p>
        </w:tc>
        <w:tc>
          <w:tcPr>
            <w:tcW w:w="1620" w:type="dxa"/>
          </w:tcPr>
          <w:p w14:paraId="779C547F" w14:textId="77777777" w:rsidR="00D0403E" w:rsidRPr="00183B5F" w:rsidRDefault="00943743">
            <w:pPr>
              <w:pStyle w:val="DefaultText"/>
              <w:keepNext/>
              <w:jc w:val="center"/>
              <w:rPr>
                <w:rFonts w:ascii="Times New Roman" w:hAnsi="Times New Roman"/>
                <w:lang w:val="hu-HU"/>
              </w:rPr>
            </w:pPr>
            <w:r w:rsidRPr="00183B5F">
              <w:rPr>
                <w:rFonts w:ascii="Times New Roman" w:hAnsi="Times New Roman"/>
                <w:lang w:val="hu-HU"/>
              </w:rPr>
              <w:t>3 (0,8)</w:t>
            </w:r>
          </w:p>
        </w:tc>
        <w:tc>
          <w:tcPr>
            <w:tcW w:w="2352" w:type="dxa"/>
          </w:tcPr>
          <w:p w14:paraId="43628D50" w14:textId="77777777" w:rsidR="00D0403E" w:rsidRPr="00183B5F" w:rsidRDefault="00943743">
            <w:pPr>
              <w:pStyle w:val="DefaultText"/>
              <w:keepNext/>
              <w:jc w:val="center"/>
              <w:rPr>
                <w:rFonts w:ascii="Times New Roman" w:hAnsi="Times New Roman"/>
                <w:lang w:val="hu-HU"/>
              </w:rPr>
            </w:pPr>
            <w:r w:rsidRPr="00183B5F">
              <w:rPr>
                <w:rFonts w:ascii="Times New Roman" w:hAnsi="Times New Roman"/>
                <w:lang w:val="hu-HU"/>
              </w:rPr>
              <w:t>163 (20,0)</w:t>
            </w:r>
            <w:r w:rsidRPr="00183B5F">
              <w:rPr>
                <w:rFonts w:ascii="Times New Roman" w:hAnsi="Times New Roman"/>
                <w:vertAlign w:val="superscript"/>
                <w:lang w:val="hu-HU"/>
              </w:rPr>
              <w:t>b</w:t>
            </w:r>
          </w:p>
        </w:tc>
      </w:tr>
      <w:tr w:rsidR="00011D2F" w14:paraId="45FB36D5" w14:textId="77777777" w:rsidTr="00D0403E">
        <w:trPr>
          <w:cantSplit/>
          <w:jc w:val="center"/>
        </w:trPr>
        <w:tc>
          <w:tcPr>
            <w:tcW w:w="2977" w:type="dxa"/>
          </w:tcPr>
          <w:p w14:paraId="014D58C4" w14:textId="77777777" w:rsidR="00D0403E" w:rsidRPr="00183B5F" w:rsidRDefault="00943743">
            <w:pPr>
              <w:pStyle w:val="DefaultText"/>
              <w:keepNext/>
              <w:rPr>
                <w:rFonts w:ascii="Times New Roman" w:hAnsi="Times New Roman"/>
                <w:b/>
                <w:lang w:val="hu-HU"/>
              </w:rPr>
            </w:pPr>
            <w:r w:rsidRPr="00183B5F">
              <w:rPr>
                <w:rFonts w:ascii="Times New Roman" w:hAnsi="Times New Roman"/>
                <w:b/>
                <w:lang w:val="hu-HU"/>
              </w:rPr>
              <w:t xml:space="preserve">    PGA: tiszta/minimális</w:t>
            </w:r>
          </w:p>
        </w:tc>
        <w:tc>
          <w:tcPr>
            <w:tcW w:w="1620" w:type="dxa"/>
          </w:tcPr>
          <w:p w14:paraId="0F5303F0" w14:textId="77777777" w:rsidR="00D0403E" w:rsidRPr="00183B5F" w:rsidRDefault="00943743">
            <w:pPr>
              <w:pStyle w:val="DefaultText"/>
              <w:keepNext/>
              <w:jc w:val="center"/>
              <w:rPr>
                <w:rFonts w:ascii="Times New Roman" w:hAnsi="Times New Roman"/>
                <w:lang w:val="hu-HU"/>
              </w:rPr>
            </w:pPr>
            <w:r w:rsidRPr="00183B5F">
              <w:rPr>
                <w:rFonts w:ascii="Times New Roman" w:hAnsi="Times New Roman"/>
                <w:lang w:val="hu-HU"/>
              </w:rPr>
              <w:t>17 (4,3)</w:t>
            </w:r>
          </w:p>
        </w:tc>
        <w:tc>
          <w:tcPr>
            <w:tcW w:w="2352" w:type="dxa"/>
          </w:tcPr>
          <w:p w14:paraId="7ECAD285" w14:textId="77777777" w:rsidR="00D0403E" w:rsidRPr="00183B5F" w:rsidRDefault="00943743">
            <w:pPr>
              <w:pStyle w:val="DefaultText"/>
              <w:keepNext/>
              <w:jc w:val="center"/>
              <w:rPr>
                <w:rFonts w:ascii="Times New Roman" w:hAnsi="Times New Roman"/>
                <w:lang w:val="hu-HU"/>
              </w:rPr>
            </w:pPr>
            <w:r w:rsidRPr="00183B5F">
              <w:rPr>
                <w:rFonts w:ascii="Times New Roman" w:hAnsi="Times New Roman"/>
                <w:lang w:val="hu-HU"/>
              </w:rPr>
              <w:t>506 (62,2)</w:t>
            </w:r>
            <w:r w:rsidRPr="00183B5F">
              <w:rPr>
                <w:rFonts w:ascii="Times New Roman" w:hAnsi="Times New Roman"/>
                <w:vertAlign w:val="superscript"/>
                <w:lang w:val="hu-HU"/>
              </w:rPr>
              <w:t>b</w:t>
            </w:r>
          </w:p>
        </w:tc>
      </w:tr>
      <w:tr w:rsidR="00011D2F" w14:paraId="6510D078" w14:textId="77777777" w:rsidTr="00D0403E">
        <w:trPr>
          <w:cantSplit/>
          <w:jc w:val="center"/>
        </w:trPr>
        <w:tc>
          <w:tcPr>
            <w:tcW w:w="6949" w:type="dxa"/>
            <w:gridSpan w:val="3"/>
          </w:tcPr>
          <w:p w14:paraId="51736B02" w14:textId="77777777" w:rsidR="00D0403E" w:rsidRPr="00183B5F" w:rsidRDefault="00943743">
            <w:pPr>
              <w:pStyle w:val="DefaultText"/>
              <w:keepNext/>
              <w:rPr>
                <w:rFonts w:ascii="Times New Roman" w:hAnsi="Times New Roman"/>
                <w:szCs w:val="22"/>
                <w:lang w:val="hu-HU"/>
              </w:rPr>
            </w:pPr>
            <w:r w:rsidRPr="00183B5F">
              <w:rPr>
                <w:rFonts w:ascii="Times New Roman" w:hAnsi="Times New Roman"/>
                <w:szCs w:val="22"/>
                <w:vertAlign w:val="superscript"/>
                <w:lang w:val="hu-HU"/>
              </w:rPr>
              <w:t>a</w:t>
            </w:r>
            <w:r w:rsidRPr="00183B5F">
              <w:rPr>
                <w:rFonts w:ascii="Times New Roman" w:hAnsi="Times New Roman"/>
                <w:szCs w:val="22"/>
                <w:lang w:val="hu-HU"/>
              </w:rPr>
              <w:t xml:space="preserve"> A PASI 75 választ elért betegek százalékos aránya középértékre korrigált arány formájában került kiszámításra</w:t>
            </w:r>
          </w:p>
          <w:p w14:paraId="53DD1F91" w14:textId="77777777" w:rsidR="00D0403E" w:rsidRPr="00183B5F" w:rsidRDefault="00943743">
            <w:pPr>
              <w:pStyle w:val="DefaultText"/>
              <w:keepNext/>
              <w:rPr>
                <w:rFonts w:ascii="Times New Roman" w:hAnsi="Times New Roman"/>
                <w:lang w:val="hu-HU"/>
              </w:rPr>
            </w:pPr>
            <w:r w:rsidRPr="00183B5F">
              <w:rPr>
                <w:rFonts w:ascii="Times New Roman" w:hAnsi="Times New Roman"/>
                <w:vertAlign w:val="superscript"/>
                <w:lang w:val="hu-HU"/>
              </w:rPr>
              <w:t>b</w:t>
            </w:r>
            <w:r w:rsidRPr="00183B5F">
              <w:rPr>
                <w:rFonts w:ascii="Times New Roman" w:hAnsi="Times New Roman"/>
                <w:lang w:val="hu-HU"/>
              </w:rPr>
              <w:t xml:space="preserve"> p &lt; 0,001, Humira vs. </w:t>
            </w:r>
            <w:r w:rsidR="002E6AB9" w:rsidRPr="00183B5F">
              <w:rPr>
                <w:rFonts w:ascii="Times New Roman" w:hAnsi="Times New Roman"/>
                <w:lang w:val="hu-HU"/>
              </w:rPr>
              <w:t>p</w:t>
            </w:r>
            <w:r w:rsidRPr="00183B5F">
              <w:rPr>
                <w:rFonts w:ascii="Times New Roman" w:hAnsi="Times New Roman"/>
                <w:lang w:val="hu-HU"/>
              </w:rPr>
              <w:t>lacebo</w:t>
            </w:r>
          </w:p>
        </w:tc>
      </w:tr>
    </w:tbl>
    <w:p w14:paraId="511A80C8" w14:textId="77777777" w:rsidR="00D0403E" w:rsidRPr="00183B5F" w:rsidRDefault="00D0403E" w:rsidP="004062FE">
      <w:pPr>
        <w:pStyle w:val="BodyText3"/>
        <w:spacing w:line="240" w:lineRule="auto"/>
        <w:rPr>
          <w:b/>
          <w:i/>
          <w:sz w:val="22"/>
          <w:lang w:val="hu-HU"/>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9"/>
        <w:gridCol w:w="1645"/>
        <w:gridCol w:w="1344"/>
        <w:gridCol w:w="2348"/>
      </w:tblGrid>
      <w:tr w:rsidR="00011D2F" w14:paraId="314201C4" w14:textId="77777777" w:rsidTr="00D0403E">
        <w:trPr>
          <w:cantSplit/>
          <w:jc w:val="center"/>
        </w:trPr>
        <w:tc>
          <w:tcPr>
            <w:tcW w:w="7046" w:type="dxa"/>
            <w:gridSpan w:val="4"/>
            <w:tcBorders>
              <w:top w:val="nil"/>
              <w:left w:val="nil"/>
              <w:right w:val="nil"/>
            </w:tcBorders>
          </w:tcPr>
          <w:p w14:paraId="00CB55CC" w14:textId="77777777" w:rsidR="00D0403E"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 xml:space="preserve">17. táblázat </w:t>
            </w:r>
          </w:p>
          <w:p w14:paraId="13A71E1F" w14:textId="77777777" w:rsidR="00D0403E"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Psoriasis II (CHAMPION) vizsgálat</w:t>
            </w:r>
          </w:p>
          <w:p w14:paraId="0D3B48C8" w14:textId="77777777" w:rsidR="00D0403E"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Hatékonysági eredmények a 16. héten</w:t>
            </w:r>
          </w:p>
          <w:p w14:paraId="3663E481" w14:textId="77777777" w:rsidR="00D0403E" w:rsidRPr="00183B5F" w:rsidRDefault="00D0403E">
            <w:pPr>
              <w:pStyle w:val="DefaultText"/>
              <w:keepNext/>
              <w:jc w:val="center"/>
              <w:rPr>
                <w:rFonts w:ascii="Times New Roman" w:hAnsi="Times New Roman"/>
                <w:u w:val="single"/>
                <w:lang w:val="hu-HU"/>
              </w:rPr>
            </w:pPr>
          </w:p>
        </w:tc>
      </w:tr>
      <w:tr w:rsidR="00011D2F" w14:paraId="27DB02C7" w14:textId="77777777" w:rsidTr="00D0403E">
        <w:trPr>
          <w:cantSplit/>
          <w:jc w:val="center"/>
        </w:trPr>
        <w:tc>
          <w:tcPr>
            <w:tcW w:w="1639" w:type="dxa"/>
          </w:tcPr>
          <w:p w14:paraId="4C4A96B7" w14:textId="77777777" w:rsidR="00D0403E" w:rsidRPr="00183B5F" w:rsidRDefault="00D0403E">
            <w:pPr>
              <w:pStyle w:val="DefaultText"/>
              <w:keepNext/>
              <w:jc w:val="center"/>
              <w:rPr>
                <w:rFonts w:ascii="Times New Roman" w:hAnsi="Times New Roman"/>
                <w:b/>
                <w:lang w:val="hu-HU"/>
              </w:rPr>
            </w:pPr>
          </w:p>
        </w:tc>
        <w:tc>
          <w:tcPr>
            <w:tcW w:w="1668" w:type="dxa"/>
            <w:vAlign w:val="center"/>
          </w:tcPr>
          <w:p w14:paraId="6484D481" w14:textId="77777777" w:rsidR="00D0403E"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Placebo</w:t>
            </w:r>
          </w:p>
          <w:p w14:paraId="56D93387" w14:textId="77777777" w:rsidR="00D0403E"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N = 53</w:t>
            </w:r>
          </w:p>
          <w:p w14:paraId="659A93A3" w14:textId="77777777" w:rsidR="00D0403E"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n (%)</w:t>
            </w:r>
          </w:p>
        </w:tc>
        <w:tc>
          <w:tcPr>
            <w:tcW w:w="1347" w:type="dxa"/>
            <w:vAlign w:val="center"/>
          </w:tcPr>
          <w:p w14:paraId="761ECCFF" w14:textId="77777777" w:rsidR="00D0403E"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Metotrexát</w:t>
            </w:r>
          </w:p>
          <w:p w14:paraId="16AB4B59" w14:textId="77777777" w:rsidR="00D0403E"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N = 110</w:t>
            </w:r>
          </w:p>
          <w:p w14:paraId="447660C9" w14:textId="77777777" w:rsidR="00D0403E"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n (%)</w:t>
            </w:r>
          </w:p>
        </w:tc>
        <w:tc>
          <w:tcPr>
            <w:tcW w:w="2392" w:type="dxa"/>
            <w:vAlign w:val="center"/>
          </w:tcPr>
          <w:p w14:paraId="0C6BD57E" w14:textId="77777777" w:rsidR="00D0403E"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 xml:space="preserve">Humira 40 mg </w:t>
            </w:r>
          </w:p>
          <w:p w14:paraId="1FE9E76A" w14:textId="77777777" w:rsidR="00D0403E"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minden második héten</w:t>
            </w:r>
          </w:p>
          <w:p w14:paraId="6B5FA087" w14:textId="77777777" w:rsidR="00D0403E"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N = 108</w:t>
            </w:r>
          </w:p>
          <w:p w14:paraId="4E9E3EC6" w14:textId="77777777" w:rsidR="00D0403E"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n (%)</w:t>
            </w:r>
          </w:p>
        </w:tc>
      </w:tr>
      <w:tr w:rsidR="00011D2F" w14:paraId="34C1299D" w14:textId="77777777" w:rsidTr="00D0403E">
        <w:trPr>
          <w:cantSplit/>
          <w:jc w:val="center"/>
        </w:trPr>
        <w:tc>
          <w:tcPr>
            <w:tcW w:w="1639" w:type="dxa"/>
          </w:tcPr>
          <w:p w14:paraId="180665C3" w14:textId="77777777" w:rsidR="00D0403E" w:rsidRPr="00183B5F" w:rsidRDefault="00943743">
            <w:pPr>
              <w:pStyle w:val="DefaultText"/>
              <w:keepNext/>
              <w:rPr>
                <w:rFonts w:ascii="Times New Roman" w:hAnsi="Times New Roman"/>
                <w:b/>
                <w:lang w:val="hu-HU"/>
              </w:rPr>
            </w:pPr>
            <w:r w:rsidRPr="00183B5F">
              <w:rPr>
                <w:rFonts w:ascii="Times New Roman" w:hAnsi="Times New Roman"/>
                <w:b/>
                <w:lang w:val="hu-HU"/>
              </w:rPr>
              <w:t xml:space="preserve">    </w:t>
            </w:r>
            <w:r w:rsidRPr="00183B5F">
              <w:rPr>
                <w:rFonts w:ascii="Symbol" w:hAnsi="Symbol"/>
                <w:b/>
                <w:lang w:val="hu-HU"/>
              </w:rPr>
              <w:sym w:font="Symbol" w:char="F0B3"/>
            </w:r>
            <w:r w:rsidR="002E6AB9" w:rsidRPr="00183B5F">
              <w:rPr>
                <w:rFonts w:ascii="Times New Roman" w:hAnsi="Times New Roman"/>
                <w:b/>
                <w:lang w:val="hu-HU"/>
              </w:rPr>
              <w:t> </w:t>
            </w:r>
            <w:r w:rsidRPr="00183B5F">
              <w:rPr>
                <w:rFonts w:ascii="Times New Roman" w:hAnsi="Times New Roman"/>
                <w:b/>
                <w:lang w:val="hu-HU"/>
              </w:rPr>
              <w:t>PASI 75</w:t>
            </w:r>
          </w:p>
        </w:tc>
        <w:tc>
          <w:tcPr>
            <w:tcW w:w="1668" w:type="dxa"/>
          </w:tcPr>
          <w:p w14:paraId="487A98AB" w14:textId="77777777" w:rsidR="00D0403E" w:rsidRPr="00183B5F" w:rsidRDefault="00943743">
            <w:pPr>
              <w:pStyle w:val="DefaultText"/>
              <w:keepNext/>
              <w:jc w:val="center"/>
              <w:rPr>
                <w:rFonts w:ascii="Times New Roman" w:hAnsi="Times New Roman"/>
                <w:lang w:val="hu-HU"/>
              </w:rPr>
            </w:pPr>
            <w:r w:rsidRPr="00183B5F">
              <w:rPr>
                <w:rFonts w:ascii="Times New Roman" w:hAnsi="Times New Roman"/>
                <w:lang w:val="hu-HU"/>
              </w:rPr>
              <w:t>10 (18,9)</w:t>
            </w:r>
          </w:p>
        </w:tc>
        <w:tc>
          <w:tcPr>
            <w:tcW w:w="1347" w:type="dxa"/>
          </w:tcPr>
          <w:p w14:paraId="223FC61E" w14:textId="77777777" w:rsidR="00D0403E" w:rsidRPr="00183B5F" w:rsidRDefault="00943743">
            <w:pPr>
              <w:pStyle w:val="DefaultText"/>
              <w:keepNext/>
              <w:jc w:val="center"/>
              <w:rPr>
                <w:rFonts w:ascii="Times New Roman" w:hAnsi="Times New Roman"/>
                <w:lang w:val="hu-HU"/>
              </w:rPr>
            </w:pPr>
            <w:r w:rsidRPr="00183B5F">
              <w:rPr>
                <w:rFonts w:ascii="Times New Roman" w:hAnsi="Times New Roman"/>
                <w:lang w:val="hu-HU"/>
              </w:rPr>
              <w:t>39 (35,5)</w:t>
            </w:r>
          </w:p>
        </w:tc>
        <w:tc>
          <w:tcPr>
            <w:tcW w:w="2392" w:type="dxa"/>
          </w:tcPr>
          <w:p w14:paraId="03A03941" w14:textId="77777777" w:rsidR="00D0403E" w:rsidRPr="00183B5F" w:rsidRDefault="00943743">
            <w:pPr>
              <w:pStyle w:val="DefaultText"/>
              <w:keepNext/>
              <w:jc w:val="center"/>
              <w:rPr>
                <w:rFonts w:ascii="Times New Roman" w:hAnsi="Times New Roman"/>
                <w:lang w:val="hu-HU"/>
              </w:rPr>
            </w:pPr>
            <w:r w:rsidRPr="00183B5F">
              <w:rPr>
                <w:rFonts w:ascii="Times New Roman" w:hAnsi="Times New Roman"/>
                <w:lang w:val="hu-HU"/>
              </w:rPr>
              <w:t>86 (79,6)</w:t>
            </w:r>
            <w:r w:rsidRPr="00183B5F">
              <w:rPr>
                <w:rFonts w:ascii="Times New Roman" w:hAnsi="Times New Roman"/>
                <w:vertAlign w:val="superscript"/>
                <w:lang w:val="hu-HU"/>
              </w:rPr>
              <w:t xml:space="preserve"> a, b</w:t>
            </w:r>
          </w:p>
        </w:tc>
      </w:tr>
      <w:tr w:rsidR="00011D2F" w14:paraId="119044C6" w14:textId="77777777" w:rsidTr="00D0403E">
        <w:trPr>
          <w:cantSplit/>
          <w:jc w:val="center"/>
        </w:trPr>
        <w:tc>
          <w:tcPr>
            <w:tcW w:w="1639" w:type="dxa"/>
          </w:tcPr>
          <w:p w14:paraId="71662BF2" w14:textId="77777777" w:rsidR="00D0403E" w:rsidRPr="00183B5F" w:rsidRDefault="00943743">
            <w:pPr>
              <w:pStyle w:val="DefaultText"/>
              <w:keepNext/>
              <w:rPr>
                <w:rFonts w:ascii="Times New Roman" w:hAnsi="Times New Roman"/>
                <w:b/>
                <w:lang w:val="hu-HU"/>
              </w:rPr>
            </w:pPr>
            <w:r w:rsidRPr="00183B5F">
              <w:rPr>
                <w:rFonts w:ascii="Times New Roman" w:hAnsi="Times New Roman"/>
                <w:b/>
                <w:lang w:val="hu-HU"/>
              </w:rPr>
              <w:t xml:space="preserve">    PASI 100</w:t>
            </w:r>
          </w:p>
        </w:tc>
        <w:tc>
          <w:tcPr>
            <w:tcW w:w="1668" w:type="dxa"/>
          </w:tcPr>
          <w:p w14:paraId="77B0E0CA" w14:textId="77777777" w:rsidR="00D0403E" w:rsidRPr="00183B5F" w:rsidRDefault="00943743">
            <w:pPr>
              <w:pStyle w:val="DefaultText"/>
              <w:keepNext/>
              <w:jc w:val="center"/>
              <w:rPr>
                <w:rFonts w:ascii="Times New Roman" w:hAnsi="Times New Roman"/>
                <w:lang w:val="hu-HU"/>
              </w:rPr>
            </w:pPr>
            <w:r w:rsidRPr="00183B5F">
              <w:rPr>
                <w:rFonts w:ascii="Times New Roman" w:hAnsi="Times New Roman"/>
                <w:lang w:val="hu-HU"/>
              </w:rPr>
              <w:t>1 (1,9)</w:t>
            </w:r>
          </w:p>
        </w:tc>
        <w:tc>
          <w:tcPr>
            <w:tcW w:w="1347" w:type="dxa"/>
          </w:tcPr>
          <w:p w14:paraId="57ACAB94" w14:textId="77777777" w:rsidR="00D0403E" w:rsidRPr="00183B5F" w:rsidRDefault="00943743">
            <w:pPr>
              <w:pStyle w:val="DefaultText"/>
              <w:keepNext/>
              <w:jc w:val="center"/>
              <w:rPr>
                <w:rFonts w:ascii="Times New Roman" w:hAnsi="Times New Roman"/>
                <w:lang w:val="hu-HU"/>
              </w:rPr>
            </w:pPr>
            <w:r w:rsidRPr="00183B5F">
              <w:rPr>
                <w:rFonts w:ascii="Times New Roman" w:hAnsi="Times New Roman"/>
                <w:lang w:val="hu-HU"/>
              </w:rPr>
              <w:t>8 (7,3)</w:t>
            </w:r>
          </w:p>
        </w:tc>
        <w:tc>
          <w:tcPr>
            <w:tcW w:w="2392" w:type="dxa"/>
          </w:tcPr>
          <w:p w14:paraId="163F32E5" w14:textId="77777777" w:rsidR="00D0403E" w:rsidRPr="00183B5F" w:rsidRDefault="00943743">
            <w:pPr>
              <w:pStyle w:val="DefaultText"/>
              <w:keepNext/>
              <w:jc w:val="center"/>
              <w:rPr>
                <w:rFonts w:ascii="Times New Roman" w:hAnsi="Times New Roman"/>
                <w:lang w:val="hu-HU"/>
              </w:rPr>
            </w:pPr>
            <w:r w:rsidRPr="00183B5F">
              <w:rPr>
                <w:rFonts w:ascii="Times New Roman" w:hAnsi="Times New Roman"/>
                <w:lang w:val="hu-HU"/>
              </w:rPr>
              <w:t>18 (16,7)</w:t>
            </w:r>
            <w:r w:rsidRPr="00183B5F">
              <w:rPr>
                <w:rFonts w:ascii="Times New Roman" w:hAnsi="Times New Roman"/>
                <w:vertAlign w:val="superscript"/>
                <w:lang w:val="hu-HU"/>
              </w:rPr>
              <w:t xml:space="preserve"> c, d</w:t>
            </w:r>
          </w:p>
        </w:tc>
      </w:tr>
      <w:tr w:rsidR="00011D2F" w14:paraId="132DD6B7" w14:textId="77777777" w:rsidTr="00D0403E">
        <w:trPr>
          <w:cantSplit/>
          <w:jc w:val="center"/>
        </w:trPr>
        <w:tc>
          <w:tcPr>
            <w:tcW w:w="1639" w:type="dxa"/>
          </w:tcPr>
          <w:p w14:paraId="66AB21A4" w14:textId="77777777" w:rsidR="00D0403E" w:rsidRPr="00183B5F" w:rsidRDefault="00943743">
            <w:pPr>
              <w:pStyle w:val="DefaultText"/>
              <w:keepNext/>
              <w:rPr>
                <w:rFonts w:ascii="Times New Roman" w:hAnsi="Times New Roman"/>
                <w:b/>
                <w:lang w:val="hu-HU"/>
              </w:rPr>
            </w:pPr>
            <w:r w:rsidRPr="00183B5F">
              <w:rPr>
                <w:rFonts w:ascii="Times New Roman" w:hAnsi="Times New Roman"/>
                <w:b/>
                <w:lang w:val="hu-HU"/>
              </w:rPr>
              <w:t xml:space="preserve">    PGA: tiszta/minimális</w:t>
            </w:r>
          </w:p>
        </w:tc>
        <w:tc>
          <w:tcPr>
            <w:tcW w:w="1668" w:type="dxa"/>
          </w:tcPr>
          <w:p w14:paraId="4E3675E1" w14:textId="77777777" w:rsidR="00D0403E" w:rsidRPr="00183B5F" w:rsidRDefault="00943743">
            <w:pPr>
              <w:pStyle w:val="DefaultText"/>
              <w:keepNext/>
              <w:jc w:val="center"/>
              <w:rPr>
                <w:rFonts w:ascii="Times New Roman" w:hAnsi="Times New Roman"/>
                <w:lang w:val="hu-HU"/>
              </w:rPr>
            </w:pPr>
            <w:r w:rsidRPr="00183B5F">
              <w:rPr>
                <w:rFonts w:ascii="Times New Roman" w:hAnsi="Times New Roman"/>
                <w:lang w:val="hu-HU"/>
              </w:rPr>
              <w:t>6 (11,3)</w:t>
            </w:r>
          </w:p>
        </w:tc>
        <w:tc>
          <w:tcPr>
            <w:tcW w:w="1347" w:type="dxa"/>
          </w:tcPr>
          <w:p w14:paraId="1A5528C2" w14:textId="77777777" w:rsidR="00D0403E" w:rsidRPr="00183B5F" w:rsidRDefault="00943743">
            <w:pPr>
              <w:pStyle w:val="DefaultText"/>
              <w:keepNext/>
              <w:jc w:val="center"/>
              <w:rPr>
                <w:rFonts w:ascii="Times New Roman" w:hAnsi="Times New Roman"/>
                <w:lang w:val="hu-HU"/>
              </w:rPr>
            </w:pPr>
            <w:r w:rsidRPr="00183B5F">
              <w:rPr>
                <w:rFonts w:ascii="Times New Roman" w:hAnsi="Times New Roman"/>
                <w:lang w:val="hu-HU"/>
              </w:rPr>
              <w:t>33 (30,0)</w:t>
            </w:r>
          </w:p>
        </w:tc>
        <w:tc>
          <w:tcPr>
            <w:tcW w:w="2392" w:type="dxa"/>
          </w:tcPr>
          <w:p w14:paraId="50096328" w14:textId="77777777" w:rsidR="00D0403E" w:rsidRPr="00183B5F" w:rsidRDefault="00943743">
            <w:pPr>
              <w:pStyle w:val="DefaultText"/>
              <w:keepNext/>
              <w:jc w:val="center"/>
              <w:rPr>
                <w:rFonts w:ascii="Times New Roman" w:hAnsi="Times New Roman"/>
                <w:lang w:val="hu-HU"/>
              </w:rPr>
            </w:pPr>
            <w:r w:rsidRPr="00183B5F">
              <w:rPr>
                <w:rFonts w:ascii="Times New Roman" w:hAnsi="Times New Roman"/>
                <w:lang w:val="hu-HU"/>
              </w:rPr>
              <w:t>79 (73,1)</w:t>
            </w:r>
            <w:r w:rsidRPr="00183B5F">
              <w:rPr>
                <w:rFonts w:ascii="Times New Roman" w:hAnsi="Times New Roman"/>
                <w:vertAlign w:val="superscript"/>
                <w:lang w:val="hu-HU"/>
              </w:rPr>
              <w:t xml:space="preserve"> a, b</w:t>
            </w:r>
          </w:p>
        </w:tc>
      </w:tr>
      <w:tr w:rsidR="00011D2F" w14:paraId="0BC65C4A" w14:textId="77777777" w:rsidTr="00D0403E">
        <w:trPr>
          <w:cantSplit/>
          <w:jc w:val="center"/>
        </w:trPr>
        <w:tc>
          <w:tcPr>
            <w:tcW w:w="7046" w:type="dxa"/>
            <w:gridSpan w:val="4"/>
          </w:tcPr>
          <w:p w14:paraId="6092F482" w14:textId="77777777" w:rsidR="00D0403E" w:rsidRPr="00183B5F" w:rsidRDefault="00943743">
            <w:pPr>
              <w:pStyle w:val="DefaultText"/>
              <w:keepNext/>
              <w:rPr>
                <w:rFonts w:ascii="Times New Roman" w:hAnsi="Times New Roman"/>
                <w:szCs w:val="22"/>
                <w:lang w:val="hu-HU"/>
              </w:rPr>
            </w:pPr>
            <w:r w:rsidRPr="00183B5F">
              <w:rPr>
                <w:rFonts w:ascii="Times New Roman" w:hAnsi="Times New Roman"/>
                <w:szCs w:val="22"/>
                <w:vertAlign w:val="superscript"/>
                <w:lang w:val="hu-HU"/>
              </w:rPr>
              <w:t>a</w:t>
            </w:r>
            <w:r w:rsidRPr="00183B5F">
              <w:rPr>
                <w:rFonts w:ascii="Times New Roman" w:hAnsi="Times New Roman"/>
                <w:szCs w:val="22"/>
                <w:lang w:val="hu-HU"/>
              </w:rPr>
              <w:t xml:space="preserve"> p &lt; 0,001 Humira vs. </w:t>
            </w:r>
            <w:r w:rsidR="002E6AB9" w:rsidRPr="00183B5F">
              <w:rPr>
                <w:rFonts w:ascii="Times New Roman" w:hAnsi="Times New Roman"/>
                <w:szCs w:val="22"/>
                <w:lang w:val="hu-HU"/>
              </w:rPr>
              <w:t>p</w:t>
            </w:r>
            <w:r w:rsidRPr="00183B5F">
              <w:rPr>
                <w:rFonts w:ascii="Times New Roman" w:hAnsi="Times New Roman"/>
                <w:szCs w:val="22"/>
                <w:lang w:val="hu-HU"/>
              </w:rPr>
              <w:t>lacebo</w:t>
            </w:r>
          </w:p>
          <w:p w14:paraId="00BB0AC1" w14:textId="77777777" w:rsidR="00D0403E" w:rsidRPr="00183B5F" w:rsidRDefault="00943743">
            <w:pPr>
              <w:pStyle w:val="DefaultText"/>
              <w:keepNext/>
              <w:rPr>
                <w:rFonts w:ascii="Times New Roman" w:hAnsi="Times New Roman"/>
                <w:szCs w:val="22"/>
                <w:lang w:val="hu-HU"/>
              </w:rPr>
            </w:pPr>
            <w:r w:rsidRPr="00183B5F">
              <w:rPr>
                <w:rFonts w:ascii="Times New Roman" w:hAnsi="Times New Roman"/>
                <w:szCs w:val="22"/>
                <w:vertAlign w:val="superscript"/>
                <w:lang w:val="hu-HU"/>
              </w:rPr>
              <w:t>b</w:t>
            </w:r>
            <w:r w:rsidRPr="00183B5F">
              <w:rPr>
                <w:rFonts w:ascii="Times New Roman" w:hAnsi="Times New Roman"/>
                <w:szCs w:val="22"/>
                <w:lang w:val="hu-HU"/>
              </w:rPr>
              <w:t xml:space="preserve"> p &lt; 0,001 Humira vs. metotrexát</w:t>
            </w:r>
          </w:p>
          <w:p w14:paraId="22983454" w14:textId="77777777" w:rsidR="00D0403E" w:rsidRPr="00183B5F" w:rsidRDefault="00943743">
            <w:pPr>
              <w:pStyle w:val="DefaultText"/>
              <w:keepNext/>
              <w:rPr>
                <w:rFonts w:ascii="Times New Roman" w:hAnsi="Times New Roman"/>
                <w:szCs w:val="22"/>
                <w:lang w:val="hu-HU"/>
              </w:rPr>
            </w:pPr>
            <w:r w:rsidRPr="00183B5F">
              <w:rPr>
                <w:rFonts w:ascii="Times New Roman" w:hAnsi="Times New Roman"/>
                <w:szCs w:val="22"/>
                <w:vertAlign w:val="superscript"/>
                <w:lang w:val="hu-HU"/>
              </w:rPr>
              <w:t>c</w:t>
            </w:r>
            <w:r w:rsidRPr="00183B5F">
              <w:rPr>
                <w:rFonts w:ascii="Times New Roman" w:hAnsi="Times New Roman"/>
                <w:szCs w:val="22"/>
                <w:lang w:val="hu-HU"/>
              </w:rPr>
              <w:t xml:space="preserve"> p &lt; 0,01 Humira vs. placebo</w:t>
            </w:r>
          </w:p>
          <w:p w14:paraId="441C466B" w14:textId="77777777" w:rsidR="00D0403E" w:rsidRPr="00183B5F" w:rsidRDefault="00943743">
            <w:pPr>
              <w:pStyle w:val="DefaultText"/>
              <w:keepNext/>
              <w:rPr>
                <w:rFonts w:ascii="Times New Roman" w:hAnsi="Times New Roman"/>
                <w:szCs w:val="22"/>
                <w:lang w:val="hu-HU"/>
              </w:rPr>
            </w:pPr>
            <w:r w:rsidRPr="00183B5F">
              <w:rPr>
                <w:rFonts w:ascii="Times New Roman" w:hAnsi="Times New Roman"/>
                <w:szCs w:val="22"/>
                <w:vertAlign w:val="superscript"/>
                <w:lang w:val="hu-HU"/>
              </w:rPr>
              <w:t>d</w:t>
            </w:r>
            <w:r w:rsidRPr="00183B5F">
              <w:rPr>
                <w:rFonts w:ascii="Times New Roman" w:hAnsi="Times New Roman"/>
                <w:szCs w:val="22"/>
                <w:lang w:val="hu-HU"/>
              </w:rPr>
              <w:t xml:space="preserve"> p &lt; 0,05 Humira vs. </w:t>
            </w:r>
            <w:r w:rsidR="002E6AB9" w:rsidRPr="00183B5F">
              <w:rPr>
                <w:rFonts w:ascii="Times New Roman" w:hAnsi="Times New Roman"/>
                <w:szCs w:val="22"/>
                <w:lang w:val="hu-HU"/>
              </w:rPr>
              <w:t>m</w:t>
            </w:r>
            <w:r w:rsidRPr="00183B5F">
              <w:rPr>
                <w:rFonts w:ascii="Times New Roman" w:hAnsi="Times New Roman"/>
                <w:szCs w:val="22"/>
                <w:lang w:val="hu-HU"/>
              </w:rPr>
              <w:t>etotrexát</w:t>
            </w:r>
          </w:p>
        </w:tc>
      </w:tr>
    </w:tbl>
    <w:p w14:paraId="53CF43C5" w14:textId="77777777" w:rsidR="00D0403E" w:rsidRPr="00183B5F" w:rsidRDefault="00D0403E" w:rsidP="004062FE">
      <w:pPr>
        <w:spacing w:line="240" w:lineRule="auto"/>
        <w:rPr>
          <w:b/>
          <w:bCs/>
          <w:szCs w:val="22"/>
        </w:rPr>
      </w:pPr>
    </w:p>
    <w:p w14:paraId="5167C1F2" w14:textId="77777777" w:rsidR="00D0403E" w:rsidRPr="00183B5F" w:rsidRDefault="00943743" w:rsidP="004062FE">
      <w:pPr>
        <w:spacing w:line="240" w:lineRule="auto"/>
        <w:rPr>
          <w:szCs w:val="22"/>
        </w:rPr>
      </w:pPr>
      <w:r w:rsidRPr="00183B5F">
        <w:rPr>
          <w:szCs w:val="22"/>
        </w:rPr>
        <w:t>A Psoriasis I vizsgálatban a PASI 75 választ adó és a 33. héten újra placebóra randomizált betegek 28%</w:t>
      </w:r>
      <w:r w:rsidRPr="00183B5F">
        <w:rPr>
          <w:szCs w:val="22"/>
        </w:rPr>
        <w:noBreakHyphen/>
        <w:t xml:space="preserve">ánál „a megfelelő </w:t>
      </w:r>
      <w:r w:rsidR="00B52567" w:rsidRPr="00183B5F">
        <w:rPr>
          <w:szCs w:val="22"/>
        </w:rPr>
        <w:t xml:space="preserve">terápiás válasz </w:t>
      </w:r>
      <w:r w:rsidRPr="00183B5F">
        <w:rPr>
          <w:szCs w:val="22"/>
        </w:rPr>
        <w:t>elvesztését” (a PASI</w:t>
      </w:r>
      <w:r w:rsidRPr="00183B5F">
        <w:rPr>
          <w:szCs w:val="22"/>
        </w:rPr>
        <w:noBreakHyphen/>
        <w:t>pontszám a 33. hét után és az 52. héten vagy előtte, amely a kiindulási értékhez képest &lt; PASI 50 választ eredményez, a 33. héthez viszonyítva minimum 6 PASI</w:t>
      </w:r>
      <w:r w:rsidR="00B52567" w:rsidRPr="00183B5F">
        <w:rPr>
          <w:szCs w:val="22"/>
        </w:rPr>
        <w:t>-</w:t>
      </w:r>
      <w:r w:rsidRPr="00183B5F">
        <w:rPr>
          <w:szCs w:val="22"/>
        </w:rPr>
        <w:t>pontos növekedéssel) tapasztalták, a Humira</w:t>
      </w:r>
      <w:r w:rsidRPr="00183B5F">
        <w:rPr>
          <w:szCs w:val="22"/>
        </w:rPr>
        <w:noBreakHyphen/>
        <w:t>kezelést folytató betegeknél észlelt 5%</w:t>
      </w:r>
      <w:r w:rsidRPr="00183B5F">
        <w:rPr>
          <w:szCs w:val="22"/>
        </w:rPr>
        <w:noBreakHyphen/>
        <w:t>kal szemben (p &lt; 0,001). Azok közül a betegek közül, akik a placebóra ismételt randomizálást követően elvesztették a megfelelő választ, és akiket beválogattak a nyílt elrendezésű kiterjesztéses vizsgálatba, a 12, i</w:t>
      </w:r>
      <w:r w:rsidRPr="00183B5F">
        <w:rPr>
          <w:szCs w:val="22"/>
        </w:rPr>
        <w:t>lletve 24 hetes újbóli kezelést követően sorrendben 38% (25/66) és 55% (36/66) nyerte vissza a PASI 75 választ.</w:t>
      </w:r>
    </w:p>
    <w:p w14:paraId="1488318A" w14:textId="77777777" w:rsidR="00D0403E" w:rsidRPr="00183B5F" w:rsidRDefault="00D0403E" w:rsidP="004062FE">
      <w:pPr>
        <w:spacing w:line="240" w:lineRule="auto"/>
        <w:rPr>
          <w:szCs w:val="22"/>
        </w:rPr>
      </w:pPr>
    </w:p>
    <w:p w14:paraId="47E13FB1" w14:textId="77777777" w:rsidR="00D0403E" w:rsidRPr="00183B5F" w:rsidRDefault="00943743" w:rsidP="004062FE">
      <w:pPr>
        <w:spacing w:line="240" w:lineRule="auto"/>
        <w:rPr>
          <w:szCs w:val="22"/>
        </w:rPr>
      </w:pPr>
      <w:r w:rsidRPr="00183B5F">
        <w:rPr>
          <w:szCs w:val="22"/>
        </w:rPr>
        <w:t>A 16. és a 33. héten összesen 233 PASI 75 reszponder részesült folyamatos Humira</w:t>
      </w:r>
      <w:r w:rsidRPr="00183B5F">
        <w:rPr>
          <w:szCs w:val="22"/>
        </w:rPr>
        <w:noBreakHyphen/>
        <w:t>kezelésben 52 héten át a Psoriasis</w:t>
      </w:r>
      <w:r w:rsidR="002E6AB9" w:rsidRPr="00183B5F">
        <w:rPr>
          <w:szCs w:val="22"/>
        </w:rPr>
        <w:t> </w:t>
      </w:r>
      <w:r w:rsidRPr="00183B5F">
        <w:rPr>
          <w:szCs w:val="22"/>
        </w:rPr>
        <w:t>I vizsgálatban, és folytatta a Humira alkalmazását a nyílt elrendezésű kiterjesztéses vizsgálatban. A PASI 75 és a tiszta</w:t>
      </w:r>
      <w:r w:rsidRPr="00183B5F">
        <w:rPr>
          <w:b/>
          <w:bCs/>
          <w:szCs w:val="22"/>
        </w:rPr>
        <w:t xml:space="preserve"> </w:t>
      </w:r>
      <w:r w:rsidRPr="00183B5F">
        <w:rPr>
          <w:szCs w:val="22"/>
        </w:rPr>
        <w:t>vagy minimális PGA terápiás válaszarány ezeknél a betegeknél 74,7%, illetve 59,0% volt a megadott sorrendben a nyílt elrendezésű kezelés további 108 hetes időszakát követően (összesen 160 hét). Egy olyan elemzésben, amelyben non</w:t>
      </w:r>
      <w:r w:rsidRPr="00183B5F">
        <w:rPr>
          <w:szCs w:val="22"/>
        </w:rPr>
        <w:noBreakHyphen/>
        <w:t>reszpondernek tekintettek minden olyan beteget, aki nemkívánatos események vagy a hatásosság hiánya miatt idő előtt abbahagyt</w:t>
      </w:r>
      <w:r w:rsidRPr="00183B5F">
        <w:rPr>
          <w:szCs w:val="22"/>
        </w:rPr>
        <w:t>a a vizsgálatot, vagy akinél dózis</w:t>
      </w:r>
      <w:r w:rsidRPr="00183B5F">
        <w:rPr>
          <w:szCs w:val="22"/>
        </w:rPr>
        <w:noBreakHyphen/>
        <w:t>eszkalációra került sor, a PASI 75 és a tiszta vagy minimális PGA terápiás válaszarány ezeknél a betegeknél 69,6%, illetve 55,7% volt a megadott sorrendben a nyílt elrendezésű kezelés további 108 hetes időszakát követően (összesen 160 hét).</w:t>
      </w:r>
    </w:p>
    <w:p w14:paraId="27554ADC" w14:textId="77777777" w:rsidR="00D0403E" w:rsidRPr="00183B5F" w:rsidRDefault="00D0403E" w:rsidP="004062FE">
      <w:pPr>
        <w:spacing w:line="240" w:lineRule="auto"/>
        <w:rPr>
          <w:szCs w:val="22"/>
        </w:rPr>
      </w:pPr>
    </w:p>
    <w:p w14:paraId="0E25A06F" w14:textId="77777777" w:rsidR="00D0403E" w:rsidRPr="00183B5F" w:rsidRDefault="00943743" w:rsidP="004062FE">
      <w:pPr>
        <w:spacing w:line="240" w:lineRule="auto"/>
        <w:rPr>
          <w:szCs w:val="22"/>
        </w:rPr>
      </w:pPr>
      <w:r w:rsidRPr="00183B5F">
        <w:rPr>
          <w:szCs w:val="22"/>
        </w:rPr>
        <w:t>Összesen 347, stabil reszponder vett részt egy, a kezelés abbahagyását majd újrakezdését elemző nyílt elrendezésű kiterjesztéses vizsgálatban. A kezelés abbahagyásának időszakában a psoriasis tünetei a relapsusig („közepesen súlyos” vagy rosszabb PGA</w:t>
      </w:r>
      <w:r w:rsidRPr="00183B5F">
        <w:rPr>
          <w:szCs w:val="22"/>
        </w:rPr>
        <w:noBreakHyphen/>
        <w:t>ra csökkenés) eltelő kb. 5 hónapos medián időtartam mellett újultak ki. A megvonásos időszakban ezek közül a betegek közül egynél sem alakult ki rebound hatás. Az összes olyan beteg 76,5%</w:t>
      </w:r>
      <w:r w:rsidRPr="00183B5F">
        <w:rPr>
          <w:szCs w:val="22"/>
        </w:rPr>
        <w:noBreakHyphen/>
        <w:t>ánál (218/285), akik újból elkezdték a kezelést, „tiszta” vagy „minimális” PGA terápiás válasz alakult ki 16 héttel a kezelés újrakezdése után, függetlenül attól, hogy volt</w:t>
      </w:r>
      <w:r w:rsidRPr="00183B5F">
        <w:rPr>
          <w:szCs w:val="22"/>
        </w:rPr>
        <w:noBreakHyphen/>
        <w:t>e relapsusuk a kezelés abbahagyása során (69,1% [123/178] olyan betegeknél, akiknek volt relapsusuk és 88,8% [95/107] olyanoknál, akiknek nem volt rel</w:t>
      </w:r>
      <w:r w:rsidRPr="00183B5F">
        <w:rPr>
          <w:szCs w:val="22"/>
        </w:rPr>
        <w:t>apsusuk a kezelés abbahagyásának időszakában). Hasonló bizonságossági profilt figyeltek meg a kezelés újrakezdése során, mint abbahagyása előtt.</w:t>
      </w:r>
    </w:p>
    <w:p w14:paraId="548872E0" w14:textId="77777777" w:rsidR="00D0403E" w:rsidRPr="00183B5F" w:rsidRDefault="00D0403E" w:rsidP="004062FE">
      <w:pPr>
        <w:autoSpaceDE w:val="0"/>
        <w:autoSpaceDN w:val="0"/>
        <w:adjustRightInd w:val="0"/>
        <w:spacing w:line="240" w:lineRule="auto"/>
        <w:rPr>
          <w:szCs w:val="22"/>
        </w:rPr>
      </w:pPr>
    </w:p>
    <w:p w14:paraId="11ABF031" w14:textId="77777777" w:rsidR="00D0403E" w:rsidRPr="00183B5F" w:rsidRDefault="00943743" w:rsidP="004062FE">
      <w:pPr>
        <w:autoSpaceDE w:val="0"/>
        <w:autoSpaceDN w:val="0"/>
        <w:adjustRightInd w:val="0"/>
        <w:spacing w:line="240" w:lineRule="auto"/>
        <w:rPr>
          <w:szCs w:val="22"/>
        </w:rPr>
      </w:pPr>
      <w:r w:rsidRPr="00183B5F">
        <w:rPr>
          <w:szCs w:val="22"/>
        </w:rPr>
        <w:t>A placebóhoz (I és II vizsgálat) és a metotrexáthoz (II vizsgálat) képest a kiindulási értéktől számítva a 16. héten a bőrgyógyászati életminőségi index (DLQI – Dermatology Life Quality Index) jelentős javulását igazolták. Az I. vizsgálatban az SF</w:t>
      </w:r>
      <w:r w:rsidRPr="00183B5F">
        <w:rPr>
          <w:szCs w:val="22"/>
        </w:rPr>
        <w:noBreakHyphen/>
        <w:t>36 fizikális és mentális összetevő összesített pontszámaként kifejezett javulás szintén jelentős volt a placebóhoz képest.</w:t>
      </w:r>
    </w:p>
    <w:p w14:paraId="0C2A4219" w14:textId="77777777" w:rsidR="00D0403E" w:rsidRPr="00183B5F" w:rsidRDefault="00D0403E" w:rsidP="004062FE">
      <w:pPr>
        <w:autoSpaceDE w:val="0"/>
        <w:autoSpaceDN w:val="0"/>
        <w:adjustRightInd w:val="0"/>
        <w:spacing w:line="240" w:lineRule="auto"/>
        <w:rPr>
          <w:szCs w:val="22"/>
        </w:rPr>
      </w:pPr>
    </w:p>
    <w:p w14:paraId="4C3678B2" w14:textId="77777777" w:rsidR="000D4505" w:rsidRPr="00183B5F" w:rsidRDefault="00943743">
      <w:pPr>
        <w:pStyle w:val="EMEANormal"/>
        <w:rPr>
          <w:szCs w:val="22"/>
          <w:lang w:val="hu-HU"/>
        </w:rPr>
      </w:pPr>
      <w:r w:rsidRPr="00183B5F">
        <w:rPr>
          <w:szCs w:val="22"/>
          <w:lang w:val="hu-HU"/>
        </w:rPr>
        <w:t>Egy nyílt elrendezésű vizsgálatban, amelyben a betegek dózisát a kéthetenkénti 40 mg</w:t>
      </w:r>
      <w:r w:rsidRPr="00183B5F">
        <w:rPr>
          <w:szCs w:val="22"/>
          <w:lang w:val="hu-HU"/>
        </w:rPr>
        <w:noBreakHyphen/>
        <w:t>ról heti 40 mg</w:t>
      </w:r>
      <w:r w:rsidRPr="00183B5F">
        <w:rPr>
          <w:szCs w:val="22"/>
          <w:lang w:val="hu-HU"/>
        </w:rPr>
        <w:noBreakHyphen/>
        <w:t>ra növelték az 50% alatti PASI</w:t>
      </w:r>
      <w:r w:rsidR="00C67724" w:rsidRPr="00183B5F">
        <w:rPr>
          <w:szCs w:val="22"/>
          <w:lang w:val="hu-HU"/>
        </w:rPr>
        <w:t>-</w:t>
      </w:r>
      <w:r w:rsidRPr="00183B5F">
        <w:rPr>
          <w:szCs w:val="22"/>
          <w:lang w:val="hu-HU"/>
        </w:rPr>
        <w:t>válasz miatt, 26,4% (92/349 beteg) és 37,8% (132/349 beteg) ért el PASI 75 választ a 12., illetve a 24. héten.</w:t>
      </w:r>
    </w:p>
    <w:p w14:paraId="60C126AB" w14:textId="77777777" w:rsidR="00D0403E" w:rsidRPr="00183B5F" w:rsidRDefault="00D0403E" w:rsidP="004062FE">
      <w:pPr>
        <w:spacing w:line="240" w:lineRule="auto"/>
        <w:rPr>
          <w:szCs w:val="22"/>
          <w:u w:val="single"/>
        </w:rPr>
      </w:pPr>
    </w:p>
    <w:p w14:paraId="6CF55E70" w14:textId="77777777" w:rsidR="00D0403E" w:rsidRPr="00183B5F" w:rsidRDefault="00943743" w:rsidP="004062FE">
      <w:pPr>
        <w:spacing w:line="240" w:lineRule="auto"/>
        <w:rPr>
          <w:szCs w:val="22"/>
          <w:u w:val="single"/>
        </w:rPr>
      </w:pPr>
      <w:r w:rsidRPr="00183B5F">
        <w:rPr>
          <w:szCs w:val="22"/>
        </w:rPr>
        <w:t>A Psoriasis III vizsgálat (REACH) a Humira hatásosságát és biztonságosságát hasonlította össze placebóval 7</w:t>
      </w:r>
      <w:r w:rsidR="0031779A" w:rsidRPr="00183B5F">
        <w:rPr>
          <w:szCs w:val="22"/>
        </w:rPr>
        <w:t>2</w:t>
      </w:r>
      <w:r w:rsidRPr="00183B5F">
        <w:rPr>
          <w:szCs w:val="22"/>
        </w:rPr>
        <w:t> betegnél, akik köz</w:t>
      </w:r>
      <w:r w:rsidR="00297FBD" w:rsidRPr="00183B5F">
        <w:rPr>
          <w:szCs w:val="22"/>
        </w:rPr>
        <w:t xml:space="preserve">epesen </w:t>
      </w:r>
      <w:r w:rsidRPr="00183B5F">
        <w:rPr>
          <w:szCs w:val="22"/>
        </w:rPr>
        <w:t>súlyos</w:t>
      </w:r>
      <w:r w:rsidRPr="00183B5F">
        <w:rPr>
          <w:szCs w:val="22"/>
        </w:rPr>
        <w:noBreakHyphen/>
      </w:r>
      <w:r w:rsidRPr="00183B5F">
        <w:rPr>
          <w:szCs w:val="22"/>
        </w:rPr>
        <w:t>súlyos krónikus plakkos psoriasisban és a kézfejet és/vagy a lábfejet érintő psoriasisban szenvedtek. A betegek placebót vagy 80 mg Humira kezdő</w:t>
      </w:r>
      <w:r w:rsidR="00630131" w:rsidRPr="00183B5F">
        <w:rPr>
          <w:szCs w:val="22"/>
        </w:rPr>
        <w:t xml:space="preserve"> </w:t>
      </w:r>
      <w:r w:rsidRPr="00183B5F">
        <w:rPr>
          <w:szCs w:val="22"/>
        </w:rPr>
        <w:t>dózist kaptak, amelyet 40 mg Humira követett minden második héten (egy héttel a kezdő</w:t>
      </w:r>
      <w:r w:rsidR="00630131" w:rsidRPr="00183B5F">
        <w:rPr>
          <w:szCs w:val="22"/>
        </w:rPr>
        <w:t xml:space="preserve"> </w:t>
      </w:r>
      <w:r w:rsidRPr="00183B5F">
        <w:rPr>
          <w:szCs w:val="22"/>
        </w:rPr>
        <w:t>dózis után kezdve) 16 héten keresztül. A 16. héten a Humira</w:t>
      </w:r>
      <w:r w:rsidRPr="00183B5F">
        <w:rPr>
          <w:szCs w:val="22"/>
        </w:rPr>
        <w:noBreakHyphen/>
        <w:t>t kapó betegek statisztikailag szignifikánsan nagyobb arányban (30,6%) értek el „tiszta” vagy „majdnem tiszta” PGA</w:t>
      </w:r>
      <w:r w:rsidR="00C67724" w:rsidRPr="00183B5F">
        <w:rPr>
          <w:szCs w:val="22"/>
        </w:rPr>
        <w:t>-</w:t>
      </w:r>
      <w:r w:rsidRPr="00183B5F">
        <w:rPr>
          <w:szCs w:val="22"/>
        </w:rPr>
        <w:t xml:space="preserve">pontszámot a kézfejek és/vagy lábfejek vonatkozásában a placebót kapó betegekhez képest (4,3%) </w:t>
      </w:r>
      <w:r w:rsidRPr="00183B5F">
        <w:t>[P</w:t>
      </w:r>
      <w:r w:rsidR="006D1109" w:rsidRPr="00183B5F">
        <w:t> </w:t>
      </w:r>
      <w:r w:rsidRPr="00183B5F">
        <w:t>=</w:t>
      </w:r>
      <w:r w:rsidR="006D1109" w:rsidRPr="00183B5F">
        <w:t> </w:t>
      </w:r>
      <w:r w:rsidRPr="00183B5F">
        <w:t>0</w:t>
      </w:r>
      <w:r w:rsidR="005E713E" w:rsidRPr="00183B5F">
        <w:t>,</w:t>
      </w:r>
      <w:r w:rsidRPr="00183B5F">
        <w:t>014]</w:t>
      </w:r>
      <w:r w:rsidRPr="00183B5F">
        <w:t>.</w:t>
      </w:r>
    </w:p>
    <w:p w14:paraId="1C34D33E" w14:textId="77777777" w:rsidR="00D0403E" w:rsidRPr="00183B5F" w:rsidRDefault="00D0403E" w:rsidP="004062FE">
      <w:pPr>
        <w:spacing w:line="240" w:lineRule="auto"/>
        <w:rPr>
          <w:szCs w:val="22"/>
          <w:u w:val="single"/>
        </w:rPr>
      </w:pPr>
    </w:p>
    <w:p w14:paraId="3198C25F" w14:textId="77777777" w:rsidR="00A1688C" w:rsidRPr="00183B5F" w:rsidRDefault="00943743">
      <w:pPr>
        <w:pStyle w:val="gtcbodytext"/>
        <w:spacing w:before="0" w:after="0" w:line="240" w:lineRule="auto"/>
        <w:rPr>
          <w:sz w:val="22"/>
          <w:szCs w:val="22"/>
          <w:lang w:val="hu-HU"/>
        </w:rPr>
      </w:pPr>
      <w:r w:rsidRPr="00183B5F">
        <w:rPr>
          <w:sz w:val="22"/>
          <w:szCs w:val="22"/>
          <w:lang w:val="hu-HU"/>
        </w:rPr>
        <w:t>A Psoriasis IV vizsgálatban a Humira hatásosságát és biztonságosságát placebóval hasonlították össze 217 felnőtt, köz</w:t>
      </w:r>
      <w:r w:rsidR="00297FBD" w:rsidRPr="00183B5F">
        <w:rPr>
          <w:sz w:val="22"/>
          <w:szCs w:val="22"/>
          <w:lang w:val="hu-HU"/>
        </w:rPr>
        <w:t xml:space="preserve">epesen </w:t>
      </w:r>
      <w:r w:rsidRPr="00183B5F">
        <w:rPr>
          <w:sz w:val="22"/>
          <w:szCs w:val="22"/>
          <w:lang w:val="hu-HU"/>
        </w:rPr>
        <w:t>súlyos-súlyos köröm</w:t>
      </w:r>
      <w:r w:rsidR="004E5E6A" w:rsidRPr="00183B5F">
        <w:rPr>
          <w:sz w:val="22"/>
          <w:szCs w:val="22"/>
          <w:lang w:val="hu-HU"/>
        </w:rPr>
        <w:t>-</w:t>
      </w:r>
      <w:r w:rsidRPr="00183B5F">
        <w:rPr>
          <w:sz w:val="22"/>
          <w:szCs w:val="22"/>
          <w:lang w:val="hu-HU"/>
        </w:rPr>
        <w:t>psoriasisban szenvedő felnőtt betegnél. A betegek 80 mg kezdő dózist követően kéthetente 40 mg Humira</w:t>
      </w:r>
      <w:r w:rsidRPr="00183B5F">
        <w:rPr>
          <w:sz w:val="22"/>
          <w:szCs w:val="22"/>
          <w:lang w:val="hu-HU"/>
        </w:rPr>
        <w:noBreakHyphen/>
        <w:t>t kaptak (egy héttel a kezdő dózis beadása után kezdve), vagy placebokezelésben részesültek 26 hétig, amelyet nyílt elrendezésű Humira</w:t>
      </w:r>
      <w:r w:rsidR="004E5E6A" w:rsidRPr="00183B5F">
        <w:rPr>
          <w:sz w:val="22"/>
          <w:szCs w:val="22"/>
          <w:lang w:val="hu-HU"/>
        </w:rPr>
        <w:t>-</w:t>
      </w:r>
      <w:r w:rsidRPr="00183B5F">
        <w:rPr>
          <w:sz w:val="22"/>
          <w:szCs w:val="22"/>
          <w:lang w:val="hu-HU"/>
        </w:rPr>
        <w:t>kezelés követett további 26 héten át. A köröm</w:t>
      </w:r>
      <w:r w:rsidR="004E5E6A" w:rsidRPr="00183B5F">
        <w:rPr>
          <w:sz w:val="22"/>
          <w:szCs w:val="22"/>
          <w:lang w:val="hu-HU"/>
        </w:rPr>
        <w:t>-</w:t>
      </w:r>
      <w:r w:rsidRPr="00183B5F">
        <w:rPr>
          <w:sz w:val="22"/>
          <w:szCs w:val="22"/>
          <w:lang w:val="hu-HU"/>
        </w:rPr>
        <w:t>psoriasis értékelése tartalmazta a módosított köröm</w:t>
      </w:r>
      <w:r w:rsidR="004E5E6A" w:rsidRPr="00183B5F">
        <w:rPr>
          <w:sz w:val="22"/>
          <w:szCs w:val="22"/>
          <w:lang w:val="hu-HU"/>
        </w:rPr>
        <w:t>-</w:t>
      </w:r>
      <w:r w:rsidRPr="00183B5F">
        <w:rPr>
          <w:sz w:val="22"/>
          <w:szCs w:val="22"/>
          <w:lang w:val="hu-HU"/>
        </w:rPr>
        <w:t>psoriasis súlyossági indexet (mNAPSI, Modified Nail Psoriasis Severity Index), a köröm</w:t>
      </w:r>
      <w:r w:rsidR="004E5E6A" w:rsidRPr="00183B5F">
        <w:rPr>
          <w:sz w:val="22"/>
          <w:szCs w:val="22"/>
          <w:lang w:val="hu-HU"/>
        </w:rPr>
        <w:t>-</w:t>
      </w:r>
      <w:r w:rsidRPr="00183B5F">
        <w:rPr>
          <w:sz w:val="22"/>
          <w:szCs w:val="22"/>
          <w:lang w:val="hu-HU"/>
        </w:rPr>
        <w:t>psoriasis kezelőorvosok általi globális értékelését (PGA-F, Phy</w:t>
      </w:r>
      <w:r w:rsidRPr="00183B5F">
        <w:rPr>
          <w:sz w:val="22"/>
          <w:szCs w:val="22"/>
          <w:lang w:val="hu-HU"/>
        </w:rPr>
        <w:t>sician’s Global Assessment of Fingernail Psoriasis) és a köröm</w:t>
      </w:r>
      <w:r w:rsidR="004E5E6A" w:rsidRPr="00183B5F">
        <w:rPr>
          <w:sz w:val="22"/>
          <w:szCs w:val="22"/>
          <w:lang w:val="hu-HU"/>
        </w:rPr>
        <w:t>-</w:t>
      </w:r>
      <w:r w:rsidRPr="00183B5F">
        <w:rPr>
          <w:sz w:val="22"/>
          <w:szCs w:val="22"/>
          <w:lang w:val="hu-HU"/>
        </w:rPr>
        <w:t>psoriasis súlyossági indexet (NAPSI) (lásd 1</w:t>
      </w:r>
      <w:r w:rsidR="008D423B" w:rsidRPr="00183B5F">
        <w:rPr>
          <w:sz w:val="22"/>
          <w:szCs w:val="22"/>
          <w:lang w:val="hu-HU"/>
        </w:rPr>
        <w:t>8</w:t>
      </w:r>
      <w:r w:rsidRPr="00183B5F">
        <w:rPr>
          <w:sz w:val="22"/>
          <w:szCs w:val="22"/>
          <w:lang w:val="hu-HU"/>
        </w:rPr>
        <w:t>. táblázat). A Humira köröm</w:t>
      </w:r>
      <w:r w:rsidR="004E5E6A" w:rsidRPr="00183B5F">
        <w:rPr>
          <w:sz w:val="22"/>
          <w:szCs w:val="22"/>
          <w:lang w:val="hu-HU"/>
        </w:rPr>
        <w:t>-</w:t>
      </w:r>
      <w:r w:rsidRPr="00183B5F">
        <w:rPr>
          <w:sz w:val="22"/>
          <w:szCs w:val="22"/>
          <w:lang w:val="hu-HU"/>
        </w:rPr>
        <w:t>psoriasisban kifejtett kedvező hatását különböző mértékű bőrérintettség mellett (BSA≥10% (a betegek 60%</w:t>
      </w:r>
      <w:r w:rsidRPr="00183B5F">
        <w:rPr>
          <w:sz w:val="22"/>
          <w:szCs w:val="22"/>
          <w:lang w:val="hu-HU"/>
        </w:rPr>
        <w:noBreakHyphen/>
        <w:t>a) és BSA&lt;10% és ≥5% (a betegek 40%</w:t>
      </w:r>
      <w:r w:rsidRPr="00183B5F">
        <w:rPr>
          <w:sz w:val="22"/>
          <w:szCs w:val="22"/>
          <w:lang w:val="hu-HU"/>
        </w:rPr>
        <w:noBreakHyphen/>
        <w:t>a)) igazolták.</w:t>
      </w:r>
    </w:p>
    <w:p w14:paraId="4C658FFA" w14:textId="77777777" w:rsidR="00035A0C" w:rsidRPr="00183B5F" w:rsidRDefault="00035A0C">
      <w:pPr>
        <w:pStyle w:val="gtcbodytext"/>
        <w:spacing w:before="0" w:after="0" w:line="240" w:lineRule="auto"/>
        <w:rPr>
          <w:sz w:val="22"/>
          <w:szCs w:val="22"/>
          <w:lang w:val="hu-HU"/>
        </w:rPr>
      </w:pPr>
    </w:p>
    <w:p w14:paraId="6F513F03" w14:textId="77777777" w:rsidR="00035A0C" w:rsidRPr="00183B5F" w:rsidRDefault="00943743">
      <w:pPr>
        <w:pStyle w:val="gtctabletitleotherwise"/>
        <w:keepNext/>
        <w:spacing w:before="0"/>
        <w:rPr>
          <w:bCs w:val="0"/>
          <w:sz w:val="22"/>
          <w:szCs w:val="22"/>
          <w:lang w:val="hu-HU"/>
        </w:rPr>
      </w:pPr>
      <w:r w:rsidRPr="00183B5F">
        <w:rPr>
          <w:bCs w:val="0"/>
          <w:sz w:val="22"/>
          <w:szCs w:val="22"/>
          <w:lang w:val="hu-HU"/>
        </w:rPr>
        <w:t>18.</w:t>
      </w:r>
      <w:r w:rsidR="00507E71" w:rsidRPr="00183B5F">
        <w:rPr>
          <w:bCs w:val="0"/>
          <w:sz w:val="22"/>
          <w:szCs w:val="22"/>
          <w:lang w:val="hu-HU"/>
        </w:rPr>
        <w:t> </w:t>
      </w:r>
      <w:r w:rsidRPr="00183B5F">
        <w:rPr>
          <w:bCs w:val="0"/>
          <w:sz w:val="22"/>
          <w:szCs w:val="22"/>
          <w:lang w:val="hu-HU"/>
        </w:rPr>
        <w:t>táblázat</w:t>
      </w:r>
    </w:p>
    <w:p w14:paraId="1AEB4416" w14:textId="77777777" w:rsidR="00035A0C" w:rsidRPr="00183B5F" w:rsidRDefault="00943743">
      <w:pPr>
        <w:pStyle w:val="gtctabletitleotherwise"/>
        <w:keepNext/>
        <w:spacing w:before="0"/>
        <w:rPr>
          <w:sz w:val="22"/>
          <w:szCs w:val="22"/>
          <w:lang w:val="hu-HU"/>
        </w:rPr>
      </w:pPr>
      <w:r w:rsidRPr="00183B5F">
        <w:rPr>
          <w:bCs w:val="0"/>
          <w:sz w:val="22"/>
          <w:szCs w:val="22"/>
          <w:lang w:val="hu-HU"/>
        </w:rPr>
        <w:t>Psoriasis IV vizsgálat hatásossági eredmények a 16., 26. és 52.</w:t>
      </w:r>
      <w:r w:rsidR="00507E71" w:rsidRPr="00183B5F">
        <w:rPr>
          <w:bCs w:val="0"/>
          <w:sz w:val="22"/>
          <w:szCs w:val="22"/>
          <w:lang w:val="hu-HU"/>
        </w:rPr>
        <w:t> </w:t>
      </w:r>
      <w:r w:rsidRPr="00183B5F">
        <w:rPr>
          <w:bCs w:val="0"/>
          <w:sz w:val="22"/>
          <w:szCs w:val="22"/>
          <w:lang w:val="hu-HU"/>
        </w:rPr>
        <w:t>héten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080"/>
        <w:gridCol w:w="1260"/>
        <w:gridCol w:w="990"/>
        <w:gridCol w:w="1260"/>
        <w:gridCol w:w="2268"/>
      </w:tblGrid>
      <w:tr w:rsidR="00011D2F" w14:paraId="50069A9C" w14:textId="77777777" w:rsidTr="00035A0C">
        <w:tc>
          <w:tcPr>
            <w:tcW w:w="2718" w:type="dxa"/>
            <w:vMerge w:val="restart"/>
          </w:tcPr>
          <w:p w14:paraId="4E9FCC58" w14:textId="77777777" w:rsidR="00035A0C" w:rsidRPr="00183B5F" w:rsidRDefault="00943743">
            <w:pPr>
              <w:pStyle w:val="gtctablespaceafter"/>
              <w:keepNext/>
              <w:spacing w:after="0"/>
              <w:rPr>
                <w:sz w:val="22"/>
                <w:szCs w:val="22"/>
                <w:lang w:val="hu-HU"/>
              </w:rPr>
            </w:pPr>
            <w:r w:rsidRPr="00183B5F">
              <w:rPr>
                <w:sz w:val="22"/>
                <w:szCs w:val="22"/>
                <w:lang w:val="hu-HU"/>
              </w:rPr>
              <w:t>Végpont</w:t>
            </w:r>
          </w:p>
        </w:tc>
        <w:tc>
          <w:tcPr>
            <w:tcW w:w="2340" w:type="dxa"/>
            <w:gridSpan w:val="2"/>
          </w:tcPr>
          <w:p w14:paraId="636F2954" w14:textId="77777777" w:rsidR="00035A0C" w:rsidRPr="00183B5F" w:rsidRDefault="00943743">
            <w:pPr>
              <w:pStyle w:val="gtctablespaceafter"/>
              <w:keepNext/>
              <w:spacing w:after="0"/>
              <w:jc w:val="center"/>
              <w:rPr>
                <w:sz w:val="22"/>
                <w:szCs w:val="22"/>
                <w:lang w:val="hu-HU"/>
              </w:rPr>
            </w:pPr>
            <w:r w:rsidRPr="00183B5F">
              <w:rPr>
                <w:sz w:val="22"/>
                <w:szCs w:val="22"/>
                <w:lang w:val="hu-HU"/>
              </w:rPr>
              <w:t>16. hét</w:t>
            </w:r>
          </w:p>
          <w:p w14:paraId="3A9161CB" w14:textId="77777777" w:rsidR="00035A0C" w:rsidRPr="00183B5F" w:rsidRDefault="00943743">
            <w:pPr>
              <w:pStyle w:val="gtctablespaceafter"/>
              <w:keepNext/>
              <w:spacing w:after="0"/>
              <w:jc w:val="center"/>
              <w:rPr>
                <w:sz w:val="22"/>
                <w:szCs w:val="22"/>
                <w:lang w:val="hu-HU"/>
              </w:rPr>
            </w:pPr>
            <w:r w:rsidRPr="00183B5F">
              <w:rPr>
                <w:sz w:val="22"/>
                <w:szCs w:val="22"/>
                <w:lang w:val="hu-HU"/>
              </w:rPr>
              <w:t>Placebokontrollos</w:t>
            </w:r>
          </w:p>
        </w:tc>
        <w:tc>
          <w:tcPr>
            <w:tcW w:w="2250" w:type="dxa"/>
            <w:gridSpan w:val="2"/>
          </w:tcPr>
          <w:p w14:paraId="76618042" w14:textId="77777777" w:rsidR="00035A0C" w:rsidRPr="00183B5F" w:rsidRDefault="00943743">
            <w:pPr>
              <w:pStyle w:val="gtctablespaceafter"/>
              <w:keepNext/>
              <w:spacing w:after="0"/>
              <w:jc w:val="center"/>
              <w:rPr>
                <w:sz w:val="22"/>
                <w:szCs w:val="22"/>
                <w:lang w:val="hu-HU"/>
              </w:rPr>
            </w:pPr>
            <w:r w:rsidRPr="00183B5F">
              <w:rPr>
                <w:sz w:val="22"/>
                <w:szCs w:val="22"/>
                <w:lang w:val="hu-HU"/>
              </w:rPr>
              <w:t xml:space="preserve">26. hét </w:t>
            </w:r>
          </w:p>
          <w:p w14:paraId="15826A2D" w14:textId="77777777" w:rsidR="00035A0C" w:rsidRPr="00183B5F" w:rsidRDefault="00943743">
            <w:pPr>
              <w:pStyle w:val="gtctablespaceafter"/>
              <w:keepNext/>
              <w:spacing w:after="0"/>
              <w:jc w:val="center"/>
              <w:rPr>
                <w:sz w:val="22"/>
                <w:szCs w:val="22"/>
                <w:lang w:val="hu-HU"/>
              </w:rPr>
            </w:pPr>
            <w:r w:rsidRPr="00183B5F">
              <w:rPr>
                <w:sz w:val="22"/>
                <w:szCs w:val="22"/>
                <w:lang w:val="hu-HU"/>
              </w:rPr>
              <w:t>Placebokontrollos</w:t>
            </w:r>
          </w:p>
        </w:tc>
        <w:tc>
          <w:tcPr>
            <w:tcW w:w="2268" w:type="dxa"/>
          </w:tcPr>
          <w:p w14:paraId="4730001D" w14:textId="77777777" w:rsidR="00035A0C" w:rsidRPr="00183B5F" w:rsidRDefault="00943743">
            <w:pPr>
              <w:pStyle w:val="gtctablespaceafter"/>
              <w:keepNext/>
              <w:spacing w:after="0"/>
              <w:jc w:val="center"/>
              <w:rPr>
                <w:sz w:val="22"/>
                <w:szCs w:val="22"/>
                <w:lang w:val="hu-HU"/>
              </w:rPr>
            </w:pPr>
            <w:r w:rsidRPr="00183B5F">
              <w:rPr>
                <w:sz w:val="22"/>
                <w:szCs w:val="22"/>
                <w:lang w:val="hu-HU"/>
              </w:rPr>
              <w:t>52. hét</w:t>
            </w:r>
          </w:p>
          <w:p w14:paraId="1781221E" w14:textId="77777777" w:rsidR="00035A0C" w:rsidRPr="00183B5F" w:rsidRDefault="00943743">
            <w:pPr>
              <w:pStyle w:val="gtctablespaceafter"/>
              <w:keepNext/>
              <w:spacing w:after="0"/>
              <w:jc w:val="center"/>
              <w:rPr>
                <w:sz w:val="22"/>
                <w:szCs w:val="22"/>
                <w:lang w:val="hu-HU"/>
              </w:rPr>
            </w:pPr>
            <w:r w:rsidRPr="00183B5F">
              <w:rPr>
                <w:sz w:val="22"/>
                <w:szCs w:val="22"/>
                <w:lang w:val="hu-HU"/>
              </w:rPr>
              <w:t>Nyílt elrendezés</w:t>
            </w:r>
          </w:p>
        </w:tc>
      </w:tr>
      <w:tr w:rsidR="00011D2F" w14:paraId="6DD78DAF" w14:textId="77777777" w:rsidTr="00035A0C">
        <w:tc>
          <w:tcPr>
            <w:tcW w:w="2718" w:type="dxa"/>
            <w:vMerge/>
          </w:tcPr>
          <w:p w14:paraId="286637FA" w14:textId="77777777" w:rsidR="00035A0C" w:rsidRPr="00183B5F" w:rsidRDefault="00035A0C">
            <w:pPr>
              <w:pStyle w:val="gtctablespaceafter"/>
              <w:keepNext/>
              <w:spacing w:after="0"/>
              <w:rPr>
                <w:sz w:val="22"/>
                <w:szCs w:val="22"/>
                <w:lang w:val="hu-HU"/>
              </w:rPr>
            </w:pPr>
          </w:p>
        </w:tc>
        <w:tc>
          <w:tcPr>
            <w:tcW w:w="1080" w:type="dxa"/>
          </w:tcPr>
          <w:p w14:paraId="747E3B79" w14:textId="77777777" w:rsidR="00035A0C" w:rsidRPr="00183B5F" w:rsidRDefault="00943743">
            <w:pPr>
              <w:pStyle w:val="gtctablespaceafter"/>
              <w:keepNext/>
              <w:spacing w:after="0"/>
              <w:jc w:val="center"/>
              <w:rPr>
                <w:sz w:val="22"/>
                <w:szCs w:val="22"/>
                <w:lang w:val="hu-HU"/>
              </w:rPr>
            </w:pPr>
            <w:r w:rsidRPr="00183B5F">
              <w:rPr>
                <w:sz w:val="22"/>
                <w:lang w:val="hu-HU"/>
              </w:rPr>
              <w:t>Placebo</w:t>
            </w:r>
            <w:r w:rsidRPr="00183B5F">
              <w:rPr>
                <w:sz w:val="22"/>
                <w:lang w:val="hu-HU"/>
              </w:rPr>
              <w:br/>
              <w:t>N</w:t>
            </w:r>
            <w:r w:rsidR="006D1109" w:rsidRPr="00183B5F">
              <w:rPr>
                <w:sz w:val="22"/>
                <w:lang w:val="hu-HU"/>
              </w:rPr>
              <w:t> </w:t>
            </w:r>
            <w:r w:rsidRPr="00183B5F">
              <w:rPr>
                <w:sz w:val="22"/>
                <w:lang w:val="hu-HU"/>
              </w:rPr>
              <w:t>=</w:t>
            </w:r>
            <w:r w:rsidR="006D1109" w:rsidRPr="00183B5F">
              <w:rPr>
                <w:sz w:val="22"/>
                <w:lang w:val="hu-HU"/>
              </w:rPr>
              <w:t> </w:t>
            </w:r>
            <w:r w:rsidRPr="00183B5F">
              <w:rPr>
                <w:sz w:val="22"/>
                <w:lang w:val="hu-HU"/>
              </w:rPr>
              <w:t>108</w:t>
            </w:r>
          </w:p>
        </w:tc>
        <w:tc>
          <w:tcPr>
            <w:tcW w:w="1260" w:type="dxa"/>
          </w:tcPr>
          <w:p w14:paraId="29BC8001" w14:textId="77777777" w:rsidR="00035A0C" w:rsidRPr="00183B5F" w:rsidRDefault="00943743">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Humira</w:t>
            </w:r>
          </w:p>
          <w:p w14:paraId="3F876155" w14:textId="77777777" w:rsidR="00035A0C" w:rsidRPr="00183B5F" w:rsidRDefault="00943743">
            <w:pPr>
              <w:pStyle w:val="gtctablespaceafter"/>
              <w:keepNext/>
              <w:spacing w:after="0"/>
              <w:jc w:val="center"/>
              <w:rPr>
                <w:sz w:val="22"/>
                <w:szCs w:val="22"/>
                <w:lang w:val="hu-HU"/>
              </w:rPr>
            </w:pPr>
            <w:r w:rsidRPr="00183B5F">
              <w:rPr>
                <w:sz w:val="22"/>
                <w:lang w:val="hu-HU"/>
              </w:rPr>
              <w:t xml:space="preserve">40 mg kéthetente </w:t>
            </w:r>
            <w:r w:rsidRPr="00183B5F">
              <w:rPr>
                <w:sz w:val="22"/>
                <w:lang w:val="hu-HU"/>
              </w:rPr>
              <w:br/>
              <w:t>N</w:t>
            </w:r>
            <w:r w:rsidR="006D1109" w:rsidRPr="00183B5F">
              <w:rPr>
                <w:sz w:val="22"/>
                <w:lang w:val="hu-HU"/>
              </w:rPr>
              <w:t> </w:t>
            </w:r>
            <w:r w:rsidRPr="00183B5F">
              <w:rPr>
                <w:sz w:val="22"/>
                <w:lang w:val="hu-HU"/>
              </w:rPr>
              <w:t>=</w:t>
            </w:r>
            <w:r w:rsidR="006D1109" w:rsidRPr="00183B5F">
              <w:rPr>
                <w:sz w:val="22"/>
                <w:lang w:val="hu-HU"/>
              </w:rPr>
              <w:t> </w:t>
            </w:r>
            <w:r w:rsidRPr="00183B5F">
              <w:rPr>
                <w:sz w:val="22"/>
                <w:lang w:val="hu-HU"/>
              </w:rPr>
              <w:t>109</w:t>
            </w:r>
          </w:p>
        </w:tc>
        <w:tc>
          <w:tcPr>
            <w:tcW w:w="990" w:type="dxa"/>
          </w:tcPr>
          <w:p w14:paraId="47ADD1D8" w14:textId="77777777" w:rsidR="00035A0C" w:rsidRPr="00183B5F" w:rsidRDefault="00943743">
            <w:pPr>
              <w:pStyle w:val="gtctablespaceafter"/>
              <w:keepNext/>
              <w:spacing w:after="0"/>
              <w:jc w:val="center"/>
              <w:rPr>
                <w:sz w:val="22"/>
                <w:szCs w:val="22"/>
                <w:lang w:val="hu-HU"/>
              </w:rPr>
            </w:pPr>
            <w:r w:rsidRPr="00183B5F">
              <w:rPr>
                <w:sz w:val="22"/>
                <w:lang w:val="hu-HU"/>
              </w:rPr>
              <w:t>Placebo</w:t>
            </w:r>
            <w:r w:rsidRPr="00183B5F">
              <w:rPr>
                <w:sz w:val="22"/>
                <w:lang w:val="hu-HU"/>
              </w:rPr>
              <w:br/>
              <w:t>N</w:t>
            </w:r>
            <w:r w:rsidR="006D1109" w:rsidRPr="00183B5F">
              <w:rPr>
                <w:sz w:val="22"/>
                <w:lang w:val="hu-HU"/>
              </w:rPr>
              <w:t> </w:t>
            </w:r>
            <w:r w:rsidRPr="00183B5F">
              <w:rPr>
                <w:sz w:val="22"/>
                <w:lang w:val="hu-HU"/>
              </w:rPr>
              <w:t>=</w:t>
            </w:r>
            <w:r w:rsidR="006D1109" w:rsidRPr="00183B5F">
              <w:rPr>
                <w:sz w:val="22"/>
                <w:lang w:val="hu-HU"/>
              </w:rPr>
              <w:t> </w:t>
            </w:r>
            <w:r w:rsidRPr="00183B5F">
              <w:rPr>
                <w:sz w:val="22"/>
                <w:lang w:val="hu-HU"/>
              </w:rPr>
              <w:t>108</w:t>
            </w:r>
          </w:p>
        </w:tc>
        <w:tc>
          <w:tcPr>
            <w:tcW w:w="1260" w:type="dxa"/>
          </w:tcPr>
          <w:p w14:paraId="72582EBF" w14:textId="77777777" w:rsidR="00035A0C" w:rsidRPr="00183B5F" w:rsidRDefault="00943743">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Humira</w:t>
            </w:r>
          </w:p>
          <w:p w14:paraId="3C064914" w14:textId="77777777" w:rsidR="00035A0C" w:rsidRPr="00183B5F" w:rsidRDefault="00943743">
            <w:pPr>
              <w:pStyle w:val="gtctablespaceafter"/>
              <w:keepNext/>
              <w:spacing w:after="0"/>
              <w:jc w:val="center"/>
              <w:rPr>
                <w:sz w:val="22"/>
                <w:szCs w:val="22"/>
                <w:lang w:val="hu-HU"/>
              </w:rPr>
            </w:pPr>
            <w:r w:rsidRPr="00183B5F">
              <w:rPr>
                <w:sz w:val="22"/>
                <w:lang w:val="hu-HU"/>
              </w:rPr>
              <w:t xml:space="preserve">40 mg kéthetente </w:t>
            </w:r>
            <w:r w:rsidRPr="00183B5F">
              <w:rPr>
                <w:sz w:val="22"/>
                <w:lang w:val="hu-HU"/>
              </w:rPr>
              <w:br/>
              <w:t>N</w:t>
            </w:r>
            <w:r w:rsidR="006D1109" w:rsidRPr="00183B5F">
              <w:rPr>
                <w:sz w:val="22"/>
                <w:lang w:val="hu-HU"/>
              </w:rPr>
              <w:t> </w:t>
            </w:r>
            <w:r w:rsidRPr="00183B5F">
              <w:rPr>
                <w:sz w:val="22"/>
                <w:lang w:val="hu-HU"/>
              </w:rPr>
              <w:t>=</w:t>
            </w:r>
            <w:r w:rsidR="006D1109" w:rsidRPr="00183B5F">
              <w:rPr>
                <w:sz w:val="22"/>
                <w:lang w:val="hu-HU"/>
              </w:rPr>
              <w:t> </w:t>
            </w:r>
            <w:r w:rsidRPr="00183B5F">
              <w:rPr>
                <w:sz w:val="22"/>
                <w:lang w:val="hu-HU"/>
              </w:rPr>
              <w:t>109</w:t>
            </w:r>
          </w:p>
        </w:tc>
        <w:tc>
          <w:tcPr>
            <w:tcW w:w="2268" w:type="dxa"/>
          </w:tcPr>
          <w:p w14:paraId="582E4920" w14:textId="77777777" w:rsidR="00035A0C" w:rsidRPr="00183B5F" w:rsidRDefault="00943743">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Humira</w:t>
            </w:r>
          </w:p>
          <w:p w14:paraId="02B827B2" w14:textId="77777777" w:rsidR="00035A0C" w:rsidRPr="00183B5F" w:rsidRDefault="00943743">
            <w:pPr>
              <w:pStyle w:val="gtctablespaceafter"/>
              <w:keepNext/>
              <w:spacing w:after="0"/>
              <w:jc w:val="center"/>
              <w:rPr>
                <w:sz w:val="22"/>
                <w:szCs w:val="22"/>
                <w:lang w:val="hu-HU"/>
              </w:rPr>
            </w:pPr>
            <w:r w:rsidRPr="00183B5F">
              <w:rPr>
                <w:sz w:val="22"/>
                <w:lang w:val="hu-HU"/>
              </w:rPr>
              <w:t xml:space="preserve">40 mg kéthetente </w:t>
            </w:r>
            <w:r w:rsidRPr="00183B5F">
              <w:rPr>
                <w:sz w:val="22"/>
                <w:lang w:val="hu-HU"/>
              </w:rPr>
              <w:br/>
              <w:t>N</w:t>
            </w:r>
            <w:r w:rsidR="006D1109" w:rsidRPr="00183B5F">
              <w:rPr>
                <w:sz w:val="22"/>
                <w:lang w:val="hu-HU"/>
              </w:rPr>
              <w:t> </w:t>
            </w:r>
            <w:r w:rsidRPr="00183B5F">
              <w:rPr>
                <w:sz w:val="22"/>
                <w:lang w:val="hu-HU"/>
              </w:rPr>
              <w:t>=</w:t>
            </w:r>
            <w:r w:rsidR="006D1109" w:rsidRPr="00183B5F">
              <w:rPr>
                <w:sz w:val="22"/>
                <w:lang w:val="hu-HU"/>
              </w:rPr>
              <w:t> </w:t>
            </w:r>
            <w:r w:rsidRPr="00183B5F">
              <w:rPr>
                <w:sz w:val="22"/>
                <w:lang w:val="hu-HU"/>
              </w:rPr>
              <w:t>80</w:t>
            </w:r>
          </w:p>
        </w:tc>
      </w:tr>
      <w:tr w:rsidR="00011D2F" w14:paraId="424AF8D3" w14:textId="77777777" w:rsidTr="00035A0C">
        <w:tc>
          <w:tcPr>
            <w:tcW w:w="2718" w:type="dxa"/>
          </w:tcPr>
          <w:p w14:paraId="0163715C" w14:textId="77777777" w:rsidR="00035A0C" w:rsidRPr="00183B5F" w:rsidRDefault="00943743">
            <w:pPr>
              <w:pStyle w:val="gtctablespaceafter"/>
              <w:keepNext/>
              <w:spacing w:after="0"/>
              <w:rPr>
                <w:sz w:val="22"/>
                <w:szCs w:val="22"/>
                <w:lang w:val="hu-HU"/>
              </w:rPr>
            </w:pPr>
            <w:r w:rsidRPr="00183B5F">
              <w:rPr>
                <w:sz w:val="22"/>
                <w:lang w:val="hu-HU"/>
              </w:rPr>
              <w:t>≥ mNAPSI 75 (%)</w:t>
            </w:r>
          </w:p>
        </w:tc>
        <w:tc>
          <w:tcPr>
            <w:tcW w:w="1080" w:type="dxa"/>
          </w:tcPr>
          <w:p w14:paraId="5F008780" w14:textId="77777777" w:rsidR="00035A0C" w:rsidRPr="00183B5F" w:rsidRDefault="00943743">
            <w:pPr>
              <w:pStyle w:val="gtctablespaceafter"/>
              <w:keepNext/>
              <w:spacing w:after="0"/>
              <w:jc w:val="center"/>
              <w:rPr>
                <w:sz w:val="22"/>
                <w:szCs w:val="22"/>
                <w:lang w:val="hu-HU"/>
              </w:rPr>
            </w:pPr>
            <w:r w:rsidRPr="00183B5F">
              <w:rPr>
                <w:sz w:val="22"/>
                <w:szCs w:val="22"/>
                <w:lang w:val="hu-HU"/>
              </w:rPr>
              <w:t>2,9</w:t>
            </w:r>
          </w:p>
        </w:tc>
        <w:tc>
          <w:tcPr>
            <w:tcW w:w="1260" w:type="dxa"/>
          </w:tcPr>
          <w:p w14:paraId="325B125E" w14:textId="77777777" w:rsidR="00035A0C" w:rsidRPr="00183B5F" w:rsidRDefault="00943743">
            <w:pPr>
              <w:pStyle w:val="gtctablespaceafter"/>
              <w:keepNext/>
              <w:spacing w:after="0"/>
              <w:jc w:val="center"/>
              <w:rPr>
                <w:sz w:val="22"/>
                <w:szCs w:val="22"/>
                <w:lang w:val="hu-HU"/>
              </w:rPr>
            </w:pPr>
            <w:r w:rsidRPr="00183B5F">
              <w:rPr>
                <w:sz w:val="22"/>
                <w:szCs w:val="22"/>
                <w:lang w:val="hu-HU"/>
              </w:rPr>
              <w:t>26,0</w:t>
            </w:r>
            <w:r w:rsidRPr="00183B5F">
              <w:rPr>
                <w:sz w:val="22"/>
                <w:szCs w:val="22"/>
                <w:vertAlign w:val="superscript"/>
                <w:lang w:val="hu-HU"/>
              </w:rPr>
              <w:t>a</w:t>
            </w:r>
          </w:p>
        </w:tc>
        <w:tc>
          <w:tcPr>
            <w:tcW w:w="990" w:type="dxa"/>
          </w:tcPr>
          <w:p w14:paraId="6ADC6F6C" w14:textId="77777777" w:rsidR="00035A0C" w:rsidRPr="00183B5F" w:rsidRDefault="00943743" w:rsidP="004062FE">
            <w:pPr>
              <w:keepNext/>
              <w:spacing w:line="240" w:lineRule="auto"/>
              <w:jc w:val="center"/>
              <w:rPr>
                <w:szCs w:val="22"/>
              </w:rPr>
            </w:pPr>
            <w:r w:rsidRPr="00183B5F">
              <w:rPr>
                <w:szCs w:val="22"/>
              </w:rPr>
              <w:t>3,4</w:t>
            </w:r>
          </w:p>
        </w:tc>
        <w:tc>
          <w:tcPr>
            <w:tcW w:w="1260" w:type="dxa"/>
          </w:tcPr>
          <w:p w14:paraId="25AB62D2" w14:textId="77777777" w:rsidR="00035A0C" w:rsidRPr="00183B5F" w:rsidRDefault="00943743" w:rsidP="004062FE">
            <w:pPr>
              <w:keepNext/>
              <w:spacing w:line="240" w:lineRule="auto"/>
              <w:jc w:val="center"/>
              <w:rPr>
                <w:szCs w:val="22"/>
              </w:rPr>
            </w:pPr>
            <w:r w:rsidRPr="00183B5F">
              <w:rPr>
                <w:szCs w:val="22"/>
              </w:rPr>
              <w:t>46,6</w:t>
            </w:r>
            <w:r w:rsidRPr="00183B5F">
              <w:rPr>
                <w:szCs w:val="22"/>
                <w:vertAlign w:val="superscript"/>
              </w:rPr>
              <w:t>a</w:t>
            </w:r>
          </w:p>
        </w:tc>
        <w:tc>
          <w:tcPr>
            <w:tcW w:w="2268" w:type="dxa"/>
          </w:tcPr>
          <w:p w14:paraId="3AFACB03" w14:textId="77777777" w:rsidR="00035A0C" w:rsidRPr="00183B5F" w:rsidRDefault="00943743">
            <w:pPr>
              <w:pStyle w:val="gtctablespaceafter"/>
              <w:keepNext/>
              <w:spacing w:after="0"/>
              <w:jc w:val="center"/>
              <w:rPr>
                <w:sz w:val="22"/>
                <w:szCs w:val="22"/>
                <w:lang w:val="hu-HU"/>
              </w:rPr>
            </w:pPr>
            <w:r w:rsidRPr="00183B5F">
              <w:rPr>
                <w:sz w:val="22"/>
                <w:szCs w:val="22"/>
                <w:lang w:val="hu-HU"/>
              </w:rPr>
              <w:t>65,0</w:t>
            </w:r>
          </w:p>
        </w:tc>
      </w:tr>
      <w:tr w:rsidR="00011D2F" w14:paraId="34BC14A2" w14:textId="77777777" w:rsidTr="00035A0C">
        <w:tc>
          <w:tcPr>
            <w:tcW w:w="2718" w:type="dxa"/>
          </w:tcPr>
          <w:p w14:paraId="51387C1C" w14:textId="77777777" w:rsidR="00035A0C" w:rsidRPr="00183B5F" w:rsidRDefault="00943743">
            <w:pPr>
              <w:pStyle w:val="gtctablespaceafter"/>
              <w:keepNext/>
              <w:spacing w:after="0"/>
              <w:rPr>
                <w:sz w:val="22"/>
                <w:szCs w:val="22"/>
                <w:lang w:val="hu-HU"/>
              </w:rPr>
            </w:pPr>
            <w:r w:rsidRPr="00183B5F">
              <w:rPr>
                <w:sz w:val="22"/>
                <w:szCs w:val="22"/>
                <w:lang w:val="hu-HU"/>
              </w:rPr>
              <w:t>PGA-F tiszta/minimális és ≥2</w:t>
            </w:r>
            <w:r w:rsidR="004E5E6A" w:rsidRPr="00183B5F">
              <w:rPr>
                <w:sz w:val="22"/>
                <w:szCs w:val="22"/>
                <w:lang w:val="hu-HU"/>
              </w:rPr>
              <w:t xml:space="preserve"> </w:t>
            </w:r>
            <w:r w:rsidRPr="00183B5F">
              <w:rPr>
                <w:sz w:val="22"/>
                <w:szCs w:val="22"/>
                <w:lang w:val="hu-HU"/>
              </w:rPr>
              <w:t>fokozatú javulás (%)</w:t>
            </w:r>
          </w:p>
        </w:tc>
        <w:tc>
          <w:tcPr>
            <w:tcW w:w="1080" w:type="dxa"/>
          </w:tcPr>
          <w:p w14:paraId="7EFE269E" w14:textId="77777777" w:rsidR="00035A0C" w:rsidRPr="00183B5F" w:rsidRDefault="00943743">
            <w:pPr>
              <w:pStyle w:val="gtctablespaceafter"/>
              <w:keepNext/>
              <w:spacing w:after="0"/>
              <w:jc w:val="center"/>
              <w:rPr>
                <w:sz w:val="22"/>
                <w:szCs w:val="22"/>
                <w:lang w:val="hu-HU"/>
              </w:rPr>
            </w:pPr>
            <w:r w:rsidRPr="00183B5F">
              <w:rPr>
                <w:sz w:val="22"/>
                <w:szCs w:val="22"/>
                <w:lang w:val="hu-HU"/>
              </w:rPr>
              <w:t>2,9</w:t>
            </w:r>
          </w:p>
        </w:tc>
        <w:tc>
          <w:tcPr>
            <w:tcW w:w="1260" w:type="dxa"/>
          </w:tcPr>
          <w:p w14:paraId="771C838A" w14:textId="77777777" w:rsidR="00035A0C" w:rsidRPr="00183B5F" w:rsidRDefault="00943743">
            <w:pPr>
              <w:pStyle w:val="gtctablespaceafter"/>
              <w:keepNext/>
              <w:spacing w:after="0"/>
              <w:jc w:val="center"/>
              <w:rPr>
                <w:sz w:val="22"/>
                <w:szCs w:val="22"/>
                <w:lang w:val="hu-HU"/>
              </w:rPr>
            </w:pPr>
            <w:r w:rsidRPr="00183B5F">
              <w:rPr>
                <w:sz w:val="22"/>
                <w:szCs w:val="22"/>
                <w:lang w:val="hu-HU"/>
              </w:rPr>
              <w:t>29,7</w:t>
            </w:r>
            <w:r w:rsidRPr="00183B5F">
              <w:rPr>
                <w:sz w:val="22"/>
                <w:szCs w:val="22"/>
                <w:vertAlign w:val="superscript"/>
                <w:lang w:val="hu-HU"/>
              </w:rPr>
              <w:t>a</w:t>
            </w:r>
          </w:p>
        </w:tc>
        <w:tc>
          <w:tcPr>
            <w:tcW w:w="990" w:type="dxa"/>
          </w:tcPr>
          <w:p w14:paraId="1BEF46FC" w14:textId="77777777" w:rsidR="00035A0C" w:rsidRPr="00183B5F" w:rsidRDefault="00943743" w:rsidP="004062FE">
            <w:pPr>
              <w:keepNext/>
              <w:spacing w:line="240" w:lineRule="auto"/>
              <w:jc w:val="center"/>
              <w:rPr>
                <w:szCs w:val="22"/>
              </w:rPr>
            </w:pPr>
            <w:r w:rsidRPr="00183B5F">
              <w:rPr>
                <w:szCs w:val="22"/>
              </w:rPr>
              <w:t>6,9</w:t>
            </w:r>
          </w:p>
        </w:tc>
        <w:tc>
          <w:tcPr>
            <w:tcW w:w="1260" w:type="dxa"/>
          </w:tcPr>
          <w:p w14:paraId="45830325" w14:textId="77777777" w:rsidR="00035A0C" w:rsidRPr="00183B5F" w:rsidRDefault="00943743" w:rsidP="004062FE">
            <w:pPr>
              <w:keepNext/>
              <w:spacing w:line="240" w:lineRule="auto"/>
              <w:jc w:val="center"/>
              <w:rPr>
                <w:szCs w:val="22"/>
              </w:rPr>
            </w:pPr>
            <w:r w:rsidRPr="00183B5F">
              <w:rPr>
                <w:szCs w:val="22"/>
              </w:rPr>
              <w:t>48,9</w:t>
            </w:r>
            <w:r w:rsidRPr="00183B5F">
              <w:rPr>
                <w:szCs w:val="22"/>
                <w:vertAlign w:val="superscript"/>
              </w:rPr>
              <w:t>a</w:t>
            </w:r>
          </w:p>
        </w:tc>
        <w:tc>
          <w:tcPr>
            <w:tcW w:w="2268" w:type="dxa"/>
          </w:tcPr>
          <w:p w14:paraId="4E1C74DD" w14:textId="77777777" w:rsidR="00035A0C" w:rsidRPr="00183B5F" w:rsidRDefault="00943743">
            <w:pPr>
              <w:pStyle w:val="gtctablespaceafter"/>
              <w:keepNext/>
              <w:spacing w:after="0"/>
              <w:jc w:val="center"/>
              <w:rPr>
                <w:sz w:val="22"/>
                <w:szCs w:val="22"/>
                <w:lang w:val="hu-HU"/>
              </w:rPr>
            </w:pPr>
            <w:r w:rsidRPr="00183B5F">
              <w:rPr>
                <w:sz w:val="22"/>
                <w:szCs w:val="22"/>
                <w:lang w:val="hu-HU"/>
              </w:rPr>
              <w:t>61,3</w:t>
            </w:r>
          </w:p>
        </w:tc>
      </w:tr>
      <w:tr w:rsidR="00011D2F" w14:paraId="17ECCFB9" w14:textId="77777777" w:rsidTr="00035A0C">
        <w:tc>
          <w:tcPr>
            <w:tcW w:w="2718" w:type="dxa"/>
          </w:tcPr>
          <w:p w14:paraId="2E70563B" w14:textId="77777777" w:rsidR="00035A0C" w:rsidRPr="00183B5F" w:rsidRDefault="00943743">
            <w:pPr>
              <w:pStyle w:val="gtctablespaceafter"/>
              <w:keepNext/>
              <w:spacing w:after="0"/>
              <w:rPr>
                <w:sz w:val="22"/>
                <w:szCs w:val="22"/>
                <w:lang w:val="hu-HU"/>
              </w:rPr>
            </w:pPr>
            <w:r w:rsidRPr="00183B5F">
              <w:rPr>
                <w:sz w:val="22"/>
                <w:szCs w:val="22"/>
                <w:lang w:val="hu-HU"/>
              </w:rPr>
              <w:t>Teljes köröm NAPSI százalékos változása (%)</w:t>
            </w:r>
          </w:p>
        </w:tc>
        <w:tc>
          <w:tcPr>
            <w:tcW w:w="1080" w:type="dxa"/>
          </w:tcPr>
          <w:p w14:paraId="26A8E4EF" w14:textId="77777777" w:rsidR="00035A0C" w:rsidRPr="00183B5F" w:rsidRDefault="00943743">
            <w:pPr>
              <w:pStyle w:val="gtctablespaceafter"/>
              <w:keepNext/>
              <w:spacing w:after="0"/>
              <w:jc w:val="center"/>
              <w:rPr>
                <w:sz w:val="22"/>
                <w:szCs w:val="22"/>
                <w:lang w:val="hu-HU"/>
              </w:rPr>
            </w:pPr>
            <w:r w:rsidRPr="00183B5F">
              <w:rPr>
                <w:sz w:val="22"/>
                <w:szCs w:val="22"/>
                <w:lang w:val="hu-HU"/>
              </w:rPr>
              <w:t>-7,8</w:t>
            </w:r>
          </w:p>
        </w:tc>
        <w:tc>
          <w:tcPr>
            <w:tcW w:w="1260" w:type="dxa"/>
          </w:tcPr>
          <w:p w14:paraId="386373F3" w14:textId="77777777" w:rsidR="00035A0C" w:rsidRPr="00183B5F" w:rsidRDefault="00943743">
            <w:pPr>
              <w:pStyle w:val="gtctablespaceafter"/>
              <w:keepNext/>
              <w:spacing w:after="0"/>
              <w:jc w:val="center"/>
              <w:rPr>
                <w:sz w:val="22"/>
                <w:szCs w:val="22"/>
                <w:lang w:val="hu-HU"/>
              </w:rPr>
            </w:pPr>
            <w:r w:rsidRPr="00183B5F">
              <w:rPr>
                <w:sz w:val="22"/>
                <w:szCs w:val="22"/>
                <w:lang w:val="hu-HU"/>
              </w:rPr>
              <w:t>-44,2</w:t>
            </w:r>
            <w:r w:rsidRPr="00183B5F">
              <w:rPr>
                <w:sz w:val="22"/>
                <w:szCs w:val="22"/>
                <w:vertAlign w:val="superscript"/>
                <w:lang w:val="hu-HU"/>
              </w:rPr>
              <w:t xml:space="preserve"> a</w:t>
            </w:r>
          </w:p>
        </w:tc>
        <w:tc>
          <w:tcPr>
            <w:tcW w:w="990" w:type="dxa"/>
          </w:tcPr>
          <w:p w14:paraId="5A6403EC" w14:textId="77777777" w:rsidR="00035A0C" w:rsidRPr="00183B5F" w:rsidRDefault="00943743" w:rsidP="004062FE">
            <w:pPr>
              <w:keepNext/>
              <w:spacing w:line="240" w:lineRule="auto"/>
              <w:jc w:val="center"/>
              <w:rPr>
                <w:szCs w:val="22"/>
              </w:rPr>
            </w:pPr>
            <w:r w:rsidRPr="00183B5F">
              <w:rPr>
                <w:szCs w:val="22"/>
              </w:rPr>
              <w:t>-11,5</w:t>
            </w:r>
          </w:p>
        </w:tc>
        <w:tc>
          <w:tcPr>
            <w:tcW w:w="1260" w:type="dxa"/>
          </w:tcPr>
          <w:p w14:paraId="49F75BFC" w14:textId="77777777" w:rsidR="00035A0C" w:rsidRPr="00183B5F" w:rsidRDefault="00943743" w:rsidP="004062FE">
            <w:pPr>
              <w:keepNext/>
              <w:spacing w:line="240" w:lineRule="auto"/>
              <w:jc w:val="center"/>
              <w:rPr>
                <w:szCs w:val="22"/>
              </w:rPr>
            </w:pPr>
            <w:r w:rsidRPr="00183B5F">
              <w:rPr>
                <w:szCs w:val="22"/>
              </w:rPr>
              <w:t>-56,2</w:t>
            </w:r>
            <w:r w:rsidRPr="00183B5F">
              <w:rPr>
                <w:szCs w:val="22"/>
                <w:vertAlign w:val="superscript"/>
              </w:rPr>
              <w:t>a</w:t>
            </w:r>
          </w:p>
        </w:tc>
        <w:tc>
          <w:tcPr>
            <w:tcW w:w="2268" w:type="dxa"/>
          </w:tcPr>
          <w:p w14:paraId="3190B7ED" w14:textId="77777777" w:rsidR="00035A0C" w:rsidRPr="00183B5F" w:rsidRDefault="00943743">
            <w:pPr>
              <w:pStyle w:val="gtctablespaceafter"/>
              <w:keepNext/>
              <w:spacing w:after="0"/>
              <w:jc w:val="center"/>
              <w:rPr>
                <w:sz w:val="22"/>
                <w:szCs w:val="22"/>
                <w:lang w:val="hu-HU"/>
              </w:rPr>
            </w:pPr>
            <w:r w:rsidRPr="00183B5F">
              <w:rPr>
                <w:sz w:val="22"/>
                <w:szCs w:val="22"/>
                <w:lang w:val="hu-HU"/>
              </w:rPr>
              <w:t>-72,2</w:t>
            </w:r>
          </w:p>
        </w:tc>
      </w:tr>
      <w:tr w:rsidR="00011D2F" w14:paraId="0A2F30C3" w14:textId="77777777" w:rsidTr="00035A0C">
        <w:tc>
          <w:tcPr>
            <w:tcW w:w="9576" w:type="dxa"/>
            <w:gridSpan w:val="6"/>
          </w:tcPr>
          <w:p w14:paraId="72E9B0C3" w14:textId="77777777" w:rsidR="00035A0C" w:rsidRPr="00183B5F" w:rsidRDefault="00943743">
            <w:pPr>
              <w:pStyle w:val="gtctablespaceafter"/>
              <w:keepNext/>
              <w:spacing w:after="0"/>
              <w:rPr>
                <w:sz w:val="22"/>
                <w:szCs w:val="22"/>
                <w:lang w:val="hu-HU"/>
              </w:rPr>
            </w:pPr>
            <w:r w:rsidRPr="00183B5F">
              <w:rPr>
                <w:sz w:val="22"/>
                <w:szCs w:val="22"/>
                <w:vertAlign w:val="superscript"/>
                <w:lang w:val="hu-HU"/>
              </w:rPr>
              <w:t>a</w:t>
            </w:r>
            <w:r w:rsidRPr="00183B5F">
              <w:rPr>
                <w:sz w:val="22"/>
                <w:szCs w:val="22"/>
                <w:lang w:val="hu-HU"/>
              </w:rPr>
              <w:t xml:space="preserve"> p&lt;0,001, Humira </w:t>
            </w:r>
            <w:r w:rsidRPr="00183B5F">
              <w:rPr>
                <w:i/>
                <w:sz w:val="22"/>
                <w:szCs w:val="22"/>
                <w:lang w:val="hu-HU"/>
              </w:rPr>
              <w:t>vs.</w:t>
            </w:r>
            <w:r w:rsidRPr="00183B5F">
              <w:rPr>
                <w:sz w:val="22"/>
                <w:szCs w:val="22"/>
                <w:lang w:val="hu-HU"/>
              </w:rPr>
              <w:t xml:space="preserve"> placebo </w:t>
            </w:r>
          </w:p>
        </w:tc>
      </w:tr>
    </w:tbl>
    <w:p w14:paraId="4F6E6F7F" w14:textId="77777777" w:rsidR="00035A0C" w:rsidRPr="00183B5F" w:rsidRDefault="00035A0C">
      <w:pPr>
        <w:pStyle w:val="gtctablespaceafter"/>
        <w:spacing w:after="0"/>
        <w:rPr>
          <w:sz w:val="22"/>
          <w:szCs w:val="22"/>
          <w:lang w:val="hu-HU"/>
        </w:rPr>
      </w:pPr>
    </w:p>
    <w:p w14:paraId="5AB83FFD" w14:textId="77777777" w:rsidR="00035A0C" w:rsidRPr="00183B5F" w:rsidRDefault="00943743">
      <w:pPr>
        <w:pStyle w:val="EMEANormal"/>
        <w:rPr>
          <w:szCs w:val="22"/>
          <w:lang w:val="hu-HU"/>
        </w:rPr>
      </w:pPr>
      <w:r w:rsidRPr="00183B5F">
        <w:rPr>
          <w:szCs w:val="22"/>
          <w:lang w:val="hu-HU"/>
        </w:rPr>
        <w:t>A Humira</w:t>
      </w:r>
      <w:r w:rsidR="00F77D45" w:rsidRPr="00183B5F">
        <w:rPr>
          <w:szCs w:val="22"/>
          <w:lang w:val="hu-HU"/>
        </w:rPr>
        <w:noBreakHyphen/>
      </w:r>
      <w:r w:rsidRPr="00183B5F">
        <w:rPr>
          <w:szCs w:val="22"/>
          <w:lang w:val="hu-HU"/>
        </w:rPr>
        <w:t xml:space="preserve">val kezelt betegeknél a bőrgyógyászati életminőségi index (DLQI) statisztikailag szignifikáns javulást mutatott a 26. héten a placebóhoz képest. </w:t>
      </w:r>
    </w:p>
    <w:p w14:paraId="697BB97B" w14:textId="77777777" w:rsidR="00035A0C" w:rsidRPr="00183B5F" w:rsidRDefault="00035A0C">
      <w:pPr>
        <w:pStyle w:val="EMEANormal"/>
        <w:rPr>
          <w:i/>
          <w:lang w:val="hu-HU"/>
        </w:rPr>
      </w:pPr>
    </w:p>
    <w:p w14:paraId="4A878517" w14:textId="77777777" w:rsidR="009A314C" w:rsidRPr="00183B5F" w:rsidRDefault="009A314C">
      <w:pPr>
        <w:pStyle w:val="EMEANormal"/>
        <w:rPr>
          <w:szCs w:val="22"/>
          <w:lang w:val="hu-HU"/>
        </w:rPr>
      </w:pPr>
    </w:p>
    <w:p w14:paraId="4C09A24A" w14:textId="77777777" w:rsidR="00646964" w:rsidRPr="00183B5F" w:rsidRDefault="00943743" w:rsidP="00163756">
      <w:pPr>
        <w:keepNext/>
        <w:spacing w:line="240" w:lineRule="auto"/>
        <w:rPr>
          <w:i/>
          <w:szCs w:val="22"/>
        </w:rPr>
      </w:pPr>
      <w:r w:rsidRPr="00183B5F">
        <w:rPr>
          <w:i/>
          <w:szCs w:val="22"/>
        </w:rPr>
        <w:t>Hidradenitis suppurativa</w:t>
      </w:r>
    </w:p>
    <w:p w14:paraId="28A3D00B" w14:textId="77777777" w:rsidR="00646964" w:rsidRPr="00183B5F" w:rsidRDefault="00646964" w:rsidP="00163756">
      <w:pPr>
        <w:keepNext/>
        <w:spacing w:line="240" w:lineRule="auto"/>
        <w:rPr>
          <w:i/>
          <w:szCs w:val="22"/>
        </w:rPr>
      </w:pPr>
    </w:p>
    <w:p w14:paraId="2F7103B3" w14:textId="77777777" w:rsidR="00646964" w:rsidRPr="00183B5F" w:rsidRDefault="00943743" w:rsidP="004062FE">
      <w:pPr>
        <w:spacing w:line="240" w:lineRule="auto"/>
        <w:rPr>
          <w:szCs w:val="22"/>
        </w:rPr>
      </w:pPr>
      <w:r w:rsidRPr="00183B5F">
        <w:rPr>
          <w:szCs w:val="22"/>
        </w:rPr>
        <w:t>A Humira biztonságosságát és hatásosságát olyan köz</w:t>
      </w:r>
      <w:r w:rsidR="00430282" w:rsidRPr="00183B5F">
        <w:rPr>
          <w:szCs w:val="22"/>
        </w:rPr>
        <w:t>e</w:t>
      </w:r>
      <w:r w:rsidRPr="00183B5F">
        <w:rPr>
          <w:szCs w:val="22"/>
        </w:rPr>
        <w:t>p</w:t>
      </w:r>
      <w:r w:rsidR="00430282" w:rsidRPr="00183B5F">
        <w:rPr>
          <w:szCs w:val="22"/>
        </w:rPr>
        <w:t xml:space="preserve">esen </w:t>
      </w:r>
      <w:r w:rsidRPr="00183B5F">
        <w:rPr>
          <w:szCs w:val="22"/>
        </w:rPr>
        <w:t>súlyos</w:t>
      </w:r>
      <w:r w:rsidR="00430282" w:rsidRPr="00183B5F">
        <w:rPr>
          <w:szCs w:val="22"/>
        </w:rPr>
        <w:t xml:space="preserve"> </w:t>
      </w:r>
      <w:r w:rsidRPr="00183B5F">
        <w:rPr>
          <w:szCs w:val="22"/>
        </w:rPr>
        <w:t>-</w:t>
      </w:r>
      <w:r w:rsidR="00430282" w:rsidRPr="00183B5F">
        <w:rPr>
          <w:szCs w:val="22"/>
        </w:rPr>
        <w:t xml:space="preserve"> </w:t>
      </w:r>
      <w:r w:rsidRPr="00183B5F">
        <w:rPr>
          <w:szCs w:val="22"/>
        </w:rPr>
        <w:t xml:space="preserve">súlyos aktivitású hidradenitis suppurativában (HS) szenvedő felnőtt betegeknél értékelték randomizált, </w:t>
      </w:r>
      <w:r w:rsidR="00E5381A" w:rsidRPr="00183B5F">
        <w:rPr>
          <w:szCs w:val="22"/>
        </w:rPr>
        <w:t>kettős vak</w:t>
      </w:r>
      <w:r w:rsidRPr="00183B5F">
        <w:rPr>
          <w:szCs w:val="22"/>
        </w:rPr>
        <w:t>, placebokontrollos vizsgálat</w:t>
      </w:r>
      <w:r w:rsidR="00630131" w:rsidRPr="00183B5F">
        <w:rPr>
          <w:szCs w:val="22"/>
        </w:rPr>
        <w:t>okkal és egy nyílt kiterjesztéses vizsgálat</w:t>
      </w:r>
      <w:r w:rsidRPr="00183B5F">
        <w:rPr>
          <w:szCs w:val="22"/>
        </w:rPr>
        <w:t>tal, akik a 3 hónapos szisztémás antibiotikum</w:t>
      </w:r>
      <w:r w:rsidR="00630131" w:rsidRPr="00183B5F">
        <w:rPr>
          <w:szCs w:val="22"/>
        </w:rPr>
        <w:t>-</w:t>
      </w:r>
      <w:r w:rsidRPr="00183B5F">
        <w:rPr>
          <w:szCs w:val="22"/>
        </w:rPr>
        <w:t>kezelést nem tolerálták, ellenjavallt volt náluk, vagy nem adtak kielégítő választ. A HS</w:t>
      </w:r>
      <w:r w:rsidRPr="00183B5F">
        <w:rPr>
          <w:szCs w:val="22"/>
        </w:rPr>
        <w:noBreakHyphen/>
        <w:t>I és H</w:t>
      </w:r>
      <w:r w:rsidR="00630131" w:rsidRPr="00183B5F">
        <w:rPr>
          <w:szCs w:val="22"/>
        </w:rPr>
        <w:t>S</w:t>
      </w:r>
      <w:r w:rsidRPr="00183B5F">
        <w:rPr>
          <w:szCs w:val="22"/>
        </w:rPr>
        <w:noBreakHyphen/>
        <w:t>II</w:t>
      </w:r>
      <w:r w:rsidRPr="00183B5F">
        <w:rPr>
          <w:szCs w:val="22"/>
        </w:rPr>
        <w:noBreakHyphen/>
        <w:t>es betegeknek legalább 3 tályoggal vagy gyulladásos csomóval járó Hurley Stage II vagy Hurley Stage III stádiumú betegségük</w:t>
      </w:r>
      <w:r w:rsidR="00630131" w:rsidRPr="00183B5F">
        <w:rPr>
          <w:szCs w:val="22"/>
        </w:rPr>
        <w:t xml:space="preserve"> </w:t>
      </w:r>
      <w:r w:rsidRPr="00183B5F">
        <w:rPr>
          <w:szCs w:val="22"/>
        </w:rPr>
        <w:t>volt.</w:t>
      </w:r>
    </w:p>
    <w:p w14:paraId="1DA7AB5E" w14:textId="77777777" w:rsidR="00646964" w:rsidRPr="00183B5F" w:rsidRDefault="00646964" w:rsidP="004062FE">
      <w:pPr>
        <w:spacing w:line="240" w:lineRule="auto"/>
        <w:rPr>
          <w:szCs w:val="22"/>
        </w:rPr>
      </w:pPr>
    </w:p>
    <w:p w14:paraId="4465F79C" w14:textId="77777777" w:rsidR="00646964" w:rsidRPr="00183B5F" w:rsidRDefault="00943743" w:rsidP="004062FE">
      <w:pPr>
        <w:spacing w:line="240" w:lineRule="auto"/>
        <w:rPr>
          <w:color w:val="000000"/>
        </w:rPr>
      </w:pPr>
      <w:r w:rsidRPr="00183B5F">
        <w:rPr>
          <w:szCs w:val="22"/>
        </w:rPr>
        <w:t>A HS</w:t>
      </w:r>
      <w:r w:rsidRPr="00183B5F">
        <w:rPr>
          <w:szCs w:val="22"/>
        </w:rPr>
        <w:noBreakHyphen/>
        <w:t>I vizsgálat (PIONEER I) 307 beteget értékelt 2 kezelési periódusban. Az A periódusban a betegek 160 mg telítő dózisú placebót vagy Humira</w:t>
      </w:r>
      <w:r w:rsidRPr="00183B5F">
        <w:rPr>
          <w:szCs w:val="22"/>
        </w:rPr>
        <w:noBreakHyphen/>
        <w:t>t kaptak a 0. héten, 80 mg</w:t>
      </w:r>
      <w:r w:rsidRPr="00183B5F">
        <w:rPr>
          <w:szCs w:val="22"/>
        </w:rPr>
        <w:noBreakHyphen/>
        <w:t>ot a 2. héten és 40 mg</w:t>
      </w:r>
      <w:r w:rsidRPr="00183B5F">
        <w:rPr>
          <w:szCs w:val="22"/>
        </w:rPr>
        <w:noBreakHyphen/>
        <w:t>ot minden héten a 4</w:t>
      </w:r>
      <w:r w:rsidRPr="00183B5F">
        <w:rPr>
          <w:szCs w:val="22"/>
        </w:rPr>
        <w:noBreakHyphen/>
        <w:t>11. hétig. A vizsgálat alatt nem volt megengedett antibiotikum együttes alkalmazása. A 12 hétig tartó terápia után azokat a betegeket akik az A periódusban Humira</w:t>
      </w:r>
      <w:r w:rsidRPr="00183B5F">
        <w:rPr>
          <w:szCs w:val="22"/>
        </w:rPr>
        <w:noBreakHyphen/>
        <w:t>t kaptak, a B periódusban ismét randomizálták, a 3 kezelési csoport egyikébe (</w:t>
      </w:r>
      <w:r w:rsidRPr="00183B5F">
        <w:rPr>
          <w:color w:val="000000"/>
        </w:rPr>
        <w:t xml:space="preserve">40 mg Humira minden héten, 40 mg Humira minden második héten, </w:t>
      </w:r>
      <w:r w:rsidRPr="00183B5F">
        <w:rPr>
          <w:color w:val="000000"/>
        </w:rPr>
        <w:t>vagy placebo 12</w:t>
      </w:r>
      <w:r w:rsidRPr="00183B5F">
        <w:rPr>
          <w:color w:val="000000"/>
        </w:rPr>
        <w:noBreakHyphen/>
        <w:t>35. hétig). Az A periódusban véletlenszerűen placebót kapó betegek a B periódusban 40 mg Humira</w:t>
      </w:r>
      <w:r w:rsidRPr="00183B5F">
        <w:rPr>
          <w:color w:val="000000"/>
        </w:rPr>
        <w:noBreakHyphen/>
        <w:t>t kaptak minden héten.</w:t>
      </w:r>
    </w:p>
    <w:p w14:paraId="16D8F9EF" w14:textId="77777777" w:rsidR="00646964" w:rsidRPr="00183B5F" w:rsidRDefault="00646964" w:rsidP="004062FE">
      <w:pPr>
        <w:spacing w:line="240" w:lineRule="auto"/>
        <w:rPr>
          <w:color w:val="000000"/>
        </w:rPr>
      </w:pPr>
    </w:p>
    <w:p w14:paraId="1CF90CA2" w14:textId="77777777" w:rsidR="00646964" w:rsidRPr="00183B5F" w:rsidRDefault="00943743" w:rsidP="004062FE">
      <w:pPr>
        <w:spacing w:line="240" w:lineRule="auto"/>
        <w:rPr>
          <w:color w:val="000000"/>
        </w:rPr>
      </w:pPr>
      <w:r w:rsidRPr="00183B5F">
        <w:rPr>
          <w:color w:val="000000"/>
        </w:rPr>
        <w:t>A HS</w:t>
      </w:r>
      <w:r w:rsidRPr="00183B5F">
        <w:rPr>
          <w:color w:val="000000"/>
        </w:rPr>
        <w:noBreakHyphen/>
        <w:t>II (PIONEER II) vizsgálat 326 beteget értékelt 2 kezelési periódusban. Az A periódusban a betegek 160 mg telítő dózisú placebót vagy Humira</w:t>
      </w:r>
      <w:r w:rsidRPr="00183B5F">
        <w:rPr>
          <w:color w:val="000000"/>
        </w:rPr>
        <w:noBreakHyphen/>
        <w:t>t kaptak a 0.</w:t>
      </w:r>
      <w:r w:rsidR="00630131" w:rsidRPr="00183B5F">
        <w:rPr>
          <w:color w:val="000000"/>
        </w:rPr>
        <w:t> </w:t>
      </w:r>
      <w:r w:rsidRPr="00183B5F">
        <w:rPr>
          <w:color w:val="000000"/>
        </w:rPr>
        <w:t>héten, 80</w:t>
      </w:r>
      <w:r w:rsidR="00630131" w:rsidRPr="00183B5F">
        <w:rPr>
          <w:color w:val="000000"/>
        </w:rPr>
        <w:t> </w:t>
      </w:r>
      <w:r w:rsidRPr="00183B5F">
        <w:rPr>
          <w:color w:val="000000"/>
        </w:rPr>
        <w:t>mg</w:t>
      </w:r>
      <w:r w:rsidR="00630131" w:rsidRPr="00183B5F">
        <w:rPr>
          <w:color w:val="000000"/>
        </w:rPr>
        <w:noBreakHyphen/>
      </w:r>
      <w:r w:rsidRPr="00183B5F">
        <w:rPr>
          <w:color w:val="000000"/>
        </w:rPr>
        <w:t>ot a 2.</w:t>
      </w:r>
      <w:r w:rsidR="00630131" w:rsidRPr="00183B5F">
        <w:rPr>
          <w:color w:val="000000"/>
        </w:rPr>
        <w:t> </w:t>
      </w:r>
      <w:r w:rsidRPr="00183B5F">
        <w:rPr>
          <w:color w:val="000000"/>
        </w:rPr>
        <w:t>héten és 40 mg</w:t>
      </w:r>
      <w:r w:rsidRPr="00183B5F">
        <w:rPr>
          <w:color w:val="000000"/>
        </w:rPr>
        <w:noBreakHyphen/>
        <w:t>ot minden héten a 4</w:t>
      </w:r>
      <w:r w:rsidRPr="00183B5F">
        <w:rPr>
          <w:color w:val="000000"/>
        </w:rPr>
        <w:noBreakHyphen/>
        <w:t>11.</w:t>
      </w:r>
      <w:r w:rsidR="00630131" w:rsidRPr="00183B5F">
        <w:rPr>
          <w:color w:val="000000"/>
        </w:rPr>
        <w:t> </w:t>
      </w:r>
      <w:r w:rsidRPr="00183B5F">
        <w:rPr>
          <w:color w:val="000000"/>
        </w:rPr>
        <w:t>hétig. A betegek 19,3%</w:t>
      </w:r>
      <w:r w:rsidRPr="00183B5F">
        <w:rPr>
          <w:color w:val="000000"/>
        </w:rPr>
        <w:noBreakHyphen/>
        <w:t>a folytatta a kiindulási orális antibiotikum terápiát a vizsgálat alatt. A 12 hétig tartó terápia után azokat a betegeket, akik az A periódusban Humira</w:t>
      </w:r>
      <w:r w:rsidRPr="00183B5F">
        <w:rPr>
          <w:color w:val="000000"/>
        </w:rPr>
        <w:noBreakHyphen/>
        <w:t>t kaptak, a B periódusban ismét randomizálták, a 3 kezelési csoport egyikébe (40 mg Humira minden héten, 40 mg Humira minden második héten, vagy placebo a 12</w:t>
      </w:r>
      <w:r w:rsidRPr="00183B5F">
        <w:rPr>
          <w:color w:val="000000"/>
        </w:rPr>
        <w:noBreakHyphen/>
        <w:t>35. hétig). Az A periódusban véletlenszerűen placebót kapó betegeknek a B periódusban is placebót adtak.</w:t>
      </w:r>
    </w:p>
    <w:p w14:paraId="19666F48" w14:textId="77777777" w:rsidR="00646964" w:rsidRPr="00183B5F" w:rsidRDefault="00646964" w:rsidP="004062FE">
      <w:pPr>
        <w:spacing w:line="240" w:lineRule="auto"/>
        <w:rPr>
          <w:color w:val="000000"/>
        </w:rPr>
      </w:pPr>
    </w:p>
    <w:p w14:paraId="09C7DB20" w14:textId="77777777" w:rsidR="00646964" w:rsidRPr="00183B5F" w:rsidRDefault="00943743" w:rsidP="004062FE">
      <w:pPr>
        <w:spacing w:line="240" w:lineRule="auto"/>
        <w:rPr>
          <w:color w:val="000000"/>
        </w:rPr>
      </w:pPr>
      <w:r w:rsidRPr="00183B5F">
        <w:rPr>
          <w:color w:val="000000"/>
        </w:rPr>
        <w:t>A HS</w:t>
      </w:r>
      <w:r w:rsidRPr="00183B5F">
        <w:rPr>
          <w:color w:val="000000"/>
        </w:rPr>
        <w:noBreakHyphen/>
        <w:t>I és HS</w:t>
      </w:r>
      <w:r w:rsidRPr="00183B5F">
        <w:rPr>
          <w:color w:val="000000"/>
        </w:rPr>
        <w:noBreakHyphen/>
        <w:t xml:space="preserve">II vizsgálatban részt vevő betegek jogosultak voltak egy nyílt, </w:t>
      </w:r>
      <w:r w:rsidR="00630131" w:rsidRPr="00183B5F">
        <w:rPr>
          <w:color w:val="000000"/>
        </w:rPr>
        <w:t>kiterjesztéses</w:t>
      </w:r>
      <w:r w:rsidRPr="00183B5F">
        <w:rPr>
          <w:color w:val="000000"/>
        </w:rPr>
        <w:t xml:space="preserve"> vizsgálatba bekerülni, melyben 40 mg Humira</w:t>
      </w:r>
      <w:r w:rsidRPr="00183B5F">
        <w:rPr>
          <w:color w:val="000000"/>
        </w:rPr>
        <w:noBreakHyphen/>
        <w:t xml:space="preserve">t kaptak minden héten. </w:t>
      </w:r>
      <w:r w:rsidR="005307DD" w:rsidRPr="00183B5F">
        <w:rPr>
          <w:color w:val="000000"/>
        </w:rPr>
        <w:t xml:space="preserve">Az átlagos expozíció </w:t>
      </w:r>
      <w:r w:rsidR="006F700B" w:rsidRPr="00183B5F">
        <w:rPr>
          <w:color w:val="000000"/>
        </w:rPr>
        <w:t>a teljes,</w:t>
      </w:r>
      <w:r w:rsidR="005307DD" w:rsidRPr="00183B5F">
        <w:rPr>
          <w:color w:val="000000"/>
        </w:rPr>
        <w:t xml:space="preserve"> adalimumab</w:t>
      </w:r>
      <w:r w:rsidR="006F700B" w:rsidRPr="00183B5F">
        <w:rPr>
          <w:color w:val="000000"/>
        </w:rPr>
        <w:t>bal</w:t>
      </w:r>
      <w:r w:rsidR="005307DD" w:rsidRPr="00183B5F">
        <w:rPr>
          <w:color w:val="000000"/>
        </w:rPr>
        <w:t xml:space="preserve"> </w:t>
      </w:r>
      <w:r w:rsidR="006F700B" w:rsidRPr="00183B5F">
        <w:rPr>
          <w:color w:val="000000"/>
        </w:rPr>
        <w:t>kezelt</w:t>
      </w:r>
      <w:r w:rsidR="005307DD" w:rsidRPr="00183B5F">
        <w:rPr>
          <w:color w:val="000000"/>
        </w:rPr>
        <w:t xml:space="preserve"> populációban 762 nap volt. </w:t>
      </w:r>
      <w:r w:rsidRPr="00183B5F">
        <w:rPr>
          <w:color w:val="000000"/>
        </w:rPr>
        <w:t>A 3 vizsgálat alatt a betegek helyi fertőtlenítő lemosót használtak naponta.</w:t>
      </w:r>
    </w:p>
    <w:p w14:paraId="532E166B" w14:textId="77777777" w:rsidR="00646964" w:rsidRPr="00183B5F" w:rsidRDefault="00646964" w:rsidP="004062FE">
      <w:pPr>
        <w:spacing w:line="240" w:lineRule="auto"/>
        <w:rPr>
          <w:color w:val="000000"/>
        </w:rPr>
      </w:pPr>
    </w:p>
    <w:p w14:paraId="2A1EDEC3" w14:textId="77777777" w:rsidR="00646964" w:rsidRPr="00183B5F" w:rsidRDefault="00943743" w:rsidP="004062FE">
      <w:pPr>
        <w:spacing w:line="240" w:lineRule="auto"/>
        <w:rPr>
          <w:i/>
          <w:color w:val="000000"/>
          <w:u w:val="single"/>
        </w:rPr>
      </w:pPr>
      <w:r w:rsidRPr="00183B5F">
        <w:rPr>
          <w:i/>
          <w:color w:val="000000"/>
          <w:u w:val="single"/>
        </w:rPr>
        <w:t>Klinikai válasz</w:t>
      </w:r>
    </w:p>
    <w:p w14:paraId="7D54BB26" w14:textId="77777777" w:rsidR="00646964" w:rsidRPr="00183B5F" w:rsidRDefault="00646964" w:rsidP="004062FE">
      <w:pPr>
        <w:spacing w:line="240" w:lineRule="auto"/>
        <w:rPr>
          <w:i/>
          <w:color w:val="000000"/>
          <w:u w:val="single"/>
        </w:rPr>
      </w:pPr>
    </w:p>
    <w:p w14:paraId="369C989E" w14:textId="77777777" w:rsidR="00646964" w:rsidRPr="00183B5F" w:rsidRDefault="00943743" w:rsidP="004062FE">
      <w:pPr>
        <w:spacing w:line="240" w:lineRule="auto"/>
        <w:rPr>
          <w:color w:val="000000"/>
        </w:rPr>
      </w:pPr>
      <w:r w:rsidRPr="00183B5F">
        <w:rPr>
          <w:color w:val="000000"/>
        </w:rPr>
        <w:t xml:space="preserve">A gyulladásos léziók csökkenését és a tályogok és váladékozó fistulák romlásának megelőzését a Hidradenitis suppurativa klinikai válasszal értékelték (HiSCR – </w:t>
      </w:r>
      <w:r w:rsidRPr="00183B5F">
        <w:rPr>
          <w:rFonts w:eastAsia="MS Mincho"/>
          <w:szCs w:val="22"/>
          <w:lang w:eastAsia="ja-JP"/>
        </w:rPr>
        <w:t>Hidradenitis Suppurativa Clinical Response</w:t>
      </w:r>
      <w:r w:rsidRPr="00183B5F">
        <w:rPr>
          <w:color w:val="000000"/>
        </w:rPr>
        <w:t>; az összes tályog és gyulladásos góc számá</w:t>
      </w:r>
      <w:r w:rsidR="001C266C" w:rsidRPr="00183B5F">
        <w:rPr>
          <w:color w:val="000000"/>
        </w:rPr>
        <w:t>nak legalább 50%-os csökkenése</w:t>
      </w:r>
      <w:r w:rsidRPr="00183B5F">
        <w:rPr>
          <w:color w:val="000000"/>
        </w:rPr>
        <w:t>, a tályogok és váladékozó fistulák számának növekedése nélkül</w:t>
      </w:r>
      <w:r w:rsidR="001C266C" w:rsidRPr="00183B5F">
        <w:rPr>
          <w:color w:val="000000"/>
        </w:rPr>
        <w:t>,</w:t>
      </w:r>
      <w:r w:rsidRPr="00183B5F">
        <w:rPr>
          <w:color w:val="000000"/>
        </w:rPr>
        <w:t xml:space="preserve"> a </w:t>
      </w:r>
      <w:r w:rsidR="001C266C" w:rsidRPr="00183B5F">
        <w:rPr>
          <w:color w:val="000000"/>
        </w:rPr>
        <w:t>vizsgálat megkezdéséhez</w:t>
      </w:r>
      <w:r w:rsidRPr="00183B5F">
        <w:rPr>
          <w:color w:val="000000"/>
        </w:rPr>
        <w:t xml:space="preserve"> képest). A HS</w:t>
      </w:r>
      <w:r w:rsidRPr="00183B5F">
        <w:rPr>
          <w:color w:val="000000"/>
        </w:rPr>
        <w:noBreakHyphen/>
        <w:t xml:space="preserve">sel összefüggő bőrfájdalom csökkenését egy numerikus skála segítségével értékelték azoknál a betegeknél, akik </w:t>
      </w:r>
      <w:r w:rsidR="007A2467" w:rsidRPr="00183B5F">
        <w:rPr>
          <w:color w:val="000000"/>
        </w:rPr>
        <w:t>a</w:t>
      </w:r>
      <w:r w:rsidRPr="00183B5F">
        <w:rPr>
          <w:color w:val="000000"/>
        </w:rPr>
        <w:t xml:space="preserve"> 11 pontos skálán 3 vagy magasabb kiindulási pontszámmal léptek be a vizsgálatba.</w:t>
      </w:r>
    </w:p>
    <w:p w14:paraId="3097A9F6" w14:textId="77777777" w:rsidR="00646964" w:rsidRPr="00183B5F" w:rsidRDefault="00646964" w:rsidP="004062FE">
      <w:pPr>
        <w:spacing w:line="240" w:lineRule="auto"/>
        <w:rPr>
          <w:color w:val="000000"/>
        </w:rPr>
      </w:pPr>
    </w:p>
    <w:p w14:paraId="455FFD8F" w14:textId="77777777" w:rsidR="00646964" w:rsidRPr="00183B5F" w:rsidRDefault="00943743" w:rsidP="004062FE">
      <w:pPr>
        <w:spacing w:line="240" w:lineRule="auto"/>
        <w:rPr>
          <w:color w:val="000000"/>
        </w:rPr>
      </w:pPr>
      <w:r w:rsidRPr="00183B5F">
        <w:rPr>
          <w:color w:val="000000"/>
        </w:rPr>
        <w:t>A 12. héten jelentősen nagyobb volt az aránya azoknak a Humira</w:t>
      </w:r>
      <w:r w:rsidRPr="00183B5F">
        <w:rPr>
          <w:color w:val="000000"/>
        </w:rPr>
        <w:noBreakHyphen/>
        <w:t>val kezelt betegeknek a placebót kapó betegekhez képest, akik elérték a HiSCR-t. A 12. héten a HS</w:t>
      </w:r>
      <w:r w:rsidRPr="00183B5F">
        <w:rPr>
          <w:color w:val="000000"/>
        </w:rPr>
        <w:noBreakHyphen/>
        <w:t>II vizsgálatban résztvevő betegek jelentősen nagyobb arányánál tapasztalt</w:t>
      </w:r>
      <w:r w:rsidR="001C266C" w:rsidRPr="00183B5F">
        <w:rPr>
          <w:color w:val="000000"/>
        </w:rPr>
        <w:t>á</w:t>
      </w:r>
      <w:r w:rsidRPr="00183B5F">
        <w:rPr>
          <w:color w:val="000000"/>
        </w:rPr>
        <w:t>k</w:t>
      </w:r>
      <w:r w:rsidR="001C266C" w:rsidRPr="00183B5F">
        <w:rPr>
          <w:color w:val="000000"/>
        </w:rPr>
        <w:t xml:space="preserve"> a</w:t>
      </w:r>
      <w:r w:rsidRPr="00183B5F">
        <w:rPr>
          <w:color w:val="000000"/>
        </w:rPr>
        <w:t xml:space="preserve"> </w:t>
      </w:r>
      <w:r w:rsidR="005F6A54" w:rsidRPr="00183B5F">
        <w:rPr>
          <w:color w:val="000000"/>
        </w:rPr>
        <w:t xml:space="preserve">HS-sel összefüggő bőrfájdalom </w:t>
      </w:r>
      <w:r w:rsidRPr="00183B5F">
        <w:rPr>
          <w:color w:val="000000"/>
        </w:rPr>
        <w:t>klinikailag jelentős csökkenés</w:t>
      </w:r>
      <w:r w:rsidR="005F6A54" w:rsidRPr="00183B5F">
        <w:rPr>
          <w:color w:val="000000"/>
        </w:rPr>
        <w:t>é</w:t>
      </w:r>
      <w:r w:rsidRPr="00183B5F">
        <w:rPr>
          <w:color w:val="000000"/>
        </w:rPr>
        <w:t xml:space="preserve">t (lásd </w:t>
      </w:r>
      <w:r w:rsidR="007D329A" w:rsidRPr="00183B5F">
        <w:rPr>
          <w:color w:val="000000"/>
        </w:rPr>
        <w:t>19</w:t>
      </w:r>
      <w:r w:rsidRPr="00183B5F">
        <w:rPr>
          <w:color w:val="000000"/>
        </w:rPr>
        <w:t>. táblázat). A Humira</w:t>
      </w:r>
      <w:r w:rsidRPr="00183B5F">
        <w:rPr>
          <w:color w:val="000000"/>
        </w:rPr>
        <w:noBreakHyphen/>
        <w:t>val kezelt betegeknél a kezelés első 12 hete alatt jelentősen lecsökkent a betegség kiújulásának kockázata.</w:t>
      </w:r>
    </w:p>
    <w:p w14:paraId="0E8F43D3" w14:textId="77777777" w:rsidR="00646964" w:rsidRPr="00183B5F" w:rsidRDefault="00646964" w:rsidP="004062FE">
      <w:pPr>
        <w:spacing w:line="240" w:lineRule="auto"/>
        <w:rPr>
          <w:color w:val="000000"/>
        </w:rPr>
      </w:pPr>
    </w:p>
    <w:p w14:paraId="2929A635" w14:textId="77777777" w:rsidR="00646964" w:rsidRPr="00183B5F" w:rsidRDefault="00943743" w:rsidP="004062FE">
      <w:pPr>
        <w:keepNext/>
        <w:spacing w:line="240" w:lineRule="auto"/>
        <w:jc w:val="center"/>
        <w:rPr>
          <w:b/>
          <w:color w:val="000000"/>
        </w:rPr>
      </w:pPr>
      <w:r w:rsidRPr="00183B5F">
        <w:rPr>
          <w:b/>
          <w:color w:val="000000"/>
        </w:rPr>
        <w:t>19. táblázat: Hatékonysági eredmények a 12. </w:t>
      </w:r>
      <w:r w:rsidR="007A2467" w:rsidRPr="00183B5F">
        <w:rPr>
          <w:b/>
          <w:color w:val="000000"/>
        </w:rPr>
        <w:t>h</w:t>
      </w:r>
      <w:r w:rsidRPr="00183B5F">
        <w:rPr>
          <w:b/>
          <w:color w:val="000000"/>
        </w:rPr>
        <w:t>éten, HS</w:t>
      </w:r>
      <w:r w:rsidR="007A2467" w:rsidRPr="00183B5F">
        <w:rPr>
          <w:b/>
          <w:color w:val="000000"/>
        </w:rPr>
        <w:t>-</w:t>
      </w:r>
      <w:r w:rsidRPr="00183B5F">
        <w:rPr>
          <w:b/>
          <w:color w:val="000000"/>
        </w:rPr>
        <w:t>I és II vizsgálat</w:t>
      </w:r>
    </w:p>
    <w:p w14:paraId="3DDA0DB4" w14:textId="77777777" w:rsidR="00646964" w:rsidRPr="00183B5F" w:rsidRDefault="00646964" w:rsidP="004062FE">
      <w:pPr>
        <w:keepNext/>
        <w:spacing w:line="240" w:lineRule="auto"/>
        <w:jc w:val="center"/>
        <w:rPr>
          <w:b/>
          <w:color w:val="000000"/>
        </w:rPr>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011D2F" w14:paraId="5EFE7313" w14:textId="77777777" w:rsidTr="00646964">
        <w:trPr>
          <w:jc w:val="center"/>
        </w:trPr>
        <w:tc>
          <w:tcPr>
            <w:tcW w:w="2847" w:type="dxa"/>
            <w:vMerge w:val="restart"/>
            <w:tcMar>
              <w:top w:w="0" w:type="dxa"/>
              <w:left w:w="115" w:type="dxa"/>
              <w:bottom w:w="0" w:type="dxa"/>
              <w:right w:w="115" w:type="dxa"/>
            </w:tcMar>
            <w:vAlign w:val="bottom"/>
          </w:tcPr>
          <w:p w14:paraId="714C930C" w14:textId="77777777" w:rsidR="00646964" w:rsidRPr="00183B5F" w:rsidRDefault="00646964" w:rsidP="004062FE">
            <w:pPr>
              <w:keepNext/>
              <w:widowControl w:val="0"/>
              <w:spacing w:line="240" w:lineRule="auto"/>
              <w:rPr>
                <w:b/>
              </w:rPr>
            </w:pPr>
          </w:p>
        </w:tc>
        <w:tc>
          <w:tcPr>
            <w:tcW w:w="3186" w:type="dxa"/>
            <w:gridSpan w:val="2"/>
            <w:tcMar>
              <w:top w:w="0" w:type="dxa"/>
              <w:left w:w="115" w:type="dxa"/>
              <w:bottom w:w="0" w:type="dxa"/>
              <w:right w:w="115" w:type="dxa"/>
            </w:tcMar>
            <w:vAlign w:val="bottom"/>
          </w:tcPr>
          <w:p w14:paraId="21B21957" w14:textId="77777777" w:rsidR="00646964" w:rsidRPr="00183B5F" w:rsidRDefault="00943743" w:rsidP="007A2467">
            <w:pPr>
              <w:keepNext/>
              <w:widowControl w:val="0"/>
              <w:spacing w:line="240" w:lineRule="auto"/>
              <w:jc w:val="center"/>
              <w:rPr>
                <w:b/>
                <w:bCs/>
              </w:rPr>
            </w:pPr>
            <w:r w:rsidRPr="00183B5F">
              <w:rPr>
                <w:b/>
                <w:bCs/>
              </w:rPr>
              <w:t>HS</w:t>
            </w:r>
            <w:r w:rsidR="007A2467" w:rsidRPr="00183B5F">
              <w:rPr>
                <w:b/>
                <w:bCs/>
              </w:rPr>
              <w:t>-</w:t>
            </w:r>
            <w:r w:rsidRPr="00183B5F">
              <w:rPr>
                <w:b/>
                <w:bCs/>
              </w:rPr>
              <w:t>I vizsgálat</w:t>
            </w:r>
          </w:p>
        </w:tc>
        <w:tc>
          <w:tcPr>
            <w:tcW w:w="3260" w:type="dxa"/>
            <w:gridSpan w:val="2"/>
            <w:tcMar>
              <w:top w:w="0" w:type="dxa"/>
              <w:left w:w="115" w:type="dxa"/>
              <w:bottom w:w="0" w:type="dxa"/>
              <w:right w:w="115" w:type="dxa"/>
            </w:tcMar>
            <w:vAlign w:val="bottom"/>
          </w:tcPr>
          <w:p w14:paraId="4882DA53" w14:textId="77777777" w:rsidR="00646964" w:rsidRPr="00183B5F" w:rsidRDefault="00943743" w:rsidP="007A2467">
            <w:pPr>
              <w:keepNext/>
              <w:widowControl w:val="0"/>
              <w:spacing w:line="240" w:lineRule="auto"/>
              <w:jc w:val="center"/>
              <w:rPr>
                <w:b/>
                <w:bCs/>
              </w:rPr>
            </w:pPr>
            <w:r w:rsidRPr="00183B5F">
              <w:rPr>
                <w:b/>
                <w:bCs/>
              </w:rPr>
              <w:t>HS</w:t>
            </w:r>
            <w:r w:rsidR="007A2467" w:rsidRPr="00183B5F">
              <w:rPr>
                <w:b/>
                <w:bCs/>
              </w:rPr>
              <w:t>-</w:t>
            </w:r>
            <w:r w:rsidRPr="00183B5F">
              <w:rPr>
                <w:b/>
                <w:bCs/>
              </w:rPr>
              <w:t>II vizsgálat</w:t>
            </w:r>
          </w:p>
        </w:tc>
      </w:tr>
      <w:tr w:rsidR="00011D2F" w14:paraId="572EA9F7" w14:textId="77777777" w:rsidTr="00646964">
        <w:trPr>
          <w:jc w:val="center"/>
        </w:trPr>
        <w:tc>
          <w:tcPr>
            <w:tcW w:w="2847" w:type="dxa"/>
            <w:vMerge/>
            <w:tcMar>
              <w:top w:w="0" w:type="dxa"/>
              <w:left w:w="115" w:type="dxa"/>
              <w:bottom w:w="0" w:type="dxa"/>
              <w:right w:w="115" w:type="dxa"/>
            </w:tcMar>
            <w:vAlign w:val="center"/>
            <w:hideMark/>
          </w:tcPr>
          <w:p w14:paraId="62918055" w14:textId="77777777" w:rsidR="00646964" w:rsidRPr="00183B5F" w:rsidRDefault="00646964" w:rsidP="004062FE">
            <w:pPr>
              <w:keepNext/>
              <w:widowControl w:val="0"/>
              <w:spacing w:line="240" w:lineRule="auto"/>
            </w:pPr>
          </w:p>
        </w:tc>
        <w:tc>
          <w:tcPr>
            <w:tcW w:w="1440" w:type="dxa"/>
            <w:tcMar>
              <w:top w:w="0" w:type="dxa"/>
              <w:left w:w="115" w:type="dxa"/>
              <w:bottom w:w="0" w:type="dxa"/>
              <w:right w:w="115" w:type="dxa"/>
            </w:tcMar>
            <w:vAlign w:val="bottom"/>
            <w:hideMark/>
          </w:tcPr>
          <w:p w14:paraId="02F53452" w14:textId="77777777" w:rsidR="00646964" w:rsidRPr="00183B5F" w:rsidRDefault="00943743" w:rsidP="004062FE">
            <w:pPr>
              <w:keepNext/>
              <w:widowControl w:val="0"/>
              <w:spacing w:line="240" w:lineRule="auto"/>
              <w:jc w:val="center"/>
            </w:pPr>
            <w:r w:rsidRPr="00183B5F">
              <w:rPr>
                <w:b/>
                <w:bCs/>
              </w:rPr>
              <w:t>Placebo</w:t>
            </w:r>
          </w:p>
        </w:tc>
        <w:tc>
          <w:tcPr>
            <w:tcW w:w="1746" w:type="dxa"/>
            <w:tcMar>
              <w:top w:w="0" w:type="dxa"/>
              <w:left w:w="115" w:type="dxa"/>
              <w:bottom w:w="0" w:type="dxa"/>
              <w:right w:w="115" w:type="dxa"/>
            </w:tcMar>
            <w:vAlign w:val="bottom"/>
            <w:hideMark/>
          </w:tcPr>
          <w:p w14:paraId="13E4CF6F" w14:textId="77777777" w:rsidR="00646964" w:rsidRPr="00183B5F" w:rsidRDefault="00943743" w:rsidP="007A2467">
            <w:pPr>
              <w:keepNext/>
              <w:widowControl w:val="0"/>
              <w:spacing w:line="240" w:lineRule="auto"/>
              <w:jc w:val="center"/>
              <w:rPr>
                <w:b/>
                <w:bCs/>
              </w:rPr>
            </w:pPr>
            <w:r w:rsidRPr="00183B5F">
              <w:rPr>
                <w:b/>
                <w:bCs/>
              </w:rPr>
              <w:t>Humira 40</w:t>
            </w:r>
            <w:r w:rsidR="006D1109" w:rsidRPr="00183B5F">
              <w:rPr>
                <w:b/>
                <w:bCs/>
              </w:rPr>
              <w:t> </w:t>
            </w:r>
            <w:r w:rsidRPr="00183B5F">
              <w:rPr>
                <w:b/>
                <w:bCs/>
              </w:rPr>
              <w:t xml:space="preserve">mg </w:t>
            </w:r>
            <w:r w:rsidR="007A2467" w:rsidRPr="00183B5F">
              <w:rPr>
                <w:b/>
                <w:bCs/>
              </w:rPr>
              <w:t>h</w:t>
            </w:r>
            <w:r w:rsidRPr="00183B5F">
              <w:rPr>
                <w:b/>
                <w:bCs/>
              </w:rPr>
              <w:t>etente</w:t>
            </w:r>
          </w:p>
        </w:tc>
        <w:tc>
          <w:tcPr>
            <w:tcW w:w="1404" w:type="dxa"/>
            <w:tcMar>
              <w:top w:w="0" w:type="dxa"/>
              <w:left w:w="115" w:type="dxa"/>
              <w:bottom w:w="0" w:type="dxa"/>
              <w:right w:w="115" w:type="dxa"/>
            </w:tcMar>
            <w:vAlign w:val="bottom"/>
            <w:hideMark/>
          </w:tcPr>
          <w:p w14:paraId="4BF69E28" w14:textId="77777777" w:rsidR="00646964" w:rsidRPr="00183B5F" w:rsidRDefault="00943743" w:rsidP="004062FE">
            <w:pPr>
              <w:keepNext/>
              <w:widowControl w:val="0"/>
              <w:spacing w:line="240" w:lineRule="auto"/>
              <w:jc w:val="center"/>
              <w:rPr>
                <w:b/>
                <w:bCs/>
              </w:rPr>
            </w:pPr>
            <w:r w:rsidRPr="00183B5F">
              <w:rPr>
                <w:b/>
                <w:bCs/>
              </w:rPr>
              <w:t xml:space="preserve">Placebo </w:t>
            </w:r>
          </w:p>
        </w:tc>
        <w:tc>
          <w:tcPr>
            <w:tcW w:w="1856" w:type="dxa"/>
            <w:tcMar>
              <w:top w:w="0" w:type="dxa"/>
              <w:left w:w="115" w:type="dxa"/>
              <w:bottom w:w="0" w:type="dxa"/>
              <w:right w:w="115" w:type="dxa"/>
            </w:tcMar>
            <w:vAlign w:val="bottom"/>
            <w:hideMark/>
          </w:tcPr>
          <w:p w14:paraId="4F1E444A" w14:textId="77777777" w:rsidR="00646964" w:rsidRPr="00183B5F" w:rsidRDefault="00943743" w:rsidP="007A2467">
            <w:pPr>
              <w:keepNext/>
              <w:widowControl w:val="0"/>
              <w:spacing w:line="240" w:lineRule="auto"/>
              <w:jc w:val="center"/>
              <w:rPr>
                <w:b/>
                <w:bCs/>
              </w:rPr>
            </w:pPr>
            <w:r w:rsidRPr="00183B5F">
              <w:rPr>
                <w:b/>
                <w:bCs/>
              </w:rPr>
              <w:t>Humira 40</w:t>
            </w:r>
            <w:r w:rsidR="006D1109" w:rsidRPr="00183B5F">
              <w:rPr>
                <w:b/>
                <w:bCs/>
              </w:rPr>
              <w:t> </w:t>
            </w:r>
            <w:r w:rsidRPr="00183B5F">
              <w:rPr>
                <w:b/>
                <w:bCs/>
              </w:rPr>
              <w:t xml:space="preserve">mg </w:t>
            </w:r>
            <w:r w:rsidR="007A2467" w:rsidRPr="00183B5F">
              <w:rPr>
                <w:b/>
                <w:bCs/>
              </w:rPr>
              <w:t>h</w:t>
            </w:r>
            <w:r w:rsidRPr="00183B5F">
              <w:rPr>
                <w:b/>
                <w:bCs/>
              </w:rPr>
              <w:t>etente</w:t>
            </w:r>
          </w:p>
        </w:tc>
      </w:tr>
      <w:tr w:rsidR="00011D2F" w14:paraId="0F7F844A" w14:textId="77777777" w:rsidTr="00646964">
        <w:trPr>
          <w:trHeight w:val="755"/>
          <w:jc w:val="center"/>
        </w:trPr>
        <w:tc>
          <w:tcPr>
            <w:tcW w:w="2847" w:type="dxa"/>
            <w:tcMar>
              <w:top w:w="0" w:type="dxa"/>
              <w:left w:w="115" w:type="dxa"/>
              <w:bottom w:w="0" w:type="dxa"/>
              <w:right w:w="115" w:type="dxa"/>
            </w:tcMar>
            <w:vAlign w:val="center"/>
            <w:hideMark/>
          </w:tcPr>
          <w:p w14:paraId="343B55D4" w14:textId="77777777" w:rsidR="00646964" w:rsidRPr="00183B5F" w:rsidRDefault="00943743" w:rsidP="004062FE">
            <w:pPr>
              <w:keepNext/>
              <w:widowControl w:val="0"/>
              <w:spacing w:line="240" w:lineRule="auto"/>
            </w:pPr>
            <w:r w:rsidRPr="00183B5F">
              <w:t xml:space="preserve">Hidradenitis suppurativa klinikai </w:t>
            </w:r>
            <w:r w:rsidR="007A2467" w:rsidRPr="00183B5F">
              <w:t>v</w:t>
            </w:r>
            <w:r w:rsidRPr="00183B5F">
              <w:t>álasz (HiSCR)</w:t>
            </w:r>
            <w:r w:rsidRPr="00183B5F">
              <w:rPr>
                <w:vertAlign w:val="superscript"/>
              </w:rPr>
              <w:t>a</w:t>
            </w:r>
            <w:r w:rsidRPr="00183B5F">
              <w:t xml:space="preserve"> </w:t>
            </w:r>
          </w:p>
          <w:p w14:paraId="63586B79" w14:textId="77777777" w:rsidR="00646964" w:rsidRPr="00183B5F" w:rsidRDefault="00646964" w:rsidP="004062FE">
            <w:pPr>
              <w:keepNext/>
              <w:widowControl w:val="0"/>
              <w:spacing w:line="240" w:lineRule="auto"/>
            </w:pPr>
          </w:p>
        </w:tc>
        <w:tc>
          <w:tcPr>
            <w:tcW w:w="1440" w:type="dxa"/>
            <w:tcMar>
              <w:top w:w="0" w:type="dxa"/>
              <w:left w:w="115" w:type="dxa"/>
              <w:bottom w:w="0" w:type="dxa"/>
              <w:right w:w="115" w:type="dxa"/>
            </w:tcMar>
            <w:hideMark/>
          </w:tcPr>
          <w:p w14:paraId="521FE968" w14:textId="77777777" w:rsidR="00646964" w:rsidRPr="00183B5F" w:rsidRDefault="00943743" w:rsidP="004062FE">
            <w:pPr>
              <w:keepNext/>
              <w:widowControl w:val="0"/>
              <w:spacing w:line="240" w:lineRule="auto"/>
              <w:jc w:val="center"/>
            </w:pPr>
            <w:r w:rsidRPr="00183B5F">
              <w:t>N</w:t>
            </w:r>
            <w:r w:rsidR="006D1109" w:rsidRPr="00183B5F">
              <w:t> </w:t>
            </w:r>
            <w:r w:rsidRPr="00183B5F">
              <w:t>=</w:t>
            </w:r>
            <w:r w:rsidR="006D1109" w:rsidRPr="00183B5F">
              <w:t> </w:t>
            </w:r>
            <w:r w:rsidRPr="00183B5F">
              <w:t>154</w:t>
            </w:r>
            <w:r w:rsidRPr="00183B5F">
              <w:br/>
              <w:t>40 (26,0%)</w:t>
            </w:r>
          </w:p>
        </w:tc>
        <w:tc>
          <w:tcPr>
            <w:tcW w:w="1746" w:type="dxa"/>
            <w:tcMar>
              <w:top w:w="0" w:type="dxa"/>
              <w:left w:w="115" w:type="dxa"/>
              <w:bottom w:w="0" w:type="dxa"/>
              <w:right w:w="115" w:type="dxa"/>
            </w:tcMar>
            <w:hideMark/>
          </w:tcPr>
          <w:p w14:paraId="2D4A1C90" w14:textId="77777777" w:rsidR="00646964" w:rsidRPr="00183B5F" w:rsidRDefault="00943743" w:rsidP="004062FE">
            <w:pPr>
              <w:keepNext/>
              <w:widowControl w:val="0"/>
              <w:spacing w:line="240" w:lineRule="auto"/>
              <w:jc w:val="center"/>
            </w:pPr>
            <w:r w:rsidRPr="00183B5F">
              <w:t>N</w:t>
            </w:r>
            <w:r w:rsidR="006D1109" w:rsidRPr="00183B5F">
              <w:t> </w:t>
            </w:r>
            <w:r w:rsidRPr="00183B5F">
              <w:t>=</w:t>
            </w:r>
            <w:r w:rsidR="006D1109" w:rsidRPr="00183B5F">
              <w:t> </w:t>
            </w:r>
            <w:r w:rsidRPr="00183B5F">
              <w:t>153</w:t>
            </w:r>
            <w:r w:rsidRPr="00183B5F">
              <w:br/>
              <w:t xml:space="preserve">64 (41,8%) </w:t>
            </w:r>
            <w:r w:rsidRPr="00183B5F">
              <w:rPr>
                <w:vertAlign w:val="superscript"/>
              </w:rPr>
              <w:t>*</w:t>
            </w:r>
          </w:p>
        </w:tc>
        <w:tc>
          <w:tcPr>
            <w:tcW w:w="1404" w:type="dxa"/>
            <w:tcMar>
              <w:top w:w="0" w:type="dxa"/>
              <w:left w:w="115" w:type="dxa"/>
              <w:bottom w:w="0" w:type="dxa"/>
              <w:right w:w="115" w:type="dxa"/>
            </w:tcMar>
          </w:tcPr>
          <w:p w14:paraId="0F369BBA" w14:textId="77777777" w:rsidR="00646964" w:rsidRPr="00183B5F" w:rsidRDefault="00943743" w:rsidP="004062FE">
            <w:pPr>
              <w:keepNext/>
              <w:widowControl w:val="0"/>
              <w:spacing w:line="240" w:lineRule="auto"/>
              <w:jc w:val="center"/>
            </w:pPr>
            <w:r w:rsidRPr="00183B5F">
              <w:t>N</w:t>
            </w:r>
            <w:r w:rsidR="00A05BD2" w:rsidRPr="00183B5F">
              <w:t> </w:t>
            </w:r>
            <w:r w:rsidRPr="00183B5F">
              <w:t>=</w:t>
            </w:r>
            <w:r w:rsidR="00A05BD2" w:rsidRPr="00183B5F">
              <w:t> </w:t>
            </w:r>
            <w:r w:rsidRPr="00183B5F">
              <w:t>163</w:t>
            </w:r>
          </w:p>
          <w:p w14:paraId="3D00F920" w14:textId="77777777" w:rsidR="00646964" w:rsidRPr="00183B5F" w:rsidRDefault="00943743" w:rsidP="004062FE">
            <w:pPr>
              <w:keepNext/>
              <w:widowControl w:val="0"/>
              <w:spacing w:line="240" w:lineRule="auto"/>
              <w:jc w:val="center"/>
            </w:pPr>
            <w:r w:rsidRPr="00183B5F">
              <w:t>45 (27,6%)</w:t>
            </w:r>
          </w:p>
        </w:tc>
        <w:tc>
          <w:tcPr>
            <w:tcW w:w="1856" w:type="dxa"/>
            <w:tcMar>
              <w:top w:w="0" w:type="dxa"/>
              <w:left w:w="115" w:type="dxa"/>
              <w:bottom w:w="0" w:type="dxa"/>
              <w:right w:w="115" w:type="dxa"/>
            </w:tcMar>
          </w:tcPr>
          <w:p w14:paraId="69621032" w14:textId="77777777" w:rsidR="00646964" w:rsidRPr="00183B5F" w:rsidRDefault="00943743" w:rsidP="004062FE">
            <w:pPr>
              <w:keepNext/>
              <w:widowControl w:val="0"/>
              <w:spacing w:line="240" w:lineRule="auto"/>
              <w:jc w:val="center"/>
            </w:pPr>
            <w:r w:rsidRPr="00183B5F">
              <w:t>N</w:t>
            </w:r>
            <w:r w:rsidR="00A05BD2" w:rsidRPr="00183B5F">
              <w:t> </w:t>
            </w:r>
            <w:r w:rsidRPr="00183B5F">
              <w:t>=</w:t>
            </w:r>
            <w:r w:rsidR="00A05BD2" w:rsidRPr="00183B5F">
              <w:t> </w:t>
            </w:r>
            <w:r w:rsidRPr="00183B5F">
              <w:t>163</w:t>
            </w:r>
          </w:p>
          <w:p w14:paraId="72144A9E" w14:textId="77777777" w:rsidR="00646964" w:rsidRPr="00183B5F" w:rsidRDefault="00943743" w:rsidP="004062FE">
            <w:pPr>
              <w:keepNext/>
              <w:widowControl w:val="0"/>
              <w:spacing w:line="240" w:lineRule="auto"/>
              <w:jc w:val="center"/>
            </w:pPr>
            <w:r w:rsidRPr="00183B5F">
              <w:t xml:space="preserve">96 (58,9%) </w:t>
            </w:r>
            <w:r w:rsidRPr="00183B5F">
              <w:rPr>
                <w:vertAlign w:val="superscript"/>
              </w:rPr>
              <w:t>***</w:t>
            </w:r>
          </w:p>
        </w:tc>
      </w:tr>
      <w:tr w:rsidR="00011D2F" w14:paraId="022C78CF" w14:textId="77777777" w:rsidTr="00646964">
        <w:trPr>
          <w:jc w:val="center"/>
        </w:trPr>
        <w:tc>
          <w:tcPr>
            <w:tcW w:w="2847" w:type="dxa"/>
            <w:tcMar>
              <w:top w:w="0" w:type="dxa"/>
              <w:left w:w="115" w:type="dxa"/>
              <w:bottom w:w="0" w:type="dxa"/>
              <w:right w:w="115" w:type="dxa"/>
            </w:tcMar>
            <w:vAlign w:val="center"/>
            <w:hideMark/>
          </w:tcPr>
          <w:p w14:paraId="2A02CC26" w14:textId="77777777" w:rsidR="00646964" w:rsidRPr="00183B5F" w:rsidRDefault="00943743" w:rsidP="004062FE">
            <w:pPr>
              <w:widowControl w:val="0"/>
              <w:spacing w:line="240" w:lineRule="auto"/>
            </w:pPr>
            <w:r w:rsidRPr="00183B5F">
              <w:t>≥30%-os bőrfájdalom csökkenés</w:t>
            </w:r>
            <w:r w:rsidR="007A2467" w:rsidRPr="00183B5F">
              <w:rPr>
                <w:vertAlign w:val="superscript"/>
              </w:rPr>
              <w:t>b</w:t>
            </w:r>
          </w:p>
        </w:tc>
        <w:tc>
          <w:tcPr>
            <w:tcW w:w="1440" w:type="dxa"/>
            <w:tcMar>
              <w:top w:w="0" w:type="dxa"/>
              <w:left w:w="115" w:type="dxa"/>
              <w:bottom w:w="0" w:type="dxa"/>
              <w:right w:w="115" w:type="dxa"/>
            </w:tcMar>
            <w:hideMark/>
          </w:tcPr>
          <w:p w14:paraId="485E894C" w14:textId="77777777" w:rsidR="00646964" w:rsidRPr="00183B5F" w:rsidRDefault="00943743" w:rsidP="004062FE">
            <w:pPr>
              <w:widowControl w:val="0"/>
              <w:spacing w:line="240" w:lineRule="auto"/>
              <w:jc w:val="center"/>
            </w:pPr>
            <w:r w:rsidRPr="00183B5F">
              <w:t>N</w:t>
            </w:r>
            <w:r w:rsidR="006D1109" w:rsidRPr="00183B5F">
              <w:t> </w:t>
            </w:r>
            <w:r w:rsidRPr="00183B5F">
              <w:t>=</w:t>
            </w:r>
            <w:r w:rsidR="006D1109" w:rsidRPr="00183B5F">
              <w:t> </w:t>
            </w:r>
            <w:r w:rsidRPr="00183B5F">
              <w:t>109</w:t>
            </w:r>
            <w:r w:rsidRPr="00183B5F">
              <w:br/>
              <w:t>27 (24,8%)</w:t>
            </w:r>
          </w:p>
        </w:tc>
        <w:tc>
          <w:tcPr>
            <w:tcW w:w="1746" w:type="dxa"/>
            <w:tcMar>
              <w:top w:w="0" w:type="dxa"/>
              <w:left w:w="115" w:type="dxa"/>
              <w:bottom w:w="0" w:type="dxa"/>
              <w:right w:w="115" w:type="dxa"/>
            </w:tcMar>
            <w:hideMark/>
          </w:tcPr>
          <w:p w14:paraId="6DC60AFD" w14:textId="77777777" w:rsidR="00646964" w:rsidRPr="00183B5F" w:rsidRDefault="00943743" w:rsidP="004062FE">
            <w:pPr>
              <w:widowControl w:val="0"/>
              <w:spacing w:line="240" w:lineRule="auto"/>
              <w:jc w:val="center"/>
            </w:pPr>
            <w:r w:rsidRPr="00183B5F">
              <w:t>N</w:t>
            </w:r>
            <w:r w:rsidR="006D1109" w:rsidRPr="00183B5F">
              <w:t> </w:t>
            </w:r>
            <w:r w:rsidRPr="00183B5F">
              <w:t>=</w:t>
            </w:r>
            <w:r w:rsidR="006D1109" w:rsidRPr="00183B5F">
              <w:t> </w:t>
            </w:r>
            <w:r w:rsidRPr="00183B5F">
              <w:t>122</w:t>
            </w:r>
            <w:r w:rsidRPr="00183B5F">
              <w:br/>
              <w:t>34 (27,9%)</w:t>
            </w:r>
          </w:p>
        </w:tc>
        <w:tc>
          <w:tcPr>
            <w:tcW w:w="1404" w:type="dxa"/>
            <w:tcMar>
              <w:top w:w="0" w:type="dxa"/>
              <w:left w:w="115" w:type="dxa"/>
              <w:bottom w:w="0" w:type="dxa"/>
              <w:right w:w="115" w:type="dxa"/>
            </w:tcMar>
          </w:tcPr>
          <w:p w14:paraId="61A078B4" w14:textId="77777777" w:rsidR="00646964" w:rsidRPr="00183B5F" w:rsidRDefault="00943743" w:rsidP="004062FE">
            <w:pPr>
              <w:widowControl w:val="0"/>
              <w:spacing w:line="240" w:lineRule="auto"/>
              <w:jc w:val="center"/>
            </w:pPr>
            <w:r w:rsidRPr="00183B5F">
              <w:t>N</w:t>
            </w:r>
            <w:r w:rsidR="00A05BD2" w:rsidRPr="00183B5F">
              <w:t> </w:t>
            </w:r>
            <w:r w:rsidRPr="00183B5F">
              <w:t>=</w:t>
            </w:r>
            <w:r w:rsidR="00A05BD2" w:rsidRPr="00183B5F">
              <w:t> </w:t>
            </w:r>
            <w:r w:rsidRPr="00183B5F">
              <w:t>111</w:t>
            </w:r>
          </w:p>
          <w:p w14:paraId="644387B3" w14:textId="77777777" w:rsidR="00646964" w:rsidRPr="00183B5F" w:rsidRDefault="00943743" w:rsidP="004062FE">
            <w:pPr>
              <w:widowControl w:val="0"/>
              <w:spacing w:line="240" w:lineRule="auto"/>
              <w:jc w:val="center"/>
            </w:pPr>
            <w:r w:rsidRPr="00183B5F">
              <w:t>23 (20,7%)</w:t>
            </w:r>
          </w:p>
        </w:tc>
        <w:tc>
          <w:tcPr>
            <w:tcW w:w="1856" w:type="dxa"/>
            <w:tcMar>
              <w:top w:w="0" w:type="dxa"/>
              <w:left w:w="115" w:type="dxa"/>
              <w:bottom w:w="0" w:type="dxa"/>
              <w:right w:w="115" w:type="dxa"/>
            </w:tcMar>
          </w:tcPr>
          <w:p w14:paraId="0DB9D6F7" w14:textId="77777777" w:rsidR="00646964" w:rsidRPr="00183B5F" w:rsidRDefault="00943743" w:rsidP="004062FE">
            <w:pPr>
              <w:widowControl w:val="0"/>
              <w:spacing w:line="240" w:lineRule="auto"/>
              <w:jc w:val="center"/>
            </w:pPr>
            <w:r w:rsidRPr="00183B5F">
              <w:t>N</w:t>
            </w:r>
            <w:r w:rsidR="00A05BD2" w:rsidRPr="00183B5F">
              <w:t> </w:t>
            </w:r>
            <w:r w:rsidRPr="00183B5F">
              <w:t>=</w:t>
            </w:r>
            <w:r w:rsidR="00A05BD2" w:rsidRPr="00183B5F">
              <w:t> </w:t>
            </w:r>
            <w:r w:rsidRPr="00183B5F">
              <w:t>105</w:t>
            </w:r>
          </w:p>
          <w:p w14:paraId="2D787BA7" w14:textId="77777777" w:rsidR="00646964" w:rsidRPr="00183B5F" w:rsidRDefault="00943743" w:rsidP="004062FE">
            <w:pPr>
              <w:widowControl w:val="0"/>
              <w:spacing w:line="240" w:lineRule="auto"/>
              <w:jc w:val="center"/>
            </w:pPr>
            <w:r w:rsidRPr="00183B5F">
              <w:t xml:space="preserve">48 (45,7%) </w:t>
            </w:r>
            <w:r w:rsidRPr="00183B5F">
              <w:rPr>
                <w:vertAlign w:val="superscript"/>
              </w:rPr>
              <w:t>***</w:t>
            </w:r>
          </w:p>
        </w:tc>
      </w:tr>
      <w:tr w:rsidR="00011D2F" w14:paraId="60C93531" w14:textId="77777777" w:rsidTr="00646964">
        <w:trPr>
          <w:jc w:val="center"/>
        </w:trPr>
        <w:tc>
          <w:tcPr>
            <w:tcW w:w="9293" w:type="dxa"/>
            <w:gridSpan w:val="5"/>
            <w:tcMar>
              <w:top w:w="0" w:type="dxa"/>
              <w:left w:w="115" w:type="dxa"/>
              <w:bottom w:w="0" w:type="dxa"/>
              <w:right w:w="115" w:type="dxa"/>
            </w:tcMar>
            <w:vAlign w:val="center"/>
          </w:tcPr>
          <w:p w14:paraId="7F234715" w14:textId="77777777" w:rsidR="00646964" w:rsidRPr="00183B5F" w:rsidRDefault="00943743" w:rsidP="004062FE">
            <w:pPr>
              <w:keepNext/>
              <w:widowControl w:val="0"/>
              <w:spacing w:line="240" w:lineRule="auto"/>
              <w:ind w:left="360"/>
            </w:pPr>
            <w:r w:rsidRPr="00183B5F">
              <w:t xml:space="preserve">* </w:t>
            </w:r>
            <w:r w:rsidRPr="00183B5F">
              <w:rPr>
                <w:i/>
              </w:rPr>
              <w:t>P</w:t>
            </w:r>
            <w:r w:rsidRPr="00183B5F">
              <w:t xml:space="preserve"> &lt; 0</w:t>
            </w:r>
            <w:r w:rsidR="00A05BD2" w:rsidRPr="00183B5F">
              <w:t>,</w:t>
            </w:r>
            <w:r w:rsidRPr="00183B5F">
              <w:t>05, ***</w:t>
            </w:r>
            <w:r w:rsidRPr="00183B5F">
              <w:rPr>
                <w:i/>
              </w:rPr>
              <w:t xml:space="preserve">P </w:t>
            </w:r>
            <w:r w:rsidRPr="00183B5F">
              <w:t>&lt; 0</w:t>
            </w:r>
            <w:r w:rsidR="00A05BD2" w:rsidRPr="00183B5F">
              <w:t>,</w:t>
            </w:r>
            <w:r w:rsidRPr="00183B5F">
              <w:t xml:space="preserve">001, Humira versus placebo </w:t>
            </w:r>
          </w:p>
          <w:p w14:paraId="076ADF14" w14:textId="77777777" w:rsidR="00646964" w:rsidRPr="00183B5F" w:rsidRDefault="00943743" w:rsidP="004062FE">
            <w:pPr>
              <w:keepNext/>
              <w:keepLines/>
              <w:widowControl w:val="0"/>
              <w:suppressAutoHyphens w:val="0"/>
              <w:spacing w:line="240" w:lineRule="auto"/>
            </w:pPr>
            <w:r w:rsidRPr="00183B5F">
              <w:rPr>
                <w:vertAlign w:val="superscript"/>
              </w:rPr>
              <w:t>a</w:t>
            </w:r>
            <w:r w:rsidRPr="00183B5F">
              <w:rPr>
                <w:color w:val="000000"/>
              </w:rPr>
              <w:t xml:space="preserve">      Az összes randomizált betegnél</w:t>
            </w:r>
            <w:r w:rsidRPr="00183B5F">
              <w:t>.</w:t>
            </w:r>
          </w:p>
          <w:p w14:paraId="29FCC2C8" w14:textId="77777777" w:rsidR="00646964" w:rsidRPr="00183B5F" w:rsidRDefault="00943743" w:rsidP="007A2467">
            <w:pPr>
              <w:suppressAutoHyphens w:val="0"/>
              <w:spacing w:line="240" w:lineRule="auto"/>
              <w:textAlignment w:val="baseline"/>
            </w:pPr>
            <w:r w:rsidRPr="00183B5F">
              <w:rPr>
                <w:vertAlign w:val="superscript"/>
              </w:rPr>
              <w:t>b</w:t>
            </w:r>
            <w:r w:rsidRPr="00183B5F">
              <w:rPr>
                <w:color w:val="000000"/>
              </w:rPr>
              <w:t xml:space="preserve">      Azoknál a betegeknél, akiknél a vizsgálat megkezdésekor a HS</w:t>
            </w:r>
            <w:r w:rsidRPr="00183B5F">
              <w:rPr>
                <w:color w:val="000000"/>
              </w:rPr>
              <w:noBreakHyphen/>
              <w:t>sel összefüggő bőrfájdalom értéke ≥</w:t>
            </w:r>
            <w:r w:rsidR="00A05BD2" w:rsidRPr="00183B5F">
              <w:rPr>
                <w:color w:val="000000"/>
              </w:rPr>
              <w:t> </w:t>
            </w:r>
            <w:r w:rsidRPr="00183B5F">
              <w:rPr>
                <w:color w:val="000000"/>
              </w:rPr>
              <w:t>3 a 0</w:t>
            </w:r>
            <w:r w:rsidRPr="00183B5F">
              <w:rPr>
                <w:color w:val="000000"/>
              </w:rPr>
              <w:noBreakHyphen/>
              <w:t>10</w:t>
            </w:r>
            <w:r w:rsidRPr="00183B5F">
              <w:rPr>
                <w:color w:val="000000"/>
              </w:rPr>
              <w:noBreakHyphen/>
              <w:t xml:space="preserve">ig terjedő Numerikus </w:t>
            </w:r>
            <w:r w:rsidR="00EC6F0C" w:rsidRPr="00183B5F">
              <w:rPr>
                <w:color w:val="000000"/>
              </w:rPr>
              <w:t>s</w:t>
            </w:r>
            <w:r w:rsidRPr="00183B5F">
              <w:rPr>
                <w:color w:val="000000"/>
              </w:rPr>
              <w:t>kála alapján: 0</w:t>
            </w:r>
            <w:r w:rsidR="006D1109" w:rsidRPr="00183B5F">
              <w:rPr>
                <w:color w:val="000000"/>
              </w:rPr>
              <w:t> </w:t>
            </w:r>
            <w:r w:rsidRPr="00183B5F">
              <w:rPr>
                <w:color w:val="000000"/>
              </w:rPr>
              <w:t>=</w:t>
            </w:r>
            <w:r w:rsidR="006D1109" w:rsidRPr="00183B5F">
              <w:rPr>
                <w:color w:val="000000"/>
              </w:rPr>
              <w:t> </w:t>
            </w:r>
            <w:r w:rsidR="00955700" w:rsidRPr="00183B5F">
              <w:rPr>
                <w:color w:val="000000"/>
              </w:rPr>
              <w:t xml:space="preserve">nincs </w:t>
            </w:r>
            <w:r w:rsidRPr="00183B5F">
              <w:rPr>
                <w:color w:val="000000"/>
              </w:rPr>
              <w:t>bőrfájdalom, 10</w:t>
            </w:r>
            <w:r w:rsidR="006D1109" w:rsidRPr="00183B5F">
              <w:rPr>
                <w:color w:val="000000"/>
              </w:rPr>
              <w:t> </w:t>
            </w:r>
            <w:r w:rsidRPr="00183B5F">
              <w:rPr>
                <w:color w:val="000000"/>
              </w:rPr>
              <w:t>=</w:t>
            </w:r>
            <w:r w:rsidR="006D1109" w:rsidRPr="00183B5F">
              <w:rPr>
                <w:color w:val="000000"/>
              </w:rPr>
              <w:t> </w:t>
            </w:r>
            <w:r w:rsidRPr="00183B5F">
              <w:rPr>
                <w:color w:val="000000"/>
              </w:rPr>
              <w:t>olyan súlyos bőrfájdalom, amit csak el lehet képzelni</w:t>
            </w:r>
            <w:r w:rsidRPr="00183B5F">
              <w:t>.</w:t>
            </w:r>
          </w:p>
        </w:tc>
      </w:tr>
    </w:tbl>
    <w:p w14:paraId="220A7E08" w14:textId="77777777" w:rsidR="00646964" w:rsidRPr="00183B5F" w:rsidRDefault="00646964" w:rsidP="004062FE">
      <w:pPr>
        <w:spacing w:line="240" w:lineRule="auto"/>
        <w:jc w:val="center"/>
        <w:rPr>
          <w:b/>
          <w:color w:val="000000"/>
        </w:rPr>
      </w:pPr>
    </w:p>
    <w:p w14:paraId="0791BB99" w14:textId="77777777" w:rsidR="00646964" w:rsidRPr="00183B5F" w:rsidRDefault="00943743" w:rsidP="004062FE">
      <w:pPr>
        <w:spacing w:line="240" w:lineRule="auto"/>
        <w:rPr>
          <w:color w:val="000000"/>
        </w:rPr>
      </w:pPr>
      <w:r w:rsidRPr="00183B5F">
        <w:rPr>
          <w:color w:val="000000"/>
        </w:rPr>
        <w:t>A minden héten 40 mg Humira adagolásán alapuló kezelés jelentősen lecsökkentette a tályogok és váladékozó fistulák romlásának kockázatát. A HS</w:t>
      </w:r>
      <w:r w:rsidR="007A2467" w:rsidRPr="00183B5F">
        <w:rPr>
          <w:color w:val="000000"/>
        </w:rPr>
        <w:t>-</w:t>
      </w:r>
      <w:r w:rsidRPr="00183B5F">
        <w:rPr>
          <w:color w:val="000000"/>
        </w:rPr>
        <w:t>I ésHS</w:t>
      </w:r>
      <w:r w:rsidR="007A2467" w:rsidRPr="00183B5F">
        <w:rPr>
          <w:color w:val="000000"/>
        </w:rPr>
        <w:t>-</w:t>
      </w:r>
      <w:r w:rsidRPr="00183B5F">
        <w:rPr>
          <w:color w:val="000000"/>
        </w:rPr>
        <w:t>II vizsgálat első 12 hetében megközelítőleg kétszer annyi, a placebocsoportba tartozó betegnél tapasztaltak romló tályogokat (23,0% vs 11,4%) és váladékozó fistulák (30,0% vs 13,9%), mint a Humira csoport betegeinél.</w:t>
      </w:r>
    </w:p>
    <w:p w14:paraId="7CD68304" w14:textId="77777777" w:rsidR="00646964" w:rsidRPr="00183B5F" w:rsidRDefault="00646964" w:rsidP="004062FE">
      <w:pPr>
        <w:spacing w:line="240" w:lineRule="auto"/>
        <w:rPr>
          <w:color w:val="000000"/>
        </w:rPr>
      </w:pPr>
    </w:p>
    <w:p w14:paraId="4C6D37A0" w14:textId="77777777" w:rsidR="00646964" w:rsidRPr="00183B5F" w:rsidRDefault="00943743" w:rsidP="004062FE">
      <w:pPr>
        <w:spacing w:line="240" w:lineRule="auto"/>
        <w:rPr>
          <w:color w:val="000000"/>
        </w:rPr>
      </w:pPr>
      <w:r w:rsidRPr="00183B5F">
        <w:rPr>
          <w:color w:val="000000"/>
        </w:rPr>
        <w:t>A bőr</w:t>
      </w:r>
      <w:r w:rsidRPr="00183B5F">
        <w:rPr>
          <w:color w:val="000000"/>
        </w:rPr>
        <w:noBreakHyphen/>
        <w:t>specifikus egészséggel kapcsolatos életminőségben bekövetkező számottevő javulást mutattak ki a placebóhoz képest a 12. héten a kiindulási értékéhez képest a Dermatológiai Élet Minőség Index</w:t>
      </w:r>
      <w:r w:rsidRPr="00183B5F">
        <w:rPr>
          <w:color w:val="000000"/>
        </w:rPr>
        <w:noBreakHyphen/>
        <w:t>szel (DLQI; HS</w:t>
      </w:r>
      <w:r w:rsidRPr="00183B5F">
        <w:rPr>
          <w:color w:val="000000"/>
        </w:rPr>
        <w:noBreakHyphen/>
        <w:t>I és HS</w:t>
      </w:r>
      <w:r w:rsidRPr="00183B5F">
        <w:rPr>
          <w:color w:val="000000"/>
        </w:rPr>
        <w:noBreakHyphen/>
        <w:t>II vizsgálat), a beteg gyógyszeres kezeléssel való általános megelégedettségében a Kezelési Elégedettségi Kérdőív – gyógyszerelés részével (TSQM, HS</w:t>
      </w:r>
      <w:r w:rsidR="00A31C6A" w:rsidRPr="00183B5F">
        <w:rPr>
          <w:color w:val="000000"/>
        </w:rPr>
        <w:noBreakHyphen/>
      </w:r>
      <w:r w:rsidRPr="00183B5F">
        <w:rPr>
          <w:color w:val="000000"/>
        </w:rPr>
        <w:t>I és HS</w:t>
      </w:r>
      <w:r w:rsidR="00A31C6A" w:rsidRPr="00183B5F">
        <w:rPr>
          <w:color w:val="000000"/>
        </w:rPr>
        <w:noBreakHyphen/>
      </w:r>
      <w:r w:rsidRPr="00183B5F">
        <w:rPr>
          <w:color w:val="000000"/>
        </w:rPr>
        <w:t>II vizsgálatok) és a fizikai egészségben az SF</w:t>
      </w:r>
      <w:r w:rsidRPr="00183B5F">
        <w:rPr>
          <w:color w:val="000000"/>
        </w:rPr>
        <w:noBreakHyphen/>
        <w:t>36 fizikai komponens összefoglaló pontszám által (HS</w:t>
      </w:r>
      <w:r w:rsidRPr="00183B5F">
        <w:rPr>
          <w:color w:val="000000"/>
        </w:rPr>
        <w:noBreakHyphen/>
        <w:t>I vizsgálat).</w:t>
      </w:r>
    </w:p>
    <w:p w14:paraId="14FBC2AE" w14:textId="77777777" w:rsidR="00646964" w:rsidRPr="00183B5F" w:rsidRDefault="00646964" w:rsidP="004062FE">
      <w:pPr>
        <w:spacing w:line="240" w:lineRule="auto"/>
        <w:rPr>
          <w:color w:val="000000"/>
        </w:rPr>
      </w:pPr>
    </w:p>
    <w:p w14:paraId="1968409D" w14:textId="77777777" w:rsidR="00646964" w:rsidRPr="00183B5F" w:rsidRDefault="00943743" w:rsidP="004062FE">
      <w:pPr>
        <w:spacing w:line="240" w:lineRule="auto"/>
        <w:rPr>
          <w:rFonts w:eastAsia="Calibri"/>
          <w:szCs w:val="22"/>
        </w:rPr>
      </w:pPr>
      <w:r w:rsidRPr="00183B5F">
        <w:rPr>
          <w:color w:val="000000"/>
        </w:rPr>
        <w:t>Azoknál a betegeknél akik a 12. héten legalább részlegesen reagáltak a heti 40 mg Humira</w:t>
      </w:r>
      <w:r w:rsidRPr="00183B5F">
        <w:rPr>
          <w:color w:val="000000"/>
        </w:rPr>
        <w:noBreakHyphen/>
        <w:t xml:space="preserve">ra, a 36. hétre a </w:t>
      </w:r>
      <w:r w:rsidRPr="00183B5F">
        <w:rPr>
          <w:rFonts w:eastAsia="Calibri"/>
          <w:szCs w:val="22"/>
        </w:rPr>
        <w:t xml:space="preserve">HiSCR arány magasabb volt azoknál, akik hetente folytatták a Humira alkalmazását, mint azoknál, akiknél az adagolás gyakorisága kéthetenkéntire csökkent, vagy akiknél abbahagyták a kezelést (lásd </w:t>
      </w:r>
      <w:r w:rsidR="00DA438A" w:rsidRPr="00183B5F">
        <w:rPr>
          <w:rFonts w:eastAsia="Calibri"/>
          <w:szCs w:val="22"/>
        </w:rPr>
        <w:t>2</w:t>
      </w:r>
      <w:r w:rsidR="008D423B" w:rsidRPr="00183B5F">
        <w:rPr>
          <w:rFonts w:eastAsia="Calibri"/>
          <w:szCs w:val="22"/>
        </w:rPr>
        <w:t>0</w:t>
      </w:r>
      <w:r w:rsidRPr="00183B5F">
        <w:rPr>
          <w:rFonts w:eastAsia="Calibri"/>
          <w:szCs w:val="22"/>
        </w:rPr>
        <w:t>. táblázat).</w:t>
      </w:r>
    </w:p>
    <w:p w14:paraId="4F8391BD" w14:textId="77777777" w:rsidR="00646964" w:rsidRPr="00183B5F" w:rsidRDefault="00646964" w:rsidP="004062FE">
      <w:pPr>
        <w:spacing w:line="240" w:lineRule="auto"/>
        <w:rPr>
          <w:rFonts w:eastAsia="Calibri"/>
          <w:szCs w:val="22"/>
        </w:rPr>
      </w:pPr>
    </w:p>
    <w:p w14:paraId="057ADD2D" w14:textId="77777777" w:rsidR="00646964" w:rsidRPr="00183B5F" w:rsidRDefault="00943743" w:rsidP="009643B6">
      <w:pPr>
        <w:pStyle w:val="NormalWeb"/>
        <w:keepNext/>
        <w:spacing w:line="240" w:lineRule="auto"/>
        <w:jc w:val="center"/>
        <w:rPr>
          <w:b/>
          <w:color w:val="000000"/>
          <w:sz w:val="22"/>
        </w:rPr>
      </w:pPr>
      <w:r w:rsidRPr="00183B5F">
        <w:rPr>
          <w:b/>
          <w:color w:val="000000"/>
          <w:sz w:val="22"/>
        </w:rPr>
        <w:t>20. táblázat: A HiSCR</w:t>
      </w:r>
      <w:r w:rsidRPr="00183B5F">
        <w:rPr>
          <w:b/>
          <w:color w:val="000000"/>
          <w:sz w:val="22"/>
        </w:rPr>
        <w:noBreakHyphen/>
        <w:t>t</w:t>
      </w:r>
      <w:r w:rsidR="008B7D91" w:rsidRPr="00183B5F">
        <w:rPr>
          <w:b/>
          <w:sz w:val="22"/>
          <w:szCs w:val="22"/>
          <w:vertAlign w:val="superscript"/>
        </w:rPr>
        <w:t xml:space="preserve"> b</w:t>
      </w:r>
      <w:r w:rsidRPr="00183B5F">
        <w:rPr>
          <w:b/>
          <w:color w:val="000000"/>
          <w:sz w:val="22"/>
        </w:rPr>
        <w:t xml:space="preserve"> elérő betegek</w:t>
      </w:r>
      <w:r w:rsidR="008B7D91" w:rsidRPr="00183B5F">
        <w:rPr>
          <w:b/>
          <w:sz w:val="22"/>
          <w:szCs w:val="22"/>
          <w:vertAlign w:val="superscript"/>
        </w:rPr>
        <w:t>a</w:t>
      </w:r>
      <w:r w:rsidRPr="00183B5F">
        <w:rPr>
          <w:b/>
          <w:color w:val="000000"/>
          <w:sz w:val="22"/>
        </w:rPr>
        <w:t xml:space="preserve"> aránya a 24. és 36. héten a heti Humira adagolás megváltoztatása után a 12. héten</w:t>
      </w:r>
    </w:p>
    <w:p w14:paraId="5583AED5" w14:textId="77777777" w:rsidR="00646964" w:rsidRPr="00183B5F" w:rsidRDefault="00646964" w:rsidP="009643B6">
      <w:pPr>
        <w:keepNext/>
        <w:spacing w:line="240" w:lineRule="auto"/>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1980"/>
        <w:gridCol w:w="1980"/>
        <w:gridCol w:w="1855"/>
      </w:tblGrid>
      <w:tr w:rsidR="00011D2F" w14:paraId="14030D51" w14:textId="77777777" w:rsidTr="00646964">
        <w:trPr>
          <w:tblHeader/>
          <w:jc w:val="center"/>
        </w:trPr>
        <w:tc>
          <w:tcPr>
            <w:tcW w:w="1437" w:type="dxa"/>
            <w:vAlign w:val="bottom"/>
          </w:tcPr>
          <w:p w14:paraId="37D71704" w14:textId="77777777" w:rsidR="00646964" w:rsidRPr="00183B5F" w:rsidRDefault="00646964" w:rsidP="009643B6">
            <w:pPr>
              <w:pStyle w:val="TableLeft"/>
              <w:spacing w:before="0" w:after="0" w:line="240" w:lineRule="auto"/>
              <w:rPr>
                <w:b/>
                <w:sz w:val="22"/>
                <w:lang w:val="hu-HU"/>
              </w:rPr>
            </w:pPr>
          </w:p>
        </w:tc>
        <w:tc>
          <w:tcPr>
            <w:tcW w:w="1980" w:type="dxa"/>
            <w:vAlign w:val="bottom"/>
          </w:tcPr>
          <w:p w14:paraId="519AD509" w14:textId="77777777" w:rsidR="00646964" w:rsidRPr="00183B5F" w:rsidRDefault="00943743" w:rsidP="009643B6">
            <w:pPr>
              <w:pStyle w:val="TableLeft"/>
              <w:spacing w:before="0" w:after="0" w:line="240" w:lineRule="auto"/>
              <w:jc w:val="center"/>
              <w:rPr>
                <w:b/>
                <w:sz w:val="22"/>
                <w:lang w:val="hu-HU"/>
              </w:rPr>
            </w:pPr>
            <w:r w:rsidRPr="00183B5F">
              <w:rPr>
                <w:b/>
                <w:sz w:val="22"/>
                <w:lang w:val="hu-HU"/>
              </w:rPr>
              <w:t>Placebo</w:t>
            </w:r>
            <w:r w:rsidRPr="00183B5F">
              <w:rPr>
                <w:b/>
                <w:sz w:val="22"/>
                <w:lang w:val="hu-HU"/>
              </w:rPr>
              <w:br/>
              <w:t>(kezelés megszakítva)</w:t>
            </w:r>
            <w:r w:rsidRPr="00183B5F">
              <w:rPr>
                <w:b/>
                <w:sz w:val="22"/>
                <w:lang w:val="hu-HU"/>
              </w:rPr>
              <w:br/>
              <w:t>N</w:t>
            </w:r>
            <w:r w:rsidR="006D1109" w:rsidRPr="00183B5F">
              <w:rPr>
                <w:b/>
                <w:sz w:val="22"/>
                <w:lang w:val="hu-HU"/>
              </w:rPr>
              <w:t> </w:t>
            </w:r>
            <w:r w:rsidRPr="00183B5F">
              <w:rPr>
                <w:b/>
                <w:sz w:val="22"/>
                <w:lang w:val="hu-HU"/>
              </w:rPr>
              <w:t>=</w:t>
            </w:r>
            <w:r w:rsidR="006D1109" w:rsidRPr="00183B5F">
              <w:rPr>
                <w:b/>
                <w:sz w:val="22"/>
                <w:lang w:val="hu-HU"/>
              </w:rPr>
              <w:t> </w:t>
            </w:r>
            <w:r w:rsidRPr="00183B5F">
              <w:rPr>
                <w:b/>
                <w:sz w:val="22"/>
                <w:lang w:val="hu-HU"/>
              </w:rPr>
              <w:t>73</w:t>
            </w:r>
          </w:p>
        </w:tc>
        <w:tc>
          <w:tcPr>
            <w:tcW w:w="1980" w:type="dxa"/>
            <w:vAlign w:val="bottom"/>
          </w:tcPr>
          <w:p w14:paraId="3BEB9947" w14:textId="77777777" w:rsidR="00646964" w:rsidRPr="00183B5F" w:rsidRDefault="00943743" w:rsidP="009643B6">
            <w:pPr>
              <w:pStyle w:val="TableLeft"/>
              <w:spacing w:before="0" w:after="0" w:line="240" w:lineRule="auto"/>
              <w:jc w:val="center"/>
              <w:rPr>
                <w:b/>
                <w:sz w:val="22"/>
                <w:lang w:val="hu-HU"/>
              </w:rPr>
            </w:pPr>
            <w:r w:rsidRPr="00183B5F">
              <w:rPr>
                <w:b/>
                <w:sz w:val="22"/>
                <w:lang w:val="hu-HU"/>
              </w:rPr>
              <w:t>Humira 40</w:t>
            </w:r>
            <w:r w:rsidR="006D1109" w:rsidRPr="00183B5F">
              <w:rPr>
                <w:b/>
                <w:sz w:val="22"/>
                <w:lang w:val="hu-HU"/>
              </w:rPr>
              <w:t> </w:t>
            </w:r>
            <w:r w:rsidRPr="00183B5F">
              <w:rPr>
                <w:b/>
                <w:sz w:val="22"/>
                <w:lang w:val="hu-HU"/>
              </w:rPr>
              <w:t>mg</w:t>
            </w:r>
            <w:r w:rsidRPr="00183B5F">
              <w:rPr>
                <w:b/>
                <w:sz w:val="22"/>
                <w:lang w:val="hu-HU"/>
              </w:rPr>
              <w:br/>
              <w:t>minden 2. héten</w:t>
            </w:r>
            <w:r w:rsidRPr="00183B5F">
              <w:rPr>
                <w:b/>
                <w:sz w:val="22"/>
                <w:lang w:val="hu-HU"/>
              </w:rPr>
              <w:br/>
              <w:t>N</w:t>
            </w:r>
            <w:r w:rsidR="006D1109" w:rsidRPr="00183B5F">
              <w:rPr>
                <w:b/>
                <w:sz w:val="22"/>
                <w:lang w:val="hu-HU"/>
              </w:rPr>
              <w:t> </w:t>
            </w:r>
            <w:r w:rsidRPr="00183B5F">
              <w:rPr>
                <w:b/>
                <w:sz w:val="22"/>
                <w:lang w:val="hu-HU"/>
              </w:rPr>
              <w:t>=</w:t>
            </w:r>
            <w:r w:rsidR="006D1109" w:rsidRPr="00183B5F">
              <w:rPr>
                <w:b/>
                <w:sz w:val="22"/>
                <w:lang w:val="hu-HU"/>
              </w:rPr>
              <w:t> </w:t>
            </w:r>
            <w:r w:rsidRPr="00183B5F">
              <w:rPr>
                <w:b/>
                <w:sz w:val="22"/>
                <w:lang w:val="hu-HU"/>
              </w:rPr>
              <w:t>70</w:t>
            </w:r>
          </w:p>
        </w:tc>
        <w:tc>
          <w:tcPr>
            <w:tcW w:w="1855" w:type="dxa"/>
            <w:vAlign w:val="bottom"/>
          </w:tcPr>
          <w:p w14:paraId="58641EEB" w14:textId="77777777" w:rsidR="00646964" w:rsidRPr="00183B5F" w:rsidRDefault="00943743" w:rsidP="009643B6">
            <w:pPr>
              <w:pStyle w:val="TableLeft"/>
              <w:spacing w:before="0" w:after="0" w:line="240" w:lineRule="auto"/>
              <w:jc w:val="center"/>
              <w:rPr>
                <w:b/>
                <w:sz w:val="22"/>
                <w:lang w:val="hu-HU"/>
              </w:rPr>
            </w:pPr>
            <w:r w:rsidRPr="00183B5F">
              <w:rPr>
                <w:b/>
                <w:sz w:val="22"/>
                <w:lang w:val="hu-HU"/>
              </w:rPr>
              <w:t>Humira 40</w:t>
            </w:r>
            <w:r w:rsidR="006D1109" w:rsidRPr="00183B5F">
              <w:rPr>
                <w:b/>
                <w:sz w:val="22"/>
                <w:lang w:val="hu-HU"/>
              </w:rPr>
              <w:t> </w:t>
            </w:r>
            <w:r w:rsidRPr="00183B5F">
              <w:rPr>
                <w:b/>
                <w:sz w:val="22"/>
                <w:lang w:val="hu-HU"/>
              </w:rPr>
              <w:t>mg</w:t>
            </w:r>
            <w:r w:rsidRPr="00183B5F">
              <w:rPr>
                <w:b/>
                <w:sz w:val="22"/>
                <w:lang w:val="hu-HU"/>
              </w:rPr>
              <w:br/>
              <w:t>hetente</w:t>
            </w:r>
            <w:r w:rsidRPr="00183B5F">
              <w:rPr>
                <w:b/>
                <w:sz w:val="22"/>
                <w:lang w:val="hu-HU"/>
              </w:rPr>
              <w:br/>
              <w:t>N</w:t>
            </w:r>
            <w:r w:rsidR="006D1109" w:rsidRPr="00183B5F">
              <w:rPr>
                <w:b/>
                <w:sz w:val="22"/>
                <w:lang w:val="hu-HU"/>
              </w:rPr>
              <w:t> </w:t>
            </w:r>
            <w:r w:rsidRPr="00183B5F">
              <w:rPr>
                <w:b/>
                <w:sz w:val="22"/>
                <w:lang w:val="hu-HU"/>
              </w:rPr>
              <w:t>=</w:t>
            </w:r>
            <w:r w:rsidR="006D1109" w:rsidRPr="00183B5F">
              <w:rPr>
                <w:b/>
                <w:sz w:val="22"/>
                <w:lang w:val="hu-HU"/>
              </w:rPr>
              <w:t> </w:t>
            </w:r>
            <w:r w:rsidRPr="00183B5F">
              <w:rPr>
                <w:b/>
                <w:sz w:val="22"/>
                <w:lang w:val="hu-HU"/>
              </w:rPr>
              <w:t>70</w:t>
            </w:r>
          </w:p>
        </w:tc>
      </w:tr>
      <w:tr w:rsidR="00011D2F" w14:paraId="3C319366" w14:textId="77777777" w:rsidTr="00646964">
        <w:trPr>
          <w:jc w:val="center"/>
        </w:trPr>
        <w:tc>
          <w:tcPr>
            <w:tcW w:w="1437" w:type="dxa"/>
          </w:tcPr>
          <w:p w14:paraId="54229E23" w14:textId="77777777" w:rsidR="00646964" w:rsidRPr="00183B5F" w:rsidRDefault="00943743" w:rsidP="009643B6">
            <w:pPr>
              <w:pStyle w:val="TableLeft"/>
              <w:spacing w:before="0" w:after="0" w:line="240" w:lineRule="auto"/>
              <w:rPr>
                <w:sz w:val="22"/>
                <w:lang w:val="hu-HU"/>
              </w:rPr>
            </w:pPr>
            <w:r w:rsidRPr="00183B5F">
              <w:rPr>
                <w:sz w:val="22"/>
                <w:lang w:val="hu-HU"/>
              </w:rPr>
              <w:t>24. hét</w:t>
            </w:r>
          </w:p>
        </w:tc>
        <w:tc>
          <w:tcPr>
            <w:tcW w:w="1980" w:type="dxa"/>
          </w:tcPr>
          <w:p w14:paraId="4F198A04" w14:textId="77777777" w:rsidR="00646964" w:rsidRPr="00183B5F" w:rsidRDefault="00943743" w:rsidP="009643B6">
            <w:pPr>
              <w:pStyle w:val="TableLeft"/>
              <w:spacing w:before="0" w:after="0" w:line="240" w:lineRule="auto"/>
              <w:jc w:val="center"/>
              <w:rPr>
                <w:sz w:val="22"/>
                <w:lang w:val="hu-HU"/>
              </w:rPr>
            </w:pPr>
            <w:r w:rsidRPr="00183B5F">
              <w:rPr>
                <w:sz w:val="22"/>
                <w:lang w:val="hu-HU"/>
              </w:rPr>
              <w:t>24 (32,9%)</w:t>
            </w:r>
          </w:p>
        </w:tc>
        <w:tc>
          <w:tcPr>
            <w:tcW w:w="1980" w:type="dxa"/>
          </w:tcPr>
          <w:p w14:paraId="21D0AB79" w14:textId="77777777" w:rsidR="00646964" w:rsidRPr="00183B5F" w:rsidRDefault="00943743" w:rsidP="009643B6">
            <w:pPr>
              <w:pStyle w:val="TableLeft"/>
              <w:spacing w:before="0" w:after="0" w:line="240" w:lineRule="auto"/>
              <w:jc w:val="center"/>
              <w:rPr>
                <w:sz w:val="22"/>
                <w:lang w:val="hu-HU"/>
              </w:rPr>
            </w:pPr>
            <w:r w:rsidRPr="00183B5F">
              <w:rPr>
                <w:sz w:val="22"/>
                <w:lang w:val="hu-HU"/>
              </w:rPr>
              <w:t>36 (51,4%)</w:t>
            </w:r>
          </w:p>
        </w:tc>
        <w:tc>
          <w:tcPr>
            <w:tcW w:w="1855" w:type="dxa"/>
          </w:tcPr>
          <w:p w14:paraId="5D4F09A3" w14:textId="77777777" w:rsidR="00646964" w:rsidRPr="00183B5F" w:rsidRDefault="00943743" w:rsidP="009643B6">
            <w:pPr>
              <w:pStyle w:val="TableLeft"/>
              <w:spacing w:before="0" w:after="0" w:line="240" w:lineRule="auto"/>
              <w:jc w:val="center"/>
              <w:rPr>
                <w:sz w:val="22"/>
                <w:lang w:val="hu-HU"/>
              </w:rPr>
            </w:pPr>
            <w:r w:rsidRPr="00183B5F">
              <w:rPr>
                <w:sz w:val="22"/>
                <w:lang w:val="hu-HU"/>
              </w:rPr>
              <w:t>40 (57,1%)</w:t>
            </w:r>
          </w:p>
        </w:tc>
      </w:tr>
      <w:tr w:rsidR="00011D2F" w14:paraId="70BE82CB" w14:textId="77777777" w:rsidTr="00646964">
        <w:trPr>
          <w:jc w:val="center"/>
        </w:trPr>
        <w:tc>
          <w:tcPr>
            <w:tcW w:w="1437" w:type="dxa"/>
          </w:tcPr>
          <w:p w14:paraId="54F07A15" w14:textId="77777777" w:rsidR="00646964" w:rsidRPr="00183B5F" w:rsidRDefault="00943743" w:rsidP="009643B6">
            <w:pPr>
              <w:pStyle w:val="TableLeft"/>
              <w:spacing w:before="0" w:after="0" w:line="240" w:lineRule="auto"/>
              <w:rPr>
                <w:sz w:val="22"/>
                <w:lang w:val="hu-HU"/>
              </w:rPr>
            </w:pPr>
            <w:r w:rsidRPr="00183B5F">
              <w:rPr>
                <w:sz w:val="22"/>
                <w:lang w:val="hu-HU"/>
              </w:rPr>
              <w:t>36. hét</w:t>
            </w:r>
          </w:p>
        </w:tc>
        <w:tc>
          <w:tcPr>
            <w:tcW w:w="1980" w:type="dxa"/>
          </w:tcPr>
          <w:p w14:paraId="28886327" w14:textId="77777777" w:rsidR="00646964" w:rsidRPr="00183B5F" w:rsidRDefault="00943743" w:rsidP="009643B6">
            <w:pPr>
              <w:pStyle w:val="TableLeft"/>
              <w:spacing w:before="0" w:after="0" w:line="240" w:lineRule="auto"/>
              <w:jc w:val="center"/>
              <w:rPr>
                <w:sz w:val="22"/>
                <w:lang w:val="hu-HU"/>
              </w:rPr>
            </w:pPr>
            <w:r w:rsidRPr="00183B5F">
              <w:rPr>
                <w:sz w:val="22"/>
                <w:lang w:val="hu-HU"/>
              </w:rPr>
              <w:t>22 (30,1%)</w:t>
            </w:r>
          </w:p>
        </w:tc>
        <w:tc>
          <w:tcPr>
            <w:tcW w:w="1980" w:type="dxa"/>
          </w:tcPr>
          <w:p w14:paraId="13509BBF" w14:textId="77777777" w:rsidR="00646964" w:rsidRPr="00183B5F" w:rsidRDefault="00943743" w:rsidP="009643B6">
            <w:pPr>
              <w:pStyle w:val="TableLeft"/>
              <w:spacing w:before="0" w:after="0" w:line="240" w:lineRule="auto"/>
              <w:jc w:val="center"/>
              <w:rPr>
                <w:sz w:val="22"/>
                <w:lang w:val="hu-HU"/>
              </w:rPr>
            </w:pPr>
            <w:r w:rsidRPr="00183B5F">
              <w:rPr>
                <w:sz w:val="22"/>
                <w:lang w:val="hu-HU"/>
              </w:rPr>
              <w:t>28 (40,0%)</w:t>
            </w:r>
          </w:p>
        </w:tc>
        <w:tc>
          <w:tcPr>
            <w:tcW w:w="1855" w:type="dxa"/>
          </w:tcPr>
          <w:p w14:paraId="1673BA4B" w14:textId="77777777" w:rsidR="00646964" w:rsidRPr="00183B5F" w:rsidRDefault="00943743" w:rsidP="009643B6">
            <w:pPr>
              <w:pStyle w:val="TableLeft"/>
              <w:spacing w:before="0" w:after="0" w:line="240" w:lineRule="auto"/>
              <w:jc w:val="center"/>
              <w:rPr>
                <w:sz w:val="22"/>
                <w:lang w:val="hu-HU"/>
              </w:rPr>
            </w:pPr>
            <w:r w:rsidRPr="00183B5F">
              <w:rPr>
                <w:sz w:val="22"/>
                <w:lang w:val="hu-HU"/>
              </w:rPr>
              <w:t>39 (55,7%)</w:t>
            </w:r>
          </w:p>
        </w:tc>
      </w:tr>
      <w:tr w:rsidR="00011D2F" w14:paraId="4DD08149" w14:textId="77777777" w:rsidTr="00646964">
        <w:trPr>
          <w:jc w:val="center"/>
        </w:trPr>
        <w:tc>
          <w:tcPr>
            <w:tcW w:w="7252" w:type="dxa"/>
            <w:gridSpan w:val="4"/>
          </w:tcPr>
          <w:p w14:paraId="57ACA4C0" w14:textId="77777777" w:rsidR="00646964" w:rsidRPr="00183B5F" w:rsidRDefault="00943743" w:rsidP="009643B6">
            <w:pPr>
              <w:pStyle w:val="TableFootnoteLetter"/>
              <w:keepNext/>
              <w:numPr>
                <w:ilvl w:val="0"/>
                <w:numId w:val="0"/>
              </w:numPr>
              <w:tabs>
                <w:tab w:val="left" w:pos="423"/>
              </w:tabs>
              <w:spacing w:before="0" w:line="240" w:lineRule="auto"/>
              <w:ind w:left="423"/>
              <w:rPr>
                <w:rFonts w:ascii="Times New Roman" w:hAnsi="Times New Roman"/>
                <w:sz w:val="22"/>
                <w:lang w:val="hu-HU"/>
              </w:rPr>
            </w:pPr>
            <w:r w:rsidRPr="00183B5F">
              <w:rPr>
                <w:rFonts w:ascii="Times New Roman" w:hAnsi="Times New Roman"/>
                <w:sz w:val="22"/>
                <w:vertAlign w:val="superscript"/>
                <w:lang w:val="hu-HU"/>
              </w:rPr>
              <w:t>a</w:t>
            </w:r>
            <w:r w:rsidRPr="00183B5F">
              <w:rPr>
                <w:rFonts w:ascii="Times New Roman" w:hAnsi="Times New Roman"/>
                <w:sz w:val="22"/>
                <w:lang w:val="hu-HU"/>
              </w:rPr>
              <w:t xml:space="preserve"> Betegek, akik legalább részleges választ adtak a heti 40 mg Humira</w:t>
            </w:r>
            <w:r w:rsidRPr="00183B5F">
              <w:rPr>
                <w:rFonts w:ascii="Times New Roman" w:hAnsi="Times New Roman"/>
                <w:sz w:val="22"/>
                <w:lang w:val="hu-HU"/>
              </w:rPr>
              <w:noBreakHyphen/>
              <w:t>ra a 12. hét után</w:t>
            </w:r>
          </w:p>
          <w:p w14:paraId="15392F19" w14:textId="77777777" w:rsidR="00646964" w:rsidRPr="00183B5F" w:rsidRDefault="00943743" w:rsidP="009643B6">
            <w:pPr>
              <w:pStyle w:val="TableFootnoteLetter"/>
              <w:keepNext/>
              <w:numPr>
                <w:ilvl w:val="0"/>
                <w:numId w:val="0"/>
              </w:numPr>
              <w:tabs>
                <w:tab w:val="left" w:pos="423"/>
              </w:tabs>
              <w:spacing w:before="0" w:line="240" w:lineRule="auto"/>
              <w:ind w:left="423"/>
              <w:rPr>
                <w:rFonts w:ascii="Times New Roman" w:hAnsi="Times New Roman"/>
                <w:sz w:val="22"/>
                <w:lang w:val="hu-HU"/>
              </w:rPr>
            </w:pPr>
            <w:r w:rsidRPr="00183B5F">
              <w:rPr>
                <w:rFonts w:ascii="Times New Roman" w:hAnsi="Times New Roman"/>
                <w:sz w:val="22"/>
                <w:vertAlign w:val="superscript"/>
                <w:lang w:val="hu-HU"/>
              </w:rPr>
              <w:t>b</w:t>
            </w:r>
            <w:r w:rsidRPr="00183B5F">
              <w:rPr>
                <w:rFonts w:ascii="Times New Roman" w:hAnsi="Times New Roman"/>
                <w:sz w:val="22"/>
                <w:lang w:val="hu-HU"/>
              </w:rPr>
              <w:t xml:space="preserve"> Azoknál a betegeknél, akik megfeleltek a válaszreakció megszűnésének</w:t>
            </w:r>
            <w:r w:rsidR="007A2467" w:rsidRPr="00183B5F">
              <w:rPr>
                <w:rFonts w:ascii="Times New Roman" w:hAnsi="Times New Roman"/>
                <w:sz w:val="22"/>
                <w:lang w:val="hu-HU"/>
              </w:rPr>
              <w:t xml:space="preserve"> vagy a javulás hiányának</w:t>
            </w:r>
            <w:r w:rsidRPr="00183B5F">
              <w:rPr>
                <w:rFonts w:ascii="Times New Roman" w:hAnsi="Times New Roman"/>
                <w:sz w:val="22"/>
                <w:lang w:val="hu-HU"/>
              </w:rPr>
              <w:t xml:space="preserve"> protokollban meghatározott kritériumainak, leállították a kezelést, és nem reagálóknak számítottak.</w:t>
            </w:r>
          </w:p>
        </w:tc>
      </w:tr>
    </w:tbl>
    <w:p w14:paraId="52FCB7FE" w14:textId="77777777" w:rsidR="00646964" w:rsidRPr="00183B5F" w:rsidRDefault="00646964" w:rsidP="004062FE">
      <w:pPr>
        <w:spacing w:line="240" w:lineRule="auto"/>
        <w:rPr>
          <w:color w:val="000000"/>
        </w:rPr>
      </w:pPr>
    </w:p>
    <w:p w14:paraId="442B6962" w14:textId="77777777" w:rsidR="00646964" w:rsidRPr="00183B5F" w:rsidRDefault="00943743" w:rsidP="004062FE">
      <w:pPr>
        <w:spacing w:line="240" w:lineRule="auto"/>
        <w:rPr>
          <w:color w:val="000000"/>
        </w:rPr>
      </w:pPr>
      <w:r w:rsidRPr="00183B5F">
        <w:rPr>
          <w:color w:val="000000"/>
        </w:rPr>
        <w:t xml:space="preserve">Azoknál a betegeknél, akik legalább részlegesen reagáltak a 12. héten, és akik folyamatos heti Humira terápiát kaptak, a HiSCR arány a 48. héten </w:t>
      </w:r>
      <w:r w:rsidR="00994AB3" w:rsidRPr="00183B5F">
        <w:rPr>
          <w:color w:val="000000"/>
        </w:rPr>
        <w:t>68,3%</w:t>
      </w:r>
      <w:r w:rsidR="00ED45A7" w:rsidRPr="00183B5F">
        <w:rPr>
          <w:color w:val="000000"/>
        </w:rPr>
        <w:t>,</w:t>
      </w:r>
      <w:r w:rsidR="00994AB3" w:rsidRPr="00183B5F">
        <w:rPr>
          <w:color w:val="000000"/>
        </w:rPr>
        <w:t xml:space="preserve"> a 96. héten pedig 65,1% volt. </w:t>
      </w:r>
      <w:r w:rsidR="008D7521" w:rsidRPr="00183B5F">
        <w:rPr>
          <w:color w:val="000000"/>
        </w:rPr>
        <w:t xml:space="preserve">A </w:t>
      </w:r>
      <w:r w:rsidR="006F700B" w:rsidRPr="00183B5F">
        <w:rPr>
          <w:color w:val="000000"/>
        </w:rPr>
        <w:t xml:space="preserve">heti </w:t>
      </w:r>
      <w:r w:rsidR="008D7521" w:rsidRPr="00183B5F">
        <w:rPr>
          <w:color w:val="000000"/>
        </w:rPr>
        <w:t>40 mg Humira</w:t>
      </w:r>
      <w:r w:rsidR="008D7521" w:rsidRPr="00183B5F">
        <w:rPr>
          <w:color w:val="000000"/>
        </w:rPr>
        <w:noBreakHyphen/>
        <w:t>val történő hosszabb távú kezelés során a 96. hétig nem azonosítottak új</w:t>
      </w:r>
      <w:r w:rsidR="006F700B" w:rsidRPr="00183B5F">
        <w:rPr>
          <w:color w:val="000000"/>
        </w:rPr>
        <w:t>,</w:t>
      </w:r>
      <w:r w:rsidR="008D7521" w:rsidRPr="00183B5F">
        <w:rPr>
          <w:color w:val="000000"/>
        </w:rPr>
        <w:t xml:space="preserve"> biztonság</w:t>
      </w:r>
      <w:r w:rsidR="006F700B" w:rsidRPr="00183B5F">
        <w:rPr>
          <w:color w:val="000000"/>
        </w:rPr>
        <w:t>osság</w:t>
      </w:r>
      <w:r w:rsidR="00EA69A9" w:rsidRPr="00183B5F">
        <w:rPr>
          <w:color w:val="000000"/>
        </w:rPr>
        <w:t>i</w:t>
      </w:r>
      <w:r w:rsidR="008D7521" w:rsidRPr="00183B5F">
        <w:rPr>
          <w:color w:val="000000"/>
        </w:rPr>
        <w:t xml:space="preserve"> eseményt.</w:t>
      </w:r>
    </w:p>
    <w:p w14:paraId="5076B3D6" w14:textId="77777777" w:rsidR="009A314C" w:rsidRPr="00183B5F" w:rsidRDefault="009A314C">
      <w:pPr>
        <w:suppressAutoHyphens w:val="0"/>
        <w:spacing w:line="240" w:lineRule="auto"/>
        <w:rPr>
          <w:color w:val="000000"/>
        </w:rPr>
      </w:pPr>
    </w:p>
    <w:p w14:paraId="74DDED69" w14:textId="77777777" w:rsidR="009A314C" w:rsidRPr="00183B5F" w:rsidRDefault="00943743">
      <w:pPr>
        <w:suppressAutoHyphens w:val="0"/>
        <w:spacing w:line="240" w:lineRule="auto"/>
        <w:rPr>
          <w:color w:val="000000"/>
        </w:rPr>
      </w:pPr>
      <w:r w:rsidRPr="00183B5F">
        <w:rPr>
          <w:color w:val="000000"/>
        </w:rPr>
        <w:t>Azoknál a betegeknél, akiknél a 12. héten leállították a Humira kezelést a HS</w:t>
      </w:r>
      <w:r w:rsidRPr="00183B5F">
        <w:rPr>
          <w:color w:val="000000"/>
        </w:rPr>
        <w:noBreakHyphen/>
        <w:t>I és HS</w:t>
      </w:r>
      <w:r w:rsidRPr="00183B5F">
        <w:rPr>
          <w:color w:val="000000"/>
        </w:rPr>
        <w:noBreakHyphen/>
        <w:t>II vizsgálatban, a HiSCR arány 12 héttel a 40 mg Humira heti adagolásának újbóli bevezetése után visszatért hasonló szintre, mint amit a leállítás előtt megfigyeltek (56,0%).</w:t>
      </w:r>
    </w:p>
    <w:p w14:paraId="00E9B8BA" w14:textId="77777777" w:rsidR="00EA2231" w:rsidRPr="00183B5F" w:rsidRDefault="00EA2231">
      <w:pPr>
        <w:suppressAutoHyphens w:val="0"/>
        <w:spacing w:line="240" w:lineRule="auto"/>
        <w:rPr>
          <w:color w:val="000000"/>
        </w:rPr>
      </w:pPr>
    </w:p>
    <w:p w14:paraId="21607A7C" w14:textId="77777777" w:rsidR="00D0403E" w:rsidRPr="00183B5F" w:rsidRDefault="00943743" w:rsidP="004062FE">
      <w:pPr>
        <w:keepNext/>
        <w:spacing w:line="240" w:lineRule="auto"/>
        <w:rPr>
          <w:i/>
          <w:szCs w:val="22"/>
        </w:rPr>
      </w:pPr>
      <w:r w:rsidRPr="00183B5F">
        <w:rPr>
          <w:i/>
          <w:szCs w:val="22"/>
        </w:rPr>
        <w:t>Crohn</w:t>
      </w:r>
      <w:r w:rsidRPr="00183B5F">
        <w:rPr>
          <w:i/>
          <w:szCs w:val="22"/>
        </w:rPr>
        <w:noBreakHyphen/>
        <w:t>betegség</w:t>
      </w:r>
    </w:p>
    <w:p w14:paraId="0D47A265" w14:textId="77777777" w:rsidR="00D0403E" w:rsidRPr="00183B5F" w:rsidRDefault="00D0403E" w:rsidP="004062FE">
      <w:pPr>
        <w:keepNext/>
        <w:spacing w:line="240" w:lineRule="auto"/>
        <w:rPr>
          <w:szCs w:val="22"/>
        </w:rPr>
      </w:pPr>
    </w:p>
    <w:p w14:paraId="102DB647" w14:textId="77777777" w:rsidR="00D0403E" w:rsidRPr="00183B5F" w:rsidRDefault="00943743" w:rsidP="004062FE">
      <w:pPr>
        <w:keepNext/>
        <w:spacing w:line="240" w:lineRule="auto"/>
        <w:rPr>
          <w:szCs w:val="22"/>
        </w:rPr>
      </w:pPr>
      <w:r w:rsidRPr="00183B5F">
        <w:rPr>
          <w:szCs w:val="22"/>
        </w:rPr>
        <w:t xml:space="preserve">A Humira biztonságosságát és </w:t>
      </w:r>
      <w:r w:rsidR="00DD05E1" w:rsidRPr="00183B5F">
        <w:rPr>
          <w:szCs w:val="22"/>
        </w:rPr>
        <w:t xml:space="preserve">hatásosságát </w:t>
      </w:r>
      <w:r w:rsidRPr="00183B5F">
        <w:rPr>
          <w:szCs w:val="22"/>
        </w:rPr>
        <w:t>több mint 1500, köz</w:t>
      </w:r>
      <w:r w:rsidR="00430282" w:rsidRPr="00183B5F">
        <w:rPr>
          <w:szCs w:val="22"/>
        </w:rPr>
        <w:t>e</w:t>
      </w:r>
      <w:r w:rsidRPr="00183B5F">
        <w:rPr>
          <w:szCs w:val="22"/>
        </w:rPr>
        <w:t>p</w:t>
      </w:r>
      <w:r w:rsidR="00430282" w:rsidRPr="00183B5F">
        <w:rPr>
          <w:szCs w:val="22"/>
        </w:rPr>
        <w:t xml:space="preserve">esen </w:t>
      </w:r>
      <w:r w:rsidRPr="00183B5F">
        <w:rPr>
          <w:szCs w:val="22"/>
        </w:rPr>
        <w:t>súlyos</w:t>
      </w:r>
      <w:r w:rsidR="00430282" w:rsidRPr="00183B5F">
        <w:rPr>
          <w:szCs w:val="22"/>
        </w:rPr>
        <w:t xml:space="preserve"> </w:t>
      </w:r>
      <w:r w:rsidRPr="00183B5F">
        <w:rPr>
          <w:szCs w:val="22"/>
        </w:rPr>
        <w:t>-</w:t>
      </w:r>
      <w:r w:rsidR="00430282" w:rsidRPr="00183B5F">
        <w:rPr>
          <w:szCs w:val="22"/>
        </w:rPr>
        <w:t xml:space="preserve"> </w:t>
      </w:r>
      <w:r w:rsidRPr="00183B5F">
        <w:rPr>
          <w:szCs w:val="22"/>
        </w:rPr>
        <w:t>súlyos aktivitású Crohn</w:t>
      </w:r>
      <w:r w:rsidRPr="00183B5F">
        <w:rPr>
          <w:szCs w:val="22"/>
        </w:rPr>
        <w:noBreakHyphen/>
      </w:r>
      <w:r w:rsidRPr="00183B5F">
        <w:rPr>
          <w:szCs w:val="22"/>
        </w:rPr>
        <w:t xml:space="preserve">betegségben (CDAI [Crohn’s Disease Activity Index – </w:t>
      </w:r>
      <w:r w:rsidRPr="00183B5F">
        <w:rPr>
          <w:bCs/>
          <w:szCs w:val="22"/>
        </w:rPr>
        <w:t>Crohn</w:t>
      </w:r>
      <w:r w:rsidRPr="00183B5F">
        <w:rPr>
          <w:b/>
          <w:bCs/>
          <w:szCs w:val="22"/>
        </w:rPr>
        <w:noBreakHyphen/>
      </w:r>
      <w:r w:rsidRPr="00183B5F">
        <w:rPr>
          <w:szCs w:val="22"/>
        </w:rPr>
        <w:t>betegség aktivitási index] ≥ 220 – ≤</w:t>
      </w:r>
      <w:r w:rsidR="007A2467" w:rsidRPr="00183B5F">
        <w:rPr>
          <w:szCs w:val="22"/>
        </w:rPr>
        <w:t> </w:t>
      </w:r>
      <w:r w:rsidRPr="00183B5F">
        <w:rPr>
          <w:szCs w:val="22"/>
        </w:rPr>
        <w:t>450) szenvedő beteg</w:t>
      </w:r>
      <w:r w:rsidR="007A2467" w:rsidRPr="00183B5F">
        <w:rPr>
          <w:szCs w:val="22"/>
        </w:rPr>
        <w:t>nél</w:t>
      </w:r>
      <w:r w:rsidRPr="00183B5F">
        <w:rPr>
          <w:szCs w:val="22"/>
        </w:rPr>
        <w:t xml:space="preserve"> értékelték randomizált, </w:t>
      </w:r>
      <w:r w:rsidR="00E5381A" w:rsidRPr="00183B5F">
        <w:rPr>
          <w:szCs w:val="22"/>
        </w:rPr>
        <w:t>kettős vak</w:t>
      </w:r>
      <w:r w:rsidRPr="00183B5F">
        <w:rPr>
          <w:szCs w:val="22"/>
        </w:rPr>
        <w:t>, placebokontrollos vizsgálattal. Az aminoszalicilátok, kortikoszteroidok és/vagy immunmodulánsok alkalmazását változatlan dózisban engedélyezték; e szerek legalább egyikét a betegek 80%</w:t>
      </w:r>
      <w:r w:rsidRPr="00183B5F">
        <w:rPr>
          <w:szCs w:val="22"/>
        </w:rPr>
        <w:noBreakHyphen/>
        <w:t>a továbbra is kapta.</w:t>
      </w:r>
    </w:p>
    <w:p w14:paraId="44B678C1" w14:textId="77777777" w:rsidR="00D0403E" w:rsidRPr="00183B5F" w:rsidRDefault="00D0403E" w:rsidP="004062FE">
      <w:pPr>
        <w:spacing w:line="240" w:lineRule="auto"/>
        <w:rPr>
          <w:szCs w:val="22"/>
        </w:rPr>
      </w:pPr>
    </w:p>
    <w:p w14:paraId="274353BA" w14:textId="77777777" w:rsidR="00D0403E" w:rsidRPr="00183B5F" w:rsidRDefault="00943743" w:rsidP="004062FE">
      <w:pPr>
        <w:spacing w:line="240" w:lineRule="auto"/>
        <w:rPr>
          <w:szCs w:val="22"/>
        </w:rPr>
      </w:pPr>
      <w:r w:rsidRPr="00183B5F">
        <w:rPr>
          <w:szCs w:val="22"/>
        </w:rPr>
        <w:t>A klinikai remisszió indukcióját (meghatározás szerint CDAI &lt; 150) két vizsgálat a CD I (CLASSIC I) és a CD II (GAIN) értékelte. A CD I vizsgálatban 299, TNF</w:t>
      </w:r>
      <w:r w:rsidRPr="00183B5F">
        <w:rPr>
          <w:szCs w:val="22"/>
        </w:rPr>
        <w:noBreakHyphen/>
        <w:t>antagonistával korábban még nem kezelt beteget soroltak véletlenszerűen a négy terápiás csoport valamelyikébe (placebokezelés a 0. és a 2. héten; 160 mg Humira a 0. és 80 mg a 2. héten; 80 mg Humira a 0. és 40 mg a 2. héten; 40 mg Humira a 0. és 20 mg a 2. héten). A CD II vizsgálatban 325 beteget, akinél hatástalanná vált az infliximab, vagy infliximab-intolerancia állt fenn, véletlenszerű besorolás alapján a 0. héten 160 mg, illetve a 2. héten 80 mg Humira</w:t>
      </w:r>
      <w:r w:rsidRPr="00183B5F">
        <w:rPr>
          <w:szCs w:val="22"/>
        </w:rPr>
        <w:noBreakHyphen/>
        <w:t>val vagy a 0. és a 2. héten adott placebóval keze</w:t>
      </w:r>
      <w:r w:rsidRPr="00183B5F">
        <w:rPr>
          <w:szCs w:val="22"/>
        </w:rPr>
        <w:t>ltek. A primer nem reagálókat kizárták a vizsgálatokból, ezért ezeket a betegeket a továbbiakban nem értékelték.</w:t>
      </w:r>
    </w:p>
    <w:p w14:paraId="5CEFCD00" w14:textId="77777777" w:rsidR="00D0403E" w:rsidRPr="00183B5F" w:rsidRDefault="00D0403E" w:rsidP="004062FE">
      <w:pPr>
        <w:spacing w:line="240" w:lineRule="auto"/>
        <w:rPr>
          <w:szCs w:val="22"/>
        </w:rPr>
      </w:pPr>
    </w:p>
    <w:p w14:paraId="76986F4F" w14:textId="77777777" w:rsidR="00D0403E" w:rsidRPr="00183B5F" w:rsidRDefault="00943743" w:rsidP="004062FE">
      <w:pPr>
        <w:spacing w:line="240" w:lineRule="auto"/>
        <w:rPr>
          <w:szCs w:val="22"/>
        </w:rPr>
      </w:pPr>
      <w:r w:rsidRPr="00183B5F">
        <w:rPr>
          <w:szCs w:val="22"/>
        </w:rPr>
        <w:t xml:space="preserve">A klinikai remisszió fenntartását a CD III (CHARM) vizsgálat értékelte. A CD III vizsgálatban 854 beteget kezeltek nyílt vizsgálati elrendezésben, a 0. héten 80 mg, a 2. héten 40 mg dózissal. A 4. héten a résztvevőket véletlenszerűen sorolták be minden második héten 40 mg dózissal, hetente 40 mg dózissal vagy placebóval kezelt csoportba, összességében 56 hetes vizsgálati időtartammal. A kezelés 4. hetében a klinikailag reagáló (a CDAI ≥70 pontos csökkenése) betegek csoportját rétegezték, és eredményeiket a </w:t>
      </w:r>
      <w:r w:rsidRPr="00183B5F">
        <w:rPr>
          <w:szCs w:val="22"/>
        </w:rPr>
        <w:t>kezelésre a 4. hétig klinikailag nem reagáló betegekétől különválasztva értékelték. A 8. hét után engedélyezték a kortikoszteroid fokozatos csökkentését.</w:t>
      </w:r>
    </w:p>
    <w:p w14:paraId="50F322A2" w14:textId="77777777" w:rsidR="00D0403E" w:rsidRPr="00183B5F" w:rsidRDefault="00D0403E" w:rsidP="004062FE">
      <w:pPr>
        <w:spacing w:line="240" w:lineRule="auto"/>
        <w:rPr>
          <w:szCs w:val="22"/>
        </w:rPr>
      </w:pPr>
    </w:p>
    <w:p w14:paraId="1A848149" w14:textId="77777777" w:rsidR="00D0403E" w:rsidRPr="00183B5F" w:rsidRDefault="00943743" w:rsidP="004062FE">
      <w:pPr>
        <w:spacing w:line="240" w:lineRule="auto"/>
        <w:rPr>
          <w:szCs w:val="22"/>
        </w:rPr>
      </w:pPr>
      <w:r w:rsidRPr="00183B5F">
        <w:rPr>
          <w:szCs w:val="22"/>
        </w:rPr>
        <w:t xml:space="preserve">A </w:t>
      </w:r>
      <w:r w:rsidR="00DD5E3A" w:rsidRPr="00183B5F">
        <w:rPr>
          <w:szCs w:val="22"/>
        </w:rPr>
        <w:t>21</w:t>
      </w:r>
      <w:r w:rsidRPr="00183B5F">
        <w:rPr>
          <w:szCs w:val="22"/>
        </w:rPr>
        <w:t>. táblázat a CD I és a CD II vizsgálat során kiváltott remisszió gyakoriságát és a kezelésre reagáló betegek részarányát összegezi.</w:t>
      </w:r>
    </w:p>
    <w:p w14:paraId="68609E97" w14:textId="77777777" w:rsidR="00D0403E" w:rsidRPr="00183B5F" w:rsidRDefault="00D0403E" w:rsidP="004062FE">
      <w:pPr>
        <w:spacing w:line="240" w:lineRule="auto"/>
        <w:rPr>
          <w:szCs w:val="22"/>
        </w:rPr>
      </w:pPr>
    </w:p>
    <w:p w14:paraId="5DB0F539" w14:textId="77777777" w:rsidR="00D0403E" w:rsidRPr="00183B5F" w:rsidRDefault="00943743" w:rsidP="004062FE">
      <w:pPr>
        <w:keepNext/>
        <w:suppressAutoHyphens w:val="0"/>
        <w:spacing w:line="240" w:lineRule="auto"/>
        <w:jc w:val="center"/>
        <w:rPr>
          <w:b/>
          <w:szCs w:val="22"/>
        </w:rPr>
      </w:pPr>
      <w:r w:rsidRPr="00183B5F">
        <w:rPr>
          <w:b/>
          <w:szCs w:val="22"/>
        </w:rPr>
        <w:t xml:space="preserve">21. táblázat </w:t>
      </w:r>
    </w:p>
    <w:p w14:paraId="68BC7AE6" w14:textId="77777777" w:rsidR="00D0403E" w:rsidRPr="00183B5F" w:rsidRDefault="00943743" w:rsidP="004062FE">
      <w:pPr>
        <w:keepNext/>
        <w:suppressAutoHyphens w:val="0"/>
        <w:spacing w:line="240" w:lineRule="auto"/>
        <w:jc w:val="center"/>
        <w:rPr>
          <w:b/>
          <w:szCs w:val="22"/>
        </w:rPr>
      </w:pPr>
      <w:r w:rsidRPr="00183B5F">
        <w:rPr>
          <w:b/>
          <w:szCs w:val="22"/>
        </w:rPr>
        <w:t>Klinikai remisszió és válasz indukciója</w:t>
      </w:r>
    </w:p>
    <w:p w14:paraId="21C3B8AD" w14:textId="77777777" w:rsidR="00D0403E" w:rsidRPr="00183B5F" w:rsidRDefault="00943743" w:rsidP="004062FE">
      <w:pPr>
        <w:keepNext/>
        <w:suppressAutoHyphens w:val="0"/>
        <w:spacing w:line="240" w:lineRule="auto"/>
        <w:jc w:val="center"/>
        <w:rPr>
          <w:b/>
          <w:szCs w:val="22"/>
        </w:rPr>
      </w:pPr>
      <w:r w:rsidRPr="00183B5F">
        <w:rPr>
          <w:b/>
          <w:szCs w:val="22"/>
        </w:rPr>
        <w:t>(a betegek százaléka)</w:t>
      </w:r>
    </w:p>
    <w:p w14:paraId="6C9086A2" w14:textId="77777777" w:rsidR="00D0403E" w:rsidRPr="00183B5F" w:rsidRDefault="00D0403E" w:rsidP="004062FE">
      <w:pPr>
        <w:keepNext/>
        <w:suppressAutoHyphens w:val="0"/>
        <w:spacing w:line="240" w:lineRule="auto"/>
        <w:jc w:val="center"/>
        <w:rPr>
          <w:szCs w:val="22"/>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6"/>
        <w:gridCol w:w="1212"/>
        <w:gridCol w:w="1264"/>
        <w:gridCol w:w="1312"/>
        <w:gridCol w:w="1400"/>
        <w:gridCol w:w="1596"/>
      </w:tblGrid>
      <w:tr w:rsidR="00011D2F" w14:paraId="3ED9E8B3" w14:textId="77777777" w:rsidTr="00D0403E">
        <w:trPr>
          <w:cantSplit/>
        </w:trPr>
        <w:tc>
          <w:tcPr>
            <w:tcW w:w="2416" w:type="dxa"/>
          </w:tcPr>
          <w:p w14:paraId="7F89E11F" w14:textId="77777777" w:rsidR="00D0403E" w:rsidRPr="00183B5F" w:rsidRDefault="00D0403E" w:rsidP="004062FE">
            <w:pPr>
              <w:pStyle w:val="TableText"/>
              <w:keepLines w:val="0"/>
              <w:suppressAutoHyphens w:val="0"/>
              <w:spacing w:before="0" w:after="0" w:line="240" w:lineRule="auto"/>
              <w:rPr>
                <w:b/>
                <w:bCs/>
                <w:sz w:val="22"/>
                <w:szCs w:val="22"/>
                <w:lang w:val="hu-HU"/>
              </w:rPr>
            </w:pPr>
          </w:p>
        </w:tc>
        <w:tc>
          <w:tcPr>
            <w:tcW w:w="3788" w:type="dxa"/>
            <w:gridSpan w:val="3"/>
          </w:tcPr>
          <w:p w14:paraId="678E4E3B" w14:textId="77777777" w:rsidR="00D0403E" w:rsidRPr="00183B5F" w:rsidRDefault="00943743" w:rsidP="004062FE">
            <w:pPr>
              <w:pStyle w:val="TableText"/>
              <w:keepLines w:val="0"/>
              <w:suppressAutoHyphens w:val="0"/>
              <w:spacing w:before="0" w:after="0" w:line="240" w:lineRule="auto"/>
              <w:rPr>
                <w:b/>
                <w:bCs/>
                <w:sz w:val="22"/>
                <w:szCs w:val="22"/>
                <w:lang w:val="hu-HU"/>
              </w:rPr>
            </w:pPr>
            <w:r w:rsidRPr="00183B5F">
              <w:rPr>
                <w:b/>
                <w:bCs/>
                <w:sz w:val="22"/>
                <w:szCs w:val="22"/>
                <w:lang w:val="hu-HU"/>
              </w:rPr>
              <w:t>CD I vizsgálat: Infliximab-naív betegek</w:t>
            </w:r>
          </w:p>
        </w:tc>
        <w:tc>
          <w:tcPr>
            <w:tcW w:w="2996" w:type="dxa"/>
            <w:gridSpan w:val="2"/>
          </w:tcPr>
          <w:p w14:paraId="595C23E5" w14:textId="77777777" w:rsidR="00D0403E" w:rsidRPr="00183B5F" w:rsidRDefault="00943743" w:rsidP="004062FE">
            <w:pPr>
              <w:pStyle w:val="TableText"/>
              <w:keepLines w:val="0"/>
              <w:suppressAutoHyphens w:val="0"/>
              <w:spacing w:before="0" w:after="0" w:line="240" w:lineRule="auto"/>
              <w:rPr>
                <w:b/>
                <w:bCs/>
                <w:sz w:val="22"/>
                <w:szCs w:val="22"/>
                <w:lang w:val="hu-HU"/>
              </w:rPr>
            </w:pPr>
            <w:r w:rsidRPr="00183B5F">
              <w:rPr>
                <w:b/>
                <w:bCs/>
                <w:sz w:val="22"/>
                <w:szCs w:val="22"/>
                <w:lang w:val="hu-HU"/>
              </w:rPr>
              <w:t xml:space="preserve">CD II vizsgálat: Infliximabbal már kezelt betegek </w:t>
            </w:r>
          </w:p>
        </w:tc>
      </w:tr>
      <w:tr w:rsidR="00011D2F" w14:paraId="7E99CD35" w14:textId="77777777" w:rsidTr="00D0403E">
        <w:trPr>
          <w:cantSplit/>
        </w:trPr>
        <w:tc>
          <w:tcPr>
            <w:tcW w:w="2416" w:type="dxa"/>
          </w:tcPr>
          <w:p w14:paraId="48C0F311" w14:textId="77777777" w:rsidR="00D0403E" w:rsidRPr="00183B5F" w:rsidRDefault="00D0403E" w:rsidP="004062FE">
            <w:pPr>
              <w:pStyle w:val="TableText"/>
              <w:keepLines w:val="0"/>
              <w:suppressAutoHyphens w:val="0"/>
              <w:spacing w:before="0" w:after="0" w:line="240" w:lineRule="auto"/>
              <w:jc w:val="center"/>
              <w:rPr>
                <w:b/>
                <w:bCs/>
                <w:sz w:val="22"/>
                <w:szCs w:val="22"/>
                <w:lang w:val="hu-HU"/>
              </w:rPr>
            </w:pPr>
          </w:p>
        </w:tc>
        <w:tc>
          <w:tcPr>
            <w:tcW w:w="1212" w:type="dxa"/>
          </w:tcPr>
          <w:p w14:paraId="2D39BD6D" w14:textId="77777777" w:rsidR="00D0403E"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Placebo</w:t>
            </w:r>
          </w:p>
          <w:p w14:paraId="1B24C7CE" w14:textId="77777777" w:rsidR="00D0403E"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N</w:t>
            </w:r>
            <w:r w:rsidR="00A05BD2" w:rsidRPr="00183B5F">
              <w:rPr>
                <w:b/>
                <w:sz w:val="22"/>
                <w:lang w:val="hu-HU"/>
              </w:rPr>
              <w:t> </w:t>
            </w:r>
            <w:r w:rsidRPr="00183B5F">
              <w:rPr>
                <w:b/>
                <w:sz w:val="22"/>
                <w:lang w:val="hu-HU"/>
              </w:rPr>
              <w:t>=</w:t>
            </w:r>
            <w:r w:rsidR="00A05BD2" w:rsidRPr="00183B5F">
              <w:rPr>
                <w:b/>
                <w:sz w:val="22"/>
                <w:lang w:val="hu-HU"/>
              </w:rPr>
              <w:t> </w:t>
            </w:r>
            <w:r w:rsidRPr="00183B5F">
              <w:rPr>
                <w:b/>
                <w:sz w:val="22"/>
                <w:lang w:val="hu-HU"/>
              </w:rPr>
              <w:t>74</w:t>
            </w:r>
          </w:p>
        </w:tc>
        <w:tc>
          <w:tcPr>
            <w:tcW w:w="1264" w:type="dxa"/>
          </w:tcPr>
          <w:p w14:paraId="6D11EF11" w14:textId="77777777" w:rsidR="00D0403E"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Humira</w:t>
            </w:r>
          </w:p>
          <w:p w14:paraId="640D5915" w14:textId="77777777" w:rsidR="00D0403E"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80/40 mg</w:t>
            </w:r>
          </w:p>
          <w:p w14:paraId="6F1F68D9" w14:textId="77777777" w:rsidR="00D0403E"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N</w:t>
            </w:r>
            <w:r w:rsidR="00A05BD2" w:rsidRPr="00183B5F">
              <w:rPr>
                <w:b/>
                <w:sz w:val="22"/>
                <w:lang w:val="hu-HU"/>
              </w:rPr>
              <w:t> </w:t>
            </w:r>
            <w:r w:rsidRPr="00183B5F">
              <w:rPr>
                <w:b/>
                <w:sz w:val="22"/>
                <w:lang w:val="hu-HU"/>
              </w:rPr>
              <w:t>=</w:t>
            </w:r>
            <w:r w:rsidR="00A05BD2" w:rsidRPr="00183B5F">
              <w:rPr>
                <w:b/>
                <w:sz w:val="22"/>
                <w:lang w:val="hu-HU"/>
              </w:rPr>
              <w:t> </w:t>
            </w:r>
            <w:r w:rsidRPr="00183B5F">
              <w:rPr>
                <w:b/>
                <w:sz w:val="22"/>
                <w:lang w:val="hu-HU"/>
              </w:rPr>
              <w:t>75</w:t>
            </w:r>
          </w:p>
        </w:tc>
        <w:tc>
          <w:tcPr>
            <w:tcW w:w="1312" w:type="dxa"/>
          </w:tcPr>
          <w:p w14:paraId="23062E17" w14:textId="77777777" w:rsidR="00D0403E"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 xml:space="preserve">Humira </w:t>
            </w:r>
          </w:p>
          <w:p w14:paraId="3F22F981" w14:textId="77777777" w:rsidR="00D0403E"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160/80 mg N</w:t>
            </w:r>
            <w:r w:rsidR="00A05BD2" w:rsidRPr="00183B5F">
              <w:rPr>
                <w:b/>
                <w:sz w:val="22"/>
                <w:lang w:val="hu-HU"/>
              </w:rPr>
              <w:t> </w:t>
            </w:r>
            <w:r w:rsidRPr="00183B5F">
              <w:rPr>
                <w:b/>
                <w:sz w:val="22"/>
                <w:lang w:val="hu-HU"/>
              </w:rPr>
              <w:t>=</w:t>
            </w:r>
            <w:r w:rsidR="00A05BD2" w:rsidRPr="00183B5F">
              <w:rPr>
                <w:b/>
                <w:sz w:val="22"/>
                <w:lang w:val="hu-HU"/>
              </w:rPr>
              <w:t> </w:t>
            </w:r>
            <w:r w:rsidRPr="00183B5F">
              <w:rPr>
                <w:b/>
                <w:sz w:val="22"/>
                <w:lang w:val="hu-HU"/>
              </w:rPr>
              <w:t>76</w:t>
            </w:r>
          </w:p>
        </w:tc>
        <w:tc>
          <w:tcPr>
            <w:tcW w:w="1400" w:type="dxa"/>
          </w:tcPr>
          <w:p w14:paraId="3BCA98D7" w14:textId="77777777" w:rsidR="00D0403E"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Placebo</w:t>
            </w:r>
          </w:p>
          <w:p w14:paraId="665634D0" w14:textId="77777777" w:rsidR="00D0403E"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N</w:t>
            </w:r>
            <w:r w:rsidR="00A05BD2" w:rsidRPr="00183B5F">
              <w:rPr>
                <w:b/>
                <w:sz w:val="22"/>
                <w:lang w:val="hu-HU"/>
              </w:rPr>
              <w:t> </w:t>
            </w:r>
            <w:r w:rsidRPr="00183B5F">
              <w:rPr>
                <w:b/>
                <w:sz w:val="22"/>
                <w:lang w:val="hu-HU"/>
              </w:rPr>
              <w:t>=</w:t>
            </w:r>
            <w:r w:rsidR="00A05BD2" w:rsidRPr="00183B5F">
              <w:rPr>
                <w:b/>
                <w:sz w:val="22"/>
                <w:lang w:val="hu-HU"/>
              </w:rPr>
              <w:t> </w:t>
            </w:r>
            <w:r w:rsidRPr="00183B5F">
              <w:rPr>
                <w:b/>
                <w:sz w:val="22"/>
                <w:lang w:val="hu-HU"/>
              </w:rPr>
              <w:t>166</w:t>
            </w:r>
          </w:p>
        </w:tc>
        <w:tc>
          <w:tcPr>
            <w:tcW w:w="1596" w:type="dxa"/>
          </w:tcPr>
          <w:p w14:paraId="1434FF0F" w14:textId="77777777" w:rsidR="00D0403E"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 xml:space="preserve">Humira </w:t>
            </w:r>
          </w:p>
          <w:p w14:paraId="5029A0B7" w14:textId="77777777" w:rsidR="00D0403E"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160/80 mg</w:t>
            </w:r>
          </w:p>
          <w:p w14:paraId="68076425" w14:textId="77777777" w:rsidR="00D0403E"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N</w:t>
            </w:r>
            <w:r w:rsidR="00A05BD2" w:rsidRPr="00183B5F">
              <w:rPr>
                <w:b/>
                <w:sz w:val="22"/>
                <w:lang w:val="hu-HU"/>
              </w:rPr>
              <w:t> </w:t>
            </w:r>
            <w:r w:rsidRPr="00183B5F">
              <w:rPr>
                <w:b/>
                <w:sz w:val="22"/>
                <w:lang w:val="hu-HU"/>
              </w:rPr>
              <w:t>=</w:t>
            </w:r>
            <w:r w:rsidR="00A05BD2" w:rsidRPr="00183B5F">
              <w:rPr>
                <w:b/>
                <w:sz w:val="22"/>
                <w:lang w:val="hu-HU"/>
              </w:rPr>
              <w:t> </w:t>
            </w:r>
            <w:r w:rsidRPr="00183B5F">
              <w:rPr>
                <w:b/>
                <w:sz w:val="22"/>
                <w:lang w:val="hu-HU"/>
              </w:rPr>
              <w:t>159</w:t>
            </w:r>
          </w:p>
        </w:tc>
      </w:tr>
      <w:tr w:rsidR="00011D2F" w14:paraId="4F36D752" w14:textId="77777777" w:rsidTr="00D0403E">
        <w:trPr>
          <w:cantSplit/>
        </w:trPr>
        <w:tc>
          <w:tcPr>
            <w:tcW w:w="2416" w:type="dxa"/>
            <w:vAlign w:val="bottom"/>
          </w:tcPr>
          <w:p w14:paraId="6D626E6D" w14:textId="77777777" w:rsidR="00D0403E" w:rsidRPr="00183B5F" w:rsidRDefault="00943743" w:rsidP="004062FE">
            <w:pPr>
              <w:pStyle w:val="TableText"/>
              <w:keepNext w:val="0"/>
              <w:keepLines w:val="0"/>
              <w:suppressAutoHyphens w:val="0"/>
              <w:spacing w:before="0" w:after="0" w:line="240" w:lineRule="auto"/>
              <w:rPr>
                <w:sz w:val="22"/>
                <w:lang w:val="hu-HU"/>
              </w:rPr>
            </w:pPr>
            <w:r w:rsidRPr="00183B5F">
              <w:rPr>
                <w:sz w:val="22"/>
                <w:lang w:val="hu-HU"/>
              </w:rPr>
              <w:t>4. hét</w:t>
            </w:r>
          </w:p>
        </w:tc>
        <w:tc>
          <w:tcPr>
            <w:tcW w:w="1212" w:type="dxa"/>
            <w:vAlign w:val="bottom"/>
          </w:tcPr>
          <w:p w14:paraId="74333552" w14:textId="77777777" w:rsidR="00D0403E" w:rsidRPr="00183B5F" w:rsidRDefault="00D0403E" w:rsidP="004062FE">
            <w:pPr>
              <w:pStyle w:val="TableText"/>
              <w:keepNext w:val="0"/>
              <w:keepLines w:val="0"/>
              <w:suppressAutoHyphens w:val="0"/>
              <w:spacing w:before="0" w:after="0" w:line="240" w:lineRule="auto"/>
              <w:rPr>
                <w:sz w:val="22"/>
                <w:lang w:val="hu-HU"/>
              </w:rPr>
            </w:pPr>
          </w:p>
        </w:tc>
        <w:tc>
          <w:tcPr>
            <w:tcW w:w="1264" w:type="dxa"/>
            <w:vAlign w:val="bottom"/>
          </w:tcPr>
          <w:p w14:paraId="6B917004" w14:textId="77777777" w:rsidR="00D0403E" w:rsidRPr="00183B5F" w:rsidRDefault="00D0403E" w:rsidP="004062FE">
            <w:pPr>
              <w:pStyle w:val="TableText"/>
              <w:keepNext w:val="0"/>
              <w:keepLines w:val="0"/>
              <w:suppressAutoHyphens w:val="0"/>
              <w:spacing w:before="0" w:after="0" w:line="240" w:lineRule="auto"/>
              <w:rPr>
                <w:sz w:val="22"/>
                <w:lang w:val="hu-HU"/>
              </w:rPr>
            </w:pPr>
          </w:p>
        </w:tc>
        <w:tc>
          <w:tcPr>
            <w:tcW w:w="1312" w:type="dxa"/>
            <w:vAlign w:val="bottom"/>
          </w:tcPr>
          <w:p w14:paraId="45833294" w14:textId="77777777" w:rsidR="00D0403E" w:rsidRPr="00183B5F" w:rsidRDefault="00D0403E" w:rsidP="004062FE">
            <w:pPr>
              <w:pStyle w:val="TableText"/>
              <w:keepNext w:val="0"/>
              <w:keepLines w:val="0"/>
              <w:suppressAutoHyphens w:val="0"/>
              <w:spacing w:before="0" w:after="0" w:line="240" w:lineRule="auto"/>
              <w:rPr>
                <w:sz w:val="22"/>
                <w:lang w:val="hu-HU"/>
              </w:rPr>
            </w:pPr>
          </w:p>
        </w:tc>
        <w:tc>
          <w:tcPr>
            <w:tcW w:w="1400" w:type="dxa"/>
            <w:vAlign w:val="bottom"/>
          </w:tcPr>
          <w:p w14:paraId="55382B9C" w14:textId="77777777" w:rsidR="00D0403E" w:rsidRPr="00183B5F" w:rsidRDefault="00D0403E" w:rsidP="004062FE">
            <w:pPr>
              <w:pStyle w:val="TableText"/>
              <w:keepNext w:val="0"/>
              <w:keepLines w:val="0"/>
              <w:suppressAutoHyphens w:val="0"/>
              <w:spacing w:before="0" w:after="0" w:line="240" w:lineRule="auto"/>
              <w:rPr>
                <w:sz w:val="22"/>
                <w:lang w:val="hu-HU"/>
              </w:rPr>
            </w:pPr>
          </w:p>
        </w:tc>
        <w:tc>
          <w:tcPr>
            <w:tcW w:w="1596" w:type="dxa"/>
            <w:vAlign w:val="bottom"/>
          </w:tcPr>
          <w:p w14:paraId="66EDE353" w14:textId="77777777" w:rsidR="00D0403E" w:rsidRPr="00183B5F" w:rsidRDefault="00D0403E" w:rsidP="004062FE">
            <w:pPr>
              <w:pStyle w:val="TableText"/>
              <w:keepNext w:val="0"/>
              <w:keepLines w:val="0"/>
              <w:suppressAutoHyphens w:val="0"/>
              <w:spacing w:before="0" w:after="0" w:line="240" w:lineRule="auto"/>
              <w:rPr>
                <w:sz w:val="22"/>
                <w:lang w:val="hu-HU"/>
              </w:rPr>
            </w:pPr>
          </w:p>
        </w:tc>
      </w:tr>
      <w:tr w:rsidR="00011D2F" w14:paraId="3A84F917" w14:textId="77777777" w:rsidTr="00D0403E">
        <w:trPr>
          <w:cantSplit/>
        </w:trPr>
        <w:tc>
          <w:tcPr>
            <w:tcW w:w="2416" w:type="dxa"/>
            <w:vAlign w:val="bottom"/>
          </w:tcPr>
          <w:p w14:paraId="05EF3B69" w14:textId="77777777" w:rsidR="00D0403E" w:rsidRPr="00183B5F" w:rsidRDefault="00943743" w:rsidP="004062FE">
            <w:pPr>
              <w:pStyle w:val="TableText"/>
              <w:keepNext w:val="0"/>
              <w:keepLines w:val="0"/>
              <w:suppressAutoHyphens w:val="0"/>
              <w:spacing w:before="0" w:after="0" w:line="240" w:lineRule="auto"/>
              <w:rPr>
                <w:sz w:val="22"/>
                <w:lang w:val="hu-HU"/>
              </w:rPr>
            </w:pPr>
            <w:r w:rsidRPr="00183B5F">
              <w:rPr>
                <w:sz w:val="22"/>
                <w:lang w:val="hu-HU"/>
              </w:rPr>
              <w:t>Klinikai remisszió</w:t>
            </w:r>
          </w:p>
        </w:tc>
        <w:tc>
          <w:tcPr>
            <w:tcW w:w="1212" w:type="dxa"/>
            <w:vAlign w:val="bottom"/>
          </w:tcPr>
          <w:p w14:paraId="45C6DDB9" w14:textId="77777777" w:rsidR="00D0403E" w:rsidRPr="00183B5F" w:rsidRDefault="00943743" w:rsidP="004062FE">
            <w:pPr>
              <w:pStyle w:val="TableText"/>
              <w:keepNext w:val="0"/>
              <w:keepLines w:val="0"/>
              <w:suppressAutoHyphens w:val="0"/>
              <w:spacing w:before="0" w:after="0" w:line="240" w:lineRule="auto"/>
              <w:jc w:val="center"/>
              <w:rPr>
                <w:sz w:val="22"/>
                <w:lang w:val="hu-HU"/>
              </w:rPr>
            </w:pPr>
            <w:r w:rsidRPr="00183B5F">
              <w:rPr>
                <w:sz w:val="22"/>
                <w:lang w:val="hu-HU"/>
              </w:rPr>
              <w:t>12%</w:t>
            </w:r>
          </w:p>
        </w:tc>
        <w:tc>
          <w:tcPr>
            <w:tcW w:w="1264" w:type="dxa"/>
            <w:vAlign w:val="bottom"/>
          </w:tcPr>
          <w:p w14:paraId="7934CCFB" w14:textId="77777777" w:rsidR="00D0403E" w:rsidRPr="00183B5F" w:rsidRDefault="00943743" w:rsidP="004062FE">
            <w:pPr>
              <w:pStyle w:val="TableText"/>
              <w:keepNext w:val="0"/>
              <w:keepLines w:val="0"/>
              <w:suppressAutoHyphens w:val="0"/>
              <w:spacing w:before="0" w:after="0" w:line="240" w:lineRule="auto"/>
              <w:jc w:val="center"/>
              <w:rPr>
                <w:sz w:val="22"/>
                <w:lang w:val="hu-HU"/>
              </w:rPr>
            </w:pPr>
            <w:r w:rsidRPr="00183B5F">
              <w:rPr>
                <w:sz w:val="22"/>
                <w:lang w:val="hu-HU"/>
              </w:rPr>
              <w:t>24%</w:t>
            </w:r>
          </w:p>
        </w:tc>
        <w:tc>
          <w:tcPr>
            <w:tcW w:w="1312" w:type="dxa"/>
            <w:vAlign w:val="bottom"/>
          </w:tcPr>
          <w:p w14:paraId="79A8C406" w14:textId="77777777" w:rsidR="00D0403E" w:rsidRPr="00183B5F" w:rsidRDefault="00943743" w:rsidP="004062FE">
            <w:pPr>
              <w:pStyle w:val="TableText"/>
              <w:keepNext w:val="0"/>
              <w:keepLines w:val="0"/>
              <w:suppressAutoHyphens w:val="0"/>
              <w:spacing w:before="0" w:after="0" w:line="240" w:lineRule="auto"/>
              <w:jc w:val="center"/>
              <w:rPr>
                <w:sz w:val="22"/>
                <w:lang w:val="hu-HU"/>
              </w:rPr>
            </w:pPr>
            <w:r w:rsidRPr="00183B5F">
              <w:rPr>
                <w:sz w:val="22"/>
                <w:lang w:val="hu-HU"/>
              </w:rPr>
              <w:t>36%</w:t>
            </w:r>
            <w:r w:rsidRPr="00183B5F">
              <w:rPr>
                <w:sz w:val="22"/>
                <w:vertAlign w:val="superscript"/>
                <w:lang w:val="hu-HU"/>
              </w:rPr>
              <w:t>*</w:t>
            </w:r>
          </w:p>
        </w:tc>
        <w:tc>
          <w:tcPr>
            <w:tcW w:w="1400" w:type="dxa"/>
            <w:vAlign w:val="bottom"/>
          </w:tcPr>
          <w:p w14:paraId="5A750A59" w14:textId="77777777" w:rsidR="00D0403E" w:rsidRPr="00183B5F" w:rsidRDefault="00943743" w:rsidP="004062FE">
            <w:pPr>
              <w:pStyle w:val="TableText"/>
              <w:keepNext w:val="0"/>
              <w:keepLines w:val="0"/>
              <w:suppressAutoHyphens w:val="0"/>
              <w:spacing w:before="0" w:after="0" w:line="240" w:lineRule="auto"/>
              <w:jc w:val="center"/>
              <w:rPr>
                <w:sz w:val="22"/>
                <w:lang w:val="hu-HU"/>
              </w:rPr>
            </w:pPr>
            <w:r w:rsidRPr="00183B5F">
              <w:rPr>
                <w:sz w:val="22"/>
                <w:lang w:val="hu-HU"/>
              </w:rPr>
              <w:t>7%</w:t>
            </w:r>
          </w:p>
        </w:tc>
        <w:tc>
          <w:tcPr>
            <w:tcW w:w="1596" w:type="dxa"/>
            <w:vAlign w:val="bottom"/>
          </w:tcPr>
          <w:p w14:paraId="571ACF06" w14:textId="77777777" w:rsidR="00D0403E" w:rsidRPr="00183B5F" w:rsidRDefault="00943743" w:rsidP="004062FE">
            <w:pPr>
              <w:pStyle w:val="TableText"/>
              <w:keepNext w:val="0"/>
              <w:keepLines w:val="0"/>
              <w:suppressAutoHyphens w:val="0"/>
              <w:spacing w:before="0" w:after="0" w:line="240" w:lineRule="auto"/>
              <w:jc w:val="center"/>
              <w:rPr>
                <w:sz w:val="22"/>
                <w:lang w:val="hu-HU"/>
              </w:rPr>
            </w:pPr>
            <w:r w:rsidRPr="00183B5F">
              <w:rPr>
                <w:sz w:val="22"/>
                <w:lang w:val="hu-HU"/>
              </w:rPr>
              <w:t>21%</w:t>
            </w:r>
            <w:r w:rsidRPr="00183B5F">
              <w:rPr>
                <w:sz w:val="22"/>
                <w:vertAlign w:val="superscript"/>
                <w:lang w:val="hu-HU"/>
              </w:rPr>
              <w:t>*</w:t>
            </w:r>
          </w:p>
        </w:tc>
      </w:tr>
      <w:tr w:rsidR="00011D2F" w14:paraId="3D4C5E96" w14:textId="77777777" w:rsidTr="00D0403E">
        <w:trPr>
          <w:cantSplit/>
        </w:trPr>
        <w:tc>
          <w:tcPr>
            <w:tcW w:w="2416" w:type="dxa"/>
          </w:tcPr>
          <w:p w14:paraId="1A54AE04" w14:textId="77777777" w:rsidR="00D0403E" w:rsidRPr="00183B5F" w:rsidRDefault="00943743" w:rsidP="004062FE">
            <w:pPr>
              <w:pStyle w:val="TableText"/>
              <w:keepNext w:val="0"/>
              <w:keepLines w:val="0"/>
              <w:suppressAutoHyphens w:val="0"/>
              <w:spacing w:before="0" w:after="0" w:line="240" w:lineRule="auto"/>
              <w:rPr>
                <w:sz w:val="22"/>
                <w:lang w:val="hu-HU"/>
              </w:rPr>
            </w:pPr>
            <w:r w:rsidRPr="00183B5F">
              <w:rPr>
                <w:sz w:val="22"/>
                <w:lang w:val="hu-HU"/>
              </w:rPr>
              <w:t>Klinikai válasz (CR</w:t>
            </w:r>
            <w:r w:rsidR="000135CA" w:rsidRPr="00183B5F">
              <w:rPr>
                <w:sz w:val="22"/>
                <w:lang w:val="hu-HU"/>
              </w:rPr>
              <w:noBreakHyphen/>
            </w:r>
            <w:r w:rsidRPr="00183B5F">
              <w:rPr>
                <w:sz w:val="22"/>
                <w:lang w:val="hu-HU"/>
              </w:rPr>
              <w:t>100)</w:t>
            </w:r>
          </w:p>
        </w:tc>
        <w:tc>
          <w:tcPr>
            <w:tcW w:w="1212" w:type="dxa"/>
          </w:tcPr>
          <w:p w14:paraId="3DA48DF2" w14:textId="77777777" w:rsidR="00D0403E" w:rsidRPr="00183B5F" w:rsidRDefault="00943743" w:rsidP="004062FE">
            <w:pPr>
              <w:pStyle w:val="TableText"/>
              <w:keepNext w:val="0"/>
              <w:keepLines w:val="0"/>
              <w:suppressAutoHyphens w:val="0"/>
              <w:spacing w:before="0" w:after="0" w:line="240" w:lineRule="auto"/>
              <w:jc w:val="center"/>
              <w:rPr>
                <w:sz w:val="22"/>
                <w:lang w:val="hu-HU"/>
              </w:rPr>
            </w:pPr>
            <w:r w:rsidRPr="00183B5F">
              <w:rPr>
                <w:sz w:val="22"/>
                <w:lang w:val="hu-HU"/>
              </w:rPr>
              <w:t>24%</w:t>
            </w:r>
          </w:p>
        </w:tc>
        <w:tc>
          <w:tcPr>
            <w:tcW w:w="1264" w:type="dxa"/>
          </w:tcPr>
          <w:p w14:paraId="6CE6431F" w14:textId="77777777" w:rsidR="00D0403E" w:rsidRPr="00183B5F" w:rsidRDefault="00943743" w:rsidP="004062FE">
            <w:pPr>
              <w:pStyle w:val="TableText"/>
              <w:keepNext w:val="0"/>
              <w:keepLines w:val="0"/>
              <w:suppressAutoHyphens w:val="0"/>
              <w:spacing w:before="0" w:after="0" w:line="240" w:lineRule="auto"/>
              <w:jc w:val="center"/>
              <w:rPr>
                <w:sz w:val="22"/>
                <w:lang w:val="hu-HU"/>
              </w:rPr>
            </w:pPr>
            <w:r w:rsidRPr="00183B5F">
              <w:rPr>
                <w:sz w:val="22"/>
                <w:lang w:val="hu-HU"/>
              </w:rPr>
              <w:t>37%</w:t>
            </w:r>
          </w:p>
        </w:tc>
        <w:tc>
          <w:tcPr>
            <w:tcW w:w="1312" w:type="dxa"/>
          </w:tcPr>
          <w:p w14:paraId="58A9DDAB" w14:textId="77777777" w:rsidR="00D0403E" w:rsidRPr="00183B5F" w:rsidRDefault="00943743" w:rsidP="004062FE">
            <w:pPr>
              <w:pStyle w:val="TableText"/>
              <w:keepNext w:val="0"/>
              <w:keepLines w:val="0"/>
              <w:suppressAutoHyphens w:val="0"/>
              <w:spacing w:before="0" w:after="0" w:line="240" w:lineRule="auto"/>
              <w:jc w:val="center"/>
              <w:rPr>
                <w:sz w:val="22"/>
                <w:lang w:val="hu-HU"/>
              </w:rPr>
            </w:pPr>
            <w:r w:rsidRPr="00183B5F">
              <w:rPr>
                <w:sz w:val="22"/>
                <w:lang w:val="hu-HU"/>
              </w:rPr>
              <w:t>49%</w:t>
            </w:r>
            <w:r w:rsidRPr="00183B5F">
              <w:rPr>
                <w:sz w:val="22"/>
                <w:vertAlign w:val="superscript"/>
                <w:lang w:val="hu-HU"/>
              </w:rPr>
              <w:t>**</w:t>
            </w:r>
          </w:p>
        </w:tc>
        <w:tc>
          <w:tcPr>
            <w:tcW w:w="1400" w:type="dxa"/>
          </w:tcPr>
          <w:p w14:paraId="07A9C80F" w14:textId="77777777" w:rsidR="00D0403E" w:rsidRPr="00183B5F" w:rsidRDefault="00943743" w:rsidP="004062FE">
            <w:pPr>
              <w:pStyle w:val="TableText"/>
              <w:keepNext w:val="0"/>
              <w:keepLines w:val="0"/>
              <w:suppressAutoHyphens w:val="0"/>
              <w:spacing w:before="0" w:after="0" w:line="240" w:lineRule="auto"/>
              <w:jc w:val="center"/>
              <w:rPr>
                <w:sz w:val="22"/>
                <w:lang w:val="hu-HU"/>
              </w:rPr>
            </w:pPr>
            <w:r w:rsidRPr="00183B5F">
              <w:rPr>
                <w:sz w:val="22"/>
                <w:lang w:val="hu-HU"/>
              </w:rPr>
              <w:t>25%</w:t>
            </w:r>
          </w:p>
        </w:tc>
        <w:tc>
          <w:tcPr>
            <w:tcW w:w="1596" w:type="dxa"/>
          </w:tcPr>
          <w:p w14:paraId="176CA03F" w14:textId="77777777" w:rsidR="00D0403E" w:rsidRPr="00183B5F" w:rsidRDefault="00943743" w:rsidP="004062FE">
            <w:pPr>
              <w:pStyle w:val="TableText"/>
              <w:keepNext w:val="0"/>
              <w:keepLines w:val="0"/>
              <w:suppressAutoHyphens w:val="0"/>
              <w:spacing w:before="0" w:after="0" w:line="240" w:lineRule="auto"/>
              <w:jc w:val="center"/>
              <w:rPr>
                <w:sz w:val="22"/>
                <w:lang w:val="hu-HU"/>
              </w:rPr>
            </w:pPr>
            <w:r w:rsidRPr="00183B5F">
              <w:rPr>
                <w:sz w:val="22"/>
                <w:lang w:val="hu-HU"/>
              </w:rPr>
              <w:t>38%</w:t>
            </w:r>
            <w:r w:rsidRPr="00183B5F">
              <w:rPr>
                <w:sz w:val="22"/>
                <w:vertAlign w:val="superscript"/>
                <w:lang w:val="hu-HU"/>
              </w:rPr>
              <w:t>**</w:t>
            </w:r>
          </w:p>
        </w:tc>
      </w:tr>
      <w:tr w:rsidR="00011D2F" w14:paraId="5D1FFCC5" w14:textId="77777777" w:rsidTr="00D0403E">
        <w:trPr>
          <w:cantSplit/>
        </w:trPr>
        <w:tc>
          <w:tcPr>
            <w:tcW w:w="9200" w:type="dxa"/>
            <w:gridSpan w:val="6"/>
            <w:tcBorders>
              <w:left w:val="nil"/>
              <w:bottom w:val="nil"/>
              <w:right w:val="nil"/>
            </w:tcBorders>
          </w:tcPr>
          <w:p w14:paraId="35D58832" w14:textId="77777777" w:rsidR="00D0403E" w:rsidRPr="00183B5F" w:rsidRDefault="00943743" w:rsidP="004062FE">
            <w:pPr>
              <w:pStyle w:val="TableText"/>
              <w:keepNext w:val="0"/>
              <w:keepLines w:val="0"/>
              <w:suppressAutoHyphens w:val="0"/>
              <w:spacing w:before="0" w:after="0" w:line="240" w:lineRule="auto"/>
              <w:rPr>
                <w:sz w:val="22"/>
                <w:szCs w:val="22"/>
                <w:lang w:val="hu-HU"/>
              </w:rPr>
            </w:pPr>
            <w:r w:rsidRPr="00183B5F">
              <w:rPr>
                <w:sz w:val="22"/>
                <w:szCs w:val="22"/>
                <w:lang w:val="hu-HU"/>
              </w:rPr>
              <w:t xml:space="preserve">Az összes p-érték a Humira </w:t>
            </w:r>
            <w:r w:rsidRPr="00183B5F">
              <w:rPr>
                <w:i/>
                <w:sz w:val="22"/>
                <w:szCs w:val="22"/>
                <w:lang w:val="hu-HU"/>
              </w:rPr>
              <w:t>versus</w:t>
            </w:r>
            <w:r w:rsidRPr="00183B5F">
              <w:rPr>
                <w:sz w:val="22"/>
                <w:szCs w:val="22"/>
                <w:lang w:val="hu-HU"/>
              </w:rPr>
              <w:t xml:space="preserve"> placebokezelés során regisztrált részarányok páronkénti összehasonlításaira vonatkozik.</w:t>
            </w:r>
          </w:p>
          <w:p w14:paraId="5BD6A8A0" w14:textId="77777777" w:rsidR="00D0403E" w:rsidRPr="00183B5F" w:rsidRDefault="00943743" w:rsidP="004062FE">
            <w:pPr>
              <w:pStyle w:val="TableText"/>
              <w:keepNext w:val="0"/>
              <w:keepLines w:val="0"/>
              <w:suppressAutoHyphens w:val="0"/>
              <w:spacing w:before="0" w:after="0" w:line="240" w:lineRule="auto"/>
              <w:rPr>
                <w:sz w:val="22"/>
                <w:lang w:val="hu-HU"/>
              </w:rPr>
            </w:pPr>
            <w:r w:rsidRPr="00183B5F">
              <w:rPr>
                <w:sz w:val="22"/>
                <w:vertAlign w:val="superscript"/>
                <w:lang w:val="hu-HU"/>
              </w:rPr>
              <w:t>*</w:t>
            </w:r>
            <w:r w:rsidRPr="00183B5F">
              <w:rPr>
                <w:sz w:val="22"/>
                <w:lang w:val="hu-HU"/>
              </w:rPr>
              <w:tab/>
              <w:t>p &lt; 0,001</w:t>
            </w:r>
          </w:p>
          <w:p w14:paraId="550FE062" w14:textId="77777777" w:rsidR="00D0403E" w:rsidRPr="00183B5F" w:rsidRDefault="00943743" w:rsidP="004062FE">
            <w:pPr>
              <w:pStyle w:val="TableText"/>
              <w:keepNext w:val="0"/>
              <w:keepLines w:val="0"/>
              <w:suppressAutoHyphens w:val="0"/>
              <w:spacing w:before="0" w:after="0" w:line="240" w:lineRule="auto"/>
              <w:rPr>
                <w:sz w:val="22"/>
                <w:lang w:val="hu-HU"/>
              </w:rPr>
            </w:pPr>
            <w:r w:rsidRPr="00183B5F">
              <w:rPr>
                <w:sz w:val="22"/>
                <w:vertAlign w:val="superscript"/>
                <w:lang w:val="hu-HU"/>
              </w:rPr>
              <w:t>**</w:t>
            </w:r>
            <w:r w:rsidRPr="00183B5F">
              <w:rPr>
                <w:sz w:val="22"/>
                <w:lang w:val="hu-HU"/>
              </w:rPr>
              <w:tab/>
              <w:t>p &lt; 0,01</w:t>
            </w:r>
          </w:p>
        </w:tc>
      </w:tr>
    </w:tbl>
    <w:p w14:paraId="2F31045C" w14:textId="77777777" w:rsidR="00D0403E" w:rsidRPr="00183B5F" w:rsidRDefault="00D0403E" w:rsidP="004062FE">
      <w:pPr>
        <w:suppressAutoHyphens w:val="0"/>
        <w:spacing w:line="240" w:lineRule="auto"/>
        <w:rPr>
          <w:szCs w:val="22"/>
        </w:rPr>
      </w:pPr>
    </w:p>
    <w:p w14:paraId="0680FB64" w14:textId="77777777" w:rsidR="00D0403E" w:rsidRPr="00183B5F" w:rsidRDefault="00943743" w:rsidP="004062FE">
      <w:pPr>
        <w:suppressAutoHyphens w:val="0"/>
        <w:spacing w:line="240" w:lineRule="auto"/>
        <w:rPr>
          <w:szCs w:val="22"/>
        </w:rPr>
      </w:pPr>
      <w:r w:rsidRPr="00183B5F">
        <w:rPr>
          <w:szCs w:val="22"/>
        </w:rPr>
        <w:t>A 160/80 mg, illetve a 80/40 mg dózisú indukciós kezelések után a 8. héten hasonló remissziós rátát regisztráltak; a 160/80 mg dózis</w:t>
      </w:r>
      <w:r w:rsidR="000135CA" w:rsidRPr="00183B5F">
        <w:rPr>
          <w:szCs w:val="22"/>
        </w:rPr>
        <w:t>s</w:t>
      </w:r>
      <w:r w:rsidRPr="00183B5F">
        <w:rPr>
          <w:szCs w:val="22"/>
        </w:rPr>
        <w:t>al kezelt csoportban gyakrabban észleltek mellékhatásokat.</w:t>
      </w:r>
    </w:p>
    <w:p w14:paraId="1D38E720" w14:textId="77777777" w:rsidR="00D0403E" w:rsidRPr="00183B5F" w:rsidRDefault="00D0403E" w:rsidP="004062FE">
      <w:pPr>
        <w:suppressAutoHyphens w:val="0"/>
        <w:spacing w:line="240" w:lineRule="auto"/>
        <w:rPr>
          <w:szCs w:val="22"/>
        </w:rPr>
      </w:pPr>
    </w:p>
    <w:p w14:paraId="2B076827" w14:textId="77777777" w:rsidR="00D0403E" w:rsidRPr="00183B5F" w:rsidRDefault="00943743" w:rsidP="004062FE">
      <w:pPr>
        <w:spacing w:line="240" w:lineRule="auto"/>
        <w:rPr>
          <w:szCs w:val="22"/>
        </w:rPr>
      </w:pPr>
      <w:r w:rsidRPr="00183B5F">
        <w:rPr>
          <w:szCs w:val="22"/>
        </w:rPr>
        <w:t>A CD III vizsgálat 4. hetében a betegek 58%</w:t>
      </w:r>
      <w:r w:rsidRPr="00183B5F">
        <w:rPr>
          <w:szCs w:val="22"/>
        </w:rPr>
        <w:noBreakHyphen/>
        <w:t>án (499/854) mutatkozott klinikai hatás; a primer elemzést ezeknek a résztvevőknek az eredményein végezték el. A kezelésre a 4. héten klinikailag reagáló betegek 48%</w:t>
      </w:r>
      <w:r w:rsidRPr="00183B5F">
        <w:rPr>
          <w:szCs w:val="22"/>
        </w:rPr>
        <w:noBreakHyphen/>
        <w:t>át korábban már kezelték más TNF</w:t>
      </w:r>
      <w:r w:rsidRPr="00183B5F">
        <w:rPr>
          <w:szCs w:val="22"/>
        </w:rPr>
        <w:noBreakHyphen/>
        <w:t xml:space="preserve">antagonistával. A tartós remissziót elért, illetve a kezelésre reagáló betegek részarányát a </w:t>
      </w:r>
      <w:r w:rsidR="00DD5E3A" w:rsidRPr="00183B5F">
        <w:rPr>
          <w:szCs w:val="22"/>
        </w:rPr>
        <w:t>22</w:t>
      </w:r>
      <w:r w:rsidRPr="00183B5F">
        <w:rPr>
          <w:szCs w:val="22"/>
        </w:rPr>
        <w:t>. táblázat mutatja be. A klinikai remisszióban lévő betegek részaránya viszonylag állandó maradt, függetlenül a TNF</w:t>
      </w:r>
      <w:r w:rsidRPr="00183B5F">
        <w:rPr>
          <w:szCs w:val="22"/>
        </w:rPr>
        <w:noBreakHyphen/>
        <w:t>antagonista</w:t>
      </w:r>
      <w:r w:rsidR="000135CA" w:rsidRPr="00183B5F">
        <w:rPr>
          <w:szCs w:val="22"/>
        </w:rPr>
        <w:t>-</w:t>
      </w:r>
      <w:r w:rsidRPr="00183B5F">
        <w:rPr>
          <w:szCs w:val="22"/>
        </w:rPr>
        <w:t xml:space="preserve">expozíciótól. </w:t>
      </w:r>
    </w:p>
    <w:p w14:paraId="56337C7B" w14:textId="77777777" w:rsidR="00D0403E" w:rsidRPr="00183B5F" w:rsidRDefault="00D0403E" w:rsidP="004062FE">
      <w:pPr>
        <w:spacing w:line="240" w:lineRule="auto"/>
        <w:rPr>
          <w:szCs w:val="22"/>
        </w:rPr>
      </w:pPr>
    </w:p>
    <w:p w14:paraId="103B4C22" w14:textId="77777777" w:rsidR="00D0403E" w:rsidRPr="00183B5F" w:rsidRDefault="00943743" w:rsidP="004062FE">
      <w:pPr>
        <w:spacing w:line="240" w:lineRule="auto"/>
        <w:rPr>
          <w:szCs w:val="22"/>
        </w:rPr>
      </w:pPr>
      <w:r w:rsidRPr="00183B5F">
        <w:rPr>
          <w:szCs w:val="22"/>
        </w:rPr>
        <w:t>Az 56. hétre a placebóhoz képest az adalimumab esetén statisztikailag szignifikánsan csökkent a betegséggel összefüggő hospitalizációk és műtétek száma.</w:t>
      </w:r>
    </w:p>
    <w:p w14:paraId="4DE478D6" w14:textId="77777777" w:rsidR="00D0403E" w:rsidRPr="00183B5F" w:rsidRDefault="00D0403E" w:rsidP="004062FE">
      <w:pPr>
        <w:suppressAutoHyphens w:val="0"/>
        <w:spacing w:line="240" w:lineRule="auto"/>
        <w:rPr>
          <w:szCs w:val="22"/>
        </w:rPr>
      </w:pPr>
    </w:p>
    <w:p w14:paraId="50FC8454" w14:textId="77777777" w:rsidR="00D0403E" w:rsidRPr="00183B5F" w:rsidRDefault="00943743" w:rsidP="00FE0197">
      <w:pPr>
        <w:suppressAutoHyphens w:val="0"/>
        <w:spacing w:line="240" w:lineRule="auto"/>
        <w:jc w:val="center"/>
        <w:rPr>
          <w:b/>
          <w:szCs w:val="22"/>
        </w:rPr>
      </w:pPr>
      <w:r w:rsidRPr="00183B5F">
        <w:rPr>
          <w:b/>
          <w:szCs w:val="22"/>
        </w:rPr>
        <w:t>2</w:t>
      </w:r>
      <w:r w:rsidR="00DD5E3A" w:rsidRPr="00183B5F">
        <w:rPr>
          <w:b/>
          <w:szCs w:val="22"/>
        </w:rPr>
        <w:t>2</w:t>
      </w:r>
      <w:r w:rsidRPr="00183B5F">
        <w:rPr>
          <w:b/>
          <w:szCs w:val="22"/>
        </w:rPr>
        <w:t xml:space="preserve">. táblázat </w:t>
      </w:r>
    </w:p>
    <w:p w14:paraId="026D7B83" w14:textId="77777777" w:rsidR="00D0403E" w:rsidRPr="00183B5F" w:rsidRDefault="00943743" w:rsidP="00FE0197">
      <w:pPr>
        <w:suppressAutoHyphens w:val="0"/>
        <w:spacing w:line="240" w:lineRule="auto"/>
        <w:jc w:val="center"/>
        <w:rPr>
          <w:b/>
          <w:szCs w:val="22"/>
        </w:rPr>
      </w:pPr>
      <w:r w:rsidRPr="00183B5F">
        <w:rPr>
          <w:b/>
          <w:szCs w:val="22"/>
        </w:rPr>
        <w:t>A klinikai remisszió és válasz fenntartása</w:t>
      </w:r>
    </w:p>
    <w:p w14:paraId="3D2800C5" w14:textId="77777777" w:rsidR="00D0403E" w:rsidRPr="00183B5F" w:rsidRDefault="00943743" w:rsidP="00FE0197">
      <w:pPr>
        <w:suppressAutoHyphens w:val="0"/>
        <w:spacing w:line="240" w:lineRule="auto"/>
        <w:jc w:val="center"/>
        <w:rPr>
          <w:b/>
          <w:szCs w:val="22"/>
        </w:rPr>
      </w:pPr>
      <w:r w:rsidRPr="00183B5F">
        <w:rPr>
          <w:b/>
          <w:szCs w:val="22"/>
        </w:rPr>
        <w:t>(betegek százaléka)</w:t>
      </w:r>
    </w:p>
    <w:p w14:paraId="42B2578A" w14:textId="77777777" w:rsidR="00D0403E" w:rsidRPr="00183B5F" w:rsidRDefault="00D0403E" w:rsidP="00FE0197">
      <w:pPr>
        <w:suppressAutoHyphens w:val="0"/>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6"/>
        <w:gridCol w:w="1710"/>
        <w:gridCol w:w="1885"/>
        <w:gridCol w:w="1820"/>
      </w:tblGrid>
      <w:tr w:rsidR="00011D2F" w14:paraId="1C2F7D65" w14:textId="77777777" w:rsidTr="00D0403E">
        <w:tc>
          <w:tcPr>
            <w:tcW w:w="3747" w:type="dxa"/>
          </w:tcPr>
          <w:p w14:paraId="4ED52F09" w14:textId="77777777" w:rsidR="00D0403E" w:rsidRPr="00183B5F" w:rsidRDefault="00D0403E" w:rsidP="00FE0197">
            <w:pPr>
              <w:pStyle w:val="TableText"/>
              <w:keepNext w:val="0"/>
              <w:keepLines w:val="0"/>
              <w:suppressAutoHyphens w:val="0"/>
              <w:spacing w:before="0" w:after="0" w:line="240" w:lineRule="auto"/>
              <w:rPr>
                <w:b/>
                <w:bCs/>
                <w:sz w:val="22"/>
                <w:szCs w:val="22"/>
                <w:lang w:val="hu-HU"/>
              </w:rPr>
            </w:pPr>
          </w:p>
        </w:tc>
        <w:tc>
          <w:tcPr>
            <w:tcW w:w="1751" w:type="dxa"/>
          </w:tcPr>
          <w:p w14:paraId="637A474E" w14:textId="77777777" w:rsidR="00D0403E" w:rsidRPr="00183B5F" w:rsidRDefault="00943743" w:rsidP="00FE0197">
            <w:pPr>
              <w:pStyle w:val="TableText"/>
              <w:keepNext w:val="0"/>
              <w:keepLines w:val="0"/>
              <w:suppressAutoHyphens w:val="0"/>
              <w:spacing w:before="0" w:after="0" w:line="240" w:lineRule="auto"/>
              <w:jc w:val="center"/>
              <w:rPr>
                <w:b/>
                <w:sz w:val="22"/>
                <w:lang w:val="hu-HU"/>
              </w:rPr>
            </w:pPr>
            <w:r w:rsidRPr="00183B5F">
              <w:rPr>
                <w:b/>
                <w:sz w:val="22"/>
                <w:lang w:val="hu-HU"/>
              </w:rPr>
              <w:t>Placebo</w:t>
            </w:r>
          </w:p>
        </w:tc>
        <w:tc>
          <w:tcPr>
            <w:tcW w:w="1928" w:type="dxa"/>
          </w:tcPr>
          <w:p w14:paraId="650E6FC6" w14:textId="77777777" w:rsidR="00D0403E" w:rsidRPr="00183B5F" w:rsidRDefault="00943743" w:rsidP="00FE0197">
            <w:pPr>
              <w:pStyle w:val="TableText"/>
              <w:keepNext w:val="0"/>
              <w:keepLines w:val="0"/>
              <w:suppressAutoHyphens w:val="0"/>
              <w:spacing w:before="0" w:after="0" w:line="240" w:lineRule="auto"/>
              <w:jc w:val="center"/>
              <w:rPr>
                <w:b/>
                <w:sz w:val="22"/>
                <w:lang w:val="hu-HU"/>
              </w:rPr>
            </w:pPr>
            <w:r w:rsidRPr="00183B5F">
              <w:rPr>
                <w:b/>
                <w:sz w:val="22"/>
                <w:lang w:val="hu-HU"/>
              </w:rPr>
              <w:t>40 mg Humira</w:t>
            </w:r>
            <w:r w:rsidRPr="00183B5F">
              <w:rPr>
                <w:b/>
                <w:sz w:val="22"/>
                <w:lang w:val="hu-HU"/>
              </w:rPr>
              <w:br/>
              <w:t>minden második héten</w:t>
            </w:r>
          </w:p>
        </w:tc>
        <w:tc>
          <w:tcPr>
            <w:tcW w:w="1859" w:type="dxa"/>
          </w:tcPr>
          <w:p w14:paraId="75E2E31B" w14:textId="77777777" w:rsidR="00D0403E" w:rsidRPr="00183B5F" w:rsidRDefault="00943743" w:rsidP="00FE0197">
            <w:pPr>
              <w:pStyle w:val="TableText"/>
              <w:keepNext w:val="0"/>
              <w:keepLines w:val="0"/>
              <w:suppressAutoHyphens w:val="0"/>
              <w:spacing w:before="0" w:after="0" w:line="240" w:lineRule="auto"/>
              <w:jc w:val="center"/>
              <w:rPr>
                <w:b/>
                <w:sz w:val="22"/>
                <w:lang w:val="hu-HU"/>
              </w:rPr>
            </w:pPr>
            <w:r w:rsidRPr="00183B5F">
              <w:rPr>
                <w:b/>
                <w:sz w:val="22"/>
                <w:lang w:val="hu-HU"/>
              </w:rPr>
              <w:t>40 mg Humira</w:t>
            </w:r>
            <w:r w:rsidRPr="00183B5F">
              <w:rPr>
                <w:b/>
                <w:sz w:val="22"/>
                <w:lang w:val="hu-HU"/>
              </w:rPr>
              <w:br/>
              <w:t>hetente</w:t>
            </w:r>
          </w:p>
        </w:tc>
      </w:tr>
      <w:tr w:rsidR="00011D2F" w14:paraId="72A2D8CC" w14:textId="77777777" w:rsidTr="00D0403E">
        <w:tc>
          <w:tcPr>
            <w:tcW w:w="3747" w:type="dxa"/>
          </w:tcPr>
          <w:p w14:paraId="64EA4576" w14:textId="77777777" w:rsidR="00D0403E" w:rsidRPr="00183B5F" w:rsidRDefault="00943743" w:rsidP="00FE0197">
            <w:pPr>
              <w:pStyle w:val="TableText"/>
              <w:keepNext w:val="0"/>
              <w:keepLines w:val="0"/>
              <w:suppressAutoHyphens w:val="0"/>
              <w:spacing w:before="0" w:after="0" w:line="240" w:lineRule="auto"/>
              <w:rPr>
                <w:b/>
                <w:sz w:val="22"/>
                <w:lang w:val="hu-HU"/>
              </w:rPr>
            </w:pPr>
            <w:r w:rsidRPr="00183B5F">
              <w:rPr>
                <w:b/>
                <w:sz w:val="22"/>
                <w:lang w:val="hu-HU"/>
              </w:rPr>
              <w:t>26. hét</w:t>
            </w:r>
          </w:p>
        </w:tc>
        <w:tc>
          <w:tcPr>
            <w:tcW w:w="1751" w:type="dxa"/>
          </w:tcPr>
          <w:p w14:paraId="0A779B6F" w14:textId="77777777" w:rsidR="00D0403E" w:rsidRPr="00183B5F" w:rsidRDefault="00943743" w:rsidP="00FE0197">
            <w:pPr>
              <w:pStyle w:val="TableText"/>
              <w:keepNext w:val="0"/>
              <w:keepLines w:val="0"/>
              <w:suppressAutoHyphens w:val="0"/>
              <w:spacing w:before="0" w:after="0" w:line="240" w:lineRule="auto"/>
              <w:jc w:val="center"/>
              <w:rPr>
                <w:b/>
                <w:sz w:val="22"/>
                <w:lang w:val="hu-HU"/>
              </w:rPr>
            </w:pPr>
            <w:r w:rsidRPr="00183B5F">
              <w:rPr>
                <w:b/>
                <w:sz w:val="22"/>
                <w:lang w:val="hu-HU"/>
              </w:rPr>
              <w:t>N</w:t>
            </w:r>
            <w:r w:rsidR="00A05BD2" w:rsidRPr="00183B5F">
              <w:rPr>
                <w:b/>
                <w:sz w:val="22"/>
                <w:lang w:val="hu-HU"/>
              </w:rPr>
              <w:t> </w:t>
            </w:r>
            <w:r w:rsidRPr="00183B5F">
              <w:rPr>
                <w:b/>
                <w:sz w:val="22"/>
                <w:lang w:val="hu-HU"/>
              </w:rPr>
              <w:t>=</w:t>
            </w:r>
            <w:r w:rsidR="00A05BD2" w:rsidRPr="00183B5F">
              <w:rPr>
                <w:b/>
                <w:sz w:val="22"/>
                <w:lang w:val="hu-HU"/>
              </w:rPr>
              <w:t> </w:t>
            </w:r>
            <w:r w:rsidRPr="00183B5F">
              <w:rPr>
                <w:b/>
                <w:sz w:val="22"/>
                <w:lang w:val="hu-HU"/>
              </w:rPr>
              <w:t>170</w:t>
            </w:r>
          </w:p>
        </w:tc>
        <w:tc>
          <w:tcPr>
            <w:tcW w:w="1928" w:type="dxa"/>
          </w:tcPr>
          <w:p w14:paraId="2992A374" w14:textId="77777777" w:rsidR="00D0403E" w:rsidRPr="00183B5F" w:rsidRDefault="00943743" w:rsidP="00FE0197">
            <w:pPr>
              <w:pStyle w:val="TableText"/>
              <w:keepNext w:val="0"/>
              <w:keepLines w:val="0"/>
              <w:suppressAutoHyphens w:val="0"/>
              <w:spacing w:before="0" w:after="0" w:line="240" w:lineRule="auto"/>
              <w:jc w:val="center"/>
              <w:rPr>
                <w:b/>
                <w:sz w:val="22"/>
                <w:lang w:val="hu-HU"/>
              </w:rPr>
            </w:pPr>
            <w:r w:rsidRPr="00183B5F">
              <w:rPr>
                <w:b/>
                <w:sz w:val="22"/>
                <w:lang w:val="hu-HU"/>
              </w:rPr>
              <w:t>N</w:t>
            </w:r>
            <w:r w:rsidR="00A05BD2" w:rsidRPr="00183B5F">
              <w:rPr>
                <w:b/>
                <w:sz w:val="22"/>
                <w:lang w:val="hu-HU"/>
              </w:rPr>
              <w:t> </w:t>
            </w:r>
            <w:r w:rsidRPr="00183B5F">
              <w:rPr>
                <w:b/>
                <w:sz w:val="22"/>
                <w:lang w:val="hu-HU"/>
              </w:rPr>
              <w:t>=</w:t>
            </w:r>
            <w:r w:rsidR="00A05BD2" w:rsidRPr="00183B5F">
              <w:rPr>
                <w:b/>
                <w:sz w:val="22"/>
                <w:lang w:val="hu-HU"/>
              </w:rPr>
              <w:t> </w:t>
            </w:r>
            <w:r w:rsidRPr="00183B5F">
              <w:rPr>
                <w:b/>
                <w:sz w:val="22"/>
                <w:lang w:val="hu-HU"/>
              </w:rPr>
              <w:t>172</w:t>
            </w:r>
          </w:p>
        </w:tc>
        <w:tc>
          <w:tcPr>
            <w:tcW w:w="1859" w:type="dxa"/>
          </w:tcPr>
          <w:p w14:paraId="79956078" w14:textId="77777777" w:rsidR="00D0403E" w:rsidRPr="00183B5F" w:rsidRDefault="00943743" w:rsidP="00FE0197">
            <w:pPr>
              <w:pStyle w:val="TableText"/>
              <w:keepNext w:val="0"/>
              <w:keepLines w:val="0"/>
              <w:suppressAutoHyphens w:val="0"/>
              <w:spacing w:before="0" w:after="0" w:line="240" w:lineRule="auto"/>
              <w:jc w:val="center"/>
              <w:rPr>
                <w:b/>
                <w:sz w:val="22"/>
                <w:lang w:val="hu-HU"/>
              </w:rPr>
            </w:pPr>
            <w:r w:rsidRPr="00183B5F">
              <w:rPr>
                <w:b/>
                <w:sz w:val="22"/>
                <w:lang w:val="hu-HU"/>
              </w:rPr>
              <w:t>N</w:t>
            </w:r>
            <w:r w:rsidR="00A05BD2" w:rsidRPr="00183B5F">
              <w:rPr>
                <w:b/>
                <w:sz w:val="22"/>
                <w:lang w:val="hu-HU"/>
              </w:rPr>
              <w:t> </w:t>
            </w:r>
            <w:r w:rsidRPr="00183B5F">
              <w:rPr>
                <w:b/>
                <w:sz w:val="22"/>
                <w:lang w:val="hu-HU"/>
              </w:rPr>
              <w:t>=</w:t>
            </w:r>
            <w:r w:rsidR="00A05BD2" w:rsidRPr="00183B5F">
              <w:rPr>
                <w:b/>
                <w:sz w:val="22"/>
                <w:lang w:val="hu-HU"/>
              </w:rPr>
              <w:t> </w:t>
            </w:r>
            <w:r w:rsidRPr="00183B5F">
              <w:rPr>
                <w:b/>
                <w:sz w:val="22"/>
                <w:lang w:val="hu-HU"/>
              </w:rPr>
              <w:t>157</w:t>
            </w:r>
          </w:p>
        </w:tc>
      </w:tr>
      <w:tr w:rsidR="00011D2F" w14:paraId="706C5E37" w14:textId="77777777" w:rsidTr="00D0403E">
        <w:tc>
          <w:tcPr>
            <w:tcW w:w="3747" w:type="dxa"/>
          </w:tcPr>
          <w:p w14:paraId="6C63F807" w14:textId="77777777" w:rsidR="00D0403E" w:rsidRPr="00183B5F" w:rsidRDefault="00943743" w:rsidP="00FE0197">
            <w:pPr>
              <w:pStyle w:val="TableText"/>
              <w:keepNext w:val="0"/>
              <w:keepLines w:val="0"/>
              <w:suppressAutoHyphens w:val="0"/>
              <w:spacing w:before="0" w:after="0" w:line="240" w:lineRule="auto"/>
              <w:rPr>
                <w:sz w:val="22"/>
                <w:lang w:val="hu-HU"/>
              </w:rPr>
            </w:pPr>
            <w:r w:rsidRPr="00183B5F">
              <w:rPr>
                <w:sz w:val="22"/>
                <w:lang w:val="hu-HU"/>
              </w:rPr>
              <w:t>Klinikai remisszió</w:t>
            </w:r>
          </w:p>
        </w:tc>
        <w:tc>
          <w:tcPr>
            <w:tcW w:w="1751" w:type="dxa"/>
          </w:tcPr>
          <w:p w14:paraId="522F105D" w14:textId="77777777" w:rsidR="00D0403E" w:rsidRPr="00183B5F" w:rsidRDefault="00943743" w:rsidP="00FE0197">
            <w:pPr>
              <w:pStyle w:val="TableText"/>
              <w:keepNext w:val="0"/>
              <w:keepLines w:val="0"/>
              <w:suppressAutoHyphens w:val="0"/>
              <w:spacing w:before="0" w:after="0" w:line="240" w:lineRule="auto"/>
              <w:jc w:val="center"/>
              <w:rPr>
                <w:sz w:val="22"/>
                <w:lang w:val="hu-HU"/>
              </w:rPr>
            </w:pPr>
            <w:r w:rsidRPr="00183B5F">
              <w:rPr>
                <w:sz w:val="22"/>
                <w:lang w:val="hu-HU"/>
              </w:rPr>
              <w:t>17%</w:t>
            </w:r>
          </w:p>
        </w:tc>
        <w:tc>
          <w:tcPr>
            <w:tcW w:w="1928" w:type="dxa"/>
          </w:tcPr>
          <w:p w14:paraId="7293A84F" w14:textId="77777777" w:rsidR="00D0403E" w:rsidRPr="00183B5F" w:rsidRDefault="00943743" w:rsidP="00FE0197">
            <w:pPr>
              <w:pStyle w:val="TableText"/>
              <w:keepNext w:val="0"/>
              <w:keepLines w:val="0"/>
              <w:suppressAutoHyphens w:val="0"/>
              <w:spacing w:before="0" w:after="0" w:line="240" w:lineRule="auto"/>
              <w:jc w:val="center"/>
              <w:rPr>
                <w:sz w:val="22"/>
                <w:lang w:val="hu-HU"/>
              </w:rPr>
            </w:pPr>
            <w:r w:rsidRPr="00183B5F">
              <w:rPr>
                <w:sz w:val="22"/>
                <w:lang w:val="hu-HU"/>
              </w:rPr>
              <w:t>40%*</w:t>
            </w:r>
          </w:p>
        </w:tc>
        <w:tc>
          <w:tcPr>
            <w:tcW w:w="1859" w:type="dxa"/>
          </w:tcPr>
          <w:p w14:paraId="25ACC773" w14:textId="77777777" w:rsidR="00D0403E" w:rsidRPr="00183B5F" w:rsidRDefault="00943743" w:rsidP="00FE0197">
            <w:pPr>
              <w:pStyle w:val="TableText"/>
              <w:keepNext w:val="0"/>
              <w:keepLines w:val="0"/>
              <w:suppressAutoHyphens w:val="0"/>
              <w:spacing w:before="0" w:after="0" w:line="240" w:lineRule="auto"/>
              <w:jc w:val="center"/>
              <w:rPr>
                <w:sz w:val="22"/>
                <w:lang w:val="hu-HU"/>
              </w:rPr>
            </w:pPr>
            <w:r w:rsidRPr="00183B5F">
              <w:rPr>
                <w:sz w:val="22"/>
                <w:lang w:val="hu-HU"/>
              </w:rPr>
              <w:t>47%*</w:t>
            </w:r>
          </w:p>
        </w:tc>
      </w:tr>
      <w:tr w:rsidR="00011D2F" w14:paraId="4BD9BE24" w14:textId="77777777" w:rsidTr="00D0403E">
        <w:tc>
          <w:tcPr>
            <w:tcW w:w="3747" w:type="dxa"/>
          </w:tcPr>
          <w:p w14:paraId="08676336" w14:textId="77777777" w:rsidR="00D0403E" w:rsidRPr="00183B5F" w:rsidRDefault="00943743" w:rsidP="00FE0197">
            <w:pPr>
              <w:pStyle w:val="TableText"/>
              <w:keepNext w:val="0"/>
              <w:keepLines w:val="0"/>
              <w:suppressAutoHyphens w:val="0"/>
              <w:spacing w:before="0" w:after="0" w:line="240" w:lineRule="auto"/>
              <w:rPr>
                <w:sz w:val="22"/>
                <w:lang w:val="hu-HU"/>
              </w:rPr>
            </w:pPr>
            <w:r w:rsidRPr="00183B5F">
              <w:rPr>
                <w:sz w:val="22"/>
                <w:lang w:val="hu-HU"/>
              </w:rPr>
              <w:t>Klinikai válasz (CR-100)</w:t>
            </w:r>
          </w:p>
        </w:tc>
        <w:tc>
          <w:tcPr>
            <w:tcW w:w="1751" w:type="dxa"/>
          </w:tcPr>
          <w:p w14:paraId="0155D295" w14:textId="77777777" w:rsidR="00D0403E" w:rsidRPr="00183B5F" w:rsidRDefault="00943743" w:rsidP="00FE0197">
            <w:pPr>
              <w:pStyle w:val="TableText"/>
              <w:keepNext w:val="0"/>
              <w:keepLines w:val="0"/>
              <w:suppressAutoHyphens w:val="0"/>
              <w:spacing w:before="0" w:after="0" w:line="240" w:lineRule="auto"/>
              <w:jc w:val="center"/>
              <w:rPr>
                <w:sz w:val="22"/>
                <w:lang w:val="hu-HU"/>
              </w:rPr>
            </w:pPr>
            <w:r w:rsidRPr="00183B5F">
              <w:rPr>
                <w:sz w:val="22"/>
                <w:lang w:val="hu-HU"/>
              </w:rPr>
              <w:t>27%</w:t>
            </w:r>
          </w:p>
        </w:tc>
        <w:tc>
          <w:tcPr>
            <w:tcW w:w="1928" w:type="dxa"/>
          </w:tcPr>
          <w:p w14:paraId="547C47F0" w14:textId="77777777" w:rsidR="00D0403E" w:rsidRPr="00183B5F" w:rsidRDefault="00943743" w:rsidP="00FE0197">
            <w:pPr>
              <w:pStyle w:val="TableText"/>
              <w:keepNext w:val="0"/>
              <w:keepLines w:val="0"/>
              <w:suppressAutoHyphens w:val="0"/>
              <w:spacing w:before="0" w:after="0" w:line="240" w:lineRule="auto"/>
              <w:jc w:val="center"/>
              <w:rPr>
                <w:sz w:val="22"/>
                <w:lang w:val="hu-HU"/>
              </w:rPr>
            </w:pPr>
            <w:r w:rsidRPr="00183B5F">
              <w:rPr>
                <w:sz w:val="22"/>
                <w:lang w:val="hu-HU"/>
              </w:rPr>
              <w:t>52%*</w:t>
            </w:r>
          </w:p>
        </w:tc>
        <w:tc>
          <w:tcPr>
            <w:tcW w:w="1859" w:type="dxa"/>
          </w:tcPr>
          <w:p w14:paraId="3EE0A9AA" w14:textId="77777777" w:rsidR="00D0403E" w:rsidRPr="00183B5F" w:rsidRDefault="00943743" w:rsidP="00FE0197">
            <w:pPr>
              <w:pStyle w:val="TableText"/>
              <w:keepNext w:val="0"/>
              <w:keepLines w:val="0"/>
              <w:suppressAutoHyphens w:val="0"/>
              <w:spacing w:before="0" w:after="0" w:line="240" w:lineRule="auto"/>
              <w:jc w:val="center"/>
              <w:rPr>
                <w:sz w:val="22"/>
                <w:lang w:val="hu-HU"/>
              </w:rPr>
            </w:pPr>
            <w:r w:rsidRPr="00183B5F">
              <w:rPr>
                <w:sz w:val="22"/>
                <w:lang w:val="hu-HU"/>
              </w:rPr>
              <w:t>52%*</w:t>
            </w:r>
          </w:p>
        </w:tc>
      </w:tr>
      <w:tr w:rsidR="00011D2F" w14:paraId="264FF79E" w14:textId="77777777" w:rsidTr="00D0403E">
        <w:tc>
          <w:tcPr>
            <w:tcW w:w="3747" w:type="dxa"/>
          </w:tcPr>
          <w:p w14:paraId="7B604DAE" w14:textId="77777777" w:rsidR="00D0403E" w:rsidRPr="00183B5F" w:rsidRDefault="00943743" w:rsidP="00FE0197">
            <w:pPr>
              <w:pStyle w:val="TableText"/>
              <w:keepNext w:val="0"/>
              <w:keepLines w:val="0"/>
              <w:suppressAutoHyphens w:val="0"/>
              <w:spacing w:before="0" w:after="0" w:line="240" w:lineRule="auto"/>
              <w:ind w:left="360"/>
              <w:rPr>
                <w:sz w:val="22"/>
                <w:szCs w:val="22"/>
                <w:lang w:val="hu-HU"/>
              </w:rPr>
            </w:pPr>
            <w:r w:rsidRPr="00183B5F">
              <w:rPr>
                <w:sz w:val="22"/>
                <w:szCs w:val="22"/>
                <w:lang w:val="hu-HU"/>
              </w:rPr>
              <w:t xml:space="preserve">Szteroid-kezelés nélkül is </w:t>
            </w:r>
            <w:r w:rsidR="008F1752" w:rsidRPr="00183B5F">
              <w:rPr>
                <w:sz w:val="22"/>
                <w:lang w:val="hu-HU"/>
              </w:rPr>
              <w:t>≥90</w:t>
            </w:r>
            <w:r w:rsidRPr="00183B5F">
              <w:rPr>
                <w:sz w:val="22"/>
                <w:szCs w:val="22"/>
                <w:lang w:val="hu-HU"/>
              </w:rPr>
              <w:t xml:space="preserve"> napja remisszióban lévő betegek</w:t>
            </w:r>
            <w:r w:rsidRPr="00183B5F">
              <w:rPr>
                <w:sz w:val="22"/>
                <w:szCs w:val="22"/>
                <w:vertAlign w:val="superscript"/>
                <w:lang w:val="hu-HU"/>
              </w:rPr>
              <w:t>a</w:t>
            </w:r>
          </w:p>
        </w:tc>
        <w:tc>
          <w:tcPr>
            <w:tcW w:w="1751" w:type="dxa"/>
          </w:tcPr>
          <w:p w14:paraId="38910DEA" w14:textId="77777777" w:rsidR="00D0403E" w:rsidRPr="00183B5F" w:rsidRDefault="00943743" w:rsidP="00FE0197">
            <w:pPr>
              <w:pStyle w:val="TableText"/>
              <w:keepNext w:val="0"/>
              <w:keepLines w:val="0"/>
              <w:suppressAutoHyphens w:val="0"/>
              <w:spacing w:before="0" w:after="0" w:line="240" w:lineRule="auto"/>
              <w:jc w:val="center"/>
              <w:rPr>
                <w:sz w:val="22"/>
                <w:lang w:val="hu-HU"/>
              </w:rPr>
            </w:pPr>
            <w:r w:rsidRPr="00183B5F">
              <w:rPr>
                <w:sz w:val="22"/>
                <w:lang w:val="hu-HU"/>
              </w:rPr>
              <w:t>3% (2/66)</w:t>
            </w:r>
          </w:p>
        </w:tc>
        <w:tc>
          <w:tcPr>
            <w:tcW w:w="1928" w:type="dxa"/>
          </w:tcPr>
          <w:p w14:paraId="2FCF8DAB" w14:textId="77777777" w:rsidR="00D0403E" w:rsidRPr="00183B5F" w:rsidRDefault="00943743" w:rsidP="00FE0197">
            <w:pPr>
              <w:pStyle w:val="TableText"/>
              <w:keepNext w:val="0"/>
              <w:keepLines w:val="0"/>
              <w:suppressAutoHyphens w:val="0"/>
              <w:spacing w:before="0" w:after="0" w:line="240" w:lineRule="auto"/>
              <w:jc w:val="center"/>
              <w:rPr>
                <w:sz w:val="22"/>
                <w:lang w:val="hu-HU"/>
              </w:rPr>
            </w:pPr>
            <w:r w:rsidRPr="00183B5F">
              <w:rPr>
                <w:sz w:val="22"/>
                <w:lang w:val="hu-HU"/>
              </w:rPr>
              <w:t>19% (11/58)**</w:t>
            </w:r>
          </w:p>
        </w:tc>
        <w:tc>
          <w:tcPr>
            <w:tcW w:w="1859" w:type="dxa"/>
          </w:tcPr>
          <w:p w14:paraId="487AB3C9" w14:textId="77777777" w:rsidR="00D0403E" w:rsidRPr="00183B5F" w:rsidRDefault="00943743" w:rsidP="00FE0197">
            <w:pPr>
              <w:pStyle w:val="TableText"/>
              <w:keepNext w:val="0"/>
              <w:keepLines w:val="0"/>
              <w:suppressAutoHyphens w:val="0"/>
              <w:spacing w:before="0" w:after="0" w:line="240" w:lineRule="auto"/>
              <w:jc w:val="center"/>
              <w:rPr>
                <w:sz w:val="22"/>
                <w:lang w:val="hu-HU"/>
              </w:rPr>
            </w:pPr>
            <w:r w:rsidRPr="00183B5F">
              <w:rPr>
                <w:sz w:val="22"/>
                <w:lang w:val="hu-HU"/>
              </w:rPr>
              <w:t>15% (11/74)**</w:t>
            </w:r>
          </w:p>
        </w:tc>
      </w:tr>
      <w:tr w:rsidR="00011D2F" w14:paraId="3CE8A3F8" w14:textId="77777777" w:rsidTr="00D0403E">
        <w:tc>
          <w:tcPr>
            <w:tcW w:w="3747" w:type="dxa"/>
          </w:tcPr>
          <w:p w14:paraId="64DB3AD1" w14:textId="77777777" w:rsidR="00D0403E" w:rsidRPr="00183B5F" w:rsidRDefault="00943743" w:rsidP="00FE0197">
            <w:pPr>
              <w:pStyle w:val="TableText"/>
              <w:keepNext w:val="0"/>
              <w:keepLines w:val="0"/>
              <w:suppressAutoHyphens w:val="0"/>
              <w:spacing w:before="0" w:after="0" w:line="240" w:lineRule="auto"/>
              <w:rPr>
                <w:b/>
                <w:sz w:val="22"/>
                <w:lang w:val="hu-HU"/>
              </w:rPr>
            </w:pPr>
            <w:r w:rsidRPr="00183B5F">
              <w:rPr>
                <w:b/>
                <w:sz w:val="22"/>
                <w:lang w:val="hu-HU"/>
              </w:rPr>
              <w:t>56. hét</w:t>
            </w:r>
          </w:p>
        </w:tc>
        <w:tc>
          <w:tcPr>
            <w:tcW w:w="1751" w:type="dxa"/>
          </w:tcPr>
          <w:p w14:paraId="496C5CA3" w14:textId="77777777" w:rsidR="00D0403E" w:rsidRPr="00183B5F" w:rsidRDefault="00943743" w:rsidP="00FE0197">
            <w:pPr>
              <w:pStyle w:val="TableText"/>
              <w:keepNext w:val="0"/>
              <w:keepLines w:val="0"/>
              <w:suppressAutoHyphens w:val="0"/>
              <w:spacing w:before="0" w:after="0" w:line="240" w:lineRule="auto"/>
              <w:jc w:val="center"/>
              <w:rPr>
                <w:b/>
                <w:sz w:val="22"/>
                <w:lang w:val="hu-HU"/>
              </w:rPr>
            </w:pPr>
            <w:r w:rsidRPr="00183B5F">
              <w:rPr>
                <w:b/>
                <w:sz w:val="22"/>
                <w:lang w:val="hu-HU"/>
              </w:rPr>
              <w:t>N</w:t>
            </w:r>
            <w:r w:rsidR="00A05BD2" w:rsidRPr="00183B5F">
              <w:rPr>
                <w:b/>
                <w:sz w:val="22"/>
                <w:lang w:val="hu-HU"/>
              </w:rPr>
              <w:t> </w:t>
            </w:r>
            <w:r w:rsidRPr="00183B5F">
              <w:rPr>
                <w:b/>
                <w:sz w:val="22"/>
                <w:lang w:val="hu-HU"/>
              </w:rPr>
              <w:t>=</w:t>
            </w:r>
            <w:r w:rsidR="00A05BD2" w:rsidRPr="00183B5F">
              <w:rPr>
                <w:b/>
                <w:sz w:val="22"/>
                <w:lang w:val="hu-HU"/>
              </w:rPr>
              <w:t> </w:t>
            </w:r>
            <w:r w:rsidRPr="00183B5F">
              <w:rPr>
                <w:b/>
                <w:sz w:val="22"/>
                <w:lang w:val="hu-HU"/>
              </w:rPr>
              <w:t>170</w:t>
            </w:r>
          </w:p>
        </w:tc>
        <w:tc>
          <w:tcPr>
            <w:tcW w:w="1928" w:type="dxa"/>
          </w:tcPr>
          <w:p w14:paraId="5D2AA497" w14:textId="77777777" w:rsidR="00D0403E" w:rsidRPr="00183B5F" w:rsidRDefault="00943743" w:rsidP="00FE0197">
            <w:pPr>
              <w:pStyle w:val="TableText"/>
              <w:keepNext w:val="0"/>
              <w:keepLines w:val="0"/>
              <w:suppressAutoHyphens w:val="0"/>
              <w:spacing w:before="0" w:after="0" w:line="240" w:lineRule="auto"/>
              <w:jc w:val="center"/>
              <w:rPr>
                <w:b/>
                <w:sz w:val="22"/>
                <w:lang w:val="hu-HU"/>
              </w:rPr>
            </w:pPr>
            <w:r w:rsidRPr="00183B5F">
              <w:rPr>
                <w:b/>
                <w:sz w:val="22"/>
                <w:lang w:val="hu-HU"/>
              </w:rPr>
              <w:t>N</w:t>
            </w:r>
            <w:r w:rsidR="00A05BD2" w:rsidRPr="00183B5F">
              <w:rPr>
                <w:b/>
                <w:sz w:val="22"/>
                <w:lang w:val="hu-HU"/>
              </w:rPr>
              <w:t> </w:t>
            </w:r>
            <w:r w:rsidRPr="00183B5F">
              <w:rPr>
                <w:b/>
                <w:sz w:val="22"/>
                <w:lang w:val="hu-HU"/>
              </w:rPr>
              <w:t>=</w:t>
            </w:r>
            <w:r w:rsidR="00A05BD2" w:rsidRPr="00183B5F">
              <w:rPr>
                <w:b/>
                <w:sz w:val="22"/>
                <w:lang w:val="hu-HU"/>
              </w:rPr>
              <w:t> </w:t>
            </w:r>
            <w:r w:rsidRPr="00183B5F">
              <w:rPr>
                <w:b/>
                <w:sz w:val="22"/>
                <w:lang w:val="hu-HU"/>
              </w:rPr>
              <w:t>172</w:t>
            </w:r>
          </w:p>
        </w:tc>
        <w:tc>
          <w:tcPr>
            <w:tcW w:w="1859" w:type="dxa"/>
          </w:tcPr>
          <w:p w14:paraId="47F92AB8" w14:textId="77777777" w:rsidR="00D0403E" w:rsidRPr="00183B5F" w:rsidRDefault="00943743" w:rsidP="00FE0197">
            <w:pPr>
              <w:pStyle w:val="TableText"/>
              <w:keepNext w:val="0"/>
              <w:keepLines w:val="0"/>
              <w:suppressAutoHyphens w:val="0"/>
              <w:spacing w:before="0" w:after="0" w:line="240" w:lineRule="auto"/>
              <w:jc w:val="center"/>
              <w:rPr>
                <w:b/>
                <w:sz w:val="22"/>
                <w:lang w:val="hu-HU"/>
              </w:rPr>
            </w:pPr>
            <w:r w:rsidRPr="00183B5F">
              <w:rPr>
                <w:b/>
                <w:sz w:val="22"/>
                <w:lang w:val="hu-HU"/>
              </w:rPr>
              <w:t>N</w:t>
            </w:r>
            <w:r w:rsidR="00A05BD2" w:rsidRPr="00183B5F">
              <w:rPr>
                <w:b/>
                <w:sz w:val="22"/>
                <w:lang w:val="hu-HU"/>
              </w:rPr>
              <w:t> </w:t>
            </w:r>
            <w:r w:rsidRPr="00183B5F">
              <w:rPr>
                <w:b/>
                <w:sz w:val="22"/>
                <w:lang w:val="hu-HU"/>
              </w:rPr>
              <w:t>=</w:t>
            </w:r>
            <w:r w:rsidR="00A05BD2" w:rsidRPr="00183B5F">
              <w:rPr>
                <w:b/>
                <w:sz w:val="22"/>
                <w:lang w:val="hu-HU"/>
              </w:rPr>
              <w:t> </w:t>
            </w:r>
            <w:r w:rsidRPr="00183B5F">
              <w:rPr>
                <w:b/>
                <w:sz w:val="22"/>
                <w:lang w:val="hu-HU"/>
              </w:rPr>
              <w:t>157</w:t>
            </w:r>
          </w:p>
        </w:tc>
      </w:tr>
      <w:tr w:rsidR="00011D2F" w14:paraId="59E0D165" w14:textId="77777777" w:rsidTr="00D0403E">
        <w:tc>
          <w:tcPr>
            <w:tcW w:w="3747" w:type="dxa"/>
          </w:tcPr>
          <w:p w14:paraId="43E733BD" w14:textId="77777777" w:rsidR="00D0403E" w:rsidRPr="00183B5F" w:rsidRDefault="00943743" w:rsidP="00FE0197">
            <w:pPr>
              <w:pStyle w:val="TableText"/>
              <w:keepNext w:val="0"/>
              <w:keepLines w:val="0"/>
              <w:suppressAutoHyphens w:val="0"/>
              <w:spacing w:before="0" w:after="0" w:line="240" w:lineRule="auto"/>
              <w:rPr>
                <w:sz w:val="22"/>
                <w:lang w:val="hu-HU"/>
              </w:rPr>
            </w:pPr>
            <w:r w:rsidRPr="00183B5F">
              <w:rPr>
                <w:sz w:val="22"/>
                <w:lang w:val="hu-HU"/>
              </w:rPr>
              <w:t>Klinikai remisszió</w:t>
            </w:r>
          </w:p>
        </w:tc>
        <w:tc>
          <w:tcPr>
            <w:tcW w:w="1751" w:type="dxa"/>
          </w:tcPr>
          <w:p w14:paraId="17B8C0EA" w14:textId="77777777" w:rsidR="00D0403E" w:rsidRPr="00183B5F" w:rsidRDefault="00943743" w:rsidP="00FE0197">
            <w:pPr>
              <w:pStyle w:val="TableText"/>
              <w:keepNext w:val="0"/>
              <w:keepLines w:val="0"/>
              <w:suppressAutoHyphens w:val="0"/>
              <w:spacing w:before="0" w:after="0" w:line="240" w:lineRule="auto"/>
              <w:jc w:val="center"/>
              <w:rPr>
                <w:sz w:val="22"/>
                <w:lang w:val="hu-HU"/>
              </w:rPr>
            </w:pPr>
            <w:r w:rsidRPr="00183B5F">
              <w:rPr>
                <w:sz w:val="22"/>
                <w:lang w:val="hu-HU"/>
              </w:rPr>
              <w:t>12%</w:t>
            </w:r>
          </w:p>
        </w:tc>
        <w:tc>
          <w:tcPr>
            <w:tcW w:w="1928" w:type="dxa"/>
          </w:tcPr>
          <w:p w14:paraId="25CD9006" w14:textId="77777777" w:rsidR="00D0403E" w:rsidRPr="00183B5F" w:rsidRDefault="00943743" w:rsidP="00FE0197">
            <w:pPr>
              <w:pStyle w:val="TableText"/>
              <w:keepNext w:val="0"/>
              <w:keepLines w:val="0"/>
              <w:suppressAutoHyphens w:val="0"/>
              <w:spacing w:before="0" w:after="0" w:line="240" w:lineRule="auto"/>
              <w:jc w:val="center"/>
              <w:rPr>
                <w:sz w:val="22"/>
                <w:lang w:val="hu-HU"/>
              </w:rPr>
            </w:pPr>
            <w:r w:rsidRPr="00183B5F">
              <w:rPr>
                <w:sz w:val="22"/>
                <w:lang w:val="hu-HU"/>
              </w:rPr>
              <w:t>36%*</w:t>
            </w:r>
          </w:p>
        </w:tc>
        <w:tc>
          <w:tcPr>
            <w:tcW w:w="1859" w:type="dxa"/>
          </w:tcPr>
          <w:p w14:paraId="5A1B06CD" w14:textId="77777777" w:rsidR="00D0403E" w:rsidRPr="00183B5F" w:rsidRDefault="00943743" w:rsidP="00FE0197">
            <w:pPr>
              <w:pStyle w:val="TableText"/>
              <w:keepNext w:val="0"/>
              <w:keepLines w:val="0"/>
              <w:suppressAutoHyphens w:val="0"/>
              <w:spacing w:before="0" w:after="0" w:line="240" w:lineRule="auto"/>
              <w:jc w:val="center"/>
              <w:rPr>
                <w:sz w:val="22"/>
                <w:lang w:val="hu-HU"/>
              </w:rPr>
            </w:pPr>
            <w:r w:rsidRPr="00183B5F">
              <w:rPr>
                <w:sz w:val="22"/>
                <w:lang w:val="hu-HU"/>
              </w:rPr>
              <w:t>41%*</w:t>
            </w:r>
          </w:p>
        </w:tc>
      </w:tr>
      <w:tr w:rsidR="00011D2F" w14:paraId="211C55BD" w14:textId="77777777" w:rsidTr="00D0403E">
        <w:tc>
          <w:tcPr>
            <w:tcW w:w="3747" w:type="dxa"/>
          </w:tcPr>
          <w:p w14:paraId="20CDF140" w14:textId="77777777" w:rsidR="00D0403E" w:rsidRPr="00183B5F" w:rsidRDefault="00943743" w:rsidP="00FE0197">
            <w:pPr>
              <w:pStyle w:val="TableText"/>
              <w:keepNext w:val="0"/>
              <w:keepLines w:val="0"/>
              <w:suppressAutoHyphens w:val="0"/>
              <w:spacing w:before="0" w:after="0" w:line="240" w:lineRule="auto"/>
              <w:rPr>
                <w:sz w:val="22"/>
                <w:lang w:val="hu-HU"/>
              </w:rPr>
            </w:pPr>
            <w:r w:rsidRPr="00183B5F">
              <w:rPr>
                <w:sz w:val="22"/>
                <w:lang w:val="hu-HU"/>
              </w:rPr>
              <w:t>Klinikai válasz (CR-100)</w:t>
            </w:r>
          </w:p>
        </w:tc>
        <w:tc>
          <w:tcPr>
            <w:tcW w:w="1751" w:type="dxa"/>
          </w:tcPr>
          <w:p w14:paraId="17ACEAC3" w14:textId="77777777" w:rsidR="00D0403E" w:rsidRPr="00183B5F" w:rsidRDefault="00943743" w:rsidP="00FE0197">
            <w:pPr>
              <w:pStyle w:val="TableText"/>
              <w:keepNext w:val="0"/>
              <w:keepLines w:val="0"/>
              <w:suppressAutoHyphens w:val="0"/>
              <w:spacing w:before="0" w:after="0" w:line="240" w:lineRule="auto"/>
              <w:jc w:val="center"/>
              <w:rPr>
                <w:sz w:val="22"/>
                <w:lang w:val="hu-HU"/>
              </w:rPr>
            </w:pPr>
            <w:r w:rsidRPr="00183B5F">
              <w:rPr>
                <w:sz w:val="22"/>
                <w:lang w:val="hu-HU"/>
              </w:rPr>
              <w:t>17%</w:t>
            </w:r>
          </w:p>
        </w:tc>
        <w:tc>
          <w:tcPr>
            <w:tcW w:w="1928" w:type="dxa"/>
          </w:tcPr>
          <w:p w14:paraId="5FB6EB64" w14:textId="77777777" w:rsidR="00D0403E" w:rsidRPr="00183B5F" w:rsidRDefault="00943743" w:rsidP="00FE0197">
            <w:pPr>
              <w:pStyle w:val="TableText"/>
              <w:keepNext w:val="0"/>
              <w:keepLines w:val="0"/>
              <w:suppressAutoHyphens w:val="0"/>
              <w:spacing w:before="0" w:after="0" w:line="240" w:lineRule="auto"/>
              <w:jc w:val="center"/>
              <w:rPr>
                <w:sz w:val="22"/>
                <w:lang w:val="hu-HU"/>
              </w:rPr>
            </w:pPr>
            <w:r w:rsidRPr="00183B5F">
              <w:rPr>
                <w:sz w:val="22"/>
                <w:lang w:val="hu-HU"/>
              </w:rPr>
              <w:t>41%*</w:t>
            </w:r>
          </w:p>
        </w:tc>
        <w:tc>
          <w:tcPr>
            <w:tcW w:w="1859" w:type="dxa"/>
          </w:tcPr>
          <w:p w14:paraId="07715025" w14:textId="77777777" w:rsidR="00D0403E" w:rsidRPr="00183B5F" w:rsidRDefault="00943743" w:rsidP="00FE0197">
            <w:pPr>
              <w:pStyle w:val="TableText"/>
              <w:keepNext w:val="0"/>
              <w:keepLines w:val="0"/>
              <w:suppressAutoHyphens w:val="0"/>
              <w:spacing w:before="0" w:after="0" w:line="240" w:lineRule="auto"/>
              <w:jc w:val="center"/>
              <w:rPr>
                <w:sz w:val="22"/>
                <w:lang w:val="hu-HU"/>
              </w:rPr>
            </w:pPr>
            <w:r w:rsidRPr="00183B5F">
              <w:rPr>
                <w:sz w:val="22"/>
                <w:lang w:val="hu-HU"/>
              </w:rPr>
              <w:t>48%*</w:t>
            </w:r>
          </w:p>
        </w:tc>
      </w:tr>
      <w:tr w:rsidR="00011D2F" w14:paraId="5999610C" w14:textId="77777777" w:rsidTr="00832DC3">
        <w:tc>
          <w:tcPr>
            <w:tcW w:w="3747" w:type="dxa"/>
            <w:tcBorders>
              <w:bottom w:val="single" w:sz="4" w:space="0" w:color="auto"/>
            </w:tcBorders>
          </w:tcPr>
          <w:p w14:paraId="5711F346" w14:textId="77777777" w:rsidR="00D0403E" w:rsidRPr="00183B5F" w:rsidRDefault="00943743" w:rsidP="00FE0197">
            <w:pPr>
              <w:pStyle w:val="TableText"/>
              <w:keepNext w:val="0"/>
              <w:keepLines w:val="0"/>
              <w:suppressAutoHyphens w:val="0"/>
              <w:spacing w:before="0" w:after="0" w:line="240" w:lineRule="auto"/>
              <w:ind w:left="360"/>
              <w:rPr>
                <w:sz w:val="22"/>
                <w:szCs w:val="22"/>
                <w:lang w:val="hu-HU"/>
              </w:rPr>
            </w:pPr>
            <w:r w:rsidRPr="00183B5F">
              <w:rPr>
                <w:sz w:val="22"/>
                <w:szCs w:val="22"/>
                <w:lang w:val="hu-HU"/>
              </w:rPr>
              <w:t xml:space="preserve">Szteroid-kezelés nélkül is </w:t>
            </w:r>
            <w:r w:rsidR="008F1752" w:rsidRPr="00183B5F">
              <w:rPr>
                <w:sz w:val="22"/>
                <w:lang w:val="hu-HU"/>
              </w:rPr>
              <w:t>≥90</w:t>
            </w:r>
            <w:r w:rsidRPr="00183B5F">
              <w:rPr>
                <w:sz w:val="22"/>
                <w:szCs w:val="22"/>
                <w:lang w:val="hu-HU"/>
              </w:rPr>
              <w:t xml:space="preserve"> napja remisszióban lévő betegek</w:t>
            </w:r>
            <w:r w:rsidRPr="00183B5F">
              <w:rPr>
                <w:sz w:val="22"/>
                <w:szCs w:val="22"/>
                <w:vertAlign w:val="superscript"/>
                <w:lang w:val="hu-HU"/>
              </w:rPr>
              <w:t>a</w:t>
            </w:r>
          </w:p>
        </w:tc>
        <w:tc>
          <w:tcPr>
            <w:tcW w:w="1751" w:type="dxa"/>
            <w:tcBorders>
              <w:bottom w:val="single" w:sz="4" w:space="0" w:color="auto"/>
            </w:tcBorders>
          </w:tcPr>
          <w:p w14:paraId="66AEA66F" w14:textId="77777777" w:rsidR="00D0403E" w:rsidRPr="00183B5F" w:rsidRDefault="00943743" w:rsidP="00FE0197">
            <w:pPr>
              <w:pStyle w:val="TableText"/>
              <w:keepNext w:val="0"/>
              <w:keepLines w:val="0"/>
              <w:suppressAutoHyphens w:val="0"/>
              <w:spacing w:before="0" w:after="0" w:line="240" w:lineRule="auto"/>
              <w:jc w:val="center"/>
              <w:rPr>
                <w:sz w:val="22"/>
                <w:lang w:val="hu-HU"/>
              </w:rPr>
            </w:pPr>
            <w:r w:rsidRPr="00183B5F">
              <w:rPr>
                <w:sz w:val="22"/>
                <w:lang w:val="hu-HU"/>
              </w:rPr>
              <w:t>5% (3/66)</w:t>
            </w:r>
          </w:p>
        </w:tc>
        <w:tc>
          <w:tcPr>
            <w:tcW w:w="1928" w:type="dxa"/>
            <w:tcBorders>
              <w:bottom w:val="single" w:sz="4" w:space="0" w:color="auto"/>
            </w:tcBorders>
          </w:tcPr>
          <w:p w14:paraId="5533E0A4" w14:textId="77777777" w:rsidR="00D0403E" w:rsidRPr="00183B5F" w:rsidRDefault="00943743" w:rsidP="00FE0197">
            <w:pPr>
              <w:pStyle w:val="TableText"/>
              <w:keepNext w:val="0"/>
              <w:keepLines w:val="0"/>
              <w:suppressAutoHyphens w:val="0"/>
              <w:spacing w:before="0" w:after="0" w:line="240" w:lineRule="auto"/>
              <w:jc w:val="center"/>
              <w:rPr>
                <w:sz w:val="22"/>
                <w:lang w:val="hu-HU"/>
              </w:rPr>
            </w:pPr>
            <w:r w:rsidRPr="00183B5F">
              <w:rPr>
                <w:sz w:val="22"/>
                <w:lang w:val="hu-HU"/>
              </w:rPr>
              <w:t>29% (17/58)*</w:t>
            </w:r>
          </w:p>
        </w:tc>
        <w:tc>
          <w:tcPr>
            <w:tcW w:w="1859" w:type="dxa"/>
            <w:tcBorders>
              <w:bottom w:val="single" w:sz="4" w:space="0" w:color="auto"/>
            </w:tcBorders>
          </w:tcPr>
          <w:p w14:paraId="423DD822" w14:textId="77777777" w:rsidR="00D0403E" w:rsidRPr="00183B5F" w:rsidRDefault="00943743" w:rsidP="00FE0197">
            <w:pPr>
              <w:pStyle w:val="TableText"/>
              <w:keepNext w:val="0"/>
              <w:keepLines w:val="0"/>
              <w:suppressAutoHyphens w:val="0"/>
              <w:spacing w:before="0" w:after="0" w:line="240" w:lineRule="auto"/>
              <w:jc w:val="center"/>
              <w:rPr>
                <w:sz w:val="22"/>
                <w:lang w:val="hu-HU"/>
              </w:rPr>
            </w:pPr>
            <w:r w:rsidRPr="00183B5F">
              <w:rPr>
                <w:sz w:val="22"/>
                <w:lang w:val="hu-HU"/>
              </w:rPr>
              <w:t>20% (15/74)**</w:t>
            </w:r>
          </w:p>
        </w:tc>
      </w:tr>
      <w:tr w:rsidR="00011D2F" w14:paraId="4E49F48E" w14:textId="77777777" w:rsidTr="00832DC3">
        <w:trPr>
          <w:cantSplit/>
        </w:trPr>
        <w:tc>
          <w:tcPr>
            <w:tcW w:w="9285" w:type="dxa"/>
            <w:gridSpan w:val="4"/>
            <w:tcBorders>
              <w:left w:val="nil"/>
              <w:bottom w:val="nil"/>
              <w:right w:val="nil"/>
            </w:tcBorders>
          </w:tcPr>
          <w:p w14:paraId="6C2CFB3F" w14:textId="77777777" w:rsidR="00D0403E" w:rsidRPr="00183B5F" w:rsidRDefault="00943743" w:rsidP="00FE0197">
            <w:pPr>
              <w:pStyle w:val="TableText"/>
              <w:keepNext w:val="0"/>
              <w:keepLines w:val="0"/>
              <w:suppressAutoHyphens w:val="0"/>
              <w:spacing w:before="0" w:after="0" w:line="240" w:lineRule="auto"/>
              <w:rPr>
                <w:sz w:val="22"/>
                <w:szCs w:val="22"/>
                <w:lang w:val="hu-HU"/>
              </w:rPr>
            </w:pPr>
            <w:r w:rsidRPr="00183B5F">
              <w:rPr>
                <w:sz w:val="22"/>
                <w:szCs w:val="22"/>
                <w:lang w:val="hu-HU"/>
              </w:rPr>
              <w:t>*</w:t>
            </w:r>
            <w:r w:rsidRPr="00183B5F">
              <w:rPr>
                <w:sz w:val="22"/>
                <w:szCs w:val="22"/>
                <w:lang w:val="hu-HU"/>
              </w:rPr>
              <w:tab/>
              <w:t xml:space="preserve">p &lt; 0,001 Humira-val </w:t>
            </w:r>
            <w:r w:rsidRPr="00183B5F">
              <w:rPr>
                <w:i/>
                <w:sz w:val="22"/>
                <w:szCs w:val="22"/>
                <w:lang w:val="hu-HU"/>
              </w:rPr>
              <w:t>versus</w:t>
            </w:r>
            <w:r w:rsidRPr="00183B5F">
              <w:rPr>
                <w:sz w:val="22"/>
                <w:szCs w:val="22"/>
                <w:lang w:val="hu-HU"/>
              </w:rPr>
              <w:t xml:space="preserve"> placebóval kezelt csoportokban regisztrált részarányok páronkénti összehasonlítása</w:t>
            </w:r>
          </w:p>
          <w:p w14:paraId="14AFA3B0" w14:textId="77777777" w:rsidR="00D0403E" w:rsidRPr="00183B5F" w:rsidRDefault="00943743" w:rsidP="00FE0197">
            <w:pPr>
              <w:pStyle w:val="TableText"/>
              <w:keepNext w:val="0"/>
              <w:keepLines w:val="0"/>
              <w:suppressAutoHyphens w:val="0"/>
              <w:spacing w:before="0" w:after="0" w:line="240" w:lineRule="auto"/>
              <w:rPr>
                <w:sz w:val="22"/>
                <w:szCs w:val="22"/>
                <w:lang w:val="hu-HU"/>
              </w:rPr>
            </w:pPr>
            <w:r w:rsidRPr="00183B5F">
              <w:rPr>
                <w:sz w:val="22"/>
                <w:szCs w:val="22"/>
                <w:lang w:val="hu-HU"/>
              </w:rPr>
              <w:t>**</w:t>
            </w:r>
            <w:r w:rsidRPr="00183B5F">
              <w:rPr>
                <w:sz w:val="22"/>
                <w:szCs w:val="22"/>
                <w:lang w:val="hu-HU"/>
              </w:rPr>
              <w:tab/>
              <w:t>p &lt; 0</w:t>
            </w:r>
            <w:r w:rsidR="00A05BD2" w:rsidRPr="00183B5F">
              <w:rPr>
                <w:sz w:val="22"/>
                <w:szCs w:val="22"/>
                <w:lang w:val="hu-HU"/>
              </w:rPr>
              <w:t>,</w:t>
            </w:r>
            <w:r w:rsidRPr="00183B5F">
              <w:rPr>
                <w:sz w:val="22"/>
                <w:szCs w:val="22"/>
                <w:lang w:val="hu-HU"/>
              </w:rPr>
              <w:t xml:space="preserve">02 Humira-val </w:t>
            </w:r>
            <w:r w:rsidRPr="00183B5F">
              <w:rPr>
                <w:i/>
                <w:sz w:val="22"/>
                <w:szCs w:val="22"/>
                <w:lang w:val="hu-HU"/>
              </w:rPr>
              <w:t>versus</w:t>
            </w:r>
            <w:r w:rsidRPr="00183B5F">
              <w:rPr>
                <w:sz w:val="22"/>
                <w:szCs w:val="22"/>
                <w:lang w:val="hu-HU"/>
              </w:rPr>
              <w:t xml:space="preserve"> placebóval kezelt csoportokban regisztrált részarányok páronkénti összehasonlítása</w:t>
            </w:r>
          </w:p>
          <w:p w14:paraId="31275DE5" w14:textId="77777777" w:rsidR="00D0403E" w:rsidRPr="00183B5F" w:rsidRDefault="00943743" w:rsidP="00FE0197">
            <w:pPr>
              <w:pStyle w:val="TableText"/>
              <w:keepNext w:val="0"/>
              <w:keepLines w:val="0"/>
              <w:suppressAutoHyphens w:val="0"/>
              <w:spacing w:before="0" w:after="0" w:line="240" w:lineRule="auto"/>
              <w:rPr>
                <w:sz w:val="22"/>
                <w:szCs w:val="22"/>
                <w:lang w:val="hu-HU"/>
              </w:rPr>
            </w:pPr>
            <w:r w:rsidRPr="00183B5F">
              <w:rPr>
                <w:sz w:val="22"/>
                <w:szCs w:val="22"/>
                <w:vertAlign w:val="superscript"/>
                <w:lang w:val="hu-HU"/>
              </w:rPr>
              <w:t>a</w:t>
            </w:r>
            <w:r w:rsidRPr="00183B5F">
              <w:rPr>
                <w:sz w:val="22"/>
                <w:szCs w:val="22"/>
                <w:vertAlign w:val="superscript"/>
                <w:lang w:val="hu-HU"/>
              </w:rPr>
              <w:tab/>
            </w:r>
            <w:r w:rsidRPr="00183B5F">
              <w:rPr>
                <w:sz w:val="22"/>
                <w:szCs w:val="22"/>
                <w:lang w:val="hu-HU"/>
              </w:rPr>
              <w:t xml:space="preserve">A vizsgálat kezdetekor kortikoszteroidokkal kezelt betegek közül. </w:t>
            </w:r>
          </w:p>
        </w:tc>
      </w:tr>
    </w:tbl>
    <w:p w14:paraId="0637C7AD" w14:textId="77777777" w:rsidR="00D0403E" w:rsidRPr="00183B5F" w:rsidRDefault="00D0403E" w:rsidP="004062FE">
      <w:pPr>
        <w:suppressAutoHyphens w:val="0"/>
        <w:spacing w:line="240" w:lineRule="auto"/>
        <w:rPr>
          <w:szCs w:val="22"/>
        </w:rPr>
      </w:pPr>
    </w:p>
    <w:p w14:paraId="24F3F464" w14:textId="77777777" w:rsidR="00D0403E" w:rsidRPr="00183B5F" w:rsidRDefault="00943743" w:rsidP="004062FE">
      <w:pPr>
        <w:suppressAutoHyphens w:val="0"/>
        <w:spacing w:line="240" w:lineRule="auto"/>
        <w:rPr>
          <w:szCs w:val="22"/>
        </w:rPr>
      </w:pPr>
      <w:r w:rsidRPr="00183B5F">
        <w:rPr>
          <w:szCs w:val="22"/>
        </w:rPr>
        <w:t>A kezelésre a 4. hétig nem reagáló betegek közül a fenntartó Humira</w:t>
      </w:r>
      <w:r w:rsidRPr="00183B5F">
        <w:rPr>
          <w:szCs w:val="22"/>
        </w:rPr>
        <w:noBreakHyphen/>
        <w:t>kezelésben részesülők 43%</w:t>
      </w:r>
      <w:r w:rsidRPr="00183B5F">
        <w:rPr>
          <w:szCs w:val="22"/>
        </w:rPr>
        <w:noBreakHyphen/>
        <w:t>án, míg a placebokezelésben részesülők 30%</w:t>
      </w:r>
      <w:r w:rsidRPr="00183B5F">
        <w:rPr>
          <w:szCs w:val="22"/>
        </w:rPr>
        <w:noBreakHyphen/>
        <w:t>án jelentkezett terápiás hatás a 12. hétig. Ezek az eredmények amellett szólnak, hogy egyes, a kezelésre a 4. hétig nem reagáló betegek fenntartó kezelését előnyös lehet a 12. hétig folytatni. A kezelést a 12. héten túl is folytatva már nem nőtt számottevően a kezelésre reagálók részaránya (lásd 4.2 pont).</w:t>
      </w:r>
    </w:p>
    <w:p w14:paraId="3DF3712D" w14:textId="77777777" w:rsidR="00D0403E" w:rsidRPr="00183B5F" w:rsidRDefault="00D0403E" w:rsidP="004062FE">
      <w:pPr>
        <w:suppressAutoHyphens w:val="0"/>
        <w:spacing w:line="240" w:lineRule="auto"/>
        <w:rPr>
          <w:szCs w:val="22"/>
        </w:rPr>
      </w:pPr>
    </w:p>
    <w:p w14:paraId="3F49A4D0" w14:textId="77777777" w:rsidR="00D0403E" w:rsidRPr="00183B5F" w:rsidRDefault="00943743" w:rsidP="004062FE">
      <w:pPr>
        <w:suppressAutoHyphens w:val="0"/>
        <w:spacing w:line="240" w:lineRule="auto"/>
        <w:rPr>
          <w:szCs w:val="22"/>
        </w:rPr>
      </w:pPr>
      <w:r w:rsidRPr="00183B5F">
        <w:rPr>
          <w:szCs w:val="22"/>
        </w:rPr>
        <w:t>A CD I vizsgálat 117/276 betegét, míg a CD II és III vizsgálat 272/777 betegét követték nyílt adalimumab</w:t>
      </w:r>
      <w:r w:rsidRPr="00183B5F">
        <w:rPr>
          <w:szCs w:val="22"/>
        </w:rPr>
        <w:noBreakHyphen/>
        <w:t>kezelés alatt legalább 3 éven keresztül. Sorrendben 88, illetve 189 betegnél maradt fent a klinikai remisszió. Sorrendben 102 és 233 betegnél maradt fent a klinikai válasz (CR-100).</w:t>
      </w:r>
    </w:p>
    <w:p w14:paraId="074494C2" w14:textId="77777777" w:rsidR="00D0403E" w:rsidRPr="00183B5F" w:rsidRDefault="00D0403E" w:rsidP="004062FE">
      <w:pPr>
        <w:spacing w:line="240" w:lineRule="auto"/>
        <w:rPr>
          <w:szCs w:val="22"/>
          <w:u w:val="single"/>
        </w:rPr>
      </w:pPr>
    </w:p>
    <w:p w14:paraId="6D0B9E1B" w14:textId="77777777" w:rsidR="00D0403E" w:rsidRPr="00183B5F" w:rsidRDefault="00943743" w:rsidP="004062FE">
      <w:pPr>
        <w:keepNext/>
        <w:spacing w:line="240" w:lineRule="auto"/>
        <w:rPr>
          <w:i/>
          <w:szCs w:val="22"/>
          <w:u w:val="single"/>
        </w:rPr>
      </w:pPr>
      <w:r w:rsidRPr="00183B5F">
        <w:rPr>
          <w:i/>
          <w:szCs w:val="22"/>
          <w:u w:val="single"/>
        </w:rPr>
        <w:t>Életminőség</w:t>
      </w:r>
    </w:p>
    <w:p w14:paraId="71BD6485" w14:textId="77777777" w:rsidR="00D0403E" w:rsidRPr="00183B5F" w:rsidRDefault="00D0403E" w:rsidP="004062FE">
      <w:pPr>
        <w:keepNext/>
        <w:spacing w:line="240" w:lineRule="auto"/>
        <w:rPr>
          <w:szCs w:val="22"/>
        </w:rPr>
      </w:pPr>
    </w:p>
    <w:p w14:paraId="09C6461E" w14:textId="77777777" w:rsidR="00D0403E" w:rsidRPr="00183B5F" w:rsidRDefault="00943743" w:rsidP="004062FE">
      <w:pPr>
        <w:keepNext/>
        <w:spacing w:line="240" w:lineRule="auto"/>
        <w:rPr>
          <w:bCs/>
          <w:szCs w:val="22"/>
        </w:rPr>
      </w:pPr>
      <w:r w:rsidRPr="00183B5F">
        <w:rPr>
          <w:szCs w:val="22"/>
        </w:rPr>
        <w:t xml:space="preserve">A CD I és a CD II vizsgálatban statisztikailag szignifikáns javulást értek el a betegségspecifikus Gyulladásos bélbetegség kérdőív (IBDQ – </w:t>
      </w:r>
      <w:r w:rsidRPr="00183B5F">
        <w:rPr>
          <w:bCs/>
          <w:szCs w:val="22"/>
        </w:rPr>
        <w:t>Inflammatory Bowel Disease Questionnaire) összpontszámában a kezelés 4. hetében azoknál a betegeknél, akiket</w:t>
      </w:r>
      <w:r w:rsidRPr="00183B5F">
        <w:rPr>
          <w:szCs w:val="22"/>
        </w:rPr>
        <w:t xml:space="preserve"> véletlenszerűen a Humira 80/40 mg, illetve Humira 160/80 mg csoportba soroltak be, a</w:t>
      </w:r>
      <w:r w:rsidRPr="00183B5F">
        <w:rPr>
          <w:bCs/>
          <w:szCs w:val="22"/>
        </w:rPr>
        <w:t xml:space="preserve"> placebocsoportba sorolt betegekével összehasonlítva, és ezt észlelték a CD III vizsgálat során is a 26. és az 56. héten az adalimumabbal, illetve placebóval kezelt betegcsoportokban.</w:t>
      </w:r>
    </w:p>
    <w:p w14:paraId="167CB3DC" w14:textId="77777777" w:rsidR="00D0403E" w:rsidRPr="00183B5F" w:rsidRDefault="00D0403E" w:rsidP="004062FE">
      <w:pPr>
        <w:spacing w:line="240" w:lineRule="auto"/>
        <w:rPr>
          <w:szCs w:val="22"/>
        </w:rPr>
      </w:pPr>
    </w:p>
    <w:p w14:paraId="490CB2EC" w14:textId="77777777" w:rsidR="00D0403E" w:rsidRPr="00183B5F" w:rsidRDefault="00943743" w:rsidP="004062FE">
      <w:pPr>
        <w:spacing w:line="240" w:lineRule="auto"/>
        <w:rPr>
          <w:i/>
          <w:szCs w:val="22"/>
        </w:rPr>
      </w:pPr>
      <w:r w:rsidRPr="00183B5F">
        <w:rPr>
          <w:i/>
          <w:szCs w:val="22"/>
        </w:rPr>
        <w:t>Colitis ulcerosa</w:t>
      </w:r>
    </w:p>
    <w:p w14:paraId="0738E3D3" w14:textId="77777777" w:rsidR="00D0403E" w:rsidRPr="00183B5F" w:rsidRDefault="00D0403E" w:rsidP="004062FE">
      <w:pPr>
        <w:spacing w:line="240" w:lineRule="auto"/>
        <w:rPr>
          <w:szCs w:val="22"/>
          <w:u w:val="single"/>
        </w:rPr>
      </w:pPr>
    </w:p>
    <w:p w14:paraId="2C88D232" w14:textId="77777777" w:rsidR="00D0403E" w:rsidRPr="00183B5F" w:rsidRDefault="00943743" w:rsidP="004062FE">
      <w:pPr>
        <w:spacing w:line="240" w:lineRule="auto"/>
        <w:rPr>
          <w:szCs w:val="22"/>
        </w:rPr>
      </w:pPr>
      <w:r w:rsidRPr="00183B5F">
        <w:rPr>
          <w:szCs w:val="22"/>
        </w:rPr>
        <w:t>A Humira többszörös adagjának biztonságosságát és hatásosságát értékelték köz</w:t>
      </w:r>
      <w:r w:rsidR="00297FBD" w:rsidRPr="00183B5F">
        <w:rPr>
          <w:szCs w:val="22"/>
        </w:rPr>
        <w:t xml:space="preserve">epesen </w:t>
      </w:r>
      <w:r w:rsidRPr="00183B5F">
        <w:rPr>
          <w:szCs w:val="22"/>
        </w:rPr>
        <w:t>súlyos-súlyos akt</w:t>
      </w:r>
      <w:r w:rsidR="003916B1" w:rsidRPr="00183B5F">
        <w:rPr>
          <w:szCs w:val="22"/>
        </w:rPr>
        <w:t>i</w:t>
      </w:r>
      <w:r w:rsidRPr="00183B5F">
        <w:rPr>
          <w:szCs w:val="22"/>
        </w:rPr>
        <w:t>v</w:t>
      </w:r>
      <w:r w:rsidR="003916B1" w:rsidRPr="00183B5F">
        <w:rPr>
          <w:szCs w:val="22"/>
        </w:rPr>
        <w:t>itású</w:t>
      </w:r>
      <w:r w:rsidRPr="00183B5F">
        <w:rPr>
          <w:szCs w:val="22"/>
        </w:rPr>
        <w:t xml:space="preserve"> colitis ulcerosában szenvedő felnőtt betegeknél (Mayo pontszám 6-12, endoszkópos alpontszám 2-3) ranadomizált, </w:t>
      </w:r>
      <w:r w:rsidR="00E5381A" w:rsidRPr="00183B5F">
        <w:rPr>
          <w:szCs w:val="22"/>
        </w:rPr>
        <w:t>kettős vak</w:t>
      </w:r>
      <w:r w:rsidRPr="00183B5F">
        <w:rPr>
          <w:szCs w:val="22"/>
        </w:rPr>
        <w:t xml:space="preserve">, placebokontrollos vizsgálatokban. </w:t>
      </w:r>
    </w:p>
    <w:p w14:paraId="17F49904" w14:textId="77777777" w:rsidR="00D0403E" w:rsidRPr="00183B5F" w:rsidRDefault="00D0403E" w:rsidP="004062FE">
      <w:pPr>
        <w:spacing w:line="240" w:lineRule="auto"/>
        <w:rPr>
          <w:szCs w:val="22"/>
        </w:rPr>
      </w:pPr>
    </w:p>
    <w:p w14:paraId="1D9EE18F" w14:textId="77777777" w:rsidR="00D0403E" w:rsidRPr="00183B5F" w:rsidRDefault="00943743" w:rsidP="004062FE">
      <w:pPr>
        <w:spacing w:line="240" w:lineRule="auto"/>
        <w:rPr>
          <w:szCs w:val="22"/>
        </w:rPr>
      </w:pPr>
      <w:r w:rsidRPr="00183B5F">
        <w:rPr>
          <w:szCs w:val="22"/>
        </w:rPr>
        <w:t>Az UC</w:t>
      </w:r>
      <w:r w:rsidRPr="00183B5F">
        <w:rPr>
          <w:szCs w:val="22"/>
        </w:rPr>
        <w:noBreakHyphen/>
        <w:t>I vizsgálatban 390, korábban TNF</w:t>
      </w:r>
      <w:r w:rsidRPr="00183B5F">
        <w:rPr>
          <w:szCs w:val="22"/>
        </w:rPr>
        <w:noBreakHyphen/>
        <w:t>antagonista kezelésben nem részesült beteget randomizáltak 3 csoportba: az egyik csoport a 0. és 2. héten placebót kapott, a másik csoport a 0. héten 160 mg, a 2. héten 80 mg Humira</w:t>
      </w:r>
      <w:r w:rsidRPr="00183B5F">
        <w:rPr>
          <w:szCs w:val="22"/>
        </w:rPr>
        <w:noBreakHyphen/>
        <w:t>t, míg a harmadik csoport a 0. héten 80 mg, a 2. héten pedig 40 mg Humira</w:t>
      </w:r>
      <w:r w:rsidRPr="00183B5F">
        <w:rPr>
          <w:szCs w:val="22"/>
        </w:rPr>
        <w:noBreakHyphen/>
        <w:t xml:space="preserve">t kapott. A 2. hét után a betegek mindkét adalimumab karon kéthetenként 40 mg Humira-t kaptak. A klinikai remissziót (meghatározás szerint a Mayo pontszám legfeljebb 2 és egyik endoszkópos alpontszám sem nagyobb mint 1) a </w:t>
      </w:r>
      <w:r w:rsidRPr="00183B5F">
        <w:rPr>
          <w:szCs w:val="22"/>
        </w:rPr>
        <w:t>8. héten értékelték.</w:t>
      </w:r>
    </w:p>
    <w:p w14:paraId="733FD9C7" w14:textId="77777777" w:rsidR="00D0403E" w:rsidRPr="00183B5F" w:rsidRDefault="00D0403E" w:rsidP="004062FE">
      <w:pPr>
        <w:spacing w:line="240" w:lineRule="auto"/>
        <w:rPr>
          <w:szCs w:val="22"/>
        </w:rPr>
      </w:pPr>
    </w:p>
    <w:p w14:paraId="73929549" w14:textId="77777777" w:rsidR="00D0403E" w:rsidRPr="00183B5F" w:rsidRDefault="00943743" w:rsidP="004062FE">
      <w:pPr>
        <w:spacing w:line="240" w:lineRule="auto"/>
        <w:rPr>
          <w:szCs w:val="22"/>
        </w:rPr>
      </w:pPr>
      <w:r w:rsidRPr="00183B5F">
        <w:rPr>
          <w:szCs w:val="22"/>
        </w:rPr>
        <w:t>Az UC</w:t>
      </w:r>
      <w:r w:rsidRPr="00183B5F">
        <w:rPr>
          <w:szCs w:val="22"/>
        </w:rPr>
        <w:noBreakHyphen/>
        <w:t>II vizsgálatban 248 beteg kapott 160 mg Humira</w:t>
      </w:r>
      <w:r w:rsidRPr="00183B5F">
        <w:rPr>
          <w:szCs w:val="22"/>
        </w:rPr>
        <w:noBreakHyphen/>
        <w:t>t a 0. héten, 80 mg-ot a 2. héten, majd ezt követően 40 mg-ot minden második héten, míg 246 betegnek placebót adtak. A klinikai eredményeket a 8. héten a remisszió indukciójára vonatkozóan, az 52. héten a remisszió fenntartására vonatkozóan értékelték.</w:t>
      </w:r>
    </w:p>
    <w:p w14:paraId="5976043C" w14:textId="77777777" w:rsidR="00D0403E" w:rsidRPr="00183B5F" w:rsidRDefault="00D0403E" w:rsidP="004062FE">
      <w:pPr>
        <w:spacing w:line="240" w:lineRule="auto"/>
        <w:rPr>
          <w:szCs w:val="22"/>
        </w:rPr>
      </w:pPr>
    </w:p>
    <w:p w14:paraId="1F8D4F3C" w14:textId="77777777" w:rsidR="00D0403E" w:rsidRPr="00183B5F" w:rsidRDefault="00943743" w:rsidP="004062FE">
      <w:pPr>
        <w:spacing w:line="240" w:lineRule="auto"/>
        <w:rPr>
          <w:szCs w:val="22"/>
        </w:rPr>
      </w:pPr>
      <w:r w:rsidRPr="00183B5F">
        <w:rPr>
          <w:szCs w:val="22"/>
        </w:rPr>
        <w:t xml:space="preserve">A 160/80 mg indukciós Humira-kezelésben részesülő betegek statisztikailag szignifikánsan nagyobb százalékban mutattak klinikai remissziót a 8. héten a placebóhoz képest </w:t>
      </w:r>
      <w:r w:rsidR="00CE0303" w:rsidRPr="00183B5F">
        <w:rPr>
          <w:szCs w:val="22"/>
        </w:rPr>
        <w:t xml:space="preserve">az UC-I vizsgálatban </w:t>
      </w:r>
      <w:r w:rsidRPr="00183B5F">
        <w:rPr>
          <w:szCs w:val="22"/>
        </w:rPr>
        <w:t>(sorrendben 18%, illetve 9%, p = 0,0</w:t>
      </w:r>
      <w:r w:rsidR="00CE0303" w:rsidRPr="00183B5F">
        <w:rPr>
          <w:szCs w:val="22"/>
        </w:rPr>
        <w:t>31</w:t>
      </w:r>
      <w:r w:rsidRPr="00183B5F">
        <w:rPr>
          <w:szCs w:val="22"/>
        </w:rPr>
        <w:t>)</w:t>
      </w:r>
      <w:r w:rsidR="00CE0303" w:rsidRPr="00183B5F">
        <w:rPr>
          <w:szCs w:val="22"/>
        </w:rPr>
        <w:t xml:space="preserve"> és az UC-II vizsgálatban (sorrendben 17%, illetve 9%, p = 0,019)</w:t>
      </w:r>
      <w:r w:rsidRPr="00183B5F">
        <w:rPr>
          <w:szCs w:val="22"/>
        </w:rPr>
        <w:t>. Az UC</w:t>
      </w:r>
      <w:r w:rsidRPr="00183B5F">
        <w:rPr>
          <w:szCs w:val="22"/>
        </w:rPr>
        <w:noBreakHyphen/>
        <w:t>II vizsgálatban azok közül a Humira</w:t>
      </w:r>
      <w:r w:rsidRPr="00183B5F">
        <w:rPr>
          <w:szCs w:val="22"/>
        </w:rPr>
        <w:noBreakHyphen/>
        <w:t>val kezelt betegek közül, akik a 8. héten remisszióban voltak, az 52. héten 21/41 (51%) volt remisszióban.</w:t>
      </w:r>
    </w:p>
    <w:p w14:paraId="0B2577AF" w14:textId="77777777" w:rsidR="00D0403E" w:rsidRPr="00183B5F" w:rsidRDefault="00D0403E" w:rsidP="004062FE">
      <w:pPr>
        <w:spacing w:line="240" w:lineRule="auto"/>
        <w:rPr>
          <w:szCs w:val="22"/>
        </w:rPr>
      </w:pPr>
    </w:p>
    <w:p w14:paraId="376D219B" w14:textId="77777777" w:rsidR="00D0403E" w:rsidRPr="00183B5F" w:rsidRDefault="00943743" w:rsidP="004062FE">
      <w:pPr>
        <w:spacing w:line="240" w:lineRule="auto"/>
        <w:rPr>
          <w:szCs w:val="22"/>
        </w:rPr>
      </w:pPr>
      <w:r w:rsidRPr="00183B5F">
        <w:rPr>
          <w:szCs w:val="22"/>
        </w:rPr>
        <w:t>Az UC</w:t>
      </w:r>
      <w:r w:rsidRPr="00183B5F">
        <w:rPr>
          <w:szCs w:val="22"/>
        </w:rPr>
        <w:noBreakHyphen/>
        <w:t xml:space="preserve">II vizsgálatban részt vevő teljes betegpopuláció eredményeit a </w:t>
      </w:r>
      <w:r w:rsidR="00DD5E3A" w:rsidRPr="00183B5F">
        <w:rPr>
          <w:szCs w:val="22"/>
        </w:rPr>
        <w:t>23</w:t>
      </w:r>
      <w:r w:rsidRPr="00183B5F">
        <w:rPr>
          <w:szCs w:val="22"/>
        </w:rPr>
        <w:t>. táblázat mutatja.</w:t>
      </w:r>
    </w:p>
    <w:p w14:paraId="70AF1784" w14:textId="77777777" w:rsidR="00D0403E" w:rsidRPr="00183B5F" w:rsidRDefault="00D0403E" w:rsidP="004062FE">
      <w:pPr>
        <w:spacing w:line="240" w:lineRule="auto"/>
        <w:rPr>
          <w:szCs w:val="22"/>
        </w:rPr>
      </w:pPr>
    </w:p>
    <w:p w14:paraId="0826057D" w14:textId="77777777" w:rsidR="00D0403E" w:rsidRPr="00183B5F" w:rsidRDefault="00943743" w:rsidP="00FE0197">
      <w:pPr>
        <w:pStyle w:val="EMEANormal"/>
        <w:keepNext/>
        <w:jc w:val="center"/>
        <w:rPr>
          <w:rFonts w:eastAsia="Arial Unicode MS"/>
          <w:b/>
          <w:bCs/>
          <w:szCs w:val="22"/>
          <w:lang w:val="hu-HU"/>
        </w:rPr>
      </w:pPr>
      <w:r w:rsidRPr="00183B5F">
        <w:rPr>
          <w:rFonts w:eastAsia="Arial Unicode MS"/>
          <w:b/>
          <w:bCs/>
          <w:szCs w:val="22"/>
          <w:lang w:val="hu-HU"/>
        </w:rPr>
        <w:t>2</w:t>
      </w:r>
      <w:r w:rsidR="00DD5E3A" w:rsidRPr="00183B5F">
        <w:rPr>
          <w:rFonts w:eastAsia="Arial Unicode MS"/>
          <w:b/>
          <w:bCs/>
          <w:szCs w:val="22"/>
          <w:lang w:val="hu-HU"/>
        </w:rPr>
        <w:t>3</w:t>
      </w:r>
      <w:r w:rsidRPr="00183B5F">
        <w:rPr>
          <w:rFonts w:eastAsia="Arial Unicode MS"/>
          <w:b/>
          <w:bCs/>
          <w:szCs w:val="22"/>
          <w:lang w:val="hu-HU"/>
        </w:rPr>
        <w:t>. táblázat</w:t>
      </w:r>
    </w:p>
    <w:p w14:paraId="35AD3A7E" w14:textId="77777777" w:rsidR="00D0403E" w:rsidRPr="00183B5F" w:rsidRDefault="00943743" w:rsidP="00FE0197">
      <w:pPr>
        <w:pStyle w:val="EMEANormal"/>
        <w:keepNext/>
        <w:jc w:val="center"/>
        <w:rPr>
          <w:rFonts w:eastAsia="Arial Unicode MS"/>
          <w:b/>
          <w:bCs/>
          <w:szCs w:val="22"/>
          <w:lang w:val="hu-HU"/>
        </w:rPr>
      </w:pPr>
      <w:r w:rsidRPr="00183B5F">
        <w:rPr>
          <w:rFonts w:eastAsia="Arial Unicode MS"/>
          <w:b/>
          <w:bCs/>
          <w:szCs w:val="22"/>
          <w:lang w:val="hu-HU"/>
        </w:rPr>
        <w:t>UC-II vizsgálatban a klinikai válasz, remisszió és nyálkahártya gyógyulás aránya</w:t>
      </w:r>
    </w:p>
    <w:p w14:paraId="51A9C273" w14:textId="77777777" w:rsidR="00D0403E" w:rsidRPr="00183B5F" w:rsidRDefault="00943743" w:rsidP="00FE0197">
      <w:pPr>
        <w:pStyle w:val="EMEANormal"/>
        <w:keepNext/>
        <w:jc w:val="center"/>
        <w:rPr>
          <w:rFonts w:eastAsia="Arial Unicode MS"/>
          <w:b/>
          <w:lang w:val="hu-HU"/>
        </w:rPr>
      </w:pPr>
      <w:r w:rsidRPr="00183B5F">
        <w:rPr>
          <w:rFonts w:eastAsia="Arial Unicode MS"/>
          <w:b/>
          <w:lang w:val="hu-HU"/>
        </w:rPr>
        <w:t>(betegek százalékában)</w:t>
      </w:r>
    </w:p>
    <w:p w14:paraId="789584F9" w14:textId="77777777" w:rsidR="00D0403E" w:rsidRPr="00183B5F" w:rsidRDefault="00D0403E" w:rsidP="00FE0197">
      <w:pPr>
        <w:pStyle w:val="EMEANormal"/>
        <w:keepNext/>
        <w:jc w:val="center"/>
        <w:rPr>
          <w:rFonts w:eastAsia="Arial Unicode MS"/>
          <w:b/>
          <w:lang w:val="hu-HU"/>
        </w:rPr>
      </w:pPr>
    </w:p>
    <w:tbl>
      <w:tblPr>
        <w:tblW w:w="4375" w:type="pct"/>
        <w:jc w:val="center"/>
        <w:tblCellMar>
          <w:top w:w="15" w:type="dxa"/>
          <w:left w:w="15" w:type="dxa"/>
          <w:bottom w:w="15" w:type="dxa"/>
          <w:right w:w="15" w:type="dxa"/>
        </w:tblCellMar>
        <w:tblLook w:val="0000" w:firstRow="0" w:lastRow="0" w:firstColumn="0" w:lastColumn="0" w:noHBand="0" w:noVBand="0"/>
      </w:tblPr>
      <w:tblGrid>
        <w:gridCol w:w="4725"/>
        <w:gridCol w:w="1006"/>
        <w:gridCol w:w="2206"/>
      </w:tblGrid>
      <w:tr w:rsidR="00011D2F" w14:paraId="67F4E406" w14:textId="77777777" w:rsidTr="00FE0197">
        <w:trPr>
          <w:jc w:val="center"/>
        </w:trPr>
        <w:tc>
          <w:tcPr>
            <w:tcW w:w="2976" w:type="pct"/>
            <w:tcBorders>
              <w:top w:val="single" w:sz="6" w:space="0" w:color="000000"/>
              <w:left w:val="nil"/>
              <w:bottom w:val="single" w:sz="6" w:space="0" w:color="000000"/>
              <w:right w:val="nil"/>
            </w:tcBorders>
          </w:tcPr>
          <w:p w14:paraId="1B1B4470" w14:textId="77777777" w:rsidR="00D0403E" w:rsidRPr="00183B5F" w:rsidRDefault="00D0403E" w:rsidP="00FE0197">
            <w:pPr>
              <w:keepNext/>
              <w:spacing w:line="240" w:lineRule="auto"/>
              <w:jc w:val="center"/>
              <w:rPr>
                <w:rFonts w:eastAsia="Arial Unicode MS"/>
              </w:rPr>
            </w:pPr>
          </w:p>
        </w:tc>
        <w:tc>
          <w:tcPr>
            <w:tcW w:w="634" w:type="pct"/>
            <w:tcBorders>
              <w:top w:val="single" w:sz="6" w:space="0" w:color="000000"/>
              <w:left w:val="nil"/>
              <w:bottom w:val="single" w:sz="6" w:space="0" w:color="000000"/>
              <w:right w:val="nil"/>
            </w:tcBorders>
          </w:tcPr>
          <w:p w14:paraId="001D3975" w14:textId="77777777" w:rsidR="00D0403E" w:rsidRPr="00183B5F" w:rsidRDefault="00943743" w:rsidP="00FE0197">
            <w:pPr>
              <w:keepNext/>
              <w:spacing w:line="240" w:lineRule="auto"/>
              <w:jc w:val="center"/>
              <w:rPr>
                <w:rFonts w:eastAsia="Arial Unicode MS"/>
              </w:rPr>
            </w:pPr>
            <w:r w:rsidRPr="00183B5F">
              <w:rPr>
                <w:rStyle w:val="bold4"/>
                <w:rFonts w:eastAsia="Arial Unicode MS"/>
              </w:rPr>
              <w:t>Placebo</w:t>
            </w:r>
            <w:r w:rsidRPr="00183B5F">
              <w:rPr>
                <w:rFonts w:eastAsia="Arial Unicode MS"/>
              </w:rPr>
              <w:br/>
            </w:r>
          </w:p>
        </w:tc>
        <w:tc>
          <w:tcPr>
            <w:tcW w:w="1391" w:type="pct"/>
            <w:tcBorders>
              <w:top w:val="single" w:sz="6" w:space="0" w:color="000000"/>
              <w:left w:val="nil"/>
              <w:bottom w:val="single" w:sz="6" w:space="0" w:color="000000"/>
              <w:right w:val="nil"/>
            </w:tcBorders>
          </w:tcPr>
          <w:p w14:paraId="7C31FCE4" w14:textId="77777777" w:rsidR="00D0403E" w:rsidRPr="00183B5F" w:rsidRDefault="00943743" w:rsidP="00FE0197">
            <w:pPr>
              <w:keepNext/>
              <w:spacing w:line="240" w:lineRule="auto"/>
              <w:jc w:val="center"/>
              <w:rPr>
                <w:rStyle w:val="bold4"/>
                <w:rFonts w:eastAsia="Arial Unicode MS"/>
              </w:rPr>
            </w:pPr>
            <w:r w:rsidRPr="00183B5F">
              <w:rPr>
                <w:rStyle w:val="bold4"/>
                <w:rFonts w:eastAsia="Arial Unicode MS"/>
              </w:rPr>
              <w:t xml:space="preserve">Humira 40 mg </w:t>
            </w:r>
          </w:p>
          <w:p w14:paraId="24BFAA4C" w14:textId="77777777" w:rsidR="00D0403E" w:rsidRPr="00183B5F" w:rsidRDefault="00943743" w:rsidP="00FE0197">
            <w:pPr>
              <w:keepNext/>
              <w:spacing w:line="240" w:lineRule="auto"/>
              <w:jc w:val="center"/>
              <w:rPr>
                <w:rFonts w:eastAsia="Arial Unicode MS"/>
              </w:rPr>
            </w:pPr>
            <w:r w:rsidRPr="00183B5F">
              <w:rPr>
                <w:rStyle w:val="bold4"/>
                <w:rFonts w:eastAsia="Arial Unicode MS"/>
              </w:rPr>
              <w:t>kéthetente</w:t>
            </w:r>
            <w:r w:rsidRPr="00183B5F">
              <w:rPr>
                <w:rFonts w:eastAsia="Arial Unicode MS"/>
              </w:rPr>
              <w:br/>
            </w:r>
          </w:p>
        </w:tc>
      </w:tr>
      <w:tr w:rsidR="00011D2F" w14:paraId="080C378A" w14:textId="77777777" w:rsidTr="00FE0197">
        <w:trPr>
          <w:jc w:val="center"/>
        </w:trPr>
        <w:tc>
          <w:tcPr>
            <w:tcW w:w="2976" w:type="pct"/>
            <w:tcBorders>
              <w:top w:val="single" w:sz="6" w:space="0" w:color="000000"/>
              <w:left w:val="nil"/>
              <w:bottom w:val="single" w:sz="6" w:space="0" w:color="000000"/>
              <w:right w:val="nil"/>
            </w:tcBorders>
          </w:tcPr>
          <w:p w14:paraId="38DC9FC9" w14:textId="77777777" w:rsidR="00D0403E" w:rsidRPr="00183B5F" w:rsidRDefault="00943743" w:rsidP="00FE0197">
            <w:pPr>
              <w:keepNext/>
              <w:spacing w:line="240" w:lineRule="auto"/>
              <w:rPr>
                <w:rFonts w:eastAsia="Arial Unicode MS"/>
              </w:rPr>
            </w:pPr>
            <w:r w:rsidRPr="00183B5F">
              <w:rPr>
                <w:rFonts w:eastAsia="Arial Unicode MS"/>
              </w:rPr>
              <w:t>52. hét</w:t>
            </w:r>
          </w:p>
        </w:tc>
        <w:tc>
          <w:tcPr>
            <w:tcW w:w="634" w:type="pct"/>
            <w:tcBorders>
              <w:top w:val="single" w:sz="6" w:space="0" w:color="000000"/>
              <w:left w:val="nil"/>
              <w:bottom w:val="single" w:sz="6" w:space="0" w:color="000000"/>
              <w:right w:val="nil"/>
            </w:tcBorders>
          </w:tcPr>
          <w:p w14:paraId="02EAA130" w14:textId="77777777" w:rsidR="00D0403E" w:rsidRPr="00183B5F" w:rsidRDefault="00943743" w:rsidP="00FE0197">
            <w:pPr>
              <w:keepNext/>
              <w:spacing w:line="240" w:lineRule="auto"/>
              <w:jc w:val="center"/>
              <w:rPr>
                <w:rStyle w:val="bold4"/>
                <w:rFonts w:eastAsia="Arial Unicode MS"/>
              </w:rPr>
            </w:pPr>
            <w:r w:rsidRPr="00183B5F">
              <w:rPr>
                <w:rStyle w:val="bold4"/>
                <w:rFonts w:eastAsia="Arial Unicode MS"/>
              </w:rPr>
              <w:t>N</w:t>
            </w:r>
            <w:r w:rsidR="00A05BD2" w:rsidRPr="00183B5F">
              <w:rPr>
                <w:rStyle w:val="bold4"/>
                <w:rFonts w:eastAsia="Arial Unicode MS"/>
              </w:rPr>
              <w:t> </w:t>
            </w:r>
            <w:r w:rsidRPr="00183B5F">
              <w:rPr>
                <w:rStyle w:val="bold4"/>
                <w:rFonts w:eastAsia="Arial Unicode MS"/>
              </w:rPr>
              <w:t>=</w:t>
            </w:r>
            <w:r w:rsidR="00A05BD2" w:rsidRPr="00183B5F">
              <w:rPr>
                <w:rStyle w:val="bold4"/>
                <w:rFonts w:eastAsia="Arial Unicode MS"/>
              </w:rPr>
              <w:t> </w:t>
            </w:r>
            <w:r w:rsidRPr="00183B5F">
              <w:rPr>
                <w:rStyle w:val="bold4"/>
                <w:rFonts w:eastAsia="Arial Unicode MS"/>
              </w:rPr>
              <w:t>246</w:t>
            </w:r>
          </w:p>
        </w:tc>
        <w:tc>
          <w:tcPr>
            <w:tcW w:w="1391" w:type="pct"/>
            <w:tcBorders>
              <w:top w:val="single" w:sz="6" w:space="0" w:color="000000"/>
              <w:left w:val="nil"/>
              <w:bottom w:val="single" w:sz="6" w:space="0" w:color="000000"/>
              <w:right w:val="nil"/>
            </w:tcBorders>
          </w:tcPr>
          <w:p w14:paraId="7E3666A1" w14:textId="77777777" w:rsidR="00D0403E" w:rsidRPr="00183B5F" w:rsidRDefault="00943743" w:rsidP="00FE0197">
            <w:pPr>
              <w:keepNext/>
              <w:spacing w:line="240" w:lineRule="auto"/>
              <w:jc w:val="center"/>
              <w:rPr>
                <w:rStyle w:val="bold4"/>
                <w:rFonts w:eastAsia="Arial Unicode MS"/>
              </w:rPr>
            </w:pPr>
            <w:r w:rsidRPr="00183B5F">
              <w:rPr>
                <w:rStyle w:val="bold4"/>
                <w:rFonts w:eastAsia="Arial Unicode MS"/>
              </w:rPr>
              <w:t>N</w:t>
            </w:r>
            <w:r w:rsidR="00A05BD2" w:rsidRPr="00183B5F">
              <w:rPr>
                <w:rStyle w:val="bold4"/>
                <w:rFonts w:eastAsia="Arial Unicode MS"/>
              </w:rPr>
              <w:t> </w:t>
            </w:r>
            <w:r w:rsidRPr="00183B5F">
              <w:rPr>
                <w:rStyle w:val="bold4"/>
                <w:rFonts w:eastAsia="Arial Unicode MS"/>
              </w:rPr>
              <w:t>=</w:t>
            </w:r>
            <w:r w:rsidR="00A05BD2" w:rsidRPr="00183B5F">
              <w:rPr>
                <w:rStyle w:val="bold4"/>
                <w:rFonts w:eastAsia="Arial Unicode MS"/>
              </w:rPr>
              <w:t> </w:t>
            </w:r>
            <w:r w:rsidRPr="00183B5F">
              <w:rPr>
                <w:rStyle w:val="bold4"/>
                <w:rFonts w:eastAsia="Arial Unicode MS"/>
              </w:rPr>
              <w:t>248</w:t>
            </w:r>
          </w:p>
        </w:tc>
      </w:tr>
      <w:tr w:rsidR="00011D2F" w14:paraId="625717FE" w14:textId="77777777" w:rsidTr="00FE0197">
        <w:trPr>
          <w:jc w:val="center"/>
        </w:trPr>
        <w:tc>
          <w:tcPr>
            <w:tcW w:w="2976" w:type="pct"/>
            <w:tcBorders>
              <w:top w:val="nil"/>
              <w:left w:val="nil"/>
              <w:right w:val="nil"/>
            </w:tcBorders>
          </w:tcPr>
          <w:p w14:paraId="57BB55B7" w14:textId="77777777" w:rsidR="00D0403E" w:rsidRPr="00183B5F" w:rsidRDefault="00943743" w:rsidP="00FE0197">
            <w:pPr>
              <w:keepNext/>
              <w:spacing w:line="240" w:lineRule="auto"/>
              <w:rPr>
                <w:rFonts w:eastAsia="Arial Unicode MS"/>
              </w:rPr>
            </w:pPr>
            <w:r w:rsidRPr="00183B5F">
              <w:rPr>
                <w:rFonts w:eastAsia="Arial Unicode MS"/>
              </w:rPr>
              <w:t xml:space="preserve">  Klinikai válasz </w:t>
            </w:r>
          </w:p>
        </w:tc>
        <w:tc>
          <w:tcPr>
            <w:tcW w:w="634" w:type="pct"/>
            <w:tcBorders>
              <w:top w:val="nil"/>
              <w:left w:val="nil"/>
              <w:right w:val="nil"/>
            </w:tcBorders>
          </w:tcPr>
          <w:p w14:paraId="48D42A3E" w14:textId="77777777" w:rsidR="00D0403E" w:rsidRPr="00183B5F" w:rsidRDefault="00943743" w:rsidP="00FE0197">
            <w:pPr>
              <w:keepNext/>
              <w:spacing w:line="240" w:lineRule="auto"/>
              <w:jc w:val="center"/>
              <w:rPr>
                <w:rFonts w:eastAsia="Arial Unicode MS"/>
              </w:rPr>
            </w:pPr>
            <w:r w:rsidRPr="00183B5F">
              <w:rPr>
                <w:rFonts w:eastAsia="Arial Unicode MS"/>
              </w:rPr>
              <w:t xml:space="preserve">18% </w:t>
            </w:r>
          </w:p>
        </w:tc>
        <w:tc>
          <w:tcPr>
            <w:tcW w:w="1391" w:type="pct"/>
            <w:tcBorders>
              <w:top w:val="nil"/>
              <w:left w:val="nil"/>
              <w:right w:val="nil"/>
            </w:tcBorders>
          </w:tcPr>
          <w:p w14:paraId="0E65616C" w14:textId="77777777" w:rsidR="00D0403E" w:rsidRPr="00183B5F" w:rsidRDefault="00943743" w:rsidP="00FE0197">
            <w:pPr>
              <w:keepNext/>
              <w:spacing w:line="240" w:lineRule="auto"/>
              <w:jc w:val="center"/>
              <w:rPr>
                <w:rFonts w:eastAsia="Arial Unicode MS"/>
              </w:rPr>
            </w:pPr>
            <w:r w:rsidRPr="00183B5F">
              <w:rPr>
                <w:rFonts w:eastAsia="Arial Unicode MS"/>
              </w:rPr>
              <w:t xml:space="preserve">   30%*</w:t>
            </w:r>
          </w:p>
        </w:tc>
      </w:tr>
      <w:tr w:rsidR="00011D2F" w14:paraId="2E40C547" w14:textId="77777777" w:rsidTr="00FE0197">
        <w:trPr>
          <w:jc w:val="center"/>
        </w:trPr>
        <w:tc>
          <w:tcPr>
            <w:tcW w:w="2976" w:type="pct"/>
            <w:tcBorders>
              <w:top w:val="nil"/>
              <w:left w:val="nil"/>
              <w:right w:val="nil"/>
            </w:tcBorders>
          </w:tcPr>
          <w:p w14:paraId="4240481C" w14:textId="77777777" w:rsidR="00D0403E" w:rsidRPr="00183B5F" w:rsidRDefault="00943743" w:rsidP="00FE0197">
            <w:pPr>
              <w:keepNext/>
              <w:spacing w:line="240" w:lineRule="auto"/>
              <w:rPr>
                <w:rFonts w:eastAsia="Arial Unicode MS"/>
              </w:rPr>
            </w:pPr>
            <w:r w:rsidRPr="00183B5F">
              <w:rPr>
                <w:rFonts w:eastAsia="Arial Unicode MS"/>
              </w:rPr>
              <w:t xml:space="preserve">  Klinikai remisszió</w:t>
            </w:r>
          </w:p>
        </w:tc>
        <w:tc>
          <w:tcPr>
            <w:tcW w:w="634" w:type="pct"/>
            <w:tcBorders>
              <w:top w:val="nil"/>
              <w:left w:val="nil"/>
              <w:right w:val="nil"/>
            </w:tcBorders>
          </w:tcPr>
          <w:p w14:paraId="371B3609" w14:textId="77777777" w:rsidR="00D0403E" w:rsidRPr="00183B5F" w:rsidRDefault="00943743" w:rsidP="00FE0197">
            <w:pPr>
              <w:keepNext/>
              <w:spacing w:line="240" w:lineRule="auto"/>
              <w:jc w:val="center"/>
              <w:rPr>
                <w:rFonts w:eastAsia="Arial Unicode MS"/>
              </w:rPr>
            </w:pPr>
            <w:r w:rsidRPr="00183B5F">
              <w:rPr>
                <w:rFonts w:eastAsia="Arial Unicode MS"/>
              </w:rPr>
              <w:t>9%</w:t>
            </w:r>
          </w:p>
        </w:tc>
        <w:tc>
          <w:tcPr>
            <w:tcW w:w="1391" w:type="pct"/>
            <w:tcBorders>
              <w:top w:val="nil"/>
              <w:left w:val="nil"/>
              <w:right w:val="nil"/>
            </w:tcBorders>
          </w:tcPr>
          <w:p w14:paraId="29F4C546" w14:textId="77777777" w:rsidR="00D0403E" w:rsidRPr="00183B5F" w:rsidRDefault="00943743" w:rsidP="00FE0197">
            <w:pPr>
              <w:keepNext/>
              <w:spacing w:line="240" w:lineRule="auto"/>
              <w:jc w:val="center"/>
              <w:rPr>
                <w:rFonts w:eastAsia="Arial Unicode MS"/>
              </w:rPr>
            </w:pPr>
            <w:r w:rsidRPr="00183B5F">
              <w:rPr>
                <w:rFonts w:eastAsia="Arial Unicode MS"/>
              </w:rPr>
              <w:t xml:space="preserve">   17%*</w:t>
            </w:r>
          </w:p>
        </w:tc>
      </w:tr>
      <w:tr w:rsidR="00011D2F" w14:paraId="0C7CD0B6" w14:textId="77777777" w:rsidTr="00FE0197">
        <w:trPr>
          <w:jc w:val="center"/>
        </w:trPr>
        <w:tc>
          <w:tcPr>
            <w:tcW w:w="2976" w:type="pct"/>
            <w:tcBorders>
              <w:top w:val="nil"/>
              <w:left w:val="nil"/>
              <w:right w:val="nil"/>
            </w:tcBorders>
          </w:tcPr>
          <w:p w14:paraId="05DD0D23" w14:textId="77777777" w:rsidR="00D0403E" w:rsidRPr="00183B5F" w:rsidRDefault="00943743" w:rsidP="004062FE">
            <w:pPr>
              <w:spacing w:line="240" w:lineRule="auto"/>
              <w:rPr>
                <w:rFonts w:eastAsia="Arial Unicode MS"/>
              </w:rPr>
            </w:pPr>
            <w:r w:rsidRPr="00183B5F">
              <w:rPr>
                <w:rFonts w:eastAsia="Arial Unicode MS"/>
              </w:rPr>
              <w:t xml:space="preserve">  Nyálkahártya gyógyulás </w:t>
            </w:r>
          </w:p>
        </w:tc>
        <w:tc>
          <w:tcPr>
            <w:tcW w:w="634" w:type="pct"/>
            <w:tcBorders>
              <w:top w:val="nil"/>
              <w:left w:val="nil"/>
              <w:right w:val="nil"/>
            </w:tcBorders>
          </w:tcPr>
          <w:p w14:paraId="0C4DB11D" w14:textId="77777777" w:rsidR="00D0403E" w:rsidRPr="00183B5F" w:rsidRDefault="00943743" w:rsidP="004062FE">
            <w:pPr>
              <w:spacing w:line="240" w:lineRule="auto"/>
              <w:jc w:val="center"/>
              <w:rPr>
                <w:rFonts w:eastAsia="Arial Unicode MS"/>
              </w:rPr>
            </w:pPr>
            <w:r w:rsidRPr="00183B5F">
              <w:rPr>
                <w:rFonts w:eastAsia="Arial Unicode MS"/>
              </w:rPr>
              <w:t>15%</w:t>
            </w:r>
          </w:p>
        </w:tc>
        <w:tc>
          <w:tcPr>
            <w:tcW w:w="1391" w:type="pct"/>
            <w:tcBorders>
              <w:top w:val="nil"/>
              <w:left w:val="nil"/>
              <w:right w:val="nil"/>
            </w:tcBorders>
          </w:tcPr>
          <w:p w14:paraId="1B905E42" w14:textId="77777777" w:rsidR="00D0403E" w:rsidRPr="00183B5F" w:rsidRDefault="00943743" w:rsidP="004062FE">
            <w:pPr>
              <w:spacing w:line="240" w:lineRule="auto"/>
              <w:jc w:val="center"/>
              <w:rPr>
                <w:rFonts w:eastAsia="Arial Unicode MS"/>
              </w:rPr>
            </w:pPr>
            <w:r w:rsidRPr="00183B5F">
              <w:rPr>
                <w:rFonts w:eastAsia="Arial Unicode MS"/>
              </w:rPr>
              <w:t xml:space="preserve">   25%*</w:t>
            </w:r>
          </w:p>
        </w:tc>
      </w:tr>
      <w:tr w:rsidR="00011D2F" w14:paraId="0761FD1C" w14:textId="77777777" w:rsidTr="00FE0197">
        <w:trPr>
          <w:jc w:val="center"/>
        </w:trPr>
        <w:tc>
          <w:tcPr>
            <w:tcW w:w="2976" w:type="pct"/>
            <w:tcBorders>
              <w:top w:val="nil"/>
              <w:left w:val="nil"/>
              <w:right w:val="nil"/>
            </w:tcBorders>
          </w:tcPr>
          <w:p w14:paraId="2B5F9B94" w14:textId="77777777" w:rsidR="00D0403E" w:rsidRPr="00183B5F" w:rsidRDefault="00943743" w:rsidP="004062FE">
            <w:pPr>
              <w:spacing w:line="240" w:lineRule="auto"/>
              <w:rPr>
                <w:rFonts w:eastAsia="Arial Unicode MS"/>
              </w:rPr>
            </w:pPr>
            <w:r w:rsidRPr="00183B5F">
              <w:rPr>
                <w:rFonts w:eastAsia="Arial Unicode MS"/>
              </w:rPr>
              <w:t xml:space="preserve">  Szteroidmentes remisszió legalább 90 napig</w:t>
            </w:r>
            <w:r w:rsidRPr="00183B5F">
              <w:rPr>
                <w:vertAlign w:val="superscript"/>
              </w:rPr>
              <w:t xml:space="preserve"> a</w:t>
            </w:r>
            <w:r w:rsidRPr="00183B5F">
              <w:rPr>
                <w:rFonts w:eastAsia="Arial Unicode MS"/>
              </w:rPr>
              <w:t xml:space="preserve"> </w:t>
            </w:r>
          </w:p>
        </w:tc>
        <w:tc>
          <w:tcPr>
            <w:tcW w:w="634" w:type="pct"/>
            <w:tcBorders>
              <w:top w:val="nil"/>
              <w:left w:val="nil"/>
              <w:right w:val="nil"/>
            </w:tcBorders>
          </w:tcPr>
          <w:p w14:paraId="0DE03EDB" w14:textId="77777777" w:rsidR="00D0403E" w:rsidRPr="00183B5F" w:rsidRDefault="00943743" w:rsidP="004062FE">
            <w:pPr>
              <w:spacing w:line="240" w:lineRule="auto"/>
              <w:jc w:val="center"/>
              <w:rPr>
                <w:rFonts w:eastAsia="Arial Unicode MS"/>
              </w:rPr>
            </w:pPr>
            <w:r w:rsidRPr="00183B5F">
              <w:rPr>
                <w:rFonts w:eastAsia="Arial Unicode MS"/>
              </w:rPr>
              <w:t xml:space="preserve">6% </w:t>
            </w:r>
          </w:p>
          <w:p w14:paraId="6ED812F9" w14:textId="77777777" w:rsidR="00D0403E" w:rsidRPr="00183B5F" w:rsidRDefault="00943743" w:rsidP="004062FE">
            <w:pPr>
              <w:spacing w:line="240" w:lineRule="auto"/>
              <w:jc w:val="center"/>
              <w:rPr>
                <w:rFonts w:eastAsia="Arial Unicode MS"/>
              </w:rPr>
            </w:pPr>
            <w:r w:rsidRPr="00183B5F">
              <w:rPr>
                <w:rFonts w:eastAsia="Arial Unicode MS"/>
              </w:rPr>
              <w:t>(N</w:t>
            </w:r>
            <w:r w:rsidR="00A05BD2" w:rsidRPr="00183B5F">
              <w:rPr>
                <w:rFonts w:eastAsia="Arial Unicode MS"/>
              </w:rPr>
              <w:t> </w:t>
            </w:r>
            <w:r w:rsidRPr="00183B5F">
              <w:rPr>
                <w:rFonts w:eastAsia="Arial Unicode MS"/>
              </w:rPr>
              <w:t>=</w:t>
            </w:r>
            <w:r w:rsidR="00A05BD2" w:rsidRPr="00183B5F">
              <w:rPr>
                <w:rFonts w:eastAsia="Arial Unicode MS"/>
              </w:rPr>
              <w:t> </w:t>
            </w:r>
            <w:r w:rsidRPr="00183B5F">
              <w:rPr>
                <w:rFonts w:eastAsia="Arial Unicode MS"/>
              </w:rPr>
              <w:t>140)</w:t>
            </w:r>
          </w:p>
        </w:tc>
        <w:tc>
          <w:tcPr>
            <w:tcW w:w="1391" w:type="pct"/>
            <w:tcBorders>
              <w:top w:val="nil"/>
              <w:left w:val="nil"/>
              <w:right w:val="nil"/>
            </w:tcBorders>
          </w:tcPr>
          <w:p w14:paraId="725CDC3B" w14:textId="77777777" w:rsidR="00D0403E" w:rsidRPr="00183B5F" w:rsidRDefault="00943743" w:rsidP="004062FE">
            <w:pPr>
              <w:spacing w:line="240" w:lineRule="auto"/>
              <w:jc w:val="center"/>
              <w:rPr>
                <w:rFonts w:eastAsia="Arial Unicode MS"/>
              </w:rPr>
            </w:pPr>
            <w:r w:rsidRPr="00183B5F">
              <w:rPr>
                <w:rFonts w:eastAsia="Arial Unicode MS"/>
              </w:rPr>
              <w:t xml:space="preserve">     13% *</w:t>
            </w:r>
          </w:p>
          <w:p w14:paraId="6F79B459" w14:textId="77777777" w:rsidR="00D0403E" w:rsidRPr="00183B5F" w:rsidRDefault="00943743" w:rsidP="004062FE">
            <w:pPr>
              <w:spacing w:line="240" w:lineRule="auto"/>
              <w:jc w:val="center"/>
              <w:rPr>
                <w:rFonts w:eastAsia="Arial Unicode MS"/>
              </w:rPr>
            </w:pPr>
            <w:r w:rsidRPr="00183B5F">
              <w:rPr>
                <w:rFonts w:eastAsia="Arial Unicode MS"/>
              </w:rPr>
              <w:t>(N</w:t>
            </w:r>
            <w:r w:rsidR="00A05BD2" w:rsidRPr="00183B5F">
              <w:rPr>
                <w:rFonts w:eastAsia="Arial Unicode MS"/>
              </w:rPr>
              <w:t> </w:t>
            </w:r>
            <w:r w:rsidRPr="00183B5F">
              <w:rPr>
                <w:rFonts w:eastAsia="Arial Unicode MS"/>
              </w:rPr>
              <w:t>=</w:t>
            </w:r>
            <w:r w:rsidR="00A05BD2" w:rsidRPr="00183B5F">
              <w:rPr>
                <w:rFonts w:eastAsia="Arial Unicode MS"/>
              </w:rPr>
              <w:t> </w:t>
            </w:r>
            <w:r w:rsidRPr="00183B5F">
              <w:rPr>
                <w:rFonts w:eastAsia="Arial Unicode MS"/>
              </w:rPr>
              <w:t>150)</w:t>
            </w:r>
          </w:p>
          <w:p w14:paraId="2B08B058" w14:textId="77777777" w:rsidR="00D0403E" w:rsidRPr="00183B5F" w:rsidRDefault="00D0403E" w:rsidP="004062FE">
            <w:pPr>
              <w:spacing w:line="240" w:lineRule="auto"/>
              <w:rPr>
                <w:rFonts w:eastAsia="Arial Unicode MS"/>
              </w:rPr>
            </w:pPr>
          </w:p>
        </w:tc>
      </w:tr>
      <w:tr w:rsidR="00011D2F" w14:paraId="3FD88DEE" w14:textId="77777777" w:rsidTr="00FE0197">
        <w:trPr>
          <w:jc w:val="center"/>
        </w:trPr>
        <w:tc>
          <w:tcPr>
            <w:tcW w:w="2976" w:type="pct"/>
            <w:tcBorders>
              <w:top w:val="nil"/>
              <w:left w:val="nil"/>
              <w:right w:val="nil"/>
            </w:tcBorders>
          </w:tcPr>
          <w:p w14:paraId="5537C62E" w14:textId="77777777" w:rsidR="00D0403E" w:rsidRPr="00183B5F" w:rsidRDefault="00943743" w:rsidP="00B46747">
            <w:pPr>
              <w:spacing w:line="240" w:lineRule="auto"/>
              <w:rPr>
                <w:rFonts w:eastAsia="Arial Unicode MS"/>
              </w:rPr>
            </w:pPr>
            <w:r w:rsidRPr="00183B5F">
              <w:rPr>
                <w:rFonts w:eastAsia="Arial Unicode MS"/>
              </w:rPr>
              <w:t>8. és 52. </w:t>
            </w:r>
            <w:r w:rsidR="00B46747" w:rsidRPr="00183B5F">
              <w:rPr>
                <w:rFonts w:eastAsia="Arial Unicode MS"/>
              </w:rPr>
              <w:t>h</w:t>
            </w:r>
            <w:r w:rsidRPr="00183B5F">
              <w:rPr>
                <w:rFonts w:eastAsia="Arial Unicode MS"/>
              </w:rPr>
              <w:t>ét</w:t>
            </w:r>
          </w:p>
        </w:tc>
        <w:tc>
          <w:tcPr>
            <w:tcW w:w="634" w:type="pct"/>
            <w:tcBorders>
              <w:top w:val="nil"/>
              <w:left w:val="nil"/>
              <w:right w:val="nil"/>
            </w:tcBorders>
          </w:tcPr>
          <w:p w14:paraId="57BAB697" w14:textId="77777777" w:rsidR="00D0403E" w:rsidRPr="00183B5F" w:rsidRDefault="00D0403E" w:rsidP="004062FE">
            <w:pPr>
              <w:spacing w:line="240" w:lineRule="auto"/>
              <w:jc w:val="center"/>
              <w:rPr>
                <w:rFonts w:eastAsia="Arial Unicode MS"/>
              </w:rPr>
            </w:pPr>
          </w:p>
        </w:tc>
        <w:tc>
          <w:tcPr>
            <w:tcW w:w="1391" w:type="pct"/>
            <w:tcBorders>
              <w:top w:val="nil"/>
              <w:left w:val="nil"/>
              <w:right w:val="nil"/>
            </w:tcBorders>
          </w:tcPr>
          <w:p w14:paraId="30FB9D91" w14:textId="77777777" w:rsidR="00D0403E" w:rsidRPr="00183B5F" w:rsidRDefault="00D0403E" w:rsidP="004062FE">
            <w:pPr>
              <w:spacing w:line="240" w:lineRule="auto"/>
              <w:jc w:val="center"/>
              <w:rPr>
                <w:rFonts w:eastAsia="Arial Unicode MS"/>
              </w:rPr>
            </w:pPr>
          </w:p>
        </w:tc>
      </w:tr>
      <w:tr w:rsidR="00011D2F" w14:paraId="5760E695" w14:textId="77777777" w:rsidTr="00FE0197">
        <w:trPr>
          <w:jc w:val="center"/>
        </w:trPr>
        <w:tc>
          <w:tcPr>
            <w:tcW w:w="2976" w:type="pct"/>
            <w:tcBorders>
              <w:top w:val="nil"/>
              <w:left w:val="nil"/>
              <w:right w:val="nil"/>
            </w:tcBorders>
          </w:tcPr>
          <w:p w14:paraId="71C9BD86" w14:textId="77777777" w:rsidR="00D0403E" w:rsidRPr="00183B5F" w:rsidRDefault="00943743" w:rsidP="004062FE">
            <w:pPr>
              <w:spacing w:line="240" w:lineRule="auto"/>
              <w:rPr>
                <w:rFonts w:eastAsia="Arial Unicode MS"/>
              </w:rPr>
            </w:pPr>
            <w:r w:rsidRPr="00183B5F">
              <w:rPr>
                <w:rFonts w:eastAsia="Arial Unicode MS"/>
              </w:rPr>
              <w:t xml:space="preserve">  Fenntartott válasz </w:t>
            </w:r>
          </w:p>
        </w:tc>
        <w:tc>
          <w:tcPr>
            <w:tcW w:w="634" w:type="pct"/>
            <w:tcBorders>
              <w:top w:val="nil"/>
              <w:left w:val="nil"/>
              <w:right w:val="nil"/>
            </w:tcBorders>
          </w:tcPr>
          <w:p w14:paraId="6378A441" w14:textId="77777777" w:rsidR="00D0403E" w:rsidRPr="00183B5F" w:rsidRDefault="00943743" w:rsidP="004062FE">
            <w:pPr>
              <w:spacing w:line="240" w:lineRule="auto"/>
              <w:jc w:val="center"/>
              <w:rPr>
                <w:rFonts w:eastAsia="Arial Unicode MS"/>
              </w:rPr>
            </w:pPr>
            <w:r w:rsidRPr="00183B5F">
              <w:rPr>
                <w:rFonts w:eastAsia="Arial Unicode MS"/>
              </w:rPr>
              <w:t>12%</w:t>
            </w:r>
          </w:p>
        </w:tc>
        <w:tc>
          <w:tcPr>
            <w:tcW w:w="1391" w:type="pct"/>
            <w:tcBorders>
              <w:top w:val="nil"/>
              <w:left w:val="nil"/>
              <w:right w:val="nil"/>
            </w:tcBorders>
          </w:tcPr>
          <w:p w14:paraId="26424514" w14:textId="77777777" w:rsidR="00D0403E" w:rsidRPr="00183B5F" w:rsidRDefault="00943743" w:rsidP="004062FE">
            <w:pPr>
              <w:spacing w:line="240" w:lineRule="auto"/>
              <w:jc w:val="center"/>
              <w:rPr>
                <w:rFonts w:eastAsia="Arial Unicode MS"/>
              </w:rPr>
            </w:pPr>
            <w:r w:rsidRPr="00183B5F">
              <w:rPr>
                <w:rFonts w:eastAsia="Arial Unicode MS"/>
              </w:rPr>
              <w:t xml:space="preserve">   24%**</w:t>
            </w:r>
          </w:p>
        </w:tc>
      </w:tr>
      <w:tr w:rsidR="00011D2F" w14:paraId="15FCC17A" w14:textId="77777777" w:rsidTr="00FE0197">
        <w:trPr>
          <w:jc w:val="center"/>
        </w:trPr>
        <w:tc>
          <w:tcPr>
            <w:tcW w:w="2976" w:type="pct"/>
            <w:tcBorders>
              <w:top w:val="nil"/>
              <w:left w:val="nil"/>
              <w:right w:val="nil"/>
            </w:tcBorders>
          </w:tcPr>
          <w:p w14:paraId="3B7AC58F" w14:textId="77777777" w:rsidR="00D0403E" w:rsidRPr="00183B5F" w:rsidRDefault="00943743" w:rsidP="004062FE">
            <w:pPr>
              <w:spacing w:line="240" w:lineRule="auto"/>
              <w:rPr>
                <w:rFonts w:eastAsia="Arial Unicode MS"/>
              </w:rPr>
            </w:pPr>
            <w:r w:rsidRPr="00183B5F">
              <w:rPr>
                <w:rFonts w:eastAsia="Arial Unicode MS"/>
              </w:rPr>
              <w:t xml:space="preserve">  Fenntartott remisszió </w:t>
            </w:r>
          </w:p>
        </w:tc>
        <w:tc>
          <w:tcPr>
            <w:tcW w:w="634" w:type="pct"/>
            <w:tcBorders>
              <w:top w:val="nil"/>
              <w:left w:val="nil"/>
              <w:right w:val="nil"/>
            </w:tcBorders>
          </w:tcPr>
          <w:p w14:paraId="6FF9DA36" w14:textId="77777777" w:rsidR="00D0403E" w:rsidRPr="00183B5F" w:rsidRDefault="00943743" w:rsidP="004062FE">
            <w:pPr>
              <w:spacing w:line="240" w:lineRule="auto"/>
              <w:jc w:val="center"/>
              <w:rPr>
                <w:rFonts w:eastAsia="Arial Unicode MS"/>
              </w:rPr>
            </w:pPr>
            <w:r w:rsidRPr="00183B5F">
              <w:rPr>
                <w:rFonts w:eastAsia="Arial Unicode MS"/>
              </w:rPr>
              <w:t>4%</w:t>
            </w:r>
          </w:p>
        </w:tc>
        <w:tc>
          <w:tcPr>
            <w:tcW w:w="1391" w:type="pct"/>
            <w:tcBorders>
              <w:top w:val="nil"/>
              <w:left w:val="nil"/>
              <w:right w:val="nil"/>
            </w:tcBorders>
          </w:tcPr>
          <w:p w14:paraId="5F352C99" w14:textId="77777777" w:rsidR="00D0403E" w:rsidRPr="00183B5F" w:rsidRDefault="00943743" w:rsidP="004062FE">
            <w:pPr>
              <w:spacing w:line="240" w:lineRule="auto"/>
              <w:jc w:val="center"/>
              <w:rPr>
                <w:rFonts w:eastAsia="Arial Unicode MS"/>
              </w:rPr>
            </w:pPr>
            <w:r w:rsidRPr="00183B5F">
              <w:rPr>
                <w:rFonts w:eastAsia="Arial Unicode MS"/>
              </w:rPr>
              <w:t xml:space="preserve">   8%*</w:t>
            </w:r>
          </w:p>
        </w:tc>
      </w:tr>
      <w:tr w:rsidR="00011D2F" w14:paraId="5D7A6E6D" w14:textId="77777777" w:rsidTr="00FE0197">
        <w:trPr>
          <w:jc w:val="center"/>
        </w:trPr>
        <w:tc>
          <w:tcPr>
            <w:tcW w:w="2976" w:type="pct"/>
            <w:tcBorders>
              <w:top w:val="nil"/>
              <w:left w:val="nil"/>
              <w:bottom w:val="single" w:sz="6" w:space="0" w:color="000000"/>
              <w:right w:val="nil"/>
            </w:tcBorders>
          </w:tcPr>
          <w:p w14:paraId="1C971B45" w14:textId="77777777" w:rsidR="00D0403E" w:rsidRPr="00183B5F" w:rsidRDefault="00943743" w:rsidP="004062FE">
            <w:pPr>
              <w:spacing w:line="240" w:lineRule="auto"/>
              <w:rPr>
                <w:rFonts w:eastAsia="Arial Unicode MS"/>
              </w:rPr>
            </w:pPr>
            <w:r w:rsidRPr="00183B5F">
              <w:rPr>
                <w:rFonts w:eastAsia="Arial Unicode MS"/>
              </w:rPr>
              <w:t xml:space="preserve">  Fenntartott nyálkahártya gyógyulás </w:t>
            </w:r>
          </w:p>
        </w:tc>
        <w:tc>
          <w:tcPr>
            <w:tcW w:w="634" w:type="pct"/>
            <w:tcBorders>
              <w:top w:val="nil"/>
              <w:left w:val="nil"/>
              <w:bottom w:val="single" w:sz="6" w:space="0" w:color="000000"/>
              <w:right w:val="nil"/>
            </w:tcBorders>
          </w:tcPr>
          <w:p w14:paraId="6BFDF783" w14:textId="77777777" w:rsidR="00D0403E" w:rsidRPr="00183B5F" w:rsidRDefault="00943743" w:rsidP="004062FE">
            <w:pPr>
              <w:spacing w:line="240" w:lineRule="auto"/>
              <w:jc w:val="center"/>
              <w:rPr>
                <w:rFonts w:eastAsia="Arial Unicode MS"/>
              </w:rPr>
            </w:pPr>
            <w:r w:rsidRPr="00183B5F">
              <w:rPr>
                <w:rFonts w:eastAsia="Arial Unicode MS"/>
              </w:rPr>
              <w:t>11%</w:t>
            </w:r>
          </w:p>
        </w:tc>
        <w:tc>
          <w:tcPr>
            <w:tcW w:w="1391" w:type="pct"/>
            <w:tcBorders>
              <w:top w:val="nil"/>
              <w:left w:val="nil"/>
              <w:bottom w:val="single" w:sz="6" w:space="0" w:color="000000"/>
              <w:right w:val="nil"/>
            </w:tcBorders>
          </w:tcPr>
          <w:p w14:paraId="090D4771" w14:textId="77777777" w:rsidR="00D0403E" w:rsidRPr="00183B5F" w:rsidRDefault="00943743" w:rsidP="004062FE">
            <w:pPr>
              <w:spacing w:line="240" w:lineRule="auto"/>
              <w:jc w:val="center"/>
              <w:rPr>
                <w:rFonts w:eastAsia="Arial Unicode MS"/>
              </w:rPr>
            </w:pPr>
            <w:r w:rsidRPr="00183B5F">
              <w:rPr>
                <w:rFonts w:eastAsia="Arial Unicode MS"/>
              </w:rPr>
              <w:t xml:space="preserve">  19%*</w:t>
            </w:r>
          </w:p>
        </w:tc>
      </w:tr>
      <w:tr w:rsidR="00011D2F" w14:paraId="05E16C49" w14:textId="77777777" w:rsidTr="00FE0197">
        <w:trPr>
          <w:jc w:val="center"/>
        </w:trPr>
        <w:tc>
          <w:tcPr>
            <w:tcW w:w="5000" w:type="pct"/>
            <w:gridSpan w:val="3"/>
            <w:tcBorders>
              <w:top w:val="nil"/>
              <w:left w:val="nil"/>
              <w:bottom w:val="nil"/>
              <w:right w:val="nil"/>
            </w:tcBorders>
          </w:tcPr>
          <w:p w14:paraId="3CEB242A" w14:textId="77777777" w:rsidR="00D0403E" w:rsidRPr="00183B5F" w:rsidRDefault="00943743" w:rsidP="004062FE">
            <w:pPr>
              <w:spacing w:line="240" w:lineRule="auto"/>
              <w:rPr>
                <w:rFonts w:eastAsia="Arial Unicode MS"/>
              </w:rPr>
            </w:pPr>
            <w:r w:rsidRPr="00183B5F">
              <w:rPr>
                <w:rFonts w:eastAsia="Arial Unicode MS"/>
              </w:rPr>
              <w:t>Klinikai remisszió: Mayo pontszám ≤ 2 és alpontszám</w:t>
            </w:r>
            <w:r w:rsidR="00B46747" w:rsidRPr="00183B5F">
              <w:rPr>
                <w:rFonts w:eastAsia="Arial Unicode MS"/>
              </w:rPr>
              <w:t>&gt;</w:t>
            </w:r>
            <w:r w:rsidRPr="00183B5F">
              <w:rPr>
                <w:rFonts w:eastAsia="Arial Unicode MS"/>
              </w:rPr>
              <w:t> 1;</w:t>
            </w:r>
          </w:p>
          <w:p w14:paraId="23D72D8F" w14:textId="77777777" w:rsidR="00D0403E" w:rsidRPr="00183B5F" w:rsidRDefault="00943743" w:rsidP="004062FE">
            <w:pPr>
              <w:spacing w:line="240" w:lineRule="auto"/>
              <w:rPr>
                <w:rFonts w:eastAsia="Arial Unicode MS"/>
              </w:rPr>
            </w:pPr>
            <w:r w:rsidRPr="00183B5F">
              <w:rPr>
                <w:rFonts w:eastAsia="Arial Unicode MS"/>
              </w:rPr>
              <w:t>Klinikai válasz: a Mayo pontszám kiindulási értékéhez viszonyított ≥3 pontos és ≥30%</w:t>
            </w:r>
            <w:r w:rsidRPr="00183B5F">
              <w:rPr>
                <w:rFonts w:eastAsia="Arial Unicode MS"/>
              </w:rPr>
              <w:noBreakHyphen/>
              <w:t>os csökkenése, és a rectalis vérzés alpontszámának [rectal bleeding subscore; RBS] ≥1 csökkenése vagy az abszolút RBS</w:t>
            </w:r>
            <w:r w:rsidRPr="00183B5F">
              <w:rPr>
                <w:rFonts w:eastAsia="Arial Unicode MS"/>
              </w:rPr>
              <w:noBreakHyphen/>
              <w:t>érték 0 vagy 1;</w:t>
            </w:r>
          </w:p>
          <w:p w14:paraId="10FB99AC" w14:textId="77777777" w:rsidR="00D0403E" w:rsidRPr="00183B5F" w:rsidRDefault="00943743" w:rsidP="004062FE">
            <w:pPr>
              <w:spacing w:line="240" w:lineRule="auto"/>
              <w:rPr>
                <w:rFonts w:eastAsia="Arial Unicode MS"/>
              </w:rPr>
            </w:pPr>
            <w:r w:rsidRPr="00183B5F">
              <w:rPr>
                <w:rStyle w:val="sup1"/>
                <w:rFonts w:eastAsia="Arial Unicode MS"/>
                <w:sz w:val="22"/>
                <w:vertAlign w:val="superscript"/>
              </w:rPr>
              <w:t>*</w:t>
            </w:r>
            <w:r w:rsidRPr="00183B5F">
              <w:rPr>
                <w:rFonts w:eastAsia="Arial Unicode MS"/>
              </w:rPr>
              <w:t>p &lt; 0,05 Humira</w:t>
            </w:r>
            <w:r w:rsidRPr="00183B5F">
              <w:rPr>
                <w:rFonts w:eastAsia="Arial Unicode MS"/>
                <w:i/>
              </w:rPr>
              <w:noBreakHyphen/>
            </w:r>
            <w:r w:rsidRPr="00183B5F">
              <w:rPr>
                <w:rStyle w:val="italics5"/>
                <w:i w:val="0"/>
              </w:rPr>
              <w:t>val</w:t>
            </w:r>
            <w:r w:rsidRPr="00183B5F">
              <w:rPr>
                <w:rStyle w:val="italics5"/>
                <w:rFonts w:eastAsia="Arial Unicode MS"/>
                <w:i w:val="0"/>
              </w:rPr>
              <w:t xml:space="preserve"> versus</w:t>
            </w:r>
            <w:r w:rsidRPr="00183B5F">
              <w:rPr>
                <w:szCs w:val="22"/>
              </w:rPr>
              <w:t xml:space="preserve"> </w:t>
            </w:r>
            <w:r w:rsidRPr="00183B5F">
              <w:rPr>
                <w:rFonts w:eastAsia="Arial Unicode MS"/>
              </w:rPr>
              <w:t>placebóval kezelt csoportokban regisztrált részarányok páronkénti összehasonlítása</w:t>
            </w:r>
          </w:p>
          <w:p w14:paraId="1F432358" w14:textId="77777777" w:rsidR="00D0403E" w:rsidRPr="00183B5F" w:rsidRDefault="00943743" w:rsidP="004062FE">
            <w:pPr>
              <w:spacing w:line="240" w:lineRule="auto"/>
              <w:rPr>
                <w:rFonts w:eastAsia="Arial Unicode MS"/>
              </w:rPr>
            </w:pPr>
            <w:r w:rsidRPr="00183B5F">
              <w:rPr>
                <w:rFonts w:eastAsia="Arial Unicode MS"/>
              </w:rPr>
              <w:t>**p &lt; 0,001 Humira</w:t>
            </w:r>
            <w:r w:rsidRPr="00183B5F">
              <w:rPr>
                <w:rFonts w:eastAsia="Arial Unicode MS"/>
              </w:rPr>
              <w:noBreakHyphen/>
            </w:r>
            <w:r w:rsidRPr="00183B5F">
              <w:rPr>
                <w:rStyle w:val="italics5"/>
                <w:i w:val="0"/>
              </w:rPr>
              <w:t>val</w:t>
            </w:r>
            <w:r w:rsidRPr="00183B5F">
              <w:rPr>
                <w:rStyle w:val="italics5"/>
                <w:rFonts w:eastAsia="Arial Unicode MS"/>
                <w:i w:val="0"/>
              </w:rPr>
              <w:t xml:space="preserve"> versus</w:t>
            </w:r>
            <w:r w:rsidRPr="00183B5F">
              <w:rPr>
                <w:szCs w:val="22"/>
              </w:rPr>
              <w:t xml:space="preserve"> </w:t>
            </w:r>
            <w:r w:rsidRPr="00183B5F">
              <w:rPr>
                <w:rFonts w:eastAsia="Arial Unicode MS"/>
              </w:rPr>
              <w:t>placebóval kezelt csoportokban regisztrált részarányok páronkénti összehasonlítása</w:t>
            </w:r>
          </w:p>
          <w:p w14:paraId="6DAFA1DC" w14:textId="77777777" w:rsidR="00D0403E" w:rsidRPr="00183B5F" w:rsidRDefault="00943743" w:rsidP="004062FE">
            <w:pPr>
              <w:spacing w:line="240" w:lineRule="auto"/>
              <w:rPr>
                <w:rFonts w:eastAsia="Arial Unicode MS"/>
                <w:b/>
              </w:rPr>
            </w:pPr>
            <w:r w:rsidRPr="00183B5F">
              <w:rPr>
                <w:vertAlign w:val="superscript"/>
              </w:rPr>
              <w:t>a </w:t>
            </w:r>
            <w:r w:rsidRPr="00183B5F">
              <w:t>Azok közül a betegek közül, akik a vizsgálat megkezdésekor kortikoszteroidot kaptak</w:t>
            </w:r>
          </w:p>
        </w:tc>
      </w:tr>
    </w:tbl>
    <w:p w14:paraId="3403EDA2" w14:textId="77777777" w:rsidR="00D0403E" w:rsidRPr="00183B5F" w:rsidRDefault="00D0403E" w:rsidP="004062FE">
      <w:pPr>
        <w:spacing w:line="240" w:lineRule="auto"/>
      </w:pPr>
    </w:p>
    <w:p w14:paraId="15C033C6" w14:textId="77777777" w:rsidR="00D0403E" w:rsidRPr="00183B5F" w:rsidRDefault="00943743" w:rsidP="004062FE">
      <w:pPr>
        <w:spacing w:line="240" w:lineRule="auto"/>
      </w:pPr>
      <w:r w:rsidRPr="00183B5F">
        <w:t>Azok közül a betegek közül, akiknél kialakult a válasz a 8. hétig, az 52. hétig 47%</w:t>
      </w:r>
      <w:r w:rsidRPr="00183B5F">
        <w:noBreakHyphen/>
        <w:t>nál alakult ki válasz, 29% remisszióban volt, 41%</w:t>
      </w:r>
      <w:r w:rsidRPr="00183B5F">
        <w:noBreakHyphen/>
        <w:t>nál tapasztaltak nyálkahártya gyógyulást, és 20% volt legalább 90 napja szteroidmentes remisszióban.</w:t>
      </w:r>
    </w:p>
    <w:p w14:paraId="098EF731" w14:textId="77777777" w:rsidR="00D0403E" w:rsidRPr="00183B5F" w:rsidRDefault="00D0403E" w:rsidP="004062FE">
      <w:pPr>
        <w:spacing w:line="240" w:lineRule="auto"/>
      </w:pPr>
    </w:p>
    <w:p w14:paraId="4CADD87C" w14:textId="77777777" w:rsidR="00D0403E" w:rsidRPr="00183B5F" w:rsidRDefault="00943743" w:rsidP="004062FE">
      <w:pPr>
        <w:spacing w:line="240" w:lineRule="auto"/>
      </w:pPr>
      <w:r w:rsidRPr="00183B5F">
        <w:t>Az UC</w:t>
      </w:r>
      <w:r w:rsidRPr="00183B5F">
        <w:noBreakHyphen/>
        <w:t>II vizsgálatban résztvevő betegek kb. 40%</w:t>
      </w:r>
      <w:r w:rsidRPr="00183B5F">
        <w:noBreakHyphen/>
        <w:t>ánál a korábbi TNF</w:t>
      </w:r>
      <w:r w:rsidRPr="00183B5F">
        <w:noBreakHyphen/>
        <w:t>elleni kezelés (infliximab) eredménytelen volt. Ezen betegeknél az adalimumab</w:t>
      </w:r>
      <w:r w:rsidR="006B34D6" w:rsidRPr="00183B5F">
        <w:t>-</w:t>
      </w:r>
      <w:r w:rsidRPr="00183B5F">
        <w:t>kezelés kevésbé volt hatékony, mint a korábban TNF</w:t>
      </w:r>
      <w:r w:rsidRPr="00183B5F">
        <w:noBreakHyphen/>
        <w:t>elleni kezelésben nem részesült betegek esetében. Azoknál a betegeknél, akiknél a korábbi TNF</w:t>
      </w:r>
      <w:r w:rsidRPr="00183B5F">
        <w:noBreakHyphen/>
        <w:t>elleni kezelés eredménytelen volt, az 52. hétre a placebót kapók 3%</w:t>
      </w:r>
      <w:r w:rsidRPr="00183B5F">
        <w:noBreakHyphen/>
        <w:t>a, az adalimumab</w:t>
      </w:r>
      <w:r w:rsidR="006B34D6" w:rsidRPr="00183B5F">
        <w:t>-</w:t>
      </w:r>
      <w:r w:rsidRPr="00183B5F">
        <w:t>kezelésben részesülők 10%</w:t>
      </w:r>
      <w:r w:rsidRPr="00183B5F">
        <w:noBreakHyphen/>
        <w:t>a ért el remissziót.</w:t>
      </w:r>
    </w:p>
    <w:p w14:paraId="4456E40A" w14:textId="77777777" w:rsidR="00D0403E" w:rsidRPr="00183B5F" w:rsidRDefault="00D0403E" w:rsidP="004062FE">
      <w:pPr>
        <w:spacing w:line="240" w:lineRule="auto"/>
      </w:pPr>
    </w:p>
    <w:p w14:paraId="5477290D" w14:textId="77777777" w:rsidR="00D0403E" w:rsidRPr="00183B5F" w:rsidRDefault="00943743" w:rsidP="004062FE">
      <w:pPr>
        <w:spacing w:line="240" w:lineRule="auto"/>
      </w:pPr>
      <w:r w:rsidRPr="00183B5F">
        <w:t>Az UC</w:t>
      </w:r>
      <w:r w:rsidRPr="00183B5F">
        <w:noBreakHyphen/>
        <w:t>I és UC</w:t>
      </w:r>
      <w:r w:rsidRPr="00183B5F">
        <w:noBreakHyphen/>
        <w:t>II vizsálatban résztvevő betegeknek lehetőségük volt átlépni egy nyílt, hosszú távú, kiterjesztéses vizsgálatba (UC</w:t>
      </w:r>
      <w:r w:rsidRPr="00183B5F">
        <w:noBreakHyphen/>
        <w:t>III). Három év adalimumab</w:t>
      </w:r>
      <w:r w:rsidRPr="00183B5F">
        <w:noBreakHyphen/>
        <w:t>kezelést követően a betegek 75%</w:t>
      </w:r>
      <w:r w:rsidRPr="00183B5F">
        <w:noBreakHyphen/>
        <w:t>a (301/402) maradt klinikai remisszióban a részleges Mayo pontszám alapján.</w:t>
      </w:r>
    </w:p>
    <w:p w14:paraId="7A6EB441" w14:textId="77777777" w:rsidR="00D0403E" w:rsidRPr="00183B5F" w:rsidRDefault="00D0403E" w:rsidP="004062FE">
      <w:pPr>
        <w:spacing w:line="240" w:lineRule="auto"/>
      </w:pPr>
    </w:p>
    <w:p w14:paraId="04062E55" w14:textId="77777777" w:rsidR="00D0403E" w:rsidRPr="00183B5F" w:rsidRDefault="00943743" w:rsidP="004062FE">
      <w:pPr>
        <w:keepNext/>
        <w:spacing w:line="240" w:lineRule="auto"/>
        <w:rPr>
          <w:i/>
          <w:u w:val="single"/>
        </w:rPr>
      </w:pPr>
      <w:r w:rsidRPr="00183B5F">
        <w:rPr>
          <w:i/>
          <w:u w:val="single"/>
        </w:rPr>
        <w:t>Hospitalizációs arányok</w:t>
      </w:r>
    </w:p>
    <w:p w14:paraId="7C2C2B26" w14:textId="77777777" w:rsidR="00D0403E" w:rsidRPr="00183B5F" w:rsidRDefault="00D0403E" w:rsidP="004062FE">
      <w:pPr>
        <w:keepNext/>
        <w:spacing w:line="240" w:lineRule="auto"/>
        <w:rPr>
          <w:szCs w:val="22"/>
        </w:rPr>
      </w:pPr>
    </w:p>
    <w:p w14:paraId="45803A74" w14:textId="77777777" w:rsidR="00D0403E" w:rsidRPr="00183B5F" w:rsidRDefault="00943743" w:rsidP="004062FE">
      <w:pPr>
        <w:spacing w:line="240" w:lineRule="auto"/>
        <w:rPr>
          <w:szCs w:val="22"/>
        </w:rPr>
      </w:pPr>
      <w:r w:rsidRPr="00183B5F">
        <w:rPr>
          <w:szCs w:val="22"/>
        </w:rPr>
        <w:t>Az UC</w:t>
      </w:r>
      <w:r w:rsidRPr="00183B5F">
        <w:rPr>
          <w:szCs w:val="22"/>
        </w:rPr>
        <w:noBreakHyphen/>
        <w:t>I és UC</w:t>
      </w:r>
      <w:r w:rsidRPr="00183B5F">
        <w:rPr>
          <w:szCs w:val="22"/>
        </w:rPr>
        <w:noBreakHyphen/>
      </w:r>
      <w:r w:rsidRPr="00183B5F">
        <w:rPr>
          <w:szCs w:val="22"/>
        </w:rPr>
        <w:t>II vizsgálatok 52 hete alatt alacsonyabb hospitalizációs arányokat (bármely okból bekövetkező hospitalizációt és az UC</w:t>
      </w:r>
      <w:r w:rsidRPr="00183B5F">
        <w:rPr>
          <w:szCs w:val="22"/>
        </w:rPr>
        <w:noBreakHyphen/>
        <w:t>vel összefüggő hospitalizációt) figyeltek meg az adalimumab</w:t>
      </w:r>
      <w:r w:rsidRPr="00183B5F">
        <w:rPr>
          <w:szCs w:val="22"/>
        </w:rPr>
        <w:noBreakHyphen/>
        <w:t>kezelésben részesülő karon, mint a placebo</w:t>
      </w:r>
      <w:r w:rsidRPr="00183B5F">
        <w:rPr>
          <w:szCs w:val="22"/>
        </w:rPr>
        <w:noBreakHyphen/>
        <w:t>karon. Az adalimumab</w:t>
      </w:r>
      <w:r w:rsidR="006B34D6" w:rsidRPr="00183B5F">
        <w:rPr>
          <w:szCs w:val="22"/>
        </w:rPr>
        <w:t>-</w:t>
      </w:r>
      <w:r w:rsidRPr="00183B5F">
        <w:rPr>
          <w:szCs w:val="22"/>
        </w:rPr>
        <w:t>kezelési csoportban a bármely okból bekövetkező hospitalizáció értéke 0,18/betegév volt, ezzel szemben a placebocsoportban 0,26/betegév volt. Az UC</w:t>
      </w:r>
      <w:r w:rsidRPr="00183B5F">
        <w:rPr>
          <w:szCs w:val="22"/>
        </w:rPr>
        <w:noBreakHyphen/>
        <w:t>vel összefüggő hospitalizáció 0,12/betegév volt az adalimumab</w:t>
      </w:r>
      <w:r w:rsidR="006B34D6" w:rsidRPr="00183B5F">
        <w:rPr>
          <w:szCs w:val="22"/>
        </w:rPr>
        <w:t>-</w:t>
      </w:r>
      <w:r w:rsidRPr="00183B5F">
        <w:rPr>
          <w:szCs w:val="22"/>
        </w:rPr>
        <w:t>kezelési csoportban, és 0,22/betegév volt placebocsoportban</w:t>
      </w:r>
      <w:r w:rsidRPr="00183B5F">
        <w:rPr>
          <w:szCs w:val="22"/>
        </w:rPr>
        <w:t>.</w:t>
      </w:r>
    </w:p>
    <w:p w14:paraId="634F5279" w14:textId="77777777" w:rsidR="00D0403E" w:rsidRPr="00183B5F" w:rsidRDefault="00D0403E" w:rsidP="004062FE">
      <w:pPr>
        <w:spacing w:line="240" w:lineRule="auto"/>
        <w:rPr>
          <w:szCs w:val="22"/>
        </w:rPr>
      </w:pPr>
    </w:p>
    <w:p w14:paraId="751BE018" w14:textId="77777777" w:rsidR="00D0403E" w:rsidRPr="00183B5F" w:rsidRDefault="00943743" w:rsidP="004062FE">
      <w:pPr>
        <w:keepNext/>
        <w:spacing w:line="240" w:lineRule="auto"/>
        <w:rPr>
          <w:i/>
          <w:szCs w:val="22"/>
          <w:u w:val="single"/>
        </w:rPr>
      </w:pPr>
      <w:r w:rsidRPr="00183B5F">
        <w:rPr>
          <w:i/>
          <w:szCs w:val="22"/>
          <w:u w:val="single"/>
        </w:rPr>
        <w:t>Életminőség</w:t>
      </w:r>
    </w:p>
    <w:p w14:paraId="4970E763" w14:textId="77777777" w:rsidR="00D0403E" w:rsidRPr="00183B5F" w:rsidRDefault="00D0403E" w:rsidP="004062FE">
      <w:pPr>
        <w:keepNext/>
        <w:spacing w:line="240" w:lineRule="auto"/>
        <w:rPr>
          <w:szCs w:val="22"/>
        </w:rPr>
      </w:pPr>
    </w:p>
    <w:p w14:paraId="0B69A5BF" w14:textId="77777777" w:rsidR="00D0403E" w:rsidRPr="00183B5F" w:rsidRDefault="00943743" w:rsidP="004062FE">
      <w:pPr>
        <w:keepNext/>
        <w:spacing w:line="240" w:lineRule="auto"/>
        <w:rPr>
          <w:szCs w:val="22"/>
        </w:rPr>
      </w:pPr>
      <w:r w:rsidRPr="00183B5F">
        <w:rPr>
          <w:szCs w:val="22"/>
        </w:rPr>
        <w:t>Az UC</w:t>
      </w:r>
      <w:r w:rsidRPr="00183B5F">
        <w:rPr>
          <w:szCs w:val="22"/>
        </w:rPr>
        <w:noBreakHyphen/>
        <w:t>II vizsgálatban az adalimumab</w:t>
      </w:r>
      <w:r w:rsidRPr="00183B5F">
        <w:rPr>
          <w:szCs w:val="22"/>
        </w:rPr>
        <w:noBreakHyphen/>
        <w:t>kezelés a Gyulladásos Bélbetegség Kérdőív (Inflammatory Bowel Disease Questionnaire; IBDQ) pontszám javulását eredményezte.</w:t>
      </w:r>
    </w:p>
    <w:p w14:paraId="6F084FA0" w14:textId="77777777" w:rsidR="00884361" w:rsidRPr="00183B5F" w:rsidRDefault="00884361">
      <w:pPr>
        <w:pStyle w:val="EMEANormal"/>
        <w:keepNext/>
        <w:rPr>
          <w:bCs/>
          <w:i/>
          <w:szCs w:val="22"/>
          <w:lang w:val="hu-HU"/>
        </w:rPr>
      </w:pPr>
    </w:p>
    <w:p w14:paraId="2CE392A8" w14:textId="77777777" w:rsidR="00884361" w:rsidRPr="00183B5F" w:rsidRDefault="00943743">
      <w:pPr>
        <w:pStyle w:val="EMEANormal"/>
        <w:keepNext/>
        <w:rPr>
          <w:bCs/>
          <w:i/>
          <w:szCs w:val="22"/>
          <w:lang w:val="hu-HU"/>
        </w:rPr>
      </w:pPr>
      <w:r w:rsidRPr="00183B5F">
        <w:rPr>
          <w:bCs/>
          <w:i/>
          <w:szCs w:val="22"/>
          <w:lang w:val="hu-HU"/>
        </w:rPr>
        <w:t>Uveitis</w:t>
      </w:r>
    </w:p>
    <w:p w14:paraId="317DEF4E" w14:textId="77777777" w:rsidR="00884361" w:rsidRPr="00183B5F" w:rsidRDefault="00884361">
      <w:pPr>
        <w:pStyle w:val="EMEANormal"/>
        <w:keepNext/>
        <w:rPr>
          <w:bCs/>
          <w:szCs w:val="22"/>
          <w:lang w:val="hu-HU"/>
        </w:rPr>
      </w:pPr>
    </w:p>
    <w:p w14:paraId="4752469F" w14:textId="77777777" w:rsidR="00884361" w:rsidRPr="00183B5F" w:rsidRDefault="00943743">
      <w:pPr>
        <w:pStyle w:val="EMEANormal"/>
        <w:rPr>
          <w:szCs w:val="22"/>
          <w:lang w:val="hu-HU"/>
        </w:rPr>
      </w:pPr>
      <w:r w:rsidRPr="00183B5F">
        <w:rPr>
          <w:szCs w:val="22"/>
          <w:lang w:val="hu-HU"/>
        </w:rPr>
        <w:t xml:space="preserve">A Humira biztonságosságát és hatásosságát nem fertőzéses eredetű, intermedier, posterior és panuveitisben szenvedő felnőtt betegeknél (az zolált anterior uveitisben szenvedő betegek kizárásra kerültek), két randomizált, </w:t>
      </w:r>
      <w:r w:rsidR="00E5381A" w:rsidRPr="00183B5F">
        <w:rPr>
          <w:szCs w:val="22"/>
          <w:lang w:val="hu-HU"/>
        </w:rPr>
        <w:t>kettős vak</w:t>
      </w:r>
      <w:r w:rsidRPr="00183B5F">
        <w:rPr>
          <w:szCs w:val="22"/>
          <w:lang w:val="hu-HU"/>
        </w:rPr>
        <w:t>, placebo</w:t>
      </w:r>
      <w:r w:rsidRPr="00183B5F">
        <w:rPr>
          <w:szCs w:val="22"/>
          <w:lang w:val="hu-HU"/>
        </w:rPr>
        <w:noBreakHyphen/>
        <w:t>kontrollos vizsgálatban (UV I és II) értékelték. A betegek vagy placeb</w:t>
      </w:r>
      <w:r w:rsidR="00532532" w:rsidRPr="00183B5F">
        <w:rPr>
          <w:szCs w:val="22"/>
          <w:lang w:val="hu-HU"/>
        </w:rPr>
        <w:t>ó</w:t>
      </w:r>
      <w:r w:rsidRPr="00183B5F">
        <w:rPr>
          <w:szCs w:val="22"/>
          <w:lang w:val="hu-HU"/>
        </w:rPr>
        <w:t>t vagy 80 mg Humira</w:t>
      </w:r>
      <w:r w:rsidRPr="00183B5F">
        <w:rPr>
          <w:szCs w:val="22"/>
          <w:lang w:val="hu-HU"/>
        </w:rPr>
        <w:noBreakHyphen/>
        <w:t>t kaptak kezdő dózisként, melyet a kezdő dózis beadásától számított egy hét múlva minden második héten adott 40 mg Humira követett. Egy nem biológiai immunszuppresszív szer állandó dózisban történő együttes alkalmazása megengedett volt.</w:t>
      </w:r>
    </w:p>
    <w:p w14:paraId="3A6C1FF2" w14:textId="77777777" w:rsidR="00884361" w:rsidRPr="00183B5F" w:rsidRDefault="00884361">
      <w:pPr>
        <w:pStyle w:val="EMEANormal"/>
        <w:rPr>
          <w:szCs w:val="22"/>
          <w:lang w:val="hu-HU"/>
        </w:rPr>
      </w:pPr>
    </w:p>
    <w:p w14:paraId="61126D1D" w14:textId="77777777" w:rsidR="00884361" w:rsidRPr="00183B5F" w:rsidRDefault="00943743">
      <w:pPr>
        <w:pStyle w:val="EMEANormal"/>
        <w:rPr>
          <w:szCs w:val="22"/>
          <w:lang w:val="hu-HU"/>
        </w:rPr>
      </w:pPr>
      <w:r w:rsidRPr="00183B5F">
        <w:rPr>
          <w:szCs w:val="22"/>
          <w:lang w:val="hu-HU"/>
        </w:rPr>
        <w:t>Az UV I vizsgálatban 217, kortikoszteroid</w:t>
      </w:r>
      <w:r w:rsidR="009F6211" w:rsidRPr="00183B5F">
        <w:rPr>
          <w:szCs w:val="22"/>
          <w:lang w:val="hu-HU"/>
        </w:rPr>
        <w:t>-</w:t>
      </w:r>
      <w:r w:rsidRPr="00183B5F">
        <w:rPr>
          <w:szCs w:val="22"/>
          <w:lang w:val="hu-HU"/>
        </w:rPr>
        <w:t>kezelés (napi 10</w:t>
      </w:r>
      <w:r w:rsidRPr="00183B5F">
        <w:rPr>
          <w:szCs w:val="22"/>
          <w:lang w:val="hu-HU"/>
        </w:rPr>
        <w:noBreakHyphen/>
        <w:t>60 mg prednizon</w:t>
      </w:r>
      <w:r w:rsidRPr="00183B5F">
        <w:rPr>
          <w:i/>
          <w:szCs w:val="22"/>
          <w:lang w:val="hu-HU"/>
        </w:rPr>
        <w:t xml:space="preserve"> per os</w:t>
      </w:r>
      <w:r w:rsidRPr="00183B5F">
        <w:rPr>
          <w:szCs w:val="22"/>
          <w:lang w:val="hu-HU"/>
        </w:rPr>
        <w:t>) ellenére aktív uveitisben szenvedő beteget értékeltek. Minden beteg két hétig napi 60 mg prednizont kapott a vizsgálat kezdetekor, melyet kötelező fokozatos dóziscsökkentés követett, ami a 15. hétig a kortikoszteroid teljes elhagyásával fejeződött be.</w:t>
      </w:r>
    </w:p>
    <w:p w14:paraId="1AF0E873" w14:textId="77777777" w:rsidR="00884361" w:rsidRPr="00183B5F" w:rsidRDefault="00884361">
      <w:pPr>
        <w:pStyle w:val="EMEANormal"/>
        <w:rPr>
          <w:szCs w:val="22"/>
          <w:lang w:val="hu-HU"/>
        </w:rPr>
      </w:pPr>
    </w:p>
    <w:p w14:paraId="2712415F" w14:textId="77777777" w:rsidR="00884361" w:rsidRPr="00183B5F" w:rsidRDefault="00943743">
      <w:pPr>
        <w:pStyle w:val="EMEANormal"/>
        <w:rPr>
          <w:szCs w:val="22"/>
          <w:lang w:val="hu-HU"/>
        </w:rPr>
      </w:pPr>
      <w:r w:rsidRPr="00183B5F">
        <w:rPr>
          <w:szCs w:val="22"/>
          <w:lang w:val="hu-HU"/>
        </w:rPr>
        <w:t xml:space="preserve">Az UV II vizsgálatban 226, inaktív uveitisben szenvedő </w:t>
      </w:r>
      <w:r w:rsidR="00FE6A19" w:rsidRPr="00183B5F">
        <w:rPr>
          <w:szCs w:val="22"/>
          <w:lang w:val="hu-HU"/>
        </w:rPr>
        <w:t xml:space="preserve">olyan </w:t>
      </w:r>
      <w:r w:rsidRPr="00183B5F">
        <w:rPr>
          <w:szCs w:val="22"/>
          <w:lang w:val="hu-HU"/>
        </w:rPr>
        <w:t>beteget értékeltek, akik hosszú távú kortikoszteroid-kezelést (napi 10</w:t>
      </w:r>
      <w:r w:rsidRPr="00183B5F">
        <w:rPr>
          <w:szCs w:val="22"/>
          <w:lang w:val="hu-HU"/>
        </w:rPr>
        <w:noBreakHyphen/>
        <w:t>35 mg prednizon</w:t>
      </w:r>
      <w:r w:rsidRPr="00183B5F">
        <w:rPr>
          <w:i/>
          <w:szCs w:val="22"/>
          <w:lang w:val="hu-HU"/>
        </w:rPr>
        <w:t xml:space="preserve"> per os</w:t>
      </w:r>
      <w:r w:rsidRPr="00183B5F">
        <w:rPr>
          <w:szCs w:val="22"/>
          <w:lang w:val="hu-HU"/>
        </w:rPr>
        <w:t xml:space="preserve">) igényeltek a </w:t>
      </w:r>
      <w:r w:rsidR="0022331B" w:rsidRPr="00183B5F">
        <w:rPr>
          <w:szCs w:val="22"/>
          <w:lang w:val="hu-HU"/>
        </w:rPr>
        <w:t>vizsgálat megkezdésekor</w:t>
      </w:r>
      <w:r w:rsidRPr="00183B5F">
        <w:rPr>
          <w:szCs w:val="22"/>
          <w:lang w:val="hu-HU"/>
        </w:rPr>
        <w:t xml:space="preserve"> betegségük egyensúlyban tartásához. A betegek később kötelező</w:t>
      </w:r>
      <w:r w:rsidR="0022331B" w:rsidRPr="00183B5F">
        <w:rPr>
          <w:szCs w:val="22"/>
          <w:lang w:val="hu-HU"/>
        </w:rPr>
        <w:t>,</w:t>
      </w:r>
      <w:r w:rsidRPr="00183B5F">
        <w:rPr>
          <w:szCs w:val="22"/>
          <w:lang w:val="hu-HU"/>
        </w:rPr>
        <w:t xml:space="preserve"> fokozatos dózicsökkentésen estek át, ami a 19. hétig a kortikoszteroid teljes elhagyásával fejeződött be.</w:t>
      </w:r>
    </w:p>
    <w:p w14:paraId="026298D5" w14:textId="77777777" w:rsidR="00884361" w:rsidRPr="00183B5F" w:rsidRDefault="00884361">
      <w:pPr>
        <w:pStyle w:val="EMEANormal"/>
        <w:rPr>
          <w:szCs w:val="22"/>
          <w:lang w:val="hu-HU"/>
        </w:rPr>
      </w:pPr>
    </w:p>
    <w:p w14:paraId="1B8DC327" w14:textId="77777777" w:rsidR="00884361" w:rsidRPr="00183B5F" w:rsidRDefault="00943743">
      <w:pPr>
        <w:pStyle w:val="EMEANormal"/>
        <w:rPr>
          <w:szCs w:val="22"/>
          <w:lang w:val="hu-HU"/>
        </w:rPr>
      </w:pPr>
      <w:r w:rsidRPr="00183B5F">
        <w:rPr>
          <w:szCs w:val="22"/>
          <w:lang w:val="hu-HU"/>
        </w:rPr>
        <w:t xml:space="preserve">Az elsődleges hatásossági végpont mindkét vizsgálatban a </w:t>
      </w:r>
      <w:r w:rsidR="00DC5DD7" w:rsidRPr="00183B5F">
        <w:rPr>
          <w:szCs w:val="22"/>
          <w:lang w:val="hu-HU"/>
        </w:rPr>
        <w:t>„</w:t>
      </w:r>
      <w:r w:rsidRPr="00183B5F">
        <w:rPr>
          <w:szCs w:val="22"/>
          <w:lang w:val="hu-HU"/>
        </w:rPr>
        <w:t>kezelés eredménytelenség</w:t>
      </w:r>
      <w:r w:rsidR="005A1C18" w:rsidRPr="00183B5F">
        <w:rPr>
          <w:szCs w:val="22"/>
          <w:lang w:val="hu-HU"/>
        </w:rPr>
        <w:t xml:space="preserve">éig </w:t>
      </w:r>
      <w:r w:rsidRPr="00183B5F">
        <w:rPr>
          <w:szCs w:val="22"/>
          <w:lang w:val="hu-HU"/>
        </w:rPr>
        <w:t>e</w:t>
      </w:r>
      <w:r w:rsidR="005A1C18" w:rsidRPr="00183B5F">
        <w:rPr>
          <w:szCs w:val="22"/>
          <w:lang w:val="hu-HU"/>
        </w:rPr>
        <w:t>ltelt idő</w:t>
      </w:r>
      <w:r w:rsidRPr="00183B5F">
        <w:rPr>
          <w:szCs w:val="22"/>
          <w:lang w:val="hu-HU"/>
        </w:rPr>
        <w:t>” volt. A kezelés eredménytelensége definíció szerint egy többkomponensű kimenetel, mely az alábbi komponensekből tevődött össze: gyulladásos chorioretinalis és/vagy gyulladásos retinalis vascularis léziók, elülső csarnoki sejtszint, üvegtesti homály mértéke és a legjobb korrigált látásélesség.</w:t>
      </w:r>
    </w:p>
    <w:p w14:paraId="2884633F" w14:textId="77777777" w:rsidR="00297FBD" w:rsidRPr="00183B5F" w:rsidRDefault="00297FBD" w:rsidP="00297FBD">
      <w:pPr>
        <w:pStyle w:val="EMEANormal"/>
        <w:rPr>
          <w:szCs w:val="22"/>
          <w:lang w:val="hu-HU"/>
        </w:rPr>
      </w:pPr>
    </w:p>
    <w:p w14:paraId="79E03B94" w14:textId="77777777" w:rsidR="00297FBD" w:rsidRPr="00183B5F" w:rsidRDefault="00943743" w:rsidP="00297FBD">
      <w:pPr>
        <w:pStyle w:val="EMEANormal"/>
        <w:rPr>
          <w:lang w:val="hu-HU"/>
        </w:rPr>
      </w:pPr>
      <w:r w:rsidRPr="00183B5F">
        <w:rPr>
          <w:szCs w:val="22"/>
          <w:lang w:val="hu-HU"/>
        </w:rPr>
        <w:t>Az UV I és az UV II vizsgálatot befejező betegek alkalmasak voltak egy nem kontrollos, hosszú távú, kiterjesztéses vizsgálatba való beválasztásra, melyet eredetileg 78 hetesre terveztek. A betegek a 78. héten túl is kaphatták a vizsgálati gyógyszert, egészen addig, amíg jogosulttá váltak a Humira</w:t>
      </w:r>
      <w:r w:rsidRPr="00183B5F">
        <w:rPr>
          <w:szCs w:val="22"/>
          <w:lang w:val="hu-HU"/>
        </w:rPr>
        <w:noBreakHyphen/>
        <w:t>ellátásra.</w:t>
      </w:r>
    </w:p>
    <w:p w14:paraId="2A5A98D9" w14:textId="77777777" w:rsidR="00884361" w:rsidRPr="00183B5F" w:rsidRDefault="00884361" w:rsidP="00297FBD">
      <w:pPr>
        <w:pStyle w:val="EMEANormal"/>
        <w:rPr>
          <w:szCs w:val="22"/>
          <w:lang w:val="hu-HU"/>
        </w:rPr>
      </w:pPr>
    </w:p>
    <w:p w14:paraId="70A68EE0" w14:textId="77777777" w:rsidR="00884361" w:rsidRPr="00183B5F" w:rsidRDefault="00943743">
      <w:pPr>
        <w:pStyle w:val="EMEANormal"/>
        <w:rPr>
          <w:i/>
          <w:szCs w:val="22"/>
          <w:u w:val="single"/>
          <w:lang w:val="hu-HU"/>
        </w:rPr>
      </w:pPr>
      <w:r w:rsidRPr="00183B5F">
        <w:rPr>
          <w:i/>
          <w:szCs w:val="22"/>
          <w:u w:val="single"/>
          <w:lang w:val="hu-HU"/>
        </w:rPr>
        <w:t>Klinikai válasz</w:t>
      </w:r>
    </w:p>
    <w:p w14:paraId="40C4239B" w14:textId="77777777" w:rsidR="00884361" w:rsidRPr="00183B5F" w:rsidRDefault="00884361">
      <w:pPr>
        <w:pStyle w:val="EMEANormal"/>
        <w:rPr>
          <w:i/>
          <w:szCs w:val="22"/>
          <w:u w:val="single"/>
          <w:lang w:val="hu-HU"/>
        </w:rPr>
      </w:pPr>
    </w:p>
    <w:p w14:paraId="3F96D171" w14:textId="77777777" w:rsidR="00884361" w:rsidRPr="00183B5F" w:rsidRDefault="00943743">
      <w:pPr>
        <w:pStyle w:val="EMEANormal"/>
        <w:rPr>
          <w:szCs w:val="22"/>
          <w:lang w:val="hu-HU"/>
        </w:rPr>
      </w:pPr>
      <w:r w:rsidRPr="00183B5F">
        <w:rPr>
          <w:szCs w:val="22"/>
          <w:lang w:val="hu-HU"/>
        </w:rPr>
        <w:t>Mindkét vizsgálat eredményei a kezelés eredménytelensége kockázatának a statisztikailag szignifikáns csökkenését igazolták a Humira</w:t>
      </w:r>
      <w:r w:rsidRPr="00183B5F">
        <w:rPr>
          <w:szCs w:val="22"/>
          <w:lang w:val="hu-HU"/>
        </w:rPr>
        <w:noBreakHyphen/>
        <w:t>val kezelt betegeknél, a placeb</w:t>
      </w:r>
      <w:r w:rsidR="00532532" w:rsidRPr="00183B5F">
        <w:rPr>
          <w:szCs w:val="22"/>
          <w:lang w:val="hu-HU"/>
        </w:rPr>
        <w:t>ó</w:t>
      </w:r>
      <w:r w:rsidRPr="00183B5F">
        <w:rPr>
          <w:szCs w:val="22"/>
          <w:lang w:val="hu-HU"/>
        </w:rPr>
        <w:t xml:space="preserve">val kezelt betegekhez képest (lásd </w:t>
      </w:r>
      <w:r w:rsidR="00DD5E3A" w:rsidRPr="00183B5F">
        <w:rPr>
          <w:szCs w:val="22"/>
          <w:lang w:val="hu-HU"/>
        </w:rPr>
        <w:t>24</w:t>
      </w:r>
      <w:r w:rsidRPr="00183B5F">
        <w:rPr>
          <w:szCs w:val="22"/>
          <w:lang w:val="hu-HU"/>
        </w:rPr>
        <w:t>. táblázat). A kezelés eredménytelenségének arányát tekintve mindkét vizsgálat kimutatta a Humira korai és fenntartott hatását a placeb</w:t>
      </w:r>
      <w:r w:rsidR="00532532" w:rsidRPr="00183B5F">
        <w:rPr>
          <w:szCs w:val="22"/>
          <w:lang w:val="hu-HU"/>
        </w:rPr>
        <w:t>ó</w:t>
      </w:r>
      <w:r w:rsidRPr="00183B5F">
        <w:rPr>
          <w:szCs w:val="22"/>
          <w:lang w:val="hu-HU"/>
        </w:rPr>
        <w:t xml:space="preserve">val szemben (lásd </w:t>
      </w:r>
      <w:r w:rsidR="006C0A64" w:rsidRPr="00183B5F">
        <w:rPr>
          <w:szCs w:val="22"/>
          <w:lang w:val="hu-HU"/>
        </w:rPr>
        <w:t>2</w:t>
      </w:r>
      <w:r w:rsidRPr="00183B5F">
        <w:rPr>
          <w:szCs w:val="22"/>
          <w:lang w:val="hu-HU"/>
        </w:rPr>
        <w:t>. ábra).</w:t>
      </w:r>
    </w:p>
    <w:p w14:paraId="17EDB79E" w14:textId="77777777" w:rsidR="00884361" w:rsidRPr="00183B5F" w:rsidRDefault="00884361">
      <w:pPr>
        <w:pStyle w:val="EMEANormal"/>
        <w:rPr>
          <w:b/>
          <w:szCs w:val="22"/>
          <w:lang w:val="hu-HU"/>
        </w:rPr>
      </w:pPr>
    </w:p>
    <w:p w14:paraId="15A9DA87" w14:textId="77777777" w:rsidR="00884361" w:rsidRPr="00183B5F" w:rsidRDefault="00943743" w:rsidP="00FE0197">
      <w:pPr>
        <w:pStyle w:val="EMEANormal"/>
        <w:keepNext/>
        <w:jc w:val="center"/>
        <w:rPr>
          <w:b/>
          <w:szCs w:val="22"/>
          <w:lang w:val="hu-HU"/>
        </w:rPr>
      </w:pPr>
      <w:r w:rsidRPr="00183B5F">
        <w:rPr>
          <w:b/>
          <w:szCs w:val="22"/>
          <w:lang w:val="hu-HU"/>
        </w:rPr>
        <w:t xml:space="preserve">24. táblázat </w:t>
      </w:r>
    </w:p>
    <w:p w14:paraId="30313460" w14:textId="77777777" w:rsidR="00884361" w:rsidRPr="00183B5F" w:rsidRDefault="00943743" w:rsidP="00FE0197">
      <w:pPr>
        <w:pStyle w:val="EMEANormal"/>
        <w:keepNext/>
        <w:jc w:val="center"/>
        <w:rPr>
          <w:b/>
          <w:szCs w:val="22"/>
          <w:lang w:val="hu-HU"/>
        </w:rPr>
      </w:pPr>
      <w:r w:rsidRPr="00183B5F">
        <w:rPr>
          <w:b/>
          <w:szCs w:val="22"/>
          <w:lang w:val="hu-HU"/>
        </w:rPr>
        <w:t>A kezelés eredménytelenségéig eltelt idő az UV I és UV II vizsgálatban</w:t>
      </w:r>
    </w:p>
    <w:p w14:paraId="6AB31DB7" w14:textId="77777777" w:rsidR="00884361" w:rsidRPr="00183B5F" w:rsidRDefault="00884361" w:rsidP="00FE0197">
      <w:pPr>
        <w:pStyle w:val="EMEANormal"/>
        <w:keepNext/>
        <w:jc w:val="center"/>
        <w:rPr>
          <w:b/>
          <w:szCs w:val="22"/>
          <w:lang w:val="hu-HU"/>
        </w:rPr>
      </w:pPr>
    </w:p>
    <w:tbl>
      <w:tblPr>
        <w:tblW w:w="0" w:type="auto"/>
        <w:tblBorders>
          <w:top w:val="single" w:sz="4" w:space="0" w:color="auto"/>
          <w:bottom w:val="single" w:sz="4" w:space="0" w:color="auto"/>
        </w:tblBorders>
        <w:tblLook w:val="04A0" w:firstRow="1" w:lastRow="0" w:firstColumn="1" w:lastColumn="0" w:noHBand="0" w:noVBand="1"/>
      </w:tblPr>
      <w:tblGrid>
        <w:gridCol w:w="2198"/>
        <w:gridCol w:w="684"/>
        <w:gridCol w:w="1267"/>
        <w:gridCol w:w="1855"/>
        <w:gridCol w:w="946"/>
        <w:gridCol w:w="1080"/>
        <w:gridCol w:w="1041"/>
      </w:tblGrid>
      <w:tr w:rsidR="00011D2F" w14:paraId="4F4C2C01" w14:textId="77777777" w:rsidTr="00B0780E">
        <w:tc>
          <w:tcPr>
            <w:tcW w:w="2268" w:type="dxa"/>
            <w:tcBorders>
              <w:top w:val="single" w:sz="4" w:space="0" w:color="auto"/>
              <w:bottom w:val="single" w:sz="4" w:space="0" w:color="auto"/>
            </w:tcBorders>
          </w:tcPr>
          <w:p w14:paraId="7487E353" w14:textId="77777777" w:rsidR="00884361" w:rsidRPr="00183B5F" w:rsidRDefault="00943743" w:rsidP="00FE0197">
            <w:pPr>
              <w:pStyle w:val="EMEANormal"/>
              <w:keepNext/>
              <w:rPr>
                <w:b/>
                <w:szCs w:val="22"/>
                <w:lang w:val="hu-HU"/>
              </w:rPr>
            </w:pPr>
            <w:r w:rsidRPr="00183B5F">
              <w:rPr>
                <w:b/>
                <w:szCs w:val="22"/>
                <w:lang w:val="hu-HU"/>
              </w:rPr>
              <w:t>Elemzés</w:t>
            </w:r>
          </w:p>
          <w:p w14:paraId="1C28CBEF" w14:textId="77777777" w:rsidR="00884361" w:rsidRPr="00183B5F" w:rsidRDefault="00943743" w:rsidP="00FE0197">
            <w:pPr>
              <w:pStyle w:val="EMEANormal"/>
              <w:keepNext/>
              <w:rPr>
                <w:b/>
                <w:szCs w:val="22"/>
                <w:lang w:val="hu-HU"/>
              </w:rPr>
            </w:pPr>
            <w:r w:rsidRPr="00183B5F">
              <w:rPr>
                <w:b/>
                <w:szCs w:val="22"/>
                <w:lang w:val="hu-HU"/>
              </w:rPr>
              <w:tab/>
              <w:t>Kezelés</w:t>
            </w:r>
          </w:p>
        </w:tc>
        <w:tc>
          <w:tcPr>
            <w:tcW w:w="720" w:type="dxa"/>
            <w:tcBorders>
              <w:top w:val="single" w:sz="4" w:space="0" w:color="auto"/>
              <w:bottom w:val="single" w:sz="4" w:space="0" w:color="auto"/>
            </w:tcBorders>
          </w:tcPr>
          <w:p w14:paraId="64244F23" w14:textId="77777777" w:rsidR="00884361" w:rsidRPr="00183B5F" w:rsidRDefault="00943743" w:rsidP="00FE0197">
            <w:pPr>
              <w:pStyle w:val="EMEANormal"/>
              <w:keepNext/>
              <w:rPr>
                <w:b/>
                <w:szCs w:val="22"/>
                <w:lang w:val="hu-HU"/>
              </w:rPr>
            </w:pPr>
            <w:r w:rsidRPr="00183B5F">
              <w:rPr>
                <w:b/>
                <w:szCs w:val="22"/>
                <w:lang w:val="hu-HU"/>
              </w:rPr>
              <w:t>N</w:t>
            </w:r>
          </w:p>
        </w:tc>
        <w:tc>
          <w:tcPr>
            <w:tcW w:w="1170" w:type="dxa"/>
            <w:tcBorders>
              <w:top w:val="single" w:sz="4" w:space="0" w:color="auto"/>
              <w:bottom w:val="single" w:sz="4" w:space="0" w:color="auto"/>
            </w:tcBorders>
          </w:tcPr>
          <w:p w14:paraId="5FFCDE36" w14:textId="77777777" w:rsidR="00884361" w:rsidRPr="00183B5F" w:rsidRDefault="00943743" w:rsidP="00FE0197">
            <w:pPr>
              <w:pStyle w:val="EMEANormal"/>
              <w:keepNext/>
              <w:rPr>
                <w:b/>
                <w:szCs w:val="22"/>
                <w:lang w:val="hu-HU"/>
              </w:rPr>
            </w:pPr>
            <w:r w:rsidRPr="00183B5F">
              <w:rPr>
                <w:b/>
                <w:szCs w:val="22"/>
                <w:lang w:val="hu-HU"/>
              </w:rPr>
              <w:t>Eredmény-telenség</w:t>
            </w:r>
            <w:r w:rsidRPr="00183B5F">
              <w:rPr>
                <w:b/>
                <w:szCs w:val="22"/>
                <w:lang w:val="hu-HU"/>
              </w:rPr>
              <w:br/>
              <w:t>N (%)</w:t>
            </w:r>
          </w:p>
        </w:tc>
        <w:tc>
          <w:tcPr>
            <w:tcW w:w="1890" w:type="dxa"/>
            <w:tcBorders>
              <w:top w:val="single" w:sz="4" w:space="0" w:color="auto"/>
              <w:bottom w:val="single" w:sz="4" w:space="0" w:color="auto"/>
            </w:tcBorders>
          </w:tcPr>
          <w:p w14:paraId="02E5980F" w14:textId="77777777" w:rsidR="00884361" w:rsidRPr="00183B5F" w:rsidRDefault="00943743" w:rsidP="00FE0197">
            <w:pPr>
              <w:pStyle w:val="EMEANormal"/>
              <w:keepNext/>
              <w:rPr>
                <w:b/>
                <w:szCs w:val="22"/>
                <w:lang w:val="hu-HU"/>
              </w:rPr>
            </w:pPr>
            <w:r w:rsidRPr="00183B5F">
              <w:rPr>
                <w:b/>
                <w:szCs w:val="22"/>
                <w:lang w:val="hu-HU"/>
              </w:rPr>
              <w:t xml:space="preserve">Eredménytelen-ségig eltelt idő </w:t>
            </w:r>
            <w:r w:rsidR="00B46747" w:rsidRPr="00183B5F">
              <w:rPr>
                <w:b/>
                <w:szCs w:val="22"/>
                <w:lang w:val="hu-HU"/>
              </w:rPr>
              <w:t xml:space="preserve">mediánja </w:t>
            </w:r>
            <w:r w:rsidRPr="00183B5F">
              <w:rPr>
                <w:b/>
                <w:szCs w:val="22"/>
                <w:lang w:val="hu-HU"/>
              </w:rPr>
              <w:t>(hónap)</w:t>
            </w:r>
          </w:p>
        </w:tc>
        <w:tc>
          <w:tcPr>
            <w:tcW w:w="720" w:type="dxa"/>
            <w:tcBorders>
              <w:top w:val="single" w:sz="4" w:space="0" w:color="auto"/>
              <w:bottom w:val="single" w:sz="4" w:space="0" w:color="auto"/>
            </w:tcBorders>
          </w:tcPr>
          <w:p w14:paraId="3D073424" w14:textId="77777777" w:rsidR="00884361" w:rsidRPr="00183B5F" w:rsidRDefault="00943743" w:rsidP="00FE0197">
            <w:pPr>
              <w:pStyle w:val="EMEANormal"/>
              <w:keepNext/>
              <w:rPr>
                <w:b/>
                <w:szCs w:val="22"/>
                <w:lang w:val="hu-HU"/>
              </w:rPr>
            </w:pPr>
            <w:r w:rsidRPr="00183B5F">
              <w:rPr>
                <w:b/>
                <w:szCs w:val="22"/>
                <w:lang w:val="hu-HU"/>
              </w:rPr>
              <w:t>Relatív</w:t>
            </w:r>
          </w:p>
          <w:p w14:paraId="586827DD" w14:textId="77777777" w:rsidR="00884361" w:rsidRPr="00183B5F" w:rsidRDefault="00943743" w:rsidP="00FE0197">
            <w:pPr>
              <w:pStyle w:val="EMEANormal"/>
              <w:keepNext/>
              <w:rPr>
                <w:b/>
                <w:szCs w:val="22"/>
                <w:lang w:val="hu-HU"/>
              </w:rPr>
            </w:pPr>
            <w:r w:rsidRPr="00183B5F">
              <w:rPr>
                <w:b/>
                <w:szCs w:val="22"/>
                <w:lang w:val="hu-HU"/>
              </w:rPr>
              <w:t>hazárd</w:t>
            </w:r>
            <w:r w:rsidRPr="00183B5F">
              <w:rPr>
                <w:b/>
                <w:szCs w:val="22"/>
                <w:vertAlign w:val="superscript"/>
                <w:lang w:val="hu-HU"/>
              </w:rPr>
              <w:t>a</w:t>
            </w:r>
            <w:r w:rsidRPr="00183B5F">
              <w:rPr>
                <w:b/>
                <w:szCs w:val="22"/>
                <w:lang w:val="hu-HU"/>
              </w:rPr>
              <w:t xml:space="preserve"> (HR)</w:t>
            </w:r>
          </w:p>
        </w:tc>
        <w:tc>
          <w:tcPr>
            <w:tcW w:w="1170" w:type="dxa"/>
            <w:tcBorders>
              <w:top w:val="single" w:sz="4" w:space="0" w:color="auto"/>
              <w:bottom w:val="single" w:sz="4" w:space="0" w:color="auto"/>
            </w:tcBorders>
          </w:tcPr>
          <w:p w14:paraId="2ECE3183" w14:textId="77777777" w:rsidR="00884361" w:rsidRPr="00183B5F" w:rsidRDefault="00943743" w:rsidP="00FE0197">
            <w:pPr>
              <w:pStyle w:val="EMEANormal"/>
              <w:keepNext/>
              <w:rPr>
                <w:b/>
                <w:szCs w:val="22"/>
                <w:lang w:val="hu-HU"/>
              </w:rPr>
            </w:pPr>
            <w:r w:rsidRPr="00183B5F">
              <w:rPr>
                <w:b/>
                <w:szCs w:val="22"/>
                <w:lang w:val="hu-HU"/>
              </w:rPr>
              <w:t>HR</w:t>
            </w:r>
            <w:r w:rsidRPr="00183B5F">
              <w:rPr>
                <w:b/>
                <w:szCs w:val="22"/>
                <w:vertAlign w:val="superscript"/>
                <w:lang w:val="hu-HU"/>
              </w:rPr>
              <w:t>a</w:t>
            </w:r>
            <w:r w:rsidRPr="00183B5F">
              <w:rPr>
                <w:b/>
                <w:szCs w:val="22"/>
                <w:lang w:val="hu-HU"/>
              </w:rPr>
              <w:t xml:space="preserve"> 95%-os CI</w:t>
            </w:r>
          </w:p>
        </w:tc>
        <w:tc>
          <w:tcPr>
            <w:tcW w:w="1080" w:type="dxa"/>
            <w:tcBorders>
              <w:top w:val="single" w:sz="4" w:space="0" w:color="auto"/>
              <w:bottom w:val="single" w:sz="4" w:space="0" w:color="auto"/>
            </w:tcBorders>
          </w:tcPr>
          <w:p w14:paraId="374E3B78" w14:textId="77777777" w:rsidR="00884361" w:rsidRPr="00183B5F" w:rsidRDefault="00943743" w:rsidP="00FE0197">
            <w:pPr>
              <w:pStyle w:val="EMEANormal"/>
              <w:keepNext/>
              <w:rPr>
                <w:b/>
                <w:szCs w:val="22"/>
                <w:lang w:val="hu-HU"/>
              </w:rPr>
            </w:pPr>
            <w:r w:rsidRPr="00183B5F">
              <w:rPr>
                <w:b/>
                <w:i/>
                <w:szCs w:val="22"/>
                <w:lang w:val="hu-HU"/>
              </w:rPr>
              <w:t>P</w:t>
            </w:r>
            <w:r w:rsidR="00B46747" w:rsidRPr="00183B5F">
              <w:rPr>
                <w:b/>
                <w:szCs w:val="22"/>
                <w:lang w:val="hu-HU"/>
              </w:rPr>
              <w:t>-</w:t>
            </w:r>
            <w:r w:rsidRPr="00183B5F">
              <w:rPr>
                <w:b/>
                <w:szCs w:val="22"/>
                <w:lang w:val="hu-HU"/>
              </w:rPr>
              <w:t>érték</w:t>
            </w:r>
            <w:r w:rsidRPr="00183B5F">
              <w:rPr>
                <w:szCs w:val="22"/>
                <w:vertAlign w:val="superscript"/>
                <w:lang w:val="hu-HU"/>
              </w:rPr>
              <w:t xml:space="preserve"> b</w:t>
            </w:r>
          </w:p>
        </w:tc>
      </w:tr>
      <w:tr w:rsidR="00011D2F" w14:paraId="336262AC" w14:textId="77777777" w:rsidTr="00B0780E">
        <w:tc>
          <w:tcPr>
            <w:tcW w:w="9018" w:type="dxa"/>
            <w:gridSpan w:val="7"/>
            <w:tcBorders>
              <w:top w:val="single" w:sz="4" w:space="0" w:color="auto"/>
              <w:bottom w:val="nil"/>
            </w:tcBorders>
          </w:tcPr>
          <w:p w14:paraId="38411228" w14:textId="77777777" w:rsidR="00884361" w:rsidRPr="00183B5F" w:rsidRDefault="00943743" w:rsidP="00FE0197">
            <w:pPr>
              <w:pStyle w:val="EMEANormal"/>
              <w:keepNext/>
              <w:rPr>
                <w:b/>
                <w:szCs w:val="22"/>
                <w:lang w:val="hu-HU"/>
              </w:rPr>
            </w:pPr>
            <w:r w:rsidRPr="00183B5F">
              <w:rPr>
                <w:b/>
                <w:szCs w:val="22"/>
                <w:lang w:val="hu-HU"/>
              </w:rPr>
              <w:t>A kezelés eredménytelenségéig eltelt idő a 6. héten vagy azt követően az UV I vizsgálatban</w:t>
            </w:r>
          </w:p>
        </w:tc>
      </w:tr>
      <w:tr w:rsidR="00011D2F" w14:paraId="001C43E5" w14:textId="77777777" w:rsidTr="00B0780E">
        <w:tc>
          <w:tcPr>
            <w:tcW w:w="2988" w:type="dxa"/>
            <w:gridSpan w:val="2"/>
            <w:tcBorders>
              <w:top w:val="nil"/>
              <w:bottom w:val="nil"/>
            </w:tcBorders>
          </w:tcPr>
          <w:p w14:paraId="607027AA" w14:textId="77777777" w:rsidR="00884361" w:rsidRPr="00183B5F" w:rsidRDefault="00943743" w:rsidP="00FE0197">
            <w:pPr>
              <w:pStyle w:val="EMEANormal"/>
              <w:keepNext/>
              <w:rPr>
                <w:szCs w:val="22"/>
                <w:lang w:val="hu-HU"/>
              </w:rPr>
            </w:pPr>
            <w:r w:rsidRPr="00183B5F">
              <w:rPr>
                <w:szCs w:val="22"/>
                <w:lang w:val="hu-HU"/>
              </w:rPr>
              <w:t>Elsődleges elemzés (ITT)</w:t>
            </w:r>
          </w:p>
        </w:tc>
        <w:tc>
          <w:tcPr>
            <w:tcW w:w="1170" w:type="dxa"/>
            <w:tcBorders>
              <w:top w:val="nil"/>
              <w:bottom w:val="nil"/>
            </w:tcBorders>
          </w:tcPr>
          <w:p w14:paraId="49AE9407" w14:textId="77777777" w:rsidR="00884361" w:rsidRPr="00183B5F" w:rsidRDefault="00884361" w:rsidP="00FE0197">
            <w:pPr>
              <w:pStyle w:val="EMEANormal"/>
              <w:keepNext/>
              <w:rPr>
                <w:szCs w:val="22"/>
                <w:lang w:val="hu-HU"/>
              </w:rPr>
            </w:pPr>
          </w:p>
        </w:tc>
        <w:tc>
          <w:tcPr>
            <w:tcW w:w="1890" w:type="dxa"/>
            <w:tcBorders>
              <w:top w:val="nil"/>
              <w:bottom w:val="nil"/>
            </w:tcBorders>
          </w:tcPr>
          <w:p w14:paraId="4971A044" w14:textId="77777777" w:rsidR="00884361" w:rsidRPr="00183B5F" w:rsidRDefault="00884361" w:rsidP="00FE0197">
            <w:pPr>
              <w:pStyle w:val="EMEANormal"/>
              <w:keepNext/>
              <w:rPr>
                <w:szCs w:val="22"/>
                <w:lang w:val="hu-HU"/>
              </w:rPr>
            </w:pPr>
          </w:p>
        </w:tc>
        <w:tc>
          <w:tcPr>
            <w:tcW w:w="720" w:type="dxa"/>
            <w:tcBorders>
              <w:top w:val="nil"/>
              <w:bottom w:val="nil"/>
            </w:tcBorders>
          </w:tcPr>
          <w:p w14:paraId="271E34BC" w14:textId="77777777" w:rsidR="00884361" w:rsidRPr="00183B5F" w:rsidRDefault="00884361" w:rsidP="00FE0197">
            <w:pPr>
              <w:pStyle w:val="EMEANormal"/>
              <w:keepNext/>
              <w:rPr>
                <w:szCs w:val="22"/>
                <w:lang w:val="hu-HU"/>
              </w:rPr>
            </w:pPr>
          </w:p>
        </w:tc>
        <w:tc>
          <w:tcPr>
            <w:tcW w:w="1170" w:type="dxa"/>
            <w:tcBorders>
              <w:top w:val="nil"/>
              <w:bottom w:val="nil"/>
            </w:tcBorders>
          </w:tcPr>
          <w:p w14:paraId="4CD9D694" w14:textId="77777777" w:rsidR="00884361" w:rsidRPr="00183B5F" w:rsidRDefault="00884361" w:rsidP="00FE0197">
            <w:pPr>
              <w:pStyle w:val="EMEANormal"/>
              <w:keepNext/>
              <w:rPr>
                <w:szCs w:val="22"/>
                <w:lang w:val="hu-HU"/>
              </w:rPr>
            </w:pPr>
          </w:p>
        </w:tc>
        <w:tc>
          <w:tcPr>
            <w:tcW w:w="1080" w:type="dxa"/>
            <w:tcBorders>
              <w:top w:val="nil"/>
              <w:bottom w:val="nil"/>
            </w:tcBorders>
          </w:tcPr>
          <w:p w14:paraId="5C09D424" w14:textId="77777777" w:rsidR="00884361" w:rsidRPr="00183B5F" w:rsidRDefault="00884361" w:rsidP="00FE0197">
            <w:pPr>
              <w:pStyle w:val="EMEANormal"/>
              <w:keepNext/>
              <w:rPr>
                <w:szCs w:val="22"/>
                <w:lang w:val="hu-HU"/>
              </w:rPr>
            </w:pPr>
          </w:p>
        </w:tc>
      </w:tr>
      <w:tr w:rsidR="00011D2F" w14:paraId="1A63FBA1" w14:textId="77777777" w:rsidTr="00B0780E">
        <w:tc>
          <w:tcPr>
            <w:tcW w:w="2268" w:type="dxa"/>
            <w:tcBorders>
              <w:top w:val="nil"/>
              <w:bottom w:val="nil"/>
            </w:tcBorders>
          </w:tcPr>
          <w:p w14:paraId="5765615C" w14:textId="77777777" w:rsidR="00884361" w:rsidRPr="00183B5F" w:rsidRDefault="00943743" w:rsidP="00FE0197">
            <w:pPr>
              <w:pStyle w:val="EMEANormal"/>
              <w:keepNext/>
              <w:rPr>
                <w:szCs w:val="22"/>
                <w:lang w:val="hu-HU"/>
              </w:rPr>
            </w:pPr>
            <w:r w:rsidRPr="00183B5F">
              <w:rPr>
                <w:szCs w:val="22"/>
                <w:lang w:val="hu-HU"/>
              </w:rPr>
              <w:tab/>
              <w:t>Placebo</w:t>
            </w:r>
          </w:p>
        </w:tc>
        <w:tc>
          <w:tcPr>
            <w:tcW w:w="720" w:type="dxa"/>
            <w:tcBorders>
              <w:top w:val="nil"/>
              <w:bottom w:val="nil"/>
            </w:tcBorders>
          </w:tcPr>
          <w:p w14:paraId="6754F6F7" w14:textId="77777777" w:rsidR="00884361" w:rsidRPr="00183B5F" w:rsidRDefault="00943743" w:rsidP="00FE0197">
            <w:pPr>
              <w:pStyle w:val="EMEANormal"/>
              <w:keepNext/>
              <w:rPr>
                <w:szCs w:val="22"/>
                <w:lang w:val="hu-HU"/>
              </w:rPr>
            </w:pPr>
            <w:r w:rsidRPr="00183B5F">
              <w:rPr>
                <w:szCs w:val="22"/>
                <w:lang w:val="hu-HU"/>
              </w:rPr>
              <w:t>107</w:t>
            </w:r>
          </w:p>
        </w:tc>
        <w:tc>
          <w:tcPr>
            <w:tcW w:w="1170" w:type="dxa"/>
            <w:tcBorders>
              <w:top w:val="nil"/>
              <w:bottom w:val="nil"/>
            </w:tcBorders>
          </w:tcPr>
          <w:p w14:paraId="41934336" w14:textId="77777777" w:rsidR="00884361" w:rsidRPr="00183B5F" w:rsidRDefault="00943743" w:rsidP="00FE0197">
            <w:pPr>
              <w:pStyle w:val="EMEANormal"/>
              <w:keepNext/>
              <w:rPr>
                <w:szCs w:val="22"/>
                <w:lang w:val="hu-HU"/>
              </w:rPr>
            </w:pPr>
            <w:r w:rsidRPr="00183B5F">
              <w:rPr>
                <w:szCs w:val="22"/>
                <w:lang w:val="hu-HU"/>
              </w:rPr>
              <w:t>84 (78,5)</w:t>
            </w:r>
          </w:p>
        </w:tc>
        <w:tc>
          <w:tcPr>
            <w:tcW w:w="1890" w:type="dxa"/>
            <w:tcBorders>
              <w:top w:val="nil"/>
              <w:bottom w:val="nil"/>
            </w:tcBorders>
          </w:tcPr>
          <w:p w14:paraId="49865485" w14:textId="77777777" w:rsidR="00884361" w:rsidRPr="00183B5F" w:rsidRDefault="00943743" w:rsidP="00FE0197">
            <w:pPr>
              <w:pStyle w:val="EMEANormal"/>
              <w:keepNext/>
              <w:rPr>
                <w:szCs w:val="22"/>
                <w:lang w:val="hu-HU"/>
              </w:rPr>
            </w:pPr>
            <w:r w:rsidRPr="00183B5F">
              <w:rPr>
                <w:szCs w:val="22"/>
                <w:lang w:val="hu-HU"/>
              </w:rPr>
              <w:t>3,0</w:t>
            </w:r>
          </w:p>
        </w:tc>
        <w:tc>
          <w:tcPr>
            <w:tcW w:w="720" w:type="dxa"/>
            <w:tcBorders>
              <w:top w:val="nil"/>
              <w:bottom w:val="nil"/>
            </w:tcBorders>
          </w:tcPr>
          <w:p w14:paraId="41654D5B" w14:textId="77777777" w:rsidR="00884361" w:rsidRPr="00183B5F" w:rsidRDefault="00943743" w:rsidP="00FE0197">
            <w:pPr>
              <w:pStyle w:val="EMEANormal"/>
              <w:keepNext/>
              <w:rPr>
                <w:szCs w:val="22"/>
                <w:lang w:val="hu-HU"/>
              </w:rPr>
            </w:pPr>
            <w:r w:rsidRPr="00183B5F">
              <w:rPr>
                <w:szCs w:val="22"/>
                <w:lang w:val="hu-HU"/>
              </w:rPr>
              <w:t>--</w:t>
            </w:r>
          </w:p>
        </w:tc>
        <w:tc>
          <w:tcPr>
            <w:tcW w:w="1170" w:type="dxa"/>
            <w:tcBorders>
              <w:top w:val="nil"/>
              <w:bottom w:val="nil"/>
            </w:tcBorders>
          </w:tcPr>
          <w:p w14:paraId="66556A22" w14:textId="77777777" w:rsidR="00884361" w:rsidRPr="00183B5F" w:rsidRDefault="00943743" w:rsidP="00FE0197">
            <w:pPr>
              <w:pStyle w:val="EMEANormal"/>
              <w:keepNext/>
              <w:rPr>
                <w:szCs w:val="22"/>
                <w:lang w:val="hu-HU"/>
              </w:rPr>
            </w:pPr>
            <w:r w:rsidRPr="00183B5F">
              <w:rPr>
                <w:szCs w:val="22"/>
                <w:lang w:val="hu-HU"/>
              </w:rPr>
              <w:t>--</w:t>
            </w:r>
          </w:p>
        </w:tc>
        <w:tc>
          <w:tcPr>
            <w:tcW w:w="1080" w:type="dxa"/>
            <w:tcBorders>
              <w:top w:val="nil"/>
              <w:bottom w:val="nil"/>
            </w:tcBorders>
          </w:tcPr>
          <w:p w14:paraId="75D57E87" w14:textId="77777777" w:rsidR="00884361" w:rsidRPr="00183B5F" w:rsidRDefault="00943743" w:rsidP="00FE0197">
            <w:pPr>
              <w:pStyle w:val="EMEANormal"/>
              <w:keepNext/>
              <w:rPr>
                <w:szCs w:val="22"/>
                <w:lang w:val="hu-HU"/>
              </w:rPr>
            </w:pPr>
            <w:r w:rsidRPr="00183B5F">
              <w:rPr>
                <w:szCs w:val="22"/>
                <w:lang w:val="hu-HU"/>
              </w:rPr>
              <w:t>--</w:t>
            </w:r>
          </w:p>
        </w:tc>
      </w:tr>
      <w:tr w:rsidR="00011D2F" w14:paraId="54AC6235" w14:textId="77777777" w:rsidTr="00B0780E">
        <w:tc>
          <w:tcPr>
            <w:tcW w:w="2268" w:type="dxa"/>
            <w:tcBorders>
              <w:top w:val="nil"/>
              <w:bottom w:val="single" w:sz="4" w:space="0" w:color="auto"/>
            </w:tcBorders>
          </w:tcPr>
          <w:p w14:paraId="08B90943" w14:textId="77777777" w:rsidR="00884361" w:rsidRPr="00183B5F" w:rsidRDefault="00943743" w:rsidP="00FE0197">
            <w:pPr>
              <w:pStyle w:val="EMEANormal"/>
              <w:keepNext/>
              <w:rPr>
                <w:szCs w:val="22"/>
                <w:lang w:val="hu-HU"/>
              </w:rPr>
            </w:pPr>
            <w:r w:rsidRPr="00183B5F">
              <w:rPr>
                <w:szCs w:val="22"/>
                <w:lang w:val="hu-HU"/>
              </w:rPr>
              <w:tab/>
              <w:t>Adalimumab</w:t>
            </w:r>
          </w:p>
        </w:tc>
        <w:tc>
          <w:tcPr>
            <w:tcW w:w="720" w:type="dxa"/>
            <w:tcBorders>
              <w:top w:val="nil"/>
              <w:bottom w:val="single" w:sz="4" w:space="0" w:color="auto"/>
            </w:tcBorders>
          </w:tcPr>
          <w:p w14:paraId="3DA5048A" w14:textId="77777777" w:rsidR="00884361" w:rsidRPr="00183B5F" w:rsidRDefault="00943743" w:rsidP="00FE0197">
            <w:pPr>
              <w:pStyle w:val="EMEANormal"/>
              <w:keepNext/>
              <w:rPr>
                <w:szCs w:val="22"/>
                <w:lang w:val="hu-HU"/>
              </w:rPr>
            </w:pPr>
            <w:r w:rsidRPr="00183B5F">
              <w:rPr>
                <w:szCs w:val="22"/>
                <w:lang w:val="hu-HU"/>
              </w:rPr>
              <w:t>110</w:t>
            </w:r>
          </w:p>
        </w:tc>
        <w:tc>
          <w:tcPr>
            <w:tcW w:w="1170" w:type="dxa"/>
            <w:tcBorders>
              <w:top w:val="nil"/>
              <w:bottom w:val="single" w:sz="4" w:space="0" w:color="auto"/>
            </w:tcBorders>
          </w:tcPr>
          <w:p w14:paraId="7EABFA9F" w14:textId="77777777" w:rsidR="00884361" w:rsidRPr="00183B5F" w:rsidRDefault="00943743" w:rsidP="00FE0197">
            <w:pPr>
              <w:pStyle w:val="EMEANormal"/>
              <w:keepNext/>
              <w:rPr>
                <w:szCs w:val="22"/>
                <w:lang w:val="hu-HU"/>
              </w:rPr>
            </w:pPr>
            <w:r w:rsidRPr="00183B5F">
              <w:rPr>
                <w:szCs w:val="22"/>
                <w:lang w:val="hu-HU"/>
              </w:rPr>
              <w:t>60 (54,5)</w:t>
            </w:r>
          </w:p>
        </w:tc>
        <w:tc>
          <w:tcPr>
            <w:tcW w:w="1890" w:type="dxa"/>
            <w:tcBorders>
              <w:top w:val="nil"/>
              <w:bottom w:val="single" w:sz="4" w:space="0" w:color="auto"/>
            </w:tcBorders>
          </w:tcPr>
          <w:p w14:paraId="26BA9375" w14:textId="77777777" w:rsidR="00884361" w:rsidRPr="00183B5F" w:rsidRDefault="00943743" w:rsidP="00FE0197">
            <w:pPr>
              <w:pStyle w:val="EMEANormal"/>
              <w:keepNext/>
              <w:rPr>
                <w:szCs w:val="22"/>
                <w:lang w:val="hu-HU"/>
              </w:rPr>
            </w:pPr>
            <w:r w:rsidRPr="00183B5F">
              <w:rPr>
                <w:szCs w:val="22"/>
                <w:lang w:val="hu-HU"/>
              </w:rPr>
              <w:t>5,6</w:t>
            </w:r>
          </w:p>
        </w:tc>
        <w:tc>
          <w:tcPr>
            <w:tcW w:w="720" w:type="dxa"/>
            <w:tcBorders>
              <w:top w:val="nil"/>
              <w:bottom w:val="single" w:sz="4" w:space="0" w:color="auto"/>
            </w:tcBorders>
          </w:tcPr>
          <w:p w14:paraId="5EB7C658" w14:textId="77777777" w:rsidR="00884361" w:rsidRPr="00183B5F" w:rsidRDefault="00943743" w:rsidP="00FE0197">
            <w:pPr>
              <w:pStyle w:val="EMEANormal"/>
              <w:keepNext/>
              <w:rPr>
                <w:szCs w:val="22"/>
                <w:lang w:val="hu-HU"/>
              </w:rPr>
            </w:pPr>
            <w:r w:rsidRPr="00183B5F">
              <w:rPr>
                <w:szCs w:val="22"/>
                <w:lang w:val="hu-HU"/>
              </w:rPr>
              <w:t>0,50</w:t>
            </w:r>
          </w:p>
        </w:tc>
        <w:tc>
          <w:tcPr>
            <w:tcW w:w="1170" w:type="dxa"/>
            <w:tcBorders>
              <w:top w:val="nil"/>
              <w:bottom w:val="single" w:sz="4" w:space="0" w:color="auto"/>
            </w:tcBorders>
          </w:tcPr>
          <w:p w14:paraId="4B410BD0" w14:textId="77777777" w:rsidR="00884361" w:rsidRPr="00183B5F" w:rsidRDefault="00943743" w:rsidP="00FE0197">
            <w:pPr>
              <w:pStyle w:val="EMEANormal"/>
              <w:keepNext/>
              <w:rPr>
                <w:szCs w:val="22"/>
                <w:lang w:val="hu-HU"/>
              </w:rPr>
            </w:pPr>
            <w:r w:rsidRPr="00183B5F">
              <w:rPr>
                <w:szCs w:val="22"/>
                <w:lang w:val="hu-HU"/>
              </w:rPr>
              <w:t>0,36; 0,70</w:t>
            </w:r>
            <w:r w:rsidRPr="00183B5F">
              <w:rPr>
                <w:szCs w:val="22"/>
                <w:vertAlign w:val="superscript"/>
                <w:lang w:val="hu-HU"/>
              </w:rPr>
              <w:t xml:space="preserve"> </w:t>
            </w:r>
          </w:p>
        </w:tc>
        <w:tc>
          <w:tcPr>
            <w:tcW w:w="1080" w:type="dxa"/>
            <w:tcBorders>
              <w:top w:val="nil"/>
              <w:bottom w:val="single" w:sz="4" w:space="0" w:color="auto"/>
            </w:tcBorders>
          </w:tcPr>
          <w:p w14:paraId="196F0F58" w14:textId="77777777" w:rsidR="00884361" w:rsidRPr="00183B5F" w:rsidRDefault="00943743" w:rsidP="00FE0197">
            <w:pPr>
              <w:pStyle w:val="EMEANormal"/>
              <w:keepNext/>
              <w:rPr>
                <w:szCs w:val="22"/>
                <w:lang w:val="hu-HU"/>
              </w:rPr>
            </w:pPr>
            <w:r w:rsidRPr="00183B5F">
              <w:rPr>
                <w:szCs w:val="22"/>
                <w:lang w:val="hu-HU"/>
              </w:rPr>
              <w:t>&lt; 0,001</w:t>
            </w:r>
          </w:p>
        </w:tc>
      </w:tr>
      <w:tr w:rsidR="00011D2F" w14:paraId="67338737" w14:textId="77777777" w:rsidTr="00B0780E">
        <w:tblPrEx>
          <w:tblBorders>
            <w:left w:val="single" w:sz="4" w:space="0" w:color="auto"/>
            <w:right w:val="single" w:sz="4" w:space="0" w:color="auto"/>
            <w:insideH w:val="single" w:sz="4" w:space="0" w:color="auto"/>
            <w:insideV w:val="single" w:sz="4" w:space="0" w:color="auto"/>
          </w:tblBorders>
        </w:tblPrEx>
        <w:tc>
          <w:tcPr>
            <w:tcW w:w="9018" w:type="dxa"/>
            <w:gridSpan w:val="7"/>
            <w:tcBorders>
              <w:left w:val="nil"/>
              <w:bottom w:val="nil"/>
              <w:right w:val="nil"/>
            </w:tcBorders>
          </w:tcPr>
          <w:p w14:paraId="744070C7" w14:textId="77777777" w:rsidR="00884361" w:rsidRPr="00183B5F" w:rsidRDefault="00943743" w:rsidP="00FE0197">
            <w:pPr>
              <w:pStyle w:val="EMEANormal"/>
              <w:keepNext/>
              <w:rPr>
                <w:b/>
                <w:szCs w:val="22"/>
                <w:lang w:val="hu-HU"/>
              </w:rPr>
            </w:pPr>
            <w:r w:rsidRPr="00183B5F">
              <w:rPr>
                <w:b/>
                <w:szCs w:val="22"/>
                <w:lang w:val="hu-HU"/>
              </w:rPr>
              <w:t>A kezelés eredménytelenségéig eltelt idő a 2. héten vagy azt követően az UV II vizsgálatban</w:t>
            </w:r>
          </w:p>
        </w:tc>
      </w:tr>
      <w:tr w:rsidR="00011D2F" w14:paraId="3BF4214A" w14:textId="77777777" w:rsidTr="00B0780E">
        <w:tblPrEx>
          <w:tblBorders>
            <w:left w:val="single" w:sz="4" w:space="0" w:color="auto"/>
            <w:right w:val="single" w:sz="4" w:space="0" w:color="auto"/>
            <w:insideH w:val="single" w:sz="4" w:space="0" w:color="auto"/>
            <w:insideV w:val="single" w:sz="4" w:space="0" w:color="auto"/>
          </w:tblBorders>
        </w:tblPrEx>
        <w:tc>
          <w:tcPr>
            <w:tcW w:w="2988" w:type="dxa"/>
            <w:gridSpan w:val="2"/>
            <w:tcBorders>
              <w:top w:val="nil"/>
              <w:left w:val="nil"/>
              <w:bottom w:val="nil"/>
              <w:right w:val="nil"/>
            </w:tcBorders>
          </w:tcPr>
          <w:p w14:paraId="3ED72BD0" w14:textId="77777777" w:rsidR="00884361" w:rsidRPr="00183B5F" w:rsidRDefault="00943743" w:rsidP="00FE0197">
            <w:pPr>
              <w:pStyle w:val="EMEANormal"/>
              <w:keepNext/>
              <w:rPr>
                <w:szCs w:val="22"/>
                <w:lang w:val="hu-HU"/>
              </w:rPr>
            </w:pPr>
            <w:r w:rsidRPr="00183B5F">
              <w:rPr>
                <w:szCs w:val="22"/>
                <w:lang w:val="hu-HU"/>
              </w:rPr>
              <w:t>Elsődleges elemzés (ITT)</w:t>
            </w:r>
          </w:p>
        </w:tc>
        <w:tc>
          <w:tcPr>
            <w:tcW w:w="1170" w:type="dxa"/>
            <w:tcBorders>
              <w:top w:val="nil"/>
              <w:left w:val="nil"/>
              <w:bottom w:val="nil"/>
              <w:right w:val="nil"/>
            </w:tcBorders>
          </w:tcPr>
          <w:p w14:paraId="5FB89471" w14:textId="77777777" w:rsidR="00884361" w:rsidRPr="00183B5F" w:rsidRDefault="00884361" w:rsidP="00FE0197">
            <w:pPr>
              <w:pStyle w:val="EMEANormal"/>
              <w:keepNext/>
              <w:rPr>
                <w:szCs w:val="22"/>
                <w:lang w:val="hu-HU"/>
              </w:rPr>
            </w:pPr>
          </w:p>
        </w:tc>
        <w:tc>
          <w:tcPr>
            <w:tcW w:w="1890" w:type="dxa"/>
            <w:tcBorders>
              <w:top w:val="nil"/>
              <w:left w:val="nil"/>
              <w:bottom w:val="nil"/>
              <w:right w:val="nil"/>
            </w:tcBorders>
          </w:tcPr>
          <w:p w14:paraId="472390A3" w14:textId="77777777" w:rsidR="00884361" w:rsidRPr="00183B5F" w:rsidRDefault="00884361" w:rsidP="00FE0197">
            <w:pPr>
              <w:pStyle w:val="EMEANormal"/>
              <w:keepNext/>
              <w:rPr>
                <w:szCs w:val="22"/>
                <w:lang w:val="hu-HU"/>
              </w:rPr>
            </w:pPr>
          </w:p>
        </w:tc>
        <w:tc>
          <w:tcPr>
            <w:tcW w:w="720" w:type="dxa"/>
            <w:tcBorders>
              <w:top w:val="nil"/>
              <w:left w:val="nil"/>
              <w:bottom w:val="nil"/>
              <w:right w:val="nil"/>
            </w:tcBorders>
          </w:tcPr>
          <w:p w14:paraId="3A709209" w14:textId="77777777" w:rsidR="00884361" w:rsidRPr="00183B5F" w:rsidRDefault="00884361" w:rsidP="00FE0197">
            <w:pPr>
              <w:pStyle w:val="EMEANormal"/>
              <w:keepNext/>
              <w:rPr>
                <w:szCs w:val="22"/>
                <w:lang w:val="hu-HU"/>
              </w:rPr>
            </w:pPr>
          </w:p>
        </w:tc>
        <w:tc>
          <w:tcPr>
            <w:tcW w:w="1170" w:type="dxa"/>
            <w:tcBorders>
              <w:top w:val="nil"/>
              <w:left w:val="nil"/>
              <w:bottom w:val="nil"/>
              <w:right w:val="nil"/>
            </w:tcBorders>
          </w:tcPr>
          <w:p w14:paraId="0B9F2E6D" w14:textId="77777777" w:rsidR="00884361" w:rsidRPr="00183B5F" w:rsidRDefault="00884361" w:rsidP="00FE0197">
            <w:pPr>
              <w:pStyle w:val="EMEANormal"/>
              <w:keepNext/>
              <w:rPr>
                <w:szCs w:val="22"/>
                <w:lang w:val="hu-HU"/>
              </w:rPr>
            </w:pPr>
          </w:p>
        </w:tc>
        <w:tc>
          <w:tcPr>
            <w:tcW w:w="1080" w:type="dxa"/>
            <w:tcBorders>
              <w:top w:val="nil"/>
              <w:left w:val="nil"/>
              <w:bottom w:val="nil"/>
              <w:right w:val="nil"/>
            </w:tcBorders>
          </w:tcPr>
          <w:p w14:paraId="74C4C630" w14:textId="77777777" w:rsidR="00884361" w:rsidRPr="00183B5F" w:rsidRDefault="00884361" w:rsidP="00FE0197">
            <w:pPr>
              <w:pStyle w:val="EMEANormal"/>
              <w:keepNext/>
              <w:rPr>
                <w:szCs w:val="22"/>
                <w:lang w:val="hu-HU"/>
              </w:rPr>
            </w:pPr>
          </w:p>
        </w:tc>
      </w:tr>
      <w:tr w:rsidR="00011D2F" w14:paraId="62F54E68" w14:textId="77777777" w:rsidTr="00B0780E">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nil"/>
              <w:right w:val="nil"/>
            </w:tcBorders>
          </w:tcPr>
          <w:p w14:paraId="1FADE57B" w14:textId="77777777" w:rsidR="00884361" w:rsidRPr="00183B5F" w:rsidRDefault="00943743" w:rsidP="00FE0197">
            <w:pPr>
              <w:pStyle w:val="EMEANormal"/>
              <w:keepNext/>
              <w:rPr>
                <w:szCs w:val="22"/>
                <w:lang w:val="hu-HU"/>
              </w:rPr>
            </w:pPr>
            <w:r w:rsidRPr="00183B5F">
              <w:rPr>
                <w:szCs w:val="22"/>
                <w:lang w:val="hu-HU"/>
              </w:rPr>
              <w:tab/>
              <w:t>Placebo</w:t>
            </w:r>
          </w:p>
        </w:tc>
        <w:tc>
          <w:tcPr>
            <w:tcW w:w="720" w:type="dxa"/>
            <w:tcBorders>
              <w:top w:val="nil"/>
              <w:left w:val="nil"/>
              <w:bottom w:val="nil"/>
              <w:right w:val="nil"/>
            </w:tcBorders>
          </w:tcPr>
          <w:p w14:paraId="6D49721A" w14:textId="77777777" w:rsidR="00884361" w:rsidRPr="00183B5F" w:rsidRDefault="00943743" w:rsidP="00FE0197">
            <w:pPr>
              <w:pStyle w:val="EMEANormal"/>
              <w:keepNext/>
              <w:rPr>
                <w:szCs w:val="22"/>
                <w:lang w:val="hu-HU"/>
              </w:rPr>
            </w:pPr>
            <w:r w:rsidRPr="00183B5F">
              <w:rPr>
                <w:szCs w:val="22"/>
                <w:lang w:val="hu-HU"/>
              </w:rPr>
              <w:t>111</w:t>
            </w:r>
          </w:p>
        </w:tc>
        <w:tc>
          <w:tcPr>
            <w:tcW w:w="1170" w:type="dxa"/>
            <w:tcBorders>
              <w:top w:val="nil"/>
              <w:left w:val="nil"/>
              <w:bottom w:val="nil"/>
              <w:right w:val="nil"/>
            </w:tcBorders>
          </w:tcPr>
          <w:p w14:paraId="35AB4828" w14:textId="77777777" w:rsidR="00884361" w:rsidRPr="00183B5F" w:rsidRDefault="00943743" w:rsidP="00FE0197">
            <w:pPr>
              <w:pStyle w:val="EMEANormal"/>
              <w:keepNext/>
              <w:rPr>
                <w:szCs w:val="22"/>
                <w:lang w:val="hu-HU"/>
              </w:rPr>
            </w:pPr>
            <w:r w:rsidRPr="00183B5F">
              <w:rPr>
                <w:szCs w:val="22"/>
                <w:lang w:val="hu-HU"/>
              </w:rPr>
              <w:t>61 (55,0)</w:t>
            </w:r>
          </w:p>
        </w:tc>
        <w:tc>
          <w:tcPr>
            <w:tcW w:w="1890" w:type="dxa"/>
            <w:tcBorders>
              <w:top w:val="nil"/>
              <w:left w:val="nil"/>
              <w:bottom w:val="nil"/>
              <w:right w:val="nil"/>
            </w:tcBorders>
          </w:tcPr>
          <w:p w14:paraId="06FBF1FD" w14:textId="77777777" w:rsidR="00884361" w:rsidRPr="00183B5F" w:rsidRDefault="00943743" w:rsidP="00FE0197">
            <w:pPr>
              <w:pStyle w:val="EMEANormal"/>
              <w:keepNext/>
              <w:rPr>
                <w:szCs w:val="22"/>
                <w:lang w:val="hu-HU"/>
              </w:rPr>
            </w:pPr>
            <w:r w:rsidRPr="00183B5F">
              <w:rPr>
                <w:szCs w:val="22"/>
                <w:lang w:val="hu-HU"/>
              </w:rPr>
              <w:t>8,3</w:t>
            </w:r>
          </w:p>
        </w:tc>
        <w:tc>
          <w:tcPr>
            <w:tcW w:w="720" w:type="dxa"/>
            <w:tcBorders>
              <w:top w:val="nil"/>
              <w:left w:val="nil"/>
              <w:bottom w:val="nil"/>
              <w:right w:val="nil"/>
            </w:tcBorders>
          </w:tcPr>
          <w:p w14:paraId="0A7F2705" w14:textId="77777777" w:rsidR="00884361" w:rsidRPr="00183B5F" w:rsidRDefault="00943743" w:rsidP="00FE0197">
            <w:pPr>
              <w:pStyle w:val="EMEANormal"/>
              <w:keepNext/>
              <w:rPr>
                <w:szCs w:val="22"/>
                <w:lang w:val="hu-HU"/>
              </w:rPr>
            </w:pPr>
            <w:r w:rsidRPr="00183B5F">
              <w:rPr>
                <w:szCs w:val="22"/>
                <w:lang w:val="hu-HU"/>
              </w:rPr>
              <w:t>--</w:t>
            </w:r>
          </w:p>
        </w:tc>
        <w:tc>
          <w:tcPr>
            <w:tcW w:w="1170" w:type="dxa"/>
            <w:tcBorders>
              <w:top w:val="nil"/>
              <w:left w:val="nil"/>
              <w:bottom w:val="nil"/>
              <w:right w:val="nil"/>
            </w:tcBorders>
          </w:tcPr>
          <w:p w14:paraId="4B088F75" w14:textId="77777777" w:rsidR="00884361" w:rsidRPr="00183B5F" w:rsidRDefault="00943743" w:rsidP="00FE0197">
            <w:pPr>
              <w:pStyle w:val="EMEANormal"/>
              <w:keepNext/>
              <w:rPr>
                <w:szCs w:val="22"/>
                <w:lang w:val="hu-HU"/>
              </w:rPr>
            </w:pPr>
            <w:r w:rsidRPr="00183B5F">
              <w:rPr>
                <w:szCs w:val="22"/>
                <w:lang w:val="hu-HU"/>
              </w:rPr>
              <w:t>--</w:t>
            </w:r>
          </w:p>
        </w:tc>
        <w:tc>
          <w:tcPr>
            <w:tcW w:w="1080" w:type="dxa"/>
            <w:tcBorders>
              <w:top w:val="nil"/>
              <w:left w:val="nil"/>
              <w:bottom w:val="nil"/>
              <w:right w:val="nil"/>
            </w:tcBorders>
          </w:tcPr>
          <w:p w14:paraId="22744E87" w14:textId="77777777" w:rsidR="00884361" w:rsidRPr="00183B5F" w:rsidRDefault="00943743" w:rsidP="00FE0197">
            <w:pPr>
              <w:pStyle w:val="EMEANormal"/>
              <w:keepNext/>
              <w:rPr>
                <w:szCs w:val="22"/>
                <w:lang w:val="hu-HU"/>
              </w:rPr>
            </w:pPr>
            <w:r w:rsidRPr="00183B5F">
              <w:rPr>
                <w:szCs w:val="22"/>
                <w:lang w:val="hu-HU"/>
              </w:rPr>
              <w:t>--</w:t>
            </w:r>
          </w:p>
        </w:tc>
      </w:tr>
      <w:tr w:rsidR="00011D2F" w14:paraId="61A4D449" w14:textId="77777777" w:rsidTr="00B0780E">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single" w:sz="4" w:space="0" w:color="auto"/>
              <w:right w:val="nil"/>
            </w:tcBorders>
          </w:tcPr>
          <w:p w14:paraId="77CDE2EA" w14:textId="77777777" w:rsidR="00884361" w:rsidRPr="00183B5F" w:rsidRDefault="00943743">
            <w:pPr>
              <w:pStyle w:val="EMEANormal"/>
              <w:rPr>
                <w:szCs w:val="22"/>
                <w:lang w:val="hu-HU"/>
              </w:rPr>
            </w:pPr>
            <w:r w:rsidRPr="00183B5F">
              <w:rPr>
                <w:szCs w:val="22"/>
                <w:lang w:val="hu-HU"/>
              </w:rPr>
              <w:tab/>
              <w:t>Adalimumab</w:t>
            </w:r>
          </w:p>
        </w:tc>
        <w:tc>
          <w:tcPr>
            <w:tcW w:w="720" w:type="dxa"/>
            <w:tcBorders>
              <w:top w:val="nil"/>
              <w:left w:val="nil"/>
              <w:bottom w:val="single" w:sz="4" w:space="0" w:color="auto"/>
              <w:right w:val="nil"/>
            </w:tcBorders>
          </w:tcPr>
          <w:p w14:paraId="308723DE" w14:textId="77777777" w:rsidR="00884361" w:rsidRPr="00183B5F" w:rsidRDefault="00943743">
            <w:pPr>
              <w:pStyle w:val="EMEANormal"/>
              <w:rPr>
                <w:szCs w:val="22"/>
                <w:lang w:val="hu-HU"/>
              </w:rPr>
            </w:pPr>
            <w:r w:rsidRPr="00183B5F">
              <w:rPr>
                <w:szCs w:val="22"/>
                <w:lang w:val="hu-HU"/>
              </w:rPr>
              <w:t>115</w:t>
            </w:r>
          </w:p>
        </w:tc>
        <w:tc>
          <w:tcPr>
            <w:tcW w:w="1170" w:type="dxa"/>
            <w:tcBorders>
              <w:top w:val="nil"/>
              <w:left w:val="nil"/>
              <w:bottom w:val="single" w:sz="4" w:space="0" w:color="auto"/>
              <w:right w:val="nil"/>
            </w:tcBorders>
          </w:tcPr>
          <w:p w14:paraId="4B77D50A" w14:textId="77777777" w:rsidR="00884361" w:rsidRPr="00183B5F" w:rsidRDefault="00943743">
            <w:pPr>
              <w:pStyle w:val="EMEANormal"/>
              <w:rPr>
                <w:szCs w:val="22"/>
                <w:lang w:val="hu-HU"/>
              </w:rPr>
            </w:pPr>
            <w:r w:rsidRPr="00183B5F">
              <w:rPr>
                <w:szCs w:val="22"/>
                <w:lang w:val="hu-HU"/>
              </w:rPr>
              <w:t>45 (39,1)</w:t>
            </w:r>
          </w:p>
        </w:tc>
        <w:tc>
          <w:tcPr>
            <w:tcW w:w="1890" w:type="dxa"/>
            <w:tcBorders>
              <w:top w:val="nil"/>
              <w:left w:val="nil"/>
              <w:bottom w:val="single" w:sz="4" w:space="0" w:color="auto"/>
              <w:right w:val="nil"/>
            </w:tcBorders>
          </w:tcPr>
          <w:p w14:paraId="4F34AEDB" w14:textId="77777777" w:rsidR="00884361" w:rsidRPr="00183B5F" w:rsidRDefault="00943743">
            <w:pPr>
              <w:pStyle w:val="EMEANormal"/>
              <w:rPr>
                <w:szCs w:val="22"/>
                <w:lang w:val="hu-HU"/>
              </w:rPr>
            </w:pPr>
            <w:r w:rsidRPr="00183B5F">
              <w:rPr>
                <w:szCs w:val="22"/>
                <w:lang w:val="hu-HU"/>
              </w:rPr>
              <w:t>NB</w:t>
            </w:r>
            <w:r w:rsidRPr="00183B5F">
              <w:rPr>
                <w:szCs w:val="22"/>
                <w:vertAlign w:val="superscript"/>
                <w:lang w:val="hu-HU"/>
              </w:rPr>
              <w:t>c</w:t>
            </w:r>
          </w:p>
        </w:tc>
        <w:tc>
          <w:tcPr>
            <w:tcW w:w="720" w:type="dxa"/>
            <w:tcBorders>
              <w:top w:val="nil"/>
              <w:left w:val="nil"/>
              <w:bottom w:val="single" w:sz="4" w:space="0" w:color="auto"/>
              <w:right w:val="nil"/>
            </w:tcBorders>
          </w:tcPr>
          <w:p w14:paraId="3324F9AD" w14:textId="77777777" w:rsidR="00884361" w:rsidRPr="00183B5F" w:rsidRDefault="00943743">
            <w:pPr>
              <w:pStyle w:val="EMEANormal"/>
              <w:rPr>
                <w:szCs w:val="22"/>
                <w:lang w:val="hu-HU"/>
              </w:rPr>
            </w:pPr>
            <w:r w:rsidRPr="00183B5F">
              <w:rPr>
                <w:szCs w:val="22"/>
                <w:lang w:val="hu-HU"/>
              </w:rPr>
              <w:t>0,57</w:t>
            </w:r>
          </w:p>
        </w:tc>
        <w:tc>
          <w:tcPr>
            <w:tcW w:w="1170" w:type="dxa"/>
            <w:tcBorders>
              <w:top w:val="nil"/>
              <w:left w:val="nil"/>
              <w:bottom w:val="single" w:sz="4" w:space="0" w:color="auto"/>
              <w:right w:val="nil"/>
            </w:tcBorders>
          </w:tcPr>
          <w:p w14:paraId="2C8B2DD4" w14:textId="77777777" w:rsidR="00884361" w:rsidRPr="00183B5F" w:rsidRDefault="00943743">
            <w:pPr>
              <w:pStyle w:val="EMEANormal"/>
              <w:rPr>
                <w:szCs w:val="22"/>
                <w:lang w:val="hu-HU"/>
              </w:rPr>
            </w:pPr>
            <w:r w:rsidRPr="00183B5F">
              <w:rPr>
                <w:szCs w:val="22"/>
                <w:lang w:val="hu-HU"/>
              </w:rPr>
              <w:t>0,39; 0,84</w:t>
            </w:r>
          </w:p>
        </w:tc>
        <w:tc>
          <w:tcPr>
            <w:tcW w:w="1080" w:type="dxa"/>
            <w:tcBorders>
              <w:top w:val="nil"/>
              <w:left w:val="nil"/>
              <w:bottom w:val="single" w:sz="4" w:space="0" w:color="auto"/>
              <w:right w:val="nil"/>
            </w:tcBorders>
          </w:tcPr>
          <w:p w14:paraId="7269D888" w14:textId="77777777" w:rsidR="00884361" w:rsidRPr="00183B5F" w:rsidRDefault="00943743">
            <w:pPr>
              <w:pStyle w:val="EMEANormal"/>
              <w:rPr>
                <w:szCs w:val="22"/>
                <w:lang w:val="hu-HU"/>
              </w:rPr>
            </w:pPr>
            <w:r w:rsidRPr="00183B5F">
              <w:rPr>
                <w:szCs w:val="22"/>
                <w:lang w:val="hu-HU"/>
              </w:rPr>
              <w:t>0,004</w:t>
            </w:r>
          </w:p>
        </w:tc>
      </w:tr>
    </w:tbl>
    <w:p w14:paraId="0B70F088" w14:textId="77777777" w:rsidR="00884361" w:rsidRPr="00183B5F" w:rsidRDefault="00943743">
      <w:pPr>
        <w:pStyle w:val="EMEANormal"/>
        <w:rPr>
          <w:szCs w:val="22"/>
          <w:lang w:val="hu-HU"/>
        </w:rPr>
      </w:pPr>
      <w:r w:rsidRPr="00183B5F">
        <w:rPr>
          <w:szCs w:val="22"/>
          <w:lang w:val="hu-HU"/>
        </w:rPr>
        <w:t>Megjegyzés: Eseménynek értékelték a kezelés eredménytelenségét a 6. héten vagy azt követően (UV I vizsgálat) vagy a 2. héten vagy azt követően (UV II vizsgálat). Azoknak a betegeknek az adatait cenzorálták a vizsgálat abbahagyásakor, akik nem a kezelés eredménytelensége miatt hagyták abba a vizsgálatot.</w:t>
      </w:r>
    </w:p>
    <w:p w14:paraId="06C83620" w14:textId="77777777" w:rsidR="00884361" w:rsidRPr="00183B5F" w:rsidRDefault="00943743" w:rsidP="009F6211">
      <w:pPr>
        <w:pStyle w:val="EMEANormal"/>
        <w:tabs>
          <w:tab w:val="clear" w:pos="562"/>
          <w:tab w:val="left" w:pos="426"/>
        </w:tabs>
        <w:ind w:left="426" w:hanging="426"/>
        <w:rPr>
          <w:szCs w:val="22"/>
          <w:lang w:val="hu-HU"/>
        </w:rPr>
      </w:pPr>
      <w:r w:rsidRPr="00183B5F">
        <w:rPr>
          <w:szCs w:val="22"/>
          <w:vertAlign w:val="superscript"/>
          <w:lang w:val="hu-HU"/>
        </w:rPr>
        <w:t>a</w:t>
      </w:r>
      <w:r w:rsidRPr="00183B5F">
        <w:rPr>
          <w:szCs w:val="22"/>
          <w:lang w:val="hu-HU"/>
        </w:rPr>
        <w:tab/>
        <w:t>az adalimumab placeb</w:t>
      </w:r>
      <w:r w:rsidR="00532532" w:rsidRPr="00183B5F">
        <w:rPr>
          <w:szCs w:val="22"/>
          <w:lang w:val="hu-HU"/>
        </w:rPr>
        <w:t>ó</w:t>
      </w:r>
      <w:r w:rsidRPr="00183B5F">
        <w:rPr>
          <w:szCs w:val="22"/>
          <w:lang w:val="hu-HU"/>
        </w:rPr>
        <w:t xml:space="preserve">val szembeni relatív hazárd értéke </w:t>
      </w:r>
      <w:r w:rsidR="009F6211" w:rsidRPr="00183B5F">
        <w:rPr>
          <w:szCs w:val="22"/>
          <w:lang w:val="hu-HU"/>
        </w:rPr>
        <w:t>(</w:t>
      </w:r>
      <w:r w:rsidRPr="00183B5F">
        <w:rPr>
          <w:szCs w:val="22"/>
          <w:lang w:val="hu-HU"/>
        </w:rPr>
        <w:t>arányos hazárd regresszióból, a kezelést faktorként figyelembe véve</w:t>
      </w:r>
      <w:r w:rsidR="009F6211" w:rsidRPr="00183B5F">
        <w:rPr>
          <w:szCs w:val="22"/>
          <w:lang w:val="hu-HU"/>
        </w:rPr>
        <w:t>)</w:t>
      </w:r>
      <w:r w:rsidRPr="00183B5F">
        <w:rPr>
          <w:szCs w:val="22"/>
          <w:lang w:val="hu-HU"/>
        </w:rPr>
        <w:t>.</w:t>
      </w:r>
    </w:p>
    <w:p w14:paraId="49D11D40" w14:textId="77777777" w:rsidR="00884361" w:rsidRPr="00183B5F" w:rsidRDefault="00943743" w:rsidP="00832DC3">
      <w:pPr>
        <w:pStyle w:val="EMEANormal"/>
        <w:tabs>
          <w:tab w:val="clear" w:pos="562"/>
          <w:tab w:val="left" w:pos="426"/>
        </w:tabs>
        <w:rPr>
          <w:szCs w:val="22"/>
          <w:lang w:val="hu-HU"/>
        </w:rPr>
      </w:pPr>
      <w:r w:rsidRPr="00183B5F">
        <w:rPr>
          <w:szCs w:val="22"/>
          <w:vertAlign w:val="superscript"/>
          <w:lang w:val="hu-HU"/>
        </w:rPr>
        <w:t>b</w:t>
      </w:r>
      <w:r w:rsidRPr="00183B5F">
        <w:rPr>
          <w:szCs w:val="22"/>
          <w:lang w:val="hu-HU"/>
        </w:rPr>
        <w:tab/>
        <w:t>logran</w:t>
      </w:r>
      <w:r w:rsidR="00667947" w:rsidRPr="00183B5F">
        <w:rPr>
          <w:szCs w:val="22"/>
          <w:lang w:val="hu-HU"/>
        </w:rPr>
        <w:t>g</w:t>
      </w:r>
      <w:r w:rsidR="00667947" w:rsidRPr="00183B5F">
        <w:rPr>
          <w:szCs w:val="22"/>
          <w:lang w:val="hu-HU"/>
        </w:rPr>
        <w:noBreakHyphen/>
      </w:r>
      <w:r w:rsidRPr="00183B5F">
        <w:rPr>
          <w:szCs w:val="22"/>
          <w:lang w:val="hu-HU"/>
        </w:rPr>
        <w:t xml:space="preserve">próbából meghatározott 2-oldalas </w:t>
      </w:r>
      <w:r w:rsidRPr="00183B5F">
        <w:rPr>
          <w:i/>
          <w:szCs w:val="22"/>
          <w:lang w:val="hu-HU"/>
        </w:rPr>
        <w:t>P</w:t>
      </w:r>
      <w:r w:rsidRPr="00183B5F">
        <w:rPr>
          <w:szCs w:val="22"/>
          <w:lang w:val="hu-HU"/>
        </w:rPr>
        <w:t>-érték.</w:t>
      </w:r>
    </w:p>
    <w:p w14:paraId="765BFFDB" w14:textId="77777777" w:rsidR="00884361" w:rsidRPr="00183B5F" w:rsidRDefault="00943743" w:rsidP="00832DC3">
      <w:pPr>
        <w:pStyle w:val="EMEANormal"/>
        <w:tabs>
          <w:tab w:val="clear" w:pos="562"/>
          <w:tab w:val="left" w:pos="426"/>
        </w:tabs>
        <w:rPr>
          <w:szCs w:val="22"/>
          <w:lang w:val="hu-HU"/>
        </w:rPr>
      </w:pPr>
      <w:r w:rsidRPr="00183B5F">
        <w:rPr>
          <w:szCs w:val="22"/>
          <w:vertAlign w:val="superscript"/>
          <w:lang w:val="hu-HU"/>
        </w:rPr>
        <w:t>c</w:t>
      </w:r>
      <w:r w:rsidRPr="00183B5F">
        <w:rPr>
          <w:szCs w:val="22"/>
          <w:lang w:val="hu-HU"/>
        </w:rPr>
        <w:tab/>
        <w:t>NB</w:t>
      </w:r>
      <w:r w:rsidR="00334A27" w:rsidRPr="00183B5F">
        <w:rPr>
          <w:szCs w:val="22"/>
          <w:lang w:val="hu-HU"/>
        </w:rPr>
        <w:t> </w:t>
      </w:r>
      <w:r w:rsidRPr="00183B5F">
        <w:rPr>
          <w:szCs w:val="22"/>
          <w:lang w:val="hu-HU"/>
        </w:rPr>
        <w:t>=</w:t>
      </w:r>
      <w:r w:rsidR="00334A27" w:rsidRPr="00183B5F">
        <w:rPr>
          <w:szCs w:val="22"/>
          <w:lang w:val="hu-HU"/>
        </w:rPr>
        <w:t> </w:t>
      </w:r>
      <w:r w:rsidRPr="00183B5F">
        <w:rPr>
          <w:szCs w:val="22"/>
          <w:lang w:val="hu-HU"/>
        </w:rPr>
        <w:t xml:space="preserve">nem becsülhető. A </w:t>
      </w:r>
      <w:r w:rsidR="00B12660" w:rsidRPr="00183B5F">
        <w:rPr>
          <w:szCs w:val="22"/>
          <w:lang w:val="hu-HU"/>
        </w:rPr>
        <w:t>veszélyeztetett betegek</w:t>
      </w:r>
      <w:r w:rsidRPr="00183B5F">
        <w:rPr>
          <w:szCs w:val="22"/>
          <w:lang w:val="hu-HU"/>
        </w:rPr>
        <w:t xml:space="preserve"> kevesebb mint felénél történt esemény. </w:t>
      </w:r>
    </w:p>
    <w:p w14:paraId="42736C12" w14:textId="77777777" w:rsidR="00884361" w:rsidRPr="00183B5F" w:rsidRDefault="00884361">
      <w:pPr>
        <w:pStyle w:val="EMEANormal"/>
        <w:rPr>
          <w:szCs w:val="22"/>
          <w:lang w:val="hu-HU"/>
        </w:rPr>
      </w:pPr>
    </w:p>
    <w:p w14:paraId="6105BD96" w14:textId="77777777" w:rsidR="00884361" w:rsidRPr="00183B5F" w:rsidRDefault="00943743">
      <w:pPr>
        <w:pStyle w:val="EMEANormal"/>
        <w:keepNext/>
        <w:jc w:val="center"/>
        <w:rPr>
          <w:b/>
          <w:szCs w:val="22"/>
          <w:lang w:val="hu-HU"/>
        </w:rPr>
      </w:pPr>
      <w:r w:rsidRPr="00183B5F">
        <w:rPr>
          <w:b/>
          <w:szCs w:val="22"/>
          <w:lang w:val="hu-HU"/>
        </w:rPr>
        <w:t>2. ábra: A kezelés eredménytelenségéig eltelt időt a 6.</w:t>
      </w:r>
      <w:r w:rsidR="00334A27" w:rsidRPr="00183B5F">
        <w:rPr>
          <w:b/>
          <w:szCs w:val="22"/>
          <w:lang w:val="hu-HU"/>
        </w:rPr>
        <w:t> </w:t>
      </w:r>
      <w:r w:rsidRPr="00183B5F">
        <w:rPr>
          <w:b/>
          <w:szCs w:val="22"/>
          <w:lang w:val="hu-HU"/>
        </w:rPr>
        <w:t>héten vagy azt követően (UV I vizsgálat) illetve a 2.</w:t>
      </w:r>
      <w:r w:rsidR="00334A27" w:rsidRPr="00183B5F">
        <w:rPr>
          <w:b/>
          <w:szCs w:val="22"/>
          <w:lang w:val="hu-HU"/>
        </w:rPr>
        <w:t> </w:t>
      </w:r>
      <w:r w:rsidRPr="00183B5F">
        <w:rPr>
          <w:b/>
          <w:szCs w:val="22"/>
          <w:lang w:val="hu-HU"/>
        </w:rPr>
        <w:t>héten vagy azt követően (UV II vizsgálat) bemutató Kaplan-Meier görbék</w:t>
      </w:r>
    </w:p>
    <w:p w14:paraId="34471589" w14:textId="77777777" w:rsidR="00884361" w:rsidRPr="00183B5F" w:rsidRDefault="00884361">
      <w:pPr>
        <w:pStyle w:val="EMEANormal"/>
        <w:keepNext/>
        <w:jc w:val="center"/>
        <w:rPr>
          <w:b/>
          <w:szCs w:val="22"/>
          <w:lang w:val="hu-HU"/>
        </w:rPr>
      </w:pPr>
    </w:p>
    <w:tbl>
      <w:tblPr>
        <w:tblW w:w="9481" w:type="dxa"/>
        <w:tblLayout w:type="fixed"/>
        <w:tblLook w:val="04A0" w:firstRow="1" w:lastRow="0" w:firstColumn="1" w:lastColumn="0" w:noHBand="0" w:noVBand="1"/>
      </w:tblPr>
      <w:tblGrid>
        <w:gridCol w:w="675"/>
        <w:gridCol w:w="3496"/>
        <w:gridCol w:w="1170"/>
        <w:gridCol w:w="1350"/>
        <w:gridCol w:w="900"/>
        <w:gridCol w:w="1890"/>
      </w:tblGrid>
      <w:tr w:rsidR="00011D2F" w14:paraId="43D2C7C1" w14:textId="77777777" w:rsidTr="00B0780E">
        <w:trPr>
          <w:cantSplit/>
          <w:trHeight w:val="3806"/>
        </w:trPr>
        <w:tc>
          <w:tcPr>
            <w:tcW w:w="675" w:type="dxa"/>
            <w:textDirection w:val="btLr"/>
            <w:vAlign w:val="bottom"/>
          </w:tcPr>
          <w:p w14:paraId="2611EDC8" w14:textId="77777777" w:rsidR="00884361" w:rsidRPr="00183B5F" w:rsidRDefault="00943743">
            <w:pPr>
              <w:pStyle w:val="EMEANormal"/>
              <w:keepNext/>
              <w:ind w:left="113" w:right="113"/>
              <w:jc w:val="center"/>
              <w:rPr>
                <w:b/>
                <w:szCs w:val="22"/>
                <w:lang w:val="hu-HU"/>
              </w:rPr>
            </w:pPr>
            <w:r w:rsidRPr="00183B5F">
              <w:rPr>
                <w:b/>
                <w:szCs w:val="22"/>
                <w:lang w:val="hu-HU"/>
              </w:rPr>
              <w:t>Kezelés eredménytelenségémek aránya (%)</w:t>
            </w:r>
          </w:p>
        </w:tc>
        <w:tc>
          <w:tcPr>
            <w:tcW w:w="8806" w:type="dxa"/>
            <w:gridSpan w:val="5"/>
            <w:vAlign w:val="bottom"/>
          </w:tcPr>
          <w:p w14:paraId="18DBD04D" w14:textId="77777777" w:rsidR="00884361" w:rsidRPr="00183B5F" w:rsidRDefault="00943743">
            <w:pPr>
              <w:pStyle w:val="EMEANormal"/>
              <w:keepNext/>
              <w:rPr>
                <w:szCs w:val="22"/>
                <w:lang w:val="hu-HU"/>
              </w:rPr>
            </w:pPr>
            <w:r w:rsidRPr="00202B95">
              <w:rPr>
                <w:noProof/>
                <w:lang w:val="en-GB"/>
              </w:rPr>
              <w:drawing>
                <wp:inline distT="0" distB="0" distL="0" distR="0" wp14:anchorId="1E5AB98E" wp14:editId="198D3336">
                  <wp:extent cx="5486400" cy="2209800"/>
                  <wp:effectExtent l="0" t="0" r="0" b="0"/>
                  <wp:docPr id="90" name="Picture 90"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1" descr="Humira Uveitis Figure 5_6"/>
                          <pic:cNvPicPr>
                            <a:picLocks noChangeAspect="1" noChangeArrowheads="1"/>
                          </pic:cNvPicPr>
                        </pic:nvPicPr>
                        <pic:blipFill>
                          <a:blip r:embed="rId11" r:link="rId12">
                            <a:extLst>
                              <a:ext uri="{28A0092B-C50C-407E-A947-70E740481C1C}">
                                <a14:useLocalDpi xmlns:a14="http://schemas.microsoft.com/office/drawing/2010/main" val="0"/>
                              </a:ext>
                            </a:extLst>
                          </a:blip>
                          <a:stretch>
                            <a:fillRect/>
                          </a:stretch>
                        </pic:blipFill>
                        <pic:spPr bwMode="auto">
                          <a:xfrm>
                            <a:off x="0" y="0"/>
                            <a:ext cx="5486400" cy="2209800"/>
                          </a:xfrm>
                          <a:prstGeom prst="rect">
                            <a:avLst/>
                          </a:prstGeom>
                          <a:noFill/>
                          <a:ln>
                            <a:noFill/>
                          </a:ln>
                        </pic:spPr>
                      </pic:pic>
                    </a:graphicData>
                  </a:graphic>
                </wp:inline>
              </w:drawing>
            </w:r>
          </w:p>
        </w:tc>
      </w:tr>
      <w:tr w:rsidR="00011D2F" w14:paraId="18EE4770" w14:textId="77777777" w:rsidTr="00B0780E">
        <w:tc>
          <w:tcPr>
            <w:tcW w:w="675" w:type="dxa"/>
          </w:tcPr>
          <w:p w14:paraId="08461048" w14:textId="77777777" w:rsidR="00884361" w:rsidRPr="00183B5F" w:rsidRDefault="00884361">
            <w:pPr>
              <w:pStyle w:val="EMEANormal"/>
              <w:rPr>
                <w:szCs w:val="22"/>
                <w:lang w:val="hu-HU"/>
              </w:rPr>
            </w:pPr>
          </w:p>
        </w:tc>
        <w:tc>
          <w:tcPr>
            <w:tcW w:w="8806" w:type="dxa"/>
            <w:gridSpan w:val="5"/>
          </w:tcPr>
          <w:p w14:paraId="02EB537B" w14:textId="77777777" w:rsidR="00884361" w:rsidRPr="00183B5F" w:rsidRDefault="00943743">
            <w:pPr>
              <w:pStyle w:val="EMEANormal"/>
              <w:jc w:val="center"/>
              <w:rPr>
                <w:b/>
                <w:szCs w:val="22"/>
                <w:lang w:val="hu-HU"/>
              </w:rPr>
            </w:pPr>
            <w:r w:rsidRPr="00183B5F">
              <w:rPr>
                <w:b/>
                <w:szCs w:val="22"/>
                <w:lang w:val="hu-HU"/>
              </w:rPr>
              <w:t>Idő (hónap)</w:t>
            </w:r>
          </w:p>
        </w:tc>
      </w:tr>
      <w:tr w:rsidR="00011D2F" w14:paraId="160FF1B5" w14:textId="77777777" w:rsidTr="00B0780E">
        <w:tc>
          <w:tcPr>
            <w:tcW w:w="675" w:type="dxa"/>
          </w:tcPr>
          <w:p w14:paraId="08375E8C" w14:textId="77777777" w:rsidR="00884361" w:rsidRPr="00183B5F" w:rsidRDefault="00884361">
            <w:pPr>
              <w:pStyle w:val="EMEANormal"/>
              <w:rPr>
                <w:szCs w:val="22"/>
                <w:lang w:val="hu-HU"/>
              </w:rPr>
            </w:pPr>
          </w:p>
        </w:tc>
        <w:tc>
          <w:tcPr>
            <w:tcW w:w="3496" w:type="dxa"/>
          </w:tcPr>
          <w:p w14:paraId="4F32D695" w14:textId="77777777" w:rsidR="00884361" w:rsidRPr="00183B5F" w:rsidRDefault="00943743">
            <w:pPr>
              <w:pStyle w:val="EMEANormal"/>
              <w:rPr>
                <w:szCs w:val="22"/>
                <w:lang w:val="hu-HU"/>
              </w:rPr>
            </w:pPr>
            <w:r w:rsidRPr="00183B5F">
              <w:rPr>
                <w:szCs w:val="22"/>
                <w:lang w:val="hu-HU"/>
              </w:rPr>
              <w:t>UV I vizsgálat                  Kezelés</w:t>
            </w:r>
          </w:p>
        </w:tc>
        <w:tc>
          <w:tcPr>
            <w:tcW w:w="1170" w:type="dxa"/>
          </w:tcPr>
          <w:p w14:paraId="6C5EF508" w14:textId="77777777" w:rsidR="00884361" w:rsidRPr="00183B5F" w:rsidRDefault="00943743">
            <w:pPr>
              <w:pStyle w:val="EMEANormal"/>
              <w:jc w:val="right"/>
              <w:rPr>
                <w:szCs w:val="22"/>
                <w:lang w:val="hu-HU"/>
              </w:rPr>
            </w:pPr>
            <w:r w:rsidRPr="00202B95">
              <w:rPr>
                <w:noProof/>
                <w:lang w:val="en-GB"/>
              </w:rPr>
              <w:drawing>
                <wp:inline distT="0" distB="0" distL="0" distR="0" wp14:anchorId="58F2620D" wp14:editId="65A878D8">
                  <wp:extent cx="396875" cy="180975"/>
                  <wp:effectExtent l="0" t="0" r="3175" b="9525"/>
                  <wp:docPr id="20" name="Picture 26"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6"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96875" cy="180975"/>
                          </a:xfrm>
                          <a:prstGeom prst="rect">
                            <a:avLst/>
                          </a:prstGeom>
                          <a:noFill/>
                          <a:ln>
                            <a:noFill/>
                          </a:ln>
                        </pic:spPr>
                      </pic:pic>
                    </a:graphicData>
                  </a:graphic>
                </wp:inline>
              </w:drawing>
            </w:r>
          </w:p>
        </w:tc>
        <w:tc>
          <w:tcPr>
            <w:tcW w:w="1350" w:type="dxa"/>
          </w:tcPr>
          <w:p w14:paraId="11EB2B1F" w14:textId="77777777" w:rsidR="00884361" w:rsidRPr="00183B5F" w:rsidRDefault="00943743">
            <w:pPr>
              <w:pStyle w:val="EMEANormal"/>
              <w:rPr>
                <w:szCs w:val="22"/>
                <w:lang w:val="hu-HU"/>
              </w:rPr>
            </w:pPr>
            <w:r w:rsidRPr="00183B5F">
              <w:rPr>
                <w:szCs w:val="22"/>
                <w:lang w:val="hu-HU"/>
              </w:rPr>
              <w:t>Placebo</w:t>
            </w:r>
          </w:p>
        </w:tc>
        <w:tc>
          <w:tcPr>
            <w:tcW w:w="900" w:type="dxa"/>
          </w:tcPr>
          <w:p w14:paraId="05E1F771" w14:textId="77777777" w:rsidR="00884361" w:rsidRPr="00183B5F" w:rsidRDefault="00943743">
            <w:pPr>
              <w:pStyle w:val="EMEANormal"/>
              <w:jc w:val="right"/>
              <w:rPr>
                <w:szCs w:val="22"/>
                <w:lang w:val="hu-HU"/>
              </w:rPr>
            </w:pPr>
            <w:r w:rsidRPr="00202B95">
              <w:rPr>
                <w:noProof/>
                <w:lang w:val="en-GB"/>
              </w:rPr>
              <w:drawing>
                <wp:inline distT="0" distB="0" distL="0" distR="0" wp14:anchorId="0B30D46F" wp14:editId="6B525141">
                  <wp:extent cx="560705" cy="180975"/>
                  <wp:effectExtent l="0" t="0" r="0" b="9525"/>
                  <wp:docPr id="21" name="Picture 27"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7" descr="Humira Uveitis Figure 5_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60705" cy="180975"/>
                          </a:xfrm>
                          <a:prstGeom prst="rect">
                            <a:avLst/>
                          </a:prstGeom>
                          <a:noFill/>
                          <a:ln>
                            <a:noFill/>
                          </a:ln>
                        </pic:spPr>
                      </pic:pic>
                    </a:graphicData>
                  </a:graphic>
                </wp:inline>
              </w:drawing>
            </w:r>
          </w:p>
        </w:tc>
        <w:tc>
          <w:tcPr>
            <w:tcW w:w="1890" w:type="dxa"/>
          </w:tcPr>
          <w:p w14:paraId="48DE5FD9" w14:textId="77777777" w:rsidR="00884361" w:rsidRPr="00183B5F" w:rsidRDefault="00943743">
            <w:pPr>
              <w:pStyle w:val="EMEANormal"/>
              <w:rPr>
                <w:szCs w:val="22"/>
                <w:lang w:val="hu-HU"/>
              </w:rPr>
            </w:pPr>
            <w:r w:rsidRPr="00183B5F">
              <w:rPr>
                <w:szCs w:val="22"/>
                <w:lang w:val="hu-HU"/>
              </w:rPr>
              <w:t>Adalimumab</w:t>
            </w:r>
          </w:p>
        </w:tc>
      </w:tr>
      <w:tr w:rsidR="00011D2F" w14:paraId="7F5A0F6C" w14:textId="77777777" w:rsidTr="00B0780E">
        <w:trPr>
          <w:trHeight w:val="3869"/>
        </w:trPr>
        <w:tc>
          <w:tcPr>
            <w:tcW w:w="675" w:type="dxa"/>
            <w:textDirection w:val="btLr"/>
            <w:vAlign w:val="bottom"/>
          </w:tcPr>
          <w:p w14:paraId="7CB8797A" w14:textId="77777777" w:rsidR="00884361" w:rsidRPr="00183B5F" w:rsidRDefault="00943743">
            <w:pPr>
              <w:pStyle w:val="EMEANormal"/>
              <w:jc w:val="center"/>
              <w:rPr>
                <w:szCs w:val="22"/>
                <w:lang w:val="hu-HU"/>
              </w:rPr>
            </w:pPr>
            <w:r w:rsidRPr="00183B5F">
              <w:rPr>
                <w:b/>
                <w:szCs w:val="22"/>
                <w:lang w:val="hu-HU"/>
              </w:rPr>
              <w:t>Kezelés eredménytelenségének aránya (%)</w:t>
            </w:r>
          </w:p>
        </w:tc>
        <w:tc>
          <w:tcPr>
            <w:tcW w:w="8806" w:type="dxa"/>
            <w:gridSpan w:val="5"/>
            <w:vAlign w:val="bottom"/>
          </w:tcPr>
          <w:p w14:paraId="4C193D86" w14:textId="77777777" w:rsidR="00884361" w:rsidRPr="00183B5F" w:rsidRDefault="00943743">
            <w:pPr>
              <w:pStyle w:val="EMEANormal"/>
              <w:rPr>
                <w:szCs w:val="22"/>
                <w:lang w:val="hu-HU"/>
              </w:rPr>
            </w:pPr>
            <w:r w:rsidRPr="00202B95">
              <w:rPr>
                <w:noProof/>
                <w:lang w:val="en-GB"/>
              </w:rPr>
              <w:drawing>
                <wp:inline distT="0" distB="0" distL="0" distR="0" wp14:anchorId="50042DE3" wp14:editId="4B61404B">
                  <wp:extent cx="5495290" cy="219075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495290" cy="2190750"/>
                          </a:xfrm>
                          <a:prstGeom prst="rect">
                            <a:avLst/>
                          </a:prstGeom>
                          <a:noFill/>
                        </pic:spPr>
                      </pic:pic>
                    </a:graphicData>
                  </a:graphic>
                </wp:inline>
              </w:drawing>
            </w:r>
          </w:p>
        </w:tc>
      </w:tr>
      <w:tr w:rsidR="00011D2F" w14:paraId="6FC2830A" w14:textId="77777777" w:rsidTr="00B0780E">
        <w:tc>
          <w:tcPr>
            <w:tcW w:w="675" w:type="dxa"/>
          </w:tcPr>
          <w:p w14:paraId="3D0EA8F5" w14:textId="77777777" w:rsidR="00884361" w:rsidRPr="00183B5F" w:rsidRDefault="00884361">
            <w:pPr>
              <w:pStyle w:val="EMEANormal"/>
              <w:rPr>
                <w:szCs w:val="22"/>
                <w:lang w:val="hu-HU"/>
              </w:rPr>
            </w:pPr>
          </w:p>
        </w:tc>
        <w:tc>
          <w:tcPr>
            <w:tcW w:w="8806" w:type="dxa"/>
            <w:gridSpan w:val="5"/>
          </w:tcPr>
          <w:p w14:paraId="76748941" w14:textId="77777777" w:rsidR="00884361" w:rsidRPr="00183B5F" w:rsidRDefault="00943743">
            <w:pPr>
              <w:pStyle w:val="EMEANormal"/>
              <w:jc w:val="center"/>
              <w:rPr>
                <w:b/>
                <w:szCs w:val="22"/>
                <w:lang w:val="hu-HU"/>
              </w:rPr>
            </w:pPr>
            <w:r w:rsidRPr="00183B5F">
              <w:rPr>
                <w:b/>
                <w:szCs w:val="22"/>
                <w:lang w:val="hu-HU"/>
              </w:rPr>
              <w:t>Idő (hónap)</w:t>
            </w:r>
          </w:p>
        </w:tc>
      </w:tr>
      <w:tr w:rsidR="00011D2F" w14:paraId="7AC89B6C" w14:textId="77777777" w:rsidTr="00B0780E">
        <w:trPr>
          <w:trHeight w:val="369"/>
        </w:trPr>
        <w:tc>
          <w:tcPr>
            <w:tcW w:w="675" w:type="dxa"/>
          </w:tcPr>
          <w:p w14:paraId="1429FD5D" w14:textId="77777777" w:rsidR="00884361" w:rsidRPr="00183B5F" w:rsidRDefault="00884361">
            <w:pPr>
              <w:pStyle w:val="EMEANormal"/>
              <w:rPr>
                <w:szCs w:val="22"/>
                <w:lang w:val="hu-HU"/>
              </w:rPr>
            </w:pPr>
          </w:p>
        </w:tc>
        <w:tc>
          <w:tcPr>
            <w:tcW w:w="3496" w:type="dxa"/>
          </w:tcPr>
          <w:p w14:paraId="29E98D76" w14:textId="77777777" w:rsidR="00884361" w:rsidRPr="00183B5F" w:rsidRDefault="00943743">
            <w:pPr>
              <w:pStyle w:val="EMEANormal"/>
              <w:rPr>
                <w:szCs w:val="22"/>
                <w:lang w:val="hu-HU"/>
              </w:rPr>
            </w:pPr>
            <w:r w:rsidRPr="00183B5F">
              <w:rPr>
                <w:szCs w:val="22"/>
                <w:lang w:val="hu-HU"/>
              </w:rPr>
              <w:t>UV II vizsgálat                  Kezelés</w:t>
            </w:r>
          </w:p>
        </w:tc>
        <w:tc>
          <w:tcPr>
            <w:tcW w:w="1170" w:type="dxa"/>
          </w:tcPr>
          <w:p w14:paraId="7FE4B5F0" w14:textId="77777777" w:rsidR="00884361" w:rsidRPr="00183B5F" w:rsidRDefault="00943743">
            <w:pPr>
              <w:pStyle w:val="EMEANormal"/>
              <w:jc w:val="right"/>
              <w:rPr>
                <w:szCs w:val="22"/>
                <w:lang w:val="hu-HU"/>
              </w:rPr>
            </w:pPr>
            <w:r w:rsidRPr="00202B95">
              <w:rPr>
                <w:noProof/>
                <w:lang w:val="en-GB"/>
              </w:rPr>
              <w:drawing>
                <wp:inline distT="0" distB="0" distL="0" distR="0" wp14:anchorId="6CEC6D7C" wp14:editId="453131FF">
                  <wp:extent cx="396875" cy="180975"/>
                  <wp:effectExtent l="0" t="0" r="3175" b="9525"/>
                  <wp:docPr id="23" name="Picture 29"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9"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96875" cy="180975"/>
                          </a:xfrm>
                          <a:prstGeom prst="rect">
                            <a:avLst/>
                          </a:prstGeom>
                          <a:noFill/>
                          <a:ln>
                            <a:noFill/>
                          </a:ln>
                        </pic:spPr>
                      </pic:pic>
                    </a:graphicData>
                  </a:graphic>
                </wp:inline>
              </w:drawing>
            </w:r>
          </w:p>
        </w:tc>
        <w:tc>
          <w:tcPr>
            <w:tcW w:w="1350" w:type="dxa"/>
          </w:tcPr>
          <w:p w14:paraId="0424C2BC" w14:textId="77777777" w:rsidR="00884361" w:rsidRPr="00183B5F" w:rsidRDefault="00943743">
            <w:pPr>
              <w:pStyle w:val="EMEANormal"/>
              <w:rPr>
                <w:szCs w:val="22"/>
                <w:lang w:val="hu-HU"/>
              </w:rPr>
            </w:pPr>
            <w:r w:rsidRPr="00183B5F">
              <w:rPr>
                <w:szCs w:val="22"/>
                <w:lang w:val="hu-HU"/>
              </w:rPr>
              <w:t>Placebo</w:t>
            </w:r>
          </w:p>
        </w:tc>
        <w:tc>
          <w:tcPr>
            <w:tcW w:w="900" w:type="dxa"/>
          </w:tcPr>
          <w:p w14:paraId="114F543B" w14:textId="77777777" w:rsidR="00884361" w:rsidRPr="00183B5F" w:rsidRDefault="00943743">
            <w:pPr>
              <w:pStyle w:val="EMEANormal"/>
              <w:jc w:val="right"/>
              <w:rPr>
                <w:szCs w:val="22"/>
                <w:lang w:val="hu-HU"/>
              </w:rPr>
            </w:pPr>
            <w:r w:rsidRPr="00202B95">
              <w:rPr>
                <w:noProof/>
                <w:lang w:val="en-GB"/>
              </w:rPr>
              <w:drawing>
                <wp:inline distT="0" distB="0" distL="0" distR="0" wp14:anchorId="0B57D889" wp14:editId="441AAB87">
                  <wp:extent cx="560705" cy="180975"/>
                  <wp:effectExtent l="0" t="0" r="0" b="9525"/>
                  <wp:docPr id="24" name="Picture 30"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0" descr="Humira Uveitis Figure 5_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60705" cy="180975"/>
                          </a:xfrm>
                          <a:prstGeom prst="rect">
                            <a:avLst/>
                          </a:prstGeom>
                          <a:noFill/>
                          <a:ln>
                            <a:noFill/>
                          </a:ln>
                        </pic:spPr>
                      </pic:pic>
                    </a:graphicData>
                  </a:graphic>
                </wp:inline>
              </w:drawing>
            </w:r>
          </w:p>
        </w:tc>
        <w:tc>
          <w:tcPr>
            <w:tcW w:w="1890" w:type="dxa"/>
          </w:tcPr>
          <w:p w14:paraId="2B5F1C2C" w14:textId="77777777" w:rsidR="00884361" w:rsidRPr="00183B5F" w:rsidRDefault="00943743">
            <w:pPr>
              <w:pStyle w:val="EMEANormal"/>
              <w:rPr>
                <w:szCs w:val="22"/>
                <w:lang w:val="hu-HU"/>
              </w:rPr>
            </w:pPr>
            <w:r w:rsidRPr="00183B5F">
              <w:rPr>
                <w:szCs w:val="22"/>
                <w:lang w:val="hu-HU"/>
              </w:rPr>
              <w:t>Adalimumab</w:t>
            </w:r>
          </w:p>
        </w:tc>
      </w:tr>
      <w:tr w:rsidR="00011D2F" w14:paraId="06C9E20E" w14:textId="77777777" w:rsidTr="00B0780E">
        <w:trPr>
          <w:trHeight w:val="629"/>
        </w:trPr>
        <w:tc>
          <w:tcPr>
            <w:tcW w:w="9481" w:type="dxa"/>
            <w:gridSpan w:val="6"/>
            <w:vAlign w:val="center"/>
          </w:tcPr>
          <w:p w14:paraId="7CFF7D76" w14:textId="77777777" w:rsidR="00884361" w:rsidRPr="00183B5F" w:rsidRDefault="00943743">
            <w:pPr>
              <w:pStyle w:val="EMEANormal"/>
              <w:rPr>
                <w:szCs w:val="22"/>
                <w:lang w:val="hu-HU"/>
              </w:rPr>
            </w:pPr>
            <w:r w:rsidRPr="00183B5F">
              <w:rPr>
                <w:szCs w:val="22"/>
                <w:lang w:val="hu-HU"/>
              </w:rPr>
              <w:t>Megjegyzés: P# = Placebo (Esemény száma/</w:t>
            </w:r>
            <w:r w:rsidR="00DC5DD7" w:rsidRPr="00183B5F">
              <w:rPr>
                <w:szCs w:val="22"/>
                <w:lang w:val="hu-HU"/>
              </w:rPr>
              <w:t>Veszélyeztetett betegek</w:t>
            </w:r>
            <w:r w:rsidRPr="00183B5F">
              <w:rPr>
                <w:szCs w:val="22"/>
                <w:lang w:val="hu-HU"/>
              </w:rPr>
              <w:t xml:space="preserve"> száma); A# = HUMIRA (Esemény </w:t>
            </w:r>
          </w:p>
          <w:p w14:paraId="707D0230" w14:textId="77777777" w:rsidR="00884361" w:rsidRPr="00183B5F" w:rsidRDefault="00943743">
            <w:pPr>
              <w:pStyle w:val="EMEANormal"/>
              <w:rPr>
                <w:szCs w:val="22"/>
                <w:lang w:val="hu-HU"/>
              </w:rPr>
            </w:pPr>
            <w:r w:rsidRPr="00183B5F">
              <w:rPr>
                <w:szCs w:val="22"/>
                <w:lang w:val="hu-HU"/>
              </w:rPr>
              <w:t>száma/</w:t>
            </w:r>
            <w:r w:rsidR="00DC5DD7" w:rsidRPr="00183B5F">
              <w:rPr>
                <w:szCs w:val="22"/>
                <w:lang w:val="hu-HU"/>
              </w:rPr>
              <w:t xml:space="preserve">Veszélyeztetett betegek </w:t>
            </w:r>
            <w:r w:rsidRPr="00183B5F">
              <w:rPr>
                <w:szCs w:val="22"/>
                <w:lang w:val="hu-HU"/>
              </w:rPr>
              <w:t>száma).</w:t>
            </w:r>
          </w:p>
        </w:tc>
      </w:tr>
    </w:tbl>
    <w:p w14:paraId="09F1D4E2" w14:textId="77777777" w:rsidR="00884361" w:rsidRPr="00183B5F" w:rsidRDefault="00884361">
      <w:pPr>
        <w:pStyle w:val="EMEANormal"/>
        <w:rPr>
          <w:lang w:val="hu-HU"/>
        </w:rPr>
      </w:pPr>
    </w:p>
    <w:p w14:paraId="1D809282" w14:textId="77777777" w:rsidR="00884361" w:rsidRPr="00183B5F" w:rsidRDefault="00943743">
      <w:pPr>
        <w:pStyle w:val="EMEANormal"/>
        <w:rPr>
          <w:lang w:val="hu-HU"/>
        </w:rPr>
      </w:pPr>
      <w:r w:rsidRPr="00183B5F">
        <w:rPr>
          <w:lang w:val="hu-HU"/>
        </w:rPr>
        <w:t>Az UV I vizsgálatban statisztikailag szignifikáns különbségeket figyeltek meg az adalimumab javára a placeb</w:t>
      </w:r>
      <w:r w:rsidR="00532532" w:rsidRPr="00183B5F">
        <w:rPr>
          <w:lang w:val="hu-HU"/>
        </w:rPr>
        <w:t>ó</w:t>
      </w:r>
      <w:r w:rsidRPr="00183B5F">
        <w:rPr>
          <w:lang w:val="hu-HU"/>
        </w:rPr>
        <w:t>hoz képest a kezelés eredménytelenségének valamennyi komponensét tekintve. Az UV II vizsgálatban csak a látásélesség esetén figyeltek meg statisztikailag szignifikáns különbséget, de a többi komponens esetében is az adalimumab</w:t>
      </w:r>
      <w:r w:rsidRPr="00183B5F">
        <w:rPr>
          <w:lang w:val="hu-HU"/>
        </w:rPr>
        <w:noBreakHyphen/>
        <w:t>kezelés számszerű előnye igazolódott.</w:t>
      </w:r>
    </w:p>
    <w:p w14:paraId="688145BD" w14:textId="77777777" w:rsidR="00D56D41" w:rsidRPr="00183B5F" w:rsidRDefault="00D56D41">
      <w:pPr>
        <w:pStyle w:val="EMEANormal"/>
        <w:rPr>
          <w:lang w:val="hu-HU"/>
        </w:rPr>
      </w:pPr>
    </w:p>
    <w:p w14:paraId="425D4C8F" w14:textId="77777777" w:rsidR="00297FBD" w:rsidRPr="00183B5F" w:rsidRDefault="00943743" w:rsidP="00297FBD">
      <w:pPr>
        <w:pStyle w:val="EMEANormal"/>
        <w:rPr>
          <w:lang w:val="hu-HU"/>
        </w:rPr>
      </w:pPr>
      <w:r w:rsidRPr="00183B5F">
        <w:rPr>
          <w:lang w:val="hu-HU"/>
        </w:rPr>
        <w:t>Az UV I és UV II vizsgálat nem kontrollos, hosszú távú kiterjesztésében résztvevő 424 beteg közül 60 bizonyult vizsgálatra alkalmatlannak (például adminisztratív eltérések miatt, vagy mert a diabéteszes retinopathia másodlagos komplikációi alakultak ki náluk, szürkehályog</w:t>
      </w:r>
      <w:r w:rsidRPr="00183B5F">
        <w:rPr>
          <w:lang w:val="hu-HU"/>
        </w:rPr>
        <w:noBreakHyphen/>
        <w:t>műtét vagy vitrektómia következtében), és került kizárásra a hatásosság elsődleges elemzéséből. A 364 vizsgálatban maradó beteg közül 269 értékelésre alkalmas beteg (74%) érte el a 78 hetet a nyílt elrendezésű adalimumab</w:t>
      </w:r>
      <w:r w:rsidR="006B34D6" w:rsidRPr="00183B5F">
        <w:rPr>
          <w:lang w:val="hu-HU"/>
        </w:rPr>
        <w:t>-</w:t>
      </w:r>
      <w:r w:rsidRPr="00183B5F">
        <w:rPr>
          <w:lang w:val="hu-HU"/>
        </w:rPr>
        <w:t>kezelés során. A</w:t>
      </w:r>
      <w:r w:rsidRPr="00183B5F">
        <w:rPr>
          <w:szCs w:val="22"/>
          <w:lang w:val="hu-HU"/>
        </w:rPr>
        <w:t xml:space="preserve"> megfigyelt adatok elemzése alapján</w:t>
      </w:r>
      <w:r w:rsidRPr="00183B5F">
        <w:rPr>
          <w:lang w:val="hu-HU"/>
        </w:rPr>
        <w:t xml:space="preserve"> 216 beteg (80,3%) volt nyugalmi állapotban (aktív gyulladásos elváltozás nélkül, </w:t>
      </w:r>
      <w:r w:rsidRPr="00183B5F">
        <w:rPr>
          <w:szCs w:val="22"/>
          <w:lang w:val="hu-HU"/>
        </w:rPr>
        <w:t xml:space="preserve">elülső csarnoki sejtszint </w:t>
      </w:r>
      <w:r w:rsidRPr="00183B5F">
        <w:rPr>
          <w:lang w:val="hu-HU"/>
        </w:rPr>
        <w:t>≤ 0,5+</w:t>
      </w:r>
      <w:r w:rsidRPr="00183B5F">
        <w:rPr>
          <w:szCs w:val="22"/>
          <w:lang w:val="hu-HU"/>
        </w:rPr>
        <w:t xml:space="preserve">, üvegtesti homály mértéke </w:t>
      </w:r>
      <w:r w:rsidRPr="00183B5F">
        <w:rPr>
          <w:lang w:val="hu-HU"/>
        </w:rPr>
        <w:t>≤ 0,5+), napi folyamatos ≤ 7,5 mg szteroid dózis mellett, és 178 beteg (66,2%) szteroidkezelés nél</w:t>
      </w:r>
      <w:r w:rsidRPr="00183B5F">
        <w:rPr>
          <w:lang w:val="hu-HU"/>
        </w:rPr>
        <w:t xml:space="preserve">küli nyugalmi állapotban volt. </w:t>
      </w:r>
      <w:r w:rsidRPr="00183B5F">
        <w:rPr>
          <w:szCs w:val="22"/>
          <w:lang w:val="hu-HU"/>
        </w:rPr>
        <w:t xml:space="preserve">A legjobb korrigált látásélesség javult vagy változatlan maradt </w:t>
      </w:r>
      <w:r w:rsidRPr="00183B5F">
        <w:rPr>
          <w:lang w:val="hu-HU"/>
        </w:rPr>
        <w:t>(kevesebb mint 5 értéket romlott) a szemek 88,6%</w:t>
      </w:r>
      <w:r w:rsidRPr="00183B5F">
        <w:rPr>
          <w:lang w:val="hu-HU"/>
        </w:rPr>
        <w:noBreakHyphen/>
        <w:t>a esetében a 78. héten. A 78. hetet követően az adatok általában konzisztensek voltak ezekkel az eredményekkel, de a bevont betegek száma ez után az idő után csökkent. Összességében a vizsgálatot abbahagyó betegek 18%-a mellékhatások, 8%-a az adalimumab</w:t>
      </w:r>
      <w:r w:rsidRPr="00183B5F">
        <w:rPr>
          <w:lang w:val="hu-HU"/>
        </w:rPr>
        <w:noBreakHyphen/>
        <w:t>kezelésre adott elégtelen válasz miatt hagyta abba a kezelést.</w:t>
      </w:r>
    </w:p>
    <w:p w14:paraId="104EEF2E" w14:textId="77777777" w:rsidR="00884361" w:rsidRPr="00183B5F" w:rsidRDefault="00884361">
      <w:pPr>
        <w:pStyle w:val="EMEANormal"/>
        <w:rPr>
          <w:lang w:val="hu-HU"/>
        </w:rPr>
      </w:pPr>
    </w:p>
    <w:p w14:paraId="3F3A7A66" w14:textId="77777777" w:rsidR="00884361" w:rsidRPr="00183B5F" w:rsidRDefault="00943743">
      <w:pPr>
        <w:pStyle w:val="EMEANormal"/>
        <w:rPr>
          <w:i/>
          <w:szCs w:val="22"/>
          <w:u w:val="single"/>
          <w:lang w:val="hu-HU"/>
        </w:rPr>
      </w:pPr>
      <w:r w:rsidRPr="00183B5F">
        <w:rPr>
          <w:i/>
          <w:szCs w:val="22"/>
          <w:u w:val="single"/>
          <w:lang w:val="hu-HU"/>
        </w:rPr>
        <w:t>Életminőség</w:t>
      </w:r>
    </w:p>
    <w:p w14:paraId="417667DB" w14:textId="77777777" w:rsidR="00884361" w:rsidRPr="00183B5F" w:rsidRDefault="00884361">
      <w:pPr>
        <w:pStyle w:val="EMEANormal"/>
        <w:rPr>
          <w:i/>
          <w:szCs w:val="22"/>
          <w:u w:val="single"/>
          <w:lang w:val="hu-HU"/>
        </w:rPr>
      </w:pPr>
    </w:p>
    <w:p w14:paraId="767B1D5D" w14:textId="77777777" w:rsidR="00884361" w:rsidRPr="00183B5F" w:rsidRDefault="00943743">
      <w:pPr>
        <w:pStyle w:val="EMEANormal"/>
        <w:rPr>
          <w:lang w:val="hu-HU"/>
        </w:rPr>
      </w:pPr>
      <w:r w:rsidRPr="00183B5F">
        <w:rPr>
          <w:lang w:val="hu-HU"/>
        </w:rPr>
        <w:t>A betegek által jelentett, látásfunkcióval összefüggő kimenetelt mindkét vizsgálatban a NEI VFQ</w:t>
      </w:r>
      <w:r w:rsidRPr="00183B5F">
        <w:rPr>
          <w:lang w:val="hu-HU"/>
        </w:rPr>
        <w:noBreakHyphen/>
        <w:t xml:space="preserve">25 (National Eye Institute Vizuális Funkciós Kérdőíve) felhasználásával mérték fel. A Humira számszerű előnyt mutatott az alpontok többségében, és statisztikailag szignifikáns </w:t>
      </w:r>
      <w:r w:rsidR="003C3536" w:rsidRPr="00183B5F">
        <w:rPr>
          <w:lang w:val="hu-HU"/>
        </w:rPr>
        <w:t xml:space="preserve">átlagos </w:t>
      </w:r>
      <w:r w:rsidRPr="00183B5F">
        <w:rPr>
          <w:lang w:val="hu-HU"/>
        </w:rPr>
        <w:t>különbség mutatkozott a</w:t>
      </w:r>
      <w:r w:rsidR="00B12660" w:rsidRPr="00183B5F">
        <w:rPr>
          <w:lang w:val="hu-HU"/>
        </w:rPr>
        <w:t xml:space="preserve"> megszokott </w:t>
      </w:r>
      <w:r w:rsidRPr="00183B5F">
        <w:rPr>
          <w:lang w:val="hu-HU"/>
        </w:rPr>
        <w:t>látás, szemfájdalom, közellátás, mentális egészség és az összpontszámok átlaga tekintetében az UV I vizsgálatban</w:t>
      </w:r>
      <w:r w:rsidR="00FE6A19" w:rsidRPr="00183B5F">
        <w:rPr>
          <w:lang w:val="hu-HU"/>
        </w:rPr>
        <w:t>,</w:t>
      </w:r>
      <w:r w:rsidRPr="00183B5F">
        <w:rPr>
          <w:lang w:val="hu-HU"/>
        </w:rPr>
        <w:t xml:space="preserve"> és </w:t>
      </w:r>
      <w:r w:rsidR="00FE6A19" w:rsidRPr="00183B5F">
        <w:rPr>
          <w:lang w:val="hu-HU"/>
        </w:rPr>
        <w:t xml:space="preserve">a </w:t>
      </w:r>
      <w:r w:rsidR="00B12660" w:rsidRPr="00183B5F">
        <w:rPr>
          <w:lang w:val="hu-HU"/>
        </w:rPr>
        <w:t>megszokott</w:t>
      </w:r>
      <w:r w:rsidRPr="00183B5F">
        <w:rPr>
          <w:lang w:val="hu-HU"/>
        </w:rPr>
        <w:t xml:space="preserve"> látás és mentális egészség vonatkozásában az UV II vizsgálatban. A látással összefüggő hatások közül nem mutatott számszerű előnyt a Humira a színlátás vonatkozás</w:t>
      </w:r>
      <w:r w:rsidRPr="00183B5F">
        <w:rPr>
          <w:lang w:val="hu-HU"/>
        </w:rPr>
        <w:t>ában az UV I vizsgálatban és a színlátás, a perifériás látás és a közellátás vonatkozásában az UV II vizsgálatban.</w:t>
      </w:r>
    </w:p>
    <w:p w14:paraId="6C226CB2" w14:textId="77777777" w:rsidR="00DF68B4" w:rsidRPr="00183B5F" w:rsidRDefault="00DF68B4">
      <w:pPr>
        <w:pStyle w:val="EMEANormal"/>
        <w:rPr>
          <w:lang w:val="hu-HU"/>
        </w:rPr>
      </w:pPr>
    </w:p>
    <w:p w14:paraId="7FB0E8DD" w14:textId="77777777" w:rsidR="00D0403E" w:rsidRPr="00183B5F" w:rsidRDefault="00943743" w:rsidP="004062FE">
      <w:pPr>
        <w:spacing w:line="240" w:lineRule="auto"/>
        <w:rPr>
          <w:szCs w:val="22"/>
          <w:u w:val="single"/>
        </w:rPr>
      </w:pPr>
      <w:r w:rsidRPr="00183B5F">
        <w:rPr>
          <w:szCs w:val="22"/>
          <w:u w:val="single"/>
        </w:rPr>
        <w:t>Immunogenitás</w:t>
      </w:r>
    </w:p>
    <w:p w14:paraId="40E25E65" w14:textId="77777777" w:rsidR="00D0403E" w:rsidRPr="00183B5F" w:rsidRDefault="00D0403E" w:rsidP="004062FE">
      <w:pPr>
        <w:spacing w:line="240" w:lineRule="auto"/>
        <w:rPr>
          <w:szCs w:val="22"/>
          <w:u w:val="single"/>
        </w:rPr>
      </w:pPr>
    </w:p>
    <w:p w14:paraId="474C2920" w14:textId="77777777" w:rsidR="00D0403E" w:rsidRPr="00183B5F" w:rsidRDefault="00943743" w:rsidP="004062FE">
      <w:pPr>
        <w:spacing w:line="240" w:lineRule="auto"/>
        <w:rPr>
          <w:szCs w:val="22"/>
        </w:rPr>
      </w:pPr>
      <w:r w:rsidRPr="00183B5F">
        <w:rPr>
          <w:szCs w:val="22"/>
        </w:rPr>
        <w:t>Adalimumab-ellenes antiestek képződése az adalimumab clearance</w:t>
      </w:r>
      <w:r w:rsidRPr="00183B5F">
        <w:rPr>
          <w:szCs w:val="22"/>
        </w:rPr>
        <w:noBreakHyphen/>
        <w:t>ének növekedésével és a hatásosságának csökkenésével jár. Az adalimumab</w:t>
      </w:r>
      <w:r w:rsidR="00E5381A" w:rsidRPr="00183B5F">
        <w:rPr>
          <w:szCs w:val="22"/>
        </w:rPr>
        <w:noBreakHyphen/>
      </w:r>
      <w:r w:rsidRPr="00183B5F">
        <w:rPr>
          <w:szCs w:val="22"/>
        </w:rPr>
        <w:t>ellenes antitestek jelenléte és a mellékhatások előfordulása között nincs nyilvánvaló összefüggés.</w:t>
      </w:r>
    </w:p>
    <w:p w14:paraId="4FD281B2" w14:textId="77777777" w:rsidR="00D0403E" w:rsidRPr="00183B5F" w:rsidRDefault="00D0403E" w:rsidP="004062FE">
      <w:pPr>
        <w:spacing w:line="240" w:lineRule="auto"/>
        <w:rPr>
          <w:szCs w:val="22"/>
        </w:rPr>
      </w:pPr>
    </w:p>
    <w:p w14:paraId="59C67808" w14:textId="77777777" w:rsidR="00D0403E" w:rsidRPr="00183B5F" w:rsidRDefault="00943743" w:rsidP="004062FE">
      <w:pPr>
        <w:spacing w:line="240" w:lineRule="auto"/>
        <w:rPr>
          <w:szCs w:val="22"/>
        </w:rPr>
      </w:pPr>
      <w:r w:rsidRPr="00183B5F">
        <w:rPr>
          <w:szCs w:val="22"/>
        </w:rPr>
        <w:t>A reumatoid arthritis I, II és III vizsgálatban a betegeknél több időpontban vizsgálták az adalimumab</w:t>
      </w:r>
      <w:r w:rsidR="00E5381A" w:rsidRPr="00183B5F">
        <w:rPr>
          <w:szCs w:val="22"/>
        </w:rPr>
        <w:noBreakHyphen/>
      </w:r>
      <w:r w:rsidRPr="00183B5F">
        <w:rPr>
          <w:szCs w:val="22"/>
        </w:rPr>
        <w:t>ellenes antitestek jelenlétét a 6 – 12 hónapos időszak folyamán. A pivotális vizsgálatokban adalimumab</w:t>
      </w:r>
      <w:r w:rsidRPr="00183B5F">
        <w:rPr>
          <w:szCs w:val="22"/>
        </w:rPr>
        <w:noBreakHyphen/>
        <w:t xml:space="preserve">ellenes antitesteket </w:t>
      </w:r>
      <w:r w:rsidR="003C3536" w:rsidRPr="00183B5F">
        <w:rPr>
          <w:szCs w:val="22"/>
        </w:rPr>
        <w:t xml:space="preserve">az adalimumabbal kezelt betegek </w:t>
      </w:r>
      <w:r w:rsidRPr="00183B5F">
        <w:rPr>
          <w:szCs w:val="22"/>
        </w:rPr>
        <w:t>5,5%</w:t>
      </w:r>
      <w:r w:rsidRPr="00183B5F">
        <w:rPr>
          <w:szCs w:val="22"/>
        </w:rPr>
        <w:noBreakHyphen/>
      </w:r>
      <w:r w:rsidR="003C3536" w:rsidRPr="00183B5F">
        <w:rPr>
          <w:szCs w:val="22"/>
        </w:rPr>
        <w:t>ánál</w:t>
      </w:r>
      <w:r w:rsidRPr="00183B5F">
        <w:rPr>
          <w:szCs w:val="22"/>
        </w:rPr>
        <w:t xml:space="preserve"> (58/1053) észleltek, szemben a placebocsoportban észlelt 0,5%</w:t>
      </w:r>
      <w:r w:rsidRPr="00183B5F">
        <w:rPr>
          <w:szCs w:val="22"/>
        </w:rPr>
        <w:noBreakHyphen/>
        <w:t>kal (2/370). Az egyidejűleg metotrexát</w:t>
      </w:r>
      <w:r w:rsidRPr="00183B5F">
        <w:rPr>
          <w:szCs w:val="22"/>
        </w:rPr>
        <w:noBreakHyphen/>
        <w:t>kezelésben nem részesült betegeknél az incidencia 12,4% volt, szemben a 0,6%</w:t>
      </w:r>
      <w:r w:rsidRPr="00183B5F">
        <w:rPr>
          <w:szCs w:val="22"/>
        </w:rPr>
        <w:noBreakHyphen/>
        <w:t>os incidenciával azoknál, akiknél az adalimumabot a metotrexát</w:t>
      </w:r>
      <w:r w:rsidRPr="00183B5F">
        <w:rPr>
          <w:szCs w:val="22"/>
        </w:rPr>
        <w:noBreakHyphen/>
        <w:t>kezeléssel kombinációban alkalmazták.</w:t>
      </w:r>
    </w:p>
    <w:p w14:paraId="2DF7BA1A" w14:textId="77777777" w:rsidR="00D0403E" w:rsidRPr="00183B5F" w:rsidRDefault="00D0403E" w:rsidP="004062FE">
      <w:pPr>
        <w:spacing w:line="240" w:lineRule="auto"/>
        <w:rPr>
          <w:szCs w:val="22"/>
        </w:rPr>
      </w:pPr>
    </w:p>
    <w:p w14:paraId="13AB4034" w14:textId="77777777" w:rsidR="00D0403E" w:rsidRPr="00183B5F" w:rsidRDefault="00943743" w:rsidP="004062FE">
      <w:pPr>
        <w:spacing w:line="240" w:lineRule="auto"/>
        <w:rPr>
          <w:szCs w:val="22"/>
        </w:rPr>
      </w:pPr>
      <w:r w:rsidRPr="00183B5F">
        <w:rPr>
          <w:szCs w:val="22"/>
        </w:rPr>
        <w:t>Polyarticularis juvenilis idiopathiás arthritisben szenvedő</w:t>
      </w:r>
      <w:r w:rsidR="005D7645" w:rsidRPr="00183B5F">
        <w:rPr>
          <w:szCs w:val="22"/>
        </w:rPr>
        <w:t>,</w:t>
      </w:r>
      <w:r w:rsidRPr="00183B5F">
        <w:rPr>
          <w:szCs w:val="22"/>
        </w:rPr>
        <w:t xml:space="preserve"> 4</w:t>
      </w:r>
      <w:r w:rsidRPr="00183B5F">
        <w:rPr>
          <w:szCs w:val="22"/>
        </w:rPr>
        <w:noBreakHyphen/>
        <w:t>17 éves, adalimumabbal kezelt betegek körében 15,8%</w:t>
      </w:r>
      <w:r w:rsidRPr="00183B5F">
        <w:rPr>
          <w:szCs w:val="22"/>
        </w:rPr>
        <w:noBreakHyphen/>
      </w:r>
      <w:r w:rsidR="003C3536" w:rsidRPr="00183B5F">
        <w:rPr>
          <w:szCs w:val="22"/>
        </w:rPr>
        <w:t>nál</w:t>
      </w:r>
      <w:r w:rsidRPr="00183B5F">
        <w:rPr>
          <w:szCs w:val="22"/>
        </w:rPr>
        <w:t xml:space="preserve"> (27/171) mutattak ki adalimumab</w:t>
      </w:r>
      <w:r w:rsidR="00022AEF" w:rsidRPr="00183B5F">
        <w:rPr>
          <w:szCs w:val="22"/>
        </w:rPr>
        <w:noBreakHyphen/>
      </w:r>
      <w:r w:rsidRPr="00183B5F">
        <w:rPr>
          <w:szCs w:val="22"/>
        </w:rPr>
        <w:t>ellenes antitesteket. Azoknál a betegeknél, akik nem kaptak egyidejűleg metotrexátot, az incidencia 25,6% (22/86) volt, szemben az 5,9%</w:t>
      </w:r>
      <w:r w:rsidRPr="00183B5F">
        <w:rPr>
          <w:szCs w:val="22"/>
        </w:rPr>
        <w:noBreakHyphen/>
        <w:t>kal (5/85), amikor az adalimumabot a metotrexát</w:t>
      </w:r>
      <w:r w:rsidRPr="00183B5F">
        <w:rPr>
          <w:szCs w:val="22"/>
        </w:rPr>
        <w:noBreakHyphen/>
        <w:t>kezelés mellett alkalmazták.</w:t>
      </w:r>
      <w:r w:rsidR="003B0E00" w:rsidRPr="00183B5F">
        <w:rPr>
          <w:szCs w:val="22"/>
        </w:rPr>
        <w:t xml:space="preserve"> Polyarticularis juvenilis idiopathiás arthritisben szenvedő</w:t>
      </w:r>
      <w:r w:rsidR="005D7645" w:rsidRPr="00183B5F">
        <w:rPr>
          <w:szCs w:val="22"/>
        </w:rPr>
        <w:t xml:space="preserve">, </w:t>
      </w:r>
      <w:r w:rsidR="003B0E00" w:rsidRPr="00183B5F">
        <w:rPr>
          <w:szCs w:val="22"/>
        </w:rPr>
        <w:t>2 </w:t>
      </w:r>
      <w:r w:rsidR="003B0E00" w:rsidRPr="00183B5F">
        <w:rPr>
          <w:szCs w:val="22"/>
        </w:rPr>
        <w:noBreakHyphen/>
        <w:t> &lt;4 év közötti vagy 4 év</w:t>
      </w:r>
      <w:r w:rsidR="005D7645" w:rsidRPr="00183B5F">
        <w:rPr>
          <w:szCs w:val="22"/>
        </w:rPr>
        <w:t>es</w:t>
      </w:r>
      <w:r w:rsidR="003B0E00" w:rsidRPr="00183B5F">
        <w:rPr>
          <w:szCs w:val="22"/>
        </w:rPr>
        <w:t xml:space="preserve"> és a</w:t>
      </w:r>
      <w:r w:rsidR="002C1F5C" w:rsidRPr="00183B5F">
        <w:rPr>
          <w:szCs w:val="22"/>
        </w:rPr>
        <w:t xml:space="preserve"> </w:t>
      </w:r>
      <w:r w:rsidR="003B0E00" w:rsidRPr="00183B5F">
        <w:rPr>
          <w:szCs w:val="22"/>
        </w:rPr>
        <w:t>feletti, 15 kg alatti betegek 7%</w:t>
      </w:r>
      <w:r w:rsidR="003B0E00" w:rsidRPr="00183B5F">
        <w:rPr>
          <w:szCs w:val="22"/>
        </w:rPr>
        <w:noBreakHyphen/>
      </w:r>
      <w:r w:rsidR="003C3536" w:rsidRPr="00183B5F">
        <w:rPr>
          <w:szCs w:val="22"/>
        </w:rPr>
        <w:t>ánál</w:t>
      </w:r>
      <w:r w:rsidR="003B0E00" w:rsidRPr="00183B5F">
        <w:rPr>
          <w:szCs w:val="22"/>
        </w:rPr>
        <w:t xml:space="preserve"> (1/15) mutattak ki adalimumab</w:t>
      </w:r>
      <w:r w:rsidR="00E5381A" w:rsidRPr="00183B5F">
        <w:rPr>
          <w:szCs w:val="22"/>
        </w:rPr>
        <w:noBreakHyphen/>
      </w:r>
      <w:r w:rsidR="003B0E00" w:rsidRPr="00183B5F">
        <w:rPr>
          <w:szCs w:val="22"/>
        </w:rPr>
        <w:t>ellenes antitesteket</w:t>
      </w:r>
      <w:r w:rsidR="00177C94" w:rsidRPr="00183B5F">
        <w:rPr>
          <w:szCs w:val="22"/>
        </w:rPr>
        <w:t>,</w:t>
      </w:r>
      <w:r w:rsidR="003B0E00" w:rsidRPr="00183B5F">
        <w:rPr>
          <w:szCs w:val="22"/>
        </w:rPr>
        <w:t xml:space="preserve"> és egy beteg részesült egyidejű metotrexát-</w:t>
      </w:r>
      <w:r w:rsidR="005D7645" w:rsidRPr="00183B5F">
        <w:rPr>
          <w:szCs w:val="22"/>
        </w:rPr>
        <w:t>kezelésben</w:t>
      </w:r>
      <w:r w:rsidR="003B0E00" w:rsidRPr="00183B5F">
        <w:rPr>
          <w:szCs w:val="22"/>
        </w:rPr>
        <w:t>.</w:t>
      </w:r>
    </w:p>
    <w:p w14:paraId="2BCACCAE" w14:textId="77777777" w:rsidR="00D0403E" w:rsidRPr="00183B5F" w:rsidRDefault="00D0403E" w:rsidP="004062FE">
      <w:pPr>
        <w:spacing w:line="240" w:lineRule="auto"/>
        <w:rPr>
          <w:szCs w:val="22"/>
        </w:rPr>
      </w:pPr>
    </w:p>
    <w:p w14:paraId="1E1AF51F" w14:textId="77777777" w:rsidR="00D0403E" w:rsidRPr="00183B5F" w:rsidRDefault="00943743" w:rsidP="004062FE">
      <w:pPr>
        <w:spacing w:line="240" w:lineRule="auto"/>
        <w:rPr>
          <w:szCs w:val="22"/>
        </w:rPr>
      </w:pPr>
      <w:r w:rsidRPr="00183B5F">
        <w:rPr>
          <w:szCs w:val="22"/>
        </w:rPr>
        <w:t>Enthesitis-asszociált arthritisben szenvedő</w:t>
      </w:r>
      <w:r w:rsidR="003C3536" w:rsidRPr="00183B5F">
        <w:rPr>
          <w:szCs w:val="22"/>
        </w:rPr>
        <w:t>, adalimumabbal kezelt</w:t>
      </w:r>
      <w:r w:rsidRPr="00183B5F">
        <w:rPr>
          <w:szCs w:val="22"/>
        </w:rPr>
        <w:t xml:space="preserve"> betegek 10,9%</w:t>
      </w:r>
      <w:r w:rsidRPr="00183B5F">
        <w:rPr>
          <w:szCs w:val="22"/>
        </w:rPr>
        <w:noBreakHyphen/>
        <w:t>ánál (5/46) azonosítottak adalimumab</w:t>
      </w:r>
      <w:r w:rsidRPr="00183B5F">
        <w:rPr>
          <w:szCs w:val="22"/>
        </w:rPr>
        <w:noBreakHyphen/>
        <w:t>ellenes antitesteket. Azoknál a betegeknél, akik nem kaptak egyidejűleg metotrexátot, az incidencia 13,6% (3/22) volt, szemben a 8,3%</w:t>
      </w:r>
      <w:r w:rsidRPr="00183B5F">
        <w:rPr>
          <w:szCs w:val="22"/>
        </w:rPr>
        <w:noBreakHyphen/>
        <w:t>kal (2/24), amikor az adalimumabot a metotrexát</w:t>
      </w:r>
      <w:r w:rsidRPr="00183B5F">
        <w:rPr>
          <w:szCs w:val="22"/>
        </w:rPr>
        <w:noBreakHyphen/>
        <w:t>kezelés mellett alkalmazták.</w:t>
      </w:r>
    </w:p>
    <w:p w14:paraId="0B3A6BCC" w14:textId="77777777" w:rsidR="00D0403E" w:rsidRPr="00183B5F" w:rsidRDefault="00D0403E" w:rsidP="004062FE">
      <w:pPr>
        <w:spacing w:line="240" w:lineRule="auto"/>
        <w:rPr>
          <w:szCs w:val="22"/>
        </w:rPr>
      </w:pPr>
    </w:p>
    <w:p w14:paraId="5B463A2A" w14:textId="77777777" w:rsidR="00D0403E" w:rsidRPr="00183B5F" w:rsidRDefault="00943743" w:rsidP="004062FE">
      <w:pPr>
        <w:spacing w:line="240" w:lineRule="auto"/>
        <w:rPr>
          <w:szCs w:val="22"/>
        </w:rPr>
      </w:pPr>
      <w:r w:rsidRPr="00183B5F">
        <w:rPr>
          <w:szCs w:val="22"/>
        </w:rPr>
        <w:t>Az arthritis psoriaticában szenvedő betegek esetében 376 közül 38 adalimumabbal kezelt betegben (10%) mutattak ki adalimumab</w:t>
      </w:r>
      <w:r w:rsidR="00E5381A" w:rsidRPr="00183B5F">
        <w:rPr>
          <w:szCs w:val="22"/>
        </w:rPr>
        <w:noBreakHyphen/>
      </w:r>
      <w:r w:rsidRPr="00183B5F">
        <w:rPr>
          <w:szCs w:val="22"/>
        </w:rPr>
        <w:t>ellenes antitesteket. Metotrexátot egyidejűleg nem kapó betegeknél az incidencia 13,5% volt (24/178), az adalimumabot a metotrexát mellé kiegészítésként kapóknál észlelt 7%-kal (14/198) szemben.</w:t>
      </w:r>
    </w:p>
    <w:p w14:paraId="30323AEB" w14:textId="77777777" w:rsidR="00D0403E" w:rsidRPr="00183B5F" w:rsidRDefault="00D0403E" w:rsidP="004062FE">
      <w:pPr>
        <w:spacing w:line="240" w:lineRule="auto"/>
        <w:rPr>
          <w:szCs w:val="22"/>
        </w:rPr>
      </w:pPr>
    </w:p>
    <w:p w14:paraId="120B2529" w14:textId="77777777" w:rsidR="00D0403E" w:rsidRPr="00183B5F" w:rsidRDefault="00943743" w:rsidP="004062FE">
      <w:pPr>
        <w:spacing w:line="240" w:lineRule="auto"/>
        <w:rPr>
          <w:szCs w:val="22"/>
        </w:rPr>
      </w:pPr>
      <w:r w:rsidRPr="00183B5F">
        <w:rPr>
          <w:szCs w:val="22"/>
        </w:rPr>
        <w:t xml:space="preserve">A </w:t>
      </w:r>
      <w:r w:rsidRPr="00183B5F">
        <w:rPr>
          <w:rFonts w:eastAsia="SimSun"/>
          <w:szCs w:val="22"/>
          <w:lang w:eastAsia="zh-CN"/>
        </w:rPr>
        <w:t xml:space="preserve">spondylitis ankylopoeticában szenvedő betegek esetében 204 közül 17 </w:t>
      </w:r>
      <w:r w:rsidRPr="00183B5F">
        <w:rPr>
          <w:szCs w:val="22"/>
        </w:rPr>
        <w:t>adalimumabbal kezelt betegben (8,3%) mutattak ki adalimumab</w:t>
      </w:r>
      <w:r w:rsidR="00022AEF" w:rsidRPr="00183B5F">
        <w:rPr>
          <w:szCs w:val="22"/>
        </w:rPr>
        <w:noBreakHyphen/>
      </w:r>
      <w:r w:rsidRPr="00183B5F">
        <w:rPr>
          <w:szCs w:val="22"/>
        </w:rPr>
        <w:t>ellenes antitesteket. Metotrexátot egyidejűleg nem kapó betegeknél az incidencia 8,6% volt (16/185 beteg), az adalimumabot a metotrexát mellé kiegészítésként kapóknál észlelt 5,3%-kal (1/19) szemben.</w:t>
      </w:r>
    </w:p>
    <w:p w14:paraId="509D5CED" w14:textId="77777777" w:rsidR="006C0A64" w:rsidRPr="00183B5F" w:rsidRDefault="006C0A64" w:rsidP="004062FE">
      <w:pPr>
        <w:spacing w:line="240" w:lineRule="auto"/>
        <w:rPr>
          <w:szCs w:val="22"/>
        </w:rPr>
      </w:pPr>
    </w:p>
    <w:p w14:paraId="4002D16E" w14:textId="77777777" w:rsidR="006C0A64" w:rsidRPr="00183B5F" w:rsidRDefault="00943743" w:rsidP="006C0A64">
      <w:pPr>
        <w:spacing w:line="240" w:lineRule="auto"/>
        <w:rPr>
          <w:szCs w:val="22"/>
        </w:rPr>
      </w:pPr>
      <w:r w:rsidRPr="00183B5F">
        <w:rPr>
          <w:rFonts w:eastAsia="SimSun"/>
          <w:szCs w:val="22"/>
          <w:lang w:eastAsia="zh-CN"/>
        </w:rPr>
        <w:t>A röntgeneltéréssel nem járó</w:t>
      </w:r>
      <w:r w:rsidRPr="00183B5F">
        <w:rPr>
          <w:szCs w:val="22"/>
        </w:rPr>
        <w:t xml:space="preserve"> axiális spondyloarthritisben szenvedő betegek esetében 152 közül 8</w:t>
      </w:r>
      <w:r w:rsidR="001E62B8" w:rsidRPr="00183B5F">
        <w:rPr>
          <w:szCs w:val="22"/>
        </w:rPr>
        <w:t>, folyamatosan</w:t>
      </w:r>
      <w:r w:rsidRPr="00183B5F">
        <w:rPr>
          <w:szCs w:val="22"/>
        </w:rPr>
        <w:t xml:space="preserve"> adalimumabbal kezelt beteg</w:t>
      </w:r>
      <w:r w:rsidR="001E62B8" w:rsidRPr="00183B5F">
        <w:rPr>
          <w:szCs w:val="22"/>
        </w:rPr>
        <w:t>nél</w:t>
      </w:r>
      <w:r w:rsidRPr="00183B5F">
        <w:rPr>
          <w:szCs w:val="22"/>
        </w:rPr>
        <w:t xml:space="preserve"> (5,3%) mutattak ki adalimumab</w:t>
      </w:r>
      <w:r w:rsidRPr="00183B5F">
        <w:rPr>
          <w:szCs w:val="22"/>
        </w:rPr>
        <w:noBreakHyphen/>
        <w:t>ellenes antitesteket.</w:t>
      </w:r>
    </w:p>
    <w:p w14:paraId="472940ED" w14:textId="77777777" w:rsidR="00D0403E" w:rsidRPr="00183B5F" w:rsidRDefault="00D0403E" w:rsidP="004062FE">
      <w:pPr>
        <w:spacing w:line="240" w:lineRule="auto"/>
        <w:rPr>
          <w:szCs w:val="22"/>
        </w:rPr>
      </w:pPr>
    </w:p>
    <w:p w14:paraId="14ACA761" w14:textId="77777777" w:rsidR="00D0403E" w:rsidRPr="00183B5F" w:rsidRDefault="00943743" w:rsidP="004062FE">
      <w:pPr>
        <w:spacing w:line="240" w:lineRule="auto"/>
        <w:rPr>
          <w:szCs w:val="22"/>
        </w:rPr>
      </w:pPr>
      <w:r w:rsidRPr="00183B5F">
        <w:rPr>
          <w:szCs w:val="22"/>
        </w:rPr>
        <w:t>A 269, Crohn</w:t>
      </w:r>
      <w:r w:rsidRPr="00183B5F">
        <w:rPr>
          <w:szCs w:val="22"/>
        </w:rPr>
        <w:noBreakHyphen/>
        <w:t>betegségben szenvedő beteg közül 7 (2,6%) és 487, colitis ulcerosában szenvedő beteg közül 19 (3,9%) szérumában mutattak ki adalimumab</w:t>
      </w:r>
      <w:r w:rsidR="003C3536" w:rsidRPr="00183B5F">
        <w:rPr>
          <w:szCs w:val="22"/>
        </w:rPr>
        <w:t>-ellenes</w:t>
      </w:r>
      <w:r w:rsidRPr="00183B5F">
        <w:rPr>
          <w:szCs w:val="22"/>
        </w:rPr>
        <w:t xml:space="preserve"> antitesteket. </w:t>
      </w:r>
    </w:p>
    <w:p w14:paraId="3E9E0191" w14:textId="77777777" w:rsidR="00D0403E" w:rsidRPr="00183B5F" w:rsidRDefault="00D0403E" w:rsidP="004062FE">
      <w:pPr>
        <w:spacing w:line="240" w:lineRule="auto"/>
        <w:rPr>
          <w:szCs w:val="22"/>
        </w:rPr>
      </w:pPr>
    </w:p>
    <w:p w14:paraId="4EAEDC89" w14:textId="77777777" w:rsidR="00D0403E" w:rsidRPr="00183B5F" w:rsidRDefault="00943743" w:rsidP="004062FE">
      <w:pPr>
        <w:spacing w:line="240" w:lineRule="auto"/>
        <w:rPr>
          <w:szCs w:val="22"/>
        </w:rPr>
      </w:pPr>
      <w:r w:rsidRPr="00183B5F">
        <w:rPr>
          <w:szCs w:val="22"/>
        </w:rPr>
        <w:t>Psoriasisos felnőtt betegek körében 77/920 adalimumab</w:t>
      </w:r>
      <w:r w:rsidR="002D38D3" w:rsidRPr="00183B5F">
        <w:rPr>
          <w:szCs w:val="22"/>
        </w:rPr>
        <w:t>-</w:t>
      </w:r>
      <w:r w:rsidRPr="00183B5F">
        <w:rPr>
          <w:szCs w:val="22"/>
        </w:rPr>
        <w:t xml:space="preserve">monoterápiával kezelt </w:t>
      </w:r>
      <w:r w:rsidR="003C3536" w:rsidRPr="00183B5F">
        <w:rPr>
          <w:szCs w:val="22"/>
        </w:rPr>
        <w:t>beteg</w:t>
      </w:r>
      <w:r w:rsidRPr="00183B5F">
        <w:rPr>
          <w:szCs w:val="22"/>
        </w:rPr>
        <w:t xml:space="preserve"> esetében (8,4%) mutattak ki adalimumab</w:t>
      </w:r>
      <w:r w:rsidR="001C2086" w:rsidRPr="00183B5F">
        <w:rPr>
          <w:szCs w:val="22"/>
        </w:rPr>
        <w:t>-ellenes</w:t>
      </w:r>
      <w:r w:rsidRPr="00183B5F">
        <w:rPr>
          <w:szCs w:val="22"/>
        </w:rPr>
        <w:t xml:space="preserve"> antitesteket.</w:t>
      </w:r>
    </w:p>
    <w:p w14:paraId="254F4AD7" w14:textId="77777777" w:rsidR="00D0403E" w:rsidRPr="00183B5F" w:rsidRDefault="00D0403E" w:rsidP="004062FE">
      <w:pPr>
        <w:spacing w:line="240" w:lineRule="auto"/>
        <w:rPr>
          <w:szCs w:val="22"/>
        </w:rPr>
      </w:pPr>
    </w:p>
    <w:p w14:paraId="6DF6D020" w14:textId="77777777" w:rsidR="00D0403E" w:rsidRPr="00183B5F" w:rsidRDefault="00943743" w:rsidP="004062FE">
      <w:pPr>
        <w:spacing w:line="240" w:lineRule="auto"/>
        <w:rPr>
          <w:szCs w:val="22"/>
        </w:rPr>
      </w:pPr>
      <w:r w:rsidRPr="00183B5F">
        <w:rPr>
          <w:szCs w:val="22"/>
        </w:rPr>
        <w:t>Azoknál a hosszú időn át adalimumab</w:t>
      </w:r>
      <w:r w:rsidR="002D38D3" w:rsidRPr="00183B5F">
        <w:rPr>
          <w:szCs w:val="22"/>
        </w:rPr>
        <w:t>-</w:t>
      </w:r>
      <w:r w:rsidRPr="00183B5F">
        <w:rPr>
          <w:szCs w:val="22"/>
        </w:rPr>
        <w:t>monoterápiát kapó, plakkos psoriasisos felnőtt betegeknél, akik részt</w:t>
      </w:r>
      <w:r w:rsidR="003C3536" w:rsidRPr="00183B5F">
        <w:rPr>
          <w:szCs w:val="22"/>
        </w:rPr>
        <w:t xml:space="preserve"> </w:t>
      </w:r>
      <w:r w:rsidRPr="00183B5F">
        <w:rPr>
          <w:szCs w:val="22"/>
        </w:rPr>
        <w:t>vettek a kezelés abbahagyását</w:t>
      </w:r>
      <w:r w:rsidR="00177C94" w:rsidRPr="00183B5F">
        <w:rPr>
          <w:szCs w:val="22"/>
        </w:rPr>
        <w:t>,</w:t>
      </w:r>
      <w:r w:rsidRPr="00183B5F">
        <w:rPr>
          <w:szCs w:val="22"/>
        </w:rPr>
        <w:t xml:space="preserve"> majd újrakezdését értékelő vizsgálatban, az újrakezdést </w:t>
      </w:r>
      <w:r w:rsidR="002D38D3" w:rsidRPr="00183B5F">
        <w:rPr>
          <w:szCs w:val="22"/>
        </w:rPr>
        <w:t>követően az adalimumab</w:t>
      </w:r>
      <w:r w:rsidR="002D38D3" w:rsidRPr="00183B5F">
        <w:rPr>
          <w:szCs w:val="22"/>
        </w:rPr>
        <w:noBreakHyphen/>
        <w:t>ellenes antitestek aránya</w:t>
      </w:r>
      <w:r w:rsidRPr="00183B5F">
        <w:rPr>
          <w:szCs w:val="22"/>
        </w:rPr>
        <w:t xml:space="preserve"> (482 beteg közüll 11; 2,3%) hasonló volt a kezelés abbahagyása előtti arányhoz (590 beteg közül 11; 1,9%).</w:t>
      </w:r>
    </w:p>
    <w:p w14:paraId="309B5A68" w14:textId="77777777" w:rsidR="00D0403E" w:rsidRPr="00183B5F" w:rsidRDefault="00D0403E" w:rsidP="004062FE">
      <w:pPr>
        <w:spacing w:line="240" w:lineRule="auto"/>
        <w:rPr>
          <w:szCs w:val="22"/>
        </w:rPr>
      </w:pPr>
    </w:p>
    <w:p w14:paraId="52E80825" w14:textId="77777777" w:rsidR="00D0403E" w:rsidRPr="00183B5F" w:rsidRDefault="00943743" w:rsidP="004062FE">
      <w:pPr>
        <w:spacing w:line="240" w:lineRule="auto"/>
        <w:rPr>
          <w:szCs w:val="22"/>
        </w:rPr>
      </w:pPr>
      <w:r w:rsidRPr="00183B5F">
        <w:rPr>
          <w:szCs w:val="22"/>
        </w:rPr>
        <w:t>Gyermekkori psoriasisban szenvedő 0,8 mg</w:t>
      </w:r>
      <w:r w:rsidR="00127A0B" w:rsidRPr="00183B5F">
        <w:rPr>
          <w:szCs w:val="22"/>
        </w:rPr>
        <w:t>/ttkg</w:t>
      </w:r>
      <w:r w:rsidRPr="00183B5F">
        <w:rPr>
          <w:szCs w:val="22"/>
        </w:rPr>
        <w:t xml:space="preserve"> adalimumab</w:t>
      </w:r>
      <w:r w:rsidR="002D38D3" w:rsidRPr="00183B5F">
        <w:rPr>
          <w:szCs w:val="22"/>
        </w:rPr>
        <w:t>-</w:t>
      </w:r>
      <w:r w:rsidRPr="00183B5F">
        <w:rPr>
          <w:szCs w:val="22"/>
        </w:rPr>
        <w:t>monoterápiával kezelt betegek 13%</w:t>
      </w:r>
      <w:r w:rsidRPr="00183B5F">
        <w:rPr>
          <w:szCs w:val="22"/>
        </w:rPr>
        <w:noBreakHyphen/>
        <w:t>ánál (5/38 betegnél) azonosítottak adalimumab</w:t>
      </w:r>
      <w:r w:rsidRPr="00183B5F">
        <w:rPr>
          <w:szCs w:val="22"/>
        </w:rPr>
        <w:noBreakHyphen/>
        <w:t>ellenes antitesteket.</w:t>
      </w:r>
    </w:p>
    <w:p w14:paraId="2A8D4E68" w14:textId="77777777" w:rsidR="00D0403E" w:rsidRPr="00183B5F" w:rsidRDefault="00D0403E" w:rsidP="004062FE">
      <w:pPr>
        <w:spacing w:line="240" w:lineRule="auto"/>
        <w:rPr>
          <w:szCs w:val="22"/>
        </w:rPr>
      </w:pPr>
    </w:p>
    <w:p w14:paraId="0A05B2E4" w14:textId="77777777" w:rsidR="008D3139" w:rsidRPr="00183B5F" w:rsidRDefault="00943743" w:rsidP="004062FE">
      <w:pPr>
        <w:spacing w:line="240" w:lineRule="auto"/>
        <w:rPr>
          <w:szCs w:val="22"/>
        </w:rPr>
      </w:pPr>
      <w:r w:rsidRPr="00183B5F">
        <w:rPr>
          <w:szCs w:val="22"/>
        </w:rPr>
        <w:t>A közepesen súlyos, súlyos hidradenitis suppurativában szenvedő</w:t>
      </w:r>
      <w:r w:rsidR="00EA2737" w:rsidRPr="00183B5F">
        <w:rPr>
          <w:szCs w:val="22"/>
        </w:rPr>
        <w:t>,</w:t>
      </w:r>
      <w:r w:rsidRPr="00183B5F">
        <w:rPr>
          <w:szCs w:val="22"/>
        </w:rPr>
        <w:t xml:space="preserve"> adalimumabbal kezelt betegek 10,1%</w:t>
      </w:r>
      <w:r w:rsidRPr="00183B5F">
        <w:rPr>
          <w:szCs w:val="22"/>
        </w:rPr>
        <w:noBreakHyphen/>
        <w:t>ánál (10/99 betegnél) azonosítottak adalimumab</w:t>
      </w:r>
      <w:r w:rsidRPr="00183B5F">
        <w:rPr>
          <w:szCs w:val="22"/>
        </w:rPr>
        <w:noBreakHyphen/>
        <w:t>ellenes antitesteket.</w:t>
      </w:r>
    </w:p>
    <w:p w14:paraId="17AC96C5" w14:textId="77777777" w:rsidR="00697D92" w:rsidRPr="00183B5F" w:rsidRDefault="00697D92">
      <w:pPr>
        <w:spacing w:line="240" w:lineRule="auto"/>
        <w:outlineLvl w:val="0"/>
        <w:rPr>
          <w:rFonts w:eastAsia="SimSun"/>
          <w:szCs w:val="22"/>
          <w:lang w:eastAsia="zh-CN"/>
        </w:rPr>
      </w:pPr>
    </w:p>
    <w:p w14:paraId="5320B10C" w14:textId="77777777" w:rsidR="008D3139" w:rsidRPr="00183B5F" w:rsidRDefault="00943743" w:rsidP="004062FE">
      <w:pPr>
        <w:spacing w:line="240" w:lineRule="auto"/>
        <w:rPr>
          <w:rFonts w:eastAsia="SimSun"/>
          <w:szCs w:val="22"/>
          <w:lang w:eastAsia="zh-CN"/>
        </w:rPr>
      </w:pPr>
      <w:r w:rsidRPr="00183B5F">
        <w:rPr>
          <w:rFonts w:eastAsia="SimSun"/>
          <w:szCs w:val="22"/>
          <w:lang w:eastAsia="zh-CN"/>
        </w:rPr>
        <w:t>Közepesen súlyos - súlyos aktivitású Crohn</w:t>
      </w:r>
      <w:r w:rsidR="00EA2737" w:rsidRPr="00183B5F">
        <w:rPr>
          <w:rFonts w:eastAsia="SimSun"/>
          <w:szCs w:val="22"/>
          <w:lang w:eastAsia="zh-CN"/>
        </w:rPr>
        <w:noBreakHyphen/>
      </w:r>
      <w:r w:rsidRPr="00183B5F">
        <w:rPr>
          <w:rFonts w:eastAsia="SimSun"/>
          <w:szCs w:val="22"/>
          <w:lang w:eastAsia="zh-CN"/>
        </w:rPr>
        <w:t>betegségben szenvedő gyermekeknél az adalimumab</w:t>
      </w:r>
      <w:r w:rsidR="009132F0" w:rsidRPr="00183B5F">
        <w:rPr>
          <w:rFonts w:eastAsia="SimSun"/>
          <w:szCs w:val="22"/>
          <w:lang w:eastAsia="zh-CN"/>
        </w:rPr>
        <w:noBreakHyphen/>
      </w:r>
      <w:r w:rsidR="003C3536" w:rsidRPr="00183B5F">
        <w:rPr>
          <w:rFonts w:eastAsia="SimSun"/>
          <w:szCs w:val="22"/>
          <w:lang w:eastAsia="zh-CN"/>
        </w:rPr>
        <w:t>ellenes</w:t>
      </w:r>
      <w:r w:rsidRPr="00183B5F">
        <w:rPr>
          <w:rFonts w:eastAsia="SimSun"/>
          <w:szCs w:val="22"/>
          <w:lang w:eastAsia="zh-CN"/>
        </w:rPr>
        <w:t xml:space="preserve"> antitest kialakulásának aránya adalimumabot kapó betegeknél 3,3% volt.</w:t>
      </w:r>
    </w:p>
    <w:p w14:paraId="2834FD04" w14:textId="77777777" w:rsidR="00884361" w:rsidRPr="00183B5F" w:rsidRDefault="00884361" w:rsidP="004062FE">
      <w:pPr>
        <w:spacing w:line="240" w:lineRule="auto"/>
        <w:rPr>
          <w:szCs w:val="22"/>
        </w:rPr>
      </w:pPr>
    </w:p>
    <w:p w14:paraId="13DB4C43" w14:textId="77777777" w:rsidR="00884361" w:rsidRPr="00183B5F" w:rsidRDefault="00943743" w:rsidP="004062FE">
      <w:pPr>
        <w:spacing w:line="240" w:lineRule="auto"/>
        <w:rPr>
          <w:szCs w:val="22"/>
        </w:rPr>
      </w:pPr>
      <w:r w:rsidRPr="00183B5F">
        <w:rPr>
          <w:szCs w:val="22"/>
        </w:rPr>
        <w:t xml:space="preserve">A nem fertőzéses eredetű uveitisben szenvedő, adalimumabbal kezelt </w:t>
      </w:r>
      <w:r w:rsidR="007809D6" w:rsidRPr="00183B5F">
        <w:rPr>
          <w:szCs w:val="22"/>
        </w:rPr>
        <w:t xml:space="preserve">felnőtt </w:t>
      </w:r>
      <w:r w:rsidRPr="00183B5F">
        <w:rPr>
          <w:szCs w:val="22"/>
        </w:rPr>
        <w:t>betegek 4,8%</w:t>
      </w:r>
      <w:r w:rsidRPr="00183B5F">
        <w:rPr>
          <w:szCs w:val="22"/>
        </w:rPr>
        <w:noBreakHyphen/>
        <w:t>ánál (12/249) azonosítottak adalimumab</w:t>
      </w:r>
      <w:r w:rsidRPr="00183B5F">
        <w:rPr>
          <w:szCs w:val="22"/>
        </w:rPr>
        <w:noBreakHyphen/>
        <w:t>ellenes antitesteket.</w:t>
      </w:r>
    </w:p>
    <w:p w14:paraId="5F095698" w14:textId="77777777" w:rsidR="00697D92" w:rsidRPr="00183B5F" w:rsidRDefault="00697D92" w:rsidP="004062FE">
      <w:pPr>
        <w:spacing w:line="240" w:lineRule="auto"/>
        <w:rPr>
          <w:szCs w:val="22"/>
        </w:rPr>
      </w:pPr>
    </w:p>
    <w:p w14:paraId="044BDE2A" w14:textId="77777777" w:rsidR="00DD5E3A" w:rsidRPr="00183B5F" w:rsidRDefault="00943743" w:rsidP="004062FE">
      <w:pPr>
        <w:spacing w:line="240" w:lineRule="auto"/>
      </w:pPr>
      <w:r w:rsidRPr="00183B5F">
        <w:t xml:space="preserve">Közepesen súlyos </w:t>
      </w:r>
      <w:r w:rsidR="00DF68B4" w:rsidRPr="00183B5F">
        <w:t>–</w:t>
      </w:r>
      <w:r w:rsidRPr="00183B5F">
        <w:t xml:space="preserve"> súlyos akt</w:t>
      </w:r>
      <w:r w:rsidR="00241682" w:rsidRPr="00183B5F">
        <w:t>i</w:t>
      </w:r>
      <w:r w:rsidR="0006073D" w:rsidRPr="00183B5F">
        <w:t>vi</w:t>
      </w:r>
      <w:r w:rsidR="00241682" w:rsidRPr="00183B5F">
        <w:t>tású</w:t>
      </w:r>
      <w:r w:rsidRPr="00183B5F">
        <w:t xml:space="preserve"> gyermek</w:t>
      </w:r>
      <w:r w:rsidR="00241682" w:rsidRPr="00183B5F">
        <w:t>- és serdülő</w:t>
      </w:r>
      <w:r w:rsidRPr="00183B5F">
        <w:t xml:space="preserve">kori colitis ulcerosában szenvedő betegeknél az adalimumab elleni antitestek </w:t>
      </w:r>
      <w:r w:rsidR="00DF68B4" w:rsidRPr="00183B5F">
        <w:t>kialakulásának</w:t>
      </w:r>
      <w:r w:rsidRPr="00183B5F">
        <w:t xml:space="preserve"> aránya az adalimumabbal kezelt betegeknél 3% volt.</w:t>
      </w:r>
    </w:p>
    <w:p w14:paraId="6D9695AC" w14:textId="77777777" w:rsidR="00DD5E3A" w:rsidRPr="00183B5F" w:rsidRDefault="00DD5E3A" w:rsidP="004062FE">
      <w:pPr>
        <w:spacing w:line="240" w:lineRule="auto"/>
        <w:rPr>
          <w:szCs w:val="22"/>
        </w:rPr>
      </w:pPr>
    </w:p>
    <w:p w14:paraId="44F8CBF7" w14:textId="77777777" w:rsidR="00D0403E" w:rsidRPr="00183B5F" w:rsidRDefault="00943743" w:rsidP="004062FE">
      <w:pPr>
        <w:spacing w:line="240" w:lineRule="auto"/>
        <w:rPr>
          <w:szCs w:val="22"/>
        </w:rPr>
      </w:pPr>
      <w:r w:rsidRPr="00183B5F">
        <w:rPr>
          <w:szCs w:val="22"/>
        </w:rPr>
        <w:t>Az immunogenitási vizsgálatok termékspecifikusak, így az antitestráták összehasonlítása más termékekével nem helyes.</w:t>
      </w:r>
    </w:p>
    <w:p w14:paraId="17B58C8A" w14:textId="77777777" w:rsidR="00D0403E" w:rsidRPr="00183B5F" w:rsidRDefault="00D0403E">
      <w:pPr>
        <w:spacing w:line="240" w:lineRule="auto"/>
        <w:outlineLvl w:val="0"/>
        <w:rPr>
          <w:rFonts w:eastAsia="SimSun"/>
          <w:szCs w:val="22"/>
          <w:lang w:eastAsia="zh-CN"/>
        </w:rPr>
      </w:pPr>
    </w:p>
    <w:p w14:paraId="2ADD3A63" w14:textId="77777777" w:rsidR="00E66DA6" w:rsidRPr="00183B5F" w:rsidRDefault="00943743" w:rsidP="009844C3">
      <w:pPr>
        <w:keepNext/>
        <w:spacing w:line="240" w:lineRule="auto"/>
        <w:rPr>
          <w:szCs w:val="22"/>
          <w:u w:val="single"/>
        </w:rPr>
      </w:pPr>
      <w:r w:rsidRPr="00183B5F">
        <w:rPr>
          <w:szCs w:val="22"/>
          <w:u w:val="single"/>
        </w:rPr>
        <w:t>Gyermekek és serdülők</w:t>
      </w:r>
    </w:p>
    <w:p w14:paraId="0415C0E9" w14:textId="77777777" w:rsidR="00B71998" w:rsidRPr="00183B5F" w:rsidRDefault="00B71998" w:rsidP="009844C3">
      <w:pPr>
        <w:keepNext/>
        <w:spacing w:line="240" w:lineRule="auto"/>
        <w:rPr>
          <w:szCs w:val="22"/>
          <w:u w:val="single"/>
        </w:rPr>
      </w:pPr>
    </w:p>
    <w:p w14:paraId="51964F0F" w14:textId="77777777" w:rsidR="00B71998" w:rsidRPr="00183B5F" w:rsidRDefault="00943743" w:rsidP="00B71998">
      <w:pPr>
        <w:pStyle w:val="BodyText3"/>
        <w:keepNext/>
        <w:spacing w:line="240" w:lineRule="auto"/>
        <w:jc w:val="left"/>
        <w:rPr>
          <w:bCs/>
          <w:i/>
          <w:iCs/>
          <w:sz w:val="22"/>
          <w:szCs w:val="22"/>
          <w:lang w:val="hu-HU"/>
        </w:rPr>
      </w:pPr>
      <w:r w:rsidRPr="00183B5F">
        <w:rPr>
          <w:bCs/>
          <w:i/>
          <w:iCs/>
          <w:sz w:val="22"/>
          <w:szCs w:val="22"/>
          <w:lang w:val="hu-HU"/>
        </w:rPr>
        <w:t>Juvenilis idiopathiás arthritis (JIA)</w:t>
      </w:r>
    </w:p>
    <w:p w14:paraId="0E63D6EE" w14:textId="77777777" w:rsidR="00B71998" w:rsidRPr="00183B5F" w:rsidRDefault="00B71998" w:rsidP="00B71998">
      <w:pPr>
        <w:keepNext/>
        <w:spacing w:line="240" w:lineRule="auto"/>
        <w:rPr>
          <w:szCs w:val="22"/>
          <w:u w:val="single"/>
        </w:rPr>
      </w:pPr>
    </w:p>
    <w:p w14:paraId="27393231" w14:textId="77777777" w:rsidR="00B71998" w:rsidRPr="00183B5F" w:rsidRDefault="00943743" w:rsidP="00B71998">
      <w:pPr>
        <w:keepNext/>
        <w:spacing w:line="240" w:lineRule="auto"/>
        <w:rPr>
          <w:i/>
          <w:szCs w:val="22"/>
          <w:u w:val="single"/>
        </w:rPr>
      </w:pPr>
      <w:r w:rsidRPr="00183B5F">
        <w:rPr>
          <w:i/>
          <w:szCs w:val="22"/>
          <w:u w:val="single"/>
        </w:rPr>
        <w:t>Polyarticularis juvenilis idiopathiás arthritis (pJIA)</w:t>
      </w:r>
    </w:p>
    <w:p w14:paraId="58475173" w14:textId="77777777" w:rsidR="00B71998" w:rsidRPr="00183B5F" w:rsidRDefault="00B71998" w:rsidP="00B71998">
      <w:pPr>
        <w:pStyle w:val="BodyText3"/>
        <w:keepNext/>
        <w:spacing w:line="240" w:lineRule="auto"/>
        <w:jc w:val="left"/>
        <w:rPr>
          <w:bCs/>
          <w:iCs/>
          <w:sz w:val="22"/>
          <w:szCs w:val="22"/>
          <w:u w:val="single"/>
          <w:lang w:val="hu-HU"/>
        </w:rPr>
      </w:pPr>
    </w:p>
    <w:p w14:paraId="430C85D7" w14:textId="77777777" w:rsidR="00B71998" w:rsidRPr="00183B5F" w:rsidRDefault="00943743" w:rsidP="00B71998">
      <w:pPr>
        <w:pStyle w:val="BodyText3"/>
        <w:keepNext/>
        <w:spacing w:line="240" w:lineRule="auto"/>
        <w:jc w:val="left"/>
        <w:rPr>
          <w:bCs/>
          <w:iCs/>
          <w:sz w:val="22"/>
          <w:szCs w:val="22"/>
          <w:lang w:val="hu-HU"/>
        </w:rPr>
      </w:pPr>
      <w:r w:rsidRPr="00183B5F">
        <w:rPr>
          <w:bCs/>
          <w:iCs/>
          <w:sz w:val="22"/>
          <w:szCs w:val="22"/>
          <w:lang w:val="hu-HU"/>
        </w:rPr>
        <w:t>A Humira biztonságosságát és hatásosságát két vizsgálatban (pJIA I és II) értékelték aktív polyarticularis juvenilis idiopathiás arthritisben szenvedő gyermekeknél, akiknél a JIA kezdeti formája eltért (leggyakrabban rheumatoid faktor pozitív vagy negatív polyarthritis és extendált oligoarthritis fordult elő).</w:t>
      </w:r>
    </w:p>
    <w:p w14:paraId="52775382" w14:textId="77777777" w:rsidR="00B71998" w:rsidRPr="00183B5F" w:rsidRDefault="00B71998" w:rsidP="00B71998">
      <w:pPr>
        <w:pStyle w:val="BodyText3"/>
        <w:spacing w:line="240" w:lineRule="auto"/>
        <w:jc w:val="left"/>
        <w:rPr>
          <w:bCs/>
          <w:iCs/>
          <w:sz w:val="22"/>
          <w:szCs w:val="22"/>
          <w:u w:val="single"/>
          <w:lang w:val="hu-HU"/>
        </w:rPr>
      </w:pPr>
    </w:p>
    <w:p w14:paraId="46CB8A3A" w14:textId="77777777" w:rsidR="00B71998" w:rsidRPr="00183B5F" w:rsidRDefault="00943743" w:rsidP="00B71998">
      <w:pPr>
        <w:keepNext/>
        <w:spacing w:line="240" w:lineRule="auto"/>
        <w:rPr>
          <w:bCs/>
          <w:iCs/>
          <w:szCs w:val="22"/>
        </w:rPr>
      </w:pPr>
      <w:r w:rsidRPr="00183B5F">
        <w:rPr>
          <w:bCs/>
          <w:iCs/>
          <w:szCs w:val="22"/>
        </w:rPr>
        <w:t>pJIA I</w:t>
      </w:r>
    </w:p>
    <w:p w14:paraId="0982B169" w14:textId="77777777" w:rsidR="00B71998" w:rsidRPr="00183B5F" w:rsidRDefault="00B71998" w:rsidP="00B71998">
      <w:pPr>
        <w:keepNext/>
        <w:spacing w:line="240" w:lineRule="auto"/>
        <w:rPr>
          <w:szCs w:val="22"/>
          <w:u w:val="single"/>
        </w:rPr>
      </w:pPr>
    </w:p>
    <w:p w14:paraId="75DCB08E" w14:textId="77777777" w:rsidR="00B71998" w:rsidRPr="00183B5F" w:rsidRDefault="00943743" w:rsidP="00211B92">
      <w:pPr>
        <w:keepNext/>
        <w:spacing w:line="240" w:lineRule="auto"/>
        <w:rPr>
          <w:szCs w:val="22"/>
        </w:rPr>
      </w:pPr>
      <w:r w:rsidRPr="00183B5F">
        <w:rPr>
          <w:szCs w:val="22"/>
        </w:rPr>
        <w:t>A Humira biztonságosságát és hatásosságát egy multicentrikus, randomizált, kettős vak, párhuzamos csoportos vizsgálatban értékelték 171 (4 – 17 éves) polyarticularis JIA-ban szenvedő gyermeknél. A nyílt elrendezésű bevezető fázisban (open-label lead in phase, OL LI) a betegeket két csoportba sorolták: MTX (metotrexát)-kezelést kapó, illetve MTX</w:t>
      </w:r>
      <w:r w:rsidRPr="00183B5F">
        <w:rPr>
          <w:szCs w:val="22"/>
        </w:rPr>
        <w:noBreakHyphen/>
        <w:t>tal nem kezelt csoportba különítették el. A nem-MTX csoportba azok a betegek tartoztak, akik korábban még nem részesültek MTX</w:t>
      </w:r>
      <w:r w:rsidRPr="00183B5F">
        <w:rPr>
          <w:szCs w:val="22"/>
        </w:rPr>
        <w:noBreakHyphen/>
        <w:t>kezelésben (naive), vagy a vizsgálati gyógyszer alkalmazása előtt legalább két héttel abbahagyták a MTX</w:t>
      </w:r>
      <w:r w:rsidRPr="00183B5F">
        <w:rPr>
          <w:szCs w:val="22"/>
        </w:rPr>
        <w:noBreakHyphen/>
        <w:t>kezelésüket. A betegeknél továbbra is stabil dózisokban alkalmaztak nem szteroid gyulladásgátlókat és/vagy prednizont (</w:t>
      </w:r>
      <w:r w:rsidRPr="00183B5F">
        <w:rPr>
          <w:rFonts w:ascii="Symbol" w:hAnsi="Symbol"/>
          <w:szCs w:val="22"/>
        </w:rPr>
        <w:sym w:font="Symbol" w:char="F0A3"/>
      </w:r>
      <w:r w:rsidRPr="00183B5F">
        <w:rPr>
          <w:szCs w:val="22"/>
        </w:rPr>
        <w:t> 0,2 mg/ttkg/nap vagy maximum 10 mg/nap) kaptak. Az OL LI szakaszban minden beteg 24 mg/m</w:t>
      </w:r>
      <w:r w:rsidRPr="00183B5F">
        <w:rPr>
          <w:szCs w:val="22"/>
          <w:vertAlign w:val="superscript"/>
        </w:rPr>
        <w:t>2</w:t>
      </w:r>
      <w:r w:rsidRPr="00183B5F">
        <w:rPr>
          <w:szCs w:val="22"/>
        </w:rPr>
        <w:t>, legfeljebb 40 mg Humira</w:t>
      </w:r>
      <w:r w:rsidRPr="00183B5F">
        <w:rPr>
          <w:szCs w:val="22"/>
        </w:rPr>
        <w:noBreakHyphen/>
        <w:t>t kapott kéthetente, 16 héten keresztül. A be</w:t>
      </w:r>
      <w:r w:rsidRPr="00183B5F">
        <w:rPr>
          <w:szCs w:val="22"/>
        </w:rPr>
        <w:t xml:space="preserve">tegek életkor szerinti megoszlását és az OL LI szakaszban kapott legkisebb, medián, illetve legnagyobb dózist a </w:t>
      </w:r>
      <w:r w:rsidR="00211B92" w:rsidRPr="00183B5F">
        <w:rPr>
          <w:szCs w:val="22"/>
        </w:rPr>
        <w:t>25</w:t>
      </w:r>
      <w:r w:rsidRPr="00183B5F">
        <w:rPr>
          <w:szCs w:val="22"/>
        </w:rPr>
        <w:t>. táblázat mutatja.</w:t>
      </w:r>
    </w:p>
    <w:p w14:paraId="2E6E2642" w14:textId="77777777" w:rsidR="00B71998" w:rsidRPr="00183B5F" w:rsidRDefault="00B71998" w:rsidP="00B71998">
      <w:pPr>
        <w:pStyle w:val="BodyText3"/>
        <w:spacing w:line="240" w:lineRule="auto"/>
        <w:rPr>
          <w:b/>
          <w:i/>
          <w:sz w:val="22"/>
          <w:lang w:val="hu-HU"/>
        </w:rPr>
      </w:pPr>
    </w:p>
    <w:p w14:paraId="52BE7064" w14:textId="77777777" w:rsidR="00B71998" w:rsidRPr="00183B5F" w:rsidRDefault="00943743" w:rsidP="00B71998">
      <w:pPr>
        <w:pStyle w:val="BodyTextIndent"/>
        <w:keepNext/>
        <w:ind w:left="110" w:right="58" w:firstLine="0"/>
        <w:jc w:val="center"/>
        <w:rPr>
          <w:b/>
          <w:lang w:val="hu-HU"/>
        </w:rPr>
      </w:pPr>
      <w:r w:rsidRPr="00183B5F">
        <w:rPr>
          <w:b/>
          <w:szCs w:val="22"/>
          <w:lang w:val="hu-HU"/>
        </w:rPr>
        <w:t>25</w:t>
      </w:r>
      <w:r w:rsidRPr="00183B5F">
        <w:rPr>
          <w:b/>
          <w:lang w:val="hu-HU"/>
        </w:rPr>
        <w:t>. táblázat</w:t>
      </w:r>
    </w:p>
    <w:p w14:paraId="6EEA91EE" w14:textId="77777777" w:rsidR="00B71998" w:rsidRPr="00183B5F" w:rsidRDefault="00943743" w:rsidP="00B71998">
      <w:pPr>
        <w:pStyle w:val="BodyTextIndent"/>
        <w:keepNext/>
        <w:ind w:left="110" w:right="58" w:firstLine="0"/>
        <w:jc w:val="center"/>
        <w:rPr>
          <w:b/>
          <w:lang w:val="hu-HU"/>
        </w:rPr>
      </w:pPr>
      <w:r w:rsidRPr="00183B5F">
        <w:rPr>
          <w:b/>
          <w:lang w:val="hu-HU"/>
        </w:rPr>
        <w:t>A betegek megoszlása az életkor szerint és az OL LI szakaszban kapott adalimumab-dózis</w:t>
      </w:r>
    </w:p>
    <w:p w14:paraId="37ED3CFD" w14:textId="77777777" w:rsidR="00B71998" w:rsidRPr="00183B5F" w:rsidRDefault="00B71998" w:rsidP="00B71998">
      <w:pPr>
        <w:pStyle w:val="BodyTextIndent"/>
        <w:keepNext/>
        <w:ind w:left="110" w:right="58" w:firstLine="0"/>
        <w:jc w:val="center"/>
        <w:rPr>
          <w:b/>
          <w:lang w:val="hu-HU"/>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9"/>
        <w:gridCol w:w="3425"/>
        <w:gridCol w:w="3157"/>
      </w:tblGrid>
      <w:tr w:rsidR="00011D2F" w14:paraId="4D3F1754" w14:textId="77777777" w:rsidTr="00135B97">
        <w:trPr>
          <w:cantSplit/>
          <w:tblHeader/>
        </w:trPr>
        <w:tc>
          <w:tcPr>
            <w:tcW w:w="2418" w:type="dxa"/>
          </w:tcPr>
          <w:p w14:paraId="2349948C" w14:textId="77777777" w:rsidR="00B71998" w:rsidRPr="00183B5F" w:rsidRDefault="00943743" w:rsidP="00135B97">
            <w:pPr>
              <w:pStyle w:val="BodyTextIndent"/>
              <w:keepNext/>
              <w:ind w:left="0" w:right="58" w:firstLine="0"/>
              <w:jc w:val="center"/>
              <w:rPr>
                <w:lang w:val="hu-HU"/>
              </w:rPr>
            </w:pPr>
            <w:r w:rsidRPr="00183B5F">
              <w:rPr>
                <w:lang w:val="hu-HU"/>
              </w:rPr>
              <w:t>Korcsoport</w:t>
            </w:r>
          </w:p>
        </w:tc>
        <w:tc>
          <w:tcPr>
            <w:tcW w:w="3520" w:type="dxa"/>
          </w:tcPr>
          <w:p w14:paraId="58D48225" w14:textId="77777777" w:rsidR="00B71998" w:rsidRPr="00183B5F" w:rsidRDefault="00943743" w:rsidP="00135B97">
            <w:pPr>
              <w:pStyle w:val="BodyTextIndent"/>
              <w:keepNext/>
              <w:ind w:left="0" w:right="58" w:firstLine="0"/>
              <w:jc w:val="center"/>
              <w:rPr>
                <w:lang w:val="hu-HU"/>
              </w:rPr>
            </w:pPr>
            <w:r w:rsidRPr="00183B5F">
              <w:rPr>
                <w:lang w:val="hu-HU"/>
              </w:rPr>
              <w:t>A betegek száma a kiindulási időpontban n (%)</w:t>
            </w:r>
          </w:p>
        </w:tc>
        <w:tc>
          <w:tcPr>
            <w:tcW w:w="3239" w:type="dxa"/>
          </w:tcPr>
          <w:p w14:paraId="6B91A3A0" w14:textId="77777777" w:rsidR="00B71998" w:rsidRPr="00183B5F" w:rsidRDefault="00943743" w:rsidP="00135B97">
            <w:pPr>
              <w:pStyle w:val="BodyTextIndent"/>
              <w:keepNext/>
              <w:ind w:left="0" w:right="58" w:firstLine="0"/>
              <w:jc w:val="center"/>
              <w:rPr>
                <w:lang w:val="hu-HU"/>
              </w:rPr>
            </w:pPr>
            <w:r w:rsidRPr="00183B5F">
              <w:rPr>
                <w:lang w:val="hu-HU"/>
              </w:rPr>
              <w:t>A legkisebb, medián, illetve legnagyobb dózis</w:t>
            </w:r>
          </w:p>
        </w:tc>
      </w:tr>
      <w:tr w:rsidR="00011D2F" w14:paraId="5640733C" w14:textId="77777777" w:rsidTr="00135B97">
        <w:trPr>
          <w:cantSplit/>
        </w:trPr>
        <w:tc>
          <w:tcPr>
            <w:tcW w:w="2418" w:type="dxa"/>
          </w:tcPr>
          <w:p w14:paraId="086EC211" w14:textId="77777777" w:rsidR="00B71998" w:rsidRPr="00183B5F" w:rsidRDefault="00943743" w:rsidP="00135B97">
            <w:pPr>
              <w:pStyle w:val="BodyTextIndent"/>
              <w:keepNext/>
              <w:ind w:left="0" w:right="53" w:firstLine="0"/>
              <w:rPr>
                <w:lang w:val="hu-HU"/>
              </w:rPr>
            </w:pPr>
            <w:r w:rsidRPr="00183B5F">
              <w:rPr>
                <w:lang w:val="hu-HU"/>
              </w:rPr>
              <w:t>4 – 7 év</w:t>
            </w:r>
          </w:p>
        </w:tc>
        <w:tc>
          <w:tcPr>
            <w:tcW w:w="3520" w:type="dxa"/>
          </w:tcPr>
          <w:p w14:paraId="1C17C3C5" w14:textId="77777777" w:rsidR="00B71998" w:rsidRPr="00183B5F" w:rsidRDefault="00943743" w:rsidP="00135B97">
            <w:pPr>
              <w:pStyle w:val="BodyTextIndent"/>
              <w:keepNext/>
              <w:ind w:left="0" w:right="53" w:firstLine="0"/>
              <w:rPr>
                <w:lang w:val="hu-HU"/>
              </w:rPr>
            </w:pPr>
            <w:r w:rsidRPr="00183B5F">
              <w:rPr>
                <w:lang w:val="hu-HU"/>
              </w:rPr>
              <w:t>31 (18,1)</w:t>
            </w:r>
          </w:p>
        </w:tc>
        <w:tc>
          <w:tcPr>
            <w:tcW w:w="3239" w:type="dxa"/>
          </w:tcPr>
          <w:p w14:paraId="56BE1BE1" w14:textId="77777777" w:rsidR="00B71998" w:rsidRPr="00183B5F" w:rsidRDefault="00943743" w:rsidP="00135B97">
            <w:pPr>
              <w:pStyle w:val="BodyTextIndent"/>
              <w:keepNext/>
              <w:ind w:left="0" w:right="53" w:firstLine="0"/>
              <w:rPr>
                <w:lang w:val="hu-HU"/>
              </w:rPr>
            </w:pPr>
            <w:r w:rsidRPr="00183B5F">
              <w:rPr>
                <w:lang w:val="hu-HU"/>
              </w:rPr>
              <w:t>10, 20, ill. 25 mg</w:t>
            </w:r>
          </w:p>
        </w:tc>
      </w:tr>
      <w:tr w:rsidR="00011D2F" w14:paraId="20B039DF" w14:textId="77777777" w:rsidTr="00135B97">
        <w:trPr>
          <w:cantSplit/>
        </w:trPr>
        <w:tc>
          <w:tcPr>
            <w:tcW w:w="2418" w:type="dxa"/>
          </w:tcPr>
          <w:p w14:paraId="01919F3D" w14:textId="77777777" w:rsidR="00B71998" w:rsidRPr="00183B5F" w:rsidRDefault="00943743" w:rsidP="00135B97">
            <w:pPr>
              <w:pStyle w:val="BodyTextIndent"/>
              <w:keepNext/>
              <w:ind w:left="0" w:right="53" w:firstLine="0"/>
              <w:rPr>
                <w:lang w:val="hu-HU"/>
              </w:rPr>
            </w:pPr>
            <w:r w:rsidRPr="00183B5F">
              <w:rPr>
                <w:lang w:val="hu-HU"/>
              </w:rPr>
              <w:t>8 – 12 év</w:t>
            </w:r>
          </w:p>
        </w:tc>
        <w:tc>
          <w:tcPr>
            <w:tcW w:w="3520" w:type="dxa"/>
          </w:tcPr>
          <w:p w14:paraId="4A96A3DA" w14:textId="77777777" w:rsidR="00B71998" w:rsidRPr="00183B5F" w:rsidRDefault="00943743" w:rsidP="00135B97">
            <w:pPr>
              <w:pStyle w:val="BodyTextIndent"/>
              <w:keepNext/>
              <w:ind w:left="0" w:right="53" w:firstLine="0"/>
              <w:rPr>
                <w:lang w:val="hu-HU"/>
              </w:rPr>
            </w:pPr>
            <w:r w:rsidRPr="00183B5F">
              <w:rPr>
                <w:lang w:val="hu-HU"/>
              </w:rPr>
              <w:t>71 (41,5)</w:t>
            </w:r>
          </w:p>
        </w:tc>
        <w:tc>
          <w:tcPr>
            <w:tcW w:w="3239" w:type="dxa"/>
          </w:tcPr>
          <w:p w14:paraId="1018C0FC" w14:textId="77777777" w:rsidR="00B71998" w:rsidRPr="00183B5F" w:rsidRDefault="00943743" w:rsidP="00135B97">
            <w:pPr>
              <w:pStyle w:val="BodyTextIndent"/>
              <w:keepNext/>
              <w:ind w:left="0" w:right="53" w:firstLine="0"/>
              <w:rPr>
                <w:lang w:val="hu-HU"/>
              </w:rPr>
            </w:pPr>
            <w:r w:rsidRPr="00183B5F">
              <w:rPr>
                <w:lang w:val="hu-HU"/>
              </w:rPr>
              <w:t>20, 25, ill. 40 mg</w:t>
            </w:r>
          </w:p>
        </w:tc>
      </w:tr>
      <w:tr w:rsidR="00011D2F" w14:paraId="25F49C9F" w14:textId="77777777" w:rsidTr="00135B97">
        <w:trPr>
          <w:cantSplit/>
        </w:trPr>
        <w:tc>
          <w:tcPr>
            <w:tcW w:w="2418" w:type="dxa"/>
          </w:tcPr>
          <w:p w14:paraId="23A8EDF0" w14:textId="77777777" w:rsidR="00B71998" w:rsidRPr="00183B5F" w:rsidRDefault="00943743" w:rsidP="00135B97">
            <w:pPr>
              <w:pStyle w:val="BodyTextIndent"/>
              <w:keepNext/>
              <w:ind w:left="0" w:right="53" w:firstLine="0"/>
              <w:rPr>
                <w:lang w:val="hu-HU"/>
              </w:rPr>
            </w:pPr>
            <w:r w:rsidRPr="00183B5F">
              <w:rPr>
                <w:lang w:val="hu-HU"/>
              </w:rPr>
              <w:t>13 – 17 év</w:t>
            </w:r>
          </w:p>
        </w:tc>
        <w:tc>
          <w:tcPr>
            <w:tcW w:w="3520" w:type="dxa"/>
          </w:tcPr>
          <w:p w14:paraId="22BCE66F" w14:textId="77777777" w:rsidR="00B71998" w:rsidRPr="00183B5F" w:rsidRDefault="00943743" w:rsidP="00135B97">
            <w:pPr>
              <w:pStyle w:val="BodyTextIndent"/>
              <w:keepNext/>
              <w:ind w:left="0" w:right="53" w:firstLine="0"/>
              <w:rPr>
                <w:lang w:val="hu-HU"/>
              </w:rPr>
            </w:pPr>
            <w:r w:rsidRPr="00183B5F">
              <w:rPr>
                <w:lang w:val="hu-HU"/>
              </w:rPr>
              <w:t>69 (40,4)</w:t>
            </w:r>
          </w:p>
        </w:tc>
        <w:tc>
          <w:tcPr>
            <w:tcW w:w="3239" w:type="dxa"/>
          </w:tcPr>
          <w:p w14:paraId="43E0E66C" w14:textId="77777777" w:rsidR="00B71998" w:rsidRPr="00183B5F" w:rsidRDefault="00943743" w:rsidP="00135B97">
            <w:pPr>
              <w:pStyle w:val="BodyTextIndent"/>
              <w:keepNext/>
              <w:ind w:left="0" w:right="53" w:firstLine="0"/>
              <w:rPr>
                <w:lang w:val="hu-HU"/>
              </w:rPr>
            </w:pPr>
            <w:r w:rsidRPr="00183B5F">
              <w:rPr>
                <w:lang w:val="hu-HU"/>
              </w:rPr>
              <w:t>25, 40, ill. 40 mg</w:t>
            </w:r>
          </w:p>
        </w:tc>
      </w:tr>
    </w:tbl>
    <w:p w14:paraId="34293C01" w14:textId="77777777" w:rsidR="00B71998" w:rsidRPr="00183B5F" w:rsidRDefault="00B71998" w:rsidP="00B71998">
      <w:pPr>
        <w:tabs>
          <w:tab w:val="left" w:pos="6840"/>
        </w:tabs>
        <w:autoSpaceDE w:val="0"/>
        <w:autoSpaceDN w:val="0"/>
        <w:adjustRightInd w:val="0"/>
        <w:spacing w:line="240" w:lineRule="auto"/>
        <w:ind w:right="53"/>
        <w:rPr>
          <w:szCs w:val="22"/>
        </w:rPr>
      </w:pPr>
    </w:p>
    <w:p w14:paraId="2CEFCDB4" w14:textId="77777777" w:rsidR="00B71998" w:rsidRPr="00183B5F" w:rsidRDefault="00943743" w:rsidP="00B71998">
      <w:pPr>
        <w:tabs>
          <w:tab w:val="left" w:pos="6840"/>
        </w:tabs>
        <w:autoSpaceDE w:val="0"/>
        <w:autoSpaceDN w:val="0"/>
        <w:adjustRightInd w:val="0"/>
        <w:spacing w:line="240" w:lineRule="auto"/>
        <w:ind w:right="53"/>
        <w:rPr>
          <w:szCs w:val="22"/>
        </w:rPr>
      </w:pPr>
      <w:r w:rsidRPr="00183B5F">
        <w:rPr>
          <w:szCs w:val="22"/>
        </w:rPr>
        <w:t>Azok a betegek, akik 16. héten Pediátriai ACR 30 választ mutattak, alkalmasak voltak arra, hogy véletlenszerűen besorolják őket a kettős vak (DB) fázisba, melyben minden második héten 24 mg/m</w:t>
      </w:r>
      <w:r w:rsidRPr="00183B5F">
        <w:rPr>
          <w:szCs w:val="22"/>
          <w:vertAlign w:val="superscript"/>
        </w:rPr>
        <w:t>2</w:t>
      </w:r>
      <w:r w:rsidRPr="00183B5F">
        <w:rPr>
          <w:szCs w:val="22"/>
        </w:rPr>
        <w:t>, de legfeljebb 40 mg Humira</w:t>
      </w:r>
      <w:r w:rsidRPr="00183B5F">
        <w:rPr>
          <w:szCs w:val="22"/>
        </w:rPr>
        <w:noBreakHyphen/>
        <w:t>t vagy placebót kaptak további 32 héten át, vagy a betegség fellángolásáig. A betegség fellángolásának kritériumait a következőképpen határozták meg: a 6 Pediátriai ACR-alapkritérium közül 3 vagy több esetében legalább 30%</w:t>
      </w:r>
      <w:r w:rsidRPr="00183B5F">
        <w:rPr>
          <w:szCs w:val="22"/>
        </w:rPr>
        <w:noBreakHyphen/>
        <w:t>os romlás a kiindulási állapothoz képest, legalább 2 vagy több aktív ízület megléte, és a 6 kritérium közül legfeljebb 1</w:t>
      </w:r>
      <w:r w:rsidRPr="00183B5F">
        <w:rPr>
          <w:szCs w:val="22"/>
        </w:rPr>
        <w:noBreakHyphen/>
        <w:t xml:space="preserve">ben észlelhető 30%-nál nagyobb mértékű javulás. A 32. hét után vagy a betegség fellángolása esetén a betegek alkalmasak voltak arra, hogy </w:t>
      </w:r>
      <w:r w:rsidRPr="00183B5F">
        <w:rPr>
          <w:szCs w:val="22"/>
        </w:rPr>
        <w:t>beválasszák őket a nyílt kiterjesztéses fázisba.</w:t>
      </w:r>
    </w:p>
    <w:p w14:paraId="06B335FB" w14:textId="77777777" w:rsidR="00B71998" w:rsidRPr="00183B5F" w:rsidRDefault="00B71998" w:rsidP="00B71998">
      <w:pPr>
        <w:tabs>
          <w:tab w:val="left" w:pos="6840"/>
        </w:tabs>
        <w:autoSpaceDE w:val="0"/>
        <w:autoSpaceDN w:val="0"/>
        <w:adjustRightInd w:val="0"/>
        <w:spacing w:line="240" w:lineRule="auto"/>
        <w:ind w:right="53"/>
        <w:rPr>
          <w:szCs w:val="22"/>
        </w:rPr>
      </w:pPr>
    </w:p>
    <w:p w14:paraId="242A8B84" w14:textId="77777777" w:rsidR="00B71998" w:rsidRPr="00183B5F" w:rsidRDefault="00943743" w:rsidP="00FE0197">
      <w:pPr>
        <w:pStyle w:val="BodyTextIndent"/>
        <w:keepNext/>
        <w:ind w:left="110" w:right="58" w:firstLine="0"/>
        <w:jc w:val="center"/>
        <w:rPr>
          <w:b/>
          <w:lang w:val="hu-HU"/>
        </w:rPr>
      </w:pPr>
      <w:r w:rsidRPr="00183B5F">
        <w:rPr>
          <w:b/>
          <w:szCs w:val="22"/>
          <w:lang w:val="hu-HU"/>
        </w:rPr>
        <w:t>26</w:t>
      </w:r>
      <w:r w:rsidRPr="00183B5F">
        <w:rPr>
          <w:b/>
          <w:lang w:val="hu-HU"/>
        </w:rPr>
        <w:t>. táblázat</w:t>
      </w:r>
    </w:p>
    <w:p w14:paraId="0F371CAD" w14:textId="77777777" w:rsidR="00B71998" w:rsidRPr="00183B5F" w:rsidRDefault="00943743" w:rsidP="00FE0197">
      <w:pPr>
        <w:pStyle w:val="BodyTextIndent"/>
        <w:keepNext/>
        <w:ind w:left="110" w:right="58" w:firstLine="0"/>
        <w:jc w:val="center"/>
        <w:rPr>
          <w:b/>
          <w:lang w:val="hu-HU"/>
        </w:rPr>
      </w:pPr>
      <w:r w:rsidRPr="00183B5F">
        <w:rPr>
          <w:b/>
          <w:lang w:val="hu-HU"/>
        </w:rPr>
        <w:t>Pediátriai ACR 30 válasz a JIA-vizsgálatban</w:t>
      </w:r>
    </w:p>
    <w:p w14:paraId="5053C488" w14:textId="77777777" w:rsidR="00B71998" w:rsidRPr="00183B5F" w:rsidRDefault="00B71998" w:rsidP="00FE0197">
      <w:pPr>
        <w:pStyle w:val="BodyTextIndent"/>
        <w:keepNext/>
        <w:ind w:left="110" w:right="58" w:firstLine="0"/>
        <w:jc w:val="center"/>
        <w:rPr>
          <w:b/>
          <w:lang w:val="hu-HU"/>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1"/>
        <w:gridCol w:w="1705"/>
        <w:gridCol w:w="1705"/>
        <w:gridCol w:w="1603"/>
        <w:gridCol w:w="1547"/>
      </w:tblGrid>
      <w:tr w:rsidR="00011D2F" w14:paraId="367C0516" w14:textId="77777777" w:rsidTr="00135B97">
        <w:trPr>
          <w:cantSplit/>
          <w:tblHeader/>
        </w:trPr>
        <w:tc>
          <w:tcPr>
            <w:tcW w:w="2418" w:type="dxa"/>
          </w:tcPr>
          <w:p w14:paraId="38A76B46" w14:textId="77777777" w:rsidR="00B71998" w:rsidRPr="00183B5F" w:rsidRDefault="00943743" w:rsidP="00FE0197">
            <w:pPr>
              <w:pStyle w:val="BodyTextIndent"/>
              <w:keepNext/>
              <w:ind w:left="0" w:right="58" w:firstLine="0"/>
              <w:rPr>
                <w:b/>
                <w:lang w:val="hu-HU"/>
              </w:rPr>
            </w:pPr>
            <w:r w:rsidRPr="00183B5F">
              <w:rPr>
                <w:b/>
                <w:lang w:val="hu-HU"/>
              </w:rPr>
              <w:t>Betegcsoport</w:t>
            </w:r>
          </w:p>
        </w:tc>
        <w:tc>
          <w:tcPr>
            <w:tcW w:w="3520" w:type="dxa"/>
            <w:gridSpan w:val="2"/>
          </w:tcPr>
          <w:p w14:paraId="09CB3C6B" w14:textId="77777777" w:rsidR="00B71998" w:rsidRPr="00183B5F" w:rsidRDefault="00943743" w:rsidP="00FE0197">
            <w:pPr>
              <w:pStyle w:val="BodyTextIndent"/>
              <w:keepNext/>
              <w:ind w:left="0" w:right="58" w:firstLine="0"/>
              <w:jc w:val="center"/>
              <w:rPr>
                <w:b/>
                <w:lang w:val="hu-HU"/>
              </w:rPr>
            </w:pPr>
            <w:r w:rsidRPr="00183B5F">
              <w:rPr>
                <w:b/>
                <w:lang w:val="hu-HU"/>
              </w:rPr>
              <w:t>MTX-tal kezelt</w:t>
            </w:r>
          </w:p>
        </w:tc>
        <w:tc>
          <w:tcPr>
            <w:tcW w:w="3239" w:type="dxa"/>
            <w:gridSpan w:val="2"/>
          </w:tcPr>
          <w:p w14:paraId="54D97C22" w14:textId="77777777" w:rsidR="00B71998" w:rsidRPr="00183B5F" w:rsidRDefault="00943743" w:rsidP="00FE0197">
            <w:pPr>
              <w:pStyle w:val="BodyTextIndent"/>
              <w:keepNext/>
              <w:ind w:left="0" w:right="58" w:firstLine="0"/>
              <w:jc w:val="center"/>
              <w:rPr>
                <w:b/>
                <w:lang w:val="hu-HU"/>
              </w:rPr>
            </w:pPr>
            <w:r w:rsidRPr="00183B5F">
              <w:rPr>
                <w:b/>
                <w:lang w:val="hu-HU"/>
              </w:rPr>
              <w:t>MTX-tal nem kezelt</w:t>
            </w:r>
          </w:p>
        </w:tc>
      </w:tr>
      <w:tr w:rsidR="00011D2F" w14:paraId="5741F1A6" w14:textId="77777777" w:rsidTr="00135B97">
        <w:trPr>
          <w:cantSplit/>
          <w:tblHeader/>
        </w:trPr>
        <w:tc>
          <w:tcPr>
            <w:tcW w:w="2418" w:type="dxa"/>
          </w:tcPr>
          <w:p w14:paraId="4EDBE393" w14:textId="77777777" w:rsidR="00B71998" w:rsidRPr="00183B5F" w:rsidRDefault="00943743" w:rsidP="00FE0197">
            <w:pPr>
              <w:pStyle w:val="BodyTextIndent"/>
              <w:keepNext/>
              <w:ind w:left="0" w:right="58" w:firstLine="0"/>
              <w:rPr>
                <w:b/>
                <w:lang w:val="hu-HU"/>
              </w:rPr>
            </w:pPr>
            <w:r w:rsidRPr="00183B5F">
              <w:rPr>
                <w:b/>
                <w:lang w:val="hu-HU"/>
              </w:rPr>
              <w:t>Szakasz</w:t>
            </w:r>
          </w:p>
        </w:tc>
        <w:tc>
          <w:tcPr>
            <w:tcW w:w="3520" w:type="dxa"/>
            <w:gridSpan w:val="2"/>
          </w:tcPr>
          <w:p w14:paraId="64B65C49" w14:textId="77777777" w:rsidR="00B71998" w:rsidRPr="00183B5F" w:rsidRDefault="00B71998" w:rsidP="00FE0197">
            <w:pPr>
              <w:pStyle w:val="BodyTextIndent"/>
              <w:keepNext/>
              <w:ind w:left="0" w:right="58" w:firstLine="0"/>
              <w:jc w:val="center"/>
              <w:rPr>
                <w:b/>
                <w:lang w:val="hu-HU"/>
              </w:rPr>
            </w:pPr>
          </w:p>
        </w:tc>
        <w:tc>
          <w:tcPr>
            <w:tcW w:w="3239" w:type="dxa"/>
            <w:gridSpan w:val="2"/>
          </w:tcPr>
          <w:p w14:paraId="42FF4D36" w14:textId="77777777" w:rsidR="00B71998" w:rsidRPr="00183B5F" w:rsidRDefault="00B71998" w:rsidP="00FE0197">
            <w:pPr>
              <w:pStyle w:val="BodyTextIndent"/>
              <w:keepNext/>
              <w:ind w:left="0" w:right="58" w:firstLine="0"/>
              <w:jc w:val="center"/>
              <w:rPr>
                <w:b/>
                <w:lang w:val="hu-HU"/>
              </w:rPr>
            </w:pPr>
          </w:p>
        </w:tc>
      </w:tr>
      <w:tr w:rsidR="00011D2F" w14:paraId="5FEA8EA4" w14:textId="77777777" w:rsidTr="00135B97">
        <w:trPr>
          <w:cantSplit/>
          <w:tblHeader/>
        </w:trPr>
        <w:tc>
          <w:tcPr>
            <w:tcW w:w="2418" w:type="dxa"/>
          </w:tcPr>
          <w:p w14:paraId="17E04FC3" w14:textId="77777777" w:rsidR="00B71998" w:rsidRPr="00183B5F" w:rsidRDefault="00943743" w:rsidP="00FE0197">
            <w:pPr>
              <w:pStyle w:val="BodyTextIndent"/>
              <w:keepNext/>
              <w:ind w:left="0" w:right="58" w:firstLine="0"/>
              <w:rPr>
                <w:lang w:val="hu-HU"/>
              </w:rPr>
            </w:pPr>
            <w:r w:rsidRPr="00183B5F">
              <w:rPr>
                <w:lang w:val="hu-HU"/>
              </w:rPr>
              <w:t>OL-LI, 16 hét</w:t>
            </w:r>
          </w:p>
        </w:tc>
        <w:tc>
          <w:tcPr>
            <w:tcW w:w="3520" w:type="dxa"/>
            <w:gridSpan w:val="2"/>
          </w:tcPr>
          <w:p w14:paraId="1360B93E" w14:textId="77777777" w:rsidR="00B71998" w:rsidRPr="00183B5F" w:rsidRDefault="00B71998" w:rsidP="00FE0197">
            <w:pPr>
              <w:pStyle w:val="BodyTextIndent"/>
              <w:keepNext/>
              <w:ind w:left="0" w:right="58" w:firstLine="0"/>
              <w:jc w:val="center"/>
              <w:rPr>
                <w:lang w:val="hu-HU"/>
              </w:rPr>
            </w:pPr>
          </w:p>
        </w:tc>
        <w:tc>
          <w:tcPr>
            <w:tcW w:w="3239" w:type="dxa"/>
            <w:gridSpan w:val="2"/>
          </w:tcPr>
          <w:p w14:paraId="00AF4B5B" w14:textId="77777777" w:rsidR="00B71998" w:rsidRPr="00183B5F" w:rsidRDefault="00B71998" w:rsidP="00FE0197">
            <w:pPr>
              <w:pStyle w:val="BodyTextIndent"/>
              <w:keepNext/>
              <w:ind w:left="0" w:right="58" w:firstLine="0"/>
              <w:jc w:val="center"/>
              <w:rPr>
                <w:lang w:val="hu-HU"/>
              </w:rPr>
            </w:pPr>
          </w:p>
        </w:tc>
      </w:tr>
      <w:tr w:rsidR="00011D2F" w14:paraId="24EA65F2" w14:textId="77777777" w:rsidTr="00135B97">
        <w:trPr>
          <w:cantSplit/>
          <w:tblHeader/>
        </w:trPr>
        <w:tc>
          <w:tcPr>
            <w:tcW w:w="2418" w:type="dxa"/>
          </w:tcPr>
          <w:p w14:paraId="446F0657" w14:textId="77777777" w:rsidR="00B71998" w:rsidRPr="00183B5F" w:rsidRDefault="00943743" w:rsidP="00FE0197">
            <w:pPr>
              <w:pStyle w:val="BodyTextIndent"/>
              <w:keepNext/>
              <w:ind w:right="53" w:firstLine="0"/>
              <w:rPr>
                <w:lang w:val="hu-HU"/>
              </w:rPr>
            </w:pPr>
            <w:r w:rsidRPr="00183B5F">
              <w:rPr>
                <w:lang w:val="hu-HU"/>
              </w:rPr>
              <w:t>Ped ACR 30 válasz (n/N)</w:t>
            </w:r>
          </w:p>
        </w:tc>
        <w:tc>
          <w:tcPr>
            <w:tcW w:w="3520" w:type="dxa"/>
            <w:gridSpan w:val="2"/>
          </w:tcPr>
          <w:p w14:paraId="725317F6" w14:textId="77777777" w:rsidR="00B71998" w:rsidRPr="00183B5F" w:rsidRDefault="00943743" w:rsidP="00FE0197">
            <w:pPr>
              <w:pStyle w:val="BodyTextIndent"/>
              <w:keepNext/>
              <w:ind w:left="0" w:right="53" w:firstLine="0"/>
              <w:jc w:val="center"/>
              <w:rPr>
                <w:lang w:val="hu-HU"/>
              </w:rPr>
            </w:pPr>
            <w:r w:rsidRPr="00183B5F">
              <w:rPr>
                <w:lang w:val="hu-HU"/>
              </w:rPr>
              <w:t>94,1% (80/85)</w:t>
            </w:r>
          </w:p>
        </w:tc>
        <w:tc>
          <w:tcPr>
            <w:tcW w:w="3239" w:type="dxa"/>
            <w:gridSpan w:val="2"/>
          </w:tcPr>
          <w:p w14:paraId="78CB28D5" w14:textId="77777777" w:rsidR="00B71998" w:rsidRPr="00183B5F" w:rsidRDefault="00943743" w:rsidP="00FE0197">
            <w:pPr>
              <w:pStyle w:val="BodyTextIndent"/>
              <w:keepNext/>
              <w:ind w:left="0" w:right="53" w:firstLine="0"/>
              <w:jc w:val="center"/>
              <w:rPr>
                <w:lang w:val="hu-HU"/>
              </w:rPr>
            </w:pPr>
            <w:r w:rsidRPr="00183B5F">
              <w:rPr>
                <w:lang w:val="hu-HU"/>
              </w:rPr>
              <w:t>74,4% (64/86)</w:t>
            </w:r>
          </w:p>
        </w:tc>
      </w:tr>
      <w:tr w:rsidR="00011D2F" w14:paraId="285CE5A2" w14:textId="77777777" w:rsidTr="00135B97">
        <w:trPr>
          <w:cantSplit/>
        </w:trPr>
        <w:tc>
          <w:tcPr>
            <w:tcW w:w="9177" w:type="dxa"/>
            <w:gridSpan w:val="5"/>
          </w:tcPr>
          <w:p w14:paraId="4F55C46A" w14:textId="77777777" w:rsidR="00B71998" w:rsidRPr="00183B5F" w:rsidRDefault="00943743" w:rsidP="00FE0197">
            <w:pPr>
              <w:pStyle w:val="BodyTextIndent"/>
              <w:keepNext/>
              <w:ind w:left="0" w:right="53" w:firstLine="0"/>
              <w:jc w:val="center"/>
              <w:rPr>
                <w:lang w:val="hu-HU"/>
              </w:rPr>
            </w:pPr>
            <w:r w:rsidRPr="00183B5F">
              <w:rPr>
                <w:lang w:val="hu-HU"/>
              </w:rPr>
              <w:t>Hatásossági végpontok</w:t>
            </w:r>
          </w:p>
        </w:tc>
      </w:tr>
      <w:tr w:rsidR="00011D2F" w14:paraId="191775B9" w14:textId="77777777" w:rsidTr="00135B97">
        <w:tc>
          <w:tcPr>
            <w:tcW w:w="2418" w:type="dxa"/>
          </w:tcPr>
          <w:p w14:paraId="0EE24A80" w14:textId="77777777" w:rsidR="00B71998" w:rsidRPr="00183B5F" w:rsidRDefault="00943743" w:rsidP="00FE0197">
            <w:pPr>
              <w:pStyle w:val="BodyTextIndent"/>
              <w:keepNext/>
              <w:ind w:left="0" w:right="53" w:firstLine="0"/>
              <w:rPr>
                <w:lang w:val="hu-HU"/>
              </w:rPr>
            </w:pPr>
            <w:r w:rsidRPr="00183B5F">
              <w:rPr>
                <w:lang w:val="hu-HU"/>
              </w:rPr>
              <w:t>Kettős vak, 32 hét</w:t>
            </w:r>
          </w:p>
        </w:tc>
        <w:tc>
          <w:tcPr>
            <w:tcW w:w="1760" w:type="dxa"/>
          </w:tcPr>
          <w:p w14:paraId="1A50D164" w14:textId="77777777" w:rsidR="00B71998" w:rsidRPr="00183B5F" w:rsidRDefault="00943743" w:rsidP="00FE0197">
            <w:pPr>
              <w:pStyle w:val="BodyTextIndent"/>
              <w:keepNext/>
              <w:ind w:left="0" w:right="53" w:firstLine="0"/>
              <w:rPr>
                <w:lang w:val="hu-HU"/>
              </w:rPr>
            </w:pPr>
            <w:r w:rsidRPr="00183B5F">
              <w:rPr>
                <w:lang w:val="hu-HU"/>
              </w:rPr>
              <w:t>Humira/ MTX</w:t>
            </w:r>
          </w:p>
          <w:p w14:paraId="297DA858" w14:textId="77777777" w:rsidR="00B71998" w:rsidRPr="00183B5F" w:rsidRDefault="00943743" w:rsidP="00FE0197">
            <w:pPr>
              <w:pStyle w:val="BodyTextIndent"/>
              <w:keepNext/>
              <w:ind w:left="0" w:right="53" w:firstLine="0"/>
              <w:rPr>
                <w:lang w:val="hu-HU"/>
              </w:rPr>
            </w:pPr>
            <w:r w:rsidRPr="00183B5F">
              <w:rPr>
                <w:lang w:val="hu-HU"/>
              </w:rPr>
              <w:t>(N = 38)</w:t>
            </w:r>
          </w:p>
          <w:p w14:paraId="54B00897" w14:textId="77777777" w:rsidR="00B71998" w:rsidRPr="00183B5F" w:rsidRDefault="00B71998" w:rsidP="00FE0197">
            <w:pPr>
              <w:pStyle w:val="BodyTextIndent"/>
              <w:keepNext/>
              <w:ind w:left="0" w:right="53" w:firstLine="0"/>
              <w:rPr>
                <w:lang w:val="hu-HU"/>
              </w:rPr>
            </w:pPr>
          </w:p>
        </w:tc>
        <w:tc>
          <w:tcPr>
            <w:tcW w:w="1760" w:type="dxa"/>
          </w:tcPr>
          <w:p w14:paraId="004673C8" w14:textId="77777777" w:rsidR="00B71998" w:rsidRPr="00183B5F" w:rsidRDefault="00943743" w:rsidP="00FE0197">
            <w:pPr>
              <w:pStyle w:val="BodyTextIndent"/>
              <w:keepNext/>
              <w:ind w:left="0" w:right="53" w:firstLine="0"/>
              <w:rPr>
                <w:lang w:val="hu-HU"/>
              </w:rPr>
            </w:pPr>
            <w:r w:rsidRPr="00183B5F">
              <w:rPr>
                <w:lang w:val="hu-HU"/>
              </w:rPr>
              <w:t>Placebo/ MTX</w:t>
            </w:r>
          </w:p>
          <w:p w14:paraId="29D47ADA" w14:textId="77777777" w:rsidR="00B71998" w:rsidRPr="00183B5F" w:rsidRDefault="00943743" w:rsidP="00FE0197">
            <w:pPr>
              <w:pStyle w:val="BodyTextIndent"/>
              <w:keepNext/>
              <w:ind w:left="0" w:right="53" w:firstLine="0"/>
              <w:rPr>
                <w:lang w:val="hu-HU"/>
              </w:rPr>
            </w:pPr>
            <w:r w:rsidRPr="00183B5F">
              <w:rPr>
                <w:lang w:val="hu-HU"/>
              </w:rPr>
              <w:t>(N = 37)</w:t>
            </w:r>
          </w:p>
        </w:tc>
        <w:tc>
          <w:tcPr>
            <w:tcW w:w="1650" w:type="dxa"/>
          </w:tcPr>
          <w:p w14:paraId="5779C3B4" w14:textId="77777777" w:rsidR="00B71998" w:rsidRPr="00183B5F" w:rsidRDefault="00943743" w:rsidP="00FE0197">
            <w:pPr>
              <w:pStyle w:val="BodyTextIndent"/>
              <w:keepNext/>
              <w:ind w:left="0" w:right="53" w:firstLine="0"/>
              <w:rPr>
                <w:lang w:val="hu-HU"/>
              </w:rPr>
            </w:pPr>
            <w:r w:rsidRPr="00183B5F">
              <w:rPr>
                <w:lang w:val="hu-HU"/>
              </w:rPr>
              <w:t xml:space="preserve">Humira </w:t>
            </w:r>
          </w:p>
          <w:p w14:paraId="7555B5B1" w14:textId="77777777" w:rsidR="00B71998" w:rsidRPr="00183B5F" w:rsidRDefault="00943743" w:rsidP="00FE0197">
            <w:pPr>
              <w:pStyle w:val="BodyTextIndent"/>
              <w:keepNext/>
              <w:ind w:left="0" w:right="53" w:firstLine="0"/>
              <w:rPr>
                <w:lang w:val="hu-HU"/>
              </w:rPr>
            </w:pPr>
            <w:r w:rsidRPr="00183B5F">
              <w:rPr>
                <w:lang w:val="hu-HU"/>
              </w:rPr>
              <w:t>(N = 30)</w:t>
            </w:r>
          </w:p>
        </w:tc>
        <w:tc>
          <w:tcPr>
            <w:tcW w:w="1589" w:type="dxa"/>
          </w:tcPr>
          <w:p w14:paraId="74283751" w14:textId="77777777" w:rsidR="00B71998" w:rsidRPr="00183B5F" w:rsidRDefault="00943743" w:rsidP="00FE0197">
            <w:pPr>
              <w:pStyle w:val="BodyTextIndent"/>
              <w:keepNext/>
              <w:ind w:left="0" w:right="53" w:firstLine="0"/>
              <w:rPr>
                <w:lang w:val="hu-HU"/>
              </w:rPr>
            </w:pPr>
            <w:r w:rsidRPr="00183B5F">
              <w:rPr>
                <w:lang w:val="hu-HU"/>
              </w:rPr>
              <w:t>Placebo</w:t>
            </w:r>
          </w:p>
          <w:p w14:paraId="45DF0D8B" w14:textId="77777777" w:rsidR="00B71998" w:rsidRPr="00183B5F" w:rsidRDefault="00943743" w:rsidP="00FE0197">
            <w:pPr>
              <w:pStyle w:val="BodyTextIndent"/>
              <w:keepNext/>
              <w:ind w:left="0" w:right="53" w:firstLine="0"/>
              <w:rPr>
                <w:lang w:val="hu-HU"/>
              </w:rPr>
            </w:pPr>
            <w:r w:rsidRPr="00183B5F">
              <w:rPr>
                <w:lang w:val="hu-HU"/>
              </w:rPr>
              <w:t>(N = 28)</w:t>
            </w:r>
          </w:p>
        </w:tc>
      </w:tr>
      <w:tr w:rsidR="00011D2F" w14:paraId="2A501D4D" w14:textId="77777777" w:rsidTr="00135B97">
        <w:tc>
          <w:tcPr>
            <w:tcW w:w="2418" w:type="dxa"/>
          </w:tcPr>
          <w:p w14:paraId="340C0716" w14:textId="77777777" w:rsidR="00B71998" w:rsidRPr="00183B5F" w:rsidRDefault="00943743" w:rsidP="00135B97">
            <w:pPr>
              <w:pStyle w:val="BodyTextIndent"/>
              <w:keepNext/>
              <w:ind w:right="58" w:firstLine="0"/>
              <w:rPr>
                <w:lang w:val="hu-HU"/>
              </w:rPr>
            </w:pPr>
            <w:r w:rsidRPr="00183B5F">
              <w:rPr>
                <w:lang w:val="hu-HU"/>
              </w:rPr>
              <w:t>A betegség fellángolása a 32 hét végén</w:t>
            </w:r>
            <w:r w:rsidRPr="00183B5F">
              <w:rPr>
                <w:vertAlign w:val="superscript"/>
                <w:lang w:val="hu-HU"/>
              </w:rPr>
              <w:t>a</w:t>
            </w:r>
            <w:r w:rsidRPr="00183B5F">
              <w:rPr>
                <w:lang w:val="hu-HU"/>
              </w:rPr>
              <w:t xml:space="preserve"> (n/N)</w:t>
            </w:r>
          </w:p>
        </w:tc>
        <w:tc>
          <w:tcPr>
            <w:tcW w:w="1760" w:type="dxa"/>
          </w:tcPr>
          <w:p w14:paraId="4C789867" w14:textId="77777777" w:rsidR="00B71998" w:rsidRPr="00183B5F" w:rsidRDefault="00943743" w:rsidP="00135B97">
            <w:pPr>
              <w:pStyle w:val="BodyTextIndent"/>
              <w:keepNext/>
              <w:ind w:left="0" w:right="58" w:firstLine="0"/>
              <w:rPr>
                <w:lang w:val="hu-HU"/>
              </w:rPr>
            </w:pPr>
            <w:r w:rsidRPr="00183B5F">
              <w:rPr>
                <w:lang w:val="hu-HU"/>
              </w:rPr>
              <w:t>36,8% (14/38)</w:t>
            </w:r>
          </w:p>
        </w:tc>
        <w:tc>
          <w:tcPr>
            <w:tcW w:w="1760" w:type="dxa"/>
          </w:tcPr>
          <w:p w14:paraId="497B9736" w14:textId="77777777" w:rsidR="00B71998" w:rsidRPr="00183B5F" w:rsidRDefault="00943743" w:rsidP="00135B97">
            <w:pPr>
              <w:pStyle w:val="BodyTextIndent"/>
              <w:keepNext/>
              <w:ind w:left="0" w:right="58" w:firstLine="0"/>
              <w:rPr>
                <w:lang w:val="hu-HU"/>
              </w:rPr>
            </w:pPr>
            <w:r w:rsidRPr="00183B5F">
              <w:rPr>
                <w:lang w:val="hu-HU"/>
              </w:rPr>
              <w:t>64,9% (24/37)</w:t>
            </w:r>
            <w:r w:rsidRPr="00183B5F">
              <w:rPr>
                <w:vertAlign w:val="superscript"/>
                <w:lang w:val="hu-HU"/>
              </w:rPr>
              <w:t>b</w:t>
            </w:r>
          </w:p>
        </w:tc>
        <w:tc>
          <w:tcPr>
            <w:tcW w:w="1650" w:type="dxa"/>
          </w:tcPr>
          <w:p w14:paraId="2564CCC2" w14:textId="77777777" w:rsidR="00B71998" w:rsidRPr="00183B5F" w:rsidRDefault="00943743" w:rsidP="00135B97">
            <w:pPr>
              <w:pStyle w:val="BodyTextIndent"/>
              <w:keepNext/>
              <w:ind w:left="0" w:right="58" w:firstLine="0"/>
              <w:rPr>
                <w:lang w:val="hu-HU"/>
              </w:rPr>
            </w:pPr>
            <w:r w:rsidRPr="00183B5F">
              <w:rPr>
                <w:lang w:val="hu-HU"/>
              </w:rPr>
              <w:t>43,3% (13/30)</w:t>
            </w:r>
          </w:p>
        </w:tc>
        <w:tc>
          <w:tcPr>
            <w:tcW w:w="1589" w:type="dxa"/>
          </w:tcPr>
          <w:p w14:paraId="270FF5A9" w14:textId="77777777" w:rsidR="00B71998" w:rsidRPr="00183B5F" w:rsidRDefault="00943743" w:rsidP="00135B97">
            <w:pPr>
              <w:pStyle w:val="BodyTextIndent"/>
              <w:keepNext/>
              <w:ind w:left="0" w:right="58" w:firstLine="0"/>
              <w:rPr>
                <w:lang w:val="hu-HU"/>
              </w:rPr>
            </w:pPr>
            <w:r w:rsidRPr="00183B5F">
              <w:rPr>
                <w:lang w:val="hu-HU"/>
              </w:rPr>
              <w:t>71,4% (20/28)</w:t>
            </w:r>
            <w:r w:rsidRPr="00183B5F">
              <w:rPr>
                <w:vertAlign w:val="superscript"/>
                <w:lang w:val="hu-HU"/>
              </w:rPr>
              <w:t>c</w:t>
            </w:r>
          </w:p>
        </w:tc>
      </w:tr>
      <w:tr w:rsidR="00011D2F" w14:paraId="2012A933" w14:textId="77777777" w:rsidTr="00135B97">
        <w:tc>
          <w:tcPr>
            <w:tcW w:w="2418" w:type="dxa"/>
          </w:tcPr>
          <w:p w14:paraId="5E80E2B2" w14:textId="77777777" w:rsidR="00B71998" w:rsidRPr="00183B5F" w:rsidRDefault="00943743" w:rsidP="00135B97">
            <w:pPr>
              <w:pStyle w:val="BodyTextIndent"/>
              <w:ind w:right="53" w:firstLine="0"/>
              <w:rPr>
                <w:lang w:val="hu-HU"/>
              </w:rPr>
            </w:pPr>
            <w:r w:rsidRPr="00183B5F">
              <w:rPr>
                <w:lang w:val="hu-HU"/>
              </w:rPr>
              <w:t>A betegség fellángolásáig eltelt medián időtartam</w:t>
            </w:r>
          </w:p>
        </w:tc>
        <w:tc>
          <w:tcPr>
            <w:tcW w:w="1760" w:type="dxa"/>
          </w:tcPr>
          <w:p w14:paraId="1185AAB2" w14:textId="77777777" w:rsidR="00B71998" w:rsidRPr="00183B5F" w:rsidRDefault="00943743" w:rsidP="00135B97">
            <w:pPr>
              <w:pStyle w:val="BodyTextIndent"/>
              <w:ind w:left="0" w:right="53" w:firstLine="0"/>
              <w:rPr>
                <w:lang w:val="hu-HU"/>
              </w:rPr>
            </w:pPr>
            <w:r w:rsidRPr="00183B5F">
              <w:rPr>
                <w:lang w:val="hu-HU"/>
              </w:rPr>
              <w:t>&gt; 32 hét</w:t>
            </w:r>
          </w:p>
        </w:tc>
        <w:tc>
          <w:tcPr>
            <w:tcW w:w="1760" w:type="dxa"/>
          </w:tcPr>
          <w:p w14:paraId="4FF234F2" w14:textId="77777777" w:rsidR="00B71998" w:rsidRPr="00183B5F" w:rsidRDefault="00943743" w:rsidP="00135B97">
            <w:pPr>
              <w:pStyle w:val="BodyTextIndent"/>
              <w:ind w:left="0" w:right="53" w:firstLine="0"/>
              <w:rPr>
                <w:lang w:val="hu-HU"/>
              </w:rPr>
            </w:pPr>
            <w:r w:rsidRPr="00183B5F">
              <w:rPr>
                <w:lang w:val="hu-HU"/>
              </w:rPr>
              <w:t>20 hét</w:t>
            </w:r>
          </w:p>
        </w:tc>
        <w:tc>
          <w:tcPr>
            <w:tcW w:w="1650" w:type="dxa"/>
          </w:tcPr>
          <w:p w14:paraId="19E6104B" w14:textId="77777777" w:rsidR="00B71998" w:rsidRPr="00183B5F" w:rsidRDefault="00943743" w:rsidP="00135B97">
            <w:pPr>
              <w:pStyle w:val="BodyTextIndent"/>
              <w:ind w:left="0" w:right="53" w:firstLine="0"/>
              <w:rPr>
                <w:lang w:val="hu-HU"/>
              </w:rPr>
            </w:pPr>
            <w:r w:rsidRPr="00183B5F">
              <w:rPr>
                <w:lang w:val="hu-HU"/>
              </w:rPr>
              <w:t>&gt; 32 hét</w:t>
            </w:r>
          </w:p>
        </w:tc>
        <w:tc>
          <w:tcPr>
            <w:tcW w:w="1589" w:type="dxa"/>
          </w:tcPr>
          <w:p w14:paraId="2A0BC1B3" w14:textId="77777777" w:rsidR="00B71998" w:rsidRPr="00183B5F" w:rsidRDefault="00943743" w:rsidP="00135B97">
            <w:pPr>
              <w:pStyle w:val="BodyTextIndent"/>
              <w:ind w:left="0" w:right="53" w:firstLine="0"/>
              <w:rPr>
                <w:lang w:val="hu-HU"/>
              </w:rPr>
            </w:pPr>
            <w:r w:rsidRPr="00183B5F">
              <w:rPr>
                <w:lang w:val="hu-HU"/>
              </w:rPr>
              <w:t>14 hét</w:t>
            </w:r>
          </w:p>
        </w:tc>
      </w:tr>
    </w:tbl>
    <w:p w14:paraId="06F1D3B6" w14:textId="77777777" w:rsidR="00B71998" w:rsidRPr="00183B5F" w:rsidRDefault="00943743" w:rsidP="00B71998">
      <w:pPr>
        <w:pStyle w:val="BodyTextIndent"/>
        <w:ind w:left="110" w:right="53" w:firstLine="0"/>
        <w:rPr>
          <w:i/>
          <w:lang w:val="hu-HU"/>
        </w:rPr>
      </w:pPr>
      <w:r w:rsidRPr="00183B5F">
        <w:rPr>
          <w:vertAlign w:val="superscript"/>
          <w:lang w:val="hu-HU"/>
        </w:rPr>
        <w:t xml:space="preserve">a </w:t>
      </w:r>
      <w:r w:rsidRPr="00183B5F">
        <w:rPr>
          <w:lang w:val="hu-HU"/>
        </w:rPr>
        <w:t>A 48. heti Pediátriai ACR 30/50/70 válaszok szignifikánsan magasabbak, mint a placebóval kezelt betegeknél kapott értékek</w:t>
      </w:r>
    </w:p>
    <w:p w14:paraId="065399DA" w14:textId="77777777" w:rsidR="00B71998" w:rsidRPr="00183B5F" w:rsidRDefault="00943743" w:rsidP="00B71998">
      <w:pPr>
        <w:pStyle w:val="BodyTextIndent"/>
        <w:ind w:left="110" w:right="53" w:firstLine="0"/>
        <w:rPr>
          <w:lang w:val="hu-HU"/>
        </w:rPr>
      </w:pPr>
      <w:r w:rsidRPr="00183B5F">
        <w:rPr>
          <w:vertAlign w:val="superscript"/>
          <w:lang w:val="hu-HU"/>
        </w:rPr>
        <w:t>b</w:t>
      </w:r>
      <w:r w:rsidRPr="00183B5F">
        <w:rPr>
          <w:lang w:val="hu-HU"/>
        </w:rPr>
        <w:t xml:space="preserve"> p = 0,015</w:t>
      </w:r>
    </w:p>
    <w:p w14:paraId="50420487" w14:textId="77777777" w:rsidR="00B71998" w:rsidRPr="00183B5F" w:rsidRDefault="00943743" w:rsidP="00B71998">
      <w:pPr>
        <w:pStyle w:val="BodyTextIndent"/>
        <w:ind w:left="110" w:right="53" w:firstLine="0"/>
        <w:rPr>
          <w:lang w:val="hu-HU"/>
        </w:rPr>
      </w:pPr>
      <w:r w:rsidRPr="00183B5F">
        <w:rPr>
          <w:vertAlign w:val="superscript"/>
          <w:lang w:val="hu-HU"/>
        </w:rPr>
        <w:t>c</w:t>
      </w:r>
      <w:r w:rsidRPr="00183B5F">
        <w:rPr>
          <w:lang w:val="hu-HU"/>
        </w:rPr>
        <w:t xml:space="preserve"> p = 0,031</w:t>
      </w:r>
    </w:p>
    <w:p w14:paraId="0FB4A210" w14:textId="77777777" w:rsidR="00B71998" w:rsidRPr="00183B5F" w:rsidRDefault="00B71998" w:rsidP="00B71998">
      <w:pPr>
        <w:pStyle w:val="EMEANormal"/>
        <w:rPr>
          <w:lang w:val="hu-HU"/>
        </w:rPr>
      </w:pPr>
    </w:p>
    <w:p w14:paraId="1FB9EC52" w14:textId="77777777" w:rsidR="00B71998" w:rsidRPr="00183B5F" w:rsidRDefault="00943743" w:rsidP="00B71998">
      <w:pPr>
        <w:pStyle w:val="BodyTextIndent"/>
        <w:ind w:left="0" w:right="53" w:firstLine="0"/>
        <w:rPr>
          <w:lang w:val="hu-HU"/>
        </w:rPr>
      </w:pPr>
      <w:r w:rsidRPr="00183B5F">
        <w:rPr>
          <w:lang w:val="hu-HU"/>
        </w:rPr>
        <w:t>Azok közül, akiknél terápiás válasz alakult ki a 16. héten (n = 144), a Pediátriai ACR 30/50/70/90 válaszok a nyílt kiterjesztéses szakaszban akár 6 éven át fennmaradtak azoknál, akik Humira</w:t>
      </w:r>
      <w:r w:rsidRPr="00183B5F">
        <w:rPr>
          <w:bCs/>
          <w:szCs w:val="22"/>
          <w:lang w:val="hu-HU"/>
        </w:rPr>
        <w:noBreakHyphen/>
      </w:r>
      <w:r w:rsidRPr="00183B5F">
        <w:rPr>
          <w:lang w:val="hu-HU"/>
        </w:rPr>
        <w:t>t kaptak a vizsgálat teljes ideje alatt. Összesen 19 beteget kezeltek 6 évig vagy ennél hosszabb ideig, közülük 11</w:t>
      </w:r>
      <w:r w:rsidRPr="00183B5F">
        <w:rPr>
          <w:bCs/>
          <w:szCs w:val="22"/>
          <w:lang w:val="hu-HU"/>
        </w:rPr>
        <w:noBreakHyphen/>
      </w:r>
      <w:r w:rsidRPr="00183B5F">
        <w:rPr>
          <w:lang w:val="hu-HU"/>
        </w:rPr>
        <w:t>en tartoztak a 4 – 12 évesek, míg 8</w:t>
      </w:r>
      <w:r w:rsidRPr="00183B5F">
        <w:rPr>
          <w:bCs/>
          <w:szCs w:val="22"/>
          <w:lang w:val="hu-HU"/>
        </w:rPr>
        <w:noBreakHyphen/>
      </w:r>
      <w:r w:rsidRPr="00183B5F">
        <w:rPr>
          <w:lang w:val="hu-HU"/>
        </w:rPr>
        <w:t>an a 13 – 17 évesek kiindulási korcsoportjába.</w:t>
      </w:r>
    </w:p>
    <w:p w14:paraId="3AABDB95" w14:textId="77777777" w:rsidR="00B71998" w:rsidRPr="00183B5F" w:rsidRDefault="00B71998" w:rsidP="00B71998">
      <w:pPr>
        <w:pStyle w:val="EMEANormal"/>
        <w:rPr>
          <w:lang w:val="hu-HU"/>
        </w:rPr>
      </w:pPr>
    </w:p>
    <w:p w14:paraId="6E13BC24" w14:textId="77777777" w:rsidR="00B71998" w:rsidRPr="00183B5F" w:rsidRDefault="00943743" w:rsidP="00B71998">
      <w:pPr>
        <w:pStyle w:val="EMEANormal"/>
        <w:rPr>
          <w:lang w:val="hu-HU"/>
        </w:rPr>
      </w:pPr>
      <w:r w:rsidRPr="00183B5F">
        <w:rPr>
          <w:lang w:val="hu-HU"/>
        </w:rPr>
        <w:t>A Humira és MTX kombinációjával kezelteknél az összesített terápiás válaszok általában jobbak voltak és kevesebb betegnél alakultak ki antitestek, mint azoknál, akik a Humira</w:t>
      </w:r>
      <w:r w:rsidRPr="00183B5F">
        <w:rPr>
          <w:lang w:val="hu-HU"/>
        </w:rPr>
        <w:noBreakHyphen/>
        <w:t>t önmagában kapták. Ezeket az eredményeket figyelembe véve a Humira alkalmazása MTX</w:t>
      </w:r>
      <w:r w:rsidRPr="00183B5F">
        <w:rPr>
          <w:lang w:val="hu-HU"/>
        </w:rPr>
        <w:noBreakHyphen/>
        <w:t>kombinációban, illetve monoterápiaként olyan betegeknél ajánlott, akiknél az MTX alkalmazása nem megfelelő (lásd 4.2 pont).</w:t>
      </w:r>
    </w:p>
    <w:p w14:paraId="0625A931" w14:textId="77777777" w:rsidR="00B71998" w:rsidRPr="00183B5F" w:rsidRDefault="00B71998" w:rsidP="00B71998">
      <w:pPr>
        <w:pStyle w:val="EMEANormal"/>
        <w:rPr>
          <w:lang w:val="hu-HU"/>
        </w:rPr>
      </w:pPr>
    </w:p>
    <w:p w14:paraId="6DD876DE" w14:textId="77777777" w:rsidR="00B71998" w:rsidRPr="00183B5F" w:rsidRDefault="00943743" w:rsidP="00B71998">
      <w:pPr>
        <w:pStyle w:val="EMEANormal"/>
        <w:keepNext/>
        <w:rPr>
          <w:lang w:val="hu-HU"/>
        </w:rPr>
      </w:pPr>
      <w:r w:rsidRPr="00183B5F">
        <w:rPr>
          <w:lang w:val="hu-HU"/>
        </w:rPr>
        <w:t>pJIA II</w:t>
      </w:r>
    </w:p>
    <w:p w14:paraId="24551A16" w14:textId="77777777" w:rsidR="00B71998" w:rsidRPr="00183B5F" w:rsidRDefault="00B71998" w:rsidP="00B71998">
      <w:pPr>
        <w:pStyle w:val="EMEANormal"/>
        <w:keepNext/>
        <w:rPr>
          <w:lang w:val="hu-HU"/>
        </w:rPr>
      </w:pPr>
    </w:p>
    <w:p w14:paraId="6FD68625" w14:textId="77777777" w:rsidR="00B71998" w:rsidRPr="00183B5F" w:rsidRDefault="00943743" w:rsidP="00B71998">
      <w:pPr>
        <w:pStyle w:val="EMEANormal"/>
        <w:keepNext/>
        <w:rPr>
          <w:szCs w:val="22"/>
          <w:lang w:val="hu-HU"/>
        </w:rPr>
      </w:pPr>
      <w:r w:rsidRPr="00183B5F">
        <w:rPr>
          <w:lang w:val="hu-HU"/>
        </w:rPr>
        <w:t xml:space="preserve">A Humira biztonságosságát és hatásosságát egy nyílt, </w:t>
      </w:r>
      <w:r w:rsidRPr="00183B5F">
        <w:rPr>
          <w:szCs w:val="22"/>
          <w:lang w:val="hu-HU"/>
        </w:rPr>
        <w:t>multicentrikus vizsgálatban értékelték, amelyet 32 olyan gyermek bevonásával végeztek (életkoruk 2 </w:t>
      </w:r>
      <w:r w:rsidRPr="00183B5F">
        <w:rPr>
          <w:szCs w:val="22"/>
          <w:lang w:val="hu-HU"/>
        </w:rPr>
        <w:noBreakHyphen/>
        <w:t> &lt;4 év vagy 4 év és a feletti, testtömegük &lt;15 kg volt), akik közepesen súlyos vagy súlyos, aktív pJIA</w:t>
      </w:r>
      <w:r w:rsidRPr="00183B5F">
        <w:rPr>
          <w:szCs w:val="22"/>
          <w:lang w:val="hu-HU"/>
        </w:rPr>
        <w:noBreakHyphen/>
        <w:t>ban szenvedtek. A betegek 24 mg/ testfelszín m</w:t>
      </w:r>
      <w:r w:rsidRPr="00183B5F">
        <w:rPr>
          <w:szCs w:val="22"/>
          <w:vertAlign w:val="superscript"/>
          <w:lang w:val="hu-HU"/>
        </w:rPr>
        <w:t>2</w:t>
      </w:r>
      <w:r w:rsidRPr="00183B5F">
        <w:rPr>
          <w:szCs w:val="22"/>
          <w:lang w:val="hu-HU"/>
        </w:rPr>
        <w:t>, kéthetente legfeljebb 20 mg egyszeri adag Humira</w:t>
      </w:r>
      <w:r w:rsidRPr="00183B5F">
        <w:rPr>
          <w:szCs w:val="22"/>
          <w:lang w:val="hu-HU"/>
        </w:rPr>
        <w:noBreakHyphen/>
        <w:t>t kaptak sc. injekció formájában legalább 24 hétig. A vizsgálat alatt a legtöbb betegnél alkalmaztak kísérő MTX</w:t>
      </w:r>
      <w:r w:rsidRPr="00183B5F">
        <w:rPr>
          <w:szCs w:val="22"/>
          <w:lang w:val="hu-HU"/>
        </w:rPr>
        <w:noBreakHyphen/>
        <w:t>ot, néhány betegnél pedig kortikoszteroidok vagy nem szteroid gyulladásgátlók (NSAID) alkalmazásáró</w:t>
      </w:r>
      <w:r w:rsidRPr="00183B5F">
        <w:rPr>
          <w:szCs w:val="22"/>
          <w:lang w:val="hu-HU"/>
        </w:rPr>
        <w:t>l számoltak be.</w:t>
      </w:r>
    </w:p>
    <w:p w14:paraId="13E53693" w14:textId="77777777" w:rsidR="00B71998" w:rsidRPr="00183B5F" w:rsidRDefault="00B71998" w:rsidP="00B71998">
      <w:pPr>
        <w:pStyle w:val="EMEANormal"/>
        <w:rPr>
          <w:szCs w:val="22"/>
          <w:lang w:val="hu-HU"/>
        </w:rPr>
      </w:pPr>
    </w:p>
    <w:p w14:paraId="5B6B6610" w14:textId="77777777" w:rsidR="00B71998" w:rsidRPr="00183B5F" w:rsidRDefault="00943743" w:rsidP="00B71998">
      <w:pPr>
        <w:pStyle w:val="EMEANormal"/>
        <w:rPr>
          <w:lang w:val="hu-HU"/>
        </w:rPr>
      </w:pPr>
      <w:r w:rsidRPr="00183B5F">
        <w:rPr>
          <w:szCs w:val="22"/>
          <w:lang w:val="hu-HU"/>
        </w:rPr>
        <w:t xml:space="preserve">A Pediátriai ACR 30 válasz a 12. héten 93,5% volt, a 24. héten pedig 90,0% volt a megfigyelt adatok elemzése alapján. A Pediátriai ACR 50/70/90 választ elérő betegek aránya a 12. héten 90,3%/61,3%/38,7%, a 24. héten 83,3%/73,3%/36,7% volt. </w:t>
      </w:r>
      <w:r w:rsidRPr="00183B5F">
        <w:rPr>
          <w:lang w:val="hu-HU"/>
        </w:rPr>
        <w:t>Azok közül, akiknél terápiás válasz (Pediátriai ACR 30 ) alakult ki a 24. héten (n = 27 a 30 betegből), a Pediátriai ACR 30 válasz a nyílt kiterjesztéses szakaszban akár 60 hétig fennmaradt azoknál, akik Humira-t kaptak ebben az időszakban. Összesen 20 beteget kezeltek 60 hétig vagy ennél hosszabb ideig.</w:t>
      </w:r>
    </w:p>
    <w:p w14:paraId="42376AA6" w14:textId="77777777" w:rsidR="00B71998" w:rsidRPr="00183B5F" w:rsidRDefault="00B71998" w:rsidP="00B71998">
      <w:pPr>
        <w:pStyle w:val="EMEANormal"/>
        <w:rPr>
          <w:lang w:val="hu-HU"/>
        </w:rPr>
      </w:pPr>
    </w:p>
    <w:p w14:paraId="63033F4A" w14:textId="77777777" w:rsidR="00B71998" w:rsidRPr="00183B5F" w:rsidRDefault="00943743" w:rsidP="00B71998">
      <w:pPr>
        <w:keepNext/>
        <w:spacing w:line="240" w:lineRule="auto"/>
        <w:rPr>
          <w:i/>
          <w:szCs w:val="22"/>
          <w:u w:val="single"/>
        </w:rPr>
      </w:pPr>
      <w:r w:rsidRPr="00183B5F">
        <w:rPr>
          <w:i/>
          <w:szCs w:val="22"/>
          <w:u w:val="single"/>
        </w:rPr>
        <w:t>Enthesitis-asszociált arthritis</w:t>
      </w:r>
    </w:p>
    <w:p w14:paraId="0E9FE3AF" w14:textId="77777777" w:rsidR="00B71998" w:rsidRPr="00183B5F" w:rsidRDefault="00B71998" w:rsidP="00B71998">
      <w:pPr>
        <w:keepNext/>
        <w:spacing w:line="240" w:lineRule="auto"/>
        <w:rPr>
          <w:szCs w:val="22"/>
          <w:u w:val="single"/>
        </w:rPr>
      </w:pPr>
    </w:p>
    <w:p w14:paraId="26EE7656" w14:textId="77777777" w:rsidR="00B71998" w:rsidRPr="00183B5F" w:rsidRDefault="00943743" w:rsidP="00B71998">
      <w:pPr>
        <w:pStyle w:val="EMEANormal"/>
        <w:keepNext/>
        <w:rPr>
          <w:szCs w:val="22"/>
          <w:lang w:val="hu-HU"/>
        </w:rPr>
      </w:pPr>
      <w:r w:rsidRPr="00183B5F">
        <w:rPr>
          <w:lang w:val="hu-HU"/>
        </w:rPr>
        <w:t xml:space="preserve">A Humira biztonságosságát és hatásosságát egy </w:t>
      </w:r>
      <w:r w:rsidRPr="00183B5F">
        <w:rPr>
          <w:szCs w:val="22"/>
          <w:lang w:val="hu-HU"/>
        </w:rPr>
        <w:t>multicentrikus, randomizált, kettős vak vizsgálatban értékelték, amelyet 46 olyan beteg bevonásával végeztek (életkoruk 6</w:t>
      </w:r>
      <w:r w:rsidRPr="00183B5F">
        <w:rPr>
          <w:szCs w:val="22"/>
          <w:lang w:val="hu-HU"/>
        </w:rPr>
        <w:noBreakHyphen/>
        <w:t>17 év), akik közepesen súlyos enthesitis-asszociált arthritisben szenvedtek. A betegek vagy 24 mg/testfelszín m</w:t>
      </w:r>
      <w:r w:rsidRPr="00183B5F">
        <w:rPr>
          <w:szCs w:val="22"/>
          <w:vertAlign w:val="superscript"/>
          <w:lang w:val="hu-HU"/>
        </w:rPr>
        <w:t>2</w:t>
      </w:r>
      <w:r w:rsidRPr="00183B5F">
        <w:rPr>
          <w:szCs w:val="22"/>
          <w:lang w:val="hu-HU"/>
        </w:rPr>
        <w:t>, kéthetente legfeljebb 40 mg Humira</w:t>
      </w:r>
      <w:r w:rsidRPr="00183B5F">
        <w:rPr>
          <w:szCs w:val="22"/>
          <w:lang w:val="hu-HU"/>
        </w:rPr>
        <w:noBreakHyphen/>
        <w:t>t vagy placebót kaptak 12 hétig. A kettős vak szakaszt egy nyílt szakasz követte, ami alatt a betegek 24 mg/testfelszín m</w:t>
      </w:r>
      <w:r w:rsidRPr="00183B5F">
        <w:rPr>
          <w:szCs w:val="22"/>
          <w:vertAlign w:val="superscript"/>
          <w:lang w:val="hu-HU"/>
        </w:rPr>
        <w:t>2</w:t>
      </w:r>
      <w:r w:rsidRPr="00183B5F">
        <w:rPr>
          <w:szCs w:val="22"/>
          <w:lang w:val="hu-HU"/>
        </w:rPr>
        <w:t>, kéthetente legfeljebb 40 mg subcutan Humira</w:t>
      </w:r>
      <w:r w:rsidRPr="00183B5F">
        <w:rPr>
          <w:szCs w:val="22"/>
          <w:lang w:val="hu-HU"/>
        </w:rPr>
        <w:noBreakHyphen/>
        <w:t>t kaptak további 192 hétig. Az elsődleges végpont a kiindulási értékek és</w:t>
      </w:r>
      <w:r w:rsidRPr="00183B5F">
        <w:rPr>
          <w:szCs w:val="22"/>
          <w:lang w:val="hu-HU"/>
        </w:rPr>
        <w:t xml:space="preserve"> a 12. heti értékek közötti százalékos változás volt az aktív arthritises ízületek számában (ahol a duzzanatot nem az ízületi deformitás okozza vagy olyan ízület, amelynek mozgása korlátozott és fájdalmas és/vagy duzzadt). Az elsődleges végpont teljesült, a Humira</w:t>
      </w:r>
      <w:r w:rsidRPr="00183B5F">
        <w:rPr>
          <w:szCs w:val="22"/>
          <w:lang w:val="hu-HU"/>
        </w:rPr>
        <w:noBreakHyphen/>
        <w:t xml:space="preserve">csoportban az átlagos százalékos változás (csökkenés) </w:t>
      </w:r>
      <w:r w:rsidRPr="00183B5F">
        <w:rPr>
          <w:szCs w:val="22"/>
          <w:lang w:val="hu-HU"/>
        </w:rPr>
        <w:noBreakHyphen/>
        <w:t xml:space="preserve">62,6% (medián százalékos változás -88,9%) volt, a placebocsoportban pedig </w:t>
      </w:r>
      <w:r w:rsidRPr="00183B5F">
        <w:rPr>
          <w:szCs w:val="22"/>
          <w:lang w:val="hu-HU"/>
        </w:rPr>
        <w:noBreakHyphen/>
        <w:t xml:space="preserve">11,6% (medián százalékos változás </w:t>
      </w:r>
      <w:r w:rsidRPr="00183B5F">
        <w:rPr>
          <w:szCs w:val="22"/>
          <w:lang w:val="hu-HU"/>
        </w:rPr>
        <w:noBreakHyphen/>
        <w:t>50,0%) volt. Az aktív arthritises ízületek számának javulása a Humira-csoportban a</w:t>
      </w:r>
      <w:r w:rsidRPr="00183B5F">
        <w:rPr>
          <w:szCs w:val="22"/>
          <w:lang w:val="hu-HU"/>
        </w:rPr>
        <w:t xml:space="preserve"> 31 betegből a vizsgálatban maradó 26</w:t>
      </w:r>
      <w:r w:rsidRPr="00183B5F">
        <w:rPr>
          <w:szCs w:val="22"/>
          <w:lang w:val="hu-HU"/>
        </w:rPr>
        <w:noBreakHyphen/>
        <w:t>nál (84%) megmaradt a nyílt szakaszban a 156. hétig. Bár statisztikailag nem szignifikáns, de a betegek többsége klinikai javulást mutatott a másodlagos végpontok tekintetében is, pl. az enthesitis által érintett részek számában, az érzékeny ízületek számában, a duzzadt ízületek számában, a pediátriai ACR 50 válaszban és a pediátriai ACR 70 válaszban.</w:t>
      </w:r>
    </w:p>
    <w:p w14:paraId="253E78D7" w14:textId="77777777" w:rsidR="00135B97" w:rsidRPr="00183B5F" w:rsidRDefault="00135B97" w:rsidP="00B71998">
      <w:pPr>
        <w:pStyle w:val="EMEANormal"/>
        <w:keepNext/>
        <w:rPr>
          <w:szCs w:val="22"/>
          <w:lang w:val="hu-HU"/>
        </w:rPr>
      </w:pPr>
    </w:p>
    <w:p w14:paraId="68AEA167" w14:textId="77777777" w:rsidR="00135B97" w:rsidRPr="00183B5F" w:rsidRDefault="00943743" w:rsidP="00135B97">
      <w:pPr>
        <w:pStyle w:val="EMEANormal"/>
        <w:keepNext/>
        <w:rPr>
          <w:i/>
          <w:lang w:val="hu-HU"/>
        </w:rPr>
      </w:pPr>
      <w:r w:rsidRPr="00183B5F">
        <w:rPr>
          <w:i/>
          <w:lang w:val="hu-HU"/>
        </w:rPr>
        <w:t>Gyermekkori plakkos psoriasis</w:t>
      </w:r>
    </w:p>
    <w:p w14:paraId="0E72C955" w14:textId="77777777" w:rsidR="00135B97" w:rsidRPr="00183B5F" w:rsidRDefault="00135B97" w:rsidP="00135B97">
      <w:pPr>
        <w:pStyle w:val="EMEANormal"/>
        <w:keepNext/>
        <w:rPr>
          <w:szCs w:val="22"/>
          <w:lang w:val="hu-HU"/>
        </w:rPr>
      </w:pPr>
    </w:p>
    <w:p w14:paraId="64A27E58" w14:textId="77777777" w:rsidR="00135B97" w:rsidRPr="00183B5F" w:rsidRDefault="00943743" w:rsidP="00135B97">
      <w:pPr>
        <w:pStyle w:val="EMEANormal"/>
        <w:rPr>
          <w:szCs w:val="22"/>
          <w:lang w:val="hu-HU"/>
        </w:rPr>
      </w:pPr>
      <w:r w:rsidRPr="00183B5F">
        <w:rPr>
          <w:szCs w:val="22"/>
          <w:lang w:val="hu-HU"/>
        </w:rPr>
        <w:t>A Humira hatásosságát egy randomizált, kettős vak, kontrollos vizsgálattal értékelték, amelyet 114 olyan, 4 évnél idősebb, súlyos krónikus plakkos psoriasisban szenvedő gyermek (az orvos által végzett globális értékelés [Physician’s Global Assessment, PGA] szerint ≥ 4, vagy &gt; 20%-os testfelületi érintettség, vagy &gt; 10%-os testfelületi érintettség nagyon vastag elváltozásokkal, vagy psoriasisos terület és súlyossági index (</w:t>
      </w:r>
      <w:r w:rsidRPr="00183B5F">
        <w:rPr>
          <w:lang w:val="hu-HU"/>
        </w:rPr>
        <w:t xml:space="preserve">Psoriasis Area and Severity Index, </w:t>
      </w:r>
      <w:r w:rsidRPr="00183B5F">
        <w:rPr>
          <w:szCs w:val="22"/>
          <w:lang w:val="hu-HU"/>
        </w:rPr>
        <w:t>PASI) ≥ 20, vagy PASI ≥ 10 klinikailag jelentős arc-, genitális vagy kézfej/lábfej-érintettséggel) bevonásával végeztek, akiknél a helyi kezelés és fényterápia vagy a fototerápia hatástalan volt.</w:t>
      </w:r>
    </w:p>
    <w:p w14:paraId="48D5E636" w14:textId="77777777" w:rsidR="00135B97" w:rsidRPr="00183B5F" w:rsidRDefault="00135B97" w:rsidP="00135B97">
      <w:pPr>
        <w:pStyle w:val="EMEANormal"/>
        <w:rPr>
          <w:szCs w:val="22"/>
          <w:lang w:val="hu-HU"/>
        </w:rPr>
      </w:pPr>
    </w:p>
    <w:p w14:paraId="50ED8334" w14:textId="77777777" w:rsidR="00135B97" w:rsidRPr="00183B5F" w:rsidRDefault="00943743" w:rsidP="00135B97">
      <w:pPr>
        <w:pStyle w:val="EMEANormal"/>
        <w:rPr>
          <w:szCs w:val="22"/>
          <w:lang w:val="hu-HU"/>
        </w:rPr>
      </w:pPr>
      <w:r w:rsidRPr="00183B5F">
        <w:rPr>
          <w:szCs w:val="22"/>
          <w:lang w:val="hu-HU"/>
        </w:rPr>
        <w:t>A betegek 0,8 mg/ttkg (legfeljebb 40 mg), 40 mg/ttkg (legfeljebb 20 mg) Humira</w:t>
      </w:r>
      <w:r w:rsidRPr="00183B5F">
        <w:rPr>
          <w:szCs w:val="22"/>
          <w:lang w:val="hu-HU"/>
        </w:rPr>
        <w:noBreakHyphen/>
        <w:t>t kaptak kéthetente vagy 0,1</w:t>
      </w:r>
      <w:r w:rsidRPr="00183B5F">
        <w:rPr>
          <w:szCs w:val="22"/>
          <w:lang w:val="hu-HU"/>
        </w:rPr>
        <w:noBreakHyphen/>
      </w:r>
      <w:r w:rsidRPr="00183B5F">
        <w:rPr>
          <w:szCs w:val="22"/>
          <w:lang w:val="hu-HU"/>
        </w:rPr>
        <w:t>0,4 mg/ttkg (legfeljebb 25 mg) metotrexátot hetente. Tizenhat hetes kezelés után több, 0,8 mg/ttkg Humira</w:t>
      </w:r>
      <w:r w:rsidRPr="00183B5F">
        <w:rPr>
          <w:szCs w:val="22"/>
          <w:lang w:val="hu-HU"/>
        </w:rPr>
        <w:noBreakHyphen/>
        <w:t>ra randomizált beteg mutatott pozitív hatásossági választ (pl. PASI 75), mint a kéthetente 0,4 mg/ttkg Humira</w:t>
      </w:r>
      <w:r w:rsidRPr="00183B5F">
        <w:rPr>
          <w:szCs w:val="22"/>
          <w:lang w:val="hu-HU"/>
        </w:rPr>
        <w:noBreakHyphen/>
        <w:t>val vagy metotrexáttal kezelt betegek.</w:t>
      </w:r>
    </w:p>
    <w:p w14:paraId="42CF36B6" w14:textId="77777777" w:rsidR="00135B97" w:rsidRPr="00183B5F" w:rsidRDefault="00135B97" w:rsidP="00135B97">
      <w:pPr>
        <w:pStyle w:val="EMEANormal"/>
        <w:rPr>
          <w:szCs w:val="22"/>
          <w:lang w:val="hu-HU"/>
        </w:rPr>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464"/>
        <w:gridCol w:w="1554"/>
        <w:gridCol w:w="3070"/>
      </w:tblGrid>
      <w:tr w:rsidR="00011D2F" w14:paraId="2D53F1A5" w14:textId="77777777" w:rsidTr="00135B97">
        <w:trPr>
          <w:jc w:val="center"/>
        </w:trPr>
        <w:tc>
          <w:tcPr>
            <w:tcW w:w="5000" w:type="pct"/>
            <w:gridSpan w:val="3"/>
            <w:tcBorders>
              <w:top w:val="nil"/>
              <w:left w:val="nil"/>
              <w:bottom w:val="nil"/>
              <w:right w:val="nil"/>
            </w:tcBorders>
            <w:vAlign w:val="center"/>
          </w:tcPr>
          <w:p w14:paraId="2272AF46" w14:textId="77777777" w:rsidR="00135B97" w:rsidRPr="00183B5F" w:rsidRDefault="00943743" w:rsidP="00211B92">
            <w:pPr>
              <w:keepNext/>
              <w:autoSpaceDE w:val="0"/>
              <w:autoSpaceDN w:val="0"/>
              <w:adjustRightInd w:val="0"/>
              <w:spacing w:line="240" w:lineRule="auto"/>
              <w:jc w:val="center"/>
              <w:rPr>
                <w:b/>
                <w:bCs/>
                <w:szCs w:val="22"/>
              </w:rPr>
            </w:pPr>
            <w:r w:rsidRPr="00183B5F">
              <w:rPr>
                <w:rStyle w:val="gtcbold9"/>
                <w:bCs w:val="0"/>
                <w:szCs w:val="22"/>
              </w:rPr>
              <w:t>2</w:t>
            </w:r>
            <w:r w:rsidR="00211B92" w:rsidRPr="00183B5F">
              <w:rPr>
                <w:rStyle w:val="gtcbold9"/>
                <w:bCs w:val="0"/>
                <w:szCs w:val="22"/>
              </w:rPr>
              <w:t>7</w:t>
            </w:r>
            <w:r w:rsidRPr="00183B5F">
              <w:rPr>
                <w:rStyle w:val="gtcbold9"/>
                <w:bCs w:val="0"/>
                <w:szCs w:val="22"/>
              </w:rPr>
              <w:t xml:space="preserve">. táblázat: </w:t>
            </w:r>
            <w:r w:rsidRPr="00183B5F">
              <w:rPr>
                <w:b/>
                <w:bCs/>
                <w:szCs w:val="22"/>
              </w:rPr>
              <w:t>Gyermekkori plakkos psoriasis</w:t>
            </w:r>
          </w:p>
          <w:p w14:paraId="24BACB07" w14:textId="77777777" w:rsidR="00135B97" w:rsidRPr="00183B5F" w:rsidRDefault="00943743" w:rsidP="00135B97">
            <w:pPr>
              <w:keepNext/>
              <w:autoSpaceDE w:val="0"/>
              <w:autoSpaceDN w:val="0"/>
              <w:adjustRightInd w:val="0"/>
              <w:spacing w:line="240" w:lineRule="auto"/>
              <w:jc w:val="center"/>
              <w:rPr>
                <w:b/>
                <w:bCs/>
                <w:szCs w:val="22"/>
              </w:rPr>
            </w:pPr>
            <w:r w:rsidRPr="00183B5F">
              <w:rPr>
                <w:b/>
                <w:bCs/>
                <w:szCs w:val="22"/>
              </w:rPr>
              <w:t>Hatásossági eredmények a 16. héten</w:t>
            </w:r>
          </w:p>
          <w:p w14:paraId="2D0B80AB" w14:textId="77777777" w:rsidR="00135B97" w:rsidRPr="00183B5F" w:rsidRDefault="00135B97" w:rsidP="00135B97">
            <w:pPr>
              <w:keepNext/>
              <w:spacing w:line="240" w:lineRule="auto"/>
              <w:jc w:val="center"/>
              <w:rPr>
                <w:b/>
                <w:szCs w:val="22"/>
              </w:rPr>
            </w:pPr>
          </w:p>
        </w:tc>
      </w:tr>
      <w:tr w:rsidR="00011D2F" w14:paraId="5577F893" w14:textId="77777777" w:rsidTr="00135B97">
        <w:trPr>
          <w:jc w:val="center"/>
        </w:trPr>
        <w:tc>
          <w:tcPr>
            <w:tcW w:w="0" w:type="auto"/>
            <w:tcBorders>
              <w:top w:val="single" w:sz="6" w:space="0" w:color="000000"/>
              <w:left w:val="single" w:sz="6" w:space="0" w:color="000000"/>
              <w:bottom w:val="outset" w:sz="6" w:space="0" w:color="auto"/>
              <w:right w:val="outset" w:sz="6" w:space="0" w:color="auto"/>
            </w:tcBorders>
            <w:vAlign w:val="center"/>
          </w:tcPr>
          <w:p w14:paraId="086A1266" w14:textId="77777777" w:rsidR="00135B97" w:rsidRPr="00183B5F" w:rsidRDefault="00135B97" w:rsidP="00135B97">
            <w:pPr>
              <w:keepNext/>
              <w:spacing w:line="240" w:lineRule="auto"/>
              <w:rPr>
                <w:szCs w:val="22"/>
              </w:rPr>
            </w:pPr>
          </w:p>
        </w:tc>
        <w:tc>
          <w:tcPr>
            <w:tcW w:w="0" w:type="auto"/>
            <w:tcBorders>
              <w:top w:val="single" w:sz="6" w:space="0" w:color="000000"/>
              <w:left w:val="single" w:sz="6" w:space="0" w:color="000000"/>
              <w:bottom w:val="outset" w:sz="6" w:space="0" w:color="auto"/>
              <w:right w:val="outset" w:sz="6" w:space="0" w:color="auto"/>
            </w:tcBorders>
            <w:vAlign w:val="center"/>
          </w:tcPr>
          <w:p w14:paraId="68508328" w14:textId="77777777" w:rsidR="00135B97" w:rsidRPr="00183B5F" w:rsidRDefault="00943743" w:rsidP="00135B97">
            <w:pPr>
              <w:keepNext/>
              <w:spacing w:line="240" w:lineRule="auto"/>
              <w:jc w:val="center"/>
              <w:rPr>
                <w:szCs w:val="22"/>
              </w:rPr>
            </w:pPr>
            <w:r w:rsidRPr="00183B5F">
              <w:rPr>
                <w:szCs w:val="22"/>
              </w:rPr>
              <w:t>MTX</w:t>
            </w:r>
            <w:r w:rsidRPr="00183B5F">
              <w:rPr>
                <w:szCs w:val="22"/>
                <w:vertAlign w:val="superscript"/>
              </w:rPr>
              <w:t>a</w:t>
            </w:r>
            <w:r w:rsidRPr="00183B5F">
              <w:rPr>
                <w:szCs w:val="22"/>
              </w:rPr>
              <w:br/>
              <w:t xml:space="preserve">N = 37 </w:t>
            </w:r>
          </w:p>
        </w:tc>
        <w:tc>
          <w:tcPr>
            <w:tcW w:w="1898" w:type="pct"/>
            <w:tcBorders>
              <w:top w:val="single" w:sz="6" w:space="0" w:color="000000"/>
              <w:left w:val="single" w:sz="6" w:space="0" w:color="000000"/>
              <w:bottom w:val="outset" w:sz="6" w:space="0" w:color="auto"/>
              <w:right w:val="single" w:sz="6" w:space="0" w:color="000000"/>
            </w:tcBorders>
            <w:vAlign w:val="center"/>
          </w:tcPr>
          <w:p w14:paraId="73C486E5" w14:textId="77777777" w:rsidR="00135B97" w:rsidRPr="00183B5F" w:rsidRDefault="00943743" w:rsidP="00135B97">
            <w:pPr>
              <w:keepNext/>
              <w:spacing w:line="240" w:lineRule="auto"/>
              <w:jc w:val="center"/>
            </w:pPr>
            <w:r w:rsidRPr="00183B5F">
              <w:t>Humira 0,8 mg/ttkg kéthetente</w:t>
            </w:r>
            <w:r w:rsidRPr="00183B5F">
              <w:br/>
              <w:t xml:space="preserve">N = 38 </w:t>
            </w:r>
          </w:p>
        </w:tc>
      </w:tr>
      <w:tr w:rsidR="00011D2F" w14:paraId="6B06A451" w14:textId="77777777" w:rsidTr="00135B97">
        <w:trPr>
          <w:jc w:val="center"/>
        </w:trPr>
        <w:tc>
          <w:tcPr>
            <w:tcW w:w="0" w:type="auto"/>
            <w:tcBorders>
              <w:top w:val="single" w:sz="6" w:space="0" w:color="000000"/>
              <w:left w:val="single" w:sz="6" w:space="0" w:color="000000"/>
              <w:bottom w:val="outset" w:sz="6" w:space="0" w:color="auto"/>
              <w:right w:val="outset" w:sz="6" w:space="0" w:color="auto"/>
            </w:tcBorders>
            <w:vAlign w:val="center"/>
          </w:tcPr>
          <w:p w14:paraId="76880321" w14:textId="77777777" w:rsidR="00135B97" w:rsidRPr="00183B5F" w:rsidRDefault="00943743" w:rsidP="00135B97">
            <w:pPr>
              <w:keepNext/>
              <w:spacing w:line="240" w:lineRule="auto"/>
              <w:rPr>
                <w:szCs w:val="22"/>
              </w:rPr>
            </w:pPr>
            <w:r w:rsidRPr="00183B5F">
              <w:rPr>
                <w:szCs w:val="22"/>
              </w:rPr>
              <w:t> </w:t>
            </w:r>
            <w:r w:rsidRPr="00183B5F">
              <w:rPr>
                <w:szCs w:val="22"/>
              </w:rPr>
              <w:t>PASI 75</w:t>
            </w:r>
            <w:r w:rsidRPr="00183B5F">
              <w:rPr>
                <w:szCs w:val="22"/>
                <w:vertAlign w:val="superscript"/>
              </w:rPr>
              <w:t>b</w:t>
            </w:r>
          </w:p>
        </w:tc>
        <w:tc>
          <w:tcPr>
            <w:tcW w:w="0" w:type="auto"/>
            <w:tcBorders>
              <w:top w:val="single" w:sz="6" w:space="0" w:color="000000"/>
              <w:left w:val="single" w:sz="6" w:space="0" w:color="000000"/>
              <w:bottom w:val="outset" w:sz="6" w:space="0" w:color="auto"/>
              <w:right w:val="outset" w:sz="6" w:space="0" w:color="auto"/>
            </w:tcBorders>
            <w:vAlign w:val="center"/>
          </w:tcPr>
          <w:p w14:paraId="5AED001F" w14:textId="77777777" w:rsidR="00135B97" w:rsidRPr="00183B5F" w:rsidRDefault="00943743" w:rsidP="00135B97">
            <w:pPr>
              <w:keepNext/>
              <w:spacing w:line="240" w:lineRule="auto"/>
              <w:jc w:val="center"/>
              <w:rPr>
                <w:szCs w:val="22"/>
              </w:rPr>
            </w:pPr>
            <w:r w:rsidRPr="00183B5F">
              <w:rPr>
                <w:szCs w:val="22"/>
              </w:rPr>
              <w:t>12 (32,4%)</w:t>
            </w:r>
          </w:p>
        </w:tc>
        <w:tc>
          <w:tcPr>
            <w:tcW w:w="1898" w:type="pct"/>
            <w:tcBorders>
              <w:top w:val="single" w:sz="6" w:space="0" w:color="000000"/>
              <w:left w:val="single" w:sz="6" w:space="0" w:color="000000"/>
              <w:bottom w:val="outset" w:sz="6" w:space="0" w:color="auto"/>
              <w:right w:val="single" w:sz="6" w:space="0" w:color="000000"/>
            </w:tcBorders>
            <w:vAlign w:val="center"/>
          </w:tcPr>
          <w:p w14:paraId="512A9E45" w14:textId="77777777" w:rsidR="00135B97" w:rsidRPr="00183B5F" w:rsidRDefault="00943743" w:rsidP="00135B97">
            <w:pPr>
              <w:keepNext/>
              <w:spacing w:line="240" w:lineRule="auto"/>
              <w:jc w:val="center"/>
              <w:rPr>
                <w:szCs w:val="22"/>
              </w:rPr>
            </w:pPr>
            <w:r w:rsidRPr="00183B5F">
              <w:rPr>
                <w:szCs w:val="22"/>
              </w:rPr>
              <w:t>22 (57,9%)</w:t>
            </w:r>
          </w:p>
        </w:tc>
      </w:tr>
      <w:tr w:rsidR="00011D2F" w14:paraId="492CBAFE" w14:textId="77777777" w:rsidTr="00135B97">
        <w:trPr>
          <w:jc w:val="center"/>
        </w:trPr>
        <w:tc>
          <w:tcPr>
            <w:tcW w:w="0" w:type="auto"/>
            <w:tcBorders>
              <w:top w:val="single" w:sz="6" w:space="0" w:color="000000"/>
              <w:left w:val="single" w:sz="6" w:space="0" w:color="000000"/>
              <w:bottom w:val="single" w:sz="6" w:space="0" w:color="000000"/>
              <w:right w:val="outset" w:sz="6" w:space="0" w:color="auto"/>
            </w:tcBorders>
            <w:vAlign w:val="center"/>
          </w:tcPr>
          <w:p w14:paraId="78DA9CCD" w14:textId="77777777" w:rsidR="00135B97" w:rsidRPr="00183B5F" w:rsidRDefault="00943743" w:rsidP="00135B97">
            <w:pPr>
              <w:spacing w:line="240" w:lineRule="auto"/>
              <w:rPr>
                <w:szCs w:val="22"/>
              </w:rPr>
            </w:pPr>
            <w:r w:rsidRPr="00183B5F">
              <w:rPr>
                <w:szCs w:val="22"/>
              </w:rPr>
              <w:t> </w:t>
            </w:r>
            <w:r w:rsidRPr="00183B5F">
              <w:rPr>
                <w:szCs w:val="22"/>
              </w:rPr>
              <w:t>PGA: tiszta/minimális</w:t>
            </w:r>
            <w:r w:rsidRPr="00183B5F">
              <w:rPr>
                <w:szCs w:val="22"/>
                <w:vertAlign w:val="superscript"/>
              </w:rPr>
              <w:t>c</w:t>
            </w:r>
          </w:p>
        </w:tc>
        <w:tc>
          <w:tcPr>
            <w:tcW w:w="0" w:type="auto"/>
            <w:tcBorders>
              <w:top w:val="single" w:sz="6" w:space="0" w:color="000000"/>
              <w:left w:val="single" w:sz="6" w:space="0" w:color="000000"/>
              <w:bottom w:val="single" w:sz="6" w:space="0" w:color="000000"/>
              <w:right w:val="outset" w:sz="6" w:space="0" w:color="auto"/>
            </w:tcBorders>
            <w:vAlign w:val="center"/>
          </w:tcPr>
          <w:p w14:paraId="75BE5B88" w14:textId="77777777" w:rsidR="00135B97" w:rsidRPr="00183B5F" w:rsidRDefault="00943743" w:rsidP="00135B97">
            <w:pPr>
              <w:spacing w:line="240" w:lineRule="auto"/>
              <w:jc w:val="center"/>
              <w:rPr>
                <w:szCs w:val="22"/>
              </w:rPr>
            </w:pPr>
            <w:r w:rsidRPr="00183B5F">
              <w:rPr>
                <w:szCs w:val="22"/>
              </w:rPr>
              <w:t>15 (40,5%)</w:t>
            </w:r>
          </w:p>
        </w:tc>
        <w:tc>
          <w:tcPr>
            <w:tcW w:w="1898" w:type="pct"/>
            <w:tcBorders>
              <w:top w:val="single" w:sz="6" w:space="0" w:color="000000"/>
              <w:left w:val="single" w:sz="6" w:space="0" w:color="000000"/>
              <w:bottom w:val="single" w:sz="6" w:space="0" w:color="000000"/>
              <w:right w:val="single" w:sz="6" w:space="0" w:color="000000"/>
            </w:tcBorders>
            <w:vAlign w:val="center"/>
          </w:tcPr>
          <w:p w14:paraId="22CA6260" w14:textId="77777777" w:rsidR="00135B97" w:rsidRPr="00183B5F" w:rsidRDefault="00943743" w:rsidP="00135B97">
            <w:pPr>
              <w:spacing w:line="240" w:lineRule="auto"/>
              <w:jc w:val="center"/>
              <w:rPr>
                <w:szCs w:val="22"/>
              </w:rPr>
            </w:pPr>
            <w:r w:rsidRPr="00183B5F">
              <w:rPr>
                <w:szCs w:val="22"/>
              </w:rPr>
              <w:t>23 (60,5%)</w:t>
            </w:r>
          </w:p>
        </w:tc>
      </w:tr>
      <w:tr w:rsidR="00011D2F" w14:paraId="2E3BF493" w14:textId="77777777" w:rsidTr="00135B97">
        <w:trPr>
          <w:jc w:val="center"/>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540E6C01" w14:textId="77777777" w:rsidR="00135B97" w:rsidRPr="00183B5F" w:rsidRDefault="00943743" w:rsidP="00135B97">
            <w:pPr>
              <w:spacing w:line="240" w:lineRule="auto"/>
            </w:pPr>
            <w:r w:rsidRPr="00183B5F">
              <w:rPr>
                <w:vertAlign w:val="superscript"/>
              </w:rPr>
              <w:t xml:space="preserve">a </w:t>
            </w:r>
            <w:r w:rsidRPr="00183B5F">
              <w:t>MTX = metotrexát</w:t>
            </w:r>
          </w:p>
          <w:p w14:paraId="48523203" w14:textId="77777777" w:rsidR="00135B97" w:rsidRPr="00183B5F" w:rsidRDefault="00943743" w:rsidP="00135B97">
            <w:pPr>
              <w:spacing w:line="240" w:lineRule="auto"/>
            </w:pPr>
            <w:r w:rsidRPr="00183B5F">
              <w:rPr>
                <w:vertAlign w:val="superscript"/>
              </w:rPr>
              <w:t>b</w:t>
            </w:r>
            <w:r w:rsidRPr="00183B5F">
              <w:t xml:space="preserve"> P = 0,027, Humira 0,8 mg/ttkg vs. MTX</w:t>
            </w:r>
          </w:p>
          <w:p w14:paraId="14557A27" w14:textId="77777777" w:rsidR="00135B97" w:rsidRPr="00183B5F" w:rsidRDefault="00943743" w:rsidP="00135B97">
            <w:pPr>
              <w:spacing w:line="240" w:lineRule="auto"/>
            </w:pPr>
            <w:r w:rsidRPr="00183B5F">
              <w:rPr>
                <w:vertAlign w:val="superscript"/>
              </w:rPr>
              <w:t>c</w:t>
            </w:r>
            <w:r w:rsidRPr="00183B5F">
              <w:t xml:space="preserve"> P = 0,083, Humira 0,8 mg/ttkg vs. MTX</w:t>
            </w:r>
          </w:p>
        </w:tc>
      </w:tr>
    </w:tbl>
    <w:p w14:paraId="4D226D0A" w14:textId="77777777" w:rsidR="00135B97" w:rsidRPr="00183B5F" w:rsidRDefault="00135B97" w:rsidP="00135B97">
      <w:pPr>
        <w:pStyle w:val="EMEANormal"/>
        <w:rPr>
          <w:szCs w:val="22"/>
          <w:lang w:val="hu-HU"/>
        </w:rPr>
      </w:pPr>
    </w:p>
    <w:p w14:paraId="3CBDF6F8" w14:textId="77777777" w:rsidR="00135B97" w:rsidRPr="00183B5F" w:rsidRDefault="00943743" w:rsidP="00135B97">
      <w:pPr>
        <w:pStyle w:val="EMEANormal"/>
        <w:rPr>
          <w:szCs w:val="22"/>
          <w:lang w:val="hu-HU"/>
        </w:rPr>
      </w:pPr>
      <w:r w:rsidRPr="00183B5F">
        <w:rPr>
          <w:szCs w:val="22"/>
          <w:lang w:val="hu-HU"/>
        </w:rPr>
        <w:t>Azoknál a betegeknél, akik elérték a PASI 75 és a PGA szerinti tiszta vagy minimális értéket, felfüggesztették a kezelést legfeljebb 36 hétre, és az állapotuk romlását monitorozták (pl. a PGA-érték rosszabbodását legalább 2 értékkel). Majd további 16 héten át a betegeket kéthetente 0,8 mg/ttkg adalimumabbal kezelték, és az ez alatt megfigyelt válaszértékek hasonlóak voltak az előzőleg végzett kettős vak vizsgálathoz: 78,9%</w:t>
      </w:r>
      <w:r w:rsidRPr="00183B5F">
        <w:rPr>
          <w:szCs w:val="22"/>
          <w:lang w:val="hu-HU"/>
        </w:rPr>
        <w:noBreakHyphen/>
        <w:t>nál alakult ki PASI 75 válasz (19 betegből 15) és 52,6%</w:t>
      </w:r>
      <w:r w:rsidRPr="00183B5F">
        <w:rPr>
          <w:szCs w:val="22"/>
          <w:lang w:val="hu-HU"/>
        </w:rPr>
        <w:noBreakHyphen/>
        <w:t>nál alakult ki PGA szerinti tiszta vagy minimális (19 betegből 10) válasz.</w:t>
      </w:r>
    </w:p>
    <w:p w14:paraId="5EB855DE" w14:textId="77777777" w:rsidR="00135B97" w:rsidRPr="00183B5F" w:rsidRDefault="00135B97" w:rsidP="00135B97">
      <w:pPr>
        <w:pStyle w:val="EMEANormal"/>
        <w:rPr>
          <w:szCs w:val="22"/>
          <w:lang w:val="hu-HU"/>
        </w:rPr>
      </w:pPr>
    </w:p>
    <w:p w14:paraId="60C31451" w14:textId="77777777" w:rsidR="00135B97" w:rsidRPr="00183B5F" w:rsidRDefault="00943743" w:rsidP="00135B97">
      <w:pPr>
        <w:pStyle w:val="EMEANormal"/>
        <w:rPr>
          <w:szCs w:val="22"/>
          <w:lang w:val="hu-HU"/>
        </w:rPr>
      </w:pPr>
      <w:r w:rsidRPr="00183B5F">
        <w:rPr>
          <w:szCs w:val="22"/>
          <w:lang w:val="hu-HU"/>
        </w:rPr>
        <w:t>A vizsgálat nyílt szakaszában a PASI 75 és PGA szerinti tiszta vagy minimális érték legfeljebb további 52 hétig fennmaradt új biztonsági esemény nélkül.</w:t>
      </w:r>
    </w:p>
    <w:p w14:paraId="36EF4C21" w14:textId="77777777" w:rsidR="00DD5E3A" w:rsidRPr="00183B5F" w:rsidRDefault="00DD5E3A" w:rsidP="00DD5E3A">
      <w:pPr>
        <w:pStyle w:val="EMEANormal"/>
        <w:rPr>
          <w:szCs w:val="22"/>
          <w:lang w:val="hu-HU"/>
        </w:rPr>
      </w:pPr>
    </w:p>
    <w:p w14:paraId="15486CA0" w14:textId="77777777" w:rsidR="00135B97" w:rsidRPr="00183B5F" w:rsidRDefault="00943743" w:rsidP="00135B97">
      <w:pPr>
        <w:pStyle w:val="EMEANormal"/>
        <w:keepNext/>
        <w:rPr>
          <w:i/>
          <w:szCs w:val="22"/>
          <w:lang w:val="hu-HU"/>
        </w:rPr>
      </w:pPr>
      <w:r w:rsidRPr="00183B5F">
        <w:rPr>
          <w:i/>
          <w:szCs w:val="22"/>
          <w:lang w:val="hu-HU"/>
        </w:rPr>
        <w:t>Serdülőkori hidradenitis suppurativa</w:t>
      </w:r>
    </w:p>
    <w:p w14:paraId="167BF96A" w14:textId="77777777" w:rsidR="00135B97" w:rsidRPr="00183B5F" w:rsidRDefault="00135B97" w:rsidP="00135B97">
      <w:pPr>
        <w:pStyle w:val="EMEANormal"/>
        <w:keepNext/>
        <w:rPr>
          <w:i/>
          <w:szCs w:val="22"/>
          <w:lang w:val="hu-HU"/>
        </w:rPr>
      </w:pPr>
    </w:p>
    <w:p w14:paraId="2D1C0F55" w14:textId="77777777" w:rsidR="00135B97" w:rsidRPr="00183B5F" w:rsidRDefault="00943743" w:rsidP="00135B97">
      <w:pPr>
        <w:keepNext/>
        <w:spacing w:line="240" w:lineRule="auto"/>
        <w:rPr>
          <w:szCs w:val="22"/>
        </w:rPr>
      </w:pPr>
      <w:r w:rsidRPr="00183B5F">
        <w:rPr>
          <w:szCs w:val="22"/>
        </w:rPr>
        <w:t>A Humira-val nem folytattak klinikai vizsgálatokat HS-ben szenvedő serdülőkorú betegeknél. Az adalimumab hatásossága a HS-ben szenvedő serdülőkorú betegeknél a felnőtt HS betegeknél mutatott hatásosság és expozíciós válasz alapján előre látható, valamint annak a valószínűsége alapján, hogy betegség lefolyása, a kórélettan és a gyógyszer hatása lényegében megegyezik a felnőtteknél észlelttel az azonos expozíciós szinteken. A serdülőkori HS</w:t>
      </w:r>
      <w:r w:rsidRPr="00183B5F">
        <w:rPr>
          <w:szCs w:val="22"/>
        </w:rPr>
        <w:noBreakHyphen/>
        <w:t>ben ajánlott adalimumab adag biztonságosságának alapja az adalimumab keresztindikációs biztonságossági profilja mind a felnőtt, mind gyermekgyógyászati betegeknél, azonos vagy gyakoribb adagolás mellett (lásd 5.2 pont).</w:t>
      </w:r>
    </w:p>
    <w:p w14:paraId="2884EFB8" w14:textId="77777777" w:rsidR="00135B97" w:rsidRPr="00183B5F" w:rsidRDefault="00135B97" w:rsidP="00135B97">
      <w:pPr>
        <w:spacing w:line="240" w:lineRule="auto"/>
        <w:rPr>
          <w:szCs w:val="22"/>
        </w:rPr>
      </w:pPr>
    </w:p>
    <w:p w14:paraId="0EED3665" w14:textId="77777777" w:rsidR="00135B97" w:rsidRPr="00183B5F" w:rsidRDefault="00943743" w:rsidP="00135B97">
      <w:pPr>
        <w:pStyle w:val="EMEAHeadingUnderline"/>
        <w:tabs>
          <w:tab w:val="clear" w:pos="562"/>
        </w:tabs>
        <w:spacing w:beforeLines="0" w:afterLines="0"/>
        <w:rPr>
          <w:i/>
          <w:szCs w:val="22"/>
          <w:u w:val="none"/>
          <w:lang w:val="hu-HU"/>
        </w:rPr>
      </w:pPr>
      <w:r w:rsidRPr="00183B5F">
        <w:rPr>
          <w:i/>
          <w:szCs w:val="22"/>
          <w:u w:val="none"/>
          <w:lang w:val="hu-HU"/>
        </w:rPr>
        <w:t>Gyermekkori Crohn</w:t>
      </w:r>
      <w:r w:rsidRPr="00183B5F">
        <w:rPr>
          <w:i/>
          <w:szCs w:val="22"/>
          <w:u w:val="none"/>
          <w:lang w:val="hu-HU"/>
        </w:rPr>
        <w:noBreakHyphen/>
        <w:t>betegség</w:t>
      </w:r>
    </w:p>
    <w:p w14:paraId="3D4C7E48" w14:textId="77777777" w:rsidR="00135B97" w:rsidRPr="00183B5F" w:rsidRDefault="00943743" w:rsidP="00135B97">
      <w:pPr>
        <w:pStyle w:val="EMEAHeadingUnderline"/>
        <w:tabs>
          <w:tab w:val="clear" w:pos="562"/>
        </w:tabs>
        <w:spacing w:beforeLines="0" w:afterLines="0"/>
        <w:rPr>
          <w:szCs w:val="22"/>
          <w:u w:val="none"/>
          <w:lang w:val="hu-HU"/>
        </w:rPr>
      </w:pPr>
      <w:r w:rsidRPr="00183B5F">
        <w:rPr>
          <w:szCs w:val="22"/>
          <w:lang w:val="hu-HU"/>
        </w:rPr>
        <w:br/>
      </w:r>
      <w:r w:rsidRPr="00183B5F">
        <w:rPr>
          <w:szCs w:val="22"/>
          <w:u w:val="none"/>
          <w:lang w:val="hu-HU"/>
        </w:rPr>
        <w:t>Egy multicentrikus, randomizált, kettős vak klinikai vizsgálatban tanulmányozták az indukciós és fenntartó Humira</w:t>
      </w:r>
      <w:r w:rsidRPr="00183B5F">
        <w:rPr>
          <w:szCs w:val="22"/>
          <w:u w:val="none"/>
          <w:lang w:val="hu-HU"/>
        </w:rPr>
        <w:noBreakHyphen/>
        <w:t>kezelés hatásosságát és biztonságosságát testtömegre illesztett dózisokkal (&lt; 40 kg vagy ≥ 40 kg) 192, 6-17 éves korú (bezárólag), közepesen súlyos-súlyos aktivitású Crohn</w:t>
      </w:r>
      <w:r w:rsidRPr="00183B5F">
        <w:rPr>
          <w:szCs w:val="22"/>
          <w:u w:val="none"/>
          <w:lang w:val="hu-HU"/>
        </w:rPr>
        <w:noBreakHyphen/>
        <w:t>betegségben (CD) szenvedő gyermekeknél, amely a definíció szerint PCDAI (Gyermekkori Crohn</w:t>
      </w:r>
      <w:r w:rsidRPr="00183B5F">
        <w:rPr>
          <w:szCs w:val="22"/>
          <w:u w:val="none"/>
          <w:lang w:val="hu-HU"/>
        </w:rPr>
        <w:noBreakHyphen/>
        <w:t>betegség Aktivitási Index)-pontszám &gt; 30 esetén állt fenn. Beválasztási kritérium volt, hogy a betegek nem reagáltak a CD hagyományos k</w:t>
      </w:r>
      <w:r w:rsidRPr="00183B5F">
        <w:rPr>
          <w:szCs w:val="22"/>
          <w:u w:val="none"/>
          <w:lang w:val="hu-HU"/>
        </w:rPr>
        <w:t>ezelésére (beleértve egy kortikoszteroidot és/vagy egy immunmodulátort). Az infliximab hatásának megszűnése vagy az arra kialakuló intolerancia a kórtörténetben megengedett volt.</w:t>
      </w:r>
    </w:p>
    <w:p w14:paraId="3A9575D6" w14:textId="77777777" w:rsidR="00135B97" w:rsidRPr="00183B5F" w:rsidRDefault="00135B97" w:rsidP="00135B97">
      <w:pPr>
        <w:spacing w:line="240" w:lineRule="auto"/>
        <w:rPr>
          <w:szCs w:val="22"/>
        </w:rPr>
      </w:pPr>
    </w:p>
    <w:p w14:paraId="12D658E1" w14:textId="77777777" w:rsidR="00135B97" w:rsidRPr="00183B5F" w:rsidRDefault="00943743" w:rsidP="00135B97">
      <w:pPr>
        <w:pStyle w:val="EMEANormal"/>
        <w:rPr>
          <w:szCs w:val="22"/>
          <w:lang w:val="hu-HU"/>
        </w:rPr>
      </w:pPr>
      <w:r w:rsidRPr="00183B5F">
        <w:rPr>
          <w:szCs w:val="22"/>
          <w:lang w:val="hu-HU"/>
        </w:rPr>
        <w:t>Minden beteg nyílt indukciós kezelést kapott a kiindulási testtömegnek megfelelő dózisban: a 0. héten 160 mg és a 2. héten 80 mg a legalább 40 kg testtömegű betegeknél, valamint 80 és 40 mg a 40 kg alatti testtömegű betegeknél.</w:t>
      </w:r>
    </w:p>
    <w:p w14:paraId="441C63D0" w14:textId="77777777" w:rsidR="00135B97" w:rsidRPr="00183B5F" w:rsidRDefault="00135B97" w:rsidP="00135B97">
      <w:pPr>
        <w:pStyle w:val="EMEANormal"/>
        <w:rPr>
          <w:szCs w:val="22"/>
          <w:lang w:val="hu-HU"/>
        </w:rPr>
      </w:pPr>
    </w:p>
    <w:p w14:paraId="102E059F" w14:textId="77777777" w:rsidR="00135B97" w:rsidRPr="00183B5F" w:rsidRDefault="00943743" w:rsidP="00211B92">
      <w:pPr>
        <w:pStyle w:val="EMEANormal"/>
        <w:rPr>
          <w:szCs w:val="22"/>
          <w:lang w:val="hu-HU"/>
        </w:rPr>
      </w:pPr>
      <w:r w:rsidRPr="00183B5F">
        <w:rPr>
          <w:szCs w:val="22"/>
          <w:lang w:val="hu-HU"/>
        </w:rPr>
        <w:t>A 4. héten a betegeket az aktuális testtömegük alapján Alacsony dózisú vagy Standard dózisú fenntartó kezelési sémákra randomizálták 1:1 arányban (2</w:t>
      </w:r>
      <w:r w:rsidR="00211B92" w:rsidRPr="00183B5F">
        <w:rPr>
          <w:szCs w:val="22"/>
          <w:lang w:val="hu-HU"/>
        </w:rPr>
        <w:t>8</w:t>
      </w:r>
      <w:r w:rsidRPr="00183B5F">
        <w:rPr>
          <w:szCs w:val="22"/>
          <w:lang w:val="hu-HU"/>
        </w:rPr>
        <w:t>. táblázat).</w:t>
      </w:r>
    </w:p>
    <w:p w14:paraId="509A5D2F" w14:textId="77777777" w:rsidR="00135B97" w:rsidRPr="00183B5F" w:rsidRDefault="00135B97" w:rsidP="00135B97">
      <w:pPr>
        <w:spacing w:line="240" w:lineRule="auto"/>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8"/>
        <w:gridCol w:w="1604"/>
        <w:gridCol w:w="1629"/>
      </w:tblGrid>
      <w:tr w:rsidR="00011D2F" w14:paraId="6E144A2C" w14:textId="77777777" w:rsidTr="00FC288C">
        <w:trPr>
          <w:trHeight w:val="263"/>
          <w:jc w:val="center"/>
        </w:trPr>
        <w:tc>
          <w:tcPr>
            <w:tcW w:w="0" w:type="auto"/>
            <w:gridSpan w:val="3"/>
            <w:tcBorders>
              <w:top w:val="nil"/>
              <w:left w:val="nil"/>
              <w:right w:val="nil"/>
            </w:tcBorders>
          </w:tcPr>
          <w:p w14:paraId="4CF5A54C" w14:textId="77777777" w:rsidR="00135B97" w:rsidRPr="00183B5F" w:rsidRDefault="00943743" w:rsidP="00FC288C">
            <w:pPr>
              <w:pStyle w:val="EMEANormal"/>
              <w:keepNext/>
              <w:jc w:val="center"/>
              <w:rPr>
                <w:b/>
                <w:szCs w:val="22"/>
                <w:lang w:val="hu-HU"/>
              </w:rPr>
            </w:pPr>
            <w:r w:rsidRPr="00183B5F">
              <w:rPr>
                <w:b/>
                <w:szCs w:val="22"/>
                <w:lang w:val="hu-HU"/>
              </w:rPr>
              <w:t>2</w:t>
            </w:r>
            <w:r w:rsidR="00211B92" w:rsidRPr="00183B5F">
              <w:rPr>
                <w:b/>
                <w:szCs w:val="22"/>
                <w:lang w:val="hu-HU"/>
              </w:rPr>
              <w:t>8</w:t>
            </w:r>
            <w:r w:rsidRPr="00183B5F">
              <w:rPr>
                <w:b/>
                <w:szCs w:val="22"/>
                <w:lang w:val="hu-HU"/>
              </w:rPr>
              <w:t>. táblázat</w:t>
            </w:r>
          </w:p>
          <w:p w14:paraId="06D32A8E" w14:textId="77777777" w:rsidR="00135B97" w:rsidRPr="00183B5F" w:rsidRDefault="00943743" w:rsidP="00FC288C">
            <w:pPr>
              <w:pStyle w:val="EMEANormal"/>
              <w:keepNext/>
              <w:jc w:val="center"/>
              <w:rPr>
                <w:szCs w:val="22"/>
                <w:lang w:val="hu-HU"/>
              </w:rPr>
            </w:pPr>
            <w:r w:rsidRPr="00183B5F">
              <w:rPr>
                <w:b/>
                <w:szCs w:val="22"/>
                <w:lang w:val="hu-HU"/>
              </w:rPr>
              <w:t>Fenntartó kezelési séma</w:t>
            </w:r>
          </w:p>
        </w:tc>
      </w:tr>
      <w:tr w:rsidR="00011D2F" w14:paraId="43A53C3A" w14:textId="77777777" w:rsidTr="00FC288C">
        <w:trPr>
          <w:jc w:val="center"/>
        </w:trPr>
        <w:tc>
          <w:tcPr>
            <w:tcW w:w="0" w:type="auto"/>
          </w:tcPr>
          <w:p w14:paraId="1B6E69DB" w14:textId="77777777" w:rsidR="00135B97" w:rsidRPr="00183B5F" w:rsidRDefault="00943743" w:rsidP="00135B97">
            <w:pPr>
              <w:pStyle w:val="EMEANormal"/>
              <w:rPr>
                <w:b/>
                <w:szCs w:val="22"/>
                <w:lang w:val="hu-HU"/>
              </w:rPr>
            </w:pPr>
            <w:r w:rsidRPr="00183B5F">
              <w:rPr>
                <w:b/>
                <w:szCs w:val="22"/>
                <w:lang w:val="hu-HU"/>
              </w:rPr>
              <w:t>A beteg testtömege</w:t>
            </w:r>
          </w:p>
        </w:tc>
        <w:tc>
          <w:tcPr>
            <w:tcW w:w="0" w:type="auto"/>
          </w:tcPr>
          <w:p w14:paraId="75DFB160" w14:textId="77777777" w:rsidR="00135B97" w:rsidRPr="00183B5F" w:rsidRDefault="00943743" w:rsidP="00135B97">
            <w:pPr>
              <w:pStyle w:val="EMEANormal"/>
              <w:rPr>
                <w:b/>
                <w:szCs w:val="22"/>
                <w:lang w:val="hu-HU"/>
              </w:rPr>
            </w:pPr>
            <w:r w:rsidRPr="00183B5F">
              <w:rPr>
                <w:b/>
                <w:szCs w:val="22"/>
                <w:lang w:val="hu-HU"/>
              </w:rPr>
              <w:t>Alacsony dózis</w:t>
            </w:r>
          </w:p>
        </w:tc>
        <w:tc>
          <w:tcPr>
            <w:tcW w:w="0" w:type="auto"/>
          </w:tcPr>
          <w:p w14:paraId="21A4A045" w14:textId="77777777" w:rsidR="00135B97" w:rsidRPr="00183B5F" w:rsidRDefault="00943743" w:rsidP="00FC288C">
            <w:pPr>
              <w:pStyle w:val="EMEANormal"/>
              <w:keepNext/>
              <w:rPr>
                <w:b/>
                <w:szCs w:val="22"/>
                <w:lang w:val="hu-HU"/>
              </w:rPr>
            </w:pPr>
            <w:r w:rsidRPr="00183B5F">
              <w:rPr>
                <w:b/>
                <w:szCs w:val="22"/>
                <w:lang w:val="hu-HU"/>
              </w:rPr>
              <w:t>Standard dózis</w:t>
            </w:r>
          </w:p>
        </w:tc>
      </w:tr>
      <w:tr w:rsidR="00011D2F" w14:paraId="5095107C" w14:textId="77777777" w:rsidTr="00FC288C">
        <w:trPr>
          <w:jc w:val="center"/>
        </w:trPr>
        <w:tc>
          <w:tcPr>
            <w:tcW w:w="0" w:type="auto"/>
          </w:tcPr>
          <w:p w14:paraId="350449A6" w14:textId="77777777" w:rsidR="00135B97" w:rsidRPr="00183B5F" w:rsidRDefault="00943743" w:rsidP="00135B97">
            <w:pPr>
              <w:pStyle w:val="EMEANormal"/>
              <w:rPr>
                <w:szCs w:val="22"/>
                <w:lang w:val="hu-HU"/>
              </w:rPr>
            </w:pPr>
            <w:r w:rsidRPr="00183B5F">
              <w:rPr>
                <w:szCs w:val="22"/>
                <w:lang w:val="hu-HU"/>
              </w:rPr>
              <w:t>&lt; 40 kg</w:t>
            </w:r>
          </w:p>
        </w:tc>
        <w:tc>
          <w:tcPr>
            <w:tcW w:w="0" w:type="auto"/>
          </w:tcPr>
          <w:p w14:paraId="008A3136" w14:textId="77777777" w:rsidR="00135B97" w:rsidRPr="00183B5F" w:rsidRDefault="00943743" w:rsidP="00135B97">
            <w:pPr>
              <w:pStyle w:val="EMEANormal"/>
              <w:rPr>
                <w:szCs w:val="22"/>
                <w:lang w:val="hu-HU"/>
              </w:rPr>
            </w:pPr>
            <w:r w:rsidRPr="00183B5F">
              <w:rPr>
                <w:szCs w:val="22"/>
                <w:lang w:val="hu-HU"/>
              </w:rPr>
              <w:t>10 mg</w:t>
            </w:r>
          </w:p>
          <w:p w14:paraId="508E982B" w14:textId="77777777" w:rsidR="00135B97" w:rsidRPr="00183B5F" w:rsidRDefault="00943743" w:rsidP="00135B97">
            <w:pPr>
              <w:pStyle w:val="EMEANormal"/>
              <w:rPr>
                <w:szCs w:val="22"/>
                <w:lang w:val="hu-HU"/>
              </w:rPr>
            </w:pPr>
            <w:r w:rsidRPr="00183B5F">
              <w:rPr>
                <w:szCs w:val="22"/>
                <w:lang w:val="hu-HU"/>
              </w:rPr>
              <w:t>kéthetente</w:t>
            </w:r>
          </w:p>
        </w:tc>
        <w:tc>
          <w:tcPr>
            <w:tcW w:w="0" w:type="auto"/>
          </w:tcPr>
          <w:p w14:paraId="09708244" w14:textId="77777777" w:rsidR="00135B97" w:rsidRPr="00183B5F" w:rsidRDefault="00943743" w:rsidP="00135B97">
            <w:pPr>
              <w:pStyle w:val="EMEANormal"/>
              <w:rPr>
                <w:szCs w:val="22"/>
                <w:lang w:val="hu-HU"/>
              </w:rPr>
            </w:pPr>
            <w:r w:rsidRPr="00183B5F">
              <w:rPr>
                <w:szCs w:val="22"/>
                <w:lang w:val="hu-HU"/>
              </w:rPr>
              <w:t>20 mg</w:t>
            </w:r>
          </w:p>
          <w:p w14:paraId="3C422513" w14:textId="77777777" w:rsidR="00135B97" w:rsidRPr="00183B5F" w:rsidRDefault="00943743" w:rsidP="00135B97">
            <w:pPr>
              <w:pStyle w:val="EMEANormal"/>
              <w:rPr>
                <w:szCs w:val="22"/>
                <w:lang w:val="hu-HU"/>
              </w:rPr>
            </w:pPr>
            <w:r w:rsidRPr="00183B5F">
              <w:rPr>
                <w:szCs w:val="22"/>
                <w:lang w:val="hu-HU"/>
              </w:rPr>
              <w:t>kéthetente</w:t>
            </w:r>
          </w:p>
        </w:tc>
      </w:tr>
      <w:tr w:rsidR="00011D2F" w14:paraId="09672740" w14:textId="77777777" w:rsidTr="00FC288C">
        <w:trPr>
          <w:jc w:val="center"/>
        </w:trPr>
        <w:tc>
          <w:tcPr>
            <w:tcW w:w="0" w:type="auto"/>
          </w:tcPr>
          <w:p w14:paraId="01A642F0" w14:textId="77777777" w:rsidR="00135B97" w:rsidRPr="00183B5F" w:rsidRDefault="00943743" w:rsidP="00135B97">
            <w:pPr>
              <w:pStyle w:val="EMEANormal"/>
              <w:rPr>
                <w:szCs w:val="22"/>
                <w:lang w:val="hu-HU"/>
              </w:rPr>
            </w:pPr>
            <w:r w:rsidRPr="00183B5F">
              <w:rPr>
                <w:szCs w:val="22"/>
                <w:lang w:val="hu-HU"/>
              </w:rPr>
              <w:t>≥ 40 kg</w:t>
            </w:r>
          </w:p>
        </w:tc>
        <w:tc>
          <w:tcPr>
            <w:tcW w:w="0" w:type="auto"/>
          </w:tcPr>
          <w:p w14:paraId="62629527" w14:textId="77777777" w:rsidR="00135B97" w:rsidRPr="00183B5F" w:rsidRDefault="00943743" w:rsidP="00135B97">
            <w:pPr>
              <w:pStyle w:val="EMEANormal"/>
              <w:rPr>
                <w:szCs w:val="22"/>
                <w:lang w:val="hu-HU"/>
              </w:rPr>
            </w:pPr>
            <w:r w:rsidRPr="00183B5F">
              <w:rPr>
                <w:szCs w:val="22"/>
                <w:lang w:val="hu-HU"/>
              </w:rPr>
              <w:t>20 mg</w:t>
            </w:r>
          </w:p>
          <w:p w14:paraId="7B00DA33" w14:textId="77777777" w:rsidR="00135B97" w:rsidRPr="00183B5F" w:rsidRDefault="00943743" w:rsidP="00135B97">
            <w:pPr>
              <w:pStyle w:val="EMEANormal"/>
              <w:rPr>
                <w:szCs w:val="22"/>
                <w:lang w:val="hu-HU"/>
              </w:rPr>
            </w:pPr>
            <w:r w:rsidRPr="00183B5F">
              <w:rPr>
                <w:szCs w:val="22"/>
                <w:lang w:val="hu-HU"/>
              </w:rPr>
              <w:t>kéthetente</w:t>
            </w:r>
          </w:p>
        </w:tc>
        <w:tc>
          <w:tcPr>
            <w:tcW w:w="0" w:type="auto"/>
          </w:tcPr>
          <w:p w14:paraId="6ABFC472" w14:textId="77777777" w:rsidR="00135B97" w:rsidRPr="00183B5F" w:rsidRDefault="00943743" w:rsidP="00135B97">
            <w:pPr>
              <w:pStyle w:val="EMEANormal"/>
              <w:rPr>
                <w:szCs w:val="22"/>
                <w:lang w:val="hu-HU"/>
              </w:rPr>
            </w:pPr>
            <w:r w:rsidRPr="00183B5F">
              <w:rPr>
                <w:szCs w:val="22"/>
                <w:lang w:val="hu-HU"/>
              </w:rPr>
              <w:t>40 mg</w:t>
            </w:r>
          </w:p>
          <w:p w14:paraId="59E0353C" w14:textId="77777777" w:rsidR="00135B97" w:rsidRPr="00183B5F" w:rsidRDefault="00943743" w:rsidP="00135B97">
            <w:pPr>
              <w:pStyle w:val="EMEANormal"/>
              <w:rPr>
                <w:szCs w:val="22"/>
                <w:lang w:val="hu-HU"/>
              </w:rPr>
            </w:pPr>
            <w:r w:rsidRPr="00183B5F">
              <w:rPr>
                <w:szCs w:val="22"/>
                <w:lang w:val="hu-HU"/>
              </w:rPr>
              <w:t>kéthetente</w:t>
            </w:r>
          </w:p>
        </w:tc>
      </w:tr>
    </w:tbl>
    <w:p w14:paraId="55597DAB" w14:textId="77777777" w:rsidR="00135B97" w:rsidRPr="00183B5F" w:rsidRDefault="00135B97" w:rsidP="00135B97">
      <w:pPr>
        <w:spacing w:line="240" w:lineRule="auto"/>
        <w:rPr>
          <w:szCs w:val="22"/>
        </w:rPr>
      </w:pPr>
    </w:p>
    <w:p w14:paraId="6536E488" w14:textId="77777777" w:rsidR="00135B97" w:rsidRPr="00183B5F" w:rsidRDefault="00943743" w:rsidP="00135B97">
      <w:pPr>
        <w:pStyle w:val="EMEANormal"/>
        <w:keepNext/>
        <w:rPr>
          <w:i/>
          <w:szCs w:val="22"/>
          <w:u w:val="single"/>
          <w:lang w:val="hu-HU"/>
        </w:rPr>
      </w:pPr>
      <w:r w:rsidRPr="00183B5F">
        <w:rPr>
          <w:i/>
          <w:szCs w:val="22"/>
          <w:u w:val="single"/>
          <w:lang w:val="hu-HU"/>
        </w:rPr>
        <w:t>Hatásossági eredmények</w:t>
      </w:r>
    </w:p>
    <w:p w14:paraId="05EA2654" w14:textId="77777777" w:rsidR="00135B97" w:rsidRPr="00183B5F" w:rsidRDefault="00135B97" w:rsidP="00135B97">
      <w:pPr>
        <w:pStyle w:val="EMEANormal"/>
        <w:keepNext/>
        <w:rPr>
          <w:i/>
          <w:szCs w:val="22"/>
          <w:lang w:val="hu-HU"/>
        </w:rPr>
      </w:pPr>
    </w:p>
    <w:p w14:paraId="02CD0DBB" w14:textId="77777777" w:rsidR="00135B97" w:rsidRPr="00183B5F" w:rsidRDefault="00943743" w:rsidP="00135B97">
      <w:pPr>
        <w:pStyle w:val="EMEANormal"/>
        <w:keepNext/>
        <w:rPr>
          <w:szCs w:val="22"/>
          <w:lang w:val="hu-HU"/>
        </w:rPr>
      </w:pPr>
      <w:r w:rsidRPr="00183B5F">
        <w:rPr>
          <w:szCs w:val="22"/>
          <w:lang w:val="hu-HU"/>
        </w:rPr>
        <w:t>A vizsgálat elsődleges végpontja a 26. hétre elért remisszió volt, amely a definíció szerint a PCDAI</w:t>
      </w:r>
      <w:r w:rsidRPr="00183B5F">
        <w:rPr>
          <w:szCs w:val="22"/>
          <w:lang w:val="hu-HU"/>
        </w:rPr>
        <w:noBreakHyphen/>
        <w:t>pontszám ≤ 10.</w:t>
      </w:r>
    </w:p>
    <w:p w14:paraId="0F946EAB" w14:textId="77777777" w:rsidR="00135B97" w:rsidRPr="00183B5F" w:rsidRDefault="00135B97" w:rsidP="00135B97">
      <w:pPr>
        <w:pStyle w:val="EMEANormal"/>
        <w:rPr>
          <w:szCs w:val="22"/>
          <w:lang w:val="hu-HU"/>
        </w:rPr>
      </w:pPr>
    </w:p>
    <w:p w14:paraId="4C663E49" w14:textId="77777777" w:rsidR="00135B97" w:rsidRPr="00183B5F" w:rsidRDefault="00943743" w:rsidP="00211B92">
      <w:pPr>
        <w:pStyle w:val="EMEANormal"/>
        <w:rPr>
          <w:szCs w:val="22"/>
          <w:lang w:val="hu-HU"/>
        </w:rPr>
      </w:pPr>
      <w:r w:rsidRPr="00183B5F">
        <w:rPr>
          <w:szCs w:val="22"/>
          <w:lang w:val="hu-HU"/>
        </w:rPr>
        <w:t>A klinikai remisszió és a klinikai válasz (meghatározás szerint a PCDAI-pontszám a kiindulási értéktől számított, legalább 15 pontos csökkenése) mértéke a 2</w:t>
      </w:r>
      <w:r w:rsidR="00211B92" w:rsidRPr="00183B5F">
        <w:rPr>
          <w:szCs w:val="22"/>
          <w:lang w:val="hu-HU"/>
        </w:rPr>
        <w:t>9</w:t>
      </w:r>
      <w:r w:rsidRPr="00183B5F">
        <w:rPr>
          <w:szCs w:val="22"/>
          <w:lang w:val="hu-HU"/>
        </w:rPr>
        <w:t xml:space="preserve">. táblázatban van feltüntetve. A kortikoszteroidok vagy az immunmodulátorok elhagyásának arányait a </w:t>
      </w:r>
      <w:r w:rsidR="00211B92" w:rsidRPr="00183B5F">
        <w:rPr>
          <w:szCs w:val="22"/>
          <w:lang w:val="hu-HU"/>
        </w:rPr>
        <w:t>30</w:t>
      </w:r>
      <w:r w:rsidRPr="00183B5F">
        <w:rPr>
          <w:szCs w:val="22"/>
          <w:lang w:val="hu-HU"/>
        </w:rPr>
        <w:t>. táblázat tartalmazza.</w:t>
      </w:r>
    </w:p>
    <w:p w14:paraId="09704ECA" w14:textId="77777777" w:rsidR="00135B97" w:rsidRPr="00183B5F" w:rsidRDefault="00135B97" w:rsidP="00135B97">
      <w:pPr>
        <w:spacing w:line="240" w:lineRule="auto"/>
      </w:pPr>
    </w:p>
    <w:tbl>
      <w:tblPr>
        <w:tblW w:w="0" w:type="auto"/>
        <w:jc w:val="center"/>
        <w:tblCellMar>
          <w:left w:w="0" w:type="dxa"/>
          <w:right w:w="0" w:type="dxa"/>
        </w:tblCellMar>
        <w:tblLook w:val="00A0" w:firstRow="1" w:lastRow="0" w:firstColumn="1" w:lastColumn="0" w:noHBand="0" w:noVBand="0"/>
      </w:tblPr>
      <w:tblGrid>
        <w:gridCol w:w="2321"/>
        <w:gridCol w:w="1614"/>
        <w:gridCol w:w="1670"/>
        <w:gridCol w:w="1147"/>
      </w:tblGrid>
      <w:tr w:rsidR="00011D2F" w14:paraId="53A9430F" w14:textId="77777777" w:rsidTr="00135B97">
        <w:trPr>
          <w:jc w:val="center"/>
        </w:trPr>
        <w:tc>
          <w:tcPr>
            <w:tcW w:w="6752" w:type="dxa"/>
            <w:gridSpan w:val="4"/>
            <w:tcBorders>
              <w:top w:val="single" w:sz="6" w:space="0" w:color="000000"/>
              <w:left w:val="single" w:sz="6" w:space="0" w:color="000000"/>
              <w:bottom w:val="single" w:sz="6" w:space="0" w:color="000000"/>
              <w:right w:val="single" w:sz="6" w:space="0" w:color="000000"/>
            </w:tcBorders>
          </w:tcPr>
          <w:p w14:paraId="348B4DD0" w14:textId="77777777" w:rsidR="00135B97" w:rsidRPr="00183B5F" w:rsidRDefault="00943743" w:rsidP="00211B92">
            <w:pPr>
              <w:keepNext/>
              <w:tabs>
                <w:tab w:val="left" w:pos="-878"/>
              </w:tabs>
              <w:suppressAutoHyphens w:val="0"/>
              <w:autoSpaceDE w:val="0"/>
              <w:autoSpaceDN w:val="0"/>
              <w:adjustRightInd w:val="0"/>
              <w:spacing w:line="240" w:lineRule="auto"/>
              <w:ind w:left="17"/>
              <w:jc w:val="center"/>
              <w:rPr>
                <w:b/>
                <w:bCs/>
                <w:szCs w:val="22"/>
              </w:rPr>
            </w:pPr>
            <w:r w:rsidRPr="00183B5F">
              <w:rPr>
                <w:b/>
                <w:bCs/>
                <w:szCs w:val="22"/>
              </w:rPr>
              <w:t>2</w:t>
            </w:r>
            <w:r w:rsidR="00211B92" w:rsidRPr="00183B5F">
              <w:rPr>
                <w:b/>
                <w:bCs/>
                <w:szCs w:val="22"/>
              </w:rPr>
              <w:t>9</w:t>
            </w:r>
            <w:r w:rsidRPr="00183B5F">
              <w:rPr>
                <w:b/>
                <w:bCs/>
                <w:szCs w:val="22"/>
              </w:rPr>
              <w:t>. táblázat</w:t>
            </w:r>
          </w:p>
          <w:p w14:paraId="5F34E167" w14:textId="77777777" w:rsidR="00135B97" w:rsidRPr="00183B5F" w:rsidRDefault="00943743" w:rsidP="00135B97">
            <w:pPr>
              <w:keepNext/>
              <w:tabs>
                <w:tab w:val="left" w:pos="-878"/>
              </w:tabs>
              <w:suppressAutoHyphens w:val="0"/>
              <w:autoSpaceDE w:val="0"/>
              <w:autoSpaceDN w:val="0"/>
              <w:adjustRightInd w:val="0"/>
              <w:spacing w:line="240" w:lineRule="auto"/>
              <w:ind w:left="17"/>
              <w:jc w:val="center"/>
              <w:rPr>
                <w:b/>
                <w:bCs/>
                <w:szCs w:val="22"/>
              </w:rPr>
            </w:pPr>
            <w:r w:rsidRPr="00183B5F">
              <w:rPr>
                <w:b/>
                <w:bCs/>
                <w:szCs w:val="22"/>
              </w:rPr>
              <w:t>Gyermekkori CD Vizsgálat</w:t>
            </w:r>
          </w:p>
          <w:p w14:paraId="0AB81924" w14:textId="77777777" w:rsidR="00135B97" w:rsidRPr="00183B5F" w:rsidRDefault="00943743" w:rsidP="00135B97">
            <w:pPr>
              <w:keepNext/>
              <w:tabs>
                <w:tab w:val="left" w:pos="-878"/>
              </w:tabs>
              <w:suppressAutoHyphens w:val="0"/>
              <w:autoSpaceDE w:val="0"/>
              <w:autoSpaceDN w:val="0"/>
              <w:adjustRightInd w:val="0"/>
              <w:spacing w:line="240" w:lineRule="auto"/>
              <w:ind w:left="17"/>
              <w:jc w:val="center"/>
              <w:rPr>
                <w:b/>
                <w:bCs/>
                <w:szCs w:val="22"/>
              </w:rPr>
            </w:pPr>
            <w:r w:rsidRPr="00183B5F">
              <w:rPr>
                <w:b/>
                <w:bCs/>
                <w:szCs w:val="22"/>
              </w:rPr>
              <w:t xml:space="preserve">PCDAI </w:t>
            </w:r>
            <w:r w:rsidRPr="00183B5F">
              <w:rPr>
                <w:b/>
                <w:szCs w:val="22"/>
              </w:rPr>
              <w:t xml:space="preserve">Klinikai </w:t>
            </w:r>
            <w:r w:rsidRPr="00183B5F">
              <w:rPr>
                <w:b/>
                <w:bCs/>
                <w:szCs w:val="22"/>
              </w:rPr>
              <w:t>remisszió és válasz</w:t>
            </w:r>
          </w:p>
        </w:tc>
      </w:tr>
      <w:tr w:rsidR="00011D2F" w14:paraId="6F98FCED" w14:textId="77777777" w:rsidTr="00135B97">
        <w:trPr>
          <w:jc w:val="center"/>
        </w:trPr>
        <w:tc>
          <w:tcPr>
            <w:tcW w:w="2321" w:type="dxa"/>
            <w:tcBorders>
              <w:top w:val="single" w:sz="6" w:space="0" w:color="000000"/>
              <w:left w:val="single" w:sz="6" w:space="0" w:color="000000"/>
              <w:bottom w:val="single" w:sz="6" w:space="0" w:color="000000"/>
              <w:right w:val="single" w:sz="6" w:space="0" w:color="000000"/>
            </w:tcBorders>
          </w:tcPr>
          <w:p w14:paraId="1F7E6D25" w14:textId="77777777" w:rsidR="00135B97" w:rsidRPr="00183B5F" w:rsidRDefault="00135B97" w:rsidP="00135B97">
            <w:pPr>
              <w:keepLines/>
              <w:tabs>
                <w:tab w:val="left" w:pos="-1080"/>
              </w:tabs>
              <w:suppressAutoHyphens w:val="0"/>
              <w:autoSpaceDE w:val="0"/>
              <w:autoSpaceDN w:val="0"/>
              <w:adjustRightInd w:val="0"/>
              <w:spacing w:line="240" w:lineRule="auto"/>
              <w:ind w:left="15"/>
              <w:jc w:val="center"/>
              <w:rPr>
                <w:b/>
                <w:bCs/>
                <w:szCs w:val="22"/>
              </w:rPr>
            </w:pPr>
          </w:p>
        </w:tc>
        <w:tc>
          <w:tcPr>
            <w:tcW w:w="1614" w:type="dxa"/>
            <w:tcBorders>
              <w:top w:val="single" w:sz="6" w:space="0" w:color="000000"/>
              <w:left w:val="single" w:sz="6" w:space="0" w:color="000000"/>
              <w:bottom w:val="single" w:sz="6" w:space="0" w:color="000000"/>
              <w:right w:val="single" w:sz="6" w:space="0" w:color="000000"/>
            </w:tcBorders>
          </w:tcPr>
          <w:p w14:paraId="502DDDFC" w14:textId="77777777" w:rsidR="00135B97" w:rsidRPr="00183B5F" w:rsidRDefault="00943743" w:rsidP="00135B97">
            <w:pPr>
              <w:keepLines/>
              <w:tabs>
                <w:tab w:val="left" w:pos="-1080"/>
              </w:tabs>
              <w:suppressAutoHyphens w:val="0"/>
              <w:autoSpaceDE w:val="0"/>
              <w:autoSpaceDN w:val="0"/>
              <w:adjustRightInd w:val="0"/>
              <w:spacing w:line="240" w:lineRule="auto"/>
              <w:ind w:left="15"/>
              <w:jc w:val="center"/>
              <w:rPr>
                <w:b/>
                <w:bCs/>
                <w:szCs w:val="22"/>
              </w:rPr>
            </w:pPr>
            <w:r w:rsidRPr="00183B5F">
              <w:rPr>
                <w:b/>
                <w:bCs/>
                <w:szCs w:val="22"/>
              </w:rPr>
              <w:t>Standard dózis</w:t>
            </w:r>
          </w:p>
          <w:p w14:paraId="0AA9F992" w14:textId="77777777" w:rsidR="00135B97" w:rsidRPr="00183B5F" w:rsidRDefault="00943743" w:rsidP="00135B97">
            <w:pPr>
              <w:keepLines/>
              <w:tabs>
                <w:tab w:val="left" w:pos="-1080"/>
              </w:tabs>
              <w:suppressAutoHyphens w:val="0"/>
              <w:autoSpaceDE w:val="0"/>
              <w:autoSpaceDN w:val="0"/>
              <w:adjustRightInd w:val="0"/>
              <w:spacing w:line="240" w:lineRule="auto"/>
              <w:ind w:left="15"/>
              <w:jc w:val="center"/>
              <w:rPr>
                <w:b/>
                <w:bCs/>
                <w:szCs w:val="22"/>
              </w:rPr>
            </w:pPr>
            <w:r w:rsidRPr="00183B5F">
              <w:rPr>
                <w:b/>
                <w:bCs/>
                <w:szCs w:val="22"/>
              </w:rPr>
              <w:t>40/20 mg</w:t>
            </w:r>
          </w:p>
          <w:p w14:paraId="35D81488" w14:textId="77777777" w:rsidR="00135B97" w:rsidRPr="00183B5F" w:rsidRDefault="00943743" w:rsidP="00135B97">
            <w:pPr>
              <w:keepLines/>
              <w:tabs>
                <w:tab w:val="left" w:pos="-1080"/>
              </w:tabs>
              <w:suppressAutoHyphens w:val="0"/>
              <w:autoSpaceDE w:val="0"/>
              <w:autoSpaceDN w:val="0"/>
              <w:adjustRightInd w:val="0"/>
              <w:spacing w:line="240" w:lineRule="auto"/>
              <w:ind w:left="15"/>
              <w:jc w:val="center"/>
              <w:rPr>
                <w:b/>
                <w:bCs/>
                <w:szCs w:val="22"/>
              </w:rPr>
            </w:pPr>
            <w:r w:rsidRPr="00183B5F">
              <w:rPr>
                <w:b/>
                <w:bCs/>
                <w:szCs w:val="22"/>
              </w:rPr>
              <w:t xml:space="preserve">kéthetente </w:t>
            </w:r>
          </w:p>
          <w:p w14:paraId="3D986B9D" w14:textId="77777777" w:rsidR="00135B97" w:rsidRPr="00183B5F" w:rsidRDefault="00943743" w:rsidP="00135B97">
            <w:pPr>
              <w:keepLines/>
              <w:tabs>
                <w:tab w:val="left" w:pos="-1080"/>
              </w:tabs>
              <w:suppressAutoHyphens w:val="0"/>
              <w:autoSpaceDE w:val="0"/>
              <w:autoSpaceDN w:val="0"/>
              <w:adjustRightInd w:val="0"/>
              <w:spacing w:line="240" w:lineRule="auto"/>
              <w:ind w:left="15"/>
              <w:jc w:val="center"/>
              <w:rPr>
                <w:b/>
                <w:bCs/>
                <w:szCs w:val="22"/>
              </w:rPr>
            </w:pPr>
            <w:r w:rsidRPr="00183B5F">
              <w:rPr>
                <w:b/>
                <w:bCs/>
                <w:szCs w:val="22"/>
              </w:rPr>
              <w:t>N = 93</w:t>
            </w:r>
          </w:p>
        </w:tc>
        <w:tc>
          <w:tcPr>
            <w:tcW w:w="1670" w:type="dxa"/>
            <w:tcBorders>
              <w:top w:val="single" w:sz="6" w:space="0" w:color="000000"/>
              <w:left w:val="single" w:sz="6" w:space="0" w:color="000000"/>
              <w:bottom w:val="single" w:sz="6" w:space="0" w:color="000000"/>
              <w:right w:val="single" w:sz="6" w:space="0" w:color="000000"/>
            </w:tcBorders>
          </w:tcPr>
          <w:p w14:paraId="1B654772" w14:textId="77777777" w:rsidR="00135B97" w:rsidRPr="00183B5F" w:rsidRDefault="00943743" w:rsidP="00135B97">
            <w:pPr>
              <w:keepLines/>
              <w:tabs>
                <w:tab w:val="left" w:pos="-1080"/>
              </w:tabs>
              <w:suppressAutoHyphens w:val="0"/>
              <w:autoSpaceDE w:val="0"/>
              <w:autoSpaceDN w:val="0"/>
              <w:adjustRightInd w:val="0"/>
              <w:spacing w:line="240" w:lineRule="auto"/>
              <w:ind w:left="15"/>
              <w:jc w:val="center"/>
              <w:rPr>
                <w:b/>
                <w:bCs/>
                <w:szCs w:val="22"/>
              </w:rPr>
            </w:pPr>
            <w:r w:rsidRPr="00183B5F">
              <w:rPr>
                <w:b/>
                <w:bCs/>
                <w:szCs w:val="22"/>
              </w:rPr>
              <w:t>Alacsony dózis</w:t>
            </w:r>
          </w:p>
          <w:p w14:paraId="177298FD" w14:textId="77777777" w:rsidR="00135B97" w:rsidRPr="00183B5F" w:rsidRDefault="00943743" w:rsidP="00135B97">
            <w:pPr>
              <w:keepLines/>
              <w:tabs>
                <w:tab w:val="left" w:pos="-1080"/>
              </w:tabs>
              <w:suppressAutoHyphens w:val="0"/>
              <w:autoSpaceDE w:val="0"/>
              <w:autoSpaceDN w:val="0"/>
              <w:adjustRightInd w:val="0"/>
              <w:spacing w:line="240" w:lineRule="auto"/>
              <w:ind w:left="15"/>
              <w:jc w:val="center"/>
              <w:rPr>
                <w:b/>
                <w:bCs/>
                <w:szCs w:val="22"/>
              </w:rPr>
            </w:pPr>
            <w:r w:rsidRPr="00183B5F">
              <w:rPr>
                <w:b/>
                <w:bCs/>
                <w:szCs w:val="22"/>
              </w:rPr>
              <w:t>20/10 mg</w:t>
            </w:r>
          </w:p>
          <w:p w14:paraId="2263DAB5" w14:textId="77777777" w:rsidR="00135B97" w:rsidRPr="00183B5F" w:rsidRDefault="00943743" w:rsidP="00135B97">
            <w:pPr>
              <w:keepLines/>
              <w:tabs>
                <w:tab w:val="left" w:pos="-1080"/>
              </w:tabs>
              <w:suppressAutoHyphens w:val="0"/>
              <w:autoSpaceDE w:val="0"/>
              <w:autoSpaceDN w:val="0"/>
              <w:adjustRightInd w:val="0"/>
              <w:spacing w:line="240" w:lineRule="auto"/>
              <w:ind w:left="15"/>
              <w:jc w:val="center"/>
              <w:rPr>
                <w:b/>
                <w:bCs/>
                <w:szCs w:val="22"/>
              </w:rPr>
            </w:pPr>
            <w:r w:rsidRPr="00183B5F">
              <w:rPr>
                <w:b/>
                <w:bCs/>
                <w:szCs w:val="22"/>
              </w:rPr>
              <w:t xml:space="preserve">kéthetente </w:t>
            </w:r>
          </w:p>
          <w:p w14:paraId="6BCA1F74" w14:textId="77777777" w:rsidR="00135B97" w:rsidRPr="00183B5F" w:rsidRDefault="00943743" w:rsidP="00135B97">
            <w:pPr>
              <w:keepLines/>
              <w:tabs>
                <w:tab w:val="left" w:pos="-1080"/>
              </w:tabs>
              <w:suppressAutoHyphens w:val="0"/>
              <w:autoSpaceDE w:val="0"/>
              <w:autoSpaceDN w:val="0"/>
              <w:adjustRightInd w:val="0"/>
              <w:spacing w:line="240" w:lineRule="auto"/>
              <w:ind w:left="15"/>
              <w:jc w:val="center"/>
              <w:rPr>
                <w:b/>
                <w:bCs/>
                <w:szCs w:val="22"/>
              </w:rPr>
            </w:pPr>
            <w:r w:rsidRPr="00183B5F">
              <w:rPr>
                <w:b/>
                <w:bCs/>
                <w:szCs w:val="22"/>
              </w:rPr>
              <w:t>N = 95</w:t>
            </w:r>
          </w:p>
        </w:tc>
        <w:tc>
          <w:tcPr>
            <w:tcW w:w="1147" w:type="dxa"/>
            <w:tcBorders>
              <w:top w:val="single" w:sz="6" w:space="0" w:color="000000"/>
              <w:left w:val="single" w:sz="6" w:space="0" w:color="000000"/>
              <w:bottom w:val="single" w:sz="6" w:space="0" w:color="000000"/>
              <w:right w:val="single" w:sz="6" w:space="0" w:color="000000"/>
            </w:tcBorders>
          </w:tcPr>
          <w:p w14:paraId="44258CD7" w14:textId="77777777" w:rsidR="00135B97" w:rsidRPr="00183B5F" w:rsidRDefault="00943743" w:rsidP="00135B97">
            <w:pPr>
              <w:keepLines/>
              <w:tabs>
                <w:tab w:val="left" w:pos="-1080"/>
              </w:tabs>
              <w:suppressAutoHyphens w:val="0"/>
              <w:autoSpaceDE w:val="0"/>
              <w:autoSpaceDN w:val="0"/>
              <w:adjustRightInd w:val="0"/>
              <w:spacing w:line="240" w:lineRule="auto"/>
              <w:ind w:left="15"/>
              <w:jc w:val="center"/>
              <w:rPr>
                <w:szCs w:val="22"/>
              </w:rPr>
            </w:pPr>
            <w:r w:rsidRPr="00183B5F">
              <w:rPr>
                <w:b/>
                <w:bCs/>
                <w:szCs w:val="22"/>
              </w:rPr>
              <w:t>p-érték</w:t>
            </w:r>
            <w:r w:rsidRPr="00183B5F">
              <w:rPr>
                <w:szCs w:val="22"/>
              </w:rPr>
              <w:t>*</w:t>
            </w:r>
          </w:p>
        </w:tc>
      </w:tr>
      <w:tr w:rsidR="00011D2F" w14:paraId="3FA6DBBD" w14:textId="77777777" w:rsidTr="00135B97">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5B2C14B8" w14:textId="77777777" w:rsidR="00135B97" w:rsidRPr="00183B5F" w:rsidRDefault="00943743" w:rsidP="00135B97">
            <w:pPr>
              <w:keepLines/>
              <w:tabs>
                <w:tab w:val="left" w:pos="-1080"/>
              </w:tabs>
              <w:suppressAutoHyphens w:val="0"/>
              <w:autoSpaceDE w:val="0"/>
              <w:autoSpaceDN w:val="0"/>
              <w:adjustRightInd w:val="0"/>
              <w:spacing w:line="240" w:lineRule="auto"/>
              <w:ind w:left="15"/>
              <w:rPr>
                <w:b/>
                <w:bCs/>
                <w:szCs w:val="22"/>
              </w:rPr>
            </w:pPr>
            <w:r w:rsidRPr="00183B5F">
              <w:rPr>
                <w:b/>
                <w:bCs/>
                <w:szCs w:val="22"/>
              </w:rPr>
              <w:t>26. hét</w:t>
            </w:r>
          </w:p>
        </w:tc>
        <w:tc>
          <w:tcPr>
            <w:tcW w:w="1614" w:type="dxa"/>
            <w:tcBorders>
              <w:top w:val="single" w:sz="6" w:space="0" w:color="000000"/>
              <w:left w:val="single" w:sz="6" w:space="0" w:color="000000"/>
              <w:bottom w:val="single" w:sz="6" w:space="0" w:color="000000"/>
              <w:right w:val="single" w:sz="6" w:space="0" w:color="000000"/>
            </w:tcBorders>
            <w:vAlign w:val="bottom"/>
          </w:tcPr>
          <w:p w14:paraId="4523C42A" w14:textId="77777777" w:rsidR="00135B97" w:rsidRPr="00183B5F" w:rsidRDefault="00135B97" w:rsidP="00135B97">
            <w:pPr>
              <w:keepLines/>
              <w:tabs>
                <w:tab w:val="left" w:pos="-1080"/>
              </w:tabs>
              <w:suppressAutoHyphens w:val="0"/>
              <w:autoSpaceDE w:val="0"/>
              <w:autoSpaceDN w:val="0"/>
              <w:adjustRightInd w:val="0"/>
              <w:spacing w:line="240" w:lineRule="auto"/>
              <w:ind w:left="15"/>
              <w:jc w:val="center"/>
              <w:rPr>
                <w:b/>
                <w:bCs/>
                <w:szCs w:val="22"/>
              </w:rPr>
            </w:pPr>
          </w:p>
        </w:tc>
        <w:tc>
          <w:tcPr>
            <w:tcW w:w="1670" w:type="dxa"/>
            <w:tcBorders>
              <w:top w:val="single" w:sz="6" w:space="0" w:color="000000"/>
              <w:left w:val="single" w:sz="6" w:space="0" w:color="000000"/>
              <w:bottom w:val="single" w:sz="6" w:space="0" w:color="000000"/>
              <w:right w:val="single" w:sz="6" w:space="0" w:color="000000"/>
            </w:tcBorders>
            <w:vAlign w:val="bottom"/>
          </w:tcPr>
          <w:p w14:paraId="082959A0" w14:textId="77777777" w:rsidR="00135B97" w:rsidRPr="00183B5F" w:rsidRDefault="00135B97" w:rsidP="00135B97">
            <w:pPr>
              <w:keepLines/>
              <w:tabs>
                <w:tab w:val="left" w:pos="-1080"/>
              </w:tabs>
              <w:suppressAutoHyphens w:val="0"/>
              <w:autoSpaceDE w:val="0"/>
              <w:autoSpaceDN w:val="0"/>
              <w:adjustRightInd w:val="0"/>
              <w:spacing w:line="240" w:lineRule="auto"/>
              <w:ind w:left="15"/>
              <w:jc w:val="center"/>
              <w:rPr>
                <w:b/>
                <w:bCs/>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356004D9" w14:textId="77777777" w:rsidR="00135B97" w:rsidRPr="00183B5F" w:rsidRDefault="00135B97" w:rsidP="00135B97">
            <w:pPr>
              <w:suppressAutoHyphens w:val="0"/>
              <w:autoSpaceDE w:val="0"/>
              <w:autoSpaceDN w:val="0"/>
              <w:adjustRightInd w:val="0"/>
              <w:spacing w:line="240" w:lineRule="auto"/>
              <w:ind w:left="15"/>
              <w:rPr>
                <w:b/>
                <w:bCs/>
                <w:szCs w:val="22"/>
              </w:rPr>
            </w:pPr>
          </w:p>
        </w:tc>
      </w:tr>
      <w:tr w:rsidR="00011D2F" w14:paraId="3F4DC1B3" w14:textId="77777777" w:rsidTr="00135B97">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7F48B281" w14:textId="77777777" w:rsidR="00135B97" w:rsidRPr="00183B5F" w:rsidRDefault="00943743" w:rsidP="00135B97">
            <w:pPr>
              <w:keepLines/>
              <w:tabs>
                <w:tab w:val="left" w:pos="-1080"/>
              </w:tabs>
              <w:suppressAutoHyphens w:val="0"/>
              <w:autoSpaceDE w:val="0"/>
              <w:autoSpaceDN w:val="0"/>
              <w:adjustRightInd w:val="0"/>
              <w:spacing w:line="240" w:lineRule="auto"/>
              <w:ind w:left="15"/>
              <w:rPr>
                <w:szCs w:val="22"/>
              </w:rPr>
            </w:pPr>
            <w:r w:rsidRPr="00183B5F">
              <w:rPr>
                <w:szCs w:val="22"/>
              </w:rPr>
              <w:t xml:space="preserve">   Klinikai remisszió</w:t>
            </w:r>
          </w:p>
        </w:tc>
        <w:tc>
          <w:tcPr>
            <w:tcW w:w="1614" w:type="dxa"/>
            <w:tcBorders>
              <w:top w:val="single" w:sz="6" w:space="0" w:color="000000"/>
              <w:left w:val="single" w:sz="6" w:space="0" w:color="000000"/>
              <w:bottom w:val="single" w:sz="6" w:space="0" w:color="000000"/>
              <w:right w:val="single" w:sz="6" w:space="0" w:color="000000"/>
            </w:tcBorders>
            <w:vAlign w:val="bottom"/>
          </w:tcPr>
          <w:p w14:paraId="22F4FEB1" w14:textId="77777777" w:rsidR="00135B97" w:rsidRPr="00183B5F" w:rsidRDefault="00943743" w:rsidP="00135B97">
            <w:pPr>
              <w:keepLines/>
              <w:tabs>
                <w:tab w:val="left" w:pos="-1080"/>
              </w:tabs>
              <w:suppressAutoHyphens w:val="0"/>
              <w:autoSpaceDE w:val="0"/>
              <w:autoSpaceDN w:val="0"/>
              <w:adjustRightInd w:val="0"/>
              <w:spacing w:line="240" w:lineRule="auto"/>
              <w:ind w:left="15"/>
              <w:jc w:val="center"/>
              <w:rPr>
                <w:szCs w:val="22"/>
              </w:rPr>
            </w:pPr>
            <w:r w:rsidRPr="00183B5F">
              <w:rPr>
                <w:szCs w:val="22"/>
              </w:rPr>
              <w:t>38,7%</w:t>
            </w:r>
          </w:p>
        </w:tc>
        <w:tc>
          <w:tcPr>
            <w:tcW w:w="1670" w:type="dxa"/>
            <w:tcBorders>
              <w:top w:val="single" w:sz="6" w:space="0" w:color="000000"/>
              <w:left w:val="single" w:sz="6" w:space="0" w:color="000000"/>
              <w:bottom w:val="single" w:sz="6" w:space="0" w:color="000000"/>
              <w:right w:val="single" w:sz="6" w:space="0" w:color="000000"/>
            </w:tcBorders>
            <w:vAlign w:val="bottom"/>
          </w:tcPr>
          <w:p w14:paraId="2BDBA1A5" w14:textId="77777777" w:rsidR="00135B97" w:rsidRPr="00183B5F" w:rsidRDefault="00943743" w:rsidP="00135B97">
            <w:pPr>
              <w:keepLines/>
              <w:tabs>
                <w:tab w:val="left" w:pos="-1080"/>
              </w:tabs>
              <w:suppressAutoHyphens w:val="0"/>
              <w:autoSpaceDE w:val="0"/>
              <w:autoSpaceDN w:val="0"/>
              <w:adjustRightInd w:val="0"/>
              <w:spacing w:line="240" w:lineRule="auto"/>
              <w:ind w:left="15"/>
              <w:jc w:val="center"/>
              <w:rPr>
                <w:szCs w:val="22"/>
              </w:rPr>
            </w:pPr>
            <w:r w:rsidRPr="00183B5F">
              <w:rPr>
                <w:szCs w:val="22"/>
              </w:rPr>
              <w:t>28,4%</w:t>
            </w:r>
          </w:p>
        </w:tc>
        <w:tc>
          <w:tcPr>
            <w:tcW w:w="1147" w:type="dxa"/>
            <w:tcBorders>
              <w:top w:val="single" w:sz="6" w:space="0" w:color="000000"/>
              <w:left w:val="single" w:sz="6" w:space="0" w:color="000000"/>
              <w:bottom w:val="single" w:sz="6" w:space="0" w:color="000000"/>
              <w:right w:val="single" w:sz="6" w:space="0" w:color="000000"/>
            </w:tcBorders>
            <w:vAlign w:val="bottom"/>
          </w:tcPr>
          <w:p w14:paraId="23D50C83" w14:textId="77777777" w:rsidR="00135B97" w:rsidRPr="00183B5F" w:rsidRDefault="00943743" w:rsidP="00135B97">
            <w:pPr>
              <w:keepLines/>
              <w:tabs>
                <w:tab w:val="left" w:pos="-1080"/>
              </w:tabs>
              <w:suppressAutoHyphens w:val="0"/>
              <w:autoSpaceDE w:val="0"/>
              <w:autoSpaceDN w:val="0"/>
              <w:adjustRightInd w:val="0"/>
              <w:spacing w:line="240" w:lineRule="auto"/>
              <w:ind w:left="15"/>
              <w:jc w:val="center"/>
              <w:rPr>
                <w:szCs w:val="22"/>
              </w:rPr>
            </w:pPr>
            <w:r w:rsidRPr="00183B5F">
              <w:rPr>
                <w:szCs w:val="22"/>
              </w:rPr>
              <w:t>0,075</w:t>
            </w:r>
          </w:p>
        </w:tc>
      </w:tr>
      <w:tr w:rsidR="00011D2F" w14:paraId="799322B6" w14:textId="77777777" w:rsidTr="00135B97">
        <w:trPr>
          <w:jc w:val="center"/>
        </w:trPr>
        <w:tc>
          <w:tcPr>
            <w:tcW w:w="2321" w:type="dxa"/>
            <w:tcBorders>
              <w:top w:val="single" w:sz="6" w:space="0" w:color="000000"/>
              <w:left w:val="single" w:sz="6" w:space="0" w:color="000000"/>
              <w:bottom w:val="single" w:sz="6" w:space="0" w:color="000000"/>
              <w:right w:val="single" w:sz="6" w:space="0" w:color="000000"/>
            </w:tcBorders>
          </w:tcPr>
          <w:p w14:paraId="250CCE24" w14:textId="77777777" w:rsidR="00135B97" w:rsidRPr="00183B5F" w:rsidRDefault="00943743" w:rsidP="00135B97">
            <w:pPr>
              <w:keepLines/>
              <w:tabs>
                <w:tab w:val="left" w:pos="-1080"/>
              </w:tabs>
              <w:suppressAutoHyphens w:val="0"/>
              <w:autoSpaceDE w:val="0"/>
              <w:autoSpaceDN w:val="0"/>
              <w:adjustRightInd w:val="0"/>
              <w:spacing w:line="240" w:lineRule="auto"/>
              <w:ind w:left="15"/>
              <w:rPr>
                <w:szCs w:val="22"/>
              </w:rPr>
            </w:pPr>
            <w:r w:rsidRPr="00183B5F">
              <w:rPr>
                <w:szCs w:val="22"/>
              </w:rPr>
              <w:t xml:space="preserve">   Klinikai válasz </w:t>
            </w:r>
          </w:p>
        </w:tc>
        <w:tc>
          <w:tcPr>
            <w:tcW w:w="1614" w:type="dxa"/>
            <w:tcBorders>
              <w:top w:val="single" w:sz="6" w:space="0" w:color="000000"/>
              <w:left w:val="single" w:sz="6" w:space="0" w:color="000000"/>
              <w:bottom w:val="single" w:sz="6" w:space="0" w:color="000000"/>
              <w:right w:val="single" w:sz="6" w:space="0" w:color="000000"/>
            </w:tcBorders>
          </w:tcPr>
          <w:p w14:paraId="774CF3F2" w14:textId="77777777" w:rsidR="00135B97" w:rsidRPr="00183B5F" w:rsidRDefault="00943743" w:rsidP="00135B97">
            <w:pPr>
              <w:keepLines/>
              <w:tabs>
                <w:tab w:val="left" w:pos="-1080"/>
              </w:tabs>
              <w:suppressAutoHyphens w:val="0"/>
              <w:autoSpaceDE w:val="0"/>
              <w:autoSpaceDN w:val="0"/>
              <w:adjustRightInd w:val="0"/>
              <w:spacing w:line="240" w:lineRule="auto"/>
              <w:ind w:left="15"/>
              <w:jc w:val="center"/>
              <w:rPr>
                <w:szCs w:val="22"/>
              </w:rPr>
            </w:pPr>
            <w:r w:rsidRPr="00183B5F">
              <w:rPr>
                <w:szCs w:val="22"/>
              </w:rPr>
              <w:t>59,1%</w:t>
            </w:r>
          </w:p>
        </w:tc>
        <w:tc>
          <w:tcPr>
            <w:tcW w:w="1670" w:type="dxa"/>
            <w:tcBorders>
              <w:top w:val="single" w:sz="6" w:space="0" w:color="000000"/>
              <w:left w:val="single" w:sz="6" w:space="0" w:color="000000"/>
              <w:bottom w:val="single" w:sz="6" w:space="0" w:color="000000"/>
              <w:right w:val="single" w:sz="6" w:space="0" w:color="000000"/>
            </w:tcBorders>
          </w:tcPr>
          <w:p w14:paraId="5E3785F2" w14:textId="77777777" w:rsidR="00135B97" w:rsidRPr="00183B5F" w:rsidRDefault="00943743" w:rsidP="00135B97">
            <w:pPr>
              <w:keepLines/>
              <w:tabs>
                <w:tab w:val="left" w:pos="-1080"/>
              </w:tabs>
              <w:suppressAutoHyphens w:val="0"/>
              <w:autoSpaceDE w:val="0"/>
              <w:autoSpaceDN w:val="0"/>
              <w:adjustRightInd w:val="0"/>
              <w:spacing w:line="240" w:lineRule="auto"/>
              <w:ind w:left="15"/>
              <w:jc w:val="center"/>
              <w:rPr>
                <w:szCs w:val="22"/>
              </w:rPr>
            </w:pPr>
            <w:r w:rsidRPr="00183B5F">
              <w:rPr>
                <w:szCs w:val="22"/>
              </w:rPr>
              <w:t>48,4%</w:t>
            </w:r>
          </w:p>
        </w:tc>
        <w:tc>
          <w:tcPr>
            <w:tcW w:w="1147" w:type="dxa"/>
            <w:tcBorders>
              <w:top w:val="single" w:sz="6" w:space="0" w:color="000000"/>
              <w:left w:val="single" w:sz="6" w:space="0" w:color="000000"/>
              <w:bottom w:val="single" w:sz="6" w:space="0" w:color="000000"/>
              <w:right w:val="single" w:sz="6" w:space="0" w:color="000000"/>
            </w:tcBorders>
          </w:tcPr>
          <w:p w14:paraId="131A78A6" w14:textId="77777777" w:rsidR="00135B97" w:rsidRPr="00183B5F" w:rsidRDefault="00943743" w:rsidP="00135B97">
            <w:pPr>
              <w:keepLines/>
              <w:tabs>
                <w:tab w:val="left" w:pos="-1080"/>
              </w:tabs>
              <w:suppressAutoHyphens w:val="0"/>
              <w:autoSpaceDE w:val="0"/>
              <w:autoSpaceDN w:val="0"/>
              <w:adjustRightInd w:val="0"/>
              <w:spacing w:line="240" w:lineRule="auto"/>
              <w:ind w:left="15"/>
              <w:jc w:val="center"/>
              <w:rPr>
                <w:szCs w:val="22"/>
              </w:rPr>
            </w:pPr>
            <w:r w:rsidRPr="00183B5F">
              <w:rPr>
                <w:szCs w:val="22"/>
              </w:rPr>
              <w:t>0,073</w:t>
            </w:r>
          </w:p>
        </w:tc>
      </w:tr>
      <w:tr w:rsidR="00011D2F" w14:paraId="53A90DAF" w14:textId="77777777" w:rsidTr="00135B97">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1CA798FB" w14:textId="77777777" w:rsidR="00135B97" w:rsidRPr="00183B5F" w:rsidRDefault="00943743" w:rsidP="00135B97">
            <w:pPr>
              <w:keepLines/>
              <w:tabs>
                <w:tab w:val="left" w:pos="-1080"/>
              </w:tabs>
              <w:suppressAutoHyphens w:val="0"/>
              <w:autoSpaceDE w:val="0"/>
              <w:autoSpaceDN w:val="0"/>
              <w:adjustRightInd w:val="0"/>
              <w:spacing w:line="240" w:lineRule="auto"/>
              <w:ind w:left="15"/>
              <w:rPr>
                <w:b/>
                <w:bCs/>
                <w:szCs w:val="22"/>
              </w:rPr>
            </w:pPr>
            <w:r w:rsidRPr="00183B5F">
              <w:rPr>
                <w:b/>
                <w:bCs/>
                <w:szCs w:val="22"/>
              </w:rPr>
              <w:t>52. hét</w:t>
            </w:r>
          </w:p>
        </w:tc>
        <w:tc>
          <w:tcPr>
            <w:tcW w:w="1614" w:type="dxa"/>
            <w:tcBorders>
              <w:top w:val="single" w:sz="6" w:space="0" w:color="000000"/>
              <w:left w:val="single" w:sz="6" w:space="0" w:color="000000"/>
              <w:bottom w:val="single" w:sz="6" w:space="0" w:color="000000"/>
              <w:right w:val="single" w:sz="6" w:space="0" w:color="000000"/>
            </w:tcBorders>
            <w:vAlign w:val="bottom"/>
          </w:tcPr>
          <w:p w14:paraId="64A48835" w14:textId="77777777" w:rsidR="00135B97" w:rsidRPr="00183B5F" w:rsidRDefault="00135B97" w:rsidP="00135B97">
            <w:pPr>
              <w:keepLines/>
              <w:tabs>
                <w:tab w:val="left" w:pos="-1080"/>
              </w:tabs>
              <w:suppressAutoHyphens w:val="0"/>
              <w:autoSpaceDE w:val="0"/>
              <w:autoSpaceDN w:val="0"/>
              <w:adjustRightInd w:val="0"/>
              <w:spacing w:line="240" w:lineRule="auto"/>
              <w:ind w:left="15"/>
              <w:jc w:val="center"/>
              <w:rPr>
                <w:b/>
                <w:bCs/>
                <w:szCs w:val="22"/>
              </w:rPr>
            </w:pPr>
          </w:p>
        </w:tc>
        <w:tc>
          <w:tcPr>
            <w:tcW w:w="1670" w:type="dxa"/>
            <w:tcBorders>
              <w:top w:val="single" w:sz="6" w:space="0" w:color="000000"/>
              <w:left w:val="single" w:sz="6" w:space="0" w:color="000000"/>
              <w:bottom w:val="single" w:sz="6" w:space="0" w:color="000000"/>
              <w:right w:val="single" w:sz="6" w:space="0" w:color="000000"/>
            </w:tcBorders>
            <w:vAlign w:val="bottom"/>
          </w:tcPr>
          <w:p w14:paraId="170A4DD8" w14:textId="77777777" w:rsidR="00135B97" w:rsidRPr="00183B5F" w:rsidRDefault="00135B97" w:rsidP="00135B97">
            <w:pPr>
              <w:keepLines/>
              <w:tabs>
                <w:tab w:val="left" w:pos="-1080"/>
              </w:tabs>
              <w:suppressAutoHyphens w:val="0"/>
              <w:autoSpaceDE w:val="0"/>
              <w:autoSpaceDN w:val="0"/>
              <w:adjustRightInd w:val="0"/>
              <w:spacing w:line="240" w:lineRule="auto"/>
              <w:ind w:left="15"/>
              <w:jc w:val="center"/>
              <w:rPr>
                <w:b/>
                <w:bCs/>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0159233A" w14:textId="77777777" w:rsidR="00135B97" w:rsidRPr="00183B5F" w:rsidRDefault="00135B97" w:rsidP="00135B97">
            <w:pPr>
              <w:suppressAutoHyphens w:val="0"/>
              <w:autoSpaceDE w:val="0"/>
              <w:autoSpaceDN w:val="0"/>
              <w:adjustRightInd w:val="0"/>
              <w:spacing w:line="240" w:lineRule="auto"/>
              <w:ind w:left="15"/>
              <w:rPr>
                <w:b/>
                <w:bCs/>
                <w:szCs w:val="22"/>
              </w:rPr>
            </w:pPr>
          </w:p>
        </w:tc>
      </w:tr>
      <w:tr w:rsidR="00011D2F" w14:paraId="6D02DB05" w14:textId="77777777" w:rsidTr="00135B97">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177ED376" w14:textId="77777777" w:rsidR="00135B97" w:rsidRPr="00183B5F" w:rsidRDefault="00943743" w:rsidP="00135B97">
            <w:pPr>
              <w:keepLines/>
              <w:tabs>
                <w:tab w:val="left" w:pos="-1080"/>
              </w:tabs>
              <w:suppressAutoHyphens w:val="0"/>
              <w:autoSpaceDE w:val="0"/>
              <w:autoSpaceDN w:val="0"/>
              <w:adjustRightInd w:val="0"/>
              <w:spacing w:line="240" w:lineRule="auto"/>
              <w:ind w:left="15"/>
              <w:rPr>
                <w:szCs w:val="22"/>
              </w:rPr>
            </w:pPr>
            <w:r w:rsidRPr="00183B5F">
              <w:rPr>
                <w:szCs w:val="22"/>
              </w:rPr>
              <w:t xml:space="preserve">   Klinikai remisszió</w:t>
            </w:r>
          </w:p>
        </w:tc>
        <w:tc>
          <w:tcPr>
            <w:tcW w:w="1614" w:type="dxa"/>
            <w:tcBorders>
              <w:top w:val="single" w:sz="6" w:space="0" w:color="000000"/>
              <w:left w:val="single" w:sz="6" w:space="0" w:color="000000"/>
              <w:bottom w:val="single" w:sz="6" w:space="0" w:color="000000"/>
              <w:right w:val="single" w:sz="6" w:space="0" w:color="000000"/>
            </w:tcBorders>
            <w:vAlign w:val="bottom"/>
          </w:tcPr>
          <w:p w14:paraId="77830F7C" w14:textId="77777777" w:rsidR="00135B97" w:rsidRPr="00183B5F" w:rsidRDefault="00943743" w:rsidP="00135B97">
            <w:pPr>
              <w:keepLines/>
              <w:tabs>
                <w:tab w:val="left" w:pos="-1080"/>
              </w:tabs>
              <w:suppressAutoHyphens w:val="0"/>
              <w:autoSpaceDE w:val="0"/>
              <w:autoSpaceDN w:val="0"/>
              <w:adjustRightInd w:val="0"/>
              <w:spacing w:line="240" w:lineRule="auto"/>
              <w:ind w:left="15"/>
              <w:jc w:val="center"/>
              <w:rPr>
                <w:szCs w:val="22"/>
              </w:rPr>
            </w:pPr>
            <w:r w:rsidRPr="00183B5F">
              <w:rPr>
                <w:szCs w:val="22"/>
              </w:rPr>
              <w:t>33,3%</w:t>
            </w:r>
          </w:p>
        </w:tc>
        <w:tc>
          <w:tcPr>
            <w:tcW w:w="1670" w:type="dxa"/>
            <w:tcBorders>
              <w:top w:val="single" w:sz="6" w:space="0" w:color="000000"/>
              <w:left w:val="single" w:sz="6" w:space="0" w:color="000000"/>
              <w:bottom w:val="single" w:sz="6" w:space="0" w:color="000000"/>
              <w:right w:val="single" w:sz="6" w:space="0" w:color="000000"/>
            </w:tcBorders>
            <w:vAlign w:val="bottom"/>
          </w:tcPr>
          <w:p w14:paraId="79F5FC08" w14:textId="77777777" w:rsidR="00135B97" w:rsidRPr="00183B5F" w:rsidRDefault="00943743" w:rsidP="00135B97">
            <w:pPr>
              <w:keepLines/>
              <w:tabs>
                <w:tab w:val="left" w:pos="-1080"/>
              </w:tabs>
              <w:suppressAutoHyphens w:val="0"/>
              <w:autoSpaceDE w:val="0"/>
              <w:autoSpaceDN w:val="0"/>
              <w:adjustRightInd w:val="0"/>
              <w:spacing w:line="240" w:lineRule="auto"/>
              <w:ind w:left="15"/>
              <w:jc w:val="center"/>
              <w:rPr>
                <w:szCs w:val="22"/>
              </w:rPr>
            </w:pPr>
            <w:r w:rsidRPr="00183B5F">
              <w:rPr>
                <w:szCs w:val="22"/>
              </w:rPr>
              <w:t>23,2%</w:t>
            </w:r>
          </w:p>
        </w:tc>
        <w:tc>
          <w:tcPr>
            <w:tcW w:w="1147" w:type="dxa"/>
            <w:tcBorders>
              <w:top w:val="single" w:sz="6" w:space="0" w:color="000000"/>
              <w:left w:val="single" w:sz="6" w:space="0" w:color="000000"/>
              <w:bottom w:val="single" w:sz="6" w:space="0" w:color="000000"/>
              <w:right w:val="single" w:sz="6" w:space="0" w:color="000000"/>
            </w:tcBorders>
            <w:vAlign w:val="bottom"/>
          </w:tcPr>
          <w:p w14:paraId="6CD2C600" w14:textId="77777777" w:rsidR="00135B97" w:rsidRPr="00183B5F" w:rsidRDefault="00943743" w:rsidP="00135B97">
            <w:pPr>
              <w:keepLines/>
              <w:tabs>
                <w:tab w:val="left" w:pos="-1080"/>
              </w:tabs>
              <w:suppressAutoHyphens w:val="0"/>
              <w:autoSpaceDE w:val="0"/>
              <w:autoSpaceDN w:val="0"/>
              <w:adjustRightInd w:val="0"/>
              <w:spacing w:line="240" w:lineRule="auto"/>
              <w:ind w:left="15"/>
              <w:jc w:val="center"/>
              <w:rPr>
                <w:szCs w:val="22"/>
              </w:rPr>
            </w:pPr>
            <w:r w:rsidRPr="00183B5F">
              <w:rPr>
                <w:szCs w:val="22"/>
              </w:rPr>
              <w:t>0,100</w:t>
            </w:r>
          </w:p>
        </w:tc>
      </w:tr>
      <w:tr w:rsidR="00011D2F" w14:paraId="2F02EAAB" w14:textId="77777777" w:rsidTr="00135B97">
        <w:trPr>
          <w:jc w:val="center"/>
        </w:trPr>
        <w:tc>
          <w:tcPr>
            <w:tcW w:w="2321" w:type="dxa"/>
            <w:tcBorders>
              <w:top w:val="single" w:sz="6" w:space="0" w:color="000000"/>
              <w:left w:val="single" w:sz="6" w:space="0" w:color="000000"/>
              <w:bottom w:val="single" w:sz="6" w:space="0" w:color="000000"/>
              <w:right w:val="single" w:sz="6" w:space="0" w:color="000000"/>
            </w:tcBorders>
          </w:tcPr>
          <w:p w14:paraId="219933BF" w14:textId="77777777" w:rsidR="00135B97" w:rsidRPr="00183B5F" w:rsidRDefault="00943743" w:rsidP="00135B97">
            <w:pPr>
              <w:keepLines/>
              <w:tabs>
                <w:tab w:val="left" w:pos="-1080"/>
              </w:tabs>
              <w:suppressAutoHyphens w:val="0"/>
              <w:autoSpaceDE w:val="0"/>
              <w:autoSpaceDN w:val="0"/>
              <w:adjustRightInd w:val="0"/>
              <w:spacing w:line="240" w:lineRule="auto"/>
              <w:ind w:left="15"/>
              <w:rPr>
                <w:szCs w:val="22"/>
              </w:rPr>
            </w:pPr>
            <w:r w:rsidRPr="00183B5F">
              <w:rPr>
                <w:szCs w:val="22"/>
              </w:rPr>
              <w:t xml:space="preserve">   Klinikai válasz</w:t>
            </w:r>
          </w:p>
        </w:tc>
        <w:tc>
          <w:tcPr>
            <w:tcW w:w="1614" w:type="dxa"/>
            <w:tcBorders>
              <w:top w:val="single" w:sz="6" w:space="0" w:color="000000"/>
              <w:left w:val="single" w:sz="6" w:space="0" w:color="000000"/>
              <w:bottom w:val="single" w:sz="6" w:space="0" w:color="000000"/>
              <w:right w:val="single" w:sz="6" w:space="0" w:color="000000"/>
            </w:tcBorders>
          </w:tcPr>
          <w:p w14:paraId="0D62F3A4" w14:textId="77777777" w:rsidR="00135B97" w:rsidRPr="00183B5F" w:rsidRDefault="00943743" w:rsidP="00135B97">
            <w:pPr>
              <w:keepLines/>
              <w:tabs>
                <w:tab w:val="left" w:pos="-1080"/>
              </w:tabs>
              <w:suppressAutoHyphens w:val="0"/>
              <w:autoSpaceDE w:val="0"/>
              <w:autoSpaceDN w:val="0"/>
              <w:adjustRightInd w:val="0"/>
              <w:spacing w:line="240" w:lineRule="auto"/>
              <w:ind w:left="15"/>
              <w:jc w:val="center"/>
              <w:rPr>
                <w:szCs w:val="22"/>
              </w:rPr>
            </w:pPr>
            <w:r w:rsidRPr="00183B5F">
              <w:rPr>
                <w:szCs w:val="22"/>
              </w:rPr>
              <w:t>41,9%</w:t>
            </w:r>
          </w:p>
        </w:tc>
        <w:tc>
          <w:tcPr>
            <w:tcW w:w="1670" w:type="dxa"/>
            <w:tcBorders>
              <w:top w:val="single" w:sz="6" w:space="0" w:color="000000"/>
              <w:left w:val="single" w:sz="6" w:space="0" w:color="000000"/>
              <w:bottom w:val="single" w:sz="6" w:space="0" w:color="000000"/>
              <w:right w:val="single" w:sz="6" w:space="0" w:color="000000"/>
            </w:tcBorders>
          </w:tcPr>
          <w:p w14:paraId="28299878" w14:textId="77777777" w:rsidR="00135B97" w:rsidRPr="00183B5F" w:rsidRDefault="00943743" w:rsidP="00135B97">
            <w:pPr>
              <w:keepLines/>
              <w:tabs>
                <w:tab w:val="left" w:pos="-1080"/>
              </w:tabs>
              <w:suppressAutoHyphens w:val="0"/>
              <w:autoSpaceDE w:val="0"/>
              <w:autoSpaceDN w:val="0"/>
              <w:adjustRightInd w:val="0"/>
              <w:spacing w:line="240" w:lineRule="auto"/>
              <w:ind w:left="15"/>
              <w:jc w:val="center"/>
              <w:rPr>
                <w:szCs w:val="22"/>
              </w:rPr>
            </w:pPr>
            <w:r w:rsidRPr="00183B5F">
              <w:rPr>
                <w:szCs w:val="22"/>
              </w:rPr>
              <w:t>28,4%</w:t>
            </w:r>
          </w:p>
        </w:tc>
        <w:tc>
          <w:tcPr>
            <w:tcW w:w="1147" w:type="dxa"/>
            <w:tcBorders>
              <w:top w:val="single" w:sz="6" w:space="0" w:color="000000"/>
              <w:left w:val="single" w:sz="6" w:space="0" w:color="000000"/>
              <w:bottom w:val="single" w:sz="6" w:space="0" w:color="000000"/>
              <w:right w:val="single" w:sz="6" w:space="0" w:color="000000"/>
            </w:tcBorders>
          </w:tcPr>
          <w:p w14:paraId="5ECB0EC8" w14:textId="77777777" w:rsidR="00135B97" w:rsidRPr="00183B5F" w:rsidRDefault="00943743" w:rsidP="00135B97">
            <w:pPr>
              <w:keepLines/>
              <w:tabs>
                <w:tab w:val="left" w:pos="-1080"/>
              </w:tabs>
              <w:suppressAutoHyphens w:val="0"/>
              <w:autoSpaceDE w:val="0"/>
              <w:autoSpaceDN w:val="0"/>
              <w:adjustRightInd w:val="0"/>
              <w:spacing w:line="240" w:lineRule="auto"/>
              <w:ind w:left="15"/>
              <w:jc w:val="center"/>
              <w:rPr>
                <w:szCs w:val="22"/>
              </w:rPr>
            </w:pPr>
            <w:r w:rsidRPr="00183B5F">
              <w:rPr>
                <w:szCs w:val="22"/>
              </w:rPr>
              <w:t>0,038</w:t>
            </w:r>
          </w:p>
        </w:tc>
      </w:tr>
      <w:tr w:rsidR="00011D2F" w14:paraId="547DDA6B" w14:textId="77777777" w:rsidTr="00135B97">
        <w:trPr>
          <w:jc w:val="center"/>
        </w:trPr>
        <w:tc>
          <w:tcPr>
            <w:tcW w:w="6752" w:type="dxa"/>
            <w:gridSpan w:val="4"/>
            <w:tcBorders>
              <w:top w:val="single" w:sz="6" w:space="0" w:color="000000"/>
              <w:left w:val="single" w:sz="6" w:space="0" w:color="000000"/>
              <w:bottom w:val="single" w:sz="6" w:space="0" w:color="000000"/>
              <w:right w:val="single" w:sz="6" w:space="0" w:color="000000"/>
            </w:tcBorders>
          </w:tcPr>
          <w:p w14:paraId="1DF17E0F" w14:textId="77777777" w:rsidR="00135B97" w:rsidRPr="00183B5F" w:rsidRDefault="00943743" w:rsidP="00135B97">
            <w:pPr>
              <w:keepLines/>
              <w:tabs>
                <w:tab w:val="left" w:pos="-1080"/>
              </w:tabs>
              <w:suppressAutoHyphens w:val="0"/>
              <w:autoSpaceDE w:val="0"/>
              <w:autoSpaceDN w:val="0"/>
              <w:adjustRightInd w:val="0"/>
              <w:spacing w:line="240" w:lineRule="auto"/>
              <w:ind w:left="15"/>
              <w:rPr>
                <w:szCs w:val="22"/>
              </w:rPr>
            </w:pPr>
            <w:r w:rsidRPr="00183B5F">
              <w:rPr>
                <w:szCs w:val="22"/>
              </w:rPr>
              <w:t xml:space="preserve">* p-érték a Standard dózis </w:t>
            </w:r>
            <w:r w:rsidRPr="00183B5F">
              <w:rPr>
                <w:i/>
                <w:szCs w:val="22"/>
              </w:rPr>
              <w:t>versus</w:t>
            </w:r>
            <w:r w:rsidRPr="00183B5F">
              <w:rPr>
                <w:szCs w:val="22"/>
              </w:rPr>
              <w:t xml:space="preserve"> az Alacsony dózis összehasonlítása esetén.</w:t>
            </w:r>
          </w:p>
        </w:tc>
      </w:tr>
    </w:tbl>
    <w:p w14:paraId="7B3113F5" w14:textId="77777777" w:rsidR="00135B97" w:rsidRPr="00183B5F" w:rsidRDefault="00135B97" w:rsidP="00135B97">
      <w:pPr>
        <w:spacing w:line="240" w:lineRule="auto"/>
        <w:rPr>
          <w:szCs w:val="22"/>
        </w:rPr>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011D2F" w14:paraId="323307BF" w14:textId="77777777" w:rsidTr="00135B97">
        <w:trPr>
          <w:cantSplit/>
          <w:jc w:val="center"/>
        </w:trPr>
        <w:tc>
          <w:tcPr>
            <w:tcW w:w="8440" w:type="dxa"/>
            <w:gridSpan w:val="4"/>
            <w:tcBorders>
              <w:top w:val="single" w:sz="6" w:space="0" w:color="000000"/>
              <w:left w:val="single" w:sz="6" w:space="0" w:color="000000"/>
              <w:bottom w:val="single" w:sz="6" w:space="0" w:color="000000"/>
              <w:right w:val="single" w:sz="6" w:space="0" w:color="000000"/>
            </w:tcBorders>
          </w:tcPr>
          <w:p w14:paraId="24D79D16" w14:textId="77777777" w:rsidR="00135B97" w:rsidRPr="00183B5F" w:rsidRDefault="00943743" w:rsidP="00135B97">
            <w:pPr>
              <w:keepNext/>
              <w:tabs>
                <w:tab w:val="left" w:pos="-878"/>
              </w:tabs>
              <w:suppressAutoHyphens w:val="0"/>
              <w:autoSpaceDE w:val="0"/>
              <w:autoSpaceDN w:val="0"/>
              <w:adjustRightInd w:val="0"/>
              <w:spacing w:line="240" w:lineRule="auto"/>
              <w:jc w:val="center"/>
              <w:rPr>
                <w:b/>
                <w:bCs/>
                <w:szCs w:val="22"/>
              </w:rPr>
            </w:pPr>
            <w:r w:rsidRPr="00183B5F">
              <w:rPr>
                <w:b/>
                <w:bCs/>
                <w:szCs w:val="22"/>
              </w:rPr>
              <w:t>30. táblázat</w:t>
            </w:r>
          </w:p>
          <w:p w14:paraId="7EB20ADD" w14:textId="77777777" w:rsidR="00135B97" w:rsidRPr="00183B5F" w:rsidRDefault="00943743" w:rsidP="00135B97">
            <w:pPr>
              <w:keepNext/>
              <w:tabs>
                <w:tab w:val="left" w:pos="-878"/>
              </w:tabs>
              <w:suppressAutoHyphens w:val="0"/>
              <w:autoSpaceDE w:val="0"/>
              <w:autoSpaceDN w:val="0"/>
              <w:adjustRightInd w:val="0"/>
              <w:spacing w:line="240" w:lineRule="auto"/>
              <w:jc w:val="center"/>
              <w:rPr>
                <w:b/>
                <w:bCs/>
                <w:szCs w:val="22"/>
              </w:rPr>
            </w:pPr>
            <w:r w:rsidRPr="00183B5F">
              <w:rPr>
                <w:b/>
                <w:bCs/>
                <w:szCs w:val="22"/>
              </w:rPr>
              <w:t>Gyermekkori CD Vizsgálat</w:t>
            </w:r>
          </w:p>
          <w:p w14:paraId="0F57B121" w14:textId="77777777" w:rsidR="00135B97" w:rsidRPr="00183B5F" w:rsidRDefault="00943743" w:rsidP="00135B97">
            <w:pPr>
              <w:keepNext/>
              <w:tabs>
                <w:tab w:val="left" w:pos="-878"/>
              </w:tabs>
              <w:suppressAutoHyphens w:val="0"/>
              <w:autoSpaceDE w:val="0"/>
              <w:autoSpaceDN w:val="0"/>
              <w:adjustRightInd w:val="0"/>
              <w:spacing w:line="240" w:lineRule="auto"/>
              <w:jc w:val="center"/>
              <w:rPr>
                <w:b/>
                <w:bCs/>
                <w:szCs w:val="22"/>
              </w:rPr>
            </w:pPr>
            <w:r w:rsidRPr="00183B5F">
              <w:rPr>
                <w:b/>
                <w:bCs/>
                <w:szCs w:val="22"/>
              </w:rPr>
              <w:t>Kortikoszteroidok vagy immunmodulátorok felfüggesztése és fistula-remisszió</w:t>
            </w:r>
          </w:p>
        </w:tc>
      </w:tr>
      <w:tr w:rsidR="00011D2F" w14:paraId="7C2937CB" w14:textId="77777777" w:rsidTr="00135B97">
        <w:trPr>
          <w:cantSplit/>
          <w:trHeight w:val="696"/>
          <w:jc w:val="center"/>
        </w:trPr>
        <w:tc>
          <w:tcPr>
            <w:tcW w:w="4025" w:type="dxa"/>
            <w:tcBorders>
              <w:top w:val="single" w:sz="6" w:space="0" w:color="000000"/>
              <w:left w:val="single" w:sz="6" w:space="0" w:color="000000"/>
              <w:bottom w:val="single" w:sz="6" w:space="0" w:color="000000"/>
              <w:right w:val="single" w:sz="6" w:space="0" w:color="000000"/>
            </w:tcBorders>
          </w:tcPr>
          <w:p w14:paraId="6ABCEC2C" w14:textId="77777777" w:rsidR="00135B97" w:rsidRPr="00183B5F" w:rsidRDefault="00135B97" w:rsidP="00135B97">
            <w:pPr>
              <w:keepNext/>
              <w:keepLines/>
              <w:tabs>
                <w:tab w:val="left" w:pos="-1080"/>
              </w:tabs>
              <w:suppressAutoHyphens w:val="0"/>
              <w:autoSpaceDE w:val="0"/>
              <w:autoSpaceDN w:val="0"/>
              <w:adjustRightInd w:val="0"/>
              <w:spacing w:line="240" w:lineRule="auto"/>
              <w:jc w:val="center"/>
              <w:rPr>
                <w:b/>
                <w:bCs/>
                <w:szCs w:val="22"/>
              </w:rPr>
            </w:pPr>
          </w:p>
        </w:tc>
        <w:tc>
          <w:tcPr>
            <w:tcW w:w="1656" w:type="dxa"/>
            <w:tcBorders>
              <w:top w:val="single" w:sz="6" w:space="0" w:color="000000"/>
              <w:left w:val="single" w:sz="6" w:space="0" w:color="000000"/>
              <w:bottom w:val="single" w:sz="6" w:space="0" w:color="000000"/>
              <w:right w:val="single" w:sz="6" w:space="0" w:color="000000"/>
            </w:tcBorders>
          </w:tcPr>
          <w:p w14:paraId="6CBD4041"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b/>
                <w:bCs/>
                <w:szCs w:val="22"/>
              </w:rPr>
            </w:pPr>
            <w:r w:rsidRPr="00183B5F">
              <w:rPr>
                <w:b/>
                <w:bCs/>
                <w:szCs w:val="22"/>
              </w:rPr>
              <w:t>Standard dózis</w:t>
            </w:r>
          </w:p>
          <w:p w14:paraId="3356E983"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b/>
                <w:bCs/>
                <w:szCs w:val="22"/>
              </w:rPr>
            </w:pPr>
            <w:r w:rsidRPr="00183B5F">
              <w:rPr>
                <w:b/>
                <w:bCs/>
                <w:szCs w:val="22"/>
              </w:rPr>
              <w:t>40/20 mg</w:t>
            </w:r>
          </w:p>
          <w:p w14:paraId="28490FA6"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b/>
                <w:bCs/>
                <w:szCs w:val="22"/>
              </w:rPr>
            </w:pPr>
            <w:r w:rsidRPr="00183B5F">
              <w:rPr>
                <w:b/>
                <w:bCs/>
                <w:szCs w:val="22"/>
              </w:rPr>
              <w:t xml:space="preserve">kéthetente </w:t>
            </w:r>
          </w:p>
        </w:tc>
        <w:tc>
          <w:tcPr>
            <w:tcW w:w="1619" w:type="dxa"/>
            <w:tcBorders>
              <w:top w:val="single" w:sz="6" w:space="0" w:color="000000"/>
              <w:left w:val="single" w:sz="6" w:space="0" w:color="000000"/>
              <w:bottom w:val="single" w:sz="6" w:space="0" w:color="000000"/>
              <w:right w:val="single" w:sz="6" w:space="0" w:color="000000"/>
            </w:tcBorders>
          </w:tcPr>
          <w:p w14:paraId="15EA0A9B"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b/>
                <w:bCs/>
                <w:szCs w:val="22"/>
              </w:rPr>
            </w:pPr>
            <w:r w:rsidRPr="00183B5F">
              <w:rPr>
                <w:b/>
                <w:bCs/>
                <w:szCs w:val="22"/>
              </w:rPr>
              <w:t>Alacsony dózis</w:t>
            </w:r>
          </w:p>
          <w:p w14:paraId="4EA591BB"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b/>
                <w:bCs/>
                <w:szCs w:val="22"/>
              </w:rPr>
            </w:pPr>
            <w:r w:rsidRPr="00183B5F">
              <w:rPr>
                <w:b/>
                <w:bCs/>
                <w:szCs w:val="22"/>
              </w:rPr>
              <w:t>20/10 mg</w:t>
            </w:r>
          </w:p>
          <w:p w14:paraId="40D4A054"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b/>
                <w:bCs/>
                <w:szCs w:val="22"/>
              </w:rPr>
            </w:pPr>
            <w:r w:rsidRPr="00183B5F">
              <w:rPr>
                <w:b/>
                <w:bCs/>
                <w:szCs w:val="22"/>
              </w:rPr>
              <w:t xml:space="preserve">kéthetente </w:t>
            </w:r>
          </w:p>
        </w:tc>
        <w:tc>
          <w:tcPr>
            <w:tcW w:w="1140" w:type="dxa"/>
            <w:tcBorders>
              <w:top w:val="single" w:sz="6" w:space="0" w:color="000000"/>
              <w:left w:val="single" w:sz="6" w:space="0" w:color="000000"/>
              <w:bottom w:val="single" w:sz="6" w:space="0" w:color="000000"/>
              <w:right w:val="single" w:sz="6" w:space="0" w:color="000000"/>
            </w:tcBorders>
          </w:tcPr>
          <w:p w14:paraId="381797D9"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b/>
                <w:bCs/>
                <w:szCs w:val="22"/>
              </w:rPr>
            </w:pPr>
            <w:r w:rsidRPr="00183B5F">
              <w:rPr>
                <w:b/>
                <w:bCs/>
                <w:szCs w:val="22"/>
              </w:rPr>
              <w:t>p-érték</w:t>
            </w:r>
            <w:r w:rsidRPr="00183B5F">
              <w:rPr>
                <w:b/>
                <w:bCs/>
                <w:szCs w:val="22"/>
                <w:vertAlign w:val="superscript"/>
              </w:rPr>
              <w:t>1</w:t>
            </w:r>
          </w:p>
        </w:tc>
      </w:tr>
      <w:tr w:rsidR="00011D2F" w14:paraId="661870C7" w14:textId="77777777" w:rsidTr="00135B97">
        <w:trPr>
          <w:cantSplit/>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544E7063" w14:textId="77777777" w:rsidR="00135B97" w:rsidRPr="00183B5F" w:rsidRDefault="00943743" w:rsidP="00135B97">
            <w:pPr>
              <w:keepNext/>
              <w:keepLines/>
              <w:tabs>
                <w:tab w:val="left" w:pos="-1080"/>
              </w:tabs>
              <w:suppressAutoHyphens w:val="0"/>
              <w:autoSpaceDE w:val="0"/>
              <w:autoSpaceDN w:val="0"/>
              <w:adjustRightInd w:val="0"/>
              <w:spacing w:line="240" w:lineRule="auto"/>
              <w:rPr>
                <w:b/>
                <w:szCs w:val="22"/>
              </w:rPr>
            </w:pPr>
            <w:r w:rsidRPr="00183B5F">
              <w:rPr>
                <w:b/>
                <w:szCs w:val="22"/>
              </w:rPr>
              <w:t>Kortikoszteroidok felfüggesztése</w:t>
            </w:r>
          </w:p>
        </w:tc>
        <w:tc>
          <w:tcPr>
            <w:tcW w:w="1656" w:type="dxa"/>
            <w:tcBorders>
              <w:top w:val="single" w:sz="6" w:space="0" w:color="000000"/>
              <w:left w:val="single" w:sz="6" w:space="0" w:color="000000"/>
              <w:bottom w:val="single" w:sz="6" w:space="0" w:color="000000"/>
              <w:right w:val="single" w:sz="6" w:space="0" w:color="000000"/>
            </w:tcBorders>
            <w:vAlign w:val="bottom"/>
          </w:tcPr>
          <w:p w14:paraId="603A79BA"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b/>
                <w:szCs w:val="22"/>
              </w:rPr>
            </w:pPr>
            <w:r w:rsidRPr="00183B5F">
              <w:rPr>
                <w:b/>
                <w:szCs w:val="22"/>
              </w:rPr>
              <w:t>N = 33</w:t>
            </w:r>
          </w:p>
        </w:tc>
        <w:tc>
          <w:tcPr>
            <w:tcW w:w="1619" w:type="dxa"/>
            <w:tcBorders>
              <w:top w:val="single" w:sz="6" w:space="0" w:color="000000"/>
              <w:left w:val="single" w:sz="6" w:space="0" w:color="000000"/>
              <w:bottom w:val="single" w:sz="6" w:space="0" w:color="000000"/>
              <w:right w:val="single" w:sz="6" w:space="0" w:color="000000"/>
            </w:tcBorders>
            <w:vAlign w:val="bottom"/>
          </w:tcPr>
          <w:p w14:paraId="3E5CC6C3"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b/>
                <w:szCs w:val="22"/>
              </w:rPr>
            </w:pPr>
            <w:r w:rsidRPr="00183B5F">
              <w:rPr>
                <w:b/>
                <w:szCs w:val="22"/>
              </w:rPr>
              <w:t>N = 38</w:t>
            </w:r>
          </w:p>
        </w:tc>
        <w:tc>
          <w:tcPr>
            <w:tcW w:w="1140" w:type="dxa"/>
            <w:tcBorders>
              <w:top w:val="single" w:sz="6" w:space="0" w:color="000000"/>
              <w:left w:val="single" w:sz="6" w:space="0" w:color="000000"/>
              <w:bottom w:val="single" w:sz="6" w:space="0" w:color="000000"/>
              <w:right w:val="single" w:sz="6" w:space="0" w:color="000000"/>
            </w:tcBorders>
            <w:vAlign w:val="bottom"/>
          </w:tcPr>
          <w:p w14:paraId="0841F9CA" w14:textId="77777777" w:rsidR="00135B97" w:rsidRPr="00183B5F" w:rsidRDefault="00135B97" w:rsidP="00135B97">
            <w:pPr>
              <w:keepNext/>
              <w:keepLines/>
              <w:suppressAutoHyphens w:val="0"/>
              <w:autoSpaceDE w:val="0"/>
              <w:autoSpaceDN w:val="0"/>
              <w:adjustRightInd w:val="0"/>
              <w:spacing w:line="240" w:lineRule="auto"/>
              <w:ind w:left="15"/>
              <w:rPr>
                <w:b/>
                <w:szCs w:val="22"/>
              </w:rPr>
            </w:pPr>
          </w:p>
        </w:tc>
      </w:tr>
      <w:tr w:rsidR="00011D2F" w14:paraId="61C36B07" w14:textId="77777777" w:rsidTr="00135B97">
        <w:trPr>
          <w:cantSplit/>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52AB7D8D" w14:textId="77777777" w:rsidR="00135B97" w:rsidRPr="00183B5F" w:rsidRDefault="00943743" w:rsidP="00135B97">
            <w:pPr>
              <w:keepNext/>
              <w:keepLines/>
              <w:tabs>
                <w:tab w:val="left" w:pos="-1080"/>
              </w:tabs>
              <w:suppressAutoHyphens w:val="0"/>
              <w:autoSpaceDE w:val="0"/>
              <w:autoSpaceDN w:val="0"/>
              <w:adjustRightInd w:val="0"/>
              <w:spacing w:line="240" w:lineRule="auto"/>
              <w:rPr>
                <w:bCs/>
                <w:szCs w:val="22"/>
              </w:rPr>
            </w:pPr>
            <w:r w:rsidRPr="00183B5F">
              <w:rPr>
                <w:bCs/>
                <w:szCs w:val="22"/>
              </w:rPr>
              <w:t>26. hét</w:t>
            </w:r>
          </w:p>
        </w:tc>
        <w:tc>
          <w:tcPr>
            <w:tcW w:w="1656" w:type="dxa"/>
            <w:tcBorders>
              <w:top w:val="single" w:sz="6" w:space="0" w:color="000000"/>
              <w:left w:val="single" w:sz="6" w:space="0" w:color="000000"/>
              <w:bottom w:val="single" w:sz="6" w:space="0" w:color="000000"/>
              <w:right w:val="single" w:sz="6" w:space="0" w:color="000000"/>
            </w:tcBorders>
            <w:vAlign w:val="bottom"/>
          </w:tcPr>
          <w:p w14:paraId="17FC5C59"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szCs w:val="22"/>
              </w:rPr>
            </w:pPr>
            <w:r w:rsidRPr="00183B5F">
              <w:rPr>
                <w:szCs w:val="22"/>
              </w:rPr>
              <w:t>84,8%</w:t>
            </w:r>
          </w:p>
        </w:tc>
        <w:tc>
          <w:tcPr>
            <w:tcW w:w="1619" w:type="dxa"/>
            <w:tcBorders>
              <w:top w:val="single" w:sz="6" w:space="0" w:color="000000"/>
              <w:left w:val="single" w:sz="6" w:space="0" w:color="000000"/>
              <w:bottom w:val="single" w:sz="6" w:space="0" w:color="000000"/>
              <w:right w:val="single" w:sz="6" w:space="0" w:color="000000"/>
            </w:tcBorders>
            <w:vAlign w:val="bottom"/>
          </w:tcPr>
          <w:p w14:paraId="476F78CE"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szCs w:val="22"/>
              </w:rPr>
            </w:pPr>
            <w:r w:rsidRPr="00183B5F">
              <w:rPr>
                <w:szCs w:val="22"/>
              </w:rPr>
              <w:t>65,8%</w:t>
            </w:r>
          </w:p>
        </w:tc>
        <w:tc>
          <w:tcPr>
            <w:tcW w:w="1140" w:type="dxa"/>
            <w:tcBorders>
              <w:top w:val="single" w:sz="6" w:space="0" w:color="000000"/>
              <w:left w:val="single" w:sz="6" w:space="0" w:color="000000"/>
              <w:bottom w:val="single" w:sz="6" w:space="0" w:color="000000"/>
              <w:right w:val="single" w:sz="6" w:space="0" w:color="000000"/>
            </w:tcBorders>
            <w:vAlign w:val="bottom"/>
          </w:tcPr>
          <w:p w14:paraId="1A7A52B3"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szCs w:val="22"/>
              </w:rPr>
            </w:pPr>
            <w:r w:rsidRPr="00183B5F">
              <w:rPr>
                <w:szCs w:val="22"/>
              </w:rPr>
              <w:t>0,066</w:t>
            </w:r>
          </w:p>
        </w:tc>
      </w:tr>
      <w:tr w:rsidR="00011D2F" w14:paraId="6462BD4F" w14:textId="77777777" w:rsidTr="00135B97">
        <w:trPr>
          <w:cantSplit/>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20EDC8C2" w14:textId="77777777" w:rsidR="00135B97" w:rsidRPr="00183B5F" w:rsidRDefault="00943743" w:rsidP="00135B97">
            <w:pPr>
              <w:keepNext/>
              <w:keepLines/>
              <w:tabs>
                <w:tab w:val="left" w:pos="-1080"/>
              </w:tabs>
              <w:suppressAutoHyphens w:val="0"/>
              <w:autoSpaceDE w:val="0"/>
              <w:autoSpaceDN w:val="0"/>
              <w:adjustRightInd w:val="0"/>
              <w:spacing w:line="240" w:lineRule="auto"/>
              <w:rPr>
                <w:bCs/>
                <w:szCs w:val="22"/>
              </w:rPr>
            </w:pPr>
            <w:r w:rsidRPr="00183B5F">
              <w:rPr>
                <w:bCs/>
                <w:szCs w:val="22"/>
              </w:rPr>
              <w:t>52. hét</w:t>
            </w:r>
          </w:p>
        </w:tc>
        <w:tc>
          <w:tcPr>
            <w:tcW w:w="1656" w:type="dxa"/>
            <w:tcBorders>
              <w:top w:val="single" w:sz="6" w:space="0" w:color="000000"/>
              <w:left w:val="single" w:sz="6" w:space="0" w:color="000000"/>
              <w:bottom w:val="single" w:sz="6" w:space="0" w:color="000000"/>
              <w:right w:val="single" w:sz="6" w:space="0" w:color="000000"/>
            </w:tcBorders>
          </w:tcPr>
          <w:p w14:paraId="5D3B6C74"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szCs w:val="22"/>
              </w:rPr>
            </w:pPr>
            <w:r w:rsidRPr="00183B5F">
              <w:rPr>
                <w:szCs w:val="22"/>
              </w:rPr>
              <w:t>69,7%</w:t>
            </w:r>
          </w:p>
        </w:tc>
        <w:tc>
          <w:tcPr>
            <w:tcW w:w="1619" w:type="dxa"/>
            <w:tcBorders>
              <w:top w:val="single" w:sz="6" w:space="0" w:color="000000"/>
              <w:left w:val="single" w:sz="6" w:space="0" w:color="000000"/>
              <w:bottom w:val="single" w:sz="6" w:space="0" w:color="000000"/>
              <w:right w:val="single" w:sz="6" w:space="0" w:color="000000"/>
            </w:tcBorders>
          </w:tcPr>
          <w:p w14:paraId="4BBC7DE6"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szCs w:val="22"/>
              </w:rPr>
            </w:pPr>
            <w:r w:rsidRPr="00183B5F">
              <w:rPr>
                <w:szCs w:val="22"/>
              </w:rPr>
              <w:t>60,5%</w:t>
            </w:r>
          </w:p>
        </w:tc>
        <w:tc>
          <w:tcPr>
            <w:tcW w:w="1140" w:type="dxa"/>
            <w:tcBorders>
              <w:top w:val="single" w:sz="6" w:space="0" w:color="000000"/>
              <w:left w:val="single" w:sz="6" w:space="0" w:color="000000"/>
              <w:bottom w:val="single" w:sz="6" w:space="0" w:color="000000"/>
              <w:right w:val="single" w:sz="6" w:space="0" w:color="000000"/>
            </w:tcBorders>
            <w:vAlign w:val="bottom"/>
          </w:tcPr>
          <w:p w14:paraId="1936BFA4"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szCs w:val="22"/>
              </w:rPr>
            </w:pPr>
            <w:r w:rsidRPr="00183B5F">
              <w:rPr>
                <w:szCs w:val="22"/>
              </w:rPr>
              <w:t>0,420</w:t>
            </w:r>
          </w:p>
        </w:tc>
      </w:tr>
      <w:tr w:rsidR="00011D2F" w14:paraId="13C2D6ED" w14:textId="77777777" w:rsidTr="00135B97">
        <w:trPr>
          <w:cantSplit/>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3B056B86" w14:textId="77777777" w:rsidR="00135B97" w:rsidRPr="00183B5F" w:rsidRDefault="00943743" w:rsidP="00135B97">
            <w:pPr>
              <w:keepNext/>
              <w:keepLines/>
              <w:tabs>
                <w:tab w:val="left" w:pos="-1080"/>
              </w:tabs>
              <w:suppressAutoHyphens w:val="0"/>
              <w:autoSpaceDE w:val="0"/>
              <w:autoSpaceDN w:val="0"/>
              <w:adjustRightInd w:val="0"/>
              <w:spacing w:line="240" w:lineRule="auto"/>
              <w:rPr>
                <w:b/>
                <w:szCs w:val="22"/>
              </w:rPr>
            </w:pPr>
            <w:r w:rsidRPr="00183B5F">
              <w:rPr>
                <w:b/>
                <w:szCs w:val="22"/>
              </w:rPr>
              <w:t>Immunmodulátorok felfüggesztése</w:t>
            </w:r>
            <w:r w:rsidRPr="00183B5F">
              <w:rPr>
                <w:b/>
                <w:szCs w:val="22"/>
                <w:vertAlign w:val="superscript"/>
              </w:rPr>
              <w:t>2</w:t>
            </w:r>
          </w:p>
        </w:tc>
        <w:tc>
          <w:tcPr>
            <w:tcW w:w="1656" w:type="dxa"/>
            <w:tcBorders>
              <w:top w:val="single" w:sz="6" w:space="0" w:color="000000"/>
              <w:left w:val="single" w:sz="6" w:space="0" w:color="000000"/>
              <w:bottom w:val="single" w:sz="6" w:space="0" w:color="000000"/>
              <w:right w:val="single" w:sz="6" w:space="0" w:color="000000"/>
            </w:tcBorders>
            <w:vAlign w:val="bottom"/>
          </w:tcPr>
          <w:p w14:paraId="59FAB5C4"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b/>
                <w:szCs w:val="22"/>
              </w:rPr>
            </w:pPr>
            <w:r w:rsidRPr="00183B5F">
              <w:rPr>
                <w:b/>
                <w:szCs w:val="22"/>
              </w:rPr>
              <w:t>N = 60</w:t>
            </w:r>
          </w:p>
        </w:tc>
        <w:tc>
          <w:tcPr>
            <w:tcW w:w="1619" w:type="dxa"/>
            <w:tcBorders>
              <w:top w:val="single" w:sz="6" w:space="0" w:color="000000"/>
              <w:left w:val="single" w:sz="6" w:space="0" w:color="000000"/>
              <w:bottom w:val="single" w:sz="6" w:space="0" w:color="000000"/>
              <w:right w:val="single" w:sz="6" w:space="0" w:color="000000"/>
            </w:tcBorders>
            <w:vAlign w:val="bottom"/>
          </w:tcPr>
          <w:p w14:paraId="021C01FD"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b/>
                <w:szCs w:val="22"/>
              </w:rPr>
            </w:pPr>
            <w:r w:rsidRPr="00183B5F">
              <w:rPr>
                <w:b/>
                <w:szCs w:val="22"/>
              </w:rPr>
              <w:t>N = 57</w:t>
            </w:r>
          </w:p>
        </w:tc>
        <w:tc>
          <w:tcPr>
            <w:tcW w:w="1140" w:type="dxa"/>
            <w:tcBorders>
              <w:top w:val="single" w:sz="6" w:space="0" w:color="000000"/>
              <w:left w:val="single" w:sz="6" w:space="0" w:color="000000"/>
              <w:bottom w:val="single" w:sz="6" w:space="0" w:color="000000"/>
              <w:right w:val="single" w:sz="6" w:space="0" w:color="000000"/>
            </w:tcBorders>
            <w:vAlign w:val="bottom"/>
          </w:tcPr>
          <w:p w14:paraId="0784FBF7" w14:textId="77777777" w:rsidR="00135B97" w:rsidRPr="00183B5F" w:rsidRDefault="00135B97" w:rsidP="00135B97">
            <w:pPr>
              <w:keepNext/>
              <w:suppressAutoHyphens w:val="0"/>
              <w:autoSpaceDE w:val="0"/>
              <w:autoSpaceDN w:val="0"/>
              <w:adjustRightInd w:val="0"/>
              <w:spacing w:line="240" w:lineRule="auto"/>
              <w:ind w:left="15"/>
              <w:rPr>
                <w:b/>
                <w:szCs w:val="22"/>
              </w:rPr>
            </w:pPr>
          </w:p>
        </w:tc>
      </w:tr>
      <w:tr w:rsidR="00011D2F" w14:paraId="67DA6494" w14:textId="77777777" w:rsidTr="00135B97">
        <w:trPr>
          <w:cantSplit/>
          <w:jc w:val="center"/>
        </w:trPr>
        <w:tc>
          <w:tcPr>
            <w:tcW w:w="4025" w:type="dxa"/>
            <w:tcBorders>
              <w:top w:val="single" w:sz="6" w:space="0" w:color="000000"/>
              <w:left w:val="single" w:sz="6" w:space="0" w:color="000000"/>
              <w:bottom w:val="single" w:sz="6" w:space="0" w:color="000000"/>
              <w:right w:val="single" w:sz="6" w:space="0" w:color="000000"/>
            </w:tcBorders>
          </w:tcPr>
          <w:p w14:paraId="34BC024E" w14:textId="77777777" w:rsidR="00135B97" w:rsidRPr="00183B5F" w:rsidRDefault="00943743" w:rsidP="00135B97">
            <w:pPr>
              <w:keepNext/>
              <w:keepLines/>
              <w:tabs>
                <w:tab w:val="left" w:pos="-1080"/>
              </w:tabs>
              <w:suppressAutoHyphens w:val="0"/>
              <w:autoSpaceDE w:val="0"/>
              <w:autoSpaceDN w:val="0"/>
              <w:adjustRightInd w:val="0"/>
              <w:spacing w:line="240" w:lineRule="auto"/>
              <w:rPr>
                <w:bCs/>
                <w:szCs w:val="22"/>
              </w:rPr>
            </w:pPr>
            <w:r w:rsidRPr="00183B5F">
              <w:rPr>
                <w:bCs/>
                <w:szCs w:val="22"/>
              </w:rPr>
              <w:t>52. hét</w:t>
            </w:r>
          </w:p>
        </w:tc>
        <w:tc>
          <w:tcPr>
            <w:tcW w:w="1656" w:type="dxa"/>
            <w:tcBorders>
              <w:top w:val="single" w:sz="6" w:space="0" w:color="000000"/>
              <w:left w:val="single" w:sz="6" w:space="0" w:color="000000"/>
              <w:bottom w:val="single" w:sz="6" w:space="0" w:color="000000"/>
              <w:right w:val="single" w:sz="6" w:space="0" w:color="000000"/>
            </w:tcBorders>
          </w:tcPr>
          <w:p w14:paraId="2BB1281E"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szCs w:val="22"/>
              </w:rPr>
            </w:pPr>
            <w:r w:rsidRPr="00183B5F">
              <w:rPr>
                <w:szCs w:val="22"/>
              </w:rPr>
              <w:t>30,0%</w:t>
            </w:r>
          </w:p>
        </w:tc>
        <w:tc>
          <w:tcPr>
            <w:tcW w:w="1619" w:type="dxa"/>
            <w:tcBorders>
              <w:top w:val="single" w:sz="6" w:space="0" w:color="000000"/>
              <w:left w:val="single" w:sz="6" w:space="0" w:color="000000"/>
              <w:bottom w:val="single" w:sz="6" w:space="0" w:color="000000"/>
              <w:right w:val="single" w:sz="6" w:space="0" w:color="000000"/>
            </w:tcBorders>
          </w:tcPr>
          <w:p w14:paraId="465CC474"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szCs w:val="22"/>
              </w:rPr>
            </w:pPr>
            <w:r w:rsidRPr="00183B5F">
              <w:rPr>
                <w:szCs w:val="22"/>
              </w:rPr>
              <w:t>29,8%</w:t>
            </w:r>
          </w:p>
        </w:tc>
        <w:tc>
          <w:tcPr>
            <w:tcW w:w="1140" w:type="dxa"/>
            <w:tcBorders>
              <w:top w:val="single" w:sz="6" w:space="0" w:color="000000"/>
              <w:left w:val="single" w:sz="6" w:space="0" w:color="000000"/>
              <w:bottom w:val="single" w:sz="6" w:space="0" w:color="000000"/>
              <w:right w:val="single" w:sz="6" w:space="0" w:color="000000"/>
            </w:tcBorders>
          </w:tcPr>
          <w:p w14:paraId="6FE96526"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szCs w:val="22"/>
              </w:rPr>
            </w:pPr>
            <w:r w:rsidRPr="00183B5F">
              <w:rPr>
                <w:szCs w:val="22"/>
              </w:rPr>
              <w:t>0,983</w:t>
            </w:r>
          </w:p>
        </w:tc>
      </w:tr>
      <w:tr w:rsidR="00011D2F" w14:paraId="20FE92E5" w14:textId="77777777" w:rsidTr="00135B97">
        <w:trPr>
          <w:cantSplit/>
          <w:jc w:val="center"/>
        </w:trPr>
        <w:tc>
          <w:tcPr>
            <w:tcW w:w="4025" w:type="dxa"/>
            <w:tcBorders>
              <w:top w:val="single" w:sz="6" w:space="0" w:color="000000"/>
              <w:left w:val="single" w:sz="6" w:space="0" w:color="000000"/>
              <w:bottom w:val="single" w:sz="6" w:space="0" w:color="000000"/>
              <w:right w:val="single" w:sz="6" w:space="0" w:color="000000"/>
            </w:tcBorders>
          </w:tcPr>
          <w:p w14:paraId="405172AF" w14:textId="77777777" w:rsidR="00135B97" w:rsidRPr="00183B5F" w:rsidRDefault="00943743" w:rsidP="00135B97">
            <w:pPr>
              <w:keepNext/>
              <w:keepLines/>
              <w:tabs>
                <w:tab w:val="left" w:pos="-1080"/>
              </w:tabs>
              <w:suppressAutoHyphens w:val="0"/>
              <w:autoSpaceDE w:val="0"/>
              <w:autoSpaceDN w:val="0"/>
              <w:adjustRightInd w:val="0"/>
              <w:spacing w:line="240" w:lineRule="auto"/>
              <w:rPr>
                <w:b/>
                <w:bCs/>
                <w:szCs w:val="22"/>
              </w:rPr>
            </w:pPr>
            <w:r w:rsidRPr="00183B5F">
              <w:rPr>
                <w:b/>
                <w:szCs w:val="22"/>
              </w:rPr>
              <w:t>Fistula-remisszió</w:t>
            </w:r>
            <w:r w:rsidRPr="00183B5F">
              <w:rPr>
                <w:b/>
                <w:szCs w:val="22"/>
                <w:vertAlign w:val="superscript"/>
              </w:rPr>
              <w:t>3</w:t>
            </w:r>
          </w:p>
        </w:tc>
        <w:tc>
          <w:tcPr>
            <w:tcW w:w="1656" w:type="dxa"/>
            <w:tcBorders>
              <w:top w:val="single" w:sz="6" w:space="0" w:color="000000"/>
              <w:left w:val="single" w:sz="6" w:space="0" w:color="000000"/>
              <w:bottom w:val="single" w:sz="6" w:space="0" w:color="000000"/>
              <w:right w:val="single" w:sz="6" w:space="0" w:color="000000"/>
            </w:tcBorders>
          </w:tcPr>
          <w:p w14:paraId="0FA97327"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b/>
                <w:szCs w:val="22"/>
              </w:rPr>
            </w:pPr>
            <w:r w:rsidRPr="00183B5F">
              <w:rPr>
                <w:b/>
                <w:szCs w:val="22"/>
              </w:rPr>
              <w:t>N = 15</w:t>
            </w:r>
          </w:p>
        </w:tc>
        <w:tc>
          <w:tcPr>
            <w:tcW w:w="1619" w:type="dxa"/>
            <w:tcBorders>
              <w:top w:val="single" w:sz="6" w:space="0" w:color="000000"/>
              <w:left w:val="single" w:sz="6" w:space="0" w:color="000000"/>
              <w:bottom w:val="single" w:sz="6" w:space="0" w:color="000000"/>
              <w:right w:val="single" w:sz="6" w:space="0" w:color="000000"/>
            </w:tcBorders>
          </w:tcPr>
          <w:p w14:paraId="72B34EE5"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b/>
                <w:szCs w:val="22"/>
              </w:rPr>
            </w:pPr>
            <w:r w:rsidRPr="00183B5F">
              <w:rPr>
                <w:b/>
                <w:szCs w:val="22"/>
              </w:rPr>
              <w:t>N = 21</w:t>
            </w:r>
          </w:p>
        </w:tc>
        <w:tc>
          <w:tcPr>
            <w:tcW w:w="1140" w:type="dxa"/>
            <w:tcBorders>
              <w:top w:val="single" w:sz="6" w:space="0" w:color="000000"/>
              <w:left w:val="single" w:sz="6" w:space="0" w:color="000000"/>
              <w:bottom w:val="single" w:sz="6" w:space="0" w:color="000000"/>
              <w:right w:val="single" w:sz="6" w:space="0" w:color="000000"/>
            </w:tcBorders>
          </w:tcPr>
          <w:p w14:paraId="63E69C14" w14:textId="77777777" w:rsidR="00135B97" w:rsidRPr="00183B5F" w:rsidRDefault="00135B97" w:rsidP="00135B97">
            <w:pPr>
              <w:keepNext/>
              <w:keepLines/>
              <w:tabs>
                <w:tab w:val="left" w:pos="-1080"/>
              </w:tabs>
              <w:suppressAutoHyphens w:val="0"/>
              <w:autoSpaceDE w:val="0"/>
              <w:autoSpaceDN w:val="0"/>
              <w:adjustRightInd w:val="0"/>
              <w:spacing w:line="240" w:lineRule="auto"/>
              <w:ind w:left="15"/>
              <w:jc w:val="center"/>
              <w:rPr>
                <w:szCs w:val="22"/>
              </w:rPr>
            </w:pPr>
          </w:p>
        </w:tc>
      </w:tr>
      <w:tr w:rsidR="00011D2F" w14:paraId="2F9719CA" w14:textId="77777777" w:rsidTr="00135B97">
        <w:trPr>
          <w:cantSplit/>
          <w:jc w:val="center"/>
        </w:trPr>
        <w:tc>
          <w:tcPr>
            <w:tcW w:w="4025" w:type="dxa"/>
            <w:tcBorders>
              <w:top w:val="single" w:sz="6" w:space="0" w:color="000000"/>
              <w:left w:val="single" w:sz="6" w:space="0" w:color="000000"/>
              <w:bottom w:val="single" w:sz="6" w:space="0" w:color="000000"/>
              <w:right w:val="single" w:sz="6" w:space="0" w:color="000000"/>
            </w:tcBorders>
          </w:tcPr>
          <w:p w14:paraId="615616AF" w14:textId="77777777" w:rsidR="00135B97" w:rsidRPr="00183B5F" w:rsidRDefault="00943743" w:rsidP="00135B97">
            <w:pPr>
              <w:keepNext/>
              <w:keepLines/>
              <w:tabs>
                <w:tab w:val="left" w:pos="-1080"/>
              </w:tabs>
              <w:suppressAutoHyphens w:val="0"/>
              <w:autoSpaceDE w:val="0"/>
              <w:autoSpaceDN w:val="0"/>
              <w:adjustRightInd w:val="0"/>
              <w:spacing w:line="240" w:lineRule="auto"/>
              <w:rPr>
                <w:bCs/>
                <w:szCs w:val="22"/>
              </w:rPr>
            </w:pPr>
            <w:r w:rsidRPr="00183B5F">
              <w:rPr>
                <w:bCs/>
                <w:szCs w:val="22"/>
              </w:rPr>
              <w:t>26. hét</w:t>
            </w:r>
          </w:p>
        </w:tc>
        <w:tc>
          <w:tcPr>
            <w:tcW w:w="1656" w:type="dxa"/>
            <w:tcBorders>
              <w:top w:val="single" w:sz="6" w:space="0" w:color="000000"/>
              <w:left w:val="single" w:sz="6" w:space="0" w:color="000000"/>
              <w:bottom w:val="single" w:sz="6" w:space="0" w:color="000000"/>
              <w:right w:val="single" w:sz="6" w:space="0" w:color="000000"/>
            </w:tcBorders>
          </w:tcPr>
          <w:p w14:paraId="3EB119F5"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szCs w:val="22"/>
              </w:rPr>
            </w:pPr>
            <w:r w:rsidRPr="00183B5F">
              <w:rPr>
                <w:szCs w:val="22"/>
              </w:rPr>
              <w:t>46,7%</w:t>
            </w:r>
          </w:p>
        </w:tc>
        <w:tc>
          <w:tcPr>
            <w:tcW w:w="1619" w:type="dxa"/>
            <w:tcBorders>
              <w:top w:val="single" w:sz="6" w:space="0" w:color="000000"/>
              <w:left w:val="single" w:sz="6" w:space="0" w:color="000000"/>
              <w:bottom w:val="single" w:sz="6" w:space="0" w:color="000000"/>
              <w:right w:val="single" w:sz="6" w:space="0" w:color="000000"/>
            </w:tcBorders>
          </w:tcPr>
          <w:p w14:paraId="2B3D9270"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szCs w:val="22"/>
              </w:rPr>
            </w:pPr>
            <w:r w:rsidRPr="00183B5F">
              <w:rPr>
                <w:szCs w:val="22"/>
              </w:rPr>
              <w:t>38,1%</w:t>
            </w:r>
          </w:p>
        </w:tc>
        <w:tc>
          <w:tcPr>
            <w:tcW w:w="1140" w:type="dxa"/>
            <w:tcBorders>
              <w:top w:val="single" w:sz="6" w:space="0" w:color="000000"/>
              <w:left w:val="single" w:sz="6" w:space="0" w:color="000000"/>
              <w:bottom w:val="single" w:sz="6" w:space="0" w:color="000000"/>
              <w:right w:val="single" w:sz="6" w:space="0" w:color="000000"/>
            </w:tcBorders>
          </w:tcPr>
          <w:p w14:paraId="7427A2A2"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szCs w:val="22"/>
              </w:rPr>
            </w:pPr>
            <w:r w:rsidRPr="00183B5F">
              <w:rPr>
                <w:szCs w:val="22"/>
              </w:rPr>
              <w:t>0,608</w:t>
            </w:r>
          </w:p>
        </w:tc>
      </w:tr>
      <w:tr w:rsidR="00011D2F" w14:paraId="0C950BA7" w14:textId="77777777" w:rsidTr="00135B97">
        <w:trPr>
          <w:cantSplit/>
          <w:jc w:val="center"/>
        </w:trPr>
        <w:tc>
          <w:tcPr>
            <w:tcW w:w="4025" w:type="dxa"/>
            <w:tcBorders>
              <w:top w:val="single" w:sz="6" w:space="0" w:color="000000"/>
              <w:left w:val="single" w:sz="6" w:space="0" w:color="000000"/>
              <w:bottom w:val="single" w:sz="4" w:space="0" w:color="auto"/>
              <w:right w:val="single" w:sz="6" w:space="0" w:color="000000"/>
            </w:tcBorders>
          </w:tcPr>
          <w:p w14:paraId="52C51474" w14:textId="77777777" w:rsidR="00135B97" w:rsidRPr="00183B5F" w:rsidRDefault="00943743" w:rsidP="00135B97">
            <w:pPr>
              <w:keepNext/>
              <w:keepLines/>
              <w:tabs>
                <w:tab w:val="left" w:pos="-1080"/>
              </w:tabs>
              <w:suppressAutoHyphens w:val="0"/>
              <w:autoSpaceDE w:val="0"/>
              <w:autoSpaceDN w:val="0"/>
              <w:adjustRightInd w:val="0"/>
              <w:spacing w:line="240" w:lineRule="auto"/>
              <w:rPr>
                <w:bCs/>
                <w:szCs w:val="22"/>
              </w:rPr>
            </w:pPr>
            <w:r w:rsidRPr="00183B5F">
              <w:rPr>
                <w:szCs w:val="22"/>
              </w:rPr>
              <w:t>52. hét</w:t>
            </w:r>
          </w:p>
        </w:tc>
        <w:tc>
          <w:tcPr>
            <w:tcW w:w="1656" w:type="dxa"/>
            <w:tcBorders>
              <w:top w:val="single" w:sz="6" w:space="0" w:color="000000"/>
              <w:left w:val="single" w:sz="6" w:space="0" w:color="000000"/>
              <w:bottom w:val="single" w:sz="4" w:space="0" w:color="auto"/>
              <w:right w:val="single" w:sz="6" w:space="0" w:color="000000"/>
            </w:tcBorders>
          </w:tcPr>
          <w:p w14:paraId="6DAE7736"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szCs w:val="22"/>
              </w:rPr>
            </w:pPr>
            <w:r w:rsidRPr="00183B5F">
              <w:rPr>
                <w:szCs w:val="22"/>
              </w:rPr>
              <w:t>40,0%</w:t>
            </w:r>
          </w:p>
        </w:tc>
        <w:tc>
          <w:tcPr>
            <w:tcW w:w="1619" w:type="dxa"/>
            <w:tcBorders>
              <w:top w:val="single" w:sz="6" w:space="0" w:color="000000"/>
              <w:left w:val="single" w:sz="6" w:space="0" w:color="000000"/>
              <w:bottom w:val="single" w:sz="4" w:space="0" w:color="auto"/>
              <w:right w:val="single" w:sz="6" w:space="0" w:color="000000"/>
            </w:tcBorders>
          </w:tcPr>
          <w:p w14:paraId="592040FC"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szCs w:val="22"/>
              </w:rPr>
            </w:pPr>
            <w:r w:rsidRPr="00183B5F">
              <w:rPr>
                <w:szCs w:val="22"/>
              </w:rPr>
              <w:t>23,8%</w:t>
            </w:r>
          </w:p>
        </w:tc>
        <w:tc>
          <w:tcPr>
            <w:tcW w:w="1140" w:type="dxa"/>
            <w:tcBorders>
              <w:top w:val="single" w:sz="6" w:space="0" w:color="000000"/>
              <w:left w:val="single" w:sz="6" w:space="0" w:color="000000"/>
              <w:bottom w:val="single" w:sz="4" w:space="0" w:color="auto"/>
              <w:right w:val="single" w:sz="6" w:space="0" w:color="000000"/>
            </w:tcBorders>
          </w:tcPr>
          <w:p w14:paraId="4569F2D1" w14:textId="77777777" w:rsidR="00135B97" w:rsidRPr="00183B5F" w:rsidRDefault="00943743" w:rsidP="00135B97">
            <w:pPr>
              <w:keepNext/>
              <w:keepLines/>
              <w:tabs>
                <w:tab w:val="left" w:pos="-1080"/>
              </w:tabs>
              <w:suppressAutoHyphens w:val="0"/>
              <w:autoSpaceDE w:val="0"/>
              <w:autoSpaceDN w:val="0"/>
              <w:adjustRightInd w:val="0"/>
              <w:spacing w:line="240" w:lineRule="auto"/>
              <w:ind w:left="15"/>
              <w:jc w:val="center"/>
              <w:rPr>
                <w:szCs w:val="22"/>
              </w:rPr>
            </w:pPr>
            <w:r w:rsidRPr="00183B5F">
              <w:rPr>
                <w:szCs w:val="22"/>
              </w:rPr>
              <w:t>0,303</w:t>
            </w:r>
          </w:p>
        </w:tc>
      </w:tr>
      <w:tr w:rsidR="00011D2F" w14:paraId="5D7B5CE6" w14:textId="77777777" w:rsidTr="00135B97">
        <w:trPr>
          <w:cantSplit/>
          <w:trHeight w:val="177"/>
          <w:jc w:val="center"/>
        </w:trPr>
        <w:tc>
          <w:tcPr>
            <w:tcW w:w="8440" w:type="dxa"/>
            <w:gridSpan w:val="4"/>
            <w:tcBorders>
              <w:top w:val="single" w:sz="4" w:space="0" w:color="auto"/>
            </w:tcBorders>
          </w:tcPr>
          <w:p w14:paraId="4CECC355" w14:textId="77777777" w:rsidR="00135B97" w:rsidRPr="00183B5F" w:rsidRDefault="00943743" w:rsidP="00135B97">
            <w:pPr>
              <w:keepLines/>
              <w:tabs>
                <w:tab w:val="left" w:pos="-1080"/>
              </w:tabs>
              <w:suppressAutoHyphens w:val="0"/>
              <w:autoSpaceDE w:val="0"/>
              <w:autoSpaceDN w:val="0"/>
              <w:adjustRightInd w:val="0"/>
              <w:spacing w:line="240" w:lineRule="auto"/>
              <w:rPr>
                <w:szCs w:val="22"/>
              </w:rPr>
            </w:pPr>
            <w:r w:rsidRPr="00183B5F">
              <w:rPr>
                <w:szCs w:val="22"/>
                <w:vertAlign w:val="superscript"/>
              </w:rPr>
              <w:t>1</w:t>
            </w:r>
            <w:r w:rsidRPr="00183B5F">
              <w:rPr>
                <w:szCs w:val="22"/>
              </w:rPr>
              <w:t xml:space="preserve">  p</w:t>
            </w:r>
            <w:r w:rsidRPr="00183B5F">
              <w:rPr>
                <w:szCs w:val="22"/>
              </w:rPr>
              <w:noBreakHyphen/>
              <w:t xml:space="preserve">érték Standard dózis </w:t>
            </w:r>
            <w:r w:rsidRPr="00183B5F">
              <w:rPr>
                <w:i/>
                <w:iCs/>
                <w:szCs w:val="22"/>
              </w:rPr>
              <w:t xml:space="preserve">versus </w:t>
            </w:r>
            <w:r w:rsidRPr="00183B5F">
              <w:rPr>
                <w:iCs/>
                <w:szCs w:val="22"/>
              </w:rPr>
              <w:t>az</w:t>
            </w:r>
            <w:r w:rsidRPr="00183B5F">
              <w:rPr>
                <w:i/>
                <w:iCs/>
                <w:szCs w:val="22"/>
              </w:rPr>
              <w:t xml:space="preserve"> </w:t>
            </w:r>
            <w:r w:rsidRPr="00183B5F">
              <w:rPr>
                <w:iCs/>
                <w:szCs w:val="22"/>
              </w:rPr>
              <w:t>Alacsony</w:t>
            </w:r>
            <w:r w:rsidRPr="00183B5F">
              <w:rPr>
                <w:szCs w:val="22"/>
              </w:rPr>
              <w:t xml:space="preserve"> dózis összehasonlítása esetén.</w:t>
            </w:r>
          </w:p>
          <w:p w14:paraId="320E8087" w14:textId="77777777" w:rsidR="00135B97" w:rsidRPr="00183B5F" w:rsidRDefault="00943743" w:rsidP="00135B97">
            <w:pPr>
              <w:keepLines/>
              <w:tabs>
                <w:tab w:val="left" w:pos="-1080"/>
              </w:tabs>
              <w:suppressAutoHyphens w:val="0"/>
              <w:autoSpaceDE w:val="0"/>
              <w:autoSpaceDN w:val="0"/>
              <w:adjustRightInd w:val="0"/>
              <w:spacing w:line="240" w:lineRule="auto"/>
              <w:rPr>
                <w:szCs w:val="22"/>
              </w:rPr>
            </w:pPr>
            <w:r w:rsidRPr="00183B5F">
              <w:rPr>
                <w:szCs w:val="22"/>
                <w:vertAlign w:val="superscript"/>
              </w:rPr>
              <w:t xml:space="preserve"> 2</w:t>
            </w:r>
            <w:r w:rsidRPr="00183B5F">
              <w:rPr>
                <w:szCs w:val="22"/>
              </w:rPr>
              <w:t xml:space="preserve">  Az immunszuppresszív kezelést csak a 26. héten vagy azt követően lehetett felfüggeszteni a vizsgáló orvos megítélése alapján, ha a beteg teljesítette a klinikai válasz kritériumait. </w:t>
            </w:r>
          </w:p>
          <w:p w14:paraId="71657D0D" w14:textId="77777777" w:rsidR="00135B97" w:rsidRPr="00183B5F" w:rsidRDefault="00943743" w:rsidP="00135B97">
            <w:pPr>
              <w:keepLines/>
              <w:tabs>
                <w:tab w:val="left" w:pos="-1080"/>
              </w:tabs>
              <w:suppressAutoHyphens w:val="0"/>
              <w:autoSpaceDE w:val="0"/>
              <w:autoSpaceDN w:val="0"/>
              <w:adjustRightInd w:val="0"/>
              <w:spacing w:line="240" w:lineRule="auto"/>
              <w:rPr>
                <w:szCs w:val="22"/>
              </w:rPr>
            </w:pPr>
            <w:r w:rsidRPr="00183B5F">
              <w:rPr>
                <w:szCs w:val="22"/>
                <w:vertAlign w:val="superscript"/>
              </w:rPr>
              <w:t>3</w:t>
            </w:r>
            <w:r w:rsidRPr="00183B5F">
              <w:rPr>
                <w:szCs w:val="22"/>
              </w:rPr>
              <w:t xml:space="preserve">  Meghatározás szerint valamennyi, a vizsgálat megkezdésekor váladékozó fistula záródása legalább 2 egymást követő kontrollvizsgálat alkalmával.</w:t>
            </w:r>
          </w:p>
        </w:tc>
      </w:tr>
    </w:tbl>
    <w:p w14:paraId="60A7C316" w14:textId="77777777" w:rsidR="00135B97" w:rsidRPr="00183B5F" w:rsidRDefault="00135B97" w:rsidP="00135B97">
      <w:pPr>
        <w:spacing w:line="240" w:lineRule="auto"/>
        <w:rPr>
          <w:szCs w:val="22"/>
        </w:rPr>
      </w:pPr>
    </w:p>
    <w:p w14:paraId="1EF41389" w14:textId="77777777" w:rsidR="00135B97" w:rsidRPr="00183B5F" w:rsidRDefault="00943743" w:rsidP="00135B97">
      <w:pPr>
        <w:pStyle w:val="EMEANormal"/>
        <w:rPr>
          <w:szCs w:val="22"/>
          <w:lang w:val="hu-HU"/>
        </w:rPr>
      </w:pPr>
      <w:r w:rsidRPr="00183B5F">
        <w:rPr>
          <w:szCs w:val="22"/>
          <w:lang w:val="hu-HU"/>
        </w:rPr>
        <w:t>Mindkét kezelési csoportban a testtömegindex és a növekedési sebesség kiindulási értékhez viszonyított, statisztikailag szignifikáns emelkedését (javulását) észlelték a 26. és az 52. héten.</w:t>
      </w:r>
    </w:p>
    <w:p w14:paraId="149E41DE" w14:textId="77777777" w:rsidR="00135B97" w:rsidRPr="00183B5F" w:rsidRDefault="00135B97" w:rsidP="00135B97">
      <w:pPr>
        <w:pStyle w:val="EMEANormal"/>
        <w:rPr>
          <w:szCs w:val="22"/>
          <w:lang w:val="hu-HU"/>
        </w:rPr>
      </w:pPr>
    </w:p>
    <w:p w14:paraId="1651A5FC" w14:textId="77777777" w:rsidR="00135B97" w:rsidRPr="00183B5F" w:rsidRDefault="00943743" w:rsidP="00135B97">
      <w:pPr>
        <w:pStyle w:val="EMEANormal"/>
        <w:rPr>
          <w:szCs w:val="22"/>
          <w:lang w:val="hu-HU"/>
        </w:rPr>
      </w:pPr>
      <w:r w:rsidRPr="00183B5F">
        <w:rPr>
          <w:szCs w:val="22"/>
          <w:lang w:val="hu-HU"/>
        </w:rPr>
        <w:t>Mindkét kezelési csoportban az életminőségi paraméterek (köztük az IMPACT III-t) kiindulási értékhez viszonyított, statisztikailag szignifikáns és klinikailag jelentős javulását is megfigyelték.</w:t>
      </w:r>
    </w:p>
    <w:p w14:paraId="55598133" w14:textId="77777777" w:rsidR="00135B97" w:rsidRPr="00183B5F" w:rsidRDefault="00135B97" w:rsidP="00135B97">
      <w:pPr>
        <w:pStyle w:val="EMEANormal"/>
        <w:rPr>
          <w:szCs w:val="22"/>
          <w:lang w:val="hu-HU"/>
        </w:rPr>
      </w:pPr>
    </w:p>
    <w:p w14:paraId="65BE5465" w14:textId="77777777" w:rsidR="00135B97" w:rsidRPr="00183B5F" w:rsidRDefault="00943743" w:rsidP="00135B97">
      <w:pPr>
        <w:pStyle w:val="EMEANormal"/>
        <w:rPr>
          <w:szCs w:val="22"/>
          <w:lang w:val="hu-HU"/>
        </w:rPr>
      </w:pPr>
      <w:r w:rsidRPr="00183B5F">
        <w:rPr>
          <w:szCs w:val="22"/>
          <w:lang w:val="hu-HU"/>
        </w:rPr>
        <w:t>A gyermekkori CD vizsgálatból 100 beteg (n = 100) egy további, nyílt elrendezésű, hosszú távú vizsgálatban vett részt. Az 5 évig tartó adalimumab</w:t>
      </w:r>
      <w:r w:rsidRPr="00183B5F">
        <w:rPr>
          <w:szCs w:val="22"/>
          <w:lang w:val="hu-HU"/>
        </w:rPr>
        <w:noBreakHyphen/>
        <w:t>kezelés után, a vizsgálatban továbbra is részt vevő 50 beteg 74,0%</w:t>
      </w:r>
      <w:r w:rsidRPr="00183B5F">
        <w:rPr>
          <w:szCs w:val="22"/>
          <w:lang w:val="hu-HU"/>
        </w:rPr>
        <w:noBreakHyphen/>
        <w:t>ánál (37/50) fennmaradt a klinikai remisszió, és 92%-uk (46/50) adott PCDAI szerinti klinikai választ.</w:t>
      </w:r>
    </w:p>
    <w:p w14:paraId="51B8A2D9" w14:textId="77777777" w:rsidR="00E94FD9" w:rsidRPr="00183B5F" w:rsidRDefault="00E94FD9" w:rsidP="00DD5E3A">
      <w:pPr>
        <w:keepNext/>
        <w:spacing w:line="240" w:lineRule="auto"/>
        <w:rPr>
          <w:szCs w:val="22"/>
        </w:rPr>
      </w:pPr>
    </w:p>
    <w:p w14:paraId="334C37D9" w14:textId="77777777" w:rsidR="00DF68B4" w:rsidRPr="00183B5F" w:rsidRDefault="00943743" w:rsidP="00DF68B4">
      <w:pPr>
        <w:keepNext/>
        <w:rPr>
          <w:bCs/>
          <w:i/>
        </w:rPr>
      </w:pPr>
      <w:r w:rsidRPr="00183B5F">
        <w:rPr>
          <w:i/>
        </w:rPr>
        <w:t>Gyermek</w:t>
      </w:r>
      <w:r w:rsidR="00241682" w:rsidRPr="00183B5F">
        <w:rPr>
          <w:i/>
        </w:rPr>
        <w:t>- és serdülő</w:t>
      </w:r>
      <w:r w:rsidRPr="00183B5F">
        <w:rPr>
          <w:i/>
        </w:rPr>
        <w:t>kori colitis ulcerosa</w:t>
      </w:r>
    </w:p>
    <w:p w14:paraId="0E075195" w14:textId="77777777" w:rsidR="00DF68B4" w:rsidRPr="00183B5F" w:rsidRDefault="00DF68B4" w:rsidP="00DF68B4">
      <w:pPr>
        <w:keepNext/>
        <w:rPr>
          <w:bCs/>
          <w:i/>
        </w:rPr>
      </w:pPr>
    </w:p>
    <w:p w14:paraId="49D17B20" w14:textId="77777777" w:rsidR="00DF68B4" w:rsidRPr="00183B5F" w:rsidRDefault="00943743" w:rsidP="00DF68B4">
      <w:r w:rsidRPr="00183B5F">
        <w:t xml:space="preserve">A Humira biztonságosságát és hatásosságát egy multicentrikus, randomizált, kettős vak vizsgálatban értékelték, 93, közepesen súlyos </w:t>
      </w:r>
      <w:r w:rsidR="00C96EE0" w:rsidRPr="00183B5F">
        <w:t>–</w:t>
      </w:r>
      <w:r w:rsidRPr="00183B5F">
        <w:t xml:space="preserve"> súlyos</w:t>
      </w:r>
      <w:r w:rsidR="00C96EE0" w:rsidRPr="00183B5F">
        <w:t xml:space="preserve"> aktivitású</w:t>
      </w:r>
      <w:r w:rsidRPr="00183B5F">
        <w:t xml:space="preserve"> colitis ulcerosában szenvedő (Mayo</w:t>
      </w:r>
      <w:r w:rsidRPr="00183B5F">
        <w:noBreakHyphen/>
        <w:t xml:space="preserve">pontszám 6–12, endoszkópiás alpontszám 2–3, amelyet központilag </w:t>
      </w:r>
      <w:r w:rsidR="00C96EE0" w:rsidRPr="00183B5F">
        <w:t>értékelt</w:t>
      </w:r>
      <w:r w:rsidRPr="00183B5F">
        <w:t xml:space="preserve"> endoszkópiával igazoltak), 5–17 éves gyermeknél</w:t>
      </w:r>
      <w:r w:rsidR="00241682" w:rsidRPr="00183B5F">
        <w:t xml:space="preserve"> és serdülőnél</w:t>
      </w:r>
      <w:r w:rsidRPr="00183B5F">
        <w:t>, akik nem adtak megfelelő terápiás választ a hagyományos terápiára vagy intolerancia lépett fel</w:t>
      </w:r>
      <w:r w:rsidR="00C96EE0" w:rsidRPr="00183B5F">
        <w:t xml:space="preserve"> azokkal szemben</w:t>
      </w:r>
      <w:r w:rsidRPr="00183B5F">
        <w:t>. A vizsgálatban részt vevő betegek körülbelül 16%-ánál sikertelen volt a korábbi anti</w:t>
      </w:r>
      <w:r w:rsidRPr="00183B5F">
        <w:noBreakHyphen/>
        <w:t>TNF</w:t>
      </w:r>
      <w:r w:rsidRPr="00183B5F">
        <w:noBreakHyphen/>
        <w:t xml:space="preserve">kezelés. Azok a betegek, akik a bevonáskor kortikoszteroidot kaptak, a 4. hét után fokozatosan csökkenthették </w:t>
      </w:r>
      <w:r w:rsidR="00C96EE0" w:rsidRPr="00183B5F">
        <w:t xml:space="preserve">a </w:t>
      </w:r>
      <w:r w:rsidRPr="00183B5F">
        <w:t>kortikos</w:t>
      </w:r>
      <w:r w:rsidRPr="00183B5F">
        <w:t>zteroid-kezelést.</w:t>
      </w:r>
    </w:p>
    <w:p w14:paraId="046D44BC" w14:textId="77777777" w:rsidR="00DF68B4" w:rsidRPr="00183B5F" w:rsidRDefault="00DF68B4" w:rsidP="00DF68B4"/>
    <w:p w14:paraId="6EF2860F" w14:textId="77777777" w:rsidR="00DF68B4" w:rsidRPr="00183B5F" w:rsidRDefault="00943743" w:rsidP="00DF68B4">
      <w:pPr>
        <w:rPr>
          <w:shd w:val="clear" w:color="auto" w:fill="FFFFFF"/>
        </w:rPr>
      </w:pPr>
      <w:r w:rsidRPr="00183B5F">
        <w:rPr>
          <w:shd w:val="clear" w:color="auto" w:fill="FFFFFF"/>
        </w:rPr>
        <w:t>A vizsgálat indukciós periódusában 77 beteget randomizáltak kettős vak Humira-kezelésre 3:2 arányban</w:t>
      </w:r>
      <w:r w:rsidR="00C96EE0" w:rsidRPr="00183B5F">
        <w:rPr>
          <w:shd w:val="clear" w:color="auto" w:fill="FFFFFF"/>
        </w:rPr>
        <w:t xml:space="preserve"> a következő kezelési karokra:</w:t>
      </w:r>
      <w:r w:rsidRPr="00183B5F">
        <w:rPr>
          <w:shd w:val="clear" w:color="auto" w:fill="FFFFFF"/>
        </w:rPr>
        <w:t xml:space="preserve"> így indukciós dózisként a 0. és az 1. héten 2,4 mg/ttkg-os (legfeljebb 160 mg) és a 2. héten 1,2 mg/ttkg-os (legfeljebb 80 mg) adagot; vagy a 0. héten 2,4 mg/ttkg</w:t>
      </w:r>
      <w:r w:rsidRPr="00183B5F">
        <w:rPr>
          <w:shd w:val="clear" w:color="auto" w:fill="FFFFFF"/>
        </w:rPr>
        <w:noBreakHyphen/>
      </w:r>
      <w:r w:rsidRPr="00183B5F">
        <w:rPr>
          <w:shd w:val="clear" w:color="auto" w:fill="FFFFFF"/>
        </w:rPr>
        <w:t>os (legfeljebb 160 mg), az 1. héten placebót és a 2. héten 1,2 mg/ttkg</w:t>
      </w:r>
      <w:r w:rsidRPr="00183B5F">
        <w:rPr>
          <w:shd w:val="clear" w:color="auto" w:fill="FFFFFF"/>
        </w:rPr>
        <w:noBreakHyphen/>
        <w:t>os (legfeljebb 80 mg) dózist kaptak. Mindkét csoport 0,6 mg/ttkg-os (legfeljebb 40 mg) dózist kapott a 4. és a 6. héten. A vizsgálati elrendezés módosítását követően az indukciós periódusba bevont további 16 beteg nyílt elrendezésben kapta a Humira</w:t>
      </w:r>
      <w:r w:rsidRPr="00183B5F">
        <w:rPr>
          <w:shd w:val="clear" w:color="auto" w:fill="FFFFFF"/>
        </w:rPr>
        <w:noBreakHyphen/>
        <w:t>kezelést: a 0. héten és az 1. héten 2,4 mg/ttkg-os (legfeljebb 160 mg), a 2. héten 1,2 mg/ttkg</w:t>
      </w:r>
      <w:r w:rsidRPr="00183B5F">
        <w:rPr>
          <w:shd w:val="clear" w:color="auto" w:fill="FFFFFF"/>
        </w:rPr>
        <w:noBreakHyphen/>
        <w:t>os (legfeljebb 80 mg) indukciós dózissal kezdve.</w:t>
      </w:r>
    </w:p>
    <w:p w14:paraId="690DDC44" w14:textId="77777777" w:rsidR="00DF68B4" w:rsidRPr="00183B5F" w:rsidRDefault="00DF68B4" w:rsidP="00DF68B4"/>
    <w:p w14:paraId="53C80F6B" w14:textId="77777777" w:rsidR="00DF68B4" w:rsidRPr="00183B5F" w:rsidRDefault="00943743" w:rsidP="00DF68B4">
      <w:pPr>
        <w:rPr>
          <w:shd w:val="clear" w:color="auto" w:fill="FFFFFF"/>
        </w:rPr>
      </w:pPr>
      <w:r w:rsidRPr="00183B5F">
        <w:rPr>
          <w:shd w:val="clear" w:color="auto" w:fill="FFFFFF"/>
        </w:rPr>
        <w:t>A 8. héten 62, a részleges Mayo-pontszám (PMS) szerint klinikai választ mutató (a kiinduláshoz képest a PMS ≥ 2 pontos és ≥ 30%-os csökkenése) beteget randomizáltak egyenlő arányban kettős vak Humira fenntartó kezelésre: hetente adott 0,6 mg/ttkg</w:t>
      </w:r>
      <w:r w:rsidRPr="00183B5F">
        <w:rPr>
          <w:shd w:val="clear" w:color="auto" w:fill="FFFFFF"/>
        </w:rPr>
        <w:noBreakHyphen/>
        <w:t>os (maximum 40 mg) dózisra, vagy minden második héten adott 0,6 mg/ttkg-os (maximum 40 mg) dózisra. A vizsgálati elrendezés módosítását megelőzően további 12, PMS szerint klinikai választ mutató beteget placebóra randomizáltak, de őket nem vették be a hatásosságot megerősítő elemzésbe.</w:t>
      </w:r>
    </w:p>
    <w:p w14:paraId="3D04593B" w14:textId="77777777" w:rsidR="00DF68B4" w:rsidRPr="00183B5F" w:rsidRDefault="00DF68B4" w:rsidP="00DF68B4">
      <w:pPr>
        <w:rPr>
          <w:shd w:val="clear" w:color="auto" w:fill="FFFFFF"/>
        </w:rPr>
      </w:pPr>
    </w:p>
    <w:p w14:paraId="6AE012B5" w14:textId="77777777" w:rsidR="00DF68B4" w:rsidRPr="00183B5F" w:rsidRDefault="00943743" w:rsidP="00DF68B4">
      <w:r w:rsidRPr="00183B5F">
        <w:t>A betegség fellángolását a PMS legalább 3 pontos (a 8. héten 0–2-es PMS pontszámú betegeknél), legalább 2 pontos (a 8. héten 3–4-es PMS pontszámú betegeknél) vagy legalább 1 pontos (a 8. héten 5–6</w:t>
      </w:r>
      <w:r w:rsidRPr="00183B5F">
        <w:noBreakHyphen/>
        <w:t>os pontszámú betegeknél) növekedésével határozták meg.</w:t>
      </w:r>
    </w:p>
    <w:p w14:paraId="313AA7A2" w14:textId="77777777" w:rsidR="00DF68B4" w:rsidRPr="00183B5F" w:rsidRDefault="00DF68B4" w:rsidP="00DF68B4"/>
    <w:p w14:paraId="323DD1B0" w14:textId="77777777" w:rsidR="00DF68B4" w:rsidRPr="00183B5F" w:rsidRDefault="00943743" w:rsidP="00DF68B4">
      <w:r w:rsidRPr="00183B5F">
        <w:t>Azokat a betegeket, akiknél a 12. héten vagy azt követően teljesült a betegség fellángolásának kritériuma, 2,4 mg/ttkg (maximum 160 mg) ismételt indukciós dózisra vagy 0,6 mg/ttkg (legfeljebb 40 mg) dózisra randomizálták, majd a továbbiakban őket a számukra meghatározott fenntartó adagolási sémával kezelték.</w:t>
      </w:r>
    </w:p>
    <w:p w14:paraId="08A20CA1" w14:textId="77777777" w:rsidR="00DF68B4" w:rsidRPr="00183B5F" w:rsidRDefault="00943743" w:rsidP="00DF68B4">
      <w:pPr>
        <w:spacing w:before="240"/>
        <w:rPr>
          <w:i/>
        </w:rPr>
      </w:pPr>
      <w:r w:rsidRPr="00183B5F">
        <w:rPr>
          <w:i/>
          <w:szCs w:val="24"/>
        </w:rPr>
        <w:t>Hatásossági eredmények</w:t>
      </w:r>
    </w:p>
    <w:p w14:paraId="4BCB3F19" w14:textId="77777777" w:rsidR="00DF68B4" w:rsidRPr="00183B5F" w:rsidRDefault="00DF68B4" w:rsidP="00DF68B4">
      <w:pPr>
        <w:rPr>
          <w:i/>
        </w:rPr>
      </w:pPr>
    </w:p>
    <w:p w14:paraId="4F408E47" w14:textId="77777777" w:rsidR="00DF68B4" w:rsidRPr="00183B5F" w:rsidRDefault="00943743" w:rsidP="00DF68B4">
      <w:pPr>
        <w:textAlignment w:val="baseline"/>
      </w:pPr>
      <w:r w:rsidRPr="00183B5F">
        <w:t xml:space="preserve">A vizsgálat elsődleges kompozit végpontjai a következők voltak: a PMS szerinti klinikai remisszió (PMS ≤ 2, és nincs </w:t>
      </w:r>
      <w:r w:rsidR="00A84DFB" w:rsidRPr="00183B5F">
        <w:t xml:space="preserve">olyan </w:t>
      </w:r>
      <w:r w:rsidRPr="00183B5F">
        <w:t>egyedi alpontszám</w:t>
      </w:r>
      <w:r w:rsidR="00A84DFB" w:rsidRPr="00183B5F">
        <w:t>, ami</w:t>
      </w:r>
      <w:r w:rsidRPr="00183B5F">
        <w:t xml:space="preserve"> &gt; 1) a 8. héten, és az FMS szerinti (Full Mayo Score) (meghatározva: Mayo-pontszám ≤ 2, és nincs </w:t>
      </w:r>
      <w:r w:rsidR="00A84DFB" w:rsidRPr="00183B5F">
        <w:t xml:space="preserve">olyan </w:t>
      </w:r>
      <w:r w:rsidRPr="00183B5F">
        <w:t>egyedi alpontszám</w:t>
      </w:r>
      <w:r w:rsidR="00A84DFB" w:rsidRPr="00183B5F">
        <w:t>, ami</w:t>
      </w:r>
      <w:r w:rsidRPr="00183B5F">
        <w:t xml:space="preserve"> &gt; 1) klinikai remisszió az 52. héten azoknál a betegeknél, akik a 8. héten PMS szerinti klinikai választ értek el.</w:t>
      </w:r>
    </w:p>
    <w:p w14:paraId="7A9F1EB8" w14:textId="77777777" w:rsidR="00A31545" w:rsidRPr="00183B5F" w:rsidRDefault="00A31545" w:rsidP="00DF68B4">
      <w:pPr>
        <w:textAlignment w:val="baseline"/>
      </w:pPr>
    </w:p>
    <w:p w14:paraId="456A6C62" w14:textId="77777777" w:rsidR="00DF68B4" w:rsidRPr="00183B5F" w:rsidRDefault="00943743" w:rsidP="00DF68B4">
      <w:pPr>
        <w:textAlignment w:val="baseline"/>
      </w:pPr>
      <w:r w:rsidRPr="00183B5F">
        <w:t xml:space="preserve">A PMS szerinti klinikai remisszió arányát a 8. héten a Humira kettős vak indukciós csoport mindegyikében lévő betegeknél </w:t>
      </w:r>
      <w:r w:rsidR="00A31545" w:rsidRPr="00183B5F">
        <w:t xml:space="preserve">a </w:t>
      </w:r>
      <w:r w:rsidR="00903C5C" w:rsidRPr="00183B5F">
        <w:t>31</w:t>
      </w:r>
      <w:r w:rsidRPr="00183B5F">
        <w:t>. táblázat</w:t>
      </w:r>
      <w:r w:rsidR="00A31545" w:rsidRPr="00183B5F">
        <w:t xml:space="preserve"> mutatja be</w:t>
      </w:r>
      <w:r w:rsidRPr="00183B5F">
        <w:t>.</w:t>
      </w:r>
    </w:p>
    <w:p w14:paraId="1ECCC90A" w14:textId="77777777" w:rsidR="00DF68B4" w:rsidRPr="00183B5F" w:rsidRDefault="00943743" w:rsidP="00FC288C">
      <w:pPr>
        <w:keepNext/>
        <w:spacing w:before="240"/>
        <w:jc w:val="center"/>
        <w:rPr>
          <w:b/>
          <w:szCs w:val="24"/>
        </w:rPr>
      </w:pPr>
      <w:r w:rsidRPr="00183B5F">
        <w:rPr>
          <w:b/>
          <w:szCs w:val="24"/>
        </w:rPr>
        <w:t xml:space="preserve">31. táblázat: A PMS szerint klinikai remisszió 8 hét alatt </w:t>
      </w:r>
    </w:p>
    <w:tbl>
      <w:tblPr>
        <w:tblW w:w="4246" w:type="pct"/>
        <w:jc w:val="center"/>
        <w:tblLook w:val="04A0" w:firstRow="1" w:lastRow="0" w:firstColumn="1" w:lastColumn="0" w:noHBand="0" w:noVBand="1"/>
      </w:tblPr>
      <w:tblGrid>
        <w:gridCol w:w="1904"/>
        <w:gridCol w:w="2867"/>
        <w:gridCol w:w="2919"/>
      </w:tblGrid>
      <w:tr w:rsidR="00011D2F" w14:paraId="781E5EC9" w14:textId="77777777" w:rsidTr="00DF68B4">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1494B84" w14:textId="77777777" w:rsidR="00DF68B4" w:rsidRPr="00183B5F" w:rsidRDefault="00DF68B4" w:rsidP="00FC288C">
            <w:pPr>
              <w:keepNext/>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3E2DA59" w14:textId="77777777" w:rsidR="00DF68B4" w:rsidRPr="00183B5F" w:rsidRDefault="00943743" w:rsidP="00FC288C">
            <w:pPr>
              <w:keepNext/>
              <w:jc w:val="center"/>
              <w:textAlignment w:val="baseline"/>
              <w:rPr>
                <w:b/>
                <w:bCs/>
              </w:rPr>
            </w:pPr>
            <w:r w:rsidRPr="00183B5F">
              <w:rPr>
                <w:b/>
                <w:bCs/>
                <w:szCs w:val="24"/>
              </w:rPr>
              <w:t>Humira</w:t>
            </w:r>
            <w:r w:rsidRPr="00183B5F">
              <w:rPr>
                <w:b/>
                <w:bCs/>
                <w:szCs w:val="24"/>
                <w:vertAlign w:val="superscript"/>
              </w:rPr>
              <w:t>a</w:t>
            </w:r>
            <w:r w:rsidRPr="00183B5F">
              <w:rPr>
                <w:b/>
                <w:bCs/>
                <w:sz w:val="24"/>
                <w:szCs w:val="24"/>
              </w:rPr>
              <w:t> </w:t>
            </w:r>
          </w:p>
          <w:p w14:paraId="10DF688B" w14:textId="77777777" w:rsidR="00DF68B4" w:rsidRPr="00183B5F" w:rsidRDefault="00943743" w:rsidP="00FC288C">
            <w:pPr>
              <w:keepNext/>
              <w:jc w:val="center"/>
              <w:rPr>
                <w:b/>
                <w:bCs/>
              </w:rPr>
            </w:pPr>
            <w:r w:rsidRPr="00183B5F">
              <w:rPr>
                <w:b/>
                <w:bCs/>
              </w:rPr>
              <w:t>Legfeljebb 160 mg a 0. héten / placebo az 1. héten </w:t>
            </w:r>
          </w:p>
          <w:p w14:paraId="65BA58A9" w14:textId="77777777" w:rsidR="00DF68B4" w:rsidRPr="00183B5F" w:rsidRDefault="00943743" w:rsidP="00FC288C">
            <w:pPr>
              <w:keepNext/>
              <w:jc w:val="center"/>
            </w:pPr>
            <w:r w:rsidRPr="00183B5F">
              <w:t>N=30</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8E84621" w14:textId="77777777" w:rsidR="00DF68B4" w:rsidRPr="00183B5F" w:rsidRDefault="00943743" w:rsidP="00FC288C">
            <w:pPr>
              <w:keepNext/>
              <w:jc w:val="center"/>
              <w:textAlignment w:val="baseline"/>
              <w:rPr>
                <w:b/>
                <w:bCs/>
              </w:rPr>
            </w:pPr>
            <w:r w:rsidRPr="00183B5F">
              <w:rPr>
                <w:b/>
                <w:bCs/>
                <w:szCs w:val="24"/>
              </w:rPr>
              <w:t>Humira</w:t>
            </w:r>
            <w:r w:rsidRPr="00183B5F">
              <w:rPr>
                <w:b/>
                <w:bCs/>
                <w:szCs w:val="24"/>
                <w:vertAlign w:val="superscript"/>
              </w:rPr>
              <w:t>b, c</w:t>
            </w:r>
            <w:r w:rsidRPr="00183B5F">
              <w:rPr>
                <w:b/>
                <w:bCs/>
                <w:sz w:val="24"/>
                <w:szCs w:val="24"/>
              </w:rPr>
              <w:t> </w:t>
            </w:r>
          </w:p>
          <w:p w14:paraId="41D727B2" w14:textId="77777777" w:rsidR="00DF68B4" w:rsidRPr="00183B5F" w:rsidRDefault="00943743" w:rsidP="00FC288C">
            <w:pPr>
              <w:keepNext/>
              <w:jc w:val="center"/>
              <w:rPr>
                <w:b/>
                <w:bCs/>
              </w:rPr>
            </w:pPr>
            <w:r w:rsidRPr="00183B5F">
              <w:rPr>
                <w:b/>
                <w:bCs/>
              </w:rPr>
              <w:t>Legfeljebb 160 mg a 0. és az 1. héten </w:t>
            </w:r>
          </w:p>
          <w:p w14:paraId="761AAAFB" w14:textId="77777777" w:rsidR="00DF68B4" w:rsidRPr="00183B5F" w:rsidRDefault="00943743" w:rsidP="00FC288C">
            <w:pPr>
              <w:keepNext/>
              <w:jc w:val="center"/>
            </w:pPr>
            <w:r w:rsidRPr="00183B5F">
              <w:t>N=47</w:t>
            </w:r>
          </w:p>
        </w:tc>
      </w:tr>
      <w:tr w:rsidR="00011D2F" w14:paraId="0BED02AB" w14:textId="77777777" w:rsidTr="00DF68B4">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0272BBF" w14:textId="77777777" w:rsidR="00DF68B4" w:rsidRPr="00183B5F" w:rsidRDefault="00943743" w:rsidP="00FC288C">
            <w:pPr>
              <w:keepNext/>
            </w:pPr>
            <w:r w:rsidRPr="00183B5F">
              <w:t>Klinikai remisszió</w:t>
            </w: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9C6196D" w14:textId="77777777" w:rsidR="00DF68B4" w:rsidRPr="00183B5F" w:rsidRDefault="00943743" w:rsidP="00FC288C">
            <w:pPr>
              <w:keepNext/>
              <w:jc w:val="center"/>
            </w:pPr>
            <w:r w:rsidRPr="00183B5F">
              <w:t>13/30 (43,3%)</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FCA38AB" w14:textId="77777777" w:rsidR="00DF68B4" w:rsidRPr="00183B5F" w:rsidRDefault="00943743" w:rsidP="00FC288C">
            <w:pPr>
              <w:keepNext/>
              <w:jc w:val="center"/>
              <w:rPr>
                <w:vertAlign w:val="superscript"/>
              </w:rPr>
            </w:pPr>
            <w:r w:rsidRPr="00183B5F">
              <w:t>28/47 (59,6%)</w:t>
            </w:r>
          </w:p>
        </w:tc>
      </w:tr>
      <w:tr w:rsidR="00011D2F" w14:paraId="16B8DA56" w14:textId="77777777" w:rsidTr="00DF68B4">
        <w:trPr>
          <w:trHeight w:val="2517"/>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E8C080E" w14:textId="77777777" w:rsidR="00DF68B4" w:rsidRPr="00183B5F" w:rsidRDefault="00943743" w:rsidP="00DF68B4">
            <w:pPr>
              <w:textAlignment w:val="baseline"/>
            </w:pPr>
            <w:r w:rsidRPr="00183B5F">
              <w:rPr>
                <w:szCs w:val="24"/>
                <w:vertAlign w:val="superscript"/>
              </w:rPr>
              <w:t>a </w:t>
            </w:r>
            <w:r w:rsidRPr="00183B5F">
              <w:rPr>
                <w:szCs w:val="24"/>
              </w:rPr>
              <w:t>Humira 2,4 mg/ttkg (legfeljebb 160 mg) a 0. héten, placebo az 1. héten és 1,2 mg/ttkg (legfeljebb 80 mg) a 2. héten</w:t>
            </w:r>
            <w:r w:rsidRPr="00183B5F">
              <w:rPr>
                <w:sz w:val="24"/>
                <w:szCs w:val="24"/>
              </w:rPr>
              <w:t> </w:t>
            </w:r>
          </w:p>
          <w:p w14:paraId="7D1DC1D2" w14:textId="77777777" w:rsidR="00DF68B4" w:rsidRPr="00183B5F" w:rsidRDefault="00943743" w:rsidP="00DF68B4">
            <w:pPr>
              <w:textAlignment w:val="baseline"/>
            </w:pPr>
            <w:r w:rsidRPr="00183B5F">
              <w:rPr>
                <w:szCs w:val="24"/>
                <w:vertAlign w:val="superscript"/>
              </w:rPr>
              <w:t>b </w:t>
            </w:r>
            <w:r w:rsidRPr="00183B5F">
              <w:rPr>
                <w:szCs w:val="24"/>
              </w:rPr>
              <w:t>Humira 2,4 mg/ttkg (legfeljebb 160 mg) a 0. és az 1. héten és 1,2 mg/ttkg (legfeljebb 80 mg) a 2. héten</w:t>
            </w:r>
            <w:r w:rsidRPr="00183B5F">
              <w:rPr>
                <w:sz w:val="24"/>
                <w:szCs w:val="24"/>
              </w:rPr>
              <w:t> </w:t>
            </w:r>
          </w:p>
          <w:p w14:paraId="79A19317" w14:textId="77777777" w:rsidR="00DF68B4" w:rsidRPr="00183B5F" w:rsidRDefault="00943743" w:rsidP="00DF68B4">
            <w:pPr>
              <w:textAlignment w:val="baseline"/>
            </w:pPr>
            <w:r w:rsidRPr="00183B5F">
              <w:rPr>
                <w:szCs w:val="24"/>
                <w:vertAlign w:val="superscript"/>
              </w:rPr>
              <w:t>c </w:t>
            </w:r>
            <w:r w:rsidRPr="00183B5F">
              <w:rPr>
                <w:szCs w:val="24"/>
              </w:rPr>
              <w:t>Nem tartalmazza a nyílt elrendezésű Humira indukciós dózist: 2,4 mg/ttkg (legfeljebb 160 mg) a 0. héten, placebo az 1. héten és 1,2 mg/ttkg (legfeljebb 80 mg) a 2. héten</w:t>
            </w:r>
          </w:p>
          <w:p w14:paraId="4694D8A9" w14:textId="77777777" w:rsidR="00DF68B4" w:rsidRPr="00183B5F" w:rsidRDefault="00943743" w:rsidP="00DF68B4">
            <w:pPr>
              <w:textAlignment w:val="baseline"/>
            </w:pPr>
            <w:r w:rsidRPr="00183B5F">
              <w:rPr>
                <w:szCs w:val="24"/>
              </w:rPr>
              <w:t>1. megjegyzés: Mindkét indukciós csoport 0,6 mg/ttkg-ot (legfeljebb 40 mg) kapott a 4. és a 6. héten</w:t>
            </w:r>
            <w:r w:rsidRPr="00183B5F">
              <w:rPr>
                <w:sz w:val="24"/>
                <w:szCs w:val="24"/>
              </w:rPr>
              <w:t> </w:t>
            </w:r>
          </w:p>
          <w:p w14:paraId="5748963F" w14:textId="77777777" w:rsidR="00DF68B4" w:rsidRPr="00183B5F" w:rsidRDefault="00943743" w:rsidP="00DF68B4">
            <w:pPr>
              <w:textAlignment w:val="baseline"/>
            </w:pPr>
            <w:r w:rsidRPr="00183B5F">
              <w:rPr>
                <w:szCs w:val="24"/>
              </w:rPr>
              <w:t>2. megjegyzés: A 8. héten hiányzó értékek esetén úgy tekintették, hogy a betegek nem teljesítették a végpontot</w:t>
            </w:r>
            <w:r w:rsidRPr="00183B5F">
              <w:rPr>
                <w:sz w:val="24"/>
                <w:szCs w:val="24"/>
              </w:rPr>
              <w:t> </w:t>
            </w:r>
          </w:p>
        </w:tc>
      </w:tr>
    </w:tbl>
    <w:p w14:paraId="4C9CDADA" w14:textId="77777777" w:rsidR="00DF68B4" w:rsidRPr="00183B5F" w:rsidRDefault="00DF68B4" w:rsidP="00DF68B4">
      <w:pPr>
        <w:rPr>
          <w:shd w:val="clear" w:color="auto" w:fill="FFFFFF"/>
        </w:rPr>
      </w:pPr>
    </w:p>
    <w:p w14:paraId="3884AD38" w14:textId="77777777" w:rsidR="00DF68B4" w:rsidRPr="00183B5F" w:rsidRDefault="00943743" w:rsidP="00DF68B4">
      <w:r w:rsidRPr="00183B5F">
        <w:rPr>
          <w:shd w:val="clear" w:color="auto" w:fill="FFFFFF"/>
        </w:rPr>
        <w:t xml:space="preserve">Az 52. héten értékelték az FMS szerinti klinikai remissziót a 8. héten </w:t>
      </w:r>
      <w:r w:rsidR="00D81D3E" w:rsidRPr="00183B5F">
        <w:rPr>
          <w:rStyle w:val="normaltextrun"/>
          <w:shd w:val="clear" w:color="auto" w:fill="FFFFFF"/>
        </w:rPr>
        <w:t>választ mutatóknál</w:t>
      </w:r>
      <w:r w:rsidRPr="00183B5F">
        <w:rPr>
          <w:shd w:val="clear" w:color="auto" w:fill="FFFFFF"/>
        </w:rPr>
        <w:t xml:space="preserve">, az FMS szerinti klinikai választ (a Mayo Score ≥ 3 pontos és ≥ 30%-os csökkenése a kiindulási értékhez képest) a 8. héten </w:t>
      </w:r>
      <w:r w:rsidR="00D81D3E" w:rsidRPr="00183B5F">
        <w:rPr>
          <w:rStyle w:val="normaltextrun"/>
          <w:shd w:val="clear" w:color="auto" w:fill="FFFFFF"/>
        </w:rPr>
        <w:t>választ mutatóknál</w:t>
      </w:r>
      <w:r w:rsidRPr="00183B5F">
        <w:rPr>
          <w:shd w:val="clear" w:color="auto" w:fill="FFFFFF"/>
        </w:rPr>
        <w:t xml:space="preserve">, a nyálkahártya gyógyulást (Mayo endoszkópiás </w:t>
      </w:r>
      <w:r w:rsidR="007112E4" w:rsidRPr="00183B5F">
        <w:rPr>
          <w:shd w:val="clear" w:color="auto" w:fill="FFFFFF"/>
        </w:rPr>
        <w:t>al</w:t>
      </w:r>
      <w:r w:rsidRPr="00183B5F">
        <w:rPr>
          <w:shd w:val="clear" w:color="auto" w:fill="FFFFFF"/>
        </w:rPr>
        <w:t xml:space="preserve">pontszám ≤ 1) a 8. héten </w:t>
      </w:r>
      <w:r w:rsidR="00D81D3E" w:rsidRPr="00183B5F">
        <w:rPr>
          <w:rStyle w:val="normaltextrun"/>
          <w:shd w:val="clear" w:color="auto" w:fill="FFFFFF"/>
        </w:rPr>
        <w:t>választ mutatóknál</w:t>
      </w:r>
      <w:r w:rsidRPr="00183B5F">
        <w:rPr>
          <w:shd w:val="clear" w:color="auto" w:fill="FFFFFF"/>
        </w:rPr>
        <w:t xml:space="preserve">, az FMS szerinti klinikai remissziót a 8. héten remisszióban lévő betegeknél, valamint az FMS szerinti kortikoszteroidmentes remisszióban lévők arányát a 8. héten </w:t>
      </w:r>
      <w:r w:rsidR="00D81D3E" w:rsidRPr="00183B5F">
        <w:rPr>
          <w:rStyle w:val="normaltextrun"/>
          <w:shd w:val="clear" w:color="auto" w:fill="FFFFFF"/>
        </w:rPr>
        <w:t>választ mutatóknál</w:t>
      </w:r>
      <w:r w:rsidRPr="00183B5F">
        <w:rPr>
          <w:shd w:val="clear" w:color="auto" w:fill="FFFFFF"/>
        </w:rPr>
        <w:t xml:space="preserve"> azoknak a betegeknek körében, akik kettős vak elrendezésben kéthetente legfeljebb 40 mg/hét (0,6 mg/</w:t>
      </w:r>
      <w:r w:rsidR="009134E6" w:rsidRPr="00183B5F">
        <w:rPr>
          <w:shd w:val="clear" w:color="auto" w:fill="FFFFFF"/>
        </w:rPr>
        <w:t>tt</w:t>
      </w:r>
      <w:r w:rsidRPr="00183B5F">
        <w:rPr>
          <w:shd w:val="clear" w:color="auto" w:fill="FFFFFF"/>
        </w:rPr>
        <w:t>kg) és hetente legfeljebb 40 mg (0,6 mg/</w:t>
      </w:r>
      <w:r w:rsidR="009134E6" w:rsidRPr="00183B5F">
        <w:rPr>
          <w:shd w:val="clear" w:color="auto" w:fill="FFFFFF"/>
        </w:rPr>
        <w:t>tt</w:t>
      </w:r>
      <w:r w:rsidRPr="00183B5F">
        <w:rPr>
          <w:shd w:val="clear" w:color="auto" w:fill="FFFFFF"/>
        </w:rPr>
        <w:t>kg) fenntartó dózis Humira-t kaptak (</w:t>
      </w:r>
      <w:r w:rsidR="00903C5C" w:rsidRPr="00183B5F">
        <w:rPr>
          <w:shd w:val="clear" w:color="auto" w:fill="FFFFFF"/>
        </w:rPr>
        <w:t>32</w:t>
      </w:r>
      <w:r w:rsidRPr="00183B5F">
        <w:rPr>
          <w:shd w:val="clear" w:color="auto" w:fill="FFFFFF"/>
        </w:rPr>
        <w:t>. táblázat). </w:t>
      </w:r>
    </w:p>
    <w:p w14:paraId="54F616E2" w14:textId="77777777" w:rsidR="00DF68B4" w:rsidRPr="00183B5F" w:rsidRDefault="00DF68B4" w:rsidP="00DF68B4"/>
    <w:p w14:paraId="7FD8B843" w14:textId="77777777" w:rsidR="00DF68B4" w:rsidRPr="00183B5F" w:rsidRDefault="00943743" w:rsidP="00FE0197">
      <w:pPr>
        <w:keepNext/>
        <w:jc w:val="center"/>
        <w:textAlignment w:val="baseline"/>
      </w:pPr>
      <w:r w:rsidRPr="00183B5F">
        <w:rPr>
          <w:b/>
        </w:rPr>
        <w:t>32. táblázat: Hatásossági eredmények az 52. héten</w:t>
      </w:r>
      <w:r w:rsidRPr="00183B5F">
        <w:t> </w:t>
      </w:r>
    </w:p>
    <w:p w14:paraId="3821CC37" w14:textId="77777777" w:rsidR="00DF68B4" w:rsidRPr="00183B5F" w:rsidRDefault="00DF68B4" w:rsidP="00FE0197">
      <w:pPr>
        <w:keepNext/>
        <w:jc w:val="center"/>
        <w:textAlignment w:val="baseline"/>
        <w:rPr>
          <w:lang w:eastAsia="en-GB"/>
        </w:rPr>
      </w:pP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7"/>
        <w:gridCol w:w="2728"/>
        <w:gridCol w:w="2543"/>
      </w:tblGrid>
      <w:tr w:rsidR="00011D2F" w14:paraId="5A767F39" w14:textId="77777777" w:rsidTr="00DF68B4">
        <w:trPr>
          <w:trHeight w:val="912"/>
          <w:jc w:val="center"/>
        </w:trPr>
        <w:tc>
          <w:tcPr>
            <w:tcW w:w="2526" w:type="dxa"/>
            <w:tcBorders>
              <w:top w:val="single" w:sz="6" w:space="0" w:color="auto"/>
              <w:left w:val="single" w:sz="6" w:space="0" w:color="auto"/>
              <w:bottom w:val="single" w:sz="6" w:space="0" w:color="auto"/>
              <w:right w:val="single" w:sz="6" w:space="0" w:color="auto"/>
            </w:tcBorders>
            <w:hideMark/>
          </w:tcPr>
          <w:p w14:paraId="03A426C9" w14:textId="77777777" w:rsidR="00DF68B4" w:rsidRPr="00183B5F" w:rsidRDefault="00DF68B4" w:rsidP="00FE0197">
            <w:pPr>
              <w:keepNext/>
              <w:jc w:val="center"/>
              <w:textAlignment w:val="baseline"/>
              <w:rPr>
                <w:lang w:eastAsia="en-GB"/>
              </w:rPr>
            </w:pPr>
          </w:p>
        </w:tc>
        <w:tc>
          <w:tcPr>
            <w:tcW w:w="2409" w:type="dxa"/>
            <w:tcBorders>
              <w:top w:val="single" w:sz="6" w:space="0" w:color="auto"/>
              <w:left w:val="nil"/>
              <w:bottom w:val="single" w:sz="6" w:space="0" w:color="auto"/>
              <w:right w:val="single" w:sz="6" w:space="0" w:color="auto"/>
            </w:tcBorders>
            <w:vAlign w:val="center"/>
            <w:hideMark/>
          </w:tcPr>
          <w:p w14:paraId="4B70A777" w14:textId="77777777" w:rsidR="00DF68B4" w:rsidRPr="00183B5F" w:rsidRDefault="00943743" w:rsidP="00FE0197">
            <w:pPr>
              <w:keepNext/>
              <w:jc w:val="center"/>
              <w:textAlignment w:val="baseline"/>
            </w:pPr>
            <w:r w:rsidRPr="00183B5F">
              <w:rPr>
                <w:b/>
              </w:rPr>
              <w:t>Humira</w:t>
            </w:r>
            <w:r w:rsidRPr="00183B5F">
              <w:rPr>
                <w:b/>
                <w:vertAlign w:val="superscript"/>
              </w:rPr>
              <w:t>a</w:t>
            </w:r>
            <w:r w:rsidRPr="00183B5F">
              <w:rPr>
                <w:b/>
              </w:rPr>
              <w:t> </w:t>
            </w:r>
            <w:r w:rsidRPr="00183B5F">
              <w:t> </w:t>
            </w:r>
          </w:p>
          <w:p w14:paraId="3BD54DC8" w14:textId="77777777" w:rsidR="00DF68B4" w:rsidRPr="00183B5F" w:rsidRDefault="00943743" w:rsidP="00FE0197">
            <w:pPr>
              <w:keepNext/>
              <w:jc w:val="center"/>
              <w:textAlignment w:val="baseline"/>
            </w:pPr>
            <w:r w:rsidRPr="00183B5F">
              <w:rPr>
                <w:b/>
                <w:bCs/>
              </w:rPr>
              <w:t>Legfeljebb 40 mg kéthetente </w:t>
            </w:r>
          </w:p>
          <w:p w14:paraId="0115CB6D" w14:textId="77777777" w:rsidR="00DF68B4" w:rsidRPr="00183B5F" w:rsidRDefault="00943743" w:rsidP="00FE0197">
            <w:pPr>
              <w:keepNext/>
              <w:jc w:val="center"/>
              <w:textAlignment w:val="baseline"/>
            </w:pPr>
            <w:r w:rsidRPr="00183B5F">
              <w:t>N=31</w:t>
            </w:r>
          </w:p>
        </w:tc>
        <w:tc>
          <w:tcPr>
            <w:tcW w:w="2633" w:type="dxa"/>
            <w:tcBorders>
              <w:top w:val="single" w:sz="6" w:space="0" w:color="auto"/>
              <w:left w:val="nil"/>
              <w:bottom w:val="single" w:sz="6" w:space="0" w:color="auto"/>
              <w:right w:val="single" w:sz="6" w:space="0" w:color="auto"/>
            </w:tcBorders>
            <w:vAlign w:val="center"/>
            <w:hideMark/>
          </w:tcPr>
          <w:p w14:paraId="3C29B8F0" w14:textId="77777777" w:rsidR="00DF68B4" w:rsidRPr="00183B5F" w:rsidRDefault="00943743" w:rsidP="00FE0197">
            <w:pPr>
              <w:keepNext/>
              <w:jc w:val="center"/>
              <w:textAlignment w:val="baseline"/>
            </w:pPr>
            <w:r w:rsidRPr="00183B5F">
              <w:rPr>
                <w:b/>
              </w:rPr>
              <w:t>Humira</w:t>
            </w:r>
            <w:r w:rsidRPr="00183B5F">
              <w:rPr>
                <w:b/>
                <w:vertAlign w:val="superscript"/>
              </w:rPr>
              <w:t>b</w:t>
            </w:r>
            <w:r w:rsidRPr="00183B5F">
              <w:rPr>
                <w:b/>
              </w:rPr>
              <w:t> </w:t>
            </w:r>
            <w:r w:rsidRPr="00183B5F">
              <w:t> </w:t>
            </w:r>
          </w:p>
          <w:p w14:paraId="27A8ACB3" w14:textId="77777777" w:rsidR="00DF68B4" w:rsidRPr="00183B5F" w:rsidRDefault="00943743" w:rsidP="00FE0197">
            <w:pPr>
              <w:keepNext/>
              <w:jc w:val="center"/>
              <w:textAlignment w:val="baseline"/>
            </w:pPr>
            <w:r w:rsidRPr="00183B5F">
              <w:rPr>
                <w:b/>
                <w:bCs/>
              </w:rPr>
              <w:t>Legfeljebb 40 mg hetente</w:t>
            </w:r>
            <w:r w:rsidRPr="00183B5F">
              <w:t> </w:t>
            </w:r>
          </w:p>
          <w:p w14:paraId="0CF62858" w14:textId="77777777" w:rsidR="00DF68B4" w:rsidRPr="00183B5F" w:rsidRDefault="00943743" w:rsidP="00FE0197">
            <w:pPr>
              <w:keepNext/>
              <w:jc w:val="center"/>
              <w:textAlignment w:val="baseline"/>
            </w:pPr>
            <w:r w:rsidRPr="00183B5F">
              <w:t>N=31</w:t>
            </w:r>
          </w:p>
        </w:tc>
      </w:tr>
      <w:tr w:rsidR="00011D2F" w14:paraId="4D5AFE2F" w14:textId="77777777" w:rsidTr="00DF68B4">
        <w:trPr>
          <w:trHeight w:val="570"/>
          <w:jc w:val="center"/>
        </w:trPr>
        <w:tc>
          <w:tcPr>
            <w:tcW w:w="2526" w:type="dxa"/>
            <w:tcBorders>
              <w:top w:val="nil"/>
              <w:left w:val="single" w:sz="6" w:space="0" w:color="auto"/>
              <w:bottom w:val="single" w:sz="6" w:space="0" w:color="auto"/>
              <w:right w:val="single" w:sz="6" w:space="0" w:color="auto"/>
            </w:tcBorders>
            <w:vAlign w:val="center"/>
            <w:hideMark/>
          </w:tcPr>
          <w:p w14:paraId="0EFBA3F2" w14:textId="77777777" w:rsidR="00DF68B4" w:rsidRPr="00183B5F" w:rsidRDefault="00943743" w:rsidP="00FE0197">
            <w:pPr>
              <w:keepNext/>
              <w:textAlignment w:val="baseline"/>
            </w:pPr>
            <w:r w:rsidRPr="00183B5F">
              <w:t xml:space="preserve">Klinikai remisszió a 8. héten PMS szerint </w:t>
            </w:r>
            <w:r w:rsidR="00D81D3E" w:rsidRPr="00183B5F">
              <w:rPr>
                <w:rStyle w:val="normaltextrun"/>
                <w:shd w:val="clear" w:color="auto" w:fill="FFFFFF"/>
              </w:rPr>
              <w:t>választ mutatóknál</w:t>
            </w:r>
          </w:p>
        </w:tc>
        <w:tc>
          <w:tcPr>
            <w:tcW w:w="2409" w:type="dxa"/>
            <w:tcBorders>
              <w:top w:val="nil"/>
              <w:left w:val="nil"/>
              <w:bottom w:val="single" w:sz="6" w:space="0" w:color="auto"/>
              <w:right w:val="single" w:sz="6" w:space="0" w:color="auto"/>
            </w:tcBorders>
            <w:vAlign w:val="center"/>
            <w:hideMark/>
          </w:tcPr>
          <w:p w14:paraId="66CD4684" w14:textId="77777777" w:rsidR="00DF68B4" w:rsidRPr="00183B5F" w:rsidRDefault="00943743" w:rsidP="00FE0197">
            <w:pPr>
              <w:keepNext/>
              <w:jc w:val="center"/>
              <w:textAlignment w:val="baseline"/>
            </w:pPr>
            <w:r w:rsidRPr="00183B5F">
              <w:t>9/31 (29,0%) </w:t>
            </w:r>
          </w:p>
        </w:tc>
        <w:tc>
          <w:tcPr>
            <w:tcW w:w="2633" w:type="dxa"/>
            <w:tcBorders>
              <w:top w:val="nil"/>
              <w:left w:val="nil"/>
              <w:bottom w:val="single" w:sz="6" w:space="0" w:color="auto"/>
              <w:right w:val="single" w:sz="6" w:space="0" w:color="auto"/>
            </w:tcBorders>
            <w:vAlign w:val="center"/>
            <w:hideMark/>
          </w:tcPr>
          <w:p w14:paraId="6C171A5B" w14:textId="77777777" w:rsidR="00DF68B4" w:rsidRPr="00183B5F" w:rsidRDefault="00943743" w:rsidP="00FE0197">
            <w:pPr>
              <w:keepNext/>
              <w:jc w:val="center"/>
              <w:textAlignment w:val="baseline"/>
            </w:pPr>
            <w:r w:rsidRPr="00183B5F">
              <w:t>14/31 (45,2%)</w:t>
            </w:r>
          </w:p>
        </w:tc>
      </w:tr>
      <w:tr w:rsidR="00011D2F" w14:paraId="08E7D1F4" w14:textId="77777777" w:rsidTr="00DF68B4">
        <w:trPr>
          <w:trHeight w:val="555"/>
          <w:jc w:val="center"/>
        </w:trPr>
        <w:tc>
          <w:tcPr>
            <w:tcW w:w="2526" w:type="dxa"/>
            <w:tcBorders>
              <w:top w:val="nil"/>
              <w:left w:val="single" w:sz="6" w:space="0" w:color="auto"/>
              <w:bottom w:val="single" w:sz="6" w:space="0" w:color="auto"/>
              <w:right w:val="single" w:sz="6" w:space="0" w:color="auto"/>
            </w:tcBorders>
            <w:vAlign w:val="center"/>
            <w:hideMark/>
          </w:tcPr>
          <w:p w14:paraId="36D624EB" w14:textId="77777777" w:rsidR="00DF68B4" w:rsidRPr="00183B5F" w:rsidRDefault="00943743" w:rsidP="00DF68B4">
            <w:pPr>
              <w:textAlignment w:val="baseline"/>
            </w:pPr>
            <w:r w:rsidRPr="00183B5F">
              <w:t xml:space="preserve">Klinikai válasz a 8. héten  PMS szerint </w:t>
            </w:r>
            <w:r w:rsidR="00D81D3E" w:rsidRPr="00183B5F">
              <w:rPr>
                <w:rStyle w:val="normaltextrun"/>
                <w:shd w:val="clear" w:color="auto" w:fill="FFFFFF"/>
              </w:rPr>
              <w:t>választ mutatóknál</w:t>
            </w:r>
            <w:r w:rsidRPr="00183B5F">
              <w:t> </w:t>
            </w:r>
          </w:p>
        </w:tc>
        <w:tc>
          <w:tcPr>
            <w:tcW w:w="2409" w:type="dxa"/>
            <w:tcBorders>
              <w:top w:val="nil"/>
              <w:left w:val="nil"/>
              <w:bottom w:val="single" w:sz="6" w:space="0" w:color="auto"/>
              <w:right w:val="single" w:sz="6" w:space="0" w:color="auto"/>
            </w:tcBorders>
            <w:vAlign w:val="center"/>
            <w:hideMark/>
          </w:tcPr>
          <w:p w14:paraId="50532F06" w14:textId="77777777" w:rsidR="00DF68B4" w:rsidRPr="00183B5F" w:rsidRDefault="00943743" w:rsidP="00DF68B4">
            <w:pPr>
              <w:jc w:val="center"/>
              <w:textAlignment w:val="baseline"/>
            </w:pPr>
            <w:r w:rsidRPr="00183B5F">
              <w:t>19/31 (61,3%) </w:t>
            </w:r>
          </w:p>
        </w:tc>
        <w:tc>
          <w:tcPr>
            <w:tcW w:w="2633" w:type="dxa"/>
            <w:tcBorders>
              <w:top w:val="nil"/>
              <w:left w:val="nil"/>
              <w:bottom w:val="single" w:sz="6" w:space="0" w:color="auto"/>
              <w:right w:val="single" w:sz="6" w:space="0" w:color="auto"/>
            </w:tcBorders>
            <w:vAlign w:val="center"/>
            <w:hideMark/>
          </w:tcPr>
          <w:p w14:paraId="223FE959" w14:textId="77777777" w:rsidR="00DF68B4" w:rsidRPr="00183B5F" w:rsidRDefault="00943743" w:rsidP="00DF68B4">
            <w:pPr>
              <w:jc w:val="center"/>
              <w:textAlignment w:val="baseline"/>
            </w:pPr>
            <w:r w:rsidRPr="00183B5F">
              <w:t>21/31 (67,7%) </w:t>
            </w:r>
          </w:p>
        </w:tc>
      </w:tr>
      <w:tr w:rsidR="00011D2F" w14:paraId="6AD9DEC0" w14:textId="77777777" w:rsidTr="00DF68B4">
        <w:trPr>
          <w:jc w:val="center"/>
        </w:trPr>
        <w:tc>
          <w:tcPr>
            <w:tcW w:w="2526" w:type="dxa"/>
            <w:tcBorders>
              <w:top w:val="nil"/>
              <w:left w:val="single" w:sz="6" w:space="0" w:color="auto"/>
              <w:bottom w:val="single" w:sz="6" w:space="0" w:color="auto"/>
              <w:right w:val="single" w:sz="6" w:space="0" w:color="auto"/>
            </w:tcBorders>
            <w:vAlign w:val="center"/>
            <w:hideMark/>
          </w:tcPr>
          <w:p w14:paraId="406E3038" w14:textId="77777777" w:rsidR="00DF68B4" w:rsidRPr="00183B5F" w:rsidRDefault="00943743" w:rsidP="00DF68B4">
            <w:pPr>
              <w:textAlignment w:val="baseline"/>
            </w:pPr>
            <w:r w:rsidRPr="00183B5F">
              <w:t xml:space="preserve">Nyálkahártya-gyógyulás a 8. héten PMS szerint </w:t>
            </w:r>
            <w:r w:rsidR="00D81D3E" w:rsidRPr="00183B5F">
              <w:rPr>
                <w:rStyle w:val="normaltextrun"/>
                <w:shd w:val="clear" w:color="auto" w:fill="FFFFFF"/>
              </w:rPr>
              <w:t>választ mutatóknál</w:t>
            </w:r>
          </w:p>
        </w:tc>
        <w:tc>
          <w:tcPr>
            <w:tcW w:w="2409" w:type="dxa"/>
            <w:tcBorders>
              <w:top w:val="nil"/>
              <w:left w:val="nil"/>
              <w:bottom w:val="single" w:sz="6" w:space="0" w:color="auto"/>
              <w:right w:val="single" w:sz="6" w:space="0" w:color="auto"/>
            </w:tcBorders>
            <w:vAlign w:val="center"/>
            <w:hideMark/>
          </w:tcPr>
          <w:p w14:paraId="5E3C9F1F" w14:textId="77777777" w:rsidR="00DF68B4" w:rsidRPr="00183B5F" w:rsidRDefault="00943743" w:rsidP="00DF68B4">
            <w:pPr>
              <w:jc w:val="center"/>
              <w:textAlignment w:val="baseline"/>
            </w:pPr>
            <w:r w:rsidRPr="00183B5F">
              <w:t>12/31 (38,7%) </w:t>
            </w:r>
          </w:p>
        </w:tc>
        <w:tc>
          <w:tcPr>
            <w:tcW w:w="2633" w:type="dxa"/>
            <w:tcBorders>
              <w:top w:val="nil"/>
              <w:left w:val="nil"/>
              <w:bottom w:val="single" w:sz="6" w:space="0" w:color="auto"/>
              <w:right w:val="single" w:sz="6" w:space="0" w:color="auto"/>
            </w:tcBorders>
            <w:vAlign w:val="center"/>
            <w:hideMark/>
          </w:tcPr>
          <w:p w14:paraId="56B14CBD" w14:textId="77777777" w:rsidR="00DF68B4" w:rsidRPr="00183B5F" w:rsidRDefault="00943743" w:rsidP="00DF68B4">
            <w:pPr>
              <w:jc w:val="center"/>
              <w:textAlignment w:val="baseline"/>
            </w:pPr>
            <w:r w:rsidRPr="00183B5F">
              <w:t>16/31 (51,6%) </w:t>
            </w:r>
          </w:p>
        </w:tc>
      </w:tr>
      <w:tr w:rsidR="00011D2F" w14:paraId="6AACC5AE" w14:textId="77777777" w:rsidTr="00DF68B4">
        <w:trPr>
          <w:jc w:val="center"/>
        </w:trPr>
        <w:tc>
          <w:tcPr>
            <w:tcW w:w="2526" w:type="dxa"/>
            <w:tcBorders>
              <w:top w:val="nil"/>
              <w:left w:val="single" w:sz="6" w:space="0" w:color="auto"/>
              <w:bottom w:val="single" w:sz="6" w:space="0" w:color="auto"/>
              <w:right w:val="single" w:sz="6" w:space="0" w:color="auto"/>
            </w:tcBorders>
            <w:vAlign w:val="center"/>
            <w:hideMark/>
          </w:tcPr>
          <w:p w14:paraId="434361C3" w14:textId="77777777" w:rsidR="00DF68B4" w:rsidRPr="00183B5F" w:rsidRDefault="00943743" w:rsidP="00DF68B4">
            <w:pPr>
              <w:textAlignment w:val="baseline"/>
            </w:pPr>
            <w:r w:rsidRPr="00183B5F">
              <w:t>Klinikai remisszió a 8. héten PMS szerint remisszióban lévőknél </w:t>
            </w:r>
          </w:p>
        </w:tc>
        <w:tc>
          <w:tcPr>
            <w:tcW w:w="2409" w:type="dxa"/>
            <w:tcBorders>
              <w:top w:val="nil"/>
              <w:left w:val="nil"/>
              <w:bottom w:val="single" w:sz="6" w:space="0" w:color="auto"/>
              <w:right w:val="single" w:sz="6" w:space="0" w:color="auto"/>
            </w:tcBorders>
            <w:vAlign w:val="center"/>
            <w:hideMark/>
          </w:tcPr>
          <w:p w14:paraId="0B0A52FB" w14:textId="77777777" w:rsidR="00DF68B4" w:rsidRPr="00183B5F" w:rsidRDefault="00943743" w:rsidP="00DF68B4">
            <w:pPr>
              <w:jc w:val="center"/>
              <w:textAlignment w:val="baseline"/>
            </w:pPr>
            <w:r w:rsidRPr="00183B5F">
              <w:t>9/21 (42,9%) </w:t>
            </w:r>
          </w:p>
        </w:tc>
        <w:tc>
          <w:tcPr>
            <w:tcW w:w="2633" w:type="dxa"/>
            <w:tcBorders>
              <w:top w:val="nil"/>
              <w:left w:val="nil"/>
              <w:bottom w:val="single" w:sz="6" w:space="0" w:color="auto"/>
              <w:right w:val="single" w:sz="6" w:space="0" w:color="auto"/>
            </w:tcBorders>
            <w:vAlign w:val="center"/>
            <w:hideMark/>
          </w:tcPr>
          <w:p w14:paraId="261E1232" w14:textId="77777777" w:rsidR="00DF68B4" w:rsidRPr="00183B5F" w:rsidRDefault="00943743" w:rsidP="00DF68B4">
            <w:pPr>
              <w:jc w:val="center"/>
              <w:textAlignment w:val="baseline"/>
            </w:pPr>
            <w:r w:rsidRPr="00183B5F">
              <w:t>10/22 (45,5%) </w:t>
            </w:r>
          </w:p>
        </w:tc>
      </w:tr>
      <w:tr w:rsidR="00011D2F" w14:paraId="55894289" w14:textId="77777777" w:rsidTr="00DF68B4">
        <w:trPr>
          <w:jc w:val="center"/>
        </w:trPr>
        <w:tc>
          <w:tcPr>
            <w:tcW w:w="2526" w:type="dxa"/>
            <w:tcBorders>
              <w:top w:val="nil"/>
              <w:left w:val="single" w:sz="6" w:space="0" w:color="auto"/>
              <w:bottom w:val="single" w:sz="6" w:space="0" w:color="auto"/>
              <w:right w:val="single" w:sz="6" w:space="0" w:color="auto"/>
            </w:tcBorders>
            <w:vAlign w:val="center"/>
            <w:hideMark/>
          </w:tcPr>
          <w:p w14:paraId="012882ED" w14:textId="77777777" w:rsidR="00DF68B4" w:rsidRPr="00183B5F" w:rsidRDefault="00943743" w:rsidP="00DF68B4">
            <w:pPr>
              <w:textAlignment w:val="baseline"/>
            </w:pPr>
            <w:r w:rsidRPr="00183B5F">
              <w:t xml:space="preserve">Kortikoszteroidmentes remisszió a 8. héten PMS szerint </w:t>
            </w:r>
            <w:r w:rsidR="00D81D3E" w:rsidRPr="00183B5F">
              <w:rPr>
                <w:rStyle w:val="normaltextrun"/>
                <w:shd w:val="clear" w:color="auto" w:fill="FFFFFF"/>
              </w:rPr>
              <w:t>választ mutatóknál</w:t>
            </w:r>
            <w:r w:rsidRPr="00183B5F">
              <w:t> </w:t>
            </w:r>
          </w:p>
        </w:tc>
        <w:tc>
          <w:tcPr>
            <w:tcW w:w="2409" w:type="dxa"/>
            <w:tcBorders>
              <w:top w:val="nil"/>
              <w:left w:val="nil"/>
              <w:bottom w:val="single" w:sz="6" w:space="0" w:color="auto"/>
              <w:right w:val="single" w:sz="6" w:space="0" w:color="auto"/>
            </w:tcBorders>
            <w:vAlign w:val="center"/>
            <w:hideMark/>
          </w:tcPr>
          <w:p w14:paraId="0A3361FE" w14:textId="77777777" w:rsidR="00DF68B4" w:rsidRPr="00183B5F" w:rsidRDefault="00943743" w:rsidP="00DF68B4">
            <w:pPr>
              <w:jc w:val="center"/>
              <w:textAlignment w:val="baseline"/>
            </w:pPr>
            <w:r w:rsidRPr="00183B5F">
              <w:t>4/13 (30,8%) </w:t>
            </w:r>
          </w:p>
        </w:tc>
        <w:tc>
          <w:tcPr>
            <w:tcW w:w="2633" w:type="dxa"/>
            <w:tcBorders>
              <w:top w:val="nil"/>
              <w:left w:val="nil"/>
              <w:bottom w:val="single" w:sz="6" w:space="0" w:color="auto"/>
              <w:right w:val="single" w:sz="6" w:space="0" w:color="auto"/>
            </w:tcBorders>
            <w:vAlign w:val="center"/>
            <w:hideMark/>
          </w:tcPr>
          <w:p w14:paraId="704300F9" w14:textId="77777777" w:rsidR="00DF68B4" w:rsidRPr="00183B5F" w:rsidRDefault="00943743" w:rsidP="00DF68B4">
            <w:pPr>
              <w:jc w:val="center"/>
              <w:textAlignment w:val="baseline"/>
            </w:pPr>
            <w:r w:rsidRPr="00183B5F">
              <w:t>5/16 (31,3%) </w:t>
            </w:r>
          </w:p>
        </w:tc>
      </w:tr>
      <w:tr w:rsidR="00011D2F" w14:paraId="5B3ABCA6" w14:textId="77777777" w:rsidTr="00DF68B4">
        <w:trPr>
          <w:jc w:val="center"/>
        </w:trPr>
        <w:tc>
          <w:tcPr>
            <w:tcW w:w="7568" w:type="dxa"/>
            <w:gridSpan w:val="3"/>
            <w:tcBorders>
              <w:top w:val="nil"/>
              <w:left w:val="single" w:sz="6" w:space="0" w:color="auto"/>
              <w:bottom w:val="single" w:sz="6" w:space="0" w:color="auto"/>
              <w:right w:val="single" w:sz="6" w:space="0" w:color="auto"/>
            </w:tcBorders>
            <w:hideMark/>
          </w:tcPr>
          <w:p w14:paraId="0DCA5D8F" w14:textId="77777777" w:rsidR="00DF68B4" w:rsidRPr="00183B5F" w:rsidRDefault="00943743" w:rsidP="00DF68B4">
            <w:pPr>
              <w:textAlignment w:val="baseline"/>
            </w:pPr>
            <w:r w:rsidRPr="00183B5F">
              <w:rPr>
                <w:vertAlign w:val="superscript"/>
              </w:rPr>
              <w:t>a </w:t>
            </w:r>
            <w:r w:rsidRPr="00183B5F">
              <w:t>Humira 0,6 mg/ttkg (legfeljebb 40 mg) kéthetente </w:t>
            </w:r>
          </w:p>
          <w:p w14:paraId="2773FDFC" w14:textId="77777777" w:rsidR="00DF68B4" w:rsidRPr="00183B5F" w:rsidRDefault="00943743" w:rsidP="00DF68B4">
            <w:pPr>
              <w:textAlignment w:val="baseline"/>
            </w:pPr>
            <w:r w:rsidRPr="00183B5F">
              <w:rPr>
                <w:vertAlign w:val="superscript"/>
              </w:rPr>
              <w:t>b </w:t>
            </w:r>
            <w:r w:rsidRPr="00183B5F">
              <w:t>Humira 0,6 mg/ttkg (legfeljebb 40 mg) hetente </w:t>
            </w:r>
          </w:p>
          <w:p w14:paraId="27E36784" w14:textId="77777777" w:rsidR="00DF68B4" w:rsidRPr="00183B5F" w:rsidRDefault="00943743" w:rsidP="00DF68B4">
            <w:pPr>
              <w:textAlignment w:val="baseline"/>
            </w:pPr>
            <w:r w:rsidRPr="00183B5F">
              <w:t>Kiindulásnál egyidejűleg kortikoszteroidokat kapó betegeknél </w:t>
            </w:r>
          </w:p>
          <w:p w14:paraId="5A070AEB" w14:textId="77777777" w:rsidR="00DF68B4" w:rsidRPr="00183B5F" w:rsidRDefault="00943743" w:rsidP="00DF68B4">
            <w:pPr>
              <w:textAlignment w:val="baseline"/>
            </w:pPr>
            <w:r w:rsidRPr="00183B5F">
              <w:t xml:space="preserve">Megjegyzés: Azokat a betegeket, akiknek az 52. héten hiányoztak az értékei, vagy akiket ismételt indukcióra vagy fenntartó kezelésre randomizáltak, az 52. hét végpontjain </w:t>
            </w:r>
            <w:r w:rsidR="000809B5" w:rsidRPr="00183B5F">
              <w:t>választ nem mutatóknak</w:t>
            </w:r>
            <w:r w:rsidRPr="00183B5F">
              <w:t xml:space="preserve"> tekintették </w:t>
            </w:r>
          </w:p>
        </w:tc>
      </w:tr>
    </w:tbl>
    <w:p w14:paraId="77641FFE" w14:textId="77777777" w:rsidR="00DF68B4" w:rsidRPr="00183B5F" w:rsidRDefault="00DF68B4" w:rsidP="00DF68B4"/>
    <w:p w14:paraId="572C3E7F" w14:textId="77777777" w:rsidR="00DF68B4" w:rsidRPr="00183B5F" w:rsidRDefault="00943743" w:rsidP="00DF68B4">
      <w:r w:rsidRPr="00183B5F">
        <w:t>A további feltáró hatásossági végpontok között szerepelt a klinikai válasz a gyermek</w:t>
      </w:r>
      <w:r w:rsidR="00241682" w:rsidRPr="00183B5F">
        <w:t>- és serdülő</w:t>
      </w:r>
      <w:r w:rsidRPr="00183B5F">
        <w:t>kori colitis ulcerosa aktivitási indexe (PUCAI) (a PUCAI ≥ 20 pontos csökkenése a kiindulási értékhez viszonyítva) és a klinikai remisszió a PUCAI periódusonként (PUCAI &lt; 10 pontos csökkenéseként definiálva) a 8. és az 52. héten (</w:t>
      </w:r>
      <w:r w:rsidR="00903C5C" w:rsidRPr="00183B5F">
        <w:t>33</w:t>
      </w:r>
      <w:r w:rsidRPr="00183B5F">
        <w:t>. táblázat).</w:t>
      </w:r>
    </w:p>
    <w:p w14:paraId="57666547" w14:textId="77777777" w:rsidR="00DF68B4" w:rsidRPr="00183B5F" w:rsidRDefault="00DF68B4" w:rsidP="00DF68B4"/>
    <w:tbl>
      <w:tblPr>
        <w:tblW w:w="8262" w:type="dxa"/>
        <w:jc w:val="center"/>
        <w:tblCellMar>
          <w:left w:w="0" w:type="dxa"/>
          <w:right w:w="0" w:type="dxa"/>
        </w:tblCellMar>
        <w:tblLook w:val="04A0" w:firstRow="1" w:lastRow="0" w:firstColumn="1" w:lastColumn="0" w:noHBand="0" w:noVBand="1"/>
      </w:tblPr>
      <w:tblGrid>
        <w:gridCol w:w="2785"/>
        <w:gridCol w:w="2896"/>
        <w:gridCol w:w="2581"/>
      </w:tblGrid>
      <w:tr w:rsidR="00011D2F" w14:paraId="039EDE1A" w14:textId="77777777" w:rsidTr="00DF68B4">
        <w:trPr>
          <w:trHeight w:val="60"/>
          <w:jc w:val="center"/>
        </w:trPr>
        <w:tc>
          <w:tcPr>
            <w:tcW w:w="8262" w:type="dxa"/>
            <w:gridSpan w:val="3"/>
            <w:tcMar>
              <w:top w:w="0" w:type="dxa"/>
              <w:left w:w="108" w:type="dxa"/>
              <w:bottom w:w="0" w:type="dxa"/>
              <w:right w:w="108" w:type="dxa"/>
            </w:tcMar>
            <w:hideMark/>
          </w:tcPr>
          <w:p w14:paraId="0E483827" w14:textId="77777777" w:rsidR="00DF68B4" w:rsidRPr="00183B5F" w:rsidRDefault="00943743" w:rsidP="00DF68B4">
            <w:pPr>
              <w:jc w:val="center"/>
              <w:rPr>
                <w:b/>
                <w:bCs/>
              </w:rPr>
            </w:pPr>
            <w:r w:rsidRPr="00183B5F">
              <w:rPr>
                <w:b/>
              </w:rPr>
              <w:t>33. táblázat: Feltáró végpontok eredményei PUCAI szerint</w:t>
            </w:r>
          </w:p>
        </w:tc>
      </w:tr>
      <w:tr w:rsidR="00011D2F" w14:paraId="731066D1" w14:textId="77777777" w:rsidTr="00DF68B4">
        <w:trPr>
          <w:trHeight w:val="265"/>
          <w:jc w:val="center"/>
        </w:trPr>
        <w:tc>
          <w:tcPr>
            <w:tcW w:w="2934"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00BB4C30" w14:textId="77777777" w:rsidR="00DF68B4" w:rsidRPr="00183B5F" w:rsidRDefault="00DF68B4" w:rsidP="00DF68B4"/>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667E84" w14:textId="77777777" w:rsidR="00DF68B4" w:rsidRPr="00183B5F" w:rsidRDefault="00943743" w:rsidP="00DF68B4">
            <w:pPr>
              <w:jc w:val="center"/>
              <w:rPr>
                <w:b/>
                <w:bCs/>
              </w:rPr>
            </w:pPr>
            <w:r w:rsidRPr="00183B5F">
              <w:rPr>
                <w:b/>
              </w:rPr>
              <w:t>8. hét</w:t>
            </w:r>
          </w:p>
        </w:tc>
      </w:tr>
      <w:tr w:rsidR="00011D2F" w14:paraId="0E9C47DB" w14:textId="77777777" w:rsidTr="00DF68B4">
        <w:trPr>
          <w:trHeight w:val="1042"/>
          <w:jc w:val="center"/>
        </w:trPr>
        <w:tc>
          <w:tcPr>
            <w:tcW w:w="0" w:type="auto"/>
            <w:vMerge/>
            <w:tcBorders>
              <w:top w:val="single" w:sz="4" w:space="0" w:color="auto"/>
              <w:left w:val="single" w:sz="8" w:space="0" w:color="auto"/>
              <w:bottom w:val="single" w:sz="8" w:space="0" w:color="auto"/>
              <w:right w:val="single" w:sz="4" w:space="0" w:color="auto"/>
            </w:tcBorders>
            <w:vAlign w:val="center"/>
            <w:hideMark/>
          </w:tcPr>
          <w:p w14:paraId="57455599" w14:textId="77777777" w:rsidR="00DF68B4" w:rsidRPr="00183B5F" w:rsidRDefault="00DF68B4" w:rsidP="00DF68B4"/>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F1C5F2" w14:textId="77777777" w:rsidR="00DF68B4" w:rsidRPr="00183B5F" w:rsidRDefault="00943743" w:rsidP="00DF68B4">
            <w:pPr>
              <w:jc w:val="center"/>
              <w:rPr>
                <w:b/>
                <w:bCs/>
                <w:vertAlign w:val="superscript"/>
              </w:rPr>
            </w:pPr>
            <w:r w:rsidRPr="00183B5F">
              <w:rPr>
                <w:b/>
              </w:rPr>
              <w:t>Humira</w:t>
            </w:r>
            <w:r w:rsidRPr="00183B5F">
              <w:rPr>
                <w:b/>
                <w:vertAlign w:val="superscript"/>
              </w:rPr>
              <w:t>a</w:t>
            </w:r>
          </w:p>
          <w:p w14:paraId="6B4395F3" w14:textId="77777777" w:rsidR="00DF68B4" w:rsidRPr="00183B5F" w:rsidRDefault="00943743" w:rsidP="00DF68B4">
            <w:pPr>
              <w:jc w:val="center"/>
              <w:rPr>
                <w:b/>
                <w:bCs/>
              </w:rPr>
            </w:pPr>
            <w:r w:rsidRPr="00183B5F">
              <w:rPr>
                <w:b/>
              </w:rPr>
              <w:t>Legfeljebb 160 mg a 0. héten / placebo az 1. héten</w:t>
            </w:r>
          </w:p>
          <w:p w14:paraId="1ADC7E98" w14:textId="77777777" w:rsidR="00DF68B4" w:rsidRPr="00183B5F" w:rsidRDefault="00943743" w:rsidP="00DF68B4">
            <w:pPr>
              <w:jc w:val="center"/>
            </w:pPr>
            <w:r w:rsidRPr="00183B5F">
              <w:t>N=30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F155AD" w14:textId="77777777" w:rsidR="00DF68B4" w:rsidRPr="00183B5F" w:rsidRDefault="00943743" w:rsidP="00DF68B4">
            <w:pPr>
              <w:jc w:val="center"/>
              <w:rPr>
                <w:b/>
                <w:bCs/>
                <w:vertAlign w:val="superscript"/>
              </w:rPr>
            </w:pPr>
            <w:r w:rsidRPr="00183B5F">
              <w:rPr>
                <w:b/>
              </w:rPr>
              <w:t>Humira</w:t>
            </w:r>
            <w:r w:rsidRPr="00183B5F">
              <w:rPr>
                <w:b/>
                <w:vertAlign w:val="superscript"/>
              </w:rPr>
              <w:t>b,c</w:t>
            </w:r>
          </w:p>
          <w:p w14:paraId="20709A20" w14:textId="77777777" w:rsidR="00DF68B4" w:rsidRPr="00183B5F" w:rsidRDefault="00943743" w:rsidP="00DF68B4">
            <w:pPr>
              <w:jc w:val="center"/>
              <w:rPr>
                <w:b/>
                <w:bCs/>
              </w:rPr>
            </w:pPr>
            <w:r w:rsidRPr="00183B5F">
              <w:rPr>
                <w:b/>
              </w:rPr>
              <w:t>Legfeljebb 160 mg a 0. és az 1. héten</w:t>
            </w:r>
          </w:p>
          <w:p w14:paraId="1AD59405" w14:textId="77777777" w:rsidR="00DF68B4" w:rsidRPr="00183B5F" w:rsidRDefault="00943743" w:rsidP="00DF68B4">
            <w:pPr>
              <w:jc w:val="center"/>
            </w:pPr>
            <w:r w:rsidRPr="00183B5F">
              <w:t>N=47</w:t>
            </w:r>
          </w:p>
        </w:tc>
      </w:tr>
      <w:tr w:rsidR="00011D2F" w14:paraId="37D68C7A" w14:textId="77777777" w:rsidTr="00DF68B4">
        <w:trPr>
          <w:trHeight w:val="202"/>
          <w:jc w:val="center"/>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7D4D57" w14:textId="77777777" w:rsidR="00DF68B4" w:rsidRPr="00183B5F" w:rsidRDefault="00943743" w:rsidP="00DF68B4">
            <w:r w:rsidRPr="00183B5F">
              <w:t>Klinikai remisszió PUCAI szerint</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0E0CBF9A" w14:textId="77777777" w:rsidR="00DF68B4" w:rsidRPr="00183B5F" w:rsidRDefault="00943743" w:rsidP="00DF68B4">
            <w:pPr>
              <w:jc w:val="center"/>
            </w:pPr>
            <w:r w:rsidRPr="00183B5F">
              <w:t>10/30 (33,3%)</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1A1F24E1" w14:textId="77777777" w:rsidR="00DF68B4" w:rsidRPr="00183B5F" w:rsidRDefault="00943743" w:rsidP="00DF68B4">
            <w:pPr>
              <w:jc w:val="center"/>
            </w:pPr>
            <w:r w:rsidRPr="00183B5F">
              <w:t>22/47 (46,8%)</w:t>
            </w:r>
          </w:p>
        </w:tc>
      </w:tr>
      <w:tr w:rsidR="00011D2F" w14:paraId="433633EA" w14:textId="77777777" w:rsidTr="00DF68B4">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CD7FBC3" w14:textId="77777777" w:rsidR="00DF68B4" w:rsidRPr="00183B5F" w:rsidRDefault="00943743" w:rsidP="00DF68B4">
            <w:r w:rsidRPr="00183B5F">
              <w:t>Klinikai remisszió PUCAI szerint</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44E240B4" w14:textId="77777777" w:rsidR="00DF68B4" w:rsidRPr="00183B5F" w:rsidRDefault="00943743" w:rsidP="00DF68B4">
            <w:pPr>
              <w:jc w:val="center"/>
            </w:pPr>
            <w:r w:rsidRPr="00183B5F">
              <w:t>15/30 (50,0%)</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36D92391" w14:textId="77777777" w:rsidR="00DF68B4" w:rsidRPr="00183B5F" w:rsidRDefault="00943743" w:rsidP="00DF68B4">
            <w:pPr>
              <w:jc w:val="center"/>
            </w:pPr>
            <w:r w:rsidRPr="00183B5F">
              <w:t>32/47 (68,1%)</w:t>
            </w:r>
          </w:p>
        </w:tc>
      </w:tr>
      <w:tr w:rsidR="00011D2F" w14:paraId="7021254E" w14:textId="77777777" w:rsidTr="00DF68B4">
        <w:trPr>
          <w:trHeight w:val="238"/>
          <w:jc w:val="center"/>
        </w:trPr>
        <w:tc>
          <w:tcPr>
            <w:tcW w:w="2934"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1172615E" w14:textId="77777777" w:rsidR="00DF68B4" w:rsidRPr="00183B5F" w:rsidRDefault="00DF68B4" w:rsidP="00DF68B4"/>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6C0DFFF4" w14:textId="77777777" w:rsidR="00DF68B4" w:rsidRPr="00183B5F" w:rsidRDefault="00943743" w:rsidP="00DF68B4">
            <w:pPr>
              <w:jc w:val="center"/>
              <w:rPr>
                <w:b/>
                <w:bCs/>
              </w:rPr>
            </w:pPr>
            <w:r w:rsidRPr="00183B5F">
              <w:rPr>
                <w:b/>
              </w:rPr>
              <w:t>52. hét</w:t>
            </w:r>
          </w:p>
        </w:tc>
      </w:tr>
      <w:tr w:rsidR="00011D2F" w14:paraId="7480E790" w14:textId="77777777" w:rsidTr="00DF68B4">
        <w:trPr>
          <w:trHeight w:val="238"/>
          <w:jc w:val="center"/>
        </w:trPr>
        <w:tc>
          <w:tcPr>
            <w:tcW w:w="0" w:type="auto"/>
            <w:vMerge/>
            <w:tcBorders>
              <w:top w:val="nil"/>
              <w:left w:val="single" w:sz="8" w:space="0" w:color="auto"/>
              <w:bottom w:val="single" w:sz="4" w:space="0" w:color="auto"/>
              <w:right w:val="single" w:sz="8" w:space="0" w:color="auto"/>
            </w:tcBorders>
            <w:vAlign w:val="center"/>
            <w:hideMark/>
          </w:tcPr>
          <w:p w14:paraId="42A1104E" w14:textId="77777777" w:rsidR="00DF68B4" w:rsidRPr="00183B5F" w:rsidRDefault="00DF68B4" w:rsidP="00DF68B4"/>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37FB5AA0" w14:textId="77777777" w:rsidR="00DF68B4" w:rsidRPr="00183B5F" w:rsidRDefault="00943743" w:rsidP="00DF68B4">
            <w:pPr>
              <w:jc w:val="center"/>
              <w:rPr>
                <w:b/>
                <w:bCs/>
                <w:vertAlign w:val="superscript"/>
              </w:rPr>
            </w:pPr>
            <w:r w:rsidRPr="00183B5F">
              <w:rPr>
                <w:b/>
              </w:rPr>
              <w:t>Humira</w:t>
            </w:r>
            <w:r w:rsidRPr="00183B5F">
              <w:rPr>
                <w:b/>
                <w:vertAlign w:val="superscript"/>
              </w:rPr>
              <w:t>d</w:t>
            </w:r>
          </w:p>
          <w:p w14:paraId="40D0813E" w14:textId="77777777" w:rsidR="00DF68B4" w:rsidRPr="00183B5F" w:rsidRDefault="00943743" w:rsidP="00DF68B4">
            <w:pPr>
              <w:jc w:val="center"/>
              <w:rPr>
                <w:b/>
                <w:bCs/>
              </w:rPr>
            </w:pPr>
            <w:r w:rsidRPr="00183B5F">
              <w:rPr>
                <w:b/>
                <w:bCs/>
              </w:rPr>
              <w:t>Legfeljebb 40 mg kéthetente</w:t>
            </w:r>
          </w:p>
          <w:p w14:paraId="19FB0E8D" w14:textId="77777777" w:rsidR="00DF68B4" w:rsidRPr="00183B5F" w:rsidRDefault="00943743" w:rsidP="00DF68B4">
            <w:pPr>
              <w:jc w:val="center"/>
            </w:pPr>
            <w:r w:rsidRPr="00183B5F">
              <w:t>N=31</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4F6A07B2" w14:textId="77777777" w:rsidR="00DF68B4" w:rsidRPr="00183B5F" w:rsidRDefault="00943743" w:rsidP="00DF68B4">
            <w:pPr>
              <w:jc w:val="center"/>
              <w:rPr>
                <w:b/>
                <w:bCs/>
                <w:vertAlign w:val="superscript"/>
              </w:rPr>
            </w:pPr>
            <w:r w:rsidRPr="00183B5F">
              <w:rPr>
                <w:b/>
              </w:rPr>
              <w:t>Humira</w:t>
            </w:r>
            <w:r w:rsidRPr="00183B5F">
              <w:rPr>
                <w:b/>
                <w:vertAlign w:val="superscript"/>
              </w:rPr>
              <w:t>e</w:t>
            </w:r>
          </w:p>
          <w:p w14:paraId="31B614A7" w14:textId="77777777" w:rsidR="00DF68B4" w:rsidRPr="00183B5F" w:rsidRDefault="00943743" w:rsidP="00DF68B4">
            <w:pPr>
              <w:jc w:val="center"/>
              <w:rPr>
                <w:b/>
                <w:bCs/>
              </w:rPr>
            </w:pPr>
            <w:r w:rsidRPr="00183B5F">
              <w:rPr>
                <w:b/>
                <w:bCs/>
              </w:rPr>
              <w:t>Legfeljebb 40 mg hetente</w:t>
            </w:r>
          </w:p>
          <w:p w14:paraId="31430E1B" w14:textId="77777777" w:rsidR="00DF68B4" w:rsidRPr="00183B5F" w:rsidRDefault="00943743" w:rsidP="00DF68B4">
            <w:pPr>
              <w:jc w:val="center"/>
            </w:pPr>
            <w:r w:rsidRPr="00183B5F">
              <w:t>N=31</w:t>
            </w:r>
          </w:p>
        </w:tc>
      </w:tr>
      <w:tr w:rsidR="00011D2F" w14:paraId="66CCE81C" w14:textId="77777777" w:rsidTr="00DF68B4">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04083A4" w14:textId="77777777" w:rsidR="00DF68B4" w:rsidRPr="00183B5F" w:rsidRDefault="00943743" w:rsidP="00DF68B4">
            <w:r w:rsidRPr="00183B5F">
              <w:t xml:space="preserve">Klinikai remisszió PUCAI szerint a 8. héten PMS szerint </w:t>
            </w:r>
            <w:r w:rsidR="00D81D3E" w:rsidRPr="00183B5F">
              <w:rPr>
                <w:rStyle w:val="normaltextrun"/>
                <w:shd w:val="clear" w:color="auto" w:fill="FFFFFF"/>
              </w:rPr>
              <w:t>választ mutatóknál</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1606D5AA" w14:textId="77777777" w:rsidR="00DF68B4" w:rsidRPr="00183B5F" w:rsidRDefault="00943743" w:rsidP="00DF68B4">
            <w:pPr>
              <w:jc w:val="center"/>
            </w:pPr>
            <w:r w:rsidRPr="00183B5F">
              <w:t>14/31 (45,2%)</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1F3F9F3F" w14:textId="77777777" w:rsidR="00DF68B4" w:rsidRPr="00183B5F" w:rsidRDefault="00943743" w:rsidP="00DF68B4">
            <w:pPr>
              <w:jc w:val="center"/>
            </w:pPr>
            <w:r w:rsidRPr="00183B5F">
              <w:t>18/31 (58,1%)</w:t>
            </w:r>
          </w:p>
        </w:tc>
      </w:tr>
      <w:tr w:rsidR="00011D2F" w14:paraId="131C0651" w14:textId="77777777" w:rsidTr="00DF68B4">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DF16B2A" w14:textId="77777777" w:rsidR="00DF68B4" w:rsidRPr="00183B5F" w:rsidRDefault="00943743" w:rsidP="00DF68B4">
            <w:r w:rsidRPr="00183B5F">
              <w:t xml:space="preserve">Klinikai válasz PUCAI szerint a 8. héten PMS szerint </w:t>
            </w:r>
            <w:r w:rsidR="00D81D3E" w:rsidRPr="00183B5F">
              <w:rPr>
                <w:rStyle w:val="normaltextrun"/>
                <w:shd w:val="clear" w:color="auto" w:fill="FFFFFF"/>
              </w:rPr>
              <w:t>választ mutatóknál</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11A900CE" w14:textId="77777777" w:rsidR="00DF68B4" w:rsidRPr="00183B5F" w:rsidRDefault="00943743" w:rsidP="00DF68B4">
            <w:pPr>
              <w:jc w:val="center"/>
            </w:pPr>
            <w:r w:rsidRPr="00183B5F">
              <w:t>18/31 (58,1%)</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1B908A72" w14:textId="77777777" w:rsidR="00DF68B4" w:rsidRPr="00183B5F" w:rsidRDefault="00943743" w:rsidP="00DF68B4">
            <w:pPr>
              <w:jc w:val="center"/>
            </w:pPr>
            <w:r w:rsidRPr="00183B5F">
              <w:t>16/31 (51,6%)</w:t>
            </w:r>
          </w:p>
        </w:tc>
      </w:tr>
      <w:tr w:rsidR="00011D2F" w14:paraId="6141BC01" w14:textId="77777777" w:rsidTr="00DF68B4">
        <w:trPr>
          <w:trHeight w:val="533"/>
          <w:jc w:val="center"/>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52B0F2B" w14:textId="77777777" w:rsidR="00DF68B4" w:rsidRPr="00183B5F" w:rsidRDefault="00943743" w:rsidP="00DF68B4">
            <w:r w:rsidRPr="00183B5F">
              <w:rPr>
                <w:vertAlign w:val="superscript"/>
              </w:rPr>
              <w:t>a </w:t>
            </w:r>
            <w:r w:rsidRPr="00183B5F">
              <w:t>Humira 2,4 mg/ttkg (maximum 160 mg) a 0. héten, placebo az 1. héten és 1,2 mg/</w:t>
            </w:r>
            <w:r w:rsidR="009134E6" w:rsidRPr="00183B5F">
              <w:t>tt</w:t>
            </w:r>
            <w:r w:rsidRPr="00183B5F">
              <w:t>kg (maximum 80 mg) a 2. héten </w:t>
            </w:r>
          </w:p>
          <w:p w14:paraId="4FF1B1DF" w14:textId="77777777" w:rsidR="00DF68B4" w:rsidRPr="00183B5F" w:rsidRDefault="00943743" w:rsidP="00DF68B4">
            <w:pPr>
              <w:textAlignment w:val="baseline"/>
              <w:rPr>
                <w:sz w:val="24"/>
                <w:szCs w:val="24"/>
              </w:rPr>
            </w:pPr>
            <w:r w:rsidRPr="00183B5F">
              <w:rPr>
                <w:szCs w:val="24"/>
                <w:vertAlign w:val="superscript"/>
              </w:rPr>
              <w:t>b </w:t>
            </w:r>
            <w:r w:rsidRPr="00183B5F">
              <w:rPr>
                <w:szCs w:val="24"/>
              </w:rPr>
              <w:t>Humira 2,4 mg/ttkg (maximum 160 mg) a 0. és az 1. héten és 1,2 mg/</w:t>
            </w:r>
            <w:r w:rsidR="009134E6" w:rsidRPr="00183B5F">
              <w:rPr>
                <w:szCs w:val="24"/>
              </w:rPr>
              <w:t>tt</w:t>
            </w:r>
            <w:r w:rsidRPr="00183B5F">
              <w:rPr>
                <w:szCs w:val="24"/>
              </w:rPr>
              <w:t>kg (maximum 80 mg) a 2. héten</w:t>
            </w:r>
            <w:r w:rsidRPr="00183B5F">
              <w:rPr>
                <w:sz w:val="24"/>
                <w:szCs w:val="24"/>
              </w:rPr>
              <w:t> </w:t>
            </w:r>
          </w:p>
          <w:p w14:paraId="06419C45" w14:textId="77777777" w:rsidR="00DF68B4" w:rsidRPr="00183B5F" w:rsidRDefault="00943743" w:rsidP="00DF68B4">
            <w:pPr>
              <w:textAlignment w:val="baseline"/>
            </w:pPr>
            <w:r w:rsidRPr="00183B5F">
              <w:rPr>
                <w:szCs w:val="24"/>
                <w:vertAlign w:val="superscript"/>
              </w:rPr>
              <w:t>c </w:t>
            </w:r>
            <w:r w:rsidRPr="00183B5F">
              <w:rPr>
                <w:szCs w:val="24"/>
              </w:rPr>
              <w:t>Nem tartalmazza a Humira nyílt indukciós dózist: 2,4 mg/ttkg (maximum 160 mg) a 0. héten, placebo az 1. héten és 1,2 mg/ttkg (maximum 80 mg) a 2. héten</w:t>
            </w:r>
          </w:p>
          <w:p w14:paraId="1E14B7E5" w14:textId="77777777" w:rsidR="00DF68B4" w:rsidRPr="00183B5F" w:rsidRDefault="00943743" w:rsidP="00DF68B4">
            <w:pPr>
              <w:textAlignment w:val="baseline"/>
            </w:pPr>
            <w:r w:rsidRPr="00183B5F">
              <w:rPr>
                <w:szCs w:val="24"/>
                <w:vertAlign w:val="superscript"/>
              </w:rPr>
              <w:t>d </w:t>
            </w:r>
            <w:r w:rsidRPr="00183B5F">
              <w:rPr>
                <w:szCs w:val="24"/>
              </w:rPr>
              <w:t>Humira 0,6 mg/</w:t>
            </w:r>
            <w:r w:rsidR="009134E6" w:rsidRPr="00183B5F">
              <w:rPr>
                <w:szCs w:val="24"/>
              </w:rPr>
              <w:t>tt</w:t>
            </w:r>
            <w:r w:rsidRPr="00183B5F">
              <w:rPr>
                <w:szCs w:val="24"/>
              </w:rPr>
              <w:t>kg (maximum 40 mg) kéthetente</w:t>
            </w:r>
          </w:p>
          <w:p w14:paraId="1BDF81D8" w14:textId="77777777" w:rsidR="00DF68B4" w:rsidRPr="00183B5F" w:rsidRDefault="00943743" w:rsidP="00DF68B4">
            <w:r w:rsidRPr="00183B5F">
              <w:rPr>
                <w:vertAlign w:val="superscript"/>
              </w:rPr>
              <w:t>e </w:t>
            </w:r>
            <w:r w:rsidRPr="00183B5F">
              <w:t>Humira 0,6 mg/</w:t>
            </w:r>
            <w:r w:rsidR="009134E6" w:rsidRPr="00183B5F">
              <w:t>tt</w:t>
            </w:r>
            <w:r w:rsidRPr="00183B5F">
              <w:t>kg (maximum 40 mg) hetente</w:t>
            </w:r>
          </w:p>
          <w:p w14:paraId="6884F10A" w14:textId="77777777" w:rsidR="00DF68B4" w:rsidRPr="00183B5F" w:rsidRDefault="00943743" w:rsidP="00DF68B4">
            <w:pPr>
              <w:textAlignment w:val="baseline"/>
            </w:pPr>
            <w:r w:rsidRPr="00183B5F">
              <w:rPr>
                <w:szCs w:val="24"/>
              </w:rPr>
              <w:t>1. megjegyzés: Mindkét indukciós csoport 0,6 mg/ttkg-ot (maximum 40 mg) kapott a 4. és a 6. héten</w:t>
            </w:r>
            <w:r w:rsidRPr="00183B5F">
              <w:rPr>
                <w:sz w:val="24"/>
                <w:szCs w:val="24"/>
              </w:rPr>
              <w:t> </w:t>
            </w:r>
          </w:p>
          <w:p w14:paraId="4F2007F7" w14:textId="77777777" w:rsidR="00DF68B4" w:rsidRPr="00183B5F" w:rsidRDefault="00943743" w:rsidP="00DF68B4">
            <w:pPr>
              <w:textAlignment w:val="baseline"/>
              <w:rPr>
                <w:sz w:val="24"/>
                <w:szCs w:val="24"/>
              </w:rPr>
            </w:pPr>
            <w:r w:rsidRPr="00183B5F">
              <w:rPr>
                <w:szCs w:val="24"/>
              </w:rPr>
              <w:t>2. megjegyzés: Úgy ítélték meg, hogy a 8. héten hiányzó adatok esetén a betegek nem teljesítették a végpontokat</w:t>
            </w:r>
            <w:r w:rsidRPr="00183B5F">
              <w:rPr>
                <w:sz w:val="24"/>
                <w:szCs w:val="24"/>
              </w:rPr>
              <w:t> </w:t>
            </w:r>
          </w:p>
          <w:p w14:paraId="1ADE67D3" w14:textId="77777777" w:rsidR="00DF68B4" w:rsidRPr="00183B5F" w:rsidRDefault="00943743" w:rsidP="00DF68B4">
            <w:pPr>
              <w:textAlignment w:val="baseline"/>
            </w:pPr>
            <w:r w:rsidRPr="00183B5F">
              <w:t xml:space="preserve">3. megjegyzés: Azokat a betegeket, akiknek az 52. héten hiányoztak az értékei, vagy akiket randomizáltak ismételt indukcióra vagy fenntartó kezelésre, az 52. hét végpontjain </w:t>
            </w:r>
            <w:r w:rsidR="000809B5" w:rsidRPr="00183B5F">
              <w:t>választ nem mutatóknak</w:t>
            </w:r>
            <w:r w:rsidRPr="00183B5F">
              <w:t xml:space="preserve"> tekintették</w:t>
            </w:r>
          </w:p>
        </w:tc>
      </w:tr>
    </w:tbl>
    <w:p w14:paraId="31D64E9A" w14:textId="77777777" w:rsidR="00DF68B4" w:rsidRPr="00183B5F" w:rsidRDefault="00DF68B4" w:rsidP="00DF68B4"/>
    <w:p w14:paraId="0592346E" w14:textId="77777777" w:rsidR="00DF68B4" w:rsidRPr="00183B5F" w:rsidRDefault="00943743" w:rsidP="00DF68B4">
      <w:r w:rsidRPr="00183B5F">
        <w:t>A fenntartó periódus alatt ismételt indukciós kezelést kapott, Humira-val kezelt betegek közül 2/6 (33%) ért el klinikai választ FMS szerint az 52. héten.</w:t>
      </w:r>
    </w:p>
    <w:p w14:paraId="54F20234" w14:textId="77777777" w:rsidR="00DF68B4" w:rsidRPr="00183B5F" w:rsidRDefault="00DF68B4" w:rsidP="00DF68B4"/>
    <w:p w14:paraId="634B5F1A" w14:textId="77777777" w:rsidR="00DF68B4" w:rsidRPr="00FA29B7" w:rsidRDefault="00943743" w:rsidP="00DF68B4">
      <w:pPr>
        <w:keepNext/>
        <w:rPr>
          <w:bCs/>
          <w:i/>
          <w:rPrChange w:id="8463" w:author="AbbVie_HU_03" w:date="2025-05-16T12:55:00Z">
            <w:rPr>
              <w:bCs/>
              <w:i/>
              <w:u w:val="single"/>
            </w:rPr>
          </w:rPrChange>
        </w:rPr>
      </w:pPr>
      <w:r w:rsidRPr="00FA29B7">
        <w:rPr>
          <w:i/>
          <w:rPrChange w:id="8464" w:author="AbbVie_HU_03" w:date="2025-05-16T12:55:00Z">
            <w:rPr>
              <w:i/>
              <w:u w:val="single"/>
            </w:rPr>
          </w:rPrChange>
        </w:rPr>
        <w:t>Életminőség</w:t>
      </w:r>
    </w:p>
    <w:p w14:paraId="5D8C5CF5" w14:textId="77777777" w:rsidR="00DF68B4" w:rsidRPr="00183B5F" w:rsidRDefault="00DF68B4" w:rsidP="00DF68B4">
      <w:pPr>
        <w:keepNext/>
        <w:rPr>
          <w:bCs/>
          <w:i/>
          <w:u w:val="single"/>
        </w:rPr>
      </w:pPr>
    </w:p>
    <w:p w14:paraId="6CD70E26" w14:textId="77777777" w:rsidR="00DF68B4" w:rsidRPr="00183B5F" w:rsidRDefault="00943743" w:rsidP="00DF68B4">
      <w:pPr>
        <w:keepNext/>
      </w:pPr>
      <w:r w:rsidRPr="00183B5F">
        <w:t>A kiindulási értékhez képest klinikailag jelentős javulást figyeltek meg az IMPACT III és a WPAI (gondozói munka produktivitás és aktivitásromlás) pontszámokban a Humira-val kezelt csoportoknál.</w:t>
      </w:r>
    </w:p>
    <w:p w14:paraId="1146BE45" w14:textId="77777777" w:rsidR="00DF68B4" w:rsidRPr="00183B5F" w:rsidRDefault="00DF68B4" w:rsidP="00DF68B4">
      <w:pPr>
        <w:keepNext/>
      </w:pPr>
    </w:p>
    <w:p w14:paraId="61FE1749" w14:textId="77777777" w:rsidR="00DF68B4" w:rsidRPr="00183B5F" w:rsidRDefault="00943743" w:rsidP="00DF68B4">
      <w:r w:rsidRPr="00183B5F">
        <w:t>Az adalimumabbal kezelt csoportoknál a növekedési sebesség klinikailag jelentős mértékű növekedését (javulását) figyelték meg a kiindulási értékhez képest és a testtömeg-index klinikailag jelentős növekedését (javulását) a kiindulási értékhez képest azoknál az alanyoknál, akik a nagy, hetente adott legfeljebb 40 mg (0,6 mg/ttkg) fenntartó dózist kapták.</w:t>
      </w:r>
    </w:p>
    <w:p w14:paraId="6BD02A87" w14:textId="77777777" w:rsidR="00224368" w:rsidRPr="00183B5F" w:rsidRDefault="00224368" w:rsidP="00224368">
      <w:pPr>
        <w:pStyle w:val="EMEANormal"/>
        <w:rPr>
          <w:lang w:val="hu-HU"/>
        </w:rPr>
      </w:pPr>
    </w:p>
    <w:p w14:paraId="2BFC632C" w14:textId="77777777" w:rsidR="00224368" w:rsidRPr="00183B5F" w:rsidRDefault="00943743" w:rsidP="00FC288C">
      <w:pPr>
        <w:pStyle w:val="EMEANormal"/>
        <w:keepNext/>
        <w:tabs>
          <w:tab w:val="left" w:pos="2595"/>
        </w:tabs>
        <w:rPr>
          <w:bCs/>
          <w:i/>
          <w:szCs w:val="22"/>
          <w:lang w:val="hu-HU"/>
        </w:rPr>
      </w:pPr>
      <w:r w:rsidRPr="00183B5F">
        <w:rPr>
          <w:bCs/>
          <w:i/>
          <w:szCs w:val="22"/>
          <w:lang w:val="hu-HU"/>
        </w:rPr>
        <w:t>Gyermekkori uveitis</w:t>
      </w:r>
    </w:p>
    <w:p w14:paraId="0C7558A4" w14:textId="77777777" w:rsidR="00224368" w:rsidRPr="00183B5F" w:rsidRDefault="00224368" w:rsidP="00FC288C">
      <w:pPr>
        <w:pStyle w:val="EMEANormal"/>
        <w:keepNext/>
        <w:tabs>
          <w:tab w:val="left" w:pos="2595"/>
        </w:tabs>
        <w:rPr>
          <w:bCs/>
          <w:i/>
          <w:szCs w:val="22"/>
          <w:u w:val="single"/>
          <w:lang w:val="hu-HU"/>
        </w:rPr>
      </w:pPr>
    </w:p>
    <w:p w14:paraId="0CD65443" w14:textId="77777777" w:rsidR="00224368" w:rsidRPr="00183B5F" w:rsidRDefault="00943743" w:rsidP="00224368">
      <w:pPr>
        <w:pStyle w:val="EMEANormal"/>
        <w:tabs>
          <w:tab w:val="left" w:pos="2595"/>
        </w:tabs>
        <w:rPr>
          <w:bCs/>
          <w:szCs w:val="22"/>
          <w:lang w:val="hu-HU"/>
        </w:rPr>
      </w:pPr>
      <w:r w:rsidRPr="00183B5F">
        <w:rPr>
          <w:szCs w:val="22"/>
          <w:lang w:val="hu-HU"/>
        </w:rPr>
        <w:t>A Humira biztonságosságát és hatásosságát</w:t>
      </w:r>
      <w:r w:rsidRPr="00183B5F">
        <w:rPr>
          <w:bCs/>
          <w:szCs w:val="22"/>
          <w:lang w:val="hu-HU"/>
        </w:rPr>
        <w:t xml:space="preserve"> 90, 2 - &lt;18 éves kor közötti, aktív, JIA-asszociált, nem fertőzéses eredetű anterior uvitisben szenvedő, legalább 12 hetes metotrexát-kezelésre refrakter gyermeknél egy randomizált, kettős vak, kontrollos vizsgálatban értékelték. A betegek vagy placebót, vagy 20 mg adalimumabot (30 kg testtömeg alatt), illetve 40 mg adalimumabot (legalább 30 kg</w:t>
      </w:r>
      <w:r w:rsidRPr="00183B5F">
        <w:rPr>
          <w:bCs/>
          <w:szCs w:val="22"/>
          <w:lang w:val="hu-HU"/>
        </w:rPr>
        <w:noBreakHyphen/>
        <w:t>os testtömeg esetén) kaptak minden második héten a kezelés kezdetén alkalmazott metotrexát dózissal kombinálva.</w:t>
      </w:r>
    </w:p>
    <w:p w14:paraId="156B4929" w14:textId="77777777" w:rsidR="00224368" w:rsidRPr="00183B5F" w:rsidRDefault="00224368" w:rsidP="00224368">
      <w:pPr>
        <w:pStyle w:val="EMEANormal"/>
        <w:tabs>
          <w:tab w:val="left" w:pos="2595"/>
        </w:tabs>
        <w:rPr>
          <w:bCs/>
          <w:szCs w:val="22"/>
          <w:lang w:val="hu-HU"/>
        </w:rPr>
      </w:pPr>
    </w:p>
    <w:p w14:paraId="4FE273EC" w14:textId="77777777" w:rsidR="00224368" w:rsidRPr="00183B5F" w:rsidRDefault="00943743" w:rsidP="00224368">
      <w:pPr>
        <w:pStyle w:val="EMEANormal"/>
        <w:tabs>
          <w:tab w:val="left" w:pos="2595"/>
        </w:tabs>
        <w:rPr>
          <w:szCs w:val="22"/>
          <w:lang w:val="hu-HU"/>
        </w:rPr>
      </w:pPr>
      <w:r w:rsidRPr="00183B5F">
        <w:rPr>
          <w:bCs/>
          <w:szCs w:val="22"/>
          <w:lang w:val="hu-HU"/>
        </w:rPr>
        <w:t xml:space="preserve">Az elsődleges végpont </w:t>
      </w:r>
      <w:r w:rsidRPr="00183B5F">
        <w:rPr>
          <w:szCs w:val="22"/>
          <w:lang w:val="hu-HU"/>
        </w:rPr>
        <w:t>a „kezelés eredménytelenségéig eltelt idő” volt. A kezelés eredménytelenségének kritériumai a szemgyulladás romlása, vagy tartós nem javulása, részleges javulás tartós szemészeti társbetegségek kialakulása mellett, vagy a szemészeti társbetegségek romlása, nem engedélyezett egyidejű gyógyszeralkalmazás, vagy a kezelés hosszabb ideig tartó felfüggesztése voltak.</w:t>
      </w:r>
    </w:p>
    <w:p w14:paraId="3D861042" w14:textId="77777777" w:rsidR="00224368" w:rsidRPr="00183B5F" w:rsidRDefault="00224368" w:rsidP="00224368">
      <w:pPr>
        <w:pStyle w:val="EMEANormal"/>
        <w:tabs>
          <w:tab w:val="left" w:pos="2595"/>
        </w:tabs>
        <w:rPr>
          <w:szCs w:val="22"/>
          <w:lang w:val="hu-HU"/>
        </w:rPr>
      </w:pPr>
    </w:p>
    <w:p w14:paraId="5B2A808D" w14:textId="77777777" w:rsidR="00224368" w:rsidRPr="00183B5F" w:rsidRDefault="00943743" w:rsidP="00224368">
      <w:pPr>
        <w:pStyle w:val="EMEANormal"/>
        <w:keepNext/>
        <w:rPr>
          <w:i/>
          <w:szCs w:val="22"/>
          <w:u w:val="single"/>
          <w:lang w:val="hu-HU"/>
        </w:rPr>
      </w:pPr>
      <w:r w:rsidRPr="00183B5F">
        <w:rPr>
          <w:i/>
          <w:szCs w:val="22"/>
          <w:u w:val="single"/>
          <w:lang w:val="hu-HU"/>
        </w:rPr>
        <w:t>Klinikai válasz</w:t>
      </w:r>
    </w:p>
    <w:p w14:paraId="0892937E" w14:textId="77777777" w:rsidR="00224368" w:rsidRPr="00183B5F" w:rsidRDefault="00224368" w:rsidP="00224368">
      <w:pPr>
        <w:pStyle w:val="EMEANormal"/>
        <w:keepNext/>
        <w:tabs>
          <w:tab w:val="left" w:pos="2595"/>
        </w:tabs>
        <w:rPr>
          <w:bCs/>
          <w:szCs w:val="22"/>
          <w:lang w:val="hu-HU"/>
        </w:rPr>
      </w:pPr>
    </w:p>
    <w:p w14:paraId="7A30FC52" w14:textId="77777777" w:rsidR="00224368" w:rsidRPr="00183B5F" w:rsidRDefault="00943743" w:rsidP="00224368">
      <w:pPr>
        <w:spacing w:line="240" w:lineRule="auto"/>
        <w:rPr>
          <w:szCs w:val="22"/>
        </w:rPr>
      </w:pPr>
      <w:r w:rsidRPr="00183B5F">
        <w:rPr>
          <w:szCs w:val="22"/>
        </w:rPr>
        <w:t>Az adalimumab szignifikánsan késleltette a kezelés eredménytelenségéig eltelt időt a placebóhoz képest (lásd 3. ábra, p &lt; 0,0001, lograng</w:t>
      </w:r>
      <w:r w:rsidRPr="00183B5F">
        <w:rPr>
          <w:szCs w:val="22"/>
        </w:rPr>
        <w:noBreakHyphen/>
        <w:t>próba). A kezelés eredménytelenségéig eltelt medián időtartam 24,1 hét volt placebóval kezelt betegek esetén, míg az adalimumabbal kezelt betegek esetén a kezelés eredménytelenségéig eltelt medián időtartam nem volt becsülhető, mivel kevesebb mint a betegek felénél tapasztaltak kezelési eredménytelenséget. Az adalimumab szignifikánsan, 75%-kal csökkentette a kezelési eredménytelenség kockázatát a placebóhoz képest, ahogy ezt a relatív hazárd érték mutatja (HR = 0,25 [95%</w:t>
      </w:r>
      <w:r w:rsidRPr="00183B5F">
        <w:rPr>
          <w:szCs w:val="22"/>
        </w:rPr>
        <w:noBreakHyphen/>
        <w:t>os CI: 0,12; 0,49]).</w:t>
      </w:r>
    </w:p>
    <w:p w14:paraId="444CD4CB" w14:textId="77777777" w:rsidR="00224368" w:rsidRPr="00183B5F" w:rsidRDefault="00224368" w:rsidP="00224368">
      <w:pPr>
        <w:pStyle w:val="EMEANormal"/>
        <w:rPr>
          <w:szCs w:val="22"/>
          <w:lang w:val="hu-HU"/>
        </w:rPr>
      </w:pPr>
    </w:p>
    <w:p w14:paraId="528C4517" w14:textId="77777777" w:rsidR="00224368" w:rsidRPr="00183B5F" w:rsidRDefault="00943743" w:rsidP="00224368">
      <w:pPr>
        <w:pStyle w:val="EMEANormal"/>
        <w:keepNext/>
        <w:ind w:left="1497"/>
        <w:rPr>
          <w:b/>
          <w:szCs w:val="22"/>
          <w:lang w:val="hu-HU"/>
        </w:rPr>
      </w:pPr>
      <w:r w:rsidRPr="00183B5F">
        <w:rPr>
          <w:b/>
          <w:szCs w:val="22"/>
          <w:lang w:val="hu-HU"/>
        </w:rPr>
        <w:t>3. ábra: A kezelés eredménytelenségéig eltelt időt bemutató Kaplan-Meier görbék gyermekkori uveitis vizsgálatban</w:t>
      </w:r>
    </w:p>
    <w:tbl>
      <w:tblPr>
        <w:tblW w:w="9288" w:type="dxa"/>
        <w:tblLayout w:type="fixed"/>
        <w:tblLook w:val="04A0" w:firstRow="1" w:lastRow="0" w:firstColumn="1" w:lastColumn="0" w:noHBand="0" w:noVBand="1"/>
      </w:tblPr>
      <w:tblGrid>
        <w:gridCol w:w="468"/>
        <w:gridCol w:w="3510"/>
        <w:gridCol w:w="1170"/>
        <w:gridCol w:w="1350"/>
        <w:gridCol w:w="900"/>
        <w:gridCol w:w="1890"/>
      </w:tblGrid>
      <w:tr w:rsidR="00011D2F" w14:paraId="75270F5C" w14:textId="77777777" w:rsidTr="00EF053A">
        <w:trPr>
          <w:cantSplit/>
          <w:trHeight w:val="3806"/>
        </w:trPr>
        <w:tc>
          <w:tcPr>
            <w:tcW w:w="468" w:type="dxa"/>
            <w:textDirection w:val="btLr"/>
            <w:vAlign w:val="bottom"/>
          </w:tcPr>
          <w:p w14:paraId="6A4358EC" w14:textId="77777777" w:rsidR="00224368" w:rsidRPr="00183B5F" w:rsidRDefault="00943743" w:rsidP="00EF053A">
            <w:pPr>
              <w:pStyle w:val="EMEANormal"/>
              <w:ind w:left="720"/>
              <w:rPr>
                <w:b/>
                <w:szCs w:val="22"/>
                <w:lang w:val="hu-HU"/>
              </w:rPr>
            </w:pPr>
            <w:r w:rsidRPr="00183B5F">
              <w:rPr>
                <w:b/>
                <w:szCs w:val="22"/>
                <w:lang w:val="hu-HU"/>
              </w:rPr>
              <w:t>A KEZELÉS EREDMÉNYTELENSÉGÉNEK VALÓSZÍNŰSÉGE</w:t>
            </w:r>
          </w:p>
        </w:tc>
        <w:tc>
          <w:tcPr>
            <w:tcW w:w="8820" w:type="dxa"/>
            <w:gridSpan w:val="5"/>
            <w:vAlign w:val="bottom"/>
          </w:tcPr>
          <w:p w14:paraId="34B74035" w14:textId="77777777" w:rsidR="00224368" w:rsidRPr="00183B5F" w:rsidRDefault="00943743" w:rsidP="00EF053A">
            <w:pPr>
              <w:pStyle w:val="EMEANormal"/>
              <w:keepNext/>
              <w:rPr>
                <w:szCs w:val="22"/>
                <w:lang w:val="hu-HU"/>
              </w:rPr>
            </w:pPr>
            <w:r w:rsidRPr="00202B95">
              <w:rPr>
                <w:noProof/>
                <w:lang w:val="en-GB"/>
              </w:rPr>
              <w:drawing>
                <wp:inline distT="0" distB="0" distL="0" distR="0" wp14:anchorId="4E3336E1" wp14:editId="1DCD319A">
                  <wp:extent cx="5486400" cy="4554855"/>
                  <wp:effectExtent l="0" t="0" r="0" b="0"/>
                  <wp:docPr id="165" name="Picture 165"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9" descr="Humira PED UV KM Curve REVISED 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486400" cy="4554855"/>
                          </a:xfrm>
                          <a:prstGeom prst="rect">
                            <a:avLst/>
                          </a:prstGeom>
                          <a:noFill/>
                          <a:ln>
                            <a:noFill/>
                          </a:ln>
                        </pic:spPr>
                      </pic:pic>
                    </a:graphicData>
                  </a:graphic>
                </wp:inline>
              </w:drawing>
            </w:r>
          </w:p>
        </w:tc>
      </w:tr>
      <w:tr w:rsidR="00011D2F" w14:paraId="2163EE93" w14:textId="77777777" w:rsidTr="00EF053A">
        <w:tc>
          <w:tcPr>
            <w:tcW w:w="468" w:type="dxa"/>
          </w:tcPr>
          <w:p w14:paraId="76854204" w14:textId="77777777" w:rsidR="00224368" w:rsidRPr="00183B5F" w:rsidRDefault="00224368" w:rsidP="00EF053A">
            <w:pPr>
              <w:pStyle w:val="EMEANormal"/>
              <w:keepNext/>
              <w:rPr>
                <w:szCs w:val="22"/>
                <w:lang w:val="hu-HU"/>
              </w:rPr>
            </w:pPr>
          </w:p>
        </w:tc>
        <w:tc>
          <w:tcPr>
            <w:tcW w:w="8820" w:type="dxa"/>
            <w:gridSpan w:val="5"/>
          </w:tcPr>
          <w:p w14:paraId="71428E8F" w14:textId="77777777" w:rsidR="00224368" w:rsidRPr="00183B5F" w:rsidRDefault="00943743" w:rsidP="00EF053A">
            <w:pPr>
              <w:pStyle w:val="EMEANormal"/>
              <w:keepNext/>
              <w:jc w:val="center"/>
              <w:rPr>
                <w:b/>
                <w:szCs w:val="22"/>
                <w:lang w:val="hu-HU"/>
              </w:rPr>
            </w:pPr>
            <w:r w:rsidRPr="00183B5F">
              <w:rPr>
                <w:b/>
                <w:szCs w:val="22"/>
                <w:lang w:val="hu-HU"/>
              </w:rPr>
              <w:t>IDŐ (HÉT)</w:t>
            </w:r>
          </w:p>
        </w:tc>
      </w:tr>
      <w:tr w:rsidR="00011D2F" w14:paraId="5061A3C7" w14:textId="77777777" w:rsidTr="00EF053A">
        <w:tc>
          <w:tcPr>
            <w:tcW w:w="468" w:type="dxa"/>
          </w:tcPr>
          <w:p w14:paraId="11C4432A" w14:textId="77777777" w:rsidR="00224368" w:rsidRPr="00183B5F" w:rsidRDefault="00224368" w:rsidP="00EF053A">
            <w:pPr>
              <w:pStyle w:val="EMEANormal"/>
              <w:keepNext/>
              <w:rPr>
                <w:szCs w:val="22"/>
                <w:lang w:val="hu-HU"/>
              </w:rPr>
            </w:pPr>
          </w:p>
        </w:tc>
        <w:tc>
          <w:tcPr>
            <w:tcW w:w="3510" w:type="dxa"/>
          </w:tcPr>
          <w:p w14:paraId="315159DB" w14:textId="77777777" w:rsidR="00224368" w:rsidRPr="00183B5F" w:rsidRDefault="00943743" w:rsidP="00EF053A">
            <w:pPr>
              <w:pStyle w:val="EMEANormal"/>
              <w:keepNext/>
              <w:rPr>
                <w:szCs w:val="22"/>
                <w:lang w:val="hu-HU"/>
              </w:rPr>
            </w:pPr>
            <w:r w:rsidRPr="00183B5F">
              <w:rPr>
                <w:szCs w:val="22"/>
                <w:lang w:val="hu-HU"/>
              </w:rPr>
              <w:t>Kezelés</w:t>
            </w:r>
          </w:p>
        </w:tc>
        <w:tc>
          <w:tcPr>
            <w:tcW w:w="1170" w:type="dxa"/>
            <w:vAlign w:val="bottom"/>
          </w:tcPr>
          <w:p w14:paraId="18F0F7DC" w14:textId="77777777" w:rsidR="00224368" w:rsidRPr="00183B5F" w:rsidRDefault="00943743" w:rsidP="00EF053A">
            <w:pPr>
              <w:pStyle w:val="EMEANormal"/>
              <w:keepNext/>
              <w:jc w:val="center"/>
              <w:rPr>
                <w:szCs w:val="22"/>
                <w:lang w:val="hu-HU"/>
              </w:rPr>
            </w:pPr>
            <w:r w:rsidRPr="00202B95">
              <w:rPr>
                <w:noProof/>
                <w:lang w:val="en-GB"/>
              </w:rPr>
              <w:drawing>
                <wp:inline distT="0" distB="0" distL="0" distR="0" wp14:anchorId="63F4AEF2" wp14:editId="3CE85720">
                  <wp:extent cx="457200" cy="120650"/>
                  <wp:effectExtent l="0" t="0" r="0" b="0"/>
                  <wp:docPr id="166" name="Picture 166"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0" descr="Humira PED UV KM Curve 1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57200" cy="120650"/>
                          </a:xfrm>
                          <a:prstGeom prst="rect">
                            <a:avLst/>
                          </a:prstGeom>
                          <a:noFill/>
                          <a:ln>
                            <a:noFill/>
                          </a:ln>
                        </pic:spPr>
                      </pic:pic>
                    </a:graphicData>
                  </a:graphic>
                </wp:inline>
              </w:drawing>
            </w:r>
          </w:p>
        </w:tc>
        <w:tc>
          <w:tcPr>
            <w:tcW w:w="1350" w:type="dxa"/>
          </w:tcPr>
          <w:p w14:paraId="6F616978" w14:textId="77777777" w:rsidR="00224368" w:rsidRPr="00183B5F" w:rsidRDefault="00943743" w:rsidP="00EF053A">
            <w:pPr>
              <w:pStyle w:val="EMEANormal"/>
              <w:keepNext/>
              <w:rPr>
                <w:szCs w:val="22"/>
                <w:lang w:val="hu-HU"/>
              </w:rPr>
            </w:pPr>
            <w:r w:rsidRPr="00183B5F">
              <w:rPr>
                <w:szCs w:val="22"/>
                <w:lang w:val="hu-HU"/>
              </w:rPr>
              <w:t>Placebo</w:t>
            </w:r>
          </w:p>
        </w:tc>
        <w:tc>
          <w:tcPr>
            <w:tcW w:w="900" w:type="dxa"/>
            <w:vAlign w:val="center"/>
          </w:tcPr>
          <w:p w14:paraId="0718036E" w14:textId="77777777" w:rsidR="00224368" w:rsidRPr="00183B5F" w:rsidRDefault="00943743" w:rsidP="00EF053A">
            <w:pPr>
              <w:pStyle w:val="EMEANormal"/>
              <w:keepNext/>
              <w:rPr>
                <w:szCs w:val="22"/>
                <w:lang w:val="hu-HU"/>
              </w:rPr>
            </w:pPr>
            <w:r w:rsidRPr="00202B95">
              <w:rPr>
                <w:noProof/>
                <w:lang w:val="en-GB"/>
              </w:rPr>
              <w:drawing>
                <wp:inline distT="0" distB="0" distL="0" distR="0" wp14:anchorId="38633EF7" wp14:editId="5273697D">
                  <wp:extent cx="457200" cy="86360"/>
                  <wp:effectExtent l="0" t="0" r="0" b="8890"/>
                  <wp:docPr id="167" name="Picture 167"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1" descr="Humira PED UV KM Curve 1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57200" cy="86360"/>
                          </a:xfrm>
                          <a:prstGeom prst="rect">
                            <a:avLst/>
                          </a:prstGeom>
                          <a:noFill/>
                          <a:ln>
                            <a:noFill/>
                          </a:ln>
                        </pic:spPr>
                      </pic:pic>
                    </a:graphicData>
                  </a:graphic>
                </wp:inline>
              </w:drawing>
            </w:r>
          </w:p>
        </w:tc>
        <w:tc>
          <w:tcPr>
            <w:tcW w:w="1890" w:type="dxa"/>
          </w:tcPr>
          <w:p w14:paraId="3F48368D" w14:textId="77777777" w:rsidR="00224368" w:rsidRPr="00183B5F" w:rsidRDefault="00943743" w:rsidP="00EF053A">
            <w:pPr>
              <w:pStyle w:val="EMEANormal"/>
              <w:keepNext/>
              <w:rPr>
                <w:szCs w:val="22"/>
                <w:lang w:val="hu-HU"/>
              </w:rPr>
            </w:pPr>
            <w:r w:rsidRPr="00183B5F">
              <w:rPr>
                <w:szCs w:val="22"/>
                <w:lang w:val="hu-HU"/>
              </w:rPr>
              <w:t>Adalimumab</w:t>
            </w:r>
          </w:p>
        </w:tc>
      </w:tr>
      <w:tr w:rsidR="00011D2F" w14:paraId="677A85E8" w14:textId="77777777" w:rsidTr="00EF053A">
        <w:tc>
          <w:tcPr>
            <w:tcW w:w="468" w:type="dxa"/>
          </w:tcPr>
          <w:p w14:paraId="4CD4D9FE" w14:textId="77777777" w:rsidR="00224368" w:rsidRPr="00183B5F" w:rsidRDefault="00224368" w:rsidP="00EF053A">
            <w:pPr>
              <w:pStyle w:val="EMEANormal"/>
              <w:rPr>
                <w:szCs w:val="22"/>
                <w:lang w:val="hu-HU"/>
              </w:rPr>
            </w:pPr>
          </w:p>
        </w:tc>
        <w:tc>
          <w:tcPr>
            <w:tcW w:w="8820" w:type="dxa"/>
            <w:gridSpan w:val="5"/>
          </w:tcPr>
          <w:p w14:paraId="1CBBB0CE" w14:textId="77777777" w:rsidR="00224368" w:rsidRPr="00183B5F" w:rsidRDefault="00943743" w:rsidP="00EF053A">
            <w:pPr>
              <w:pStyle w:val="EMEANormal"/>
              <w:rPr>
                <w:szCs w:val="22"/>
                <w:lang w:val="hu-HU"/>
              </w:rPr>
            </w:pPr>
            <w:r w:rsidRPr="00183B5F">
              <w:rPr>
                <w:szCs w:val="22"/>
                <w:lang w:val="hu-HU"/>
              </w:rPr>
              <w:t>Megjegyzés: P = Placebo (Veszélyeztetett betegek száma); H = HUMIRA (Veszélyeztetett betegek száma).</w:t>
            </w:r>
          </w:p>
        </w:tc>
      </w:tr>
    </w:tbl>
    <w:p w14:paraId="62700286" w14:textId="77777777" w:rsidR="00D0403E" w:rsidRPr="00183B5F" w:rsidRDefault="00D0403E">
      <w:pPr>
        <w:spacing w:line="240" w:lineRule="auto"/>
        <w:outlineLvl w:val="0"/>
        <w:rPr>
          <w:szCs w:val="22"/>
        </w:rPr>
      </w:pPr>
    </w:p>
    <w:p w14:paraId="7E1DC86F" w14:textId="77777777" w:rsidR="00D0403E" w:rsidRPr="00183B5F" w:rsidRDefault="00943743" w:rsidP="004062FE">
      <w:pPr>
        <w:keepNext/>
        <w:spacing w:line="240" w:lineRule="auto"/>
        <w:rPr>
          <w:b/>
          <w:szCs w:val="22"/>
        </w:rPr>
      </w:pPr>
      <w:r w:rsidRPr="00183B5F">
        <w:rPr>
          <w:b/>
          <w:szCs w:val="22"/>
        </w:rPr>
        <w:t>5.2</w:t>
      </w:r>
      <w:r w:rsidRPr="00183B5F">
        <w:rPr>
          <w:b/>
          <w:szCs w:val="22"/>
        </w:rPr>
        <w:tab/>
        <w:t>Farmakokinetikai tulajdonságok</w:t>
      </w:r>
    </w:p>
    <w:p w14:paraId="579F50E5" w14:textId="77777777" w:rsidR="00D0403E" w:rsidRPr="00183B5F" w:rsidRDefault="00D0403E" w:rsidP="004062FE">
      <w:pPr>
        <w:keepNext/>
        <w:spacing w:line="240" w:lineRule="auto"/>
        <w:rPr>
          <w:szCs w:val="22"/>
        </w:rPr>
      </w:pPr>
    </w:p>
    <w:p w14:paraId="15EF43BA" w14:textId="77777777" w:rsidR="00D0403E" w:rsidRPr="00183B5F" w:rsidRDefault="00943743" w:rsidP="004062FE">
      <w:pPr>
        <w:keepNext/>
        <w:numPr>
          <w:ilvl w:val="12"/>
          <w:numId w:val="0"/>
        </w:numPr>
        <w:suppressLineNumbers/>
        <w:spacing w:line="240" w:lineRule="auto"/>
        <w:ind w:right="-2"/>
        <w:rPr>
          <w:szCs w:val="22"/>
        </w:rPr>
      </w:pPr>
      <w:r w:rsidRPr="00183B5F">
        <w:rPr>
          <w:noProof/>
          <w:szCs w:val="24"/>
          <w:u w:val="single"/>
        </w:rPr>
        <w:t>Felszívódás és eloszlás</w:t>
      </w:r>
    </w:p>
    <w:p w14:paraId="1705E494" w14:textId="77777777" w:rsidR="00D0403E" w:rsidRPr="00183B5F" w:rsidRDefault="00D0403E" w:rsidP="004062FE">
      <w:pPr>
        <w:keepNext/>
        <w:spacing w:line="240" w:lineRule="auto"/>
        <w:rPr>
          <w:szCs w:val="22"/>
        </w:rPr>
      </w:pPr>
    </w:p>
    <w:p w14:paraId="581EC979" w14:textId="77777777" w:rsidR="00D0403E" w:rsidRPr="00183B5F" w:rsidRDefault="00943743" w:rsidP="004062FE">
      <w:pPr>
        <w:keepNext/>
        <w:spacing w:line="240" w:lineRule="auto"/>
        <w:rPr>
          <w:szCs w:val="22"/>
        </w:rPr>
      </w:pPr>
      <w:r w:rsidRPr="00183B5F">
        <w:rPr>
          <w:szCs w:val="22"/>
        </w:rPr>
        <w:t>40 mg adag egyszeri subcutan beadását követően az adalimumab felszívódása és eloszlása lassú volt, a szérumban a csúcskoncentrációt csak a beadást követő 5. napon érte el. Az adalimumab átlagos abszolút biohasznosulása 40 mg adalimumab subcutan beadását követően, három vizsgálat eredményei alapján 64% volt. 0,25 mg</w:t>
      </w:r>
      <w:r w:rsidR="00127A0B" w:rsidRPr="00183B5F">
        <w:rPr>
          <w:szCs w:val="22"/>
        </w:rPr>
        <w:t>/ttkg</w:t>
      </w:r>
      <w:r w:rsidRPr="00183B5F">
        <w:rPr>
          <w:szCs w:val="22"/>
        </w:rPr>
        <w:noBreakHyphen/>
        <w:t>tól 10 mg</w:t>
      </w:r>
      <w:r w:rsidR="00127A0B" w:rsidRPr="00183B5F">
        <w:rPr>
          <w:szCs w:val="22"/>
        </w:rPr>
        <w:t>/ttkg</w:t>
      </w:r>
      <w:r w:rsidRPr="00183B5F">
        <w:rPr>
          <w:szCs w:val="22"/>
        </w:rPr>
        <w:noBreakHyphen/>
        <w:t>ig terjedő adag egyszeri intravénás beadását követően a szérumkoncentráció az adaggal részarányos volt. 0,5 mg</w:t>
      </w:r>
      <w:r w:rsidR="00127A0B" w:rsidRPr="00183B5F">
        <w:rPr>
          <w:szCs w:val="22"/>
        </w:rPr>
        <w:t>/ttkg</w:t>
      </w:r>
      <w:r w:rsidRPr="00183B5F">
        <w:rPr>
          <w:szCs w:val="22"/>
        </w:rPr>
        <w:noBreakHyphen/>
        <w:t>os adag (~40 mg) beadását követően, a clearence 11 és 15 ml/óra között, az eloszlási térfogat (V</w:t>
      </w:r>
      <w:r w:rsidRPr="00183B5F">
        <w:rPr>
          <w:szCs w:val="22"/>
          <w:vertAlign w:val="subscript"/>
        </w:rPr>
        <w:t>ss</w:t>
      </w:r>
      <w:r w:rsidRPr="00183B5F">
        <w:rPr>
          <w:szCs w:val="22"/>
        </w:rPr>
        <w:t>) 5</w:t>
      </w:r>
      <w:r w:rsidRPr="00183B5F">
        <w:rPr>
          <w:szCs w:val="22"/>
        </w:rPr>
        <w:noBreakHyphen/>
        <w:t xml:space="preserve">6 liter között változott, és az átlagos </w:t>
      </w:r>
      <w:r w:rsidR="003C3536" w:rsidRPr="00183B5F">
        <w:rPr>
          <w:szCs w:val="22"/>
        </w:rPr>
        <w:t>terminális felezési idő</w:t>
      </w:r>
      <w:r w:rsidRPr="00183B5F">
        <w:rPr>
          <w:szCs w:val="22"/>
        </w:rPr>
        <w:t xml:space="preserve"> megközelítőleg két hét volt. Az adalimumab synovialis folyadékban mérhető koncentrációja néhány rheumatoid arthritises beteg vizsgálata alapján, a szérumkoncentráció 31</w:t>
      </w:r>
      <w:r w:rsidRPr="00183B5F">
        <w:rPr>
          <w:szCs w:val="22"/>
        </w:rPr>
        <w:noBreakHyphen/>
        <w:t>96%</w:t>
      </w:r>
      <w:r w:rsidRPr="00183B5F">
        <w:rPr>
          <w:szCs w:val="22"/>
        </w:rPr>
        <w:noBreakHyphen/>
        <w:t>a volt.</w:t>
      </w:r>
    </w:p>
    <w:p w14:paraId="3023FA47" w14:textId="77777777" w:rsidR="00D0403E" w:rsidRPr="00183B5F" w:rsidRDefault="00D0403E" w:rsidP="004062FE">
      <w:pPr>
        <w:spacing w:line="240" w:lineRule="auto"/>
        <w:rPr>
          <w:szCs w:val="22"/>
        </w:rPr>
      </w:pPr>
    </w:p>
    <w:p w14:paraId="6F454F08" w14:textId="77777777" w:rsidR="00D0403E" w:rsidRPr="00183B5F" w:rsidRDefault="00943743" w:rsidP="004062FE">
      <w:pPr>
        <w:spacing w:line="240" w:lineRule="auto"/>
        <w:rPr>
          <w:szCs w:val="22"/>
        </w:rPr>
      </w:pPr>
      <w:r w:rsidRPr="00183B5F">
        <w:rPr>
          <w:szCs w:val="22"/>
        </w:rPr>
        <w:t>Felnőtt rheumatoid arthritises (RA), metotrexáttal nem kezelt betegeknek minden második héten subcutan beadott 40 mg adalimumab után az átlagos legalacsonyabb dinamikus egyensúlyi állapotban mért koncentráció megközelítőleg 5 </w:t>
      </w:r>
      <w:r w:rsidR="00CB73C8" w:rsidRPr="00183B5F">
        <w:rPr>
          <w:szCs w:val="22"/>
        </w:rPr>
        <w:t>mikrogramm</w:t>
      </w:r>
      <w:r w:rsidRPr="00183B5F">
        <w:rPr>
          <w:szCs w:val="22"/>
        </w:rPr>
        <w:t>/ml volt, míg metotrexáttal együtt alkalmazva ez az érték 8</w:t>
      </w:r>
      <w:r w:rsidRPr="00183B5F">
        <w:rPr>
          <w:szCs w:val="22"/>
        </w:rPr>
        <w:noBreakHyphen/>
        <w:t>9 </w:t>
      </w:r>
      <w:r w:rsidR="00CB73C8" w:rsidRPr="00183B5F">
        <w:rPr>
          <w:szCs w:val="22"/>
        </w:rPr>
        <w:t>mikrogramm</w:t>
      </w:r>
      <w:r w:rsidRPr="00183B5F">
        <w:rPr>
          <w:szCs w:val="22"/>
        </w:rPr>
        <w:t xml:space="preserve">/ml volt. A adalimumab dinamikus egyensúlyi állapotban mért </w:t>
      </w:r>
      <w:r w:rsidR="003C3536" w:rsidRPr="00183B5F">
        <w:rPr>
          <w:szCs w:val="22"/>
        </w:rPr>
        <w:t xml:space="preserve">minimális </w:t>
      </w:r>
      <w:r w:rsidRPr="00183B5F">
        <w:rPr>
          <w:szCs w:val="22"/>
        </w:rPr>
        <w:t>szérumkoncentrációja csaknem részarányosan nőtt kéthetenként, illetve hetenként subcutan adott 20, 40 illetve 80 mg dózis adagolásával.</w:t>
      </w:r>
    </w:p>
    <w:p w14:paraId="50F5CC8F" w14:textId="77777777" w:rsidR="00D0403E" w:rsidRPr="00183B5F" w:rsidRDefault="00D0403E" w:rsidP="004062FE">
      <w:pPr>
        <w:spacing w:line="240" w:lineRule="auto"/>
        <w:rPr>
          <w:szCs w:val="22"/>
        </w:rPr>
      </w:pPr>
    </w:p>
    <w:p w14:paraId="00B55E19" w14:textId="77777777" w:rsidR="00D0403E" w:rsidRPr="00183B5F" w:rsidRDefault="00943743" w:rsidP="004062FE">
      <w:pPr>
        <w:spacing w:line="240" w:lineRule="auto"/>
        <w:rPr>
          <w:szCs w:val="22"/>
        </w:rPr>
      </w:pPr>
      <w:r w:rsidRPr="00183B5F">
        <w:rPr>
          <w:szCs w:val="22"/>
        </w:rPr>
        <w:t>A kéthetente 24 mg/m</w:t>
      </w:r>
      <w:r w:rsidRPr="00183B5F">
        <w:rPr>
          <w:szCs w:val="22"/>
          <w:vertAlign w:val="superscript"/>
        </w:rPr>
        <w:t>2</w:t>
      </w:r>
      <w:r w:rsidRPr="00183B5F">
        <w:rPr>
          <w:szCs w:val="22"/>
        </w:rPr>
        <w:t xml:space="preserve"> (legfeljebb 40 mg) dózis subcutan alkalmazását követően a polyarticularis juvenilis idiopathiás arthritises (JIA) betegeknél, akiknek életkora 4 – 17 év volt, az átlagos legalacsonyabb dinamikus egyensúlyi állapotú (a 20.</w:t>
      </w:r>
      <w:r w:rsidRPr="00183B5F">
        <w:rPr>
          <w:szCs w:val="22"/>
        </w:rPr>
        <w:noBreakHyphen/>
        <w:t>tól a 48. hétig mért értékek) szérum</w:t>
      </w:r>
      <w:r w:rsidR="00A033CB" w:rsidRPr="00183B5F">
        <w:rPr>
          <w:szCs w:val="22"/>
        </w:rPr>
        <w:t>-</w:t>
      </w:r>
      <w:r w:rsidRPr="00183B5F">
        <w:rPr>
          <w:szCs w:val="22"/>
        </w:rPr>
        <w:t>adalimumab</w:t>
      </w:r>
      <w:r w:rsidR="00A033CB" w:rsidRPr="00183B5F">
        <w:rPr>
          <w:szCs w:val="22"/>
        </w:rPr>
        <w:t>-</w:t>
      </w:r>
      <w:r w:rsidRPr="00183B5F">
        <w:rPr>
          <w:szCs w:val="22"/>
        </w:rPr>
        <w:t>koncentráció értéke 5,6 ± 5,6 </w:t>
      </w:r>
      <w:r w:rsidR="00A033CB" w:rsidRPr="00183B5F">
        <w:rPr>
          <w:szCs w:val="22"/>
        </w:rPr>
        <w:t>mikrogramm</w:t>
      </w:r>
      <w:r w:rsidRPr="00183B5F">
        <w:rPr>
          <w:szCs w:val="22"/>
        </w:rPr>
        <w:t>/ml (102% CV) volt, ha az adalimumabot együttadott metotrexát nélkül alkalmazták, míg 10,9 ± 5,2 </w:t>
      </w:r>
      <w:r w:rsidR="00A033CB" w:rsidRPr="00183B5F">
        <w:rPr>
          <w:szCs w:val="22"/>
        </w:rPr>
        <w:t>mikrogramm</w:t>
      </w:r>
      <w:r w:rsidRPr="00183B5F">
        <w:rPr>
          <w:szCs w:val="22"/>
        </w:rPr>
        <w:t>/ml (47,7% CV) a kiegészítő metotrexát</w:t>
      </w:r>
      <w:r w:rsidRPr="00183B5F">
        <w:rPr>
          <w:szCs w:val="22"/>
        </w:rPr>
        <w:noBreakHyphen/>
        <w:t>kezelés esetén.</w:t>
      </w:r>
    </w:p>
    <w:p w14:paraId="48E797E2" w14:textId="77777777" w:rsidR="00D0403E" w:rsidRPr="00183B5F" w:rsidRDefault="00D0403E" w:rsidP="004062FE">
      <w:pPr>
        <w:spacing w:line="240" w:lineRule="auto"/>
        <w:rPr>
          <w:szCs w:val="22"/>
        </w:rPr>
      </w:pPr>
    </w:p>
    <w:p w14:paraId="77BA98C8" w14:textId="77777777" w:rsidR="00D0403E" w:rsidRPr="00183B5F" w:rsidRDefault="00943743" w:rsidP="004062FE">
      <w:pPr>
        <w:spacing w:line="240" w:lineRule="auto"/>
        <w:rPr>
          <w:szCs w:val="22"/>
        </w:rPr>
      </w:pPr>
      <w:r w:rsidRPr="00183B5F">
        <w:rPr>
          <w:szCs w:val="22"/>
        </w:rPr>
        <w:t>Azoknál a polyarticularis JIA</w:t>
      </w:r>
      <w:r w:rsidRPr="00183B5F">
        <w:rPr>
          <w:szCs w:val="22"/>
        </w:rPr>
        <w:noBreakHyphen/>
        <w:t>ban szenvedő betegeknél, akiknek életkora 2 </w:t>
      </w:r>
      <w:r w:rsidRPr="00183B5F">
        <w:rPr>
          <w:szCs w:val="22"/>
        </w:rPr>
        <w:noBreakHyphen/>
        <w:t> &lt;4 vagy 4 év és a</w:t>
      </w:r>
      <w:r w:rsidR="002C1F5C" w:rsidRPr="00183B5F">
        <w:rPr>
          <w:szCs w:val="22"/>
        </w:rPr>
        <w:t xml:space="preserve"> </w:t>
      </w:r>
      <w:r w:rsidRPr="00183B5F">
        <w:rPr>
          <w:szCs w:val="22"/>
        </w:rPr>
        <w:t>feletti, testtömege &lt;15 kg volt és 24 mg/m</w:t>
      </w:r>
      <w:r w:rsidRPr="00183B5F">
        <w:rPr>
          <w:szCs w:val="22"/>
          <w:vertAlign w:val="superscript"/>
        </w:rPr>
        <w:t>2</w:t>
      </w:r>
      <w:r w:rsidRPr="00183B5F">
        <w:rPr>
          <w:szCs w:val="22"/>
        </w:rPr>
        <w:t xml:space="preserve"> dózisú adalimumabot kaptak, a legalacsonyabb átlagos dinamikus egyensúlyi állapotban mért adalimumab</w:t>
      </w:r>
      <w:r w:rsidR="00A033CB" w:rsidRPr="00183B5F">
        <w:rPr>
          <w:szCs w:val="22"/>
        </w:rPr>
        <w:t>-</w:t>
      </w:r>
      <w:r w:rsidRPr="00183B5F">
        <w:rPr>
          <w:szCs w:val="22"/>
        </w:rPr>
        <w:t>koncentráció 6,0 ± 6,1 </w:t>
      </w:r>
      <w:r w:rsidR="00A033CB" w:rsidRPr="00183B5F">
        <w:rPr>
          <w:szCs w:val="22"/>
        </w:rPr>
        <w:t>mikrogramm</w:t>
      </w:r>
      <w:r w:rsidRPr="00183B5F">
        <w:rPr>
          <w:szCs w:val="22"/>
        </w:rPr>
        <w:t>/ml (101% CV) volt, ha az adalimumabot együttadott metotrexát nélkül alkalmazták és 7,9 ± 5,6 </w:t>
      </w:r>
      <w:r w:rsidR="00A033CB" w:rsidRPr="00183B5F">
        <w:rPr>
          <w:szCs w:val="22"/>
        </w:rPr>
        <w:t>mikrogramm</w:t>
      </w:r>
      <w:r w:rsidRPr="00183B5F">
        <w:rPr>
          <w:szCs w:val="22"/>
        </w:rPr>
        <w:t>/ml (71,2% CV) volt metotrexáttal kombinált terápia esetén.</w:t>
      </w:r>
    </w:p>
    <w:p w14:paraId="4C843A99" w14:textId="77777777" w:rsidR="00D0403E" w:rsidRPr="00183B5F" w:rsidRDefault="00D0403E" w:rsidP="004062FE">
      <w:pPr>
        <w:spacing w:line="240" w:lineRule="auto"/>
        <w:rPr>
          <w:szCs w:val="22"/>
        </w:rPr>
      </w:pPr>
    </w:p>
    <w:p w14:paraId="07C8E8DC" w14:textId="77777777" w:rsidR="00D0403E" w:rsidRPr="00183B5F" w:rsidRDefault="00943743" w:rsidP="004062FE">
      <w:pPr>
        <w:spacing w:line="240" w:lineRule="auto"/>
        <w:rPr>
          <w:szCs w:val="22"/>
        </w:rPr>
      </w:pPr>
      <w:r w:rsidRPr="00183B5F">
        <w:rPr>
          <w:szCs w:val="22"/>
        </w:rPr>
        <w:t>Azoknál a 6</w:t>
      </w:r>
      <w:r w:rsidRPr="00183B5F">
        <w:rPr>
          <w:szCs w:val="22"/>
        </w:rPr>
        <w:noBreakHyphen/>
        <w:t xml:space="preserve">17 éves, </w:t>
      </w:r>
      <w:r w:rsidR="00677908" w:rsidRPr="00183B5F">
        <w:rPr>
          <w:szCs w:val="22"/>
        </w:rPr>
        <w:t>enthesitis-asszociált</w:t>
      </w:r>
      <w:r w:rsidRPr="00183B5F">
        <w:rPr>
          <w:szCs w:val="22"/>
        </w:rPr>
        <w:t xml:space="preserve"> arthritisben szenvedő betegeknél, akik 24 mg/m</w:t>
      </w:r>
      <w:r w:rsidRPr="00183B5F">
        <w:rPr>
          <w:szCs w:val="22"/>
          <w:vertAlign w:val="superscript"/>
        </w:rPr>
        <w:t>2</w:t>
      </w:r>
      <w:r w:rsidRPr="00183B5F">
        <w:rPr>
          <w:szCs w:val="22"/>
        </w:rPr>
        <w:t xml:space="preserve"> (maximum 40 mg) dózisú adalimumabot kaptak subcutan minden második héten, a legalacsonyabb átlagos dinamikus egyensúlyi állapotban mért adalimumab</w:t>
      </w:r>
      <w:r w:rsidR="00A033CB" w:rsidRPr="00183B5F">
        <w:rPr>
          <w:szCs w:val="22"/>
        </w:rPr>
        <w:t>-</w:t>
      </w:r>
      <w:r w:rsidRPr="00183B5F">
        <w:rPr>
          <w:szCs w:val="22"/>
        </w:rPr>
        <w:t>koncentráció (a 24. héten mérve) 8,8 ± 6,6 </w:t>
      </w:r>
      <w:r w:rsidR="00A033CB" w:rsidRPr="00183B5F">
        <w:rPr>
          <w:szCs w:val="22"/>
        </w:rPr>
        <w:t>mikrogramm</w:t>
      </w:r>
      <w:r w:rsidRPr="00183B5F">
        <w:rPr>
          <w:szCs w:val="22"/>
        </w:rPr>
        <w:t>/ml volt, ha az adalimumabot együttadott metotrexát nélkül alkalmazták és 11,8 ± 4,3 </w:t>
      </w:r>
      <w:r w:rsidR="00A033CB" w:rsidRPr="00183B5F">
        <w:rPr>
          <w:szCs w:val="22"/>
        </w:rPr>
        <w:t>mikrogramm</w:t>
      </w:r>
      <w:r w:rsidRPr="00183B5F">
        <w:rPr>
          <w:szCs w:val="22"/>
        </w:rPr>
        <w:t>/ml volt metotrexáttal kombinált terápia esetén.</w:t>
      </w:r>
    </w:p>
    <w:p w14:paraId="4199FB44" w14:textId="77777777" w:rsidR="006C0A64" w:rsidRPr="00183B5F" w:rsidRDefault="006C0A64" w:rsidP="006C0A64">
      <w:pPr>
        <w:spacing w:line="240" w:lineRule="auto"/>
        <w:rPr>
          <w:szCs w:val="22"/>
        </w:rPr>
      </w:pPr>
    </w:p>
    <w:p w14:paraId="4B493426" w14:textId="77777777" w:rsidR="006C0A64" w:rsidRPr="00183B5F" w:rsidRDefault="00943743" w:rsidP="006C0A64">
      <w:pPr>
        <w:spacing w:line="240" w:lineRule="auto"/>
        <w:rPr>
          <w:szCs w:val="22"/>
        </w:rPr>
      </w:pPr>
      <w:r w:rsidRPr="00183B5F">
        <w:rPr>
          <w:szCs w:val="22"/>
        </w:rPr>
        <w:t xml:space="preserve">A kéthetente 40 mg adalimumab subcutan alkalmazását követően </w:t>
      </w:r>
      <w:r w:rsidR="001E62B8" w:rsidRPr="00183B5F">
        <w:rPr>
          <w:szCs w:val="22"/>
        </w:rPr>
        <w:t xml:space="preserve">a </w:t>
      </w:r>
      <w:r w:rsidRPr="00183B5F">
        <w:rPr>
          <w:rFonts w:eastAsia="SimSun"/>
          <w:szCs w:val="22"/>
          <w:lang w:eastAsia="zh-CN"/>
        </w:rPr>
        <w:t>röntgeneltéréssel nem járó</w:t>
      </w:r>
      <w:r w:rsidRPr="00183B5F">
        <w:rPr>
          <w:szCs w:val="22"/>
        </w:rPr>
        <w:t xml:space="preserve"> axiális spondyloarthritisben szenvedő </w:t>
      </w:r>
      <w:r w:rsidR="001E62B8" w:rsidRPr="00183B5F">
        <w:rPr>
          <w:szCs w:val="22"/>
        </w:rPr>
        <w:t xml:space="preserve">felnőtt </w:t>
      </w:r>
      <w:r w:rsidRPr="00183B5F">
        <w:rPr>
          <w:szCs w:val="22"/>
        </w:rPr>
        <w:t xml:space="preserve">betegeknél az átlagos (± SD) dinamikus egyensúlyi állapotban mért </w:t>
      </w:r>
      <w:r w:rsidR="003C3536" w:rsidRPr="00183B5F">
        <w:rPr>
          <w:szCs w:val="22"/>
        </w:rPr>
        <w:t xml:space="preserve">minimális </w:t>
      </w:r>
      <w:r w:rsidRPr="00183B5F">
        <w:rPr>
          <w:szCs w:val="22"/>
        </w:rPr>
        <w:t>adalimumab</w:t>
      </w:r>
      <w:r w:rsidR="00A033CB" w:rsidRPr="00183B5F">
        <w:rPr>
          <w:szCs w:val="22"/>
        </w:rPr>
        <w:t>-</w:t>
      </w:r>
      <w:r w:rsidRPr="00183B5F">
        <w:rPr>
          <w:szCs w:val="22"/>
        </w:rPr>
        <w:t xml:space="preserve">koncentráció </w:t>
      </w:r>
      <w:r w:rsidRPr="00183B5F">
        <w:t>8,0 ± 4,6 </w:t>
      </w:r>
      <w:r w:rsidRPr="00183B5F">
        <w:rPr>
          <w:rFonts w:ascii="Symbol" w:hAnsi="Symbol"/>
        </w:rPr>
        <w:sym w:font="Symbol" w:char="F06D"/>
      </w:r>
      <w:r w:rsidRPr="00183B5F">
        <w:t>g/ml volt a 68. héten.</w:t>
      </w:r>
    </w:p>
    <w:p w14:paraId="5262647B" w14:textId="77777777" w:rsidR="006C0A64" w:rsidRPr="00183B5F" w:rsidRDefault="006C0A64" w:rsidP="004062FE">
      <w:pPr>
        <w:spacing w:line="240" w:lineRule="auto"/>
        <w:rPr>
          <w:szCs w:val="22"/>
        </w:rPr>
      </w:pPr>
    </w:p>
    <w:p w14:paraId="23B591E3" w14:textId="77777777" w:rsidR="00D0403E" w:rsidRPr="00183B5F" w:rsidRDefault="00943743" w:rsidP="004062FE">
      <w:pPr>
        <w:spacing w:line="240" w:lineRule="auto"/>
        <w:rPr>
          <w:szCs w:val="22"/>
        </w:rPr>
      </w:pPr>
      <w:r w:rsidRPr="00183B5F">
        <w:rPr>
          <w:szCs w:val="22"/>
        </w:rPr>
        <w:t>Psoriasisos felnőtt betegek esetében a legalacsonyabb egyensúlyi plazmakoncentráció átlagértéke 5 </w:t>
      </w:r>
      <w:r w:rsidR="00A033CB" w:rsidRPr="00183B5F">
        <w:rPr>
          <w:szCs w:val="22"/>
        </w:rPr>
        <w:t>mikrogramm</w:t>
      </w:r>
      <w:r w:rsidRPr="00183B5F">
        <w:rPr>
          <w:szCs w:val="22"/>
        </w:rPr>
        <w:t>/ml volt a kéthetente 40 mg adalimumabbal végzett monoterápiás kezelés esetén.</w:t>
      </w:r>
    </w:p>
    <w:p w14:paraId="07AA64B8" w14:textId="77777777" w:rsidR="00D0403E" w:rsidRPr="00183B5F" w:rsidRDefault="00D0403E" w:rsidP="004062FE">
      <w:pPr>
        <w:spacing w:line="240" w:lineRule="auto"/>
        <w:rPr>
          <w:szCs w:val="22"/>
        </w:rPr>
      </w:pPr>
    </w:p>
    <w:p w14:paraId="2EE6A39D" w14:textId="77777777" w:rsidR="00D0403E" w:rsidRPr="00183B5F" w:rsidRDefault="00943743">
      <w:pPr>
        <w:pStyle w:val="EMEANormal"/>
        <w:rPr>
          <w:szCs w:val="22"/>
          <w:lang w:val="hu-HU"/>
        </w:rPr>
      </w:pPr>
      <w:r w:rsidRPr="00183B5F">
        <w:rPr>
          <w:szCs w:val="22"/>
          <w:lang w:val="hu-HU"/>
        </w:rPr>
        <w:t>Azoknál a krónikus plakkos psoriasisban szenvedő gyermekeknél, akik 0,8 mg/</w:t>
      </w:r>
      <w:r w:rsidR="00127A0B" w:rsidRPr="00183B5F">
        <w:rPr>
          <w:szCs w:val="22"/>
          <w:lang w:val="hu-HU"/>
        </w:rPr>
        <w:t>tt</w:t>
      </w:r>
      <w:r w:rsidRPr="00183B5F">
        <w:rPr>
          <w:szCs w:val="22"/>
          <w:lang w:val="hu-HU"/>
        </w:rPr>
        <w:t xml:space="preserve">kg (legfeljebb 40 mg) dózisú adalimumabot kaptak subcutan minden második héten, az átlagos (± SD), dinamikus egyensúlyi állapotban mért </w:t>
      </w:r>
      <w:r w:rsidR="003C3536" w:rsidRPr="00183B5F">
        <w:rPr>
          <w:szCs w:val="22"/>
          <w:lang w:val="hu-HU"/>
        </w:rPr>
        <w:t xml:space="preserve">minimális </w:t>
      </w:r>
      <w:r w:rsidRPr="00183B5F">
        <w:rPr>
          <w:szCs w:val="22"/>
          <w:lang w:val="hu-HU"/>
        </w:rPr>
        <w:t>adalimumab</w:t>
      </w:r>
      <w:r w:rsidR="00A033CB" w:rsidRPr="00183B5F">
        <w:rPr>
          <w:szCs w:val="22"/>
          <w:lang w:val="hu-HU"/>
        </w:rPr>
        <w:t>-</w:t>
      </w:r>
      <w:r w:rsidRPr="00183B5F">
        <w:rPr>
          <w:szCs w:val="22"/>
          <w:lang w:val="hu-HU"/>
        </w:rPr>
        <w:t>koncentráció körülbelül 7,4 ± 5,8 </w:t>
      </w:r>
      <w:r w:rsidR="00A033CB" w:rsidRPr="00183B5F">
        <w:rPr>
          <w:szCs w:val="22"/>
          <w:lang w:val="hu-HU"/>
        </w:rPr>
        <w:t>mikrogramm</w:t>
      </w:r>
      <w:r w:rsidRPr="00183B5F">
        <w:rPr>
          <w:szCs w:val="22"/>
          <w:lang w:val="hu-HU"/>
        </w:rPr>
        <w:t>/ml (79% CV) volt.</w:t>
      </w:r>
    </w:p>
    <w:p w14:paraId="611F7D6C" w14:textId="77777777" w:rsidR="00547F2C" w:rsidRPr="00183B5F" w:rsidRDefault="00547F2C" w:rsidP="004062FE">
      <w:pPr>
        <w:spacing w:line="240" w:lineRule="auto"/>
        <w:rPr>
          <w:szCs w:val="22"/>
        </w:rPr>
      </w:pPr>
    </w:p>
    <w:p w14:paraId="101B8BB4" w14:textId="77777777" w:rsidR="00320EF8" w:rsidRPr="00183B5F" w:rsidRDefault="00943743" w:rsidP="004062FE">
      <w:pPr>
        <w:spacing w:line="240" w:lineRule="auto"/>
        <w:rPr>
          <w:szCs w:val="22"/>
        </w:rPr>
      </w:pPr>
      <w:r w:rsidRPr="00183B5F">
        <w:rPr>
          <w:szCs w:val="22"/>
        </w:rPr>
        <w:t xml:space="preserve">A hidradenitis suppurativában szenvedő </w:t>
      </w:r>
      <w:r w:rsidR="0073500E" w:rsidRPr="00183B5F">
        <w:rPr>
          <w:szCs w:val="22"/>
        </w:rPr>
        <w:t xml:space="preserve">felnőtt </w:t>
      </w:r>
      <w:r w:rsidRPr="00183B5F">
        <w:rPr>
          <w:szCs w:val="22"/>
        </w:rPr>
        <w:t>betegeknél a Humira 160 mg</w:t>
      </w:r>
      <w:r w:rsidR="00E5381A" w:rsidRPr="00183B5F">
        <w:rPr>
          <w:szCs w:val="22"/>
        </w:rPr>
        <w:noBreakHyphen/>
      </w:r>
      <w:r w:rsidRPr="00183B5F">
        <w:rPr>
          <w:szCs w:val="22"/>
        </w:rPr>
        <w:t>os adagja a 0. héten, majd 80 mg a 2. héten kb. 7</w:t>
      </w:r>
      <w:r w:rsidRPr="00183B5F">
        <w:rPr>
          <w:szCs w:val="22"/>
        </w:rPr>
        <w:noBreakHyphen/>
        <w:t>8 </w:t>
      </w:r>
      <w:r w:rsidR="00A033CB" w:rsidRPr="00183B5F">
        <w:rPr>
          <w:szCs w:val="22"/>
        </w:rPr>
        <w:t>mikrogramm</w:t>
      </w:r>
      <w:r w:rsidRPr="00183B5F">
        <w:rPr>
          <w:szCs w:val="22"/>
        </w:rPr>
        <w:t>/ml-es minimális adalimumab</w:t>
      </w:r>
      <w:r w:rsidR="00FD08D3" w:rsidRPr="00183B5F">
        <w:rPr>
          <w:szCs w:val="22"/>
        </w:rPr>
        <w:t>-</w:t>
      </w:r>
      <w:r w:rsidRPr="00183B5F">
        <w:rPr>
          <w:szCs w:val="22"/>
        </w:rPr>
        <w:t>szérumszintet eredményezett a 2. és 4 héten. Megközelítőleg 8</w:t>
      </w:r>
      <w:r w:rsidRPr="00183B5F">
        <w:rPr>
          <w:szCs w:val="22"/>
        </w:rPr>
        <w:noBreakHyphen/>
        <w:t>10 </w:t>
      </w:r>
      <w:r w:rsidR="00A033CB" w:rsidRPr="00183B5F">
        <w:rPr>
          <w:szCs w:val="22"/>
        </w:rPr>
        <w:t>mikrogramm</w:t>
      </w:r>
      <w:r w:rsidRPr="00183B5F">
        <w:rPr>
          <w:szCs w:val="22"/>
        </w:rPr>
        <w:t>/ml</w:t>
      </w:r>
      <w:r w:rsidRPr="00183B5F">
        <w:rPr>
          <w:szCs w:val="22"/>
        </w:rPr>
        <w:noBreakHyphen/>
        <w:t>es átlagos dinamikus egyensúlyi állapotú minimális szérumszintet mértek a 12. héttől a 36. hétig, a hetente 40 mg adalimumab</w:t>
      </w:r>
      <w:r w:rsidR="006B34D6" w:rsidRPr="00183B5F">
        <w:rPr>
          <w:szCs w:val="22"/>
        </w:rPr>
        <w:t>-</w:t>
      </w:r>
      <w:r w:rsidRPr="00183B5F">
        <w:rPr>
          <w:szCs w:val="22"/>
        </w:rPr>
        <w:t>kezelés alatt.</w:t>
      </w:r>
    </w:p>
    <w:p w14:paraId="0BCB2859" w14:textId="77777777" w:rsidR="00D0403E" w:rsidRPr="00183B5F" w:rsidRDefault="00D0403E" w:rsidP="004062FE">
      <w:pPr>
        <w:spacing w:line="240" w:lineRule="auto"/>
        <w:rPr>
          <w:szCs w:val="22"/>
        </w:rPr>
      </w:pPr>
    </w:p>
    <w:p w14:paraId="0BD79B67" w14:textId="77777777" w:rsidR="0073500E" w:rsidRPr="00183B5F" w:rsidRDefault="00943743">
      <w:pPr>
        <w:pStyle w:val="EMEANormal"/>
        <w:rPr>
          <w:szCs w:val="22"/>
          <w:lang w:val="hu-HU"/>
        </w:rPr>
      </w:pPr>
      <w:r w:rsidRPr="00183B5F">
        <w:rPr>
          <w:szCs w:val="22"/>
          <w:lang w:val="hu-HU"/>
        </w:rPr>
        <w:t xml:space="preserve">Az adalimumab expozícióját HS-ben szenvedő serdülőknél populációs farmakokinetikai modellezéssel és szimulációval határozták meg, egyéb keresztindikációs gyermekgyógyászati betegek (gyermekkori psoriasis, juvenilis idiopathiás arthritis, gyermekkori Crohn-betegség és </w:t>
      </w:r>
      <w:r w:rsidR="00677908" w:rsidRPr="00183B5F">
        <w:rPr>
          <w:szCs w:val="22"/>
          <w:lang w:val="hu-HU"/>
        </w:rPr>
        <w:t>enthesitis-asszociált</w:t>
      </w:r>
      <w:r w:rsidRPr="00183B5F">
        <w:rPr>
          <w:szCs w:val="22"/>
          <w:lang w:val="hu-HU"/>
        </w:rPr>
        <w:t xml:space="preserve"> arthritis) farmakokinetikája alapján. HS-ben szenvedő serdülőknél az ajánlott adag 40 mg minden második héten. Mivel az adalimumab expozícióját a testméret befolyásolhatja, a nagyobb testtömegű serdülők</w:t>
      </w:r>
      <w:r w:rsidR="003265C1" w:rsidRPr="00183B5F">
        <w:rPr>
          <w:szCs w:val="22"/>
          <w:lang w:val="hu-HU"/>
        </w:rPr>
        <w:t>nél</w:t>
      </w:r>
      <w:r w:rsidRPr="00183B5F">
        <w:rPr>
          <w:szCs w:val="22"/>
          <w:lang w:val="hu-HU"/>
        </w:rPr>
        <w:t xml:space="preserve">, vagy </w:t>
      </w:r>
      <w:r w:rsidR="003265C1" w:rsidRPr="00183B5F">
        <w:rPr>
          <w:szCs w:val="22"/>
          <w:lang w:val="hu-HU"/>
        </w:rPr>
        <w:t xml:space="preserve">azoknál, </w:t>
      </w:r>
      <w:r w:rsidRPr="00183B5F">
        <w:rPr>
          <w:szCs w:val="22"/>
          <w:lang w:val="hu-HU"/>
        </w:rPr>
        <w:t>akik nem megfelelően reagáltak a kezelésre, előnyös lehet, a dózis heti 40 mg</w:t>
      </w:r>
      <w:r w:rsidR="00E5381A" w:rsidRPr="00183B5F">
        <w:rPr>
          <w:szCs w:val="22"/>
          <w:lang w:val="hu-HU"/>
        </w:rPr>
        <w:noBreakHyphen/>
      </w:r>
      <w:r w:rsidRPr="00183B5F">
        <w:rPr>
          <w:szCs w:val="22"/>
          <w:lang w:val="hu-HU"/>
        </w:rPr>
        <w:t>os, felnőtt adagra való növelése.</w:t>
      </w:r>
    </w:p>
    <w:p w14:paraId="69717351" w14:textId="77777777" w:rsidR="0073500E" w:rsidRPr="00183B5F" w:rsidRDefault="0073500E" w:rsidP="004062FE">
      <w:pPr>
        <w:spacing w:line="240" w:lineRule="auto"/>
        <w:rPr>
          <w:szCs w:val="22"/>
        </w:rPr>
      </w:pPr>
    </w:p>
    <w:p w14:paraId="4061CD68" w14:textId="77777777" w:rsidR="00D0403E" w:rsidRPr="00183B5F" w:rsidRDefault="00943743" w:rsidP="004062FE">
      <w:pPr>
        <w:spacing w:line="240" w:lineRule="auto"/>
        <w:rPr>
          <w:szCs w:val="22"/>
        </w:rPr>
      </w:pPr>
      <w:r w:rsidRPr="00183B5F">
        <w:rPr>
          <w:szCs w:val="22"/>
        </w:rPr>
        <w:t>Crohn</w:t>
      </w:r>
      <w:r w:rsidRPr="00183B5F">
        <w:rPr>
          <w:szCs w:val="22"/>
        </w:rPr>
        <w:noBreakHyphen/>
        <w:t>betegségben szenvedő betegeknél a Humira 80 mg</w:t>
      </w:r>
      <w:r w:rsidRPr="00183B5F">
        <w:rPr>
          <w:szCs w:val="22"/>
        </w:rPr>
        <w:noBreakHyphen/>
        <w:t>os telítő adagja a 0. héten, majd 40 mg a 2. héten kb. 5,5 </w:t>
      </w:r>
      <w:r w:rsidR="00A033CB" w:rsidRPr="00183B5F">
        <w:rPr>
          <w:szCs w:val="22"/>
        </w:rPr>
        <w:t>mikrogramm</w:t>
      </w:r>
      <w:r w:rsidRPr="00183B5F">
        <w:rPr>
          <w:szCs w:val="22"/>
        </w:rPr>
        <w:t>/ml-es minimális adalimumab</w:t>
      </w:r>
      <w:r w:rsidR="00FD08D3" w:rsidRPr="00183B5F">
        <w:rPr>
          <w:szCs w:val="22"/>
        </w:rPr>
        <w:t>-</w:t>
      </w:r>
      <w:r w:rsidRPr="00183B5F">
        <w:rPr>
          <w:szCs w:val="22"/>
        </w:rPr>
        <w:t>szérumszintet eredményez az indukció időszakában. A 0. héten 160 mg</w:t>
      </w:r>
      <w:r w:rsidR="00E5381A" w:rsidRPr="00183B5F">
        <w:rPr>
          <w:szCs w:val="22"/>
        </w:rPr>
        <w:noBreakHyphen/>
      </w:r>
      <w:r w:rsidRPr="00183B5F">
        <w:rPr>
          <w:szCs w:val="22"/>
        </w:rPr>
        <w:t>os telítő dózist, majd a 2. héten 80 mg Humira</w:t>
      </w:r>
      <w:r w:rsidRPr="00183B5F">
        <w:rPr>
          <w:szCs w:val="22"/>
        </w:rPr>
        <w:noBreakHyphen/>
        <w:t>t adva az adalimumab minimális szérumszintje kb. 12 </w:t>
      </w:r>
      <w:r w:rsidR="00A033CB" w:rsidRPr="00183B5F">
        <w:rPr>
          <w:szCs w:val="22"/>
        </w:rPr>
        <w:t>mikrogramm</w:t>
      </w:r>
      <w:r w:rsidRPr="00183B5F">
        <w:rPr>
          <w:szCs w:val="22"/>
        </w:rPr>
        <w:t>/ml-ot ér el az indukció időszakában. Megközelítőleg 7 </w:t>
      </w:r>
      <w:r w:rsidR="00A033CB" w:rsidRPr="00183B5F">
        <w:rPr>
          <w:szCs w:val="22"/>
        </w:rPr>
        <w:t>mikrogramm</w:t>
      </w:r>
      <w:r w:rsidRPr="00183B5F">
        <w:rPr>
          <w:szCs w:val="22"/>
        </w:rPr>
        <w:t>/ml egyensúlyi minimális szérumszintet mértek olyan Crohn</w:t>
      </w:r>
      <w:r w:rsidRPr="00183B5F">
        <w:rPr>
          <w:szCs w:val="22"/>
        </w:rPr>
        <w:noBreakHyphen/>
        <w:t>betegségben szenvedő betegeknél, akik minden második héten 40 mg Hu</w:t>
      </w:r>
      <w:r w:rsidRPr="00183B5F">
        <w:rPr>
          <w:szCs w:val="22"/>
        </w:rPr>
        <w:t>mira</w:t>
      </w:r>
      <w:r w:rsidRPr="00183B5F">
        <w:rPr>
          <w:szCs w:val="22"/>
        </w:rPr>
        <w:noBreakHyphen/>
        <w:t>t kaptak fenntartó adagként.</w:t>
      </w:r>
    </w:p>
    <w:p w14:paraId="0311E69A" w14:textId="77777777" w:rsidR="008D3139" w:rsidRPr="00183B5F" w:rsidRDefault="008D3139" w:rsidP="004062FE">
      <w:pPr>
        <w:spacing w:line="240" w:lineRule="auto"/>
        <w:rPr>
          <w:szCs w:val="22"/>
        </w:rPr>
      </w:pPr>
    </w:p>
    <w:p w14:paraId="60C850EC" w14:textId="77777777" w:rsidR="00D0403E" w:rsidRPr="00183B5F" w:rsidRDefault="00943743">
      <w:pPr>
        <w:pStyle w:val="EMEANormal"/>
        <w:rPr>
          <w:szCs w:val="22"/>
          <w:lang w:val="hu-HU"/>
        </w:rPr>
      </w:pPr>
      <w:r w:rsidRPr="00183B5F">
        <w:rPr>
          <w:szCs w:val="22"/>
          <w:lang w:val="hu-HU"/>
        </w:rPr>
        <w:t>Köz</w:t>
      </w:r>
      <w:r w:rsidR="00F40C95" w:rsidRPr="00183B5F">
        <w:rPr>
          <w:szCs w:val="22"/>
          <w:lang w:val="hu-HU"/>
        </w:rPr>
        <w:t xml:space="preserve">epesen </w:t>
      </w:r>
      <w:r w:rsidRPr="00183B5F">
        <w:rPr>
          <w:szCs w:val="22"/>
          <w:lang w:val="hu-HU"/>
        </w:rPr>
        <w:t xml:space="preserve">súlyos-súlyos </w:t>
      </w:r>
      <w:r w:rsidR="00F40C95" w:rsidRPr="00183B5F">
        <w:rPr>
          <w:szCs w:val="22"/>
          <w:lang w:val="hu-HU"/>
        </w:rPr>
        <w:t xml:space="preserve">aktivitású </w:t>
      </w:r>
      <w:r w:rsidRPr="00183B5F">
        <w:rPr>
          <w:szCs w:val="22"/>
          <w:lang w:val="hu-HU"/>
        </w:rPr>
        <w:t>Crohn</w:t>
      </w:r>
      <w:r w:rsidRPr="00183B5F">
        <w:rPr>
          <w:szCs w:val="22"/>
          <w:lang w:val="hu-HU"/>
        </w:rPr>
        <w:noBreakHyphen/>
        <w:t xml:space="preserve">betegségben szenvedő </w:t>
      </w:r>
      <w:r w:rsidR="00CB73C8" w:rsidRPr="00183B5F">
        <w:rPr>
          <w:szCs w:val="22"/>
          <w:lang w:val="hu-HU"/>
        </w:rPr>
        <w:t>gyermekeknél és serdülőknél</w:t>
      </w:r>
      <w:r w:rsidRPr="00183B5F">
        <w:rPr>
          <w:szCs w:val="22"/>
          <w:lang w:val="hu-HU"/>
        </w:rPr>
        <w:t xml:space="preserve"> az adalimumab nyílt elrendezésben alkalmazott indukciós dózisa 160/80 mg, illetve 80/40 mg volt a 0. és a 2. héten, figyelembe véve a testtömegre meghatározott 40 kg-os határértéket. A 4. héten a betegeket 1:1 arányban Standard dózisú (40/20 mg minden második héten) vagy Alacsony dózisú (20/10 mg minden második héten) fenntartó kezelési csoportba randomizálták a testtömegük alapján. A 4. hétre elért átlag (±SD) maradék szérum</w:t>
      </w:r>
      <w:r w:rsidR="00CB73C8" w:rsidRPr="00183B5F">
        <w:rPr>
          <w:szCs w:val="22"/>
          <w:lang w:val="hu-HU"/>
        </w:rPr>
        <w:t>-</w:t>
      </w:r>
      <w:r w:rsidRPr="00183B5F">
        <w:rPr>
          <w:szCs w:val="22"/>
          <w:lang w:val="hu-HU"/>
        </w:rPr>
        <w:t>adalimumab-koncentráció 15,7±6,6 </w:t>
      </w:r>
      <w:r w:rsidR="00CB73C8" w:rsidRPr="00183B5F">
        <w:rPr>
          <w:szCs w:val="22"/>
          <w:lang w:val="hu-HU"/>
        </w:rPr>
        <w:t>mikrogramm</w:t>
      </w:r>
      <w:r w:rsidRPr="00183B5F">
        <w:rPr>
          <w:szCs w:val="22"/>
          <w:lang w:val="hu-HU"/>
        </w:rPr>
        <w:t>/ml volt a 40 kg-os, vagy annál nagyob</w:t>
      </w:r>
      <w:r w:rsidRPr="00183B5F">
        <w:rPr>
          <w:szCs w:val="22"/>
          <w:lang w:val="hu-HU"/>
        </w:rPr>
        <w:t>b testtömegű betegeknél (160/80 mg), míg a 40 kg-nál alacsonyabb testtömegű betegeknél (80/40 mg) ez az érték 10,6±6,1 </w:t>
      </w:r>
      <w:r w:rsidR="00CB73C8" w:rsidRPr="00183B5F">
        <w:rPr>
          <w:szCs w:val="22"/>
          <w:lang w:val="hu-HU"/>
        </w:rPr>
        <w:t>mikrogramm</w:t>
      </w:r>
      <w:r w:rsidRPr="00183B5F">
        <w:rPr>
          <w:szCs w:val="22"/>
          <w:lang w:val="hu-HU"/>
        </w:rPr>
        <w:t>/ml volt.</w:t>
      </w:r>
    </w:p>
    <w:p w14:paraId="7FD569AA" w14:textId="77777777" w:rsidR="00D0403E" w:rsidRPr="00183B5F" w:rsidRDefault="00D0403E">
      <w:pPr>
        <w:pStyle w:val="EMEANormal"/>
        <w:rPr>
          <w:szCs w:val="22"/>
          <w:lang w:val="hu-HU"/>
        </w:rPr>
      </w:pPr>
    </w:p>
    <w:p w14:paraId="3943A03C" w14:textId="77777777" w:rsidR="00D0403E" w:rsidRPr="00183B5F" w:rsidRDefault="00943743">
      <w:pPr>
        <w:pStyle w:val="EMEANormal"/>
        <w:rPr>
          <w:szCs w:val="22"/>
          <w:lang w:val="hu-HU"/>
        </w:rPr>
      </w:pPr>
      <w:r w:rsidRPr="00183B5F">
        <w:rPr>
          <w:szCs w:val="22"/>
          <w:lang w:val="hu-HU"/>
        </w:rPr>
        <w:t>Azoknál a betegeknél, akik a randomizált kezelésen maradtak, az 52. héten az átlagos (±SD)maradék szérum</w:t>
      </w:r>
      <w:r w:rsidR="00CB73C8" w:rsidRPr="00183B5F">
        <w:rPr>
          <w:szCs w:val="22"/>
          <w:lang w:val="hu-HU"/>
        </w:rPr>
        <w:t>-</w:t>
      </w:r>
      <w:r w:rsidRPr="00183B5F">
        <w:rPr>
          <w:szCs w:val="22"/>
          <w:lang w:val="hu-HU"/>
        </w:rPr>
        <w:t>adalimumab-koncentráció a Standard dózissal kezeltek csoportjában 9,5±5,6 </w:t>
      </w:r>
      <w:r w:rsidR="00CB73C8" w:rsidRPr="00183B5F">
        <w:rPr>
          <w:szCs w:val="22"/>
          <w:lang w:val="hu-HU"/>
        </w:rPr>
        <w:t>mikrogramm</w:t>
      </w:r>
      <w:r w:rsidRPr="00183B5F">
        <w:rPr>
          <w:szCs w:val="22"/>
          <w:lang w:val="hu-HU"/>
        </w:rPr>
        <w:t>/ml, míg az Alacsony dózissal kezelteknél 3,5±2,2 </w:t>
      </w:r>
      <w:r w:rsidR="00CB73C8" w:rsidRPr="00183B5F">
        <w:rPr>
          <w:szCs w:val="22"/>
          <w:lang w:val="hu-HU"/>
        </w:rPr>
        <w:t>mikrogramm</w:t>
      </w:r>
      <w:r w:rsidRPr="00183B5F">
        <w:rPr>
          <w:szCs w:val="22"/>
          <w:lang w:val="hu-HU"/>
        </w:rPr>
        <w:t>/ml volt. Az átlagos maradék koncentráció fennmaradt azoknál a betegeknél, akik kéthetenkénti adalimumab-kezelést kaptak az 52. hétig. Azoknál a betegeknél, akiknél a kezelés gyakoriságát kéthetenkéntiről heti egyszerire emelték, az átlagos (±SD) szérum</w:t>
      </w:r>
      <w:r w:rsidR="00CB73C8" w:rsidRPr="00183B5F">
        <w:rPr>
          <w:szCs w:val="22"/>
          <w:lang w:val="hu-HU"/>
        </w:rPr>
        <w:t>-</w:t>
      </w:r>
      <w:r w:rsidRPr="00183B5F">
        <w:rPr>
          <w:szCs w:val="22"/>
          <w:lang w:val="hu-HU"/>
        </w:rPr>
        <w:t>adalimumab-koncentráció az 52. héten 15,3±11,4 </w:t>
      </w:r>
      <w:r w:rsidR="00CB73C8" w:rsidRPr="00183B5F">
        <w:rPr>
          <w:szCs w:val="22"/>
          <w:lang w:val="hu-HU"/>
        </w:rPr>
        <w:t>mikrogramm</w:t>
      </w:r>
      <w:r w:rsidRPr="00183B5F">
        <w:rPr>
          <w:szCs w:val="22"/>
          <w:lang w:val="hu-HU"/>
        </w:rPr>
        <w:t>/ml (40/20 mg hetente), illetve 6,7±3,5 </w:t>
      </w:r>
      <w:r w:rsidR="00CB73C8" w:rsidRPr="00183B5F">
        <w:rPr>
          <w:szCs w:val="22"/>
          <w:lang w:val="hu-HU"/>
        </w:rPr>
        <w:t>mikrogramm</w:t>
      </w:r>
      <w:r w:rsidRPr="00183B5F">
        <w:rPr>
          <w:szCs w:val="22"/>
          <w:lang w:val="hu-HU"/>
        </w:rPr>
        <w:t>/ml (2</w:t>
      </w:r>
      <w:r w:rsidRPr="00183B5F">
        <w:rPr>
          <w:szCs w:val="22"/>
          <w:lang w:val="hu-HU"/>
        </w:rPr>
        <w:t>0/10 mg hetente) volt.</w:t>
      </w:r>
    </w:p>
    <w:p w14:paraId="7266F2D6" w14:textId="77777777" w:rsidR="00D0403E" w:rsidRPr="00183B5F" w:rsidRDefault="00D0403E" w:rsidP="004062FE">
      <w:pPr>
        <w:spacing w:line="240" w:lineRule="auto"/>
        <w:rPr>
          <w:szCs w:val="22"/>
        </w:rPr>
      </w:pPr>
    </w:p>
    <w:p w14:paraId="727F0229" w14:textId="77777777" w:rsidR="00D0403E" w:rsidRPr="00183B5F" w:rsidRDefault="00943743" w:rsidP="004062FE">
      <w:pPr>
        <w:spacing w:line="240" w:lineRule="auto"/>
        <w:rPr>
          <w:szCs w:val="22"/>
        </w:rPr>
      </w:pPr>
      <w:r w:rsidRPr="00183B5F">
        <w:rPr>
          <w:szCs w:val="22"/>
        </w:rPr>
        <w:t>A colitis ulcerosában szenvedő betegeknél a Humira 160 mg</w:t>
      </w:r>
      <w:r w:rsidR="00E5381A" w:rsidRPr="00183B5F">
        <w:rPr>
          <w:szCs w:val="22"/>
        </w:rPr>
        <w:noBreakHyphen/>
      </w:r>
      <w:r w:rsidRPr="00183B5F">
        <w:rPr>
          <w:szCs w:val="22"/>
        </w:rPr>
        <w:t>os telítő adagja a 0. héten, majd 80 mg a 2. héten kb. 12 </w:t>
      </w:r>
      <w:r w:rsidR="00A033CB" w:rsidRPr="00183B5F">
        <w:rPr>
          <w:szCs w:val="22"/>
        </w:rPr>
        <w:t>mikrogramm</w:t>
      </w:r>
      <w:r w:rsidRPr="00183B5F">
        <w:rPr>
          <w:szCs w:val="22"/>
        </w:rPr>
        <w:t>/ml-es minimális adalimumab</w:t>
      </w:r>
      <w:r w:rsidR="00FD08D3" w:rsidRPr="00183B5F">
        <w:rPr>
          <w:szCs w:val="22"/>
        </w:rPr>
        <w:t>-</w:t>
      </w:r>
      <w:r w:rsidRPr="00183B5F">
        <w:rPr>
          <w:szCs w:val="22"/>
        </w:rPr>
        <w:t>szérumszintet eredményez az indukció időszakában. Megközelítőleg 8 </w:t>
      </w:r>
      <w:r w:rsidR="00A033CB" w:rsidRPr="00183B5F">
        <w:rPr>
          <w:szCs w:val="22"/>
        </w:rPr>
        <w:t>mikrogramm</w:t>
      </w:r>
      <w:r w:rsidRPr="00183B5F">
        <w:rPr>
          <w:szCs w:val="22"/>
        </w:rPr>
        <w:t>/ml minimális egyensúlyi szérumszintet mértek olyan colitis ulcerosaban szenvedő betegeknél, akik minden második héten 40 mg Humira</w:t>
      </w:r>
      <w:r w:rsidRPr="00183B5F">
        <w:rPr>
          <w:szCs w:val="22"/>
        </w:rPr>
        <w:noBreakHyphen/>
        <w:t>t kaptak fenntartó adagként.</w:t>
      </w:r>
    </w:p>
    <w:p w14:paraId="0D82DA01" w14:textId="77777777" w:rsidR="00884361" w:rsidRPr="00183B5F" w:rsidRDefault="00884361" w:rsidP="004062FE">
      <w:pPr>
        <w:spacing w:line="240" w:lineRule="auto"/>
        <w:rPr>
          <w:szCs w:val="22"/>
        </w:rPr>
      </w:pPr>
    </w:p>
    <w:p w14:paraId="6FF21C9F" w14:textId="77777777" w:rsidR="006E3AD4" w:rsidRPr="00183B5F" w:rsidRDefault="00943743" w:rsidP="006E3AD4">
      <w:bookmarkStart w:id="8465" w:name="_Hlk53174358"/>
      <w:r w:rsidRPr="00183B5F">
        <w:t>A colitis ulcerosában szenvedő gyermekeknél</w:t>
      </w:r>
      <w:r w:rsidR="00241682" w:rsidRPr="00183B5F">
        <w:t xml:space="preserve"> és serdülőknél</w:t>
      </w:r>
      <w:r w:rsidRPr="00183B5F">
        <w:t xml:space="preserve"> subcutan adott, testtömeg-alapú, kéthetente 0,6 mg/ttkg</w:t>
      </w:r>
      <w:r w:rsidRPr="00183B5F">
        <w:noBreakHyphen/>
        <w:t>os (legfeljebb 40 mg) adagolás esetén az átlagos minimális egyensúlyi állapotú szérum adalimumab-koncentráció 5,01±3,28 mikrogramm/ml volt az 52. héten. Azoknál a betegeknél, akik hetente 0,6 mg/ttkg-ot (legfeljebb 40 mg) kaptak, az átlagos (± SD) minimális egyensúlyi állapotú szérum adalimumab-koncentráció 15,7±5,60 mikrogramm/ml volt az 52. héten.</w:t>
      </w:r>
    </w:p>
    <w:bookmarkEnd w:id="8465"/>
    <w:p w14:paraId="3640EBCF" w14:textId="77777777" w:rsidR="00C425E1" w:rsidRPr="00183B5F" w:rsidRDefault="00C425E1" w:rsidP="004062FE">
      <w:pPr>
        <w:spacing w:line="240" w:lineRule="auto"/>
        <w:rPr>
          <w:szCs w:val="22"/>
        </w:rPr>
      </w:pPr>
    </w:p>
    <w:p w14:paraId="73A33B57" w14:textId="77777777" w:rsidR="00884361" w:rsidRPr="00183B5F" w:rsidRDefault="00943743" w:rsidP="004062FE">
      <w:pPr>
        <w:spacing w:line="240" w:lineRule="auto"/>
        <w:rPr>
          <w:szCs w:val="22"/>
        </w:rPr>
      </w:pPr>
      <w:r w:rsidRPr="00183B5F">
        <w:rPr>
          <w:szCs w:val="22"/>
        </w:rPr>
        <w:t xml:space="preserve">Uveitisben szenvedő </w:t>
      </w:r>
      <w:r w:rsidR="00064EDB" w:rsidRPr="00183B5F">
        <w:rPr>
          <w:szCs w:val="22"/>
        </w:rPr>
        <w:t>felnőtt</w:t>
      </w:r>
      <w:r w:rsidR="003B0E00" w:rsidRPr="00183B5F">
        <w:rPr>
          <w:szCs w:val="22"/>
        </w:rPr>
        <w:t xml:space="preserve"> </w:t>
      </w:r>
      <w:r w:rsidRPr="00183B5F">
        <w:rPr>
          <w:szCs w:val="22"/>
        </w:rPr>
        <w:t>betegeknél a 80 mg</w:t>
      </w:r>
      <w:r w:rsidRPr="00183B5F">
        <w:rPr>
          <w:szCs w:val="22"/>
        </w:rPr>
        <w:noBreakHyphen/>
        <w:t>os telítő adag a 0. héten, melyet minden második héten beadott 40 mg követ az 1. héttől kezdve, hozzávetőlegesen 8</w:t>
      </w:r>
      <w:r w:rsidRPr="00183B5F">
        <w:rPr>
          <w:szCs w:val="22"/>
        </w:rPr>
        <w:noBreakHyphen/>
        <w:t>10 mikrogramm/ml átlagos egyensúlyi koncentrációt eredményezett.</w:t>
      </w:r>
    </w:p>
    <w:p w14:paraId="58285BF6" w14:textId="77777777" w:rsidR="00153373" w:rsidRPr="00183B5F" w:rsidRDefault="00153373" w:rsidP="004062FE">
      <w:pPr>
        <w:spacing w:line="240" w:lineRule="auto"/>
        <w:rPr>
          <w:szCs w:val="22"/>
        </w:rPr>
      </w:pPr>
    </w:p>
    <w:p w14:paraId="1F5CC0D0" w14:textId="77777777" w:rsidR="00153373" w:rsidRPr="00183B5F" w:rsidRDefault="00943743">
      <w:pPr>
        <w:pStyle w:val="EMEANormal"/>
        <w:rPr>
          <w:szCs w:val="22"/>
          <w:lang w:val="hu-HU"/>
        </w:rPr>
      </w:pPr>
      <w:r w:rsidRPr="00183B5F">
        <w:rPr>
          <w:szCs w:val="22"/>
          <w:lang w:val="hu-HU"/>
        </w:rPr>
        <w:t xml:space="preserve">Az adalimumab expozícióját gyermekeknél populációs farmakokinetikai modellezéssel és szimulációval határozták meg egyéb keresztindikációs gyermekgyógyászati betegek (gyermekkori psoriasis, juvenilis idiopathiás arthritis, gyermekkori Crohn-betegség és </w:t>
      </w:r>
      <w:r w:rsidR="00677908" w:rsidRPr="00183B5F">
        <w:rPr>
          <w:szCs w:val="22"/>
          <w:lang w:val="hu-HU"/>
        </w:rPr>
        <w:t>enthesitis-asszociált</w:t>
      </w:r>
      <w:r w:rsidRPr="00183B5F">
        <w:rPr>
          <w:szCs w:val="22"/>
          <w:lang w:val="hu-HU"/>
        </w:rPr>
        <w:t xml:space="preserve"> arthritis) farmakokinetikája alapján. Nem állnak rendelkezésre klinikai expozíciós adatok a telí</w:t>
      </w:r>
      <w:r w:rsidR="009129E3" w:rsidRPr="00183B5F">
        <w:rPr>
          <w:szCs w:val="22"/>
          <w:lang w:val="hu-HU"/>
        </w:rPr>
        <w:t>tő dózis 6 évnél fiatalabb gyer</w:t>
      </w:r>
      <w:r w:rsidRPr="00183B5F">
        <w:rPr>
          <w:szCs w:val="22"/>
          <w:lang w:val="hu-HU"/>
        </w:rPr>
        <w:t>mekeknél történő alkalmazásá</w:t>
      </w:r>
      <w:r w:rsidR="00997B75" w:rsidRPr="00183B5F">
        <w:rPr>
          <w:szCs w:val="22"/>
          <w:lang w:val="hu-HU"/>
        </w:rPr>
        <w:t>ról</w:t>
      </w:r>
      <w:r w:rsidRPr="00183B5F">
        <w:rPr>
          <w:szCs w:val="22"/>
          <w:lang w:val="hu-HU"/>
        </w:rPr>
        <w:t>. A várható expozíció alapján metotrexát hiányában a telítő dózis a szisztémás expozíció kezdeti növekedé</w:t>
      </w:r>
      <w:r w:rsidR="00667947" w:rsidRPr="00183B5F">
        <w:rPr>
          <w:szCs w:val="22"/>
          <w:lang w:val="hu-HU"/>
        </w:rPr>
        <w:t>sé</w:t>
      </w:r>
      <w:r w:rsidRPr="00183B5F">
        <w:rPr>
          <w:szCs w:val="22"/>
          <w:lang w:val="hu-HU"/>
        </w:rPr>
        <w:t>hez vezethet.</w:t>
      </w:r>
    </w:p>
    <w:p w14:paraId="445DBA3D" w14:textId="77777777" w:rsidR="003B0E00" w:rsidRPr="00183B5F" w:rsidRDefault="003B0E00">
      <w:pPr>
        <w:pStyle w:val="EMEANormal"/>
        <w:keepNext/>
        <w:rPr>
          <w:szCs w:val="22"/>
          <w:lang w:val="hu-HU"/>
        </w:rPr>
      </w:pPr>
    </w:p>
    <w:p w14:paraId="5ABE855C" w14:textId="77777777" w:rsidR="00A00BD9" w:rsidRPr="00183B5F" w:rsidRDefault="00943743" w:rsidP="0009469D">
      <w:pPr>
        <w:spacing w:line="240" w:lineRule="auto"/>
        <w:rPr>
          <w:szCs w:val="22"/>
        </w:rPr>
      </w:pPr>
      <w:r w:rsidRPr="00183B5F">
        <w:rPr>
          <w:szCs w:val="22"/>
        </w:rPr>
        <w:t xml:space="preserve">A populációs farmakokinetikai és farmakokinetikai/farmakodinámás modellezés és szimuláció </w:t>
      </w:r>
      <w:r w:rsidR="00FB57E7" w:rsidRPr="00183B5F">
        <w:rPr>
          <w:szCs w:val="22"/>
        </w:rPr>
        <w:t>hasonló</w:t>
      </w:r>
      <w:r w:rsidRPr="00183B5F">
        <w:rPr>
          <w:szCs w:val="22"/>
        </w:rPr>
        <w:t xml:space="preserve"> adalimumab</w:t>
      </w:r>
      <w:r w:rsidR="00AE4B5C" w:rsidRPr="00183B5F">
        <w:rPr>
          <w:szCs w:val="22"/>
        </w:rPr>
        <w:noBreakHyphen/>
      </w:r>
      <w:r w:rsidRPr="00183B5F">
        <w:rPr>
          <w:szCs w:val="22"/>
        </w:rPr>
        <w:t>expozíció</w:t>
      </w:r>
      <w:r w:rsidR="00FB57E7" w:rsidRPr="00183B5F">
        <w:rPr>
          <w:szCs w:val="22"/>
        </w:rPr>
        <w:t>t</w:t>
      </w:r>
      <w:r w:rsidRPr="00183B5F">
        <w:rPr>
          <w:szCs w:val="22"/>
        </w:rPr>
        <w:t xml:space="preserve"> és hatásosság</w:t>
      </w:r>
      <w:r w:rsidR="00FB57E7" w:rsidRPr="00183B5F">
        <w:rPr>
          <w:szCs w:val="22"/>
        </w:rPr>
        <w:t xml:space="preserve">ot prognosztizált </w:t>
      </w:r>
      <w:r w:rsidRPr="00183B5F">
        <w:rPr>
          <w:szCs w:val="22"/>
        </w:rPr>
        <w:t xml:space="preserve">azoknál a betegeknél, akiket minden második héten 80 mg-mal kezeltek, </w:t>
      </w:r>
      <w:r w:rsidR="00FB57E7" w:rsidRPr="00183B5F">
        <w:rPr>
          <w:szCs w:val="22"/>
        </w:rPr>
        <w:t>és azoknál</w:t>
      </w:r>
      <w:r w:rsidRPr="00183B5F">
        <w:rPr>
          <w:szCs w:val="22"/>
        </w:rPr>
        <w:t>, akiket hetente 40 mg</w:t>
      </w:r>
      <w:r w:rsidRPr="00183B5F">
        <w:rPr>
          <w:szCs w:val="22"/>
        </w:rPr>
        <w:noBreakHyphen/>
        <w:t xml:space="preserve">mal kezeltek (ideértve a rheumatoid arthritisben, hidradenitis suppurativában, colitis ulcerosában, Crohn-betegségben vagy psoriasisban szenvedő felnőtt betegeket, serdülőkori HS-ben szenvedő betegeket és legalább 40 kg testtömegű, Crohn-betegségben </w:t>
      </w:r>
      <w:r w:rsidR="00C425E1" w:rsidRPr="00183B5F">
        <w:rPr>
          <w:szCs w:val="22"/>
        </w:rPr>
        <w:t xml:space="preserve">és colitis ulcerosában </w:t>
      </w:r>
      <w:r w:rsidRPr="00183B5F">
        <w:rPr>
          <w:szCs w:val="22"/>
        </w:rPr>
        <w:t>szenvedő gyermekeket</w:t>
      </w:r>
      <w:r w:rsidR="00FB57E7" w:rsidRPr="00183B5F">
        <w:rPr>
          <w:szCs w:val="22"/>
        </w:rPr>
        <w:t xml:space="preserve"> is</w:t>
      </w:r>
      <w:r w:rsidRPr="00183B5F">
        <w:rPr>
          <w:szCs w:val="22"/>
        </w:rPr>
        <w:t>).</w:t>
      </w:r>
    </w:p>
    <w:p w14:paraId="5A0EF409" w14:textId="77777777" w:rsidR="00A00BD9" w:rsidRPr="00183B5F" w:rsidRDefault="00A00BD9">
      <w:pPr>
        <w:pStyle w:val="EMEANormal"/>
        <w:keepNext/>
        <w:rPr>
          <w:szCs w:val="22"/>
          <w:lang w:val="hu-HU"/>
        </w:rPr>
      </w:pPr>
    </w:p>
    <w:p w14:paraId="0AB4E067" w14:textId="77777777" w:rsidR="000807DC" w:rsidRPr="00183B5F" w:rsidRDefault="00943743">
      <w:pPr>
        <w:pStyle w:val="EMEANormal"/>
        <w:keepNext/>
        <w:rPr>
          <w:szCs w:val="22"/>
          <w:u w:val="single"/>
          <w:lang w:val="hu-HU"/>
        </w:rPr>
      </w:pPr>
      <w:r w:rsidRPr="00183B5F">
        <w:rPr>
          <w:szCs w:val="22"/>
          <w:u w:val="single"/>
          <w:lang w:val="hu-HU"/>
        </w:rPr>
        <w:t>Dózis-hatás összefüggés gyermek</w:t>
      </w:r>
      <w:r w:rsidR="00FD08D3" w:rsidRPr="00183B5F">
        <w:rPr>
          <w:szCs w:val="22"/>
          <w:u w:val="single"/>
          <w:lang w:val="hu-HU"/>
        </w:rPr>
        <w:t>eknél és serdülőknél</w:t>
      </w:r>
    </w:p>
    <w:p w14:paraId="58118ECE" w14:textId="77777777" w:rsidR="000807DC" w:rsidRPr="00183B5F" w:rsidRDefault="00943743" w:rsidP="004062FE">
      <w:pPr>
        <w:keepNext/>
        <w:spacing w:line="240" w:lineRule="auto"/>
      </w:pPr>
      <w:r w:rsidRPr="00183B5F">
        <w:t xml:space="preserve">JIA-ban (pJIA és ERA) szenvedő betegeknél végzett klinikai vizsgálati adatok alapján állapították meg a dózis-hatás összefüggést a plazmakoncentrációk és a Pediátriai ACR 50 válasz között. Az adalimumab látszólagos </w:t>
      </w:r>
      <w:r w:rsidR="000C5B43" w:rsidRPr="00183B5F">
        <w:t>plazma</w:t>
      </w:r>
      <w:r w:rsidRPr="00183B5F">
        <w:t>koncentrációja, ami a Pediátriai ACR 50 válasz maximális valószínűsége felének eléréséhez szükséges (EC50)</w:t>
      </w:r>
      <w:r w:rsidR="0081169C" w:rsidRPr="00183B5F">
        <w:t>,</w:t>
      </w:r>
      <w:r w:rsidRPr="00183B5F">
        <w:t xml:space="preserve"> 3 </w:t>
      </w:r>
      <w:r w:rsidR="00CB73C8" w:rsidRPr="00183B5F">
        <w:t>mikrogramm</w:t>
      </w:r>
      <w:r w:rsidRPr="00183B5F">
        <w:t>/ml (95%</w:t>
      </w:r>
      <w:r w:rsidR="0081169C" w:rsidRPr="00183B5F">
        <w:noBreakHyphen/>
        <w:t>os</w:t>
      </w:r>
      <w:r w:rsidRPr="00183B5F">
        <w:t xml:space="preserve"> CI: 1</w:t>
      </w:r>
      <w:r w:rsidRPr="00183B5F">
        <w:noBreakHyphen/>
        <w:t>6 </w:t>
      </w:r>
      <w:r w:rsidR="00CB73C8" w:rsidRPr="00183B5F">
        <w:t>mikrogramm</w:t>
      </w:r>
      <w:r w:rsidRPr="00183B5F">
        <w:t>/ml) volt.</w:t>
      </w:r>
    </w:p>
    <w:p w14:paraId="34A0684D" w14:textId="77777777" w:rsidR="000807DC" w:rsidRPr="00183B5F" w:rsidRDefault="000807DC" w:rsidP="004062FE">
      <w:pPr>
        <w:autoSpaceDE w:val="0"/>
        <w:autoSpaceDN w:val="0"/>
        <w:adjustRightInd w:val="0"/>
        <w:spacing w:line="240" w:lineRule="auto"/>
      </w:pPr>
    </w:p>
    <w:p w14:paraId="08CE284B" w14:textId="77777777" w:rsidR="000807DC" w:rsidRPr="00183B5F" w:rsidRDefault="00943743" w:rsidP="004062FE">
      <w:pPr>
        <w:autoSpaceDE w:val="0"/>
        <w:autoSpaceDN w:val="0"/>
        <w:adjustRightInd w:val="0"/>
        <w:spacing w:line="240" w:lineRule="auto"/>
        <w:rPr>
          <w:szCs w:val="22"/>
        </w:rPr>
      </w:pPr>
      <w:r w:rsidRPr="00183B5F">
        <w:t xml:space="preserve">Az adalimumab koncentrációja és hatásossága közötti dózis-hatás összefüggést a súlyos, krónikus plakkos psoriasisban szenvedő gyermekeknél a PASI 75 és PGA </w:t>
      </w:r>
      <w:r w:rsidR="00F23D70" w:rsidRPr="00183B5F">
        <w:t xml:space="preserve">szerinti </w:t>
      </w:r>
      <w:r w:rsidRPr="00183B5F">
        <w:t xml:space="preserve">tiszta vagy minimális értékre vonatkozóan állapították meg. A </w:t>
      </w:r>
      <w:r w:rsidRPr="00183B5F">
        <w:rPr>
          <w:szCs w:val="22"/>
        </w:rPr>
        <w:t xml:space="preserve">PASI 75 és PGA </w:t>
      </w:r>
      <w:r w:rsidR="00F23D70" w:rsidRPr="00183B5F">
        <w:rPr>
          <w:szCs w:val="22"/>
        </w:rPr>
        <w:t xml:space="preserve">szerinti </w:t>
      </w:r>
      <w:r w:rsidRPr="00183B5F">
        <w:rPr>
          <w:szCs w:val="22"/>
        </w:rPr>
        <w:t xml:space="preserve">tiszta vagy minimális értéke emelkedett </w:t>
      </w:r>
      <w:r w:rsidR="000C5B43" w:rsidRPr="00183B5F">
        <w:rPr>
          <w:szCs w:val="22"/>
        </w:rPr>
        <w:t xml:space="preserve">a </w:t>
      </w:r>
      <w:r w:rsidRPr="00183B5F">
        <w:rPr>
          <w:szCs w:val="22"/>
        </w:rPr>
        <w:t>növekvő adalimumab-koncentráció</w:t>
      </w:r>
      <w:r w:rsidR="000C5B43" w:rsidRPr="00183B5F">
        <w:rPr>
          <w:szCs w:val="22"/>
        </w:rPr>
        <w:t>kkal</w:t>
      </w:r>
      <w:r w:rsidRPr="00183B5F">
        <w:rPr>
          <w:szCs w:val="22"/>
        </w:rPr>
        <w:t>, mindkettő hasonló látszólagos EC50 értékkel, ami hozzávetőlegesen 4,5 </w:t>
      </w:r>
      <w:r w:rsidR="00CB73C8" w:rsidRPr="00183B5F">
        <w:rPr>
          <w:szCs w:val="22"/>
        </w:rPr>
        <w:t>mikrogramm</w:t>
      </w:r>
      <w:r w:rsidRPr="00183B5F">
        <w:rPr>
          <w:szCs w:val="22"/>
        </w:rPr>
        <w:t>/ml (95%</w:t>
      </w:r>
      <w:r w:rsidR="0081169C" w:rsidRPr="00183B5F">
        <w:rPr>
          <w:szCs w:val="22"/>
        </w:rPr>
        <w:noBreakHyphen/>
        <w:t>os</w:t>
      </w:r>
      <w:r w:rsidRPr="00183B5F">
        <w:rPr>
          <w:szCs w:val="22"/>
        </w:rPr>
        <w:t xml:space="preserve"> CI</w:t>
      </w:r>
      <w:r w:rsidR="0081169C" w:rsidRPr="00183B5F">
        <w:rPr>
          <w:szCs w:val="22"/>
        </w:rPr>
        <w:t>:</w:t>
      </w:r>
      <w:r w:rsidRPr="00183B5F">
        <w:rPr>
          <w:szCs w:val="22"/>
        </w:rPr>
        <w:t xml:space="preserve"> 0,4-47,6 illetve 1,9-10,5) volt.</w:t>
      </w:r>
    </w:p>
    <w:p w14:paraId="67EC824F" w14:textId="77777777" w:rsidR="00D0403E" w:rsidRPr="00183B5F" w:rsidRDefault="00D0403E" w:rsidP="004062FE">
      <w:pPr>
        <w:spacing w:line="240" w:lineRule="auto"/>
        <w:rPr>
          <w:szCs w:val="22"/>
        </w:rPr>
      </w:pPr>
    </w:p>
    <w:p w14:paraId="77501252" w14:textId="77777777" w:rsidR="00D0403E" w:rsidRPr="00183B5F" w:rsidRDefault="00943743" w:rsidP="00FE0197">
      <w:pPr>
        <w:keepNext/>
        <w:spacing w:line="240" w:lineRule="auto"/>
        <w:rPr>
          <w:szCs w:val="22"/>
          <w:u w:val="single"/>
        </w:rPr>
      </w:pPr>
      <w:r w:rsidRPr="00183B5F">
        <w:rPr>
          <w:szCs w:val="22"/>
          <w:u w:val="single"/>
        </w:rPr>
        <w:t>Elimináció</w:t>
      </w:r>
    </w:p>
    <w:p w14:paraId="55DBDD22" w14:textId="77777777" w:rsidR="00D0403E" w:rsidRPr="00183B5F" w:rsidRDefault="00D0403E" w:rsidP="00FE0197">
      <w:pPr>
        <w:keepNext/>
        <w:spacing w:line="240" w:lineRule="auto"/>
        <w:rPr>
          <w:szCs w:val="22"/>
        </w:rPr>
      </w:pPr>
    </w:p>
    <w:p w14:paraId="6EBF393D" w14:textId="77777777" w:rsidR="00D0403E" w:rsidRPr="00183B5F" w:rsidRDefault="00943743" w:rsidP="004062FE">
      <w:pPr>
        <w:spacing w:line="240" w:lineRule="auto"/>
        <w:rPr>
          <w:szCs w:val="22"/>
        </w:rPr>
      </w:pPr>
      <w:r w:rsidRPr="00183B5F">
        <w:rPr>
          <w:szCs w:val="22"/>
        </w:rPr>
        <w:t>Több mint 1300 RA betegen végzett populációs farmakokinetikai vizsgálatokból származó adatok alapján derült ki, hogy a testsúly növekedésével nő az adalimumab-clearence. A testsúlykülönbség korrekciója után úgy látszik, a nemnek és az életkornak minimális hatása van az adalimumab clearence</w:t>
      </w:r>
      <w:r w:rsidRPr="00183B5F">
        <w:rPr>
          <w:szCs w:val="22"/>
        </w:rPr>
        <w:noBreakHyphen/>
        <w:t>ére. A szérumban mérhető, adalimumab</w:t>
      </w:r>
      <w:r w:rsidR="00E5381A" w:rsidRPr="00183B5F">
        <w:rPr>
          <w:szCs w:val="22"/>
        </w:rPr>
        <w:noBreakHyphen/>
      </w:r>
      <w:r w:rsidRPr="00183B5F">
        <w:rPr>
          <w:szCs w:val="22"/>
        </w:rPr>
        <w:t>ellenes antitestekhez (AAA) nem kötődő szabad</w:t>
      </w:r>
      <w:r w:rsidR="0081169C" w:rsidRPr="00183B5F">
        <w:rPr>
          <w:szCs w:val="22"/>
        </w:rPr>
        <w:t xml:space="preserve"> </w:t>
      </w:r>
      <w:r w:rsidRPr="00183B5F">
        <w:rPr>
          <w:szCs w:val="22"/>
        </w:rPr>
        <w:t>adalimumab</w:t>
      </w:r>
      <w:r w:rsidR="00322FDE" w:rsidRPr="00183B5F">
        <w:rPr>
          <w:szCs w:val="22"/>
        </w:rPr>
        <w:t xml:space="preserve"> </w:t>
      </w:r>
      <w:r w:rsidRPr="00183B5F">
        <w:rPr>
          <w:szCs w:val="22"/>
        </w:rPr>
        <w:t>koncentráció</w:t>
      </w:r>
      <w:r w:rsidR="00322FDE" w:rsidRPr="00183B5F">
        <w:rPr>
          <w:szCs w:val="22"/>
        </w:rPr>
        <w:t>ja</w:t>
      </w:r>
      <w:r w:rsidRPr="00183B5F">
        <w:rPr>
          <w:szCs w:val="22"/>
        </w:rPr>
        <w:t xml:space="preserve"> alacsonyabbnak bizonyult olyan betegek esetében, akiknél mérhető volt az AAA szintje.</w:t>
      </w:r>
    </w:p>
    <w:p w14:paraId="3903DBD6" w14:textId="77777777" w:rsidR="00D0403E" w:rsidRPr="00183B5F" w:rsidRDefault="00D0403E" w:rsidP="004062FE">
      <w:pPr>
        <w:spacing w:line="240" w:lineRule="auto"/>
        <w:rPr>
          <w:szCs w:val="22"/>
        </w:rPr>
      </w:pPr>
    </w:p>
    <w:p w14:paraId="64157230" w14:textId="77777777" w:rsidR="00D0403E" w:rsidRPr="00183B5F" w:rsidRDefault="00943743" w:rsidP="004062FE">
      <w:pPr>
        <w:keepNext/>
        <w:spacing w:line="240" w:lineRule="auto"/>
        <w:rPr>
          <w:szCs w:val="22"/>
          <w:u w:val="single"/>
        </w:rPr>
      </w:pPr>
      <w:r w:rsidRPr="00183B5F">
        <w:rPr>
          <w:szCs w:val="22"/>
          <w:u w:val="single"/>
        </w:rPr>
        <w:t>Máj- vagy vesekárosodás</w:t>
      </w:r>
    </w:p>
    <w:p w14:paraId="25CA864A" w14:textId="77777777" w:rsidR="00D0403E" w:rsidRPr="00183B5F" w:rsidRDefault="00D0403E" w:rsidP="004062FE">
      <w:pPr>
        <w:keepNext/>
        <w:spacing w:line="240" w:lineRule="auto"/>
        <w:rPr>
          <w:szCs w:val="22"/>
        </w:rPr>
      </w:pPr>
    </w:p>
    <w:p w14:paraId="658E791B" w14:textId="77777777" w:rsidR="00D0403E" w:rsidRPr="00183B5F" w:rsidRDefault="00943743" w:rsidP="004062FE">
      <w:pPr>
        <w:spacing w:line="240" w:lineRule="auto"/>
        <w:rPr>
          <w:szCs w:val="22"/>
        </w:rPr>
      </w:pPr>
      <w:r w:rsidRPr="00183B5F">
        <w:rPr>
          <w:szCs w:val="22"/>
        </w:rPr>
        <w:t>A Humira</w:t>
      </w:r>
      <w:r w:rsidRPr="00183B5F">
        <w:rPr>
          <w:szCs w:val="22"/>
        </w:rPr>
        <w:noBreakHyphen/>
        <w:t>t nem vizsgálták máj- vagy vesekárosodásban szenvedő betegeknél.</w:t>
      </w:r>
    </w:p>
    <w:p w14:paraId="25C8F1CD" w14:textId="77777777" w:rsidR="00D0403E" w:rsidRPr="00183B5F" w:rsidRDefault="00D0403E" w:rsidP="004062FE">
      <w:pPr>
        <w:spacing w:line="240" w:lineRule="auto"/>
        <w:rPr>
          <w:szCs w:val="22"/>
        </w:rPr>
      </w:pPr>
    </w:p>
    <w:p w14:paraId="28F11C04" w14:textId="77777777" w:rsidR="00D0403E" w:rsidRPr="00183B5F" w:rsidRDefault="00943743" w:rsidP="004062FE">
      <w:pPr>
        <w:keepNext/>
        <w:spacing w:line="240" w:lineRule="auto"/>
        <w:rPr>
          <w:b/>
          <w:szCs w:val="22"/>
        </w:rPr>
      </w:pPr>
      <w:r w:rsidRPr="00183B5F">
        <w:rPr>
          <w:b/>
          <w:szCs w:val="22"/>
        </w:rPr>
        <w:t>5.3</w:t>
      </w:r>
      <w:r w:rsidRPr="00183B5F">
        <w:rPr>
          <w:b/>
          <w:szCs w:val="22"/>
        </w:rPr>
        <w:tab/>
        <w:t>A preklinikai biztonságossági vizsgálatok eredményei</w:t>
      </w:r>
    </w:p>
    <w:p w14:paraId="44CC976D" w14:textId="77777777" w:rsidR="00D0403E" w:rsidRPr="00183B5F" w:rsidRDefault="00D0403E" w:rsidP="004062FE">
      <w:pPr>
        <w:keepNext/>
        <w:spacing w:line="240" w:lineRule="auto"/>
        <w:rPr>
          <w:szCs w:val="22"/>
        </w:rPr>
      </w:pPr>
    </w:p>
    <w:p w14:paraId="77D9FF7E" w14:textId="77777777" w:rsidR="00322FDE" w:rsidRPr="00183B5F" w:rsidRDefault="00943743" w:rsidP="00322FDE">
      <w:pPr>
        <w:keepNext/>
        <w:spacing w:line="240" w:lineRule="auto"/>
        <w:rPr>
          <w:szCs w:val="22"/>
        </w:rPr>
      </w:pPr>
      <w:r w:rsidRPr="00183B5F">
        <w:rPr>
          <w:szCs w:val="22"/>
        </w:rPr>
        <w:t>Egyszeri és ismételt adagolású dózistoxicitási, valamint genotoxicitási vizsgálatokból származó nem klinikai jellegű adatok azt igazolták, hogy a készítmény alkalmazásakor humán vonatkozásban különleges kockázat nem várható.</w:t>
      </w:r>
    </w:p>
    <w:p w14:paraId="012B8F3F" w14:textId="77777777" w:rsidR="00D0403E" w:rsidRPr="00183B5F" w:rsidRDefault="00D0403E" w:rsidP="004062FE">
      <w:pPr>
        <w:pStyle w:val="EndnoteText"/>
        <w:tabs>
          <w:tab w:val="clear" w:pos="567"/>
          <w:tab w:val="left" w:pos="708"/>
        </w:tabs>
        <w:suppressAutoHyphens/>
        <w:rPr>
          <w:sz w:val="22"/>
          <w:szCs w:val="22"/>
          <w:lang w:val="hu-HU" w:eastAsia="hu-HU"/>
        </w:rPr>
      </w:pPr>
    </w:p>
    <w:p w14:paraId="7F230AC5" w14:textId="77777777" w:rsidR="00D0403E" w:rsidRPr="00183B5F" w:rsidRDefault="00943743" w:rsidP="004062FE">
      <w:pPr>
        <w:spacing w:line="240" w:lineRule="auto"/>
        <w:rPr>
          <w:szCs w:val="22"/>
        </w:rPr>
      </w:pPr>
      <w:r w:rsidRPr="00183B5F">
        <w:rPr>
          <w:szCs w:val="22"/>
        </w:rPr>
        <w:t xml:space="preserve">Majmokon folytattak vizsgálatot a gyógyszernek az embrionális </w:t>
      </w:r>
      <w:r w:rsidRPr="00183B5F">
        <w:rPr>
          <w:szCs w:val="22"/>
        </w:rPr>
        <w:noBreakHyphen/>
        <w:t xml:space="preserve"> magzati fejlődésre, illetve a perinatalis fejlődésre gyakorolt hatásának felmérésére, aminek során 0</w:t>
      </w:r>
      <w:r w:rsidR="0081169C" w:rsidRPr="00183B5F">
        <w:rPr>
          <w:szCs w:val="22"/>
        </w:rPr>
        <w:t> mg/ttkg</w:t>
      </w:r>
      <w:r w:rsidRPr="00183B5F">
        <w:rPr>
          <w:szCs w:val="22"/>
        </w:rPr>
        <w:t>,</w:t>
      </w:r>
      <w:r w:rsidR="0081169C" w:rsidRPr="00183B5F">
        <w:rPr>
          <w:szCs w:val="22"/>
        </w:rPr>
        <w:t xml:space="preserve"> </w:t>
      </w:r>
      <w:r w:rsidRPr="00183B5F">
        <w:rPr>
          <w:szCs w:val="22"/>
        </w:rPr>
        <w:t>30 mg/</w:t>
      </w:r>
      <w:r w:rsidR="0081169C" w:rsidRPr="00183B5F">
        <w:rPr>
          <w:szCs w:val="22"/>
        </w:rPr>
        <w:t>tt</w:t>
      </w:r>
      <w:r w:rsidRPr="00183B5F">
        <w:rPr>
          <w:szCs w:val="22"/>
        </w:rPr>
        <w:t>kg illetve 100 mg/</w:t>
      </w:r>
      <w:r w:rsidR="0081169C" w:rsidRPr="00183B5F">
        <w:rPr>
          <w:szCs w:val="22"/>
        </w:rPr>
        <w:t>tt</w:t>
      </w:r>
      <w:r w:rsidRPr="00183B5F">
        <w:rPr>
          <w:szCs w:val="22"/>
        </w:rPr>
        <w:t>kg dózisú adalimumabot adtak majmoknak (csoportonként 9</w:t>
      </w:r>
      <w:r w:rsidRPr="00183B5F">
        <w:rPr>
          <w:szCs w:val="22"/>
        </w:rPr>
        <w:noBreakHyphen/>
        <w:t xml:space="preserve">17 majom volt), a magzati károsodás minden jele nélkül. Sem karcinogenitási vizsgálatok, sem standard </w:t>
      </w:r>
      <w:r w:rsidR="00171E97" w:rsidRPr="00183B5F">
        <w:rPr>
          <w:szCs w:val="22"/>
        </w:rPr>
        <w:t xml:space="preserve">termékenységi vagy </w:t>
      </w:r>
      <w:r w:rsidRPr="00183B5F">
        <w:rPr>
          <w:szCs w:val="22"/>
        </w:rPr>
        <w:t>postnatalis toxicitási vizsgálatok nem történtek megfelelő antitestmodell hiányában, mivel az adalimumab a rágcsáló TNF</w:t>
      </w:r>
      <w:r w:rsidRPr="00183B5F">
        <w:rPr>
          <w:szCs w:val="22"/>
        </w:rPr>
        <w:noBreakHyphen/>
        <w:t>fel alacsony keresztreakciót mutat, és ellene a rágcsálókban neutralizáló a</w:t>
      </w:r>
      <w:r w:rsidRPr="00183B5F">
        <w:rPr>
          <w:szCs w:val="22"/>
        </w:rPr>
        <w:t>ntitestek képződnek.</w:t>
      </w:r>
    </w:p>
    <w:p w14:paraId="7E61322E" w14:textId="77777777" w:rsidR="00D0403E" w:rsidRPr="00183B5F" w:rsidRDefault="00D0403E" w:rsidP="004062FE">
      <w:pPr>
        <w:spacing w:line="240" w:lineRule="auto"/>
        <w:rPr>
          <w:b/>
          <w:szCs w:val="22"/>
        </w:rPr>
      </w:pPr>
    </w:p>
    <w:p w14:paraId="71CF1BCC" w14:textId="77777777" w:rsidR="00D0403E" w:rsidRPr="00183B5F" w:rsidRDefault="00D0403E" w:rsidP="004062FE">
      <w:pPr>
        <w:spacing w:line="240" w:lineRule="auto"/>
        <w:rPr>
          <w:b/>
          <w:szCs w:val="22"/>
        </w:rPr>
      </w:pPr>
    </w:p>
    <w:p w14:paraId="316A6283" w14:textId="77777777" w:rsidR="00D0403E" w:rsidRPr="00183B5F" w:rsidRDefault="00943743" w:rsidP="00FC288C">
      <w:pPr>
        <w:keepNext/>
        <w:spacing w:line="240" w:lineRule="auto"/>
        <w:rPr>
          <w:b/>
          <w:szCs w:val="22"/>
        </w:rPr>
      </w:pPr>
      <w:r w:rsidRPr="00183B5F">
        <w:rPr>
          <w:b/>
          <w:szCs w:val="22"/>
        </w:rPr>
        <w:t>6.</w:t>
      </w:r>
      <w:r w:rsidRPr="00183B5F">
        <w:rPr>
          <w:b/>
          <w:szCs w:val="22"/>
        </w:rPr>
        <w:tab/>
        <w:t>GYÓGYSZERÉSZETI JELLEMZŐK</w:t>
      </w:r>
    </w:p>
    <w:p w14:paraId="595209BD" w14:textId="77777777" w:rsidR="00D0403E" w:rsidRPr="00183B5F" w:rsidRDefault="00D0403E" w:rsidP="00FC288C">
      <w:pPr>
        <w:keepNext/>
        <w:spacing w:line="240" w:lineRule="auto"/>
        <w:rPr>
          <w:szCs w:val="22"/>
        </w:rPr>
      </w:pPr>
    </w:p>
    <w:p w14:paraId="3B4C82CF" w14:textId="77777777" w:rsidR="00D0403E" w:rsidRPr="00183B5F" w:rsidRDefault="00943743" w:rsidP="00FC288C">
      <w:pPr>
        <w:keepNext/>
        <w:spacing w:line="240" w:lineRule="auto"/>
        <w:ind w:left="567" w:hanging="567"/>
        <w:rPr>
          <w:b/>
          <w:szCs w:val="22"/>
        </w:rPr>
      </w:pPr>
      <w:r w:rsidRPr="00183B5F">
        <w:rPr>
          <w:b/>
          <w:szCs w:val="22"/>
        </w:rPr>
        <w:t>6.1</w:t>
      </w:r>
      <w:r w:rsidRPr="00183B5F">
        <w:rPr>
          <w:b/>
          <w:szCs w:val="22"/>
        </w:rPr>
        <w:tab/>
        <w:t>Segédanyagok felsorolása</w:t>
      </w:r>
    </w:p>
    <w:p w14:paraId="01430F4D" w14:textId="77777777" w:rsidR="00D0403E" w:rsidRPr="00183B5F" w:rsidRDefault="00D0403E" w:rsidP="00FC288C">
      <w:pPr>
        <w:keepNext/>
        <w:spacing w:line="240" w:lineRule="auto"/>
        <w:rPr>
          <w:szCs w:val="22"/>
        </w:rPr>
      </w:pPr>
    </w:p>
    <w:p w14:paraId="04AEB71F" w14:textId="77777777" w:rsidR="00D0403E" w:rsidRPr="00183B5F" w:rsidRDefault="00943743" w:rsidP="00FC288C">
      <w:pPr>
        <w:keepNext/>
        <w:spacing w:line="240" w:lineRule="auto"/>
        <w:rPr>
          <w:szCs w:val="22"/>
        </w:rPr>
      </w:pPr>
      <w:r w:rsidRPr="00183B5F">
        <w:rPr>
          <w:szCs w:val="22"/>
        </w:rPr>
        <w:t>Mannit,</w:t>
      </w:r>
    </w:p>
    <w:p w14:paraId="3DB3D1F1" w14:textId="77777777" w:rsidR="00D0403E" w:rsidRPr="00183B5F" w:rsidRDefault="00943743" w:rsidP="004062FE">
      <w:pPr>
        <w:spacing w:line="240" w:lineRule="auto"/>
        <w:rPr>
          <w:szCs w:val="22"/>
        </w:rPr>
      </w:pPr>
      <w:r w:rsidRPr="00183B5F">
        <w:rPr>
          <w:szCs w:val="22"/>
        </w:rPr>
        <w:t>Poliszorbát 80,</w:t>
      </w:r>
    </w:p>
    <w:p w14:paraId="3689D9EF" w14:textId="77777777" w:rsidR="00D0403E" w:rsidRPr="00183B5F" w:rsidRDefault="00943743" w:rsidP="004062FE">
      <w:pPr>
        <w:spacing w:line="240" w:lineRule="auto"/>
        <w:rPr>
          <w:szCs w:val="22"/>
        </w:rPr>
      </w:pPr>
      <w:r w:rsidRPr="00183B5F">
        <w:rPr>
          <w:szCs w:val="22"/>
        </w:rPr>
        <w:t>Injekcióhoz való víz.</w:t>
      </w:r>
    </w:p>
    <w:p w14:paraId="617A7612" w14:textId="77777777" w:rsidR="00D0403E" w:rsidRPr="00183B5F" w:rsidRDefault="00D0403E" w:rsidP="004062FE">
      <w:pPr>
        <w:spacing w:line="240" w:lineRule="auto"/>
        <w:rPr>
          <w:szCs w:val="22"/>
        </w:rPr>
      </w:pPr>
    </w:p>
    <w:p w14:paraId="32107EFC" w14:textId="77777777" w:rsidR="00D0403E" w:rsidRPr="00183B5F" w:rsidRDefault="00943743" w:rsidP="00127A0B">
      <w:pPr>
        <w:keepNext/>
        <w:spacing w:line="240" w:lineRule="auto"/>
        <w:rPr>
          <w:b/>
          <w:szCs w:val="22"/>
        </w:rPr>
      </w:pPr>
      <w:r w:rsidRPr="00183B5F">
        <w:rPr>
          <w:b/>
          <w:szCs w:val="22"/>
        </w:rPr>
        <w:t>6.2</w:t>
      </w:r>
      <w:r w:rsidRPr="00183B5F">
        <w:rPr>
          <w:b/>
          <w:szCs w:val="22"/>
        </w:rPr>
        <w:tab/>
        <w:t>Inkompatibilitások</w:t>
      </w:r>
    </w:p>
    <w:p w14:paraId="3DE45959" w14:textId="77777777" w:rsidR="00D0403E" w:rsidRPr="00183B5F" w:rsidRDefault="00D0403E" w:rsidP="00127A0B">
      <w:pPr>
        <w:keepNext/>
        <w:spacing w:line="240" w:lineRule="auto"/>
        <w:rPr>
          <w:szCs w:val="22"/>
        </w:rPr>
      </w:pPr>
    </w:p>
    <w:p w14:paraId="7C446FF7" w14:textId="77777777" w:rsidR="00D0403E" w:rsidRPr="00183B5F" w:rsidRDefault="00943743" w:rsidP="004062FE">
      <w:pPr>
        <w:spacing w:line="240" w:lineRule="auto"/>
        <w:rPr>
          <w:szCs w:val="22"/>
        </w:rPr>
      </w:pPr>
      <w:r w:rsidRPr="00183B5F">
        <w:rPr>
          <w:szCs w:val="22"/>
        </w:rPr>
        <w:t>Kompatibilitási vizsgálatok hiányában ez a gyógyszer nem keverhető más gyógyszerekkel.</w:t>
      </w:r>
    </w:p>
    <w:p w14:paraId="68883F41" w14:textId="77777777" w:rsidR="00D0403E" w:rsidRPr="00183B5F" w:rsidRDefault="00D0403E" w:rsidP="004062FE">
      <w:pPr>
        <w:spacing w:line="240" w:lineRule="auto"/>
        <w:rPr>
          <w:szCs w:val="22"/>
        </w:rPr>
      </w:pPr>
    </w:p>
    <w:p w14:paraId="4DEF8970" w14:textId="77777777" w:rsidR="00D0403E" w:rsidRPr="00183B5F" w:rsidRDefault="00943743" w:rsidP="004062FE">
      <w:pPr>
        <w:spacing w:line="240" w:lineRule="auto"/>
        <w:rPr>
          <w:b/>
          <w:szCs w:val="22"/>
        </w:rPr>
      </w:pPr>
      <w:r w:rsidRPr="00183B5F">
        <w:rPr>
          <w:b/>
          <w:szCs w:val="22"/>
        </w:rPr>
        <w:t>6.3</w:t>
      </w:r>
      <w:r w:rsidRPr="00183B5F">
        <w:rPr>
          <w:b/>
          <w:szCs w:val="22"/>
        </w:rPr>
        <w:tab/>
        <w:t>Felhasználhatósági időtartam</w:t>
      </w:r>
    </w:p>
    <w:p w14:paraId="79786BF2" w14:textId="77777777" w:rsidR="00D0403E" w:rsidRPr="00183B5F" w:rsidRDefault="00D0403E" w:rsidP="004062FE">
      <w:pPr>
        <w:spacing w:line="240" w:lineRule="auto"/>
        <w:rPr>
          <w:szCs w:val="22"/>
        </w:rPr>
      </w:pPr>
    </w:p>
    <w:p w14:paraId="1BD21016" w14:textId="77777777" w:rsidR="00D0403E" w:rsidRPr="00183B5F" w:rsidRDefault="00943743" w:rsidP="004062FE">
      <w:pPr>
        <w:spacing w:line="240" w:lineRule="auto"/>
        <w:rPr>
          <w:szCs w:val="22"/>
        </w:rPr>
      </w:pPr>
      <w:r w:rsidRPr="00183B5F">
        <w:rPr>
          <w:szCs w:val="22"/>
        </w:rPr>
        <w:t>2 év</w:t>
      </w:r>
    </w:p>
    <w:p w14:paraId="64BFE87E" w14:textId="77777777" w:rsidR="00D0403E" w:rsidRPr="00183B5F" w:rsidRDefault="00D0403E" w:rsidP="004062FE">
      <w:pPr>
        <w:spacing w:line="240" w:lineRule="auto"/>
        <w:rPr>
          <w:szCs w:val="22"/>
        </w:rPr>
      </w:pPr>
    </w:p>
    <w:p w14:paraId="31471512" w14:textId="77777777" w:rsidR="00D0403E" w:rsidRPr="00183B5F" w:rsidRDefault="00943743" w:rsidP="004062FE">
      <w:pPr>
        <w:spacing w:line="240" w:lineRule="auto"/>
        <w:ind w:left="567" w:hanging="567"/>
        <w:rPr>
          <w:b/>
          <w:szCs w:val="22"/>
        </w:rPr>
      </w:pPr>
      <w:r w:rsidRPr="00183B5F">
        <w:rPr>
          <w:b/>
          <w:szCs w:val="22"/>
        </w:rPr>
        <w:t>6.4</w:t>
      </w:r>
      <w:r w:rsidRPr="00183B5F">
        <w:rPr>
          <w:b/>
          <w:szCs w:val="22"/>
        </w:rPr>
        <w:tab/>
        <w:t>Különleges tárolási előírások</w:t>
      </w:r>
    </w:p>
    <w:p w14:paraId="0F003194" w14:textId="77777777" w:rsidR="00D0403E" w:rsidRPr="00183B5F" w:rsidRDefault="00D0403E" w:rsidP="004062FE">
      <w:pPr>
        <w:spacing w:line="240" w:lineRule="auto"/>
        <w:rPr>
          <w:szCs w:val="22"/>
        </w:rPr>
      </w:pPr>
    </w:p>
    <w:p w14:paraId="157AACAC" w14:textId="77777777" w:rsidR="00D0403E" w:rsidRPr="00183B5F" w:rsidRDefault="00943743" w:rsidP="004062FE">
      <w:pPr>
        <w:spacing w:line="240" w:lineRule="auto"/>
        <w:rPr>
          <w:szCs w:val="22"/>
        </w:rPr>
      </w:pPr>
      <w:r w:rsidRPr="00183B5F">
        <w:rPr>
          <w:szCs w:val="22"/>
        </w:rPr>
        <w:t>Hűtőszekrényben (2°C</w:t>
      </w:r>
      <w:r w:rsidRPr="00183B5F">
        <w:rPr>
          <w:szCs w:val="22"/>
        </w:rPr>
        <w:noBreakHyphen/>
        <w:t>8</w:t>
      </w:r>
      <w:r w:rsidRPr="00183B5F">
        <w:rPr>
          <w:rFonts w:ascii="Symbol" w:hAnsi="Symbol"/>
          <w:szCs w:val="22"/>
        </w:rPr>
        <w:sym w:font="Symbol" w:char="F0B0"/>
      </w:r>
      <w:r w:rsidR="00E14061" w:rsidRPr="00183B5F">
        <w:rPr>
          <w:szCs w:val="22"/>
        </w:rPr>
        <w:t>C) tárolandó. Nem fagyasztható</w:t>
      </w:r>
      <w:r w:rsidR="006B2BB7" w:rsidRPr="00183B5F">
        <w:rPr>
          <w:szCs w:val="22"/>
        </w:rPr>
        <w:t>!</w:t>
      </w:r>
      <w:r w:rsidRPr="00183B5F">
        <w:rPr>
          <w:szCs w:val="22"/>
        </w:rPr>
        <w:t xml:space="preserve"> A fénytől való védelem érdekében az előretöltött fecskendő</w:t>
      </w:r>
      <w:r w:rsidR="00035A0C" w:rsidRPr="00183B5F">
        <w:rPr>
          <w:szCs w:val="22"/>
        </w:rPr>
        <w:t xml:space="preserve"> vagy az előretöltött inje</w:t>
      </w:r>
      <w:r w:rsidR="00F778FC" w:rsidRPr="00183B5F">
        <w:rPr>
          <w:szCs w:val="22"/>
        </w:rPr>
        <w:t>kciós toll</w:t>
      </w:r>
      <w:r w:rsidRPr="00183B5F">
        <w:rPr>
          <w:szCs w:val="22"/>
        </w:rPr>
        <w:t xml:space="preserve"> az eredeti dobozban tárolandó.</w:t>
      </w:r>
    </w:p>
    <w:p w14:paraId="1E3EF4EA" w14:textId="77777777" w:rsidR="00D0403E" w:rsidRPr="00183B5F" w:rsidRDefault="00D0403E" w:rsidP="004062FE">
      <w:pPr>
        <w:spacing w:line="240" w:lineRule="auto"/>
        <w:rPr>
          <w:szCs w:val="22"/>
        </w:rPr>
      </w:pPr>
    </w:p>
    <w:p w14:paraId="704671D9" w14:textId="77777777" w:rsidR="00D0403E" w:rsidRPr="00183B5F" w:rsidRDefault="00943743" w:rsidP="004062FE">
      <w:pPr>
        <w:spacing w:line="240" w:lineRule="auto"/>
        <w:rPr>
          <w:szCs w:val="22"/>
        </w:rPr>
      </w:pPr>
      <w:r w:rsidRPr="00183B5F">
        <w:rPr>
          <w:szCs w:val="22"/>
          <w:lang w:eastAsia="en-US"/>
        </w:rPr>
        <w:t xml:space="preserve">Önmagában a </w:t>
      </w:r>
      <w:r w:rsidRPr="00183B5F">
        <w:rPr>
          <w:szCs w:val="22"/>
        </w:rPr>
        <w:t xml:space="preserve">Humira előretöltött fecskendő </w:t>
      </w:r>
      <w:r w:rsidR="00F778FC" w:rsidRPr="00183B5F">
        <w:rPr>
          <w:szCs w:val="22"/>
        </w:rPr>
        <w:t xml:space="preserve">vagy előretöltött injekciós toll </w:t>
      </w:r>
      <w:r w:rsidRPr="00183B5F">
        <w:rPr>
          <w:szCs w:val="22"/>
        </w:rPr>
        <w:t>legfeljebb 25</w:t>
      </w:r>
      <w:r w:rsidRPr="00183B5F">
        <w:rPr>
          <w:rFonts w:ascii="Symbol" w:hAnsi="Symbol"/>
          <w:szCs w:val="22"/>
        </w:rPr>
        <w:sym w:font="Symbol" w:char="F0B0"/>
      </w:r>
      <w:r w:rsidRPr="00183B5F">
        <w:rPr>
          <w:szCs w:val="22"/>
        </w:rPr>
        <w:t>C</w:t>
      </w:r>
      <w:r w:rsidRPr="00183B5F">
        <w:rPr>
          <w:szCs w:val="22"/>
        </w:rPr>
        <w:noBreakHyphen/>
      </w:r>
      <w:r w:rsidRPr="00183B5F">
        <w:rPr>
          <w:szCs w:val="22"/>
        </w:rPr>
        <w:t xml:space="preserve">on, maximum 14 napig tárolható. A fecskendőt </w:t>
      </w:r>
      <w:r w:rsidR="00F778FC" w:rsidRPr="00183B5F">
        <w:rPr>
          <w:szCs w:val="22"/>
        </w:rPr>
        <w:t xml:space="preserve">vagy az injekciós tollat </w:t>
      </w:r>
      <w:r w:rsidRPr="00183B5F">
        <w:rPr>
          <w:szCs w:val="22"/>
        </w:rPr>
        <w:t>fénytől védeni kell, és meg kell semmisíteni, amennyiben a 14 napos időtartam alatt nem használták fel.</w:t>
      </w:r>
    </w:p>
    <w:p w14:paraId="598A7E8D" w14:textId="77777777" w:rsidR="00D0403E" w:rsidRPr="00183B5F" w:rsidRDefault="00D0403E" w:rsidP="004062FE">
      <w:pPr>
        <w:spacing w:line="240" w:lineRule="auto"/>
        <w:rPr>
          <w:szCs w:val="22"/>
        </w:rPr>
      </w:pPr>
    </w:p>
    <w:p w14:paraId="3125D6A4" w14:textId="77777777" w:rsidR="00D0403E" w:rsidRPr="00183B5F" w:rsidRDefault="00943743" w:rsidP="004062FE">
      <w:pPr>
        <w:spacing w:line="240" w:lineRule="auto"/>
        <w:rPr>
          <w:b/>
          <w:szCs w:val="22"/>
        </w:rPr>
      </w:pPr>
      <w:r w:rsidRPr="00183B5F">
        <w:rPr>
          <w:b/>
          <w:szCs w:val="22"/>
        </w:rPr>
        <w:t>6.5</w:t>
      </w:r>
      <w:r w:rsidRPr="00183B5F">
        <w:rPr>
          <w:b/>
          <w:szCs w:val="22"/>
        </w:rPr>
        <w:tab/>
        <w:t>Csomagolás típusa és kiszerelése</w:t>
      </w:r>
    </w:p>
    <w:p w14:paraId="13A82F3E" w14:textId="77777777" w:rsidR="00D0403E" w:rsidRPr="00183B5F" w:rsidRDefault="00D0403E" w:rsidP="004062FE">
      <w:pPr>
        <w:pStyle w:val="EndnoteText"/>
        <w:tabs>
          <w:tab w:val="clear" w:pos="567"/>
        </w:tabs>
        <w:suppressAutoHyphens/>
        <w:rPr>
          <w:sz w:val="22"/>
          <w:szCs w:val="22"/>
          <w:lang w:val="hu-HU" w:eastAsia="hu-HU"/>
        </w:rPr>
      </w:pPr>
    </w:p>
    <w:p w14:paraId="362912F3" w14:textId="77777777" w:rsidR="00F778FC" w:rsidRPr="00183B5F" w:rsidRDefault="00943743" w:rsidP="004062FE">
      <w:pPr>
        <w:pStyle w:val="EndnoteText"/>
        <w:tabs>
          <w:tab w:val="clear" w:pos="567"/>
        </w:tabs>
        <w:suppressAutoHyphens/>
        <w:rPr>
          <w:sz w:val="22"/>
          <w:u w:val="single"/>
          <w:lang w:val="hu-HU"/>
        </w:rPr>
      </w:pPr>
      <w:r w:rsidRPr="00183B5F">
        <w:rPr>
          <w:sz w:val="22"/>
          <w:u w:val="single"/>
          <w:lang w:val="hu-HU"/>
        </w:rPr>
        <w:t>Humira 40 mg oldatos injekció előretöltött fecskendőben</w:t>
      </w:r>
    </w:p>
    <w:p w14:paraId="60C8BB4F" w14:textId="77777777" w:rsidR="00D0403E" w:rsidRPr="00183B5F" w:rsidRDefault="00943743" w:rsidP="004062FE">
      <w:pPr>
        <w:pStyle w:val="EndnoteText"/>
        <w:tabs>
          <w:tab w:val="clear" w:pos="567"/>
        </w:tabs>
        <w:suppressAutoHyphens/>
        <w:rPr>
          <w:sz w:val="22"/>
          <w:lang w:val="hu-HU"/>
        </w:rPr>
      </w:pPr>
      <w:r w:rsidRPr="00183B5F">
        <w:rPr>
          <w:sz w:val="22"/>
          <w:lang w:val="hu-HU"/>
        </w:rPr>
        <w:t>Humira 40 mg oldatos injekció egyszer használatos, előretöltött fecskendőben (I. típusú üveg) brómbutil gumitömítéses dugattyúval és tűvédővel ellátott tűvel (termoplasztikus elasztomer)</w:t>
      </w:r>
      <w:r w:rsidRPr="00183B5F">
        <w:rPr>
          <w:sz w:val="22"/>
          <w:szCs w:val="22"/>
          <w:lang w:val="hu-HU"/>
        </w:rPr>
        <w:t>.</w:t>
      </w:r>
    </w:p>
    <w:p w14:paraId="0FC6A709" w14:textId="77777777" w:rsidR="00D0403E" w:rsidRPr="00183B5F" w:rsidRDefault="00D0403E" w:rsidP="004062FE">
      <w:pPr>
        <w:pStyle w:val="EndnoteText"/>
        <w:tabs>
          <w:tab w:val="clear" w:pos="567"/>
        </w:tabs>
        <w:suppressAutoHyphens/>
        <w:rPr>
          <w:sz w:val="22"/>
          <w:szCs w:val="22"/>
          <w:lang w:val="hu-HU" w:eastAsia="hu-HU"/>
        </w:rPr>
      </w:pPr>
    </w:p>
    <w:p w14:paraId="5302B5DF" w14:textId="77777777" w:rsidR="00D0403E" w:rsidRPr="00183B5F" w:rsidRDefault="00943743" w:rsidP="004062FE">
      <w:pPr>
        <w:spacing w:line="240" w:lineRule="auto"/>
        <w:rPr>
          <w:szCs w:val="22"/>
        </w:rPr>
      </w:pPr>
      <w:r w:rsidRPr="00183B5F">
        <w:rPr>
          <w:szCs w:val="22"/>
        </w:rPr>
        <w:t>Csomagolási egységek:</w:t>
      </w:r>
    </w:p>
    <w:p w14:paraId="2A080F4B" w14:textId="77777777" w:rsidR="00D0403E" w:rsidRPr="00183B5F" w:rsidRDefault="00943743" w:rsidP="004062FE">
      <w:pPr>
        <w:numPr>
          <w:ilvl w:val="0"/>
          <w:numId w:val="18"/>
        </w:numPr>
        <w:tabs>
          <w:tab w:val="clear" w:pos="720"/>
        </w:tabs>
        <w:spacing w:line="240" w:lineRule="auto"/>
        <w:ind w:left="567" w:hanging="567"/>
        <w:rPr>
          <w:szCs w:val="22"/>
        </w:rPr>
      </w:pPr>
      <w:r w:rsidRPr="00183B5F">
        <w:rPr>
          <w:szCs w:val="22"/>
        </w:rPr>
        <w:t>1 előretöltött fecskendő (0,</w:t>
      </w:r>
      <w:r w:rsidR="00242FEE" w:rsidRPr="00183B5F">
        <w:rPr>
          <w:szCs w:val="22"/>
        </w:rPr>
        <w:t>4 </w:t>
      </w:r>
      <w:r w:rsidRPr="00183B5F">
        <w:rPr>
          <w:szCs w:val="22"/>
        </w:rPr>
        <w:t>ml steril oldat) egy alkoholos törlőkendővel, buborékcsomagolásban.</w:t>
      </w:r>
    </w:p>
    <w:p w14:paraId="123F7D93" w14:textId="77777777" w:rsidR="00D0403E" w:rsidRPr="00183B5F" w:rsidRDefault="00943743" w:rsidP="004062FE">
      <w:pPr>
        <w:numPr>
          <w:ilvl w:val="0"/>
          <w:numId w:val="18"/>
        </w:numPr>
        <w:tabs>
          <w:tab w:val="clear" w:pos="720"/>
        </w:tabs>
        <w:spacing w:line="240" w:lineRule="auto"/>
        <w:ind w:left="567" w:hanging="567"/>
        <w:rPr>
          <w:szCs w:val="22"/>
        </w:rPr>
      </w:pPr>
      <w:r w:rsidRPr="00183B5F">
        <w:rPr>
          <w:szCs w:val="22"/>
        </w:rPr>
        <w:t>2 előretöltött fecskendő (0,</w:t>
      </w:r>
      <w:r w:rsidR="00242FEE" w:rsidRPr="00183B5F">
        <w:rPr>
          <w:szCs w:val="22"/>
        </w:rPr>
        <w:t>4</w:t>
      </w:r>
      <w:r w:rsidRPr="00183B5F">
        <w:rPr>
          <w:szCs w:val="22"/>
        </w:rPr>
        <w:t> ml steril oldat) egy-egy alkoholos törlőkendővel, buborékcsomagolásban.</w:t>
      </w:r>
    </w:p>
    <w:p w14:paraId="28C13543" w14:textId="77777777" w:rsidR="00D0403E" w:rsidRPr="00183B5F" w:rsidRDefault="00943743" w:rsidP="004062FE">
      <w:pPr>
        <w:numPr>
          <w:ilvl w:val="0"/>
          <w:numId w:val="18"/>
        </w:numPr>
        <w:tabs>
          <w:tab w:val="clear" w:pos="720"/>
        </w:tabs>
        <w:spacing w:line="240" w:lineRule="auto"/>
        <w:ind w:left="567" w:hanging="567"/>
        <w:rPr>
          <w:szCs w:val="22"/>
        </w:rPr>
      </w:pPr>
      <w:r w:rsidRPr="00183B5F">
        <w:rPr>
          <w:szCs w:val="22"/>
        </w:rPr>
        <w:t>4 előretöltött fecskendő (0,</w:t>
      </w:r>
      <w:r w:rsidR="00242FEE" w:rsidRPr="00183B5F">
        <w:rPr>
          <w:szCs w:val="22"/>
        </w:rPr>
        <w:t>4</w:t>
      </w:r>
      <w:r w:rsidRPr="00183B5F">
        <w:rPr>
          <w:szCs w:val="22"/>
        </w:rPr>
        <w:t> ml steril oldat) egy-egy alkoholos törlőkendővel, buborékcsomagolásban.</w:t>
      </w:r>
    </w:p>
    <w:p w14:paraId="17252269" w14:textId="77777777" w:rsidR="00D0403E" w:rsidRPr="00183B5F" w:rsidRDefault="00943743" w:rsidP="004062FE">
      <w:pPr>
        <w:numPr>
          <w:ilvl w:val="0"/>
          <w:numId w:val="18"/>
        </w:numPr>
        <w:tabs>
          <w:tab w:val="clear" w:pos="720"/>
        </w:tabs>
        <w:spacing w:line="240" w:lineRule="auto"/>
        <w:ind w:left="567" w:hanging="567"/>
        <w:rPr>
          <w:szCs w:val="22"/>
        </w:rPr>
      </w:pPr>
      <w:r w:rsidRPr="00183B5F">
        <w:rPr>
          <w:szCs w:val="22"/>
        </w:rPr>
        <w:t>6 előretöltött fecskendő (0,</w:t>
      </w:r>
      <w:r w:rsidR="00242FEE" w:rsidRPr="00183B5F">
        <w:rPr>
          <w:szCs w:val="22"/>
        </w:rPr>
        <w:t>4</w:t>
      </w:r>
      <w:r w:rsidRPr="00183B5F">
        <w:rPr>
          <w:szCs w:val="22"/>
        </w:rPr>
        <w:t> ml steril oldat) egy-egy alkoholos törlőkendővel, buborékcsomagolásban.</w:t>
      </w:r>
    </w:p>
    <w:p w14:paraId="06A5CC2C" w14:textId="77777777" w:rsidR="00D0403E" w:rsidRPr="00183B5F" w:rsidRDefault="00D0403E" w:rsidP="004062FE">
      <w:pPr>
        <w:spacing w:line="240" w:lineRule="auto"/>
        <w:rPr>
          <w:szCs w:val="22"/>
        </w:rPr>
      </w:pPr>
    </w:p>
    <w:p w14:paraId="2196660A" w14:textId="77777777" w:rsidR="00F778FC" w:rsidRPr="00183B5F" w:rsidRDefault="00943743" w:rsidP="00FC288C">
      <w:pPr>
        <w:keepNext/>
        <w:spacing w:line="240" w:lineRule="auto"/>
        <w:rPr>
          <w:szCs w:val="22"/>
          <w:u w:val="single"/>
        </w:rPr>
      </w:pPr>
      <w:r w:rsidRPr="00183B5F">
        <w:rPr>
          <w:szCs w:val="22"/>
          <w:u w:val="single"/>
        </w:rPr>
        <w:t xml:space="preserve">Humira 40 mg oldatos injekció előretöltött injekciós tollban </w:t>
      </w:r>
    </w:p>
    <w:p w14:paraId="21D54E00" w14:textId="77777777" w:rsidR="00F778FC" w:rsidRPr="00183B5F" w:rsidRDefault="00943743" w:rsidP="004062FE">
      <w:pPr>
        <w:spacing w:line="240" w:lineRule="auto"/>
        <w:rPr>
          <w:szCs w:val="22"/>
        </w:rPr>
      </w:pPr>
      <w:r w:rsidRPr="00183B5F">
        <w:rPr>
          <w:szCs w:val="22"/>
        </w:rPr>
        <w:t>Humira 40 mg oldatos injekció egyszer használatos, előretöltött injekciós toll, beteg általi alkalmazásra</w:t>
      </w:r>
      <w:r w:rsidR="0081169C" w:rsidRPr="00183B5F">
        <w:rPr>
          <w:szCs w:val="22"/>
        </w:rPr>
        <w:t>,</w:t>
      </w:r>
      <w:r w:rsidRPr="00183B5F">
        <w:rPr>
          <w:szCs w:val="22"/>
        </w:rPr>
        <w:t xml:space="preserve"> egy előretöltött fecskendőt tartalmaz. Az injekciós tollban lévő fecskendő I. típusú üvegből készült, dugattyúval (brómbutil gumi), és egy tű, tűvédővel (termoplasztikus elasztomer).</w:t>
      </w:r>
    </w:p>
    <w:p w14:paraId="0F1E0A9A" w14:textId="77777777" w:rsidR="00F778FC" w:rsidRPr="00183B5F" w:rsidRDefault="00F778FC" w:rsidP="004062FE">
      <w:pPr>
        <w:spacing w:line="240" w:lineRule="auto"/>
        <w:rPr>
          <w:szCs w:val="22"/>
        </w:rPr>
      </w:pPr>
    </w:p>
    <w:p w14:paraId="0E897D0E" w14:textId="77777777" w:rsidR="00F778FC" w:rsidRPr="00183B5F" w:rsidRDefault="00943743" w:rsidP="00F97F1E">
      <w:pPr>
        <w:keepNext/>
        <w:spacing w:line="240" w:lineRule="auto"/>
        <w:rPr>
          <w:szCs w:val="22"/>
        </w:rPr>
      </w:pPr>
      <w:r w:rsidRPr="00183B5F">
        <w:rPr>
          <w:szCs w:val="22"/>
        </w:rPr>
        <w:t>Csomagolási egység:</w:t>
      </w:r>
    </w:p>
    <w:p w14:paraId="4B8F4406" w14:textId="77777777" w:rsidR="00F778FC" w:rsidRPr="00183B5F" w:rsidRDefault="00943743" w:rsidP="004062FE">
      <w:pPr>
        <w:pStyle w:val="EndnoteText"/>
        <w:numPr>
          <w:ilvl w:val="0"/>
          <w:numId w:val="63"/>
        </w:numPr>
        <w:suppressAutoHyphens/>
        <w:rPr>
          <w:sz w:val="22"/>
          <w:szCs w:val="22"/>
          <w:lang w:val="hu-HU"/>
        </w:rPr>
      </w:pPr>
      <w:r w:rsidRPr="00183B5F">
        <w:rPr>
          <w:noProof/>
          <w:sz w:val="22"/>
          <w:szCs w:val="22"/>
          <w:lang w:val="hu-HU"/>
        </w:rPr>
        <w:t>1 előretöltött injekciós toll (0,4 ml steril oldat) 2 alkoholos törlőkendő</w:t>
      </w:r>
      <w:r w:rsidR="00F77D45" w:rsidRPr="00183B5F">
        <w:rPr>
          <w:noProof/>
          <w:sz w:val="22"/>
          <w:szCs w:val="22"/>
          <w:lang w:val="hu-HU"/>
        </w:rPr>
        <w:t>vel</w:t>
      </w:r>
      <w:r w:rsidRPr="00183B5F">
        <w:rPr>
          <w:noProof/>
          <w:sz w:val="22"/>
          <w:szCs w:val="22"/>
          <w:lang w:val="hu-HU"/>
        </w:rPr>
        <w:t>,</w:t>
      </w:r>
      <w:r w:rsidRPr="00183B5F">
        <w:rPr>
          <w:sz w:val="22"/>
          <w:szCs w:val="22"/>
          <w:lang w:val="hu-HU"/>
        </w:rPr>
        <w:t xml:space="preserve"> buborékcsomagolásban.</w:t>
      </w:r>
    </w:p>
    <w:p w14:paraId="52316E06" w14:textId="77777777" w:rsidR="00F778FC" w:rsidRPr="00183B5F" w:rsidRDefault="00943743" w:rsidP="004062FE">
      <w:pPr>
        <w:numPr>
          <w:ilvl w:val="0"/>
          <w:numId w:val="63"/>
        </w:numPr>
        <w:spacing w:line="240" w:lineRule="auto"/>
        <w:rPr>
          <w:szCs w:val="22"/>
        </w:rPr>
      </w:pPr>
      <w:r w:rsidRPr="00183B5F">
        <w:rPr>
          <w:szCs w:val="22"/>
        </w:rPr>
        <w:t xml:space="preserve">2 </w:t>
      </w:r>
      <w:r w:rsidRPr="00183B5F">
        <w:rPr>
          <w:noProof/>
          <w:szCs w:val="22"/>
        </w:rPr>
        <w:t xml:space="preserve">előretöltött injekciós toll (0,4 ml steril oldat) </w:t>
      </w:r>
      <w:r w:rsidR="00F77D45" w:rsidRPr="00183B5F">
        <w:rPr>
          <w:noProof/>
          <w:szCs w:val="22"/>
        </w:rPr>
        <w:t>egy-egy</w:t>
      </w:r>
      <w:r w:rsidRPr="00183B5F">
        <w:rPr>
          <w:noProof/>
          <w:szCs w:val="22"/>
        </w:rPr>
        <w:t xml:space="preserve"> alkoholos törlőkendővel,</w:t>
      </w:r>
      <w:r w:rsidRPr="00183B5F">
        <w:rPr>
          <w:szCs w:val="22"/>
        </w:rPr>
        <w:t xml:space="preserve"> buborékcsomagolásban.</w:t>
      </w:r>
    </w:p>
    <w:p w14:paraId="4D56BFD5" w14:textId="77777777" w:rsidR="00F778FC" w:rsidRPr="00183B5F" w:rsidRDefault="00943743" w:rsidP="004062FE">
      <w:pPr>
        <w:numPr>
          <w:ilvl w:val="0"/>
          <w:numId w:val="63"/>
        </w:numPr>
        <w:spacing w:line="240" w:lineRule="auto"/>
        <w:rPr>
          <w:szCs w:val="22"/>
        </w:rPr>
      </w:pPr>
      <w:r w:rsidRPr="00183B5F">
        <w:rPr>
          <w:szCs w:val="22"/>
        </w:rPr>
        <w:t xml:space="preserve">4 </w:t>
      </w:r>
      <w:r w:rsidRPr="00183B5F">
        <w:rPr>
          <w:noProof/>
          <w:szCs w:val="22"/>
        </w:rPr>
        <w:t xml:space="preserve">előretöltött injekciós toll (0,4 ml steril oldat) </w:t>
      </w:r>
      <w:r w:rsidR="00F77D45" w:rsidRPr="00183B5F">
        <w:rPr>
          <w:noProof/>
          <w:szCs w:val="22"/>
        </w:rPr>
        <w:t>egy-egy</w:t>
      </w:r>
      <w:r w:rsidRPr="00183B5F">
        <w:rPr>
          <w:noProof/>
          <w:szCs w:val="22"/>
        </w:rPr>
        <w:t xml:space="preserve"> alkoholos törlőkendővel,</w:t>
      </w:r>
      <w:r w:rsidRPr="00183B5F">
        <w:rPr>
          <w:szCs w:val="22"/>
        </w:rPr>
        <w:t xml:space="preserve"> buborékcsomagolásban.</w:t>
      </w:r>
    </w:p>
    <w:p w14:paraId="140A3E8D" w14:textId="77777777" w:rsidR="00F778FC" w:rsidRPr="00183B5F" w:rsidRDefault="00943743" w:rsidP="004062FE">
      <w:pPr>
        <w:numPr>
          <w:ilvl w:val="0"/>
          <w:numId w:val="63"/>
        </w:numPr>
        <w:spacing w:line="240" w:lineRule="auto"/>
        <w:rPr>
          <w:szCs w:val="22"/>
        </w:rPr>
      </w:pPr>
      <w:r w:rsidRPr="00183B5F">
        <w:rPr>
          <w:noProof/>
          <w:szCs w:val="22"/>
        </w:rPr>
        <w:t>6 előretöltött injekciós toll (0,4</w:t>
      </w:r>
      <w:r w:rsidR="002542C1" w:rsidRPr="00183B5F">
        <w:rPr>
          <w:noProof/>
          <w:szCs w:val="22"/>
        </w:rPr>
        <w:t> </w:t>
      </w:r>
      <w:r w:rsidRPr="00183B5F">
        <w:rPr>
          <w:noProof/>
          <w:szCs w:val="22"/>
        </w:rPr>
        <w:t xml:space="preserve">ml steril oldat) </w:t>
      </w:r>
      <w:r w:rsidR="00F77D45" w:rsidRPr="00183B5F">
        <w:rPr>
          <w:noProof/>
          <w:szCs w:val="22"/>
        </w:rPr>
        <w:t>egy-egy</w:t>
      </w:r>
      <w:r w:rsidRPr="00183B5F">
        <w:rPr>
          <w:noProof/>
          <w:szCs w:val="22"/>
        </w:rPr>
        <w:t xml:space="preserve"> alkoholos törlőkendővel,</w:t>
      </w:r>
      <w:r w:rsidRPr="00183B5F">
        <w:rPr>
          <w:szCs w:val="22"/>
        </w:rPr>
        <w:t xml:space="preserve"> buborékcsomagolásban.</w:t>
      </w:r>
    </w:p>
    <w:p w14:paraId="680E5779" w14:textId="77777777" w:rsidR="00F778FC" w:rsidRPr="00183B5F" w:rsidRDefault="00F778FC" w:rsidP="004062FE">
      <w:pPr>
        <w:spacing w:line="240" w:lineRule="auto"/>
        <w:rPr>
          <w:szCs w:val="22"/>
        </w:rPr>
      </w:pPr>
    </w:p>
    <w:p w14:paraId="093EBC44" w14:textId="77777777" w:rsidR="00D0403E" w:rsidRPr="00183B5F" w:rsidRDefault="00943743" w:rsidP="004062FE">
      <w:pPr>
        <w:spacing w:line="240" w:lineRule="auto"/>
        <w:rPr>
          <w:szCs w:val="22"/>
        </w:rPr>
      </w:pPr>
      <w:r w:rsidRPr="00183B5F">
        <w:rPr>
          <w:szCs w:val="22"/>
        </w:rPr>
        <w:t>Nem feltétlenül mindegyik kiszerelés kerül kereskedelmi forgalomba.</w:t>
      </w:r>
    </w:p>
    <w:p w14:paraId="46C9211E" w14:textId="77777777" w:rsidR="00D0403E" w:rsidRPr="00183B5F" w:rsidRDefault="00D0403E" w:rsidP="004062FE">
      <w:pPr>
        <w:spacing w:line="240" w:lineRule="auto"/>
        <w:rPr>
          <w:szCs w:val="22"/>
        </w:rPr>
      </w:pPr>
    </w:p>
    <w:p w14:paraId="2D086061" w14:textId="77777777" w:rsidR="00D0403E" w:rsidRPr="00183B5F" w:rsidRDefault="00943743" w:rsidP="004062FE">
      <w:pPr>
        <w:keepNext/>
        <w:spacing w:line="240" w:lineRule="auto"/>
        <w:ind w:left="567" w:hanging="567"/>
        <w:rPr>
          <w:b/>
          <w:szCs w:val="22"/>
        </w:rPr>
      </w:pPr>
      <w:r w:rsidRPr="00183B5F">
        <w:rPr>
          <w:b/>
          <w:szCs w:val="22"/>
        </w:rPr>
        <w:t>6.6</w:t>
      </w:r>
      <w:r w:rsidRPr="00183B5F">
        <w:rPr>
          <w:b/>
          <w:szCs w:val="22"/>
        </w:rPr>
        <w:tab/>
      </w:r>
      <w:r w:rsidRPr="00183B5F">
        <w:rPr>
          <w:b/>
          <w:szCs w:val="22"/>
        </w:rPr>
        <w:t>A megsemmisítésre vonatkozó különleges óvintézkedések és egyéb, a készítmény kezelésével kapcsolatos információk</w:t>
      </w:r>
    </w:p>
    <w:p w14:paraId="356632F8" w14:textId="77777777" w:rsidR="00D0403E" w:rsidRPr="00183B5F" w:rsidRDefault="00D0403E" w:rsidP="004062FE">
      <w:pPr>
        <w:keepNext/>
        <w:spacing w:line="240" w:lineRule="auto"/>
        <w:rPr>
          <w:szCs w:val="22"/>
        </w:rPr>
      </w:pPr>
    </w:p>
    <w:p w14:paraId="2CBE23BE" w14:textId="77777777" w:rsidR="00D0403E" w:rsidRPr="00183B5F" w:rsidRDefault="00943743" w:rsidP="004062FE">
      <w:pPr>
        <w:keepNext/>
        <w:spacing w:line="240" w:lineRule="auto"/>
        <w:rPr>
          <w:szCs w:val="22"/>
        </w:rPr>
      </w:pPr>
      <w:r w:rsidRPr="00183B5F">
        <w:rPr>
          <w:szCs w:val="22"/>
        </w:rPr>
        <w:t>Bármilyen fel nem használt gyógyszer, illetve hulladékanyag megsemmisítését a gyógyszerekre vonatkozó előírások szerint kell végrehajtani.</w:t>
      </w:r>
    </w:p>
    <w:p w14:paraId="156E0D16" w14:textId="77777777" w:rsidR="00D0403E" w:rsidRPr="00183B5F" w:rsidRDefault="00D0403E" w:rsidP="004062FE">
      <w:pPr>
        <w:spacing w:line="240" w:lineRule="auto"/>
        <w:rPr>
          <w:szCs w:val="22"/>
        </w:rPr>
      </w:pPr>
    </w:p>
    <w:p w14:paraId="39F8CF66" w14:textId="77777777" w:rsidR="00D0403E" w:rsidRPr="00183B5F" w:rsidRDefault="00D0403E" w:rsidP="004062FE">
      <w:pPr>
        <w:spacing w:line="240" w:lineRule="auto"/>
        <w:rPr>
          <w:szCs w:val="22"/>
        </w:rPr>
      </w:pPr>
    </w:p>
    <w:p w14:paraId="19393DB2" w14:textId="77777777" w:rsidR="00D0403E" w:rsidRPr="00183B5F" w:rsidRDefault="00943743" w:rsidP="006B2397">
      <w:pPr>
        <w:keepNext/>
        <w:spacing w:line="240" w:lineRule="auto"/>
        <w:ind w:left="567" w:hanging="567"/>
        <w:rPr>
          <w:b/>
          <w:szCs w:val="22"/>
        </w:rPr>
      </w:pPr>
      <w:r w:rsidRPr="00183B5F">
        <w:rPr>
          <w:b/>
          <w:szCs w:val="22"/>
        </w:rPr>
        <w:t>7.</w:t>
      </w:r>
      <w:r w:rsidRPr="00183B5F">
        <w:rPr>
          <w:b/>
          <w:szCs w:val="22"/>
        </w:rPr>
        <w:tab/>
        <w:t>A FORGALOMBA HOZATALI ENGEDÉLY JOGOSULTJA</w:t>
      </w:r>
    </w:p>
    <w:p w14:paraId="44008DA3" w14:textId="77777777" w:rsidR="00D0403E" w:rsidRPr="00183B5F" w:rsidRDefault="00D0403E" w:rsidP="006B2397">
      <w:pPr>
        <w:keepNext/>
        <w:spacing w:line="240" w:lineRule="auto"/>
        <w:rPr>
          <w:szCs w:val="22"/>
        </w:rPr>
      </w:pPr>
    </w:p>
    <w:p w14:paraId="644673FD" w14:textId="77777777" w:rsidR="0054572E" w:rsidRPr="00183B5F" w:rsidRDefault="00943743" w:rsidP="0054572E">
      <w:pPr>
        <w:keepNext/>
        <w:suppressAutoHyphens w:val="0"/>
        <w:autoSpaceDE w:val="0"/>
        <w:autoSpaceDN w:val="0"/>
        <w:adjustRightInd w:val="0"/>
        <w:spacing w:line="240" w:lineRule="atLeast"/>
        <w:rPr>
          <w:szCs w:val="22"/>
          <w:lang w:eastAsia="en-GB"/>
        </w:rPr>
      </w:pPr>
      <w:r w:rsidRPr="00183B5F">
        <w:rPr>
          <w:szCs w:val="22"/>
          <w:lang w:eastAsia="en-GB"/>
        </w:rPr>
        <w:t>AbbVie Deutschland GmbH &amp; Co. KG</w:t>
      </w:r>
    </w:p>
    <w:p w14:paraId="7DDC9F93" w14:textId="77777777" w:rsidR="0054572E" w:rsidRPr="00183B5F" w:rsidRDefault="00943743" w:rsidP="0054572E">
      <w:pPr>
        <w:keepNext/>
        <w:suppressAutoHyphens w:val="0"/>
        <w:autoSpaceDE w:val="0"/>
        <w:autoSpaceDN w:val="0"/>
        <w:adjustRightInd w:val="0"/>
        <w:spacing w:line="240" w:lineRule="atLeast"/>
        <w:rPr>
          <w:szCs w:val="22"/>
          <w:lang w:eastAsia="en-GB"/>
        </w:rPr>
      </w:pPr>
      <w:r w:rsidRPr="00183B5F">
        <w:rPr>
          <w:szCs w:val="22"/>
          <w:lang w:eastAsia="en-GB"/>
        </w:rPr>
        <w:t>Knollstrasse</w:t>
      </w:r>
    </w:p>
    <w:p w14:paraId="13E2D579" w14:textId="77777777" w:rsidR="0054572E" w:rsidRPr="00183B5F" w:rsidRDefault="00943743" w:rsidP="0054572E">
      <w:pPr>
        <w:keepNext/>
        <w:suppressAutoHyphens w:val="0"/>
        <w:autoSpaceDE w:val="0"/>
        <w:autoSpaceDN w:val="0"/>
        <w:adjustRightInd w:val="0"/>
        <w:spacing w:line="240" w:lineRule="atLeast"/>
        <w:rPr>
          <w:szCs w:val="22"/>
          <w:lang w:eastAsia="en-GB"/>
        </w:rPr>
      </w:pPr>
      <w:r w:rsidRPr="00183B5F">
        <w:rPr>
          <w:szCs w:val="22"/>
          <w:lang w:eastAsia="en-GB"/>
        </w:rPr>
        <w:t>67061 Ludwigshafen</w:t>
      </w:r>
    </w:p>
    <w:p w14:paraId="00243B3B" w14:textId="77777777" w:rsidR="0054572E" w:rsidRPr="00183B5F" w:rsidRDefault="00943743" w:rsidP="0054572E">
      <w:pPr>
        <w:keepNext/>
        <w:suppressAutoHyphens w:val="0"/>
        <w:autoSpaceDE w:val="0"/>
        <w:autoSpaceDN w:val="0"/>
        <w:adjustRightInd w:val="0"/>
        <w:spacing w:line="240" w:lineRule="atLeast"/>
        <w:rPr>
          <w:szCs w:val="22"/>
          <w:lang w:eastAsia="en-GB"/>
        </w:rPr>
      </w:pPr>
      <w:r w:rsidRPr="00183B5F">
        <w:rPr>
          <w:szCs w:val="22"/>
          <w:lang w:eastAsia="en-GB"/>
        </w:rPr>
        <w:t xml:space="preserve">Németország </w:t>
      </w:r>
    </w:p>
    <w:p w14:paraId="090109B9" w14:textId="77777777" w:rsidR="00D0403E" w:rsidRPr="00183B5F" w:rsidRDefault="00D0403E" w:rsidP="004062FE">
      <w:pPr>
        <w:tabs>
          <w:tab w:val="left" w:pos="562"/>
        </w:tabs>
        <w:spacing w:line="240" w:lineRule="auto"/>
        <w:rPr>
          <w:szCs w:val="22"/>
        </w:rPr>
      </w:pPr>
    </w:p>
    <w:p w14:paraId="07DEB609" w14:textId="77777777" w:rsidR="00D0403E" w:rsidRPr="00183B5F" w:rsidRDefault="00D0403E" w:rsidP="004062FE">
      <w:pPr>
        <w:tabs>
          <w:tab w:val="left" w:pos="562"/>
        </w:tabs>
        <w:spacing w:line="240" w:lineRule="auto"/>
        <w:rPr>
          <w:szCs w:val="22"/>
        </w:rPr>
      </w:pPr>
    </w:p>
    <w:p w14:paraId="05FA1F20" w14:textId="77777777" w:rsidR="00D0403E" w:rsidRPr="00183B5F" w:rsidRDefault="00943743" w:rsidP="004062FE">
      <w:pPr>
        <w:keepNext/>
        <w:spacing w:line="240" w:lineRule="auto"/>
        <w:rPr>
          <w:b/>
          <w:szCs w:val="22"/>
        </w:rPr>
      </w:pPr>
      <w:r w:rsidRPr="00183B5F">
        <w:rPr>
          <w:b/>
          <w:szCs w:val="22"/>
        </w:rPr>
        <w:t>8.</w:t>
      </w:r>
      <w:r w:rsidRPr="00183B5F">
        <w:rPr>
          <w:b/>
          <w:szCs w:val="22"/>
        </w:rPr>
        <w:tab/>
        <w:t>A FORGALOMBA HOZATALI ENGEDÉLY SZÁMA(I)</w:t>
      </w:r>
    </w:p>
    <w:p w14:paraId="6788CB1E" w14:textId="77777777" w:rsidR="00D0403E" w:rsidRPr="00183B5F" w:rsidRDefault="00D0403E" w:rsidP="004062FE">
      <w:pPr>
        <w:keepNext/>
        <w:spacing w:line="240" w:lineRule="auto"/>
        <w:rPr>
          <w:szCs w:val="22"/>
        </w:rPr>
      </w:pPr>
    </w:p>
    <w:p w14:paraId="05E5358E" w14:textId="77777777" w:rsidR="00F778FC" w:rsidRPr="00183B5F" w:rsidRDefault="00943743" w:rsidP="004062FE">
      <w:pPr>
        <w:keepNext/>
        <w:spacing w:line="240" w:lineRule="auto"/>
        <w:rPr>
          <w:szCs w:val="22"/>
        </w:rPr>
      </w:pPr>
      <w:r w:rsidRPr="00183B5F">
        <w:rPr>
          <w:u w:val="single"/>
        </w:rPr>
        <w:t>Humira 40 mg oldatos injekció előretöltött fecskendőben</w:t>
      </w:r>
      <w:r w:rsidRPr="00183B5F">
        <w:rPr>
          <w:szCs w:val="22"/>
        </w:rPr>
        <w:t xml:space="preserve"> </w:t>
      </w:r>
    </w:p>
    <w:p w14:paraId="45442FD9" w14:textId="77777777" w:rsidR="00D0403E" w:rsidRPr="00183B5F" w:rsidRDefault="00943743" w:rsidP="004062FE">
      <w:pPr>
        <w:keepNext/>
        <w:spacing w:line="240" w:lineRule="auto"/>
        <w:rPr>
          <w:szCs w:val="22"/>
        </w:rPr>
      </w:pPr>
      <w:r w:rsidRPr="00183B5F">
        <w:rPr>
          <w:szCs w:val="22"/>
        </w:rPr>
        <w:t>EU/1/03/256/</w:t>
      </w:r>
      <w:r w:rsidR="00310EEF" w:rsidRPr="00183B5F">
        <w:rPr>
          <w:szCs w:val="22"/>
        </w:rPr>
        <w:t>012</w:t>
      </w:r>
    </w:p>
    <w:p w14:paraId="63EC7890" w14:textId="77777777" w:rsidR="00D0403E" w:rsidRPr="00183B5F" w:rsidRDefault="00943743" w:rsidP="004062FE">
      <w:pPr>
        <w:spacing w:line="240" w:lineRule="auto"/>
        <w:rPr>
          <w:szCs w:val="22"/>
        </w:rPr>
      </w:pPr>
      <w:r w:rsidRPr="00183B5F">
        <w:rPr>
          <w:szCs w:val="22"/>
        </w:rPr>
        <w:t>EU/1/03/256/</w:t>
      </w:r>
      <w:r w:rsidR="00310EEF" w:rsidRPr="00183B5F">
        <w:rPr>
          <w:szCs w:val="22"/>
        </w:rPr>
        <w:t>013</w:t>
      </w:r>
    </w:p>
    <w:p w14:paraId="01DA1943" w14:textId="77777777" w:rsidR="00D0403E" w:rsidRPr="00183B5F" w:rsidRDefault="00943743" w:rsidP="004062FE">
      <w:pPr>
        <w:spacing w:line="240" w:lineRule="auto"/>
        <w:rPr>
          <w:szCs w:val="22"/>
        </w:rPr>
      </w:pPr>
      <w:r w:rsidRPr="00183B5F">
        <w:rPr>
          <w:szCs w:val="22"/>
        </w:rPr>
        <w:t>EU/1/03/256/</w:t>
      </w:r>
      <w:r w:rsidR="00310EEF" w:rsidRPr="00183B5F">
        <w:rPr>
          <w:szCs w:val="22"/>
        </w:rPr>
        <w:t>014</w:t>
      </w:r>
    </w:p>
    <w:p w14:paraId="2707D6DD" w14:textId="77777777" w:rsidR="00D0403E" w:rsidRPr="00183B5F" w:rsidRDefault="00943743" w:rsidP="004062FE">
      <w:pPr>
        <w:spacing w:line="240" w:lineRule="auto"/>
        <w:rPr>
          <w:szCs w:val="22"/>
        </w:rPr>
      </w:pPr>
      <w:r w:rsidRPr="00183B5F">
        <w:rPr>
          <w:szCs w:val="22"/>
        </w:rPr>
        <w:t>EU/1/03/256/</w:t>
      </w:r>
      <w:r w:rsidR="00310EEF" w:rsidRPr="00183B5F">
        <w:rPr>
          <w:szCs w:val="22"/>
        </w:rPr>
        <w:t>015</w:t>
      </w:r>
    </w:p>
    <w:p w14:paraId="72CAA69D" w14:textId="77777777" w:rsidR="00D0403E" w:rsidRPr="00183B5F" w:rsidRDefault="00D0403E" w:rsidP="004062FE">
      <w:pPr>
        <w:spacing w:line="240" w:lineRule="auto"/>
        <w:rPr>
          <w:szCs w:val="22"/>
        </w:rPr>
      </w:pPr>
    </w:p>
    <w:p w14:paraId="6366CD12" w14:textId="77777777" w:rsidR="00F778FC" w:rsidRPr="00183B5F" w:rsidRDefault="00943743" w:rsidP="00FD5792">
      <w:pPr>
        <w:keepNext/>
        <w:spacing w:line="240" w:lineRule="auto"/>
        <w:rPr>
          <w:szCs w:val="22"/>
        </w:rPr>
      </w:pPr>
      <w:r w:rsidRPr="00183B5F">
        <w:rPr>
          <w:szCs w:val="22"/>
          <w:u w:val="single"/>
        </w:rPr>
        <w:t>Humira 40 mg oldatos injekció előretöltött injekciós tollban</w:t>
      </w:r>
    </w:p>
    <w:p w14:paraId="79D60513" w14:textId="77777777" w:rsidR="00F778FC" w:rsidRPr="00183B5F" w:rsidRDefault="00943743" w:rsidP="00FD5792">
      <w:pPr>
        <w:pStyle w:val="EMEANormal"/>
        <w:keepNext/>
        <w:rPr>
          <w:lang w:val="hu-HU"/>
        </w:rPr>
      </w:pPr>
      <w:r w:rsidRPr="00183B5F">
        <w:rPr>
          <w:lang w:val="hu-HU"/>
        </w:rPr>
        <w:t>EU/1/03/256/016</w:t>
      </w:r>
    </w:p>
    <w:p w14:paraId="228DAC6E" w14:textId="77777777" w:rsidR="00F778FC" w:rsidRPr="00183B5F" w:rsidRDefault="00943743">
      <w:pPr>
        <w:pStyle w:val="EMEANormal"/>
        <w:rPr>
          <w:lang w:val="hu-HU"/>
        </w:rPr>
      </w:pPr>
      <w:r w:rsidRPr="00183B5F">
        <w:rPr>
          <w:lang w:val="hu-HU"/>
        </w:rPr>
        <w:t>EU/1/03/256/017</w:t>
      </w:r>
    </w:p>
    <w:p w14:paraId="301CBB9F" w14:textId="77777777" w:rsidR="00F778FC" w:rsidRPr="00183B5F" w:rsidRDefault="00943743">
      <w:pPr>
        <w:pStyle w:val="EMEANormal"/>
        <w:rPr>
          <w:lang w:val="hu-HU"/>
        </w:rPr>
      </w:pPr>
      <w:r w:rsidRPr="00183B5F">
        <w:rPr>
          <w:lang w:val="hu-HU"/>
        </w:rPr>
        <w:t>EU/1/03/256/018</w:t>
      </w:r>
    </w:p>
    <w:p w14:paraId="59569D6C" w14:textId="77777777" w:rsidR="00F778FC" w:rsidRPr="00183B5F" w:rsidRDefault="00943743">
      <w:pPr>
        <w:pStyle w:val="EMEANormal"/>
        <w:rPr>
          <w:lang w:val="hu-HU"/>
        </w:rPr>
      </w:pPr>
      <w:r w:rsidRPr="00183B5F">
        <w:rPr>
          <w:lang w:val="hu-HU"/>
        </w:rPr>
        <w:t>EU/1/03/256/019</w:t>
      </w:r>
    </w:p>
    <w:p w14:paraId="6AE23031" w14:textId="77777777" w:rsidR="00D0403E" w:rsidRPr="00183B5F" w:rsidRDefault="00D0403E" w:rsidP="004062FE">
      <w:pPr>
        <w:spacing w:line="240" w:lineRule="auto"/>
        <w:rPr>
          <w:szCs w:val="22"/>
        </w:rPr>
      </w:pPr>
    </w:p>
    <w:p w14:paraId="025FC097" w14:textId="77777777" w:rsidR="00F778FC" w:rsidRPr="00183B5F" w:rsidRDefault="00F778FC" w:rsidP="004062FE">
      <w:pPr>
        <w:spacing w:line="240" w:lineRule="auto"/>
        <w:rPr>
          <w:szCs w:val="22"/>
        </w:rPr>
      </w:pPr>
    </w:p>
    <w:p w14:paraId="2E6C0CD7" w14:textId="77777777" w:rsidR="00D0403E" w:rsidRPr="00183B5F" w:rsidRDefault="00943743" w:rsidP="004062FE">
      <w:pPr>
        <w:keepNext/>
        <w:spacing w:line="240" w:lineRule="auto"/>
        <w:ind w:left="567" w:hanging="567"/>
        <w:rPr>
          <w:b/>
          <w:szCs w:val="22"/>
        </w:rPr>
      </w:pPr>
      <w:r w:rsidRPr="00183B5F">
        <w:rPr>
          <w:b/>
          <w:szCs w:val="22"/>
        </w:rPr>
        <w:t>9.</w:t>
      </w:r>
      <w:r w:rsidRPr="00183B5F">
        <w:rPr>
          <w:b/>
          <w:szCs w:val="22"/>
        </w:rPr>
        <w:tab/>
        <w:t>A FORGALOMBA HOZATALI ENGEDÉLY ELSŐ KIADÁSÁNAK/MEGÚJÍTÁSÁNAK DÁTUMA</w:t>
      </w:r>
    </w:p>
    <w:p w14:paraId="02355F7D" w14:textId="77777777" w:rsidR="00D0403E" w:rsidRPr="00183B5F" w:rsidRDefault="00D0403E" w:rsidP="004062FE">
      <w:pPr>
        <w:keepNext/>
        <w:spacing w:line="240" w:lineRule="auto"/>
        <w:rPr>
          <w:szCs w:val="22"/>
        </w:rPr>
      </w:pPr>
    </w:p>
    <w:p w14:paraId="549CFE8C" w14:textId="77777777" w:rsidR="00D0403E" w:rsidRPr="00183B5F" w:rsidRDefault="00943743" w:rsidP="004062FE">
      <w:pPr>
        <w:spacing w:line="240" w:lineRule="auto"/>
        <w:rPr>
          <w:rStyle w:val="hps"/>
          <w:szCs w:val="22"/>
        </w:rPr>
      </w:pPr>
      <w:r w:rsidRPr="00183B5F">
        <w:rPr>
          <w:szCs w:val="22"/>
        </w:rPr>
        <w:t>Forgalomba hozatali engedély első kiadásának dátuma: 2003.</w:t>
      </w:r>
      <w:r w:rsidRPr="00183B5F">
        <w:rPr>
          <w:rStyle w:val="Heading1Char"/>
          <w:rFonts w:ascii="Times New Roman" w:hAnsi="Times New Roman"/>
          <w:sz w:val="22"/>
          <w:szCs w:val="22"/>
        </w:rPr>
        <w:t xml:space="preserve"> </w:t>
      </w:r>
      <w:r w:rsidR="007F0606" w:rsidRPr="00183B5F">
        <w:rPr>
          <w:rStyle w:val="hps"/>
          <w:szCs w:val="22"/>
        </w:rPr>
        <w:t>s</w:t>
      </w:r>
      <w:r w:rsidRPr="00183B5F">
        <w:rPr>
          <w:rStyle w:val="hps"/>
          <w:szCs w:val="22"/>
        </w:rPr>
        <w:t xml:space="preserve">zeptember </w:t>
      </w:r>
      <w:r w:rsidR="0081169C" w:rsidRPr="00183B5F">
        <w:rPr>
          <w:rStyle w:val="hps"/>
          <w:szCs w:val="22"/>
        </w:rPr>
        <w:t>8</w:t>
      </w:r>
      <w:r w:rsidR="007F0606" w:rsidRPr="00183B5F">
        <w:rPr>
          <w:rStyle w:val="hps"/>
          <w:szCs w:val="22"/>
        </w:rPr>
        <w:t>.</w:t>
      </w:r>
    </w:p>
    <w:p w14:paraId="25DE2D49" w14:textId="77777777" w:rsidR="00D0403E" w:rsidRPr="00183B5F" w:rsidRDefault="00943743" w:rsidP="004062FE">
      <w:pPr>
        <w:spacing w:line="240" w:lineRule="auto"/>
        <w:rPr>
          <w:szCs w:val="22"/>
        </w:rPr>
      </w:pPr>
      <w:r w:rsidRPr="00183B5F">
        <w:rPr>
          <w:szCs w:val="22"/>
        </w:rPr>
        <w:t>Forgalomba hozatali engedély legutolsó megújításának dátuma: 2008</w:t>
      </w:r>
      <w:r w:rsidR="007F0606" w:rsidRPr="00183B5F">
        <w:rPr>
          <w:szCs w:val="22"/>
        </w:rPr>
        <w:t>.</w:t>
      </w:r>
      <w:r w:rsidRPr="00183B5F">
        <w:rPr>
          <w:szCs w:val="22"/>
        </w:rPr>
        <w:t xml:space="preserve"> </w:t>
      </w:r>
      <w:r w:rsidR="007F0606" w:rsidRPr="00183B5F">
        <w:rPr>
          <w:rStyle w:val="hps"/>
          <w:szCs w:val="22"/>
        </w:rPr>
        <w:t>s</w:t>
      </w:r>
      <w:r w:rsidRPr="00183B5F">
        <w:rPr>
          <w:rStyle w:val="hps"/>
          <w:szCs w:val="22"/>
        </w:rPr>
        <w:t>zeptember 8</w:t>
      </w:r>
      <w:r w:rsidR="007F0606" w:rsidRPr="00183B5F">
        <w:rPr>
          <w:rStyle w:val="hps"/>
          <w:szCs w:val="22"/>
        </w:rPr>
        <w:t>.</w:t>
      </w:r>
    </w:p>
    <w:p w14:paraId="577C0DA1" w14:textId="77777777" w:rsidR="00D0403E" w:rsidRPr="00183B5F" w:rsidRDefault="00D0403E" w:rsidP="004062FE">
      <w:pPr>
        <w:spacing w:line="240" w:lineRule="auto"/>
        <w:rPr>
          <w:szCs w:val="22"/>
        </w:rPr>
      </w:pPr>
    </w:p>
    <w:p w14:paraId="4D23B799" w14:textId="77777777" w:rsidR="00D0403E" w:rsidRPr="00183B5F" w:rsidRDefault="00D0403E" w:rsidP="004062FE">
      <w:pPr>
        <w:spacing w:line="240" w:lineRule="auto"/>
        <w:rPr>
          <w:szCs w:val="22"/>
        </w:rPr>
      </w:pPr>
    </w:p>
    <w:p w14:paraId="6E4747D0" w14:textId="77777777" w:rsidR="00D0403E" w:rsidRPr="00183B5F" w:rsidRDefault="00943743" w:rsidP="004062FE">
      <w:pPr>
        <w:spacing w:line="240" w:lineRule="auto"/>
        <w:ind w:left="567" w:hanging="567"/>
        <w:rPr>
          <w:b/>
          <w:szCs w:val="22"/>
        </w:rPr>
      </w:pPr>
      <w:r w:rsidRPr="00183B5F">
        <w:rPr>
          <w:b/>
          <w:szCs w:val="22"/>
        </w:rPr>
        <w:t>10.</w:t>
      </w:r>
      <w:r w:rsidRPr="00183B5F">
        <w:rPr>
          <w:b/>
          <w:szCs w:val="22"/>
        </w:rPr>
        <w:tab/>
        <w:t>A SZÖVEG ELLENŐRZÉSÉNEK DÁTUMA</w:t>
      </w:r>
    </w:p>
    <w:p w14:paraId="3F9AF198" w14:textId="77777777" w:rsidR="00D0403E" w:rsidRPr="00183B5F" w:rsidRDefault="00D0403E" w:rsidP="004062FE">
      <w:pPr>
        <w:spacing w:line="240" w:lineRule="auto"/>
        <w:ind w:left="567" w:hanging="567"/>
        <w:rPr>
          <w:bCs/>
          <w:szCs w:val="22"/>
        </w:rPr>
      </w:pPr>
    </w:p>
    <w:p w14:paraId="363337F3" w14:textId="17D2979A" w:rsidR="00764497" w:rsidRPr="00183B5F" w:rsidRDefault="00943743" w:rsidP="00FC288C">
      <w:pPr>
        <w:spacing w:line="240" w:lineRule="auto"/>
        <w:rPr>
          <w:bCs/>
          <w:szCs w:val="22"/>
        </w:rPr>
      </w:pPr>
      <w:r w:rsidRPr="00183B5F">
        <w:rPr>
          <w:bCs/>
          <w:szCs w:val="22"/>
        </w:rPr>
        <w:t>A gyógyszerről részletes információ az Európai Gyógyszerügynökség internetes honlapján (</w:t>
      </w:r>
      <w:ins w:id="8466" w:author="AbbVie_HU_03" w:date="2025-05-14T15:54:00Z">
        <w:r w:rsidR="00063C95">
          <w:rPr>
            <w:bCs/>
            <w:szCs w:val="22"/>
          </w:rPr>
          <w:fldChar w:fldCharType="begin"/>
        </w:r>
        <w:r w:rsidR="00063C95">
          <w:rPr>
            <w:bCs/>
            <w:szCs w:val="22"/>
          </w:rPr>
          <w:instrText>HYPERLINK "</w:instrText>
        </w:r>
      </w:ins>
      <w:r w:rsidR="00063C95" w:rsidRPr="00063C95">
        <w:rPr>
          <w:rStyle w:val="Hyperlink"/>
          <w:bCs/>
          <w:szCs w:val="22"/>
        </w:rPr>
        <w:instrText>http</w:instrText>
      </w:r>
      <w:ins w:id="8467" w:author="AbbVie_HU_03" w:date="2025-05-14T15:54:00Z">
        <w:r w:rsidR="00063C95" w:rsidRPr="00063C95">
          <w:rPr>
            <w:rStyle w:val="Hyperlink"/>
            <w:bCs/>
            <w:szCs w:val="22"/>
          </w:rPr>
          <w:instrText>s</w:instrText>
        </w:r>
      </w:ins>
      <w:r w:rsidR="00063C95" w:rsidRPr="00063C95">
        <w:rPr>
          <w:rStyle w:val="Hyperlink"/>
          <w:bCs/>
          <w:szCs w:val="22"/>
        </w:rPr>
        <w:instrText>://www.ema.europa.eu</w:instrText>
      </w:r>
      <w:ins w:id="8468" w:author="AbbVie_HU_03" w:date="2025-05-14T15:54:00Z">
        <w:r w:rsidR="00063C95">
          <w:rPr>
            <w:bCs/>
            <w:szCs w:val="22"/>
          </w:rPr>
          <w:instrText>"</w:instrText>
        </w:r>
        <w:r w:rsidR="00063C95">
          <w:rPr>
            <w:bCs/>
            <w:szCs w:val="22"/>
          </w:rPr>
        </w:r>
        <w:r w:rsidR="00063C95">
          <w:rPr>
            <w:bCs/>
            <w:szCs w:val="22"/>
          </w:rPr>
          <w:fldChar w:fldCharType="separate"/>
        </w:r>
      </w:ins>
      <w:r w:rsidR="00063C95" w:rsidRPr="00063C95">
        <w:rPr>
          <w:rStyle w:val="Hyperlink"/>
          <w:bCs/>
          <w:szCs w:val="22"/>
        </w:rPr>
        <w:t>http</w:t>
      </w:r>
      <w:ins w:id="8469" w:author="AbbVie_HU_03" w:date="2025-05-14T15:54:00Z">
        <w:r w:rsidR="00063C95" w:rsidRPr="00063C95">
          <w:rPr>
            <w:rStyle w:val="Hyperlink"/>
            <w:bCs/>
            <w:szCs w:val="22"/>
          </w:rPr>
          <w:t>s</w:t>
        </w:r>
      </w:ins>
      <w:r w:rsidR="00063C95" w:rsidRPr="00063C95">
        <w:rPr>
          <w:rStyle w:val="Hyperlink"/>
          <w:bCs/>
          <w:szCs w:val="22"/>
        </w:rPr>
        <w:t>://www.ema.europa.eu</w:t>
      </w:r>
      <w:ins w:id="8470" w:author="AbbVie_HU_03" w:date="2025-05-14T15:54:00Z">
        <w:r w:rsidR="00063C95">
          <w:rPr>
            <w:bCs/>
            <w:szCs w:val="22"/>
          </w:rPr>
          <w:fldChar w:fldCharType="end"/>
        </w:r>
      </w:ins>
      <w:r w:rsidRPr="00183B5F">
        <w:rPr>
          <w:bCs/>
          <w:szCs w:val="22"/>
        </w:rPr>
        <w:t>) található.</w:t>
      </w:r>
      <w:r w:rsidRPr="00183B5F">
        <w:rPr>
          <w:bCs/>
          <w:szCs w:val="22"/>
        </w:rPr>
        <w:br w:type="page"/>
      </w:r>
    </w:p>
    <w:p w14:paraId="65F6360C" w14:textId="77777777" w:rsidR="00764497" w:rsidRPr="00183B5F" w:rsidRDefault="00943743" w:rsidP="004062FE">
      <w:pPr>
        <w:spacing w:line="240" w:lineRule="auto"/>
        <w:rPr>
          <w:b/>
          <w:szCs w:val="22"/>
        </w:rPr>
      </w:pPr>
      <w:r w:rsidRPr="00183B5F">
        <w:rPr>
          <w:b/>
          <w:szCs w:val="22"/>
        </w:rPr>
        <w:t>1.</w:t>
      </w:r>
      <w:r w:rsidRPr="00183B5F">
        <w:rPr>
          <w:b/>
          <w:szCs w:val="22"/>
        </w:rPr>
        <w:tab/>
        <w:t>A GYÓGYSZER NEVE</w:t>
      </w:r>
    </w:p>
    <w:p w14:paraId="31846338" w14:textId="77777777" w:rsidR="00764497" w:rsidRPr="00183B5F" w:rsidRDefault="00764497" w:rsidP="004062FE">
      <w:pPr>
        <w:spacing w:line="240" w:lineRule="auto"/>
        <w:rPr>
          <w:szCs w:val="22"/>
        </w:rPr>
      </w:pPr>
    </w:p>
    <w:p w14:paraId="3EDF34A9" w14:textId="77777777" w:rsidR="00764497" w:rsidRPr="00183B5F" w:rsidRDefault="00943743" w:rsidP="004062FE">
      <w:pPr>
        <w:spacing w:line="240" w:lineRule="auto"/>
        <w:rPr>
          <w:szCs w:val="22"/>
        </w:rPr>
      </w:pPr>
      <w:r w:rsidRPr="00183B5F">
        <w:rPr>
          <w:szCs w:val="22"/>
        </w:rPr>
        <w:t>Humira 80 mg oldatos injekció előretöltött fecskendőben</w:t>
      </w:r>
    </w:p>
    <w:p w14:paraId="13F3FEA8" w14:textId="77777777" w:rsidR="00F62AC7" w:rsidRPr="00183B5F" w:rsidRDefault="00943743" w:rsidP="004062FE">
      <w:pPr>
        <w:spacing w:line="240" w:lineRule="auto"/>
        <w:rPr>
          <w:szCs w:val="22"/>
        </w:rPr>
      </w:pPr>
      <w:r w:rsidRPr="00183B5F">
        <w:rPr>
          <w:szCs w:val="22"/>
        </w:rPr>
        <w:t>Humira 80 mg oldatos injekció előretöltött injekciós tollban</w:t>
      </w:r>
    </w:p>
    <w:p w14:paraId="127D1C8B" w14:textId="77777777" w:rsidR="00764497" w:rsidRPr="00183B5F" w:rsidRDefault="00764497" w:rsidP="004062FE">
      <w:pPr>
        <w:spacing w:line="240" w:lineRule="auto"/>
        <w:rPr>
          <w:szCs w:val="22"/>
        </w:rPr>
      </w:pPr>
    </w:p>
    <w:p w14:paraId="64BCCC19" w14:textId="77777777" w:rsidR="00764497" w:rsidRPr="00183B5F" w:rsidRDefault="00764497" w:rsidP="004062FE">
      <w:pPr>
        <w:spacing w:line="240" w:lineRule="auto"/>
        <w:rPr>
          <w:szCs w:val="22"/>
        </w:rPr>
      </w:pPr>
    </w:p>
    <w:p w14:paraId="39EEBF7D" w14:textId="77777777" w:rsidR="00764497" w:rsidRPr="00183B5F" w:rsidRDefault="00943743" w:rsidP="004062FE">
      <w:pPr>
        <w:pStyle w:val="EndnoteText"/>
        <w:tabs>
          <w:tab w:val="clear" w:pos="567"/>
        </w:tabs>
        <w:suppressAutoHyphens/>
        <w:rPr>
          <w:sz w:val="22"/>
          <w:lang w:val="hu-HU"/>
        </w:rPr>
      </w:pPr>
      <w:r w:rsidRPr="00183B5F">
        <w:rPr>
          <w:b/>
          <w:sz w:val="22"/>
          <w:szCs w:val="22"/>
          <w:lang w:val="hu-HU"/>
        </w:rPr>
        <w:t>2</w:t>
      </w:r>
      <w:r w:rsidRPr="00183B5F">
        <w:rPr>
          <w:b/>
          <w:sz w:val="22"/>
          <w:lang w:val="hu-HU"/>
        </w:rPr>
        <w:t>.</w:t>
      </w:r>
      <w:r w:rsidRPr="00183B5F">
        <w:rPr>
          <w:b/>
          <w:sz w:val="22"/>
          <w:lang w:val="hu-HU"/>
        </w:rPr>
        <w:tab/>
      </w:r>
      <w:r w:rsidRPr="00183B5F">
        <w:rPr>
          <w:b/>
          <w:sz w:val="22"/>
          <w:lang w:val="hu-HU"/>
        </w:rPr>
        <w:t>MINŐSÉGI ÉS MENNYISÉGI ÖSSZETÉTEL</w:t>
      </w:r>
    </w:p>
    <w:p w14:paraId="1734E12D" w14:textId="77777777" w:rsidR="00764497" w:rsidRPr="00183B5F" w:rsidRDefault="00764497" w:rsidP="004062FE">
      <w:pPr>
        <w:spacing w:line="240" w:lineRule="auto"/>
        <w:rPr>
          <w:szCs w:val="22"/>
        </w:rPr>
      </w:pPr>
    </w:p>
    <w:p w14:paraId="62AF28C1" w14:textId="77777777" w:rsidR="00F62AC7" w:rsidRPr="00183B5F" w:rsidRDefault="00943743" w:rsidP="004062FE">
      <w:pPr>
        <w:spacing w:line="240" w:lineRule="auto"/>
        <w:rPr>
          <w:szCs w:val="22"/>
          <w:u w:val="single"/>
        </w:rPr>
      </w:pPr>
      <w:r w:rsidRPr="00183B5F">
        <w:rPr>
          <w:szCs w:val="22"/>
          <w:u w:val="single"/>
        </w:rPr>
        <w:t>Humira 80 mg oldatos injekció előretöltött fecskendőben:</w:t>
      </w:r>
    </w:p>
    <w:p w14:paraId="74BB50CC" w14:textId="77777777" w:rsidR="00764497" w:rsidRPr="00183B5F" w:rsidRDefault="00943743" w:rsidP="004062FE">
      <w:pPr>
        <w:spacing w:line="240" w:lineRule="auto"/>
        <w:rPr>
          <w:szCs w:val="22"/>
        </w:rPr>
      </w:pPr>
      <w:r w:rsidRPr="00183B5F">
        <w:rPr>
          <w:szCs w:val="22"/>
        </w:rPr>
        <w:t>80 mg adalimumab 0,8 ml</w:t>
      </w:r>
      <w:r w:rsidRPr="00183B5F">
        <w:rPr>
          <w:szCs w:val="22"/>
        </w:rPr>
        <w:noBreakHyphen/>
        <w:t>es, egyadagos, előretöltött fecskendőben.</w:t>
      </w:r>
    </w:p>
    <w:p w14:paraId="51179666" w14:textId="77777777" w:rsidR="00764497" w:rsidRPr="00183B5F" w:rsidRDefault="00764497" w:rsidP="004062FE">
      <w:pPr>
        <w:spacing w:line="240" w:lineRule="auto"/>
        <w:rPr>
          <w:szCs w:val="22"/>
        </w:rPr>
      </w:pPr>
    </w:p>
    <w:p w14:paraId="10F19D4D" w14:textId="77777777" w:rsidR="00F62AC7" w:rsidRPr="00183B5F" w:rsidRDefault="00943743" w:rsidP="004062FE">
      <w:pPr>
        <w:spacing w:line="240" w:lineRule="auto"/>
        <w:rPr>
          <w:szCs w:val="22"/>
          <w:u w:val="single"/>
        </w:rPr>
      </w:pPr>
      <w:r w:rsidRPr="00183B5F">
        <w:rPr>
          <w:szCs w:val="22"/>
          <w:u w:val="single"/>
        </w:rPr>
        <w:t>Humira 80 mg oldatos injekció előretöltött injekciós tollban:</w:t>
      </w:r>
    </w:p>
    <w:p w14:paraId="202C4913" w14:textId="77777777" w:rsidR="00F62AC7" w:rsidRPr="00183B5F" w:rsidRDefault="00943743" w:rsidP="004062FE">
      <w:pPr>
        <w:spacing w:line="240" w:lineRule="auto"/>
        <w:rPr>
          <w:szCs w:val="22"/>
        </w:rPr>
      </w:pPr>
      <w:r w:rsidRPr="00183B5F">
        <w:rPr>
          <w:szCs w:val="22"/>
        </w:rPr>
        <w:t>80 mg adalimumab 0,8 ml</w:t>
      </w:r>
      <w:r w:rsidRPr="00183B5F">
        <w:rPr>
          <w:szCs w:val="22"/>
        </w:rPr>
        <w:noBreakHyphen/>
        <w:t>es, egyadagos, előretöltött injekciós tollban.</w:t>
      </w:r>
    </w:p>
    <w:p w14:paraId="5DFC16EC" w14:textId="77777777" w:rsidR="00F62AC7" w:rsidRPr="00183B5F" w:rsidRDefault="00F62AC7" w:rsidP="004062FE">
      <w:pPr>
        <w:spacing w:line="240" w:lineRule="auto"/>
        <w:rPr>
          <w:szCs w:val="22"/>
        </w:rPr>
      </w:pPr>
    </w:p>
    <w:p w14:paraId="2B083E57" w14:textId="77777777" w:rsidR="00764497" w:rsidRPr="00183B5F" w:rsidRDefault="00943743" w:rsidP="004062FE">
      <w:pPr>
        <w:pStyle w:val="EndnoteText"/>
        <w:tabs>
          <w:tab w:val="clear" w:pos="567"/>
        </w:tabs>
        <w:suppressAutoHyphens/>
        <w:rPr>
          <w:sz w:val="22"/>
          <w:lang w:val="hu-HU"/>
        </w:rPr>
      </w:pPr>
      <w:r w:rsidRPr="00183B5F">
        <w:rPr>
          <w:sz w:val="22"/>
          <w:lang w:val="hu-HU"/>
        </w:rPr>
        <w:t>Az adalimumab egy rekombináns humán monoklonális antitest, melyet kínai hörcsög petefészek sejtekben állítanak elő.</w:t>
      </w:r>
    </w:p>
    <w:p w14:paraId="3AFBF51D" w14:textId="77777777" w:rsidR="00C261BD" w:rsidRDefault="00C261BD" w:rsidP="00C261BD">
      <w:pPr>
        <w:spacing w:line="240" w:lineRule="auto"/>
        <w:rPr>
          <w:ins w:id="8471" w:author="AbbVie_HU_03" w:date="2025-05-14T15:36:00Z"/>
          <w:noProof/>
          <w:szCs w:val="22"/>
        </w:rPr>
      </w:pPr>
    </w:p>
    <w:p w14:paraId="6EF71CD1" w14:textId="77777777" w:rsidR="00C261BD" w:rsidRDefault="00943743" w:rsidP="00C261BD">
      <w:pPr>
        <w:spacing w:line="240" w:lineRule="auto"/>
        <w:rPr>
          <w:ins w:id="8472" w:author="AbbVie_HU_03" w:date="2025-05-14T15:36:00Z"/>
          <w:u w:val="single"/>
        </w:rPr>
      </w:pPr>
      <w:ins w:id="8473" w:author="AbbVie_HU_03" w:date="2025-05-14T15:36:00Z">
        <w:r w:rsidRPr="00071EBC">
          <w:rPr>
            <w:u w:val="single"/>
          </w:rPr>
          <w:t>Ismert hatású segédanyag(ok)</w:t>
        </w:r>
      </w:ins>
    </w:p>
    <w:p w14:paraId="1919827A" w14:textId="77777777" w:rsidR="00C261BD" w:rsidRDefault="00C261BD" w:rsidP="00C261BD">
      <w:pPr>
        <w:spacing w:line="240" w:lineRule="auto"/>
        <w:rPr>
          <w:ins w:id="8474" w:author="AbbVie_HU_03" w:date="2025-05-14T15:36:00Z"/>
          <w:u w:val="single"/>
        </w:rPr>
      </w:pPr>
    </w:p>
    <w:p w14:paraId="5B1F6000" w14:textId="7DC4BF72" w:rsidR="00C261BD" w:rsidRDefault="00943743" w:rsidP="00C261BD">
      <w:pPr>
        <w:spacing w:line="240" w:lineRule="auto"/>
        <w:rPr>
          <w:ins w:id="8475" w:author="AbbVie_HU_03" w:date="2025-05-14T15:37:00Z"/>
        </w:rPr>
      </w:pPr>
      <w:ins w:id="8476" w:author="AbbVie_HU_03" w:date="2025-05-14T15:36:00Z">
        <w:r w:rsidRPr="00C261BD">
          <w:rPr>
            <w:rPrChange w:id="8477" w:author="AbbVie_HU_03" w:date="2025-05-14T15:36:00Z">
              <w:rPr>
                <w:u w:val="single"/>
              </w:rPr>
            </w:rPrChange>
          </w:rPr>
          <w:t>Ez a gyógyszer 0,</w:t>
        </w:r>
        <w:r>
          <w:t>8</w:t>
        </w:r>
      </w:ins>
      <w:ins w:id="8478" w:author="AbbVie_HU_03" w:date="2025-05-14T16:58:00Z">
        <w:r w:rsidR="00673483">
          <w:t> </w:t>
        </w:r>
      </w:ins>
      <w:ins w:id="8479" w:author="AbbVie_HU_03" w:date="2025-05-14T15:36:00Z">
        <w:r w:rsidRPr="00C261BD">
          <w:rPr>
            <w:rPrChange w:id="8480" w:author="AbbVie_HU_03" w:date="2025-05-14T15:36:00Z">
              <w:rPr>
                <w:u w:val="single"/>
              </w:rPr>
            </w:rPrChange>
          </w:rPr>
          <w:t xml:space="preserve">mg poliszorbát 80-at tartalmaz </w:t>
        </w:r>
        <w:r>
          <w:t>8</w:t>
        </w:r>
        <w:r w:rsidRPr="00C261BD">
          <w:rPr>
            <w:rPrChange w:id="8481" w:author="AbbVie_HU_03" w:date="2025-05-14T15:36:00Z">
              <w:rPr>
                <w:u w:val="single"/>
              </w:rPr>
            </w:rPrChange>
          </w:rPr>
          <w:t>0</w:t>
        </w:r>
      </w:ins>
      <w:ins w:id="8482" w:author="AbbVie_HU_03" w:date="2025-05-14T16:58:00Z">
        <w:r w:rsidR="00673483">
          <w:t> </w:t>
        </w:r>
      </w:ins>
      <w:ins w:id="8483" w:author="AbbVie_HU_03" w:date="2025-05-14T15:36:00Z">
        <w:r w:rsidRPr="00C261BD">
          <w:rPr>
            <w:rPrChange w:id="8484" w:author="AbbVie_HU_03" w:date="2025-05-14T15:36:00Z">
              <w:rPr>
                <w:u w:val="single"/>
              </w:rPr>
            </w:rPrChange>
          </w:rPr>
          <w:t>mg-os adagonként.</w:t>
        </w:r>
      </w:ins>
    </w:p>
    <w:p w14:paraId="342BA94E" w14:textId="77777777" w:rsidR="00C261BD" w:rsidRPr="00C261BD" w:rsidRDefault="00C261BD" w:rsidP="00C261BD">
      <w:pPr>
        <w:spacing w:line="240" w:lineRule="auto"/>
        <w:rPr>
          <w:ins w:id="8485" w:author="AbbVie_HU_03" w:date="2025-05-14T15:36:00Z"/>
          <w:rPrChange w:id="8486" w:author="AbbVie_HU_03" w:date="2025-05-14T15:36:00Z">
            <w:rPr>
              <w:ins w:id="8487" w:author="AbbVie_HU_03" w:date="2025-05-14T15:36:00Z"/>
              <w:u w:val="single"/>
            </w:rPr>
          </w:rPrChange>
        </w:rPr>
      </w:pPr>
    </w:p>
    <w:p w14:paraId="648C2F0C" w14:textId="77777777" w:rsidR="00C261BD" w:rsidRPr="00183B5F" w:rsidRDefault="00C261BD" w:rsidP="00C261BD">
      <w:pPr>
        <w:spacing w:line="240" w:lineRule="auto"/>
        <w:rPr>
          <w:szCs w:val="22"/>
        </w:rPr>
      </w:pPr>
    </w:p>
    <w:p w14:paraId="6CAF897F" w14:textId="77777777" w:rsidR="00764497" w:rsidRPr="00183B5F" w:rsidRDefault="00943743" w:rsidP="004062FE">
      <w:pPr>
        <w:spacing w:line="240" w:lineRule="auto"/>
        <w:rPr>
          <w:szCs w:val="22"/>
        </w:rPr>
      </w:pPr>
      <w:r w:rsidRPr="00183B5F">
        <w:rPr>
          <w:szCs w:val="22"/>
        </w:rPr>
        <w:t>A segédanyagok teljes listáját lásd a 6.1 pontban.</w:t>
      </w:r>
    </w:p>
    <w:p w14:paraId="253AC759" w14:textId="77777777" w:rsidR="00764497" w:rsidRPr="00183B5F" w:rsidRDefault="00764497" w:rsidP="004062FE">
      <w:pPr>
        <w:spacing w:line="240" w:lineRule="auto"/>
        <w:rPr>
          <w:szCs w:val="22"/>
        </w:rPr>
      </w:pPr>
    </w:p>
    <w:p w14:paraId="5AFE5EB2" w14:textId="77777777" w:rsidR="00764497" w:rsidRPr="00183B5F" w:rsidRDefault="00764497" w:rsidP="004062FE">
      <w:pPr>
        <w:spacing w:line="240" w:lineRule="auto"/>
        <w:rPr>
          <w:szCs w:val="22"/>
        </w:rPr>
      </w:pPr>
    </w:p>
    <w:p w14:paraId="6B83C9CC" w14:textId="77777777" w:rsidR="00764497" w:rsidRPr="00183B5F" w:rsidRDefault="00943743" w:rsidP="004062FE">
      <w:pPr>
        <w:spacing w:line="240" w:lineRule="auto"/>
        <w:ind w:left="567" w:hanging="567"/>
        <w:rPr>
          <w:b/>
          <w:szCs w:val="22"/>
        </w:rPr>
      </w:pPr>
      <w:r w:rsidRPr="00183B5F">
        <w:rPr>
          <w:b/>
          <w:szCs w:val="22"/>
        </w:rPr>
        <w:t>3.</w:t>
      </w:r>
      <w:r w:rsidRPr="00183B5F">
        <w:rPr>
          <w:b/>
          <w:szCs w:val="22"/>
        </w:rPr>
        <w:tab/>
        <w:t>GYÓGYSZERFORMA</w:t>
      </w:r>
    </w:p>
    <w:p w14:paraId="39E18FF8" w14:textId="77777777" w:rsidR="00764497" w:rsidRPr="00183B5F" w:rsidRDefault="00764497" w:rsidP="004062FE">
      <w:pPr>
        <w:spacing w:line="240" w:lineRule="auto"/>
        <w:rPr>
          <w:szCs w:val="22"/>
        </w:rPr>
      </w:pPr>
    </w:p>
    <w:p w14:paraId="1D5CF67C" w14:textId="77777777" w:rsidR="00764497" w:rsidRPr="00183B5F" w:rsidRDefault="00943743" w:rsidP="004062FE">
      <w:pPr>
        <w:spacing w:line="240" w:lineRule="auto"/>
        <w:rPr>
          <w:szCs w:val="22"/>
        </w:rPr>
      </w:pPr>
      <w:r w:rsidRPr="00183B5F">
        <w:rPr>
          <w:szCs w:val="22"/>
        </w:rPr>
        <w:t>Oldatos injekció</w:t>
      </w:r>
      <w:r w:rsidR="003B0E00" w:rsidRPr="00183B5F">
        <w:rPr>
          <w:szCs w:val="22"/>
        </w:rPr>
        <w:t xml:space="preserve"> (</w:t>
      </w:r>
      <w:r w:rsidR="00A43FB3" w:rsidRPr="00183B5F">
        <w:rPr>
          <w:szCs w:val="22"/>
        </w:rPr>
        <w:t>i</w:t>
      </w:r>
      <w:r w:rsidR="003B0E00" w:rsidRPr="00183B5F">
        <w:rPr>
          <w:szCs w:val="22"/>
        </w:rPr>
        <w:t>njekció)</w:t>
      </w:r>
      <w:r w:rsidR="00A43FB3" w:rsidRPr="00183B5F">
        <w:rPr>
          <w:szCs w:val="22"/>
        </w:rPr>
        <w:t>.</w:t>
      </w:r>
    </w:p>
    <w:p w14:paraId="1268C146" w14:textId="3158E1E9" w:rsidR="00764497" w:rsidRPr="00183B5F" w:rsidRDefault="00764497" w:rsidP="004062FE">
      <w:pPr>
        <w:spacing w:line="240" w:lineRule="auto"/>
        <w:rPr>
          <w:del w:id="8488" w:author="AbbVie_HU_03" w:date="2025-05-16T12:56:00Z"/>
          <w:szCs w:val="22"/>
        </w:rPr>
      </w:pPr>
    </w:p>
    <w:p w14:paraId="57CB662E" w14:textId="77777777" w:rsidR="00764497" w:rsidRPr="00183B5F" w:rsidRDefault="00943743" w:rsidP="004062FE">
      <w:pPr>
        <w:spacing w:line="240" w:lineRule="auto"/>
        <w:rPr>
          <w:szCs w:val="22"/>
        </w:rPr>
      </w:pPr>
      <w:r w:rsidRPr="00183B5F">
        <w:rPr>
          <w:szCs w:val="22"/>
        </w:rPr>
        <w:t>Tiszta, színtelen oldat.</w:t>
      </w:r>
    </w:p>
    <w:p w14:paraId="311BE50E" w14:textId="77777777" w:rsidR="00764497" w:rsidRPr="00183B5F" w:rsidRDefault="00764497" w:rsidP="004062FE">
      <w:pPr>
        <w:pStyle w:val="EndnoteText"/>
        <w:tabs>
          <w:tab w:val="clear" w:pos="567"/>
        </w:tabs>
        <w:suppressAutoHyphens/>
        <w:rPr>
          <w:sz w:val="22"/>
          <w:szCs w:val="22"/>
          <w:lang w:val="hu-HU" w:eastAsia="hu-HU"/>
        </w:rPr>
      </w:pPr>
    </w:p>
    <w:p w14:paraId="162F049C" w14:textId="77777777" w:rsidR="00764497" w:rsidRPr="00183B5F" w:rsidRDefault="00764497" w:rsidP="004062FE">
      <w:pPr>
        <w:spacing w:line="240" w:lineRule="auto"/>
        <w:rPr>
          <w:szCs w:val="22"/>
        </w:rPr>
      </w:pPr>
    </w:p>
    <w:p w14:paraId="24D082D4" w14:textId="77777777" w:rsidR="00764497" w:rsidRPr="00183B5F" w:rsidRDefault="00943743" w:rsidP="004062FE">
      <w:pPr>
        <w:spacing w:line="240" w:lineRule="auto"/>
        <w:ind w:left="567" w:hanging="567"/>
        <w:rPr>
          <w:b/>
          <w:caps/>
          <w:szCs w:val="22"/>
        </w:rPr>
      </w:pPr>
      <w:r w:rsidRPr="00183B5F">
        <w:rPr>
          <w:b/>
          <w:caps/>
          <w:szCs w:val="22"/>
        </w:rPr>
        <w:t>4.</w:t>
      </w:r>
      <w:r w:rsidRPr="00183B5F">
        <w:rPr>
          <w:b/>
          <w:caps/>
          <w:szCs w:val="22"/>
        </w:rPr>
        <w:tab/>
        <w:t>KLINIKAI JELLEMZŐK</w:t>
      </w:r>
    </w:p>
    <w:p w14:paraId="6E37D4A8" w14:textId="77777777" w:rsidR="00764497" w:rsidRPr="00183B5F" w:rsidRDefault="00764497" w:rsidP="004062FE">
      <w:pPr>
        <w:spacing w:line="240" w:lineRule="auto"/>
        <w:rPr>
          <w:szCs w:val="22"/>
        </w:rPr>
      </w:pPr>
    </w:p>
    <w:p w14:paraId="6EE62278" w14:textId="77777777" w:rsidR="00764497" w:rsidRPr="00183B5F" w:rsidRDefault="00943743" w:rsidP="0009469D">
      <w:pPr>
        <w:tabs>
          <w:tab w:val="left" w:pos="567"/>
        </w:tabs>
        <w:spacing w:line="240" w:lineRule="auto"/>
        <w:rPr>
          <w:b/>
          <w:szCs w:val="22"/>
        </w:rPr>
      </w:pPr>
      <w:r w:rsidRPr="00183B5F">
        <w:rPr>
          <w:b/>
          <w:szCs w:val="22"/>
        </w:rPr>
        <w:t>4.1</w:t>
      </w:r>
      <w:r w:rsidRPr="00183B5F">
        <w:rPr>
          <w:b/>
          <w:szCs w:val="22"/>
        </w:rPr>
        <w:tab/>
        <w:t>Terápiás javallatok</w:t>
      </w:r>
    </w:p>
    <w:p w14:paraId="0DC55619" w14:textId="77777777" w:rsidR="00A00BD9" w:rsidRPr="00183B5F" w:rsidRDefault="00A00BD9" w:rsidP="004062FE">
      <w:pPr>
        <w:spacing w:line="240" w:lineRule="auto"/>
        <w:rPr>
          <w:b/>
          <w:szCs w:val="22"/>
        </w:rPr>
      </w:pPr>
    </w:p>
    <w:p w14:paraId="6684C456" w14:textId="77777777" w:rsidR="00A00BD9" w:rsidRPr="00183B5F" w:rsidRDefault="00943743" w:rsidP="00A00BD9">
      <w:pPr>
        <w:spacing w:line="240" w:lineRule="auto"/>
        <w:rPr>
          <w:szCs w:val="22"/>
          <w:u w:val="single"/>
        </w:rPr>
      </w:pPr>
      <w:r w:rsidRPr="00183B5F">
        <w:rPr>
          <w:szCs w:val="22"/>
          <w:u w:val="single"/>
        </w:rPr>
        <w:t>Rheumatoid arthritis</w:t>
      </w:r>
    </w:p>
    <w:p w14:paraId="0E6D0D7B" w14:textId="77777777" w:rsidR="00A00BD9" w:rsidRPr="00183B5F" w:rsidRDefault="00A00BD9" w:rsidP="00A00BD9">
      <w:pPr>
        <w:spacing w:line="240" w:lineRule="auto"/>
        <w:rPr>
          <w:szCs w:val="22"/>
        </w:rPr>
      </w:pPr>
    </w:p>
    <w:p w14:paraId="08AAF34A" w14:textId="77777777" w:rsidR="00A00BD9" w:rsidRPr="00183B5F" w:rsidRDefault="00943743" w:rsidP="00A00BD9">
      <w:pPr>
        <w:spacing w:line="240" w:lineRule="auto"/>
        <w:rPr>
          <w:szCs w:val="22"/>
        </w:rPr>
      </w:pPr>
      <w:r w:rsidRPr="00183B5F">
        <w:rPr>
          <w:szCs w:val="22"/>
        </w:rPr>
        <w:t>A Humira metotrexáttal együtt adagolva javallott:</w:t>
      </w:r>
    </w:p>
    <w:p w14:paraId="21441BED" w14:textId="77777777" w:rsidR="00A00BD9" w:rsidRPr="00183B5F" w:rsidRDefault="00A00BD9" w:rsidP="00A00BD9">
      <w:pPr>
        <w:spacing w:line="240" w:lineRule="auto"/>
        <w:rPr>
          <w:szCs w:val="22"/>
        </w:rPr>
      </w:pPr>
    </w:p>
    <w:p w14:paraId="4CF015DC" w14:textId="77777777" w:rsidR="00A00BD9" w:rsidRPr="00183B5F" w:rsidRDefault="00943743" w:rsidP="00A00BD9">
      <w:pPr>
        <w:numPr>
          <w:ilvl w:val="0"/>
          <w:numId w:val="77"/>
        </w:numPr>
        <w:tabs>
          <w:tab w:val="clear" w:pos="720"/>
          <w:tab w:val="num" w:pos="540"/>
        </w:tabs>
        <w:spacing w:line="240" w:lineRule="auto"/>
        <w:ind w:left="540" w:hanging="540"/>
        <w:rPr>
          <w:szCs w:val="22"/>
        </w:rPr>
      </w:pPr>
      <w:r w:rsidRPr="00183B5F">
        <w:rPr>
          <w:szCs w:val="22"/>
        </w:rPr>
        <w:t>közepesen súlyos, illetve súlyos aktív rheumatoid arthritisben szenvedő felnőtt betegek kezelésére, ha a betegséget befolyásoló reumaellenes szerek (disease</w:t>
      </w:r>
      <w:r w:rsidRPr="00183B5F">
        <w:rPr>
          <w:szCs w:val="22"/>
        </w:rPr>
        <w:noBreakHyphen/>
        <w:t>modifying antirheumatic drugs), beleértve a metotrexátot, nem hatásosak.</w:t>
      </w:r>
    </w:p>
    <w:p w14:paraId="31836CB1" w14:textId="77777777" w:rsidR="00A00BD9" w:rsidRPr="00183B5F" w:rsidRDefault="00943743" w:rsidP="00A00BD9">
      <w:pPr>
        <w:numPr>
          <w:ilvl w:val="0"/>
          <w:numId w:val="30"/>
        </w:numPr>
        <w:spacing w:line="240" w:lineRule="auto"/>
        <w:rPr>
          <w:szCs w:val="22"/>
        </w:rPr>
      </w:pPr>
      <w:r w:rsidRPr="00183B5F">
        <w:rPr>
          <w:szCs w:val="22"/>
        </w:rPr>
        <w:t>súlyos, aktív és progresszív rheumatoid arthritis betegségben szenvedő felnőttek kezelésére, akiket előzőleg még nem kezeltek metotrexáttal.</w:t>
      </w:r>
    </w:p>
    <w:p w14:paraId="19ED9EFD" w14:textId="77777777" w:rsidR="00A00BD9" w:rsidRPr="00183B5F" w:rsidRDefault="00A00BD9" w:rsidP="00A00BD9">
      <w:pPr>
        <w:spacing w:line="240" w:lineRule="auto"/>
        <w:rPr>
          <w:szCs w:val="22"/>
        </w:rPr>
      </w:pPr>
    </w:p>
    <w:p w14:paraId="4BF91DD6" w14:textId="77777777" w:rsidR="00A00BD9" w:rsidRPr="00183B5F" w:rsidRDefault="00943743" w:rsidP="00A00BD9">
      <w:pPr>
        <w:spacing w:line="240" w:lineRule="auto"/>
        <w:rPr>
          <w:szCs w:val="22"/>
        </w:rPr>
      </w:pPr>
      <w:r w:rsidRPr="00183B5F">
        <w:rPr>
          <w:szCs w:val="22"/>
        </w:rPr>
        <w:t>A Humira metotrexát-intolerancia esetén, vagy ha a folyamatos metotrexát</w:t>
      </w:r>
      <w:r w:rsidRPr="00183B5F">
        <w:rPr>
          <w:szCs w:val="22"/>
        </w:rPr>
        <w:noBreakHyphen/>
        <w:t>kezelés nem megfelelő, monoterápiaként is alkalmazható.</w:t>
      </w:r>
    </w:p>
    <w:p w14:paraId="2EFA70FC" w14:textId="77777777" w:rsidR="00A00BD9" w:rsidRPr="00183B5F" w:rsidRDefault="00A00BD9" w:rsidP="00A00BD9">
      <w:pPr>
        <w:spacing w:line="240" w:lineRule="auto"/>
        <w:rPr>
          <w:szCs w:val="22"/>
        </w:rPr>
      </w:pPr>
    </w:p>
    <w:p w14:paraId="58CD5002" w14:textId="77777777" w:rsidR="00A00BD9" w:rsidRPr="00183B5F" w:rsidRDefault="00943743" w:rsidP="0009469D">
      <w:pPr>
        <w:suppressAutoHyphens w:val="0"/>
        <w:spacing w:line="240" w:lineRule="auto"/>
        <w:rPr>
          <w:szCs w:val="22"/>
        </w:rPr>
      </w:pPr>
      <w:r w:rsidRPr="00183B5F">
        <w:rPr>
          <w:szCs w:val="22"/>
        </w:rPr>
        <w:t>A Humira csökkenti a röntgen felvétellel kimutatott ízületi károsodás progressziójának mértékét és javítja a fizikai funkciókat, ha metotrexáttal kombinálva kerül alkalmazásra.</w:t>
      </w:r>
    </w:p>
    <w:p w14:paraId="57833C1C" w14:textId="77777777" w:rsidR="00764497" w:rsidRPr="00183B5F" w:rsidRDefault="00764497" w:rsidP="004062FE">
      <w:pPr>
        <w:spacing w:line="240" w:lineRule="auto"/>
        <w:rPr>
          <w:szCs w:val="22"/>
        </w:rPr>
      </w:pPr>
    </w:p>
    <w:p w14:paraId="60A5E0C7" w14:textId="77777777" w:rsidR="00764497" w:rsidRPr="00183B5F" w:rsidRDefault="00943743" w:rsidP="004062FE">
      <w:pPr>
        <w:spacing w:line="240" w:lineRule="auto"/>
        <w:rPr>
          <w:szCs w:val="22"/>
          <w:u w:val="single"/>
        </w:rPr>
      </w:pPr>
      <w:r w:rsidRPr="00183B5F">
        <w:rPr>
          <w:szCs w:val="22"/>
          <w:u w:val="single"/>
        </w:rPr>
        <w:t>Psoriasis</w:t>
      </w:r>
    </w:p>
    <w:p w14:paraId="56AD0DA1" w14:textId="77777777" w:rsidR="00764497" w:rsidRPr="00183B5F" w:rsidRDefault="00764497">
      <w:pPr>
        <w:spacing w:line="240" w:lineRule="auto"/>
        <w:rPr>
          <w:szCs w:val="22"/>
          <w:u w:val="single"/>
        </w:rPr>
      </w:pPr>
    </w:p>
    <w:p w14:paraId="47F0C370" w14:textId="77777777" w:rsidR="00764497" w:rsidRPr="00183B5F" w:rsidRDefault="00943743" w:rsidP="004062FE">
      <w:pPr>
        <w:spacing w:line="240" w:lineRule="auto"/>
        <w:rPr>
          <w:szCs w:val="22"/>
        </w:rPr>
      </w:pPr>
      <w:r w:rsidRPr="00183B5F">
        <w:rPr>
          <w:szCs w:val="22"/>
        </w:rPr>
        <w:t>A Humira olyan felnőtt betegek közepesen súlyos, illetve súlyos krónikus, plakkos psoriasisának kezelésére javallott, akik alkalmasak szisztémás kezelésre.</w:t>
      </w:r>
    </w:p>
    <w:p w14:paraId="7A867361" w14:textId="77777777" w:rsidR="00764497" w:rsidRPr="00183B5F" w:rsidRDefault="00764497" w:rsidP="004062FE">
      <w:pPr>
        <w:spacing w:line="240" w:lineRule="auto"/>
        <w:rPr>
          <w:szCs w:val="22"/>
        </w:rPr>
      </w:pPr>
    </w:p>
    <w:p w14:paraId="13054C53" w14:textId="77777777" w:rsidR="00764497" w:rsidRPr="00183B5F" w:rsidRDefault="00943743" w:rsidP="00B13F2B">
      <w:pPr>
        <w:keepNext/>
        <w:spacing w:line="240" w:lineRule="auto"/>
        <w:rPr>
          <w:szCs w:val="22"/>
          <w:u w:val="single"/>
        </w:rPr>
      </w:pPr>
      <w:r w:rsidRPr="00183B5F">
        <w:rPr>
          <w:szCs w:val="22"/>
          <w:u w:val="single"/>
        </w:rPr>
        <w:t>Hidradenitis suppurativa (HS)</w:t>
      </w:r>
    </w:p>
    <w:p w14:paraId="4D4DB7D6" w14:textId="77777777" w:rsidR="00764497" w:rsidRPr="00183B5F" w:rsidRDefault="00764497" w:rsidP="00B13F2B">
      <w:pPr>
        <w:keepNext/>
        <w:spacing w:line="240" w:lineRule="auto"/>
        <w:rPr>
          <w:szCs w:val="22"/>
          <w:u w:val="single"/>
        </w:rPr>
      </w:pPr>
    </w:p>
    <w:p w14:paraId="3992629C" w14:textId="77777777" w:rsidR="00764497" w:rsidRPr="00183B5F" w:rsidRDefault="00943743" w:rsidP="004062FE">
      <w:pPr>
        <w:spacing w:line="240" w:lineRule="auto"/>
        <w:rPr>
          <w:szCs w:val="22"/>
        </w:rPr>
      </w:pPr>
      <w:r w:rsidRPr="00183B5F">
        <w:rPr>
          <w:szCs w:val="22"/>
        </w:rPr>
        <w:t>A Humira aktív köz</w:t>
      </w:r>
      <w:r w:rsidR="00297FBD" w:rsidRPr="00183B5F">
        <w:rPr>
          <w:szCs w:val="22"/>
        </w:rPr>
        <w:t xml:space="preserve">epesen </w:t>
      </w:r>
      <w:r w:rsidRPr="00183B5F">
        <w:rPr>
          <w:szCs w:val="22"/>
        </w:rPr>
        <w:t>súlyos, illetve súlyos hidradenitis suppurativa (acne inversa) kezelésére javallott olyan felnőtteknél és serdülőknél 12 éves kortól, akik nem reagáltak megfelelően a hagyományos, szisztémás HS kezelésre (lásd 5.1 és 5.2 pont).</w:t>
      </w:r>
    </w:p>
    <w:p w14:paraId="3FDDDAA8" w14:textId="77777777" w:rsidR="00764497" w:rsidRPr="00183B5F" w:rsidRDefault="00764497" w:rsidP="004062FE">
      <w:pPr>
        <w:spacing w:line="240" w:lineRule="auto"/>
        <w:rPr>
          <w:szCs w:val="22"/>
        </w:rPr>
      </w:pPr>
    </w:p>
    <w:p w14:paraId="3D1A2CA8" w14:textId="77777777" w:rsidR="00764497" w:rsidRPr="00183B5F" w:rsidRDefault="00943743" w:rsidP="004062FE">
      <w:pPr>
        <w:spacing w:line="240" w:lineRule="auto"/>
        <w:rPr>
          <w:szCs w:val="22"/>
          <w:u w:val="single"/>
        </w:rPr>
      </w:pPr>
      <w:r w:rsidRPr="00183B5F">
        <w:rPr>
          <w:szCs w:val="22"/>
          <w:u w:val="single"/>
        </w:rPr>
        <w:t>Crohn</w:t>
      </w:r>
      <w:r w:rsidRPr="00183B5F">
        <w:rPr>
          <w:szCs w:val="22"/>
          <w:u w:val="single"/>
        </w:rPr>
        <w:noBreakHyphen/>
        <w:t>betegség</w:t>
      </w:r>
    </w:p>
    <w:p w14:paraId="303009C4" w14:textId="77777777" w:rsidR="00764497" w:rsidRPr="00183B5F" w:rsidRDefault="00764497" w:rsidP="004062FE">
      <w:pPr>
        <w:spacing w:line="240" w:lineRule="auto"/>
        <w:rPr>
          <w:szCs w:val="22"/>
        </w:rPr>
      </w:pPr>
    </w:p>
    <w:p w14:paraId="3DF36AC9" w14:textId="77777777" w:rsidR="00764497" w:rsidRPr="00183B5F" w:rsidRDefault="00943743" w:rsidP="004062FE">
      <w:pPr>
        <w:spacing w:line="240" w:lineRule="auto"/>
        <w:rPr>
          <w:szCs w:val="22"/>
        </w:rPr>
      </w:pPr>
      <w:r w:rsidRPr="00183B5F">
        <w:rPr>
          <w:szCs w:val="22"/>
        </w:rPr>
        <w:t>A Humira közepesen súlyos - súlyos aktivitású Crohn</w:t>
      </w:r>
      <w:r w:rsidRPr="00183B5F">
        <w:rPr>
          <w:szCs w:val="22"/>
        </w:rPr>
        <w:noBreakHyphen/>
        <w:t>betegség kezelésére javallott olyan felnőtt betegeknél, akik nem reagáltak a kortikoszteroiddal és/vagy immunszuppresszív szerrel végzett teljes és adekvát kúrára, vagy akik nem tolerálják ezeket a szereket vagy akiknél e szerek alkalmazása orvosi szempontból ellenjavallt.</w:t>
      </w:r>
    </w:p>
    <w:p w14:paraId="3E547EE8" w14:textId="77777777" w:rsidR="00764497" w:rsidRPr="00183B5F" w:rsidRDefault="00764497" w:rsidP="004062FE">
      <w:pPr>
        <w:spacing w:line="240" w:lineRule="auto"/>
        <w:rPr>
          <w:szCs w:val="22"/>
        </w:rPr>
      </w:pPr>
    </w:p>
    <w:p w14:paraId="4A95549C" w14:textId="77777777" w:rsidR="00764497" w:rsidRPr="00183B5F" w:rsidRDefault="00943743" w:rsidP="004062FE">
      <w:pPr>
        <w:keepNext/>
        <w:spacing w:line="240" w:lineRule="auto"/>
        <w:rPr>
          <w:szCs w:val="22"/>
          <w:u w:val="single"/>
        </w:rPr>
      </w:pPr>
      <w:r w:rsidRPr="00183B5F">
        <w:rPr>
          <w:szCs w:val="22"/>
          <w:u w:val="single"/>
        </w:rPr>
        <w:t>Gyermekkori Crohn</w:t>
      </w:r>
      <w:r w:rsidRPr="00183B5F">
        <w:rPr>
          <w:szCs w:val="22"/>
          <w:u w:val="single"/>
        </w:rPr>
        <w:noBreakHyphen/>
        <w:t>betegség</w:t>
      </w:r>
    </w:p>
    <w:p w14:paraId="5DDBC5B4" w14:textId="77777777" w:rsidR="00764497" w:rsidRPr="00183B5F" w:rsidRDefault="00764497" w:rsidP="004062FE">
      <w:pPr>
        <w:keepNext/>
        <w:spacing w:line="240" w:lineRule="auto"/>
        <w:rPr>
          <w:szCs w:val="22"/>
          <w:u w:val="single"/>
        </w:rPr>
      </w:pPr>
    </w:p>
    <w:p w14:paraId="533C6CD8" w14:textId="77777777" w:rsidR="00764497" w:rsidRPr="00183B5F" w:rsidRDefault="00943743" w:rsidP="004062FE">
      <w:pPr>
        <w:keepNext/>
        <w:spacing w:line="240" w:lineRule="auto"/>
        <w:rPr>
          <w:szCs w:val="22"/>
        </w:rPr>
      </w:pPr>
      <w:r w:rsidRPr="00183B5F">
        <w:rPr>
          <w:szCs w:val="22"/>
        </w:rPr>
        <w:t>A Humira közepesen súlyos - súlyos aktivitású Crohn</w:t>
      </w:r>
      <w:r w:rsidRPr="00183B5F">
        <w:rPr>
          <w:szCs w:val="22"/>
        </w:rPr>
        <w:noBreakHyphen/>
        <w:t xml:space="preserve">betegség kezelésére javallott olyan gyermekeknél (6 éves kortól), akik nem reagáltak megfelelően a hagyományos kezelésekre, beleértve a primer étrendi kezelést, </w:t>
      </w:r>
      <w:r w:rsidR="001608A7" w:rsidRPr="00183B5F">
        <w:rPr>
          <w:szCs w:val="22"/>
        </w:rPr>
        <w:t xml:space="preserve">és </w:t>
      </w:r>
      <w:r w:rsidRPr="00183B5F">
        <w:rPr>
          <w:szCs w:val="22"/>
        </w:rPr>
        <w:t>egy kortikoszteroidot</w:t>
      </w:r>
      <w:r w:rsidR="001608A7" w:rsidRPr="00183B5F">
        <w:rPr>
          <w:szCs w:val="22"/>
        </w:rPr>
        <w:t>,</w:t>
      </w:r>
      <w:r w:rsidRPr="00183B5F">
        <w:rPr>
          <w:szCs w:val="22"/>
        </w:rPr>
        <w:t xml:space="preserve"> és</w:t>
      </w:r>
      <w:r w:rsidR="001608A7" w:rsidRPr="00183B5F">
        <w:rPr>
          <w:szCs w:val="22"/>
        </w:rPr>
        <w:t>/vagy</w:t>
      </w:r>
      <w:r w:rsidRPr="00183B5F">
        <w:rPr>
          <w:szCs w:val="22"/>
        </w:rPr>
        <w:t xml:space="preserve"> egy immunmodulánst vagy akik nem tolerálták ezeket a szereket, illetve akiknél ezek a kezelések kontraindikáltak.</w:t>
      </w:r>
    </w:p>
    <w:p w14:paraId="50288E3B" w14:textId="77777777" w:rsidR="00764497" w:rsidRPr="00183B5F" w:rsidRDefault="00764497" w:rsidP="004062FE">
      <w:pPr>
        <w:spacing w:line="240" w:lineRule="auto"/>
        <w:rPr>
          <w:szCs w:val="22"/>
        </w:rPr>
      </w:pPr>
    </w:p>
    <w:p w14:paraId="3EE55FA0" w14:textId="77777777" w:rsidR="00764497" w:rsidRPr="00183B5F" w:rsidRDefault="00943743" w:rsidP="004062FE">
      <w:pPr>
        <w:keepNext/>
        <w:spacing w:line="240" w:lineRule="auto"/>
        <w:rPr>
          <w:szCs w:val="22"/>
          <w:u w:val="single"/>
        </w:rPr>
      </w:pPr>
      <w:r w:rsidRPr="00183B5F">
        <w:rPr>
          <w:szCs w:val="22"/>
          <w:u w:val="single"/>
        </w:rPr>
        <w:t>Colitis ulcerosa</w:t>
      </w:r>
    </w:p>
    <w:p w14:paraId="00925013" w14:textId="77777777" w:rsidR="00764497" w:rsidRPr="00183B5F" w:rsidRDefault="00764497" w:rsidP="004062FE">
      <w:pPr>
        <w:keepNext/>
        <w:spacing w:line="240" w:lineRule="auto"/>
        <w:rPr>
          <w:szCs w:val="22"/>
          <w:u w:val="single"/>
        </w:rPr>
      </w:pPr>
    </w:p>
    <w:p w14:paraId="08169F4E" w14:textId="77777777" w:rsidR="00764497" w:rsidRPr="00183B5F" w:rsidRDefault="00943743" w:rsidP="004062FE">
      <w:pPr>
        <w:spacing w:line="240" w:lineRule="auto"/>
        <w:rPr>
          <w:szCs w:val="22"/>
        </w:rPr>
      </w:pPr>
      <w:r w:rsidRPr="00183B5F">
        <w:rPr>
          <w:szCs w:val="22"/>
        </w:rPr>
        <w:t xml:space="preserve">A Humira felnőttkori, </w:t>
      </w:r>
      <w:r w:rsidR="00297FBD" w:rsidRPr="00183B5F">
        <w:rPr>
          <w:szCs w:val="22"/>
        </w:rPr>
        <w:t xml:space="preserve">közepesen súlyos </w:t>
      </w:r>
      <w:r w:rsidRPr="00183B5F">
        <w:rPr>
          <w:szCs w:val="22"/>
        </w:rPr>
        <w:t>-súlyos akt</w:t>
      </w:r>
      <w:r w:rsidR="003916B1" w:rsidRPr="00183B5F">
        <w:rPr>
          <w:szCs w:val="22"/>
        </w:rPr>
        <w:t>ivitású</w:t>
      </w:r>
      <w:r w:rsidRPr="00183B5F">
        <w:rPr>
          <w:szCs w:val="22"/>
        </w:rPr>
        <w:t xml:space="preserve"> colitis ulcerosa kezelésére javallott olyan betegeknél, akik a hagyományos kezelésre, köztük kortikoszteroidra és 6</w:t>
      </w:r>
      <w:r w:rsidRPr="00183B5F">
        <w:rPr>
          <w:szCs w:val="22"/>
        </w:rPr>
        <w:noBreakHyphen/>
        <w:t>merkaptopurinra (6</w:t>
      </w:r>
      <w:r w:rsidRPr="00183B5F">
        <w:rPr>
          <w:szCs w:val="22"/>
        </w:rPr>
        <w:noBreakHyphen/>
        <w:t>MP) vagy azathioprinre (AZA) nem mutattak megfelelő terápiás választ, vagy nem tolerálják ezeket a kezeléseket, illetve orvosi szempontból ellenjavallt ezen gyógyszerek adása.</w:t>
      </w:r>
    </w:p>
    <w:p w14:paraId="66EA21DE" w14:textId="77777777" w:rsidR="00764497" w:rsidRPr="00183B5F" w:rsidRDefault="00764497" w:rsidP="004062FE">
      <w:pPr>
        <w:spacing w:line="240" w:lineRule="auto"/>
        <w:rPr>
          <w:szCs w:val="22"/>
        </w:rPr>
      </w:pPr>
    </w:p>
    <w:p w14:paraId="3F221F46" w14:textId="77777777" w:rsidR="006E3AD4" w:rsidRPr="00183B5F" w:rsidRDefault="00943743" w:rsidP="006E3AD4">
      <w:pPr>
        <w:rPr>
          <w:b/>
          <w:iCs/>
          <w:u w:val="single"/>
        </w:rPr>
      </w:pPr>
      <w:r w:rsidRPr="00183B5F">
        <w:rPr>
          <w:iCs/>
          <w:u w:val="single"/>
        </w:rPr>
        <w:t>Gyermek</w:t>
      </w:r>
      <w:r w:rsidR="003F6646" w:rsidRPr="00183B5F">
        <w:rPr>
          <w:iCs/>
          <w:u w:val="single"/>
        </w:rPr>
        <w:t>- és serdülő</w:t>
      </w:r>
      <w:r w:rsidRPr="00183B5F">
        <w:rPr>
          <w:iCs/>
          <w:u w:val="single"/>
        </w:rPr>
        <w:t>kori colitis ulcerosa</w:t>
      </w:r>
    </w:p>
    <w:p w14:paraId="1B168584" w14:textId="77777777" w:rsidR="006E3AD4" w:rsidRPr="00183B5F" w:rsidRDefault="006E3AD4" w:rsidP="006E3AD4"/>
    <w:p w14:paraId="4A0CDE90" w14:textId="77777777" w:rsidR="006E3AD4" w:rsidRPr="00183B5F" w:rsidRDefault="00943743" w:rsidP="006E3AD4">
      <w:r w:rsidRPr="00183B5F">
        <w:t>A Humira közepesen súlyos – súlyos akt</w:t>
      </w:r>
      <w:r w:rsidR="003916B1" w:rsidRPr="00183B5F">
        <w:t>i</w:t>
      </w:r>
      <w:r w:rsidRPr="00183B5F">
        <w:t>v</w:t>
      </w:r>
      <w:r w:rsidR="003916B1" w:rsidRPr="00183B5F">
        <w:t>itású</w:t>
      </w:r>
      <w:r w:rsidRPr="00183B5F">
        <w:t xml:space="preserve"> colitis ulcerosa kezelésére javallott olyan gyermekeknél </w:t>
      </w:r>
      <w:r w:rsidR="003F6646" w:rsidRPr="00183B5F">
        <w:t xml:space="preserve">és serdülőknél </w:t>
      </w:r>
      <w:r w:rsidRPr="00183B5F">
        <w:t>(6 éves kortól), akik a hagyományos kezelésre, köztük kortikoszteroidra és 6</w:t>
      </w:r>
      <w:r w:rsidRPr="00183B5F">
        <w:noBreakHyphen/>
        <w:t>merkaptopurinra (6</w:t>
      </w:r>
      <w:r w:rsidRPr="00183B5F">
        <w:noBreakHyphen/>
        <w:t>MP) vagy azathioprinre (AZA) nem mutattak megfelelő terápiás választ, vagy nem tolerálják ezeket a kezeléseket, illetve orvosi szempontból ellenjavallt ezen gyógyszerek adása.</w:t>
      </w:r>
    </w:p>
    <w:p w14:paraId="6AC30A55" w14:textId="77777777" w:rsidR="00C425E1" w:rsidRPr="00183B5F" w:rsidRDefault="00C425E1" w:rsidP="00C425E1">
      <w:pPr>
        <w:spacing w:line="240" w:lineRule="auto"/>
        <w:rPr>
          <w:szCs w:val="22"/>
        </w:rPr>
      </w:pPr>
    </w:p>
    <w:p w14:paraId="57705EC8" w14:textId="77777777" w:rsidR="00764497" w:rsidRPr="00183B5F" w:rsidRDefault="00943743" w:rsidP="004062FE">
      <w:pPr>
        <w:spacing w:line="240" w:lineRule="auto"/>
        <w:rPr>
          <w:szCs w:val="22"/>
          <w:u w:val="single"/>
        </w:rPr>
      </w:pPr>
      <w:r w:rsidRPr="00183B5F">
        <w:rPr>
          <w:szCs w:val="22"/>
          <w:u w:val="single"/>
        </w:rPr>
        <w:t>Uveitis</w:t>
      </w:r>
    </w:p>
    <w:p w14:paraId="0CF0FAD2" w14:textId="77777777" w:rsidR="00764497" w:rsidRPr="00183B5F" w:rsidRDefault="00764497" w:rsidP="004062FE">
      <w:pPr>
        <w:spacing w:line="240" w:lineRule="auto"/>
        <w:rPr>
          <w:szCs w:val="22"/>
        </w:rPr>
      </w:pPr>
    </w:p>
    <w:p w14:paraId="13D30DCD" w14:textId="77777777" w:rsidR="00764497" w:rsidRPr="00183B5F" w:rsidRDefault="00943743" w:rsidP="004062FE">
      <w:pPr>
        <w:spacing w:line="240" w:lineRule="auto"/>
        <w:rPr>
          <w:szCs w:val="22"/>
        </w:rPr>
      </w:pPr>
      <w:r w:rsidRPr="00183B5F">
        <w:rPr>
          <w:szCs w:val="22"/>
        </w:rPr>
        <w:t>A Humira a nem fertőzéses eredetű, intermedier, posterior és panuveitis kezelésére javallott olyan felnőtt betegeknél, akik nem megfelelően reagálnak a kortikoszteroid-kezelésre, illetve olyan betegeknél, akiknél kortikoszteroid-mentes kezelés szükséges, vagy akiknél a kortikoszteroid</w:t>
      </w:r>
      <w:r w:rsidRPr="00183B5F">
        <w:rPr>
          <w:szCs w:val="22"/>
        </w:rPr>
        <w:noBreakHyphen/>
        <w:t>kezelés nem alkalmazható.</w:t>
      </w:r>
    </w:p>
    <w:p w14:paraId="22C53E34" w14:textId="77777777" w:rsidR="00C927B3" w:rsidRPr="00183B5F" w:rsidRDefault="00C927B3" w:rsidP="004062FE">
      <w:pPr>
        <w:spacing w:line="240" w:lineRule="auto"/>
        <w:rPr>
          <w:szCs w:val="22"/>
        </w:rPr>
      </w:pPr>
    </w:p>
    <w:p w14:paraId="03F0045F" w14:textId="77777777" w:rsidR="00C927B3" w:rsidRPr="00183B5F" w:rsidRDefault="00943743">
      <w:pPr>
        <w:spacing w:line="240" w:lineRule="auto"/>
        <w:rPr>
          <w:szCs w:val="22"/>
          <w:u w:val="single"/>
        </w:rPr>
      </w:pPr>
      <w:r w:rsidRPr="00183B5F">
        <w:rPr>
          <w:szCs w:val="22"/>
          <w:u w:val="single"/>
        </w:rPr>
        <w:t>Gyermekkori uveitis</w:t>
      </w:r>
    </w:p>
    <w:p w14:paraId="29E45BD2" w14:textId="77777777" w:rsidR="00C927B3" w:rsidRPr="00183B5F" w:rsidRDefault="00C927B3">
      <w:pPr>
        <w:spacing w:line="240" w:lineRule="auto"/>
        <w:rPr>
          <w:szCs w:val="22"/>
        </w:rPr>
      </w:pPr>
    </w:p>
    <w:p w14:paraId="38A360AE" w14:textId="77777777" w:rsidR="00C927B3" w:rsidRPr="00183B5F" w:rsidRDefault="00943743">
      <w:pPr>
        <w:spacing w:line="240" w:lineRule="auto"/>
        <w:rPr>
          <w:szCs w:val="22"/>
        </w:rPr>
      </w:pPr>
      <w:r w:rsidRPr="00183B5F">
        <w:rPr>
          <w:szCs w:val="22"/>
        </w:rPr>
        <w:t>A Humira a krónikus, nem fertőzéses er</w:t>
      </w:r>
      <w:r w:rsidR="001608A7" w:rsidRPr="00183B5F">
        <w:rPr>
          <w:szCs w:val="22"/>
        </w:rPr>
        <w:t>e</w:t>
      </w:r>
      <w:r w:rsidRPr="00183B5F">
        <w:rPr>
          <w:szCs w:val="22"/>
        </w:rPr>
        <w:t>detű anterior uveitis kezelésére javallott olyan 2 évnél idősebb gyermekek</w:t>
      </w:r>
      <w:r w:rsidR="007C26D2" w:rsidRPr="00183B5F">
        <w:rPr>
          <w:szCs w:val="22"/>
        </w:rPr>
        <w:t>nél</w:t>
      </w:r>
      <w:r w:rsidRPr="00183B5F">
        <w:rPr>
          <w:szCs w:val="22"/>
        </w:rPr>
        <w:t>, akik nem megfel</w:t>
      </w:r>
      <w:r w:rsidR="002C6A2C" w:rsidRPr="00183B5F">
        <w:rPr>
          <w:szCs w:val="22"/>
        </w:rPr>
        <w:t>el</w:t>
      </w:r>
      <w:r w:rsidRPr="00183B5F">
        <w:rPr>
          <w:szCs w:val="22"/>
        </w:rPr>
        <w:t xml:space="preserve">ően reagáltak </w:t>
      </w:r>
      <w:r w:rsidR="002C6A2C" w:rsidRPr="00183B5F">
        <w:rPr>
          <w:szCs w:val="22"/>
        </w:rPr>
        <w:t xml:space="preserve">a hagyományos kezelésre </w:t>
      </w:r>
      <w:r w:rsidRPr="00183B5F">
        <w:rPr>
          <w:szCs w:val="22"/>
        </w:rPr>
        <w:t>vagy</w:t>
      </w:r>
      <w:r w:rsidR="002C6A2C" w:rsidRPr="00183B5F">
        <w:rPr>
          <w:szCs w:val="22"/>
        </w:rPr>
        <w:t xml:space="preserve"> nem </w:t>
      </w:r>
      <w:r w:rsidRPr="00183B5F">
        <w:rPr>
          <w:szCs w:val="22"/>
        </w:rPr>
        <w:t>tolerá</w:t>
      </w:r>
      <w:r w:rsidR="002C6A2C" w:rsidRPr="00183B5F">
        <w:rPr>
          <w:szCs w:val="22"/>
        </w:rPr>
        <w:t>lták azt</w:t>
      </w:r>
      <w:r w:rsidRPr="00183B5F">
        <w:rPr>
          <w:szCs w:val="22"/>
        </w:rPr>
        <w:t>, illetve akik</w:t>
      </w:r>
      <w:r w:rsidR="005A1C18" w:rsidRPr="00183B5F">
        <w:rPr>
          <w:szCs w:val="22"/>
        </w:rPr>
        <w:t>nél</w:t>
      </w:r>
      <w:r w:rsidRPr="00183B5F">
        <w:rPr>
          <w:szCs w:val="22"/>
        </w:rPr>
        <w:t xml:space="preserve"> a hagyományos kezelés nem </w:t>
      </w:r>
      <w:r w:rsidR="005A1C18" w:rsidRPr="00183B5F">
        <w:rPr>
          <w:szCs w:val="22"/>
        </w:rPr>
        <w:t>alkalmazható</w:t>
      </w:r>
      <w:r w:rsidRPr="00183B5F">
        <w:rPr>
          <w:szCs w:val="22"/>
        </w:rPr>
        <w:t>.</w:t>
      </w:r>
    </w:p>
    <w:p w14:paraId="6EC0C16F" w14:textId="77777777" w:rsidR="00764497" w:rsidRPr="00183B5F" w:rsidRDefault="00764497" w:rsidP="004062FE">
      <w:pPr>
        <w:spacing w:line="240" w:lineRule="auto"/>
        <w:rPr>
          <w:szCs w:val="22"/>
        </w:rPr>
      </w:pPr>
    </w:p>
    <w:p w14:paraId="73C9B170" w14:textId="77777777" w:rsidR="00764497" w:rsidRPr="00183B5F" w:rsidRDefault="00943743" w:rsidP="004062FE">
      <w:pPr>
        <w:keepNext/>
        <w:spacing w:line="240" w:lineRule="auto"/>
        <w:rPr>
          <w:b/>
          <w:bCs/>
          <w:caps/>
          <w:szCs w:val="22"/>
        </w:rPr>
      </w:pPr>
      <w:r w:rsidRPr="00183B5F">
        <w:rPr>
          <w:b/>
          <w:bCs/>
          <w:caps/>
          <w:szCs w:val="22"/>
        </w:rPr>
        <w:t>4.2</w:t>
      </w:r>
      <w:r w:rsidRPr="00183B5F">
        <w:rPr>
          <w:b/>
          <w:bCs/>
          <w:caps/>
          <w:szCs w:val="22"/>
        </w:rPr>
        <w:tab/>
      </w:r>
      <w:r w:rsidRPr="00183B5F">
        <w:rPr>
          <w:b/>
          <w:bCs/>
          <w:szCs w:val="22"/>
        </w:rPr>
        <w:t>Adagolás és alkalmazás</w:t>
      </w:r>
    </w:p>
    <w:p w14:paraId="1BA9081B" w14:textId="77777777" w:rsidR="00764497" w:rsidRPr="00183B5F" w:rsidRDefault="00764497" w:rsidP="004062FE">
      <w:pPr>
        <w:keepNext/>
        <w:spacing w:line="240" w:lineRule="auto"/>
        <w:rPr>
          <w:szCs w:val="22"/>
        </w:rPr>
      </w:pPr>
    </w:p>
    <w:p w14:paraId="3EA8B55F" w14:textId="77777777" w:rsidR="00764497" w:rsidRPr="00183B5F" w:rsidRDefault="00943743" w:rsidP="004062FE">
      <w:pPr>
        <w:keepNext/>
        <w:spacing w:line="240" w:lineRule="auto"/>
        <w:rPr>
          <w:szCs w:val="22"/>
        </w:rPr>
      </w:pPr>
      <w:r w:rsidRPr="00183B5F">
        <w:rPr>
          <w:szCs w:val="22"/>
        </w:rPr>
        <w:t>Humira</w:t>
      </w:r>
      <w:r w:rsidRPr="00183B5F">
        <w:rPr>
          <w:szCs w:val="22"/>
        </w:rPr>
        <w:noBreakHyphen/>
        <w:t>val történő kezelést csak olyan szakorvos kezdhet el, illetve folytathat, aki jártas a Humira indikációs listájában szereplő betegségek diagnosztikájában és kezelésében. Javasolt, hogy a szemészek a Humira</w:t>
      </w:r>
      <w:r w:rsidRPr="00183B5F">
        <w:rPr>
          <w:szCs w:val="22"/>
        </w:rPr>
        <w:noBreakHyphen/>
        <w:t>kezelés megkezdése előtt konzultáljanak a megfelelő szakorvossal (lásd 4.4 pont). A Humira</w:t>
      </w:r>
      <w:r w:rsidRPr="00183B5F">
        <w:rPr>
          <w:szCs w:val="22"/>
        </w:rPr>
        <w:noBreakHyphen/>
        <w:t xml:space="preserve">val kezelt betegek egy </w:t>
      </w:r>
      <w:r w:rsidR="0048779F" w:rsidRPr="00183B5F">
        <w:rPr>
          <w:szCs w:val="22"/>
        </w:rPr>
        <w:t>Betegemlékeztető</w:t>
      </w:r>
      <w:r w:rsidRPr="00183B5F">
        <w:rPr>
          <w:szCs w:val="22"/>
        </w:rPr>
        <w:t xml:space="preserve"> Kártyát kapnak.</w:t>
      </w:r>
    </w:p>
    <w:p w14:paraId="6942D4E0" w14:textId="77777777" w:rsidR="00764497" w:rsidRPr="00183B5F" w:rsidRDefault="00764497" w:rsidP="004062FE">
      <w:pPr>
        <w:spacing w:line="240" w:lineRule="auto"/>
        <w:rPr>
          <w:szCs w:val="22"/>
        </w:rPr>
      </w:pPr>
    </w:p>
    <w:p w14:paraId="43ED8DA3" w14:textId="77777777" w:rsidR="00764497" w:rsidRPr="00183B5F" w:rsidRDefault="00943743" w:rsidP="004062FE">
      <w:pPr>
        <w:spacing w:line="240" w:lineRule="auto"/>
        <w:rPr>
          <w:szCs w:val="22"/>
        </w:rPr>
      </w:pPr>
      <w:r w:rsidRPr="00183B5F">
        <w:rPr>
          <w:szCs w:val="22"/>
        </w:rPr>
        <w:t>A helyes injekciós technika elsajátítása után a betegek, ha az orvos úgy ítéli meg, akár önmaguknak is beadhatják a Humira</w:t>
      </w:r>
      <w:r w:rsidRPr="00183B5F">
        <w:rPr>
          <w:szCs w:val="22"/>
        </w:rPr>
        <w:noBreakHyphen/>
        <w:t>t, szükség szerinti orvosi ellenőrzés mellett.</w:t>
      </w:r>
    </w:p>
    <w:p w14:paraId="0B5F6E26" w14:textId="77777777" w:rsidR="00764497" w:rsidRPr="00183B5F" w:rsidRDefault="00764497" w:rsidP="004062FE">
      <w:pPr>
        <w:spacing w:line="240" w:lineRule="auto"/>
        <w:rPr>
          <w:szCs w:val="22"/>
        </w:rPr>
      </w:pPr>
    </w:p>
    <w:p w14:paraId="671169AA" w14:textId="77777777" w:rsidR="00764497" w:rsidRPr="00183B5F" w:rsidRDefault="00943743" w:rsidP="004062FE">
      <w:pPr>
        <w:spacing w:line="240" w:lineRule="auto"/>
        <w:rPr>
          <w:szCs w:val="22"/>
        </w:rPr>
      </w:pPr>
      <w:r w:rsidRPr="00183B5F">
        <w:rPr>
          <w:szCs w:val="22"/>
        </w:rPr>
        <w:t>A Humira</w:t>
      </w:r>
      <w:r w:rsidRPr="00183B5F">
        <w:rPr>
          <w:szCs w:val="22"/>
        </w:rPr>
        <w:noBreakHyphen/>
        <w:t>kezelés ideje alatt optimalizálni kell a más szerek (pl. kortikoszteroidok és/vagy immunmodulánsok) alkalmazásával végzett</w:t>
      </w:r>
      <w:r w:rsidR="00A43FB3" w:rsidRPr="00183B5F">
        <w:rPr>
          <w:szCs w:val="22"/>
        </w:rPr>
        <w:t xml:space="preserve"> egyidejű</w:t>
      </w:r>
      <w:r w:rsidRPr="00183B5F">
        <w:rPr>
          <w:szCs w:val="22"/>
        </w:rPr>
        <w:t xml:space="preserve"> terápiá</w:t>
      </w:r>
      <w:r w:rsidR="00A43FB3" w:rsidRPr="00183B5F">
        <w:rPr>
          <w:szCs w:val="22"/>
        </w:rPr>
        <w:t>ka</w:t>
      </w:r>
      <w:r w:rsidRPr="00183B5F">
        <w:rPr>
          <w:szCs w:val="22"/>
        </w:rPr>
        <w:t>t.</w:t>
      </w:r>
    </w:p>
    <w:p w14:paraId="220F9200" w14:textId="77777777" w:rsidR="00764497" w:rsidRPr="00183B5F" w:rsidRDefault="00764497" w:rsidP="004062FE">
      <w:pPr>
        <w:keepNext/>
        <w:spacing w:line="240" w:lineRule="auto"/>
        <w:rPr>
          <w:szCs w:val="22"/>
          <w:u w:val="single"/>
        </w:rPr>
      </w:pPr>
    </w:p>
    <w:p w14:paraId="4A60CB69" w14:textId="77777777" w:rsidR="00764497" w:rsidRPr="00183B5F" w:rsidRDefault="00943743" w:rsidP="004062FE">
      <w:pPr>
        <w:keepNext/>
        <w:spacing w:line="240" w:lineRule="auto"/>
        <w:rPr>
          <w:szCs w:val="22"/>
          <w:u w:val="single"/>
        </w:rPr>
      </w:pPr>
      <w:r w:rsidRPr="00183B5F">
        <w:rPr>
          <w:szCs w:val="22"/>
          <w:u w:val="single"/>
        </w:rPr>
        <w:t>Adagolás</w:t>
      </w:r>
    </w:p>
    <w:p w14:paraId="7E686AEF" w14:textId="77777777" w:rsidR="00A00BD9" w:rsidRPr="00183B5F" w:rsidRDefault="00A00BD9" w:rsidP="004062FE">
      <w:pPr>
        <w:keepNext/>
        <w:spacing w:line="240" w:lineRule="auto"/>
        <w:rPr>
          <w:szCs w:val="22"/>
          <w:u w:val="single"/>
        </w:rPr>
      </w:pPr>
    </w:p>
    <w:p w14:paraId="06DB5354" w14:textId="77777777" w:rsidR="00A00BD9" w:rsidRPr="00183B5F" w:rsidRDefault="00943743" w:rsidP="00A00BD9">
      <w:pPr>
        <w:pStyle w:val="EndnoteText"/>
        <w:keepNext/>
        <w:tabs>
          <w:tab w:val="clear" w:pos="567"/>
        </w:tabs>
        <w:suppressAutoHyphens/>
        <w:rPr>
          <w:i/>
          <w:sz w:val="22"/>
          <w:szCs w:val="22"/>
          <w:lang w:val="hu-HU" w:eastAsia="hu-HU"/>
        </w:rPr>
      </w:pPr>
      <w:r w:rsidRPr="00183B5F">
        <w:rPr>
          <w:i/>
          <w:sz w:val="22"/>
          <w:szCs w:val="22"/>
          <w:lang w:val="hu-HU" w:eastAsia="hu-HU"/>
        </w:rPr>
        <w:t>Rheumatoid arthritis</w:t>
      </w:r>
    </w:p>
    <w:p w14:paraId="271884C6" w14:textId="77777777" w:rsidR="00A00BD9" w:rsidRPr="00183B5F" w:rsidRDefault="00A00BD9" w:rsidP="00A00BD9">
      <w:pPr>
        <w:keepNext/>
        <w:spacing w:line="240" w:lineRule="auto"/>
        <w:rPr>
          <w:szCs w:val="22"/>
        </w:rPr>
      </w:pPr>
    </w:p>
    <w:p w14:paraId="72AA6FCD" w14:textId="77777777" w:rsidR="00A00BD9" w:rsidRPr="00183B5F" w:rsidRDefault="00943743" w:rsidP="00A00BD9">
      <w:pPr>
        <w:keepNext/>
        <w:spacing w:line="240" w:lineRule="auto"/>
        <w:rPr>
          <w:szCs w:val="22"/>
        </w:rPr>
      </w:pPr>
      <w:r w:rsidRPr="00183B5F">
        <w:rPr>
          <w:szCs w:val="22"/>
        </w:rPr>
        <w:t>A Humira javasolt dózisa rheumatoid arthritisben szenvedő felnőttek esetében 40 mg adalimumab, kéthetente egy alkalommal egy adagban subcutan injekció formájában. A metotrexát folytatása javasolt a Humira</w:t>
      </w:r>
      <w:r w:rsidRPr="00183B5F">
        <w:rPr>
          <w:szCs w:val="22"/>
        </w:rPr>
        <w:noBreakHyphen/>
        <w:t>val való kezelés ideje alatt.</w:t>
      </w:r>
    </w:p>
    <w:p w14:paraId="0F8FFD71" w14:textId="77777777" w:rsidR="00A00BD9" w:rsidRPr="00183B5F" w:rsidRDefault="00A00BD9" w:rsidP="00A00BD9">
      <w:pPr>
        <w:spacing w:line="240" w:lineRule="auto"/>
        <w:rPr>
          <w:szCs w:val="22"/>
        </w:rPr>
      </w:pPr>
    </w:p>
    <w:p w14:paraId="21FA962B" w14:textId="77777777" w:rsidR="00A00BD9" w:rsidRPr="00183B5F" w:rsidRDefault="00943743" w:rsidP="00A00BD9">
      <w:pPr>
        <w:spacing w:line="240" w:lineRule="auto"/>
        <w:rPr>
          <w:szCs w:val="22"/>
        </w:rPr>
      </w:pPr>
      <w:r w:rsidRPr="00183B5F">
        <w:rPr>
          <w:szCs w:val="22"/>
        </w:rPr>
        <w:t>Glükokortikoidok, szalicilátok, nem</w:t>
      </w:r>
      <w:r w:rsidR="001B1ED1" w:rsidRPr="00183B5F">
        <w:rPr>
          <w:szCs w:val="22"/>
        </w:rPr>
        <w:t xml:space="preserve"> </w:t>
      </w:r>
      <w:r w:rsidRPr="00183B5F">
        <w:rPr>
          <w:szCs w:val="22"/>
        </w:rPr>
        <w:t xml:space="preserve">szteroid </w:t>
      </w:r>
      <w:r w:rsidR="008511AE" w:rsidRPr="00183B5F">
        <w:rPr>
          <w:szCs w:val="22"/>
        </w:rPr>
        <w:t>gyulladásgátlók</w:t>
      </w:r>
      <w:r w:rsidR="00A32CD9" w:rsidRPr="00183B5F">
        <w:rPr>
          <w:szCs w:val="22"/>
        </w:rPr>
        <w:t xml:space="preserve"> (NSAID)</w:t>
      </w:r>
      <w:r w:rsidRPr="00183B5F">
        <w:rPr>
          <w:szCs w:val="22"/>
        </w:rPr>
        <w:t>, illetve analgetikumok adása is folytatható a Humira</w:t>
      </w:r>
      <w:r w:rsidRPr="00183B5F">
        <w:rPr>
          <w:szCs w:val="22"/>
        </w:rPr>
        <w:noBreakHyphen/>
      </w:r>
      <w:r w:rsidRPr="00183B5F">
        <w:rPr>
          <w:szCs w:val="22"/>
        </w:rPr>
        <w:t>kezelés ideje alatt. A metotrexáton kívüli más, betegséget befolyásoló reumaellenes szerekkel való együttes szedést illetően lásd a 4.4 és az 5.1 pontokat.</w:t>
      </w:r>
    </w:p>
    <w:p w14:paraId="255FB95A" w14:textId="77777777" w:rsidR="00A00BD9" w:rsidRPr="00183B5F" w:rsidRDefault="00A00BD9" w:rsidP="00A00BD9">
      <w:pPr>
        <w:spacing w:line="240" w:lineRule="auto"/>
        <w:ind w:left="567" w:hanging="567"/>
        <w:rPr>
          <w:szCs w:val="22"/>
        </w:rPr>
      </w:pPr>
    </w:p>
    <w:p w14:paraId="64568158" w14:textId="77777777" w:rsidR="00A00BD9" w:rsidRPr="00183B5F" w:rsidRDefault="00943743" w:rsidP="00A00BD9">
      <w:pPr>
        <w:spacing w:line="240" w:lineRule="auto"/>
        <w:rPr>
          <w:szCs w:val="22"/>
        </w:rPr>
      </w:pPr>
      <w:r w:rsidRPr="00183B5F">
        <w:rPr>
          <w:szCs w:val="22"/>
        </w:rPr>
        <w:t>Monoterápiában, olyan betegek esetében, akiknél hatáscsökkenés mutatkozik a minden második héten alkalmazott 40 mg Humira</w:t>
      </w:r>
      <w:r w:rsidRPr="00183B5F">
        <w:rPr>
          <w:szCs w:val="22"/>
        </w:rPr>
        <w:noBreakHyphen/>
        <w:t>kezelés mellett, jó eredmény érhető el a dózis heti 40 mg</w:t>
      </w:r>
      <w:r w:rsidRPr="00183B5F">
        <w:rPr>
          <w:szCs w:val="22"/>
        </w:rPr>
        <w:noBreakHyphen/>
        <w:t>ra vagy kéthetenként 80 mg</w:t>
      </w:r>
      <w:r w:rsidR="00CE0694" w:rsidRPr="00183B5F">
        <w:rPr>
          <w:szCs w:val="22"/>
        </w:rPr>
        <w:noBreakHyphen/>
      </w:r>
      <w:r w:rsidRPr="00183B5F">
        <w:rPr>
          <w:szCs w:val="22"/>
        </w:rPr>
        <w:t>ra való emelésével.</w:t>
      </w:r>
    </w:p>
    <w:p w14:paraId="65ACEA07" w14:textId="77777777" w:rsidR="00A00BD9" w:rsidRPr="00183B5F" w:rsidRDefault="00A00BD9" w:rsidP="00A00BD9">
      <w:pPr>
        <w:spacing w:line="240" w:lineRule="auto"/>
        <w:rPr>
          <w:szCs w:val="22"/>
        </w:rPr>
      </w:pPr>
    </w:p>
    <w:p w14:paraId="359AFF50" w14:textId="77777777" w:rsidR="00A00BD9" w:rsidRPr="00183B5F" w:rsidRDefault="00943743" w:rsidP="00A00BD9">
      <w:pPr>
        <w:spacing w:line="240" w:lineRule="auto"/>
        <w:rPr>
          <w:szCs w:val="22"/>
        </w:rPr>
      </w:pPr>
      <w:r w:rsidRPr="00183B5F">
        <w:rPr>
          <w:szCs w:val="22"/>
        </w:rPr>
        <w:t>A rendelkezésre álló adatok arra utalnak, hogy a klinikai válasz általában 12 hetes kezelésen belül elérhető. Olyan betegeknél, akik ezen idő alatt nem reagálnak a kezelésre, megfontolandó a terápia folytatása.</w:t>
      </w:r>
    </w:p>
    <w:p w14:paraId="164161B4" w14:textId="77777777" w:rsidR="00A00BD9" w:rsidRPr="00183B5F" w:rsidRDefault="00A00BD9" w:rsidP="00A00BD9">
      <w:pPr>
        <w:spacing w:line="240" w:lineRule="auto"/>
        <w:rPr>
          <w:szCs w:val="22"/>
        </w:rPr>
      </w:pPr>
    </w:p>
    <w:p w14:paraId="654DEE5C" w14:textId="77777777" w:rsidR="00C34634" w:rsidRPr="00183B5F" w:rsidRDefault="00943743" w:rsidP="0009469D">
      <w:pPr>
        <w:spacing w:line="240" w:lineRule="auto"/>
        <w:rPr>
          <w:szCs w:val="22"/>
          <w:u w:val="single"/>
        </w:rPr>
      </w:pPr>
      <w:r w:rsidRPr="00183B5F">
        <w:rPr>
          <w:szCs w:val="22"/>
        </w:rPr>
        <w:t>A Humira más hatáserősségben és/vagy kiszerelésben is elérhető az egyéni terápiás igényeknek megfelelően.</w:t>
      </w:r>
    </w:p>
    <w:p w14:paraId="79BE338F" w14:textId="77777777" w:rsidR="00764497" w:rsidRPr="00183B5F" w:rsidRDefault="00764497" w:rsidP="004062FE">
      <w:pPr>
        <w:keepNext/>
        <w:spacing w:line="240" w:lineRule="auto"/>
        <w:rPr>
          <w:szCs w:val="22"/>
          <w:u w:val="single"/>
        </w:rPr>
      </w:pPr>
    </w:p>
    <w:p w14:paraId="10CCE39F" w14:textId="77777777" w:rsidR="00764497" w:rsidRPr="00183B5F" w:rsidRDefault="00943743" w:rsidP="004062FE">
      <w:pPr>
        <w:spacing w:line="240" w:lineRule="auto"/>
        <w:rPr>
          <w:i/>
          <w:szCs w:val="22"/>
        </w:rPr>
      </w:pPr>
      <w:r w:rsidRPr="00183B5F">
        <w:rPr>
          <w:i/>
          <w:szCs w:val="22"/>
        </w:rPr>
        <w:t>Psoriasis</w:t>
      </w:r>
    </w:p>
    <w:p w14:paraId="1F45092E" w14:textId="77777777" w:rsidR="00764497" w:rsidRPr="00183B5F" w:rsidRDefault="00764497" w:rsidP="004062FE">
      <w:pPr>
        <w:spacing w:line="240" w:lineRule="auto"/>
        <w:rPr>
          <w:szCs w:val="22"/>
        </w:rPr>
      </w:pPr>
    </w:p>
    <w:p w14:paraId="367DE8F4" w14:textId="77777777" w:rsidR="00764497" w:rsidRPr="00183B5F" w:rsidRDefault="00943743" w:rsidP="004062FE">
      <w:pPr>
        <w:spacing w:line="240" w:lineRule="auto"/>
        <w:rPr>
          <w:szCs w:val="22"/>
        </w:rPr>
      </w:pPr>
      <w:r w:rsidRPr="00183B5F">
        <w:rPr>
          <w:szCs w:val="22"/>
        </w:rPr>
        <w:t>A Humira ajánlott adagja felnőtt betegek részére kezdő dózisként 80 mg subcutan alkalmazva, amelyet a kezdő dózis beadásától számított egy hét múlva minden második héten subcutan beadott 40 mg</w:t>
      </w:r>
      <w:r w:rsidR="00E5381A" w:rsidRPr="00183B5F">
        <w:rPr>
          <w:szCs w:val="22"/>
        </w:rPr>
        <w:noBreakHyphen/>
      </w:r>
      <w:r w:rsidRPr="00183B5F">
        <w:rPr>
          <w:szCs w:val="22"/>
        </w:rPr>
        <w:t>os dózisok követnek. A fenntartó adagoláshoz kapható a Humira 40 mg oldatos injekció előretöltött fecskendőben és/vagy előretöltött injekciós tollban.</w:t>
      </w:r>
    </w:p>
    <w:p w14:paraId="175E97CF" w14:textId="77777777" w:rsidR="00764497" w:rsidRPr="00183B5F" w:rsidRDefault="00764497" w:rsidP="004062FE">
      <w:pPr>
        <w:spacing w:line="240" w:lineRule="auto"/>
        <w:rPr>
          <w:szCs w:val="22"/>
        </w:rPr>
      </w:pPr>
    </w:p>
    <w:p w14:paraId="22F29866" w14:textId="77777777" w:rsidR="00764497" w:rsidRPr="00183B5F" w:rsidRDefault="00943743" w:rsidP="004062FE">
      <w:pPr>
        <w:spacing w:line="240" w:lineRule="auto"/>
        <w:rPr>
          <w:szCs w:val="22"/>
        </w:rPr>
      </w:pPr>
      <w:r w:rsidRPr="00183B5F">
        <w:rPr>
          <w:szCs w:val="22"/>
        </w:rPr>
        <w:t>A 16 hétnél hosszabb ideig tartó kezeléseket gondosan újra kell mérlegelni olyan betegek esetében, akik ezen időszak alatt nem reagáltak a terápiára.</w:t>
      </w:r>
    </w:p>
    <w:p w14:paraId="4FCD3D5F" w14:textId="77777777" w:rsidR="00764497" w:rsidRPr="00183B5F" w:rsidRDefault="00764497" w:rsidP="004062FE">
      <w:pPr>
        <w:spacing w:line="240" w:lineRule="auto"/>
        <w:rPr>
          <w:szCs w:val="22"/>
        </w:rPr>
      </w:pPr>
    </w:p>
    <w:p w14:paraId="0FB847D2" w14:textId="77777777" w:rsidR="00DE45AA" w:rsidRPr="00183B5F" w:rsidRDefault="00943743" w:rsidP="00DE45AA">
      <w:pPr>
        <w:spacing w:line="240" w:lineRule="auto"/>
        <w:rPr>
          <w:szCs w:val="22"/>
        </w:rPr>
      </w:pPr>
      <w:r w:rsidRPr="00183B5F">
        <w:rPr>
          <w:szCs w:val="22"/>
        </w:rPr>
        <w:t>A 16. hét után azoknál a betegeknél, akik nem megfelelően reagáltak a kéthetente adott 40 mg Humira</w:t>
      </w:r>
      <w:r w:rsidRPr="00183B5F">
        <w:rPr>
          <w:szCs w:val="22"/>
        </w:rPr>
        <w:noBreakHyphen/>
        <w:t>kezelésre, előnyös lehet az adag növelése heti 40 mg</w:t>
      </w:r>
      <w:r w:rsidRPr="00183B5F">
        <w:rPr>
          <w:szCs w:val="22"/>
        </w:rPr>
        <w:noBreakHyphen/>
        <w:t>ra vagy kéthetente 80 mg</w:t>
      </w:r>
      <w:r w:rsidRPr="00183B5F">
        <w:rPr>
          <w:szCs w:val="22"/>
        </w:rPr>
        <w:noBreakHyphen/>
        <w:t>ra . Alaposan mérlegelni kell a Humira heti 40 mg vagy kéthetente 80 mg adagolásának előnyeit és kockázatait az olyan betegeknél, akik nem megfelelően reagáltak az adag növelése után (lásd 5.1 pont). Ha a heti 40 mg vagy kéthetente 80 mg adagolással elérték a megfelelő választ, a dózis ezután kéthetente 40 mg</w:t>
      </w:r>
      <w:r w:rsidRPr="00183B5F">
        <w:rPr>
          <w:szCs w:val="22"/>
        </w:rPr>
        <w:noBreakHyphen/>
        <w:t>ra csökkenthető.</w:t>
      </w:r>
    </w:p>
    <w:p w14:paraId="2BA802C1" w14:textId="77777777" w:rsidR="00640167" w:rsidRPr="00183B5F" w:rsidRDefault="00640167" w:rsidP="004062FE">
      <w:pPr>
        <w:spacing w:line="240" w:lineRule="auto"/>
        <w:rPr>
          <w:szCs w:val="22"/>
        </w:rPr>
      </w:pPr>
    </w:p>
    <w:p w14:paraId="677E7A2E" w14:textId="77777777" w:rsidR="00640167" w:rsidRPr="00183B5F" w:rsidRDefault="00943743" w:rsidP="004062FE">
      <w:pPr>
        <w:spacing w:line="240" w:lineRule="auto"/>
        <w:rPr>
          <w:szCs w:val="22"/>
        </w:rPr>
      </w:pPr>
      <w:r w:rsidRPr="00183B5F">
        <w:rPr>
          <w:szCs w:val="22"/>
        </w:rPr>
        <w:t>A Humira más hatáserősségben és/vagy kiszerelésben is elérhető az egyéni terápiás igényeknek megfelelően.</w:t>
      </w:r>
    </w:p>
    <w:p w14:paraId="7A222F44" w14:textId="77777777" w:rsidR="00764497" w:rsidRPr="00183B5F" w:rsidRDefault="00764497" w:rsidP="004062FE">
      <w:pPr>
        <w:spacing w:line="240" w:lineRule="auto"/>
        <w:rPr>
          <w:szCs w:val="22"/>
        </w:rPr>
      </w:pPr>
    </w:p>
    <w:p w14:paraId="0C7C4DE0" w14:textId="77777777" w:rsidR="00764497" w:rsidRPr="00183B5F" w:rsidRDefault="00943743" w:rsidP="004062FE">
      <w:pPr>
        <w:spacing w:line="240" w:lineRule="auto"/>
        <w:rPr>
          <w:i/>
          <w:szCs w:val="22"/>
        </w:rPr>
      </w:pPr>
      <w:r w:rsidRPr="00183B5F">
        <w:rPr>
          <w:i/>
          <w:szCs w:val="22"/>
        </w:rPr>
        <w:t>Hidradenitis suppurativa</w:t>
      </w:r>
    </w:p>
    <w:p w14:paraId="17C43BC1" w14:textId="77777777" w:rsidR="00764497" w:rsidRPr="00183B5F" w:rsidRDefault="00764497" w:rsidP="004062FE">
      <w:pPr>
        <w:spacing w:line="240" w:lineRule="auto"/>
        <w:rPr>
          <w:i/>
          <w:szCs w:val="22"/>
        </w:rPr>
      </w:pPr>
    </w:p>
    <w:p w14:paraId="5E35297D" w14:textId="77777777" w:rsidR="00764497" w:rsidRPr="00183B5F" w:rsidRDefault="00943743" w:rsidP="004062FE">
      <w:pPr>
        <w:spacing w:line="240" w:lineRule="auto"/>
        <w:rPr>
          <w:szCs w:val="22"/>
        </w:rPr>
      </w:pPr>
      <w:r w:rsidRPr="00183B5F">
        <w:rPr>
          <w:szCs w:val="22"/>
        </w:rPr>
        <w:t>A Humira javasolt adagja hidradenitis suppurativában (HS) szenvedő felnőttek indukciós kezelésére 160 mg az 1. nap</w:t>
      </w:r>
      <w:r w:rsidR="001608A7" w:rsidRPr="00183B5F">
        <w:rPr>
          <w:szCs w:val="22"/>
        </w:rPr>
        <w:t>on</w:t>
      </w:r>
      <w:r w:rsidRPr="00183B5F">
        <w:rPr>
          <w:szCs w:val="22"/>
        </w:rPr>
        <w:t xml:space="preserve"> (</w:t>
      </w:r>
      <w:r w:rsidR="00640167" w:rsidRPr="00183B5F">
        <w:rPr>
          <w:szCs w:val="22"/>
        </w:rPr>
        <w:t xml:space="preserve">két </w:t>
      </w:r>
      <w:r w:rsidRPr="00183B5F">
        <w:rPr>
          <w:szCs w:val="22"/>
        </w:rPr>
        <w:t>darab 80 mg</w:t>
      </w:r>
      <w:r w:rsidRPr="00183B5F">
        <w:rPr>
          <w:szCs w:val="22"/>
        </w:rPr>
        <w:noBreakHyphen/>
        <w:t>os injekcióban egyetlen napon, vagy egy 80 mg</w:t>
      </w:r>
      <w:r w:rsidRPr="00183B5F">
        <w:rPr>
          <w:szCs w:val="22"/>
        </w:rPr>
        <w:noBreakHyphen/>
        <w:t xml:space="preserve">os injekcióban két egymást követő napon beadva), melyet </w:t>
      </w:r>
      <w:r w:rsidR="0005500B" w:rsidRPr="00183B5F">
        <w:rPr>
          <w:szCs w:val="22"/>
        </w:rPr>
        <w:t xml:space="preserve">két </w:t>
      </w:r>
      <w:r w:rsidRPr="00183B5F">
        <w:rPr>
          <w:szCs w:val="22"/>
        </w:rPr>
        <w:t xml:space="preserve">héttel később 80 mg követ a 15. napon. Két héttel később (a 29. napon) heti 40 mg dózissal </w:t>
      </w:r>
      <w:r w:rsidR="00F13823" w:rsidRPr="00183B5F">
        <w:rPr>
          <w:szCs w:val="22"/>
        </w:rPr>
        <w:t>vagy kéthetente</w:t>
      </w:r>
      <w:r w:rsidR="00640167" w:rsidRPr="00183B5F">
        <w:rPr>
          <w:szCs w:val="22"/>
        </w:rPr>
        <w:t xml:space="preserve"> 80 mg dózissal </w:t>
      </w:r>
      <w:r w:rsidRPr="00183B5F">
        <w:rPr>
          <w:szCs w:val="22"/>
        </w:rPr>
        <w:t xml:space="preserve">folytatva. Antibiotikum adása folytatható a Humira kezelés alatt, ha szükséges. Javasolt, hogy a betegek </w:t>
      </w:r>
      <w:r w:rsidR="001608A7" w:rsidRPr="00183B5F">
        <w:rPr>
          <w:szCs w:val="22"/>
        </w:rPr>
        <w:t xml:space="preserve">naponta </w:t>
      </w:r>
      <w:r w:rsidRPr="00183B5F">
        <w:rPr>
          <w:szCs w:val="22"/>
        </w:rPr>
        <w:t>helyi fertőtlenítő lemosót használjanak a HS léziókon a Humira kezelés ideje alatt. A kezelésre 12 hét alatt sem reagáló betegek esetében körültekintően át kell gondolni a terápia folytatását.</w:t>
      </w:r>
    </w:p>
    <w:p w14:paraId="38857A1A" w14:textId="77777777" w:rsidR="00764497" w:rsidRPr="00183B5F" w:rsidRDefault="00764497" w:rsidP="004062FE">
      <w:pPr>
        <w:spacing w:line="240" w:lineRule="auto"/>
        <w:rPr>
          <w:szCs w:val="22"/>
        </w:rPr>
      </w:pPr>
    </w:p>
    <w:p w14:paraId="73A9FB2D" w14:textId="77777777" w:rsidR="00764497" w:rsidRPr="00183B5F" w:rsidRDefault="00943743" w:rsidP="004062FE">
      <w:pPr>
        <w:spacing w:line="240" w:lineRule="auto"/>
        <w:rPr>
          <w:szCs w:val="22"/>
        </w:rPr>
      </w:pPr>
      <w:r w:rsidRPr="00183B5F">
        <w:rPr>
          <w:szCs w:val="22"/>
        </w:rPr>
        <w:t>Amennyiben a kezelés megszakad, heti 40 mg</w:t>
      </w:r>
      <w:r w:rsidR="00F13823" w:rsidRPr="00183B5F">
        <w:rPr>
          <w:szCs w:val="22"/>
        </w:rPr>
        <w:t xml:space="preserve"> vagy kéthetente</w:t>
      </w:r>
      <w:r w:rsidR="0005500B" w:rsidRPr="00183B5F">
        <w:rPr>
          <w:szCs w:val="22"/>
        </w:rPr>
        <w:t xml:space="preserve"> 80 mg</w:t>
      </w:r>
      <w:r w:rsidRPr="00183B5F">
        <w:rPr>
          <w:szCs w:val="22"/>
        </w:rPr>
        <w:t xml:space="preserve"> Humira adása újrakezdhető (lásd 5.1 pont).</w:t>
      </w:r>
    </w:p>
    <w:p w14:paraId="5B15F557" w14:textId="77777777" w:rsidR="00764497" w:rsidRPr="00183B5F" w:rsidRDefault="00764497" w:rsidP="004062FE">
      <w:pPr>
        <w:spacing w:line="240" w:lineRule="auto"/>
        <w:rPr>
          <w:szCs w:val="22"/>
        </w:rPr>
      </w:pPr>
    </w:p>
    <w:p w14:paraId="7471FE84" w14:textId="77777777" w:rsidR="00764497" w:rsidRPr="00183B5F" w:rsidRDefault="00943743" w:rsidP="004062FE">
      <w:pPr>
        <w:spacing w:line="240" w:lineRule="auto"/>
        <w:rPr>
          <w:szCs w:val="22"/>
        </w:rPr>
      </w:pPr>
      <w:r w:rsidRPr="00183B5F">
        <w:rPr>
          <w:szCs w:val="22"/>
        </w:rPr>
        <w:t>A hosszú távú kezelés előnyeit és kockázatát időszakosan mérlegelni kell (lásd 5.1 pont).</w:t>
      </w:r>
    </w:p>
    <w:p w14:paraId="543E0E14" w14:textId="77777777" w:rsidR="0005500B" w:rsidRPr="00183B5F" w:rsidRDefault="0005500B" w:rsidP="004062FE">
      <w:pPr>
        <w:spacing w:line="240" w:lineRule="auto"/>
        <w:rPr>
          <w:szCs w:val="22"/>
        </w:rPr>
      </w:pPr>
    </w:p>
    <w:p w14:paraId="6BAF067B" w14:textId="77777777" w:rsidR="0005500B" w:rsidRPr="00183B5F" w:rsidRDefault="00943743" w:rsidP="004062FE">
      <w:pPr>
        <w:spacing w:line="240" w:lineRule="auto"/>
        <w:rPr>
          <w:szCs w:val="22"/>
        </w:rPr>
      </w:pPr>
      <w:r w:rsidRPr="00183B5F">
        <w:rPr>
          <w:szCs w:val="22"/>
        </w:rPr>
        <w:t>A Humira más hatáserősségben és/vagy kiszerelésben is elérhető az egyéni terápiás igényeknek megfelelően.</w:t>
      </w:r>
    </w:p>
    <w:p w14:paraId="34988822" w14:textId="77777777" w:rsidR="00764497" w:rsidRPr="00183B5F" w:rsidRDefault="00764497" w:rsidP="004062FE">
      <w:pPr>
        <w:spacing w:line="240" w:lineRule="auto"/>
        <w:rPr>
          <w:szCs w:val="22"/>
        </w:rPr>
      </w:pPr>
    </w:p>
    <w:p w14:paraId="5AAB461C" w14:textId="77777777" w:rsidR="00764497" w:rsidRPr="00183B5F" w:rsidRDefault="00943743" w:rsidP="004062FE">
      <w:pPr>
        <w:keepNext/>
        <w:spacing w:line="240" w:lineRule="auto"/>
        <w:rPr>
          <w:i/>
          <w:szCs w:val="22"/>
        </w:rPr>
      </w:pPr>
      <w:r w:rsidRPr="00183B5F">
        <w:rPr>
          <w:i/>
          <w:szCs w:val="22"/>
        </w:rPr>
        <w:t>Crohn</w:t>
      </w:r>
      <w:r w:rsidRPr="00183B5F">
        <w:rPr>
          <w:i/>
          <w:szCs w:val="22"/>
        </w:rPr>
        <w:noBreakHyphen/>
        <w:t>betegség</w:t>
      </w:r>
    </w:p>
    <w:p w14:paraId="77AD7E21" w14:textId="77777777" w:rsidR="00764497" w:rsidRPr="00183B5F" w:rsidRDefault="00764497" w:rsidP="004062FE">
      <w:pPr>
        <w:keepNext/>
        <w:spacing w:line="240" w:lineRule="auto"/>
        <w:rPr>
          <w:szCs w:val="22"/>
        </w:rPr>
      </w:pPr>
    </w:p>
    <w:p w14:paraId="55CCAFA6" w14:textId="77777777" w:rsidR="00764497" w:rsidRPr="00183B5F" w:rsidRDefault="00943743" w:rsidP="004062FE">
      <w:pPr>
        <w:keepNext/>
        <w:spacing w:line="240" w:lineRule="auto"/>
        <w:rPr>
          <w:szCs w:val="22"/>
        </w:rPr>
      </w:pPr>
      <w:r w:rsidRPr="00183B5F">
        <w:rPr>
          <w:szCs w:val="22"/>
        </w:rPr>
        <w:t>A Humira javasolt adagolása közepesen súlyos - súlyos aktivitású Crohn</w:t>
      </w:r>
      <w:r w:rsidRPr="00183B5F">
        <w:rPr>
          <w:szCs w:val="22"/>
        </w:rPr>
        <w:noBreakHyphen/>
        <w:t>betegségben szenvedő felnőttek indukciós kezelésére 80 mg a 0. héten, majd 40 mg a 2. héten. Ha hamarabb szükséges elérni a terápiás hatást, akkor a készítmény alkalmazható a 0. héten 160 mg (két 80 mg</w:t>
      </w:r>
      <w:r w:rsidRPr="00183B5F">
        <w:rPr>
          <w:szCs w:val="22"/>
        </w:rPr>
        <w:noBreakHyphen/>
        <w:t>os injekcióban beadva egyetlen napon, vagy napi egy 80 mg</w:t>
      </w:r>
      <w:r w:rsidRPr="00183B5F">
        <w:rPr>
          <w:szCs w:val="22"/>
        </w:rPr>
        <w:noBreakHyphen/>
        <w:t xml:space="preserve">os injekcióban két egymást követő napon), </w:t>
      </w:r>
      <w:r w:rsidR="009C1D69" w:rsidRPr="00183B5F">
        <w:rPr>
          <w:szCs w:val="22"/>
        </w:rPr>
        <w:t xml:space="preserve">majd </w:t>
      </w:r>
      <w:r w:rsidRPr="00183B5F">
        <w:rPr>
          <w:szCs w:val="22"/>
        </w:rPr>
        <w:t>a 2. héten 80 mg dózisban annak tudatában, hogy az indukciós kezelés során nagyobb a mellékhatások kockázata.</w:t>
      </w:r>
    </w:p>
    <w:p w14:paraId="287B504B" w14:textId="77777777" w:rsidR="00764497" w:rsidRPr="00183B5F" w:rsidRDefault="00764497" w:rsidP="004062FE">
      <w:pPr>
        <w:spacing w:line="240" w:lineRule="auto"/>
        <w:rPr>
          <w:szCs w:val="22"/>
        </w:rPr>
      </w:pPr>
    </w:p>
    <w:p w14:paraId="1DC410AF" w14:textId="77777777" w:rsidR="00764497" w:rsidRPr="00183B5F" w:rsidRDefault="00943743" w:rsidP="004062FE">
      <w:pPr>
        <w:spacing w:line="240" w:lineRule="auto"/>
        <w:rPr>
          <w:szCs w:val="22"/>
        </w:rPr>
      </w:pPr>
      <w:r w:rsidRPr="00183B5F">
        <w:rPr>
          <w:szCs w:val="22"/>
        </w:rPr>
        <w:t xml:space="preserve">Az indukciós kezelést követően a javasolt adag 40 mg minden második héten, subcután injekcióban. Ha a betegnél abbahagyták a Humira alkalmazását, és kiújulnak a betegség okozta </w:t>
      </w:r>
      <w:r w:rsidR="00D02F61" w:rsidRPr="00183B5F">
        <w:rPr>
          <w:szCs w:val="22"/>
        </w:rPr>
        <w:t xml:space="preserve">jelek </w:t>
      </w:r>
      <w:r w:rsidRPr="00183B5F">
        <w:rPr>
          <w:szCs w:val="22"/>
        </w:rPr>
        <w:t>és tünetek, újrakezdhető a Humira adása. Kevés a tapasztalat a kezelés újrakezdésével, ha az előző dózis beadása után 8 hétnél hosszabb idő telt el.</w:t>
      </w:r>
    </w:p>
    <w:p w14:paraId="05C0CF56" w14:textId="77777777" w:rsidR="00764497" w:rsidRPr="00183B5F" w:rsidRDefault="00764497" w:rsidP="004062FE">
      <w:pPr>
        <w:spacing w:line="240" w:lineRule="auto"/>
        <w:rPr>
          <w:szCs w:val="22"/>
        </w:rPr>
      </w:pPr>
    </w:p>
    <w:p w14:paraId="50DECDD7" w14:textId="77777777" w:rsidR="00764497" w:rsidRPr="00183B5F" w:rsidRDefault="00943743" w:rsidP="004062FE">
      <w:pPr>
        <w:spacing w:line="240" w:lineRule="auto"/>
        <w:rPr>
          <w:szCs w:val="22"/>
        </w:rPr>
      </w:pPr>
      <w:r w:rsidRPr="00183B5F">
        <w:rPr>
          <w:szCs w:val="22"/>
        </w:rPr>
        <w:t>A fenntartó kezelés során a kortikoszteroidokat a klinikai irányelvekkel összhangban fokozatosan csökkenteni lehet.</w:t>
      </w:r>
    </w:p>
    <w:p w14:paraId="0E8B8268" w14:textId="77777777" w:rsidR="00764497" w:rsidRPr="00183B5F" w:rsidRDefault="00764497" w:rsidP="004062FE">
      <w:pPr>
        <w:spacing w:line="240" w:lineRule="auto"/>
        <w:rPr>
          <w:szCs w:val="22"/>
        </w:rPr>
      </w:pPr>
    </w:p>
    <w:p w14:paraId="19168655" w14:textId="77777777" w:rsidR="00764497" w:rsidRPr="00183B5F" w:rsidRDefault="00943743" w:rsidP="004062FE">
      <w:pPr>
        <w:spacing w:line="240" w:lineRule="auto"/>
        <w:rPr>
          <w:szCs w:val="22"/>
        </w:rPr>
      </w:pPr>
      <w:r w:rsidRPr="00183B5F">
        <w:rPr>
          <w:szCs w:val="22"/>
        </w:rPr>
        <w:t>Azoknál a betegeknél, akiknél csökken a minden második héten alkalmazott 40 mg Humira mellett a terápiás hatás, előnyös lehet a Humira adagját heti 40 mg</w:t>
      </w:r>
      <w:r w:rsidR="00E5381A" w:rsidRPr="00183B5F">
        <w:rPr>
          <w:szCs w:val="22"/>
        </w:rPr>
        <w:noBreakHyphen/>
      </w:r>
      <w:r w:rsidRPr="00183B5F">
        <w:rPr>
          <w:szCs w:val="22"/>
        </w:rPr>
        <w:t>ra vagy kéthetente 80 mg</w:t>
      </w:r>
      <w:r w:rsidRPr="00183B5F">
        <w:rPr>
          <w:szCs w:val="22"/>
        </w:rPr>
        <w:noBreakHyphen/>
        <w:t>ra emelni.</w:t>
      </w:r>
    </w:p>
    <w:p w14:paraId="102C2759" w14:textId="77777777" w:rsidR="00764497" w:rsidRPr="00183B5F" w:rsidRDefault="00764497" w:rsidP="004062FE">
      <w:pPr>
        <w:spacing w:line="240" w:lineRule="auto"/>
        <w:rPr>
          <w:szCs w:val="22"/>
        </w:rPr>
      </w:pPr>
    </w:p>
    <w:p w14:paraId="08EE4B37" w14:textId="77777777" w:rsidR="00764497" w:rsidRPr="00183B5F" w:rsidRDefault="00943743" w:rsidP="004062FE">
      <w:pPr>
        <w:spacing w:line="240" w:lineRule="auto"/>
        <w:rPr>
          <w:szCs w:val="22"/>
        </w:rPr>
      </w:pPr>
      <w:r w:rsidRPr="00183B5F">
        <w:rPr>
          <w:szCs w:val="22"/>
        </w:rPr>
        <w:t>Azoknál a betegeknél, akiknél a kezelés 4. hetéig nem jelentkezik terápiás hatás, előnyös lehet a fenntartó kezelést folytatása a 12. hétig. A kezelésre ennyi idő alatt sem reagáló betegek esetében körültekintően át kell gondolni a terápia folytatását.</w:t>
      </w:r>
    </w:p>
    <w:p w14:paraId="38C83434" w14:textId="77777777" w:rsidR="0005500B" w:rsidRPr="00183B5F" w:rsidRDefault="0005500B" w:rsidP="004062FE">
      <w:pPr>
        <w:spacing w:line="240" w:lineRule="auto"/>
        <w:rPr>
          <w:szCs w:val="22"/>
        </w:rPr>
      </w:pPr>
    </w:p>
    <w:p w14:paraId="738783B5" w14:textId="77777777" w:rsidR="0005500B" w:rsidRPr="00183B5F" w:rsidRDefault="00943743" w:rsidP="004062FE">
      <w:pPr>
        <w:spacing w:line="240" w:lineRule="auto"/>
        <w:rPr>
          <w:szCs w:val="22"/>
        </w:rPr>
      </w:pPr>
      <w:r w:rsidRPr="00183B5F">
        <w:rPr>
          <w:szCs w:val="22"/>
        </w:rPr>
        <w:t>A Humira más hatáserősségben és/vagy kiszerelésben is elérhető az egyéni terápiás igényeknek megfelelően.</w:t>
      </w:r>
    </w:p>
    <w:p w14:paraId="30D4A846" w14:textId="77777777" w:rsidR="00764497" w:rsidRPr="00183B5F" w:rsidRDefault="00764497" w:rsidP="004062FE">
      <w:pPr>
        <w:spacing w:line="240" w:lineRule="auto"/>
        <w:rPr>
          <w:szCs w:val="22"/>
          <w:u w:val="single"/>
        </w:rPr>
      </w:pPr>
    </w:p>
    <w:p w14:paraId="69484019" w14:textId="77777777" w:rsidR="00764497" w:rsidRPr="00183B5F" w:rsidRDefault="00943743" w:rsidP="004062FE">
      <w:pPr>
        <w:spacing w:line="240" w:lineRule="auto"/>
        <w:rPr>
          <w:i/>
          <w:szCs w:val="22"/>
        </w:rPr>
      </w:pPr>
      <w:r w:rsidRPr="00183B5F">
        <w:rPr>
          <w:i/>
          <w:szCs w:val="22"/>
        </w:rPr>
        <w:t>Colitis ulcerosa</w:t>
      </w:r>
    </w:p>
    <w:p w14:paraId="13CFE18A" w14:textId="77777777" w:rsidR="00764497" w:rsidRPr="00183B5F" w:rsidRDefault="00764497" w:rsidP="004062FE">
      <w:pPr>
        <w:spacing w:line="240" w:lineRule="auto"/>
        <w:rPr>
          <w:szCs w:val="22"/>
        </w:rPr>
      </w:pPr>
    </w:p>
    <w:p w14:paraId="290C3889" w14:textId="77777777" w:rsidR="00764497" w:rsidRPr="00183B5F" w:rsidRDefault="00943743" w:rsidP="004062FE">
      <w:pPr>
        <w:spacing w:line="240" w:lineRule="auto"/>
        <w:rPr>
          <w:szCs w:val="22"/>
        </w:rPr>
      </w:pPr>
      <w:r w:rsidRPr="00183B5F">
        <w:rPr>
          <w:szCs w:val="22"/>
        </w:rPr>
        <w:t xml:space="preserve">A Humira javasolt adagolása </w:t>
      </w:r>
      <w:r w:rsidR="00297FBD" w:rsidRPr="00183B5F">
        <w:rPr>
          <w:szCs w:val="22"/>
        </w:rPr>
        <w:t>közepesen súlyos</w:t>
      </w:r>
      <w:r w:rsidRPr="00183B5F">
        <w:rPr>
          <w:szCs w:val="22"/>
        </w:rPr>
        <w:t>-súlyos colitis ulcerosában szenvedő felnőttek indukciós kezelésére 160 mg a 0. héten (két 80 mg</w:t>
      </w:r>
      <w:r w:rsidRPr="00183B5F">
        <w:rPr>
          <w:szCs w:val="22"/>
        </w:rPr>
        <w:noBreakHyphen/>
        <w:t>os injekcióban egyetlen napon vagy napi egy80 mg</w:t>
      </w:r>
      <w:r w:rsidRPr="00183B5F">
        <w:rPr>
          <w:szCs w:val="22"/>
        </w:rPr>
        <w:noBreakHyphen/>
        <w:t>os injekcióban két egymást követő napon), majd 80 mg a 2. héten. Az indukciós kezelést követően a javasolt adag 40 mg minden második héten, subcutan injekcióban.</w:t>
      </w:r>
    </w:p>
    <w:p w14:paraId="54E1AB99" w14:textId="77777777" w:rsidR="00764497" w:rsidRPr="00183B5F" w:rsidRDefault="00764497" w:rsidP="004062FE">
      <w:pPr>
        <w:spacing w:line="240" w:lineRule="auto"/>
        <w:rPr>
          <w:szCs w:val="22"/>
        </w:rPr>
      </w:pPr>
    </w:p>
    <w:p w14:paraId="7080DF86" w14:textId="77777777" w:rsidR="00764497" w:rsidRPr="00183B5F" w:rsidRDefault="00943743" w:rsidP="004062FE">
      <w:pPr>
        <w:spacing w:line="240" w:lineRule="auto"/>
        <w:rPr>
          <w:szCs w:val="22"/>
        </w:rPr>
      </w:pPr>
      <w:r w:rsidRPr="00183B5F">
        <w:rPr>
          <w:szCs w:val="22"/>
        </w:rPr>
        <w:t>A fenntartó kezelés során a kortikoszteroidokat a klinikai irányelvekkel összhangban fokozatosan csökkenteni lehet.</w:t>
      </w:r>
    </w:p>
    <w:p w14:paraId="1B0C1ACF" w14:textId="77777777" w:rsidR="00764497" w:rsidRPr="00183B5F" w:rsidRDefault="00764497" w:rsidP="004062FE">
      <w:pPr>
        <w:spacing w:line="240" w:lineRule="auto"/>
        <w:rPr>
          <w:szCs w:val="22"/>
        </w:rPr>
      </w:pPr>
    </w:p>
    <w:p w14:paraId="3A6D25E1" w14:textId="77777777" w:rsidR="00764497" w:rsidRPr="00183B5F" w:rsidRDefault="00943743" w:rsidP="004062FE">
      <w:pPr>
        <w:spacing w:line="240" w:lineRule="auto"/>
        <w:rPr>
          <w:szCs w:val="22"/>
        </w:rPr>
      </w:pPr>
      <w:r w:rsidRPr="00183B5F">
        <w:rPr>
          <w:szCs w:val="22"/>
        </w:rPr>
        <w:t>Azoknál a betegeknél, akiknél csökken a minden második héten alkalmazott 40 mg mellett a terápiás hatás, előnyös lehet a Humira adagját heti 40 mg</w:t>
      </w:r>
      <w:r w:rsidR="00E5381A" w:rsidRPr="00183B5F">
        <w:rPr>
          <w:szCs w:val="22"/>
        </w:rPr>
        <w:noBreakHyphen/>
      </w:r>
      <w:r w:rsidRPr="00183B5F">
        <w:rPr>
          <w:szCs w:val="22"/>
        </w:rPr>
        <w:t>ra vagy kéthetente 80 mg</w:t>
      </w:r>
      <w:r w:rsidRPr="00183B5F">
        <w:rPr>
          <w:szCs w:val="22"/>
        </w:rPr>
        <w:noBreakHyphen/>
        <w:t>ra emelni.</w:t>
      </w:r>
    </w:p>
    <w:p w14:paraId="085308CD" w14:textId="77777777" w:rsidR="00764497" w:rsidRPr="00183B5F" w:rsidRDefault="00764497" w:rsidP="004062FE">
      <w:pPr>
        <w:spacing w:line="240" w:lineRule="auto"/>
        <w:rPr>
          <w:szCs w:val="22"/>
        </w:rPr>
      </w:pPr>
    </w:p>
    <w:p w14:paraId="74854EB3" w14:textId="77777777" w:rsidR="00764497" w:rsidRPr="00183B5F" w:rsidRDefault="00943743" w:rsidP="004062FE">
      <w:pPr>
        <w:spacing w:line="240" w:lineRule="auto"/>
        <w:rPr>
          <w:szCs w:val="22"/>
        </w:rPr>
      </w:pPr>
      <w:r w:rsidRPr="00183B5F">
        <w:rPr>
          <w:szCs w:val="22"/>
        </w:rPr>
        <w:t>A rendelkezésre álló adatok alapján a kezelésre adott klinikai választ általában 2</w:t>
      </w:r>
      <w:r w:rsidRPr="00183B5F">
        <w:rPr>
          <w:szCs w:val="22"/>
        </w:rPr>
        <w:noBreakHyphen/>
      </w:r>
      <w:r w:rsidRPr="00183B5F">
        <w:rPr>
          <w:szCs w:val="22"/>
        </w:rPr>
        <w:t>8 héten belül elérik. Azoknál a betegeknél, akik nem reagálnak ennyi idő alatt a terápiára, a Humira</w:t>
      </w:r>
      <w:r w:rsidRPr="00183B5F">
        <w:rPr>
          <w:szCs w:val="22"/>
        </w:rPr>
        <w:noBreakHyphen/>
        <w:t>kezelés folytatása nem javasolt.</w:t>
      </w:r>
    </w:p>
    <w:p w14:paraId="39292C01" w14:textId="77777777" w:rsidR="006E545F" w:rsidRPr="00183B5F" w:rsidRDefault="006E545F" w:rsidP="004062FE">
      <w:pPr>
        <w:spacing w:line="240" w:lineRule="auto"/>
        <w:rPr>
          <w:szCs w:val="22"/>
        </w:rPr>
      </w:pPr>
    </w:p>
    <w:p w14:paraId="7B89E951" w14:textId="77777777" w:rsidR="006E545F" w:rsidRPr="00183B5F" w:rsidRDefault="00943743" w:rsidP="004062FE">
      <w:pPr>
        <w:spacing w:line="240" w:lineRule="auto"/>
        <w:rPr>
          <w:szCs w:val="22"/>
        </w:rPr>
      </w:pPr>
      <w:r w:rsidRPr="00183B5F">
        <w:rPr>
          <w:szCs w:val="22"/>
        </w:rPr>
        <w:t>A Humira más hatáserősségben és/vagy kiszerelésben is elérhető az egyéni terápiás igényeknek megfelelően.</w:t>
      </w:r>
    </w:p>
    <w:p w14:paraId="74C8C926" w14:textId="77777777" w:rsidR="00764497" w:rsidRPr="00183B5F" w:rsidRDefault="00764497" w:rsidP="004062FE">
      <w:pPr>
        <w:spacing w:line="240" w:lineRule="auto"/>
        <w:rPr>
          <w:szCs w:val="22"/>
        </w:rPr>
      </w:pPr>
    </w:p>
    <w:p w14:paraId="55D9B967" w14:textId="77777777" w:rsidR="00764497" w:rsidRPr="00183B5F" w:rsidRDefault="00943743" w:rsidP="004062FE">
      <w:pPr>
        <w:keepNext/>
        <w:spacing w:line="240" w:lineRule="auto"/>
        <w:rPr>
          <w:i/>
          <w:szCs w:val="22"/>
        </w:rPr>
      </w:pPr>
      <w:r w:rsidRPr="00183B5F">
        <w:rPr>
          <w:i/>
          <w:szCs w:val="22"/>
        </w:rPr>
        <w:t>Uveitis</w:t>
      </w:r>
    </w:p>
    <w:p w14:paraId="1CAA9556" w14:textId="77777777" w:rsidR="00764497" w:rsidRPr="00183B5F" w:rsidRDefault="00764497" w:rsidP="004062FE">
      <w:pPr>
        <w:keepNext/>
        <w:spacing w:line="240" w:lineRule="auto"/>
        <w:rPr>
          <w:szCs w:val="22"/>
        </w:rPr>
      </w:pPr>
    </w:p>
    <w:p w14:paraId="572FD3D1" w14:textId="77777777" w:rsidR="00764497" w:rsidRPr="00183B5F" w:rsidRDefault="00943743" w:rsidP="004062FE">
      <w:pPr>
        <w:keepNext/>
        <w:spacing w:line="240" w:lineRule="auto"/>
        <w:rPr>
          <w:szCs w:val="22"/>
        </w:rPr>
      </w:pPr>
      <w:r w:rsidRPr="00183B5F">
        <w:rPr>
          <w:szCs w:val="22"/>
        </w:rPr>
        <w:t>A Humira javasolt adagja uveitisben szenvedő felnőtt betegeknél: a kezdő dózis 80 mg, melyet a kezdő adag beadásától számított egy hét múlva minden második héten beadott 40 mg követ. A fenntartó adagoláshoz kapható a Humira 40 mg oldatos injekció előretöltött fecskendőben és/vagy előretöltött injekciós tollban. Korlátozott tapasztalat áll rendelkezésre a Humira</w:t>
      </w:r>
      <w:r w:rsidRPr="00183B5F">
        <w:rPr>
          <w:szCs w:val="22"/>
        </w:rPr>
        <w:noBreakHyphen/>
        <w:t>kezelés monoterápiában történő megkezdésével kapcsolatban. A Humira</w:t>
      </w:r>
      <w:r w:rsidRPr="00183B5F">
        <w:rPr>
          <w:szCs w:val="22"/>
        </w:rPr>
        <w:noBreakHyphen/>
        <w:t>val való kezelés megkezdhető kortikoszteroiddal és/vagy egyéb, nem biológiai immunmodulátor szerrel kombinációban. Az együttadott kortikoszteroid fokozatos dóziscsökkentését két héttel a Humira</w:t>
      </w:r>
      <w:r w:rsidRPr="00183B5F">
        <w:rPr>
          <w:szCs w:val="22"/>
        </w:rPr>
        <w:noBreakHyphen/>
        <w:t>kezelés elkezdése után lehet elkezdeni, a klinikai gyakorlatnak megfelelően.</w:t>
      </w:r>
    </w:p>
    <w:p w14:paraId="60DDCF04" w14:textId="77777777" w:rsidR="00764497" w:rsidRPr="00183B5F" w:rsidRDefault="00764497" w:rsidP="004062FE">
      <w:pPr>
        <w:spacing w:line="240" w:lineRule="auto"/>
        <w:rPr>
          <w:szCs w:val="22"/>
        </w:rPr>
      </w:pPr>
    </w:p>
    <w:p w14:paraId="385BC158" w14:textId="77777777" w:rsidR="00764497" w:rsidRPr="00183B5F" w:rsidRDefault="00943743" w:rsidP="004062FE">
      <w:pPr>
        <w:spacing w:line="240" w:lineRule="auto"/>
        <w:rPr>
          <w:szCs w:val="22"/>
        </w:rPr>
      </w:pPr>
      <w:r w:rsidRPr="00183B5F">
        <w:rPr>
          <w:szCs w:val="22"/>
        </w:rPr>
        <w:t>Javasolt a hosszú távú kezelés előnyeinek és kockázatának évente történő értékelése (lásd 5.1 pont).</w:t>
      </w:r>
    </w:p>
    <w:p w14:paraId="33150E3B" w14:textId="77777777" w:rsidR="00711BDE" w:rsidRPr="00183B5F" w:rsidRDefault="00711BDE" w:rsidP="004062FE">
      <w:pPr>
        <w:spacing w:line="240" w:lineRule="auto"/>
        <w:rPr>
          <w:szCs w:val="22"/>
        </w:rPr>
      </w:pPr>
    </w:p>
    <w:p w14:paraId="49CFCF4A" w14:textId="77777777" w:rsidR="00711BDE" w:rsidRPr="00183B5F" w:rsidRDefault="00943743" w:rsidP="004062FE">
      <w:pPr>
        <w:spacing w:line="240" w:lineRule="auto"/>
        <w:rPr>
          <w:szCs w:val="22"/>
        </w:rPr>
      </w:pPr>
      <w:r w:rsidRPr="00183B5F">
        <w:rPr>
          <w:szCs w:val="22"/>
        </w:rPr>
        <w:t>A Humira más hatáserősségben és/vagy kiszerelésben is elérhető az egyéni terápiás igényeknek megfelelően.</w:t>
      </w:r>
    </w:p>
    <w:p w14:paraId="44502C44" w14:textId="77777777" w:rsidR="00764497" w:rsidRPr="00183B5F" w:rsidRDefault="00764497" w:rsidP="004062FE">
      <w:pPr>
        <w:spacing w:line="240" w:lineRule="auto"/>
        <w:rPr>
          <w:szCs w:val="22"/>
        </w:rPr>
      </w:pPr>
    </w:p>
    <w:p w14:paraId="52BEF323" w14:textId="77777777" w:rsidR="00DF0CD9" w:rsidRPr="00183B5F" w:rsidRDefault="00943743" w:rsidP="004062FE">
      <w:pPr>
        <w:keepNext/>
        <w:spacing w:line="240" w:lineRule="auto"/>
        <w:rPr>
          <w:szCs w:val="22"/>
          <w:u w:val="single"/>
        </w:rPr>
      </w:pPr>
      <w:r w:rsidRPr="00183B5F">
        <w:rPr>
          <w:szCs w:val="22"/>
          <w:u w:val="single"/>
        </w:rPr>
        <w:t>Különleges betegcsoportok</w:t>
      </w:r>
    </w:p>
    <w:p w14:paraId="028255AB" w14:textId="77777777" w:rsidR="00DF0CD9" w:rsidRPr="00183B5F" w:rsidRDefault="00DF0CD9" w:rsidP="004062FE">
      <w:pPr>
        <w:keepNext/>
        <w:spacing w:line="240" w:lineRule="auto"/>
        <w:rPr>
          <w:szCs w:val="22"/>
          <w:u w:val="single"/>
        </w:rPr>
      </w:pPr>
    </w:p>
    <w:p w14:paraId="5D1D2D54" w14:textId="77777777" w:rsidR="00764497" w:rsidRPr="00183B5F" w:rsidRDefault="00943743" w:rsidP="004062FE">
      <w:pPr>
        <w:spacing w:line="240" w:lineRule="auto"/>
        <w:ind w:left="567" w:hanging="567"/>
        <w:rPr>
          <w:szCs w:val="22"/>
        </w:rPr>
      </w:pPr>
      <w:r w:rsidRPr="00183B5F">
        <w:rPr>
          <w:szCs w:val="22"/>
        </w:rPr>
        <w:t>Idősek</w:t>
      </w:r>
    </w:p>
    <w:p w14:paraId="4360CFCD" w14:textId="77777777" w:rsidR="00764497" w:rsidRPr="00183B5F" w:rsidRDefault="00764497" w:rsidP="004062FE">
      <w:pPr>
        <w:spacing w:line="240" w:lineRule="auto"/>
        <w:ind w:left="567" w:hanging="567"/>
        <w:rPr>
          <w:b/>
          <w:szCs w:val="22"/>
        </w:rPr>
      </w:pPr>
    </w:p>
    <w:p w14:paraId="7410C59C" w14:textId="77777777" w:rsidR="00764497" w:rsidRPr="00183B5F" w:rsidRDefault="00943743" w:rsidP="004062FE">
      <w:pPr>
        <w:spacing w:line="240" w:lineRule="auto"/>
        <w:ind w:left="567" w:hanging="567"/>
        <w:rPr>
          <w:szCs w:val="22"/>
        </w:rPr>
      </w:pPr>
      <w:r w:rsidRPr="00183B5F">
        <w:rPr>
          <w:szCs w:val="22"/>
        </w:rPr>
        <w:t>Az adagolás megváltoztatása nem szükséges.</w:t>
      </w:r>
    </w:p>
    <w:p w14:paraId="4279DF38" w14:textId="77777777" w:rsidR="00764497" w:rsidRPr="00183B5F" w:rsidRDefault="00764497" w:rsidP="004062FE">
      <w:pPr>
        <w:spacing w:line="240" w:lineRule="auto"/>
        <w:ind w:left="567" w:hanging="567"/>
        <w:rPr>
          <w:b/>
          <w:szCs w:val="22"/>
        </w:rPr>
      </w:pPr>
    </w:p>
    <w:p w14:paraId="58753066" w14:textId="77777777" w:rsidR="00764497" w:rsidRPr="00183B5F" w:rsidRDefault="00943743" w:rsidP="004062FE">
      <w:pPr>
        <w:spacing w:line="240" w:lineRule="auto"/>
        <w:rPr>
          <w:szCs w:val="22"/>
        </w:rPr>
      </w:pPr>
      <w:r w:rsidRPr="00183B5F">
        <w:rPr>
          <w:szCs w:val="22"/>
        </w:rPr>
        <w:t>Vese</w:t>
      </w:r>
      <w:r w:rsidRPr="00183B5F">
        <w:rPr>
          <w:szCs w:val="22"/>
        </w:rPr>
        <w:noBreakHyphen/>
        <w:t xml:space="preserve"> és/vagy májkárosodás</w:t>
      </w:r>
    </w:p>
    <w:p w14:paraId="22CE96B8" w14:textId="77777777" w:rsidR="00764497" w:rsidRPr="00183B5F" w:rsidRDefault="00764497" w:rsidP="004062FE">
      <w:pPr>
        <w:spacing w:line="240" w:lineRule="auto"/>
        <w:rPr>
          <w:szCs w:val="22"/>
          <w:u w:val="single"/>
        </w:rPr>
      </w:pPr>
    </w:p>
    <w:p w14:paraId="6A78C644" w14:textId="77777777" w:rsidR="00E97B8A" w:rsidRPr="00183B5F" w:rsidRDefault="00943743" w:rsidP="004062FE">
      <w:pPr>
        <w:spacing w:line="240" w:lineRule="auto"/>
      </w:pPr>
      <w:r w:rsidRPr="00183B5F">
        <w:t>Eze</w:t>
      </w:r>
      <w:r w:rsidR="00667947" w:rsidRPr="00183B5F">
        <w:t>kbe</w:t>
      </w:r>
      <w:r w:rsidRPr="00183B5F">
        <w:t>n</w:t>
      </w:r>
      <w:r w:rsidR="00667947" w:rsidRPr="00183B5F">
        <w:t xml:space="preserve"> a</w:t>
      </w:r>
      <w:r w:rsidRPr="00183B5F">
        <w:t xml:space="preserve"> betegpopulációkban nem állnak rendelkezésre adatok</w:t>
      </w:r>
      <w:r w:rsidR="00D7676A" w:rsidRPr="00183B5F">
        <w:t>.</w:t>
      </w:r>
      <w:r w:rsidRPr="00183B5F">
        <w:t xml:space="preserve"> </w:t>
      </w:r>
      <w:r w:rsidR="00D7676A" w:rsidRPr="00183B5F">
        <w:t>N</w:t>
      </w:r>
      <w:r w:rsidRPr="00183B5F">
        <w:rPr>
          <w:noProof/>
          <w:szCs w:val="22"/>
        </w:rPr>
        <w:t>incs az adagolásra vonatkozó javaslat.</w:t>
      </w:r>
      <w:r w:rsidRPr="00183B5F">
        <w:t xml:space="preserve"> </w:t>
      </w:r>
    </w:p>
    <w:p w14:paraId="365B0C19" w14:textId="77777777" w:rsidR="00E97B8A" w:rsidRPr="00183B5F" w:rsidRDefault="00E97B8A" w:rsidP="004062FE">
      <w:pPr>
        <w:spacing w:line="240" w:lineRule="auto"/>
      </w:pPr>
    </w:p>
    <w:p w14:paraId="5DEBFC6A" w14:textId="77777777" w:rsidR="00764497" w:rsidRPr="00183B5F" w:rsidRDefault="00943743" w:rsidP="004062FE">
      <w:pPr>
        <w:pStyle w:val="EndnoteText"/>
        <w:tabs>
          <w:tab w:val="clear" w:pos="567"/>
        </w:tabs>
        <w:suppressAutoHyphens/>
        <w:rPr>
          <w:sz w:val="22"/>
          <w:szCs w:val="22"/>
          <w:lang w:val="hu-HU"/>
        </w:rPr>
      </w:pPr>
      <w:r w:rsidRPr="00183B5F">
        <w:rPr>
          <w:sz w:val="22"/>
          <w:szCs w:val="22"/>
          <w:lang w:val="hu-HU"/>
        </w:rPr>
        <w:t>Gyermekek és serdülők</w:t>
      </w:r>
    </w:p>
    <w:p w14:paraId="413F4679" w14:textId="77777777" w:rsidR="00EF053A" w:rsidRPr="00183B5F" w:rsidRDefault="00EF053A" w:rsidP="00EF053A">
      <w:pPr>
        <w:rPr>
          <w:lang w:eastAsia="x-none"/>
        </w:rPr>
      </w:pPr>
    </w:p>
    <w:p w14:paraId="337F733D" w14:textId="77777777" w:rsidR="00EF053A" w:rsidRPr="00183B5F" w:rsidRDefault="00943743" w:rsidP="00EF053A">
      <w:pPr>
        <w:keepNext/>
        <w:spacing w:line="240" w:lineRule="auto"/>
        <w:rPr>
          <w:i/>
          <w:szCs w:val="22"/>
        </w:rPr>
      </w:pPr>
      <w:r w:rsidRPr="00183B5F">
        <w:rPr>
          <w:i/>
          <w:szCs w:val="22"/>
        </w:rPr>
        <w:t>Gyermekkori plakkos psoriasis</w:t>
      </w:r>
    </w:p>
    <w:p w14:paraId="3B74B87D" w14:textId="77777777" w:rsidR="00EF053A" w:rsidRPr="00183B5F" w:rsidRDefault="00EF053A" w:rsidP="00EF053A">
      <w:pPr>
        <w:keepNext/>
        <w:spacing w:line="240" w:lineRule="auto"/>
        <w:rPr>
          <w:szCs w:val="22"/>
        </w:rPr>
      </w:pPr>
    </w:p>
    <w:p w14:paraId="07D65846" w14:textId="77777777" w:rsidR="00EF053A" w:rsidRPr="00183B5F" w:rsidRDefault="00943743" w:rsidP="00EF053A">
      <w:pPr>
        <w:spacing w:line="240" w:lineRule="auto"/>
        <w:rPr>
          <w:szCs w:val="22"/>
        </w:rPr>
      </w:pPr>
      <w:r w:rsidRPr="00183B5F">
        <w:rPr>
          <w:noProof/>
          <w:szCs w:val="24"/>
        </w:rPr>
        <w:t>A Humira biztonságosságát és hatásosságát 4</w:t>
      </w:r>
      <w:r w:rsidRPr="00183B5F">
        <w:rPr>
          <w:noProof/>
          <w:szCs w:val="24"/>
        </w:rPr>
        <w:noBreakHyphen/>
      </w:r>
      <w:r w:rsidRPr="00183B5F">
        <w:rPr>
          <w:noProof/>
          <w:szCs w:val="24"/>
        </w:rPr>
        <w:t xml:space="preserve">17 éves gyermekek esetében nem igazolták plakkos psoriasis esetén. A Humira javasolt dózisa legfeljebb adagonként 40 mg. </w:t>
      </w:r>
    </w:p>
    <w:p w14:paraId="45052622" w14:textId="77777777" w:rsidR="001865C9" w:rsidRPr="00183B5F" w:rsidRDefault="001865C9">
      <w:pPr>
        <w:pStyle w:val="DefaultText"/>
        <w:rPr>
          <w:rFonts w:ascii="Times New Roman" w:hAnsi="Times New Roman"/>
          <w:szCs w:val="22"/>
          <w:lang w:val="hu-HU"/>
        </w:rPr>
      </w:pPr>
    </w:p>
    <w:p w14:paraId="7194C2BC" w14:textId="77777777" w:rsidR="00764497" w:rsidRPr="00183B5F" w:rsidRDefault="00943743">
      <w:pPr>
        <w:keepNext/>
        <w:spacing w:line="240" w:lineRule="auto"/>
        <w:rPr>
          <w:i/>
          <w:szCs w:val="22"/>
        </w:rPr>
      </w:pPr>
      <w:r w:rsidRPr="00183B5F">
        <w:rPr>
          <w:i/>
          <w:szCs w:val="22"/>
        </w:rPr>
        <w:t>Serdülőkori hidradenitis suppurativa (12 éves kortól, legalább 30 kg</w:t>
      </w:r>
      <w:r w:rsidRPr="00183B5F">
        <w:rPr>
          <w:i/>
          <w:szCs w:val="22"/>
        </w:rPr>
        <w:noBreakHyphen/>
        <w:t>os betegek)</w:t>
      </w:r>
    </w:p>
    <w:p w14:paraId="72FFA513" w14:textId="77777777" w:rsidR="00764497" w:rsidRPr="00183B5F" w:rsidRDefault="00764497">
      <w:pPr>
        <w:keepNext/>
        <w:spacing w:line="240" w:lineRule="auto"/>
        <w:rPr>
          <w:szCs w:val="22"/>
        </w:rPr>
      </w:pPr>
    </w:p>
    <w:p w14:paraId="546CB0A1" w14:textId="77777777" w:rsidR="00764497" w:rsidRPr="00183B5F" w:rsidRDefault="00943743">
      <w:pPr>
        <w:spacing w:line="240" w:lineRule="auto"/>
        <w:rPr>
          <w:szCs w:val="22"/>
        </w:rPr>
      </w:pPr>
      <w:r w:rsidRPr="00183B5F">
        <w:rPr>
          <w:szCs w:val="22"/>
        </w:rPr>
        <w:t>Nem végeztek klinikai vizsgálatokat Humira</w:t>
      </w:r>
      <w:r w:rsidRPr="00183B5F">
        <w:rPr>
          <w:szCs w:val="22"/>
        </w:rPr>
        <w:noBreakHyphen/>
        <w:t>val HS</w:t>
      </w:r>
      <w:r w:rsidRPr="00183B5F">
        <w:rPr>
          <w:szCs w:val="22"/>
        </w:rPr>
        <w:noBreakHyphen/>
        <w:t>ben szenvedő serdülőknél. A Humira adagolását ezeknél a betegeknél farmakokinetikai modellezéssel és szimulációval határozták meg (lásd 5.2 pont).</w:t>
      </w:r>
    </w:p>
    <w:p w14:paraId="68C0EB86" w14:textId="77777777" w:rsidR="00764497" w:rsidRPr="00183B5F" w:rsidRDefault="00764497">
      <w:pPr>
        <w:spacing w:line="240" w:lineRule="auto"/>
        <w:rPr>
          <w:szCs w:val="22"/>
        </w:rPr>
      </w:pPr>
    </w:p>
    <w:p w14:paraId="4C18681E" w14:textId="77777777" w:rsidR="00764497" w:rsidRPr="00183B5F" w:rsidRDefault="00943743">
      <w:pPr>
        <w:spacing w:line="240" w:lineRule="auto"/>
        <w:rPr>
          <w:szCs w:val="22"/>
        </w:rPr>
      </w:pPr>
      <w:r w:rsidRPr="00183B5F">
        <w:rPr>
          <w:szCs w:val="22"/>
        </w:rPr>
        <w:t xml:space="preserve">A Humira ajánlott adagja a 0. héten 80 mg, amit első héttől kezdve 40 mg </w:t>
      </w:r>
      <w:r w:rsidRPr="00183B5F">
        <w:rPr>
          <w:i/>
          <w:szCs w:val="22"/>
        </w:rPr>
        <w:t>subcutan</w:t>
      </w:r>
      <w:r w:rsidRPr="00183B5F">
        <w:rPr>
          <w:szCs w:val="22"/>
        </w:rPr>
        <w:t xml:space="preserve"> adott injekció követ minden 2. héten.</w:t>
      </w:r>
      <w:r w:rsidR="003B0E00" w:rsidRPr="00183B5F">
        <w:rPr>
          <w:szCs w:val="22"/>
        </w:rPr>
        <w:t xml:space="preserve"> </w:t>
      </w:r>
    </w:p>
    <w:p w14:paraId="5F5F2B13" w14:textId="77777777" w:rsidR="00764497" w:rsidRPr="00183B5F" w:rsidRDefault="00764497">
      <w:pPr>
        <w:spacing w:line="240" w:lineRule="auto"/>
        <w:rPr>
          <w:szCs w:val="22"/>
        </w:rPr>
      </w:pPr>
    </w:p>
    <w:p w14:paraId="6104727C" w14:textId="77777777" w:rsidR="00764497" w:rsidRPr="00183B5F" w:rsidRDefault="00943743">
      <w:pPr>
        <w:spacing w:line="240" w:lineRule="auto"/>
        <w:rPr>
          <w:szCs w:val="22"/>
        </w:rPr>
      </w:pPr>
      <w:r w:rsidRPr="00183B5F">
        <w:rPr>
          <w:szCs w:val="22"/>
        </w:rPr>
        <w:t xml:space="preserve">Azoknál a serdülőkorú betegeknél, akik nem megfelelően reagálnak a kéthetente adagolt 40 mg Humira kezelésre, megfontolandó a Humira </w:t>
      </w:r>
      <w:r w:rsidR="00B93237" w:rsidRPr="00183B5F">
        <w:rPr>
          <w:szCs w:val="22"/>
        </w:rPr>
        <w:t>adagját</w:t>
      </w:r>
      <w:r w:rsidRPr="00183B5F">
        <w:rPr>
          <w:szCs w:val="22"/>
        </w:rPr>
        <w:t xml:space="preserve"> heti 40 mg</w:t>
      </w:r>
      <w:r w:rsidRPr="00183B5F">
        <w:rPr>
          <w:szCs w:val="22"/>
        </w:rPr>
        <w:noBreakHyphen/>
        <w:t>ra</w:t>
      </w:r>
      <w:r w:rsidR="00F13823" w:rsidRPr="00183B5F">
        <w:rPr>
          <w:szCs w:val="22"/>
        </w:rPr>
        <w:t xml:space="preserve"> vagy kéthetente</w:t>
      </w:r>
      <w:r w:rsidR="00B93237" w:rsidRPr="00183B5F">
        <w:rPr>
          <w:szCs w:val="22"/>
        </w:rPr>
        <w:t xml:space="preserve"> 80 mg</w:t>
      </w:r>
      <w:r w:rsidR="00B93237" w:rsidRPr="00183B5F">
        <w:rPr>
          <w:szCs w:val="22"/>
        </w:rPr>
        <w:noBreakHyphen/>
        <w:t>ra</w:t>
      </w:r>
      <w:r w:rsidRPr="00183B5F">
        <w:rPr>
          <w:szCs w:val="22"/>
        </w:rPr>
        <w:t xml:space="preserve"> emelni.</w:t>
      </w:r>
    </w:p>
    <w:p w14:paraId="02A8DF2F" w14:textId="77777777" w:rsidR="00764497" w:rsidRPr="00183B5F" w:rsidRDefault="00764497">
      <w:pPr>
        <w:spacing w:line="240" w:lineRule="auto"/>
        <w:rPr>
          <w:szCs w:val="22"/>
        </w:rPr>
      </w:pPr>
    </w:p>
    <w:p w14:paraId="2386C346" w14:textId="77777777" w:rsidR="00764497" w:rsidRPr="00183B5F" w:rsidRDefault="00943743">
      <w:pPr>
        <w:spacing w:line="240" w:lineRule="auto"/>
        <w:rPr>
          <w:szCs w:val="22"/>
        </w:rPr>
      </w:pPr>
      <w:r w:rsidRPr="00183B5F">
        <w:rPr>
          <w:szCs w:val="22"/>
        </w:rPr>
        <w:t>Szükség esetén folytatható az antibiotikum szedése a Humira</w:t>
      </w:r>
      <w:r w:rsidR="001608A7" w:rsidRPr="00183B5F">
        <w:rPr>
          <w:szCs w:val="22"/>
        </w:rPr>
        <w:noBreakHyphen/>
      </w:r>
      <w:r w:rsidRPr="00183B5F">
        <w:rPr>
          <w:szCs w:val="22"/>
        </w:rPr>
        <w:t>kezelés alatt. Humira</w:t>
      </w:r>
      <w:r w:rsidR="001608A7" w:rsidRPr="00183B5F">
        <w:rPr>
          <w:szCs w:val="22"/>
        </w:rPr>
        <w:noBreakHyphen/>
      </w:r>
      <w:r w:rsidRPr="00183B5F">
        <w:rPr>
          <w:szCs w:val="22"/>
        </w:rPr>
        <w:t>kezelés alatt javasolt, hogy a beteg naponta alkalmazzon helyi fertőtlenítő lemosót a HS léziókon.</w:t>
      </w:r>
    </w:p>
    <w:p w14:paraId="03FE2CED" w14:textId="77777777" w:rsidR="00764497" w:rsidRPr="00183B5F" w:rsidRDefault="00764497">
      <w:pPr>
        <w:spacing w:line="240" w:lineRule="auto"/>
        <w:rPr>
          <w:szCs w:val="22"/>
        </w:rPr>
      </w:pPr>
    </w:p>
    <w:p w14:paraId="490E3812" w14:textId="77777777" w:rsidR="00764497" w:rsidRPr="00183B5F" w:rsidRDefault="00943743">
      <w:pPr>
        <w:spacing w:line="240" w:lineRule="auto"/>
        <w:rPr>
          <w:szCs w:val="22"/>
        </w:rPr>
      </w:pPr>
      <w:r w:rsidRPr="00183B5F">
        <w:rPr>
          <w:szCs w:val="22"/>
        </w:rPr>
        <w:t>A kezelés folytatását alaposan meg kell fontolni azoknál a betegeknél, akik a 12. hétig nem reagálnak a kezelésre.</w:t>
      </w:r>
    </w:p>
    <w:p w14:paraId="4189D851" w14:textId="77777777" w:rsidR="00764497" w:rsidRPr="00183B5F" w:rsidRDefault="00764497">
      <w:pPr>
        <w:spacing w:line="240" w:lineRule="auto"/>
        <w:rPr>
          <w:szCs w:val="22"/>
        </w:rPr>
      </w:pPr>
    </w:p>
    <w:p w14:paraId="603C63BB" w14:textId="77777777" w:rsidR="00764497" w:rsidRPr="00183B5F" w:rsidRDefault="00943743">
      <w:pPr>
        <w:spacing w:line="240" w:lineRule="auto"/>
        <w:rPr>
          <w:szCs w:val="22"/>
        </w:rPr>
      </w:pPr>
      <w:r w:rsidRPr="00183B5F">
        <w:rPr>
          <w:szCs w:val="22"/>
        </w:rPr>
        <w:t>Amennyiben a kezelés megszakadt, a Humira szükség szerint újra alkalmazható.</w:t>
      </w:r>
    </w:p>
    <w:p w14:paraId="07CAE1A4" w14:textId="77777777" w:rsidR="00764497" w:rsidRPr="00183B5F" w:rsidRDefault="00764497">
      <w:pPr>
        <w:spacing w:line="240" w:lineRule="auto"/>
        <w:rPr>
          <w:szCs w:val="22"/>
        </w:rPr>
      </w:pPr>
    </w:p>
    <w:p w14:paraId="0D3F08DA" w14:textId="77777777" w:rsidR="00764497" w:rsidRPr="00183B5F" w:rsidRDefault="00943743">
      <w:pPr>
        <w:spacing w:line="240" w:lineRule="auto"/>
        <w:rPr>
          <w:szCs w:val="22"/>
        </w:rPr>
      </w:pPr>
      <w:r w:rsidRPr="00183B5F">
        <w:rPr>
          <w:szCs w:val="22"/>
        </w:rPr>
        <w:t>A folyamatos, hosszú távú kezelés előnyét és kockázatát időszakosan értékelni kell (lásd felnőtt adatok, 5.1 pont).</w:t>
      </w:r>
    </w:p>
    <w:p w14:paraId="4643567B" w14:textId="77777777" w:rsidR="00764497" w:rsidRPr="00183B5F" w:rsidRDefault="00764497">
      <w:pPr>
        <w:spacing w:line="240" w:lineRule="auto"/>
        <w:rPr>
          <w:szCs w:val="22"/>
        </w:rPr>
      </w:pPr>
    </w:p>
    <w:p w14:paraId="20598ADF" w14:textId="77777777" w:rsidR="00764497" w:rsidRPr="00183B5F" w:rsidRDefault="00943743">
      <w:pPr>
        <w:spacing w:line="240" w:lineRule="auto"/>
        <w:rPr>
          <w:szCs w:val="22"/>
        </w:rPr>
      </w:pPr>
      <w:r w:rsidRPr="00183B5F">
        <w:rPr>
          <w:szCs w:val="22"/>
        </w:rPr>
        <w:t>A Humira</w:t>
      </w:r>
      <w:r w:rsidRPr="00183B5F">
        <w:rPr>
          <w:szCs w:val="22"/>
        </w:rPr>
        <w:noBreakHyphen/>
        <w:t>nak 12 évesnél fiatalabb gyermekeknél ebben a javallatban nincs releváns alkalmazása.</w:t>
      </w:r>
    </w:p>
    <w:p w14:paraId="26314CDA" w14:textId="77777777" w:rsidR="00B93237" w:rsidRPr="00183B5F" w:rsidRDefault="00B93237">
      <w:pPr>
        <w:spacing w:line="240" w:lineRule="auto"/>
        <w:rPr>
          <w:szCs w:val="22"/>
        </w:rPr>
      </w:pPr>
    </w:p>
    <w:p w14:paraId="4C5E17BE" w14:textId="77777777" w:rsidR="00B93237" w:rsidRPr="00183B5F" w:rsidRDefault="00943743">
      <w:pPr>
        <w:spacing w:line="240" w:lineRule="auto"/>
        <w:rPr>
          <w:szCs w:val="22"/>
        </w:rPr>
      </w:pPr>
      <w:r w:rsidRPr="00183B5F">
        <w:rPr>
          <w:szCs w:val="22"/>
        </w:rPr>
        <w:t>A Humira más hatáserősségben és/vagy kiszerelésben is elérhető az egyéni terápiás igényeknek megfelelően.</w:t>
      </w:r>
    </w:p>
    <w:p w14:paraId="50C1B7FA" w14:textId="77777777" w:rsidR="00764497" w:rsidRPr="00183B5F" w:rsidRDefault="00764497" w:rsidP="004062FE">
      <w:pPr>
        <w:spacing w:line="240" w:lineRule="auto"/>
        <w:rPr>
          <w:szCs w:val="22"/>
        </w:rPr>
      </w:pPr>
    </w:p>
    <w:p w14:paraId="32BBD780" w14:textId="77777777" w:rsidR="00764497" w:rsidRPr="00183B5F" w:rsidRDefault="00943743" w:rsidP="004062FE">
      <w:pPr>
        <w:keepNext/>
        <w:spacing w:line="240" w:lineRule="auto"/>
        <w:rPr>
          <w:szCs w:val="22"/>
        </w:rPr>
      </w:pPr>
      <w:r w:rsidRPr="00183B5F">
        <w:rPr>
          <w:i/>
          <w:szCs w:val="22"/>
        </w:rPr>
        <w:t>Gyermekkori Crohn</w:t>
      </w:r>
      <w:r w:rsidRPr="00183B5F">
        <w:rPr>
          <w:i/>
          <w:szCs w:val="22"/>
        </w:rPr>
        <w:noBreakHyphen/>
        <w:t>betegség</w:t>
      </w:r>
    </w:p>
    <w:p w14:paraId="6B470FA1" w14:textId="77777777" w:rsidR="00A065AA" w:rsidRPr="00183B5F" w:rsidRDefault="00A065AA" w:rsidP="004062FE">
      <w:pPr>
        <w:keepNext/>
        <w:spacing w:line="240" w:lineRule="auto"/>
        <w:rPr>
          <w:szCs w:val="22"/>
        </w:rPr>
      </w:pPr>
    </w:p>
    <w:p w14:paraId="202F944B" w14:textId="77777777" w:rsidR="00A065AA" w:rsidRPr="00183B5F" w:rsidRDefault="00943743" w:rsidP="004062FE">
      <w:pPr>
        <w:keepNext/>
        <w:spacing w:line="240" w:lineRule="auto"/>
        <w:rPr>
          <w:szCs w:val="22"/>
        </w:rPr>
      </w:pPr>
      <w:r w:rsidRPr="00183B5F">
        <w:rPr>
          <w:szCs w:val="22"/>
        </w:rPr>
        <w:t>A Humira ajánlott adagja Crohn</w:t>
      </w:r>
      <w:r w:rsidR="00DD77ED" w:rsidRPr="00183B5F">
        <w:rPr>
          <w:szCs w:val="22"/>
        </w:rPr>
        <w:noBreakHyphen/>
      </w:r>
      <w:r w:rsidRPr="00183B5F">
        <w:rPr>
          <w:szCs w:val="22"/>
        </w:rPr>
        <w:t>betegségben szenvedő</w:t>
      </w:r>
      <w:r w:rsidR="008B60B4" w:rsidRPr="00183B5F">
        <w:rPr>
          <w:szCs w:val="22"/>
        </w:rPr>
        <w:t>,</w:t>
      </w:r>
      <w:r w:rsidRPr="00183B5F">
        <w:rPr>
          <w:szCs w:val="22"/>
        </w:rPr>
        <w:t xml:space="preserve"> 6</w:t>
      </w:r>
      <w:r w:rsidR="00DD77ED" w:rsidRPr="00183B5F">
        <w:rPr>
          <w:szCs w:val="22"/>
        </w:rPr>
        <w:noBreakHyphen/>
      </w:r>
      <w:r w:rsidRPr="00183B5F">
        <w:rPr>
          <w:szCs w:val="22"/>
        </w:rPr>
        <w:t>17 éves betegek</w:t>
      </w:r>
      <w:r w:rsidR="00D22F6B" w:rsidRPr="00183B5F">
        <w:rPr>
          <w:szCs w:val="22"/>
        </w:rPr>
        <w:t>nél a</w:t>
      </w:r>
      <w:r w:rsidRPr="00183B5F">
        <w:rPr>
          <w:szCs w:val="22"/>
        </w:rPr>
        <w:t xml:space="preserve"> testtömegtől függ (</w:t>
      </w:r>
      <w:r w:rsidR="001608A7" w:rsidRPr="00183B5F">
        <w:rPr>
          <w:szCs w:val="22"/>
        </w:rPr>
        <w:t>1</w:t>
      </w:r>
      <w:r w:rsidRPr="00183B5F">
        <w:rPr>
          <w:szCs w:val="22"/>
        </w:rPr>
        <w:t>. táblázat). A Humira</w:t>
      </w:r>
      <w:r w:rsidR="00DD77ED" w:rsidRPr="00183B5F">
        <w:rPr>
          <w:szCs w:val="22"/>
        </w:rPr>
        <w:noBreakHyphen/>
      </w:r>
      <w:r w:rsidRPr="00183B5F">
        <w:rPr>
          <w:szCs w:val="22"/>
        </w:rPr>
        <w:t xml:space="preserve">t subcutan injekció formájában </w:t>
      </w:r>
      <w:r w:rsidR="00D22F6B" w:rsidRPr="00183B5F">
        <w:rPr>
          <w:szCs w:val="22"/>
        </w:rPr>
        <w:t xml:space="preserve">kell </w:t>
      </w:r>
      <w:r w:rsidRPr="00183B5F">
        <w:rPr>
          <w:szCs w:val="22"/>
        </w:rPr>
        <w:t>alkalmaz</w:t>
      </w:r>
      <w:r w:rsidR="00D22F6B" w:rsidRPr="00183B5F">
        <w:rPr>
          <w:szCs w:val="22"/>
        </w:rPr>
        <w:t>ni</w:t>
      </w:r>
      <w:r w:rsidRPr="00183B5F">
        <w:rPr>
          <w:szCs w:val="22"/>
        </w:rPr>
        <w:t xml:space="preserve">. </w:t>
      </w:r>
    </w:p>
    <w:p w14:paraId="5C58BE03" w14:textId="77777777" w:rsidR="00C218FF" w:rsidRPr="00183B5F" w:rsidRDefault="00C218FF" w:rsidP="004062FE">
      <w:pPr>
        <w:keepNext/>
        <w:spacing w:line="240" w:lineRule="auto"/>
        <w:rPr>
          <w:szCs w:val="22"/>
        </w:rPr>
      </w:pPr>
    </w:p>
    <w:p w14:paraId="537E5ED7" w14:textId="77777777" w:rsidR="00C218FF" w:rsidRPr="00183B5F" w:rsidRDefault="00943743" w:rsidP="004062FE">
      <w:pPr>
        <w:keepNext/>
        <w:spacing w:line="240" w:lineRule="auto"/>
        <w:jc w:val="center"/>
        <w:rPr>
          <w:b/>
          <w:szCs w:val="22"/>
        </w:rPr>
      </w:pPr>
      <w:r w:rsidRPr="00183B5F">
        <w:rPr>
          <w:b/>
          <w:szCs w:val="22"/>
        </w:rPr>
        <w:t>1. táblázat: A Humira dózisa Crohn</w:t>
      </w:r>
      <w:r w:rsidR="00DD77ED" w:rsidRPr="00183B5F">
        <w:rPr>
          <w:b/>
          <w:szCs w:val="22"/>
        </w:rPr>
        <w:noBreakHyphen/>
      </w:r>
      <w:r w:rsidRPr="00183B5F">
        <w:rPr>
          <w:b/>
          <w:szCs w:val="22"/>
        </w:rPr>
        <w:t>betegségben szenvedő gyermekek</w:t>
      </w:r>
      <w:r w:rsidR="00D22F6B" w:rsidRPr="00183B5F">
        <w:rPr>
          <w:b/>
          <w:szCs w:val="22"/>
        </w:rPr>
        <w:t>nél</w:t>
      </w:r>
    </w:p>
    <w:p w14:paraId="32095192" w14:textId="77777777" w:rsidR="00C218FF" w:rsidRPr="00183B5F" w:rsidRDefault="00C218FF" w:rsidP="004062FE">
      <w:pPr>
        <w:keepNext/>
        <w:spacing w:line="240" w:lineRule="auto"/>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63"/>
        <w:gridCol w:w="6312"/>
        <w:gridCol w:w="1480"/>
      </w:tblGrid>
      <w:tr w:rsidR="00011D2F" w14:paraId="317D1177" w14:textId="77777777" w:rsidTr="00C218FF">
        <w:trPr>
          <w:tblHeader/>
        </w:trPr>
        <w:tc>
          <w:tcPr>
            <w:tcW w:w="0" w:type="auto"/>
            <w:tcBorders>
              <w:top w:val="single" w:sz="6" w:space="0" w:color="000000"/>
              <w:left w:val="single" w:sz="6" w:space="0" w:color="000000"/>
              <w:bottom w:val="single" w:sz="6" w:space="0" w:color="000000"/>
              <w:right w:val="single" w:sz="6" w:space="0" w:color="000000"/>
            </w:tcBorders>
            <w:hideMark/>
          </w:tcPr>
          <w:p w14:paraId="2A8B245C" w14:textId="77777777" w:rsidR="00C218FF" w:rsidRPr="00183B5F" w:rsidRDefault="00943743" w:rsidP="004062FE">
            <w:pPr>
              <w:keepNext/>
              <w:spacing w:line="240" w:lineRule="auto"/>
              <w:jc w:val="center"/>
            </w:pPr>
            <w:r w:rsidRPr="00183B5F">
              <w:rPr>
                <w:b/>
              </w:rPr>
              <w:t>A beteg testtömege</w:t>
            </w:r>
          </w:p>
        </w:tc>
        <w:tc>
          <w:tcPr>
            <w:tcW w:w="0" w:type="auto"/>
            <w:tcBorders>
              <w:top w:val="single" w:sz="6" w:space="0" w:color="000000"/>
              <w:left w:val="single" w:sz="6" w:space="0" w:color="000000"/>
              <w:bottom w:val="single" w:sz="6" w:space="0" w:color="000000"/>
              <w:right w:val="single" w:sz="6" w:space="0" w:color="000000"/>
            </w:tcBorders>
            <w:hideMark/>
          </w:tcPr>
          <w:p w14:paraId="36FE9A7D" w14:textId="77777777" w:rsidR="00C218FF" w:rsidRPr="00183B5F" w:rsidRDefault="00943743" w:rsidP="004062FE">
            <w:pPr>
              <w:keepNext/>
              <w:spacing w:line="240" w:lineRule="auto"/>
              <w:jc w:val="center"/>
            </w:pPr>
            <w:r w:rsidRPr="00183B5F">
              <w:rPr>
                <w:b/>
              </w:rPr>
              <w:t>Indukciós dózis</w:t>
            </w:r>
          </w:p>
        </w:tc>
        <w:tc>
          <w:tcPr>
            <w:tcW w:w="0" w:type="auto"/>
            <w:tcBorders>
              <w:top w:val="single" w:sz="6" w:space="0" w:color="000000"/>
              <w:left w:val="single" w:sz="6" w:space="0" w:color="000000"/>
              <w:bottom w:val="single" w:sz="6" w:space="0" w:color="000000"/>
              <w:right w:val="single" w:sz="6" w:space="0" w:color="000000"/>
            </w:tcBorders>
            <w:hideMark/>
          </w:tcPr>
          <w:p w14:paraId="607988AC" w14:textId="77777777" w:rsidR="00C218FF" w:rsidRPr="00183B5F" w:rsidRDefault="00943743" w:rsidP="004062FE">
            <w:pPr>
              <w:keepNext/>
              <w:spacing w:line="240" w:lineRule="auto"/>
              <w:jc w:val="center"/>
            </w:pPr>
            <w:r w:rsidRPr="00183B5F">
              <w:rPr>
                <w:b/>
              </w:rPr>
              <w:t>Fenntartó dózis</w:t>
            </w:r>
            <w:r w:rsidRPr="00183B5F">
              <w:rPr>
                <w:b/>
              </w:rPr>
              <w:br/>
              <w:t>4. héttől kezdve</w:t>
            </w:r>
          </w:p>
        </w:tc>
      </w:tr>
      <w:tr w:rsidR="00011D2F" w14:paraId="38BBE1D5" w14:textId="77777777" w:rsidTr="00C218FF">
        <w:tc>
          <w:tcPr>
            <w:tcW w:w="0" w:type="auto"/>
            <w:tcBorders>
              <w:top w:val="single" w:sz="6" w:space="0" w:color="000000"/>
              <w:left w:val="single" w:sz="6" w:space="0" w:color="000000"/>
              <w:bottom w:val="single" w:sz="6" w:space="0" w:color="000000"/>
              <w:right w:val="single" w:sz="6" w:space="0" w:color="000000"/>
            </w:tcBorders>
            <w:hideMark/>
          </w:tcPr>
          <w:p w14:paraId="2613DA0C" w14:textId="77777777" w:rsidR="00C218FF" w:rsidRPr="00183B5F" w:rsidRDefault="00943743" w:rsidP="004062FE">
            <w:pPr>
              <w:keepNext/>
              <w:spacing w:line="240" w:lineRule="auto"/>
              <w:jc w:val="center"/>
            </w:pPr>
            <w:r w:rsidRPr="00183B5F">
              <w:t>&lt;</w:t>
            </w:r>
            <w:r w:rsidR="00D22F6B" w:rsidRPr="00183B5F">
              <w:t> </w:t>
            </w:r>
            <w:r w:rsidRPr="00183B5F">
              <w:t>40 kg</w:t>
            </w:r>
          </w:p>
        </w:tc>
        <w:tc>
          <w:tcPr>
            <w:tcW w:w="0" w:type="auto"/>
            <w:tcBorders>
              <w:top w:val="single" w:sz="6" w:space="0" w:color="000000"/>
              <w:left w:val="single" w:sz="6" w:space="0" w:color="000000"/>
              <w:bottom w:val="single" w:sz="6" w:space="0" w:color="000000"/>
              <w:right w:val="single" w:sz="6" w:space="0" w:color="000000"/>
            </w:tcBorders>
            <w:hideMark/>
          </w:tcPr>
          <w:p w14:paraId="62A0D3B3" w14:textId="77777777" w:rsidR="00C218FF" w:rsidRPr="00183B5F" w:rsidRDefault="00943743" w:rsidP="004062FE">
            <w:pPr>
              <w:pStyle w:val="ListParagraph"/>
              <w:keepNext/>
              <w:numPr>
                <w:ilvl w:val="0"/>
                <w:numId w:val="145"/>
              </w:numPr>
              <w:suppressAutoHyphens w:val="0"/>
              <w:spacing w:line="240" w:lineRule="auto"/>
              <w:contextualSpacing/>
              <w:rPr>
                <w:szCs w:val="22"/>
              </w:rPr>
            </w:pPr>
            <w:r w:rsidRPr="00183B5F">
              <w:rPr>
                <w:szCs w:val="22"/>
              </w:rPr>
              <w:t>40 mg a 0. héten és 20 mg a 2. héten.</w:t>
            </w:r>
          </w:p>
          <w:p w14:paraId="4EE675F5" w14:textId="77777777" w:rsidR="00C218FF" w:rsidRPr="00183B5F" w:rsidRDefault="00C218FF" w:rsidP="004062FE">
            <w:pPr>
              <w:keepNext/>
              <w:suppressAutoHyphens w:val="0"/>
              <w:spacing w:line="240" w:lineRule="auto"/>
              <w:rPr>
                <w:szCs w:val="22"/>
              </w:rPr>
            </w:pPr>
          </w:p>
          <w:p w14:paraId="7A482279" w14:textId="77777777" w:rsidR="00C218FF" w:rsidRPr="00183B5F" w:rsidRDefault="00943743" w:rsidP="004062FE">
            <w:pPr>
              <w:keepNext/>
              <w:suppressAutoHyphens w:val="0"/>
              <w:spacing w:line="240" w:lineRule="auto"/>
              <w:rPr>
                <w:szCs w:val="22"/>
              </w:rPr>
            </w:pPr>
            <w:r w:rsidRPr="00183B5F">
              <w:rPr>
                <w:szCs w:val="22"/>
              </w:rPr>
              <w:t>Amennyiben gyorsabb terápiás válaszra van szükség, figyelembe véve, hogy a nagyobb indukciós dózis adásakor a nemkívánatos események kockázata is nagyobb, úgy a következő adagolás alkalmazható:</w:t>
            </w:r>
          </w:p>
          <w:p w14:paraId="3C5F806E" w14:textId="77777777" w:rsidR="00C218FF" w:rsidRPr="00183B5F" w:rsidRDefault="00943743" w:rsidP="004062FE">
            <w:pPr>
              <w:keepNext/>
              <w:numPr>
                <w:ilvl w:val="0"/>
                <w:numId w:val="144"/>
              </w:numPr>
              <w:suppressAutoHyphens w:val="0"/>
              <w:spacing w:line="240" w:lineRule="auto"/>
              <w:ind w:left="357" w:hanging="357"/>
              <w:rPr>
                <w:iCs/>
                <w:szCs w:val="22"/>
              </w:rPr>
            </w:pPr>
            <w:r w:rsidRPr="00183B5F">
              <w:rPr>
                <w:szCs w:val="22"/>
              </w:rPr>
              <w:t>80 mg a 0. héten és 40 mg a 2. héten</w:t>
            </w:r>
          </w:p>
        </w:tc>
        <w:tc>
          <w:tcPr>
            <w:tcW w:w="0" w:type="auto"/>
            <w:tcBorders>
              <w:top w:val="single" w:sz="6" w:space="0" w:color="000000"/>
              <w:left w:val="single" w:sz="6" w:space="0" w:color="000000"/>
              <w:bottom w:val="single" w:sz="6" w:space="0" w:color="000000"/>
              <w:right w:val="single" w:sz="6" w:space="0" w:color="000000"/>
            </w:tcBorders>
            <w:hideMark/>
          </w:tcPr>
          <w:p w14:paraId="36CEDB32" w14:textId="77777777" w:rsidR="00C218FF" w:rsidRPr="00183B5F" w:rsidRDefault="00943743" w:rsidP="004062FE">
            <w:pPr>
              <w:keepNext/>
              <w:suppressAutoHyphens w:val="0"/>
              <w:spacing w:line="240" w:lineRule="auto"/>
              <w:ind w:left="27"/>
              <w:jc w:val="center"/>
            </w:pPr>
            <w:r w:rsidRPr="00183B5F">
              <w:t>20 mg minden második héten</w:t>
            </w:r>
          </w:p>
        </w:tc>
      </w:tr>
      <w:tr w:rsidR="00011D2F" w14:paraId="6BE9D3CB" w14:textId="77777777" w:rsidTr="00C218FF">
        <w:tc>
          <w:tcPr>
            <w:tcW w:w="0" w:type="auto"/>
            <w:tcBorders>
              <w:top w:val="single" w:sz="6" w:space="0" w:color="000000"/>
              <w:left w:val="single" w:sz="6" w:space="0" w:color="000000"/>
              <w:bottom w:val="single" w:sz="6" w:space="0" w:color="000000"/>
              <w:right w:val="single" w:sz="6" w:space="0" w:color="000000"/>
            </w:tcBorders>
            <w:hideMark/>
          </w:tcPr>
          <w:p w14:paraId="1AD38BF6" w14:textId="77777777" w:rsidR="00C218FF" w:rsidRPr="00183B5F" w:rsidRDefault="00943743" w:rsidP="004062FE">
            <w:pPr>
              <w:keepNext/>
              <w:spacing w:line="240" w:lineRule="auto"/>
              <w:jc w:val="center"/>
            </w:pPr>
            <w:r w:rsidRPr="00183B5F">
              <w:t>≥</w:t>
            </w:r>
            <w:r w:rsidR="00D22F6B" w:rsidRPr="00183B5F">
              <w:t> </w:t>
            </w:r>
            <w:r w:rsidRPr="00183B5F">
              <w:t>40 kg</w:t>
            </w:r>
          </w:p>
        </w:tc>
        <w:tc>
          <w:tcPr>
            <w:tcW w:w="0" w:type="auto"/>
            <w:tcBorders>
              <w:top w:val="single" w:sz="6" w:space="0" w:color="000000"/>
              <w:left w:val="single" w:sz="6" w:space="0" w:color="000000"/>
              <w:bottom w:val="single" w:sz="6" w:space="0" w:color="000000"/>
              <w:right w:val="single" w:sz="6" w:space="0" w:color="000000"/>
            </w:tcBorders>
            <w:hideMark/>
          </w:tcPr>
          <w:p w14:paraId="40AD1F34" w14:textId="77777777" w:rsidR="00C218FF" w:rsidRPr="00183B5F" w:rsidRDefault="00943743" w:rsidP="004062FE">
            <w:pPr>
              <w:pStyle w:val="ListParagraph"/>
              <w:keepNext/>
              <w:numPr>
                <w:ilvl w:val="0"/>
                <w:numId w:val="144"/>
              </w:numPr>
              <w:suppressAutoHyphens w:val="0"/>
              <w:spacing w:line="240" w:lineRule="auto"/>
              <w:ind w:left="357" w:hanging="357"/>
              <w:contextualSpacing/>
              <w:rPr>
                <w:szCs w:val="22"/>
              </w:rPr>
            </w:pPr>
            <w:r w:rsidRPr="00183B5F">
              <w:rPr>
                <w:szCs w:val="22"/>
              </w:rPr>
              <w:t>80 mg a 0. héten és 40 mg a 2. </w:t>
            </w:r>
            <w:r w:rsidR="00D22F6B" w:rsidRPr="00183B5F">
              <w:rPr>
                <w:szCs w:val="22"/>
              </w:rPr>
              <w:t>h</w:t>
            </w:r>
            <w:r w:rsidRPr="00183B5F">
              <w:rPr>
                <w:szCs w:val="22"/>
              </w:rPr>
              <w:t>éten</w:t>
            </w:r>
          </w:p>
          <w:p w14:paraId="4C92E8A1" w14:textId="77777777" w:rsidR="00C218FF" w:rsidRPr="00183B5F" w:rsidRDefault="00C218FF" w:rsidP="004062FE">
            <w:pPr>
              <w:keepNext/>
              <w:suppressAutoHyphens w:val="0"/>
              <w:spacing w:line="240" w:lineRule="auto"/>
              <w:rPr>
                <w:szCs w:val="22"/>
              </w:rPr>
            </w:pPr>
          </w:p>
          <w:p w14:paraId="3AF3410E" w14:textId="77777777" w:rsidR="00C218FF" w:rsidRPr="00183B5F" w:rsidRDefault="00943743" w:rsidP="004062FE">
            <w:pPr>
              <w:keepNext/>
              <w:suppressAutoHyphens w:val="0"/>
              <w:spacing w:line="240" w:lineRule="auto"/>
              <w:rPr>
                <w:szCs w:val="22"/>
              </w:rPr>
            </w:pPr>
            <w:r w:rsidRPr="00183B5F">
              <w:rPr>
                <w:szCs w:val="22"/>
              </w:rPr>
              <w:t>Amennyiben gyorsabb terápiás válaszra van szükség, figyelembe véve, hogy a nagyobb indukciós dózis adásakor a nemkívánatos események kockázata is nagyobb, úgy a következő adagolás alkalmazható:</w:t>
            </w:r>
          </w:p>
          <w:p w14:paraId="21138463" w14:textId="77777777" w:rsidR="00C218FF" w:rsidRPr="00183B5F" w:rsidRDefault="00943743" w:rsidP="004062FE">
            <w:pPr>
              <w:keepNext/>
              <w:numPr>
                <w:ilvl w:val="0"/>
                <w:numId w:val="143"/>
              </w:numPr>
              <w:suppressAutoHyphens w:val="0"/>
              <w:spacing w:line="240" w:lineRule="auto"/>
              <w:ind w:left="357" w:hanging="357"/>
              <w:rPr>
                <w:szCs w:val="22"/>
              </w:rPr>
            </w:pPr>
            <w:r w:rsidRPr="00183B5F">
              <w:rPr>
                <w:szCs w:val="22"/>
              </w:rPr>
              <w:t>160 mg a 0. héten és 80 mg a 2. héten</w:t>
            </w:r>
          </w:p>
        </w:tc>
        <w:tc>
          <w:tcPr>
            <w:tcW w:w="0" w:type="auto"/>
            <w:tcBorders>
              <w:top w:val="single" w:sz="6" w:space="0" w:color="000000"/>
              <w:left w:val="single" w:sz="6" w:space="0" w:color="000000"/>
              <w:bottom w:val="single" w:sz="6" w:space="0" w:color="000000"/>
              <w:right w:val="single" w:sz="6" w:space="0" w:color="000000"/>
            </w:tcBorders>
            <w:hideMark/>
          </w:tcPr>
          <w:p w14:paraId="04CA9CB1" w14:textId="77777777" w:rsidR="00C218FF" w:rsidRPr="00183B5F" w:rsidRDefault="00943743" w:rsidP="004062FE">
            <w:pPr>
              <w:keepNext/>
              <w:suppressAutoHyphens w:val="0"/>
              <w:spacing w:line="240" w:lineRule="auto"/>
              <w:ind w:left="36"/>
              <w:jc w:val="center"/>
            </w:pPr>
            <w:r w:rsidRPr="00183B5F">
              <w:t>40 mg minden második héten</w:t>
            </w:r>
          </w:p>
        </w:tc>
      </w:tr>
    </w:tbl>
    <w:p w14:paraId="046EF402" w14:textId="77777777" w:rsidR="00C218FF" w:rsidRPr="00183B5F" w:rsidRDefault="00C218FF" w:rsidP="004062FE">
      <w:pPr>
        <w:spacing w:line="240" w:lineRule="auto"/>
        <w:rPr>
          <w:szCs w:val="22"/>
        </w:rPr>
      </w:pPr>
    </w:p>
    <w:p w14:paraId="2F939B83" w14:textId="77777777" w:rsidR="00C218FF" w:rsidRPr="00183B5F" w:rsidRDefault="00943743" w:rsidP="004062FE">
      <w:pPr>
        <w:spacing w:line="240" w:lineRule="auto"/>
        <w:rPr>
          <w:szCs w:val="22"/>
        </w:rPr>
      </w:pPr>
      <w:r w:rsidRPr="00183B5F">
        <w:rPr>
          <w:szCs w:val="22"/>
        </w:rPr>
        <w:t>A nem megfelelően reagáló betegeknél előnyös lehet az adag</w:t>
      </w:r>
      <w:r w:rsidR="00801FE6" w:rsidRPr="00183B5F">
        <w:rPr>
          <w:szCs w:val="22"/>
        </w:rPr>
        <w:t xml:space="preserve"> </w:t>
      </w:r>
      <w:r w:rsidRPr="00183B5F">
        <w:rPr>
          <w:szCs w:val="22"/>
        </w:rPr>
        <w:t>emelése:</w:t>
      </w:r>
    </w:p>
    <w:p w14:paraId="4CC1BF90" w14:textId="77777777" w:rsidR="00C218FF" w:rsidRPr="00183B5F" w:rsidRDefault="00943743">
      <w:pPr>
        <w:keepNext/>
        <w:numPr>
          <w:ilvl w:val="0"/>
          <w:numId w:val="143"/>
        </w:numPr>
        <w:tabs>
          <w:tab w:val="left" w:pos="540"/>
        </w:tabs>
        <w:spacing w:line="240" w:lineRule="auto"/>
        <w:ind w:left="540" w:hanging="540"/>
      </w:pPr>
      <w:r w:rsidRPr="00183B5F">
        <w:t>&lt;</w:t>
      </w:r>
      <w:r w:rsidR="00D22F6B" w:rsidRPr="00183B5F">
        <w:t> </w:t>
      </w:r>
      <w:r w:rsidRPr="00183B5F">
        <w:t>40 kg: 20 mg minden héten</w:t>
      </w:r>
    </w:p>
    <w:p w14:paraId="3FDEE263" w14:textId="77777777" w:rsidR="00A065AA" w:rsidRPr="00183B5F" w:rsidRDefault="00943743" w:rsidP="004062FE">
      <w:pPr>
        <w:keepNext/>
        <w:numPr>
          <w:ilvl w:val="0"/>
          <w:numId w:val="143"/>
        </w:numPr>
        <w:tabs>
          <w:tab w:val="left" w:pos="540"/>
        </w:tabs>
        <w:spacing w:line="240" w:lineRule="auto"/>
        <w:ind w:left="540" w:hanging="540"/>
        <w:rPr>
          <w:szCs w:val="22"/>
        </w:rPr>
      </w:pPr>
      <w:r w:rsidRPr="00183B5F">
        <w:t>≥</w:t>
      </w:r>
      <w:r w:rsidR="00D22F6B" w:rsidRPr="00183B5F">
        <w:t> </w:t>
      </w:r>
      <w:r w:rsidRPr="00183B5F">
        <w:t>40 kg: 40 mg minden héten</w:t>
      </w:r>
      <w:r w:rsidR="00F13823" w:rsidRPr="00183B5F">
        <w:t xml:space="preserve"> vagy kéthetente</w:t>
      </w:r>
      <w:r w:rsidR="00B93237" w:rsidRPr="00183B5F">
        <w:t xml:space="preserve"> 80 mg</w:t>
      </w:r>
    </w:p>
    <w:p w14:paraId="649FB918" w14:textId="77777777" w:rsidR="00764497" w:rsidRPr="00183B5F" w:rsidRDefault="00764497" w:rsidP="004062FE">
      <w:pPr>
        <w:spacing w:line="240" w:lineRule="auto"/>
        <w:rPr>
          <w:szCs w:val="22"/>
        </w:rPr>
      </w:pPr>
    </w:p>
    <w:p w14:paraId="5E8CB259" w14:textId="77777777" w:rsidR="00764497" w:rsidRPr="00183B5F" w:rsidRDefault="00943743" w:rsidP="004062FE">
      <w:pPr>
        <w:spacing w:line="240" w:lineRule="auto"/>
        <w:rPr>
          <w:szCs w:val="22"/>
        </w:rPr>
      </w:pPr>
      <w:r w:rsidRPr="00183B5F">
        <w:rPr>
          <w:szCs w:val="22"/>
        </w:rPr>
        <w:t>A kezelés folytatását alaposan meg kell fontolni azoknál a betegeknél, akik a 12. hétig nem reagálnak a kezelésre.</w:t>
      </w:r>
    </w:p>
    <w:p w14:paraId="56A2D7FF" w14:textId="77777777" w:rsidR="00801FE6" w:rsidRPr="00183B5F" w:rsidRDefault="00801FE6" w:rsidP="00801FE6">
      <w:pPr>
        <w:spacing w:line="240" w:lineRule="auto"/>
        <w:rPr>
          <w:szCs w:val="22"/>
        </w:rPr>
      </w:pPr>
    </w:p>
    <w:p w14:paraId="40453F68" w14:textId="77777777" w:rsidR="00801FE6" w:rsidRPr="00183B5F" w:rsidRDefault="00943743" w:rsidP="00801FE6">
      <w:pPr>
        <w:spacing w:line="240" w:lineRule="auto"/>
        <w:rPr>
          <w:szCs w:val="22"/>
        </w:rPr>
      </w:pPr>
      <w:r w:rsidRPr="00183B5F">
        <w:rPr>
          <w:szCs w:val="22"/>
        </w:rPr>
        <w:t>A Humira más hatáserősségben és/vagy kiszerelésben is elérhető az egyéni terápiás igényeknek megfelelően.</w:t>
      </w:r>
    </w:p>
    <w:p w14:paraId="3B9E5698" w14:textId="77777777" w:rsidR="00764497" w:rsidRPr="00183B5F" w:rsidRDefault="00764497" w:rsidP="004062FE">
      <w:pPr>
        <w:spacing w:line="240" w:lineRule="auto"/>
        <w:rPr>
          <w:szCs w:val="22"/>
        </w:rPr>
      </w:pPr>
    </w:p>
    <w:p w14:paraId="446CC894" w14:textId="77777777" w:rsidR="00764497" w:rsidRPr="00183B5F" w:rsidRDefault="00943743">
      <w:pPr>
        <w:spacing w:line="240" w:lineRule="auto"/>
        <w:rPr>
          <w:szCs w:val="22"/>
        </w:rPr>
      </w:pPr>
      <w:r w:rsidRPr="00183B5F">
        <w:rPr>
          <w:szCs w:val="22"/>
        </w:rPr>
        <w:t>A Humira</w:t>
      </w:r>
      <w:r w:rsidRPr="00183B5F">
        <w:rPr>
          <w:szCs w:val="22"/>
        </w:rPr>
        <w:noBreakHyphen/>
        <w:t>nak 6 évesnél fiatalabb gyermekeknél ebben a javallatban nincs releváns alkalmazása.</w:t>
      </w:r>
    </w:p>
    <w:p w14:paraId="1C57BAEC" w14:textId="77777777" w:rsidR="00C927B3" w:rsidRPr="00183B5F" w:rsidRDefault="00C927B3" w:rsidP="00FC7661">
      <w:pPr>
        <w:spacing w:line="240" w:lineRule="auto"/>
        <w:rPr>
          <w:i/>
          <w:szCs w:val="22"/>
        </w:rPr>
      </w:pPr>
    </w:p>
    <w:p w14:paraId="6CAAAB73" w14:textId="77777777" w:rsidR="006E3AD4" w:rsidRPr="00183B5F" w:rsidRDefault="00943743" w:rsidP="006E3AD4">
      <w:pPr>
        <w:rPr>
          <w:b/>
        </w:rPr>
      </w:pPr>
      <w:r w:rsidRPr="00183B5F">
        <w:rPr>
          <w:i/>
        </w:rPr>
        <w:t>Gyermek</w:t>
      </w:r>
      <w:r w:rsidR="003F6646" w:rsidRPr="00183B5F">
        <w:rPr>
          <w:i/>
        </w:rPr>
        <w:t>- és serdülő</w:t>
      </w:r>
      <w:r w:rsidRPr="00183B5F">
        <w:rPr>
          <w:i/>
        </w:rPr>
        <w:t>kori colitis ulcerosa</w:t>
      </w:r>
      <w:r w:rsidRPr="00183B5F">
        <w:rPr>
          <w:b/>
        </w:rPr>
        <w:t xml:space="preserve"> </w:t>
      </w:r>
    </w:p>
    <w:p w14:paraId="6A805210" w14:textId="77777777" w:rsidR="006E3AD4" w:rsidRPr="00183B5F" w:rsidRDefault="006E3AD4" w:rsidP="006E3AD4">
      <w:pPr>
        <w:rPr>
          <w:b/>
        </w:rPr>
      </w:pPr>
    </w:p>
    <w:p w14:paraId="57D9103E" w14:textId="77777777" w:rsidR="006E3AD4" w:rsidRPr="00183B5F" w:rsidRDefault="00943743" w:rsidP="006E3AD4">
      <w:r w:rsidRPr="00183B5F">
        <w:t>A Humira ajánlott adagja colitis ulcerosában szenvedő, 6–17 éves korú betegeknél a testtömegtől függ (</w:t>
      </w:r>
      <w:r w:rsidR="00A31545" w:rsidRPr="00183B5F">
        <w:t>2</w:t>
      </w:r>
      <w:r w:rsidRPr="00183B5F">
        <w:t>. táblázat). A Humira-t subcutan injekció formájában kell beadni.</w:t>
      </w:r>
    </w:p>
    <w:p w14:paraId="3D5111F6" w14:textId="77777777" w:rsidR="006E3AD4" w:rsidRPr="00183B5F" w:rsidRDefault="00943743" w:rsidP="006E3AD4">
      <w:r w:rsidRPr="00183B5F">
        <w:t xml:space="preserve"> </w:t>
      </w:r>
    </w:p>
    <w:p w14:paraId="6A2AD25F" w14:textId="77777777" w:rsidR="006E3AD4" w:rsidRPr="00183B5F" w:rsidRDefault="00943743" w:rsidP="00FE0197">
      <w:pPr>
        <w:keepNext/>
        <w:jc w:val="center"/>
      </w:pPr>
      <w:r w:rsidRPr="00183B5F">
        <w:rPr>
          <w:b/>
        </w:rPr>
        <w:t xml:space="preserve">2. táblázat: A Humira dózisa colitis ulcerosában szenvedő gyermekeknél és serdülőknél </w:t>
      </w: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4"/>
        <w:gridCol w:w="3322"/>
        <w:gridCol w:w="3158"/>
      </w:tblGrid>
      <w:tr w:rsidR="00011D2F" w14:paraId="689BF269" w14:textId="77777777" w:rsidTr="006E3AD4">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7D575B6" w14:textId="77777777" w:rsidR="006E3AD4" w:rsidRPr="00183B5F" w:rsidRDefault="00943743" w:rsidP="00FE0197">
            <w:pPr>
              <w:keepNext/>
              <w:jc w:val="center"/>
              <w:rPr>
                <w:b/>
              </w:rPr>
            </w:pPr>
            <w:r w:rsidRPr="00183B5F">
              <w:rPr>
                <w:b/>
              </w:rPr>
              <w:t>A beteg testtömege</w:t>
            </w:r>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23116983" w14:textId="77777777" w:rsidR="006E3AD4" w:rsidRPr="00183B5F" w:rsidRDefault="00943743" w:rsidP="00FE0197">
            <w:pPr>
              <w:keepNext/>
              <w:jc w:val="center"/>
              <w:rPr>
                <w:b/>
              </w:rPr>
            </w:pPr>
            <w:r w:rsidRPr="00183B5F">
              <w:rPr>
                <w:b/>
              </w:rPr>
              <w:t>Indukciós dózis</w:t>
            </w:r>
          </w:p>
        </w:tc>
        <w:tc>
          <w:tcPr>
            <w:tcW w:w="1906" w:type="pct"/>
            <w:tcBorders>
              <w:top w:val="single" w:sz="6" w:space="0" w:color="000000"/>
              <w:left w:val="single" w:sz="6" w:space="0" w:color="000000"/>
              <w:bottom w:val="single" w:sz="6" w:space="0" w:color="000000"/>
              <w:right w:val="single" w:sz="6" w:space="0" w:color="000000"/>
            </w:tcBorders>
            <w:hideMark/>
          </w:tcPr>
          <w:p w14:paraId="6E098860" w14:textId="77777777" w:rsidR="006E3AD4" w:rsidRPr="00183B5F" w:rsidRDefault="00943743" w:rsidP="00FE0197">
            <w:pPr>
              <w:keepNext/>
              <w:jc w:val="center"/>
              <w:rPr>
                <w:b/>
              </w:rPr>
            </w:pPr>
            <w:r w:rsidRPr="00183B5F">
              <w:rPr>
                <w:b/>
              </w:rPr>
              <w:t>Fenntartó dózis</w:t>
            </w:r>
          </w:p>
          <w:p w14:paraId="7EC1B725" w14:textId="77777777" w:rsidR="006E3AD4" w:rsidRPr="00183B5F" w:rsidRDefault="00943743" w:rsidP="00FE0197">
            <w:pPr>
              <w:keepNext/>
              <w:jc w:val="center"/>
              <w:rPr>
                <w:b/>
              </w:rPr>
            </w:pPr>
            <w:r w:rsidRPr="00183B5F">
              <w:rPr>
                <w:b/>
              </w:rPr>
              <w:t>4. héttől kezdve*</w:t>
            </w:r>
          </w:p>
        </w:tc>
      </w:tr>
      <w:tr w:rsidR="00011D2F" w14:paraId="5E9B8E89" w14:textId="77777777" w:rsidTr="006E3AD4">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41AF9C9B" w14:textId="77777777" w:rsidR="006E3AD4" w:rsidRPr="00183B5F" w:rsidRDefault="00943743" w:rsidP="00FE0197">
            <w:pPr>
              <w:keepNext/>
              <w:jc w:val="center"/>
            </w:pPr>
            <w:r w:rsidRPr="00183B5F">
              <w:t>&lt; 40 kg</w:t>
            </w:r>
          </w:p>
        </w:tc>
        <w:tc>
          <w:tcPr>
            <w:tcW w:w="2005" w:type="pct"/>
            <w:tcBorders>
              <w:top w:val="single" w:sz="6" w:space="0" w:color="000000"/>
              <w:left w:val="single" w:sz="6" w:space="0" w:color="000000"/>
              <w:bottom w:val="single" w:sz="6" w:space="0" w:color="000000"/>
              <w:right w:val="single" w:sz="6" w:space="0" w:color="000000"/>
            </w:tcBorders>
            <w:hideMark/>
          </w:tcPr>
          <w:p w14:paraId="0917C6D2" w14:textId="77777777" w:rsidR="006E3AD4" w:rsidRPr="00183B5F" w:rsidRDefault="00943743" w:rsidP="00FE0197">
            <w:pPr>
              <w:keepNext/>
              <w:numPr>
                <w:ilvl w:val="0"/>
                <w:numId w:val="231"/>
              </w:numPr>
              <w:ind w:left="360" w:hanging="210"/>
            </w:pPr>
            <w:r w:rsidRPr="00183B5F">
              <w:t>80 mg a 0. héten (két 40 mg-os injekció formájában egy napon) és</w:t>
            </w:r>
          </w:p>
          <w:p w14:paraId="703317F7" w14:textId="77777777" w:rsidR="006E3AD4" w:rsidRPr="00183B5F" w:rsidRDefault="00943743" w:rsidP="00FE0197">
            <w:pPr>
              <w:keepNext/>
              <w:numPr>
                <w:ilvl w:val="0"/>
                <w:numId w:val="231"/>
              </w:numPr>
              <w:ind w:left="360" w:hanging="210"/>
            </w:pPr>
            <w:r w:rsidRPr="00183B5F">
              <w:t>40 mg a 2. héten (egy 40 mg-os injekció formájában)</w:t>
            </w:r>
          </w:p>
        </w:tc>
        <w:tc>
          <w:tcPr>
            <w:tcW w:w="1906" w:type="pct"/>
            <w:tcBorders>
              <w:top w:val="single" w:sz="6" w:space="0" w:color="000000"/>
              <w:left w:val="single" w:sz="6" w:space="0" w:color="000000"/>
              <w:bottom w:val="single" w:sz="6" w:space="0" w:color="000000"/>
              <w:right w:val="single" w:sz="6" w:space="0" w:color="000000"/>
            </w:tcBorders>
            <w:hideMark/>
          </w:tcPr>
          <w:p w14:paraId="732B48FA" w14:textId="77777777" w:rsidR="006E3AD4" w:rsidRPr="00183B5F" w:rsidRDefault="00943743" w:rsidP="00FE0197">
            <w:pPr>
              <w:keepNext/>
              <w:numPr>
                <w:ilvl w:val="0"/>
                <w:numId w:val="231"/>
              </w:numPr>
              <w:ind w:left="360" w:hanging="210"/>
            </w:pPr>
            <w:r w:rsidRPr="00183B5F">
              <w:t>40 mg minden második héten</w:t>
            </w:r>
          </w:p>
        </w:tc>
      </w:tr>
      <w:tr w:rsidR="00011D2F" w14:paraId="2709F8FA" w14:textId="77777777" w:rsidTr="006E3AD4">
        <w:trPr>
          <w:jc w:val="center"/>
        </w:trPr>
        <w:tc>
          <w:tcPr>
            <w:tcW w:w="0" w:type="auto"/>
            <w:tcBorders>
              <w:top w:val="single" w:sz="6" w:space="0" w:color="000000"/>
              <w:left w:val="single" w:sz="6" w:space="0" w:color="000000"/>
              <w:bottom w:val="single" w:sz="4" w:space="0" w:color="auto"/>
              <w:right w:val="single" w:sz="6" w:space="0" w:color="000000"/>
            </w:tcBorders>
            <w:hideMark/>
          </w:tcPr>
          <w:p w14:paraId="10B81762" w14:textId="77777777" w:rsidR="006E3AD4" w:rsidRPr="00183B5F" w:rsidRDefault="00943743" w:rsidP="00FE0197">
            <w:pPr>
              <w:keepNext/>
              <w:jc w:val="center"/>
            </w:pPr>
            <w:r w:rsidRPr="00183B5F">
              <w:t>≥ 40 kg</w:t>
            </w:r>
          </w:p>
        </w:tc>
        <w:tc>
          <w:tcPr>
            <w:tcW w:w="2005" w:type="pct"/>
            <w:tcBorders>
              <w:top w:val="single" w:sz="6" w:space="0" w:color="000000"/>
              <w:left w:val="single" w:sz="6" w:space="0" w:color="000000"/>
              <w:bottom w:val="single" w:sz="4" w:space="0" w:color="auto"/>
              <w:right w:val="single" w:sz="6" w:space="0" w:color="000000"/>
            </w:tcBorders>
            <w:hideMark/>
          </w:tcPr>
          <w:p w14:paraId="0165B684" w14:textId="77777777" w:rsidR="006E3AD4" w:rsidRPr="00183B5F" w:rsidRDefault="00943743" w:rsidP="00FE0197">
            <w:pPr>
              <w:keepNext/>
              <w:numPr>
                <w:ilvl w:val="0"/>
                <w:numId w:val="232"/>
              </w:numPr>
              <w:ind w:left="360" w:hanging="210"/>
            </w:pPr>
            <w:r w:rsidRPr="00183B5F">
              <w:t>160 mg a 0. héten (négy 40 mg</w:t>
            </w:r>
            <w:r w:rsidRPr="00183B5F">
              <w:noBreakHyphen/>
              <w:t>os injekció formájában egy napon vagy két 40 mg</w:t>
            </w:r>
            <w:r w:rsidRPr="00183B5F">
              <w:noBreakHyphen/>
              <w:t>os injekció két egymást követő napon beadva) és</w:t>
            </w:r>
          </w:p>
          <w:p w14:paraId="36178400" w14:textId="77777777" w:rsidR="006E3AD4" w:rsidRPr="00183B5F" w:rsidRDefault="00943743" w:rsidP="00FE0197">
            <w:pPr>
              <w:keepNext/>
              <w:numPr>
                <w:ilvl w:val="0"/>
                <w:numId w:val="232"/>
              </w:numPr>
              <w:ind w:left="360" w:hanging="210"/>
            </w:pPr>
            <w:r w:rsidRPr="00183B5F">
              <w:t>80 mg a 2. héten (két 40 mg-os injekció formájában egy napon)</w:t>
            </w:r>
          </w:p>
        </w:tc>
        <w:tc>
          <w:tcPr>
            <w:tcW w:w="1906" w:type="pct"/>
            <w:tcBorders>
              <w:top w:val="single" w:sz="6" w:space="0" w:color="000000"/>
              <w:left w:val="single" w:sz="6" w:space="0" w:color="000000"/>
              <w:bottom w:val="single" w:sz="4" w:space="0" w:color="auto"/>
              <w:right w:val="single" w:sz="6" w:space="0" w:color="000000"/>
            </w:tcBorders>
            <w:hideMark/>
          </w:tcPr>
          <w:p w14:paraId="3F2FC79F" w14:textId="77777777" w:rsidR="006E3AD4" w:rsidRPr="00183B5F" w:rsidRDefault="00943743" w:rsidP="00FE0197">
            <w:pPr>
              <w:keepNext/>
              <w:numPr>
                <w:ilvl w:val="0"/>
                <w:numId w:val="231"/>
              </w:numPr>
              <w:ind w:left="360" w:hanging="210"/>
            </w:pPr>
            <w:r w:rsidRPr="00183B5F">
              <w:t>80 mg minden második héten</w:t>
            </w:r>
          </w:p>
        </w:tc>
      </w:tr>
      <w:tr w:rsidR="00011D2F" w14:paraId="7D78813D" w14:textId="77777777" w:rsidTr="006E3AD4">
        <w:trPr>
          <w:jc w:val="center"/>
        </w:trPr>
        <w:tc>
          <w:tcPr>
            <w:tcW w:w="5000" w:type="pct"/>
            <w:gridSpan w:val="3"/>
            <w:tcBorders>
              <w:top w:val="single" w:sz="4" w:space="0" w:color="auto"/>
              <w:left w:val="nil"/>
              <w:bottom w:val="nil"/>
              <w:right w:val="nil"/>
            </w:tcBorders>
          </w:tcPr>
          <w:p w14:paraId="44A15CF8" w14:textId="77777777" w:rsidR="006E3AD4" w:rsidRPr="00183B5F" w:rsidRDefault="00943743" w:rsidP="006E3AD4">
            <w:r w:rsidRPr="00183B5F">
              <w:t xml:space="preserve">*Azoknak a serdülőknek, akik a Humira-kezelés alatt töltik be 18 éves kort, folytatniuk kell az előírt fenntartó </w:t>
            </w:r>
            <w:r w:rsidR="003916B1" w:rsidRPr="00183B5F">
              <w:t>kezelést</w:t>
            </w:r>
            <w:r w:rsidRPr="00183B5F">
              <w:t>.</w:t>
            </w:r>
          </w:p>
        </w:tc>
      </w:tr>
    </w:tbl>
    <w:p w14:paraId="1302F7A0" w14:textId="77777777" w:rsidR="006E3AD4" w:rsidRPr="00183B5F" w:rsidRDefault="006E3AD4" w:rsidP="006E3AD4"/>
    <w:p w14:paraId="73E26F57" w14:textId="77777777" w:rsidR="006E3AD4" w:rsidRPr="00183B5F" w:rsidRDefault="00943743" w:rsidP="006E3AD4">
      <w:r w:rsidRPr="00183B5F">
        <w:t>A kezelés folytatását alaposan meg kell fontolni azoknál a betegeknél, akik 12. hétig nem reagálnak a kezelésre.</w:t>
      </w:r>
    </w:p>
    <w:p w14:paraId="50D661FA" w14:textId="77777777" w:rsidR="006E3AD4" w:rsidRPr="00183B5F" w:rsidRDefault="006E3AD4" w:rsidP="006E3AD4"/>
    <w:p w14:paraId="4B7999F2" w14:textId="77777777" w:rsidR="006E3AD4" w:rsidRPr="00183B5F" w:rsidRDefault="00943743" w:rsidP="006E3AD4">
      <w:r w:rsidRPr="00183B5F">
        <w:t>A Humira-nak 6 évesnél fiatalabb betegeknél ebben a javallatban nincs releváns alkalmazása.</w:t>
      </w:r>
    </w:p>
    <w:p w14:paraId="1313C8DC" w14:textId="77777777" w:rsidR="006E3AD4" w:rsidRPr="00183B5F" w:rsidRDefault="006E3AD4" w:rsidP="006E3AD4"/>
    <w:p w14:paraId="790D61A1" w14:textId="77777777" w:rsidR="006E3AD4" w:rsidRPr="00183B5F" w:rsidRDefault="00943743" w:rsidP="006E3AD4">
      <w:r w:rsidRPr="00183B5F">
        <w:t>A Humira más hatáserősségben és/vagy kiszerelésben is elérhető az egyéni terápiás igényeknek megfelelően.</w:t>
      </w:r>
    </w:p>
    <w:p w14:paraId="11676928" w14:textId="77777777" w:rsidR="00FC7661" w:rsidRPr="00183B5F" w:rsidRDefault="00FC7661" w:rsidP="00FC7661">
      <w:pPr>
        <w:spacing w:line="240" w:lineRule="auto"/>
        <w:rPr>
          <w:i/>
          <w:szCs w:val="22"/>
        </w:rPr>
      </w:pPr>
    </w:p>
    <w:p w14:paraId="4739ED30" w14:textId="77777777" w:rsidR="00C927B3" w:rsidRPr="00183B5F" w:rsidRDefault="00943743" w:rsidP="004062FE">
      <w:pPr>
        <w:spacing w:line="240" w:lineRule="auto"/>
        <w:rPr>
          <w:i/>
          <w:szCs w:val="22"/>
        </w:rPr>
      </w:pPr>
      <w:r w:rsidRPr="00183B5F">
        <w:rPr>
          <w:i/>
          <w:szCs w:val="22"/>
        </w:rPr>
        <w:t>Gyermekkori uveitis</w:t>
      </w:r>
    </w:p>
    <w:p w14:paraId="144D131F" w14:textId="77777777" w:rsidR="00C218FF" w:rsidRPr="00183B5F" w:rsidRDefault="00C218FF" w:rsidP="004062FE">
      <w:pPr>
        <w:spacing w:line="240" w:lineRule="auto"/>
        <w:rPr>
          <w:i/>
          <w:szCs w:val="22"/>
        </w:rPr>
      </w:pPr>
    </w:p>
    <w:p w14:paraId="6BE34714" w14:textId="77777777" w:rsidR="00C218FF" w:rsidRPr="00183B5F" w:rsidRDefault="00943743" w:rsidP="004062FE">
      <w:pPr>
        <w:spacing w:line="240" w:lineRule="auto"/>
        <w:rPr>
          <w:i/>
          <w:szCs w:val="22"/>
        </w:rPr>
      </w:pPr>
      <w:r w:rsidRPr="00183B5F">
        <w:rPr>
          <w:szCs w:val="22"/>
        </w:rPr>
        <w:t>A Humira ajánlott adagja uve</w:t>
      </w:r>
      <w:r w:rsidR="004C0238" w:rsidRPr="00183B5F">
        <w:rPr>
          <w:szCs w:val="22"/>
        </w:rPr>
        <w:t>i</w:t>
      </w:r>
      <w:r w:rsidRPr="00183B5F">
        <w:rPr>
          <w:szCs w:val="22"/>
        </w:rPr>
        <w:t>tisben szenvedő</w:t>
      </w:r>
      <w:r w:rsidR="003C3FF6" w:rsidRPr="00183B5F">
        <w:rPr>
          <w:szCs w:val="22"/>
        </w:rPr>
        <w:t>,</w:t>
      </w:r>
      <w:r w:rsidRPr="00183B5F">
        <w:rPr>
          <w:szCs w:val="22"/>
        </w:rPr>
        <w:t xml:space="preserve"> 2 évesnél idősebb gyermekek</w:t>
      </w:r>
      <w:r w:rsidR="00D22F6B" w:rsidRPr="00183B5F">
        <w:rPr>
          <w:szCs w:val="22"/>
        </w:rPr>
        <w:t>nél a</w:t>
      </w:r>
      <w:r w:rsidRPr="00183B5F">
        <w:rPr>
          <w:szCs w:val="22"/>
        </w:rPr>
        <w:t xml:space="preserve"> testtömegtől függ (</w:t>
      </w:r>
      <w:r w:rsidR="000E5E0B" w:rsidRPr="00183B5F">
        <w:rPr>
          <w:szCs w:val="22"/>
        </w:rPr>
        <w:t>3</w:t>
      </w:r>
      <w:r w:rsidRPr="00183B5F">
        <w:rPr>
          <w:szCs w:val="22"/>
        </w:rPr>
        <w:t>. táblázat). A Humira</w:t>
      </w:r>
      <w:r w:rsidR="00DD77ED" w:rsidRPr="00183B5F">
        <w:rPr>
          <w:szCs w:val="22"/>
        </w:rPr>
        <w:noBreakHyphen/>
      </w:r>
      <w:r w:rsidRPr="00183B5F">
        <w:rPr>
          <w:szCs w:val="22"/>
        </w:rPr>
        <w:t xml:space="preserve">t subcutan injekció formájában </w:t>
      </w:r>
      <w:r w:rsidR="00D22F6B" w:rsidRPr="00183B5F">
        <w:rPr>
          <w:szCs w:val="22"/>
        </w:rPr>
        <w:t xml:space="preserve">kell </w:t>
      </w:r>
      <w:r w:rsidRPr="00183B5F">
        <w:rPr>
          <w:szCs w:val="22"/>
        </w:rPr>
        <w:t>alkalmaz</w:t>
      </w:r>
      <w:r w:rsidR="00D22F6B" w:rsidRPr="00183B5F">
        <w:rPr>
          <w:szCs w:val="22"/>
        </w:rPr>
        <w:t>ni</w:t>
      </w:r>
      <w:r w:rsidRPr="00183B5F">
        <w:rPr>
          <w:szCs w:val="22"/>
        </w:rPr>
        <w:t xml:space="preserve">. </w:t>
      </w:r>
    </w:p>
    <w:p w14:paraId="092ABAA9" w14:textId="77777777" w:rsidR="00C927B3" w:rsidRPr="00183B5F" w:rsidRDefault="00C927B3" w:rsidP="004062FE">
      <w:pPr>
        <w:spacing w:line="240" w:lineRule="auto"/>
        <w:rPr>
          <w:i/>
          <w:szCs w:val="22"/>
        </w:rPr>
      </w:pPr>
    </w:p>
    <w:p w14:paraId="4747AA8E" w14:textId="77777777" w:rsidR="00C927B3" w:rsidRPr="00183B5F" w:rsidRDefault="00943743" w:rsidP="004062FE">
      <w:pPr>
        <w:spacing w:line="240" w:lineRule="auto"/>
        <w:rPr>
          <w:szCs w:val="22"/>
        </w:rPr>
      </w:pPr>
      <w:r w:rsidRPr="00183B5F">
        <w:rPr>
          <w:szCs w:val="22"/>
        </w:rPr>
        <w:t>Gyermekkori uveitisben nincs tapasztalat az egyidejű metotrexát</w:t>
      </w:r>
      <w:r w:rsidRPr="00183B5F">
        <w:rPr>
          <w:szCs w:val="22"/>
        </w:rPr>
        <w:noBreakHyphen/>
        <w:t>kezelés nélküli Humira</w:t>
      </w:r>
      <w:r w:rsidR="00D7676A" w:rsidRPr="00183B5F">
        <w:rPr>
          <w:szCs w:val="22"/>
        </w:rPr>
        <w:noBreakHyphen/>
        <w:t>kezeléssel</w:t>
      </w:r>
      <w:r w:rsidRPr="00183B5F">
        <w:rPr>
          <w:szCs w:val="22"/>
        </w:rPr>
        <w:t xml:space="preserve">. </w:t>
      </w:r>
    </w:p>
    <w:p w14:paraId="2366D62A" w14:textId="77777777" w:rsidR="00C218FF" w:rsidRPr="00183B5F" w:rsidRDefault="00C218FF" w:rsidP="004062FE">
      <w:pPr>
        <w:keepNext/>
        <w:spacing w:line="240" w:lineRule="auto"/>
        <w:jc w:val="center"/>
        <w:rPr>
          <w:b/>
          <w:szCs w:val="22"/>
        </w:rPr>
      </w:pPr>
    </w:p>
    <w:p w14:paraId="3B32D529" w14:textId="77777777" w:rsidR="00C218FF" w:rsidRPr="00183B5F" w:rsidRDefault="00943743" w:rsidP="004062FE">
      <w:pPr>
        <w:keepNext/>
        <w:spacing w:line="240" w:lineRule="auto"/>
        <w:jc w:val="center"/>
        <w:rPr>
          <w:b/>
          <w:szCs w:val="22"/>
        </w:rPr>
      </w:pPr>
      <w:r w:rsidRPr="00183B5F">
        <w:rPr>
          <w:b/>
          <w:szCs w:val="22"/>
        </w:rPr>
        <w:t>3. táblázat: A Humira dózisa uveitisben szenvedő gyermekek</w:t>
      </w:r>
      <w:r w:rsidR="00D22F6B" w:rsidRPr="00183B5F">
        <w:rPr>
          <w:b/>
          <w:szCs w:val="22"/>
        </w:rPr>
        <w:t>nél</w:t>
      </w:r>
    </w:p>
    <w:p w14:paraId="28285FCF" w14:textId="77777777" w:rsidR="00C218FF" w:rsidRPr="00183B5F" w:rsidRDefault="00C218FF" w:rsidP="004062FE">
      <w:pPr>
        <w:keepNext/>
        <w:spacing w:line="240" w:lineRule="auto"/>
        <w:rPr>
          <w:szCs w:val="22"/>
        </w:rPr>
      </w:pPr>
    </w:p>
    <w:tbl>
      <w:tblPr>
        <w:tblW w:w="6795" w:type="dxa"/>
        <w:jc w:val="center"/>
        <w:tblLayout w:type="fixed"/>
        <w:tblLook w:val="0000" w:firstRow="0" w:lastRow="0" w:firstColumn="0" w:lastColumn="0" w:noHBand="0" w:noVBand="0"/>
      </w:tblPr>
      <w:tblGrid>
        <w:gridCol w:w="3401"/>
        <w:gridCol w:w="3394"/>
      </w:tblGrid>
      <w:tr w:rsidR="00011D2F" w14:paraId="65024A79" w14:textId="77777777" w:rsidTr="00832DC3">
        <w:trPr>
          <w:tblHeader/>
          <w:jc w:val="center"/>
        </w:trPr>
        <w:tc>
          <w:tcPr>
            <w:tcW w:w="3401" w:type="dxa"/>
            <w:tcBorders>
              <w:top w:val="single" w:sz="4" w:space="0" w:color="auto"/>
              <w:bottom w:val="single" w:sz="4" w:space="0" w:color="auto"/>
            </w:tcBorders>
          </w:tcPr>
          <w:p w14:paraId="2FF060D7" w14:textId="77777777" w:rsidR="00C218FF" w:rsidRPr="00183B5F" w:rsidRDefault="00943743" w:rsidP="004062FE">
            <w:pPr>
              <w:pStyle w:val="TableLeft"/>
              <w:spacing w:before="0" w:after="0" w:line="240" w:lineRule="auto"/>
              <w:jc w:val="center"/>
              <w:rPr>
                <w:b/>
                <w:sz w:val="22"/>
                <w:szCs w:val="22"/>
                <w:lang w:val="hu-HU"/>
              </w:rPr>
            </w:pPr>
            <w:r w:rsidRPr="00183B5F">
              <w:rPr>
                <w:b/>
                <w:sz w:val="22"/>
                <w:szCs w:val="22"/>
                <w:lang w:val="hu-HU"/>
              </w:rPr>
              <w:t xml:space="preserve">A beteg testtömege </w:t>
            </w:r>
          </w:p>
        </w:tc>
        <w:tc>
          <w:tcPr>
            <w:tcW w:w="3394" w:type="dxa"/>
            <w:tcBorders>
              <w:top w:val="single" w:sz="4" w:space="0" w:color="auto"/>
              <w:bottom w:val="single" w:sz="4" w:space="0" w:color="auto"/>
            </w:tcBorders>
          </w:tcPr>
          <w:p w14:paraId="33BFED60" w14:textId="77777777" w:rsidR="00C218FF" w:rsidRPr="00183B5F" w:rsidRDefault="00943743" w:rsidP="004062FE">
            <w:pPr>
              <w:pStyle w:val="TableLeft"/>
              <w:spacing w:before="0" w:after="0" w:line="240" w:lineRule="auto"/>
              <w:jc w:val="center"/>
              <w:rPr>
                <w:b/>
                <w:sz w:val="22"/>
                <w:szCs w:val="22"/>
                <w:lang w:val="hu-HU"/>
              </w:rPr>
            </w:pPr>
            <w:r w:rsidRPr="00183B5F">
              <w:rPr>
                <w:b/>
                <w:sz w:val="22"/>
                <w:szCs w:val="22"/>
                <w:lang w:val="hu-HU"/>
              </w:rPr>
              <w:t>Adagolási rend</w:t>
            </w:r>
          </w:p>
        </w:tc>
      </w:tr>
      <w:tr w:rsidR="00011D2F" w14:paraId="6D4DE1C2" w14:textId="77777777" w:rsidTr="00832DC3">
        <w:trPr>
          <w:tblHeader/>
          <w:jc w:val="center"/>
        </w:trPr>
        <w:tc>
          <w:tcPr>
            <w:tcW w:w="3401" w:type="dxa"/>
            <w:tcBorders>
              <w:top w:val="single" w:sz="4" w:space="0" w:color="auto"/>
              <w:bottom w:val="single" w:sz="4" w:space="0" w:color="auto"/>
            </w:tcBorders>
          </w:tcPr>
          <w:p w14:paraId="23EFF28E" w14:textId="77777777" w:rsidR="00C218FF" w:rsidRPr="00183B5F" w:rsidRDefault="00943743" w:rsidP="004062FE">
            <w:pPr>
              <w:pStyle w:val="TableLeft"/>
              <w:spacing w:before="0" w:after="0" w:line="240" w:lineRule="auto"/>
              <w:jc w:val="center"/>
              <w:rPr>
                <w:b/>
                <w:sz w:val="22"/>
                <w:szCs w:val="22"/>
                <w:lang w:val="hu-HU"/>
              </w:rPr>
            </w:pPr>
            <w:r w:rsidRPr="00183B5F">
              <w:rPr>
                <w:sz w:val="22"/>
                <w:szCs w:val="22"/>
                <w:lang w:val="hu-HU"/>
              </w:rPr>
              <w:t>&lt;</w:t>
            </w:r>
            <w:r w:rsidR="00D22F6B" w:rsidRPr="00183B5F">
              <w:rPr>
                <w:sz w:val="22"/>
                <w:szCs w:val="22"/>
                <w:lang w:val="hu-HU"/>
              </w:rPr>
              <w:t> </w:t>
            </w:r>
            <w:r w:rsidRPr="00183B5F">
              <w:rPr>
                <w:sz w:val="22"/>
                <w:szCs w:val="22"/>
                <w:lang w:val="hu-HU"/>
              </w:rPr>
              <w:t>30 kg</w:t>
            </w:r>
          </w:p>
        </w:tc>
        <w:tc>
          <w:tcPr>
            <w:tcW w:w="3394" w:type="dxa"/>
            <w:tcBorders>
              <w:top w:val="single" w:sz="4" w:space="0" w:color="auto"/>
              <w:bottom w:val="single" w:sz="4" w:space="0" w:color="auto"/>
            </w:tcBorders>
          </w:tcPr>
          <w:p w14:paraId="4738E8F5" w14:textId="77777777" w:rsidR="00C218FF" w:rsidRPr="00183B5F" w:rsidRDefault="00943743" w:rsidP="004062FE">
            <w:pPr>
              <w:pStyle w:val="TableLeft"/>
              <w:spacing w:before="0" w:after="0" w:line="240" w:lineRule="auto"/>
              <w:jc w:val="center"/>
              <w:rPr>
                <w:b/>
                <w:sz w:val="22"/>
                <w:szCs w:val="22"/>
                <w:lang w:val="hu-HU"/>
              </w:rPr>
            </w:pPr>
            <w:r w:rsidRPr="00183B5F">
              <w:rPr>
                <w:sz w:val="22"/>
                <w:szCs w:val="22"/>
                <w:lang w:val="hu-HU"/>
              </w:rPr>
              <w:t>20 mg minden második héten metotrexáttal kombinálva</w:t>
            </w:r>
          </w:p>
        </w:tc>
      </w:tr>
      <w:tr w:rsidR="00011D2F" w14:paraId="2C9F5FD2" w14:textId="77777777" w:rsidTr="00832DC3">
        <w:trPr>
          <w:tblHeader/>
          <w:jc w:val="center"/>
        </w:trPr>
        <w:tc>
          <w:tcPr>
            <w:tcW w:w="3401" w:type="dxa"/>
            <w:tcBorders>
              <w:top w:val="single" w:sz="4" w:space="0" w:color="auto"/>
              <w:bottom w:val="single" w:sz="4" w:space="0" w:color="auto"/>
            </w:tcBorders>
          </w:tcPr>
          <w:p w14:paraId="5FDAB8C0" w14:textId="77777777" w:rsidR="00C218FF" w:rsidRPr="00183B5F" w:rsidRDefault="00943743" w:rsidP="004062FE">
            <w:pPr>
              <w:pStyle w:val="TableLeft"/>
              <w:spacing w:before="0" w:after="0" w:line="240" w:lineRule="auto"/>
              <w:jc w:val="center"/>
              <w:rPr>
                <w:b/>
                <w:sz w:val="22"/>
                <w:szCs w:val="22"/>
                <w:lang w:val="hu-HU"/>
              </w:rPr>
            </w:pPr>
            <w:r w:rsidRPr="00183B5F">
              <w:rPr>
                <w:sz w:val="22"/>
                <w:szCs w:val="22"/>
                <w:lang w:val="hu-HU"/>
              </w:rPr>
              <w:t>≥</w:t>
            </w:r>
            <w:r w:rsidR="00D22F6B" w:rsidRPr="00183B5F">
              <w:rPr>
                <w:sz w:val="22"/>
                <w:szCs w:val="22"/>
                <w:lang w:val="hu-HU"/>
              </w:rPr>
              <w:t> </w:t>
            </w:r>
            <w:r w:rsidRPr="00183B5F">
              <w:rPr>
                <w:sz w:val="22"/>
                <w:szCs w:val="22"/>
                <w:lang w:val="hu-HU"/>
              </w:rPr>
              <w:t>30 kg</w:t>
            </w:r>
          </w:p>
        </w:tc>
        <w:tc>
          <w:tcPr>
            <w:tcW w:w="3394" w:type="dxa"/>
            <w:tcBorders>
              <w:top w:val="single" w:sz="4" w:space="0" w:color="auto"/>
              <w:bottom w:val="single" w:sz="4" w:space="0" w:color="auto"/>
            </w:tcBorders>
          </w:tcPr>
          <w:p w14:paraId="64EE7F88" w14:textId="77777777" w:rsidR="00C218FF" w:rsidRPr="00183B5F" w:rsidRDefault="00943743" w:rsidP="004062FE">
            <w:pPr>
              <w:pStyle w:val="TableLeft"/>
              <w:spacing w:before="0" w:after="0" w:line="240" w:lineRule="auto"/>
              <w:jc w:val="center"/>
              <w:rPr>
                <w:b/>
                <w:sz w:val="22"/>
                <w:szCs w:val="22"/>
                <w:lang w:val="hu-HU"/>
              </w:rPr>
            </w:pPr>
            <w:r w:rsidRPr="00183B5F">
              <w:rPr>
                <w:sz w:val="22"/>
                <w:szCs w:val="22"/>
                <w:lang w:val="hu-HU"/>
              </w:rPr>
              <w:t>40 mg minden második héten metotrexáttal kombinálva</w:t>
            </w:r>
          </w:p>
        </w:tc>
      </w:tr>
    </w:tbl>
    <w:p w14:paraId="792BC5D7" w14:textId="77777777" w:rsidR="00C927B3" w:rsidRPr="00183B5F" w:rsidRDefault="00C927B3" w:rsidP="004062FE">
      <w:pPr>
        <w:spacing w:line="240" w:lineRule="auto"/>
        <w:rPr>
          <w:szCs w:val="22"/>
        </w:rPr>
      </w:pPr>
    </w:p>
    <w:p w14:paraId="1F51BF0C" w14:textId="77777777" w:rsidR="00C927B3" w:rsidRPr="00183B5F" w:rsidRDefault="00943743" w:rsidP="004062FE">
      <w:pPr>
        <w:spacing w:line="240" w:lineRule="auto"/>
        <w:rPr>
          <w:szCs w:val="22"/>
        </w:rPr>
      </w:pPr>
      <w:r w:rsidRPr="00183B5F">
        <w:rPr>
          <w:szCs w:val="22"/>
        </w:rPr>
        <w:t>A Humira</w:t>
      </w:r>
      <w:r w:rsidRPr="00183B5F">
        <w:rPr>
          <w:szCs w:val="22"/>
        </w:rPr>
        <w:noBreakHyphen/>
      </w:r>
      <w:r w:rsidRPr="00183B5F">
        <w:rPr>
          <w:szCs w:val="22"/>
        </w:rPr>
        <w:t>kezelés megkezdésekor egy 40 mg</w:t>
      </w:r>
      <w:r w:rsidRPr="00183B5F">
        <w:rPr>
          <w:szCs w:val="22"/>
        </w:rPr>
        <w:noBreakHyphen/>
        <w:t xml:space="preserve">os telítő dózis adható </w:t>
      </w:r>
      <w:r w:rsidR="00C218FF" w:rsidRPr="00183B5F">
        <w:rPr>
          <w:szCs w:val="22"/>
        </w:rPr>
        <w:t>a 30 kg alatti betegeknek vagy egy 80 mg</w:t>
      </w:r>
      <w:r w:rsidR="00C218FF" w:rsidRPr="00183B5F">
        <w:rPr>
          <w:szCs w:val="22"/>
        </w:rPr>
        <w:noBreakHyphen/>
        <w:t>os telítő dózis adható a legalább 30 kg</w:t>
      </w:r>
      <w:r w:rsidR="00DD77ED" w:rsidRPr="00183B5F">
        <w:rPr>
          <w:szCs w:val="22"/>
        </w:rPr>
        <w:noBreakHyphen/>
      </w:r>
      <w:r w:rsidR="00C218FF" w:rsidRPr="00183B5F">
        <w:rPr>
          <w:szCs w:val="22"/>
        </w:rPr>
        <w:t xml:space="preserve">os betegeknek </w:t>
      </w:r>
      <w:r w:rsidRPr="00183B5F">
        <w:rPr>
          <w:szCs w:val="22"/>
        </w:rPr>
        <w:t xml:space="preserve">egy héttel a fenntartó kezelés megkezdése előtt. Nem állnak rendelkezésre klinikai adatok </w:t>
      </w:r>
      <w:r w:rsidR="001A6052" w:rsidRPr="00183B5F">
        <w:rPr>
          <w:szCs w:val="22"/>
        </w:rPr>
        <w:t xml:space="preserve">a </w:t>
      </w:r>
      <w:r w:rsidRPr="00183B5F">
        <w:rPr>
          <w:szCs w:val="22"/>
        </w:rPr>
        <w:t>Humira telítő adagjának 6 évnél fiatalabb gyer</w:t>
      </w:r>
      <w:r w:rsidR="00B6025C" w:rsidRPr="00183B5F">
        <w:rPr>
          <w:szCs w:val="22"/>
        </w:rPr>
        <w:t>mekek</w:t>
      </w:r>
      <w:r w:rsidRPr="00183B5F">
        <w:rPr>
          <w:szCs w:val="22"/>
        </w:rPr>
        <w:t xml:space="preserve"> esetén történő alkalmazásáról (lásd 5.2 pont).</w:t>
      </w:r>
    </w:p>
    <w:p w14:paraId="1E1ADF3E" w14:textId="77777777" w:rsidR="00801FE6" w:rsidRPr="00183B5F" w:rsidRDefault="00801FE6" w:rsidP="00801FE6">
      <w:pPr>
        <w:spacing w:line="240" w:lineRule="auto"/>
        <w:rPr>
          <w:szCs w:val="22"/>
        </w:rPr>
      </w:pPr>
    </w:p>
    <w:p w14:paraId="07F303A0" w14:textId="77777777" w:rsidR="00801FE6" w:rsidRPr="00183B5F" w:rsidRDefault="00943743" w:rsidP="00801FE6">
      <w:pPr>
        <w:spacing w:line="240" w:lineRule="auto"/>
        <w:rPr>
          <w:szCs w:val="22"/>
        </w:rPr>
      </w:pPr>
      <w:r w:rsidRPr="00183B5F">
        <w:rPr>
          <w:szCs w:val="22"/>
        </w:rPr>
        <w:t>A Humira</w:t>
      </w:r>
      <w:r w:rsidRPr="00183B5F">
        <w:rPr>
          <w:szCs w:val="22"/>
        </w:rPr>
        <w:noBreakHyphen/>
        <w:t>nak 2 évesnél fiatalabb gyermekeknél ebben a javallatban nincs releváns alkalmazása.</w:t>
      </w:r>
    </w:p>
    <w:p w14:paraId="10DECA26" w14:textId="77777777" w:rsidR="00801FE6" w:rsidRPr="00183B5F" w:rsidRDefault="00801FE6" w:rsidP="00801FE6">
      <w:pPr>
        <w:keepNext/>
        <w:tabs>
          <w:tab w:val="left" w:pos="540"/>
        </w:tabs>
        <w:spacing w:line="240" w:lineRule="auto"/>
      </w:pPr>
    </w:p>
    <w:p w14:paraId="4DFDD00C" w14:textId="77777777" w:rsidR="00801FE6" w:rsidRPr="00183B5F" w:rsidRDefault="00943743" w:rsidP="00801FE6">
      <w:pPr>
        <w:spacing w:line="240" w:lineRule="auto"/>
        <w:rPr>
          <w:szCs w:val="22"/>
        </w:rPr>
      </w:pPr>
      <w:r w:rsidRPr="00183B5F">
        <w:rPr>
          <w:szCs w:val="22"/>
        </w:rPr>
        <w:t>Javasolt a folyamatos, hosszú távú kezelés előnyét és kockázatát évente értékelni (lásd 5.1 pont).</w:t>
      </w:r>
    </w:p>
    <w:p w14:paraId="1D2337B3" w14:textId="77777777" w:rsidR="00B93237" w:rsidRPr="00183B5F" w:rsidRDefault="00B93237" w:rsidP="004062FE">
      <w:pPr>
        <w:spacing w:line="240" w:lineRule="auto"/>
        <w:rPr>
          <w:szCs w:val="22"/>
        </w:rPr>
      </w:pPr>
    </w:p>
    <w:p w14:paraId="6B1C919C" w14:textId="77777777" w:rsidR="00B93237" w:rsidRPr="00183B5F" w:rsidRDefault="00943743" w:rsidP="004062FE">
      <w:pPr>
        <w:spacing w:line="240" w:lineRule="auto"/>
        <w:rPr>
          <w:szCs w:val="22"/>
        </w:rPr>
      </w:pPr>
      <w:r w:rsidRPr="00183B5F">
        <w:rPr>
          <w:szCs w:val="22"/>
        </w:rPr>
        <w:t>A Humira más hatáserősségben és/vagy kiszerelésben is elérhető az egyéni terápiás igényeknek megfelelően.</w:t>
      </w:r>
    </w:p>
    <w:p w14:paraId="420B07BB" w14:textId="77777777" w:rsidR="00764497" w:rsidRPr="00183B5F" w:rsidRDefault="00764497" w:rsidP="004062FE">
      <w:pPr>
        <w:spacing w:line="240" w:lineRule="auto"/>
        <w:rPr>
          <w:iCs/>
          <w:szCs w:val="22"/>
        </w:rPr>
      </w:pPr>
    </w:p>
    <w:p w14:paraId="3C3466BA" w14:textId="77777777" w:rsidR="00764497" w:rsidRPr="00183B5F" w:rsidRDefault="00943743" w:rsidP="00FE0197">
      <w:pPr>
        <w:keepNext/>
        <w:spacing w:line="240" w:lineRule="auto"/>
        <w:rPr>
          <w:u w:val="single"/>
          <w:lang w:eastAsia="x-none"/>
        </w:rPr>
      </w:pPr>
      <w:r w:rsidRPr="00183B5F">
        <w:rPr>
          <w:u w:val="single"/>
          <w:lang w:eastAsia="x-none"/>
        </w:rPr>
        <w:t>Az alkalmazás módja</w:t>
      </w:r>
    </w:p>
    <w:p w14:paraId="4155C696" w14:textId="77777777" w:rsidR="00764497" w:rsidRPr="00183B5F" w:rsidRDefault="00764497" w:rsidP="00FE0197">
      <w:pPr>
        <w:keepNext/>
        <w:spacing w:line="240" w:lineRule="auto"/>
        <w:rPr>
          <w:u w:val="single"/>
          <w:lang w:eastAsia="x-none"/>
        </w:rPr>
      </w:pPr>
    </w:p>
    <w:p w14:paraId="12B03A3E" w14:textId="77777777" w:rsidR="00764497" w:rsidRPr="00183B5F" w:rsidRDefault="00943743" w:rsidP="004062FE">
      <w:pPr>
        <w:spacing w:line="240" w:lineRule="auto"/>
        <w:rPr>
          <w:lang w:eastAsia="x-none"/>
        </w:rPr>
      </w:pPr>
      <w:r w:rsidRPr="00183B5F">
        <w:rPr>
          <w:lang w:eastAsia="x-none"/>
        </w:rPr>
        <w:t xml:space="preserve">A Humira </w:t>
      </w:r>
      <w:r w:rsidRPr="00183B5F">
        <w:rPr>
          <w:szCs w:val="22"/>
        </w:rPr>
        <w:t>subcutan injekció formájában kerül beadásra. Az alkalmazásra vonatkozó teljes körű utasítás a betegtájékoztatóban található.</w:t>
      </w:r>
    </w:p>
    <w:p w14:paraId="0DB71685" w14:textId="77777777" w:rsidR="00764497" w:rsidRPr="00183B5F" w:rsidRDefault="00764497" w:rsidP="004062FE">
      <w:pPr>
        <w:spacing w:line="240" w:lineRule="auto"/>
        <w:rPr>
          <w:szCs w:val="22"/>
        </w:rPr>
      </w:pPr>
    </w:p>
    <w:p w14:paraId="43E7B66C" w14:textId="77777777" w:rsidR="00C218FF" w:rsidRPr="00183B5F" w:rsidRDefault="00943743" w:rsidP="004062FE">
      <w:pPr>
        <w:spacing w:line="240" w:lineRule="auto"/>
        <w:rPr>
          <w:szCs w:val="22"/>
        </w:rPr>
      </w:pPr>
      <w:r w:rsidRPr="00183B5F">
        <w:rPr>
          <w:szCs w:val="22"/>
        </w:rPr>
        <w:t>A Humira más hatáserősségekben és kiszerelésekben is elérhető.</w:t>
      </w:r>
    </w:p>
    <w:p w14:paraId="2B4E195D" w14:textId="77777777" w:rsidR="00C218FF" w:rsidRPr="00183B5F" w:rsidRDefault="00C218FF" w:rsidP="004062FE">
      <w:pPr>
        <w:spacing w:line="240" w:lineRule="auto"/>
        <w:rPr>
          <w:szCs w:val="22"/>
        </w:rPr>
      </w:pPr>
    </w:p>
    <w:p w14:paraId="6E2FCD3D" w14:textId="77777777" w:rsidR="00764497" w:rsidRPr="00183B5F" w:rsidRDefault="00943743" w:rsidP="004062FE">
      <w:pPr>
        <w:spacing w:line="240" w:lineRule="auto"/>
        <w:ind w:left="567" w:hanging="567"/>
        <w:rPr>
          <w:b/>
          <w:szCs w:val="22"/>
        </w:rPr>
      </w:pPr>
      <w:r w:rsidRPr="00183B5F">
        <w:rPr>
          <w:b/>
          <w:szCs w:val="22"/>
        </w:rPr>
        <w:t>4.3</w:t>
      </w:r>
      <w:r w:rsidRPr="00183B5F">
        <w:rPr>
          <w:b/>
          <w:szCs w:val="22"/>
        </w:rPr>
        <w:tab/>
        <w:t>Ellenjavallatok</w:t>
      </w:r>
    </w:p>
    <w:p w14:paraId="3AE18FCD" w14:textId="77777777" w:rsidR="00764497" w:rsidRPr="00183B5F" w:rsidRDefault="00764497" w:rsidP="004062FE">
      <w:pPr>
        <w:spacing w:line="240" w:lineRule="auto"/>
        <w:rPr>
          <w:szCs w:val="22"/>
        </w:rPr>
      </w:pPr>
    </w:p>
    <w:p w14:paraId="7A568203" w14:textId="77777777" w:rsidR="00764497" w:rsidRPr="00183B5F" w:rsidRDefault="00943743" w:rsidP="004062FE">
      <w:pPr>
        <w:spacing w:line="240" w:lineRule="auto"/>
        <w:rPr>
          <w:szCs w:val="22"/>
        </w:rPr>
      </w:pPr>
      <w:r w:rsidRPr="00183B5F">
        <w:rPr>
          <w:szCs w:val="22"/>
        </w:rPr>
        <w:t xml:space="preserve">A készítmény hatóanyagával vagy </w:t>
      </w:r>
      <w:r w:rsidRPr="00183B5F">
        <w:rPr>
          <w:noProof/>
          <w:szCs w:val="24"/>
        </w:rPr>
        <w:t xml:space="preserve">a 6.1 pontban felsorolt </w:t>
      </w:r>
      <w:r w:rsidRPr="00183B5F">
        <w:rPr>
          <w:szCs w:val="22"/>
        </w:rPr>
        <w:t>bármely segédanyagával szembeni túlérzékenység.</w:t>
      </w:r>
    </w:p>
    <w:p w14:paraId="63C6A56C" w14:textId="77777777" w:rsidR="00764497" w:rsidRPr="00183B5F" w:rsidRDefault="00764497" w:rsidP="004062FE">
      <w:pPr>
        <w:spacing w:line="240" w:lineRule="auto"/>
        <w:rPr>
          <w:szCs w:val="22"/>
        </w:rPr>
      </w:pPr>
    </w:p>
    <w:p w14:paraId="56C515A5" w14:textId="77777777" w:rsidR="00764497" w:rsidRPr="00183B5F" w:rsidRDefault="00943743" w:rsidP="004062FE">
      <w:pPr>
        <w:spacing w:line="240" w:lineRule="auto"/>
        <w:rPr>
          <w:szCs w:val="22"/>
        </w:rPr>
      </w:pPr>
      <w:r w:rsidRPr="00183B5F">
        <w:rPr>
          <w:szCs w:val="22"/>
        </w:rPr>
        <w:t>Aktív tuberculosis vagy más súlyos fertőzés, mint szepszis vagy opportunista fertőzések (lásd 4.4 pont).</w:t>
      </w:r>
    </w:p>
    <w:p w14:paraId="61DC4CFB" w14:textId="77777777" w:rsidR="00764497" w:rsidRPr="00183B5F" w:rsidRDefault="00764497" w:rsidP="004062FE">
      <w:pPr>
        <w:spacing w:line="240" w:lineRule="auto"/>
        <w:rPr>
          <w:szCs w:val="22"/>
        </w:rPr>
      </w:pPr>
    </w:p>
    <w:p w14:paraId="5B82248E" w14:textId="77777777" w:rsidR="00764497" w:rsidRPr="00183B5F" w:rsidRDefault="00943743" w:rsidP="004062FE">
      <w:pPr>
        <w:spacing w:line="240" w:lineRule="auto"/>
        <w:rPr>
          <w:szCs w:val="22"/>
        </w:rPr>
      </w:pPr>
      <w:r w:rsidRPr="00183B5F">
        <w:rPr>
          <w:szCs w:val="22"/>
        </w:rPr>
        <w:t>Köz</w:t>
      </w:r>
      <w:r w:rsidR="00297FBD" w:rsidRPr="00183B5F">
        <w:rPr>
          <w:szCs w:val="22"/>
        </w:rPr>
        <w:t xml:space="preserve">epesen </w:t>
      </w:r>
      <w:r w:rsidRPr="00183B5F">
        <w:rPr>
          <w:szCs w:val="22"/>
        </w:rPr>
        <w:t>súlyos, súlyos szívelégtelenség (NYHA III/IV) (lásd 4.4 pont).</w:t>
      </w:r>
    </w:p>
    <w:p w14:paraId="2AC14097" w14:textId="77777777" w:rsidR="00764497" w:rsidRPr="00183B5F" w:rsidRDefault="00764497" w:rsidP="004062FE">
      <w:pPr>
        <w:spacing w:line="240" w:lineRule="auto"/>
        <w:rPr>
          <w:szCs w:val="22"/>
        </w:rPr>
      </w:pPr>
    </w:p>
    <w:p w14:paraId="52D7B500" w14:textId="77777777" w:rsidR="00764497" w:rsidRPr="00183B5F" w:rsidRDefault="00943743" w:rsidP="004062FE">
      <w:pPr>
        <w:keepNext/>
        <w:spacing w:line="240" w:lineRule="auto"/>
        <w:ind w:left="567" w:hanging="567"/>
        <w:rPr>
          <w:b/>
          <w:szCs w:val="22"/>
        </w:rPr>
      </w:pPr>
      <w:r w:rsidRPr="00183B5F">
        <w:rPr>
          <w:b/>
          <w:szCs w:val="22"/>
        </w:rPr>
        <w:t>4.4</w:t>
      </w:r>
      <w:r w:rsidRPr="00183B5F">
        <w:rPr>
          <w:b/>
          <w:szCs w:val="22"/>
        </w:rPr>
        <w:tab/>
        <w:t>Különleges figyelmeztetések és az alkalmazással kapcsolatos óvintézkedések</w:t>
      </w:r>
    </w:p>
    <w:p w14:paraId="38479A2A" w14:textId="77777777" w:rsidR="00764497" w:rsidRPr="00183B5F" w:rsidRDefault="00764497" w:rsidP="004062FE">
      <w:pPr>
        <w:keepNext/>
        <w:spacing w:line="240" w:lineRule="auto"/>
        <w:rPr>
          <w:szCs w:val="22"/>
        </w:rPr>
      </w:pPr>
    </w:p>
    <w:p w14:paraId="2DF21CF1" w14:textId="77777777" w:rsidR="009D4252" w:rsidRPr="00183B5F" w:rsidRDefault="00943743">
      <w:pPr>
        <w:pStyle w:val="EMEANormal"/>
        <w:rPr>
          <w:u w:val="single"/>
          <w:lang w:val="hu-HU"/>
        </w:rPr>
      </w:pPr>
      <w:r w:rsidRPr="00183B5F">
        <w:rPr>
          <w:u w:val="single"/>
          <w:lang w:val="hu-HU"/>
        </w:rPr>
        <w:t>Nyomonkövethetőség</w:t>
      </w:r>
    </w:p>
    <w:p w14:paraId="3C4D21AB" w14:textId="77777777" w:rsidR="009D4252" w:rsidRPr="00183B5F" w:rsidRDefault="009D4252" w:rsidP="004062FE">
      <w:pPr>
        <w:keepNext/>
        <w:spacing w:line="240" w:lineRule="auto"/>
        <w:rPr>
          <w:szCs w:val="22"/>
        </w:rPr>
      </w:pPr>
    </w:p>
    <w:p w14:paraId="761167F9" w14:textId="77777777" w:rsidR="00764497" w:rsidRPr="00183B5F" w:rsidRDefault="00943743" w:rsidP="004062FE">
      <w:pPr>
        <w:keepNext/>
        <w:spacing w:line="240" w:lineRule="auto"/>
        <w:rPr>
          <w:szCs w:val="22"/>
        </w:rPr>
      </w:pPr>
      <w:r w:rsidRPr="00183B5F">
        <w:rPr>
          <w:szCs w:val="22"/>
        </w:rPr>
        <w:t>A biológiai gyógyszerek nyomonkövethetőségének javítása érdekében a gyógyszer nevét és gyártási számát egyértelműen fel kell jegyezni.</w:t>
      </w:r>
    </w:p>
    <w:p w14:paraId="14CEA6E8" w14:textId="77777777" w:rsidR="00764497" w:rsidRPr="00183B5F" w:rsidRDefault="00764497" w:rsidP="004062FE">
      <w:pPr>
        <w:spacing w:line="240" w:lineRule="auto"/>
        <w:rPr>
          <w:szCs w:val="22"/>
          <w:u w:val="single"/>
        </w:rPr>
      </w:pPr>
    </w:p>
    <w:p w14:paraId="56E5D80A" w14:textId="77777777" w:rsidR="00764497" w:rsidRPr="00183B5F" w:rsidRDefault="00943743" w:rsidP="004062FE">
      <w:pPr>
        <w:keepNext/>
        <w:spacing w:line="240" w:lineRule="auto"/>
        <w:rPr>
          <w:szCs w:val="22"/>
          <w:u w:val="single"/>
        </w:rPr>
      </w:pPr>
      <w:r w:rsidRPr="00183B5F">
        <w:rPr>
          <w:szCs w:val="22"/>
          <w:u w:val="single"/>
        </w:rPr>
        <w:t>Fertőzések</w:t>
      </w:r>
    </w:p>
    <w:p w14:paraId="4A9DD598" w14:textId="77777777" w:rsidR="00764497" w:rsidRPr="00183B5F" w:rsidRDefault="00764497" w:rsidP="004062FE">
      <w:pPr>
        <w:keepNext/>
        <w:spacing w:line="240" w:lineRule="auto"/>
        <w:rPr>
          <w:szCs w:val="22"/>
          <w:u w:val="single"/>
        </w:rPr>
      </w:pPr>
    </w:p>
    <w:p w14:paraId="2417F985" w14:textId="77777777" w:rsidR="00764497" w:rsidRPr="00183B5F" w:rsidRDefault="00943743" w:rsidP="004062FE">
      <w:pPr>
        <w:keepNext/>
        <w:spacing w:line="240" w:lineRule="auto"/>
        <w:rPr>
          <w:szCs w:val="22"/>
        </w:rPr>
      </w:pPr>
      <w:r w:rsidRPr="00183B5F">
        <w:rPr>
          <w:szCs w:val="22"/>
        </w:rPr>
        <w:t>A TNF</w:t>
      </w:r>
      <w:r w:rsidRPr="00183B5F">
        <w:rPr>
          <w:szCs w:val="22"/>
        </w:rPr>
        <w:noBreakHyphen/>
        <w:t>antagonistákat kapó betegek fogékonyabbak a súlyos fertőzésekre. A károsodott légzésfunkció növelheti a fertőzések kialakulásának kockázatát. Ezért a Humira</w:t>
      </w:r>
      <w:r w:rsidRPr="00183B5F">
        <w:rPr>
          <w:szCs w:val="22"/>
        </w:rPr>
        <w:noBreakHyphen/>
        <w:t>val való kezelés előtt, alatt és után a betegeknél gondosan figyelni kell a fertőzéseket, beleértve a tuberculosist is. Tekintettel arra, hogy az adalimumab teljes eliminációja akár négy hónapot vehet igénybe, a megfigyelés ezen idő alatt is szükséges.</w:t>
      </w:r>
    </w:p>
    <w:p w14:paraId="46CC19DD" w14:textId="77777777" w:rsidR="00764497" w:rsidRPr="00183B5F" w:rsidRDefault="00764497" w:rsidP="004062FE">
      <w:pPr>
        <w:spacing w:line="240" w:lineRule="auto"/>
        <w:rPr>
          <w:szCs w:val="22"/>
        </w:rPr>
      </w:pPr>
    </w:p>
    <w:p w14:paraId="1F09161E" w14:textId="77777777" w:rsidR="00764497" w:rsidRPr="00183B5F" w:rsidRDefault="00943743" w:rsidP="004062FE">
      <w:pPr>
        <w:spacing w:line="240" w:lineRule="auto"/>
        <w:rPr>
          <w:szCs w:val="22"/>
        </w:rPr>
      </w:pPr>
      <w:r w:rsidRPr="00183B5F">
        <w:rPr>
          <w:szCs w:val="22"/>
        </w:rPr>
        <w:t>Humira</w:t>
      </w:r>
      <w:r w:rsidRPr="00183B5F">
        <w:rPr>
          <w:szCs w:val="22"/>
        </w:rPr>
        <w:noBreakHyphen/>
        <w:t>val való kezelés nem kezdhető aktív fertőzésben szenvedő betegek esetében, beleértve a krónikus és lokális fertőzéseket is, amíg a fertőzés nem gyógyul meg. A tuberculosis által veszélyeztetett betegeknél és azoknál a betegeknél, akik olyan területekre utaztak, ahol nagy a tuberculosis vagy az endemiás mycosisok, mint például a histoplasmosis, coccidioidomycosis vagy blastomycosis kockázata, a Humira</w:t>
      </w:r>
      <w:r w:rsidRPr="00183B5F">
        <w:rPr>
          <w:szCs w:val="22"/>
        </w:rPr>
        <w:noBreakHyphen/>
        <w:t xml:space="preserve">kezelés kockázatát és előnyét a kezelés megkezdése előtt mérlegelni kell (lásd </w:t>
      </w:r>
      <w:r w:rsidRPr="00183B5F">
        <w:rPr>
          <w:i/>
          <w:iCs/>
          <w:szCs w:val="22"/>
        </w:rPr>
        <w:t>Egyéb opportunista fertőzése</w:t>
      </w:r>
      <w:r w:rsidRPr="00183B5F">
        <w:rPr>
          <w:i/>
          <w:iCs/>
          <w:szCs w:val="22"/>
        </w:rPr>
        <w:t>k</w:t>
      </w:r>
      <w:r w:rsidRPr="00183B5F">
        <w:rPr>
          <w:szCs w:val="22"/>
        </w:rPr>
        <w:t>).</w:t>
      </w:r>
    </w:p>
    <w:p w14:paraId="3AA246C7" w14:textId="77777777" w:rsidR="00764497" w:rsidRPr="00183B5F" w:rsidRDefault="00764497" w:rsidP="004062FE">
      <w:pPr>
        <w:spacing w:line="240" w:lineRule="auto"/>
        <w:rPr>
          <w:szCs w:val="22"/>
        </w:rPr>
      </w:pPr>
    </w:p>
    <w:p w14:paraId="7E821DE0" w14:textId="77777777" w:rsidR="00764497" w:rsidRPr="00183B5F" w:rsidRDefault="00943743" w:rsidP="004062FE">
      <w:pPr>
        <w:spacing w:line="240" w:lineRule="auto"/>
        <w:rPr>
          <w:szCs w:val="22"/>
        </w:rPr>
      </w:pPr>
      <w:r w:rsidRPr="00183B5F">
        <w:rPr>
          <w:szCs w:val="22"/>
        </w:rPr>
        <w:t>Szoros megfigyelés alatt kell tartani azokat a betegeket, akiknél a Humira</w:t>
      </w:r>
      <w:r w:rsidRPr="00183B5F">
        <w:rPr>
          <w:szCs w:val="22"/>
        </w:rPr>
        <w:noBreakHyphen/>
        <w:t>val való kezelés során alakul ki új fertőzés, és teljes diagnosztikus kivizsgáláson kell átesniük. Olyan esetekben, amikor új, súlyos fertőzés vagy sepsis alakul ki a Humira</w:t>
      </w:r>
      <w:r w:rsidRPr="00183B5F">
        <w:rPr>
          <w:szCs w:val="22"/>
        </w:rPr>
        <w:noBreakHyphen/>
        <w:t>val való kezelést meg kell szakítani, és megfelelő antimikrobiális és gombaellenes kezelést kell kezdeni, amíg a fertőzés meg nem gyógyul. Az orvos különös gonddal döntsön a Humira adása mellett olyan betegek esetében, akiknek az anamnézisében visszatérő, gyakori fertőzések illetve fertőzésekre való hajlamosító tényező szerepel, az imm</w:t>
      </w:r>
      <w:r w:rsidRPr="00183B5F">
        <w:rPr>
          <w:szCs w:val="22"/>
        </w:rPr>
        <w:t>unoszuppresszív szerek egyidejű alkalmazását is beleértve.</w:t>
      </w:r>
    </w:p>
    <w:p w14:paraId="60C1158E" w14:textId="77777777" w:rsidR="00764497" w:rsidRPr="00183B5F" w:rsidRDefault="00764497" w:rsidP="004062FE">
      <w:pPr>
        <w:spacing w:line="240" w:lineRule="auto"/>
        <w:rPr>
          <w:szCs w:val="22"/>
        </w:rPr>
      </w:pPr>
    </w:p>
    <w:p w14:paraId="6A64DA1A" w14:textId="77777777" w:rsidR="00764497" w:rsidRPr="00183B5F" w:rsidRDefault="00943743" w:rsidP="004062FE">
      <w:pPr>
        <w:keepNext/>
        <w:spacing w:line="240" w:lineRule="auto"/>
        <w:rPr>
          <w:i/>
          <w:iCs/>
          <w:szCs w:val="22"/>
        </w:rPr>
      </w:pPr>
      <w:r w:rsidRPr="00183B5F">
        <w:rPr>
          <w:i/>
          <w:iCs/>
          <w:szCs w:val="22"/>
        </w:rPr>
        <w:t>Súlyos fertőzések</w:t>
      </w:r>
    </w:p>
    <w:p w14:paraId="3A0FF867" w14:textId="77777777" w:rsidR="00764497" w:rsidRPr="00183B5F" w:rsidRDefault="00764497" w:rsidP="004062FE">
      <w:pPr>
        <w:keepNext/>
        <w:spacing w:line="240" w:lineRule="auto"/>
        <w:rPr>
          <w:szCs w:val="22"/>
        </w:rPr>
      </w:pPr>
    </w:p>
    <w:p w14:paraId="11B962E9" w14:textId="77777777" w:rsidR="00764497" w:rsidRPr="00183B5F" w:rsidRDefault="00943743" w:rsidP="004062FE">
      <w:pPr>
        <w:spacing w:line="240" w:lineRule="auto"/>
        <w:rPr>
          <w:szCs w:val="22"/>
        </w:rPr>
      </w:pPr>
      <w:r w:rsidRPr="00183B5F">
        <w:rPr>
          <w:szCs w:val="22"/>
        </w:rPr>
        <w:t>Humira</w:t>
      </w:r>
      <w:r w:rsidRPr="00183B5F">
        <w:rPr>
          <w:szCs w:val="22"/>
        </w:rPr>
        <w:noBreakHyphen/>
      </w:r>
      <w:r w:rsidRPr="00183B5F">
        <w:rPr>
          <w:szCs w:val="22"/>
        </w:rPr>
        <w:t xml:space="preserve">val kezelt betegeknél leírtak súlyos fertőzéseket, beleértve a sepsist is, melyeket bakteriális, mycobacterialis, invazív gomba-, parazita- és vírusfertőzés, vagy egyéb opportunista fertőzés, például </w:t>
      </w:r>
      <w:r w:rsidRPr="00183B5F">
        <w:rPr>
          <w:szCs w:val="22"/>
          <w:u w:color="0000FF"/>
        </w:rPr>
        <w:t>listeriosis, legionellosis és pneumocystis</w:t>
      </w:r>
      <w:r w:rsidR="00F24C6D" w:rsidRPr="00183B5F">
        <w:rPr>
          <w:szCs w:val="22"/>
        </w:rPr>
        <w:t>-</w:t>
      </w:r>
      <w:r w:rsidRPr="00183B5F">
        <w:rPr>
          <w:szCs w:val="22"/>
        </w:rPr>
        <w:t>fertőzés okozott.</w:t>
      </w:r>
    </w:p>
    <w:p w14:paraId="10142FCE" w14:textId="77777777" w:rsidR="00764497" w:rsidRPr="00183B5F" w:rsidRDefault="00764497" w:rsidP="004062FE">
      <w:pPr>
        <w:pStyle w:val="EndnoteText"/>
        <w:tabs>
          <w:tab w:val="clear" w:pos="567"/>
        </w:tabs>
        <w:suppressAutoHyphens/>
        <w:rPr>
          <w:sz w:val="22"/>
          <w:szCs w:val="22"/>
          <w:lang w:val="hu-HU" w:eastAsia="hu-HU"/>
        </w:rPr>
      </w:pPr>
    </w:p>
    <w:p w14:paraId="717ABD49" w14:textId="77777777" w:rsidR="00764497" w:rsidRPr="00183B5F" w:rsidRDefault="00943743" w:rsidP="004062FE">
      <w:pPr>
        <w:spacing w:line="240" w:lineRule="auto"/>
        <w:rPr>
          <w:szCs w:val="22"/>
        </w:rPr>
      </w:pPr>
      <w:r w:rsidRPr="00183B5F">
        <w:rPr>
          <w:szCs w:val="22"/>
        </w:rPr>
        <w:t>A klinikai vizsgálatokban további súlyos fertőzéseket, köztük pneumoniát, pyelonephritist, septicus arthritist, valamint septicaemiát észleltek. A fertőzésekkel kapcsolatban hospitalizációról vagy fatális kimenetelről számoltak be.</w:t>
      </w:r>
    </w:p>
    <w:p w14:paraId="0CBC965B" w14:textId="77777777" w:rsidR="00764497" w:rsidRPr="00183B5F" w:rsidRDefault="00764497" w:rsidP="004062FE">
      <w:pPr>
        <w:spacing w:line="240" w:lineRule="auto"/>
        <w:rPr>
          <w:szCs w:val="22"/>
        </w:rPr>
      </w:pPr>
    </w:p>
    <w:p w14:paraId="39E0C5D9" w14:textId="77777777" w:rsidR="00764497" w:rsidRPr="00183B5F" w:rsidRDefault="00943743" w:rsidP="004062FE">
      <w:pPr>
        <w:spacing w:line="240" w:lineRule="auto"/>
        <w:rPr>
          <w:i/>
          <w:iCs/>
          <w:szCs w:val="22"/>
        </w:rPr>
      </w:pPr>
      <w:r w:rsidRPr="00183B5F">
        <w:rPr>
          <w:i/>
          <w:iCs/>
          <w:szCs w:val="22"/>
        </w:rPr>
        <w:t>Tuberculosis</w:t>
      </w:r>
    </w:p>
    <w:p w14:paraId="7F12F6C9" w14:textId="77777777" w:rsidR="00764497" w:rsidRPr="00183B5F" w:rsidRDefault="00764497" w:rsidP="004062FE">
      <w:pPr>
        <w:spacing w:line="240" w:lineRule="auto"/>
        <w:rPr>
          <w:szCs w:val="22"/>
        </w:rPr>
      </w:pPr>
    </w:p>
    <w:p w14:paraId="15927EE0" w14:textId="77777777" w:rsidR="00764497" w:rsidRPr="00183B5F" w:rsidRDefault="00943743" w:rsidP="004062FE">
      <w:pPr>
        <w:spacing w:line="240" w:lineRule="auto"/>
        <w:rPr>
          <w:szCs w:val="22"/>
        </w:rPr>
      </w:pPr>
      <w:r w:rsidRPr="00183B5F">
        <w:rPr>
          <w:szCs w:val="22"/>
        </w:rPr>
        <w:t>Humira</w:t>
      </w:r>
      <w:r w:rsidRPr="00183B5F">
        <w:rPr>
          <w:szCs w:val="22"/>
        </w:rPr>
        <w:noBreakHyphen/>
        <w:t>val kezelt betegeknél tuberculosisról számoltak be, beleértve a reaktivációt és új tuberculosis kialakulását</w:t>
      </w:r>
      <w:r w:rsidR="00FD3AF2" w:rsidRPr="00183B5F">
        <w:rPr>
          <w:szCs w:val="22"/>
        </w:rPr>
        <w:t>.</w:t>
      </w:r>
      <w:r w:rsidRPr="00183B5F">
        <w:rPr>
          <w:szCs w:val="22"/>
        </w:rPr>
        <w:t xml:space="preserve"> A bejelentések pulmonalis és extrapulmonalis (azaz disszeminált) eseteket tartalmaztak.</w:t>
      </w:r>
    </w:p>
    <w:p w14:paraId="301A029C" w14:textId="77777777" w:rsidR="00764497" w:rsidRPr="00183B5F" w:rsidRDefault="00764497" w:rsidP="004062FE">
      <w:pPr>
        <w:spacing w:line="240" w:lineRule="auto"/>
        <w:rPr>
          <w:szCs w:val="22"/>
        </w:rPr>
      </w:pPr>
    </w:p>
    <w:p w14:paraId="70E2ED17" w14:textId="77777777" w:rsidR="00764497" w:rsidRPr="00183B5F" w:rsidRDefault="00943743" w:rsidP="004062FE">
      <w:pPr>
        <w:spacing w:line="240" w:lineRule="auto"/>
        <w:rPr>
          <w:szCs w:val="22"/>
        </w:rPr>
      </w:pPr>
      <w:r w:rsidRPr="00183B5F">
        <w:rPr>
          <w:szCs w:val="22"/>
        </w:rPr>
        <w:t>A Humira</w:t>
      </w:r>
      <w:r w:rsidRPr="00183B5F">
        <w:rPr>
          <w:szCs w:val="22"/>
        </w:rPr>
        <w:noBreakHyphen/>
        <w:t>val való kezelés megkezdése előtt minden beteget meg kell vizsgálni aktív és inaktív („látens”) tuberculosis irányában. A felmérés során részletesen értékelni kell a beteg tuberculosissal kapcsolatos kórtörténetét, hogy a beteg kapcsolatba került</w:t>
      </w:r>
      <w:r w:rsidRPr="00183B5F">
        <w:rPr>
          <w:szCs w:val="22"/>
        </w:rPr>
        <w:noBreakHyphen/>
        <w:t>e aktív tuberculosisban szenvedő beteggel, valamint a múltban vagy jelenleg immunszuppresszív kezelés alatt áll</w:t>
      </w:r>
      <w:r w:rsidRPr="00183B5F">
        <w:rPr>
          <w:szCs w:val="22"/>
        </w:rPr>
        <w:noBreakHyphen/>
        <w:t>e. Minden beteg esetében a megfelelő szűrővizsgálatok (úgy mint tuberkulin bőrteszt és mellkasröntgen) elvégzése szükséges (helyi irányelvek követendők)</w:t>
      </w:r>
      <w:r w:rsidRPr="00183B5F">
        <w:rPr>
          <w:szCs w:val="22"/>
        </w:rPr>
        <w:t xml:space="preserve">. A szűrővizsgálatok elvégzésének tényét és azok eredményét javasolt feltüntetni a </w:t>
      </w:r>
      <w:r w:rsidR="0048779F" w:rsidRPr="00183B5F">
        <w:rPr>
          <w:szCs w:val="22"/>
        </w:rPr>
        <w:t>Betegemlékeztető</w:t>
      </w:r>
      <w:r w:rsidRPr="00183B5F">
        <w:rPr>
          <w:szCs w:val="22"/>
        </w:rPr>
        <w:t xml:space="preserve"> Kártyán. A kezelést indikáló orvosnak számolnia kell az álnegatív tuberculin bőrteszt lehetőségével is, különösen a súlyos állapotú, illetve az immundeficiens betegek esetében.</w:t>
      </w:r>
    </w:p>
    <w:p w14:paraId="4CAE8411" w14:textId="77777777" w:rsidR="00764497" w:rsidRPr="00183B5F" w:rsidRDefault="00764497" w:rsidP="004062FE">
      <w:pPr>
        <w:pStyle w:val="EndnoteText"/>
        <w:tabs>
          <w:tab w:val="clear" w:pos="567"/>
          <w:tab w:val="left" w:pos="708"/>
        </w:tabs>
        <w:suppressAutoHyphens/>
        <w:rPr>
          <w:sz w:val="22"/>
          <w:szCs w:val="22"/>
          <w:lang w:val="hu-HU" w:eastAsia="hu-HU"/>
        </w:rPr>
      </w:pPr>
    </w:p>
    <w:p w14:paraId="5E0D4BA1" w14:textId="77777777" w:rsidR="00764497" w:rsidRPr="00183B5F" w:rsidRDefault="00943743" w:rsidP="004062FE">
      <w:pPr>
        <w:spacing w:line="240" w:lineRule="auto"/>
        <w:ind w:left="567" w:hanging="567"/>
        <w:rPr>
          <w:szCs w:val="22"/>
        </w:rPr>
      </w:pPr>
      <w:r w:rsidRPr="00183B5F">
        <w:rPr>
          <w:szCs w:val="22"/>
        </w:rPr>
        <w:t>Ha a diagnózis aktív tuberculosis, a Humira</w:t>
      </w:r>
      <w:r w:rsidRPr="00183B5F">
        <w:rPr>
          <w:szCs w:val="22"/>
        </w:rPr>
        <w:noBreakHyphen/>
        <w:t>kezelést nem szabad elkezdeni (lásd 4.3 pont).</w:t>
      </w:r>
    </w:p>
    <w:p w14:paraId="3F1B35F5" w14:textId="77777777" w:rsidR="00764497" w:rsidRPr="00183B5F" w:rsidRDefault="00764497" w:rsidP="004062FE">
      <w:pPr>
        <w:spacing w:line="240" w:lineRule="auto"/>
        <w:ind w:left="567" w:hanging="567"/>
        <w:rPr>
          <w:szCs w:val="22"/>
        </w:rPr>
      </w:pPr>
    </w:p>
    <w:p w14:paraId="11F1C303" w14:textId="77777777" w:rsidR="00764497" w:rsidRPr="00183B5F" w:rsidRDefault="00943743" w:rsidP="004062FE">
      <w:pPr>
        <w:spacing w:line="240" w:lineRule="auto"/>
        <w:rPr>
          <w:szCs w:val="22"/>
        </w:rPr>
      </w:pPr>
      <w:r w:rsidRPr="00183B5F">
        <w:rPr>
          <w:szCs w:val="22"/>
        </w:rPr>
        <w:t>Az alábbiakban felsorolt összes esetben nagyon gondosan kell mérlegelni a Humira</w:t>
      </w:r>
      <w:r w:rsidRPr="00183B5F">
        <w:rPr>
          <w:szCs w:val="22"/>
        </w:rPr>
        <w:noBreakHyphen/>
        <w:t xml:space="preserve">kezelés </w:t>
      </w:r>
      <w:r w:rsidR="0084104C" w:rsidRPr="00183B5F">
        <w:rPr>
          <w:szCs w:val="22"/>
        </w:rPr>
        <w:t>előny/</w:t>
      </w:r>
      <w:r w:rsidRPr="00183B5F">
        <w:rPr>
          <w:szCs w:val="22"/>
        </w:rPr>
        <w:t>kockázat arányát.</w:t>
      </w:r>
    </w:p>
    <w:p w14:paraId="02D2F6C0" w14:textId="77777777" w:rsidR="00764497" w:rsidRPr="00183B5F" w:rsidRDefault="00764497" w:rsidP="004062FE">
      <w:pPr>
        <w:spacing w:line="240" w:lineRule="auto"/>
        <w:ind w:left="567" w:hanging="567"/>
        <w:rPr>
          <w:b/>
          <w:szCs w:val="22"/>
        </w:rPr>
      </w:pPr>
    </w:p>
    <w:p w14:paraId="7250E11D" w14:textId="77777777" w:rsidR="00764497" w:rsidRPr="00183B5F" w:rsidRDefault="00943743" w:rsidP="004062FE">
      <w:pPr>
        <w:spacing w:line="240" w:lineRule="auto"/>
        <w:rPr>
          <w:szCs w:val="22"/>
        </w:rPr>
      </w:pPr>
      <w:r w:rsidRPr="00183B5F">
        <w:rPr>
          <w:szCs w:val="22"/>
        </w:rPr>
        <w:t xml:space="preserve">Látens tuberculosis gyanúja esetén egy, a tuberculosis kezelésében jártas orvossal kell konzultálni. </w:t>
      </w:r>
    </w:p>
    <w:p w14:paraId="23D90CAD" w14:textId="77777777" w:rsidR="00764497" w:rsidRPr="00183B5F" w:rsidRDefault="00764497" w:rsidP="004062FE">
      <w:pPr>
        <w:spacing w:line="240" w:lineRule="auto"/>
        <w:rPr>
          <w:szCs w:val="22"/>
        </w:rPr>
      </w:pPr>
    </w:p>
    <w:p w14:paraId="58C80C0F" w14:textId="77777777" w:rsidR="00764497" w:rsidRPr="00183B5F" w:rsidRDefault="00943743" w:rsidP="004062FE">
      <w:pPr>
        <w:spacing w:line="240" w:lineRule="auto"/>
        <w:rPr>
          <w:szCs w:val="22"/>
        </w:rPr>
      </w:pPr>
      <w:r w:rsidRPr="00183B5F">
        <w:rPr>
          <w:szCs w:val="22"/>
        </w:rPr>
        <w:t>Ha látens tubeculosist diagnosztizálnak, a helyi ajánlásokkal összhangban lévő, antituberkulotikus profilaktikus kezelésnek a Humira alkalmazásának megkezdése előtt el kell kezdődnie.</w:t>
      </w:r>
    </w:p>
    <w:p w14:paraId="0D8372AB" w14:textId="77777777" w:rsidR="00764497" w:rsidRPr="00183B5F" w:rsidRDefault="00764497" w:rsidP="004062FE">
      <w:pPr>
        <w:spacing w:line="240" w:lineRule="auto"/>
        <w:rPr>
          <w:szCs w:val="22"/>
        </w:rPr>
      </w:pPr>
    </w:p>
    <w:p w14:paraId="06D2CE16" w14:textId="77777777" w:rsidR="00764497" w:rsidRPr="00183B5F" w:rsidRDefault="00943743" w:rsidP="004062FE">
      <w:pPr>
        <w:spacing w:line="240" w:lineRule="auto"/>
        <w:rPr>
          <w:szCs w:val="22"/>
        </w:rPr>
      </w:pPr>
      <w:r w:rsidRPr="00183B5F">
        <w:rPr>
          <w:szCs w:val="22"/>
        </w:rPr>
        <w:t>Humira</w:t>
      </w:r>
      <w:r w:rsidRPr="00183B5F">
        <w:rPr>
          <w:szCs w:val="22"/>
        </w:rPr>
        <w:noBreakHyphen/>
      </w:r>
      <w:r w:rsidRPr="00183B5F">
        <w:rPr>
          <w:szCs w:val="22"/>
        </w:rPr>
        <w:t>kezelés indítása előtt az antituberkulotikus profilaktikus kezelést azoknál a betegeknél is fontolóra kell venni, akik a tuberculosis több vagy jelentős kockázati tényezőjével rendelkeznek, bár a tuberculosis</w:t>
      </w:r>
      <w:r w:rsidR="00261256" w:rsidRPr="00183B5F">
        <w:rPr>
          <w:szCs w:val="22"/>
        </w:rPr>
        <w:t>-</w:t>
      </w:r>
      <w:r w:rsidRPr="00183B5F">
        <w:rPr>
          <w:szCs w:val="22"/>
        </w:rPr>
        <w:t>tesztjük negatív, valamint akiknek az anamnézisében látens vagy aktív tuberculosis szerepel, de annak megfelelő kezelése nem igazolható.</w:t>
      </w:r>
    </w:p>
    <w:p w14:paraId="6038CBCD" w14:textId="77777777" w:rsidR="00764497" w:rsidRPr="00183B5F" w:rsidRDefault="00764497" w:rsidP="004062FE">
      <w:pPr>
        <w:spacing w:line="240" w:lineRule="auto"/>
        <w:rPr>
          <w:szCs w:val="22"/>
        </w:rPr>
      </w:pPr>
    </w:p>
    <w:p w14:paraId="7DEF5EF2" w14:textId="77777777" w:rsidR="00764497" w:rsidRPr="00183B5F" w:rsidRDefault="00943743" w:rsidP="004062FE">
      <w:pPr>
        <w:spacing w:line="240" w:lineRule="auto"/>
        <w:rPr>
          <w:szCs w:val="22"/>
        </w:rPr>
      </w:pPr>
      <w:r w:rsidRPr="00183B5F">
        <w:rPr>
          <w:szCs w:val="22"/>
        </w:rPr>
        <w:t>A profilaktikus antituberkulotikus kezelés ellenére előfordultak tuberculosis reaktiválódásának esetei Humira</w:t>
      </w:r>
      <w:r w:rsidRPr="00183B5F">
        <w:rPr>
          <w:szCs w:val="22"/>
        </w:rPr>
        <w:noBreakHyphen/>
        <w:t>val kezelt betegeknél. Egyes betegeknél, akiket korábban sikeresen kezeltek aktív tuberculosis ellen, a Humira</w:t>
      </w:r>
      <w:r w:rsidRPr="00183B5F">
        <w:rPr>
          <w:szCs w:val="22"/>
        </w:rPr>
        <w:noBreakHyphen/>
        <w:t>kezelés alatt ismét tuberculosis alakult ki.</w:t>
      </w:r>
    </w:p>
    <w:p w14:paraId="631A6432" w14:textId="77777777" w:rsidR="00764497" w:rsidRPr="00183B5F" w:rsidRDefault="00764497" w:rsidP="004062FE">
      <w:pPr>
        <w:spacing w:line="240" w:lineRule="auto"/>
        <w:rPr>
          <w:szCs w:val="22"/>
        </w:rPr>
      </w:pPr>
    </w:p>
    <w:p w14:paraId="0682BCCA" w14:textId="77777777" w:rsidR="00B740E5" w:rsidRPr="00183B5F" w:rsidRDefault="00943743" w:rsidP="00B740E5">
      <w:pPr>
        <w:spacing w:line="240" w:lineRule="auto"/>
        <w:rPr>
          <w:szCs w:val="22"/>
        </w:rPr>
      </w:pPr>
      <w:r w:rsidRPr="00183B5F">
        <w:rPr>
          <w:szCs w:val="22"/>
        </w:rPr>
        <w:t>A betegeket tájékoztatni kell, hogy – Humira</w:t>
      </w:r>
      <w:r w:rsidRPr="00183B5F">
        <w:rPr>
          <w:szCs w:val="22"/>
        </w:rPr>
        <w:noBreakHyphen/>
        <w:t>kezelés alatt vagy után – tuberculosisra jellemző tünetek (pl. tartós köhögés, fogyás, kisebb fokú láz, fáradékonyság) fellépése esetén forduljanak orvoshoz.</w:t>
      </w:r>
    </w:p>
    <w:p w14:paraId="60915711" w14:textId="77777777" w:rsidR="00764497" w:rsidRPr="00183B5F" w:rsidRDefault="00764497" w:rsidP="004062FE">
      <w:pPr>
        <w:pStyle w:val="EndnoteText"/>
        <w:tabs>
          <w:tab w:val="clear" w:pos="567"/>
          <w:tab w:val="left" w:pos="708"/>
        </w:tabs>
        <w:suppressAutoHyphens/>
        <w:rPr>
          <w:sz w:val="22"/>
          <w:szCs w:val="22"/>
          <w:lang w:val="hu-HU"/>
        </w:rPr>
      </w:pPr>
    </w:p>
    <w:p w14:paraId="42C5FE2B" w14:textId="77777777" w:rsidR="00764497" w:rsidRPr="00183B5F" w:rsidRDefault="00943743" w:rsidP="004062FE">
      <w:pPr>
        <w:keepNext/>
        <w:spacing w:line="240" w:lineRule="auto"/>
        <w:rPr>
          <w:i/>
          <w:iCs/>
          <w:szCs w:val="22"/>
        </w:rPr>
      </w:pPr>
      <w:r w:rsidRPr="00183B5F">
        <w:rPr>
          <w:i/>
          <w:iCs/>
          <w:szCs w:val="22"/>
        </w:rPr>
        <w:t>Egyéb opportunista fertőzések:</w:t>
      </w:r>
    </w:p>
    <w:p w14:paraId="40B48D0A" w14:textId="77777777" w:rsidR="00764497" w:rsidRPr="00183B5F" w:rsidRDefault="00764497" w:rsidP="004062FE">
      <w:pPr>
        <w:keepNext/>
        <w:spacing w:line="240" w:lineRule="auto"/>
        <w:rPr>
          <w:szCs w:val="22"/>
        </w:rPr>
      </w:pPr>
    </w:p>
    <w:p w14:paraId="6993952B" w14:textId="77777777" w:rsidR="00764497" w:rsidRPr="00183B5F" w:rsidRDefault="00943743" w:rsidP="004062FE">
      <w:pPr>
        <w:keepNext/>
        <w:spacing w:line="240" w:lineRule="auto"/>
        <w:rPr>
          <w:szCs w:val="22"/>
        </w:rPr>
      </w:pPr>
      <w:r w:rsidRPr="00183B5F">
        <w:rPr>
          <w:szCs w:val="22"/>
        </w:rPr>
        <w:t>A Humira</w:t>
      </w:r>
      <w:r w:rsidRPr="00183B5F">
        <w:rPr>
          <w:szCs w:val="22"/>
        </w:rPr>
        <w:noBreakHyphen/>
      </w:r>
      <w:r w:rsidRPr="00183B5F">
        <w:rPr>
          <w:szCs w:val="22"/>
        </w:rPr>
        <w:t>kezelést kapó betegeknél opportunista fertőzéseket, köztük invazív gombafertőzéseket észleltek. Ezek a fertőzések a TNF</w:t>
      </w:r>
      <w:r w:rsidRPr="00183B5F">
        <w:rPr>
          <w:szCs w:val="22"/>
        </w:rPr>
        <w:noBreakHyphen/>
        <w:t xml:space="preserve">antagonistákat kapó betegeknél nem kerültek következetesen felismerésre, és ez a megfelelő kezelés </w:t>
      </w:r>
      <w:r w:rsidR="003B6CBC" w:rsidRPr="00183B5F">
        <w:rPr>
          <w:szCs w:val="22"/>
        </w:rPr>
        <w:t>késését</w:t>
      </w:r>
      <w:r w:rsidRPr="00183B5F">
        <w:rPr>
          <w:szCs w:val="22"/>
        </w:rPr>
        <w:t xml:space="preserve"> eredményezte, ami néha halálos kimenetelhez vezetett.</w:t>
      </w:r>
    </w:p>
    <w:p w14:paraId="5DCE78F9" w14:textId="77777777" w:rsidR="00764497" w:rsidRPr="00183B5F" w:rsidRDefault="00764497" w:rsidP="004062FE">
      <w:pPr>
        <w:spacing w:line="240" w:lineRule="auto"/>
        <w:rPr>
          <w:szCs w:val="22"/>
        </w:rPr>
      </w:pPr>
    </w:p>
    <w:p w14:paraId="5503C6F1" w14:textId="77777777" w:rsidR="00764497" w:rsidRPr="00183B5F" w:rsidRDefault="00943743" w:rsidP="004062FE">
      <w:pPr>
        <w:spacing w:line="240" w:lineRule="auto"/>
        <w:rPr>
          <w:szCs w:val="22"/>
        </w:rPr>
      </w:pPr>
      <w:r w:rsidRPr="00183B5F">
        <w:rPr>
          <w:szCs w:val="22"/>
        </w:rPr>
        <w:t xml:space="preserve">Azoknál a betegeknél, akiknél olyan </w:t>
      </w:r>
      <w:r w:rsidR="00D02F61" w:rsidRPr="00183B5F">
        <w:rPr>
          <w:szCs w:val="22"/>
        </w:rPr>
        <w:t xml:space="preserve">jelek </w:t>
      </w:r>
      <w:r w:rsidRPr="00183B5F">
        <w:rPr>
          <w:szCs w:val="22"/>
        </w:rPr>
        <w:t>és tünetek alakulnak ki, mint például a láz, rossz közérzet, fogyás, verejtékezés, köhögés, dyspnoe és/vagy pulmonalis infiltrátumok</w:t>
      </w:r>
      <w:r w:rsidR="003B6CBC" w:rsidRPr="00183B5F">
        <w:rPr>
          <w:szCs w:val="22"/>
        </w:rPr>
        <w:t>,</w:t>
      </w:r>
      <w:r w:rsidRPr="00183B5F">
        <w:rPr>
          <w:szCs w:val="22"/>
        </w:rPr>
        <w:t xml:space="preserve"> illetve sokkal vagy anélkül jelentkező egyéb súlyos, szisztémás betegségek, invazív gombafertőzésre kell gyanakodni, és a Humira adását azonnal abba kell hagyni. Ezeknél a betegeknél a diagnózis megállapítását és az emp</w:t>
      </w:r>
      <w:r w:rsidR="00516B92" w:rsidRPr="00183B5F">
        <w:rPr>
          <w:szCs w:val="22"/>
        </w:rPr>
        <w:t>i</w:t>
      </w:r>
      <w:r w:rsidRPr="00183B5F">
        <w:rPr>
          <w:szCs w:val="22"/>
        </w:rPr>
        <w:t>rikus gombaellenes kezelés megkezdését olyan szakemberrel történő konzultációt követően kell elvégezni, aki jártas az invazív gombafertőzések kezelésébe</w:t>
      </w:r>
      <w:r w:rsidRPr="00183B5F">
        <w:rPr>
          <w:szCs w:val="22"/>
        </w:rPr>
        <w:t>n.</w:t>
      </w:r>
    </w:p>
    <w:p w14:paraId="0CF3E744" w14:textId="77777777" w:rsidR="00764497" w:rsidRPr="00183B5F" w:rsidRDefault="00764497" w:rsidP="004062FE">
      <w:pPr>
        <w:spacing w:line="240" w:lineRule="auto"/>
        <w:rPr>
          <w:szCs w:val="22"/>
        </w:rPr>
      </w:pPr>
    </w:p>
    <w:p w14:paraId="03FBDBC5" w14:textId="77777777" w:rsidR="00764497" w:rsidRPr="00183B5F" w:rsidRDefault="00943743" w:rsidP="004062FE">
      <w:pPr>
        <w:keepNext/>
        <w:spacing w:line="240" w:lineRule="auto"/>
        <w:rPr>
          <w:szCs w:val="22"/>
          <w:u w:val="single"/>
        </w:rPr>
      </w:pPr>
      <w:r w:rsidRPr="00183B5F">
        <w:rPr>
          <w:szCs w:val="22"/>
          <w:u w:val="single"/>
        </w:rPr>
        <w:t>Hepatitis B reaktiválódása</w:t>
      </w:r>
    </w:p>
    <w:p w14:paraId="702AD3A7" w14:textId="77777777" w:rsidR="00764497" w:rsidRPr="00183B5F" w:rsidRDefault="00764497" w:rsidP="004062FE">
      <w:pPr>
        <w:keepNext/>
        <w:spacing w:line="240" w:lineRule="auto"/>
        <w:rPr>
          <w:szCs w:val="22"/>
          <w:u w:val="single"/>
        </w:rPr>
      </w:pPr>
    </w:p>
    <w:p w14:paraId="3606ABA0" w14:textId="77777777" w:rsidR="00764497" w:rsidRPr="00183B5F" w:rsidRDefault="00943743" w:rsidP="004062FE">
      <w:pPr>
        <w:keepNext/>
        <w:spacing w:line="240" w:lineRule="auto"/>
        <w:rPr>
          <w:szCs w:val="22"/>
        </w:rPr>
      </w:pPr>
      <w:r w:rsidRPr="00183B5F">
        <w:rPr>
          <w:szCs w:val="22"/>
        </w:rPr>
        <w:t>Idült hepatitis B</w:t>
      </w:r>
      <w:r w:rsidR="003B6CBC" w:rsidRPr="00183B5F">
        <w:rPr>
          <w:szCs w:val="22"/>
        </w:rPr>
        <w:noBreakHyphen/>
      </w:r>
      <w:r w:rsidRPr="00183B5F">
        <w:rPr>
          <w:szCs w:val="22"/>
        </w:rPr>
        <w:t>vírus</w:t>
      </w:r>
      <w:r w:rsidR="003B6CBC" w:rsidRPr="00183B5F">
        <w:rPr>
          <w:szCs w:val="22"/>
        </w:rPr>
        <w:t>-</w:t>
      </w:r>
      <w:r w:rsidRPr="00183B5F">
        <w:rPr>
          <w:szCs w:val="22"/>
        </w:rPr>
        <w:t>hordozó betegeknél (azaz a felszíni antigén pozitív) a hepatitis B reaktiválódása fordult elő, amennyiben TNF</w:t>
      </w:r>
      <w:r w:rsidRPr="00183B5F">
        <w:rPr>
          <w:szCs w:val="22"/>
        </w:rPr>
        <w:noBreakHyphen/>
        <w:t>antagonista (köztük Humira)</w:t>
      </w:r>
      <w:r w:rsidRPr="00183B5F">
        <w:rPr>
          <w:szCs w:val="22"/>
        </w:rPr>
        <w:noBreakHyphen/>
        <w:t>kezelésben részesültek. Néhány esetben ez halálhoz vezetett. A Humira</w:t>
      </w:r>
      <w:r w:rsidRPr="00183B5F">
        <w:rPr>
          <w:szCs w:val="22"/>
        </w:rPr>
        <w:noBreakHyphen/>
        <w:t xml:space="preserve">kezelés elkezdése előtt a betegeket </w:t>
      </w:r>
      <w:r w:rsidR="000A456B" w:rsidRPr="00183B5F">
        <w:rPr>
          <w:szCs w:val="22"/>
        </w:rPr>
        <w:t>HBV-fertőz</w:t>
      </w:r>
      <w:r w:rsidRPr="00183B5F">
        <w:rPr>
          <w:szCs w:val="22"/>
        </w:rPr>
        <w:t>és irányában vizsgálni kell. Azoknál a betegeknél, akiknél a hepatitis B infekció vizsgálatának eredménye pozitív, konzultáció javasolt egy, a hepatitis B kezelésében jártas orvossal.</w:t>
      </w:r>
    </w:p>
    <w:p w14:paraId="38F2D9A4" w14:textId="77777777" w:rsidR="00764497" w:rsidRPr="00183B5F" w:rsidRDefault="00764497" w:rsidP="004062FE">
      <w:pPr>
        <w:spacing w:line="240" w:lineRule="auto"/>
        <w:rPr>
          <w:szCs w:val="22"/>
        </w:rPr>
      </w:pPr>
    </w:p>
    <w:p w14:paraId="57942B1D" w14:textId="77777777" w:rsidR="00764497" w:rsidRPr="00183B5F" w:rsidRDefault="00943743" w:rsidP="004062FE">
      <w:pPr>
        <w:spacing w:line="240" w:lineRule="auto"/>
        <w:rPr>
          <w:szCs w:val="22"/>
        </w:rPr>
      </w:pPr>
      <w:r w:rsidRPr="00183B5F">
        <w:rPr>
          <w:szCs w:val="22"/>
        </w:rPr>
        <w:t xml:space="preserve">A Humira terápiára szoruló </w:t>
      </w:r>
      <w:r w:rsidR="000A456B" w:rsidRPr="00183B5F">
        <w:rPr>
          <w:szCs w:val="22"/>
        </w:rPr>
        <w:t>HBV-hordo</w:t>
      </w:r>
      <w:r w:rsidRPr="00183B5F">
        <w:rPr>
          <w:szCs w:val="22"/>
        </w:rPr>
        <w:t xml:space="preserve">zókat a kezelés ideje alatt, illetve a befejezését követő néhány hónapon keresztül gondosan meg kell figyelni, hogy jelentkeznek-e rajtuk aktív </w:t>
      </w:r>
      <w:r w:rsidR="000A456B" w:rsidRPr="00183B5F">
        <w:rPr>
          <w:szCs w:val="22"/>
        </w:rPr>
        <w:t>HBV-fertőz</w:t>
      </w:r>
      <w:r w:rsidRPr="00183B5F">
        <w:rPr>
          <w:szCs w:val="22"/>
        </w:rPr>
        <w:t xml:space="preserve">ésre utaló </w:t>
      </w:r>
      <w:r w:rsidR="00D02F61" w:rsidRPr="00183B5F">
        <w:rPr>
          <w:szCs w:val="22"/>
        </w:rPr>
        <w:t xml:space="preserve">jelek </w:t>
      </w:r>
      <w:r w:rsidRPr="00183B5F">
        <w:rPr>
          <w:szCs w:val="22"/>
        </w:rPr>
        <w:t xml:space="preserve">és tünetek. A </w:t>
      </w:r>
      <w:r w:rsidR="000A456B" w:rsidRPr="00183B5F">
        <w:rPr>
          <w:szCs w:val="22"/>
        </w:rPr>
        <w:t>HBV-hordo</w:t>
      </w:r>
      <w:r w:rsidRPr="00183B5F">
        <w:rPr>
          <w:szCs w:val="22"/>
        </w:rPr>
        <w:t>zóknak a HBV reaktiválódásának megelőzése céljából végzett TNF</w:t>
      </w:r>
      <w:r w:rsidRPr="00183B5F">
        <w:rPr>
          <w:szCs w:val="22"/>
        </w:rPr>
        <w:noBreakHyphen/>
        <w:t xml:space="preserve">antagonista és antiretrovirális szer kombinációjával végzett kezeléséről nem állnak rendelkezésre megfelelő adatok. Azoknál a betegeknél, akiknél a HBV reaktiválódása alakul ki, abba kell hagyni a Humira adását, és hatékony antiretrovirális szer </w:t>
      </w:r>
      <w:r w:rsidRPr="00183B5F">
        <w:rPr>
          <w:szCs w:val="22"/>
        </w:rPr>
        <w:t>adását, valamint megfelelő szupportív kezelést kell kezdeni.</w:t>
      </w:r>
    </w:p>
    <w:p w14:paraId="6A46DCC3" w14:textId="77777777" w:rsidR="00764497" w:rsidRPr="00183B5F" w:rsidRDefault="00764497" w:rsidP="004062FE">
      <w:pPr>
        <w:spacing w:line="240" w:lineRule="auto"/>
        <w:rPr>
          <w:szCs w:val="22"/>
        </w:rPr>
      </w:pPr>
    </w:p>
    <w:p w14:paraId="3B900DE4" w14:textId="77777777" w:rsidR="00764497" w:rsidRPr="00183B5F" w:rsidRDefault="00943743" w:rsidP="00F97F1E">
      <w:pPr>
        <w:keepNext/>
        <w:spacing w:line="240" w:lineRule="auto"/>
        <w:rPr>
          <w:szCs w:val="22"/>
          <w:u w:val="single"/>
        </w:rPr>
      </w:pPr>
      <w:r w:rsidRPr="00183B5F">
        <w:rPr>
          <w:szCs w:val="22"/>
          <w:u w:val="single"/>
        </w:rPr>
        <w:t>Neurológiai vonatkozások</w:t>
      </w:r>
    </w:p>
    <w:p w14:paraId="2071B0A2" w14:textId="77777777" w:rsidR="00764497" w:rsidRPr="00183B5F" w:rsidRDefault="00764497" w:rsidP="00F97F1E">
      <w:pPr>
        <w:keepNext/>
        <w:spacing w:line="240" w:lineRule="auto"/>
        <w:rPr>
          <w:szCs w:val="22"/>
          <w:u w:val="single"/>
        </w:rPr>
      </w:pPr>
    </w:p>
    <w:p w14:paraId="4491F14C" w14:textId="77777777" w:rsidR="00764497" w:rsidRPr="00183B5F" w:rsidRDefault="00943743" w:rsidP="004062FE">
      <w:pPr>
        <w:spacing w:line="240" w:lineRule="auto"/>
        <w:rPr>
          <w:szCs w:val="22"/>
        </w:rPr>
      </w:pPr>
      <w:r w:rsidRPr="00183B5F">
        <w:rPr>
          <w:szCs w:val="22"/>
        </w:rPr>
        <w:t>A TNF</w:t>
      </w:r>
      <w:r w:rsidRPr="00183B5F">
        <w:rPr>
          <w:szCs w:val="22"/>
        </w:rPr>
        <w:noBreakHyphen/>
        <w:t>antagonisták, beleértve a Humira</w:t>
      </w:r>
      <w:r w:rsidRPr="00183B5F">
        <w:rPr>
          <w:szCs w:val="22"/>
        </w:rPr>
        <w:noBreakHyphen/>
        <w:t xml:space="preserve">t, ritkán a központi idegrendszeri </w:t>
      </w:r>
      <w:r w:rsidR="001B6725" w:rsidRPr="00183B5F">
        <w:rPr>
          <w:szCs w:val="22"/>
        </w:rPr>
        <w:t>demyelinisati</w:t>
      </w:r>
      <w:r w:rsidRPr="00183B5F">
        <w:rPr>
          <w:szCs w:val="22"/>
        </w:rPr>
        <w:t xml:space="preserve">ós betegség (közte a sclerosis multiplex és az opticus neuritis) és a perifériás </w:t>
      </w:r>
      <w:r w:rsidR="001B6725" w:rsidRPr="00183B5F">
        <w:rPr>
          <w:szCs w:val="22"/>
        </w:rPr>
        <w:t>demyelinisati</w:t>
      </w:r>
      <w:r w:rsidRPr="00183B5F">
        <w:rPr>
          <w:szCs w:val="22"/>
        </w:rPr>
        <w:t>ós betegség (közte a Guillan</w:t>
      </w:r>
      <w:r w:rsidRPr="00183B5F">
        <w:rPr>
          <w:szCs w:val="22"/>
        </w:rPr>
        <w:noBreakHyphen/>
        <w:t>Barré szindróma) klinikai tüneteinek és/vagy radiológiai bizonyítékának új megjelenésével vagy súlyosbodásával társultak. A gyógyszert felíró orvosnak különös gonddal kell eljárnia olyan esetekben, amikor Humira</w:t>
      </w:r>
      <w:r w:rsidRPr="00183B5F">
        <w:rPr>
          <w:szCs w:val="22"/>
        </w:rPr>
        <w:noBreakHyphen/>
        <w:t xml:space="preserve">kezelés lehetősége felmerül régi vagy friss központi idegrendszeri vagy perifériás </w:t>
      </w:r>
      <w:r w:rsidR="001B6725" w:rsidRPr="00183B5F">
        <w:rPr>
          <w:szCs w:val="22"/>
        </w:rPr>
        <w:t>demyelinisati</w:t>
      </w:r>
      <w:r w:rsidRPr="00183B5F">
        <w:rPr>
          <w:szCs w:val="22"/>
        </w:rPr>
        <w:t>ós betegségben szenvedő betegeknél; ezen betegségek bármelyikének kialakulása esetén fontolóra kell venni a Humira adásának felfüggesztését. Ismert az összefüggés az intermedier uveitis és a központi idegrendszeri demyelinisatiós betegség között. A nem fertőzéses eredetű, intermedier uveitisben szenvedő betegeknél neurológiai vizsgálatot kell végezni a Humira</w:t>
      </w:r>
      <w:r w:rsidRPr="00183B5F">
        <w:rPr>
          <w:szCs w:val="22"/>
        </w:rPr>
        <w:noBreakHyphen/>
        <w:t xml:space="preserve">kezelés megkezdése előtt és a kezelés ideje alatt rendszeresen, a már meglévő vagy kialakuló központi idegrendszeri </w:t>
      </w:r>
      <w:r w:rsidR="001B6725" w:rsidRPr="00183B5F">
        <w:rPr>
          <w:szCs w:val="22"/>
        </w:rPr>
        <w:t>demyelinisati</w:t>
      </w:r>
      <w:r w:rsidRPr="00183B5F">
        <w:rPr>
          <w:szCs w:val="22"/>
        </w:rPr>
        <w:t>ós betegség értékelé</w:t>
      </w:r>
      <w:r w:rsidRPr="00183B5F">
        <w:rPr>
          <w:szCs w:val="22"/>
        </w:rPr>
        <w:t>sére.</w:t>
      </w:r>
    </w:p>
    <w:p w14:paraId="2DE2BE29" w14:textId="77777777" w:rsidR="00764497" w:rsidRPr="00183B5F" w:rsidRDefault="00764497" w:rsidP="004062FE">
      <w:pPr>
        <w:spacing w:line="240" w:lineRule="auto"/>
        <w:rPr>
          <w:b/>
          <w:szCs w:val="22"/>
        </w:rPr>
      </w:pPr>
    </w:p>
    <w:p w14:paraId="6EA604A8" w14:textId="77777777" w:rsidR="00764497" w:rsidRPr="00183B5F" w:rsidRDefault="00943743" w:rsidP="004062FE">
      <w:pPr>
        <w:keepNext/>
        <w:spacing w:line="240" w:lineRule="auto"/>
        <w:ind w:left="567" w:hanging="567"/>
        <w:rPr>
          <w:szCs w:val="22"/>
          <w:u w:val="single"/>
        </w:rPr>
      </w:pPr>
      <w:r w:rsidRPr="00183B5F">
        <w:rPr>
          <w:szCs w:val="22"/>
          <w:u w:val="single"/>
        </w:rPr>
        <w:t>Allergiás reakciók</w:t>
      </w:r>
    </w:p>
    <w:p w14:paraId="720D9218" w14:textId="77777777" w:rsidR="00764497" w:rsidRPr="00183B5F" w:rsidRDefault="00764497" w:rsidP="004062FE">
      <w:pPr>
        <w:keepNext/>
        <w:spacing w:line="240" w:lineRule="auto"/>
        <w:ind w:left="567" w:hanging="567"/>
        <w:rPr>
          <w:b/>
          <w:szCs w:val="22"/>
        </w:rPr>
      </w:pPr>
    </w:p>
    <w:p w14:paraId="0DAAA6AC" w14:textId="77777777" w:rsidR="00764497" w:rsidRPr="00183B5F" w:rsidRDefault="00943743" w:rsidP="004062FE">
      <w:pPr>
        <w:keepNext/>
        <w:spacing w:line="240" w:lineRule="auto"/>
        <w:rPr>
          <w:szCs w:val="22"/>
        </w:rPr>
      </w:pPr>
      <w:r w:rsidRPr="00183B5F">
        <w:rPr>
          <w:szCs w:val="22"/>
        </w:rPr>
        <w:t>A klinikai vizsgálatok során a Humira alkalmazásával összefüggő súlyos allergiás reakciók ritkán fordultak elő. Nem súlyos allergiás reakciók nem gyakran fordultak elő a Humira</w:t>
      </w:r>
      <w:r w:rsidRPr="00183B5F">
        <w:rPr>
          <w:szCs w:val="22"/>
        </w:rPr>
        <w:noBreakHyphen/>
        <w:t>val végzett klinikai vizsgálatok során. Humira alkalmazását követően jelentettek súlyos allergiás reakciót, beleértve az anafilaxiát. Ha anafilaxiás vagy más súlyos allergiás reakció előfordulna, a Humira adását azonnal abba kell hagyni, és a megfelelő kezelést kell elkezdeni.</w:t>
      </w:r>
    </w:p>
    <w:p w14:paraId="66C8C303" w14:textId="77777777" w:rsidR="00764497" w:rsidRPr="00183B5F" w:rsidRDefault="00764497" w:rsidP="004062FE">
      <w:pPr>
        <w:spacing w:line="240" w:lineRule="auto"/>
        <w:rPr>
          <w:szCs w:val="22"/>
        </w:rPr>
      </w:pPr>
    </w:p>
    <w:p w14:paraId="3EEE4293" w14:textId="77777777" w:rsidR="00764497" w:rsidRPr="00183B5F" w:rsidRDefault="00943743" w:rsidP="004062FE">
      <w:pPr>
        <w:spacing w:line="240" w:lineRule="auto"/>
        <w:ind w:left="567" w:hanging="567"/>
        <w:rPr>
          <w:szCs w:val="22"/>
          <w:u w:val="single"/>
        </w:rPr>
      </w:pPr>
      <w:r w:rsidRPr="00183B5F">
        <w:rPr>
          <w:szCs w:val="22"/>
          <w:u w:val="single"/>
        </w:rPr>
        <w:t>Immunszuppresszió</w:t>
      </w:r>
    </w:p>
    <w:p w14:paraId="557CDE3D" w14:textId="77777777" w:rsidR="00764497" w:rsidRPr="00183B5F" w:rsidRDefault="00764497" w:rsidP="004062FE">
      <w:pPr>
        <w:spacing w:line="240" w:lineRule="auto"/>
        <w:ind w:left="567" w:hanging="567"/>
        <w:rPr>
          <w:b/>
          <w:szCs w:val="22"/>
        </w:rPr>
      </w:pPr>
    </w:p>
    <w:p w14:paraId="3266A606" w14:textId="77777777" w:rsidR="00764497" w:rsidRPr="00183B5F" w:rsidRDefault="00943743" w:rsidP="004062FE">
      <w:pPr>
        <w:spacing w:line="240" w:lineRule="auto"/>
        <w:rPr>
          <w:szCs w:val="22"/>
        </w:rPr>
      </w:pPr>
      <w:r w:rsidRPr="00183B5F">
        <w:rPr>
          <w:szCs w:val="22"/>
        </w:rPr>
        <w:t>Rheumatoid arthritisben szenvedő, Humira</w:t>
      </w:r>
      <w:r w:rsidRPr="00183B5F">
        <w:rPr>
          <w:szCs w:val="22"/>
        </w:rPr>
        <w:noBreakHyphen/>
        <w:t>val kezelt 64 beteg vizsgálata során nem tapasztaltak csökkent késői típusú hyperszenzitivitási reakciót, alacsonyabb immunglobulin</w:t>
      </w:r>
      <w:r w:rsidR="001B6725" w:rsidRPr="00183B5F">
        <w:rPr>
          <w:szCs w:val="22"/>
        </w:rPr>
        <w:t>-</w:t>
      </w:r>
      <w:r w:rsidRPr="00183B5F">
        <w:rPr>
          <w:szCs w:val="22"/>
        </w:rPr>
        <w:t>szinteket, illetve nem észleltek változást az effektor</w:t>
      </w:r>
      <w:r w:rsidRPr="00183B5F">
        <w:rPr>
          <w:szCs w:val="22"/>
        </w:rPr>
        <w:noBreakHyphen/>
        <w:t>T</w:t>
      </w:r>
      <w:r w:rsidRPr="00183B5F">
        <w:rPr>
          <w:szCs w:val="22"/>
        </w:rPr>
        <w:noBreakHyphen/>
        <w:t>, B</w:t>
      </w:r>
      <w:r w:rsidRPr="00183B5F">
        <w:rPr>
          <w:szCs w:val="22"/>
        </w:rPr>
        <w:noBreakHyphen/>
        <w:t xml:space="preserve"> és NK</w:t>
      </w:r>
      <w:r w:rsidRPr="00183B5F">
        <w:rPr>
          <w:szCs w:val="22"/>
        </w:rPr>
        <w:noBreakHyphen/>
        <w:t>sejtek, monocyták/macrophagok és neutrophilek számában.</w:t>
      </w:r>
    </w:p>
    <w:p w14:paraId="26FC022F" w14:textId="77777777" w:rsidR="00764497" w:rsidRPr="00183B5F" w:rsidRDefault="00764497" w:rsidP="004062FE">
      <w:pPr>
        <w:spacing w:line="240" w:lineRule="auto"/>
        <w:rPr>
          <w:szCs w:val="22"/>
        </w:rPr>
      </w:pPr>
    </w:p>
    <w:p w14:paraId="2CEC7BEC" w14:textId="77777777" w:rsidR="00764497" w:rsidRPr="00183B5F" w:rsidRDefault="00943743" w:rsidP="004062FE">
      <w:pPr>
        <w:keepNext/>
        <w:spacing w:line="240" w:lineRule="auto"/>
        <w:rPr>
          <w:szCs w:val="22"/>
          <w:u w:val="single"/>
        </w:rPr>
      </w:pPr>
      <w:r w:rsidRPr="00183B5F">
        <w:rPr>
          <w:szCs w:val="22"/>
          <w:u w:val="single"/>
        </w:rPr>
        <w:t>Malignus és lymphoproliferativ betegségek</w:t>
      </w:r>
    </w:p>
    <w:p w14:paraId="075AE514" w14:textId="77777777" w:rsidR="00764497" w:rsidRPr="00183B5F" w:rsidRDefault="00764497" w:rsidP="004062FE">
      <w:pPr>
        <w:keepNext/>
        <w:spacing w:line="240" w:lineRule="auto"/>
        <w:rPr>
          <w:szCs w:val="22"/>
          <w:u w:val="single"/>
        </w:rPr>
      </w:pPr>
    </w:p>
    <w:p w14:paraId="4512E9A9" w14:textId="77777777" w:rsidR="00764497" w:rsidRPr="00183B5F" w:rsidRDefault="00943743" w:rsidP="004062FE">
      <w:pPr>
        <w:keepNext/>
        <w:spacing w:line="240" w:lineRule="auto"/>
        <w:rPr>
          <w:szCs w:val="22"/>
        </w:rPr>
      </w:pPr>
      <w:r w:rsidRPr="00183B5F">
        <w:rPr>
          <w:szCs w:val="22"/>
        </w:rPr>
        <w:t>A TNF</w:t>
      </w:r>
      <w:r w:rsidRPr="00183B5F">
        <w:rPr>
          <w:szCs w:val="22"/>
        </w:rPr>
        <w:noBreakHyphen/>
        <w:t>antagonistákkal végzett klinikai vizsgálatok kontrollos részeiben a TNF</w:t>
      </w:r>
      <w:r w:rsidRPr="00183B5F">
        <w:rPr>
          <w:szCs w:val="22"/>
        </w:rPr>
        <w:noBreakHyphen/>
      </w:r>
      <w:r w:rsidRPr="00183B5F">
        <w:rPr>
          <w:szCs w:val="22"/>
        </w:rPr>
        <w:t>antagonistát kapott betegek körében nagyobb számban észleltek malignomákat, beleértve a lymphomát, mint a kontro</w:t>
      </w:r>
      <w:r w:rsidR="0089402C" w:rsidRPr="00183B5F">
        <w:rPr>
          <w:szCs w:val="22"/>
        </w:rPr>
        <w:t>llcs</w:t>
      </w:r>
      <w:r w:rsidRPr="00183B5F">
        <w:rPr>
          <w:szCs w:val="22"/>
        </w:rPr>
        <w:t>oport betegeinél. Ez azonban ritkán fordult elő. Posztmarketing alkalmazás körülményei között TNF</w:t>
      </w:r>
      <w:r w:rsidRPr="00183B5F">
        <w:rPr>
          <w:szCs w:val="22"/>
        </w:rPr>
        <w:noBreakHyphen/>
        <w:t>antagonistával kezelt betegek körében leukémi</w:t>
      </w:r>
      <w:r w:rsidR="001B6725" w:rsidRPr="00183B5F">
        <w:rPr>
          <w:szCs w:val="22"/>
        </w:rPr>
        <w:t>ás</w:t>
      </w:r>
      <w:r w:rsidRPr="00183B5F">
        <w:rPr>
          <w:szCs w:val="22"/>
        </w:rPr>
        <w:t xml:space="preserve"> eseteket jelentettek. A kockázat megítélését nehezíti, hogy a lymphoma és a leukémia háttérkockázata nagyobb olyan rheumatoid arthritisben szenvedő betegeknél, akiknek régóta fennálló, fokozott aktivitású gyulladásos betegségük van. Jelenlegi ismeret</w:t>
      </w:r>
      <w:r w:rsidRPr="00183B5F">
        <w:rPr>
          <w:szCs w:val="22"/>
        </w:rPr>
        <w:t>eink szerint a TNF</w:t>
      </w:r>
      <w:r w:rsidRPr="00183B5F">
        <w:rPr>
          <w:szCs w:val="22"/>
        </w:rPr>
        <w:noBreakHyphen/>
        <w:t>antagonistákkal kezelt betegeknél a lymphoma, leukaemia vagy más malignus betegségek kialakulásának lehetséges rizikója nem zárható ki.</w:t>
      </w:r>
    </w:p>
    <w:p w14:paraId="019AD77C" w14:textId="77777777" w:rsidR="00764497" w:rsidRPr="00183B5F" w:rsidRDefault="00764497" w:rsidP="004062FE">
      <w:pPr>
        <w:spacing w:line="240" w:lineRule="auto"/>
        <w:rPr>
          <w:szCs w:val="22"/>
        </w:rPr>
      </w:pPr>
    </w:p>
    <w:p w14:paraId="2C49506B" w14:textId="77777777" w:rsidR="00764497" w:rsidRPr="00183B5F" w:rsidRDefault="00943743">
      <w:pPr>
        <w:pStyle w:val="EMEANormal"/>
        <w:rPr>
          <w:szCs w:val="22"/>
          <w:lang w:val="hu-HU"/>
        </w:rPr>
      </w:pPr>
      <w:r w:rsidRPr="00183B5F">
        <w:rPr>
          <w:szCs w:val="22"/>
          <w:lang w:val="hu-HU"/>
        </w:rPr>
        <w:t>A forgalomba hozatalt követő megfigyelés során a TNF</w:t>
      </w:r>
      <w:r w:rsidRPr="00183B5F">
        <w:rPr>
          <w:szCs w:val="22"/>
          <w:lang w:val="hu-HU"/>
        </w:rPr>
        <w:noBreakHyphen/>
        <w:t>blokkoló szerekkel, köztük az adalimu</w:t>
      </w:r>
      <w:r w:rsidR="007817FB" w:rsidRPr="00183B5F">
        <w:rPr>
          <w:szCs w:val="22"/>
          <w:lang w:val="hu-HU"/>
        </w:rPr>
        <w:t>m</w:t>
      </w:r>
      <w:r w:rsidRPr="00183B5F">
        <w:rPr>
          <w:szCs w:val="22"/>
          <w:lang w:val="hu-HU"/>
        </w:rPr>
        <w:t>abbal kezelt (a kezelés megkezdése ≤ 18 éves életkor) gyermekeknél, serdülőknél és fiatal felnőtteknél (22 éves korig) malignitásokról számoltak be, melyek némelyike végzetes kimenetelű volt. Az esetek mintegy fele lymphoma volt. A többi eset sokféle különböző malignitás volt, köztük ritka malignitások is, amelyek rendszerint immunszuppresszióhoz társultak. A TNF</w:t>
      </w:r>
      <w:r w:rsidRPr="00183B5F">
        <w:rPr>
          <w:szCs w:val="22"/>
          <w:lang w:val="hu-HU"/>
        </w:rPr>
        <w:noBreakHyphen/>
        <w:t>blokkolókkal kezelt gyermekeknél és serdülőknél a malignitások kialakulásának kockázata nem zárható ki.</w:t>
      </w:r>
    </w:p>
    <w:p w14:paraId="139EDE55" w14:textId="77777777" w:rsidR="00764497" w:rsidRPr="00183B5F" w:rsidRDefault="00764497" w:rsidP="004062FE">
      <w:pPr>
        <w:spacing w:line="240" w:lineRule="auto"/>
        <w:rPr>
          <w:szCs w:val="22"/>
        </w:rPr>
      </w:pPr>
    </w:p>
    <w:p w14:paraId="50C43077" w14:textId="77777777" w:rsidR="00764497" w:rsidRPr="00183B5F" w:rsidRDefault="00943743" w:rsidP="004062FE">
      <w:pPr>
        <w:spacing w:line="240" w:lineRule="auto"/>
        <w:rPr>
          <w:szCs w:val="22"/>
        </w:rPr>
      </w:pPr>
      <w:r w:rsidRPr="00183B5F">
        <w:rPr>
          <w:szCs w:val="22"/>
        </w:rPr>
        <w:t xml:space="preserve">Adalimumabbal kezelt betegeknél a forgalomba hozatalt követően ritkán </w:t>
      </w:r>
      <w:r w:rsidR="00AA4D42" w:rsidRPr="00183B5F">
        <w:rPr>
          <w:szCs w:val="22"/>
        </w:rPr>
        <w:t>hepatosplenicus</w:t>
      </w:r>
      <w:r w:rsidRPr="00183B5F">
        <w:rPr>
          <w:szCs w:val="22"/>
        </w:rPr>
        <w:t xml:space="preserve"> T</w:t>
      </w:r>
      <w:r w:rsidRPr="00183B5F">
        <w:rPr>
          <w:szCs w:val="22"/>
        </w:rPr>
        <w:noBreakHyphen/>
        <w:t>sejtes lymphoma esete</w:t>
      </w:r>
      <w:r w:rsidR="00C61C07" w:rsidRPr="00183B5F">
        <w:rPr>
          <w:szCs w:val="22"/>
        </w:rPr>
        <w:t>i</w:t>
      </w:r>
      <w:r w:rsidRPr="00183B5F">
        <w:rPr>
          <w:szCs w:val="22"/>
        </w:rPr>
        <w:t>t észlelt</w:t>
      </w:r>
      <w:r w:rsidR="00C61C07" w:rsidRPr="00183B5F">
        <w:rPr>
          <w:szCs w:val="22"/>
        </w:rPr>
        <w:t>é</w:t>
      </w:r>
      <w:r w:rsidRPr="00183B5F">
        <w:rPr>
          <w:szCs w:val="22"/>
        </w:rPr>
        <w:t>k. A T</w:t>
      </w:r>
      <w:r w:rsidRPr="00183B5F">
        <w:rPr>
          <w:szCs w:val="22"/>
        </w:rPr>
        <w:noBreakHyphen/>
        <w:t>sejtes lymphoma e ritkán előforduló típusa nagyon agresszív lefolyású és rendszerint halálos kimenetelű. A Humira</w:t>
      </w:r>
      <w:r w:rsidRPr="00183B5F">
        <w:rPr>
          <w:szCs w:val="22"/>
        </w:rPr>
        <w:noBreakHyphen/>
        <w:t xml:space="preserve">kezelés során észlelt </w:t>
      </w:r>
      <w:r w:rsidR="00AA4D42" w:rsidRPr="00183B5F">
        <w:rPr>
          <w:szCs w:val="22"/>
        </w:rPr>
        <w:t>hepatosplenicus</w:t>
      </w:r>
      <w:r w:rsidRPr="00183B5F">
        <w:rPr>
          <w:szCs w:val="22"/>
        </w:rPr>
        <w:t xml:space="preserve"> T</w:t>
      </w:r>
      <w:r w:rsidRPr="00183B5F">
        <w:rPr>
          <w:szCs w:val="22"/>
        </w:rPr>
        <w:noBreakHyphen/>
        <w:t>sejtes lymphoma</w:t>
      </w:r>
      <w:r w:rsidR="003D6A39" w:rsidRPr="00183B5F">
        <w:rPr>
          <w:szCs w:val="22"/>
        </w:rPr>
        <w:t>-</w:t>
      </w:r>
      <w:r w:rsidRPr="00183B5F">
        <w:rPr>
          <w:szCs w:val="22"/>
        </w:rPr>
        <w:t>esetek némelyike olyan fiatal felnőtt betegeknél fordult elő, akiket gyulladásos bélbetegség miatt egyidejűleg azatioprinnel, illetve 6</w:t>
      </w:r>
      <w:r w:rsidRPr="00183B5F">
        <w:rPr>
          <w:szCs w:val="22"/>
        </w:rPr>
        <w:noBreakHyphen/>
        <w:t>merkaptopurinnal kezeltek. Az azatioprin vagy a 6</w:t>
      </w:r>
      <w:r w:rsidRPr="00183B5F">
        <w:rPr>
          <w:szCs w:val="22"/>
        </w:rPr>
        <w:noBreakHyphen/>
        <w:t>merkaptopurin Humira</w:t>
      </w:r>
      <w:r w:rsidRPr="00183B5F">
        <w:rPr>
          <w:szCs w:val="22"/>
        </w:rPr>
        <w:noBreakHyphen/>
        <w:t xml:space="preserve">val történő egyidejű adásának lehetséges kockázatát alaposan mérlegelni kell. </w:t>
      </w:r>
      <w:r w:rsidRPr="00183B5F">
        <w:rPr>
          <w:szCs w:val="22"/>
        </w:rPr>
        <w:t xml:space="preserve">A </w:t>
      </w:r>
      <w:r w:rsidR="00AA4D42" w:rsidRPr="00183B5F">
        <w:rPr>
          <w:szCs w:val="22"/>
        </w:rPr>
        <w:t>hepatosplenicus</w:t>
      </w:r>
      <w:r w:rsidRPr="00183B5F">
        <w:rPr>
          <w:szCs w:val="22"/>
        </w:rPr>
        <w:t xml:space="preserve"> T</w:t>
      </w:r>
      <w:r w:rsidRPr="00183B5F">
        <w:rPr>
          <w:szCs w:val="22"/>
        </w:rPr>
        <w:noBreakHyphen/>
        <w:t>sejtes lymphoma kialakulása nem zárható ki a Humira</w:t>
      </w:r>
      <w:r w:rsidRPr="00183B5F">
        <w:rPr>
          <w:szCs w:val="22"/>
        </w:rPr>
        <w:noBreakHyphen/>
        <w:t>val kezelt betegeknél (lásd 4.8 pont).</w:t>
      </w:r>
    </w:p>
    <w:p w14:paraId="118435AA" w14:textId="77777777" w:rsidR="00764497" w:rsidRPr="00183B5F" w:rsidRDefault="00764497" w:rsidP="004062FE">
      <w:pPr>
        <w:spacing w:line="240" w:lineRule="auto"/>
        <w:rPr>
          <w:szCs w:val="22"/>
        </w:rPr>
      </w:pPr>
    </w:p>
    <w:p w14:paraId="180B7042" w14:textId="77777777" w:rsidR="00764497" w:rsidRPr="00183B5F" w:rsidRDefault="00943743" w:rsidP="004062FE">
      <w:pPr>
        <w:spacing w:line="240" w:lineRule="auto"/>
        <w:rPr>
          <w:szCs w:val="22"/>
        </w:rPr>
      </w:pPr>
      <w:r w:rsidRPr="00183B5F">
        <w:rPr>
          <w:szCs w:val="22"/>
        </w:rPr>
        <w:t>Ezidáig nem végeztek vizsgálatokat olyan betegek bevonásával, akiknek kórtörténetében malignitás szerepelt, vagy akiknél a Humira</w:t>
      </w:r>
      <w:r w:rsidRPr="00183B5F">
        <w:rPr>
          <w:szCs w:val="22"/>
        </w:rPr>
        <w:noBreakHyphen/>
        <w:t>kezelést malignitás kialakulását követően is folytatták. Ezért ezen betegek Humira</w:t>
      </w:r>
      <w:r w:rsidRPr="00183B5F">
        <w:rPr>
          <w:szCs w:val="22"/>
        </w:rPr>
        <w:noBreakHyphen/>
        <w:t>kezelésbe való bevonásának mérlegelésekor fokozott elővigyázatosság szükséges (lásd 4.8 pont).</w:t>
      </w:r>
    </w:p>
    <w:p w14:paraId="09DE61FB" w14:textId="77777777" w:rsidR="00764497" w:rsidRPr="00183B5F" w:rsidRDefault="00764497" w:rsidP="004062FE">
      <w:pPr>
        <w:spacing w:line="240" w:lineRule="auto"/>
        <w:rPr>
          <w:szCs w:val="22"/>
        </w:rPr>
      </w:pPr>
    </w:p>
    <w:p w14:paraId="33619108" w14:textId="77777777" w:rsidR="00764497" w:rsidRPr="00183B5F" w:rsidRDefault="00943743" w:rsidP="004062FE">
      <w:pPr>
        <w:spacing w:line="240" w:lineRule="auto"/>
        <w:rPr>
          <w:szCs w:val="22"/>
        </w:rPr>
      </w:pPr>
      <w:r w:rsidRPr="00183B5F">
        <w:rPr>
          <w:szCs w:val="22"/>
        </w:rPr>
        <w:t>Minden betegnél, de főként azoknál, akiknek az anamnézisében extenzív immunszuppresszív kezelés szerepel, illetve olyan psoriasisos betegeknél, akik PUVA</w:t>
      </w:r>
      <w:r w:rsidRPr="00183B5F">
        <w:rPr>
          <w:szCs w:val="22"/>
        </w:rPr>
        <w:noBreakHyphen/>
        <w:t>kezelést kaptak, a Humira</w:t>
      </w:r>
      <w:r w:rsidRPr="00183B5F">
        <w:rPr>
          <w:szCs w:val="22"/>
        </w:rPr>
        <w:noBreakHyphen/>
        <w:t>kezelés kezdete előtt és az alatt vizsgálni kell a nem melanomás bőrrák előfordulását. Melanoma és Merkel</w:t>
      </w:r>
      <w:r w:rsidRPr="00183B5F">
        <w:rPr>
          <w:szCs w:val="22"/>
        </w:rPr>
        <w:noBreakHyphen/>
        <w:t>sejtes carcinoma előfordulásáról is beszámoltak TNF</w:t>
      </w:r>
      <w:r w:rsidRPr="00183B5F">
        <w:rPr>
          <w:szCs w:val="22"/>
        </w:rPr>
        <w:noBreakHyphen/>
        <w:t>antagonistával kezelt betegeknél, beleértve az adalimumabot (lásd 4.8 pont).</w:t>
      </w:r>
    </w:p>
    <w:p w14:paraId="4105B83F" w14:textId="77777777" w:rsidR="00764497" w:rsidRPr="00183B5F" w:rsidRDefault="00764497" w:rsidP="004062FE">
      <w:pPr>
        <w:spacing w:line="240" w:lineRule="auto"/>
        <w:rPr>
          <w:szCs w:val="22"/>
        </w:rPr>
      </w:pPr>
    </w:p>
    <w:p w14:paraId="137A28A6" w14:textId="77777777" w:rsidR="00764497" w:rsidRPr="00183B5F" w:rsidRDefault="00943743" w:rsidP="004062FE">
      <w:pPr>
        <w:spacing w:line="240" w:lineRule="auto"/>
        <w:rPr>
          <w:szCs w:val="22"/>
        </w:rPr>
      </w:pPr>
      <w:r w:rsidRPr="00183B5F">
        <w:rPr>
          <w:szCs w:val="22"/>
        </w:rPr>
        <w:t>Egy másik TNF</w:t>
      </w:r>
      <w:r w:rsidRPr="00183B5F">
        <w:rPr>
          <w:szCs w:val="22"/>
        </w:rPr>
        <w:noBreakHyphen/>
        <w:t xml:space="preserve">antagonista, az infliximab hatásait </w:t>
      </w:r>
      <w:r w:rsidR="00297FBD" w:rsidRPr="00183B5F">
        <w:rPr>
          <w:szCs w:val="22"/>
        </w:rPr>
        <w:t xml:space="preserve">közepesen súlyos - </w:t>
      </w:r>
      <w:r w:rsidRPr="00183B5F">
        <w:rPr>
          <w:szCs w:val="22"/>
        </w:rPr>
        <w:t>súlyos idült obstruktív tüdőbetegségben (COPD) értékelték egy feltáró klinikai vizsgálattal. Az infliximabbal kezelt betegeken több rosszindulatú (javarészt tüdő-, fej-, vagy nyaki) daganatot észleltek, mint a kontro</w:t>
      </w:r>
      <w:r w:rsidR="0089402C" w:rsidRPr="00183B5F">
        <w:rPr>
          <w:szCs w:val="22"/>
        </w:rPr>
        <w:t>llcs</w:t>
      </w:r>
      <w:r w:rsidRPr="00183B5F">
        <w:rPr>
          <w:szCs w:val="22"/>
        </w:rPr>
        <w:t>oportban. A kórelőzmény alapján mindegyik beteg erős dohányos volt. Ennélfogva, COPD</w:t>
      </w:r>
      <w:r w:rsidRPr="00183B5F">
        <w:rPr>
          <w:szCs w:val="22"/>
        </w:rPr>
        <w:noBreakHyphen/>
        <w:t>ben szenvedő, valamint az erős dohányzás miatt rosszindulatú daganat kialakulása szempontjából fokozottan veszélyeztetett betegeken körültekintően kell</w:t>
      </w:r>
      <w:r w:rsidRPr="00183B5F">
        <w:rPr>
          <w:szCs w:val="22"/>
        </w:rPr>
        <w:t xml:space="preserve"> alkalmazni a TNF</w:t>
      </w:r>
      <w:r w:rsidRPr="00183B5F">
        <w:rPr>
          <w:szCs w:val="22"/>
        </w:rPr>
        <w:noBreakHyphen/>
        <w:t>antagonistákat.</w:t>
      </w:r>
    </w:p>
    <w:p w14:paraId="50762106" w14:textId="77777777" w:rsidR="00764497" w:rsidRPr="00183B5F" w:rsidRDefault="00764497" w:rsidP="004062FE">
      <w:pPr>
        <w:spacing w:line="240" w:lineRule="auto"/>
        <w:rPr>
          <w:szCs w:val="22"/>
        </w:rPr>
      </w:pPr>
    </w:p>
    <w:p w14:paraId="5EDDD046" w14:textId="77777777" w:rsidR="00764497" w:rsidRPr="00183B5F" w:rsidRDefault="00943743" w:rsidP="004062FE">
      <w:pPr>
        <w:spacing w:line="240" w:lineRule="auto"/>
        <w:rPr>
          <w:szCs w:val="22"/>
        </w:rPr>
      </w:pPr>
      <w:r w:rsidRPr="00183B5F">
        <w:rPr>
          <w:szCs w:val="22"/>
        </w:rPr>
        <w:t>A rendelkezésre álló adatok alapján nem ismert, hogy az adalimumab</w:t>
      </w:r>
      <w:r w:rsidRPr="00183B5F">
        <w:rPr>
          <w:szCs w:val="22"/>
        </w:rPr>
        <w:noBreakHyphen/>
        <w:t>kezelés befolyásolja-e a dysplasia vagy a vastagbélrák kialakulásának kockázatát. A kezelés megkezdése előtt és a betegség teljes lefolyása alatt azokat a colitis ulcerosában szenvedő betegeket, akiknél dysplasia vagy vastagbélrák kialakulásának fokozott kockázata áll fenn (pl. hosszan fennálló colitis ulcerosában vagy primer cholangitis sclerotisansban szenvedő betegeknél) vagy akiknek az anamnézisében dysplasia vagy vastagbélrák szerepel, rendszeresen szűrni kell dysplasia irányában. A szűrővizsgálat sor</w:t>
      </w:r>
      <w:r w:rsidRPr="00183B5F">
        <w:rPr>
          <w:szCs w:val="22"/>
        </w:rPr>
        <w:t>án kolonoszkópiát és szövettani mintavételt is kell végezni a helyi ajánlásoknak megfelelően.</w:t>
      </w:r>
    </w:p>
    <w:p w14:paraId="7E8BF93F" w14:textId="77777777" w:rsidR="00764497" w:rsidRPr="00183B5F" w:rsidRDefault="00764497" w:rsidP="004062FE">
      <w:pPr>
        <w:spacing w:line="240" w:lineRule="auto"/>
        <w:rPr>
          <w:szCs w:val="22"/>
          <w:u w:val="single"/>
        </w:rPr>
      </w:pPr>
    </w:p>
    <w:p w14:paraId="5AE5F4B3" w14:textId="77777777" w:rsidR="00764497" w:rsidRPr="00183B5F" w:rsidRDefault="00943743" w:rsidP="004062FE">
      <w:pPr>
        <w:keepNext/>
        <w:spacing w:line="240" w:lineRule="auto"/>
        <w:rPr>
          <w:szCs w:val="22"/>
          <w:u w:val="single"/>
        </w:rPr>
      </w:pPr>
      <w:r w:rsidRPr="00183B5F">
        <w:rPr>
          <w:szCs w:val="22"/>
          <w:u w:val="single"/>
        </w:rPr>
        <w:t>Hematológiai reakciók</w:t>
      </w:r>
    </w:p>
    <w:p w14:paraId="42E958F5" w14:textId="77777777" w:rsidR="00764497" w:rsidRPr="00183B5F" w:rsidRDefault="00764497" w:rsidP="004062FE">
      <w:pPr>
        <w:keepNext/>
        <w:spacing w:line="240" w:lineRule="auto"/>
        <w:rPr>
          <w:szCs w:val="22"/>
        </w:rPr>
      </w:pPr>
    </w:p>
    <w:p w14:paraId="0D06985B" w14:textId="77777777" w:rsidR="00764497" w:rsidRPr="00183B5F" w:rsidRDefault="00943743" w:rsidP="004062FE">
      <w:pPr>
        <w:keepNext/>
        <w:spacing w:line="240" w:lineRule="auto"/>
        <w:rPr>
          <w:szCs w:val="22"/>
        </w:rPr>
      </w:pPr>
      <w:r w:rsidRPr="00183B5F">
        <w:rPr>
          <w:szCs w:val="22"/>
        </w:rPr>
        <w:t>TNF</w:t>
      </w:r>
      <w:r w:rsidRPr="00183B5F">
        <w:rPr>
          <w:szCs w:val="22"/>
        </w:rPr>
        <w:noBreakHyphen/>
      </w:r>
      <w:r w:rsidRPr="00183B5F">
        <w:rPr>
          <w:szCs w:val="22"/>
        </w:rPr>
        <w:t>antagonista szerek használata kapcsán ritkán pancytopeniáról számoltak be, beleértve az aplasticus anaemiát is. A Humira kapcsán hematológiai mellékhatásokról, köztük klinikailag jelentős cytopeniáról (pl. thrombocytopenia, leukopenia) számoltak be. Minden betegnél javasolt az azonnali orvosi felügyelet, amennyiben Humira</w:t>
      </w:r>
      <w:r w:rsidRPr="00183B5F">
        <w:rPr>
          <w:szCs w:val="22"/>
        </w:rPr>
        <w:noBreakHyphen/>
        <w:t>kezelés alatt a vérképváltozásra utaló jelek és tünetek jelentkeznek (pl. állandósult láz, véraláfutások, vérzés, sápadtság). A Humira</w:t>
      </w:r>
      <w:r w:rsidRPr="00183B5F">
        <w:rPr>
          <w:szCs w:val="22"/>
        </w:rPr>
        <w:noBreakHyphen/>
        <w:t>kezelés megszakítását fontolóra kell venni, ha a bete</w:t>
      </w:r>
      <w:r w:rsidRPr="00183B5F">
        <w:rPr>
          <w:szCs w:val="22"/>
        </w:rPr>
        <w:t>gnél igazolt, jelentős hematológiai eltérések vannak.</w:t>
      </w:r>
    </w:p>
    <w:p w14:paraId="510F9D5F" w14:textId="77777777" w:rsidR="00764497" w:rsidRPr="00183B5F" w:rsidRDefault="00764497" w:rsidP="004062FE">
      <w:pPr>
        <w:spacing w:line="240" w:lineRule="auto"/>
        <w:rPr>
          <w:szCs w:val="22"/>
        </w:rPr>
      </w:pPr>
    </w:p>
    <w:p w14:paraId="5F1515D5" w14:textId="77777777" w:rsidR="00764497" w:rsidRPr="00183B5F" w:rsidRDefault="00943743" w:rsidP="004062FE">
      <w:pPr>
        <w:keepNext/>
        <w:spacing w:line="240" w:lineRule="auto"/>
        <w:rPr>
          <w:szCs w:val="22"/>
          <w:u w:val="single"/>
        </w:rPr>
      </w:pPr>
      <w:r w:rsidRPr="00183B5F">
        <w:rPr>
          <w:szCs w:val="22"/>
          <w:u w:val="single"/>
        </w:rPr>
        <w:t>Védőoltások</w:t>
      </w:r>
    </w:p>
    <w:p w14:paraId="46F381CB" w14:textId="77777777" w:rsidR="00764497" w:rsidRPr="00183B5F" w:rsidRDefault="00764497" w:rsidP="004062FE">
      <w:pPr>
        <w:keepNext/>
        <w:spacing w:line="240" w:lineRule="auto"/>
        <w:ind w:left="567" w:hanging="567"/>
        <w:rPr>
          <w:b/>
          <w:szCs w:val="22"/>
        </w:rPr>
      </w:pPr>
    </w:p>
    <w:p w14:paraId="06C7146D" w14:textId="77777777" w:rsidR="00764497" w:rsidRPr="00183B5F" w:rsidRDefault="00943743" w:rsidP="004062FE">
      <w:pPr>
        <w:keepNext/>
        <w:spacing w:line="240" w:lineRule="auto"/>
        <w:rPr>
          <w:bCs/>
          <w:szCs w:val="22"/>
        </w:rPr>
      </w:pPr>
      <w:r w:rsidRPr="00183B5F">
        <w:rPr>
          <w:szCs w:val="22"/>
        </w:rPr>
        <w:t xml:space="preserve">Egy vizsgálat 226 rheumatoid arthritises, adalimumabbal vagy placebóval kezelt résztvevőjén hasonló antitestválaszt figyeltek meg a </w:t>
      </w:r>
      <w:r w:rsidRPr="00183B5F">
        <w:rPr>
          <w:i/>
          <w:szCs w:val="22"/>
        </w:rPr>
        <w:t>Pneumococcus</w:t>
      </w:r>
      <w:r w:rsidRPr="00183B5F">
        <w:rPr>
          <w:szCs w:val="22"/>
        </w:rPr>
        <w:t> 23 szerotípusát tartalmazó standard oltóanyaggal</w:t>
      </w:r>
      <w:r w:rsidRPr="00183B5F">
        <w:rPr>
          <w:bCs/>
          <w:szCs w:val="22"/>
        </w:rPr>
        <w:t>, valamint a trivalens influenzavírus</w:t>
      </w:r>
      <w:r w:rsidR="003B4347" w:rsidRPr="00183B5F">
        <w:rPr>
          <w:bCs/>
          <w:szCs w:val="22"/>
        </w:rPr>
        <w:t>-</w:t>
      </w:r>
      <w:r w:rsidRPr="00183B5F">
        <w:rPr>
          <w:bCs/>
          <w:szCs w:val="22"/>
        </w:rPr>
        <w:t>vakcinával szemben. Nincs adat arról, hogy Humira</w:t>
      </w:r>
      <w:r w:rsidRPr="00183B5F">
        <w:rPr>
          <w:bCs/>
          <w:szCs w:val="22"/>
        </w:rPr>
        <w:noBreakHyphen/>
        <w:t xml:space="preserve">val kezelt betegek élő kórokozót tartalmazó vakcinával végzett védőoltása esetén bekövetkezhet-e a fertőzés másodlagos transzmissziója. </w:t>
      </w:r>
    </w:p>
    <w:p w14:paraId="1E675E9C" w14:textId="77777777" w:rsidR="00764497" w:rsidRPr="00183B5F" w:rsidRDefault="00764497" w:rsidP="004062FE">
      <w:pPr>
        <w:spacing w:line="240" w:lineRule="auto"/>
        <w:rPr>
          <w:bCs/>
          <w:szCs w:val="22"/>
        </w:rPr>
      </w:pPr>
    </w:p>
    <w:p w14:paraId="7EA5454F" w14:textId="77777777" w:rsidR="00764497" w:rsidRPr="00183B5F" w:rsidRDefault="00943743" w:rsidP="004062FE">
      <w:pPr>
        <w:autoSpaceDE w:val="0"/>
        <w:autoSpaceDN w:val="0"/>
        <w:adjustRightInd w:val="0"/>
        <w:spacing w:line="240" w:lineRule="auto"/>
        <w:rPr>
          <w:szCs w:val="22"/>
        </w:rPr>
      </w:pPr>
      <w:r w:rsidRPr="00183B5F">
        <w:rPr>
          <w:szCs w:val="22"/>
        </w:rPr>
        <w:t>Ajánlott, hogy</w:t>
      </w:r>
      <w:r w:rsidR="00626979" w:rsidRPr="00183B5F">
        <w:rPr>
          <w:szCs w:val="22"/>
        </w:rPr>
        <w:t xml:space="preserve"> – </w:t>
      </w:r>
      <w:r w:rsidRPr="00183B5F">
        <w:rPr>
          <w:szCs w:val="22"/>
        </w:rPr>
        <w:t>ha lehetséges</w:t>
      </w:r>
      <w:r w:rsidR="00626979" w:rsidRPr="00183B5F">
        <w:rPr>
          <w:szCs w:val="22"/>
        </w:rPr>
        <w:t xml:space="preserve"> –</w:t>
      </w:r>
      <w:r w:rsidRPr="00183B5F">
        <w:rPr>
          <w:szCs w:val="22"/>
        </w:rPr>
        <w:t xml:space="preserve"> a </w:t>
      </w:r>
      <w:r w:rsidR="00CB73C8" w:rsidRPr="00183B5F">
        <w:rPr>
          <w:szCs w:val="22"/>
        </w:rPr>
        <w:t>gyermekeknél és serdülőknél</w:t>
      </w:r>
      <w:r w:rsidRPr="00183B5F">
        <w:rPr>
          <w:szCs w:val="22"/>
        </w:rPr>
        <w:t xml:space="preserve"> a Humira</w:t>
      </w:r>
      <w:r w:rsidRPr="00183B5F">
        <w:rPr>
          <w:szCs w:val="22"/>
        </w:rPr>
        <w:noBreakHyphen/>
        <w:t xml:space="preserve">kezelés megkezdése előtt adjanak be minden védőoltást a hatályos védőoltási irányelvek alapján. </w:t>
      </w:r>
    </w:p>
    <w:p w14:paraId="2560E235" w14:textId="77777777" w:rsidR="00764497" w:rsidRPr="00183B5F" w:rsidRDefault="00764497" w:rsidP="004062FE">
      <w:pPr>
        <w:spacing w:line="240" w:lineRule="auto"/>
        <w:rPr>
          <w:bCs/>
          <w:szCs w:val="22"/>
        </w:rPr>
      </w:pPr>
    </w:p>
    <w:p w14:paraId="10D2E47F" w14:textId="77777777" w:rsidR="00764497" w:rsidRPr="00183B5F" w:rsidRDefault="00943743" w:rsidP="004062FE">
      <w:pPr>
        <w:spacing w:line="240" w:lineRule="auto"/>
        <w:rPr>
          <w:bCs/>
          <w:szCs w:val="22"/>
        </w:rPr>
      </w:pPr>
      <w:r w:rsidRPr="00183B5F">
        <w:rPr>
          <w:bCs/>
          <w:szCs w:val="22"/>
        </w:rPr>
        <w:t>A Humira</w:t>
      </w:r>
      <w:r w:rsidRPr="00183B5F">
        <w:rPr>
          <w:bCs/>
          <w:szCs w:val="22"/>
        </w:rPr>
        <w:noBreakHyphen/>
        <w:t>val kezelt betegeknek – élő kórokozót tartalmazó vakcinák kivételével – adható egyidejűleg védőoltás. Az anya terhesség alatti utolsó adalimumab</w:t>
      </w:r>
      <w:r w:rsidR="00626979" w:rsidRPr="00183B5F">
        <w:rPr>
          <w:bCs/>
          <w:szCs w:val="22"/>
        </w:rPr>
        <w:t>-</w:t>
      </w:r>
      <w:r w:rsidRPr="00183B5F">
        <w:rPr>
          <w:bCs/>
          <w:szCs w:val="22"/>
        </w:rPr>
        <w:t xml:space="preserve">injekciójától számított 5 hónapig nem javasolt az olyan csecsemők élő kórokozót tartalmazó vakcinával </w:t>
      </w:r>
      <w:r w:rsidR="00132B60" w:rsidRPr="00183B5F">
        <w:rPr>
          <w:bCs/>
          <w:szCs w:val="22"/>
        </w:rPr>
        <w:t>(pl</w:t>
      </w:r>
      <w:r w:rsidR="007817FB" w:rsidRPr="00183B5F">
        <w:rPr>
          <w:bCs/>
          <w:szCs w:val="22"/>
        </w:rPr>
        <w:t>.</w:t>
      </w:r>
      <w:r w:rsidR="00132B60" w:rsidRPr="00183B5F">
        <w:rPr>
          <w:bCs/>
          <w:szCs w:val="22"/>
        </w:rPr>
        <w:t> BCG</w:t>
      </w:r>
      <w:r w:rsidR="00626979" w:rsidRPr="00183B5F">
        <w:rPr>
          <w:bCs/>
          <w:szCs w:val="22"/>
        </w:rPr>
        <w:t>-</w:t>
      </w:r>
      <w:r w:rsidR="00132B60" w:rsidRPr="00183B5F">
        <w:rPr>
          <w:bCs/>
          <w:szCs w:val="22"/>
        </w:rPr>
        <w:t xml:space="preserve">vakcinával) </w:t>
      </w:r>
      <w:r w:rsidRPr="00183B5F">
        <w:rPr>
          <w:bCs/>
          <w:szCs w:val="22"/>
        </w:rPr>
        <w:t xml:space="preserve">való oltása, akik </w:t>
      </w:r>
      <w:r w:rsidRPr="00183B5F">
        <w:rPr>
          <w:bCs/>
          <w:i/>
          <w:szCs w:val="22"/>
        </w:rPr>
        <w:t>in utero</w:t>
      </w:r>
      <w:r w:rsidRPr="00183B5F">
        <w:rPr>
          <w:bCs/>
          <w:szCs w:val="22"/>
        </w:rPr>
        <w:t xml:space="preserve"> adalimumab hatásának voltak kitéve.</w:t>
      </w:r>
    </w:p>
    <w:p w14:paraId="05949C6E" w14:textId="77777777" w:rsidR="00764497" w:rsidRPr="00183B5F" w:rsidRDefault="00764497" w:rsidP="004062FE">
      <w:pPr>
        <w:spacing w:line="240" w:lineRule="auto"/>
        <w:rPr>
          <w:b/>
          <w:szCs w:val="22"/>
        </w:rPr>
      </w:pPr>
    </w:p>
    <w:p w14:paraId="3141D598" w14:textId="77777777" w:rsidR="00764497" w:rsidRPr="00183B5F" w:rsidRDefault="00943743" w:rsidP="004062FE">
      <w:pPr>
        <w:spacing w:line="240" w:lineRule="auto"/>
        <w:ind w:left="567" w:hanging="567"/>
        <w:rPr>
          <w:szCs w:val="22"/>
          <w:u w:val="single"/>
        </w:rPr>
      </w:pPr>
      <w:r w:rsidRPr="00183B5F">
        <w:rPr>
          <w:szCs w:val="22"/>
          <w:u w:val="single"/>
        </w:rPr>
        <w:t>Pangásos szívelégtelenség</w:t>
      </w:r>
    </w:p>
    <w:p w14:paraId="45ABF372" w14:textId="77777777" w:rsidR="00764497" w:rsidRPr="00183B5F" w:rsidRDefault="00764497" w:rsidP="004062FE">
      <w:pPr>
        <w:spacing w:line="240" w:lineRule="auto"/>
        <w:ind w:left="567" w:hanging="567"/>
        <w:rPr>
          <w:b/>
          <w:szCs w:val="22"/>
        </w:rPr>
      </w:pPr>
    </w:p>
    <w:p w14:paraId="70A74456" w14:textId="77777777" w:rsidR="00764497" w:rsidRPr="00183B5F" w:rsidRDefault="00943743" w:rsidP="004062FE">
      <w:pPr>
        <w:spacing w:line="240" w:lineRule="auto"/>
        <w:rPr>
          <w:szCs w:val="22"/>
        </w:rPr>
      </w:pPr>
      <w:r w:rsidRPr="00183B5F">
        <w:rPr>
          <w:szCs w:val="22"/>
        </w:rPr>
        <w:t>Egy másik TNF</w:t>
      </w:r>
      <w:r w:rsidRPr="00183B5F">
        <w:rPr>
          <w:szCs w:val="22"/>
        </w:rPr>
        <w:noBreakHyphen/>
        <w:t>antagonistával végzett klinikai vizsgálat során a pangásos szívelégtelenség súlyosbodását</w:t>
      </w:r>
      <w:r w:rsidR="00626979" w:rsidRPr="00183B5F">
        <w:rPr>
          <w:szCs w:val="22"/>
        </w:rPr>
        <w:t>,</w:t>
      </w:r>
      <w:r w:rsidRPr="00183B5F">
        <w:rPr>
          <w:szCs w:val="22"/>
        </w:rPr>
        <w:t xml:space="preserve"> illetve a pangásos szívelégtelenséggel összefüggésben levő halálesetek számának növekedését tapasztalták. A pangásos szívelégtelenség súlyosbodásáról szintén beszámoltak Humira</w:t>
      </w:r>
      <w:r w:rsidRPr="00183B5F">
        <w:rPr>
          <w:szCs w:val="22"/>
        </w:rPr>
        <w:noBreakHyphen/>
        <w:t>val kezelt betegeknél. A Humira</w:t>
      </w:r>
      <w:r w:rsidRPr="00183B5F">
        <w:rPr>
          <w:szCs w:val="22"/>
        </w:rPr>
        <w:noBreakHyphen/>
        <w:t xml:space="preserve">t csak fokozott óvatossággal szabad használni enyhe szívelégtelenségben (NYHA I/II stádium) szenvedők kezelésére. A Humira kontraindikált a </w:t>
      </w:r>
      <w:r w:rsidR="00297FBD" w:rsidRPr="00183B5F">
        <w:rPr>
          <w:szCs w:val="22"/>
        </w:rPr>
        <w:t xml:space="preserve">közepesen súlyos </w:t>
      </w:r>
      <w:r w:rsidRPr="00183B5F">
        <w:rPr>
          <w:szCs w:val="22"/>
        </w:rPr>
        <w:noBreakHyphen/>
        <w:t xml:space="preserve">súlyos szívelégtelenség eseteiben (lásd 4.3 pont). A </w:t>
      </w:r>
      <w:r w:rsidRPr="00183B5F">
        <w:rPr>
          <w:szCs w:val="22"/>
        </w:rPr>
        <w:t>Humira</w:t>
      </w:r>
      <w:r w:rsidRPr="00183B5F">
        <w:rPr>
          <w:szCs w:val="22"/>
        </w:rPr>
        <w:noBreakHyphen/>
        <w:t>kezelést fel kell függeszteni minden olyan beteg esetében, akinél a pangásos szívelégtelenség rosszabbodása, illetve új tünet megjelenése tapasztalható.</w:t>
      </w:r>
    </w:p>
    <w:p w14:paraId="5BF594F8" w14:textId="77777777" w:rsidR="00764497" w:rsidRPr="00183B5F" w:rsidRDefault="00764497" w:rsidP="004062FE">
      <w:pPr>
        <w:spacing w:line="240" w:lineRule="auto"/>
        <w:rPr>
          <w:szCs w:val="22"/>
        </w:rPr>
      </w:pPr>
    </w:p>
    <w:p w14:paraId="7760E680" w14:textId="77777777" w:rsidR="00764497" w:rsidRPr="00183B5F" w:rsidRDefault="00943743" w:rsidP="004062FE">
      <w:pPr>
        <w:spacing w:line="240" w:lineRule="auto"/>
        <w:rPr>
          <w:szCs w:val="22"/>
          <w:u w:val="single"/>
        </w:rPr>
      </w:pPr>
      <w:r w:rsidRPr="00183B5F">
        <w:rPr>
          <w:szCs w:val="22"/>
          <w:u w:val="single"/>
        </w:rPr>
        <w:t>Autoimmun folyamatok</w:t>
      </w:r>
    </w:p>
    <w:p w14:paraId="5B77B8BB" w14:textId="77777777" w:rsidR="00764497" w:rsidRPr="00183B5F" w:rsidRDefault="00764497" w:rsidP="004062FE">
      <w:pPr>
        <w:spacing w:line="240" w:lineRule="auto"/>
        <w:rPr>
          <w:szCs w:val="22"/>
        </w:rPr>
      </w:pPr>
    </w:p>
    <w:p w14:paraId="1AF6BE12" w14:textId="77777777" w:rsidR="00764497" w:rsidRPr="00183B5F" w:rsidRDefault="00943743" w:rsidP="004062FE">
      <w:pPr>
        <w:spacing w:line="240" w:lineRule="auto"/>
        <w:rPr>
          <w:szCs w:val="22"/>
        </w:rPr>
      </w:pPr>
      <w:r w:rsidRPr="00183B5F">
        <w:rPr>
          <w:szCs w:val="22"/>
        </w:rPr>
        <w:t>A Humira</w:t>
      </w:r>
      <w:r w:rsidRPr="00183B5F">
        <w:rPr>
          <w:szCs w:val="22"/>
        </w:rPr>
        <w:noBreakHyphen/>
        <w:t>val való kezelés során autoantitestek képződése előfordulhat. A Humira hosszú</w:t>
      </w:r>
      <w:r w:rsidR="007817FB" w:rsidRPr="00183B5F">
        <w:rPr>
          <w:szCs w:val="22"/>
        </w:rPr>
        <w:t xml:space="preserve"> </w:t>
      </w:r>
      <w:r w:rsidRPr="00183B5F">
        <w:rPr>
          <w:szCs w:val="22"/>
        </w:rPr>
        <w:t>távú hatása az autoimmun betegségek kialakulására nem ismert. Ha a Humira alkalmazása után lupus-szerű szindrómára utaló tünetek jelentkeznek, továbbá kettős szálú DNS elleni antitestek jelennek meg, akkor nem szabad folytatni a Humira adását (lásd</w:t>
      </w:r>
      <w:r w:rsidRPr="00183B5F">
        <w:rPr>
          <w:i/>
          <w:iCs/>
          <w:szCs w:val="22"/>
        </w:rPr>
        <w:t xml:space="preserve"> </w:t>
      </w:r>
      <w:r w:rsidRPr="00183B5F">
        <w:rPr>
          <w:szCs w:val="22"/>
        </w:rPr>
        <w:t>4.8 pont).</w:t>
      </w:r>
    </w:p>
    <w:p w14:paraId="06E66DBE" w14:textId="77777777" w:rsidR="00764497" w:rsidRPr="00183B5F" w:rsidRDefault="00764497" w:rsidP="004062FE">
      <w:pPr>
        <w:pStyle w:val="EndnoteText"/>
        <w:tabs>
          <w:tab w:val="clear" w:pos="567"/>
        </w:tabs>
        <w:suppressAutoHyphens/>
        <w:rPr>
          <w:sz w:val="22"/>
          <w:szCs w:val="22"/>
          <w:lang w:val="hu-HU" w:eastAsia="hu-HU"/>
        </w:rPr>
      </w:pPr>
    </w:p>
    <w:p w14:paraId="510CC426" w14:textId="77777777" w:rsidR="00764497" w:rsidRPr="00183B5F" w:rsidRDefault="00943743" w:rsidP="004062FE">
      <w:pPr>
        <w:spacing w:line="240" w:lineRule="auto"/>
        <w:rPr>
          <w:szCs w:val="22"/>
          <w:u w:val="single"/>
        </w:rPr>
      </w:pPr>
      <w:r w:rsidRPr="00183B5F">
        <w:rPr>
          <w:szCs w:val="22"/>
          <w:u w:val="single"/>
        </w:rPr>
        <w:t>Biológiai reumaellenes betegségmódosító gyógyszerek (DMARD</w:t>
      </w:r>
      <w:r w:rsidRPr="00183B5F">
        <w:rPr>
          <w:szCs w:val="22"/>
          <w:u w:val="single"/>
        </w:rPr>
        <w:noBreakHyphen/>
        <w:t>ok) vagy TNF</w:t>
      </w:r>
      <w:r w:rsidRPr="00183B5F">
        <w:rPr>
          <w:szCs w:val="22"/>
          <w:u w:val="single"/>
        </w:rPr>
        <w:noBreakHyphen/>
        <w:t>antagonisták együttadása</w:t>
      </w:r>
    </w:p>
    <w:p w14:paraId="71CDD37F" w14:textId="77777777" w:rsidR="00764497" w:rsidRPr="00183B5F" w:rsidRDefault="00764497" w:rsidP="004062FE">
      <w:pPr>
        <w:spacing w:line="240" w:lineRule="auto"/>
        <w:rPr>
          <w:szCs w:val="22"/>
        </w:rPr>
      </w:pPr>
    </w:p>
    <w:p w14:paraId="0037AC59" w14:textId="77777777" w:rsidR="00764497" w:rsidRPr="00183B5F" w:rsidRDefault="00943743" w:rsidP="004062FE">
      <w:pPr>
        <w:spacing w:line="240" w:lineRule="auto"/>
        <w:rPr>
          <w:szCs w:val="22"/>
        </w:rPr>
      </w:pPr>
      <w:r w:rsidRPr="00183B5F">
        <w:rPr>
          <w:szCs w:val="22"/>
        </w:rPr>
        <w:t>Klinikai vizsgálatokban súlyos fertőzéseket tapasztaltak előnyösebb klinikai hatás nélkül anakinra és egy másik TNF</w:t>
      </w:r>
      <w:r w:rsidRPr="00183B5F">
        <w:rPr>
          <w:szCs w:val="22"/>
        </w:rPr>
        <w:noBreakHyphen/>
        <w:t xml:space="preserve">antagonista, az etanercept együttes adásakor, amennyiben a kombinált kezelés hatását az önmagában adagolt etanercept hatásával hasonlították össze. </w:t>
      </w:r>
      <w:r w:rsidR="009B6893" w:rsidRPr="00183B5F">
        <w:rPr>
          <w:szCs w:val="22"/>
        </w:rPr>
        <w:t>Az etanercepttel és anakinrával végzett kombinációs kezelésnél észlelt mellékhatások természete miatt hasonló toxicitás várható az anakinra és más TNF</w:t>
      </w:r>
      <w:r w:rsidR="009B6893" w:rsidRPr="00183B5F">
        <w:rPr>
          <w:szCs w:val="22"/>
        </w:rPr>
        <w:noBreakHyphen/>
        <w:t>antagonista kombinációjánál is. Ezért az adalimumab és anakinra kombinációjának alkalmazása nem javasolt (lásd 4.5 pont).</w:t>
      </w:r>
    </w:p>
    <w:p w14:paraId="72DB7386" w14:textId="77777777" w:rsidR="00764497" w:rsidRPr="00183B5F" w:rsidRDefault="00764497" w:rsidP="004062FE">
      <w:pPr>
        <w:spacing w:line="240" w:lineRule="auto"/>
        <w:rPr>
          <w:szCs w:val="22"/>
          <w:u w:val="single"/>
        </w:rPr>
      </w:pPr>
    </w:p>
    <w:p w14:paraId="67EBC76D" w14:textId="77777777" w:rsidR="00764497" w:rsidRPr="00183B5F" w:rsidRDefault="00943743" w:rsidP="004062FE">
      <w:pPr>
        <w:spacing w:line="240" w:lineRule="auto"/>
        <w:rPr>
          <w:szCs w:val="22"/>
        </w:rPr>
      </w:pPr>
      <w:r w:rsidRPr="00183B5F">
        <w:rPr>
          <w:szCs w:val="22"/>
        </w:rPr>
        <w:t>Az adalimumab és egyéb biológiai betegségmódosító reumaellenes gyógyszerek (pl. anakinra és abatacept) vagy egyéb TNF</w:t>
      </w:r>
      <w:r w:rsidRPr="00183B5F">
        <w:rPr>
          <w:szCs w:val="22"/>
        </w:rPr>
        <w:noBreakHyphen/>
        <w:t xml:space="preserve">antagonisták egyidejű alkalmazása nem javasolt a fertőzések </w:t>
      </w:r>
      <w:r w:rsidR="009B6893" w:rsidRPr="00183B5F">
        <w:rPr>
          <w:szCs w:val="22"/>
        </w:rPr>
        <w:t>–</w:t>
      </w:r>
      <w:r w:rsidRPr="00183B5F">
        <w:rPr>
          <w:szCs w:val="22"/>
        </w:rPr>
        <w:t xml:space="preserve"> köztük súlyos fertőzések </w:t>
      </w:r>
      <w:r w:rsidR="009B6893" w:rsidRPr="00183B5F">
        <w:rPr>
          <w:szCs w:val="22"/>
        </w:rPr>
        <w:t>–</w:t>
      </w:r>
      <w:r w:rsidRPr="00183B5F">
        <w:rPr>
          <w:szCs w:val="22"/>
        </w:rPr>
        <w:t xml:space="preserve"> lehetséges fokozott kockázata és egyéb potenciális gyógyszerkölcsönhatások miatt. (lásd 4.5 pont).</w:t>
      </w:r>
    </w:p>
    <w:p w14:paraId="5B4E9077" w14:textId="77777777" w:rsidR="00764497" w:rsidRPr="00183B5F" w:rsidRDefault="00764497" w:rsidP="004062FE">
      <w:pPr>
        <w:spacing w:line="240" w:lineRule="auto"/>
        <w:rPr>
          <w:szCs w:val="22"/>
        </w:rPr>
      </w:pPr>
    </w:p>
    <w:p w14:paraId="70090656" w14:textId="77777777" w:rsidR="00764497" w:rsidRPr="00183B5F" w:rsidRDefault="00943743" w:rsidP="004062FE">
      <w:pPr>
        <w:spacing w:line="240" w:lineRule="auto"/>
        <w:rPr>
          <w:szCs w:val="22"/>
          <w:u w:val="single"/>
        </w:rPr>
      </w:pPr>
      <w:r w:rsidRPr="00183B5F">
        <w:rPr>
          <w:szCs w:val="22"/>
          <w:u w:val="single"/>
        </w:rPr>
        <w:t>Sebészet</w:t>
      </w:r>
    </w:p>
    <w:p w14:paraId="2544FAAB" w14:textId="77777777" w:rsidR="00764497" w:rsidRPr="00183B5F" w:rsidRDefault="00764497" w:rsidP="004062FE">
      <w:pPr>
        <w:spacing w:line="240" w:lineRule="auto"/>
        <w:rPr>
          <w:szCs w:val="22"/>
          <w:u w:val="single"/>
        </w:rPr>
      </w:pPr>
    </w:p>
    <w:p w14:paraId="62513B79" w14:textId="77777777" w:rsidR="00764497" w:rsidRPr="00183B5F" w:rsidRDefault="00943743" w:rsidP="004062FE">
      <w:pPr>
        <w:spacing w:line="240" w:lineRule="auto"/>
        <w:rPr>
          <w:szCs w:val="22"/>
          <w:u w:val="single"/>
        </w:rPr>
      </w:pPr>
      <w:r w:rsidRPr="00183B5F">
        <w:rPr>
          <w:szCs w:val="22"/>
        </w:rPr>
        <w:t>Sebészeti beavatkozások során Humira</w:t>
      </w:r>
      <w:r w:rsidRPr="00183B5F">
        <w:rPr>
          <w:szCs w:val="22"/>
        </w:rPr>
        <w:noBreakHyphen/>
        <w:t>val kezelt betegek körében biztonságossági tapasztalatok korlátozottan állnak rendelkezésre. Az adalimumab hosszú felezési idejét a tervezett műtéti beavatkozás során figyelembe kell venni. Humira</w:t>
      </w:r>
      <w:r w:rsidRPr="00183B5F">
        <w:rPr>
          <w:szCs w:val="22"/>
        </w:rPr>
        <w:noBreakHyphen/>
        <w:t xml:space="preserve">kezelés alatt műtéti beavatkozást igénylő beteget infekció tekintetében szorosan </w:t>
      </w:r>
      <w:r w:rsidR="003B3F6D" w:rsidRPr="00183B5F">
        <w:rPr>
          <w:szCs w:val="22"/>
        </w:rPr>
        <w:t>monitorozni</w:t>
      </w:r>
      <w:r w:rsidRPr="00183B5F">
        <w:rPr>
          <w:szCs w:val="22"/>
        </w:rPr>
        <w:t xml:space="preserve"> kell és megfelelő módon kell ellátni. A Humira</w:t>
      </w:r>
      <w:r w:rsidRPr="00183B5F">
        <w:rPr>
          <w:szCs w:val="22"/>
        </w:rPr>
        <w:noBreakHyphen/>
        <w:t>val kezelt arthroplasztikán áteső betegekkel szerzett biztonságossági tapasztalatok korlátozottak.</w:t>
      </w:r>
    </w:p>
    <w:p w14:paraId="61638A7D" w14:textId="77777777" w:rsidR="00764497" w:rsidRPr="00183B5F" w:rsidRDefault="00764497" w:rsidP="004062FE">
      <w:pPr>
        <w:spacing w:line="240" w:lineRule="auto"/>
        <w:rPr>
          <w:szCs w:val="22"/>
          <w:u w:val="single"/>
        </w:rPr>
      </w:pPr>
    </w:p>
    <w:p w14:paraId="42C4CF14" w14:textId="77777777" w:rsidR="00764497" w:rsidRPr="00183B5F" w:rsidRDefault="00943743" w:rsidP="004062FE">
      <w:pPr>
        <w:spacing w:line="240" w:lineRule="auto"/>
        <w:rPr>
          <w:szCs w:val="22"/>
          <w:u w:val="single"/>
        </w:rPr>
      </w:pPr>
      <w:r w:rsidRPr="00183B5F">
        <w:rPr>
          <w:szCs w:val="22"/>
          <w:u w:val="single"/>
        </w:rPr>
        <w:t>Vékonybél</w:t>
      </w:r>
      <w:r w:rsidRPr="00183B5F">
        <w:rPr>
          <w:szCs w:val="22"/>
          <w:u w:val="single"/>
        </w:rPr>
        <w:noBreakHyphen/>
        <w:t>elzáródás</w:t>
      </w:r>
    </w:p>
    <w:p w14:paraId="1348FACD" w14:textId="77777777" w:rsidR="00764497" w:rsidRPr="00183B5F" w:rsidRDefault="00764497" w:rsidP="004062FE">
      <w:pPr>
        <w:spacing w:line="240" w:lineRule="auto"/>
        <w:rPr>
          <w:szCs w:val="22"/>
          <w:u w:val="single"/>
        </w:rPr>
      </w:pPr>
    </w:p>
    <w:p w14:paraId="71CA375A" w14:textId="77777777" w:rsidR="00764497" w:rsidRPr="00183B5F" w:rsidRDefault="00943743" w:rsidP="004062FE">
      <w:pPr>
        <w:spacing w:line="240" w:lineRule="auto"/>
        <w:rPr>
          <w:szCs w:val="22"/>
        </w:rPr>
      </w:pPr>
      <w:r w:rsidRPr="00183B5F">
        <w:rPr>
          <w:szCs w:val="22"/>
        </w:rPr>
        <w:t>A Crohn</w:t>
      </w:r>
      <w:r w:rsidRPr="00183B5F">
        <w:rPr>
          <w:szCs w:val="22"/>
        </w:rPr>
        <w:noBreakHyphen/>
        <w:t>betegség kezelésének hatástalansága műtéti kezelést igénylő, heges szűkület jelenlétére utalhat. A rendelkezésre álló adatok alapján a Humira nem idéz elő bélszűkületet, és nem is súlyosbítja a már kialakult stricturát.</w:t>
      </w:r>
    </w:p>
    <w:p w14:paraId="75BA7054" w14:textId="77777777" w:rsidR="00764497" w:rsidRPr="00183B5F" w:rsidRDefault="00764497" w:rsidP="004062FE">
      <w:pPr>
        <w:spacing w:line="240" w:lineRule="auto"/>
        <w:rPr>
          <w:szCs w:val="22"/>
        </w:rPr>
      </w:pPr>
    </w:p>
    <w:p w14:paraId="0C743171" w14:textId="77777777" w:rsidR="00764497" w:rsidRPr="00183B5F" w:rsidRDefault="00943743" w:rsidP="00FE0197">
      <w:pPr>
        <w:keepNext/>
        <w:spacing w:line="240" w:lineRule="auto"/>
        <w:rPr>
          <w:szCs w:val="22"/>
          <w:u w:val="single"/>
        </w:rPr>
      </w:pPr>
      <w:r w:rsidRPr="00183B5F">
        <w:rPr>
          <w:szCs w:val="22"/>
          <w:u w:val="single"/>
        </w:rPr>
        <w:t>Idősek</w:t>
      </w:r>
    </w:p>
    <w:p w14:paraId="60997751" w14:textId="77777777" w:rsidR="00764497" w:rsidRPr="00183B5F" w:rsidRDefault="00764497" w:rsidP="004062FE">
      <w:pPr>
        <w:keepNext/>
        <w:spacing w:line="240" w:lineRule="auto"/>
        <w:rPr>
          <w:szCs w:val="22"/>
        </w:rPr>
      </w:pPr>
    </w:p>
    <w:p w14:paraId="7A835243" w14:textId="77777777" w:rsidR="00764497" w:rsidRPr="00183B5F" w:rsidRDefault="00943743" w:rsidP="004062FE">
      <w:pPr>
        <w:keepNext/>
        <w:spacing w:line="240" w:lineRule="auto"/>
        <w:rPr>
          <w:szCs w:val="22"/>
        </w:rPr>
      </w:pPr>
      <w:r w:rsidRPr="00183B5F">
        <w:rPr>
          <w:szCs w:val="22"/>
        </w:rPr>
        <w:t>A Humira</w:t>
      </w:r>
      <w:r w:rsidRPr="00183B5F">
        <w:rPr>
          <w:szCs w:val="22"/>
        </w:rPr>
        <w:noBreakHyphen/>
        <w:t xml:space="preserve">val kezelt, 65 éves kor feletti betegeknél a súlyos fertőzések gyakorisága magasabb volt (3,7%), mint a 65 évnél fiatalabbaknál (1,5%). Némelyiküknél ez végzetes volt. Idősek kezelésekor különös figyelmet kell fordítani a fertőzés veszélyére. </w:t>
      </w:r>
    </w:p>
    <w:p w14:paraId="1AF7CD80" w14:textId="77777777" w:rsidR="00764497" w:rsidRPr="00183B5F" w:rsidRDefault="00764497" w:rsidP="004062FE">
      <w:pPr>
        <w:spacing w:line="240" w:lineRule="auto"/>
        <w:rPr>
          <w:b/>
          <w:szCs w:val="22"/>
        </w:rPr>
      </w:pPr>
    </w:p>
    <w:p w14:paraId="2F937667" w14:textId="77777777" w:rsidR="00764497" w:rsidRPr="00183B5F" w:rsidRDefault="00943743" w:rsidP="004062FE">
      <w:pPr>
        <w:keepNext/>
        <w:spacing w:line="240" w:lineRule="auto"/>
        <w:rPr>
          <w:szCs w:val="22"/>
        </w:rPr>
      </w:pPr>
      <w:r w:rsidRPr="00183B5F">
        <w:rPr>
          <w:noProof/>
          <w:szCs w:val="24"/>
          <w:u w:val="single"/>
        </w:rPr>
        <w:t>Gyermekek és serdülők</w:t>
      </w:r>
    </w:p>
    <w:p w14:paraId="47320B29" w14:textId="77777777" w:rsidR="00764497" w:rsidRPr="00183B5F" w:rsidRDefault="00764497" w:rsidP="004062FE">
      <w:pPr>
        <w:spacing w:line="240" w:lineRule="auto"/>
        <w:rPr>
          <w:szCs w:val="22"/>
        </w:rPr>
      </w:pPr>
    </w:p>
    <w:p w14:paraId="65E2F125" w14:textId="77777777" w:rsidR="00764497" w:rsidRDefault="00943743" w:rsidP="004062FE">
      <w:pPr>
        <w:spacing w:line="240" w:lineRule="auto"/>
        <w:rPr>
          <w:ins w:id="8489" w:author="AbbVie_HU_03" w:date="2025-05-14T15:44:00Z"/>
          <w:szCs w:val="22"/>
        </w:rPr>
      </w:pPr>
      <w:r w:rsidRPr="00183B5F">
        <w:rPr>
          <w:szCs w:val="22"/>
        </w:rPr>
        <w:t>Lásd feljebb a Védőoltások részben.</w:t>
      </w:r>
    </w:p>
    <w:p w14:paraId="6C392979" w14:textId="77777777" w:rsidR="00C261BD" w:rsidRDefault="00C261BD" w:rsidP="00C261BD">
      <w:pPr>
        <w:spacing w:line="240" w:lineRule="auto"/>
        <w:rPr>
          <w:ins w:id="8490" w:author="AbbVie_HU_03" w:date="2025-05-14T15:44:00Z"/>
          <w:noProof/>
          <w:szCs w:val="22"/>
        </w:rPr>
      </w:pPr>
    </w:p>
    <w:p w14:paraId="67F8F865" w14:textId="77777777" w:rsidR="00C261BD" w:rsidRDefault="00943743" w:rsidP="00C261BD">
      <w:pPr>
        <w:spacing w:line="240" w:lineRule="auto"/>
        <w:rPr>
          <w:ins w:id="8491" w:author="AbbVie_HU_03" w:date="2025-05-14T15:44:00Z"/>
          <w:u w:val="single"/>
        </w:rPr>
      </w:pPr>
      <w:ins w:id="8492" w:author="AbbVie_HU_03" w:date="2025-05-14T15:44:00Z">
        <w:r w:rsidRPr="00071EBC">
          <w:rPr>
            <w:u w:val="single"/>
          </w:rPr>
          <w:t>Ismert hatású segédanyag(ok)</w:t>
        </w:r>
      </w:ins>
    </w:p>
    <w:p w14:paraId="555E3B31" w14:textId="77777777" w:rsidR="00C261BD" w:rsidRDefault="00C261BD" w:rsidP="00C261BD">
      <w:pPr>
        <w:spacing w:line="240" w:lineRule="auto"/>
        <w:rPr>
          <w:ins w:id="8493" w:author="AbbVie_HU_03" w:date="2025-05-14T15:44:00Z"/>
          <w:u w:val="single"/>
        </w:rPr>
      </w:pPr>
    </w:p>
    <w:p w14:paraId="67FC3128" w14:textId="330AAF7D" w:rsidR="00C261BD" w:rsidRPr="00C261BD" w:rsidRDefault="00943743" w:rsidP="00C261BD">
      <w:pPr>
        <w:spacing w:line="240" w:lineRule="auto"/>
        <w:rPr>
          <w:ins w:id="8494" w:author="AbbVie_HU_03" w:date="2025-05-14T15:44:00Z"/>
          <w:rPrChange w:id="8495" w:author="AbbVie_HU_03" w:date="2025-05-14T15:45:00Z">
            <w:rPr>
              <w:ins w:id="8496" w:author="AbbVie_HU_03" w:date="2025-05-14T15:44:00Z"/>
              <w:u w:val="single"/>
            </w:rPr>
          </w:rPrChange>
        </w:rPr>
      </w:pPr>
      <w:ins w:id="8497" w:author="AbbVie_HU_03" w:date="2025-05-14T15:44:00Z">
        <w:r w:rsidRPr="00C261BD">
          <w:rPr>
            <w:rPrChange w:id="8498" w:author="AbbVie_HU_03" w:date="2025-05-14T15:45:00Z">
              <w:rPr>
                <w:u w:val="single"/>
              </w:rPr>
            </w:rPrChange>
          </w:rPr>
          <w:t>Ez a gyógyszer 0,</w:t>
        </w:r>
      </w:ins>
      <w:ins w:id="8499" w:author="AbbVie_HU_03" w:date="2025-05-14T16:59:00Z">
        <w:r w:rsidR="00673483">
          <w:t>8 </w:t>
        </w:r>
      </w:ins>
      <w:ins w:id="8500" w:author="AbbVie_HU_03" w:date="2025-05-14T15:44:00Z">
        <w:r w:rsidRPr="00C261BD">
          <w:rPr>
            <w:rPrChange w:id="8501" w:author="AbbVie_HU_03" w:date="2025-05-14T15:45:00Z">
              <w:rPr>
                <w:u w:val="single"/>
              </w:rPr>
            </w:rPrChange>
          </w:rPr>
          <w:t xml:space="preserve">mg poliszorbát 80-at tartalmaz </w:t>
        </w:r>
      </w:ins>
      <w:ins w:id="8502" w:author="AbbVie_HU_03" w:date="2025-05-14T16:59:00Z">
        <w:r w:rsidR="00673483">
          <w:t>8</w:t>
        </w:r>
      </w:ins>
      <w:ins w:id="8503" w:author="AbbVie_HU_03" w:date="2025-05-14T15:44:00Z">
        <w:r w:rsidRPr="00C261BD">
          <w:rPr>
            <w:rPrChange w:id="8504" w:author="AbbVie_HU_03" w:date="2025-05-14T15:45:00Z">
              <w:rPr>
                <w:u w:val="single"/>
              </w:rPr>
            </w:rPrChange>
          </w:rPr>
          <w:t>0</w:t>
        </w:r>
      </w:ins>
      <w:ins w:id="8505" w:author="AbbVie_HU_03" w:date="2025-05-14T16:59:00Z">
        <w:r w:rsidR="00673483">
          <w:t> </w:t>
        </w:r>
      </w:ins>
      <w:ins w:id="8506" w:author="AbbVie_HU_03" w:date="2025-05-14T15:44:00Z">
        <w:r w:rsidRPr="00C261BD">
          <w:rPr>
            <w:rPrChange w:id="8507" w:author="AbbVie_HU_03" w:date="2025-05-14T15:45:00Z">
              <w:rPr>
                <w:u w:val="single"/>
              </w:rPr>
            </w:rPrChange>
          </w:rPr>
          <w:t>mg-os adagonként.</w:t>
        </w:r>
      </w:ins>
      <w:ins w:id="8508" w:author="AbbVie_HU_03" w:date="2025-09-05T15:36:00Z">
        <w:r w:rsidR="0004722C">
          <w:t xml:space="preserve"> A poliszorbátok allergiás reakciókat okozhatnak.</w:t>
        </w:r>
      </w:ins>
    </w:p>
    <w:p w14:paraId="4F965038" w14:textId="77777777" w:rsidR="00C261BD" w:rsidRPr="00183B5F" w:rsidRDefault="00C261BD" w:rsidP="00C261BD">
      <w:pPr>
        <w:spacing w:line="240" w:lineRule="auto"/>
        <w:rPr>
          <w:szCs w:val="22"/>
          <w:u w:val="single"/>
        </w:rPr>
      </w:pPr>
    </w:p>
    <w:p w14:paraId="4E49FCB2" w14:textId="77777777" w:rsidR="00764497" w:rsidRPr="00183B5F" w:rsidRDefault="00764497" w:rsidP="004062FE">
      <w:pPr>
        <w:spacing w:line="240" w:lineRule="auto"/>
        <w:rPr>
          <w:b/>
          <w:szCs w:val="22"/>
        </w:rPr>
      </w:pPr>
    </w:p>
    <w:p w14:paraId="077013DB" w14:textId="77777777" w:rsidR="00764497" w:rsidRPr="00183B5F" w:rsidRDefault="00943743" w:rsidP="004062FE">
      <w:pPr>
        <w:spacing w:line="240" w:lineRule="auto"/>
        <w:ind w:left="567" w:hanging="567"/>
        <w:rPr>
          <w:b/>
          <w:szCs w:val="22"/>
        </w:rPr>
      </w:pPr>
      <w:r w:rsidRPr="00183B5F">
        <w:rPr>
          <w:b/>
          <w:szCs w:val="22"/>
        </w:rPr>
        <w:t>4.5</w:t>
      </w:r>
      <w:r w:rsidRPr="00183B5F">
        <w:rPr>
          <w:b/>
          <w:szCs w:val="22"/>
        </w:rPr>
        <w:tab/>
        <w:t>Gyógyszerkölcsönhatások és egyéb interakciók</w:t>
      </w:r>
    </w:p>
    <w:p w14:paraId="71B66E34" w14:textId="77777777" w:rsidR="00764497" w:rsidRPr="00183B5F" w:rsidRDefault="00764497" w:rsidP="004062FE">
      <w:pPr>
        <w:pStyle w:val="EndnoteText"/>
        <w:tabs>
          <w:tab w:val="clear" w:pos="567"/>
        </w:tabs>
        <w:suppressAutoHyphens/>
        <w:rPr>
          <w:sz w:val="22"/>
          <w:szCs w:val="22"/>
          <w:lang w:val="hu-HU" w:eastAsia="hu-HU"/>
        </w:rPr>
      </w:pPr>
    </w:p>
    <w:p w14:paraId="7EAEC330" w14:textId="77777777" w:rsidR="00764497" w:rsidRPr="00183B5F" w:rsidRDefault="00943743" w:rsidP="004062FE">
      <w:pPr>
        <w:spacing w:line="240" w:lineRule="auto"/>
        <w:rPr>
          <w:szCs w:val="22"/>
        </w:rPr>
      </w:pPr>
      <w:r w:rsidRPr="00183B5F">
        <w:rPr>
          <w:szCs w:val="22"/>
        </w:rPr>
        <w:t>A Humira</w:t>
      </w:r>
      <w:r w:rsidRPr="00183B5F">
        <w:rPr>
          <w:szCs w:val="22"/>
        </w:rPr>
        <w:noBreakHyphen/>
      </w:r>
      <w:r w:rsidRPr="00183B5F">
        <w:rPr>
          <w:szCs w:val="22"/>
        </w:rPr>
        <w:t>t vizsgálták monoterápiában, illetve metotrexáttal együtt adva rheumatoid arthritises, polyarticularis juvenilis idiopathiás arthritises, valamint arthritis psoriaticában szenvedő betegek körében is. Ha a Humira</w:t>
      </w:r>
      <w:r w:rsidRPr="00183B5F">
        <w:rPr>
          <w:szCs w:val="22"/>
        </w:rPr>
        <w:noBreakHyphen/>
        <w:t>t kombinációban adták metotrexáttal, az antitestképződés alacsonyabb volt, mint monoterápiában. A Humira metotrexát nélküli alkalmazása fokozott antitestképződést, továbbá az adalimumab</w:t>
      </w:r>
      <w:r w:rsidRPr="00183B5F">
        <w:rPr>
          <w:szCs w:val="22"/>
        </w:rPr>
        <w:noBreakHyphen/>
        <w:t>clearance fokozódását és a hatásosság csökkenését eredményezte (lásd 5.1 pont).</w:t>
      </w:r>
    </w:p>
    <w:p w14:paraId="118303D9" w14:textId="77777777" w:rsidR="00764497" w:rsidRPr="00183B5F" w:rsidRDefault="00764497" w:rsidP="004062FE">
      <w:pPr>
        <w:spacing w:line="240" w:lineRule="auto"/>
        <w:rPr>
          <w:b/>
          <w:szCs w:val="22"/>
        </w:rPr>
      </w:pPr>
    </w:p>
    <w:p w14:paraId="6A375599" w14:textId="77777777" w:rsidR="00764497" w:rsidRPr="00183B5F" w:rsidRDefault="00943743" w:rsidP="004062FE">
      <w:pPr>
        <w:spacing w:line="240" w:lineRule="auto"/>
        <w:rPr>
          <w:szCs w:val="22"/>
        </w:rPr>
      </w:pPr>
      <w:r w:rsidRPr="00183B5F">
        <w:rPr>
          <w:szCs w:val="22"/>
        </w:rPr>
        <w:t>A Humira és az anakinra kombinált alkalmazása nem ajánlott (lásd a 4.4 pont „Biológiai reumaellenes betegségmódosító gyógyszerek (DMARD-ok) vagy TNF</w:t>
      </w:r>
      <w:r w:rsidRPr="00183B5F">
        <w:rPr>
          <w:szCs w:val="22"/>
        </w:rPr>
        <w:noBreakHyphen/>
        <w:t>antagonisták együttadása” c. fejezetét).</w:t>
      </w:r>
    </w:p>
    <w:p w14:paraId="67DBD081" w14:textId="77777777" w:rsidR="00764497" w:rsidRPr="00183B5F" w:rsidRDefault="00764497" w:rsidP="004062FE">
      <w:pPr>
        <w:spacing w:line="240" w:lineRule="auto"/>
        <w:rPr>
          <w:szCs w:val="22"/>
        </w:rPr>
      </w:pPr>
    </w:p>
    <w:p w14:paraId="76DAE3B7" w14:textId="77777777" w:rsidR="00764497" w:rsidRPr="00183B5F" w:rsidRDefault="00943743" w:rsidP="004062FE">
      <w:pPr>
        <w:spacing w:line="240" w:lineRule="auto"/>
        <w:rPr>
          <w:szCs w:val="22"/>
        </w:rPr>
      </w:pPr>
      <w:r w:rsidRPr="00183B5F">
        <w:rPr>
          <w:szCs w:val="22"/>
        </w:rPr>
        <w:t>A Humira és az abatacept kombinált alkalmazása nem ajánlott (lásd a 4.4 pont „Biológiai reumaellenes betegségmódosító gyógyszerek (DMARD-ok) vagy TNF</w:t>
      </w:r>
      <w:r w:rsidRPr="00183B5F">
        <w:rPr>
          <w:szCs w:val="22"/>
        </w:rPr>
        <w:noBreakHyphen/>
        <w:t>antagonisták együttadása” c. fejezetét).</w:t>
      </w:r>
    </w:p>
    <w:p w14:paraId="465ED12D" w14:textId="77777777" w:rsidR="00764497" w:rsidRPr="00183B5F" w:rsidRDefault="00764497" w:rsidP="004062FE">
      <w:pPr>
        <w:spacing w:line="240" w:lineRule="auto"/>
        <w:rPr>
          <w:szCs w:val="22"/>
        </w:rPr>
      </w:pPr>
    </w:p>
    <w:p w14:paraId="3E8B8231" w14:textId="77777777" w:rsidR="004B37B2" w:rsidRPr="00183B5F" w:rsidRDefault="00943743" w:rsidP="004B37B2">
      <w:pPr>
        <w:keepNext/>
        <w:spacing w:line="240" w:lineRule="auto"/>
        <w:rPr>
          <w:b/>
          <w:szCs w:val="22"/>
        </w:rPr>
      </w:pPr>
      <w:r w:rsidRPr="00183B5F">
        <w:rPr>
          <w:b/>
          <w:szCs w:val="22"/>
        </w:rPr>
        <w:t>4.6</w:t>
      </w:r>
      <w:r w:rsidRPr="00183B5F">
        <w:rPr>
          <w:b/>
          <w:szCs w:val="22"/>
        </w:rPr>
        <w:tab/>
        <w:t>Termékenység, terhesség és szoptatás</w:t>
      </w:r>
    </w:p>
    <w:p w14:paraId="090E5949" w14:textId="77777777" w:rsidR="004B37B2" w:rsidRPr="00183B5F" w:rsidRDefault="004B37B2" w:rsidP="004B37B2">
      <w:pPr>
        <w:pStyle w:val="EndnoteText"/>
        <w:keepNext/>
        <w:tabs>
          <w:tab w:val="clear" w:pos="567"/>
          <w:tab w:val="left" w:pos="708"/>
        </w:tabs>
        <w:suppressAutoHyphens/>
        <w:rPr>
          <w:sz w:val="22"/>
          <w:szCs w:val="22"/>
          <w:lang w:val="hu-HU" w:eastAsia="hu-HU"/>
        </w:rPr>
      </w:pPr>
    </w:p>
    <w:p w14:paraId="068403F0" w14:textId="77777777" w:rsidR="004B37B2" w:rsidRPr="00183B5F" w:rsidRDefault="00943743" w:rsidP="004B37B2">
      <w:pPr>
        <w:spacing w:line="240" w:lineRule="auto"/>
        <w:rPr>
          <w:szCs w:val="22"/>
          <w:u w:val="single"/>
        </w:rPr>
      </w:pPr>
      <w:r w:rsidRPr="00183B5F">
        <w:rPr>
          <w:szCs w:val="22"/>
          <w:u w:val="single"/>
        </w:rPr>
        <w:t>Fogamzóképes korú nők</w:t>
      </w:r>
    </w:p>
    <w:p w14:paraId="1197CD6E" w14:textId="77777777" w:rsidR="004B37B2" w:rsidRPr="00183B5F" w:rsidRDefault="004B37B2" w:rsidP="004B37B2">
      <w:pPr>
        <w:spacing w:line="240" w:lineRule="auto"/>
        <w:rPr>
          <w:szCs w:val="22"/>
        </w:rPr>
      </w:pPr>
    </w:p>
    <w:p w14:paraId="07B0B421" w14:textId="77777777" w:rsidR="004B37B2" w:rsidRPr="00183B5F" w:rsidRDefault="00943743" w:rsidP="00365CB4">
      <w:pPr>
        <w:spacing w:line="240" w:lineRule="auto"/>
        <w:rPr>
          <w:szCs w:val="22"/>
        </w:rPr>
      </w:pPr>
      <w:r w:rsidRPr="00183B5F">
        <w:rPr>
          <w:szCs w:val="22"/>
        </w:rPr>
        <w:t xml:space="preserve">Fogamzóképes korú nőknek fontolóra kell venniük </w:t>
      </w:r>
      <w:r w:rsidR="00365CB4" w:rsidRPr="00183B5F">
        <w:rPr>
          <w:szCs w:val="22"/>
        </w:rPr>
        <w:t>egy</w:t>
      </w:r>
      <w:r w:rsidRPr="00183B5F">
        <w:rPr>
          <w:szCs w:val="22"/>
        </w:rPr>
        <w:t xml:space="preserve"> megfelelő fogamzásgátlás</w:t>
      </w:r>
      <w:r w:rsidR="00365CB4" w:rsidRPr="00183B5F">
        <w:rPr>
          <w:szCs w:val="22"/>
        </w:rPr>
        <w:t xml:space="preserve"> alkalmazását</w:t>
      </w:r>
      <w:r w:rsidRPr="00183B5F">
        <w:rPr>
          <w:szCs w:val="22"/>
        </w:rPr>
        <w:t xml:space="preserve">, és </w:t>
      </w:r>
      <w:r w:rsidR="00365CB4" w:rsidRPr="00183B5F">
        <w:rPr>
          <w:szCs w:val="22"/>
        </w:rPr>
        <w:t>az</w:t>
      </w:r>
      <w:r w:rsidRPr="00183B5F">
        <w:rPr>
          <w:szCs w:val="22"/>
        </w:rPr>
        <w:t xml:space="preserve"> alkalmazás</w:t>
      </w:r>
      <w:r w:rsidR="00365CB4" w:rsidRPr="00183B5F">
        <w:rPr>
          <w:szCs w:val="22"/>
        </w:rPr>
        <w:t xml:space="preserve"> folytatását</w:t>
      </w:r>
      <w:r w:rsidRPr="00183B5F">
        <w:rPr>
          <w:szCs w:val="22"/>
        </w:rPr>
        <w:t xml:space="preserve"> az utolsó Humira</w:t>
      </w:r>
      <w:r w:rsidRPr="00183B5F">
        <w:rPr>
          <w:szCs w:val="22"/>
        </w:rPr>
        <w:noBreakHyphen/>
        <w:t>kezelés után legalább öt hónapon keresztül.</w:t>
      </w:r>
    </w:p>
    <w:p w14:paraId="20FB0E30" w14:textId="77777777" w:rsidR="004B37B2" w:rsidRPr="00183B5F" w:rsidRDefault="004B37B2" w:rsidP="004B37B2">
      <w:pPr>
        <w:spacing w:line="240" w:lineRule="auto"/>
      </w:pPr>
    </w:p>
    <w:p w14:paraId="5A5C03C1" w14:textId="77777777" w:rsidR="004B37B2" w:rsidRPr="00183B5F" w:rsidRDefault="00943743" w:rsidP="004B37B2">
      <w:pPr>
        <w:keepNext/>
        <w:spacing w:line="240" w:lineRule="auto"/>
        <w:rPr>
          <w:szCs w:val="22"/>
          <w:u w:val="single"/>
        </w:rPr>
      </w:pPr>
      <w:r w:rsidRPr="00183B5F">
        <w:rPr>
          <w:szCs w:val="22"/>
          <w:u w:val="single"/>
        </w:rPr>
        <w:t>Terhesség</w:t>
      </w:r>
    </w:p>
    <w:p w14:paraId="1708E56C" w14:textId="77777777" w:rsidR="004B37B2" w:rsidRPr="00183B5F" w:rsidRDefault="004B37B2" w:rsidP="004B37B2">
      <w:pPr>
        <w:keepNext/>
        <w:spacing w:line="240" w:lineRule="auto"/>
        <w:rPr>
          <w:szCs w:val="22"/>
          <w:u w:val="single"/>
        </w:rPr>
      </w:pPr>
    </w:p>
    <w:p w14:paraId="4B561FB3" w14:textId="77777777" w:rsidR="004B37B2" w:rsidRPr="00183B5F" w:rsidRDefault="00943743" w:rsidP="004B37B2">
      <w:pPr>
        <w:keepNext/>
        <w:spacing w:line="240" w:lineRule="auto"/>
        <w:rPr>
          <w:szCs w:val="22"/>
        </w:rPr>
      </w:pPr>
      <w:r w:rsidRPr="00183B5F">
        <w:rPr>
          <w:szCs w:val="22"/>
        </w:rPr>
        <w:t>Nagy számú (körülbelül 2100), adalimumab</w:t>
      </w:r>
      <w:r w:rsidR="00365CB4" w:rsidRPr="00183B5F">
        <w:rPr>
          <w:szCs w:val="22"/>
        </w:rPr>
        <w:noBreakHyphen/>
      </w:r>
      <w:r w:rsidRPr="00183B5F">
        <w:rPr>
          <w:szCs w:val="22"/>
        </w:rPr>
        <w:t xml:space="preserve">expozíciónak kitett, ismert kimenetelű, élve születéssel végződő terhesség prospektív módon gyűjtött adatai </w:t>
      </w:r>
      <w:r w:rsidR="00EC4188" w:rsidRPr="00183B5F">
        <w:rPr>
          <w:szCs w:val="22"/>
        </w:rPr>
        <w:t>–</w:t>
      </w:r>
      <w:r w:rsidRPr="00183B5F">
        <w:rPr>
          <w:szCs w:val="22"/>
        </w:rPr>
        <w:t xml:space="preserve"> beleértve több mint 1500 esetet, mikor az első trimeszterben alkalmazták az adalimumabot – nem igazolták a rendellenességek arányának növekedését az újszülöttek</w:t>
      </w:r>
      <w:r w:rsidR="00365CB4" w:rsidRPr="00183B5F">
        <w:rPr>
          <w:szCs w:val="22"/>
        </w:rPr>
        <w:t>nél</w:t>
      </w:r>
      <w:r w:rsidRPr="00183B5F">
        <w:rPr>
          <w:szCs w:val="22"/>
        </w:rPr>
        <w:t>.</w:t>
      </w:r>
    </w:p>
    <w:p w14:paraId="420AEA19" w14:textId="77777777" w:rsidR="004B37B2" w:rsidRPr="00183B5F" w:rsidRDefault="004B37B2" w:rsidP="00E87C31">
      <w:pPr>
        <w:spacing w:line="240" w:lineRule="auto"/>
        <w:rPr>
          <w:szCs w:val="22"/>
        </w:rPr>
      </w:pPr>
    </w:p>
    <w:p w14:paraId="37C39347" w14:textId="77777777" w:rsidR="004B37B2" w:rsidRPr="00183B5F" w:rsidRDefault="00943743" w:rsidP="00E87C31">
      <w:pPr>
        <w:spacing w:line="240" w:lineRule="auto"/>
        <w:rPr>
          <w:szCs w:val="22"/>
        </w:rPr>
      </w:pPr>
      <w:r w:rsidRPr="00183B5F">
        <w:rPr>
          <w:szCs w:val="22"/>
        </w:rPr>
        <w:t>Egy prospektív kohorsz regiszterben 257, rheumatoid arthritisben (RA) vagy Crohn-betegségben (CD) szenvedő, a terhességük legalább első trimeszterében adalimumabbal kezelt nőt és 120, RA</w:t>
      </w:r>
      <w:r w:rsidRPr="00183B5F">
        <w:rPr>
          <w:szCs w:val="22"/>
        </w:rPr>
        <w:noBreakHyphen/>
        <w:t>ban vagy Crohn-betegségben szenvedő, adalimumabbal nem kezelt nőt vizsgáltak. Az elsődleges végpont a major születési rendellenesség születéskori prevalenciája volt. Azo</w:t>
      </w:r>
      <w:r w:rsidR="00C3365C" w:rsidRPr="00183B5F">
        <w:rPr>
          <w:szCs w:val="22"/>
        </w:rPr>
        <w:t xml:space="preserve">knak a </w:t>
      </w:r>
      <w:r w:rsidRPr="00183B5F">
        <w:rPr>
          <w:szCs w:val="22"/>
        </w:rPr>
        <w:t xml:space="preserve"> terhességek</w:t>
      </w:r>
      <w:r w:rsidR="00C3365C" w:rsidRPr="00183B5F">
        <w:rPr>
          <w:szCs w:val="22"/>
        </w:rPr>
        <w:t>nek az</w:t>
      </w:r>
      <w:r w:rsidRPr="00183B5F">
        <w:rPr>
          <w:szCs w:val="22"/>
        </w:rPr>
        <w:t xml:space="preserve"> aránya, amelyek kimenetele legalább egy, major fejlődési rendellenességgel élve született csecsemő volt, 6/69 (8,7%) volt az adalimumab-kezelésben részesült RA-s nőknél</w:t>
      </w:r>
      <w:r w:rsidR="00C3365C" w:rsidRPr="00183B5F">
        <w:rPr>
          <w:szCs w:val="22"/>
        </w:rPr>
        <w:t>,</w:t>
      </w:r>
      <w:r w:rsidRPr="00183B5F">
        <w:rPr>
          <w:szCs w:val="22"/>
        </w:rPr>
        <w:t xml:space="preserve"> és 5/74 (6,8%) volt a nem kezelt RA-s nőknél (nem korrigált OR: 1,31; 95%</w:t>
      </w:r>
      <w:r w:rsidR="007817FB" w:rsidRPr="00183B5F">
        <w:rPr>
          <w:szCs w:val="22"/>
        </w:rPr>
        <w:noBreakHyphen/>
        <w:t>os</w:t>
      </w:r>
      <w:r w:rsidRPr="00183B5F">
        <w:rPr>
          <w:szCs w:val="22"/>
        </w:rPr>
        <w:t xml:space="preserve"> </w:t>
      </w:r>
      <w:r w:rsidR="00EC4188" w:rsidRPr="00183B5F">
        <w:rPr>
          <w:szCs w:val="22"/>
        </w:rPr>
        <w:t>konfidencia intervallum [CI]</w:t>
      </w:r>
      <w:r w:rsidRPr="00183B5F">
        <w:rPr>
          <w:szCs w:val="22"/>
        </w:rPr>
        <w:t>: 0,38-4,52), továbbá 16/152 (10,5%) volt</w:t>
      </w:r>
      <w:r w:rsidRPr="00183B5F">
        <w:rPr>
          <w:szCs w:val="22"/>
        </w:rPr>
        <w:t xml:space="preserve"> az adalimumab</w:t>
      </w:r>
      <w:r w:rsidRPr="00183B5F">
        <w:rPr>
          <w:szCs w:val="22"/>
        </w:rPr>
        <w:noBreakHyphen/>
        <w:t>kezelésben részesült Crohn</w:t>
      </w:r>
      <w:r w:rsidRPr="00183B5F">
        <w:rPr>
          <w:szCs w:val="22"/>
        </w:rPr>
        <w:noBreakHyphen/>
        <w:t>beteg nőknél</w:t>
      </w:r>
      <w:r w:rsidR="00C3365C" w:rsidRPr="00183B5F">
        <w:rPr>
          <w:szCs w:val="22"/>
        </w:rPr>
        <w:t>,</w:t>
      </w:r>
      <w:r w:rsidRPr="00183B5F">
        <w:rPr>
          <w:szCs w:val="22"/>
        </w:rPr>
        <w:t xml:space="preserve"> és 3/32 (9,4%) volt a nem kezelt Crohn</w:t>
      </w:r>
      <w:r w:rsidRPr="00183B5F">
        <w:rPr>
          <w:szCs w:val="22"/>
        </w:rPr>
        <w:noBreakHyphen/>
        <w:t>beteg nőknél (nem korrigált OR: 1,14; 95%</w:t>
      </w:r>
      <w:r w:rsidR="007817FB" w:rsidRPr="00183B5F">
        <w:rPr>
          <w:szCs w:val="22"/>
        </w:rPr>
        <w:noBreakHyphen/>
        <w:t>os</w:t>
      </w:r>
      <w:r w:rsidRPr="00183B5F">
        <w:rPr>
          <w:szCs w:val="22"/>
        </w:rPr>
        <w:t xml:space="preserve"> CI: 0,31-4,16). A korrigált OR (a kiindulási különbségeket tekintetbe véve) 1,10 volt (95%</w:t>
      </w:r>
      <w:r w:rsidR="00E92B20" w:rsidRPr="00183B5F">
        <w:rPr>
          <w:szCs w:val="22"/>
        </w:rPr>
        <w:t>-</w:t>
      </w:r>
      <w:r w:rsidR="000B1238" w:rsidRPr="00183B5F">
        <w:rPr>
          <w:szCs w:val="22"/>
        </w:rPr>
        <w:t>os</w:t>
      </w:r>
      <w:r w:rsidRPr="00183B5F">
        <w:rPr>
          <w:szCs w:val="22"/>
        </w:rPr>
        <w:t xml:space="preserve"> CI: 0,45-2,73) együttesen RA-ban és </w:t>
      </w:r>
      <w:r w:rsidR="00C3365C" w:rsidRPr="00183B5F">
        <w:rPr>
          <w:szCs w:val="22"/>
        </w:rPr>
        <w:t>Crohn</w:t>
      </w:r>
      <w:r w:rsidR="00C3365C" w:rsidRPr="00183B5F">
        <w:rPr>
          <w:szCs w:val="22"/>
        </w:rPr>
        <w:noBreakHyphen/>
        <w:t>betegség</w:t>
      </w:r>
      <w:r w:rsidRPr="00183B5F">
        <w:rPr>
          <w:szCs w:val="22"/>
        </w:rPr>
        <w:t>ben. Nem volt határozott különbség az adalimumabbal kezelt és nem kezelt nők esetében a másodlagos végpontokban, amelyek a spontán abortusz, a minor születési rendellenességek, a koraszülés, a kis születési súly és a súlyos vagy</w:t>
      </w:r>
      <w:r w:rsidRPr="00183B5F">
        <w:rPr>
          <w:szCs w:val="22"/>
        </w:rPr>
        <w:t xml:space="preserve"> opportunista fertőzések voltak, és nem jelentettek halvaszületést vagy rosszindulatú daganat kialakulást sem. Az adatok értelmezésére hatással lehetnek a regiszter módszertani korlátai, beleértve a kis mintaszámot és a nem</w:t>
      </w:r>
      <w:r w:rsidR="003D6EEE" w:rsidRPr="00183B5F">
        <w:rPr>
          <w:szCs w:val="22"/>
        </w:rPr>
        <w:t xml:space="preserve"> </w:t>
      </w:r>
      <w:r w:rsidRPr="00183B5F">
        <w:rPr>
          <w:szCs w:val="22"/>
        </w:rPr>
        <w:t>randomizált elrendezést.</w:t>
      </w:r>
    </w:p>
    <w:p w14:paraId="64F5EE98" w14:textId="77777777" w:rsidR="004B37B2" w:rsidRPr="00183B5F" w:rsidRDefault="004B37B2" w:rsidP="004B37B2">
      <w:pPr>
        <w:spacing w:line="240" w:lineRule="auto"/>
        <w:rPr>
          <w:szCs w:val="22"/>
        </w:rPr>
      </w:pPr>
    </w:p>
    <w:p w14:paraId="49CF3B53" w14:textId="77777777" w:rsidR="004B37B2" w:rsidRPr="00183B5F" w:rsidRDefault="00943743" w:rsidP="004B37B2">
      <w:pPr>
        <w:spacing w:line="240" w:lineRule="auto"/>
        <w:rPr>
          <w:szCs w:val="22"/>
        </w:rPr>
      </w:pPr>
      <w:r w:rsidRPr="00183B5F">
        <w:rPr>
          <w:szCs w:val="22"/>
        </w:rPr>
        <w:t>Majmokban végzett fejlődés toxicitási vizsgálat során anyai, illetve embriótoxicitásra vagy teratogenitásra utaló eltérést nem észleltek. Az adalimumab postnatalis toxicitást okozó hatására vonatkozó preklinikai adatok nem állnak rendelkezésre (lásd 5.3 pont).</w:t>
      </w:r>
    </w:p>
    <w:p w14:paraId="2E23AD87" w14:textId="77777777" w:rsidR="004B37B2" w:rsidRPr="00183B5F" w:rsidRDefault="004B37B2" w:rsidP="004B37B2">
      <w:pPr>
        <w:spacing w:line="240" w:lineRule="auto"/>
        <w:rPr>
          <w:szCs w:val="22"/>
        </w:rPr>
      </w:pPr>
    </w:p>
    <w:p w14:paraId="29C4EDBC" w14:textId="77777777" w:rsidR="004B37B2" w:rsidRPr="00183B5F" w:rsidRDefault="00943743" w:rsidP="004B37B2">
      <w:pPr>
        <w:spacing w:line="240" w:lineRule="auto"/>
        <w:rPr>
          <w:szCs w:val="22"/>
        </w:rPr>
      </w:pPr>
      <w:r w:rsidRPr="00183B5F">
        <w:rPr>
          <w:szCs w:val="22"/>
        </w:rPr>
        <w:t>A TNF</w:t>
      </w:r>
      <w:r w:rsidRPr="00183B5F">
        <w:rPr>
          <w:szCs w:val="22"/>
        </w:rPr>
        <w:noBreakHyphen/>
        <w:t>alfa</w:t>
      </w:r>
      <w:r w:rsidR="00C15375" w:rsidRPr="00183B5F">
        <w:rPr>
          <w:szCs w:val="22"/>
        </w:rPr>
        <w:t>-</w:t>
      </w:r>
      <w:r w:rsidRPr="00183B5F">
        <w:rPr>
          <w:szCs w:val="22"/>
        </w:rPr>
        <w:t>gátlást okozó hatása miatt a terhesség alatt adott adalimumab befolyásolhatja az újszülött normális immunreakcióit. Az adalimumab csak akkor alkalmazható terhesség alatt, ha egyértelműen szükséges.</w:t>
      </w:r>
    </w:p>
    <w:p w14:paraId="02E10909" w14:textId="77777777" w:rsidR="004B37B2" w:rsidRPr="00183B5F" w:rsidRDefault="004B37B2" w:rsidP="004B37B2">
      <w:pPr>
        <w:spacing w:line="240" w:lineRule="auto"/>
        <w:rPr>
          <w:b/>
          <w:szCs w:val="22"/>
        </w:rPr>
      </w:pPr>
    </w:p>
    <w:p w14:paraId="0E24598B" w14:textId="77777777" w:rsidR="004B37B2" w:rsidRPr="00183B5F" w:rsidRDefault="00943743" w:rsidP="004B37B2">
      <w:pPr>
        <w:spacing w:line="240" w:lineRule="auto"/>
        <w:rPr>
          <w:szCs w:val="22"/>
        </w:rPr>
      </w:pPr>
      <w:r w:rsidRPr="00183B5F">
        <w:rPr>
          <w:szCs w:val="22"/>
        </w:rPr>
        <w:t>A terhesség alatt adalimumabbal kezelt nőknél az adalimumab a placentán átjutva bekerülhet a csecsemő szérumába. Emiatt ezeknél a csecsemőknél fokozott a fertőzések kialakulásának a kockázata. Az intrauterin adalimumab-expozíciónak kitett csecsemőknél az anya által a terhesség alatt kapott utolsó adalimumab</w:t>
      </w:r>
      <w:r w:rsidR="00626979" w:rsidRPr="00183B5F">
        <w:rPr>
          <w:szCs w:val="22"/>
        </w:rPr>
        <w:t>-</w:t>
      </w:r>
      <w:r w:rsidRPr="00183B5F">
        <w:rPr>
          <w:szCs w:val="22"/>
        </w:rPr>
        <w:t>injekció után 5 hónapig nem ajánlott az élő kórokozót tartalmazó védőoltás (pl. BCG</w:t>
      </w:r>
      <w:r w:rsidR="00C15375" w:rsidRPr="00183B5F">
        <w:rPr>
          <w:szCs w:val="22"/>
        </w:rPr>
        <w:t>-</w:t>
      </w:r>
      <w:r w:rsidRPr="00183B5F">
        <w:rPr>
          <w:szCs w:val="22"/>
        </w:rPr>
        <w:t>oltás) adása.</w:t>
      </w:r>
    </w:p>
    <w:p w14:paraId="238BD09D" w14:textId="77777777" w:rsidR="004B37B2" w:rsidRPr="00183B5F" w:rsidRDefault="004B37B2" w:rsidP="004B37B2">
      <w:pPr>
        <w:spacing w:line="240" w:lineRule="auto"/>
        <w:rPr>
          <w:szCs w:val="22"/>
        </w:rPr>
      </w:pPr>
    </w:p>
    <w:p w14:paraId="45CEDA78" w14:textId="77777777" w:rsidR="004B37B2" w:rsidRPr="00183B5F" w:rsidRDefault="00943743" w:rsidP="004B37B2">
      <w:pPr>
        <w:keepNext/>
        <w:spacing w:line="240" w:lineRule="auto"/>
        <w:rPr>
          <w:szCs w:val="22"/>
          <w:u w:val="single"/>
        </w:rPr>
      </w:pPr>
      <w:r w:rsidRPr="00183B5F">
        <w:rPr>
          <w:szCs w:val="22"/>
          <w:u w:val="single"/>
        </w:rPr>
        <w:t>Szoptatás</w:t>
      </w:r>
    </w:p>
    <w:p w14:paraId="2BA019B8" w14:textId="77777777" w:rsidR="004B37B2" w:rsidRPr="00183B5F" w:rsidRDefault="004B37B2" w:rsidP="004B37B2">
      <w:pPr>
        <w:keepNext/>
        <w:spacing w:line="240" w:lineRule="auto"/>
        <w:rPr>
          <w:b/>
          <w:szCs w:val="22"/>
        </w:rPr>
      </w:pPr>
    </w:p>
    <w:p w14:paraId="38075F71" w14:textId="77777777" w:rsidR="004B37B2" w:rsidRPr="00183B5F" w:rsidRDefault="00943743" w:rsidP="00E87C31">
      <w:pPr>
        <w:rPr>
          <w:szCs w:val="22"/>
        </w:rPr>
      </w:pPr>
      <w:r w:rsidRPr="00183B5F">
        <w:rPr>
          <w:szCs w:val="22"/>
        </w:rPr>
        <w:t>A szakirodalomban közzétett korlátozott mennyiségű információ alapján az adalimumab nagyon kis koncentrációban kiválasztódik az anyatejbe, az anyai szérumszint 0,1</w:t>
      </w:r>
      <w:r w:rsidRPr="00183B5F">
        <w:rPr>
          <w:szCs w:val="22"/>
        </w:rPr>
        <w:noBreakHyphen/>
        <w:t>1%</w:t>
      </w:r>
      <w:r w:rsidRPr="00183B5F">
        <w:rPr>
          <w:szCs w:val="22"/>
        </w:rPr>
        <w:noBreakHyphen/>
        <w:t>ában van jelen. Szájon át adva, az immunglobulin G</w:t>
      </w:r>
      <w:r w:rsidR="0029612D" w:rsidRPr="00183B5F">
        <w:rPr>
          <w:szCs w:val="22"/>
        </w:rPr>
        <w:t>-</w:t>
      </w:r>
      <w:r w:rsidRPr="00183B5F">
        <w:rPr>
          <w:szCs w:val="22"/>
        </w:rPr>
        <w:t>fehérjék intestin</w:t>
      </w:r>
      <w:r w:rsidR="00C3365C" w:rsidRPr="00183B5F">
        <w:rPr>
          <w:szCs w:val="22"/>
        </w:rPr>
        <w:t>a</w:t>
      </w:r>
      <w:r w:rsidRPr="00183B5F">
        <w:rPr>
          <w:szCs w:val="22"/>
        </w:rPr>
        <w:t>lis proteolízist szenvednek</w:t>
      </w:r>
      <w:r w:rsidR="00C3365C" w:rsidRPr="00183B5F">
        <w:rPr>
          <w:szCs w:val="22"/>
        </w:rPr>
        <w:t>,</w:t>
      </w:r>
      <w:r w:rsidRPr="00183B5F">
        <w:rPr>
          <w:szCs w:val="22"/>
        </w:rPr>
        <w:t xml:space="preserve"> és a biohasznosulásuk csekély. </w:t>
      </w:r>
      <w:r w:rsidR="00C3365C" w:rsidRPr="00183B5F">
        <w:rPr>
          <w:szCs w:val="22"/>
        </w:rPr>
        <w:t>N</w:t>
      </w:r>
      <w:r w:rsidRPr="00183B5F">
        <w:rPr>
          <w:szCs w:val="22"/>
        </w:rPr>
        <w:t>em várható</w:t>
      </w:r>
      <w:r w:rsidR="00C3365C" w:rsidRPr="00183B5F">
        <w:rPr>
          <w:szCs w:val="22"/>
        </w:rPr>
        <w:t>ak</w:t>
      </w:r>
      <w:r w:rsidRPr="00183B5F">
        <w:rPr>
          <w:szCs w:val="22"/>
        </w:rPr>
        <w:t xml:space="preserve"> a szoptatott újszülöttekre/csecsemőkre </w:t>
      </w:r>
      <w:r w:rsidR="00C3365C" w:rsidRPr="00183B5F">
        <w:rPr>
          <w:szCs w:val="22"/>
        </w:rPr>
        <w:t>gyakorolt hatások</w:t>
      </w:r>
      <w:r w:rsidRPr="00183B5F">
        <w:rPr>
          <w:szCs w:val="22"/>
        </w:rPr>
        <w:t>. Következésképpen a Humira alkalmazható szoptatás alatt.</w:t>
      </w:r>
    </w:p>
    <w:p w14:paraId="0DE5435A" w14:textId="77777777" w:rsidR="004B37B2" w:rsidRPr="00183B5F" w:rsidRDefault="004B37B2" w:rsidP="004B37B2">
      <w:pPr>
        <w:spacing w:line="240" w:lineRule="auto"/>
        <w:rPr>
          <w:b/>
          <w:szCs w:val="22"/>
        </w:rPr>
      </w:pPr>
    </w:p>
    <w:p w14:paraId="2F558A3F" w14:textId="77777777" w:rsidR="004B37B2" w:rsidRPr="00183B5F" w:rsidRDefault="00943743" w:rsidP="004B37B2">
      <w:pPr>
        <w:keepNext/>
        <w:spacing w:line="240" w:lineRule="auto"/>
        <w:rPr>
          <w:szCs w:val="22"/>
          <w:u w:val="single"/>
        </w:rPr>
      </w:pPr>
      <w:r w:rsidRPr="00183B5F">
        <w:rPr>
          <w:szCs w:val="22"/>
          <w:u w:val="single"/>
        </w:rPr>
        <w:t>Termékenység</w:t>
      </w:r>
    </w:p>
    <w:p w14:paraId="7FA54F5A" w14:textId="77777777" w:rsidR="004B37B2" w:rsidRPr="00183B5F" w:rsidRDefault="004B37B2" w:rsidP="004B37B2">
      <w:pPr>
        <w:keepNext/>
        <w:spacing w:line="240" w:lineRule="auto"/>
        <w:rPr>
          <w:szCs w:val="22"/>
        </w:rPr>
      </w:pPr>
    </w:p>
    <w:p w14:paraId="03E21FF1" w14:textId="77777777" w:rsidR="004B37B2" w:rsidRPr="00183B5F" w:rsidRDefault="00943743" w:rsidP="004B37B2">
      <w:pPr>
        <w:spacing w:line="240" w:lineRule="auto"/>
        <w:rPr>
          <w:szCs w:val="22"/>
        </w:rPr>
      </w:pPr>
      <w:r w:rsidRPr="00183B5F">
        <w:rPr>
          <w:szCs w:val="22"/>
        </w:rPr>
        <w:t>Nem áll rendelkezésre preklinikai adat az adalimumab termékenységre gyakorolt hatásával kapcsolatban.</w:t>
      </w:r>
    </w:p>
    <w:p w14:paraId="14F017ED" w14:textId="77777777" w:rsidR="004B37B2" w:rsidRPr="00183B5F" w:rsidRDefault="004B37B2" w:rsidP="004B37B2">
      <w:pPr>
        <w:spacing w:line="240" w:lineRule="auto"/>
        <w:rPr>
          <w:b/>
          <w:szCs w:val="22"/>
        </w:rPr>
      </w:pPr>
    </w:p>
    <w:p w14:paraId="59D29B7D" w14:textId="77777777" w:rsidR="00764497" w:rsidRPr="00183B5F" w:rsidRDefault="00943743" w:rsidP="004B37B2">
      <w:pPr>
        <w:spacing w:line="240" w:lineRule="auto"/>
        <w:rPr>
          <w:b/>
          <w:szCs w:val="22"/>
        </w:rPr>
      </w:pPr>
      <w:r w:rsidRPr="00183B5F">
        <w:rPr>
          <w:b/>
          <w:szCs w:val="22"/>
        </w:rPr>
        <w:t>4.7</w:t>
      </w:r>
      <w:r w:rsidRPr="00183B5F">
        <w:rPr>
          <w:b/>
          <w:szCs w:val="22"/>
        </w:rPr>
        <w:tab/>
        <w:t>A készítmény hatásai a gépjárművezetéshez és a gépek kezeléséhez szükséges képességekre</w:t>
      </w:r>
    </w:p>
    <w:p w14:paraId="7FA3F3AE" w14:textId="77777777" w:rsidR="00764497" w:rsidRPr="00183B5F" w:rsidRDefault="00764497" w:rsidP="004062FE">
      <w:pPr>
        <w:spacing w:line="240" w:lineRule="auto"/>
        <w:rPr>
          <w:b/>
          <w:szCs w:val="22"/>
        </w:rPr>
      </w:pPr>
    </w:p>
    <w:p w14:paraId="4FC86248" w14:textId="77777777" w:rsidR="00764497" w:rsidRPr="00183B5F" w:rsidRDefault="00943743" w:rsidP="004062FE">
      <w:pPr>
        <w:spacing w:line="240" w:lineRule="auto"/>
        <w:rPr>
          <w:szCs w:val="22"/>
        </w:rPr>
      </w:pPr>
      <w:r w:rsidRPr="00183B5F">
        <w:rPr>
          <w:szCs w:val="22"/>
        </w:rPr>
        <w:t xml:space="preserve">A Humira csekély mértékben befolyásolhatja a gépjárművezetéshez és a gépek </w:t>
      </w:r>
      <w:r w:rsidRPr="00183B5F">
        <w:rPr>
          <w:noProof/>
          <w:szCs w:val="22"/>
        </w:rPr>
        <w:t>kezeléséhez</w:t>
      </w:r>
      <w:r w:rsidRPr="00183B5F">
        <w:rPr>
          <w:szCs w:val="22"/>
        </w:rPr>
        <w:t xml:space="preserve"> szükséges képességeket. A Humira alkalmazását követően vertigo és látásromlás fordulhat elő (lásd 4.8 pont).</w:t>
      </w:r>
    </w:p>
    <w:p w14:paraId="556F3899" w14:textId="77777777" w:rsidR="00764497" w:rsidRPr="00183B5F" w:rsidRDefault="00764497" w:rsidP="004062FE">
      <w:pPr>
        <w:spacing w:line="240" w:lineRule="auto"/>
        <w:rPr>
          <w:b/>
          <w:szCs w:val="22"/>
        </w:rPr>
      </w:pPr>
    </w:p>
    <w:p w14:paraId="26DB3A9F" w14:textId="77777777" w:rsidR="00764497" w:rsidRPr="00183B5F" w:rsidRDefault="00943743" w:rsidP="004062FE">
      <w:pPr>
        <w:keepNext/>
        <w:spacing w:line="240" w:lineRule="auto"/>
        <w:rPr>
          <w:b/>
          <w:szCs w:val="22"/>
        </w:rPr>
      </w:pPr>
      <w:r w:rsidRPr="00183B5F">
        <w:rPr>
          <w:b/>
          <w:szCs w:val="22"/>
        </w:rPr>
        <w:t>4.8</w:t>
      </w:r>
      <w:r w:rsidRPr="00183B5F">
        <w:rPr>
          <w:b/>
          <w:szCs w:val="22"/>
        </w:rPr>
        <w:tab/>
        <w:t>Nemkívánatos hatások, mellékhatások</w:t>
      </w:r>
    </w:p>
    <w:p w14:paraId="4364B4F6" w14:textId="77777777" w:rsidR="00764497" w:rsidRPr="00183B5F" w:rsidRDefault="00764497" w:rsidP="004062FE">
      <w:pPr>
        <w:keepNext/>
        <w:spacing w:line="240" w:lineRule="auto"/>
        <w:rPr>
          <w:b/>
          <w:szCs w:val="22"/>
        </w:rPr>
      </w:pPr>
    </w:p>
    <w:p w14:paraId="097F1AFC" w14:textId="77777777" w:rsidR="00764497" w:rsidRPr="00183B5F" w:rsidRDefault="00943743" w:rsidP="004062FE">
      <w:pPr>
        <w:keepNext/>
        <w:spacing w:line="240" w:lineRule="auto"/>
        <w:rPr>
          <w:szCs w:val="22"/>
          <w:u w:val="single"/>
        </w:rPr>
      </w:pPr>
      <w:r w:rsidRPr="00183B5F">
        <w:rPr>
          <w:szCs w:val="22"/>
          <w:u w:val="single"/>
        </w:rPr>
        <w:t>A biztonságossági profil összefoglalása</w:t>
      </w:r>
    </w:p>
    <w:p w14:paraId="6C3AF250" w14:textId="77777777" w:rsidR="00764497" w:rsidRPr="00183B5F" w:rsidRDefault="00764497" w:rsidP="004062FE">
      <w:pPr>
        <w:keepNext/>
        <w:spacing w:line="240" w:lineRule="auto"/>
        <w:rPr>
          <w:b/>
          <w:szCs w:val="22"/>
        </w:rPr>
      </w:pPr>
    </w:p>
    <w:p w14:paraId="2C6ECCD1" w14:textId="77777777" w:rsidR="00764497" w:rsidRPr="00183B5F" w:rsidRDefault="00943743" w:rsidP="004062FE">
      <w:pPr>
        <w:spacing w:line="240" w:lineRule="auto"/>
        <w:rPr>
          <w:szCs w:val="22"/>
        </w:rPr>
      </w:pPr>
      <w:r w:rsidRPr="00183B5F">
        <w:rPr>
          <w:szCs w:val="22"/>
        </w:rPr>
        <w:t>A Humira</w:t>
      </w:r>
      <w:r w:rsidRPr="00183B5F">
        <w:rPr>
          <w:szCs w:val="22"/>
        </w:rPr>
        <w:noBreakHyphen/>
      </w:r>
      <w:r w:rsidRPr="00183B5F">
        <w:rPr>
          <w:szCs w:val="22"/>
        </w:rPr>
        <w:t xml:space="preserve">t 9506 beteg bevonásával tanulmányozták pivotális, kontrollos és nyílt vizsgálatokban, 60 hónapig vagy még tovább. Ezekbe a vizsgálatokba rövidebb vagy hosszabb ideje rheumatoid arthritisben, juvenilis idiopathiás arthritisben (polyarticularis juvenilis idiopathiás arthritisben és </w:t>
      </w:r>
      <w:r w:rsidR="00677908" w:rsidRPr="00183B5F">
        <w:rPr>
          <w:szCs w:val="22"/>
        </w:rPr>
        <w:t>enthesitis-asszociált</w:t>
      </w:r>
      <w:r w:rsidRPr="00183B5F">
        <w:rPr>
          <w:szCs w:val="22"/>
        </w:rPr>
        <w:t xml:space="preserve"> arthritisben), valamint axialis spondyloarthritisben (spondylitis ankylopoeticában és </w:t>
      </w:r>
      <w:r w:rsidRPr="00183B5F">
        <w:rPr>
          <w:rFonts w:eastAsia="SimSun"/>
          <w:szCs w:val="22"/>
          <w:lang w:eastAsia="zh-CN"/>
        </w:rPr>
        <w:t>a spondylitis ankylopoeticának (SPA) megfelelő röntgeneltéréssel nem járó</w:t>
      </w:r>
      <w:r w:rsidRPr="00183B5F">
        <w:rPr>
          <w:szCs w:val="22"/>
        </w:rPr>
        <w:t xml:space="preserve"> axiális spondyloarthritisben), arthritis psoriaticában, Crohn</w:t>
      </w:r>
      <w:r w:rsidRPr="00183B5F">
        <w:rPr>
          <w:szCs w:val="22"/>
        </w:rPr>
        <w:noBreakHyphen/>
        <w:t>betegségben, colitis ulcerosában, psoriasisban hidradenitis suppurativában és uveitisben szenvedő betegeket választottak be. A pivotális, kontrollos vizsgálatok, amelyek során 6089 beteg részesült Humira</w:t>
      </w:r>
      <w:r w:rsidRPr="00183B5F">
        <w:rPr>
          <w:szCs w:val="22"/>
        </w:rPr>
        <w:noBreakHyphen/>
        <w:t>kezelésben és 3801 beteg kapott placebót vagy aktív összehasonlító gyógyszert a kontrollos periódusban és a spontán jelentés során.</w:t>
      </w:r>
    </w:p>
    <w:p w14:paraId="31B43B2E" w14:textId="77777777" w:rsidR="00764497" w:rsidRPr="00183B5F" w:rsidRDefault="00764497">
      <w:pPr>
        <w:suppressAutoHyphens w:val="0"/>
        <w:spacing w:line="240" w:lineRule="auto"/>
        <w:rPr>
          <w:szCs w:val="22"/>
        </w:rPr>
      </w:pPr>
    </w:p>
    <w:p w14:paraId="6A4F1199" w14:textId="77777777" w:rsidR="00764497" w:rsidRPr="00183B5F" w:rsidRDefault="00943743" w:rsidP="004062FE">
      <w:pPr>
        <w:spacing w:line="240" w:lineRule="auto"/>
        <w:rPr>
          <w:szCs w:val="22"/>
        </w:rPr>
      </w:pPr>
      <w:r w:rsidRPr="00183B5F">
        <w:rPr>
          <w:szCs w:val="22"/>
        </w:rPr>
        <w:t xml:space="preserve">Azon betegek aránya, akik a pivotális vizsgálatok </w:t>
      </w:r>
      <w:r w:rsidR="00E5381A" w:rsidRPr="00183B5F">
        <w:rPr>
          <w:szCs w:val="22"/>
        </w:rPr>
        <w:t>kettős vak</w:t>
      </w:r>
      <w:r w:rsidRPr="00183B5F">
        <w:rPr>
          <w:szCs w:val="22"/>
        </w:rPr>
        <w:t>, kontrollos részében mellékhatások miatt abbahagyták a kezelést, a Humira</w:t>
      </w:r>
      <w:r w:rsidRPr="00183B5F">
        <w:rPr>
          <w:szCs w:val="22"/>
        </w:rPr>
        <w:noBreakHyphen/>
        <w:t>val kezelt betegcsoportban 5,9%, míg a kontroll kezelt betegeknél 5,4% volt.</w:t>
      </w:r>
    </w:p>
    <w:p w14:paraId="76631C21" w14:textId="77777777" w:rsidR="00764497" w:rsidRPr="00183B5F" w:rsidRDefault="00764497" w:rsidP="004062FE">
      <w:pPr>
        <w:spacing w:line="240" w:lineRule="auto"/>
        <w:rPr>
          <w:szCs w:val="22"/>
        </w:rPr>
      </w:pPr>
    </w:p>
    <w:p w14:paraId="533B205D" w14:textId="77777777" w:rsidR="00764497" w:rsidRPr="00183B5F" w:rsidRDefault="00943743" w:rsidP="004062FE">
      <w:pPr>
        <w:spacing w:line="240" w:lineRule="auto"/>
        <w:rPr>
          <w:szCs w:val="22"/>
        </w:rPr>
      </w:pPr>
      <w:r w:rsidRPr="00183B5F">
        <w:rPr>
          <w:szCs w:val="22"/>
        </w:rPr>
        <w:t>A leggyakoribb mellékhatások a fertőzések (mint pl. nasopharyngitis, felső légúti fertőzés és sinusitis), az injekció beadási helyén jelentkező reakciók (erythema, pruritus, suffusio, fájdalom vagy duzzanat), a fejfájás és a mozgásszervi eredetű fájdalom.</w:t>
      </w:r>
    </w:p>
    <w:p w14:paraId="1E556BB9" w14:textId="77777777" w:rsidR="00764497" w:rsidRPr="00183B5F" w:rsidRDefault="00764497" w:rsidP="004062FE">
      <w:pPr>
        <w:spacing w:line="240" w:lineRule="auto"/>
        <w:rPr>
          <w:szCs w:val="22"/>
        </w:rPr>
      </w:pPr>
    </w:p>
    <w:p w14:paraId="4E126D2D" w14:textId="77777777" w:rsidR="00764497" w:rsidRPr="00183B5F" w:rsidRDefault="00943743" w:rsidP="004062FE">
      <w:pPr>
        <w:spacing w:line="240" w:lineRule="auto"/>
        <w:rPr>
          <w:szCs w:val="22"/>
        </w:rPr>
      </w:pPr>
      <w:r w:rsidRPr="00183B5F">
        <w:rPr>
          <w:szCs w:val="22"/>
        </w:rPr>
        <w:t>Súlyos mellékhatásokról is beszámoltak a Humira alkalmazása során. A TNF</w:t>
      </w:r>
      <w:r w:rsidRPr="00183B5F">
        <w:rPr>
          <w:szCs w:val="22"/>
        </w:rPr>
        <w:noBreakHyphen/>
        <w:t>antagonisták, így a Humira is befolyásolja az immunrendszert, és alkalmazásuk megváltoztathatja a szervezet fertőzésekkel és daganatokkal szembeni védekező képességét.</w:t>
      </w:r>
    </w:p>
    <w:p w14:paraId="33F33070" w14:textId="77777777" w:rsidR="00764497" w:rsidRPr="00183B5F" w:rsidRDefault="00943743" w:rsidP="004062FE">
      <w:pPr>
        <w:spacing w:line="240" w:lineRule="auto"/>
        <w:rPr>
          <w:szCs w:val="22"/>
        </w:rPr>
      </w:pPr>
      <w:r w:rsidRPr="00183B5F">
        <w:rPr>
          <w:szCs w:val="22"/>
        </w:rPr>
        <w:t>A Humira alkalmazása során beszámoltak fatális és életveszélyes fertőzésekről (beleértve a szepszist, az oppurtunista fertőzést és a TBC</w:t>
      </w:r>
      <w:r w:rsidRPr="00183B5F">
        <w:rPr>
          <w:szCs w:val="22"/>
        </w:rPr>
        <w:noBreakHyphen/>
        <w:t>t), HBV</w:t>
      </w:r>
      <w:r w:rsidR="000A456B" w:rsidRPr="00183B5F">
        <w:rPr>
          <w:szCs w:val="22"/>
        </w:rPr>
        <w:t>-</w:t>
      </w:r>
      <w:r w:rsidRPr="00183B5F">
        <w:rPr>
          <w:szCs w:val="22"/>
        </w:rPr>
        <w:t>reaktiválódásról és különböző malignus betegségekről is (beleértve a leukaemiát, a lymphomát és hepatosplenicus T</w:t>
      </w:r>
      <w:r w:rsidRPr="00183B5F">
        <w:rPr>
          <w:szCs w:val="22"/>
        </w:rPr>
        <w:noBreakHyphen/>
        <w:t>sejtes lymphomát).</w:t>
      </w:r>
    </w:p>
    <w:p w14:paraId="13961168" w14:textId="77777777" w:rsidR="00764497" w:rsidRPr="00183B5F" w:rsidRDefault="00764497" w:rsidP="004062FE">
      <w:pPr>
        <w:spacing w:line="240" w:lineRule="auto"/>
        <w:rPr>
          <w:szCs w:val="22"/>
        </w:rPr>
      </w:pPr>
    </w:p>
    <w:p w14:paraId="7F2678A7" w14:textId="77777777" w:rsidR="00764497" w:rsidRPr="00183B5F" w:rsidRDefault="00943743" w:rsidP="004062FE">
      <w:pPr>
        <w:spacing w:line="240" w:lineRule="auto"/>
        <w:rPr>
          <w:szCs w:val="22"/>
        </w:rPr>
      </w:pPr>
      <w:r w:rsidRPr="00183B5F">
        <w:rPr>
          <w:szCs w:val="22"/>
        </w:rPr>
        <w:t xml:space="preserve">Súlyos </w:t>
      </w:r>
      <w:r w:rsidR="007817FB" w:rsidRPr="00183B5F">
        <w:rPr>
          <w:szCs w:val="22"/>
        </w:rPr>
        <w:t>haematológiai</w:t>
      </w:r>
      <w:r w:rsidRPr="00183B5F">
        <w:rPr>
          <w:szCs w:val="22"/>
        </w:rPr>
        <w:t>, neurológiai és autoimmun folyamatokról is beszámoltak, mint pl. pancytopenia, aplasticus anaemia, központi és perifériás demyelinisatiós betegségek néhány esete, lupus erythemato</w:t>
      </w:r>
      <w:r w:rsidR="00004B4F" w:rsidRPr="00183B5F">
        <w:rPr>
          <w:szCs w:val="22"/>
        </w:rPr>
        <w:t>sus</w:t>
      </w:r>
      <w:r w:rsidRPr="00183B5F">
        <w:rPr>
          <w:szCs w:val="22"/>
        </w:rPr>
        <w:t>, lupus</w:t>
      </w:r>
      <w:r w:rsidRPr="00183B5F">
        <w:rPr>
          <w:szCs w:val="22"/>
        </w:rPr>
        <w:noBreakHyphen/>
        <w:t>szal összefüggő betegségek és Stevens</w:t>
      </w:r>
      <w:r w:rsidR="00004B4F" w:rsidRPr="00183B5F">
        <w:rPr>
          <w:szCs w:val="22"/>
        </w:rPr>
        <w:t>–</w:t>
      </w:r>
      <w:r w:rsidRPr="00183B5F">
        <w:rPr>
          <w:szCs w:val="22"/>
        </w:rPr>
        <w:t>Johnson</w:t>
      </w:r>
      <w:r w:rsidR="00297FBD" w:rsidRPr="00183B5F">
        <w:rPr>
          <w:szCs w:val="22"/>
        </w:rPr>
        <w:t>-</w:t>
      </w:r>
      <w:r w:rsidRPr="00183B5F">
        <w:rPr>
          <w:szCs w:val="22"/>
        </w:rPr>
        <w:t>szindróma.</w:t>
      </w:r>
    </w:p>
    <w:p w14:paraId="01EF8F84" w14:textId="77777777" w:rsidR="00764497" w:rsidRPr="00183B5F" w:rsidRDefault="00764497" w:rsidP="004062FE">
      <w:pPr>
        <w:spacing w:line="240" w:lineRule="auto"/>
        <w:rPr>
          <w:szCs w:val="22"/>
        </w:rPr>
      </w:pPr>
    </w:p>
    <w:p w14:paraId="5E615D58" w14:textId="77777777" w:rsidR="00764497" w:rsidRPr="00183B5F" w:rsidRDefault="00943743" w:rsidP="004062FE">
      <w:pPr>
        <w:keepNext/>
        <w:spacing w:line="240" w:lineRule="auto"/>
        <w:rPr>
          <w:iCs/>
          <w:szCs w:val="22"/>
          <w:u w:val="single"/>
        </w:rPr>
      </w:pPr>
      <w:r w:rsidRPr="00183B5F">
        <w:rPr>
          <w:iCs/>
          <w:szCs w:val="22"/>
          <w:u w:val="single"/>
        </w:rPr>
        <w:t>Gyermekek és serdülők</w:t>
      </w:r>
    </w:p>
    <w:p w14:paraId="5846E11F" w14:textId="77777777" w:rsidR="00764497" w:rsidRPr="00183B5F" w:rsidRDefault="00764497" w:rsidP="004062FE">
      <w:pPr>
        <w:keepNext/>
        <w:spacing w:line="240" w:lineRule="auto"/>
        <w:rPr>
          <w:iCs/>
          <w:szCs w:val="22"/>
          <w:u w:val="single"/>
        </w:rPr>
      </w:pPr>
    </w:p>
    <w:p w14:paraId="32373F2D" w14:textId="77777777" w:rsidR="00764497" w:rsidRPr="00183B5F" w:rsidRDefault="00943743" w:rsidP="004062FE">
      <w:pPr>
        <w:spacing w:line="240" w:lineRule="auto"/>
        <w:rPr>
          <w:szCs w:val="22"/>
        </w:rPr>
      </w:pPr>
      <w:r w:rsidRPr="00183B5F">
        <w:rPr>
          <w:szCs w:val="22"/>
        </w:rPr>
        <w:t xml:space="preserve">Általában véve a </w:t>
      </w:r>
      <w:r w:rsidR="00004B4F" w:rsidRPr="00183B5F">
        <w:rPr>
          <w:szCs w:val="22"/>
        </w:rPr>
        <w:t>gyermekeknél és serdülőknél</w:t>
      </w:r>
      <w:r w:rsidRPr="00183B5F">
        <w:rPr>
          <w:szCs w:val="22"/>
        </w:rPr>
        <w:t xml:space="preserve"> megfigyelt nemkívánatos események gyakorisága és típusa hasonló volt azokhoz, mint amiket a felnőtt betegeknél észleltek.</w:t>
      </w:r>
    </w:p>
    <w:p w14:paraId="0C7F5DD1" w14:textId="77777777" w:rsidR="00764497" w:rsidRPr="00183B5F" w:rsidRDefault="00764497" w:rsidP="004062FE">
      <w:pPr>
        <w:spacing w:line="240" w:lineRule="auto"/>
        <w:rPr>
          <w:szCs w:val="22"/>
        </w:rPr>
      </w:pPr>
    </w:p>
    <w:p w14:paraId="0D3EE4CF" w14:textId="77777777" w:rsidR="00764497" w:rsidRPr="00183B5F" w:rsidRDefault="00943743" w:rsidP="004062FE">
      <w:pPr>
        <w:keepNext/>
        <w:spacing w:line="240" w:lineRule="auto"/>
        <w:rPr>
          <w:szCs w:val="22"/>
          <w:u w:val="single"/>
        </w:rPr>
      </w:pPr>
      <w:r w:rsidRPr="00183B5F">
        <w:rPr>
          <w:szCs w:val="22"/>
          <w:u w:val="single"/>
        </w:rPr>
        <w:t>A mellékhatások táblázatos felsorolása</w:t>
      </w:r>
    </w:p>
    <w:p w14:paraId="40DC906C" w14:textId="77777777" w:rsidR="00764497" w:rsidRPr="00183B5F" w:rsidRDefault="00764497" w:rsidP="004062FE">
      <w:pPr>
        <w:keepNext/>
        <w:spacing w:line="240" w:lineRule="auto"/>
        <w:rPr>
          <w:szCs w:val="22"/>
          <w:u w:val="single"/>
        </w:rPr>
      </w:pPr>
    </w:p>
    <w:p w14:paraId="689D540D" w14:textId="77777777" w:rsidR="00764497" w:rsidRPr="00183B5F" w:rsidRDefault="00943743" w:rsidP="004062FE">
      <w:pPr>
        <w:keepNext/>
        <w:spacing w:line="240" w:lineRule="auto"/>
        <w:rPr>
          <w:szCs w:val="22"/>
        </w:rPr>
      </w:pPr>
      <w:r w:rsidRPr="00183B5F">
        <w:rPr>
          <w:szCs w:val="22"/>
        </w:rPr>
        <w:t xml:space="preserve">A </w:t>
      </w:r>
      <w:r w:rsidR="00C50AE2" w:rsidRPr="00183B5F">
        <w:rPr>
          <w:szCs w:val="22"/>
        </w:rPr>
        <w:t>4</w:t>
      </w:r>
      <w:r w:rsidRPr="00183B5F">
        <w:rPr>
          <w:szCs w:val="22"/>
        </w:rPr>
        <w:t>. táblázatban a klinikai vizsgálatok során és a forgalomba hozatalt követően észlelt mellékhatások vannak szervrendszer és gyakoriság szerint felsorolva nagyon gyakori (≥ 1/10); gyakori (≥ 1/100 - </w:t>
      </w:r>
      <w:r w:rsidRPr="00183B5F">
        <w:rPr>
          <w:rFonts w:ascii="Symbol" w:hAnsi="Symbol"/>
          <w:szCs w:val="22"/>
        </w:rPr>
        <w:sym w:font="Symbol" w:char="F03C"/>
      </w:r>
      <w:r w:rsidRPr="00183B5F">
        <w:rPr>
          <w:szCs w:val="22"/>
        </w:rPr>
        <w:t> 1/10); nem gyakori (≥ 1/1000 - </w:t>
      </w:r>
      <w:r w:rsidRPr="00183B5F">
        <w:rPr>
          <w:rFonts w:ascii="Symbol" w:hAnsi="Symbol"/>
          <w:szCs w:val="22"/>
        </w:rPr>
        <w:sym w:font="Symbol" w:char="F0A3"/>
      </w:r>
      <w:r w:rsidRPr="00183B5F">
        <w:rPr>
          <w:szCs w:val="22"/>
        </w:rPr>
        <w:t> 1/100), ritka (</w:t>
      </w:r>
      <w:r w:rsidRPr="00183B5F">
        <w:rPr>
          <w:rFonts w:ascii="Symbol" w:hAnsi="Symbol"/>
        </w:rPr>
        <w:sym w:font="Symbol" w:char="F0B3"/>
      </w:r>
      <w:r w:rsidRPr="00183B5F">
        <w:rPr>
          <w:szCs w:val="22"/>
        </w:rPr>
        <w:t xml:space="preserve"> 1/10,000 - </w:t>
      </w:r>
      <w:r w:rsidRPr="00183B5F">
        <w:rPr>
          <w:rFonts w:ascii="Symbol" w:hAnsi="Symbol"/>
          <w:szCs w:val="22"/>
        </w:rPr>
        <w:sym w:font="Symbol" w:char="F0A3"/>
      </w:r>
      <w:r w:rsidRPr="00183B5F">
        <w:rPr>
          <w:szCs w:val="22"/>
        </w:rPr>
        <w:t xml:space="preserve"> 1/1000) és nem ismert (a </w:t>
      </w:r>
      <w:r w:rsidR="00004B4F" w:rsidRPr="00183B5F">
        <w:rPr>
          <w:szCs w:val="22"/>
        </w:rPr>
        <w:t xml:space="preserve">gyakoriság a </w:t>
      </w:r>
      <w:r w:rsidRPr="00183B5F">
        <w:rPr>
          <w:szCs w:val="22"/>
        </w:rPr>
        <w:t xml:space="preserve">rendelkezésre álló adatokból nem állapítható meg). </w:t>
      </w:r>
      <w:r w:rsidRPr="00183B5F">
        <w:rPr>
          <w:bCs/>
          <w:szCs w:val="22"/>
        </w:rPr>
        <w:t>Az egyes gyakorisági kategóriákon belül a mellékhatások csökkenő súlyosság szerint kerülnek megadásra</w:t>
      </w:r>
      <w:r w:rsidRPr="00183B5F">
        <w:rPr>
          <w:szCs w:val="22"/>
        </w:rPr>
        <w:t xml:space="preserve">. A különböző indikációk esetén előforduló legnagyobb előfordulási gyakoriság került feltüntetésre. A szervrendszeri kategóriák oszlopában csillag (*) jelzi, ha </w:t>
      </w:r>
      <w:r w:rsidR="00D22F6B" w:rsidRPr="00183B5F">
        <w:rPr>
          <w:szCs w:val="22"/>
        </w:rPr>
        <w:t>további információ található</w:t>
      </w:r>
      <w:r w:rsidRPr="00183B5F">
        <w:rPr>
          <w:szCs w:val="22"/>
        </w:rPr>
        <w:t xml:space="preserve"> a 4.3, 4.4 és 4.8 pontban.</w:t>
      </w:r>
    </w:p>
    <w:p w14:paraId="76AE683C" w14:textId="77777777" w:rsidR="00764497" w:rsidRPr="00183B5F" w:rsidRDefault="00764497" w:rsidP="004062FE">
      <w:pPr>
        <w:suppressAutoHyphens w:val="0"/>
        <w:spacing w:line="240" w:lineRule="auto"/>
        <w:rPr>
          <w:szCs w:val="22"/>
        </w:rPr>
      </w:pPr>
    </w:p>
    <w:p w14:paraId="1BE1CD1F" w14:textId="77777777" w:rsidR="00764497" w:rsidRPr="00183B5F" w:rsidRDefault="00943743" w:rsidP="00FE0197">
      <w:pPr>
        <w:suppressAutoHyphens w:val="0"/>
        <w:spacing w:line="240" w:lineRule="auto"/>
        <w:ind w:left="360"/>
        <w:jc w:val="center"/>
        <w:rPr>
          <w:b/>
          <w:szCs w:val="22"/>
        </w:rPr>
      </w:pPr>
      <w:r w:rsidRPr="00183B5F">
        <w:rPr>
          <w:b/>
          <w:szCs w:val="22"/>
        </w:rPr>
        <w:t>4. táblázat</w:t>
      </w:r>
    </w:p>
    <w:p w14:paraId="4086D389" w14:textId="77777777" w:rsidR="00764497" w:rsidRPr="00183B5F" w:rsidRDefault="00943743" w:rsidP="00FE0197">
      <w:pPr>
        <w:suppressAutoHyphens w:val="0"/>
        <w:spacing w:line="240" w:lineRule="auto"/>
        <w:jc w:val="center"/>
        <w:rPr>
          <w:b/>
          <w:szCs w:val="22"/>
        </w:rPr>
      </w:pPr>
      <w:r w:rsidRPr="00183B5F">
        <w:rPr>
          <w:b/>
          <w:szCs w:val="22"/>
        </w:rPr>
        <w:t>Nemkívánatos hatások</w:t>
      </w:r>
    </w:p>
    <w:p w14:paraId="0F6E0E3B" w14:textId="77777777" w:rsidR="00764497" w:rsidRPr="00183B5F" w:rsidRDefault="00764497" w:rsidP="00FE0197">
      <w:pPr>
        <w:suppressAutoHyphens w:val="0"/>
        <w:spacing w:line="240" w:lineRule="auto"/>
        <w:jc w:val="cente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0"/>
        <w:gridCol w:w="2027"/>
        <w:gridCol w:w="4454"/>
      </w:tblGrid>
      <w:tr w:rsidR="00011D2F" w14:paraId="713F32CE" w14:textId="77777777" w:rsidTr="00202B95">
        <w:trPr>
          <w:cantSplit/>
          <w:tblHeader/>
        </w:trPr>
        <w:tc>
          <w:tcPr>
            <w:tcW w:w="2580" w:type="dxa"/>
            <w:tcBorders>
              <w:bottom w:val="single" w:sz="4" w:space="0" w:color="auto"/>
            </w:tcBorders>
          </w:tcPr>
          <w:p w14:paraId="0C24B0A6" w14:textId="77777777" w:rsidR="00764497" w:rsidRPr="00183B5F" w:rsidRDefault="00943743" w:rsidP="00FE0197">
            <w:pPr>
              <w:widowControl w:val="0"/>
              <w:suppressAutoHyphens w:val="0"/>
              <w:spacing w:line="240" w:lineRule="auto"/>
              <w:jc w:val="center"/>
              <w:rPr>
                <w:b/>
              </w:rPr>
            </w:pPr>
            <w:r w:rsidRPr="00183B5F">
              <w:rPr>
                <w:b/>
              </w:rPr>
              <w:t>Szervrendszerenkénti csoportosítás</w:t>
            </w:r>
          </w:p>
        </w:tc>
        <w:tc>
          <w:tcPr>
            <w:tcW w:w="2027" w:type="dxa"/>
            <w:tcBorders>
              <w:bottom w:val="single" w:sz="4" w:space="0" w:color="auto"/>
            </w:tcBorders>
          </w:tcPr>
          <w:p w14:paraId="76998128" w14:textId="77777777" w:rsidR="00764497" w:rsidRPr="00183B5F" w:rsidRDefault="00943743" w:rsidP="00FE0197">
            <w:pPr>
              <w:widowControl w:val="0"/>
              <w:suppressAutoHyphens w:val="0"/>
              <w:spacing w:line="240" w:lineRule="auto"/>
              <w:jc w:val="center"/>
              <w:rPr>
                <w:b/>
              </w:rPr>
            </w:pPr>
            <w:r w:rsidRPr="00183B5F">
              <w:rPr>
                <w:b/>
              </w:rPr>
              <w:t>Gyakoriság</w:t>
            </w:r>
          </w:p>
        </w:tc>
        <w:tc>
          <w:tcPr>
            <w:tcW w:w="4454" w:type="dxa"/>
            <w:tcBorders>
              <w:bottom w:val="single" w:sz="4" w:space="0" w:color="auto"/>
            </w:tcBorders>
          </w:tcPr>
          <w:p w14:paraId="79FCC5DA" w14:textId="77777777" w:rsidR="00764497" w:rsidRPr="00183B5F" w:rsidRDefault="00943743" w:rsidP="00FE0197">
            <w:pPr>
              <w:widowControl w:val="0"/>
              <w:suppressAutoHyphens w:val="0"/>
              <w:spacing w:line="240" w:lineRule="auto"/>
              <w:jc w:val="center"/>
              <w:rPr>
                <w:b/>
              </w:rPr>
            </w:pPr>
            <w:r w:rsidRPr="00183B5F">
              <w:rPr>
                <w:b/>
              </w:rPr>
              <w:t>Mellékhatás</w:t>
            </w:r>
          </w:p>
        </w:tc>
      </w:tr>
      <w:tr w:rsidR="00011D2F" w14:paraId="6C6828C0" w14:textId="77777777" w:rsidTr="00202B95">
        <w:trPr>
          <w:cantSplit/>
          <w:trHeight w:val="1061"/>
        </w:trPr>
        <w:tc>
          <w:tcPr>
            <w:tcW w:w="2580" w:type="dxa"/>
            <w:vMerge w:val="restart"/>
            <w:tcBorders>
              <w:bottom w:val="single" w:sz="4" w:space="0" w:color="auto"/>
            </w:tcBorders>
          </w:tcPr>
          <w:p w14:paraId="208CF75B" w14:textId="77777777" w:rsidR="00764497" w:rsidRPr="00183B5F" w:rsidRDefault="00943743" w:rsidP="00FE0197">
            <w:pPr>
              <w:pStyle w:val="EMEANormal"/>
              <w:widowControl w:val="0"/>
              <w:suppressAutoHyphens w:val="0"/>
              <w:rPr>
                <w:lang w:val="hu-HU"/>
              </w:rPr>
            </w:pPr>
            <w:r w:rsidRPr="00183B5F">
              <w:rPr>
                <w:lang w:val="hu-HU"/>
              </w:rPr>
              <w:t>Fertőző betegségek és parazitafertőzések*</w:t>
            </w:r>
          </w:p>
          <w:p w14:paraId="5AFA34E6" w14:textId="77777777" w:rsidR="00764497" w:rsidRPr="00183B5F" w:rsidRDefault="00764497" w:rsidP="00FE0197">
            <w:pPr>
              <w:widowControl w:val="0"/>
              <w:suppressAutoHyphens w:val="0"/>
              <w:spacing w:line="240" w:lineRule="auto"/>
            </w:pPr>
          </w:p>
        </w:tc>
        <w:tc>
          <w:tcPr>
            <w:tcW w:w="2027" w:type="dxa"/>
            <w:tcBorders>
              <w:bottom w:val="single" w:sz="4" w:space="0" w:color="auto"/>
            </w:tcBorders>
          </w:tcPr>
          <w:p w14:paraId="4BCC4966" w14:textId="77777777" w:rsidR="00764497" w:rsidRPr="00183B5F" w:rsidRDefault="00943743" w:rsidP="00FE0197">
            <w:pPr>
              <w:pStyle w:val="EMEANormal"/>
              <w:widowControl w:val="0"/>
              <w:suppressAutoHyphens w:val="0"/>
              <w:rPr>
                <w:lang w:val="hu-HU"/>
              </w:rPr>
            </w:pPr>
            <w:r w:rsidRPr="00183B5F">
              <w:rPr>
                <w:lang w:val="hu-HU"/>
              </w:rPr>
              <w:t>Nagyon gyakori</w:t>
            </w:r>
          </w:p>
          <w:p w14:paraId="7728B2D5" w14:textId="77777777" w:rsidR="00764497" w:rsidRPr="00183B5F" w:rsidRDefault="00764497" w:rsidP="00FE0197">
            <w:pPr>
              <w:pStyle w:val="EMEANormal"/>
              <w:widowControl w:val="0"/>
              <w:suppressAutoHyphens w:val="0"/>
              <w:rPr>
                <w:lang w:val="hu-HU"/>
              </w:rPr>
            </w:pPr>
          </w:p>
        </w:tc>
        <w:tc>
          <w:tcPr>
            <w:tcW w:w="4454" w:type="dxa"/>
            <w:tcBorders>
              <w:bottom w:val="single" w:sz="4" w:space="0" w:color="auto"/>
            </w:tcBorders>
          </w:tcPr>
          <w:p w14:paraId="6F617AFB" w14:textId="77777777" w:rsidR="00764497" w:rsidRPr="00183B5F" w:rsidRDefault="00943743" w:rsidP="00FE0197">
            <w:pPr>
              <w:pStyle w:val="EMEANormal"/>
              <w:widowControl w:val="0"/>
              <w:suppressAutoHyphens w:val="0"/>
              <w:rPr>
                <w:lang w:val="hu-HU"/>
              </w:rPr>
            </w:pPr>
            <w:r w:rsidRPr="00183B5F">
              <w:rPr>
                <w:lang w:val="hu-HU"/>
              </w:rPr>
              <w:t>Légúti fertőzések (beleértve az alsó- és a felső légúti fertőzéseket, pneumoniát, sinusitist, pharyngitist, nasopharyngitist és a herpes vírus okozta pneumoniát is)</w:t>
            </w:r>
          </w:p>
          <w:p w14:paraId="09B7D4B7" w14:textId="77777777" w:rsidR="00764497" w:rsidRPr="00183B5F" w:rsidRDefault="00764497" w:rsidP="00FE0197">
            <w:pPr>
              <w:pStyle w:val="EMEANormal"/>
              <w:widowControl w:val="0"/>
              <w:suppressAutoHyphens w:val="0"/>
              <w:rPr>
                <w:lang w:val="hu-HU"/>
              </w:rPr>
            </w:pPr>
          </w:p>
        </w:tc>
      </w:tr>
      <w:tr w:rsidR="00011D2F" w14:paraId="09D9A0A8" w14:textId="77777777" w:rsidTr="00202B95">
        <w:tc>
          <w:tcPr>
            <w:tcW w:w="2580" w:type="dxa"/>
            <w:vMerge/>
            <w:tcBorders>
              <w:top w:val="single" w:sz="4" w:space="0" w:color="auto"/>
              <w:bottom w:val="single" w:sz="4" w:space="0" w:color="auto"/>
            </w:tcBorders>
          </w:tcPr>
          <w:p w14:paraId="72F03765" w14:textId="77777777" w:rsidR="00764497" w:rsidRPr="00183B5F" w:rsidRDefault="00764497" w:rsidP="004062FE">
            <w:pPr>
              <w:keepNext/>
              <w:widowControl w:val="0"/>
              <w:suppressAutoHyphens w:val="0"/>
              <w:spacing w:line="240" w:lineRule="auto"/>
              <w:jc w:val="center"/>
              <w:rPr>
                <w:b/>
              </w:rPr>
            </w:pPr>
          </w:p>
        </w:tc>
        <w:tc>
          <w:tcPr>
            <w:tcW w:w="2027" w:type="dxa"/>
            <w:tcBorders>
              <w:top w:val="single" w:sz="4" w:space="0" w:color="auto"/>
              <w:bottom w:val="single" w:sz="4" w:space="0" w:color="auto"/>
            </w:tcBorders>
          </w:tcPr>
          <w:p w14:paraId="048A2265" w14:textId="77777777" w:rsidR="00764497" w:rsidRPr="00183B5F" w:rsidRDefault="00943743" w:rsidP="002D49EE">
            <w:pPr>
              <w:pStyle w:val="EMEANormal"/>
              <w:widowControl w:val="0"/>
              <w:suppressAutoHyphens w:val="0"/>
              <w:rPr>
                <w:lang w:val="hu-HU"/>
              </w:rPr>
            </w:pPr>
            <w:r w:rsidRPr="00183B5F">
              <w:rPr>
                <w:lang w:val="hu-HU"/>
              </w:rPr>
              <w:t>Gyakori</w:t>
            </w:r>
          </w:p>
          <w:p w14:paraId="4256242E" w14:textId="77777777" w:rsidR="00764497" w:rsidRPr="00183B5F" w:rsidRDefault="00764497" w:rsidP="002D49EE">
            <w:pPr>
              <w:pStyle w:val="EMEANormal"/>
              <w:widowControl w:val="0"/>
              <w:suppressAutoHyphens w:val="0"/>
              <w:rPr>
                <w:lang w:val="hu-HU"/>
              </w:rPr>
            </w:pPr>
          </w:p>
        </w:tc>
        <w:tc>
          <w:tcPr>
            <w:tcW w:w="4454" w:type="dxa"/>
            <w:tcBorders>
              <w:top w:val="single" w:sz="4" w:space="0" w:color="auto"/>
              <w:bottom w:val="single" w:sz="4" w:space="0" w:color="auto"/>
            </w:tcBorders>
          </w:tcPr>
          <w:p w14:paraId="7DB6C7FB" w14:textId="77777777" w:rsidR="00764497" w:rsidRPr="00183B5F" w:rsidRDefault="00943743" w:rsidP="002D49EE">
            <w:pPr>
              <w:widowControl w:val="0"/>
              <w:suppressAutoHyphens w:val="0"/>
              <w:spacing w:line="240" w:lineRule="auto"/>
              <w:rPr>
                <w:szCs w:val="22"/>
              </w:rPr>
            </w:pPr>
            <w:r w:rsidRPr="00183B5F">
              <w:rPr>
                <w:szCs w:val="22"/>
              </w:rPr>
              <w:t>Szisztémás fertőzések (beleértve a sepsist, candidiasist és az influenzát is),</w:t>
            </w:r>
          </w:p>
          <w:p w14:paraId="6822EF21" w14:textId="77777777" w:rsidR="00764497" w:rsidRPr="00183B5F" w:rsidRDefault="00943743" w:rsidP="002D49EE">
            <w:pPr>
              <w:widowControl w:val="0"/>
              <w:suppressAutoHyphens w:val="0"/>
              <w:spacing w:line="240" w:lineRule="auto"/>
              <w:rPr>
                <w:szCs w:val="22"/>
              </w:rPr>
            </w:pPr>
            <w:r w:rsidRPr="00183B5F">
              <w:rPr>
                <w:szCs w:val="22"/>
              </w:rPr>
              <w:t>bélfertőzések (beleértve a vírusos gastroenteritist is),</w:t>
            </w:r>
          </w:p>
          <w:p w14:paraId="1F3CA413" w14:textId="77777777" w:rsidR="00764497" w:rsidRPr="00183B5F" w:rsidRDefault="00943743" w:rsidP="002D49EE">
            <w:pPr>
              <w:widowControl w:val="0"/>
              <w:suppressAutoHyphens w:val="0"/>
              <w:spacing w:line="240" w:lineRule="auto"/>
              <w:rPr>
                <w:szCs w:val="22"/>
              </w:rPr>
            </w:pPr>
            <w:r w:rsidRPr="00183B5F">
              <w:rPr>
                <w:szCs w:val="22"/>
              </w:rPr>
              <w:t>bőr- és lágyrészfertőzések (beleértve a paronychiát, cellulitist, impetigót, necrotisáló fasciitist és a herpes zostert is),</w:t>
            </w:r>
          </w:p>
          <w:p w14:paraId="746F33A2" w14:textId="77777777" w:rsidR="00764497" w:rsidRPr="00183B5F" w:rsidRDefault="00943743" w:rsidP="002D49EE">
            <w:pPr>
              <w:widowControl w:val="0"/>
              <w:suppressAutoHyphens w:val="0"/>
              <w:spacing w:line="240" w:lineRule="auto"/>
              <w:rPr>
                <w:szCs w:val="22"/>
              </w:rPr>
            </w:pPr>
            <w:r w:rsidRPr="00183B5F">
              <w:rPr>
                <w:szCs w:val="22"/>
              </w:rPr>
              <w:t>fülfertőzések,</w:t>
            </w:r>
          </w:p>
          <w:p w14:paraId="691CB9AC" w14:textId="77777777" w:rsidR="00764497" w:rsidRPr="00183B5F" w:rsidRDefault="00943743" w:rsidP="002D49EE">
            <w:pPr>
              <w:widowControl w:val="0"/>
              <w:suppressAutoHyphens w:val="0"/>
              <w:spacing w:line="240" w:lineRule="auto"/>
              <w:rPr>
                <w:szCs w:val="22"/>
              </w:rPr>
            </w:pPr>
            <w:r w:rsidRPr="00183B5F">
              <w:rPr>
                <w:szCs w:val="22"/>
              </w:rPr>
              <w:t xml:space="preserve">oralis fertőzések (beleértve a herpes simplexet, oralis herpest és a fogfertőzéseket is), </w:t>
            </w:r>
          </w:p>
          <w:p w14:paraId="0E0BE403" w14:textId="77777777" w:rsidR="00764497" w:rsidRPr="00183B5F" w:rsidRDefault="00943743" w:rsidP="002D49EE">
            <w:pPr>
              <w:widowControl w:val="0"/>
              <w:suppressAutoHyphens w:val="0"/>
              <w:spacing w:line="240" w:lineRule="auto"/>
              <w:rPr>
                <w:szCs w:val="22"/>
              </w:rPr>
            </w:pPr>
            <w:r w:rsidRPr="00183B5F">
              <w:rPr>
                <w:szCs w:val="22"/>
              </w:rPr>
              <w:t xml:space="preserve">a nemi szervek fertőzései (beleértve a vulvovaginalis mycoticus fertőzéseket is), </w:t>
            </w:r>
          </w:p>
          <w:p w14:paraId="79370979" w14:textId="77777777" w:rsidR="00764497" w:rsidRPr="00183B5F" w:rsidRDefault="00943743" w:rsidP="002D49EE">
            <w:pPr>
              <w:pStyle w:val="EMEANormal"/>
              <w:widowControl w:val="0"/>
              <w:suppressAutoHyphens w:val="0"/>
              <w:rPr>
                <w:szCs w:val="22"/>
                <w:lang w:val="hu-HU"/>
              </w:rPr>
            </w:pPr>
            <w:r w:rsidRPr="00183B5F">
              <w:rPr>
                <w:szCs w:val="22"/>
                <w:lang w:val="hu-HU"/>
              </w:rPr>
              <w:t>húgyúti fertőzések (beleértve a pylonephritist is),</w:t>
            </w:r>
          </w:p>
          <w:p w14:paraId="4F73649C" w14:textId="77777777" w:rsidR="00764497" w:rsidRPr="00183B5F" w:rsidRDefault="00943743" w:rsidP="002D49EE">
            <w:pPr>
              <w:pStyle w:val="EMEANormal"/>
              <w:widowControl w:val="0"/>
              <w:suppressAutoHyphens w:val="0"/>
              <w:rPr>
                <w:lang w:val="hu-HU"/>
              </w:rPr>
            </w:pPr>
            <w:r w:rsidRPr="00183B5F">
              <w:rPr>
                <w:lang w:val="hu-HU"/>
              </w:rPr>
              <w:t>gombás fertőzések,</w:t>
            </w:r>
          </w:p>
          <w:p w14:paraId="18E7A60B" w14:textId="77777777" w:rsidR="00764497" w:rsidRPr="00183B5F" w:rsidRDefault="00943743" w:rsidP="002D49EE">
            <w:pPr>
              <w:pStyle w:val="EMEANormal"/>
              <w:widowControl w:val="0"/>
              <w:suppressAutoHyphens w:val="0"/>
              <w:rPr>
                <w:lang w:val="hu-HU"/>
              </w:rPr>
            </w:pPr>
            <w:r w:rsidRPr="00183B5F">
              <w:rPr>
                <w:lang w:val="hu-HU"/>
              </w:rPr>
              <w:t>ízületi fertőzések</w:t>
            </w:r>
          </w:p>
        </w:tc>
      </w:tr>
      <w:tr w:rsidR="00011D2F" w14:paraId="4B66F7C2" w14:textId="77777777" w:rsidTr="00202B95">
        <w:tc>
          <w:tcPr>
            <w:tcW w:w="2580" w:type="dxa"/>
            <w:vMerge/>
            <w:tcBorders>
              <w:bottom w:val="single" w:sz="4" w:space="0" w:color="auto"/>
            </w:tcBorders>
          </w:tcPr>
          <w:p w14:paraId="7CF50A65" w14:textId="77777777" w:rsidR="00764497" w:rsidRPr="00183B5F" w:rsidRDefault="00764497"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5F9CBBD3" w14:textId="77777777" w:rsidR="00764497" w:rsidRPr="00183B5F" w:rsidRDefault="00764497" w:rsidP="002D49EE">
            <w:pPr>
              <w:pStyle w:val="EMEANormal"/>
              <w:widowControl w:val="0"/>
              <w:suppressAutoHyphens w:val="0"/>
              <w:rPr>
                <w:lang w:val="hu-HU"/>
              </w:rPr>
            </w:pPr>
          </w:p>
          <w:p w14:paraId="1ADE86AA" w14:textId="77777777" w:rsidR="00764497" w:rsidRPr="00183B5F" w:rsidRDefault="00943743" w:rsidP="002D49EE">
            <w:pPr>
              <w:pStyle w:val="EMEANormal"/>
              <w:widowControl w:val="0"/>
              <w:suppressAutoHyphens w:val="0"/>
              <w:rPr>
                <w:lang w:val="hu-HU"/>
              </w:rPr>
            </w:pPr>
            <w:r w:rsidRPr="00183B5F">
              <w:rPr>
                <w:lang w:val="hu-HU"/>
              </w:rPr>
              <w:t>Nem gyakori</w:t>
            </w:r>
          </w:p>
          <w:p w14:paraId="65E0E8A5" w14:textId="77777777" w:rsidR="00764497" w:rsidRPr="00183B5F" w:rsidRDefault="00764497" w:rsidP="002D49EE">
            <w:pPr>
              <w:pStyle w:val="EMEANormal"/>
              <w:widowControl w:val="0"/>
              <w:suppressAutoHyphens w:val="0"/>
              <w:rPr>
                <w:lang w:val="hu-HU"/>
              </w:rPr>
            </w:pPr>
          </w:p>
        </w:tc>
        <w:tc>
          <w:tcPr>
            <w:tcW w:w="4454" w:type="dxa"/>
            <w:tcBorders>
              <w:top w:val="single" w:sz="4" w:space="0" w:color="auto"/>
              <w:bottom w:val="single" w:sz="4" w:space="0" w:color="auto"/>
            </w:tcBorders>
          </w:tcPr>
          <w:p w14:paraId="0049E753" w14:textId="77777777" w:rsidR="00764497" w:rsidRPr="00183B5F" w:rsidRDefault="00764497" w:rsidP="002D49EE">
            <w:pPr>
              <w:pStyle w:val="EMEANormal"/>
              <w:widowControl w:val="0"/>
              <w:suppressAutoHyphens w:val="0"/>
              <w:rPr>
                <w:lang w:val="hu-HU"/>
              </w:rPr>
            </w:pPr>
          </w:p>
          <w:p w14:paraId="2E3C056A" w14:textId="77777777" w:rsidR="00764497" w:rsidRPr="00183B5F" w:rsidRDefault="00943743" w:rsidP="002D49EE">
            <w:pPr>
              <w:pStyle w:val="EMEANormal"/>
              <w:widowControl w:val="0"/>
              <w:suppressAutoHyphens w:val="0"/>
              <w:rPr>
                <w:lang w:val="hu-HU"/>
              </w:rPr>
            </w:pPr>
            <w:r w:rsidRPr="00183B5F">
              <w:rPr>
                <w:lang w:val="hu-HU"/>
              </w:rPr>
              <w:t>Neurológiai fertőzések (beleértve a vírusos meningitist is),</w:t>
            </w:r>
          </w:p>
          <w:p w14:paraId="4FA87811" w14:textId="77777777" w:rsidR="00764497" w:rsidRPr="00183B5F" w:rsidRDefault="00943743" w:rsidP="002D49EE">
            <w:pPr>
              <w:pStyle w:val="EMEANormal"/>
              <w:widowControl w:val="0"/>
              <w:suppressAutoHyphens w:val="0"/>
              <w:rPr>
                <w:lang w:val="hu-HU"/>
              </w:rPr>
            </w:pPr>
            <w:r w:rsidRPr="00183B5F">
              <w:rPr>
                <w:lang w:val="hu-HU"/>
              </w:rPr>
              <w:t xml:space="preserve">opportunista fertőzések és tuberculosis </w:t>
            </w:r>
            <w:r w:rsidRPr="00183B5F">
              <w:rPr>
                <w:lang w:val="hu-HU"/>
              </w:rPr>
              <w:t xml:space="preserve">(beleértve a coccidioidomycosist, histoplasmosist és a mycobacterium avium complex fertőzést is), </w:t>
            </w:r>
          </w:p>
          <w:p w14:paraId="0D13141F" w14:textId="77777777" w:rsidR="00764497" w:rsidRPr="00183B5F" w:rsidRDefault="00943743" w:rsidP="002D49EE">
            <w:pPr>
              <w:pStyle w:val="EMEANormal"/>
              <w:widowControl w:val="0"/>
              <w:suppressAutoHyphens w:val="0"/>
              <w:rPr>
                <w:b/>
                <w:i/>
                <w:lang w:val="hu-HU"/>
              </w:rPr>
            </w:pPr>
            <w:r w:rsidRPr="00183B5F">
              <w:rPr>
                <w:lang w:val="hu-HU"/>
              </w:rPr>
              <w:t>bakteriális fertőzések,szemfertőzések,</w:t>
            </w:r>
          </w:p>
          <w:p w14:paraId="2FF7AAFA" w14:textId="77777777" w:rsidR="00764497" w:rsidRPr="00183B5F" w:rsidRDefault="00943743" w:rsidP="002D49EE">
            <w:pPr>
              <w:pStyle w:val="EMEANormal"/>
              <w:widowControl w:val="0"/>
              <w:suppressAutoHyphens w:val="0"/>
              <w:rPr>
                <w:lang w:val="hu-HU"/>
              </w:rPr>
            </w:pPr>
            <w:r w:rsidRPr="00183B5F">
              <w:rPr>
                <w:lang w:val="hu-HU"/>
              </w:rPr>
              <w:t>diverticulitis</w:t>
            </w:r>
            <w:r w:rsidRPr="00183B5F">
              <w:rPr>
                <w:vertAlign w:val="superscript"/>
                <w:lang w:val="hu-HU"/>
              </w:rPr>
              <w:t>1)</w:t>
            </w:r>
          </w:p>
        </w:tc>
      </w:tr>
      <w:tr w:rsidR="00011D2F" w14:paraId="0BC0CA4E" w14:textId="77777777" w:rsidTr="00202B95">
        <w:tc>
          <w:tcPr>
            <w:tcW w:w="2580" w:type="dxa"/>
            <w:vMerge w:val="restart"/>
            <w:tcBorders>
              <w:top w:val="single" w:sz="4" w:space="0" w:color="auto"/>
              <w:bottom w:val="single" w:sz="4" w:space="0" w:color="auto"/>
            </w:tcBorders>
          </w:tcPr>
          <w:p w14:paraId="483BBD7F" w14:textId="77777777" w:rsidR="00764497" w:rsidRPr="00183B5F" w:rsidRDefault="00943743" w:rsidP="002D49EE">
            <w:pPr>
              <w:widowControl w:val="0"/>
              <w:suppressAutoHyphens w:val="0"/>
              <w:spacing w:line="240" w:lineRule="auto"/>
              <w:rPr>
                <w:szCs w:val="22"/>
              </w:rPr>
            </w:pPr>
            <w:r w:rsidRPr="00183B5F">
              <w:rPr>
                <w:szCs w:val="22"/>
              </w:rPr>
              <w:t>Jó</w:t>
            </w:r>
            <w:r w:rsidRPr="00183B5F">
              <w:rPr>
                <w:szCs w:val="22"/>
              </w:rPr>
              <w:noBreakHyphen/>
            </w:r>
            <w:r w:rsidRPr="00183B5F">
              <w:rPr>
                <w:szCs w:val="22"/>
              </w:rPr>
              <w:t>, rosszindulatú és nem meghatározott daganatok (beleértve a cisztákat és polipokat is)*</w:t>
            </w:r>
          </w:p>
        </w:tc>
        <w:tc>
          <w:tcPr>
            <w:tcW w:w="2027" w:type="dxa"/>
            <w:tcBorders>
              <w:bottom w:val="single" w:sz="4" w:space="0" w:color="auto"/>
            </w:tcBorders>
          </w:tcPr>
          <w:p w14:paraId="36E179D1" w14:textId="77777777" w:rsidR="00764497" w:rsidRPr="00183B5F" w:rsidRDefault="00943743" w:rsidP="002D49EE">
            <w:pPr>
              <w:pStyle w:val="EMEANormal"/>
              <w:widowControl w:val="0"/>
              <w:suppressAutoHyphens w:val="0"/>
              <w:rPr>
                <w:lang w:val="hu-HU"/>
              </w:rPr>
            </w:pPr>
            <w:r w:rsidRPr="00183B5F">
              <w:rPr>
                <w:lang w:val="hu-HU"/>
              </w:rPr>
              <w:t>Gyakori</w:t>
            </w:r>
          </w:p>
          <w:p w14:paraId="030B281D" w14:textId="77777777" w:rsidR="00764497" w:rsidRPr="00183B5F" w:rsidRDefault="00764497" w:rsidP="002D49EE">
            <w:pPr>
              <w:pStyle w:val="EMEANormal"/>
              <w:widowControl w:val="0"/>
              <w:suppressAutoHyphens w:val="0"/>
              <w:rPr>
                <w:lang w:val="hu-HU"/>
              </w:rPr>
            </w:pPr>
          </w:p>
        </w:tc>
        <w:tc>
          <w:tcPr>
            <w:tcW w:w="4454" w:type="dxa"/>
            <w:tcBorders>
              <w:bottom w:val="single" w:sz="4" w:space="0" w:color="auto"/>
            </w:tcBorders>
          </w:tcPr>
          <w:p w14:paraId="5E0E8433" w14:textId="77777777" w:rsidR="00764497" w:rsidRPr="00183B5F" w:rsidRDefault="00943743" w:rsidP="002D49EE">
            <w:pPr>
              <w:pStyle w:val="EMEANormal"/>
              <w:widowControl w:val="0"/>
              <w:suppressAutoHyphens w:val="0"/>
              <w:rPr>
                <w:lang w:val="hu-HU"/>
              </w:rPr>
            </w:pPr>
            <w:r w:rsidRPr="00183B5F">
              <w:rPr>
                <w:lang w:val="hu-HU"/>
              </w:rPr>
              <w:t>Bőrrák, kivéve a melanomát (beleértve a basalsejtes carcinomát és a planocellularis carcinomát is),</w:t>
            </w:r>
          </w:p>
          <w:p w14:paraId="6DF2840D" w14:textId="77777777" w:rsidR="00764497" w:rsidRPr="00183B5F" w:rsidRDefault="00943743" w:rsidP="002D49EE">
            <w:pPr>
              <w:pStyle w:val="EMEANormal"/>
              <w:widowControl w:val="0"/>
              <w:suppressAutoHyphens w:val="0"/>
              <w:rPr>
                <w:lang w:val="hu-HU"/>
              </w:rPr>
            </w:pPr>
            <w:r w:rsidRPr="00183B5F">
              <w:rPr>
                <w:lang w:val="hu-HU"/>
              </w:rPr>
              <w:t>jóindulatú daganat</w:t>
            </w:r>
          </w:p>
        </w:tc>
      </w:tr>
      <w:tr w:rsidR="00011D2F" w14:paraId="02C2F9C8" w14:textId="77777777" w:rsidTr="00202B95">
        <w:tc>
          <w:tcPr>
            <w:tcW w:w="2580" w:type="dxa"/>
            <w:vMerge/>
            <w:tcBorders>
              <w:top w:val="single" w:sz="4" w:space="0" w:color="auto"/>
              <w:bottom w:val="nil"/>
            </w:tcBorders>
          </w:tcPr>
          <w:p w14:paraId="7E1DD53E" w14:textId="77777777" w:rsidR="00764497" w:rsidRPr="00183B5F" w:rsidRDefault="00764497" w:rsidP="002D49E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598AB398" w14:textId="77777777" w:rsidR="00764497" w:rsidRPr="00183B5F" w:rsidRDefault="00943743" w:rsidP="002D49EE">
            <w:pPr>
              <w:pStyle w:val="EMEANormal"/>
              <w:widowControl w:val="0"/>
              <w:suppressAutoHyphens w:val="0"/>
              <w:rPr>
                <w:lang w:val="hu-HU"/>
              </w:rPr>
            </w:pPr>
            <w:r w:rsidRPr="00183B5F">
              <w:rPr>
                <w:lang w:val="hu-HU"/>
              </w:rPr>
              <w:t>Nem gyakori</w:t>
            </w:r>
          </w:p>
          <w:p w14:paraId="3918A2AA" w14:textId="77777777" w:rsidR="00764497" w:rsidRPr="00183B5F" w:rsidRDefault="00764497" w:rsidP="002D49EE">
            <w:pPr>
              <w:pStyle w:val="EMEANormal"/>
              <w:widowControl w:val="0"/>
              <w:suppressAutoHyphens w:val="0"/>
              <w:rPr>
                <w:lang w:val="hu-HU"/>
              </w:rPr>
            </w:pPr>
          </w:p>
        </w:tc>
        <w:tc>
          <w:tcPr>
            <w:tcW w:w="4454" w:type="dxa"/>
            <w:tcBorders>
              <w:top w:val="single" w:sz="4" w:space="0" w:color="auto"/>
              <w:bottom w:val="single" w:sz="4" w:space="0" w:color="auto"/>
            </w:tcBorders>
          </w:tcPr>
          <w:p w14:paraId="01252270" w14:textId="77777777" w:rsidR="00764497" w:rsidRPr="00183B5F" w:rsidRDefault="00943743" w:rsidP="002D49EE">
            <w:pPr>
              <w:pStyle w:val="EMEANormal"/>
              <w:widowControl w:val="0"/>
              <w:suppressAutoHyphens w:val="0"/>
              <w:rPr>
                <w:lang w:val="hu-HU"/>
              </w:rPr>
            </w:pPr>
            <w:r w:rsidRPr="00183B5F">
              <w:rPr>
                <w:lang w:val="hu-HU"/>
              </w:rPr>
              <w:t xml:space="preserve">Lymphoma**, </w:t>
            </w:r>
          </w:p>
          <w:p w14:paraId="08A6CB87" w14:textId="77777777" w:rsidR="00764497" w:rsidRPr="00183B5F" w:rsidRDefault="00943743" w:rsidP="002D49EE">
            <w:pPr>
              <w:pStyle w:val="EMEANormal"/>
              <w:widowControl w:val="0"/>
              <w:suppressAutoHyphens w:val="0"/>
              <w:rPr>
                <w:lang w:val="hu-HU"/>
              </w:rPr>
            </w:pPr>
            <w:r w:rsidRPr="00183B5F">
              <w:rPr>
                <w:lang w:val="hu-HU"/>
              </w:rPr>
              <w:t>solid szervek daganatai (beleértve az emlőrákot, a tüdődaganatot és a pajzsmirigy</w:t>
            </w:r>
            <w:r w:rsidRPr="00183B5F">
              <w:rPr>
                <w:lang w:val="hu-HU"/>
              </w:rPr>
              <w:noBreakHyphen/>
              <w:t>dag</w:t>
            </w:r>
            <w:r w:rsidR="007817FB" w:rsidRPr="00183B5F">
              <w:rPr>
                <w:lang w:val="hu-HU"/>
              </w:rPr>
              <w:t>a</w:t>
            </w:r>
            <w:r w:rsidRPr="00183B5F">
              <w:rPr>
                <w:lang w:val="hu-HU"/>
              </w:rPr>
              <w:t>natot is),</w:t>
            </w:r>
          </w:p>
          <w:p w14:paraId="01DAAD4D" w14:textId="77777777" w:rsidR="00764497" w:rsidRPr="00183B5F" w:rsidRDefault="00943743" w:rsidP="002D49EE">
            <w:pPr>
              <w:pStyle w:val="EMEANormal"/>
              <w:widowControl w:val="0"/>
              <w:suppressAutoHyphens w:val="0"/>
              <w:rPr>
                <w:lang w:val="hu-HU"/>
              </w:rPr>
            </w:pPr>
            <w:r w:rsidRPr="00183B5F">
              <w:rPr>
                <w:lang w:val="hu-HU"/>
              </w:rPr>
              <w:t>melanoma**</w:t>
            </w:r>
          </w:p>
          <w:p w14:paraId="3D3704E1" w14:textId="77777777" w:rsidR="00764497" w:rsidRPr="00183B5F" w:rsidRDefault="00764497" w:rsidP="002D49EE">
            <w:pPr>
              <w:pStyle w:val="EMEANormal"/>
              <w:widowControl w:val="0"/>
              <w:suppressAutoHyphens w:val="0"/>
              <w:rPr>
                <w:lang w:val="hu-HU"/>
              </w:rPr>
            </w:pPr>
          </w:p>
        </w:tc>
      </w:tr>
      <w:tr w:rsidR="00011D2F" w14:paraId="17E90B09" w14:textId="77777777" w:rsidTr="00202B95">
        <w:tc>
          <w:tcPr>
            <w:tcW w:w="2580" w:type="dxa"/>
            <w:tcBorders>
              <w:top w:val="nil"/>
              <w:bottom w:val="nil"/>
            </w:tcBorders>
          </w:tcPr>
          <w:p w14:paraId="0CF52BC6" w14:textId="77777777" w:rsidR="00D22F6B" w:rsidRPr="00183B5F" w:rsidRDefault="00D22F6B"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349D14AA" w14:textId="77777777" w:rsidR="00D22F6B" w:rsidRPr="00183B5F" w:rsidRDefault="00943743" w:rsidP="002D49EE">
            <w:pPr>
              <w:pStyle w:val="EMEANormal"/>
              <w:widowControl w:val="0"/>
              <w:suppressAutoHyphens w:val="0"/>
              <w:rPr>
                <w:lang w:val="hu-HU"/>
              </w:rPr>
            </w:pPr>
            <w:r w:rsidRPr="00183B5F">
              <w:rPr>
                <w:lang w:val="hu-HU"/>
              </w:rPr>
              <w:t>Ritka</w:t>
            </w:r>
          </w:p>
        </w:tc>
        <w:tc>
          <w:tcPr>
            <w:tcW w:w="4454" w:type="dxa"/>
            <w:tcBorders>
              <w:top w:val="single" w:sz="4" w:space="0" w:color="auto"/>
              <w:bottom w:val="single" w:sz="4" w:space="0" w:color="auto"/>
            </w:tcBorders>
          </w:tcPr>
          <w:p w14:paraId="092E7E0A" w14:textId="77777777" w:rsidR="00D22F6B" w:rsidRPr="00183B5F" w:rsidRDefault="00943743" w:rsidP="002D49EE">
            <w:pPr>
              <w:pStyle w:val="EMEANormal"/>
              <w:widowControl w:val="0"/>
              <w:suppressAutoHyphens w:val="0"/>
              <w:rPr>
                <w:lang w:val="hu-HU"/>
              </w:rPr>
            </w:pPr>
            <w:r w:rsidRPr="00183B5F">
              <w:rPr>
                <w:lang w:val="hu-HU"/>
              </w:rPr>
              <w:t>Leukaemia</w:t>
            </w:r>
            <w:r w:rsidRPr="00183B5F">
              <w:rPr>
                <w:vertAlign w:val="superscript"/>
                <w:lang w:val="hu-HU"/>
              </w:rPr>
              <w:t>1)</w:t>
            </w:r>
          </w:p>
          <w:p w14:paraId="57A60A61" w14:textId="77777777" w:rsidR="00D22F6B" w:rsidRPr="00183B5F" w:rsidRDefault="00D22F6B" w:rsidP="002D49EE">
            <w:pPr>
              <w:pStyle w:val="EMEANormal"/>
              <w:widowControl w:val="0"/>
              <w:suppressAutoHyphens w:val="0"/>
              <w:rPr>
                <w:lang w:val="hu-HU"/>
              </w:rPr>
            </w:pPr>
          </w:p>
        </w:tc>
      </w:tr>
      <w:tr w:rsidR="00011D2F" w14:paraId="464074CD" w14:textId="77777777" w:rsidTr="00202B95">
        <w:tc>
          <w:tcPr>
            <w:tcW w:w="2580" w:type="dxa"/>
            <w:tcBorders>
              <w:top w:val="nil"/>
            </w:tcBorders>
          </w:tcPr>
          <w:p w14:paraId="625927B1" w14:textId="77777777" w:rsidR="00D22F6B" w:rsidRPr="00183B5F" w:rsidRDefault="00D22F6B"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11549FD3" w14:textId="77777777" w:rsidR="00D22F6B" w:rsidRPr="00183B5F" w:rsidRDefault="00943743" w:rsidP="002D49EE">
            <w:pPr>
              <w:pStyle w:val="EMEANormal"/>
              <w:widowControl w:val="0"/>
              <w:suppressAutoHyphens w:val="0"/>
              <w:rPr>
                <w:lang w:val="hu-HU"/>
              </w:rPr>
            </w:pPr>
            <w:r w:rsidRPr="00183B5F">
              <w:rPr>
                <w:lang w:val="hu-HU"/>
              </w:rPr>
              <w:t>Nem ismert</w:t>
            </w:r>
          </w:p>
        </w:tc>
        <w:tc>
          <w:tcPr>
            <w:tcW w:w="4454" w:type="dxa"/>
            <w:tcBorders>
              <w:top w:val="single" w:sz="4" w:space="0" w:color="auto"/>
              <w:bottom w:val="single" w:sz="4" w:space="0" w:color="auto"/>
            </w:tcBorders>
          </w:tcPr>
          <w:p w14:paraId="7684120E" w14:textId="77777777" w:rsidR="00D22F6B" w:rsidRPr="00183B5F" w:rsidRDefault="00943743" w:rsidP="002D49EE">
            <w:pPr>
              <w:pStyle w:val="EMEANormal"/>
              <w:widowControl w:val="0"/>
              <w:suppressAutoHyphens w:val="0"/>
              <w:rPr>
                <w:vertAlign w:val="superscript"/>
                <w:lang w:val="hu-HU"/>
              </w:rPr>
            </w:pPr>
            <w:r w:rsidRPr="00183B5F">
              <w:rPr>
                <w:lang w:val="hu-HU"/>
              </w:rPr>
              <w:t>Hepatosplenicus T</w:t>
            </w:r>
            <w:r w:rsidRPr="00183B5F">
              <w:rPr>
                <w:lang w:val="hu-HU"/>
              </w:rPr>
              <w:noBreakHyphen/>
              <w:t>sejtes lymphoma</w:t>
            </w:r>
            <w:r w:rsidRPr="00183B5F">
              <w:rPr>
                <w:vertAlign w:val="superscript"/>
                <w:lang w:val="hu-HU"/>
              </w:rPr>
              <w:t>1)</w:t>
            </w:r>
          </w:p>
          <w:p w14:paraId="43B589F6" w14:textId="77777777" w:rsidR="00342FE6" w:rsidRPr="00183B5F" w:rsidRDefault="00943743" w:rsidP="002D49EE">
            <w:pPr>
              <w:pStyle w:val="EMEANormal"/>
              <w:widowControl w:val="0"/>
              <w:suppressAutoHyphens w:val="0"/>
              <w:rPr>
                <w:lang w:val="hu-HU"/>
              </w:rPr>
            </w:pPr>
            <w:r w:rsidRPr="00183B5F">
              <w:rPr>
                <w:lang w:val="hu-HU"/>
              </w:rPr>
              <w:t>Merkel-sejtes carcinoma (a bőr neuroendokrin daganata)</w:t>
            </w:r>
            <w:r w:rsidRPr="00183B5F">
              <w:rPr>
                <w:vertAlign w:val="superscript"/>
                <w:lang w:val="hu-HU"/>
              </w:rPr>
              <w:t xml:space="preserve"> 1)</w:t>
            </w:r>
            <w:r w:rsidRPr="00183B5F">
              <w:rPr>
                <w:lang w:val="hu-HU"/>
              </w:rPr>
              <w:t>,</w:t>
            </w:r>
          </w:p>
          <w:p w14:paraId="267A8B58" w14:textId="77777777" w:rsidR="00D22F6B" w:rsidRPr="00183B5F" w:rsidRDefault="00943743" w:rsidP="002D49EE">
            <w:pPr>
              <w:pStyle w:val="EMEANormal"/>
              <w:widowControl w:val="0"/>
              <w:suppressAutoHyphens w:val="0"/>
              <w:rPr>
                <w:lang w:val="hu-HU"/>
              </w:rPr>
            </w:pPr>
            <w:r w:rsidRPr="00183B5F">
              <w:rPr>
                <w:lang w:val="hu-HU"/>
              </w:rPr>
              <w:t>Kaposi-sarcoma</w:t>
            </w:r>
          </w:p>
        </w:tc>
      </w:tr>
      <w:tr w:rsidR="00011D2F" w14:paraId="4C9CCCCA" w14:textId="77777777" w:rsidTr="00202B95">
        <w:tc>
          <w:tcPr>
            <w:tcW w:w="2580" w:type="dxa"/>
            <w:vMerge w:val="restart"/>
          </w:tcPr>
          <w:p w14:paraId="31CDC167" w14:textId="77777777" w:rsidR="00764497" w:rsidRPr="00183B5F" w:rsidRDefault="00943743" w:rsidP="004062FE">
            <w:pPr>
              <w:widowControl w:val="0"/>
              <w:suppressAutoHyphens w:val="0"/>
              <w:spacing w:line="240" w:lineRule="auto"/>
              <w:rPr>
                <w:szCs w:val="22"/>
              </w:rPr>
            </w:pPr>
            <w:r w:rsidRPr="00183B5F">
              <w:rPr>
                <w:szCs w:val="22"/>
              </w:rPr>
              <w:t>Vérképzőszervi és nyirokrendszeri betegségek és tünetek*</w:t>
            </w:r>
          </w:p>
        </w:tc>
        <w:tc>
          <w:tcPr>
            <w:tcW w:w="2027" w:type="dxa"/>
            <w:tcBorders>
              <w:bottom w:val="single" w:sz="4" w:space="0" w:color="auto"/>
            </w:tcBorders>
          </w:tcPr>
          <w:p w14:paraId="3D815998" w14:textId="77777777" w:rsidR="00764497" w:rsidRPr="00183B5F" w:rsidRDefault="00943743" w:rsidP="002D49EE">
            <w:pPr>
              <w:pStyle w:val="EMEANormal"/>
              <w:widowControl w:val="0"/>
              <w:suppressAutoHyphens w:val="0"/>
              <w:jc w:val="both"/>
              <w:rPr>
                <w:lang w:val="hu-HU"/>
              </w:rPr>
            </w:pPr>
            <w:r w:rsidRPr="00183B5F">
              <w:rPr>
                <w:lang w:val="hu-HU"/>
              </w:rPr>
              <w:t>Nagyon gyakori</w:t>
            </w:r>
          </w:p>
          <w:p w14:paraId="2656F982" w14:textId="77777777" w:rsidR="00764497" w:rsidRPr="00183B5F" w:rsidRDefault="00764497" w:rsidP="002D49EE">
            <w:pPr>
              <w:pStyle w:val="EMEANormal"/>
              <w:widowControl w:val="0"/>
              <w:suppressAutoHyphens w:val="0"/>
              <w:jc w:val="both"/>
              <w:rPr>
                <w:lang w:val="hu-HU"/>
              </w:rPr>
            </w:pPr>
          </w:p>
        </w:tc>
        <w:tc>
          <w:tcPr>
            <w:tcW w:w="4454" w:type="dxa"/>
            <w:tcBorders>
              <w:bottom w:val="single" w:sz="4" w:space="0" w:color="auto"/>
            </w:tcBorders>
          </w:tcPr>
          <w:p w14:paraId="71AEA92B" w14:textId="77777777" w:rsidR="00764497" w:rsidRPr="00183B5F" w:rsidRDefault="00943743" w:rsidP="002D49EE">
            <w:pPr>
              <w:widowControl w:val="0"/>
              <w:suppressAutoHyphens w:val="0"/>
              <w:spacing w:line="240" w:lineRule="auto"/>
            </w:pPr>
            <w:r w:rsidRPr="00183B5F">
              <w:t>Leukopenia (</w:t>
            </w:r>
            <w:r w:rsidRPr="00183B5F">
              <w:rPr>
                <w:szCs w:val="22"/>
              </w:rPr>
              <w:t xml:space="preserve">beleértve a </w:t>
            </w:r>
            <w:r w:rsidRPr="00183B5F">
              <w:t xml:space="preserve">neutropeniát és az agranulocytosist is), </w:t>
            </w:r>
          </w:p>
          <w:p w14:paraId="549CD89F" w14:textId="77777777" w:rsidR="00764497" w:rsidRPr="00183B5F" w:rsidRDefault="00943743" w:rsidP="002D49EE">
            <w:pPr>
              <w:widowControl w:val="0"/>
              <w:suppressAutoHyphens w:val="0"/>
              <w:spacing w:line="240" w:lineRule="auto"/>
            </w:pPr>
            <w:r w:rsidRPr="00183B5F">
              <w:t xml:space="preserve">anaemia </w:t>
            </w:r>
          </w:p>
          <w:p w14:paraId="202F2B4C" w14:textId="77777777" w:rsidR="00764497" w:rsidRPr="00183B5F" w:rsidRDefault="00764497" w:rsidP="002D49EE">
            <w:pPr>
              <w:widowControl w:val="0"/>
              <w:suppressAutoHyphens w:val="0"/>
              <w:spacing w:line="240" w:lineRule="auto"/>
              <w:rPr>
                <w:b/>
              </w:rPr>
            </w:pPr>
          </w:p>
        </w:tc>
      </w:tr>
      <w:tr w:rsidR="00011D2F" w14:paraId="3856893C" w14:textId="77777777" w:rsidTr="00202B95">
        <w:tc>
          <w:tcPr>
            <w:tcW w:w="2580" w:type="dxa"/>
            <w:vMerge/>
          </w:tcPr>
          <w:p w14:paraId="3669347B" w14:textId="77777777" w:rsidR="00764497" w:rsidRPr="00183B5F" w:rsidRDefault="00764497"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7D0F1704" w14:textId="77777777" w:rsidR="00764497" w:rsidRPr="00183B5F" w:rsidRDefault="00943743" w:rsidP="002D49EE">
            <w:pPr>
              <w:pStyle w:val="EMEANormal"/>
              <w:widowControl w:val="0"/>
              <w:suppressAutoHyphens w:val="0"/>
              <w:jc w:val="both"/>
              <w:rPr>
                <w:lang w:val="hu-HU"/>
              </w:rPr>
            </w:pPr>
            <w:r w:rsidRPr="00183B5F">
              <w:rPr>
                <w:lang w:val="hu-HU"/>
              </w:rPr>
              <w:t>Gyakori</w:t>
            </w:r>
          </w:p>
        </w:tc>
        <w:tc>
          <w:tcPr>
            <w:tcW w:w="4454" w:type="dxa"/>
            <w:tcBorders>
              <w:top w:val="single" w:sz="4" w:space="0" w:color="auto"/>
              <w:bottom w:val="single" w:sz="4" w:space="0" w:color="auto"/>
            </w:tcBorders>
          </w:tcPr>
          <w:p w14:paraId="46F2E778" w14:textId="77777777" w:rsidR="00764497" w:rsidRPr="00183B5F" w:rsidRDefault="00943743" w:rsidP="002D49EE">
            <w:pPr>
              <w:widowControl w:val="0"/>
              <w:suppressAutoHyphens w:val="0"/>
              <w:spacing w:line="240" w:lineRule="auto"/>
              <w:rPr>
                <w:szCs w:val="22"/>
              </w:rPr>
            </w:pPr>
            <w:r w:rsidRPr="00183B5F">
              <w:rPr>
                <w:szCs w:val="22"/>
              </w:rPr>
              <w:t>Leukocytosis,</w:t>
            </w:r>
          </w:p>
          <w:p w14:paraId="6FA6B989" w14:textId="77777777" w:rsidR="00764497" w:rsidRPr="00183B5F" w:rsidRDefault="00943743" w:rsidP="002D49EE">
            <w:pPr>
              <w:widowControl w:val="0"/>
              <w:suppressAutoHyphens w:val="0"/>
              <w:spacing w:line="240" w:lineRule="auto"/>
            </w:pPr>
            <w:r w:rsidRPr="00183B5F">
              <w:t xml:space="preserve">thrombocytopenia, </w:t>
            </w:r>
          </w:p>
          <w:p w14:paraId="6A28BFE4" w14:textId="77777777" w:rsidR="00764497" w:rsidRPr="00183B5F" w:rsidRDefault="00764497" w:rsidP="002D49EE">
            <w:pPr>
              <w:widowControl w:val="0"/>
              <w:suppressAutoHyphens w:val="0"/>
              <w:spacing w:line="240" w:lineRule="auto"/>
            </w:pPr>
          </w:p>
        </w:tc>
      </w:tr>
      <w:tr w:rsidR="00011D2F" w14:paraId="4EF0837C" w14:textId="77777777" w:rsidTr="00202B95">
        <w:tc>
          <w:tcPr>
            <w:tcW w:w="2580" w:type="dxa"/>
            <w:vMerge/>
          </w:tcPr>
          <w:p w14:paraId="6ADBA2DA" w14:textId="77777777" w:rsidR="00764497" w:rsidRPr="00183B5F" w:rsidRDefault="00764497" w:rsidP="004062FE">
            <w:pPr>
              <w:widowControl w:val="0"/>
              <w:suppressAutoHyphens w:val="0"/>
              <w:spacing w:line="240" w:lineRule="auto"/>
              <w:jc w:val="center"/>
              <w:rPr>
                <w:b/>
              </w:rPr>
            </w:pPr>
          </w:p>
        </w:tc>
        <w:tc>
          <w:tcPr>
            <w:tcW w:w="2027" w:type="dxa"/>
            <w:tcBorders>
              <w:top w:val="single" w:sz="4" w:space="0" w:color="auto"/>
            </w:tcBorders>
          </w:tcPr>
          <w:p w14:paraId="07038028" w14:textId="77777777" w:rsidR="00764497" w:rsidRPr="00183B5F" w:rsidRDefault="00943743" w:rsidP="002D49EE">
            <w:pPr>
              <w:pStyle w:val="EMEANormal"/>
              <w:widowControl w:val="0"/>
              <w:suppressAutoHyphens w:val="0"/>
              <w:jc w:val="both"/>
              <w:rPr>
                <w:lang w:val="hu-HU"/>
              </w:rPr>
            </w:pPr>
            <w:r w:rsidRPr="00183B5F">
              <w:rPr>
                <w:lang w:val="hu-HU"/>
              </w:rPr>
              <w:t>Nem gyakori</w:t>
            </w:r>
          </w:p>
        </w:tc>
        <w:tc>
          <w:tcPr>
            <w:tcW w:w="4454" w:type="dxa"/>
            <w:tcBorders>
              <w:top w:val="single" w:sz="4" w:space="0" w:color="auto"/>
            </w:tcBorders>
          </w:tcPr>
          <w:p w14:paraId="2C5834DB" w14:textId="77777777" w:rsidR="00764497" w:rsidRPr="00183B5F" w:rsidRDefault="00943743" w:rsidP="002D49EE">
            <w:pPr>
              <w:widowControl w:val="0"/>
              <w:suppressAutoHyphens w:val="0"/>
              <w:spacing w:line="240" w:lineRule="auto"/>
            </w:pPr>
            <w:r w:rsidRPr="00183B5F">
              <w:t>Idiopathiás thrombocytopeniás purpura</w:t>
            </w:r>
          </w:p>
        </w:tc>
      </w:tr>
      <w:tr w:rsidR="00011D2F" w14:paraId="5DBCE417" w14:textId="77777777" w:rsidTr="00202B95">
        <w:tc>
          <w:tcPr>
            <w:tcW w:w="2580" w:type="dxa"/>
            <w:vMerge/>
          </w:tcPr>
          <w:p w14:paraId="7BF10249" w14:textId="77777777" w:rsidR="00764497" w:rsidRPr="00183B5F" w:rsidRDefault="00764497" w:rsidP="004062FE">
            <w:pPr>
              <w:widowControl w:val="0"/>
              <w:suppressAutoHyphens w:val="0"/>
              <w:spacing w:line="240" w:lineRule="auto"/>
              <w:jc w:val="center"/>
              <w:rPr>
                <w:b/>
              </w:rPr>
            </w:pPr>
          </w:p>
        </w:tc>
        <w:tc>
          <w:tcPr>
            <w:tcW w:w="2027" w:type="dxa"/>
            <w:tcBorders>
              <w:top w:val="nil"/>
            </w:tcBorders>
          </w:tcPr>
          <w:p w14:paraId="67F1AD58" w14:textId="77777777" w:rsidR="00764497" w:rsidRPr="00183B5F" w:rsidRDefault="00943743" w:rsidP="002D49EE">
            <w:pPr>
              <w:pStyle w:val="EMEANormal"/>
              <w:widowControl w:val="0"/>
              <w:suppressAutoHyphens w:val="0"/>
              <w:jc w:val="both"/>
              <w:rPr>
                <w:lang w:val="hu-HU"/>
              </w:rPr>
            </w:pPr>
            <w:r w:rsidRPr="00183B5F">
              <w:rPr>
                <w:lang w:val="hu-HU"/>
              </w:rPr>
              <w:t>Ritka</w:t>
            </w:r>
          </w:p>
          <w:p w14:paraId="3D93E881" w14:textId="77777777" w:rsidR="00764497" w:rsidRPr="00183B5F" w:rsidRDefault="00764497" w:rsidP="002D49EE">
            <w:pPr>
              <w:pStyle w:val="EMEANormal"/>
              <w:widowControl w:val="0"/>
              <w:suppressAutoHyphens w:val="0"/>
              <w:jc w:val="both"/>
              <w:rPr>
                <w:lang w:val="hu-HU"/>
              </w:rPr>
            </w:pPr>
          </w:p>
        </w:tc>
        <w:tc>
          <w:tcPr>
            <w:tcW w:w="4454" w:type="dxa"/>
            <w:tcBorders>
              <w:top w:val="nil"/>
            </w:tcBorders>
          </w:tcPr>
          <w:p w14:paraId="6E4B670A" w14:textId="77777777" w:rsidR="00764497" w:rsidRPr="00183B5F" w:rsidRDefault="00943743" w:rsidP="002D49EE">
            <w:pPr>
              <w:widowControl w:val="0"/>
              <w:suppressAutoHyphens w:val="0"/>
              <w:spacing w:line="240" w:lineRule="auto"/>
              <w:rPr>
                <w:b/>
              </w:rPr>
            </w:pPr>
            <w:r w:rsidRPr="00183B5F">
              <w:t>Pancytopenia</w:t>
            </w:r>
          </w:p>
        </w:tc>
      </w:tr>
      <w:tr w:rsidR="00011D2F" w14:paraId="5E5C8C26" w14:textId="77777777" w:rsidTr="00202B95">
        <w:tc>
          <w:tcPr>
            <w:tcW w:w="2580" w:type="dxa"/>
            <w:tcBorders>
              <w:bottom w:val="nil"/>
            </w:tcBorders>
          </w:tcPr>
          <w:p w14:paraId="32873121" w14:textId="77777777" w:rsidR="00764497" w:rsidRPr="00183B5F" w:rsidRDefault="00943743" w:rsidP="004062FE">
            <w:pPr>
              <w:pStyle w:val="EMEANormal"/>
              <w:widowControl w:val="0"/>
              <w:suppressAutoHyphens w:val="0"/>
              <w:rPr>
                <w:lang w:val="hu-HU"/>
              </w:rPr>
            </w:pPr>
            <w:r w:rsidRPr="00183B5F">
              <w:rPr>
                <w:szCs w:val="22"/>
                <w:lang w:val="hu-HU"/>
              </w:rPr>
              <w:t>Immunrendszeri betegségek és tünetek</w:t>
            </w:r>
            <w:r w:rsidRPr="00183B5F">
              <w:rPr>
                <w:lang w:val="hu-HU"/>
              </w:rPr>
              <w:t>*</w:t>
            </w:r>
          </w:p>
        </w:tc>
        <w:tc>
          <w:tcPr>
            <w:tcW w:w="2027" w:type="dxa"/>
            <w:tcBorders>
              <w:bottom w:val="nil"/>
            </w:tcBorders>
          </w:tcPr>
          <w:p w14:paraId="0774929D" w14:textId="77777777" w:rsidR="00764497" w:rsidRPr="00183B5F" w:rsidRDefault="00943743" w:rsidP="002D49EE">
            <w:pPr>
              <w:pStyle w:val="EMEANormal"/>
              <w:widowControl w:val="0"/>
              <w:suppressAutoHyphens w:val="0"/>
              <w:rPr>
                <w:lang w:val="hu-HU"/>
              </w:rPr>
            </w:pPr>
            <w:r w:rsidRPr="00183B5F">
              <w:rPr>
                <w:lang w:val="hu-HU"/>
              </w:rPr>
              <w:t>Gyakori</w:t>
            </w:r>
          </w:p>
          <w:p w14:paraId="1E29396D" w14:textId="77777777" w:rsidR="00764497" w:rsidRPr="00183B5F" w:rsidRDefault="00764497" w:rsidP="002D49EE">
            <w:pPr>
              <w:pStyle w:val="EMEANormal"/>
              <w:widowControl w:val="0"/>
              <w:suppressAutoHyphens w:val="0"/>
              <w:rPr>
                <w:lang w:val="hu-HU"/>
              </w:rPr>
            </w:pPr>
          </w:p>
        </w:tc>
        <w:tc>
          <w:tcPr>
            <w:tcW w:w="4454" w:type="dxa"/>
            <w:tcBorders>
              <w:bottom w:val="nil"/>
            </w:tcBorders>
          </w:tcPr>
          <w:p w14:paraId="2E8CBA67" w14:textId="77777777" w:rsidR="00764497" w:rsidRPr="00183B5F" w:rsidRDefault="00943743" w:rsidP="002D49EE">
            <w:pPr>
              <w:pStyle w:val="EMEANormal"/>
              <w:widowControl w:val="0"/>
              <w:suppressAutoHyphens w:val="0"/>
              <w:rPr>
                <w:lang w:val="hu-HU"/>
              </w:rPr>
            </w:pPr>
            <w:r w:rsidRPr="00183B5F">
              <w:rPr>
                <w:lang w:val="hu-HU"/>
              </w:rPr>
              <w:t>Hypersensitivitás,</w:t>
            </w:r>
          </w:p>
          <w:p w14:paraId="67D7D6E9" w14:textId="77777777" w:rsidR="00764497" w:rsidRPr="00183B5F" w:rsidRDefault="00943743" w:rsidP="002D49EE">
            <w:pPr>
              <w:pStyle w:val="EMEANormal"/>
              <w:widowControl w:val="0"/>
              <w:suppressAutoHyphens w:val="0"/>
              <w:rPr>
                <w:lang w:val="hu-HU"/>
              </w:rPr>
            </w:pPr>
            <w:r w:rsidRPr="00183B5F">
              <w:rPr>
                <w:lang w:val="hu-HU"/>
              </w:rPr>
              <w:t>allergiák (beleértve a szezonális allergiát is)</w:t>
            </w:r>
          </w:p>
        </w:tc>
      </w:tr>
      <w:tr w:rsidR="00011D2F" w14:paraId="50A388BB" w14:textId="77777777" w:rsidTr="00202B95">
        <w:tc>
          <w:tcPr>
            <w:tcW w:w="2580" w:type="dxa"/>
            <w:tcBorders>
              <w:top w:val="nil"/>
              <w:bottom w:val="nil"/>
            </w:tcBorders>
          </w:tcPr>
          <w:p w14:paraId="1F79700A" w14:textId="77777777" w:rsidR="00D22F6B" w:rsidRPr="00183B5F" w:rsidRDefault="00D22F6B" w:rsidP="004062FE">
            <w:pPr>
              <w:pStyle w:val="EMEANormal"/>
              <w:widowControl w:val="0"/>
              <w:suppressAutoHyphens w:val="0"/>
              <w:rPr>
                <w:szCs w:val="22"/>
                <w:lang w:val="hu-HU"/>
              </w:rPr>
            </w:pPr>
          </w:p>
        </w:tc>
        <w:tc>
          <w:tcPr>
            <w:tcW w:w="2027" w:type="dxa"/>
            <w:tcBorders>
              <w:bottom w:val="nil"/>
            </w:tcBorders>
          </w:tcPr>
          <w:p w14:paraId="10CBE822" w14:textId="77777777" w:rsidR="00D22F6B" w:rsidRPr="00183B5F" w:rsidRDefault="00943743" w:rsidP="002D49EE">
            <w:pPr>
              <w:pStyle w:val="EMEANormal"/>
              <w:widowControl w:val="0"/>
              <w:suppressAutoHyphens w:val="0"/>
              <w:rPr>
                <w:lang w:val="hu-HU"/>
              </w:rPr>
            </w:pPr>
            <w:r w:rsidRPr="00183B5F">
              <w:rPr>
                <w:szCs w:val="22"/>
                <w:lang w:val="hu-HU"/>
              </w:rPr>
              <w:t>Nem gyakori</w:t>
            </w:r>
          </w:p>
        </w:tc>
        <w:tc>
          <w:tcPr>
            <w:tcW w:w="4454" w:type="dxa"/>
            <w:tcBorders>
              <w:bottom w:val="nil"/>
            </w:tcBorders>
          </w:tcPr>
          <w:p w14:paraId="7995122D" w14:textId="77777777" w:rsidR="00D22F6B" w:rsidRPr="00183B5F" w:rsidRDefault="00943743" w:rsidP="002D49EE">
            <w:pPr>
              <w:pStyle w:val="EMEANormal"/>
              <w:widowControl w:val="0"/>
              <w:suppressAutoHyphens w:val="0"/>
              <w:rPr>
                <w:lang w:val="hu-HU"/>
              </w:rPr>
            </w:pPr>
            <w:r w:rsidRPr="00183B5F">
              <w:rPr>
                <w:szCs w:val="22"/>
                <w:lang w:val="hu-HU"/>
              </w:rPr>
              <w:t>Sarcoidosis</w:t>
            </w:r>
            <w:r w:rsidRPr="00183B5F">
              <w:rPr>
                <w:szCs w:val="22"/>
                <w:vertAlign w:val="superscript"/>
                <w:lang w:val="hu-HU"/>
              </w:rPr>
              <w:t>1</w:t>
            </w:r>
            <w:r w:rsidRPr="00183B5F">
              <w:rPr>
                <w:vertAlign w:val="superscript"/>
                <w:lang w:val="hu-HU"/>
              </w:rPr>
              <w:t>)</w:t>
            </w:r>
            <w:r w:rsidRPr="00183B5F">
              <w:rPr>
                <w:lang w:val="hu-HU"/>
              </w:rPr>
              <w:t>,</w:t>
            </w:r>
          </w:p>
          <w:p w14:paraId="66E74088" w14:textId="77777777" w:rsidR="00D22F6B" w:rsidRPr="00183B5F" w:rsidRDefault="00943743" w:rsidP="002D49EE">
            <w:pPr>
              <w:pStyle w:val="EMEANormal"/>
              <w:widowControl w:val="0"/>
              <w:suppressAutoHyphens w:val="0"/>
              <w:rPr>
                <w:lang w:val="hu-HU"/>
              </w:rPr>
            </w:pPr>
            <w:r w:rsidRPr="00183B5F">
              <w:rPr>
                <w:lang w:val="hu-HU"/>
              </w:rPr>
              <w:t>Vasculitis</w:t>
            </w:r>
          </w:p>
        </w:tc>
      </w:tr>
      <w:tr w:rsidR="00011D2F" w14:paraId="54D9B48D" w14:textId="77777777" w:rsidTr="00202B95">
        <w:tc>
          <w:tcPr>
            <w:tcW w:w="2580" w:type="dxa"/>
            <w:tcBorders>
              <w:top w:val="nil"/>
            </w:tcBorders>
          </w:tcPr>
          <w:p w14:paraId="2CC15A48" w14:textId="77777777" w:rsidR="00D22F6B" w:rsidRPr="00183B5F" w:rsidRDefault="00D22F6B" w:rsidP="004062FE">
            <w:pPr>
              <w:pStyle w:val="EMEANormal"/>
              <w:widowControl w:val="0"/>
              <w:suppressAutoHyphens w:val="0"/>
              <w:rPr>
                <w:szCs w:val="22"/>
                <w:lang w:val="hu-HU"/>
              </w:rPr>
            </w:pPr>
          </w:p>
        </w:tc>
        <w:tc>
          <w:tcPr>
            <w:tcW w:w="2027" w:type="dxa"/>
            <w:tcBorders>
              <w:bottom w:val="nil"/>
            </w:tcBorders>
          </w:tcPr>
          <w:p w14:paraId="10B148A9" w14:textId="77777777" w:rsidR="00D22F6B" w:rsidRPr="00183B5F" w:rsidRDefault="00943743" w:rsidP="002D49EE">
            <w:pPr>
              <w:pStyle w:val="EMEANormal"/>
              <w:widowControl w:val="0"/>
              <w:suppressAutoHyphens w:val="0"/>
              <w:rPr>
                <w:lang w:val="hu-HU"/>
              </w:rPr>
            </w:pPr>
            <w:r w:rsidRPr="00183B5F">
              <w:rPr>
                <w:szCs w:val="22"/>
                <w:lang w:val="hu-HU"/>
              </w:rPr>
              <w:t xml:space="preserve">Ritka </w:t>
            </w:r>
          </w:p>
        </w:tc>
        <w:tc>
          <w:tcPr>
            <w:tcW w:w="4454" w:type="dxa"/>
            <w:tcBorders>
              <w:bottom w:val="nil"/>
            </w:tcBorders>
          </w:tcPr>
          <w:p w14:paraId="7C3D4053" w14:textId="77777777" w:rsidR="00D22F6B" w:rsidRPr="00183B5F" w:rsidRDefault="00943743" w:rsidP="002D49EE">
            <w:pPr>
              <w:pStyle w:val="EMEANormal"/>
              <w:widowControl w:val="0"/>
              <w:suppressAutoHyphens w:val="0"/>
              <w:rPr>
                <w:lang w:val="hu-HU"/>
              </w:rPr>
            </w:pPr>
            <w:r w:rsidRPr="00183B5F">
              <w:rPr>
                <w:szCs w:val="22"/>
                <w:lang w:val="hu-HU"/>
              </w:rPr>
              <w:t>Anaphylaxia</w:t>
            </w:r>
            <w:r w:rsidRPr="00183B5F">
              <w:rPr>
                <w:szCs w:val="22"/>
                <w:vertAlign w:val="superscript"/>
                <w:lang w:val="hu-HU"/>
              </w:rPr>
              <w:t>1)</w:t>
            </w:r>
          </w:p>
        </w:tc>
      </w:tr>
      <w:tr w:rsidR="00011D2F" w14:paraId="1E408762" w14:textId="77777777" w:rsidTr="00202B95">
        <w:tc>
          <w:tcPr>
            <w:tcW w:w="2580" w:type="dxa"/>
            <w:vMerge w:val="restart"/>
          </w:tcPr>
          <w:p w14:paraId="3EF05D90" w14:textId="77777777" w:rsidR="00764497" w:rsidRPr="00183B5F" w:rsidRDefault="00943743" w:rsidP="004062FE">
            <w:pPr>
              <w:pStyle w:val="EMEANormal"/>
              <w:widowControl w:val="0"/>
              <w:suppressAutoHyphens w:val="0"/>
              <w:rPr>
                <w:szCs w:val="22"/>
                <w:lang w:val="hu-HU"/>
              </w:rPr>
            </w:pPr>
            <w:r w:rsidRPr="00183B5F">
              <w:rPr>
                <w:szCs w:val="22"/>
                <w:lang w:val="hu-HU"/>
              </w:rPr>
              <w:t>Anyagcsere- és táplálkozási betegségek és tünetek</w:t>
            </w:r>
          </w:p>
        </w:tc>
        <w:tc>
          <w:tcPr>
            <w:tcW w:w="2027" w:type="dxa"/>
            <w:tcBorders>
              <w:bottom w:val="single" w:sz="4" w:space="0" w:color="auto"/>
            </w:tcBorders>
          </w:tcPr>
          <w:p w14:paraId="26423D13" w14:textId="77777777" w:rsidR="00764497" w:rsidRPr="00183B5F" w:rsidRDefault="00943743" w:rsidP="002D49EE">
            <w:pPr>
              <w:pStyle w:val="EMEANormal"/>
              <w:widowControl w:val="0"/>
              <w:suppressAutoHyphens w:val="0"/>
              <w:rPr>
                <w:lang w:val="hu-HU"/>
              </w:rPr>
            </w:pPr>
            <w:r w:rsidRPr="00183B5F">
              <w:rPr>
                <w:lang w:val="hu-HU"/>
              </w:rPr>
              <w:t>Nagyon gyakori</w:t>
            </w:r>
          </w:p>
          <w:p w14:paraId="562DBA9F" w14:textId="77777777" w:rsidR="00764497" w:rsidRPr="00183B5F" w:rsidRDefault="00764497" w:rsidP="002D49EE">
            <w:pPr>
              <w:pStyle w:val="EMEANormal"/>
              <w:widowControl w:val="0"/>
              <w:suppressAutoHyphens w:val="0"/>
              <w:rPr>
                <w:lang w:val="hu-HU"/>
              </w:rPr>
            </w:pPr>
          </w:p>
        </w:tc>
        <w:tc>
          <w:tcPr>
            <w:tcW w:w="4454" w:type="dxa"/>
            <w:tcBorders>
              <w:bottom w:val="single" w:sz="4" w:space="0" w:color="auto"/>
            </w:tcBorders>
          </w:tcPr>
          <w:p w14:paraId="335D52DC" w14:textId="77777777" w:rsidR="00764497" w:rsidRPr="00183B5F" w:rsidRDefault="00943743" w:rsidP="002D49EE">
            <w:pPr>
              <w:pStyle w:val="EMEANormal"/>
              <w:widowControl w:val="0"/>
              <w:suppressAutoHyphens w:val="0"/>
              <w:rPr>
                <w:lang w:val="hu-HU"/>
              </w:rPr>
            </w:pPr>
            <w:r w:rsidRPr="00183B5F">
              <w:rPr>
                <w:lang w:val="hu-HU"/>
              </w:rPr>
              <w:t xml:space="preserve">Emelkedett lipidszint </w:t>
            </w:r>
          </w:p>
        </w:tc>
      </w:tr>
      <w:tr w:rsidR="00011D2F" w14:paraId="6FE4F964" w14:textId="77777777" w:rsidTr="00202B95">
        <w:trPr>
          <w:trHeight w:val="3085"/>
        </w:trPr>
        <w:tc>
          <w:tcPr>
            <w:tcW w:w="2580" w:type="dxa"/>
            <w:vMerge/>
          </w:tcPr>
          <w:p w14:paraId="2C967CB1" w14:textId="77777777" w:rsidR="00764497" w:rsidRPr="00183B5F" w:rsidRDefault="00764497" w:rsidP="004062FE">
            <w:pPr>
              <w:pStyle w:val="EMEANormal"/>
              <w:widowControl w:val="0"/>
              <w:suppressAutoHyphens w:val="0"/>
              <w:rPr>
                <w:lang w:val="hu-HU"/>
              </w:rPr>
            </w:pPr>
          </w:p>
        </w:tc>
        <w:tc>
          <w:tcPr>
            <w:tcW w:w="2027" w:type="dxa"/>
            <w:tcBorders>
              <w:top w:val="single" w:sz="4" w:space="0" w:color="auto"/>
            </w:tcBorders>
          </w:tcPr>
          <w:p w14:paraId="243A4DB9" w14:textId="77777777" w:rsidR="00764497" w:rsidRPr="00183B5F" w:rsidRDefault="00943743" w:rsidP="002D49EE">
            <w:pPr>
              <w:pStyle w:val="EMEANormal"/>
              <w:widowControl w:val="0"/>
              <w:suppressAutoHyphens w:val="0"/>
              <w:rPr>
                <w:lang w:val="hu-HU"/>
              </w:rPr>
            </w:pPr>
            <w:r w:rsidRPr="00183B5F">
              <w:rPr>
                <w:lang w:val="hu-HU"/>
              </w:rPr>
              <w:t>Gyakori</w:t>
            </w:r>
          </w:p>
          <w:p w14:paraId="6BC46741" w14:textId="77777777" w:rsidR="00764497" w:rsidRPr="00183B5F" w:rsidRDefault="00764497" w:rsidP="002D49EE">
            <w:pPr>
              <w:pStyle w:val="EMEANormal"/>
              <w:widowControl w:val="0"/>
              <w:rPr>
                <w:lang w:val="hu-HU"/>
              </w:rPr>
            </w:pPr>
          </w:p>
        </w:tc>
        <w:tc>
          <w:tcPr>
            <w:tcW w:w="4454" w:type="dxa"/>
            <w:tcBorders>
              <w:top w:val="single" w:sz="4" w:space="0" w:color="auto"/>
            </w:tcBorders>
          </w:tcPr>
          <w:p w14:paraId="68BA1987" w14:textId="77777777" w:rsidR="00764497" w:rsidRPr="00183B5F" w:rsidRDefault="00943743" w:rsidP="002D49EE">
            <w:pPr>
              <w:pStyle w:val="EMEANormal"/>
              <w:widowControl w:val="0"/>
              <w:suppressAutoHyphens w:val="0"/>
              <w:rPr>
                <w:lang w:val="hu-HU"/>
              </w:rPr>
            </w:pPr>
            <w:r w:rsidRPr="00183B5F">
              <w:rPr>
                <w:lang w:val="hu-HU"/>
              </w:rPr>
              <w:t xml:space="preserve">Hypokalaemia, </w:t>
            </w:r>
          </w:p>
          <w:p w14:paraId="4672460E" w14:textId="77777777" w:rsidR="00764497" w:rsidRPr="00183B5F" w:rsidRDefault="00943743" w:rsidP="002D49EE">
            <w:pPr>
              <w:pStyle w:val="EMEANormal"/>
              <w:widowControl w:val="0"/>
              <w:suppressAutoHyphens w:val="0"/>
              <w:rPr>
                <w:lang w:val="hu-HU"/>
              </w:rPr>
            </w:pPr>
            <w:r w:rsidRPr="00183B5F">
              <w:rPr>
                <w:lang w:val="hu-HU"/>
              </w:rPr>
              <w:t xml:space="preserve">emelkedett húgysavszint, </w:t>
            </w:r>
          </w:p>
          <w:p w14:paraId="28F66426" w14:textId="77777777" w:rsidR="00764497" w:rsidRPr="00183B5F" w:rsidRDefault="00943743" w:rsidP="002D49EE">
            <w:pPr>
              <w:pStyle w:val="EMEANormal"/>
              <w:widowControl w:val="0"/>
              <w:suppressAutoHyphens w:val="0"/>
              <w:rPr>
                <w:lang w:val="hu-HU"/>
              </w:rPr>
            </w:pPr>
            <w:r w:rsidRPr="00183B5F">
              <w:rPr>
                <w:lang w:val="hu-HU"/>
              </w:rPr>
              <w:t>kóros nátriumszint a vérben,</w:t>
            </w:r>
          </w:p>
          <w:p w14:paraId="0F6CD036" w14:textId="77777777" w:rsidR="00764497" w:rsidRPr="00183B5F" w:rsidRDefault="00943743" w:rsidP="002D49EE">
            <w:pPr>
              <w:pStyle w:val="EMEANormal"/>
              <w:widowControl w:val="0"/>
              <w:suppressAutoHyphens w:val="0"/>
              <w:rPr>
                <w:lang w:val="hu-HU"/>
              </w:rPr>
            </w:pPr>
            <w:r w:rsidRPr="00183B5F">
              <w:rPr>
                <w:lang w:val="hu-HU"/>
              </w:rPr>
              <w:t>hypocalcaemia</w:t>
            </w:r>
          </w:p>
          <w:p w14:paraId="5C7C6941" w14:textId="77777777" w:rsidR="00764497" w:rsidRPr="00183B5F" w:rsidRDefault="00943743" w:rsidP="002D49EE">
            <w:pPr>
              <w:pStyle w:val="EMEANormal"/>
              <w:widowControl w:val="0"/>
              <w:suppressAutoHyphens w:val="0"/>
              <w:rPr>
                <w:lang w:val="hu-HU"/>
              </w:rPr>
            </w:pPr>
            <w:r w:rsidRPr="00183B5F">
              <w:rPr>
                <w:lang w:val="hu-HU"/>
              </w:rPr>
              <w:t>hyperglykaemia,</w:t>
            </w:r>
          </w:p>
          <w:p w14:paraId="2BDEC0F3" w14:textId="77777777" w:rsidR="00764497" w:rsidRPr="00183B5F" w:rsidRDefault="00943743" w:rsidP="002D49EE">
            <w:pPr>
              <w:pStyle w:val="EMEANormal"/>
              <w:widowControl w:val="0"/>
              <w:suppressAutoHyphens w:val="0"/>
              <w:rPr>
                <w:lang w:val="hu-HU"/>
              </w:rPr>
            </w:pPr>
            <w:r w:rsidRPr="00183B5F">
              <w:rPr>
                <w:lang w:val="hu-HU"/>
              </w:rPr>
              <w:t>hypophosphataemia,</w:t>
            </w:r>
          </w:p>
          <w:p w14:paraId="1B9CF80E" w14:textId="77777777" w:rsidR="00764497" w:rsidRPr="00183B5F" w:rsidRDefault="00943743" w:rsidP="002D49EE">
            <w:pPr>
              <w:pStyle w:val="EMEANormal"/>
              <w:widowControl w:val="0"/>
              <w:rPr>
                <w:lang w:val="hu-HU"/>
              </w:rPr>
            </w:pPr>
            <w:r w:rsidRPr="00183B5F">
              <w:rPr>
                <w:lang w:val="hu-HU"/>
              </w:rPr>
              <w:t>dehydratio</w:t>
            </w:r>
          </w:p>
        </w:tc>
      </w:tr>
      <w:tr w:rsidR="00011D2F" w14:paraId="054525D8" w14:textId="77777777" w:rsidTr="00202B95">
        <w:tc>
          <w:tcPr>
            <w:tcW w:w="2580" w:type="dxa"/>
            <w:tcBorders>
              <w:bottom w:val="single" w:sz="4" w:space="0" w:color="auto"/>
            </w:tcBorders>
          </w:tcPr>
          <w:p w14:paraId="3E405608" w14:textId="77777777" w:rsidR="00764497" w:rsidRPr="00183B5F" w:rsidRDefault="00943743" w:rsidP="004062FE">
            <w:pPr>
              <w:pStyle w:val="EMEANormal"/>
              <w:widowControl w:val="0"/>
              <w:suppressAutoHyphens w:val="0"/>
              <w:rPr>
                <w:lang w:val="hu-HU"/>
              </w:rPr>
            </w:pPr>
            <w:r w:rsidRPr="00183B5F">
              <w:rPr>
                <w:lang w:val="hu-HU"/>
              </w:rPr>
              <w:t>Pszichiátriai kórképek</w:t>
            </w:r>
          </w:p>
        </w:tc>
        <w:tc>
          <w:tcPr>
            <w:tcW w:w="2027" w:type="dxa"/>
            <w:tcBorders>
              <w:bottom w:val="single" w:sz="4" w:space="0" w:color="auto"/>
            </w:tcBorders>
          </w:tcPr>
          <w:p w14:paraId="45314F8A" w14:textId="77777777" w:rsidR="00764497" w:rsidRPr="00183B5F" w:rsidRDefault="00943743" w:rsidP="002D49EE">
            <w:pPr>
              <w:pStyle w:val="EMEANormal"/>
              <w:widowControl w:val="0"/>
              <w:suppressAutoHyphens w:val="0"/>
              <w:rPr>
                <w:lang w:val="hu-HU"/>
              </w:rPr>
            </w:pPr>
            <w:r w:rsidRPr="00183B5F">
              <w:rPr>
                <w:lang w:val="hu-HU"/>
              </w:rPr>
              <w:t>Gyakori</w:t>
            </w:r>
          </w:p>
          <w:p w14:paraId="0FC54AC9" w14:textId="77777777" w:rsidR="00764497" w:rsidRPr="00183B5F" w:rsidRDefault="00764497" w:rsidP="002D49EE">
            <w:pPr>
              <w:pStyle w:val="EMEANormal"/>
              <w:widowControl w:val="0"/>
              <w:suppressAutoHyphens w:val="0"/>
              <w:rPr>
                <w:lang w:val="hu-HU"/>
              </w:rPr>
            </w:pPr>
          </w:p>
        </w:tc>
        <w:tc>
          <w:tcPr>
            <w:tcW w:w="4454" w:type="dxa"/>
            <w:tcBorders>
              <w:bottom w:val="single" w:sz="4" w:space="0" w:color="auto"/>
            </w:tcBorders>
          </w:tcPr>
          <w:p w14:paraId="1ED2B8D8" w14:textId="77777777" w:rsidR="00764497" w:rsidRPr="00183B5F" w:rsidRDefault="00943743" w:rsidP="002D49EE">
            <w:pPr>
              <w:pStyle w:val="EMEANormal"/>
              <w:widowControl w:val="0"/>
              <w:suppressAutoHyphens w:val="0"/>
              <w:rPr>
                <w:lang w:val="hu-HU"/>
              </w:rPr>
            </w:pPr>
            <w:r w:rsidRPr="00183B5F">
              <w:rPr>
                <w:lang w:val="hu-HU"/>
              </w:rPr>
              <w:t xml:space="preserve">Hangulatváltozás (beleértve a depressziót is), </w:t>
            </w:r>
          </w:p>
          <w:p w14:paraId="1509F650" w14:textId="77777777" w:rsidR="00C17B6B" w:rsidRPr="00183B5F" w:rsidRDefault="00943743" w:rsidP="002D49EE">
            <w:pPr>
              <w:pStyle w:val="EMEANormal"/>
              <w:widowControl w:val="0"/>
              <w:suppressAutoHyphens w:val="0"/>
              <w:rPr>
                <w:lang w:val="hu-HU"/>
              </w:rPr>
            </w:pPr>
            <w:r w:rsidRPr="00183B5F">
              <w:rPr>
                <w:lang w:val="hu-HU"/>
              </w:rPr>
              <w:t xml:space="preserve">szorongás, </w:t>
            </w:r>
          </w:p>
          <w:p w14:paraId="3A3B053F" w14:textId="77777777" w:rsidR="00764497" w:rsidRPr="00183B5F" w:rsidRDefault="00943743" w:rsidP="002D49EE">
            <w:pPr>
              <w:pStyle w:val="EMEANormal"/>
              <w:widowControl w:val="0"/>
              <w:suppressAutoHyphens w:val="0"/>
              <w:rPr>
                <w:lang w:val="hu-HU"/>
              </w:rPr>
            </w:pPr>
            <w:r w:rsidRPr="00183B5F">
              <w:rPr>
                <w:lang w:val="hu-HU"/>
              </w:rPr>
              <w:t>insomnia</w:t>
            </w:r>
          </w:p>
        </w:tc>
      </w:tr>
      <w:tr w:rsidR="00011D2F" w14:paraId="3F0F6071" w14:textId="77777777" w:rsidTr="00202B95">
        <w:tc>
          <w:tcPr>
            <w:tcW w:w="2580" w:type="dxa"/>
            <w:vMerge w:val="restart"/>
            <w:tcBorders>
              <w:bottom w:val="single" w:sz="4" w:space="0" w:color="auto"/>
            </w:tcBorders>
          </w:tcPr>
          <w:p w14:paraId="48C98EC8" w14:textId="77777777" w:rsidR="00764497" w:rsidRPr="00183B5F" w:rsidRDefault="00943743" w:rsidP="004062FE">
            <w:pPr>
              <w:pStyle w:val="EMEANormal"/>
              <w:widowControl w:val="0"/>
              <w:suppressAutoHyphens w:val="0"/>
              <w:rPr>
                <w:lang w:val="hu-HU"/>
              </w:rPr>
            </w:pPr>
            <w:r w:rsidRPr="00183B5F">
              <w:rPr>
                <w:lang w:val="hu-HU"/>
              </w:rPr>
              <w:t>Idegrendszeri betegségek és tünetek*</w:t>
            </w:r>
          </w:p>
        </w:tc>
        <w:tc>
          <w:tcPr>
            <w:tcW w:w="2027" w:type="dxa"/>
            <w:tcBorders>
              <w:bottom w:val="single" w:sz="4" w:space="0" w:color="auto"/>
            </w:tcBorders>
          </w:tcPr>
          <w:p w14:paraId="77777B26" w14:textId="77777777" w:rsidR="00764497" w:rsidRPr="00183B5F" w:rsidRDefault="00943743" w:rsidP="002D49EE">
            <w:pPr>
              <w:pStyle w:val="EMEANormal"/>
              <w:widowControl w:val="0"/>
              <w:suppressAutoHyphens w:val="0"/>
              <w:rPr>
                <w:lang w:val="hu-HU"/>
              </w:rPr>
            </w:pPr>
            <w:r w:rsidRPr="00183B5F">
              <w:rPr>
                <w:lang w:val="hu-HU"/>
              </w:rPr>
              <w:t>Nagyon gyakori</w:t>
            </w:r>
          </w:p>
          <w:p w14:paraId="3DBC619B" w14:textId="77777777" w:rsidR="00764497" w:rsidRPr="00183B5F" w:rsidRDefault="00764497" w:rsidP="002D49EE">
            <w:pPr>
              <w:pStyle w:val="EMEANormal"/>
              <w:widowControl w:val="0"/>
              <w:suppressAutoHyphens w:val="0"/>
              <w:rPr>
                <w:lang w:val="hu-HU"/>
              </w:rPr>
            </w:pPr>
          </w:p>
        </w:tc>
        <w:tc>
          <w:tcPr>
            <w:tcW w:w="4454" w:type="dxa"/>
            <w:tcBorders>
              <w:bottom w:val="single" w:sz="4" w:space="0" w:color="auto"/>
            </w:tcBorders>
          </w:tcPr>
          <w:p w14:paraId="7EF95A6F" w14:textId="77777777" w:rsidR="00764497" w:rsidRPr="00183B5F" w:rsidRDefault="00943743" w:rsidP="002D49EE">
            <w:pPr>
              <w:pStyle w:val="EMEANormal"/>
              <w:widowControl w:val="0"/>
              <w:suppressAutoHyphens w:val="0"/>
              <w:rPr>
                <w:lang w:val="hu-HU"/>
              </w:rPr>
            </w:pPr>
            <w:r w:rsidRPr="00183B5F">
              <w:rPr>
                <w:lang w:val="hu-HU"/>
              </w:rPr>
              <w:t>Fejfájás</w:t>
            </w:r>
          </w:p>
        </w:tc>
      </w:tr>
      <w:tr w:rsidR="00011D2F" w14:paraId="38ADAC90" w14:textId="77777777" w:rsidTr="00202B95">
        <w:tc>
          <w:tcPr>
            <w:tcW w:w="2580" w:type="dxa"/>
            <w:vMerge/>
            <w:tcBorders>
              <w:top w:val="single" w:sz="4" w:space="0" w:color="auto"/>
            </w:tcBorders>
          </w:tcPr>
          <w:p w14:paraId="4BF39C4D" w14:textId="77777777" w:rsidR="00764497" w:rsidRPr="00183B5F" w:rsidRDefault="00764497" w:rsidP="004062FE">
            <w:pPr>
              <w:pStyle w:val="EMEANormal"/>
              <w:widowControl w:val="0"/>
              <w:suppressAutoHyphens w:val="0"/>
              <w:rPr>
                <w:lang w:val="hu-HU"/>
              </w:rPr>
            </w:pPr>
          </w:p>
        </w:tc>
        <w:tc>
          <w:tcPr>
            <w:tcW w:w="2027" w:type="dxa"/>
            <w:tcBorders>
              <w:top w:val="single" w:sz="4" w:space="0" w:color="auto"/>
              <w:bottom w:val="single" w:sz="4" w:space="0" w:color="auto"/>
            </w:tcBorders>
          </w:tcPr>
          <w:p w14:paraId="5BC01A3A" w14:textId="77777777" w:rsidR="00764497" w:rsidRPr="00183B5F" w:rsidRDefault="00943743" w:rsidP="002D49EE">
            <w:pPr>
              <w:pStyle w:val="EMEANormal"/>
              <w:widowControl w:val="0"/>
              <w:suppressAutoHyphens w:val="0"/>
              <w:rPr>
                <w:lang w:val="hu-HU"/>
              </w:rPr>
            </w:pPr>
            <w:r w:rsidRPr="00183B5F">
              <w:rPr>
                <w:lang w:val="hu-HU"/>
              </w:rPr>
              <w:t>Gyakori</w:t>
            </w:r>
          </w:p>
          <w:p w14:paraId="73BAFE41" w14:textId="77777777" w:rsidR="00764497" w:rsidRPr="00183B5F" w:rsidRDefault="00764497" w:rsidP="002D49EE">
            <w:pPr>
              <w:pStyle w:val="EMEANormal"/>
              <w:widowControl w:val="0"/>
              <w:suppressAutoHyphens w:val="0"/>
              <w:rPr>
                <w:lang w:val="hu-HU"/>
              </w:rPr>
            </w:pPr>
          </w:p>
        </w:tc>
        <w:tc>
          <w:tcPr>
            <w:tcW w:w="4454" w:type="dxa"/>
            <w:tcBorders>
              <w:top w:val="single" w:sz="4" w:space="0" w:color="auto"/>
              <w:bottom w:val="single" w:sz="4" w:space="0" w:color="auto"/>
            </w:tcBorders>
          </w:tcPr>
          <w:p w14:paraId="67B905FD" w14:textId="77777777" w:rsidR="00764497" w:rsidRPr="00183B5F" w:rsidRDefault="00943743" w:rsidP="002D49EE">
            <w:pPr>
              <w:pStyle w:val="EMEANormal"/>
              <w:widowControl w:val="0"/>
              <w:suppressAutoHyphens w:val="0"/>
              <w:rPr>
                <w:lang w:val="hu-HU"/>
              </w:rPr>
            </w:pPr>
            <w:r w:rsidRPr="00183B5F">
              <w:rPr>
                <w:lang w:val="hu-HU"/>
              </w:rPr>
              <w:t>Paraesthesiák (beleértve a hypa</w:t>
            </w:r>
            <w:r w:rsidR="00F4121D" w:rsidRPr="00183B5F">
              <w:rPr>
                <w:lang w:val="hu-HU"/>
              </w:rPr>
              <w:t>e</w:t>
            </w:r>
            <w:r w:rsidRPr="00183B5F">
              <w:rPr>
                <w:lang w:val="hu-HU"/>
              </w:rPr>
              <w:t>sthesiát is),</w:t>
            </w:r>
          </w:p>
          <w:p w14:paraId="402796D9" w14:textId="77777777" w:rsidR="00764497" w:rsidRPr="00183B5F" w:rsidRDefault="00943743" w:rsidP="002D49EE">
            <w:pPr>
              <w:pStyle w:val="EMEANormal"/>
              <w:widowControl w:val="0"/>
              <w:suppressAutoHyphens w:val="0"/>
              <w:rPr>
                <w:lang w:val="hu-HU"/>
              </w:rPr>
            </w:pPr>
            <w:r w:rsidRPr="00183B5F">
              <w:rPr>
                <w:lang w:val="hu-HU"/>
              </w:rPr>
              <w:t>migr</w:t>
            </w:r>
            <w:r w:rsidR="00761819" w:rsidRPr="00183B5F">
              <w:rPr>
                <w:lang w:val="hu-HU"/>
              </w:rPr>
              <w:t>é</w:t>
            </w:r>
            <w:r w:rsidRPr="00183B5F">
              <w:rPr>
                <w:lang w:val="hu-HU"/>
              </w:rPr>
              <w:t>n,</w:t>
            </w:r>
          </w:p>
          <w:p w14:paraId="49D2D7CD" w14:textId="77777777" w:rsidR="00764497" w:rsidRPr="00183B5F" w:rsidRDefault="00943743" w:rsidP="002D49EE">
            <w:pPr>
              <w:pStyle w:val="EMEANormal"/>
              <w:widowControl w:val="0"/>
              <w:suppressAutoHyphens w:val="0"/>
              <w:rPr>
                <w:lang w:val="hu-HU"/>
              </w:rPr>
            </w:pPr>
            <w:r w:rsidRPr="00183B5F">
              <w:rPr>
                <w:lang w:val="hu-HU"/>
              </w:rPr>
              <w:t>ideggyök</w:t>
            </w:r>
            <w:r w:rsidR="00F12F0A" w:rsidRPr="00183B5F">
              <w:rPr>
                <w:lang w:val="hu-HU"/>
              </w:rPr>
              <w:t>-</w:t>
            </w:r>
            <w:r w:rsidRPr="00183B5F">
              <w:rPr>
                <w:lang w:val="hu-HU"/>
              </w:rPr>
              <w:t>kompresszió</w:t>
            </w:r>
          </w:p>
        </w:tc>
      </w:tr>
      <w:tr w:rsidR="00011D2F" w14:paraId="63158CAA" w14:textId="77777777" w:rsidTr="00202B95">
        <w:tc>
          <w:tcPr>
            <w:tcW w:w="2580" w:type="dxa"/>
            <w:vMerge/>
          </w:tcPr>
          <w:p w14:paraId="79C1E906" w14:textId="77777777" w:rsidR="00764497" w:rsidRPr="00183B5F" w:rsidRDefault="00764497"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1F158DC8" w14:textId="77777777" w:rsidR="00764497" w:rsidRPr="00183B5F" w:rsidRDefault="00943743" w:rsidP="002D49EE">
            <w:pPr>
              <w:pStyle w:val="EMEANormal"/>
              <w:widowControl w:val="0"/>
              <w:suppressAutoHyphens w:val="0"/>
              <w:rPr>
                <w:lang w:val="hu-HU"/>
              </w:rPr>
            </w:pPr>
            <w:r w:rsidRPr="00183B5F">
              <w:rPr>
                <w:lang w:val="hu-HU"/>
              </w:rPr>
              <w:t>Nem gyakori</w:t>
            </w:r>
          </w:p>
          <w:p w14:paraId="18ECFC36" w14:textId="77777777" w:rsidR="00764497" w:rsidRPr="00183B5F" w:rsidRDefault="00764497" w:rsidP="002D49EE">
            <w:pPr>
              <w:pStyle w:val="EMEANormal"/>
              <w:widowControl w:val="0"/>
              <w:suppressAutoHyphens w:val="0"/>
              <w:rPr>
                <w:lang w:val="hu-HU"/>
              </w:rPr>
            </w:pPr>
          </w:p>
        </w:tc>
        <w:tc>
          <w:tcPr>
            <w:tcW w:w="4454" w:type="dxa"/>
            <w:tcBorders>
              <w:top w:val="single" w:sz="4" w:space="0" w:color="auto"/>
              <w:bottom w:val="single" w:sz="4" w:space="0" w:color="auto"/>
            </w:tcBorders>
          </w:tcPr>
          <w:p w14:paraId="56947331" w14:textId="77777777" w:rsidR="00764497" w:rsidRPr="00183B5F" w:rsidRDefault="00943743" w:rsidP="002D49EE">
            <w:pPr>
              <w:pStyle w:val="EMEANormal"/>
              <w:widowControl w:val="0"/>
              <w:suppressAutoHyphens w:val="0"/>
              <w:rPr>
                <w:szCs w:val="22"/>
                <w:lang w:val="hu-HU"/>
              </w:rPr>
            </w:pPr>
            <w:r w:rsidRPr="00183B5F">
              <w:rPr>
                <w:szCs w:val="22"/>
                <w:lang w:val="hu-HU"/>
              </w:rPr>
              <w:t>Cerebrovascularis történések</w:t>
            </w:r>
            <w:r w:rsidRPr="00183B5F">
              <w:rPr>
                <w:vertAlign w:val="superscript"/>
                <w:lang w:val="hu-HU"/>
              </w:rPr>
              <w:t>1)</w:t>
            </w:r>
            <w:r w:rsidRPr="00183B5F">
              <w:rPr>
                <w:szCs w:val="22"/>
                <w:lang w:val="hu-HU"/>
              </w:rPr>
              <w:t>,</w:t>
            </w:r>
          </w:p>
          <w:p w14:paraId="1813F4E5" w14:textId="77777777" w:rsidR="00764497" w:rsidRPr="00183B5F" w:rsidRDefault="00943743" w:rsidP="002D49EE">
            <w:pPr>
              <w:pStyle w:val="EMEANormal"/>
              <w:widowControl w:val="0"/>
              <w:suppressAutoHyphens w:val="0"/>
              <w:rPr>
                <w:lang w:val="hu-HU"/>
              </w:rPr>
            </w:pPr>
            <w:r w:rsidRPr="00183B5F">
              <w:rPr>
                <w:lang w:val="hu-HU"/>
              </w:rPr>
              <w:t>tremor</w:t>
            </w:r>
          </w:p>
          <w:p w14:paraId="50A6C3B7" w14:textId="77777777" w:rsidR="00764497" w:rsidRPr="00183B5F" w:rsidRDefault="00943743" w:rsidP="002D49EE">
            <w:pPr>
              <w:pStyle w:val="EMEANormal"/>
              <w:widowControl w:val="0"/>
              <w:suppressAutoHyphens w:val="0"/>
              <w:rPr>
                <w:lang w:val="hu-HU"/>
              </w:rPr>
            </w:pPr>
            <w:r w:rsidRPr="00183B5F">
              <w:rPr>
                <w:lang w:val="hu-HU"/>
              </w:rPr>
              <w:t>neuropathia</w:t>
            </w:r>
          </w:p>
          <w:p w14:paraId="28AF2B1C" w14:textId="77777777" w:rsidR="00764497" w:rsidRPr="00183B5F" w:rsidRDefault="00764497" w:rsidP="002D49EE">
            <w:pPr>
              <w:pStyle w:val="EMEANormal"/>
              <w:widowControl w:val="0"/>
              <w:suppressAutoHyphens w:val="0"/>
              <w:rPr>
                <w:lang w:val="hu-HU"/>
              </w:rPr>
            </w:pPr>
          </w:p>
        </w:tc>
      </w:tr>
      <w:tr w:rsidR="00011D2F" w14:paraId="789E2CFB" w14:textId="77777777" w:rsidTr="00202B95">
        <w:tc>
          <w:tcPr>
            <w:tcW w:w="2580" w:type="dxa"/>
            <w:vMerge/>
          </w:tcPr>
          <w:p w14:paraId="4CC23823" w14:textId="77777777" w:rsidR="00764497" w:rsidRPr="00183B5F" w:rsidRDefault="00764497"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51F08383" w14:textId="77777777" w:rsidR="00764497" w:rsidRPr="00183B5F" w:rsidRDefault="00943743" w:rsidP="002D49EE">
            <w:pPr>
              <w:pStyle w:val="EMEANormal"/>
              <w:widowControl w:val="0"/>
              <w:suppressAutoHyphens w:val="0"/>
              <w:rPr>
                <w:lang w:val="hu-HU"/>
              </w:rPr>
            </w:pPr>
            <w:r w:rsidRPr="00183B5F">
              <w:rPr>
                <w:lang w:val="hu-HU"/>
              </w:rPr>
              <w:t>Ritka</w:t>
            </w:r>
          </w:p>
          <w:p w14:paraId="12F2088B" w14:textId="77777777" w:rsidR="00764497" w:rsidRPr="00183B5F" w:rsidRDefault="00764497" w:rsidP="002D49EE">
            <w:pPr>
              <w:pStyle w:val="EMEANormal"/>
              <w:widowControl w:val="0"/>
              <w:suppressAutoHyphens w:val="0"/>
              <w:rPr>
                <w:lang w:val="hu-HU"/>
              </w:rPr>
            </w:pPr>
          </w:p>
        </w:tc>
        <w:tc>
          <w:tcPr>
            <w:tcW w:w="4454" w:type="dxa"/>
            <w:tcBorders>
              <w:top w:val="single" w:sz="4" w:space="0" w:color="auto"/>
              <w:bottom w:val="single" w:sz="4" w:space="0" w:color="auto"/>
            </w:tcBorders>
          </w:tcPr>
          <w:p w14:paraId="6A3E68B4" w14:textId="77777777" w:rsidR="00764497" w:rsidRPr="00183B5F" w:rsidRDefault="00943743" w:rsidP="002D49EE">
            <w:pPr>
              <w:pStyle w:val="EMEANormal"/>
              <w:widowControl w:val="0"/>
              <w:suppressAutoHyphens w:val="0"/>
              <w:rPr>
                <w:lang w:val="hu-HU"/>
              </w:rPr>
            </w:pPr>
            <w:r w:rsidRPr="00183B5F">
              <w:rPr>
                <w:lang w:val="hu-HU"/>
              </w:rPr>
              <w:t>Sclerosis multiplex,</w:t>
            </w:r>
          </w:p>
          <w:p w14:paraId="7743A1AC" w14:textId="77777777" w:rsidR="00764497" w:rsidRPr="00183B5F" w:rsidRDefault="00943743" w:rsidP="002D49EE">
            <w:pPr>
              <w:pStyle w:val="EMEANormal"/>
              <w:widowControl w:val="0"/>
              <w:suppressAutoHyphens w:val="0"/>
              <w:rPr>
                <w:lang w:val="hu-HU"/>
              </w:rPr>
            </w:pPr>
            <w:r w:rsidRPr="00183B5F">
              <w:rPr>
                <w:szCs w:val="22"/>
                <w:lang w:val="hu-HU"/>
              </w:rPr>
              <w:t>demyelinisatiós betegségek (pl. neuritis nervi optici, Guillain</w:t>
            </w:r>
            <w:r w:rsidR="00F12F0A" w:rsidRPr="00183B5F">
              <w:rPr>
                <w:szCs w:val="22"/>
                <w:lang w:val="hu-HU"/>
              </w:rPr>
              <w:t>–</w:t>
            </w:r>
            <w:r w:rsidRPr="00183B5F">
              <w:rPr>
                <w:szCs w:val="22"/>
                <w:lang w:val="hu-HU"/>
              </w:rPr>
              <w:t>Barré-szindróma)</w:t>
            </w:r>
            <w:r w:rsidRPr="00183B5F">
              <w:rPr>
                <w:szCs w:val="22"/>
                <w:vertAlign w:val="superscript"/>
                <w:lang w:val="hu-HU"/>
              </w:rPr>
              <w:t>1)</w:t>
            </w:r>
          </w:p>
        </w:tc>
      </w:tr>
      <w:tr w:rsidR="00011D2F" w14:paraId="48AF6201" w14:textId="77777777" w:rsidTr="00202B95">
        <w:tc>
          <w:tcPr>
            <w:tcW w:w="2580" w:type="dxa"/>
            <w:vMerge w:val="restart"/>
          </w:tcPr>
          <w:p w14:paraId="67308FCB" w14:textId="77777777" w:rsidR="00764497" w:rsidRPr="00183B5F" w:rsidRDefault="00943743" w:rsidP="004062FE">
            <w:pPr>
              <w:pStyle w:val="EMEANormal"/>
              <w:widowControl w:val="0"/>
              <w:suppressAutoHyphens w:val="0"/>
              <w:rPr>
                <w:lang w:val="hu-HU"/>
              </w:rPr>
            </w:pPr>
            <w:r w:rsidRPr="00183B5F">
              <w:rPr>
                <w:lang w:val="hu-HU"/>
              </w:rPr>
              <w:t>Szembetegségek és szemészeti tünetek</w:t>
            </w:r>
          </w:p>
        </w:tc>
        <w:tc>
          <w:tcPr>
            <w:tcW w:w="2027" w:type="dxa"/>
            <w:tcBorders>
              <w:bottom w:val="single" w:sz="4" w:space="0" w:color="auto"/>
            </w:tcBorders>
          </w:tcPr>
          <w:p w14:paraId="4D094D44" w14:textId="77777777" w:rsidR="00764497" w:rsidRPr="00183B5F" w:rsidRDefault="00943743" w:rsidP="002D49EE">
            <w:pPr>
              <w:pStyle w:val="EMEANormal"/>
              <w:widowControl w:val="0"/>
              <w:suppressAutoHyphens w:val="0"/>
              <w:rPr>
                <w:lang w:val="hu-HU"/>
              </w:rPr>
            </w:pPr>
            <w:r w:rsidRPr="00183B5F">
              <w:rPr>
                <w:lang w:val="hu-HU"/>
              </w:rPr>
              <w:t>Gyakori</w:t>
            </w:r>
          </w:p>
          <w:p w14:paraId="78E60078" w14:textId="77777777" w:rsidR="00764497" w:rsidRPr="00183B5F" w:rsidRDefault="00764497" w:rsidP="002D49EE">
            <w:pPr>
              <w:pStyle w:val="EMEANormal"/>
              <w:widowControl w:val="0"/>
              <w:suppressAutoHyphens w:val="0"/>
              <w:rPr>
                <w:lang w:val="hu-HU"/>
              </w:rPr>
            </w:pPr>
          </w:p>
        </w:tc>
        <w:tc>
          <w:tcPr>
            <w:tcW w:w="4454" w:type="dxa"/>
            <w:tcBorders>
              <w:bottom w:val="single" w:sz="4" w:space="0" w:color="auto"/>
            </w:tcBorders>
          </w:tcPr>
          <w:p w14:paraId="2AACE279" w14:textId="77777777" w:rsidR="00764497" w:rsidRPr="00183B5F" w:rsidRDefault="00943743" w:rsidP="002D49EE">
            <w:pPr>
              <w:pStyle w:val="EMEANormal"/>
              <w:widowControl w:val="0"/>
              <w:suppressAutoHyphens w:val="0"/>
              <w:rPr>
                <w:lang w:val="hu-HU"/>
              </w:rPr>
            </w:pPr>
            <w:r w:rsidRPr="00183B5F">
              <w:rPr>
                <w:lang w:val="hu-HU"/>
              </w:rPr>
              <w:t>Látásromlás,</w:t>
            </w:r>
          </w:p>
          <w:p w14:paraId="4578FE91" w14:textId="77777777" w:rsidR="00764497" w:rsidRPr="00183B5F" w:rsidRDefault="00943743" w:rsidP="002D49EE">
            <w:pPr>
              <w:pStyle w:val="EMEANormal"/>
              <w:widowControl w:val="0"/>
              <w:suppressAutoHyphens w:val="0"/>
              <w:rPr>
                <w:lang w:val="hu-HU"/>
              </w:rPr>
            </w:pPr>
            <w:r w:rsidRPr="00183B5F">
              <w:rPr>
                <w:lang w:val="hu-HU"/>
              </w:rPr>
              <w:t>conjunctivitis,</w:t>
            </w:r>
          </w:p>
          <w:p w14:paraId="4DCAECDF" w14:textId="77777777" w:rsidR="00764497" w:rsidRPr="00183B5F" w:rsidRDefault="00943743" w:rsidP="002D49EE">
            <w:pPr>
              <w:pStyle w:val="EMEANormal"/>
              <w:widowControl w:val="0"/>
              <w:suppressAutoHyphens w:val="0"/>
              <w:rPr>
                <w:lang w:val="hu-HU"/>
              </w:rPr>
            </w:pPr>
            <w:r w:rsidRPr="00183B5F">
              <w:rPr>
                <w:lang w:val="hu-HU"/>
              </w:rPr>
              <w:t>blepharitis,</w:t>
            </w:r>
          </w:p>
          <w:p w14:paraId="7CEE0BF0" w14:textId="77777777" w:rsidR="00764497" w:rsidRPr="00183B5F" w:rsidRDefault="00943743" w:rsidP="002D49EE">
            <w:pPr>
              <w:pStyle w:val="EMEANormal"/>
              <w:widowControl w:val="0"/>
              <w:suppressAutoHyphens w:val="0"/>
              <w:rPr>
                <w:lang w:val="hu-HU"/>
              </w:rPr>
            </w:pPr>
            <w:r w:rsidRPr="00183B5F">
              <w:rPr>
                <w:lang w:val="hu-HU"/>
              </w:rPr>
              <w:t>szemkörnyéki duzzanat</w:t>
            </w:r>
          </w:p>
          <w:p w14:paraId="534CE9BA" w14:textId="77777777" w:rsidR="00764497" w:rsidRPr="00183B5F" w:rsidRDefault="00764497" w:rsidP="002D49EE">
            <w:pPr>
              <w:pStyle w:val="EMEANormal"/>
              <w:widowControl w:val="0"/>
              <w:suppressAutoHyphens w:val="0"/>
              <w:rPr>
                <w:lang w:val="hu-HU"/>
              </w:rPr>
            </w:pPr>
          </w:p>
        </w:tc>
      </w:tr>
      <w:tr w:rsidR="00011D2F" w14:paraId="589603B8" w14:textId="77777777" w:rsidTr="00202B95">
        <w:trPr>
          <w:cantSplit/>
        </w:trPr>
        <w:tc>
          <w:tcPr>
            <w:tcW w:w="2580" w:type="dxa"/>
            <w:vMerge/>
          </w:tcPr>
          <w:p w14:paraId="0B4FAD9D" w14:textId="77777777" w:rsidR="00764497" w:rsidRPr="00183B5F" w:rsidRDefault="00764497"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0AC40D12" w14:textId="77777777" w:rsidR="00764497" w:rsidRPr="00183B5F" w:rsidRDefault="00943743">
            <w:pPr>
              <w:pStyle w:val="EMEANormal"/>
              <w:widowControl w:val="0"/>
              <w:suppressAutoHyphens w:val="0"/>
              <w:rPr>
                <w:lang w:val="hu-HU"/>
              </w:rPr>
            </w:pPr>
            <w:r w:rsidRPr="00183B5F">
              <w:rPr>
                <w:lang w:val="hu-HU"/>
              </w:rPr>
              <w:t>Nem gyakori</w:t>
            </w:r>
          </w:p>
        </w:tc>
        <w:tc>
          <w:tcPr>
            <w:tcW w:w="4454" w:type="dxa"/>
            <w:tcBorders>
              <w:top w:val="single" w:sz="4" w:space="0" w:color="auto"/>
              <w:bottom w:val="single" w:sz="4" w:space="0" w:color="auto"/>
            </w:tcBorders>
          </w:tcPr>
          <w:p w14:paraId="1E362563" w14:textId="77777777" w:rsidR="00764497" w:rsidRPr="00183B5F" w:rsidRDefault="00943743">
            <w:pPr>
              <w:pStyle w:val="EMEANormal"/>
              <w:widowControl w:val="0"/>
              <w:suppressAutoHyphens w:val="0"/>
              <w:rPr>
                <w:lang w:val="hu-HU"/>
              </w:rPr>
            </w:pPr>
            <w:r w:rsidRPr="00183B5F">
              <w:rPr>
                <w:lang w:val="hu-HU"/>
              </w:rPr>
              <w:t>Diplopia</w:t>
            </w:r>
          </w:p>
          <w:p w14:paraId="1E450322" w14:textId="77777777" w:rsidR="00764497" w:rsidRPr="00183B5F" w:rsidRDefault="00764497">
            <w:pPr>
              <w:pStyle w:val="EMEANormal"/>
              <w:widowControl w:val="0"/>
              <w:suppressAutoHyphens w:val="0"/>
              <w:rPr>
                <w:lang w:val="hu-HU"/>
              </w:rPr>
            </w:pPr>
          </w:p>
        </w:tc>
      </w:tr>
      <w:tr w:rsidR="00011D2F" w14:paraId="751CBE09" w14:textId="77777777" w:rsidTr="00202B95">
        <w:trPr>
          <w:cantSplit/>
        </w:trPr>
        <w:tc>
          <w:tcPr>
            <w:tcW w:w="2580" w:type="dxa"/>
            <w:vMerge w:val="restart"/>
          </w:tcPr>
          <w:p w14:paraId="0E1997EB" w14:textId="77777777" w:rsidR="00764497" w:rsidRPr="00183B5F" w:rsidRDefault="00943743" w:rsidP="004062FE">
            <w:pPr>
              <w:pStyle w:val="EMEANormal"/>
              <w:widowControl w:val="0"/>
              <w:suppressAutoHyphens w:val="0"/>
              <w:rPr>
                <w:szCs w:val="22"/>
                <w:lang w:val="hu-HU"/>
              </w:rPr>
            </w:pPr>
            <w:r w:rsidRPr="00183B5F">
              <w:rPr>
                <w:szCs w:val="22"/>
                <w:lang w:val="hu-HU"/>
              </w:rPr>
              <w:t xml:space="preserve">A fül és az egyensúly-érzékelő szerv betegségei és tünetei </w:t>
            </w:r>
          </w:p>
          <w:p w14:paraId="06E5BF55" w14:textId="77777777" w:rsidR="00764497" w:rsidRPr="00183B5F" w:rsidRDefault="00764497" w:rsidP="004062FE">
            <w:pPr>
              <w:pStyle w:val="EMEANormal"/>
              <w:widowControl w:val="0"/>
              <w:suppressAutoHyphens w:val="0"/>
              <w:rPr>
                <w:szCs w:val="22"/>
                <w:lang w:val="hu-HU"/>
              </w:rPr>
            </w:pPr>
          </w:p>
        </w:tc>
        <w:tc>
          <w:tcPr>
            <w:tcW w:w="2027" w:type="dxa"/>
            <w:tcBorders>
              <w:bottom w:val="single" w:sz="4" w:space="0" w:color="auto"/>
            </w:tcBorders>
          </w:tcPr>
          <w:p w14:paraId="36E9D2C2" w14:textId="77777777" w:rsidR="00764497" w:rsidRPr="00183B5F" w:rsidRDefault="00943743" w:rsidP="004062FE">
            <w:pPr>
              <w:pStyle w:val="EMEANormal"/>
              <w:widowControl w:val="0"/>
              <w:suppressAutoHyphens w:val="0"/>
              <w:rPr>
                <w:lang w:val="hu-HU"/>
              </w:rPr>
            </w:pPr>
            <w:r w:rsidRPr="00183B5F">
              <w:rPr>
                <w:lang w:val="hu-HU"/>
              </w:rPr>
              <w:t>Gyakori</w:t>
            </w:r>
          </w:p>
          <w:p w14:paraId="43471CC4" w14:textId="77777777" w:rsidR="00764497" w:rsidRPr="00183B5F" w:rsidRDefault="00764497" w:rsidP="004062FE">
            <w:pPr>
              <w:pStyle w:val="EMEANormal"/>
              <w:widowControl w:val="0"/>
              <w:suppressAutoHyphens w:val="0"/>
              <w:rPr>
                <w:lang w:val="hu-HU"/>
              </w:rPr>
            </w:pPr>
          </w:p>
        </w:tc>
        <w:tc>
          <w:tcPr>
            <w:tcW w:w="4454" w:type="dxa"/>
            <w:tcBorders>
              <w:bottom w:val="single" w:sz="4" w:space="0" w:color="auto"/>
            </w:tcBorders>
          </w:tcPr>
          <w:p w14:paraId="1A275F33" w14:textId="77777777" w:rsidR="00764497" w:rsidRPr="00183B5F" w:rsidRDefault="00943743" w:rsidP="004062FE">
            <w:pPr>
              <w:pStyle w:val="EMEANormal"/>
              <w:widowControl w:val="0"/>
              <w:suppressAutoHyphens w:val="0"/>
              <w:rPr>
                <w:lang w:val="hu-HU"/>
              </w:rPr>
            </w:pPr>
            <w:r w:rsidRPr="00183B5F">
              <w:rPr>
                <w:lang w:val="hu-HU"/>
              </w:rPr>
              <w:t>Vertigo</w:t>
            </w:r>
          </w:p>
          <w:p w14:paraId="737BF2C1" w14:textId="77777777" w:rsidR="00764497" w:rsidRPr="00183B5F" w:rsidRDefault="00764497" w:rsidP="004062FE">
            <w:pPr>
              <w:pStyle w:val="EMEANormal"/>
              <w:widowControl w:val="0"/>
              <w:suppressAutoHyphens w:val="0"/>
              <w:rPr>
                <w:lang w:val="hu-HU"/>
              </w:rPr>
            </w:pPr>
          </w:p>
        </w:tc>
      </w:tr>
      <w:tr w:rsidR="00011D2F" w14:paraId="4733492C" w14:textId="77777777" w:rsidTr="00202B95">
        <w:trPr>
          <w:cantSplit/>
        </w:trPr>
        <w:tc>
          <w:tcPr>
            <w:tcW w:w="2580" w:type="dxa"/>
            <w:vMerge/>
          </w:tcPr>
          <w:p w14:paraId="6AB35D12" w14:textId="77777777" w:rsidR="00764497" w:rsidRPr="00183B5F" w:rsidRDefault="00764497" w:rsidP="004062FE">
            <w:pPr>
              <w:widowControl w:val="0"/>
              <w:suppressAutoHyphens w:val="0"/>
              <w:spacing w:line="240" w:lineRule="auto"/>
              <w:jc w:val="center"/>
              <w:rPr>
                <w:b/>
              </w:rPr>
            </w:pPr>
          </w:p>
        </w:tc>
        <w:tc>
          <w:tcPr>
            <w:tcW w:w="2027" w:type="dxa"/>
            <w:tcBorders>
              <w:top w:val="single" w:sz="4" w:space="0" w:color="auto"/>
            </w:tcBorders>
          </w:tcPr>
          <w:p w14:paraId="7E067AD7" w14:textId="77777777" w:rsidR="00764497" w:rsidRPr="00183B5F" w:rsidRDefault="00943743">
            <w:pPr>
              <w:pStyle w:val="EMEANormal"/>
              <w:widowControl w:val="0"/>
              <w:suppressAutoHyphens w:val="0"/>
              <w:rPr>
                <w:lang w:val="hu-HU"/>
              </w:rPr>
            </w:pPr>
            <w:r w:rsidRPr="00183B5F">
              <w:rPr>
                <w:lang w:val="hu-HU"/>
              </w:rPr>
              <w:t>Nem gyakori</w:t>
            </w:r>
          </w:p>
          <w:p w14:paraId="59A37B3F" w14:textId="77777777" w:rsidR="00764497" w:rsidRPr="00183B5F" w:rsidRDefault="00764497">
            <w:pPr>
              <w:pStyle w:val="EMEANormal"/>
              <w:widowControl w:val="0"/>
              <w:suppressAutoHyphens w:val="0"/>
              <w:rPr>
                <w:lang w:val="hu-HU"/>
              </w:rPr>
            </w:pPr>
          </w:p>
        </w:tc>
        <w:tc>
          <w:tcPr>
            <w:tcW w:w="4454" w:type="dxa"/>
            <w:tcBorders>
              <w:top w:val="single" w:sz="4" w:space="0" w:color="auto"/>
            </w:tcBorders>
          </w:tcPr>
          <w:p w14:paraId="6FBC0483" w14:textId="77777777" w:rsidR="00764497" w:rsidRPr="00183B5F" w:rsidRDefault="00943743">
            <w:pPr>
              <w:pStyle w:val="EMEANormal"/>
              <w:widowControl w:val="0"/>
              <w:suppressAutoHyphens w:val="0"/>
              <w:rPr>
                <w:lang w:val="hu-HU"/>
              </w:rPr>
            </w:pPr>
            <w:r w:rsidRPr="00183B5F">
              <w:rPr>
                <w:lang w:val="hu-HU"/>
              </w:rPr>
              <w:t xml:space="preserve">Süketség, </w:t>
            </w:r>
          </w:p>
          <w:p w14:paraId="1B06139F" w14:textId="77777777" w:rsidR="00764497" w:rsidRPr="00183B5F" w:rsidRDefault="00943743">
            <w:pPr>
              <w:pStyle w:val="EMEANormal"/>
              <w:widowControl w:val="0"/>
              <w:suppressAutoHyphens w:val="0"/>
              <w:rPr>
                <w:lang w:val="hu-HU"/>
              </w:rPr>
            </w:pPr>
            <w:r w:rsidRPr="00183B5F">
              <w:rPr>
                <w:lang w:val="hu-HU"/>
              </w:rPr>
              <w:t>tinnitus</w:t>
            </w:r>
          </w:p>
          <w:p w14:paraId="532B8251" w14:textId="77777777" w:rsidR="00764497" w:rsidRPr="00183B5F" w:rsidRDefault="00764497">
            <w:pPr>
              <w:pStyle w:val="EMEANormal"/>
              <w:widowControl w:val="0"/>
              <w:suppressAutoHyphens w:val="0"/>
              <w:rPr>
                <w:lang w:val="hu-HU"/>
              </w:rPr>
            </w:pPr>
          </w:p>
        </w:tc>
      </w:tr>
      <w:tr w:rsidR="00011D2F" w14:paraId="7709DA66" w14:textId="77777777" w:rsidTr="00202B95">
        <w:trPr>
          <w:cantSplit/>
        </w:trPr>
        <w:tc>
          <w:tcPr>
            <w:tcW w:w="2580" w:type="dxa"/>
            <w:vMerge w:val="restart"/>
          </w:tcPr>
          <w:p w14:paraId="158AFE78" w14:textId="77777777" w:rsidR="00764497" w:rsidRPr="00183B5F" w:rsidRDefault="00943743" w:rsidP="004062FE">
            <w:pPr>
              <w:pStyle w:val="EMEANormal"/>
              <w:widowControl w:val="0"/>
              <w:suppressAutoHyphens w:val="0"/>
              <w:rPr>
                <w:szCs w:val="22"/>
                <w:lang w:val="hu-HU"/>
              </w:rPr>
            </w:pPr>
            <w:r w:rsidRPr="00183B5F">
              <w:rPr>
                <w:szCs w:val="22"/>
                <w:lang w:val="hu-HU"/>
              </w:rPr>
              <w:t xml:space="preserve">Szívbetegségek és a szívvel kapcsolatos tünetek* </w:t>
            </w:r>
          </w:p>
        </w:tc>
        <w:tc>
          <w:tcPr>
            <w:tcW w:w="2027" w:type="dxa"/>
            <w:tcBorders>
              <w:bottom w:val="single" w:sz="4" w:space="0" w:color="auto"/>
            </w:tcBorders>
          </w:tcPr>
          <w:p w14:paraId="10510123" w14:textId="77777777" w:rsidR="00764497" w:rsidRPr="00183B5F" w:rsidRDefault="00943743" w:rsidP="004062FE">
            <w:pPr>
              <w:pStyle w:val="EMEANormal"/>
              <w:widowControl w:val="0"/>
              <w:suppressAutoHyphens w:val="0"/>
              <w:rPr>
                <w:lang w:val="hu-HU"/>
              </w:rPr>
            </w:pPr>
            <w:r w:rsidRPr="00183B5F">
              <w:rPr>
                <w:lang w:val="hu-HU"/>
              </w:rPr>
              <w:t>Gyakori</w:t>
            </w:r>
          </w:p>
        </w:tc>
        <w:tc>
          <w:tcPr>
            <w:tcW w:w="4454" w:type="dxa"/>
            <w:tcBorders>
              <w:bottom w:val="single" w:sz="4" w:space="0" w:color="auto"/>
            </w:tcBorders>
          </w:tcPr>
          <w:p w14:paraId="0EA55065" w14:textId="77777777" w:rsidR="00764497" w:rsidRPr="00183B5F" w:rsidRDefault="00943743" w:rsidP="004062FE">
            <w:pPr>
              <w:pStyle w:val="EMEANormal"/>
              <w:widowControl w:val="0"/>
              <w:suppressAutoHyphens w:val="0"/>
              <w:rPr>
                <w:lang w:val="hu-HU"/>
              </w:rPr>
            </w:pPr>
            <w:r w:rsidRPr="00183B5F">
              <w:rPr>
                <w:lang w:val="hu-HU"/>
              </w:rPr>
              <w:t>Tachycardia</w:t>
            </w:r>
          </w:p>
        </w:tc>
      </w:tr>
      <w:tr w:rsidR="00011D2F" w14:paraId="641089E9" w14:textId="77777777" w:rsidTr="00202B95">
        <w:trPr>
          <w:cantSplit/>
        </w:trPr>
        <w:tc>
          <w:tcPr>
            <w:tcW w:w="2580" w:type="dxa"/>
            <w:vMerge/>
          </w:tcPr>
          <w:p w14:paraId="500C8599" w14:textId="77777777" w:rsidR="00764497" w:rsidRPr="00183B5F" w:rsidRDefault="00764497" w:rsidP="004062FE">
            <w:pPr>
              <w:pStyle w:val="EMEANormal"/>
              <w:widowControl w:val="0"/>
              <w:suppressAutoHyphens w:val="0"/>
              <w:rPr>
                <w:lang w:val="hu-HU"/>
              </w:rPr>
            </w:pPr>
          </w:p>
        </w:tc>
        <w:tc>
          <w:tcPr>
            <w:tcW w:w="2027" w:type="dxa"/>
            <w:tcBorders>
              <w:top w:val="single" w:sz="4" w:space="0" w:color="auto"/>
              <w:bottom w:val="single" w:sz="4" w:space="0" w:color="auto"/>
            </w:tcBorders>
          </w:tcPr>
          <w:p w14:paraId="0B6E12E1" w14:textId="77777777" w:rsidR="00764497" w:rsidRPr="00183B5F" w:rsidRDefault="00943743" w:rsidP="004062FE">
            <w:pPr>
              <w:pStyle w:val="EMEANormal"/>
              <w:widowControl w:val="0"/>
              <w:suppressAutoHyphens w:val="0"/>
              <w:rPr>
                <w:lang w:val="hu-HU"/>
              </w:rPr>
            </w:pPr>
            <w:r w:rsidRPr="00183B5F">
              <w:rPr>
                <w:lang w:val="hu-HU"/>
              </w:rPr>
              <w:t>Nem gyakori</w:t>
            </w:r>
          </w:p>
          <w:p w14:paraId="18D7027B" w14:textId="77777777" w:rsidR="00764497" w:rsidRPr="00183B5F" w:rsidRDefault="00764497" w:rsidP="004062FE">
            <w:pPr>
              <w:pStyle w:val="EMEANormal"/>
              <w:widowControl w:val="0"/>
              <w:suppressAutoHyphens w:val="0"/>
              <w:rPr>
                <w:lang w:val="hu-HU"/>
              </w:rPr>
            </w:pPr>
          </w:p>
        </w:tc>
        <w:tc>
          <w:tcPr>
            <w:tcW w:w="4454" w:type="dxa"/>
            <w:tcBorders>
              <w:top w:val="single" w:sz="4" w:space="0" w:color="auto"/>
              <w:bottom w:val="single" w:sz="4" w:space="0" w:color="auto"/>
            </w:tcBorders>
          </w:tcPr>
          <w:p w14:paraId="0B86D9C4" w14:textId="77777777" w:rsidR="00764497" w:rsidRPr="00183B5F" w:rsidRDefault="00943743" w:rsidP="004062FE">
            <w:pPr>
              <w:pStyle w:val="EMEANormal"/>
              <w:widowControl w:val="0"/>
              <w:suppressAutoHyphens w:val="0"/>
              <w:rPr>
                <w:szCs w:val="22"/>
                <w:lang w:val="hu-HU"/>
              </w:rPr>
            </w:pPr>
            <w:r w:rsidRPr="00183B5F">
              <w:rPr>
                <w:szCs w:val="22"/>
                <w:lang w:val="hu-HU"/>
              </w:rPr>
              <w:t>Myocardialis infarktus</w:t>
            </w:r>
            <w:r w:rsidRPr="00183B5F">
              <w:rPr>
                <w:vertAlign w:val="superscript"/>
                <w:lang w:val="hu-HU"/>
              </w:rPr>
              <w:t>1)</w:t>
            </w:r>
            <w:r w:rsidRPr="00183B5F">
              <w:rPr>
                <w:szCs w:val="22"/>
                <w:lang w:val="hu-HU"/>
              </w:rPr>
              <w:t>,</w:t>
            </w:r>
          </w:p>
          <w:p w14:paraId="4F5CE6B4" w14:textId="77777777" w:rsidR="00764497" w:rsidRPr="00183B5F" w:rsidRDefault="00943743" w:rsidP="004062FE">
            <w:pPr>
              <w:pStyle w:val="EMEANormal"/>
              <w:widowControl w:val="0"/>
              <w:suppressAutoHyphens w:val="0"/>
              <w:rPr>
                <w:lang w:val="hu-HU"/>
              </w:rPr>
            </w:pPr>
            <w:r w:rsidRPr="00183B5F">
              <w:rPr>
                <w:lang w:val="hu-HU"/>
              </w:rPr>
              <w:t>arrhythmia,</w:t>
            </w:r>
          </w:p>
          <w:p w14:paraId="3A0B7191" w14:textId="77777777" w:rsidR="00764497" w:rsidRPr="00183B5F" w:rsidRDefault="00943743" w:rsidP="00297FBD">
            <w:pPr>
              <w:pStyle w:val="EMEANormal"/>
              <w:widowControl w:val="0"/>
              <w:suppressAutoHyphens w:val="0"/>
              <w:rPr>
                <w:lang w:val="hu-HU"/>
              </w:rPr>
            </w:pPr>
            <w:r w:rsidRPr="00183B5F">
              <w:rPr>
                <w:lang w:val="hu-HU"/>
              </w:rPr>
              <w:t>pangásos szívelégtelenség</w:t>
            </w:r>
          </w:p>
        </w:tc>
      </w:tr>
      <w:tr w:rsidR="00011D2F" w14:paraId="2D7B463B" w14:textId="77777777" w:rsidTr="00202B95">
        <w:trPr>
          <w:cantSplit/>
        </w:trPr>
        <w:tc>
          <w:tcPr>
            <w:tcW w:w="2580" w:type="dxa"/>
            <w:vMerge/>
          </w:tcPr>
          <w:p w14:paraId="69879F5C" w14:textId="77777777" w:rsidR="00764497" w:rsidRPr="00183B5F" w:rsidRDefault="00764497"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12F985F5" w14:textId="77777777" w:rsidR="00764497" w:rsidRPr="00183B5F" w:rsidRDefault="00943743">
            <w:pPr>
              <w:pStyle w:val="EMEANormal"/>
              <w:widowControl w:val="0"/>
              <w:suppressAutoHyphens w:val="0"/>
              <w:rPr>
                <w:lang w:val="hu-HU"/>
              </w:rPr>
            </w:pPr>
            <w:r w:rsidRPr="00183B5F">
              <w:rPr>
                <w:lang w:val="hu-HU"/>
              </w:rPr>
              <w:t>Ritka</w:t>
            </w:r>
          </w:p>
        </w:tc>
        <w:tc>
          <w:tcPr>
            <w:tcW w:w="4454" w:type="dxa"/>
            <w:tcBorders>
              <w:top w:val="single" w:sz="4" w:space="0" w:color="auto"/>
              <w:bottom w:val="single" w:sz="4" w:space="0" w:color="auto"/>
            </w:tcBorders>
          </w:tcPr>
          <w:p w14:paraId="0994D34F" w14:textId="77777777" w:rsidR="00764497" w:rsidRPr="00183B5F" w:rsidRDefault="00943743">
            <w:pPr>
              <w:pStyle w:val="EMEANormal"/>
              <w:widowControl w:val="0"/>
              <w:suppressAutoHyphens w:val="0"/>
              <w:rPr>
                <w:lang w:val="hu-HU"/>
              </w:rPr>
            </w:pPr>
            <w:r w:rsidRPr="00183B5F">
              <w:rPr>
                <w:lang w:val="hu-HU"/>
              </w:rPr>
              <w:t>Szívleállás</w:t>
            </w:r>
          </w:p>
        </w:tc>
      </w:tr>
      <w:tr w:rsidR="00011D2F" w14:paraId="546C6CBA" w14:textId="77777777" w:rsidTr="00202B95">
        <w:trPr>
          <w:cantSplit/>
        </w:trPr>
        <w:tc>
          <w:tcPr>
            <w:tcW w:w="2580" w:type="dxa"/>
            <w:vMerge w:val="restart"/>
          </w:tcPr>
          <w:p w14:paraId="6D4218AD" w14:textId="77777777" w:rsidR="00764497" w:rsidRPr="00183B5F" w:rsidRDefault="00943743" w:rsidP="004062FE">
            <w:pPr>
              <w:pStyle w:val="EMEANormal"/>
              <w:widowControl w:val="0"/>
              <w:suppressAutoHyphens w:val="0"/>
              <w:rPr>
                <w:lang w:val="hu-HU"/>
              </w:rPr>
            </w:pPr>
            <w:r w:rsidRPr="00183B5F">
              <w:rPr>
                <w:lang w:val="hu-HU"/>
              </w:rPr>
              <w:t>Érbetegségek és tünetek</w:t>
            </w:r>
          </w:p>
        </w:tc>
        <w:tc>
          <w:tcPr>
            <w:tcW w:w="2027" w:type="dxa"/>
            <w:tcBorders>
              <w:bottom w:val="single" w:sz="4" w:space="0" w:color="auto"/>
            </w:tcBorders>
          </w:tcPr>
          <w:p w14:paraId="1BB99D7C" w14:textId="77777777" w:rsidR="00764497" w:rsidRPr="00183B5F" w:rsidRDefault="00943743" w:rsidP="004062FE">
            <w:pPr>
              <w:pStyle w:val="EMEANormal"/>
              <w:widowControl w:val="0"/>
              <w:suppressAutoHyphens w:val="0"/>
              <w:rPr>
                <w:lang w:val="hu-HU"/>
              </w:rPr>
            </w:pPr>
            <w:r w:rsidRPr="00183B5F">
              <w:rPr>
                <w:lang w:val="hu-HU"/>
              </w:rPr>
              <w:t>Gyakori</w:t>
            </w:r>
          </w:p>
          <w:p w14:paraId="3ADB629B" w14:textId="77777777" w:rsidR="00764497" w:rsidRPr="00183B5F" w:rsidRDefault="00764497" w:rsidP="004062FE">
            <w:pPr>
              <w:pStyle w:val="EMEANormal"/>
              <w:widowControl w:val="0"/>
              <w:suppressAutoHyphens w:val="0"/>
              <w:rPr>
                <w:lang w:val="hu-HU"/>
              </w:rPr>
            </w:pPr>
          </w:p>
        </w:tc>
        <w:tc>
          <w:tcPr>
            <w:tcW w:w="4454" w:type="dxa"/>
            <w:tcBorders>
              <w:bottom w:val="single" w:sz="4" w:space="0" w:color="auto"/>
            </w:tcBorders>
          </w:tcPr>
          <w:p w14:paraId="0D62B5DE" w14:textId="77777777" w:rsidR="00764497" w:rsidRPr="00183B5F" w:rsidRDefault="00943743" w:rsidP="004062FE">
            <w:pPr>
              <w:pStyle w:val="EMEANormal"/>
              <w:widowControl w:val="0"/>
              <w:suppressAutoHyphens w:val="0"/>
              <w:rPr>
                <w:lang w:val="hu-HU"/>
              </w:rPr>
            </w:pPr>
            <w:r w:rsidRPr="00183B5F">
              <w:rPr>
                <w:lang w:val="hu-HU"/>
              </w:rPr>
              <w:t xml:space="preserve">Hypertensio, </w:t>
            </w:r>
          </w:p>
          <w:p w14:paraId="1EE7CC29" w14:textId="77777777" w:rsidR="00764497" w:rsidRPr="00183B5F" w:rsidRDefault="00943743" w:rsidP="004062FE">
            <w:pPr>
              <w:pStyle w:val="EMEANormal"/>
              <w:widowControl w:val="0"/>
              <w:suppressAutoHyphens w:val="0"/>
              <w:rPr>
                <w:lang w:val="hu-HU"/>
              </w:rPr>
            </w:pPr>
            <w:r w:rsidRPr="00183B5F">
              <w:rPr>
                <w:lang w:val="hu-HU"/>
              </w:rPr>
              <w:t xml:space="preserve">kipirulás, </w:t>
            </w:r>
          </w:p>
          <w:p w14:paraId="3D8FF173" w14:textId="77777777" w:rsidR="00764497" w:rsidRPr="00183B5F" w:rsidRDefault="00943743" w:rsidP="004062FE">
            <w:pPr>
              <w:pStyle w:val="EMEANormal"/>
              <w:widowControl w:val="0"/>
              <w:suppressAutoHyphens w:val="0"/>
              <w:rPr>
                <w:lang w:val="hu-HU"/>
              </w:rPr>
            </w:pPr>
            <w:r w:rsidRPr="00183B5F">
              <w:rPr>
                <w:lang w:val="hu-HU"/>
              </w:rPr>
              <w:t>haematoma</w:t>
            </w:r>
          </w:p>
          <w:p w14:paraId="562E973A" w14:textId="77777777" w:rsidR="00764497" w:rsidRPr="00183B5F" w:rsidRDefault="00764497" w:rsidP="004062FE">
            <w:pPr>
              <w:pStyle w:val="EMEANormal"/>
              <w:widowControl w:val="0"/>
              <w:suppressAutoHyphens w:val="0"/>
              <w:rPr>
                <w:lang w:val="hu-HU"/>
              </w:rPr>
            </w:pPr>
          </w:p>
        </w:tc>
      </w:tr>
      <w:tr w:rsidR="00011D2F" w14:paraId="31A638BA" w14:textId="77777777" w:rsidTr="00202B95">
        <w:trPr>
          <w:cantSplit/>
        </w:trPr>
        <w:tc>
          <w:tcPr>
            <w:tcW w:w="2580" w:type="dxa"/>
            <w:vMerge/>
            <w:tcBorders>
              <w:bottom w:val="single" w:sz="4" w:space="0" w:color="auto"/>
            </w:tcBorders>
          </w:tcPr>
          <w:p w14:paraId="5E94018C" w14:textId="77777777" w:rsidR="00764497" w:rsidRPr="00183B5F" w:rsidRDefault="00764497" w:rsidP="004062FE">
            <w:pPr>
              <w:pStyle w:val="EMEANormal"/>
              <w:widowControl w:val="0"/>
              <w:suppressAutoHyphens w:val="0"/>
              <w:rPr>
                <w:lang w:val="hu-HU"/>
              </w:rPr>
            </w:pPr>
          </w:p>
        </w:tc>
        <w:tc>
          <w:tcPr>
            <w:tcW w:w="2027" w:type="dxa"/>
            <w:tcBorders>
              <w:top w:val="single" w:sz="4" w:space="0" w:color="auto"/>
              <w:bottom w:val="single" w:sz="4" w:space="0" w:color="auto"/>
            </w:tcBorders>
          </w:tcPr>
          <w:p w14:paraId="6F0C39DD" w14:textId="77777777" w:rsidR="00764497" w:rsidRPr="00183B5F" w:rsidRDefault="00943743">
            <w:pPr>
              <w:pStyle w:val="EMEANormal"/>
              <w:widowControl w:val="0"/>
              <w:suppressAutoHyphens w:val="0"/>
              <w:rPr>
                <w:lang w:val="hu-HU"/>
              </w:rPr>
            </w:pPr>
            <w:r w:rsidRPr="00183B5F">
              <w:rPr>
                <w:lang w:val="hu-HU"/>
              </w:rPr>
              <w:t>Nem gyakori</w:t>
            </w:r>
          </w:p>
        </w:tc>
        <w:tc>
          <w:tcPr>
            <w:tcW w:w="4454" w:type="dxa"/>
            <w:tcBorders>
              <w:top w:val="single" w:sz="4" w:space="0" w:color="auto"/>
              <w:bottom w:val="single" w:sz="4" w:space="0" w:color="auto"/>
            </w:tcBorders>
          </w:tcPr>
          <w:p w14:paraId="4314C39A" w14:textId="77777777" w:rsidR="00764497" w:rsidRPr="00183B5F" w:rsidRDefault="00943743">
            <w:pPr>
              <w:pStyle w:val="EMEANormal"/>
              <w:widowControl w:val="0"/>
              <w:suppressAutoHyphens w:val="0"/>
              <w:rPr>
                <w:lang w:val="hu-HU"/>
              </w:rPr>
            </w:pPr>
            <w:r w:rsidRPr="00183B5F">
              <w:rPr>
                <w:lang w:val="hu-HU"/>
              </w:rPr>
              <w:t>Aorta aneurysma,</w:t>
            </w:r>
          </w:p>
          <w:p w14:paraId="0EA0CF94" w14:textId="77777777" w:rsidR="00764497" w:rsidRPr="00183B5F" w:rsidRDefault="00943743">
            <w:pPr>
              <w:pStyle w:val="EMEANormal"/>
              <w:widowControl w:val="0"/>
              <w:suppressAutoHyphens w:val="0"/>
              <w:rPr>
                <w:lang w:val="hu-HU"/>
              </w:rPr>
            </w:pPr>
            <w:r w:rsidRPr="00183B5F">
              <w:rPr>
                <w:lang w:val="hu-HU"/>
              </w:rPr>
              <w:t>arteriás occlusio,</w:t>
            </w:r>
          </w:p>
          <w:p w14:paraId="4A481211" w14:textId="77777777" w:rsidR="00764497" w:rsidRPr="00183B5F" w:rsidRDefault="00943743">
            <w:pPr>
              <w:pStyle w:val="EMEANormal"/>
              <w:widowControl w:val="0"/>
              <w:suppressAutoHyphens w:val="0"/>
              <w:rPr>
                <w:lang w:val="hu-HU"/>
              </w:rPr>
            </w:pPr>
            <w:r w:rsidRPr="00183B5F">
              <w:rPr>
                <w:lang w:val="hu-HU"/>
              </w:rPr>
              <w:t xml:space="preserve">thrombophlebitis, </w:t>
            </w:r>
          </w:p>
          <w:p w14:paraId="49EA03F2" w14:textId="77777777" w:rsidR="00764497" w:rsidRPr="00183B5F" w:rsidRDefault="00764497">
            <w:pPr>
              <w:pStyle w:val="EMEANormal"/>
              <w:widowControl w:val="0"/>
              <w:suppressAutoHyphens w:val="0"/>
              <w:rPr>
                <w:lang w:val="hu-HU"/>
              </w:rPr>
            </w:pPr>
          </w:p>
        </w:tc>
      </w:tr>
      <w:tr w:rsidR="00011D2F" w14:paraId="2C0A3475" w14:textId="77777777" w:rsidTr="00202B95">
        <w:trPr>
          <w:cantSplit/>
        </w:trPr>
        <w:tc>
          <w:tcPr>
            <w:tcW w:w="2580" w:type="dxa"/>
            <w:vMerge w:val="restart"/>
            <w:tcBorders>
              <w:bottom w:val="single" w:sz="4" w:space="0" w:color="auto"/>
            </w:tcBorders>
          </w:tcPr>
          <w:p w14:paraId="50DAFAEE" w14:textId="77777777" w:rsidR="00764497" w:rsidRPr="00183B5F" w:rsidRDefault="00943743" w:rsidP="004062FE">
            <w:pPr>
              <w:pStyle w:val="EMEANormal"/>
              <w:widowControl w:val="0"/>
              <w:suppressAutoHyphens w:val="0"/>
              <w:rPr>
                <w:szCs w:val="22"/>
                <w:lang w:val="hu-HU"/>
              </w:rPr>
            </w:pPr>
            <w:r w:rsidRPr="00183B5F">
              <w:rPr>
                <w:szCs w:val="22"/>
                <w:lang w:val="hu-HU"/>
              </w:rPr>
              <w:t>Légzőrendszeri, mellkasi és mediastinalis betegségek és tünetek*</w:t>
            </w:r>
          </w:p>
        </w:tc>
        <w:tc>
          <w:tcPr>
            <w:tcW w:w="2027" w:type="dxa"/>
            <w:tcBorders>
              <w:bottom w:val="single" w:sz="4" w:space="0" w:color="auto"/>
            </w:tcBorders>
          </w:tcPr>
          <w:p w14:paraId="7BD9619C" w14:textId="77777777" w:rsidR="00764497" w:rsidRPr="00183B5F" w:rsidRDefault="00943743" w:rsidP="004062FE">
            <w:pPr>
              <w:pStyle w:val="EMEANormal"/>
              <w:widowControl w:val="0"/>
              <w:suppressAutoHyphens w:val="0"/>
              <w:rPr>
                <w:lang w:val="hu-HU"/>
              </w:rPr>
            </w:pPr>
            <w:r w:rsidRPr="00183B5F">
              <w:rPr>
                <w:lang w:val="hu-HU"/>
              </w:rPr>
              <w:t>Gyakori</w:t>
            </w:r>
          </w:p>
          <w:p w14:paraId="5D82A61D" w14:textId="77777777" w:rsidR="00764497" w:rsidRPr="00183B5F" w:rsidRDefault="00764497" w:rsidP="004062FE">
            <w:pPr>
              <w:pStyle w:val="EMEANormal"/>
              <w:widowControl w:val="0"/>
              <w:suppressAutoHyphens w:val="0"/>
              <w:rPr>
                <w:lang w:val="hu-HU"/>
              </w:rPr>
            </w:pPr>
          </w:p>
        </w:tc>
        <w:tc>
          <w:tcPr>
            <w:tcW w:w="4454" w:type="dxa"/>
            <w:tcBorders>
              <w:bottom w:val="single" w:sz="4" w:space="0" w:color="auto"/>
            </w:tcBorders>
          </w:tcPr>
          <w:p w14:paraId="782B9DE5" w14:textId="77777777" w:rsidR="00764497" w:rsidRPr="00183B5F" w:rsidRDefault="00943743" w:rsidP="004062FE">
            <w:pPr>
              <w:pStyle w:val="EMEANormal"/>
              <w:widowControl w:val="0"/>
              <w:suppressAutoHyphens w:val="0"/>
              <w:rPr>
                <w:lang w:val="hu-HU"/>
              </w:rPr>
            </w:pPr>
            <w:r w:rsidRPr="00183B5F">
              <w:rPr>
                <w:lang w:val="hu-HU"/>
              </w:rPr>
              <w:t xml:space="preserve">Asthma, </w:t>
            </w:r>
          </w:p>
          <w:p w14:paraId="3C554198" w14:textId="77777777" w:rsidR="00764497" w:rsidRPr="00183B5F" w:rsidRDefault="00943743" w:rsidP="004062FE">
            <w:pPr>
              <w:pStyle w:val="EMEANormal"/>
              <w:widowControl w:val="0"/>
              <w:suppressAutoHyphens w:val="0"/>
              <w:rPr>
                <w:lang w:val="hu-HU"/>
              </w:rPr>
            </w:pPr>
            <w:r w:rsidRPr="00183B5F">
              <w:rPr>
                <w:lang w:val="hu-HU"/>
              </w:rPr>
              <w:t>dyspnoe,</w:t>
            </w:r>
          </w:p>
          <w:p w14:paraId="2DC2312C" w14:textId="77777777" w:rsidR="00764497" w:rsidRPr="00183B5F" w:rsidRDefault="00943743" w:rsidP="004062FE">
            <w:pPr>
              <w:pStyle w:val="EMEANormal"/>
              <w:widowControl w:val="0"/>
              <w:suppressAutoHyphens w:val="0"/>
              <w:rPr>
                <w:lang w:val="hu-HU"/>
              </w:rPr>
            </w:pPr>
            <w:r w:rsidRPr="00183B5F">
              <w:rPr>
                <w:lang w:val="hu-HU"/>
              </w:rPr>
              <w:t>köhögés</w:t>
            </w:r>
          </w:p>
          <w:p w14:paraId="0DE52D5E" w14:textId="77777777" w:rsidR="00764497" w:rsidRPr="00183B5F" w:rsidRDefault="00764497" w:rsidP="004062FE">
            <w:pPr>
              <w:pStyle w:val="EMEANormal"/>
              <w:widowControl w:val="0"/>
              <w:suppressAutoHyphens w:val="0"/>
              <w:rPr>
                <w:lang w:val="hu-HU"/>
              </w:rPr>
            </w:pPr>
          </w:p>
        </w:tc>
      </w:tr>
      <w:tr w:rsidR="00011D2F" w14:paraId="1BA3BE8D" w14:textId="77777777" w:rsidTr="00202B95">
        <w:trPr>
          <w:cantSplit/>
        </w:trPr>
        <w:tc>
          <w:tcPr>
            <w:tcW w:w="2580" w:type="dxa"/>
            <w:vMerge/>
            <w:tcBorders>
              <w:top w:val="single" w:sz="4" w:space="0" w:color="auto"/>
              <w:bottom w:val="nil"/>
            </w:tcBorders>
          </w:tcPr>
          <w:p w14:paraId="1E8B4705" w14:textId="77777777" w:rsidR="00764497" w:rsidRPr="00183B5F" w:rsidRDefault="00764497"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60304E7A" w14:textId="77777777" w:rsidR="00764497" w:rsidRPr="00183B5F" w:rsidRDefault="00943743">
            <w:pPr>
              <w:pStyle w:val="EMEANormal"/>
              <w:widowControl w:val="0"/>
              <w:suppressAutoHyphens w:val="0"/>
              <w:rPr>
                <w:lang w:val="hu-HU"/>
              </w:rPr>
            </w:pPr>
            <w:r w:rsidRPr="00183B5F">
              <w:rPr>
                <w:lang w:val="hu-HU"/>
              </w:rPr>
              <w:t>Nem gyakori</w:t>
            </w:r>
          </w:p>
          <w:p w14:paraId="383F78FC" w14:textId="77777777" w:rsidR="00764497" w:rsidRPr="00183B5F" w:rsidRDefault="00764497">
            <w:pPr>
              <w:pStyle w:val="EMEANormal"/>
              <w:widowControl w:val="0"/>
              <w:suppressAutoHyphens w:val="0"/>
              <w:rPr>
                <w:lang w:val="hu-HU"/>
              </w:rPr>
            </w:pPr>
          </w:p>
          <w:p w14:paraId="76112D24" w14:textId="77777777" w:rsidR="00764497" w:rsidRPr="00183B5F" w:rsidRDefault="00764497">
            <w:pPr>
              <w:pStyle w:val="EMEANormal"/>
              <w:widowControl w:val="0"/>
              <w:suppressAutoHyphens w:val="0"/>
              <w:rPr>
                <w:lang w:val="hu-HU"/>
              </w:rPr>
            </w:pPr>
          </w:p>
          <w:p w14:paraId="0BFDB6DE" w14:textId="77777777" w:rsidR="00764497" w:rsidRPr="00183B5F" w:rsidRDefault="00764497">
            <w:pPr>
              <w:pStyle w:val="EMEANormal"/>
              <w:widowControl w:val="0"/>
              <w:suppressAutoHyphens w:val="0"/>
              <w:rPr>
                <w:lang w:val="hu-HU"/>
              </w:rPr>
            </w:pPr>
          </w:p>
          <w:p w14:paraId="1F5D0EA2" w14:textId="77777777" w:rsidR="00764497" w:rsidRPr="00183B5F" w:rsidRDefault="00764497">
            <w:pPr>
              <w:pStyle w:val="EMEANormal"/>
              <w:widowControl w:val="0"/>
              <w:suppressAutoHyphens w:val="0"/>
              <w:rPr>
                <w:lang w:val="hu-HU"/>
              </w:rPr>
            </w:pPr>
          </w:p>
          <w:p w14:paraId="5007283B" w14:textId="77777777" w:rsidR="00764497" w:rsidRPr="00183B5F" w:rsidRDefault="00764497">
            <w:pPr>
              <w:pStyle w:val="EMEANormal"/>
              <w:widowControl w:val="0"/>
              <w:suppressAutoHyphens w:val="0"/>
              <w:rPr>
                <w:lang w:val="hu-HU"/>
              </w:rPr>
            </w:pPr>
          </w:p>
        </w:tc>
        <w:tc>
          <w:tcPr>
            <w:tcW w:w="4454" w:type="dxa"/>
            <w:tcBorders>
              <w:top w:val="single" w:sz="4" w:space="0" w:color="auto"/>
              <w:bottom w:val="single" w:sz="4" w:space="0" w:color="auto"/>
            </w:tcBorders>
          </w:tcPr>
          <w:p w14:paraId="3D9F2EEF" w14:textId="77777777" w:rsidR="00764497" w:rsidRPr="00183B5F" w:rsidRDefault="00943743">
            <w:pPr>
              <w:pStyle w:val="EMEANormal"/>
              <w:widowControl w:val="0"/>
              <w:suppressAutoHyphens w:val="0"/>
              <w:rPr>
                <w:szCs w:val="22"/>
                <w:lang w:val="hu-HU"/>
              </w:rPr>
            </w:pPr>
            <w:r w:rsidRPr="00183B5F">
              <w:rPr>
                <w:szCs w:val="22"/>
                <w:lang w:val="hu-HU"/>
              </w:rPr>
              <w:t>Tüdőembólia</w:t>
            </w:r>
            <w:r w:rsidRPr="00183B5F">
              <w:rPr>
                <w:szCs w:val="22"/>
                <w:vertAlign w:val="superscript"/>
                <w:lang w:val="hu-HU"/>
              </w:rPr>
              <w:t>1)</w:t>
            </w:r>
            <w:r w:rsidRPr="00183B5F">
              <w:rPr>
                <w:szCs w:val="22"/>
                <w:lang w:val="hu-HU"/>
              </w:rPr>
              <w:t>,</w:t>
            </w:r>
          </w:p>
          <w:p w14:paraId="1ED855F3" w14:textId="77777777" w:rsidR="00C17B6B" w:rsidRPr="00183B5F" w:rsidRDefault="00943743">
            <w:pPr>
              <w:pStyle w:val="EMEANormal"/>
              <w:widowControl w:val="0"/>
              <w:suppressAutoHyphens w:val="0"/>
              <w:rPr>
                <w:szCs w:val="22"/>
                <w:lang w:val="hu-HU"/>
              </w:rPr>
            </w:pPr>
            <w:r w:rsidRPr="00183B5F">
              <w:rPr>
                <w:szCs w:val="22"/>
                <w:lang w:val="hu-HU"/>
              </w:rPr>
              <w:t xml:space="preserve">interstitialis tüdőbetegség, </w:t>
            </w:r>
          </w:p>
          <w:p w14:paraId="6C661DEC" w14:textId="77777777" w:rsidR="00764497" w:rsidRPr="00183B5F" w:rsidRDefault="00943743">
            <w:pPr>
              <w:pStyle w:val="EMEANormal"/>
              <w:widowControl w:val="0"/>
              <w:suppressAutoHyphens w:val="0"/>
              <w:rPr>
                <w:lang w:val="hu-HU"/>
              </w:rPr>
            </w:pPr>
            <w:r w:rsidRPr="00183B5F">
              <w:rPr>
                <w:lang w:val="hu-HU"/>
              </w:rPr>
              <w:t>krónikus obstruktív tüdőbetegség,</w:t>
            </w:r>
          </w:p>
          <w:p w14:paraId="2496CDFD" w14:textId="77777777" w:rsidR="00764497" w:rsidRPr="00183B5F" w:rsidRDefault="00943743">
            <w:pPr>
              <w:pStyle w:val="EMEANormal"/>
              <w:widowControl w:val="0"/>
              <w:suppressAutoHyphens w:val="0"/>
              <w:rPr>
                <w:lang w:val="hu-HU"/>
              </w:rPr>
            </w:pPr>
            <w:r w:rsidRPr="00183B5F">
              <w:rPr>
                <w:lang w:val="hu-HU"/>
              </w:rPr>
              <w:t>pneumonitis,</w:t>
            </w:r>
          </w:p>
          <w:p w14:paraId="48692213" w14:textId="77777777" w:rsidR="00764497" w:rsidRPr="00183B5F" w:rsidRDefault="00943743">
            <w:pPr>
              <w:pStyle w:val="EMEANormal"/>
              <w:widowControl w:val="0"/>
              <w:suppressAutoHyphens w:val="0"/>
              <w:rPr>
                <w:lang w:val="hu-HU"/>
              </w:rPr>
            </w:pPr>
            <w:r w:rsidRPr="00183B5F">
              <w:rPr>
                <w:szCs w:val="22"/>
                <w:lang w:val="hu-HU"/>
              </w:rPr>
              <w:t>pleuralis folyadékgyülem</w:t>
            </w:r>
            <w:r w:rsidRPr="00183B5F">
              <w:rPr>
                <w:szCs w:val="22"/>
                <w:vertAlign w:val="superscript"/>
                <w:lang w:val="hu-HU"/>
              </w:rPr>
              <w:t>1)</w:t>
            </w:r>
          </w:p>
          <w:p w14:paraId="044D1177" w14:textId="77777777" w:rsidR="00764497" w:rsidRPr="00183B5F" w:rsidRDefault="00764497">
            <w:pPr>
              <w:pStyle w:val="EMEANormal"/>
              <w:widowControl w:val="0"/>
              <w:suppressAutoHyphens w:val="0"/>
              <w:rPr>
                <w:lang w:val="hu-HU"/>
              </w:rPr>
            </w:pPr>
          </w:p>
        </w:tc>
      </w:tr>
      <w:tr w:rsidR="00011D2F" w14:paraId="70CB5A6B" w14:textId="77777777" w:rsidTr="00202B95">
        <w:trPr>
          <w:cantSplit/>
        </w:trPr>
        <w:tc>
          <w:tcPr>
            <w:tcW w:w="2580" w:type="dxa"/>
            <w:tcBorders>
              <w:top w:val="nil"/>
              <w:bottom w:val="single" w:sz="4" w:space="0" w:color="auto"/>
            </w:tcBorders>
          </w:tcPr>
          <w:p w14:paraId="73D1E32A" w14:textId="77777777" w:rsidR="00D22F6B" w:rsidRPr="00183B5F" w:rsidRDefault="00D22F6B"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5604A816" w14:textId="77777777" w:rsidR="00D22F6B" w:rsidRPr="00183B5F" w:rsidRDefault="00943743">
            <w:pPr>
              <w:pStyle w:val="EMEANormal"/>
              <w:widowControl w:val="0"/>
              <w:suppressAutoHyphens w:val="0"/>
              <w:rPr>
                <w:lang w:val="hu-HU"/>
              </w:rPr>
            </w:pPr>
            <w:r w:rsidRPr="00183B5F">
              <w:rPr>
                <w:lang w:val="hu-HU"/>
              </w:rPr>
              <w:t>Ritka</w:t>
            </w:r>
          </w:p>
          <w:p w14:paraId="0BB12824" w14:textId="77777777" w:rsidR="00D22F6B" w:rsidRPr="00183B5F" w:rsidRDefault="00D22F6B">
            <w:pPr>
              <w:pStyle w:val="EMEANormal"/>
              <w:widowControl w:val="0"/>
              <w:suppressAutoHyphens w:val="0"/>
              <w:rPr>
                <w:lang w:val="hu-HU"/>
              </w:rPr>
            </w:pPr>
          </w:p>
        </w:tc>
        <w:tc>
          <w:tcPr>
            <w:tcW w:w="4454" w:type="dxa"/>
            <w:tcBorders>
              <w:top w:val="single" w:sz="4" w:space="0" w:color="auto"/>
              <w:bottom w:val="single" w:sz="4" w:space="0" w:color="auto"/>
            </w:tcBorders>
          </w:tcPr>
          <w:p w14:paraId="265D9FE2" w14:textId="77777777" w:rsidR="00D22F6B" w:rsidRPr="00183B5F" w:rsidRDefault="00943743">
            <w:pPr>
              <w:pStyle w:val="EMEANormal"/>
              <w:widowControl w:val="0"/>
              <w:suppressAutoHyphens w:val="0"/>
              <w:rPr>
                <w:szCs w:val="22"/>
                <w:lang w:val="hu-HU"/>
              </w:rPr>
            </w:pPr>
            <w:r w:rsidRPr="00183B5F">
              <w:rPr>
                <w:lang w:val="hu-HU"/>
              </w:rPr>
              <w:t>Tüdőfibrosis</w:t>
            </w:r>
            <w:r w:rsidRPr="00183B5F">
              <w:rPr>
                <w:vertAlign w:val="superscript"/>
                <w:lang w:val="hu-HU"/>
              </w:rPr>
              <w:t>1)</w:t>
            </w:r>
          </w:p>
        </w:tc>
      </w:tr>
      <w:tr w:rsidR="00011D2F" w14:paraId="367E798D" w14:textId="77777777" w:rsidTr="00202B95">
        <w:trPr>
          <w:cantSplit/>
        </w:trPr>
        <w:tc>
          <w:tcPr>
            <w:tcW w:w="2580" w:type="dxa"/>
            <w:vMerge w:val="restart"/>
            <w:tcBorders>
              <w:top w:val="single" w:sz="4" w:space="0" w:color="auto"/>
            </w:tcBorders>
          </w:tcPr>
          <w:p w14:paraId="4458B95A" w14:textId="77777777" w:rsidR="00764497" w:rsidRPr="00183B5F" w:rsidRDefault="00943743" w:rsidP="004062FE">
            <w:pPr>
              <w:pStyle w:val="EMEANormal"/>
              <w:widowControl w:val="0"/>
              <w:suppressAutoHyphens w:val="0"/>
              <w:rPr>
                <w:lang w:val="hu-HU"/>
              </w:rPr>
            </w:pPr>
            <w:r w:rsidRPr="00183B5F">
              <w:rPr>
                <w:lang w:val="hu-HU"/>
              </w:rPr>
              <w:t>Emésztőrendszeri betegségek és tünetek</w:t>
            </w:r>
          </w:p>
        </w:tc>
        <w:tc>
          <w:tcPr>
            <w:tcW w:w="2027" w:type="dxa"/>
            <w:tcBorders>
              <w:top w:val="single" w:sz="4" w:space="0" w:color="auto"/>
              <w:bottom w:val="single" w:sz="4" w:space="0" w:color="auto"/>
            </w:tcBorders>
          </w:tcPr>
          <w:p w14:paraId="1ACB7C8D" w14:textId="77777777" w:rsidR="00764497" w:rsidRPr="00183B5F" w:rsidRDefault="00943743" w:rsidP="004062FE">
            <w:pPr>
              <w:pStyle w:val="EMEANormal"/>
              <w:widowControl w:val="0"/>
              <w:suppressAutoHyphens w:val="0"/>
              <w:rPr>
                <w:lang w:val="hu-HU"/>
              </w:rPr>
            </w:pPr>
            <w:r w:rsidRPr="00183B5F">
              <w:rPr>
                <w:lang w:val="hu-HU"/>
              </w:rPr>
              <w:t>Nagyon gyakori</w:t>
            </w:r>
          </w:p>
          <w:p w14:paraId="0B75F24F" w14:textId="77777777" w:rsidR="00764497" w:rsidRPr="00183B5F" w:rsidRDefault="00764497" w:rsidP="004062FE">
            <w:pPr>
              <w:pStyle w:val="EMEANormal"/>
              <w:widowControl w:val="0"/>
              <w:suppressAutoHyphens w:val="0"/>
              <w:rPr>
                <w:lang w:val="hu-HU"/>
              </w:rPr>
            </w:pPr>
          </w:p>
        </w:tc>
        <w:tc>
          <w:tcPr>
            <w:tcW w:w="4454" w:type="dxa"/>
            <w:tcBorders>
              <w:top w:val="single" w:sz="4" w:space="0" w:color="auto"/>
              <w:bottom w:val="single" w:sz="4" w:space="0" w:color="auto"/>
            </w:tcBorders>
          </w:tcPr>
          <w:p w14:paraId="46DD864F" w14:textId="77777777" w:rsidR="00764497" w:rsidRPr="00183B5F" w:rsidRDefault="00943743" w:rsidP="004062FE">
            <w:pPr>
              <w:pStyle w:val="EMEANormal"/>
              <w:widowControl w:val="0"/>
              <w:suppressAutoHyphens w:val="0"/>
              <w:rPr>
                <w:lang w:val="hu-HU"/>
              </w:rPr>
            </w:pPr>
            <w:r w:rsidRPr="00183B5F">
              <w:rPr>
                <w:lang w:val="hu-HU"/>
              </w:rPr>
              <w:t xml:space="preserve">Hasi fájdalom, </w:t>
            </w:r>
          </w:p>
          <w:p w14:paraId="3B7654B9" w14:textId="77777777" w:rsidR="00764497" w:rsidRPr="00183B5F" w:rsidRDefault="00943743" w:rsidP="004062FE">
            <w:pPr>
              <w:pStyle w:val="EMEANormal"/>
              <w:widowControl w:val="0"/>
              <w:suppressAutoHyphens w:val="0"/>
              <w:rPr>
                <w:lang w:val="hu-HU"/>
              </w:rPr>
            </w:pPr>
            <w:r w:rsidRPr="00183B5F">
              <w:rPr>
                <w:lang w:val="hu-HU"/>
              </w:rPr>
              <w:t>hányinger és hányás</w:t>
            </w:r>
          </w:p>
          <w:p w14:paraId="459D16BF" w14:textId="77777777" w:rsidR="00764497" w:rsidRPr="00183B5F" w:rsidRDefault="00764497" w:rsidP="004062FE">
            <w:pPr>
              <w:pStyle w:val="EMEANormal"/>
              <w:widowControl w:val="0"/>
              <w:suppressAutoHyphens w:val="0"/>
              <w:rPr>
                <w:lang w:val="hu-HU"/>
              </w:rPr>
            </w:pPr>
          </w:p>
        </w:tc>
      </w:tr>
      <w:tr w:rsidR="00011D2F" w14:paraId="75AB01A3" w14:textId="77777777" w:rsidTr="00202B95">
        <w:trPr>
          <w:cantSplit/>
        </w:trPr>
        <w:tc>
          <w:tcPr>
            <w:tcW w:w="2580" w:type="dxa"/>
            <w:vMerge/>
          </w:tcPr>
          <w:p w14:paraId="2D09D9BC" w14:textId="77777777" w:rsidR="00764497" w:rsidRPr="00183B5F" w:rsidRDefault="00764497"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6DF2CE05" w14:textId="77777777" w:rsidR="00764497" w:rsidRPr="00183B5F" w:rsidRDefault="00943743">
            <w:pPr>
              <w:pStyle w:val="EMEANormal"/>
              <w:widowControl w:val="0"/>
              <w:suppressAutoHyphens w:val="0"/>
              <w:rPr>
                <w:lang w:val="hu-HU"/>
              </w:rPr>
            </w:pPr>
            <w:r w:rsidRPr="00183B5F">
              <w:rPr>
                <w:lang w:val="hu-HU"/>
              </w:rPr>
              <w:t>Gyakori</w:t>
            </w:r>
          </w:p>
          <w:p w14:paraId="16D69606" w14:textId="77777777" w:rsidR="00764497" w:rsidRPr="00183B5F" w:rsidRDefault="00764497">
            <w:pPr>
              <w:pStyle w:val="EMEANormal"/>
              <w:widowControl w:val="0"/>
              <w:suppressAutoHyphens w:val="0"/>
              <w:rPr>
                <w:lang w:val="hu-HU"/>
              </w:rPr>
            </w:pPr>
          </w:p>
        </w:tc>
        <w:tc>
          <w:tcPr>
            <w:tcW w:w="4454" w:type="dxa"/>
            <w:tcBorders>
              <w:top w:val="single" w:sz="4" w:space="0" w:color="auto"/>
              <w:bottom w:val="single" w:sz="4" w:space="0" w:color="auto"/>
            </w:tcBorders>
          </w:tcPr>
          <w:p w14:paraId="41460F90" w14:textId="77777777" w:rsidR="00764497" w:rsidRPr="00183B5F" w:rsidRDefault="00943743">
            <w:pPr>
              <w:pStyle w:val="EMEANormal"/>
              <w:widowControl w:val="0"/>
              <w:suppressAutoHyphens w:val="0"/>
              <w:rPr>
                <w:lang w:val="hu-HU"/>
              </w:rPr>
            </w:pPr>
            <w:r w:rsidRPr="00183B5F">
              <w:rPr>
                <w:lang w:val="hu-HU"/>
              </w:rPr>
              <w:t xml:space="preserve">Gastrointestinalis vérzés, </w:t>
            </w:r>
          </w:p>
          <w:p w14:paraId="37CFE7AC" w14:textId="77777777" w:rsidR="00764497" w:rsidRPr="00183B5F" w:rsidRDefault="00943743">
            <w:pPr>
              <w:pStyle w:val="EMEANormal"/>
              <w:widowControl w:val="0"/>
              <w:suppressAutoHyphens w:val="0"/>
              <w:rPr>
                <w:lang w:val="hu-HU"/>
              </w:rPr>
            </w:pPr>
            <w:r w:rsidRPr="00183B5F">
              <w:rPr>
                <w:lang w:val="hu-HU"/>
              </w:rPr>
              <w:t xml:space="preserve">dyspepsia, </w:t>
            </w:r>
          </w:p>
          <w:p w14:paraId="3DF77B97" w14:textId="77777777" w:rsidR="00764497" w:rsidRPr="00183B5F" w:rsidRDefault="00943743">
            <w:pPr>
              <w:pStyle w:val="EMEANormal"/>
              <w:widowControl w:val="0"/>
              <w:suppressAutoHyphens w:val="0"/>
              <w:rPr>
                <w:lang w:val="hu-HU"/>
              </w:rPr>
            </w:pPr>
            <w:r w:rsidRPr="00183B5F">
              <w:rPr>
                <w:lang w:val="hu-HU"/>
              </w:rPr>
              <w:t>gastrooesophagealis reflux betegség,</w:t>
            </w:r>
          </w:p>
          <w:p w14:paraId="5A4D1BFB" w14:textId="77777777" w:rsidR="00764497" w:rsidRPr="00183B5F" w:rsidRDefault="00943743">
            <w:pPr>
              <w:pStyle w:val="EMEANormal"/>
              <w:widowControl w:val="0"/>
              <w:suppressAutoHyphens w:val="0"/>
              <w:rPr>
                <w:lang w:val="hu-HU"/>
              </w:rPr>
            </w:pPr>
            <w:r w:rsidRPr="00183B5F">
              <w:rPr>
                <w:lang w:val="hu-HU"/>
              </w:rPr>
              <w:t>sicca-szindróma</w:t>
            </w:r>
          </w:p>
          <w:p w14:paraId="5B375B00" w14:textId="77777777" w:rsidR="00764497" w:rsidRPr="00183B5F" w:rsidRDefault="00764497">
            <w:pPr>
              <w:pStyle w:val="EMEANormal"/>
              <w:widowControl w:val="0"/>
              <w:suppressAutoHyphens w:val="0"/>
              <w:rPr>
                <w:lang w:val="hu-HU"/>
              </w:rPr>
            </w:pPr>
          </w:p>
        </w:tc>
      </w:tr>
      <w:tr w:rsidR="00011D2F" w14:paraId="19ED7AE1" w14:textId="77777777" w:rsidTr="00202B95">
        <w:trPr>
          <w:cantSplit/>
        </w:trPr>
        <w:tc>
          <w:tcPr>
            <w:tcW w:w="2580" w:type="dxa"/>
            <w:vMerge/>
            <w:tcBorders>
              <w:bottom w:val="nil"/>
            </w:tcBorders>
          </w:tcPr>
          <w:p w14:paraId="3C6AC6F9" w14:textId="77777777" w:rsidR="00764497" w:rsidRPr="00183B5F" w:rsidRDefault="00764497"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67600291" w14:textId="77777777" w:rsidR="00764497" w:rsidRPr="00183B5F" w:rsidRDefault="00943743">
            <w:pPr>
              <w:pStyle w:val="EMEANormal"/>
              <w:widowControl w:val="0"/>
              <w:suppressAutoHyphens w:val="0"/>
              <w:rPr>
                <w:lang w:val="hu-HU"/>
              </w:rPr>
            </w:pPr>
            <w:r w:rsidRPr="00183B5F">
              <w:rPr>
                <w:lang w:val="hu-HU"/>
              </w:rPr>
              <w:t>Nem gyakori</w:t>
            </w:r>
          </w:p>
          <w:p w14:paraId="694F52C9" w14:textId="77777777" w:rsidR="00764497" w:rsidRPr="00183B5F" w:rsidRDefault="00764497">
            <w:pPr>
              <w:pStyle w:val="EMEANormal"/>
              <w:widowControl w:val="0"/>
              <w:suppressAutoHyphens w:val="0"/>
              <w:rPr>
                <w:lang w:val="hu-HU"/>
              </w:rPr>
            </w:pPr>
          </w:p>
          <w:p w14:paraId="2327C841" w14:textId="77777777" w:rsidR="00764497" w:rsidRPr="00183B5F" w:rsidRDefault="00764497">
            <w:pPr>
              <w:pStyle w:val="EMEANormal"/>
              <w:widowControl w:val="0"/>
              <w:suppressAutoHyphens w:val="0"/>
              <w:rPr>
                <w:lang w:val="hu-HU"/>
              </w:rPr>
            </w:pPr>
          </w:p>
        </w:tc>
        <w:tc>
          <w:tcPr>
            <w:tcW w:w="4454" w:type="dxa"/>
            <w:tcBorders>
              <w:top w:val="single" w:sz="4" w:space="0" w:color="auto"/>
              <w:bottom w:val="single" w:sz="4" w:space="0" w:color="auto"/>
            </w:tcBorders>
          </w:tcPr>
          <w:p w14:paraId="483A3A48" w14:textId="77777777" w:rsidR="00764497" w:rsidRPr="00183B5F" w:rsidRDefault="00943743">
            <w:pPr>
              <w:pStyle w:val="EMEANormal"/>
              <w:widowControl w:val="0"/>
              <w:suppressAutoHyphens w:val="0"/>
              <w:rPr>
                <w:lang w:val="hu-HU"/>
              </w:rPr>
            </w:pPr>
            <w:r w:rsidRPr="00183B5F">
              <w:rPr>
                <w:lang w:val="hu-HU"/>
              </w:rPr>
              <w:t xml:space="preserve">Pancreatitis, </w:t>
            </w:r>
          </w:p>
          <w:p w14:paraId="7CDABFBC" w14:textId="77777777" w:rsidR="00764497" w:rsidRPr="00183B5F" w:rsidRDefault="00943743">
            <w:pPr>
              <w:pStyle w:val="EMEANormal"/>
              <w:widowControl w:val="0"/>
              <w:suppressAutoHyphens w:val="0"/>
              <w:rPr>
                <w:lang w:val="hu-HU"/>
              </w:rPr>
            </w:pPr>
            <w:r w:rsidRPr="00183B5F">
              <w:rPr>
                <w:lang w:val="hu-HU"/>
              </w:rPr>
              <w:t>dysphagia</w:t>
            </w:r>
          </w:p>
          <w:p w14:paraId="6EFA787E" w14:textId="77777777" w:rsidR="00764497" w:rsidRPr="00183B5F" w:rsidRDefault="00943743">
            <w:pPr>
              <w:pStyle w:val="EMEANormal"/>
              <w:widowControl w:val="0"/>
              <w:suppressAutoHyphens w:val="0"/>
              <w:rPr>
                <w:lang w:val="hu-HU"/>
              </w:rPr>
            </w:pPr>
            <w:r w:rsidRPr="00183B5F">
              <w:rPr>
                <w:lang w:val="hu-HU"/>
              </w:rPr>
              <w:t>arc-oedema</w:t>
            </w:r>
          </w:p>
        </w:tc>
      </w:tr>
      <w:tr w:rsidR="00011D2F" w14:paraId="112173B3" w14:textId="77777777" w:rsidTr="00202B95">
        <w:trPr>
          <w:cantSplit/>
        </w:trPr>
        <w:tc>
          <w:tcPr>
            <w:tcW w:w="2580" w:type="dxa"/>
            <w:tcBorders>
              <w:top w:val="nil"/>
            </w:tcBorders>
          </w:tcPr>
          <w:p w14:paraId="468FBC04" w14:textId="77777777" w:rsidR="00D22F6B" w:rsidRPr="00183B5F" w:rsidRDefault="00D22F6B"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132CBAB9" w14:textId="77777777" w:rsidR="00D22F6B" w:rsidRPr="00183B5F" w:rsidRDefault="00943743">
            <w:pPr>
              <w:pStyle w:val="EMEANormal"/>
              <w:widowControl w:val="0"/>
              <w:suppressAutoHyphens w:val="0"/>
              <w:rPr>
                <w:szCs w:val="22"/>
                <w:lang w:val="hu-HU"/>
              </w:rPr>
            </w:pPr>
            <w:r w:rsidRPr="00183B5F">
              <w:rPr>
                <w:szCs w:val="22"/>
                <w:lang w:val="hu-HU"/>
              </w:rPr>
              <w:t>Ritka</w:t>
            </w:r>
          </w:p>
          <w:p w14:paraId="360419CF" w14:textId="77777777" w:rsidR="00D22F6B" w:rsidRPr="00183B5F" w:rsidRDefault="00D22F6B">
            <w:pPr>
              <w:pStyle w:val="EMEANormal"/>
              <w:widowControl w:val="0"/>
              <w:suppressAutoHyphens w:val="0"/>
              <w:rPr>
                <w:lang w:val="hu-HU"/>
              </w:rPr>
            </w:pPr>
          </w:p>
        </w:tc>
        <w:tc>
          <w:tcPr>
            <w:tcW w:w="4454" w:type="dxa"/>
            <w:tcBorders>
              <w:top w:val="single" w:sz="4" w:space="0" w:color="auto"/>
              <w:bottom w:val="single" w:sz="4" w:space="0" w:color="auto"/>
            </w:tcBorders>
          </w:tcPr>
          <w:p w14:paraId="565EE26E" w14:textId="77777777" w:rsidR="00D22F6B" w:rsidRPr="00183B5F" w:rsidRDefault="00943743">
            <w:pPr>
              <w:pStyle w:val="EMEANormal"/>
              <w:widowControl w:val="0"/>
              <w:suppressAutoHyphens w:val="0"/>
              <w:rPr>
                <w:lang w:val="hu-HU"/>
              </w:rPr>
            </w:pPr>
            <w:r w:rsidRPr="00183B5F">
              <w:rPr>
                <w:szCs w:val="22"/>
                <w:lang w:val="hu-HU"/>
              </w:rPr>
              <w:t>Bélperforatio</w:t>
            </w:r>
            <w:r w:rsidRPr="00183B5F">
              <w:rPr>
                <w:szCs w:val="22"/>
                <w:vertAlign w:val="superscript"/>
                <w:lang w:val="hu-HU"/>
              </w:rPr>
              <w:t>1)</w:t>
            </w:r>
          </w:p>
        </w:tc>
      </w:tr>
      <w:tr w:rsidR="00011D2F" w14:paraId="74A58B4C" w14:textId="77777777" w:rsidTr="00202B95">
        <w:trPr>
          <w:cantSplit/>
        </w:trPr>
        <w:tc>
          <w:tcPr>
            <w:tcW w:w="2580" w:type="dxa"/>
            <w:vMerge w:val="restart"/>
          </w:tcPr>
          <w:p w14:paraId="4B60566B" w14:textId="77777777" w:rsidR="00764497" w:rsidRPr="00183B5F" w:rsidRDefault="00943743" w:rsidP="004062FE">
            <w:pPr>
              <w:pStyle w:val="EMEANormal"/>
              <w:widowControl w:val="0"/>
              <w:suppressAutoHyphens w:val="0"/>
              <w:rPr>
                <w:szCs w:val="22"/>
                <w:lang w:val="hu-HU"/>
              </w:rPr>
            </w:pPr>
            <w:r w:rsidRPr="00183B5F">
              <w:rPr>
                <w:szCs w:val="22"/>
                <w:lang w:val="hu-HU"/>
              </w:rPr>
              <w:t>Máj- és epebetegségek, illetve tünetek*</w:t>
            </w:r>
          </w:p>
        </w:tc>
        <w:tc>
          <w:tcPr>
            <w:tcW w:w="2027" w:type="dxa"/>
            <w:tcBorders>
              <w:bottom w:val="single" w:sz="4" w:space="0" w:color="auto"/>
            </w:tcBorders>
          </w:tcPr>
          <w:p w14:paraId="49E03025" w14:textId="77777777" w:rsidR="00764497" w:rsidRPr="00183B5F" w:rsidRDefault="00943743" w:rsidP="004062FE">
            <w:pPr>
              <w:pStyle w:val="EMEANormal"/>
              <w:widowControl w:val="0"/>
              <w:suppressAutoHyphens w:val="0"/>
              <w:rPr>
                <w:lang w:val="hu-HU"/>
              </w:rPr>
            </w:pPr>
            <w:r w:rsidRPr="00183B5F">
              <w:rPr>
                <w:lang w:val="hu-HU"/>
              </w:rPr>
              <w:t>Nagyon gyakori</w:t>
            </w:r>
          </w:p>
          <w:p w14:paraId="38A3DD26" w14:textId="77777777" w:rsidR="00764497" w:rsidRPr="00183B5F" w:rsidRDefault="00764497" w:rsidP="004062FE">
            <w:pPr>
              <w:pStyle w:val="EMEANormal"/>
              <w:widowControl w:val="0"/>
              <w:suppressAutoHyphens w:val="0"/>
              <w:rPr>
                <w:lang w:val="hu-HU"/>
              </w:rPr>
            </w:pPr>
          </w:p>
        </w:tc>
        <w:tc>
          <w:tcPr>
            <w:tcW w:w="4454" w:type="dxa"/>
            <w:tcBorders>
              <w:bottom w:val="single" w:sz="4" w:space="0" w:color="auto"/>
            </w:tcBorders>
          </w:tcPr>
          <w:p w14:paraId="0167CF41" w14:textId="77777777" w:rsidR="00764497" w:rsidRPr="00183B5F" w:rsidRDefault="00943743" w:rsidP="004062FE">
            <w:pPr>
              <w:pStyle w:val="EMEANormal"/>
              <w:widowControl w:val="0"/>
              <w:suppressAutoHyphens w:val="0"/>
              <w:rPr>
                <w:lang w:val="hu-HU"/>
              </w:rPr>
            </w:pPr>
            <w:r w:rsidRPr="00183B5F">
              <w:rPr>
                <w:lang w:val="hu-HU"/>
              </w:rPr>
              <w:t xml:space="preserve">Emelkedett májenzimszintek </w:t>
            </w:r>
          </w:p>
          <w:p w14:paraId="068698EE" w14:textId="77777777" w:rsidR="00764497" w:rsidRPr="00183B5F" w:rsidRDefault="00764497" w:rsidP="004062FE">
            <w:pPr>
              <w:pStyle w:val="EMEANormal"/>
              <w:widowControl w:val="0"/>
              <w:suppressAutoHyphens w:val="0"/>
              <w:rPr>
                <w:lang w:val="hu-HU"/>
              </w:rPr>
            </w:pPr>
          </w:p>
        </w:tc>
      </w:tr>
      <w:tr w:rsidR="00011D2F" w14:paraId="53E596CB" w14:textId="77777777" w:rsidTr="00202B95">
        <w:trPr>
          <w:cantSplit/>
        </w:trPr>
        <w:tc>
          <w:tcPr>
            <w:tcW w:w="2580" w:type="dxa"/>
            <w:vMerge/>
          </w:tcPr>
          <w:p w14:paraId="0DDDC7B9" w14:textId="77777777" w:rsidR="00764497" w:rsidRPr="00183B5F" w:rsidRDefault="00764497" w:rsidP="004062FE">
            <w:pPr>
              <w:pStyle w:val="EMEANormal"/>
              <w:widowControl w:val="0"/>
              <w:suppressAutoHyphens w:val="0"/>
              <w:rPr>
                <w:lang w:val="hu-HU"/>
              </w:rPr>
            </w:pPr>
          </w:p>
        </w:tc>
        <w:tc>
          <w:tcPr>
            <w:tcW w:w="2027" w:type="dxa"/>
            <w:tcBorders>
              <w:top w:val="single" w:sz="4" w:space="0" w:color="auto"/>
            </w:tcBorders>
          </w:tcPr>
          <w:p w14:paraId="1043C805" w14:textId="77777777" w:rsidR="00764497" w:rsidRPr="00183B5F" w:rsidRDefault="00943743">
            <w:pPr>
              <w:pStyle w:val="EMEANormal"/>
              <w:widowControl w:val="0"/>
              <w:suppressAutoHyphens w:val="0"/>
              <w:rPr>
                <w:lang w:val="hu-HU"/>
              </w:rPr>
            </w:pPr>
            <w:r w:rsidRPr="00183B5F">
              <w:rPr>
                <w:lang w:val="hu-HU"/>
              </w:rPr>
              <w:t>Nem gyakori</w:t>
            </w:r>
          </w:p>
          <w:p w14:paraId="135D2A0E" w14:textId="77777777" w:rsidR="00764497" w:rsidRPr="00183B5F" w:rsidRDefault="00764497">
            <w:pPr>
              <w:pStyle w:val="EMEANormal"/>
              <w:widowControl w:val="0"/>
              <w:suppressAutoHyphens w:val="0"/>
              <w:rPr>
                <w:lang w:val="hu-HU"/>
              </w:rPr>
            </w:pPr>
          </w:p>
          <w:p w14:paraId="78232470" w14:textId="77777777" w:rsidR="00764497" w:rsidRPr="00183B5F" w:rsidRDefault="00764497">
            <w:pPr>
              <w:pStyle w:val="EMEANormal"/>
              <w:widowControl w:val="0"/>
              <w:suppressAutoHyphens w:val="0"/>
              <w:rPr>
                <w:lang w:val="hu-HU"/>
              </w:rPr>
            </w:pPr>
          </w:p>
        </w:tc>
        <w:tc>
          <w:tcPr>
            <w:tcW w:w="4454" w:type="dxa"/>
            <w:tcBorders>
              <w:top w:val="single" w:sz="4" w:space="0" w:color="auto"/>
            </w:tcBorders>
          </w:tcPr>
          <w:p w14:paraId="7739D638" w14:textId="77777777" w:rsidR="00764497" w:rsidRPr="00183B5F" w:rsidRDefault="00943743">
            <w:pPr>
              <w:pStyle w:val="EMEANormal"/>
              <w:widowControl w:val="0"/>
              <w:suppressAutoHyphens w:val="0"/>
              <w:rPr>
                <w:lang w:val="hu-HU"/>
              </w:rPr>
            </w:pPr>
            <w:r w:rsidRPr="00183B5F">
              <w:rPr>
                <w:lang w:val="hu-HU"/>
              </w:rPr>
              <w:t xml:space="preserve">Cholecystitis és cholelithiasis, </w:t>
            </w:r>
          </w:p>
          <w:p w14:paraId="00DC142A" w14:textId="77777777" w:rsidR="00764497" w:rsidRPr="00183B5F" w:rsidRDefault="00943743">
            <w:pPr>
              <w:pStyle w:val="EMEANormal"/>
              <w:widowControl w:val="0"/>
              <w:suppressAutoHyphens w:val="0"/>
              <w:rPr>
                <w:szCs w:val="22"/>
                <w:lang w:val="hu-HU"/>
              </w:rPr>
            </w:pPr>
            <w:r w:rsidRPr="00183B5F">
              <w:rPr>
                <w:szCs w:val="22"/>
                <w:lang w:val="hu-HU"/>
              </w:rPr>
              <w:t>steatosis hepatis,</w:t>
            </w:r>
          </w:p>
          <w:p w14:paraId="15FE3F71" w14:textId="77777777" w:rsidR="00764497" w:rsidRPr="00183B5F" w:rsidRDefault="00943743">
            <w:pPr>
              <w:pStyle w:val="EMEANormal"/>
              <w:widowControl w:val="0"/>
              <w:suppressAutoHyphens w:val="0"/>
              <w:rPr>
                <w:szCs w:val="22"/>
                <w:lang w:val="hu-HU"/>
              </w:rPr>
            </w:pPr>
            <w:r w:rsidRPr="00183B5F">
              <w:rPr>
                <w:szCs w:val="22"/>
                <w:lang w:val="hu-HU"/>
              </w:rPr>
              <w:t xml:space="preserve">emelkedett bilirubinszint </w:t>
            </w:r>
          </w:p>
          <w:p w14:paraId="55D47DA9" w14:textId="77777777" w:rsidR="00764497" w:rsidRPr="00183B5F" w:rsidRDefault="00764497" w:rsidP="004062FE">
            <w:pPr>
              <w:pStyle w:val="EMEANormal"/>
              <w:widowControl w:val="0"/>
              <w:rPr>
                <w:vertAlign w:val="superscript"/>
                <w:lang w:val="hu-HU"/>
              </w:rPr>
            </w:pPr>
          </w:p>
        </w:tc>
      </w:tr>
      <w:tr w:rsidR="00011D2F" w14:paraId="034D721C" w14:textId="77777777" w:rsidTr="00202B95">
        <w:trPr>
          <w:cantSplit/>
        </w:trPr>
        <w:tc>
          <w:tcPr>
            <w:tcW w:w="2580" w:type="dxa"/>
            <w:tcBorders>
              <w:bottom w:val="nil"/>
            </w:tcBorders>
          </w:tcPr>
          <w:p w14:paraId="29D6DC8A" w14:textId="77777777" w:rsidR="00D22F6B" w:rsidRPr="00183B5F" w:rsidRDefault="00D22F6B" w:rsidP="004062FE">
            <w:pPr>
              <w:pStyle w:val="EMEANormal"/>
              <w:widowControl w:val="0"/>
              <w:suppressAutoHyphens w:val="0"/>
              <w:rPr>
                <w:lang w:val="hu-HU"/>
              </w:rPr>
            </w:pPr>
          </w:p>
        </w:tc>
        <w:tc>
          <w:tcPr>
            <w:tcW w:w="2027" w:type="dxa"/>
            <w:tcBorders>
              <w:top w:val="single" w:sz="4" w:space="0" w:color="auto"/>
            </w:tcBorders>
          </w:tcPr>
          <w:p w14:paraId="32D7581A" w14:textId="77777777" w:rsidR="00D22F6B" w:rsidRPr="00183B5F" w:rsidRDefault="00943743">
            <w:pPr>
              <w:pStyle w:val="EMEANormal"/>
              <w:widowControl w:val="0"/>
              <w:suppressAutoHyphens w:val="0"/>
              <w:rPr>
                <w:lang w:val="hu-HU"/>
              </w:rPr>
            </w:pPr>
            <w:r w:rsidRPr="00183B5F">
              <w:rPr>
                <w:lang w:val="hu-HU"/>
              </w:rPr>
              <w:t>Ritka</w:t>
            </w:r>
          </w:p>
          <w:p w14:paraId="0A5B993E" w14:textId="77777777" w:rsidR="00D22F6B" w:rsidRPr="00183B5F" w:rsidRDefault="00D22F6B">
            <w:pPr>
              <w:pStyle w:val="EMEANormal"/>
              <w:widowControl w:val="0"/>
              <w:suppressAutoHyphens w:val="0"/>
              <w:rPr>
                <w:lang w:val="hu-HU"/>
              </w:rPr>
            </w:pPr>
          </w:p>
        </w:tc>
        <w:tc>
          <w:tcPr>
            <w:tcW w:w="4454" w:type="dxa"/>
            <w:tcBorders>
              <w:top w:val="single" w:sz="4" w:space="0" w:color="auto"/>
            </w:tcBorders>
          </w:tcPr>
          <w:p w14:paraId="7712910C" w14:textId="77777777" w:rsidR="00D22F6B" w:rsidRPr="00183B5F" w:rsidRDefault="00943743">
            <w:pPr>
              <w:pStyle w:val="EMEANormal"/>
              <w:widowControl w:val="0"/>
              <w:suppressAutoHyphens w:val="0"/>
              <w:rPr>
                <w:szCs w:val="22"/>
                <w:lang w:val="hu-HU"/>
              </w:rPr>
            </w:pPr>
            <w:r w:rsidRPr="00183B5F">
              <w:rPr>
                <w:szCs w:val="22"/>
                <w:lang w:val="hu-HU"/>
              </w:rPr>
              <w:t>Hepatitis</w:t>
            </w:r>
          </w:p>
          <w:p w14:paraId="1E537C09" w14:textId="77777777" w:rsidR="00D22F6B" w:rsidRPr="00183B5F" w:rsidRDefault="00943743">
            <w:pPr>
              <w:pStyle w:val="EMEANormal"/>
              <w:widowControl w:val="0"/>
              <w:suppressAutoHyphens w:val="0"/>
              <w:rPr>
                <w:szCs w:val="22"/>
                <w:lang w:val="hu-HU"/>
              </w:rPr>
            </w:pPr>
            <w:r w:rsidRPr="00183B5F">
              <w:rPr>
                <w:szCs w:val="22"/>
                <w:lang w:val="hu-HU"/>
              </w:rPr>
              <w:t>a hepatitis B reaktiválódása</w:t>
            </w:r>
            <w:r w:rsidRPr="00183B5F">
              <w:rPr>
                <w:szCs w:val="22"/>
                <w:vertAlign w:val="superscript"/>
                <w:lang w:val="hu-HU"/>
              </w:rPr>
              <w:t>1)</w:t>
            </w:r>
          </w:p>
          <w:p w14:paraId="03CA36B8" w14:textId="77777777" w:rsidR="00D22F6B" w:rsidRPr="00183B5F" w:rsidRDefault="00943743" w:rsidP="004062FE">
            <w:pPr>
              <w:pStyle w:val="EMEANormal"/>
              <w:widowControl w:val="0"/>
              <w:rPr>
                <w:szCs w:val="22"/>
                <w:vertAlign w:val="superscript"/>
                <w:lang w:val="hu-HU"/>
              </w:rPr>
            </w:pPr>
            <w:r w:rsidRPr="00183B5F">
              <w:rPr>
                <w:szCs w:val="22"/>
                <w:lang w:val="hu-HU"/>
              </w:rPr>
              <w:t>autoimmun hepatitis</w:t>
            </w:r>
            <w:r w:rsidRPr="00183B5F">
              <w:rPr>
                <w:szCs w:val="22"/>
                <w:vertAlign w:val="superscript"/>
                <w:lang w:val="hu-HU"/>
              </w:rPr>
              <w:t>1)</w:t>
            </w:r>
          </w:p>
          <w:p w14:paraId="7FA1F553" w14:textId="77777777" w:rsidR="00D22F6B" w:rsidRPr="00183B5F" w:rsidRDefault="00D22F6B">
            <w:pPr>
              <w:pStyle w:val="EMEANormal"/>
              <w:widowControl w:val="0"/>
              <w:suppressAutoHyphens w:val="0"/>
              <w:rPr>
                <w:lang w:val="hu-HU"/>
              </w:rPr>
            </w:pPr>
          </w:p>
        </w:tc>
      </w:tr>
      <w:tr w:rsidR="00011D2F" w14:paraId="2510A92F" w14:textId="77777777" w:rsidTr="00202B95">
        <w:trPr>
          <w:cantSplit/>
        </w:trPr>
        <w:tc>
          <w:tcPr>
            <w:tcW w:w="2580" w:type="dxa"/>
            <w:tcBorders>
              <w:top w:val="nil"/>
            </w:tcBorders>
          </w:tcPr>
          <w:p w14:paraId="4D1F4083" w14:textId="77777777" w:rsidR="00D22F6B" w:rsidRPr="00183B5F" w:rsidRDefault="00D22F6B" w:rsidP="004062FE">
            <w:pPr>
              <w:pStyle w:val="EMEANormal"/>
              <w:widowControl w:val="0"/>
              <w:suppressAutoHyphens w:val="0"/>
              <w:rPr>
                <w:lang w:val="hu-HU"/>
              </w:rPr>
            </w:pPr>
          </w:p>
        </w:tc>
        <w:tc>
          <w:tcPr>
            <w:tcW w:w="2027" w:type="dxa"/>
            <w:tcBorders>
              <w:top w:val="single" w:sz="4" w:space="0" w:color="auto"/>
            </w:tcBorders>
          </w:tcPr>
          <w:p w14:paraId="42FABF1A" w14:textId="77777777" w:rsidR="00D22F6B" w:rsidRPr="00183B5F" w:rsidRDefault="00943743">
            <w:pPr>
              <w:pStyle w:val="EMEANormal"/>
              <w:widowControl w:val="0"/>
              <w:suppressAutoHyphens w:val="0"/>
              <w:rPr>
                <w:lang w:val="hu-HU"/>
              </w:rPr>
            </w:pPr>
            <w:r w:rsidRPr="00183B5F">
              <w:rPr>
                <w:lang w:val="hu-HU"/>
              </w:rPr>
              <w:t>Nem ismert</w:t>
            </w:r>
          </w:p>
        </w:tc>
        <w:tc>
          <w:tcPr>
            <w:tcW w:w="4454" w:type="dxa"/>
            <w:tcBorders>
              <w:top w:val="single" w:sz="4" w:space="0" w:color="auto"/>
            </w:tcBorders>
          </w:tcPr>
          <w:p w14:paraId="28822D4D" w14:textId="77777777" w:rsidR="00D22F6B" w:rsidRPr="00183B5F" w:rsidRDefault="00943743">
            <w:pPr>
              <w:pStyle w:val="EMEANormal"/>
              <w:widowControl w:val="0"/>
              <w:suppressAutoHyphens w:val="0"/>
              <w:rPr>
                <w:lang w:val="hu-HU"/>
              </w:rPr>
            </w:pPr>
            <w:r w:rsidRPr="00183B5F">
              <w:rPr>
                <w:lang w:val="hu-HU"/>
              </w:rPr>
              <w:t>Májelégtelenség</w:t>
            </w:r>
            <w:r w:rsidRPr="00183B5F">
              <w:rPr>
                <w:vertAlign w:val="superscript"/>
                <w:lang w:val="hu-HU"/>
              </w:rPr>
              <w:t>1)</w:t>
            </w:r>
          </w:p>
        </w:tc>
      </w:tr>
      <w:tr w:rsidR="00011D2F" w14:paraId="44B1D017" w14:textId="77777777" w:rsidTr="00202B95">
        <w:trPr>
          <w:cantSplit/>
        </w:trPr>
        <w:tc>
          <w:tcPr>
            <w:tcW w:w="2580" w:type="dxa"/>
            <w:vMerge w:val="restart"/>
          </w:tcPr>
          <w:p w14:paraId="0B372B1F" w14:textId="77777777" w:rsidR="00764497" w:rsidRPr="00183B5F" w:rsidRDefault="00943743" w:rsidP="004062FE">
            <w:pPr>
              <w:pStyle w:val="EMEANormal"/>
              <w:widowControl w:val="0"/>
              <w:suppressAutoHyphens w:val="0"/>
              <w:rPr>
                <w:szCs w:val="22"/>
                <w:lang w:val="hu-HU"/>
              </w:rPr>
            </w:pPr>
            <w:r w:rsidRPr="00183B5F">
              <w:rPr>
                <w:szCs w:val="22"/>
                <w:lang w:val="hu-HU"/>
              </w:rPr>
              <w:t>A bőr és a bőr alatti szövet betegségei és tünetei</w:t>
            </w:r>
          </w:p>
        </w:tc>
        <w:tc>
          <w:tcPr>
            <w:tcW w:w="2027" w:type="dxa"/>
            <w:tcBorders>
              <w:bottom w:val="single" w:sz="4" w:space="0" w:color="auto"/>
            </w:tcBorders>
          </w:tcPr>
          <w:p w14:paraId="5E7DFCD5" w14:textId="77777777" w:rsidR="00764497" w:rsidRPr="00183B5F" w:rsidRDefault="00943743" w:rsidP="004062FE">
            <w:pPr>
              <w:pStyle w:val="EMEANormal"/>
              <w:widowControl w:val="0"/>
              <w:suppressAutoHyphens w:val="0"/>
              <w:rPr>
                <w:lang w:val="hu-HU"/>
              </w:rPr>
            </w:pPr>
            <w:r w:rsidRPr="00183B5F">
              <w:rPr>
                <w:lang w:val="hu-HU"/>
              </w:rPr>
              <w:t>Nagyon gyakori</w:t>
            </w:r>
          </w:p>
          <w:p w14:paraId="2259568A" w14:textId="77777777" w:rsidR="00764497" w:rsidRPr="00183B5F" w:rsidRDefault="00764497" w:rsidP="004062FE">
            <w:pPr>
              <w:pStyle w:val="EMEANormal"/>
              <w:widowControl w:val="0"/>
              <w:suppressAutoHyphens w:val="0"/>
              <w:rPr>
                <w:lang w:val="hu-HU"/>
              </w:rPr>
            </w:pPr>
          </w:p>
        </w:tc>
        <w:tc>
          <w:tcPr>
            <w:tcW w:w="4454" w:type="dxa"/>
            <w:tcBorders>
              <w:bottom w:val="single" w:sz="4" w:space="0" w:color="auto"/>
            </w:tcBorders>
          </w:tcPr>
          <w:p w14:paraId="5859B9D5" w14:textId="77777777" w:rsidR="00764497" w:rsidRPr="00183B5F" w:rsidRDefault="00943743" w:rsidP="004062FE">
            <w:pPr>
              <w:pStyle w:val="EMEANormal"/>
              <w:widowControl w:val="0"/>
              <w:suppressAutoHyphens w:val="0"/>
              <w:rPr>
                <w:lang w:val="hu-HU"/>
              </w:rPr>
            </w:pPr>
            <w:r w:rsidRPr="00183B5F">
              <w:rPr>
                <w:lang w:val="hu-HU"/>
              </w:rPr>
              <w:t>Bőrkiütés (beleértve az exfoliativ bőrkiütést is),</w:t>
            </w:r>
          </w:p>
          <w:p w14:paraId="053B0815" w14:textId="77777777" w:rsidR="00764497" w:rsidRPr="00183B5F" w:rsidRDefault="00764497" w:rsidP="004062FE">
            <w:pPr>
              <w:pStyle w:val="EMEANormal"/>
              <w:widowControl w:val="0"/>
              <w:suppressAutoHyphens w:val="0"/>
              <w:rPr>
                <w:lang w:val="hu-HU"/>
              </w:rPr>
            </w:pPr>
          </w:p>
        </w:tc>
      </w:tr>
      <w:tr w:rsidR="00011D2F" w14:paraId="014A2097" w14:textId="77777777" w:rsidTr="00202B95">
        <w:trPr>
          <w:cantSplit/>
        </w:trPr>
        <w:tc>
          <w:tcPr>
            <w:tcW w:w="2580" w:type="dxa"/>
            <w:vMerge/>
          </w:tcPr>
          <w:p w14:paraId="7488E09D" w14:textId="77777777" w:rsidR="00764497" w:rsidRPr="00183B5F" w:rsidRDefault="00764497"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421DD435" w14:textId="77777777" w:rsidR="00764497" w:rsidRPr="00183B5F" w:rsidRDefault="00943743">
            <w:pPr>
              <w:pStyle w:val="EMEANormal"/>
              <w:widowControl w:val="0"/>
              <w:suppressAutoHyphens w:val="0"/>
              <w:rPr>
                <w:lang w:val="hu-HU"/>
              </w:rPr>
            </w:pPr>
            <w:r w:rsidRPr="00183B5F">
              <w:rPr>
                <w:lang w:val="hu-HU"/>
              </w:rPr>
              <w:t>Gyakori</w:t>
            </w:r>
          </w:p>
          <w:p w14:paraId="0D62C1C2" w14:textId="77777777" w:rsidR="00764497" w:rsidRPr="00183B5F" w:rsidRDefault="00764497">
            <w:pPr>
              <w:pStyle w:val="EMEANormal"/>
              <w:widowControl w:val="0"/>
              <w:suppressAutoHyphens w:val="0"/>
              <w:rPr>
                <w:lang w:val="hu-HU"/>
              </w:rPr>
            </w:pPr>
          </w:p>
        </w:tc>
        <w:tc>
          <w:tcPr>
            <w:tcW w:w="4454" w:type="dxa"/>
            <w:tcBorders>
              <w:top w:val="single" w:sz="4" w:space="0" w:color="auto"/>
              <w:bottom w:val="single" w:sz="4" w:space="0" w:color="auto"/>
            </w:tcBorders>
          </w:tcPr>
          <w:p w14:paraId="20AFF46A" w14:textId="77777777" w:rsidR="00764497" w:rsidRPr="00183B5F" w:rsidRDefault="00943743">
            <w:pPr>
              <w:pStyle w:val="EMEANormal"/>
              <w:widowControl w:val="0"/>
              <w:suppressAutoHyphens w:val="0"/>
              <w:rPr>
                <w:lang w:val="hu-HU"/>
              </w:rPr>
            </w:pPr>
            <w:r w:rsidRPr="00183B5F">
              <w:rPr>
                <w:szCs w:val="22"/>
                <w:lang w:val="hu-HU"/>
              </w:rPr>
              <w:t>Psoriasis rosszabbodása, illetve újonnan kialakulása (beleértve a palmoplantaris pustulosus psoriasist)</w:t>
            </w:r>
            <w:r w:rsidRPr="00183B5F">
              <w:rPr>
                <w:szCs w:val="22"/>
                <w:vertAlign w:val="superscript"/>
                <w:lang w:val="hu-HU"/>
              </w:rPr>
              <w:t>1)</w:t>
            </w:r>
            <w:r w:rsidRPr="00183B5F">
              <w:rPr>
                <w:lang w:val="hu-HU"/>
              </w:rPr>
              <w:t>,</w:t>
            </w:r>
          </w:p>
          <w:p w14:paraId="19403E2F" w14:textId="77777777" w:rsidR="00764497" w:rsidRPr="00183B5F" w:rsidRDefault="00943743">
            <w:pPr>
              <w:pStyle w:val="EMEANormal"/>
              <w:widowControl w:val="0"/>
              <w:suppressAutoHyphens w:val="0"/>
              <w:rPr>
                <w:lang w:val="hu-HU"/>
              </w:rPr>
            </w:pPr>
            <w:r w:rsidRPr="00183B5F">
              <w:rPr>
                <w:lang w:val="hu-HU"/>
              </w:rPr>
              <w:t>urticaria,</w:t>
            </w:r>
          </w:p>
          <w:p w14:paraId="509E42FA" w14:textId="77777777" w:rsidR="00764497" w:rsidRPr="00183B5F" w:rsidRDefault="00943743">
            <w:pPr>
              <w:pStyle w:val="EMEANormal"/>
              <w:widowControl w:val="0"/>
              <w:suppressAutoHyphens w:val="0"/>
              <w:rPr>
                <w:lang w:val="hu-HU"/>
              </w:rPr>
            </w:pPr>
            <w:r w:rsidRPr="00183B5F">
              <w:rPr>
                <w:lang w:val="hu-HU"/>
              </w:rPr>
              <w:t xml:space="preserve">suffusio (beleértve a purpurát is), </w:t>
            </w:r>
          </w:p>
          <w:p w14:paraId="627C499C" w14:textId="77777777" w:rsidR="00764497" w:rsidRPr="00183B5F" w:rsidRDefault="00943743">
            <w:pPr>
              <w:pStyle w:val="EMEANormal"/>
              <w:widowControl w:val="0"/>
              <w:suppressAutoHyphens w:val="0"/>
              <w:rPr>
                <w:lang w:val="hu-HU"/>
              </w:rPr>
            </w:pPr>
            <w:r w:rsidRPr="00183B5F">
              <w:rPr>
                <w:lang w:val="hu-HU"/>
              </w:rPr>
              <w:t>dermatitis (beleértve az e</w:t>
            </w:r>
            <w:r w:rsidR="00761819" w:rsidRPr="00183B5F">
              <w:rPr>
                <w:lang w:val="hu-HU"/>
              </w:rPr>
              <w:t>k</w:t>
            </w:r>
            <w:r w:rsidRPr="00183B5F">
              <w:rPr>
                <w:lang w:val="hu-HU"/>
              </w:rPr>
              <w:t>zemát is),</w:t>
            </w:r>
          </w:p>
          <w:p w14:paraId="5520C8E0" w14:textId="77777777" w:rsidR="00764497" w:rsidRPr="00183B5F" w:rsidRDefault="00943743">
            <w:pPr>
              <w:pStyle w:val="EMEANormal"/>
              <w:widowControl w:val="0"/>
              <w:suppressAutoHyphens w:val="0"/>
              <w:rPr>
                <w:lang w:val="hu-HU"/>
              </w:rPr>
            </w:pPr>
            <w:r w:rsidRPr="00183B5F">
              <w:rPr>
                <w:lang w:val="hu-HU"/>
              </w:rPr>
              <w:t xml:space="preserve">onychoclasia, </w:t>
            </w:r>
          </w:p>
          <w:p w14:paraId="65C72618" w14:textId="77777777" w:rsidR="00764497" w:rsidRPr="00183B5F" w:rsidRDefault="00943743">
            <w:pPr>
              <w:pStyle w:val="EMEANormal"/>
              <w:widowControl w:val="0"/>
              <w:suppressAutoHyphens w:val="0"/>
              <w:rPr>
                <w:lang w:val="hu-HU"/>
              </w:rPr>
            </w:pPr>
            <w:r w:rsidRPr="00183B5F">
              <w:rPr>
                <w:lang w:val="hu-HU"/>
              </w:rPr>
              <w:t>hyperhydrosis,</w:t>
            </w:r>
          </w:p>
          <w:p w14:paraId="240D5610" w14:textId="77777777" w:rsidR="00764497" w:rsidRPr="00183B5F" w:rsidRDefault="00943743">
            <w:pPr>
              <w:pStyle w:val="EMEANormal"/>
              <w:widowControl w:val="0"/>
              <w:suppressAutoHyphens w:val="0"/>
              <w:rPr>
                <w:lang w:val="hu-HU"/>
              </w:rPr>
            </w:pPr>
            <w:r w:rsidRPr="00183B5F">
              <w:rPr>
                <w:lang w:val="hu-HU"/>
              </w:rPr>
              <w:t>alopecia</w:t>
            </w:r>
            <w:r w:rsidRPr="00183B5F">
              <w:rPr>
                <w:vertAlign w:val="superscript"/>
                <w:lang w:val="hu-HU"/>
              </w:rPr>
              <w:t>1)</w:t>
            </w:r>
            <w:r w:rsidRPr="00183B5F">
              <w:rPr>
                <w:lang w:val="hu-HU"/>
              </w:rPr>
              <w:t>,</w:t>
            </w:r>
          </w:p>
          <w:p w14:paraId="2EAB7A82" w14:textId="77777777" w:rsidR="00764497" w:rsidRPr="00183B5F" w:rsidRDefault="00943743">
            <w:pPr>
              <w:pStyle w:val="EMEANormal"/>
              <w:widowControl w:val="0"/>
              <w:suppressAutoHyphens w:val="0"/>
              <w:rPr>
                <w:lang w:val="hu-HU"/>
              </w:rPr>
            </w:pPr>
            <w:r w:rsidRPr="00183B5F">
              <w:rPr>
                <w:lang w:val="hu-HU"/>
              </w:rPr>
              <w:t>pruritus</w:t>
            </w:r>
          </w:p>
          <w:p w14:paraId="038786C7" w14:textId="77777777" w:rsidR="00764497" w:rsidRPr="00183B5F" w:rsidRDefault="00764497">
            <w:pPr>
              <w:pStyle w:val="EMEANormal"/>
              <w:widowControl w:val="0"/>
              <w:suppressAutoHyphens w:val="0"/>
              <w:rPr>
                <w:lang w:val="hu-HU"/>
              </w:rPr>
            </w:pPr>
          </w:p>
        </w:tc>
      </w:tr>
      <w:tr w:rsidR="00011D2F" w14:paraId="65DFA0DD" w14:textId="77777777" w:rsidTr="00202B95">
        <w:trPr>
          <w:cantSplit/>
        </w:trPr>
        <w:tc>
          <w:tcPr>
            <w:tcW w:w="2580" w:type="dxa"/>
            <w:vMerge/>
            <w:tcBorders>
              <w:bottom w:val="nil"/>
            </w:tcBorders>
          </w:tcPr>
          <w:p w14:paraId="13D0FF59" w14:textId="77777777" w:rsidR="00764497" w:rsidRPr="00183B5F" w:rsidRDefault="00764497" w:rsidP="004062FE">
            <w:pPr>
              <w:widowControl w:val="0"/>
              <w:suppressAutoHyphens w:val="0"/>
              <w:spacing w:line="240" w:lineRule="auto"/>
              <w:jc w:val="center"/>
              <w:rPr>
                <w:b/>
              </w:rPr>
            </w:pPr>
          </w:p>
        </w:tc>
        <w:tc>
          <w:tcPr>
            <w:tcW w:w="2027" w:type="dxa"/>
            <w:tcBorders>
              <w:top w:val="single" w:sz="4" w:space="0" w:color="auto"/>
            </w:tcBorders>
          </w:tcPr>
          <w:p w14:paraId="53E0BF8A" w14:textId="77777777" w:rsidR="00764497" w:rsidRPr="00183B5F" w:rsidRDefault="00943743">
            <w:pPr>
              <w:pStyle w:val="EMEANormal"/>
              <w:widowControl w:val="0"/>
              <w:suppressAutoHyphens w:val="0"/>
              <w:rPr>
                <w:lang w:val="hu-HU"/>
              </w:rPr>
            </w:pPr>
            <w:r w:rsidRPr="00183B5F">
              <w:rPr>
                <w:lang w:val="hu-HU"/>
              </w:rPr>
              <w:t>Nem gyakori</w:t>
            </w:r>
          </w:p>
          <w:p w14:paraId="7020FE0A" w14:textId="77777777" w:rsidR="00764497" w:rsidRPr="00183B5F" w:rsidRDefault="00764497">
            <w:pPr>
              <w:pStyle w:val="EMEANormal"/>
              <w:widowControl w:val="0"/>
              <w:suppressAutoHyphens w:val="0"/>
              <w:rPr>
                <w:lang w:val="hu-HU"/>
              </w:rPr>
            </w:pPr>
          </w:p>
        </w:tc>
        <w:tc>
          <w:tcPr>
            <w:tcW w:w="4454" w:type="dxa"/>
            <w:tcBorders>
              <w:top w:val="single" w:sz="4" w:space="0" w:color="auto"/>
            </w:tcBorders>
          </w:tcPr>
          <w:p w14:paraId="3CBEB32E" w14:textId="77777777" w:rsidR="00764497" w:rsidRPr="00183B5F" w:rsidRDefault="00943743">
            <w:pPr>
              <w:pStyle w:val="EMEANormal"/>
              <w:widowControl w:val="0"/>
              <w:suppressAutoHyphens w:val="0"/>
              <w:rPr>
                <w:lang w:val="hu-HU"/>
              </w:rPr>
            </w:pPr>
            <w:r w:rsidRPr="00183B5F">
              <w:rPr>
                <w:lang w:val="hu-HU"/>
              </w:rPr>
              <w:t>Éjszakai verítékezés,</w:t>
            </w:r>
          </w:p>
          <w:p w14:paraId="7AECB4C3" w14:textId="77777777" w:rsidR="00764497" w:rsidRPr="00183B5F" w:rsidRDefault="00943743">
            <w:pPr>
              <w:pStyle w:val="EMEANormal"/>
              <w:widowControl w:val="0"/>
              <w:suppressAutoHyphens w:val="0"/>
              <w:rPr>
                <w:lang w:val="hu-HU"/>
              </w:rPr>
            </w:pPr>
            <w:r w:rsidRPr="00183B5F">
              <w:rPr>
                <w:lang w:val="hu-HU"/>
              </w:rPr>
              <w:t>hegesedés</w:t>
            </w:r>
          </w:p>
        </w:tc>
      </w:tr>
      <w:tr w:rsidR="00011D2F" w14:paraId="01C912E5" w14:textId="77777777" w:rsidTr="00202B95">
        <w:trPr>
          <w:cantSplit/>
        </w:trPr>
        <w:tc>
          <w:tcPr>
            <w:tcW w:w="2580" w:type="dxa"/>
            <w:tcBorders>
              <w:top w:val="nil"/>
              <w:bottom w:val="nil"/>
            </w:tcBorders>
          </w:tcPr>
          <w:p w14:paraId="4F2B1A39" w14:textId="77777777" w:rsidR="00D22F6B" w:rsidRPr="00183B5F" w:rsidRDefault="00D22F6B" w:rsidP="004062FE">
            <w:pPr>
              <w:widowControl w:val="0"/>
              <w:suppressAutoHyphens w:val="0"/>
              <w:spacing w:line="240" w:lineRule="auto"/>
              <w:jc w:val="center"/>
              <w:rPr>
                <w:b/>
              </w:rPr>
            </w:pPr>
          </w:p>
        </w:tc>
        <w:tc>
          <w:tcPr>
            <w:tcW w:w="2027" w:type="dxa"/>
            <w:tcBorders>
              <w:top w:val="single" w:sz="4" w:space="0" w:color="auto"/>
            </w:tcBorders>
          </w:tcPr>
          <w:p w14:paraId="4399D1AD" w14:textId="77777777" w:rsidR="00D22F6B" w:rsidRPr="00183B5F" w:rsidRDefault="00943743">
            <w:pPr>
              <w:pStyle w:val="EMEANormal"/>
              <w:widowControl w:val="0"/>
              <w:suppressAutoHyphens w:val="0"/>
              <w:rPr>
                <w:lang w:val="hu-HU"/>
              </w:rPr>
            </w:pPr>
            <w:r w:rsidRPr="00183B5F">
              <w:rPr>
                <w:lang w:val="hu-HU"/>
              </w:rPr>
              <w:t>Ritka</w:t>
            </w:r>
          </w:p>
          <w:p w14:paraId="7F0DB2EF" w14:textId="77777777" w:rsidR="00D22F6B" w:rsidRPr="00183B5F" w:rsidRDefault="00D22F6B">
            <w:pPr>
              <w:pStyle w:val="EMEANormal"/>
              <w:widowControl w:val="0"/>
              <w:suppressAutoHyphens w:val="0"/>
              <w:rPr>
                <w:lang w:val="hu-HU"/>
              </w:rPr>
            </w:pPr>
          </w:p>
        </w:tc>
        <w:tc>
          <w:tcPr>
            <w:tcW w:w="4454" w:type="dxa"/>
            <w:tcBorders>
              <w:top w:val="single" w:sz="4" w:space="0" w:color="auto"/>
            </w:tcBorders>
          </w:tcPr>
          <w:p w14:paraId="4B9679E7" w14:textId="77777777" w:rsidR="00D22F6B" w:rsidRPr="00183B5F" w:rsidRDefault="00943743">
            <w:pPr>
              <w:pStyle w:val="EMEANormal"/>
              <w:widowControl w:val="0"/>
              <w:suppressAutoHyphens w:val="0"/>
              <w:rPr>
                <w:lang w:val="hu-HU"/>
              </w:rPr>
            </w:pPr>
            <w:r w:rsidRPr="00183B5F">
              <w:rPr>
                <w:lang w:val="hu-HU"/>
              </w:rPr>
              <w:t>Erythema multiforme</w:t>
            </w:r>
            <w:r w:rsidRPr="00183B5F">
              <w:rPr>
                <w:vertAlign w:val="superscript"/>
                <w:lang w:val="hu-HU"/>
              </w:rPr>
              <w:t>1)</w:t>
            </w:r>
            <w:r w:rsidRPr="00183B5F">
              <w:rPr>
                <w:lang w:val="hu-HU"/>
              </w:rPr>
              <w:t>,</w:t>
            </w:r>
          </w:p>
          <w:p w14:paraId="66CF6F27" w14:textId="77777777" w:rsidR="00D22F6B" w:rsidRPr="00183B5F" w:rsidRDefault="00943743">
            <w:pPr>
              <w:pStyle w:val="EMEANormal"/>
              <w:widowControl w:val="0"/>
              <w:suppressAutoHyphens w:val="0"/>
              <w:rPr>
                <w:lang w:val="hu-HU"/>
              </w:rPr>
            </w:pPr>
            <w:r w:rsidRPr="00183B5F">
              <w:rPr>
                <w:lang w:val="hu-HU"/>
              </w:rPr>
              <w:t>Stevens</w:t>
            </w:r>
            <w:r w:rsidR="00004B4F" w:rsidRPr="00183B5F">
              <w:rPr>
                <w:lang w:val="hu-HU"/>
              </w:rPr>
              <w:t>–</w:t>
            </w:r>
            <w:r w:rsidRPr="00183B5F">
              <w:rPr>
                <w:lang w:val="hu-HU"/>
              </w:rPr>
              <w:t>Johnson</w:t>
            </w:r>
            <w:r w:rsidR="00297FBD" w:rsidRPr="00183B5F">
              <w:rPr>
                <w:lang w:val="hu-HU"/>
              </w:rPr>
              <w:t>-</w:t>
            </w:r>
            <w:r w:rsidRPr="00183B5F">
              <w:rPr>
                <w:lang w:val="hu-HU"/>
              </w:rPr>
              <w:t>szindróma</w:t>
            </w:r>
            <w:r w:rsidRPr="00183B5F">
              <w:rPr>
                <w:vertAlign w:val="superscript"/>
                <w:lang w:val="hu-HU"/>
              </w:rPr>
              <w:t>1)</w:t>
            </w:r>
            <w:r w:rsidRPr="00183B5F">
              <w:rPr>
                <w:lang w:val="hu-HU"/>
              </w:rPr>
              <w:t>,</w:t>
            </w:r>
          </w:p>
          <w:p w14:paraId="3EE81C03" w14:textId="77777777" w:rsidR="00D22F6B" w:rsidRPr="00183B5F" w:rsidRDefault="00943743">
            <w:pPr>
              <w:pStyle w:val="EMEANormal"/>
              <w:widowControl w:val="0"/>
              <w:suppressAutoHyphens w:val="0"/>
              <w:rPr>
                <w:lang w:val="hu-HU"/>
              </w:rPr>
            </w:pPr>
            <w:r w:rsidRPr="00183B5F">
              <w:rPr>
                <w:lang w:val="hu-HU"/>
              </w:rPr>
              <w:t>angio</w:t>
            </w:r>
            <w:r w:rsidR="00752566" w:rsidRPr="00183B5F">
              <w:rPr>
                <w:lang w:val="hu-HU"/>
              </w:rPr>
              <w:t>o</w:t>
            </w:r>
            <w:r w:rsidRPr="00183B5F">
              <w:rPr>
                <w:lang w:val="hu-HU"/>
              </w:rPr>
              <w:t>edema</w:t>
            </w:r>
            <w:r w:rsidRPr="00183B5F">
              <w:rPr>
                <w:vertAlign w:val="superscript"/>
                <w:lang w:val="hu-HU"/>
              </w:rPr>
              <w:t>1)</w:t>
            </w:r>
            <w:r w:rsidRPr="00183B5F">
              <w:rPr>
                <w:lang w:val="hu-HU"/>
              </w:rPr>
              <w:t>,</w:t>
            </w:r>
          </w:p>
          <w:p w14:paraId="698767B1" w14:textId="77777777" w:rsidR="00D22F6B" w:rsidRPr="00183B5F" w:rsidRDefault="00943743">
            <w:pPr>
              <w:pStyle w:val="EMEANormal"/>
              <w:widowControl w:val="0"/>
              <w:suppressAutoHyphens w:val="0"/>
              <w:rPr>
                <w:vertAlign w:val="superscript"/>
                <w:lang w:val="hu-HU"/>
              </w:rPr>
            </w:pPr>
            <w:r w:rsidRPr="00183B5F">
              <w:rPr>
                <w:lang w:val="hu-HU"/>
              </w:rPr>
              <w:t>cutan vasculitis</w:t>
            </w:r>
            <w:r w:rsidRPr="00183B5F">
              <w:rPr>
                <w:vertAlign w:val="superscript"/>
                <w:lang w:val="hu-HU"/>
              </w:rPr>
              <w:t>1)</w:t>
            </w:r>
          </w:p>
          <w:p w14:paraId="0AA1F1E2" w14:textId="77777777" w:rsidR="00C036E3" w:rsidRPr="00183B5F" w:rsidRDefault="00943743">
            <w:pPr>
              <w:pStyle w:val="EMEANormal"/>
              <w:widowControl w:val="0"/>
              <w:suppressAutoHyphens w:val="0"/>
              <w:rPr>
                <w:lang w:val="hu-HU"/>
              </w:rPr>
            </w:pPr>
            <w:r w:rsidRPr="00183B5F">
              <w:rPr>
                <w:lang w:val="hu-HU"/>
              </w:rPr>
              <w:t>lichenoid bőrreakció</w:t>
            </w:r>
            <w:r w:rsidRPr="00183B5F">
              <w:rPr>
                <w:vertAlign w:val="superscript"/>
                <w:lang w:val="hu-HU"/>
              </w:rPr>
              <w:t>1)</w:t>
            </w:r>
          </w:p>
        </w:tc>
      </w:tr>
      <w:tr w:rsidR="00011D2F" w14:paraId="76C30C42" w14:textId="77777777" w:rsidTr="00202B95">
        <w:trPr>
          <w:cantSplit/>
        </w:trPr>
        <w:tc>
          <w:tcPr>
            <w:tcW w:w="2580" w:type="dxa"/>
            <w:tcBorders>
              <w:top w:val="nil"/>
            </w:tcBorders>
          </w:tcPr>
          <w:p w14:paraId="19E6799D" w14:textId="77777777" w:rsidR="00D22F6B" w:rsidRPr="00183B5F" w:rsidRDefault="00D22F6B" w:rsidP="004062FE">
            <w:pPr>
              <w:widowControl w:val="0"/>
              <w:suppressAutoHyphens w:val="0"/>
              <w:spacing w:line="240" w:lineRule="auto"/>
              <w:jc w:val="center"/>
              <w:rPr>
                <w:b/>
              </w:rPr>
            </w:pPr>
          </w:p>
        </w:tc>
        <w:tc>
          <w:tcPr>
            <w:tcW w:w="2027" w:type="dxa"/>
            <w:tcBorders>
              <w:top w:val="single" w:sz="4" w:space="0" w:color="auto"/>
            </w:tcBorders>
          </w:tcPr>
          <w:p w14:paraId="39D44C23" w14:textId="77777777" w:rsidR="00D22F6B" w:rsidRPr="00183B5F" w:rsidRDefault="00943743">
            <w:pPr>
              <w:pStyle w:val="EMEANormal"/>
              <w:widowControl w:val="0"/>
              <w:suppressAutoHyphens w:val="0"/>
              <w:rPr>
                <w:lang w:val="hu-HU"/>
              </w:rPr>
            </w:pPr>
            <w:r w:rsidRPr="00183B5F">
              <w:rPr>
                <w:lang w:val="hu-HU"/>
              </w:rPr>
              <w:t>Nem ismert</w:t>
            </w:r>
          </w:p>
        </w:tc>
        <w:tc>
          <w:tcPr>
            <w:tcW w:w="4454" w:type="dxa"/>
            <w:tcBorders>
              <w:top w:val="single" w:sz="4" w:space="0" w:color="auto"/>
            </w:tcBorders>
          </w:tcPr>
          <w:p w14:paraId="2079ABDD" w14:textId="77777777" w:rsidR="00D22F6B" w:rsidRPr="00183B5F" w:rsidRDefault="00943743">
            <w:pPr>
              <w:pStyle w:val="EMEANormal"/>
              <w:widowControl w:val="0"/>
              <w:suppressAutoHyphens w:val="0"/>
              <w:rPr>
                <w:lang w:val="hu-HU"/>
              </w:rPr>
            </w:pPr>
            <w:r w:rsidRPr="00183B5F">
              <w:rPr>
                <w:lang w:val="hu-HU"/>
              </w:rPr>
              <w:t>Dermatomyositis tüneteinek súlyosbodása</w:t>
            </w:r>
            <w:r w:rsidRPr="00183B5F">
              <w:rPr>
                <w:vertAlign w:val="superscript"/>
                <w:lang w:val="hu-HU"/>
              </w:rPr>
              <w:t>1)</w:t>
            </w:r>
          </w:p>
        </w:tc>
      </w:tr>
      <w:tr w:rsidR="00011D2F" w14:paraId="1B2A4B59" w14:textId="77777777" w:rsidTr="00202B95">
        <w:trPr>
          <w:cantSplit/>
        </w:trPr>
        <w:tc>
          <w:tcPr>
            <w:tcW w:w="2580" w:type="dxa"/>
            <w:vMerge w:val="restart"/>
          </w:tcPr>
          <w:p w14:paraId="33BA2B0D" w14:textId="77777777" w:rsidR="00764497" w:rsidRPr="00183B5F" w:rsidRDefault="00943743" w:rsidP="004062FE">
            <w:pPr>
              <w:pStyle w:val="EMEANormal"/>
              <w:widowControl w:val="0"/>
              <w:suppressAutoHyphens w:val="0"/>
              <w:rPr>
                <w:szCs w:val="22"/>
                <w:lang w:val="hu-HU"/>
              </w:rPr>
            </w:pPr>
            <w:r w:rsidRPr="00183B5F">
              <w:rPr>
                <w:szCs w:val="22"/>
                <w:lang w:val="hu-HU"/>
              </w:rPr>
              <w:t>A csont- és izomrendszer, valamint a kötőszövet betegségei és tünetei</w:t>
            </w:r>
          </w:p>
        </w:tc>
        <w:tc>
          <w:tcPr>
            <w:tcW w:w="2027" w:type="dxa"/>
            <w:tcBorders>
              <w:bottom w:val="single" w:sz="4" w:space="0" w:color="auto"/>
            </w:tcBorders>
          </w:tcPr>
          <w:p w14:paraId="08125AEE" w14:textId="77777777" w:rsidR="00764497" w:rsidRPr="00183B5F" w:rsidRDefault="00943743" w:rsidP="004062FE">
            <w:pPr>
              <w:pStyle w:val="EMEANormal"/>
              <w:widowControl w:val="0"/>
              <w:suppressAutoHyphens w:val="0"/>
              <w:rPr>
                <w:lang w:val="hu-HU"/>
              </w:rPr>
            </w:pPr>
            <w:r w:rsidRPr="00183B5F">
              <w:rPr>
                <w:lang w:val="hu-HU"/>
              </w:rPr>
              <w:t>Nagyon gyakori</w:t>
            </w:r>
          </w:p>
          <w:p w14:paraId="433721B2" w14:textId="77777777" w:rsidR="00764497" w:rsidRPr="00183B5F" w:rsidRDefault="00764497" w:rsidP="004062FE">
            <w:pPr>
              <w:pStyle w:val="EMEANormal"/>
              <w:widowControl w:val="0"/>
              <w:suppressAutoHyphens w:val="0"/>
              <w:rPr>
                <w:lang w:val="hu-HU"/>
              </w:rPr>
            </w:pPr>
          </w:p>
        </w:tc>
        <w:tc>
          <w:tcPr>
            <w:tcW w:w="4454" w:type="dxa"/>
            <w:tcBorders>
              <w:bottom w:val="single" w:sz="4" w:space="0" w:color="auto"/>
            </w:tcBorders>
          </w:tcPr>
          <w:p w14:paraId="35147D36" w14:textId="77777777" w:rsidR="00764497" w:rsidRPr="00183B5F" w:rsidRDefault="00943743" w:rsidP="004062FE">
            <w:pPr>
              <w:pStyle w:val="EMEANormal"/>
              <w:widowControl w:val="0"/>
              <w:suppressAutoHyphens w:val="0"/>
              <w:rPr>
                <w:lang w:val="hu-HU"/>
              </w:rPr>
            </w:pPr>
            <w:r w:rsidRPr="00183B5F">
              <w:rPr>
                <w:lang w:val="hu-HU"/>
              </w:rPr>
              <w:t>Mozgásszervi eredetű fájdalom</w:t>
            </w:r>
          </w:p>
          <w:p w14:paraId="6E144865" w14:textId="77777777" w:rsidR="00764497" w:rsidRPr="00183B5F" w:rsidRDefault="00764497" w:rsidP="004062FE">
            <w:pPr>
              <w:pStyle w:val="EMEANormal"/>
              <w:widowControl w:val="0"/>
              <w:suppressAutoHyphens w:val="0"/>
              <w:rPr>
                <w:lang w:val="hu-HU"/>
              </w:rPr>
            </w:pPr>
          </w:p>
        </w:tc>
      </w:tr>
      <w:tr w:rsidR="00011D2F" w14:paraId="582FDFD1" w14:textId="77777777" w:rsidTr="00202B95">
        <w:trPr>
          <w:cantSplit/>
        </w:trPr>
        <w:tc>
          <w:tcPr>
            <w:tcW w:w="2580" w:type="dxa"/>
            <w:vMerge/>
          </w:tcPr>
          <w:p w14:paraId="4099442A" w14:textId="77777777" w:rsidR="00764497" w:rsidRPr="00183B5F" w:rsidRDefault="00764497" w:rsidP="004062FE">
            <w:pPr>
              <w:pStyle w:val="EMEANormal"/>
              <w:widowControl w:val="0"/>
              <w:suppressAutoHyphens w:val="0"/>
              <w:rPr>
                <w:lang w:val="hu-HU"/>
              </w:rPr>
            </w:pPr>
          </w:p>
        </w:tc>
        <w:tc>
          <w:tcPr>
            <w:tcW w:w="2027" w:type="dxa"/>
            <w:tcBorders>
              <w:top w:val="single" w:sz="4" w:space="0" w:color="auto"/>
              <w:bottom w:val="single" w:sz="4" w:space="0" w:color="auto"/>
            </w:tcBorders>
          </w:tcPr>
          <w:p w14:paraId="52D8C6E3" w14:textId="77777777" w:rsidR="00764497" w:rsidRPr="00183B5F" w:rsidRDefault="00943743" w:rsidP="004062FE">
            <w:pPr>
              <w:pStyle w:val="EMEANormal"/>
              <w:widowControl w:val="0"/>
              <w:suppressAutoHyphens w:val="0"/>
              <w:rPr>
                <w:lang w:val="hu-HU"/>
              </w:rPr>
            </w:pPr>
            <w:r w:rsidRPr="00183B5F">
              <w:rPr>
                <w:lang w:val="hu-HU"/>
              </w:rPr>
              <w:t>Gyakori</w:t>
            </w:r>
          </w:p>
        </w:tc>
        <w:tc>
          <w:tcPr>
            <w:tcW w:w="4454" w:type="dxa"/>
            <w:tcBorders>
              <w:top w:val="single" w:sz="4" w:space="0" w:color="auto"/>
              <w:bottom w:val="single" w:sz="4" w:space="0" w:color="auto"/>
            </w:tcBorders>
          </w:tcPr>
          <w:p w14:paraId="6152E52E" w14:textId="77777777" w:rsidR="00764497" w:rsidRPr="00183B5F" w:rsidRDefault="00943743" w:rsidP="004062FE">
            <w:pPr>
              <w:pStyle w:val="EMEANormal"/>
              <w:widowControl w:val="0"/>
              <w:suppressAutoHyphens w:val="0"/>
              <w:rPr>
                <w:lang w:val="hu-HU"/>
              </w:rPr>
            </w:pPr>
            <w:r w:rsidRPr="00183B5F">
              <w:rPr>
                <w:lang w:val="hu-HU"/>
              </w:rPr>
              <w:t>Izomspasmus (beleértve a kreatin</w:t>
            </w:r>
            <w:r w:rsidRPr="00183B5F">
              <w:rPr>
                <w:lang w:val="hu-HU"/>
              </w:rPr>
              <w:noBreakHyphen/>
              <w:t>foszfokináz</w:t>
            </w:r>
            <w:r w:rsidRPr="00183B5F">
              <w:rPr>
                <w:lang w:val="hu-HU"/>
              </w:rPr>
              <w:noBreakHyphen/>
              <w:t xml:space="preserve">szint emelkedését is a vérben) </w:t>
            </w:r>
          </w:p>
          <w:p w14:paraId="442EF312" w14:textId="77777777" w:rsidR="00764497" w:rsidRPr="00183B5F" w:rsidRDefault="00764497" w:rsidP="004062FE">
            <w:pPr>
              <w:pStyle w:val="EMEANormal"/>
              <w:widowControl w:val="0"/>
              <w:suppressAutoHyphens w:val="0"/>
              <w:rPr>
                <w:lang w:val="hu-HU"/>
              </w:rPr>
            </w:pPr>
          </w:p>
        </w:tc>
      </w:tr>
      <w:tr w:rsidR="00011D2F" w14:paraId="60210404" w14:textId="77777777" w:rsidTr="00202B95">
        <w:trPr>
          <w:cantSplit/>
        </w:trPr>
        <w:tc>
          <w:tcPr>
            <w:tcW w:w="2580" w:type="dxa"/>
            <w:vMerge/>
          </w:tcPr>
          <w:p w14:paraId="3FAA2C71" w14:textId="77777777" w:rsidR="00764497" w:rsidRPr="00183B5F" w:rsidRDefault="00764497" w:rsidP="004062FE">
            <w:pPr>
              <w:widowControl w:val="0"/>
              <w:suppressAutoHyphens w:val="0"/>
              <w:spacing w:line="240" w:lineRule="auto"/>
              <w:jc w:val="center"/>
              <w:rPr>
                <w:b/>
              </w:rPr>
            </w:pPr>
          </w:p>
        </w:tc>
        <w:tc>
          <w:tcPr>
            <w:tcW w:w="2027" w:type="dxa"/>
            <w:tcBorders>
              <w:top w:val="single" w:sz="4" w:space="0" w:color="auto"/>
            </w:tcBorders>
          </w:tcPr>
          <w:p w14:paraId="7E77CAE1" w14:textId="77777777" w:rsidR="00764497" w:rsidRPr="00183B5F" w:rsidRDefault="00943743">
            <w:pPr>
              <w:pStyle w:val="EMEANormal"/>
              <w:widowControl w:val="0"/>
              <w:suppressAutoHyphens w:val="0"/>
              <w:rPr>
                <w:lang w:val="hu-HU"/>
              </w:rPr>
            </w:pPr>
            <w:r w:rsidRPr="00183B5F">
              <w:rPr>
                <w:lang w:val="hu-HU"/>
              </w:rPr>
              <w:t>Nem gyakori</w:t>
            </w:r>
          </w:p>
        </w:tc>
        <w:tc>
          <w:tcPr>
            <w:tcW w:w="4454" w:type="dxa"/>
            <w:tcBorders>
              <w:top w:val="single" w:sz="4" w:space="0" w:color="auto"/>
            </w:tcBorders>
          </w:tcPr>
          <w:p w14:paraId="54AF2627" w14:textId="77777777" w:rsidR="00C17B6B" w:rsidRPr="00183B5F" w:rsidRDefault="00943743">
            <w:pPr>
              <w:pStyle w:val="EMEANormal"/>
              <w:widowControl w:val="0"/>
              <w:suppressAutoHyphens w:val="0"/>
              <w:rPr>
                <w:lang w:val="hu-HU"/>
              </w:rPr>
            </w:pPr>
            <w:r w:rsidRPr="00183B5F">
              <w:rPr>
                <w:lang w:val="hu-HU"/>
              </w:rPr>
              <w:t>R</w:t>
            </w:r>
            <w:r w:rsidR="00764497" w:rsidRPr="00183B5F">
              <w:rPr>
                <w:lang w:val="hu-HU"/>
              </w:rPr>
              <w:t xml:space="preserve">habdomyolysis, </w:t>
            </w:r>
          </w:p>
          <w:p w14:paraId="5E578F4A" w14:textId="77777777" w:rsidR="00764497" w:rsidRPr="00183B5F" w:rsidRDefault="00943743">
            <w:pPr>
              <w:pStyle w:val="EMEANormal"/>
              <w:widowControl w:val="0"/>
              <w:suppressAutoHyphens w:val="0"/>
              <w:rPr>
                <w:lang w:val="hu-HU"/>
              </w:rPr>
            </w:pPr>
            <w:r w:rsidRPr="00183B5F">
              <w:rPr>
                <w:lang w:val="hu-HU"/>
              </w:rPr>
              <w:t>szisztémás lupus erythematosus</w:t>
            </w:r>
          </w:p>
        </w:tc>
      </w:tr>
      <w:tr w:rsidR="00011D2F" w14:paraId="27F347F4" w14:textId="77777777" w:rsidTr="00202B95">
        <w:trPr>
          <w:cantSplit/>
        </w:trPr>
        <w:tc>
          <w:tcPr>
            <w:tcW w:w="2580" w:type="dxa"/>
            <w:vMerge/>
          </w:tcPr>
          <w:p w14:paraId="6DA3EA23" w14:textId="77777777" w:rsidR="00764497" w:rsidRPr="00183B5F" w:rsidRDefault="00764497" w:rsidP="004062FE">
            <w:pPr>
              <w:widowControl w:val="0"/>
              <w:suppressAutoHyphens w:val="0"/>
              <w:spacing w:line="240" w:lineRule="auto"/>
              <w:jc w:val="center"/>
              <w:rPr>
                <w:b/>
              </w:rPr>
            </w:pPr>
          </w:p>
        </w:tc>
        <w:tc>
          <w:tcPr>
            <w:tcW w:w="2027" w:type="dxa"/>
            <w:tcBorders>
              <w:top w:val="nil"/>
            </w:tcBorders>
          </w:tcPr>
          <w:p w14:paraId="445A3501" w14:textId="77777777" w:rsidR="00764497" w:rsidRPr="00183B5F" w:rsidRDefault="00943743">
            <w:pPr>
              <w:pStyle w:val="EMEANormal"/>
              <w:widowControl w:val="0"/>
              <w:suppressAutoHyphens w:val="0"/>
              <w:rPr>
                <w:lang w:val="hu-HU"/>
              </w:rPr>
            </w:pPr>
            <w:r w:rsidRPr="00183B5F">
              <w:rPr>
                <w:lang w:val="hu-HU"/>
              </w:rPr>
              <w:t>Ritka</w:t>
            </w:r>
          </w:p>
          <w:p w14:paraId="53B03D9B" w14:textId="77777777" w:rsidR="00764497" w:rsidRPr="00183B5F" w:rsidRDefault="00764497">
            <w:pPr>
              <w:pStyle w:val="EMEANormal"/>
              <w:widowControl w:val="0"/>
              <w:suppressAutoHyphens w:val="0"/>
              <w:rPr>
                <w:lang w:val="hu-HU"/>
              </w:rPr>
            </w:pPr>
          </w:p>
        </w:tc>
        <w:tc>
          <w:tcPr>
            <w:tcW w:w="4454" w:type="dxa"/>
            <w:tcBorders>
              <w:top w:val="nil"/>
              <w:bottom w:val="single" w:sz="4" w:space="0" w:color="auto"/>
            </w:tcBorders>
          </w:tcPr>
          <w:p w14:paraId="2B383FC6" w14:textId="77777777" w:rsidR="00764497" w:rsidRPr="00183B5F" w:rsidRDefault="00943743">
            <w:pPr>
              <w:pStyle w:val="EMEANormal"/>
              <w:widowControl w:val="0"/>
              <w:suppressAutoHyphens w:val="0"/>
              <w:rPr>
                <w:lang w:val="hu-HU"/>
              </w:rPr>
            </w:pPr>
            <w:r w:rsidRPr="00183B5F">
              <w:rPr>
                <w:lang w:val="hu-HU"/>
              </w:rPr>
              <w:t>Lupus-szerű szindróma</w:t>
            </w:r>
            <w:r w:rsidRPr="00183B5F">
              <w:rPr>
                <w:vertAlign w:val="superscript"/>
                <w:lang w:val="hu-HU"/>
              </w:rPr>
              <w:t>1)</w:t>
            </w:r>
          </w:p>
        </w:tc>
      </w:tr>
      <w:tr w:rsidR="00011D2F" w14:paraId="40EAB452" w14:textId="77777777" w:rsidTr="00202B95">
        <w:trPr>
          <w:cantSplit/>
        </w:trPr>
        <w:tc>
          <w:tcPr>
            <w:tcW w:w="2580" w:type="dxa"/>
            <w:vMerge w:val="restart"/>
          </w:tcPr>
          <w:p w14:paraId="3B1C17E2" w14:textId="77777777" w:rsidR="00764497" w:rsidRPr="00183B5F" w:rsidRDefault="00943743" w:rsidP="004062FE">
            <w:pPr>
              <w:pStyle w:val="EMEANormal"/>
              <w:widowControl w:val="0"/>
              <w:suppressAutoHyphens w:val="0"/>
              <w:rPr>
                <w:szCs w:val="22"/>
                <w:lang w:val="hu-HU"/>
              </w:rPr>
            </w:pPr>
            <w:r w:rsidRPr="00183B5F">
              <w:rPr>
                <w:szCs w:val="22"/>
                <w:lang w:val="hu-HU"/>
              </w:rPr>
              <w:t>Vese- és húgyúti betegségek és tünetek</w:t>
            </w:r>
          </w:p>
        </w:tc>
        <w:tc>
          <w:tcPr>
            <w:tcW w:w="2027" w:type="dxa"/>
            <w:tcBorders>
              <w:bottom w:val="single" w:sz="4" w:space="0" w:color="auto"/>
            </w:tcBorders>
          </w:tcPr>
          <w:p w14:paraId="3FCD1471" w14:textId="77777777" w:rsidR="00764497" w:rsidRPr="00183B5F" w:rsidRDefault="00943743" w:rsidP="004062FE">
            <w:pPr>
              <w:pStyle w:val="EMEANormal"/>
              <w:widowControl w:val="0"/>
              <w:suppressAutoHyphens w:val="0"/>
              <w:rPr>
                <w:lang w:val="hu-HU"/>
              </w:rPr>
            </w:pPr>
            <w:r w:rsidRPr="00183B5F">
              <w:rPr>
                <w:lang w:val="hu-HU"/>
              </w:rPr>
              <w:t>Gyakori</w:t>
            </w:r>
          </w:p>
          <w:p w14:paraId="3995F6A3" w14:textId="77777777" w:rsidR="00764497" w:rsidRPr="00183B5F" w:rsidRDefault="00764497" w:rsidP="004062FE">
            <w:pPr>
              <w:pStyle w:val="EMEANormal"/>
              <w:widowControl w:val="0"/>
              <w:suppressAutoHyphens w:val="0"/>
              <w:rPr>
                <w:lang w:val="hu-HU"/>
              </w:rPr>
            </w:pPr>
          </w:p>
        </w:tc>
        <w:tc>
          <w:tcPr>
            <w:tcW w:w="4454" w:type="dxa"/>
            <w:tcBorders>
              <w:top w:val="single" w:sz="4" w:space="0" w:color="auto"/>
              <w:bottom w:val="single" w:sz="4" w:space="0" w:color="auto"/>
            </w:tcBorders>
          </w:tcPr>
          <w:p w14:paraId="49239EE9" w14:textId="77777777" w:rsidR="00764497" w:rsidRPr="00183B5F" w:rsidRDefault="00943743" w:rsidP="004062FE">
            <w:pPr>
              <w:pStyle w:val="EMEANormal"/>
              <w:widowControl w:val="0"/>
              <w:suppressAutoHyphens w:val="0"/>
              <w:rPr>
                <w:lang w:val="hu-HU"/>
              </w:rPr>
            </w:pPr>
            <w:r w:rsidRPr="00183B5F">
              <w:rPr>
                <w:lang w:val="hu-HU"/>
              </w:rPr>
              <w:t>Beszűkült vesefunkció,</w:t>
            </w:r>
          </w:p>
          <w:p w14:paraId="7694265C" w14:textId="77777777" w:rsidR="00764497" w:rsidRPr="00183B5F" w:rsidRDefault="00943743" w:rsidP="004062FE">
            <w:pPr>
              <w:pStyle w:val="EMEANormal"/>
              <w:widowControl w:val="0"/>
              <w:suppressAutoHyphens w:val="0"/>
              <w:rPr>
                <w:lang w:val="hu-HU"/>
              </w:rPr>
            </w:pPr>
            <w:r w:rsidRPr="00183B5F">
              <w:rPr>
                <w:lang w:val="hu-HU"/>
              </w:rPr>
              <w:t>haematuria</w:t>
            </w:r>
          </w:p>
          <w:p w14:paraId="2C908FD5" w14:textId="77777777" w:rsidR="00764497" w:rsidRPr="00183B5F" w:rsidRDefault="00764497" w:rsidP="004062FE">
            <w:pPr>
              <w:pStyle w:val="EMEANormal"/>
              <w:widowControl w:val="0"/>
              <w:suppressAutoHyphens w:val="0"/>
              <w:rPr>
                <w:lang w:val="hu-HU"/>
              </w:rPr>
            </w:pPr>
          </w:p>
        </w:tc>
      </w:tr>
      <w:tr w:rsidR="00011D2F" w14:paraId="1A677D3B" w14:textId="77777777" w:rsidTr="00202B95">
        <w:trPr>
          <w:cantSplit/>
        </w:trPr>
        <w:tc>
          <w:tcPr>
            <w:tcW w:w="2580" w:type="dxa"/>
            <w:vMerge/>
          </w:tcPr>
          <w:p w14:paraId="071494BF" w14:textId="77777777" w:rsidR="00764497" w:rsidRPr="00183B5F" w:rsidRDefault="00764497" w:rsidP="004062FE">
            <w:pPr>
              <w:widowControl w:val="0"/>
              <w:suppressAutoHyphens w:val="0"/>
              <w:spacing w:line="240" w:lineRule="auto"/>
              <w:jc w:val="center"/>
              <w:rPr>
                <w:b/>
              </w:rPr>
            </w:pPr>
          </w:p>
        </w:tc>
        <w:tc>
          <w:tcPr>
            <w:tcW w:w="2027" w:type="dxa"/>
            <w:tcBorders>
              <w:top w:val="single" w:sz="4" w:space="0" w:color="auto"/>
            </w:tcBorders>
          </w:tcPr>
          <w:p w14:paraId="3B9B0687" w14:textId="77777777" w:rsidR="00764497" w:rsidRPr="00183B5F" w:rsidRDefault="00943743">
            <w:pPr>
              <w:pStyle w:val="EMEANormal"/>
              <w:widowControl w:val="0"/>
              <w:suppressAutoHyphens w:val="0"/>
              <w:rPr>
                <w:lang w:val="hu-HU"/>
              </w:rPr>
            </w:pPr>
            <w:r w:rsidRPr="00183B5F">
              <w:rPr>
                <w:lang w:val="hu-HU"/>
              </w:rPr>
              <w:t>Nem gyakori</w:t>
            </w:r>
          </w:p>
        </w:tc>
        <w:tc>
          <w:tcPr>
            <w:tcW w:w="4454" w:type="dxa"/>
            <w:tcBorders>
              <w:top w:val="single" w:sz="4" w:space="0" w:color="auto"/>
            </w:tcBorders>
          </w:tcPr>
          <w:p w14:paraId="45564A26" w14:textId="77777777" w:rsidR="00764497" w:rsidRPr="00183B5F" w:rsidRDefault="00943743">
            <w:pPr>
              <w:pStyle w:val="EMEANormal"/>
              <w:widowControl w:val="0"/>
              <w:suppressAutoHyphens w:val="0"/>
              <w:rPr>
                <w:lang w:val="hu-HU"/>
              </w:rPr>
            </w:pPr>
            <w:r w:rsidRPr="00183B5F">
              <w:rPr>
                <w:lang w:val="hu-HU"/>
              </w:rPr>
              <w:t>Nocturia</w:t>
            </w:r>
          </w:p>
        </w:tc>
      </w:tr>
      <w:tr w:rsidR="00011D2F" w14:paraId="01DDFF61" w14:textId="77777777" w:rsidTr="00202B95">
        <w:trPr>
          <w:cantSplit/>
        </w:trPr>
        <w:tc>
          <w:tcPr>
            <w:tcW w:w="2580" w:type="dxa"/>
          </w:tcPr>
          <w:p w14:paraId="0F3C09B7" w14:textId="77777777" w:rsidR="00764497" w:rsidRPr="00183B5F" w:rsidRDefault="00943743" w:rsidP="004062FE">
            <w:pPr>
              <w:pStyle w:val="EMEANormal"/>
              <w:widowControl w:val="0"/>
              <w:suppressAutoHyphens w:val="0"/>
              <w:rPr>
                <w:szCs w:val="22"/>
                <w:lang w:val="hu-HU"/>
              </w:rPr>
            </w:pPr>
            <w:r w:rsidRPr="00183B5F">
              <w:rPr>
                <w:szCs w:val="22"/>
                <w:lang w:val="hu-HU"/>
              </w:rPr>
              <w:t>A nemi szervekkel és az emlőkkel kapcsolatos betegségek és tünetek</w:t>
            </w:r>
          </w:p>
        </w:tc>
        <w:tc>
          <w:tcPr>
            <w:tcW w:w="2027" w:type="dxa"/>
            <w:tcBorders>
              <w:bottom w:val="single" w:sz="4" w:space="0" w:color="auto"/>
            </w:tcBorders>
          </w:tcPr>
          <w:p w14:paraId="0D4D7DB0" w14:textId="77777777" w:rsidR="00764497" w:rsidRPr="00183B5F" w:rsidRDefault="00943743" w:rsidP="004062FE">
            <w:pPr>
              <w:pStyle w:val="EMEANormal"/>
              <w:widowControl w:val="0"/>
              <w:suppressAutoHyphens w:val="0"/>
              <w:rPr>
                <w:lang w:val="hu-HU"/>
              </w:rPr>
            </w:pPr>
            <w:r w:rsidRPr="00183B5F">
              <w:rPr>
                <w:lang w:val="hu-HU"/>
              </w:rPr>
              <w:t>Nem gyakori</w:t>
            </w:r>
          </w:p>
        </w:tc>
        <w:tc>
          <w:tcPr>
            <w:tcW w:w="4454" w:type="dxa"/>
            <w:tcBorders>
              <w:bottom w:val="single" w:sz="4" w:space="0" w:color="auto"/>
            </w:tcBorders>
          </w:tcPr>
          <w:p w14:paraId="70DB71FF" w14:textId="77777777" w:rsidR="00764497" w:rsidRPr="00183B5F" w:rsidRDefault="00943743" w:rsidP="004062FE">
            <w:pPr>
              <w:pStyle w:val="EMEANormal"/>
              <w:widowControl w:val="0"/>
              <w:suppressAutoHyphens w:val="0"/>
              <w:rPr>
                <w:lang w:val="hu-HU"/>
              </w:rPr>
            </w:pPr>
            <w:r w:rsidRPr="00183B5F">
              <w:rPr>
                <w:lang w:val="hu-HU"/>
              </w:rPr>
              <w:t>Erectilis dysfunctio</w:t>
            </w:r>
          </w:p>
          <w:p w14:paraId="2DB13228" w14:textId="77777777" w:rsidR="00764497" w:rsidRPr="00183B5F" w:rsidRDefault="00764497" w:rsidP="004062FE">
            <w:pPr>
              <w:pStyle w:val="EMEANormal"/>
              <w:widowControl w:val="0"/>
              <w:suppressAutoHyphens w:val="0"/>
              <w:rPr>
                <w:lang w:val="hu-HU"/>
              </w:rPr>
            </w:pPr>
          </w:p>
        </w:tc>
      </w:tr>
      <w:tr w:rsidR="00011D2F" w14:paraId="650F9B98" w14:textId="77777777" w:rsidTr="00202B95">
        <w:trPr>
          <w:cantSplit/>
        </w:trPr>
        <w:tc>
          <w:tcPr>
            <w:tcW w:w="2580" w:type="dxa"/>
            <w:vMerge w:val="restart"/>
          </w:tcPr>
          <w:p w14:paraId="3C9ACD5B" w14:textId="77777777" w:rsidR="00764497" w:rsidRPr="00183B5F" w:rsidRDefault="00943743" w:rsidP="004062FE">
            <w:pPr>
              <w:pStyle w:val="EMEANormal"/>
              <w:widowControl w:val="0"/>
              <w:suppressAutoHyphens w:val="0"/>
              <w:rPr>
                <w:szCs w:val="22"/>
                <w:lang w:val="hu-HU"/>
              </w:rPr>
            </w:pPr>
            <w:r w:rsidRPr="00183B5F">
              <w:rPr>
                <w:szCs w:val="22"/>
                <w:lang w:val="hu-HU"/>
              </w:rPr>
              <w:t>Általános tünetek, az alkalmazás helyén fellépő reakciók*</w:t>
            </w:r>
          </w:p>
        </w:tc>
        <w:tc>
          <w:tcPr>
            <w:tcW w:w="2027" w:type="dxa"/>
            <w:tcBorders>
              <w:bottom w:val="single" w:sz="4" w:space="0" w:color="auto"/>
            </w:tcBorders>
          </w:tcPr>
          <w:p w14:paraId="19C500D8" w14:textId="77777777" w:rsidR="00764497" w:rsidRPr="00183B5F" w:rsidRDefault="00943743" w:rsidP="004062FE">
            <w:pPr>
              <w:pStyle w:val="EMEANormal"/>
              <w:widowControl w:val="0"/>
              <w:suppressAutoHyphens w:val="0"/>
              <w:rPr>
                <w:lang w:val="hu-HU"/>
              </w:rPr>
            </w:pPr>
            <w:r w:rsidRPr="00183B5F">
              <w:rPr>
                <w:lang w:val="hu-HU"/>
              </w:rPr>
              <w:t>Nagyon gyakori</w:t>
            </w:r>
          </w:p>
          <w:p w14:paraId="35BE0E59" w14:textId="77777777" w:rsidR="00764497" w:rsidRPr="00183B5F" w:rsidRDefault="00764497" w:rsidP="004062FE">
            <w:pPr>
              <w:pStyle w:val="EMEANormal"/>
              <w:widowControl w:val="0"/>
              <w:suppressAutoHyphens w:val="0"/>
              <w:rPr>
                <w:lang w:val="hu-HU"/>
              </w:rPr>
            </w:pPr>
          </w:p>
        </w:tc>
        <w:tc>
          <w:tcPr>
            <w:tcW w:w="4454" w:type="dxa"/>
            <w:tcBorders>
              <w:bottom w:val="single" w:sz="4" w:space="0" w:color="auto"/>
            </w:tcBorders>
          </w:tcPr>
          <w:p w14:paraId="573948CB" w14:textId="77777777" w:rsidR="00764497" w:rsidRPr="00183B5F" w:rsidRDefault="00943743" w:rsidP="004062FE">
            <w:pPr>
              <w:pStyle w:val="EMEANormal"/>
              <w:widowControl w:val="0"/>
              <w:suppressAutoHyphens w:val="0"/>
              <w:rPr>
                <w:lang w:val="hu-HU"/>
              </w:rPr>
            </w:pPr>
            <w:r w:rsidRPr="00183B5F">
              <w:rPr>
                <w:lang w:val="hu-HU"/>
              </w:rPr>
              <w:t>Az injekció beadási helyén jelentkező reakció (beleértve az injekció beadási helyén jelentkező reakciót erythemát is)</w:t>
            </w:r>
          </w:p>
          <w:p w14:paraId="4BAA7321" w14:textId="77777777" w:rsidR="00764497" w:rsidRPr="00183B5F" w:rsidRDefault="00764497" w:rsidP="004062FE">
            <w:pPr>
              <w:pStyle w:val="EMEANormal"/>
              <w:widowControl w:val="0"/>
              <w:suppressAutoHyphens w:val="0"/>
              <w:rPr>
                <w:lang w:val="hu-HU"/>
              </w:rPr>
            </w:pPr>
          </w:p>
        </w:tc>
      </w:tr>
      <w:tr w:rsidR="00011D2F" w14:paraId="1EB0ACCD" w14:textId="77777777" w:rsidTr="00202B95">
        <w:trPr>
          <w:cantSplit/>
        </w:trPr>
        <w:tc>
          <w:tcPr>
            <w:tcW w:w="2580" w:type="dxa"/>
            <w:vMerge/>
          </w:tcPr>
          <w:p w14:paraId="22D0F18F" w14:textId="77777777" w:rsidR="00764497" w:rsidRPr="00183B5F" w:rsidRDefault="00764497" w:rsidP="004062FE">
            <w:pPr>
              <w:widowControl w:val="0"/>
              <w:suppressAutoHyphens w:val="0"/>
              <w:spacing w:line="240" w:lineRule="auto"/>
              <w:jc w:val="center"/>
              <w:rPr>
                <w:b/>
              </w:rPr>
            </w:pPr>
          </w:p>
        </w:tc>
        <w:tc>
          <w:tcPr>
            <w:tcW w:w="2027" w:type="dxa"/>
            <w:tcBorders>
              <w:top w:val="single" w:sz="4" w:space="0" w:color="auto"/>
              <w:bottom w:val="single" w:sz="4" w:space="0" w:color="auto"/>
            </w:tcBorders>
          </w:tcPr>
          <w:p w14:paraId="44CFBE89" w14:textId="77777777" w:rsidR="00764497" w:rsidRPr="00183B5F" w:rsidRDefault="00943743">
            <w:pPr>
              <w:pStyle w:val="EMEANormal"/>
              <w:widowControl w:val="0"/>
              <w:suppressAutoHyphens w:val="0"/>
              <w:rPr>
                <w:lang w:val="hu-HU"/>
              </w:rPr>
            </w:pPr>
            <w:r w:rsidRPr="00183B5F">
              <w:rPr>
                <w:lang w:val="hu-HU"/>
              </w:rPr>
              <w:t>Gyakori</w:t>
            </w:r>
          </w:p>
          <w:p w14:paraId="70CD6176" w14:textId="77777777" w:rsidR="00764497" w:rsidRPr="00183B5F" w:rsidRDefault="00764497">
            <w:pPr>
              <w:pStyle w:val="EMEANormal"/>
              <w:widowControl w:val="0"/>
              <w:suppressAutoHyphens w:val="0"/>
              <w:rPr>
                <w:lang w:val="hu-HU"/>
              </w:rPr>
            </w:pPr>
          </w:p>
        </w:tc>
        <w:tc>
          <w:tcPr>
            <w:tcW w:w="4454" w:type="dxa"/>
            <w:tcBorders>
              <w:top w:val="single" w:sz="4" w:space="0" w:color="auto"/>
              <w:bottom w:val="single" w:sz="4" w:space="0" w:color="auto"/>
            </w:tcBorders>
          </w:tcPr>
          <w:p w14:paraId="1220E7F4" w14:textId="77777777" w:rsidR="00764497" w:rsidRPr="00183B5F" w:rsidRDefault="00943743">
            <w:pPr>
              <w:pStyle w:val="EMEANormal"/>
              <w:widowControl w:val="0"/>
              <w:suppressAutoHyphens w:val="0"/>
              <w:rPr>
                <w:lang w:val="hu-HU"/>
              </w:rPr>
            </w:pPr>
            <w:r w:rsidRPr="00183B5F">
              <w:rPr>
                <w:lang w:val="hu-HU"/>
              </w:rPr>
              <w:t xml:space="preserve">Mellkasi fájdalom, </w:t>
            </w:r>
          </w:p>
          <w:p w14:paraId="136F2754" w14:textId="77777777" w:rsidR="00764497" w:rsidRPr="00183B5F" w:rsidRDefault="00943743">
            <w:pPr>
              <w:pStyle w:val="EMEANormal"/>
              <w:widowControl w:val="0"/>
              <w:suppressAutoHyphens w:val="0"/>
              <w:rPr>
                <w:lang w:val="hu-HU"/>
              </w:rPr>
            </w:pPr>
            <w:r w:rsidRPr="00183B5F">
              <w:rPr>
                <w:lang w:val="hu-HU"/>
              </w:rPr>
              <w:t>oedema,</w:t>
            </w:r>
          </w:p>
          <w:p w14:paraId="2A447106" w14:textId="77777777" w:rsidR="00764497" w:rsidRPr="00183B5F" w:rsidRDefault="00943743">
            <w:pPr>
              <w:pStyle w:val="EMEANormal"/>
              <w:widowControl w:val="0"/>
              <w:suppressAutoHyphens w:val="0"/>
              <w:rPr>
                <w:lang w:val="hu-HU"/>
              </w:rPr>
            </w:pPr>
            <w:r w:rsidRPr="00183B5F">
              <w:rPr>
                <w:lang w:val="hu-HU"/>
              </w:rPr>
              <w:t>láz</w:t>
            </w:r>
            <w:r w:rsidRPr="00183B5F">
              <w:rPr>
                <w:vertAlign w:val="superscript"/>
                <w:lang w:val="hu-HU"/>
              </w:rPr>
              <w:t>1)</w:t>
            </w:r>
          </w:p>
        </w:tc>
      </w:tr>
      <w:tr w:rsidR="00011D2F" w14:paraId="0E8176C2" w14:textId="77777777" w:rsidTr="00202B95">
        <w:trPr>
          <w:cantSplit/>
        </w:trPr>
        <w:tc>
          <w:tcPr>
            <w:tcW w:w="2580" w:type="dxa"/>
            <w:vMerge/>
          </w:tcPr>
          <w:p w14:paraId="7AE20218" w14:textId="77777777" w:rsidR="00764497" w:rsidRPr="00183B5F" w:rsidRDefault="00764497" w:rsidP="004062FE">
            <w:pPr>
              <w:widowControl w:val="0"/>
              <w:suppressAutoHyphens w:val="0"/>
              <w:spacing w:line="240" w:lineRule="auto"/>
              <w:jc w:val="center"/>
              <w:rPr>
                <w:b/>
              </w:rPr>
            </w:pPr>
          </w:p>
        </w:tc>
        <w:tc>
          <w:tcPr>
            <w:tcW w:w="2027" w:type="dxa"/>
            <w:tcBorders>
              <w:top w:val="single" w:sz="4" w:space="0" w:color="auto"/>
            </w:tcBorders>
          </w:tcPr>
          <w:p w14:paraId="4B7759D0" w14:textId="77777777" w:rsidR="00764497" w:rsidRPr="00183B5F" w:rsidRDefault="00943743">
            <w:pPr>
              <w:pStyle w:val="EMEANormal"/>
              <w:widowControl w:val="0"/>
              <w:suppressAutoHyphens w:val="0"/>
              <w:rPr>
                <w:lang w:val="hu-HU"/>
              </w:rPr>
            </w:pPr>
            <w:r w:rsidRPr="00183B5F">
              <w:rPr>
                <w:lang w:val="hu-HU"/>
              </w:rPr>
              <w:t>Nem gyakori</w:t>
            </w:r>
          </w:p>
          <w:p w14:paraId="3CBD6D95" w14:textId="77777777" w:rsidR="00764497" w:rsidRPr="00183B5F" w:rsidRDefault="00764497">
            <w:pPr>
              <w:pStyle w:val="EMEANormal"/>
              <w:widowControl w:val="0"/>
              <w:suppressAutoHyphens w:val="0"/>
              <w:rPr>
                <w:lang w:val="hu-HU"/>
              </w:rPr>
            </w:pPr>
          </w:p>
        </w:tc>
        <w:tc>
          <w:tcPr>
            <w:tcW w:w="4454" w:type="dxa"/>
            <w:tcBorders>
              <w:top w:val="single" w:sz="4" w:space="0" w:color="auto"/>
            </w:tcBorders>
          </w:tcPr>
          <w:p w14:paraId="4A21D1FB" w14:textId="77777777" w:rsidR="00764497" w:rsidRPr="00183B5F" w:rsidRDefault="00943743">
            <w:pPr>
              <w:pStyle w:val="EMEANormal"/>
              <w:widowControl w:val="0"/>
              <w:suppressAutoHyphens w:val="0"/>
              <w:rPr>
                <w:lang w:val="hu-HU"/>
              </w:rPr>
            </w:pPr>
            <w:r w:rsidRPr="00183B5F">
              <w:rPr>
                <w:lang w:val="hu-HU"/>
              </w:rPr>
              <w:t>Gyulladás</w:t>
            </w:r>
          </w:p>
        </w:tc>
      </w:tr>
      <w:tr w:rsidR="00011D2F" w14:paraId="3EBA1AAD" w14:textId="77777777" w:rsidTr="00202B95">
        <w:trPr>
          <w:cantSplit/>
        </w:trPr>
        <w:tc>
          <w:tcPr>
            <w:tcW w:w="2580" w:type="dxa"/>
            <w:vMerge w:val="restart"/>
          </w:tcPr>
          <w:p w14:paraId="17B5AB86" w14:textId="77777777" w:rsidR="00796272" w:rsidRPr="00183B5F" w:rsidRDefault="00943743" w:rsidP="004062FE">
            <w:pPr>
              <w:pStyle w:val="EMEANormal"/>
              <w:widowControl w:val="0"/>
              <w:suppressAutoHyphens w:val="0"/>
              <w:rPr>
                <w:szCs w:val="22"/>
                <w:lang w:val="hu-HU"/>
              </w:rPr>
            </w:pPr>
            <w:r w:rsidRPr="00183B5F">
              <w:rPr>
                <w:szCs w:val="22"/>
                <w:lang w:val="hu-HU"/>
              </w:rPr>
              <w:t>Laboratóriumi és egyéb vizsgálatok eredményei*</w:t>
            </w:r>
          </w:p>
        </w:tc>
        <w:tc>
          <w:tcPr>
            <w:tcW w:w="2027" w:type="dxa"/>
          </w:tcPr>
          <w:p w14:paraId="2F81EC40" w14:textId="77777777" w:rsidR="00796272" w:rsidRPr="00183B5F" w:rsidRDefault="00943743" w:rsidP="004062FE">
            <w:pPr>
              <w:pStyle w:val="EMEANormal"/>
              <w:widowControl w:val="0"/>
              <w:suppressAutoHyphens w:val="0"/>
              <w:rPr>
                <w:lang w:val="hu-HU"/>
              </w:rPr>
            </w:pPr>
            <w:r w:rsidRPr="00183B5F">
              <w:rPr>
                <w:lang w:val="hu-HU"/>
              </w:rPr>
              <w:t>Gyakori</w:t>
            </w:r>
          </w:p>
        </w:tc>
        <w:tc>
          <w:tcPr>
            <w:tcW w:w="4454" w:type="dxa"/>
          </w:tcPr>
          <w:p w14:paraId="26513269" w14:textId="77777777" w:rsidR="00796272" w:rsidRPr="00183B5F" w:rsidRDefault="00943743" w:rsidP="004062FE">
            <w:pPr>
              <w:pStyle w:val="EMEANormal"/>
              <w:widowControl w:val="0"/>
              <w:suppressAutoHyphens w:val="0"/>
              <w:rPr>
                <w:lang w:val="hu-HU"/>
              </w:rPr>
            </w:pPr>
            <w:r w:rsidRPr="00183B5F">
              <w:rPr>
                <w:lang w:val="hu-HU"/>
              </w:rPr>
              <w:t xml:space="preserve">Véralvadási zavar vagy vérzékenység (beleértve az aktivált parciális thromboplastin-idő megnyúlását is), </w:t>
            </w:r>
          </w:p>
          <w:p w14:paraId="1407B3D9" w14:textId="77777777" w:rsidR="00796272" w:rsidRPr="00183B5F" w:rsidRDefault="00943743" w:rsidP="004062FE">
            <w:pPr>
              <w:pStyle w:val="EMEANormal"/>
              <w:widowControl w:val="0"/>
              <w:suppressAutoHyphens w:val="0"/>
              <w:rPr>
                <w:lang w:val="hu-HU"/>
              </w:rPr>
            </w:pPr>
            <w:r w:rsidRPr="00183B5F">
              <w:rPr>
                <w:lang w:val="hu-HU"/>
              </w:rPr>
              <w:t xml:space="preserve">az autoantitest-vizsgálat pozitívvá válása (beleértve a kettős szálú DNS-ellenes antitestet is), </w:t>
            </w:r>
          </w:p>
          <w:p w14:paraId="068B4D2C" w14:textId="77777777" w:rsidR="00796272" w:rsidRPr="00183B5F" w:rsidRDefault="00943743" w:rsidP="004062FE">
            <w:pPr>
              <w:pStyle w:val="EMEANormal"/>
              <w:widowControl w:val="0"/>
              <w:suppressAutoHyphens w:val="0"/>
              <w:rPr>
                <w:lang w:val="hu-HU"/>
              </w:rPr>
            </w:pPr>
            <w:r w:rsidRPr="00183B5F">
              <w:rPr>
                <w:lang w:val="hu-HU"/>
              </w:rPr>
              <w:t>a vér laktát</w:t>
            </w:r>
            <w:r w:rsidRPr="00183B5F">
              <w:rPr>
                <w:lang w:val="hu-HU"/>
              </w:rPr>
              <w:noBreakHyphen/>
              <w:t xml:space="preserve">dehidrogenáz-szintjének emelkedése </w:t>
            </w:r>
          </w:p>
          <w:p w14:paraId="291C5373" w14:textId="77777777" w:rsidR="00796272" w:rsidRPr="00183B5F" w:rsidRDefault="00796272" w:rsidP="004062FE">
            <w:pPr>
              <w:pStyle w:val="EMEANormal"/>
              <w:widowControl w:val="0"/>
              <w:suppressAutoHyphens w:val="0"/>
              <w:rPr>
                <w:lang w:val="hu-HU"/>
              </w:rPr>
            </w:pPr>
          </w:p>
        </w:tc>
      </w:tr>
      <w:tr w:rsidR="00011D2F" w14:paraId="3CE64389" w14:textId="77777777" w:rsidTr="00796272">
        <w:trPr>
          <w:cantSplit/>
        </w:trPr>
        <w:tc>
          <w:tcPr>
            <w:tcW w:w="2580" w:type="dxa"/>
            <w:vMerge/>
          </w:tcPr>
          <w:p w14:paraId="049E25A9" w14:textId="77777777" w:rsidR="00796272" w:rsidRPr="00183B5F" w:rsidRDefault="00796272" w:rsidP="004062FE">
            <w:pPr>
              <w:pStyle w:val="EMEANormal"/>
              <w:keepNext/>
              <w:widowControl w:val="0"/>
              <w:suppressAutoHyphens w:val="0"/>
              <w:rPr>
                <w:szCs w:val="22"/>
                <w:lang w:val="hu-HU"/>
              </w:rPr>
            </w:pPr>
          </w:p>
        </w:tc>
        <w:tc>
          <w:tcPr>
            <w:tcW w:w="2027" w:type="dxa"/>
          </w:tcPr>
          <w:p w14:paraId="42176A75" w14:textId="77777777" w:rsidR="00796272" w:rsidRPr="00183B5F" w:rsidRDefault="00943743" w:rsidP="004062FE">
            <w:pPr>
              <w:pStyle w:val="EMEANormal"/>
              <w:keepNext/>
              <w:widowControl w:val="0"/>
              <w:suppressAutoHyphens w:val="0"/>
              <w:rPr>
                <w:lang w:val="hu-HU"/>
              </w:rPr>
            </w:pPr>
            <w:r w:rsidRPr="00183B5F">
              <w:rPr>
                <w:lang w:val="hu-HU"/>
              </w:rPr>
              <w:t>Nem ismert</w:t>
            </w:r>
          </w:p>
        </w:tc>
        <w:tc>
          <w:tcPr>
            <w:tcW w:w="4454" w:type="dxa"/>
          </w:tcPr>
          <w:p w14:paraId="175BEED6" w14:textId="77777777" w:rsidR="00796272" w:rsidRPr="00183B5F" w:rsidRDefault="00943743" w:rsidP="004062FE">
            <w:pPr>
              <w:pStyle w:val="EMEANormal"/>
              <w:keepNext/>
              <w:widowControl w:val="0"/>
              <w:suppressAutoHyphens w:val="0"/>
              <w:rPr>
                <w:lang w:val="hu-HU"/>
              </w:rPr>
            </w:pPr>
            <w:r w:rsidRPr="00183B5F">
              <w:rPr>
                <w:lang w:val="hu-HU"/>
              </w:rPr>
              <w:t>Testtömeg növekedése</w:t>
            </w:r>
            <w:r w:rsidRPr="00183B5F">
              <w:rPr>
                <w:vertAlign w:val="superscript"/>
                <w:lang w:val="hu-HU"/>
              </w:rPr>
              <w:t>2)</w:t>
            </w:r>
          </w:p>
        </w:tc>
      </w:tr>
      <w:tr w:rsidR="00011D2F" w14:paraId="2E64EA77" w14:textId="77777777" w:rsidTr="00202B95">
        <w:trPr>
          <w:cantSplit/>
        </w:trPr>
        <w:tc>
          <w:tcPr>
            <w:tcW w:w="2580" w:type="dxa"/>
          </w:tcPr>
          <w:p w14:paraId="68B9B6A9" w14:textId="77777777" w:rsidR="00764497" w:rsidRPr="00183B5F" w:rsidRDefault="00943743" w:rsidP="004062FE">
            <w:pPr>
              <w:pStyle w:val="EMEANormal"/>
              <w:keepNext/>
              <w:widowControl w:val="0"/>
              <w:suppressAutoHyphens w:val="0"/>
              <w:rPr>
                <w:szCs w:val="22"/>
                <w:lang w:val="hu-HU"/>
              </w:rPr>
            </w:pPr>
            <w:r w:rsidRPr="00183B5F">
              <w:rPr>
                <w:szCs w:val="22"/>
                <w:lang w:val="hu-HU"/>
              </w:rPr>
              <w:t>Sérülés, mérgezés és a beavatkozással kapcsolatos szövődmények</w:t>
            </w:r>
          </w:p>
        </w:tc>
        <w:tc>
          <w:tcPr>
            <w:tcW w:w="2027" w:type="dxa"/>
          </w:tcPr>
          <w:p w14:paraId="37A14DB5" w14:textId="77777777" w:rsidR="00764497" w:rsidRPr="00183B5F" w:rsidRDefault="00943743" w:rsidP="004062FE">
            <w:pPr>
              <w:pStyle w:val="EMEANormal"/>
              <w:keepNext/>
              <w:widowControl w:val="0"/>
              <w:suppressAutoHyphens w:val="0"/>
              <w:rPr>
                <w:lang w:val="hu-HU"/>
              </w:rPr>
            </w:pPr>
            <w:r w:rsidRPr="00183B5F">
              <w:rPr>
                <w:lang w:val="hu-HU"/>
              </w:rPr>
              <w:t>Gyakori</w:t>
            </w:r>
          </w:p>
        </w:tc>
        <w:tc>
          <w:tcPr>
            <w:tcW w:w="4454" w:type="dxa"/>
          </w:tcPr>
          <w:p w14:paraId="422EEA33" w14:textId="77777777" w:rsidR="004A6A7C" w:rsidRPr="00183B5F" w:rsidRDefault="00943743" w:rsidP="004062FE">
            <w:pPr>
              <w:pStyle w:val="EMEANormal"/>
              <w:keepNext/>
              <w:widowControl w:val="0"/>
              <w:suppressAutoHyphens w:val="0"/>
              <w:rPr>
                <w:lang w:val="hu-HU"/>
              </w:rPr>
            </w:pPr>
            <w:r w:rsidRPr="00183B5F">
              <w:rPr>
                <w:lang w:val="hu-HU"/>
              </w:rPr>
              <w:t>Sebgyógyulási zavar</w:t>
            </w:r>
          </w:p>
          <w:p w14:paraId="1CDB9161" w14:textId="77777777" w:rsidR="00764497" w:rsidRPr="00183B5F" w:rsidRDefault="00764497" w:rsidP="004062FE">
            <w:pPr>
              <w:pStyle w:val="EMEANormal"/>
              <w:keepNext/>
              <w:widowControl w:val="0"/>
              <w:suppressAutoHyphens w:val="0"/>
              <w:rPr>
                <w:lang w:val="hu-HU"/>
              </w:rPr>
            </w:pPr>
          </w:p>
        </w:tc>
      </w:tr>
    </w:tbl>
    <w:p w14:paraId="7083A1DB" w14:textId="77777777" w:rsidR="00764497" w:rsidRPr="00183B5F" w:rsidRDefault="00943743" w:rsidP="004062FE">
      <w:pPr>
        <w:keepNext/>
        <w:suppressAutoHyphens w:val="0"/>
        <w:spacing w:line="240" w:lineRule="auto"/>
        <w:rPr>
          <w:szCs w:val="22"/>
        </w:rPr>
      </w:pPr>
      <w:r w:rsidRPr="00183B5F">
        <w:rPr>
          <w:szCs w:val="22"/>
        </w:rPr>
        <w:t>* a 4.3, 4.4 és 4.8 pontban további információ található.</w:t>
      </w:r>
    </w:p>
    <w:p w14:paraId="04E54B78" w14:textId="77777777" w:rsidR="00764497" w:rsidRPr="00183B5F" w:rsidRDefault="00943743">
      <w:pPr>
        <w:pStyle w:val="EMEAHeadingUnderline"/>
        <w:keepNext/>
        <w:suppressAutoHyphens w:val="0"/>
        <w:spacing w:beforeLines="0" w:afterLines="0"/>
        <w:rPr>
          <w:szCs w:val="22"/>
          <w:u w:val="none"/>
          <w:lang w:val="hu-HU"/>
        </w:rPr>
      </w:pPr>
      <w:r w:rsidRPr="00183B5F">
        <w:rPr>
          <w:szCs w:val="22"/>
          <w:u w:val="none"/>
          <w:lang w:val="hu-HU"/>
        </w:rPr>
        <w:t>** a nyílt, kiterjesztett vizsgálatokat is beleértve.</w:t>
      </w:r>
    </w:p>
    <w:p w14:paraId="6B8CE646" w14:textId="77777777" w:rsidR="00764497" w:rsidRPr="00183B5F" w:rsidRDefault="00943743">
      <w:pPr>
        <w:pStyle w:val="EMEANormal"/>
        <w:keepNext/>
        <w:suppressAutoHyphens w:val="0"/>
        <w:rPr>
          <w:szCs w:val="22"/>
          <w:lang w:val="hu-HU"/>
        </w:rPr>
      </w:pPr>
      <w:r w:rsidRPr="00183B5F">
        <w:rPr>
          <w:szCs w:val="22"/>
          <w:vertAlign w:val="superscript"/>
          <w:lang w:val="hu-HU"/>
        </w:rPr>
        <w:t xml:space="preserve">1) </w:t>
      </w:r>
      <w:r w:rsidRPr="00183B5F">
        <w:rPr>
          <w:szCs w:val="22"/>
          <w:lang w:val="hu-HU"/>
        </w:rPr>
        <w:t xml:space="preserve">a spontán </w:t>
      </w:r>
      <w:r w:rsidR="007817FB" w:rsidRPr="00183B5F">
        <w:rPr>
          <w:szCs w:val="22"/>
          <w:lang w:val="hu-HU"/>
        </w:rPr>
        <w:t xml:space="preserve">jelentéseket </w:t>
      </w:r>
      <w:r w:rsidRPr="00183B5F">
        <w:rPr>
          <w:szCs w:val="22"/>
          <w:lang w:val="hu-HU"/>
        </w:rPr>
        <w:t>is beleértve.</w:t>
      </w:r>
    </w:p>
    <w:p w14:paraId="176B07AA" w14:textId="77777777" w:rsidR="00796272" w:rsidRPr="00183B5F" w:rsidRDefault="00943743" w:rsidP="00796272">
      <w:pPr>
        <w:pStyle w:val="EMEANormal"/>
        <w:keepNext/>
        <w:rPr>
          <w:szCs w:val="22"/>
          <w:lang w:val="hu-HU"/>
        </w:rPr>
      </w:pPr>
      <w:r w:rsidRPr="00183B5F">
        <w:rPr>
          <w:vertAlign w:val="superscript"/>
          <w:lang w:val="hu-HU"/>
        </w:rPr>
        <w:t>2)</w:t>
      </w:r>
      <w:r w:rsidRPr="00183B5F">
        <w:rPr>
          <w:lang w:val="hu-HU"/>
        </w:rPr>
        <w:t xml:space="preserve"> 4–6 hónapos kezelési időszak alatt a kiindulási értékhez képest a testtömeg átlagos változása az adalimumab esetében +0,3 kg és +1,0 kg között volt a felnőtt indikációkban, míg a placebo esetében ugyanez –0,4 kg és +0,4 kg között volt. Vizsgálatok hosszú távú kiterjesztési szakaszában 5-6 kg-os testtömegnövekedést is megfigyeltek átlagosan kb. 1-2 év expozíció során, kontrollcsoport nélkül, különösen a Crohn</w:t>
      </w:r>
      <w:r w:rsidR="008F5634" w:rsidRPr="00183B5F">
        <w:rPr>
          <w:lang w:val="hu-HU"/>
        </w:rPr>
        <w:t>-</w:t>
      </w:r>
      <w:r w:rsidRPr="00183B5F">
        <w:rPr>
          <w:lang w:val="hu-HU"/>
        </w:rPr>
        <w:t>betegségben és a colitis ulcerosában szenvedő betegek esetében. Ennek a hatásnak a mechanizmusa nem</w:t>
      </w:r>
      <w:r w:rsidRPr="00183B5F">
        <w:rPr>
          <w:lang w:val="hu-HU"/>
        </w:rPr>
        <w:t xml:space="preserve"> tisztázott, de összefügghet az adalimumab gyulladáscsökkentő hatásával.</w:t>
      </w:r>
    </w:p>
    <w:p w14:paraId="0011BE88" w14:textId="77777777" w:rsidR="00764497" w:rsidRPr="00183B5F" w:rsidRDefault="00764497" w:rsidP="004062FE">
      <w:pPr>
        <w:spacing w:line="240" w:lineRule="auto"/>
        <w:rPr>
          <w:szCs w:val="22"/>
          <w:u w:val="single"/>
        </w:rPr>
      </w:pPr>
    </w:p>
    <w:p w14:paraId="43C71C9B" w14:textId="77777777" w:rsidR="00764497" w:rsidRPr="00183B5F" w:rsidRDefault="00943743" w:rsidP="004062FE">
      <w:pPr>
        <w:keepNext/>
        <w:spacing w:line="240" w:lineRule="auto"/>
        <w:rPr>
          <w:szCs w:val="22"/>
          <w:u w:val="single"/>
        </w:rPr>
      </w:pPr>
      <w:r w:rsidRPr="00183B5F">
        <w:rPr>
          <w:szCs w:val="22"/>
          <w:u w:val="single"/>
        </w:rPr>
        <w:t>Hidradenitis suppurativa</w:t>
      </w:r>
    </w:p>
    <w:p w14:paraId="48A13ECD" w14:textId="77777777" w:rsidR="00764497" w:rsidRPr="00183B5F" w:rsidRDefault="00764497" w:rsidP="004062FE">
      <w:pPr>
        <w:keepNext/>
        <w:spacing w:line="240" w:lineRule="auto"/>
        <w:rPr>
          <w:szCs w:val="22"/>
          <w:u w:val="single"/>
        </w:rPr>
      </w:pPr>
    </w:p>
    <w:p w14:paraId="6CF31370" w14:textId="77777777" w:rsidR="00764497" w:rsidRPr="00183B5F" w:rsidRDefault="00943743" w:rsidP="004062FE">
      <w:pPr>
        <w:spacing w:line="240" w:lineRule="auto"/>
        <w:rPr>
          <w:szCs w:val="22"/>
        </w:rPr>
      </w:pPr>
      <w:r w:rsidRPr="00183B5F">
        <w:rPr>
          <w:szCs w:val="22"/>
        </w:rPr>
        <w:t>A biztonságossági profil a Humira-val hetente kezelt, HS</w:t>
      </w:r>
      <w:r w:rsidRPr="00183B5F">
        <w:rPr>
          <w:szCs w:val="22"/>
        </w:rPr>
        <w:noBreakHyphen/>
        <w:t>ben szenvedő betegek esetén megegyezett a Humira ismert biztonságossági profiljával.</w:t>
      </w:r>
    </w:p>
    <w:p w14:paraId="443DAF24" w14:textId="77777777" w:rsidR="00764497" w:rsidRPr="00183B5F" w:rsidRDefault="00764497" w:rsidP="004062FE">
      <w:pPr>
        <w:spacing w:line="240" w:lineRule="auto"/>
        <w:rPr>
          <w:szCs w:val="22"/>
          <w:u w:val="single"/>
        </w:rPr>
      </w:pPr>
    </w:p>
    <w:p w14:paraId="0D74D0DF" w14:textId="77777777" w:rsidR="00764497" w:rsidRPr="00183B5F" w:rsidRDefault="00943743" w:rsidP="004062FE">
      <w:pPr>
        <w:keepNext/>
        <w:spacing w:line="240" w:lineRule="auto"/>
        <w:rPr>
          <w:szCs w:val="22"/>
          <w:u w:val="single"/>
        </w:rPr>
      </w:pPr>
      <w:r w:rsidRPr="00183B5F">
        <w:rPr>
          <w:szCs w:val="22"/>
          <w:u w:val="single"/>
        </w:rPr>
        <w:t>Uveitis</w:t>
      </w:r>
    </w:p>
    <w:p w14:paraId="557DB7DA" w14:textId="77777777" w:rsidR="00764497" w:rsidRPr="00183B5F" w:rsidRDefault="00764497" w:rsidP="004062FE">
      <w:pPr>
        <w:keepNext/>
        <w:spacing w:line="240" w:lineRule="auto"/>
        <w:rPr>
          <w:szCs w:val="22"/>
          <w:u w:val="single"/>
        </w:rPr>
      </w:pPr>
    </w:p>
    <w:p w14:paraId="530312EA" w14:textId="77777777" w:rsidR="00764497" w:rsidRPr="00183B5F" w:rsidRDefault="00943743" w:rsidP="004062FE">
      <w:pPr>
        <w:keepNext/>
        <w:spacing w:line="240" w:lineRule="auto"/>
        <w:rPr>
          <w:szCs w:val="22"/>
        </w:rPr>
      </w:pPr>
      <w:r w:rsidRPr="00183B5F">
        <w:rPr>
          <w:szCs w:val="22"/>
        </w:rPr>
        <w:t>A biztonságossági profil a minden második héten Humira</w:t>
      </w:r>
      <w:r w:rsidRPr="00183B5F">
        <w:rPr>
          <w:szCs w:val="22"/>
        </w:rPr>
        <w:noBreakHyphen/>
        <w:t>val kezelt, uveitisben szenvedő betegek esetén megegyezett a Humira ismert biztonságossági profiljával.</w:t>
      </w:r>
    </w:p>
    <w:p w14:paraId="37F98A5A" w14:textId="77777777" w:rsidR="00764497" w:rsidRPr="00183B5F" w:rsidRDefault="00764497" w:rsidP="004062FE">
      <w:pPr>
        <w:spacing w:line="240" w:lineRule="auto"/>
        <w:rPr>
          <w:szCs w:val="22"/>
          <w:u w:val="single"/>
        </w:rPr>
      </w:pPr>
    </w:p>
    <w:p w14:paraId="7B3D7562" w14:textId="77777777" w:rsidR="00764497" w:rsidRPr="00183B5F" w:rsidRDefault="00943743">
      <w:pPr>
        <w:pStyle w:val="EMEANormal"/>
        <w:keepNext/>
        <w:suppressAutoHyphens w:val="0"/>
        <w:rPr>
          <w:szCs w:val="22"/>
          <w:u w:val="single"/>
          <w:lang w:val="hu-HU"/>
        </w:rPr>
      </w:pPr>
      <w:r w:rsidRPr="00183B5F">
        <w:rPr>
          <w:szCs w:val="22"/>
          <w:u w:val="single"/>
          <w:lang w:val="hu-HU"/>
        </w:rPr>
        <w:t>Kiválasztott mellékhatások leírása</w:t>
      </w:r>
    </w:p>
    <w:p w14:paraId="7FCD36DF" w14:textId="77777777" w:rsidR="00764497" w:rsidRPr="00183B5F" w:rsidRDefault="00764497" w:rsidP="004062FE">
      <w:pPr>
        <w:keepNext/>
        <w:spacing w:line="240" w:lineRule="auto"/>
        <w:rPr>
          <w:szCs w:val="22"/>
          <w:u w:val="single"/>
        </w:rPr>
      </w:pPr>
    </w:p>
    <w:p w14:paraId="7EBEF607" w14:textId="77777777" w:rsidR="00764497" w:rsidRPr="00183B5F" w:rsidRDefault="00943743" w:rsidP="004062FE">
      <w:pPr>
        <w:spacing w:line="240" w:lineRule="auto"/>
        <w:rPr>
          <w:i/>
          <w:szCs w:val="22"/>
        </w:rPr>
      </w:pPr>
      <w:r w:rsidRPr="00183B5F">
        <w:rPr>
          <w:i/>
          <w:szCs w:val="22"/>
        </w:rPr>
        <w:t>Az injekció helyén fellépő reakció</w:t>
      </w:r>
    </w:p>
    <w:p w14:paraId="7EF175D5" w14:textId="77777777" w:rsidR="00764497" w:rsidRPr="00183B5F" w:rsidRDefault="00764497" w:rsidP="004062FE">
      <w:pPr>
        <w:spacing w:line="240" w:lineRule="auto"/>
        <w:rPr>
          <w:b/>
          <w:i/>
          <w:szCs w:val="22"/>
        </w:rPr>
      </w:pPr>
    </w:p>
    <w:p w14:paraId="10425FFF" w14:textId="77777777" w:rsidR="00764497" w:rsidRPr="00183B5F" w:rsidRDefault="00943743" w:rsidP="004062FE">
      <w:pPr>
        <w:spacing w:line="240" w:lineRule="auto"/>
        <w:rPr>
          <w:szCs w:val="22"/>
        </w:rPr>
      </w:pPr>
      <w:r w:rsidRPr="00183B5F">
        <w:rPr>
          <w:szCs w:val="22"/>
        </w:rPr>
        <w:t>A felnőttek és gyermekek bevonásával végzett pivotális, kontrollos vizsgálatokban, a Humira</w:t>
      </w:r>
      <w:r w:rsidRPr="00183B5F">
        <w:rPr>
          <w:szCs w:val="22"/>
        </w:rPr>
        <w:noBreakHyphen/>
        <w:t>val kezelt betegek 12,9%</w:t>
      </w:r>
      <w:r w:rsidRPr="00183B5F">
        <w:rPr>
          <w:szCs w:val="22"/>
        </w:rPr>
        <w:noBreakHyphen/>
        <w:t>ánál alakult ki lokális reakció az injekció helyén (bőrpír és/vagy viszketés, vérzés, fájdalom vagy duzzadás), míg a placebo</w:t>
      </w:r>
      <w:r w:rsidR="00297FBD" w:rsidRPr="00183B5F">
        <w:rPr>
          <w:szCs w:val="22"/>
        </w:rPr>
        <w:t>-</w:t>
      </w:r>
      <w:r w:rsidRPr="00183B5F">
        <w:rPr>
          <w:szCs w:val="22"/>
        </w:rPr>
        <w:t xml:space="preserve"> vagy aktív kontroll</w:t>
      </w:r>
      <w:r w:rsidR="001D2134" w:rsidRPr="00183B5F">
        <w:rPr>
          <w:szCs w:val="22"/>
        </w:rPr>
        <w:t>-</w:t>
      </w:r>
      <w:r w:rsidRPr="00183B5F">
        <w:rPr>
          <w:szCs w:val="22"/>
        </w:rPr>
        <w:t>csoportban a betegek 7,2%</w:t>
      </w:r>
      <w:r w:rsidRPr="00183B5F">
        <w:rPr>
          <w:szCs w:val="22"/>
        </w:rPr>
        <w:noBreakHyphen/>
        <w:t>ánál. A helyi reakciók általában nem tették szükségessé a kezelés felfüggesztését.</w:t>
      </w:r>
    </w:p>
    <w:p w14:paraId="5D69779A" w14:textId="77777777" w:rsidR="00764497" w:rsidRPr="00183B5F" w:rsidRDefault="00764497" w:rsidP="004062FE">
      <w:pPr>
        <w:spacing w:line="240" w:lineRule="auto"/>
        <w:ind w:left="567" w:hanging="567"/>
        <w:rPr>
          <w:szCs w:val="22"/>
        </w:rPr>
      </w:pPr>
    </w:p>
    <w:p w14:paraId="321E311A" w14:textId="77777777" w:rsidR="00764497" w:rsidRPr="00183B5F" w:rsidRDefault="00943743" w:rsidP="004062FE">
      <w:pPr>
        <w:spacing w:line="240" w:lineRule="auto"/>
        <w:rPr>
          <w:i/>
          <w:szCs w:val="22"/>
        </w:rPr>
      </w:pPr>
      <w:r w:rsidRPr="00183B5F">
        <w:rPr>
          <w:i/>
          <w:szCs w:val="22"/>
        </w:rPr>
        <w:t>Fertőzések</w:t>
      </w:r>
    </w:p>
    <w:p w14:paraId="4B4E8A56" w14:textId="77777777" w:rsidR="00764497" w:rsidRPr="00183B5F" w:rsidRDefault="00764497" w:rsidP="004062FE">
      <w:pPr>
        <w:spacing w:line="240" w:lineRule="auto"/>
        <w:ind w:left="567" w:hanging="567"/>
        <w:rPr>
          <w:szCs w:val="22"/>
        </w:rPr>
      </w:pPr>
    </w:p>
    <w:p w14:paraId="1F1DE18E" w14:textId="77777777" w:rsidR="00764497" w:rsidRPr="00183B5F" w:rsidRDefault="00943743" w:rsidP="004062FE">
      <w:pPr>
        <w:spacing w:line="240" w:lineRule="auto"/>
        <w:rPr>
          <w:szCs w:val="22"/>
        </w:rPr>
      </w:pPr>
      <w:r w:rsidRPr="00183B5F">
        <w:rPr>
          <w:szCs w:val="22"/>
        </w:rPr>
        <w:t>A felnőttek és gyermekek bevonásával végzett pivotális, kontrollos vizsgálatokban a fertőzések arányszáma a Humira</w:t>
      </w:r>
      <w:r w:rsidRPr="00183B5F">
        <w:rPr>
          <w:szCs w:val="22"/>
        </w:rPr>
        <w:noBreakHyphen/>
        <w:t>val kezelt csoportban betegévenként 1,51 volt, míg betegévenként 1,46 volt a placeb</w:t>
      </w:r>
      <w:r w:rsidR="001D2134" w:rsidRPr="00183B5F">
        <w:rPr>
          <w:szCs w:val="22"/>
        </w:rPr>
        <w:t>óval</w:t>
      </w:r>
      <w:r w:rsidRPr="00183B5F">
        <w:rPr>
          <w:szCs w:val="22"/>
        </w:rPr>
        <w:t xml:space="preserve"> és az aktív kontroll</w:t>
      </w:r>
      <w:r w:rsidRPr="00183B5F">
        <w:rPr>
          <w:szCs w:val="22"/>
        </w:rPr>
        <w:noBreakHyphen/>
        <w:t xml:space="preserve">készítménnyel kezelt betegek csoportjában. A fertőzések döntő többsége nasopharyngitis, felső légúti </w:t>
      </w:r>
      <w:r w:rsidR="001D2134" w:rsidRPr="00183B5F">
        <w:rPr>
          <w:szCs w:val="22"/>
        </w:rPr>
        <w:t xml:space="preserve">fertőzés </w:t>
      </w:r>
      <w:r w:rsidRPr="00183B5F">
        <w:rPr>
          <w:szCs w:val="22"/>
        </w:rPr>
        <w:t>és sinusitis volt. A Humira</w:t>
      </w:r>
      <w:r w:rsidRPr="00183B5F">
        <w:rPr>
          <w:szCs w:val="22"/>
        </w:rPr>
        <w:noBreakHyphen/>
        <w:t>kezelést a fertőzés megszűnését követően a betegek nagy részénél folytatni lehetett.</w:t>
      </w:r>
    </w:p>
    <w:p w14:paraId="5862D608" w14:textId="77777777" w:rsidR="00764497" w:rsidRPr="00183B5F" w:rsidRDefault="00764497" w:rsidP="004062FE">
      <w:pPr>
        <w:spacing w:line="240" w:lineRule="auto"/>
        <w:rPr>
          <w:szCs w:val="22"/>
        </w:rPr>
      </w:pPr>
    </w:p>
    <w:p w14:paraId="62B9DBC1" w14:textId="77777777" w:rsidR="00764497" w:rsidRPr="00183B5F" w:rsidRDefault="00943743" w:rsidP="004062FE">
      <w:pPr>
        <w:spacing w:line="240" w:lineRule="auto"/>
        <w:rPr>
          <w:szCs w:val="22"/>
        </w:rPr>
      </w:pPr>
      <w:r w:rsidRPr="00183B5F">
        <w:rPr>
          <w:szCs w:val="22"/>
        </w:rPr>
        <w:t>A súlyos fertőzések incidenciája 0,04 volt betegévenként a Humira</w:t>
      </w:r>
      <w:r w:rsidRPr="00183B5F">
        <w:rPr>
          <w:szCs w:val="22"/>
        </w:rPr>
        <w:noBreakHyphen/>
      </w:r>
      <w:r w:rsidRPr="00183B5F">
        <w:rPr>
          <w:szCs w:val="22"/>
        </w:rPr>
        <w:t>t kapottak csoportjában, míg 0,03 volt betegévenként a placebóval és az aktív kontroll</w:t>
      </w:r>
      <w:r w:rsidR="007817FB" w:rsidRPr="00183B5F">
        <w:rPr>
          <w:szCs w:val="22"/>
        </w:rPr>
        <w:t>al</w:t>
      </w:r>
      <w:r w:rsidRPr="00183B5F">
        <w:rPr>
          <w:szCs w:val="22"/>
        </w:rPr>
        <w:t xml:space="preserve"> kezelt betegek csoportjában.</w:t>
      </w:r>
    </w:p>
    <w:p w14:paraId="0F3055B4" w14:textId="77777777" w:rsidR="00764497" w:rsidRPr="00183B5F" w:rsidRDefault="00764497" w:rsidP="004062FE">
      <w:pPr>
        <w:spacing w:line="240" w:lineRule="auto"/>
        <w:rPr>
          <w:szCs w:val="22"/>
        </w:rPr>
      </w:pPr>
    </w:p>
    <w:p w14:paraId="4C54A505" w14:textId="77777777" w:rsidR="00764497" w:rsidRPr="00183B5F" w:rsidRDefault="00943743" w:rsidP="004062FE">
      <w:pPr>
        <w:spacing w:line="240" w:lineRule="auto"/>
        <w:rPr>
          <w:szCs w:val="22"/>
        </w:rPr>
      </w:pPr>
      <w:r w:rsidRPr="00183B5F">
        <w:rPr>
          <w:szCs w:val="22"/>
        </w:rPr>
        <w:t>A Humira</w:t>
      </w:r>
      <w:r w:rsidRPr="00183B5F">
        <w:rPr>
          <w:szCs w:val="22"/>
        </w:rPr>
        <w:noBreakHyphen/>
        <w:t>val felnőttek és gyermekek bevonásával végzett kontrollos</w:t>
      </w:r>
      <w:r w:rsidR="001D2134" w:rsidRPr="00183B5F">
        <w:rPr>
          <w:szCs w:val="22"/>
        </w:rPr>
        <w:t>, valamint</w:t>
      </w:r>
      <w:r w:rsidRPr="00183B5F">
        <w:rPr>
          <w:szCs w:val="22"/>
        </w:rPr>
        <w:t xml:space="preserve"> nyílt vizsgálatokban súlyos fertőzésekről (beleértve halálos kimenetelű fertőzést, amely csak ritkán fordult elő) számoltak be többek között tuberculosisról (miliaris és extrapulmon</w:t>
      </w:r>
      <w:r w:rsidR="001D2134" w:rsidRPr="00183B5F">
        <w:rPr>
          <w:szCs w:val="22"/>
        </w:rPr>
        <w:t>a</w:t>
      </w:r>
      <w:r w:rsidRPr="00183B5F">
        <w:rPr>
          <w:szCs w:val="22"/>
        </w:rPr>
        <w:t xml:space="preserve">lis előfordulással) és invazív opportunista fertőzésekről (pl. disszeminált vagy extrapulmonalis histoplasmosis, </w:t>
      </w:r>
      <w:r w:rsidRPr="00183B5F">
        <w:rPr>
          <w:szCs w:val="22"/>
          <w:u w:color="0000FF"/>
        </w:rPr>
        <w:t>blastomycosis, coccidioidomycosis, pneumocystosis</w:t>
      </w:r>
      <w:r w:rsidRPr="00183B5F">
        <w:rPr>
          <w:szCs w:val="22"/>
        </w:rPr>
        <w:t xml:space="preserve">, </w:t>
      </w:r>
      <w:r w:rsidRPr="00183B5F">
        <w:rPr>
          <w:szCs w:val="22"/>
          <w:u w:color="0000FF"/>
        </w:rPr>
        <w:t>candidiasis</w:t>
      </w:r>
      <w:r w:rsidRPr="00183B5F">
        <w:rPr>
          <w:szCs w:val="22"/>
        </w:rPr>
        <w:t>, aspergillosis és listeriosis). A tuberculosisos megbetegedések többsége a Humira</w:t>
      </w:r>
      <w:r w:rsidR="00573D37" w:rsidRPr="00183B5F">
        <w:rPr>
          <w:szCs w:val="22"/>
        </w:rPr>
        <w:noBreakHyphen/>
      </w:r>
      <w:r w:rsidRPr="00183B5F">
        <w:rPr>
          <w:szCs w:val="22"/>
        </w:rPr>
        <w:t>kez</w:t>
      </w:r>
      <w:r w:rsidRPr="00183B5F">
        <w:rPr>
          <w:szCs w:val="22"/>
        </w:rPr>
        <w:t>elés első 8 hónapjában következett be és a látens betegség kiújulásaként manifesztálódhatott.</w:t>
      </w:r>
    </w:p>
    <w:p w14:paraId="664B875B" w14:textId="77777777" w:rsidR="00764497" w:rsidRPr="00183B5F" w:rsidRDefault="00764497" w:rsidP="004062FE">
      <w:pPr>
        <w:suppressAutoHyphens w:val="0"/>
        <w:spacing w:line="240" w:lineRule="auto"/>
        <w:rPr>
          <w:szCs w:val="22"/>
        </w:rPr>
      </w:pPr>
    </w:p>
    <w:p w14:paraId="7A94A664" w14:textId="77777777" w:rsidR="00764497" w:rsidRPr="00183B5F" w:rsidRDefault="00943743" w:rsidP="004062FE">
      <w:pPr>
        <w:keepNext/>
        <w:suppressAutoHyphens w:val="0"/>
        <w:spacing w:line="240" w:lineRule="auto"/>
        <w:rPr>
          <w:i/>
          <w:szCs w:val="22"/>
        </w:rPr>
      </w:pPr>
      <w:r w:rsidRPr="00183B5F">
        <w:rPr>
          <w:i/>
          <w:szCs w:val="22"/>
        </w:rPr>
        <w:t>Rosszindulatú és lymphoproliferativ betegségek</w:t>
      </w:r>
    </w:p>
    <w:p w14:paraId="33C03F98" w14:textId="77777777" w:rsidR="00764497" w:rsidRPr="00183B5F" w:rsidRDefault="00764497" w:rsidP="004062FE">
      <w:pPr>
        <w:keepNext/>
        <w:suppressAutoHyphens w:val="0"/>
        <w:spacing w:line="240" w:lineRule="auto"/>
        <w:ind w:left="567" w:hanging="567"/>
        <w:rPr>
          <w:szCs w:val="22"/>
        </w:rPr>
      </w:pPr>
    </w:p>
    <w:p w14:paraId="71546808" w14:textId="77777777" w:rsidR="00764497" w:rsidRPr="00183B5F" w:rsidRDefault="00943743" w:rsidP="004062FE">
      <w:pPr>
        <w:spacing w:line="240" w:lineRule="auto"/>
        <w:rPr>
          <w:szCs w:val="22"/>
        </w:rPr>
      </w:pPr>
      <w:r w:rsidRPr="00183B5F">
        <w:rPr>
          <w:szCs w:val="22"/>
        </w:rPr>
        <w:t>Humira</w:t>
      </w:r>
      <w:r w:rsidRPr="00183B5F">
        <w:rPr>
          <w:szCs w:val="22"/>
        </w:rPr>
        <w:noBreakHyphen/>
        <w:t xml:space="preserve">val juvenilis idiopathiás arthritisben (polyarticularis juvenilis idiopathiás arthritisben és </w:t>
      </w:r>
      <w:r w:rsidR="00677908" w:rsidRPr="00183B5F">
        <w:rPr>
          <w:szCs w:val="22"/>
        </w:rPr>
        <w:t>enthesitis-asszociált</w:t>
      </w:r>
      <w:r w:rsidRPr="00183B5F">
        <w:rPr>
          <w:szCs w:val="22"/>
        </w:rPr>
        <w:t xml:space="preserve"> arthritisben) szenvedő betegek körében végzett vizsgálatokban 655,6 betegévnyi expozíciónak kitett</w:t>
      </w:r>
      <w:r w:rsidR="00E97B8A" w:rsidRPr="00183B5F">
        <w:rPr>
          <w:szCs w:val="22"/>
        </w:rPr>
        <w:t>,</w:t>
      </w:r>
      <w:r w:rsidRPr="00183B5F">
        <w:rPr>
          <w:szCs w:val="22"/>
        </w:rPr>
        <w:t xml:space="preserve"> 249 pediátriai betegnél nem figyeltek meg malignitást. Ezen kívül Crohn</w:t>
      </w:r>
      <w:r w:rsidRPr="00183B5F">
        <w:rPr>
          <w:szCs w:val="22"/>
        </w:rPr>
        <w:noBreakHyphen/>
        <w:t>betegségben szenvedő betegek körében Humira</w:t>
      </w:r>
      <w:r w:rsidRPr="00183B5F">
        <w:rPr>
          <w:szCs w:val="22"/>
        </w:rPr>
        <w:noBreakHyphen/>
        <w:t>val végzett vizsgálatokban 498,1 betegévnyi expozíciónak kitett</w:t>
      </w:r>
      <w:r w:rsidR="00E97B8A" w:rsidRPr="00183B5F">
        <w:rPr>
          <w:szCs w:val="22"/>
        </w:rPr>
        <w:t>,</w:t>
      </w:r>
      <w:r w:rsidRPr="00183B5F">
        <w:rPr>
          <w:szCs w:val="22"/>
        </w:rPr>
        <w:t xml:space="preserve"> 192 </w:t>
      </w:r>
      <w:r w:rsidR="007817FB" w:rsidRPr="00183B5F">
        <w:rPr>
          <w:szCs w:val="22"/>
        </w:rPr>
        <w:t xml:space="preserve">pediátriai </w:t>
      </w:r>
      <w:r w:rsidRPr="00183B5F">
        <w:rPr>
          <w:szCs w:val="22"/>
        </w:rPr>
        <w:t>betegnél nem figyeltek meg malignitást. Krónikus plakkos psoriasisban szenvedő gyermekeknél Humira</w:t>
      </w:r>
      <w:r w:rsidRPr="00183B5F">
        <w:rPr>
          <w:szCs w:val="22"/>
        </w:rPr>
        <w:noBreakHyphen/>
      </w:r>
      <w:r w:rsidRPr="00183B5F">
        <w:rPr>
          <w:szCs w:val="22"/>
        </w:rPr>
        <w:t>val végzett vizsgálatban 80 betegévnyi expozíciónak kitett</w:t>
      </w:r>
      <w:r w:rsidR="00E97B8A" w:rsidRPr="00183B5F">
        <w:rPr>
          <w:szCs w:val="22"/>
        </w:rPr>
        <w:t>,</w:t>
      </w:r>
      <w:r w:rsidRPr="00183B5F">
        <w:rPr>
          <w:szCs w:val="22"/>
        </w:rPr>
        <w:t xml:space="preserve"> 77 pediátriai betegnél nem figyeltek meg malignitást.</w:t>
      </w:r>
      <w:r w:rsidR="00C927B3" w:rsidRPr="00183B5F">
        <w:rPr>
          <w:szCs w:val="22"/>
        </w:rPr>
        <w:t xml:space="preserve"> </w:t>
      </w:r>
      <w:r w:rsidR="00C50AE2" w:rsidRPr="00183B5F">
        <w:rPr>
          <w:rStyle w:val="normaltextrun"/>
          <w:shd w:val="clear" w:color="auto" w:fill="FFFFFF"/>
        </w:rPr>
        <w:t>Egy Humira-vizsgálat során 65,3 betegévnyi expozíciónak kitett, colitis ulcerosában szenvedő 93 </w:t>
      </w:r>
      <w:r w:rsidR="0095434F" w:rsidRPr="00183B5F">
        <w:rPr>
          <w:rStyle w:val="normaltextrun"/>
          <w:shd w:val="clear" w:color="auto" w:fill="FFFFFF"/>
        </w:rPr>
        <w:t>gyermek</w:t>
      </w:r>
      <w:r w:rsidR="003F6646" w:rsidRPr="00183B5F">
        <w:rPr>
          <w:rStyle w:val="normaltextrun"/>
          <w:shd w:val="clear" w:color="auto" w:fill="FFFFFF"/>
        </w:rPr>
        <w:t>- és serdülő</w:t>
      </w:r>
      <w:r w:rsidR="0095434F" w:rsidRPr="00183B5F">
        <w:rPr>
          <w:rStyle w:val="normaltextrun"/>
          <w:shd w:val="clear" w:color="auto" w:fill="FFFFFF"/>
        </w:rPr>
        <w:t>korú</w:t>
      </w:r>
      <w:r w:rsidR="00C50AE2" w:rsidRPr="00183B5F">
        <w:rPr>
          <w:rStyle w:val="normaltextrun"/>
          <w:shd w:val="clear" w:color="auto" w:fill="FFFFFF"/>
        </w:rPr>
        <w:t xml:space="preserve"> betegnél nem figyeltek meg malignitást. </w:t>
      </w:r>
      <w:r w:rsidR="00C927B3" w:rsidRPr="00183B5F">
        <w:rPr>
          <w:szCs w:val="22"/>
        </w:rPr>
        <w:t>Uveitisben szenvedő gyermekeknél Humira</w:t>
      </w:r>
      <w:r w:rsidR="00C927B3" w:rsidRPr="00183B5F">
        <w:rPr>
          <w:szCs w:val="22"/>
        </w:rPr>
        <w:noBreakHyphen/>
        <w:t>val végzett vizsgálatban 58,4 betegévnyi expozíciónak kitett</w:t>
      </w:r>
      <w:r w:rsidR="00E97B8A" w:rsidRPr="00183B5F">
        <w:rPr>
          <w:szCs w:val="22"/>
        </w:rPr>
        <w:t>,</w:t>
      </w:r>
      <w:r w:rsidR="00C927B3" w:rsidRPr="00183B5F">
        <w:rPr>
          <w:szCs w:val="22"/>
        </w:rPr>
        <w:t xml:space="preserve"> 60 </w:t>
      </w:r>
      <w:r w:rsidR="007817FB" w:rsidRPr="00183B5F">
        <w:rPr>
          <w:szCs w:val="22"/>
        </w:rPr>
        <w:t>pediátriai</w:t>
      </w:r>
      <w:r w:rsidR="00C927B3" w:rsidRPr="00183B5F">
        <w:rPr>
          <w:szCs w:val="22"/>
        </w:rPr>
        <w:t xml:space="preserve"> betegnél nem figyeltek meg malignitást.</w:t>
      </w:r>
    </w:p>
    <w:p w14:paraId="4E27F57D" w14:textId="77777777" w:rsidR="00764497" w:rsidRPr="00183B5F" w:rsidRDefault="00764497" w:rsidP="004062FE">
      <w:pPr>
        <w:spacing w:line="240" w:lineRule="auto"/>
        <w:rPr>
          <w:szCs w:val="22"/>
        </w:rPr>
      </w:pPr>
    </w:p>
    <w:p w14:paraId="6E019C8A" w14:textId="77777777" w:rsidR="00764497" w:rsidRPr="00183B5F" w:rsidRDefault="00943743" w:rsidP="004062FE">
      <w:pPr>
        <w:spacing w:line="240" w:lineRule="auto"/>
        <w:rPr>
          <w:szCs w:val="22"/>
        </w:rPr>
      </w:pPr>
      <w:r w:rsidRPr="00183B5F">
        <w:rPr>
          <w:szCs w:val="22"/>
        </w:rPr>
        <w:t xml:space="preserve">A Humira hatásait közepesen </w:t>
      </w:r>
      <w:r w:rsidR="007817FB" w:rsidRPr="00183B5F">
        <w:rPr>
          <w:szCs w:val="22"/>
        </w:rPr>
        <w:t xml:space="preserve">súlyos </w:t>
      </w:r>
      <w:r w:rsidRPr="00183B5F">
        <w:rPr>
          <w:szCs w:val="22"/>
        </w:rPr>
        <w:t xml:space="preserve">vagy súlyos aktivitású rheumatoid arthritisben, spondylitis ankylopoeticában, </w:t>
      </w:r>
      <w:r w:rsidRPr="00183B5F">
        <w:rPr>
          <w:rFonts w:eastAsia="SimSun"/>
          <w:szCs w:val="22"/>
          <w:lang w:eastAsia="zh-CN"/>
        </w:rPr>
        <w:t>spondylitis ankylopoeticának (SPA) megfelelő röntgeneltéréssel nem járó</w:t>
      </w:r>
      <w:r w:rsidRPr="00183B5F">
        <w:rPr>
          <w:szCs w:val="22"/>
        </w:rPr>
        <w:t xml:space="preserve"> axiális spondyloarthritisben, arthritis psoriaticában, psoriasisban, hidradenitis suppurativában, Crohn</w:t>
      </w:r>
      <w:r w:rsidRPr="00183B5F">
        <w:rPr>
          <w:szCs w:val="22"/>
        </w:rPr>
        <w:noBreakHyphen/>
        <w:t>betegségben, colitis ulcerosában és uveitisben szenvedő betegeken értékelő legalább 12 hét időtartamú, felnőttek körében végzett pivotális vizsgálatok kontroll</w:t>
      </w:r>
      <w:r w:rsidR="00573D37" w:rsidRPr="00183B5F">
        <w:rPr>
          <w:szCs w:val="22"/>
        </w:rPr>
        <w:t>os</w:t>
      </w:r>
      <w:r w:rsidRPr="00183B5F">
        <w:rPr>
          <w:szCs w:val="22"/>
        </w:rPr>
        <w:t xml:space="preserve"> szakaszaiban a következőképpen alakult a rosszindulatú daganatok gyakorisága (a lymphoma </w:t>
      </w:r>
      <w:r w:rsidRPr="00183B5F">
        <w:rPr>
          <w:szCs w:val="22"/>
        </w:rPr>
        <w:t>és a nem melanomás bőrrák kivételével): az 1000 betegévre számított gyakoriság (95%</w:t>
      </w:r>
      <w:r w:rsidRPr="00183B5F">
        <w:rPr>
          <w:szCs w:val="22"/>
        </w:rPr>
        <w:noBreakHyphen/>
        <w:t>os konfidencia intervallum) a 5291 Humira</w:t>
      </w:r>
      <w:r w:rsidRPr="00183B5F">
        <w:rPr>
          <w:szCs w:val="22"/>
        </w:rPr>
        <w:noBreakHyphen/>
        <w:t>val kezelt beteg esetében 6,8 (4,4; 10,5) míg az 3444 fős kontro</w:t>
      </w:r>
      <w:r w:rsidR="0089402C" w:rsidRPr="00183B5F">
        <w:rPr>
          <w:szCs w:val="22"/>
        </w:rPr>
        <w:t>llcs</w:t>
      </w:r>
      <w:r w:rsidRPr="00183B5F">
        <w:rPr>
          <w:szCs w:val="22"/>
        </w:rPr>
        <w:t>oportban 6,3 (3,4; 11,8) volt. (A kezelés medián időtartama a Humira</w:t>
      </w:r>
      <w:r w:rsidRPr="00183B5F">
        <w:rPr>
          <w:szCs w:val="22"/>
        </w:rPr>
        <w:noBreakHyphen/>
        <w:t>csoportban 4,0 hónap, a kontro</w:t>
      </w:r>
      <w:r w:rsidR="0089402C" w:rsidRPr="00183B5F">
        <w:rPr>
          <w:szCs w:val="22"/>
        </w:rPr>
        <w:t>llcs</w:t>
      </w:r>
      <w:r w:rsidRPr="00183B5F">
        <w:rPr>
          <w:szCs w:val="22"/>
        </w:rPr>
        <w:t>oportban 3,8 hónap volt.) A nem melanomás bőrrák 1000 betegévre számított gyakorisága (95%</w:t>
      </w:r>
      <w:r w:rsidRPr="00183B5F">
        <w:rPr>
          <w:szCs w:val="22"/>
        </w:rPr>
        <w:noBreakHyphen/>
        <w:t>os konfidencia intervallum) a Humira</w:t>
      </w:r>
      <w:r w:rsidRPr="00183B5F">
        <w:rPr>
          <w:szCs w:val="22"/>
        </w:rPr>
        <w:noBreakHyphen/>
        <w:t>val kezelt betegek esetében 8,8 (6,0; 13,0), míg a kontrollcsoportban 3,2 (1,3; 7,6) vo</w:t>
      </w:r>
      <w:r w:rsidRPr="00183B5F">
        <w:rPr>
          <w:szCs w:val="22"/>
        </w:rPr>
        <w:t>lt. E bőrrákok közül a laphám</w:t>
      </w:r>
      <w:r w:rsidR="00573D37" w:rsidRPr="00183B5F">
        <w:rPr>
          <w:szCs w:val="22"/>
        </w:rPr>
        <w:t>-</w:t>
      </w:r>
      <w:r w:rsidRPr="00183B5F">
        <w:rPr>
          <w:szCs w:val="22"/>
        </w:rPr>
        <w:t>carcinoma 1000 betegévre számított gyakorisága (95%-os konfidencia intervallum) a Humira</w:t>
      </w:r>
      <w:r w:rsidRPr="00183B5F">
        <w:rPr>
          <w:szCs w:val="22"/>
        </w:rPr>
        <w:noBreakHyphen/>
        <w:t>csoportban 2,7 (1,4; 5,4), a kontro</w:t>
      </w:r>
      <w:r w:rsidR="0089402C" w:rsidRPr="00183B5F">
        <w:rPr>
          <w:szCs w:val="22"/>
        </w:rPr>
        <w:t>llcs</w:t>
      </w:r>
      <w:r w:rsidRPr="00183B5F">
        <w:rPr>
          <w:szCs w:val="22"/>
        </w:rPr>
        <w:t>oportban 0,6 (0,1, 4,5) volt. A lymphomák 1000 betegévre vetített gyakorisága (95%-os konfidencia intervallum) a Humira</w:t>
      </w:r>
      <w:r w:rsidRPr="00183B5F">
        <w:rPr>
          <w:szCs w:val="22"/>
        </w:rPr>
        <w:noBreakHyphen/>
        <w:t>val kezelt betegek körében 0,7 (0,2, 2,7) , a kontrollok esetében 0,6 (0,1; 4,5) volt.</w:t>
      </w:r>
    </w:p>
    <w:p w14:paraId="4EDF5C0F" w14:textId="77777777" w:rsidR="00764497" w:rsidRPr="00183B5F" w:rsidRDefault="00764497" w:rsidP="004062FE">
      <w:pPr>
        <w:spacing w:line="240" w:lineRule="auto"/>
        <w:rPr>
          <w:szCs w:val="22"/>
        </w:rPr>
      </w:pPr>
    </w:p>
    <w:p w14:paraId="69DB8416" w14:textId="77777777" w:rsidR="00764497" w:rsidRPr="00183B5F" w:rsidRDefault="00943743" w:rsidP="004062FE">
      <w:pPr>
        <w:spacing w:line="240" w:lineRule="auto"/>
        <w:rPr>
          <w:szCs w:val="22"/>
        </w:rPr>
      </w:pPr>
      <w:r w:rsidRPr="00183B5F">
        <w:rPr>
          <w:szCs w:val="22"/>
        </w:rPr>
        <w:t xml:space="preserve">E vizsgálatok kontrollos szakaszai és a folyamatban lévő, valamint befejezett nyílt kiterjesztéses vizsgálatok összevont értékelése során, melyben összesen 6427 beteget kb. 3,3 év medián időtartamig követtek (több mint 26 439 betegév), a rosszindulatú daganatok </w:t>
      </w:r>
      <w:r w:rsidR="007817FB" w:rsidRPr="00183B5F">
        <w:rPr>
          <w:szCs w:val="22"/>
        </w:rPr>
        <w:t xml:space="preserve">(a lymphoma és a nem melanomás bőrrák kivételével) </w:t>
      </w:r>
      <w:r w:rsidRPr="00183B5F">
        <w:rPr>
          <w:szCs w:val="22"/>
        </w:rPr>
        <w:t>1000 betegévre számított gyakorisága 8,5 volt. A nem melanomás bőrrák 1000 betegévre vetített, megfigyelt aránya kb. 9,6, míg a lymphomáké kb. 1,3 volt.</w:t>
      </w:r>
    </w:p>
    <w:p w14:paraId="25673BA0" w14:textId="77777777" w:rsidR="00764497" w:rsidRPr="00183B5F" w:rsidRDefault="00764497" w:rsidP="004062FE">
      <w:pPr>
        <w:pStyle w:val="EndnoteText"/>
        <w:tabs>
          <w:tab w:val="clear" w:pos="567"/>
        </w:tabs>
        <w:suppressAutoHyphens/>
        <w:rPr>
          <w:sz w:val="22"/>
          <w:szCs w:val="22"/>
          <w:lang w:val="hu-HU" w:eastAsia="hu-HU"/>
        </w:rPr>
      </w:pPr>
    </w:p>
    <w:p w14:paraId="046737BB" w14:textId="05B5B65C" w:rsidR="00AA4D42" w:rsidRPr="00183B5F" w:rsidRDefault="00943743" w:rsidP="00AA4D42">
      <w:pPr>
        <w:spacing w:line="240" w:lineRule="auto"/>
        <w:rPr>
          <w:szCs w:val="22"/>
        </w:rPr>
      </w:pPr>
      <w:r w:rsidRPr="00183B5F">
        <w:rPr>
          <w:szCs w:val="22"/>
        </w:rPr>
        <w:t xml:space="preserve">A Humira forgalomba hozatala után (2003. január és 2010. december között), javarészt rheumatoid arthritises betegeken szerzett tapasztalatok alapján, a </w:t>
      </w:r>
      <w:r w:rsidR="00395B23">
        <w:rPr>
          <w:szCs w:val="22"/>
        </w:rPr>
        <w:t>spontán jelent</w:t>
      </w:r>
      <w:r w:rsidR="00FE5BDF">
        <w:rPr>
          <w:szCs w:val="22"/>
        </w:rPr>
        <w:t>ésekből származó,</w:t>
      </w:r>
      <w:r w:rsidR="00395B23">
        <w:rPr>
          <w:szCs w:val="22"/>
        </w:rPr>
        <w:t xml:space="preserve"> </w:t>
      </w:r>
      <w:r w:rsidRPr="00183B5F">
        <w:rPr>
          <w:szCs w:val="22"/>
        </w:rPr>
        <w:t>rosszindulatú daganatok</w:t>
      </w:r>
      <w:r w:rsidR="00FE5BDF">
        <w:rPr>
          <w:szCs w:val="22"/>
        </w:rPr>
        <w:t>ra vonatkozó</w:t>
      </w:r>
      <w:r w:rsidRPr="00183B5F">
        <w:rPr>
          <w:szCs w:val="22"/>
        </w:rPr>
        <w:t xml:space="preserve"> bejelent</w:t>
      </w:r>
      <w:r w:rsidR="00FE5BDF">
        <w:rPr>
          <w:szCs w:val="22"/>
        </w:rPr>
        <w:t>ések</w:t>
      </w:r>
      <w:r w:rsidRPr="00183B5F">
        <w:rPr>
          <w:szCs w:val="22"/>
        </w:rPr>
        <w:t xml:space="preserve"> gyakorisága kb. 2,7/1000 beteg-kezelési év. A </w:t>
      </w:r>
      <w:r w:rsidR="00395B23">
        <w:rPr>
          <w:szCs w:val="22"/>
        </w:rPr>
        <w:t>spontán jelent</w:t>
      </w:r>
      <w:r w:rsidR="00FE5BDF">
        <w:rPr>
          <w:szCs w:val="22"/>
        </w:rPr>
        <w:t>ésekből származó,</w:t>
      </w:r>
      <w:r w:rsidR="00395B23">
        <w:rPr>
          <w:szCs w:val="22"/>
        </w:rPr>
        <w:t xml:space="preserve"> </w:t>
      </w:r>
      <w:r w:rsidRPr="00183B5F">
        <w:rPr>
          <w:szCs w:val="22"/>
        </w:rPr>
        <w:t>nem melanomás bőrrák</w:t>
      </w:r>
      <w:r w:rsidR="00FE5BDF">
        <w:rPr>
          <w:szCs w:val="22"/>
        </w:rPr>
        <w:t>ra</w:t>
      </w:r>
      <w:r w:rsidRPr="00183B5F">
        <w:rPr>
          <w:szCs w:val="22"/>
        </w:rPr>
        <w:t xml:space="preserve"> </w:t>
      </w:r>
      <w:r w:rsidR="00395B23">
        <w:rPr>
          <w:szCs w:val="22"/>
        </w:rPr>
        <w:t>és lymphomák</w:t>
      </w:r>
      <w:r w:rsidR="00FE5BDF">
        <w:rPr>
          <w:szCs w:val="22"/>
        </w:rPr>
        <w:t>ra vonatkozó bejelentések gyakorisága</w:t>
      </w:r>
      <w:r w:rsidR="00395B23">
        <w:rPr>
          <w:szCs w:val="22"/>
        </w:rPr>
        <w:t xml:space="preserve"> </w:t>
      </w:r>
      <w:r w:rsidRPr="00183B5F">
        <w:rPr>
          <w:szCs w:val="22"/>
        </w:rPr>
        <w:t>1000 beteg-kezelési évre számít</w:t>
      </w:r>
      <w:r w:rsidR="00FE5BDF">
        <w:rPr>
          <w:szCs w:val="22"/>
        </w:rPr>
        <w:t>va</w:t>
      </w:r>
      <w:r w:rsidRPr="00183B5F">
        <w:rPr>
          <w:szCs w:val="22"/>
        </w:rPr>
        <w:t xml:space="preserve"> 0,2, </w:t>
      </w:r>
      <w:r w:rsidR="00395B23">
        <w:rPr>
          <w:szCs w:val="22"/>
        </w:rPr>
        <w:t>illetve</w:t>
      </w:r>
      <w:r w:rsidRPr="00183B5F">
        <w:rPr>
          <w:szCs w:val="22"/>
        </w:rPr>
        <w:t xml:space="preserve"> 0,3 volt (lásd</w:t>
      </w:r>
      <w:r w:rsidRPr="00183B5F">
        <w:rPr>
          <w:i/>
          <w:iCs/>
          <w:szCs w:val="22"/>
        </w:rPr>
        <w:t xml:space="preserve"> </w:t>
      </w:r>
      <w:r w:rsidRPr="00183B5F">
        <w:rPr>
          <w:szCs w:val="22"/>
        </w:rPr>
        <w:t>a 4.4 pontban).</w:t>
      </w:r>
    </w:p>
    <w:p w14:paraId="06D1A2CE" w14:textId="77777777" w:rsidR="00764497" w:rsidRPr="00183B5F" w:rsidRDefault="00764497" w:rsidP="004062FE">
      <w:pPr>
        <w:tabs>
          <w:tab w:val="left" w:pos="840"/>
        </w:tabs>
        <w:spacing w:line="240" w:lineRule="auto"/>
        <w:ind w:left="567" w:hanging="567"/>
        <w:rPr>
          <w:szCs w:val="22"/>
        </w:rPr>
      </w:pPr>
    </w:p>
    <w:p w14:paraId="335F7036" w14:textId="77777777" w:rsidR="00764497" w:rsidRPr="00183B5F" w:rsidRDefault="00943743" w:rsidP="004062FE">
      <w:pPr>
        <w:spacing w:line="240" w:lineRule="auto"/>
        <w:rPr>
          <w:szCs w:val="22"/>
        </w:rPr>
      </w:pPr>
      <w:r w:rsidRPr="00183B5F">
        <w:rPr>
          <w:szCs w:val="22"/>
        </w:rPr>
        <w:t xml:space="preserve">Adalimumabbal kezelt betegeknél a forgalomba hozatalt követően ritkán </w:t>
      </w:r>
      <w:r w:rsidR="00AA4D42" w:rsidRPr="00183B5F">
        <w:rPr>
          <w:szCs w:val="22"/>
        </w:rPr>
        <w:t>hepatosplenicus</w:t>
      </w:r>
      <w:r w:rsidRPr="00183B5F">
        <w:rPr>
          <w:szCs w:val="22"/>
        </w:rPr>
        <w:t xml:space="preserve"> T</w:t>
      </w:r>
      <w:r w:rsidRPr="00183B5F">
        <w:rPr>
          <w:szCs w:val="22"/>
        </w:rPr>
        <w:noBreakHyphen/>
        <w:t>sejtes lymphomát jelentettek (lásd 4.4 pont).</w:t>
      </w:r>
    </w:p>
    <w:p w14:paraId="6F608402" w14:textId="77777777" w:rsidR="00764497" w:rsidRPr="00183B5F" w:rsidRDefault="00764497" w:rsidP="004062FE">
      <w:pPr>
        <w:tabs>
          <w:tab w:val="left" w:pos="840"/>
        </w:tabs>
        <w:spacing w:line="240" w:lineRule="auto"/>
        <w:ind w:left="567" w:hanging="567"/>
        <w:rPr>
          <w:szCs w:val="22"/>
        </w:rPr>
      </w:pPr>
    </w:p>
    <w:p w14:paraId="64B52A00" w14:textId="77777777" w:rsidR="00764497" w:rsidRPr="00183B5F" w:rsidRDefault="00943743" w:rsidP="004062FE">
      <w:pPr>
        <w:spacing w:line="240" w:lineRule="auto"/>
        <w:rPr>
          <w:i/>
          <w:szCs w:val="22"/>
        </w:rPr>
      </w:pPr>
      <w:r w:rsidRPr="00183B5F">
        <w:rPr>
          <w:i/>
          <w:szCs w:val="22"/>
        </w:rPr>
        <w:t>Autoantitestek</w:t>
      </w:r>
    </w:p>
    <w:p w14:paraId="151923C9" w14:textId="77777777" w:rsidR="00764497" w:rsidRPr="00183B5F" w:rsidRDefault="00764497" w:rsidP="004062FE">
      <w:pPr>
        <w:spacing w:line="240" w:lineRule="auto"/>
        <w:rPr>
          <w:szCs w:val="22"/>
        </w:rPr>
      </w:pPr>
    </w:p>
    <w:p w14:paraId="007E8B13" w14:textId="77777777" w:rsidR="00764497" w:rsidRPr="00183B5F" w:rsidRDefault="00943743" w:rsidP="004062FE">
      <w:pPr>
        <w:spacing w:line="240" w:lineRule="auto"/>
        <w:rPr>
          <w:szCs w:val="22"/>
        </w:rPr>
      </w:pPr>
      <w:r w:rsidRPr="00183B5F">
        <w:rPr>
          <w:szCs w:val="22"/>
        </w:rPr>
        <w:t>A betegektől vett vérsavómintákban különböző időpontokban vizsgálták az autoantitesteket az I </w:t>
      </w:r>
      <w:r w:rsidRPr="00183B5F">
        <w:rPr>
          <w:szCs w:val="22"/>
        </w:rPr>
        <w:noBreakHyphen/>
        <w:t> V rheumatoid arthritis vizsgálatokban. Ezekben a vizsgálatokban, a negatív kiindulási antinukleáris antitest titerrel rendelkező betegek közül a Humira</w:t>
      </w:r>
      <w:r w:rsidRPr="00183B5F">
        <w:rPr>
          <w:szCs w:val="22"/>
        </w:rPr>
        <w:noBreakHyphen/>
        <w:t>val kezeltek 11,9%</w:t>
      </w:r>
      <w:r w:rsidRPr="00183B5F">
        <w:rPr>
          <w:szCs w:val="22"/>
        </w:rPr>
        <w:noBreakHyphen/>
        <w:t xml:space="preserve">ánál, míg a </w:t>
      </w:r>
      <w:r w:rsidR="00E017F2" w:rsidRPr="00183B5F">
        <w:rPr>
          <w:szCs w:val="22"/>
        </w:rPr>
        <w:t>placebóval vagy aktív kontrollal</w:t>
      </w:r>
      <w:r w:rsidRPr="00183B5F">
        <w:rPr>
          <w:szCs w:val="22"/>
        </w:rPr>
        <w:t xml:space="preserve"> kezelt betegek 8,1%</w:t>
      </w:r>
      <w:r w:rsidRPr="00183B5F">
        <w:rPr>
          <w:szCs w:val="22"/>
        </w:rPr>
        <w:noBreakHyphen/>
        <w:t>ánál fejlődött ki antinukleáris antitest titer pozitivitás a 24. hétre. Az összes rheumatoid arthritis és arthritis psoriatica vizsgálatban a 3441 Humira</w:t>
      </w:r>
      <w:r w:rsidRPr="00183B5F">
        <w:rPr>
          <w:szCs w:val="22"/>
        </w:rPr>
        <w:noBreakHyphen/>
        <w:t>val kezelt beteg közül 2</w:t>
      </w:r>
      <w:r w:rsidRPr="00183B5F">
        <w:rPr>
          <w:szCs w:val="22"/>
        </w:rPr>
        <w:noBreakHyphen/>
        <w:t>nél alakultak ki újonnan fellépő lupus-szerű szindróma klinikai jelei. A beteg állapota javult,</w:t>
      </w:r>
      <w:r w:rsidRPr="00183B5F">
        <w:rPr>
          <w:szCs w:val="22"/>
        </w:rPr>
        <w:t xml:space="preserve"> amint a kezelést abbahagyták. Egy beteg esetében sem alakult ki lupus</w:t>
      </w:r>
      <w:r w:rsidRPr="00183B5F">
        <w:rPr>
          <w:szCs w:val="22"/>
        </w:rPr>
        <w:noBreakHyphen/>
        <w:t>nephritis vagy központi idegrendszeri tünet.</w:t>
      </w:r>
    </w:p>
    <w:p w14:paraId="11A9FC19" w14:textId="77777777" w:rsidR="00764497" w:rsidRPr="00183B5F" w:rsidRDefault="00764497" w:rsidP="004062FE">
      <w:pPr>
        <w:spacing w:line="240" w:lineRule="auto"/>
        <w:rPr>
          <w:szCs w:val="22"/>
        </w:rPr>
      </w:pPr>
    </w:p>
    <w:p w14:paraId="4138F44B" w14:textId="77777777" w:rsidR="00764497" w:rsidRPr="00183B5F" w:rsidRDefault="00943743" w:rsidP="004062FE">
      <w:pPr>
        <w:pStyle w:val="EMEANormal"/>
        <w:keepNext/>
        <w:widowControl w:val="0"/>
        <w:rPr>
          <w:i/>
          <w:szCs w:val="22"/>
          <w:lang w:val="hu-HU"/>
        </w:rPr>
      </w:pPr>
      <w:r w:rsidRPr="00183B5F">
        <w:rPr>
          <w:i/>
          <w:szCs w:val="22"/>
          <w:lang w:val="hu-HU"/>
        </w:rPr>
        <w:t>Hepatobiliaris események</w:t>
      </w:r>
    </w:p>
    <w:p w14:paraId="4100C2D7" w14:textId="77777777" w:rsidR="00764497" w:rsidRPr="00183B5F" w:rsidRDefault="00764497" w:rsidP="004062FE">
      <w:pPr>
        <w:keepNext/>
        <w:spacing w:line="240" w:lineRule="auto"/>
        <w:rPr>
          <w:szCs w:val="22"/>
        </w:rPr>
      </w:pPr>
    </w:p>
    <w:p w14:paraId="553F8F51" w14:textId="77777777" w:rsidR="00764497" w:rsidRPr="00183B5F" w:rsidRDefault="00943743" w:rsidP="004062FE">
      <w:pPr>
        <w:keepNext/>
        <w:spacing w:line="240" w:lineRule="auto"/>
        <w:rPr>
          <w:szCs w:val="22"/>
        </w:rPr>
      </w:pPr>
      <w:r w:rsidRPr="00183B5F">
        <w:rPr>
          <w:szCs w:val="22"/>
        </w:rPr>
        <w:t xml:space="preserve">Rheumatoid arthritisben és arthritis psoriaticában szenvedő betegeknél végzett, </w:t>
      </w:r>
      <w:r w:rsidR="00ED247D" w:rsidRPr="00183B5F">
        <w:rPr>
          <w:szCs w:val="22"/>
        </w:rPr>
        <w:t>III. fázisú</w:t>
      </w:r>
      <w:r w:rsidRPr="00183B5F">
        <w:rPr>
          <w:szCs w:val="22"/>
        </w:rPr>
        <w:t xml:space="preserve"> klinikai vizsgálatokban a 4-104 hetes ellenőrzött periódusban a </w:t>
      </w:r>
      <w:r w:rsidR="000258FB" w:rsidRPr="00183B5F">
        <w:rPr>
          <w:szCs w:val="22"/>
        </w:rPr>
        <w:t xml:space="preserve">GPT </w:t>
      </w:r>
      <w:r w:rsidR="00677908" w:rsidRPr="00183B5F">
        <w:rPr>
          <w:szCs w:val="22"/>
        </w:rPr>
        <w:t>(</w:t>
      </w:r>
      <w:r w:rsidR="00934342" w:rsidRPr="00183B5F">
        <w:rPr>
          <w:szCs w:val="22"/>
        </w:rPr>
        <w:t>ALAT</w:t>
      </w:r>
      <w:r w:rsidR="00677908" w:rsidRPr="00183B5F">
        <w:rPr>
          <w:szCs w:val="22"/>
        </w:rPr>
        <w:t>)-</w:t>
      </w:r>
      <w:r w:rsidR="007817FB" w:rsidRPr="00183B5F">
        <w:rPr>
          <w:szCs w:val="22"/>
        </w:rPr>
        <w:t>szint</w:t>
      </w:r>
      <w:r w:rsidRPr="00183B5F">
        <w:rPr>
          <w:szCs w:val="22"/>
        </w:rPr>
        <w:t xml:space="preserve"> a normálérték felső határának ≥ 3</w:t>
      </w:r>
      <w:r w:rsidRPr="00183B5F">
        <w:rPr>
          <w:szCs w:val="22"/>
        </w:rPr>
        <w:noBreakHyphen/>
        <w:t>szorosára történő emelkedése a Humira</w:t>
      </w:r>
      <w:r w:rsidRPr="00183B5F">
        <w:rPr>
          <w:szCs w:val="22"/>
        </w:rPr>
        <w:noBreakHyphen/>
        <w:t>val kezeltek 3,7%</w:t>
      </w:r>
      <w:r w:rsidRPr="00183B5F">
        <w:rPr>
          <w:szCs w:val="22"/>
        </w:rPr>
        <w:noBreakHyphen/>
        <w:t>ánál, míg a kontrollkezelést kapó betegek 1,6%</w:t>
      </w:r>
      <w:r w:rsidRPr="00183B5F">
        <w:rPr>
          <w:szCs w:val="22"/>
        </w:rPr>
        <w:noBreakHyphen/>
        <w:t>nál fordult elő.</w:t>
      </w:r>
    </w:p>
    <w:p w14:paraId="0269EEC5" w14:textId="77777777" w:rsidR="00764497" w:rsidRPr="00183B5F" w:rsidRDefault="00764497" w:rsidP="004062FE">
      <w:pPr>
        <w:spacing w:line="240" w:lineRule="auto"/>
        <w:rPr>
          <w:szCs w:val="22"/>
        </w:rPr>
      </w:pPr>
    </w:p>
    <w:p w14:paraId="34F9B4F6" w14:textId="77777777" w:rsidR="00764497" w:rsidRPr="00183B5F" w:rsidRDefault="00943743">
      <w:pPr>
        <w:spacing w:line="240" w:lineRule="auto"/>
        <w:rPr>
          <w:szCs w:val="22"/>
        </w:rPr>
      </w:pPr>
      <w:r w:rsidRPr="00183B5F">
        <w:rPr>
          <w:szCs w:val="22"/>
        </w:rPr>
        <w:t>Polyarticularis juvenilis idiopathiás arthritisben szenvedő</w:t>
      </w:r>
      <w:r w:rsidR="005D7645" w:rsidRPr="00183B5F">
        <w:rPr>
          <w:szCs w:val="22"/>
        </w:rPr>
        <w:t>,</w:t>
      </w:r>
      <w:r w:rsidRPr="00183B5F">
        <w:rPr>
          <w:szCs w:val="22"/>
        </w:rPr>
        <w:t xml:space="preserve"> 4</w:t>
      </w:r>
      <w:r w:rsidRPr="00183B5F">
        <w:rPr>
          <w:szCs w:val="22"/>
        </w:rPr>
        <w:noBreakHyphen/>
        <w:t xml:space="preserve">17 éves és </w:t>
      </w:r>
      <w:r w:rsidR="00677908" w:rsidRPr="00183B5F">
        <w:rPr>
          <w:szCs w:val="22"/>
        </w:rPr>
        <w:t>enthesitis-asszociált</w:t>
      </w:r>
      <w:r w:rsidRPr="00183B5F">
        <w:rPr>
          <w:szCs w:val="22"/>
        </w:rPr>
        <w:t xml:space="preserve"> arthritisben szenvedő 6</w:t>
      </w:r>
      <w:r w:rsidRPr="00183B5F">
        <w:rPr>
          <w:szCs w:val="22"/>
        </w:rPr>
        <w:noBreakHyphen/>
        <w:t>17 éves betegeknél Humira</w:t>
      </w:r>
      <w:r w:rsidRPr="00183B5F">
        <w:rPr>
          <w:szCs w:val="22"/>
        </w:rPr>
        <w:noBreakHyphen/>
        <w:t xml:space="preserve">val végzett kontrollos </w:t>
      </w:r>
      <w:r w:rsidR="00ED247D" w:rsidRPr="00183B5F">
        <w:rPr>
          <w:szCs w:val="22"/>
        </w:rPr>
        <w:t>III. fázisú</w:t>
      </w:r>
      <w:r w:rsidRPr="00183B5F">
        <w:rPr>
          <w:szCs w:val="22"/>
        </w:rPr>
        <w:t xml:space="preserve"> vizsgálatok során a Humira</w:t>
      </w:r>
      <w:r w:rsidRPr="00183B5F">
        <w:rPr>
          <w:szCs w:val="22"/>
        </w:rPr>
        <w:noBreakHyphen/>
        <w:t>val kezelt betegek 6,1</w:t>
      </w:r>
      <w:r w:rsidRPr="00183B5F">
        <w:t>%</w:t>
      </w:r>
      <w:r w:rsidRPr="00183B5F">
        <w:noBreakHyphen/>
        <w:t>nál és a kontrollkezelésben részesülő betegek 1,3%</w:t>
      </w:r>
      <w:r w:rsidRPr="00183B5F">
        <w:noBreakHyphen/>
        <w:t xml:space="preserve">ánál a </w:t>
      </w:r>
      <w:r w:rsidR="000258FB" w:rsidRPr="00183B5F">
        <w:rPr>
          <w:szCs w:val="22"/>
        </w:rPr>
        <w:t>GPT </w:t>
      </w:r>
      <w:r w:rsidR="00677908" w:rsidRPr="00183B5F">
        <w:rPr>
          <w:szCs w:val="22"/>
        </w:rPr>
        <w:t>(</w:t>
      </w:r>
      <w:r w:rsidR="00934342" w:rsidRPr="00183B5F">
        <w:rPr>
          <w:szCs w:val="22"/>
        </w:rPr>
        <w:t>ALAT</w:t>
      </w:r>
      <w:r w:rsidR="00677908" w:rsidRPr="00183B5F">
        <w:rPr>
          <w:szCs w:val="22"/>
        </w:rPr>
        <w:t>)-</w:t>
      </w:r>
      <w:r w:rsidRPr="00183B5F">
        <w:rPr>
          <w:szCs w:val="22"/>
        </w:rPr>
        <w:t>szint a normálérték felső határának ≥ 3</w:t>
      </w:r>
      <w:r w:rsidRPr="00183B5F">
        <w:rPr>
          <w:szCs w:val="22"/>
        </w:rPr>
        <w:noBreakHyphen/>
        <w:t xml:space="preserve">szorosára emelkedett. A legtöbb </w:t>
      </w:r>
      <w:r w:rsidR="000258FB" w:rsidRPr="00183B5F">
        <w:rPr>
          <w:szCs w:val="22"/>
        </w:rPr>
        <w:t>GPT </w:t>
      </w:r>
      <w:r w:rsidR="00677908" w:rsidRPr="00183B5F">
        <w:rPr>
          <w:szCs w:val="22"/>
        </w:rPr>
        <w:t>(</w:t>
      </w:r>
      <w:r w:rsidR="00934342" w:rsidRPr="00183B5F">
        <w:rPr>
          <w:szCs w:val="22"/>
        </w:rPr>
        <w:t>ALAT</w:t>
      </w:r>
      <w:r w:rsidR="00677908" w:rsidRPr="00183B5F">
        <w:rPr>
          <w:szCs w:val="22"/>
        </w:rPr>
        <w:t>)-</w:t>
      </w:r>
      <w:r w:rsidRPr="00183B5F">
        <w:rPr>
          <w:szCs w:val="22"/>
        </w:rPr>
        <w:t>szint emelkedés együttadott metotrexát</w:t>
      </w:r>
      <w:r w:rsidRPr="00183B5F">
        <w:rPr>
          <w:szCs w:val="22"/>
        </w:rPr>
        <w:noBreakHyphen/>
        <w:t>kezelés mellett fordult elő. Polyarticularis juvenilis idiopathiás arthritisben szenvedő</w:t>
      </w:r>
      <w:r w:rsidR="005D7645" w:rsidRPr="00183B5F">
        <w:rPr>
          <w:szCs w:val="22"/>
        </w:rPr>
        <w:t>,</w:t>
      </w:r>
      <w:r w:rsidRPr="00183B5F">
        <w:rPr>
          <w:szCs w:val="22"/>
        </w:rPr>
        <w:t xml:space="preserve"> 2</w:t>
      </w:r>
      <w:r w:rsidR="007817FB" w:rsidRPr="00183B5F">
        <w:rPr>
          <w:szCs w:val="22"/>
        </w:rPr>
        <w:t> </w:t>
      </w:r>
      <w:r w:rsidRPr="00183B5F">
        <w:rPr>
          <w:szCs w:val="22"/>
        </w:rPr>
        <w:noBreakHyphen/>
      </w:r>
      <w:r w:rsidR="007817FB" w:rsidRPr="00183B5F">
        <w:rPr>
          <w:szCs w:val="22"/>
        </w:rPr>
        <w:t> </w:t>
      </w:r>
      <w:r w:rsidRPr="00183B5F">
        <w:rPr>
          <w:szCs w:val="22"/>
        </w:rPr>
        <w:t>&lt;4 éves betegeknél Humira</w:t>
      </w:r>
      <w:r w:rsidRPr="00183B5F">
        <w:rPr>
          <w:szCs w:val="22"/>
        </w:rPr>
        <w:noBreakHyphen/>
        <w:t xml:space="preserve">val végzett kontrollos </w:t>
      </w:r>
      <w:r w:rsidR="00ED247D" w:rsidRPr="00183B5F">
        <w:rPr>
          <w:szCs w:val="22"/>
        </w:rPr>
        <w:t>III. fázisú</w:t>
      </w:r>
      <w:r w:rsidRPr="00183B5F">
        <w:rPr>
          <w:szCs w:val="22"/>
        </w:rPr>
        <w:t>. vizsgálatok során nem fordult elő, hogy a</w:t>
      </w:r>
      <w:r w:rsidR="000258FB" w:rsidRPr="00183B5F">
        <w:rPr>
          <w:szCs w:val="22"/>
        </w:rPr>
        <w:t xml:space="preserve"> GPT</w:t>
      </w:r>
      <w:r w:rsidR="00677908" w:rsidRPr="00183B5F">
        <w:rPr>
          <w:szCs w:val="22"/>
        </w:rPr>
        <w:t xml:space="preserve"> (</w:t>
      </w:r>
      <w:r w:rsidR="00934342" w:rsidRPr="00183B5F">
        <w:rPr>
          <w:szCs w:val="22"/>
        </w:rPr>
        <w:t>ALAT</w:t>
      </w:r>
      <w:r w:rsidR="00677908" w:rsidRPr="00183B5F">
        <w:rPr>
          <w:szCs w:val="22"/>
        </w:rPr>
        <w:t>)-</w:t>
      </w:r>
      <w:r w:rsidRPr="00183B5F">
        <w:rPr>
          <w:szCs w:val="22"/>
        </w:rPr>
        <w:t>szint a normálérték felső határának ≥ 3</w:t>
      </w:r>
      <w:r w:rsidRPr="00183B5F">
        <w:rPr>
          <w:szCs w:val="22"/>
        </w:rPr>
        <w:noBreakHyphen/>
        <w:t>szorosára emelkedett</w:t>
      </w:r>
      <w:r w:rsidRPr="00183B5F">
        <w:rPr>
          <w:szCs w:val="22"/>
        </w:rPr>
        <w:t>.</w:t>
      </w:r>
    </w:p>
    <w:p w14:paraId="6AA02074" w14:textId="77777777" w:rsidR="00764497" w:rsidRPr="00183B5F" w:rsidRDefault="00764497" w:rsidP="004062FE">
      <w:pPr>
        <w:spacing w:line="240" w:lineRule="auto"/>
        <w:rPr>
          <w:szCs w:val="22"/>
        </w:rPr>
      </w:pPr>
    </w:p>
    <w:p w14:paraId="1C09DFE1" w14:textId="77777777" w:rsidR="00764497" w:rsidRPr="00183B5F" w:rsidRDefault="00943743" w:rsidP="004062FE">
      <w:pPr>
        <w:spacing w:line="240" w:lineRule="auto"/>
        <w:rPr>
          <w:i/>
          <w:szCs w:val="22"/>
        </w:rPr>
      </w:pPr>
      <w:r w:rsidRPr="00183B5F">
        <w:rPr>
          <w:szCs w:val="22"/>
        </w:rPr>
        <w:t>Crohn</w:t>
      </w:r>
      <w:r w:rsidRPr="00183B5F">
        <w:rPr>
          <w:szCs w:val="22"/>
        </w:rPr>
        <w:noBreakHyphen/>
        <w:t>betegségben és colitis ulcerosában szenvedő betegeknél Humira</w:t>
      </w:r>
      <w:r w:rsidRPr="00183B5F">
        <w:rPr>
          <w:szCs w:val="22"/>
        </w:rPr>
        <w:noBreakHyphen/>
        <w:t xml:space="preserve">val végzett, 4-52 hetes </w:t>
      </w:r>
      <w:r w:rsidR="00ED247D" w:rsidRPr="00183B5F">
        <w:rPr>
          <w:szCs w:val="22"/>
        </w:rPr>
        <w:t>III. fázisú</w:t>
      </w:r>
      <w:r w:rsidRPr="00183B5F">
        <w:rPr>
          <w:szCs w:val="22"/>
        </w:rPr>
        <w:t xml:space="preserve"> </w:t>
      </w:r>
      <w:r w:rsidR="0072236B" w:rsidRPr="00183B5F">
        <w:rPr>
          <w:szCs w:val="22"/>
        </w:rPr>
        <w:t xml:space="preserve">kontrollos </w:t>
      </w:r>
      <w:r w:rsidRPr="00183B5F">
        <w:rPr>
          <w:szCs w:val="22"/>
        </w:rPr>
        <w:t xml:space="preserve">vizsgálatokban a </w:t>
      </w:r>
      <w:r w:rsidR="000258FB" w:rsidRPr="00183B5F">
        <w:rPr>
          <w:szCs w:val="22"/>
        </w:rPr>
        <w:t>GPT</w:t>
      </w:r>
      <w:r w:rsidR="00677908" w:rsidRPr="00183B5F">
        <w:rPr>
          <w:szCs w:val="22"/>
        </w:rPr>
        <w:t xml:space="preserve"> (</w:t>
      </w:r>
      <w:r w:rsidR="00934342" w:rsidRPr="00183B5F">
        <w:rPr>
          <w:szCs w:val="22"/>
        </w:rPr>
        <w:t>ALAT</w:t>
      </w:r>
      <w:r w:rsidR="00677908" w:rsidRPr="00183B5F">
        <w:rPr>
          <w:szCs w:val="22"/>
        </w:rPr>
        <w:t>)-</w:t>
      </w:r>
      <w:r w:rsidR="007817FB" w:rsidRPr="00183B5F">
        <w:rPr>
          <w:szCs w:val="22"/>
        </w:rPr>
        <w:t>szint</w:t>
      </w:r>
      <w:r w:rsidRPr="00183B5F">
        <w:rPr>
          <w:szCs w:val="22"/>
        </w:rPr>
        <w:t xml:space="preserve"> a normálérték felső határának ≥ 3</w:t>
      </w:r>
      <w:r w:rsidRPr="00183B5F">
        <w:rPr>
          <w:szCs w:val="22"/>
        </w:rPr>
        <w:noBreakHyphen/>
        <w:t>szorosára történő emelkedése a Humira</w:t>
      </w:r>
      <w:r w:rsidRPr="00183B5F">
        <w:rPr>
          <w:szCs w:val="22"/>
        </w:rPr>
        <w:noBreakHyphen/>
        <w:t>val kezelt betegek 0,9%</w:t>
      </w:r>
      <w:r w:rsidRPr="00183B5F">
        <w:rPr>
          <w:szCs w:val="22"/>
        </w:rPr>
        <w:noBreakHyphen/>
        <w:t xml:space="preserve">ánál, </w:t>
      </w:r>
      <w:r w:rsidR="0072236B" w:rsidRPr="00183B5F">
        <w:rPr>
          <w:szCs w:val="22"/>
        </w:rPr>
        <w:t xml:space="preserve">valamint a kontrollal </w:t>
      </w:r>
      <w:r w:rsidRPr="00183B5F">
        <w:rPr>
          <w:szCs w:val="22"/>
        </w:rPr>
        <w:t>kezelt betegek 0,9%</w:t>
      </w:r>
      <w:r w:rsidRPr="00183B5F">
        <w:rPr>
          <w:szCs w:val="22"/>
        </w:rPr>
        <w:noBreakHyphen/>
        <w:t>nál fordult elő</w:t>
      </w:r>
      <w:r w:rsidRPr="00183B5F">
        <w:rPr>
          <w:i/>
          <w:szCs w:val="22"/>
        </w:rPr>
        <w:t>.</w:t>
      </w:r>
    </w:p>
    <w:p w14:paraId="41DE7721" w14:textId="77777777" w:rsidR="00764497" w:rsidRPr="00183B5F" w:rsidRDefault="00764497" w:rsidP="004062FE">
      <w:pPr>
        <w:spacing w:line="240" w:lineRule="auto"/>
        <w:rPr>
          <w:i/>
          <w:szCs w:val="22"/>
        </w:rPr>
      </w:pPr>
    </w:p>
    <w:p w14:paraId="0E8D1644" w14:textId="77777777" w:rsidR="00764497" w:rsidRPr="00183B5F" w:rsidRDefault="00943743" w:rsidP="004062FE">
      <w:pPr>
        <w:spacing w:line="240" w:lineRule="auto"/>
        <w:rPr>
          <w:szCs w:val="22"/>
        </w:rPr>
      </w:pPr>
      <w:r w:rsidRPr="00183B5F">
        <w:rPr>
          <w:szCs w:val="22"/>
        </w:rPr>
        <w:t>A gyermekkori Crohn</w:t>
      </w:r>
      <w:r w:rsidRPr="00183B5F">
        <w:rPr>
          <w:szCs w:val="22"/>
        </w:rPr>
        <w:noBreakHyphen/>
        <w:t>betegségben szenvedő betegeknél Humira</w:t>
      </w:r>
      <w:r w:rsidRPr="00183B5F">
        <w:rPr>
          <w:szCs w:val="22"/>
        </w:rPr>
        <w:noBreakHyphen/>
        <w:t xml:space="preserve">val végzett </w:t>
      </w:r>
      <w:r w:rsidR="00ED247D" w:rsidRPr="00183B5F">
        <w:rPr>
          <w:szCs w:val="22"/>
        </w:rPr>
        <w:t>III. fázisú</w:t>
      </w:r>
      <w:r w:rsidRPr="00183B5F">
        <w:rPr>
          <w:szCs w:val="22"/>
        </w:rPr>
        <w:t xml:space="preserve"> vizsgálatban két, testsúlyra korrigált fenntartó adagolási rend hatásosságát és biztonságosságát vizsgálták 52 kezelési hétig, testsúlyra korrigált indukciós kezelést követően. A vizsgálatok során a betegek 2,6%</w:t>
      </w:r>
      <w:r w:rsidRPr="00183B5F">
        <w:rPr>
          <w:szCs w:val="22"/>
        </w:rPr>
        <w:noBreakHyphen/>
        <w:t xml:space="preserve">ánál (5/192), akik közül 4 egyidejűleg immunszuppresszánst is kapott, a </w:t>
      </w:r>
      <w:r w:rsidR="000258FB" w:rsidRPr="00183B5F">
        <w:rPr>
          <w:szCs w:val="22"/>
        </w:rPr>
        <w:t xml:space="preserve">GPT </w:t>
      </w:r>
      <w:r w:rsidR="00677908" w:rsidRPr="00183B5F">
        <w:rPr>
          <w:szCs w:val="22"/>
        </w:rPr>
        <w:t>(</w:t>
      </w:r>
      <w:r w:rsidR="00934342" w:rsidRPr="00183B5F">
        <w:rPr>
          <w:szCs w:val="22"/>
        </w:rPr>
        <w:t>ALAT</w:t>
      </w:r>
      <w:r w:rsidR="00677908" w:rsidRPr="00183B5F">
        <w:rPr>
          <w:szCs w:val="22"/>
        </w:rPr>
        <w:t>)-</w:t>
      </w:r>
      <w:r w:rsidR="00901A31" w:rsidRPr="00183B5F">
        <w:rPr>
          <w:szCs w:val="22"/>
        </w:rPr>
        <w:t>szint</w:t>
      </w:r>
      <w:r w:rsidRPr="00183B5F">
        <w:rPr>
          <w:szCs w:val="22"/>
        </w:rPr>
        <w:t xml:space="preserve"> a normálérték felső határának  ≥ 3 szorosára emelkedett.</w:t>
      </w:r>
    </w:p>
    <w:p w14:paraId="559BEA0C" w14:textId="77777777" w:rsidR="00764497" w:rsidRPr="00183B5F" w:rsidRDefault="00764497" w:rsidP="004062FE">
      <w:pPr>
        <w:spacing w:line="240" w:lineRule="auto"/>
        <w:rPr>
          <w:szCs w:val="22"/>
        </w:rPr>
      </w:pPr>
    </w:p>
    <w:p w14:paraId="596EA2CD" w14:textId="77777777" w:rsidR="00764497" w:rsidRPr="00183B5F" w:rsidRDefault="00943743" w:rsidP="004062FE">
      <w:pPr>
        <w:spacing w:line="240" w:lineRule="auto"/>
        <w:rPr>
          <w:szCs w:val="22"/>
        </w:rPr>
      </w:pPr>
      <w:r w:rsidRPr="00183B5F">
        <w:rPr>
          <w:szCs w:val="22"/>
        </w:rPr>
        <w:t>Plakkos psoriasisban szenvedő betegeknél Humira</w:t>
      </w:r>
      <w:r w:rsidRPr="00183B5F">
        <w:rPr>
          <w:szCs w:val="22"/>
        </w:rPr>
        <w:noBreakHyphen/>
        <w:t>val végzett, 12</w:t>
      </w:r>
      <w:r w:rsidRPr="00183B5F">
        <w:rPr>
          <w:szCs w:val="22"/>
        </w:rPr>
        <w:noBreakHyphen/>
        <w:t xml:space="preserve">24 hetes, </w:t>
      </w:r>
      <w:r w:rsidR="00ED247D" w:rsidRPr="00183B5F">
        <w:rPr>
          <w:szCs w:val="22"/>
        </w:rPr>
        <w:t>III. fázisú</w:t>
      </w:r>
      <w:r w:rsidRPr="00183B5F">
        <w:rPr>
          <w:szCs w:val="22"/>
        </w:rPr>
        <w:t xml:space="preserve"> vizsgálatokban a </w:t>
      </w:r>
      <w:r w:rsidR="000258FB" w:rsidRPr="00183B5F">
        <w:rPr>
          <w:szCs w:val="22"/>
        </w:rPr>
        <w:t xml:space="preserve">GPT </w:t>
      </w:r>
      <w:r w:rsidR="00677908" w:rsidRPr="00183B5F">
        <w:rPr>
          <w:szCs w:val="22"/>
        </w:rPr>
        <w:t>(</w:t>
      </w:r>
      <w:r w:rsidR="00934342" w:rsidRPr="00183B5F">
        <w:rPr>
          <w:szCs w:val="22"/>
        </w:rPr>
        <w:t>ALAT</w:t>
      </w:r>
      <w:r w:rsidR="00677908" w:rsidRPr="00183B5F">
        <w:rPr>
          <w:szCs w:val="22"/>
        </w:rPr>
        <w:t>)-</w:t>
      </w:r>
      <w:r w:rsidRPr="00183B5F">
        <w:rPr>
          <w:szCs w:val="22"/>
        </w:rPr>
        <w:t>nek a normálérték felső határának ≥ 3</w:t>
      </w:r>
      <w:r w:rsidRPr="00183B5F">
        <w:rPr>
          <w:szCs w:val="22"/>
        </w:rPr>
        <w:noBreakHyphen/>
        <w:t>szorosára történő emelkedése a Humira</w:t>
      </w:r>
      <w:r w:rsidRPr="00183B5F">
        <w:rPr>
          <w:szCs w:val="22"/>
        </w:rPr>
        <w:noBreakHyphen/>
        <w:t>val kezelt betegek 1,8%</w:t>
      </w:r>
      <w:r w:rsidRPr="00183B5F">
        <w:rPr>
          <w:szCs w:val="22"/>
        </w:rPr>
        <w:noBreakHyphen/>
        <w:t>ánál, a kontroll</w:t>
      </w:r>
      <w:r w:rsidR="000922A3" w:rsidRPr="00183B5F">
        <w:rPr>
          <w:szCs w:val="22"/>
        </w:rPr>
        <w:t>-</w:t>
      </w:r>
      <w:r w:rsidRPr="00183B5F">
        <w:rPr>
          <w:szCs w:val="22"/>
        </w:rPr>
        <w:t>kezelés mellett a betegek 1,8%</w:t>
      </w:r>
      <w:r w:rsidRPr="00183B5F">
        <w:rPr>
          <w:szCs w:val="22"/>
        </w:rPr>
        <w:noBreakHyphen/>
        <w:t>ánál fordult elő.</w:t>
      </w:r>
    </w:p>
    <w:p w14:paraId="04688784" w14:textId="77777777" w:rsidR="00764497" w:rsidRPr="00183B5F" w:rsidRDefault="00764497" w:rsidP="004062FE">
      <w:pPr>
        <w:spacing w:line="240" w:lineRule="auto"/>
        <w:rPr>
          <w:szCs w:val="22"/>
        </w:rPr>
      </w:pPr>
    </w:p>
    <w:p w14:paraId="39237BCA" w14:textId="77777777" w:rsidR="00764497" w:rsidRPr="00183B5F" w:rsidRDefault="00943743">
      <w:pPr>
        <w:spacing w:line="240" w:lineRule="auto"/>
        <w:rPr>
          <w:szCs w:val="22"/>
        </w:rPr>
      </w:pPr>
      <w:r w:rsidRPr="00183B5F">
        <w:rPr>
          <w:szCs w:val="22"/>
        </w:rPr>
        <w:t>Plakkos psoriasisban szenvedő pediátriai betegeknél Humira</w:t>
      </w:r>
      <w:r w:rsidRPr="00183B5F">
        <w:rPr>
          <w:szCs w:val="22"/>
        </w:rPr>
        <w:noBreakHyphen/>
        <w:t xml:space="preserve">val végzett </w:t>
      </w:r>
      <w:r w:rsidR="00ED247D" w:rsidRPr="00183B5F">
        <w:rPr>
          <w:szCs w:val="22"/>
        </w:rPr>
        <w:t>III. fázisú</w:t>
      </w:r>
      <w:r w:rsidRPr="00183B5F">
        <w:rPr>
          <w:szCs w:val="22"/>
        </w:rPr>
        <w:t>. vizsgálatok során nem fordult elő a</w:t>
      </w:r>
      <w:r w:rsidR="000258FB" w:rsidRPr="00183B5F">
        <w:rPr>
          <w:szCs w:val="22"/>
        </w:rPr>
        <w:t xml:space="preserve"> GPT</w:t>
      </w:r>
      <w:r w:rsidR="00677908" w:rsidRPr="00183B5F">
        <w:rPr>
          <w:szCs w:val="22"/>
        </w:rPr>
        <w:t xml:space="preserve"> (</w:t>
      </w:r>
      <w:r w:rsidR="00934342" w:rsidRPr="00183B5F">
        <w:rPr>
          <w:szCs w:val="22"/>
        </w:rPr>
        <w:t>ALAT</w:t>
      </w:r>
      <w:r w:rsidR="00677908" w:rsidRPr="00183B5F">
        <w:rPr>
          <w:szCs w:val="22"/>
        </w:rPr>
        <w:t>)-</w:t>
      </w:r>
      <w:r w:rsidRPr="00183B5F">
        <w:rPr>
          <w:szCs w:val="22"/>
        </w:rPr>
        <w:t>szintnek a normálérték felső határának ≥ 3</w:t>
      </w:r>
      <w:r w:rsidRPr="00183B5F">
        <w:rPr>
          <w:szCs w:val="22"/>
        </w:rPr>
        <w:noBreakHyphen/>
        <w:t>szorosára való emelkedése.</w:t>
      </w:r>
    </w:p>
    <w:p w14:paraId="2150CE00" w14:textId="77777777" w:rsidR="00764497" w:rsidRPr="00183B5F" w:rsidRDefault="00764497" w:rsidP="004062FE">
      <w:pPr>
        <w:spacing w:line="240" w:lineRule="auto"/>
        <w:rPr>
          <w:szCs w:val="22"/>
        </w:rPr>
      </w:pPr>
    </w:p>
    <w:p w14:paraId="33FB92C5" w14:textId="77777777" w:rsidR="00764497" w:rsidRPr="00183B5F" w:rsidRDefault="00943743" w:rsidP="004062FE">
      <w:pPr>
        <w:spacing w:line="240" w:lineRule="auto"/>
        <w:rPr>
          <w:szCs w:val="22"/>
        </w:rPr>
      </w:pPr>
      <w:r w:rsidRPr="00183B5F">
        <w:rPr>
          <w:szCs w:val="22"/>
        </w:rPr>
        <w:t>Hidradenitis suppurativában szenvedő betegeknél a Humira</w:t>
      </w:r>
      <w:r w:rsidRPr="00183B5F">
        <w:rPr>
          <w:szCs w:val="22"/>
        </w:rPr>
        <w:noBreakHyphen/>
        <w:t>val (kezdő dózis a 0. héten 160 mg és a 2. héten 80 mg, melyet a 4. héttől kezdve hetente 40 mg követ) végzett kontrollos vizsgálatokban, a 12</w:t>
      </w:r>
      <w:r w:rsidRPr="00183B5F">
        <w:rPr>
          <w:szCs w:val="22"/>
        </w:rPr>
        <w:noBreakHyphen/>
        <w:t xml:space="preserve">16 hetes kontrollperiódusban a </w:t>
      </w:r>
      <w:r w:rsidR="000258FB" w:rsidRPr="00183B5F">
        <w:rPr>
          <w:szCs w:val="22"/>
        </w:rPr>
        <w:t xml:space="preserve">GPT </w:t>
      </w:r>
      <w:r w:rsidR="00677908" w:rsidRPr="00183B5F">
        <w:rPr>
          <w:szCs w:val="22"/>
        </w:rPr>
        <w:t>(</w:t>
      </w:r>
      <w:r w:rsidR="00934342" w:rsidRPr="00183B5F">
        <w:rPr>
          <w:szCs w:val="22"/>
        </w:rPr>
        <w:t>ALAT</w:t>
      </w:r>
      <w:r w:rsidR="00677908" w:rsidRPr="00183B5F">
        <w:rPr>
          <w:szCs w:val="22"/>
        </w:rPr>
        <w:t>)-</w:t>
      </w:r>
      <w:r w:rsidR="00901A31" w:rsidRPr="00183B5F">
        <w:rPr>
          <w:szCs w:val="22"/>
        </w:rPr>
        <w:t>szint</w:t>
      </w:r>
      <w:r w:rsidRPr="00183B5F">
        <w:rPr>
          <w:szCs w:val="22"/>
        </w:rPr>
        <w:t xml:space="preserve"> normálérték felső határának ≥ 3</w:t>
      </w:r>
      <w:r w:rsidRPr="00183B5F">
        <w:rPr>
          <w:szCs w:val="22"/>
        </w:rPr>
        <w:noBreakHyphen/>
        <w:t>szorosára történő emelkedése a Humira</w:t>
      </w:r>
      <w:r w:rsidRPr="00183B5F">
        <w:rPr>
          <w:szCs w:val="22"/>
        </w:rPr>
        <w:noBreakHyphen/>
        <w:t>val kezelt betegek 0,3%</w:t>
      </w:r>
      <w:r w:rsidRPr="00183B5F">
        <w:rPr>
          <w:szCs w:val="22"/>
        </w:rPr>
        <w:noBreakHyphen/>
        <w:t>ánál, míg a kontrollal kezelt betegek 0,6%</w:t>
      </w:r>
      <w:r w:rsidRPr="00183B5F">
        <w:rPr>
          <w:szCs w:val="22"/>
        </w:rPr>
        <w:noBreakHyphen/>
        <w:t>ánál fordult elő.</w:t>
      </w:r>
    </w:p>
    <w:p w14:paraId="553A4EF4" w14:textId="77777777" w:rsidR="00764497" w:rsidRPr="00183B5F" w:rsidRDefault="00764497" w:rsidP="004062FE">
      <w:pPr>
        <w:spacing w:line="240" w:lineRule="auto"/>
        <w:rPr>
          <w:szCs w:val="22"/>
        </w:rPr>
      </w:pPr>
    </w:p>
    <w:p w14:paraId="38F3DA1B" w14:textId="77777777" w:rsidR="00764497" w:rsidRPr="00183B5F" w:rsidRDefault="00943743" w:rsidP="004062FE">
      <w:pPr>
        <w:spacing w:line="240" w:lineRule="auto"/>
        <w:rPr>
          <w:szCs w:val="22"/>
        </w:rPr>
      </w:pPr>
      <w:r w:rsidRPr="00183B5F">
        <w:rPr>
          <w:szCs w:val="22"/>
        </w:rPr>
        <w:t>Uveitisben szenvedő</w:t>
      </w:r>
      <w:r w:rsidR="006F7872" w:rsidRPr="00183B5F">
        <w:rPr>
          <w:szCs w:val="22"/>
        </w:rPr>
        <w:t xml:space="preserve"> felnőtt</w:t>
      </w:r>
      <w:r w:rsidRPr="00183B5F">
        <w:rPr>
          <w:szCs w:val="22"/>
        </w:rPr>
        <w:t xml:space="preserve"> betegeknél a Humira</w:t>
      </w:r>
      <w:r w:rsidR="001212F4" w:rsidRPr="00183B5F">
        <w:rPr>
          <w:szCs w:val="22"/>
        </w:rPr>
        <w:noBreakHyphen/>
      </w:r>
      <w:r w:rsidRPr="00183B5F">
        <w:rPr>
          <w:szCs w:val="22"/>
        </w:rPr>
        <w:t>val (kezdő dózis a 0. héten 80 mg, melyet az 1. héttől kezdve minden második héten adott 40 mg követett) végzett, 80 hétig tartó kontrollos vizsgálatokban, a Humira</w:t>
      </w:r>
      <w:r w:rsidRPr="00183B5F">
        <w:rPr>
          <w:szCs w:val="22"/>
        </w:rPr>
        <w:noBreakHyphen/>
        <w:t xml:space="preserve">val kezelt betegeknél 166,5 nap, a kontrollcsoportnál 105 nap medián expozíciós idő esetén, a </w:t>
      </w:r>
      <w:r w:rsidR="000258FB" w:rsidRPr="00183B5F">
        <w:rPr>
          <w:szCs w:val="22"/>
        </w:rPr>
        <w:t xml:space="preserve">GPT </w:t>
      </w:r>
      <w:r w:rsidR="00677908" w:rsidRPr="00183B5F">
        <w:rPr>
          <w:szCs w:val="22"/>
        </w:rPr>
        <w:t>(</w:t>
      </w:r>
      <w:r w:rsidR="00934342" w:rsidRPr="00183B5F">
        <w:rPr>
          <w:szCs w:val="22"/>
        </w:rPr>
        <w:t>ALAT</w:t>
      </w:r>
      <w:r w:rsidR="00677908" w:rsidRPr="00183B5F">
        <w:rPr>
          <w:szCs w:val="22"/>
        </w:rPr>
        <w:t>)-</w:t>
      </w:r>
      <w:r w:rsidRPr="00183B5F">
        <w:rPr>
          <w:szCs w:val="22"/>
        </w:rPr>
        <w:t>szint normálérték felső határának ≥ 3</w:t>
      </w:r>
      <w:r w:rsidRPr="00183B5F">
        <w:rPr>
          <w:szCs w:val="22"/>
        </w:rPr>
        <w:noBreakHyphen/>
        <w:t>szorosára való emelkedése a Humira</w:t>
      </w:r>
      <w:r w:rsidRPr="00183B5F">
        <w:rPr>
          <w:szCs w:val="22"/>
        </w:rPr>
        <w:noBreakHyphen/>
        <w:t>val kezelt betegek 2,4%</w:t>
      </w:r>
      <w:r w:rsidRPr="00183B5F">
        <w:rPr>
          <w:szCs w:val="22"/>
        </w:rPr>
        <w:noBreakHyphen/>
        <w:t>ánál, a kontrollkezelés mellett a betegek 2,4%</w:t>
      </w:r>
      <w:r w:rsidRPr="00183B5F">
        <w:rPr>
          <w:szCs w:val="22"/>
        </w:rPr>
        <w:noBreakHyphen/>
        <w:t xml:space="preserve">ánál fordult elő. </w:t>
      </w:r>
    </w:p>
    <w:p w14:paraId="7E03141F" w14:textId="77777777" w:rsidR="00764497" w:rsidRPr="00183B5F" w:rsidRDefault="00764497" w:rsidP="004062FE">
      <w:pPr>
        <w:spacing w:line="240" w:lineRule="auto"/>
        <w:rPr>
          <w:szCs w:val="22"/>
        </w:rPr>
      </w:pPr>
    </w:p>
    <w:p w14:paraId="5727F30E" w14:textId="77777777" w:rsidR="006E3AD4" w:rsidRPr="00183B5F" w:rsidRDefault="00943743" w:rsidP="006E3AD4">
      <w:r w:rsidRPr="00183B5F">
        <w:rPr>
          <w:shd w:val="clear" w:color="auto" w:fill="FFFFFF"/>
        </w:rPr>
        <w:t>Egy gyermek</w:t>
      </w:r>
      <w:r w:rsidR="003F6646" w:rsidRPr="00183B5F">
        <w:rPr>
          <w:shd w:val="clear" w:color="auto" w:fill="FFFFFF"/>
        </w:rPr>
        <w:t>- és serdülő</w:t>
      </w:r>
      <w:r w:rsidRPr="00183B5F">
        <w:rPr>
          <w:shd w:val="clear" w:color="auto" w:fill="FFFFFF"/>
        </w:rPr>
        <w:t>kori colitis ulcerosában szenvedő betegek körében (N=93) Humira</w:t>
      </w:r>
      <w:r w:rsidRPr="00183B5F">
        <w:rPr>
          <w:shd w:val="clear" w:color="auto" w:fill="FFFFFF"/>
        </w:rPr>
        <w:noBreakHyphen/>
        <w:t>val végzett, kontrollált III. fázisú vizsgálatban a következő adagolási sémák hatásosságát és biztonságosságát értékelték: a 0. és 1. héten a testtömeghez igazított 2,4 mg/ttkg (legfeljebb 160 mg), és a 2. héten 1,2 mg/ttkg (legfeljebb 80 mg) indukciós dózis (N=63), vagy a 0. héten 2,4 mg/ttkg (legfeljebb 160 mg), az 1. héten placebo, a 2. héten 1,2 mg/ttkg (legfeljebb 80 mg) indukciós dózis (N=30), amit minden második héten adott 0</w:t>
      </w:r>
      <w:r w:rsidRPr="00183B5F">
        <w:rPr>
          <w:shd w:val="clear" w:color="auto" w:fill="FFFFFF"/>
        </w:rPr>
        <w:t>,6 mg/ttkg (legfeljebb 40 mg) fenntartó dózis (N=31), vagy hetente adott 0,6 mg/ttkg (legfeljebb 40 mg) fenntartó dózis (N=32) követ. A fenti dózisok mellett a betegek 1,1%</w:t>
      </w:r>
      <w:r w:rsidRPr="00183B5F">
        <w:rPr>
          <w:shd w:val="clear" w:color="auto" w:fill="FFFFFF"/>
        </w:rPr>
        <w:noBreakHyphen/>
        <w:t xml:space="preserve">ánál (1/93) az ALAT a </w:t>
      </w:r>
      <w:r w:rsidRPr="00183B5F">
        <w:t>normálérték felső határának ≥ 3</w:t>
      </w:r>
      <w:r w:rsidRPr="00183B5F">
        <w:noBreakHyphen/>
        <w:t>szorosára emelkedett.</w:t>
      </w:r>
    </w:p>
    <w:p w14:paraId="32A43B6D" w14:textId="77777777" w:rsidR="00853CE9" w:rsidRPr="00183B5F" w:rsidRDefault="00853CE9" w:rsidP="004062FE">
      <w:pPr>
        <w:spacing w:line="240" w:lineRule="auto"/>
        <w:rPr>
          <w:szCs w:val="22"/>
        </w:rPr>
      </w:pPr>
    </w:p>
    <w:p w14:paraId="6188882E" w14:textId="77777777" w:rsidR="00764497" w:rsidRPr="00183B5F" w:rsidRDefault="00943743" w:rsidP="004062FE">
      <w:pPr>
        <w:spacing w:line="240" w:lineRule="auto"/>
        <w:rPr>
          <w:szCs w:val="22"/>
        </w:rPr>
      </w:pPr>
      <w:r w:rsidRPr="00183B5F">
        <w:rPr>
          <w:szCs w:val="22"/>
        </w:rPr>
        <w:t xml:space="preserve">A klinikai vizsgálatokban a magasabb </w:t>
      </w:r>
      <w:r w:rsidR="000258FB" w:rsidRPr="00183B5F">
        <w:rPr>
          <w:szCs w:val="22"/>
        </w:rPr>
        <w:t xml:space="preserve">GPT </w:t>
      </w:r>
      <w:r w:rsidR="00677908" w:rsidRPr="00183B5F">
        <w:rPr>
          <w:szCs w:val="22"/>
        </w:rPr>
        <w:t>(</w:t>
      </w:r>
      <w:r w:rsidR="00934342" w:rsidRPr="00183B5F">
        <w:rPr>
          <w:szCs w:val="22"/>
        </w:rPr>
        <w:t>ALAT</w:t>
      </w:r>
      <w:r w:rsidR="00677908" w:rsidRPr="00183B5F">
        <w:rPr>
          <w:szCs w:val="22"/>
        </w:rPr>
        <w:t>)-</w:t>
      </w:r>
      <w:r w:rsidR="00901A31" w:rsidRPr="00183B5F">
        <w:rPr>
          <w:szCs w:val="22"/>
        </w:rPr>
        <w:t>szintű</w:t>
      </w:r>
      <w:r w:rsidRPr="00183B5F">
        <w:rPr>
          <w:szCs w:val="22"/>
        </w:rPr>
        <w:t xml:space="preserve"> betegek tünetmentesek voltak valamennyi indikációban. Az esetek többségében az emelkedés átmeneti volt és a kezelés folytatása mellett megszűnt. A forgalomba hozatalt követően is beszámoltak májelégtelenségről és kevésbé súlyos olyan májbetegségekről is, amelyek megelőzhetik a májelégtelenséget, mint pl. a hepatitis, beleértve az autoimmun hepatitist az adalimumabbal kezelt betegeknél.</w:t>
      </w:r>
    </w:p>
    <w:p w14:paraId="4DDD46C5" w14:textId="77777777" w:rsidR="00764497" w:rsidRPr="00183B5F" w:rsidRDefault="00764497" w:rsidP="004062FE">
      <w:pPr>
        <w:spacing w:line="240" w:lineRule="auto"/>
        <w:rPr>
          <w:b/>
          <w:szCs w:val="22"/>
        </w:rPr>
      </w:pPr>
    </w:p>
    <w:p w14:paraId="3CF0C949" w14:textId="77777777" w:rsidR="00764497" w:rsidRPr="00183B5F" w:rsidRDefault="00943743" w:rsidP="004062FE">
      <w:pPr>
        <w:keepNext/>
        <w:spacing w:line="240" w:lineRule="auto"/>
        <w:rPr>
          <w:szCs w:val="22"/>
          <w:u w:val="single"/>
        </w:rPr>
      </w:pPr>
      <w:r w:rsidRPr="00183B5F">
        <w:rPr>
          <w:szCs w:val="22"/>
          <w:u w:val="single"/>
        </w:rPr>
        <w:t>Egyidejű azatioprin/6</w:t>
      </w:r>
      <w:r w:rsidRPr="00183B5F">
        <w:rPr>
          <w:szCs w:val="22"/>
          <w:u w:val="single"/>
        </w:rPr>
        <w:noBreakHyphen/>
        <w:t>merkaptopurin-kezelés</w:t>
      </w:r>
    </w:p>
    <w:p w14:paraId="7C66C790" w14:textId="77777777" w:rsidR="00764497" w:rsidRPr="00183B5F" w:rsidRDefault="00764497" w:rsidP="004062FE">
      <w:pPr>
        <w:keepNext/>
        <w:spacing w:line="240" w:lineRule="auto"/>
        <w:rPr>
          <w:szCs w:val="22"/>
        </w:rPr>
      </w:pPr>
    </w:p>
    <w:p w14:paraId="0E02DB8C" w14:textId="77777777" w:rsidR="00764497" w:rsidRPr="00183B5F" w:rsidRDefault="00943743" w:rsidP="004062FE">
      <w:pPr>
        <w:keepNext/>
        <w:spacing w:line="240" w:lineRule="auto"/>
        <w:rPr>
          <w:szCs w:val="22"/>
        </w:rPr>
      </w:pPr>
      <w:r w:rsidRPr="00183B5F">
        <w:rPr>
          <w:szCs w:val="22"/>
        </w:rPr>
        <w:t>Felnőttkori Crohn</w:t>
      </w:r>
      <w:r w:rsidRPr="00183B5F">
        <w:rPr>
          <w:szCs w:val="22"/>
        </w:rPr>
        <w:noBreakHyphen/>
      </w:r>
      <w:r w:rsidRPr="00183B5F">
        <w:rPr>
          <w:szCs w:val="22"/>
        </w:rPr>
        <w:t>betegségben végzett vizsgálatok során a rosszindulatú daganatokkal és súlyos fertőzésekkel kapcsolatos nemkívánatos események nagyobb gyakoriságát észlelték Humira és azatioprin/6</w:t>
      </w:r>
      <w:r w:rsidRPr="00183B5F">
        <w:rPr>
          <w:szCs w:val="22"/>
        </w:rPr>
        <w:noBreakHyphen/>
        <w:t>merkaptopurin kombinációs kezelés során, mint az önmagában adott Humira</w:t>
      </w:r>
      <w:r w:rsidRPr="00183B5F">
        <w:rPr>
          <w:szCs w:val="22"/>
        </w:rPr>
        <w:noBreakHyphen/>
        <w:t>kezelés esetén.</w:t>
      </w:r>
    </w:p>
    <w:p w14:paraId="1EAD43A2" w14:textId="77777777" w:rsidR="00764497" w:rsidRPr="00183B5F" w:rsidRDefault="00764497">
      <w:pPr>
        <w:pStyle w:val="EMEANormal"/>
        <w:suppressAutoHyphens w:val="0"/>
        <w:rPr>
          <w:szCs w:val="22"/>
          <w:lang w:val="hu-HU"/>
        </w:rPr>
      </w:pPr>
    </w:p>
    <w:p w14:paraId="7808530C" w14:textId="77777777" w:rsidR="00764497" w:rsidRPr="00183B5F" w:rsidRDefault="00943743">
      <w:pPr>
        <w:keepNext/>
        <w:spacing w:line="240" w:lineRule="auto"/>
        <w:rPr>
          <w:szCs w:val="22"/>
          <w:u w:val="single"/>
        </w:rPr>
      </w:pPr>
      <w:r w:rsidRPr="00183B5F">
        <w:rPr>
          <w:szCs w:val="22"/>
          <w:u w:val="single"/>
        </w:rPr>
        <w:t>Feltételezett mellékhatások bejelentése</w:t>
      </w:r>
    </w:p>
    <w:p w14:paraId="7266F236" w14:textId="77777777" w:rsidR="00764497" w:rsidRPr="00183B5F" w:rsidRDefault="00764497">
      <w:pPr>
        <w:keepNext/>
        <w:spacing w:line="240" w:lineRule="auto"/>
        <w:rPr>
          <w:szCs w:val="22"/>
          <w:u w:val="single"/>
        </w:rPr>
      </w:pPr>
    </w:p>
    <w:p w14:paraId="7266EF62" w14:textId="77777777" w:rsidR="00764497" w:rsidRPr="00183B5F" w:rsidRDefault="00943743">
      <w:pPr>
        <w:keepNext/>
        <w:spacing w:line="240" w:lineRule="auto"/>
        <w:rPr>
          <w:szCs w:val="22"/>
        </w:rPr>
      </w:pPr>
      <w:r w:rsidRPr="00183B5F">
        <w:rPr>
          <w:szCs w:val="22"/>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22" w:history="1">
        <w:r w:rsidR="00764497" w:rsidRPr="00183B5F">
          <w:rPr>
            <w:rStyle w:val="Hyperlink"/>
            <w:highlight w:val="lightGray"/>
          </w:rPr>
          <w:t>V. függelékben</w:t>
        </w:r>
      </w:hyperlink>
      <w:r w:rsidRPr="00183B5F">
        <w:rPr>
          <w:highlight w:val="lightGray"/>
        </w:rPr>
        <w:t xml:space="preserve"> található elérhetőségek valamelyikén keresztül</w:t>
      </w:r>
      <w:r w:rsidRPr="00183B5F">
        <w:rPr>
          <w:color w:val="008000"/>
        </w:rPr>
        <w:t>.</w:t>
      </w:r>
    </w:p>
    <w:p w14:paraId="71FA86D9" w14:textId="77777777" w:rsidR="00764497" w:rsidRPr="00183B5F" w:rsidRDefault="00764497" w:rsidP="004062FE">
      <w:pPr>
        <w:spacing w:line="240" w:lineRule="auto"/>
        <w:rPr>
          <w:b/>
          <w:szCs w:val="22"/>
        </w:rPr>
      </w:pPr>
    </w:p>
    <w:p w14:paraId="3314239A" w14:textId="77777777" w:rsidR="00764497" w:rsidRPr="00183B5F" w:rsidRDefault="00943743" w:rsidP="004062FE">
      <w:pPr>
        <w:keepNext/>
        <w:spacing w:line="240" w:lineRule="auto"/>
        <w:rPr>
          <w:b/>
          <w:szCs w:val="22"/>
        </w:rPr>
      </w:pPr>
      <w:r w:rsidRPr="00183B5F">
        <w:rPr>
          <w:b/>
          <w:szCs w:val="22"/>
        </w:rPr>
        <w:t>4.9</w:t>
      </w:r>
      <w:r w:rsidRPr="00183B5F">
        <w:rPr>
          <w:b/>
          <w:szCs w:val="22"/>
        </w:rPr>
        <w:tab/>
        <w:t>Túladagolás</w:t>
      </w:r>
    </w:p>
    <w:p w14:paraId="26A68CA9" w14:textId="77777777" w:rsidR="00764497" w:rsidRPr="00183B5F" w:rsidRDefault="00764497" w:rsidP="004062FE">
      <w:pPr>
        <w:keepNext/>
        <w:spacing w:line="240" w:lineRule="auto"/>
        <w:rPr>
          <w:szCs w:val="22"/>
        </w:rPr>
      </w:pPr>
    </w:p>
    <w:p w14:paraId="5E6EEE55" w14:textId="77777777" w:rsidR="00764497" w:rsidRPr="00183B5F" w:rsidRDefault="00943743" w:rsidP="004062FE">
      <w:pPr>
        <w:keepNext/>
        <w:spacing w:line="240" w:lineRule="auto"/>
        <w:rPr>
          <w:szCs w:val="22"/>
        </w:rPr>
      </w:pPr>
      <w:r w:rsidRPr="00183B5F">
        <w:rPr>
          <w:szCs w:val="22"/>
        </w:rPr>
        <w:t>A klinikai vizsgálatok során nem észlelt</w:t>
      </w:r>
      <w:r w:rsidR="00196BE7" w:rsidRPr="00183B5F">
        <w:rPr>
          <w:szCs w:val="22"/>
        </w:rPr>
        <w:t>é</w:t>
      </w:r>
      <w:r w:rsidRPr="00183B5F">
        <w:rPr>
          <w:szCs w:val="22"/>
        </w:rPr>
        <w:t>k dóziskorlátozó toxicitás jele</w:t>
      </w:r>
      <w:r w:rsidR="00196BE7" w:rsidRPr="00183B5F">
        <w:rPr>
          <w:szCs w:val="22"/>
        </w:rPr>
        <w:t>i</w:t>
      </w:r>
      <w:r w:rsidRPr="00183B5F">
        <w:rPr>
          <w:szCs w:val="22"/>
        </w:rPr>
        <w:t>t. A legmagasabb vizsgált dózis az intravénásan beadott 10 mg</w:t>
      </w:r>
      <w:r w:rsidR="00127A0B" w:rsidRPr="00183B5F">
        <w:rPr>
          <w:szCs w:val="22"/>
        </w:rPr>
        <w:t>/ttkg</w:t>
      </w:r>
      <w:r w:rsidRPr="00183B5F">
        <w:rPr>
          <w:szCs w:val="22"/>
        </w:rPr>
        <w:t>-os dózis többszöröse volt, amely az ajánlott dózis kb.</w:t>
      </w:r>
      <w:r w:rsidR="00BE1F94" w:rsidRPr="00183B5F">
        <w:rPr>
          <w:szCs w:val="22"/>
        </w:rPr>
        <w:t> </w:t>
      </w:r>
      <w:r w:rsidRPr="00183B5F">
        <w:rPr>
          <w:szCs w:val="22"/>
        </w:rPr>
        <w:t>15</w:t>
      </w:r>
      <w:r w:rsidR="00BE1F94" w:rsidRPr="00183B5F">
        <w:rPr>
          <w:szCs w:val="22"/>
        </w:rPr>
        <w:noBreakHyphen/>
      </w:r>
      <w:r w:rsidRPr="00183B5F">
        <w:rPr>
          <w:szCs w:val="22"/>
        </w:rPr>
        <w:t>szörösét teszi ki.</w:t>
      </w:r>
    </w:p>
    <w:p w14:paraId="60BA22E5" w14:textId="77777777" w:rsidR="00764497" w:rsidRPr="00183B5F" w:rsidRDefault="00764497" w:rsidP="004062FE">
      <w:pPr>
        <w:pStyle w:val="EndnoteText"/>
        <w:tabs>
          <w:tab w:val="clear" w:pos="567"/>
          <w:tab w:val="left" w:pos="708"/>
        </w:tabs>
        <w:suppressAutoHyphens/>
        <w:rPr>
          <w:sz w:val="22"/>
          <w:szCs w:val="22"/>
          <w:lang w:val="hu-HU"/>
        </w:rPr>
      </w:pPr>
    </w:p>
    <w:p w14:paraId="5FD99A3C" w14:textId="77777777" w:rsidR="00764497" w:rsidRPr="00183B5F" w:rsidRDefault="00764497" w:rsidP="004062FE">
      <w:pPr>
        <w:spacing w:line="240" w:lineRule="auto"/>
        <w:rPr>
          <w:szCs w:val="22"/>
        </w:rPr>
      </w:pPr>
    </w:p>
    <w:p w14:paraId="39FED0FB" w14:textId="77777777" w:rsidR="00764497" w:rsidRPr="00183B5F" w:rsidRDefault="00943743" w:rsidP="004062FE">
      <w:pPr>
        <w:spacing w:line="240" w:lineRule="auto"/>
        <w:ind w:left="567" w:hanging="567"/>
        <w:rPr>
          <w:b/>
          <w:szCs w:val="22"/>
        </w:rPr>
      </w:pPr>
      <w:r w:rsidRPr="00183B5F">
        <w:rPr>
          <w:b/>
          <w:szCs w:val="22"/>
        </w:rPr>
        <w:t>5.</w:t>
      </w:r>
      <w:r w:rsidRPr="00183B5F">
        <w:rPr>
          <w:b/>
          <w:szCs w:val="22"/>
        </w:rPr>
        <w:tab/>
        <w:t>FARMAKOLÓGIAI TULAJDONSÁGOK</w:t>
      </w:r>
    </w:p>
    <w:p w14:paraId="7FA3F736" w14:textId="77777777" w:rsidR="00764497" w:rsidRPr="00183B5F" w:rsidRDefault="00764497" w:rsidP="004062FE">
      <w:pPr>
        <w:spacing w:line="240" w:lineRule="auto"/>
        <w:rPr>
          <w:szCs w:val="22"/>
        </w:rPr>
      </w:pPr>
    </w:p>
    <w:p w14:paraId="504FBE23" w14:textId="77777777" w:rsidR="00764497" w:rsidRPr="00183B5F" w:rsidRDefault="00943743" w:rsidP="004062FE">
      <w:pPr>
        <w:spacing w:line="240" w:lineRule="auto"/>
        <w:ind w:left="567" w:hanging="567"/>
        <w:rPr>
          <w:b/>
          <w:szCs w:val="22"/>
        </w:rPr>
      </w:pPr>
      <w:r w:rsidRPr="00183B5F">
        <w:rPr>
          <w:b/>
          <w:szCs w:val="22"/>
        </w:rPr>
        <w:t>5.1</w:t>
      </w:r>
      <w:r w:rsidRPr="00183B5F">
        <w:rPr>
          <w:b/>
          <w:szCs w:val="22"/>
        </w:rPr>
        <w:tab/>
        <w:t>Farmakodinámiás tulajdonságok</w:t>
      </w:r>
    </w:p>
    <w:p w14:paraId="1E3E37BB" w14:textId="77777777" w:rsidR="00764497" w:rsidRPr="00183B5F" w:rsidRDefault="00764497" w:rsidP="004062FE">
      <w:pPr>
        <w:spacing w:line="240" w:lineRule="auto"/>
        <w:rPr>
          <w:szCs w:val="22"/>
        </w:rPr>
      </w:pPr>
    </w:p>
    <w:p w14:paraId="53ECD3CE" w14:textId="77777777" w:rsidR="00764497" w:rsidRPr="00183B5F" w:rsidRDefault="00943743" w:rsidP="004062FE">
      <w:pPr>
        <w:spacing w:line="240" w:lineRule="auto"/>
        <w:rPr>
          <w:szCs w:val="22"/>
        </w:rPr>
      </w:pPr>
      <w:r w:rsidRPr="00183B5F">
        <w:rPr>
          <w:szCs w:val="22"/>
        </w:rPr>
        <w:t>Farmakoterápiás csoport: Immunszuppresszánsok, Tumornekrózis</w:t>
      </w:r>
      <w:r w:rsidRPr="00183B5F">
        <w:rPr>
          <w:szCs w:val="22"/>
        </w:rPr>
        <w:noBreakHyphen/>
        <w:t>faktor</w:t>
      </w:r>
      <w:r w:rsidRPr="00183B5F">
        <w:rPr>
          <w:szCs w:val="22"/>
        </w:rPr>
        <w:noBreakHyphen/>
        <w:t>alfa (TNF</w:t>
      </w:r>
      <w:r w:rsidRPr="00183B5F">
        <w:rPr>
          <w:szCs w:val="22"/>
        </w:rPr>
        <w:noBreakHyphen/>
        <w:t>α)</w:t>
      </w:r>
      <w:r w:rsidRPr="00183B5F">
        <w:rPr>
          <w:szCs w:val="22"/>
        </w:rPr>
        <w:noBreakHyphen/>
        <w:t>gátlók</w:t>
      </w:r>
    </w:p>
    <w:p w14:paraId="3F865BA1" w14:textId="77777777" w:rsidR="00764497" w:rsidRPr="00183B5F" w:rsidRDefault="00943743" w:rsidP="004062FE">
      <w:pPr>
        <w:spacing w:line="240" w:lineRule="auto"/>
        <w:rPr>
          <w:szCs w:val="22"/>
        </w:rPr>
      </w:pPr>
      <w:r w:rsidRPr="00183B5F">
        <w:rPr>
          <w:szCs w:val="22"/>
        </w:rPr>
        <w:t>ATC kód: L04AB04</w:t>
      </w:r>
    </w:p>
    <w:p w14:paraId="20760881" w14:textId="77777777" w:rsidR="00764497" w:rsidRPr="00183B5F" w:rsidRDefault="00764497" w:rsidP="004062FE">
      <w:pPr>
        <w:pStyle w:val="EndnoteText"/>
        <w:tabs>
          <w:tab w:val="clear" w:pos="567"/>
          <w:tab w:val="left" w:pos="708"/>
        </w:tabs>
        <w:suppressAutoHyphens/>
        <w:rPr>
          <w:sz w:val="22"/>
          <w:szCs w:val="22"/>
          <w:lang w:val="hu-HU" w:eastAsia="hu-HU"/>
        </w:rPr>
      </w:pPr>
    </w:p>
    <w:p w14:paraId="6B310E9C" w14:textId="77777777" w:rsidR="00764497" w:rsidRPr="00183B5F" w:rsidRDefault="00943743" w:rsidP="004062FE">
      <w:pPr>
        <w:keepNext/>
        <w:spacing w:line="240" w:lineRule="auto"/>
        <w:rPr>
          <w:szCs w:val="22"/>
          <w:u w:val="single"/>
        </w:rPr>
      </w:pPr>
      <w:r w:rsidRPr="00183B5F">
        <w:rPr>
          <w:szCs w:val="22"/>
          <w:u w:val="single"/>
        </w:rPr>
        <w:t>Hatásmechanizmus</w:t>
      </w:r>
    </w:p>
    <w:p w14:paraId="540A5707" w14:textId="77777777" w:rsidR="00764497" w:rsidRPr="00183B5F" w:rsidRDefault="00764497" w:rsidP="004062FE">
      <w:pPr>
        <w:keepNext/>
        <w:spacing w:line="240" w:lineRule="auto"/>
        <w:rPr>
          <w:szCs w:val="22"/>
        </w:rPr>
      </w:pPr>
    </w:p>
    <w:p w14:paraId="2BB99829" w14:textId="77777777" w:rsidR="00764497" w:rsidRPr="00183B5F" w:rsidRDefault="00943743" w:rsidP="004062FE">
      <w:pPr>
        <w:spacing w:line="240" w:lineRule="auto"/>
        <w:rPr>
          <w:szCs w:val="22"/>
        </w:rPr>
      </w:pPr>
      <w:r w:rsidRPr="00183B5F">
        <w:rPr>
          <w:szCs w:val="22"/>
        </w:rPr>
        <w:t>Az adalimumab specifikusan kötődik a TNF</w:t>
      </w:r>
      <w:r w:rsidRPr="00183B5F">
        <w:rPr>
          <w:szCs w:val="22"/>
        </w:rPr>
        <w:noBreakHyphen/>
        <w:t>hez és semlegesíti a TNF biológiai hatását azáltal, hogy megakadályozza a TNF interakcióját a p55 és p75 sejtfelszíni TNF</w:t>
      </w:r>
      <w:r w:rsidR="007F0C9D" w:rsidRPr="00183B5F">
        <w:rPr>
          <w:szCs w:val="22"/>
        </w:rPr>
        <w:noBreakHyphen/>
      </w:r>
      <w:r w:rsidRPr="00183B5F">
        <w:rPr>
          <w:szCs w:val="22"/>
        </w:rPr>
        <w:t>receptorokkal.</w:t>
      </w:r>
    </w:p>
    <w:p w14:paraId="0A0F36F6" w14:textId="77777777" w:rsidR="00764497" w:rsidRPr="00183B5F" w:rsidRDefault="00764497" w:rsidP="004062FE">
      <w:pPr>
        <w:spacing w:line="240" w:lineRule="auto"/>
        <w:rPr>
          <w:szCs w:val="22"/>
        </w:rPr>
      </w:pPr>
    </w:p>
    <w:p w14:paraId="04BC3B96" w14:textId="77777777" w:rsidR="00764497" w:rsidRPr="00183B5F" w:rsidRDefault="00943743" w:rsidP="004062FE">
      <w:pPr>
        <w:spacing w:line="240" w:lineRule="auto"/>
        <w:rPr>
          <w:szCs w:val="22"/>
        </w:rPr>
      </w:pPr>
      <w:r w:rsidRPr="00183B5F">
        <w:rPr>
          <w:szCs w:val="22"/>
        </w:rPr>
        <w:t>Továbbá az adalimumab módosítja azokat a biológiai válaszokat, melyeket a TNF indukál, illetve szabályoz, beleértve a leukocyták vándorlásáért felelős adhéziós molekulák szintjeinek változtatását (ELAM</w:t>
      </w:r>
      <w:r w:rsidRPr="00183B5F">
        <w:rPr>
          <w:szCs w:val="22"/>
        </w:rPr>
        <w:noBreakHyphen/>
        <w:t>1, VCAM</w:t>
      </w:r>
      <w:r w:rsidRPr="00183B5F">
        <w:rPr>
          <w:szCs w:val="22"/>
        </w:rPr>
        <w:noBreakHyphen/>
        <w:t>1 és ICAM</w:t>
      </w:r>
      <w:r w:rsidRPr="00183B5F">
        <w:rPr>
          <w:szCs w:val="22"/>
        </w:rPr>
        <w:noBreakHyphen/>
        <w:t>1, melyek IC</w:t>
      </w:r>
      <w:r w:rsidRPr="00183B5F">
        <w:rPr>
          <w:szCs w:val="22"/>
          <w:vertAlign w:val="subscript"/>
        </w:rPr>
        <w:t>50</w:t>
      </w:r>
      <w:r w:rsidRPr="00183B5F">
        <w:rPr>
          <w:szCs w:val="22"/>
        </w:rPr>
        <w:t xml:space="preserve"> értékei 0,1 – 0,2</w:t>
      </w:r>
      <w:r w:rsidRPr="00183B5F">
        <w:rPr>
          <w:szCs w:val="22"/>
          <w:vertAlign w:val="superscript"/>
        </w:rPr>
        <w:t> </w:t>
      </w:r>
      <w:r w:rsidRPr="00183B5F">
        <w:rPr>
          <w:szCs w:val="22"/>
        </w:rPr>
        <w:t>nM)</w:t>
      </w:r>
      <w:r w:rsidR="0022555B" w:rsidRPr="00183B5F">
        <w:rPr>
          <w:szCs w:val="22"/>
        </w:rPr>
        <w:t>.</w:t>
      </w:r>
    </w:p>
    <w:p w14:paraId="44469028" w14:textId="77777777" w:rsidR="00764497" w:rsidRPr="00183B5F" w:rsidRDefault="00764497" w:rsidP="004062FE">
      <w:pPr>
        <w:spacing w:line="240" w:lineRule="auto"/>
        <w:rPr>
          <w:szCs w:val="22"/>
          <w:u w:val="single"/>
        </w:rPr>
      </w:pPr>
    </w:p>
    <w:p w14:paraId="62151DE1" w14:textId="77777777" w:rsidR="00764497" w:rsidRPr="00183B5F" w:rsidRDefault="00943743" w:rsidP="004062FE">
      <w:pPr>
        <w:keepNext/>
        <w:spacing w:line="240" w:lineRule="auto"/>
        <w:rPr>
          <w:szCs w:val="22"/>
          <w:u w:val="single"/>
        </w:rPr>
      </w:pPr>
      <w:r w:rsidRPr="00183B5F">
        <w:rPr>
          <w:szCs w:val="22"/>
          <w:u w:val="single"/>
        </w:rPr>
        <w:t>Farmakodinámiás hatások</w:t>
      </w:r>
    </w:p>
    <w:p w14:paraId="5F28284A" w14:textId="77777777" w:rsidR="00764497" w:rsidRPr="00183B5F" w:rsidRDefault="00764497" w:rsidP="004062FE">
      <w:pPr>
        <w:pStyle w:val="EndnoteText"/>
        <w:keepNext/>
        <w:tabs>
          <w:tab w:val="clear" w:pos="567"/>
          <w:tab w:val="left" w:pos="708"/>
        </w:tabs>
        <w:suppressAutoHyphens/>
        <w:rPr>
          <w:sz w:val="22"/>
          <w:szCs w:val="22"/>
          <w:lang w:val="hu-HU" w:eastAsia="hu-HU"/>
        </w:rPr>
      </w:pPr>
    </w:p>
    <w:p w14:paraId="229E79C6" w14:textId="77777777" w:rsidR="00764497" w:rsidRPr="00183B5F" w:rsidRDefault="00943743" w:rsidP="004062FE">
      <w:pPr>
        <w:keepNext/>
        <w:spacing w:line="240" w:lineRule="auto"/>
        <w:rPr>
          <w:szCs w:val="22"/>
        </w:rPr>
      </w:pPr>
      <w:r w:rsidRPr="00183B5F">
        <w:rPr>
          <w:szCs w:val="22"/>
        </w:rPr>
        <w:t>A rheumatoid arthritisben szenvedő betegek Humira</w:t>
      </w:r>
      <w:r w:rsidRPr="00183B5F">
        <w:rPr>
          <w:szCs w:val="22"/>
        </w:rPr>
        <w:noBreakHyphen/>
        <w:t>val való kezelését követően gyors csökkenés tapasztalható az akutfázis</w:t>
      </w:r>
      <w:r w:rsidR="00F4121D" w:rsidRPr="00183B5F">
        <w:rPr>
          <w:szCs w:val="22"/>
        </w:rPr>
        <w:t>-</w:t>
      </w:r>
      <w:r w:rsidRPr="00183B5F">
        <w:rPr>
          <w:szCs w:val="22"/>
        </w:rPr>
        <w:t>fehérjék (C</w:t>
      </w:r>
      <w:r w:rsidR="0022555B" w:rsidRPr="00183B5F">
        <w:rPr>
          <w:szCs w:val="22"/>
        </w:rPr>
        <w:noBreakHyphen/>
      </w:r>
      <w:r w:rsidRPr="00183B5F">
        <w:rPr>
          <w:szCs w:val="22"/>
        </w:rPr>
        <w:t>reaktív protein</w:t>
      </w:r>
      <w:r w:rsidR="0022555B" w:rsidRPr="00183B5F">
        <w:rPr>
          <w:szCs w:val="22"/>
        </w:rPr>
        <w:t xml:space="preserve"> </w:t>
      </w:r>
      <w:r w:rsidRPr="00183B5F">
        <w:rPr>
          <w:szCs w:val="22"/>
        </w:rPr>
        <w:noBreakHyphen/>
      </w:r>
      <w:r w:rsidR="0022555B" w:rsidRPr="00183B5F">
        <w:rPr>
          <w:szCs w:val="22"/>
        </w:rPr>
        <w:t xml:space="preserve"> </w:t>
      </w:r>
      <w:r w:rsidRPr="00183B5F">
        <w:rPr>
          <w:szCs w:val="22"/>
        </w:rPr>
        <w:t>CRP), a süllyedés, illetve a citokinek (IL</w:t>
      </w:r>
      <w:r w:rsidRPr="00183B5F">
        <w:rPr>
          <w:szCs w:val="22"/>
        </w:rPr>
        <w:noBreakHyphen/>
        <w:t>6) szintjeiben, összehasonlítva a kezelés előtti kiindulási értékekkel. A porcszövet pusztulását eredményező szöveti remodelingért felelős matrix metalloproteinázok (MMP</w:t>
      </w:r>
      <w:r w:rsidRPr="00183B5F">
        <w:rPr>
          <w:szCs w:val="22"/>
        </w:rPr>
        <w:noBreakHyphen/>
        <w:t>1 és MMP</w:t>
      </w:r>
      <w:r w:rsidRPr="00183B5F">
        <w:rPr>
          <w:szCs w:val="22"/>
        </w:rPr>
        <w:noBreakHyphen/>
        <w:t>3) szérumszintjeiben is csökkenés tapasztalható a Humira alkalmazása után. A Humira</w:t>
      </w:r>
      <w:r w:rsidRPr="00183B5F">
        <w:rPr>
          <w:szCs w:val="22"/>
        </w:rPr>
        <w:noBreakHyphen/>
        <w:t>val kezelt betegeknél rendszerint a krónikus gyulladás hematológiai paramétereiben is javulás tapasztalh</w:t>
      </w:r>
      <w:r w:rsidRPr="00183B5F">
        <w:rPr>
          <w:szCs w:val="22"/>
        </w:rPr>
        <w:t>ató.</w:t>
      </w:r>
    </w:p>
    <w:p w14:paraId="34B26112" w14:textId="77777777" w:rsidR="00764497" w:rsidRPr="00183B5F" w:rsidRDefault="00764497" w:rsidP="004062FE">
      <w:pPr>
        <w:spacing w:line="240" w:lineRule="auto"/>
        <w:rPr>
          <w:b/>
          <w:szCs w:val="22"/>
        </w:rPr>
      </w:pPr>
    </w:p>
    <w:p w14:paraId="3A42B599" w14:textId="77777777" w:rsidR="00764497" w:rsidRPr="00183B5F" w:rsidRDefault="00943743" w:rsidP="004062FE">
      <w:pPr>
        <w:spacing w:line="240" w:lineRule="auto"/>
        <w:rPr>
          <w:szCs w:val="22"/>
        </w:rPr>
      </w:pPr>
      <w:r w:rsidRPr="00183B5F">
        <w:rPr>
          <w:szCs w:val="22"/>
        </w:rPr>
        <w:t>Polyarticularis juvenilis idiopathiás arthritisben, Crohn</w:t>
      </w:r>
      <w:r w:rsidRPr="00183B5F">
        <w:rPr>
          <w:szCs w:val="22"/>
        </w:rPr>
        <w:noBreakHyphen/>
        <w:t>betegségben</w:t>
      </w:r>
      <w:r w:rsidR="0022555B" w:rsidRPr="00183B5F">
        <w:rPr>
          <w:szCs w:val="22"/>
        </w:rPr>
        <w:t>,</w:t>
      </w:r>
      <w:r w:rsidRPr="00183B5F">
        <w:rPr>
          <w:szCs w:val="22"/>
        </w:rPr>
        <w:t xml:space="preserve"> colitis ulcerosában és hidradenitis suppurativában is a CRP</w:t>
      </w:r>
      <w:r w:rsidRPr="00183B5F">
        <w:rPr>
          <w:szCs w:val="22"/>
        </w:rPr>
        <w:noBreakHyphen/>
        <w:t>szint gyors csökkenését figyelték meg a Humira</w:t>
      </w:r>
      <w:r w:rsidRPr="00183B5F">
        <w:rPr>
          <w:szCs w:val="22"/>
        </w:rPr>
        <w:noBreakHyphen/>
        <w:t>kezelést követően. Crohn</w:t>
      </w:r>
      <w:r w:rsidRPr="00183B5F">
        <w:rPr>
          <w:szCs w:val="22"/>
        </w:rPr>
        <w:noBreakHyphen/>
        <w:t>betegségben szenvedő betegeknél a gyulladásos markereket expresszáló sejtek számának csökkenését figyelték meg a vastagbélben, beleértve a TNFα csökkent expresszióját is. A bélnyálkahártya endoszkópos vizsgálatai az adalimumabbal kezelt betegeknél a nyálkahártya gyógyulására utaló bizonyítékot mutattak.</w:t>
      </w:r>
    </w:p>
    <w:p w14:paraId="2C3D820E" w14:textId="77777777" w:rsidR="00764497" w:rsidRPr="00183B5F" w:rsidRDefault="00764497" w:rsidP="004062FE">
      <w:pPr>
        <w:spacing w:line="240" w:lineRule="auto"/>
        <w:rPr>
          <w:szCs w:val="22"/>
        </w:rPr>
      </w:pPr>
    </w:p>
    <w:p w14:paraId="4EB313E6" w14:textId="77777777" w:rsidR="00764497" w:rsidRPr="00183B5F" w:rsidRDefault="00943743" w:rsidP="004062FE">
      <w:pPr>
        <w:keepNext/>
        <w:spacing w:line="240" w:lineRule="auto"/>
        <w:rPr>
          <w:szCs w:val="22"/>
          <w:u w:val="single"/>
        </w:rPr>
      </w:pPr>
      <w:r w:rsidRPr="00183B5F">
        <w:rPr>
          <w:szCs w:val="22"/>
          <w:u w:val="single"/>
        </w:rPr>
        <w:t xml:space="preserve">Klinikai </w:t>
      </w:r>
      <w:r w:rsidRPr="00183B5F">
        <w:rPr>
          <w:noProof/>
          <w:szCs w:val="24"/>
          <w:u w:val="single"/>
        </w:rPr>
        <w:t>hatásosság és biztonságosság</w:t>
      </w:r>
    </w:p>
    <w:p w14:paraId="470F3CF7" w14:textId="77777777" w:rsidR="00764497" w:rsidRPr="00183B5F" w:rsidRDefault="00764497" w:rsidP="004062FE">
      <w:pPr>
        <w:keepNext/>
        <w:spacing w:line="240" w:lineRule="auto"/>
        <w:rPr>
          <w:szCs w:val="22"/>
          <w:u w:val="single"/>
        </w:rPr>
      </w:pPr>
    </w:p>
    <w:p w14:paraId="2EA2A47A" w14:textId="77777777" w:rsidR="00B93237" w:rsidRPr="00183B5F" w:rsidRDefault="00943743" w:rsidP="00B93237">
      <w:pPr>
        <w:keepNext/>
        <w:spacing w:line="240" w:lineRule="auto"/>
        <w:rPr>
          <w:i/>
          <w:szCs w:val="22"/>
        </w:rPr>
      </w:pPr>
      <w:r w:rsidRPr="00183B5F">
        <w:rPr>
          <w:i/>
          <w:szCs w:val="22"/>
        </w:rPr>
        <w:t>Rheumatoid arthritis</w:t>
      </w:r>
    </w:p>
    <w:p w14:paraId="308CA082" w14:textId="77777777" w:rsidR="00B93237" w:rsidRPr="00183B5F" w:rsidRDefault="00B93237" w:rsidP="00B93237">
      <w:pPr>
        <w:keepNext/>
        <w:spacing w:line="240" w:lineRule="auto"/>
        <w:rPr>
          <w:szCs w:val="22"/>
          <w:u w:val="single"/>
        </w:rPr>
      </w:pPr>
    </w:p>
    <w:p w14:paraId="1DF659F2" w14:textId="77777777" w:rsidR="00B93237" w:rsidRPr="00183B5F" w:rsidRDefault="00943743" w:rsidP="00B93237">
      <w:pPr>
        <w:keepNext/>
        <w:spacing w:line="240" w:lineRule="auto"/>
        <w:rPr>
          <w:szCs w:val="22"/>
        </w:rPr>
      </w:pPr>
      <w:r w:rsidRPr="00183B5F">
        <w:rPr>
          <w:szCs w:val="22"/>
        </w:rPr>
        <w:t>A Humira</w:t>
      </w:r>
      <w:r w:rsidRPr="00183B5F">
        <w:rPr>
          <w:szCs w:val="22"/>
        </w:rPr>
        <w:noBreakHyphen/>
      </w:r>
      <w:r w:rsidRPr="00183B5F">
        <w:rPr>
          <w:szCs w:val="22"/>
        </w:rPr>
        <w:t xml:space="preserve">t több mint 3000 betegen vizsgálták az összes rheumatoid arthritisben folytatott klinikai vizsgálat során. A Humira hatásosságát és biztonságosságát öt randomizált, </w:t>
      </w:r>
      <w:r w:rsidR="00E5381A" w:rsidRPr="00183B5F">
        <w:rPr>
          <w:szCs w:val="22"/>
        </w:rPr>
        <w:t>kettős vak</w:t>
      </w:r>
      <w:r w:rsidRPr="00183B5F">
        <w:rPr>
          <w:szCs w:val="22"/>
        </w:rPr>
        <w:t xml:space="preserve"> és </w:t>
      </w:r>
      <w:r w:rsidR="008511AE" w:rsidRPr="00183B5F">
        <w:rPr>
          <w:szCs w:val="22"/>
        </w:rPr>
        <w:t>megfelelő kontrollt alka</w:t>
      </w:r>
      <w:r w:rsidR="00A32269" w:rsidRPr="00183B5F">
        <w:rPr>
          <w:szCs w:val="22"/>
        </w:rPr>
        <w:t>l</w:t>
      </w:r>
      <w:r w:rsidR="008511AE" w:rsidRPr="00183B5F">
        <w:rPr>
          <w:szCs w:val="22"/>
        </w:rPr>
        <w:t>mazó</w:t>
      </w:r>
      <w:r w:rsidRPr="00183B5F">
        <w:rPr>
          <w:szCs w:val="22"/>
        </w:rPr>
        <w:t xml:space="preserve"> vizsgálat során vizsgálták. Néhány beteg akár 120 hónapig tartó kezelést kapott. A beadás helyén fellépő fájdalmat a Humira 40 mg/0,4 ml esetén két randomizált, aktív kontrollos, egyszer vak, két időszakból álló keresztezett vizsgálatban vizsgálták.</w:t>
      </w:r>
    </w:p>
    <w:p w14:paraId="0EE54DAB" w14:textId="77777777" w:rsidR="00B93237" w:rsidRPr="00183B5F" w:rsidRDefault="00B93237" w:rsidP="00B93237">
      <w:pPr>
        <w:spacing w:line="240" w:lineRule="auto"/>
        <w:rPr>
          <w:szCs w:val="22"/>
        </w:rPr>
      </w:pPr>
    </w:p>
    <w:p w14:paraId="0DE147CE" w14:textId="77777777" w:rsidR="00B93237" w:rsidRPr="00183B5F" w:rsidRDefault="00943743" w:rsidP="00B93237">
      <w:pPr>
        <w:spacing w:line="240" w:lineRule="auto"/>
        <w:rPr>
          <w:szCs w:val="22"/>
        </w:rPr>
      </w:pPr>
      <w:r w:rsidRPr="00183B5F">
        <w:rPr>
          <w:szCs w:val="22"/>
        </w:rPr>
        <w:t xml:space="preserve">Az RA I vizsgálatban 271 beteget értékeltek. A résztvevők mind </w:t>
      </w:r>
      <w:r w:rsidR="00297FBD" w:rsidRPr="00183B5F">
        <w:rPr>
          <w:szCs w:val="22"/>
        </w:rPr>
        <w:t xml:space="preserve">közepesen súlyos </w:t>
      </w:r>
      <w:r w:rsidRPr="00183B5F">
        <w:rPr>
          <w:szCs w:val="22"/>
        </w:rPr>
        <w:noBreakHyphen/>
        <w:t>súlyos aktív rheumatoid arthritisben szenvedő 18 éves és idősebb betegek voltak, akiknél legalább egy betegséget befolyásoló reumaellenes gyógyszer nem járt eredménnyel</w:t>
      </w:r>
      <w:r w:rsidR="00006163" w:rsidRPr="00183B5F">
        <w:rPr>
          <w:szCs w:val="22"/>
        </w:rPr>
        <w:t>,</w:t>
      </w:r>
      <w:r w:rsidRPr="00183B5F">
        <w:rPr>
          <w:szCs w:val="22"/>
        </w:rPr>
        <w:t xml:space="preserve"> és korábban a metotrexát heti 12,5</w:t>
      </w:r>
      <w:r w:rsidRPr="00183B5F">
        <w:rPr>
          <w:szCs w:val="22"/>
        </w:rPr>
        <w:noBreakHyphen/>
        <w:t>25 mg</w:t>
      </w:r>
      <w:r w:rsidR="00E5381A" w:rsidRPr="00183B5F">
        <w:rPr>
          <w:szCs w:val="22"/>
        </w:rPr>
        <w:noBreakHyphen/>
      </w:r>
      <w:r w:rsidRPr="00183B5F">
        <w:rPr>
          <w:szCs w:val="22"/>
        </w:rPr>
        <w:t>os (10 mg metotrexát intoleran</w:t>
      </w:r>
      <w:r w:rsidR="0022555B" w:rsidRPr="00183B5F">
        <w:rPr>
          <w:szCs w:val="22"/>
        </w:rPr>
        <w:t>c</w:t>
      </w:r>
      <w:r w:rsidRPr="00183B5F">
        <w:rPr>
          <w:szCs w:val="22"/>
        </w:rPr>
        <w:t>ia esetén) dózisaival sem lehetett kielégítő hatást elérni, és akiknél a metotrexát dózisa a vizsgálatot megelőzően stabilan heti 10</w:t>
      </w:r>
      <w:r w:rsidRPr="00183B5F">
        <w:rPr>
          <w:szCs w:val="22"/>
        </w:rPr>
        <w:noBreakHyphen/>
        <w:t>25 mg volt. A vizsgálat során 20, 40 illetve 80 mg Humira</w:t>
      </w:r>
      <w:r w:rsidRPr="00183B5F">
        <w:rPr>
          <w:szCs w:val="22"/>
        </w:rPr>
        <w:noBreakHyphen/>
        <w:t>t vagy placebót kaptak minden második héten, 24 héten át.</w:t>
      </w:r>
    </w:p>
    <w:p w14:paraId="168C6389" w14:textId="77777777" w:rsidR="00B93237" w:rsidRPr="00183B5F" w:rsidRDefault="00B93237" w:rsidP="00B93237">
      <w:pPr>
        <w:spacing w:line="240" w:lineRule="auto"/>
        <w:rPr>
          <w:szCs w:val="22"/>
        </w:rPr>
      </w:pPr>
    </w:p>
    <w:p w14:paraId="22D32D01" w14:textId="77777777" w:rsidR="00B93237" w:rsidRPr="00183B5F" w:rsidRDefault="00943743" w:rsidP="00B93237">
      <w:pPr>
        <w:spacing w:line="240" w:lineRule="auto"/>
        <w:rPr>
          <w:szCs w:val="22"/>
        </w:rPr>
      </w:pPr>
      <w:r w:rsidRPr="00183B5F">
        <w:rPr>
          <w:szCs w:val="22"/>
        </w:rPr>
        <w:t xml:space="preserve">Az RA II vizsgálatban 544 beteget értékeltek. A betegek mind </w:t>
      </w:r>
      <w:r w:rsidR="00297FBD" w:rsidRPr="00183B5F">
        <w:rPr>
          <w:szCs w:val="22"/>
        </w:rPr>
        <w:t xml:space="preserve">közepesen súlyos </w:t>
      </w:r>
      <w:r w:rsidRPr="00183B5F">
        <w:rPr>
          <w:szCs w:val="22"/>
        </w:rPr>
        <w:noBreakHyphen/>
        <w:t>súlyos rheumatoid arthritisben szenvedtek, 18 évesek vagy annál idősebbek voltak és esetükben legalább egy betegséget befolyásoló reumaellenes gyógyszer alkalmazása nem járt eredménnyel. 20</w:t>
      </w:r>
      <w:r w:rsidR="00006163" w:rsidRPr="00183B5F">
        <w:rPr>
          <w:szCs w:val="22"/>
        </w:rPr>
        <w:t>,</w:t>
      </w:r>
      <w:r w:rsidRPr="00183B5F">
        <w:rPr>
          <w:szCs w:val="22"/>
        </w:rPr>
        <w:t xml:space="preserve"> illetve 40 mg Humira</w:t>
      </w:r>
      <w:r w:rsidRPr="00183B5F">
        <w:rPr>
          <w:szCs w:val="22"/>
        </w:rPr>
        <w:noBreakHyphen/>
        <w:t>t kaptak subcutan injekció formájában minden második héten, placebóval az alternáló heteken vagy minden héten 26 héten át; illetve placebót kaptak minden héten azonos időtartamban. Egyéb betegséget befolyásoló reumaellenes gyógyszert nem kaphattak.</w:t>
      </w:r>
    </w:p>
    <w:p w14:paraId="1A72359D" w14:textId="77777777" w:rsidR="00B93237" w:rsidRPr="00183B5F" w:rsidRDefault="00B93237" w:rsidP="00B93237">
      <w:pPr>
        <w:spacing w:line="240" w:lineRule="auto"/>
        <w:rPr>
          <w:szCs w:val="22"/>
        </w:rPr>
      </w:pPr>
    </w:p>
    <w:p w14:paraId="2A7F8EFE" w14:textId="77777777" w:rsidR="00B93237" w:rsidRPr="00183B5F" w:rsidRDefault="00943743" w:rsidP="00B93237">
      <w:pPr>
        <w:pStyle w:val="BodyText"/>
        <w:spacing w:line="240" w:lineRule="auto"/>
        <w:rPr>
          <w:szCs w:val="22"/>
          <w:lang w:val="hu-HU" w:eastAsia="hu-HU"/>
        </w:rPr>
      </w:pPr>
      <w:r w:rsidRPr="00183B5F">
        <w:rPr>
          <w:lang w:val="hu-HU"/>
        </w:rPr>
        <w:t>Az RA</w:t>
      </w:r>
      <w:r w:rsidRPr="00183B5F">
        <w:rPr>
          <w:bCs/>
          <w:iCs/>
          <w:szCs w:val="22"/>
          <w:lang w:val="hu-HU"/>
        </w:rPr>
        <w:t> </w:t>
      </w:r>
      <w:r w:rsidRPr="00183B5F">
        <w:rPr>
          <w:lang w:val="hu-HU"/>
        </w:rPr>
        <w:t>III vizsgálatban 619</w:t>
      </w:r>
      <w:r w:rsidRPr="00183B5F">
        <w:rPr>
          <w:bCs/>
          <w:iCs/>
          <w:szCs w:val="22"/>
          <w:lang w:val="hu-HU"/>
        </w:rPr>
        <w:t> </w:t>
      </w:r>
      <w:r w:rsidRPr="00183B5F">
        <w:rPr>
          <w:lang w:val="hu-HU"/>
        </w:rPr>
        <w:t xml:space="preserve">közepesen súlyos és súlyos aktív rheumatoid arthritisben szenvedő, </w:t>
      </w:r>
      <w:r w:rsidRPr="00183B5F">
        <w:rPr>
          <w:rFonts w:ascii="Symbol" w:hAnsi="Symbol"/>
          <w:lang w:val="hu-HU"/>
        </w:rPr>
        <w:sym w:font="Symbol" w:char="F0B3"/>
      </w:r>
      <w:r w:rsidRPr="00183B5F">
        <w:rPr>
          <w:szCs w:val="22"/>
          <w:lang w:val="hu-HU"/>
        </w:rPr>
        <w:t> 18</w:t>
      </w:r>
      <w:r w:rsidR="00006163" w:rsidRPr="00183B5F">
        <w:rPr>
          <w:szCs w:val="22"/>
          <w:lang w:val="hu-HU"/>
        </w:rPr>
        <w:t> </w:t>
      </w:r>
      <w:r w:rsidRPr="00183B5F">
        <w:rPr>
          <w:szCs w:val="22"/>
          <w:lang w:val="hu-HU"/>
        </w:rPr>
        <w:t>éves beteget értékeltek, akik nem megfelelően reagáltak a 12,5 – 25 mg közötti metotrexát dózisokra, vagy nem tolerálták a hetenkénti 10 mg metotrexátot</w:t>
      </w:r>
      <w:r w:rsidRPr="00183B5F">
        <w:rPr>
          <w:lang w:val="hu-HU"/>
        </w:rPr>
        <w:t>. Ebben a vizsgálatban a betegeket három csoportra osztották. Az első csoportba tartozók placebo injekciót kaptak minden héten 52 héten át. A második csoport tagjai 20 mg Humira</w:t>
      </w:r>
      <w:r w:rsidRPr="00183B5F">
        <w:rPr>
          <w:bCs/>
          <w:iCs/>
          <w:szCs w:val="22"/>
          <w:lang w:val="hu-HU"/>
        </w:rPr>
        <w:noBreakHyphen/>
      </w:r>
      <w:r w:rsidRPr="00183B5F">
        <w:rPr>
          <w:lang w:val="hu-HU"/>
        </w:rPr>
        <w:t>t kaptak hetente</w:t>
      </w:r>
      <w:r w:rsidR="00006163" w:rsidRPr="00183B5F">
        <w:rPr>
          <w:lang w:val="hu-HU"/>
        </w:rPr>
        <w:t>,</w:t>
      </w:r>
      <w:r w:rsidRPr="00183B5F">
        <w:rPr>
          <w:lang w:val="hu-HU"/>
        </w:rPr>
        <w:t xml:space="preserve"> 52 héten át. A harmadik csoport 40 mg Humira</w:t>
      </w:r>
      <w:r w:rsidRPr="00183B5F">
        <w:rPr>
          <w:bCs/>
          <w:iCs/>
          <w:szCs w:val="22"/>
          <w:lang w:val="hu-HU"/>
        </w:rPr>
        <w:noBreakHyphen/>
      </w:r>
      <w:r w:rsidRPr="00183B5F">
        <w:rPr>
          <w:lang w:val="hu-HU"/>
        </w:rPr>
        <w:t xml:space="preserve">t kapott minden második héten és placebo injekciót az alternáló heteken. </w:t>
      </w:r>
      <w:r w:rsidRPr="00183B5F">
        <w:rPr>
          <w:bCs/>
          <w:iCs/>
          <w:szCs w:val="22"/>
          <w:lang w:val="hu-HU"/>
        </w:rPr>
        <w:t>Az első 52 hetes kezelést</w:t>
      </w:r>
      <w:r w:rsidRPr="00183B5F">
        <w:rPr>
          <w:lang w:val="hu-HU"/>
        </w:rPr>
        <w:t xml:space="preserve"> követően </w:t>
      </w:r>
      <w:r w:rsidRPr="00183B5F">
        <w:rPr>
          <w:bCs/>
          <w:iCs/>
          <w:szCs w:val="22"/>
          <w:lang w:val="hu-HU"/>
        </w:rPr>
        <w:t>457 </w:t>
      </w:r>
      <w:r w:rsidRPr="00183B5F">
        <w:rPr>
          <w:lang w:val="hu-HU"/>
        </w:rPr>
        <w:t>beteget egy nyílt, kiterjesztett fáz</w:t>
      </w:r>
      <w:r w:rsidR="0022555B" w:rsidRPr="00183B5F">
        <w:rPr>
          <w:lang w:val="hu-HU"/>
        </w:rPr>
        <w:t>i</w:t>
      </w:r>
      <w:r w:rsidRPr="00183B5F">
        <w:rPr>
          <w:lang w:val="hu-HU"/>
        </w:rPr>
        <w:t>sba választották be, melynek során kéthetente 40 mg Humira</w:t>
      </w:r>
      <w:r w:rsidRPr="00183B5F">
        <w:rPr>
          <w:bCs/>
          <w:iCs/>
          <w:szCs w:val="22"/>
          <w:lang w:val="hu-HU"/>
        </w:rPr>
        <w:noBreakHyphen/>
      </w:r>
      <w:r w:rsidRPr="00183B5F">
        <w:rPr>
          <w:lang w:val="hu-HU"/>
        </w:rPr>
        <w:t>t</w:t>
      </w:r>
      <w:r w:rsidRPr="00183B5F">
        <w:rPr>
          <w:bCs/>
          <w:iCs/>
          <w:szCs w:val="22"/>
          <w:lang w:val="hu-HU"/>
        </w:rPr>
        <w:t>/ metotrexátot</w:t>
      </w:r>
      <w:r w:rsidRPr="00183B5F">
        <w:rPr>
          <w:lang w:val="hu-HU"/>
        </w:rPr>
        <w:t xml:space="preserve"> kaptak, legfeljebb 10 évig.</w:t>
      </w:r>
    </w:p>
    <w:p w14:paraId="7A9D80A2" w14:textId="77777777" w:rsidR="00B93237" w:rsidRPr="00183B5F" w:rsidRDefault="00B93237" w:rsidP="00B93237">
      <w:pPr>
        <w:spacing w:line="240" w:lineRule="auto"/>
        <w:rPr>
          <w:szCs w:val="22"/>
        </w:rPr>
      </w:pPr>
    </w:p>
    <w:p w14:paraId="075CC94E" w14:textId="77777777" w:rsidR="00B93237" w:rsidRPr="00183B5F" w:rsidRDefault="00943743" w:rsidP="00B93237">
      <w:pPr>
        <w:spacing w:line="240" w:lineRule="auto"/>
        <w:rPr>
          <w:szCs w:val="22"/>
        </w:rPr>
      </w:pPr>
      <w:r w:rsidRPr="00183B5F">
        <w:rPr>
          <w:szCs w:val="22"/>
        </w:rPr>
        <w:t>Az RA IV vizsgálat elsősorban a kezelés biztonságosságát volt hivatott felmérni. Ebbe a vizsgálatba 636 </w:t>
      </w:r>
      <w:r w:rsidR="006E6466" w:rsidRPr="00183B5F">
        <w:rPr>
          <w:szCs w:val="22"/>
        </w:rPr>
        <w:t xml:space="preserve">közepesen súlyos </w:t>
      </w:r>
      <w:r w:rsidRPr="00183B5F">
        <w:rPr>
          <w:szCs w:val="22"/>
        </w:rPr>
        <w:noBreakHyphen/>
        <w:t>súlyos rheumatoid arthritisben szenvedő, 18 éves és idősebb beteget vontak be. A vizsgálatban részt vevő betegek vagy soha nem szedtek betegséget befolyásoló reumaellenes szereket, vagy a korábban alkalmazott anti</w:t>
      </w:r>
      <w:r w:rsidRPr="00183B5F">
        <w:rPr>
          <w:szCs w:val="22"/>
        </w:rPr>
        <w:noBreakHyphen/>
        <w:t>rheumás kezelésüket folytatták, ha a kezelés legalább 28 napig változatlan volt. A kezelések metotrexát, leflunomid, hidroxiklorokin, szulfaszalazin és/vagy aranysók alkalmazását foglalták magukba. A betegeket 40 mg Humira vagy placebo adására randomizálták, a kezelést minden más</w:t>
      </w:r>
      <w:r w:rsidRPr="00183B5F">
        <w:rPr>
          <w:szCs w:val="22"/>
        </w:rPr>
        <w:t>odik héten 24 héten át kapták.</w:t>
      </w:r>
    </w:p>
    <w:p w14:paraId="0DA371F5" w14:textId="77777777" w:rsidR="00B93237" w:rsidRPr="00183B5F" w:rsidRDefault="00B93237" w:rsidP="00B93237">
      <w:pPr>
        <w:spacing w:line="240" w:lineRule="auto"/>
        <w:rPr>
          <w:szCs w:val="22"/>
        </w:rPr>
      </w:pPr>
    </w:p>
    <w:p w14:paraId="52577575" w14:textId="77777777" w:rsidR="00B93237" w:rsidRPr="00183B5F" w:rsidRDefault="00943743" w:rsidP="00B93237">
      <w:pPr>
        <w:spacing w:line="240" w:lineRule="auto"/>
        <w:rPr>
          <w:szCs w:val="22"/>
        </w:rPr>
      </w:pPr>
      <w:r w:rsidRPr="00183B5F">
        <w:rPr>
          <w:szCs w:val="22"/>
        </w:rPr>
        <w:t>Az RA V vizsgálatban felnőtt, 799 </w:t>
      </w:r>
      <w:r w:rsidR="006E6466" w:rsidRPr="00183B5F">
        <w:rPr>
          <w:szCs w:val="22"/>
        </w:rPr>
        <w:t xml:space="preserve">közepesen súlyos </w:t>
      </w:r>
      <w:r w:rsidRPr="00183B5F">
        <w:rPr>
          <w:szCs w:val="22"/>
        </w:rPr>
        <w:noBreakHyphen/>
        <w:t>súlyos, aktív</w:t>
      </w:r>
      <w:r w:rsidR="005C406C" w:rsidRPr="00183B5F">
        <w:rPr>
          <w:szCs w:val="22"/>
        </w:rPr>
        <w:t>,</w:t>
      </w:r>
      <w:r w:rsidRPr="00183B5F">
        <w:rPr>
          <w:szCs w:val="22"/>
        </w:rPr>
        <w:t xml:space="preserve"> korai (a betegség átlagos fennállási ideje kevesebb mint 9 hónap) rheumatoid arthritisben szenvedő, metotrexáttal még nem kezelt beteget vizsgáltak. A vizsgálat 104 hétig tartó időszaka alatt a kéthetente egyszer metotrexát</w:t>
      </w:r>
      <w:r w:rsidR="005C406C" w:rsidRPr="00183B5F">
        <w:rPr>
          <w:szCs w:val="22"/>
        </w:rPr>
        <w:t>-</w:t>
      </w:r>
      <w:r w:rsidRPr="00183B5F">
        <w:rPr>
          <w:szCs w:val="22"/>
        </w:rPr>
        <w:t>kombinációban adott 40 mg Humira, 40 mg Humira</w:t>
      </w:r>
      <w:r w:rsidR="005C406C" w:rsidRPr="00183B5F">
        <w:rPr>
          <w:szCs w:val="22"/>
        </w:rPr>
        <w:t>-</w:t>
      </w:r>
      <w:r w:rsidRPr="00183B5F">
        <w:rPr>
          <w:szCs w:val="22"/>
        </w:rPr>
        <w:t xml:space="preserve">monoterápia, illetve </w:t>
      </w:r>
      <w:r w:rsidR="001A6E66" w:rsidRPr="00183B5F">
        <w:rPr>
          <w:szCs w:val="22"/>
        </w:rPr>
        <w:t>metotrexát-mono</w:t>
      </w:r>
      <w:r w:rsidRPr="00183B5F">
        <w:rPr>
          <w:szCs w:val="22"/>
        </w:rPr>
        <w:t>terápia hatását vizsgálták arra vonatkozóan, hogy a betegség okozta jelek és tünetek mérséklődnek-e, illetve reumatoid arthritisb</w:t>
      </w:r>
      <w:r w:rsidR="0022555B" w:rsidRPr="00183B5F">
        <w:rPr>
          <w:szCs w:val="22"/>
        </w:rPr>
        <w:t>e</w:t>
      </w:r>
      <w:r w:rsidRPr="00183B5F">
        <w:rPr>
          <w:szCs w:val="22"/>
        </w:rPr>
        <w:t>n az ízületi károsodás előrehaladásának fo</w:t>
      </w:r>
      <w:r w:rsidRPr="00183B5F">
        <w:rPr>
          <w:szCs w:val="22"/>
        </w:rPr>
        <w:t>lyamata csökken-e. Az első 104 hét befejezését követően 497 beteget vontak be egy nyílt kiterjesztésű vizsgálatba, amelyben 40 mg Humira</w:t>
      </w:r>
      <w:r w:rsidRPr="00183B5F">
        <w:rPr>
          <w:szCs w:val="22"/>
        </w:rPr>
        <w:noBreakHyphen/>
        <w:t>t alkalmaztak minden 2. héten</w:t>
      </w:r>
      <w:r w:rsidR="005C406C" w:rsidRPr="00183B5F">
        <w:rPr>
          <w:szCs w:val="22"/>
        </w:rPr>
        <w:t>,</w:t>
      </w:r>
      <w:r w:rsidRPr="00183B5F">
        <w:rPr>
          <w:szCs w:val="22"/>
        </w:rPr>
        <w:t xml:space="preserve"> legfeljebb 10 évig.</w:t>
      </w:r>
    </w:p>
    <w:p w14:paraId="0041DEDA" w14:textId="77777777" w:rsidR="00B93237" w:rsidRPr="00183B5F" w:rsidRDefault="00B93237" w:rsidP="00B93237">
      <w:pPr>
        <w:spacing w:line="240" w:lineRule="auto"/>
        <w:rPr>
          <w:szCs w:val="22"/>
        </w:rPr>
      </w:pPr>
    </w:p>
    <w:p w14:paraId="7A0F0066" w14:textId="77777777" w:rsidR="00B93237" w:rsidRPr="00183B5F" w:rsidRDefault="00943743" w:rsidP="00B93237">
      <w:pPr>
        <w:spacing w:line="240" w:lineRule="auto"/>
        <w:rPr>
          <w:szCs w:val="22"/>
        </w:rPr>
      </w:pPr>
      <w:r w:rsidRPr="00183B5F">
        <w:rPr>
          <w:szCs w:val="22"/>
        </w:rPr>
        <w:t xml:space="preserve">Mind az RA VI, mind az RA VII vizsgálatba 60 beteget vontak be, akik közepes súlyos </w:t>
      </w:r>
      <w:r w:rsidR="0022555B" w:rsidRPr="00183B5F">
        <w:rPr>
          <w:szCs w:val="22"/>
        </w:rPr>
        <w:t xml:space="preserve">– súlyos </w:t>
      </w:r>
      <w:r w:rsidRPr="00183B5F">
        <w:rPr>
          <w:szCs w:val="22"/>
        </w:rPr>
        <w:t>aktív rheumatoid arthritisben szenvedtek és legalább 18 évesek voltak. A bevont betegek vagy éppen akkor Humira 40 mg/0,8 ml terápiában részesültek és az injekció beadás helyén fellépő fájdalmat átlagosan legalább 3 cm</w:t>
      </w:r>
      <w:r w:rsidR="0022555B" w:rsidRPr="00183B5F">
        <w:rPr>
          <w:szCs w:val="22"/>
        </w:rPr>
        <w:noBreakHyphen/>
      </w:r>
      <w:r w:rsidRPr="00183B5F">
        <w:rPr>
          <w:szCs w:val="22"/>
        </w:rPr>
        <w:t>nek értékelték (egy 0-10-ig terjedő vizuális analóg skálán), vagy bionaív betegek voltak, akik akkor kezdték a Humira 40 mg/0,8 ml terápiát. A betegeket úgy randomizálták, hogy egyszeri adag Humira 40 mg/0,</w:t>
      </w:r>
      <w:r w:rsidRPr="00183B5F">
        <w:t>8 ml</w:t>
      </w:r>
      <w:r w:rsidRPr="00183B5F">
        <w:rPr>
          <w:szCs w:val="22"/>
        </w:rPr>
        <w:t xml:space="preserve"> injekciót vagy Humira 40 mg/0,4 ml injekciót kapjanak, amelyet a következ</w:t>
      </w:r>
      <w:r w:rsidRPr="00183B5F">
        <w:rPr>
          <w:szCs w:val="22"/>
        </w:rPr>
        <w:t>ő beadásnál egyszeri adag követett a másik injekcióból.</w:t>
      </w:r>
    </w:p>
    <w:p w14:paraId="2C8F3388" w14:textId="77777777" w:rsidR="00B93237" w:rsidRPr="00183B5F" w:rsidRDefault="00B93237" w:rsidP="00B93237">
      <w:pPr>
        <w:spacing w:line="240" w:lineRule="auto"/>
        <w:rPr>
          <w:szCs w:val="22"/>
        </w:rPr>
      </w:pPr>
    </w:p>
    <w:p w14:paraId="0CB8AE9E" w14:textId="77777777" w:rsidR="00B93237" w:rsidRPr="00183B5F" w:rsidRDefault="00943743" w:rsidP="00B93237">
      <w:pPr>
        <w:spacing w:line="240" w:lineRule="auto"/>
        <w:rPr>
          <w:szCs w:val="22"/>
        </w:rPr>
      </w:pPr>
      <w:r w:rsidRPr="00183B5F">
        <w:rPr>
          <w:szCs w:val="22"/>
        </w:rPr>
        <w:t>Az RA I, II, és III vizsgálatokban az elsődleges végpont, míg az RA IV vizsgálatban a másodlagos végpont azon betegek százalékos aránya volt, akiknél a 24</w:t>
      </w:r>
      <w:r w:rsidR="005D174E" w:rsidRPr="00183B5F">
        <w:rPr>
          <w:szCs w:val="22"/>
        </w:rPr>
        <w:t>,</w:t>
      </w:r>
      <w:r w:rsidRPr="00183B5F">
        <w:rPr>
          <w:szCs w:val="22"/>
        </w:rPr>
        <w:t xml:space="preserve"> illetve 26 hét leteltével kialakult az ACR 20 válasz. Az V. vizsgálatban az elsődleges végpont az ACR 50 válasz</w:t>
      </w:r>
      <w:r w:rsidR="00C67C60" w:rsidRPr="00183B5F">
        <w:rPr>
          <w:szCs w:val="22"/>
        </w:rPr>
        <w:t>t</w:t>
      </w:r>
      <w:r w:rsidRPr="00183B5F">
        <w:rPr>
          <w:szCs w:val="22"/>
        </w:rPr>
        <w:t xml:space="preserve"> adó betegek százalékos aránya volt a vizsgálat 52. hetében. Az RA III és RA V vizsgálatban további elsődleges végpontot jelentett az 52. hétre a betegség progressziójának lassulása (röntgenfelvételek alapján). Az RA III</w:t>
      </w:r>
      <w:r w:rsidR="005D174E" w:rsidRPr="00183B5F">
        <w:rPr>
          <w:szCs w:val="22"/>
        </w:rPr>
        <w:t> </w:t>
      </w:r>
      <w:r w:rsidRPr="00183B5F">
        <w:rPr>
          <w:szCs w:val="22"/>
        </w:rPr>
        <w:t>vizsgálatban elsődleges végpont volt még az életminőség megváltozása. Az RA VI és VII vizsgálatokban a beadás helyén tapasztalt fájdalom volt az elsődleges végpont közvetlenül a</w:t>
      </w:r>
      <w:r w:rsidRPr="00183B5F">
        <w:rPr>
          <w:szCs w:val="22"/>
        </w:rPr>
        <w:t>z injekció beadását követően, egy 0</w:t>
      </w:r>
      <w:r w:rsidRPr="00183B5F">
        <w:rPr>
          <w:szCs w:val="22"/>
        </w:rPr>
        <w:noBreakHyphen/>
        <w:t>10-ig terjedő vizuális analóg skálán mérve.</w:t>
      </w:r>
    </w:p>
    <w:p w14:paraId="240F9E72" w14:textId="77777777" w:rsidR="00B93237" w:rsidRPr="00183B5F" w:rsidRDefault="00B93237" w:rsidP="00B93237">
      <w:pPr>
        <w:spacing w:line="240" w:lineRule="auto"/>
        <w:rPr>
          <w:szCs w:val="22"/>
        </w:rPr>
      </w:pPr>
    </w:p>
    <w:p w14:paraId="063E33FD" w14:textId="77777777" w:rsidR="00B93237" w:rsidRPr="00183B5F" w:rsidRDefault="00943743" w:rsidP="00B93237">
      <w:pPr>
        <w:keepNext/>
        <w:spacing w:line="240" w:lineRule="auto"/>
        <w:rPr>
          <w:i/>
          <w:szCs w:val="22"/>
          <w:u w:val="single"/>
        </w:rPr>
      </w:pPr>
      <w:r w:rsidRPr="00183B5F">
        <w:rPr>
          <w:i/>
          <w:szCs w:val="22"/>
          <w:u w:val="single"/>
        </w:rPr>
        <w:t>ACR-válasz</w:t>
      </w:r>
    </w:p>
    <w:p w14:paraId="1B5D29B5" w14:textId="77777777" w:rsidR="00B93237" w:rsidRPr="00183B5F" w:rsidRDefault="00B93237" w:rsidP="00B93237">
      <w:pPr>
        <w:keepNext/>
        <w:spacing w:line="240" w:lineRule="auto"/>
        <w:rPr>
          <w:szCs w:val="22"/>
        </w:rPr>
      </w:pPr>
    </w:p>
    <w:p w14:paraId="6015D274" w14:textId="77777777" w:rsidR="00B93237" w:rsidRPr="00183B5F" w:rsidRDefault="00943743" w:rsidP="00B93237">
      <w:pPr>
        <w:keepNext/>
        <w:spacing w:line="240" w:lineRule="auto"/>
        <w:rPr>
          <w:szCs w:val="22"/>
        </w:rPr>
      </w:pPr>
      <w:r w:rsidRPr="00183B5F">
        <w:rPr>
          <w:szCs w:val="22"/>
        </w:rPr>
        <w:t>Az ACR 20, 50 vagy 70</w:t>
      </w:r>
      <w:r w:rsidRPr="00183B5F">
        <w:rPr>
          <w:szCs w:val="22"/>
        </w:rPr>
        <w:noBreakHyphen/>
        <w:t>es választ produkáló Humira</w:t>
      </w:r>
      <w:r w:rsidRPr="00183B5F">
        <w:rPr>
          <w:szCs w:val="22"/>
        </w:rPr>
        <w:noBreakHyphen/>
      </w:r>
      <w:r w:rsidRPr="00183B5F">
        <w:rPr>
          <w:szCs w:val="22"/>
        </w:rPr>
        <w:t>kezelt betegek százalékos aránya állandó volt az RA I, II, és III vizsgálatokban. Minden második héten adott 40 mg</w:t>
      </w:r>
      <w:r w:rsidRPr="00183B5F">
        <w:rPr>
          <w:szCs w:val="22"/>
        </w:rPr>
        <w:noBreakHyphen/>
        <w:t>os dózissal elért eredmények összefoglalása található a</w:t>
      </w:r>
      <w:r w:rsidR="00853CE9" w:rsidRPr="00183B5F">
        <w:rPr>
          <w:szCs w:val="22"/>
        </w:rPr>
        <w:t>z</w:t>
      </w:r>
      <w:r w:rsidRPr="00183B5F">
        <w:rPr>
          <w:szCs w:val="22"/>
        </w:rPr>
        <w:t xml:space="preserve"> </w:t>
      </w:r>
      <w:r w:rsidR="00853CE9" w:rsidRPr="00183B5F">
        <w:rPr>
          <w:szCs w:val="22"/>
        </w:rPr>
        <w:t>5</w:t>
      </w:r>
      <w:r w:rsidRPr="00183B5F">
        <w:rPr>
          <w:szCs w:val="22"/>
        </w:rPr>
        <w:t xml:space="preserve">. táblázatban. </w:t>
      </w:r>
    </w:p>
    <w:p w14:paraId="403793D7" w14:textId="77777777" w:rsidR="00B93237" w:rsidRPr="00183B5F" w:rsidRDefault="00B93237" w:rsidP="00B93237">
      <w:pPr>
        <w:spacing w:line="240" w:lineRule="auto"/>
        <w:rPr>
          <w:szCs w:val="22"/>
        </w:rPr>
      </w:pPr>
    </w:p>
    <w:p w14:paraId="2F2F87EE" w14:textId="77777777" w:rsidR="00B93237" w:rsidRPr="00183B5F" w:rsidRDefault="00943743" w:rsidP="00B93237">
      <w:pPr>
        <w:keepNext/>
        <w:spacing w:line="240" w:lineRule="auto"/>
        <w:jc w:val="center"/>
        <w:rPr>
          <w:b/>
          <w:szCs w:val="22"/>
        </w:rPr>
      </w:pPr>
      <w:r w:rsidRPr="00183B5F">
        <w:rPr>
          <w:b/>
          <w:szCs w:val="22"/>
        </w:rPr>
        <w:t xml:space="preserve">5. táblázat </w:t>
      </w:r>
    </w:p>
    <w:p w14:paraId="4D7E93B8" w14:textId="77777777" w:rsidR="00B93237" w:rsidRPr="00183B5F" w:rsidRDefault="00943743" w:rsidP="00B93237">
      <w:pPr>
        <w:keepNext/>
        <w:spacing w:line="240" w:lineRule="auto"/>
        <w:jc w:val="center"/>
        <w:rPr>
          <w:b/>
          <w:szCs w:val="22"/>
        </w:rPr>
      </w:pPr>
      <w:r w:rsidRPr="00183B5F">
        <w:rPr>
          <w:b/>
          <w:szCs w:val="22"/>
        </w:rPr>
        <w:t>ACR-válasz placebokontrollos vizsgálatokban</w:t>
      </w:r>
    </w:p>
    <w:tbl>
      <w:tblPr>
        <w:tblW w:w="9214" w:type="dxa"/>
        <w:tblInd w:w="8" w:type="dxa"/>
        <w:tblLayout w:type="fixed"/>
        <w:tblCellMar>
          <w:left w:w="0" w:type="dxa"/>
          <w:right w:w="0" w:type="dxa"/>
        </w:tblCellMar>
        <w:tblLook w:val="0000" w:firstRow="0" w:lastRow="0" w:firstColumn="0" w:lastColumn="0" w:noHBand="0" w:noVBand="0"/>
      </w:tblPr>
      <w:tblGrid>
        <w:gridCol w:w="1159"/>
        <w:gridCol w:w="1393"/>
        <w:gridCol w:w="1417"/>
        <w:gridCol w:w="1071"/>
        <w:gridCol w:w="1197"/>
        <w:gridCol w:w="1418"/>
        <w:gridCol w:w="1559"/>
      </w:tblGrid>
      <w:tr w:rsidR="00011D2F" w14:paraId="34A7AC11" w14:textId="77777777" w:rsidTr="00B93237">
        <w:trPr>
          <w:cantSplit/>
          <w:tblHeader/>
        </w:trPr>
        <w:tc>
          <w:tcPr>
            <w:tcW w:w="9214" w:type="dxa"/>
            <w:gridSpan w:val="7"/>
            <w:tcBorders>
              <w:bottom w:val="single" w:sz="4" w:space="0" w:color="auto"/>
            </w:tcBorders>
          </w:tcPr>
          <w:p w14:paraId="0BF5E705" w14:textId="77777777" w:rsidR="00B93237" w:rsidRPr="00183B5F" w:rsidRDefault="00943743" w:rsidP="00B93237">
            <w:pPr>
              <w:keepNext/>
              <w:spacing w:line="240" w:lineRule="auto"/>
              <w:jc w:val="center"/>
              <w:rPr>
                <w:b/>
                <w:bCs/>
                <w:szCs w:val="22"/>
              </w:rPr>
            </w:pPr>
            <w:r w:rsidRPr="00183B5F">
              <w:rPr>
                <w:b/>
                <w:bCs/>
                <w:szCs w:val="22"/>
              </w:rPr>
              <w:t>(Betegek százaléka)</w:t>
            </w:r>
          </w:p>
          <w:p w14:paraId="73AC50E1" w14:textId="77777777" w:rsidR="00B93237" w:rsidRPr="00183B5F" w:rsidRDefault="00B93237" w:rsidP="00B93237">
            <w:pPr>
              <w:keepNext/>
              <w:spacing w:line="240" w:lineRule="auto"/>
              <w:jc w:val="center"/>
              <w:rPr>
                <w:b/>
                <w:bCs/>
                <w:szCs w:val="22"/>
              </w:rPr>
            </w:pPr>
          </w:p>
        </w:tc>
      </w:tr>
      <w:tr w:rsidR="00011D2F" w14:paraId="3C5AA94B" w14:textId="77777777" w:rsidTr="00B93237">
        <w:trPr>
          <w:cantSplit/>
        </w:trPr>
        <w:tc>
          <w:tcPr>
            <w:tcW w:w="1159" w:type="dxa"/>
            <w:tcBorders>
              <w:top w:val="single" w:sz="4" w:space="0" w:color="auto"/>
              <w:left w:val="single" w:sz="4" w:space="0" w:color="auto"/>
              <w:bottom w:val="nil"/>
              <w:right w:val="single" w:sz="6" w:space="0" w:color="auto"/>
            </w:tcBorders>
          </w:tcPr>
          <w:p w14:paraId="1F80EA69" w14:textId="77777777" w:rsidR="00B93237" w:rsidRPr="00183B5F" w:rsidRDefault="00943743" w:rsidP="00B93237">
            <w:pPr>
              <w:pStyle w:val="In-texttable"/>
              <w:spacing w:line="240" w:lineRule="auto"/>
              <w:rPr>
                <w:rFonts w:ascii="Times New Roman" w:hAnsi="Times New Roman"/>
                <w:sz w:val="22"/>
                <w:szCs w:val="22"/>
                <w:lang w:val="hu-HU"/>
              </w:rPr>
            </w:pPr>
            <w:r w:rsidRPr="00183B5F">
              <w:rPr>
                <w:rFonts w:ascii="Times New Roman" w:hAnsi="Times New Roman"/>
                <w:sz w:val="22"/>
                <w:szCs w:val="22"/>
                <w:lang w:val="hu-HU"/>
              </w:rPr>
              <w:t>Válasz</w:t>
            </w:r>
          </w:p>
        </w:tc>
        <w:tc>
          <w:tcPr>
            <w:tcW w:w="2810" w:type="dxa"/>
            <w:gridSpan w:val="2"/>
            <w:tcBorders>
              <w:top w:val="single" w:sz="4" w:space="0" w:color="auto"/>
              <w:left w:val="single" w:sz="6" w:space="0" w:color="auto"/>
              <w:bottom w:val="single" w:sz="6" w:space="0" w:color="auto"/>
              <w:right w:val="single" w:sz="6" w:space="0" w:color="auto"/>
            </w:tcBorders>
          </w:tcPr>
          <w:p w14:paraId="2FAD76A4" w14:textId="77777777" w:rsidR="00B93237" w:rsidRPr="00183B5F" w:rsidRDefault="00943743" w:rsidP="00B93237">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RA I vizsgálat</w:t>
            </w:r>
            <w:r w:rsidRPr="00183B5F">
              <w:rPr>
                <w:rFonts w:ascii="Times New Roman" w:hAnsi="Times New Roman"/>
                <w:sz w:val="22"/>
                <w:szCs w:val="22"/>
                <w:vertAlign w:val="superscript"/>
                <w:lang w:val="hu-HU"/>
              </w:rPr>
              <w:t>a **</w:t>
            </w:r>
          </w:p>
        </w:tc>
        <w:tc>
          <w:tcPr>
            <w:tcW w:w="2268" w:type="dxa"/>
            <w:gridSpan w:val="2"/>
            <w:tcBorders>
              <w:top w:val="single" w:sz="4" w:space="0" w:color="auto"/>
              <w:left w:val="single" w:sz="6" w:space="0" w:color="auto"/>
              <w:bottom w:val="single" w:sz="6" w:space="0" w:color="auto"/>
              <w:right w:val="single" w:sz="6" w:space="0" w:color="auto"/>
            </w:tcBorders>
          </w:tcPr>
          <w:p w14:paraId="2CAD49C5" w14:textId="77777777" w:rsidR="00B93237" w:rsidRPr="00183B5F" w:rsidRDefault="00943743" w:rsidP="00B93237">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RA II vizsgálat</w:t>
            </w:r>
            <w:r w:rsidRPr="00183B5F">
              <w:rPr>
                <w:rFonts w:ascii="Times New Roman" w:hAnsi="Times New Roman"/>
                <w:sz w:val="22"/>
                <w:szCs w:val="22"/>
                <w:vertAlign w:val="superscript"/>
                <w:lang w:val="hu-HU"/>
              </w:rPr>
              <w:t>a **</w:t>
            </w:r>
          </w:p>
        </w:tc>
        <w:tc>
          <w:tcPr>
            <w:tcW w:w="2977" w:type="dxa"/>
            <w:gridSpan w:val="2"/>
            <w:tcBorders>
              <w:top w:val="single" w:sz="4" w:space="0" w:color="auto"/>
              <w:left w:val="single" w:sz="6" w:space="0" w:color="auto"/>
              <w:bottom w:val="single" w:sz="6" w:space="0" w:color="auto"/>
              <w:right w:val="single" w:sz="4" w:space="0" w:color="auto"/>
            </w:tcBorders>
          </w:tcPr>
          <w:p w14:paraId="0EF3DC64" w14:textId="77777777" w:rsidR="00B93237" w:rsidRPr="00183B5F" w:rsidRDefault="00943743" w:rsidP="00B93237">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RA III Vizsgálat</w:t>
            </w:r>
            <w:r w:rsidRPr="00183B5F">
              <w:rPr>
                <w:rFonts w:ascii="Times New Roman" w:hAnsi="Times New Roman"/>
                <w:sz w:val="22"/>
                <w:szCs w:val="22"/>
                <w:vertAlign w:val="superscript"/>
                <w:lang w:val="hu-HU"/>
              </w:rPr>
              <w:t>a **</w:t>
            </w:r>
          </w:p>
        </w:tc>
      </w:tr>
      <w:tr w:rsidR="00011D2F" w14:paraId="6E65111B" w14:textId="77777777" w:rsidTr="00B93237">
        <w:trPr>
          <w:cantSplit/>
        </w:trPr>
        <w:tc>
          <w:tcPr>
            <w:tcW w:w="1159" w:type="dxa"/>
            <w:tcBorders>
              <w:top w:val="nil"/>
              <w:left w:val="single" w:sz="4" w:space="0" w:color="auto"/>
              <w:bottom w:val="single" w:sz="6" w:space="0" w:color="auto"/>
              <w:right w:val="single" w:sz="6" w:space="0" w:color="auto"/>
            </w:tcBorders>
          </w:tcPr>
          <w:p w14:paraId="7D1D683A" w14:textId="77777777" w:rsidR="00B93237" w:rsidRPr="00183B5F" w:rsidRDefault="00B93237" w:rsidP="00B93237">
            <w:pPr>
              <w:pStyle w:val="In-texttable"/>
              <w:spacing w:line="240" w:lineRule="auto"/>
              <w:rPr>
                <w:rFonts w:ascii="Times New Roman" w:hAnsi="Times New Roman"/>
                <w:sz w:val="22"/>
                <w:szCs w:val="22"/>
                <w:lang w:val="hu-HU"/>
              </w:rPr>
            </w:pPr>
          </w:p>
        </w:tc>
        <w:tc>
          <w:tcPr>
            <w:tcW w:w="1393" w:type="dxa"/>
            <w:tcBorders>
              <w:top w:val="single" w:sz="6" w:space="0" w:color="auto"/>
              <w:left w:val="single" w:sz="6" w:space="0" w:color="auto"/>
              <w:bottom w:val="single" w:sz="6" w:space="0" w:color="auto"/>
              <w:right w:val="nil"/>
            </w:tcBorders>
          </w:tcPr>
          <w:p w14:paraId="6C346BEF" w14:textId="77777777" w:rsidR="0022555B" w:rsidRPr="00183B5F" w:rsidRDefault="00943743" w:rsidP="00B93237">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 xml:space="preserve">Placebo/ </w:t>
            </w:r>
          </w:p>
          <w:p w14:paraId="321D9B33" w14:textId="77777777" w:rsidR="00B93237" w:rsidRPr="00183B5F" w:rsidRDefault="00943743" w:rsidP="00B93237">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MTX</w:t>
            </w:r>
            <w:r w:rsidRPr="00183B5F">
              <w:rPr>
                <w:rFonts w:ascii="Times New Roman" w:hAnsi="Times New Roman"/>
                <w:sz w:val="22"/>
                <w:szCs w:val="22"/>
                <w:vertAlign w:val="superscript"/>
                <w:lang w:val="hu-HU"/>
              </w:rPr>
              <w:t>c</w:t>
            </w:r>
          </w:p>
          <w:p w14:paraId="34D7B23E" w14:textId="77777777" w:rsidR="00B93237" w:rsidRPr="00183B5F" w:rsidRDefault="00943743" w:rsidP="00B93237">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n = 60</w:t>
            </w:r>
          </w:p>
        </w:tc>
        <w:tc>
          <w:tcPr>
            <w:tcW w:w="1417" w:type="dxa"/>
            <w:tcBorders>
              <w:top w:val="single" w:sz="6" w:space="0" w:color="auto"/>
              <w:left w:val="nil"/>
              <w:bottom w:val="single" w:sz="6" w:space="0" w:color="auto"/>
              <w:right w:val="single" w:sz="6" w:space="0" w:color="auto"/>
            </w:tcBorders>
          </w:tcPr>
          <w:p w14:paraId="51DDCFA3" w14:textId="77777777" w:rsidR="00B93237" w:rsidRPr="00183B5F" w:rsidRDefault="00943743" w:rsidP="00B9323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Humira</w:t>
            </w:r>
            <w:r w:rsidRPr="00183B5F">
              <w:rPr>
                <w:rFonts w:ascii="Times New Roman" w:hAnsi="Times New Roman"/>
                <w:sz w:val="22"/>
                <w:vertAlign w:val="superscript"/>
                <w:lang w:val="hu-HU"/>
              </w:rPr>
              <w:t>b</w:t>
            </w:r>
            <w:r w:rsidRPr="00183B5F">
              <w:rPr>
                <w:rFonts w:ascii="Times New Roman" w:hAnsi="Times New Roman"/>
                <w:sz w:val="22"/>
                <w:lang w:val="hu-HU"/>
              </w:rPr>
              <w:t>/ MTX</w:t>
            </w:r>
            <w:r w:rsidRPr="00183B5F">
              <w:rPr>
                <w:rFonts w:ascii="Times New Roman" w:hAnsi="Times New Roman"/>
                <w:sz w:val="22"/>
                <w:vertAlign w:val="superscript"/>
                <w:lang w:val="hu-HU"/>
              </w:rPr>
              <w:t>c</w:t>
            </w:r>
          </w:p>
          <w:p w14:paraId="45737542" w14:textId="77777777" w:rsidR="00B93237" w:rsidRPr="00183B5F" w:rsidRDefault="00943743" w:rsidP="00B9323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n = 63</w:t>
            </w:r>
          </w:p>
        </w:tc>
        <w:tc>
          <w:tcPr>
            <w:tcW w:w="1071" w:type="dxa"/>
            <w:tcBorders>
              <w:top w:val="single" w:sz="6" w:space="0" w:color="auto"/>
              <w:left w:val="single" w:sz="6" w:space="0" w:color="auto"/>
              <w:bottom w:val="single" w:sz="6" w:space="0" w:color="auto"/>
              <w:right w:val="nil"/>
            </w:tcBorders>
          </w:tcPr>
          <w:p w14:paraId="79664508" w14:textId="77777777" w:rsidR="00B93237" w:rsidRPr="00183B5F" w:rsidRDefault="00943743" w:rsidP="00B9323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Placebo</w:t>
            </w:r>
          </w:p>
          <w:p w14:paraId="63733EDD" w14:textId="77777777" w:rsidR="00B93237" w:rsidRPr="00183B5F" w:rsidRDefault="00943743" w:rsidP="00B9323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n = 110</w:t>
            </w:r>
          </w:p>
        </w:tc>
        <w:tc>
          <w:tcPr>
            <w:tcW w:w="1197" w:type="dxa"/>
            <w:tcBorders>
              <w:top w:val="single" w:sz="6" w:space="0" w:color="auto"/>
              <w:left w:val="nil"/>
              <w:bottom w:val="single" w:sz="6" w:space="0" w:color="auto"/>
              <w:right w:val="single" w:sz="6" w:space="0" w:color="auto"/>
            </w:tcBorders>
          </w:tcPr>
          <w:p w14:paraId="573F80F8" w14:textId="77777777" w:rsidR="00B93237" w:rsidRPr="00183B5F" w:rsidRDefault="00943743" w:rsidP="00B9323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Humira</w:t>
            </w:r>
            <w:r w:rsidRPr="00183B5F">
              <w:rPr>
                <w:rFonts w:ascii="Times New Roman" w:hAnsi="Times New Roman"/>
                <w:sz w:val="22"/>
                <w:vertAlign w:val="superscript"/>
                <w:lang w:val="hu-HU"/>
              </w:rPr>
              <w:t>b</w:t>
            </w:r>
          </w:p>
          <w:p w14:paraId="3A439E62" w14:textId="77777777" w:rsidR="00B93237" w:rsidRPr="00183B5F" w:rsidRDefault="00943743" w:rsidP="00B9323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n = 113</w:t>
            </w:r>
          </w:p>
        </w:tc>
        <w:tc>
          <w:tcPr>
            <w:tcW w:w="1418" w:type="dxa"/>
            <w:tcBorders>
              <w:top w:val="single" w:sz="6" w:space="0" w:color="auto"/>
              <w:left w:val="single" w:sz="6" w:space="0" w:color="auto"/>
              <w:bottom w:val="single" w:sz="6" w:space="0" w:color="auto"/>
              <w:right w:val="nil"/>
            </w:tcBorders>
          </w:tcPr>
          <w:p w14:paraId="4F1FEBD8" w14:textId="77777777" w:rsidR="0022555B" w:rsidRPr="00183B5F" w:rsidRDefault="00943743" w:rsidP="00B93237">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 xml:space="preserve">Placebo/ </w:t>
            </w:r>
          </w:p>
          <w:p w14:paraId="16A799EF" w14:textId="77777777" w:rsidR="00B93237" w:rsidRPr="00183B5F" w:rsidRDefault="00943743" w:rsidP="00B93237">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MTX</w:t>
            </w:r>
            <w:r w:rsidRPr="00183B5F">
              <w:rPr>
                <w:rFonts w:ascii="Times New Roman" w:hAnsi="Times New Roman"/>
                <w:sz w:val="22"/>
                <w:szCs w:val="22"/>
                <w:vertAlign w:val="superscript"/>
                <w:lang w:val="hu-HU"/>
              </w:rPr>
              <w:t>c</w:t>
            </w:r>
          </w:p>
          <w:p w14:paraId="36C91ED8" w14:textId="77777777" w:rsidR="00B93237" w:rsidRPr="00183B5F" w:rsidRDefault="00943743" w:rsidP="00B93237">
            <w:pPr>
              <w:pStyle w:val="In-texttable"/>
              <w:spacing w:line="240" w:lineRule="auto"/>
              <w:jc w:val="center"/>
              <w:rPr>
                <w:rFonts w:ascii="Times New Roman" w:hAnsi="Times New Roman"/>
                <w:sz w:val="22"/>
                <w:szCs w:val="22"/>
                <w:lang w:val="hu-HU"/>
              </w:rPr>
            </w:pPr>
            <w:r w:rsidRPr="00183B5F">
              <w:rPr>
                <w:rFonts w:ascii="Times New Roman" w:hAnsi="Times New Roman"/>
                <w:sz w:val="22"/>
                <w:szCs w:val="22"/>
                <w:lang w:val="hu-HU"/>
              </w:rPr>
              <w:t>n = 200</w:t>
            </w:r>
          </w:p>
        </w:tc>
        <w:tc>
          <w:tcPr>
            <w:tcW w:w="1559" w:type="dxa"/>
            <w:tcBorders>
              <w:top w:val="single" w:sz="6" w:space="0" w:color="auto"/>
              <w:left w:val="nil"/>
              <w:bottom w:val="single" w:sz="6" w:space="0" w:color="auto"/>
              <w:right w:val="single" w:sz="4" w:space="0" w:color="auto"/>
            </w:tcBorders>
          </w:tcPr>
          <w:p w14:paraId="5CB12713" w14:textId="77777777" w:rsidR="00B93237" w:rsidRPr="00183B5F" w:rsidRDefault="00943743" w:rsidP="00B9323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Humira</w:t>
            </w:r>
            <w:r w:rsidRPr="00183B5F">
              <w:rPr>
                <w:rFonts w:ascii="Times New Roman" w:hAnsi="Times New Roman"/>
                <w:sz w:val="22"/>
                <w:vertAlign w:val="superscript"/>
                <w:lang w:val="hu-HU"/>
              </w:rPr>
              <w:t>b</w:t>
            </w:r>
            <w:r w:rsidRPr="00183B5F">
              <w:rPr>
                <w:rFonts w:ascii="Times New Roman" w:hAnsi="Times New Roman"/>
                <w:sz w:val="22"/>
                <w:lang w:val="hu-HU"/>
              </w:rPr>
              <w:t>/ MTX</w:t>
            </w:r>
            <w:r w:rsidRPr="00183B5F">
              <w:rPr>
                <w:rFonts w:ascii="Times New Roman" w:hAnsi="Times New Roman"/>
                <w:sz w:val="22"/>
                <w:vertAlign w:val="superscript"/>
                <w:lang w:val="hu-HU"/>
              </w:rPr>
              <w:t>c</w:t>
            </w:r>
          </w:p>
          <w:p w14:paraId="1334DF3E" w14:textId="77777777" w:rsidR="00B93237" w:rsidRPr="00183B5F" w:rsidRDefault="00943743" w:rsidP="00B9323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n = 207</w:t>
            </w:r>
          </w:p>
        </w:tc>
      </w:tr>
      <w:tr w:rsidR="00011D2F" w14:paraId="61CE7463" w14:textId="77777777" w:rsidTr="00B93237">
        <w:trPr>
          <w:cantSplit/>
        </w:trPr>
        <w:tc>
          <w:tcPr>
            <w:tcW w:w="1159" w:type="dxa"/>
            <w:tcBorders>
              <w:top w:val="nil"/>
              <w:left w:val="single" w:sz="4" w:space="0" w:color="auto"/>
              <w:bottom w:val="nil"/>
              <w:right w:val="single" w:sz="6" w:space="0" w:color="auto"/>
            </w:tcBorders>
          </w:tcPr>
          <w:p w14:paraId="364E32DE" w14:textId="77777777" w:rsidR="00B93237" w:rsidRPr="00183B5F" w:rsidRDefault="00943743" w:rsidP="00B93237">
            <w:pPr>
              <w:pStyle w:val="In-texttable"/>
              <w:tabs>
                <w:tab w:val="left" w:pos="144"/>
              </w:tabs>
              <w:spacing w:line="240" w:lineRule="auto"/>
              <w:rPr>
                <w:rFonts w:ascii="Times New Roman" w:hAnsi="Times New Roman"/>
                <w:sz w:val="22"/>
                <w:lang w:val="hu-HU"/>
              </w:rPr>
            </w:pPr>
            <w:r w:rsidRPr="00183B5F">
              <w:rPr>
                <w:rFonts w:ascii="Times New Roman" w:hAnsi="Times New Roman"/>
                <w:sz w:val="22"/>
                <w:lang w:val="hu-HU"/>
              </w:rPr>
              <w:t>ACR 20</w:t>
            </w:r>
          </w:p>
        </w:tc>
        <w:tc>
          <w:tcPr>
            <w:tcW w:w="1393" w:type="dxa"/>
            <w:tcBorders>
              <w:top w:val="nil"/>
              <w:left w:val="single" w:sz="6" w:space="0" w:color="auto"/>
              <w:bottom w:val="nil"/>
              <w:right w:val="nil"/>
            </w:tcBorders>
          </w:tcPr>
          <w:p w14:paraId="71024470" w14:textId="77777777" w:rsidR="00B93237" w:rsidRPr="00183B5F" w:rsidRDefault="00B93237" w:rsidP="00B93237">
            <w:pPr>
              <w:pStyle w:val="In-texttable"/>
              <w:spacing w:line="240" w:lineRule="auto"/>
              <w:jc w:val="center"/>
              <w:rPr>
                <w:rFonts w:ascii="Times New Roman" w:hAnsi="Times New Roman"/>
                <w:sz w:val="22"/>
                <w:lang w:val="hu-HU"/>
              </w:rPr>
            </w:pPr>
          </w:p>
        </w:tc>
        <w:tc>
          <w:tcPr>
            <w:tcW w:w="1417" w:type="dxa"/>
            <w:tcBorders>
              <w:top w:val="nil"/>
              <w:left w:val="nil"/>
              <w:bottom w:val="nil"/>
              <w:right w:val="single" w:sz="6" w:space="0" w:color="auto"/>
            </w:tcBorders>
          </w:tcPr>
          <w:p w14:paraId="7F087C10" w14:textId="77777777" w:rsidR="00B93237" w:rsidRPr="00183B5F" w:rsidRDefault="00B93237" w:rsidP="00B93237">
            <w:pPr>
              <w:pStyle w:val="In-texttable"/>
              <w:spacing w:line="240" w:lineRule="auto"/>
              <w:jc w:val="center"/>
              <w:rPr>
                <w:rFonts w:ascii="Times New Roman" w:hAnsi="Times New Roman"/>
                <w:sz w:val="22"/>
                <w:lang w:val="hu-HU"/>
              </w:rPr>
            </w:pPr>
          </w:p>
        </w:tc>
        <w:tc>
          <w:tcPr>
            <w:tcW w:w="1071" w:type="dxa"/>
            <w:tcBorders>
              <w:top w:val="nil"/>
              <w:left w:val="single" w:sz="6" w:space="0" w:color="auto"/>
              <w:bottom w:val="nil"/>
              <w:right w:val="nil"/>
            </w:tcBorders>
          </w:tcPr>
          <w:p w14:paraId="038C69ED" w14:textId="77777777" w:rsidR="00B93237" w:rsidRPr="00183B5F" w:rsidRDefault="00B93237" w:rsidP="00B93237">
            <w:pPr>
              <w:pStyle w:val="In-texttable"/>
              <w:spacing w:line="240" w:lineRule="auto"/>
              <w:jc w:val="center"/>
              <w:rPr>
                <w:rFonts w:ascii="Times New Roman" w:hAnsi="Times New Roman"/>
                <w:sz w:val="22"/>
                <w:lang w:val="hu-HU"/>
              </w:rPr>
            </w:pPr>
          </w:p>
        </w:tc>
        <w:tc>
          <w:tcPr>
            <w:tcW w:w="1197" w:type="dxa"/>
            <w:tcBorders>
              <w:top w:val="nil"/>
              <w:left w:val="nil"/>
              <w:bottom w:val="nil"/>
              <w:right w:val="single" w:sz="6" w:space="0" w:color="auto"/>
            </w:tcBorders>
          </w:tcPr>
          <w:p w14:paraId="3CC8632B" w14:textId="77777777" w:rsidR="00B93237" w:rsidRPr="00183B5F" w:rsidRDefault="00B93237" w:rsidP="00B93237">
            <w:pPr>
              <w:pStyle w:val="In-texttable"/>
              <w:spacing w:line="240" w:lineRule="auto"/>
              <w:jc w:val="center"/>
              <w:rPr>
                <w:rFonts w:ascii="Times New Roman" w:hAnsi="Times New Roman"/>
                <w:sz w:val="22"/>
                <w:lang w:val="hu-HU"/>
              </w:rPr>
            </w:pPr>
          </w:p>
        </w:tc>
        <w:tc>
          <w:tcPr>
            <w:tcW w:w="1418" w:type="dxa"/>
            <w:tcBorders>
              <w:top w:val="single" w:sz="6" w:space="0" w:color="auto"/>
              <w:left w:val="single" w:sz="6" w:space="0" w:color="auto"/>
              <w:bottom w:val="nil"/>
              <w:right w:val="nil"/>
            </w:tcBorders>
          </w:tcPr>
          <w:p w14:paraId="6E9139B1" w14:textId="77777777" w:rsidR="00B93237" w:rsidRPr="00183B5F" w:rsidRDefault="00B93237" w:rsidP="00B93237">
            <w:pPr>
              <w:pStyle w:val="In-texttable"/>
              <w:spacing w:line="240" w:lineRule="auto"/>
              <w:jc w:val="center"/>
              <w:rPr>
                <w:rFonts w:ascii="Times New Roman" w:hAnsi="Times New Roman"/>
                <w:sz w:val="22"/>
                <w:lang w:val="hu-HU"/>
              </w:rPr>
            </w:pPr>
          </w:p>
        </w:tc>
        <w:tc>
          <w:tcPr>
            <w:tcW w:w="1559" w:type="dxa"/>
            <w:tcBorders>
              <w:top w:val="single" w:sz="6" w:space="0" w:color="auto"/>
              <w:left w:val="nil"/>
              <w:bottom w:val="nil"/>
              <w:right w:val="single" w:sz="4" w:space="0" w:color="auto"/>
            </w:tcBorders>
          </w:tcPr>
          <w:p w14:paraId="545F29AB" w14:textId="77777777" w:rsidR="00B93237" w:rsidRPr="00183B5F" w:rsidRDefault="00B93237" w:rsidP="00B93237">
            <w:pPr>
              <w:pStyle w:val="In-texttable"/>
              <w:spacing w:line="240" w:lineRule="auto"/>
              <w:jc w:val="center"/>
              <w:rPr>
                <w:rFonts w:ascii="Times New Roman" w:hAnsi="Times New Roman"/>
                <w:sz w:val="22"/>
                <w:lang w:val="hu-HU"/>
              </w:rPr>
            </w:pPr>
          </w:p>
        </w:tc>
      </w:tr>
      <w:tr w:rsidR="00011D2F" w14:paraId="198F1785" w14:textId="77777777" w:rsidTr="00B93237">
        <w:trPr>
          <w:cantSplit/>
        </w:trPr>
        <w:tc>
          <w:tcPr>
            <w:tcW w:w="1159" w:type="dxa"/>
            <w:tcBorders>
              <w:top w:val="nil"/>
              <w:left w:val="single" w:sz="4" w:space="0" w:color="auto"/>
              <w:bottom w:val="nil"/>
              <w:right w:val="single" w:sz="6" w:space="0" w:color="auto"/>
            </w:tcBorders>
          </w:tcPr>
          <w:p w14:paraId="4853F00D" w14:textId="77777777" w:rsidR="00B93237" w:rsidRPr="00183B5F" w:rsidRDefault="00943743" w:rsidP="00B93237">
            <w:pPr>
              <w:pStyle w:val="In-texttable"/>
              <w:tabs>
                <w:tab w:val="left" w:pos="144"/>
              </w:tabs>
              <w:spacing w:line="240" w:lineRule="auto"/>
              <w:rPr>
                <w:rFonts w:ascii="Times New Roman" w:hAnsi="Times New Roman"/>
                <w:sz w:val="22"/>
                <w:lang w:val="hu-HU"/>
              </w:rPr>
            </w:pPr>
            <w:r w:rsidRPr="00183B5F">
              <w:rPr>
                <w:rFonts w:ascii="Times New Roman" w:hAnsi="Times New Roman"/>
                <w:sz w:val="22"/>
                <w:lang w:val="hu-HU"/>
              </w:rPr>
              <w:tab/>
              <w:t>6 hónap</w:t>
            </w:r>
          </w:p>
        </w:tc>
        <w:tc>
          <w:tcPr>
            <w:tcW w:w="1393" w:type="dxa"/>
            <w:tcBorders>
              <w:top w:val="nil"/>
              <w:left w:val="single" w:sz="6" w:space="0" w:color="auto"/>
              <w:bottom w:val="nil"/>
              <w:right w:val="nil"/>
            </w:tcBorders>
          </w:tcPr>
          <w:p w14:paraId="572D06C0" w14:textId="77777777" w:rsidR="00B93237" w:rsidRPr="00183B5F" w:rsidRDefault="00943743" w:rsidP="00B93237">
            <w:pPr>
              <w:pStyle w:val="In-texttable"/>
              <w:tabs>
                <w:tab w:val="decimal" w:pos="259"/>
              </w:tabs>
              <w:spacing w:line="240" w:lineRule="auto"/>
              <w:jc w:val="center"/>
              <w:rPr>
                <w:rFonts w:ascii="Times New Roman" w:hAnsi="Times New Roman"/>
                <w:sz w:val="22"/>
                <w:lang w:val="hu-HU"/>
              </w:rPr>
            </w:pPr>
            <w:r w:rsidRPr="00183B5F">
              <w:rPr>
                <w:rFonts w:ascii="Times New Roman" w:hAnsi="Times New Roman"/>
                <w:sz w:val="22"/>
                <w:lang w:val="hu-HU"/>
              </w:rPr>
              <w:t>13,3%</w:t>
            </w:r>
          </w:p>
        </w:tc>
        <w:tc>
          <w:tcPr>
            <w:tcW w:w="1417" w:type="dxa"/>
            <w:tcBorders>
              <w:top w:val="nil"/>
              <w:left w:val="nil"/>
              <w:bottom w:val="nil"/>
              <w:right w:val="single" w:sz="6" w:space="0" w:color="auto"/>
            </w:tcBorders>
          </w:tcPr>
          <w:p w14:paraId="7568E065" w14:textId="77777777" w:rsidR="00B93237" w:rsidRPr="00183B5F" w:rsidRDefault="00943743" w:rsidP="00B93237">
            <w:pPr>
              <w:pStyle w:val="In-texttable"/>
              <w:tabs>
                <w:tab w:val="decimal" w:pos="250"/>
              </w:tabs>
              <w:spacing w:line="240" w:lineRule="auto"/>
              <w:jc w:val="center"/>
              <w:rPr>
                <w:rFonts w:ascii="Times New Roman" w:hAnsi="Times New Roman"/>
                <w:sz w:val="22"/>
                <w:lang w:val="hu-HU"/>
              </w:rPr>
            </w:pPr>
            <w:r w:rsidRPr="00183B5F">
              <w:rPr>
                <w:rFonts w:ascii="Times New Roman" w:hAnsi="Times New Roman"/>
                <w:sz w:val="22"/>
                <w:lang w:val="hu-HU"/>
              </w:rPr>
              <w:t>65,1%</w:t>
            </w:r>
          </w:p>
        </w:tc>
        <w:tc>
          <w:tcPr>
            <w:tcW w:w="1071" w:type="dxa"/>
            <w:tcBorders>
              <w:top w:val="nil"/>
              <w:left w:val="single" w:sz="6" w:space="0" w:color="auto"/>
              <w:bottom w:val="nil"/>
              <w:right w:val="nil"/>
            </w:tcBorders>
          </w:tcPr>
          <w:p w14:paraId="53756B11" w14:textId="77777777" w:rsidR="00B93237" w:rsidRPr="00183B5F" w:rsidRDefault="00943743" w:rsidP="00B9323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19,1%</w:t>
            </w:r>
          </w:p>
        </w:tc>
        <w:tc>
          <w:tcPr>
            <w:tcW w:w="1197" w:type="dxa"/>
            <w:tcBorders>
              <w:top w:val="nil"/>
              <w:left w:val="nil"/>
              <w:bottom w:val="nil"/>
              <w:right w:val="single" w:sz="6" w:space="0" w:color="auto"/>
            </w:tcBorders>
          </w:tcPr>
          <w:p w14:paraId="5A994610" w14:textId="77777777" w:rsidR="00B93237" w:rsidRPr="00183B5F" w:rsidRDefault="00943743" w:rsidP="00B93237">
            <w:pPr>
              <w:pStyle w:val="In-texttable"/>
              <w:tabs>
                <w:tab w:val="decimal" w:pos="205"/>
              </w:tabs>
              <w:spacing w:line="240" w:lineRule="auto"/>
              <w:jc w:val="center"/>
              <w:rPr>
                <w:rFonts w:ascii="Times New Roman" w:hAnsi="Times New Roman"/>
                <w:sz w:val="22"/>
                <w:lang w:val="hu-HU"/>
              </w:rPr>
            </w:pPr>
            <w:r w:rsidRPr="00183B5F">
              <w:rPr>
                <w:rFonts w:ascii="Times New Roman" w:hAnsi="Times New Roman"/>
                <w:sz w:val="22"/>
                <w:lang w:val="hu-HU"/>
              </w:rPr>
              <w:t>46,0%</w:t>
            </w:r>
          </w:p>
        </w:tc>
        <w:tc>
          <w:tcPr>
            <w:tcW w:w="1418" w:type="dxa"/>
            <w:tcBorders>
              <w:top w:val="nil"/>
              <w:left w:val="single" w:sz="6" w:space="0" w:color="auto"/>
              <w:bottom w:val="nil"/>
              <w:right w:val="nil"/>
            </w:tcBorders>
          </w:tcPr>
          <w:p w14:paraId="4521BA50" w14:textId="77777777" w:rsidR="00B93237" w:rsidRPr="00183B5F" w:rsidRDefault="00943743" w:rsidP="00B93237">
            <w:pPr>
              <w:pStyle w:val="In-texttable"/>
              <w:tabs>
                <w:tab w:val="decimal" w:pos="144"/>
              </w:tabs>
              <w:spacing w:line="240" w:lineRule="auto"/>
              <w:jc w:val="center"/>
              <w:rPr>
                <w:rFonts w:ascii="Times New Roman" w:hAnsi="Times New Roman"/>
                <w:sz w:val="22"/>
                <w:lang w:val="hu-HU"/>
              </w:rPr>
            </w:pPr>
            <w:r w:rsidRPr="00183B5F">
              <w:rPr>
                <w:rFonts w:ascii="Times New Roman" w:hAnsi="Times New Roman"/>
                <w:sz w:val="22"/>
                <w:lang w:val="hu-HU"/>
              </w:rPr>
              <w:t>29,5%</w:t>
            </w:r>
          </w:p>
        </w:tc>
        <w:tc>
          <w:tcPr>
            <w:tcW w:w="1559" w:type="dxa"/>
            <w:tcBorders>
              <w:right w:val="single" w:sz="4" w:space="0" w:color="auto"/>
            </w:tcBorders>
          </w:tcPr>
          <w:p w14:paraId="39F57B7C" w14:textId="77777777" w:rsidR="00B93237" w:rsidRPr="00183B5F" w:rsidRDefault="00943743" w:rsidP="00B93237">
            <w:pPr>
              <w:pStyle w:val="In-texttable"/>
              <w:tabs>
                <w:tab w:val="decimal" w:pos="95"/>
              </w:tabs>
              <w:spacing w:line="240" w:lineRule="auto"/>
              <w:jc w:val="center"/>
              <w:rPr>
                <w:rFonts w:ascii="Times New Roman" w:hAnsi="Times New Roman"/>
                <w:sz w:val="22"/>
                <w:lang w:val="hu-HU"/>
              </w:rPr>
            </w:pPr>
            <w:r w:rsidRPr="00183B5F">
              <w:rPr>
                <w:rFonts w:ascii="Times New Roman" w:hAnsi="Times New Roman"/>
                <w:sz w:val="22"/>
                <w:lang w:val="hu-HU"/>
              </w:rPr>
              <w:t>63,3%</w:t>
            </w:r>
          </w:p>
        </w:tc>
      </w:tr>
      <w:tr w:rsidR="00011D2F" w14:paraId="0C56CB60" w14:textId="77777777" w:rsidTr="00B93237">
        <w:trPr>
          <w:cantSplit/>
        </w:trPr>
        <w:tc>
          <w:tcPr>
            <w:tcW w:w="1159" w:type="dxa"/>
            <w:tcBorders>
              <w:top w:val="nil"/>
              <w:left w:val="single" w:sz="4" w:space="0" w:color="auto"/>
              <w:bottom w:val="nil"/>
              <w:right w:val="single" w:sz="6" w:space="0" w:color="auto"/>
            </w:tcBorders>
          </w:tcPr>
          <w:p w14:paraId="21860A22" w14:textId="77777777" w:rsidR="00B93237" w:rsidRPr="00183B5F" w:rsidRDefault="00943743" w:rsidP="00B93237">
            <w:pPr>
              <w:pStyle w:val="In-texttable"/>
              <w:tabs>
                <w:tab w:val="left" w:pos="144"/>
              </w:tabs>
              <w:spacing w:line="240" w:lineRule="auto"/>
              <w:rPr>
                <w:rFonts w:ascii="Times New Roman" w:hAnsi="Times New Roman"/>
                <w:sz w:val="22"/>
                <w:lang w:val="hu-HU"/>
              </w:rPr>
            </w:pPr>
            <w:r w:rsidRPr="00183B5F">
              <w:rPr>
                <w:rFonts w:ascii="Times New Roman" w:hAnsi="Times New Roman"/>
                <w:sz w:val="22"/>
                <w:lang w:val="hu-HU"/>
              </w:rPr>
              <w:tab/>
              <w:t>12 hónap</w:t>
            </w:r>
          </w:p>
        </w:tc>
        <w:tc>
          <w:tcPr>
            <w:tcW w:w="1393" w:type="dxa"/>
            <w:tcBorders>
              <w:top w:val="nil"/>
              <w:left w:val="single" w:sz="6" w:space="0" w:color="auto"/>
              <w:bottom w:val="nil"/>
              <w:right w:val="nil"/>
            </w:tcBorders>
          </w:tcPr>
          <w:p w14:paraId="2E3F7266" w14:textId="77777777" w:rsidR="00B93237" w:rsidRPr="00183B5F" w:rsidRDefault="00943743" w:rsidP="00B93237">
            <w:pPr>
              <w:pStyle w:val="In-texttable"/>
              <w:tabs>
                <w:tab w:val="decimal" w:pos="259"/>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417" w:type="dxa"/>
            <w:tcBorders>
              <w:top w:val="nil"/>
              <w:left w:val="nil"/>
              <w:bottom w:val="nil"/>
              <w:right w:val="single" w:sz="6" w:space="0" w:color="auto"/>
            </w:tcBorders>
          </w:tcPr>
          <w:p w14:paraId="531487CC" w14:textId="77777777" w:rsidR="00B93237" w:rsidRPr="00183B5F" w:rsidRDefault="00943743" w:rsidP="00B93237">
            <w:pPr>
              <w:pStyle w:val="In-texttable"/>
              <w:tabs>
                <w:tab w:val="decimal" w:pos="250"/>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071" w:type="dxa"/>
            <w:tcBorders>
              <w:top w:val="nil"/>
              <w:left w:val="single" w:sz="6" w:space="0" w:color="auto"/>
              <w:bottom w:val="nil"/>
              <w:right w:val="nil"/>
            </w:tcBorders>
          </w:tcPr>
          <w:p w14:paraId="55AA87A8" w14:textId="77777777" w:rsidR="00B93237" w:rsidRPr="00183B5F" w:rsidRDefault="00943743" w:rsidP="00B9323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197" w:type="dxa"/>
            <w:tcBorders>
              <w:top w:val="nil"/>
              <w:left w:val="nil"/>
              <w:bottom w:val="nil"/>
              <w:right w:val="single" w:sz="6" w:space="0" w:color="auto"/>
            </w:tcBorders>
          </w:tcPr>
          <w:p w14:paraId="0A231D1D" w14:textId="77777777" w:rsidR="00B93237" w:rsidRPr="00183B5F" w:rsidRDefault="00943743" w:rsidP="00B93237">
            <w:pPr>
              <w:pStyle w:val="In-texttable"/>
              <w:tabs>
                <w:tab w:val="decimal" w:pos="205"/>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418" w:type="dxa"/>
            <w:tcBorders>
              <w:top w:val="nil"/>
              <w:left w:val="single" w:sz="6" w:space="0" w:color="auto"/>
              <w:bottom w:val="nil"/>
              <w:right w:val="nil"/>
            </w:tcBorders>
          </w:tcPr>
          <w:p w14:paraId="0020964A" w14:textId="77777777" w:rsidR="00B93237" w:rsidRPr="00183B5F" w:rsidRDefault="00943743" w:rsidP="00B93237">
            <w:pPr>
              <w:pStyle w:val="In-texttable"/>
              <w:tabs>
                <w:tab w:val="decimal" w:pos="144"/>
              </w:tabs>
              <w:spacing w:line="240" w:lineRule="auto"/>
              <w:jc w:val="center"/>
              <w:rPr>
                <w:rFonts w:ascii="Times New Roman" w:hAnsi="Times New Roman"/>
                <w:sz w:val="22"/>
                <w:lang w:val="hu-HU"/>
              </w:rPr>
            </w:pPr>
            <w:r w:rsidRPr="00183B5F">
              <w:rPr>
                <w:rFonts w:ascii="Times New Roman" w:hAnsi="Times New Roman"/>
                <w:sz w:val="22"/>
                <w:lang w:val="hu-HU"/>
              </w:rPr>
              <w:t>24,0%</w:t>
            </w:r>
          </w:p>
        </w:tc>
        <w:tc>
          <w:tcPr>
            <w:tcW w:w="1559" w:type="dxa"/>
            <w:tcBorders>
              <w:right w:val="single" w:sz="4" w:space="0" w:color="auto"/>
            </w:tcBorders>
          </w:tcPr>
          <w:p w14:paraId="7D32438F" w14:textId="77777777" w:rsidR="00B93237" w:rsidRPr="00183B5F" w:rsidRDefault="00943743" w:rsidP="00B93237">
            <w:pPr>
              <w:pStyle w:val="In-texttable"/>
              <w:tabs>
                <w:tab w:val="decimal" w:pos="95"/>
              </w:tabs>
              <w:spacing w:line="240" w:lineRule="auto"/>
              <w:jc w:val="center"/>
              <w:rPr>
                <w:rFonts w:ascii="Times New Roman" w:hAnsi="Times New Roman"/>
                <w:sz w:val="22"/>
                <w:lang w:val="hu-HU"/>
              </w:rPr>
            </w:pPr>
            <w:r w:rsidRPr="00183B5F">
              <w:rPr>
                <w:rFonts w:ascii="Times New Roman" w:hAnsi="Times New Roman"/>
                <w:sz w:val="22"/>
                <w:lang w:val="hu-HU"/>
              </w:rPr>
              <w:t>58,9%</w:t>
            </w:r>
          </w:p>
        </w:tc>
      </w:tr>
      <w:tr w:rsidR="00011D2F" w14:paraId="62FD7CD0" w14:textId="77777777" w:rsidTr="00B93237">
        <w:trPr>
          <w:cantSplit/>
        </w:trPr>
        <w:tc>
          <w:tcPr>
            <w:tcW w:w="1159" w:type="dxa"/>
            <w:tcBorders>
              <w:top w:val="nil"/>
              <w:left w:val="single" w:sz="4" w:space="0" w:color="auto"/>
              <w:bottom w:val="nil"/>
              <w:right w:val="single" w:sz="6" w:space="0" w:color="auto"/>
            </w:tcBorders>
          </w:tcPr>
          <w:p w14:paraId="78C4DE7D" w14:textId="77777777" w:rsidR="00B93237" w:rsidRPr="00183B5F" w:rsidRDefault="00943743" w:rsidP="00B93237">
            <w:pPr>
              <w:pStyle w:val="In-texttable"/>
              <w:tabs>
                <w:tab w:val="left" w:pos="144"/>
              </w:tabs>
              <w:spacing w:line="240" w:lineRule="auto"/>
              <w:rPr>
                <w:rFonts w:ascii="Times New Roman" w:hAnsi="Times New Roman"/>
                <w:sz w:val="22"/>
                <w:lang w:val="hu-HU"/>
              </w:rPr>
            </w:pPr>
            <w:r w:rsidRPr="00183B5F">
              <w:rPr>
                <w:rFonts w:ascii="Times New Roman" w:hAnsi="Times New Roman"/>
                <w:sz w:val="22"/>
                <w:lang w:val="hu-HU"/>
              </w:rPr>
              <w:t>ACR 50</w:t>
            </w:r>
          </w:p>
        </w:tc>
        <w:tc>
          <w:tcPr>
            <w:tcW w:w="1393" w:type="dxa"/>
            <w:tcBorders>
              <w:top w:val="nil"/>
              <w:left w:val="single" w:sz="6" w:space="0" w:color="auto"/>
              <w:bottom w:val="nil"/>
              <w:right w:val="nil"/>
            </w:tcBorders>
          </w:tcPr>
          <w:p w14:paraId="33985F97" w14:textId="77777777" w:rsidR="00B93237" w:rsidRPr="00183B5F" w:rsidRDefault="00B93237" w:rsidP="00B93237">
            <w:pPr>
              <w:pStyle w:val="In-texttable"/>
              <w:tabs>
                <w:tab w:val="decimal" w:pos="259"/>
              </w:tabs>
              <w:spacing w:line="240" w:lineRule="auto"/>
              <w:jc w:val="center"/>
              <w:rPr>
                <w:rFonts w:ascii="Times New Roman" w:hAnsi="Times New Roman"/>
                <w:sz w:val="22"/>
                <w:lang w:val="hu-HU"/>
              </w:rPr>
            </w:pPr>
          </w:p>
        </w:tc>
        <w:tc>
          <w:tcPr>
            <w:tcW w:w="1417" w:type="dxa"/>
            <w:tcBorders>
              <w:top w:val="nil"/>
              <w:left w:val="nil"/>
              <w:bottom w:val="nil"/>
              <w:right w:val="single" w:sz="6" w:space="0" w:color="auto"/>
            </w:tcBorders>
          </w:tcPr>
          <w:p w14:paraId="7797F932" w14:textId="77777777" w:rsidR="00B93237" w:rsidRPr="00183B5F" w:rsidRDefault="00B93237" w:rsidP="00B93237">
            <w:pPr>
              <w:pStyle w:val="In-texttable"/>
              <w:tabs>
                <w:tab w:val="decimal" w:pos="250"/>
              </w:tabs>
              <w:spacing w:line="240" w:lineRule="auto"/>
              <w:jc w:val="center"/>
              <w:rPr>
                <w:rFonts w:ascii="Times New Roman" w:hAnsi="Times New Roman"/>
                <w:sz w:val="22"/>
                <w:lang w:val="hu-HU"/>
              </w:rPr>
            </w:pPr>
          </w:p>
        </w:tc>
        <w:tc>
          <w:tcPr>
            <w:tcW w:w="1071" w:type="dxa"/>
            <w:tcBorders>
              <w:top w:val="nil"/>
              <w:left w:val="single" w:sz="6" w:space="0" w:color="auto"/>
              <w:bottom w:val="nil"/>
              <w:right w:val="nil"/>
            </w:tcBorders>
          </w:tcPr>
          <w:p w14:paraId="1C3FEF19" w14:textId="77777777" w:rsidR="00B93237" w:rsidRPr="00183B5F" w:rsidRDefault="00B93237" w:rsidP="00B93237">
            <w:pPr>
              <w:pStyle w:val="In-texttable"/>
              <w:spacing w:line="240" w:lineRule="auto"/>
              <w:jc w:val="center"/>
              <w:rPr>
                <w:rFonts w:ascii="Times New Roman" w:hAnsi="Times New Roman"/>
                <w:sz w:val="22"/>
                <w:lang w:val="hu-HU"/>
              </w:rPr>
            </w:pPr>
          </w:p>
        </w:tc>
        <w:tc>
          <w:tcPr>
            <w:tcW w:w="1197" w:type="dxa"/>
            <w:tcBorders>
              <w:top w:val="nil"/>
              <w:left w:val="nil"/>
              <w:bottom w:val="nil"/>
              <w:right w:val="single" w:sz="6" w:space="0" w:color="auto"/>
            </w:tcBorders>
          </w:tcPr>
          <w:p w14:paraId="5BC45657" w14:textId="77777777" w:rsidR="00B93237" w:rsidRPr="00183B5F" w:rsidRDefault="00B93237" w:rsidP="00B93237">
            <w:pPr>
              <w:pStyle w:val="In-texttable"/>
              <w:tabs>
                <w:tab w:val="decimal" w:pos="205"/>
              </w:tabs>
              <w:spacing w:line="240" w:lineRule="auto"/>
              <w:jc w:val="center"/>
              <w:rPr>
                <w:rFonts w:ascii="Times New Roman" w:hAnsi="Times New Roman"/>
                <w:sz w:val="22"/>
                <w:lang w:val="hu-HU"/>
              </w:rPr>
            </w:pPr>
          </w:p>
        </w:tc>
        <w:tc>
          <w:tcPr>
            <w:tcW w:w="1418" w:type="dxa"/>
            <w:tcBorders>
              <w:top w:val="nil"/>
              <w:left w:val="single" w:sz="6" w:space="0" w:color="auto"/>
              <w:bottom w:val="nil"/>
              <w:right w:val="nil"/>
            </w:tcBorders>
          </w:tcPr>
          <w:p w14:paraId="163133A8" w14:textId="77777777" w:rsidR="00B93237" w:rsidRPr="00183B5F" w:rsidRDefault="00B93237" w:rsidP="00B93237">
            <w:pPr>
              <w:pStyle w:val="In-texttable"/>
              <w:tabs>
                <w:tab w:val="decimal" w:pos="144"/>
              </w:tabs>
              <w:spacing w:line="240" w:lineRule="auto"/>
              <w:jc w:val="center"/>
              <w:rPr>
                <w:rFonts w:ascii="Times New Roman" w:hAnsi="Times New Roman"/>
                <w:sz w:val="22"/>
                <w:lang w:val="hu-HU"/>
              </w:rPr>
            </w:pPr>
          </w:p>
        </w:tc>
        <w:tc>
          <w:tcPr>
            <w:tcW w:w="1559" w:type="dxa"/>
            <w:tcBorders>
              <w:right w:val="single" w:sz="4" w:space="0" w:color="auto"/>
            </w:tcBorders>
          </w:tcPr>
          <w:p w14:paraId="789764A8" w14:textId="77777777" w:rsidR="00B93237" w:rsidRPr="00183B5F" w:rsidRDefault="00B93237" w:rsidP="00B93237">
            <w:pPr>
              <w:pStyle w:val="In-texttable"/>
              <w:tabs>
                <w:tab w:val="decimal" w:pos="95"/>
              </w:tabs>
              <w:spacing w:line="240" w:lineRule="auto"/>
              <w:jc w:val="center"/>
              <w:rPr>
                <w:rFonts w:ascii="Times New Roman" w:hAnsi="Times New Roman"/>
                <w:sz w:val="22"/>
                <w:lang w:val="hu-HU"/>
              </w:rPr>
            </w:pPr>
          </w:p>
        </w:tc>
      </w:tr>
      <w:tr w:rsidR="00011D2F" w14:paraId="28F6B517" w14:textId="77777777" w:rsidTr="00B93237">
        <w:trPr>
          <w:cantSplit/>
        </w:trPr>
        <w:tc>
          <w:tcPr>
            <w:tcW w:w="1159" w:type="dxa"/>
            <w:tcBorders>
              <w:top w:val="nil"/>
              <w:left w:val="single" w:sz="4" w:space="0" w:color="auto"/>
              <w:bottom w:val="nil"/>
              <w:right w:val="single" w:sz="6" w:space="0" w:color="auto"/>
            </w:tcBorders>
          </w:tcPr>
          <w:p w14:paraId="31AA141A" w14:textId="77777777" w:rsidR="00B93237" w:rsidRPr="00183B5F" w:rsidRDefault="00943743" w:rsidP="00B93237">
            <w:pPr>
              <w:pStyle w:val="In-texttable"/>
              <w:tabs>
                <w:tab w:val="left" w:pos="144"/>
              </w:tabs>
              <w:spacing w:line="240" w:lineRule="auto"/>
              <w:rPr>
                <w:rFonts w:ascii="Times New Roman" w:hAnsi="Times New Roman"/>
                <w:sz w:val="22"/>
                <w:lang w:val="hu-HU"/>
              </w:rPr>
            </w:pPr>
            <w:r w:rsidRPr="00183B5F">
              <w:rPr>
                <w:rFonts w:ascii="Times New Roman" w:hAnsi="Times New Roman"/>
                <w:sz w:val="22"/>
                <w:lang w:val="hu-HU"/>
              </w:rPr>
              <w:tab/>
              <w:t>6 hónap</w:t>
            </w:r>
          </w:p>
        </w:tc>
        <w:tc>
          <w:tcPr>
            <w:tcW w:w="1393" w:type="dxa"/>
            <w:tcBorders>
              <w:top w:val="nil"/>
              <w:left w:val="single" w:sz="6" w:space="0" w:color="auto"/>
              <w:bottom w:val="nil"/>
              <w:right w:val="nil"/>
            </w:tcBorders>
          </w:tcPr>
          <w:p w14:paraId="64D1E96F" w14:textId="77777777" w:rsidR="00B93237" w:rsidRPr="00183B5F" w:rsidRDefault="00943743" w:rsidP="00B93237">
            <w:pPr>
              <w:pStyle w:val="In-texttable"/>
              <w:tabs>
                <w:tab w:val="decimal" w:pos="259"/>
              </w:tabs>
              <w:spacing w:line="240" w:lineRule="auto"/>
              <w:jc w:val="center"/>
              <w:rPr>
                <w:rFonts w:ascii="Times New Roman" w:hAnsi="Times New Roman"/>
                <w:sz w:val="22"/>
                <w:lang w:val="hu-HU"/>
              </w:rPr>
            </w:pPr>
            <w:r w:rsidRPr="00183B5F">
              <w:rPr>
                <w:rFonts w:ascii="Times New Roman" w:hAnsi="Times New Roman"/>
                <w:sz w:val="22"/>
                <w:lang w:val="hu-HU"/>
              </w:rPr>
              <w:t>6,7%</w:t>
            </w:r>
          </w:p>
        </w:tc>
        <w:tc>
          <w:tcPr>
            <w:tcW w:w="1417" w:type="dxa"/>
            <w:tcBorders>
              <w:top w:val="nil"/>
              <w:left w:val="nil"/>
              <w:bottom w:val="nil"/>
              <w:right w:val="single" w:sz="6" w:space="0" w:color="auto"/>
            </w:tcBorders>
          </w:tcPr>
          <w:p w14:paraId="63F525CF" w14:textId="77777777" w:rsidR="00B93237" w:rsidRPr="00183B5F" w:rsidRDefault="00943743" w:rsidP="00B93237">
            <w:pPr>
              <w:pStyle w:val="In-texttable"/>
              <w:tabs>
                <w:tab w:val="decimal" w:pos="250"/>
              </w:tabs>
              <w:spacing w:line="240" w:lineRule="auto"/>
              <w:jc w:val="center"/>
              <w:rPr>
                <w:rFonts w:ascii="Times New Roman" w:hAnsi="Times New Roman"/>
                <w:sz w:val="22"/>
                <w:lang w:val="hu-HU"/>
              </w:rPr>
            </w:pPr>
            <w:r w:rsidRPr="00183B5F">
              <w:rPr>
                <w:rFonts w:ascii="Times New Roman" w:hAnsi="Times New Roman"/>
                <w:sz w:val="22"/>
                <w:lang w:val="hu-HU"/>
              </w:rPr>
              <w:t>52,4%</w:t>
            </w:r>
          </w:p>
        </w:tc>
        <w:tc>
          <w:tcPr>
            <w:tcW w:w="1071" w:type="dxa"/>
            <w:tcBorders>
              <w:top w:val="nil"/>
              <w:left w:val="single" w:sz="6" w:space="0" w:color="auto"/>
              <w:bottom w:val="nil"/>
              <w:right w:val="nil"/>
            </w:tcBorders>
          </w:tcPr>
          <w:p w14:paraId="4EB851E9" w14:textId="77777777" w:rsidR="00B93237" w:rsidRPr="00183B5F" w:rsidRDefault="00943743" w:rsidP="00B9323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8,2%</w:t>
            </w:r>
          </w:p>
        </w:tc>
        <w:tc>
          <w:tcPr>
            <w:tcW w:w="1197" w:type="dxa"/>
            <w:tcBorders>
              <w:top w:val="nil"/>
              <w:left w:val="nil"/>
              <w:bottom w:val="nil"/>
              <w:right w:val="single" w:sz="6" w:space="0" w:color="auto"/>
            </w:tcBorders>
          </w:tcPr>
          <w:p w14:paraId="102B3E13" w14:textId="77777777" w:rsidR="00B93237" w:rsidRPr="00183B5F" w:rsidRDefault="00943743" w:rsidP="00B93237">
            <w:pPr>
              <w:pStyle w:val="In-texttable"/>
              <w:tabs>
                <w:tab w:val="decimal" w:pos="205"/>
              </w:tabs>
              <w:spacing w:line="240" w:lineRule="auto"/>
              <w:jc w:val="center"/>
              <w:rPr>
                <w:rFonts w:ascii="Times New Roman" w:hAnsi="Times New Roman"/>
                <w:sz w:val="22"/>
                <w:lang w:val="hu-HU"/>
              </w:rPr>
            </w:pPr>
            <w:r w:rsidRPr="00183B5F">
              <w:rPr>
                <w:rFonts w:ascii="Times New Roman" w:hAnsi="Times New Roman"/>
                <w:sz w:val="22"/>
                <w:lang w:val="hu-HU"/>
              </w:rPr>
              <w:t>22,1%</w:t>
            </w:r>
          </w:p>
        </w:tc>
        <w:tc>
          <w:tcPr>
            <w:tcW w:w="1418" w:type="dxa"/>
            <w:tcBorders>
              <w:top w:val="nil"/>
              <w:left w:val="single" w:sz="6" w:space="0" w:color="auto"/>
              <w:bottom w:val="nil"/>
              <w:right w:val="nil"/>
            </w:tcBorders>
          </w:tcPr>
          <w:p w14:paraId="65F91DFD" w14:textId="77777777" w:rsidR="00B93237" w:rsidRPr="00183B5F" w:rsidRDefault="00943743" w:rsidP="00B93237">
            <w:pPr>
              <w:pStyle w:val="In-texttable"/>
              <w:tabs>
                <w:tab w:val="decimal" w:pos="144"/>
              </w:tabs>
              <w:spacing w:line="240" w:lineRule="auto"/>
              <w:jc w:val="center"/>
              <w:rPr>
                <w:rFonts w:ascii="Times New Roman" w:hAnsi="Times New Roman"/>
                <w:sz w:val="22"/>
                <w:lang w:val="hu-HU"/>
              </w:rPr>
            </w:pPr>
            <w:r w:rsidRPr="00183B5F">
              <w:rPr>
                <w:rFonts w:ascii="Times New Roman" w:hAnsi="Times New Roman"/>
                <w:sz w:val="22"/>
                <w:lang w:val="hu-HU"/>
              </w:rPr>
              <w:t>9,5%</w:t>
            </w:r>
          </w:p>
        </w:tc>
        <w:tc>
          <w:tcPr>
            <w:tcW w:w="1559" w:type="dxa"/>
            <w:tcBorders>
              <w:right w:val="single" w:sz="4" w:space="0" w:color="auto"/>
            </w:tcBorders>
          </w:tcPr>
          <w:p w14:paraId="210070DE" w14:textId="77777777" w:rsidR="00B93237" w:rsidRPr="00183B5F" w:rsidRDefault="00943743" w:rsidP="00B93237">
            <w:pPr>
              <w:pStyle w:val="In-texttable"/>
              <w:tabs>
                <w:tab w:val="decimal" w:pos="95"/>
              </w:tabs>
              <w:spacing w:line="240" w:lineRule="auto"/>
              <w:jc w:val="center"/>
              <w:rPr>
                <w:rFonts w:ascii="Times New Roman" w:hAnsi="Times New Roman"/>
                <w:sz w:val="22"/>
                <w:lang w:val="hu-HU"/>
              </w:rPr>
            </w:pPr>
            <w:r w:rsidRPr="00183B5F">
              <w:rPr>
                <w:rFonts w:ascii="Times New Roman" w:hAnsi="Times New Roman"/>
                <w:sz w:val="22"/>
                <w:lang w:val="hu-HU"/>
              </w:rPr>
              <w:t>39,1%</w:t>
            </w:r>
          </w:p>
        </w:tc>
      </w:tr>
      <w:tr w:rsidR="00011D2F" w14:paraId="18ECCB94" w14:textId="77777777" w:rsidTr="00B93237">
        <w:trPr>
          <w:cantSplit/>
        </w:trPr>
        <w:tc>
          <w:tcPr>
            <w:tcW w:w="1159" w:type="dxa"/>
            <w:tcBorders>
              <w:top w:val="nil"/>
              <w:left w:val="single" w:sz="4" w:space="0" w:color="auto"/>
              <w:bottom w:val="nil"/>
              <w:right w:val="single" w:sz="6" w:space="0" w:color="auto"/>
            </w:tcBorders>
          </w:tcPr>
          <w:p w14:paraId="1B8DEEED" w14:textId="77777777" w:rsidR="00B93237" w:rsidRPr="00183B5F" w:rsidRDefault="00943743" w:rsidP="00B93237">
            <w:pPr>
              <w:pStyle w:val="In-texttable"/>
              <w:tabs>
                <w:tab w:val="left" w:pos="144"/>
              </w:tabs>
              <w:spacing w:line="240" w:lineRule="auto"/>
              <w:rPr>
                <w:rFonts w:ascii="Times New Roman" w:hAnsi="Times New Roman"/>
                <w:sz w:val="22"/>
                <w:lang w:val="hu-HU"/>
              </w:rPr>
            </w:pPr>
            <w:r w:rsidRPr="00183B5F">
              <w:rPr>
                <w:rFonts w:ascii="Times New Roman" w:hAnsi="Times New Roman"/>
                <w:sz w:val="22"/>
                <w:lang w:val="hu-HU"/>
              </w:rPr>
              <w:tab/>
              <w:t>12 hónap</w:t>
            </w:r>
          </w:p>
        </w:tc>
        <w:tc>
          <w:tcPr>
            <w:tcW w:w="1393" w:type="dxa"/>
            <w:tcBorders>
              <w:top w:val="nil"/>
              <w:left w:val="single" w:sz="6" w:space="0" w:color="auto"/>
              <w:bottom w:val="nil"/>
              <w:right w:val="nil"/>
            </w:tcBorders>
          </w:tcPr>
          <w:p w14:paraId="2F13BD16" w14:textId="77777777" w:rsidR="00B93237" w:rsidRPr="00183B5F" w:rsidRDefault="00943743" w:rsidP="00B93237">
            <w:pPr>
              <w:pStyle w:val="In-texttable"/>
              <w:tabs>
                <w:tab w:val="decimal" w:pos="259"/>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417" w:type="dxa"/>
            <w:tcBorders>
              <w:top w:val="nil"/>
              <w:left w:val="nil"/>
              <w:bottom w:val="nil"/>
              <w:right w:val="single" w:sz="6" w:space="0" w:color="auto"/>
            </w:tcBorders>
          </w:tcPr>
          <w:p w14:paraId="2349B74E" w14:textId="77777777" w:rsidR="00B93237" w:rsidRPr="00183B5F" w:rsidRDefault="00943743" w:rsidP="00B93237">
            <w:pPr>
              <w:pStyle w:val="In-texttable"/>
              <w:tabs>
                <w:tab w:val="decimal" w:pos="250"/>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071" w:type="dxa"/>
            <w:tcBorders>
              <w:top w:val="nil"/>
              <w:left w:val="single" w:sz="6" w:space="0" w:color="auto"/>
              <w:bottom w:val="nil"/>
              <w:right w:val="nil"/>
            </w:tcBorders>
          </w:tcPr>
          <w:p w14:paraId="5E09FBA8" w14:textId="77777777" w:rsidR="00B93237" w:rsidRPr="00183B5F" w:rsidRDefault="00943743" w:rsidP="00B9323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197" w:type="dxa"/>
            <w:tcBorders>
              <w:top w:val="nil"/>
              <w:left w:val="nil"/>
              <w:bottom w:val="nil"/>
              <w:right w:val="single" w:sz="6" w:space="0" w:color="auto"/>
            </w:tcBorders>
          </w:tcPr>
          <w:p w14:paraId="40085172" w14:textId="77777777" w:rsidR="00B93237" w:rsidRPr="00183B5F" w:rsidRDefault="00943743" w:rsidP="00B93237">
            <w:pPr>
              <w:pStyle w:val="In-texttable"/>
              <w:tabs>
                <w:tab w:val="decimal" w:pos="205"/>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418" w:type="dxa"/>
            <w:tcBorders>
              <w:top w:val="nil"/>
              <w:left w:val="single" w:sz="6" w:space="0" w:color="auto"/>
              <w:bottom w:val="nil"/>
              <w:right w:val="nil"/>
            </w:tcBorders>
          </w:tcPr>
          <w:p w14:paraId="1A294E18" w14:textId="77777777" w:rsidR="00B93237" w:rsidRPr="00183B5F" w:rsidRDefault="00943743" w:rsidP="00B93237">
            <w:pPr>
              <w:pStyle w:val="In-texttable"/>
              <w:tabs>
                <w:tab w:val="decimal" w:pos="144"/>
              </w:tabs>
              <w:spacing w:line="240" w:lineRule="auto"/>
              <w:jc w:val="center"/>
              <w:rPr>
                <w:rFonts w:ascii="Times New Roman" w:hAnsi="Times New Roman"/>
                <w:sz w:val="22"/>
                <w:lang w:val="hu-HU"/>
              </w:rPr>
            </w:pPr>
            <w:r w:rsidRPr="00183B5F">
              <w:rPr>
                <w:rFonts w:ascii="Times New Roman" w:hAnsi="Times New Roman"/>
                <w:sz w:val="22"/>
                <w:lang w:val="hu-HU"/>
              </w:rPr>
              <w:t>9,5%</w:t>
            </w:r>
          </w:p>
        </w:tc>
        <w:tc>
          <w:tcPr>
            <w:tcW w:w="1559" w:type="dxa"/>
            <w:tcBorders>
              <w:right w:val="single" w:sz="4" w:space="0" w:color="auto"/>
            </w:tcBorders>
          </w:tcPr>
          <w:p w14:paraId="3DA5B3BA" w14:textId="77777777" w:rsidR="00B93237" w:rsidRPr="00183B5F" w:rsidRDefault="00943743" w:rsidP="00B93237">
            <w:pPr>
              <w:pStyle w:val="In-texttable"/>
              <w:tabs>
                <w:tab w:val="decimal" w:pos="95"/>
              </w:tabs>
              <w:spacing w:line="240" w:lineRule="auto"/>
              <w:jc w:val="center"/>
              <w:rPr>
                <w:rFonts w:ascii="Times New Roman" w:hAnsi="Times New Roman"/>
                <w:sz w:val="22"/>
                <w:lang w:val="hu-HU"/>
              </w:rPr>
            </w:pPr>
            <w:r w:rsidRPr="00183B5F">
              <w:rPr>
                <w:rFonts w:ascii="Times New Roman" w:hAnsi="Times New Roman"/>
                <w:sz w:val="22"/>
                <w:lang w:val="hu-HU"/>
              </w:rPr>
              <w:t>41,5%</w:t>
            </w:r>
          </w:p>
        </w:tc>
      </w:tr>
      <w:tr w:rsidR="00011D2F" w14:paraId="2D7BF5B5" w14:textId="77777777" w:rsidTr="00B93237">
        <w:trPr>
          <w:cantSplit/>
        </w:trPr>
        <w:tc>
          <w:tcPr>
            <w:tcW w:w="1159" w:type="dxa"/>
            <w:tcBorders>
              <w:top w:val="nil"/>
              <w:left w:val="single" w:sz="4" w:space="0" w:color="auto"/>
              <w:bottom w:val="nil"/>
              <w:right w:val="single" w:sz="6" w:space="0" w:color="auto"/>
            </w:tcBorders>
          </w:tcPr>
          <w:p w14:paraId="4F4A9A8C" w14:textId="77777777" w:rsidR="00B93237" w:rsidRPr="00183B5F" w:rsidRDefault="00943743" w:rsidP="00B93237">
            <w:pPr>
              <w:pStyle w:val="In-texttable"/>
              <w:tabs>
                <w:tab w:val="left" w:pos="144"/>
              </w:tabs>
              <w:spacing w:line="240" w:lineRule="auto"/>
              <w:rPr>
                <w:rFonts w:ascii="Times New Roman" w:hAnsi="Times New Roman"/>
                <w:sz w:val="22"/>
                <w:lang w:val="hu-HU"/>
              </w:rPr>
            </w:pPr>
            <w:r w:rsidRPr="00202B95">
              <w:rPr>
                <w:noProof/>
                <w:lang w:val="en-GB"/>
              </w:rPr>
              <mc:AlternateContent>
                <mc:Choice Requires="wps">
                  <w:drawing>
                    <wp:anchor distT="0" distB="0" distL="114300" distR="114300" simplePos="0" relativeHeight="251672576" behindDoc="0" locked="0" layoutInCell="0" allowOverlap="1" wp14:anchorId="30A2BF7F" wp14:editId="6E9931DE">
                      <wp:simplePos x="0" y="0"/>
                      <wp:positionH relativeFrom="column">
                        <wp:posOffset>-4972050</wp:posOffset>
                      </wp:positionH>
                      <wp:positionV relativeFrom="paragraph">
                        <wp:posOffset>38735</wp:posOffset>
                      </wp:positionV>
                      <wp:extent cx="3543300" cy="342900"/>
                      <wp:effectExtent l="0" t="0" r="0" b="0"/>
                      <wp:wrapNone/>
                      <wp:docPr id="6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2619EA" w14:textId="77777777" w:rsidR="00117602" w:rsidRDefault="00117602" w:rsidP="00B93237">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0A2BF7F" id="_x0000_s1031" type="#_x0000_t202" style="position:absolute;margin-left:-391.5pt;margin-top:3.05pt;width:279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" o:allowincell="f" stroked="f">
                      <v:textbox>
                        <w:txbxContent>
                          <w:p w14:paraId="0B2619EA" w14:textId="77777777" w:rsidR="00117602" w:rsidRDefault="00117602" w:rsidP="00B93237">
                            <w:pPr>
                              <w:rPr>
                                <w:sz w:val="20"/>
                              </w:rPr>
                            </w:pPr>
                          </w:p>
                        </w:txbxContent>
                      </v:textbox>
                    </v:shape>
                  </w:pict>
                </mc:Fallback>
              </mc:AlternateContent>
            </w:r>
            <w:r w:rsidRPr="00183B5F">
              <w:rPr>
                <w:rFonts w:ascii="Times New Roman" w:hAnsi="Times New Roman"/>
                <w:sz w:val="22"/>
                <w:lang w:val="hu-HU"/>
              </w:rPr>
              <w:t>ACR 70</w:t>
            </w:r>
          </w:p>
        </w:tc>
        <w:tc>
          <w:tcPr>
            <w:tcW w:w="1393" w:type="dxa"/>
            <w:tcBorders>
              <w:top w:val="nil"/>
              <w:left w:val="single" w:sz="6" w:space="0" w:color="auto"/>
              <w:bottom w:val="nil"/>
              <w:right w:val="nil"/>
            </w:tcBorders>
          </w:tcPr>
          <w:p w14:paraId="7C17C605" w14:textId="77777777" w:rsidR="00B93237" w:rsidRPr="00183B5F" w:rsidRDefault="00B93237" w:rsidP="00B93237">
            <w:pPr>
              <w:pStyle w:val="In-texttable"/>
              <w:tabs>
                <w:tab w:val="decimal" w:pos="259"/>
              </w:tabs>
              <w:spacing w:line="240" w:lineRule="auto"/>
              <w:jc w:val="center"/>
              <w:rPr>
                <w:rFonts w:ascii="Times New Roman" w:hAnsi="Times New Roman"/>
                <w:sz w:val="22"/>
                <w:lang w:val="hu-HU"/>
              </w:rPr>
            </w:pPr>
          </w:p>
        </w:tc>
        <w:tc>
          <w:tcPr>
            <w:tcW w:w="1417" w:type="dxa"/>
            <w:tcBorders>
              <w:top w:val="nil"/>
              <w:left w:val="nil"/>
              <w:bottom w:val="nil"/>
              <w:right w:val="single" w:sz="6" w:space="0" w:color="auto"/>
            </w:tcBorders>
          </w:tcPr>
          <w:p w14:paraId="3714B3DD" w14:textId="77777777" w:rsidR="00B93237" w:rsidRPr="00183B5F" w:rsidRDefault="00B93237" w:rsidP="00B93237">
            <w:pPr>
              <w:pStyle w:val="In-texttable"/>
              <w:tabs>
                <w:tab w:val="decimal" w:pos="250"/>
              </w:tabs>
              <w:spacing w:line="240" w:lineRule="auto"/>
              <w:jc w:val="center"/>
              <w:rPr>
                <w:rFonts w:ascii="Times New Roman" w:hAnsi="Times New Roman"/>
                <w:sz w:val="22"/>
                <w:lang w:val="hu-HU"/>
              </w:rPr>
            </w:pPr>
          </w:p>
        </w:tc>
        <w:tc>
          <w:tcPr>
            <w:tcW w:w="1071" w:type="dxa"/>
            <w:tcBorders>
              <w:top w:val="nil"/>
              <w:left w:val="single" w:sz="6" w:space="0" w:color="auto"/>
              <w:bottom w:val="nil"/>
              <w:right w:val="nil"/>
            </w:tcBorders>
          </w:tcPr>
          <w:p w14:paraId="3044FD7A" w14:textId="77777777" w:rsidR="00B93237" w:rsidRPr="00183B5F" w:rsidRDefault="00B93237" w:rsidP="00B93237">
            <w:pPr>
              <w:pStyle w:val="In-texttable"/>
              <w:spacing w:line="240" w:lineRule="auto"/>
              <w:jc w:val="center"/>
              <w:rPr>
                <w:rFonts w:ascii="Times New Roman" w:hAnsi="Times New Roman"/>
                <w:sz w:val="22"/>
                <w:lang w:val="hu-HU"/>
              </w:rPr>
            </w:pPr>
          </w:p>
        </w:tc>
        <w:tc>
          <w:tcPr>
            <w:tcW w:w="1197" w:type="dxa"/>
            <w:tcBorders>
              <w:top w:val="nil"/>
              <w:left w:val="nil"/>
              <w:bottom w:val="nil"/>
              <w:right w:val="single" w:sz="6" w:space="0" w:color="auto"/>
            </w:tcBorders>
          </w:tcPr>
          <w:p w14:paraId="61BD0324" w14:textId="77777777" w:rsidR="00B93237" w:rsidRPr="00183B5F" w:rsidRDefault="00B93237" w:rsidP="00B93237">
            <w:pPr>
              <w:pStyle w:val="In-texttable"/>
              <w:tabs>
                <w:tab w:val="decimal" w:pos="205"/>
              </w:tabs>
              <w:spacing w:line="240" w:lineRule="auto"/>
              <w:jc w:val="center"/>
              <w:rPr>
                <w:rFonts w:ascii="Times New Roman" w:hAnsi="Times New Roman"/>
                <w:sz w:val="22"/>
                <w:lang w:val="hu-HU"/>
              </w:rPr>
            </w:pPr>
          </w:p>
        </w:tc>
        <w:tc>
          <w:tcPr>
            <w:tcW w:w="1418" w:type="dxa"/>
            <w:tcBorders>
              <w:top w:val="nil"/>
              <w:left w:val="single" w:sz="6" w:space="0" w:color="auto"/>
              <w:bottom w:val="nil"/>
              <w:right w:val="nil"/>
            </w:tcBorders>
          </w:tcPr>
          <w:p w14:paraId="2B2E6368" w14:textId="77777777" w:rsidR="00B93237" w:rsidRPr="00183B5F" w:rsidRDefault="00B93237" w:rsidP="00B93237">
            <w:pPr>
              <w:pStyle w:val="In-texttable"/>
              <w:tabs>
                <w:tab w:val="decimal" w:pos="144"/>
              </w:tabs>
              <w:spacing w:line="240" w:lineRule="auto"/>
              <w:jc w:val="center"/>
              <w:rPr>
                <w:rFonts w:ascii="Times New Roman" w:hAnsi="Times New Roman"/>
                <w:sz w:val="22"/>
                <w:lang w:val="hu-HU"/>
              </w:rPr>
            </w:pPr>
          </w:p>
        </w:tc>
        <w:tc>
          <w:tcPr>
            <w:tcW w:w="1559" w:type="dxa"/>
            <w:tcBorders>
              <w:right w:val="single" w:sz="4" w:space="0" w:color="auto"/>
            </w:tcBorders>
          </w:tcPr>
          <w:p w14:paraId="2DA852C4" w14:textId="77777777" w:rsidR="00B93237" w:rsidRPr="00183B5F" w:rsidRDefault="00B93237" w:rsidP="00B93237">
            <w:pPr>
              <w:pStyle w:val="In-texttable"/>
              <w:tabs>
                <w:tab w:val="decimal" w:pos="95"/>
              </w:tabs>
              <w:spacing w:line="240" w:lineRule="auto"/>
              <w:jc w:val="center"/>
              <w:rPr>
                <w:rFonts w:ascii="Times New Roman" w:hAnsi="Times New Roman"/>
                <w:sz w:val="22"/>
                <w:lang w:val="hu-HU"/>
              </w:rPr>
            </w:pPr>
          </w:p>
        </w:tc>
      </w:tr>
      <w:tr w:rsidR="00011D2F" w14:paraId="1ED52E55" w14:textId="77777777" w:rsidTr="00B93237">
        <w:trPr>
          <w:cantSplit/>
        </w:trPr>
        <w:tc>
          <w:tcPr>
            <w:tcW w:w="1159" w:type="dxa"/>
            <w:tcBorders>
              <w:top w:val="nil"/>
              <w:left w:val="single" w:sz="4" w:space="0" w:color="auto"/>
              <w:bottom w:val="nil"/>
              <w:right w:val="single" w:sz="6" w:space="0" w:color="auto"/>
            </w:tcBorders>
          </w:tcPr>
          <w:p w14:paraId="078DE5B1" w14:textId="77777777" w:rsidR="00B93237" w:rsidRPr="00183B5F" w:rsidRDefault="00943743" w:rsidP="00B93237">
            <w:pPr>
              <w:pStyle w:val="In-texttable"/>
              <w:tabs>
                <w:tab w:val="left" w:pos="144"/>
              </w:tabs>
              <w:spacing w:line="240" w:lineRule="auto"/>
              <w:rPr>
                <w:rFonts w:ascii="Times New Roman" w:hAnsi="Times New Roman"/>
                <w:sz w:val="22"/>
                <w:lang w:val="hu-HU"/>
              </w:rPr>
            </w:pPr>
            <w:r w:rsidRPr="00183B5F">
              <w:rPr>
                <w:rFonts w:ascii="Times New Roman" w:hAnsi="Times New Roman"/>
                <w:sz w:val="22"/>
                <w:lang w:val="hu-HU"/>
              </w:rPr>
              <w:tab/>
              <w:t>6 hónap</w:t>
            </w:r>
          </w:p>
        </w:tc>
        <w:tc>
          <w:tcPr>
            <w:tcW w:w="1393" w:type="dxa"/>
            <w:tcBorders>
              <w:top w:val="nil"/>
              <w:left w:val="single" w:sz="6" w:space="0" w:color="auto"/>
              <w:bottom w:val="nil"/>
              <w:right w:val="nil"/>
            </w:tcBorders>
          </w:tcPr>
          <w:p w14:paraId="69B16EF8" w14:textId="77777777" w:rsidR="00B93237" w:rsidRPr="00183B5F" w:rsidRDefault="00943743" w:rsidP="00B93237">
            <w:pPr>
              <w:pStyle w:val="In-texttable"/>
              <w:tabs>
                <w:tab w:val="decimal" w:pos="259"/>
              </w:tabs>
              <w:spacing w:line="240" w:lineRule="auto"/>
              <w:jc w:val="center"/>
              <w:rPr>
                <w:rFonts w:ascii="Times New Roman" w:hAnsi="Times New Roman"/>
                <w:sz w:val="22"/>
                <w:lang w:val="hu-HU"/>
              </w:rPr>
            </w:pPr>
            <w:r w:rsidRPr="00183B5F">
              <w:rPr>
                <w:rFonts w:ascii="Times New Roman" w:hAnsi="Times New Roman"/>
                <w:sz w:val="22"/>
                <w:lang w:val="hu-HU"/>
              </w:rPr>
              <w:t>3,3%</w:t>
            </w:r>
          </w:p>
        </w:tc>
        <w:tc>
          <w:tcPr>
            <w:tcW w:w="1417" w:type="dxa"/>
            <w:tcBorders>
              <w:top w:val="nil"/>
              <w:left w:val="nil"/>
              <w:bottom w:val="nil"/>
              <w:right w:val="single" w:sz="6" w:space="0" w:color="auto"/>
            </w:tcBorders>
          </w:tcPr>
          <w:p w14:paraId="56FB1EB9" w14:textId="77777777" w:rsidR="00B93237" w:rsidRPr="00183B5F" w:rsidRDefault="00943743" w:rsidP="00B93237">
            <w:pPr>
              <w:pStyle w:val="In-texttable"/>
              <w:tabs>
                <w:tab w:val="decimal" w:pos="250"/>
              </w:tabs>
              <w:spacing w:line="240" w:lineRule="auto"/>
              <w:jc w:val="center"/>
              <w:rPr>
                <w:rFonts w:ascii="Times New Roman" w:hAnsi="Times New Roman"/>
                <w:sz w:val="22"/>
                <w:lang w:val="hu-HU"/>
              </w:rPr>
            </w:pPr>
            <w:r w:rsidRPr="00183B5F">
              <w:rPr>
                <w:rFonts w:ascii="Times New Roman" w:hAnsi="Times New Roman"/>
                <w:sz w:val="22"/>
                <w:lang w:val="hu-HU"/>
              </w:rPr>
              <w:t>23,8%</w:t>
            </w:r>
          </w:p>
        </w:tc>
        <w:tc>
          <w:tcPr>
            <w:tcW w:w="1071" w:type="dxa"/>
            <w:tcBorders>
              <w:top w:val="nil"/>
              <w:left w:val="single" w:sz="6" w:space="0" w:color="auto"/>
              <w:bottom w:val="nil"/>
              <w:right w:val="nil"/>
            </w:tcBorders>
          </w:tcPr>
          <w:p w14:paraId="7AD677FE" w14:textId="77777777" w:rsidR="00B93237" w:rsidRPr="00183B5F" w:rsidRDefault="00943743" w:rsidP="00B9323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1,8%</w:t>
            </w:r>
          </w:p>
        </w:tc>
        <w:tc>
          <w:tcPr>
            <w:tcW w:w="1197" w:type="dxa"/>
            <w:tcBorders>
              <w:top w:val="nil"/>
              <w:left w:val="nil"/>
              <w:bottom w:val="nil"/>
              <w:right w:val="single" w:sz="6" w:space="0" w:color="auto"/>
            </w:tcBorders>
          </w:tcPr>
          <w:p w14:paraId="10C654D8" w14:textId="77777777" w:rsidR="00B93237" w:rsidRPr="00183B5F" w:rsidRDefault="00943743" w:rsidP="00B93237">
            <w:pPr>
              <w:pStyle w:val="In-texttable"/>
              <w:tabs>
                <w:tab w:val="decimal" w:pos="205"/>
              </w:tabs>
              <w:spacing w:line="240" w:lineRule="auto"/>
              <w:jc w:val="center"/>
              <w:rPr>
                <w:rFonts w:ascii="Times New Roman" w:hAnsi="Times New Roman"/>
                <w:sz w:val="22"/>
                <w:lang w:val="hu-HU"/>
              </w:rPr>
            </w:pPr>
            <w:r w:rsidRPr="00183B5F">
              <w:rPr>
                <w:rFonts w:ascii="Times New Roman" w:hAnsi="Times New Roman"/>
                <w:sz w:val="22"/>
                <w:lang w:val="hu-HU"/>
              </w:rPr>
              <w:t>12,4%</w:t>
            </w:r>
          </w:p>
        </w:tc>
        <w:tc>
          <w:tcPr>
            <w:tcW w:w="1418" w:type="dxa"/>
            <w:tcBorders>
              <w:top w:val="nil"/>
              <w:left w:val="single" w:sz="6" w:space="0" w:color="auto"/>
              <w:bottom w:val="nil"/>
              <w:right w:val="nil"/>
            </w:tcBorders>
          </w:tcPr>
          <w:p w14:paraId="23B1A8D4" w14:textId="77777777" w:rsidR="00B93237" w:rsidRPr="00183B5F" w:rsidRDefault="00943743" w:rsidP="00B93237">
            <w:pPr>
              <w:pStyle w:val="In-texttable"/>
              <w:tabs>
                <w:tab w:val="decimal" w:pos="144"/>
              </w:tabs>
              <w:spacing w:line="240" w:lineRule="auto"/>
              <w:jc w:val="center"/>
              <w:rPr>
                <w:rFonts w:ascii="Times New Roman" w:hAnsi="Times New Roman"/>
                <w:sz w:val="22"/>
                <w:lang w:val="hu-HU"/>
              </w:rPr>
            </w:pPr>
            <w:r w:rsidRPr="00183B5F">
              <w:rPr>
                <w:rFonts w:ascii="Times New Roman" w:hAnsi="Times New Roman"/>
                <w:sz w:val="22"/>
                <w:lang w:val="hu-HU"/>
              </w:rPr>
              <w:t>2,5%</w:t>
            </w:r>
          </w:p>
        </w:tc>
        <w:tc>
          <w:tcPr>
            <w:tcW w:w="1559" w:type="dxa"/>
            <w:tcBorders>
              <w:right w:val="single" w:sz="4" w:space="0" w:color="auto"/>
            </w:tcBorders>
          </w:tcPr>
          <w:p w14:paraId="71A695FE" w14:textId="77777777" w:rsidR="00B93237" w:rsidRPr="00183B5F" w:rsidRDefault="00943743" w:rsidP="00B93237">
            <w:pPr>
              <w:pStyle w:val="In-texttable"/>
              <w:tabs>
                <w:tab w:val="decimal" w:pos="95"/>
              </w:tabs>
              <w:spacing w:line="240" w:lineRule="auto"/>
              <w:jc w:val="center"/>
              <w:rPr>
                <w:rFonts w:ascii="Times New Roman" w:hAnsi="Times New Roman"/>
                <w:sz w:val="22"/>
                <w:lang w:val="hu-HU"/>
              </w:rPr>
            </w:pPr>
            <w:r w:rsidRPr="00183B5F">
              <w:rPr>
                <w:rFonts w:ascii="Times New Roman" w:hAnsi="Times New Roman"/>
                <w:sz w:val="22"/>
                <w:lang w:val="hu-HU"/>
              </w:rPr>
              <w:t>20,8%</w:t>
            </w:r>
          </w:p>
        </w:tc>
      </w:tr>
      <w:tr w:rsidR="00011D2F" w14:paraId="7919CB90" w14:textId="77777777" w:rsidTr="00B93237">
        <w:trPr>
          <w:cantSplit/>
        </w:trPr>
        <w:tc>
          <w:tcPr>
            <w:tcW w:w="1159" w:type="dxa"/>
            <w:tcBorders>
              <w:top w:val="nil"/>
              <w:left w:val="single" w:sz="4" w:space="0" w:color="auto"/>
              <w:bottom w:val="single" w:sz="4" w:space="0" w:color="auto"/>
              <w:right w:val="single" w:sz="6" w:space="0" w:color="auto"/>
            </w:tcBorders>
          </w:tcPr>
          <w:p w14:paraId="735F2C7F" w14:textId="77777777" w:rsidR="00B93237" w:rsidRPr="00183B5F" w:rsidRDefault="00943743" w:rsidP="00B93237">
            <w:pPr>
              <w:pStyle w:val="In-texttable"/>
              <w:tabs>
                <w:tab w:val="left" w:pos="144"/>
              </w:tabs>
              <w:spacing w:line="240" w:lineRule="auto"/>
              <w:rPr>
                <w:rFonts w:ascii="Times New Roman" w:hAnsi="Times New Roman"/>
                <w:sz w:val="22"/>
                <w:lang w:val="hu-HU"/>
              </w:rPr>
            </w:pPr>
            <w:r w:rsidRPr="00183B5F">
              <w:rPr>
                <w:rFonts w:ascii="Times New Roman" w:hAnsi="Times New Roman"/>
                <w:sz w:val="22"/>
                <w:lang w:val="hu-HU"/>
              </w:rPr>
              <w:tab/>
              <w:t>12 hónap</w:t>
            </w:r>
          </w:p>
        </w:tc>
        <w:tc>
          <w:tcPr>
            <w:tcW w:w="1393" w:type="dxa"/>
            <w:tcBorders>
              <w:top w:val="nil"/>
              <w:left w:val="single" w:sz="6" w:space="0" w:color="auto"/>
              <w:bottom w:val="single" w:sz="4" w:space="0" w:color="auto"/>
              <w:right w:val="nil"/>
            </w:tcBorders>
          </w:tcPr>
          <w:p w14:paraId="253AF821" w14:textId="77777777" w:rsidR="00B93237" w:rsidRPr="00183B5F" w:rsidRDefault="00943743" w:rsidP="00B93237">
            <w:pPr>
              <w:pStyle w:val="In-texttable"/>
              <w:tabs>
                <w:tab w:val="decimal" w:pos="259"/>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417" w:type="dxa"/>
            <w:tcBorders>
              <w:top w:val="nil"/>
              <w:left w:val="nil"/>
              <w:bottom w:val="single" w:sz="4" w:space="0" w:color="auto"/>
              <w:right w:val="single" w:sz="6" w:space="0" w:color="auto"/>
            </w:tcBorders>
          </w:tcPr>
          <w:p w14:paraId="624DC45B" w14:textId="77777777" w:rsidR="00B93237" w:rsidRPr="00183B5F" w:rsidRDefault="00943743" w:rsidP="00B93237">
            <w:pPr>
              <w:pStyle w:val="In-texttable"/>
              <w:tabs>
                <w:tab w:val="decimal" w:pos="250"/>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071" w:type="dxa"/>
            <w:tcBorders>
              <w:top w:val="nil"/>
              <w:left w:val="single" w:sz="6" w:space="0" w:color="auto"/>
              <w:bottom w:val="single" w:sz="4" w:space="0" w:color="auto"/>
              <w:right w:val="nil"/>
            </w:tcBorders>
          </w:tcPr>
          <w:p w14:paraId="5C72C401" w14:textId="77777777" w:rsidR="00B93237" w:rsidRPr="00183B5F" w:rsidRDefault="00943743" w:rsidP="00B93237">
            <w:pPr>
              <w:pStyle w:val="In-texttable"/>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197" w:type="dxa"/>
            <w:tcBorders>
              <w:top w:val="nil"/>
              <w:left w:val="nil"/>
              <w:bottom w:val="single" w:sz="4" w:space="0" w:color="auto"/>
              <w:right w:val="single" w:sz="6" w:space="0" w:color="auto"/>
            </w:tcBorders>
          </w:tcPr>
          <w:p w14:paraId="39D63840" w14:textId="77777777" w:rsidR="00B93237" w:rsidRPr="00183B5F" w:rsidRDefault="00943743" w:rsidP="00B93237">
            <w:pPr>
              <w:pStyle w:val="In-texttable"/>
              <w:tabs>
                <w:tab w:val="decimal" w:pos="205"/>
              </w:tabs>
              <w:spacing w:line="240" w:lineRule="auto"/>
              <w:jc w:val="center"/>
              <w:rPr>
                <w:rFonts w:ascii="Times New Roman" w:hAnsi="Times New Roman"/>
                <w:sz w:val="22"/>
                <w:lang w:val="hu-HU"/>
              </w:rPr>
            </w:pPr>
            <w:r w:rsidRPr="00183B5F">
              <w:rPr>
                <w:rFonts w:ascii="Times New Roman" w:hAnsi="Times New Roman"/>
                <w:sz w:val="22"/>
                <w:lang w:val="hu-HU"/>
              </w:rPr>
              <w:t>NA</w:t>
            </w:r>
          </w:p>
        </w:tc>
        <w:tc>
          <w:tcPr>
            <w:tcW w:w="1418" w:type="dxa"/>
            <w:tcBorders>
              <w:top w:val="nil"/>
              <w:left w:val="single" w:sz="6" w:space="0" w:color="auto"/>
              <w:bottom w:val="single" w:sz="4" w:space="0" w:color="auto"/>
              <w:right w:val="nil"/>
            </w:tcBorders>
          </w:tcPr>
          <w:p w14:paraId="6A38B994" w14:textId="77777777" w:rsidR="00B93237" w:rsidRPr="00183B5F" w:rsidRDefault="00943743" w:rsidP="00B93237">
            <w:pPr>
              <w:pStyle w:val="In-texttable"/>
              <w:tabs>
                <w:tab w:val="decimal" w:pos="144"/>
              </w:tabs>
              <w:spacing w:line="240" w:lineRule="auto"/>
              <w:jc w:val="center"/>
              <w:rPr>
                <w:rFonts w:ascii="Times New Roman" w:hAnsi="Times New Roman"/>
                <w:sz w:val="22"/>
                <w:lang w:val="hu-HU"/>
              </w:rPr>
            </w:pPr>
            <w:r w:rsidRPr="00183B5F">
              <w:rPr>
                <w:rFonts w:ascii="Times New Roman" w:hAnsi="Times New Roman"/>
                <w:sz w:val="22"/>
                <w:lang w:val="hu-HU"/>
              </w:rPr>
              <w:t>4,5%</w:t>
            </w:r>
          </w:p>
        </w:tc>
        <w:tc>
          <w:tcPr>
            <w:tcW w:w="1559" w:type="dxa"/>
            <w:tcBorders>
              <w:top w:val="nil"/>
              <w:left w:val="nil"/>
              <w:bottom w:val="single" w:sz="4" w:space="0" w:color="auto"/>
              <w:right w:val="single" w:sz="4" w:space="0" w:color="auto"/>
            </w:tcBorders>
          </w:tcPr>
          <w:p w14:paraId="1D3443CD" w14:textId="77777777" w:rsidR="00B93237" w:rsidRPr="00183B5F" w:rsidRDefault="00943743" w:rsidP="00B93237">
            <w:pPr>
              <w:pStyle w:val="In-texttable"/>
              <w:tabs>
                <w:tab w:val="decimal" w:pos="95"/>
              </w:tabs>
              <w:spacing w:line="240" w:lineRule="auto"/>
              <w:jc w:val="center"/>
              <w:rPr>
                <w:rFonts w:ascii="Times New Roman" w:hAnsi="Times New Roman"/>
                <w:sz w:val="22"/>
                <w:lang w:val="hu-HU"/>
              </w:rPr>
            </w:pPr>
            <w:r w:rsidRPr="00183B5F">
              <w:rPr>
                <w:rFonts w:ascii="Times New Roman" w:hAnsi="Times New Roman"/>
                <w:sz w:val="22"/>
                <w:lang w:val="hu-HU"/>
              </w:rPr>
              <w:t>23,2%</w:t>
            </w:r>
          </w:p>
        </w:tc>
      </w:tr>
      <w:tr w:rsidR="00011D2F" w14:paraId="2E3AFB50" w14:textId="77777777" w:rsidTr="00B93237">
        <w:trPr>
          <w:cantSplit/>
        </w:trPr>
        <w:tc>
          <w:tcPr>
            <w:tcW w:w="9214" w:type="dxa"/>
            <w:gridSpan w:val="7"/>
            <w:tcBorders>
              <w:top w:val="single" w:sz="4" w:space="0" w:color="auto"/>
            </w:tcBorders>
          </w:tcPr>
          <w:p w14:paraId="6DA34713" w14:textId="77777777" w:rsidR="00B93237" w:rsidRPr="00183B5F" w:rsidRDefault="00943743" w:rsidP="00B93237">
            <w:pPr>
              <w:pStyle w:val="EndnoteText"/>
              <w:tabs>
                <w:tab w:val="clear" w:pos="567"/>
                <w:tab w:val="left" w:pos="708"/>
              </w:tabs>
              <w:suppressAutoHyphens/>
              <w:rPr>
                <w:sz w:val="22"/>
                <w:szCs w:val="22"/>
                <w:lang w:val="hu-HU" w:eastAsia="hu-HU"/>
              </w:rPr>
            </w:pPr>
            <w:r w:rsidRPr="00183B5F">
              <w:rPr>
                <w:sz w:val="22"/>
                <w:szCs w:val="22"/>
                <w:vertAlign w:val="superscript"/>
                <w:lang w:val="hu-HU" w:eastAsia="hu-HU"/>
              </w:rPr>
              <w:t xml:space="preserve">a </w:t>
            </w:r>
            <w:r w:rsidRPr="00183B5F">
              <w:rPr>
                <w:sz w:val="22"/>
                <w:szCs w:val="22"/>
                <w:lang w:val="hu-HU" w:eastAsia="hu-HU"/>
              </w:rPr>
              <w:t>RA I vizsgálat 24. héten, RA II vizsgálat 26. héten, RA III vizsgálat 24. és 52. héten</w:t>
            </w:r>
          </w:p>
          <w:p w14:paraId="2BEA962B" w14:textId="77777777" w:rsidR="00B93237" w:rsidRPr="00183B5F" w:rsidRDefault="00943743" w:rsidP="00B93237">
            <w:pPr>
              <w:pStyle w:val="EndnoteText"/>
              <w:tabs>
                <w:tab w:val="clear" w:pos="567"/>
                <w:tab w:val="left" w:pos="708"/>
              </w:tabs>
              <w:suppressAutoHyphens/>
              <w:rPr>
                <w:sz w:val="22"/>
                <w:szCs w:val="22"/>
                <w:lang w:val="hu-HU" w:eastAsia="hu-HU"/>
              </w:rPr>
            </w:pPr>
            <w:r w:rsidRPr="00183B5F">
              <w:rPr>
                <w:sz w:val="22"/>
                <w:szCs w:val="22"/>
                <w:vertAlign w:val="superscript"/>
                <w:lang w:val="hu-HU" w:eastAsia="hu-HU"/>
              </w:rPr>
              <w:t xml:space="preserve">b </w:t>
            </w:r>
            <w:r w:rsidRPr="00183B5F">
              <w:rPr>
                <w:sz w:val="22"/>
                <w:szCs w:val="22"/>
                <w:lang w:val="hu-HU" w:eastAsia="hu-HU"/>
              </w:rPr>
              <w:t>40 mg Humira minden második héten alkalmazva</w:t>
            </w:r>
          </w:p>
          <w:p w14:paraId="618FC99C" w14:textId="77777777" w:rsidR="00B93237" w:rsidRPr="00183B5F" w:rsidRDefault="00943743" w:rsidP="00B93237">
            <w:pPr>
              <w:pStyle w:val="EndnoteText"/>
              <w:tabs>
                <w:tab w:val="clear" w:pos="567"/>
                <w:tab w:val="left" w:pos="708"/>
              </w:tabs>
              <w:suppressAutoHyphens/>
              <w:rPr>
                <w:sz w:val="22"/>
                <w:szCs w:val="22"/>
                <w:lang w:val="hu-HU" w:eastAsia="hu-HU"/>
              </w:rPr>
            </w:pPr>
            <w:r w:rsidRPr="00183B5F">
              <w:rPr>
                <w:sz w:val="22"/>
                <w:szCs w:val="22"/>
                <w:vertAlign w:val="superscript"/>
                <w:lang w:val="hu-HU" w:eastAsia="hu-HU"/>
              </w:rPr>
              <w:t xml:space="preserve">c </w:t>
            </w:r>
            <w:r w:rsidRPr="00183B5F">
              <w:rPr>
                <w:sz w:val="22"/>
                <w:szCs w:val="22"/>
                <w:lang w:val="hu-HU" w:eastAsia="hu-HU"/>
              </w:rPr>
              <w:t>MTX =</w:t>
            </w:r>
            <w:r w:rsidRPr="00183B5F">
              <w:rPr>
                <w:sz w:val="22"/>
                <w:lang w:val="hu-HU"/>
              </w:rPr>
              <w:t> metotrexát</w:t>
            </w:r>
          </w:p>
          <w:p w14:paraId="64364547" w14:textId="77777777" w:rsidR="00B93237" w:rsidRPr="00183B5F" w:rsidRDefault="00943743" w:rsidP="00B93237">
            <w:pPr>
              <w:pStyle w:val="EndnoteText"/>
              <w:tabs>
                <w:tab w:val="clear" w:pos="567"/>
                <w:tab w:val="left" w:pos="708"/>
              </w:tabs>
              <w:suppressAutoHyphens/>
              <w:rPr>
                <w:sz w:val="22"/>
                <w:lang w:val="hu-HU"/>
              </w:rPr>
            </w:pPr>
            <w:r w:rsidRPr="00183B5F">
              <w:rPr>
                <w:sz w:val="22"/>
                <w:vertAlign w:val="superscript"/>
                <w:lang w:val="hu-HU"/>
              </w:rPr>
              <w:t xml:space="preserve">* * </w:t>
            </w:r>
            <w:r w:rsidRPr="00183B5F">
              <w:rPr>
                <w:sz w:val="22"/>
                <w:lang w:val="hu-HU"/>
              </w:rPr>
              <w:t>p &lt; 0,01, Humira versus placebo</w:t>
            </w:r>
          </w:p>
          <w:p w14:paraId="110CAC4F" w14:textId="77777777" w:rsidR="00B93237" w:rsidRPr="00183B5F" w:rsidRDefault="00943743" w:rsidP="00B93237">
            <w:pPr>
              <w:spacing w:line="240" w:lineRule="auto"/>
              <w:rPr>
                <w:szCs w:val="22"/>
              </w:rPr>
            </w:pPr>
            <w:r w:rsidRPr="00183B5F">
              <w:rPr>
                <w:szCs w:val="22"/>
              </w:rPr>
              <w:t>NA: nincs adat</w:t>
            </w:r>
          </w:p>
        </w:tc>
      </w:tr>
    </w:tbl>
    <w:p w14:paraId="27C7F0C6" w14:textId="77777777" w:rsidR="00B93237" w:rsidRPr="00183B5F" w:rsidRDefault="00B93237" w:rsidP="00B93237">
      <w:pPr>
        <w:spacing w:line="240" w:lineRule="auto"/>
        <w:rPr>
          <w:szCs w:val="22"/>
        </w:rPr>
      </w:pPr>
    </w:p>
    <w:p w14:paraId="3C6CA50F" w14:textId="77777777" w:rsidR="00B93237" w:rsidRPr="00183B5F" w:rsidRDefault="00943743" w:rsidP="00B93237">
      <w:pPr>
        <w:suppressAutoHyphens w:val="0"/>
        <w:spacing w:line="240" w:lineRule="auto"/>
        <w:rPr>
          <w:szCs w:val="22"/>
        </w:rPr>
      </w:pPr>
      <w:r w:rsidRPr="00183B5F">
        <w:rPr>
          <w:szCs w:val="22"/>
        </w:rPr>
        <w:t>Az RA I</w:t>
      </w:r>
      <w:r w:rsidRPr="00183B5F">
        <w:rPr>
          <w:szCs w:val="22"/>
        </w:rPr>
        <w:noBreakHyphen/>
        <w:t xml:space="preserve">IV vizsgálatokban az </w:t>
      </w:r>
      <w:r w:rsidR="005D174E" w:rsidRPr="00183B5F">
        <w:rPr>
          <w:szCs w:val="22"/>
        </w:rPr>
        <w:t>ACR-válasz</w:t>
      </w:r>
      <w:r w:rsidRPr="00183B5F">
        <w:rPr>
          <w:szCs w:val="22"/>
        </w:rPr>
        <w:t>t alkotó kritériumok (duzzadt és érzékeny ízületek száma, a beteg és az orvos értékelése a betegség aktivitásáról és a fájdalomról, rokkantsági index (HAQ), CRP (mg/dl) érték) mindegyike egyedileg is javulást mutatott 24</w:t>
      </w:r>
      <w:r w:rsidR="0022555B" w:rsidRPr="00183B5F">
        <w:rPr>
          <w:szCs w:val="22"/>
        </w:rPr>
        <w:t>.</w:t>
      </w:r>
      <w:r w:rsidRPr="00183B5F">
        <w:rPr>
          <w:szCs w:val="22"/>
        </w:rPr>
        <w:t xml:space="preserve"> illetve 26</w:t>
      </w:r>
      <w:r w:rsidR="0022555B" w:rsidRPr="00183B5F">
        <w:rPr>
          <w:szCs w:val="22"/>
        </w:rPr>
        <w:t>. héten</w:t>
      </w:r>
      <w:r w:rsidRPr="00183B5F">
        <w:rPr>
          <w:szCs w:val="22"/>
        </w:rPr>
        <w:t xml:space="preserve"> a placebocsoporthoz képest. A</w:t>
      </w:r>
      <w:r w:rsidR="0022555B" w:rsidRPr="00183B5F">
        <w:rPr>
          <w:szCs w:val="22"/>
        </w:rPr>
        <w:t>z RA</w:t>
      </w:r>
      <w:r w:rsidRPr="00183B5F">
        <w:rPr>
          <w:szCs w:val="22"/>
        </w:rPr>
        <w:t xml:space="preserve"> III vizsgálatban ez a javuló tendencia 52 héten át tartott.</w:t>
      </w:r>
    </w:p>
    <w:p w14:paraId="2F051514" w14:textId="77777777" w:rsidR="00B93237" w:rsidRPr="00183B5F" w:rsidRDefault="00B93237" w:rsidP="00B93237">
      <w:pPr>
        <w:suppressAutoHyphens w:val="0"/>
        <w:spacing w:line="240" w:lineRule="auto"/>
        <w:rPr>
          <w:szCs w:val="22"/>
        </w:rPr>
      </w:pPr>
    </w:p>
    <w:p w14:paraId="710677EE" w14:textId="77777777" w:rsidR="00B93237" w:rsidRPr="00183B5F" w:rsidRDefault="00943743" w:rsidP="00B93237">
      <w:pPr>
        <w:suppressAutoHyphens w:val="0"/>
        <w:spacing w:line="240" w:lineRule="auto"/>
        <w:rPr>
          <w:szCs w:val="22"/>
        </w:rPr>
      </w:pPr>
      <w:r w:rsidRPr="00183B5F">
        <w:rPr>
          <w:szCs w:val="22"/>
        </w:rPr>
        <w:t xml:space="preserve">Az RA III vizsgálat nyílt kiterjesztésének legfeljebb 10 éves követési fázisában az </w:t>
      </w:r>
      <w:r w:rsidR="005D174E" w:rsidRPr="00183B5F">
        <w:rPr>
          <w:szCs w:val="22"/>
        </w:rPr>
        <w:t>ACR-válasz</w:t>
      </w:r>
      <w:r w:rsidRPr="00183B5F">
        <w:rPr>
          <w:szCs w:val="22"/>
        </w:rPr>
        <w:t>t adó betegek többségénél fennmaradt a válasz. A minden második héten Humira</w:t>
      </w:r>
      <w:r w:rsidRPr="00183B5F">
        <w:rPr>
          <w:szCs w:val="22"/>
        </w:rPr>
        <w:noBreakHyphen/>
        <w:t>val kezelt 207 beteg közül 114 beteg folytatta a 2 hetenkénti 40 mg</w:t>
      </w:r>
      <w:r w:rsidR="00E5381A" w:rsidRPr="00183B5F">
        <w:rPr>
          <w:szCs w:val="22"/>
        </w:rPr>
        <w:noBreakHyphen/>
      </w:r>
      <w:r w:rsidRPr="00183B5F">
        <w:rPr>
          <w:szCs w:val="22"/>
        </w:rPr>
        <w:t>os Humira</w:t>
      </w:r>
      <w:r w:rsidRPr="00183B5F">
        <w:rPr>
          <w:szCs w:val="22"/>
        </w:rPr>
        <w:noBreakHyphen/>
        <w:t>kezelést 5 éven keresztül. Közülük 86 (75,4%) mutatott ACR 20 választ, 72 beteg (63,2%) ACR 50 választ és 41 beteg (36%) ACR 70 választ. A 207 beteg közül 81 beteg folytatta a 2 hetenkénti 40 mg</w:t>
      </w:r>
      <w:r w:rsidRPr="00183B5F">
        <w:rPr>
          <w:szCs w:val="22"/>
        </w:rPr>
        <w:noBreakHyphen/>
        <w:t>os Humira</w:t>
      </w:r>
      <w:r w:rsidRPr="00183B5F">
        <w:rPr>
          <w:szCs w:val="22"/>
        </w:rPr>
        <w:noBreakHyphen/>
        <w:t>kezelést 10 éven keresztül. Közülük 64 beteg (79,0%) adott ACR 20 választ, 56 beteg (69,1%) ACR 50 választ és 43 beteg (53,1%) ACR 70 választ.</w:t>
      </w:r>
    </w:p>
    <w:p w14:paraId="2033D33C" w14:textId="77777777" w:rsidR="00B93237" w:rsidRPr="00183B5F" w:rsidRDefault="00B93237" w:rsidP="00B93237">
      <w:pPr>
        <w:suppressAutoHyphens w:val="0"/>
        <w:spacing w:line="240" w:lineRule="auto"/>
        <w:rPr>
          <w:szCs w:val="22"/>
        </w:rPr>
      </w:pPr>
    </w:p>
    <w:p w14:paraId="7F3B5C51" w14:textId="77777777" w:rsidR="00B93237" w:rsidRPr="00183B5F" w:rsidRDefault="00943743" w:rsidP="00B93237">
      <w:pPr>
        <w:spacing w:line="240" w:lineRule="auto"/>
        <w:rPr>
          <w:szCs w:val="22"/>
        </w:rPr>
      </w:pPr>
      <w:r w:rsidRPr="00183B5F">
        <w:rPr>
          <w:szCs w:val="22"/>
        </w:rPr>
        <w:t>Az RA IV vizsgálatban, a Humira</w:t>
      </w:r>
      <w:r w:rsidRPr="00183B5F">
        <w:rPr>
          <w:szCs w:val="22"/>
        </w:rPr>
        <w:noBreakHyphen/>
        <w:t xml:space="preserve">val és a standard terápiával kezelt betegek szignifikánsan jobb ACR 20 választ értek el mint a placebóval és a </w:t>
      </w:r>
      <w:r w:rsidR="0022555B" w:rsidRPr="00183B5F">
        <w:rPr>
          <w:szCs w:val="22"/>
        </w:rPr>
        <w:t xml:space="preserve">standard </w:t>
      </w:r>
      <w:r w:rsidRPr="00183B5F">
        <w:rPr>
          <w:szCs w:val="22"/>
        </w:rPr>
        <w:t>terápiával kezeltek (p &lt; 0,001).</w:t>
      </w:r>
    </w:p>
    <w:p w14:paraId="2351801F" w14:textId="77777777" w:rsidR="00B93237" w:rsidRPr="00183B5F" w:rsidRDefault="00B93237" w:rsidP="00B93237">
      <w:pPr>
        <w:pStyle w:val="EndnoteText"/>
        <w:tabs>
          <w:tab w:val="clear" w:pos="567"/>
        </w:tabs>
        <w:suppressAutoHyphens/>
        <w:rPr>
          <w:sz w:val="22"/>
          <w:szCs w:val="22"/>
          <w:lang w:val="hu-HU" w:eastAsia="hu-HU"/>
        </w:rPr>
      </w:pPr>
    </w:p>
    <w:p w14:paraId="08ACDFEF" w14:textId="77777777" w:rsidR="00B93237" w:rsidRPr="00183B5F" w:rsidRDefault="00943743" w:rsidP="00B93237">
      <w:pPr>
        <w:spacing w:line="240" w:lineRule="auto"/>
        <w:rPr>
          <w:szCs w:val="22"/>
        </w:rPr>
      </w:pPr>
      <w:r w:rsidRPr="00183B5F">
        <w:rPr>
          <w:szCs w:val="22"/>
        </w:rPr>
        <w:t>Az RA I</w:t>
      </w:r>
      <w:r w:rsidRPr="00183B5F">
        <w:rPr>
          <w:szCs w:val="22"/>
        </w:rPr>
        <w:noBreakHyphen/>
        <w:t>IV vizsgálatban, a Humira</w:t>
      </w:r>
      <w:r w:rsidRPr="00183B5F">
        <w:rPr>
          <w:szCs w:val="22"/>
        </w:rPr>
        <w:noBreakHyphen/>
        <w:t>val kezelt betegek statisztikailag szignifikánsan jobb ACR 20 és 50 választ értek el a placebocsoporttal összehasonlítva, már egy vagy két héttel a vizsgálat kezdete után.</w:t>
      </w:r>
    </w:p>
    <w:p w14:paraId="6B178FEA" w14:textId="77777777" w:rsidR="00B93237" w:rsidRPr="00183B5F" w:rsidRDefault="00B93237" w:rsidP="00B93237">
      <w:pPr>
        <w:spacing w:line="240" w:lineRule="auto"/>
        <w:rPr>
          <w:szCs w:val="22"/>
        </w:rPr>
      </w:pPr>
    </w:p>
    <w:p w14:paraId="01F8F7C7" w14:textId="77777777" w:rsidR="00B93237" w:rsidRPr="00183B5F" w:rsidRDefault="00943743" w:rsidP="00B93237">
      <w:pPr>
        <w:spacing w:line="240" w:lineRule="auto"/>
        <w:rPr>
          <w:szCs w:val="22"/>
        </w:rPr>
      </w:pPr>
      <w:r w:rsidRPr="00183B5F">
        <w:rPr>
          <w:szCs w:val="22"/>
        </w:rPr>
        <w:t xml:space="preserve">Az RA V vizsgálatban, amelybe </w:t>
      </w:r>
      <w:r w:rsidR="001A6E66" w:rsidRPr="00183B5F">
        <w:rPr>
          <w:szCs w:val="22"/>
        </w:rPr>
        <w:t>metotrexát-keze</w:t>
      </w:r>
      <w:r w:rsidRPr="00183B5F">
        <w:rPr>
          <w:szCs w:val="22"/>
        </w:rPr>
        <w:t xml:space="preserve">lésben korábban nem részesült korai rheumatoid arthritises betegeket vontak be, a Humira/metotrexát kombinációs kezelés gyorsabb és jelentősen nagyobb </w:t>
      </w:r>
      <w:r w:rsidR="005D174E" w:rsidRPr="00183B5F">
        <w:rPr>
          <w:szCs w:val="22"/>
        </w:rPr>
        <w:t>ACR-válasz</w:t>
      </w:r>
      <w:r w:rsidRPr="00183B5F">
        <w:rPr>
          <w:szCs w:val="22"/>
        </w:rPr>
        <w:t xml:space="preserve">t adott, mint a metotrexát, vagy a </w:t>
      </w:r>
      <w:r w:rsidR="005C406C" w:rsidRPr="00183B5F">
        <w:rPr>
          <w:szCs w:val="22"/>
        </w:rPr>
        <w:t>Humira-monoterá</w:t>
      </w:r>
      <w:r w:rsidRPr="00183B5F">
        <w:rPr>
          <w:szCs w:val="22"/>
        </w:rPr>
        <w:t xml:space="preserve">pia az 52. héten és a hatás fennmaradt a 104. hétig (lásd </w:t>
      </w:r>
      <w:r w:rsidR="004D0BD6" w:rsidRPr="00183B5F">
        <w:rPr>
          <w:szCs w:val="22"/>
        </w:rPr>
        <w:t>6</w:t>
      </w:r>
      <w:r w:rsidRPr="00183B5F">
        <w:rPr>
          <w:szCs w:val="22"/>
        </w:rPr>
        <w:t>. táblázat).</w:t>
      </w:r>
    </w:p>
    <w:p w14:paraId="474632D5" w14:textId="77777777" w:rsidR="00B93237" w:rsidRPr="00183B5F" w:rsidRDefault="00B93237" w:rsidP="00B93237">
      <w:pPr>
        <w:keepNext/>
        <w:spacing w:line="240" w:lineRule="auto"/>
        <w:rPr>
          <w:szCs w:val="22"/>
        </w:rPr>
      </w:pPr>
    </w:p>
    <w:p w14:paraId="6B18EF4B" w14:textId="77777777" w:rsidR="00B93237" w:rsidRPr="00183B5F" w:rsidRDefault="00943743" w:rsidP="00B93237">
      <w:pPr>
        <w:keepNext/>
        <w:spacing w:line="240" w:lineRule="auto"/>
        <w:jc w:val="center"/>
        <w:rPr>
          <w:b/>
          <w:bCs/>
          <w:szCs w:val="22"/>
        </w:rPr>
      </w:pPr>
      <w:r w:rsidRPr="00183B5F">
        <w:rPr>
          <w:b/>
          <w:bCs/>
          <w:szCs w:val="22"/>
        </w:rPr>
        <w:t xml:space="preserve">6. táblázat </w:t>
      </w:r>
    </w:p>
    <w:p w14:paraId="36A0FFE4" w14:textId="77777777" w:rsidR="00B93237" w:rsidRPr="00183B5F" w:rsidRDefault="00943743" w:rsidP="00B93237">
      <w:pPr>
        <w:keepNext/>
        <w:spacing w:line="240" w:lineRule="auto"/>
        <w:jc w:val="center"/>
        <w:rPr>
          <w:b/>
          <w:bCs/>
          <w:szCs w:val="22"/>
        </w:rPr>
      </w:pPr>
      <w:r w:rsidRPr="00183B5F">
        <w:rPr>
          <w:b/>
          <w:bCs/>
          <w:szCs w:val="22"/>
        </w:rPr>
        <w:t>ACR-válasz az RA V vizsgálatban (a betegek százaléka)</w:t>
      </w:r>
    </w:p>
    <w:p w14:paraId="59859A2E" w14:textId="77777777" w:rsidR="00B93237" w:rsidRPr="00183B5F" w:rsidRDefault="00B93237" w:rsidP="00B93237">
      <w:pPr>
        <w:keepNext/>
        <w:spacing w:line="240" w:lineRule="auto"/>
        <w:jc w:val="center"/>
        <w:rPr>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94"/>
        <w:gridCol w:w="1299"/>
        <w:gridCol w:w="1299"/>
        <w:gridCol w:w="1460"/>
        <w:gridCol w:w="1291"/>
        <w:gridCol w:w="1287"/>
        <w:gridCol w:w="1354"/>
      </w:tblGrid>
      <w:tr w:rsidR="00011D2F" w14:paraId="27192E44" w14:textId="77777777" w:rsidTr="00B93237">
        <w:trPr>
          <w:cantSplit/>
        </w:trPr>
        <w:tc>
          <w:tcPr>
            <w:tcW w:w="1310" w:type="dxa"/>
          </w:tcPr>
          <w:p w14:paraId="7578B412" w14:textId="77777777" w:rsidR="00B93237" w:rsidRPr="00183B5F" w:rsidRDefault="00943743" w:rsidP="00B93237">
            <w:pPr>
              <w:keepNext/>
              <w:spacing w:line="240" w:lineRule="auto"/>
              <w:rPr>
                <w:b/>
                <w:szCs w:val="22"/>
              </w:rPr>
            </w:pPr>
            <w:r w:rsidRPr="00183B5F">
              <w:rPr>
                <w:b/>
                <w:szCs w:val="22"/>
              </w:rPr>
              <w:t>Válasz</w:t>
            </w:r>
          </w:p>
        </w:tc>
        <w:tc>
          <w:tcPr>
            <w:tcW w:w="1310" w:type="dxa"/>
          </w:tcPr>
          <w:p w14:paraId="32A0FCD1" w14:textId="77777777" w:rsidR="00B93237" w:rsidRPr="00183B5F" w:rsidRDefault="00943743" w:rsidP="00B93237">
            <w:pPr>
              <w:keepNext/>
              <w:spacing w:line="240" w:lineRule="auto"/>
              <w:rPr>
                <w:b/>
                <w:szCs w:val="22"/>
              </w:rPr>
            </w:pPr>
            <w:r w:rsidRPr="00183B5F">
              <w:rPr>
                <w:b/>
                <w:szCs w:val="22"/>
              </w:rPr>
              <w:t>MTX (n = 257)</w:t>
            </w:r>
          </w:p>
        </w:tc>
        <w:tc>
          <w:tcPr>
            <w:tcW w:w="1310" w:type="dxa"/>
          </w:tcPr>
          <w:p w14:paraId="650FB584" w14:textId="77777777" w:rsidR="00B93237" w:rsidRPr="00183B5F" w:rsidRDefault="00943743" w:rsidP="00B93237">
            <w:pPr>
              <w:keepNext/>
              <w:spacing w:line="240" w:lineRule="auto"/>
              <w:rPr>
                <w:b/>
                <w:szCs w:val="22"/>
              </w:rPr>
            </w:pPr>
            <w:r w:rsidRPr="00183B5F">
              <w:rPr>
                <w:b/>
                <w:szCs w:val="22"/>
              </w:rPr>
              <w:t>Humira (n = 274)</w:t>
            </w:r>
          </w:p>
        </w:tc>
        <w:tc>
          <w:tcPr>
            <w:tcW w:w="1363" w:type="dxa"/>
          </w:tcPr>
          <w:p w14:paraId="26B36FC2" w14:textId="77777777" w:rsidR="00B93237" w:rsidRPr="00183B5F" w:rsidRDefault="00943743" w:rsidP="00B93237">
            <w:pPr>
              <w:keepNext/>
              <w:spacing w:line="240" w:lineRule="auto"/>
              <w:rPr>
                <w:b/>
                <w:szCs w:val="22"/>
              </w:rPr>
            </w:pPr>
            <w:r w:rsidRPr="00183B5F">
              <w:rPr>
                <w:b/>
                <w:szCs w:val="22"/>
              </w:rPr>
              <w:t xml:space="preserve">Humira/MTX (n = 268) </w:t>
            </w:r>
          </w:p>
        </w:tc>
        <w:tc>
          <w:tcPr>
            <w:tcW w:w="1308" w:type="dxa"/>
          </w:tcPr>
          <w:p w14:paraId="4CD3210B" w14:textId="77777777" w:rsidR="00B93237" w:rsidRPr="00183B5F" w:rsidRDefault="00943743" w:rsidP="00B93237">
            <w:pPr>
              <w:keepNext/>
              <w:spacing w:line="240" w:lineRule="auto"/>
              <w:rPr>
                <w:b/>
                <w:szCs w:val="22"/>
              </w:rPr>
            </w:pPr>
            <w:r w:rsidRPr="00183B5F">
              <w:rPr>
                <w:b/>
                <w:szCs w:val="22"/>
              </w:rPr>
              <w:t xml:space="preserve">p-érték </w:t>
            </w:r>
            <w:r w:rsidRPr="00183B5F">
              <w:rPr>
                <w:b/>
                <w:szCs w:val="22"/>
                <w:vertAlign w:val="superscript"/>
              </w:rPr>
              <w:t>a</w:t>
            </w:r>
          </w:p>
        </w:tc>
        <w:tc>
          <w:tcPr>
            <w:tcW w:w="1304" w:type="dxa"/>
          </w:tcPr>
          <w:p w14:paraId="5AA78C58" w14:textId="77777777" w:rsidR="00B93237" w:rsidRPr="00183B5F" w:rsidRDefault="00943743" w:rsidP="00B93237">
            <w:pPr>
              <w:keepNext/>
              <w:spacing w:line="240" w:lineRule="auto"/>
              <w:rPr>
                <w:b/>
                <w:szCs w:val="22"/>
              </w:rPr>
            </w:pPr>
            <w:r w:rsidRPr="00183B5F">
              <w:rPr>
                <w:b/>
                <w:szCs w:val="22"/>
              </w:rPr>
              <w:t xml:space="preserve">p-érték </w:t>
            </w:r>
            <w:r w:rsidRPr="00183B5F">
              <w:rPr>
                <w:b/>
                <w:szCs w:val="22"/>
                <w:vertAlign w:val="superscript"/>
              </w:rPr>
              <w:t>b</w:t>
            </w:r>
          </w:p>
        </w:tc>
        <w:tc>
          <w:tcPr>
            <w:tcW w:w="1379" w:type="dxa"/>
          </w:tcPr>
          <w:p w14:paraId="68BFF4A4" w14:textId="77777777" w:rsidR="00B93237" w:rsidRPr="00183B5F" w:rsidRDefault="00943743" w:rsidP="00B93237">
            <w:pPr>
              <w:keepNext/>
              <w:spacing w:line="240" w:lineRule="auto"/>
              <w:rPr>
                <w:b/>
                <w:szCs w:val="22"/>
              </w:rPr>
            </w:pPr>
            <w:r w:rsidRPr="00183B5F">
              <w:rPr>
                <w:b/>
                <w:szCs w:val="22"/>
              </w:rPr>
              <w:t xml:space="preserve">p-érték </w:t>
            </w:r>
            <w:r w:rsidRPr="00183B5F">
              <w:rPr>
                <w:b/>
                <w:szCs w:val="22"/>
                <w:vertAlign w:val="superscript"/>
              </w:rPr>
              <w:t>c</w:t>
            </w:r>
          </w:p>
        </w:tc>
      </w:tr>
      <w:tr w:rsidR="00011D2F" w14:paraId="590A7040" w14:textId="77777777" w:rsidTr="00B93237">
        <w:trPr>
          <w:cantSplit/>
        </w:trPr>
        <w:tc>
          <w:tcPr>
            <w:tcW w:w="1310" w:type="dxa"/>
          </w:tcPr>
          <w:p w14:paraId="0C10B5C2" w14:textId="77777777" w:rsidR="00B93237" w:rsidRPr="00183B5F" w:rsidRDefault="00943743" w:rsidP="00B93237">
            <w:pPr>
              <w:keepNext/>
              <w:spacing w:line="240" w:lineRule="auto"/>
              <w:rPr>
                <w:szCs w:val="22"/>
              </w:rPr>
            </w:pPr>
            <w:r w:rsidRPr="00183B5F">
              <w:rPr>
                <w:szCs w:val="22"/>
              </w:rPr>
              <w:t>ACR 20</w:t>
            </w:r>
          </w:p>
        </w:tc>
        <w:tc>
          <w:tcPr>
            <w:tcW w:w="1310" w:type="dxa"/>
          </w:tcPr>
          <w:p w14:paraId="781978CA" w14:textId="77777777" w:rsidR="00B93237" w:rsidRPr="00183B5F" w:rsidRDefault="00B93237" w:rsidP="00B93237">
            <w:pPr>
              <w:keepNext/>
              <w:spacing w:line="240" w:lineRule="auto"/>
              <w:jc w:val="center"/>
              <w:rPr>
                <w:szCs w:val="22"/>
              </w:rPr>
            </w:pPr>
          </w:p>
        </w:tc>
        <w:tc>
          <w:tcPr>
            <w:tcW w:w="1310" w:type="dxa"/>
          </w:tcPr>
          <w:p w14:paraId="043BC8C2" w14:textId="77777777" w:rsidR="00B93237" w:rsidRPr="00183B5F" w:rsidRDefault="00B93237" w:rsidP="00B93237">
            <w:pPr>
              <w:keepNext/>
              <w:spacing w:line="240" w:lineRule="auto"/>
              <w:jc w:val="center"/>
              <w:rPr>
                <w:szCs w:val="22"/>
              </w:rPr>
            </w:pPr>
          </w:p>
        </w:tc>
        <w:tc>
          <w:tcPr>
            <w:tcW w:w="1363" w:type="dxa"/>
          </w:tcPr>
          <w:p w14:paraId="04917932" w14:textId="77777777" w:rsidR="00B93237" w:rsidRPr="00183B5F" w:rsidRDefault="00B93237" w:rsidP="00B93237">
            <w:pPr>
              <w:keepNext/>
              <w:spacing w:line="240" w:lineRule="auto"/>
              <w:jc w:val="center"/>
              <w:rPr>
                <w:szCs w:val="22"/>
              </w:rPr>
            </w:pPr>
          </w:p>
        </w:tc>
        <w:tc>
          <w:tcPr>
            <w:tcW w:w="1308" w:type="dxa"/>
          </w:tcPr>
          <w:p w14:paraId="5BE327EA" w14:textId="77777777" w:rsidR="00B93237" w:rsidRPr="00183B5F" w:rsidRDefault="00B93237" w:rsidP="00B93237">
            <w:pPr>
              <w:keepNext/>
              <w:spacing w:line="240" w:lineRule="auto"/>
              <w:jc w:val="center"/>
              <w:rPr>
                <w:szCs w:val="22"/>
              </w:rPr>
            </w:pPr>
          </w:p>
        </w:tc>
        <w:tc>
          <w:tcPr>
            <w:tcW w:w="1304" w:type="dxa"/>
          </w:tcPr>
          <w:p w14:paraId="347F110D" w14:textId="77777777" w:rsidR="00B93237" w:rsidRPr="00183B5F" w:rsidRDefault="00B93237" w:rsidP="00B93237">
            <w:pPr>
              <w:keepNext/>
              <w:spacing w:line="240" w:lineRule="auto"/>
              <w:jc w:val="center"/>
              <w:rPr>
                <w:szCs w:val="22"/>
              </w:rPr>
            </w:pPr>
          </w:p>
        </w:tc>
        <w:tc>
          <w:tcPr>
            <w:tcW w:w="1379" w:type="dxa"/>
          </w:tcPr>
          <w:p w14:paraId="09BDFFC9" w14:textId="77777777" w:rsidR="00B93237" w:rsidRPr="00183B5F" w:rsidRDefault="00B93237" w:rsidP="00B93237">
            <w:pPr>
              <w:keepNext/>
              <w:spacing w:line="240" w:lineRule="auto"/>
              <w:jc w:val="center"/>
              <w:rPr>
                <w:szCs w:val="22"/>
              </w:rPr>
            </w:pPr>
          </w:p>
        </w:tc>
      </w:tr>
      <w:tr w:rsidR="00011D2F" w14:paraId="4E438A46" w14:textId="77777777" w:rsidTr="00B93237">
        <w:trPr>
          <w:cantSplit/>
        </w:trPr>
        <w:tc>
          <w:tcPr>
            <w:tcW w:w="1310" w:type="dxa"/>
          </w:tcPr>
          <w:p w14:paraId="008123DE" w14:textId="77777777" w:rsidR="00B93237" w:rsidRPr="00183B5F" w:rsidRDefault="00943743" w:rsidP="00B93237">
            <w:pPr>
              <w:keepNext/>
              <w:spacing w:line="240" w:lineRule="auto"/>
              <w:jc w:val="right"/>
              <w:rPr>
                <w:szCs w:val="22"/>
              </w:rPr>
            </w:pPr>
            <w:r w:rsidRPr="00183B5F">
              <w:rPr>
                <w:szCs w:val="22"/>
              </w:rPr>
              <w:t>52. hét</w:t>
            </w:r>
          </w:p>
        </w:tc>
        <w:tc>
          <w:tcPr>
            <w:tcW w:w="1310" w:type="dxa"/>
          </w:tcPr>
          <w:p w14:paraId="75499C3D" w14:textId="77777777" w:rsidR="00B93237" w:rsidRPr="00183B5F" w:rsidRDefault="00943743" w:rsidP="00B93237">
            <w:pPr>
              <w:keepNext/>
              <w:spacing w:line="240" w:lineRule="auto"/>
              <w:jc w:val="center"/>
              <w:rPr>
                <w:szCs w:val="22"/>
              </w:rPr>
            </w:pPr>
            <w:r w:rsidRPr="00183B5F">
              <w:rPr>
                <w:szCs w:val="22"/>
              </w:rPr>
              <w:t>62,6%</w:t>
            </w:r>
          </w:p>
        </w:tc>
        <w:tc>
          <w:tcPr>
            <w:tcW w:w="1310" w:type="dxa"/>
          </w:tcPr>
          <w:p w14:paraId="23FBD0E4" w14:textId="77777777" w:rsidR="00B93237" w:rsidRPr="00183B5F" w:rsidRDefault="00943743" w:rsidP="00B93237">
            <w:pPr>
              <w:keepNext/>
              <w:spacing w:line="240" w:lineRule="auto"/>
              <w:jc w:val="center"/>
              <w:rPr>
                <w:szCs w:val="22"/>
              </w:rPr>
            </w:pPr>
            <w:r w:rsidRPr="00183B5F">
              <w:rPr>
                <w:szCs w:val="22"/>
              </w:rPr>
              <w:t>54,4%</w:t>
            </w:r>
          </w:p>
        </w:tc>
        <w:tc>
          <w:tcPr>
            <w:tcW w:w="1363" w:type="dxa"/>
          </w:tcPr>
          <w:p w14:paraId="0E897C18" w14:textId="77777777" w:rsidR="00B93237" w:rsidRPr="00183B5F" w:rsidRDefault="00943743" w:rsidP="00B93237">
            <w:pPr>
              <w:keepNext/>
              <w:spacing w:line="240" w:lineRule="auto"/>
              <w:jc w:val="center"/>
              <w:rPr>
                <w:szCs w:val="22"/>
              </w:rPr>
            </w:pPr>
            <w:r w:rsidRPr="00183B5F">
              <w:rPr>
                <w:szCs w:val="22"/>
              </w:rPr>
              <w:t>72,8%</w:t>
            </w:r>
          </w:p>
        </w:tc>
        <w:tc>
          <w:tcPr>
            <w:tcW w:w="1308" w:type="dxa"/>
          </w:tcPr>
          <w:p w14:paraId="4B6A6036" w14:textId="77777777" w:rsidR="00B93237" w:rsidRPr="00183B5F" w:rsidRDefault="00943743" w:rsidP="00B93237">
            <w:pPr>
              <w:keepNext/>
              <w:spacing w:line="240" w:lineRule="auto"/>
              <w:jc w:val="center"/>
              <w:rPr>
                <w:szCs w:val="22"/>
              </w:rPr>
            </w:pPr>
            <w:r w:rsidRPr="00183B5F">
              <w:rPr>
                <w:szCs w:val="22"/>
              </w:rPr>
              <w:t>0,013</w:t>
            </w:r>
          </w:p>
        </w:tc>
        <w:tc>
          <w:tcPr>
            <w:tcW w:w="1304" w:type="dxa"/>
          </w:tcPr>
          <w:p w14:paraId="4AF9D9FF" w14:textId="77777777" w:rsidR="00B93237" w:rsidRPr="00183B5F" w:rsidRDefault="00943743" w:rsidP="00B93237">
            <w:pPr>
              <w:keepNext/>
              <w:spacing w:line="240" w:lineRule="auto"/>
              <w:jc w:val="center"/>
              <w:rPr>
                <w:szCs w:val="22"/>
              </w:rPr>
            </w:pPr>
            <w:r w:rsidRPr="00183B5F">
              <w:rPr>
                <w:szCs w:val="22"/>
              </w:rPr>
              <w:t>&lt; 0,001</w:t>
            </w:r>
          </w:p>
        </w:tc>
        <w:tc>
          <w:tcPr>
            <w:tcW w:w="1379" w:type="dxa"/>
          </w:tcPr>
          <w:p w14:paraId="6E2CF86E" w14:textId="77777777" w:rsidR="00B93237" w:rsidRPr="00183B5F" w:rsidRDefault="00943743" w:rsidP="00B93237">
            <w:pPr>
              <w:keepNext/>
              <w:spacing w:line="240" w:lineRule="auto"/>
              <w:jc w:val="center"/>
              <w:rPr>
                <w:szCs w:val="22"/>
              </w:rPr>
            </w:pPr>
            <w:r w:rsidRPr="00183B5F">
              <w:rPr>
                <w:szCs w:val="22"/>
              </w:rPr>
              <w:t>0,043</w:t>
            </w:r>
          </w:p>
        </w:tc>
      </w:tr>
      <w:tr w:rsidR="00011D2F" w14:paraId="7F51A973" w14:textId="77777777" w:rsidTr="00B93237">
        <w:trPr>
          <w:cantSplit/>
        </w:trPr>
        <w:tc>
          <w:tcPr>
            <w:tcW w:w="1310" w:type="dxa"/>
          </w:tcPr>
          <w:p w14:paraId="101C7214" w14:textId="77777777" w:rsidR="00B93237" w:rsidRPr="00183B5F" w:rsidRDefault="00943743" w:rsidP="00B93237">
            <w:pPr>
              <w:keepNext/>
              <w:spacing w:line="240" w:lineRule="auto"/>
              <w:jc w:val="right"/>
              <w:rPr>
                <w:szCs w:val="22"/>
              </w:rPr>
            </w:pPr>
            <w:r w:rsidRPr="00183B5F">
              <w:rPr>
                <w:szCs w:val="22"/>
              </w:rPr>
              <w:t>104. hét</w:t>
            </w:r>
          </w:p>
        </w:tc>
        <w:tc>
          <w:tcPr>
            <w:tcW w:w="1310" w:type="dxa"/>
          </w:tcPr>
          <w:p w14:paraId="2E512A28" w14:textId="77777777" w:rsidR="00B93237" w:rsidRPr="00183B5F" w:rsidRDefault="00943743" w:rsidP="00B93237">
            <w:pPr>
              <w:keepNext/>
              <w:spacing w:line="240" w:lineRule="auto"/>
              <w:jc w:val="center"/>
              <w:rPr>
                <w:szCs w:val="22"/>
              </w:rPr>
            </w:pPr>
            <w:r w:rsidRPr="00183B5F">
              <w:rPr>
                <w:szCs w:val="22"/>
              </w:rPr>
              <w:t>56,0%</w:t>
            </w:r>
          </w:p>
        </w:tc>
        <w:tc>
          <w:tcPr>
            <w:tcW w:w="1310" w:type="dxa"/>
          </w:tcPr>
          <w:p w14:paraId="7ACAFF8B" w14:textId="77777777" w:rsidR="00B93237" w:rsidRPr="00183B5F" w:rsidRDefault="00943743" w:rsidP="00B93237">
            <w:pPr>
              <w:keepNext/>
              <w:spacing w:line="240" w:lineRule="auto"/>
              <w:jc w:val="center"/>
              <w:rPr>
                <w:szCs w:val="22"/>
              </w:rPr>
            </w:pPr>
            <w:r w:rsidRPr="00183B5F">
              <w:rPr>
                <w:szCs w:val="22"/>
              </w:rPr>
              <w:t>49,3%</w:t>
            </w:r>
          </w:p>
        </w:tc>
        <w:tc>
          <w:tcPr>
            <w:tcW w:w="1363" w:type="dxa"/>
          </w:tcPr>
          <w:p w14:paraId="58BA6E7B" w14:textId="77777777" w:rsidR="00B93237" w:rsidRPr="00183B5F" w:rsidRDefault="00943743" w:rsidP="00B93237">
            <w:pPr>
              <w:keepNext/>
              <w:spacing w:line="240" w:lineRule="auto"/>
              <w:jc w:val="center"/>
              <w:rPr>
                <w:szCs w:val="22"/>
              </w:rPr>
            </w:pPr>
            <w:r w:rsidRPr="00183B5F">
              <w:rPr>
                <w:szCs w:val="22"/>
              </w:rPr>
              <w:t>69,4%</w:t>
            </w:r>
          </w:p>
        </w:tc>
        <w:tc>
          <w:tcPr>
            <w:tcW w:w="1308" w:type="dxa"/>
          </w:tcPr>
          <w:p w14:paraId="032D4F9C" w14:textId="77777777" w:rsidR="00B93237" w:rsidRPr="00183B5F" w:rsidRDefault="00943743" w:rsidP="00B93237">
            <w:pPr>
              <w:keepNext/>
              <w:spacing w:line="240" w:lineRule="auto"/>
              <w:jc w:val="center"/>
              <w:rPr>
                <w:szCs w:val="22"/>
              </w:rPr>
            </w:pPr>
            <w:r w:rsidRPr="00183B5F">
              <w:rPr>
                <w:szCs w:val="22"/>
              </w:rPr>
              <w:t>0,002</w:t>
            </w:r>
          </w:p>
        </w:tc>
        <w:tc>
          <w:tcPr>
            <w:tcW w:w="1304" w:type="dxa"/>
          </w:tcPr>
          <w:p w14:paraId="7C53CEDD" w14:textId="77777777" w:rsidR="00B93237" w:rsidRPr="00183B5F" w:rsidRDefault="00943743" w:rsidP="00B93237">
            <w:pPr>
              <w:keepNext/>
              <w:spacing w:line="240" w:lineRule="auto"/>
              <w:jc w:val="center"/>
              <w:rPr>
                <w:szCs w:val="22"/>
              </w:rPr>
            </w:pPr>
            <w:r w:rsidRPr="00183B5F">
              <w:rPr>
                <w:szCs w:val="22"/>
              </w:rPr>
              <w:t>&lt; 0,001</w:t>
            </w:r>
          </w:p>
        </w:tc>
        <w:tc>
          <w:tcPr>
            <w:tcW w:w="1379" w:type="dxa"/>
          </w:tcPr>
          <w:p w14:paraId="3633E129" w14:textId="77777777" w:rsidR="00B93237" w:rsidRPr="00183B5F" w:rsidRDefault="00943743" w:rsidP="00B93237">
            <w:pPr>
              <w:keepNext/>
              <w:spacing w:line="240" w:lineRule="auto"/>
              <w:jc w:val="center"/>
              <w:rPr>
                <w:szCs w:val="22"/>
              </w:rPr>
            </w:pPr>
            <w:r w:rsidRPr="00183B5F">
              <w:rPr>
                <w:szCs w:val="22"/>
              </w:rPr>
              <w:t>0,140</w:t>
            </w:r>
          </w:p>
        </w:tc>
      </w:tr>
      <w:tr w:rsidR="00011D2F" w14:paraId="737F9C17" w14:textId="77777777" w:rsidTr="00B93237">
        <w:trPr>
          <w:cantSplit/>
        </w:trPr>
        <w:tc>
          <w:tcPr>
            <w:tcW w:w="1310" w:type="dxa"/>
          </w:tcPr>
          <w:p w14:paraId="7ADE8C85" w14:textId="77777777" w:rsidR="00B93237" w:rsidRPr="00183B5F" w:rsidRDefault="00943743" w:rsidP="00B93237">
            <w:pPr>
              <w:keepNext/>
              <w:spacing w:line="240" w:lineRule="auto"/>
              <w:rPr>
                <w:szCs w:val="22"/>
              </w:rPr>
            </w:pPr>
            <w:r w:rsidRPr="00183B5F">
              <w:rPr>
                <w:szCs w:val="22"/>
              </w:rPr>
              <w:t>ACR 50</w:t>
            </w:r>
          </w:p>
        </w:tc>
        <w:tc>
          <w:tcPr>
            <w:tcW w:w="1310" w:type="dxa"/>
          </w:tcPr>
          <w:p w14:paraId="46C1D250" w14:textId="77777777" w:rsidR="00B93237" w:rsidRPr="00183B5F" w:rsidRDefault="00B93237" w:rsidP="00B93237">
            <w:pPr>
              <w:keepNext/>
              <w:spacing w:line="240" w:lineRule="auto"/>
              <w:jc w:val="center"/>
              <w:rPr>
                <w:szCs w:val="22"/>
              </w:rPr>
            </w:pPr>
          </w:p>
        </w:tc>
        <w:tc>
          <w:tcPr>
            <w:tcW w:w="1310" w:type="dxa"/>
          </w:tcPr>
          <w:p w14:paraId="14AE149E" w14:textId="77777777" w:rsidR="00B93237" w:rsidRPr="00183B5F" w:rsidRDefault="00B93237" w:rsidP="00B93237">
            <w:pPr>
              <w:keepNext/>
              <w:spacing w:line="240" w:lineRule="auto"/>
              <w:jc w:val="center"/>
              <w:rPr>
                <w:szCs w:val="22"/>
              </w:rPr>
            </w:pPr>
          </w:p>
        </w:tc>
        <w:tc>
          <w:tcPr>
            <w:tcW w:w="1363" w:type="dxa"/>
          </w:tcPr>
          <w:p w14:paraId="7559A4CC" w14:textId="77777777" w:rsidR="00B93237" w:rsidRPr="00183B5F" w:rsidRDefault="00B93237" w:rsidP="00B93237">
            <w:pPr>
              <w:keepNext/>
              <w:spacing w:line="240" w:lineRule="auto"/>
              <w:jc w:val="center"/>
              <w:rPr>
                <w:szCs w:val="22"/>
              </w:rPr>
            </w:pPr>
          </w:p>
        </w:tc>
        <w:tc>
          <w:tcPr>
            <w:tcW w:w="1308" w:type="dxa"/>
          </w:tcPr>
          <w:p w14:paraId="0B14172E" w14:textId="77777777" w:rsidR="00B93237" w:rsidRPr="00183B5F" w:rsidRDefault="00B93237" w:rsidP="00B93237">
            <w:pPr>
              <w:keepNext/>
              <w:spacing w:line="240" w:lineRule="auto"/>
              <w:jc w:val="center"/>
              <w:rPr>
                <w:szCs w:val="22"/>
              </w:rPr>
            </w:pPr>
          </w:p>
        </w:tc>
        <w:tc>
          <w:tcPr>
            <w:tcW w:w="1304" w:type="dxa"/>
          </w:tcPr>
          <w:p w14:paraId="1CC9F6F0" w14:textId="77777777" w:rsidR="00B93237" w:rsidRPr="00183B5F" w:rsidRDefault="00B93237" w:rsidP="00B93237">
            <w:pPr>
              <w:keepNext/>
              <w:spacing w:line="240" w:lineRule="auto"/>
              <w:jc w:val="center"/>
              <w:rPr>
                <w:szCs w:val="22"/>
              </w:rPr>
            </w:pPr>
          </w:p>
        </w:tc>
        <w:tc>
          <w:tcPr>
            <w:tcW w:w="1379" w:type="dxa"/>
          </w:tcPr>
          <w:p w14:paraId="0B1303A6" w14:textId="77777777" w:rsidR="00B93237" w:rsidRPr="00183B5F" w:rsidRDefault="00B93237" w:rsidP="00B93237">
            <w:pPr>
              <w:keepNext/>
              <w:spacing w:line="240" w:lineRule="auto"/>
              <w:jc w:val="center"/>
              <w:rPr>
                <w:szCs w:val="22"/>
              </w:rPr>
            </w:pPr>
          </w:p>
        </w:tc>
      </w:tr>
      <w:tr w:rsidR="00011D2F" w14:paraId="6E632E96" w14:textId="77777777" w:rsidTr="00B93237">
        <w:trPr>
          <w:cantSplit/>
        </w:trPr>
        <w:tc>
          <w:tcPr>
            <w:tcW w:w="1310" w:type="dxa"/>
          </w:tcPr>
          <w:p w14:paraId="019425AE" w14:textId="77777777" w:rsidR="00B93237" w:rsidRPr="00183B5F" w:rsidRDefault="00943743" w:rsidP="00B93237">
            <w:pPr>
              <w:keepNext/>
              <w:spacing w:line="240" w:lineRule="auto"/>
              <w:jc w:val="right"/>
              <w:rPr>
                <w:szCs w:val="22"/>
              </w:rPr>
            </w:pPr>
            <w:r w:rsidRPr="00183B5F">
              <w:rPr>
                <w:szCs w:val="22"/>
              </w:rPr>
              <w:t>52. hét</w:t>
            </w:r>
          </w:p>
        </w:tc>
        <w:tc>
          <w:tcPr>
            <w:tcW w:w="1310" w:type="dxa"/>
          </w:tcPr>
          <w:p w14:paraId="2B76397D" w14:textId="77777777" w:rsidR="00B93237" w:rsidRPr="00183B5F" w:rsidRDefault="00943743" w:rsidP="00B93237">
            <w:pPr>
              <w:keepNext/>
              <w:spacing w:line="240" w:lineRule="auto"/>
              <w:jc w:val="center"/>
              <w:rPr>
                <w:szCs w:val="22"/>
              </w:rPr>
            </w:pPr>
            <w:r w:rsidRPr="00183B5F">
              <w:rPr>
                <w:szCs w:val="22"/>
              </w:rPr>
              <w:t>45,9%</w:t>
            </w:r>
          </w:p>
        </w:tc>
        <w:tc>
          <w:tcPr>
            <w:tcW w:w="1310" w:type="dxa"/>
          </w:tcPr>
          <w:p w14:paraId="71882981" w14:textId="77777777" w:rsidR="00B93237" w:rsidRPr="00183B5F" w:rsidRDefault="00943743" w:rsidP="00B93237">
            <w:pPr>
              <w:keepNext/>
              <w:spacing w:line="240" w:lineRule="auto"/>
              <w:jc w:val="center"/>
              <w:rPr>
                <w:szCs w:val="22"/>
              </w:rPr>
            </w:pPr>
            <w:r w:rsidRPr="00183B5F">
              <w:rPr>
                <w:szCs w:val="22"/>
              </w:rPr>
              <w:t>41,2%</w:t>
            </w:r>
          </w:p>
        </w:tc>
        <w:tc>
          <w:tcPr>
            <w:tcW w:w="1363" w:type="dxa"/>
          </w:tcPr>
          <w:p w14:paraId="0FAD2EF1" w14:textId="77777777" w:rsidR="00B93237" w:rsidRPr="00183B5F" w:rsidRDefault="00943743" w:rsidP="00B93237">
            <w:pPr>
              <w:keepNext/>
              <w:spacing w:line="240" w:lineRule="auto"/>
              <w:jc w:val="center"/>
              <w:rPr>
                <w:szCs w:val="22"/>
              </w:rPr>
            </w:pPr>
            <w:r w:rsidRPr="00183B5F">
              <w:rPr>
                <w:szCs w:val="22"/>
              </w:rPr>
              <w:t>61,6%</w:t>
            </w:r>
          </w:p>
        </w:tc>
        <w:tc>
          <w:tcPr>
            <w:tcW w:w="1308" w:type="dxa"/>
          </w:tcPr>
          <w:p w14:paraId="01EE932B" w14:textId="77777777" w:rsidR="00B93237" w:rsidRPr="00183B5F" w:rsidRDefault="00943743" w:rsidP="00B93237">
            <w:pPr>
              <w:keepNext/>
              <w:spacing w:line="240" w:lineRule="auto"/>
              <w:jc w:val="center"/>
              <w:rPr>
                <w:szCs w:val="22"/>
              </w:rPr>
            </w:pPr>
            <w:r w:rsidRPr="00183B5F">
              <w:rPr>
                <w:szCs w:val="22"/>
              </w:rPr>
              <w:t>&lt; 0,001</w:t>
            </w:r>
          </w:p>
        </w:tc>
        <w:tc>
          <w:tcPr>
            <w:tcW w:w="1304" w:type="dxa"/>
          </w:tcPr>
          <w:p w14:paraId="38909444" w14:textId="77777777" w:rsidR="00B93237" w:rsidRPr="00183B5F" w:rsidRDefault="00943743" w:rsidP="00B93237">
            <w:pPr>
              <w:keepNext/>
              <w:spacing w:line="240" w:lineRule="auto"/>
              <w:jc w:val="center"/>
              <w:rPr>
                <w:szCs w:val="22"/>
              </w:rPr>
            </w:pPr>
            <w:r w:rsidRPr="00183B5F">
              <w:rPr>
                <w:szCs w:val="22"/>
              </w:rPr>
              <w:t>&lt; 0,001</w:t>
            </w:r>
          </w:p>
        </w:tc>
        <w:tc>
          <w:tcPr>
            <w:tcW w:w="1379" w:type="dxa"/>
          </w:tcPr>
          <w:p w14:paraId="1D94BEAA" w14:textId="77777777" w:rsidR="00B93237" w:rsidRPr="00183B5F" w:rsidRDefault="00943743" w:rsidP="00B93237">
            <w:pPr>
              <w:keepNext/>
              <w:spacing w:line="240" w:lineRule="auto"/>
              <w:jc w:val="center"/>
              <w:rPr>
                <w:szCs w:val="22"/>
              </w:rPr>
            </w:pPr>
            <w:r w:rsidRPr="00183B5F">
              <w:rPr>
                <w:szCs w:val="22"/>
              </w:rPr>
              <w:t>0,317</w:t>
            </w:r>
          </w:p>
        </w:tc>
      </w:tr>
      <w:tr w:rsidR="00011D2F" w14:paraId="0A0C0FF9" w14:textId="77777777" w:rsidTr="00B93237">
        <w:trPr>
          <w:cantSplit/>
        </w:trPr>
        <w:tc>
          <w:tcPr>
            <w:tcW w:w="1310" w:type="dxa"/>
          </w:tcPr>
          <w:p w14:paraId="6DFF1E7C" w14:textId="77777777" w:rsidR="00B93237" w:rsidRPr="00183B5F" w:rsidRDefault="00943743" w:rsidP="00B93237">
            <w:pPr>
              <w:keepNext/>
              <w:spacing w:line="240" w:lineRule="auto"/>
              <w:jc w:val="right"/>
              <w:rPr>
                <w:szCs w:val="22"/>
              </w:rPr>
            </w:pPr>
            <w:r w:rsidRPr="00183B5F">
              <w:rPr>
                <w:szCs w:val="22"/>
              </w:rPr>
              <w:t>104. hét</w:t>
            </w:r>
          </w:p>
        </w:tc>
        <w:tc>
          <w:tcPr>
            <w:tcW w:w="1310" w:type="dxa"/>
          </w:tcPr>
          <w:p w14:paraId="6F416DC2" w14:textId="77777777" w:rsidR="00B93237" w:rsidRPr="00183B5F" w:rsidRDefault="00943743" w:rsidP="00B93237">
            <w:pPr>
              <w:keepNext/>
              <w:spacing w:line="240" w:lineRule="auto"/>
              <w:jc w:val="center"/>
              <w:rPr>
                <w:szCs w:val="22"/>
              </w:rPr>
            </w:pPr>
            <w:r w:rsidRPr="00183B5F">
              <w:rPr>
                <w:szCs w:val="22"/>
              </w:rPr>
              <w:t>42,8%</w:t>
            </w:r>
          </w:p>
        </w:tc>
        <w:tc>
          <w:tcPr>
            <w:tcW w:w="1310" w:type="dxa"/>
          </w:tcPr>
          <w:p w14:paraId="3C1CAF47" w14:textId="77777777" w:rsidR="00B93237" w:rsidRPr="00183B5F" w:rsidRDefault="00943743" w:rsidP="00B93237">
            <w:pPr>
              <w:keepNext/>
              <w:spacing w:line="240" w:lineRule="auto"/>
              <w:jc w:val="center"/>
              <w:rPr>
                <w:szCs w:val="22"/>
              </w:rPr>
            </w:pPr>
            <w:r w:rsidRPr="00183B5F">
              <w:rPr>
                <w:szCs w:val="22"/>
              </w:rPr>
              <w:t>36,9%</w:t>
            </w:r>
          </w:p>
        </w:tc>
        <w:tc>
          <w:tcPr>
            <w:tcW w:w="1363" w:type="dxa"/>
          </w:tcPr>
          <w:p w14:paraId="337CFDC0" w14:textId="77777777" w:rsidR="00B93237" w:rsidRPr="00183B5F" w:rsidRDefault="00943743" w:rsidP="00B93237">
            <w:pPr>
              <w:keepNext/>
              <w:spacing w:line="240" w:lineRule="auto"/>
              <w:jc w:val="center"/>
              <w:rPr>
                <w:szCs w:val="22"/>
              </w:rPr>
            </w:pPr>
            <w:r w:rsidRPr="00183B5F">
              <w:rPr>
                <w:szCs w:val="22"/>
              </w:rPr>
              <w:t>59,0%</w:t>
            </w:r>
          </w:p>
        </w:tc>
        <w:tc>
          <w:tcPr>
            <w:tcW w:w="1308" w:type="dxa"/>
          </w:tcPr>
          <w:p w14:paraId="5D1F891D" w14:textId="77777777" w:rsidR="00B93237" w:rsidRPr="00183B5F" w:rsidRDefault="00943743" w:rsidP="00B93237">
            <w:pPr>
              <w:keepNext/>
              <w:spacing w:line="240" w:lineRule="auto"/>
              <w:jc w:val="center"/>
              <w:rPr>
                <w:szCs w:val="22"/>
              </w:rPr>
            </w:pPr>
            <w:r w:rsidRPr="00183B5F">
              <w:rPr>
                <w:szCs w:val="22"/>
              </w:rPr>
              <w:t>&lt; 0,001</w:t>
            </w:r>
          </w:p>
        </w:tc>
        <w:tc>
          <w:tcPr>
            <w:tcW w:w="1304" w:type="dxa"/>
          </w:tcPr>
          <w:p w14:paraId="1DDBF9A0" w14:textId="77777777" w:rsidR="00B93237" w:rsidRPr="00183B5F" w:rsidRDefault="00943743" w:rsidP="00B93237">
            <w:pPr>
              <w:keepNext/>
              <w:spacing w:line="240" w:lineRule="auto"/>
              <w:jc w:val="center"/>
              <w:rPr>
                <w:szCs w:val="22"/>
              </w:rPr>
            </w:pPr>
            <w:r w:rsidRPr="00183B5F">
              <w:rPr>
                <w:szCs w:val="22"/>
              </w:rPr>
              <w:t>&lt; 0,001</w:t>
            </w:r>
          </w:p>
        </w:tc>
        <w:tc>
          <w:tcPr>
            <w:tcW w:w="1379" w:type="dxa"/>
          </w:tcPr>
          <w:p w14:paraId="1B042BAB" w14:textId="77777777" w:rsidR="00B93237" w:rsidRPr="00183B5F" w:rsidRDefault="00943743" w:rsidP="00B93237">
            <w:pPr>
              <w:keepNext/>
              <w:spacing w:line="240" w:lineRule="auto"/>
              <w:jc w:val="center"/>
              <w:rPr>
                <w:szCs w:val="22"/>
              </w:rPr>
            </w:pPr>
            <w:r w:rsidRPr="00183B5F">
              <w:rPr>
                <w:szCs w:val="22"/>
              </w:rPr>
              <w:t>0,162</w:t>
            </w:r>
          </w:p>
        </w:tc>
      </w:tr>
      <w:tr w:rsidR="00011D2F" w14:paraId="00B04F66" w14:textId="77777777" w:rsidTr="00B93237">
        <w:trPr>
          <w:cantSplit/>
        </w:trPr>
        <w:tc>
          <w:tcPr>
            <w:tcW w:w="1310" w:type="dxa"/>
          </w:tcPr>
          <w:p w14:paraId="0BCD7690" w14:textId="77777777" w:rsidR="00B93237" w:rsidRPr="00183B5F" w:rsidRDefault="00943743" w:rsidP="00B93237">
            <w:pPr>
              <w:keepNext/>
              <w:spacing w:line="240" w:lineRule="auto"/>
              <w:rPr>
                <w:szCs w:val="22"/>
              </w:rPr>
            </w:pPr>
            <w:r w:rsidRPr="00183B5F">
              <w:rPr>
                <w:szCs w:val="22"/>
              </w:rPr>
              <w:t>ACR 70</w:t>
            </w:r>
          </w:p>
        </w:tc>
        <w:tc>
          <w:tcPr>
            <w:tcW w:w="1310" w:type="dxa"/>
          </w:tcPr>
          <w:p w14:paraId="644A2124" w14:textId="77777777" w:rsidR="00B93237" w:rsidRPr="00183B5F" w:rsidRDefault="00B93237" w:rsidP="00B93237">
            <w:pPr>
              <w:keepNext/>
              <w:spacing w:line="240" w:lineRule="auto"/>
              <w:jc w:val="center"/>
              <w:rPr>
                <w:szCs w:val="22"/>
              </w:rPr>
            </w:pPr>
          </w:p>
        </w:tc>
        <w:tc>
          <w:tcPr>
            <w:tcW w:w="1310" w:type="dxa"/>
          </w:tcPr>
          <w:p w14:paraId="0AE65014" w14:textId="77777777" w:rsidR="00B93237" w:rsidRPr="00183B5F" w:rsidRDefault="00B93237" w:rsidP="00B93237">
            <w:pPr>
              <w:keepNext/>
              <w:spacing w:line="240" w:lineRule="auto"/>
              <w:jc w:val="center"/>
              <w:rPr>
                <w:szCs w:val="22"/>
              </w:rPr>
            </w:pPr>
          </w:p>
        </w:tc>
        <w:tc>
          <w:tcPr>
            <w:tcW w:w="1363" w:type="dxa"/>
          </w:tcPr>
          <w:p w14:paraId="409AB541" w14:textId="77777777" w:rsidR="00B93237" w:rsidRPr="00183B5F" w:rsidRDefault="00B93237" w:rsidP="00B93237">
            <w:pPr>
              <w:keepNext/>
              <w:spacing w:line="240" w:lineRule="auto"/>
              <w:jc w:val="center"/>
              <w:rPr>
                <w:szCs w:val="22"/>
              </w:rPr>
            </w:pPr>
          </w:p>
        </w:tc>
        <w:tc>
          <w:tcPr>
            <w:tcW w:w="1308" w:type="dxa"/>
          </w:tcPr>
          <w:p w14:paraId="0A285BFA" w14:textId="77777777" w:rsidR="00B93237" w:rsidRPr="00183B5F" w:rsidRDefault="00B93237" w:rsidP="00B93237">
            <w:pPr>
              <w:keepNext/>
              <w:spacing w:line="240" w:lineRule="auto"/>
              <w:jc w:val="center"/>
              <w:rPr>
                <w:szCs w:val="22"/>
              </w:rPr>
            </w:pPr>
          </w:p>
        </w:tc>
        <w:tc>
          <w:tcPr>
            <w:tcW w:w="1304" w:type="dxa"/>
          </w:tcPr>
          <w:p w14:paraId="495D45BC" w14:textId="77777777" w:rsidR="00B93237" w:rsidRPr="00183B5F" w:rsidRDefault="00B93237" w:rsidP="00B93237">
            <w:pPr>
              <w:keepNext/>
              <w:spacing w:line="240" w:lineRule="auto"/>
              <w:jc w:val="center"/>
              <w:rPr>
                <w:szCs w:val="22"/>
              </w:rPr>
            </w:pPr>
          </w:p>
        </w:tc>
        <w:tc>
          <w:tcPr>
            <w:tcW w:w="1379" w:type="dxa"/>
          </w:tcPr>
          <w:p w14:paraId="1A4914D1" w14:textId="77777777" w:rsidR="00B93237" w:rsidRPr="00183B5F" w:rsidRDefault="00B93237" w:rsidP="00B93237">
            <w:pPr>
              <w:keepNext/>
              <w:spacing w:line="240" w:lineRule="auto"/>
              <w:jc w:val="center"/>
              <w:rPr>
                <w:szCs w:val="22"/>
              </w:rPr>
            </w:pPr>
          </w:p>
        </w:tc>
      </w:tr>
      <w:tr w:rsidR="00011D2F" w14:paraId="2247F8E4" w14:textId="77777777" w:rsidTr="00B93237">
        <w:trPr>
          <w:cantSplit/>
        </w:trPr>
        <w:tc>
          <w:tcPr>
            <w:tcW w:w="1310" w:type="dxa"/>
          </w:tcPr>
          <w:p w14:paraId="06E2BBBF" w14:textId="77777777" w:rsidR="00B93237" w:rsidRPr="00183B5F" w:rsidRDefault="00943743" w:rsidP="00B93237">
            <w:pPr>
              <w:keepNext/>
              <w:spacing w:line="240" w:lineRule="auto"/>
              <w:jc w:val="right"/>
              <w:rPr>
                <w:szCs w:val="22"/>
              </w:rPr>
            </w:pPr>
            <w:r w:rsidRPr="00183B5F">
              <w:rPr>
                <w:szCs w:val="22"/>
              </w:rPr>
              <w:t>52. hét</w:t>
            </w:r>
          </w:p>
        </w:tc>
        <w:tc>
          <w:tcPr>
            <w:tcW w:w="1310" w:type="dxa"/>
          </w:tcPr>
          <w:p w14:paraId="43495100" w14:textId="77777777" w:rsidR="00B93237" w:rsidRPr="00183B5F" w:rsidRDefault="00943743" w:rsidP="00B93237">
            <w:pPr>
              <w:keepNext/>
              <w:spacing w:line="240" w:lineRule="auto"/>
              <w:jc w:val="center"/>
              <w:rPr>
                <w:szCs w:val="22"/>
              </w:rPr>
            </w:pPr>
            <w:r w:rsidRPr="00183B5F">
              <w:rPr>
                <w:szCs w:val="22"/>
              </w:rPr>
              <w:t>27,2%</w:t>
            </w:r>
          </w:p>
        </w:tc>
        <w:tc>
          <w:tcPr>
            <w:tcW w:w="1310" w:type="dxa"/>
          </w:tcPr>
          <w:p w14:paraId="6EB53E55" w14:textId="77777777" w:rsidR="00B93237" w:rsidRPr="00183B5F" w:rsidRDefault="00943743" w:rsidP="00B93237">
            <w:pPr>
              <w:keepNext/>
              <w:spacing w:line="240" w:lineRule="auto"/>
              <w:jc w:val="center"/>
              <w:rPr>
                <w:szCs w:val="22"/>
              </w:rPr>
            </w:pPr>
            <w:r w:rsidRPr="00183B5F">
              <w:rPr>
                <w:szCs w:val="22"/>
              </w:rPr>
              <w:t>25,9%</w:t>
            </w:r>
          </w:p>
        </w:tc>
        <w:tc>
          <w:tcPr>
            <w:tcW w:w="1363" w:type="dxa"/>
          </w:tcPr>
          <w:p w14:paraId="3A25366B" w14:textId="77777777" w:rsidR="00B93237" w:rsidRPr="00183B5F" w:rsidRDefault="00943743" w:rsidP="00B93237">
            <w:pPr>
              <w:keepNext/>
              <w:spacing w:line="240" w:lineRule="auto"/>
              <w:jc w:val="center"/>
              <w:rPr>
                <w:szCs w:val="22"/>
              </w:rPr>
            </w:pPr>
            <w:r w:rsidRPr="00183B5F">
              <w:rPr>
                <w:szCs w:val="22"/>
              </w:rPr>
              <w:t>45,5%</w:t>
            </w:r>
          </w:p>
        </w:tc>
        <w:tc>
          <w:tcPr>
            <w:tcW w:w="1308" w:type="dxa"/>
          </w:tcPr>
          <w:p w14:paraId="40A5844F" w14:textId="77777777" w:rsidR="00B93237" w:rsidRPr="00183B5F" w:rsidRDefault="00943743" w:rsidP="00B93237">
            <w:pPr>
              <w:keepNext/>
              <w:spacing w:line="240" w:lineRule="auto"/>
              <w:jc w:val="center"/>
              <w:rPr>
                <w:szCs w:val="22"/>
              </w:rPr>
            </w:pPr>
            <w:r w:rsidRPr="00183B5F">
              <w:rPr>
                <w:szCs w:val="22"/>
              </w:rPr>
              <w:t>&lt; 0,001</w:t>
            </w:r>
          </w:p>
        </w:tc>
        <w:tc>
          <w:tcPr>
            <w:tcW w:w="1304" w:type="dxa"/>
          </w:tcPr>
          <w:p w14:paraId="28D19195" w14:textId="77777777" w:rsidR="00B93237" w:rsidRPr="00183B5F" w:rsidRDefault="00943743" w:rsidP="00B93237">
            <w:pPr>
              <w:keepNext/>
              <w:spacing w:line="240" w:lineRule="auto"/>
              <w:jc w:val="center"/>
              <w:rPr>
                <w:szCs w:val="22"/>
              </w:rPr>
            </w:pPr>
            <w:r w:rsidRPr="00183B5F">
              <w:rPr>
                <w:szCs w:val="22"/>
              </w:rPr>
              <w:t>&lt; 0,001</w:t>
            </w:r>
          </w:p>
        </w:tc>
        <w:tc>
          <w:tcPr>
            <w:tcW w:w="1379" w:type="dxa"/>
          </w:tcPr>
          <w:p w14:paraId="0ACAD487" w14:textId="77777777" w:rsidR="00B93237" w:rsidRPr="00183B5F" w:rsidRDefault="00943743" w:rsidP="00B93237">
            <w:pPr>
              <w:keepNext/>
              <w:spacing w:line="240" w:lineRule="auto"/>
              <w:jc w:val="center"/>
              <w:rPr>
                <w:szCs w:val="22"/>
              </w:rPr>
            </w:pPr>
            <w:r w:rsidRPr="00183B5F">
              <w:rPr>
                <w:szCs w:val="22"/>
              </w:rPr>
              <w:t>0,656</w:t>
            </w:r>
          </w:p>
        </w:tc>
      </w:tr>
      <w:tr w:rsidR="00011D2F" w14:paraId="33FFCEE3" w14:textId="77777777" w:rsidTr="00B93237">
        <w:trPr>
          <w:cantSplit/>
        </w:trPr>
        <w:tc>
          <w:tcPr>
            <w:tcW w:w="1310" w:type="dxa"/>
          </w:tcPr>
          <w:p w14:paraId="3E23FEFF" w14:textId="77777777" w:rsidR="00B93237" w:rsidRPr="00183B5F" w:rsidRDefault="00943743" w:rsidP="00B93237">
            <w:pPr>
              <w:keepNext/>
              <w:spacing w:line="240" w:lineRule="auto"/>
              <w:jc w:val="right"/>
              <w:rPr>
                <w:szCs w:val="22"/>
              </w:rPr>
            </w:pPr>
            <w:r w:rsidRPr="00183B5F">
              <w:rPr>
                <w:szCs w:val="22"/>
              </w:rPr>
              <w:t>104. hét</w:t>
            </w:r>
          </w:p>
        </w:tc>
        <w:tc>
          <w:tcPr>
            <w:tcW w:w="1310" w:type="dxa"/>
          </w:tcPr>
          <w:p w14:paraId="05FA5103" w14:textId="77777777" w:rsidR="00B93237" w:rsidRPr="00183B5F" w:rsidRDefault="00943743" w:rsidP="00B93237">
            <w:pPr>
              <w:keepNext/>
              <w:spacing w:line="240" w:lineRule="auto"/>
              <w:jc w:val="center"/>
              <w:rPr>
                <w:szCs w:val="22"/>
              </w:rPr>
            </w:pPr>
            <w:r w:rsidRPr="00183B5F">
              <w:rPr>
                <w:szCs w:val="22"/>
              </w:rPr>
              <w:t>28,4%</w:t>
            </w:r>
          </w:p>
        </w:tc>
        <w:tc>
          <w:tcPr>
            <w:tcW w:w="1310" w:type="dxa"/>
          </w:tcPr>
          <w:p w14:paraId="6F02816E" w14:textId="77777777" w:rsidR="00B93237" w:rsidRPr="00183B5F" w:rsidRDefault="00943743" w:rsidP="00B93237">
            <w:pPr>
              <w:keepNext/>
              <w:spacing w:line="240" w:lineRule="auto"/>
              <w:jc w:val="center"/>
              <w:rPr>
                <w:szCs w:val="22"/>
              </w:rPr>
            </w:pPr>
            <w:r w:rsidRPr="00183B5F">
              <w:rPr>
                <w:szCs w:val="22"/>
              </w:rPr>
              <w:t>28,1%</w:t>
            </w:r>
          </w:p>
        </w:tc>
        <w:tc>
          <w:tcPr>
            <w:tcW w:w="1363" w:type="dxa"/>
          </w:tcPr>
          <w:p w14:paraId="4E2C52A5" w14:textId="77777777" w:rsidR="00B93237" w:rsidRPr="00183B5F" w:rsidRDefault="00943743" w:rsidP="00B93237">
            <w:pPr>
              <w:keepNext/>
              <w:spacing w:line="240" w:lineRule="auto"/>
              <w:jc w:val="center"/>
              <w:rPr>
                <w:szCs w:val="22"/>
              </w:rPr>
            </w:pPr>
            <w:r w:rsidRPr="00183B5F">
              <w:rPr>
                <w:szCs w:val="22"/>
              </w:rPr>
              <w:t>46,6%</w:t>
            </w:r>
          </w:p>
        </w:tc>
        <w:tc>
          <w:tcPr>
            <w:tcW w:w="1308" w:type="dxa"/>
          </w:tcPr>
          <w:p w14:paraId="156B5D2F" w14:textId="77777777" w:rsidR="00B93237" w:rsidRPr="00183B5F" w:rsidRDefault="00943743" w:rsidP="00B93237">
            <w:pPr>
              <w:keepNext/>
              <w:spacing w:line="240" w:lineRule="auto"/>
              <w:jc w:val="center"/>
              <w:rPr>
                <w:szCs w:val="22"/>
              </w:rPr>
            </w:pPr>
            <w:r w:rsidRPr="00183B5F">
              <w:rPr>
                <w:szCs w:val="22"/>
              </w:rPr>
              <w:t>&lt; 0,001</w:t>
            </w:r>
          </w:p>
        </w:tc>
        <w:tc>
          <w:tcPr>
            <w:tcW w:w="1304" w:type="dxa"/>
          </w:tcPr>
          <w:p w14:paraId="52E2945D" w14:textId="77777777" w:rsidR="00B93237" w:rsidRPr="00183B5F" w:rsidRDefault="00943743" w:rsidP="00B93237">
            <w:pPr>
              <w:keepNext/>
              <w:spacing w:line="240" w:lineRule="auto"/>
              <w:jc w:val="center"/>
              <w:rPr>
                <w:szCs w:val="22"/>
              </w:rPr>
            </w:pPr>
            <w:r w:rsidRPr="00183B5F">
              <w:rPr>
                <w:szCs w:val="22"/>
              </w:rPr>
              <w:t>&lt; 0,001</w:t>
            </w:r>
          </w:p>
        </w:tc>
        <w:tc>
          <w:tcPr>
            <w:tcW w:w="1379" w:type="dxa"/>
          </w:tcPr>
          <w:p w14:paraId="596287C7" w14:textId="77777777" w:rsidR="00B93237" w:rsidRPr="00183B5F" w:rsidRDefault="00943743" w:rsidP="00B93237">
            <w:pPr>
              <w:keepNext/>
              <w:spacing w:line="240" w:lineRule="auto"/>
              <w:jc w:val="center"/>
              <w:rPr>
                <w:szCs w:val="22"/>
              </w:rPr>
            </w:pPr>
            <w:r w:rsidRPr="00183B5F">
              <w:rPr>
                <w:szCs w:val="22"/>
              </w:rPr>
              <w:t>0,864</w:t>
            </w:r>
          </w:p>
        </w:tc>
      </w:tr>
    </w:tbl>
    <w:p w14:paraId="77B09C06" w14:textId="77777777" w:rsidR="00B93237" w:rsidRPr="00183B5F" w:rsidRDefault="00943743" w:rsidP="00B93237">
      <w:pPr>
        <w:spacing w:line="240" w:lineRule="auto"/>
        <w:rPr>
          <w:szCs w:val="22"/>
        </w:rPr>
      </w:pPr>
      <w:r w:rsidRPr="00183B5F">
        <w:rPr>
          <w:szCs w:val="22"/>
          <w:vertAlign w:val="superscript"/>
        </w:rPr>
        <w:t>a</w:t>
      </w:r>
      <w:r w:rsidRPr="00183B5F">
        <w:rPr>
          <w:szCs w:val="22"/>
        </w:rPr>
        <w:t> a p</w:t>
      </w:r>
      <w:r w:rsidRPr="00183B5F">
        <w:rPr>
          <w:szCs w:val="22"/>
        </w:rPr>
        <w:noBreakHyphen/>
        <w:t xml:space="preserve">érték a </w:t>
      </w:r>
      <w:r w:rsidR="001A6E66" w:rsidRPr="00183B5F">
        <w:rPr>
          <w:szCs w:val="22"/>
        </w:rPr>
        <w:t>metotrexát-mono</w:t>
      </w:r>
      <w:r w:rsidRPr="00183B5F">
        <w:rPr>
          <w:szCs w:val="22"/>
        </w:rPr>
        <w:t xml:space="preserve">terápia és a Humira/metotrexát kombinációs terápia páros összehasonlítása </w:t>
      </w:r>
      <w:r w:rsidR="001A6E66" w:rsidRPr="00183B5F">
        <w:rPr>
          <w:szCs w:val="22"/>
        </w:rPr>
        <w:t>alapján, Mann</w:t>
      </w:r>
      <w:r w:rsidRPr="00183B5F">
        <w:rPr>
          <w:szCs w:val="22"/>
        </w:rPr>
        <w:noBreakHyphen/>
        <w:t xml:space="preserve">Whitney </w:t>
      </w:r>
      <w:r w:rsidR="001A6E66" w:rsidRPr="00183B5F">
        <w:rPr>
          <w:szCs w:val="22"/>
        </w:rPr>
        <w:t>U-teszt</w:t>
      </w:r>
      <w:r w:rsidRPr="00183B5F">
        <w:rPr>
          <w:szCs w:val="22"/>
        </w:rPr>
        <w:t xml:space="preserve"> szerint</w:t>
      </w:r>
    </w:p>
    <w:p w14:paraId="4D5E8FE9" w14:textId="77777777" w:rsidR="00B93237" w:rsidRPr="00183B5F" w:rsidRDefault="00943743" w:rsidP="00B93237">
      <w:pPr>
        <w:spacing w:line="240" w:lineRule="auto"/>
        <w:rPr>
          <w:szCs w:val="22"/>
        </w:rPr>
      </w:pPr>
      <w:r w:rsidRPr="00183B5F">
        <w:rPr>
          <w:szCs w:val="22"/>
          <w:vertAlign w:val="superscript"/>
        </w:rPr>
        <w:t>b</w:t>
      </w:r>
      <w:r w:rsidRPr="00183B5F">
        <w:rPr>
          <w:szCs w:val="22"/>
        </w:rPr>
        <w:t> a p</w:t>
      </w:r>
      <w:r w:rsidRPr="00183B5F">
        <w:rPr>
          <w:szCs w:val="22"/>
        </w:rPr>
        <w:noBreakHyphen/>
        <w:t xml:space="preserve">érték a </w:t>
      </w:r>
      <w:r w:rsidR="005C406C" w:rsidRPr="00183B5F">
        <w:rPr>
          <w:szCs w:val="22"/>
        </w:rPr>
        <w:t>Humira-monoterá</w:t>
      </w:r>
      <w:r w:rsidRPr="00183B5F">
        <w:rPr>
          <w:szCs w:val="22"/>
        </w:rPr>
        <w:t xml:space="preserve">pia és a Humira/metotrexát kombinációs terápia páros összehasonlítása </w:t>
      </w:r>
      <w:r w:rsidR="001A6E66" w:rsidRPr="00183B5F">
        <w:rPr>
          <w:szCs w:val="22"/>
        </w:rPr>
        <w:t>alapján, Mann</w:t>
      </w:r>
      <w:r w:rsidRPr="00183B5F">
        <w:rPr>
          <w:szCs w:val="22"/>
        </w:rPr>
        <w:noBreakHyphen/>
        <w:t xml:space="preserve">Whitney </w:t>
      </w:r>
      <w:r w:rsidR="001A6E66" w:rsidRPr="00183B5F">
        <w:rPr>
          <w:szCs w:val="22"/>
        </w:rPr>
        <w:t>U-teszt</w:t>
      </w:r>
      <w:r w:rsidRPr="00183B5F">
        <w:rPr>
          <w:szCs w:val="22"/>
        </w:rPr>
        <w:t xml:space="preserve"> szerint</w:t>
      </w:r>
    </w:p>
    <w:p w14:paraId="3FC3AFB1" w14:textId="77777777" w:rsidR="00B93237" w:rsidRPr="00183B5F" w:rsidRDefault="00943743" w:rsidP="00B93237">
      <w:pPr>
        <w:spacing w:line="240" w:lineRule="auto"/>
        <w:rPr>
          <w:szCs w:val="22"/>
        </w:rPr>
      </w:pPr>
      <w:r w:rsidRPr="00183B5F">
        <w:rPr>
          <w:szCs w:val="22"/>
          <w:vertAlign w:val="superscript"/>
        </w:rPr>
        <w:t>c</w:t>
      </w:r>
      <w:r w:rsidRPr="00183B5F">
        <w:rPr>
          <w:szCs w:val="22"/>
        </w:rPr>
        <w:t> a p</w:t>
      </w:r>
      <w:r w:rsidRPr="00183B5F">
        <w:rPr>
          <w:szCs w:val="22"/>
        </w:rPr>
        <w:noBreakHyphen/>
        <w:t xml:space="preserve">érték a </w:t>
      </w:r>
      <w:r w:rsidR="005C406C" w:rsidRPr="00183B5F">
        <w:rPr>
          <w:szCs w:val="22"/>
        </w:rPr>
        <w:t>Humira-monoterá</w:t>
      </w:r>
      <w:r w:rsidRPr="00183B5F">
        <w:rPr>
          <w:szCs w:val="22"/>
        </w:rPr>
        <w:t xml:space="preserve">pia és a </w:t>
      </w:r>
      <w:r w:rsidR="001A6E66" w:rsidRPr="00183B5F">
        <w:rPr>
          <w:szCs w:val="22"/>
        </w:rPr>
        <w:t>metotrexát-mono</w:t>
      </w:r>
      <w:r w:rsidRPr="00183B5F">
        <w:rPr>
          <w:szCs w:val="22"/>
        </w:rPr>
        <w:t xml:space="preserve">terápia páros összehasonlítása </w:t>
      </w:r>
      <w:r w:rsidR="001A6E66" w:rsidRPr="00183B5F">
        <w:rPr>
          <w:szCs w:val="22"/>
        </w:rPr>
        <w:t>alapján, Mann</w:t>
      </w:r>
      <w:r w:rsidRPr="00183B5F">
        <w:rPr>
          <w:szCs w:val="22"/>
        </w:rPr>
        <w:noBreakHyphen/>
        <w:t xml:space="preserve">Whitney </w:t>
      </w:r>
      <w:r w:rsidR="001A6E66" w:rsidRPr="00183B5F">
        <w:rPr>
          <w:szCs w:val="22"/>
        </w:rPr>
        <w:t>U-teszt</w:t>
      </w:r>
      <w:r w:rsidRPr="00183B5F">
        <w:rPr>
          <w:szCs w:val="22"/>
        </w:rPr>
        <w:t xml:space="preserve"> szerint</w:t>
      </w:r>
    </w:p>
    <w:p w14:paraId="5137EF2B" w14:textId="77777777" w:rsidR="00B93237" w:rsidRPr="00183B5F" w:rsidRDefault="00B93237" w:rsidP="00B93237">
      <w:pPr>
        <w:spacing w:line="240" w:lineRule="auto"/>
        <w:rPr>
          <w:szCs w:val="22"/>
        </w:rPr>
      </w:pPr>
    </w:p>
    <w:p w14:paraId="69DF249A" w14:textId="77777777" w:rsidR="00B93237" w:rsidRPr="00183B5F" w:rsidRDefault="00943743" w:rsidP="00B93237">
      <w:pPr>
        <w:spacing w:line="240" w:lineRule="auto"/>
        <w:rPr>
          <w:szCs w:val="22"/>
        </w:rPr>
      </w:pPr>
      <w:r w:rsidRPr="00183B5F">
        <w:rPr>
          <w:szCs w:val="22"/>
        </w:rPr>
        <w:t xml:space="preserve">Az RA V vizsgálat nyílt elrendezésű kiterjesztésében az </w:t>
      </w:r>
      <w:r w:rsidR="005D174E" w:rsidRPr="00183B5F">
        <w:rPr>
          <w:szCs w:val="22"/>
        </w:rPr>
        <w:t>ACR-válasz</w:t>
      </w:r>
      <w:r w:rsidRPr="00183B5F">
        <w:rPr>
          <w:szCs w:val="22"/>
        </w:rPr>
        <w:t xml:space="preserve"> aránya fennmaradt a legfeljebb 10 éves követés alatt. Az 542 betegből, akiket 2 hetente 40 mg Humira</w:t>
      </w:r>
      <w:r w:rsidRPr="00183B5F">
        <w:rPr>
          <w:szCs w:val="22"/>
        </w:rPr>
        <w:noBreakHyphen/>
        <w:t>ra randomizáltak, 170 betegnél folytatták a 40 mg Humira</w:t>
      </w:r>
      <w:r w:rsidR="001A6E66" w:rsidRPr="00183B5F">
        <w:rPr>
          <w:szCs w:val="22"/>
        </w:rPr>
        <w:t>-</w:t>
      </w:r>
      <w:r w:rsidRPr="00183B5F">
        <w:rPr>
          <w:szCs w:val="22"/>
        </w:rPr>
        <w:t>kezelést minden 2. héten, 10 éven keresztül. Közülük 154 beteg (90,6%) adott ACR 20 választ, 127 beteg (74,7%) adott ACR 50 választ és 102 beteg (60,0%) adott ACR 70 választ.</w:t>
      </w:r>
    </w:p>
    <w:p w14:paraId="308C1BF0" w14:textId="77777777" w:rsidR="00B93237" w:rsidRPr="00183B5F" w:rsidRDefault="00B93237" w:rsidP="00B93237">
      <w:pPr>
        <w:spacing w:line="240" w:lineRule="auto"/>
        <w:rPr>
          <w:szCs w:val="22"/>
        </w:rPr>
      </w:pPr>
    </w:p>
    <w:p w14:paraId="0A18808F" w14:textId="77777777" w:rsidR="00B93237" w:rsidRPr="00183B5F" w:rsidRDefault="00943743" w:rsidP="00B93237">
      <w:pPr>
        <w:spacing w:line="240" w:lineRule="auto"/>
        <w:rPr>
          <w:szCs w:val="22"/>
        </w:rPr>
      </w:pPr>
      <w:r w:rsidRPr="00183B5F">
        <w:rPr>
          <w:szCs w:val="22"/>
        </w:rPr>
        <w:t xml:space="preserve">Az 52. héten a Humira/metotrexát kombinációval kezelt betegek 42,9%-a klinikai remisszióba került (DAS28 (CRP) &lt; 2,6) összehasonlítva a </w:t>
      </w:r>
      <w:r w:rsidR="001A6E66" w:rsidRPr="00183B5F">
        <w:rPr>
          <w:szCs w:val="22"/>
        </w:rPr>
        <w:t>metotrexát-mono</w:t>
      </w:r>
      <w:r w:rsidRPr="00183B5F">
        <w:rPr>
          <w:szCs w:val="22"/>
        </w:rPr>
        <w:t xml:space="preserve">terápiát kapó 20,6% és </w:t>
      </w:r>
      <w:r w:rsidR="005C406C" w:rsidRPr="00183B5F">
        <w:rPr>
          <w:szCs w:val="22"/>
        </w:rPr>
        <w:t>Humira-monoterá</w:t>
      </w:r>
      <w:r w:rsidRPr="00183B5F">
        <w:rPr>
          <w:szCs w:val="22"/>
        </w:rPr>
        <w:t xml:space="preserve">piában részesült 23,4% beteggel. A Humira/metotrexát kombinációs terápia klinikailag és statisztikailag jobb volt, mint a metotrexát (p &lt; 0,001) és </w:t>
      </w:r>
      <w:r w:rsidR="005C406C" w:rsidRPr="00183B5F">
        <w:rPr>
          <w:szCs w:val="22"/>
        </w:rPr>
        <w:t>Humira-monoterá</w:t>
      </w:r>
      <w:r w:rsidRPr="00183B5F">
        <w:rPr>
          <w:szCs w:val="22"/>
        </w:rPr>
        <w:t xml:space="preserve">pia (p &lt; 0,001) az alacsony betegségaktivitási szint elérése tekintetében, amennyiben korai </w:t>
      </w:r>
      <w:r w:rsidR="0022555B" w:rsidRPr="00183B5F">
        <w:rPr>
          <w:szCs w:val="22"/>
        </w:rPr>
        <w:t xml:space="preserve">közepesen súlyos </w:t>
      </w:r>
      <w:r w:rsidRPr="00183B5F">
        <w:rPr>
          <w:szCs w:val="22"/>
        </w:rPr>
        <w:t>-</w:t>
      </w:r>
      <w:r w:rsidR="0022555B" w:rsidRPr="00183B5F">
        <w:rPr>
          <w:szCs w:val="22"/>
        </w:rPr>
        <w:t xml:space="preserve"> </w:t>
      </w:r>
      <w:r w:rsidRPr="00183B5F">
        <w:rPr>
          <w:szCs w:val="22"/>
        </w:rPr>
        <w:t xml:space="preserve">súlyos rheumatoid arthritisük volt. A két monoterápiás karon kapott válasz hasonló volt (p = 0,447). Az eredetileg </w:t>
      </w:r>
      <w:r w:rsidR="005C406C" w:rsidRPr="00183B5F">
        <w:rPr>
          <w:szCs w:val="22"/>
        </w:rPr>
        <w:t>Humira-monoterá</w:t>
      </w:r>
      <w:r w:rsidRPr="00183B5F">
        <w:rPr>
          <w:szCs w:val="22"/>
        </w:rPr>
        <w:t xml:space="preserve">piára vagy Humira/methotrexát kombinációra randomizált </w:t>
      </w:r>
      <w:r w:rsidRPr="00183B5F">
        <w:rPr>
          <w:szCs w:val="22"/>
        </w:rPr>
        <w:t>342 beteg közül, akik beléptek a nyílt kiterjesztéses vizsgálatba, 171 beteg fejezte be a 10 éves Humira</w:t>
      </w:r>
      <w:r w:rsidR="00D646B9" w:rsidRPr="00183B5F">
        <w:rPr>
          <w:szCs w:val="22"/>
        </w:rPr>
        <w:t>-</w:t>
      </w:r>
      <w:r w:rsidRPr="00183B5F">
        <w:rPr>
          <w:szCs w:val="22"/>
        </w:rPr>
        <w:t>kezelést. Közülük 109 beteg (63,7%) került remisszióba a 10 év alatt.</w:t>
      </w:r>
    </w:p>
    <w:p w14:paraId="6908B488" w14:textId="77777777" w:rsidR="00B93237" w:rsidRPr="00183B5F" w:rsidRDefault="00B93237" w:rsidP="00B93237">
      <w:pPr>
        <w:spacing w:line="240" w:lineRule="auto"/>
        <w:rPr>
          <w:szCs w:val="22"/>
        </w:rPr>
      </w:pPr>
    </w:p>
    <w:p w14:paraId="0E02A34B" w14:textId="77777777" w:rsidR="00B93237" w:rsidRPr="00183B5F" w:rsidRDefault="00943743" w:rsidP="00B93237">
      <w:pPr>
        <w:keepNext/>
        <w:spacing w:line="240" w:lineRule="auto"/>
        <w:rPr>
          <w:i/>
          <w:szCs w:val="22"/>
          <w:u w:val="single"/>
        </w:rPr>
      </w:pPr>
      <w:r w:rsidRPr="00183B5F">
        <w:rPr>
          <w:i/>
          <w:szCs w:val="22"/>
          <w:u w:val="single"/>
        </w:rPr>
        <w:t>Radiológiai válasz</w:t>
      </w:r>
    </w:p>
    <w:p w14:paraId="163F3E94" w14:textId="77777777" w:rsidR="00B93237" w:rsidRPr="00183B5F" w:rsidRDefault="00B93237" w:rsidP="00B93237">
      <w:pPr>
        <w:pStyle w:val="EndnoteText"/>
        <w:keepNext/>
        <w:tabs>
          <w:tab w:val="clear" w:pos="567"/>
        </w:tabs>
        <w:suppressAutoHyphens/>
        <w:rPr>
          <w:sz w:val="22"/>
          <w:szCs w:val="22"/>
          <w:lang w:val="hu-HU" w:eastAsia="hu-HU"/>
        </w:rPr>
      </w:pPr>
    </w:p>
    <w:p w14:paraId="13506E70" w14:textId="77777777" w:rsidR="00B93237" w:rsidRPr="00183B5F" w:rsidRDefault="00943743" w:rsidP="00B93237">
      <w:pPr>
        <w:keepNext/>
        <w:spacing w:line="240" w:lineRule="auto"/>
        <w:rPr>
          <w:szCs w:val="22"/>
        </w:rPr>
      </w:pPr>
      <w:r w:rsidRPr="00183B5F">
        <w:rPr>
          <w:szCs w:val="22"/>
        </w:rPr>
        <w:t>Az RA III vizsgálatban, amelyben a Humira</w:t>
      </w:r>
      <w:r w:rsidRPr="00183B5F">
        <w:rPr>
          <w:szCs w:val="22"/>
        </w:rPr>
        <w:noBreakHyphen/>
        <w:t>val kezelt betegek rheumatoid arthritise átlagosan 11 éve állt fenn, az ízületek szerkezeti károsodását radiológiailag értékelték és a változást módosított teljes Sharp</w:t>
      </w:r>
      <w:r w:rsidR="00117647" w:rsidRPr="00183B5F">
        <w:rPr>
          <w:szCs w:val="22"/>
        </w:rPr>
        <w:t>-</w:t>
      </w:r>
      <w:r w:rsidRPr="00183B5F">
        <w:rPr>
          <w:szCs w:val="22"/>
        </w:rPr>
        <w:t>pontértékkel (Total Sharp Score, TSS) és összetevőivel, az er</w:t>
      </w:r>
      <w:r w:rsidR="00116852" w:rsidRPr="00183B5F">
        <w:rPr>
          <w:szCs w:val="22"/>
        </w:rPr>
        <w:t>ó</w:t>
      </w:r>
      <w:r w:rsidRPr="00183B5F">
        <w:rPr>
          <w:szCs w:val="22"/>
        </w:rPr>
        <w:t>ziós pontértékkel és az ízületi rés beszűkülésének pontértékével fejezték ki. Humira</w:t>
      </w:r>
      <w:r w:rsidRPr="00183B5F">
        <w:rPr>
          <w:szCs w:val="22"/>
        </w:rPr>
        <w:noBreakHyphen/>
        <w:t>val/metotrexáttal kezelt betegeknél szignifikánsan kisebb mértékű radiológiai progressziót mutattak ki a 6. és 12. hónapban, mint a csak metotrexáttal kezelt betegeknél (lásd</w:t>
      </w:r>
      <w:r w:rsidRPr="00183B5F">
        <w:rPr>
          <w:i/>
          <w:iCs/>
          <w:szCs w:val="22"/>
        </w:rPr>
        <w:t xml:space="preserve"> </w:t>
      </w:r>
      <w:r w:rsidR="00E5175A" w:rsidRPr="00183B5F">
        <w:rPr>
          <w:iCs/>
          <w:szCs w:val="22"/>
        </w:rPr>
        <w:t>7</w:t>
      </w:r>
      <w:r w:rsidRPr="00183B5F">
        <w:rPr>
          <w:szCs w:val="22"/>
        </w:rPr>
        <w:t>. táblázat).</w:t>
      </w:r>
    </w:p>
    <w:p w14:paraId="0FA97AC9" w14:textId="77777777" w:rsidR="00B93237" w:rsidRPr="00183B5F" w:rsidRDefault="00B93237" w:rsidP="00B93237">
      <w:pPr>
        <w:spacing w:line="240" w:lineRule="auto"/>
        <w:rPr>
          <w:szCs w:val="22"/>
        </w:rPr>
      </w:pPr>
    </w:p>
    <w:p w14:paraId="73D8180E" w14:textId="77777777" w:rsidR="00B93237" w:rsidRPr="00183B5F" w:rsidRDefault="00943743" w:rsidP="00B93237">
      <w:pPr>
        <w:spacing w:line="240" w:lineRule="auto"/>
        <w:rPr>
          <w:szCs w:val="22"/>
        </w:rPr>
      </w:pPr>
      <w:r w:rsidRPr="00183B5F">
        <w:rPr>
          <w:szCs w:val="22"/>
        </w:rPr>
        <w:t>Az RA III vizsgálat nyílt, kiterjesztett fázisában a strukturális károsodás progressziójának csökkent mértéke 8 és 10 évig fenntartható a betegek egy részénél. Az eredetileg minden második héten 40 mg Humira</w:t>
      </w:r>
      <w:r w:rsidRPr="00183B5F">
        <w:rPr>
          <w:szCs w:val="22"/>
        </w:rPr>
        <w:noBreakHyphen/>
        <w:t>val kezelt 207 beteg közül 81</w:t>
      </w:r>
      <w:r w:rsidRPr="00183B5F">
        <w:rPr>
          <w:szCs w:val="22"/>
        </w:rPr>
        <w:noBreakHyphen/>
        <w:t>et értékeltek radiológiailag a 8. évben. Közülük 48 betegnél nem észlelték a strukturális károsodás progresszióját, melynek definíciója a Teljes Sharp</w:t>
      </w:r>
      <w:r w:rsidR="00117647" w:rsidRPr="00183B5F">
        <w:rPr>
          <w:szCs w:val="22"/>
        </w:rPr>
        <w:t>-</w:t>
      </w:r>
      <w:r w:rsidRPr="00183B5F">
        <w:rPr>
          <w:szCs w:val="22"/>
        </w:rPr>
        <w:t>pontértékben bekövetkezett 0,5 vagy még alacsonyabb változás volt a kiindulási értékhez képest. Az eredetileg minden második héten 40 mg Humira</w:t>
      </w:r>
      <w:r w:rsidRPr="00183B5F">
        <w:rPr>
          <w:szCs w:val="22"/>
        </w:rPr>
        <w:noBreakHyphen/>
        <w:t>val kezelt 207 beteg közül 79</w:t>
      </w:r>
      <w:r w:rsidRPr="00183B5F">
        <w:rPr>
          <w:szCs w:val="22"/>
        </w:rPr>
        <w:noBreakHyphen/>
        <w:t>et értékeltek radiológiailag a 10. évben. Közülük 40 betegnél nem észlelték a strukturális károsodás progresszióját, melynek definíciója a Teljes Sharp</w:t>
      </w:r>
      <w:r w:rsidR="00117647" w:rsidRPr="00183B5F">
        <w:rPr>
          <w:szCs w:val="22"/>
        </w:rPr>
        <w:t>-</w:t>
      </w:r>
      <w:r w:rsidRPr="00183B5F">
        <w:rPr>
          <w:szCs w:val="22"/>
        </w:rPr>
        <w:t>pont</w:t>
      </w:r>
      <w:r w:rsidRPr="00183B5F">
        <w:rPr>
          <w:szCs w:val="22"/>
        </w:rPr>
        <w:t>értékben bekövetkezett 0,5 vagy ennél alacsonyabb változás volt a kiindulási értékhez képest.</w:t>
      </w:r>
    </w:p>
    <w:p w14:paraId="441FC347" w14:textId="77777777" w:rsidR="00B93237" w:rsidRPr="00183B5F" w:rsidRDefault="00B93237" w:rsidP="00B93237">
      <w:pPr>
        <w:pStyle w:val="EMEAHeading1"/>
        <w:tabs>
          <w:tab w:val="clear" w:pos="562"/>
        </w:tabs>
        <w:spacing w:beforeLines="0" w:afterLines="0"/>
        <w:outlineLvl w:val="9"/>
        <w:rPr>
          <w:rFonts w:ascii="Times New Roman" w:hAnsi="Times New Roman"/>
          <w:bCs/>
          <w:caps w:val="0"/>
          <w:szCs w:val="22"/>
          <w:lang w:val="hu-HU" w:eastAsia="hu-HU"/>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88"/>
        <w:gridCol w:w="1430"/>
        <w:gridCol w:w="1790"/>
        <w:gridCol w:w="2000"/>
        <w:gridCol w:w="1548"/>
      </w:tblGrid>
      <w:tr w:rsidR="00011D2F" w14:paraId="7245A01B" w14:textId="77777777" w:rsidTr="00B93237">
        <w:trPr>
          <w:cantSplit/>
        </w:trPr>
        <w:tc>
          <w:tcPr>
            <w:tcW w:w="8856" w:type="dxa"/>
            <w:gridSpan w:val="5"/>
            <w:tcBorders>
              <w:top w:val="nil"/>
              <w:left w:val="nil"/>
              <w:bottom w:val="single" w:sz="4" w:space="0" w:color="auto"/>
              <w:right w:val="nil"/>
            </w:tcBorders>
          </w:tcPr>
          <w:p w14:paraId="11934DBE" w14:textId="77777777" w:rsidR="00B93237" w:rsidRPr="00183B5F" w:rsidRDefault="00943743" w:rsidP="00B93237">
            <w:pPr>
              <w:pStyle w:val="EMEAHeading1"/>
              <w:keepNext/>
              <w:tabs>
                <w:tab w:val="clear" w:pos="562"/>
              </w:tabs>
              <w:spacing w:beforeLines="0" w:afterLines="0"/>
              <w:jc w:val="center"/>
              <w:outlineLvl w:val="9"/>
              <w:rPr>
                <w:rFonts w:ascii="Times New Roman" w:hAnsi="Times New Roman"/>
                <w:bCs/>
                <w:caps w:val="0"/>
                <w:szCs w:val="22"/>
                <w:lang w:val="hu-HU" w:eastAsia="hu-HU"/>
              </w:rPr>
            </w:pPr>
            <w:r w:rsidRPr="00183B5F">
              <w:rPr>
                <w:rFonts w:ascii="Times New Roman" w:hAnsi="Times New Roman"/>
                <w:bCs/>
                <w:caps w:val="0"/>
                <w:szCs w:val="22"/>
                <w:lang w:val="hu-HU" w:eastAsia="hu-HU"/>
              </w:rPr>
              <w:t xml:space="preserve">7. táblázat </w:t>
            </w:r>
          </w:p>
          <w:p w14:paraId="5B1A286C" w14:textId="77777777" w:rsidR="00B93237" w:rsidRPr="00183B5F" w:rsidRDefault="00943743" w:rsidP="00B93237">
            <w:pPr>
              <w:pStyle w:val="EMEAHeading1"/>
              <w:keepNext/>
              <w:tabs>
                <w:tab w:val="clear" w:pos="562"/>
              </w:tabs>
              <w:spacing w:beforeLines="0" w:afterLines="0"/>
              <w:jc w:val="center"/>
              <w:outlineLvl w:val="9"/>
              <w:rPr>
                <w:rFonts w:ascii="Times New Roman" w:hAnsi="Times New Roman"/>
                <w:bCs/>
                <w:caps w:val="0"/>
                <w:strike/>
                <w:szCs w:val="22"/>
                <w:lang w:val="hu-HU" w:eastAsia="hu-HU"/>
              </w:rPr>
            </w:pPr>
            <w:r w:rsidRPr="00183B5F">
              <w:rPr>
                <w:rFonts w:ascii="Times New Roman" w:hAnsi="Times New Roman"/>
                <w:bCs/>
                <w:caps w:val="0"/>
                <w:szCs w:val="22"/>
                <w:lang w:val="hu-HU" w:eastAsia="hu-HU"/>
              </w:rPr>
              <w:t>Az RA III vizsgálatban észlelt radiológiai változások átlaga 12 hónapot követően</w:t>
            </w:r>
          </w:p>
          <w:p w14:paraId="158D8C22" w14:textId="77777777" w:rsidR="00B93237" w:rsidRPr="00183B5F" w:rsidRDefault="00B93237" w:rsidP="00B93237">
            <w:pPr>
              <w:keepNext/>
              <w:spacing w:line="240" w:lineRule="auto"/>
              <w:jc w:val="center"/>
              <w:rPr>
                <w:b/>
                <w:bCs/>
                <w:szCs w:val="22"/>
              </w:rPr>
            </w:pPr>
          </w:p>
        </w:tc>
      </w:tr>
      <w:tr w:rsidR="00011D2F" w14:paraId="49EBC548" w14:textId="77777777" w:rsidTr="00B93237">
        <w:trPr>
          <w:cantSplit/>
        </w:trPr>
        <w:tc>
          <w:tcPr>
            <w:tcW w:w="2088" w:type="dxa"/>
            <w:tcBorders>
              <w:top w:val="single" w:sz="4" w:space="0" w:color="auto"/>
              <w:bottom w:val="single" w:sz="4" w:space="0" w:color="auto"/>
              <w:right w:val="single" w:sz="4" w:space="0" w:color="auto"/>
            </w:tcBorders>
          </w:tcPr>
          <w:p w14:paraId="741C2F01" w14:textId="77777777" w:rsidR="00B93237" w:rsidRPr="00183B5F" w:rsidRDefault="00B93237" w:rsidP="00B93237">
            <w:pPr>
              <w:keepNext/>
              <w:spacing w:line="240" w:lineRule="auto"/>
              <w:jc w:val="center"/>
              <w:rPr>
                <w:szCs w:val="22"/>
              </w:rPr>
            </w:pPr>
          </w:p>
        </w:tc>
        <w:tc>
          <w:tcPr>
            <w:tcW w:w="1430" w:type="dxa"/>
            <w:tcBorders>
              <w:top w:val="single" w:sz="4" w:space="0" w:color="auto"/>
              <w:left w:val="single" w:sz="4" w:space="0" w:color="auto"/>
              <w:bottom w:val="single" w:sz="4" w:space="0" w:color="auto"/>
              <w:right w:val="single" w:sz="4" w:space="0" w:color="auto"/>
            </w:tcBorders>
          </w:tcPr>
          <w:p w14:paraId="78443BA9" w14:textId="77777777" w:rsidR="00B93237" w:rsidRPr="00183B5F" w:rsidRDefault="00943743" w:rsidP="00B93237">
            <w:pPr>
              <w:keepNext/>
              <w:spacing w:line="240" w:lineRule="auto"/>
              <w:rPr>
                <w:szCs w:val="22"/>
              </w:rPr>
            </w:pPr>
            <w:r w:rsidRPr="00183B5F">
              <w:rPr>
                <w:szCs w:val="22"/>
              </w:rPr>
              <w:t>Placebo/</w:t>
            </w:r>
          </w:p>
          <w:p w14:paraId="6CB1BDCD" w14:textId="77777777" w:rsidR="00B93237" w:rsidRPr="00183B5F" w:rsidRDefault="00943743" w:rsidP="00B93237">
            <w:pPr>
              <w:keepNext/>
              <w:spacing w:line="240" w:lineRule="auto"/>
              <w:rPr>
                <w:szCs w:val="22"/>
                <w:vertAlign w:val="superscript"/>
              </w:rPr>
            </w:pPr>
            <w:r w:rsidRPr="00183B5F">
              <w:rPr>
                <w:szCs w:val="22"/>
              </w:rPr>
              <w:t>MTX</w:t>
            </w:r>
            <w:r w:rsidRPr="00183B5F">
              <w:rPr>
                <w:szCs w:val="22"/>
                <w:vertAlign w:val="superscript"/>
              </w:rPr>
              <w:t>a</w:t>
            </w:r>
          </w:p>
        </w:tc>
        <w:tc>
          <w:tcPr>
            <w:tcW w:w="1790" w:type="dxa"/>
            <w:tcBorders>
              <w:top w:val="single" w:sz="4" w:space="0" w:color="auto"/>
              <w:left w:val="single" w:sz="4" w:space="0" w:color="auto"/>
              <w:bottom w:val="single" w:sz="4" w:space="0" w:color="auto"/>
              <w:right w:val="single" w:sz="4" w:space="0" w:color="auto"/>
            </w:tcBorders>
          </w:tcPr>
          <w:p w14:paraId="79CB419A" w14:textId="77777777" w:rsidR="00B93237" w:rsidRPr="00183B5F" w:rsidRDefault="00943743" w:rsidP="00B93237">
            <w:pPr>
              <w:keepNext/>
              <w:spacing w:line="240" w:lineRule="auto"/>
              <w:jc w:val="center"/>
              <w:rPr>
                <w:szCs w:val="22"/>
              </w:rPr>
            </w:pPr>
            <w:r w:rsidRPr="00183B5F">
              <w:rPr>
                <w:szCs w:val="22"/>
              </w:rPr>
              <w:t>Humira/MTX</w:t>
            </w:r>
          </w:p>
          <w:p w14:paraId="05A0B2F3" w14:textId="77777777" w:rsidR="00B93237" w:rsidRPr="00183B5F" w:rsidRDefault="00943743" w:rsidP="00B93237">
            <w:pPr>
              <w:keepNext/>
              <w:spacing w:line="240" w:lineRule="auto"/>
              <w:jc w:val="center"/>
              <w:rPr>
                <w:szCs w:val="22"/>
              </w:rPr>
            </w:pPr>
            <w:r w:rsidRPr="00183B5F">
              <w:rPr>
                <w:szCs w:val="22"/>
              </w:rPr>
              <w:t>40 mg kéthetente</w:t>
            </w:r>
          </w:p>
        </w:tc>
        <w:tc>
          <w:tcPr>
            <w:tcW w:w="2000" w:type="dxa"/>
            <w:tcBorders>
              <w:top w:val="single" w:sz="4" w:space="0" w:color="auto"/>
              <w:left w:val="single" w:sz="4" w:space="0" w:color="auto"/>
              <w:bottom w:val="single" w:sz="4" w:space="0" w:color="auto"/>
              <w:right w:val="single" w:sz="4" w:space="0" w:color="auto"/>
            </w:tcBorders>
          </w:tcPr>
          <w:p w14:paraId="00FDCD74" w14:textId="77777777" w:rsidR="00B93237" w:rsidRPr="00183B5F" w:rsidRDefault="00943743" w:rsidP="00B93237">
            <w:pPr>
              <w:keepNext/>
              <w:spacing w:line="240" w:lineRule="auto"/>
              <w:jc w:val="center"/>
              <w:rPr>
                <w:szCs w:val="22"/>
              </w:rPr>
            </w:pPr>
            <w:r w:rsidRPr="00183B5F">
              <w:rPr>
                <w:szCs w:val="22"/>
              </w:rPr>
              <w:t>Placebo/MTX-Humira/MTX (95%-os konfidencia intervallum)</w:t>
            </w:r>
            <w:r w:rsidR="0022555B" w:rsidRPr="00183B5F">
              <w:rPr>
                <w:szCs w:val="22"/>
                <w:vertAlign w:val="superscript"/>
              </w:rPr>
              <w:t xml:space="preserve"> b</w:t>
            </w:r>
          </w:p>
          <w:p w14:paraId="23BF7EF5" w14:textId="77777777" w:rsidR="00B93237" w:rsidRPr="00183B5F" w:rsidRDefault="00B93237" w:rsidP="00B93237">
            <w:pPr>
              <w:keepNext/>
              <w:spacing w:line="240" w:lineRule="auto"/>
              <w:jc w:val="center"/>
              <w:rPr>
                <w:szCs w:val="22"/>
              </w:rPr>
            </w:pPr>
          </w:p>
        </w:tc>
        <w:tc>
          <w:tcPr>
            <w:tcW w:w="1548" w:type="dxa"/>
            <w:tcBorders>
              <w:top w:val="single" w:sz="4" w:space="0" w:color="auto"/>
              <w:left w:val="single" w:sz="4" w:space="0" w:color="auto"/>
              <w:bottom w:val="single" w:sz="4" w:space="0" w:color="auto"/>
            </w:tcBorders>
          </w:tcPr>
          <w:p w14:paraId="0476501B" w14:textId="77777777" w:rsidR="00B93237" w:rsidRPr="00183B5F" w:rsidRDefault="00943743" w:rsidP="00B93237">
            <w:pPr>
              <w:keepNext/>
              <w:spacing w:line="240" w:lineRule="auto"/>
              <w:jc w:val="center"/>
              <w:rPr>
                <w:szCs w:val="22"/>
              </w:rPr>
            </w:pPr>
            <w:r w:rsidRPr="00183B5F">
              <w:rPr>
                <w:szCs w:val="22"/>
              </w:rPr>
              <w:t>p-érték</w:t>
            </w:r>
          </w:p>
        </w:tc>
      </w:tr>
      <w:tr w:rsidR="00011D2F" w14:paraId="2D30CD71" w14:textId="77777777" w:rsidTr="00B93237">
        <w:trPr>
          <w:cantSplit/>
        </w:trPr>
        <w:tc>
          <w:tcPr>
            <w:tcW w:w="2088" w:type="dxa"/>
            <w:tcBorders>
              <w:top w:val="single" w:sz="4" w:space="0" w:color="auto"/>
              <w:bottom w:val="single" w:sz="4" w:space="0" w:color="auto"/>
              <w:right w:val="single" w:sz="4" w:space="0" w:color="auto"/>
            </w:tcBorders>
          </w:tcPr>
          <w:p w14:paraId="74FC3674" w14:textId="77777777" w:rsidR="00B93237" w:rsidRPr="00183B5F" w:rsidRDefault="00943743" w:rsidP="00B93237">
            <w:pPr>
              <w:keepNext/>
              <w:spacing w:line="240" w:lineRule="auto"/>
              <w:jc w:val="center"/>
              <w:rPr>
                <w:szCs w:val="22"/>
              </w:rPr>
            </w:pPr>
            <w:r w:rsidRPr="00183B5F">
              <w:rPr>
                <w:szCs w:val="22"/>
              </w:rPr>
              <w:t>Teljes Sharp</w:t>
            </w:r>
            <w:r w:rsidR="005E4FD2" w:rsidRPr="00183B5F">
              <w:rPr>
                <w:szCs w:val="22"/>
              </w:rPr>
              <w:t>-</w:t>
            </w:r>
            <w:r w:rsidRPr="00183B5F">
              <w:rPr>
                <w:szCs w:val="22"/>
              </w:rPr>
              <w:t>pontérték</w:t>
            </w:r>
          </w:p>
        </w:tc>
        <w:tc>
          <w:tcPr>
            <w:tcW w:w="1430" w:type="dxa"/>
            <w:tcBorders>
              <w:top w:val="single" w:sz="4" w:space="0" w:color="auto"/>
              <w:left w:val="single" w:sz="4" w:space="0" w:color="auto"/>
              <w:bottom w:val="single" w:sz="4" w:space="0" w:color="auto"/>
              <w:right w:val="single" w:sz="4" w:space="0" w:color="auto"/>
            </w:tcBorders>
          </w:tcPr>
          <w:p w14:paraId="0AC1F9D4" w14:textId="77777777" w:rsidR="00B93237" w:rsidRPr="00183B5F" w:rsidRDefault="00943743" w:rsidP="00B93237">
            <w:pPr>
              <w:keepNext/>
              <w:spacing w:line="240" w:lineRule="auto"/>
              <w:jc w:val="center"/>
              <w:rPr>
                <w:szCs w:val="22"/>
              </w:rPr>
            </w:pPr>
            <w:r w:rsidRPr="00183B5F">
              <w:rPr>
                <w:szCs w:val="22"/>
              </w:rPr>
              <w:t>2,7</w:t>
            </w:r>
          </w:p>
        </w:tc>
        <w:tc>
          <w:tcPr>
            <w:tcW w:w="1790" w:type="dxa"/>
            <w:tcBorders>
              <w:top w:val="single" w:sz="4" w:space="0" w:color="auto"/>
              <w:left w:val="single" w:sz="4" w:space="0" w:color="auto"/>
              <w:bottom w:val="single" w:sz="4" w:space="0" w:color="auto"/>
              <w:right w:val="single" w:sz="4" w:space="0" w:color="auto"/>
            </w:tcBorders>
          </w:tcPr>
          <w:p w14:paraId="4E99ECE4" w14:textId="77777777" w:rsidR="00B93237" w:rsidRPr="00183B5F" w:rsidRDefault="00943743" w:rsidP="00B93237">
            <w:pPr>
              <w:keepNext/>
              <w:spacing w:line="240" w:lineRule="auto"/>
              <w:jc w:val="center"/>
              <w:rPr>
                <w:szCs w:val="22"/>
              </w:rPr>
            </w:pPr>
            <w:r w:rsidRPr="00183B5F">
              <w:rPr>
                <w:szCs w:val="22"/>
              </w:rPr>
              <w:t>0,1</w:t>
            </w:r>
          </w:p>
        </w:tc>
        <w:tc>
          <w:tcPr>
            <w:tcW w:w="2000" w:type="dxa"/>
            <w:tcBorders>
              <w:top w:val="single" w:sz="4" w:space="0" w:color="auto"/>
              <w:left w:val="single" w:sz="4" w:space="0" w:color="auto"/>
              <w:bottom w:val="single" w:sz="4" w:space="0" w:color="auto"/>
              <w:right w:val="single" w:sz="4" w:space="0" w:color="auto"/>
            </w:tcBorders>
          </w:tcPr>
          <w:p w14:paraId="0221CD7C" w14:textId="77777777" w:rsidR="00B93237" w:rsidRPr="00183B5F" w:rsidRDefault="00943743">
            <w:pPr>
              <w:keepNext/>
              <w:spacing w:line="240" w:lineRule="auto"/>
              <w:jc w:val="center"/>
              <w:rPr>
                <w:szCs w:val="22"/>
              </w:rPr>
            </w:pPr>
            <w:r w:rsidRPr="00183B5F">
              <w:rPr>
                <w:szCs w:val="22"/>
              </w:rPr>
              <w:t>2,6 (1,4</w:t>
            </w:r>
            <w:r w:rsidR="0022555B" w:rsidRPr="00183B5F">
              <w:rPr>
                <w:szCs w:val="22"/>
              </w:rPr>
              <w:t>;</w:t>
            </w:r>
            <w:r w:rsidRPr="00183B5F">
              <w:rPr>
                <w:szCs w:val="22"/>
              </w:rPr>
              <w:t xml:space="preserve"> 3,8) </w:t>
            </w:r>
          </w:p>
        </w:tc>
        <w:tc>
          <w:tcPr>
            <w:tcW w:w="1548" w:type="dxa"/>
            <w:tcBorders>
              <w:top w:val="single" w:sz="4" w:space="0" w:color="auto"/>
              <w:left w:val="single" w:sz="4" w:space="0" w:color="auto"/>
              <w:bottom w:val="single" w:sz="4" w:space="0" w:color="auto"/>
            </w:tcBorders>
          </w:tcPr>
          <w:p w14:paraId="65D4BBAD" w14:textId="77777777" w:rsidR="00B93237" w:rsidRPr="00183B5F" w:rsidRDefault="00943743" w:rsidP="00B93237">
            <w:pPr>
              <w:keepNext/>
              <w:spacing w:line="240" w:lineRule="auto"/>
              <w:jc w:val="center"/>
              <w:rPr>
                <w:szCs w:val="22"/>
                <w:vertAlign w:val="superscript"/>
              </w:rPr>
            </w:pPr>
            <w:r w:rsidRPr="00183B5F">
              <w:rPr>
                <w:szCs w:val="22"/>
              </w:rPr>
              <w:t>&lt; 0,001</w:t>
            </w:r>
            <w:r w:rsidRPr="00183B5F">
              <w:rPr>
                <w:szCs w:val="22"/>
                <w:vertAlign w:val="superscript"/>
              </w:rPr>
              <w:t>c</w:t>
            </w:r>
          </w:p>
        </w:tc>
      </w:tr>
      <w:tr w:rsidR="00011D2F" w14:paraId="2B4BF4E3" w14:textId="77777777" w:rsidTr="00B93237">
        <w:trPr>
          <w:cantSplit/>
        </w:trPr>
        <w:tc>
          <w:tcPr>
            <w:tcW w:w="2088" w:type="dxa"/>
            <w:tcBorders>
              <w:top w:val="single" w:sz="4" w:space="0" w:color="auto"/>
              <w:bottom w:val="single" w:sz="4" w:space="0" w:color="auto"/>
              <w:right w:val="single" w:sz="4" w:space="0" w:color="auto"/>
            </w:tcBorders>
          </w:tcPr>
          <w:p w14:paraId="4446409E" w14:textId="77777777" w:rsidR="00B93237" w:rsidRPr="00183B5F" w:rsidRDefault="00943743" w:rsidP="00B93237">
            <w:pPr>
              <w:spacing w:line="240" w:lineRule="auto"/>
              <w:jc w:val="center"/>
              <w:rPr>
                <w:szCs w:val="22"/>
              </w:rPr>
            </w:pPr>
            <w:r w:rsidRPr="00183B5F">
              <w:rPr>
                <w:szCs w:val="22"/>
              </w:rPr>
              <w:t>Eróziós pontérték</w:t>
            </w:r>
          </w:p>
          <w:p w14:paraId="5629BBB3" w14:textId="77777777" w:rsidR="00B93237" w:rsidRPr="00183B5F" w:rsidRDefault="00B93237" w:rsidP="00B93237">
            <w:pPr>
              <w:spacing w:line="240" w:lineRule="auto"/>
              <w:jc w:val="center"/>
              <w:rPr>
                <w:szCs w:val="22"/>
              </w:rPr>
            </w:pPr>
          </w:p>
        </w:tc>
        <w:tc>
          <w:tcPr>
            <w:tcW w:w="1430" w:type="dxa"/>
            <w:tcBorders>
              <w:top w:val="single" w:sz="4" w:space="0" w:color="auto"/>
              <w:left w:val="single" w:sz="4" w:space="0" w:color="auto"/>
              <w:bottom w:val="single" w:sz="4" w:space="0" w:color="auto"/>
              <w:right w:val="single" w:sz="4" w:space="0" w:color="auto"/>
            </w:tcBorders>
          </w:tcPr>
          <w:p w14:paraId="1A1294C0" w14:textId="77777777" w:rsidR="00B93237" w:rsidRPr="00183B5F" w:rsidRDefault="00943743" w:rsidP="00B93237">
            <w:pPr>
              <w:spacing w:line="240" w:lineRule="auto"/>
              <w:jc w:val="center"/>
              <w:rPr>
                <w:szCs w:val="22"/>
              </w:rPr>
            </w:pPr>
            <w:r w:rsidRPr="00183B5F">
              <w:rPr>
                <w:szCs w:val="22"/>
              </w:rPr>
              <w:t>1,6</w:t>
            </w:r>
          </w:p>
        </w:tc>
        <w:tc>
          <w:tcPr>
            <w:tcW w:w="1790" w:type="dxa"/>
            <w:tcBorders>
              <w:top w:val="single" w:sz="4" w:space="0" w:color="auto"/>
              <w:left w:val="single" w:sz="4" w:space="0" w:color="auto"/>
              <w:bottom w:val="single" w:sz="4" w:space="0" w:color="auto"/>
              <w:right w:val="single" w:sz="4" w:space="0" w:color="auto"/>
            </w:tcBorders>
          </w:tcPr>
          <w:p w14:paraId="55E1519B" w14:textId="77777777" w:rsidR="00B93237" w:rsidRPr="00183B5F" w:rsidRDefault="00943743" w:rsidP="00B93237">
            <w:pPr>
              <w:spacing w:line="240" w:lineRule="auto"/>
              <w:jc w:val="center"/>
              <w:rPr>
                <w:szCs w:val="22"/>
              </w:rPr>
            </w:pPr>
            <w:r w:rsidRPr="00183B5F">
              <w:rPr>
                <w:szCs w:val="22"/>
              </w:rPr>
              <w:t>0,0</w:t>
            </w:r>
          </w:p>
        </w:tc>
        <w:tc>
          <w:tcPr>
            <w:tcW w:w="2000" w:type="dxa"/>
            <w:tcBorders>
              <w:top w:val="single" w:sz="4" w:space="0" w:color="auto"/>
              <w:left w:val="single" w:sz="4" w:space="0" w:color="auto"/>
              <w:bottom w:val="single" w:sz="4" w:space="0" w:color="auto"/>
              <w:right w:val="single" w:sz="4" w:space="0" w:color="auto"/>
            </w:tcBorders>
          </w:tcPr>
          <w:p w14:paraId="40048891" w14:textId="77777777" w:rsidR="00B93237" w:rsidRPr="00183B5F" w:rsidRDefault="00943743" w:rsidP="00B93237">
            <w:pPr>
              <w:spacing w:line="240" w:lineRule="auto"/>
              <w:jc w:val="center"/>
              <w:rPr>
                <w:szCs w:val="22"/>
              </w:rPr>
            </w:pPr>
            <w:r w:rsidRPr="00183B5F">
              <w:rPr>
                <w:szCs w:val="22"/>
              </w:rPr>
              <w:t>1,6 (0,9</w:t>
            </w:r>
            <w:r w:rsidR="0022555B" w:rsidRPr="00183B5F">
              <w:rPr>
                <w:szCs w:val="22"/>
              </w:rPr>
              <w:t>;</w:t>
            </w:r>
            <w:r w:rsidRPr="00183B5F">
              <w:rPr>
                <w:szCs w:val="22"/>
              </w:rPr>
              <w:t xml:space="preserve"> 2,2)</w:t>
            </w:r>
          </w:p>
        </w:tc>
        <w:tc>
          <w:tcPr>
            <w:tcW w:w="1548" w:type="dxa"/>
            <w:tcBorders>
              <w:top w:val="single" w:sz="4" w:space="0" w:color="auto"/>
              <w:left w:val="single" w:sz="4" w:space="0" w:color="auto"/>
              <w:bottom w:val="single" w:sz="4" w:space="0" w:color="auto"/>
            </w:tcBorders>
          </w:tcPr>
          <w:p w14:paraId="08F7F3AD" w14:textId="77777777" w:rsidR="00B93237" w:rsidRPr="00183B5F" w:rsidRDefault="00943743" w:rsidP="00B93237">
            <w:pPr>
              <w:spacing w:line="240" w:lineRule="auto"/>
              <w:jc w:val="center"/>
              <w:rPr>
                <w:szCs w:val="22"/>
              </w:rPr>
            </w:pPr>
            <w:r w:rsidRPr="00183B5F">
              <w:rPr>
                <w:szCs w:val="22"/>
              </w:rPr>
              <w:t>&lt; 0,001</w:t>
            </w:r>
          </w:p>
        </w:tc>
      </w:tr>
      <w:tr w:rsidR="00011D2F" w14:paraId="5A22074B" w14:textId="77777777" w:rsidTr="00B93237">
        <w:trPr>
          <w:cantSplit/>
        </w:trPr>
        <w:tc>
          <w:tcPr>
            <w:tcW w:w="2088" w:type="dxa"/>
            <w:tcBorders>
              <w:top w:val="single" w:sz="4" w:space="0" w:color="auto"/>
              <w:bottom w:val="single" w:sz="4" w:space="0" w:color="auto"/>
              <w:right w:val="single" w:sz="4" w:space="0" w:color="auto"/>
            </w:tcBorders>
          </w:tcPr>
          <w:p w14:paraId="1BFE756B" w14:textId="77777777" w:rsidR="00B93237" w:rsidRPr="00183B5F" w:rsidRDefault="00943743" w:rsidP="00B93237">
            <w:pPr>
              <w:spacing w:line="240" w:lineRule="auto"/>
              <w:jc w:val="center"/>
              <w:rPr>
                <w:szCs w:val="22"/>
                <w:vertAlign w:val="superscript"/>
              </w:rPr>
            </w:pPr>
            <w:r w:rsidRPr="00183B5F">
              <w:rPr>
                <w:szCs w:val="22"/>
              </w:rPr>
              <w:t>JSN</w:t>
            </w:r>
            <w:r w:rsidRPr="00183B5F">
              <w:rPr>
                <w:szCs w:val="22"/>
                <w:vertAlign w:val="superscript"/>
              </w:rPr>
              <w:t>d</w:t>
            </w:r>
            <w:r w:rsidR="005E4FD2" w:rsidRPr="00183B5F">
              <w:rPr>
                <w:szCs w:val="22"/>
              </w:rPr>
              <w:t>-</w:t>
            </w:r>
            <w:r w:rsidRPr="00183B5F">
              <w:rPr>
                <w:szCs w:val="22"/>
              </w:rPr>
              <w:t>pontérték</w:t>
            </w:r>
          </w:p>
          <w:p w14:paraId="0BEB5241" w14:textId="77777777" w:rsidR="00B93237" w:rsidRPr="00183B5F" w:rsidRDefault="00B93237" w:rsidP="00B93237">
            <w:pPr>
              <w:spacing w:line="240" w:lineRule="auto"/>
              <w:jc w:val="center"/>
              <w:rPr>
                <w:szCs w:val="22"/>
              </w:rPr>
            </w:pPr>
          </w:p>
        </w:tc>
        <w:tc>
          <w:tcPr>
            <w:tcW w:w="1430" w:type="dxa"/>
            <w:tcBorders>
              <w:top w:val="single" w:sz="4" w:space="0" w:color="auto"/>
              <w:left w:val="single" w:sz="4" w:space="0" w:color="auto"/>
              <w:bottom w:val="single" w:sz="4" w:space="0" w:color="auto"/>
              <w:right w:val="single" w:sz="4" w:space="0" w:color="auto"/>
            </w:tcBorders>
          </w:tcPr>
          <w:p w14:paraId="5DBF4CEC" w14:textId="77777777" w:rsidR="00B93237" w:rsidRPr="00183B5F" w:rsidRDefault="00943743" w:rsidP="00B93237">
            <w:pPr>
              <w:spacing w:line="240" w:lineRule="auto"/>
              <w:jc w:val="center"/>
              <w:rPr>
                <w:szCs w:val="22"/>
              </w:rPr>
            </w:pPr>
            <w:r w:rsidRPr="00183B5F">
              <w:rPr>
                <w:szCs w:val="22"/>
              </w:rPr>
              <w:t>1,0</w:t>
            </w:r>
          </w:p>
        </w:tc>
        <w:tc>
          <w:tcPr>
            <w:tcW w:w="1790" w:type="dxa"/>
            <w:tcBorders>
              <w:top w:val="single" w:sz="4" w:space="0" w:color="auto"/>
              <w:left w:val="single" w:sz="4" w:space="0" w:color="auto"/>
              <w:bottom w:val="single" w:sz="4" w:space="0" w:color="auto"/>
              <w:right w:val="single" w:sz="4" w:space="0" w:color="auto"/>
            </w:tcBorders>
          </w:tcPr>
          <w:p w14:paraId="0EF6D440" w14:textId="77777777" w:rsidR="00B93237" w:rsidRPr="00183B5F" w:rsidRDefault="00943743" w:rsidP="00B93237">
            <w:pPr>
              <w:spacing w:line="240" w:lineRule="auto"/>
              <w:jc w:val="center"/>
              <w:rPr>
                <w:szCs w:val="22"/>
              </w:rPr>
            </w:pPr>
            <w:r w:rsidRPr="00183B5F">
              <w:rPr>
                <w:szCs w:val="22"/>
              </w:rPr>
              <w:t>0,1</w:t>
            </w:r>
          </w:p>
        </w:tc>
        <w:tc>
          <w:tcPr>
            <w:tcW w:w="2000" w:type="dxa"/>
            <w:tcBorders>
              <w:top w:val="single" w:sz="4" w:space="0" w:color="auto"/>
              <w:left w:val="single" w:sz="4" w:space="0" w:color="auto"/>
              <w:bottom w:val="single" w:sz="4" w:space="0" w:color="auto"/>
              <w:right w:val="single" w:sz="4" w:space="0" w:color="auto"/>
            </w:tcBorders>
          </w:tcPr>
          <w:p w14:paraId="2E395EE9" w14:textId="77777777" w:rsidR="00B93237" w:rsidRPr="00183B5F" w:rsidRDefault="00943743" w:rsidP="00B93237">
            <w:pPr>
              <w:spacing w:line="240" w:lineRule="auto"/>
              <w:jc w:val="center"/>
              <w:rPr>
                <w:szCs w:val="22"/>
              </w:rPr>
            </w:pPr>
            <w:r w:rsidRPr="00183B5F">
              <w:rPr>
                <w:szCs w:val="22"/>
              </w:rPr>
              <w:t>0,9 (0,3</w:t>
            </w:r>
            <w:r w:rsidR="0022555B" w:rsidRPr="00183B5F">
              <w:rPr>
                <w:szCs w:val="22"/>
              </w:rPr>
              <w:t>;</w:t>
            </w:r>
            <w:r w:rsidRPr="00183B5F">
              <w:rPr>
                <w:szCs w:val="22"/>
              </w:rPr>
              <w:t xml:space="preserve"> 1,4)</w:t>
            </w:r>
          </w:p>
        </w:tc>
        <w:tc>
          <w:tcPr>
            <w:tcW w:w="1548" w:type="dxa"/>
            <w:tcBorders>
              <w:top w:val="single" w:sz="4" w:space="0" w:color="auto"/>
              <w:left w:val="single" w:sz="4" w:space="0" w:color="auto"/>
              <w:bottom w:val="single" w:sz="4" w:space="0" w:color="auto"/>
            </w:tcBorders>
          </w:tcPr>
          <w:p w14:paraId="69FAEB4E" w14:textId="77777777" w:rsidR="00B93237" w:rsidRPr="00183B5F" w:rsidRDefault="00943743" w:rsidP="00B93237">
            <w:pPr>
              <w:spacing w:line="240" w:lineRule="auto"/>
              <w:jc w:val="center"/>
              <w:rPr>
                <w:szCs w:val="22"/>
              </w:rPr>
            </w:pPr>
            <w:r w:rsidRPr="00183B5F">
              <w:rPr>
                <w:szCs w:val="22"/>
              </w:rPr>
              <w:t>0,002</w:t>
            </w:r>
          </w:p>
        </w:tc>
      </w:tr>
    </w:tbl>
    <w:p w14:paraId="667EC107" w14:textId="77777777" w:rsidR="00B93237" w:rsidRPr="00183B5F" w:rsidRDefault="00943743" w:rsidP="00B93237">
      <w:pPr>
        <w:pStyle w:val="In-textfootnote"/>
        <w:keepNext w:val="0"/>
        <w:spacing w:before="0" w:line="240" w:lineRule="auto"/>
        <w:rPr>
          <w:rFonts w:ascii="Times New Roman" w:hAnsi="Times New Roman"/>
          <w:sz w:val="22"/>
          <w:szCs w:val="22"/>
          <w:lang w:val="hu-HU"/>
        </w:rPr>
      </w:pPr>
      <w:r w:rsidRPr="00183B5F">
        <w:rPr>
          <w:rFonts w:ascii="Times New Roman" w:hAnsi="Times New Roman"/>
          <w:b/>
          <w:bCs/>
          <w:sz w:val="22"/>
          <w:szCs w:val="22"/>
          <w:vertAlign w:val="superscript"/>
          <w:lang w:val="hu-HU"/>
        </w:rPr>
        <w:t>a</w:t>
      </w:r>
      <w:r w:rsidRPr="00183B5F">
        <w:rPr>
          <w:rFonts w:ascii="Times New Roman" w:hAnsi="Times New Roman"/>
          <w:sz w:val="22"/>
          <w:szCs w:val="22"/>
          <w:lang w:val="hu-HU"/>
        </w:rPr>
        <w:t>metotrexát</w:t>
      </w:r>
    </w:p>
    <w:p w14:paraId="27C02241" w14:textId="77777777" w:rsidR="00B93237" w:rsidRPr="00183B5F" w:rsidRDefault="00943743" w:rsidP="00B93237">
      <w:pPr>
        <w:pStyle w:val="In-textfootnote"/>
        <w:keepNext w:val="0"/>
        <w:spacing w:before="0" w:line="240" w:lineRule="auto"/>
        <w:rPr>
          <w:rFonts w:ascii="Times New Roman" w:hAnsi="Times New Roman"/>
          <w:sz w:val="22"/>
          <w:szCs w:val="22"/>
          <w:lang w:val="hu-HU"/>
        </w:rPr>
      </w:pPr>
      <w:r w:rsidRPr="00183B5F">
        <w:rPr>
          <w:rFonts w:ascii="Times New Roman" w:hAnsi="Times New Roman"/>
          <w:sz w:val="22"/>
          <w:szCs w:val="22"/>
          <w:vertAlign w:val="superscript"/>
          <w:lang w:val="hu-HU"/>
        </w:rPr>
        <w:t>b</w:t>
      </w:r>
      <w:r w:rsidRPr="00183B5F">
        <w:rPr>
          <w:rFonts w:ascii="Times New Roman" w:hAnsi="Times New Roman"/>
          <w:sz w:val="22"/>
          <w:szCs w:val="22"/>
          <w:lang w:val="hu-HU"/>
        </w:rPr>
        <w:t>95%</w:t>
      </w:r>
      <w:r w:rsidRPr="00183B5F">
        <w:rPr>
          <w:rFonts w:ascii="Times New Roman" w:hAnsi="Times New Roman"/>
          <w:sz w:val="22"/>
          <w:szCs w:val="22"/>
          <w:lang w:val="hu-HU"/>
        </w:rPr>
        <w:noBreakHyphen/>
        <w:t xml:space="preserve">os konfidencia intervallum a metotrexát és a Humira </w:t>
      </w:r>
      <w:r w:rsidR="0022555B" w:rsidRPr="00183B5F">
        <w:rPr>
          <w:rFonts w:ascii="Times New Roman" w:hAnsi="Times New Roman"/>
          <w:sz w:val="22"/>
          <w:szCs w:val="22"/>
          <w:lang w:val="hu-HU"/>
        </w:rPr>
        <w:t xml:space="preserve">pontértékeinek </w:t>
      </w:r>
      <w:r w:rsidRPr="00183B5F">
        <w:rPr>
          <w:rFonts w:ascii="Times New Roman" w:hAnsi="Times New Roman"/>
          <w:sz w:val="22"/>
          <w:szCs w:val="22"/>
          <w:lang w:val="hu-HU"/>
        </w:rPr>
        <w:t>változása közötti különbségre</w:t>
      </w:r>
    </w:p>
    <w:p w14:paraId="10EEE2FF" w14:textId="77777777" w:rsidR="00B93237" w:rsidRPr="00183B5F" w:rsidRDefault="00943743" w:rsidP="00B93237">
      <w:pPr>
        <w:pStyle w:val="In-textfootnote"/>
        <w:keepNext w:val="0"/>
        <w:spacing w:before="0" w:line="240" w:lineRule="auto"/>
        <w:rPr>
          <w:rFonts w:ascii="Times New Roman" w:hAnsi="Times New Roman"/>
          <w:sz w:val="22"/>
          <w:szCs w:val="22"/>
          <w:lang w:val="hu-HU"/>
        </w:rPr>
      </w:pPr>
      <w:r w:rsidRPr="00183B5F">
        <w:rPr>
          <w:rFonts w:ascii="Times New Roman" w:hAnsi="Times New Roman"/>
          <w:sz w:val="22"/>
          <w:szCs w:val="22"/>
          <w:vertAlign w:val="superscript"/>
          <w:lang w:val="hu-HU"/>
        </w:rPr>
        <w:t>c</w:t>
      </w:r>
      <w:r w:rsidRPr="00183B5F">
        <w:rPr>
          <w:rFonts w:ascii="Times New Roman" w:hAnsi="Times New Roman"/>
          <w:sz w:val="22"/>
          <w:szCs w:val="22"/>
          <w:lang w:val="hu-HU"/>
        </w:rPr>
        <w:t>rank anal</w:t>
      </w:r>
      <w:r w:rsidR="0022555B" w:rsidRPr="00183B5F">
        <w:rPr>
          <w:rFonts w:ascii="Times New Roman" w:hAnsi="Times New Roman"/>
          <w:sz w:val="22"/>
          <w:szCs w:val="22"/>
          <w:lang w:val="hu-HU"/>
        </w:rPr>
        <w:t>í</w:t>
      </w:r>
      <w:r w:rsidRPr="00183B5F">
        <w:rPr>
          <w:rFonts w:ascii="Times New Roman" w:hAnsi="Times New Roman"/>
          <w:sz w:val="22"/>
          <w:szCs w:val="22"/>
          <w:lang w:val="hu-HU"/>
        </w:rPr>
        <w:t>zis alapján</w:t>
      </w:r>
    </w:p>
    <w:p w14:paraId="3786F9C6" w14:textId="77777777" w:rsidR="00B93237" w:rsidRPr="00183B5F" w:rsidRDefault="00943743" w:rsidP="00B93237">
      <w:pPr>
        <w:pStyle w:val="In-textfootnote"/>
        <w:keepNext w:val="0"/>
        <w:spacing w:before="0" w:line="240" w:lineRule="auto"/>
        <w:rPr>
          <w:rFonts w:ascii="Times New Roman" w:hAnsi="Times New Roman"/>
          <w:sz w:val="22"/>
          <w:szCs w:val="22"/>
          <w:lang w:val="hu-HU"/>
        </w:rPr>
      </w:pPr>
      <w:r w:rsidRPr="00183B5F">
        <w:rPr>
          <w:rFonts w:ascii="Times New Roman" w:hAnsi="Times New Roman"/>
          <w:sz w:val="22"/>
          <w:szCs w:val="22"/>
          <w:vertAlign w:val="superscript"/>
          <w:lang w:val="hu-HU"/>
        </w:rPr>
        <w:t>d</w:t>
      </w:r>
      <w:r w:rsidRPr="00183B5F">
        <w:rPr>
          <w:rFonts w:ascii="Times New Roman" w:hAnsi="Times New Roman"/>
          <w:sz w:val="22"/>
          <w:szCs w:val="22"/>
          <w:lang w:val="hu-HU"/>
        </w:rPr>
        <w:t>Ízületi rés beszűkülése (JSN-Joint Space Narrowing)</w:t>
      </w:r>
    </w:p>
    <w:p w14:paraId="5028F00E" w14:textId="77777777" w:rsidR="00B93237" w:rsidRPr="00183B5F" w:rsidRDefault="00B93237" w:rsidP="00B93237">
      <w:pPr>
        <w:spacing w:line="240" w:lineRule="auto"/>
        <w:rPr>
          <w:szCs w:val="22"/>
        </w:rPr>
      </w:pPr>
    </w:p>
    <w:p w14:paraId="4D8E1BBB" w14:textId="77777777" w:rsidR="00B93237" w:rsidRPr="00183B5F" w:rsidRDefault="00943743" w:rsidP="00B93237">
      <w:pPr>
        <w:pStyle w:val="In-textfootnote"/>
        <w:keepNext w:val="0"/>
        <w:spacing w:before="0" w:line="240" w:lineRule="auto"/>
        <w:rPr>
          <w:rFonts w:ascii="Times New Roman" w:hAnsi="Times New Roman"/>
          <w:sz w:val="22"/>
          <w:szCs w:val="22"/>
          <w:lang w:val="hu-HU"/>
        </w:rPr>
      </w:pPr>
      <w:r w:rsidRPr="00183B5F">
        <w:rPr>
          <w:rFonts w:ascii="Times New Roman" w:hAnsi="Times New Roman"/>
          <w:sz w:val="22"/>
          <w:szCs w:val="22"/>
          <w:lang w:val="hu-HU"/>
        </w:rPr>
        <w:t xml:space="preserve">Az RA V vizsgálatban az ízületi károsodást radiológiailag is </w:t>
      </w:r>
      <w:r w:rsidR="0022555B" w:rsidRPr="00183B5F">
        <w:rPr>
          <w:rFonts w:ascii="Times New Roman" w:hAnsi="Times New Roman"/>
          <w:sz w:val="22"/>
          <w:szCs w:val="22"/>
          <w:lang w:val="hu-HU"/>
        </w:rPr>
        <w:t>értékelték</w:t>
      </w:r>
      <w:r w:rsidRPr="00183B5F">
        <w:rPr>
          <w:rFonts w:ascii="Times New Roman" w:hAnsi="Times New Roman"/>
          <w:sz w:val="22"/>
          <w:szCs w:val="22"/>
          <w:lang w:val="hu-HU"/>
        </w:rPr>
        <w:t xml:space="preserve"> és módosított teljes Sharp</w:t>
      </w:r>
      <w:r w:rsidR="005E4FD2" w:rsidRPr="00183B5F">
        <w:rPr>
          <w:rFonts w:ascii="Times New Roman" w:hAnsi="Times New Roman"/>
          <w:sz w:val="22"/>
          <w:szCs w:val="22"/>
          <w:lang w:val="hu-HU"/>
        </w:rPr>
        <w:t>-</w:t>
      </w:r>
      <w:r w:rsidRPr="00183B5F">
        <w:rPr>
          <w:rFonts w:ascii="Times New Roman" w:hAnsi="Times New Roman"/>
          <w:sz w:val="22"/>
          <w:szCs w:val="22"/>
          <w:lang w:val="hu-HU"/>
        </w:rPr>
        <w:t xml:space="preserve">pontokban fejezték ki (lásd </w:t>
      </w:r>
      <w:r w:rsidR="00E5175A" w:rsidRPr="00183B5F">
        <w:rPr>
          <w:rFonts w:ascii="Times New Roman" w:hAnsi="Times New Roman"/>
          <w:sz w:val="22"/>
          <w:szCs w:val="22"/>
          <w:lang w:val="hu-HU"/>
        </w:rPr>
        <w:t>8</w:t>
      </w:r>
      <w:r w:rsidRPr="00183B5F">
        <w:rPr>
          <w:rFonts w:ascii="Times New Roman" w:hAnsi="Times New Roman"/>
          <w:sz w:val="22"/>
          <w:szCs w:val="22"/>
          <w:lang w:val="hu-HU"/>
        </w:rPr>
        <w:t>. táblázat).</w:t>
      </w:r>
    </w:p>
    <w:p w14:paraId="5FCABC2F" w14:textId="77777777" w:rsidR="00B93237" w:rsidRPr="00183B5F" w:rsidRDefault="00B93237" w:rsidP="00B93237">
      <w:pPr>
        <w:pStyle w:val="In-textfootnote"/>
        <w:keepNext w:val="0"/>
        <w:spacing w:before="0" w:line="240" w:lineRule="auto"/>
        <w:rPr>
          <w:rFonts w:ascii="Times New Roman" w:hAnsi="Times New Roman"/>
          <w:sz w:val="22"/>
          <w:szCs w:val="22"/>
          <w:lang w:val="hu-HU"/>
        </w:rPr>
      </w:pPr>
    </w:p>
    <w:p w14:paraId="7FA23C73" w14:textId="77777777" w:rsidR="00B93237" w:rsidRPr="00183B5F" w:rsidRDefault="00943743" w:rsidP="00B93237">
      <w:pPr>
        <w:pStyle w:val="In-textfootnote"/>
        <w:suppressAutoHyphens/>
        <w:overflowPunct/>
        <w:autoSpaceDE/>
        <w:autoSpaceDN/>
        <w:adjustRightInd/>
        <w:spacing w:before="0" w:line="240" w:lineRule="auto"/>
        <w:ind w:left="0" w:firstLine="0"/>
        <w:jc w:val="center"/>
        <w:textAlignment w:val="auto"/>
        <w:rPr>
          <w:rFonts w:ascii="Times New Roman" w:hAnsi="Times New Roman"/>
          <w:b/>
          <w:bCs/>
          <w:sz w:val="22"/>
          <w:szCs w:val="22"/>
          <w:lang w:val="hu-HU"/>
        </w:rPr>
      </w:pPr>
      <w:r w:rsidRPr="00183B5F">
        <w:rPr>
          <w:rFonts w:ascii="Times New Roman" w:hAnsi="Times New Roman"/>
          <w:b/>
          <w:bCs/>
          <w:sz w:val="22"/>
          <w:szCs w:val="22"/>
          <w:lang w:val="hu-HU"/>
        </w:rPr>
        <w:t xml:space="preserve">8. táblázat </w:t>
      </w:r>
    </w:p>
    <w:p w14:paraId="0DF5FEC4" w14:textId="77777777" w:rsidR="00B93237" w:rsidRPr="00183B5F" w:rsidRDefault="00943743" w:rsidP="00B93237">
      <w:pPr>
        <w:pStyle w:val="In-textfootnote"/>
        <w:suppressAutoHyphens/>
        <w:overflowPunct/>
        <w:autoSpaceDE/>
        <w:autoSpaceDN/>
        <w:adjustRightInd/>
        <w:spacing w:before="0" w:line="240" w:lineRule="auto"/>
        <w:ind w:left="0" w:firstLine="0"/>
        <w:jc w:val="center"/>
        <w:textAlignment w:val="auto"/>
        <w:rPr>
          <w:rFonts w:ascii="Times New Roman" w:hAnsi="Times New Roman"/>
          <w:b/>
          <w:bCs/>
          <w:sz w:val="22"/>
          <w:szCs w:val="22"/>
          <w:lang w:val="hu-HU"/>
        </w:rPr>
      </w:pPr>
      <w:r w:rsidRPr="00183B5F">
        <w:rPr>
          <w:rFonts w:ascii="Times New Roman" w:hAnsi="Times New Roman"/>
          <w:b/>
          <w:bCs/>
          <w:sz w:val="22"/>
          <w:szCs w:val="22"/>
          <w:lang w:val="hu-HU"/>
        </w:rPr>
        <w:t>Átlagos radiológiai változások az 52. héten az RA V vizsgálatban</w:t>
      </w:r>
    </w:p>
    <w:p w14:paraId="313B69C4" w14:textId="77777777" w:rsidR="00B93237" w:rsidRPr="00183B5F" w:rsidRDefault="00B93237" w:rsidP="00B93237">
      <w:pPr>
        <w:keepNext/>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8"/>
        <w:gridCol w:w="1319"/>
        <w:gridCol w:w="1319"/>
        <w:gridCol w:w="1439"/>
        <w:gridCol w:w="1242"/>
        <w:gridCol w:w="1232"/>
        <w:gridCol w:w="1242"/>
      </w:tblGrid>
      <w:tr w:rsidR="00011D2F" w14:paraId="106DE3A2" w14:textId="77777777" w:rsidTr="00B93237">
        <w:tc>
          <w:tcPr>
            <w:tcW w:w="1303" w:type="dxa"/>
          </w:tcPr>
          <w:p w14:paraId="4F553F65" w14:textId="77777777" w:rsidR="00B93237" w:rsidRPr="00183B5F" w:rsidRDefault="00B93237" w:rsidP="00B93237">
            <w:pPr>
              <w:keepNext/>
              <w:spacing w:line="240" w:lineRule="auto"/>
              <w:rPr>
                <w:szCs w:val="22"/>
              </w:rPr>
            </w:pPr>
          </w:p>
        </w:tc>
        <w:tc>
          <w:tcPr>
            <w:tcW w:w="1322" w:type="dxa"/>
          </w:tcPr>
          <w:p w14:paraId="146DF291" w14:textId="77777777" w:rsidR="00B93237" w:rsidRPr="00183B5F" w:rsidRDefault="00943743" w:rsidP="00B93237">
            <w:pPr>
              <w:keepNext/>
              <w:spacing w:line="240" w:lineRule="auto"/>
              <w:rPr>
                <w:szCs w:val="22"/>
              </w:rPr>
            </w:pPr>
            <w:r w:rsidRPr="00183B5F">
              <w:rPr>
                <w:szCs w:val="22"/>
              </w:rPr>
              <w:t>MTX n = 257 (95%-os konfidencia intervallum)</w:t>
            </w:r>
          </w:p>
        </w:tc>
        <w:tc>
          <w:tcPr>
            <w:tcW w:w="1322" w:type="dxa"/>
          </w:tcPr>
          <w:p w14:paraId="58FF553A" w14:textId="77777777" w:rsidR="00B93237" w:rsidRPr="00183B5F" w:rsidRDefault="00943743" w:rsidP="00B93237">
            <w:pPr>
              <w:keepNext/>
              <w:spacing w:line="240" w:lineRule="auto"/>
              <w:rPr>
                <w:szCs w:val="22"/>
              </w:rPr>
            </w:pPr>
            <w:r w:rsidRPr="00183B5F">
              <w:rPr>
                <w:szCs w:val="22"/>
              </w:rPr>
              <w:t>Humira n = 274 (9</w:t>
            </w:r>
            <w:r w:rsidR="0022555B" w:rsidRPr="00183B5F">
              <w:rPr>
                <w:szCs w:val="22"/>
              </w:rPr>
              <w:t>5</w:t>
            </w:r>
            <w:r w:rsidRPr="00183B5F">
              <w:rPr>
                <w:szCs w:val="22"/>
              </w:rPr>
              <w:t>%-os konfidencia intervallum)</w:t>
            </w:r>
          </w:p>
        </w:tc>
        <w:tc>
          <w:tcPr>
            <w:tcW w:w="1439" w:type="dxa"/>
          </w:tcPr>
          <w:p w14:paraId="567586E2" w14:textId="77777777" w:rsidR="00B93237" w:rsidRPr="00183B5F" w:rsidRDefault="00943743" w:rsidP="00B93237">
            <w:pPr>
              <w:keepNext/>
              <w:spacing w:line="240" w:lineRule="auto"/>
              <w:rPr>
                <w:szCs w:val="22"/>
              </w:rPr>
            </w:pPr>
            <w:r w:rsidRPr="00183B5F">
              <w:rPr>
                <w:szCs w:val="22"/>
              </w:rPr>
              <w:t>Humira/MTX n = 268 (95%-os konfidencia intervallum)</w:t>
            </w:r>
          </w:p>
        </w:tc>
        <w:tc>
          <w:tcPr>
            <w:tcW w:w="1300" w:type="dxa"/>
          </w:tcPr>
          <w:p w14:paraId="75C46CC2" w14:textId="77777777" w:rsidR="00B93237" w:rsidRPr="00183B5F" w:rsidRDefault="00943743" w:rsidP="00B93237">
            <w:pPr>
              <w:keepNext/>
              <w:spacing w:line="240" w:lineRule="auto"/>
              <w:rPr>
                <w:szCs w:val="22"/>
              </w:rPr>
            </w:pPr>
            <w:r w:rsidRPr="00183B5F">
              <w:rPr>
                <w:szCs w:val="22"/>
              </w:rPr>
              <w:t xml:space="preserve">p-érték </w:t>
            </w:r>
            <w:r w:rsidRPr="00183B5F">
              <w:rPr>
                <w:szCs w:val="22"/>
                <w:vertAlign w:val="superscript"/>
              </w:rPr>
              <w:t>a</w:t>
            </w:r>
          </w:p>
        </w:tc>
        <w:tc>
          <w:tcPr>
            <w:tcW w:w="1299" w:type="dxa"/>
          </w:tcPr>
          <w:p w14:paraId="0B8D3475" w14:textId="77777777" w:rsidR="00B93237" w:rsidRPr="00183B5F" w:rsidRDefault="00943743" w:rsidP="00B93237">
            <w:pPr>
              <w:keepNext/>
              <w:spacing w:line="240" w:lineRule="auto"/>
              <w:rPr>
                <w:szCs w:val="22"/>
              </w:rPr>
            </w:pPr>
            <w:r w:rsidRPr="00183B5F">
              <w:rPr>
                <w:szCs w:val="22"/>
              </w:rPr>
              <w:t xml:space="preserve">p-érték </w:t>
            </w:r>
            <w:r w:rsidRPr="00183B5F">
              <w:rPr>
                <w:szCs w:val="22"/>
                <w:vertAlign w:val="superscript"/>
              </w:rPr>
              <w:t>b</w:t>
            </w:r>
          </w:p>
        </w:tc>
        <w:tc>
          <w:tcPr>
            <w:tcW w:w="1300" w:type="dxa"/>
          </w:tcPr>
          <w:p w14:paraId="43222839" w14:textId="77777777" w:rsidR="00B93237" w:rsidRPr="00183B5F" w:rsidRDefault="00943743" w:rsidP="00B93237">
            <w:pPr>
              <w:keepNext/>
              <w:spacing w:line="240" w:lineRule="auto"/>
              <w:rPr>
                <w:szCs w:val="22"/>
              </w:rPr>
            </w:pPr>
            <w:r w:rsidRPr="00183B5F">
              <w:rPr>
                <w:szCs w:val="22"/>
              </w:rPr>
              <w:t xml:space="preserve">p-érték </w:t>
            </w:r>
            <w:r w:rsidRPr="00183B5F">
              <w:rPr>
                <w:szCs w:val="22"/>
                <w:vertAlign w:val="superscript"/>
              </w:rPr>
              <w:t>c</w:t>
            </w:r>
          </w:p>
        </w:tc>
      </w:tr>
      <w:tr w:rsidR="00011D2F" w14:paraId="60459645" w14:textId="77777777" w:rsidTr="00B93237">
        <w:tc>
          <w:tcPr>
            <w:tcW w:w="1303" w:type="dxa"/>
          </w:tcPr>
          <w:p w14:paraId="62C277EB" w14:textId="77777777" w:rsidR="00B93237" w:rsidRPr="00183B5F" w:rsidRDefault="00943743" w:rsidP="00B93237">
            <w:pPr>
              <w:keepNext/>
              <w:spacing w:line="240" w:lineRule="auto"/>
              <w:rPr>
                <w:szCs w:val="22"/>
              </w:rPr>
            </w:pPr>
            <w:r w:rsidRPr="00183B5F">
              <w:rPr>
                <w:szCs w:val="22"/>
              </w:rPr>
              <w:t>Teljes Sharp</w:t>
            </w:r>
            <w:r w:rsidR="005E4FD2" w:rsidRPr="00183B5F">
              <w:rPr>
                <w:szCs w:val="22"/>
              </w:rPr>
              <w:t>-</w:t>
            </w:r>
            <w:r w:rsidRPr="00183B5F">
              <w:rPr>
                <w:szCs w:val="22"/>
              </w:rPr>
              <w:t>pont</w:t>
            </w:r>
            <w:r w:rsidR="0022555B" w:rsidRPr="00183B5F">
              <w:rPr>
                <w:szCs w:val="22"/>
              </w:rPr>
              <w:t>érték</w:t>
            </w:r>
          </w:p>
        </w:tc>
        <w:tc>
          <w:tcPr>
            <w:tcW w:w="1322" w:type="dxa"/>
          </w:tcPr>
          <w:p w14:paraId="597F69CE" w14:textId="77777777" w:rsidR="00B93237" w:rsidRPr="00183B5F" w:rsidRDefault="00943743" w:rsidP="00B93237">
            <w:pPr>
              <w:keepNext/>
              <w:spacing w:line="240" w:lineRule="auto"/>
              <w:rPr>
                <w:szCs w:val="22"/>
              </w:rPr>
            </w:pPr>
            <w:r w:rsidRPr="00183B5F">
              <w:rPr>
                <w:szCs w:val="22"/>
              </w:rPr>
              <w:t>5,7 (4,2-7,3)</w:t>
            </w:r>
          </w:p>
        </w:tc>
        <w:tc>
          <w:tcPr>
            <w:tcW w:w="1322" w:type="dxa"/>
          </w:tcPr>
          <w:p w14:paraId="080AF236" w14:textId="77777777" w:rsidR="00B93237" w:rsidRPr="00183B5F" w:rsidRDefault="00943743" w:rsidP="00B93237">
            <w:pPr>
              <w:keepNext/>
              <w:spacing w:line="240" w:lineRule="auto"/>
              <w:rPr>
                <w:szCs w:val="22"/>
              </w:rPr>
            </w:pPr>
            <w:r w:rsidRPr="00183B5F">
              <w:rPr>
                <w:szCs w:val="22"/>
              </w:rPr>
              <w:t>3,0 (1,7-4,3)</w:t>
            </w:r>
          </w:p>
        </w:tc>
        <w:tc>
          <w:tcPr>
            <w:tcW w:w="1439" w:type="dxa"/>
          </w:tcPr>
          <w:p w14:paraId="26FAA416" w14:textId="77777777" w:rsidR="00B93237" w:rsidRPr="00183B5F" w:rsidRDefault="00943743" w:rsidP="00B93237">
            <w:pPr>
              <w:keepNext/>
              <w:spacing w:line="240" w:lineRule="auto"/>
              <w:rPr>
                <w:szCs w:val="22"/>
              </w:rPr>
            </w:pPr>
            <w:r w:rsidRPr="00183B5F">
              <w:rPr>
                <w:szCs w:val="22"/>
              </w:rPr>
              <w:t>1,3 (0,5-2,1)</w:t>
            </w:r>
          </w:p>
        </w:tc>
        <w:tc>
          <w:tcPr>
            <w:tcW w:w="1300" w:type="dxa"/>
          </w:tcPr>
          <w:p w14:paraId="7875A8BF" w14:textId="77777777" w:rsidR="00B93237" w:rsidRPr="00183B5F" w:rsidRDefault="00943743" w:rsidP="00B93237">
            <w:pPr>
              <w:keepNext/>
              <w:spacing w:line="240" w:lineRule="auto"/>
              <w:rPr>
                <w:szCs w:val="22"/>
              </w:rPr>
            </w:pPr>
            <w:r w:rsidRPr="00183B5F">
              <w:rPr>
                <w:szCs w:val="22"/>
              </w:rPr>
              <w:t>&lt; 0,001</w:t>
            </w:r>
          </w:p>
        </w:tc>
        <w:tc>
          <w:tcPr>
            <w:tcW w:w="1299" w:type="dxa"/>
          </w:tcPr>
          <w:p w14:paraId="54D78F89" w14:textId="77777777" w:rsidR="00B93237" w:rsidRPr="00183B5F" w:rsidRDefault="00943743" w:rsidP="00B93237">
            <w:pPr>
              <w:keepNext/>
              <w:spacing w:line="240" w:lineRule="auto"/>
              <w:rPr>
                <w:szCs w:val="22"/>
              </w:rPr>
            </w:pPr>
            <w:r w:rsidRPr="00183B5F">
              <w:rPr>
                <w:szCs w:val="22"/>
              </w:rPr>
              <w:t>0,0020</w:t>
            </w:r>
          </w:p>
        </w:tc>
        <w:tc>
          <w:tcPr>
            <w:tcW w:w="1300" w:type="dxa"/>
          </w:tcPr>
          <w:p w14:paraId="6CAA6730" w14:textId="77777777" w:rsidR="00B93237" w:rsidRPr="00183B5F" w:rsidRDefault="00943743" w:rsidP="00B93237">
            <w:pPr>
              <w:keepNext/>
              <w:spacing w:line="240" w:lineRule="auto"/>
              <w:rPr>
                <w:szCs w:val="22"/>
              </w:rPr>
            </w:pPr>
            <w:r w:rsidRPr="00183B5F">
              <w:rPr>
                <w:szCs w:val="22"/>
              </w:rPr>
              <w:t>&lt; 0,001</w:t>
            </w:r>
          </w:p>
        </w:tc>
      </w:tr>
      <w:tr w:rsidR="00011D2F" w14:paraId="0647B499" w14:textId="77777777" w:rsidTr="00B93237">
        <w:tc>
          <w:tcPr>
            <w:tcW w:w="1303" w:type="dxa"/>
          </w:tcPr>
          <w:p w14:paraId="68A2BC64" w14:textId="77777777" w:rsidR="00B93237" w:rsidRPr="00183B5F" w:rsidRDefault="00943743" w:rsidP="00B93237">
            <w:pPr>
              <w:keepNext/>
              <w:spacing w:line="240" w:lineRule="auto"/>
              <w:rPr>
                <w:szCs w:val="22"/>
              </w:rPr>
            </w:pPr>
            <w:r w:rsidRPr="00183B5F">
              <w:rPr>
                <w:szCs w:val="22"/>
              </w:rPr>
              <w:t>Eróziós pont</w:t>
            </w:r>
            <w:r w:rsidR="0022555B" w:rsidRPr="00183B5F">
              <w:rPr>
                <w:szCs w:val="22"/>
              </w:rPr>
              <w:t>érték</w:t>
            </w:r>
          </w:p>
        </w:tc>
        <w:tc>
          <w:tcPr>
            <w:tcW w:w="1322" w:type="dxa"/>
          </w:tcPr>
          <w:p w14:paraId="462234AD" w14:textId="77777777" w:rsidR="00B93237" w:rsidRPr="00183B5F" w:rsidRDefault="00943743" w:rsidP="00B93237">
            <w:pPr>
              <w:keepNext/>
              <w:spacing w:line="240" w:lineRule="auto"/>
              <w:rPr>
                <w:szCs w:val="22"/>
              </w:rPr>
            </w:pPr>
            <w:r w:rsidRPr="00183B5F">
              <w:rPr>
                <w:szCs w:val="22"/>
              </w:rPr>
              <w:t>3,7 (2,7-4,7)</w:t>
            </w:r>
          </w:p>
        </w:tc>
        <w:tc>
          <w:tcPr>
            <w:tcW w:w="1322" w:type="dxa"/>
          </w:tcPr>
          <w:p w14:paraId="294B9D5A" w14:textId="77777777" w:rsidR="00B93237" w:rsidRPr="00183B5F" w:rsidRDefault="00943743" w:rsidP="00B93237">
            <w:pPr>
              <w:keepNext/>
              <w:spacing w:line="240" w:lineRule="auto"/>
              <w:rPr>
                <w:szCs w:val="22"/>
              </w:rPr>
            </w:pPr>
            <w:r w:rsidRPr="00183B5F">
              <w:rPr>
                <w:szCs w:val="22"/>
              </w:rPr>
              <w:t>1,7 (1,0-2,4)</w:t>
            </w:r>
          </w:p>
        </w:tc>
        <w:tc>
          <w:tcPr>
            <w:tcW w:w="1439" w:type="dxa"/>
          </w:tcPr>
          <w:p w14:paraId="54E04AA1" w14:textId="77777777" w:rsidR="00B93237" w:rsidRPr="00183B5F" w:rsidRDefault="00943743" w:rsidP="00B93237">
            <w:pPr>
              <w:keepNext/>
              <w:spacing w:line="240" w:lineRule="auto"/>
              <w:rPr>
                <w:szCs w:val="22"/>
              </w:rPr>
            </w:pPr>
            <w:r w:rsidRPr="00183B5F">
              <w:rPr>
                <w:szCs w:val="22"/>
              </w:rPr>
              <w:t>0,8 (0,4-1,2)</w:t>
            </w:r>
          </w:p>
        </w:tc>
        <w:tc>
          <w:tcPr>
            <w:tcW w:w="1300" w:type="dxa"/>
          </w:tcPr>
          <w:p w14:paraId="3B9BE086" w14:textId="77777777" w:rsidR="00B93237" w:rsidRPr="00183B5F" w:rsidRDefault="00943743" w:rsidP="00B93237">
            <w:pPr>
              <w:keepNext/>
              <w:spacing w:line="240" w:lineRule="auto"/>
              <w:rPr>
                <w:szCs w:val="22"/>
              </w:rPr>
            </w:pPr>
            <w:r w:rsidRPr="00183B5F">
              <w:rPr>
                <w:szCs w:val="22"/>
              </w:rPr>
              <w:t>&lt; 0,001</w:t>
            </w:r>
          </w:p>
        </w:tc>
        <w:tc>
          <w:tcPr>
            <w:tcW w:w="1299" w:type="dxa"/>
          </w:tcPr>
          <w:p w14:paraId="66014CF1" w14:textId="77777777" w:rsidR="00B93237" w:rsidRPr="00183B5F" w:rsidRDefault="00943743" w:rsidP="00B93237">
            <w:pPr>
              <w:keepNext/>
              <w:spacing w:line="240" w:lineRule="auto"/>
              <w:rPr>
                <w:szCs w:val="22"/>
              </w:rPr>
            </w:pPr>
            <w:r w:rsidRPr="00183B5F">
              <w:rPr>
                <w:szCs w:val="22"/>
              </w:rPr>
              <w:t>0,0082</w:t>
            </w:r>
          </w:p>
        </w:tc>
        <w:tc>
          <w:tcPr>
            <w:tcW w:w="1300" w:type="dxa"/>
          </w:tcPr>
          <w:p w14:paraId="5AF1B8B4" w14:textId="77777777" w:rsidR="00B93237" w:rsidRPr="00183B5F" w:rsidRDefault="00943743" w:rsidP="00B93237">
            <w:pPr>
              <w:keepNext/>
              <w:spacing w:line="240" w:lineRule="auto"/>
              <w:rPr>
                <w:szCs w:val="22"/>
              </w:rPr>
            </w:pPr>
            <w:r w:rsidRPr="00183B5F">
              <w:rPr>
                <w:szCs w:val="22"/>
              </w:rPr>
              <w:t>&lt; 0,001</w:t>
            </w:r>
          </w:p>
        </w:tc>
      </w:tr>
      <w:tr w:rsidR="00011D2F" w14:paraId="756398D4" w14:textId="77777777" w:rsidTr="00B93237">
        <w:tc>
          <w:tcPr>
            <w:tcW w:w="1303" w:type="dxa"/>
          </w:tcPr>
          <w:p w14:paraId="07E817F2" w14:textId="77777777" w:rsidR="00B93237" w:rsidRPr="00183B5F" w:rsidRDefault="00943743" w:rsidP="00B93237">
            <w:pPr>
              <w:keepNext/>
              <w:spacing w:line="240" w:lineRule="auto"/>
              <w:rPr>
                <w:szCs w:val="22"/>
              </w:rPr>
            </w:pPr>
            <w:r w:rsidRPr="00183B5F">
              <w:rPr>
                <w:szCs w:val="22"/>
              </w:rPr>
              <w:t>JSN</w:t>
            </w:r>
            <w:r w:rsidR="00095F2C" w:rsidRPr="00183B5F">
              <w:rPr>
                <w:szCs w:val="22"/>
              </w:rPr>
              <w:t>-</w:t>
            </w:r>
            <w:r w:rsidRPr="00183B5F">
              <w:rPr>
                <w:szCs w:val="22"/>
              </w:rPr>
              <w:t>pont</w:t>
            </w:r>
            <w:r w:rsidR="0022555B" w:rsidRPr="00183B5F">
              <w:rPr>
                <w:szCs w:val="22"/>
              </w:rPr>
              <w:t>érték</w:t>
            </w:r>
          </w:p>
        </w:tc>
        <w:tc>
          <w:tcPr>
            <w:tcW w:w="1322" w:type="dxa"/>
          </w:tcPr>
          <w:p w14:paraId="6DEB4187" w14:textId="77777777" w:rsidR="00B93237" w:rsidRPr="00183B5F" w:rsidRDefault="00943743" w:rsidP="00B93237">
            <w:pPr>
              <w:keepNext/>
              <w:spacing w:line="240" w:lineRule="auto"/>
              <w:rPr>
                <w:szCs w:val="22"/>
              </w:rPr>
            </w:pPr>
            <w:r w:rsidRPr="00183B5F">
              <w:rPr>
                <w:szCs w:val="22"/>
              </w:rPr>
              <w:t>2,0 (1,2-2,8)</w:t>
            </w:r>
          </w:p>
        </w:tc>
        <w:tc>
          <w:tcPr>
            <w:tcW w:w="1322" w:type="dxa"/>
          </w:tcPr>
          <w:p w14:paraId="753DD518" w14:textId="77777777" w:rsidR="00B93237" w:rsidRPr="00183B5F" w:rsidRDefault="00943743" w:rsidP="00B93237">
            <w:pPr>
              <w:keepNext/>
              <w:spacing w:line="240" w:lineRule="auto"/>
              <w:rPr>
                <w:szCs w:val="22"/>
              </w:rPr>
            </w:pPr>
            <w:r w:rsidRPr="00183B5F">
              <w:rPr>
                <w:szCs w:val="22"/>
              </w:rPr>
              <w:t>1,3 (0,5-2,1)</w:t>
            </w:r>
          </w:p>
        </w:tc>
        <w:tc>
          <w:tcPr>
            <w:tcW w:w="1439" w:type="dxa"/>
          </w:tcPr>
          <w:p w14:paraId="60250010" w14:textId="77777777" w:rsidR="00B93237" w:rsidRPr="00183B5F" w:rsidRDefault="00943743" w:rsidP="00B93237">
            <w:pPr>
              <w:keepNext/>
              <w:spacing w:line="240" w:lineRule="auto"/>
              <w:rPr>
                <w:szCs w:val="22"/>
              </w:rPr>
            </w:pPr>
            <w:r w:rsidRPr="00183B5F">
              <w:rPr>
                <w:szCs w:val="22"/>
              </w:rPr>
              <w:t>0,5 (0-1,0)</w:t>
            </w:r>
          </w:p>
        </w:tc>
        <w:tc>
          <w:tcPr>
            <w:tcW w:w="1300" w:type="dxa"/>
          </w:tcPr>
          <w:p w14:paraId="068059E1" w14:textId="77777777" w:rsidR="00B93237" w:rsidRPr="00183B5F" w:rsidRDefault="00943743" w:rsidP="00B93237">
            <w:pPr>
              <w:keepNext/>
              <w:spacing w:line="240" w:lineRule="auto"/>
              <w:rPr>
                <w:szCs w:val="22"/>
              </w:rPr>
            </w:pPr>
            <w:r w:rsidRPr="00183B5F">
              <w:rPr>
                <w:szCs w:val="22"/>
              </w:rPr>
              <w:t>&lt; 0,001</w:t>
            </w:r>
          </w:p>
        </w:tc>
        <w:tc>
          <w:tcPr>
            <w:tcW w:w="1299" w:type="dxa"/>
          </w:tcPr>
          <w:p w14:paraId="0504CE14" w14:textId="77777777" w:rsidR="00B93237" w:rsidRPr="00183B5F" w:rsidRDefault="00943743" w:rsidP="00B93237">
            <w:pPr>
              <w:keepNext/>
              <w:spacing w:line="240" w:lineRule="auto"/>
              <w:rPr>
                <w:szCs w:val="22"/>
              </w:rPr>
            </w:pPr>
            <w:r w:rsidRPr="00183B5F">
              <w:rPr>
                <w:szCs w:val="22"/>
              </w:rPr>
              <w:t>0,0037</w:t>
            </w:r>
          </w:p>
        </w:tc>
        <w:tc>
          <w:tcPr>
            <w:tcW w:w="1300" w:type="dxa"/>
          </w:tcPr>
          <w:p w14:paraId="246297BB" w14:textId="77777777" w:rsidR="00B93237" w:rsidRPr="00183B5F" w:rsidRDefault="00943743" w:rsidP="00B93237">
            <w:pPr>
              <w:keepNext/>
              <w:spacing w:line="240" w:lineRule="auto"/>
              <w:rPr>
                <w:szCs w:val="22"/>
              </w:rPr>
            </w:pPr>
            <w:r w:rsidRPr="00183B5F">
              <w:rPr>
                <w:szCs w:val="22"/>
              </w:rPr>
              <w:t>0,151</w:t>
            </w:r>
          </w:p>
        </w:tc>
      </w:tr>
    </w:tbl>
    <w:p w14:paraId="08EAEA31" w14:textId="77777777" w:rsidR="00B93237" w:rsidRPr="00183B5F" w:rsidRDefault="00943743" w:rsidP="00B93237">
      <w:pPr>
        <w:spacing w:line="240" w:lineRule="auto"/>
        <w:rPr>
          <w:szCs w:val="22"/>
        </w:rPr>
      </w:pPr>
      <w:r w:rsidRPr="00183B5F">
        <w:rPr>
          <w:szCs w:val="22"/>
          <w:vertAlign w:val="superscript"/>
        </w:rPr>
        <w:t>a</w:t>
      </w:r>
      <w:r w:rsidRPr="00183B5F">
        <w:rPr>
          <w:szCs w:val="22"/>
        </w:rPr>
        <w:t> a p</w:t>
      </w:r>
      <w:r w:rsidRPr="00183B5F">
        <w:rPr>
          <w:szCs w:val="22"/>
        </w:rPr>
        <w:noBreakHyphen/>
        <w:t xml:space="preserve">érték a </w:t>
      </w:r>
      <w:r w:rsidR="001A6E66" w:rsidRPr="00183B5F">
        <w:rPr>
          <w:szCs w:val="22"/>
        </w:rPr>
        <w:t>metotrexát-mono</w:t>
      </w:r>
      <w:r w:rsidRPr="00183B5F">
        <w:rPr>
          <w:szCs w:val="22"/>
        </w:rPr>
        <w:t xml:space="preserve">terápia és a Humira/metotrexát kombinációs terápia páros összehasonlítása </w:t>
      </w:r>
      <w:r w:rsidR="001A6E66" w:rsidRPr="00183B5F">
        <w:rPr>
          <w:szCs w:val="22"/>
        </w:rPr>
        <w:t>alapján, Mann</w:t>
      </w:r>
      <w:r w:rsidRPr="00183B5F">
        <w:rPr>
          <w:szCs w:val="22"/>
        </w:rPr>
        <w:noBreakHyphen/>
        <w:t xml:space="preserve">Whitney </w:t>
      </w:r>
      <w:r w:rsidR="001A6E66" w:rsidRPr="00183B5F">
        <w:rPr>
          <w:szCs w:val="22"/>
        </w:rPr>
        <w:t>U-teszt</w:t>
      </w:r>
      <w:r w:rsidRPr="00183B5F">
        <w:rPr>
          <w:szCs w:val="22"/>
        </w:rPr>
        <w:t xml:space="preserve"> szerint</w:t>
      </w:r>
    </w:p>
    <w:p w14:paraId="3726FFF1" w14:textId="77777777" w:rsidR="00B93237" w:rsidRPr="00183B5F" w:rsidRDefault="00943743" w:rsidP="00B93237">
      <w:pPr>
        <w:spacing w:line="240" w:lineRule="auto"/>
        <w:rPr>
          <w:szCs w:val="22"/>
        </w:rPr>
      </w:pPr>
      <w:r w:rsidRPr="00183B5F">
        <w:rPr>
          <w:szCs w:val="22"/>
          <w:vertAlign w:val="superscript"/>
        </w:rPr>
        <w:t>b</w:t>
      </w:r>
      <w:r w:rsidRPr="00183B5F">
        <w:rPr>
          <w:szCs w:val="22"/>
        </w:rPr>
        <w:t> a p</w:t>
      </w:r>
      <w:r w:rsidRPr="00183B5F">
        <w:rPr>
          <w:szCs w:val="22"/>
        </w:rPr>
        <w:noBreakHyphen/>
        <w:t xml:space="preserve">érték a </w:t>
      </w:r>
      <w:r w:rsidR="005C406C" w:rsidRPr="00183B5F">
        <w:rPr>
          <w:szCs w:val="22"/>
        </w:rPr>
        <w:t>Humira-monoterá</w:t>
      </w:r>
      <w:r w:rsidRPr="00183B5F">
        <w:rPr>
          <w:szCs w:val="22"/>
        </w:rPr>
        <w:t xml:space="preserve">pia és a Humira/metotrexát kombinációs terápia páros összehasonlítása </w:t>
      </w:r>
      <w:r w:rsidR="001A6E66" w:rsidRPr="00183B5F">
        <w:rPr>
          <w:szCs w:val="22"/>
        </w:rPr>
        <w:t>alapján, Mann</w:t>
      </w:r>
      <w:r w:rsidRPr="00183B5F">
        <w:rPr>
          <w:szCs w:val="22"/>
        </w:rPr>
        <w:noBreakHyphen/>
        <w:t xml:space="preserve">Whitney </w:t>
      </w:r>
      <w:r w:rsidR="001A6E66" w:rsidRPr="00183B5F">
        <w:rPr>
          <w:szCs w:val="22"/>
        </w:rPr>
        <w:t>U-teszt</w:t>
      </w:r>
      <w:r w:rsidRPr="00183B5F">
        <w:rPr>
          <w:szCs w:val="22"/>
        </w:rPr>
        <w:t xml:space="preserve"> szerint</w:t>
      </w:r>
    </w:p>
    <w:p w14:paraId="6E35857B" w14:textId="77777777" w:rsidR="00B93237" w:rsidRPr="00183B5F" w:rsidRDefault="00943743" w:rsidP="00B93237">
      <w:pPr>
        <w:spacing w:line="240" w:lineRule="auto"/>
        <w:rPr>
          <w:szCs w:val="22"/>
        </w:rPr>
      </w:pPr>
      <w:r w:rsidRPr="00183B5F">
        <w:rPr>
          <w:szCs w:val="22"/>
          <w:vertAlign w:val="superscript"/>
        </w:rPr>
        <w:t>c</w:t>
      </w:r>
      <w:r w:rsidRPr="00183B5F">
        <w:rPr>
          <w:szCs w:val="22"/>
        </w:rPr>
        <w:t> a p</w:t>
      </w:r>
      <w:r w:rsidRPr="00183B5F">
        <w:rPr>
          <w:szCs w:val="22"/>
        </w:rPr>
        <w:noBreakHyphen/>
        <w:t xml:space="preserve">érték a </w:t>
      </w:r>
      <w:r w:rsidR="005C406C" w:rsidRPr="00183B5F">
        <w:rPr>
          <w:szCs w:val="22"/>
        </w:rPr>
        <w:t>Humira-monoterá</w:t>
      </w:r>
      <w:r w:rsidRPr="00183B5F">
        <w:rPr>
          <w:szCs w:val="22"/>
        </w:rPr>
        <w:t xml:space="preserve">pia és a </w:t>
      </w:r>
      <w:r w:rsidR="001A6E66" w:rsidRPr="00183B5F">
        <w:rPr>
          <w:szCs w:val="22"/>
        </w:rPr>
        <w:t>metotrexát-mono</w:t>
      </w:r>
      <w:r w:rsidRPr="00183B5F">
        <w:rPr>
          <w:szCs w:val="22"/>
        </w:rPr>
        <w:t xml:space="preserve">terápia páros összehasonlítása </w:t>
      </w:r>
      <w:r w:rsidR="001A6E66" w:rsidRPr="00183B5F">
        <w:rPr>
          <w:szCs w:val="22"/>
        </w:rPr>
        <w:t>alapján, Mann</w:t>
      </w:r>
      <w:r w:rsidRPr="00183B5F">
        <w:rPr>
          <w:szCs w:val="22"/>
        </w:rPr>
        <w:noBreakHyphen/>
        <w:t xml:space="preserve">Whitney </w:t>
      </w:r>
      <w:r w:rsidR="001A6E66" w:rsidRPr="00183B5F">
        <w:rPr>
          <w:szCs w:val="22"/>
        </w:rPr>
        <w:t>U-teszt</w:t>
      </w:r>
      <w:r w:rsidRPr="00183B5F">
        <w:rPr>
          <w:szCs w:val="22"/>
        </w:rPr>
        <w:t xml:space="preserve"> szerint</w:t>
      </w:r>
    </w:p>
    <w:p w14:paraId="164EC416" w14:textId="77777777" w:rsidR="00B93237" w:rsidRPr="00183B5F" w:rsidRDefault="00B93237" w:rsidP="00B93237">
      <w:pPr>
        <w:spacing w:line="240" w:lineRule="auto"/>
        <w:rPr>
          <w:szCs w:val="22"/>
          <w:u w:val="single"/>
        </w:rPr>
      </w:pPr>
    </w:p>
    <w:p w14:paraId="66C531F8" w14:textId="77777777" w:rsidR="00B93237" w:rsidRPr="00183B5F" w:rsidRDefault="00943743" w:rsidP="00B93237">
      <w:pPr>
        <w:spacing w:line="240" w:lineRule="auto"/>
        <w:rPr>
          <w:szCs w:val="22"/>
        </w:rPr>
      </w:pPr>
      <w:r w:rsidRPr="00183B5F">
        <w:rPr>
          <w:szCs w:val="22"/>
        </w:rPr>
        <w:t xml:space="preserve">Ötvenkét, illetve 104 hétig tartó kezelés után a progresszió nélküli betegek százaléka (a módosított </w:t>
      </w:r>
      <w:r w:rsidR="005E4FD2" w:rsidRPr="00183B5F">
        <w:rPr>
          <w:szCs w:val="22"/>
        </w:rPr>
        <w:t xml:space="preserve">teljes </w:t>
      </w:r>
      <w:r w:rsidRPr="00183B5F">
        <w:rPr>
          <w:szCs w:val="22"/>
        </w:rPr>
        <w:t>Sharp</w:t>
      </w:r>
      <w:r w:rsidR="005E4FD2" w:rsidRPr="00183B5F">
        <w:rPr>
          <w:szCs w:val="22"/>
        </w:rPr>
        <w:t>-</w:t>
      </w:r>
      <w:r w:rsidRPr="00183B5F">
        <w:rPr>
          <w:szCs w:val="22"/>
        </w:rPr>
        <w:t>pont</w:t>
      </w:r>
      <w:r w:rsidR="0022555B" w:rsidRPr="00183B5F">
        <w:rPr>
          <w:szCs w:val="22"/>
        </w:rPr>
        <w:t>érték</w:t>
      </w:r>
      <w:r w:rsidRPr="00183B5F">
        <w:rPr>
          <w:szCs w:val="22"/>
        </w:rPr>
        <w:t xml:space="preserve"> változása a kiinduláshoz képest ≤ 0,5) </w:t>
      </w:r>
      <w:r w:rsidR="0022555B" w:rsidRPr="00183B5F">
        <w:rPr>
          <w:szCs w:val="22"/>
        </w:rPr>
        <w:t xml:space="preserve">szignifikánsan </w:t>
      </w:r>
      <w:r w:rsidRPr="00183B5F">
        <w:rPr>
          <w:szCs w:val="22"/>
        </w:rPr>
        <w:t xml:space="preserve">magasabb volt a Humira/metotrexát kombinációs kezelésben részesült betegeknél (rendre 63,8%, illetve 61,2%) összehasonlítva a </w:t>
      </w:r>
      <w:r w:rsidR="001A6E66" w:rsidRPr="00183B5F">
        <w:rPr>
          <w:szCs w:val="22"/>
        </w:rPr>
        <w:t>metotrexát-mono</w:t>
      </w:r>
      <w:r w:rsidRPr="00183B5F">
        <w:rPr>
          <w:szCs w:val="22"/>
        </w:rPr>
        <w:t xml:space="preserve">terápia eredményével (rendre 37,4% és 33,5%, p &lt; 0,001) és </w:t>
      </w:r>
      <w:r w:rsidR="005C406C" w:rsidRPr="00183B5F">
        <w:rPr>
          <w:szCs w:val="22"/>
        </w:rPr>
        <w:t>Humira-monoterá</w:t>
      </w:r>
      <w:r w:rsidRPr="00183B5F">
        <w:rPr>
          <w:szCs w:val="22"/>
        </w:rPr>
        <w:t>piával (rendre 50,7%, p &lt; 0,002 és 44,5%, p &lt; 0,001).</w:t>
      </w:r>
    </w:p>
    <w:p w14:paraId="361AD6DA" w14:textId="77777777" w:rsidR="00B93237" w:rsidRPr="00183B5F" w:rsidRDefault="00B93237" w:rsidP="00B93237">
      <w:pPr>
        <w:spacing w:line="240" w:lineRule="auto"/>
        <w:rPr>
          <w:szCs w:val="22"/>
          <w:u w:val="single"/>
        </w:rPr>
      </w:pPr>
    </w:p>
    <w:p w14:paraId="3EB14848" w14:textId="77777777" w:rsidR="00B93237" w:rsidRPr="00183B5F" w:rsidRDefault="00943743" w:rsidP="00B93237">
      <w:pPr>
        <w:spacing w:line="240" w:lineRule="auto"/>
        <w:rPr>
          <w:szCs w:val="22"/>
        </w:rPr>
      </w:pPr>
      <w:r w:rsidRPr="00183B5F">
        <w:rPr>
          <w:szCs w:val="22"/>
        </w:rPr>
        <w:t>Az RA V vizsgálat nyílt elrendezésű kiterjesztésének 10. évében a módosított teljes Sharp</w:t>
      </w:r>
      <w:r w:rsidR="005E4FD2" w:rsidRPr="00183B5F">
        <w:rPr>
          <w:szCs w:val="22"/>
        </w:rPr>
        <w:t>-</w:t>
      </w:r>
      <w:r w:rsidRPr="00183B5F">
        <w:rPr>
          <w:szCs w:val="22"/>
        </w:rPr>
        <w:t>pont</w:t>
      </w:r>
      <w:r w:rsidR="0022555B" w:rsidRPr="00183B5F">
        <w:rPr>
          <w:szCs w:val="22"/>
        </w:rPr>
        <w:t>érték</w:t>
      </w:r>
      <w:r w:rsidRPr="00183B5F">
        <w:rPr>
          <w:szCs w:val="22"/>
        </w:rPr>
        <w:t xml:space="preserve"> átlagos változása a kiinduláshoz képest az eredetileg </w:t>
      </w:r>
      <w:r w:rsidR="001A6E66" w:rsidRPr="00183B5F">
        <w:rPr>
          <w:szCs w:val="22"/>
        </w:rPr>
        <w:t>metotrexát-mono</w:t>
      </w:r>
      <w:r w:rsidRPr="00183B5F">
        <w:rPr>
          <w:szCs w:val="22"/>
        </w:rPr>
        <w:t xml:space="preserve">terápiára, </w:t>
      </w:r>
      <w:r w:rsidR="005C406C" w:rsidRPr="00183B5F">
        <w:rPr>
          <w:szCs w:val="22"/>
        </w:rPr>
        <w:t>Humira-monoterá</w:t>
      </w:r>
      <w:r w:rsidRPr="00183B5F">
        <w:rPr>
          <w:szCs w:val="22"/>
        </w:rPr>
        <w:t>piára és Humira/metotrexát kombinációs terápiára randomizált betegeknél sorrendben 10,8; 9,2 és 3,9 volt. A radiológiai progressziót nem mutató betegeknél az arány sorrendben 31,3%, 23,7% és 36,7% volt.</w:t>
      </w:r>
    </w:p>
    <w:p w14:paraId="322EB8E4" w14:textId="77777777" w:rsidR="00B93237" w:rsidRPr="00183B5F" w:rsidRDefault="00B93237" w:rsidP="00B93237">
      <w:pPr>
        <w:spacing w:line="240" w:lineRule="auto"/>
        <w:rPr>
          <w:szCs w:val="22"/>
          <w:u w:val="single"/>
        </w:rPr>
      </w:pPr>
    </w:p>
    <w:p w14:paraId="4577C849" w14:textId="77777777" w:rsidR="00B93237" w:rsidRPr="00183B5F" w:rsidRDefault="00943743" w:rsidP="00B93237">
      <w:pPr>
        <w:keepNext/>
        <w:spacing w:line="240" w:lineRule="auto"/>
        <w:rPr>
          <w:i/>
          <w:szCs w:val="22"/>
          <w:u w:val="single"/>
        </w:rPr>
      </w:pPr>
      <w:r w:rsidRPr="00183B5F">
        <w:rPr>
          <w:i/>
          <w:szCs w:val="22"/>
          <w:u w:val="single"/>
        </w:rPr>
        <w:t>Életminőség és fizikai aktivitás</w:t>
      </w:r>
    </w:p>
    <w:p w14:paraId="1F4B80F9" w14:textId="77777777" w:rsidR="00B93237" w:rsidRPr="00183B5F" w:rsidRDefault="00B93237" w:rsidP="00B93237">
      <w:pPr>
        <w:keepNext/>
        <w:spacing w:line="240" w:lineRule="auto"/>
        <w:rPr>
          <w:szCs w:val="22"/>
        </w:rPr>
      </w:pPr>
    </w:p>
    <w:p w14:paraId="2E9F8BE0" w14:textId="77777777" w:rsidR="00B93237" w:rsidRPr="00183B5F" w:rsidRDefault="00943743" w:rsidP="00B93237">
      <w:pPr>
        <w:keepNext/>
        <w:spacing w:line="240" w:lineRule="auto"/>
        <w:rPr>
          <w:szCs w:val="22"/>
        </w:rPr>
      </w:pPr>
      <w:r w:rsidRPr="00183B5F">
        <w:rPr>
          <w:szCs w:val="22"/>
        </w:rPr>
        <w:t xml:space="preserve">Az Egészségfelmérő kérdőív (Health Assessment Questionnaire-HAQ) rokkantsági indexének segítségével a négy eredeti és </w:t>
      </w:r>
      <w:r w:rsidR="008511AE" w:rsidRPr="00183B5F">
        <w:rPr>
          <w:szCs w:val="22"/>
        </w:rPr>
        <w:t>megfelelő kontrollt alka</w:t>
      </w:r>
      <w:r w:rsidR="00A32269" w:rsidRPr="00183B5F">
        <w:rPr>
          <w:szCs w:val="22"/>
        </w:rPr>
        <w:t>l</w:t>
      </w:r>
      <w:r w:rsidR="008511AE" w:rsidRPr="00183B5F">
        <w:rPr>
          <w:szCs w:val="22"/>
        </w:rPr>
        <w:t>mazó</w:t>
      </w:r>
      <w:r w:rsidRPr="00183B5F">
        <w:rPr>
          <w:szCs w:val="22"/>
        </w:rPr>
        <w:t xml:space="preserve"> vizsgálatban megvizsgálták az egészségfüggő életminőséget és fizikális működést, illetve az RA III vizsgálatban ez egy előre megállapított elsődleges végpontja volt a vizsgálatnak az 52. héten. A Humira, adagolási módtól és dózistól függetlenül, mind a négy vizsgálatban a kiinduláshoz viszonyítva a vizsgált hat hónap alatt statisztikailag szignifikáns javulást eredményezett a HAQ rokkantsági indexében a placebóval összehasonlítva, és az RA III. vizsgálatban ugyanezt észlelték a</w:t>
      </w:r>
      <w:r w:rsidRPr="00183B5F">
        <w:rPr>
          <w:szCs w:val="22"/>
        </w:rPr>
        <w:t>z 52. héten. A Rövid Egészségfelmérés (Short Form Health Survey (SF 36)) eredményei is alátámasztják a fentieket, a kéthetente alkalmazott 40 mg</w:t>
      </w:r>
      <w:r w:rsidRPr="00183B5F">
        <w:rPr>
          <w:szCs w:val="22"/>
        </w:rPr>
        <w:noBreakHyphen/>
        <w:t>os dózis esetében a fizikális komponensre (PCS) adott értékek, illetve a fájdalmat valamint a vitalitást mérő értékek is statisztikailag szignifikáns javulást mutattak. A krónikus betegségek terápiájának funkcionális felmérését szolgáló kérdőívben (FACIT) a fáradtságra adott értékek alapján statisztikailag jelentős javulás állapítható meg mindhárom vizsgálatban, am</w:t>
      </w:r>
      <w:r w:rsidRPr="00183B5F">
        <w:rPr>
          <w:szCs w:val="22"/>
        </w:rPr>
        <w:t>elyben ezt kiértékelték (RA I, III, IV vizsgálatok).</w:t>
      </w:r>
    </w:p>
    <w:p w14:paraId="39C5EBCA" w14:textId="77777777" w:rsidR="00B93237" w:rsidRPr="00183B5F" w:rsidRDefault="00B93237" w:rsidP="00B93237">
      <w:pPr>
        <w:spacing w:line="240" w:lineRule="auto"/>
        <w:rPr>
          <w:szCs w:val="22"/>
        </w:rPr>
      </w:pPr>
    </w:p>
    <w:p w14:paraId="78F36EEF" w14:textId="77777777" w:rsidR="00B93237" w:rsidRPr="00183B5F" w:rsidRDefault="00943743" w:rsidP="00B93237">
      <w:pPr>
        <w:spacing w:line="240" w:lineRule="auto"/>
        <w:rPr>
          <w:szCs w:val="22"/>
        </w:rPr>
      </w:pPr>
      <w:r w:rsidRPr="00183B5F">
        <w:rPr>
          <w:szCs w:val="22"/>
        </w:rPr>
        <w:t>Az RA III vizsgálatban a nyílt kezelés során a betegek többsége, akiknél a fizikai funkció javulása volt megfigyelhető és folytatták a kezelést, a javulás 520 héten (120 hónap) keresztül fenn</w:t>
      </w:r>
      <w:r w:rsidR="00F455D3" w:rsidRPr="00183B5F">
        <w:rPr>
          <w:szCs w:val="22"/>
        </w:rPr>
        <w:t>maradt</w:t>
      </w:r>
      <w:r w:rsidRPr="00183B5F">
        <w:rPr>
          <w:szCs w:val="22"/>
        </w:rPr>
        <w:t>. Az életminőség javulását legfeljebb 156 hétig (36 hónap) mérték, és a javulás ezalatt az idő alatt fennmaradt.</w:t>
      </w:r>
    </w:p>
    <w:p w14:paraId="2DF3BCC3" w14:textId="77777777" w:rsidR="00B93237" w:rsidRPr="00183B5F" w:rsidRDefault="00B93237" w:rsidP="00B93237">
      <w:pPr>
        <w:spacing w:line="240" w:lineRule="auto"/>
        <w:rPr>
          <w:szCs w:val="22"/>
        </w:rPr>
      </w:pPr>
    </w:p>
    <w:p w14:paraId="7A9D5B14" w14:textId="77777777" w:rsidR="00B93237" w:rsidRPr="00183B5F" w:rsidRDefault="00943743" w:rsidP="00B93237">
      <w:pPr>
        <w:pStyle w:val="EMEAHeadingUnderline"/>
        <w:tabs>
          <w:tab w:val="clear" w:pos="562"/>
        </w:tabs>
        <w:spacing w:beforeLines="0" w:afterLines="0"/>
        <w:rPr>
          <w:szCs w:val="22"/>
          <w:u w:val="none"/>
          <w:lang w:val="hu-HU"/>
        </w:rPr>
      </w:pPr>
      <w:r w:rsidRPr="00183B5F">
        <w:rPr>
          <w:szCs w:val="22"/>
          <w:u w:val="none"/>
          <w:lang w:val="hu-HU"/>
        </w:rPr>
        <w:t>Az RA V vizsgálatban az 52. héten a HAQ rokkantsági indexben és az SF 36 fizikai összetevőiben mutatkozó javulás nagyobb volt (p &lt; 0,001) a Humira/metotrexát kombinációs kezelést kapott csoportban, mint a metotrexát</w:t>
      </w:r>
      <w:r w:rsidR="00287AD5" w:rsidRPr="00183B5F">
        <w:rPr>
          <w:szCs w:val="22"/>
          <w:u w:val="none"/>
          <w:lang w:val="hu-HU"/>
        </w:rPr>
        <w:t>-</w:t>
      </w:r>
      <w:r w:rsidRPr="00183B5F">
        <w:rPr>
          <w:szCs w:val="22"/>
          <w:u w:val="none"/>
          <w:lang w:val="hu-HU"/>
        </w:rPr>
        <w:t xml:space="preserve"> és </w:t>
      </w:r>
      <w:r w:rsidR="005C406C" w:rsidRPr="00183B5F">
        <w:rPr>
          <w:szCs w:val="22"/>
          <w:u w:val="none"/>
          <w:lang w:val="hu-HU"/>
        </w:rPr>
        <w:t>Humira-monoterá</w:t>
      </w:r>
      <w:r w:rsidRPr="00183B5F">
        <w:rPr>
          <w:szCs w:val="22"/>
          <w:u w:val="none"/>
          <w:lang w:val="hu-HU"/>
        </w:rPr>
        <w:t>piákban. Ezek a változások a 104. hétig fennálltak. A 250 betegnél, akik befejezték a nyílt elrendezésű kiterjesztéses vizsgálatot, a fizikai funkció javulása a kezelés 10 éve alatt fennmaradt.</w:t>
      </w:r>
    </w:p>
    <w:p w14:paraId="01BC1118" w14:textId="77777777" w:rsidR="00B93237" w:rsidRPr="00183B5F" w:rsidRDefault="00B93237" w:rsidP="00B93237">
      <w:pPr>
        <w:spacing w:line="240" w:lineRule="auto"/>
        <w:rPr>
          <w:szCs w:val="22"/>
        </w:rPr>
      </w:pPr>
    </w:p>
    <w:p w14:paraId="26E87EE4" w14:textId="77777777" w:rsidR="00B93237" w:rsidRPr="00183B5F" w:rsidRDefault="00943743" w:rsidP="00B93237">
      <w:pPr>
        <w:spacing w:line="240" w:lineRule="auto"/>
        <w:rPr>
          <w:i/>
          <w:szCs w:val="22"/>
          <w:u w:val="single"/>
        </w:rPr>
      </w:pPr>
      <w:r w:rsidRPr="00183B5F">
        <w:rPr>
          <w:i/>
          <w:szCs w:val="22"/>
          <w:u w:val="single"/>
        </w:rPr>
        <w:t>Fájdalom a beadás helyén</w:t>
      </w:r>
    </w:p>
    <w:p w14:paraId="4058BB03" w14:textId="77777777" w:rsidR="00B93237" w:rsidRPr="00183B5F" w:rsidRDefault="00B93237" w:rsidP="00B93237">
      <w:pPr>
        <w:spacing w:line="240" w:lineRule="auto"/>
        <w:rPr>
          <w:i/>
          <w:szCs w:val="22"/>
          <w:u w:val="single"/>
        </w:rPr>
      </w:pPr>
    </w:p>
    <w:p w14:paraId="270B25D4" w14:textId="77777777" w:rsidR="00B93237" w:rsidRPr="00183B5F" w:rsidRDefault="00943743" w:rsidP="00B93237">
      <w:pPr>
        <w:spacing w:line="240" w:lineRule="auto"/>
        <w:rPr>
          <w:szCs w:val="22"/>
        </w:rPr>
      </w:pPr>
      <w:r w:rsidRPr="00183B5F">
        <w:rPr>
          <w:szCs w:val="22"/>
        </w:rPr>
        <w:t>Az RA VI és VII</w:t>
      </w:r>
      <w:r w:rsidRPr="00183B5F">
        <w:rPr>
          <w:szCs w:val="22"/>
        </w:rPr>
        <w:noBreakHyphen/>
        <w:t>es vizsgálatok összesített adatai alapján statisztikailag szignifikáns különbség volt megfigyelhető az injekció beadásának helyén fellépő azonnali fájdalomban a Humira 40 mg/0,8 ml és a Humira 40 mg/0,4 ml között (a 0</w:t>
      </w:r>
      <w:r w:rsidRPr="00183B5F">
        <w:rPr>
          <w:szCs w:val="22"/>
        </w:rPr>
        <w:noBreakHyphen/>
        <w:t>10 cm</w:t>
      </w:r>
      <w:r w:rsidRPr="00183B5F">
        <w:rPr>
          <w:szCs w:val="22"/>
        </w:rPr>
        <w:noBreakHyphen/>
        <w:t>es vizuál analóg skálán átlagosan 3,7 cm szemben az 1,2 cm-rel , P &lt; 0,001). Ez 84%</w:t>
      </w:r>
      <w:r w:rsidRPr="00183B5F">
        <w:rPr>
          <w:szCs w:val="22"/>
        </w:rPr>
        <w:noBreakHyphen/>
        <w:t>os medián fájdalomcsökkenést mutat az injekció beadásának helyén.</w:t>
      </w:r>
    </w:p>
    <w:p w14:paraId="71B6F148" w14:textId="77777777" w:rsidR="00B93237" w:rsidRPr="00183B5F" w:rsidRDefault="00B93237" w:rsidP="004062FE">
      <w:pPr>
        <w:keepNext/>
        <w:spacing w:line="240" w:lineRule="auto"/>
        <w:rPr>
          <w:szCs w:val="22"/>
          <w:u w:val="single"/>
        </w:rPr>
      </w:pPr>
    </w:p>
    <w:p w14:paraId="12534B00" w14:textId="77777777" w:rsidR="00764497" w:rsidRPr="00183B5F" w:rsidRDefault="00943743" w:rsidP="004062FE">
      <w:pPr>
        <w:pStyle w:val="EMEAHeadingUnderline"/>
        <w:keepNext/>
        <w:tabs>
          <w:tab w:val="clear" w:pos="562"/>
        </w:tabs>
        <w:spacing w:beforeLines="0" w:afterLines="0"/>
        <w:rPr>
          <w:i/>
          <w:szCs w:val="22"/>
          <w:u w:val="none"/>
          <w:lang w:val="hu-HU" w:eastAsia="hu-HU"/>
        </w:rPr>
      </w:pPr>
      <w:r w:rsidRPr="00183B5F">
        <w:rPr>
          <w:i/>
          <w:szCs w:val="22"/>
          <w:u w:val="none"/>
          <w:lang w:val="hu-HU" w:eastAsia="hu-HU"/>
        </w:rPr>
        <w:t>Psoriasis</w:t>
      </w:r>
    </w:p>
    <w:p w14:paraId="2070EB96" w14:textId="77777777" w:rsidR="00764497" w:rsidRPr="00183B5F" w:rsidRDefault="00764497" w:rsidP="004062FE">
      <w:pPr>
        <w:keepNext/>
        <w:spacing w:line="240" w:lineRule="auto"/>
        <w:rPr>
          <w:szCs w:val="22"/>
        </w:rPr>
      </w:pPr>
    </w:p>
    <w:p w14:paraId="270A8FE4" w14:textId="77777777" w:rsidR="00764497" w:rsidRPr="00183B5F" w:rsidRDefault="00943743" w:rsidP="004062FE">
      <w:pPr>
        <w:keepNext/>
        <w:spacing w:line="240" w:lineRule="auto"/>
        <w:rPr>
          <w:szCs w:val="22"/>
        </w:rPr>
      </w:pPr>
      <w:r w:rsidRPr="00183B5F">
        <w:rPr>
          <w:szCs w:val="22"/>
        </w:rPr>
        <w:t xml:space="preserve">A Humira biztonságosságát és hatásosságát randomizált, </w:t>
      </w:r>
      <w:r w:rsidR="00E5381A" w:rsidRPr="00183B5F">
        <w:rPr>
          <w:szCs w:val="22"/>
        </w:rPr>
        <w:t>kettős vak</w:t>
      </w:r>
      <w:r w:rsidRPr="00183B5F">
        <w:rPr>
          <w:szCs w:val="22"/>
        </w:rPr>
        <w:t xml:space="preserve"> vizsgálatokban értékelték olyan krónikus, plakkos psoriasisban szenvedő felnőtt betegek körében (</w:t>
      </w:r>
      <w:r w:rsidRPr="00183B5F">
        <w:rPr>
          <w:rFonts w:ascii="Symbol" w:hAnsi="Symbol"/>
          <w:szCs w:val="22"/>
        </w:rPr>
        <w:sym w:font="Symbol" w:char="F0B3"/>
      </w:r>
      <w:r w:rsidRPr="00183B5F">
        <w:rPr>
          <w:szCs w:val="22"/>
        </w:rPr>
        <w:t xml:space="preserve"> 10% testfelület-érintettség és </w:t>
      </w:r>
      <w:r w:rsidRPr="00183B5F">
        <w:rPr>
          <w:rFonts w:ascii="Symbol" w:hAnsi="Symbol"/>
          <w:szCs w:val="22"/>
        </w:rPr>
        <w:sym w:font="Symbol" w:char="F0B3"/>
      </w:r>
      <w:r w:rsidRPr="00183B5F">
        <w:rPr>
          <w:szCs w:val="22"/>
        </w:rPr>
        <w:t xml:space="preserve"> 12, ill. </w:t>
      </w:r>
      <w:r w:rsidRPr="00183B5F">
        <w:rPr>
          <w:rFonts w:ascii="Symbol" w:hAnsi="Symbol"/>
          <w:szCs w:val="22"/>
        </w:rPr>
        <w:sym w:font="Symbol" w:char="F0B3"/>
      </w:r>
      <w:r w:rsidRPr="00183B5F">
        <w:rPr>
          <w:szCs w:val="22"/>
        </w:rPr>
        <w:t> 10 Psoriasis Area and Severity Index [PASI]), akik szisztémás vagy fototerápiás kezelésre vártak. A Psoriasis I és II vizsgálatokba beválogatott betegek 73%</w:t>
      </w:r>
      <w:r w:rsidRPr="00183B5F">
        <w:rPr>
          <w:szCs w:val="22"/>
        </w:rPr>
        <w:noBreakHyphen/>
        <w:t xml:space="preserve">a kapott már korábban szisztémás kezelést vagy fototerápiát. A Humira biztonságosságát és hatásosságát olyan </w:t>
      </w:r>
      <w:r w:rsidR="006E6466" w:rsidRPr="00183B5F">
        <w:rPr>
          <w:szCs w:val="22"/>
        </w:rPr>
        <w:t xml:space="preserve">közepesen súlyos </w:t>
      </w:r>
      <w:r w:rsidRPr="00183B5F">
        <w:rPr>
          <w:szCs w:val="22"/>
        </w:rPr>
        <w:noBreakHyphen/>
        <w:t>súlyos krónikus plakkos psoriasisban szenvedő felnőtt betegek körében is é</w:t>
      </w:r>
      <w:r w:rsidRPr="00183B5F">
        <w:rPr>
          <w:szCs w:val="22"/>
        </w:rPr>
        <w:t>rtékelték egy randomizált kettős</w:t>
      </w:r>
      <w:r w:rsidR="00F455D3" w:rsidRPr="00183B5F">
        <w:rPr>
          <w:szCs w:val="22"/>
        </w:rPr>
        <w:t xml:space="preserve"> </w:t>
      </w:r>
      <w:r w:rsidRPr="00183B5F">
        <w:rPr>
          <w:szCs w:val="22"/>
        </w:rPr>
        <w:t>vak vizsgálat során (Psoriasis III vizsgálat), akik egyidejűleg a kézfejet és/vagy a lábfejet érintő psoriasisban is szenvedtek és szisztémás kezelésre vártak.</w:t>
      </w:r>
    </w:p>
    <w:p w14:paraId="5B3EF2B8" w14:textId="77777777" w:rsidR="00764497" w:rsidRPr="00183B5F" w:rsidRDefault="00764497">
      <w:pPr>
        <w:pStyle w:val="EndnoteText"/>
        <w:rPr>
          <w:sz w:val="22"/>
          <w:lang w:val="hu-HU"/>
        </w:rPr>
      </w:pPr>
    </w:p>
    <w:p w14:paraId="18F27555" w14:textId="77777777" w:rsidR="00764497" w:rsidRPr="00183B5F" w:rsidRDefault="00943743" w:rsidP="004062FE">
      <w:pPr>
        <w:spacing w:line="240" w:lineRule="auto"/>
        <w:rPr>
          <w:szCs w:val="22"/>
        </w:rPr>
      </w:pPr>
      <w:r w:rsidRPr="00183B5F">
        <w:rPr>
          <w:szCs w:val="22"/>
        </w:rPr>
        <w:t>A Psoriasis I (REVEAL) vizsgálatban 1212 beteg állapotát értékelték három kezelési időszakban. Az „A” időszakban a betegek placebót vagy 80 mg kezdő dózisú Humira</w:t>
      </w:r>
      <w:r w:rsidRPr="00183B5F">
        <w:rPr>
          <w:szCs w:val="22"/>
        </w:rPr>
        <w:noBreakHyphen/>
        <w:t>t kaptak, amelyet egy héttel a kezdő dózist követően minden második héten 40 mg adaggal folytattak. Tizenhat</w:t>
      </w:r>
      <w:r w:rsidR="00903BD3" w:rsidRPr="00183B5F">
        <w:rPr>
          <w:szCs w:val="22"/>
        </w:rPr>
        <w:t xml:space="preserve"> </w:t>
      </w:r>
      <w:r w:rsidRPr="00183B5F">
        <w:rPr>
          <w:szCs w:val="22"/>
        </w:rPr>
        <w:t>hetes kezelés után a legalább PASI 75 választ (a kiindulási értékhez képest legalább 75%</w:t>
      </w:r>
      <w:r w:rsidRPr="00183B5F">
        <w:rPr>
          <w:szCs w:val="22"/>
        </w:rPr>
        <w:noBreakHyphen/>
        <w:t>os PASI</w:t>
      </w:r>
      <w:r w:rsidR="00110863" w:rsidRPr="00183B5F">
        <w:rPr>
          <w:szCs w:val="22"/>
        </w:rPr>
        <w:t>-</w:t>
      </w:r>
      <w:r w:rsidRPr="00183B5F">
        <w:rPr>
          <w:szCs w:val="22"/>
        </w:rPr>
        <w:t>pontszám-javulást) mutató betegek egy „B” időszakba léptek, amelyben nyílt elrendezésben, minden második héten 40 mg Humira</w:t>
      </w:r>
      <w:r w:rsidRPr="00183B5F">
        <w:rPr>
          <w:szCs w:val="22"/>
        </w:rPr>
        <w:noBreakHyphen/>
        <w:t>t kaptak. A 33</w:t>
      </w:r>
      <w:r w:rsidR="00F455D3" w:rsidRPr="00183B5F">
        <w:rPr>
          <w:szCs w:val="22"/>
        </w:rPr>
        <w:t>.</w:t>
      </w:r>
      <w:r w:rsidRPr="00183B5F">
        <w:rPr>
          <w:szCs w:val="22"/>
        </w:rPr>
        <w:t xml:space="preserve"> héten </w:t>
      </w:r>
      <w:r w:rsidRPr="00183B5F">
        <w:rPr>
          <w:rFonts w:ascii="Symbol" w:hAnsi="Symbol"/>
          <w:szCs w:val="22"/>
        </w:rPr>
        <w:sym w:font="Symbol" w:char="F0B3"/>
      </w:r>
      <w:r w:rsidRPr="00183B5F">
        <w:rPr>
          <w:szCs w:val="22"/>
        </w:rPr>
        <w:t> PASI 75 választ mutató és eredetileg az „A” időszakban aktív kezelést kapók közé randomizált betegeket a „C” időszakban újrarandomizálták, hogy további 19 héten át minden második héten 40 mg Humira</w:t>
      </w:r>
      <w:r w:rsidRPr="00183B5F">
        <w:rPr>
          <w:szCs w:val="22"/>
        </w:rPr>
        <w:noBreakHyphen/>
        <w:t xml:space="preserve">t </w:t>
      </w:r>
      <w:r w:rsidR="00F455D3" w:rsidRPr="00183B5F">
        <w:rPr>
          <w:szCs w:val="22"/>
        </w:rPr>
        <w:t xml:space="preserve">vagy placebót </w:t>
      </w:r>
      <w:r w:rsidRPr="00183B5F">
        <w:rPr>
          <w:szCs w:val="22"/>
        </w:rPr>
        <w:t>kapjanak. Minden kezelési csoportot figyelembe véve a kiindulási PASI</w:t>
      </w:r>
      <w:r w:rsidRPr="00183B5F">
        <w:rPr>
          <w:szCs w:val="22"/>
        </w:rPr>
        <w:noBreakHyphen/>
        <w:t>pontérték 18,9 volt, míg a kiindulási PGA</w:t>
      </w:r>
      <w:r w:rsidR="00110863" w:rsidRPr="00183B5F">
        <w:rPr>
          <w:szCs w:val="22"/>
        </w:rPr>
        <w:noBreakHyphen/>
      </w:r>
      <w:r w:rsidRPr="00183B5F">
        <w:rPr>
          <w:szCs w:val="22"/>
        </w:rPr>
        <w:t>pontszám a „közepestől” (a vizsgálatba</w:t>
      </w:r>
      <w:r w:rsidRPr="00183B5F">
        <w:rPr>
          <w:szCs w:val="22"/>
        </w:rPr>
        <w:t>n résztvevők 53%-a) a „súlyosig” (41%) és a „nagyon súlyosig” (6%) terjedt.</w:t>
      </w:r>
    </w:p>
    <w:p w14:paraId="288BF45B" w14:textId="77777777" w:rsidR="00764497" w:rsidRPr="00183B5F" w:rsidRDefault="00764497" w:rsidP="004062FE">
      <w:pPr>
        <w:spacing w:line="240" w:lineRule="auto"/>
        <w:rPr>
          <w:szCs w:val="22"/>
        </w:rPr>
      </w:pPr>
    </w:p>
    <w:p w14:paraId="1C29FC8F" w14:textId="77777777" w:rsidR="00764497" w:rsidRPr="00183B5F" w:rsidRDefault="00943743" w:rsidP="004062FE">
      <w:pPr>
        <w:spacing w:line="240" w:lineRule="auto"/>
        <w:rPr>
          <w:szCs w:val="22"/>
        </w:rPr>
      </w:pPr>
      <w:r w:rsidRPr="00183B5F">
        <w:rPr>
          <w:szCs w:val="22"/>
        </w:rPr>
        <w:t>A Psoriasis II vizsgálatban (CHAMPION) a Humira hatásosságát és biztonságosságát a metotrexátéval és a placebóéval hasonlították össze 271 beteg részvételével. A betegek placebót, egy kezdeti, 7,5 mg</w:t>
      </w:r>
      <w:r w:rsidRPr="00183B5F">
        <w:rPr>
          <w:szCs w:val="22"/>
        </w:rPr>
        <w:noBreakHyphen/>
        <w:t>os metotrexát</w:t>
      </w:r>
      <w:r w:rsidR="00110863" w:rsidRPr="00183B5F">
        <w:rPr>
          <w:szCs w:val="22"/>
        </w:rPr>
        <w:t>-</w:t>
      </w:r>
      <w:r w:rsidRPr="00183B5F">
        <w:rPr>
          <w:szCs w:val="22"/>
        </w:rPr>
        <w:t>dózist kaptak, és azt követően az adagot legfeljebb a 12. hétig, 25 mg</w:t>
      </w:r>
      <w:r w:rsidR="00E5381A" w:rsidRPr="00183B5F">
        <w:rPr>
          <w:szCs w:val="22"/>
        </w:rPr>
        <w:noBreakHyphen/>
      </w:r>
      <w:r w:rsidRPr="00183B5F">
        <w:rPr>
          <w:szCs w:val="22"/>
        </w:rPr>
        <w:t>os maximális dózisig emelték, vagy egy 80 mg</w:t>
      </w:r>
      <w:r w:rsidRPr="00183B5F">
        <w:rPr>
          <w:szCs w:val="22"/>
        </w:rPr>
        <w:noBreakHyphen/>
        <w:t>os Humira kezdő dózisban részesültek, amit 16 hétig kéthetente 40 mg</w:t>
      </w:r>
      <w:r w:rsidRPr="00183B5F">
        <w:rPr>
          <w:szCs w:val="22"/>
        </w:rPr>
        <w:noBreakHyphen/>
        <w:t>os adag követett (egy héttel a kezdő dózis beadása után kezdve). Nincs a Humira- és a metotrexát</w:t>
      </w:r>
      <w:r w:rsidRPr="00183B5F">
        <w:rPr>
          <w:szCs w:val="22"/>
        </w:rPr>
        <w:noBreakHyphen/>
        <w:t xml:space="preserve">kezelést 16 hétnél hosszabb idő után összehasonlító adat. A metotrexátot szedő és </w:t>
      </w:r>
      <w:r w:rsidRPr="00183B5F">
        <w:rPr>
          <w:rFonts w:ascii="Symbol" w:hAnsi="Symbol"/>
          <w:szCs w:val="22"/>
        </w:rPr>
        <w:sym w:font="Symbol" w:char="F0B3"/>
      </w:r>
      <w:r w:rsidRPr="00183B5F">
        <w:rPr>
          <w:szCs w:val="22"/>
        </w:rPr>
        <w:t> PASI 50 választ a 8. és/vagy a 12. héten elérő betegeknél nem növelték tovább a dózist. Minden kezelési csoportot figyelembe</w:t>
      </w:r>
      <w:r w:rsidR="0047618A" w:rsidRPr="00183B5F">
        <w:rPr>
          <w:szCs w:val="22"/>
        </w:rPr>
        <w:t xml:space="preserve"> </w:t>
      </w:r>
      <w:r w:rsidRPr="00183B5F">
        <w:rPr>
          <w:szCs w:val="22"/>
        </w:rPr>
        <w:t>véve a</w:t>
      </w:r>
      <w:r w:rsidRPr="00183B5F">
        <w:rPr>
          <w:szCs w:val="22"/>
        </w:rPr>
        <w:t>z átlagos PASI</w:t>
      </w:r>
      <w:r w:rsidRPr="00183B5F">
        <w:rPr>
          <w:szCs w:val="22"/>
        </w:rPr>
        <w:noBreakHyphen/>
        <w:t>pontszám 19,7 volt, míg a kiindulási PGA</w:t>
      </w:r>
      <w:r w:rsidR="00110863" w:rsidRPr="00183B5F">
        <w:rPr>
          <w:szCs w:val="22"/>
        </w:rPr>
        <w:noBreakHyphen/>
      </w:r>
      <w:r w:rsidRPr="00183B5F">
        <w:rPr>
          <w:szCs w:val="22"/>
        </w:rPr>
        <w:t>pontszám az „enyhétől” (&lt; 1%) a „közepesen át” (48%) a „súlyosig” (46%) és a „nagyon súlyosig” (6%) terjedt.</w:t>
      </w:r>
    </w:p>
    <w:p w14:paraId="11CAC7F4" w14:textId="77777777" w:rsidR="00764497" w:rsidRPr="00183B5F" w:rsidRDefault="00764497" w:rsidP="004062FE">
      <w:pPr>
        <w:spacing w:line="240" w:lineRule="auto"/>
        <w:rPr>
          <w:szCs w:val="22"/>
        </w:rPr>
      </w:pPr>
    </w:p>
    <w:p w14:paraId="2B65927D" w14:textId="77777777" w:rsidR="00764497" w:rsidRPr="00183B5F" w:rsidRDefault="00943743" w:rsidP="004062FE">
      <w:pPr>
        <w:spacing w:line="240" w:lineRule="auto"/>
        <w:rPr>
          <w:szCs w:val="22"/>
        </w:rPr>
      </w:pPr>
      <w:r w:rsidRPr="00183B5F">
        <w:rPr>
          <w:szCs w:val="22"/>
        </w:rPr>
        <w:t xml:space="preserve">Az összes </w:t>
      </w:r>
      <w:r w:rsidR="00B52567" w:rsidRPr="00183B5F">
        <w:rPr>
          <w:szCs w:val="22"/>
        </w:rPr>
        <w:t xml:space="preserve">II. és III. </w:t>
      </w:r>
      <w:r w:rsidR="002E6AB9" w:rsidRPr="00183B5F">
        <w:rPr>
          <w:szCs w:val="22"/>
        </w:rPr>
        <w:t>f</w:t>
      </w:r>
      <w:r w:rsidRPr="00183B5F">
        <w:rPr>
          <w:szCs w:val="22"/>
        </w:rPr>
        <w:t>ázis</w:t>
      </w:r>
      <w:r w:rsidR="00B52567" w:rsidRPr="00183B5F">
        <w:rPr>
          <w:szCs w:val="22"/>
        </w:rPr>
        <w:t>ú</w:t>
      </w:r>
      <w:r w:rsidRPr="00183B5F">
        <w:rPr>
          <w:szCs w:val="22"/>
        </w:rPr>
        <w:t xml:space="preserve"> psoriasis vizsgálatban részt</w:t>
      </w:r>
      <w:r w:rsidR="00B52567" w:rsidRPr="00183B5F">
        <w:rPr>
          <w:szCs w:val="22"/>
        </w:rPr>
        <w:t xml:space="preserve"> </w:t>
      </w:r>
      <w:r w:rsidRPr="00183B5F">
        <w:rPr>
          <w:szCs w:val="22"/>
        </w:rPr>
        <w:t>vevő beteg alkalmas volt egy nyílt elrendezésű kiterjesztéses vizsgálatba való beválogatásra, amelyben a Humira</w:t>
      </w:r>
      <w:r w:rsidRPr="00183B5F">
        <w:rPr>
          <w:szCs w:val="22"/>
        </w:rPr>
        <w:noBreakHyphen/>
        <w:t>t legalább további 108 héten át adták.</w:t>
      </w:r>
    </w:p>
    <w:p w14:paraId="72B19DBF" w14:textId="77777777" w:rsidR="00764497" w:rsidRPr="00183B5F" w:rsidRDefault="00764497" w:rsidP="004062FE">
      <w:pPr>
        <w:spacing w:line="240" w:lineRule="auto"/>
        <w:rPr>
          <w:szCs w:val="22"/>
        </w:rPr>
      </w:pPr>
    </w:p>
    <w:p w14:paraId="22FDAE83" w14:textId="77777777" w:rsidR="00764497" w:rsidRPr="00183B5F" w:rsidRDefault="00943743" w:rsidP="004062FE">
      <w:pPr>
        <w:spacing w:line="240" w:lineRule="auto"/>
        <w:rPr>
          <w:szCs w:val="22"/>
        </w:rPr>
      </w:pPr>
      <w:r w:rsidRPr="00183B5F">
        <w:rPr>
          <w:szCs w:val="22"/>
        </w:rPr>
        <w:t xml:space="preserve">A Psoriasis I és II vizsgálatokban az elsődleges végpont azon betegek aránya volt, akik a kiindulási időponttól a 16. hétig PASI 75 választ értek el (lásd </w:t>
      </w:r>
      <w:r w:rsidR="00E5175A" w:rsidRPr="00183B5F">
        <w:rPr>
          <w:szCs w:val="22"/>
        </w:rPr>
        <w:t>9</w:t>
      </w:r>
      <w:r w:rsidRPr="00183B5F">
        <w:rPr>
          <w:szCs w:val="22"/>
        </w:rPr>
        <w:t xml:space="preserve">. és </w:t>
      </w:r>
      <w:r w:rsidR="00E5175A" w:rsidRPr="00183B5F">
        <w:rPr>
          <w:szCs w:val="22"/>
        </w:rPr>
        <w:t>10</w:t>
      </w:r>
      <w:r w:rsidRPr="00183B5F">
        <w:rPr>
          <w:szCs w:val="22"/>
        </w:rPr>
        <w:t>. táblázat).</w:t>
      </w:r>
    </w:p>
    <w:p w14:paraId="791C9075" w14:textId="77777777" w:rsidR="00764497" w:rsidRPr="00183B5F" w:rsidRDefault="00764497">
      <w:pPr>
        <w:pStyle w:val="DefaultText"/>
        <w:keepNext/>
        <w:rPr>
          <w:rFonts w:ascii="Times New Roman" w:hAnsi="Times New Roman"/>
          <w:szCs w:val="22"/>
          <w:lang w:val="hu-HU"/>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620"/>
        <w:gridCol w:w="2352"/>
      </w:tblGrid>
      <w:tr w:rsidR="00011D2F" w14:paraId="2CD2A16A" w14:textId="77777777" w:rsidTr="00764497">
        <w:trPr>
          <w:cantSplit/>
          <w:jc w:val="center"/>
        </w:trPr>
        <w:tc>
          <w:tcPr>
            <w:tcW w:w="6949" w:type="dxa"/>
            <w:gridSpan w:val="3"/>
            <w:tcBorders>
              <w:top w:val="nil"/>
              <w:left w:val="nil"/>
              <w:right w:val="nil"/>
            </w:tcBorders>
          </w:tcPr>
          <w:p w14:paraId="57DED389" w14:textId="77777777" w:rsidR="00764497" w:rsidRPr="00183B5F" w:rsidRDefault="00943743">
            <w:pPr>
              <w:pStyle w:val="DefaultText"/>
              <w:keepNext/>
              <w:jc w:val="center"/>
              <w:rPr>
                <w:rFonts w:ascii="Times New Roman" w:hAnsi="Times New Roman"/>
                <w:b/>
                <w:bCs w:val="0"/>
                <w:szCs w:val="22"/>
                <w:lang w:val="hu-HU"/>
              </w:rPr>
            </w:pPr>
            <w:r w:rsidRPr="00183B5F">
              <w:rPr>
                <w:rFonts w:ascii="Times New Roman" w:hAnsi="Times New Roman"/>
                <w:b/>
                <w:bCs w:val="0"/>
                <w:szCs w:val="22"/>
                <w:lang w:val="hu-HU"/>
              </w:rPr>
              <w:t xml:space="preserve">9. táblázat </w:t>
            </w:r>
          </w:p>
          <w:p w14:paraId="1A661280" w14:textId="77777777" w:rsidR="00764497" w:rsidRPr="00183B5F" w:rsidRDefault="00943743">
            <w:pPr>
              <w:pStyle w:val="DefaultText"/>
              <w:keepNext/>
              <w:jc w:val="center"/>
              <w:rPr>
                <w:rFonts w:ascii="Times New Roman" w:hAnsi="Times New Roman"/>
                <w:b/>
                <w:bCs w:val="0"/>
                <w:szCs w:val="22"/>
                <w:lang w:val="hu-HU"/>
              </w:rPr>
            </w:pPr>
            <w:r w:rsidRPr="00183B5F">
              <w:rPr>
                <w:rFonts w:ascii="Times New Roman" w:hAnsi="Times New Roman"/>
                <w:b/>
                <w:bCs w:val="0"/>
                <w:szCs w:val="22"/>
                <w:lang w:val="hu-HU"/>
              </w:rPr>
              <w:t>Psoriasis I (REVEAL) vizsgálat</w:t>
            </w:r>
          </w:p>
          <w:p w14:paraId="58E08946" w14:textId="77777777" w:rsidR="00764497" w:rsidRPr="00183B5F" w:rsidRDefault="00943743">
            <w:pPr>
              <w:pStyle w:val="DefaultText"/>
              <w:keepNext/>
              <w:jc w:val="center"/>
              <w:rPr>
                <w:rFonts w:ascii="Times New Roman" w:hAnsi="Times New Roman"/>
                <w:b/>
                <w:bCs w:val="0"/>
                <w:szCs w:val="22"/>
                <w:lang w:val="hu-HU"/>
              </w:rPr>
            </w:pPr>
            <w:r w:rsidRPr="00183B5F">
              <w:rPr>
                <w:rFonts w:ascii="Times New Roman" w:hAnsi="Times New Roman"/>
                <w:b/>
                <w:bCs w:val="0"/>
                <w:szCs w:val="22"/>
                <w:lang w:val="hu-HU"/>
              </w:rPr>
              <w:t xml:space="preserve">Hatékonysági eredmények a 16. héten </w:t>
            </w:r>
          </w:p>
          <w:p w14:paraId="38FF14ED" w14:textId="77777777" w:rsidR="00764497" w:rsidRPr="00183B5F" w:rsidRDefault="00764497">
            <w:pPr>
              <w:pStyle w:val="DefaultText"/>
              <w:keepNext/>
              <w:jc w:val="center"/>
              <w:rPr>
                <w:rFonts w:ascii="Times New Roman" w:hAnsi="Times New Roman"/>
                <w:b/>
                <w:bCs w:val="0"/>
                <w:szCs w:val="22"/>
                <w:u w:val="single"/>
                <w:lang w:val="hu-HU"/>
              </w:rPr>
            </w:pPr>
          </w:p>
        </w:tc>
      </w:tr>
      <w:tr w:rsidR="00011D2F" w14:paraId="02B79FBE" w14:textId="77777777" w:rsidTr="00764497">
        <w:trPr>
          <w:cantSplit/>
          <w:jc w:val="center"/>
        </w:trPr>
        <w:tc>
          <w:tcPr>
            <w:tcW w:w="2977" w:type="dxa"/>
            <w:vAlign w:val="center"/>
          </w:tcPr>
          <w:p w14:paraId="278726C4" w14:textId="77777777" w:rsidR="00764497" w:rsidRPr="00183B5F" w:rsidRDefault="00764497">
            <w:pPr>
              <w:pStyle w:val="DefaultText"/>
              <w:keepNext/>
              <w:rPr>
                <w:rFonts w:ascii="Times New Roman" w:hAnsi="Times New Roman"/>
                <w:b/>
                <w:bCs w:val="0"/>
                <w:szCs w:val="22"/>
                <w:lang w:val="hu-HU"/>
              </w:rPr>
            </w:pPr>
          </w:p>
        </w:tc>
        <w:tc>
          <w:tcPr>
            <w:tcW w:w="1620" w:type="dxa"/>
            <w:vAlign w:val="center"/>
          </w:tcPr>
          <w:p w14:paraId="06E6FD15" w14:textId="77777777" w:rsidR="00764497"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Placebo</w:t>
            </w:r>
          </w:p>
          <w:p w14:paraId="6687B3DE" w14:textId="77777777" w:rsidR="00764497"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N = 398</w:t>
            </w:r>
          </w:p>
          <w:p w14:paraId="7F0C300C" w14:textId="77777777" w:rsidR="00764497"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n (%)</w:t>
            </w:r>
          </w:p>
        </w:tc>
        <w:tc>
          <w:tcPr>
            <w:tcW w:w="2352" w:type="dxa"/>
            <w:vAlign w:val="center"/>
          </w:tcPr>
          <w:p w14:paraId="119C4BDA" w14:textId="77777777" w:rsidR="00764497"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 xml:space="preserve">Humira 40 mg </w:t>
            </w:r>
          </w:p>
          <w:p w14:paraId="341697AE" w14:textId="77777777" w:rsidR="00764497"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minden második héten</w:t>
            </w:r>
          </w:p>
          <w:p w14:paraId="61C5AB80" w14:textId="77777777" w:rsidR="00764497"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N = 814</w:t>
            </w:r>
          </w:p>
          <w:p w14:paraId="77513DAA" w14:textId="77777777" w:rsidR="00764497"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n (%)</w:t>
            </w:r>
          </w:p>
        </w:tc>
      </w:tr>
      <w:tr w:rsidR="00011D2F" w14:paraId="0AFF9EF8" w14:textId="77777777" w:rsidTr="00764497">
        <w:trPr>
          <w:cantSplit/>
          <w:jc w:val="center"/>
        </w:trPr>
        <w:tc>
          <w:tcPr>
            <w:tcW w:w="2977" w:type="dxa"/>
          </w:tcPr>
          <w:p w14:paraId="5977EE99" w14:textId="77777777" w:rsidR="00764497" w:rsidRPr="00183B5F" w:rsidRDefault="00943743">
            <w:pPr>
              <w:pStyle w:val="DefaultText"/>
              <w:keepNext/>
              <w:rPr>
                <w:rFonts w:ascii="Times New Roman" w:hAnsi="Times New Roman"/>
                <w:b/>
                <w:lang w:val="hu-HU"/>
              </w:rPr>
            </w:pPr>
            <w:r w:rsidRPr="00183B5F">
              <w:rPr>
                <w:rFonts w:ascii="Times New Roman" w:hAnsi="Times New Roman"/>
                <w:b/>
                <w:lang w:val="hu-HU"/>
              </w:rPr>
              <w:t xml:space="preserve">    </w:t>
            </w:r>
            <w:r w:rsidRPr="00183B5F">
              <w:rPr>
                <w:rFonts w:ascii="Symbol" w:hAnsi="Symbol"/>
                <w:b/>
                <w:lang w:val="hu-HU"/>
              </w:rPr>
              <w:sym w:font="Symbol" w:char="F0B3"/>
            </w:r>
            <w:r w:rsidRPr="00183B5F">
              <w:rPr>
                <w:rFonts w:ascii="Times New Roman" w:hAnsi="Times New Roman"/>
                <w:b/>
                <w:lang w:val="hu-HU"/>
              </w:rPr>
              <w:t xml:space="preserve"> PASI 75</w:t>
            </w:r>
            <w:r w:rsidRPr="00183B5F">
              <w:rPr>
                <w:rFonts w:ascii="Times New Roman" w:hAnsi="Times New Roman"/>
                <w:b/>
                <w:vertAlign w:val="superscript"/>
                <w:lang w:val="hu-HU"/>
              </w:rPr>
              <w:t>a</w:t>
            </w:r>
          </w:p>
        </w:tc>
        <w:tc>
          <w:tcPr>
            <w:tcW w:w="1620" w:type="dxa"/>
          </w:tcPr>
          <w:p w14:paraId="690954B9" w14:textId="77777777" w:rsidR="00764497" w:rsidRPr="00183B5F" w:rsidRDefault="00943743">
            <w:pPr>
              <w:pStyle w:val="DefaultText"/>
              <w:keepNext/>
              <w:jc w:val="center"/>
              <w:rPr>
                <w:rFonts w:ascii="Times New Roman" w:hAnsi="Times New Roman"/>
                <w:lang w:val="hu-HU"/>
              </w:rPr>
            </w:pPr>
            <w:r w:rsidRPr="00183B5F">
              <w:rPr>
                <w:rFonts w:ascii="Times New Roman" w:hAnsi="Times New Roman"/>
                <w:lang w:val="hu-HU"/>
              </w:rPr>
              <w:t>26 (6,5)</w:t>
            </w:r>
          </w:p>
        </w:tc>
        <w:tc>
          <w:tcPr>
            <w:tcW w:w="2352" w:type="dxa"/>
          </w:tcPr>
          <w:p w14:paraId="260438B1" w14:textId="77777777" w:rsidR="00764497" w:rsidRPr="00183B5F" w:rsidRDefault="00943743">
            <w:pPr>
              <w:pStyle w:val="DefaultText"/>
              <w:keepNext/>
              <w:jc w:val="center"/>
              <w:rPr>
                <w:rFonts w:ascii="Times New Roman" w:hAnsi="Times New Roman"/>
                <w:lang w:val="hu-HU"/>
              </w:rPr>
            </w:pPr>
            <w:r w:rsidRPr="00183B5F">
              <w:rPr>
                <w:rFonts w:ascii="Times New Roman" w:hAnsi="Times New Roman"/>
                <w:lang w:val="hu-HU"/>
              </w:rPr>
              <w:t>578 (70,9)</w:t>
            </w:r>
            <w:r w:rsidRPr="00183B5F">
              <w:rPr>
                <w:rFonts w:ascii="Times New Roman" w:hAnsi="Times New Roman"/>
                <w:vertAlign w:val="superscript"/>
                <w:lang w:val="hu-HU"/>
              </w:rPr>
              <w:t>b</w:t>
            </w:r>
          </w:p>
        </w:tc>
      </w:tr>
      <w:tr w:rsidR="00011D2F" w14:paraId="4195741B" w14:textId="77777777" w:rsidTr="00764497">
        <w:trPr>
          <w:cantSplit/>
          <w:trHeight w:val="70"/>
          <w:jc w:val="center"/>
        </w:trPr>
        <w:tc>
          <w:tcPr>
            <w:tcW w:w="2977" w:type="dxa"/>
          </w:tcPr>
          <w:p w14:paraId="0B823A35" w14:textId="77777777" w:rsidR="00764497" w:rsidRPr="00183B5F" w:rsidRDefault="00943743">
            <w:pPr>
              <w:pStyle w:val="DefaultText"/>
              <w:keepNext/>
              <w:rPr>
                <w:rFonts w:ascii="Times New Roman" w:hAnsi="Times New Roman"/>
                <w:b/>
                <w:lang w:val="hu-HU"/>
              </w:rPr>
            </w:pPr>
            <w:r w:rsidRPr="00183B5F">
              <w:rPr>
                <w:rFonts w:ascii="Times New Roman" w:hAnsi="Times New Roman"/>
                <w:b/>
                <w:lang w:val="hu-HU"/>
              </w:rPr>
              <w:t xml:space="preserve">    PASI 100</w:t>
            </w:r>
          </w:p>
        </w:tc>
        <w:tc>
          <w:tcPr>
            <w:tcW w:w="1620" w:type="dxa"/>
          </w:tcPr>
          <w:p w14:paraId="1DFFB9E1" w14:textId="77777777" w:rsidR="00764497" w:rsidRPr="00183B5F" w:rsidRDefault="00943743">
            <w:pPr>
              <w:pStyle w:val="DefaultText"/>
              <w:keepNext/>
              <w:jc w:val="center"/>
              <w:rPr>
                <w:rFonts w:ascii="Times New Roman" w:hAnsi="Times New Roman"/>
                <w:lang w:val="hu-HU"/>
              </w:rPr>
            </w:pPr>
            <w:r w:rsidRPr="00183B5F">
              <w:rPr>
                <w:rFonts w:ascii="Times New Roman" w:hAnsi="Times New Roman"/>
                <w:lang w:val="hu-HU"/>
              </w:rPr>
              <w:t>3 (0,8)</w:t>
            </w:r>
          </w:p>
        </w:tc>
        <w:tc>
          <w:tcPr>
            <w:tcW w:w="2352" w:type="dxa"/>
          </w:tcPr>
          <w:p w14:paraId="768AB02C" w14:textId="77777777" w:rsidR="00764497" w:rsidRPr="00183B5F" w:rsidRDefault="00943743">
            <w:pPr>
              <w:pStyle w:val="DefaultText"/>
              <w:keepNext/>
              <w:jc w:val="center"/>
              <w:rPr>
                <w:rFonts w:ascii="Times New Roman" w:hAnsi="Times New Roman"/>
                <w:lang w:val="hu-HU"/>
              </w:rPr>
            </w:pPr>
            <w:r w:rsidRPr="00183B5F">
              <w:rPr>
                <w:rFonts w:ascii="Times New Roman" w:hAnsi="Times New Roman"/>
                <w:lang w:val="hu-HU"/>
              </w:rPr>
              <w:t>163 (20,0)</w:t>
            </w:r>
            <w:r w:rsidRPr="00183B5F">
              <w:rPr>
                <w:rFonts w:ascii="Times New Roman" w:hAnsi="Times New Roman"/>
                <w:vertAlign w:val="superscript"/>
                <w:lang w:val="hu-HU"/>
              </w:rPr>
              <w:t>b</w:t>
            </w:r>
          </w:p>
        </w:tc>
      </w:tr>
      <w:tr w:rsidR="00011D2F" w14:paraId="061EA733" w14:textId="77777777" w:rsidTr="00764497">
        <w:trPr>
          <w:cantSplit/>
          <w:jc w:val="center"/>
        </w:trPr>
        <w:tc>
          <w:tcPr>
            <w:tcW w:w="2977" w:type="dxa"/>
          </w:tcPr>
          <w:p w14:paraId="1D940DD9" w14:textId="77777777" w:rsidR="00764497" w:rsidRPr="00183B5F" w:rsidRDefault="00943743">
            <w:pPr>
              <w:pStyle w:val="DefaultText"/>
              <w:keepNext/>
              <w:rPr>
                <w:rFonts w:ascii="Times New Roman" w:hAnsi="Times New Roman"/>
                <w:b/>
                <w:lang w:val="hu-HU"/>
              </w:rPr>
            </w:pPr>
            <w:r w:rsidRPr="00183B5F">
              <w:rPr>
                <w:rFonts w:ascii="Times New Roman" w:hAnsi="Times New Roman"/>
                <w:b/>
                <w:lang w:val="hu-HU"/>
              </w:rPr>
              <w:t xml:space="preserve">    PGA: tiszta/minimális</w:t>
            </w:r>
          </w:p>
        </w:tc>
        <w:tc>
          <w:tcPr>
            <w:tcW w:w="1620" w:type="dxa"/>
          </w:tcPr>
          <w:p w14:paraId="53E3EFBC" w14:textId="77777777" w:rsidR="00764497" w:rsidRPr="00183B5F" w:rsidRDefault="00943743">
            <w:pPr>
              <w:pStyle w:val="DefaultText"/>
              <w:keepNext/>
              <w:jc w:val="center"/>
              <w:rPr>
                <w:rFonts w:ascii="Times New Roman" w:hAnsi="Times New Roman"/>
                <w:lang w:val="hu-HU"/>
              </w:rPr>
            </w:pPr>
            <w:r w:rsidRPr="00183B5F">
              <w:rPr>
                <w:rFonts w:ascii="Times New Roman" w:hAnsi="Times New Roman"/>
                <w:lang w:val="hu-HU"/>
              </w:rPr>
              <w:t>17 (4,3)</w:t>
            </w:r>
          </w:p>
        </w:tc>
        <w:tc>
          <w:tcPr>
            <w:tcW w:w="2352" w:type="dxa"/>
          </w:tcPr>
          <w:p w14:paraId="6A70D816" w14:textId="77777777" w:rsidR="00764497" w:rsidRPr="00183B5F" w:rsidRDefault="00943743">
            <w:pPr>
              <w:pStyle w:val="DefaultText"/>
              <w:keepNext/>
              <w:jc w:val="center"/>
              <w:rPr>
                <w:rFonts w:ascii="Times New Roman" w:hAnsi="Times New Roman"/>
                <w:lang w:val="hu-HU"/>
              </w:rPr>
            </w:pPr>
            <w:r w:rsidRPr="00183B5F">
              <w:rPr>
                <w:rFonts w:ascii="Times New Roman" w:hAnsi="Times New Roman"/>
                <w:lang w:val="hu-HU"/>
              </w:rPr>
              <w:t>506 (62,2)</w:t>
            </w:r>
            <w:r w:rsidRPr="00183B5F">
              <w:rPr>
                <w:rFonts w:ascii="Times New Roman" w:hAnsi="Times New Roman"/>
                <w:vertAlign w:val="superscript"/>
                <w:lang w:val="hu-HU"/>
              </w:rPr>
              <w:t>b</w:t>
            </w:r>
          </w:p>
        </w:tc>
      </w:tr>
      <w:tr w:rsidR="00011D2F" w14:paraId="0EE6E21C" w14:textId="77777777" w:rsidTr="00764497">
        <w:trPr>
          <w:cantSplit/>
          <w:jc w:val="center"/>
        </w:trPr>
        <w:tc>
          <w:tcPr>
            <w:tcW w:w="6949" w:type="dxa"/>
            <w:gridSpan w:val="3"/>
          </w:tcPr>
          <w:p w14:paraId="610115E2" w14:textId="77777777" w:rsidR="00764497" w:rsidRPr="00183B5F" w:rsidRDefault="00943743">
            <w:pPr>
              <w:pStyle w:val="DefaultText"/>
              <w:keepNext/>
              <w:rPr>
                <w:rFonts w:ascii="Times New Roman" w:hAnsi="Times New Roman"/>
                <w:szCs w:val="22"/>
                <w:lang w:val="hu-HU"/>
              </w:rPr>
            </w:pPr>
            <w:r w:rsidRPr="00183B5F">
              <w:rPr>
                <w:rFonts w:ascii="Times New Roman" w:hAnsi="Times New Roman"/>
                <w:szCs w:val="22"/>
                <w:vertAlign w:val="superscript"/>
                <w:lang w:val="hu-HU"/>
              </w:rPr>
              <w:t>a</w:t>
            </w:r>
            <w:r w:rsidRPr="00183B5F">
              <w:rPr>
                <w:rFonts w:ascii="Times New Roman" w:hAnsi="Times New Roman"/>
                <w:szCs w:val="22"/>
                <w:lang w:val="hu-HU"/>
              </w:rPr>
              <w:t xml:space="preserve"> A PASI 75 választ elért betegek százalékos aránya középértékre korrigált arány formájában került kiszámításra</w:t>
            </w:r>
          </w:p>
          <w:p w14:paraId="01B16E73" w14:textId="77777777" w:rsidR="00764497" w:rsidRPr="00183B5F" w:rsidRDefault="00943743">
            <w:pPr>
              <w:pStyle w:val="DefaultText"/>
              <w:keepNext/>
              <w:rPr>
                <w:rFonts w:ascii="Times New Roman" w:hAnsi="Times New Roman"/>
                <w:lang w:val="hu-HU"/>
              </w:rPr>
            </w:pPr>
            <w:r w:rsidRPr="00183B5F">
              <w:rPr>
                <w:rFonts w:ascii="Times New Roman" w:hAnsi="Times New Roman"/>
                <w:vertAlign w:val="superscript"/>
                <w:lang w:val="hu-HU"/>
              </w:rPr>
              <w:t>b</w:t>
            </w:r>
            <w:r w:rsidRPr="00183B5F">
              <w:rPr>
                <w:rFonts w:ascii="Times New Roman" w:hAnsi="Times New Roman"/>
                <w:lang w:val="hu-HU"/>
              </w:rPr>
              <w:t xml:space="preserve"> p &lt; 0,001, Humira vs. </w:t>
            </w:r>
            <w:r w:rsidR="00F455D3" w:rsidRPr="00183B5F">
              <w:rPr>
                <w:rFonts w:ascii="Times New Roman" w:hAnsi="Times New Roman"/>
                <w:lang w:val="hu-HU"/>
              </w:rPr>
              <w:t>p</w:t>
            </w:r>
            <w:r w:rsidRPr="00183B5F">
              <w:rPr>
                <w:rFonts w:ascii="Times New Roman" w:hAnsi="Times New Roman"/>
                <w:lang w:val="hu-HU"/>
              </w:rPr>
              <w:t>lacebo</w:t>
            </w:r>
          </w:p>
        </w:tc>
      </w:tr>
    </w:tbl>
    <w:p w14:paraId="4A7D05B8" w14:textId="77777777" w:rsidR="00764497" w:rsidRPr="00183B5F" w:rsidRDefault="00764497" w:rsidP="004062FE">
      <w:pPr>
        <w:pStyle w:val="BodyText3"/>
        <w:spacing w:line="240" w:lineRule="auto"/>
        <w:rPr>
          <w:b/>
          <w:i/>
          <w:sz w:val="22"/>
          <w:lang w:val="hu-HU"/>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9"/>
        <w:gridCol w:w="1645"/>
        <w:gridCol w:w="1344"/>
        <w:gridCol w:w="2348"/>
      </w:tblGrid>
      <w:tr w:rsidR="00011D2F" w14:paraId="62E3FB63" w14:textId="77777777" w:rsidTr="00764497">
        <w:trPr>
          <w:cantSplit/>
          <w:jc w:val="center"/>
        </w:trPr>
        <w:tc>
          <w:tcPr>
            <w:tcW w:w="7046" w:type="dxa"/>
            <w:gridSpan w:val="4"/>
            <w:tcBorders>
              <w:top w:val="nil"/>
              <w:left w:val="nil"/>
              <w:right w:val="nil"/>
            </w:tcBorders>
          </w:tcPr>
          <w:p w14:paraId="39514181" w14:textId="77777777" w:rsidR="00764497"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 xml:space="preserve">10. táblázat </w:t>
            </w:r>
          </w:p>
          <w:p w14:paraId="7D4ACDA6" w14:textId="77777777" w:rsidR="00764497"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Psoriasis II (CHAMPION) vizsgálat</w:t>
            </w:r>
          </w:p>
          <w:p w14:paraId="39C046B3" w14:textId="77777777" w:rsidR="00764497"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Hatékonysági eredmények a 16. héten</w:t>
            </w:r>
          </w:p>
          <w:p w14:paraId="2065225D" w14:textId="77777777" w:rsidR="00764497" w:rsidRPr="00183B5F" w:rsidRDefault="00764497">
            <w:pPr>
              <w:pStyle w:val="DefaultText"/>
              <w:keepNext/>
              <w:jc w:val="center"/>
              <w:rPr>
                <w:rFonts w:ascii="Times New Roman" w:hAnsi="Times New Roman"/>
                <w:u w:val="single"/>
                <w:lang w:val="hu-HU"/>
              </w:rPr>
            </w:pPr>
          </w:p>
        </w:tc>
      </w:tr>
      <w:tr w:rsidR="00011D2F" w14:paraId="2C37D6C3" w14:textId="77777777" w:rsidTr="00764497">
        <w:trPr>
          <w:cantSplit/>
          <w:jc w:val="center"/>
        </w:trPr>
        <w:tc>
          <w:tcPr>
            <w:tcW w:w="1639" w:type="dxa"/>
          </w:tcPr>
          <w:p w14:paraId="5F2FE83E" w14:textId="77777777" w:rsidR="00764497" w:rsidRPr="00183B5F" w:rsidRDefault="00764497">
            <w:pPr>
              <w:pStyle w:val="DefaultText"/>
              <w:keepNext/>
              <w:jc w:val="center"/>
              <w:rPr>
                <w:rFonts w:ascii="Times New Roman" w:hAnsi="Times New Roman"/>
                <w:b/>
                <w:lang w:val="hu-HU"/>
              </w:rPr>
            </w:pPr>
          </w:p>
        </w:tc>
        <w:tc>
          <w:tcPr>
            <w:tcW w:w="1668" w:type="dxa"/>
            <w:vAlign w:val="center"/>
          </w:tcPr>
          <w:p w14:paraId="4BED8636" w14:textId="77777777" w:rsidR="00764497"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Placebo</w:t>
            </w:r>
          </w:p>
          <w:p w14:paraId="7242B0D6" w14:textId="77777777" w:rsidR="00764497"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N = 53</w:t>
            </w:r>
          </w:p>
          <w:p w14:paraId="0386FF2D" w14:textId="77777777" w:rsidR="00764497"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n (%)</w:t>
            </w:r>
          </w:p>
        </w:tc>
        <w:tc>
          <w:tcPr>
            <w:tcW w:w="1347" w:type="dxa"/>
            <w:vAlign w:val="center"/>
          </w:tcPr>
          <w:p w14:paraId="6CF81785" w14:textId="77777777" w:rsidR="00764497"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Metotrexát</w:t>
            </w:r>
          </w:p>
          <w:p w14:paraId="04AB2FAC" w14:textId="77777777" w:rsidR="00764497"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N = 110</w:t>
            </w:r>
          </w:p>
          <w:p w14:paraId="365091C2" w14:textId="77777777" w:rsidR="00764497"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n (%)</w:t>
            </w:r>
          </w:p>
        </w:tc>
        <w:tc>
          <w:tcPr>
            <w:tcW w:w="2392" w:type="dxa"/>
            <w:vAlign w:val="center"/>
          </w:tcPr>
          <w:p w14:paraId="4BF482C3" w14:textId="77777777" w:rsidR="00764497"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 xml:space="preserve">Humira 40 mg </w:t>
            </w:r>
          </w:p>
          <w:p w14:paraId="7E495105" w14:textId="77777777" w:rsidR="00764497"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minden második héten</w:t>
            </w:r>
          </w:p>
          <w:p w14:paraId="5DB63961" w14:textId="77777777" w:rsidR="00764497"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N = 108</w:t>
            </w:r>
          </w:p>
          <w:p w14:paraId="32C43527" w14:textId="77777777" w:rsidR="00764497" w:rsidRPr="00183B5F" w:rsidRDefault="00943743">
            <w:pPr>
              <w:pStyle w:val="DefaultText"/>
              <w:keepNext/>
              <w:jc w:val="center"/>
              <w:rPr>
                <w:rFonts w:ascii="Times New Roman" w:hAnsi="Times New Roman"/>
                <w:b/>
                <w:lang w:val="hu-HU"/>
              </w:rPr>
            </w:pPr>
            <w:r w:rsidRPr="00183B5F">
              <w:rPr>
                <w:rFonts w:ascii="Times New Roman" w:hAnsi="Times New Roman"/>
                <w:b/>
                <w:lang w:val="hu-HU"/>
              </w:rPr>
              <w:t>n (%)</w:t>
            </w:r>
          </w:p>
        </w:tc>
      </w:tr>
      <w:tr w:rsidR="00011D2F" w14:paraId="7260DE46" w14:textId="77777777" w:rsidTr="00764497">
        <w:trPr>
          <w:cantSplit/>
          <w:jc w:val="center"/>
        </w:trPr>
        <w:tc>
          <w:tcPr>
            <w:tcW w:w="1639" w:type="dxa"/>
          </w:tcPr>
          <w:p w14:paraId="7536B627" w14:textId="77777777" w:rsidR="00764497" w:rsidRPr="00183B5F" w:rsidRDefault="00943743">
            <w:pPr>
              <w:pStyle w:val="DefaultText"/>
              <w:keepNext/>
              <w:rPr>
                <w:rFonts w:ascii="Times New Roman" w:hAnsi="Times New Roman"/>
                <w:b/>
                <w:lang w:val="hu-HU"/>
              </w:rPr>
            </w:pPr>
            <w:r w:rsidRPr="00183B5F">
              <w:rPr>
                <w:rFonts w:ascii="Times New Roman" w:hAnsi="Times New Roman"/>
                <w:b/>
                <w:lang w:val="hu-HU"/>
              </w:rPr>
              <w:t xml:space="preserve">    </w:t>
            </w:r>
            <w:r w:rsidRPr="00183B5F">
              <w:rPr>
                <w:rFonts w:ascii="Symbol" w:hAnsi="Symbol"/>
                <w:b/>
                <w:lang w:val="hu-HU"/>
              </w:rPr>
              <w:sym w:font="Symbol" w:char="F0B3"/>
            </w:r>
            <w:r w:rsidRPr="00183B5F">
              <w:rPr>
                <w:rFonts w:ascii="Times New Roman" w:hAnsi="Times New Roman"/>
                <w:b/>
                <w:lang w:val="hu-HU"/>
              </w:rPr>
              <w:t>PASI 75</w:t>
            </w:r>
          </w:p>
        </w:tc>
        <w:tc>
          <w:tcPr>
            <w:tcW w:w="1668" w:type="dxa"/>
          </w:tcPr>
          <w:p w14:paraId="4EF6E2AA" w14:textId="77777777" w:rsidR="00764497" w:rsidRPr="00183B5F" w:rsidRDefault="00943743">
            <w:pPr>
              <w:pStyle w:val="DefaultText"/>
              <w:keepNext/>
              <w:jc w:val="center"/>
              <w:rPr>
                <w:rFonts w:ascii="Times New Roman" w:hAnsi="Times New Roman"/>
                <w:lang w:val="hu-HU"/>
              </w:rPr>
            </w:pPr>
            <w:r w:rsidRPr="00183B5F">
              <w:rPr>
                <w:rFonts w:ascii="Times New Roman" w:hAnsi="Times New Roman"/>
                <w:lang w:val="hu-HU"/>
              </w:rPr>
              <w:t>10 (18,9)</w:t>
            </w:r>
          </w:p>
        </w:tc>
        <w:tc>
          <w:tcPr>
            <w:tcW w:w="1347" w:type="dxa"/>
          </w:tcPr>
          <w:p w14:paraId="70626E32" w14:textId="77777777" w:rsidR="00764497" w:rsidRPr="00183B5F" w:rsidRDefault="00943743">
            <w:pPr>
              <w:pStyle w:val="DefaultText"/>
              <w:keepNext/>
              <w:jc w:val="center"/>
              <w:rPr>
                <w:rFonts w:ascii="Times New Roman" w:hAnsi="Times New Roman"/>
                <w:lang w:val="hu-HU"/>
              </w:rPr>
            </w:pPr>
            <w:r w:rsidRPr="00183B5F">
              <w:rPr>
                <w:rFonts w:ascii="Times New Roman" w:hAnsi="Times New Roman"/>
                <w:lang w:val="hu-HU"/>
              </w:rPr>
              <w:t>39 (35,5)</w:t>
            </w:r>
          </w:p>
        </w:tc>
        <w:tc>
          <w:tcPr>
            <w:tcW w:w="2392" w:type="dxa"/>
          </w:tcPr>
          <w:p w14:paraId="0B2A5739" w14:textId="77777777" w:rsidR="00764497" w:rsidRPr="00183B5F" w:rsidRDefault="00943743">
            <w:pPr>
              <w:pStyle w:val="DefaultText"/>
              <w:keepNext/>
              <w:jc w:val="center"/>
              <w:rPr>
                <w:rFonts w:ascii="Times New Roman" w:hAnsi="Times New Roman"/>
                <w:lang w:val="hu-HU"/>
              </w:rPr>
            </w:pPr>
            <w:r w:rsidRPr="00183B5F">
              <w:rPr>
                <w:rFonts w:ascii="Times New Roman" w:hAnsi="Times New Roman"/>
                <w:lang w:val="hu-HU"/>
              </w:rPr>
              <w:t>86 (79,6)</w:t>
            </w:r>
            <w:r w:rsidRPr="00183B5F">
              <w:rPr>
                <w:rFonts w:ascii="Times New Roman" w:hAnsi="Times New Roman"/>
                <w:vertAlign w:val="superscript"/>
                <w:lang w:val="hu-HU"/>
              </w:rPr>
              <w:t xml:space="preserve"> a, b</w:t>
            </w:r>
          </w:p>
        </w:tc>
      </w:tr>
      <w:tr w:rsidR="00011D2F" w14:paraId="2F37EF90" w14:textId="77777777" w:rsidTr="00764497">
        <w:trPr>
          <w:cantSplit/>
          <w:jc w:val="center"/>
        </w:trPr>
        <w:tc>
          <w:tcPr>
            <w:tcW w:w="1639" w:type="dxa"/>
          </w:tcPr>
          <w:p w14:paraId="093C28F5" w14:textId="77777777" w:rsidR="00764497" w:rsidRPr="00183B5F" w:rsidRDefault="00943743">
            <w:pPr>
              <w:pStyle w:val="DefaultText"/>
              <w:keepNext/>
              <w:rPr>
                <w:rFonts w:ascii="Times New Roman" w:hAnsi="Times New Roman"/>
                <w:b/>
                <w:lang w:val="hu-HU"/>
              </w:rPr>
            </w:pPr>
            <w:r w:rsidRPr="00183B5F">
              <w:rPr>
                <w:rFonts w:ascii="Times New Roman" w:hAnsi="Times New Roman"/>
                <w:b/>
                <w:lang w:val="hu-HU"/>
              </w:rPr>
              <w:t xml:space="preserve">    PASI 100</w:t>
            </w:r>
          </w:p>
        </w:tc>
        <w:tc>
          <w:tcPr>
            <w:tcW w:w="1668" w:type="dxa"/>
          </w:tcPr>
          <w:p w14:paraId="63FBE67D" w14:textId="77777777" w:rsidR="00764497" w:rsidRPr="00183B5F" w:rsidRDefault="00943743">
            <w:pPr>
              <w:pStyle w:val="DefaultText"/>
              <w:keepNext/>
              <w:jc w:val="center"/>
              <w:rPr>
                <w:rFonts w:ascii="Times New Roman" w:hAnsi="Times New Roman"/>
                <w:lang w:val="hu-HU"/>
              </w:rPr>
            </w:pPr>
            <w:r w:rsidRPr="00183B5F">
              <w:rPr>
                <w:rFonts w:ascii="Times New Roman" w:hAnsi="Times New Roman"/>
                <w:lang w:val="hu-HU"/>
              </w:rPr>
              <w:t>1 (1,9)</w:t>
            </w:r>
          </w:p>
        </w:tc>
        <w:tc>
          <w:tcPr>
            <w:tcW w:w="1347" w:type="dxa"/>
          </w:tcPr>
          <w:p w14:paraId="51C63F0C" w14:textId="77777777" w:rsidR="00764497" w:rsidRPr="00183B5F" w:rsidRDefault="00943743">
            <w:pPr>
              <w:pStyle w:val="DefaultText"/>
              <w:keepNext/>
              <w:jc w:val="center"/>
              <w:rPr>
                <w:rFonts w:ascii="Times New Roman" w:hAnsi="Times New Roman"/>
                <w:lang w:val="hu-HU"/>
              </w:rPr>
            </w:pPr>
            <w:r w:rsidRPr="00183B5F">
              <w:rPr>
                <w:rFonts w:ascii="Times New Roman" w:hAnsi="Times New Roman"/>
                <w:lang w:val="hu-HU"/>
              </w:rPr>
              <w:t>8 (7,3)</w:t>
            </w:r>
          </w:p>
        </w:tc>
        <w:tc>
          <w:tcPr>
            <w:tcW w:w="2392" w:type="dxa"/>
          </w:tcPr>
          <w:p w14:paraId="3D6D8FF1" w14:textId="77777777" w:rsidR="00764497" w:rsidRPr="00183B5F" w:rsidRDefault="00943743">
            <w:pPr>
              <w:pStyle w:val="DefaultText"/>
              <w:keepNext/>
              <w:jc w:val="center"/>
              <w:rPr>
                <w:rFonts w:ascii="Times New Roman" w:hAnsi="Times New Roman"/>
                <w:lang w:val="hu-HU"/>
              </w:rPr>
            </w:pPr>
            <w:r w:rsidRPr="00183B5F">
              <w:rPr>
                <w:rFonts w:ascii="Times New Roman" w:hAnsi="Times New Roman"/>
                <w:lang w:val="hu-HU"/>
              </w:rPr>
              <w:t>18 (16,7)</w:t>
            </w:r>
            <w:r w:rsidRPr="00183B5F">
              <w:rPr>
                <w:rFonts w:ascii="Times New Roman" w:hAnsi="Times New Roman"/>
                <w:vertAlign w:val="superscript"/>
                <w:lang w:val="hu-HU"/>
              </w:rPr>
              <w:t xml:space="preserve"> c, d</w:t>
            </w:r>
          </w:p>
        </w:tc>
      </w:tr>
      <w:tr w:rsidR="00011D2F" w14:paraId="5BC96C20" w14:textId="77777777" w:rsidTr="00764497">
        <w:trPr>
          <w:cantSplit/>
          <w:jc w:val="center"/>
        </w:trPr>
        <w:tc>
          <w:tcPr>
            <w:tcW w:w="1639" w:type="dxa"/>
          </w:tcPr>
          <w:p w14:paraId="0FEE2714" w14:textId="77777777" w:rsidR="00764497" w:rsidRPr="00183B5F" w:rsidRDefault="00943743">
            <w:pPr>
              <w:pStyle w:val="DefaultText"/>
              <w:keepNext/>
              <w:rPr>
                <w:rFonts w:ascii="Times New Roman" w:hAnsi="Times New Roman"/>
                <w:b/>
                <w:lang w:val="hu-HU"/>
              </w:rPr>
            </w:pPr>
            <w:r w:rsidRPr="00183B5F">
              <w:rPr>
                <w:rFonts w:ascii="Times New Roman" w:hAnsi="Times New Roman"/>
                <w:b/>
                <w:lang w:val="hu-HU"/>
              </w:rPr>
              <w:t xml:space="preserve">    PGA: tiszta/minimális</w:t>
            </w:r>
          </w:p>
        </w:tc>
        <w:tc>
          <w:tcPr>
            <w:tcW w:w="1668" w:type="dxa"/>
          </w:tcPr>
          <w:p w14:paraId="3E5DF3D8" w14:textId="77777777" w:rsidR="00764497" w:rsidRPr="00183B5F" w:rsidRDefault="00943743">
            <w:pPr>
              <w:pStyle w:val="DefaultText"/>
              <w:keepNext/>
              <w:jc w:val="center"/>
              <w:rPr>
                <w:rFonts w:ascii="Times New Roman" w:hAnsi="Times New Roman"/>
                <w:lang w:val="hu-HU"/>
              </w:rPr>
            </w:pPr>
            <w:r w:rsidRPr="00183B5F">
              <w:rPr>
                <w:rFonts w:ascii="Times New Roman" w:hAnsi="Times New Roman"/>
                <w:lang w:val="hu-HU"/>
              </w:rPr>
              <w:t>6 (11,3)</w:t>
            </w:r>
          </w:p>
        </w:tc>
        <w:tc>
          <w:tcPr>
            <w:tcW w:w="1347" w:type="dxa"/>
          </w:tcPr>
          <w:p w14:paraId="35608D8C" w14:textId="77777777" w:rsidR="00764497" w:rsidRPr="00183B5F" w:rsidRDefault="00943743">
            <w:pPr>
              <w:pStyle w:val="DefaultText"/>
              <w:keepNext/>
              <w:jc w:val="center"/>
              <w:rPr>
                <w:rFonts w:ascii="Times New Roman" w:hAnsi="Times New Roman"/>
                <w:lang w:val="hu-HU"/>
              </w:rPr>
            </w:pPr>
            <w:r w:rsidRPr="00183B5F">
              <w:rPr>
                <w:rFonts w:ascii="Times New Roman" w:hAnsi="Times New Roman"/>
                <w:lang w:val="hu-HU"/>
              </w:rPr>
              <w:t>33 (30,0)</w:t>
            </w:r>
          </w:p>
        </w:tc>
        <w:tc>
          <w:tcPr>
            <w:tcW w:w="2392" w:type="dxa"/>
          </w:tcPr>
          <w:p w14:paraId="5422F2CC" w14:textId="77777777" w:rsidR="00764497" w:rsidRPr="00183B5F" w:rsidRDefault="00943743">
            <w:pPr>
              <w:pStyle w:val="DefaultText"/>
              <w:keepNext/>
              <w:jc w:val="center"/>
              <w:rPr>
                <w:rFonts w:ascii="Times New Roman" w:hAnsi="Times New Roman"/>
                <w:lang w:val="hu-HU"/>
              </w:rPr>
            </w:pPr>
            <w:r w:rsidRPr="00183B5F">
              <w:rPr>
                <w:rFonts w:ascii="Times New Roman" w:hAnsi="Times New Roman"/>
                <w:lang w:val="hu-HU"/>
              </w:rPr>
              <w:t>79 (73,1)</w:t>
            </w:r>
            <w:r w:rsidRPr="00183B5F">
              <w:rPr>
                <w:rFonts w:ascii="Times New Roman" w:hAnsi="Times New Roman"/>
                <w:vertAlign w:val="superscript"/>
                <w:lang w:val="hu-HU"/>
              </w:rPr>
              <w:t xml:space="preserve"> a, b</w:t>
            </w:r>
          </w:p>
        </w:tc>
      </w:tr>
      <w:tr w:rsidR="00011D2F" w14:paraId="0646575B" w14:textId="77777777" w:rsidTr="00764497">
        <w:trPr>
          <w:cantSplit/>
          <w:jc w:val="center"/>
        </w:trPr>
        <w:tc>
          <w:tcPr>
            <w:tcW w:w="7046" w:type="dxa"/>
            <w:gridSpan w:val="4"/>
          </w:tcPr>
          <w:p w14:paraId="5945F6AB" w14:textId="77777777" w:rsidR="00764497" w:rsidRPr="00183B5F" w:rsidRDefault="00943743">
            <w:pPr>
              <w:pStyle w:val="DefaultText"/>
              <w:keepNext/>
              <w:rPr>
                <w:rFonts w:ascii="Times New Roman" w:hAnsi="Times New Roman"/>
                <w:szCs w:val="22"/>
                <w:lang w:val="hu-HU"/>
              </w:rPr>
            </w:pPr>
            <w:r w:rsidRPr="00183B5F">
              <w:rPr>
                <w:rFonts w:ascii="Times New Roman" w:hAnsi="Times New Roman"/>
                <w:szCs w:val="22"/>
                <w:vertAlign w:val="superscript"/>
                <w:lang w:val="hu-HU"/>
              </w:rPr>
              <w:t>a</w:t>
            </w:r>
            <w:r w:rsidRPr="00183B5F">
              <w:rPr>
                <w:rFonts w:ascii="Times New Roman" w:hAnsi="Times New Roman"/>
                <w:szCs w:val="22"/>
                <w:lang w:val="hu-HU"/>
              </w:rPr>
              <w:t xml:space="preserve"> p &lt; 0,001 Humira vs. placebo</w:t>
            </w:r>
          </w:p>
          <w:p w14:paraId="6C14DF4D" w14:textId="77777777" w:rsidR="00764497" w:rsidRPr="00183B5F" w:rsidRDefault="00943743">
            <w:pPr>
              <w:pStyle w:val="DefaultText"/>
              <w:keepNext/>
              <w:rPr>
                <w:rFonts w:ascii="Times New Roman" w:hAnsi="Times New Roman"/>
                <w:szCs w:val="22"/>
                <w:lang w:val="hu-HU"/>
              </w:rPr>
            </w:pPr>
            <w:r w:rsidRPr="00183B5F">
              <w:rPr>
                <w:rFonts w:ascii="Times New Roman" w:hAnsi="Times New Roman"/>
                <w:szCs w:val="22"/>
                <w:vertAlign w:val="superscript"/>
                <w:lang w:val="hu-HU"/>
              </w:rPr>
              <w:t>b</w:t>
            </w:r>
            <w:r w:rsidRPr="00183B5F">
              <w:rPr>
                <w:rFonts w:ascii="Times New Roman" w:hAnsi="Times New Roman"/>
                <w:szCs w:val="22"/>
                <w:lang w:val="hu-HU"/>
              </w:rPr>
              <w:t xml:space="preserve"> p &lt; 0,001 Humira vs. metotrexát</w:t>
            </w:r>
          </w:p>
          <w:p w14:paraId="77C77D5D" w14:textId="77777777" w:rsidR="00764497" w:rsidRPr="00183B5F" w:rsidRDefault="00943743">
            <w:pPr>
              <w:pStyle w:val="DefaultText"/>
              <w:keepNext/>
              <w:rPr>
                <w:rFonts w:ascii="Times New Roman" w:hAnsi="Times New Roman"/>
                <w:szCs w:val="22"/>
                <w:lang w:val="hu-HU"/>
              </w:rPr>
            </w:pPr>
            <w:r w:rsidRPr="00183B5F">
              <w:rPr>
                <w:rFonts w:ascii="Times New Roman" w:hAnsi="Times New Roman"/>
                <w:szCs w:val="22"/>
                <w:vertAlign w:val="superscript"/>
                <w:lang w:val="hu-HU"/>
              </w:rPr>
              <w:t>c</w:t>
            </w:r>
            <w:r w:rsidRPr="00183B5F">
              <w:rPr>
                <w:rFonts w:ascii="Times New Roman" w:hAnsi="Times New Roman"/>
                <w:szCs w:val="22"/>
                <w:lang w:val="hu-HU"/>
              </w:rPr>
              <w:t xml:space="preserve"> p &lt; 0,01 Humira vs. placebo</w:t>
            </w:r>
          </w:p>
          <w:p w14:paraId="3B21444F" w14:textId="77777777" w:rsidR="00764497" w:rsidRPr="00183B5F" w:rsidRDefault="00943743">
            <w:pPr>
              <w:pStyle w:val="DefaultText"/>
              <w:keepNext/>
              <w:rPr>
                <w:rFonts w:ascii="Times New Roman" w:hAnsi="Times New Roman"/>
                <w:szCs w:val="22"/>
                <w:lang w:val="hu-HU"/>
              </w:rPr>
            </w:pPr>
            <w:r w:rsidRPr="00183B5F">
              <w:rPr>
                <w:rFonts w:ascii="Times New Roman" w:hAnsi="Times New Roman"/>
                <w:szCs w:val="22"/>
                <w:vertAlign w:val="superscript"/>
                <w:lang w:val="hu-HU"/>
              </w:rPr>
              <w:t>d</w:t>
            </w:r>
            <w:r w:rsidRPr="00183B5F">
              <w:rPr>
                <w:rFonts w:ascii="Times New Roman" w:hAnsi="Times New Roman"/>
                <w:szCs w:val="22"/>
                <w:lang w:val="hu-HU"/>
              </w:rPr>
              <w:t xml:space="preserve"> p &lt; 0,05 Humira vs. metotrexát</w:t>
            </w:r>
          </w:p>
        </w:tc>
      </w:tr>
    </w:tbl>
    <w:p w14:paraId="5391EA91" w14:textId="77777777" w:rsidR="00764497" w:rsidRPr="00183B5F" w:rsidRDefault="00764497" w:rsidP="004062FE">
      <w:pPr>
        <w:spacing w:line="240" w:lineRule="auto"/>
        <w:rPr>
          <w:b/>
          <w:bCs/>
          <w:szCs w:val="22"/>
        </w:rPr>
      </w:pPr>
    </w:p>
    <w:p w14:paraId="1FE09279" w14:textId="77777777" w:rsidR="00764497" w:rsidRPr="00183B5F" w:rsidRDefault="00943743" w:rsidP="004062FE">
      <w:pPr>
        <w:spacing w:line="240" w:lineRule="auto"/>
        <w:rPr>
          <w:szCs w:val="22"/>
        </w:rPr>
      </w:pPr>
      <w:r w:rsidRPr="00183B5F">
        <w:rPr>
          <w:szCs w:val="22"/>
        </w:rPr>
        <w:t>A Psoriasis I vizsgálatban a PASI 75 választ adó és a 33. héten újra placebóra randomizált betegek 28%</w:t>
      </w:r>
      <w:r w:rsidRPr="00183B5F">
        <w:rPr>
          <w:szCs w:val="22"/>
        </w:rPr>
        <w:noBreakHyphen/>
        <w:t xml:space="preserve">ánál „a megfelelő </w:t>
      </w:r>
      <w:r w:rsidR="00B52567" w:rsidRPr="00183B5F">
        <w:rPr>
          <w:szCs w:val="22"/>
        </w:rPr>
        <w:t xml:space="preserve">terápiás válasz </w:t>
      </w:r>
      <w:r w:rsidRPr="00183B5F">
        <w:rPr>
          <w:szCs w:val="22"/>
        </w:rPr>
        <w:t>elvesztését” (a PASI</w:t>
      </w:r>
      <w:r w:rsidRPr="00183B5F">
        <w:rPr>
          <w:szCs w:val="22"/>
        </w:rPr>
        <w:noBreakHyphen/>
        <w:t>pontszám a 33. hét után és az 52. héten vagy előtte, amely a kiindulási értékhez képest &lt; PASI 50 választ eredményez, a 33. héthez viszonyítva minimum 6 PASI</w:t>
      </w:r>
      <w:r w:rsidR="00B52567" w:rsidRPr="00183B5F">
        <w:rPr>
          <w:szCs w:val="22"/>
        </w:rPr>
        <w:t>-</w:t>
      </w:r>
      <w:r w:rsidRPr="00183B5F">
        <w:rPr>
          <w:szCs w:val="22"/>
        </w:rPr>
        <w:t>pontos növekedéssel) tapasztalták, a Humira</w:t>
      </w:r>
      <w:r w:rsidRPr="00183B5F">
        <w:rPr>
          <w:szCs w:val="22"/>
        </w:rPr>
        <w:noBreakHyphen/>
        <w:t>kezelést folytató betegeknél észlelt 5%</w:t>
      </w:r>
      <w:r w:rsidRPr="00183B5F">
        <w:rPr>
          <w:szCs w:val="22"/>
        </w:rPr>
        <w:noBreakHyphen/>
        <w:t>kal szemben (p &lt; 0,001). Azok közül a betegek közül, akik a placebóra ismételt randomizálást követően elvesztették a megfelelő választ, és akiket beválogattak a nyílt elrendezésű kiterjesztéses vizsgálatba, a 12, i</w:t>
      </w:r>
      <w:r w:rsidRPr="00183B5F">
        <w:rPr>
          <w:szCs w:val="22"/>
        </w:rPr>
        <w:t>lletve 24 hetes újbóli kezelést követően sorrendben 38% (25/66) és 55% (36/66) nyerte vissza a PASI 75 választ.</w:t>
      </w:r>
    </w:p>
    <w:p w14:paraId="055FDE9D" w14:textId="77777777" w:rsidR="00764497" w:rsidRPr="00183B5F" w:rsidRDefault="00764497" w:rsidP="004062FE">
      <w:pPr>
        <w:spacing w:line="240" w:lineRule="auto"/>
        <w:rPr>
          <w:szCs w:val="22"/>
        </w:rPr>
      </w:pPr>
    </w:p>
    <w:p w14:paraId="49EBD86B" w14:textId="77777777" w:rsidR="00764497" w:rsidRPr="00183B5F" w:rsidRDefault="00943743" w:rsidP="004062FE">
      <w:pPr>
        <w:spacing w:line="240" w:lineRule="auto"/>
        <w:rPr>
          <w:szCs w:val="22"/>
        </w:rPr>
      </w:pPr>
      <w:r w:rsidRPr="00183B5F">
        <w:rPr>
          <w:szCs w:val="22"/>
        </w:rPr>
        <w:t>A 16. és a 33. héten összesen 233 PASI 75 reszponder részesült folyamatos Humira</w:t>
      </w:r>
      <w:r w:rsidRPr="00183B5F">
        <w:rPr>
          <w:szCs w:val="22"/>
        </w:rPr>
        <w:noBreakHyphen/>
        <w:t>kezelésben 52 héten át a Psoriasis</w:t>
      </w:r>
      <w:r w:rsidR="00F455D3" w:rsidRPr="00183B5F">
        <w:rPr>
          <w:szCs w:val="22"/>
        </w:rPr>
        <w:t> </w:t>
      </w:r>
      <w:r w:rsidRPr="00183B5F">
        <w:rPr>
          <w:szCs w:val="22"/>
        </w:rPr>
        <w:t>I vizsgálatban, és folytatta a Humira alkalmazását a nyílt elrendezésű kiterjesztéses vizsgálatban. A PASI 75 és a tiszta</w:t>
      </w:r>
      <w:r w:rsidRPr="00183B5F">
        <w:rPr>
          <w:b/>
          <w:bCs/>
          <w:szCs w:val="22"/>
        </w:rPr>
        <w:t xml:space="preserve"> </w:t>
      </w:r>
      <w:r w:rsidRPr="00183B5F">
        <w:rPr>
          <w:szCs w:val="22"/>
        </w:rPr>
        <w:t>vagy minimális PGA terápiás válaszarány ezeknél a betegeknél 74,7%, illetve 59,0% volt a megadott sorrendben a nyílt elrendezésű kezelés további 108 hetes időszakát követően (összesen 160 hét). Egy olyan elemzésben, amelyben non</w:t>
      </w:r>
      <w:r w:rsidRPr="00183B5F">
        <w:rPr>
          <w:szCs w:val="22"/>
        </w:rPr>
        <w:noBreakHyphen/>
        <w:t>reszpondernek tekintettek minden olyan beteget, aki nemkívánatos események vagy a hatásosság hiánya miatt idő előtt abbahagyt</w:t>
      </w:r>
      <w:r w:rsidRPr="00183B5F">
        <w:rPr>
          <w:szCs w:val="22"/>
        </w:rPr>
        <w:t>a a vizsgálatot, vagy akinél dózis</w:t>
      </w:r>
      <w:r w:rsidRPr="00183B5F">
        <w:rPr>
          <w:szCs w:val="22"/>
        </w:rPr>
        <w:noBreakHyphen/>
        <w:t>eszkalációra került sor, a PASI 75 és a tiszta vagy minimális PGA terápiás válaszarány ezeknél a betegeknél 69,6%, illetve 55,7% volt a megadott sorrendben a nyílt elrendezésű kezelés további 108 hetes időszakát követően (összesen 160 hét).</w:t>
      </w:r>
    </w:p>
    <w:p w14:paraId="77DA613A" w14:textId="77777777" w:rsidR="00764497" w:rsidRPr="00183B5F" w:rsidRDefault="00764497" w:rsidP="004062FE">
      <w:pPr>
        <w:spacing w:line="240" w:lineRule="auto"/>
        <w:rPr>
          <w:szCs w:val="22"/>
        </w:rPr>
      </w:pPr>
    </w:p>
    <w:p w14:paraId="0FD0DE8A" w14:textId="77777777" w:rsidR="00764497" w:rsidRPr="00183B5F" w:rsidRDefault="00943743" w:rsidP="004062FE">
      <w:pPr>
        <w:spacing w:line="240" w:lineRule="auto"/>
        <w:rPr>
          <w:szCs w:val="22"/>
        </w:rPr>
      </w:pPr>
      <w:r w:rsidRPr="00183B5F">
        <w:rPr>
          <w:szCs w:val="22"/>
        </w:rPr>
        <w:t>Összesen 347, stabil reszponder vett részt egy, a kezelés abbahagyását majd újrakezdését elemző nyílt elrendezésű kiterjesztéses vizsgálatban. A kezelés abbahagyásának időszakában a psoriasis tünetei a relapsusig („közepesen súlyos” vagy rosszabb PGA</w:t>
      </w:r>
      <w:r w:rsidRPr="00183B5F">
        <w:rPr>
          <w:szCs w:val="22"/>
        </w:rPr>
        <w:noBreakHyphen/>
        <w:t>ra csökkenés) eltelő kb. 5 hónapos medián időtartam mellett újultak ki. A megvonásos időszakban ezek közül a betegek közül egynél sem alakult ki rebound hatás. Az összes olyan beteg 76,5%</w:t>
      </w:r>
      <w:r w:rsidRPr="00183B5F">
        <w:rPr>
          <w:szCs w:val="22"/>
        </w:rPr>
        <w:noBreakHyphen/>
        <w:t>ánál (218/285), akik újból elkezdték a kezelést, „tiszta” vagy „minimális” PGA terápiás válasz alakult ki 16 héttel a kezelés újrakezdése után, függetlenül attól, hogy volt</w:t>
      </w:r>
      <w:r w:rsidRPr="00183B5F">
        <w:rPr>
          <w:szCs w:val="22"/>
        </w:rPr>
        <w:noBreakHyphen/>
        <w:t>e relapsusuk a kezelés abbahagyása során (69,1% [123/178] olyan betegeknél, akiknek volt relapsusuk és 88,8% [95/107] olyanoknál, akiknek nem volt rel</w:t>
      </w:r>
      <w:r w:rsidRPr="00183B5F">
        <w:rPr>
          <w:szCs w:val="22"/>
        </w:rPr>
        <w:t>apsusuk a kezelés abbahagyásának időszakában). Hasonló bizonságossági profilt figyeltek meg a kezelés újrakezdése során, mint abbahagyása előtt.</w:t>
      </w:r>
    </w:p>
    <w:p w14:paraId="5AF62055" w14:textId="77777777" w:rsidR="00764497" w:rsidRPr="00183B5F" w:rsidRDefault="00764497" w:rsidP="004062FE">
      <w:pPr>
        <w:autoSpaceDE w:val="0"/>
        <w:autoSpaceDN w:val="0"/>
        <w:adjustRightInd w:val="0"/>
        <w:spacing w:line="240" w:lineRule="auto"/>
        <w:rPr>
          <w:szCs w:val="22"/>
        </w:rPr>
      </w:pPr>
    </w:p>
    <w:p w14:paraId="2F4352AB" w14:textId="77777777" w:rsidR="00764497" w:rsidRPr="00183B5F" w:rsidRDefault="00943743" w:rsidP="004062FE">
      <w:pPr>
        <w:autoSpaceDE w:val="0"/>
        <w:autoSpaceDN w:val="0"/>
        <w:adjustRightInd w:val="0"/>
        <w:spacing w:line="240" w:lineRule="auto"/>
        <w:rPr>
          <w:szCs w:val="22"/>
        </w:rPr>
      </w:pPr>
      <w:r w:rsidRPr="00183B5F">
        <w:rPr>
          <w:szCs w:val="22"/>
        </w:rPr>
        <w:t>A placebóhoz (I és II vizsgálat) és a metotrexáthoz (II vizsgálat) képest a kiindulási értéktől számítva a 16. héten a bőrgyógyászati életminőségi index (DLQI – Dermatology Life Quality Index) jelentős javulását igazolták. Az I. vizsgálatban az SF</w:t>
      </w:r>
      <w:r w:rsidRPr="00183B5F">
        <w:rPr>
          <w:szCs w:val="22"/>
        </w:rPr>
        <w:noBreakHyphen/>
        <w:t>36 fizikális és mentális összetevő összesített pontszámaként kifejezett javulás szintén jelentős volt a placebóhoz képest.</w:t>
      </w:r>
    </w:p>
    <w:p w14:paraId="44C73247" w14:textId="77777777" w:rsidR="00764497" w:rsidRPr="00183B5F" w:rsidRDefault="00764497" w:rsidP="004062FE">
      <w:pPr>
        <w:autoSpaceDE w:val="0"/>
        <w:autoSpaceDN w:val="0"/>
        <w:adjustRightInd w:val="0"/>
        <w:spacing w:line="240" w:lineRule="auto"/>
        <w:rPr>
          <w:szCs w:val="22"/>
        </w:rPr>
      </w:pPr>
    </w:p>
    <w:p w14:paraId="28E0A490" w14:textId="77777777" w:rsidR="00764497" w:rsidRPr="00183B5F" w:rsidRDefault="00943743">
      <w:pPr>
        <w:pStyle w:val="EMEANormal"/>
        <w:rPr>
          <w:szCs w:val="22"/>
          <w:lang w:val="hu-HU"/>
        </w:rPr>
      </w:pPr>
      <w:r w:rsidRPr="00183B5F">
        <w:rPr>
          <w:szCs w:val="22"/>
          <w:lang w:val="hu-HU"/>
        </w:rPr>
        <w:t>Egy nyílt elrendezésű vizsgálatban, amelyben a betegek dózisát a kéthetenkénti 40 mg</w:t>
      </w:r>
      <w:r w:rsidRPr="00183B5F">
        <w:rPr>
          <w:szCs w:val="22"/>
          <w:lang w:val="hu-HU"/>
        </w:rPr>
        <w:noBreakHyphen/>
        <w:t>ról heti 40 mg</w:t>
      </w:r>
      <w:r w:rsidRPr="00183B5F">
        <w:rPr>
          <w:szCs w:val="22"/>
          <w:lang w:val="hu-HU"/>
        </w:rPr>
        <w:noBreakHyphen/>
        <w:t>ra növelték az 50% alatti PASI</w:t>
      </w:r>
      <w:r w:rsidR="00C67724" w:rsidRPr="00183B5F">
        <w:rPr>
          <w:szCs w:val="22"/>
          <w:lang w:val="hu-HU"/>
        </w:rPr>
        <w:t>-</w:t>
      </w:r>
      <w:r w:rsidRPr="00183B5F">
        <w:rPr>
          <w:szCs w:val="22"/>
          <w:lang w:val="hu-HU"/>
        </w:rPr>
        <w:t>válasz miatt, 26,4% (92/349 beteg) és 37,8% (132/349 beteg) ért el PASI 75 választ a 12., illetve a 24. héten.</w:t>
      </w:r>
    </w:p>
    <w:p w14:paraId="4D15E8D3" w14:textId="77777777" w:rsidR="00764497" w:rsidRPr="00183B5F" w:rsidRDefault="00764497" w:rsidP="004062FE">
      <w:pPr>
        <w:spacing w:line="240" w:lineRule="auto"/>
        <w:rPr>
          <w:szCs w:val="22"/>
          <w:u w:val="single"/>
        </w:rPr>
      </w:pPr>
    </w:p>
    <w:p w14:paraId="5C91CF8D" w14:textId="77777777" w:rsidR="00764497" w:rsidRPr="00183B5F" w:rsidRDefault="00943743" w:rsidP="004062FE">
      <w:pPr>
        <w:spacing w:line="240" w:lineRule="auto"/>
        <w:rPr>
          <w:szCs w:val="22"/>
          <w:u w:val="single"/>
        </w:rPr>
      </w:pPr>
      <w:r w:rsidRPr="00183B5F">
        <w:rPr>
          <w:szCs w:val="22"/>
        </w:rPr>
        <w:t xml:space="preserve">A Psoriasis III vizsgálat (REACH) a Humira hatásosságát és biztonságosságát hasonlította össze placebóval 72 betegnél, akik </w:t>
      </w:r>
      <w:r w:rsidR="006E6466" w:rsidRPr="00183B5F">
        <w:rPr>
          <w:szCs w:val="22"/>
        </w:rPr>
        <w:t xml:space="preserve">közepesen súlyos </w:t>
      </w:r>
      <w:r w:rsidRPr="00183B5F">
        <w:rPr>
          <w:szCs w:val="22"/>
        </w:rPr>
        <w:noBreakHyphen/>
        <w:t>súlyos krónikus plakkos psoriasisban és a kézfejet és/vagy a lábfejet érintő psoriasisban szenvedtek. A betegek placebót vagy 80 mg Humira kezdő</w:t>
      </w:r>
      <w:r w:rsidR="0047618A" w:rsidRPr="00183B5F">
        <w:rPr>
          <w:szCs w:val="22"/>
        </w:rPr>
        <w:t xml:space="preserve"> </w:t>
      </w:r>
      <w:r w:rsidRPr="00183B5F">
        <w:rPr>
          <w:szCs w:val="22"/>
        </w:rPr>
        <w:t>dózist kaptak, amelyet 40 mg Humira követett minden második héten (egy héttel a kezdő</w:t>
      </w:r>
      <w:r w:rsidR="0047618A" w:rsidRPr="00183B5F">
        <w:rPr>
          <w:szCs w:val="22"/>
        </w:rPr>
        <w:t xml:space="preserve"> </w:t>
      </w:r>
      <w:r w:rsidRPr="00183B5F">
        <w:rPr>
          <w:szCs w:val="22"/>
        </w:rPr>
        <w:t>dózis után kezdve) 16 héten keresztül. A 16. héten a Humira</w:t>
      </w:r>
      <w:r w:rsidRPr="00183B5F">
        <w:rPr>
          <w:szCs w:val="22"/>
        </w:rPr>
        <w:noBreakHyphen/>
        <w:t>t kapó betegek statisztikailag szignifikánsan nagyobb arányban (30,6%) értek el „tiszta” vagy „majdnem tiszta” PGA</w:t>
      </w:r>
      <w:r w:rsidR="00C67724" w:rsidRPr="00183B5F">
        <w:rPr>
          <w:szCs w:val="22"/>
        </w:rPr>
        <w:t>-</w:t>
      </w:r>
      <w:r w:rsidRPr="00183B5F">
        <w:rPr>
          <w:szCs w:val="22"/>
        </w:rPr>
        <w:t xml:space="preserve">pontszámot a kézfejek és/vagy lábfejek vonatkozásában a placebót kapó betegekhez képest </w:t>
      </w:r>
      <w:r w:rsidRPr="00183B5F">
        <w:rPr>
          <w:szCs w:val="22"/>
        </w:rPr>
        <w:t xml:space="preserve">(4,3%) </w:t>
      </w:r>
      <w:r w:rsidRPr="00183B5F">
        <w:t>[P</w:t>
      </w:r>
      <w:r w:rsidR="00334A27" w:rsidRPr="00183B5F">
        <w:t> </w:t>
      </w:r>
      <w:r w:rsidRPr="00183B5F">
        <w:t>=</w:t>
      </w:r>
      <w:r w:rsidR="00334A27" w:rsidRPr="00183B5F">
        <w:t> </w:t>
      </w:r>
      <w:r w:rsidRPr="00183B5F">
        <w:t>0,014].</w:t>
      </w:r>
    </w:p>
    <w:p w14:paraId="60D43973" w14:textId="77777777" w:rsidR="006F0C61" w:rsidRPr="00183B5F" w:rsidRDefault="006F0C61">
      <w:pPr>
        <w:pStyle w:val="gtcbodytext"/>
        <w:spacing w:before="0" w:after="0" w:line="240" w:lineRule="auto"/>
        <w:rPr>
          <w:sz w:val="22"/>
          <w:szCs w:val="22"/>
          <w:lang w:val="hu-HU"/>
        </w:rPr>
      </w:pPr>
    </w:p>
    <w:p w14:paraId="48ACD9D4" w14:textId="77777777" w:rsidR="006F0C61" w:rsidRPr="00183B5F" w:rsidRDefault="00943743">
      <w:pPr>
        <w:pStyle w:val="gtcbodytext"/>
        <w:spacing w:before="0" w:after="0" w:line="240" w:lineRule="auto"/>
        <w:rPr>
          <w:sz w:val="22"/>
          <w:szCs w:val="22"/>
          <w:lang w:val="hu-HU"/>
        </w:rPr>
      </w:pPr>
      <w:r w:rsidRPr="00183B5F">
        <w:rPr>
          <w:sz w:val="22"/>
          <w:szCs w:val="22"/>
          <w:lang w:val="hu-HU"/>
        </w:rPr>
        <w:t xml:space="preserve">A Psoriasis IV vizsgálatban a Humira hatásosságát és biztonságosságát placebóval hasonlították össze 217 felnőtt, </w:t>
      </w:r>
      <w:r w:rsidR="006E6466" w:rsidRPr="00183B5F">
        <w:rPr>
          <w:szCs w:val="22"/>
          <w:lang w:val="hu-HU"/>
        </w:rPr>
        <w:t>közepesen súlyos</w:t>
      </w:r>
      <w:r w:rsidRPr="00183B5F">
        <w:rPr>
          <w:sz w:val="22"/>
          <w:szCs w:val="22"/>
          <w:lang w:val="hu-HU"/>
        </w:rPr>
        <w:t>-súlyos köröm</w:t>
      </w:r>
      <w:r w:rsidR="004E5E6A" w:rsidRPr="00183B5F">
        <w:rPr>
          <w:sz w:val="22"/>
          <w:szCs w:val="22"/>
          <w:lang w:val="hu-HU"/>
        </w:rPr>
        <w:t>-</w:t>
      </w:r>
      <w:r w:rsidRPr="00183B5F">
        <w:rPr>
          <w:sz w:val="22"/>
          <w:szCs w:val="22"/>
          <w:lang w:val="hu-HU"/>
        </w:rPr>
        <w:t>psoriasisban szenvedő felnőtt betegnél. A betegek 80 mg kezdő dózist követően kéthetente 40 mg Humira</w:t>
      </w:r>
      <w:r w:rsidRPr="00183B5F">
        <w:rPr>
          <w:sz w:val="22"/>
          <w:szCs w:val="22"/>
          <w:lang w:val="hu-HU"/>
        </w:rPr>
        <w:noBreakHyphen/>
        <w:t>t kaptak (egy héttel a kezdő dózis beadása után kezdve), vagy placebokezelésben részesültek 26 hétig, amelyet nyílt elrendezésű Humira</w:t>
      </w:r>
      <w:r w:rsidR="004E5E6A" w:rsidRPr="00183B5F">
        <w:rPr>
          <w:sz w:val="22"/>
          <w:szCs w:val="22"/>
          <w:lang w:val="hu-HU"/>
        </w:rPr>
        <w:t>-</w:t>
      </w:r>
      <w:r w:rsidRPr="00183B5F">
        <w:rPr>
          <w:sz w:val="22"/>
          <w:szCs w:val="22"/>
          <w:lang w:val="hu-HU"/>
        </w:rPr>
        <w:t>kezelés követett további 26 héten át. A köröm</w:t>
      </w:r>
      <w:r w:rsidR="004E5E6A" w:rsidRPr="00183B5F">
        <w:rPr>
          <w:sz w:val="22"/>
          <w:szCs w:val="22"/>
          <w:lang w:val="hu-HU"/>
        </w:rPr>
        <w:t>-</w:t>
      </w:r>
      <w:r w:rsidRPr="00183B5F">
        <w:rPr>
          <w:sz w:val="22"/>
          <w:szCs w:val="22"/>
          <w:lang w:val="hu-HU"/>
        </w:rPr>
        <w:t>psoriasis értékelése tartalmazta a módosított köröm</w:t>
      </w:r>
      <w:r w:rsidR="004E5E6A" w:rsidRPr="00183B5F">
        <w:rPr>
          <w:sz w:val="22"/>
          <w:szCs w:val="22"/>
          <w:lang w:val="hu-HU"/>
        </w:rPr>
        <w:t>-</w:t>
      </w:r>
      <w:r w:rsidRPr="00183B5F">
        <w:rPr>
          <w:sz w:val="22"/>
          <w:szCs w:val="22"/>
          <w:lang w:val="hu-HU"/>
        </w:rPr>
        <w:t>psoriasis súlyossági indexet (mNAPSI, Modified Nail Psoriasis Severity Index), a köröm</w:t>
      </w:r>
      <w:r w:rsidR="004E5E6A" w:rsidRPr="00183B5F">
        <w:rPr>
          <w:sz w:val="22"/>
          <w:szCs w:val="22"/>
          <w:lang w:val="hu-HU"/>
        </w:rPr>
        <w:t>-</w:t>
      </w:r>
      <w:r w:rsidRPr="00183B5F">
        <w:rPr>
          <w:sz w:val="22"/>
          <w:szCs w:val="22"/>
          <w:lang w:val="hu-HU"/>
        </w:rPr>
        <w:t xml:space="preserve">psoriasis kezelőorvosok általi globális értékelését (PGA-F, Physician’s Global Assessment </w:t>
      </w:r>
      <w:r w:rsidRPr="00183B5F">
        <w:rPr>
          <w:sz w:val="22"/>
          <w:szCs w:val="22"/>
          <w:lang w:val="hu-HU"/>
        </w:rPr>
        <w:t>of Fingernail Psoriasis) és a köröm</w:t>
      </w:r>
      <w:r w:rsidR="004E5E6A" w:rsidRPr="00183B5F">
        <w:rPr>
          <w:sz w:val="22"/>
          <w:szCs w:val="22"/>
          <w:lang w:val="hu-HU"/>
        </w:rPr>
        <w:t>-</w:t>
      </w:r>
      <w:r w:rsidRPr="00183B5F">
        <w:rPr>
          <w:sz w:val="22"/>
          <w:szCs w:val="22"/>
          <w:lang w:val="hu-HU"/>
        </w:rPr>
        <w:t xml:space="preserve">psoriasis súlyossági indexet (NAPSI) (lásd </w:t>
      </w:r>
      <w:r w:rsidR="00D84EDC" w:rsidRPr="00183B5F">
        <w:rPr>
          <w:sz w:val="22"/>
          <w:szCs w:val="22"/>
          <w:lang w:val="hu-HU"/>
        </w:rPr>
        <w:t>11</w:t>
      </w:r>
      <w:r w:rsidRPr="00183B5F">
        <w:rPr>
          <w:sz w:val="22"/>
          <w:szCs w:val="22"/>
          <w:lang w:val="hu-HU"/>
        </w:rPr>
        <w:t>. táblázat). A Humira köröm</w:t>
      </w:r>
      <w:r w:rsidR="004E5E6A" w:rsidRPr="00183B5F">
        <w:rPr>
          <w:sz w:val="22"/>
          <w:szCs w:val="22"/>
          <w:lang w:val="hu-HU"/>
        </w:rPr>
        <w:t>-</w:t>
      </w:r>
      <w:r w:rsidRPr="00183B5F">
        <w:rPr>
          <w:sz w:val="22"/>
          <w:szCs w:val="22"/>
          <w:lang w:val="hu-HU"/>
        </w:rPr>
        <w:t>psoriasisban kifejtett kedvező hatását különböző mértékű bőrérintettség mellett (BSA≥10% (a betegek 60%</w:t>
      </w:r>
      <w:r w:rsidRPr="00183B5F">
        <w:rPr>
          <w:sz w:val="22"/>
          <w:szCs w:val="22"/>
          <w:lang w:val="hu-HU"/>
        </w:rPr>
        <w:noBreakHyphen/>
        <w:t>a) és BSA&lt;10% és ≥5% (a betegek 40%</w:t>
      </w:r>
      <w:r w:rsidRPr="00183B5F">
        <w:rPr>
          <w:sz w:val="22"/>
          <w:szCs w:val="22"/>
          <w:lang w:val="hu-HU"/>
        </w:rPr>
        <w:noBreakHyphen/>
        <w:t>a)) igazolták.</w:t>
      </w:r>
    </w:p>
    <w:p w14:paraId="2A2D66D2" w14:textId="77777777" w:rsidR="006F0C61" w:rsidRPr="00183B5F" w:rsidRDefault="006F0C61">
      <w:pPr>
        <w:pStyle w:val="gtcbodytext"/>
        <w:spacing w:before="0" w:after="0" w:line="240" w:lineRule="auto"/>
        <w:rPr>
          <w:sz w:val="22"/>
          <w:szCs w:val="22"/>
          <w:lang w:val="hu-HU"/>
        </w:rPr>
      </w:pPr>
    </w:p>
    <w:p w14:paraId="2ACE40BC" w14:textId="77777777" w:rsidR="006F0C61" w:rsidRPr="00183B5F" w:rsidRDefault="00943743">
      <w:pPr>
        <w:pStyle w:val="gtctabletitleotherwise"/>
        <w:keepNext/>
        <w:spacing w:before="0"/>
        <w:rPr>
          <w:bCs w:val="0"/>
          <w:sz w:val="22"/>
          <w:szCs w:val="22"/>
          <w:lang w:val="hu-HU"/>
        </w:rPr>
      </w:pPr>
      <w:r w:rsidRPr="00183B5F">
        <w:rPr>
          <w:bCs w:val="0"/>
          <w:sz w:val="22"/>
          <w:szCs w:val="22"/>
          <w:lang w:val="hu-HU"/>
        </w:rPr>
        <w:t>11.</w:t>
      </w:r>
      <w:r w:rsidR="00F77D45" w:rsidRPr="00183B5F">
        <w:rPr>
          <w:bCs w:val="0"/>
          <w:sz w:val="22"/>
          <w:szCs w:val="22"/>
          <w:lang w:val="hu-HU"/>
        </w:rPr>
        <w:t> </w:t>
      </w:r>
      <w:r w:rsidRPr="00183B5F">
        <w:rPr>
          <w:bCs w:val="0"/>
          <w:sz w:val="22"/>
          <w:szCs w:val="22"/>
          <w:lang w:val="hu-HU"/>
        </w:rPr>
        <w:t>táblázat</w:t>
      </w:r>
    </w:p>
    <w:p w14:paraId="459639D9" w14:textId="77777777" w:rsidR="006F0C61" w:rsidRPr="00183B5F" w:rsidRDefault="00943743">
      <w:pPr>
        <w:pStyle w:val="gtctabletitleotherwise"/>
        <w:keepNext/>
        <w:spacing w:before="0"/>
        <w:rPr>
          <w:sz w:val="22"/>
          <w:szCs w:val="22"/>
          <w:lang w:val="hu-HU"/>
        </w:rPr>
      </w:pPr>
      <w:r w:rsidRPr="00183B5F">
        <w:rPr>
          <w:bCs w:val="0"/>
          <w:sz w:val="22"/>
          <w:szCs w:val="22"/>
          <w:lang w:val="hu-HU"/>
        </w:rPr>
        <w:t>Psoriasis IV vizsgálat hatásossági eredmények a 16., 26. és 52.</w:t>
      </w:r>
      <w:r w:rsidR="00F77D45" w:rsidRPr="00183B5F">
        <w:rPr>
          <w:bCs w:val="0"/>
          <w:sz w:val="22"/>
          <w:szCs w:val="22"/>
          <w:lang w:val="hu-HU"/>
        </w:rPr>
        <w:t> </w:t>
      </w:r>
      <w:r w:rsidRPr="00183B5F">
        <w:rPr>
          <w:bCs w:val="0"/>
          <w:sz w:val="22"/>
          <w:szCs w:val="22"/>
          <w:lang w:val="hu-HU"/>
        </w:rPr>
        <w:t>héten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080"/>
        <w:gridCol w:w="1260"/>
        <w:gridCol w:w="990"/>
        <w:gridCol w:w="1260"/>
        <w:gridCol w:w="2268"/>
      </w:tblGrid>
      <w:tr w:rsidR="00011D2F" w14:paraId="03AE81CD" w14:textId="77777777" w:rsidTr="006F0C61">
        <w:tc>
          <w:tcPr>
            <w:tcW w:w="2718" w:type="dxa"/>
            <w:vMerge w:val="restart"/>
          </w:tcPr>
          <w:p w14:paraId="2F361399" w14:textId="77777777" w:rsidR="006F0C61" w:rsidRPr="00183B5F" w:rsidRDefault="00943743" w:rsidP="006B2397">
            <w:pPr>
              <w:pStyle w:val="gtctablespaceafter"/>
              <w:keepNext/>
              <w:spacing w:after="0"/>
              <w:rPr>
                <w:sz w:val="22"/>
                <w:szCs w:val="22"/>
                <w:lang w:val="hu-HU"/>
              </w:rPr>
            </w:pPr>
            <w:r w:rsidRPr="00183B5F">
              <w:rPr>
                <w:sz w:val="22"/>
                <w:szCs w:val="22"/>
                <w:lang w:val="hu-HU"/>
              </w:rPr>
              <w:t>Végpont</w:t>
            </w:r>
          </w:p>
        </w:tc>
        <w:tc>
          <w:tcPr>
            <w:tcW w:w="2340" w:type="dxa"/>
            <w:gridSpan w:val="2"/>
          </w:tcPr>
          <w:p w14:paraId="489A9F49" w14:textId="77777777" w:rsidR="006F0C61" w:rsidRPr="00183B5F" w:rsidRDefault="00943743" w:rsidP="006B2397">
            <w:pPr>
              <w:pStyle w:val="gtctablespaceafter"/>
              <w:keepNext/>
              <w:spacing w:after="0"/>
              <w:jc w:val="center"/>
              <w:rPr>
                <w:sz w:val="22"/>
                <w:szCs w:val="22"/>
                <w:lang w:val="hu-HU"/>
              </w:rPr>
            </w:pPr>
            <w:r w:rsidRPr="00183B5F">
              <w:rPr>
                <w:sz w:val="22"/>
                <w:szCs w:val="22"/>
                <w:lang w:val="hu-HU"/>
              </w:rPr>
              <w:t>16. hét</w:t>
            </w:r>
          </w:p>
          <w:p w14:paraId="6EDD9107" w14:textId="77777777" w:rsidR="006F0C61" w:rsidRPr="00183B5F" w:rsidRDefault="00943743" w:rsidP="006B2397">
            <w:pPr>
              <w:pStyle w:val="gtctablespaceafter"/>
              <w:keepNext/>
              <w:spacing w:after="0"/>
              <w:jc w:val="center"/>
              <w:rPr>
                <w:sz w:val="22"/>
                <w:szCs w:val="22"/>
                <w:lang w:val="hu-HU"/>
              </w:rPr>
            </w:pPr>
            <w:r w:rsidRPr="00183B5F">
              <w:rPr>
                <w:sz w:val="22"/>
                <w:szCs w:val="22"/>
                <w:lang w:val="hu-HU"/>
              </w:rPr>
              <w:t>Placebokontrollos</w:t>
            </w:r>
          </w:p>
        </w:tc>
        <w:tc>
          <w:tcPr>
            <w:tcW w:w="2250" w:type="dxa"/>
            <w:gridSpan w:val="2"/>
          </w:tcPr>
          <w:p w14:paraId="4511ADC2" w14:textId="77777777" w:rsidR="006F0C61" w:rsidRPr="00183B5F" w:rsidRDefault="00943743" w:rsidP="006B2397">
            <w:pPr>
              <w:pStyle w:val="gtctablespaceafter"/>
              <w:keepNext/>
              <w:spacing w:after="0"/>
              <w:jc w:val="center"/>
              <w:rPr>
                <w:sz w:val="22"/>
                <w:szCs w:val="22"/>
                <w:lang w:val="hu-HU"/>
              </w:rPr>
            </w:pPr>
            <w:r w:rsidRPr="00183B5F">
              <w:rPr>
                <w:sz w:val="22"/>
                <w:szCs w:val="22"/>
                <w:lang w:val="hu-HU"/>
              </w:rPr>
              <w:t xml:space="preserve">26. hét </w:t>
            </w:r>
          </w:p>
          <w:p w14:paraId="5243BAD3" w14:textId="77777777" w:rsidR="006F0C61" w:rsidRPr="00183B5F" w:rsidRDefault="00943743" w:rsidP="006B2397">
            <w:pPr>
              <w:pStyle w:val="gtctablespaceafter"/>
              <w:keepNext/>
              <w:spacing w:after="0"/>
              <w:jc w:val="center"/>
              <w:rPr>
                <w:sz w:val="22"/>
                <w:szCs w:val="22"/>
                <w:lang w:val="hu-HU"/>
              </w:rPr>
            </w:pPr>
            <w:r w:rsidRPr="00183B5F">
              <w:rPr>
                <w:sz w:val="22"/>
                <w:szCs w:val="22"/>
                <w:lang w:val="hu-HU"/>
              </w:rPr>
              <w:t>Placebokontrollos</w:t>
            </w:r>
          </w:p>
        </w:tc>
        <w:tc>
          <w:tcPr>
            <w:tcW w:w="2268" w:type="dxa"/>
          </w:tcPr>
          <w:p w14:paraId="0B631835" w14:textId="77777777" w:rsidR="006F0C61" w:rsidRPr="00183B5F" w:rsidRDefault="00943743" w:rsidP="006B2397">
            <w:pPr>
              <w:pStyle w:val="gtctablespaceafter"/>
              <w:keepNext/>
              <w:spacing w:after="0"/>
              <w:jc w:val="center"/>
              <w:rPr>
                <w:sz w:val="22"/>
                <w:szCs w:val="22"/>
                <w:lang w:val="hu-HU"/>
              </w:rPr>
            </w:pPr>
            <w:r w:rsidRPr="00183B5F">
              <w:rPr>
                <w:sz w:val="22"/>
                <w:szCs w:val="22"/>
                <w:lang w:val="hu-HU"/>
              </w:rPr>
              <w:t>52. hét</w:t>
            </w:r>
          </w:p>
          <w:p w14:paraId="73A45DC7" w14:textId="77777777" w:rsidR="006F0C61" w:rsidRPr="00183B5F" w:rsidRDefault="00943743" w:rsidP="006B2397">
            <w:pPr>
              <w:pStyle w:val="gtctablespaceafter"/>
              <w:keepNext/>
              <w:spacing w:after="0"/>
              <w:jc w:val="center"/>
              <w:rPr>
                <w:sz w:val="22"/>
                <w:szCs w:val="22"/>
                <w:lang w:val="hu-HU"/>
              </w:rPr>
            </w:pPr>
            <w:r w:rsidRPr="00183B5F">
              <w:rPr>
                <w:sz w:val="22"/>
                <w:szCs w:val="22"/>
                <w:lang w:val="hu-HU"/>
              </w:rPr>
              <w:t>Nyílt elrendezés</w:t>
            </w:r>
          </w:p>
        </w:tc>
      </w:tr>
      <w:tr w:rsidR="00011D2F" w14:paraId="2855681E" w14:textId="77777777" w:rsidTr="006F0C61">
        <w:tc>
          <w:tcPr>
            <w:tcW w:w="2718" w:type="dxa"/>
            <w:vMerge/>
          </w:tcPr>
          <w:p w14:paraId="58B6352B" w14:textId="77777777" w:rsidR="006F0C61" w:rsidRPr="00183B5F" w:rsidRDefault="006F0C61">
            <w:pPr>
              <w:pStyle w:val="gtctablespaceafter"/>
              <w:spacing w:after="0"/>
              <w:rPr>
                <w:sz w:val="22"/>
                <w:szCs w:val="22"/>
                <w:lang w:val="hu-HU"/>
              </w:rPr>
            </w:pPr>
          </w:p>
        </w:tc>
        <w:tc>
          <w:tcPr>
            <w:tcW w:w="1080" w:type="dxa"/>
          </w:tcPr>
          <w:p w14:paraId="61228617" w14:textId="77777777" w:rsidR="006F0C61" w:rsidRPr="00183B5F" w:rsidRDefault="00943743">
            <w:pPr>
              <w:pStyle w:val="gtctablespaceafter"/>
              <w:spacing w:after="0"/>
              <w:jc w:val="center"/>
              <w:rPr>
                <w:sz w:val="22"/>
                <w:szCs w:val="22"/>
                <w:lang w:val="hu-HU"/>
              </w:rPr>
            </w:pPr>
            <w:r w:rsidRPr="00183B5F">
              <w:rPr>
                <w:sz w:val="22"/>
                <w:lang w:val="hu-HU"/>
              </w:rPr>
              <w:t>Placebo</w:t>
            </w:r>
            <w:r w:rsidRPr="00183B5F">
              <w:rPr>
                <w:sz w:val="22"/>
                <w:lang w:val="hu-HU"/>
              </w:rPr>
              <w:br/>
              <w:t>N</w:t>
            </w:r>
            <w:r w:rsidR="00334A27" w:rsidRPr="00183B5F">
              <w:rPr>
                <w:sz w:val="22"/>
                <w:lang w:val="hu-HU"/>
              </w:rPr>
              <w:t> </w:t>
            </w:r>
            <w:r w:rsidRPr="00183B5F">
              <w:rPr>
                <w:sz w:val="22"/>
                <w:lang w:val="hu-HU"/>
              </w:rPr>
              <w:t>=</w:t>
            </w:r>
            <w:r w:rsidR="00334A27" w:rsidRPr="00183B5F">
              <w:rPr>
                <w:sz w:val="22"/>
                <w:lang w:val="hu-HU"/>
              </w:rPr>
              <w:t> </w:t>
            </w:r>
            <w:r w:rsidRPr="00183B5F">
              <w:rPr>
                <w:sz w:val="22"/>
                <w:lang w:val="hu-HU"/>
              </w:rPr>
              <w:t>108</w:t>
            </w:r>
          </w:p>
        </w:tc>
        <w:tc>
          <w:tcPr>
            <w:tcW w:w="1260" w:type="dxa"/>
          </w:tcPr>
          <w:p w14:paraId="047F0789" w14:textId="77777777" w:rsidR="006F0C61" w:rsidRPr="00183B5F" w:rsidRDefault="00943743">
            <w:pPr>
              <w:pStyle w:val="In-texttable"/>
              <w:keepNext w:val="0"/>
              <w:spacing w:line="240" w:lineRule="auto"/>
              <w:jc w:val="center"/>
              <w:rPr>
                <w:rFonts w:ascii="Times New Roman" w:hAnsi="Times New Roman"/>
                <w:sz w:val="22"/>
                <w:lang w:val="hu-HU"/>
              </w:rPr>
            </w:pPr>
            <w:r w:rsidRPr="00183B5F">
              <w:rPr>
                <w:rFonts w:ascii="Times New Roman" w:hAnsi="Times New Roman"/>
                <w:sz w:val="22"/>
                <w:lang w:val="hu-HU"/>
              </w:rPr>
              <w:t>Humira</w:t>
            </w:r>
          </w:p>
          <w:p w14:paraId="1850CAD2" w14:textId="77777777" w:rsidR="006F0C61" w:rsidRPr="00183B5F" w:rsidRDefault="00943743">
            <w:pPr>
              <w:pStyle w:val="gtctablespaceafter"/>
              <w:spacing w:after="0"/>
              <w:jc w:val="center"/>
              <w:rPr>
                <w:sz w:val="22"/>
                <w:szCs w:val="22"/>
                <w:lang w:val="hu-HU"/>
              </w:rPr>
            </w:pPr>
            <w:r w:rsidRPr="00183B5F">
              <w:rPr>
                <w:sz w:val="22"/>
                <w:lang w:val="hu-HU"/>
              </w:rPr>
              <w:t xml:space="preserve">40 mg kéthetente </w:t>
            </w:r>
            <w:r w:rsidRPr="00183B5F">
              <w:rPr>
                <w:sz w:val="22"/>
                <w:lang w:val="hu-HU"/>
              </w:rPr>
              <w:br/>
              <w:t>N</w:t>
            </w:r>
            <w:r w:rsidR="00334A27" w:rsidRPr="00183B5F">
              <w:rPr>
                <w:sz w:val="22"/>
                <w:lang w:val="hu-HU"/>
              </w:rPr>
              <w:t> </w:t>
            </w:r>
            <w:r w:rsidRPr="00183B5F">
              <w:rPr>
                <w:sz w:val="22"/>
                <w:lang w:val="hu-HU"/>
              </w:rPr>
              <w:t>=</w:t>
            </w:r>
            <w:r w:rsidR="00334A27" w:rsidRPr="00183B5F">
              <w:rPr>
                <w:sz w:val="22"/>
                <w:lang w:val="hu-HU"/>
              </w:rPr>
              <w:t> </w:t>
            </w:r>
            <w:r w:rsidRPr="00183B5F">
              <w:rPr>
                <w:sz w:val="22"/>
                <w:lang w:val="hu-HU"/>
              </w:rPr>
              <w:t>109</w:t>
            </w:r>
          </w:p>
        </w:tc>
        <w:tc>
          <w:tcPr>
            <w:tcW w:w="990" w:type="dxa"/>
          </w:tcPr>
          <w:p w14:paraId="6E8188AB" w14:textId="77777777" w:rsidR="006F0C61" w:rsidRPr="00183B5F" w:rsidRDefault="00943743">
            <w:pPr>
              <w:pStyle w:val="gtctablespaceafter"/>
              <w:spacing w:after="0"/>
              <w:jc w:val="center"/>
              <w:rPr>
                <w:sz w:val="22"/>
                <w:szCs w:val="22"/>
                <w:lang w:val="hu-HU"/>
              </w:rPr>
            </w:pPr>
            <w:r w:rsidRPr="00183B5F">
              <w:rPr>
                <w:sz w:val="22"/>
                <w:lang w:val="hu-HU"/>
              </w:rPr>
              <w:t>Placebo</w:t>
            </w:r>
            <w:r w:rsidRPr="00183B5F">
              <w:rPr>
                <w:sz w:val="22"/>
                <w:lang w:val="hu-HU"/>
              </w:rPr>
              <w:br/>
              <w:t>N</w:t>
            </w:r>
            <w:r w:rsidR="00334A27" w:rsidRPr="00183B5F">
              <w:rPr>
                <w:sz w:val="22"/>
                <w:lang w:val="hu-HU"/>
              </w:rPr>
              <w:t> </w:t>
            </w:r>
            <w:r w:rsidRPr="00183B5F">
              <w:rPr>
                <w:sz w:val="22"/>
                <w:lang w:val="hu-HU"/>
              </w:rPr>
              <w:t>=</w:t>
            </w:r>
            <w:r w:rsidR="00334A27" w:rsidRPr="00183B5F">
              <w:rPr>
                <w:sz w:val="22"/>
                <w:lang w:val="hu-HU"/>
              </w:rPr>
              <w:t> </w:t>
            </w:r>
            <w:r w:rsidRPr="00183B5F">
              <w:rPr>
                <w:sz w:val="22"/>
                <w:lang w:val="hu-HU"/>
              </w:rPr>
              <w:t>108</w:t>
            </w:r>
          </w:p>
        </w:tc>
        <w:tc>
          <w:tcPr>
            <w:tcW w:w="1260" w:type="dxa"/>
          </w:tcPr>
          <w:p w14:paraId="7A64F2AA" w14:textId="77777777" w:rsidR="006F0C61" w:rsidRPr="00183B5F" w:rsidRDefault="00943743">
            <w:pPr>
              <w:pStyle w:val="In-texttable"/>
              <w:keepNext w:val="0"/>
              <w:spacing w:line="240" w:lineRule="auto"/>
              <w:jc w:val="center"/>
              <w:rPr>
                <w:rFonts w:ascii="Times New Roman" w:hAnsi="Times New Roman"/>
                <w:sz w:val="22"/>
                <w:lang w:val="hu-HU"/>
              </w:rPr>
            </w:pPr>
            <w:r w:rsidRPr="00183B5F">
              <w:rPr>
                <w:rFonts w:ascii="Times New Roman" w:hAnsi="Times New Roman"/>
                <w:sz w:val="22"/>
                <w:lang w:val="hu-HU"/>
              </w:rPr>
              <w:t>Humira</w:t>
            </w:r>
          </w:p>
          <w:p w14:paraId="0DBE6F5A" w14:textId="77777777" w:rsidR="006F0C61" w:rsidRPr="00183B5F" w:rsidRDefault="00943743">
            <w:pPr>
              <w:pStyle w:val="gtctablespaceafter"/>
              <w:spacing w:after="0"/>
              <w:jc w:val="center"/>
              <w:rPr>
                <w:sz w:val="22"/>
                <w:szCs w:val="22"/>
                <w:lang w:val="hu-HU"/>
              </w:rPr>
            </w:pPr>
            <w:r w:rsidRPr="00183B5F">
              <w:rPr>
                <w:sz w:val="22"/>
                <w:lang w:val="hu-HU"/>
              </w:rPr>
              <w:t xml:space="preserve">40 mg kéthetente </w:t>
            </w:r>
            <w:r w:rsidRPr="00183B5F">
              <w:rPr>
                <w:sz w:val="22"/>
                <w:lang w:val="hu-HU"/>
              </w:rPr>
              <w:br/>
              <w:t>N</w:t>
            </w:r>
            <w:r w:rsidR="00334A27" w:rsidRPr="00183B5F">
              <w:rPr>
                <w:sz w:val="22"/>
                <w:lang w:val="hu-HU"/>
              </w:rPr>
              <w:t> </w:t>
            </w:r>
            <w:r w:rsidRPr="00183B5F">
              <w:rPr>
                <w:sz w:val="22"/>
                <w:lang w:val="hu-HU"/>
              </w:rPr>
              <w:t>=</w:t>
            </w:r>
            <w:r w:rsidR="00334A27" w:rsidRPr="00183B5F">
              <w:rPr>
                <w:sz w:val="22"/>
                <w:lang w:val="hu-HU"/>
              </w:rPr>
              <w:t> </w:t>
            </w:r>
            <w:r w:rsidRPr="00183B5F">
              <w:rPr>
                <w:sz w:val="22"/>
                <w:lang w:val="hu-HU"/>
              </w:rPr>
              <w:t>109</w:t>
            </w:r>
          </w:p>
        </w:tc>
        <w:tc>
          <w:tcPr>
            <w:tcW w:w="2268" w:type="dxa"/>
          </w:tcPr>
          <w:p w14:paraId="5DC29274" w14:textId="77777777" w:rsidR="006F0C61" w:rsidRPr="00183B5F" w:rsidRDefault="00943743">
            <w:pPr>
              <w:pStyle w:val="In-texttable"/>
              <w:keepNext w:val="0"/>
              <w:spacing w:line="240" w:lineRule="auto"/>
              <w:jc w:val="center"/>
              <w:rPr>
                <w:rFonts w:ascii="Times New Roman" w:hAnsi="Times New Roman"/>
                <w:sz w:val="22"/>
                <w:lang w:val="hu-HU"/>
              </w:rPr>
            </w:pPr>
            <w:r w:rsidRPr="00183B5F">
              <w:rPr>
                <w:rFonts w:ascii="Times New Roman" w:hAnsi="Times New Roman"/>
                <w:sz w:val="22"/>
                <w:lang w:val="hu-HU"/>
              </w:rPr>
              <w:t>Humira</w:t>
            </w:r>
          </w:p>
          <w:p w14:paraId="0C796647" w14:textId="77777777" w:rsidR="006F0C61" w:rsidRPr="00183B5F" w:rsidRDefault="00943743">
            <w:pPr>
              <w:pStyle w:val="gtctablespaceafter"/>
              <w:spacing w:after="0"/>
              <w:jc w:val="center"/>
              <w:rPr>
                <w:sz w:val="22"/>
                <w:szCs w:val="22"/>
                <w:lang w:val="hu-HU"/>
              </w:rPr>
            </w:pPr>
            <w:r w:rsidRPr="00183B5F">
              <w:rPr>
                <w:sz w:val="22"/>
                <w:lang w:val="hu-HU"/>
              </w:rPr>
              <w:t xml:space="preserve">40 mg kéthetente </w:t>
            </w:r>
            <w:r w:rsidRPr="00183B5F">
              <w:rPr>
                <w:sz w:val="22"/>
                <w:lang w:val="hu-HU"/>
              </w:rPr>
              <w:br/>
              <w:t>N</w:t>
            </w:r>
            <w:r w:rsidR="00334A27" w:rsidRPr="00183B5F">
              <w:rPr>
                <w:sz w:val="22"/>
                <w:lang w:val="hu-HU"/>
              </w:rPr>
              <w:t> </w:t>
            </w:r>
            <w:r w:rsidRPr="00183B5F">
              <w:rPr>
                <w:sz w:val="22"/>
                <w:lang w:val="hu-HU"/>
              </w:rPr>
              <w:t>=</w:t>
            </w:r>
            <w:r w:rsidR="00334A27" w:rsidRPr="00183B5F">
              <w:rPr>
                <w:sz w:val="22"/>
                <w:lang w:val="hu-HU"/>
              </w:rPr>
              <w:t> </w:t>
            </w:r>
            <w:r w:rsidRPr="00183B5F">
              <w:rPr>
                <w:sz w:val="22"/>
                <w:lang w:val="hu-HU"/>
              </w:rPr>
              <w:t>80</w:t>
            </w:r>
          </w:p>
        </w:tc>
      </w:tr>
      <w:tr w:rsidR="00011D2F" w14:paraId="5DA64983" w14:textId="77777777" w:rsidTr="006F0C61">
        <w:tc>
          <w:tcPr>
            <w:tcW w:w="2718" w:type="dxa"/>
          </w:tcPr>
          <w:p w14:paraId="6F8814D2" w14:textId="77777777" w:rsidR="006F0C61" w:rsidRPr="00183B5F" w:rsidRDefault="00943743">
            <w:pPr>
              <w:pStyle w:val="gtctablespaceafter"/>
              <w:spacing w:after="0"/>
              <w:rPr>
                <w:sz w:val="22"/>
                <w:szCs w:val="22"/>
                <w:lang w:val="hu-HU"/>
              </w:rPr>
            </w:pPr>
            <w:r w:rsidRPr="00183B5F">
              <w:rPr>
                <w:sz w:val="22"/>
                <w:lang w:val="hu-HU"/>
              </w:rPr>
              <w:t>≥ mNAPSI 75 (%)</w:t>
            </w:r>
          </w:p>
        </w:tc>
        <w:tc>
          <w:tcPr>
            <w:tcW w:w="1080" w:type="dxa"/>
          </w:tcPr>
          <w:p w14:paraId="5293B8E5" w14:textId="77777777" w:rsidR="006F0C61" w:rsidRPr="00183B5F" w:rsidRDefault="00943743">
            <w:pPr>
              <w:pStyle w:val="gtctablespaceafter"/>
              <w:spacing w:after="0"/>
              <w:jc w:val="center"/>
              <w:rPr>
                <w:sz w:val="22"/>
                <w:szCs w:val="22"/>
                <w:lang w:val="hu-HU"/>
              </w:rPr>
            </w:pPr>
            <w:r w:rsidRPr="00183B5F">
              <w:rPr>
                <w:sz w:val="22"/>
                <w:szCs w:val="22"/>
                <w:lang w:val="hu-HU"/>
              </w:rPr>
              <w:t>2,9</w:t>
            </w:r>
          </w:p>
        </w:tc>
        <w:tc>
          <w:tcPr>
            <w:tcW w:w="1260" w:type="dxa"/>
          </w:tcPr>
          <w:p w14:paraId="082905BB" w14:textId="77777777" w:rsidR="006F0C61" w:rsidRPr="00183B5F" w:rsidRDefault="00943743">
            <w:pPr>
              <w:pStyle w:val="gtctablespaceafter"/>
              <w:spacing w:after="0"/>
              <w:jc w:val="center"/>
              <w:rPr>
                <w:sz w:val="22"/>
                <w:szCs w:val="22"/>
                <w:lang w:val="hu-HU"/>
              </w:rPr>
            </w:pPr>
            <w:r w:rsidRPr="00183B5F">
              <w:rPr>
                <w:sz w:val="22"/>
                <w:szCs w:val="22"/>
                <w:lang w:val="hu-HU"/>
              </w:rPr>
              <w:t>26,0</w:t>
            </w:r>
            <w:r w:rsidRPr="00183B5F">
              <w:rPr>
                <w:sz w:val="22"/>
                <w:szCs w:val="22"/>
                <w:vertAlign w:val="superscript"/>
                <w:lang w:val="hu-HU"/>
              </w:rPr>
              <w:t>a</w:t>
            </w:r>
          </w:p>
        </w:tc>
        <w:tc>
          <w:tcPr>
            <w:tcW w:w="990" w:type="dxa"/>
          </w:tcPr>
          <w:p w14:paraId="28CD96ED" w14:textId="77777777" w:rsidR="006F0C61" w:rsidRPr="00183B5F" w:rsidRDefault="00943743" w:rsidP="004062FE">
            <w:pPr>
              <w:keepNext/>
              <w:spacing w:line="240" w:lineRule="auto"/>
              <w:jc w:val="center"/>
              <w:rPr>
                <w:szCs w:val="22"/>
              </w:rPr>
            </w:pPr>
            <w:r w:rsidRPr="00183B5F">
              <w:rPr>
                <w:szCs w:val="22"/>
              </w:rPr>
              <w:t>3,4</w:t>
            </w:r>
          </w:p>
        </w:tc>
        <w:tc>
          <w:tcPr>
            <w:tcW w:w="1260" w:type="dxa"/>
          </w:tcPr>
          <w:p w14:paraId="7223BA37" w14:textId="77777777" w:rsidR="006F0C61" w:rsidRPr="00183B5F" w:rsidRDefault="00943743" w:rsidP="004062FE">
            <w:pPr>
              <w:keepNext/>
              <w:spacing w:line="240" w:lineRule="auto"/>
              <w:jc w:val="center"/>
              <w:rPr>
                <w:szCs w:val="22"/>
              </w:rPr>
            </w:pPr>
            <w:r w:rsidRPr="00183B5F">
              <w:rPr>
                <w:szCs w:val="22"/>
              </w:rPr>
              <w:t>46,6</w:t>
            </w:r>
            <w:r w:rsidRPr="00183B5F">
              <w:rPr>
                <w:szCs w:val="22"/>
                <w:vertAlign w:val="superscript"/>
              </w:rPr>
              <w:t>a</w:t>
            </w:r>
          </w:p>
        </w:tc>
        <w:tc>
          <w:tcPr>
            <w:tcW w:w="2268" w:type="dxa"/>
          </w:tcPr>
          <w:p w14:paraId="5FABD20E" w14:textId="77777777" w:rsidR="006F0C61" w:rsidRPr="00183B5F" w:rsidRDefault="00943743">
            <w:pPr>
              <w:pStyle w:val="gtctablespaceafter"/>
              <w:spacing w:after="0"/>
              <w:jc w:val="center"/>
              <w:rPr>
                <w:sz w:val="22"/>
                <w:szCs w:val="22"/>
                <w:lang w:val="hu-HU"/>
              </w:rPr>
            </w:pPr>
            <w:r w:rsidRPr="00183B5F">
              <w:rPr>
                <w:sz w:val="22"/>
                <w:szCs w:val="22"/>
                <w:lang w:val="hu-HU"/>
              </w:rPr>
              <w:t>65,0</w:t>
            </w:r>
          </w:p>
        </w:tc>
      </w:tr>
      <w:tr w:rsidR="00011D2F" w14:paraId="0329CAEF" w14:textId="77777777" w:rsidTr="006F0C61">
        <w:tc>
          <w:tcPr>
            <w:tcW w:w="2718" w:type="dxa"/>
          </w:tcPr>
          <w:p w14:paraId="4F5F0C0B" w14:textId="77777777" w:rsidR="006F0C61" w:rsidRPr="00183B5F" w:rsidRDefault="00943743">
            <w:pPr>
              <w:pStyle w:val="gtctablespaceafter"/>
              <w:spacing w:after="0"/>
              <w:rPr>
                <w:sz w:val="22"/>
                <w:szCs w:val="22"/>
                <w:lang w:val="hu-HU"/>
              </w:rPr>
            </w:pPr>
            <w:r w:rsidRPr="00183B5F">
              <w:rPr>
                <w:sz w:val="22"/>
                <w:szCs w:val="22"/>
                <w:lang w:val="hu-HU"/>
              </w:rPr>
              <w:t>PGA-F tiszta/minimális és ≥2</w:t>
            </w:r>
            <w:r w:rsidR="004E5E6A" w:rsidRPr="00183B5F">
              <w:rPr>
                <w:sz w:val="22"/>
                <w:szCs w:val="22"/>
                <w:lang w:val="hu-HU"/>
              </w:rPr>
              <w:t xml:space="preserve"> </w:t>
            </w:r>
            <w:r w:rsidRPr="00183B5F">
              <w:rPr>
                <w:sz w:val="22"/>
                <w:szCs w:val="22"/>
                <w:lang w:val="hu-HU"/>
              </w:rPr>
              <w:t>fokozatú javulás (%)</w:t>
            </w:r>
          </w:p>
        </w:tc>
        <w:tc>
          <w:tcPr>
            <w:tcW w:w="1080" w:type="dxa"/>
          </w:tcPr>
          <w:p w14:paraId="0C5DD997" w14:textId="77777777" w:rsidR="006F0C61" w:rsidRPr="00183B5F" w:rsidRDefault="00943743">
            <w:pPr>
              <w:pStyle w:val="gtctablespaceafter"/>
              <w:spacing w:after="0"/>
              <w:jc w:val="center"/>
              <w:rPr>
                <w:sz w:val="22"/>
                <w:szCs w:val="22"/>
                <w:lang w:val="hu-HU"/>
              </w:rPr>
            </w:pPr>
            <w:r w:rsidRPr="00183B5F">
              <w:rPr>
                <w:sz w:val="22"/>
                <w:szCs w:val="22"/>
                <w:lang w:val="hu-HU"/>
              </w:rPr>
              <w:t>2,9</w:t>
            </w:r>
          </w:p>
        </w:tc>
        <w:tc>
          <w:tcPr>
            <w:tcW w:w="1260" w:type="dxa"/>
          </w:tcPr>
          <w:p w14:paraId="0771364C" w14:textId="77777777" w:rsidR="006F0C61" w:rsidRPr="00183B5F" w:rsidRDefault="00943743">
            <w:pPr>
              <w:pStyle w:val="gtctablespaceafter"/>
              <w:spacing w:after="0"/>
              <w:jc w:val="center"/>
              <w:rPr>
                <w:sz w:val="22"/>
                <w:szCs w:val="22"/>
                <w:lang w:val="hu-HU"/>
              </w:rPr>
            </w:pPr>
            <w:r w:rsidRPr="00183B5F">
              <w:rPr>
                <w:sz w:val="22"/>
                <w:szCs w:val="22"/>
                <w:lang w:val="hu-HU"/>
              </w:rPr>
              <w:t>29,7</w:t>
            </w:r>
            <w:r w:rsidRPr="00183B5F">
              <w:rPr>
                <w:sz w:val="22"/>
                <w:szCs w:val="22"/>
                <w:vertAlign w:val="superscript"/>
                <w:lang w:val="hu-HU"/>
              </w:rPr>
              <w:t>a</w:t>
            </w:r>
          </w:p>
        </w:tc>
        <w:tc>
          <w:tcPr>
            <w:tcW w:w="990" w:type="dxa"/>
          </w:tcPr>
          <w:p w14:paraId="1D3CBD2E" w14:textId="77777777" w:rsidR="006F0C61" w:rsidRPr="00183B5F" w:rsidRDefault="00943743" w:rsidP="004062FE">
            <w:pPr>
              <w:keepNext/>
              <w:spacing w:line="240" w:lineRule="auto"/>
              <w:jc w:val="center"/>
              <w:rPr>
                <w:szCs w:val="22"/>
              </w:rPr>
            </w:pPr>
            <w:r w:rsidRPr="00183B5F">
              <w:rPr>
                <w:szCs w:val="22"/>
              </w:rPr>
              <w:t>6,9</w:t>
            </w:r>
          </w:p>
        </w:tc>
        <w:tc>
          <w:tcPr>
            <w:tcW w:w="1260" w:type="dxa"/>
          </w:tcPr>
          <w:p w14:paraId="3E3250B3" w14:textId="77777777" w:rsidR="006F0C61" w:rsidRPr="00183B5F" w:rsidRDefault="00943743" w:rsidP="004062FE">
            <w:pPr>
              <w:keepNext/>
              <w:spacing w:line="240" w:lineRule="auto"/>
              <w:jc w:val="center"/>
              <w:rPr>
                <w:szCs w:val="22"/>
              </w:rPr>
            </w:pPr>
            <w:r w:rsidRPr="00183B5F">
              <w:rPr>
                <w:szCs w:val="22"/>
              </w:rPr>
              <w:t>48,9</w:t>
            </w:r>
            <w:r w:rsidRPr="00183B5F">
              <w:rPr>
                <w:szCs w:val="22"/>
                <w:vertAlign w:val="superscript"/>
              </w:rPr>
              <w:t>a</w:t>
            </w:r>
          </w:p>
        </w:tc>
        <w:tc>
          <w:tcPr>
            <w:tcW w:w="2268" w:type="dxa"/>
          </w:tcPr>
          <w:p w14:paraId="2B4EA557" w14:textId="77777777" w:rsidR="006F0C61" w:rsidRPr="00183B5F" w:rsidRDefault="00943743">
            <w:pPr>
              <w:pStyle w:val="gtctablespaceafter"/>
              <w:spacing w:after="0"/>
              <w:jc w:val="center"/>
              <w:rPr>
                <w:sz w:val="22"/>
                <w:szCs w:val="22"/>
                <w:lang w:val="hu-HU"/>
              </w:rPr>
            </w:pPr>
            <w:r w:rsidRPr="00183B5F">
              <w:rPr>
                <w:sz w:val="22"/>
                <w:szCs w:val="22"/>
                <w:lang w:val="hu-HU"/>
              </w:rPr>
              <w:t>61,3</w:t>
            </w:r>
          </w:p>
        </w:tc>
      </w:tr>
      <w:tr w:rsidR="00011D2F" w14:paraId="3CAA1D2D" w14:textId="77777777" w:rsidTr="006F0C61">
        <w:tc>
          <w:tcPr>
            <w:tcW w:w="2718" w:type="dxa"/>
          </w:tcPr>
          <w:p w14:paraId="755ADB82" w14:textId="77777777" w:rsidR="006F0C61" w:rsidRPr="00183B5F" w:rsidRDefault="00943743">
            <w:pPr>
              <w:pStyle w:val="gtctablespaceafter"/>
              <w:spacing w:after="0"/>
              <w:rPr>
                <w:sz w:val="22"/>
                <w:szCs w:val="22"/>
                <w:lang w:val="hu-HU"/>
              </w:rPr>
            </w:pPr>
            <w:r w:rsidRPr="00183B5F">
              <w:rPr>
                <w:sz w:val="22"/>
                <w:szCs w:val="22"/>
                <w:lang w:val="hu-HU"/>
              </w:rPr>
              <w:t>Teljes köröm NAPSI százalékos változása (%)</w:t>
            </w:r>
          </w:p>
        </w:tc>
        <w:tc>
          <w:tcPr>
            <w:tcW w:w="1080" w:type="dxa"/>
          </w:tcPr>
          <w:p w14:paraId="39A3FC45" w14:textId="77777777" w:rsidR="006F0C61" w:rsidRPr="00183B5F" w:rsidRDefault="00943743">
            <w:pPr>
              <w:pStyle w:val="gtctablespaceafter"/>
              <w:spacing w:after="0"/>
              <w:jc w:val="center"/>
              <w:rPr>
                <w:sz w:val="22"/>
                <w:szCs w:val="22"/>
                <w:lang w:val="hu-HU"/>
              </w:rPr>
            </w:pPr>
            <w:r w:rsidRPr="00183B5F">
              <w:rPr>
                <w:sz w:val="22"/>
                <w:szCs w:val="22"/>
                <w:lang w:val="hu-HU"/>
              </w:rPr>
              <w:t>-7,8</w:t>
            </w:r>
          </w:p>
        </w:tc>
        <w:tc>
          <w:tcPr>
            <w:tcW w:w="1260" w:type="dxa"/>
          </w:tcPr>
          <w:p w14:paraId="6311BF27" w14:textId="77777777" w:rsidR="006F0C61" w:rsidRPr="00183B5F" w:rsidRDefault="00943743">
            <w:pPr>
              <w:pStyle w:val="gtctablespaceafter"/>
              <w:spacing w:after="0"/>
              <w:jc w:val="center"/>
              <w:rPr>
                <w:sz w:val="22"/>
                <w:szCs w:val="22"/>
                <w:lang w:val="hu-HU"/>
              </w:rPr>
            </w:pPr>
            <w:r w:rsidRPr="00183B5F">
              <w:rPr>
                <w:sz w:val="22"/>
                <w:szCs w:val="22"/>
                <w:lang w:val="hu-HU"/>
              </w:rPr>
              <w:t>-44,2</w:t>
            </w:r>
            <w:r w:rsidRPr="00183B5F">
              <w:rPr>
                <w:sz w:val="22"/>
                <w:szCs w:val="22"/>
                <w:vertAlign w:val="superscript"/>
                <w:lang w:val="hu-HU"/>
              </w:rPr>
              <w:t xml:space="preserve"> a</w:t>
            </w:r>
          </w:p>
        </w:tc>
        <w:tc>
          <w:tcPr>
            <w:tcW w:w="990" w:type="dxa"/>
          </w:tcPr>
          <w:p w14:paraId="3ADF1E13" w14:textId="77777777" w:rsidR="006F0C61" w:rsidRPr="00183B5F" w:rsidRDefault="00943743" w:rsidP="004062FE">
            <w:pPr>
              <w:keepNext/>
              <w:spacing w:line="240" w:lineRule="auto"/>
              <w:jc w:val="center"/>
              <w:rPr>
                <w:szCs w:val="22"/>
              </w:rPr>
            </w:pPr>
            <w:r w:rsidRPr="00183B5F">
              <w:rPr>
                <w:szCs w:val="22"/>
              </w:rPr>
              <w:t>-11,5</w:t>
            </w:r>
          </w:p>
        </w:tc>
        <w:tc>
          <w:tcPr>
            <w:tcW w:w="1260" w:type="dxa"/>
          </w:tcPr>
          <w:p w14:paraId="1C918FC1" w14:textId="77777777" w:rsidR="006F0C61" w:rsidRPr="00183B5F" w:rsidRDefault="00943743" w:rsidP="004062FE">
            <w:pPr>
              <w:keepNext/>
              <w:spacing w:line="240" w:lineRule="auto"/>
              <w:jc w:val="center"/>
              <w:rPr>
                <w:szCs w:val="22"/>
              </w:rPr>
            </w:pPr>
            <w:r w:rsidRPr="00183B5F">
              <w:rPr>
                <w:szCs w:val="22"/>
              </w:rPr>
              <w:t>-56,2</w:t>
            </w:r>
            <w:r w:rsidRPr="00183B5F">
              <w:rPr>
                <w:szCs w:val="22"/>
                <w:vertAlign w:val="superscript"/>
              </w:rPr>
              <w:t>a</w:t>
            </w:r>
          </w:p>
        </w:tc>
        <w:tc>
          <w:tcPr>
            <w:tcW w:w="2268" w:type="dxa"/>
          </w:tcPr>
          <w:p w14:paraId="17449238" w14:textId="77777777" w:rsidR="006F0C61" w:rsidRPr="00183B5F" w:rsidRDefault="00943743">
            <w:pPr>
              <w:pStyle w:val="gtctablespaceafter"/>
              <w:spacing w:after="0"/>
              <w:jc w:val="center"/>
              <w:rPr>
                <w:sz w:val="22"/>
                <w:szCs w:val="22"/>
                <w:lang w:val="hu-HU"/>
              </w:rPr>
            </w:pPr>
            <w:r w:rsidRPr="00183B5F">
              <w:rPr>
                <w:sz w:val="22"/>
                <w:szCs w:val="22"/>
                <w:lang w:val="hu-HU"/>
              </w:rPr>
              <w:t>-72,2</w:t>
            </w:r>
          </w:p>
        </w:tc>
      </w:tr>
      <w:tr w:rsidR="00011D2F" w14:paraId="33017F89" w14:textId="77777777" w:rsidTr="006F0C61">
        <w:tc>
          <w:tcPr>
            <w:tcW w:w="9576" w:type="dxa"/>
            <w:gridSpan w:val="6"/>
          </w:tcPr>
          <w:p w14:paraId="652E0EFA" w14:textId="77777777" w:rsidR="006F0C61" w:rsidRPr="00183B5F" w:rsidRDefault="00943743">
            <w:pPr>
              <w:pStyle w:val="gtctablespaceafter"/>
              <w:spacing w:after="0"/>
              <w:rPr>
                <w:sz w:val="22"/>
                <w:szCs w:val="22"/>
                <w:lang w:val="hu-HU"/>
              </w:rPr>
            </w:pPr>
            <w:r w:rsidRPr="00183B5F">
              <w:rPr>
                <w:sz w:val="22"/>
                <w:szCs w:val="22"/>
                <w:vertAlign w:val="superscript"/>
                <w:lang w:val="hu-HU"/>
              </w:rPr>
              <w:t>a</w:t>
            </w:r>
            <w:r w:rsidRPr="00183B5F">
              <w:rPr>
                <w:sz w:val="22"/>
                <w:szCs w:val="22"/>
                <w:lang w:val="hu-HU"/>
              </w:rPr>
              <w:t xml:space="preserve"> p&lt;0,001, Humira </w:t>
            </w:r>
            <w:r w:rsidRPr="00183B5F">
              <w:rPr>
                <w:i/>
                <w:sz w:val="22"/>
                <w:szCs w:val="22"/>
                <w:lang w:val="hu-HU"/>
              </w:rPr>
              <w:t>vs.</w:t>
            </w:r>
            <w:r w:rsidRPr="00183B5F">
              <w:rPr>
                <w:sz w:val="22"/>
                <w:szCs w:val="22"/>
                <w:lang w:val="hu-HU"/>
              </w:rPr>
              <w:t xml:space="preserve"> placebo </w:t>
            </w:r>
          </w:p>
        </w:tc>
      </w:tr>
    </w:tbl>
    <w:p w14:paraId="5B868821" w14:textId="77777777" w:rsidR="006F0C61" w:rsidRPr="00183B5F" w:rsidRDefault="006F0C61">
      <w:pPr>
        <w:pStyle w:val="gtctablespaceafter"/>
        <w:spacing w:after="0"/>
        <w:rPr>
          <w:sz w:val="22"/>
          <w:szCs w:val="22"/>
          <w:lang w:val="hu-HU"/>
        </w:rPr>
      </w:pPr>
    </w:p>
    <w:p w14:paraId="53214044" w14:textId="77777777" w:rsidR="006F0C61" w:rsidRPr="00183B5F" w:rsidRDefault="00943743">
      <w:pPr>
        <w:pStyle w:val="EMEANormal"/>
        <w:rPr>
          <w:szCs w:val="22"/>
          <w:lang w:val="hu-HU"/>
        </w:rPr>
      </w:pPr>
      <w:r w:rsidRPr="00183B5F">
        <w:rPr>
          <w:szCs w:val="22"/>
          <w:lang w:val="hu-HU"/>
        </w:rPr>
        <w:t>A Humira</w:t>
      </w:r>
      <w:r w:rsidR="00F77D45" w:rsidRPr="00183B5F">
        <w:rPr>
          <w:szCs w:val="22"/>
          <w:lang w:val="hu-HU"/>
        </w:rPr>
        <w:noBreakHyphen/>
      </w:r>
      <w:r w:rsidRPr="00183B5F">
        <w:rPr>
          <w:szCs w:val="22"/>
          <w:lang w:val="hu-HU"/>
        </w:rPr>
        <w:t xml:space="preserve">val kezelt betegeknél a bőrgyógyászati életminőségi index (DLQI) statisztikailag szignifikáns javulást mutatott a 26. héten a placebóhoz képest. </w:t>
      </w:r>
    </w:p>
    <w:p w14:paraId="3DAB4838" w14:textId="77777777" w:rsidR="00764497" w:rsidRPr="00183B5F" w:rsidRDefault="00764497" w:rsidP="004062FE">
      <w:pPr>
        <w:spacing w:line="240" w:lineRule="auto"/>
        <w:rPr>
          <w:szCs w:val="22"/>
          <w:u w:val="single"/>
        </w:rPr>
      </w:pPr>
    </w:p>
    <w:p w14:paraId="6EFE6C2D" w14:textId="77777777" w:rsidR="00764497" w:rsidRPr="00183B5F" w:rsidRDefault="00943743" w:rsidP="004062FE">
      <w:pPr>
        <w:keepNext/>
        <w:spacing w:line="240" w:lineRule="auto"/>
        <w:rPr>
          <w:i/>
          <w:szCs w:val="22"/>
        </w:rPr>
      </w:pPr>
      <w:r w:rsidRPr="00183B5F">
        <w:rPr>
          <w:i/>
          <w:szCs w:val="22"/>
        </w:rPr>
        <w:t>Hidradenitis suppurativa</w:t>
      </w:r>
    </w:p>
    <w:p w14:paraId="3188E067" w14:textId="77777777" w:rsidR="00764497" w:rsidRPr="00183B5F" w:rsidRDefault="00764497" w:rsidP="004062FE">
      <w:pPr>
        <w:keepNext/>
        <w:spacing w:line="240" w:lineRule="auto"/>
        <w:rPr>
          <w:i/>
          <w:szCs w:val="22"/>
        </w:rPr>
      </w:pPr>
    </w:p>
    <w:p w14:paraId="6B15922D" w14:textId="77777777" w:rsidR="00764497" w:rsidRPr="00183B5F" w:rsidRDefault="00943743" w:rsidP="004062FE">
      <w:pPr>
        <w:spacing w:line="240" w:lineRule="auto"/>
        <w:rPr>
          <w:szCs w:val="22"/>
        </w:rPr>
      </w:pPr>
      <w:r w:rsidRPr="00183B5F">
        <w:rPr>
          <w:szCs w:val="22"/>
        </w:rPr>
        <w:t xml:space="preserve">A Humira biztonságosságát és hatásosságát olyan közepesen súlyos - súlyos aktivitású hidradenitis suppurativában (HS) szenvedő felnőtt betegeknél értékelték randomizált, </w:t>
      </w:r>
      <w:r w:rsidR="00E5381A" w:rsidRPr="00183B5F">
        <w:rPr>
          <w:szCs w:val="22"/>
        </w:rPr>
        <w:t>kettős vak</w:t>
      </w:r>
      <w:r w:rsidRPr="00183B5F">
        <w:rPr>
          <w:szCs w:val="22"/>
        </w:rPr>
        <w:t xml:space="preserve">, placebokontrollos </w:t>
      </w:r>
      <w:r w:rsidR="005532E8" w:rsidRPr="00183B5F">
        <w:rPr>
          <w:szCs w:val="22"/>
        </w:rPr>
        <w:t xml:space="preserve">vizsgálatokkal és egy nyílt kiterjesztéses </w:t>
      </w:r>
      <w:r w:rsidRPr="00183B5F">
        <w:rPr>
          <w:szCs w:val="22"/>
        </w:rPr>
        <w:t>vizsgálattal, akik a 3 hónapos szisztémás antibiotikum kezelést nem tolerálták, ellenjavallt volt náluk, vagy nem adtak kielégítő választ. A HS</w:t>
      </w:r>
      <w:r w:rsidRPr="00183B5F">
        <w:rPr>
          <w:szCs w:val="22"/>
        </w:rPr>
        <w:noBreakHyphen/>
        <w:t>I és H</w:t>
      </w:r>
      <w:r w:rsidR="005E713E" w:rsidRPr="00183B5F">
        <w:rPr>
          <w:szCs w:val="22"/>
        </w:rPr>
        <w:t>S</w:t>
      </w:r>
      <w:r w:rsidRPr="00183B5F">
        <w:rPr>
          <w:szCs w:val="22"/>
        </w:rPr>
        <w:noBreakHyphen/>
        <w:t>II</w:t>
      </w:r>
      <w:r w:rsidRPr="00183B5F">
        <w:rPr>
          <w:szCs w:val="22"/>
        </w:rPr>
        <w:noBreakHyphen/>
        <w:t>es betegeknek legalább 3 tályoggal vagy gyulladásos csomóval járó Hurley Stage II vagy Hurley Stage III stádiumú betegségük</w:t>
      </w:r>
      <w:r w:rsidR="005532E8" w:rsidRPr="00183B5F">
        <w:rPr>
          <w:szCs w:val="22"/>
        </w:rPr>
        <w:t xml:space="preserve"> </w:t>
      </w:r>
      <w:r w:rsidRPr="00183B5F">
        <w:rPr>
          <w:szCs w:val="22"/>
        </w:rPr>
        <w:t>volt.</w:t>
      </w:r>
    </w:p>
    <w:p w14:paraId="3595C27B" w14:textId="77777777" w:rsidR="00764497" w:rsidRPr="00183B5F" w:rsidRDefault="00764497" w:rsidP="004062FE">
      <w:pPr>
        <w:spacing w:line="240" w:lineRule="auto"/>
        <w:rPr>
          <w:szCs w:val="22"/>
        </w:rPr>
      </w:pPr>
    </w:p>
    <w:p w14:paraId="4D52C585" w14:textId="77777777" w:rsidR="00764497" w:rsidRPr="00183B5F" w:rsidRDefault="00943743" w:rsidP="004062FE">
      <w:pPr>
        <w:spacing w:line="240" w:lineRule="auto"/>
        <w:rPr>
          <w:color w:val="000000"/>
        </w:rPr>
      </w:pPr>
      <w:r w:rsidRPr="00183B5F">
        <w:rPr>
          <w:szCs w:val="22"/>
        </w:rPr>
        <w:t>A HS</w:t>
      </w:r>
      <w:r w:rsidRPr="00183B5F">
        <w:rPr>
          <w:szCs w:val="22"/>
        </w:rPr>
        <w:noBreakHyphen/>
        <w:t>I vizsgálat (PIONEER I) 307 beteget értékelt 2 kezelési periódusban. Az A periódusban a betegek 160 mg telítő dózisú placebót vagy Humira</w:t>
      </w:r>
      <w:r w:rsidRPr="00183B5F">
        <w:rPr>
          <w:szCs w:val="22"/>
        </w:rPr>
        <w:noBreakHyphen/>
        <w:t>t kaptak a 0. héten, 80 mg</w:t>
      </w:r>
      <w:r w:rsidRPr="00183B5F">
        <w:rPr>
          <w:szCs w:val="22"/>
        </w:rPr>
        <w:noBreakHyphen/>
        <w:t>ot a 2. héten és 40 mg</w:t>
      </w:r>
      <w:r w:rsidRPr="00183B5F">
        <w:rPr>
          <w:szCs w:val="22"/>
        </w:rPr>
        <w:noBreakHyphen/>
        <w:t>ot minden héten a 4</w:t>
      </w:r>
      <w:r w:rsidRPr="00183B5F">
        <w:rPr>
          <w:szCs w:val="22"/>
        </w:rPr>
        <w:noBreakHyphen/>
        <w:t>11. hétig. A vizsgálat alatt nem volt megengedett antibiotikum együttes alkalmazása. A 12 hétig tartó terápia után azokat a betegeket akik az A periódusban Humira</w:t>
      </w:r>
      <w:r w:rsidRPr="00183B5F">
        <w:rPr>
          <w:szCs w:val="22"/>
        </w:rPr>
        <w:noBreakHyphen/>
        <w:t>t kaptak, a B periódusban ismét randomizálták, a 3 kezelési csoport egyikébe (</w:t>
      </w:r>
      <w:r w:rsidRPr="00183B5F">
        <w:rPr>
          <w:color w:val="000000"/>
        </w:rPr>
        <w:t xml:space="preserve">40 mg Humira minden héten, 40 mg Humira minden második héten, </w:t>
      </w:r>
      <w:r w:rsidRPr="00183B5F">
        <w:rPr>
          <w:color w:val="000000"/>
        </w:rPr>
        <w:t>vagy placebo 12</w:t>
      </w:r>
      <w:r w:rsidRPr="00183B5F">
        <w:rPr>
          <w:color w:val="000000"/>
        </w:rPr>
        <w:noBreakHyphen/>
        <w:t xml:space="preserve">35. hétig). Az A periódusban </w:t>
      </w:r>
      <w:r w:rsidR="005532E8" w:rsidRPr="00183B5F">
        <w:rPr>
          <w:color w:val="000000"/>
        </w:rPr>
        <w:t xml:space="preserve">placebóra randomizált </w:t>
      </w:r>
      <w:r w:rsidRPr="00183B5F">
        <w:rPr>
          <w:color w:val="000000"/>
        </w:rPr>
        <w:t>kapó betegek a B periódusban 40 mg Humira</w:t>
      </w:r>
      <w:r w:rsidRPr="00183B5F">
        <w:rPr>
          <w:color w:val="000000"/>
        </w:rPr>
        <w:noBreakHyphen/>
        <w:t>t kaptak minden héten.</w:t>
      </w:r>
    </w:p>
    <w:p w14:paraId="7B705B2D" w14:textId="77777777" w:rsidR="00764497" w:rsidRPr="00183B5F" w:rsidRDefault="00764497" w:rsidP="004062FE">
      <w:pPr>
        <w:spacing w:line="240" w:lineRule="auto"/>
        <w:rPr>
          <w:color w:val="000000"/>
        </w:rPr>
      </w:pPr>
    </w:p>
    <w:p w14:paraId="2066C1B7" w14:textId="77777777" w:rsidR="00764497" w:rsidRPr="00183B5F" w:rsidRDefault="00943743" w:rsidP="004062FE">
      <w:pPr>
        <w:spacing w:line="240" w:lineRule="auto"/>
        <w:rPr>
          <w:color w:val="000000"/>
        </w:rPr>
      </w:pPr>
      <w:r w:rsidRPr="00183B5F">
        <w:rPr>
          <w:color w:val="000000"/>
        </w:rPr>
        <w:t>A HS</w:t>
      </w:r>
      <w:r w:rsidRPr="00183B5F">
        <w:rPr>
          <w:color w:val="000000"/>
        </w:rPr>
        <w:noBreakHyphen/>
        <w:t>II (PIONEER II) vizsgálat 326 beteget értékelt 2 kezelési periódusban. Az A periódusban a betegek 160 mg telítő dózisú placebót vagy Humira</w:t>
      </w:r>
      <w:r w:rsidRPr="00183B5F">
        <w:rPr>
          <w:color w:val="000000"/>
        </w:rPr>
        <w:noBreakHyphen/>
        <w:t>t kaptak a 0.</w:t>
      </w:r>
      <w:r w:rsidR="005532E8" w:rsidRPr="00183B5F">
        <w:rPr>
          <w:color w:val="000000"/>
        </w:rPr>
        <w:t> </w:t>
      </w:r>
      <w:r w:rsidRPr="00183B5F">
        <w:rPr>
          <w:color w:val="000000"/>
        </w:rPr>
        <w:t>héten, 80</w:t>
      </w:r>
      <w:r w:rsidR="005532E8" w:rsidRPr="00183B5F">
        <w:rPr>
          <w:color w:val="000000"/>
        </w:rPr>
        <w:t> </w:t>
      </w:r>
      <w:r w:rsidRPr="00183B5F">
        <w:rPr>
          <w:color w:val="000000"/>
        </w:rPr>
        <w:t>mg</w:t>
      </w:r>
      <w:r w:rsidR="005532E8" w:rsidRPr="00183B5F">
        <w:rPr>
          <w:color w:val="000000"/>
        </w:rPr>
        <w:noBreakHyphen/>
      </w:r>
      <w:r w:rsidRPr="00183B5F">
        <w:rPr>
          <w:color w:val="000000"/>
        </w:rPr>
        <w:t>ot a 2.</w:t>
      </w:r>
      <w:r w:rsidR="005532E8" w:rsidRPr="00183B5F">
        <w:rPr>
          <w:color w:val="000000"/>
        </w:rPr>
        <w:t> </w:t>
      </w:r>
      <w:r w:rsidRPr="00183B5F">
        <w:rPr>
          <w:color w:val="000000"/>
        </w:rPr>
        <w:t>héten és 40 mg</w:t>
      </w:r>
      <w:r w:rsidRPr="00183B5F">
        <w:rPr>
          <w:color w:val="000000"/>
        </w:rPr>
        <w:noBreakHyphen/>
        <w:t>ot minden héten a 4</w:t>
      </w:r>
      <w:r w:rsidRPr="00183B5F">
        <w:rPr>
          <w:color w:val="000000"/>
        </w:rPr>
        <w:noBreakHyphen/>
        <w:t>11.</w:t>
      </w:r>
      <w:r w:rsidR="005532E8" w:rsidRPr="00183B5F">
        <w:rPr>
          <w:color w:val="000000"/>
        </w:rPr>
        <w:t> </w:t>
      </w:r>
      <w:r w:rsidRPr="00183B5F">
        <w:rPr>
          <w:color w:val="000000"/>
        </w:rPr>
        <w:t>hétig. A betegek 19,3%</w:t>
      </w:r>
      <w:r w:rsidRPr="00183B5F">
        <w:rPr>
          <w:color w:val="000000"/>
        </w:rPr>
        <w:noBreakHyphen/>
        <w:t>a folytatta a kiindulási orális antibiotikum terápiát a vizsgálat alatt. A 12 hétig tartó terápia után azokat a betegeket, akik az A periódusban Humira</w:t>
      </w:r>
      <w:r w:rsidRPr="00183B5F">
        <w:rPr>
          <w:color w:val="000000"/>
        </w:rPr>
        <w:noBreakHyphen/>
        <w:t>t kaptak, a B periódusban ismét randomizálták, a 3 kezelési csoport egyikébe (40 mg Humira minden héten, 40 mg Humira mind</w:t>
      </w:r>
      <w:r w:rsidRPr="00183B5F">
        <w:rPr>
          <w:color w:val="000000"/>
        </w:rPr>
        <w:t>en második héten, vagy placebo a 12</w:t>
      </w:r>
      <w:r w:rsidRPr="00183B5F">
        <w:rPr>
          <w:color w:val="000000"/>
        </w:rPr>
        <w:noBreakHyphen/>
        <w:t>35. hétig). Az A periódusban véletlenszerűen placebót kapó betegeknek a B periódusban is placebót adtak.</w:t>
      </w:r>
    </w:p>
    <w:p w14:paraId="21224068" w14:textId="77777777" w:rsidR="00764497" w:rsidRPr="00183B5F" w:rsidRDefault="00764497" w:rsidP="004062FE">
      <w:pPr>
        <w:spacing w:line="240" w:lineRule="auto"/>
        <w:rPr>
          <w:color w:val="000000"/>
        </w:rPr>
      </w:pPr>
    </w:p>
    <w:p w14:paraId="3A0D8EBA" w14:textId="77777777" w:rsidR="00764497" w:rsidRPr="00183B5F" w:rsidRDefault="00943743" w:rsidP="004062FE">
      <w:pPr>
        <w:spacing w:line="240" w:lineRule="auto"/>
        <w:rPr>
          <w:color w:val="000000"/>
        </w:rPr>
      </w:pPr>
      <w:r w:rsidRPr="00183B5F">
        <w:rPr>
          <w:color w:val="000000"/>
        </w:rPr>
        <w:t>A HS</w:t>
      </w:r>
      <w:r w:rsidRPr="00183B5F">
        <w:rPr>
          <w:color w:val="000000"/>
        </w:rPr>
        <w:noBreakHyphen/>
        <w:t>I és HS</w:t>
      </w:r>
      <w:r w:rsidRPr="00183B5F">
        <w:rPr>
          <w:color w:val="000000"/>
        </w:rPr>
        <w:noBreakHyphen/>
        <w:t xml:space="preserve">II vizsgálatban részt vevő betegek jogosultak voltak egy nyílt, </w:t>
      </w:r>
      <w:r w:rsidR="005532E8" w:rsidRPr="00183B5F">
        <w:rPr>
          <w:color w:val="000000"/>
        </w:rPr>
        <w:t>kiterjesztéses</w:t>
      </w:r>
      <w:r w:rsidRPr="00183B5F">
        <w:rPr>
          <w:color w:val="000000"/>
        </w:rPr>
        <w:t xml:space="preserve"> vizsgálatba bekerülni, melyben 40 mg Humira</w:t>
      </w:r>
      <w:r w:rsidRPr="00183B5F">
        <w:rPr>
          <w:color w:val="000000"/>
        </w:rPr>
        <w:noBreakHyphen/>
        <w:t xml:space="preserve">t kaptak minden héten. </w:t>
      </w:r>
      <w:r w:rsidR="005307DD" w:rsidRPr="00183B5F">
        <w:rPr>
          <w:color w:val="000000"/>
        </w:rPr>
        <w:t xml:space="preserve">Az átlagos expozíció </w:t>
      </w:r>
      <w:r w:rsidR="006F700B" w:rsidRPr="00183B5F">
        <w:rPr>
          <w:color w:val="000000"/>
        </w:rPr>
        <w:t>a teljes,</w:t>
      </w:r>
      <w:r w:rsidR="005307DD" w:rsidRPr="00183B5F">
        <w:rPr>
          <w:color w:val="000000"/>
        </w:rPr>
        <w:t xml:space="preserve"> adalimumab</w:t>
      </w:r>
      <w:r w:rsidR="006F700B" w:rsidRPr="00183B5F">
        <w:rPr>
          <w:color w:val="000000"/>
        </w:rPr>
        <w:t>bal kezelt</w:t>
      </w:r>
      <w:r w:rsidR="005307DD" w:rsidRPr="00183B5F">
        <w:rPr>
          <w:color w:val="000000"/>
        </w:rPr>
        <w:t xml:space="preserve"> populációban 762 nap volt. </w:t>
      </w:r>
      <w:r w:rsidRPr="00183B5F">
        <w:rPr>
          <w:color w:val="000000"/>
        </w:rPr>
        <w:t>A 3 vizsgálat alatt a betegek helyi fertőtlenítő lemosót használtak naponta.</w:t>
      </w:r>
    </w:p>
    <w:p w14:paraId="35295135" w14:textId="77777777" w:rsidR="00764497" w:rsidRPr="00183B5F" w:rsidRDefault="00764497" w:rsidP="004062FE">
      <w:pPr>
        <w:spacing w:line="240" w:lineRule="auto"/>
        <w:rPr>
          <w:color w:val="000000"/>
        </w:rPr>
      </w:pPr>
    </w:p>
    <w:p w14:paraId="0D1D3DB7" w14:textId="77777777" w:rsidR="00764497" w:rsidRPr="00183B5F" w:rsidRDefault="00943743" w:rsidP="004062FE">
      <w:pPr>
        <w:keepNext/>
        <w:spacing w:line="240" w:lineRule="auto"/>
        <w:rPr>
          <w:i/>
          <w:color w:val="000000"/>
          <w:u w:val="single"/>
        </w:rPr>
      </w:pPr>
      <w:r w:rsidRPr="00183B5F">
        <w:rPr>
          <w:i/>
          <w:color w:val="000000"/>
          <w:u w:val="single"/>
        </w:rPr>
        <w:t>Klinikai válasz</w:t>
      </w:r>
    </w:p>
    <w:p w14:paraId="35D558B1" w14:textId="77777777" w:rsidR="00764497" w:rsidRPr="00183B5F" w:rsidRDefault="00764497" w:rsidP="004062FE">
      <w:pPr>
        <w:keepNext/>
        <w:spacing w:line="240" w:lineRule="auto"/>
        <w:rPr>
          <w:i/>
          <w:color w:val="000000"/>
          <w:u w:val="single"/>
        </w:rPr>
      </w:pPr>
    </w:p>
    <w:p w14:paraId="54B85584" w14:textId="77777777" w:rsidR="00764497" w:rsidRPr="00183B5F" w:rsidRDefault="00943743" w:rsidP="004062FE">
      <w:pPr>
        <w:spacing w:line="240" w:lineRule="auto"/>
        <w:rPr>
          <w:color w:val="000000"/>
        </w:rPr>
      </w:pPr>
      <w:r w:rsidRPr="00183B5F">
        <w:rPr>
          <w:color w:val="000000"/>
        </w:rPr>
        <w:t xml:space="preserve">A gyulladásos léziók csökkenését és a tályogok és váladékozó fistulák romlásának megelőzését a Hidradenitis suppurativa klinikai válasszal értékelték (HiSCR – </w:t>
      </w:r>
      <w:r w:rsidRPr="00183B5F">
        <w:rPr>
          <w:rFonts w:eastAsia="MS Mincho"/>
          <w:szCs w:val="22"/>
          <w:lang w:eastAsia="ja-JP"/>
        </w:rPr>
        <w:t>Hidradenitis Suppurativa Clinical Response</w:t>
      </w:r>
      <w:r w:rsidRPr="00183B5F">
        <w:rPr>
          <w:color w:val="000000"/>
        </w:rPr>
        <w:t>; az összes tályog és gyulladásos góc számának legalább 50%-os csökkenése, a tályogok és váladékozó fistulák számának növekedése nélkül, a vizsgálat megkezdéséhez képest). A HS</w:t>
      </w:r>
      <w:r w:rsidRPr="00183B5F">
        <w:rPr>
          <w:color w:val="000000"/>
        </w:rPr>
        <w:noBreakHyphen/>
        <w:t xml:space="preserve">sel összefüggő bőrfájdalom csökkenését egy numerikus skála segítségével értékelték azoknál a betegeknél, akik </w:t>
      </w:r>
      <w:r w:rsidR="005532E8" w:rsidRPr="00183B5F">
        <w:rPr>
          <w:color w:val="000000"/>
        </w:rPr>
        <w:t>a</w:t>
      </w:r>
      <w:r w:rsidRPr="00183B5F">
        <w:rPr>
          <w:color w:val="000000"/>
        </w:rPr>
        <w:t xml:space="preserve"> 11 pontos skálán 3 vagy magasabb kiindulási pontszámmal léptek be a vizsgálatba.</w:t>
      </w:r>
    </w:p>
    <w:p w14:paraId="3EB59347" w14:textId="77777777" w:rsidR="00764497" w:rsidRPr="00183B5F" w:rsidRDefault="00764497" w:rsidP="004062FE">
      <w:pPr>
        <w:spacing w:line="240" w:lineRule="auto"/>
        <w:rPr>
          <w:color w:val="000000"/>
        </w:rPr>
      </w:pPr>
    </w:p>
    <w:p w14:paraId="56DFDAF7" w14:textId="77777777" w:rsidR="00764497" w:rsidRPr="00183B5F" w:rsidRDefault="00943743" w:rsidP="004062FE">
      <w:pPr>
        <w:spacing w:line="240" w:lineRule="auto"/>
        <w:rPr>
          <w:color w:val="000000"/>
        </w:rPr>
      </w:pPr>
      <w:r w:rsidRPr="00183B5F">
        <w:rPr>
          <w:color w:val="000000"/>
        </w:rPr>
        <w:t>A 12. héten jelentősen nagyobb volt az aránya azoknak a Humira</w:t>
      </w:r>
      <w:r w:rsidRPr="00183B5F">
        <w:rPr>
          <w:color w:val="000000"/>
        </w:rPr>
        <w:noBreakHyphen/>
        <w:t>val kezelt betegeknek a placebót kapó betegekhez képest, akik elérték a HiSCR-t. A 12. héten a HS</w:t>
      </w:r>
      <w:r w:rsidRPr="00183B5F">
        <w:rPr>
          <w:color w:val="000000"/>
        </w:rPr>
        <w:noBreakHyphen/>
        <w:t xml:space="preserve">II vizsgálatban résztvevő betegek jelentősen nagyobb arányánál tapasztalták a HS-sel összefüggő bőrfájdalom klinikailag jelentős csökkenését (lásd </w:t>
      </w:r>
      <w:r w:rsidR="009D10E4" w:rsidRPr="00183B5F">
        <w:rPr>
          <w:color w:val="000000"/>
        </w:rPr>
        <w:t>12</w:t>
      </w:r>
      <w:r w:rsidRPr="00183B5F">
        <w:rPr>
          <w:color w:val="000000"/>
        </w:rPr>
        <w:t>. táblázat). A Humira</w:t>
      </w:r>
      <w:r w:rsidRPr="00183B5F">
        <w:rPr>
          <w:color w:val="000000"/>
        </w:rPr>
        <w:noBreakHyphen/>
        <w:t>val kezelt betegeknél a kezelés első 12 hete alatt jelentősen lecsökkent a betegség kiújulásának kockázata.</w:t>
      </w:r>
    </w:p>
    <w:p w14:paraId="64E01D34" w14:textId="77777777" w:rsidR="00764497" w:rsidRPr="00183B5F" w:rsidRDefault="00764497" w:rsidP="004062FE">
      <w:pPr>
        <w:spacing w:line="240" w:lineRule="auto"/>
        <w:rPr>
          <w:color w:val="000000"/>
        </w:rPr>
      </w:pPr>
    </w:p>
    <w:p w14:paraId="04CD4E2D" w14:textId="77777777" w:rsidR="00764497" w:rsidRPr="00183B5F" w:rsidRDefault="00943743" w:rsidP="004062FE">
      <w:pPr>
        <w:keepNext/>
        <w:spacing w:line="240" w:lineRule="auto"/>
        <w:jc w:val="center"/>
        <w:rPr>
          <w:b/>
          <w:color w:val="000000"/>
        </w:rPr>
      </w:pPr>
      <w:r w:rsidRPr="00183B5F">
        <w:rPr>
          <w:b/>
          <w:color w:val="000000"/>
        </w:rPr>
        <w:t>12. táblázat: Hatékonysági eredmények a 12. </w:t>
      </w:r>
      <w:r w:rsidR="005532E8" w:rsidRPr="00183B5F">
        <w:rPr>
          <w:b/>
          <w:color w:val="000000"/>
        </w:rPr>
        <w:t>h</w:t>
      </w:r>
      <w:r w:rsidRPr="00183B5F">
        <w:rPr>
          <w:b/>
          <w:color w:val="000000"/>
        </w:rPr>
        <w:t>éten, HS I és II vizsgálat</w:t>
      </w:r>
    </w:p>
    <w:p w14:paraId="533CD89B" w14:textId="77777777" w:rsidR="00764497" w:rsidRPr="00183B5F" w:rsidRDefault="00764497" w:rsidP="004062FE">
      <w:pPr>
        <w:keepNext/>
        <w:spacing w:line="240" w:lineRule="auto"/>
        <w:jc w:val="center"/>
        <w:rPr>
          <w:b/>
          <w:color w:val="000000"/>
        </w:rPr>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011D2F" w14:paraId="01F5C99E" w14:textId="77777777" w:rsidTr="00764497">
        <w:trPr>
          <w:jc w:val="center"/>
        </w:trPr>
        <w:tc>
          <w:tcPr>
            <w:tcW w:w="2847" w:type="dxa"/>
            <w:vMerge w:val="restart"/>
            <w:tcMar>
              <w:top w:w="0" w:type="dxa"/>
              <w:left w:w="115" w:type="dxa"/>
              <w:bottom w:w="0" w:type="dxa"/>
              <w:right w:w="115" w:type="dxa"/>
            </w:tcMar>
            <w:vAlign w:val="bottom"/>
          </w:tcPr>
          <w:p w14:paraId="604E9E5B" w14:textId="77777777" w:rsidR="00764497" w:rsidRPr="00183B5F" w:rsidRDefault="00764497" w:rsidP="004062FE">
            <w:pPr>
              <w:keepNext/>
              <w:widowControl w:val="0"/>
              <w:spacing w:line="240" w:lineRule="auto"/>
              <w:rPr>
                <w:b/>
              </w:rPr>
            </w:pPr>
          </w:p>
        </w:tc>
        <w:tc>
          <w:tcPr>
            <w:tcW w:w="3186" w:type="dxa"/>
            <w:gridSpan w:val="2"/>
            <w:tcMar>
              <w:top w:w="0" w:type="dxa"/>
              <w:left w:w="115" w:type="dxa"/>
              <w:bottom w:w="0" w:type="dxa"/>
              <w:right w:w="115" w:type="dxa"/>
            </w:tcMar>
            <w:vAlign w:val="bottom"/>
          </w:tcPr>
          <w:p w14:paraId="431DE00D" w14:textId="77777777" w:rsidR="00764497" w:rsidRPr="00183B5F" w:rsidRDefault="00943743">
            <w:pPr>
              <w:keepNext/>
              <w:widowControl w:val="0"/>
              <w:spacing w:line="240" w:lineRule="auto"/>
              <w:jc w:val="center"/>
              <w:rPr>
                <w:b/>
                <w:bCs/>
              </w:rPr>
            </w:pPr>
            <w:r w:rsidRPr="00183B5F">
              <w:rPr>
                <w:b/>
                <w:bCs/>
              </w:rPr>
              <w:t>HS</w:t>
            </w:r>
            <w:r w:rsidR="005532E8" w:rsidRPr="00183B5F">
              <w:rPr>
                <w:b/>
                <w:bCs/>
              </w:rPr>
              <w:noBreakHyphen/>
            </w:r>
            <w:r w:rsidRPr="00183B5F">
              <w:rPr>
                <w:b/>
                <w:bCs/>
              </w:rPr>
              <w:t>I vizsgálat</w:t>
            </w:r>
          </w:p>
        </w:tc>
        <w:tc>
          <w:tcPr>
            <w:tcW w:w="3260" w:type="dxa"/>
            <w:gridSpan w:val="2"/>
            <w:tcMar>
              <w:top w:w="0" w:type="dxa"/>
              <w:left w:w="115" w:type="dxa"/>
              <w:bottom w:w="0" w:type="dxa"/>
              <w:right w:w="115" w:type="dxa"/>
            </w:tcMar>
            <w:vAlign w:val="bottom"/>
          </w:tcPr>
          <w:p w14:paraId="6C292823" w14:textId="77777777" w:rsidR="00764497" w:rsidRPr="00183B5F" w:rsidRDefault="00943743">
            <w:pPr>
              <w:keepNext/>
              <w:widowControl w:val="0"/>
              <w:spacing w:line="240" w:lineRule="auto"/>
              <w:jc w:val="center"/>
              <w:rPr>
                <w:b/>
                <w:bCs/>
              </w:rPr>
            </w:pPr>
            <w:r w:rsidRPr="00183B5F">
              <w:rPr>
                <w:b/>
                <w:bCs/>
              </w:rPr>
              <w:t>HS</w:t>
            </w:r>
            <w:r w:rsidR="005532E8" w:rsidRPr="00183B5F">
              <w:rPr>
                <w:b/>
                <w:bCs/>
              </w:rPr>
              <w:noBreakHyphen/>
            </w:r>
            <w:r w:rsidRPr="00183B5F">
              <w:rPr>
                <w:b/>
                <w:bCs/>
              </w:rPr>
              <w:t>II vizsgálat</w:t>
            </w:r>
          </w:p>
        </w:tc>
      </w:tr>
      <w:tr w:rsidR="00011D2F" w14:paraId="365EDC10" w14:textId="77777777" w:rsidTr="00764497">
        <w:trPr>
          <w:jc w:val="center"/>
        </w:trPr>
        <w:tc>
          <w:tcPr>
            <w:tcW w:w="2847" w:type="dxa"/>
            <w:vMerge/>
            <w:tcMar>
              <w:top w:w="0" w:type="dxa"/>
              <w:left w:w="115" w:type="dxa"/>
              <w:bottom w:w="0" w:type="dxa"/>
              <w:right w:w="115" w:type="dxa"/>
            </w:tcMar>
            <w:vAlign w:val="center"/>
            <w:hideMark/>
          </w:tcPr>
          <w:p w14:paraId="4D447276" w14:textId="77777777" w:rsidR="00764497" w:rsidRPr="00183B5F" w:rsidRDefault="00764497" w:rsidP="004062FE">
            <w:pPr>
              <w:keepNext/>
              <w:widowControl w:val="0"/>
              <w:spacing w:line="240" w:lineRule="auto"/>
            </w:pPr>
          </w:p>
        </w:tc>
        <w:tc>
          <w:tcPr>
            <w:tcW w:w="1440" w:type="dxa"/>
            <w:tcMar>
              <w:top w:w="0" w:type="dxa"/>
              <w:left w:w="115" w:type="dxa"/>
              <w:bottom w:w="0" w:type="dxa"/>
              <w:right w:w="115" w:type="dxa"/>
            </w:tcMar>
            <w:vAlign w:val="bottom"/>
            <w:hideMark/>
          </w:tcPr>
          <w:p w14:paraId="55E7FE52" w14:textId="77777777" w:rsidR="00764497" w:rsidRPr="00183B5F" w:rsidRDefault="00943743" w:rsidP="004062FE">
            <w:pPr>
              <w:keepNext/>
              <w:widowControl w:val="0"/>
              <w:spacing w:line="240" w:lineRule="auto"/>
              <w:jc w:val="center"/>
            </w:pPr>
            <w:r w:rsidRPr="00183B5F">
              <w:rPr>
                <w:b/>
                <w:bCs/>
              </w:rPr>
              <w:t>Placebo</w:t>
            </w:r>
          </w:p>
        </w:tc>
        <w:tc>
          <w:tcPr>
            <w:tcW w:w="1746" w:type="dxa"/>
            <w:tcMar>
              <w:top w:w="0" w:type="dxa"/>
              <w:left w:w="115" w:type="dxa"/>
              <w:bottom w:w="0" w:type="dxa"/>
              <w:right w:w="115" w:type="dxa"/>
            </w:tcMar>
            <w:vAlign w:val="bottom"/>
            <w:hideMark/>
          </w:tcPr>
          <w:p w14:paraId="40147E62" w14:textId="77777777" w:rsidR="00764497" w:rsidRPr="00183B5F" w:rsidRDefault="00943743">
            <w:pPr>
              <w:keepNext/>
              <w:widowControl w:val="0"/>
              <w:spacing w:line="240" w:lineRule="auto"/>
              <w:jc w:val="center"/>
              <w:rPr>
                <w:b/>
                <w:bCs/>
              </w:rPr>
            </w:pPr>
            <w:r w:rsidRPr="00183B5F">
              <w:rPr>
                <w:b/>
                <w:bCs/>
              </w:rPr>
              <w:t>Humira 40</w:t>
            </w:r>
            <w:r w:rsidR="00334A27" w:rsidRPr="00183B5F">
              <w:rPr>
                <w:b/>
                <w:bCs/>
              </w:rPr>
              <w:t> </w:t>
            </w:r>
            <w:r w:rsidRPr="00183B5F">
              <w:rPr>
                <w:b/>
                <w:bCs/>
              </w:rPr>
              <w:t xml:space="preserve">mg </w:t>
            </w:r>
            <w:r w:rsidR="005532E8" w:rsidRPr="00183B5F">
              <w:rPr>
                <w:b/>
                <w:bCs/>
              </w:rPr>
              <w:t>h</w:t>
            </w:r>
            <w:r w:rsidRPr="00183B5F">
              <w:rPr>
                <w:b/>
                <w:bCs/>
              </w:rPr>
              <w:t>etente</w:t>
            </w:r>
          </w:p>
        </w:tc>
        <w:tc>
          <w:tcPr>
            <w:tcW w:w="1404" w:type="dxa"/>
            <w:tcMar>
              <w:top w:w="0" w:type="dxa"/>
              <w:left w:w="115" w:type="dxa"/>
              <w:bottom w:w="0" w:type="dxa"/>
              <w:right w:w="115" w:type="dxa"/>
            </w:tcMar>
            <w:vAlign w:val="bottom"/>
            <w:hideMark/>
          </w:tcPr>
          <w:p w14:paraId="6D415356" w14:textId="77777777" w:rsidR="00764497" w:rsidRPr="00183B5F" w:rsidRDefault="00943743" w:rsidP="004062FE">
            <w:pPr>
              <w:keepNext/>
              <w:widowControl w:val="0"/>
              <w:spacing w:line="240" w:lineRule="auto"/>
              <w:jc w:val="center"/>
              <w:rPr>
                <w:b/>
                <w:bCs/>
              </w:rPr>
            </w:pPr>
            <w:r w:rsidRPr="00183B5F">
              <w:rPr>
                <w:b/>
                <w:bCs/>
              </w:rPr>
              <w:t xml:space="preserve">Placebo </w:t>
            </w:r>
          </w:p>
        </w:tc>
        <w:tc>
          <w:tcPr>
            <w:tcW w:w="1856" w:type="dxa"/>
            <w:tcMar>
              <w:top w:w="0" w:type="dxa"/>
              <w:left w:w="115" w:type="dxa"/>
              <w:bottom w:w="0" w:type="dxa"/>
              <w:right w:w="115" w:type="dxa"/>
            </w:tcMar>
            <w:vAlign w:val="bottom"/>
            <w:hideMark/>
          </w:tcPr>
          <w:p w14:paraId="7E26ECFF" w14:textId="77777777" w:rsidR="00764497" w:rsidRPr="00183B5F" w:rsidRDefault="00943743">
            <w:pPr>
              <w:keepNext/>
              <w:widowControl w:val="0"/>
              <w:spacing w:line="240" w:lineRule="auto"/>
              <w:jc w:val="center"/>
              <w:rPr>
                <w:b/>
                <w:bCs/>
              </w:rPr>
            </w:pPr>
            <w:r w:rsidRPr="00183B5F">
              <w:rPr>
                <w:b/>
                <w:bCs/>
              </w:rPr>
              <w:t>Humira 40</w:t>
            </w:r>
            <w:r w:rsidR="00334A27" w:rsidRPr="00183B5F">
              <w:rPr>
                <w:b/>
                <w:bCs/>
              </w:rPr>
              <w:t> </w:t>
            </w:r>
            <w:r w:rsidRPr="00183B5F">
              <w:rPr>
                <w:b/>
                <w:bCs/>
              </w:rPr>
              <w:t xml:space="preserve">mg </w:t>
            </w:r>
            <w:r w:rsidR="005532E8" w:rsidRPr="00183B5F">
              <w:rPr>
                <w:b/>
                <w:bCs/>
              </w:rPr>
              <w:t>h</w:t>
            </w:r>
            <w:r w:rsidRPr="00183B5F">
              <w:rPr>
                <w:b/>
                <w:bCs/>
              </w:rPr>
              <w:t>etente</w:t>
            </w:r>
          </w:p>
        </w:tc>
      </w:tr>
      <w:tr w:rsidR="00011D2F" w14:paraId="03AB253E" w14:textId="77777777" w:rsidTr="00764497">
        <w:trPr>
          <w:trHeight w:val="755"/>
          <w:jc w:val="center"/>
        </w:trPr>
        <w:tc>
          <w:tcPr>
            <w:tcW w:w="2847" w:type="dxa"/>
            <w:tcMar>
              <w:top w:w="0" w:type="dxa"/>
              <w:left w:w="115" w:type="dxa"/>
              <w:bottom w:w="0" w:type="dxa"/>
              <w:right w:w="115" w:type="dxa"/>
            </w:tcMar>
            <w:vAlign w:val="center"/>
            <w:hideMark/>
          </w:tcPr>
          <w:p w14:paraId="702D1B2A" w14:textId="77777777" w:rsidR="00764497" w:rsidRPr="00183B5F" w:rsidRDefault="00943743" w:rsidP="004062FE">
            <w:pPr>
              <w:keepNext/>
              <w:widowControl w:val="0"/>
              <w:spacing w:line="240" w:lineRule="auto"/>
            </w:pPr>
            <w:r w:rsidRPr="00183B5F">
              <w:t xml:space="preserve">Hidradenitis suppurativa klinikai </w:t>
            </w:r>
            <w:r w:rsidR="005532E8" w:rsidRPr="00183B5F">
              <w:t>v</w:t>
            </w:r>
            <w:r w:rsidRPr="00183B5F">
              <w:t>álasz (HiSCR)</w:t>
            </w:r>
            <w:r w:rsidRPr="00183B5F">
              <w:rPr>
                <w:vertAlign w:val="superscript"/>
              </w:rPr>
              <w:t>a</w:t>
            </w:r>
            <w:r w:rsidRPr="00183B5F">
              <w:t xml:space="preserve"> </w:t>
            </w:r>
          </w:p>
          <w:p w14:paraId="0D7813CC" w14:textId="77777777" w:rsidR="00764497" w:rsidRPr="00183B5F" w:rsidRDefault="00764497" w:rsidP="004062FE">
            <w:pPr>
              <w:keepNext/>
              <w:widowControl w:val="0"/>
              <w:spacing w:line="240" w:lineRule="auto"/>
            </w:pPr>
          </w:p>
        </w:tc>
        <w:tc>
          <w:tcPr>
            <w:tcW w:w="1440" w:type="dxa"/>
            <w:tcMar>
              <w:top w:w="0" w:type="dxa"/>
              <w:left w:w="115" w:type="dxa"/>
              <w:bottom w:w="0" w:type="dxa"/>
              <w:right w:w="115" w:type="dxa"/>
            </w:tcMar>
            <w:hideMark/>
          </w:tcPr>
          <w:p w14:paraId="529C1E33" w14:textId="77777777" w:rsidR="00764497" w:rsidRPr="00183B5F" w:rsidRDefault="00943743" w:rsidP="004062FE">
            <w:pPr>
              <w:keepNext/>
              <w:widowControl w:val="0"/>
              <w:spacing w:line="240" w:lineRule="auto"/>
              <w:jc w:val="center"/>
            </w:pPr>
            <w:r w:rsidRPr="00183B5F">
              <w:t>N</w:t>
            </w:r>
            <w:r w:rsidR="00334A27" w:rsidRPr="00183B5F">
              <w:t> </w:t>
            </w:r>
            <w:r w:rsidRPr="00183B5F">
              <w:t>=</w:t>
            </w:r>
            <w:r w:rsidR="00334A27" w:rsidRPr="00183B5F">
              <w:t> </w:t>
            </w:r>
            <w:r w:rsidRPr="00183B5F">
              <w:t>154</w:t>
            </w:r>
            <w:r w:rsidRPr="00183B5F">
              <w:br/>
              <w:t>40 (26,0%)</w:t>
            </w:r>
          </w:p>
        </w:tc>
        <w:tc>
          <w:tcPr>
            <w:tcW w:w="1746" w:type="dxa"/>
            <w:tcMar>
              <w:top w:w="0" w:type="dxa"/>
              <w:left w:w="115" w:type="dxa"/>
              <w:bottom w:w="0" w:type="dxa"/>
              <w:right w:w="115" w:type="dxa"/>
            </w:tcMar>
            <w:hideMark/>
          </w:tcPr>
          <w:p w14:paraId="4A3F60FF" w14:textId="77777777" w:rsidR="00764497" w:rsidRPr="00183B5F" w:rsidRDefault="00943743" w:rsidP="004062FE">
            <w:pPr>
              <w:keepNext/>
              <w:widowControl w:val="0"/>
              <w:spacing w:line="240" w:lineRule="auto"/>
              <w:jc w:val="center"/>
            </w:pPr>
            <w:r w:rsidRPr="00183B5F">
              <w:t>N</w:t>
            </w:r>
            <w:r w:rsidR="00334A27" w:rsidRPr="00183B5F">
              <w:t> </w:t>
            </w:r>
            <w:r w:rsidRPr="00183B5F">
              <w:t>=</w:t>
            </w:r>
            <w:r w:rsidR="00334A27" w:rsidRPr="00183B5F">
              <w:t> </w:t>
            </w:r>
            <w:r w:rsidRPr="00183B5F">
              <w:t>153</w:t>
            </w:r>
            <w:r w:rsidRPr="00183B5F">
              <w:br/>
              <w:t xml:space="preserve">64 (41,8%) </w:t>
            </w:r>
            <w:r w:rsidRPr="00183B5F">
              <w:rPr>
                <w:vertAlign w:val="superscript"/>
              </w:rPr>
              <w:t>*</w:t>
            </w:r>
          </w:p>
        </w:tc>
        <w:tc>
          <w:tcPr>
            <w:tcW w:w="1404" w:type="dxa"/>
            <w:tcMar>
              <w:top w:w="0" w:type="dxa"/>
              <w:left w:w="115" w:type="dxa"/>
              <w:bottom w:w="0" w:type="dxa"/>
              <w:right w:w="115" w:type="dxa"/>
            </w:tcMar>
          </w:tcPr>
          <w:p w14:paraId="7C78E1A3" w14:textId="77777777" w:rsidR="00764497" w:rsidRPr="00183B5F" w:rsidRDefault="00943743" w:rsidP="004062FE">
            <w:pPr>
              <w:keepNext/>
              <w:widowControl w:val="0"/>
              <w:spacing w:line="240" w:lineRule="auto"/>
              <w:jc w:val="center"/>
            </w:pPr>
            <w:r w:rsidRPr="00183B5F">
              <w:t>N = 163</w:t>
            </w:r>
          </w:p>
          <w:p w14:paraId="44752399" w14:textId="77777777" w:rsidR="00764497" w:rsidRPr="00183B5F" w:rsidRDefault="00943743" w:rsidP="004062FE">
            <w:pPr>
              <w:keepNext/>
              <w:widowControl w:val="0"/>
              <w:spacing w:line="240" w:lineRule="auto"/>
              <w:jc w:val="center"/>
            </w:pPr>
            <w:r w:rsidRPr="00183B5F">
              <w:t>45 (27,6%)</w:t>
            </w:r>
          </w:p>
        </w:tc>
        <w:tc>
          <w:tcPr>
            <w:tcW w:w="1856" w:type="dxa"/>
            <w:tcMar>
              <w:top w:w="0" w:type="dxa"/>
              <w:left w:w="115" w:type="dxa"/>
              <w:bottom w:w="0" w:type="dxa"/>
              <w:right w:w="115" w:type="dxa"/>
            </w:tcMar>
          </w:tcPr>
          <w:p w14:paraId="5CE3884F" w14:textId="77777777" w:rsidR="00764497" w:rsidRPr="00183B5F" w:rsidRDefault="00943743" w:rsidP="004062FE">
            <w:pPr>
              <w:keepNext/>
              <w:widowControl w:val="0"/>
              <w:spacing w:line="240" w:lineRule="auto"/>
              <w:jc w:val="center"/>
            </w:pPr>
            <w:r w:rsidRPr="00183B5F">
              <w:t>N = 163</w:t>
            </w:r>
          </w:p>
          <w:p w14:paraId="1FF135D6" w14:textId="77777777" w:rsidR="00764497" w:rsidRPr="00183B5F" w:rsidRDefault="00943743" w:rsidP="004062FE">
            <w:pPr>
              <w:keepNext/>
              <w:widowControl w:val="0"/>
              <w:spacing w:line="240" w:lineRule="auto"/>
              <w:jc w:val="center"/>
            </w:pPr>
            <w:r w:rsidRPr="00183B5F">
              <w:t xml:space="preserve">96 (58,9%) </w:t>
            </w:r>
            <w:r w:rsidRPr="00183B5F">
              <w:rPr>
                <w:vertAlign w:val="superscript"/>
              </w:rPr>
              <w:t>***</w:t>
            </w:r>
          </w:p>
        </w:tc>
      </w:tr>
      <w:tr w:rsidR="00011D2F" w14:paraId="618C8DF1" w14:textId="77777777" w:rsidTr="00764497">
        <w:trPr>
          <w:jc w:val="center"/>
        </w:trPr>
        <w:tc>
          <w:tcPr>
            <w:tcW w:w="2847" w:type="dxa"/>
            <w:tcMar>
              <w:top w:w="0" w:type="dxa"/>
              <w:left w:w="115" w:type="dxa"/>
              <w:bottom w:w="0" w:type="dxa"/>
              <w:right w:w="115" w:type="dxa"/>
            </w:tcMar>
            <w:vAlign w:val="center"/>
            <w:hideMark/>
          </w:tcPr>
          <w:p w14:paraId="57C06E79" w14:textId="77777777" w:rsidR="00764497" w:rsidRPr="00183B5F" w:rsidRDefault="00943743" w:rsidP="004062FE">
            <w:pPr>
              <w:keepNext/>
              <w:widowControl w:val="0"/>
              <w:spacing w:line="240" w:lineRule="auto"/>
            </w:pPr>
            <w:r w:rsidRPr="00183B5F">
              <w:t>≥30%-os bőrfájdalom csökkenés</w:t>
            </w:r>
            <w:r w:rsidR="005532E8" w:rsidRPr="00183B5F">
              <w:rPr>
                <w:vertAlign w:val="superscript"/>
              </w:rPr>
              <w:t>b</w:t>
            </w:r>
          </w:p>
        </w:tc>
        <w:tc>
          <w:tcPr>
            <w:tcW w:w="1440" w:type="dxa"/>
            <w:tcMar>
              <w:top w:w="0" w:type="dxa"/>
              <w:left w:w="115" w:type="dxa"/>
              <w:bottom w:w="0" w:type="dxa"/>
              <w:right w:w="115" w:type="dxa"/>
            </w:tcMar>
            <w:hideMark/>
          </w:tcPr>
          <w:p w14:paraId="0C5B0595" w14:textId="77777777" w:rsidR="00764497" w:rsidRPr="00183B5F" w:rsidRDefault="00943743" w:rsidP="004062FE">
            <w:pPr>
              <w:keepNext/>
              <w:widowControl w:val="0"/>
              <w:spacing w:line="240" w:lineRule="auto"/>
              <w:jc w:val="center"/>
            </w:pPr>
            <w:r w:rsidRPr="00183B5F">
              <w:t>N</w:t>
            </w:r>
            <w:r w:rsidR="00334A27" w:rsidRPr="00183B5F">
              <w:t> </w:t>
            </w:r>
            <w:r w:rsidRPr="00183B5F">
              <w:t>=</w:t>
            </w:r>
            <w:r w:rsidR="00334A27" w:rsidRPr="00183B5F">
              <w:t> </w:t>
            </w:r>
            <w:r w:rsidRPr="00183B5F">
              <w:t>109</w:t>
            </w:r>
            <w:r w:rsidRPr="00183B5F">
              <w:br/>
              <w:t>27 (24,8%)</w:t>
            </w:r>
          </w:p>
        </w:tc>
        <w:tc>
          <w:tcPr>
            <w:tcW w:w="1746" w:type="dxa"/>
            <w:tcMar>
              <w:top w:w="0" w:type="dxa"/>
              <w:left w:w="115" w:type="dxa"/>
              <w:bottom w:w="0" w:type="dxa"/>
              <w:right w:w="115" w:type="dxa"/>
            </w:tcMar>
            <w:hideMark/>
          </w:tcPr>
          <w:p w14:paraId="1AF1CEA4" w14:textId="77777777" w:rsidR="00764497" w:rsidRPr="00183B5F" w:rsidRDefault="00943743" w:rsidP="004062FE">
            <w:pPr>
              <w:keepNext/>
              <w:widowControl w:val="0"/>
              <w:spacing w:line="240" w:lineRule="auto"/>
              <w:jc w:val="center"/>
            </w:pPr>
            <w:r w:rsidRPr="00183B5F">
              <w:t>N</w:t>
            </w:r>
            <w:r w:rsidR="00334A27" w:rsidRPr="00183B5F">
              <w:t> </w:t>
            </w:r>
            <w:r w:rsidRPr="00183B5F">
              <w:t>=</w:t>
            </w:r>
            <w:r w:rsidR="00334A27" w:rsidRPr="00183B5F">
              <w:t> </w:t>
            </w:r>
            <w:r w:rsidRPr="00183B5F">
              <w:t>122</w:t>
            </w:r>
            <w:r w:rsidRPr="00183B5F">
              <w:br/>
            </w:r>
            <w:r w:rsidRPr="00183B5F">
              <w:t>34 (27,9%)</w:t>
            </w:r>
          </w:p>
        </w:tc>
        <w:tc>
          <w:tcPr>
            <w:tcW w:w="1404" w:type="dxa"/>
            <w:tcMar>
              <w:top w:w="0" w:type="dxa"/>
              <w:left w:w="115" w:type="dxa"/>
              <w:bottom w:w="0" w:type="dxa"/>
              <w:right w:w="115" w:type="dxa"/>
            </w:tcMar>
          </w:tcPr>
          <w:p w14:paraId="4991352E" w14:textId="77777777" w:rsidR="00764497" w:rsidRPr="00183B5F" w:rsidRDefault="00943743" w:rsidP="004062FE">
            <w:pPr>
              <w:keepNext/>
              <w:widowControl w:val="0"/>
              <w:spacing w:line="240" w:lineRule="auto"/>
              <w:jc w:val="center"/>
            </w:pPr>
            <w:r w:rsidRPr="00183B5F">
              <w:t>N = 111</w:t>
            </w:r>
          </w:p>
          <w:p w14:paraId="62B20A1D" w14:textId="77777777" w:rsidR="00764497" w:rsidRPr="00183B5F" w:rsidRDefault="00943743" w:rsidP="004062FE">
            <w:pPr>
              <w:keepNext/>
              <w:widowControl w:val="0"/>
              <w:spacing w:line="240" w:lineRule="auto"/>
              <w:jc w:val="center"/>
            </w:pPr>
            <w:r w:rsidRPr="00183B5F">
              <w:t>23 (20,7%)</w:t>
            </w:r>
          </w:p>
        </w:tc>
        <w:tc>
          <w:tcPr>
            <w:tcW w:w="1856" w:type="dxa"/>
            <w:tcMar>
              <w:top w:w="0" w:type="dxa"/>
              <w:left w:w="115" w:type="dxa"/>
              <w:bottom w:w="0" w:type="dxa"/>
              <w:right w:w="115" w:type="dxa"/>
            </w:tcMar>
          </w:tcPr>
          <w:p w14:paraId="633AE3A8" w14:textId="77777777" w:rsidR="00764497" w:rsidRPr="00183B5F" w:rsidRDefault="00943743" w:rsidP="004062FE">
            <w:pPr>
              <w:keepNext/>
              <w:widowControl w:val="0"/>
              <w:spacing w:line="240" w:lineRule="auto"/>
              <w:jc w:val="center"/>
            </w:pPr>
            <w:r w:rsidRPr="00183B5F">
              <w:t>N = 105</w:t>
            </w:r>
          </w:p>
          <w:p w14:paraId="653C9E2A" w14:textId="77777777" w:rsidR="00764497" w:rsidRPr="00183B5F" w:rsidRDefault="00943743" w:rsidP="004062FE">
            <w:pPr>
              <w:keepNext/>
              <w:widowControl w:val="0"/>
              <w:spacing w:line="240" w:lineRule="auto"/>
              <w:jc w:val="center"/>
            </w:pPr>
            <w:r w:rsidRPr="00183B5F">
              <w:t xml:space="preserve">48 (45,7%) </w:t>
            </w:r>
            <w:r w:rsidRPr="00183B5F">
              <w:rPr>
                <w:vertAlign w:val="superscript"/>
              </w:rPr>
              <w:t>***</w:t>
            </w:r>
          </w:p>
        </w:tc>
      </w:tr>
      <w:tr w:rsidR="00011D2F" w14:paraId="1388E522" w14:textId="77777777" w:rsidTr="00764497">
        <w:trPr>
          <w:jc w:val="center"/>
        </w:trPr>
        <w:tc>
          <w:tcPr>
            <w:tcW w:w="9293" w:type="dxa"/>
            <w:gridSpan w:val="5"/>
            <w:tcMar>
              <w:top w:w="0" w:type="dxa"/>
              <w:left w:w="115" w:type="dxa"/>
              <w:bottom w:w="0" w:type="dxa"/>
              <w:right w:w="115" w:type="dxa"/>
            </w:tcMar>
            <w:vAlign w:val="center"/>
          </w:tcPr>
          <w:p w14:paraId="682E4AD6" w14:textId="77777777" w:rsidR="00764497" w:rsidRPr="00183B5F" w:rsidRDefault="00943743" w:rsidP="004062FE">
            <w:pPr>
              <w:keepNext/>
              <w:widowControl w:val="0"/>
              <w:spacing w:line="240" w:lineRule="auto"/>
              <w:ind w:left="357"/>
            </w:pPr>
            <w:r w:rsidRPr="00183B5F">
              <w:t xml:space="preserve">* </w:t>
            </w:r>
            <w:r w:rsidRPr="00183B5F">
              <w:rPr>
                <w:i/>
              </w:rPr>
              <w:t>P</w:t>
            </w:r>
            <w:r w:rsidRPr="00183B5F">
              <w:t xml:space="preserve"> &lt; 0,05, ***</w:t>
            </w:r>
            <w:r w:rsidRPr="00183B5F">
              <w:rPr>
                <w:i/>
              </w:rPr>
              <w:t xml:space="preserve">P </w:t>
            </w:r>
            <w:r w:rsidRPr="00183B5F">
              <w:t xml:space="preserve">&lt; 0,001, Humira versus placebo </w:t>
            </w:r>
          </w:p>
          <w:p w14:paraId="52F9F059" w14:textId="77777777" w:rsidR="00764497" w:rsidRPr="00183B5F" w:rsidRDefault="00943743" w:rsidP="00832DC3">
            <w:pPr>
              <w:keepNext/>
              <w:keepLines/>
              <w:widowControl w:val="0"/>
              <w:suppressAutoHyphens w:val="0"/>
              <w:spacing w:line="240" w:lineRule="auto"/>
              <w:ind w:left="357"/>
            </w:pPr>
            <w:r w:rsidRPr="00183B5F">
              <w:rPr>
                <w:color w:val="000000"/>
                <w:vertAlign w:val="superscript"/>
              </w:rPr>
              <w:t>a</w:t>
            </w:r>
            <w:r w:rsidRPr="00183B5F">
              <w:rPr>
                <w:color w:val="000000"/>
              </w:rPr>
              <w:t xml:space="preserve">  Az összes randomizált betegnél</w:t>
            </w:r>
            <w:r w:rsidRPr="00183B5F">
              <w:t>.</w:t>
            </w:r>
          </w:p>
          <w:p w14:paraId="598662CB" w14:textId="77777777" w:rsidR="00764497" w:rsidRPr="00183B5F" w:rsidRDefault="00943743" w:rsidP="00832DC3">
            <w:pPr>
              <w:keepNext/>
              <w:suppressAutoHyphens w:val="0"/>
              <w:spacing w:line="240" w:lineRule="auto"/>
              <w:ind w:left="357"/>
              <w:textAlignment w:val="baseline"/>
            </w:pPr>
            <w:r w:rsidRPr="00183B5F">
              <w:rPr>
                <w:color w:val="000000"/>
                <w:vertAlign w:val="superscript"/>
              </w:rPr>
              <w:t>b</w:t>
            </w:r>
            <w:r w:rsidRPr="00183B5F">
              <w:rPr>
                <w:color w:val="000000"/>
              </w:rPr>
              <w:t xml:space="preserve">  Azoknál a betegeknél, akiknél a vizsgálat megkezdésekor a HS</w:t>
            </w:r>
            <w:r w:rsidRPr="00183B5F">
              <w:rPr>
                <w:color w:val="000000"/>
              </w:rPr>
              <w:noBreakHyphen/>
              <w:t>sel összefüggő bőrfájdalom értéke ≥ 3 a 0</w:t>
            </w:r>
            <w:r w:rsidRPr="00183B5F">
              <w:rPr>
                <w:color w:val="000000"/>
              </w:rPr>
              <w:noBreakHyphen/>
              <w:t>10</w:t>
            </w:r>
            <w:r w:rsidRPr="00183B5F">
              <w:rPr>
                <w:color w:val="000000"/>
              </w:rPr>
              <w:noBreakHyphen/>
              <w:t>ig terjedő Numerikus skála alapján: 0</w:t>
            </w:r>
            <w:r w:rsidR="00334A27" w:rsidRPr="00183B5F">
              <w:rPr>
                <w:color w:val="000000"/>
              </w:rPr>
              <w:t> </w:t>
            </w:r>
            <w:r w:rsidRPr="00183B5F">
              <w:rPr>
                <w:color w:val="000000"/>
              </w:rPr>
              <w:t>=</w:t>
            </w:r>
            <w:r w:rsidR="00334A27" w:rsidRPr="00183B5F">
              <w:rPr>
                <w:color w:val="000000"/>
              </w:rPr>
              <w:t> </w:t>
            </w:r>
            <w:r w:rsidRPr="00183B5F">
              <w:rPr>
                <w:color w:val="000000"/>
              </w:rPr>
              <w:t>nincs bőrfájdalom, 10</w:t>
            </w:r>
            <w:r w:rsidR="00334A27" w:rsidRPr="00183B5F">
              <w:rPr>
                <w:color w:val="000000"/>
              </w:rPr>
              <w:t> </w:t>
            </w:r>
            <w:r w:rsidRPr="00183B5F">
              <w:rPr>
                <w:color w:val="000000"/>
              </w:rPr>
              <w:t>=</w:t>
            </w:r>
            <w:r w:rsidR="00334A27" w:rsidRPr="00183B5F">
              <w:rPr>
                <w:color w:val="000000"/>
              </w:rPr>
              <w:t> </w:t>
            </w:r>
            <w:r w:rsidRPr="00183B5F">
              <w:rPr>
                <w:color w:val="000000"/>
              </w:rPr>
              <w:t>olyan súlyos bőrfájdalom, amit csak el lehet képzelni</w:t>
            </w:r>
            <w:r w:rsidRPr="00183B5F">
              <w:t>.</w:t>
            </w:r>
          </w:p>
        </w:tc>
      </w:tr>
    </w:tbl>
    <w:p w14:paraId="05CB0599" w14:textId="77777777" w:rsidR="00764497" w:rsidRPr="00183B5F" w:rsidRDefault="00764497" w:rsidP="004062FE">
      <w:pPr>
        <w:spacing w:line="240" w:lineRule="auto"/>
        <w:jc w:val="center"/>
        <w:rPr>
          <w:b/>
          <w:color w:val="000000"/>
        </w:rPr>
      </w:pPr>
    </w:p>
    <w:p w14:paraId="58A2738E" w14:textId="77777777" w:rsidR="00764497" w:rsidRPr="00183B5F" w:rsidRDefault="00943743" w:rsidP="004062FE">
      <w:pPr>
        <w:spacing w:line="240" w:lineRule="auto"/>
        <w:rPr>
          <w:color w:val="000000"/>
        </w:rPr>
      </w:pPr>
      <w:r w:rsidRPr="00183B5F">
        <w:rPr>
          <w:color w:val="000000"/>
        </w:rPr>
        <w:t>A minden héten 40 mg Humira adagolásán alapuló kezelés jelentősen lecsökkentette a tályogok és váladékozó fistulák romlásának kockázatát. A HS</w:t>
      </w:r>
      <w:r w:rsidR="005532E8" w:rsidRPr="00183B5F">
        <w:rPr>
          <w:color w:val="000000"/>
        </w:rPr>
        <w:noBreakHyphen/>
      </w:r>
      <w:r w:rsidRPr="00183B5F">
        <w:rPr>
          <w:color w:val="000000"/>
        </w:rPr>
        <w:t>I ésHS</w:t>
      </w:r>
      <w:r w:rsidR="005532E8" w:rsidRPr="00183B5F">
        <w:rPr>
          <w:color w:val="000000"/>
        </w:rPr>
        <w:noBreakHyphen/>
      </w:r>
      <w:r w:rsidRPr="00183B5F">
        <w:rPr>
          <w:color w:val="000000"/>
        </w:rPr>
        <w:t>II vizsgálat első 12 hetében megközelítőleg kétszer annyi, a placebocsoportba tartozó betegnél tapasztaltak romló tályogokat (23,0% vs 11,4%) és váladékozó fistulák (30,0% vs 13,9%), mint a Humira csoport betegeinél.</w:t>
      </w:r>
    </w:p>
    <w:p w14:paraId="6B37F888" w14:textId="77777777" w:rsidR="00764497" w:rsidRPr="00183B5F" w:rsidRDefault="00764497" w:rsidP="004062FE">
      <w:pPr>
        <w:spacing w:line="240" w:lineRule="auto"/>
        <w:rPr>
          <w:color w:val="000000"/>
        </w:rPr>
      </w:pPr>
    </w:p>
    <w:p w14:paraId="5D467377" w14:textId="77777777" w:rsidR="00764497" w:rsidRPr="00183B5F" w:rsidRDefault="00943743" w:rsidP="004062FE">
      <w:pPr>
        <w:spacing w:line="240" w:lineRule="auto"/>
        <w:rPr>
          <w:color w:val="000000"/>
        </w:rPr>
      </w:pPr>
      <w:r w:rsidRPr="00183B5F">
        <w:rPr>
          <w:color w:val="000000"/>
        </w:rPr>
        <w:t>A bőr</w:t>
      </w:r>
      <w:r w:rsidRPr="00183B5F">
        <w:rPr>
          <w:color w:val="000000"/>
        </w:rPr>
        <w:noBreakHyphen/>
        <w:t>specifikus egészséggel kapcsolatos életminőségben bekövetkező számottevő javulást mutattak ki a placebóhoz képest a 12. héten a kiindulási értékéhez képest a Dermatológiai Élet Minőség Index</w:t>
      </w:r>
      <w:r w:rsidRPr="00183B5F">
        <w:rPr>
          <w:color w:val="000000"/>
        </w:rPr>
        <w:noBreakHyphen/>
        <w:t>szel (DLQI; HS</w:t>
      </w:r>
      <w:r w:rsidRPr="00183B5F">
        <w:rPr>
          <w:color w:val="000000"/>
        </w:rPr>
        <w:noBreakHyphen/>
        <w:t>I és HS</w:t>
      </w:r>
      <w:r w:rsidRPr="00183B5F">
        <w:rPr>
          <w:color w:val="000000"/>
        </w:rPr>
        <w:noBreakHyphen/>
        <w:t>II vizsgálat), a beteg gyógyszeres kezeléssel való általános megelégedettségében a Kezelési Elégedettségi Kérdőív – gyógyszerelés részével (TSQM, HS-I és HS-II vizsgálatok) és a fizikai egészségben az SF</w:t>
      </w:r>
      <w:r w:rsidRPr="00183B5F">
        <w:rPr>
          <w:color w:val="000000"/>
        </w:rPr>
        <w:noBreakHyphen/>
        <w:t>36 fizikai komponens összefoglaló pontszám által (HS</w:t>
      </w:r>
      <w:r w:rsidRPr="00183B5F">
        <w:rPr>
          <w:color w:val="000000"/>
        </w:rPr>
        <w:noBreakHyphen/>
        <w:t>I vizsgálat).</w:t>
      </w:r>
    </w:p>
    <w:p w14:paraId="72C87205" w14:textId="77777777" w:rsidR="00764497" w:rsidRPr="00183B5F" w:rsidRDefault="00764497" w:rsidP="004062FE">
      <w:pPr>
        <w:spacing w:line="240" w:lineRule="auto"/>
        <w:rPr>
          <w:color w:val="000000"/>
        </w:rPr>
      </w:pPr>
    </w:p>
    <w:p w14:paraId="0ECB2933" w14:textId="77777777" w:rsidR="00764497" w:rsidRPr="00183B5F" w:rsidRDefault="00943743" w:rsidP="004062FE">
      <w:pPr>
        <w:spacing w:line="240" w:lineRule="auto"/>
        <w:rPr>
          <w:rFonts w:eastAsia="Calibri"/>
          <w:szCs w:val="22"/>
        </w:rPr>
      </w:pPr>
      <w:r w:rsidRPr="00183B5F">
        <w:rPr>
          <w:color w:val="000000"/>
        </w:rPr>
        <w:t>Azoknál a betegeknél akik a 12. héten legalább részlegesen reagáltak a heti 40 mg Humira</w:t>
      </w:r>
      <w:r w:rsidRPr="00183B5F">
        <w:rPr>
          <w:color w:val="000000"/>
        </w:rPr>
        <w:noBreakHyphen/>
        <w:t xml:space="preserve">ra, a 36. hétre a </w:t>
      </w:r>
      <w:r w:rsidRPr="00183B5F">
        <w:rPr>
          <w:rFonts w:eastAsia="Calibri"/>
          <w:szCs w:val="22"/>
        </w:rPr>
        <w:t xml:space="preserve">HiSCR arány magasabb volt azoknál, akik hetente folytatták a Humira alkalmazását, mint azoknál, akiknél az adagolás gyakorisága kéthetenkéntire csökkent, vagy akiknél abbahagyták a kezelést (lásd </w:t>
      </w:r>
      <w:r w:rsidR="009D10E4" w:rsidRPr="00183B5F">
        <w:rPr>
          <w:rFonts w:eastAsia="Calibri"/>
          <w:szCs w:val="22"/>
        </w:rPr>
        <w:t>13</w:t>
      </w:r>
      <w:r w:rsidRPr="00183B5F">
        <w:rPr>
          <w:rFonts w:eastAsia="Calibri"/>
          <w:szCs w:val="22"/>
        </w:rPr>
        <w:t>. táblázat).</w:t>
      </w:r>
    </w:p>
    <w:p w14:paraId="22F834EA" w14:textId="77777777" w:rsidR="00764497" w:rsidRPr="00183B5F" w:rsidRDefault="00764497" w:rsidP="004062FE">
      <w:pPr>
        <w:spacing w:line="240" w:lineRule="auto"/>
        <w:rPr>
          <w:rFonts w:eastAsia="Calibri"/>
          <w:szCs w:val="22"/>
        </w:rPr>
      </w:pPr>
    </w:p>
    <w:p w14:paraId="2712AF01" w14:textId="77777777" w:rsidR="00764497" w:rsidRPr="00183B5F" w:rsidRDefault="00943743" w:rsidP="004062FE">
      <w:pPr>
        <w:pStyle w:val="NormalWeb"/>
        <w:keepNext/>
        <w:spacing w:line="240" w:lineRule="auto"/>
        <w:jc w:val="center"/>
        <w:rPr>
          <w:b/>
          <w:color w:val="000000"/>
          <w:sz w:val="22"/>
        </w:rPr>
      </w:pPr>
      <w:r w:rsidRPr="00183B5F">
        <w:rPr>
          <w:b/>
          <w:color w:val="000000"/>
        </w:rPr>
        <w:t xml:space="preserve">13. táblázat: </w:t>
      </w:r>
      <w:r w:rsidRPr="00183B5F">
        <w:rPr>
          <w:b/>
          <w:color w:val="000000"/>
          <w:sz w:val="22"/>
        </w:rPr>
        <w:t>A HiSCR</w:t>
      </w:r>
      <w:r w:rsidRPr="00183B5F">
        <w:rPr>
          <w:b/>
          <w:color w:val="000000"/>
          <w:sz w:val="22"/>
        </w:rPr>
        <w:noBreakHyphen/>
        <w:t>t</w:t>
      </w:r>
      <w:r w:rsidR="005532E8" w:rsidRPr="00183B5F">
        <w:rPr>
          <w:sz w:val="22"/>
          <w:vertAlign w:val="superscript"/>
        </w:rPr>
        <w:t xml:space="preserve"> b</w:t>
      </w:r>
      <w:r w:rsidRPr="00183B5F">
        <w:rPr>
          <w:b/>
          <w:color w:val="000000"/>
          <w:sz w:val="22"/>
        </w:rPr>
        <w:t xml:space="preserve"> elérő betegek</w:t>
      </w:r>
      <w:r w:rsidR="005532E8" w:rsidRPr="00183B5F">
        <w:rPr>
          <w:b/>
          <w:color w:val="000000"/>
          <w:sz w:val="22"/>
          <w:vertAlign w:val="superscript"/>
        </w:rPr>
        <w:t>a</w:t>
      </w:r>
      <w:r w:rsidRPr="00183B5F">
        <w:rPr>
          <w:b/>
          <w:color w:val="000000"/>
          <w:sz w:val="22"/>
        </w:rPr>
        <w:t xml:space="preserve"> aránya a 24. és 36. héten a heti Humira adagolás megváltoztatása után a 12. héten</w:t>
      </w:r>
    </w:p>
    <w:p w14:paraId="12D08378" w14:textId="77777777" w:rsidR="00764497" w:rsidRPr="00183B5F" w:rsidRDefault="00764497" w:rsidP="004062FE">
      <w:pPr>
        <w:keepNext/>
        <w:spacing w:line="240" w:lineRule="auto"/>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1980"/>
        <w:gridCol w:w="1980"/>
        <w:gridCol w:w="1855"/>
      </w:tblGrid>
      <w:tr w:rsidR="00011D2F" w14:paraId="52094989" w14:textId="77777777" w:rsidTr="00764497">
        <w:trPr>
          <w:tblHeader/>
          <w:jc w:val="center"/>
        </w:trPr>
        <w:tc>
          <w:tcPr>
            <w:tcW w:w="1437" w:type="dxa"/>
            <w:vAlign w:val="bottom"/>
          </w:tcPr>
          <w:p w14:paraId="64505EB8" w14:textId="77777777" w:rsidR="00764497" w:rsidRPr="00183B5F" w:rsidRDefault="00764497" w:rsidP="004062FE">
            <w:pPr>
              <w:pStyle w:val="TableLeft"/>
              <w:spacing w:before="0" w:after="0" w:line="240" w:lineRule="auto"/>
              <w:rPr>
                <w:b/>
                <w:sz w:val="22"/>
                <w:lang w:val="hu-HU"/>
              </w:rPr>
            </w:pPr>
          </w:p>
        </w:tc>
        <w:tc>
          <w:tcPr>
            <w:tcW w:w="1980" w:type="dxa"/>
            <w:vAlign w:val="bottom"/>
          </w:tcPr>
          <w:p w14:paraId="7A4EA7A9" w14:textId="77777777" w:rsidR="00764497" w:rsidRPr="00183B5F" w:rsidRDefault="00943743" w:rsidP="004062FE">
            <w:pPr>
              <w:pStyle w:val="TableLeft"/>
              <w:spacing w:before="0" w:after="0" w:line="240" w:lineRule="auto"/>
              <w:jc w:val="center"/>
              <w:rPr>
                <w:b/>
                <w:sz w:val="22"/>
                <w:lang w:val="hu-HU"/>
              </w:rPr>
            </w:pPr>
            <w:r w:rsidRPr="00183B5F">
              <w:rPr>
                <w:b/>
                <w:sz w:val="22"/>
                <w:lang w:val="hu-HU"/>
              </w:rPr>
              <w:t>Placebo</w:t>
            </w:r>
            <w:r w:rsidRPr="00183B5F">
              <w:rPr>
                <w:b/>
                <w:sz w:val="22"/>
                <w:lang w:val="hu-HU"/>
              </w:rPr>
              <w:br/>
              <w:t>(kezelés megszakítva)</w:t>
            </w:r>
            <w:r w:rsidRPr="00183B5F">
              <w:rPr>
                <w:b/>
                <w:sz w:val="22"/>
                <w:lang w:val="hu-HU"/>
              </w:rPr>
              <w:br/>
              <w:t>N = 73</w:t>
            </w:r>
          </w:p>
        </w:tc>
        <w:tc>
          <w:tcPr>
            <w:tcW w:w="1980" w:type="dxa"/>
            <w:vAlign w:val="bottom"/>
          </w:tcPr>
          <w:p w14:paraId="3682F109" w14:textId="77777777" w:rsidR="00764497" w:rsidRPr="00183B5F" w:rsidRDefault="00943743" w:rsidP="004062FE">
            <w:pPr>
              <w:pStyle w:val="TableLeft"/>
              <w:spacing w:before="0" w:after="0" w:line="240" w:lineRule="auto"/>
              <w:jc w:val="center"/>
              <w:rPr>
                <w:b/>
                <w:sz w:val="22"/>
                <w:lang w:val="hu-HU"/>
              </w:rPr>
            </w:pPr>
            <w:r w:rsidRPr="00183B5F">
              <w:rPr>
                <w:b/>
                <w:sz w:val="22"/>
                <w:lang w:val="hu-HU"/>
              </w:rPr>
              <w:t>Humira 40 mg</w:t>
            </w:r>
            <w:r w:rsidRPr="00183B5F">
              <w:rPr>
                <w:b/>
                <w:sz w:val="22"/>
                <w:lang w:val="hu-HU"/>
              </w:rPr>
              <w:br/>
              <w:t>minden 2. héten</w:t>
            </w:r>
            <w:r w:rsidRPr="00183B5F">
              <w:rPr>
                <w:b/>
                <w:sz w:val="22"/>
                <w:lang w:val="hu-HU"/>
              </w:rPr>
              <w:br/>
              <w:t>N = 70</w:t>
            </w:r>
          </w:p>
        </w:tc>
        <w:tc>
          <w:tcPr>
            <w:tcW w:w="1855" w:type="dxa"/>
            <w:vAlign w:val="bottom"/>
          </w:tcPr>
          <w:p w14:paraId="5865BCCF" w14:textId="77777777" w:rsidR="00764497" w:rsidRPr="00183B5F" w:rsidRDefault="00943743" w:rsidP="004062FE">
            <w:pPr>
              <w:pStyle w:val="TableLeft"/>
              <w:spacing w:before="0" w:after="0" w:line="240" w:lineRule="auto"/>
              <w:jc w:val="center"/>
              <w:rPr>
                <w:b/>
                <w:sz w:val="22"/>
                <w:lang w:val="hu-HU"/>
              </w:rPr>
            </w:pPr>
            <w:r w:rsidRPr="00183B5F">
              <w:rPr>
                <w:b/>
                <w:sz w:val="22"/>
                <w:lang w:val="hu-HU"/>
              </w:rPr>
              <w:t>Humira 40 mg</w:t>
            </w:r>
            <w:r w:rsidRPr="00183B5F">
              <w:rPr>
                <w:b/>
                <w:sz w:val="22"/>
                <w:lang w:val="hu-HU"/>
              </w:rPr>
              <w:br/>
              <w:t>hetente</w:t>
            </w:r>
            <w:r w:rsidRPr="00183B5F">
              <w:rPr>
                <w:b/>
                <w:sz w:val="22"/>
                <w:lang w:val="hu-HU"/>
              </w:rPr>
              <w:br/>
              <w:t>N = 70</w:t>
            </w:r>
          </w:p>
        </w:tc>
      </w:tr>
      <w:tr w:rsidR="00011D2F" w14:paraId="70D4842E" w14:textId="77777777" w:rsidTr="00764497">
        <w:trPr>
          <w:jc w:val="center"/>
        </w:trPr>
        <w:tc>
          <w:tcPr>
            <w:tcW w:w="1437" w:type="dxa"/>
          </w:tcPr>
          <w:p w14:paraId="4956DBAB" w14:textId="77777777" w:rsidR="00764497" w:rsidRPr="00183B5F" w:rsidRDefault="00943743" w:rsidP="004062FE">
            <w:pPr>
              <w:pStyle w:val="TableLeft"/>
              <w:spacing w:before="0" w:after="0" w:line="240" w:lineRule="auto"/>
              <w:rPr>
                <w:sz w:val="22"/>
                <w:lang w:val="hu-HU"/>
              </w:rPr>
            </w:pPr>
            <w:r w:rsidRPr="00183B5F">
              <w:rPr>
                <w:sz w:val="22"/>
                <w:lang w:val="hu-HU"/>
              </w:rPr>
              <w:t>24. hét</w:t>
            </w:r>
          </w:p>
        </w:tc>
        <w:tc>
          <w:tcPr>
            <w:tcW w:w="1980" w:type="dxa"/>
          </w:tcPr>
          <w:p w14:paraId="2436133A" w14:textId="77777777" w:rsidR="00764497" w:rsidRPr="00183B5F" w:rsidRDefault="00943743" w:rsidP="004062FE">
            <w:pPr>
              <w:pStyle w:val="TableLeft"/>
              <w:spacing w:before="0" w:after="0" w:line="240" w:lineRule="auto"/>
              <w:jc w:val="center"/>
              <w:rPr>
                <w:sz w:val="22"/>
                <w:lang w:val="hu-HU"/>
              </w:rPr>
            </w:pPr>
            <w:r w:rsidRPr="00183B5F">
              <w:rPr>
                <w:sz w:val="22"/>
                <w:lang w:val="hu-HU"/>
              </w:rPr>
              <w:t>24 (32,9%)</w:t>
            </w:r>
          </w:p>
        </w:tc>
        <w:tc>
          <w:tcPr>
            <w:tcW w:w="1980" w:type="dxa"/>
          </w:tcPr>
          <w:p w14:paraId="498C6552" w14:textId="77777777" w:rsidR="00764497" w:rsidRPr="00183B5F" w:rsidRDefault="00943743" w:rsidP="004062FE">
            <w:pPr>
              <w:pStyle w:val="TableLeft"/>
              <w:spacing w:before="0" w:after="0" w:line="240" w:lineRule="auto"/>
              <w:jc w:val="center"/>
              <w:rPr>
                <w:sz w:val="22"/>
                <w:lang w:val="hu-HU"/>
              </w:rPr>
            </w:pPr>
            <w:r w:rsidRPr="00183B5F">
              <w:rPr>
                <w:sz w:val="22"/>
                <w:lang w:val="hu-HU"/>
              </w:rPr>
              <w:t>36 (51,4%)</w:t>
            </w:r>
          </w:p>
        </w:tc>
        <w:tc>
          <w:tcPr>
            <w:tcW w:w="1855" w:type="dxa"/>
          </w:tcPr>
          <w:p w14:paraId="2A17DF0B" w14:textId="77777777" w:rsidR="00764497" w:rsidRPr="00183B5F" w:rsidRDefault="00943743" w:rsidP="004062FE">
            <w:pPr>
              <w:pStyle w:val="TableLeft"/>
              <w:spacing w:before="0" w:after="0" w:line="240" w:lineRule="auto"/>
              <w:jc w:val="center"/>
              <w:rPr>
                <w:sz w:val="22"/>
                <w:lang w:val="hu-HU"/>
              </w:rPr>
            </w:pPr>
            <w:r w:rsidRPr="00183B5F">
              <w:rPr>
                <w:sz w:val="22"/>
                <w:lang w:val="hu-HU"/>
              </w:rPr>
              <w:t>40 (57,1%)</w:t>
            </w:r>
          </w:p>
        </w:tc>
      </w:tr>
      <w:tr w:rsidR="00011D2F" w14:paraId="3CD2F170" w14:textId="77777777" w:rsidTr="00764497">
        <w:trPr>
          <w:jc w:val="center"/>
        </w:trPr>
        <w:tc>
          <w:tcPr>
            <w:tcW w:w="1437" w:type="dxa"/>
          </w:tcPr>
          <w:p w14:paraId="23DFDB17" w14:textId="77777777" w:rsidR="00764497" w:rsidRPr="00183B5F" w:rsidRDefault="00943743" w:rsidP="004062FE">
            <w:pPr>
              <w:pStyle w:val="TableLeft"/>
              <w:spacing w:before="0" w:after="0" w:line="240" w:lineRule="auto"/>
              <w:rPr>
                <w:sz w:val="22"/>
                <w:lang w:val="hu-HU"/>
              </w:rPr>
            </w:pPr>
            <w:r w:rsidRPr="00183B5F">
              <w:rPr>
                <w:sz w:val="22"/>
                <w:lang w:val="hu-HU"/>
              </w:rPr>
              <w:t>36. hét</w:t>
            </w:r>
          </w:p>
        </w:tc>
        <w:tc>
          <w:tcPr>
            <w:tcW w:w="1980" w:type="dxa"/>
          </w:tcPr>
          <w:p w14:paraId="5DE4B6ED" w14:textId="77777777" w:rsidR="00764497" w:rsidRPr="00183B5F" w:rsidRDefault="00943743" w:rsidP="004062FE">
            <w:pPr>
              <w:pStyle w:val="TableLeft"/>
              <w:spacing w:before="0" w:after="0" w:line="240" w:lineRule="auto"/>
              <w:jc w:val="center"/>
              <w:rPr>
                <w:sz w:val="22"/>
                <w:lang w:val="hu-HU"/>
              </w:rPr>
            </w:pPr>
            <w:r w:rsidRPr="00183B5F">
              <w:rPr>
                <w:sz w:val="22"/>
                <w:lang w:val="hu-HU"/>
              </w:rPr>
              <w:t>22 (30,1%)</w:t>
            </w:r>
          </w:p>
        </w:tc>
        <w:tc>
          <w:tcPr>
            <w:tcW w:w="1980" w:type="dxa"/>
          </w:tcPr>
          <w:p w14:paraId="2A4A9D6E" w14:textId="77777777" w:rsidR="00764497" w:rsidRPr="00183B5F" w:rsidRDefault="00943743" w:rsidP="004062FE">
            <w:pPr>
              <w:pStyle w:val="TableLeft"/>
              <w:spacing w:before="0" w:after="0" w:line="240" w:lineRule="auto"/>
              <w:jc w:val="center"/>
              <w:rPr>
                <w:sz w:val="22"/>
                <w:lang w:val="hu-HU"/>
              </w:rPr>
            </w:pPr>
            <w:r w:rsidRPr="00183B5F">
              <w:rPr>
                <w:sz w:val="22"/>
                <w:lang w:val="hu-HU"/>
              </w:rPr>
              <w:t>28 (40,0%)</w:t>
            </w:r>
          </w:p>
        </w:tc>
        <w:tc>
          <w:tcPr>
            <w:tcW w:w="1855" w:type="dxa"/>
          </w:tcPr>
          <w:p w14:paraId="0B865E0E" w14:textId="77777777" w:rsidR="00764497" w:rsidRPr="00183B5F" w:rsidRDefault="00943743" w:rsidP="004062FE">
            <w:pPr>
              <w:pStyle w:val="TableLeft"/>
              <w:spacing w:before="0" w:after="0" w:line="240" w:lineRule="auto"/>
              <w:jc w:val="center"/>
              <w:rPr>
                <w:sz w:val="22"/>
                <w:lang w:val="hu-HU"/>
              </w:rPr>
            </w:pPr>
            <w:r w:rsidRPr="00183B5F">
              <w:rPr>
                <w:sz w:val="22"/>
                <w:lang w:val="hu-HU"/>
              </w:rPr>
              <w:t>39 (55,7%)</w:t>
            </w:r>
          </w:p>
        </w:tc>
      </w:tr>
      <w:tr w:rsidR="00011D2F" w14:paraId="4F03C55F" w14:textId="77777777" w:rsidTr="00764497">
        <w:trPr>
          <w:jc w:val="center"/>
        </w:trPr>
        <w:tc>
          <w:tcPr>
            <w:tcW w:w="7252" w:type="dxa"/>
            <w:gridSpan w:val="4"/>
          </w:tcPr>
          <w:p w14:paraId="038531EE" w14:textId="77777777" w:rsidR="00764497" w:rsidRPr="00183B5F" w:rsidRDefault="00943743" w:rsidP="004062FE">
            <w:pPr>
              <w:pStyle w:val="TableFootnoteLetter"/>
              <w:numPr>
                <w:ilvl w:val="0"/>
                <w:numId w:val="0"/>
              </w:numPr>
              <w:tabs>
                <w:tab w:val="left" w:pos="423"/>
              </w:tabs>
              <w:spacing w:before="0" w:line="240" w:lineRule="auto"/>
              <w:ind w:left="423"/>
              <w:rPr>
                <w:rFonts w:ascii="Times New Roman" w:hAnsi="Times New Roman"/>
                <w:sz w:val="22"/>
                <w:lang w:val="hu-HU"/>
              </w:rPr>
            </w:pPr>
            <w:r w:rsidRPr="00183B5F">
              <w:rPr>
                <w:rFonts w:ascii="Times New Roman" w:hAnsi="Times New Roman"/>
                <w:sz w:val="22"/>
                <w:vertAlign w:val="superscript"/>
                <w:lang w:val="hu-HU"/>
              </w:rPr>
              <w:t>a</w:t>
            </w:r>
            <w:r w:rsidRPr="00183B5F">
              <w:rPr>
                <w:rFonts w:ascii="Times New Roman" w:hAnsi="Times New Roman"/>
                <w:sz w:val="22"/>
                <w:lang w:val="hu-HU"/>
              </w:rPr>
              <w:t xml:space="preserve"> Betegek, akik legalább részleges választ adtak a heti 40 mg Humira</w:t>
            </w:r>
            <w:r w:rsidRPr="00183B5F">
              <w:rPr>
                <w:rFonts w:ascii="Times New Roman" w:hAnsi="Times New Roman"/>
                <w:sz w:val="22"/>
                <w:lang w:val="hu-HU"/>
              </w:rPr>
              <w:noBreakHyphen/>
              <w:t>ra a 12. hét után</w:t>
            </w:r>
          </w:p>
          <w:p w14:paraId="27D91B94" w14:textId="77777777" w:rsidR="00764497" w:rsidRPr="00183B5F" w:rsidRDefault="00943743" w:rsidP="004062FE">
            <w:pPr>
              <w:pStyle w:val="TableFootnoteLetter"/>
              <w:numPr>
                <w:ilvl w:val="0"/>
                <w:numId w:val="0"/>
              </w:numPr>
              <w:tabs>
                <w:tab w:val="left" w:pos="423"/>
              </w:tabs>
              <w:spacing w:before="0" w:line="240" w:lineRule="auto"/>
              <w:ind w:left="423"/>
              <w:rPr>
                <w:rFonts w:ascii="Times New Roman" w:hAnsi="Times New Roman"/>
                <w:sz w:val="22"/>
                <w:lang w:val="hu-HU"/>
              </w:rPr>
            </w:pPr>
            <w:r w:rsidRPr="00183B5F">
              <w:rPr>
                <w:rFonts w:ascii="Times New Roman" w:hAnsi="Times New Roman"/>
                <w:sz w:val="22"/>
                <w:vertAlign w:val="superscript"/>
                <w:lang w:val="hu-HU"/>
              </w:rPr>
              <w:t>b</w:t>
            </w:r>
            <w:r w:rsidRPr="00183B5F">
              <w:rPr>
                <w:rFonts w:ascii="Times New Roman" w:hAnsi="Times New Roman"/>
                <w:sz w:val="22"/>
                <w:lang w:val="hu-HU"/>
              </w:rPr>
              <w:t xml:space="preserve"> Azoknál a betegeknél, akik megfeleltek a válaszreakció megszűnésének </w:t>
            </w:r>
            <w:r w:rsidR="005532E8" w:rsidRPr="00183B5F">
              <w:rPr>
                <w:rFonts w:ascii="Times New Roman" w:hAnsi="Times New Roman"/>
                <w:sz w:val="22"/>
                <w:lang w:val="hu-HU"/>
              </w:rPr>
              <w:t xml:space="preserve">vagy a javulás hiányának </w:t>
            </w:r>
            <w:r w:rsidRPr="00183B5F">
              <w:rPr>
                <w:rFonts w:ascii="Times New Roman" w:hAnsi="Times New Roman"/>
                <w:sz w:val="22"/>
                <w:lang w:val="hu-HU"/>
              </w:rPr>
              <w:t>protokollban meghatározott kritériumainak, leállították a kezelést, és nem reagálóknak számítottak.</w:t>
            </w:r>
          </w:p>
        </w:tc>
      </w:tr>
    </w:tbl>
    <w:p w14:paraId="5EB7A7B9" w14:textId="77777777" w:rsidR="00764497" w:rsidRPr="00183B5F" w:rsidRDefault="00764497" w:rsidP="004062FE">
      <w:pPr>
        <w:spacing w:line="240" w:lineRule="auto"/>
        <w:rPr>
          <w:color w:val="000000"/>
        </w:rPr>
      </w:pPr>
    </w:p>
    <w:p w14:paraId="46AA58B8" w14:textId="77777777" w:rsidR="00764497" w:rsidRPr="00183B5F" w:rsidRDefault="00943743" w:rsidP="004062FE">
      <w:pPr>
        <w:spacing w:line="240" w:lineRule="auto"/>
        <w:rPr>
          <w:color w:val="000000"/>
        </w:rPr>
      </w:pPr>
      <w:r w:rsidRPr="00183B5F">
        <w:rPr>
          <w:color w:val="000000"/>
        </w:rPr>
        <w:t xml:space="preserve">Azoknál a betegeknél, akik legalább részlegesen reagáltak a 12. héten, és akik folyamatos heti Humira terápiát kaptak, a HiSCR arány a 48. héten </w:t>
      </w:r>
      <w:r w:rsidR="00994AB3" w:rsidRPr="00183B5F">
        <w:rPr>
          <w:color w:val="000000"/>
        </w:rPr>
        <w:t>68,3%</w:t>
      </w:r>
      <w:r w:rsidR="00ED45A7" w:rsidRPr="00183B5F">
        <w:rPr>
          <w:color w:val="000000"/>
        </w:rPr>
        <w:t>,</w:t>
      </w:r>
      <w:r w:rsidR="00994AB3" w:rsidRPr="00183B5F">
        <w:rPr>
          <w:color w:val="000000"/>
        </w:rPr>
        <w:t xml:space="preserve"> a 96. héten pedig 65,1% volt. </w:t>
      </w:r>
      <w:r w:rsidR="008D7521" w:rsidRPr="00183B5F">
        <w:rPr>
          <w:color w:val="000000"/>
        </w:rPr>
        <w:t xml:space="preserve">A </w:t>
      </w:r>
      <w:r w:rsidR="006F700B" w:rsidRPr="00183B5F">
        <w:rPr>
          <w:color w:val="000000"/>
        </w:rPr>
        <w:t xml:space="preserve">heti </w:t>
      </w:r>
      <w:r w:rsidR="008D7521" w:rsidRPr="00183B5F">
        <w:rPr>
          <w:color w:val="000000"/>
        </w:rPr>
        <w:t>40 mg Humira</w:t>
      </w:r>
      <w:r w:rsidR="008D7521" w:rsidRPr="00183B5F">
        <w:rPr>
          <w:color w:val="000000"/>
        </w:rPr>
        <w:noBreakHyphen/>
        <w:t>val történő hosszabb távú kezelés során a 96. hétig nem azonosítottak új</w:t>
      </w:r>
      <w:r w:rsidR="006F700B" w:rsidRPr="00183B5F">
        <w:rPr>
          <w:color w:val="000000"/>
        </w:rPr>
        <w:t>,</w:t>
      </w:r>
      <w:r w:rsidR="008D7521" w:rsidRPr="00183B5F">
        <w:rPr>
          <w:color w:val="000000"/>
        </w:rPr>
        <w:t xml:space="preserve"> biztonság</w:t>
      </w:r>
      <w:r w:rsidR="006F700B" w:rsidRPr="00183B5F">
        <w:rPr>
          <w:color w:val="000000"/>
        </w:rPr>
        <w:t>osság</w:t>
      </w:r>
      <w:r w:rsidR="00EA69A9" w:rsidRPr="00183B5F">
        <w:rPr>
          <w:color w:val="000000"/>
        </w:rPr>
        <w:t xml:space="preserve">i </w:t>
      </w:r>
      <w:r w:rsidR="008D7521" w:rsidRPr="00183B5F">
        <w:rPr>
          <w:color w:val="000000"/>
        </w:rPr>
        <w:t>eseményt.</w:t>
      </w:r>
    </w:p>
    <w:p w14:paraId="101A75FF" w14:textId="77777777" w:rsidR="00764497" w:rsidRPr="00183B5F" w:rsidRDefault="00764497">
      <w:pPr>
        <w:suppressAutoHyphens w:val="0"/>
        <w:spacing w:line="240" w:lineRule="auto"/>
        <w:rPr>
          <w:color w:val="000000"/>
        </w:rPr>
      </w:pPr>
    </w:p>
    <w:p w14:paraId="622D615F" w14:textId="77777777" w:rsidR="00764497" w:rsidRPr="00183B5F" w:rsidRDefault="00943743">
      <w:pPr>
        <w:suppressAutoHyphens w:val="0"/>
        <w:spacing w:line="240" w:lineRule="auto"/>
        <w:rPr>
          <w:sz w:val="24"/>
        </w:rPr>
      </w:pPr>
      <w:r w:rsidRPr="00183B5F">
        <w:rPr>
          <w:color w:val="000000"/>
        </w:rPr>
        <w:t>Azoknál a betegeknél, akiknél a 12. héten leállították a Humira kezelést a HS</w:t>
      </w:r>
      <w:r w:rsidRPr="00183B5F">
        <w:rPr>
          <w:color w:val="000000"/>
        </w:rPr>
        <w:noBreakHyphen/>
        <w:t>I és HS</w:t>
      </w:r>
      <w:r w:rsidRPr="00183B5F">
        <w:rPr>
          <w:color w:val="000000"/>
        </w:rPr>
        <w:noBreakHyphen/>
      </w:r>
      <w:r w:rsidRPr="00183B5F">
        <w:rPr>
          <w:color w:val="000000"/>
        </w:rPr>
        <w:t>II vizsgálatban, a HiSCR arány 12 héttel a 40 mg Humira heti adagolásának újbóli bevezetése után visszatért hasonló szintre, mint amit a leállítás előtt megfigyeltek (56,0%).</w:t>
      </w:r>
    </w:p>
    <w:p w14:paraId="01FD5A06" w14:textId="77777777" w:rsidR="00764497" w:rsidRPr="00183B5F" w:rsidRDefault="00764497" w:rsidP="004062FE">
      <w:pPr>
        <w:spacing w:line="240" w:lineRule="auto"/>
        <w:rPr>
          <w:color w:val="000000"/>
        </w:rPr>
      </w:pPr>
    </w:p>
    <w:p w14:paraId="6F7349DB" w14:textId="77777777" w:rsidR="00764497" w:rsidRPr="00183B5F" w:rsidRDefault="00943743" w:rsidP="004062FE">
      <w:pPr>
        <w:keepNext/>
        <w:spacing w:line="240" w:lineRule="auto"/>
        <w:rPr>
          <w:i/>
          <w:szCs w:val="22"/>
        </w:rPr>
      </w:pPr>
      <w:r w:rsidRPr="00183B5F">
        <w:rPr>
          <w:i/>
          <w:szCs w:val="22"/>
        </w:rPr>
        <w:t>Crohn</w:t>
      </w:r>
      <w:r w:rsidRPr="00183B5F">
        <w:rPr>
          <w:i/>
          <w:szCs w:val="22"/>
        </w:rPr>
        <w:noBreakHyphen/>
        <w:t>betegség</w:t>
      </w:r>
    </w:p>
    <w:p w14:paraId="34E540CF" w14:textId="77777777" w:rsidR="00764497" w:rsidRPr="00183B5F" w:rsidRDefault="00764497" w:rsidP="004062FE">
      <w:pPr>
        <w:keepNext/>
        <w:spacing w:line="240" w:lineRule="auto"/>
        <w:rPr>
          <w:szCs w:val="22"/>
        </w:rPr>
      </w:pPr>
    </w:p>
    <w:p w14:paraId="59F4257B" w14:textId="77777777" w:rsidR="00764497" w:rsidRPr="00183B5F" w:rsidRDefault="00943743" w:rsidP="004062FE">
      <w:pPr>
        <w:keepNext/>
        <w:spacing w:line="240" w:lineRule="auto"/>
        <w:rPr>
          <w:szCs w:val="22"/>
        </w:rPr>
      </w:pPr>
      <w:r w:rsidRPr="00183B5F">
        <w:rPr>
          <w:szCs w:val="22"/>
        </w:rPr>
        <w:t xml:space="preserve">A Humira biztonságosságát és </w:t>
      </w:r>
      <w:r w:rsidR="00DD05E1" w:rsidRPr="00183B5F">
        <w:rPr>
          <w:szCs w:val="22"/>
        </w:rPr>
        <w:t xml:space="preserve">hatásosságát </w:t>
      </w:r>
      <w:r w:rsidRPr="00183B5F">
        <w:rPr>
          <w:szCs w:val="22"/>
        </w:rPr>
        <w:t>több mint 1500, közepesen súlyos - súlyos aktivitású Crohn</w:t>
      </w:r>
      <w:r w:rsidRPr="00183B5F">
        <w:rPr>
          <w:szCs w:val="22"/>
        </w:rPr>
        <w:noBreakHyphen/>
        <w:t xml:space="preserve">betegségben (CDAI [Crohn’s Disease Activity Index – </w:t>
      </w:r>
      <w:r w:rsidRPr="00183B5F">
        <w:rPr>
          <w:bCs/>
          <w:szCs w:val="22"/>
        </w:rPr>
        <w:t>Crohn</w:t>
      </w:r>
      <w:r w:rsidRPr="00183B5F">
        <w:rPr>
          <w:b/>
          <w:bCs/>
          <w:szCs w:val="22"/>
        </w:rPr>
        <w:noBreakHyphen/>
      </w:r>
      <w:r w:rsidRPr="00183B5F">
        <w:rPr>
          <w:szCs w:val="22"/>
        </w:rPr>
        <w:t>betegség aktivitási index] ≥ 220 – ≤</w:t>
      </w:r>
      <w:r w:rsidR="005532E8" w:rsidRPr="00183B5F">
        <w:rPr>
          <w:szCs w:val="22"/>
        </w:rPr>
        <w:t> </w:t>
      </w:r>
      <w:r w:rsidRPr="00183B5F">
        <w:rPr>
          <w:szCs w:val="22"/>
        </w:rPr>
        <w:t>450) szenvedő beteg</w:t>
      </w:r>
      <w:r w:rsidR="005532E8" w:rsidRPr="00183B5F">
        <w:rPr>
          <w:szCs w:val="22"/>
        </w:rPr>
        <w:t>nél</w:t>
      </w:r>
      <w:r w:rsidRPr="00183B5F">
        <w:rPr>
          <w:szCs w:val="22"/>
        </w:rPr>
        <w:t xml:space="preserve"> értékelték randomizált, </w:t>
      </w:r>
      <w:r w:rsidR="00E5381A" w:rsidRPr="00183B5F">
        <w:rPr>
          <w:szCs w:val="22"/>
        </w:rPr>
        <w:t>kettős vak</w:t>
      </w:r>
      <w:r w:rsidRPr="00183B5F">
        <w:rPr>
          <w:szCs w:val="22"/>
        </w:rPr>
        <w:t>, placebokontrollos vizsgálattal. Az aminoszalicilátok, kortikoszteroidok és/vagy immunmodulánsok alkalmazását változatlan dózisban engedélyezték; e szerek legalább egyikét a betegek 80%</w:t>
      </w:r>
      <w:r w:rsidRPr="00183B5F">
        <w:rPr>
          <w:szCs w:val="22"/>
        </w:rPr>
        <w:noBreakHyphen/>
        <w:t>a továbbra is kapta.</w:t>
      </w:r>
    </w:p>
    <w:p w14:paraId="064EC930" w14:textId="77777777" w:rsidR="00764497" w:rsidRPr="00183B5F" w:rsidRDefault="00764497" w:rsidP="004062FE">
      <w:pPr>
        <w:spacing w:line="240" w:lineRule="auto"/>
        <w:rPr>
          <w:szCs w:val="22"/>
        </w:rPr>
      </w:pPr>
    </w:p>
    <w:p w14:paraId="1788E053" w14:textId="77777777" w:rsidR="00764497" w:rsidRPr="00183B5F" w:rsidRDefault="00943743" w:rsidP="004062FE">
      <w:pPr>
        <w:spacing w:line="240" w:lineRule="auto"/>
        <w:rPr>
          <w:szCs w:val="22"/>
        </w:rPr>
      </w:pPr>
      <w:r w:rsidRPr="00183B5F">
        <w:rPr>
          <w:szCs w:val="22"/>
        </w:rPr>
        <w:t>A klinikai remisszió indukcióját (meghatározás szerint CDAI &lt; 150) két vizsgálat a CD I (CLASSIC I) és a CD II (GAIN) értékelte. A CD I vizsgálatban 299, TNF</w:t>
      </w:r>
      <w:r w:rsidRPr="00183B5F">
        <w:rPr>
          <w:szCs w:val="22"/>
        </w:rPr>
        <w:noBreakHyphen/>
        <w:t>antagonistával korábban még nem kezelt beteget soroltak véletlenszerűen a négy terápiás csoport valamelyikébe (placeb</w:t>
      </w:r>
      <w:r w:rsidR="006E6466" w:rsidRPr="00183B5F">
        <w:rPr>
          <w:szCs w:val="22"/>
        </w:rPr>
        <w:t>o</w:t>
      </w:r>
      <w:r w:rsidRPr="00183B5F">
        <w:rPr>
          <w:szCs w:val="22"/>
        </w:rPr>
        <w:t>kezelés a 0. és a 2. héten; 160 mg Humira a 0. és 80 mg a 2. héten; 80 mg Humira a 0. és 40 mg a 2. héten; 40 mg Humira a 0. és 20 mg a 2. héten). A CD II vizsgálatban 325 beteget, akinél hatástalanná vált az infliximab, vagy infliximab-intolerancia állt fenn, véletlenszerű besorolás alapján a 0. héten 160 mg, illetve a 2. héten 80 mg Humira</w:t>
      </w:r>
      <w:r w:rsidRPr="00183B5F">
        <w:rPr>
          <w:szCs w:val="22"/>
        </w:rPr>
        <w:noBreakHyphen/>
        <w:t>val vagy a 0. és a 2. héten adott placebóval keze</w:t>
      </w:r>
      <w:r w:rsidRPr="00183B5F">
        <w:rPr>
          <w:szCs w:val="22"/>
        </w:rPr>
        <w:t>ltek. A primer nem reagálókat kizárták a vizsgálatokból, ezért ezeket a betegeket a továbbiakban nem értékelték.</w:t>
      </w:r>
    </w:p>
    <w:p w14:paraId="7912983B" w14:textId="77777777" w:rsidR="00764497" w:rsidRPr="00183B5F" w:rsidRDefault="00764497" w:rsidP="004062FE">
      <w:pPr>
        <w:spacing w:line="240" w:lineRule="auto"/>
        <w:rPr>
          <w:szCs w:val="22"/>
        </w:rPr>
      </w:pPr>
    </w:p>
    <w:p w14:paraId="59670598" w14:textId="77777777" w:rsidR="00764497" w:rsidRPr="00183B5F" w:rsidRDefault="00943743" w:rsidP="004062FE">
      <w:pPr>
        <w:spacing w:line="240" w:lineRule="auto"/>
        <w:rPr>
          <w:szCs w:val="22"/>
        </w:rPr>
      </w:pPr>
      <w:r w:rsidRPr="00183B5F">
        <w:rPr>
          <w:szCs w:val="22"/>
        </w:rPr>
        <w:t xml:space="preserve">A klinikai remisszió fenntartását a CD III (CHARM) vizsgálat értékelte. A CD III vizsgálatban 854 beteget kezeltek nyílt vizsgálati elrendezésben, a 0. héten 80 mg, a 2. héten 40 mg dózissal. A 4. héten a résztvevőket véletlenszerűen sorolták be minden második héten 40 mg dózissal, hetente 40 mg dózissal vagy placebóval kezelt csoportba, összességében 56 hetes vizsgálati időtartammal. A kezelés 4. hetében a klinikailag reagáló (a CDAI ≥70 pontos csökkenése) betegek csoportját rétegezték, és eredményeiket a </w:t>
      </w:r>
      <w:r w:rsidRPr="00183B5F">
        <w:rPr>
          <w:szCs w:val="22"/>
        </w:rPr>
        <w:t>kezelésre a 4. hétig klinikailag nem reagáló betegekétől különválasztva értékelték. A 8. hét után engedélyezték a kortikoszteroid fokozatos csökkentését.</w:t>
      </w:r>
    </w:p>
    <w:p w14:paraId="604E834A" w14:textId="77777777" w:rsidR="00764497" w:rsidRPr="00183B5F" w:rsidRDefault="00764497" w:rsidP="004062FE">
      <w:pPr>
        <w:spacing w:line="240" w:lineRule="auto"/>
        <w:rPr>
          <w:szCs w:val="22"/>
        </w:rPr>
      </w:pPr>
    </w:p>
    <w:p w14:paraId="3F0F9D60" w14:textId="77777777" w:rsidR="00764497" w:rsidRPr="00183B5F" w:rsidRDefault="00943743" w:rsidP="004062FE">
      <w:pPr>
        <w:spacing w:line="240" w:lineRule="auto"/>
        <w:rPr>
          <w:szCs w:val="22"/>
        </w:rPr>
      </w:pPr>
      <w:r w:rsidRPr="00183B5F">
        <w:rPr>
          <w:szCs w:val="22"/>
        </w:rPr>
        <w:t xml:space="preserve">A </w:t>
      </w:r>
      <w:r w:rsidR="00B804FE" w:rsidRPr="00183B5F">
        <w:rPr>
          <w:szCs w:val="22"/>
        </w:rPr>
        <w:t>14</w:t>
      </w:r>
      <w:r w:rsidRPr="00183B5F">
        <w:rPr>
          <w:szCs w:val="22"/>
        </w:rPr>
        <w:t>. táblázat a CD I és a CD II vizsgálat során kiváltott remisszió gyakoriságát és a kezelésre reagáló betegek részarányát összegezi.</w:t>
      </w:r>
    </w:p>
    <w:p w14:paraId="55155081" w14:textId="77777777" w:rsidR="00764497" w:rsidRPr="00183B5F" w:rsidRDefault="00764497" w:rsidP="004062FE">
      <w:pPr>
        <w:spacing w:line="240" w:lineRule="auto"/>
        <w:rPr>
          <w:szCs w:val="22"/>
        </w:rPr>
      </w:pPr>
    </w:p>
    <w:p w14:paraId="2DBE3C88" w14:textId="77777777" w:rsidR="00764497" w:rsidRPr="00183B5F" w:rsidRDefault="00943743" w:rsidP="004062FE">
      <w:pPr>
        <w:keepNext/>
        <w:suppressAutoHyphens w:val="0"/>
        <w:spacing w:line="240" w:lineRule="auto"/>
        <w:jc w:val="center"/>
        <w:rPr>
          <w:b/>
          <w:szCs w:val="22"/>
        </w:rPr>
      </w:pPr>
      <w:r w:rsidRPr="00183B5F">
        <w:rPr>
          <w:b/>
          <w:szCs w:val="22"/>
        </w:rPr>
        <w:t xml:space="preserve">14. táblázat </w:t>
      </w:r>
    </w:p>
    <w:p w14:paraId="7624F4CF" w14:textId="77777777" w:rsidR="00764497" w:rsidRPr="00183B5F" w:rsidRDefault="00943743" w:rsidP="004062FE">
      <w:pPr>
        <w:keepNext/>
        <w:suppressAutoHyphens w:val="0"/>
        <w:spacing w:line="240" w:lineRule="auto"/>
        <w:jc w:val="center"/>
        <w:rPr>
          <w:b/>
          <w:szCs w:val="22"/>
        </w:rPr>
      </w:pPr>
      <w:r w:rsidRPr="00183B5F">
        <w:rPr>
          <w:b/>
          <w:szCs w:val="22"/>
        </w:rPr>
        <w:t>Klinikai remisszió és válasz indukciója</w:t>
      </w:r>
    </w:p>
    <w:p w14:paraId="02D0AD60" w14:textId="77777777" w:rsidR="00764497" w:rsidRPr="00183B5F" w:rsidRDefault="00943743" w:rsidP="004062FE">
      <w:pPr>
        <w:keepNext/>
        <w:suppressAutoHyphens w:val="0"/>
        <w:spacing w:line="240" w:lineRule="auto"/>
        <w:jc w:val="center"/>
        <w:rPr>
          <w:b/>
          <w:szCs w:val="22"/>
        </w:rPr>
      </w:pPr>
      <w:r w:rsidRPr="00183B5F">
        <w:rPr>
          <w:b/>
          <w:szCs w:val="22"/>
        </w:rPr>
        <w:t>(a betegek százaléka)</w:t>
      </w:r>
    </w:p>
    <w:p w14:paraId="1A97FF3D" w14:textId="77777777" w:rsidR="00764497" w:rsidRPr="00183B5F" w:rsidRDefault="00764497" w:rsidP="004062FE">
      <w:pPr>
        <w:keepNext/>
        <w:suppressAutoHyphens w:val="0"/>
        <w:spacing w:line="240" w:lineRule="auto"/>
        <w:jc w:val="center"/>
        <w:rPr>
          <w:szCs w:val="22"/>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6"/>
        <w:gridCol w:w="1212"/>
        <w:gridCol w:w="1264"/>
        <w:gridCol w:w="1312"/>
        <w:gridCol w:w="1400"/>
        <w:gridCol w:w="1596"/>
      </w:tblGrid>
      <w:tr w:rsidR="00011D2F" w14:paraId="3B8F43D6" w14:textId="77777777" w:rsidTr="00764497">
        <w:trPr>
          <w:cantSplit/>
        </w:trPr>
        <w:tc>
          <w:tcPr>
            <w:tcW w:w="2416" w:type="dxa"/>
          </w:tcPr>
          <w:p w14:paraId="542785F4" w14:textId="77777777" w:rsidR="00764497" w:rsidRPr="00183B5F" w:rsidRDefault="00764497" w:rsidP="004062FE">
            <w:pPr>
              <w:pStyle w:val="TableText"/>
              <w:keepLines w:val="0"/>
              <w:suppressAutoHyphens w:val="0"/>
              <w:spacing w:before="0" w:after="0" w:line="240" w:lineRule="auto"/>
              <w:rPr>
                <w:b/>
                <w:bCs/>
                <w:sz w:val="22"/>
                <w:szCs w:val="22"/>
                <w:lang w:val="hu-HU"/>
              </w:rPr>
            </w:pPr>
          </w:p>
        </w:tc>
        <w:tc>
          <w:tcPr>
            <w:tcW w:w="3788" w:type="dxa"/>
            <w:gridSpan w:val="3"/>
          </w:tcPr>
          <w:p w14:paraId="0B4AB45D" w14:textId="77777777" w:rsidR="00764497" w:rsidRPr="00183B5F" w:rsidRDefault="00943743" w:rsidP="004062FE">
            <w:pPr>
              <w:pStyle w:val="TableText"/>
              <w:keepLines w:val="0"/>
              <w:suppressAutoHyphens w:val="0"/>
              <w:spacing w:before="0" w:after="0" w:line="240" w:lineRule="auto"/>
              <w:rPr>
                <w:b/>
                <w:bCs/>
                <w:sz w:val="22"/>
                <w:szCs w:val="22"/>
                <w:lang w:val="hu-HU"/>
              </w:rPr>
            </w:pPr>
            <w:r w:rsidRPr="00183B5F">
              <w:rPr>
                <w:b/>
                <w:bCs/>
                <w:sz w:val="22"/>
                <w:szCs w:val="22"/>
                <w:lang w:val="hu-HU"/>
              </w:rPr>
              <w:t>CD I vizsgálat: Infliximab-naív betegek</w:t>
            </w:r>
          </w:p>
        </w:tc>
        <w:tc>
          <w:tcPr>
            <w:tcW w:w="2996" w:type="dxa"/>
            <w:gridSpan w:val="2"/>
          </w:tcPr>
          <w:p w14:paraId="4BF61BA4" w14:textId="77777777" w:rsidR="00764497" w:rsidRPr="00183B5F" w:rsidRDefault="00943743" w:rsidP="004062FE">
            <w:pPr>
              <w:pStyle w:val="TableText"/>
              <w:keepLines w:val="0"/>
              <w:suppressAutoHyphens w:val="0"/>
              <w:spacing w:before="0" w:after="0" w:line="240" w:lineRule="auto"/>
              <w:rPr>
                <w:b/>
                <w:bCs/>
                <w:sz w:val="22"/>
                <w:szCs w:val="22"/>
                <w:lang w:val="hu-HU"/>
              </w:rPr>
            </w:pPr>
            <w:r w:rsidRPr="00183B5F">
              <w:rPr>
                <w:b/>
                <w:bCs/>
                <w:sz w:val="22"/>
                <w:szCs w:val="22"/>
                <w:lang w:val="hu-HU"/>
              </w:rPr>
              <w:t xml:space="preserve">CD II vizsgálat: Infliximabbal már kezelt betegek </w:t>
            </w:r>
          </w:p>
        </w:tc>
      </w:tr>
      <w:tr w:rsidR="00011D2F" w14:paraId="17EA6148" w14:textId="77777777" w:rsidTr="00764497">
        <w:trPr>
          <w:cantSplit/>
        </w:trPr>
        <w:tc>
          <w:tcPr>
            <w:tcW w:w="2416" w:type="dxa"/>
          </w:tcPr>
          <w:p w14:paraId="022A39BE" w14:textId="77777777" w:rsidR="00764497" w:rsidRPr="00183B5F" w:rsidRDefault="00764497" w:rsidP="004062FE">
            <w:pPr>
              <w:pStyle w:val="TableText"/>
              <w:keepLines w:val="0"/>
              <w:suppressAutoHyphens w:val="0"/>
              <w:spacing w:before="0" w:after="0" w:line="240" w:lineRule="auto"/>
              <w:jc w:val="center"/>
              <w:rPr>
                <w:b/>
                <w:bCs/>
                <w:sz w:val="22"/>
                <w:szCs w:val="22"/>
                <w:lang w:val="hu-HU"/>
              </w:rPr>
            </w:pPr>
          </w:p>
        </w:tc>
        <w:tc>
          <w:tcPr>
            <w:tcW w:w="1212" w:type="dxa"/>
          </w:tcPr>
          <w:p w14:paraId="28F5EF10" w14:textId="77777777" w:rsidR="00764497"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Placebo</w:t>
            </w:r>
          </w:p>
          <w:p w14:paraId="7DE105C3" w14:textId="77777777" w:rsidR="00764497"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N = 74</w:t>
            </w:r>
          </w:p>
        </w:tc>
        <w:tc>
          <w:tcPr>
            <w:tcW w:w="1264" w:type="dxa"/>
          </w:tcPr>
          <w:p w14:paraId="3CA70F96" w14:textId="77777777" w:rsidR="00764497"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Humira</w:t>
            </w:r>
          </w:p>
          <w:p w14:paraId="700DD02C" w14:textId="77777777" w:rsidR="00764497"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80/40 mg</w:t>
            </w:r>
          </w:p>
          <w:p w14:paraId="5CF80A4A" w14:textId="77777777" w:rsidR="00764497"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N = 75</w:t>
            </w:r>
          </w:p>
        </w:tc>
        <w:tc>
          <w:tcPr>
            <w:tcW w:w="1312" w:type="dxa"/>
          </w:tcPr>
          <w:p w14:paraId="32AF9EB6" w14:textId="77777777" w:rsidR="00764497"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 xml:space="preserve">Humira </w:t>
            </w:r>
          </w:p>
          <w:p w14:paraId="16688031" w14:textId="77777777" w:rsidR="00764497"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160/80 mg N = 76</w:t>
            </w:r>
          </w:p>
        </w:tc>
        <w:tc>
          <w:tcPr>
            <w:tcW w:w="1400" w:type="dxa"/>
          </w:tcPr>
          <w:p w14:paraId="420A83A2" w14:textId="77777777" w:rsidR="00764497"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Placebo</w:t>
            </w:r>
          </w:p>
          <w:p w14:paraId="2868C1A8" w14:textId="77777777" w:rsidR="00764497"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N = 166</w:t>
            </w:r>
          </w:p>
        </w:tc>
        <w:tc>
          <w:tcPr>
            <w:tcW w:w="1596" w:type="dxa"/>
          </w:tcPr>
          <w:p w14:paraId="55DA21C5" w14:textId="77777777" w:rsidR="00764497"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 xml:space="preserve">Humira </w:t>
            </w:r>
          </w:p>
          <w:p w14:paraId="2C4E774E" w14:textId="77777777" w:rsidR="00764497"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160/80 mg</w:t>
            </w:r>
          </w:p>
          <w:p w14:paraId="5943C506" w14:textId="77777777" w:rsidR="00764497"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N = 159</w:t>
            </w:r>
          </w:p>
        </w:tc>
      </w:tr>
      <w:tr w:rsidR="00011D2F" w14:paraId="0EF2F222" w14:textId="77777777" w:rsidTr="00764497">
        <w:trPr>
          <w:cantSplit/>
        </w:trPr>
        <w:tc>
          <w:tcPr>
            <w:tcW w:w="2416" w:type="dxa"/>
            <w:vAlign w:val="bottom"/>
          </w:tcPr>
          <w:p w14:paraId="15A2C26D" w14:textId="77777777" w:rsidR="00764497" w:rsidRPr="00183B5F" w:rsidRDefault="00943743" w:rsidP="004062FE">
            <w:pPr>
              <w:pStyle w:val="TableText"/>
              <w:keepNext w:val="0"/>
              <w:keepLines w:val="0"/>
              <w:suppressAutoHyphens w:val="0"/>
              <w:spacing w:before="0" w:after="0" w:line="240" w:lineRule="auto"/>
              <w:rPr>
                <w:sz w:val="22"/>
                <w:lang w:val="hu-HU"/>
              </w:rPr>
            </w:pPr>
            <w:r w:rsidRPr="00183B5F">
              <w:rPr>
                <w:sz w:val="22"/>
                <w:lang w:val="hu-HU"/>
              </w:rPr>
              <w:t>4. hét</w:t>
            </w:r>
          </w:p>
        </w:tc>
        <w:tc>
          <w:tcPr>
            <w:tcW w:w="1212" w:type="dxa"/>
            <w:vAlign w:val="bottom"/>
          </w:tcPr>
          <w:p w14:paraId="20099D13" w14:textId="77777777" w:rsidR="00764497" w:rsidRPr="00183B5F" w:rsidRDefault="00764497" w:rsidP="004062FE">
            <w:pPr>
              <w:pStyle w:val="TableText"/>
              <w:keepNext w:val="0"/>
              <w:keepLines w:val="0"/>
              <w:suppressAutoHyphens w:val="0"/>
              <w:spacing w:before="0" w:after="0" w:line="240" w:lineRule="auto"/>
              <w:rPr>
                <w:sz w:val="22"/>
                <w:lang w:val="hu-HU"/>
              </w:rPr>
            </w:pPr>
          </w:p>
        </w:tc>
        <w:tc>
          <w:tcPr>
            <w:tcW w:w="1264" w:type="dxa"/>
            <w:vAlign w:val="bottom"/>
          </w:tcPr>
          <w:p w14:paraId="2BDBB4B3" w14:textId="77777777" w:rsidR="00764497" w:rsidRPr="00183B5F" w:rsidRDefault="00764497" w:rsidP="004062FE">
            <w:pPr>
              <w:pStyle w:val="TableText"/>
              <w:keepNext w:val="0"/>
              <w:keepLines w:val="0"/>
              <w:suppressAutoHyphens w:val="0"/>
              <w:spacing w:before="0" w:after="0" w:line="240" w:lineRule="auto"/>
              <w:rPr>
                <w:sz w:val="22"/>
                <w:lang w:val="hu-HU"/>
              </w:rPr>
            </w:pPr>
          </w:p>
        </w:tc>
        <w:tc>
          <w:tcPr>
            <w:tcW w:w="1312" w:type="dxa"/>
            <w:vAlign w:val="bottom"/>
          </w:tcPr>
          <w:p w14:paraId="26B005DB" w14:textId="77777777" w:rsidR="00764497" w:rsidRPr="00183B5F" w:rsidRDefault="00764497" w:rsidP="004062FE">
            <w:pPr>
              <w:pStyle w:val="TableText"/>
              <w:keepNext w:val="0"/>
              <w:keepLines w:val="0"/>
              <w:suppressAutoHyphens w:val="0"/>
              <w:spacing w:before="0" w:after="0" w:line="240" w:lineRule="auto"/>
              <w:rPr>
                <w:sz w:val="22"/>
                <w:lang w:val="hu-HU"/>
              </w:rPr>
            </w:pPr>
          </w:p>
        </w:tc>
        <w:tc>
          <w:tcPr>
            <w:tcW w:w="1400" w:type="dxa"/>
            <w:vAlign w:val="bottom"/>
          </w:tcPr>
          <w:p w14:paraId="49DD5955" w14:textId="77777777" w:rsidR="00764497" w:rsidRPr="00183B5F" w:rsidRDefault="00764497" w:rsidP="004062FE">
            <w:pPr>
              <w:pStyle w:val="TableText"/>
              <w:keepNext w:val="0"/>
              <w:keepLines w:val="0"/>
              <w:suppressAutoHyphens w:val="0"/>
              <w:spacing w:before="0" w:after="0" w:line="240" w:lineRule="auto"/>
              <w:rPr>
                <w:sz w:val="22"/>
                <w:lang w:val="hu-HU"/>
              </w:rPr>
            </w:pPr>
          </w:p>
        </w:tc>
        <w:tc>
          <w:tcPr>
            <w:tcW w:w="1596" w:type="dxa"/>
            <w:vAlign w:val="bottom"/>
          </w:tcPr>
          <w:p w14:paraId="4BB8E340" w14:textId="77777777" w:rsidR="00764497" w:rsidRPr="00183B5F" w:rsidRDefault="00764497" w:rsidP="004062FE">
            <w:pPr>
              <w:pStyle w:val="TableText"/>
              <w:keepNext w:val="0"/>
              <w:keepLines w:val="0"/>
              <w:suppressAutoHyphens w:val="0"/>
              <w:spacing w:before="0" w:after="0" w:line="240" w:lineRule="auto"/>
              <w:rPr>
                <w:sz w:val="22"/>
                <w:lang w:val="hu-HU"/>
              </w:rPr>
            </w:pPr>
          </w:p>
        </w:tc>
      </w:tr>
      <w:tr w:rsidR="00011D2F" w14:paraId="7C773DE0" w14:textId="77777777" w:rsidTr="00764497">
        <w:trPr>
          <w:cantSplit/>
        </w:trPr>
        <w:tc>
          <w:tcPr>
            <w:tcW w:w="2416" w:type="dxa"/>
            <w:vAlign w:val="bottom"/>
          </w:tcPr>
          <w:p w14:paraId="193FBAB3" w14:textId="77777777" w:rsidR="00764497" w:rsidRPr="00183B5F" w:rsidRDefault="00943743" w:rsidP="004062FE">
            <w:pPr>
              <w:pStyle w:val="TableText"/>
              <w:keepNext w:val="0"/>
              <w:keepLines w:val="0"/>
              <w:suppressAutoHyphens w:val="0"/>
              <w:spacing w:before="0" w:after="0" w:line="240" w:lineRule="auto"/>
              <w:rPr>
                <w:sz w:val="22"/>
                <w:lang w:val="hu-HU"/>
              </w:rPr>
            </w:pPr>
            <w:r w:rsidRPr="00183B5F">
              <w:rPr>
                <w:sz w:val="22"/>
                <w:lang w:val="hu-HU"/>
              </w:rPr>
              <w:t>Klinikai remisszió</w:t>
            </w:r>
          </w:p>
        </w:tc>
        <w:tc>
          <w:tcPr>
            <w:tcW w:w="1212" w:type="dxa"/>
            <w:vAlign w:val="bottom"/>
          </w:tcPr>
          <w:p w14:paraId="3CEA2F48" w14:textId="77777777" w:rsidR="00764497" w:rsidRPr="00183B5F" w:rsidRDefault="00943743" w:rsidP="004062FE">
            <w:pPr>
              <w:pStyle w:val="TableText"/>
              <w:keepNext w:val="0"/>
              <w:keepLines w:val="0"/>
              <w:suppressAutoHyphens w:val="0"/>
              <w:spacing w:before="0" w:after="0" w:line="240" w:lineRule="auto"/>
              <w:jc w:val="center"/>
              <w:rPr>
                <w:sz w:val="22"/>
                <w:lang w:val="hu-HU"/>
              </w:rPr>
            </w:pPr>
            <w:r w:rsidRPr="00183B5F">
              <w:rPr>
                <w:sz w:val="22"/>
                <w:lang w:val="hu-HU"/>
              </w:rPr>
              <w:t>12%</w:t>
            </w:r>
          </w:p>
        </w:tc>
        <w:tc>
          <w:tcPr>
            <w:tcW w:w="1264" w:type="dxa"/>
            <w:vAlign w:val="bottom"/>
          </w:tcPr>
          <w:p w14:paraId="7F24B737" w14:textId="77777777" w:rsidR="00764497" w:rsidRPr="00183B5F" w:rsidRDefault="00943743" w:rsidP="004062FE">
            <w:pPr>
              <w:pStyle w:val="TableText"/>
              <w:keepNext w:val="0"/>
              <w:keepLines w:val="0"/>
              <w:suppressAutoHyphens w:val="0"/>
              <w:spacing w:before="0" w:after="0" w:line="240" w:lineRule="auto"/>
              <w:jc w:val="center"/>
              <w:rPr>
                <w:sz w:val="22"/>
                <w:lang w:val="hu-HU"/>
              </w:rPr>
            </w:pPr>
            <w:r w:rsidRPr="00183B5F">
              <w:rPr>
                <w:sz w:val="22"/>
                <w:lang w:val="hu-HU"/>
              </w:rPr>
              <w:t>24%</w:t>
            </w:r>
          </w:p>
        </w:tc>
        <w:tc>
          <w:tcPr>
            <w:tcW w:w="1312" w:type="dxa"/>
            <w:vAlign w:val="bottom"/>
          </w:tcPr>
          <w:p w14:paraId="3E95C5EC" w14:textId="77777777" w:rsidR="00764497" w:rsidRPr="00183B5F" w:rsidRDefault="00943743" w:rsidP="004062FE">
            <w:pPr>
              <w:pStyle w:val="TableText"/>
              <w:keepNext w:val="0"/>
              <w:keepLines w:val="0"/>
              <w:suppressAutoHyphens w:val="0"/>
              <w:spacing w:before="0" w:after="0" w:line="240" w:lineRule="auto"/>
              <w:jc w:val="center"/>
              <w:rPr>
                <w:sz w:val="22"/>
                <w:lang w:val="hu-HU"/>
              </w:rPr>
            </w:pPr>
            <w:r w:rsidRPr="00183B5F">
              <w:rPr>
                <w:sz w:val="22"/>
                <w:lang w:val="hu-HU"/>
              </w:rPr>
              <w:t>36%</w:t>
            </w:r>
            <w:r w:rsidRPr="00183B5F">
              <w:rPr>
                <w:sz w:val="22"/>
                <w:vertAlign w:val="superscript"/>
                <w:lang w:val="hu-HU"/>
              </w:rPr>
              <w:t>*</w:t>
            </w:r>
          </w:p>
        </w:tc>
        <w:tc>
          <w:tcPr>
            <w:tcW w:w="1400" w:type="dxa"/>
            <w:vAlign w:val="bottom"/>
          </w:tcPr>
          <w:p w14:paraId="12D6BBD7" w14:textId="77777777" w:rsidR="00764497" w:rsidRPr="00183B5F" w:rsidRDefault="00943743" w:rsidP="004062FE">
            <w:pPr>
              <w:pStyle w:val="TableText"/>
              <w:keepNext w:val="0"/>
              <w:keepLines w:val="0"/>
              <w:suppressAutoHyphens w:val="0"/>
              <w:spacing w:before="0" w:after="0" w:line="240" w:lineRule="auto"/>
              <w:jc w:val="center"/>
              <w:rPr>
                <w:sz w:val="22"/>
                <w:lang w:val="hu-HU"/>
              </w:rPr>
            </w:pPr>
            <w:r w:rsidRPr="00183B5F">
              <w:rPr>
                <w:sz w:val="22"/>
                <w:lang w:val="hu-HU"/>
              </w:rPr>
              <w:t>7%</w:t>
            </w:r>
          </w:p>
        </w:tc>
        <w:tc>
          <w:tcPr>
            <w:tcW w:w="1596" w:type="dxa"/>
            <w:vAlign w:val="bottom"/>
          </w:tcPr>
          <w:p w14:paraId="52F0D70F" w14:textId="77777777" w:rsidR="00764497" w:rsidRPr="00183B5F" w:rsidRDefault="00943743" w:rsidP="004062FE">
            <w:pPr>
              <w:pStyle w:val="TableText"/>
              <w:keepNext w:val="0"/>
              <w:keepLines w:val="0"/>
              <w:suppressAutoHyphens w:val="0"/>
              <w:spacing w:before="0" w:after="0" w:line="240" w:lineRule="auto"/>
              <w:jc w:val="center"/>
              <w:rPr>
                <w:sz w:val="22"/>
                <w:lang w:val="hu-HU"/>
              </w:rPr>
            </w:pPr>
            <w:r w:rsidRPr="00183B5F">
              <w:rPr>
                <w:sz w:val="22"/>
                <w:lang w:val="hu-HU"/>
              </w:rPr>
              <w:t>21%</w:t>
            </w:r>
            <w:r w:rsidRPr="00183B5F">
              <w:rPr>
                <w:sz w:val="22"/>
                <w:vertAlign w:val="superscript"/>
                <w:lang w:val="hu-HU"/>
              </w:rPr>
              <w:t>*</w:t>
            </w:r>
          </w:p>
        </w:tc>
      </w:tr>
      <w:tr w:rsidR="00011D2F" w14:paraId="707D4972" w14:textId="77777777" w:rsidTr="00764497">
        <w:trPr>
          <w:cantSplit/>
        </w:trPr>
        <w:tc>
          <w:tcPr>
            <w:tcW w:w="2416" w:type="dxa"/>
          </w:tcPr>
          <w:p w14:paraId="058DBC01" w14:textId="77777777" w:rsidR="00764497" w:rsidRPr="00183B5F" w:rsidRDefault="00943743" w:rsidP="004062FE">
            <w:pPr>
              <w:pStyle w:val="TableText"/>
              <w:keepNext w:val="0"/>
              <w:keepLines w:val="0"/>
              <w:suppressAutoHyphens w:val="0"/>
              <w:spacing w:before="0" w:after="0" w:line="240" w:lineRule="auto"/>
              <w:rPr>
                <w:sz w:val="22"/>
                <w:lang w:val="hu-HU"/>
              </w:rPr>
            </w:pPr>
            <w:r w:rsidRPr="00183B5F">
              <w:rPr>
                <w:sz w:val="22"/>
                <w:lang w:val="hu-HU"/>
              </w:rPr>
              <w:t>Klinikai válasz (CR</w:t>
            </w:r>
            <w:r w:rsidR="000135CA" w:rsidRPr="00183B5F">
              <w:rPr>
                <w:sz w:val="22"/>
                <w:lang w:val="hu-HU"/>
              </w:rPr>
              <w:noBreakHyphen/>
            </w:r>
            <w:r w:rsidRPr="00183B5F">
              <w:rPr>
                <w:sz w:val="22"/>
                <w:lang w:val="hu-HU"/>
              </w:rPr>
              <w:t>100)</w:t>
            </w:r>
          </w:p>
        </w:tc>
        <w:tc>
          <w:tcPr>
            <w:tcW w:w="1212" w:type="dxa"/>
          </w:tcPr>
          <w:p w14:paraId="29722F22" w14:textId="77777777" w:rsidR="00764497" w:rsidRPr="00183B5F" w:rsidRDefault="00943743" w:rsidP="004062FE">
            <w:pPr>
              <w:pStyle w:val="TableText"/>
              <w:keepNext w:val="0"/>
              <w:keepLines w:val="0"/>
              <w:suppressAutoHyphens w:val="0"/>
              <w:spacing w:before="0" w:after="0" w:line="240" w:lineRule="auto"/>
              <w:jc w:val="center"/>
              <w:rPr>
                <w:sz w:val="22"/>
                <w:lang w:val="hu-HU"/>
              </w:rPr>
            </w:pPr>
            <w:r w:rsidRPr="00183B5F">
              <w:rPr>
                <w:sz w:val="22"/>
                <w:lang w:val="hu-HU"/>
              </w:rPr>
              <w:t>24%</w:t>
            </w:r>
          </w:p>
        </w:tc>
        <w:tc>
          <w:tcPr>
            <w:tcW w:w="1264" w:type="dxa"/>
          </w:tcPr>
          <w:p w14:paraId="1C86EABE" w14:textId="77777777" w:rsidR="00764497" w:rsidRPr="00183B5F" w:rsidRDefault="00943743" w:rsidP="004062FE">
            <w:pPr>
              <w:pStyle w:val="TableText"/>
              <w:keepNext w:val="0"/>
              <w:keepLines w:val="0"/>
              <w:suppressAutoHyphens w:val="0"/>
              <w:spacing w:before="0" w:after="0" w:line="240" w:lineRule="auto"/>
              <w:jc w:val="center"/>
              <w:rPr>
                <w:sz w:val="22"/>
                <w:lang w:val="hu-HU"/>
              </w:rPr>
            </w:pPr>
            <w:r w:rsidRPr="00183B5F">
              <w:rPr>
                <w:sz w:val="22"/>
                <w:lang w:val="hu-HU"/>
              </w:rPr>
              <w:t>37%</w:t>
            </w:r>
          </w:p>
        </w:tc>
        <w:tc>
          <w:tcPr>
            <w:tcW w:w="1312" w:type="dxa"/>
          </w:tcPr>
          <w:p w14:paraId="7EE8481F" w14:textId="77777777" w:rsidR="00764497" w:rsidRPr="00183B5F" w:rsidRDefault="00943743" w:rsidP="004062FE">
            <w:pPr>
              <w:pStyle w:val="TableText"/>
              <w:keepNext w:val="0"/>
              <w:keepLines w:val="0"/>
              <w:suppressAutoHyphens w:val="0"/>
              <w:spacing w:before="0" w:after="0" w:line="240" w:lineRule="auto"/>
              <w:jc w:val="center"/>
              <w:rPr>
                <w:sz w:val="22"/>
                <w:lang w:val="hu-HU"/>
              </w:rPr>
            </w:pPr>
            <w:r w:rsidRPr="00183B5F">
              <w:rPr>
                <w:sz w:val="22"/>
                <w:lang w:val="hu-HU"/>
              </w:rPr>
              <w:t>49%</w:t>
            </w:r>
            <w:r w:rsidRPr="00183B5F">
              <w:rPr>
                <w:sz w:val="22"/>
                <w:vertAlign w:val="superscript"/>
                <w:lang w:val="hu-HU"/>
              </w:rPr>
              <w:t>**</w:t>
            </w:r>
          </w:p>
        </w:tc>
        <w:tc>
          <w:tcPr>
            <w:tcW w:w="1400" w:type="dxa"/>
          </w:tcPr>
          <w:p w14:paraId="3023C9F2" w14:textId="77777777" w:rsidR="00764497" w:rsidRPr="00183B5F" w:rsidRDefault="00943743" w:rsidP="004062FE">
            <w:pPr>
              <w:pStyle w:val="TableText"/>
              <w:keepNext w:val="0"/>
              <w:keepLines w:val="0"/>
              <w:suppressAutoHyphens w:val="0"/>
              <w:spacing w:before="0" w:after="0" w:line="240" w:lineRule="auto"/>
              <w:jc w:val="center"/>
              <w:rPr>
                <w:sz w:val="22"/>
                <w:lang w:val="hu-HU"/>
              </w:rPr>
            </w:pPr>
            <w:r w:rsidRPr="00183B5F">
              <w:rPr>
                <w:sz w:val="22"/>
                <w:lang w:val="hu-HU"/>
              </w:rPr>
              <w:t>25%</w:t>
            </w:r>
          </w:p>
        </w:tc>
        <w:tc>
          <w:tcPr>
            <w:tcW w:w="1596" w:type="dxa"/>
          </w:tcPr>
          <w:p w14:paraId="680705FA" w14:textId="77777777" w:rsidR="00764497" w:rsidRPr="00183B5F" w:rsidRDefault="00943743" w:rsidP="004062FE">
            <w:pPr>
              <w:pStyle w:val="TableText"/>
              <w:keepNext w:val="0"/>
              <w:keepLines w:val="0"/>
              <w:suppressAutoHyphens w:val="0"/>
              <w:spacing w:before="0" w:after="0" w:line="240" w:lineRule="auto"/>
              <w:jc w:val="center"/>
              <w:rPr>
                <w:sz w:val="22"/>
                <w:lang w:val="hu-HU"/>
              </w:rPr>
            </w:pPr>
            <w:r w:rsidRPr="00183B5F">
              <w:rPr>
                <w:sz w:val="22"/>
                <w:lang w:val="hu-HU"/>
              </w:rPr>
              <w:t>38%</w:t>
            </w:r>
            <w:r w:rsidRPr="00183B5F">
              <w:rPr>
                <w:sz w:val="22"/>
                <w:vertAlign w:val="superscript"/>
                <w:lang w:val="hu-HU"/>
              </w:rPr>
              <w:t>**</w:t>
            </w:r>
          </w:p>
        </w:tc>
      </w:tr>
      <w:tr w:rsidR="00011D2F" w14:paraId="5E8CEB7F" w14:textId="77777777" w:rsidTr="00764497">
        <w:trPr>
          <w:cantSplit/>
        </w:trPr>
        <w:tc>
          <w:tcPr>
            <w:tcW w:w="9200" w:type="dxa"/>
            <w:gridSpan w:val="6"/>
            <w:tcBorders>
              <w:left w:val="nil"/>
              <w:bottom w:val="nil"/>
              <w:right w:val="nil"/>
            </w:tcBorders>
          </w:tcPr>
          <w:p w14:paraId="11777D66" w14:textId="77777777" w:rsidR="00764497" w:rsidRPr="00183B5F" w:rsidRDefault="00943743" w:rsidP="004062FE">
            <w:pPr>
              <w:pStyle w:val="TableText"/>
              <w:keepNext w:val="0"/>
              <w:keepLines w:val="0"/>
              <w:suppressAutoHyphens w:val="0"/>
              <w:spacing w:before="0" w:after="0" w:line="240" w:lineRule="auto"/>
              <w:rPr>
                <w:sz w:val="22"/>
                <w:szCs w:val="22"/>
                <w:lang w:val="hu-HU"/>
              </w:rPr>
            </w:pPr>
            <w:r w:rsidRPr="00183B5F">
              <w:rPr>
                <w:sz w:val="22"/>
                <w:szCs w:val="22"/>
                <w:lang w:val="hu-HU"/>
              </w:rPr>
              <w:t xml:space="preserve">Az összes p-érték a Humira </w:t>
            </w:r>
            <w:r w:rsidRPr="00183B5F">
              <w:rPr>
                <w:i/>
                <w:sz w:val="22"/>
                <w:szCs w:val="22"/>
                <w:lang w:val="hu-HU"/>
              </w:rPr>
              <w:t>versus</w:t>
            </w:r>
            <w:r w:rsidRPr="00183B5F">
              <w:rPr>
                <w:sz w:val="22"/>
                <w:szCs w:val="22"/>
                <w:lang w:val="hu-HU"/>
              </w:rPr>
              <w:t xml:space="preserve"> placebokezelés során regisztrált részarányok páronkénti összehasonlításaira vonatkozik.</w:t>
            </w:r>
          </w:p>
          <w:p w14:paraId="30126395" w14:textId="77777777" w:rsidR="00764497" w:rsidRPr="00183B5F" w:rsidRDefault="00943743" w:rsidP="004062FE">
            <w:pPr>
              <w:pStyle w:val="TableText"/>
              <w:keepNext w:val="0"/>
              <w:keepLines w:val="0"/>
              <w:suppressAutoHyphens w:val="0"/>
              <w:spacing w:before="0" w:after="0" w:line="240" w:lineRule="auto"/>
              <w:rPr>
                <w:sz w:val="22"/>
                <w:lang w:val="hu-HU"/>
              </w:rPr>
            </w:pPr>
            <w:r w:rsidRPr="00183B5F">
              <w:rPr>
                <w:sz w:val="22"/>
                <w:vertAlign w:val="superscript"/>
                <w:lang w:val="hu-HU"/>
              </w:rPr>
              <w:t>*</w:t>
            </w:r>
            <w:r w:rsidRPr="00183B5F">
              <w:rPr>
                <w:sz w:val="22"/>
                <w:lang w:val="hu-HU"/>
              </w:rPr>
              <w:tab/>
              <w:t>p &lt; 0,001</w:t>
            </w:r>
          </w:p>
          <w:p w14:paraId="4C832771" w14:textId="77777777" w:rsidR="00764497" w:rsidRPr="00183B5F" w:rsidRDefault="00943743" w:rsidP="004062FE">
            <w:pPr>
              <w:pStyle w:val="TableText"/>
              <w:keepNext w:val="0"/>
              <w:keepLines w:val="0"/>
              <w:suppressAutoHyphens w:val="0"/>
              <w:spacing w:before="0" w:after="0" w:line="240" w:lineRule="auto"/>
              <w:rPr>
                <w:sz w:val="22"/>
                <w:lang w:val="hu-HU"/>
              </w:rPr>
            </w:pPr>
            <w:r w:rsidRPr="00183B5F">
              <w:rPr>
                <w:sz w:val="22"/>
                <w:vertAlign w:val="superscript"/>
                <w:lang w:val="hu-HU"/>
              </w:rPr>
              <w:t>**</w:t>
            </w:r>
            <w:r w:rsidRPr="00183B5F">
              <w:rPr>
                <w:sz w:val="22"/>
                <w:lang w:val="hu-HU"/>
              </w:rPr>
              <w:tab/>
              <w:t>p &lt; 0,01</w:t>
            </w:r>
          </w:p>
        </w:tc>
      </w:tr>
    </w:tbl>
    <w:p w14:paraId="5F3351FC" w14:textId="77777777" w:rsidR="00764497" w:rsidRPr="00183B5F" w:rsidRDefault="00764497" w:rsidP="004062FE">
      <w:pPr>
        <w:suppressAutoHyphens w:val="0"/>
        <w:spacing w:line="240" w:lineRule="auto"/>
        <w:rPr>
          <w:szCs w:val="22"/>
        </w:rPr>
      </w:pPr>
    </w:p>
    <w:p w14:paraId="4EDD0B22" w14:textId="77777777" w:rsidR="00764497" w:rsidRPr="00183B5F" w:rsidRDefault="00943743" w:rsidP="004062FE">
      <w:pPr>
        <w:suppressAutoHyphens w:val="0"/>
        <w:spacing w:line="240" w:lineRule="auto"/>
        <w:rPr>
          <w:szCs w:val="22"/>
        </w:rPr>
      </w:pPr>
      <w:r w:rsidRPr="00183B5F">
        <w:rPr>
          <w:szCs w:val="22"/>
        </w:rPr>
        <w:t>A 160/80 mg, illetve a 80/40 mg dózisú indukciós kezelések után a 8. héten hasonló remissziós rátát regisztráltak; a 160/80 mg dózis</w:t>
      </w:r>
      <w:r w:rsidR="000135CA" w:rsidRPr="00183B5F">
        <w:rPr>
          <w:szCs w:val="22"/>
        </w:rPr>
        <w:t>s</w:t>
      </w:r>
      <w:r w:rsidRPr="00183B5F">
        <w:rPr>
          <w:szCs w:val="22"/>
        </w:rPr>
        <w:t>al kezelt csoportban gyakrabban észleltek mellékhatásokat.</w:t>
      </w:r>
    </w:p>
    <w:p w14:paraId="11010859" w14:textId="77777777" w:rsidR="00764497" w:rsidRPr="00183B5F" w:rsidRDefault="00764497" w:rsidP="004062FE">
      <w:pPr>
        <w:suppressAutoHyphens w:val="0"/>
        <w:spacing w:line="240" w:lineRule="auto"/>
        <w:rPr>
          <w:szCs w:val="22"/>
        </w:rPr>
      </w:pPr>
    </w:p>
    <w:p w14:paraId="6FA9EE82" w14:textId="77777777" w:rsidR="00764497" w:rsidRPr="00183B5F" w:rsidRDefault="00943743" w:rsidP="004062FE">
      <w:pPr>
        <w:spacing w:line="240" w:lineRule="auto"/>
        <w:rPr>
          <w:szCs w:val="22"/>
        </w:rPr>
      </w:pPr>
      <w:r w:rsidRPr="00183B5F">
        <w:rPr>
          <w:szCs w:val="22"/>
        </w:rPr>
        <w:t>A CD III vizsgálat 4. hetében a betegek 58%</w:t>
      </w:r>
      <w:r w:rsidRPr="00183B5F">
        <w:rPr>
          <w:szCs w:val="22"/>
        </w:rPr>
        <w:noBreakHyphen/>
        <w:t>án (499/854) mutatkozott klinikai hatás; a primer elemzést ezeknek a résztvevőknek az eredményein végezték el. A kezelésre a 4. héten klinikailag reagáló betegek 48%</w:t>
      </w:r>
      <w:r w:rsidRPr="00183B5F">
        <w:rPr>
          <w:szCs w:val="22"/>
        </w:rPr>
        <w:noBreakHyphen/>
        <w:t>át korábban már kezelték más TNF</w:t>
      </w:r>
      <w:r w:rsidRPr="00183B5F">
        <w:rPr>
          <w:szCs w:val="22"/>
        </w:rPr>
        <w:noBreakHyphen/>
        <w:t xml:space="preserve">antagonistával. A tartós remissziót elért, illetve a kezelésre reagáló betegek részarányát a </w:t>
      </w:r>
      <w:r w:rsidR="00B804FE" w:rsidRPr="00183B5F">
        <w:rPr>
          <w:szCs w:val="22"/>
        </w:rPr>
        <w:t>15</w:t>
      </w:r>
      <w:r w:rsidRPr="00183B5F">
        <w:rPr>
          <w:szCs w:val="22"/>
        </w:rPr>
        <w:t>. táblázat mutatja be. A klinikai remisszióban lévő betegek részaránya viszonylag állandó maradt, függetlenül a TNF</w:t>
      </w:r>
      <w:r w:rsidRPr="00183B5F">
        <w:rPr>
          <w:szCs w:val="22"/>
        </w:rPr>
        <w:noBreakHyphen/>
        <w:t>antagonista</w:t>
      </w:r>
      <w:r w:rsidR="000135CA" w:rsidRPr="00183B5F">
        <w:rPr>
          <w:szCs w:val="22"/>
        </w:rPr>
        <w:t>-</w:t>
      </w:r>
      <w:r w:rsidRPr="00183B5F">
        <w:rPr>
          <w:szCs w:val="22"/>
        </w:rPr>
        <w:t xml:space="preserve">expozíciótól. </w:t>
      </w:r>
    </w:p>
    <w:p w14:paraId="652FE98F" w14:textId="77777777" w:rsidR="00764497" w:rsidRPr="00183B5F" w:rsidRDefault="00764497" w:rsidP="004062FE">
      <w:pPr>
        <w:spacing w:line="240" w:lineRule="auto"/>
        <w:rPr>
          <w:szCs w:val="22"/>
        </w:rPr>
      </w:pPr>
    </w:p>
    <w:p w14:paraId="7A20085C" w14:textId="77777777" w:rsidR="00764497" w:rsidRPr="00183B5F" w:rsidRDefault="00943743" w:rsidP="004062FE">
      <w:pPr>
        <w:spacing w:line="240" w:lineRule="auto"/>
        <w:rPr>
          <w:szCs w:val="22"/>
        </w:rPr>
      </w:pPr>
      <w:r w:rsidRPr="00183B5F">
        <w:rPr>
          <w:szCs w:val="22"/>
        </w:rPr>
        <w:t>Az 56. hétre a placebóhoz képest az adalimumab esetén statisztikailag szignifikánsan csökkent a betegséggel összefüggő hospitalizációk és műtétek száma.</w:t>
      </w:r>
    </w:p>
    <w:p w14:paraId="39EDA377" w14:textId="77777777" w:rsidR="00764497" w:rsidRPr="00183B5F" w:rsidRDefault="00764497" w:rsidP="004062FE">
      <w:pPr>
        <w:suppressAutoHyphens w:val="0"/>
        <w:spacing w:line="240" w:lineRule="auto"/>
        <w:rPr>
          <w:szCs w:val="22"/>
        </w:rPr>
      </w:pPr>
    </w:p>
    <w:p w14:paraId="6CA4D163" w14:textId="77777777" w:rsidR="00764497" w:rsidRPr="00183B5F" w:rsidRDefault="00943743" w:rsidP="004062FE">
      <w:pPr>
        <w:keepNext/>
        <w:suppressAutoHyphens w:val="0"/>
        <w:spacing w:line="240" w:lineRule="auto"/>
        <w:jc w:val="center"/>
        <w:rPr>
          <w:b/>
          <w:szCs w:val="22"/>
        </w:rPr>
      </w:pPr>
      <w:r w:rsidRPr="00183B5F">
        <w:rPr>
          <w:b/>
          <w:szCs w:val="22"/>
        </w:rPr>
        <w:t xml:space="preserve">15. táblázat </w:t>
      </w:r>
    </w:p>
    <w:p w14:paraId="0A01B5E9" w14:textId="77777777" w:rsidR="00764497" w:rsidRPr="00183B5F" w:rsidRDefault="00943743" w:rsidP="004062FE">
      <w:pPr>
        <w:keepNext/>
        <w:suppressAutoHyphens w:val="0"/>
        <w:spacing w:line="240" w:lineRule="auto"/>
        <w:jc w:val="center"/>
        <w:rPr>
          <w:b/>
          <w:szCs w:val="22"/>
        </w:rPr>
      </w:pPr>
      <w:r w:rsidRPr="00183B5F">
        <w:rPr>
          <w:b/>
          <w:szCs w:val="22"/>
        </w:rPr>
        <w:t>A klinikai remisszió és válasz fenntartása</w:t>
      </w:r>
    </w:p>
    <w:p w14:paraId="7EAC5154" w14:textId="77777777" w:rsidR="00764497" w:rsidRPr="00183B5F" w:rsidRDefault="00943743" w:rsidP="004062FE">
      <w:pPr>
        <w:keepNext/>
        <w:suppressAutoHyphens w:val="0"/>
        <w:spacing w:line="240" w:lineRule="auto"/>
        <w:jc w:val="center"/>
        <w:rPr>
          <w:b/>
          <w:szCs w:val="22"/>
        </w:rPr>
      </w:pPr>
      <w:r w:rsidRPr="00183B5F">
        <w:rPr>
          <w:b/>
          <w:szCs w:val="22"/>
        </w:rPr>
        <w:t>(betegek százaléka)</w:t>
      </w:r>
    </w:p>
    <w:p w14:paraId="33B911BB" w14:textId="77777777" w:rsidR="00764497" w:rsidRPr="00183B5F" w:rsidRDefault="00764497" w:rsidP="004062FE">
      <w:pPr>
        <w:keepNext/>
        <w:suppressAutoHyphens w:val="0"/>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6"/>
        <w:gridCol w:w="1710"/>
        <w:gridCol w:w="1885"/>
        <w:gridCol w:w="1820"/>
      </w:tblGrid>
      <w:tr w:rsidR="00011D2F" w14:paraId="4D66F476" w14:textId="77777777" w:rsidTr="00764497">
        <w:tc>
          <w:tcPr>
            <w:tcW w:w="3747" w:type="dxa"/>
          </w:tcPr>
          <w:p w14:paraId="5DEA037B" w14:textId="77777777" w:rsidR="00764497" w:rsidRPr="00183B5F" w:rsidRDefault="00764497" w:rsidP="004062FE">
            <w:pPr>
              <w:pStyle w:val="TableText"/>
              <w:keepLines w:val="0"/>
              <w:suppressAutoHyphens w:val="0"/>
              <w:spacing w:before="0" w:after="0" w:line="240" w:lineRule="auto"/>
              <w:rPr>
                <w:b/>
                <w:bCs/>
                <w:sz w:val="22"/>
                <w:szCs w:val="22"/>
                <w:lang w:val="hu-HU"/>
              </w:rPr>
            </w:pPr>
          </w:p>
        </w:tc>
        <w:tc>
          <w:tcPr>
            <w:tcW w:w="1751" w:type="dxa"/>
          </w:tcPr>
          <w:p w14:paraId="759469A3" w14:textId="77777777" w:rsidR="00764497"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Placebo</w:t>
            </w:r>
          </w:p>
        </w:tc>
        <w:tc>
          <w:tcPr>
            <w:tcW w:w="1928" w:type="dxa"/>
          </w:tcPr>
          <w:p w14:paraId="59A577E4" w14:textId="77777777" w:rsidR="00764497"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40 mg Humira</w:t>
            </w:r>
            <w:r w:rsidRPr="00183B5F">
              <w:rPr>
                <w:b/>
                <w:sz w:val="22"/>
                <w:lang w:val="hu-HU"/>
              </w:rPr>
              <w:br/>
              <w:t>minden második héten</w:t>
            </w:r>
          </w:p>
        </w:tc>
        <w:tc>
          <w:tcPr>
            <w:tcW w:w="1859" w:type="dxa"/>
          </w:tcPr>
          <w:p w14:paraId="3BF55266" w14:textId="77777777" w:rsidR="00764497"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40 mg Humira</w:t>
            </w:r>
            <w:r w:rsidRPr="00183B5F">
              <w:rPr>
                <w:b/>
                <w:sz w:val="22"/>
                <w:lang w:val="hu-HU"/>
              </w:rPr>
              <w:br/>
              <w:t>hetente</w:t>
            </w:r>
          </w:p>
        </w:tc>
      </w:tr>
      <w:tr w:rsidR="00011D2F" w14:paraId="580E4EDB" w14:textId="77777777" w:rsidTr="00764497">
        <w:tc>
          <w:tcPr>
            <w:tcW w:w="3747" w:type="dxa"/>
          </w:tcPr>
          <w:p w14:paraId="01BD31CE" w14:textId="77777777" w:rsidR="00764497" w:rsidRPr="00183B5F" w:rsidRDefault="00943743" w:rsidP="004062FE">
            <w:pPr>
              <w:pStyle w:val="TableText"/>
              <w:keepLines w:val="0"/>
              <w:suppressAutoHyphens w:val="0"/>
              <w:spacing w:before="0" w:after="0" w:line="240" w:lineRule="auto"/>
              <w:rPr>
                <w:b/>
                <w:sz w:val="22"/>
                <w:lang w:val="hu-HU"/>
              </w:rPr>
            </w:pPr>
            <w:r w:rsidRPr="00183B5F">
              <w:rPr>
                <w:b/>
                <w:sz w:val="22"/>
                <w:lang w:val="hu-HU"/>
              </w:rPr>
              <w:t>26. hét</w:t>
            </w:r>
          </w:p>
        </w:tc>
        <w:tc>
          <w:tcPr>
            <w:tcW w:w="1751" w:type="dxa"/>
          </w:tcPr>
          <w:p w14:paraId="522C64A1" w14:textId="77777777" w:rsidR="00764497"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N = 170</w:t>
            </w:r>
          </w:p>
        </w:tc>
        <w:tc>
          <w:tcPr>
            <w:tcW w:w="1928" w:type="dxa"/>
          </w:tcPr>
          <w:p w14:paraId="0C1D688F" w14:textId="77777777" w:rsidR="00764497"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N = 172</w:t>
            </w:r>
          </w:p>
        </w:tc>
        <w:tc>
          <w:tcPr>
            <w:tcW w:w="1859" w:type="dxa"/>
          </w:tcPr>
          <w:p w14:paraId="5F40E7ED" w14:textId="77777777" w:rsidR="00764497"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N = 157</w:t>
            </w:r>
          </w:p>
        </w:tc>
      </w:tr>
      <w:tr w:rsidR="00011D2F" w14:paraId="3AD460CD" w14:textId="77777777" w:rsidTr="00764497">
        <w:tc>
          <w:tcPr>
            <w:tcW w:w="3747" w:type="dxa"/>
          </w:tcPr>
          <w:p w14:paraId="37F406A5" w14:textId="77777777" w:rsidR="00764497" w:rsidRPr="00183B5F" w:rsidRDefault="00943743" w:rsidP="004062FE">
            <w:pPr>
              <w:pStyle w:val="TableText"/>
              <w:keepLines w:val="0"/>
              <w:suppressAutoHyphens w:val="0"/>
              <w:spacing w:before="0" w:after="0" w:line="240" w:lineRule="auto"/>
              <w:rPr>
                <w:sz w:val="22"/>
                <w:lang w:val="hu-HU"/>
              </w:rPr>
            </w:pPr>
            <w:r w:rsidRPr="00183B5F">
              <w:rPr>
                <w:sz w:val="22"/>
                <w:lang w:val="hu-HU"/>
              </w:rPr>
              <w:t>Klinikai remisszió</w:t>
            </w:r>
          </w:p>
        </w:tc>
        <w:tc>
          <w:tcPr>
            <w:tcW w:w="1751" w:type="dxa"/>
          </w:tcPr>
          <w:p w14:paraId="27AFAEAD" w14:textId="77777777" w:rsidR="00764497" w:rsidRPr="00183B5F" w:rsidRDefault="00943743" w:rsidP="004062FE">
            <w:pPr>
              <w:pStyle w:val="TableText"/>
              <w:keepLines w:val="0"/>
              <w:suppressAutoHyphens w:val="0"/>
              <w:spacing w:before="0" w:after="0" w:line="240" w:lineRule="auto"/>
              <w:jc w:val="center"/>
              <w:rPr>
                <w:sz w:val="22"/>
                <w:lang w:val="hu-HU"/>
              </w:rPr>
            </w:pPr>
            <w:r w:rsidRPr="00183B5F">
              <w:rPr>
                <w:sz w:val="22"/>
                <w:lang w:val="hu-HU"/>
              </w:rPr>
              <w:t>17%</w:t>
            </w:r>
          </w:p>
        </w:tc>
        <w:tc>
          <w:tcPr>
            <w:tcW w:w="1928" w:type="dxa"/>
          </w:tcPr>
          <w:p w14:paraId="19CCE84F" w14:textId="77777777" w:rsidR="00764497" w:rsidRPr="00183B5F" w:rsidRDefault="00943743" w:rsidP="004062FE">
            <w:pPr>
              <w:pStyle w:val="TableText"/>
              <w:keepLines w:val="0"/>
              <w:suppressAutoHyphens w:val="0"/>
              <w:spacing w:before="0" w:after="0" w:line="240" w:lineRule="auto"/>
              <w:jc w:val="center"/>
              <w:rPr>
                <w:sz w:val="22"/>
                <w:lang w:val="hu-HU"/>
              </w:rPr>
            </w:pPr>
            <w:r w:rsidRPr="00183B5F">
              <w:rPr>
                <w:sz w:val="22"/>
                <w:lang w:val="hu-HU"/>
              </w:rPr>
              <w:t>40%*</w:t>
            </w:r>
          </w:p>
        </w:tc>
        <w:tc>
          <w:tcPr>
            <w:tcW w:w="1859" w:type="dxa"/>
          </w:tcPr>
          <w:p w14:paraId="64F8E0C9" w14:textId="77777777" w:rsidR="00764497" w:rsidRPr="00183B5F" w:rsidRDefault="00943743" w:rsidP="004062FE">
            <w:pPr>
              <w:pStyle w:val="TableText"/>
              <w:keepLines w:val="0"/>
              <w:suppressAutoHyphens w:val="0"/>
              <w:spacing w:before="0" w:after="0" w:line="240" w:lineRule="auto"/>
              <w:jc w:val="center"/>
              <w:rPr>
                <w:sz w:val="22"/>
                <w:lang w:val="hu-HU"/>
              </w:rPr>
            </w:pPr>
            <w:r w:rsidRPr="00183B5F">
              <w:rPr>
                <w:sz w:val="22"/>
                <w:lang w:val="hu-HU"/>
              </w:rPr>
              <w:t>47%*</w:t>
            </w:r>
          </w:p>
        </w:tc>
      </w:tr>
      <w:tr w:rsidR="00011D2F" w14:paraId="02CCB8F3" w14:textId="77777777" w:rsidTr="00764497">
        <w:tc>
          <w:tcPr>
            <w:tcW w:w="3747" w:type="dxa"/>
          </w:tcPr>
          <w:p w14:paraId="009273E4" w14:textId="77777777" w:rsidR="00764497" w:rsidRPr="00183B5F" w:rsidRDefault="00943743" w:rsidP="004062FE">
            <w:pPr>
              <w:pStyle w:val="TableText"/>
              <w:keepLines w:val="0"/>
              <w:suppressAutoHyphens w:val="0"/>
              <w:spacing w:before="0" w:after="0" w:line="240" w:lineRule="auto"/>
              <w:rPr>
                <w:sz w:val="22"/>
                <w:lang w:val="hu-HU"/>
              </w:rPr>
            </w:pPr>
            <w:r w:rsidRPr="00183B5F">
              <w:rPr>
                <w:sz w:val="22"/>
                <w:lang w:val="hu-HU"/>
              </w:rPr>
              <w:t>Klinikai válasz (CR-100)</w:t>
            </w:r>
          </w:p>
        </w:tc>
        <w:tc>
          <w:tcPr>
            <w:tcW w:w="1751" w:type="dxa"/>
          </w:tcPr>
          <w:p w14:paraId="0D749606" w14:textId="77777777" w:rsidR="00764497" w:rsidRPr="00183B5F" w:rsidRDefault="00943743" w:rsidP="004062FE">
            <w:pPr>
              <w:pStyle w:val="TableText"/>
              <w:keepLines w:val="0"/>
              <w:suppressAutoHyphens w:val="0"/>
              <w:spacing w:before="0" w:after="0" w:line="240" w:lineRule="auto"/>
              <w:jc w:val="center"/>
              <w:rPr>
                <w:sz w:val="22"/>
                <w:lang w:val="hu-HU"/>
              </w:rPr>
            </w:pPr>
            <w:r w:rsidRPr="00183B5F">
              <w:rPr>
                <w:sz w:val="22"/>
                <w:lang w:val="hu-HU"/>
              </w:rPr>
              <w:t>27%</w:t>
            </w:r>
          </w:p>
        </w:tc>
        <w:tc>
          <w:tcPr>
            <w:tcW w:w="1928" w:type="dxa"/>
          </w:tcPr>
          <w:p w14:paraId="4CAC0D64" w14:textId="77777777" w:rsidR="00764497" w:rsidRPr="00183B5F" w:rsidRDefault="00943743" w:rsidP="004062FE">
            <w:pPr>
              <w:pStyle w:val="TableText"/>
              <w:keepLines w:val="0"/>
              <w:suppressAutoHyphens w:val="0"/>
              <w:spacing w:before="0" w:after="0" w:line="240" w:lineRule="auto"/>
              <w:jc w:val="center"/>
              <w:rPr>
                <w:sz w:val="22"/>
                <w:lang w:val="hu-HU"/>
              </w:rPr>
            </w:pPr>
            <w:r w:rsidRPr="00183B5F">
              <w:rPr>
                <w:sz w:val="22"/>
                <w:lang w:val="hu-HU"/>
              </w:rPr>
              <w:t>52%*</w:t>
            </w:r>
          </w:p>
        </w:tc>
        <w:tc>
          <w:tcPr>
            <w:tcW w:w="1859" w:type="dxa"/>
          </w:tcPr>
          <w:p w14:paraId="7F8A96EB" w14:textId="77777777" w:rsidR="00764497" w:rsidRPr="00183B5F" w:rsidRDefault="00943743" w:rsidP="004062FE">
            <w:pPr>
              <w:pStyle w:val="TableText"/>
              <w:keepLines w:val="0"/>
              <w:suppressAutoHyphens w:val="0"/>
              <w:spacing w:before="0" w:after="0" w:line="240" w:lineRule="auto"/>
              <w:jc w:val="center"/>
              <w:rPr>
                <w:sz w:val="22"/>
                <w:lang w:val="hu-HU"/>
              </w:rPr>
            </w:pPr>
            <w:r w:rsidRPr="00183B5F">
              <w:rPr>
                <w:sz w:val="22"/>
                <w:lang w:val="hu-HU"/>
              </w:rPr>
              <w:t>52%*</w:t>
            </w:r>
          </w:p>
        </w:tc>
      </w:tr>
      <w:tr w:rsidR="00011D2F" w14:paraId="78A7D0CC" w14:textId="77777777" w:rsidTr="00764497">
        <w:tc>
          <w:tcPr>
            <w:tcW w:w="3747" w:type="dxa"/>
          </w:tcPr>
          <w:p w14:paraId="02DFF442" w14:textId="77777777" w:rsidR="00764497" w:rsidRPr="00183B5F" w:rsidRDefault="00943743" w:rsidP="004062FE">
            <w:pPr>
              <w:pStyle w:val="TableText"/>
              <w:keepLines w:val="0"/>
              <w:suppressAutoHyphens w:val="0"/>
              <w:spacing w:before="0" w:after="0" w:line="240" w:lineRule="auto"/>
              <w:ind w:left="360"/>
              <w:rPr>
                <w:sz w:val="22"/>
                <w:szCs w:val="22"/>
                <w:lang w:val="hu-HU"/>
              </w:rPr>
            </w:pPr>
            <w:r w:rsidRPr="00183B5F">
              <w:rPr>
                <w:sz w:val="22"/>
                <w:szCs w:val="22"/>
                <w:lang w:val="hu-HU"/>
              </w:rPr>
              <w:t xml:space="preserve">Szteroid-kezelés nélkül is </w:t>
            </w:r>
            <w:r w:rsidR="008F1752" w:rsidRPr="00183B5F">
              <w:rPr>
                <w:sz w:val="22"/>
                <w:lang w:val="hu-HU"/>
              </w:rPr>
              <w:t>≥90</w:t>
            </w:r>
            <w:r w:rsidRPr="00183B5F">
              <w:rPr>
                <w:sz w:val="22"/>
                <w:szCs w:val="22"/>
                <w:lang w:val="hu-HU"/>
              </w:rPr>
              <w:t xml:space="preserve"> napja remisszióban lévő betegek</w:t>
            </w:r>
            <w:r w:rsidRPr="00183B5F">
              <w:rPr>
                <w:sz w:val="22"/>
                <w:szCs w:val="22"/>
                <w:vertAlign w:val="superscript"/>
                <w:lang w:val="hu-HU"/>
              </w:rPr>
              <w:t>a</w:t>
            </w:r>
          </w:p>
        </w:tc>
        <w:tc>
          <w:tcPr>
            <w:tcW w:w="1751" w:type="dxa"/>
          </w:tcPr>
          <w:p w14:paraId="64AA415F" w14:textId="77777777" w:rsidR="00764497" w:rsidRPr="00183B5F" w:rsidRDefault="00943743" w:rsidP="004062FE">
            <w:pPr>
              <w:pStyle w:val="TableText"/>
              <w:keepLines w:val="0"/>
              <w:suppressAutoHyphens w:val="0"/>
              <w:spacing w:before="0" w:after="0" w:line="240" w:lineRule="auto"/>
              <w:jc w:val="center"/>
              <w:rPr>
                <w:sz w:val="22"/>
                <w:lang w:val="hu-HU"/>
              </w:rPr>
            </w:pPr>
            <w:r w:rsidRPr="00183B5F">
              <w:rPr>
                <w:sz w:val="22"/>
                <w:lang w:val="hu-HU"/>
              </w:rPr>
              <w:t>3% (2/66)</w:t>
            </w:r>
          </w:p>
        </w:tc>
        <w:tc>
          <w:tcPr>
            <w:tcW w:w="1928" w:type="dxa"/>
          </w:tcPr>
          <w:p w14:paraId="729ACF97" w14:textId="77777777" w:rsidR="00764497" w:rsidRPr="00183B5F" w:rsidRDefault="00943743" w:rsidP="004062FE">
            <w:pPr>
              <w:pStyle w:val="TableText"/>
              <w:keepLines w:val="0"/>
              <w:suppressAutoHyphens w:val="0"/>
              <w:spacing w:before="0" w:after="0" w:line="240" w:lineRule="auto"/>
              <w:jc w:val="center"/>
              <w:rPr>
                <w:sz w:val="22"/>
                <w:lang w:val="hu-HU"/>
              </w:rPr>
            </w:pPr>
            <w:r w:rsidRPr="00183B5F">
              <w:rPr>
                <w:sz w:val="22"/>
                <w:lang w:val="hu-HU"/>
              </w:rPr>
              <w:t>19% (11/58)**</w:t>
            </w:r>
          </w:p>
        </w:tc>
        <w:tc>
          <w:tcPr>
            <w:tcW w:w="1859" w:type="dxa"/>
          </w:tcPr>
          <w:p w14:paraId="381AD69B" w14:textId="77777777" w:rsidR="00764497" w:rsidRPr="00183B5F" w:rsidRDefault="00943743" w:rsidP="004062FE">
            <w:pPr>
              <w:pStyle w:val="TableText"/>
              <w:keepLines w:val="0"/>
              <w:suppressAutoHyphens w:val="0"/>
              <w:spacing w:before="0" w:after="0" w:line="240" w:lineRule="auto"/>
              <w:jc w:val="center"/>
              <w:rPr>
                <w:sz w:val="22"/>
                <w:lang w:val="hu-HU"/>
              </w:rPr>
            </w:pPr>
            <w:r w:rsidRPr="00183B5F">
              <w:rPr>
                <w:sz w:val="22"/>
                <w:lang w:val="hu-HU"/>
              </w:rPr>
              <w:t>15% (11/74)**</w:t>
            </w:r>
          </w:p>
        </w:tc>
      </w:tr>
      <w:tr w:rsidR="00011D2F" w14:paraId="33B0B5DF" w14:textId="77777777" w:rsidTr="00764497">
        <w:tc>
          <w:tcPr>
            <w:tcW w:w="3747" w:type="dxa"/>
          </w:tcPr>
          <w:p w14:paraId="59020FCE" w14:textId="77777777" w:rsidR="00764497" w:rsidRPr="00183B5F" w:rsidRDefault="00943743" w:rsidP="004062FE">
            <w:pPr>
              <w:pStyle w:val="TableText"/>
              <w:keepLines w:val="0"/>
              <w:suppressAutoHyphens w:val="0"/>
              <w:spacing w:before="0" w:after="0" w:line="240" w:lineRule="auto"/>
              <w:rPr>
                <w:b/>
                <w:sz w:val="22"/>
                <w:lang w:val="hu-HU"/>
              </w:rPr>
            </w:pPr>
            <w:r w:rsidRPr="00183B5F">
              <w:rPr>
                <w:b/>
                <w:sz w:val="22"/>
                <w:lang w:val="hu-HU"/>
              </w:rPr>
              <w:t>56. hét</w:t>
            </w:r>
          </w:p>
        </w:tc>
        <w:tc>
          <w:tcPr>
            <w:tcW w:w="1751" w:type="dxa"/>
          </w:tcPr>
          <w:p w14:paraId="3F2528AE" w14:textId="77777777" w:rsidR="00764497"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N = 170</w:t>
            </w:r>
          </w:p>
        </w:tc>
        <w:tc>
          <w:tcPr>
            <w:tcW w:w="1928" w:type="dxa"/>
          </w:tcPr>
          <w:p w14:paraId="0F9662B2" w14:textId="77777777" w:rsidR="00764497"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N = 172</w:t>
            </w:r>
          </w:p>
        </w:tc>
        <w:tc>
          <w:tcPr>
            <w:tcW w:w="1859" w:type="dxa"/>
          </w:tcPr>
          <w:p w14:paraId="17550515" w14:textId="77777777" w:rsidR="00764497" w:rsidRPr="00183B5F" w:rsidRDefault="00943743" w:rsidP="004062FE">
            <w:pPr>
              <w:pStyle w:val="TableText"/>
              <w:keepLines w:val="0"/>
              <w:suppressAutoHyphens w:val="0"/>
              <w:spacing w:before="0" w:after="0" w:line="240" w:lineRule="auto"/>
              <w:jc w:val="center"/>
              <w:rPr>
                <w:b/>
                <w:sz w:val="22"/>
                <w:lang w:val="hu-HU"/>
              </w:rPr>
            </w:pPr>
            <w:r w:rsidRPr="00183B5F">
              <w:rPr>
                <w:b/>
                <w:sz w:val="22"/>
                <w:lang w:val="hu-HU"/>
              </w:rPr>
              <w:t>N = 157</w:t>
            </w:r>
          </w:p>
        </w:tc>
      </w:tr>
      <w:tr w:rsidR="00011D2F" w14:paraId="54E92C2F" w14:textId="77777777" w:rsidTr="00764497">
        <w:tc>
          <w:tcPr>
            <w:tcW w:w="3747" w:type="dxa"/>
          </w:tcPr>
          <w:p w14:paraId="1D3DEB2E" w14:textId="77777777" w:rsidR="00764497" w:rsidRPr="00183B5F" w:rsidRDefault="00943743" w:rsidP="004062FE">
            <w:pPr>
              <w:pStyle w:val="TableText"/>
              <w:keepLines w:val="0"/>
              <w:suppressAutoHyphens w:val="0"/>
              <w:spacing w:before="0" w:after="0" w:line="240" w:lineRule="auto"/>
              <w:rPr>
                <w:sz w:val="22"/>
                <w:lang w:val="hu-HU"/>
              </w:rPr>
            </w:pPr>
            <w:r w:rsidRPr="00183B5F">
              <w:rPr>
                <w:sz w:val="22"/>
                <w:lang w:val="hu-HU"/>
              </w:rPr>
              <w:t>Klinikai remisszió</w:t>
            </w:r>
          </w:p>
        </w:tc>
        <w:tc>
          <w:tcPr>
            <w:tcW w:w="1751" w:type="dxa"/>
          </w:tcPr>
          <w:p w14:paraId="6B73FBE8" w14:textId="77777777" w:rsidR="00764497" w:rsidRPr="00183B5F" w:rsidRDefault="00943743" w:rsidP="004062FE">
            <w:pPr>
              <w:pStyle w:val="TableText"/>
              <w:keepLines w:val="0"/>
              <w:suppressAutoHyphens w:val="0"/>
              <w:spacing w:before="0" w:after="0" w:line="240" w:lineRule="auto"/>
              <w:jc w:val="center"/>
              <w:rPr>
                <w:sz w:val="22"/>
                <w:lang w:val="hu-HU"/>
              </w:rPr>
            </w:pPr>
            <w:r w:rsidRPr="00183B5F">
              <w:rPr>
                <w:sz w:val="22"/>
                <w:lang w:val="hu-HU"/>
              </w:rPr>
              <w:t>12%</w:t>
            </w:r>
          </w:p>
        </w:tc>
        <w:tc>
          <w:tcPr>
            <w:tcW w:w="1928" w:type="dxa"/>
          </w:tcPr>
          <w:p w14:paraId="5B93D5F6" w14:textId="77777777" w:rsidR="00764497" w:rsidRPr="00183B5F" w:rsidRDefault="00943743" w:rsidP="004062FE">
            <w:pPr>
              <w:pStyle w:val="TableText"/>
              <w:keepLines w:val="0"/>
              <w:suppressAutoHyphens w:val="0"/>
              <w:spacing w:before="0" w:after="0" w:line="240" w:lineRule="auto"/>
              <w:jc w:val="center"/>
              <w:rPr>
                <w:sz w:val="22"/>
                <w:lang w:val="hu-HU"/>
              </w:rPr>
            </w:pPr>
            <w:r w:rsidRPr="00183B5F">
              <w:rPr>
                <w:sz w:val="22"/>
                <w:lang w:val="hu-HU"/>
              </w:rPr>
              <w:t>36%*</w:t>
            </w:r>
          </w:p>
        </w:tc>
        <w:tc>
          <w:tcPr>
            <w:tcW w:w="1859" w:type="dxa"/>
          </w:tcPr>
          <w:p w14:paraId="518420BF" w14:textId="77777777" w:rsidR="00764497" w:rsidRPr="00183B5F" w:rsidRDefault="00943743" w:rsidP="004062FE">
            <w:pPr>
              <w:pStyle w:val="TableText"/>
              <w:keepLines w:val="0"/>
              <w:suppressAutoHyphens w:val="0"/>
              <w:spacing w:before="0" w:after="0" w:line="240" w:lineRule="auto"/>
              <w:jc w:val="center"/>
              <w:rPr>
                <w:sz w:val="22"/>
                <w:lang w:val="hu-HU"/>
              </w:rPr>
            </w:pPr>
            <w:r w:rsidRPr="00183B5F">
              <w:rPr>
                <w:sz w:val="22"/>
                <w:lang w:val="hu-HU"/>
              </w:rPr>
              <w:t>41%*</w:t>
            </w:r>
          </w:p>
        </w:tc>
      </w:tr>
      <w:tr w:rsidR="00011D2F" w14:paraId="142B0708" w14:textId="77777777" w:rsidTr="00764497">
        <w:tc>
          <w:tcPr>
            <w:tcW w:w="3747" w:type="dxa"/>
          </w:tcPr>
          <w:p w14:paraId="1050D707" w14:textId="77777777" w:rsidR="00764497" w:rsidRPr="00183B5F" w:rsidRDefault="00943743" w:rsidP="004062FE">
            <w:pPr>
              <w:pStyle w:val="TableText"/>
              <w:keepLines w:val="0"/>
              <w:suppressAutoHyphens w:val="0"/>
              <w:spacing w:before="0" w:after="0" w:line="240" w:lineRule="auto"/>
              <w:rPr>
                <w:sz w:val="22"/>
                <w:lang w:val="hu-HU"/>
              </w:rPr>
            </w:pPr>
            <w:r w:rsidRPr="00183B5F">
              <w:rPr>
                <w:sz w:val="22"/>
                <w:lang w:val="hu-HU"/>
              </w:rPr>
              <w:t>Klinikai válasz (CR-100)</w:t>
            </w:r>
          </w:p>
        </w:tc>
        <w:tc>
          <w:tcPr>
            <w:tcW w:w="1751" w:type="dxa"/>
          </w:tcPr>
          <w:p w14:paraId="0855D3C1" w14:textId="77777777" w:rsidR="00764497" w:rsidRPr="00183B5F" w:rsidRDefault="00943743" w:rsidP="004062FE">
            <w:pPr>
              <w:pStyle w:val="TableText"/>
              <w:keepLines w:val="0"/>
              <w:suppressAutoHyphens w:val="0"/>
              <w:spacing w:before="0" w:after="0" w:line="240" w:lineRule="auto"/>
              <w:jc w:val="center"/>
              <w:rPr>
                <w:sz w:val="22"/>
                <w:lang w:val="hu-HU"/>
              </w:rPr>
            </w:pPr>
            <w:r w:rsidRPr="00183B5F">
              <w:rPr>
                <w:sz w:val="22"/>
                <w:lang w:val="hu-HU"/>
              </w:rPr>
              <w:t>17%</w:t>
            </w:r>
          </w:p>
        </w:tc>
        <w:tc>
          <w:tcPr>
            <w:tcW w:w="1928" w:type="dxa"/>
          </w:tcPr>
          <w:p w14:paraId="5FA94D08" w14:textId="77777777" w:rsidR="00764497" w:rsidRPr="00183B5F" w:rsidRDefault="00943743" w:rsidP="004062FE">
            <w:pPr>
              <w:pStyle w:val="TableText"/>
              <w:keepLines w:val="0"/>
              <w:suppressAutoHyphens w:val="0"/>
              <w:spacing w:before="0" w:after="0" w:line="240" w:lineRule="auto"/>
              <w:jc w:val="center"/>
              <w:rPr>
                <w:sz w:val="22"/>
                <w:lang w:val="hu-HU"/>
              </w:rPr>
            </w:pPr>
            <w:r w:rsidRPr="00183B5F">
              <w:rPr>
                <w:sz w:val="22"/>
                <w:lang w:val="hu-HU"/>
              </w:rPr>
              <w:t>41%*</w:t>
            </w:r>
          </w:p>
        </w:tc>
        <w:tc>
          <w:tcPr>
            <w:tcW w:w="1859" w:type="dxa"/>
          </w:tcPr>
          <w:p w14:paraId="7CFD1567" w14:textId="77777777" w:rsidR="00764497" w:rsidRPr="00183B5F" w:rsidRDefault="00943743" w:rsidP="004062FE">
            <w:pPr>
              <w:pStyle w:val="TableText"/>
              <w:keepLines w:val="0"/>
              <w:suppressAutoHyphens w:val="0"/>
              <w:spacing w:before="0" w:after="0" w:line="240" w:lineRule="auto"/>
              <w:jc w:val="center"/>
              <w:rPr>
                <w:sz w:val="22"/>
                <w:lang w:val="hu-HU"/>
              </w:rPr>
            </w:pPr>
            <w:r w:rsidRPr="00183B5F">
              <w:rPr>
                <w:sz w:val="22"/>
                <w:lang w:val="hu-HU"/>
              </w:rPr>
              <w:t>48%*</w:t>
            </w:r>
          </w:p>
        </w:tc>
      </w:tr>
      <w:tr w:rsidR="00011D2F" w14:paraId="28007F8D" w14:textId="77777777" w:rsidTr="00764497">
        <w:tc>
          <w:tcPr>
            <w:tcW w:w="3747" w:type="dxa"/>
            <w:tcBorders>
              <w:bottom w:val="single" w:sz="4" w:space="0" w:color="auto"/>
            </w:tcBorders>
          </w:tcPr>
          <w:p w14:paraId="51B98610" w14:textId="77777777" w:rsidR="00764497" w:rsidRPr="00183B5F" w:rsidRDefault="00943743" w:rsidP="004062FE">
            <w:pPr>
              <w:pStyle w:val="TableText"/>
              <w:keepLines w:val="0"/>
              <w:suppressAutoHyphens w:val="0"/>
              <w:spacing w:before="0" w:after="0" w:line="240" w:lineRule="auto"/>
              <w:ind w:left="360"/>
              <w:rPr>
                <w:sz w:val="22"/>
                <w:szCs w:val="22"/>
                <w:lang w:val="hu-HU"/>
              </w:rPr>
            </w:pPr>
            <w:r w:rsidRPr="00183B5F">
              <w:rPr>
                <w:sz w:val="22"/>
                <w:szCs w:val="22"/>
                <w:lang w:val="hu-HU"/>
              </w:rPr>
              <w:t xml:space="preserve">Szteroid-kezelés nélkül is </w:t>
            </w:r>
            <w:r w:rsidRPr="00183B5F">
              <w:rPr>
                <w:sz w:val="22"/>
                <w:lang w:val="hu-HU"/>
              </w:rPr>
              <w:t>&gt; = </w:t>
            </w:r>
            <w:r w:rsidRPr="00183B5F">
              <w:rPr>
                <w:sz w:val="22"/>
                <w:szCs w:val="22"/>
                <w:lang w:val="hu-HU"/>
              </w:rPr>
              <w:t>90 napja remisszióban lévő betegek</w:t>
            </w:r>
            <w:r w:rsidRPr="00183B5F">
              <w:rPr>
                <w:sz w:val="22"/>
                <w:szCs w:val="22"/>
                <w:vertAlign w:val="superscript"/>
                <w:lang w:val="hu-HU"/>
              </w:rPr>
              <w:t>a</w:t>
            </w:r>
          </w:p>
        </w:tc>
        <w:tc>
          <w:tcPr>
            <w:tcW w:w="1751" w:type="dxa"/>
            <w:tcBorders>
              <w:bottom w:val="single" w:sz="4" w:space="0" w:color="auto"/>
            </w:tcBorders>
          </w:tcPr>
          <w:p w14:paraId="5558EA94" w14:textId="77777777" w:rsidR="00764497" w:rsidRPr="00183B5F" w:rsidRDefault="00943743" w:rsidP="004062FE">
            <w:pPr>
              <w:pStyle w:val="TableText"/>
              <w:keepLines w:val="0"/>
              <w:suppressAutoHyphens w:val="0"/>
              <w:spacing w:before="0" w:after="0" w:line="240" w:lineRule="auto"/>
              <w:jc w:val="center"/>
              <w:rPr>
                <w:sz w:val="22"/>
                <w:lang w:val="hu-HU"/>
              </w:rPr>
            </w:pPr>
            <w:r w:rsidRPr="00183B5F">
              <w:rPr>
                <w:sz w:val="22"/>
                <w:lang w:val="hu-HU"/>
              </w:rPr>
              <w:t>5% (3/66)</w:t>
            </w:r>
          </w:p>
        </w:tc>
        <w:tc>
          <w:tcPr>
            <w:tcW w:w="1928" w:type="dxa"/>
            <w:tcBorders>
              <w:bottom w:val="single" w:sz="4" w:space="0" w:color="auto"/>
            </w:tcBorders>
          </w:tcPr>
          <w:p w14:paraId="4F2C16A4" w14:textId="77777777" w:rsidR="00764497" w:rsidRPr="00183B5F" w:rsidRDefault="00943743" w:rsidP="004062FE">
            <w:pPr>
              <w:pStyle w:val="TableText"/>
              <w:keepLines w:val="0"/>
              <w:suppressAutoHyphens w:val="0"/>
              <w:spacing w:before="0" w:after="0" w:line="240" w:lineRule="auto"/>
              <w:jc w:val="center"/>
              <w:rPr>
                <w:sz w:val="22"/>
                <w:lang w:val="hu-HU"/>
              </w:rPr>
            </w:pPr>
            <w:r w:rsidRPr="00183B5F">
              <w:rPr>
                <w:sz w:val="22"/>
                <w:lang w:val="hu-HU"/>
              </w:rPr>
              <w:t>29% (17/58)*</w:t>
            </w:r>
          </w:p>
        </w:tc>
        <w:tc>
          <w:tcPr>
            <w:tcW w:w="1859" w:type="dxa"/>
            <w:tcBorders>
              <w:bottom w:val="single" w:sz="4" w:space="0" w:color="auto"/>
            </w:tcBorders>
          </w:tcPr>
          <w:p w14:paraId="696D7A7A" w14:textId="77777777" w:rsidR="00764497" w:rsidRPr="00183B5F" w:rsidRDefault="00943743" w:rsidP="004062FE">
            <w:pPr>
              <w:pStyle w:val="TableText"/>
              <w:keepLines w:val="0"/>
              <w:suppressAutoHyphens w:val="0"/>
              <w:spacing w:before="0" w:after="0" w:line="240" w:lineRule="auto"/>
              <w:jc w:val="center"/>
              <w:rPr>
                <w:sz w:val="22"/>
                <w:lang w:val="hu-HU"/>
              </w:rPr>
            </w:pPr>
            <w:r w:rsidRPr="00183B5F">
              <w:rPr>
                <w:sz w:val="22"/>
                <w:lang w:val="hu-HU"/>
              </w:rPr>
              <w:t>20% (15/74)**</w:t>
            </w:r>
          </w:p>
        </w:tc>
      </w:tr>
      <w:tr w:rsidR="00011D2F" w14:paraId="588F8342" w14:textId="77777777" w:rsidTr="00764497">
        <w:trPr>
          <w:cantSplit/>
        </w:trPr>
        <w:tc>
          <w:tcPr>
            <w:tcW w:w="9285" w:type="dxa"/>
            <w:gridSpan w:val="4"/>
            <w:tcBorders>
              <w:left w:val="single" w:sz="4" w:space="0" w:color="auto"/>
              <w:bottom w:val="nil"/>
              <w:right w:val="nil"/>
            </w:tcBorders>
          </w:tcPr>
          <w:p w14:paraId="362A06E9" w14:textId="77777777" w:rsidR="00764497" w:rsidRPr="00183B5F" w:rsidRDefault="00943743" w:rsidP="004062FE">
            <w:pPr>
              <w:pStyle w:val="TableText"/>
              <w:keepLines w:val="0"/>
              <w:suppressAutoHyphens w:val="0"/>
              <w:spacing w:before="0" w:after="0" w:line="240" w:lineRule="auto"/>
              <w:rPr>
                <w:sz w:val="22"/>
                <w:szCs w:val="22"/>
                <w:lang w:val="hu-HU"/>
              </w:rPr>
            </w:pPr>
            <w:r w:rsidRPr="00183B5F">
              <w:rPr>
                <w:sz w:val="22"/>
                <w:szCs w:val="22"/>
                <w:lang w:val="hu-HU"/>
              </w:rPr>
              <w:t>*</w:t>
            </w:r>
            <w:r w:rsidRPr="00183B5F">
              <w:rPr>
                <w:sz w:val="22"/>
                <w:szCs w:val="22"/>
                <w:lang w:val="hu-HU"/>
              </w:rPr>
              <w:tab/>
              <w:t xml:space="preserve">p &lt; 0,001 Humira-val </w:t>
            </w:r>
            <w:r w:rsidRPr="00183B5F">
              <w:rPr>
                <w:i/>
                <w:sz w:val="22"/>
                <w:szCs w:val="22"/>
                <w:lang w:val="hu-HU"/>
              </w:rPr>
              <w:t>versus</w:t>
            </w:r>
            <w:r w:rsidRPr="00183B5F">
              <w:rPr>
                <w:sz w:val="22"/>
                <w:szCs w:val="22"/>
                <w:lang w:val="hu-HU"/>
              </w:rPr>
              <w:t xml:space="preserve"> placebóval kezelt csoportokban regisztrált részarányok páronkénti összehasonlítása</w:t>
            </w:r>
          </w:p>
          <w:p w14:paraId="0557E573" w14:textId="77777777" w:rsidR="00764497" w:rsidRPr="00183B5F" w:rsidRDefault="00943743" w:rsidP="004062FE">
            <w:pPr>
              <w:pStyle w:val="TableText"/>
              <w:keepLines w:val="0"/>
              <w:suppressAutoHyphens w:val="0"/>
              <w:spacing w:before="0" w:after="0" w:line="240" w:lineRule="auto"/>
              <w:rPr>
                <w:sz w:val="22"/>
                <w:szCs w:val="22"/>
                <w:lang w:val="hu-HU"/>
              </w:rPr>
            </w:pPr>
            <w:r w:rsidRPr="00183B5F">
              <w:rPr>
                <w:sz w:val="22"/>
                <w:szCs w:val="22"/>
                <w:lang w:val="hu-HU"/>
              </w:rPr>
              <w:t>**</w:t>
            </w:r>
            <w:r w:rsidRPr="00183B5F">
              <w:rPr>
                <w:sz w:val="22"/>
                <w:szCs w:val="22"/>
                <w:lang w:val="hu-HU"/>
              </w:rPr>
              <w:tab/>
              <w:t xml:space="preserve">p &lt; 0,02 Humira-val </w:t>
            </w:r>
            <w:r w:rsidRPr="00183B5F">
              <w:rPr>
                <w:i/>
                <w:sz w:val="22"/>
                <w:szCs w:val="22"/>
                <w:lang w:val="hu-HU"/>
              </w:rPr>
              <w:t>versus</w:t>
            </w:r>
            <w:r w:rsidRPr="00183B5F">
              <w:rPr>
                <w:sz w:val="22"/>
                <w:szCs w:val="22"/>
                <w:lang w:val="hu-HU"/>
              </w:rPr>
              <w:t xml:space="preserve"> placebóval kezelt csoportokban regisztrált részarányok páronkénti összehasonlítása</w:t>
            </w:r>
          </w:p>
          <w:p w14:paraId="180A2739" w14:textId="77777777" w:rsidR="00764497" w:rsidRPr="00183B5F" w:rsidRDefault="00943743" w:rsidP="004062FE">
            <w:pPr>
              <w:pStyle w:val="TableText"/>
              <w:keepLines w:val="0"/>
              <w:suppressAutoHyphens w:val="0"/>
              <w:spacing w:before="0" w:after="0" w:line="240" w:lineRule="auto"/>
              <w:rPr>
                <w:sz w:val="22"/>
                <w:szCs w:val="22"/>
                <w:lang w:val="hu-HU"/>
              </w:rPr>
            </w:pPr>
            <w:r w:rsidRPr="00183B5F">
              <w:rPr>
                <w:sz w:val="22"/>
                <w:szCs w:val="22"/>
                <w:vertAlign w:val="superscript"/>
                <w:lang w:val="hu-HU"/>
              </w:rPr>
              <w:t>a</w:t>
            </w:r>
            <w:r w:rsidRPr="00183B5F">
              <w:rPr>
                <w:sz w:val="22"/>
                <w:szCs w:val="22"/>
                <w:vertAlign w:val="superscript"/>
                <w:lang w:val="hu-HU"/>
              </w:rPr>
              <w:tab/>
            </w:r>
            <w:r w:rsidRPr="00183B5F">
              <w:rPr>
                <w:sz w:val="22"/>
                <w:szCs w:val="22"/>
                <w:lang w:val="hu-HU"/>
              </w:rPr>
              <w:t xml:space="preserve">A vizsgálat kezdetekor kortikoszteroidokkal kezelt betegek közül. </w:t>
            </w:r>
          </w:p>
        </w:tc>
      </w:tr>
    </w:tbl>
    <w:p w14:paraId="14AB54BE" w14:textId="77777777" w:rsidR="00764497" w:rsidRPr="00183B5F" w:rsidRDefault="00764497" w:rsidP="004062FE">
      <w:pPr>
        <w:suppressAutoHyphens w:val="0"/>
        <w:spacing w:line="240" w:lineRule="auto"/>
        <w:rPr>
          <w:szCs w:val="22"/>
        </w:rPr>
      </w:pPr>
    </w:p>
    <w:p w14:paraId="0BDEC7BB" w14:textId="77777777" w:rsidR="00764497" w:rsidRPr="00183B5F" w:rsidRDefault="00943743" w:rsidP="004062FE">
      <w:pPr>
        <w:suppressAutoHyphens w:val="0"/>
        <w:spacing w:line="240" w:lineRule="auto"/>
        <w:rPr>
          <w:szCs w:val="22"/>
        </w:rPr>
      </w:pPr>
      <w:r w:rsidRPr="00183B5F">
        <w:rPr>
          <w:szCs w:val="22"/>
        </w:rPr>
        <w:t>A kezelésre a 4. hétig nem reagáló betegek közül a fenntartó Humira</w:t>
      </w:r>
      <w:r w:rsidRPr="00183B5F">
        <w:rPr>
          <w:szCs w:val="22"/>
        </w:rPr>
        <w:noBreakHyphen/>
        <w:t>kezelésben részesülők 43%</w:t>
      </w:r>
      <w:r w:rsidRPr="00183B5F">
        <w:rPr>
          <w:szCs w:val="22"/>
        </w:rPr>
        <w:noBreakHyphen/>
        <w:t>án, míg a placebokezelésben részesülők 30%</w:t>
      </w:r>
      <w:r w:rsidRPr="00183B5F">
        <w:rPr>
          <w:szCs w:val="22"/>
        </w:rPr>
        <w:noBreakHyphen/>
      </w:r>
      <w:r w:rsidRPr="00183B5F">
        <w:rPr>
          <w:szCs w:val="22"/>
        </w:rPr>
        <w:t>án jelentkezett terápiás hatás a 12. hétig. Ezek az eredmények amellett szólnak, hogy egyes, a kezelésre a 4. hétig nem reagáló betegek fenntartó kezelését előnyös lehet a 12. hétig folytatni. A kezelést a 12. héten túl is folytatva már nem nőtt számottevően a kezelésre reagálók részaránya (lásd 4.2 pont).</w:t>
      </w:r>
    </w:p>
    <w:p w14:paraId="7CA10814" w14:textId="77777777" w:rsidR="00764497" w:rsidRPr="00183B5F" w:rsidRDefault="00764497" w:rsidP="004062FE">
      <w:pPr>
        <w:suppressAutoHyphens w:val="0"/>
        <w:spacing w:line="240" w:lineRule="auto"/>
        <w:rPr>
          <w:szCs w:val="22"/>
        </w:rPr>
      </w:pPr>
    </w:p>
    <w:p w14:paraId="48BFDB7B" w14:textId="77777777" w:rsidR="00764497" w:rsidRPr="00183B5F" w:rsidRDefault="00943743" w:rsidP="004062FE">
      <w:pPr>
        <w:suppressAutoHyphens w:val="0"/>
        <w:spacing w:line="240" w:lineRule="auto"/>
        <w:rPr>
          <w:szCs w:val="22"/>
        </w:rPr>
      </w:pPr>
      <w:r w:rsidRPr="00183B5F">
        <w:rPr>
          <w:szCs w:val="22"/>
        </w:rPr>
        <w:t>A CD I vizsgálat 117/276 betegét, míg a CD II és III vizsgálat 272/777 betegét követték nyílt adalimumab</w:t>
      </w:r>
      <w:r w:rsidRPr="00183B5F">
        <w:rPr>
          <w:szCs w:val="22"/>
        </w:rPr>
        <w:noBreakHyphen/>
        <w:t>kezelés alatt legalább 3 éven keresztül. Sorrendben 88, illetve 189 betegnél maradt fent a klinikai remisszió. Sorrendben 102 és 233 betegnél maradt fent a klinikai válasz (CR-100).</w:t>
      </w:r>
    </w:p>
    <w:p w14:paraId="0353CD09" w14:textId="77777777" w:rsidR="00764497" w:rsidRPr="00183B5F" w:rsidRDefault="00764497" w:rsidP="004062FE">
      <w:pPr>
        <w:spacing w:line="240" w:lineRule="auto"/>
        <w:rPr>
          <w:szCs w:val="22"/>
          <w:u w:val="single"/>
        </w:rPr>
      </w:pPr>
    </w:p>
    <w:p w14:paraId="40ED9375" w14:textId="77777777" w:rsidR="00764497" w:rsidRPr="00183B5F" w:rsidRDefault="00943743" w:rsidP="004062FE">
      <w:pPr>
        <w:keepNext/>
        <w:spacing w:line="240" w:lineRule="auto"/>
        <w:rPr>
          <w:i/>
          <w:szCs w:val="22"/>
          <w:u w:val="single"/>
        </w:rPr>
      </w:pPr>
      <w:r w:rsidRPr="00183B5F">
        <w:rPr>
          <w:i/>
          <w:szCs w:val="22"/>
          <w:u w:val="single"/>
        </w:rPr>
        <w:t>Életminőség</w:t>
      </w:r>
    </w:p>
    <w:p w14:paraId="753ECA64" w14:textId="77777777" w:rsidR="00764497" w:rsidRPr="00183B5F" w:rsidRDefault="00764497" w:rsidP="004062FE">
      <w:pPr>
        <w:keepNext/>
        <w:spacing w:line="240" w:lineRule="auto"/>
        <w:rPr>
          <w:szCs w:val="22"/>
        </w:rPr>
      </w:pPr>
    </w:p>
    <w:p w14:paraId="04E75BD6" w14:textId="77777777" w:rsidR="00764497" w:rsidRPr="00183B5F" w:rsidRDefault="00943743" w:rsidP="004062FE">
      <w:pPr>
        <w:keepNext/>
        <w:spacing w:line="240" w:lineRule="auto"/>
        <w:rPr>
          <w:bCs/>
          <w:szCs w:val="22"/>
        </w:rPr>
      </w:pPr>
      <w:r w:rsidRPr="00183B5F">
        <w:rPr>
          <w:szCs w:val="22"/>
        </w:rPr>
        <w:t xml:space="preserve">A CD I és a CD II vizsgálatban statisztikailag szignifikáns javulást értek el a betegségspecifikus Gyulladásos bélbetegség kérdőív (IBDQ – </w:t>
      </w:r>
      <w:r w:rsidRPr="00183B5F">
        <w:rPr>
          <w:bCs/>
          <w:szCs w:val="22"/>
        </w:rPr>
        <w:t>Inflammatory Bowel Disease Questionnaire) összpontszámában a kezelés 4. hetében azoknál a betegeknél, akiket</w:t>
      </w:r>
      <w:r w:rsidRPr="00183B5F">
        <w:rPr>
          <w:szCs w:val="22"/>
        </w:rPr>
        <w:t xml:space="preserve"> véletlenszerűen a Humira 80/40 mg, illetve Humira 160/80 mg csoportba soroltak be, a</w:t>
      </w:r>
      <w:r w:rsidRPr="00183B5F">
        <w:rPr>
          <w:bCs/>
          <w:szCs w:val="22"/>
        </w:rPr>
        <w:t xml:space="preserve"> placebocsoportba sorolt betegekével összehasonlítva, és ezt észlelték a CD III vizsgálat során is a 26. és az 56. héten az adalimumabbal, illetve placebóval kezelt betegcsoportokban.</w:t>
      </w:r>
    </w:p>
    <w:p w14:paraId="3ABADDCF" w14:textId="77777777" w:rsidR="00764497" w:rsidRPr="00183B5F" w:rsidRDefault="00764497" w:rsidP="004062FE">
      <w:pPr>
        <w:spacing w:line="240" w:lineRule="auto"/>
        <w:rPr>
          <w:szCs w:val="22"/>
        </w:rPr>
      </w:pPr>
    </w:p>
    <w:p w14:paraId="2DDC2977" w14:textId="77777777" w:rsidR="00764497" w:rsidRPr="00183B5F" w:rsidRDefault="00943743" w:rsidP="004062FE">
      <w:pPr>
        <w:spacing w:line="240" w:lineRule="auto"/>
        <w:rPr>
          <w:i/>
          <w:szCs w:val="22"/>
        </w:rPr>
      </w:pPr>
      <w:r w:rsidRPr="00183B5F">
        <w:rPr>
          <w:i/>
          <w:szCs w:val="22"/>
        </w:rPr>
        <w:t>Colitis ulcerosa</w:t>
      </w:r>
    </w:p>
    <w:p w14:paraId="722F76D8" w14:textId="77777777" w:rsidR="00764497" w:rsidRPr="00183B5F" w:rsidRDefault="00764497" w:rsidP="004062FE">
      <w:pPr>
        <w:spacing w:line="240" w:lineRule="auto"/>
        <w:rPr>
          <w:szCs w:val="22"/>
          <w:u w:val="single"/>
        </w:rPr>
      </w:pPr>
    </w:p>
    <w:p w14:paraId="21EF3AA6" w14:textId="77777777" w:rsidR="00764497" w:rsidRPr="00183B5F" w:rsidRDefault="00943743" w:rsidP="004062FE">
      <w:pPr>
        <w:spacing w:line="240" w:lineRule="auto"/>
        <w:rPr>
          <w:szCs w:val="22"/>
        </w:rPr>
      </w:pPr>
      <w:r w:rsidRPr="00183B5F">
        <w:rPr>
          <w:szCs w:val="22"/>
        </w:rPr>
        <w:t xml:space="preserve">A Humira többszörös adagjának biztonságosságát és hatásosságát értékelték </w:t>
      </w:r>
      <w:r w:rsidR="006E6466" w:rsidRPr="00183B5F">
        <w:rPr>
          <w:szCs w:val="22"/>
        </w:rPr>
        <w:t>közepesen súlyos</w:t>
      </w:r>
      <w:r w:rsidRPr="00183B5F">
        <w:rPr>
          <w:szCs w:val="22"/>
        </w:rPr>
        <w:t>-súlyos akt</w:t>
      </w:r>
      <w:r w:rsidR="003916B1" w:rsidRPr="00183B5F">
        <w:rPr>
          <w:szCs w:val="22"/>
        </w:rPr>
        <w:t>i</w:t>
      </w:r>
      <w:r w:rsidRPr="00183B5F">
        <w:rPr>
          <w:szCs w:val="22"/>
        </w:rPr>
        <w:t>v</w:t>
      </w:r>
      <w:r w:rsidR="003916B1" w:rsidRPr="00183B5F">
        <w:rPr>
          <w:szCs w:val="22"/>
        </w:rPr>
        <w:t>itású</w:t>
      </w:r>
      <w:r w:rsidRPr="00183B5F">
        <w:rPr>
          <w:szCs w:val="22"/>
        </w:rPr>
        <w:t xml:space="preserve"> colitis ulcerosában szenvedő felnőtt betegeknél (Mayo pontszám 6-12, endoszkópos alpontszám 2-3) ranadomizált, </w:t>
      </w:r>
      <w:r w:rsidR="00E5381A" w:rsidRPr="00183B5F">
        <w:rPr>
          <w:szCs w:val="22"/>
        </w:rPr>
        <w:t>kettős vak</w:t>
      </w:r>
      <w:r w:rsidRPr="00183B5F">
        <w:rPr>
          <w:szCs w:val="22"/>
        </w:rPr>
        <w:t>, placebo</w:t>
      </w:r>
      <w:r w:rsidRPr="00183B5F">
        <w:rPr>
          <w:szCs w:val="22"/>
        </w:rPr>
        <w:noBreakHyphen/>
        <w:t xml:space="preserve">kontrollos vizsgálatokban. </w:t>
      </w:r>
    </w:p>
    <w:p w14:paraId="71A9C7A5" w14:textId="77777777" w:rsidR="00764497" w:rsidRPr="00183B5F" w:rsidRDefault="00764497" w:rsidP="004062FE">
      <w:pPr>
        <w:spacing w:line="240" w:lineRule="auto"/>
        <w:rPr>
          <w:szCs w:val="22"/>
        </w:rPr>
      </w:pPr>
    </w:p>
    <w:p w14:paraId="195D00E0" w14:textId="77777777" w:rsidR="00764497" w:rsidRPr="00183B5F" w:rsidRDefault="00943743" w:rsidP="004062FE">
      <w:pPr>
        <w:spacing w:line="240" w:lineRule="auto"/>
        <w:rPr>
          <w:szCs w:val="22"/>
        </w:rPr>
      </w:pPr>
      <w:r w:rsidRPr="00183B5F">
        <w:rPr>
          <w:szCs w:val="22"/>
        </w:rPr>
        <w:t>Az UC</w:t>
      </w:r>
      <w:r w:rsidRPr="00183B5F">
        <w:rPr>
          <w:szCs w:val="22"/>
        </w:rPr>
        <w:noBreakHyphen/>
        <w:t>I vizsgálatban 390, korábban TNF</w:t>
      </w:r>
      <w:r w:rsidRPr="00183B5F">
        <w:rPr>
          <w:szCs w:val="22"/>
        </w:rPr>
        <w:noBreakHyphen/>
        <w:t>antagonista kezelésben nem részesült beteget randomizáltak 3 csoportba: az egyik csoport a 0. és 2. héten placebót kapott, a másik csoport a 0. héten 160 mg, a 2. héten 80 mg Humira</w:t>
      </w:r>
      <w:r w:rsidRPr="00183B5F">
        <w:rPr>
          <w:szCs w:val="22"/>
        </w:rPr>
        <w:noBreakHyphen/>
        <w:t>t, míg a harmadik csoport a 0. héten 80 mg, a 2. héten pedig 40 mg Humira</w:t>
      </w:r>
      <w:r w:rsidRPr="00183B5F">
        <w:rPr>
          <w:szCs w:val="22"/>
        </w:rPr>
        <w:noBreakHyphen/>
        <w:t xml:space="preserve">t kapott. A 2. hét után a betegek mindkét adalimumab karon kéthetenként 40 mg Humira-t kaptak. A klinikai remissziót (meghatározás szerint a Mayo pontszám legfeljebb 2 és egyik endoszkópos alpontszám sem nagyobb mint 1) a </w:t>
      </w:r>
      <w:r w:rsidRPr="00183B5F">
        <w:rPr>
          <w:szCs w:val="22"/>
        </w:rPr>
        <w:t>8. héten értékelték.</w:t>
      </w:r>
    </w:p>
    <w:p w14:paraId="1FF755A3" w14:textId="77777777" w:rsidR="00764497" w:rsidRPr="00183B5F" w:rsidRDefault="00764497" w:rsidP="004062FE">
      <w:pPr>
        <w:spacing w:line="240" w:lineRule="auto"/>
        <w:rPr>
          <w:szCs w:val="22"/>
        </w:rPr>
      </w:pPr>
    </w:p>
    <w:p w14:paraId="6E9D13E5" w14:textId="77777777" w:rsidR="00764497" w:rsidRPr="00183B5F" w:rsidRDefault="00943743" w:rsidP="004062FE">
      <w:pPr>
        <w:spacing w:line="240" w:lineRule="auto"/>
        <w:rPr>
          <w:szCs w:val="22"/>
        </w:rPr>
      </w:pPr>
      <w:r w:rsidRPr="00183B5F">
        <w:rPr>
          <w:szCs w:val="22"/>
        </w:rPr>
        <w:t>Az UC</w:t>
      </w:r>
      <w:r w:rsidRPr="00183B5F">
        <w:rPr>
          <w:szCs w:val="22"/>
        </w:rPr>
        <w:noBreakHyphen/>
        <w:t>II vizsgálatban 248 beteg kapott 160 mg Humira</w:t>
      </w:r>
      <w:r w:rsidRPr="00183B5F">
        <w:rPr>
          <w:szCs w:val="22"/>
        </w:rPr>
        <w:noBreakHyphen/>
        <w:t>t a 0. héten, 80 mg-ot a 2. héten, majd ezt követően 40 mg-ot minden második héten, míg 246 betegnek placebót adtak. A klinikai eredményeket a 8. héten a remisszió indukciójára vonatkozóan, az 52. héten a remisszió fenntartására vonatkozóan értékelték.</w:t>
      </w:r>
    </w:p>
    <w:p w14:paraId="1B11358D" w14:textId="77777777" w:rsidR="00764497" w:rsidRPr="00183B5F" w:rsidRDefault="00764497" w:rsidP="004062FE">
      <w:pPr>
        <w:spacing w:line="240" w:lineRule="auto"/>
        <w:rPr>
          <w:szCs w:val="22"/>
        </w:rPr>
      </w:pPr>
    </w:p>
    <w:p w14:paraId="7E401159" w14:textId="77777777" w:rsidR="00764497" w:rsidRPr="00183B5F" w:rsidRDefault="00943743" w:rsidP="004062FE">
      <w:pPr>
        <w:spacing w:line="240" w:lineRule="auto"/>
        <w:rPr>
          <w:szCs w:val="22"/>
        </w:rPr>
      </w:pPr>
      <w:r w:rsidRPr="00183B5F">
        <w:rPr>
          <w:szCs w:val="22"/>
        </w:rPr>
        <w:t xml:space="preserve">A 160/80 mg indukciós Humira-kezelésben részesülő betegek statisztikailag szignifikánsan nagyobb százalékban mutattak klinikai remissziót a 8. héten a placebóhoz képest </w:t>
      </w:r>
      <w:r w:rsidR="00277A29" w:rsidRPr="00183B5F">
        <w:rPr>
          <w:szCs w:val="22"/>
        </w:rPr>
        <w:t xml:space="preserve">az UC-I vizsgálatban </w:t>
      </w:r>
      <w:r w:rsidRPr="00183B5F">
        <w:rPr>
          <w:szCs w:val="22"/>
        </w:rPr>
        <w:t>(sorrendben 18</w:t>
      </w:r>
      <w:r w:rsidR="00277A29" w:rsidRPr="00183B5F">
        <w:rPr>
          <w:szCs w:val="22"/>
        </w:rPr>
        <w:t>%, illetve 9%, p = 0,031) és az UC-II vizsgálatban (sorrendben 17</w:t>
      </w:r>
      <w:r w:rsidRPr="00183B5F">
        <w:rPr>
          <w:szCs w:val="22"/>
        </w:rPr>
        <w:t>%, illetve 9%, p = 0,019). Az UC</w:t>
      </w:r>
      <w:r w:rsidRPr="00183B5F">
        <w:rPr>
          <w:szCs w:val="22"/>
        </w:rPr>
        <w:noBreakHyphen/>
        <w:t>II vizsgálatban azok közül a Humira</w:t>
      </w:r>
      <w:r w:rsidRPr="00183B5F">
        <w:rPr>
          <w:szCs w:val="22"/>
        </w:rPr>
        <w:noBreakHyphen/>
        <w:t>val kezelt betegek közül, akik a 8. héten remisszióban voltak, az 52. héten 21/41 (51%) volt remisszióban.</w:t>
      </w:r>
    </w:p>
    <w:p w14:paraId="7AE68D32" w14:textId="77777777" w:rsidR="00764497" w:rsidRPr="00183B5F" w:rsidRDefault="00764497" w:rsidP="004062FE">
      <w:pPr>
        <w:spacing w:line="240" w:lineRule="auto"/>
        <w:rPr>
          <w:szCs w:val="22"/>
        </w:rPr>
      </w:pPr>
    </w:p>
    <w:p w14:paraId="79C3BFC1" w14:textId="77777777" w:rsidR="00764497" w:rsidRPr="00183B5F" w:rsidRDefault="00943743" w:rsidP="004062FE">
      <w:pPr>
        <w:spacing w:line="240" w:lineRule="auto"/>
        <w:rPr>
          <w:szCs w:val="22"/>
        </w:rPr>
      </w:pPr>
      <w:r w:rsidRPr="00183B5F">
        <w:rPr>
          <w:szCs w:val="22"/>
        </w:rPr>
        <w:t>Az UC</w:t>
      </w:r>
      <w:r w:rsidRPr="00183B5F">
        <w:rPr>
          <w:szCs w:val="22"/>
        </w:rPr>
        <w:noBreakHyphen/>
        <w:t xml:space="preserve">II vizsgálatban részt vevő teljes betegpopuláció eredményeit a </w:t>
      </w:r>
      <w:r w:rsidR="00B804FE" w:rsidRPr="00183B5F">
        <w:rPr>
          <w:szCs w:val="22"/>
        </w:rPr>
        <w:t>16</w:t>
      </w:r>
      <w:r w:rsidRPr="00183B5F">
        <w:rPr>
          <w:szCs w:val="22"/>
        </w:rPr>
        <w:t>. táblázat mutatja.</w:t>
      </w:r>
    </w:p>
    <w:p w14:paraId="65A05469" w14:textId="77777777" w:rsidR="00764497" w:rsidRPr="00183B5F" w:rsidRDefault="00764497" w:rsidP="004062FE">
      <w:pPr>
        <w:spacing w:line="240" w:lineRule="auto"/>
        <w:rPr>
          <w:szCs w:val="22"/>
        </w:rPr>
      </w:pPr>
    </w:p>
    <w:p w14:paraId="52D31F61" w14:textId="77777777" w:rsidR="00764497" w:rsidRPr="00183B5F" w:rsidRDefault="00943743">
      <w:pPr>
        <w:pStyle w:val="EMEANormal"/>
        <w:keepNext/>
        <w:jc w:val="center"/>
        <w:rPr>
          <w:rFonts w:eastAsia="Arial Unicode MS"/>
          <w:b/>
          <w:bCs/>
          <w:szCs w:val="22"/>
          <w:lang w:val="hu-HU"/>
        </w:rPr>
      </w:pPr>
      <w:r w:rsidRPr="00183B5F">
        <w:rPr>
          <w:rFonts w:eastAsia="Arial Unicode MS"/>
          <w:b/>
          <w:bCs/>
          <w:szCs w:val="22"/>
          <w:lang w:val="hu-HU"/>
        </w:rPr>
        <w:t>16. táblázat</w:t>
      </w:r>
    </w:p>
    <w:p w14:paraId="0867A0E9" w14:textId="77777777" w:rsidR="00764497" w:rsidRPr="00183B5F" w:rsidRDefault="00943743">
      <w:pPr>
        <w:pStyle w:val="EMEANormal"/>
        <w:keepNext/>
        <w:jc w:val="center"/>
        <w:rPr>
          <w:rFonts w:eastAsia="Arial Unicode MS"/>
          <w:b/>
          <w:bCs/>
          <w:szCs w:val="22"/>
          <w:lang w:val="hu-HU"/>
        </w:rPr>
      </w:pPr>
      <w:r w:rsidRPr="00183B5F">
        <w:rPr>
          <w:rFonts w:eastAsia="Arial Unicode MS"/>
          <w:b/>
          <w:bCs/>
          <w:szCs w:val="22"/>
          <w:lang w:val="hu-HU"/>
        </w:rPr>
        <w:t>UC-II vizsgálatban a klinikai válasz, remisszió és nyálkahártya gyógyulás aránya</w:t>
      </w:r>
    </w:p>
    <w:p w14:paraId="0A94C7DD" w14:textId="77777777" w:rsidR="00764497" w:rsidRPr="00183B5F" w:rsidRDefault="00943743">
      <w:pPr>
        <w:pStyle w:val="EMEANormal"/>
        <w:keepNext/>
        <w:jc w:val="center"/>
        <w:rPr>
          <w:rFonts w:eastAsia="Arial Unicode MS"/>
          <w:b/>
          <w:lang w:val="hu-HU"/>
        </w:rPr>
      </w:pPr>
      <w:r w:rsidRPr="00183B5F">
        <w:rPr>
          <w:rFonts w:eastAsia="Arial Unicode MS"/>
          <w:b/>
          <w:lang w:val="hu-HU"/>
        </w:rPr>
        <w:t>(betegek százalékában)</w:t>
      </w:r>
    </w:p>
    <w:p w14:paraId="08C42C20" w14:textId="77777777" w:rsidR="00764497" w:rsidRPr="00183B5F" w:rsidRDefault="00764497">
      <w:pPr>
        <w:pStyle w:val="EMEANormal"/>
        <w:keepNext/>
        <w:jc w:val="center"/>
        <w:rPr>
          <w:rFonts w:eastAsia="Arial Unicode MS"/>
          <w:b/>
          <w:lang w:val="hu-HU"/>
        </w:rPr>
      </w:pPr>
    </w:p>
    <w:tbl>
      <w:tblPr>
        <w:tblW w:w="4375" w:type="pct"/>
        <w:tblInd w:w="-105" w:type="dxa"/>
        <w:tblCellMar>
          <w:top w:w="15" w:type="dxa"/>
          <w:left w:w="15" w:type="dxa"/>
          <w:bottom w:w="15" w:type="dxa"/>
          <w:right w:w="15" w:type="dxa"/>
        </w:tblCellMar>
        <w:tblLook w:val="0000" w:firstRow="0" w:lastRow="0" w:firstColumn="0" w:lastColumn="0" w:noHBand="0" w:noVBand="0"/>
      </w:tblPr>
      <w:tblGrid>
        <w:gridCol w:w="4725"/>
        <w:gridCol w:w="1006"/>
        <w:gridCol w:w="2206"/>
      </w:tblGrid>
      <w:tr w:rsidR="00011D2F" w14:paraId="09775D5B" w14:textId="77777777" w:rsidTr="00764497">
        <w:tc>
          <w:tcPr>
            <w:tcW w:w="2976" w:type="pct"/>
            <w:tcBorders>
              <w:top w:val="single" w:sz="6" w:space="0" w:color="000000"/>
              <w:left w:val="nil"/>
              <w:bottom w:val="single" w:sz="6" w:space="0" w:color="000000"/>
              <w:right w:val="nil"/>
            </w:tcBorders>
          </w:tcPr>
          <w:p w14:paraId="68DD7BFF" w14:textId="77777777" w:rsidR="00764497" w:rsidRPr="00183B5F" w:rsidRDefault="00764497" w:rsidP="004062FE">
            <w:pPr>
              <w:keepNext/>
              <w:spacing w:line="240" w:lineRule="auto"/>
              <w:jc w:val="center"/>
              <w:rPr>
                <w:rFonts w:eastAsia="Arial Unicode MS"/>
              </w:rPr>
            </w:pPr>
          </w:p>
        </w:tc>
        <w:tc>
          <w:tcPr>
            <w:tcW w:w="634" w:type="pct"/>
            <w:tcBorders>
              <w:top w:val="single" w:sz="6" w:space="0" w:color="000000"/>
              <w:left w:val="nil"/>
              <w:bottom w:val="single" w:sz="6" w:space="0" w:color="000000"/>
              <w:right w:val="nil"/>
            </w:tcBorders>
          </w:tcPr>
          <w:p w14:paraId="13EAE491" w14:textId="77777777" w:rsidR="00764497" w:rsidRPr="00183B5F" w:rsidRDefault="00943743" w:rsidP="004062FE">
            <w:pPr>
              <w:keepNext/>
              <w:spacing w:line="240" w:lineRule="auto"/>
              <w:jc w:val="center"/>
              <w:rPr>
                <w:rFonts w:eastAsia="Arial Unicode MS"/>
              </w:rPr>
            </w:pPr>
            <w:r w:rsidRPr="00183B5F">
              <w:rPr>
                <w:rStyle w:val="bold4"/>
                <w:rFonts w:eastAsia="Arial Unicode MS"/>
              </w:rPr>
              <w:t>Placebo</w:t>
            </w:r>
            <w:r w:rsidRPr="00183B5F">
              <w:rPr>
                <w:rFonts w:eastAsia="Arial Unicode MS"/>
              </w:rPr>
              <w:br/>
            </w:r>
          </w:p>
        </w:tc>
        <w:tc>
          <w:tcPr>
            <w:tcW w:w="1391" w:type="pct"/>
            <w:tcBorders>
              <w:top w:val="single" w:sz="6" w:space="0" w:color="000000"/>
              <w:left w:val="nil"/>
              <w:bottom w:val="single" w:sz="6" w:space="0" w:color="000000"/>
              <w:right w:val="nil"/>
            </w:tcBorders>
          </w:tcPr>
          <w:p w14:paraId="354F5CFA" w14:textId="77777777" w:rsidR="00764497" w:rsidRPr="00183B5F" w:rsidRDefault="00943743" w:rsidP="004062FE">
            <w:pPr>
              <w:keepNext/>
              <w:spacing w:line="240" w:lineRule="auto"/>
              <w:jc w:val="center"/>
              <w:rPr>
                <w:rStyle w:val="bold4"/>
                <w:rFonts w:eastAsia="Arial Unicode MS"/>
              </w:rPr>
            </w:pPr>
            <w:r w:rsidRPr="00183B5F">
              <w:rPr>
                <w:rStyle w:val="bold4"/>
                <w:rFonts w:eastAsia="Arial Unicode MS"/>
              </w:rPr>
              <w:t xml:space="preserve">Humira 40 mg </w:t>
            </w:r>
          </w:p>
          <w:p w14:paraId="40AEB58B" w14:textId="77777777" w:rsidR="00764497" w:rsidRPr="00183B5F" w:rsidRDefault="00943743" w:rsidP="004062FE">
            <w:pPr>
              <w:keepNext/>
              <w:spacing w:line="240" w:lineRule="auto"/>
              <w:jc w:val="center"/>
              <w:rPr>
                <w:rFonts w:eastAsia="Arial Unicode MS"/>
              </w:rPr>
            </w:pPr>
            <w:r w:rsidRPr="00183B5F">
              <w:rPr>
                <w:rStyle w:val="bold4"/>
                <w:rFonts w:eastAsia="Arial Unicode MS"/>
              </w:rPr>
              <w:t>kéthetente</w:t>
            </w:r>
            <w:r w:rsidRPr="00183B5F">
              <w:rPr>
                <w:rFonts w:eastAsia="Arial Unicode MS"/>
              </w:rPr>
              <w:br/>
            </w:r>
          </w:p>
        </w:tc>
      </w:tr>
      <w:tr w:rsidR="00011D2F" w14:paraId="5797E559" w14:textId="77777777" w:rsidTr="00764497">
        <w:tc>
          <w:tcPr>
            <w:tcW w:w="2976" w:type="pct"/>
            <w:tcBorders>
              <w:top w:val="single" w:sz="6" w:space="0" w:color="000000"/>
              <w:left w:val="nil"/>
              <w:bottom w:val="single" w:sz="6" w:space="0" w:color="000000"/>
              <w:right w:val="nil"/>
            </w:tcBorders>
          </w:tcPr>
          <w:p w14:paraId="434526F4" w14:textId="77777777" w:rsidR="00764497" w:rsidRPr="00183B5F" w:rsidRDefault="00943743" w:rsidP="004062FE">
            <w:pPr>
              <w:spacing w:line="240" w:lineRule="auto"/>
              <w:rPr>
                <w:rFonts w:eastAsia="Arial Unicode MS"/>
              </w:rPr>
            </w:pPr>
            <w:r w:rsidRPr="00183B5F">
              <w:rPr>
                <w:rFonts w:eastAsia="Arial Unicode MS"/>
              </w:rPr>
              <w:t>52. hét</w:t>
            </w:r>
          </w:p>
        </w:tc>
        <w:tc>
          <w:tcPr>
            <w:tcW w:w="634" w:type="pct"/>
            <w:tcBorders>
              <w:top w:val="single" w:sz="6" w:space="0" w:color="000000"/>
              <w:left w:val="nil"/>
              <w:bottom w:val="single" w:sz="6" w:space="0" w:color="000000"/>
              <w:right w:val="nil"/>
            </w:tcBorders>
          </w:tcPr>
          <w:p w14:paraId="4EF42FA3" w14:textId="77777777" w:rsidR="00764497" w:rsidRPr="00183B5F" w:rsidRDefault="00943743" w:rsidP="004062FE">
            <w:pPr>
              <w:spacing w:line="240" w:lineRule="auto"/>
              <w:jc w:val="center"/>
              <w:rPr>
                <w:rStyle w:val="bold4"/>
                <w:rFonts w:eastAsia="Arial Unicode MS"/>
              </w:rPr>
            </w:pPr>
            <w:r w:rsidRPr="00183B5F">
              <w:rPr>
                <w:rStyle w:val="bold4"/>
                <w:rFonts w:eastAsia="Arial Unicode MS"/>
              </w:rPr>
              <w:t>N = 246</w:t>
            </w:r>
          </w:p>
        </w:tc>
        <w:tc>
          <w:tcPr>
            <w:tcW w:w="1391" w:type="pct"/>
            <w:tcBorders>
              <w:top w:val="single" w:sz="6" w:space="0" w:color="000000"/>
              <w:left w:val="nil"/>
              <w:bottom w:val="single" w:sz="6" w:space="0" w:color="000000"/>
              <w:right w:val="nil"/>
            </w:tcBorders>
          </w:tcPr>
          <w:p w14:paraId="08D4679F" w14:textId="77777777" w:rsidR="00764497" w:rsidRPr="00183B5F" w:rsidRDefault="00943743" w:rsidP="004062FE">
            <w:pPr>
              <w:spacing w:line="240" w:lineRule="auto"/>
              <w:jc w:val="center"/>
              <w:rPr>
                <w:rStyle w:val="bold4"/>
                <w:rFonts w:eastAsia="Arial Unicode MS"/>
              </w:rPr>
            </w:pPr>
            <w:r w:rsidRPr="00183B5F">
              <w:rPr>
                <w:rStyle w:val="bold4"/>
                <w:rFonts w:eastAsia="Arial Unicode MS"/>
              </w:rPr>
              <w:t>N = 248</w:t>
            </w:r>
          </w:p>
        </w:tc>
      </w:tr>
      <w:tr w:rsidR="00011D2F" w14:paraId="6FE9C9E6" w14:textId="77777777" w:rsidTr="00764497">
        <w:tc>
          <w:tcPr>
            <w:tcW w:w="2976" w:type="pct"/>
            <w:tcBorders>
              <w:top w:val="nil"/>
              <w:left w:val="nil"/>
              <w:right w:val="nil"/>
            </w:tcBorders>
          </w:tcPr>
          <w:p w14:paraId="79467613" w14:textId="77777777" w:rsidR="00764497" w:rsidRPr="00183B5F" w:rsidRDefault="00943743" w:rsidP="004062FE">
            <w:pPr>
              <w:spacing w:line="240" w:lineRule="auto"/>
              <w:rPr>
                <w:rFonts w:eastAsia="Arial Unicode MS"/>
              </w:rPr>
            </w:pPr>
            <w:r w:rsidRPr="00183B5F">
              <w:rPr>
                <w:rFonts w:eastAsia="Arial Unicode MS"/>
              </w:rPr>
              <w:t xml:space="preserve">  Klinikai válasz </w:t>
            </w:r>
          </w:p>
        </w:tc>
        <w:tc>
          <w:tcPr>
            <w:tcW w:w="634" w:type="pct"/>
            <w:tcBorders>
              <w:top w:val="nil"/>
              <w:left w:val="nil"/>
              <w:right w:val="nil"/>
            </w:tcBorders>
          </w:tcPr>
          <w:p w14:paraId="1F2CA294" w14:textId="77777777" w:rsidR="00764497" w:rsidRPr="00183B5F" w:rsidRDefault="00943743" w:rsidP="004062FE">
            <w:pPr>
              <w:spacing w:line="240" w:lineRule="auto"/>
              <w:jc w:val="center"/>
              <w:rPr>
                <w:rFonts w:eastAsia="Arial Unicode MS"/>
              </w:rPr>
            </w:pPr>
            <w:r w:rsidRPr="00183B5F">
              <w:rPr>
                <w:rFonts w:eastAsia="Arial Unicode MS"/>
              </w:rPr>
              <w:t xml:space="preserve">18% </w:t>
            </w:r>
          </w:p>
        </w:tc>
        <w:tc>
          <w:tcPr>
            <w:tcW w:w="1391" w:type="pct"/>
            <w:tcBorders>
              <w:top w:val="nil"/>
              <w:left w:val="nil"/>
              <w:right w:val="nil"/>
            </w:tcBorders>
          </w:tcPr>
          <w:p w14:paraId="0E65BBFE" w14:textId="77777777" w:rsidR="00764497" w:rsidRPr="00183B5F" w:rsidRDefault="00943743" w:rsidP="004062FE">
            <w:pPr>
              <w:spacing w:line="240" w:lineRule="auto"/>
              <w:jc w:val="center"/>
              <w:rPr>
                <w:rFonts w:eastAsia="Arial Unicode MS"/>
              </w:rPr>
            </w:pPr>
            <w:r w:rsidRPr="00183B5F">
              <w:rPr>
                <w:rFonts w:eastAsia="Arial Unicode MS"/>
              </w:rPr>
              <w:t xml:space="preserve">   30%*</w:t>
            </w:r>
          </w:p>
        </w:tc>
      </w:tr>
      <w:tr w:rsidR="00011D2F" w14:paraId="2B77BC4E" w14:textId="77777777" w:rsidTr="00764497">
        <w:tc>
          <w:tcPr>
            <w:tcW w:w="2976" w:type="pct"/>
            <w:tcBorders>
              <w:top w:val="nil"/>
              <w:left w:val="nil"/>
              <w:right w:val="nil"/>
            </w:tcBorders>
          </w:tcPr>
          <w:p w14:paraId="76F37975" w14:textId="77777777" w:rsidR="00764497" w:rsidRPr="00183B5F" w:rsidRDefault="00943743" w:rsidP="004062FE">
            <w:pPr>
              <w:spacing w:line="240" w:lineRule="auto"/>
              <w:rPr>
                <w:rFonts w:eastAsia="Arial Unicode MS"/>
              </w:rPr>
            </w:pPr>
            <w:r w:rsidRPr="00183B5F">
              <w:rPr>
                <w:rFonts w:eastAsia="Arial Unicode MS"/>
              </w:rPr>
              <w:t xml:space="preserve">  Klinikai remisszió</w:t>
            </w:r>
          </w:p>
        </w:tc>
        <w:tc>
          <w:tcPr>
            <w:tcW w:w="634" w:type="pct"/>
            <w:tcBorders>
              <w:top w:val="nil"/>
              <w:left w:val="nil"/>
              <w:right w:val="nil"/>
            </w:tcBorders>
          </w:tcPr>
          <w:p w14:paraId="758775E9" w14:textId="77777777" w:rsidR="00764497" w:rsidRPr="00183B5F" w:rsidRDefault="00943743" w:rsidP="004062FE">
            <w:pPr>
              <w:spacing w:line="240" w:lineRule="auto"/>
              <w:jc w:val="center"/>
              <w:rPr>
                <w:rFonts w:eastAsia="Arial Unicode MS"/>
              </w:rPr>
            </w:pPr>
            <w:r w:rsidRPr="00183B5F">
              <w:rPr>
                <w:rFonts w:eastAsia="Arial Unicode MS"/>
              </w:rPr>
              <w:t>9%</w:t>
            </w:r>
          </w:p>
        </w:tc>
        <w:tc>
          <w:tcPr>
            <w:tcW w:w="1391" w:type="pct"/>
            <w:tcBorders>
              <w:top w:val="nil"/>
              <w:left w:val="nil"/>
              <w:right w:val="nil"/>
            </w:tcBorders>
          </w:tcPr>
          <w:p w14:paraId="68C367F3" w14:textId="77777777" w:rsidR="00764497" w:rsidRPr="00183B5F" w:rsidRDefault="00943743" w:rsidP="004062FE">
            <w:pPr>
              <w:spacing w:line="240" w:lineRule="auto"/>
              <w:jc w:val="center"/>
              <w:rPr>
                <w:rFonts w:eastAsia="Arial Unicode MS"/>
              </w:rPr>
            </w:pPr>
            <w:r w:rsidRPr="00183B5F">
              <w:rPr>
                <w:rFonts w:eastAsia="Arial Unicode MS"/>
              </w:rPr>
              <w:t xml:space="preserve">   17%*</w:t>
            </w:r>
          </w:p>
        </w:tc>
      </w:tr>
      <w:tr w:rsidR="00011D2F" w14:paraId="15D36923" w14:textId="77777777" w:rsidTr="00764497">
        <w:tc>
          <w:tcPr>
            <w:tcW w:w="2976" w:type="pct"/>
            <w:tcBorders>
              <w:top w:val="nil"/>
              <w:left w:val="nil"/>
              <w:right w:val="nil"/>
            </w:tcBorders>
          </w:tcPr>
          <w:p w14:paraId="2B7FCCCF" w14:textId="77777777" w:rsidR="00764497" w:rsidRPr="00183B5F" w:rsidRDefault="00943743" w:rsidP="004062FE">
            <w:pPr>
              <w:spacing w:line="240" w:lineRule="auto"/>
              <w:rPr>
                <w:rFonts w:eastAsia="Arial Unicode MS"/>
              </w:rPr>
            </w:pPr>
            <w:r w:rsidRPr="00183B5F">
              <w:rPr>
                <w:rFonts w:eastAsia="Arial Unicode MS"/>
              </w:rPr>
              <w:t xml:space="preserve">  Nyálkahártya gyógyulás </w:t>
            </w:r>
          </w:p>
        </w:tc>
        <w:tc>
          <w:tcPr>
            <w:tcW w:w="634" w:type="pct"/>
            <w:tcBorders>
              <w:top w:val="nil"/>
              <w:left w:val="nil"/>
              <w:right w:val="nil"/>
            </w:tcBorders>
          </w:tcPr>
          <w:p w14:paraId="60E0FE2F" w14:textId="77777777" w:rsidR="00764497" w:rsidRPr="00183B5F" w:rsidRDefault="00943743" w:rsidP="004062FE">
            <w:pPr>
              <w:spacing w:line="240" w:lineRule="auto"/>
              <w:jc w:val="center"/>
              <w:rPr>
                <w:rFonts w:eastAsia="Arial Unicode MS"/>
              </w:rPr>
            </w:pPr>
            <w:r w:rsidRPr="00183B5F">
              <w:rPr>
                <w:rFonts w:eastAsia="Arial Unicode MS"/>
              </w:rPr>
              <w:t>15%</w:t>
            </w:r>
          </w:p>
        </w:tc>
        <w:tc>
          <w:tcPr>
            <w:tcW w:w="1391" w:type="pct"/>
            <w:tcBorders>
              <w:top w:val="nil"/>
              <w:left w:val="nil"/>
              <w:right w:val="nil"/>
            </w:tcBorders>
          </w:tcPr>
          <w:p w14:paraId="32843AE0" w14:textId="77777777" w:rsidR="00764497" w:rsidRPr="00183B5F" w:rsidRDefault="00943743" w:rsidP="004062FE">
            <w:pPr>
              <w:spacing w:line="240" w:lineRule="auto"/>
              <w:jc w:val="center"/>
              <w:rPr>
                <w:rFonts w:eastAsia="Arial Unicode MS"/>
              </w:rPr>
            </w:pPr>
            <w:r w:rsidRPr="00183B5F">
              <w:rPr>
                <w:rFonts w:eastAsia="Arial Unicode MS"/>
              </w:rPr>
              <w:t xml:space="preserve">   25%*</w:t>
            </w:r>
          </w:p>
        </w:tc>
      </w:tr>
      <w:tr w:rsidR="00011D2F" w14:paraId="3E046487" w14:textId="77777777" w:rsidTr="00764497">
        <w:tc>
          <w:tcPr>
            <w:tcW w:w="2976" w:type="pct"/>
            <w:tcBorders>
              <w:top w:val="nil"/>
              <w:left w:val="nil"/>
              <w:right w:val="nil"/>
            </w:tcBorders>
          </w:tcPr>
          <w:p w14:paraId="6A751B4F" w14:textId="77777777" w:rsidR="00764497" w:rsidRPr="00183B5F" w:rsidRDefault="00943743">
            <w:pPr>
              <w:spacing w:line="240" w:lineRule="auto"/>
              <w:rPr>
                <w:rFonts w:eastAsia="Arial Unicode MS"/>
              </w:rPr>
            </w:pPr>
            <w:r w:rsidRPr="00183B5F">
              <w:rPr>
                <w:rFonts w:eastAsia="Arial Unicode MS"/>
              </w:rPr>
              <w:t xml:space="preserve">  Szteroidmentes remisszió legalább 90 napig</w:t>
            </w:r>
            <w:r w:rsidRPr="00183B5F">
              <w:rPr>
                <w:vertAlign w:val="superscript"/>
              </w:rPr>
              <w:t xml:space="preserve"> a</w:t>
            </w:r>
            <w:r w:rsidRPr="00183B5F">
              <w:rPr>
                <w:rFonts w:eastAsia="Arial Unicode MS"/>
              </w:rPr>
              <w:t xml:space="preserve"> </w:t>
            </w:r>
          </w:p>
        </w:tc>
        <w:tc>
          <w:tcPr>
            <w:tcW w:w="634" w:type="pct"/>
            <w:tcBorders>
              <w:top w:val="nil"/>
              <w:left w:val="nil"/>
              <w:right w:val="nil"/>
            </w:tcBorders>
          </w:tcPr>
          <w:p w14:paraId="29A59D5D" w14:textId="77777777" w:rsidR="00764497" w:rsidRPr="00183B5F" w:rsidRDefault="00943743" w:rsidP="004062FE">
            <w:pPr>
              <w:spacing w:line="240" w:lineRule="auto"/>
              <w:jc w:val="center"/>
              <w:rPr>
                <w:rFonts w:eastAsia="Arial Unicode MS"/>
              </w:rPr>
            </w:pPr>
            <w:r w:rsidRPr="00183B5F">
              <w:rPr>
                <w:rFonts w:eastAsia="Arial Unicode MS"/>
              </w:rPr>
              <w:t xml:space="preserve">6% </w:t>
            </w:r>
          </w:p>
          <w:p w14:paraId="5192AF55" w14:textId="77777777" w:rsidR="00764497" w:rsidRPr="00183B5F" w:rsidRDefault="00943743" w:rsidP="004062FE">
            <w:pPr>
              <w:spacing w:line="240" w:lineRule="auto"/>
              <w:jc w:val="center"/>
              <w:rPr>
                <w:rFonts w:eastAsia="Arial Unicode MS"/>
              </w:rPr>
            </w:pPr>
            <w:r w:rsidRPr="00183B5F">
              <w:rPr>
                <w:rFonts w:eastAsia="Arial Unicode MS"/>
              </w:rPr>
              <w:t>(N = 140)</w:t>
            </w:r>
          </w:p>
        </w:tc>
        <w:tc>
          <w:tcPr>
            <w:tcW w:w="1391" w:type="pct"/>
            <w:tcBorders>
              <w:top w:val="nil"/>
              <w:left w:val="nil"/>
              <w:right w:val="nil"/>
            </w:tcBorders>
          </w:tcPr>
          <w:p w14:paraId="035D32B7" w14:textId="77777777" w:rsidR="00764497" w:rsidRPr="00183B5F" w:rsidRDefault="00943743" w:rsidP="004062FE">
            <w:pPr>
              <w:spacing w:line="240" w:lineRule="auto"/>
              <w:jc w:val="center"/>
              <w:rPr>
                <w:rFonts w:eastAsia="Arial Unicode MS"/>
              </w:rPr>
            </w:pPr>
            <w:r w:rsidRPr="00183B5F">
              <w:rPr>
                <w:rFonts w:eastAsia="Arial Unicode MS"/>
              </w:rPr>
              <w:t xml:space="preserve">     13% *</w:t>
            </w:r>
          </w:p>
          <w:p w14:paraId="296F3A00" w14:textId="77777777" w:rsidR="00764497" w:rsidRPr="00183B5F" w:rsidRDefault="00943743" w:rsidP="004062FE">
            <w:pPr>
              <w:spacing w:line="240" w:lineRule="auto"/>
              <w:jc w:val="center"/>
              <w:rPr>
                <w:rFonts w:eastAsia="Arial Unicode MS"/>
              </w:rPr>
            </w:pPr>
            <w:r w:rsidRPr="00183B5F">
              <w:rPr>
                <w:rFonts w:eastAsia="Arial Unicode MS"/>
              </w:rPr>
              <w:t>(N = 150)</w:t>
            </w:r>
          </w:p>
          <w:p w14:paraId="2B10C939" w14:textId="77777777" w:rsidR="00764497" w:rsidRPr="00183B5F" w:rsidRDefault="00764497" w:rsidP="004062FE">
            <w:pPr>
              <w:spacing w:line="240" w:lineRule="auto"/>
              <w:rPr>
                <w:rFonts w:eastAsia="Arial Unicode MS"/>
              </w:rPr>
            </w:pPr>
          </w:p>
        </w:tc>
      </w:tr>
      <w:tr w:rsidR="00011D2F" w14:paraId="63CD7045" w14:textId="77777777" w:rsidTr="00764497">
        <w:tc>
          <w:tcPr>
            <w:tcW w:w="2976" w:type="pct"/>
            <w:tcBorders>
              <w:top w:val="nil"/>
              <w:left w:val="nil"/>
              <w:right w:val="nil"/>
            </w:tcBorders>
          </w:tcPr>
          <w:p w14:paraId="49915A32" w14:textId="77777777" w:rsidR="00764497" w:rsidRPr="00183B5F" w:rsidRDefault="00943743">
            <w:pPr>
              <w:spacing w:line="240" w:lineRule="auto"/>
              <w:rPr>
                <w:rFonts w:eastAsia="Arial Unicode MS"/>
              </w:rPr>
            </w:pPr>
            <w:r w:rsidRPr="00183B5F">
              <w:rPr>
                <w:rFonts w:eastAsia="Arial Unicode MS"/>
              </w:rPr>
              <w:t>8. és 52. </w:t>
            </w:r>
            <w:r w:rsidR="00277A29" w:rsidRPr="00183B5F">
              <w:rPr>
                <w:rFonts w:eastAsia="Arial Unicode MS"/>
              </w:rPr>
              <w:t>h</w:t>
            </w:r>
            <w:r w:rsidRPr="00183B5F">
              <w:rPr>
                <w:rFonts w:eastAsia="Arial Unicode MS"/>
              </w:rPr>
              <w:t>ét</w:t>
            </w:r>
          </w:p>
        </w:tc>
        <w:tc>
          <w:tcPr>
            <w:tcW w:w="634" w:type="pct"/>
            <w:tcBorders>
              <w:top w:val="nil"/>
              <w:left w:val="nil"/>
              <w:right w:val="nil"/>
            </w:tcBorders>
          </w:tcPr>
          <w:p w14:paraId="683E111F" w14:textId="77777777" w:rsidR="00764497" w:rsidRPr="00183B5F" w:rsidRDefault="00764497" w:rsidP="004062FE">
            <w:pPr>
              <w:spacing w:line="240" w:lineRule="auto"/>
              <w:jc w:val="center"/>
              <w:rPr>
                <w:rFonts w:eastAsia="Arial Unicode MS"/>
              </w:rPr>
            </w:pPr>
          </w:p>
        </w:tc>
        <w:tc>
          <w:tcPr>
            <w:tcW w:w="1391" w:type="pct"/>
            <w:tcBorders>
              <w:top w:val="nil"/>
              <w:left w:val="nil"/>
              <w:right w:val="nil"/>
            </w:tcBorders>
          </w:tcPr>
          <w:p w14:paraId="3023ADC0" w14:textId="77777777" w:rsidR="00764497" w:rsidRPr="00183B5F" w:rsidRDefault="00764497" w:rsidP="004062FE">
            <w:pPr>
              <w:spacing w:line="240" w:lineRule="auto"/>
              <w:jc w:val="center"/>
              <w:rPr>
                <w:rFonts w:eastAsia="Arial Unicode MS"/>
              </w:rPr>
            </w:pPr>
          </w:p>
        </w:tc>
      </w:tr>
      <w:tr w:rsidR="00011D2F" w14:paraId="6D3B2117" w14:textId="77777777" w:rsidTr="00764497">
        <w:tc>
          <w:tcPr>
            <w:tcW w:w="2976" w:type="pct"/>
            <w:tcBorders>
              <w:top w:val="nil"/>
              <w:left w:val="nil"/>
              <w:right w:val="nil"/>
            </w:tcBorders>
          </w:tcPr>
          <w:p w14:paraId="5B58F8E2" w14:textId="77777777" w:rsidR="00764497" w:rsidRPr="00183B5F" w:rsidRDefault="00943743" w:rsidP="004062FE">
            <w:pPr>
              <w:spacing w:line="240" w:lineRule="auto"/>
              <w:rPr>
                <w:rFonts w:eastAsia="Arial Unicode MS"/>
              </w:rPr>
            </w:pPr>
            <w:r w:rsidRPr="00183B5F">
              <w:rPr>
                <w:rFonts w:eastAsia="Arial Unicode MS"/>
              </w:rPr>
              <w:t xml:space="preserve">  Fenntartott válasz </w:t>
            </w:r>
          </w:p>
        </w:tc>
        <w:tc>
          <w:tcPr>
            <w:tcW w:w="634" w:type="pct"/>
            <w:tcBorders>
              <w:top w:val="nil"/>
              <w:left w:val="nil"/>
              <w:right w:val="nil"/>
            </w:tcBorders>
          </w:tcPr>
          <w:p w14:paraId="7F50CC91" w14:textId="77777777" w:rsidR="00764497" w:rsidRPr="00183B5F" w:rsidRDefault="00943743" w:rsidP="004062FE">
            <w:pPr>
              <w:spacing w:line="240" w:lineRule="auto"/>
              <w:jc w:val="center"/>
              <w:rPr>
                <w:rFonts w:eastAsia="Arial Unicode MS"/>
              </w:rPr>
            </w:pPr>
            <w:r w:rsidRPr="00183B5F">
              <w:rPr>
                <w:rFonts w:eastAsia="Arial Unicode MS"/>
              </w:rPr>
              <w:t>12%</w:t>
            </w:r>
          </w:p>
        </w:tc>
        <w:tc>
          <w:tcPr>
            <w:tcW w:w="1391" w:type="pct"/>
            <w:tcBorders>
              <w:top w:val="nil"/>
              <w:left w:val="nil"/>
              <w:right w:val="nil"/>
            </w:tcBorders>
          </w:tcPr>
          <w:p w14:paraId="59C4C80B" w14:textId="77777777" w:rsidR="00764497" w:rsidRPr="00183B5F" w:rsidRDefault="00943743" w:rsidP="004062FE">
            <w:pPr>
              <w:spacing w:line="240" w:lineRule="auto"/>
              <w:jc w:val="center"/>
              <w:rPr>
                <w:rFonts w:eastAsia="Arial Unicode MS"/>
              </w:rPr>
            </w:pPr>
            <w:r w:rsidRPr="00183B5F">
              <w:rPr>
                <w:rFonts w:eastAsia="Arial Unicode MS"/>
              </w:rPr>
              <w:t xml:space="preserve">   24%**</w:t>
            </w:r>
          </w:p>
        </w:tc>
      </w:tr>
      <w:tr w:rsidR="00011D2F" w14:paraId="3BDB3733" w14:textId="77777777" w:rsidTr="00764497">
        <w:tc>
          <w:tcPr>
            <w:tcW w:w="2976" w:type="pct"/>
            <w:tcBorders>
              <w:top w:val="nil"/>
              <w:left w:val="nil"/>
              <w:right w:val="nil"/>
            </w:tcBorders>
          </w:tcPr>
          <w:p w14:paraId="10715A0E" w14:textId="77777777" w:rsidR="00764497" w:rsidRPr="00183B5F" w:rsidRDefault="00943743" w:rsidP="004062FE">
            <w:pPr>
              <w:spacing w:line="240" w:lineRule="auto"/>
              <w:rPr>
                <w:rFonts w:eastAsia="Arial Unicode MS"/>
              </w:rPr>
            </w:pPr>
            <w:r w:rsidRPr="00183B5F">
              <w:rPr>
                <w:rFonts w:eastAsia="Arial Unicode MS"/>
              </w:rPr>
              <w:t xml:space="preserve">  Fenntartott remisszió </w:t>
            </w:r>
          </w:p>
        </w:tc>
        <w:tc>
          <w:tcPr>
            <w:tcW w:w="634" w:type="pct"/>
            <w:tcBorders>
              <w:top w:val="nil"/>
              <w:left w:val="nil"/>
              <w:right w:val="nil"/>
            </w:tcBorders>
          </w:tcPr>
          <w:p w14:paraId="679897BC" w14:textId="77777777" w:rsidR="00764497" w:rsidRPr="00183B5F" w:rsidRDefault="00943743" w:rsidP="004062FE">
            <w:pPr>
              <w:spacing w:line="240" w:lineRule="auto"/>
              <w:jc w:val="center"/>
              <w:rPr>
                <w:rFonts w:eastAsia="Arial Unicode MS"/>
              </w:rPr>
            </w:pPr>
            <w:r w:rsidRPr="00183B5F">
              <w:rPr>
                <w:rFonts w:eastAsia="Arial Unicode MS"/>
              </w:rPr>
              <w:t>4%</w:t>
            </w:r>
          </w:p>
        </w:tc>
        <w:tc>
          <w:tcPr>
            <w:tcW w:w="1391" w:type="pct"/>
            <w:tcBorders>
              <w:top w:val="nil"/>
              <w:left w:val="nil"/>
              <w:right w:val="nil"/>
            </w:tcBorders>
          </w:tcPr>
          <w:p w14:paraId="64020087" w14:textId="77777777" w:rsidR="00764497" w:rsidRPr="00183B5F" w:rsidRDefault="00943743" w:rsidP="004062FE">
            <w:pPr>
              <w:spacing w:line="240" w:lineRule="auto"/>
              <w:jc w:val="center"/>
              <w:rPr>
                <w:rFonts w:eastAsia="Arial Unicode MS"/>
              </w:rPr>
            </w:pPr>
            <w:r w:rsidRPr="00183B5F">
              <w:rPr>
                <w:rFonts w:eastAsia="Arial Unicode MS"/>
              </w:rPr>
              <w:t xml:space="preserve">   8%*</w:t>
            </w:r>
          </w:p>
        </w:tc>
      </w:tr>
      <w:tr w:rsidR="00011D2F" w14:paraId="3C989835" w14:textId="77777777" w:rsidTr="00764497">
        <w:tc>
          <w:tcPr>
            <w:tcW w:w="2976" w:type="pct"/>
            <w:tcBorders>
              <w:top w:val="nil"/>
              <w:left w:val="nil"/>
              <w:bottom w:val="single" w:sz="6" w:space="0" w:color="000000"/>
              <w:right w:val="nil"/>
            </w:tcBorders>
          </w:tcPr>
          <w:p w14:paraId="63E1788A" w14:textId="77777777" w:rsidR="00764497" w:rsidRPr="00183B5F" w:rsidRDefault="00943743" w:rsidP="004062FE">
            <w:pPr>
              <w:spacing w:line="240" w:lineRule="auto"/>
              <w:rPr>
                <w:rFonts w:eastAsia="Arial Unicode MS"/>
              </w:rPr>
            </w:pPr>
            <w:r w:rsidRPr="00183B5F">
              <w:rPr>
                <w:rFonts w:eastAsia="Arial Unicode MS"/>
              </w:rPr>
              <w:t xml:space="preserve">  Fenntartott nyálkahártya gyógyulás </w:t>
            </w:r>
          </w:p>
        </w:tc>
        <w:tc>
          <w:tcPr>
            <w:tcW w:w="634" w:type="pct"/>
            <w:tcBorders>
              <w:top w:val="nil"/>
              <w:left w:val="nil"/>
              <w:bottom w:val="single" w:sz="6" w:space="0" w:color="000000"/>
              <w:right w:val="nil"/>
            </w:tcBorders>
          </w:tcPr>
          <w:p w14:paraId="5BDA3E3E" w14:textId="77777777" w:rsidR="00764497" w:rsidRPr="00183B5F" w:rsidRDefault="00943743" w:rsidP="004062FE">
            <w:pPr>
              <w:spacing w:line="240" w:lineRule="auto"/>
              <w:jc w:val="center"/>
              <w:rPr>
                <w:rFonts w:eastAsia="Arial Unicode MS"/>
              </w:rPr>
            </w:pPr>
            <w:r w:rsidRPr="00183B5F">
              <w:rPr>
                <w:rFonts w:eastAsia="Arial Unicode MS"/>
              </w:rPr>
              <w:t>11%</w:t>
            </w:r>
          </w:p>
        </w:tc>
        <w:tc>
          <w:tcPr>
            <w:tcW w:w="1391" w:type="pct"/>
            <w:tcBorders>
              <w:top w:val="nil"/>
              <w:left w:val="nil"/>
              <w:bottom w:val="single" w:sz="6" w:space="0" w:color="000000"/>
              <w:right w:val="nil"/>
            </w:tcBorders>
          </w:tcPr>
          <w:p w14:paraId="5E92B0E1" w14:textId="77777777" w:rsidR="00764497" w:rsidRPr="00183B5F" w:rsidRDefault="00943743" w:rsidP="004062FE">
            <w:pPr>
              <w:spacing w:line="240" w:lineRule="auto"/>
              <w:jc w:val="center"/>
              <w:rPr>
                <w:rFonts w:eastAsia="Arial Unicode MS"/>
              </w:rPr>
            </w:pPr>
            <w:r w:rsidRPr="00183B5F">
              <w:rPr>
                <w:rFonts w:eastAsia="Arial Unicode MS"/>
              </w:rPr>
              <w:t xml:space="preserve">  19%*</w:t>
            </w:r>
          </w:p>
        </w:tc>
      </w:tr>
      <w:tr w:rsidR="00011D2F" w14:paraId="745E9E58" w14:textId="77777777" w:rsidTr="00764497">
        <w:tc>
          <w:tcPr>
            <w:tcW w:w="5000" w:type="pct"/>
            <w:gridSpan w:val="3"/>
            <w:tcBorders>
              <w:top w:val="nil"/>
              <w:left w:val="nil"/>
              <w:bottom w:val="nil"/>
              <w:right w:val="nil"/>
            </w:tcBorders>
          </w:tcPr>
          <w:p w14:paraId="4513F562" w14:textId="77777777" w:rsidR="00764497" w:rsidRPr="00183B5F" w:rsidRDefault="00943743" w:rsidP="004062FE">
            <w:pPr>
              <w:spacing w:line="240" w:lineRule="auto"/>
              <w:rPr>
                <w:rFonts w:eastAsia="Arial Unicode MS"/>
              </w:rPr>
            </w:pPr>
            <w:r w:rsidRPr="00183B5F">
              <w:rPr>
                <w:rFonts w:eastAsia="Arial Unicode MS"/>
              </w:rPr>
              <w:t xml:space="preserve">Klinikai remisszió: Mayo pontszám ≤ 2 és alpontszám </w:t>
            </w:r>
            <w:r w:rsidR="00277A29" w:rsidRPr="00183B5F">
              <w:rPr>
                <w:rFonts w:eastAsia="Arial Unicode MS"/>
              </w:rPr>
              <w:t>&gt;</w:t>
            </w:r>
            <w:r w:rsidRPr="00183B5F">
              <w:rPr>
                <w:rFonts w:eastAsia="Arial Unicode MS"/>
              </w:rPr>
              <w:t> 1;</w:t>
            </w:r>
          </w:p>
          <w:p w14:paraId="29B9790F" w14:textId="77777777" w:rsidR="00764497" w:rsidRPr="00183B5F" w:rsidRDefault="00943743" w:rsidP="004062FE">
            <w:pPr>
              <w:spacing w:line="240" w:lineRule="auto"/>
              <w:rPr>
                <w:rFonts w:eastAsia="Arial Unicode MS"/>
              </w:rPr>
            </w:pPr>
            <w:r w:rsidRPr="00183B5F">
              <w:rPr>
                <w:rFonts w:eastAsia="Arial Unicode MS"/>
              </w:rPr>
              <w:t>Klinikai válasz: a Mayo pontszám kiindulási értékéhez viszonyított ≥3 pontos és ≥30%</w:t>
            </w:r>
            <w:r w:rsidRPr="00183B5F">
              <w:rPr>
                <w:rFonts w:eastAsia="Arial Unicode MS"/>
              </w:rPr>
              <w:noBreakHyphen/>
              <w:t>os csökkenése, és a rectalis vérzés alpontszámának [rectal bleeding subscore; RBS] ≥1 csökkenése vagy az abszolút RBS</w:t>
            </w:r>
            <w:r w:rsidRPr="00183B5F">
              <w:rPr>
                <w:rFonts w:eastAsia="Arial Unicode MS"/>
              </w:rPr>
              <w:noBreakHyphen/>
              <w:t>érték 0 vagy 1;</w:t>
            </w:r>
          </w:p>
          <w:p w14:paraId="4B6600BA" w14:textId="77777777" w:rsidR="00764497" w:rsidRPr="00183B5F" w:rsidRDefault="00943743" w:rsidP="004062FE">
            <w:pPr>
              <w:spacing w:line="240" w:lineRule="auto"/>
              <w:rPr>
                <w:rFonts w:eastAsia="Arial Unicode MS"/>
              </w:rPr>
            </w:pPr>
            <w:r w:rsidRPr="00183B5F">
              <w:rPr>
                <w:rStyle w:val="sup1"/>
                <w:rFonts w:eastAsia="Arial Unicode MS"/>
                <w:sz w:val="22"/>
                <w:vertAlign w:val="superscript"/>
              </w:rPr>
              <w:t>*</w:t>
            </w:r>
            <w:r w:rsidRPr="00183B5F">
              <w:rPr>
                <w:rFonts w:eastAsia="Arial Unicode MS"/>
              </w:rPr>
              <w:t>p &lt; 0,05 Humira</w:t>
            </w:r>
            <w:r w:rsidRPr="00183B5F">
              <w:rPr>
                <w:rFonts w:eastAsia="Arial Unicode MS"/>
                <w:i/>
              </w:rPr>
              <w:noBreakHyphen/>
            </w:r>
            <w:r w:rsidRPr="00183B5F">
              <w:rPr>
                <w:rStyle w:val="italics5"/>
                <w:i w:val="0"/>
              </w:rPr>
              <w:t>val</w:t>
            </w:r>
            <w:r w:rsidRPr="00183B5F">
              <w:rPr>
                <w:rStyle w:val="italics5"/>
                <w:rFonts w:eastAsia="Arial Unicode MS"/>
                <w:i w:val="0"/>
              </w:rPr>
              <w:t xml:space="preserve"> versus</w:t>
            </w:r>
            <w:r w:rsidRPr="00183B5F">
              <w:rPr>
                <w:szCs w:val="22"/>
              </w:rPr>
              <w:t xml:space="preserve"> </w:t>
            </w:r>
            <w:r w:rsidRPr="00183B5F">
              <w:rPr>
                <w:rFonts w:eastAsia="Arial Unicode MS"/>
              </w:rPr>
              <w:t>placebóval kezelt csoportokban regisztrált részarányok páronkénti összehasonlítása</w:t>
            </w:r>
          </w:p>
          <w:p w14:paraId="2336B5F7" w14:textId="77777777" w:rsidR="00764497" w:rsidRPr="00183B5F" w:rsidRDefault="00943743" w:rsidP="004062FE">
            <w:pPr>
              <w:spacing w:line="240" w:lineRule="auto"/>
              <w:rPr>
                <w:rFonts w:eastAsia="Arial Unicode MS"/>
              </w:rPr>
            </w:pPr>
            <w:r w:rsidRPr="00183B5F">
              <w:rPr>
                <w:rFonts w:eastAsia="Arial Unicode MS"/>
              </w:rPr>
              <w:t>**p &lt; 0,001 Humira</w:t>
            </w:r>
            <w:r w:rsidRPr="00183B5F">
              <w:rPr>
                <w:rFonts w:eastAsia="Arial Unicode MS"/>
              </w:rPr>
              <w:noBreakHyphen/>
            </w:r>
            <w:r w:rsidRPr="00183B5F">
              <w:rPr>
                <w:rStyle w:val="italics5"/>
                <w:i w:val="0"/>
              </w:rPr>
              <w:t>val</w:t>
            </w:r>
            <w:r w:rsidRPr="00183B5F">
              <w:rPr>
                <w:rStyle w:val="italics5"/>
                <w:rFonts w:eastAsia="Arial Unicode MS"/>
                <w:i w:val="0"/>
              </w:rPr>
              <w:t xml:space="preserve"> versus</w:t>
            </w:r>
            <w:r w:rsidRPr="00183B5F">
              <w:rPr>
                <w:szCs w:val="22"/>
              </w:rPr>
              <w:t xml:space="preserve"> </w:t>
            </w:r>
            <w:r w:rsidRPr="00183B5F">
              <w:rPr>
                <w:rFonts w:eastAsia="Arial Unicode MS"/>
              </w:rPr>
              <w:t>placebóval kezelt csoportokban regisztrált részarányok páronkénti összehasonlítása</w:t>
            </w:r>
          </w:p>
          <w:p w14:paraId="04EF88C5" w14:textId="77777777" w:rsidR="00764497" w:rsidRPr="00183B5F" w:rsidRDefault="00943743" w:rsidP="004062FE">
            <w:pPr>
              <w:spacing w:line="240" w:lineRule="auto"/>
              <w:rPr>
                <w:rFonts w:eastAsia="Arial Unicode MS"/>
                <w:b/>
              </w:rPr>
            </w:pPr>
            <w:r w:rsidRPr="00183B5F">
              <w:rPr>
                <w:vertAlign w:val="superscript"/>
              </w:rPr>
              <w:t>a </w:t>
            </w:r>
            <w:r w:rsidRPr="00183B5F">
              <w:t>Azok közül a betegek közül, akik a vizsgálat megkezdésekor kortikoszteroidot kaptak</w:t>
            </w:r>
          </w:p>
        </w:tc>
      </w:tr>
    </w:tbl>
    <w:p w14:paraId="6CED7952" w14:textId="77777777" w:rsidR="00764497" w:rsidRPr="00183B5F" w:rsidRDefault="00764497" w:rsidP="004062FE">
      <w:pPr>
        <w:spacing w:line="240" w:lineRule="auto"/>
      </w:pPr>
    </w:p>
    <w:p w14:paraId="6D543998" w14:textId="77777777" w:rsidR="00764497" w:rsidRPr="00183B5F" w:rsidRDefault="00943743" w:rsidP="004062FE">
      <w:pPr>
        <w:spacing w:line="240" w:lineRule="auto"/>
      </w:pPr>
      <w:r w:rsidRPr="00183B5F">
        <w:t>Azok közül a betegek közül, akiknél kialakult a válasz a 8. hétig, az 52. hétig 47%</w:t>
      </w:r>
      <w:r w:rsidRPr="00183B5F">
        <w:noBreakHyphen/>
        <w:t>nál alakult ki válasz, 29% remisszióban volt, 41%</w:t>
      </w:r>
      <w:r w:rsidRPr="00183B5F">
        <w:noBreakHyphen/>
        <w:t>nál tapasztaltak nyálkahártya gyógyulást, és 20% volt legalább 90 napja szteroidmentes remisszióban.</w:t>
      </w:r>
    </w:p>
    <w:p w14:paraId="53327155" w14:textId="77777777" w:rsidR="00764497" w:rsidRPr="00183B5F" w:rsidRDefault="00764497" w:rsidP="004062FE">
      <w:pPr>
        <w:spacing w:line="240" w:lineRule="auto"/>
      </w:pPr>
    </w:p>
    <w:p w14:paraId="5132A01F" w14:textId="77777777" w:rsidR="00764497" w:rsidRPr="00183B5F" w:rsidRDefault="00943743" w:rsidP="004062FE">
      <w:pPr>
        <w:spacing w:line="240" w:lineRule="auto"/>
      </w:pPr>
      <w:r w:rsidRPr="00183B5F">
        <w:t>Az UC</w:t>
      </w:r>
      <w:r w:rsidRPr="00183B5F">
        <w:noBreakHyphen/>
        <w:t>II vizsgálatban résztvevő betegek kb. 40%</w:t>
      </w:r>
      <w:r w:rsidRPr="00183B5F">
        <w:noBreakHyphen/>
        <w:t>ánál a korábbi TNF</w:t>
      </w:r>
      <w:r w:rsidRPr="00183B5F">
        <w:noBreakHyphen/>
        <w:t>elleni kezelés (infliximab) eredménytelen volt. Ezen betegeknél az adalimumab</w:t>
      </w:r>
      <w:r w:rsidR="006B34D6" w:rsidRPr="00183B5F">
        <w:t>-</w:t>
      </w:r>
      <w:r w:rsidRPr="00183B5F">
        <w:t>kezelés kevésbé volt hatékony, mint a korábban TNF</w:t>
      </w:r>
      <w:r w:rsidRPr="00183B5F">
        <w:noBreakHyphen/>
        <w:t>elleni kezelésben nem részesült betegek esetében. Azoknál a betegeknél, akiknél a korábbi TNF</w:t>
      </w:r>
      <w:r w:rsidRPr="00183B5F">
        <w:noBreakHyphen/>
        <w:t>elleni kezelés eredménytelen volt, az 52. hétre a placebót kapók 3%</w:t>
      </w:r>
      <w:r w:rsidRPr="00183B5F">
        <w:noBreakHyphen/>
        <w:t>a, az adalimumab</w:t>
      </w:r>
      <w:r w:rsidR="006B34D6" w:rsidRPr="00183B5F">
        <w:t>-</w:t>
      </w:r>
      <w:r w:rsidRPr="00183B5F">
        <w:t>kezelésben részesülők 10%</w:t>
      </w:r>
      <w:r w:rsidRPr="00183B5F">
        <w:noBreakHyphen/>
        <w:t>a ért el remissziót.</w:t>
      </w:r>
    </w:p>
    <w:p w14:paraId="1E35A1BA" w14:textId="77777777" w:rsidR="00764497" w:rsidRPr="00183B5F" w:rsidRDefault="00764497" w:rsidP="004062FE">
      <w:pPr>
        <w:spacing w:line="240" w:lineRule="auto"/>
      </w:pPr>
    </w:p>
    <w:p w14:paraId="0A8A1598" w14:textId="77777777" w:rsidR="00764497" w:rsidRPr="00183B5F" w:rsidRDefault="00943743" w:rsidP="004062FE">
      <w:pPr>
        <w:spacing w:line="240" w:lineRule="auto"/>
      </w:pPr>
      <w:r w:rsidRPr="00183B5F">
        <w:t>Az UC</w:t>
      </w:r>
      <w:r w:rsidRPr="00183B5F">
        <w:noBreakHyphen/>
        <w:t>I és UC</w:t>
      </w:r>
      <w:r w:rsidRPr="00183B5F">
        <w:noBreakHyphen/>
        <w:t>II vizsálatban résztvevő betegeknek lehetőségük volt átlépni egy nyílt, hosszú távú, kiterjesztéses vizsgálatba (UC</w:t>
      </w:r>
      <w:r w:rsidRPr="00183B5F">
        <w:noBreakHyphen/>
        <w:t>III). Három év adalimumab</w:t>
      </w:r>
      <w:r w:rsidRPr="00183B5F">
        <w:noBreakHyphen/>
        <w:t>kezelést követően a betegek 75%</w:t>
      </w:r>
      <w:r w:rsidRPr="00183B5F">
        <w:noBreakHyphen/>
        <w:t>a (301/402) maradt klinikai remisszióban a részleges Mayo pontszám alapján.</w:t>
      </w:r>
    </w:p>
    <w:p w14:paraId="6E6B2475" w14:textId="77777777" w:rsidR="00764497" w:rsidRPr="00183B5F" w:rsidRDefault="00764497" w:rsidP="004062FE">
      <w:pPr>
        <w:spacing w:line="240" w:lineRule="auto"/>
      </w:pPr>
    </w:p>
    <w:p w14:paraId="1F629E35" w14:textId="77777777" w:rsidR="00764497" w:rsidRPr="00183B5F" w:rsidRDefault="00943743" w:rsidP="002D49EE">
      <w:pPr>
        <w:keepNext/>
        <w:spacing w:line="240" w:lineRule="auto"/>
        <w:rPr>
          <w:i/>
          <w:u w:val="single"/>
        </w:rPr>
      </w:pPr>
      <w:r w:rsidRPr="00183B5F">
        <w:rPr>
          <w:i/>
          <w:u w:val="single"/>
        </w:rPr>
        <w:t>Hospitalizációs arányok</w:t>
      </w:r>
    </w:p>
    <w:p w14:paraId="255C1AEB" w14:textId="77777777" w:rsidR="00764497" w:rsidRPr="00183B5F" w:rsidRDefault="00764497" w:rsidP="002D49EE">
      <w:pPr>
        <w:keepNext/>
        <w:spacing w:line="240" w:lineRule="auto"/>
        <w:rPr>
          <w:szCs w:val="22"/>
        </w:rPr>
      </w:pPr>
    </w:p>
    <w:p w14:paraId="59815DAB" w14:textId="77777777" w:rsidR="00764497" w:rsidRPr="00183B5F" w:rsidRDefault="00943743" w:rsidP="004062FE">
      <w:pPr>
        <w:spacing w:line="240" w:lineRule="auto"/>
        <w:rPr>
          <w:szCs w:val="22"/>
        </w:rPr>
      </w:pPr>
      <w:r w:rsidRPr="00183B5F">
        <w:rPr>
          <w:szCs w:val="22"/>
        </w:rPr>
        <w:t>Az UC</w:t>
      </w:r>
      <w:r w:rsidRPr="00183B5F">
        <w:rPr>
          <w:szCs w:val="22"/>
        </w:rPr>
        <w:noBreakHyphen/>
        <w:t>I és UC</w:t>
      </w:r>
      <w:r w:rsidRPr="00183B5F">
        <w:rPr>
          <w:szCs w:val="22"/>
        </w:rPr>
        <w:noBreakHyphen/>
      </w:r>
      <w:r w:rsidRPr="00183B5F">
        <w:rPr>
          <w:szCs w:val="22"/>
        </w:rPr>
        <w:t>II vizsgálatok 52 hete alatt alacsonyabb hospitalizációs arányokat (bármely okból bekövetkező hospitalizációt és az UC</w:t>
      </w:r>
      <w:r w:rsidRPr="00183B5F">
        <w:rPr>
          <w:szCs w:val="22"/>
        </w:rPr>
        <w:noBreakHyphen/>
        <w:t>vel összefüggő hospitalizációt) figyeltek meg az adalimumab</w:t>
      </w:r>
      <w:r w:rsidRPr="00183B5F">
        <w:rPr>
          <w:szCs w:val="22"/>
        </w:rPr>
        <w:noBreakHyphen/>
        <w:t>kezelésben részesülő karon, mint a placebo</w:t>
      </w:r>
      <w:r w:rsidRPr="00183B5F">
        <w:rPr>
          <w:szCs w:val="22"/>
        </w:rPr>
        <w:noBreakHyphen/>
        <w:t>karon. Az adalimumab</w:t>
      </w:r>
      <w:r w:rsidR="006B34D6" w:rsidRPr="00183B5F">
        <w:rPr>
          <w:szCs w:val="22"/>
        </w:rPr>
        <w:t>-</w:t>
      </w:r>
      <w:r w:rsidRPr="00183B5F">
        <w:rPr>
          <w:szCs w:val="22"/>
        </w:rPr>
        <w:t>kezelési csoportban a bármely okból bekövetkező hospitalizáció értéke 0,18/betegév volt, ezzel szemben a placebocsoportban 0,26/betegév volt. Az UC</w:t>
      </w:r>
      <w:r w:rsidRPr="00183B5F">
        <w:rPr>
          <w:szCs w:val="22"/>
        </w:rPr>
        <w:noBreakHyphen/>
        <w:t>vel összefüggő hospitalizáció 0,12/betegév volt az adalimumab</w:t>
      </w:r>
      <w:r w:rsidR="006B34D6" w:rsidRPr="00183B5F">
        <w:rPr>
          <w:szCs w:val="22"/>
        </w:rPr>
        <w:t>-</w:t>
      </w:r>
      <w:r w:rsidRPr="00183B5F">
        <w:rPr>
          <w:szCs w:val="22"/>
        </w:rPr>
        <w:t>kezelési csoportban, és 0,22/betegév volt placebocsoportban</w:t>
      </w:r>
      <w:r w:rsidRPr="00183B5F">
        <w:rPr>
          <w:szCs w:val="22"/>
        </w:rPr>
        <w:t>.</w:t>
      </w:r>
    </w:p>
    <w:p w14:paraId="52F36115" w14:textId="77777777" w:rsidR="00764497" w:rsidRPr="00183B5F" w:rsidRDefault="00764497" w:rsidP="004062FE">
      <w:pPr>
        <w:spacing w:line="240" w:lineRule="auto"/>
        <w:rPr>
          <w:szCs w:val="22"/>
        </w:rPr>
      </w:pPr>
    </w:p>
    <w:p w14:paraId="5DE0350C" w14:textId="77777777" w:rsidR="00764497" w:rsidRPr="00183B5F" w:rsidRDefault="00943743" w:rsidP="004062FE">
      <w:pPr>
        <w:keepNext/>
        <w:spacing w:line="240" w:lineRule="auto"/>
        <w:rPr>
          <w:i/>
          <w:szCs w:val="22"/>
          <w:u w:val="single"/>
        </w:rPr>
      </w:pPr>
      <w:r w:rsidRPr="00183B5F">
        <w:rPr>
          <w:i/>
          <w:szCs w:val="22"/>
          <w:u w:val="single"/>
        </w:rPr>
        <w:t>Életminőség</w:t>
      </w:r>
    </w:p>
    <w:p w14:paraId="7D600611" w14:textId="77777777" w:rsidR="00764497" w:rsidRPr="00183B5F" w:rsidRDefault="00764497" w:rsidP="004062FE">
      <w:pPr>
        <w:keepNext/>
        <w:spacing w:line="240" w:lineRule="auto"/>
        <w:rPr>
          <w:szCs w:val="22"/>
        </w:rPr>
      </w:pPr>
    </w:p>
    <w:p w14:paraId="67D5ABEA" w14:textId="77777777" w:rsidR="00764497" w:rsidRPr="00183B5F" w:rsidRDefault="00943743" w:rsidP="004062FE">
      <w:pPr>
        <w:keepNext/>
        <w:spacing w:line="240" w:lineRule="auto"/>
        <w:rPr>
          <w:szCs w:val="22"/>
        </w:rPr>
      </w:pPr>
      <w:r w:rsidRPr="00183B5F">
        <w:rPr>
          <w:szCs w:val="22"/>
        </w:rPr>
        <w:t>Az UC</w:t>
      </w:r>
      <w:r w:rsidRPr="00183B5F">
        <w:rPr>
          <w:szCs w:val="22"/>
        </w:rPr>
        <w:noBreakHyphen/>
        <w:t>II vizsgálatban az adalimumab</w:t>
      </w:r>
      <w:r w:rsidRPr="00183B5F">
        <w:rPr>
          <w:szCs w:val="22"/>
        </w:rPr>
        <w:noBreakHyphen/>
      </w:r>
      <w:r w:rsidRPr="00183B5F">
        <w:rPr>
          <w:szCs w:val="22"/>
        </w:rPr>
        <w:t>kezelés a Gyulladásos Bélbetegség Kérdőív (Inflammatory Bowel Disease Questionnaire; IBDQ) pontszám javulását eredményezte.</w:t>
      </w:r>
    </w:p>
    <w:p w14:paraId="0B312606" w14:textId="77777777" w:rsidR="00764497" w:rsidRPr="00183B5F" w:rsidRDefault="00764497">
      <w:pPr>
        <w:pStyle w:val="EMEANormal"/>
        <w:keepNext/>
        <w:rPr>
          <w:bCs/>
          <w:i/>
          <w:szCs w:val="22"/>
          <w:lang w:val="hu-HU"/>
        </w:rPr>
      </w:pPr>
    </w:p>
    <w:p w14:paraId="778C6AE0" w14:textId="77777777" w:rsidR="00764497" w:rsidRPr="00183B5F" w:rsidRDefault="00943743">
      <w:pPr>
        <w:pStyle w:val="EMEANormal"/>
        <w:keepNext/>
        <w:rPr>
          <w:bCs/>
          <w:i/>
          <w:szCs w:val="22"/>
          <w:lang w:val="hu-HU"/>
        </w:rPr>
      </w:pPr>
      <w:r w:rsidRPr="00183B5F">
        <w:rPr>
          <w:bCs/>
          <w:i/>
          <w:szCs w:val="22"/>
          <w:lang w:val="hu-HU"/>
        </w:rPr>
        <w:t>Uveitis</w:t>
      </w:r>
    </w:p>
    <w:p w14:paraId="60ED0424" w14:textId="77777777" w:rsidR="00764497" w:rsidRPr="00183B5F" w:rsidRDefault="00764497">
      <w:pPr>
        <w:pStyle w:val="EMEANormal"/>
        <w:keepNext/>
        <w:rPr>
          <w:bCs/>
          <w:szCs w:val="22"/>
          <w:lang w:val="hu-HU"/>
        </w:rPr>
      </w:pPr>
    </w:p>
    <w:p w14:paraId="7FC4C126" w14:textId="77777777" w:rsidR="00764497" w:rsidRPr="00183B5F" w:rsidRDefault="00943743">
      <w:pPr>
        <w:pStyle w:val="EMEANormal"/>
        <w:rPr>
          <w:szCs w:val="22"/>
          <w:lang w:val="hu-HU"/>
        </w:rPr>
      </w:pPr>
      <w:r w:rsidRPr="00183B5F">
        <w:rPr>
          <w:szCs w:val="22"/>
          <w:lang w:val="hu-HU"/>
        </w:rPr>
        <w:t xml:space="preserve">A Humira biztonságosságát és hatásosságát nem fertőzéses eredetű, intermedier, posterior és panuveitisben szenvedő felnőtt betegeknél (az izolált anterior uveitisben szenvedő betegek kizárásra kerültek), két randomizált, </w:t>
      </w:r>
      <w:r w:rsidR="00E5381A" w:rsidRPr="00183B5F">
        <w:rPr>
          <w:szCs w:val="22"/>
          <w:lang w:val="hu-HU"/>
        </w:rPr>
        <w:t>kettős vak</w:t>
      </w:r>
      <w:r w:rsidRPr="00183B5F">
        <w:rPr>
          <w:szCs w:val="22"/>
          <w:lang w:val="hu-HU"/>
        </w:rPr>
        <w:t>, placebokontrollos vizsgálatban (UV I és II) értékelték. A betegek vagy placebót vagy 80 mg Humira</w:t>
      </w:r>
      <w:r w:rsidRPr="00183B5F">
        <w:rPr>
          <w:szCs w:val="22"/>
          <w:lang w:val="hu-HU"/>
        </w:rPr>
        <w:noBreakHyphen/>
        <w:t>t kaptak kezdő dózisként, melyet a kezdő dózis beadásától számított egy hét múlva minden második héten adott 40 mg Humira követett. Egy nem biológiai immunszuppresszív szer állandó dózisban történő együttes alkalmazása megengedett volt.</w:t>
      </w:r>
    </w:p>
    <w:p w14:paraId="3A32DA79" w14:textId="77777777" w:rsidR="00764497" w:rsidRPr="00183B5F" w:rsidRDefault="00764497">
      <w:pPr>
        <w:pStyle w:val="EMEANormal"/>
        <w:rPr>
          <w:szCs w:val="22"/>
          <w:lang w:val="hu-HU"/>
        </w:rPr>
      </w:pPr>
    </w:p>
    <w:p w14:paraId="4BF41D9C" w14:textId="77777777" w:rsidR="00764497" w:rsidRPr="00183B5F" w:rsidRDefault="00943743">
      <w:pPr>
        <w:pStyle w:val="EMEANormal"/>
        <w:rPr>
          <w:szCs w:val="22"/>
          <w:lang w:val="hu-HU"/>
        </w:rPr>
      </w:pPr>
      <w:r w:rsidRPr="00183B5F">
        <w:rPr>
          <w:szCs w:val="22"/>
          <w:lang w:val="hu-HU"/>
        </w:rPr>
        <w:t>Az UV I vizsgálatban 217, kortikoszteroid</w:t>
      </w:r>
      <w:r w:rsidR="009F6211" w:rsidRPr="00183B5F">
        <w:rPr>
          <w:szCs w:val="22"/>
          <w:lang w:val="hu-HU"/>
        </w:rPr>
        <w:t>-</w:t>
      </w:r>
      <w:r w:rsidRPr="00183B5F">
        <w:rPr>
          <w:szCs w:val="22"/>
          <w:lang w:val="hu-HU"/>
        </w:rPr>
        <w:t>kezelés (napi 10</w:t>
      </w:r>
      <w:r w:rsidRPr="00183B5F">
        <w:rPr>
          <w:szCs w:val="22"/>
          <w:lang w:val="hu-HU"/>
        </w:rPr>
        <w:noBreakHyphen/>
        <w:t>60 mg prednizon</w:t>
      </w:r>
      <w:r w:rsidRPr="00183B5F">
        <w:rPr>
          <w:i/>
          <w:szCs w:val="22"/>
          <w:lang w:val="hu-HU"/>
        </w:rPr>
        <w:t xml:space="preserve"> per os</w:t>
      </w:r>
      <w:r w:rsidRPr="00183B5F">
        <w:rPr>
          <w:szCs w:val="22"/>
          <w:lang w:val="hu-HU"/>
        </w:rPr>
        <w:t xml:space="preserve">) ellenére aktív uveitisben szenvedő beteget értékeltek. Minden beteg két hétig napi 60 mg prednizont kapott a vizsgálat kezdetekor, melyet kötelező fokozatos dóziscsökkentés követett, ami a 15. hétig a kortikoszteroid teljes elhagyásával fejeződött be. </w:t>
      </w:r>
    </w:p>
    <w:p w14:paraId="6F20D8B7" w14:textId="77777777" w:rsidR="00764497" w:rsidRPr="00183B5F" w:rsidRDefault="00764497">
      <w:pPr>
        <w:pStyle w:val="EMEANormal"/>
        <w:rPr>
          <w:szCs w:val="22"/>
          <w:lang w:val="hu-HU"/>
        </w:rPr>
      </w:pPr>
    </w:p>
    <w:p w14:paraId="5A26C5A9" w14:textId="77777777" w:rsidR="00764497" w:rsidRPr="00183B5F" w:rsidRDefault="00943743">
      <w:pPr>
        <w:pStyle w:val="EMEANormal"/>
        <w:rPr>
          <w:szCs w:val="22"/>
          <w:lang w:val="hu-HU"/>
        </w:rPr>
      </w:pPr>
      <w:r w:rsidRPr="00183B5F">
        <w:rPr>
          <w:szCs w:val="22"/>
          <w:lang w:val="hu-HU"/>
        </w:rPr>
        <w:t xml:space="preserve">Az UV II vizsgálatban 226, inaktív uveitisben szenvedő </w:t>
      </w:r>
      <w:r w:rsidR="00FE6A19" w:rsidRPr="00183B5F">
        <w:rPr>
          <w:szCs w:val="22"/>
          <w:lang w:val="hu-HU"/>
        </w:rPr>
        <w:t xml:space="preserve">olyan </w:t>
      </w:r>
      <w:r w:rsidRPr="00183B5F">
        <w:rPr>
          <w:szCs w:val="22"/>
          <w:lang w:val="hu-HU"/>
        </w:rPr>
        <w:t>beteget értékeltek, akik hosszú távú kortikoszteroid-kezelést (napi 10</w:t>
      </w:r>
      <w:r w:rsidRPr="00183B5F">
        <w:rPr>
          <w:szCs w:val="22"/>
          <w:lang w:val="hu-HU"/>
        </w:rPr>
        <w:noBreakHyphen/>
        <w:t>35 mg prednizon</w:t>
      </w:r>
      <w:r w:rsidRPr="00183B5F">
        <w:rPr>
          <w:i/>
          <w:szCs w:val="22"/>
          <w:lang w:val="hu-HU"/>
        </w:rPr>
        <w:t xml:space="preserve"> per os</w:t>
      </w:r>
      <w:r w:rsidRPr="00183B5F">
        <w:rPr>
          <w:szCs w:val="22"/>
          <w:lang w:val="hu-HU"/>
        </w:rPr>
        <w:t>) igényeltek a vizsgálat megkezdésekor betegségük egyensúlyban tartásához. A betegek később kötelező, fokozatos dózicsökkentésen estek át, ami a 19. hétig a kortikoszteroid teljes elhagyásával fejeződött be.</w:t>
      </w:r>
    </w:p>
    <w:p w14:paraId="1C79D4DD" w14:textId="77777777" w:rsidR="00764497" w:rsidRPr="00183B5F" w:rsidRDefault="00764497">
      <w:pPr>
        <w:pStyle w:val="EMEANormal"/>
        <w:rPr>
          <w:szCs w:val="22"/>
          <w:lang w:val="hu-HU"/>
        </w:rPr>
      </w:pPr>
    </w:p>
    <w:p w14:paraId="08E7EE6A" w14:textId="77777777" w:rsidR="00764497" w:rsidRPr="00183B5F" w:rsidRDefault="00943743">
      <w:pPr>
        <w:pStyle w:val="EMEANormal"/>
        <w:rPr>
          <w:szCs w:val="22"/>
          <w:lang w:val="hu-HU"/>
        </w:rPr>
      </w:pPr>
      <w:r w:rsidRPr="00183B5F">
        <w:rPr>
          <w:szCs w:val="22"/>
          <w:lang w:val="hu-HU"/>
        </w:rPr>
        <w:t>Az elsődleges hatásossági végpont mindkét vizsgálatban a „kezelés eredménytelenség</w:t>
      </w:r>
      <w:r w:rsidR="005A1C18" w:rsidRPr="00183B5F">
        <w:rPr>
          <w:szCs w:val="22"/>
          <w:lang w:val="hu-HU"/>
        </w:rPr>
        <w:t xml:space="preserve">éig </w:t>
      </w:r>
      <w:r w:rsidRPr="00183B5F">
        <w:rPr>
          <w:szCs w:val="22"/>
          <w:lang w:val="hu-HU"/>
        </w:rPr>
        <w:t>e</w:t>
      </w:r>
      <w:r w:rsidR="005A1C18" w:rsidRPr="00183B5F">
        <w:rPr>
          <w:szCs w:val="22"/>
          <w:lang w:val="hu-HU"/>
        </w:rPr>
        <w:t>ltelt idő</w:t>
      </w:r>
      <w:r w:rsidRPr="00183B5F">
        <w:rPr>
          <w:szCs w:val="22"/>
          <w:lang w:val="hu-HU"/>
        </w:rPr>
        <w:t>” volt. A kezelés eredménytelensége definíció szerint egy többkomponensű kimenetel, mely az alábbi komponensekből tevődött össze: gyulladásos chorioretinalis és/vagy gyulladásos retinalis vascularis léziók, elülső csarnoki sejtszint, üvegtesti homály mértéke és a legjobb korrigált látásélesség.</w:t>
      </w:r>
    </w:p>
    <w:p w14:paraId="44B220F7" w14:textId="77777777" w:rsidR="00764497" w:rsidRPr="00183B5F" w:rsidRDefault="00764497">
      <w:pPr>
        <w:pStyle w:val="EMEANormal"/>
        <w:rPr>
          <w:szCs w:val="22"/>
          <w:lang w:val="hu-HU"/>
        </w:rPr>
      </w:pPr>
    </w:p>
    <w:p w14:paraId="00A77003" w14:textId="77777777" w:rsidR="006E6466" w:rsidRPr="00183B5F" w:rsidRDefault="00943743" w:rsidP="006E6466">
      <w:pPr>
        <w:pStyle w:val="EMEANormal"/>
        <w:rPr>
          <w:lang w:val="hu-HU"/>
        </w:rPr>
      </w:pPr>
      <w:r w:rsidRPr="00183B5F">
        <w:rPr>
          <w:szCs w:val="22"/>
          <w:lang w:val="hu-HU"/>
        </w:rPr>
        <w:t>Az UV I és az UV II vizsgálatot befejező betegek alkalmasak voltak egy nem kontrollos, hosszú távú, kiterjesztéses vizsgálatba való beválasztásra, melyet eredetileg 78 hetesre terveztek. A betegek a 78. héten túl is kaphatták a vizsgálati gyógyszert, egészen addig, amíg jogosulttá váltak a Humira</w:t>
      </w:r>
      <w:r w:rsidRPr="00183B5F">
        <w:rPr>
          <w:szCs w:val="22"/>
          <w:lang w:val="hu-HU"/>
        </w:rPr>
        <w:noBreakHyphen/>
        <w:t>ellátásra.</w:t>
      </w:r>
    </w:p>
    <w:p w14:paraId="3280D31F" w14:textId="77777777" w:rsidR="006E6466" w:rsidRPr="00183B5F" w:rsidRDefault="006E6466">
      <w:pPr>
        <w:pStyle w:val="EMEANormal"/>
        <w:rPr>
          <w:szCs w:val="22"/>
          <w:lang w:val="hu-HU"/>
        </w:rPr>
      </w:pPr>
    </w:p>
    <w:p w14:paraId="1330104D" w14:textId="77777777" w:rsidR="00764497" w:rsidRPr="00183B5F" w:rsidRDefault="00943743">
      <w:pPr>
        <w:pStyle w:val="EMEANormal"/>
        <w:rPr>
          <w:i/>
          <w:szCs w:val="22"/>
          <w:u w:val="single"/>
          <w:lang w:val="hu-HU"/>
        </w:rPr>
      </w:pPr>
      <w:r w:rsidRPr="00183B5F">
        <w:rPr>
          <w:i/>
          <w:szCs w:val="22"/>
          <w:u w:val="single"/>
          <w:lang w:val="hu-HU"/>
        </w:rPr>
        <w:t>Klinikai válasz</w:t>
      </w:r>
    </w:p>
    <w:p w14:paraId="35EE1641" w14:textId="77777777" w:rsidR="00764497" w:rsidRPr="00183B5F" w:rsidRDefault="00764497">
      <w:pPr>
        <w:pStyle w:val="EMEANormal"/>
        <w:rPr>
          <w:i/>
          <w:szCs w:val="22"/>
          <w:u w:val="single"/>
          <w:lang w:val="hu-HU"/>
        </w:rPr>
      </w:pPr>
    </w:p>
    <w:p w14:paraId="09D88742" w14:textId="77777777" w:rsidR="00764497" w:rsidRPr="00183B5F" w:rsidRDefault="00943743">
      <w:pPr>
        <w:pStyle w:val="EMEANormal"/>
        <w:rPr>
          <w:szCs w:val="22"/>
          <w:lang w:val="hu-HU"/>
        </w:rPr>
      </w:pPr>
      <w:r w:rsidRPr="00183B5F">
        <w:rPr>
          <w:szCs w:val="22"/>
          <w:lang w:val="hu-HU"/>
        </w:rPr>
        <w:t>Mindkét vizsgálat eredményei a kezelés eredménytelensége kockázatának a statisztikailag szignifikáns csökkenését igazolták a Humira</w:t>
      </w:r>
      <w:r w:rsidRPr="00183B5F">
        <w:rPr>
          <w:szCs w:val="22"/>
          <w:lang w:val="hu-HU"/>
        </w:rPr>
        <w:noBreakHyphen/>
        <w:t>val kezelt betegeknél, a placebóval k</w:t>
      </w:r>
      <w:r w:rsidR="006F0C61" w:rsidRPr="00183B5F">
        <w:rPr>
          <w:szCs w:val="22"/>
          <w:lang w:val="hu-HU"/>
        </w:rPr>
        <w:t xml:space="preserve">ezelt betegekhez képest (lásd </w:t>
      </w:r>
      <w:r w:rsidR="00B804FE" w:rsidRPr="00183B5F">
        <w:rPr>
          <w:szCs w:val="22"/>
          <w:lang w:val="hu-HU"/>
        </w:rPr>
        <w:t>17</w:t>
      </w:r>
      <w:r w:rsidRPr="00183B5F">
        <w:rPr>
          <w:szCs w:val="22"/>
          <w:lang w:val="hu-HU"/>
        </w:rPr>
        <w:t>. táblázat). A kezelés eredménytelenségének arányát tekintve mindkét vizsgálat kimutatta a Humira korai és fenntartott hatását a placebóval szemben (lásd 1. ábra).</w:t>
      </w:r>
    </w:p>
    <w:p w14:paraId="52C99D48" w14:textId="77777777" w:rsidR="00764497" w:rsidRPr="00183B5F" w:rsidRDefault="00764497">
      <w:pPr>
        <w:pStyle w:val="EMEANormal"/>
        <w:rPr>
          <w:b/>
          <w:szCs w:val="22"/>
          <w:lang w:val="hu-HU"/>
        </w:rPr>
      </w:pPr>
    </w:p>
    <w:p w14:paraId="1BA3B6BD" w14:textId="77777777" w:rsidR="00764497" w:rsidRPr="00183B5F" w:rsidRDefault="00943743">
      <w:pPr>
        <w:pStyle w:val="EMEANormal"/>
        <w:keepNext/>
        <w:jc w:val="center"/>
        <w:rPr>
          <w:b/>
          <w:szCs w:val="22"/>
          <w:lang w:val="hu-HU"/>
        </w:rPr>
      </w:pPr>
      <w:r w:rsidRPr="00183B5F">
        <w:rPr>
          <w:b/>
          <w:szCs w:val="22"/>
          <w:lang w:val="hu-HU"/>
        </w:rPr>
        <w:t xml:space="preserve">17. táblázat </w:t>
      </w:r>
    </w:p>
    <w:p w14:paraId="72A6337E" w14:textId="77777777" w:rsidR="00764497" w:rsidRPr="00183B5F" w:rsidRDefault="00943743">
      <w:pPr>
        <w:pStyle w:val="EMEANormal"/>
        <w:keepNext/>
        <w:jc w:val="center"/>
        <w:rPr>
          <w:b/>
          <w:szCs w:val="22"/>
          <w:lang w:val="hu-HU"/>
        </w:rPr>
      </w:pPr>
      <w:r w:rsidRPr="00183B5F">
        <w:rPr>
          <w:b/>
          <w:szCs w:val="22"/>
          <w:lang w:val="hu-HU"/>
        </w:rPr>
        <w:t>A kezelés eredménytelenségéig eltelt idő az UV I és UV II vizsgálatban</w:t>
      </w:r>
    </w:p>
    <w:p w14:paraId="6D1269DF" w14:textId="77777777" w:rsidR="00764497" w:rsidRPr="00183B5F" w:rsidRDefault="00764497">
      <w:pPr>
        <w:pStyle w:val="EMEANormal"/>
        <w:keepNext/>
        <w:jc w:val="center"/>
        <w:rPr>
          <w:b/>
          <w:szCs w:val="22"/>
          <w:lang w:val="hu-HU"/>
        </w:rPr>
      </w:pPr>
    </w:p>
    <w:tbl>
      <w:tblPr>
        <w:tblW w:w="0" w:type="auto"/>
        <w:tblBorders>
          <w:top w:val="single" w:sz="4" w:space="0" w:color="auto"/>
          <w:bottom w:val="single" w:sz="4" w:space="0" w:color="auto"/>
        </w:tblBorders>
        <w:tblLook w:val="04A0" w:firstRow="1" w:lastRow="0" w:firstColumn="1" w:lastColumn="0" w:noHBand="0" w:noVBand="1"/>
      </w:tblPr>
      <w:tblGrid>
        <w:gridCol w:w="2197"/>
        <w:gridCol w:w="684"/>
        <w:gridCol w:w="1267"/>
        <w:gridCol w:w="1854"/>
        <w:gridCol w:w="946"/>
        <w:gridCol w:w="1078"/>
        <w:gridCol w:w="1045"/>
      </w:tblGrid>
      <w:tr w:rsidR="00011D2F" w14:paraId="760AF2CC" w14:textId="77777777" w:rsidTr="00764497">
        <w:tc>
          <w:tcPr>
            <w:tcW w:w="2268" w:type="dxa"/>
            <w:tcBorders>
              <w:top w:val="single" w:sz="4" w:space="0" w:color="auto"/>
              <w:bottom w:val="single" w:sz="4" w:space="0" w:color="auto"/>
            </w:tcBorders>
          </w:tcPr>
          <w:p w14:paraId="76748F03" w14:textId="77777777" w:rsidR="00764497" w:rsidRPr="00183B5F" w:rsidRDefault="00943743">
            <w:pPr>
              <w:pStyle w:val="EMEANormal"/>
              <w:keepNext/>
              <w:rPr>
                <w:b/>
                <w:szCs w:val="22"/>
                <w:lang w:val="hu-HU"/>
              </w:rPr>
            </w:pPr>
            <w:r w:rsidRPr="00183B5F">
              <w:rPr>
                <w:b/>
                <w:szCs w:val="22"/>
                <w:lang w:val="hu-HU"/>
              </w:rPr>
              <w:t>Elemzés</w:t>
            </w:r>
          </w:p>
          <w:p w14:paraId="709F61CB" w14:textId="77777777" w:rsidR="00764497" w:rsidRPr="00183B5F" w:rsidRDefault="00943743">
            <w:pPr>
              <w:pStyle w:val="EMEANormal"/>
              <w:keepNext/>
              <w:rPr>
                <w:b/>
                <w:szCs w:val="22"/>
                <w:lang w:val="hu-HU"/>
              </w:rPr>
            </w:pPr>
            <w:r w:rsidRPr="00183B5F">
              <w:rPr>
                <w:b/>
                <w:szCs w:val="22"/>
                <w:lang w:val="hu-HU"/>
              </w:rPr>
              <w:tab/>
              <w:t>Kezelés</w:t>
            </w:r>
          </w:p>
        </w:tc>
        <w:tc>
          <w:tcPr>
            <w:tcW w:w="720" w:type="dxa"/>
            <w:tcBorders>
              <w:top w:val="single" w:sz="4" w:space="0" w:color="auto"/>
              <w:bottom w:val="single" w:sz="4" w:space="0" w:color="auto"/>
            </w:tcBorders>
          </w:tcPr>
          <w:p w14:paraId="2D77A4C1" w14:textId="77777777" w:rsidR="00764497" w:rsidRPr="00183B5F" w:rsidRDefault="00943743">
            <w:pPr>
              <w:pStyle w:val="EMEANormal"/>
              <w:keepNext/>
              <w:rPr>
                <w:b/>
                <w:szCs w:val="22"/>
                <w:lang w:val="hu-HU"/>
              </w:rPr>
            </w:pPr>
            <w:r w:rsidRPr="00183B5F">
              <w:rPr>
                <w:b/>
                <w:szCs w:val="22"/>
                <w:lang w:val="hu-HU"/>
              </w:rPr>
              <w:t>N</w:t>
            </w:r>
          </w:p>
        </w:tc>
        <w:tc>
          <w:tcPr>
            <w:tcW w:w="1170" w:type="dxa"/>
            <w:tcBorders>
              <w:top w:val="single" w:sz="4" w:space="0" w:color="auto"/>
              <w:bottom w:val="single" w:sz="4" w:space="0" w:color="auto"/>
            </w:tcBorders>
          </w:tcPr>
          <w:p w14:paraId="61F84B44" w14:textId="77777777" w:rsidR="00764497" w:rsidRPr="00183B5F" w:rsidRDefault="00943743">
            <w:pPr>
              <w:pStyle w:val="EMEANormal"/>
              <w:keepNext/>
              <w:rPr>
                <w:b/>
                <w:szCs w:val="22"/>
                <w:lang w:val="hu-HU"/>
              </w:rPr>
            </w:pPr>
            <w:r w:rsidRPr="00183B5F">
              <w:rPr>
                <w:b/>
                <w:szCs w:val="22"/>
                <w:lang w:val="hu-HU"/>
              </w:rPr>
              <w:t>Eredmény-telenség</w:t>
            </w:r>
            <w:r w:rsidRPr="00183B5F">
              <w:rPr>
                <w:b/>
                <w:szCs w:val="22"/>
                <w:lang w:val="hu-HU"/>
              </w:rPr>
              <w:br/>
              <w:t>N (%)</w:t>
            </w:r>
          </w:p>
        </w:tc>
        <w:tc>
          <w:tcPr>
            <w:tcW w:w="1890" w:type="dxa"/>
            <w:tcBorders>
              <w:top w:val="single" w:sz="4" w:space="0" w:color="auto"/>
              <w:bottom w:val="single" w:sz="4" w:space="0" w:color="auto"/>
            </w:tcBorders>
          </w:tcPr>
          <w:p w14:paraId="0D6C50AA" w14:textId="77777777" w:rsidR="00764497" w:rsidRPr="00183B5F" w:rsidRDefault="00943743">
            <w:pPr>
              <w:pStyle w:val="EMEANormal"/>
              <w:keepNext/>
              <w:rPr>
                <w:b/>
                <w:szCs w:val="22"/>
                <w:lang w:val="hu-HU"/>
              </w:rPr>
            </w:pPr>
            <w:r w:rsidRPr="00183B5F">
              <w:rPr>
                <w:b/>
                <w:szCs w:val="22"/>
                <w:lang w:val="hu-HU"/>
              </w:rPr>
              <w:t xml:space="preserve">Eredménytelen-ségig eltelt idő </w:t>
            </w:r>
            <w:r w:rsidR="00277A29" w:rsidRPr="00183B5F">
              <w:rPr>
                <w:b/>
                <w:szCs w:val="22"/>
                <w:lang w:val="hu-HU"/>
              </w:rPr>
              <w:t>mediánja</w:t>
            </w:r>
            <w:r w:rsidRPr="00183B5F">
              <w:rPr>
                <w:b/>
                <w:szCs w:val="22"/>
                <w:lang w:val="hu-HU"/>
              </w:rPr>
              <w:t xml:space="preserve"> (hónap)</w:t>
            </w:r>
          </w:p>
        </w:tc>
        <w:tc>
          <w:tcPr>
            <w:tcW w:w="720" w:type="dxa"/>
            <w:tcBorders>
              <w:top w:val="single" w:sz="4" w:space="0" w:color="auto"/>
              <w:bottom w:val="single" w:sz="4" w:space="0" w:color="auto"/>
            </w:tcBorders>
          </w:tcPr>
          <w:p w14:paraId="0F5F3EE3" w14:textId="77777777" w:rsidR="00764497" w:rsidRPr="00183B5F" w:rsidRDefault="00943743">
            <w:pPr>
              <w:pStyle w:val="EMEANormal"/>
              <w:keepNext/>
              <w:rPr>
                <w:b/>
                <w:szCs w:val="22"/>
                <w:lang w:val="hu-HU"/>
              </w:rPr>
            </w:pPr>
            <w:r w:rsidRPr="00183B5F">
              <w:rPr>
                <w:b/>
                <w:szCs w:val="22"/>
                <w:lang w:val="hu-HU"/>
              </w:rPr>
              <w:t>Relatív</w:t>
            </w:r>
          </w:p>
          <w:p w14:paraId="53FC359F" w14:textId="77777777" w:rsidR="00764497" w:rsidRPr="00183B5F" w:rsidRDefault="00943743">
            <w:pPr>
              <w:pStyle w:val="EMEANormal"/>
              <w:keepNext/>
              <w:rPr>
                <w:b/>
                <w:szCs w:val="22"/>
                <w:lang w:val="hu-HU"/>
              </w:rPr>
            </w:pPr>
            <w:r w:rsidRPr="00183B5F">
              <w:rPr>
                <w:b/>
                <w:szCs w:val="22"/>
                <w:lang w:val="hu-HU"/>
              </w:rPr>
              <w:t>hazárd</w:t>
            </w:r>
            <w:r w:rsidRPr="00183B5F">
              <w:rPr>
                <w:b/>
                <w:szCs w:val="22"/>
                <w:vertAlign w:val="superscript"/>
                <w:lang w:val="hu-HU"/>
              </w:rPr>
              <w:t>a</w:t>
            </w:r>
            <w:r w:rsidRPr="00183B5F">
              <w:rPr>
                <w:b/>
                <w:szCs w:val="22"/>
                <w:lang w:val="hu-HU"/>
              </w:rPr>
              <w:t xml:space="preserve"> (HR)</w:t>
            </w:r>
          </w:p>
        </w:tc>
        <w:tc>
          <w:tcPr>
            <w:tcW w:w="1170" w:type="dxa"/>
            <w:tcBorders>
              <w:top w:val="single" w:sz="4" w:space="0" w:color="auto"/>
              <w:bottom w:val="single" w:sz="4" w:space="0" w:color="auto"/>
            </w:tcBorders>
          </w:tcPr>
          <w:p w14:paraId="0DA20695" w14:textId="77777777" w:rsidR="00764497" w:rsidRPr="00183B5F" w:rsidRDefault="00943743">
            <w:pPr>
              <w:pStyle w:val="EMEANormal"/>
              <w:keepNext/>
              <w:rPr>
                <w:b/>
                <w:szCs w:val="22"/>
                <w:lang w:val="hu-HU"/>
              </w:rPr>
            </w:pPr>
            <w:r w:rsidRPr="00183B5F">
              <w:rPr>
                <w:b/>
                <w:szCs w:val="22"/>
                <w:lang w:val="hu-HU"/>
              </w:rPr>
              <w:t>HR</w:t>
            </w:r>
            <w:r w:rsidRPr="00183B5F">
              <w:rPr>
                <w:b/>
                <w:szCs w:val="22"/>
                <w:vertAlign w:val="superscript"/>
                <w:lang w:val="hu-HU"/>
              </w:rPr>
              <w:t>a</w:t>
            </w:r>
            <w:r w:rsidRPr="00183B5F">
              <w:rPr>
                <w:b/>
                <w:szCs w:val="22"/>
                <w:lang w:val="hu-HU"/>
              </w:rPr>
              <w:t xml:space="preserve"> 95%-os CI</w:t>
            </w:r>
          </w:p>
        </w:tc>
        <w:tc>
          <w:tcPr>
            <w:tcW w:w="1080" w:type="dxa"/>
            <w:tcBorders>
              <w:top w:val="single" w:sz="4" w:space="0" w:color="auto"/>
              <w:bottom w:val="single" w:sz="4" w:space="0" w:color="auto"/>
            </w:tcBorders>
          </w:tcPr>
          <w:p w14:paraId="1BE3323C" w14:textId="77777777" w:rsidR="00764497" w:rsidRPr="00183B5F" w:rsidRDefault="00943743">
            <w:pPr>
              <w:pStyle w:val="EMEANormal"/>
              <w:keepNext/>
              <w:rPr>
                <w:b/>
                <w:szCs w:val="22"/>
                <w:lang w:val="hu-HU"/>
              </w:rPr>
            </w:pPr>
            <w:r w:rsidRPr="00183B5F">
              <w:rPr>
                <w:b/>
                <w:i/>
                <w:szCs w:val="22"/>
                <w:lang w:val="hu-HU"/>
              </w:rPr>
              <w:t>P</w:t>
            </w:r>
            <w:r w:rsidR="00277A29" w:rsidRPr="00183B5F">
              <w:rPr>
                <w:b/>
                <w:szCs w:val="22"/>
                <w:lang w:val="hu-HU"/>
              </w:rPr>
              <w:noBreakHyphen/>
            </w:r>
            <w:r w:rsidRPr="00183B5F">
              <w:rPr>
                <w:b/>
                <w:szCs w:val="22"/>
                <w:lang w:val="hu-HU"/>
              </w:rPr>
              <w:t>érték</w:t>
            </w:r>
            <w:r w:rsidRPr="00183B5F">
              <w:rPr>
                <w:szCs w:val="22"/>
                <w:vertAlign w:val="superscript"/>
                <w:lang w:val="hu-HU"/>
              </w:rPr>
              <w:t xml:space="preserve"> b</w:t>
            </w:r>
          </w:p>
        </w:tc>
      </w:tr>
      <w:tr w:rsidR="00011D2F" w14:paraId="41D54681" w14:textId="77777777" w:rsidTr="00764497">
        <w:tc>
          <w:tcPr>
            <w:tcW w:w="9018" w:type="dxa"/>
            <w:gridSpan w:val="7"/>
            <w:tcBorders>
              <w:top w:val="single" w:sz="4" w:space="0" w:color="auto"/>
              <w:bottom w:val="nil"/>
            </w:tcBorders>
          </w:tcPr>
          <w:p w14:paraId="1D11757F" w14:textId="77777777" w:rsidR="00764497" w:rsidRPr="00183B5F" w:rsidRDefault="00943743">
            <w:pPr>
              <w:pStyle w:val="EMEANormal"/>
              <w:keepNext/>
              <w:rPr>
                <w:b/>
                <w:szCs w:val="22"/>
                <w:lang w:val="hu-HU"/>
              </w:rPr>
            </w:pPr>
            <w:r w:rsidRPr="00183B5F">
              <w:rPr>
                <w:b/>
                <w:szCs w:val="22"/>
                <w:lang w:val="hu-HU"/>
              </w:rPr>
              <w:t>A kezelés eredménytelenségéig eltelt idő a 6. héten vagy azt követően az UV I vizsgálatban</w:t>
            </w:r>
          </w:p>
        </w:tc>
      </w:tr>
      <w:tr w:rsidR="00011D2F" w14:paraId="35B7C323" w14:textId="77777777" w:rsidTr="00764497">
        <w:tc>
          <w:tcPr>
            <w:tcW w:w="2988" w:type="dxa"/>
            <w:gridSpan w:val="2"/>
            <w:tcBorders>
              <w:top w:val="nil"/>
              <w:bottom w:val="nil"/>
            </w:tcBorders>
          </w:tcPr>
          <w:p w14:paraId="2DFE93A3" w14:textId="77777777" w:rsidR="00764497" w:rsidRPr="00183B5F" w:rsidRDefault="00943743">
            <w:pPr>
              <w:pStyle w:val="EMEANormal"/>
              <w:keepNext/>
              <w:rPr>
                <w:szCs w:val="22"/>
                <w:lang w:val="hu-HU"/>
              </w:rPr>
            </w:pPr>
            <w:r w:rsidRPr="00183B5F">
              <w:rPr>
                <w:szCs w:val="22"/>
                <w:lang w:val="hu-HU"/>
              </w:rPr>
              <w:t>Elsődleges elemzés (ITT)</w:t>
            </w:r>
          </w:p>
        </w:tc>
        <w:tc>
          <w:tcPr>
            <w:tcW w:w="1170" w:type="dxa"/>
            <w:tcBorders>
              <w:top w:val="nil"/>
              <w:bottom w:val="nil"/>
            </w:tcBorders>
          </w:tcPr>
          <w:p w14:paraId="1A72A6B7" w14:textId="77777777" w:rsidR="00764497" w:rsidRPr="00183B5F" w:rsidRDefault="00764497">
            <w:pPr>
              <w:pStyle w:val="EMEANormal"/>
              <w:keepNext/>
              <w:rPr>
                <w:szCs w:val="22"/>
                <w:lang w:val="hu-HU"/>
              </w:rPr>
            </w:pPr>
          </w:p>
        </w:tc>
        <w:tc>
          <w:tcPr>
            <w:tcW w:w="1890" w:type="dxa"/>
            <w:tcBorders>
              <w:top w:val="nil"/>
              <w:bottom w:val="nil"/>
            </w:tcBorders>
          </w:tcPr>
          <w:p w14:paraId="3B726D6F" w14:textId="77777777" w:rsidR="00764497" w:rsidRPr="00183B5F" w:rsidRDefault="00764497">
            <w:pPr>
              <w:pStyle w:val="EMEANormal"/>
              <w:keepNext/>
              <w:rPr>
                <w:szCs w:val="22"/>
                <w:lang w:val="hu-HU"/>
              </w:rPr>
            </w:pPr>
          </w:p>
        </w:tc>
        <w:tc>
          <w:tcPr>
            <w:tcW w:w="720" w:type="dxa"/>
            <w:tcBorders>
              <w:top w:val="nil"/>
              <w:bottom w:val="nil"/>
            </w:tcBorders>
          </w:tcPr>
          <w:p w14:paraId="2FDD0295" w14:textId="77777777" w:rsidR="00764497" w:rsidRPr="00183B5F" w:rsidRDefault="00764497">
            <w:pPr>
              <w:pStyle w:val="EMEANormal"/>
              <w:keepNext/>
              <w:rPr>
                <w:szCs w:val="22"/>
                <w:lang w:val="hu-HU"/>
              </w:rPr>
            </w:pPr>
          </w:p>
        </w:tc>
        <w:tc>
          <w:tcPr>
            <w:tcW w:w="1170" w:type="dxa"/>
            <w:tcBorders>
              <w:top w:val="nil"/>
              <w:bottom w:val="nil"/>
            </w:tcBorders>
          </w:tcPr>
          <w:p w14:paraId="4CB8DE01" w14:textId="77777777" w:rsidR="00764497" w:rsidRPr="00183B5F" w:rsidRDefault="00764497">
            <w:pPr>
              <w:pStyle w:val="EMEANormal"/>
              <w:keepNext/>
              <w:rPr>
                <w:szCs w:val="22"/>
                <w:lang w:val="hu-HU"/>
              </w:rPr>
            </w:pPr>
          </w:p>
        </w:tc>
        <w:tc>
          <w:tcPr>
            <w:tcW w:w="1080" w:type="dxa"/>
            <w:tcBorders>
              <w:top w:val="nil"/>
              <w:bottom w:val="nil"/>
            </w:tcBorders>
          </w:tcPr>
          <w:p w14:paraId="6B2997F7" w14:textId="77777777" w:rsidR="00764497" w:rsidRPr="00183B5F" w:rsidRDefault="00764497">
            <w:pPr>
              <w:pStyle w:val="EMEANormal"/>
              <w:keepNext/>
              <w:rPr>
                <w:szCs w:val="22"/>
                <w:lang w:val="hu-HU"/>
              </w:rPr>
            </w:pPr>
          </w:p>
        </w:tc>
      </w:tr>
      <w:tr w:rsidR="00011D2F" w14:paraId="04DE711D" w14:textId="77777777" w:rsidTr="00764497">
        <w:tc>
          <w:tcPr>
            <w:tcW w:w="2268" w:type="dxa"/>
            <w:tcBorders>
              <w:top w:val="nil"/>
              <w:bottom w:val="nil"/>
            </w:tcBorders>
          </w:tcPr>
          <w:p w14:paraId="65C5D879" w14:textId="77777777" w:rsidR="00764497" w:rsidRPr="00183B5F" w:rsidRDefault="00943743">
            <w:pPr>
              <w:pStyle w:val="EMEANormal"/>
              <w:keepNext/>
              <w:rPr>
                <w:szCs w:val="22"/>
                <w:lang w:val="hu-HU"/>
              </w:rPr>
            </w:pPr>
            <w:r w:rsidRPr="00183B5F">
              <w:rPr>
                <w:szCs w:val="22"/>
                <w:lang w:val="hu-HU"/>
              </w:rPr>
              <w:tab/>
              <w:t>Placebo</w:t>
            </w:r>
          </w:p>
        </w:tc>
        <w:tc>
          <w:tcPr>
            <w:tcW w:w="720" w:type="dxa"/>
            <w:tcBorders>
              <w:top w:val="nil"/>
              <w:bottom w:val="nil"/>
            </w:tcBorders>
          </w:tcPr>
          <w:p w14:paraId="720E9416" w14:textId="77777777" w:rsidR="00764497" w:rsidRPr="00183B5F" w:rsidRDefault="00943743">
            <w:pPr>
              <w:pStyle w:val="EMEANormal"/>
              <w:keepNext/>
              <w:rPr>
                <w:szCs w:val="22"/>
                <w:lang w:val="hu-HU"/>
              </w:rPr>
            </w:pPr>
            <w:r w:rsidRPr="00183B5F">
              <w:rPr>
                <w:szCs w:val="22"/>
                <w:lang w:val="hu-HU"/>
              </w:rPr>
              <w:t>107</w:t>
            </w:r>
          </w:p>
        </w:tc>
        <w:tc>
          <w:tcPr>
            <w:tcW w:w="1170" w:type="dxa"/>
            <w:tcBorders>
              <w:top w:val="nil"/>
              <w:bottom w:val="nil"/>
            </w:tcBorders>
          </w:tcPr>
          <w:p w14:paraId="3454130B" w14:textId="77777777" w:rsidR="00764497" w:rsidRPr="00183B5F" w:rsidRDefault="00943743">
            <w:pPr>
              <w:pStyle w:val="EMEANormal"/>
              <w:keepNext/>
              <w:rPr>
                <w:szCs w:val="22"/>
                <w:lang w:val="hu-HU"/>
              </w:rPr>
            </w:pPr>
            <w:r w:rsidRPr="00183B5F">
              <w:rPr>
                <w:szCs w:val="22"/>
                <w:lang w:val="hu-HU"/>
              </w:rPr>
              <w:t>84 (78,5)</w:t>
            </w:r>
          </w:p>
        </w:tc>
        <w:tc>
          <w:tcPr>
            <w:tcW w:w="1890" w:type="dxa"/>
            <w:tcBorders>
              <w:top w:val="nil"/>
              <w:bottom w:val="nil"/>
            </w:tcBorders>
          </w:tcPr>
          <w:p w14:paraId="186B5B00" w14:textId="77777777" w:rsidR="00764497" w:rsidRPr="00183B5F" w:rsidRDefault="00943743">
            <w:pPr>
              <w:pStyle w:val="EMEANormal"/>
              <w:keepNext/>
              <w:rPr>
                <w:szCs w:val="22"/>
                <w:lang w:val="hu-HU"/>
              </w:rPr>
            </w:pPr>
            <w:r w:rsidRPr="00183B5F">
              <w:rPr>
                <w:szCs w:val="22"/>
                <w:lang w:val="hu-HU"/>
              </w:rPr>
              <w:t>3,0</w:t>
            </w:r>
          </w:p>
        </w:tc>
        <w:tc>
          <w:tcPr>
            <w:tcW w:w="720" w:type="dxa"/>
            <w:tcBorders>
              <w:top w:val="nil"/>
              <w:bottom w:val="nil"/>
            </w:tcBorders>
          </w:tcPr>
          <w:p w14:paraId="698EC5D8" w14:textId="77777777" w:rsidR="00764497" w:rsidRPr="00183B5F" w:rsidRDefault="00943743">
            <w:pPr>
              <w:pStyle w:val="EMEANormal"/>
              <w:keepNext/>
              <w:rPr>
                <w:szCs w:val="22"/>
                <w:lang w:val="hu-HU"/>
              </w:rPr>
            </w:pPr>
            <w:r w:rsidRPr="00183B5F">
              <w:rPr>
                <w:szCs w:val="22"/>
                <w:lang w:val="hu-HU"/>
              </w:rPr>
              <w:t>--</w:t>
            </w:r>
          </w:p>
        </w:tc>
        <w:tc>
          <w:tcPr>
            <w:tcW w:w="1170" w:type="dxa"/>
            <w:tcBorders>
              <w:top w:val="nil"/>
              <w:bottom w:val="nil"/>
            </w:tcBorders>
          </w:tcPr>
          <w:p w14:paraId="2548EE2D" w14:textId="77777777" w:rsidR="00764497" w:rsidRPr="00183B5F" w:rsidRDefault="00943743">
            <w:pPr>
              <w:pStyle w:val="EMEANormal"/>
              <w:keepNext/>
              <w:rPr>
                <w:szCs w:val="22"/>
                <w:lang w:val="hu-HU"/>
              </w:rPr>
            </w:pPr>
            <w:r w:rsidRPr="00183B5F">
              <w:rPr>
                <w:szCs w:val="22"/>
                <w:lang w:val="hu-HU"/>
              </w:rPr>
              <w:t>--</w:t>
            </w:r>
          </w:p>
        </w:tc>
        <w:tc>
          <w:tcPr>
            <w:tcW w:w="1080" w:type="dxa"/>
            <w:tcBorders>
              <w:top w:val="nil"/>
              <w:bottom w:val="nil"/>
            </w:tcBorders>
          </w:tcPr>
          <w:p w14:paraId="79E5EDBD" w14:textId="77777777" w:rsidR="00764497" w:rsidRPr="00183B5F" w:rsidRDefault="00943743">
            <w:pPr>
              <w:pStyle w:val="EMEANormal"/>
              <w:keepNext/>
              <w:rPr>
                <w:szCs w:val="22"/>
                <w:lang w:val="hu-HU"/>
              </w:rPr>
            </w:pPr>
            <w:r w:rsidRPr="00183B5F">
              <w:rPr>
                <w:szCs w:val="22"/>
                <w:lang w:val="hu-HU"/>
              </w:rPr>
              <w:t>--</w:t>
            </w:r>
          </w:p>
        </w:tc>
      </w:tr>
      <w:tr w:rsidR="00011D2F" w14:paraId="603A9542" w14:textId="77777777" w:rsidTr="00764497">
        <w:tc>
          <w:tcPr>
            <w:tcW w:w="2268" w:type="dxa"/>
            <w:tcBorders>
              <w:top w:val="nil"/>
              <w:bottom w:val="single" w:sz="4" w:space="0" w:color="auto"/>
            </w:tcBorders>
          </w:tcPr>
          <w:p w14:paraId="64A605FA" w14:textId="77777777" w:rsidR="00764497" w:rsidRPr="00183B5F" w:rsidRDefault="00943743">
            <w:pPr>
              <w:pStyle w:val="EMEANormal"/>
              <w:keepNext/>
              <w:rPr>
                <w:szCs w:val="22"/>
                <w:lang w:val="hu-HU"/>
              </w:rPr>
            </w:pPr>
            <w:r w:rsidRPr="00183B5F">
              <w:rPr>
                <w:szCs w:val="22"/>
                <w:lang w:val="hu-HU"/>
              </w:rPr>
              <w:tab/>
              <w:t>Adalimumab</w:t>
            </w:r>
          </w:p>
        </w:tc>
        <w:tc>
          <w:tcPr>
            <w:tcW w:w="720" w:type="dxa"/>
            <w:tcBorders>
              <w:top w:val="nil"/>
              <w:bottom w:val="single" w:sz="4" w:space="0" w:color="auto"/>
            </w:tcBorders>
          </w:tcPr>
          <w:p w14:paraId="50403A9C" w14:textId="77777777" w:rsidR="00764497" w:rsidRPr="00183B5F" w:rsidRDefault="00943743">
            <w:pPr>
              <w:pStyle w:val="EMEANormal"/>
              <w:keepNext/>
              <w:rPr>
                <w:szCs w:val="22"/>
                <w:lang w:val="hu-HU"/>
              </w:rPr>
            </w:pPr>
            <w:r w:rsidRPr="00183B5F">
              <w:rPr>
                <w:szCs w:val="22"/>
                <w:lang w:val="hu-HU"/>
              </w:rPr>
              <w:t>110</w:t>
            </w:r>
          </w:p>
        </w:tc>
        <w:tc>
          <w:tcPr>
            <w:tcW w:w="1170" w:type="dxa"/>
            <w:tcBorders>
              <w:top w:val="nil"/>
              <w:bottom w:val="single" w:sz="4" w:space="0" w:color="auto"/>
            </w:tcBorders>
          </w:tcPr>
          <w:p w14:paraId="4B155700" w14:textId="77777777" w:rsidR="00764497" w:rsidRPr="00183B5F" w:rsidRDefault="00943743">
            <w:pPr>
              <w:pStyle w:val="EMEANormal"/>
              <w:keepNext/>
              <w:rPr>
                <w:szCs w:val="22"/>
                <w:lang w:val="hu-HU"/>
              </w:rPr>
            </w:pPr>
            <w:r w:rsidRPr="00183B5F">
              <w:rPr>
                <w:szCs w:val="22"/>
                <w:lang w:val="hu-HU"/>
              </w:rPr>
              <w:t>60 (54,5)</w:t>
            </w:r>
          </w:p>
        </w:tc>
        <w:tc>
          <w:tcPr>
            <w:tcW w:w="1890" w:type="dxa"/>
            <w:tcBorders>
              <w:top w:val="nil"/>
              <w:bottom w:val="single" w:sz="4" w:space="0" w:color="auto"/>
            </w:tcBorders>
          </w:tcPr>
          <w:p w14:paraId="0CB77D29" w14:textId="77777777" w:rsidR="00764497" w:rsidRPr="00183B5F" w:rsidRDefault="00943743">
            <w:pPr>
              <w:pStyle w:val="EMEANormal"/>
              <w:keepNext/>
              <w:rPr>
                <w:szCs w:val="22"/>
                <w:lang w:val="hu-HU"/>
              </w:rPr>
            </w:pPr>
            <w:r w:rsidRPr="00183B5F">
              <w:rPr>
                <w:szCs w:val="22"/>
                <w:lang w:val="hu-HU"/>
              </w:rPr>
              <w:t>5,6</w:t>
            </w:r>
          </w:p>
        </w:tc>
        <w:tc>
          <w:tcPr>
            <w:tcW w:w="720" w:type="dxa"/>
            <w:tcBorders>
              <w:top w:val="nil"/>
              <w:bottom w:val="single" w:sz="4" w:space="0" w:color="auto"/>
            </w:tcBorders>
          </w:tcPr>
          <w:p w14:paraId="76493F6B" w14:textId="77777777" w:rsidR="00764497" w:rsidRPr="00183B5F" w:rsidRDefault="00943743">
            <w:pPr>
              <w:pStyle w:val="EMEANormal"/>
              <w:keepNext/>
              <w:rPr>
                <w:szCs w:val="22"/>
                <w:lang w:val="hu-HU"/>
              </w:rPr>
            </w:pPr>
            <w:r w:rsidRPr="00183B5F">
              <w:rPr>
                <w:szCs w:val="22"/>
                <w:lang w:val="hu-HU"/>
              </w:rPr>
              <w:t>0,50</w:t>
            </w:r>
          </w:p>
        </w:tc>
        <w:tc>
          <w:tcPr>
            <w:tcW w:w="1170" w:type="dxa"/>
            <w:tcBorders>
              <w:top w:val="nil"/>
              <w:bottom w:val="single" w:sz="4" w:space="0" w:color="auto"/>
            </w:tcBorders>
          </w:tcPr>
          <w:p w14:paraId="7312EE8B" w14:textId="77777777" w:rsidR="00764497" w:rsidRPr="00183B5F" w:rsidRDefault="00943743">
            <w:pPr>
              <w:pStyle w:val="EMEANormal"/>
              <w:keepNext/>
              <w:rPr>
                <w:szCs w:val="22"/>
                <w:lang w:val="hu-HU"/>
              </w:rPr>
            </w:pPr>
            <w:r w:rsidRPr="00183B5F">
              <w:rPr>
                <w:szCs w:val="22"/>
                <w:lang w:val="hu-HU"/>
              </w:rPr>
              <w:t>0,36; 0,70</w:t>
            </w:r>
            <w:r w:rsidRPr="00183B5F">
              <w:rPr>
                <w:szCs w:val="22"/>
                <w:vertAlign w:val="superscript"/>
                <w:lang w:val="hu-HU"/>
              </w:rPr>
              <w:t xml:space="preserve"> </w:t>
            </w:r>
          </w:p>
        </w:tc>
        <w:tc>
          <w:tcPr>
            <w:tcW w:w="1080" w:type="dxa"/>
            <w:tcBorders>
              <w:top w:val="nil"/>
              <w:bottom w:val="single" w:sz="4" w:space="0" w:color="auto"/>
            </w:tcBorders>
          </w:tcPr>
          <w:p w14:paraId="3856424F" w14:textId="77777777" w:rsidR="00764497" w:rsidRPr="00183B5F" w:rsidRDefault="00943743">
            <w:pPr>
              <w:pStyle w:val="EMEANormal"/>
              <w:keepNext/>
              <w:rPr>
                <w:szCs w:val="22"/>
                <w:lang w:val="hu-HU"/>
              </w:rPr>
            </w:pPr>
            <w:r w:rsidRPr="00183B5F">
              <w:rPr>
                <w:szCs w:val="22"/>
                <w:lang w:val="hu-HU"/>
              </w:rPr>
              <w:t>&lt; 0,001</w:t>
            </w:r>
          </w:p>
        </w:tc>
      </w:tr>
      <w:tr w:rsidR="00011D2F" w14:paraId="4CA4DC47" w14:textId="77777777" w:rsidTr="00764497">
        <w:tblPrEx>
          <w:tblBorders>
            <w:left w:val="single" w:sz="4" w:space="0" w:color="auto"/>
            <w:right w:val="single" w:sz="4" w:space="0" w:color="auto"/>
            <w:insideH w:val="single" w:sz="4" w:space="0" w:color="auto"/>
            <w:insideV w:val="single" w:sz="4" w:space="0" w:color="auto"/>
          </w:tblBorders>
        </w:tblPrEx>
        <w:tc>
          <w:tcPr>
            <w:tcW w:w="9018" w:type="dxa"/>
            <w:gridSpan w:val="7"/>
            <w:tcBorders>
              <w:left w:val="nil"/>
              <w:bottom w:val="nil"/>
              <w:right w:val="nil"/>
            </w:tcBorders>
          </w:tcPr>
          <w:p w14:paraId="427CE689" w14:textId="77777777" w:rsidR="00764497" w:rsidRPr="00183B5F" w:rsidRDefault="00943743">
            <w:pPr>
              <w:pStyle w:val="EMEANormal"/>
              <w:keepNext/>
              <w:rPr>
                <w:b/>
                <w:szCs w:val="22"/>
                <w:lang w:val="hu-HU"/>
              </w:rPr>
            </w:pPr>
            <w:r w:rsidRPr="00183B5F">
              <w:rPr>
                <w:b/>
                <w:szCs w:val="22"/>
                <w:lang w:val="hu-HU"/>
              </w:rPr>
              <w:t>A kezelés eredménytelenségéig eltelt idő a 2. héten vagy azt követően az UV II vizsgálatban</w:t>
            </w:r>
          </w:p>
        </w:tc>
      </w:tr>
      <w:tr w:rsidR="00011D2F" w14:paraId="3789DA9D" w14:textId="77777777" w:rsidTr="00764497">
        <w:tblPrEx>
          <w:tblBorders>
            <w:left w:val="single" w:sz="4" w:space="0" w:color="auto"/>
            <w:right w:val="single" w:sz="4" w:space="0" w:color="auto"/>
            <w:insideH w:val="single" w:sz="4" w:space="0" w:color="auto"/>
            <w:insideV w:val="single" w:sz="4" w:space="0" w:color="auto"/>
          </w:tblBorders>
        </w:tblPrEx>
        <w:tc>
          <w:tcPr>
            <w:tcW w:w="2988" w:type="dxa"/>
            <w:gridSpan w:val="2"/>
            <w:tcBorders>
              <w:top w:val="nil"/>
              <w:left w:val="nil"/>
              <w:bottom w:val="nil"/>
              <w:right w:val="nil"/>
            </w:tcBorders>
          </w:tcPr>
          <w:p w14:paraId="6BA366B5" w14:textId="77777777" w:rsidR="00764497" w:rsidRPr="00183B5F" w:rsidRDefault="00943743">
            <w:pPr>
              <w:pStyle w:val="EMEANormal"/>
              <w:keepNext/>
              <w:rPr>
                <w:szCs w:val="22"/>
                <w:lang w:val="hu-HU"/>
              </w:rPr>
            </w:pPr>
            <w:r w:rsidRPr="00183B5F">
              <w:rPr>
                <w:szCs w:val="22"/>
                <w:lang w:val="hu-HU"/>
              </w:rPr>
              <w:t>Elsődleges elemzés (ITT)</w:t>
            </w:r>
          </w:p>
        </w:tc>
        <w:tc>
          <w:tcPr>
            <w:tcW w:w="1170" w:type="dxa"/>
            <w:tcBorders>
              <w:top w:val="nil"/>
              <w:left w:val="nil"/>
              <w:bottom w:val="nil"/>
              <w:right w:val="nil"/>
            </w:tcBorders>
          </w:tcPr>
          <w:p w14:paraId="76A82290" w14:textId="77777777" w:rsidR="00764497" w:rsidRPr="00183B5F" w:rsidRDefault="00764497">
            <w:pPr>
              <w:pStyle w:val="EMEANormal"/>
              <w:keepNext/>
              <w:rPr>
                <w:szCs w:val="22"/>
                <w:lang w:val="hu-HU"/>
              </w:rPr>
            </w:pPr>
          </w:p>
        </w:tc>
        <w:tc>
          <w:tcPr>
            <w:tcW w:w="1890" w:type="dxa"/>
            <w:tcBorders>
              <w:top w:val="nil"/>
              <w:left w:val="nil"/>
              <w:bottom w:val="nil"/>
              <w:right w:val="nil"/>
            </w:tcBorders>
          </w:tcPr>
          <w:p w14:paraId="2B42F569" w14:textId="77777777" w:rsidR="00764497" w:rsidRPr="00183B5F" w:rsidRDefault="00764497">
            <w:pPr>
              <w:pStyle w:val="EMEANormal"/>
              <w:keepNext/>
              <w:rPr>
                <w:szCs w:val="22"/>
                <w:lang w:val="hu-HU"/>
              </w:rPr>
            </w:pPr>
          </w:p>
        </w:tc>
        <w:tc>
          <w:tcPr>
            <w:tcW w:w="720" w:type="dxa"/>
            <w:tcBorders>
              <w:top w:val="nil"/>
              <w:left w:val="nil"/>
              <w:bottom w:val="nil"/>
              <w:right w:val="nil"/>
            </w:tcBorders>
          </w:tcPr>
          <w:p w14:paraId="42CD83CD" w14:textId="77777777" w:rsidR="00764497" w:rsidRPr="00183B5F" w:rsidRDefault="00764497">
            <w:pPr>
              <w:pStyle w:val="EMEANormal"/>
              <w:keepNext/>
              <w:rPr>
                <w:szCs w:val="22"/>
                <w:lang w:val="hu-HU"/>
              </w:rPr>
            </w:pPr>
          </w:p>
        </w:tc>
        <w:tc>
          <w:tcPr>
            <w:tcW w:w="1170" w:type="dxa"/>
            <w:tcBorders>
              <w:top w:val="nil"/>
              <w:left w:val="nil"/>
              <w:bottom w:val="nil"/>
              <w:right w:val="nil"/>
            </w:tcBorders>
          </w:tcPr>
          <w:p w14:paraId="61463453" w14:textId="77777777" w:rsidR="00764497" w:rsidRPr="00183B5F" w:rsidRDefault="00764497">
            <w:pPr>
              <w:pStyle w:val="EMEANormal"/>
              <w:keepNext/>
              <w:rPr>
                <w:szCs w:val="22"/>
                <w:lang w:val="hu-HU"/>
              </w:rPr>
            </w:pPr>
          </w:p>
        </w:tc>
        <w:tc>
          <w:tcPr>
            <w:tcW w:w="1080" w:type="dxa"/>
            <w:tcBorders>
              <w:top w:val="nil"/>
              <w:left w:val="nil"/>
              <w:bottom w:val="nil"/>
              <w:right w:val="nil"/>
            </w:tcBorders>
          </w:tcPr>
          <w:p w14:paraId="5D5240B9" w14:textId="77777777" w:rsidR="00764497" w:rsidRPr="00183B5F" w:rsidRDefault="00764497">
            <w:pPr>
              <w:pStyle w:val="EMEANormal"/>
              <w:keepNext/>
              <w:rPr>
                <w:szCs w:val="22"/>
                <w:lang w:val="hu-HU"/>
              </w:rPr>
            </w:pPr>
          </w:p>
        </w:tc>
      </w:tr>
      <w:tr w:rsidR="00011D2F" w14:paraId="159D488E" w14:textId="77777777" w:rsidTr="00764497">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nil"/>
              <w:right w:val="nil"/>
            </w:tcBorders>
          </w:tcPr>
          <w:p w14:paraId="3E9497F8" w14:textId="77777777" w:rsidR="00764497" w:rsidRPr="00183B5F" w:rsidRDefault="00943743">
            <w:pPr>
              <w:pStyle w:val="EMEANormal"/>
              <w:keepNext/>
              <w:rPr>
                <w:szCs w:val="22"/>
                <w:lang w:val="hu-HU"/>
              </w:rPr>
            </w:pPr>
            <w:r w:rsidRPr="00183B5F">
              <w:rPr>
                <w:szCs w:val="22"/>
                <w:lang w:val="hu-HU"/>
              </w:rPr>
              <w:tab/>
              <w:t>Placebo</w:t>
            </w:r>
          </w:p>
        </w:tc>
        <w:tc>
          <w:tcPr>
            <w:tcW w:w="720" w:type="dxa"/>
            <w:tcBorders>
              <w:top w:val="nil"/>
              <w:left w:val="nil"/>
              <w:bottom w:val="nil"/>
              <w:right w:val="nil"/>
            </w:tcBorders>
          </w:tcPr>
          <w:p w14:paraId="6596E440" w14:textId="77777777" w:rsidR="00764497" w:rsidRPr="00183B5F" w:rsidRDefault="00943743">
            <w:pPr>
              <w:pStyle w:val="EMEANormal"/>
              <w:keepNext/>
              <w:rPr>
                <w:szCs w:val="22"/>
                <w:lang w:val="hu-HU"/>
              </w:rPr>
            </w:pPr>
            <w:r w:rsidRPr="00183B5F">
              <w:rPr>
                <w:szCs w:val="22"/>
                <w:lang w:val="hu-HU"/>
              </w:rPr>
              <w:t>111</w:t>
            </w:r>
          </w:p>
        </w:tc>
        <w:tc>
          <w:tcPr>
            <w:tcW w:w="1170" w:type="dxa"/>
            <w:tcBorders>
              <w:top w:val="nil"/>
              <w:left w:val="nil"/>
              <w:bottom w:val="nil"/>
              <w:right w:val="nil"/>
            </w:tcBorders>
          </w:tcPr>
          <w:p w14:paraId="68BF5F50" w14:textId="77777777" w:rsidR="00764497" w:rsidRPr="00183B5F" w:rsidRDefault="00943743">
            <w:pPr>
              <w:pStyle w:val="EMEANormal"/>
              <w:keepNext/>
              <w:rPr>
                <w:szCs w:val="22"/>
                <w:lang w:val="hu-HU"/>
              </w:rPr>
            </w:pPr>
            <w:r w:rsidRPr="00183B5F">
              <w:rPr>
                <w:szCs w:val="22"/>
                <w:lang w:val="hu-HU"/>
              </w:rPr>
              <w:t>61 (55,0)</w:t>
            </w:r>
          </w:p>
        </w:tc>
        <w:tc>
          <w:tcPr>
            <w:tcW w:w="1890" w:type="dxa"/>
            <w:tcBorders>
              <w:top w:val="nil"/>
              <w:left w:val="nil"/>
              <w:bottom w:val="nil"/>
              <w:right w:val="nil"/>
            </w:tcBorders>
          </w:tcPr>
          <w:p w14:paraId="10B867C4" w14:textId="77777777" w:rsidR="00764497" w:rsidRPr="00183B5F" w:rsidRDefault="00943743">
            <w:pPr>
              <w:pStyle w:val="EMEANormal"/>
              <w:keepNext/>
              <w:rPr>
                <w:szCs w:val="22"/>
                <w:lang w:val="hu-HU"/>
              </w:rPr>
            </w:pPr>
            <w:r w:rsidRPr="00183B5F">
              <w:rPr>
                <w:szCs w:val="22"/>
                <w:lang w:val="hu-HU"/>
              </w:rPr>
              <w:t>8,3</w:t>
            </w:r>
          </w:p>
        </w:tc>
        <w:tc>
          <w:tcPr>
            <w:tcW w:w="720" w:type="dxa"/>
            <w:tcBorders>
              <w:top w:val="nil"/>
              <w:left w:val="nil"/>
              <w:bottom w:val="nil"/>
              <w:right w:val="nil"/>
            </w:tcBorders>
          </w:tcPr>
          <w:p w14:paraId="0D718CAB" w14:textId="77777777" w:rsidR="00764497" w:rsidRPr="00183B5F" w:rsidRDefault="00943743">
            <w:pPr>
              <w:pStyle w:val="EMEANormal"/>
              <w:keepNext/>
              <w:rPr>
                <w:szCs w:val="22"/>
                <w:lang w:val="hu-HU"/>
              </w:rPr>
            </w:pPr>
            <w:r w:rsidRPr="00183B5F">
              <w:rPr>
                <w:szCs w:val="22"/>
                <w:lang w:val="hu-HU"/>
              </w:rPr>
              <w:t>--</w:t>
            </w:r>
          </w:p>
        </w:tc>
        <w:tc>
          <w:tcPr>
            <w:tcW w:w="1170" w:type="dxa"/>
            <w:tcBorders>
              <w:top w:val="nil"/>
              <w:left w:val="nil"/>
              <w:bottom w:val="nil"/>
              <w:right w:val="nil"/>
            </w:tcBorders>
          </w:tcPr>
          <w:p w14:paraId="582E3404" w14:textId="77777777" w:rsidR="00764497" w:rsidRPr="00183B5F" w:rsidRDefault="00943743">
            <w:pPr>
              <w:pStyle w:val="EMEANormal"/>
              <w:keepNext/>
              <w:rPr>
                <w:szCs w:val="22"/>
                <w:lang w:val="hu-HU"/>
              </w:rPr>
            </w:pPr>
            <w:r w:rsidRPr="00183B5F">
              <w:rPr>
                <w:szCs w:val="22"/>
                <w:lang w:val="hu-HU"/>
              </w:rPr>
              <w:t>--</w:t>
            </w:r>
          </w:p>
        </w:tc>
        <w:tc>
          <w:tcPr>
            <w:tcW w:w="1080" w:type="dxa"/>
            <w:tcBorders>
              <w:top w:val="nil"/>
              <w:left w:val="nil"/>
              <w:bottom w:val="nil"/>
              <w:right w:val="nil"/>
            </w:tcBorders>
          </w:tcPr>
          <w:p w14:paraId="7F8E6A9F" w14:textId="77777777" w:rsidR="00764497" w:rsidRPr="00183B5F" w:rsidRDefault="00943743">
            <w:pPr>
              <w:pStyle w:val="EMEANormal"/>
              <w:keepNext/>
              <w:rPr>
                <w:szCs w:val="22"/>
                <w:lang w:val="hu-HU"/>
              </w:rPr>
            </w:pPr>
            <w:r w:rsidRPr="00183B5F">
              <w:rPr>
                <w:szCs w:val="22"/>
                <w:lang w:val="hu-HU"/>
              </w:rPr>
              <w:t>--</w:t>
            </w:r>
          </w:p>
        </w:tc>
      </w:tr>
      <w:tr w:rsidR="00011D2F" w14:paraId="09764EB3" w14:textId="77777777" w:rsidTr="00764497">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single" w:sz="4" w:space="0" w:color="auto"/>
              <w:right w:val="nil"/>
            </w:tcBorders>
          </w:tcPr>
          <w:p w14:paraId="4DF52D8D" w14:textId="77777777" w:rsidR="00764497" w:rsidRPr="00183B5F" w:rsidRDefault="00943743">
            <w:pPr>
              <w:pStyle w:val="EMEANormal"/>
              <w:keepNext/>
              <w:rPr>
                <w:szCs w:val="22"/>
                <w:lang w:val="hu-HU"/>
              </w:rPr>
            </w:pPr>
            <w:r w:rsidRPr="00183B5F">
              <w:rPr>
                <w:szCs w:val="22"/>
                <w:lang w:val="hu-HU"/>
              </w:rPr>
              <w:tab/>
              <w:t>Adalimumab</w:t>
            </w:r>
          </w:p>
        </w:tc>
        <w:tc>
          <w:tcPr>
            <w:tcW w:w="720" w:type="dxa"/>
            <w:tcBorders>
              <w:top w:val="nil"/>
              <w:left w:val="nil"/>
              <w:bottom w:val="single" w:sz="4" w:space="0" w:color="auto"/>
              <w:right w:val="nil"/>
            </w:tcBorders>
          </w:tcPr>
          <w:p w14:paraId="51E15C61" w14:textId="77777777" w:rsidR="00764497" w:rsidRPr="00183B5F" w:rsidRDefault="00943743">
            <w:pPr>
              <w:pStyle w:val="EMEANormal"/>
              <w:keepNext/>
              <w:rPr>
                <w:szCs w:val="22"/>
                <w:lang w:val="hu-HU"/>
              </w:rPr>
            </w:pPr>
            <w:r w:rsidRPr="00183B5F">
              <w:rPr>
                <w:szCs w:val="22"/>
                <w:lang w:val="hu-HU"/>
              </w:rPr>
              <w:t>115</w:t>
            </w:r>
          </w:p>
        </w:tc>
        <w:tc>
          <w:tcPr>
            <w:tcW w:w="1170" w:type="dxa"/>
            <w:tcBorders>
              <w:top w:val="nil"/>
              <w:left w:val="nil"/>
              <w:bottom w:val="single" w:sz="4" w:space="0" w:color="auto"/>
              <w:right w:val="nil"/>
            </w:tcBorders>
          </w:tcPr>
          <w:p w14:paraId="4DA1CD21" w14:textId="77777777" w:rsidR="00764497" w:rsidRPr="00183B5F" w:rsidRDefault="00943743">
            <w:pPr>
              <w:pStyle w:val="EMEANormal"/>
              <w:keepNext/>
              <w:rPr>
                <w:szCs w:val="22"/>
                <w:lang w:val="hu-HU"/>
              </w:rPr>
            </w:pPr>
            <w:r w:rsidRPr="00183B5F">
              <w:rPr>
                <w:szCs w:val="22"/>
                <w:lang w:val="hu-HU"/>
              </w:rPr>
              <w:t>45 (39,1)</w:t>
            </w:r>
          </w:p>
        </w:tc>
        <w:tc>
          <w:tcPr>
            <w:tcW w:w="1890" w:type="dxa"/>
            <w:tcBorders>
              <w:top w:val="nil"/>
              <w:left w:val="nil"/>
              <w:bottom w:val="single" w:sz="4" w:space="0" w:color="auto"/>
              <w:right w:val="nil"/>
            </w:tcBorders>
          </w:tcPr>
          <w:p w14:paraId="5347474D" w14:textId="77777777" w:rsidR="00764497" w:rsidRPr="00183B5F" w:rsidRDefault="00943743">
            <w:pPr>
              <w:pStyle w:val="EMEANormal"/>
              <w:keepNext/>
              <w:rPr>
                <w:szCs w:val="22"/>
                <w:lang w:val="hu-HU"/>
              </w:rPr>
            </w:pPr>
            <w:r w:rsidRPr="00183B5F">
              <w:rPr>
                <w:szCs w:val="22"/>
                <w:lang w:val="hu-HU"/>
              </w:rPr>
              <w:t>NB</w:t>
            </w:r>
            <w:r w:rsidRPr="00183B5F">
              <w:rPr>
                <w:szCs w:val="22"/>
                <w:vertAlign w:val="superscript"/>
                <w:lang w:val="hu-HU"/>
              </w:rPr>
              <w:t>c</w:t>
            </w:r>
          </w:p>
        </w:tc>
        <w:tc>
          <w:tcPr>
            <w:tcW w:w="720" w:type="dxa"/>
            <w:tcBorders>
              <w:top w:val="nil"/>
              <w:left w:val="nil"/>
              <w:bottom w:val="single" w:sz="4" w:space="0" w:color="auto"/>
              <w:right w:val="nil"/>
            </w:tcBorders>
          </w:tcPr>
          <w:p w14:paraId="7087266B" w14:textId="77777777" w:rsidR="00764497" w:rsidRPr="00183B5F" w:rsidRDefault="00943743">
            <w:pPr>
              <w:pStyle w:val="EMEANormal"/>
              <w:keepNext/>
              <w:rPr>
                <w:szCs w:val="22"/>
                <w:lang w:val="hu-HU"/>
              </w:rPr>
            </w:pPr>
            <w:r w:rsidRPr="00183B5F">
              <w:rPr>
                <w:szCs w:val="22"/>
                <w:lang w:val="hu-HU"/>
              </w:rPr>
              <w:t>0,57</w:t>
            </w:r>
          </w:p>
        </w:tc>
        <w:tc>
          <w:tcPr>
            <w:tcW w:w="1170" w:type="dxa"/>
            <w:tcBorders>
              <w:top w:val="nil"/>
              <w:left w:val="nil"/>
              <w:bottom w:val="single" w:sz="4" w:space="0" w:color="auto"/>
              <w:right w:val="nil"/>
            </w:tcBorders>
          </w:tcPr>
          <w:p w14:paraId="0BD9C1B9" w14:textId="77777777" w:rsidR="00764497" w:rsidRPr="00183B5F" w:rsidRDefault="00943743">
            <w:pPr>
              <w:pStyle w:val="EMEANormal"/>
              <w:keepNext/>
              <w:rPr>
                <w:szCs w:val="22"/>
                <w:lang w:val="hu-HU"/>
              </w:rPr>
            </w:pPr>
            <w:r w:rsidRPr="00183B5F">
              <w:rPr>
                <w:szCs w:val="22"/>
                <w:lang w:val="hu-HU"/>
              </w:rPr>
              <w:t>0,39; 0,84</w:t>
            </w:r>
          </w:p>
        </w:tc>
        <w:tc>
          <w:tcPr>
            <w:tcW w:w="1080" w:type="dxa"/>
            <w:tcBorders>
              <w:top w:val="nil"/>
              <w:left w:val="nil"/>
              <w:bottom w:val="single" w:sz="4" w:space="0" w:color="auto"/>
              <w:right w:val="nil"/>
            </w:tcBorders>
          </w:tcPr>
          <w:p w14:paraId="3BE98A95" w14:textId="77777777" w:rsidR="00764497" w:rsidRPr="00183B5F" w:rsidRDefault="00943743">
            <w:pPr>
              <w:pStyle w:val="EMEANormal"/>
              <w:keepNext/>
              <w:rPr>
                <w:szCs w:val="22"/>
                <w:lang w:val="hu-HU"/>
              </w:rPr>
            </w:pPr>
            <w:r w:rsidRPr="00183B5F">
              <w:rPr>
                <w:szCs w:val="22"/>
                <w:lang w:val="hu-HU"/>
              </w:rPr>
              <w:t>0,004</w:t>
            </w:r>
          </w:p>
        </w:tc>
      </w:tr>
    </w:tbl>
    <w:p w14:paraId="1AB5D0F7" w14:textId="77777777" w:rsidR="00764497" w:rsidRPr="00183B5F" w:rsidRDefault="00943743">
      <w:pPr>
        <w:pStyle w:val="EMEANormal"/>
        <w:keepNext/>
        <w:rPr>
          <w:szCs w:val="22"/>
          <w:lang w:val="hu-HU"/>
        </w:rPr>
      </w:pPr>
      <w:r w:rsidRPr="00183B5F">
        <w:rPr>
          <w:szCs w:val="22"/>
          <w:lang w:val="hu-HU"/>
        </w:rPr>
        <w:t>Megjegyzés: Eseménynek értékelték a kezelés eredménytelenségét a 6. héten vagy azt követően (UV I vizsgálat) vagy a 2. héten vagy azt követően (UV II vizsgálat). Azoknak a betegeknek az adatait cenzorálták a vizsgálat abbahagyásakor, akik nem a kezelés eredménytelensége miatt hagyták abba a vizsgálatot.</w:t>
      </w:r>
    </w:p>
    <w:p w14:paraId="4C1E6673" w14:textId="77777777" w:rsidR="00764497" w:rsidRPr="00183B5F" w:rsidRDefault="00943743" w:rsidP="009F6211">
      <w:pPr>
        <w:pStyle w:val="EMEANormal"/>
        <w:keepNext/>
        <w:tabs>
          <w:tab w:val="clear" w:pos="562"/>
          <w:tab w:val="left" w:pos="426"/>
        </w:tabs>
        <w:ind w:left="426" w:hanging="426"/>
        <w:rPr>
          <w:szCs w:val="22"/>
          <w:lang w:val="hu-HU"/>
        </w:rPr>
      </w:pPr>
      <w:r w:rsidRPr="00183B5F">
        <w:rPr>
          <w:szCs w:val="22"/>
          <w:vertAlign w:val="superscript"/>
          <w:lang w:val="hu-HU"/>
        </w:rPr>
        <w:t>a</w:t>
      </w:r>
      <w:r w:rsidRPr="00183B5F">
        <w:rPr>
          <w:szCs w:val="22"/>
          <w:vertAlign w:val="superscript"/>
          <w:lang w:val="hu-HU"/>
        </w:rPr>
        <w:tab/>
      </w:r>
      <w:r w:rsidRPr="00183B5F">
        <w:rPr>
          <w:szCs w:val="22"/>
          <w:lang w:val="hu-HU"/>
        </w:rPr>
        <w:t xml:space="preserve">az adalimumab placebóval szembeni relatív hazárd értéke </w:t>
      </w:r>
      <w:r w:rsidR="009F6211" w:rsidRPr="00183B5F">
        <w:rPr>
          <w:szCs w:val="22"/>
          <w:lang w:val="hu-HU"/>
        </w:rPr>
        <w:t>(</w:t>
      </w:r>
      <w:r w:rsidRPr="00183B5F">
        <w:rPr>
          <w:szCs w:val="22"/>
          <w:lang w:val="hu-HU"/>
        </w:rPr>
        <w:t>arányos hazárd regresszióból, a kezelést faktorként figyelembe véve</w:t>
      </w:r>
      <w:r w:rsidR="009F6211" w:rsidRPr="00183B5F">
        <w:rPr>
          <w:szCs w:val="22"/>
          <w:lang w:val="hu-HU"/>
        </w:rPr>
        <w:t>)</w:t>
      </w:r>
      <w:r w:rsidRPr="00183B5F">
        <w:rPr>
          <w:szCs w:val="22"/>
          <w:lang w:val="hu-HU"/>
        </w:rPr>
        <w:t>.</w:t>
      </w:r>
    </w:p>
    <w:p w14:paraId="454D37FF" w14:textId="77777777" w:rsidR="00764497" w:rsidRPr="00183B5F" w:rsidRDefault="00943743" w:rsidP="00832DC3">
      <w:pPr>
        <w:pStyle w:val="EMEANormal"/>
        <w:keepNext/>
        <w:tabs>
          <w:tab w:val="clear" w:pos="562"/>
          <w:tab w:val="left" w:pos="426"/>
        </w:tabs>
        <w:rPr>
          <w:szCs w:val="22"/>
          <w:lang w:val="hu-HU"/>
        </w:rPr>
      </w:pPr>
      <w:r w:rsidRPr="00183B5F">
        <w:rPr>
          <w:szCs w:val="22"/>
          <w:vertAlign w:val="superscript"/>
          <w:lang w:val="hu-HU"/>
        </w:rPr>
        <w:t>b</w:t>
      </w:r>
      <w:r w:rsidRPr="00183B5F">
        <w:rPr>
          <w:szCs w:val="22"/>
          <w:lang w:val="hu-HU"/>
        </w:rPr>
        <w:tab/>
      </w:r>
      <w:r w:rsidR="00667947" w:rsidRPr="00183B5F">
        <w:rPr>
          <w:szCs w:val="22"/>
          <w:lang w:val="hu-HU"/>
        </w:rPr>
        <w:t>L</w:t>
      </w:r>
      <w:r w:rsidRPr="00183B5F">
        <w:rPr>
          <w:szCs w:val="22"/>
          <w:lang w:val="hu-HU"/>
        </w:rPr>
        <w:t>ograng</w:t>
      </w:r>
      <w:r w:rsidR="00667947" w:rsidRPr="00183B5F">
        <w:rPr>
          <w:szCs w:val="22"/>
          <w:lang w:val="hu-HU"/>
        </w:rPr>
        <w:noBreakHyphen/>
      </w:r>
      <w:r w:rsidRPr="00183B5F">
        <w:rPr>
          <w:szCs w:val="22"/>
          <w:lang w:val="hu-HU"/>
        </w:rPr>
        <w:t xml:space="preserve">próbából meghatározott 2-oldalas </w:t>
      </w:r>
      <w:r w:rsidRPr="00183B5F">
        <w:rPr>
          <w:i/>
          <w:szCs w:val="22"/>
          <w:lang w:val="hu-HU"/>
        </w:rPr>
        <w:t>P</w:t>
      </w:r>
      <w:r w:rsidRPr="00183B5F">
        <w:rPr>
          <w:szCs w:val="22"/>
          <w:lang w:val="hu-HU"/>
        </w:rPr>
        <w:noBreakHyphen/>
        <w:t>érték.</w:t>
      </w:r>
    </w:p>
    <w:p w14:paraId="3E6A12E5" w14:textId="77777777" w:rsidR="00764497" w:rsidRPr="00183B5F" w:rsidRDefault="00943743" w:rsidP="00832DC3">
      <w:pPr>
        <w:pStyle w:val="EMEANormal"/>
        <w:keepNext/>
        <w:tabs>
          <w:tab w:val="clear" w:pos="562"/>
          <w:tab w:val="left" w:pos="426"/>
        </w:tabs>
        <w:rPr>
          <w:szCs w:val="22"/>
          <w:lang w:val="hu-HU"/>
        </w:rPr>
      </w:pPr>
      <w:r w:rsidRPr="00183B5F">
        <w:rPr>
          <w:szCs w:val="22"/>
          <w:vertAlign w:val="superscript"/>
          <w:lang w:val="hu-HU"/>
        </w:rPr>
        <w:t>c</w:t>
      </w:r>
      <w:r w:rsidRPr="00183B5F">
        <w:rPr>
          <w:szCs w:val="22"/>
          <w:lang w:val="hu-HU"/>
        </w:rPr>
        <w:tab/>
        <w:t>NB</w:t>
      </w:r>
      <w:r w:rsidR="00994AB3" w:rsidRPr="00183B5F">
        <w:rPr>
          <w:szCs w:val="22"/>
          <w:lang w:val="hu-HU"/>
        </w:rPr>
        <w:t> </w:t>
      </w:r>
      <w:r w:rsidRPr="00183B5F">
        <w:rPr>
          <w:szCs w:val="22"/>
          <w:lang w:val="hu-HU"/>
        </w:rPr>
        <w:t>=</w:t>
      </w:r>
      <w:r w:rsidR="00994AB3" w:rsidRPr="00183B5F">
        <w:rPr>
          <w:szCs w:val="22"/>
          <w:lang w:val="hu-HU"/>
        </w:rPr>
        <w:t> </w:t>
      </w:r>
      <w:r w:rsidRPr="00183B5F">
        <w:rPr>
          <w:szCs w:val="22"/>
          <w:lang w:val="hu-HU"/>
        </w:rPr>
        <w:t xml:space="preserve">nem becsülhető. A veszélyeztetett betegek kevesebb mint felénél történt esemény. </w:t>
      </w:r>
    </w:p>
    <w:p w14:paraId="0663AC31" w14:textId="77777777" w:rsidR="00764497" w:rsidRPr="00183B5F" w:rsidRDefault="00764497">
      <w:pPr>
        <w:pStyle w:val="EMEANormal"/>
        <w:keepNext/>
        <w:rPr>
          <w:szCs w:val="22"/>
          <w:lang w:val="hu-HU"/>
        </w:rPr>
      </w:pPr>
    </w:p>
    <w:p w14:paraId="38D194D7" w14:textId="77777777" w:rsidR="00764497" w:rsidRPr="00183B5F" w:rsidRDefault="00943743">
      <w:pPr>
        <w:pStyle w:val="EMEANormal"/>
        <w:keepNext/>
        <w:jc w:val="center"/>
        <w:rPr>
          <w:b/>
          <w:szCs w:val="22"/>
          <w:lang w:val="hu-HU"/>
        </w:rPr>
      </w:pPr>
      <w:r w:rsidRPr="00183B5F">
        <w:rPr>
          <w:b/>
          <w:szCs w:val="22"/>
          <w:lang w:val="hu-HU"/>
        </w:rPr>
        <w:t>1. ábra: A kezelés eredménytelenségéig eltelt időt a 6. héten vagy azt követően (UV I vizsgálat) illetve a 2. héten vagy azt követően (UV II vizsgálat) bemutató Kaplan-Meier görbék</w:t>
      </w:r>
    </w:p>
    <w:p w14:paraId="5B47C90E" w14:textId="77777777" w:rsidR="00764497" w:rsidRPr="00183B5F" w:rsidRDefault="00764497">
      <w:pPr>
        <w:pStyle w:val="EMEANormal"/>
        <w:keepNext/>
        <w:jc w:val="center"/>
        <w:rPr>
          <w:b/>
          <w:szCs w:val="22"/>
          <w:lang w:val="hu-HU"/>
        </w:rPr>
      </w:pPr>
    </w:p>
    <w:tbl>
      <w:tblPr>
        <w:tblW w:w="9481" w:type="dxa"/>
        <w:tblLayout w:type="fixed"/>
        <w:tblLook w:val="04A0" w:firstRow="1" w:lastRow="0" w:firstColumn="1" w:lastColumn="0" w:noHBand="0" w:noVBand="1"/>
      </w:tblPr>
      <w:tblGrid>
        <w:gridCol w:w="675"/>
        <w:gridCol w:w="3496"/>
        <w:gridCol w:w="1170"/>
        <w:gridCol w:w="1350"/>
        <w:gridCol w:w="900"/>
        <w:gridCol w:w="1890"/>
      </w:tblGrid>
      <w:tr w:rsidR="00011D2F" w14:paraId="34E99687" w14:textId="77777777" w:rsidTr="00764497">
        <w:trPr>
          <w:cantSplit/>
          <w:trHeight w:val="3806"/>
        </w:trPr>
        <w:tc>
          <w:tcPr>
            <w:tcW w:w="675" w:type="dxa"/>
            <w:textDirection w:val="btLr"/>
            <w:vAlign w:val="bottom"/>
          </w:tcPr>
          <w:p w14:paraId="6BF90CD4" w14:textId="77777777" w:rsidR="00764497" w:rsidRPr="00183B5F" w:rsidRDefault="00943743">
            <w:pPr>
              <w:pStyle w:val="EMEANormal"/>
              <w:keepNext/>
              <w:ind w:left="113" w:right="113"/>
              <w:jc w:val="center"/>
              <w:rPr>
                <w:b/>
                <w:szCs w:val="22"/>
                <w:lang w:val="hu-HU"/>
              </w:rPr>
            </w:pPr>
            <w:r w:rsidRPr="00183B5F">
              <w:rPr>
                <w:b/>
                <w:szCs w:val="22"/>
                <w:lang w:val="hu-HU"/>
              </w:rPr>
              <w:t>Kezelés eredménytelenségémek aránya (%)</w:t>
            </w:r>
          </w:p>
        </w:tc>
        <w:tc>
          <w:tcPr>
            <w:tcW w:w="8806" w:type="dxa"/>
            <w:gridSpan w:val="5"/>
            <w:vAlign w:val="bottom"/>
          </w:tcPr>
          <w:p w14:paraId="4C6E0CB0" w14:textId="77777777" w:rsidR="00764497" w:rsidRPr="00183B5F" w:rsidRDefault="00943743">
            <w:pPr>
              <w:pStyle w:val="EMEANormal"/>
              <w:keepNext/>
              <w:rPr>
                <w:szCs w:val="22"/>
                <w:lang w:val="hu-HU"/>
              </w:rPr>
            </w:pPr>
            <w:r w:rsidRPr="00202B95">
              <w:rPr>
                <w:noProof/>
                <w:lang w:val="en-GB"/>
              </w:rPr>
              <w:drawing>
                <wp:inline distT="0" distB="0" distL="0" distR="0" wp14:anchorId="061AFD79" wp14:editId="547ACD1E">
                  <wp:extent cx="5486400" cy="2209800"/>
                  <wp:effectExtent l="0" t="0" r="0" b="0"/>
                  <wp:docPr id="4" name="Picture 4"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Humira Uveitis Figure 5_6"/>
                          <pic:cNvPicPr>
                            <a:picLocks noChangeAspect="1" noChangeArrowheads="1"/>
                          </pic:cNvPicPr>
                        </pic:nvPicPr>
                        <pic:blipFill>
                          <a:blip r:embed="rId11" r:link="rId12">
                            <a:extLst>
                              <a:ext uri="{28A0092B-C50C-407E-A947-70E740481C1C}">
                                <a14:useLocalDpi xmlns:a14="http://schemas.microsoft.com/office/drawing/2010/main" val="0"/>
                              </a:ext>
                            </a:extLst>
                          </a:blip>
                          <a:stretch>
                            <a:fillRect/>
                          </a:stretch>
                        </pic:blipFill>
                        <pic:spPr bwMode="auto">
                          <a:xfrm>
                            <a:off x="0" y="0"/>
                            <a:ext cx="5486400" cy="2209800"/>
                          </a:xfrm>
                          <a:prstGeom prst="rect">
                            <a:avLst/>
                          </a:prstGeom>
                          <a:noFill/>
                          <a:ln>
                            <a:noFill/>
                          </a:ln>
                        </pic:spPr>
                      </pic:pic>
                    </a:graphicData>
                  </a:graphic>
                </wp:inline>
              </w:drawing>
            </w:r>
          </w:p>
        </w:tc>
      </w:tr>
      <w:tr w:rsidR="00011D2F" w14:paraId="43C0C284" w14:textId="77777777" w:rsidTr="00764497">
        <w:tc>
          <w:tcPr>
            <w:tcW w:w="675" w:type="dxa"/>
          </w:tcPr>
          <w:p w14:paraId="004083AD" w14:textId="77777777" w:rsidR="00764497" w:rsidRPr="00183B5F" w:rsidRDefault="00764497">
            <w:pPr>
              <w:pStyle w:val="EMEANormal"/>
              <w:rPr>
                <w:szCs w:val="22"/>
                <w:lang w:val="hu-HU"/>
              </w:rPr>
            </w:pPr>
          </w:p>
        </w:tc>
        <w:tc>
          <w:tcPr>
            <w:tcW w:w="8806" w:type="dxa"/>
            <w:gridSpan w:val="5"/>
          </w:tcPr>
          <w:p w14:paraId="46083407" w14:textId="77777777" w:rsidR="00764497" w:rsidRPr="00183B5F" w:rsidRDefault="00943743">
            <w:pPr>
              <w:pStyle w:val="EMEANormal"/>
              <w:jc w:val="center"/>
              <w:rPr>
                <w:b/>
                <w:szCs w:val="22"/>
                <w:lang w:val="hu-HU"/>
              </w:rPr>
            </w:pPr>
            <w:r w:rsidRPr="00183B5F">
              <w:rPr>
                <w:b/>
                <w:szCs w:val="22"/>
                <w:lang w:val="hu-HU"/>
              </w:rPr>
              <w:t>Idő (hónap)</w:t>
            </w:r>
          </w:p>
        </w:tc>
      </w:tr>
      <w:tr w:rsidR="00011D2F" w14:paraId="505A160B" w14:textId="77777777" w:rsidTr="00764497">
        <w:tc>
          <w:tcPr>
            <w:tcW w:w="675" w:type="dxa"/>
          </w:tcPr>
          <w:p w14:paraId="54F31F3D" w14:textId="77777777" w:rsidR="00764497" w:rsidRPr="00183B5F" w:rsidRDefault="00764497">
            <w:pPr>
              <w:pStyle w:val="EMEANormal"/>
              <w:rPr>
                <w:szCs w:val="22"/>
                <w:lang w:val="hu-HU"/>
              </w:rPr>
            </w:pPr>
          </w:p>
        </w:tc>
        <w:tc>
          <w:tcPr>
            <w:tcW w:w="3496" w:type="dxa"/>
          </w:tcPr>
          <w:p w14:paraId="0E024679" w14:textId="77777777" w:rsidR="00764497" w:rsidRPr="00183B5F" w:rsidRDefault="00943743">
            <w:pPr>
              <w:pStyle w:val="EMEANormal"/>
              <w:rPr>
                <w:szCs w:val="22"/>
                <w:lang w:val="hu-HU"/>
              </w:rPr>
            </w:pPr>
            <w:r w:rsidRPr="00183B5F">
              <w:rPr>
                <w:szCs w:val="22"/>
                <w:lang w:val="hu-HU"/>
              </w:rPr>
              <w:t>UV I vizsgálat                  Kezelés</w:t>
            </w:r>
          </w:p>
        </w:tc>
        <w:tc>
          <w:tcPr>
            <w:tcW w:w="1170" w:type="dxa"/>
          </w:tcPr>
          <w:p w14:paraId="0856453C" w14:textId="77777777" w:rsidR="00764497" w:rsidRPr="00183B5F" w:rsidRDefault="00943743">
            <w:pPr>
              <w:pStyle w:val="EMEANormal"/>
              <w:jc w:val="right"/>
              <w:rPr>
                <w:szCs w:val="22"/>
                <w:lang w:val="hu-HU"/>
              </w:rPr>
            </w:pPr>
            <w:r w:rsidRPr="00202B95">
              <w:rPr>
                <w:noProof/>
                <w:lang w:val="en-GB"/>
              </w:rPr>
              <w:drawing>
                <wp:inline distT="0" distB="0" distL="0" distR="0" wp14:anchorId="061BE0A7" wp14:editId="76861798">
                  <wp:extent cx="396875" cy="180975"/>
                  <wp:effectExtent l="0" t="0" r="3175" b="9525"/>
                  <wp:docPr id="10" name="Picture 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96875" cy="180975"/>
                          </a:xfrm>
                          <a:prstGeom prst="rect">
                            <a:avLst/>
                          </a:prstGeom>
                          <a:noFill/>
                          <a:ln>
                            <a:noFill/>
                          </a:ln>
                        </pic:spPr>
                      </pic:pic>
                    </a:graphicData>
                  </a:graphic>
                </wp:inline>
              </w:drawing>
            </w:r>
          </w:p>
        </w:tc>
        <w:tc>
          <w:tcPr>
            <w:tcW w:w="1350" w:type="dxa"/>
          </w:tcPr>
          <w:p w14:paraId="70AAC7E4" w14:textId="77777777" w:rsidR="00764497" w:rsidRPr="00183B5F" w:rsidRDefault="00943743">
            <w:pPr>
              <w:pStyle w:val="EMEANormal"/>
              <w:rPr>
                <w:szCs w:val="22"/>
                <w:lang w:val="hu-HU"/>
              </w:rPr>
            </w:pPr>
            <w:r w:rsidRPr="00183B5F">
              <w:rPr>
                <w:szCs w:val="22"/>
                <w:lang w:val="hu-HU"/>
              </w:rPr>
              <w:t>Placebo</w:t>
            </w:r>
          </w:p>
        </w:tc>
        <w:tc>
          <w:tcPr>
            <w:tcW w:w="900" w:type="dxa"/>
          </w:tcPr>
          <w:p w14:paraId="62C35F66" w14:textId="77777777" w:rsidR="00764497" w:rsidRPr="00183B5F" w:rsidRDefault="00943743">
            <w:pPr>
              <w:pStyle w:val="EMEANormal"/>
              <w:jc w:val="right"/>
              <w:rPr>
                <w:szCs w:val="22"/>
                <w:lang w:val="hu-HU"/>
              </w:rPr>
            </w:pPr>
            <w:r w:rsidRPr="00202B95">
              <w:rPr>
                <w:noProof/>
                <w:lang w:val="en-GB"/>
              </w:rPr>
              <w:drawing>
                <wp:inline distT="0" distB="0" distL="0" distR="0" wp14:anchorId="11441383" wp14:editId="7BAD54A4">
                  <wp:extent cx="560705" cy="180975"/>
                  <wp:effectExtent l="0" t="0" r="0" b="9525"/>
                  <wp:docPr id="16" name="Picture 4"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descr="Humira Uveitis Figure 5_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60705" cy="180975"/>
                          </a:xfrm>
                          <a:prstGeom prst="rect">
                            <a:avLst/>
                          </a:prstGeom>
                          <a:noFill/>
                          <a:ln>
                            <a:noFill/>
                          </a:ln>
                        </pic:spPr>
                      </pic:pic>
                    </a:graphicData>
                  </a:graphic>
                </wp:inline>
              </w:drawing>
            </w:r>
          </w:p>
        </w:tc>
        <w:tc>
          <w:tcPr>
            <w:tcW w:w="1890" w:type="dxa"/>
          </w:tcPr>
          <w:p w14:paraId="7C2FC9B5" w14:textId="77777777" w:rsidR="00764497" w:rsidRPr="00183B5F" w:rsidRDefault="00943743">
            <w:pPr>
              <w:pStyle w:val="EMEANormal"/>
              <w:rPr>
                <w:szCs w:val="22"/>
                <w:lang w:val="hu-HU"/>
              </w:rPr>
            </w:pPr>
            <w:r w:rsidRPr="00183B5F">
              <w:rPr>
                <w:szCs w:val="22"/>
                <w:lang w:val="hu-HU"/>
              </w:rPr>
              <w:t>Adalimumab</w:t>
            </w:r>
          </w:p>
        </w:tc>
      </w:tr>
      <w:tr w:rsidR="00011D2F" w14:paraId="366C0409" w14:textId="77777777" w:rsidTr="00764497">
        <w:trPr>
          <w:trHeight w:val="3869"/>
        </w:trPr>
        <w:tc>
          <w:tcPr>
            <w:tcW w:w="675" w:type="dxa"/>
            <w:textDirection w:val="btLr"/>
            <w:vAlign w:val="bottom"/>
          </w:tcPr>
          <w:p w14:paraId="2B0C966A" w14:textId="77777777" w:rsidR="00764497" w:rsidRPr="00183B5F" w:rsidRDefault="00943743">
            <w:pPr>
              <w:pStyle w:val="EMEANormal"/>
              <w:jc w:val="center"/>
              <w:rPr>
                <w:szCs w:val="22"/>
                <w:lang w:val="hu-HU"/>
              </w:rPr>
            </w:pPr>
            <w:r w:rsidRPr="00183B5F">
              <w:rPr>
                <w:b/>
                <w:szCs w:val="22"/>
                <w:lang w:val="hu-HU"/>
              </w:rPr>
              <w:t>Kezelés eredménytelenségének aránya (%)</w:t>
            </w:r>
          </w:p>
        </w:tc>
        <w:tc>
          <w:tcPr>
            <w:tcW w:w="8806" w:type="dxa"/>
            <w:gridSpan w:val="5"/>
            <w:vAlign w:val="bottom"/>
          </w:tcPr>
          <w:p w14:paraId="1CF321FF" w14:textId="77777777" w:rsidR="00764497" w:rsidRPr="00183B5F" w:rsidRDefault="00943743">
            <w:pPr>
              <w:pStyle w:val="EMEANormal"/>
              <w:rPr>
                <w:szCs w:val="22"/>
                <w:lang w:val="hu-HU"/>
              </w:rPr>
            </w:pPr>
            <w:r w:rsidRPr="00202B95">
              <w:rPr>
                <w:noProof/>
                <w:lang w:val="en-GB"/>
              </w:rPr>
              <w:drawing>
                <wp:inline distT="0" distB="0" distL="0" distR="0" wp14:anchorId="4394FF6E" wp14:editId="4617EF82">
                  <wp:extent cx="5486400" cy="2179955"/>
                  <wp:effectExtent l="0" t="0" r="0" b="0"/>
                  <wp:docPr id="22" name="Picture 22"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3" descr="Humira Uveitis Figure 5_7"/>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486400" cy="2179955"/>
                          </a:xfrm>
                          <a:prstGeom prst="rect">
                            <a:avLst/>
                          </a:prstGeom>
                          <a:noFill/>
                          <a:ln>
                            <a:noFill/>
                          </a:ln>
                        </pic:spPr>
                      </pic:pic>
                    </a:graphicData>
                  </a:graphic>
                </wp:inline>
              </w:drawing>
            </w:r>
          </w:p>
        </w:tc>
      </w:tr>
      <w:tr w:rsidR="00011D2F" w14:paraId="04CF5570" w14:textId="77777777" w:rsidTr="00764497">
        <w:tc>
          <w:tcPr>
            <w:tcW w:w="675" w:type="dxa"/>
          </w:tcPr>
          <w:p w14:paraId="68E3A349" w14:textId="77777777" w:rsidR="00764497" w:rsidRPr="00183B5F" w:rsidRDefault="00764497">
            <w:pPr>
              <w:pStyle w:val="EMEANormal"/>
              <w:rPr>
                <w:szCs w:val="22"/>
                <w:lang w:val="hu-HU"/>
              </w:rPr>
            </w:pPr>
          </w:p>
        </w:tc>
        <w:tc>
          <w:tcPr>
            <w:tcW w:w="8806" w:type="dxa"/>
            <w:gridSpan w:val="5"/>
          </w:tcPr>
          <w:p w14:paraId="7FFC1570" w14:textId="77777777" w:rsidR="00764497" w:rsidRPr="00183B5F" w:rsidRDefault="00943743">
            <w:pPr>
              <w:pStyle w:val="EMEANormal"/>
              <w:jc w:val="center"/>
              <w:rPr>
                <w:b/>
                <w:szCs w:val="22"/>
                <w:lang w:val="hu-HU"/>
              </w:rPr>
            </w:pPr>
            <w:r w:rsidRPr="00183B5F">
              <w:rPr>
                <w:b/>
                <w:szCs w:val="22"/>
                <w:lang w:val="hu-HU"/>
              </w:rPr>
              <w:t>Idő (hónap)</w:t>
            </w:r>
          </w:p>
        </w:tc>
      </w:tr>
      <w:tr w:rsidR="00011D2F" w14:paraId="2113516A" w14:textId="77777777" w:rsidTr="00764497">
        <w:trPr>
          <w:trHeight w:val="369"/>
        </w:trPr>
        <w:tc>
          <w:tcPr>
            <w:tcW w:w="675" w:type="dxa"/>
          </w:tcPr>
          <w:p w14:paraId="210D64F5" w14:textId="77777777" w:rsidR="00764497" w:rsidRPr="00183B5F" w:rsidRDefault="00764497">
            <w:pPr>
              <w:pStyle w:val="EMEANormal"/>
              <w:rPr>
                <w:szCs w:val="22"/>
                <w:lang w:val="hu-HU"/>
              </w:rPr>
            </w:pPr>
          </w:p>
        </w:tc>
        <w:tc>
          <w:tcPr>
            <w:tcW w:w="3496" w:type="dxa"/>
          </w:tcPr>
          <w:p w14:paraId="19E6D87B" w14:textId="77777777" w:rsidR="00764497" w:rsidRPr="00183B5F" w:rsidRDefault="00943743">
            <w:pPr>
              <w:pStyle w:val="EMEANormal"/>
              <w:rPr>
                <w:szCs w:val="22"/>
                <w:lang w:val="hu-HU"/>
              </w:rPr>
            </w:pPr>
            <w:r w:rsidRPr="00183B5F">
              <w:rPr>
                <w:szCs w:val="22"/>
                <w:lang w:val="hu-HU"/>
              </w:rPr>
              <w:t>UV II vizsgálat                  Kezelés</w:t>
            </w:r>
          </w:p>
        </w:tc>
        <w:tc>
          <w:tcPr>
            <w:tcW w:w="1170" w:type="dxa"/>
          </w:tcPr>
          <w:p w14:paraId="480BB97B" w14:textId="77777777" w:rsidR="00764497" w:rsidRPr="00183B5F" w:rsidRDefault="00943743">
            <w:pPr>
              <w:pStyle w:val="EMEANormal"/>
              <w:jc w:val="right"/>
              <w:rPr>
                <w:szCs w:val="22"/>
                <w:lang w:val="hu-HU"/>
              </w:rPr>
            </w:pPr>
            <w:r w:rsidRPr="00202B95">
              <w:rPr>
                <w:noProof/>
                <w:lang w:val="en-GB"/>
              </w:rPr>
              <w:drawing>
                <wp:inline distT="0" distB="0" distL="0" distR="0" wp14:anchorId="1F4C322F" wp14:editId="492DF463">
                  <wp:extent cx="396875" cy="180975"/>
                  <wp:effectExtent l="0" t="0" r="3175" b="9525"/>
                  <wp:docPr id="28" name="Picture 2"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96875" cy="180975"/>
                          </a:xfrm>
                          <a:prstGeom prst="rect">
                            <a:avLst/>
                          </a:prstGeom>
                          <a:noFill/>
                          <a:ln>
                            <a:noFill/>
                          </a:ln>
                        </pic:spPr>
                      </pic:pic>
                    </a:graphicData>
                  </a:graphic>
                </wp:inline>
              </w:drawing>
            </w:r>
          </w:p>
        </w:tc>
        <w:tc>
          <w:tcPr>
            <w:tcW w:w="1350" w:type="dxa"/>
          </w:tcPr>
          <w:p w14:paraId="04D77283" w14:textId="77777777" w:rsidR="00764497" w:rsidRPr="00183B5F" w:rsidRDefault="00943743">
            <w:pPr>
              <w:pStyle w:val="EMEANormal"/>
              <w:rPr>
                <w:szCs w:val="22"/>
                <w:lang w:val="hu-HU"/>
              </w:rPr>
            </w:pPr>
            <w:r w:rsidRPr="00183B5F">
              <w:rPr>
                <w:szCs w:val="22"/>
                <w:lang w:val="hu-HU"/>
              </w:rPr>
              <w:t>Placebo</w:t>
            </w:r>
          </w:p>
        </w:tc>
        <w:tc>
          <w:tcPr>
            <w:tcW w:w="900" w:type="dxa"/>
          </w:tcPr>
          <w:p w14:paraId="5850C25C" w14:textId="77777777" w:rsidR="00764497" w:rsidRPr="00183B5F" w:rsidRDefault="00943743">
            <w:pPr>
              <w:pStyle w:val="EMEANormal"/>
              <w:jc w:val="right"/>
              <w:rPr>
                <w:szCs w:val="22"/>
                <w:lang w:val="hu-HU"/>
              </w:rPr>
            </w:pPr>
            <w:r w:rsidRPr="00202B95">
              <w:rPr>
                <w:noProof/>
                <w:lang w:val="en-GB"/>
              </w:rPr>
              <w:drawing>
                <wp:inline distT="0" distB="0" distL="0" distR="0" wp14:anchorId="03056677" wp14:editId="0138974F">
                  <wp:extent cx="560705" cy="180975"/>
                  <wp:effectExtent l="0" t="0" r="0" b="9525"/>
                  <wp:docPr id="58" name="Picture 58"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6" descr="Humira Uveitis Figure 5_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60705" cy="180975"/>
                          </a:xfrm>
                          <a:prstGeom prst="rect">
                            <a:avLst/>
                          </a:prstGeom>
                          <a:noFill/>
                          <a:ln>
                            <a:noFill/>
                          </a:ln>
                        </pic:spPr>
                      </pic:pic>
                    </a:graphicData>
                  </a:graphic>
                </wp:inline>
              </w:drawing>
            </w:r>
          </w:p>
        </w:tc>
        <w:tc>
          <w:tcPr>
            <w:tcW w:w="1890" w:type="dxa"/>
          </w:tcPr>
          <w:p w14:paraId="2D3D3B29" w14:textId="77777777" w:rsidR="00764497" w:rsidRPr="00183B5F" w:rsidRDefault="00943743">
            <w:pPr>
              <w:pStyle w:val="EMEANormal"/>
              <w:rPr>
                <w:szCs w:val="22"/>
                <w:lang w:val="hu-HU"/>
              </w:rPr>
            </w:pPr>
            <w:r w:rsidRPr="00183B5F">
              <w:rPr>
                <w:szCs w:val="22"/>
                <w:lang w:val="hu-HU"/>
              </w:rPr>
              <w:t>Adalimumab</w:t>
            </w:r>
          </w:p>
        </w:tc>
      </w:tr>
      <w:tr w:rsidR="00011D2F" w14:paraId="0C8ED3B4" w14:textId="77777777" w:rsidTr="00764497">
        <w:trPr>
          <w:trHeight w:val="629"/>
        </w:trPr>
        <w:tc>
          <w:tcPr>
            <w:tcW w:w="9481" w:type="dxa"/>
            <w:gridSpan w:val="6"/>
            <w:vAlign w:val="center"/>
          </w:tcPr>
          <w:p w14:paraId="7D2707DA" w14:textId="77777777" w:rsidR="00764497" w:rsidRPr="00183B5F" w:rsidRDefault="00943743">
            <w:pPr>
              <w:pStyle w:val="EMEANormal"/>
              <w:rPr>
                <w:szCs w:val="22"/>
                <w:lang w:val="hu-HU"/>
              </w:rPr>
            </w:pPr>
            <w:r w:rsidRPr="00183B5F">
              <w:rPr>
                <w:szCs w:val="22"/>
                <w:lang w:val="hu-HU"/>
              </w:rPr>
              <w:t xml:space="preserve">Megjegyzés: P# = Placebo (Esemény száma/Veszélyeztetett betegek száma); A# = HUMIRA (Esemény </w:t>
            </w:r>
          </w:p>
          <w:p w14:paraId="5D6526D0" w14:textId="77777777" w:rsidR="00764497" w:rsidRPr="00183B5F" w:rsidRDefault="00943743">
            <w:pPr>
              <w:pStyle w:val="EMEANormal"/>
              <w:rPr>
                <w:szCs w:val="22"/>
                <w:lang w:val="hu-HU"/>
              </w:rPr>
            </w:pPr>
            <w:r w:rsidRPr="00183B5F">
              <w:rPr>
                <w:szCs w:val="22"/>
                <w:lang w:val="hu-HU"/>
              </w:rPr>
              <w:t>száma/Veszélyeztetett betegek száma).</w:t>
            </w:r>
          </w:p>
        </w:tc>
      </w:tr>
    </w:tbl>
    <w:p w14:paraId="5E5C6792" w14:textId="77777777" w:rsidR="00764497" w:rsidRPr="00183B5F" w:rsidRDefault="00764497">
      <w:pPr>
        <w:pStyle w:val="EMEANormal"/>
        <w:rPr>
          <w:lang w:val="hu-HU"/>
        </w:rPr>
      </w:pPr>
    </w:p>
    <w:p w14:paraId="19FE3B4F" w14:textId="77777777" w:rsidR="00764497" w:rsidRPr="00183B5F" w:rsidRDefault="00943743">
      <w:pPr>
        <w:pStyle w:val="EMEANormal"/>
        <w:rPr>
          <w:lang w:val="hu-HU"/>
        </w:rPr>
      </w:pPr>
      <w:r w:rsidRPr="00183B5F">
        <w:rPr>
          <w:lang w:val="hu-HU"/>
        </w:rPr>
        <w:t>Az UV I vizsgálatban statisztikailag szignifikáns különbségeket figyeltek meg az adalimumab javára a placebóhoz képest a kezelés eredménytelenségének valamennyi komponensét tekintve. Az UV II vizsgálatban csak a látásélesség esetén figyeltek meg statisztikailag szignifikáns különbséget, de a többi komponens esetében is az adalimumab</w:t>
      </w:r>
      <w:r w:rsidRPr="00183B5F">
        <w:rPr>
          <w:lang w:val="hu-HU"/>
        </w:rPr>
        <w:noBreakHyphen/>
        <w:t>kezelés számszerű előnye igazolódott.</w:t>
      </w:r>
    </w:p>
    <w:p w14:paraId="4936156C" w14:textId="77777777" w:rsidR="009133F3" w:rsidRPr="00183B5F" w:rsidRDefault="009133F3">
      <w:pPr>
        <w:pStyle w:val="EMEANormal"/>
        <w:rPr>
          <w:lang w:val="hu-HU"/>
        </w:rPr>
      </w:pPr>
    </w:p>
    <w:p w14:paraId="3AE0B444" w14:textId="77777777" w:rsidR="006E6466" w:rsidRPr="00183B5F" w:rsidRDefault="00943743" w:rsidP="006E6466">
      <w:pPr>
        <w:pStyle w:val="EMEANormal"/>
        <w:rPr>
          <w:lang w:val="hu-HU"/>
        </w:rPr>
      </w:pPr>
      <w:r w:rsidRPr="00183B5F">
        <w:rPr>
          <w:lang w:val="hu-HU"/>
        </w:rPr>
        <w:t>Az UV I és UV II vizsgálat nem kontrollos, hosszú távú kiterjesztésében résztvevő 424 beteg közül 60 bizonyult vizsgálatra alkalmatlannak (például adminisztratív eltérések miatt, vagy mert a diabéteszes retinopathia másodlagos komplikációi alakultak ki náluk, szürkehályog</w:t>
      </w:r>
      <w:r w:rsidRPr="00183B5F">
        <w:rPr>
          <w:lang w:val="hu-HU"/>
        </w:rPr>
        <w:noBreakHyphen/>
        <w:t>műtét vagy vitrektómia következtében), és került kizárásra a hatásosság elsődleges elemzéséből. A 364 vizsgálatban maradó beteg közül 269 értékelésre alkalmas beteg (74%) érte el a 78 hetet a nyílt elrendezésű adalimumab</w:t>
      </w:r>
      <w:r w:rsidR="006B34D6" w:rsidRPr="00183B5F">
        <w:rPr>
          <w:lang w:val="hu-HU"/>
        </w:rPr>
        <w:t>-</w:t>
      </w:r>
      <w:r w:rsidRPr="00183B5F">
        <w:rPr>
          <w:lang w:val="hu-HU"/>
        </w:rPr>
        <w:t>kezelés során. A</w:t>
      </w:r>
      <w:r w:rsidRPr="00183B5F">
        <w:rPr>
          <w:szCs w:val="22"/>
          <w:lang w:val="hu-HU"/>
        </w:rPr>
        <w:t xml:space="preserve"> megfigyelt adatok elemzése alapján</w:t>
      </w:r>
      <w:r w:rsidRPr="00183B5F">
        <w:rPr>
          <w:lang w:val="hu-HU"/>
        </w:rPr>
        <w:t xml:space="preserve"> 216 beteg (80,3%) volt nyugalmi állapotban (aktív gyulladásos elváltozás nélkül, </w:t>
      </w:r>
      <w:r w:rsidRPr="00183B5F">
        <w:rPr>
          <w:szCs w:val="22"/>
          <w:lang w:val="hu-HU"/>
        </w:rPr>
        <w:t xml:space="preserve">elülső csarnoki sejtszint </w:t>
      </w:r>
      <w:r w:rsidRPr="00183B5F">
        <w:rPr>
          <w:lang w:val="hu-HU"/>
        </w:rPr>
        <w:t>≤ 0,5+</w:t>
      </w:r>
      <w:r w:rsidRPr="00183B5F">
        <w:rPr>
          <w:szCs w:val="22"/>
          <w:lang w:val="hu-HU"/>
        </w:rPr>
        <w:t xml:space="preserve">, üvegtesti homály mértéke </w:t>
      </w:r>
      <w:r w:rsidRPr="00183B5F">
        <w:rPr>
          <w:lang w:val="hu-HU"/>
        </w:rPr>
        <w:t>≤ 0,5+), napi folyamatos ≤ 7,5 mg szteroid dózis mellett, és 178 beteg (66,2%) szteroidkezelés nél</w:t>
      </w:r>
      <w:r w:rsidRPr="00183B5F">
        <w:rPr>
          <w:lang w:val="hu-HU"/>
        </w:rPr>
        <w:t xml:space="preserve">küli nyugalmi állapotban volt. </w:t>
      </w:r>
      <w:r w:rsidRPr="00183B5F">
        <w:rPr>
          <w:szCs w:val="22"/>
          <w:lang w:val="hu-HU"/>
        </w:rPr>
        <w:t xml:space="preserve">A legjobb korrigált látásélesség javult vagy változatlan maradt </w:t>
      </w:r>
      <w:r w:rsidRPr="00183B5F">
        <w:rPr>
          <w:lang w:val="hu-HU"/>
        </w:rPr>
        <w:t>(kevesebb mint 5 értéket romlott) a szemek 88,6%</w:t>
      </w:r>
      <w:r w:rsidRPr="00183B5F">
        <w:rPr>
          <w:lang w:val="hu-HU"/>
        </w:rPr>
        <w:noBreakHyphen/>
        <w:t>a esetében a 78. héten. A 78. hetet követően az adatok általában konzisztensek voltak ezekkel az eredményekkel, de a bevont betegek száma ez után az idő után csökkent. Összességében a vizsgálatot abbahagyó betegek 18%-a mellékhatások, 8%-a az adalimumab</w:t>
      </w:r>
      <w:r w:rsidRPr="00183B5F">
        <w:rPr>
          <w:lang w:val="hu-HU"/>
        </w:rPr>
        <w:noBreakHyphen/>
        <w:t>kezelésre adott elégtelen válasz miatt hagyta abba a kezelést.</w:t>
      </w:r>
    </w:p>
    <w:p w14:paraId="59705AFC" w14:textId="77777777" w:rsidR="006E6466" w:rsidRPr="00183B5F" w:rsidRDefault="006E6466" w:rsidP="006E6466">
      <w:pPr>
        <w:pStyle w:val="EMEANormal"/>
        <w:rPr>
          <w:lang w:val="hu-HU"/>
        </w:rPr>
      </w:pPr>
    </w:p>
    <w:p w14:paraId="465F5DEC" w14:textId="77777777" w:rsidR="00764497" w:rsidRPr="00183B5F" w:rsidRDefault="00943743">
      <w:pPr>
        <w:pStyle w:val="EMEANormal"/>
        <w:rPr>
          <w:i/>
          <w:szCs w:val="22"/>
          <w:u w:val="single"/>
          <w:lang w:val="hu-HU"/>
        </w:rPr>
      </w:pPr>
      <w:r w:rsidRPr="00183B5F">
        <w:rPr>
          <w:i/>
          <w:szCs w:val="22"/>
          <w:u w:val="single"/>
          <w:lang w:val="hu-HU"/>
        </w:rPr>
        <w:t>Életminőség</w:t>
      </w:r>
    </w:p>
    <w:p w14:paraId="53A3018C" w14:textId="77777777" w:rsidR="00764497" w:rsidRPr="00183B5F" w:rsidRDefault="00764497">
      <w:pPr>
        <w:pStyle w:val="EMEANormal"/>
        <w:rPr>
          <w:i/>
          <w:szCs w:val="22"/>
          <w:u w:val="single"/>
          <w:lang w:val="hu-HU"/>
        </w:rPr>
      </w:pPr>
    </w:p>
    <w:p w14:paraId="2F7F3765" w14:textId="77777777" w:rsidR="00764497" w:rsidRPr="00183B5F" w:rsidRDefault="00943743">
      <w:pPr>
        <w:pStyle w:val="EMEANormal"/>
        <w:rPr>
          <w:lang w:val="hu-HU"/>
        </w:rPr>
      </w:pPr>
      <w:r w:rsidRPr="00183B5F">
        <w:rPr>
          <w:lang w:val="hu-HU"/>
        </w:rPr>
        <w:t>A betegek által jelentett, látásfunkcióval összefüggő kimenetelt mindkét vizsgálatban a NEI VFQ</w:t>
      </w:r>
      <w:r w:rsidRPr="00183B5F">
        <w:rPr>
          <w:lang w:val="hu-HU"/>
        </w:rPr>
        <w:noBreakHyphen/>
        <w:t>25 (National Eye Institute Vizuális Funkciós Kérdőíve) felhasználásával mérték fel. A Humira számszerű előnyt mutatott az alpontok többségében, és statisztikailag szignifikáns különbség mutatkozott a megszokott látás, szemfájdalom, közellátás, mentális egészség és az összpontszámok átlaga tekintetében az UV I vizsgálatban</w:t>
      </w:r>
      <w:r w:rsidR="00FE6A19" w:rsidRPr="00183B5F">
        <w:rPr>
          <w:lang w:val="hu-HU"/>
        </w:rPr>
        <w:t>,</w:t>
      </w:r>
      <w:r w:rsidRPr="00183B5F">
        <w:rPr>
          <w:lang w:val="hu-HU"/>
        </w:rPr>
        <w:t xml:space="preserve"> és</w:t>
      </w:r>
      <w:r w:rsidR="00FE6A19" w:rsidRPr="00183B5F">
        <w:rPr>
          <w:lang w:val="hu-HU"/>
        </w:rPr>
        <w:t xml:space="preserve"> a</w:t>
      </w:r>
      <w:r w:rsidRPr="00183B5F">
        <w:rPr>
          <w:lang w:val="hu-HU"/>
        </w:rPr>
        <w:t xml:space="preserve"> megszokott látás és mentális egészség vonatkozásában az UV II vizsgálatban. A látással összefüggő hatások közül nem mutatott számszerű előnyt a Humira a színlátás vonatkozásában az </w:t>
      </w:r>
      <w:r w:rsidRPr="00183B5F">
        <w:rPr>
          <w:lang w:val="hu-HU"/>
        </w:rPr>
        <w:t>UV I vizsgálatban és a színlátás, a perifériás látás és a közellátás vonatkozásában az UV II vizsgálatban.</w:t>
      </w:r>
    </w:p>
    <w:p w14:paraId="3E7CE7DF" w14:textId="77777777" w:rsidR="00764497" w:rsidRPr="00183B5F" w:rsidRDefault="00764497" w:rsidP="004062FE">
      <w:pPr>
        <w:spacing w:line="240" w:lineRule="auto"/>
        <w:rPr>
          <w:szCs w:val="22"/>
        </w:rPr>
      </w:pPr>
    </w:p>
    <w:p w14:paraId="58D8291B" w14:textId="77777777" w:rsidR="00764497" w:rsidRPr="00183B5F" w:rsidRDefault="00943743" w:rsidP="006E6466">
      <w:pPr>
        <w:keepNext/>
        <w:spacing w:line="240" w:lineRule="auto"/>
        <w:rPr>
          <w:szCs w:val="22"/>
          <w:u w:val="single"/>
        </w:rPr>
      </w:pPr>
      <w:r w:rsidRPr="00183B5F">
        <w:rPr>
          <w:szCs w:val="22"/>
          <w:u w:val="single"/>
        </w:rPr>
        <w:t>Immunogenitás</w:t>
      </w:r>
    </w:p>
    <w:p w14:paraId="77ADDB81" w14:textId="77777777" w:rsidR="00764497" w:rsidRPr="00183B5F" w:rsidRDefault="00764497" w:rsidP="006E6466">
      <w:pPr>
        <w:keepNext/>
        <w:spacing w:line="240" w:lineRule="auto"/>
        <w:rPr>
          <w:szCs w:val="22"/>
          <w:u w:val="single"/>
        </w:rPr>
      </w:pPr>
    </w:p>
    <w:p w14:paraId="63CAD6E0" w14:textId="77777777" w:rsidR="00764497" w:rsidRPr="00183B5F" w:rsidRDefault="00943743" w:rsidP="004062FE">
      <w:pPr>
        <w:spacing w:line="240" w:lineRule="auto"/>
        <w:rPr>
          <w:szCs w:val="22"/>
        </w:rPr>
      </w:pPr>
      <w:r w:rsidRPr="00183B5F">
        <w:rPr>
          <w:szCs w:val="22"/>
        </w:rPr>
        <w:t>Adalimumab</w:t>
      </w:r>
      <w:r w:rsidR="00E5381A" w:rsidRPr="00183B5F">
        <w:rPr>
          <w:szCs w:val="22"/>
        </w:rPr>
        <w:noBreakHyphen/>
      </w:r>
      <w:r w:rsidRPr="00183B5F">
        <w:rPr>
          <w:szCs w:val="22"/>
        </w:rPr>
        <w:t>ellenes antiestek képződése az adalimumab clearance</w:t>
      </w:r>
      <w:r w:rsidRPr="00183B5F">
        <w:rPr>
          <w:szCs w:val="22"/>
        </w:rPr>
        <w:noBreakHyphen/>
      </w:r>
      <w:r w:rsidRPr="00183B5F">
        <w:rPr>
          <w:szCs w:val="22"/>
        </w:rPr>
        <w:t>ének növekedésével és a hatásosságának csökkenésével jár. Az adalimumab</w:t>
      </w:r>
      <w:r w:rsidR="00E5381A" w:rsidRPr="00183B5F">
        <w:rPr>
          <w:szCs w:val="22"/>
        </w:rPr>
        <w:noBreakHyphen/>
      </w:r>
      <w:r w:rsidRPr="00183B5F">
        <w:rPr>
          <w:szCs w:val="22"/>
        </w:rPr>
        <w:t>ellenes antitestek jelenléte és a mellékhatások előfordulása között nincs nyilvánvaló összefüggés.</w:t>
      </w:r>
    </w:p>
    <w:p w14:paraId="77A248AE" w14:textId="77777777" w:rsidR="001C2086" w:rsidRPr="00183B5F" w:rsidRDefault="001C2086" w:rsidP="004062FE">
      <w:pPr>
        <w:spacing w:line="240" w:lineRule="auto"/>
        <w:rPr>
          <w:szCs w:val="22"/>
        </w:rPr>
      </w:pPr>
    </w:p>
    <w:p w14:paraId="27CB3E56" w14:textId="77777777" w:rsidR="00B71292" w:rsidRPr="00183B5F" w:rsidRDefault="00943743" w:rsidP="00B71292">
      <w:pPr>
        <w:spacing w:line="240" w:lineRule="auto"/>
        <w:rPr>
          <w:szCs w:val="22"/>
        </w:rPr>
      </w:pPr>
      <w:r w:rsidRPr="00183B5F">
        <w:rPr>
          <w:szCs w:val="22"/>
        </w:rPr>
        <w:t>A reumatoid arthritis I, II és III vizsgálatban a betegeknél több időpontban vizsgálták az adalimumab</w:t>
      </w:r>
      <w:r w:rsidR="00E5381A" w:rsidRPr="00183B5F">
        <w:rPr>
          <w:szCs w:val="22"/>
        </w:rPr>
        <w:noBreakHyphen/>
      </w:r>
      <w:r w:rsidRPr="00183B5F">
        <w:rPr>
          <w:szCs w:val="22"/>
        </w:rPr>
        <w:t>ellenes antitestek jelenlétét a 6 – 12 hónapos időszak folyamán. A pivotális vizsgálatokban adalimumab</w:t>
      </w:r>
      <w:r w:rsidRPr="00183B5F">
        <w:rPr>
          <w:szCs w:val="22"/>
        </w:rPr>
        <w:noBreakHyphen/>
        <w:t xml:space="preserve">ellenes antitesteket </w:t>
      </w:r>
      <w:r w:rsidR="001C2086" w:rsidRPr="00183B5F">
        <w:rPr>
          <w:szCs w:val="22"/>
        </w:rPr>
        <w:t xml:space="preserve">az adalimumabbal kezelt betegek </w:t>
      </w:r>
      <w:r w:rsidRPr="00183B5F">
        <w:rPr>
          <w:szCs w:val="22"/>
        </w:rPr>
        <w:t>5,5%</w:t>
      </w:r>
      <w:r w:rsidRPr="00183B5F">
        <w:rPr>
          <w:szCs w:val="22"/>
        </w:rPr>
        <w:noBreakHyphen/>
      </w:r>
      <w:r w:rsidR="001C2086" w:rsidRPr="00183B5F">
        <w:rPr>
          <w:szCs w:val="22"/>
        </w:rPr>
        <w:t>ánál</w:t>
      </w:r>
      <w:r w:rsidRPr="00183B5F">
        <w:rPr>
          <w:szCs w:val="22"/>
        </w:rPr>
        <w:t xml:space="preserve"> (58/1053) észleltek, szemben a placebocsoportban észlelt 0,5%</w:t>
      </w:r>
      <w:r w:rsidRPr="00183B5F">
        <w:rPr>
          <w:szCs w:val="22"/>
        </w:rPr>
        <w:noBreakHyphen/>
        <w:t>kal (2/370). Az egyidejűleg metotrexát</w:t>
      </w:r>
      <w:r w:rsidRPr="00183B5F">
        <w:rPr>
          <w:szCs w:val="22"/>
        </w:rPr>
        <w:noBreakHyphen/>
        <w:t>kezelésben nem részesült betegeknél az incidencia 12,4% volt, szemben a 0,6%</w:t>
      </w:r>
      <w:r w:rsidRPr="00183B5F">
        <w:rPr>
          <w:szCs w:val="22"/>
        </w:rPr>
        <w:noBreakHyphen/>
        <w:t>os incidenciával azoknál, akiknél az adalimumabot a metotrexát</w:t>
      </w:r>
      <w:r w:rsidRPr="00183B5F">
        <w:rPr>
          <w:szCs w:val="22"/>
        </w:rPr>
        <w:noBreakHyphen/>
        <w:t>kezeléssel kombinációban alkalmazták.</w:t>
      </w:r>
    </w:p>
    <w:p w14:paraId="3B233E49" w14:textId="77777777" w:rsidR="00764497" w:rsidRPr="00183B5F" w:rsidRDefault="00764497" w:rsidP="004062FE">
      <w:pPr>
        <w:spacing w:line="240" w:lineRule="auto"/>
        <w:rPr>
          <w:szCs w:val="22"/>
        </w:rPr>
      </w:pPr>
    </w:p>
    <w:p w14:paraId="52195694" w14:textId="77777777" w:rsidR="00764497" w:rsidRPr="00183B5F" w:rsidRDefault="00943743" w:rsidP="004062FE">
      <w:pPr>
        <w:spacing w:line="240" w:lineRule="auto"/>
        <w:rPr>
          <w:szCs w:val="22"/>
        </w:rPr>
      </w:pPr>
      <w:r w:rsidRPr="00183B5F">
        <w:rPr>
          <w:szCs w:val="22"/>
        </w:rPr>
        <w:t>A 269, Crohn</w:t>
      </w:r>
      <w:r w:rsidRPr="00183B5F">
        <w:rPr>
          <w:szCs w:val="22"/>
        </w:rPr>
        <w:noBreakHyphen/>
        <w:t>betegségben szenvedő beteg közül 7 (2,6%) és 487, colitis ulcerosában szenvedő beteg közül 19 (3,9%) szérumában mutattak ki adalimumab</w:t>
      </w:r>
      <w:r w:rsidR="001C2086" w:rsidRPr="00183B5F">
        <w:rPr>
          <w:szCs w:val="22"/>
        </w:rPr>
        <w:t>-ellenes</w:t>
      </w:r>
      <w:r w:rsidRPr="00183B5F">
        <w:rPr>
          <w:szCs w:val="22"/>
        </w:rPr>
        <w:t xml:space="preserve"> antitesteket. </w:t>
      </w:r>
    </w:p>
    <w:p w14:paraId="311B405C" w14:textId="77777777" w:rsidR="00764497" w:rsidRPr="00183B5F" w:rsidRDefault="00764497" w:rsidP="004062FE">
      <w:pPr>
        <w:spacing w:line="240" w:lineRule="auto"/>
        <w:rPr>
          <w:szCs w:val="22"/>
        </w:rPr>
      </w:pPr>
    </w:p>
    <w:p w14:paraId="7D80E608" w14:textId="77777777" w:rsidR="00764497" w:rsidRPr="00183B5F" w:rsidRDefault="00943743" w:rsidP="004062FE">
      <w:pPr>
        <w:spacing w:line="240" w:lineRule="auto"/>
        <w:rPr>
          <w:szCs w:val="22"/>
        </w:rPr>
      </w:pPr>
      <w:r w:rsidRPr="00183B5F">
        <w:rPr>
          <w:szCs w:val="22"/>
        </w:rPr>
        <w:t>Psoriasisos felnőtt betegek körében 77/920 adalimumab</w:t>
      </w:r>
      <w:r w:rsidR="002D38D3" w:rsidRPr="00183B5F">
        <w:rPr>
          <w:szCs w:val="22"/>
        </w:rPr>
        <w:t>-</w:t>
      </w:r>
      <w:r w:rsidRPr="00183B5F">
        <w:rPr>
          <w:szCs w:val="22"/>
        </w:rPr>
        <w:t xml:space="preserve">monoterápiával kezelt </w:t>
      </w:r>
      <w:r w:rsidR="001C2086" w:rsidRPr="00183B5F">
        <w:rPr>
          <w:szCs w:val="22"/>
        </w:rPr>
        <w:t>beteg</w:t>
      </w:r>
      <w:r w:rsidRPr="00183B5F">
        <w:rPr>
          <w:szCs w:val="22"/>
        </w:rPr>
        <w:t xml:space="preserve"> esetében (8,4%) mutattak ki adalimumab</w:t>
      </w:r>
      <w:r w:rsidR="001C2086" w:rsidRPr="00183B5F">
        <w:rPr>
          <w:szCs w:val="22"/>
        </w:rPr>
        <w:t>-ellenes</w:t>
      </w:r>
      <w:r w:rsidRPr="00183B5F">
        <w:rPr>
          <w:szCs w:val="22"/>
        </w:rPr>
        <w:t xml:space="preserve"> antitesteket.</w:t>
      </w:r>
    </w:p>
    <w:p w14:paraId="5505AE3A" w14:textId="77777777" w:rsidR="00764497" w:rsidRPr="00183B5F" w:rsidRDefault="00764497" w:rsidP="004062FE">
      <w:pPr>
        <w:spacing w:line="240" w:lineRule="auto"/>
        <w:rPr>
          <w:szCs w:val="22"/>
        </w:rPr>
      </w:pPr>
    </w:p>
    <w:p w14:paraId="55F9C182" w14:textId="77777777" w:rsidR="00764497" w:rsidRPr="00183B5F" w:rsidRDefault="00943743" w:rsidP="004062FE">
      <w:pPr>
        <w:spacing w:line="240" w:lineRule="auto"/>
        <w:rPr>
          <w:szCs w:val="22"/>
        </w:rPr>
      </w:pPr>
      <w:r w:rsidRPr="00183B5F">
        <w:rPr>
          <w:szCs w:val="22"/>
        </w:rPr>
        <w:t>Azoknál a hosszú időn át adalimumab</w:t>
      </w:r>
      <w:r w:rsidR="002D38D3" w:rsidRPr="00183B5F">
        <w:rPr>
          <w:szCs w:val="22"/>
        </w:rPr>
        <w:t>-</w:t>
      </w:r>
      <w:r w:rsidRPr="00183B5F">
        <w:rPr>
          <w:szCs w:val="22"/>
        </w:rPr>
        <w:t>monoterápiát kapó, plakkos psoriasisos felnőtt betegeknél, akik részt</w:t>
      </w:r>
      <w:r w:rsidR="001C2086" w:rsidRPr="00183B5F">
        <w:rPr>
          <w:szCs w:val="22"/>
        </w:rPr>
        <w:t xml:space="preserve"> </w:t>
      </w:r>
      <w:r w:rsidRPr="00183B5F">
        <w:rPr>
          <w:szCs w:val="22"/>
        </w:rPr>
        <w:t>vettek a kezelés abbahagyását</w:t>
      </w:r>
      <w:r w:rsidR="00177C94" w:rsidRPr="00183B5F">
        <w:rPr>
          <w:szCs w:val="22"/>
        </w:rPr>
        <w:t>,</w:t>
      </w:r>
      <w:r w:rsidRPr="00183B5F">
        <w:rPr>
          <w:szCs w:val="22"/>
        </w:rPr>
        <w:t xml:space="preserve"> majd újrakezdését értékelő vizsgálatban, az újrakezdést </w:t>
      </w:r>
      <w:r w:rsidR="002D38D3" w:rsidRPr="00183B5F">
        <w:rPr>
          <w:szCs w:val="22"/>
        </w:rPr>
        <w:t>követően az adalimumab</w:t>
      </w:r>
      <w:r w:rsidR="002D38D3" w:rsidRPr="00183B5F">
        <w:rPr>
          <w:szCs w:val="22"/>
        </w:rPr>
        <w:noBreakHyphen/>
        <w:t>ellenes antitestek aránya</w:t>
      </w:r>
      <w:r w:rsidRPr="00183B5F">
        <w:rPr>
          <w:szCs w:val="22"/>
        </w:rPr>
        <w:t xml:space="preserve"> (482 beteg közüll 11; 2,3%) hasonló volt a kezelés abbahagyása előtti arányhoz (590 beteg közül 11; 1,9%).</w:t>
      </w:r>
    </w:p>
    <w:p w14:paraId="69817B48" w14:textId="77777777" w:rsidR="00764497" w:rsidRPr="00183B5F" w:rsidRDefault="00764497" w:rsidP="004062FE">
      <w:pPr>
        <w:spacing w:line="240" w:lineRule="auto"/>
        <w:rPr>
          <w:szCs w:val="22"/>
        </w:rPr>
      </w:pPr>
    </w:p>
    <w:p w14:paraId="276357F1" w14:textId="77777777" w:rsidR="00764497" w:rsidRPr="00183B5F" w:rsidRDefault="00943743" w:rsidP="004062FE">
      <w:pPr>
        <w:spacing w:line="240" w:lineRule="auto"/>
        <w:rPr>
          <w:szCs w:val="22"/>
        </w:rPr>
      </w:pPr>
      <w:r w:rsidRPr="00183B5F">
        <w:rPr>
          <w:szCs w:val="22"/>
        </w:rPr>
        <w:t>A közepesen súlyos, súlyos hidradenitis suppurativában szenvedő, adalimumabbal kezelt betegek 10,1%</w:t>
      </w:r>
      <w:r w:rsidRPr="00183B5F">
        <w:rPr>
          <w:szCs w:val="22"/>
        </w:rPr>
        <w:noBreakHyphen/>
        <w:t>ánál (10/99 betegnél) azonosítottak adalimumab</w:t>
      </w:r>
      <w:r w:rsidRPr="00183B5F">
        <w:rPr>
          <w:szCs w:val="22"/>
        </w:rPr>
        <w:noBreakHyphen/>
        <w:t>ellenes antitesteket.</w:t>
      </w:r>
    </w:p>
    <w:p w14:paraId="293189C6" w14:textId="77777777" w:rsidR="00764497" w:rsidRPr="00183B5F" w:rsidRDefault="00764497">
      <w:pPr>
        <w:spacing w:line="240" w:lineRule="auto"/>
        <w:outlineLvl w:val="0"/>
        <w:rPr>
          <w:noProof/>
          <w:szCs w:val="24"/>
        </w:rPr>
      </w:pPr>
    </w:p>
    <w:p w14:paraId="6C7F46DF" w14:textId="77777777" w:rsidR="00764497" w:rsidRPr="00183B5F" w:rsidRDefault="00943743" w:rsidP="004062FE">
      <w:pPr>
        <w:spacing w:line="240" w:lineRule="auto"/>
        <w:rPr>
          <w:szCs w:val="22"/>
        </w:rPr>
      </w:pPr>
      <w:r w:rsidRPr="00183B5F">
        <w:rPr>
          <w:szCs w:val="22"/>
        </w:rPr>
        <w:t>Közepesen súlyos - súlyos aktivitású Crohn</w:t>
      </w:r>
      <w:r w:rsidRPr="00183B5F">
        <w:rPr>
          <w:szCs w:val="22"/>
        </w:rPr>
        <w:noBreakHyphen/>
        <w:t>betegségben szenvedő gyermekeknél az adalimumab</w:t>
      </w:r>
      <w:r w:rsidR="001C2086" w:rsidRPr="00183B5F">
        <w:rPr>
          <w:szCs w:val="22"/>
        </w:rPr>
        <w:t>-ellenes</w:t>
      </w:r>
      <w:r w:rsidRPr="00183B5F">
        <w:rPr>
          <w:szCs w:val="22"/>
        </w:rPr>
        <w:t xml:space="preserve"> antitest kialakulásának aránya adalimumabot kapó betegeknél 3,3% volt.</w:t>
      </w:r>
    </w:p>
    <w:p w14:paraId="69CEBFF6" w14:textId="77777777" w:rsidR="00764497" w:rsidRPr="00183B5F" w:rsidRDefault="00764497" w:rsidP="004062FE">
      <w:pPr>
        <w:spacing w:line="240" w:lineRule="auto"/>
        <w:rPr>
          <w:szCs w:val="22"/>
        </w:rPr>
      </w:pPr>
    </w:p>
    <w:p w14:paraId="3BA73063" w14:textId="77777777" w:rsidR="00764497" w:rsidRPr="00183B5F" w:rsidRDefault="00943743" w:rsidP="004062FE">
      <w:pPr>
        <w:spacing w:line="240" w:lineRule="auto"/>
        <w:rPr>
          <w:szCs w:val="22"/>
        </w:rPr>
      </w:pPr>
      <w:r w:rsidRPr="00183B5F">
        <w:rPr>
          <w:szCs w:val="22"/>
        </w:rPr>
        <w:t xml:space="preserve">A nem fertőzéses eredetű uveitisben szenvedő, adalimumabbal kezelt </w:t>
      </w:r>
      <w:r w:rsidR="007809D6" w:rsidRPr="00183B5F">
        <w:rPr>
          <w:szCs w:val="22"/>
        </w:rPr>
        <w:t xml:space="preserve">felnőtt </w:t>
      </w:r>
      <w:r w:rsidRPr="00183B5F">
        <w:rPr>
          <w:szCs w:val="22"/>
        </w:rPr>
        <w:t>betegek 4,8%</w:t>
      </w:r>
      <w:r w:rsidRPr="00183B5F">
        <w:rPr>
          <w:szCs w:val="22"/>
        </w:rPr>
        <w:noBreakHyphen/>
        <w:t>ánál (12/249) azonosítottak adalimumab</w:t>
      </w:r>
      <w:r w:rsidRPr="00183B5F">
        <w:rPr>
          <w:szCs w:val="22"/>
        </w:rPr>
        <w:noBreakHyphen/>
        <w:t>ellenes antitesteket.</w:t>
      </w:r>
    </w:p>
    <w:p w14:paraId="17F80EA6" w14:textId="77777777" w:rsidR="00764497" w:rsidRPr="00183B5F" w:rsidRDefault="00764497" w:rsidP="004062FE">
      <w:pPr>
        <w:spacing w:line="240" w:lineRule="auto"/>
        <w:rPr>
          <w:szCs w:val="22"/>
        </w:rPr>
      </w:pPr>
    </w:p>
    <w:p w14:paraId="2256B120" w14:textId="77777777" w:rsidR="00B804FE" w:rsidRPr="00183B5F" w:rsidRDefault="00943743" w:rsidP="004062FE">
      <w:pPr>
        <w:spacing w:line="240" w:lineRule="auto"/>
      </w:pPr>
      <w:r w:rsidRPr="00183B5F">
        <w:t xml:space="preserve">Közepesen súlyos </w:t>
      </w:r>
      <w:bookmarkStart w:id="8509" w:name="_Hlk53384847"/>
      <w:r w:rsidR="00C65171" w:rsidRPr="00183B5F">
        <w:t>–</w:t>
      </w:r>
      <w:bookmarkEnd w:id="8509"/>
      <w:r w:rsidRPr="00183B5F">
        <w:t xml:space="preserve"> súlyos akt</w:t>
      </w:r>
      <w:r w:rsidR="003F6646" w:rsidRPr="00183B5F">
        <w:t>i</w:t>
      </w:r>
      <w:r w:rsidR="0006073D" w:rsidRPr="00183B5F">
        <w:t>vi</w:t>
      </w:r>
      <w:r w:rsidR="003F6646" w:rsidRPr="00183B5F">
        <w:t>tású</w:t>
      </w:r>
      <w:r w:rsidRPr="00183B5F">
        <w:t xml:space="preserve"> gyermek</w:t>
      </w:r>
      <w:r w:rsidR="003F6646" w:rsidRPr="00183B5F">
        <w:t>- es serdülő</w:t>
      </w:r>
      <w:r w:rsidRPr="00183B5F">
        <w:t xml:space="preserve">kori colitis ulcerosában szenvedő betegeknél az adalimumab elleni antitestek </w:t>
      </w:r>
      <w:r w:rsidR="00C65171" w:rsidRPr="00183B5F">
        <w:t>kialakulásának</w:t>
      </w:r>
      <w:r w:rsidRPr="00183B5F">
        <w:t xml:space="preserve"> aránya az adalimumabbal kezelt betegeknél 3% volt.</w:t>
      </w:r>
    </w:p>
    <w:p w14:paraId="72D5E2A7" w14:textId="77777777" w:rsidR="00324E94" w:rsidRPr="00183B5F" w:rsidRDefault="00324E94" w:rsidP="004062FE">
      <w:pPr>
        <w:spacing w:line="240" w:lineRule="auto"/>
        <w:rPr>
          <w:szCs w:val="22"/>
        </w:rPr>
      </w:pPr>
    </w:p>
    <w:p w14:paraId="12650C31" w14:textId="77777777" w:rsidR="00764497" w:rsidRPr="00183B5F" w:rsidRDefault="00943743" w:rsidP="004062FE">
      <w:pPr>
        <w:spacing w:line="240" w:lineRule="auto"/>
        <w:rPr>
          <w:szCs w:val="22"/>
        </w:rPr>
      </w:pPr>
      <w:r w:rsidRPr="00183B5F">
        <w:rPr>
          <w:szCs w:val="22"/>
        </w:rPr>
        <w:t>Az immunogenitási vizsgálatok termékspecifikusak, így az antitestráták összehasonlítása más termékekével nem helyes.</w:t>
      </w:r>
    </w:p>
    <w:p w14:paraId="49918074" w14:textId="77777777" w:rsidR="00764497" w:rsidRPr="00183B5F" w:rsidRDefault="00764497">
      <w:pPr>
        <w:spacing w:line="240" w:lineRule="auto"/>
        <w:outlineLvl w:val="0"/>
        <w:rPr>
          <w:rFonts w:eastAsia="SimSun"/>
          <w:szCs w:val="22"/>
          <w:lang w:eastAsia="zh-CN"/>
        </w:rPr>
      </w:pPr>
    </w:p>
    <w:p w14:paraId="6DF9B502" w14:textId="77777777" w:rsidR="00764497" w:rsidRPr="00183B5F" w:rsidRDefault="00943743">
      <w:pPr>
        <w:spacing w:line="240" w:lineRule="auto"/>
        <w:rPr>
          <w:szCs w:val="22"/>
          <w:u w:val="single"/>
        </w:rPr>
      </w:pPr>
      <w:r w:rsidRPr="00183B5F">
        <w:rPr>
          <w:szCs w:val="22"/>
          <w:u w:val="single"/>
        </w:rPr>
        <w:t>Gyermekek és serdülők</w:t>
      </w:r>
    </w:p>
    <w:p w14:paraId="1FA209E3" w14:textId="77777777" w:rsidR="00EF053A" w:rsidRPr="00183B5F" w:rsidRDefault="00EF053A">
      <w:pPr>
        <w:spacing w:line="240" w:lineRule="auto"/>
        <w:rPr>
          <w:szCs w:val="22"/>
          <w:u w:val="single"/>
        </w:rPr>
      </w:pPr>
    </w:p>
    <w:p w14:paraId="2661FC31" w14:textId="77777777" w:rsidR="00EF053A" w:rsidRPr="00183B5F" w:rsidRDefault="00943743" w:rsidP="00EF053A">
      <w:pPr>
        <w:pStyle w:val="EMEANormal"/>
        <w:rPr>
          <w:i/>
          <w:szCs w:val="22"/>
          <w:lang w:val="hu-HU"/>
        </w:rPr>
      </w:pPr>
      <w:r w:rsidRPr="00183B5F">
        <w:rPr>
          <w:i/>
          <w:szCs w:val="22"/>
          <w:lang w:val="hu-HU"/>
        </w:rPr>
        <w:t>Serdülőkori hidradenitis suppurativa</w:t>
      </w:r>
    </w:p>
    <w:p w14:paraId="1814BC85" w14:textId="77777777" w:rsidR="00EF053A" w:rsidRPr="00183B5F" w:rsidRDefault="00EF053A" w:rsidP="00EF053A">
      <w:pPr>
        <w:pStyle w:val="EMEANormal"/>
        <w:rPr>
          <w:i/>
          <w:szCs w:val="22"/>
          <w:lang w:val="hu-HU"/>
        </w:rPr>
      </w:pPr>
    </w:p>
    <w:p w14:paraId="6E90F030" w14:textId="77777777" w:rsidR="00EF053A" w:rsidRPr="00183B5F" w:rsidRDefault="00943743" w:rsidP="00EF053A">
      <w:pPr>
        <w:spacing w:line="240" w:lineRule="auto"/>
        <w:rPr>
          <w:szCs w:val="22"/>
        </w:rPr>
      </w:pPr>
      <w:r w:rsidRPr="00183B5F">
        <w:rPr>
          <w:szCs w:val="22"/>
        </w:rPr>
        <w:t>A Humira-val nem folytattak klinikai vizsgálatokat HS-ben szenvedő serdülőkorú betegeknél. Az adalimumab hatásossága a HS-ben szenvedő serdülőkorú betegeknél a felnőtt HS betegeknél mutatott hatásosság és expozíciós válasz alapján előre látható, valamint annak a valószínűsége alapján, hogy betegség lefolyása, a kórélettan és a gyógyszer hatása lényegében megegyezik a felnőtteknél észlelttel az azonos expozíciós szinteken. A serdülőkori HS</w:t>
      </w:r>
      <w:r w:rsidRPr="00183B5F">
        <w:rPr>
          <w:szCs w:val="22"/>
        </w:rPr>
        <w:noBreakHyphen/>
        <w:t>ben ajánlott adalimumab adag biztonságosságának alapja az adalimumab keresztindikációs biztonságossági profilja mind a felnőtt, mind gyermekgyógyászati betegeknél, azonos vagy gyakoribb adagolás mellett (lásd 5.2 pont).</w:t>
      </w:r>
    </w:p>
    <w:p w14:paraId="495B5247" w14:textId="77777777" w:rsidR="00EF053A" w:rsidRPr="00183B5F" w:rsidRDefault="00EF053A" w:rsidP="00EF053A">
      <w:pPr>
        <w:pStyle w:val="EMEAHeadingUnderline"/>
        <w:tabs>
          <w:tab w:val="clear" w:pos="562"/>
        </w:tabs>
        <w:spacing w:beforeLines="0" w:afterLines="0"/>
        <w:rPr>
          <w:i/>
          <w:szCs w:val="22"/>
          <w:u w:val="none"/>
          <w:lang w:val="hu-HU"/>
        </w:rPr>
      </w:pPr>
    </w:p>
    <w:p w14:paraId="4F705CE9" w14:textId="77777777" w:rsidR="00EF053A" w:rsidRPr="00183B5F" w:rsidRDefault="00943743" w:rsidP="00EF053A">
      <w:pPr>
        <w:pStyle w:val="EMEAHeadingUnderline"/>
        <w:tabs>
          <w:tab w:val="clear" w:pos="562"/>
        </w:tabs>
        <w:spacing w:beforeLines="0" w:afterLines="0"/>
        <w:rPr>
          <w:i/>
          <w:szCs w:val="22"/>
          <w:u w:val="none"/>
          <w:lang w:val="hu-HU"/>
        </w:rPr>
      </w:pPr>
      <w:r w:rsidRPr="00183B5F">
        <w:rPr>
          <w:i/>
          <w:szCs w:val="22"/>
          <w:u w:val="none"/>
          <w:lang w:val="hu-HU"/>
        </w:rPr>
        <w:t>Gyermekkori Crohn</w:t>
      </w:r>
      <w:r w:rsidRPr="00183B5F">
        <w:rPr>
          <w:i/>
          <w:szCs w:val="22"/>
          <w:u w:val="none"/>
          <w:lang w:val="hu-HU"/>
        </w:rPr>
        <w:noBreakHyphen/>
        <w:t>betegség</w:t>
      </w:r>
    </w:p>
    <w:p w14:paraId="24A93ECC" w14:textId="77777777" w:rsidR="00EF053A" w:rsidRPr="00183B5F" w:rsidRDefault="00943743" w:rsidP="00EF053A">
      <w:pPr>
        <w:pStyle w:val="EMEAHeadingUnderline"/>
        <w:tabs>
          <w:tab w:val="clear" w:pos="562"/>
        </w:tabs>
        <w:spacing w:beforeLines="0" w:afterLines="0"/>
        <w:rPr>
          <w:szCs w:val="22"/>
          <w:u w:val="none"/>
          <w:lang w:val="hu-HU"/>
        </w:rPr>
      </w:pPr>
      <w:r w:rsidRPr="00183B5F">
        <w:rPr>
          <w:szCs w:val="22"/>
          <w:lang w:val="hu-HU"/>
        </w:rPr>
        <w:br/>
      </w:r>
      <w:r w:rsidRPr="00183B5F">
        <w:rPr>
          <w:szCs w:val="22"/>
          <w:u w:val="none"/>
          <w:lang w:val="hu-HU"/>
        </w:rPr>
        <w:t>Egy multicentrikus, randomizált, kettős vak klinikai vizsgálatban tanulmányozták az indukciós és fenntartó Humira</w:t>
      </w:r>
      <w:r w:rsidRPr="00183B5F">
        <w:rPr>
          <w:szCs w:val="22"/>
          <w:u w:val="none"/>
          <w:lang w:val="hu-HU"/>
        </w:rPr>
        <w:noBreakHyphen/>
        <w:t>kezelés hatásosságát és biztonságosságát testtömegre illesztett dózisokkal (&lt; 40 kg vagy ≥ 40 kg) 192, 6-17 éves korú (bezárólag), közepesen súlyos-súlyos aktivitású Crohn</w:t>
      </w:r>
      <w:r w:rsidRPr="00183B5F">
        <w:rPr>
          <w:szCs w:val="22"/>
          <w:u w:val="none"/>
          <w:lang w:val="hu-HU"/>
        </w:rPr>
        <w:noBreakHyphen/>
        <w:t>betegségben (CD) szenvedő gyermekeknél, amely a definíció szerint PCDAI (Gyermekkori Crohn</w:t>
      </w:r>
      <w:r w:rsidRPr="00183B5F">
        <w:rPr>
          <w:szCs w:val="22"/>
          <w:u w:val="none"/>
          <w:lang w:val="hu-HU"/>
        </w:rPr>
        <w:noBreakHyphen/>
        <w:t>betegség Aktivitási Index)-pontszám &gt; 30 esetén állt fenn. Beválasztási kritérium volt, hogy a betegek nem reagáltak a CD hagyományos k</w:t>
      </w:r>
      <w:r w:rsidRPr="00183B5F">
        <w:rPr>
          <w:szCs w:val="22"/>
          <w:u w:val="none"/>
          <w:lang w:val="hu-HU"/>
        </w:rPr>
        <w:t>ezelésére (beleértve egy kortikoszteroidot és/vagy egy immunmodulátort). Az infliximab hatásának megszűnése vagy az arra kialakuló intolerancia a kórtörténetben megengedett volt.</w:t>
      </w:r>
    </w:p>
    <w:p w14:paraId="0BDADE05" w14:textId="77777777" w:rsidR="00EF053A" w:rsidRPr="00183B5F" w:rsidRDefault="00EF053A" w:rsidP="00EF053A">
      <w:pPr>
        <w:spacing w:line="240" w:lineRule="auto"/>
        <w:rPr>
          <w:szCs w:val="22"/>
        </w:rPr>
      </w:pPr>
    </w:p>
    <w:p w14:paraId="66842B59" w14:textId="77777777" w:rsidR="00EF053A" w:rsidRPr="00183B5F" w:rsidRDefault="00943743" w:rsidP="00EF053A">
      <w:pPr>
        <w:pStyle w:val="EMEANormal"/>
        <w:rPr>
          <w:szCs w:val="22"/>
          <w:lang w:val="hu-HU"/>
        </w:rPr>
      </w:pPr>
      <w:r w:rsidRPr="00183B5F">
        <w:rPr>
          <w:szCs w:val="22"/>
          <w:lang w:val="hu-HU"/>
        </w:rPr>
        <w:t>Minden beteg nyílt indukciós kezelést kapott a kiindulási testtömegnek megfelelő dózisban: a 0. héten 160 mg és a 2. héten 80 mg a legalább 40 kg testtömegű betegeknél, valamint 80 és 40 mg a 40 kg alatti testtömegű betegeknél.</w:t>
      </w:r>
    </w:p>
    <w:p w14:paraId="777FE4BF" w14:textId="77777777" w:rsidR="00EF053A" w:rsidRPr="00183B5F" w:rsidRDefault="00EF053A" w:rsidP="00EF053A">
      <w:pPr>
        <w:pStyle w:val="EMEANormal"/>
        <w:rPr>
          <w:szCs w:val="22"/>
          <w:lang w:val="hu-HU"/>
        </w:rPr>
      </w:pPr>
    </w:p>
    <w:p w14:paraId="0077776A" w14:textId="77777777" w:rsidR="00EF053A" w:rsidRPr="00183B5F" w:rsidRDefault="00943743" w:rsidP="00211B92">
      <w:pPr>
        <w:pStyle w:val="EMEANormal"/>
        <w:rPr>
          <w:szCs w:val="22"/>
          <w:lang w:val="hu-HU"/>
        </w:rPr>
      </w:pPr>
      <w:r w:rsidRPr="00183B5F">
        <w:rPr>
          <w:szCs w:val="22"/>
          <w:lang w:val="hu-HU"/>
        </w:rPr>
        <w:t>A 4. héten a betegeket testtömegük alapján Alacsony dózisú vagy Standard dózisú fenntartó kezelési sémákra randomizálták 1:1 arányban (1</w:t>
      </w:r>
      <w:r w:rsidR="00211B92" w:rsidRPr="00183B5F">
        <w:rPr>
          <w:szCs w:val="22"/>
          <w:lang w:val="hu-HU"/>
        </w:rPr>
        <w:t>8</w:t>
      </w:r>
      <w:r w:rsidRPr="00183B5F">
        <w:rPr>
          <w:szCs w:val="22"/>
          <w:lang w:val="hu-HU"/>
        </w:rPr>
        <w:t>. táblázat).</w:t>
      </w:r>
    </w:p>
    <w:p w14:paraId="022CD316" w14:textId="77777777" w:rsidR="00EF053A" w:rsidRPr="00183B5F" w:rsidRDefault="00EF053A" w:rsidP="00EF053A">
      <w:pPr>
        <w:spacing w:line="240" w:lineRule="auto"/>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
        <w:gridCol w:w="1210"/>
        <w:gridCol w:w="1210"/>
      </w:tblGrid>
      <w:tr w:rsidR="00011D2F" w14:paraId="52181B5B" w14:textId="77777777" w:rsidTr="00EF053A">
        <w:trPr>
          <w:trHeight w:val="263"/>
          <w:jc w:val="center"/>
        </w:trPr>
        <w:tc>
          <w:tcPr>
            <w:tcW w:w="3529" w:type="dxa"/>
            <w:gridSpan w:val="3"/>
          </w:tcPr>
          <w:p w14:paraId="0CAAA19A" w14:textId="77777777" w:rsidR="00EF053A" w:rsidRPr="00183B5F" w:rsidRDefault="00943743" w:rsidP="00211B92">
            <w:pPr>
              <w:pStyle w:val="EMEANormal"/>
              <w:jc w:val="center"/>
              <w:rPr>
                <w:b/>
                <w:szCs w:val="22"/>
                <w:lang w:val="hu-HU"/>
              </w:rPr>
            </w:pPr>
            <w:r w:rsidRPr="00183B5F">
              <w:rPr>
                <w:b/>
                <w:szCs w:val="22"/>
                <w:lang w:val="hu-HU"/>
              </w:rPr>
              <w:t>1</w:t>
            </w:r>
            <w:r w:rsidR="00211B92" w:rsidRPr="00183B5F">
              <w:rPr>
                <w:b/>
                <w:szCs w:val="22"/>
                <w:lang w:val="hu-HU"/>
              </w:rPr>
              <w:t>8</w:t>
            </w:r>
            <w:r w:rsidRPr="00183B5F">
              <w:rPr>
                <w:b/>
                <w:szCs w:val="22"/>
                <w:lang w:val="hu-HU"/>
              </w:rPr>
              <w:t>. táblázat</w:t>
            </w:r>
          </w:p>
          <w:p w14:paraId="09064F2D" w14:textId="77777777" w:rsidR="00EF053A" w:rsidRPr="00183B5F" w:rsidRDefault="00943743" w:rsidP="00EF053A">
            <w:pPr>
              <w:pStyle w:val="EMEANormal"/>
              <w:jc w:val="center"/>
              <w:rPr>
                <w:szCs w:val="22"/>
                <w:lang w:val="hu-HU"/>
              </w:rPr>
            </w:pPr>
            <w:r w:rsidRPr="00183B5F">
              <w:rPr>
                <w:b/>
                <w:szCs w:val="22"/>
                <w:lang w:val="hu-HU"/>
              </w:rPr>
              <w:t>Fenntartó kezelési séma</w:t>
            </w:r>
          </w:p>
        </w:tc>
      </w:tr>
      <w:tr w:rsidR="00011D2F" w14:paraId="6C6F716A" w14:textId="77777777" w:rsidTr="00EF053A">
        <w:trPr>
          <w:jc w:val="center"/>
        </w:trPr>
        <w:tc>
          <w:tcPr>
            <w:tcW w:w="1109" w:type="dxa"/>
          </w:tcPr>
          <w:p w14:paraId="01DE40AC" w14:textId="77777777" w:rsidR="00EF053A" w:rsidRPr="00183B5F" w:rsidRDefault="00943743" w:rsidP="00EF053A">
            <w:pPr>
              <w:pStyle w:val="EMEANormal"/>
              <w:rPr>
                <w:b/>
                <w:szCs w:val="22"/>
                <w:lang w:val="hu-HU"/>
              </w:rPr>
            </w:pPr>
            <w:r w:rsidRPr="00183B5F">
              <w:rPr>
                <w:b/>
                <w:szCs w:val="22"/>
                <w:lang w:val="hu-HU"/>
              </w:rPr>
              <w:t>A beteg testtömege</w:t>
            </w:r>
          </w:p>
        </w:tc>
        <w:tc>
          <w:tcPr>
            <w:tcW w:w="1210" w:type="dxa"/>
          </w:tcPr>
          <w:p w14:paraId="4663B7A3" w14:textId="77777777" w:rsidR="00EF053A" w:rsidRPr="00183B5F" w:rsidRDefault="00943743" w:rsidP="00EF053A">
            <w:pPr>
              <w:pStyle w:val="EMEANormal"/>
              <w:rPr>
                <w:b/>
                <w:szCs w:val="22"/>
                <w:lang w:val="hu-HU"/>
              </w:rPr>
            </w:pPr>
            <w:r w:rsidRPr="00183B5F">
              <w:rPr>
                <w:b/>
                <w:szCs w:val="22"/>
                <w:lang w:val="hu-HU"/>
              </w:rPr>
              <w:t>Alacsony dózis</w:t>
            </w:r>
          </w:p>
        </w:tc>
        <w:tc>
          <w:tcPr>
            <w:tcW w:w="1210" w:type="dxa"/>
          </w:tcPr>
          <w:p w14:paraId="7A88C80C" w14:textId="77777777" w:rsidR="00EF053A" w:rsidRPr="00183B5F" w:rsidRDefault="00943743" w:rsidP="00EF053A">
            <w:pPr>
              <w:pStyle w:val="EMEANormal"/>
              <w:rPr>
                <w:b/>
                <w:szCs w:val="22"/>
                <w:lang w:val="hu-HU"/>
              </w:rPr>
            </w:pPr>
            <w:r w:rsidRPr="00183B5F">
              <w:rPr>
                <w:b/>
                <w:szCs w:val="22"/>
                <w:lang w:val="hu-HU"/>
              </w:rPr>
              <w:t>Standard dózis</w:t>
            </w:r>
          </w:p>
        </w:tc>
      </w:tr>
      <w:tr w:rsidR="00011D2F" w14:paraId="3DD9FE19" w14:textId="77777777" w:rsidTr="00EF053A">
        <w:trPr>
          <w:jc w:val="center"/>
        </w:trPr>
        <w:tc>
          <w:tcPr>
            <w:tcW w:w="1109" w:type="dxa"/>
          </w:tcPr>
          <w:p w14:paraId="0A5ECF7F" w14:textId="77777777" w:rsidR="00EF053A" w:rsidRPr="00183B5F" w:rsidRDefault="00943743" w:rsidP="00EF053A">
            <w:pPr>
              <w:pStyle w:val="EMEANormal"/>
              <w:rPr>
                <w:szCs w:val="22"/>
                <w:lang w:val="hu-HU"/>
              </w:rPr>
            </w:pPr>
            <w:r w:rsidRPr="00183B5F">
              <w:rPr>
                <w:szCs w:val="22"/>
                <w:lang w:val="hu-HU"/>
              </w:rPr>
              <w:t>&lt; 40 kg</w:t>
            </w:r>
          </w:p>
        </w:tc>
        <w:tc>
          <w:tcPr>
            <w:tcW w:w="1210" w:type="dxa"/>
          </w:tcPr>
          <w:p w14:paraId="724AE279" w14:textId="77777777" w:rsidR="00EF053A" w:rsidRPr="00183B5F" w:rsidRDefault="00943743" w:rsidP="00EF053A">
            <w:pPr>
              <w:pStyle w:val="EMEANormal"/>
              <w:rPr>
                <w:szCs w:val="22"/>
                <w:lang w:val="hu-HU"/>
              </w:rPr>
            </w:pPr>
            <w:r w:rsidRPr="00183B5F">
              <w:rPr>
                <w:szCs w:val="22"/>
                <w:lang w:val="hu-HU"/>
              </w:rPr>
              <w:t>10 mg</w:t>
            </w:r>
          </w:p>
          <w:p w14:paraId="3DDF23A9" w14:textId="77777777" w:rsidR="00EF053A" w:rsidRPr="00183B5F" w:rsidRDefault="00943743" w:rsidP="00EF053A">
            <w:pPr>
              <w:pStyle w:val="EMEANormal"/>
              <w:rPr>
                <w:szCs w:val="22"/>
                <w:lang w:val="hu-HU"/>
              </w:rPr>
            </w:pPr>
            <w:r w:rsidRPr="00183B5F">
              <w:rPr>
                <w:szCs w:val="22"/>
                <w:lang w:val="hu-HU"/>
              </w:rPr>
              <w:t>kéthetente</w:t>
            </w:r>
          </w:p>
        </w:tc>
        <w:tc>
          <w:tcPr>
            <w:tcW w:w="1210" w:type="dxa"/>
          </w:tcPr>
          <w:p w14:paraId="3467CCDB" w14:textId="77777777" w:rsidR="00EF053A" w:rsidRPr="00183B5F" w:rsidRDefault="00943743" w:rsidP="00EF053A">
            <w:pPr>
              <w:pStyle w:val="EMEANormal"/>
              <w:rPr>
                <w:szCs w:val="22"/>
                <w:lang w:val="hu-HU"/>
              </w:rPr>
            </w:pPr>
            <w:r w:rsidRPr="00183B5F">
              <w:rPr>
                <w:szCs w:val="22"/>
                <w:lang w:val="hu-HU"/>
              </w:rPr>
              <w:t>20 mg</w:t>
            </w:r>
          </w:p>
          <w:p w14:paraId="0D2ACBD2" w14:textId="77777777" w:rsidR="00EF053A" w:rsidRPr="00183B5F" w:rsidRDefault="00943743" w:rsidP="00EF053A">
            <w:pPr>
              <w:pStyle w:val="EMEANormal"/>
              <w:rPr>
                <w:szCs w:val="22"/>
                <w:lang w:val="hu-HU"/>
              </w:rPr>
            </w:pPr>
            <w:r w:rsidRPr="00183B5F">
              <w:rPr>
                <w:szCs w:val="22"/>
                <w:lang w:val="hu-HU"/>
              </w:rPr>
              <w:t>kéthetente</w:t>
            </w:r>
          </w:p>
        </w:tc>
      </w:tr>
      <w:tr w:rsidR="00011D2F" w14:paraId="7AE42D70" w14:textId="77777777" w:rsidTr="00EF053A">
        <w:trPr>
          <w:jc w:val="center"/>
        </w:trPr>
        <w:tc>
          <w:tcPr>
            <w:tcW w:w="1109" w:type="dxa"/>
          </w:tcPr>
          <w:p w14:paraId="6EF5D182" w14:textId="77777777" w:rsidR="00EF053A" w:rsidRPr="00183B5F" w:rsidRDefault="00943743" w:rsidP="00EF053A">
            <w:pPr>
              <w:pStyle w:val="EMEANormal"/>
              <w:rPr>
                <w:szCs w:val="22"/>
                <w:lang w:val="hu-HU"/>
              </w:rPr>
            </w:pPr>
            <w:r w:rsidRPr="00183B5F">
              <w:rPr>
                <w:szCs w:val="22"/>
                <w:lang w:val="hu-HU"/>
              </w:rPr>
              <w:t>≥ 40 kg</w:t>
            </w:r>
          </w:p>
        </w:tc>
        <w:tc>
          <w:tcPr>
            <w:tcW w:w="1210" w:type="dxa"/>
          </w:tcPr>
          <w:p w14:paraId="67734C8E" w14:textId="77777777" w:rsidR="00EF053A" w:rsidRPr="00183B5F" w:rsidRDefault="00943743" w:rsidP="00EF053A">
            <w:pPr>
              <w:pStyle w:val="EMEANormal"/>
              <w:rPr>
                <w:szCs w:val="22"/>
                <w:lang w:val="hu-HU"/>
              </w:rPr>
            </w:pPr>
            <w:r w:rsidRPr="00183B5F">
              <w:rPr>
                <w:szCs w:val="22"/>
                <w:lang w:val="hu-HU"/>
              </w:rPr>
              <w:t>20 mg</w:t>
            </w:r>
          </w:p>
          <w:p w14:paraId="4D4CC5D1" w14:textId="77777777" w:rsidR="00EF053A" w:rsidRPr="00183B5F" w:rsidRDefault="00943743" w:rsidP="00EF053A">
            <w:pPr>
              <w:pStyle w:val="EMEANormal"/>
              <w:rPr>
                <w:szCs w:val="22"/>
                <w:lang w:val="hu-HU"/>
              </w:rPr>
            </w:pPr>
            <w:r w:rsidRPr="00183B5F">
              <w:rPr>
                <w:szCs w:val="22"/>
                <w:lang w:val="hu-HU"/>
              </w:rPr>
              <w:t>kéthetente</w:t>
            </w:r>
          </w:p>
        </w:tc>
        <w:tc>
          <w:tcPr>
            <w:tcW w:w="1210" w:type="dxa"/>
          </w:tcPr>
          <w:p w14:paraId="154DC1CA" w14:textId="77777777" w:rsidR="00EF053A" w:rsidRPr="00183B5F" w:rsidRDefault="00943743" w:rsidP="00EF053A">
            <w:pPr>
              <w:pStyle w:val="EMEANormal"/>
              <w:rPr>
                <w:szCs w:val="22"/>
                <w:lang w:val="hu-HU"/>
              </w:rPr>
            </w:pPr>
            <w:r w:rsidRPr="00183B5F">
              <w:rPr>
                <w:szCs w:val="22"/>
                <w:lang w:val="hu-HU"/>
              </w:rPr>
              <w:t>40 mg</w:t>
            </w:r>
          </w:p>
          <w:p w14:paraId="63101435" w14:textId="77777777" w:rsidR="00EF053A" w:rsidRPr="00183B5F" w:rsidRDefault="00943743" w:rsidP="00EF053A">
            <w:pPr>
              <w:pStyle w:val="EMEANormal"/>
              <w:rPr>
                <w:szCs w:val="22"/>
                <w:lang w:val="hu-HU"/>
              </w:rPr>
            </w:pPr>
            <w:r w:rsidRPr="00183B5F">
              <w:rPr>
                <w:szCs w:val="22"/>
                <w:lang w:val="hu-HU"/>
              </w:rPr>
              <w:t>kéthetente</w:t>
            </w:r>
          </w:p>
        </w:tc>
      </w:tr>
    </w:tbl>
    <w:p w14:paraId="1EB00904" w14:textId="77777777" w:rsidR="00EF053A" w:rsidRPr="00183B5F" w:rsidRDefault="00EF053A" w:rsidP="00EF053A">
      <w:pPr>
        <w:spacing w:line="240" w:lineRule="auto"/>
        <w:rPr>
          <w:szCs w:val="22"/>
        </w:rPr>
      </w:pPr>
    </w:p>
    <w:p w14:paraId="6256A482" w14:textId="77777777" w:rsidR="00EF053A" w:rsidRPr="00183B5F" w:rsidRDefault="00943743" w:rsidP="00EF053A">
      <w:pPr>
        <w:pStyle w:val="EMEANormal"/>
        <w:keepNext/>
        <w:rPr>
          <w:i/>
          <w:szCs w:val="22"/>
          <w:u w:val="single"/>
          <w:lang w:val="hu-HU"/>
        </w:rPr>
      </w:pPr>
      <w:r w:rsidRPr="00183B5F">
        <w:rPr>
          <w:i/>
          <w:szCs w:val="22"/>
          <w:u w:val="single"/>
          <w:lang w:val="hu-HU"/>
        </w:rPr>
        <w:t>Hatásossági eredmények</w:t>
      </w:r>
    </w:p>
    <w:p w14:paraId="30F20910" w14:textId="77777777" w:rsidR="00EF053A" w:rsidRPr="00183B5F" w:rsidRDefault="00EF053A" w:rsidP="00EF053A">
      <w:pPr>
        <w:pStyle w:val="EMEANormal"/>
        <w:keepNext/>
        <w:rPr>
          <w:i/>
          <w:szCs w:val="22"/>
          <w:lang w:val="hu-HU"/>
        </w:rPr>
      </w:pPr>
    </w:p>
    <w:p w14:paraId="50526BA0" w14:textId="77777777" w:rsidR="00EF053A" w:rsidRPr="00183B5F" w:rsidRDefault="00943743" w:rsidP="00EF053A">
      <w:pPr>
        <w:pStyle w:val="EMEANormal"/>
        <w:keepNext/>
        <w:rPr>
          <w:szCs w:val="22"/>
          <w:lang w:val="hu-HU"/>
        </w:rPr>
      </w:pPr>
      <w:r w:rsidRPr="00183B5F">
        <w:rPr>
          <w:szCs w:val="22"/>
          <w:lang w:val="hu-HU"/>
        </w:rPr>
        <w:t>A vizsgálat elsődleges végpontja a 26. hétre elért remisszió volt, amely a definíció szerint a PCDAI</w:t>
      </w:r>
      <w:r w:rsidRPr="00183B5F">
        <w:rPr>
          <w:szCs w:val="22"/>
          <w:lang w:val="hu-HU"/>
        </w:rPr>
        <w:noBreakHyphen/>
        <w:t>pontszám ≤ 10.</w:t>
      </w:r>
    </w:p>
    <w:p w14:paraId="04F7B78A" w14:textId="77777777" w:rsidR="00EF053A" w:rsidRPr="00183B5F" w:rsidRDefault="00EF053A" w:rsidP="00EF053A">
      <w:pPr>
        <w:pStyle w:val="EMEANormal"/>
        <w:rPr>
          <w:szCs w:val="22"/>
          <w:lang w:val="hu-HU"/>
        </w:rPr>
      </w:pPr>
    </w:p>
    <w:p w14:paraId="2E48D784" w14:textId="77777777" w:rsidR="00EF053A" w:rsidRPr="00183B5F" w:rsidRDefault="00943743" w:rsidP="00211B92">
      <w:pPr>
        <w:pStyle w:val="EMEANormal"/>
        <w:rPr>
          <w:szCs w:val="22"/>
          <w:lang w:val="hu-HU"/>
        </w:rPr>
      </w:pPr>
      <w:r w:rsidRPr="00183B5F">
        <w:rPr>
          <w:szCs w:val="22"/>
          <w:lang w:val="hu-HU"/>
        </w:rPr>
        <w:t>A klinikai remisszió és a klinikai válasz (meghatározás szerint a PCDAI-pontszám a kiindulási értéktől számított, legalább 15 pontos csökkenése) mértéke a 1</w:t>
      </w:r>
      <w:r w:rsidR="00211B92" w:rsidRPr="00183B5F">
        <w:rPr>
          <w:szCs w:val="22"/>
          <w:lang w:val="hu-HU"/>
        </w:rPr>
        <w:t>9</w:t>
      </w:r>
      <w:r w:rsidRPr="00183B5F">
        <w:rPr>
          <w:szCs w:val="22"/>
          <w:lang w:val="hu-HU"/>
        </w:rPr>
        <w:t xml:space="preserve">. táblázatban van feltüntetve. A kortikoszteroidok vagy az immunmodulátorok elhagyásának arányait a </w:t>
      </w:r>
      <w:r w:rsidR="00211B92" w:rsidRPr="00183B5F">
        <w:rPr>
          <w:szCs w:val="22"/>
          <w:lang w:val="hu-HU"/>
        </w:rPr>
        <w:t>20</w:t>
      </w:r>
      <w:r w:rsidRPr="00183B5F">
        <w:rPr>
          <w:szCs w:val="22"/>
          <w:lang w:val="hu-HU"/>
        </w:rPr>
        <w:t>. táblázat tartalmazza.</w:t>
      </w:r>
    </w:p>
    <w:p w14:paraId="3B80A723" w14:textId="77777777" w:rsidR="00EF053A" w:rsidRPr="00183B5F" w:rsidRDefault="00EF053A" w:rsidP="00EF053A">
      <w:pPr>
        <w:keepNext/>
        <w:spacing w:line="240" w:lineRule="auto"/>
      </w:pPr>
    </w:p>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011D2F" w14:paraId="0BB0FBDE" w14:textId="77777777" w:rsidTr="00EF053A">
        <w:trPr>
          <w:jc w:val="center"/>
        </w:trPr>
        <w:tc>
          <w:tcPr>
            <w:tcW w:w="6673" w:type="dxa"/>
            <w:gridSpan w:val="4"/>
            <w:tcBorders>
              <w:top w:val="single" w:sz="6" w:space="0" w:color="000000"/>
              <w:left w:val="single" w:sz="6" w:space="0" w:color="000000"/>
              <w:bottom w:val="single" w:sz="6" w:space="0" w:color="000000"/>
              <w:right w:val="single" w:sz="6" w:space="0" w:color="000000"/>
            </w:tcBorders>
          </w:tcPr>
          <w:p w14:paraId="5198CECB" w14:textId="77777777" w:rsidR="00EF053A" w:rsidRPr="00183B5F" w:rsidRDefault="00943743" w:rsidP="002D49EE">
            <w:pPr>
              <w:tabs>
                <w:tab w:val="left" w:pos="-878"/>
              </w:tabs>
              <w:suppressAutoHyphens w:val="0"/>
              <w:autoSpaceDE w:val="0"/>
              <w:autoSpaceDN w:val="0"/>
              <w:adjustRightInd w:val="0"/>
              <w:spacing w:line="240" w:lineRule="auto"/>
              <w:ind w:left="15"/>
              <w:jc w:val="center"/>
              <w:rPr>
                <w:b/>
                <w:bCs/>
                <w:szCs w:val="22"/>
              </w:rPr>
            </w:pPr>
            <w:r w:rsidRPr="00183B5F">
              <w:rPr>
                <w:b/>
                <w:bCs/>
                <w:szCs w:val="22"/>
              </w:rPr>
              <w:t>1</w:t>
            </w:r>
            <w:r w:rsidR="00211B92" w:rsidRPr="00183B5F">
              <w:rPr>
                <w:b/>
                <w:bCs/>
                <w:szCs w:val="22"/>
              </w:rPr>
              <w:t>9</w:t>
            </w:r>
            <w:r w:rsidRPr="00183B5F">
              <w:rPr>
                <w:b/>
                <w:bCs/>
                <w:szCs w:val="22"/>
              </w:rPr>
              <w:t>. táblázat</w:t>
            </w:r>
          </w:p>
          <w:p w14:paraId="6E421CDB" w14:textId="77777777" w:rsidR="00EF053A" w:rsidRPr="00183B5F" w:rsidRDefault="00943743" w:rsidP="002D49EE">
            <w:pPr>
              <w:tabs>
                <w:tab w:val="left" w:pos="-878"/>
              </w:tabs>
              <w:suppressAutoHyphens w:val="0"/>
              <w:autoSpaceDE w:val="0"/>
              <w:autoSpaceDN w:val="0"/>
              <w:adjustRightInd w:val="0"/>
              <w:spacing w:line="240" w:lineRule="auto"/>
              <w:ind w:left="15"/>
              <w:jc w:val="center"/>
              <w:rPr>
                <w:b/>
                <w:bCs/>
                <w:szCs w:val="22"/>
              </w:rPr>
            </w:pPr>
            <w:r w:rsidRPr="00183B5F">
              <w:rPr>
                <w:b/>
                <w:bCs/>
                <w:szCs w:val="22"/>
              </w:rPr>
              <w:t>Gyermekkori CD Vizsgálat</w:t>
            </w:r>
          </w:p>
          <w:p w14:paraId="7959F8F6" w14:textId="77777777" w:rsidR="00EF053A" w:rsidRPr="00183B5F" w:rsidRDefault="00943743" w:rsidP="002D49EE">
            <w:pPr>
              <w:tabs>
                <w:tab w:val="left" w:pos="-878"/>
              </w:tabs>
              <w:suppressAutoHyphens w:val="0"/>
              <w:autoSpaceDE w:val="0"/>
              <w:autoSpaceDN w:val="0"/>
              <w:adjustRightInd w:val="0"/>
              <w:spacing w:line="240" w:lineRule="auto"/>
              <w:ind w:left="15"/>
              <w:jc w:val="center"/>
              <w:rPr>
                <w:b/>
                <w:bCs/>
                <w:szCs w:val="22"/>
              </w:rPr>
            </w:pPr>
            <w:r w:rsidRPr="00183B5F">
              <w:rPr>
                <w:b/>
                <w:bCs/>
                <w:szCs w:val="22"/>
              </w:rPr>
              <w:t xml:space="preserve">PCDAI </w:t>
            </w:r>
            <w:r w:rsidRPr="00183B5F">
              <w:rPr>
                <w:b/>
                <w:szCs w:val="22"/>
              </w:rPr>
              <w:t xml:space="preserve">Klinikai </w:t>
            </w:r>
            <w:r w:rsidRPr="00183B5F">
              <w:rPr>
                <w:b/>
                <w:bCs/>
                <w:szCs w:val="22"/>
              </w:rPr>
              <w:t>remisszió és válasz</w:t>
            </w:r>
          </w:p>
        </w:tc>
      </w:tr>
      <w:tr w:rsidR="00011D2F" w14:paraId="4E5CEEFB" w14:textId="77777777" w:rsidTr="00EF053A">
        <w:trPr>
          <w:jc w:val="center"/>
        </w:trPr>
        <w:tc>
          <w:tcPr>
            <w:tcW w:w="2321" w:type="dxa"/>
            <w:tcBorders>
              <w:top w:val="single" w:sz="6" w:space="0" w:color="000000"/>
              <w:left w:val="single" w:sz="6" w:space="0" w:color="000000"/>
              <w:bottom w:val="single" w:sz="6" w:space="0" w:color="000000"/>
              <w:right w:val="single" w:sz="6" w:space="0" w:color="000000"/>
            </w:tcBorders>
          </w:tcPr>
          <w:p w14:paraId="1FBB28ED" w14:textId="77777777" w:rsidR="00EF053A" w:rsidRPr="00183B5F" w:rsidRDefault="00EF053A" w:rsidP="002D49EE">
            <w:pPr>
              <w:keepLines/>
              <w:tabs>
                <w:tab w:val="left" w:pos="-1080"/>
              </w:tabs>
              <w:suppressAutoHyphens w:val="0"/>
              <w:autoSpaceDE w:val="0"/>
              <w:autoSpaceDN w:val="0"/>
              <w:adjustRightInd w:val="0"/>
              <w:spacing w:line="240" w:lineRule="auto"/>
              <w:ind w:left="15"/>
              <w:jc w:val="center"/>
              <w:rPr>
                <w:b/>
                <w:bCs/>
                <w:szCs w:val="22"/>
              </w:rPr>
            </w:pPr>
          </w:p>
        </w:tc>
        <w:tc>
          <w:tcPr>
            <w:tcW w:w="1614" w:type="dxa"/>
            <w:tcBorders>
              <w:top w:val="single" w:sz="6" w:space="0" w:color="000000"/>
              <w:left w:val="single" w:sz="6" w:space="0" w:color="000000"/>
              <w:bottom w:val="single" w:sz="6" w:space="0" w:color="000000"/>
              <w:right w:val="single" w:sz="6" w:space="0" w:color="000000"/>
            </w:tcBorders>
          </w:tcPr>
          <w:p w14:paraId="6A1DC531" w14:textId="77777777" w:rsidR="00EF053A" w:rsidRPr="00183B5F" w:rsidRDefault="00943743" w:rsidP="002D49EE">
            <w:pPr>
              <w:keepLines/>
              <w:tabs>
                <w:tab w:val="left" w:pos="-1080"/>
              </w:tabs>
              <w:suppressAutoHyphens w:val="0"/>
              <w:autoSpaceDE w:val="0"/>
              <w:autoSpaceDN w:val="0"/>
              <w:adjustRightInd w:val="0"/>
              <w:spacing w:line="240" w:lineRule="auto"/>
              <w:ind w:left="15"/>
              <w:jc w:val="center"/>
              <w:rPr>
                <w:b/>
                <w:bCs/>
                <w:szCs w:val="22"/>
              </w:rPr>
            </w:pPr>
            <w:r w:rsidRPr="00183B5F">
              <w:rPr>
                <w:b/>
                <w:bCs/>
                <w:szCs w:val="22"/>
              </w:rPr>
              <w:t>Standard dózis</w:t>
            </w:r>
          </w:p>
          <w:p w14:paraId="1322D261" w14:textId="77777777" w:rsidR="00EF053A" w:rsidRPr="00183B5F" w:rsidRDefault="00943743" w:rsidP="002D49EE">
            <w:pPr>
              <w:keepLines/>
              <w:tabs>
                <w:tab w:val="left" w:pos="-1080"/>
              </w:tabs>
              <w:suppressAutoHyphens w:val="0"/>
              <w:autoSpaceDE w:val="0"/>
              <w:autoSpaceDN w:val="0"/>
              <w:adjustRightInd w:val="0"/>
              <w:spacing w:line="240" w:lineRule="auto"/>
              <w:ind w:left="15"/>
              <w:jc w:val="center"/>
              <w:rPr>
                <w:b/>
                <w:bCs/>
                <w:szCs w:val="22"/>
              </w:rPr>
            </w:pPr>
            <w:r w:rsidRPr="00183B5F">
              <w:rPr>
                <w:b/>
                <w:bCs/>
                <w:szCs w:val="22"/>
              </w:rPr>
              <w:t>40/20 mg</w:t>
            </w:r>
          </w:p>
          <w:p w14:paraId="39ED8418" w14:textId="77777777" w:rsidR="00EF053A" w:rsidRPr="00183B5F" w:rsidRDefault="00943743" w:rsidP="002D49EE">
            <w:pPr>
              <w:keepLines/>
              <w:tabs>
                <w:tab w:val="left" w:pos="-1080"/>
              </w:tabs>
              <w:suppressAutoHyphens w:val="0"/>
              <w:autoSpaceDE w:val="0"/>
              <w:autoSpaceDN w:val="0"/>
              <w:adjustRightInd w:val="0"/>
              <w:spacing w:line="240" w:lineRule="auto"/>
              <w:ind w:left="15"/>
              <w:jc w:val="center"/>
              <w:rPr>
                <w:b/>
                <w:bCs/>
                <w:szCs w:val="22"/>
              </w:rPr>
            </w:pPr>
            <w:r w:rsidRPr="00183B5F">
              <w:rPr>
                <w:b/>
                <w:bCs/>
                <w:szCs w:val="22"/>
              </w:rPr>
              <w:t xml:space="preserve">kéthetente </w:t>
            </w:r>
          </w:p>
          <w:p w14:paraId="67F150AD" w14:textId="77777777" w:rsidR="00EF053A" w:rsidRPr="00183B5F" w:rsidRDefault="00943743" w:rsidP="002D49EE">
            <w:pPr>
              <w:keepLines/>
              <w:tabs>
                <w:tab w:val="left" w:pos="-1080"/>
              </w:tabs>
              <w:suppressAutoHyphens w:val="0"/>
              <w:autoSpaceDE w:val="0"/>
              <w:autoSpaceDN w:val="0"/>
              <w:adjustRightInd w:val="0"/>
              <w:spacing w:line="240" w:lineRule="auto"/>
              <w:ind w:left="15"/>
              <w:jc w:val="center"/>
              <w:rPr>
                <w:b/>
                <w:bCs/>
                <w:szCs w:val="22"/>
              </w:rPr>
            </w:pPr>
            <w:r w:rsidRPr="00183B5F">
              <w:rPr>
                <w:b/>
                <w:bCs/>
                <w:szCs w:val="22"/>
              </w:rPr>
              <w:t>N = 93</w:t>
            </w:r>
          </w:p>
        </w:tc>
        <w:tc>
          <w:tcPr>
            <w:tcW w:w="1591" w:type="dxa"/>
            <w:tcBorders>
              <w:top w:val="single" w:sz="6" w:space="0" w:color="000000"/>
              <w:left w:val="single" w:sz="6" w:space="0" w:color="000000"/>
              <w:bottom w:val="single" w:sz="6" w:space="0" w:color="000000"/>
              <w:right w:val="single" w:sz="6" w:space="0" w:color="000000"/>
            </w:tcBorders>
          </w:tcPr>
          <w:p w14:paraId="2FB0F363" w14:textId="77777777" w:rsidR="00EF053A" w:rsidRPr="00183B5F" w:rsidRDefault="00943743" w:rsidP="002D49EE">
            <w:pPr>
              <w:keepLines/>
              <w:tabs>
                <w:tab w:val="left" w:pos="-1080"/>
              </w:tabs>
              <w:suppressAutoHyphens w:val="0"/>
              <w:autoSpaceDE w:val="0"/>
              <w:autoSpaceDN w:val="0"/>
              <w:adjustRightInd w:val="0"/>
              <w:spacing w:line="240" w:lineRule="auto"/>
              <w:ind w:left="15"/>
              <w:jc w:val="center"/>
              <w:rPr>
                <w:b/>
                <w:bCs/>
                <w:szCs w:val="22"/>
              </w:rPr>
            </w:pPr>
            <w:r w:rsidRPr="00183B5F">
              <w:rPr>
                <w:b/>
                <w:bCs/>
                <w:szCs w:val="22"/>
              </w:rPr>
              <w:t>Alacsony dózis</w:t>
            </w:r>
          </w:p>
          <w:p w14:paraId="3275DE14" w14:textId="77777777" w:rsidR="00EF053A" w:rsidRPr="00183B5F" w:rsidRDefault="00943743" w:rsidP="002D49EE">
            <w:pPr>
              <w:keepLines/>
              <w:tabs>
                <w:tab w:val="left" w:pos="-1080"/>
              </w:tabs>
              <w:suppressAutoHyphens w:val="0"/>
              <w:autoSpaceDE w:val="0"/>
              <w:autoSpaceDN w:val="0"/>
              <w:adjustRightInd w:val="0"/>
              <w:spacing w:line="240" w:lineRule="auto"/>
              <w:ind w:left="15"/>
              <w:jc w:val="center"/>
              <w:rPr>
                <w:b/>
                <w:bCs/>
                <w:szCs w:val="22"/>
              </w:rPr>
            </w:pPr>
            <w:r w:rsidRPr="00183B5F">
              <w:rPr>
                <w:b/>
                <w:bCs/>
                <w:szCs w:val="22"/>
              </w:rPr>
              <w:t>20/10 mg</w:t>
            </w:r>
          </w:p>
          <w:p w14:paraId="6ED5792F" w14:textId="77777777" w:rsidR="00EF053A" w:rsidRPr="00183B5F" w:rsidRDefault="00943743" w:rsidP="002D49EE">
            <w:pPr>
              <w:keepLines/>
              <w:tabs>
                <w:tab w:val="left" w:pos="-1080"/>
              </w:tabs>
              <w:suppressAutoHyphens w:val="0"/>
              <w:autoSpaceDE w:val="0"/>
              <w:autoSpaceDN w:val="0"/>
              <w:adjustRightInd w:val="0"/>
              <w:spacing w:line="240" w:lineRule="auto"/>
              <w:ind w:left="15"/>
              <w:jc w:val="center"/>
              <w:rPr>
                <w:b/>
                <w:bCs/>
                <w:szCs w:val="22"/>
              </w:rPr>
            </w:pPr>
            <w:r w:rsidRPr="00183B5F">
              <w:rPr>
                <w:b/>
                <w:bCs/>
                <w:szCs w:val="22"/>
              </w:rPr>
              <w:t xml:space="preserve">kéthetente </w:t>
            </w:r>
          </w:p>
          <w:p w14:paraId="0E96EAB3" w14:textId="77777777" w:rsidR="00EF053A" w:rsidRPr="00183B5F" w:rsidRDefault="00943743" w:rsidP="002D49EE">
            <w:pPr>
              <w:keepLines/>
              <w:tabs>
                <w:tab w:val="left" w:pos="-1080"/>
              </w:tabs>
              <w:suppressAutoHyphens w:val="0"/>
              <w:autoSpaceDE w:val="0"/>
              <w:autoSpaceDN w:val="0"/>
              <w:adjustRightInd w:val="0"/>
              <w:spacing w:line="240" w:lineRule="auto"/>
              <w:ind w:left="15"/>
              <w:jc w:val="center"/>
              <w:rPr>
                <w:b/>
                <w:bCs/>
                <w:szCs w:val="22"/>
              </w:rPr>
            </w:pPr>
            <w:r w:rsidRPr="00183B5F">
              <w:rPr>
                <w:b/>
                <w:bCs/>
                <w:szCs w:val="22"/>
              </w:rPr>
              <w:t>N = 95</w:t>
            </w:r>
          </w:p>
        </w:tc>
        <w:tc>
          <w:tcPr>
            <w:tcW w:w="1147" w:type="dxa"/>
            <w:tcBorders>
              <w:top w:val="single" w:sz="6" w:space="0" w:color="000000"/>
              <w:left w:val="single" w:sz="6" w:space="0" w:color="000000"/>
              <w:bottom w:val="single" w:sz="6" w:space="0" w:color="000000"/>
              <w:right w:val="single" w:sz="6" w:space="0" w:color="000000"/>
            </w:tcBorders>
          </w:tcPr>
          <w:p w14:paraId="4EB69AC9" w14:textId="77777777" w:rsidR="00EF053A" w:rsidRPr="00183B5F" w:rsidRDefault="00943743" w:rsidP="002D49EE">
            <w:pPr>
              <w:keepLines/>
              <w:tabs>
                <w:tab w:val="left" w:pos="-1080"/>
              </w:tabs>
              <w:suppressAutoHyphens w:val="0"/>
              <w:autoSpaceDE w:val="0"/>
              <w:autoSpaceDN w:val="0"/>
              <w:adjustRightInd w:val="0"/>
              <w:spacing w:line="240" w:lineRule="auto"/>
              <w:ind w:left="15"/>
              <w:jc w:val="center"/>
              <w:rPr>
                <w:szCs w:val="22"/>
              </w:rPr>
            </w:pPr>
            <w:r w:rsidRPr="00183B5F">
              <w:rPr>
                <w:b/>
                <w:bCs/>
                <w:szCs w:val="22"/>
              </w:rPr>
              <w:t>p</w:t>
            </w:r>
            <w:r w:rsidRPr="00183B5F">
              <w:rPr>
                <w:b/>
                <w:bCs/>
                <w:szCs w:val="22"/>
              </w:rPr>
              <w:noBreakHyphen/>
              <w:t>érték</w:t>
            </w:r>
            <w:r w:rsidRPr="00183B5F">
              <w:rPr>
                <w:szCs w:val="22"/>
              </w:rPr>
              <w:t>*</w:t>
            </w:r>
          </w:p>
        </w:tc>
      </w:tr>
      <w:tr w:rsidR="00011D2F" w14:paraId="315B5288" w14:textId="77777777" w:rsidTr="00EF053A">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5E48E47B" w14:textId="77777777" w:rsidR="00EF053A" w:rsidRPr="00183B5F" w:rsidRDefault="00943743" w:rsidP="002D49EE">
            <w:pPr>
              <w:keepLines/>
              <w:tabs>
                <w:tab w:val="left" w:pos="-1080"/>
              </w:tabs>
              <w:suppressAutoHyphens w:val="0"/>
              <w:autoSpaceDE w:val="0"/>
              <w:autoSpaceDN w:val="0"/>
              <w:adjustRightInd w:val="0"/>
              <w:spacing w:line="240" w:lineRule="auto"/>
              <w:ind w:left="15"/>
              <w:rPr>
                <w:b/>
                <w:bCs/>
                <w:szCs w:val="22"/>
              </w:rPr>
            </w:pPr>
            <w:r w:rsidRPr="00183B5F">
              <w:rPr>
                <w:b/>
                <w:bCs/>
                <w:szCs w:val="22"/>
              </w:rPr>
              <w:t>26. hét</w:t>
            </w:r>
          </w:p>
        </w:tc>
        <w:tc>
          <w:tcPr>
            <w:tcW w:w="1614" w:type="dxa"/>
            <w:tcBorders>
              <w:top w:val="single" w:sz="6" w:space="0" w:color="000000"/>
              <w:left w:val="single" w:sz="6" w:space="0" w:color="000000"/>
              <w:bottom w:val="single" w:sz="6" w:space="0" w:color="000000"/>
              <w:right w:val="single" w:sz="6" w:space="0" w:color="000000"/>
            </w:tcBorders>
            <w:vAlign w:val="bottom"/>
          </w:tcPr>
          <w:p w14:paraId="2D721F99" w14:textId="77777777" w:rsidR="00EF053A" w:rsidRPr="00183B5F" w:rsidRDefault="00EF053A" w:rsidP="002D49EE">
            <w:pPr>
              <w:keepLines/>
              <w:tabs>
                <w:tab w:val="left" w:pos="-1080"/>
              </w:tabs>
              <w:suppressAutoHyphens w:val="0"/>
              <w:autoSpaceDE w:val="0"/>
              <w:autoSpaceDN w:val="0"/>
              <w:adjustRightInd w:val="0"/>
              <w:spacing w:line="240" w:lineRule="auto"/>
              <w:ind w:left="15"/>
              <w:jc w:val="center"/>
              <w:rPr>
                <w:b/>
                <w:bCs/>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0E32ED0D" w14:textId="77777777" w:rsidR="00EF053A" w:rsidRPr="00183B5F" w:rsidRDefault="00EF053A" w:rsidP="002D49EE">
            <w:pPr>
              <w:keepLines/>
              <w:tabs>
                <w:tab w:val="left" w:pos="-1080"/>
              </w:tabs>
              <w:suppressAutoHyphens w:val="0"/>
              <w:autoSpaceDE w:val="0"/>
              <w:autoSpaceDN w:val="0"/>
              <w:adjustRightInd w:val="0"/>
              <w:spacing w:line="240" w:lineRule="auto"/>
              <w:ind w:left="15"/>
              <w:jc w:val="center"/>
              <w:rPr>
                <w:b/>
                <w:bCs/>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52BCD59A" w14:textId="77777777" w:rsidR="00EF053A" w:rsidRPr="00183B5F" w:rsidRDefault="00EF053A" w:rsidP="002D49EE">
            <w:pPr>
              <w:suppressAutoHyphens w:val="0"/>
              <w:autoSpaceDE w:val="0"/>
              <w:autoSpaceDN w:val="0"/>
              <w:adjustRightInd w:val="0"/>
              <w:spacing w:line="240" w:lineRule="auto"/>
              <w:ind w:left="15"/>
              <w:rPr>
                <w:b/>
                <w:bCs/>
                <w:szCs w:val="22"/>
              </w:rPr>
            </w:pPr>
          </w:p>
        </w:tc>
      </w:tr>
      <w:tr w:rsidR="00011D2F" w14:paraId="56569268" w14:textId="77777777" w:rsidTr="00EF053A">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177A003A" w14:textId="77777777" w:rsidR="00EF053A" w:rsidRPr="00183B5F" w:rsidRDefault="00943743" w:rsidP="002D49EE">
            <w:pPr>
              <w:keepLines/>
              <w:tabs>
                <w:tab w:val="left" w:pos="-1080"/>
              </w:tabs>
              <w:suppressAutoHyphens w:val="0"/>
              <w:autoSpaceDE w:val="0"/>
              <w:autoSpaceDN w:val="0"/>
              <w:adjustRightInd w:val="0"/>
              <w:spacing w:line="240" w:lineRule="auto"/>
              <w:ind w:left="15"/>
              <w:rPr>
                <w:szCs w:val="22"/>
              </w:rPr>
            </w:pPr>
            <w:r w:rsidRPr="00183B5F">
              <w:rPr>
                <w:szCs w:val="22"/>
              </w:rPr>
              <w:t xml:space="preserve">   Klinikai remisszió</w:t>
            </w:r>
          </w:p>
        </w:tc>
        <w:tc>
          <w:tcPr>
            <w:tcW w:w="1614" w:type="dxa"/>
            <w:tcBorders>
              <w:top w:val="single" w:sz="6" w:space="0" w:color="000000"/>
              <w:left w:val="single" w:sz="6" w:space="0" w:color="000000"/>
              <w:bottom w:val="single" w:sz="6" w:space="0" w:color="000000"/>
              <w:right w:val="single" w:sz="6" w:space="0" w:color="000000"/>
            </w:tcBorders>
            <w:vAlign w:val="bottom"/>
          </w:tcPr>
          <w:p w14:paraId="3E677C39" w14:textId="77777777" w:rsidR="00EF053A" w:rsidRPr="00183B5F" w:rsidRDefault="00943743" w:rsidP="002D49EE">
            <w:pPr>
              <w:keepLines/>
              <w:tabs>
                <w:tab w:val="left" w:pos="-1080"/>
              </w:tabs>
              <w:suppressAutoHyphens w:val="0"/>
              <w:autoSpaceDE w:val="0"/>
              <w:autoSpaceDN w:val="0"/>
              <w:adjustRightInd w:val="0"/>
              <w:spacing w:line="240" w:lineRule="auto"/>
              <w:ind w:left="15"/>
              <w:jc w:val="center"/>
              <w:rPr>
                <w:szCs w:val="22"/>
              </w:rPr>
            </w:pPr>
            <w:r w:rsidRPr="00183B5F">
              <w:rPr>
                <w:szCs w:val="22"/>
              </w:rPr>
              <w:t>38,7%</w:t>
            </w:r>
          </w:p>
        </w:tc>
        <w:tc>
          <w:tcPr>
            <w:tcW w:w="1591" w:type="dxa"/>
            <w:tcBorders>
              <w:top w:val="single" w:sz="6" w:space="0" w:color="000000"/>
              <w:left w:val="single" w:sz="6" w:space="0" w:color="000000"/>
              <w:bottom w:val="single" w:sz="6" w:space="0" w:color="000000"/>
              <w:right w:val="single" w:sz="6" w:space="0" w:color="000000"/>
            </w:tcBorders>
            <w:vAlign w:val="bottom"/>
          </w:tcPr>
          <w:p w14:paraId="231577AB" w14:textId="77777777" w:rsidR="00EF053A" w:rsidRPr="00183B5F" w:rsidRDefault="00943743" w:rsidP="002D49EE">
            <w:pPr>
              <w:keepLines/>
              <w:tabs>
                <w:tab w:val="left" w:pos="-1080"/>
              </w:tabs>
              <w:suppressAutoHyphens w:val="0"/>
              <w:autoSpaceDE w:val="0"/>
              <w:autoSpaceDN w:val="0"/>
              <w:adjustRightInd w:val="0"/>
              <w:spacing w:line="240" w:lineRule="auto"/>
              <w:ind w:left="15"/>
              <w:jc w:val="center"/>
              <w:rPr>
                <w:szCs w:val="22"/>
              </w:rPr>
            </w:pPr>
            <w:r w:rsidRPr="00183B5F">
              <w:rPr>
                <w:szCs w:val="22"/>
              </w:rPr>
              <w:t>28,4%</w:t>
            </w:r>
          </w:p>
        </w:tc>
        <w:tc>
          <w:tcPr>
            <w:tcW w:w="1147" w:type="dxa"/>
            <w:tcBorders>
              <w:top w:val="single" w:sz="6" w:space="0" w:color="000000"/>
              <w:left w:val="single" w:sz="6" w:space="0" w:color="000000"/>
              <w:bottom w:val="single" w:sz="6" w:space="0" w:color="000000"/>
              <w:right w:val="single" w:sz="6" w:space="0" w:color="000000"/>
            </w:tcBorders>
            <w:vAlign w:val="bottom"/>
          </w:tcPr>
          <w:p w14:paraId="099C9040" w14:textId="77777777" w:rsidR="00EF053A" w:rsidRPr="00183B5F" w:rsidRDefault="00943743" w:rsidP="002D49EE">
            <w:pPr>
              <w:keepLines/>
              <w:tabs>
                <w:tab w:val="left" w:pos="-1080"/>
              </w:tabs>
              <w:suppressAutoHyphens w:val="0"/>
              <w:autoSpaceDE w:val="0"/>
              <w:autoSpaceDN w:val="0"/>
              <w:adjustRightInd w:val="0"/>
              <w:spacing w:line="240" w:lineRule="auto"/>
              <w:ind w:left="15"/>
              <w:jc w:val="center"/>
              <w:rPr>
                <w:szCs w:val="22"/>
              </w:rPr>
            </w:pPr>
            <w:r w:rsidRPr="00183B5F">
              <w:rPr>
                <w:szCs w:val="22"/>
              </w:rPr>
              <w:t>0,075</w:t>
            </w:r>
          </w:p>
        </w:tc>
      </w:tr>
      <w:tr w:rsidR="00011D2F" w14:paraId="653EC895" w14:textId="77777777" w:rsidTr="00EF053A">
        <w:trPr>
          <w:jc w:val="center"/>
        </w:trPr>
        <w:tc>
          <w:tcPr>
            <w:tcW w:w="2321" w:type="dxa"/>
            <w:tcBorders>
              <w:top w:val="single" w:sz="6" w:space="0" w:color="000000"/>
              <w:left w:val="single" w:sz="6" w:space="0" w:color="000000"/>
              <w:bottom w:val="single" w:sz="6" w:space="0" w:color="000000"/>
              <w:right w:val="single" w:sz="6" w:space="0" w:color="000000"/>
            </w:tcBorders>
          </w:tcPr>
          <w:p w14:paraId="523B9199" w14:textId="77777777" w:rsidR="00EF053A" w:rsidRPr="00183B5F" w:rsidRDefault="00943743" w:rsidP="002D49EE">
            <w:pPr>
              <w:keepLines/>
              <w:tabs>
                <w:tab w:val="left" w:pos="-1080"/>
              </w:tabs>
              <w:suppressAutoHyphens w:val="0"/>
              <w:autoSpaceDE w:val="0"/>
              <w:autoSpaceDN w:val="0"/>
              <w:adjustRightInd w:val="0"/>
              <w:spacing w:line="240" w:lineRule="auto"/>
              <w:ind w:left="15"/>
              <w:rPr>
                <w:szCs w:val="22"/>
              </w:rPr>
            </w:pPr>
            <w:r w:rsidRPr="00183B5F">
              <w:rPr>
                <w:szCs w:val="22"/>
              </w:rPr>
              <w:t xml:space="preserve">   Klinikai válasz </w:t>
            </w:r>
          </w:p>
        </w:tc>
        <w:tc>
          <w:tcPr>
            <w:tcW w:w="1614" w:type="dxa"/>
            <w:tcBorders>
              <w:top w:val="single" w:sz="6" w:space="0" w:color="000000"/>
              <w:left w:val="single" w:sz="6" w:space="0" w:color="000000"/>
              <w:bottom w:val="single" w:sz="6" w:space="0" w:color="000000"/>
              <w:right w:val="single" w:sz="6" w:space="0" w:color="000000"/>
            </w:tcBorders>
          </w:tcPr>
          <w:p w14:paraId="524D710C" w14:textId="77777777" w:rsidR="00EF053A" w:rsidRPr="00183B5F" w:rsidRDefault="00943743" w:rsidP="002D49EE">
            <w:pPr>
              <w:keepLines/>
              <w:tabs>
                <w:tab w:val="left" w:pos="-1080"/>
              </w:tabs>
              <w:suppressAutoHyphens w:val="0"/>
              <w:autoSpaceDE w:val="0"/>
              <w:autoSpaceDN w:val="0"/>
              <w:adjustRightInd w:val="0"/>
              <w:spacing w:line="240" w:lineRule="auto"/>
              <w:ind w:left="15"/>
              <w:jc w:val="center"/>
              <w:rPr>
                <w:szCs w:val="22"/>
              </w:rPr>
            </w:pPr>
            <w:r w:rsidRPr="00183B5F">
              <w:rPr>
                <w:szCs w:val="22"/>
              </w:rPr>
              <w:t>59,1%</w:t>
            </w:r>
          </w:p>
        </w:tc>
        <w:tc>
          <w:tcPr>
            <w:tcW w:w="1591" w:type="dxa"/>
            <w:tcBorders>
              <w:top w:val="single" w:sz="6" w:space="0" w:color="000000"/>
              <w:left w:val="single" w:sz="6" w:space="0" w:color="000000"/>
              <w:bottom w:val="single" w:sz="6" w:space="0" w:color="000000"/>
              <w:right w:val="single" w:sz="6" w:space="0" w:color="000000"/>
            </w:tcBorders>
          </w:tcPr>
          <w:p w14:paraId="7FF6CAB9" w14:textId="77777777" w:rsidR="00EF053A" w:rsidRPr="00183B5F" w:rsidRDefault="00943743" w:rsidP="002D49EE">
            <w:pPr>
              <w:keepLines/>
              <w:tabs>
                <w:tab w:val="left" w:pos="-1080"/>
              </w:tabs>
              <w:suppressAutoHyphens w:val="0"/>
              <w:autoSpaceDE w:val="0"/>
              <w:autoSpaceDN w:val="0"/>
              <w:adjustRightInd w:val="0"/>
              <w:spacing w:line="240" w:lineRule="auto"/>
              <w:ind w:left="15"/>
              <w:jc w:val="center"/>
              <w:rPr>
                <w:szCs w:val="22"/>
              </w:rPr>
            </w:pPr>
            <w:r w:rsidRPr="00183B5F">
              <w:rPr>
                <w:szCs w:val="22"/>
              </w:rPr>
              <w:t>48,4%</w:t>
            </w:r>
          </w:p>
        </w:tc>
        <w:tc>
          <w:tcPr>
            <w:tcW w:w="1147" w:type="dxa"/>
            <w:tcBorders>
              <w:top w:val="single" w:sz="6" w:space="0" w:color="000000"/>
              <w:left w:val="single" w:sz="6" w:space="0" w:color="000000"/>
              <w:bottom w:val="single" w:sz="6" w:space="0" w:color="000000"/>
              <w:right w:val="single" w:sz="6" w:space="0" w:color="000000"/>
            </w:tcBorders>
          </w:tcPr>
          <w:p w14:paraId="39CC1497" w14:textId="77777777" w:rsidR="00EF053A" w:rsidRPr="00183B5F" w:rsidRDefault="00943743" w:rsidP="002D49EE">
            <w:pPr>
              <w:keepLines/>
              <w:tabs>
                <w:tab w:val="left" w:pos="-1080"/>
              </w:tabs>
              <w:suppressAutoHyphens w:val="0"/>
              <w:autoSpaceDE w:val="0"/>
              <w:autoSpaceDN w:val="0"/>
              <w:adjustRightInd w:val="0"/>
              <w:spacing w:line="240" w:lineRule="auto"/>
              <w:ind w:left="15"/>
              <w:jc w:val="center"/>
              <w:rPr>
                <w:szCs w:val="22"/>
              </w:rPr>
            </w:pPr>
            <w:r w:rsidRPr="00183B5F">
              <w:rPr>
                <w:szCs w:val="22"/>
              </w:rPr>
              <w:t>0,073</w:t>
            </w:r>
          </w:p>
        </w:tc>
      </w:tr>
      <w:tr w:rsidR="00011D2F" w14:paraId="5033B771" w14:textId="77777777" w:rsidTr="00EF053A">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34A1F344" w14:textId="77777777" w:rsidR="00EF053A" w:rsidRPr="00183B5F" w:rsidRDefault="00943743" w:rsidP="002D49EE">
            <w:pPr>
              <w:keepLines/>
              <w:tabs>
                <w:tab w:val="left" w:pos="-1080"/>
              </w:tabs>
              <w:suppressAutoHyphens w:val="0"/>
              <w:autoSpaceDE w:val="0"/>
              <w:autoSpaceDN w:val="0"/>
              <w:adjustRightInd w:val="0"/>
              <w:spacing w:line="240" w:lineRule="auto"/>
              <w:ind w:left="15"/>
              <w:rPr>
                <w:b/>
                <w:bCs/>
                <w:szCs w:val="22"/>
              </w:rPr>
            </w:pPr>
            <w:r w:rsidRPr="00183B5F">
              <w:rPr>
                <w:b/>
                <w:bCs/>
                <w:szCs w:val="22"/>
              </w:rPr>
              <w:t>52. hét</w:t>
            </w:r>
          </w:p>
        </w:tc>
        <w:tc>
          <w:tcPr>
            <w:tcW w:w="1614" w:type="dxa"/>
            <w:tcBorders>
              <w:top w:val="single" w:sz="6" w:space="0" w:color="000000"/>
              <w:left w:val="single" w:sz="6" w:space="0" w:color="000000"/>
              <w:bottom w:val="single" w:sz="6" w:space="0" w:color="000000"/>
              <w:right w:val="single" w:sz="6" w:space="0" w:color="000000"/>
            </w:tcBorders>
            <w:vAlign w:val="bottom"/>
          </w:tcPr>
          <w:p w14:paraId="43FE4A33" w14:textId="77777777" w:rsidR="00EF053A" w:rsidRPr="00183B5F" w:rsidRDefault="00EF053A" w:rsidP="002D49EE">
            <w:pPr>
              <w:keepLines/>
              <w:tabs>
                <w:tab w:val="left" w:pos="-1080"/>
              </w:tabs>
              <w:suppressAutoHyphens w:val="0"/>
              <w:autoSpaceDE w:val="0"/>
              <w:autoSpaceDN w:val="0"/>
              <w:adjustRightInd w:val="0"/>
              <w:spacing w:line="240" w:lineRule="auto"/>
              <w:ind w:left="15"/>
              <w:jc w:val="center"/>
              <w:rPr>
                <w:b/>
                <w:bCs/>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0D715FD8" w14:textId="77777777" w:rsidR="00EF053A" w:rsidRPr="00183B5F" w:rsidRDefault="00EF053A" w:rsidP="002D49EE">
            <w:pPr>
              <w:keepLines/>
              <w:tabs>
                <w:tab w:val="left" w:pos="-1080"/>
              </w:tabs>
              <w:suppressAutoHyphens w:val="0"/>
              <w:autoSpaceDE w:val="0"/>
              <w:autoSpaceDN w:val="0"/>
              <w:adjustRightInd w:val="0"/>
              <w:spacing w:line="240" w:lineRule="auto"/>
              <w:ind w:left="15"/>
              <w:jc w:val="center"/>
              <w:rPr>
                <w:b/>
                <w:bCs/>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5176A8BA" w14:textId="77777777" w:rsidR="00EF053A" w:rsidRPr="00183B5F" w:rsidRDefault="00EF053A" w:rsidP="002D49EE">
            <w:pPr>
              <w:suppressAutoHyphens w:val="0"/>
              <w:autoSpaceDE w:val="0"/>
              <w:autoSpaceDN w:val="0"/>
              <w:adjustRightInd w:val="0"/>
              <w:spacing w:line="240" w:lineRule="auto"/>
              <w:ind w:left="15"/>
              <w:rPr>
                <w:b/>
                <w:bCs/>
                <w:szCs w:val="22"/>
              </w:rPr>
            </w:pPr>
          </w:p>
        </w:tc>
      </w:tr>
      <w:tr w:rsidR="00011D2F" w14:paraId="208C5CCF" w14:textId="77777777" w:rsidTr="00EF053A">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6B115C04" w14:textId="77777777" w:rsidR="00EF053A" w:rsidRPr="00183B5F" w:rsidRDefault="00943743" w:rsidP="002D49EE">
            <w:pPr>
              <w:keepLines/>
              <w:tabs>
                <w:tab w:val="left" w:pos="-1080"/>
              </w:tabs>
              <w:suppressAutoHyphens w:val="0"/>
              <w:autoSpaceDE w:val="0"/>
              <w:autoSpaceDN w:val="0"/>
              <w:adjustRightInd w:val="0"/>
              <w:spacing w:line="240" w:lineRule="auto"/>
              <w:ind w:left="15"/>
              <w:rPr>
                <w:szCs w:val="22"/>
              </w:rPr>
            </w:pPr>
            <w:r w:rsidRPr="00183B5F">
              <w:rPr>
                <w:szCs w:val="22"/>
              </w:rPr>
              <w:t xml:space="preserve">   Klinikai remisszió</w:t>
            </w:r>
          </w:p>
        </w:tc>
        <w:tc>
          <w:tcPr>
            <w:tcW w:w="1614" w:type="dxa"/>
            <w:tcBorders>
              <w:top w:val="single" w:sz="6" w:space="0" w:color="000000"/>
              <w:left w:val="single" w:sz="6" w:space="0" w:color="000000"/>
              <w:bottom w:val="single" w:sz="6" w:space="0" w:color="000000"/>
              <w:right w:val="single" w:sz="6" w:space="0" w:color="000000"/>
            </w:tcBorders>
            <w:vAlign w:val="bottom"/>
          </w:tcPr>
          <w:p w14:paraId="1403E9DC" w14:textId="77777777" w:rsidR="00EF053A" w:rsidRPr="00183B5F" w:rsidRDefault="00943743" w:rsidP="002D49EE">
            <w:pPr>
              <w:keepLines/>
              <w:tabs>
                <w:tab w:val="left" w:pos="-1080"/>
              </w:tabs>
              <w:suppressAutoHyphens w:val="0"/>
              <w:autoSpaceDE w:val="0"/>
              <w:autoSpaceDN w:val="0"/>
              <w:adjustRightInd w:val="0"/>
              <w:spacing w:line="240" w:lineRule="auto"/>
              <w:ind w:left="15"/>
              <w:jc w:val="center"/>
              <w:rPr>
                <w:szCs w:val="22"/>
              </w:rPr>
            </w:pPr>
            <w:r w:rsidRPr="00183B5F">
              <w:rPr>
                <w:szCs w:val="22"/>
              </w:rPr>
              <w:t>33,3%</w:t>
            </w:r>
          </w:p>
        </w:tc>
        <w:tc>
          <w:tcPr>
            <w:tcW w:w="1591" w:type="dxa"/>
            <w:tcBorders>
              <w:top w:val="single" w:sz="6" w:space="0" w:color="000000"/>
              <w:left w:val="single" w:sz="6" w:space="0" w:color="000000"/>
              <w:bottom w:val="single" w:sz="6" w:space="0" w:color="000000"/>
              <w:right w:val="single" w:sz="6" w:space="0" w:color="000000"/>
            </w:tcBorders>
            <w:vAlign w:val="bottom"/>
          </w:tcPr>
          <w:p w14:paraId="752F5FAE" w14:textId="77777777" w:rsidR="00EF053A" w:rsidRPr="00183B5F" w:rsidRDefault="00943743" w:rsidP="002D49EE">
            <w:pPr>
              <w:keepLines/>
              <w:tabs>
                <w:tab w:val="left" w:pos="-1080"/>
              </w:tabs>
              <w:suppressAutoHyphens w:val="0"/>
              <w:autoSpaceDE w:val="0"/>
              <w:autoSpaceDN w:val="0"/>
              <w:adjustRightInd w:val="0"/>
              <w:spacing w:line="240" w:lineRule="auto"/>
              <w:ind w:left="15"/>
              <w:jc w:val="center"/>
              <w:rPr>
                <w:szCs w:val="22"/>
              </w:rPr>
            </w:pPr>
            <w:r w:rsidRPr="00183B5F">
              <w:rPr>
                <w:szCs w:val="22"/>
              </w:rPr>
              <w:t>23,2%</w:t>
            </w:r>
          </w:p>
        </w:tc>
        <w:tc>
          <w:tcPr>
            <w:tcW w:w="1147" w:type="dxa"/>
            <w:tcBorders>
              <w:top w:val="single" w:sz="6" w:space="0" w:color="000000"/>
              <w:left w:val="single" w:sz="6" w:space="0" w:color="000000"/>
              <w:bottom w:val="single" w:sz="6" w:space="0" w:color="000000"/>
              <w:right w:val="single" w:sz="6" w:space="0" w:color="000000"/>
            </w:tcBorders>
            <w:vAlign w:val="bottom"/>
          </w:tcPr>
          <w:p w14:paraId="35769058" w14:textId="77777777" w:rsidR="00EF053A" w:rsidRPr="00183B5F" w:rsidRDefault="00943743" w:rsidP="002D49EE">
            <w:pPr>
              <w:keepLines/>
              <w:tabs>
                <w:tab w:val="left" w:pos="-1080"/>
              </w:tabs>
              <w:suppressAutoHyphens w:val="0"/>
              <w:autoSpaceDE w:val="0"/>
              <w:autoSpaceDN w:val="0"/>
              <w:adjustRightInd w:val="0"/>
              <w:spacing w:line="240" w:lineRule="auto"/>
              <w:ind w:left="15"/>
              <w:jc w:val="center"/>
              <w:rPr>
                <w:szCs w:val="22"/>
              </w:rPr>
            </w:pPr>
            <w:r w:rsidRPr="00183B5F">
              <w:rPr>
                <w:szCs w:val="22"/>
              </w:rPr>
              <w:t>0,100</w:t>
            </w:r>
          </w:p>
        </w:tc>
      </w:tr>
      <w:tr w:rsidR="00011D2F" w14:paraId="7AEB91E5" w14:textId="77777777" w:rsidTr="00EF053A">
        <w:trPr>
          <w:jc w:val="center"/>
        </w:trPr>
        <w:tc>
          <w:tcPr>
            <w:tcW w:w="2321" w:type="dxa"/>
            <w:tcBorders>
              <w:top w:val="single" w:sz="6" w:space="0" w:color="000000"/>
              <w:left w:val="single" w:sz="6" w:space="0" w:color="000000"/>
              <w:bottom w:val="single" w:sz="6" w:space="0" w:color="000000"/>
              <w:right w:val="single" w:sz="6" w:space="0" w:color="000000"/>
            </w:tcBorders>
          </w:tcPr>
          <w:p w14:paraId="43D126B3" w14:textId="77777777" w:rsidR="00EF053A" w:rsidRPr="00183B5F" w:rsidRDefault="00943743" w:rsidP="002D49EE">
            <w:pPr>
              <w:keepLines/>
              <w:tabs>
                <w:tab w:val="left" w:pos="-1080"/>
              </w:tabs>
              <w:suppressAutoHyphens w:val="0"/>
              <w:autoSpaceDE w:val="0"/>
              <w:autoSpaceDN w:val="0"/>
              <w:adjustRightInd w:val="0"/>
              <w:spacing w:line="240" w:lineRule="auto"/>
              <w:ind w:left="15"/>
              <w:rPr>
                <w:szCs w:val="22"/>
              </w:rPr>
            </w:pPr>
            <w:r w:rsidRPr="00183B5F">
              <w:rPr>
                <w:szCs w:val="22"/>
              </w:rPr>
              <w:t xml:space="preserve">   Klinikai válasz</w:t>
            </w:r>
          </w:p>
        </w:tc>
        <w:tc>
          <w:tcPr>
            <w:tcW w:w="1614" w:type="dxa"/>
            <w:tcBorders>
              <w:top w:val="single" w:sz="6" w:space="0" w:color="000000"/>
              <w:left w:val="single" w:sz="6" w:space="0" w:color="000000"/>
              <w:bottom w:val="single" w:sz="6" w:space="0" w:color="000000"/>
              <w:right w:val="single" w:sz="6" w:space="0" w:color="000000"/>
            </w:tcBorders>
          </w:tcPr>
          <w:p w14:paraId="49C66F07" w14:textId="77777777" w:rsidR="00EF053A" w:rsidRPr="00183B5F" w:rsidRDefault="00943743" w:rsidP="002D49EE">
            <w:pPr>
              <w:keepLines/>
              <w:tabs>
                <w:tab w:val="left" w:pos="-1080"/>
              </w:tabs>
              <w:suppressAutoHyphens w:val="0"/>
              <w:autoSpaceDE w:val="0"/>
              <w:autoSpaceDN w:val="0"/>
              <w:adjustRightInd w:val="0"/>
              <w:spacing w:line="240" w:lineRule="auto"/>
              <w:ind w:left="15"/>
              <w:jc w:val="center"/>
              <w:rPr>
                <w:szCs w:val="22"/>
              </w:rPr>
            </w:pPr>
            <w:r w:rsidRPr="00183B5F">
              <w:rPr>
                <w:szCs w:val="22"/>
              </w:rPr>
              <w:t>41,9%</w:t>
            </w:r>
          </w:p>
        </w:tc>
        <w:tc>
          <w:tcPr>
            <w:tcW w:w="1591" w:type="dxa"/>
            <w:tcBorders>
              <w:top w:val="single" w:sz="6" w:space="0" w:color="000000"/>
              <w:left w:val="single" w:sz="6" w:space="0" w:color="000000"/>
              <w:bottom w:val="single" w:sz="6" w:space="0" w:color="000000"/>
              <w:right w:val="single" w:sz="6" w:space="0" w:color="000000"/>
            </w:tcBorders>
          </w:tcPr>
          <w:p w14:paraId="5C9E3CC1" w14:textId="77777777" w:rsidR="00EF053A" w:rsidRPr="00183B5F" w:rsidRDefault="00943743" w:rsidP="002D49EE">
            <w:pPr>
              <w:keepLines/>
              <w:tabs>
                <w:tab w:val="left" w:pos="-1080"/>
              </w:tabs>
              <w:suppressAutoHyphens w:val="0"/>
              <w:autoSpaceDE w:val="0"/>
              <w:autoSpaceDN w:val="0"/>
              <w:adjustRightInd w:val="0"/>
              <w:spacing w:line="240" w:lineRule="auto"/>
              <w:ind w:left="15"/>
              <w:jc w:val="center"/>
              <w:rPr>
                <w:szCs w:val="22"/>
              </w:rPr>
            </w:pPr>
            <w:r w:rsidRPr="00183B5F">
              <w:rPr>
                <w:szCs w:val="22"/>
              </w:rPr>
              <w:t>28,4%</w:t>
            </w:r>
          </w:p>
        </w:tc>
        <w:tc>
          <w:tcPr>
            <w:tcW w:w="1147" w:type="dxa"/>
            <w:tcBorders>
              <w:top w:val="single" w:sz="6" w:space="0" w:color="000000"/>
              <w:left w:val="single" w:sz="6" w:space="0" w:color="000000"/>
              <w:bottom w:val="single" w:sz="6" w:space="0" w:color="000000"/>
              <w:right w:val="single" w:sz="6" w:space="0" w:color="000000"/>
            </w:tcBorders>
          </w:tcPr>
          <w:p w14:paraId="3D8D9074" w14:textId="77777777" w:rsidR="00EF053A" w:rsidRPr="00183B5F" w:rsidRDefault="00943743" w:rsidP="002D49EE">
            <w:pPr>
              <w:keepLines/>
              <w:tabs>
                <w:tab w:val="left" w:pos="-1080"/>
              </w:tabs>
              <w:suppressAutoHyphens w:val="0"/>
              <w:autoSpaceDE w:val="0"/>
              <w:autoSpaceDN w:val="0"/>
              <w:adjustRightInd w:val="0"/>
              <w:spacing w:line="240" w:lineRule="auto"/>
              <w:ind w:left="15"/>
              <w:jc w:val="center"/>
              <w:rPr>
                <w:szCs w:val="22"/>
              </w:rPr>
            </w:pPr>
            <w:r w:rsidRPr="00183B5F">
              <w:rPr>
                <w:szCs w:val="22"/>
              </w:rPr>
              <w:t>0,038</w:t>
            </w:r>
          </w:p>
        </w:tc>
      </w:tr>
      <w:tr w:rsidR="00011D2F" w14:paraId="1E1D7163" w14:textId="77777777" w:rsidTr="00EF053A">
        <w:trPr>
          <w:jc w:val="center"/>
        </w:trPr>
        <w:tc>
          <w:tcPr>
            <w:tcW w:w="6673" w:type="dxa"/>
            <w:gridSpan w:val="4"/>
            <w:tcBorders>
              <w:top w:val="single" w:sz="6" w:space="0" w:color="000000"/>
              <w:left w:val="single" w:sz="6" w:space="0" w:color="000000"/>
              <w:bottom w:val="single" w:sz="6" w:space="0" w:color="000000"/>
              <w:right w:val="single" w:sz="6" w:space="0" w:color="000000"/>
            </w:tcBorders>
          </w:tcPr>
          <w:p w14:paraId="3A4903A4" w14:textId="77777777" w:rsidR="00EF053A" w:rsidRPr="00183B5F" w:rsidRDefault="00943743" w:rsidP="002D49EE">
            <w:pPr>
              <w:keepLines/>
              <w:tabs>
                <w:tab w:val="left" w:pos="-1080"/>
              </w:tabs>
              <w:suppressAutoHyphens w:val="0"/>
              <w:autoSpaceDE w:val="0"/>
              <w:autoSpaceDN w:val="0"/>
              <w:adjustRightInd w:val="0"/>
              <w:spacing w:line="240" w:lineRule="auto"/>
              <w:ind w:left="15"/>
              <w:rPr>
                <w:szCs w:val="22"/>
              </w:rPr>
            </w:pPr>
            <w:r w:rsidRPr="00183B5F">
              <w:rPr>
                <w:szCs w:val="22"/>
              </w:rPr>
              <w:t>* p</w:t>
            </w:r>
            <w:r w:rsidRPr="00183B5F">
              <w:rPr>
                <w:szCs w:val="22"/>
              </w:rPr>
              <w:noBreakHyphen/>
              <w:t xml:space="preserve">érték a Standard dózis </w:t>
            </w:r>
            <w:r w:rsidRPr="00183B5F">
              <w:rPr>
                <w:i/>
                <w:szCs w:val="22"/>
              </w:rPr>
              <w:t>versus</w:t>
            </w:r>
            <w:r w:rsidRPr="00183B5F">
              <w:rPr>
                <w:szCs w:val="22"/>
              </w:rPr>
              <w:t xml:space="preserve"> az Alacsony dózis összehasonlítása esetén.</w:t>
            </w:r>
          </w:p>
        </w:tc>
      </w:tr>
    </w:tbl>
    <w:p w14:paraId="6A93AF64" w14:textId="77777777" w:rsidR="00EF053A" w:rsidRPr="00183B5F" w:rsidRDefault="00EF053A" w:rsidP="00EF053A">
      <w:pPr>
        <w:keepNext/>
        <w:spacing w:line="240" w:lineRule="auto"/>
        <w:rPr>
          <w:szCs w:val="22"/>
        </w:rPr>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011D2F" w14:paraId="4231BDD4" w14:textId="77777777" w:rsidTr="00EF053A">
        <w:trPr>
          <w:cantSplit/>
          <w:jc w:val="center"/>
        </w:trPr>
        <w:tc>
          <w:tcPr>
            <w:tcW w:w="8440" w:type="dxa"/>
            <w:gridSpan w:val="4"/>
            <w:tcBorders>
              <w:top w:val="single" w:sz="6" w:space="0" w:color="000000"/>
              <w:left w:val="single" w:sz="6" w:space="0" w:color="000000"/>
              <w:bottom w:val="single" w:sz="6" w:space="0" w:color="000000"/>
              <w:right w:val="single" w:sz="6" w:space="0" w:color="000000"/>
            </w:tcBorders>
          </w:tcPr>
          <w:p w14:paraId="3EBC73A8" w14:textId="77777777" w:rsidR="00EF053A" w:rsidRPr="00183B5F" w:rsidRDefault="00943743" w:rsidP="002D49EE">
            <w:pPr>
              <w:keepNext/>
              <w:tabs>
                <w:tab w:val="left" w:pos="-878"/>
              </w:tabs>
              <w:suppressAutoHyphens w:val="0"/>
              <w:autoSpaceDE w:val="0"/>
              <w:autoSpaceDN w:val="0"/>
              <w:adjustRightInd w:val="0"/>
              <w:spacing w:line="240" w:lineRule="auto"/>
              <w:jc w:val="center"/>
              <w:rPr>
                <w:b/>
                <w:bCs/>
                <w:szCs w:val="22"/>
              </w:rPr>
            </w:pPr>
            <w:r w:rsidRPr="00183B5F">
              <w:rPr>
                <w:b/>
                <w:bCs/>
                <w:szCs w:val="22"/>
              </w:rPr>
              <w:t>20. táblázat</w:t>
            </w:r>
          </w:p>
          <w:p w14:paraId="5EADD630" w14:textId="77777777" w:rsidR="00EF053A" w:rsidRPr="00183B5F" w:rsidRDefault="00943743" w:rsidP="002D49EE">
            <w:pPr>
              <w:keepNext/>
              <w:tabs>
                <w:tab w:val="left" w:pos="-878"/>
              </w:tabs>
              <w:suppressAutoHyphens w:val="0"/>
              <w:autoSpaceDE w:val="0"/>
              <w:autoSpaceDN w:val="0"/>
              <w:adjustRightInd w:val="0"/>
              <w:spacing w:line="240" w:lineRule="auto"/>
              <w:jc w:val="center"/>
              <w:rPr>
                <w:b/>
                <w:bCs/>
                <w:szCs w:val="22"/>
              </w:rPr>
            </w:pPr>
            <w:r w:rsidRPr="00183B5F">
              <w:rPr>
                <w:b/>
                <w:bCs/>
                <w:szCs w:val="22"/>
              </w:rPr>
              <w:t>Gyermekkori CD Vizsgálat</w:t>
            </w:r>
          </w:p>
          <w:p w14:paraId="4DFEC754" w14:textId="77777777" w:rsidR="00EF053A" w:rsidRPr="00183B5F" w:rsidRDefault="00943743" w:rsidP="002D49EE">
            <w:pPr>
              <w:keepNext/>
              <w:tabs>
                <w:tab w:val="left" w:pos="-878"/>
              </w:tabs>
              <w:suppressAutoHyphens w:val="0"/>
              <w:autoSpaceDE w:val="0"/>
              <w:autoSpaceDN w:val="0"/>
              <w:adjustRightInd w:val="0"/>
              <w:spacing w:line="240" w:lineRule="auto"/>
              <w:jc w:val="center"/>
              <w:rPr>
                <w:b/>
                <w:bCs/>
                <w:szCs w:val="22"/>
              </w:rPr>
            </w:pPr>
            <w:r w:rsidRPr="00183B5F">
              <w:rPr>
                <w:b/>
                <w:bCs/>
                <w:szCs w:val="22"/>
              </w:rPr>
              <w:t>Kortikoszteroidok vagy immunmodulátorok felfüggesztése és fistula-remisszió</w:t>
            </w:r>
          </w:p>
        </w:tc>
      </w:tr>
      <w:tr w:rsidR="00011D2F" w14:paraId="57B00794" w14:textId="77777777" w:rsidTr="00EF053A">
        <w:trPr>
          <w:cantSplit/>
          <w:trHeight w:val="696"/>
          <w:jc w:val="center"/>
        </w:trPr>
        <w:tc>
          <w:tcPr>
            <w:tcW w:w="4025" w:type="dxa"/>
            <w:tcBorders>
              <w:top w:val="single" w:sz="6" w:space="0" w:color="000000"/>
              <w:left w:val="single" w:sz="6" w:space="0" w:color="000000"/>
              <w:bottom w:val="single" w:sz="6" w:space="0" w:color="000000"/>
              <w:right w:val="single" w:sz="6" w:space="0" w:color="000000"/>
            </w:tcBorders>
          </w:tcPr>
          <w:p w14:paraId="094C3F77" w14:textId="77777777" w:rsidR="00EF053A" w:rsidRPr="00183B5F" w:rsidRDefault="00EF053A" w:rsidP="002D49EE">
            <w:pPr>
              <w:keepNext/>
              <w:tabs>
                <w:tab w:val="left" w:pos="-1080"/>
              </w:tabs>
              <w:suppressAutoHyphens w:val="0"/>
              <w:autoSpaceDE w:val="0"/>
              <w:autoSpaceDN w:val="0"/>
              <w:adjustRightInd w:val="0"/>
              <w:spacing w:line="240" w:lineRule="auto"/>
              <w:jc w:val="center"/>
              <w:rPr>
                <w:b/>
                <w:bCs/>
                <w:szCs w:val="22"/>
              </w:rPr>
            </w:pPr>
          </w:p>
        </w:tc>
        <w:tc>
          <w:tcPr>
            <w:tcW w:w="1656" w:type="dxa"/>
            <w:tcBorders>
              <w:top w:val="single" w:sz="6" w:space="0" w:color="000000"/>
              <w:left w:val="single" w:sz="6" w:space="0" w:color="000000"/>
              <w:bottom w:val="single" w:sz="6" w:space="0" w:color="000000"/>
              <w:right w:val="single" w:sz="6" w:space="0" w:color="000000"/>
            </w:tcBorders>
          </w:tcPr>
          <w:p w14:paraId="4D2B7CB7"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b/>
                <w:bCs/>
                <w:szCs w:val="22"/>
              </w:rPr>
            </w:pPr>
            <w:r w:rsidRPr="00183B5F">
              <w:rPr>
                <w:b/>
                <w:bCs/>
                <w:szCs w:val="22"/>
              </w:rPr>
              <w:t>Standard dózis</w:t>
            </w:r>
          </w:p>
          <w:p w14:paraId="185C5312"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b/>
                <w:bCs/>
                <w:szCs w:val="22"/>
              </w:rPr>
            </w:pPr>
            <w:r w:rsidRPr="00183B5F">
              <w:rPr>
                <w:b/>
                <w:bCs/>
                <w:szCs w:val="22"/>
              </w:rPr>
              <w:t>40/20 mg</w:t>
            </w:r>
          </w:p>
          <w:p w14:paraId="28EBA42B"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b/>
                <w:bCs/>
                <w:szCs w:val="22"/>
              </w:rPr>
            </w:pPr>
            <w:r w:rsidRPr="00183B5F">
              <w:rPr>
                <w:b/>
                <w:bCs/>
                <w:szCs w:val="22"/>
              </w:rPr>
              <w:t xml:space="preserve">kéthetente </w:t>
            </w:r>
          </w:p>
        </w:tc>
        <w:tc>
          <w:tcPr>
            <w:tcW w:w="1619" w:type="dxa"/>
            <w:tcBorders>
              <w:top w:val="single" w:sz="6" w:space="0" w:color="000000"/>
              <w:left w:val="single" w:sz="6" w:space="0" w:color="000000"/>
              <w:bottom w:val="single" w:sz="6" w:space="0" w:color="000000"/>
              <w:right w:val="single" w:sz="6" w:space="0" w:color="000000"/>
            </w:tcBorders>
          </w:tcPr>
          <w:p w14:paraId="7305DC29"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b/>
                <w:bCs/>
                <w:szCs w:val="22"/>
              </w:rPr>
            </w:pPr>
            <w:r w:rsidRPr="00183B5F">
              <w:rPr>
                <w:b/>
                <w:bCs/>
                <w:szCs w:val="22"/>
              </w:rPr>
              <w:t>Alacsony dózis</w:t>
            </w:r>
          </w:p>
          <w:p w14:paraId="42DC093B"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b/>
                <w:bCs/>
                <w:szCs w:val="22"/>
              </w:rPr>
            </w:pPr>
            <w:r w:rsidRPr="00183B5F">
              <w:rPr>
                <w:b/>
                <w:bCs/>
                <w:szCs w:val="22"/>
              </w:rPr>
              <w:t>20/10 mg</w:t>
            </w:r>
          </w:p>
          <w:p w14:paraId="0E5AEB7C"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b/>
                <w:bCs/>
                <w:szCs w:val="22"/>
              </w:rPr>
            </w:pPr>
            <w:r w:rsidRPr="00183B5F">
              <w:rPr>
                <w:b/>
                <w:bCs/>
                <w:szCs w:val="22"/>
              </w:rPr>
              <w:t xml:space="preserve">kéthetente </w:t>
            </w:r>
          </w:p>
        </w:tc>
        <w:tc>
          <w:tcPr>
            <w:tcW w:w="1140" w:type="dxa"/>
            <w:tcBorders>
              <w:top w:val="single" w:sz="6" w:space="0" w:color="000000"/>
              <w:left w:val="single" w:sz="6" w:space="0" w:color="000000"/>
              <w:bottom w:val="single" w:sz="6" w:space="0" w:color="000000"/>
              <w:right w:val="single" w:sz="6" w:space="0" w:color="000000"/>
            </w:tcBorders>
          </w:tcPr>
          <w:p w14:paraId="5108BFB9"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b/>
                <w:bCs/>
                <w:szCs w:val="22"/>
              </w:rPr>
            </w:pPr>
            <w:r w:rsidRPr="00183B5F">
              <w:rPr>
                <w:b/>
                <w:bCs/>
                <w:szCs w:val="22"/>
              </w:rPr>
              <w:t>p érték</w:t>
            </w:r>
            <w:r w:rsidRPr="00183B5F">
              <w:rPr>
                <w:b/>
                <w:bCs/>
                <w:szCs w:val="22"/>
                <w:vertAlign w:val="superscript"/>
              </w:rPr>
              <w:t>1</w:t>
            </w:r>
          </w:p>
        </w:tc>
      </w:tr>
      <w:tr w:rsidR="00011D2F" w14:paraId="3994B639" w14:textId="77777777" w:rsidTr="00EF053A">
        <w:trPr>
          <w:cantSplit/>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171F9DC6" w14:textId="77777777" w:rsidR="00EF053A" w:rsidRPr="00183B5F" w:rsidRDefault="00943743" w:rsidP="002D49EE">
            <w:pPr>
              <w:keepNext/>
              <w:tabs>
                <w:tab w:val="left" w:pos="-1080"/>
              </w:tabs>
              <w:suppressAutoHyphens w:val="0"/>
              <w:autoSpaceDE w:val="0"/>
              <w:autoSpaceDN w:val="0"/>
              <w:adjustRightInd w:val="0"/>
              <w:spacing w:line="240" w:lineRule="auto"/>
              <w:rPr>
                <w:b/>
                <w:szCs w:val="22"/>
              </w:rPr>
            </w:pPr>
            <w:r w:rsidRPr="00183B5F">
              <w:rPr>
                <w:b/>
                <w:szCs w:val="22"/>
              </w:rPr>
              <w:t>Kortikoszteroidok felfüggesztése</w:t>
            </w:r>
          </w:p>
        </w:tc>
        <w:tc>
          <w:tcPr>
            <w:tcW w:w="1656" w:type="dxa"/>
            <w:tcBorders>
              <w:top w:val="single" w:sz="6" w:space="0" w:color="000000"/>
              <w:left w:val="single" w:sz="6" w:space="0" w:color="000000"/>
              <w:bottom w:val="single" w:sz="6" w:space="0" w:color="000000"/>
              <w:right w:val="single" w:sz="6" w:space="0" w:color="000000"/>
            </w:tcBorders>
            <w:vAlign w:val="bottom"/>
          </w:tcPr>
          <w:p w14:paraId="32F462B6"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b/>
                <w:szCs w:val="22"/>
              </w:rPr>
            </w:pPr>
            <w:r w:rsidRPr="00183B5F">
              <w:rPr>
                <w:b/>
                <w:szCs w:val="22"/>
              </w:rPr>
              <w:t>N = 33</w:t>
            </w:r>
          </w:p>
        </w:tc>
        <w:tc>
          <w:tcPr>
            <w:tcW w:w="1619" w:type="dxa"/>
            <w:tcBorders>
              <w:top w:val="single" w:sz="6" w:space="0" w:color="000000"/>
              <w:left w:val="single" w:sz="6" w:space="0" w:color="000000"/>
              <w:bottom w:val="single" w:sz="6" w:space="0" w:color="000000"/>
              <w:right w:val="single" w:sz="6" w:space="0" w:color="000000"/>
            </w:tcBorders>
            <w:vAlign w:val="bottom"/>
          </w:tcPr>
          <w:p w14:paraId="647BB948"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b/>
                <w:szCs w:val="22"/>
              </w:rPr>
            </w:pPr>
            <w:r w:rsidRPr="00183B5F">
              <w:rPr>
                <w:b/>
                <w:szCs w:val="22"/>
              </w:rPr>
              <w:t>N = 38</w:t>
            </w:r>
          </w:p>
        </w:tc>
        <w:tc>
          <w:tcPr>
            <w:tcW w:w="1140" w:type="dxa"/>
            <w:tcBorders>
              <w:top w:val="single" w:sz="6" w:space="0" w:color="000000"/>
              <w:left w:val="single" w:sz="6" w:space="0" w:color="000000"/>
              <w:bottom w:val="single" w:sz="6" w:space="0" w:color="000000"/>
              <w:right w:val="single" w:sz="6" w:space="0" w:color="000000"/>
            </w:tcBorders>
            <w:vAlign w:val="bottom"/>
          </w:tcPr>
          <w:p w14:paraId="797FDED6" w14:textId="77777777" w:rsidR="00EF053A" w:rsidRPr="00183B5F" w:rsidRDefault="00EF053A" w:rsidP="002D49EE">
            <w:pPr>
              <w:keepNext/>
              <w:suppressAutoHyphens w:val="0"/>
              <w:autoSpaceDE w:val="0"/>
              <w:autoSpaceDN w:val="0"/>
              <w:adjustRightInd w:val="0"/>
              <w:spacing w:line="240" w:lineRule="auto"/>
              <w:ind w:left="15"/>
              <w:rPr>
                <w:b/>
                <w:szCs w:val="22"/>
              </w:rPr>
            </w:pPr>
          </w:p>
        </w:tc>
      </w:tr>
      <w:tr w:rsidR="00011D2F" w14:paraId="5A6BF532" w14:textId="77777777" w:rsidTr="00EF053A">
        <w:trPr>
          <w:cantSplit/>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191F7390" w14:textId="77777777" w:rsidR="00EF053A" w:rsidRPr="00183B5F" w:rsidRDefault="00943743" w:rsidP="002D49EE">
            <w:pPr>
              <w:keepNext/>
              <w:tabs>
                <w:tab w:val="left" w:pos="-1080"/>
              </w:tabs>
              <w:suppressAutoHyphens w:val="0"/>
              <w:autoSpaceDE w:val="0"/>
              <w:autoSpaceDN w:val="0"/>
              <w:adjustRightInd w:val="0"/>
              <w:spacing w:line="240" w:lineRule="auto"/>
              <w:rPr>
                <w:bCs/>
                <w:szCs w:val="22"/>
              </w:rPr>
            </w:pPr>
            <w:r w:rsidRPr="00183B5F">
              <w:rPr>
                <w:bCs/>
                <w:szCs w:val="22"/>
              </w:rPr>
              <w:t>26. hét</w:t>
            </w:r>
          </w:p>
        </w:tc>
        <w:tc>
          <w:tcPr>
            <w:tcW w:w="1656" w:type="dxa"/>
            <w:tcBorders>
              <w:top w:val="single" w:sz="6" w:space="0" w:color="000000"/>
              <w:left w:val="single" w:sz="6" w:space="0" w:color="000000"/>
              <w:bottom w:val="single" w:sz="6" w:space="0" w:color="000000"/>
              <w:right w:val="single" w:sz="6" w:space="0" w:color="000000"/>
            </w:tcBorders>
            <w:vAlign w:val="bottom"/>
          </w:tcPr>
          <w:p w14:paraId="66A12065"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szCs w:val="22"/>
              </w:rPr>
            </w:pPr>
            <w:r w:rsidRPr="00183B5F">
              <w:rPr>
                <w:szCs w:val="22"/>
              </w:rPr>
              <w:t>84,8%</w:t>
            </w:r>
          </w:p>
        </w:tc>
        <w:tc>
          <w:tcPr>
            <w:tcW w:w="1619" w:type="dxa"/>
            <w:tcBorders>
              <w:top w:val="single" w:sz="6" w:space="0" w:color="000000"/>
              <w:left w:val="single" w:sz="6" w:space="0" w:color="000000"/>
              <w:bottom w:val="single" w:sz="6" w:space="0" w:color="000000"/>
              <w:right w:val="single" w:sz="6" w:space="0" w:color="000000"/>
            </w:tcBorders>
            <w:vAlign w:val="bottom"/>
          </w:tcPr>
          <w:p w14:paraId="4E64AEAA"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szCs w:val="22"/>
              </w:rPr>
            </w:pPr>
            <w:r w:rsidRPr="00183B5F">
              <w:rPr>
                <w:szCs w:val="22"/>
              </w:rPr>
              <w:t>65,8%</w:t>
            </w:r>
          </w:p>
        </w:tc>
        <w:tc>
          <w:tcPr>
            <w:tcW w:w="1140" w:type="dxa"/>
            <w:tcBorders>
              <w:top w:val="single" w:sz="6" w:space="0" w:color="000000"/>
              <w:left w:val="single" w:sz="6" w:space="0" w:color="000000"/>
              <w:bottom w:val="single" w:sz="6" w:space="0" w:color="000000"/>
              <w:right w:val="single" w:sz="6" w:space="0" w:color="000000"/>
            </w:tcBorders>
            <w:vAlign w:val="bottom"/>
          </w:tcPr>
          <w:p w14:paraId="078D7FC9"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szCs w:val="22"/>
              </w:rPr>
            </w:pPr>
            <w:r w:rsidRPr="00183B5F">
              <w:rPr>
                <w:szCs w:val="22"/>
              </w:rPr>
              <w:t>0,066</w:t>
            </w:r>
          </w:p>
        </w:tc>
      </w:tr>
      <w:tr w:rsidR="00011D2F" w14:paraId="4399BDB7" w14:textId="77777777" w:rsidTr="00EF053A">
        <w:trPr>
          <w:cantSplit/>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7AAA5B53" w14:textId="77777777" w:rsidR="00EF053A" w:rsidRPr="00183B5F" w:rsidRDefault="00943743" w:rsidP="002D49EE">
            <w:pPr>
              <w:keepNext/>
              <w:tabs>
                <w:tab w:val="left" w:pos="-1080"/>
              </w:tabs>
              <w:suppressAutoHyphens w:val="0"/>
              <w:autoSpaceDE w:val="0"/>
              <w:autoSpaceDN w:val="0"/>
              <w:adjustRightInd w:val="0"/>
              <w:spacing w:line="240" w:lineRule="auto"/>
              <w:rPr>
                <w:bCs/>
                <w:szCs w:val="22"/>
              </w:rPr>
            </w:pPr>
            <w:r w:rsidRPr="00183B5F">
              <w:rPr>
                <w:bCs/>
                <w:szCs w:val="22"/>
              </w:rPr>
              <w:t>52. hét</w:t>
            </w:r>
          </w:p>
        </w:tc>
        <w:tc>
          <w:tcPr>
            <w:tcW w:w="1656" w:type="dxa"/>
            <w:tcBorders>
              <w:top w:val="single" w:sz="6" w:space="0" w:color="000000"/>
              <w:left w:val="single" w:sz="6" w:space="0" w:color="000000"/>
              <w:bottom w:val="single" w:sz="6" w:space="0" w:color="000000"/>
              <w:right w:val="single" w:sz="6" w:space="0" w:color="000000"/>
            </w:tcBorders>
          </w:tcPr>
          <w:p w14:paraId="747E6906"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szCs w:val="22"/>
              </w:rPr>
            </w:pPr>
            <w:r w:rsidRPr="00183B5F">
              <w:rPr>
                <w:szCs w:val="22"/>
              </w:rPr>
              <w:t>69,7%</w:t>
            </w:r>
          </w:p>
        </w:tc>
        <w:tc>
          <w:tcPr>
            <w:tcW w:w="1619" w:type="dxa"/>
            <w:tcBorders>
              <w:top w:val="single" w:sz="6" w:space="0" w:color="000000"/>
              <w:left w:val="single" w:sz="6" w:space="0" w:color="000000"/>
              <w:bottom w:val="single" w:sz="6" w:space="0" w:color="000000"/>
              <w:right w:val="single" w:sz="6" w:space="0" w:color="000000"/>
            </w:tcBorders>
          </w:tcPr>
          <w:p w14:paraId="308FFE59"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szCs w:val="22"/>
              </w:rPr>
            </w:pPr>
            <w:r w:rsidRPr="00183B5F">
              <w:rPr>
                <w:szCs w:val="22"/>
              </w:rPr>
              <w:t>60,5%</w:t>
            </w:r>
          </w:p>
        </w:tc>
        <w:tc>
          <w:tcPr>
            <w:tcW w:w="1140" w:type="dxa"/>
            <w:tcBorders>
              <w:top w:val="single" w:sz="6" w:space="0" w:color="000000"/>
              <w:left w:val="single" w:sz="6" w:space="0" w:color="000000"/>
              <w:bottom w:val="single" w:sz="6" w:space="0" w:color="000000"/>
              <w:right w:val="single" w:sz="6" w:space="0" w:color="000000"/>
            </w:tcBorders>
            <w:vAlign w:val="bottom"/>
          </w:tcPr>
          <w:p w14:paraId="1F1D56DA"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szCs w:val="22"/>
              </w:rPr>
            </w:pPr>
            <w:r w:rsidRPr="00183B5F">
              <w:rPr>
                <w:szCs w:val="22"/>
              </w:rPr>
              <w:t>0,420</w:t>
            </w:r>
          </w:p>
        </w:tc>
      </w:tr>
      <w:tr w:rsidR="00011D2F" w14:paraId="7F3E65C2" w14:textId="77777777" w:rsidTr="00EF053A">
        <w:trPr>
          <w:cantSplit/>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7C0FEB1F" w14:textId="77777777" w:rsidR="00EF053A" w:rsidRPr="00183B5F" w:rsidRDefault="00943743" w:rsidP="002D49EE">
            <w:pPr>
              <w:keepNext/>
              <w:tabs>
                <w:tab w:val="left" w:pos="-1080"/>
              </w:tabs>
              <w:suppressAutoHyphens w:val="0"/>
              <w:autoSpaceDE w:val="0"/>
              <w:autoSpaceDN w:val="0"/>
              <w:adjustRightInd w:val="0"/>
              <w:spacing w:line="240" w:lineRule="auto"/>
              <w:rPr>
                <w:b/>
                <w:szCs w:val="22"/>
              </w:rPr>
            </w:pPr>
            <w:r w:rsidRPr="00183B5F">
              <w:rPr>
                <w:b/>
                <w:szCs w:val="22"/>
              </w:rPr>
              <w:t>Immunmodulátorok felfüggesztése</w:t>
            </w:r>
            <w:r w:rsidRPr="00183B5F">
              <w:rPr>
                <w:b/>
                <w:szCs w:val="22"/>
                <w:vertAlign w:val="superscript"/>
              </w:rPr>
              <w:t>2</w:t>
            </w:r>
          </w:p>
        </w:tc>
        <w:tc>
          <w:tcPr>
            <w:tcW w:w="1656" w:type="dxa"/>
            <w:tcBorders>
              <w:top w:val="single" w:sz="6" w:space="0" w:color="000000"/>
              <w:left w:val="single" w:sz="6" w:space="0" w:color="000000"/>
              <w:bottom w:val="single" w:sz="6" w:space="0" w:color="000000"/>
              <w:right w:val="single" w:sz="6" w:space="0" w:color="000000"/>
            </w:tcBorders>
            <w:vAlign w:val="bottom"/>
          </w:tcPr>
          <w:p w14:paraId="09BBF5B5"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b/>
                <w:szCs w:val="22"/>
              </w:rPr>
            </w:pPr>
            <w:r w:rsidRPr="00183B5F">
              <w:rPr>
                <w:b/>
                <w:szCs w:val="22"/>
              </w:rPr>
              <w:t>N = 60</w:t>
            </w:r>
          </w:p>
        </w:tc>
        <w:tc>
          <w:tcPr>
            <w:tcW w:w="1619" w:type="dxa"/>
            <w:tcBorders>
              <w:top w:val="single" w:sz="6" w:space="0" w:color="000000"/>
              <w:left w:val="single" w:sz="6" w:space="0" w:color="000000"/>
              <w:bottom w:val="single" w:sz="6" w:space="0" w:color="000000"/>
              <w:right w:val="single" w:sz="6" w:space="0" w:color="000000"/>
            </w:tcBorders>
            <w:vAlign w:val="bottom"/>
          </w:tcPr>
          <w:p w14:paraId="0ACDD488"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b/>
                <w:szCs w:val="22"/>
              </w:rPr>
            </w:pPr>
            <w:r w:rsidRPr="00183B5F">
              <w:rPr>
                <w:b/>
                <w:szCs w:val="22"/>
              </w:rPr>
              <w:t>N = 57</w:t>
            </w:r>
          </w:p>
        </w:tc>
        <w:tc>
          <w:tcPr>
            <w:tcW w:w="1140" w:type="dxa"/>
            <w:tcBorders>
              <w:top w:val="single" w:sz="6" w:space="0" w:color="000000"/>
              <w:left w:val="single" w:sz="6" w:space="0" w:color="000000"/>
              <w:bottom w:val="single" w:sz="6" w:space="0" w:color="000000"/>
              <w:right w:val="single" w:sz="6" w:space="0" w:color="000000"/>
            </w:tcBorders>
            <w:vAlign w:val="bottom"/>
          </w:tcPr>
          <w:p w14:paraId="155F2C97" w14:textId="77777777" w:rsidR="00EF053A" w:rsidRPr="00183B5F" w:rsidRDefault="00EF053A" w:rsidP="002D49EE">
            <w:pPr>
              <w:keepNext/>
              <w:suppressAutoHyphens w:val="0"/>
              <w:autoSpaceDE w:val="0"/>
              <w:autoSpaceDN w:val="0"/>
              <w:adjustRightInd w:val="0"/>
              <w:spacing w:line="240" w:lineRule="auto"/>
              <w:ind w:left="15"/>
              <w:rPr>
                <w:b/>
                <w:szCs w:val="22"/>
              </w:rPr>
            </w:pPr>
          </w:p>
        </w:tc>
      </w:tr>
      <w:tr w:rsidR="00011D2F" w14:paraId="7E0F7EEF" w14:textId="77777777" w:rsidTr="00EF053A">
        <w:trPr>
          <w:cantSplit/>
          <w:jc w:val="center"/>
        </w:trPr>
        <w:tc>
          <w:tcPr>
            <w:tcW w:w="4025" w:type="dxa"/>
            <w:tcBorders>
              <w:top w:val="single" w:sz="6" w:space="0" w:color="000000"/>
              <w:left w:val="single" w:sz="6" w:space="0" w:color="000000"/>
              <w:bottom w:val="single" w:sz="6" w:space="0" w:color="000000"/>
              <w:right w:val="single" w:sz="6" w:space="0" w:color="000000"/>
            </w:tcBorders>
          </w:tcPr>
          <w:p w14:paraId="17D2B991" w14:textId="77777777" w:rsidR="00EF053A" w:rsidRPr="00183B5F" w:rsidRDefault="00943743" w:rsidP="002D49EE">
            <w:pPr>
              <w:keepNext/>
              <w:tabs>
                <w:tab w:val="left" w:pos="-1080"/>
              </w:tabs>
              <w:suppressAutoHyphens w:val="0"/>
              <w:autoSpaceDE w:val="0"/>
              <w:autoSpaceDN w:val="0"/>
              <w:adjustRightInd w:val="0"/>
              <w:spacing w:line="240" w:lineRule="auto"/>
              <w:rPr>
                <w:bCs/>
                <w:szCs w:val="22"/>
              </w:rPr>
            </w:pPr>
            <w:r w:rsidRPr="00183B5F">
              <w:rPr>
                <w:bCs/>
                <w:szCs w:val="22"/>
              </w:rPr>
              <w:t>52. hét</w:t>
            </w:r>
          </w:p>
        </w:tc>
        <w:tc>
          <w:tcPr>
            <w:tcW w:w="1656" w:type="dxa"/>
            <w:tcBorders>
              <w:top w:val="single" w:sz="6" w:space="0" w:color="000000"/>
              <w:left w:val="single" w:sz="6" w:space="0" w:color="000000"/>
              <w:bottom w:val="single" w:sz="6" w:space="0" w:color="000000"/>
              <w:right w:val="single" w:sz="6" w:space="0" w:color="000000"/>
            </w:tcBorders>
          </w:tcPr>
          <w:p w14:paraId="0A25AD58"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szCs w:val="22"/>
              </w:rPr>
            </w:pPr>
            <w:r w:rsidRPr="00183B5F">
              <w:rPr>
                <w:szCs w:val="22"/>
              </w:rPr>
              <w:t>30,0%</w:t>
            </w:r>
          </w:p>
        </w:tc>
        <w:tc>
          <w:tcPr>
            <w:tcW w:w="1619" w:type="dxa"/>
            <w:tcBorders>
              <w:top w:val="single" w:sz="6" w:space="0" w:color="000000"/>
              <w:left w:val="single" w:sz="6" w:space="0" w:color="000000"/>
              <w:bottom w:val="single" w:sz="6" w:space="0" w:color="000000"/>
              <w:right w:val="single" w:sz="6" w:space="0" w:color="000000"/>
            </w:tcBorders>
          </w:tcPr>
          <w:p w14:paraId="6277CF40"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szCs w:val="22"/>
              </w:rPr>
            </w:pPr>
            <w:r w:rsidRPr="00183B5F">
              <w:rPr>
                <w:szCs w:val="22"/>
              </w:rPr>
              <w:t>29,8%</w:t>
            </w:r>
          </w:p>
        </w:tc>
        <w:tc>
          <w:tcPr>
            <w:tcW w:w="1140" w:type="dxa"/>
            <w:tcBorders>
              <w:top w:val="single" w:sz="6" w:space="0" w:color="000000"/>
              <w:left w:val="single" w:sz="6" w:space="0" w:color="000000"/>
              <w:bottom w:val="single" w:sz="6" w:space="0" w:color="000000"/>
              <w:right w:val="single" w:sz="6" w:space="0" w:color="000000"/>
            </w:tcBorders>
          </w:tcPr>
          <w:p w14:paraId="2956B2A0"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szCs w:val="22"/>
              </w:rPr>
            </w:pPr>
            <w:r w:rsidRPr="00183B5F">
              <w:rPr>
                <w:szCs w:val="22"/>
              </w:rPr>
              <w:t>0,983</w:t>
            </w:r>
          </w:p>
        </w:tc>
      </w:tr>
      <w:tr w:rsidR="00011D2F" w14:paraId="7794ACBB" w14:textId="77777777" w:rsidTr="00EF053A">
        <w:trPr>
          <w:cantSplit/>
          <w:jc w:val="center"/>
        </w:trPr>
        <w:tc>
          <w:tcPr>
            <w:tcW w:w="4025" w:type="dxa"/>
            <w:tcBorders>
              <w:top w:val="single" w:sz="6" w:space="0" w:color="000000"/>
              <w:left w:val="single" w:sz="6" w:space="0" w:color="000000"/>
              <w:bottom w:val="single" w:sz="6" w:space="0" w:color="000000"/>
              <w:right w:val="single" w:sz="6" w:space="0" w:color="000000"/>
            </w:tcBorders>
          </w:tcPr>
          <w:p w14:paraId="33859CB9" w14:textId="77777777" w:rsidR="00EF053A" w:rsidRPr="00183B5F" w:rsidRDefault="00943743" w:rsidP="002D49EE">
            <w:pPr>
              <w:keepNext/>
              <w:tabs>
                <w:tab w:val="left" w:pos="-1080"/>
              </w:tabs>
              <w:suppressAutoHyphens w:val="0"/>
              <w:autoSpaceDE w:val="0"/>
              <w:autoSpaceDN w:val="0"/>
              <w:adjustRightInd w:val="0"/>
              <w:spacing w:line="240" w:lineRule="auto"/>
              <w:rPr>
                <w:b/>
                <w:bCs/>
                <w:szCs w:val="22"/>
              </w:rPr>
            </w:pPr>
            <w:r w:rsidRPr="00183B5F">
              <w:rPr>
                <w:b/>
                <w:szCs w:val="22"/>
              </w:rPr>
              <w:t>Fistula-remisszió</w:t>
            </w:r>
            <w:r w:rsidRPr="00183B5F">
              <w:rPr>
                <w:b/>
                <w:szCs w:val="22"/>
                <w:vertAlign w:val="superscript"/>
              </w:rPr>
              <w:t>3</w:t>
            </w:r>
          </w:p>
        </w:tc>
        <w:tc>
          <w:tcPr>
            <w:tcW w:w="1656" w:type="dxa"/>
            <w:tcBorders>
              <w:top w:val="single" w:sz="6" w:space="0" w:color="000000"/>
              <w:left w:val="single" w:sz="6" w:space="0" w:color="000000"/>
              <w:bottom w:val="single" w:sz="6" w:space="0" w:color="000000"/>
              <w:right w:val="single" w:sz="6" w:space="0" w:color="000000"/>
            </w:tcBorders>
          </w:tcPr>
          <w:p w14:paraId="27DA2F76"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b/>
                <w:szCs w:val="22"/>
              </w:rPr>
            </w:pPr>
            <w:r w:rsidRPr="00183B5F">
              <w:rPr>
                <w:b/>
                <w:szCs w:val="22"/>
              </w:rPr>
              <w:t>N = 15</w:t>
            </w:r>
          </w:p>
        </w:tc>
        <w:tc>
          <w:tcPr>
            <w:tcW w:w="1619" w:type="dxa"/>
            <w:tcBorders>
              <w:top w:val="single" w:sz="6" w:space="0" w:color="000000"/>
              <w:left w:val="single" w:sz="6" w:space="0" w:color="000000"/>
              <w:bottom w:val="single" w:sz="6" w:space="0" w:color="000000"/>
              <w:right w:val="single" w:sz="6" w:space="0" w:color="000000"/>
            </w:tcBorders>
          </w:tcPr>
          <w:p w14:paraId="785B9BEE"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b/>
                <w:szCs w:val="22"/>
              </w:rPr>
            </w:pPr>
            <w:r w:rsidRPr="00183B5F">
              <w:rPr>
                <w:b/>
                <w:szCs w:val="22"/>
              </w:rPr>
              <w:t>N = 21</w:t>
            </w:r>
          </w:p>
        </w:tc>
        <w:tc>
          <w:tcPr>
            <w:tcW w:w="1140" w:type="dxa"/>
            <w:tcBorders>
              <w:top w:val="single" w:sz="6" w:space="0" w:color="000000"/>
              <w:left w:val="single" w:sz="6" w:space="0" w:color="000000"/>
              <w:bottom w:val="single" w:sz="6" w:space="0" w:color="000000"/>
              <w:right w:val="single" w:sz="6" w:space="0" w:color="000000"/>
            </w:tcBorders>
          </w:tcPr>
          <w:p w14:paraId="6D79E009" w14:textId="77777777" w:rsidR="00EF053A" w:rsidRPr="00183B5F" w:rsidRDefault="00EF053A" w:rsidP="002D49EE">
            <w:pPr>
              <w:keepNext/>
              <w:tabs>
                <w:tab w:val="left" w:pos="-1080"/>
              </w:tabs>
              <w:suppressAutoHyphens w:val="0"/>
              <w:autoSpaceDE w:val="0"/>
              <w:autoSpaceDN w:val="0"/>
              <w:adjustRightInd w:val="0"/>
              <w:spacing w:line="240" w:lineRule="auto"/>
              <w:ind w:left="15"/>
              <w:jc w:val="center"/>
              <w:rPr>
                <w:szCs w:val="22"/>
              </w:rPr>
            </w:pPr>
          </w:p>
        </w:tc>
      </w:tr>
      <w:tr w:rsidR="00011D2F" w14:paraId="09833F81" w14:textId="77777777" w:rsidTr="00EF053A">
        <w:trPr>
          <w:cantSplit/>
          <w:jc w:val="center"/>
        </w:trPr>
        <w:tc>
          <w:tcPr>
            <w:tcW w:w="4025" w:type="dxa"/>
            <w:tcBorders>
              <w:top w:val="single" w:sz="6" w:space="0" w:color="000000"/>
              <w:left w:val="single" w:sz="6" w:space="0" w:color="000000"/>
              <w:bottom w:val="single" w:sz="6" w:space="0" w:color="000000"/>
              <w:right w:val="single" w:sz="6" w:space="0" w:color="000000"/>
            </w:tcBorders>
          </w:tcPr>
          <w:p w14:paraId="1DB37EB1" w14:textId="77777777" w:rsidR="00EF053A" w:rsidRPr="00183B5F" w:rsidRDefault="00943743" w:rsidP="002D49EE">
            <w:pPr>
              <w:keepNext/>
              <w:tabs>
                <w:tab w:val="left" w:pos="-1080"/>
              </w:tabs>
              <w:suppressAutoHyphens w:val="0"/>
              <w:autoSpaceDE w:val="0"/>
              <w:autoSpaceDN w:val="0"/>
              <w:adjustRightInd w:val="0"/>
              <w:spacing w:line="240" w:lineRule="auto"/>
              <w:rPr>
                <w:bCs/>
                <w:szCs w:val="22"/>
              </w:rPr>
            </w:pPr>
            <w:r w:rsidRPr="00183B5F">
              <w:rPr>
                <w:bCs/>
                <w:szCs w:val="22"/>
              </w:rPr>
              <w:t>26. hét</w:t>
            </w:r>
          </w:p>
        </w:tc>
        <w:tc>
          <w:tcPr>
            <w:tcW w:w="1656" w:type="dxa"/>
            <w:tcBorders>
              <w:top w:val="single" w:sz="6" w:space="0" w:color="000000"/>
              <w:left w:val="single" w:sz="6" w:space="0" w:color="000000"/>
              <w:bottom w:val="single" w:sz="6" w:space="0" w:color="000000"/>
              <w:right w:val="single" w:sz="6" w:space="0" w:color="000000"/>
            </w:tcBorders>
          </w:tcPr>
          <w:p w14:paraId="0A10106A"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szCs w:val="22"/>
              </w:rPr>
            </w:pPr>
            <w:r w:rsidRPr="00183B5F">
              <w:rPr>
                <w:szCs w:val="22"/>
              </w:rPr>
              <w:t>46,7%</w:t>
            </w:r>
          </w:p>
        </w:tc>
        <w:tc>
          <w:tcPr>
            <w:tcW w:w="1619" w:type="dxa"/>
            <w:tcBorders>
              <w:top w:val="single" w:sz="6" w:space="0" w:color="000000"/>
              <w:left w:val="single" w:sz="6" w:space="0" w:color="000000"/>
              <w:bottom w:val="single" w:sz="6" w:space="0" w:color="000000"/>
              <w:right w:val="single" w:sz="6" w:space="0" w:color="000000"/>
            </w:tcBorders>
          </w:tcPr>
          <w:p w14:paraId="25526A42"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szCs w:val="22"/>
              </w:rPr>
            </w:pPr>
            <w:r w:rsidRPr="00183B5F">
              <w:rPr>
                <w:szCs w:val="22"/>
              </w:rPr>
              <w:t>38,1%</w:t>
            </w:r>
          </w:p>
        </w:tc>
        <w:tc>
          <w:tcPr>
            <w:tcW w:w="1140" w:type="dxa"/>
            <w:tcBorders>
              <w:top w:val="single" w:sz="6" w:space="0" w:color="000000"/>
              <w:left w:val="single" w:sz="6" w:space="0" w:color="000000"/>
              <w:bottom w:val="single" w:sz="6" w:space="0" w:color="000000"/>
              <w:right w:val="single" w:sz="6" w:space="0" w:color="000000"/>
            </w:tcBorders>
          </w:tcPr>
          <w:p w14:paraId="65C31ED8"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szCs w:val="22"/>
              </w:rPr>
            </w:pPr>
            <w:r w:rsidRPr="00183B5F">
              <w:rPr>
                <w:szCs w:val="22"/>
              </w:rPr>
              <w:t>0,608</w:t>
            </w:r>
          </w:p>
        </w:tc>
      </w:tr>
      <w:tr w:rsidR="00011D2F" w14:paraId="67A8CFB1" w14:textId="77777777" w:rsidTr="00EF053A">
        <w:trPr>
          <w:cantSplit/>
          <w:jc w:val="center"/>
        </w:trPr>
        <w:tc>
          <w:tcPr>
            <w:tcW w:w="4025" w:type="dxa"/>
            <w:tcBorders>
              <w:top w:val="single" w:sz="6" w:space="0" w:color="000000"/>
              <w:left w:val="single" w:sz="6" w:space="0" w:color="000000"/>
              <w:bottom w:val="single" w:sz="4" w:space="0" w:color="auto"/>
              <w:right w:val="single" w:sz="6" w:space="0" w:color="000000"/>
            </w:tcBorders>
          </w:tcPr>
          <w:p w14:paraId="0B27F515" w14:textId="77777777" w:rsidR="00EF053A" w:rsidRPr="00183B5F" w:rsidRDefault="00943743" w:rsidP="002D49EE">
            <w:pPr>
              <w:keepNext/>
              <w:tabs>
                <w:tab w:val="left" w:pos="-1080"/>
              </w:tabs>
              <w:suppressAutoHyphens w:val="0"/>
              <w:autoSpaceDE w:val="0"/>
              <w:autoSpaceDN w:val="0"/>
              <w:adjustRightInd w:val="0"/>
              <w:spacing w:line="240" w:lineRule="auto"/>
              <w:rPr>
                <w:bCs/>
                <w:szCs w:val="22"/>
              </w:rPr>
            </w:pPr>
            <w:r w:rsidRPr="00183B5F">
              <w:rPr>
                <w:szCs w:val="22"/>
              </w:rPr>
              <w:t>52. hét</w:t>
            </w:r>
          </w:p>
        </w:tc>
        <w:tc>
          <w:tcPr>
            <w:tcW w:w="1656" w:type="dxa"/>
            <w:tcBorders>
              <w:top w:val="single" w:sz="6" w:space="0" w:color="000000"/>
              <w:left w:val="single" w:sz="6" w:space="0" w:color="000000"/>
              <w:bottom w:val="single" w:sz="4" w:space="0" w:color="auto"/>
              <w:right w:val="single" w:sz="6" w:space="0" w:color="000000"/>
            </w:tcBorders>
          </w:tcPr>
          <w:p w14:paraId="16F1E978"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szCs w:val="22"/>
              </w:rPr>
            </w:pPr>
            <w:r w:rsidRPr="00183B5F">
              <w:rPr>
                <w:szCs w:val="22"/>
              </w:rPr>
              <w:t>40,0%</w:t>
            </w:r>
          </w:p>
        </w:tc>
        <w:tc>
          <w:tcPr>
            <w:tcW w:w="1619" w:type="dxa"/>
            <w:tcBorders>
              <w:top w:val="single" w:sz="6" w:space="0" w:color="000000"/>
              <w:left w:val="single" w:sz="6" w:space="0" w:color="000000"/>
              <w:bottom w:val="single" w:sz="4" w:space="0" w:color="auto"/>
              <w:right w:val="single" w:sz="6" w:space="0" w:color="000000"/>
            </w:tcBorders>
          </w:tcPr>
          <w:p w14:paraId="599654F8"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szCs w:val="22"/>
              </w:rPr>
            </w:pPr>
            <w:r w:rsidRPr="00183B5F">
              <w:rPr>
                <w:szCs w:val="22"/>
              </w:rPr>
              <w:t>23,8%</w:t>
            </w:r>
          </w:p>
        </w:tc>
        <w:tc>
          <w:tcPr>
            <w:tcW w:w="1140" w:type="dxa"/>
            <w:tcBorders>
              <w:top w:val="single" w:sz="6" w:space="0" w:color="000000"/>
              <w:left w:val="single" w:sz="6" w:space="0" w:color="000000"/>
              <w:bottom w:val="single" w:sz="4" w:space="0" w:color="auto"/>
              <w:right w:val="single" w:sz="6" w:space="0" w:color="000000"/>
            </w:tcBorders>
          </w:tcPr>
          <w:p w14:paraId="774686A8" w14:textId="77777777" w:rsidR="00EF053A" w:rsidRPr="00183B5F" w:rsidRDefault="00943743" w:rsidP="002D49EE">
            <w:pPr>
              <w:keepNext/>
              <w:tabs>
                <w:tab w:val="left" w:pos="-1080"/>
              </w:tabs>
              <w:suppressAutoHyphens w:val="0"/>
              <w:autoSpaceDE w:val="0"/>
              <w:autoSpaceDN w:val="0"/>
              <w:adjustRightInd w:val="0"/>
              <w:spacing w:line="240" w:lineRule="auto"/>
              <w:ind w:left="15"/>
              <w:jc w:val="center"/>
              <w:rPr>
                <w:szCs w:val="22"/>
              </w:rPr>
            </w:pPr>
            <w:r w:rsidRPr="00183B5F">
              <w:rPr>
                <w:szCs w:val="22"/>
              </w:rPr>
              <w:t>0,303</w:t>
            </w:r>
          </w:p>
        </w:tc>
      </w:tr>
      <w:tr w:rsidR="00011D2F" w14:paraId="5D6F300F" w14:textId="77777777" w:rsidTr="00EF053A">
        <w:trPr>
          <w:cantSplit/>
          <w:trHeight w:val="177"/>
          <w:jc w:val="center"/>
        </w:trPr>
        <w:tc>
          <w:tcPr>
            <w:tcW w:w="8440" w:type="dxa"/>
            <w:gridSpan w:val="4"/>
            <w:tcBorders>
              <w:top w:val="single" w:sz="4" w:space="0" w:color="auto"/>
            </w:tcBorders>
          </w:tcPr>
          <w:p w14:paraId="5234B276" w14:textId="77777777" w:rsidR="00EF053A" w:rsidRPr="00183B5F" w:rsidRDefault="00943743" w:rsidP="002D49EE">
            <w:pPr>
              <w:keepNext/>
              <w:tabs>
                <w:tab w:val="left" w:pos="-1080"/>
              </w:tabs>
              <w:suppressAutoHyphens w:val="0"/>
              <w:autoSpaceDE w:val="0"/>
              <w:autoSpaceDN w:val="0"/>
              <w:adjustRightInd w:val="0"/>
              <w:spacing w:line="240" w:lineRule="auto"/>
              <w:rPr>
                <w:szCs w:val="22"/>
              </w:rPr>
            </w:pPr>
            <w:r w:rsidRPr="00183B5F">
              <w:rPr>
                <w:szCs w:val="22"/>
                <w:vertAlign w:val="superscript"/>
              </w:rPr>
              <w:t>1</w:t>
            </w:r>
            <w:r w:rsidRPr="00183B5F">
              <w:rPr>
                <w:szCs w:val="22"/>
              </w:rPr>
              <w:t xml:space="preserve">  p</w:t>
            </w:r>
            <w:r w:rsidRPr="00183B5F">
              <w:rPr>
                <w:szCs w:val="22"/>
              </w:rPr>
              <w:noBreakHyphen/>
              <w:t xml:space="preserve">érték Standard dózis </w:t>
            </w:r>
            <w:r w:rsidRPr="00183B5F">
              <w:rPr>
                <w:i/>
                <w:iCs/>
                <w:szCs w:val="22"/>
              </w:rPr>
              <w:t xml:space="preserve">versus az </w:t>
            </w:r>
            <w:r w:rsidRPr="00183B5F">
              <w:rPr>
                <w:iCs/>
                <w:szCs w:val="22"/>
              </w:rPr>
              <w:t>Alacsony</w:t>
            </w:r>
            <w:r w:rsidRPr="00183B5F">
              <w:rPr>
                <w:szCs w:val="22"/>
              </w:rPr>
              <w:t xml:space="preserve"> dózis összehasonlítása esetén.</w:t>
            </w:r>
          </w:p>
          <w:p w14:paraId="4AAF27B1" w14:textId="77777777" w:rsidR="00EF053A" w:rsidRPr="00183B5F" w:rsidRDefault="00943743" w:rsidP="002D49EE">
            <w:pPr>
              <w:keepNext/>
              <w:tabs>
                <w:tab w:val="left" w:pos="-1080"/>
              </w:tabs>
              <w:suppressAutoHyphens w:val="0"/>
              <w:autoSpaceDE w:val="0"/>
              <w:autoSpaceDN w:val="0"/>
              <w:adjustRightInd w:val="0"/>
              <w:spacing w:line="240" w:lineRule="auto"/>
              <w:rPr>
                <w:szCs w:val="22"/>
              </w:rPr>
            </w:pPr>
            <w:r w:rsidRPr="00183B5F">
              <w:rPr>
                <w:szCs w:val="22"/>
                <w:vertAlign w:val="superscript"/>
              </w:rPr>
              <w:t xml:space="preserve"> 2</w:t>
            </w:r>
            <w:r w:rsidRPr="00183B5F">
              <w:rPr>
                <w:szCs w:val="22"/>
              </w:rPr>
              <w:t xml:space="preserve">  Az immunszuppresszív kezelést csak a 26. héten vagy azt követően lehetett felfüggeszteni a vizsgáló orvos megítélése alapján, ha a beteg teljesítette a klinikai válasz kritériumait. </w:t>
            </w:r>
          </w:p>
          <w:p w14:paraId="3C928E70" w14:textId="77777777" w:rsidR="00EF053A" w:rsidRPr="00183B5F" w:rsidRDefault="00943743" w:rsidP="002D49EE">
            <w:pPr>
              <w:keepNext/>
              <w:tabs>
                <w:tab w:val="left" w:pos="-1080"/>
              </w:tabs>
              <w:suppressAutoHyphens w:val="0"/>
              <w:autoSpaceDE w:val="0"/>
              <w:autoSpaceDN w:val="0"/>
              <w:adjustRightInd w:val="0"/>
              <w:spacing w:line="240" w:lineRule="auto"/>
              <w:rPr>
                <w:szCs w:val="22"/>
              </w:rPr>
            </w:pPr>
            <w:r w:rsidRPr="00183B5F">
              <w:rPr>
                <w:szCs w:val="22"/>
                <w:vertAlign w:val="superscript"/>
              </w:rPr>
              <w:t>3</w:t>
            </w:r>
            <w:r w:rsidRPr="00183B5F">
              <w:rPr>
                <w:szCs w:val="22"/>
              </w:rPr>
              <w:t xml:space="preserve">  Meghatározás szerint valamennyi, a vizsgálat megkezdésekor váladékozó fistula záródása legalább 2 egymást követő kontrollvizsgálat alkalmával.</w:t>
            </w:r>
          </w:p>
        </w:tc>
      </w:tr>
    </w:tbl>
    <w:p w14:paraId="0D939355" w14:textId="77777777" w:rsidR="00EF053A" w:rsidRPr="00183B5F" w:rsidRDefault="00EF053A" w:rsidP="00EF053A">
      <w:pPr>
        <w:spacing w:line="240" w:lineRule="auto"/>
        <w:rPr>
          <w:szCs w:val="22"/>
        </w:rPr>
      </w:pPr>
    </w:p>
    <w:p w14:paraId="7187DC39" w14:textId="77777777" w:rsidR="00EF053A" w:rsidRPr="00183B5F" w:rsidRDefault="00943743" w:rsidP="00EF053A">
      <w:pPr>
        <w:pStyle w:val="EMEANormal"/>
        <w:rPr>
          <w:szCs w:val="22"/>
          <w:lang w:val="hu-HU"/>
        </w:rPr>
      </w:pPr>
      <w:r w:rsidRPr="00183B5F">
        <w:rPr>
          <w:szCs w:val="22"/>
          <w:lang w:val="hu-HU"/>
        </w:rPr>
        <w:t>Mindkét kezelési csoportban a testtömegindex és a növekedési sebesség kiindulási értékhez viszonyított, statisztikailag szignifikáns emelkedését (javulását) észlelték a 26. és az 52. héten.</w:t>
      </w:r>
    </w:p>
    <w:p w14:paraId="04186754" w14:textId="77777777" w:rsidR="00EF053A" w:rsidRPr="00183B5F" w:rsidRDefault="00EF053A" w:rsidP="00EF053A">
      <w:pPr>
        <w:pStyle w:val="EMEANormal"/>
        <w:rPr>
          <w:szCs w:val="22"/>
          <w:lang w:val="hu-HU"/>
        </w:rPr>
      </w:pPr>
    </w:p>
    <w:p w14:paraId="3740B54B" w14:textId="77777777" w:rsidR="00EF053A" w:rsidRPr="00183B5F" w:rsidRDefault="00943743" w:rsidP="00EF053A">
      <w:pPr>
        <w:pStyle w:val="EMEANormal"/>
        <w:rPr>
          <w:szCs w:val="22"/>
          <w:lang w:val="hu-HU"/>
        </w:rPr>
      </w:pPr>
      <w:r w:rsidRPr="00183B5F">
        <w:rPr>
          <w:szCs w:val="22"/>
          <w:lang w:val="hu-HU"/>
        </w:rPr>
        <w:t>Mindkét kezelési csoportban az életminőségi paraméterek (köztük az IMPACT III-t) kiindulási értékhez viszonyított, statisztikailag szignifikáns és klinikailag jelentős javulását is megfigyelték.</w:t>
      </w:r>
    </w:p>
    <w:p w14:paraId="4877C56E" w14:textId="77777777" w:rsidR="00EF053A" w:rsidRPr="00183B5F" w:rsidRDefault="00EF053A" w:rsidP="00EF053A">
      <w:pPr>
        <w:pStyle w:val="EMEANormal"/>
        <w:rPr>
          <w:szCs w:val="22"/>
          <w:lang w:val="hu-HU"/>
        </w:rPr>
      </w:pPr>
    </w:p>
    <w:p w14:paraId="35DDD5DE" w14:textId="77777777" w:rsidR="00EF053A" w:rsidRPr="00183B5F" w:rsidRDefault="00943743" w:rsidP="00EF053A">
      <w:pPr>
        <w:pStyle w:val="EMEANormal"/>
        <w:rPr>
          <w:szCs w:val="22"/>
          <w:lang w:val="hu-HU"/>
        </w:rPr>
      </w:pPr>
      <w:r w:rsidRPr="00183B5F">
        <w:rPr>
          <w:szCs w:val="22"/>
          <w:lang w:val="hu-HU"/>
        </w:rPr>
        <w:t>A gyermekkori CD vizsgálatból 100 beteg (n = 100) egy további, nyílt elrendezésű, hosszú távú vizsgálatban vett részt. Az 5 évig tartó adalimumab</w:t>
      </w:r>
      <w:r w:rsidRPr="00183B5F">
        <w:rPr>
          <w:szCs w:val="22"/>
          <w:lang w:val="hu-HU"/>
        </w:rPr>
        <w:noBreakHyphen/>
        <w:t>kezelés után, a vizsgálatban továbbra is részt vevő 50 beteg 74,0%</w:t>
      </w:r>
      <w:r w:rsidRPr="00183B5F">
        <w:rPr>
          <w:szCs w:val="22"/>
          <w:lang w:val="hu-HU"/>
        </w:rPr>
        <w:noBreakHyphen/>
        <w:t>ánál (37/50) fennmaradt a klinikai remisszió, és 92%-uk (46/50) adott PCDAI szerinti klinikai választ.</w:t>
      </w:r>
    </w:p>
    <w:p w14:paraId="1A627560" w14:textId="77777777" w:rsidR="00324E94" w:rsidRPr="00183B5F" w:rsidRDefault="00324E94">
      <w:pPr>
        <w:spacing w:line="240" w:lineRule="auto"/>
        <w:outlineLvl w:val="0"/>
        <w:rPr>
          <w:noProof/>
          <w:szCs w:val="24"/>
        </w:rPr>
      </w:pPr>
    </w:p>
    <w:p w14:paraId="4E3DA18A" w14:textId="77777777" w:rsidR="00C65171" w:rsidRPr="00183B5F" w:rsidRDefault="00943743" w:rsidP="00C65171">
      <w:pPr>
        <w:keepNext/>
        <w:rPr>
          <w:bCs/>
          <w:i/>
        </w:rPr>
      </w:pPr>
      <w:bookmarkStart w:id="8510" w:name="_Hlk53385088"/>
      <w:r w:rsidRPr="00183B5F">
        <w:rPr>
          <w:i/>
        </w:rPr>
        <w:t>Gyermek</w:t>
      </w:r>
      <w:r w:rsidR="003F6646" w:rsidRPr="00183B5F">
        <w:rPr>
          <w:i/>
        </w:rPr>
        <w:t>- és serdülő</w:t>
      </w:r>
      <w:r w:rsidRPr="00183B5F">
        <w:rPr>
          <w:i/>
        </w:rPr>
        <w:t>kori colitis ulcerosa</w:t>
      </w:r>
    </w:p>
    <w:p w14:paraId="2D6B17C8" w14:textId="77777777" w:rsidR="00C65171" w:rsidRPr="00183B5F" w:rsidRDefault="00C65171" w:rsidP="00C65171">
      <w:pPr>
        <w:keepNext/>
        <w:rPr>
          <w:bCs/>
          <w:i/>
        </w:rPr>
      </w:pPr>
    </w:p>
    <w:p w14:paraId="007C15AC" w14:textId="77777777" w:rsidR="00C65171" w:rsidRPr="00183B5F" w:rsidRDefault="00943743" w:rsidP="00C65171">
      <w:r w:rsidRPr="00183B5F">
        <w:t xml:space="preserve">A Humira biztonságosságát és hatásosságát egy multicentrikus, randomizált, kettős vak vizsgálatban értékelték, 93, közepesen súlyos </w:t>
      </w:r>
      <w:r w:rsidRPr="00183B5F">
        <w:noBreakHyphen/>
        <w:t xml:space="preserve"> súlyos </w:t>
      </w:r>
      <w:r w:rsidR="00C96EE0" w:rsidRPr="00183B5F">
        <w:t xml:space="preserve">aktivitású </w:t>
      </w:r>
      <w:r w:rsidRPr="00183B5F">
        <w:t>colitis ulcerosában szenvedő (Mayo</w:t>
      </w:r>
      <w:r w:rsidRPr="00183B5F">
        <w:noBreakHyphen/>
        <w:t xml:space="preserve">pontszám 6–12, endoszkópiás alpontszám 2–3, amelyet központilag </w:t>
      </w:r>
      <w:r w:rsidR="00C96EE0" w:rsidRPr="00183B5F">
        <w:t>értékelt</w:t>
      </w:r>
      <w:r w:rsidRPr="00183B5F">
        <w:t xml:space="preserve"> endoszkópiával igazoltak), 5–17 éves gyermeknél</w:t>
      </w:r>
      <w:r w:rsidR="003F6646" w:rsidRPr="00183B5F">
        <w:t xml:space="preserve"> és serdülőnél</w:t>
      </w:r>
      <w:r w:rsidRPr="00183B5F">
        <w:t>, akik nem adtak megfelelő terápiás választ a hagyományos terápiára vagy intolerancia lépett fel</w:t>
      </w:r>
      <w:r w:rsidR="00C96EE0" w:rsidRPr="00183B5F">
        <w:t xml:space="preserve"> azokkal szemben</w:t>
      </w:r>
      <w:r w:rsidRPr="00183B5F">
        <w:t>. A vizsgálatban részt vevő betegek körülbelül 16%-ánál sikertelen volt a korábbi anti</w:t>
      </w:r>
      <w:r w:rsidRPr="00183B5F">
        <w:noBreakHyphen/>
        <w:t>TNF</w:t>
      </w:r>
      <w:r w:rsidRPr="00183B5F">
        <w:noBreakHyphen/>
        <w:t xml:space="preserve">kezelés. Azok a betegek, akik a bevonáskor kortikoszteroidot kaptak, a 4. hét után fokozatosan csökkenthették </w:t>
      </w:r>
      <w:r w:rsidR="00C96EE0" w:rsidRPr="00183B5F">
        <w:t xml:space="preserve">a </w:t>
      </w:r>
      <w:r w:rsidRPr="00183B5F">
        <w:t>kortikos</w:t>
      </w:r>
      <w:r w:rsidRPr="00183B5F">
        <w:t>zteroid-kezelést.</w:t>
      </w:r>
    </w:p>
    <w:p w14:paraId="33581BEF" w14:textId="77777777" w:rsidR="00C65171" w:rsidRPr="00183B5F" w:rsidRDefault="00C65171" w:rsidP="00C65171"/>
    <w:p w14:paraId="56347F5C" w14:textId="77777777" w:rsidR="00C65171" w:rsidRPr="00183B5F" w:rsidRDefault="00943743" w:rsidP="00C65171">
      <w:pPr>
        <w:rPr>
          <w:shd w:val="clear" w:color="auto" w:fill="FFFFFF"/>
        </w:rPr>
      </w:pPr>
      <w:r w:rsidRPr="00183B5F">
        <w:rPr>
          <w:shd w:val="clear" w:color="auto" w:fill="FFFFFF"/>
        </w:rPr>
        <w:t>A vizsgálat indukciós periódusában 77 beteget randomizáltak kettős vak Humira-kezelésre 3:2 arányban</w:t>
      </w:r>
      <w:r w:rsidR="00C96EE0" w:rsidRPr="00183B5F">
        <w:rPr>
          <w:shd w:val="clear" w:color="auto" w:fill="FFFFFF"/>
        </w:rPr>
        <w:t xml:space="preserve"> a következő kezelési karokra:</w:t>
      </w:r>
      <w:r w:rsidRPr="00183B5F">
        <w:rPr>
          <w:shd w:val="clear" w:color="auto" w:fill="FFFFFF"/>
        </w:rPr>
        <w:t xml:space="preserve"> így indukciós dózisként a 0. és az 1. héten 2,4 mg/ttkg-os (legfeljebb 160 mg) és a 2. héten 1,2 mg/ttkg-os (legfeljebb 80 mg) adagot; vagy a 0. héten 2,4 mg/ttkg</w:t>
      </w:r>
      <w:r w:rsidRPr="00183B5F">
        <w:rPr>
          <w:shd w:val="clear" w:color="auto" w:fill="FFFFFF"/>
        </w:rPr>
        <w:noBreakHyphen/>
        <w:t>os (legfeljebb 160 mg), az 1. héten placebót és a 2. héten 1,2 mg/ttkg</w:t>
      </w:r>
      <w:r w:rsidRPr="00183B5F">
        <w:rPr>
          <w:shd w:val="clear" w:color="auto" w:fill="FFFFFF"/>
        </w:rPr>
        <w:noBreakHyphen/>
        <w:t>os (legfeljebb 80 mg) dózist kaptak. Mindkét csoport 0,6 mg/ttkg-os (legfeljebb 40 mg) dózist kapott a 4. és a 6. héten. A vizsgálati elrendezés módosítását követően az indukciós periódusba bevont további 16 beteg nyílt elrendezésben kapta a Humir</w:t>
      </w:r>
      <w:r w:rsidRPr="00183B5F">
        <w:rPr>
          <w:shd w:val="clear" w:color="auto" w:fill="FFFFFF"/>
        </w:rPr>
        <w:t>a</w:t>
      </w:r>
      <w:r w:rsidRPr="00183B5F">
        <w:rPr>
          <w:shd w:val="clear" w:color="auto" w:fill="FFFFFF"/>
        </w:rPr>
        <w:noBreakHyphen/>
        <w:t>kezelést: a 0. héten és az 1. héten 2,4 mg/ttkg-os (legfeljebb 160 mg), a 2. héten 1,2 mg/ttkg</w:t>
      </w:r>
      <w:r w:rsidRPr="00183B5F">
        <w:rPr>
          <w:shd w:val="clear" w:color="auto" w:fill="FFFFFF"/>
        </w:rPr>
        <w:noBreakHyphen/>
        <w:t>os (legfeljebb 80 mg) indukciós dózissal kezdve.</w:t>
      </w:r>
    </w:p>
    <w:p w14:paraId="3706C21A" w14:textId="77777777" w:rsidR="00C65171" w:rsidRPr="00183B5F" w:rsidRDefault="00C65171" w:rsidP="00C65171"/>
    <w:p w14:paraId="19514128" w14:textId="77777777" w:rsidR="00C65171" w:rsidRPr="00183B5F" w:rsidRDefault="00943743" w:rsidP="00C65171">
      <w:pPr>
        <w:rPr>
          <w:shd w:val="clear" w:color="auto" w:fill="FFFFFF"/>
        </w:rPr>
      </w:pPr>
      <w:r w:rsidRPr="00183B5F">
        <w:rPr>
          <w:shd w:val="clear" w:color="auto" w:fill="FFFFFF"/>
        </w:rPr>
        <w:t>A 8. héten 62, a részleges Mayo-pontszám (PMS) szerint klinikai választ mutató (a kiinduláshoz képest a PMS ≥ 2 pontos és ≥ 30%-os csökkenése) beteget randomizáltak egyenlő arányban kettős vak Humira fenntartó kezelésre: hetente adott 0,6 mg/ttkg</w:t>
      </w:r>
      <w:r w:rsidRPr="00183B5F">
        <w:rPr>
          <w:shd w:val="clear" w:color="auto" w:fill="FFFFFF"/>
        </w:rPr>
        <w:noBreakHyphen/>
        <w:t>os (maximum 40 mg) dózisra, vagy minden második héten adott 0,6 mg/ttkg-os (maximum 40 mg) dózisra. A vizsgálati elrendezés módosítását megelőzően további 12, PMS szerint klinikai választ mutató beteget placebóra randomizáltak, de őket nem vették be a hatásosságot megerősítő elemzésbe.</w:t>
      </w:r>
    </w:p>
    <w:p w14:paraId="5D3D499C" w14:textId="77777777" w:rsidR="00C65171" w:rsidRPr="00183B5F" w:rsidRDefault="00C65171" w:rsidP="00C65171">
      <w:pPr>
        <w:rPr>
          <w:shd w:val="clear" w:color="auto" w:fill="FFFFFF"/>
        </w:rPr>
      </w:pPr>
    </w:p>
    <w:p w14:paraId="133DDAB7" w14:textId="77777777" w:rsidR="00C65171" w:rsidRPr="00183B5F" w:rsidRDefault="00943743" w:rsidP="00C65171">
      <w:r w:rsidRPr="00183B5F">
        <w:t>A betegség fellángolását a PMS legalább 3 pontos (a 8. héten 0–2-es PMS pontszámú betegeknél), legalább 2 pontos (a 8. héten 3–4-es PMS pontszámú betegeknél) vagy legalább 1 pontos (a 8. héten 5–6</w:t>
      </w:r>
      <w:r w:rsidRPr="00183B5F">
        <w:noBreakHyphen/>
        <w:t>os pontszámú betegeknél) növekedésével határozták meg.</w:t>
      </w:r>
    </w:p>
    <w:p w14:paraId="46FC4751" w14:textId="77777777" w:rsidR="00C65171" w:rsidRPr="00183B5F" w:rsidRDefault="00C65171" w:rsidP="00C65171"/>
    <w:p w14:paraId="5748C80A" w14:textId="77777777" w:rsidR="00C65171" w:rsidRPr="00183B5F" w:rsidRDefault="00943743" w:rsidP="00C65171">
      <w:r w:rsidRPr="00183B5F">
        <w:t>Azokat a betegeket, akiknél a 12. héten vagy azt követően teljesült a betegség fellángolásának kritériuma, 2,4 mg/ttkg (maximum 160 mg) ismételt indukciós dózisra vagy 0,6 mg/ttkg (legfeljebb 40 mg) dózisra randomizálták, majd a továbbiakban őket a számukra meghatározott fenntartó adagolási sémával kezelték.</w:t>
      </w:r>
    </w:p>
    <w:p w14:paraId="1E2F0AC4" w14:textId="77777777" w:rsidR="00C65171" w:rsidRPr="00183B5F" w:rsidRDefault="00943743" w:rsidP="00C65171">
      <w:pPr>
        <w:spacing w:before="240"/>
        <w:rPr>
          <w:i/>
        </w:rPr>
      </w:pPr>
      <w:r w:rsidRPr="00183B5F">
        <w:rPr>
          <w:i/>
          <w:szCs w:val="24"/>
        </w:rPr>
        <w:t>Hatásossági eredmények</w:t>
      </w:r>
    </w:p>
    <w:p w14:paraId="0DBCC099" w14:textId="77777777" w:rsidR="00C65171" w:rsidRPr="00183B5F" w:rsidRDefault="00C65171" w:rsidP="00C65171">
      <w:pPr>
        <w:rPr>
          <w:i/>
        </w:rPr>
      </w:pPr>
    </w:p>
    <w:p w14:paraId="1D355453" w14:textId="77777777" w:rsidR="00C65171" w:rsidRPr="00183B5F" w:rsidRDefault="00943743" w:rsidP="00C65171">
      <w:pPr>
        <w:textAlignment w:val="baseline"/>
      </w:pPr>
      <w:r w:rsidRPr="00183B5F">
        <w:t>A vizsgálat elsődleges kompozit végpontjai a következők voltak: a PMS szerinti klinikai remisszió (PMS ≤ 2, és nincs</w:t>
      </w:r>
      <w:r w:rsidR="00A84DFB" w:rsidRPr="00183B5F">
        <w:t xml:space="preserve"> olyan</w:t>
      </w:r>
      <w:r w:rsidRPr="00183B5F">
        <w:t xml:space="preserve"> egyedi alpontszám</w:t>
      </w:r>
      <w:r w:rsidR="00A84DFB" w:rsidRPr="00183B5F">
        <w:t>, ami</w:t>
      </w:r>
      <w:r w:rsidRPr="00183B5F">
        <w:t xml:space="preserve"> &gt; 1) a 8. héten, és az FMS szerinti (Full Mayo Score) (meghatározva: Mayo-pontszám ≤ 2, és nincs </w:t>
      </w:r>
      <w:r w:rsidR="00A84DFB" w:rsidRPr="00183B5F">
        <w:t xml:space="preserve">olyan </w:t>
      </w:r>
      <w:r w:rsidRPr="00183B5F">
        <w:t>egyedi alpontszám</w:t>
      </w:r>
      <w:r w:rsidR="00A84DFB" w:rsidRPr="00183B5F">
        <w:t>, ami</w:t>
      </w:r>
      <w:r w:rsidRPr="00183B5F">
        <w:t xml:space="preserve"> &gt; 1) klinikai remisszió az 52. héten azoknál a betegeknél, akik a 8. héten PMS szerinti klinikai választ értek el.</w:t>
      </w:r>
    </w:p>
    <w:p w14:paraId="21F0A41C" w14:textId="77777777" w:rsidR="00A31545" w:rsidRPr="00183B5F" w:rsidRDefault="00A31545" w:rsidP="00C65171">
      <w:pPr>
        <w:textAlignment w:val="baseline"/>
      </w:pPr>
    </w:p>
    <w:p w14:paraId="27D4833E" w14:textId="77777777" w:rsidR="00C65171" w:rsidRPr="00183B5F" w:rsidRDefault="00943743" w:rsidP="00C65171">
      <w:pPr>
        <w:textAlignment w:val="baseline"/>
      </w:pPr>
      <w:r w:rsidRPr="00183B5F">
        <w:t xml:space="preserve">A PMS szerinti klinikai remisszió arányát a 8. héten a Humira kettős vak indukciós csoport mindegyikében lévő betegeknél </w:t>
      </w:r>
      <w:r w:rsidR="00A31545" w:rsidRPr="00183B5F">
        <w:t xml:space="preserve">a </w:t>
      </w:r>
      <w:r w:rsidRPr="00183B5F">
        <w:t>2</w:t>
      </w:r>
      <w:r w:rsidR="00A31545" w:rsidRPr="00183B5F">
        <w:t>1</w:t>
      </w:r>
      <w:r w:rsidRPr="00183B5F">
        <w:t>. táblázat</w:t>
      </w:r>
      <w:r w:rsidR="00A31545" w:rsidRPr="00183B5F">
        <w:t xml:space="preserve"> mutatja be</w:t>
      </w:r>
      <w:r w:rsidRPr="00183B5F">
        <w:t>.</w:t>
      </w:r>
    </w:p>
    <w:p w14:paraId="1EBB966D" w14:textId="77777777" w:rsidR="00C65171" w:rsidRPr="00183B5F" w:rsidRDefault="00943743" w:rsidP="00C65171">
      <w:pPr>
        <w:spacing w:before="240"/>
        <w:jc w:val="center"/>
        <w:rPr>
          <w:b/>
          <w:szCs w:val="24"/>
        </w:rPr>
      </w:pPr>
      <w:r w:rsidRPr="00183B5F">
        <w:rPr>
          <w:b/>
          <w:szCs w:val="24"/>
        </w:rPr>
        <w:t>2</w:t>
      </w:r>
      <w:r w:rsidR="00A31545" w:rsidRPr="00183B5F">
        <w:rPr>
          <w:b/>
          <w:szCs w:val="24"/>
        </w:rPr>
        <w:t>1</w:t>
      </w:r>
      <w:r w:rsidRPr="00183B5F">
        <w:rPr>
          <w:b/>
          <w:szCs w:val="24"/>
        </w:rPr>
        <w:t xml:space="preserve">. táblázat: A PMS szerint klinikai remisszió 8 hét alatt </w:t>
      </w:r>
    </w:p>
    <w:tbl>
      <w:tblPr>
        <w:tblW w:w="4246" w:type="pct"/>
        <w:jc w:val="center"/>
        <w:tblLook w:val="04A0" w:firstRow="1" w:lastRow="0" w:firstColumn="1" w:lastColumn="0" w:noHBand="0" w:noVBand="1"/>
      </w:tblPr>
      <w:tblGrid>
        <w:gridCol w:w="1904"/>
        <w:gridCol w:w="2867"/>
        <w:gridCol w:w="2919"/>
      </w:tblGrid>
      <w:tr w:rsidR="00011D2F" w14:paraId="23A08796" w14:textId="77777777" w:rsidTr="00C65171">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D869038" w14:textId="77777777" w:rsidR="00C65171" w:rsidRPr="00183B5F" w:rsidRDefault="00C65171" w:rsidP="00C65171"/>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E5765CC" w14:textId="77777777" w:rsidR="00C65171" w:rsidRPr="00183B5F" w:rsidRDefault="00943743" w:rsidP="00C65171">
            <w:pPr>
              <w:jc w:val="center"/>
              <w:textAlignment w:val="baseline"/>
              <w:rPr>
                <w:b/>
                <w:bCs/>
              </w:rPr>
            </w:pPr>
            <w:r w:rsidRPr="00183B5F">
              <w:rPr>
                <w:b/>
                <w:bCs/>
                <w:szCs w:val="24"/>
              </w:rPr>
              <w:t>Humira</w:t>
            </w:r>
            <w:r w:rsidRPr="00183B5F">
              <w:rPr>
                <w:b/>
                <w:bCs/>
                <w:szCs w:val="24"/>
                <w:vertAlign w:val="superscript"/>
              </w:rPr>
              <w:t>a</w:t>
            </w:r>
            <w:r w:rsidRPr="00183B5F">
              <w:rPr>
                <w:b/>
                <w:bCs/>
                <w:sz w:val="24"/>
                <w:szCs w:val="24"/>
              </w:rPr>
              <w:t> </w:t>
            </w:r>
          </w:p>
          <w:p w14:paraId="09E91875" w14:textId="77777777" w:rsidR="00C65171" w:rsidRPr="00183B5F" w:rsidRDefault="00943743" w:rsidP="00C65171">
            <w:pPr>
              <w:jc w:val="center"/>
              <w:rPr>
                <w:b/>
                <w:bCs/>
              </w:rPr>
            </w:pPr>
            <w:r w:rsidRPr="00183B5F">
              <w:rPr>
                <w:b/>
                <w:bCs/>
              </w:rPr>
              <w:t>Legfeljebb 160 mg a 0. héten / placebo az 1. héten </w:t>
            </w:r>
          </w:p>
          <w:p w14:paraId="4E5BEFB5" w14:textId="77777777" w:rsidR="00C65171" w:rsidRPr="00183B5F" w:rsidRDefault="00943743" w:rsidP="00C65171">
            <w:pPr>
              <w:jc w:val="center"/>
            </w:pPr>
            <w:r w:rsidRPr="00183B5F">
              <w:t>N=30</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807DD3A" w14:textId="77777777" w:rsidR="00C65171" w:rsidRPr="00183B5F" w:rsidRDefault="00943743" w:rsidP="00C65171">
            <w:pPr>
              <w:jc w:val="center"/>
              <w:textAlignment w:val="baseline"/>
              <w:rPr>
                <w:b/>
                <w:bCs/>
              </w:rPr>
            </w:pPr>
            <w:r w:rsidRPr="00183B5F">
              <w:rPr>
                <w:b/>
                <w:bCs/>
                <w:szCs w:val="24"/>
              </w:rPr>
              <w:t>Humira</w:t>
            </w:r>
            <w:r w:rsidRPr="00183B5F">
              <w:rPr>
                <w:b/>
                <w:bCs/>
                <w:szCs w:val="24"/>
                <w:vertAlign w:val="superscript"/>
              </w:rPr>
              <w:t>b, c</w:t>
            </w:r>
            <w:r w:rsidRPr="00183B5F">
              <w:rPr>
                <w:b/>
                <w:bCs/>
                <w:sz w:val="24"/>
                <w:szCs w:val="24"/>
              </w:rPr>
              <w:t> </w:t>
            </w:r>
          </w:p>
          <w:p w14:paraId="20BED82F" w14:textId="77777777" w:rsidR="00C65171" w:rsidRPr="00183B5F" w:rsidRDefault="00943743" w:rsidP="00C65171">
            <w:pPr>
              <w:jc w:val="center"/>
              <w:rPr>
                <w:b/>
                <w:bCs/>
              </w:rPr>
            </w:pPr>
            <w:r w:rsidRPr="00183B5F">
              <w:rPr>
                <w:b/>
                <w:bCs/>
              </w:rPr>
              <w:t>Legfeljebb 160 mg a 0. és az 1. héten </w:t>
            </w:r>
          </w:p>
          <w:p w14:paraId="54783BF2" w14:textId="77777777" w:rsidR="00C65171" w:rsidRPr="00183B5F" w:rsidRDefault="00943743" w:rsidP="00C65171">
            <w:pPr>
              <w:jc w:val="center"/>
            </w:pPr>
            <w:r w:rsidRPr="00183B5F">
              <w:t>N=47</w:t>
            </w:r>
          </w:p>
        </w:tc>
      </w:tr>
      <w:tr w:rsidR="00011D2F" w14:paraId="164ED2CE" w14:textId="77777777" w:rsidTr="00C65171">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07E42B5" w14:textId="77777777" w:rsidR="00C65171" w:rsidRPr="00183B5F" w:rsidRDefault="00943743" w:rsidP="00C65171">
            <w:r w:rsidRPr="00183B5F">
              <w:t>Klinikai remisszió</w:t>
            </w: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6D202F4" w14:textId="77777777" w:rsidR="00C65171" w:rsidRPr="00183B5F" w:rsidRDefault="00943743" w:rsidP="00C65171">
            <w:pPr>
              <w:jc w:val="center"/>
            </w:pPr>
            <w:r w:rsidRPr="00183B5F">
              <w:t>13/30 (43,3%)</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1C82562" w14:textId="77777777" w:rsidR="00C65171" w:rsidRPr="00183B5F" w:rsidRDefault="00943743" w:rsidP="00C65171">
            <w:pPr>
              <w:jc w:val="center"/>
              <w:rPr>
                <w:vertAlign w:val="superscript"/>
              </w:rPr>
            </w:pPr>
            <w:r w:rsidRPr="00183B5F">
              <w:t>28/47 (59,6%)</w:t>
            </w:r>
          </w:p>
        </w:tc>
      </w:tr>
      <w:tr w:rsidR="00011D2F" w14:paraId="57D93B92" w14:textId="77777777" w:rsidTr="00C65171">
        <w:trPr>
          <w:trHeight w:val="2517"/>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8F9F722" w14:textId="77777777" w:rsidR="00C65171" w:rsidRPr="00183B5F" w:rsidRDefault="00943743" w:rsidP="00C65171">
            <w:pPr>
              <w:textAlignment w:val="baseline"/>
            </w:pPr>
            <w:r w:rsidRPr="00183B5F">
              <w:rPr>
                <w:szCs w:val="24"/>
                <w:vertAlign w:val="superscript"/>
              </w:rPr>
              <w:t>a </w:t>
            </w:r>
            <w:r w:rsidRPr="00183B5F">
              <w:rPr>
                <w:szCs w:val="24"/>
              </w:rPr>
              <w:t>Humira 2,4 mg/ttkg (legfeljebb 160 mg) a 0. héten, placebo az 1. héten és 1,2 mg/ttkg (legfeljebb 80 mg) a 2. héten</w:t>
            </w:r>
            <w:r w:rsidRPr="00183B5F">
              <w:rPr>
                <w:sz w:val="24"/>
                <w:szCs w:val="24"/>
              </w:rPr>
              <w:t> </w:t>
            </w:r>
          </w:p>
          <w:p w14:paraId="588ACC6F" w14:textId="77777777" w:rsidR="00C65171" w:rsidRPr="00183B5F" w:rsidRDefault="00943743" w:rsidP="00C65171">
            <w:pPr>
              <w:textAlignment w:val="baseline"/>
            </w:pPr>
            <w:r w:rsidRPr="00183B5F">
              <w:rPr>
                <w:szCs w:val="24"/>
                <w:vertAlign w:val="superscript"/>
              </w:rPr>
              <w:t>b </w:t>
            </w:r>
            <w:r w:rsidRPr="00183B5F">
              <w:rPr>
                <w:szCs w:val="24"/>
              </w:rPr>
              <w:t>Humira 2,4 mg/ttkg (legfeljebb 160 mg) a 0. és az 1. héten és 1,2 mg/ttkg (legfeljebb 80 mg) a 2. héten</w:t>
            </w:r>
            <w:r w:rsidRPr="00183B5F">
              <w:rPr>
                <w:sz w:val="24"/>
                <w:szCs w:val="24"/>
              </w:rPr>
              <w:t> </w:t>
            </w:r>
          </w:p>
          <w:p w14:paraId="5FD1AC8B" w14:textId="77777777" w:rsidR="00C65171" w:rsidRPr="00183B5F" w:rsidRDefault="00943743" w:rsidP="00C65171">
            <w:pPr>
              <w:textAlignment w:val="baseline"/>
            </w:pPr>
            <w:r w:rsidRPr="00183B5F">
              <w:rPr>
                <w:szCs w:val="24"/>
                <w:vertAlign w:val="superscript"/>
              </w:rPr>
              <w:t>c </w:t>
            </w:r>
            <w:r w:rsidRPr="00183B5F">
              <w:rPr>
                <w:szCs w:val="24"/>
              </w:rPr>
              <w:t>Nem tartalmazza a nyílt elrendezésű Humira indukciós dózist: 2,4 mg/ttkg (legfeljebb 160 mg) a 0. héten, placebo az 1. héten és 1,2 mg/ttkg (legfeljebb 80 mg) a 2. héten</w:t>
            </w:r>
          </w:p>
          <w:p w14:paraId="09D531C2" w14:textId="77777777" w:rsidR="00C65171" w:rsidRPr="00183B5F" w:rsidRDefault="00943743" w:rsidP="00C65171">
            <w:pPr>
              <w:textAlignment w:val="baseline"/>
            </w:pPr>
            <w:r w:rsidRPr="00183B5F">
              <w:rPr>
                <w:szCs w:val="24"/>
              </w:rPr>
              <w:t>1. megjegyzés: Mindkét indukciós csoport 0,6 mg/ttkg-ot (legfeljebb 40 mg) kapott a 4. és a 6. héten</w:t>
            </w:r>
            <w:r w:rsidRPr="00183B5F">
              <w:rPr>
                <w:sz w:val="24"/>
                <w:szCs w:val="24"/>
              </w:rPr>
              <w:t> </w:t>
            </w:r>
          </w:p>
          <w:p w14:paraId="52E28A1C" w14:textId="77777777" w:rsidR="00C65171" w:rsidRPr="00183B5F" w:rsidRDefault="00943743" w:rsidP="00C65171">
            <w:pPr>
              <w:textAlignment w:val="baseline"/>
            </w:pPr>
            <w:r w:rsidRPr="00183B5F">
              <w:rPr>
                <w:szCs w:val="24"/>
              </w:rPr>
              <w:t>2. megjegyzés: A 8. héten hiányzó értékek esetén úgy tekintették, hogy a betegek nem teljesítették a végpontot</w:t>
            </w:r>
            <w:r w:rsidRPr="00183B5F">
              <w:rPr>
                <w:sz w:val="24"/>
                <w:szCs w:val="24"/>
              </w:rPr>
              <w:t> </w:t>
            </w:r>
          </w:p>
        </w:tc>
      </w:tr>
    </w:tbl>
    <w:p w14:paraId="43CF435B" w14:textId="77777777" w:rsidR="00C65171" w:rsidRPr="00183B5F" w:rsidRDefault="00C65171" w:rsidP="00C65171">
      <w:pPr>
        <w:rPr>
          <w:shd w:val="clear" w:color="auto" w:fill="FFFFFF"/>
        </w:rPr>
      </w:pPr>
    </w:p>
    <w:p w14:paraId="0157C272" w14:textId="77777777" w:rsidR="00C65171" w:rsidRPr="00183B5F" w:rsidRDefault="00943743" w:rsidP="00C65171">
      <w:r w:rsidRPr="00183B5F">
        <w:rPr>
          <w:shd w:val="clear" w:color="auto" w:fill="FFFFFF"/>
        </w:rPr>
        <w:t xml:space="preserve">Az 52. héten értékelték az FMS szerinti klinikai remissziót a 8. héten </w:t>
      </w:r>
      <w:r w:rsidR="00D81D3E" w:rsidRPr="00183B5F">
        <w:rPr>
          <w:rStyle w:val="normaltextrun"/>
          <w:shd w:val="clear" w:color="auto" w:fill="FFFFFF"/>
        </w:rPr>
        <w:t>választ mutatóknál</w:t>
      </w:r>
      <w:r w:rsidRPr="00183B5F">
        <w:rPr>
          <w:shd w:val="clear" w:color="auto" w:fill="FFFFFF"/>
        </w:rPr>
        <w:t xml:space="preserve">, az FMS szerinti klinikai választ (a Mayo Score ≥ 3 pontos és ≥ 30%-os csökkenése a kiindulási értékhez képest) a 8. héten </w:t>
      </w:r>
      <w:r w:rsidR="00D81D3E" w:rsidRPr="00183B5F">
        <w:rPr>
          <w:rStyle w:val="normaltextrun"/>
          <w:shd w:val="clear" w:color="auto" w:fill="FFFFFF"/>
        </w:rPr>
        <w:t>választ mutatóknál</w:t>
      </w:r>
      <w:r w:rsidRPr="00183B5F">
        <w:rPr>
          <w:shd w:val="clear" w:color="auto" w:fill="FFFFFF"/>
        </w:rPr>
        <w:t xml:space="preserve">, a nyálkahártya gyógyulást (Mayo endoszkópiás </w:t>
      </w:r>
      <w:r w:rsidR="007112E4" w:rsidRPr="00183B5F">
        <w:rPr>
          <w:shd w:val="clear" w:color="auto" w:fill="FFFFFF"/>
        </w:rPr>
        <w:t>al</w:t>
      </w:r>
      <w:r w:rsidRPr="00183B5F">
        <w:rPr>
          <w:shd w:val="clear" w:color="auto" w:fill="FFFFFF"/>
        </w:rPr>
        <w:t xml:space="preserve">pontszám ≤ 1) a 8. héten </w:t>
      </w:r>
      <w:r w:rsidR="00D81D3E" w:rsidRPr="00183B5F">
        <w:rPr>
          <w:rStyle w:val="normaltextrun"/>
          <w:shd w:val="clear" w:color="auto" w:fill="FFFFFF"/>
        </w:rPr>
        <w:t>választ mutatóknál</w:t>
      </w:r>
      <w:r w:rsidRPr="00183B5F">
        <w:rPr>
          <w:shd w:val="clear" w:color="auto" w:fill="FFFFFF"/>
        </w:rPr>
        <w:t xml:space="preserve">, az FMS szerinti klinikai remissziót a 8. héten remisszióban lévő betegeknél, valamint az FMS szerinti kortikoszteroidmentes remisszióban lévők arányát a 8. héten </w:t>
      </w:r>
      <w:r w:rsidR="00D81D3E" w:rsidRPr="00183B5F">
        <w:rPr>
          <w:rStyle w:val="normaltextrun"/>
          <w:shd w:val="clear" w:color="auto" w:fill="FFFFFF"/>
        </w:rPr>
        <w:t>választ mutatóknál</w:t>
      </w:r>
      <w:r w:rsidRPr="00183B5F">
        <w:rPr>
          <w:shd w:val="clear" w:color="auto" w:fill="FFFFFF"/>
        </w:rPr>
        <w:t xml:space="preserve"> azoknak a betegeknek körében, akik kettős vak elrendezésben kéthetente legfel</w:t>
      </w:r>
      <w:r w:rsidRPr="00183B5F">
        <w:rPr>
          <w:shd w:val="clear" w:color="auto" w:fill="FFFFFF"/>
        </w:rPr>
        <w:t>jebb 40 mg/hét (0,6 mg/</w:t>
      </w:r>
      <w:r w:rsidR="009134E6" w:rsidRPr="00183B5F">
        <w:rPr>
          <w:shd w:val="clear" w:color="auto" w:fill="FFFFFF"/>
        </w:rPr>
        <w:t>tt</w:t>
      </w:r>
      <w:r w:rsidRPr="00183B5F">
        <w:rPr>
          <w:shd w:val="clear" w:color="auto" w:fill="FFFFFF"/>
        </w:rPr>
        <w:t>kg) és hetente legfeljebb 40 mg (0,6 mg/</w:t>
      </w:r>
      <w:r w:rsidR="009134E6" w:rsidRPr="00183B5F">
        <w:rPr>
          <w:shd w:val="clear" w:color="auto" w:fill="FFFFFF"/>
        </w:rPr>
        <w:t>tt</w:t>
      </w:r>
      <w:r w:rsidRPr="00183B5F">
        <w:rPr>
          <w:shd w:val="clear" w:color="auto" w:fill="FFFFFF"/>
        </w:rPr>
        <w:t>kg) fenntartó dózis Humira-t kaptak (2</w:t>
      </w:r>
      <w:r w:rsidR="00903C5C" w:rsidRPr="00183B5F">
        <w:rPr>
          <w:shd w:val="clear" w:color="auto" w:fill="FFFFFF"/>
        </w:rPr>
        <w:t>2</w:t>
      </w:r>
      <w:r w:rsidRPr="00183B5F">
        <w:rPr>
          <w:shd w:val="clear" w:color="auto" w:fill="FFFFFF"/>
        </w:rPr>
        <w:t>. táblázat). </w:t>
      </w:r>
    </w:p>
    <w:p w14:paraId="1ECB2E5D" w14:textId="77777777" w:rsidR="00C65171" w:rsidRPr="00183B5F" w:rsidRDefault="00C65171" w:rsidP="00C65171"/>
    <w:p w14:paraId="73BE59EF" w14:textId="77777777" w:rsidR="00C65171" w:rsidRPr="00183B5F" w:rsidRDefault="00943743" w:rsidP="002D49EE">
      <w:pPr>
        <w:keepNext/>
        <w:jc w:val="center"/>
        <w:textAlignment w:val="baseline"/>
      </w:pPr>
      <w:r w:rsidRPr="00183B5F">
        <w:rPr>
          <w:b/>
        </w:rPr>
        <w:t>2</w:t>
      </w:r>
      <w:r w:rsidR="00903C5C" w:rsidRPr="00183B5F">
        <w:rPr>
          <w:b/>
        </w:rPr>
        <w:t>2</w:t>
      </w:r>
      <w:r w:rsidRPr="00183B5F">
        <w:rPr>
          <w:b/>
        </w:rPr>
        <w:t>. táblázat: Hatásossági eredmények az 52. héten</w:t>
      </w:r>
      <w:r w:rsidRPr="00183B5F">
        <w:t> </w:t>
      </w:r>
    </w:p>
    <w:p w14:paraId="688D1B59" w14:textId="77777777" w:rsidR="00C65171" w:rsidRPr="00183B5F" w:rsidRDefault="00C65171" w:rsidP="002D49EE">
      <w:pPr>
        <w:keepNext/>
        <w:jc w:val="center"/>
        <w:textAlignment w:val="baseline"/>
        <w:rPr>
          <w:lang w:eastAsia="en-GB"/>
        </w:rPr>
      </w:pP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7"/>
        <w:gridCol w:w="2728"/>
        <w:gridCol w:w="2543"/>
      </w:tblGrid>
      <w:tr w:rsidR="00011D2F" w14:paraId="79363004" w14:textId="77777777" w:rsidTr="00C65171">
        <w:trPr>
          <w:trHeight w:val="912"/>
          <w:jc w:val="center"/>
        </w:trPr>
        <w:tc>
          <w:tcPr>
            <w:tcW w:w="2526" w:type="dxa"/>
            <w:tcBorders>
              <w:top w:val="single" w:sz="6" w:space="0" w:color="auto"/>
              <w:left w:val="single" w:sz="6" w:space="0" w:color="auto"/>
              <w:bottom w:val="single" w:sz="6" w:space="0" w:color="auto"/>
              <w:right w:val="single" w:sz="6" w:space="0" w:color="auto"/>
            </w:tcBorders>
            <w:hideMark/>
          </w:tcPr>
          <w:p w14:paraId="085F0EC3" w14:textId="77777777" w:rsidR="00C65171" w:rsidRPr="00183B5F" w:rsidRDefault="00C65171" w:rsidP="002D49EE">
            <w:pPr>
              <w:keepNext/>
              <w:jc w:val="center"/>
              <w:textAlignment w:val="baseline"/>
              <w:rPr>
                <w:lang w:eastAsia="en-GB"/>
              </w:rPr>
            </w:pPr>
          </w:p>
        </w:tc>
        <w:tc>
          <w:tcPr>
            <w:tcW w:w="2409" w:type="dxa"/>
            <w:tcBorders>
              <w:top w:val="single" w:sz="6" w:space="0" w:color="auto"/>
              <w:left w:val="nil"/>
              <w:bottom w:val="single" w:sz="6" w:space="0" w:color="auto"/>
              <w:right w:val="single" w:sz="6" w:space="0" w:color="auto"/>
            </w:tcBorders>
            <w:vAlign w:val="center"/>
            <w:hideMark/>
          </w:tcPr>
          <w:p w14:paraId="41C5F1C2" w14:textId="77777777" w:rsidR="00C65171" w:rsidRPr="00183B5F" w:rsidRDefault="00943743" w:rsidP="002D49EE">
            <w:pPr>
              <w:keepNext/>
              <w:jc w:val="center"/>
              <w:textAlignment w:val="baseline"/>
            </w:pPr>
            <w:r w:rsidRPr="00183B5F">
              <w:rPr>
                <w:b/>
              </w:rPr>
              <w:t>Humira</w:t>
            </w:r>
            <w:r w:rsidRPr="00183B5F">
              <w:rPr>
                <w:b/>
                <w:vertAlign w:val="superscript"/>
              </w:rPr>
              <w:t>a</w:t>
            </w:r>
            <w:r w:rsidRPr="00183B5F">
              <w:rPr>
                <w:b/>
              </w:rPr>
              <w:t> </w:t>
            </w:r>
            <w:r w:rsidRPr="00183B5F">
              <w:t> </w:t>
            </w:r>
          </w:p>
          <w:p w14:paraId="61D86BAD" w14:textId="77777777" w:rsidR="00C65171" w:rsidRPr="00183B5F" w:rsidRDefault="00943743" w:rsidP="002D49EE">
            <w:pPr>
              <w:keepNext/>
              <w:jc w:val="center"/>
              <w:textAlignment w:val="baseline"/>
            </w:pPr>
            <w:r w:rsidRPr="00183B5F">
              <w:rPr>
                <w:b/>
                <w:bCs/>
              </w:rPr>
              <w:t>Legfeljebb 40 mg kéthetente </w:t>
            </w:r>
          </w:p>
          <w:p w14:paraId="46A7C1A3" w14:textId="77777777" w:rsidR="00C65171" w:rsidRPr="00183B5F" w:rsidRDefault="00943743" w:rsidP="002D49EE">
            <w:pPr>
              <w:keepNext/>
              <w:jc w:val="center"/>
              <w:textAlignment w:val="baseline"/>
            </w:pPr>
            <w:r w:rsidRPr="00183B5F">
              <w:t>N=31</w:t>
            </w:r>
          </w:p>
        </w:tc>
        <w:tc>
          <w:tcPr>
            <w:tcW w:w="2633" w:type="dxa"/>
            <w:tcBorders>
              <w:top w:val="single" w:sz="6" w:space="0" w:color="auto"/>
              <w:left w:val="nil"/>
              <w:bottom w:val="single" w:sz="6" w:space="0" w:color="auto"/>
              <w:right w:val="single" w:sz="6" w:space="0" w:color="auto"/>
            </w:tcBorders>
            <w:vAlign w:val="center"/>
            <w:hideMark/>
          </w:tcPr>
          <w:p w14:paraId="2CBC525F" w14:textId="77777777" w:rsidR="00C65171" w:rsidRPr="00183B5F" w:rsidRDefault="00943743" w:rsidP="002D49EE">
            <w:pPr>
              <w:keepNext/>
              <w:jc w:val="center"/>
              <w:textAlignment w:val="baseline"/>
            </w:pPr>
            <w:r w:rsidRPr="00183B5F">
              <w:rPr>
                <w:b/>
              </w:rPr>
              <w:t>Humira</w:t>
            </w:r>
            <w:r w:rsidRPr="00183B5F">
              <w:rPr>
                <w:b/>
                <w:vertAlign w:val="superscript"/>
              </w:rPr>
              <w:t>b</w:t>
            </w:r>
            <w:r w:rsidRPr="00183B5F">
              <w:rPr>
                <w:b/>
              </w:rPr>
              <w:t> </w:t>
            </w:r>
            <w:r w:rsidRPr="00183B5F">
              <w:t> </w:t>
            </w:r>
          </w:p>
          <w:p w14:paraId="4FB0DD47" w14:textId="77777777" w:rsidR="00C65171" w:rsidRPr="00183B5F" w:rsidRDefault="00943743" w:rsidP="002D49EE">
            <w:pPr>
              <w:keepNext/>
              <w:jc w:val="center"/>
              <w:textAlignment w:val="baseline"/>
            </w:pPr>
            <w:r w:rsidRPr="00183B5F">
              <w:rPr>
                <w:b/>
                <w:bCs/>
              </w:rPr>
              <w:t>Legfeljebb 40 mg hetente</w:t>
            </w:r>
            <w:r w:rsidRPr="00183B5F">
              <w:t> </w:t>
            </w:r>
          </w:p>
          <w:p w14:paraId="4F25D3AB" w14:textId="77777777" w:rsidR="00C65171" w:rsidRPr="00183B5F" w:rsidRDefault="00943743" w:rsidP="002D49EE">
            <w:pPr>
              <w:keepNext/>
              <w:jc w:val="center"/>
              <w:textAlignment w:val="baseline"/>
            </w:pPr>
            <w:r w:rsidRPr="00183B5F">
              <w:t>N=31</w:t>
            </w:r>
          </w:p>
        </w:tc>
      </w:tr>
      <w:tr w:rsidR="00011D2F" w14:paraId="2917B4BE" w14:textId="77777777" w:rsidTr="00C65171">
        <w:trPr>
          <w:trHeight w:val="570"/>
          <w:jc w:val="center"/>
        </w:trPr>
        <w:tc>
          <w:tcPr>
            <w:tcW w:w="2526" w:type="dxa"/>
            <w:tcBorders>
              <w:top w:val="nil"/>
              <w:left w:val="single" w:sz="6" w:space="0" w:color="auto"/>
              <w:bottom w:val="single" w:sz="6" w:space="0" w:color="auto"/>
              <w:right w:val="single" w:sz="6" w:space="0" w:color="auto"/>
            </w:tcBorders>
            <w:vAlign w:val="center"/>
            <w:hideMark/>
          </w:tcPr>
          <w:p w14:paraId="2EDD150C" w14:textId="77777777" w:rsidR="00C65171" w:rsidRPr="00183B5F" w:rsidRDefault="00943743" w:rsidP="00C65171">
            <w:pPr>
              <w:textAlignment w:val="baseline"/>
            </w:pPr>
            <w:r w:rsidRPr="00183B5F">
              <w:t xml:space="preserve">Klinikai remisszió a 8. héten PMS szerint </w:t>
            </w:r>
            <w:r w:rsidR="00D81D3E" w:rsidRPr="00183B5F">
              <w:rPr>
                <w:rStyle w:val="normaltextrun"/>
                <w:shd w:val="clear" w:color="auto" w:fill="FFFFFF"/>
              </w:rPr>
              <w:t>választ mutatóknál</w:t>
            </w:r>
          </w:p>
        </w:tc>
        <w:tc>
          <w:tcPr>
            <w:tcW w:w="2409" w:type="dxa"/>
            <w:tcBorders>
              <w:top w:val="nil"/>
              <w:left w:val="nil"/>
              <w:bottom w:val="single" w:sz="6" w:space="0" w:color="auto"/>
              <w:right w:val="single" w:sz="6" w:space="0" w:color="auto"/>
            </w:tcBorders>
            <w:vAlign w:val="center"/>
            <w:hideMark/>
          </w:tcPr>
          <w:p w14:paraId="727D301E" w14:textId="77777777" w:rsidR="00C65171" w:rsidRPr="00183B5F" w:rsidRDefault="00943743" w:rsidP="00C65171">
            <w:pPr>
              <w:jc w:val="center"/>
              <w:textAlignment w:val="baseline"/>
            </w:pPr>
            <w:r w:rsidRPr="00183B5F">
              <w:t>9/31 (29,0%) </w:t>
            </w:r>
          </w:p>
        </w:tc>
        <w:tc>
          <w:tcPr>
            <w:tcW w:w="2633" w:type="dxa"/>
            <w:tcBorders>
              <w:top w:val="nil"/>
              <w:left w:val="nil"/>
              <w:bottom w:val="single" w:sz="6" w:space="0" w:color="auto"/>
              <w:right w:val="single" w:sz="6" w:space="0" w:color="auto"/>
            </w:tcBorders>
            <w:vAlign w:val="center"/>
            <w:hideMark/>
          </w:tcPr>
          <w:p w14:paraId="47ABE908" w14:textId="77777777" w:rsidR="00C65171" w:rsidRPr="00183B5F" w:rsidRDefault="00943743" w:rsidP="00C65171">
            <w:pPr>
              <w:jc w:val="center"/>
              <w:textAlignment w:val="baseline"/>
            </w:pPr>
            <w:r w:rsidRPr="00183B5F">
              <w:t>14/31 (45,2%)</w:t>
            </w:r>
          </w:p>
        </w:tc>
      </w:tr>
      <w:tr w:rsidR="00011D2F" w14:paraId="3DB1EB64" w14:textId="77777777" w:rsidTr="00C65171">
        <w:trPr>
          <w:trHeight w:val="555"/>
          <w:jc w:val="center"/>
        </w:trPr>
        <w:tc>
          <w:tcPr>
            <w:tcW w:w="2526" w:type="dxa"/>
            <w:tcBorders>
              <w:top w:val="nil"/>
              <w:left w:val="single" w:sz="6" w:space="0" w:color="auto"/>
              <w:bottom w:val="single" w:sz="6" w:space="0" w:color="auto"/>
              <w:right w:val="single" w:sz="6" w:space="0" w:color="auto"/>
            </w:tcBorders>
            <w:vAlign w:val="center"/>
            <w:hideMark/>
          </w:tcPr>
          <w:p w14:paraId="0D7DB8E4" w14:textId="77777777" w:rsidR="00C65171" w:rsidRPr="00183B5F" w:rsidRDefault="00943743" w:rsidP="00C65171">
            <w:pPr>
              <w:textAlignment w:val="baseline"/>
            </w:pPr>
            <w:r w:rsidRPr="00183B5F">
              <w:t xml:space="preserve">Klinikai válasz a 8. héten  PMS szerint </w:t>
            </w:r>
            <w:r w:rsidR="00D81D3E" w:rsidRPr="00183B5F">
              <w:rPr>
                <w:rStyle w:val="normaltextrun"/>
                <w:shd w:val="clear" w:color="auto" w:fill="FFFFFF"/>
              </w:rPr>
              <w:t>választ mutatóknál</w:t>
            </w:r>
            <w:r w:rsidRPr="00183B5F">
              <w:t> </w:t>
            </w:r>
          </w:p>
        </w:tc>
        <w:tc>
          <w:tcPr>
            <w:tcW w:w="2409" w:type="dxa"/>
            <w:tcBorders>
              <w:top w:val="nil"/>
              <w:left w:val="nil"/>
              <w:bottom w:val="single" w:sz="6" w:space="0" w:color="auto"/>
              <w:right w:val="single" w:sz="6" w:space="0" w:color="auto"/>
            </w:tcBorders>
            <w:vAlign w:val="center"/>
            <w:hideMark/>
          </w:tcPr>
          <w:p w14:paraId="2B2AAA77" w14:textId="77777777" w:rsidR="00C65171" w:rsidRPr="00183B5F" w:rsidRDefault="00943743" w:rsidP="00C65171">
            <w:pPr>
              <w:jc w:val="center"/>
              <w:textAlignment w:val="baseline"/>
            </w:pPr>
            <w:r w:rsidRPr="00183B5F">
              <w:t>19/31 (61,3%) </w:t>
            </w:r>
          </w:p>
        </w:tc>
        <w:tc>
          <w:tcPr>
            <w:tcW w:w="2633" w:type="dxa"/>
            <w:tcBorders>
              <w:top w:val="nil"/>
              <w:left w:val="nil"/>
              <w:bottom w:val="single" w:sz="6" w:space="0" w:color="auto"/>
              <w:right w:val="single" w:sz="6" w:space="0" w:color="auto"/>
            </w:tcBorders>
            <w:vAlign w:val="center"/>
            <w:hideMark/>
          </w:tcPr>
          <w:p w14:paraId="1EDA7472" w14:textId="77777777" w:rsidR="00C65171" w:rsidRPr="00183B5F" w:rsidRDefault="00943743" w:rsidP="00C65171">
            <w:pPr>
              <w:jc w:val="center"/>
              <w:textAlignment w:val="baseline"/>
            </w:pPr>
            <w:r w:rsidRPr="00183B5F">
              <w:t>21/31 (67,7%) </w:t>
            </w:r>
          </w:p>
        </w:tc>
      </w:tr>
      <w:tr w:rsidR="00011D2F" w14:paraId="7ED87D53" w14:textId="77777777" w:rsidTr="00C65171">
        <w:trPr>
          <w:jc w:val="center"/>
        </w:trPr>
        <w:tc>
          <w:tcPr>
            <w:tcW w:w="2526" w:type="dxa"/>
            <w:tcBorders>
              <w:top w:val="nil"/>
              <w:left w:val="single" w:sz="6" w:space="0" w:color="auto"/>
              <w:bottom w:val="single" w:sz="6" w:space="0" w:color="auto"/>
              <w:right w:val="single" w:sz="6" w:space="0" w:color="auto"/>
            </w:tcBorders>
            <w:vAlign w:val="center"/>
            <w:hideMark/>
          </w:tcPr>
          <w:p w14:paraId="6DA03B16" w14:textId="77777777" w:rsidR="00C65171" w:rsidRPr="00183B5F" w:rsidRDefault="00943743" w:rsidP="00C65171">
            <w:pPr>
              <w:textAlignment w:val="baseline"/>
            </w:pPr>
            <w:r w:rsidRPr="00183B5F">
              <w:t xml:space="preserve">Nyálkahártya-gyógyulás a 8. héten PMS szerint </w:t>
            </w:r>
            <w:r w:rsidR="00D81D3E" w:rsidRPr="00183B5F">
              <w:rPr>
                <w:rStyle w:val="normaltextrun"/>
                <w:shd w:val="clear" w:color="auto" w:fill="FFFFFF"/>
              </w:rPr>
              <w:t>választ mutatóknál</w:t>
            </w:r>
          </w:p>
        </w:tc>
        <w:tc>
          <w:tcPr>
            <w:tcW w:w="2409" w:type="dxa"/>
            <w:tcBorders>
              <w:top w:val="nil"/>
              <w:left w:val="nil"/>
              <w:bottom w:val="single" w:sz="6" w:space="0" w:color="auto"/>
              <w:right w:val="single" w:sz="6" w:space="0" w:color="auto"/>
            </w:tcBorders>
            <w:vAlign w:val="center"/>
            <w:hideMark/>
          </w:tcPr>
          <w:p w14:paraId="37079A14" w14:textId="77777777" w:rsidR="00C65171" w:rsidRPr="00183B5F" w:rsidRDefault="00943743" w:rsidP="00C65171">
            <w:pPr>
              <w:jc w:val="center"/>
              <w:textAlignment w:val="baseline"/>
            </w:pPr>
            <w:r w:rsidRPr="00183B5F">
              <w:t>12/31 (38,7%) </w:t>
            </w:r>
          </w:p>
        </w:tc>
        <w:tc>
          <w:tcPr>
            <w:tcW w:w="2633" w:type="dxa"/>
            <w:tcBorders>
              <w:top w:val="nil"/>
              <w:left w:val="nil"/>
              <w:bottom w:val="single" w:sz="6" w:space="0" w:color="auto"/>
              <w:right w:val="single" w:sz="6" w:space="0" w:color="auto"/>
            </w:tcBorders>
            <w:vAlign w:val="center"/>
            <w:hideMark/>
          </w:tcPr>
          <w:p w14:paraId="39AEB813" w14:textId="77777777" w:rsidR="00C65171" w:rsidRPr="00183B5F" w:rsidRDefault="00943743" w:rsidP="00C65171">
            <w:pPr>
              <w:jc w:val="center"/>
              <w:textAlignment w:val="baseline"/>
            </w:pPr>
            <w:r w:rsidRPr="00183B5F">
              <w:t>16/31 (51,6%) </w:t>
            </w:r>
          </w:p>
        </w:tc>
      </w:tr>
      <w:tr w:rsidR="00011D2F" w14:paraId="217FD8CF" w14:textId="77777777" w:rsidTr="00C65171">
        <w:trPr>
          <w:jc w:val="center"/>
        </w:trPr>
        <w:tc>
          <w:tcPr>
            <w:tcW w:w="2526" w:type="dxa"/>
            <w:tcBorders>
              <w:top w:val="nil"/>
              <w:left w:val="single" w:sz="6" w:space="0" w:color="auto"/>
              <w:bottom w:val="single" w:sz="6" w:space="0" w:color="auto"/>
              <w:right w:val="single" w:sz="6" w:space="0" w:color="auto"/>
            </w:tcBorders>
            <w:vAlign w:val="center"/>
            <w:hideMark/>
          </w:tcPr>
          <w:p w14:paraId="524CE3D8" w14:textId="77777777" w:rsidR="00C65171" w:rsidRPr="00183B5F" w:rsidRDefault="00943743" w:rsidP="00C65171">
            <w:pPr>
              <w:textAlignment w:val="baseline"/>
            </w:pPr>
            <w:r w:rsidRPr="00183B5F">
              <w:t>Klinikai remisszió a 8. héten PMS szerint remisszióban lévőknél </w:t>
            </w:r>
          </w:p>
        </w:tc>
        <w:tc>
          <w:tcPr>
            <w:tcW w:w="2409" w:type="dxa"/>
            <w:tcBorders>
              <w:top w:val="nil"/>
              <w:left w:val="nil"/>
              <w:bottom w:val="single" w:sz="6" w:space="0" w:color="auto"/>
              <w:right w:val="single" w:sz="6" w:space="0" w:color="auto"/>
            </w:tcBorders>
            <w:vAlign w:val="center"/>
            <w:hideMark/>
          </w:tcPr>
          <w:p w14:paraId="6ACDB7B3" w14:textId="77777777" w:rsidR="00C65171" w:rsidRPr="00183B5F" w:rsidRDefault="00943743" w:rsidP="00C65171">
            <w:pPr>
              <w:jc w:val="center"/>
              <w:textAlignment w:val="baseline"/>
            </w:pPr>
            <w:r w:rsidRPr="00183B5F">
              <w:t>9/21 (42,9%) </w:t>
            </w:r>
          </w:p>
        </w:tc>
        <w:tc>
          <w:tcPr>
            <w:tcW w:w="2633" w:type="dxa"/>
            <w:tcBorders>
              <w:top w:val="nil"/>
              <w:left w:val="nil"/>
              <w:bottom w:val="single" w:sz="6" w:space="0" w:color="auto"/>
              <w:right w:val="single" w:sz="6" w:space="0" w:color="auto"/>
            </w:tcBorders>
            <w:vAlign w:val="center"/>
            <w:hideMark/>
          </w:tcPr>
          <w:p w14:paraId="710D2CE2" w14:textId="77777777" w:rsidR="00C65171" w:rsidRPr="00183B5F" w:rsidRDefault="00943743" w:rsidP="00C65171">
            <w:pPr>
              <w:jc w:val="center"/>
              <w:textAlignment w:val="baseline"/>
            </w:pPr>
            <w:r w:rsidRPr="00183B5F">
              <w:t>10/22 (45,5%) </w:t>
            </w:r>
          </w:p>
        </w:tc>
      </w:tr>
      <w:tr w:rsidR="00011D2F" w14:paraId="2A066734" w14:textId="77777777" w:rsidTr="00C65171">
        <w:trPr>
          <w:jc w:val="center"/>
        </w:trPr>
        <w:tc>
          <w:tcPr>
            <w:tcW w:w="2526" w:type="dxa"/>
            <w:tcBorders>
              <w:top w:val="nil"/>
              <w:left w:val="single" w:sz="6" w:space="0" w:color="auto"/>
              <w:bottom w:val="single" w:sz="6" w:space="0" w:color="auto"/>
              <w:right w:val="single" w:sz="6" w:space="0" w:color="auto"/>
            </w:tcBorders>
            <w:vAlign w:val="center"/>
            <w:hideMark/>
          </w:tcPr>
          <w:p w14:paraId="40AD36AB" w14:textId="77777777" w:rsidR="00C65171" w:rsidRPr="00183B5F" w:rsidRDefault="00943743" w:rsidP="00C65171">
            <w:pPr>
              <w:textAlignment w:val="baseline"/>
            </w:pPr>
            <w:r w:rsidRPr="00183B5F">
              <w:t xml:space="preserve">Kortikoszteroidmentes remisszió a 8. héten PMS szerint </w:t>
            </w:r>
            <w:r w:rsidR="00D81D3E" w:rsidRPr="00183B5F">
              <w:rPr>
                <w:rStyle w:val="normaltextrun"/>
                <w:shd w:val="clear" w:color="auto" w:fill="FFFFFF"/>
              </w:rPr>
              <w:t>választ mutatóknál</w:t>
            </w:r>
          </w:p>
        </w:tc>
        <w:tc>
          <w:tcPr>
            <w:tcW w:w="2409" w:type="dxa"/>
            <w:tcBorders>
              <w:top w:val="nil"/>
              <w:left w:val="nil"/>
              <w:bottom w:val="single" w:sz="6" w:space="0" w:color="auto"/>
              <w:right w:val="single" w:sz="6" w:space="0" w:color="auto"/>
            </w:tcBorders>
            <w:vAlign w:val="center"/>
            <w:hideMark/>
          </w:tcPr>
          <w:p w14:paraId="5017242C" w14:textId="77777777" w:rsidR="00C65171" w:rsidRPr="00183B5F" w:rsidRDefault="00943743" w:rsidP="00C65171">
            <w:pPr>
              <w:jc w:val="center"/>
              <w:textAlignment w:val="baseline"/>
            </w:pPr>
            <w:r w:rsidRPr="00183B5F">
              <w:t>4/13 (30,8%) </w:t>
            </w:r>
          </w:p>
        </w:tc>
        <w:tc>
          <w:tcPr>
            <w:tcW w:w="2633" w:type="dxa"/>
            <w:tcBorders>
              <w:top w:val="nil"/>
              <w:left w:val="nil"/>
              <w:bottom w:val="single" w:sz="6" w:space="0" w:color="auto"/>
              <w:right w:val="single" w:sz="6" w:space="0" w:color="auto"/>
            </w:tcBorders>
            <w:vAlign w:val="center"/>
            <w:hideMark/>
          </w:tcPr>
          <w:p w14:paraId="22D394F6" w14:textId="77777777" w:rsidR="00C65171" w:rsidRPr="00183B5F" w:rsidRDefault="00943743" w:rsidP="00C65171">
            <w:pPr>
              <w:jc w:val="center"/>
              <w:textAlignment w:val="baseline"/>
            </w:pPr>
            <w:r w:rsidRPr="00183B5F">
              <w:t>5/16 (31,3%) </w:t>
            </w:r>
          </w:p>
        </w:tc>
      </w:tr>
      <w:tr w:rsidR="00011D2F" w14:paraId="3835290D" w14:textId="77777777" w:rsidTr="00C65171">
        <w:trPr>
          <w:jc w:val="center"/>
        </w:trPr>
        <w:tc>
          <w:tcPr>
            <w:tcW w:w="7568" w:type="dxa"/>
            <w:gridSpan w:val="3"/>
            <w:tcBorders>
              <w:top w:val="nil"/>
              <w:left w:val="single" w:sz="6" w:space="0" w:color="auto"/>
              <w:bottom w:val="single" w:sz="6" w:space="0" w:color="auto"/>
              <w:right w:val="single" w:sz="6" w:space="0" w:color="auto"/>
            </w:tcBorders>
            <w:hideMark/>
          </w:tcPr>
          <w:p w14:paraId="52B1F474" w14:textId="77777777" w:rsidR="00C65171" w:rsidRPr="00183B5F" w:rsidRDefault="00943743" w:rsidP="00C65171">
            <w:pPr>
              <w:textAlignment w:val="baseline"/>
            </w:pPr>
            <w:r w:rsidRPr="00183B5F">
              <w:rPr>
                <w:vertAlign w:val="superscript"/>
              </w:rPr>
              <w:t>a </w:t>
            </w:r>
            <w:r w:rsidRPr="00183B5F">
              <w:t>Humira 0,6 mg/ttkg (legfeljebb 40 mg) kéthetente </w:t>
            </w:r>
          </w:p>
          <w:p w14:paraId="0FFBF9AF" w14:textId="77777777" w:rsidR="00C65171" w:rsidRPr="00183B5F" w:rsidRDefault="00943743" w:rsidP="00C65171">
            <w:pPr>
              <w:textAlignment w:val="baseline"/>
            </w:pPr>
            <w:r w:rsidRPr="00183B5F">
              <w:rPr>
                <w:vertAlign w:val="superscript"/>
              </w:rPr>
              <w:t>b </w:t>
            </w:r>
            <w:r w:rsidRPr="00183B5F">
              <w:t>Humira 0,6 mg/ttkg (legfeljebb 40 mg) hetente </w:t>
            </w:r>
          </w:p>
          <w:p w14:paraId="50A6657F" w14:textId="77777777" w:rsidR="00C65171" w:rsidRPr="00183B5F" w:rsidRDefault="00943743" w:rsidP="00C65171">
            <w:pPr>
              <w:textAlignment w:val="baseline"/>
            </w:pPr>
            <w:r w:rsidRPr="00183B5F">
              <w:t>Kiindulásnál egyidejűleg kortikoszteroidokat kapó betegeknél </w:t>
            </w:r>
          </w:p>
          <w:p w14:paraId="1A909873" w14:textId="77777777" w:rsidR="00C65171" w:rsidRPr="00183B5F" w:rsidRDefault="00943743" w:rsidP="00C65171">
            <w:pPr>
              <w:textAlignment w:val="baseline"/>
            </w:pPr>
            <w:r w:rsidRPr="00183B5F">
              <w:t xml:space="preserve">Megjegyzés: Azokat a betegeket, akiknek az 52. héten hiányoztak az értékei, vagy akiket ismételt indukcióra vagy fenntartó kezelésre randomizáltak, az 52. hét végpontjain </w:t>
            </w:r>
            <w:r w:rsidR="000809B5" w:rsidRPr="00183B5F">
              <w:t>választ nem mutatóknak</w:t>
            </w:r>
            <w:r w:rsidRPr="00183B5F">
              <w:t xml:space="preserve"> tekintették </w:t>
            </w:r>
          </w:p>
        </w:tc>
      </w:tr>
    </w:tbl>
    <w:p w14:paraId="6A74B72E" w14:textId="77777777" w:rsidR="00C65171" w:rsidRPr="00183B5F" w:rsidRDefault="00C65171" w:rsidP="00C65171"/>
    <w:p w14:paraId="1AA4494A" w14:textId="77777777" w:rsidR="00C65171" w:rsidRPr="00183B5F" w:rsidRDefault="00943743" w:rsidP="00C65171">
      <w:r w:rsidRPr="00183B5F">
        <w:t>A további feltáró hatásossági végpontok között szerepelt a klinikai válasz a gyermek</w:t>
      </w:r>
      <w:r w:rsidR="00D1233F" w:rsidRPr="00183B5F">
        <w:t xml:space="preserve"> és serdülő</w:t>
      </w:r>
      <w:r w:rsidRPr="00183B5F">
        <w:t>kori colitis ulcerosa aktivitási indexe (PUCAI) (a PUCAI ≥ 20 pontos csökkenése a kiindulási értékhez viszonyítva) és a klinikai remisszió a PUCAI periódusonként (PUCAI &lt; 10 pontos csökkenéseként definiálva) a 8. és az 52. héten (2</w:t>
      </w:r>
      <w:r w:rsidR="00903C5C" w:rsidRPr="00183B5F">
        <w:t>3</w:t>
      </w:r>
      <w:r w:rsidRPr="00183B5F">
        <w:t>. táblázat).</w:t>
      </w:r>
    </w:p>
    <w:p w14:paraId="2B9C4CBD" w14:textId="77777777" w:rsidR="00C65171" w:rsidRPr="00183B5F" w:rsidRDefault="00C65171" w:rsidP="00C65171"/>
    <w:tbl>
      <w:tblPr>
        <w:tblW w:w="8262" w:type="dxa"/>
        <w:jc w:val="center"/>
        <w:tblCellMar>
          <w:left w:w="0" w:type="dxa"/>
          <w:right w:w="0" w:type="dxa"/>
        </w:tblCellMar>
        <w:tblLook w:val="04A0" w:firstRow="1" w:lastRow="0" w:firstColumn="1" w:lastColumn="0" w:noHBand="0" w:noVBand="1"/>
      </w:tblPr>
      <w:tblGrid>
        <w:gridCol w:w="2785"/>
        <w:gridCol w:w="2896"/>
        <w:gridCol w:w="2581"/>
      </w:tblGrid>
      <w:tr w:rsidR="00011D2F" w14:paraId="68294DEF" w14:textId="77777777" w:rsidTr="00C65171">
        <w:trPr>
          <w:trHeight w:val="60"/>
          <w:jc w:val="center"/>
        </w:trPr>
        <w:tc>
          <w:tcPr>
            <w:tcW w:w="8262" w:type="dxa"/>
            <w:gridSpan w:val="3"/>
            <w:tcMar>
              <w:top w:w="0" w:type="dxa"/>
              <w:left w:w="108" w:type="dxa"/>
              <w:bottom w:w="0" w:type="dxa"/>
              <w:right w:w="108" w:type="dxa"/>
            </w:tcMar>
            <w:hideMark/>
          </w:tcPr>
          <w:p w14:paraId="2638B29F" w14:textId="77777777" w:rsidR="00C65171" w:rsidRPr="00183B5F" w:rsidRDefault="00943743" w:rsidP="00C65171">
            <w:pPr>
              <w:jc w:val="center"/>
              <w:rPr>
                <w:b/>
                <w:bCs/>
              </w:rPr>
            </w:pPr>
            <w:r w:rsidRPr="00183B5F">
              <w:rPr>
                <w:b/>
              </w:rPr>
              <w:t>2</w:t>
            </w:r>
            <w:r w:rsidR="00903C5C" w:rsidRPr="00183B5F">
              <w:rPr>
                <w:b/>
              </w:rPr>
              <w:t>3</w:t>
            </w:r>
            <w:r w:rsidRPr="00183B5F">
              <w:rPr>
                <w:b/>
              </w:rPr>
              <w:t>. táblázat: Feltáró végpontok eredményei PUCAI szerint</w:t>
            </w:r>
          </w:p>
        </w:tc>
      </w:tr>
      <w:tr w:rsidR="00011D2F" w14:paraId="6DE5D773" w14:textId="77777777" w:rsidTr="00C65171">
        <w:trPr>
          <w:trHeight w:val="265"/>
          <w:jc w:val="center"/>
        </w:trPr>
        <w:tc>
          <w:tcPr>
            <w:tcW w:w="2934"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139FB14E" w14:textId="77777777" w:rsidR="00C65171" w:rsidRPr="00183B5F" w:rsidRDefault="00C65171" w:rsidP="00C65171"/>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61AAE4" w14:textId="77777777" w:rsidR="00C65171" w:rsidRPr="00183B5F" w:rsidRDefault="00943743" w:rsidP="00C65171">
            <w:pPr>
              <w:jc w:val="center"/>
              <w:rPr>
                <w:b/>
                <w:bCs/>
              </w:rPr>
            </w:pPr>
            <w:r w:rsidRPr="00183B5F">
              <w:rPr>
                <w:b/>
              </w:rPr>
              <w:t>8. hét</w:t>
            </w:r>
          </w:p>
        </w:tc>
      </w:tr>
      <w:tr w:rsidR="00011D2F" w14:paraId="490D7DC2" w14:textId="77777777" w:rsidTr="00C65171">
        <w:trPr>
          <w:trHeight w:val="1042"/>
          <w:jc w:val="center"/>
        </w:trPr>
        <w:tc>
          <w:tcPr>
            <w:tcW w:w="0" w:type="auto"/>
            <w:vMerge/>
            <w:tcBorders>
              <w:top w:val="single" w:sz="4" w:space="0" w:color="auto"/>
              <w:left w:val="single" w:sz="8" w:space="0" w:color="auto"/>
              <w:bottom w:val="single" w:sz="8" w:space="0" w:color="auto"/>
              <w:right w:val="single" w:sz="4" w:space="0" w:color="auto"/>
            </w:tcBorders>
            <w:vAlign w:val="center"/>
            <w:hideMark/>
          </w:tcPr>
          <w:p w14:paraId="258742E7" w14:textId="77777777" w:rsidR="00C65171" w:rsidRPr="00183B5F" w:rsidRDefault="00C65171" w:rsidP="00C65171"/>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1E4F97" w14:textId="77777777" w:rsidR="00C65171" w:rsidRPr="00183B5F" w:rsidRDefault="00943743" w:rsidP="00C65171">
            <w:pPr>
              <w:jc w:val="center"/>
              <w:rPr>
                <w:b/>
                <w:bCs/>
                <w:vertAlign w:val="superscript"/>
              </w:rPr>
            </w:pPr>
            <w:r w:rsidRPr="00183B5F">
              <w:rPr>
                <w:b/>
              </w:rPr>
              <w:t>Humira</w:t>
            </w:r>
            <w:r w:rsidRPr="00183B5F">
              <w:rPr>
                <w:b/>
                <w:vertAlign w:val="superscript"/>
              </w:rPr>
              <w:t>a</w:t>
            </w:r>
          </w:p>
          <w:p w14:paraId="12E02C20" w14:textId="77777777" w:rsidR="00C65171" w:rsidRPr="00183B5F" w:rsidRDefault="00943743" w:rsidP="00C65171">
            <w:pPr>
              <w:jc w:val="center"/>
              <w:rPr>
                <w:b/>
                <w:bCs/>
              </w:rPr>
            </w:pPr>
            <w:r w:rsidRPr="00183B5F">
              <w:rPr>
                <w:b/>
              </w:rPr>
              <w:t>Legfeljebb 160 mg a 0. héten / placebo az 1. héten</w:t>
            </w:r>
          </w:p>
          <w:p w14:paraId="3D097A0D" w14:textId="77777777" w:rsidR="00C65171" w:rsidRPr="00183B5F" w:rsidRDefault="00943743" w:rsidP="00C65171">
            <w:pPr>
              <w:jc w:val="center"/>
            </w:pPr>
            <w:r w:rsidRPr="00183B5F">
              <w:t>N=30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9C27EE" w14:textId="77777777" w:rsidR="00C65171" w:rsidRPr="00183B5F" w:rsidRDefault="00943743" w:rsidP="00C65171">
            <w:pPr>
              <w:jc w:val="center"/>
              <w:rPr>
                <w:b/>
                <w:bCs/>
                <w:vertAlign w:val="superscript"/>
              </w:rPr>
            </w:pPr>
            <w:r w:rsidRPr="00183B5F">
              <w:rPr>
                <w:b/>
              </w:rPr>
              <w:t>Humira</w:t>
            </w:r>
            <w:r w:rsidRPr="00183B5F">
              <w:rPr>
                <w:b/>
                <w:vertAlign w:val="superscript"/>
              </w:rPr>
              <w:t>b,c</w:t>
            </w:r>
          </w:p>
          <w:p w14:paraId="14B49BD2" w14:textId="77777777" w:rsidR="00C65171" w:rsidRPr="00183B5F" w:rsidRDefault="00943743" w:rsidP="00C65171">
            <w:pPr>
              <w:jc w:val="center"/>
              <w:rPr>
                <w:b/>
                <w:bCs/>
              </w:rPr>
            </w:pPr>
            <w:r w:rsidRPr="00183B5F">
              <w:rPr>
                <w:b/>
              </w:rPr>
              <w:t>Legfeljebb 160 mg a 0. és az 1. héten</w:t>
            </w:r>
          </w:p>
          <w:p w14:paraId="6FCA9044" w14:textId="77777777" w:rsidR="00C65171" w:rsidRPr="00183B5F" w:rsidRDefault="00943743" w:rsidP="00C65171">
            <w:pPr>
              <w:jc w:val="center"/>
            </w:pPr>
            <w:r w:rsidRPr="00183B5F">
              <w:t>N=47</w:t>
            </w:r>
          </w:p>
        </w:tc>
      </w:tr>
      <w:tr w:rsidR="00011D2F" w14:paraId="7120DECE" w14:textId="77777777" w:rsidTr="00C65171">
        <w:trPr>
          <w:trHeight w:val="202"/>
          <w:jc w:val="center"/>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9E5B76" w14:textId="77777777" w:rsidR="00C65171" w:rsidRPr="00183B5F" w:rsidRDefault="00943743" w:rsidP="00C65171">
            <w:r w:rsidRPr="00183B5F">
              <w:t>Klinikai remisszió PUCAI szerint</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47278B7E" w14:textId="77777777" w:rsidR="00C65171" w:rsidRPr="00183B5F" w:rsidRDefault="00943743" w:rsidP="00C65171">
            <w:pPr>
              <w:jc w:val="center"/>
            </w:pPr>
            <w:r w:rsidRPr="00183B5F">
              <w:t>10/30 (33,3%)</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531F4181" w14:textId="77777777" w:rsidR="00C65171" w:rsidRPr="00183B5F" w:rsidRDefault="00943743" w:rsidP="00C65171">
            <w:pPr>
              <w:jc w:val="center"/>
            </w:pPr>
            <w:r w:rsidRPr="00183B5F">
              <w:t>22/47 (46,8%)</w:t>
            </w:r>
          </w:p>
        </w:tc>
      </w:tr>
      <w:tr w:rsidR="00011D2F" w14:paraId="670CF9A2" w14:textId="77777777" w:rsidTr="00C65171">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5108916" w14:textId="77777777" w:rsidR="00C65171" w:rsidRPr="00183B5F" w:rsidRDefault="00943743" w:rsidP="00C65171">
            <w:r w:rsidRPr="00183B5F">
              <w:t>Klinikai remisszió PUCAI szerint</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3667DB66" w14:textId="77777777" w:rsidR="00C65171" w:rsidRPr="00183B5F" w:rsidRDefault="00943743" w:rsidP="00C65171">
            <w:pPr>
              <w:jc w:val="center"/>
            </w:pPr>
            <w:r w:rsidRPr="00183B5F">
              <w:t>15/30 (50,0%)</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495899B1" w14:textId="77777777" w:rsidR="00C65171" w:rsidRPr="00183B5F" w:rsidRDefault="00943743" w:rsidP="00C65171">
            <w:pPr>
              <w:jc w:val="center"/>
            </w:pPr>
            <w:r w:rsidRPr="00183B5F">
              <w:t>32/47 (68,1%)</w:t>
            </w:r>
          </w:p>
        </w:tc>
      </w:tr>
      <w:tr w:rsidR="00011D2F" w14:paraId="7B80F18A" w14:textId="77777777" w:rsidTr="00C65171">
        <w:trPr>
          <w:trHeight w:val="238"/>
          <w:jc w:val="center"/>
        </w:trPr>
        <w:tc>
          <w:tcPr>
            <w:tcW w:w="2934"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77D1AFFD" w14:textId="77777777" w:rsidR="00C65171" w:rsidRPr="00183B5F" w:rsidRDefault="00C65171" w:rsidP="00C65171"/>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42596B94" w14:textId="77777777" w:rsidR="00C65171" w:rsidRPr="00183B5F" w:rsidRDefault="00943743" w:rsidP="00C65171">
            <w:pPr>
              <w:jc w:val="center"/>
              <w:rPr>
                <w:b/>
                <w:bCs/>
              </w:rPr>
            </w:pPr>
            <w:r w:rsidRPr="00183B5F">
              <w:rPr>
                <w:b/>
              </w:rPr>
              <w:t>52. hét</w:t>
            </w:r>
          </w:p>
        </w:tc>
      </w:tr>
      <w:tr w:rsidR="00011D2F" w14:paraId="3FCE5120" w14:textId="77777777" w:rsidTr="00C65171">
        <w:trPr>
          <w:trHeight w:val="238"/>
          <w:jc w:val="center"/>
        </w:trPr>
        <w:tc>
          <w:tcPr>
            <w:tcW w:w="0" w:type="auto"/>
            <w:vMerge/>
            <w:tcBorders>
              <w:top w:val="nil"/>
              <w:left w:val="single" w:sz="8" w:space="0" w:color="auto"/>
              <w:bottom w:val="single" w:sz="4" w:space="0" w:color="auto"/>
              <w:right w:val="single" w:sz="8" w:space="0" w:color="auto"/>
            </w:tcBorders>
            <w:vAlign w:val="center"/>
            <w:hideMark/>
          </w:tcPr>
          <w:p w14:paraId="1CBF471A" w14:textId="77777777" w:rsidR="00C65171" w:rsidRPr="00183B5F" w:rsidRDefault="00C65171" w:rsidP="00C65171"/>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71176F9B" w14:textId="77777777" w:rsidR="00C65171" w:rsidRPr="00183B5F" w:rsidRDefault="00943743" w:rsidP="00C65171">
            <w:pPr>
              <w:jc w:val="center"/>
              <w:rPr>
                <w:b/>
                <w:bCs/>
                <w:vertAlign w:val="superscript"/>
              </w:rPr>
            </w:pPr>
            <w:r w:rsidRPr="00183B5F">
              <w:rPr>
                <w:b/>
              </w:rPr>
              <w:t>Humira</w:t>
            </w:r>
            <w:r w:rsidRPr="00183B5F">
              <w:rPr>
                <w:b/>
                <w:vertAlign w:val="superscript"/>
              </w:rPr>
              <w:t>d</w:t>
            </w:r>
          </w:p>
          <w:p w14:paraId="2B21923C" w14:textId="77777777" w:rsidR="00C65171" w:rsidRPr="00183B5F" w:rsidRDefault="00943743" w:rsidP="00C65171">
            <w:pPr>
              <w:jc w:val="center"/>
              <w:rPr>
                <w:b/>
                <w:bCs/>
              </w:rPr>
            </w:pPr>
            <w:r w:rsidRPr="00183B5F">
              <w:rPr>
                <w:b/>
                <w:bCs/>
              </w:rPr>
              <w:t>Legfeljebb 40 mg kéthetente</w:t>
            </w:r>
          </w:p>
          <w:p w14:paraId="41F3C444" w14:textId="77777777" w:rsidR="00C65171" w:rsidRPr="00183B5F" w:rsidRDefault="00943743" w:rsidP="00C65171">
            <w:pPr>
              <w:jc w:val="center"/>
            </w:pPr>
            <w:r w:rsidRPr="00183B5F">
              <w:t>N=31</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3FBD2E95" w14:textId="77777777" w:rsidR="00C65171" w:rsidRPr="00183B5F" w:rsidRDefault="00943743" w:rsidP="00C65171">
            <w:pPr>
              <w:jc w:val="center"/>
              <w:rPr>
                <w:b/>
                <w:bCs/>
                <w:vertAlign w:val="superscript"/>
              </w:rPr>
            </w:pPr>
            <w:r w:rsidRPr="00183B5F">
              <w:rPr>
                <w:b/>
              </w:rPr>
              <w:t>Humira</w:t>
            </w:r>
            <w:r w:rsidRPr="00183B5F">
              <w:rPr>
                <w:b/>
                <w:vertAlign w:val="superscript"/>
              </w:rPr>
              <w:t>e</w:t>
            </w:r>
          </w:p>
          <w:p w14:paraId="57B0E7B7" w14:textId="77777777" w:rsidR="00C65171" w:rsidRPr="00183B5F" w:rsidRDefault="00943743" w:rsidP="00C65171">
            <w:pPr>
              <w:jc w:val="center"/>
              <w:rPr>
                <w:b/>
                <w:bCs/>
              </w:rPr>
            </w:pPr>
            <w:r w:rsidRPr="00183B5F">
              <w:rPr>
                <w:b/>
                <w:bCs/>
              </w:rPr>
              <w:t>Legfeljebb 40 mg hetente</w:t>
            </w:r>
          </w:p>
          <w:p w14:paraId="38B62C4D" w14:textId="77777777" w:rsidR="00C65171" w:rsidRPr="00183B5F" w:rsidRDefault="00943743" w:rsidP="00C65171">
            <w:pPr>
              <w:jc w:val="center"/>
            </w:pPr>
            <w:r w:rsidRPr="00183B5F">
              <w:t>N=31</w:t>
            </w:r>
          </w:p>
        </w:tc>
      </w:tr>
      <w:tr w:rsidR="00011D2F" w14:paraId="0F385331" w14:textId="77777777" w:rsidTr="00C65171">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90B1994" w14:textId="77777777" w:rsidR="00C65171" w:rsidRPr="00183B5F" w:rsidRDefault="00943743" w:rsidP="00C65171">
            <w:r w:rsidRPr="00183B5F">
              <w:t xml:space="preserve">Klinikai remisszió PUCAI szerint a 8. héten PMS szerint </w:t>
            </w:r>
            <w:r w:rsidR="00D81D3E" w:rsidRPr="00183B5F">
              <w:rPr>
                <w:rStyle w:val="normaltextrun"/>
                <w:shd w:val="clear" w:color="auto" w:fill="FFFFFF"/>
              </w:rPr>
              <w:t>választ mutatóknál</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69E1449D" w14:textId="77777777" w:rsidR="00C65171" w:rsidRPr="00183B5F" w:rsidRDefault="00943743" w:rsidP="00C65171">
            <w:pPr>
              <w:jc w:val="center"/>
            </w:pPr>
            <w:r w:rsidRPr="00183B5F">
              <w:t>14/31 (45,2%)</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021232ED" w14:textId="77777777" w:rsidR="00C65171" w:rsidRPr="00183B5F" w:rsidRDefault="00943743" w:rsidP="00C65171">
            <w:pPr>
              <w:jc w:val="center"/>
            </w:pPr>
            <w:r w:rsidRPr="00183B5F">
              <w:t>18/31 (58,1%)</w:t>
            </w:r>
          </w:p>
        </w:tc>
      </w:tr>
      <w:tr w:rsidR="00011D2F" w14:paraId="464D924C" w14:textId="77777777" w:rsidTr="00C65171">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EDC2EE7" w14:textId="77777777" w:rsidR="00C65171" w:rsidRPr="00183B5F" w:rsidRDefault="00943743" w:rsidP="00C65171">
            <w:r w:rsidRPr="00183B5F">
              <w:t xml:space="preserve">Klinikai válasz PUCAI szerint a 8. héten PMS szerint </w:t>
            </w:r>
            <w:r w:rsidR="00D81D3E" w:rsidRPr="00183B5F">
              <w:rPr>
                <w:rStyle w:val="normaltextrun"/>
                <w:shd w:val="clear" w:color="auto" w:fill="FFFFFF"/>
              </w:rPr>
              <w:t>választ mutatóknál</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60005C49" w14:textId="77777777" w:rsidR="00C65171" w:rsidRPr="00183B5F" w:rsidRDefault="00943743" w:rsidP="00C65171">
            <w:pPr>
              <w:jc w:val="center"/>
            </w:pPr>
            <w:r w:rsidRPr="00183B5F">
              <w:t>18/31 (58,1%)</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08E14CD7" w14:textId="77777777" w:rsidR="00C65171" w:rsidRPr="00183B5F" w:rsidRDefault="00943743" w:rsidP="00C65171">
            <w:pPr>
              <w:jc w:val="center"/>
            </w:pPr>
            <w:r w:rsidRPr="00183B5F">
              <w:t>16/31 (51,6%)</w:t>
            </w:r>
          </w:p>
        </w:tc>
      </w:tr>
      <w:tr w:rsidR="00011D2F" w14:paraId="0ACE7B53" w14:textId="77777777" w:rsidTr="00C65171">
        <w:trPr>
          <w:trHeight w:val="533"/>
          <w:jc w:val="center"/>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8F23E4F" w14:textId="77777777" w:rsidR="00C65171" w:rsidRPr="00183B5F" w:rsidRDefault="00943743" w:rsidP="00C65171">
            <w:r w:rsidRPr="00183B5F">
              <w:rPr>
                <w:vertAlign w:val="superscript"/>
              </w:rPr>
              <w:t>a </w:t>
            </w:r>
            <w:r w:rsidRPr="00183B5F">
              <w:t>Humira 2,4 mg/ttkg (maximum 160 mg) a 0. héten, placebo az 1. héten és 1,2 mg/</w:t>
            </w:r>
            <w:r w:rsidR="009134E6" w:rsidRPr="00183B5F">
              <w:t>tt</w:t>
            </w:r>
            <w:r w:rsidRPr="00183B5F">
              <w:t>kg (maximum 80 mg) a 2. héten </w:t>
            </w:r>
          </w:p>
          <w:p w14:paraId="704D2839" w14:textId="77777777" w:rsidR="00C65171" w:rsidRPr="00183B5F" w:rsidRDefault="00943743" w:rsidP="00C65171">
            <w:pPr>
              <w:textAlignment w:val="baseline"/>
              <w:rPr>
                <w:sz w:val="24"/>
                <w:szCs w:val="24"/>
              </w:rPr>
            </w:pPr>
            <w:r w:rsidRPr="00183B5F">
              <w:rPr>
                <w:szCs w:val="24"/>
                <w:vertAlign w:val="superscript"/>
              </w:rPr>
              <w:t>b </w:t>
            </w:r>
            <w:r w:rsidRPr="00183B5F">
              <w:rPr>
                <w:szCs w:val="24"/>
              </w:rPr>
              <w:t>Humira 2,4 mg/ttkg (maximum 160 mg) a 0. és az 1. héten és 1,2 mg/</w:t>
            </w:r>
            <w:r w:rsidR="009134E6" w:rsidRPr="00183B5F">
              <w:rPr>
                <w:szCs w:val="24"/>
              </w:rPr>
              <w:t>tt</w:t>
            </w:r>
            <w:r w:rsidRPr="00183B5F">
              <w:rPr>
                <w:szCs w:val="24"/>
              </w:rPr>
              <w:t>kg (maximum 80 mg) a 2. héten</w:t>
            </w:r>
            <w:r w:rsidRPr="00183B5F">
              <w:rPr>
                <w:sz w:val="24"/>
                <w:szCs w:val="24"/>
              </w:rPr>
              <w:t> </w:t>
            </w:r>
          </w:p>
          <w:p w14:paraId="5B0D1681" w14:textId="77777777" w:rsidR="00C65171" w:rsidRPr="00183B5F" w:rsidRDefault="00943743" w:rsidP="00C65171">
            <w:pPr>
              <w:textAlignment w:val="baseline"/>
            </w:pPr>
            <w:r w:rsidRPr="00183B5F">
              <w:rPr>
                <w:szCs w:val="24"/>
                <w:vertAlign w:val="superscript"/>
              </w:rPr>
              <w:t>c </w:t>
            </w:r>
            <w:r w:rsidRPr="00183B5F">
              <w:rPr>
                <w:szCs w:val="24"/>
              </w:rPr>
              <w:t>Nem tartalmazza a Humira nyílt indukciós dózist: 2,4 mg/ttkg (maximum 160 mg) a 0. héten, placebo az 1. héten és 1,2 mg/ttkg (maximum 80 mg) a 2. héten</w:t>
            </w:r>
          </w:p>
          <w:p w14:paraId="20254030" w14:textId="77777777" w:rsidR="00C65171" w:rsidRPr="00183B5F" w:rsidRDefault="00943743" w:rsidP="00C65171">
            <w:pPr>
              <w:textAlignment w:val="baseline"/>
            </w:pPr>
            <w:r w:rsidRPr="00183B5F">
              <w:rPr>
                <w:szCs w:val="24"/>
                <w:vertAlign w:val="superscript"/>
              </w:rPr>
              <w:t>d </w:t>
            </w:r>
            <w:r w:rsidRPr="00183B5F">
              <w:rPr>
                <w:szCs w:val="24"/>
              </w:rPr>
              <w:t>Humira 0,6 mg/</w:t>
            </w:r>
            <w:r w:rsidR="009134E6" w:rsidRPr="00183B5F">
              <w:rPr>
                <w:szCs w:val="24"/>
              </w:rPr>
              <w:t>tt</w:t>
            </w:r>
            <w:r w:rsidRPr="00183B5F">
              <w:rPr>
                <w:szCs w:val="24"/>
              </w:rPr>
              <w:t>kg (maximum 40 mg) kéthetente</w:t>
            </w:r>
          </w:p>
          <w:p w14:paraId="501C2570" w14:textId="77777777" w:rsidR="00C65171" w:rsidRPr="00183B5F" w:rsidRDefault="00943743" w:rsidP="00C65171">
            <w:r w:rsidRPr="00183B5F">
              <w:rPr>
                <w:vertAlign w:val="superscript"/>
              </w:rPr>
              <w:t>e </w:t>
            </w:r>
            <w:r w:rsidRPr="00183B5F">
              <w:t>Humira 0,6 mg/</w:t>
            </w:r>
            <w:r w:rsidR="009134E6" w:rsidRPr="00183B5F">
              <w:t>tt</w:t>
            </w:r>
            <w:r w:rsidRPr="00183B5F">
              <w:t>kg (maximum 40 mg) hetente</w:t>
            </w:r>
          </w:p>
          <w:p w14:paraId="62D515C6" w14:textId="77777777" w:rsidR="00C65171" w:rsidRPr="00183B5F" w:rsidRDefault="00943743" w:rsidP="00C65171">
            <w:pPr>
              <w:textAlignment w:val="baseline"/>
            </w:pPr>
            <w:r w:rsidRPr="00183B5F">
              <w:rPr>
                <w:szCs w:val="24"/>
              </w:rPr>
              <w:t>1. megjegyzés: Mindkét indukciós csoport 0,6 mg/ttkg-ot (maximum 40 mg) kapott a 4. és a 6. héten</w:t>
            </w:r>
            <w:r w:rsidRPr="00183B5F">
              <w:rPr>
                <w:sz w:val="24"/>
                <w:szCs w:val="24"/>
              </w:rPr>
              <w:t> </w:t>
            </w:r>
          </w:p>
          <w:p w14:paraId="23B12FD6" w14:textId="77777777" w:rsidR="00C65171" w:rsidRPr="00183B5F" w:rsidRDefault="00943743" w:rsidP="00C65171">
            <w:pPr>
              <w:textAlignment w:val="baseline"/>
              <w:rPr>
                <w:sz w:val="24"/>
                <w:szCs w:val="24"/>
              </w:rPr>
            </w:pPr>
            <w:r w:rsidRPr="00183B5F">
              <w:rPr>
                <w:szCs w:val="24"/>
              </w:rPr>
              <w:t>2. megjegyzés: Úgy ítélték meg, hogy a 8. héten hiányzó adatok esetén a betegek nem teljesítették a végpontokat</w:t>
            </w:r>
            <w:r w:rsidRPr="00183B5F">
              <w:rPr>
                <w:sz w:val="24"/>
                <w:szCs w:val="24"/>
              </w:rPr>
              <w:t> </w:t>
            </w:r>
          </w:p>
          <w:p w14:paraId="5F84F597" w14:textId="77777777" w:rsidR="00C65171" w:rsidRPr="00183B5F" w:rsidRDefault="00943743" w:rsidP="00C65171">
            <w:pPr>
              <w:textAlignment w:val="baseline"/>
            </w:pPr>
            <w:r w:rsidRPr="00183B5F">
              <w:t xml:space="preserve">3. megjegyzés: Azokat a betegeket, akiknek az 52. héten hiányoztak az értékei, vagy akiket randomizáltak ismételt indukcióra vagy fenntartó kezelésre, az 52. hét végpontjain </w:t>
            </w:r>
            <w:r w:rsidR="000809B5" w:rsidRPr="00183B5F">
              <w:t>választ nem mutatóknak</w:t>
            </w:r>
            <w:r w:rsidRPr="00183B5F">
              <w:t xml:space="preserve"> tekintették</w:t>
            </w:r>
          </w:p>
        </w:tc>
      </w:tr>
    </w:tbl>
    <w:p w14:paraId="2E5DCDFC" w14:textId="77777777" w:rsidR="00C65171" w:rsidRPr="00183B5F" w:rsidRDefault="00C65171" w:rsidP="00C65171"/>
    <w:p w14:paraId="5FB4042D" w14:textId="77777777" w:rsidR="00C65171" w:rsidRPr="00183B5F" w:rsidRDefault="00943743" w:rsidP="00C65171">
      <w:r w:rsidRPr="00183B5F">
        <w:t>A fenntartó periódus alatt ismételt indukciós kezelést kapott, Humira-val kezelt betegek közül 2/6 (33%) ért el klinikai választ FMS szerint az 52. héten.</w:t>
      </w:r>
    </w:p>
    <w:p w14:paraId="18112511" w14:textId="77777777" w:rsidR="00C65171" w:rsidRPr="00183B5F" w:rsidRDefault="00C65171" w:rsidP="00C65171"/>
    <w:p w14:paraId="64C7B42C" w14:textId="77777777" w:rsidR="00C65171" w:rsidRPr="00183B5F" w:rsidRDefault="00943743" w:rsidP="00C65171">
      <w:pPr>
        <w:keepNext/>
        <w:rPr>
          <w:bCs/>
          <w:i/>
          <w:u w:val="single"/>
        </w:rPr>
      </w:pPr>
      <w:r w:rsidRPr="00183B5F">
        <w:rPr>
          <w:i/>
          <w:u w:val="single"/>
        </w:rPr>
        <w:t>Életminőség</w:t>
      </w:r>
    </w:p>
    <w:p w14:paraId="5C57E243" w14:textId="77777777" w:rsidR="00C65171" w:rsidRPr="00183B5F" w:rsidRDefault="00C65171" w:rsidP="00C65171">
      <w:pPr>
        <w:keepNext/>
        <w:rPr>
          <w:bCs/>
          <w:i/>
          <w:u w:val="single"/>
        </w:rPr>
      </w:pPr>
    </w:p>
    <w:p w14:paraId="328FFBDB" w14:textId="77777777" w:rsidR="00C65171" w:rsidRPr="00183B5F" w:rsidRDefault="00943743" w:rsidP="00C65171">
      <w:pPr>
        <w:keepNext/>
      </w:pPr>
      <w:r w:rsidRPr="00183B5F">
        <w:t>A kiindulási értékhez képest klinikailag jelentős javulást figyeltek meg az IMPACT III és a WPAI (gondozói munka produktivitás és aktivitásromlás) pontszámokban a Humira-val kezelt csoportoknál.</w:t>
      </w:r>
    </w:p>
    <w:p w14:paraId="58BDE064" w14:textId="77777777" w:rsidR="00C65171" w:rsidRPr="00183B5F" w:rsidRDefault="00C65171" w:rsidP="00C65171">
      <w:pPr>
        <w:keepNext/>
      </w:pPr>
    </w:p>
    <w:p w14:paraId="07564262" w14:textId="77777777" w:rsidR="00C65171" w:rsidRPr="00183B5F" w:rsidRDefault="00943743" w:rsidP="00C65171">
      <w:r w:rsidRPr="00183B5F">
        <w:t>Az adalimumabbal kezelt csoportoknál a növekedési sebesség klinikailag jelentős mértékű növekedését (javulását) figyelték meg a kiindulási értékhez képest és a testtömeg-index klinikailag jelentős növekedését (javulását) a kiindulási értékhez képest azoknál az alanyoknál, akik a nagy, hetente adott legfeljebb 40 mg (0,6 mg/ttkg) fenntartó dózist kapták.</w:t>
      </w:r>
    </w:p>
    <w:bookmarkEnd w:id="8510"/>
    <w:p w14:paraId="133D6C37" w14:textId="77777777" w:rsidR="00FC0FF1" w:rsidRPr="00183B5F" w:rsidRDefault="00FC0FF1">
      <w:pPr>
        <w:spacing w:line="240" w:lineRule="auto"/>
        <w:outlineLvl w:val="0"/>
        <w:rPr>
          <w:noProof/>
          <w:szCs w:val="24"/>
        </w:rPr>
      </w:pPr>
    </w:p>
    <w:p w14:paraId="366D3FD1" w14:textId="77777777" w:rsidR="00F61E14" w:rsidRPr="00183B5F" w:rsidRDefault="00943743" w:rsidP="00F61E14">
      <w:pPr>
        <w:pStyle w:val="EMEANormal"/>
        <w:tabs>
          <w:tab w:val="left" w:pos="2595"/>
        </w:tabs>
        <w:rPr>
          <w:bCs/>
          <w:i/>
          <w:szCs w:val="22"/>
          <w:lang w:val="hu-HU"/>
        </w:rPr>
      </w:pPr>
      <w:r w:rsidRPr="00183B5F">
        <w:rPr>
          <w:bCs/>
          <w:i/>
          <w:szCs w:val="22"/>
          <w:lang w:val="hu-HU"/>
        </w:rPr>
        <w:t>Gyermekkori uveitis</w:t>
      </w:r>
    </w:p>
    <w:p w14:paraId="1835F37E" w14:textId="77777777" w:rsidR="00F61E14" w:rsidRPr="00183B5F" w:rsidRDefault="00F61E14" w:rsidP="00F61E14">
      <w:pPr>
        <w:pStyle w:val="EMEANormal"/>
        <w:tabs>
          <w:tab w:val="left" w:pos="2595"/>
        </w:tabs>
        <w:rPr>
          <w:bCs/>
          <w:i/>
          <w:szCs w:val="22"/>
          <w:u w:val="single"/>
          <w:lang w:val="hu-HU"/>
        </w:rPr>
      </w:pPr>
    </w:p>
    <w:p w14:paraId="68CAF5F3" w14:textId="77777777" w:rsidR="00F61E14" w:rsidRPr="00183B5F" w:rsidRDefault="00943743" w:rsidP="00F61E14">
      <w:pPr>
        <w:pStyle w:val="EMEANormal"/>
        <w:tabs>
          <w:tab w:val="left" w:pos="2595"/>
        </w:tabs>
        <w:rPr>
          <w:bCs/>
          <w:szCs w:val="22"/>
          <w:lang w:val="hu-HU"/>
        </w:rPr>
      </w:pPr>
      <w:r w:rsidRPr="00183B5F">
        <w:rPr>
          <w:szCs w:val="22"/>
          <w:lang w:val="hu-HU"/>
        </w:rPr>
        <w:t>A Humira biztonságosságát és hatásosságát</w:t>
      </w:r>
      <w:r w:rsidRPr="00183B5F">
        <w:rPr>
          <w:bCs/>
          <w:szCs w:val="22"/>
          <w:lang w:val="hu-HU"/>
        </w:rPr>
        <w:t xml:space="preserve"> 90, 2 és &lt;18 éves kor közötti, aktív, JIA-asszociált, nem fertőzéses eredetű anterior uvitisben szenvedő, legalább 12 hetes metotrexát-kezelésre refrakter gyermeknél egy randomizált, kettős vak, kontrollos vizsgálatban értékelték. A betegek vagy placebót, vagy 20 mg adalimumabot (30 kg testtömeg alatt), illetve 40 mg adalimumabot (legalább 30 kg</w:t>
      </w:r>
      <w:r w:rsidRPr="00183B5F">
        <w:rPr>
          <w:bCs/>
          <w:szCs w:val="22"/>
          <w:lang w:val="hu-HU"/>
        </w:rPr>
        <w:noBreakHyphen/>
        <w:t>os testtömeg esetén) kaptak minden második héten a kezelés kezdetén alkalmazott metotrexát dózissal kombinálva.</w:t>
      </w:r>
    </w:p>
    <w:p w14:paraId="4D4A4890" w14:textId="77777777" w:rsidR="00F61E14" w:rsidRPr="00183B5F" w:rsidRDefault="00F61E14" w:rsidP="00F61E14">
      <w:pPr>
        <w:pStyle w:val="EMEANormal"/>
        <w:tabs>
          <w:tab w:val="left" w:pos="2595"/>
        </w:tabs>
        <w:rPr>
          <w:bCs/>
          <w:szCs w:val="22"/>
          <w:lang w:val="hu-HU"/>
        </w:rPr>
      </w:pPr>
    </w:p>
    <w:p w14:paraId="35CE9B9F" w14:textId="77777777" w:rsidR="00F61E14" w:rsidRPr="00183B5F" w:rsidRDefault="00943743" w:rsidP="00F61E14">
      <w:pPr>
        <w:pStyle w:val="EMEANormal"/>
        <w:tabs>
          <w:tab w:val="left" w:pos="2595"/>
        </w:tabs>
        <w:rPr>
          <w:szCs w:val="22"/>
          <w:lang w:val="hu-HU"/>
        </w:rPr>
      </w:pPr>
      <w:r w:rsidRPr="00183B5F">
        <w:rPr>
          <w:bCs/>
          <w:szCs w:val="22"/>
          <w:lang w:val="hu-HU"/>
        </w:rPr>
        <w:t xml:space="preserve">Az elsődleges végpont </w:t>
      </w:r>
      <w:r w:rsidRPr="00183B5F">
        <w:rPr>
          <w:szCs w:val="22"/>
          <w:lang w:val="hu-HU"/>
        </w:rPr>
        <w:t>a „kezelés eredménytelenségéig eltelt idő” volt. A kezelés eredménytelenségének kritériumai a szemgyulladás romlása, vagy tartós nem javulása, részleges javulás tartós szemészeti társbetegségek kialakulása mellett, vagy a szemészeti társbetegségek romlása, nem engedélyezett egyidejű gyógyszeralkalmazás, vagy a kezelés hosszabb ideig tartó felfüggesztése voltak.</w:t>
      </w:r>
    </w:p>
    <w:p w14:paraId="5234FE66" w14:textId="77777777" w:rsidR="00F61E14" w:rsidRPr="00183B5F" w:rsidRDefault="00F61E14" w:rsidP="00F61E14">
      <w:pPr>
        <w:pStyle w:val="EMEANormal"/>
        <w:tabs>
          <w:tab w:val="left" w:pos="2595"/>
        </w:tabs>
        <w:rPr>
          <w:szCs w:val="22"/>
          <w:lang w:val="hu-HU"/>
        </w:rPr>
      </w:pPr>
    </w:p>
    <w:p w14:paraId="56106E83" w14:textId="77777777" w:rsidR="00F61E14" w:rsidRPr="00183B5F" w:rsidRDefault="00943743" w:rsidP="00F61E14">
      <w:pPr>
        <w:pStyle w:val="EMEANormal"/>
        <w:keepNext/>
        <w:rPr>
          <w:i/>
          <w:szCs w:val="22"/>
          <w:u w:val="single"/>
          <w:lang w:val="hu-HU"/>
        </w:rPr>
      </w:pPr>
      <w:r w:rsidRPr="00183B5F">
        <w:rPr>
          <w:i/>
          <w:szCs w:val="22"/>
          <w:u w:val="single"/>
          <w:lang w:val="hu-HU"/>
        </w:rPr>
        <w:t>Klinikai válasz</w:t>
      </w:r>
    </w:p>
    <w:p w14:paraId="4F6C812A" w14:textId="77777777" w:rsidR="00F61E14" w:rsidRPr="00183B5F" w:rsidRDefault="00F61E14" w:rsidP="00F61E14">
      <w:pPr>
        <w:pStyle w:val="EMEANormal"/>
        <w:keepNext/>
        <w:tabs>
          <w:tab w:val="left" w:pos="2595"/>
        </w:tabs>
        <w:rPr>
          <w:bCs/>
          <w:szCs w:val="22"/>
          <w:lang w:val="hu-HU"/>
        </w:rPr>
      </w:pPr>
    </w:p>
    <w:p w14:paraId="10A3FF7A" w14:textId="77777777" w:rsidR="00F61E14" w:rsidRPr="00183B5F" w:rsidRDefault="00943743" w:rsidP="00F61E14">
      <w:pPr>
        <w:spacing w:line="240" w:lineRule="auto"/>
        <w:rPr>
          <w:szCs w:val="22"/>
        </w:rPr>
      </w:pPr>
      <w:r w:rsidRPr="00183B5F">
        <w:rPr>
          <w:szCs w:val="22"/>
        </w:rPr>
        <w:t>Az adalimumab szignifikánsan késleltette a kezelés eredménytelenségéig eltelt időt a placebóhoz képest (lásd 2. abra, p &lt; 0,0001, lograng</w:t>
      </w:r>
      <w:r w:rsidRPr="00183B5F">
        <w:rPr>
          <w:szCs w:val="22"/>
        </w:rPr>
        <w:noBreakHyphen/>
        <w:t>próba). A kezelés eredménytelenségéig eltelt medián időtartam 24,1 hét volt placebóval kezelt betegek esetén, míg az adalimumabbal kezelt betegek esetén a kezelés eredménytelenségéig eltelt medián időtartam nem volt becsülhető, mivel kevesebb mint a betegek felénél tapasztaltak kezelési eredménytelenséget. Az adalimumab szignifikánsan, 75%-kal csökkentette a kezelési eredménytelenség kockázatát a placebóhoz képest, ahogy ezt a relatív hazárd érték mutatja (HR = 0,25 [95%</w:t>
      </w:r>
      <w:r w:rsidRPr="00183B5F">
        <w:rPr>
          <w:szCs w:val="22"/>
        </w:rPr>
        <w:noBreakHyphen/>
        <w:t>os CI: 0,12; 0,49]).</w:t>
      </w:r>
    </w:p>
    <w:p w14:paraId="7E8CAF47" w14:textId="77777777" w:rsidR="00F61E14" w:rsidRPr="00183B5F" w:rsidRDefault="00F61E14" w:rsidP="00F61E14">
      <w:pPr>
        <w:pStyle w:val="EMEANormal"/>
        <w:rPr>
          <w:szCs w:val="22"/>
          <w:lang w:val="hu-HU"/>
        </w:rPr>
      </w:pPr>
    </w:p>
    <w:p w14:paraId="762D2D54" w14:textId="77777777" w:rsidR="00F61E14" w:rsidRPr="00183B5F" w:rsidRDefault="00943743" w:rsidP="002D49EE">
      <w:pPr>
        <w:pStyle w:val="EMEANormal"/>
        <w:keepNext/>
        <w:ind w:left="720"/>
        <w:jc w:val="center"/>
        <w:rPr>
          <w:b/>
          <w:szCs w:val="22"/>
          <w:lang w:val="hu-HU"/>
        </w:rPr>
      </w:pPr>
      <w:r w:rsidRPr="00183B5F">
        <w:rPr>
          <w:b/>
          <w:szCs w:val="22"/>
          <w:lang w:val="hu-HU"/>
        </w:rPr>
        <w:t>2. ábra: A kezelés eredménytelenségéig eltelt időt bemutató Kaplan-Meier görbék gyermekkori uveitis vizsgálatban</w:t>
      </w:r>
    </w:p>
    <w:tbl>
      <w:tblPr>
        <w:tblW w:w="9288" w:type="dxa"/>
        <w:tblLayout w:type="fixed"/>
        <w:tblLook w:val="04A0" w:firstRow="1" w:lastRow="0" w:firstColumn="1" w:lastColumn="0" w:noHBand="0" w:noVBand="1"/>
      </w:tblPr>
      <w:tblGrid>
        <w:gridCol w:w="468"/>
        <w:gridCol w:w="3510"/>
        <w:gridCol w:w="1170"/>
        <w:gridCol w:w="1350"/>
        <w:gridCol w:w="900"/>
        <w:gridCol w:w="1890"/>
      </w:tblGrid>
      <w:tr w:rsidR="00011D2F" w14:paraId="734ED013" w14:textId="77777777" w:rsidTr="00F61E14">
        <w:trPr>
          <w:cantSplit/>
          <w:trHeight w:val="3806"/>
        </w:trPr>
        <w:tc>
          <w:tcPr>
            <w:tcW w:w="468" w:type="dxa"/>
            <w:textDirection w:val="btLr"/>
            <w:vAlign w:val="bottom"/>
          </w:tcPr>
          <w:p w14:paraId="3E30D724" w14:textId="77777777" w:rsidR="00F61E14" w:rsidRPr="00183B5F" w:rsidRDefault="00943743" w:rsidP="00F61E14">
            <w:pPr>
              <w:pStyle w:val="EMEANormal"/>
              <w:ind w:left="720"/>
              <w:rPr>
                <w:b/>
                <w:szCs w:val="22"/>
                <w:lang w:val="hu-HU"/>
              </w:rPr>
            </w:pPr>
            <w:r w:rsidRPr="00183B5F">
              <w:rPr>
                <w:b/>
                <w:szCs w:val="22"/>
                <w:lang w:val="hu-HU"/>
              </w:rPr>
              <w:t>A KEZELÉS EREDMÉNYTELENSÉGÉNEK VALÓSZÍNŰSÉGE</w:t>
            </w:r>
          </w:p>
        </w:tc>
        <w:tc>
          <w:tcPr>
            <w:tcW w:w="8820" w:type="dxa"/>
            <w:gridSpan w:val="5"/>
            <w:vAlign w:val="bottom"/>
          </w:tcPr>
          <w:p w14:paraId="72BA6202" w14:textId="77777777" w:rsidR="00F61E14" w:rsidRPr="00183B5F" w:rsidRDefault="00943743" w:rsidP="00F61E14">
            <w:pPr>
              <w:pStyle w:val="EMEANormal"/>
              <w:keepNext/>
              <w:rPr>
                <w:szCs w:val="22"/>
                <w:lang w:val="hu-HU"/>
              </w:rPr>
            </w:pPr>
            <w:r w:rsidRPr="00202B95">
              <w:rPr>
                <w:noProof/>
                <w:lang w:val="en-GB"/>
              </w:rPr>
              <w:drawing>
                <wp:inline distT="0" distB="0" distL="0" distR="0" wp14:anchorId="73116E64" wp14:editId="7EC4E81B">
                  <wp:extent cx="5486400" cy="4554855"/>
                  <wp:effectExtent l="0" t="0" r="0" b="0"/>
                  <wp:docPr id="168" name="Picture 168"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9" descr="Humira PED UV KM Curve REVISED 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486400" cy="4554855"/>
                          </a:xfrm>
                          <a:prstGeom prst="rect">
                            <a:avLst/>
                          </a:prstGeom>
                          <a:noFill/>
                          <a:ln>
                            <a:noFill/>
                          </a:ln>
                        </pic:spPr>
                      </pic:pic>
                    </a:graphicData>
                  </a:graphic>
                </wp:inline>
              </w:drawing>
            </w:r>
          </w:p>
        </w:tc>
      </w:tr>
      <w:tr w:rsidR="00011D2F" w14:paraId="27EFD40F" w14:textId="77777777" w:rsidTr="00F61E14">
        <w:tc>
          <w:tcPr>
            <w:tcW w:w="468" w:type="dxa"/>
          </w:tcPr>
          <w:p w14:paraId="319151BA" w14:textId="77777777" w:rsidR="00F61E14" w:rsidRPr="00183B5F" w:rsidRDefault="00F61E14" w:rsidP="00F61E14">
            <w:pPr>
              <w:pStyle w:val="EMEANormal"/>
              <w:keepNext/>
              <w:rPr>
                <w:szCs w:val="22"/>
                <w:lang w:val="hu-HU"/>
              </w:rPr>
            </w:pPr>
          </w:p>
        </w:tc>
        <w:tc>
          <w:tcPr>
            <w:tcW w:w="8820" w:type="dxa"/>
            <w:gridSpan w:val="5"/>
          </w:tcPr>
          <w:p w14:paraId="2EF92AE8" w14:textId="77777777" w:rsidR="00F61E14" w:rsidRPr="00183B5F" w:rsidRDefault="00943743" w:rsidP="00F61E14">
            <w:pPr>
              <w:pStyle w:val="EMEANormal"/>
              <w:keepNext/>
              <w:jc w:val="center"/>
              <w:rPr>
                <w:b/>
                <w:szCs w:val="22"/>
                <w:lang w:val="hu-HU"/>
              </w:rPr>
            </w:pPr>
            <w:r w:rsidRPr="00183B5F">
              <w:rPr>
                <w:b/>
                <w:szCs w:val="22"/>
                <w:lang w:val="hu-HU"/>
              </w:rPr>
              <w:t>IDŐ (HÉT)</w:t>
            </w:r>
          </w:p>
        </w:tc>
      </w:tr>
      <w:tr w:rsidR="00011D2F" w14:paraId="786B6053" w14:textId="77777777" w:rsidTr="00F61E14">
        <w:tc>
          <w:tcPr>
            <w:tcW w:w="468" w:type="dxa"/>
          </w:tcPr>
          <w:p w14:paraId="36A70BC2" w14:textId="77777777" w:rsidR="00F61E14" w:rsidRPr="00183B5F" w:rsidRDefault="00F61E14" w:rsidP="00F61E14">
            <w:pPr>
              <w:pStyle w:val="EMEANormal"/>
              <w:keepNext/>
              <w:rPr>
                <w:szCs w:val="22"/>
                <w:lang w:val="hu-HU"/>
              </w:rPr>
            </w:pPr>
          </w:p>
        </w:tc>
        <w:tc>
          <w:tcPr>
            <w:tcW w:w="3510" w:type="dxa"/>
          </w:tcPr>
          <w:p w14:paraId="417ACFD1" w14:textId="77777777" w:rsidR="00F61E14" w:rsidRPr="00183B5F" w:rsidRDefault="00943743" w:rsidP="00F61E14">
            <w:pPr>
              <w:pStyle w:val="EMEANormal"/>
              <w:keepNext/>
              <w:rPr>
                <w:szCs w:val="22"/>
                <w:lang w:val="hu-HU"/>
              </w:rPr>
            </w:pPr>
            <w:r w:rsidRPr="00183B5F">
              <w:rPr>
                <w:szCs w:val="22"/>
                <w:lang w:val="hu-HU"/>
              </w:rPr>
              <w:t>Kezelés</w:t>
            </w:r>
          </w:p>
        </w:tc>
        <w:tc>
          <w:tcPr>
            <w:tcW w:w="1170" w:type="dxa"/>
            <w:vAlign w:val="bottom"/>
          </w:tcPr>
          <w:p w14:paraId="1F836390" w14:textId="77777777" w:rsidR="00F61E14" w:rsidRPr="00183B5F" w:rsidRDefault="00943743" w:rsidP="00F61E14">
            <w:pPr>
              <w:pStyle w:val="EMEANormal"/>
              <w:keepNext/>
              <w:jc w:val="center"/>
              <w:rPr>
                <w:szCs w:val="22"/>
                <w:lang w:val="hu-HU"/>
              </w:rPr>
            </w:pPr>
            <w:r w:rsidRPr="00202B95">
              <w:rPr>
                <w:noProof/>
                <w:lang w:val="en-GB"/>
              </w:rPr>
              <w:drawing>
                <wp:inline distT="0" distB="0" distL="0" distR="0" wp14:anchorId="630955A8" wp14:editId="782805FD">
                  <wp:extent cx="457200" cy="120650"/>
                  <wp:effectExtent l="0" t="0" r="0" b="0"/>
                  <wp:docPr id="169" name="Picture 169"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0" descr="Humira PED UV KM Curve 1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57200" cy="120650"/>
                          </a:xfrm>
                          <a:prstGeom prst="rect">
                            <a:avLst/>
                          </a:prstGeom>
                          <a:noFill/>
                          <a:ln>
                            <a:noFill/>
                          </a:ln>
                        </pic:spPr>
                      </pic:pic>
                    </a:graphicData>
                  </a:graphic>
                </wp:inline>
              </w:drawing>
            </w:r>
          </w:p>
        </w:tc>
        <w:tc>
          <w:tcPr>
            <w:tcW w:w="1350" w:type="dxa"/>
          </w:tcPr>
          <w:p w14:paraId="0E8F4E9A" w14:textId="77777777" w:rsidR="00F61E14" w:rsidRPr="00183B5F" w:rsidRDefault="00943743" w:rsidP="00F61E14">
            <w:pPr>
              <w:pStyle w:val="EMEANormal"/>
              <w:keepNext/>
              <w:rPr>
                <w:szCs w:val="22"/>
                <w:lang w:val="hu-HU"/>
              </w:rPr>
            </w:pPr>
            <w:r w:rsidRPr="00183B5F">
              <w:rPr>
                <w:szCs w:val="22"/>
                <w:lang w:val="hu-HU"/>
              </w:rPr>
              <w:t>Placebo</w:t>
            </w:r>
          </w:p>
        </w:tc>
        <w:tc>
          <w:tcPr>
            <w:tcW w:w="900" w:type="dxa"/>
            <w:vAlign w:val="center"/>
          </w:tcPr>
          <w:p w14:paraId="2AC721C5" w14:textId="77777777" w:rsidR="00F61E14" w:rsidRPr="00183B5F" w:rsidRDefault="00943743" w:rsidP="00F61E14">
            <w:pPr>
              <w:pStyle w:val="EMEANormal"/>
              <w:keepNext/>
              <w:rPr>
                <w:szCs w:val="22"/>
                <w:lang w:val="hu-HU"/>
              </w:rPr>
            </w:pPr>
            <w:r w:rsidRPr="00202B95">
              <w:rPr>
                <w:noProof/>
                <w:lang w:val="en-GB"/>
              </w:rPr>
              <w:drawing>
                <wp:inline distT="0" distB="0" distL="0" distR="0" wp14:anchorId="327AB3B2" wp14:editId="284C8603">
                  <wp:extent cx="457200" cy="86360"/>
                  <wp:effectExtent l="0" t="0" r="0" b="8890"/>
                  <wp:docPr id="170" name="Picture 170"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1" descr="Humira PED UV KM Curve 1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57200" cy="86360"/>
                          </a:xfrm>
                          <a:prstGeom prst="rect">
                            <a:avLst/>
                          </a:prstGeom>
                          <a:noFill/>
                          <a:ln>
                            <a:noFill/>
                          </a:ln>
                        </pic:spPr>
                      </pic:pic>
                    </a:graphicData>
                  </a:graphic>
                </wp:inline>
              </w:drawing>
            </w:r>
          </w:p>
        </w:tc>
        <w:tc>
          <w:tcPr>
            <w:tcW w:w="1890" w:type="dxa"/>
          </w:tcPr>
          <w:p w14:paraId="34674268" w14:textId="77777777" w:rsidR="00F61E14" w:rsidRPr="00183B5F" w:rsidRDefault="00943743" w:rsidP="00F61E14">
            <w:pPr>
              <w:pStyle w:val="EMEANormal"/>
              <w:keepNext/>
              <w:rPr>
                <w:szCs w:val="22"/>
                <w:lang w:val="hu-HU"/>
              </w:rPr>
            </w:pPr>
            <w:r w:rsidRPr="00183B5F">
              <w:rPr>
                <w:szCs w:val="22"/>
                <w:lang w:val="hu-HU"/>
              </w:rPr>
              <w:t>Adalimumab</w:t>
            </w:r>
          </w:p>
        </w:tc>
      </w:tr>
      <w:tr w:rsidR="00011D2F" w14:paraId="03E66A4F" w14:textId="77777777" w:rsidTr="00F61E14">
        <w:tc>
          <w:tcPr>
            <w:tcW w:w="468" w:type="dxa"/>
          </w:tcPr>
          <w:p w14:paraId="4A5B5A78" w14:textId="77777777" w:rsidR="00F61E14" w:rsidRPr="00183B5F" w:rsidRDefault="00F61E14" w:rsidP="00F61E14">
            <w:pPr>
              <w:pStyle w:val="EMEANormal"/>
              <w:rPr>
                <w:szCs w:val="22"/>
                <w:lang w:val="hu-HU"/>
              </w:rPr>
            </w:pPr>
          </w:p>
        </w:tc>
        <w:tc>
          <w:tcPr>
            <w:tcW w:w="8820" w:type="dxa"/>
            <w:gridSpan w:val="5"/>
          </w:tcPr>
          <w:p w14:paraId="2DAA936C" w14:textId="77777777" w:rsidR="00F61E14" w:rsidRPr="00183B5F" w:rsidRDefault="00943743" w:rsidP="00F61E14">
            <w:pPr>
              <w:pStyle w:val="EMEANormal"/>
              <w:rPr>
                <w:szCs w:val="22"/>
                <w:lang w:val="hu-HU"/>
              </w:rPr>
            </w:pPr>
            <w:r w:rsidRPr="00183B5F">
              <w:rPr>
                <w:szCs w:val="22"/>
                <w:lang w:val="hu-HU"/>
              </w:rPr>
              <w:t>Megjegyzés: P = Placebo (Veszélyeztetett betegek száma); H = HUMIRA (Veszélyeztetett betegek száma).</w:t>
            </w:r>
          </w:p>
        </w:tc>
      </w:tr>
    </w:tbl>
    <w:p w14:paraId="39890488" w14:textId="77777777" w:rsidR="00F61E14" w:rsidRPr="00183B5F" w:rsidRDefault="00F61E14">
      <w:pPr>
        <w:spacing w:line="240" w:lineRule="auto"/>
        <w:outlineLvl w:val="0"/>
        <w:rPr>
          <w:noProof/>
          <w:szCs w:val="24"/>
        </w:rPr>
      </w:pPr>
    </w:p>
    <w:p w14:paraId="587FB936" w14:textId="77777777" w:rsidR="00764497" w:rsidRPr="00183B5F" w:rsidRDefault="00943743" w:rsidP="004062FE">
      <w:pPr>
        <w:keepNext/>
        <w:spacing w:line="240" w:lineRule="auto"/>
        <w:rPr>
          <w:b/>
          <w:szCs w:val="22"/>
        </w:rPr>
      </w:pPr>
      <w:r w:rsidRPr="00183B5F">
        <w:rPr>
          <w:b/>
          <w:szCs w:val="22"/>
        </w:rPr>
        <w:t>5.2</w:t>
      </w:r>
      <w:r w:rsidRPr="00183B5F">
        <w:rPr>
          <w:b/>
          <w:szCs w:val="22"/>
        </w:rPr>
        <w:tab/>
        <w:t>Farmakokinetikai tulajdonságok</w:t>
      </w:r>
    </w:p>
    <w:p w14:paraId="36F1245C" w14:textId="77777777" w:rsidR="00764497" w:rsidRPr="00183B5F" w:rsidRDefault="00764497" w:rsidP="004062FE">
      <w:pPr>
        <w:keepNext/>
        <w:spacing w:line="240" w:lineRule="auto"/>
        <w:rPr>
          <w:szCs w:val="22"/>
        </w:rPr>
      </w:pPr>
    </w:p>
    <w:p w14:paraId="5C0CABCC" w14:textId="77777777" w:rsidR="00764497" w:rsidRPr="00183B5F" w:rsidRDefault="00943743" w:rsidP="004062FE">
      <w:pPr>
        <w:keepNext/>
        <w:numPr>
          <w:ilvl w:val="12"/>
          <w:numId w:val="0"/>
        </w:numPr>
        <w:suppressLineNumbers/>
        <w:spacing w:line="240" w:lineRule="auto"/>
        <w:ind w:right="-2"/>
        <w:rPr>
          <w:szCs w:val="22"/>
        </w:rPr>
      </w:pPr>
      <w:r w:rsidRPr="00183B5F">
        <w:rPr>
          <w:noProof/>
          <w:szCs w:val="24"/>
          <w:u w:val="single"/>
        </w:rPr>
        <w:t>Felszívódás és eloszlás</w:t>
      </w:r>
    </w:p>
    <w:p w14:paraId="6D278ACC" w14:textId="77777777" w:rsidR="00764497" w:rsidRPr="00183B5F" w:rsidRDefault="00764497" w:rsidP="004062FE">
      <w:pPr>
        <w:keepNext/>
        <w:spacing w:line="240" w:lineRule="auto"/>
        <w:rPr>
          <w:szCs w:val="22"/>
        </w:rPr>
      </w:pPr>
    </w:p>
    <w:p w14:paraId="21049E36" w14:textId="77777777" w:rsidR="00764497" w:rsidRPr="00183B5F" w:rsidRDefault="00943743" w:rsidP="004062FE">
      <w:pPr>
        <w:keepNext/>
        <w:spacing w:line="240" w:lineRule="auto"/>
        <w:rPr>
          <w:szCs w:val="22"/>
        </w:rPr>
      </w:pPr>
      <w:r w:rsidRPr="00183B5F">
        <w:rPr>
          <w:szCs w:val="22"/>
        </w:rPr>
        <w:t>40 mg adag egyszeri subcutan beadását követően az adalimumab felszívódása és eloszlása lassú volt, a szérumban a csúcskoncentrációt csak a beadást követő 5. napon érte el. Az adalimumab átlagos abszolút biohasznosulása, 40 mg adalimumab subcutan beadását követően, három vizsgálat eredményei alapján 64% volt. 0,25 mg</w:t>
      </w:r>
      <w:r w:rsidR="00127A0B" w:rsidRPr="00183B5F">
        <w:rPr>
          <w:szCs w:val="22"/>
        </w:rPr>
        <w:t>/ttkg</w:t>
      </w:r>
      <w:r w:rsidRPr="00183B5F">
        <w:rPr>
          <w:szCs w:val="22"/>
        </w:rPr>
        <w:noBreakHyphen/>
        <w:t>tól 10 mg</w:t>
      </w:r>
      <w:r w:rsidR="00127A0B" w:rsidRPr="00183B5F">
        <w:rPr>
          <w:szCs w:val="22"/>
        </w:rPr>
        <w:t>/ttkg</w:t>
      </w:r>
      <w:r w:rsidRPr="00183B5F">
        <w:rPr>
          <w:szCs w:val="22"/>
        </w:rPr>
        <w:noBreakHyphen/>
        <w:t>ig terjedő adag egyszeri intravénás beadását követően a szérumkoncentráció az adaggal részarányos volt. 0,5 mg</w:t>
      </w:r>
      <w:r w:rsidR="00127A0B" w:rsidRPr="00183B5F">
        <w:rPr>
          <w:szCs w:val="22"/>
        </w:rPr>
        <w:t>/ttkg</w:t>
      </w:r>
      <w:r w:rsidRPr="00183B5F">
        <w:rPr>
          <w:szCs w:val="22"/>
        </w:rPr>
        <w:noBreakHyphen/>
        <w:t>os adag (~40 mg) beadását követően, a clearence 11 és 15 ml/óra között, az eloszlási térfogat (V</w:t>
      </w:r>
      <w:r w:rsidRPr="00183B5F">
        <w:rPr>
          <w:szCs w:val="22"/>
          <w:vertAlign w:val="subscript"/>
        </w:rPr>
        <w:t>ss</w:t>
      </w:r>
      <w:r w:rsidRPr="00183B5F">
        <w:rPr>
          <w:szCs w:val="22"/>
        </w:rPr>
        <w:t>) 5</w:t>
      </w:r>
      <w:r w:rsidRPr="00183B5F">
        <w:rPr>
          <w:szCs w:val="22"/>
        </w:rPr>
        <w:noBreakHyphen/>
        <w:t xml:space="preserve">6 liter között változott, és az átlagos </w:t>
      </w:r>
      <w:r w:rsidR="00703FA3" w:rsidRPr="00183B5F">
        <w:rPr>
          <w:szCs w:val="22"/>
        </w:rPr>
        <w:t>terminális felezési idő</w:t>
      </w:r>
      <w:r w:rsidRPr="00183B5F">
        <w:rPr>
          <w:szCs w:val="22"/>
        </w:rPr>
        <w:t xml:space="preserve"> megközelítőleg két hét volt. Az adalimumab synovialis folyadékban mérhető koncentrációja néhány rheumatoid arthritises beteg vizsgálata alapján, a szérumkoncentráció 31</w:t>
      </w:r>
      <w:r w:rsidRPr="00183B5F">
        <w:rPr>
          <w:szCs w:val="22"/>
        </w:rPr>
        <w:noBreakHyphen/>
        <w:t>96%</w:t>
      </w:r>
      <w:r w:rsidRPr="00183B5F">
        <w:rPr>
          <w:szCs w:val="22"/>
        </w:rPr>
        <w:noBreakHyphen/>
        <w:t>a volt.</w:t>
      </w:r>
    </w:p>
    <w:p w14:paraId="493638E3" w14:textId="77777777" w:rsidR="00B96312" w:rsidRPr="00183B5F" w:rsidRDefault="00B96312" w:rsidP="004062FE">
      <w:pPr>
        <w:keepNext/>
        <w:spacing w:line="240" w:lineRule="auto"/>
        <w:rPr>
          <w:szCs w:val="22"/>
        </w:rPr>
      </w:pPr>
    </w:p>
    <w:p w14:paraId="403129F1" w14:textId="77777777" w:rsidR="00B96312" w:rsidRPr="00183B5F" w:rsidRDefault="00943743" w:rsidP="0009469D">
      <w:pPr>
        <w:spacing w:line="240" w:lineRule="auto"/>
        <w:rPr>
          <w:szCs w:val="22"/>
        </w:rPr>
      </w:pPr>
      <w:r w:rsidRPr="00183B5F">
        <w:rPr>
          <w:szCs w:val="22"/>
        </w:rPr>
        <w:t>Felnőtt rheumatoid arthritises (RA), metotrexáttal nem kezelt betegeknek minden második héten subcutan beadott 40 mg adalimumab után az átlagos legalacsonyabb dinamikus egyensúlyi állapotban mért koncentráció megközelítőleg 5 </w:t>
      </w:r>
      <w:r w:rsidR="00CB73C8" w:rsidRPr="00183B5F">
        <w:rPr>
          <w:szCs w:val="22"/>
        </w:rPr>
        <w:t>mikrogramm</w:t>
      </w:r>
      <w:r w:rsidRPr="00183B5F">
        <w:rPr>
          <w:szCs w:val="22"/>
        </w:rPr>
        <w:t>/ml volt, míg metotrexáttal együtt alkalmazva ez az érték 8</w:t>
      </w:r>
      <w:r w:rsidRPr="00183B5F">
        <w:rPr>
          <w:szCs w:val="22"/>
        </w:rPr>
        <w:noBreakHyphen/>
        <w:t>9 </w:t>
      </w:r>
      <w:r w:rsidR="00CB73C8" w:rsidRPr="00183B5F">
        <w:rPr>
          <w:szCs w:val="22"/>
        </w:rPr>
        <w:t>mikrogramm</w:t>
      </w:r>
      <w:r w:rsidRPr="00183B5F">
        <w:rPr>
          <w:szCs w:val="22"/>
        </w:rPr>
        <w:t xml:space="preserve">/ml volt. A adalimumab dinamikus egyensúlyi állapotban mért </w:t>
      </w:r>
      <w:r w:rsidR="00703FA3" w:rsidRPr="00183B5F">
        <w:rPr>
          <w:szCs w:val="22"/>
        </w:rPr>
        <w:t xml:space="preserve">minimális </w:t>
      </w:r>
      <w:r w:rsidRPr="00183B5F">
        <w:rPr>
          <w:szCs w:val="22"/>
        </w:rPr>
        <w:t>szérumkoncentrációja csaknem részarányosan nőtt kéthetenként, illetve hetenként subcutan adott 20, 40 illetve 80 mg dózis adagolásával.</w:t>
      </w:r>
    </w:p>
    <w:p w14:paraId="3922D559" w14:textId="77777777" w:rsidR="00764497" w:rsidRPr="00183B5F" w:rsidRDefault="00764497" w:rsidP="004062FE">
      <w:pPr>
        <w:spacing w:line="240" w:lineRule="auto"/>
        <w:rPr>
          <w:szCs w:val="22"/>
        </w:rPr>
      </w:pPr>
    </w:p>
    <w:p w14:paraId="085F8629" w14:textId="77777777" w:rsidR="00764497" w:rsidRPr="00183B5F" w:rsidRDefault="00943743" w:rsidP="004062FE">
      <w:pPr>
        <w:spacing w:line="240" w:lineRule="auto"/>
        <w:rPr>
          <w:szCs w:val="22"/>
        </w:rPr>
      </w:pPr>
      <w:r w:rsidRPr="00183B5F">
        <w:rPr>
          <w:szCs w:val="22"/>
        </w:rPr>
        <w:t>Psoriasisos felnőtt betegek esetében a legalacsonyabb egyensúlyi plazmakoncentráció átlagértéke 5 </w:t>
      </w:r>
      <w:r w:rsidR="00A033CB" w:rsidRPr="00183B5F">
        <w:rPr>
          <w:szCs w:val="22"/>
        </w:rPr>
        <w:t>mikrogramm</w:t>
      </w:r>
      <w:r w:rsidRPr="00183B5F">
        <w:rPr>
          <w:szCs w:val="22"/>
        </w:rPr>
        <w:t>/ml volt a kéthetente 40 mg adalimumabbal végzett monoterápiás kezelés esetén.</w:t>
      </w:r>
    </w:p>
    <w:p w14:paraId="53AA89AB" w14:textId="77777777" w:rsidR="00764497" w:rsidRPr="00183B5F" w:rsidRDefault="00764497" w:rsidP="004062FE">
      <w:pPr>
        <w:spacing w:line="240" w:lineRule="auto"/>
        <w:rPr>
          <w:szCs w:val="22"/>
        </w:rPr>
      </w:pPr>
    </w:p>
    <w:p w14:paraId="5070367E" w14:textId="77777777" w:rsidR="00764497" w:rsidRPr="00183B5F" w:rsidRDefault="00943743" w:rsidP="004062FE">
      <w:pPr>
        <w:spacing w:line="240" w:lineRule="auto"/>
        <w:rPr>
          <w:szCs w:val="22"/>
        </w:rPr>
      </w:pPr>
      <w:r w:rsidRPr="00183B5F">
        <w:rPr>
          <w:szCs w:val="22"/>
        </w:rPr>
        <w:t>A hidradenitis suppurativában szenvedő felnőtt betegeknél a Humira 160 mg</w:t>
      </w:r>
      <w:r w:rsidR="00E5381A" w:rsidRPr="00183B5F">
        <w:rPr>
          <w:szCs w:val="22"/>
        </w:rPr>
        <w:noBreakHyphen/>
      </w:r>
      <w:r w:rsidRPr="00183B5F">
        <w:rPr>
          <w:szCs w:val="22"/>
        </w:rPr>
        <w:t>os adagja a 0. héten, majd 80 mg a 2. héten kb. 7</w:t>
      </w:r>
      <w:r w:rsidRPr="00183B5F">
        <w:rPr>
          <w:szCs w:val="22"/>
        </w:rPr>
        <w:noBreakHyphen/>
        <w:t>8 </w:t>
      </w:r>
      <w:r w:rsidR="00A033CB" w:rsidRPr="00183B5F">
        <w:rPr>
          <w:szCs w:val="22"/>
        </w:rPr>
        <w:t>mikrogramm</w:t>
      </w:r>
      <w:r w:rsidRPr="00183B5F">
        <w:rPr>
          <w:szCs w:val="22"/>
        </w:rPr>
        <w:t>/ml-es minimális adalimumab</w:t>
      </w:r>
      <w:r w:rsidR="00FD08D3" w:rsidRPr="00183B5F">
        <w:rPr>
          <w:szCs w:val="22"/>
        </w:rPr>
        <w:t>-</w:t>
      </w:r>
      <w:r w:rsidRPr="00183B5F">
        <w:rPr>
          <w:szCs w:val="22"/>
        </w:rPr>
        <w:t>szérumszintet eredményezett a 2. és 4 héten. Megközelítőleg 8</w:t>
      </w:r>
      <w:r w:rsidRPr="00183B5F">
        <w:rPr>
          <w:szCs w:val="22"/>
        </w:rPr>
        <w:noBreakHyphen/>
        <w:t>10 </w:t>
      </w:r>
      <w:r w:rsidR="00A033CB" w:rsidRPr="00183B5F">
        <w:rPr>
          <w:szCs w:val="22"/>
        </w:rPr>
        <w:t>mikrogramm</w:t>
      </w:r>
      <w:r w:rsidRPr="00183B5F">
        <w:rPr>
          <w:szCs w:val="22"/>
        </w:rPr>
        <w:t>/ml</w:t>
      </w:r>
      <w:r w:rsidRPr="00183B5F">
        <w:rPr>
          <w:szCs w:val="22"/>
        </w:rPr>
        <w:noBreakHyphen/>
        <w:t>es átlagos dinamikus egyensúlyi állapotú minimális szérumszintet mértek a 12. héttől a 36. hétig, a hetente 40 mg adalimumab</w:t>
      </w:r>
      <w:r w:rsidR="006B34D6" w:rsidRPr="00183B5F">
        <w:rPr>
          <w:szCs w:val="22"/>
        </w:rPr>
        <w:t>-</w:t>
      </w:r>
      <w:r w:rsidRPr="00183B5F">
        <w:rPr>
          <w:szCs w:val="22"/>
        </w:rPr>
        <w:t>kezelés alatt.</w:t>
      </w:r>
    </w:p>
    <w:p w14:paraId="7BE763A6" w14:textId="77777777" w:rsidR="00764497" w:rsidRPr="00183B5F" w:rsidRDefault="00764497" w:rsidP="004062FE">
      <w:pPr>
        <w:spacing w:line="240" w:lineRule="auto"/>
        <w:rPr>
          <w:szCs w:val="22"/>
        </w:rPr>
      </w:pPr>
    </w:p>
    <w:p w14:paraId="76E6DC60" w14:textId="77777777" w:rsidR="00764497" w:rsidRPr="00183B5F" w:rsidRDefault="00943743">
      <w:pPr>
        <w:pStyle w:val="EMEANormal"/>
        <w:rPr>
          <w:szCs w:val="22"/>
          <w:lang w:val="hu-HU"/>
        </w:rPr>
      </w:pPr>
      <w:r w:rsidRPr="00183B5F">
        <w:rPr>
          <w:szCs w:val="22"/>
          <w:lang w:val="hu-HU"/>
        </w:rPr>
        <w:t xml:space="preserve">Az adalimumab expozícióját HS-ben szenvedő serdülőknél populációs farmakokinetikai modellezéssel és szimulációval határozták meg, egyéb keresztindikációs gyermekgyógyászati betegek (gyermekkori psoriasis, juvenilis idiopathiás arthritis, gyermekkori Crohn-betegség és </w:t>
      </w:r>
      <w:r w:rsidR="00677908" w:rsidRPr="00183B5F">
        <w:rPr>
          <w:szCs w:val="22"/>
          <w:lang w:val="hu-HU"/>
        </w:rPr>
        <w:t>enthesitis-asszociált</w:t>
      </w:r>
      <w:r w:rsidRPr="00183B5F">
        <w:rPr>
          <w:szCs w:val="22"/>
          <w:lang w:val="hu-HU"/>
        </w:rPr>
        <w:t xml:space="preserve"> arthritis) farmakokinetikája alapján. HS-ben szenvedő serdülőknél az ajánlott adag 40 mg minden második héten. Mivel az adalimumab expozícióját a testméret befolyásolhatja, a nagyobb testtömegű serdülők</w:t>
      </w:r>
      <w:r w:rsidR="003265C1" w:rsidRPr="00183B5F">
        <w:rPr>
          <w:szCs w:val="22"/>
          <w:lang w:val="hu-HU"/>
        </w:rPr>
        <w:t>nél</w:t>
      </w:r>
      <w:r w:rsidRPr="00183B5F">
        <w:rPr>
          <w:szCs w:val="22"/>
          <w:lang w:val="hu-HU"/>
        </w:rPr>
        <w:t xml:space="preserve">, vagy </w:t>
      </w:r>
      <w:r w:rsidR="003265C1" w:rsidRPr="00183B5F">
        <w:rPr>
          <w:szCs w:val="22"/>
          <w:lang w:val="hu-HU"/>
        </w:rPr>
        <w:t xml:space="preserve">azoknál, </w:t>
      </w:r>
      <w:r w:rsidRPr="00183B5F">
        <w:rPr>
          <w:szCs w:val="22"/>
          <w:lang w:val="hu-HU"/>
        </w:rPr>
        <w:t>akik nem megfelelően reagáltak a kezelésre, előnyös lehet, a dózis heti 40 mg</w:t>
      </w:r>
      <w:r w:rsidR="00E5381A" w:rsidRPr="00183B5F">
        <w:rPr>
          <w:szCs w:val="22"/>
          <w:lang w:val="hu-HU"/>
        </w:rPr>
        <w:noBreakHyphen/>
      </w:r>
      <w:r w:rsidRPr="00183B5F">
        <w:rPr>
          <w:szCs w:val="22"/>
          <w:lang w:val="hu-HU"/>
        </w:rPr>
        <w:t>os, felnőtt adagra való növelése.</w:t>
      </w:r>
    </w:p>
    <w:p w14:paraId="11A13F7F" w14:textId="77777777" w:rsidR="00764497" w:rsidRPr="00183B5F" w:rsidRDefault="00764497" w:rsidP="004062FE">
      <w:pPr>
        <w:spacing w:line="240" w:lineRule="auto"/>
        <w:rPr>
          <w:szCs w:val="22"/>
        </w:rPr>
      </w:pPr>
    </w:p>
    <w:p w14:paraId="720D9EE9" w14:textId="77777777" w:rsidR="00764497" w:rsidRPr="00183B5F" w:rsidRDefault="00943743" w:rsidP="004062FE">
      <w:pPr>
        <w:spacing w:line="240" w:lineRule="auto"/>
        <w:rPr>
          <w:szCs w:val="22"/>
        </w:rPr>
      </w:pPr>
      <w:r w:rsidRPr="00183B5F">
        <w:rPr>
          <w:szCs w:val="22"/>
        </w:rPr>
        <w:t>Crohn</w:t>
      </w:r>
      <w:r w:rsidRPr="00183B5F">
        <w:rPr>
          <w:szCs w:val="22"/>
        </w:rPr>
        <w:noBreakHyphen/>
        <w:t>betegségben szenvedő betegeknél a Humira 80 mg</w:t>
      </w:r>
      <w:r w:rsidRPr="00183B5F">
        <w:rPr>
          <w:szCs w:val="22"/>
        </w:rPr>
        <w:noBreakHyphen/>
        <w:t>os telítő adagja a 0. héten, majd 40 mg a 2. héten kb. 5,5 </w:t>
      </w:r>
      <w:r w:rsidR="00A033CB" w:rsidRPr="00183B5F">
        <w:rPr>
          <w:szCs w:val="22"/>
        </w:rPr>
        <w:t>mikrogramm</w:t>
      </w:r>
      <w:r w:rsidRPr="00183B5F">
        <w:rPr>
          <w:szCs w:val="22"/>
        </w:rPr>
        <w:t>/ml-es minimális adalimumab</w:t>
      </w:r>
      <w:r w:rsidR="00FD08D3" w:rsidRPr="00183B5F">
        <w:rPr>
          <w:szCs w:val="22"/>
        </w:rPr>
        <w:t>-</w:t>
      </w:r>
      <w:r w:rsidRPr="00183B5F">
        <w:rPr>
          <w:szCs w:val="22"/>
        </w:rPr>
        <w:t>szérumszintet eredményez az indukció időszakában. A 0. héten 160 mg</w:t>
      </w:r>
      <w:r w:rsidR="00E5381A" w:rsidRPr="00183B5F">
        <w:rPr>
          <w:szCs w:val="22"/>
        </w:rPr>
        <w:noBreakHyphen/>
      </w:r>
      <w:r w:rsidRPr="00183B5F">
        <w:rPr>
          <w:szCs w:val="22"/>
        </w:rPr>
        <w:t>os telítő dózist, majd a 2. héten 80 mg Humira</w:t>
      </w:r>
      <w:r w:rsidRPr="00183B5F">
        <w:rPr>
          <w:szCs w:val="22"/>
        </w:rPr>
        <w:noBreakHyphen/>
        <w:t>t adva az adalimumab minimális szérumszintje kb. 12 </w:t>
      </w:r>
      <w:r w:rsidR="00A033CB" w:rsidRPr="00183B5F">
        <w:rPr>
          <w:szCs w:val="22"/>
        </w:rPr>
        <w:t>mikrogramm</w:t>
      </w:r>
      <w:r w:rsidRPr="00183B5F">
        <w:rPr>
          <w:szCs w:val="22"/>
        </w:rPr>
        <w:t>/ml-ot ér el az indukció időszakában. Megközelítőleg 7 </w:t>
      </w:r>
      <w:r w:rsidR="00A033CB" w:rsidRPr="00183B5F">
        <w:rPr>
          <w:szCs w:val="22"/>
        </w:rPr>
        <w:t>mikrogramm</w:t>
      </w:r>
      <w:r w:rsidRPr="00183B5F">
        <w:rPr>
          <w:szCs w:val="22"/>
        </w:rPr>
        <w:t>/ml egyensúlyi minimális szérumszintet mértek olyan Crohn</w:t>
      </w:r>
      <w:r w:rsidRPr="00183B5F">
        <w:rPr>
          <w:szCs w:val="22"/>
        </w:rPr>
        <w:noBreakHyphen/>
        <w:t>betegségben szenvedő betegeknél, akik minden második héten 40 mg Hu</w:t>
      </w:r>
      <w:r w:rsidRPr="00183B5F">
        <w:rPr>
          <w:szCs w:val="22"/>
        </w:rPr>
        <w:t>mira</w:t>
      </w:r>
      <w:r w:rsidRPr="00183B5F">
        <w:rPr>
          <w:szCs w:val="22"/>
        </w:rPr>
        <w:noBreakHyphen/>
        <w:t>t kaptak fenntartó adagként.</w:t>
      </w:r>
    </w:p>
    <w:p w14:paraId="0F963E31" w14:textId="77777777" w:rsidR="00764497" w:rsidRPr="00183B5F" w:rsidRDefault="00764497" w:rsidP="004062FE">
      <w:pPr>
        <w:spacing w:line="240" w:lineRule="auto"/>
        <w:rPr>
          <w:szCs w:val="22"/>
        </w:rPr>
      </w:pPr>
    </w:p>
    <w:p w14:paraId="11DCA6DC" w14:textId="77777777" w:rsidR="00764497" w:rsidRPr="00183B5F" w:rsidRDefault="00943743">
      <w:pPr>
        <w:pStyle w:val="EMEANormal"/>
        <w:rPr>
          <w:szCs w:val="22"/>
          <w:lang w:val="hu-HU"/>
        </w:rPr>
      </w:pPr>
      <w:r w:rsidRPr="00183B5F">
        <w:rPr>
          <w:szCs w:val="22"/>
          <w:lang w:val="hu-HU"/>
        </w:rPr>
        <w:t>Köz</w:t>
      </w:r>
      <w:r w:rsidR="00703FA3" w:rsidRPr="00183B5F">
        <w:rPr>
          <w:szCs w:val="22"/>
          <w:lang w:val="hu-HU"/>
        </w:rPr>
        <w:t xml:space="preserve">epesen </w:t>
      </w:r>
      <w:r w:rsidRPr="00183B5F">
        <w:rPr>
          <w:szCs w:val="22"/>
          <w:lang w:val="hu-HU"/>
        </w:rPr>
        <w:t>súlyos</w:t>
      </w:r>
      <w:r w:rsidR="00703FA3" w:rsidRPr="00183B5F">
        <w:rPr>
          <w:szCs w:val="22"/>
          <w:lang w:val="hu-HU"/>
        </w:rPr>
        <w:t xml:space="preserve"> </w:t>
      </w:r>
      <w:r w:rsidRPr="00183B5F">
        <w:rPr>
          <w:szCs w:val="22"/>
          <w:lang w:val="hu-HU"/>
        </w:rPr>
        <w:t>-</w:t>
      </w:r>
      <w:r w:rsidR="00703FA3" w:rsidRPr="00183B5F">
        <w:rPr>
          <w:szCs w:val="22"/>
          <w:lang w:val="hu-HU"/>
        </w:rPr>
        <w:t xml:space="preserve"> </w:t>
      </w:r>
      <w:r w:rsidRPr="00183B5F">
        <w:rPr>
          <w:szCs w:val="22"/>
          <w:lang w:val="hu-HU"/>
        </w:rPr>
        <w:t xml:space="preserve">súlyos </w:t>
      </w:r>
      <w:r w:rsidR="00703FA3" w:rsidRPr="00183B5F">
        <w:rPr>
          <w:szCs w:val="22"/>
          <w:lang w:val="hu-HU"/>
        </w:rPr>
        <w:t xml:space="preserve">aktivitású </w:t>
      </w:r>
      <w:r w:rsidRPr="00183B5F">
        <w:rPr>
          <w:szCs w:val="22"/>
          <w:lang w:val="hu-HU"/>
        </w:rPr>
        <w:t>Crohn</w:t>
      </w:r>
      <w:r w:rsidRPr="00183B5F">
        <w:rPr>
          <w:szCs w:val="22"/>
          <w:lang w:val="hu-HU"/>
        </w:rPr>
        <w:noBreakHyphen/>
        <w:t xml:space="preserve">betegségben szenvedő </w:t>
      </w:r>
      <w:r w:rsidR="00CB73C8" w:rsidRPr="00183B5F">
        <w:rPr>
          <w:szCs w:val="22"/>
          <w:lang w:val="hu-HU"/>
        </w:rPr>
        <w:t>gyermekeknél és serdülőknél</w:t>
      </w:r>
      <w:r w:rsidRPr="00183B5F">
        <w:rPr>
          <w:szCs w:val="22"/>
          <w:lang w:val="hu-HU"/>
        </w:rPr>
        <w:t xml:space="preserve"> az adalimumab nyílt elrendezésben alkalmazott indukciós dózisa 160/80 mg, illetve 80/40 mg volt a 0. és a 2. héten, figyelembe véve a testtömegre meghatározott 40 kg-os határértéket. A 4. héten a betegeket 1:1 arányban Standard dózisú (40/20 mg minden második héten) vagy Alacsony dózisú (20/10 mg minden második héten) fenntartó kezelési csoportba randomizálták a testtömegük alapján. A 4. hétre elért átlag (±SD) maradék szérum</w:t>
      </w:r>
      <w:r w:rsidR="00CB73C8" w:rsidRPr="00183B5F">
        <w:rPr>
          <w:szCs w:val="22"/>
          <w:lang w:val="hu-HU"/>
        </w:rPr>
        <w:t>-</w:t>
      </w:r>
      <w:r w:rsidRPr="00183B5F">
        <w:rPr>
          <w:szCs w:val="22"/>
          <w:lang w:val="hu-HU"/>
        </w:rPr>
        <w:t>adalimumab-koncentráció 15,7±6,6 </w:t>
      </w:r>
      <w:r w:rsidR="00CB73C8" w:rsidRPr="00183B5F">
        <w:rPr>
          <w:szCs w:val="22"/>
          <w:lang w:val="hu-HU"/>
        </w:rPr>
        <w:t>mikrogramm</w:t>
      </w:r>
      <w:r w:rsidRPr="00183B5F">
        <w:rPr>
          <w:szCs w:val="22"/>
          <w:lang w:val="hu-HU"/>
        </w:rPr>
        <w:t>/ml volt a 40 kg-os, vagy annál nagyob</w:t>
      </w:r>
      <w:r w:rsidRPr="00183B5F">
        <w:rPr>
          <w:szCs w:val="22"/>
          <w:lang w:val="hu-HU"/>
        </w:rPr>
        <w:t>b testtömegű betegeknél (160/80 mg), míg a 40 kg-nál alacsonyabb testtömegű betegeknél (80/40 mg) ez az érték 10,6±6,1 </w:t>
      </w:r>
      <w:r w:rsidR="00CB73C8" w:rsidRPr="00183B5F">
        <w:rPr>
          <w:szCs w:val="22"/>
          <w:lang w:val="hu-HU"/>
        </w:rPr>
        <w:t>mikrogramm</w:t>
      </w:r>
      <w:r w:rsidRPr="00183B5F">
        <w:rPr>
          <w:szCs w:val="22"/>
          <w:lang w:val="hu-HU"/>
        </w:rPr>
        <w:t>/ml volt.</w:t>
      </w:r>
    </w:p>
    <w:p w14:paraId="58F9FD38" w14:textId="77777777" w:rsidR="00764497" w:rsidRPr="00183B5F" w:rsidRDefault="00764497">
      <w:pPr>
        <w:pStyle w:val="EMEANormal"/>
        <w:rPr>
          <w:szCs w:val="22"/>
          <w:lang w:val="hu-HU"/>
        </w:rPr>
      </w:pPr>
    </w:p>
    <w:p w14:paraId="09742922" w14:textId="77777777" w:rsidR="00764497" w:rsidRPr="00183B5F" w:rsidRDefault="00943743">
      <w:pPr>
        <w:pStyle w:val="EMEANormal"/>
        <w:rPr>
          <w:szCs w:val="22"/>
          <w:lang w:val="hu-HU"/>
        </w:rPr>
      </w:pPr>
      <w:r w:rsidRPr="00183B5F">
        <w:rPr>
          <w:szCs w:val="22"/>
          <w:lang w:val="hu-HU"/>
        </w:rPr>
        <w:t>Azoknál a betegeknél, akik a randomizált kezelésen maradtak, az 52. héten az átlagos (±SD)maradék szérum</w:t>
      </w:r>
      <w:r w:rsidR="00CB73C8" w:rsidRPr="00183B5F">
        <w:rPr>
          <w:szCs w:val="22"/>
          <w:lang w:val="hu-HU"/>
        </w:rPr>
        <w:t>-</w:t>
      </w:r>
      <w:r w:rsidRPr="00183B5F">
        <w:rPr>
          <w:szCs w:val="22"/>
          <w:lang w:val="hu-HU"/>
        </w:rPr>
        <w:t>adalimumab-koncentráció a Standard dózissal kezeltek csoportjában 9,5±5,6 </w:t>
      </w:r>
      <w:r w:rsidR="00CB73C8" w:rsidRPr="00183B5F">
        <w:rPr>
          <w:szCs w:val="22"/>
          <w:lang w:val="hu-HU"/>
        </w:rPr>
        <w:t>mikrogramm</w:t>
      </w:r>
      <w:r w:rsidRPr="00183B5F">
        <w:rPr>
          <w:szCs w:val="22"/>
          <w:lang w:val="hu-HU"/>
        </w:rPr>
        <w:t>/ml, míg az Alacsony dózissal kezelteknél 3,5±2,2 </w:t>
      </w:r>
      <w:r w:rsidR="00CB73C8" w:rsidRPr="00183B5F">
        <w:rPr>
          <w:szCs w:val="22"/>
          <w:lang w:val="hu-HU"/>
        </w:rPr>
        <w:t>mikrogramm</w:t>
      </w:r>
      <w:r w:rsidRPr="00183B5F">
        <w:rPr>
          <w:szCs w:val="22"/>
          <w:lang w:val="hu-HU"/>
        </w:rPr>
        <w:t>/ml volt. Az átlagos maradék koncentráció fennmaradt azoknál a betegeknél, akik kéthetenkénti adalimumab-kezelést kaptak az 52. hétig. Azoknál a betegeknél, akiknél a kezelés gyakoriságát kéthetenkéntiről heti egyszerire emelték, az átlagos (±SD) szérum</w:t>
      </w:r>
      <w:r w:rsidR="00CB73C8" w:rsidRPr="00183B5F">
        <w:rPr>
          <w:szCs w:val="22"/>
          <w:lang w:val="hu-HU"/>
        </w:rPr>
        <w:t>-</w:t>
      </w:r>
      <w:r w:rsidRPr="00183B5F">
        <w:rPr>
          <w:szCs w:val="22"/>
          <w:lang w:val="hu-HU"/>
        </w:rPr>
        <w:t>adalimumab-koncentráció az 52. héten 15,3±11,4 </w:t>
      </w:r>
      <w:r w:rsidR="00CB73C8" w:rsidRPr="00183B5F">
        <w:rPr>
          <w:szCs w:val="22"/>
          <w:lang w:val="hu-HU"/>
        </w:rPr>
        <w:t>mikrogramm</w:t>
      </w:r>
      <w:r w:rsidRPr="00183B5F">
        <w:rPr>
          <w:szCs w:val="22"/>
          <w:lang w:val="hu-HU"/>
        </w:rPr>
        <w:t>/ml (40/20 mg hetente), illetve 6,7±3,5 </w:t>
      </w:r>
      <w:r w:rsidR="00CB73C8" w:rsidRPr="00183B5F">
        <w:rPr>
          <w:szCs w:val="22"/>
          <w:lang w:val="hu-HU"/>
        </w:rPr>
        <w:t>mikrogramm</w:t>
      </w:r>
      <w:r w:rsidRPr="00183B5F">
        <w:rPr>
          <w:szCs w:val="22"/>
          <w:lang w:val="hu-HU"/>
        </w:rPr>
        <w:t>/ml (2</w:t>
      </w:r>
      <w:r w:rsidRPr="00183B5F">
        <w:rPr>
          <w:szCs w:val="22"/>
          <w:lang w:val="hu-HU"/>
        </w:rPr>
        <w:t>0/10 mg hetente) volt.</w:t>
      </w:r>
    </w:p>
    <w:p w14:paraId="485AC462" w14:textId="77777777" w:rsidR="00764497" w:rsidRPr="00183B5F" w:rsidRDefault="00764497" w:rsidP="004062FE">
      <w:pPr>
        <w:spacing w:line="240" w:lineRule="auto"/>
        <w:rPr>
          <w:szCs w:val="22"/>
        </w:rPr>
      </w:pPr>
    </w:p>
    <w:p w14:paraId="5D2CC4EF" w14:textId="77777777" w:rsidR="00764497" w:rsidRPr="00183B5F" w:rsidRDefault="00943743" w:rsidP="004062FE">
      <w:pPr>
        <w:spacing w:line="240" w:lineRule="auto"/>
        <w:rPr>
          <w:szCs w:val="22"/>
        </w:rPr>
      </w:pPr>
      <w:r w:rsidRPr="00183B5F">
        <w:rPr>
          <w:szCs w:val="22"/>
        </w:rPr>
        <w:t>A colitis ulcerosában szenvedő betegeknél a Humira 160 mg</w:t>
      </w:r>
      <w:r w:rsidR="00E5381A" w:rsidRPr="00183B5F">
        <w:rPr>
          <w:szCs w:val="22"/>
        </w:rPr>
        <w:noBreakHyphen/>
      </w:r>
      <w:r w:rsidRPr="00183B5F">
        <w:rPr>
          <w:szCs w:val="22"/>
        </w:rPr>
        <w:t>os telítő adagja a 0. héten, majd 80 mg a 2. héten kb. 12 </w:t>
      </w:r>
      <w:r w:rsidR="00A033CB" w:rsidRPr="00183B5F">
        <w:rPr>
          <w:szCs w:val="22"/>
        </w:rPr>
        <w:t>mikrogramm</w:t>
      </w:r>
      <w:r w:rsidRPr="00183B5F">
        <w:rPr>
          <w:szCs w:val="22"/>
        </w:rPr>
        <w:t>/ml-es minimális adalimumab</w:t>
      </w:r>
      <w:r w:rsidR="00FD08D3" w:rsidRPr="00183B5F">
        <w:rPr>
          <w:szCs w:val="22"/>
        </w:rPr>
        <w:t>-</w:t>
      </w:r>
      <w:r w:rsidRPr="00183B5F">
        <w:rPr>
          <w:szCs w:val="22"/>
        </w:rPr>
        <w:t>szérumszintet eredményez az indukció időszakában. Megközelítőleg 8 </w:t>
      </w:r>
      <w:r w:rsidR="00A033CB" w:rsidRPr="00183B5F">
        <w:rPr>
          <w:szCs w:val="22"/>
        </w:rPr>
        <w:t>mikrogramm</w:t>
      </w:r>
      <w:r w:rsidRPr="00183B5F">
        <w:rPr>
          <w:szCs w:val="22"/>
        </w:rPr>
        <w:t>/ml minimális egyensúlyi szérumszintet mértek olyan colitis ulcerosaban szenvedő betegeknél, akik minden második héten 40 mg Humira</w:t>
      </w:r>
      <w:r w:rsidRPr="00183B5F">
        <w:rPr>
          <w:szCs w:val="22"/>
        </w:rPr>
        <w:noBreakHyphen/>
        <w:t>t kaptak fenntartó adagként.</w:t>
      </w:r>
    </w:p>
    <w:p w14:paraId="198BDCCB" w14:textId="77777777" w:rsidR="00764497" w:rsidRPr="00183B5F" w:rsidRDefault="00764497" w:rsidP="004062FE">
      <w:pPr>
        <w:spacing w:line="240" w:lineRule="auto"/>
        <w:rPr>
          <w:szCs w:val="22"/>
        </w:rPr>
      </w:pPr>
    </w:p>
    <w:p w14:paraId="25A214AA" w14:textId="77777777" w:rsidR="00C65171" w:rsidRPr="00183B5F" w:rsidRDefault="00943743" w:rsidP="00C65171">
      <w:r w:rsidRPr="00183B5F">
        <w:t>A colitis ulcerosában szenvedő gyermekeknél</w:t>
      </w:r>
      <w:r w:rsidR="003F6646" w:rsidRPr="00183B5F">
        <w:t xml:space="preserve"> és serdülőknél</w:t>
      </w:r>
      <w:r w:rsidRPr="00183B5F">
        <w:t xml:space="preserve"> subcutan adott, testtömeg-alapú, kéthetente 0,6 mg/ttkg</w:t>
      </w:r>
      <w:r w:rsidRPr="00183B5F">
        <w:noBreakHyphen/>
        <w:t>os (legfeljebb 40 mg) adagolás esetén az átlagos minimális egyensúlyi állapotú szérum adalimumab-koncentráció 5,01±3,28 mikrogramm/ml volt az 52. héten. Azoknál a betegeknél, akik hetente 0,6 mg/ttkg-ot (legfeljebb 40 mg) kaptak, az átlagos (± SD) minimális egyensúlyi állapotú szérum adalimumab-koncentráció 15,7±5,60 mikrogramm/ml volt az 52. héten.</w:t>
      </w:r>
    </w:p>
    <w:p w14:paraId="55FF8B15" w14:textId="77777777" w:rsidR="00A91CF8" w:rsidRPr="00183B5F" w:rsidRDefault="00A91CF8" w:rsidP="004062FE">
      <w:pPr>
        <w:spacing w:line="240" w:lineRule="auto"/>
        <w:rPr>
          <w:szCs w:val="22"/>
        </w:rPr>
      </w:pPr>
    </w:p>
    <w:p w14:paraId="47878FDA" w14:textId="77777777" w:rsidR="00764497" w:rsidRPr="00183B5F" w:rsidRDefault="00943743" w:rsidP="004062FE">
      <w:pPr>
        <w:spacing w:line="240" w:lineRule="auto"/>
        <w:rPr>
          <w:szCs w:val="22"/>
        </w:rPr>
      </w:pPr>
      <w:r w:rsidRPr="00183B5F">
        <w:rPr>
          <w:szCs w:val="22"/>
        </w:rPr>
        <w:t xml:space="preserve">Uveitisben szenvedő </w:t>
      </w:r>
      <w:r w:rsidR="007809D6" w:rsidRPr="00183B5F">
        <w:rPr>
          <w:szCs w:val="22"/>
        </w:rPr>
        <w:t xml:space="preserve">felnőtt </w:t>
      </w:r>
      <w:r w:rsidRPr="00183B5F">
        <w:rPr>
          <w:szCs w:val="22"/>
        </w:rPr>
        <w:t>betegeknél a 80 mg</w:t>
      </w:r>
      <w:r w:rsidRPr="00183B5F">
        <w:rPr>
          <w:szCs w:val="22"/>
        </w:rPr>
        <w:noBreakHyphen/>
        <w:t>os telítő adag a 0. héten, melyet minden második héten beadott 40 mg követ az 1. héttől kezdve, hozzávetőlegesen 8</w:t>
      </w:r>
      <w:r w:rsidRPr="00183B5F">
        <w:rPr>
          <w:szCs w:val="22"/>
        </w:rPr>
        <w:noBreakHyphen/>
        <w:t>10 </w:t>
      </w:r>
      <w:r w:rsidR="00A033CB" w:rsidRPr="00183B5F">
        <w:rPr>
          <w:szCs w:val="22"/>
        </w:rPr>
        <w:t>mikrogramm</w:t>
      </w:r>
      <w:r w:rsidRPr="00183B5F">
        <w:rPr>
          <w:szCs w:val="22"/>
        </w:rPr>
        <w:t>/ml átlagos egyensúlyi koncentrációt eredményezett.</w:t>
      </w:r>
    </w:p>
    <w:p w14:paraId="36A67543" w14:textId="77777777" w:rsidR="00764497" w:rsidRPr="00183B5F" w:rsidRDefault="00764497" w:rsidP="004062FE">
      <w:pPr>
        <w:spacing w:line="240" w:lineRule="auto"/>
        <w:rPr>
          <w:szCs w:val="22"/>
        </w:rPr>
      </w:pPr>
    </w:p>
    <w:p w14:paraId="2AED67BA" w14:textId="77777777" w:rsidR="00C927B3" w:rsidRPr="00183B5F" w:rsidRDefault="00943743">
      <w:pPr>
        <w:pStyle w:val="EMEANormal"/>
        <w:rPr>
          <w:szCs w:val="22"/>
          <w:lang w:val="hu-HU"/>
        </w:rPr>
      </w:pPr>
      <w:r w:rsidRPr="00183B5F">
        <w:rPr>
          <w:szCs w:val="22"/>
          <w:lang w:val="hu-HU"/>
        </w:rPr>
        <w:t xml:space="preserve">Az adalimumab expozícióját gyermekeknél populációs farmakokinetikai modellezéssel és szimulációval határozták meg egyéb keresztindikációs gyermekgyógyászati betegek (gyermekkori psoriasis, juvenilis idiopathiás arthritis, gyermekkori Crohn-betegség és </w:t>
      </w:r>
      <w:r w:rsidR="00677908" w:rsidRPr="00183B5F">
        <w:rPr>
          <w:szCs w:val="22"/>
          <w:lang w:val="hu-HU"/>
        </w:rPr>
        <w:t>enthesitis-asszociált</w:t>
      </w:r>
      <w:r w:rsidRPr="00183B5F">
        <w:rPr>
          <w:szCs w:val="22"/>
          <w:lang w:val="hu-HU"/>
        </w:rPr>
        <w:t xml:space="preserve"> arthritis) farmakokinetikája alapján. Nem állnak rendelkezésre klinikai expozíciós adatok a telí</w:t>
      </w:r>
      <w:r w:rsidR="009129E3" w:rsidRPr="00183B5F">
        <w:rPr>
          <w:szCs w:val="22"/>
          <w:lang w:val="hu-HU"/>
        </w:rPr>
        <w:t>tő dózis 6 évnél fiatalabb gyer</w:t>
      </w:r>
      <w:r w:rsidRPr="00183B5F">
        <w:rPr>
          <w:szCs w:val="22"/>
          <w:lang w:val="hu-HU"/>
        </w:rPr>
        <w:t>mekeknél történő alkalmazásá</w:t>
      </w:r>
      <w:r w:rsidR="00997B75" w:rsidRPr="00183B5F">
        <w:rPr>
          <w:szCs w:val="22"/>
          <w:lang w:val="hu-HU"/>
        </w:rPr>
        <w:t>ról</w:t>
      </w:r>
      <w:r w:rsidRPr="00183B5F">
        <w:rPr>
          <w:szCs w:val="22"/>
          <w:lang w:val="hu-HU"/>
        </w:rPr>
        <w:t>. A várható expozíció alapján metotrexát hiányában a telítő dózis a szisztémás expozíció kezdeti növekedé</w:t>
      </w:r>
      <w:r w:rsidR="00667947" w:rsidRPr="00183B5F">
        <w:rPr>
          <w:szCs w:val="22"/>
          <w:lang w:val="hu-HU"/>
        </w:rPr>
        <w:t>sé</w:t>
      </w:r>
      <w:r w:rsidRPr="00183B5F">
        <w:rPr>
          <w:szCs w:val="22"/>
          <w:lang w:val="hu-HU"/>
        </w:rPr>
        <w:t>hez vezethet.</w:t>
      </w:r>
    </w:p>
    <w:p w14:paraId="70B122FC" w14:textId="77777777" w:rsidR="00B96312" w:rsidRPr="00183B5F" w:rsidRDefault="00B96312">
      <w:pPr>
        <w:pStyle w:val="EMEANormal"/>
        <w:rPr>
          <w:szCs w:val="22"/>
          <w:lang w:val="hu-HU"/>
        </w:rPr>
      </w:pPr>
    </w:p>
    <w:p w14:paraId="56980446" w14:textId="77777777" w:rsidR="00B96312" w:rsidRPr="00183B5F" w:rsidRDefault="00943743" w:rsidP="0009469D">
      <w:pPr>
        <w:spacing w:line="240" w:lineRule="auto"/>
        <w:rPr>
          <w:szCs w:val="22"/>
          <w:u w:val="single"/>
        </w:rPr>
      </w:pPr>
      <w:r w:rsidRPr="00183B5F">
        <w:rPr>
          <w:szCs w:val="22"/>
        </w:rPr>
        <w:t xml:space="preserve">A populációs farmakokinetikai és farmakokinetikai/farmakodinámás modellezés és szimuláció </w:t>
      </w:r>
      <w:r w:rsidR="001A247E" w:rsidRPr="00183B5F">
        <w:rPr>
          <w:szCs w:val="22"/>
        </w:rPr>
        <w:t>hasonló</w:t>
      </w:r>
      <w:r w:rsidRPr="00183B5F">
        <w:rPr>
          <w:szCs w:val="22"/>
        </w:rPr>
        <w:t xml:space="preserve"> adalimumab</w:t>
      </w:r>
      <w:r w:rsidR="00AE4B5C" w:rsidRPr="00183B5F">
        <w:rPr>
          <w:szCs w:val="22"/>
        </w:rPr>
        <w:noBreakHyphen/>
      </w:r>
      <w:r w:rsidRPr="00183B5F">
        <w:rPr>
          <w:szCs w:val="22"/>
        </w:rPr>
        <w:t>expozíció</w:t>
      </w:r>
      <w:r w:rsidR="001A247E" w:rsidRPr="00183B5F">
        <w:rPr>
          <w:szCs w:val="22"/>
        </w:rPr>
        <w:t>t</w:t>
      </w:r>
      <w:r w:rsidRPr="00183B5F">
        <w:rPr>
          <w:szCs w:val="22"/>
        </w:rPr>
        <w:t xml:space="preserve"> és hatásosság</w:t>
      </w:r>
      <w:r w:rsidR="001A247E" w:rsidRPr="00183B5F">
        <w:rPr>
          <w:szCs w:val="22"/>
        </w:rPr>
        <w:t>ot</w:t>
      </w:r>
      <w:r w:rsidRPr="00183B5F">
        <w:rPr>
          <w:szCs w:val="22"/>
        </w:rPr>
        <w:t xml:space="preserve"> </w:t>
      </w:r>
      <w:r w:rsidR="001A247E" w:rsidRPr="00183B5F">
        <w:rPr>
          <w:szCs w:val="22"/>
        </w:rPr>
        <w:t xml:space="preserve">prognosztizált </w:t>
      </w:r>
      <w:r w:rsidRPr="00183B5F">
        <w:rPr>
          <w:szCs w:val="22"/>
        </w:rPr>
        <w:t xml:space="preserve">azoknál a betegeknél, akiket minden második héten 80 mg-mal kezeltek, </w:t>
      </w:r>
      <w:r w:rsidR="001A247E" w:rsidRPr="00183B5F">
        <w:rPr>
          <w:szCs w:val="22"/>
        </w:rPr>
        <w:t>és azoknál,</w:t>
      </w:r>
      <w:r w:rsidRPr="00183B5F">
        <w:rPr>
          <w:szCs w:val="22"/>
        </w:rPr>
        <w:t xml:space="preserve"> akiket hetente 40 mg</w:t>
      </w:r>
      <w:r w:rsidRPr="00183B5F">
        <w:rPr>
          <w:szCs w:val="22"/>
        </w:rPr>
        <w:noBreakHyphen/>
        <w:t xml:space="preserve">mal kezeltek (ideértve a rheumatoid arthritisben, hidradenitis suppurativában, colitis ulcerosában, Crohn-betegségben vagy psoriasisban szenvedő felnőtt betegeket, serdülőkori HS-ben szenvedő betegeket és legalább 40 kg testtömegű, Crohn-betegségben </w:t>
      </w:r>
      <w:r w:rsidR="002B0FC0" w:rsidRPr="00183B5F">
        <w:rPr>
          <w:szCs w:val="22"/>
        </w:rPr>
        <w:t xml:space="preserve">és colitis ulcerosában </w:t>
      </w:r>
      <w:r w:rsidRPr="00183B5F">
        <w:rPr>
          <w:szCs w:val="22"/>
        </w:rPr>
        <w:t>szenvedő gyermekeket</w:t>
      </w:r>
      <w:r w:rsidR="001A247E" w:rsidRPr="00183B5F">
        <w:rPr>
          <w:szCs w:val="22"/>
        </w:rPr>
        <w:t xml:space="preserve"> is</w:t>
      </w:r>
      <w:r w:rsidRPr="00183B5F">
        <w:rPr>
          <w:szCs w:val="22"/>
        </w:rPr>
        <w:t>).</w:t>
      </w:r>
    </w:p>
    <w:p w14:paraId="20E8CC78" w14:textId="77777777" w:rsidR="000807DC" w:rsidRPr="00183B5F" w:rsidRDefault="000807DC">
      <w:pPr>
        <w:pStyle w:val="EMEANormal"/>
        <w:keepNext/>
        <w:rPr>
          <w:szCs w:val="22"/>
          <w:lang w:val="hu-HU"/>
        </w:rPr>
      </w:pPr>
    </w:p>
    <w:p w14:paraId="1DF8E5AC" w14:textId="77777777" w:rsidR="000807DC" w:rsidRPr="00183B5F" w:rsidRDefault="00943743">
      <w:pPr>
        <w:pStyle w:val="EMEANormal"/>
        <w:keepNext/>
        <w:rPr>
          <w:szCs w:val="22"/>
          <w:u w:val="single"/>
          <w:lang w:val="hu-HU"/>
        </w:rPr>
      </w:pPr>
      <w:r w:rsidRPr="00183B5F">
        <w:rPr>
          <w:szCs w:val="22"/>
          <w:u w:val="single"/>
          <w:lang w:val="hu-HU"/>
        </w:rPr>
        <w:t>Dózis-hatás összefüggés gyermek</w:t>
      </w:r>
      <w:r w:rsidR="00FD08D3" w:rsidRPr="00183B5F">
        <w:rPr>
          <w:szCs w:val="22"/>
          <w:u w:val="single"/>
          <w:lang w:val="hu-HU"/>
        </w:rPr>
        <w:t>eknél és serdülőknél</w:t>
      </w:r>
    </w:p>
    <w:p w14:paraId="708FB54C" w14:textId="77777777" w:rsidR="00FC288C" w:rsidRPr="00183B5F" w:rsidRDefault="00FC288C">
      <w:pPr>
        <w:pStyle w:val="EMEANormal"/>
        <w:keepNext/>
        <w:rPr>
          <w:szCs w:val="22"/>
          <w:u w:val="single"/>
          <w:lang w:val="hu-HU"/>
        </w:rPr>
      </w:pPr>
    </w:p>
    <w:p w14:paraId="542B1F31" w14:textId="77777777" w:rsidR="000807DC" w:rsidRPr="00183B5F" w:rsidRDefault="00943743" w:rsidP="004062FE">
      <w:pPr>
        <w:keepNext/>
        <w:spacing w:line="240" w:lineRule="auto"/>
      </w:pPr>
      <w:r w:rsidRPr="00183B5F">
        <w:t xml:space="preserve">JIA-ban (pJIA és ERA) szenvedő betegeknél végzett klinikai vizsgálati adatok alapján állapították meg a dózis-hatás összefüggést a plazmakoncentrációk és a Pediátriai ACR 50 válasz között. Az adalimumab látszólagos </w:t>
      </w:r>
      <w:r w:rsidR="000C5B43" w:rsidRPr="00183B5F">
        <w:t>plazma</w:t>
      </w:r>
      <w:r w:rsidRPr="00183B5F">
        <w:t>koncentrációja, ami a Pediátriai ACR 50 válasz maximális valószínűsége felének eléréséhez szükséges (EC50)</w:t>
      </w:r>
      <w:r w:rsidR="00703FA3" w:rsidRPr="00183B5F">
        <w:t>,</w:t>
      </w:r>
      <w:r w:rsidRPr="00183B5F">
        <w:t xml:space="preserve"> 3 </w:t>
      </w:r>
      <w:r w:rsidR="00CB73C8" w:rsidRPr="00183B5F">
        <w:t>mikrogramm</w:t>
      </w:r>
      <w:r w:rsidRPr="00183B5F">
        <w:t>/ml (95%</w:t>
      </w:r>
      <w:r w:rsidR="00703FA3" w:rsidRPr="00183B5F">
        <w:t>-os</w:t>
      </w:r>
      <w:r w:rsidRPr="00183B5F">
        <w:t xml:space="preserve"> CI: 1</w:t>
      </w:r>
      <w:r w:rsidRPr="00183B5F">
        <w:noBreakHyphen/>
        <w:t>6 </w:t>
      </w:r>
      <w:r w:rsidR="00CB73C8" w:rsidRPr="00183B5F">
        <w:t>mikrogramm</w:t>
      </w:r>
      <w:r w:rsidRPr="00183B5F">
        <w:t>/ml) volt.</w:t>
      </w:r>
    </w:p>
    <w:p w14:paraId="15587AF0" w14:textId="77777777" w:rsidR="000807DC" w:rsidRPr="00183B5F" w:rsidRDefault="000807DC" w:rsidP="004062FE">
      <w:pPr>
        <w:autoSpaceDE w:val="0"/>
        <w:autoSpaceDN w:val="0"/>
        <w:adjustRightInd w:val="0"/>
        <w:spacing w:line="240" w:lineRule="auto"/>
      </w:pPr>
    </w:p>
    <w:p w14:paraId="7E70FE62" w14:textId="77777777" w:rsidR="000807DC" w:rsidRPr="00183B5F" w:rsidRDefault="00943743" w:rsidP="004062FE">
      <w:pPr>
        <w:autoSpaceDE w:val="0"/>
        <w:autoSpaceDN w:val="0"/>
        <w:adjustRightInd w:val="0"/>
        <w:spacing w:line="240" w:lineRule="auto"/>
        <w:rPr>
          <w:szCs w:val="22"/>
        </w:rPr>
      </w:pPr>
      <w:r w:rsidRPr="00183B5F">
        <w:t xml:space="preserve">Az adalimumab koncentrációja és hatásossága közötti dózis-hatás összefüggést a súlyos, krónikus plakkos psoriasisban szenvedő gyermekeknél a PASI 75 és PGA </w:t>
      </w:r>
      <w:r w:rsidR="00F23D70" w:rsidRPr="00183B5F">
        <w:t xml:space="preserve">szerinti </w:t>
      </w:r>
      <w:r w:rsidRPr="00183B5F">
        <w:t xml:space="preserve">tiszta vagy minimális értékre vonatkozóan állapították meg. A </w:t>
      </w:r>
      <w:r w:rsidRPr="00183B5F">
        <w:rPr>
          <w:szCs w:val="22"/>
        </w:rPr>
        <w:t>PASI 75 és PGA</w:t>
      </w:r>
      <w:r w:rsidR="00F23D70" w:rsidRPr="00183B5F">
        <w:rPr>
          <w:szCs w:val="22"/>
        </w:rPr>
        <w:t xml:space="preserve"> szerinti</w:t>
      </w:r>
      <w:r w:rsidRPr="00183B5F">
        <w:rPr>
          <w:szCs w:val="22"/>
        </w:rPr>
        <w:t xml:space="preserve"> tiszta vagy minimális értéke emelkedett </w:t>
      </w:r>
      <w:r w:rsidR="000C5B43" w:rsidRPr="00183B5F">
        <w:rPr>
          <w:szCs w:val="22"/>
        </w:rPr>
        <w:t xml:space="preserve">a </w:t>
      </w:r>
      <w:r w:rsidRPr="00183B5F">
        <w:rPr>
          <w:szCs w:val="22"/>
        </w:rPr>
        <w:t>növekvő adalimumab-koncentráció</w:t>
      </w:r>
      <w:r w:rsidR="000C5B43" w:rsidRPr="00183B5F">
        <w:rPr>
          <w:szCs w:val="22"/>
        </w:rPr>
        <w:t>kkal</w:t>
      </w:r>
      <w:r w:rsidRPr="00183B5F">
        <w:rPr>
          <w:szCs w:val="22"/>
        </w:rPr>
        <w:t>, mindkettő hasonló látszólagos EC50 értékkel, ami hozzávetőlegesen 4,5 </w:t>
      </w:r>
      <w:r w:rsidR="00CB73C8" w:rsidRPr="00183B5F">
        <w:rPr>
          <w:szCs w:val="22"/>
        </w:rPr>
        <w:t>mikrogramm</w:t>
      </w:r>
      <w:r w:rsidRPr="00183B5F">
        <w:rPr>
          <w:szCs w:val="22"/>
        </w:rPr>
        <w:t>/ml (95%</w:t>
      </w:r>
      <w:r w:rsidR="00703FA3" w:rsidRPr="00183B5F">
        <w:rPr>
          <w:szCs w:val="22"/>
        </w:rPr>
        <w:t>-os</w:t>
      </w:r>
      <w:r w:rsidRPr="00183B5F">
        <w:rPr>
          <w:szCs w:val="22"/>
        </w:rPr>
        <w:t xml:space="preserve"> CI</w:t>
      </w:r>
      <w:r w:rsidR="00703FA3" w:rsidRPr="00183B5F">
        <w:rPr>
          <w:szCs w:val="22"/>
        </w:rPr>
        <w:t>:</w:t>
      </w:r>
      <w:r w:rsidRPr="00183B5F">
        <w:rPr>
          <w:szCs w:val="22"/>
        </w:rPr>
        <w:t xml:space="preserve"> 0,4-47,6 illetve 1,9-10,5) volt.</w:t>
      </w:r>
    </w:p>
    <w:p w14:paraId="4FDBF474" w14:textId="77777777" w:rsidR="00C927B3" w:rsidRPr="00183B5F" w:rsidRDefault="00C927B3" w:rsidP="004062FE">
      <w:pPr>
        <w:spacing w:line="240" w:lineRule="auto"/>
        <w:rPr>
          <w:szCs w:val="22"/>
          <w:u w:val="single"/>
        </w:rPr>
      </w:pPr>
    </w:p>
    <w:p w14:paraId="443DF3E9" w14:textId="77777777" w:rsidR="00764497" w:rsidRPr="00183B5F" w:rsidRDefault="00943743" w:rsidP="004062FE">
      <w:pPr>
        <w:keepNext/>
        <w:spacing w:line="240" w:lineRule="auto"/>
        <w:rPr>
          <w:szCs w:val="22"/>
          <w:u w:val="single"/>
        </w:rPr>
      </w:pPr>
      <w:r w:rsidRPr="00183B5F">
        <w:rPr>
          <w:szCs w:val="22"/>
          <w:u w:val="single"/>
        </w:rPr>
        <w:t>Elimináció</w:t>
      </w:r>
    </w:p>
    <w:p w14:paraId="17C30F75" w14:textId="77777777" w:rsidR="00764497" w:rsidRPr="00183B5F" w:rsidRDefault="00764497" w:rsidP="004062FE">
      <w:pPr>
        <w:keepNext/>
        <w:spacing w:line="240" w:lineRule="auto"/>
        <w:rPr>
          <w:szCs w:val="22"/>
        </w:rPr>
      </w:pPr>
    </w:p>
    <w:p w14:paraId="3134BEDE" w14:textId="77777777" w:rsidR="00764497" w:rsidRPr="00183B5F" w:rsidRDefault="00943743" w:rsidP="004062FE">
      <w:pPr>
        <w:spacing w:line="240" w:lineRule="auto"/>
        <w:rPr>
          <w:szCs w:val="22"/>
        </w:rPr>
      </w:pPr>
      <w:r w:rsidRPr="00183B5F">
        <w:rPr>
          <w:szCs w:val="22"/>
        </w:rPr>
        <w:t>Több mint 1300 RA betegen végzett populációs farmakokinetikai vizsgálatokból származó adatok alapján derült ki, hogy a testsúly növekedésével nő az adalimumab-clearence. A testsúlykülönbség korrekciója után úgy látszik, a nemnek és az életkornak minimális hatása van az adalimumab clearence</w:t>
      </w:r>
      <w:r w:rsidRPr="00183B5F">
        <w:rPr>
          <w:szCs w:val="22"/>
        </w:rPr>
        <w:noBreakHyphen/>
        <w:t>ére. A szérumban mérhető, adalimumab</w:t>
      </w:r>
      <w:r w:rsidR="00E5381A" w:rsidRPr="00183B5F">
        <w:rPr>
          <w:szCs w:val="22"/>
        </w:rPr>
        <w:noBreakHyphen/>
      </w:r>
      <w:r w:rsidRPr="00183B5F">
        <w:rPr>
          <w:szCs w:val="22"/>
        </w:rPr>
        <w:t>ellenes antitestekhez (AAA) nem kötődő szabad</w:t>
      </w:r>
      <w:r w:rsidR="00703FA3" w:rsidRPr="00183B5F">
        <w:rPr>
          <w:szCs w:val="22"/>
        </w:rPr>
        <w:t xml:space="preserve"> </w:t>
      </w:r>
      <w:r w:rsidRPr="00183B5F">
        <w:rPr>
          <w:szCs w:val="22"/>
        </w:rPr>
        <w:t>adalimumab</w:t>
      </w:r>
      <w:r w:rsidR="00322FDE" w:rsidRPr="00183B5F">
        <w:rPr>
          <w:szCs w:val="22"/>
        </w:rPr>
        <w:t xml:space="preserve"> </w:t>
      </w:r>
      <w:r w:rsidRPr="00183B5F">
        <w:rPr>
          <w:szCs w:val="22"/>
        </w:rPr>
        <w:t>koncentráció</w:t>
      </w:r>
      <w:r w:rsidR="00322FDE" w:rsidRPr="00183B5F">
        <w:rPr>
          <w:szCs w:val="22"/>
        </w:rPr>
        <w:t>ja</w:t>
      </w:r>
      <w:r w:rsidRPr="00183B5F">
        <w:rPr>
          <w:szCs w:val="22"/>
        </w:rPr>
        <w:t xml:space="preserve"> alacsonyabbnak bizonyult olyan betegek esetében, akiknél mérhető volt az AAA szintje.</w:t>
      </w:r>
    </w:p>
    <w:p w14:paraId="4F8B0970" w14:textId="77777777" w:rsidR="00764497" w:rsidRPr="00183B5F" w:rsidRDefault="00764497" w:rsidP="004062FE">
      <w:pPr>
        <w:spacing w:line="240" w:lineRule="auto"/>
        <w:rPr>
          <w:szCs w:val="22"/>
        </w:rPr>
      </w:pPr>
    </w:p>
    <w:p w14:paraId="23F5EFC5" w14:textId="77777777" w:rsidR="00764497" w:rsidRPr="00183B5F" w:rsidRDefault="00943743" w:rsidP="004062FE">
      <w:pPr>
        <w:keepNext/>
        <w:spacing w:line="240" w:lineRule="auto"/>
        <w:rPr>
          <w:szCs w:val="22"/>
          <w:u w:val="single"/>
        </w:rPr>
      </w:pPr>
      <w:r w:rsidRPr="00183B5F">
        <w:rPr>
          <w:szCs w:val="22"/>
          <w:u w:val="single"/>
        </w:rPr>
        <w:t>Máj- vagy vesekárosodás</w:t>
      </w:r>
    </w:p>
    <w:p w14:paraId="2CFC297E" w14:textId="77777777" w:rsidR="00764497" w:rsidRPr="00183B5F" w:rsidRDefault="00764497" w:rsidP="004062FE">
      <w:pPr>
        <w:keepNext/>
        <w:spacing w:line="240" w:lineRule="auto"/>
        <w:rPr>
          <w:szCs w:val="22"/>
        </w:rPr>
      </w:pPr>
    </w:p>
    <w:p w14:paraId="60D080D7" w14:textId="77777777" w:rsidR="00764497" w:rsidRPr="00183B5F" w:rsidRDefault="00943743" w:rsidP="004062FE">
      <w:pPr>
        <w:spacing w:line="240" w:lineRule="auto"/>
        <w:rPr>
          <w:szCs w:val="22"/>
        </w:rPr>
      </w:pPr>
      <w:r w:rsidRPr="00183B5F">
        <w:rPr>
          <w:szCs w:val="22"/>
        </w:rPr>
        <w:t>A Humira</w:t>
      </w:r>
      <w:r w:rsidRPr="00183B5F">
        <w:rPr>
          <w:szCs w:val="22"/>
        </w:rPr>
        <w:noBreakHyphen/>
        <w:t>t nem vizsgálták máj- vagy vesekárosodásban szenvedő betegeknél.</w:t>
      </w:r>
    </w:p>
    <w:p w14:paraId="39EBAF8B" w14:textId="77777777" w:rsidR="00764497" w:rsidRPr="00183B5F" w:rsidRDefault="00764497" w:rsidP="004062FE">
      <w:pPr>
        <w:spacing w:line="240" w:lineRule="auto"/>
        <w:rPr>
          <w:szCs w:val="22"/>
        </w:rPr>
      </w:pPr>
    </w:p>
    <w:p w14:paraId="21BA2F81" w14:textId="77777777" w:rsidR="00764497" w:rsidRPr="00183B5F" w:rsidRDefault="00943743" w:rsidP="004062FE">
      <w:pPr>
        <w:keepNext/>
        <w:spacing w:line="240" w:lineRule="auto"/>
        <w:rPr>
          <w:b/>
          <w:szCs w:val="22"/>
        </w:rPr>
      </w:pPr>
      <w:r w:rsidRPr="00183B5F">
        <w:rPr>
          <w:b/>
          <w:szCs w:val="22"/>
        </w:rPr>
        <w:t>5.3</w:t>
      </w:r>
      <w:r w:rsidRPr="00183B5F">
        <w:rPr>
          <w:b/>
          <w:szCs w:val="22"/>
        </w:rPr>
        <w:tab/>
      </w:r>
      <w:r w:rsidRPr="00183B5F">
        <w:rPr>
          <w:b/>
          <w:szCs w:val="22"/>
        </w:rPr>
        <w:t>A preklinikai biztonságossági vizsgálatok eredményei</w:t>
      </w:r>
    </w:p>
    <w:p w14:paraId="7EBD30B1" w14:textId="77777777" w:rsidR="00764497" w:rsidRPr="00183B5F" w:rsidRDefault="00764497" w:rsidP="004062FE">
      <w:pPr>
        <w:keepNext/>
        <w:spacing w:line="240" w:lineRule="auto"/>
        <w:rPr>
          <w:szCs w:val="22"/>
        </w:rPr>
      </w:pPr>
    </w:p>
    <w:p w14:paraId="3B01E56C" w14:textId="77777777" w:rsidR="00322FDE" w:rsidRPr="00183B5F" w:rsidRDefault="00943743" w:rsidP="00322FDE">
      <w:pPr>
        <w:keepNext/>
        <w:spacing w:line="240" w:lineRule="auto"/>
        <w:rPr>
          <w:szCs w:val="22"/>
        </w:rPr>
      </w:pPr>
      <w:r w:rsidRPr="00183B5F">
        <w:rPr>
          <w:szCs w:val="22"/>
        </w:rPr>
        <w:t>Egyszeri és ismételt adagolású dózistoxicitási, valamint genotoxicitási vizsgálatokból származó nem klinikai jellegű adatok azt igazolták, hogy a készítmény alkalmazásakor humán vonatkozásban különleges kockázat nem várható.</w:t>
      </w:r>
    </w:p>
    <w:p w14:paraId="52CB2218" w14:textId="77777777" w:rsidR="00764497" w:rsidRPr="00183B5F" w:rsidRDefault="00764497" w:rsidP="004062FE">
      <w:pPr>
        <w:pStyle w:val="EndnoteText"/>
        <w:tabs>
          <w:tab w:val="clear" w:pos="567"/>
          <w:tab w:val="left" w:pos="708"/>
        </w:tabs>
        <w:suppressAutoHyphens/>
        <w:rPr>
          <w:sz w:val="22"/>
          <w:szCs w:val="22"/>
          <w:lang w:val="hu-HU" w:eastAsia="hu-HU"/>
        </w:rPr>
      </w:pPr>
    </w:p>
    <w:p w14:paraId="55E7E5F5" w14:textId="77777777" w:rsidR="00764497" w:rsidRPr="00183B5F" w:rsidRDefault="00943743" w:rsidP="004062FE">
      <w:pPr>
        <w:spacing w:line="240" w:lineRule="auto"/>
        <w:rPr>
          <w:szCs w:val="22"/>
        </w:rPr>
      </w:pPr>
      <w:r w:rsidRPr="00183B5F">
        <w:rPr>
          <w:szCs w:val="22"/>
        </w:rPr>
        <w:t xml:space="preserve">Majmokon folytattak vizsgálatot a gyógyszernek az embrionális </w:t>
      </w:r>
      <w:r w:rsidRPr="00183B5F">
        <w:rPr>
          <w:szCs w:val="22"/>
        </w:rPr>
        <w:noBreakHyphen/>
        <w:t xml:space="preserve"> magzati fejlődésre, illetve a perinatalis fejlődésre gyakorolt hatásának felmérésére, aminek során 0</w:t>
      </w:r>
      <w:r w:rsidR="00703FA3" w:rsidRPr="00183B5F">
        <w:rPr>
          <w:szCs w:val="22"/>
        </w:rPr>
        <w:t> mg/ttkg</w:t>
      </w:r>
      <w:r w:rsidRPr="00183B5F">
        <w:rPr>
          <w:szCs w:val="22"/>
        </w:rPr>
        <w:t>,</w:t>
      </w:r>
      <w:r w:rsidR="00703FA3" w:rsidRPr="00183B5F">
        <w:rPr>
          <w:szCs w:val="22"/>
        </w:rPr>
        <w:t xml:space="preserve"> </w:t>
      </w:r>
      <w:r w:rsidRPr="00183B5F">
        <w:rPr>
          <w:szCs w:val="22"/>
        </w:rPr>
        <w:t>30 mg</w:t>
      </w:r>
      <w:r w:rsidR="00127A0B" w:rsidRPr="00183B5F">
        <w:rPr>
          <w:szCs w:val="22"/>
        </w:rPr>
        <w:t>/ttkg</w:t>
      </w:r>
      <w:r w:rsidRPr="00183B5F">
        <w:rPr>
          <w:szCs w:val="22"/>
        </w:rPr>
        <w:t xml:space="preserve"> illetve 100 mg</w:t>
      </w:r>
      <w:r w:rsidR="00127A0B" w:rsidRPr="00183B5F">
        <w:rPr>
          <w:szCs w:val="22"/>
        </w:rPr>
        <w:t>/ttkg</w:t>
      </w:r>
      <w:r w:rsidRPr="00183B5F">
        <w:rPr>
          <w:szCs w:val="22"/>
        </w:rPr>
        <w:t xml:space="preserve"> dózisú adalimumabot adtak majmoknak (csoportonként 9</w:t>
      </w:r>
      <w:r w:rsidRPr="00183B5F">
        <w:rPr>
          <w:szCs w:val="22"/>
        </w:rPr>
        <w:noBreakHyphen/>
        <w:t xml:space="preserve">17 majom volt), a magzati károsodás minden jele nélkül. Sem karcinogenitási vizsgálatok, sem standard </w:t>
      </w:r>
      <w:r w:rsidR="00171E97" w:rsidRPr="00183B5F">
        <w:rPr>
          <w:szCs w:val="22"/>
        </w:rPr>
        <w:t xml:space="preserve">termékenységi vagy </w:t>
      </w:r>
      <w:r w:rsidRPr="00183B5F">
        <w:rPr>
          <w:szCs w:val="22"/>
        </w:rPr>
        <w:t>postnatalis toxicitási vizsgálatok nem történtek megfelelő antitestmodell hiányában, mivel az adalimumab a rágcsáló TNF</w:t>
      </w:r>
      <w:r w:rsidRPr="00183B5F">
        <w:rPr>
          <w:szCs w:val="22"/>
        </w:rPr>
        <w:noBreakHyphen/>
        <w:t>fel alacsony keresztreakciót mutat, és ellene a rágcsálókban neutralizáló a</w:t>
      </w:r>
      <w:r w:rsidRPr="00183B5F">
        <w:rPr>
          <w:szCs w:val="22"/>
        </w:rPr>
        <w:t>ntitestek képződnek.</w:t>
      </w:r>
    </w:p>
    <w:p w14:paraId="3C6DCFC8" w14:textId="77777777" w:rsidR="00764497" w:rsidRPr="00183B5F" w:rsidRDefault="00764497" w:rsidP="004062FE">
      <w:pPr>
        <w:spacing w:line="240" w:lineRule="auto"/>
        <w:rPr>
          <w:b/>
          <w:szCs w:val="22"/>
        </w:rPr>
      </w:pPr>
    </w:p>
    <w:p w14:paraId="5BC8F516" w14:textId="77777777" w:rsidR="00764497" w:rsidRPr="00183B5F" w:rsidRDefault="00764497" w:rsidP="004062FE">
      <w:pPr>
        <w:spacing w:line="240" w:lineRule="auto"/>
        <w:rPr>
          <w:b/>
          <w:szCs w:val="22"/>
        </w:rPr>
      </w:pPr>
    </w:p>
    <w:p w14:paraId="476F2721" w14:textId="77777777" w:rsidR="00764497" w:rsidRPr="00183B5F" w:rsidRDefault="00943743" w:rsidP="002D49EE">
      <w:pPr>
        <w:keepNext/>
        <w:spacing w:line="240" w:lineRule="auto"/>
        <w:rPr>
          <w:b/>
          <w:szCs w:val="22"/>
        </w:rPr>
      </w:pPr>
      <w:r w:rsidRPr="00183B5F">
        <w:rPr>
          <w:b/>
          <w:szCs w:val="22"/>
        </w:rPr>
        <w:t>6.</w:t>
      </w:r>
      <w:r w:rsidRPr="00183B5F">
        <w:rPr>
          <w:b/>
          <w:szCs w:val="22"/>
        </w:rPr>
        <w:tab/>
        <w:t>GYÓGYSZERÉSZETI JELLEMZŐK</w:t>
      </w:r>
    </w:p>
    <w:p w14:paraId="0E3D0A89" w14:textId="77777777" w:rsidR="00764497" w:rsidRPr="00183B5F" w:rsidRDefault="00764497" w:rsidP="002D49EE">
      <w:pPr>
        <w:keepNext/>
        <w:spacing w:line="240" w:lineRule="auto"/>
        <w:rPr>
          <w:szCs w:val="22"/>
        </w:rPr>
      </w:pPr>
    </w:p>
    <w:p w14:paraId="56C9F2AC" w14:textId="77777777" w:rsidR="00764497" w:rsidRPr="00183B5F" w:rsidRDefault="00943743" w:rsidP="004062FE">
      <w:pPr>
        <w:spacing w:line="240" w:lineRule="auto"/>
        <w:ind w:left="567" w:hanging="567"/>
        <w:rPr>
          <w:b/>
          <w:szCs w:val="22"/>
        </w:rPr>
      </w:pPr>
      <w:r w:rsidRPr="00183B5F">
        <w:rPr>
          <w:b/>
          <w:szCs w:val="22"/>
        </w:rPr>
        <w:t>6.1</w:t>
      </w:r>
      <w:r w:rsidRPr="00183B5F">
        <w:rPr>
          <w:b/>
          <w:szCs w:val="22"/>
        </w:rPr>
        <w:tab/>
        <w:t>Segédanyagok felsorolása</w:t>
      </w:r>
    </w:p>
    <w:p w14:paraId="1C6FA693" w14:textId="77777777" w:rsidR="00764497" w:rsidRPr="00183B5F" w:rsidRDefault="00764497" w:rsidP="004062FE">
      <w:pPr>
        <w:spacing w:line="240" w:lineRule="auto"/>
        <w:rPr>
          <w:szCs w:val="22"/>
        </w:rPr>
      </w:pPr>
    </w:p>
    <w:p w14:paraId="02561313" w14:textId="77777777" w:rsidR="00764497" w:rsidRPr="00183B5F" w:rsidRDefault="00943743" w:rsidP="004062FE">
      <w:pPr>
        <w:spacing w:line="240" w:lineRule="auto"/>
        <w:rPr>
          <w:szCs w:val="22"/>
        </w:rPr>
      </w:pPr>
      <w:r w:rsidRPr="00183B5F">
        <w:rPr>
          <w:szCs w:val="22"/>
        </w:rPr>
        <w:t>Mannit,</w:t>
      </w:r>
    </w:p>
    <w:p w14:paraId="3B265FD3" w14:textId="77777777" w:rsidR="00764497" w:rsidRPr="00183B5F" w:rsidRDefault="00943743" w:rsidP="004062FE">
      <w:pPr>
        <w:spacing w:line="240" w:lineRule="auto"/>
        <w:rPr>
          <w:szCs w:val="22"/>
        </w:rPr>
      </w:pPr>
      <w:r w:rsidRPr="00183B5F">
        <w:rPr>
          <w:szCs w:val="22"/>
        </w:rPr>
        <w:t>poliszorbát 80,</w:t>
      </w:r>
    </w:p>
    <w:p w14:paraId="4A36E3AB" w14:textId="77777777" w:rsidR="00764497" w:rsidRPr="00183B5F" w:rsidRDefault="00943743" w:rsidP="004062FE">
      <w:pPr>
        <w:spacing w:line="240" w:lineRule="auto"/>
        <w:rPr>
          <w:szCs w:val="22"/>
        </w:rPr>
      </w:pPr>
      <w:r w:rsidRPr="00183B5F">
        <w:rPr>
          <w:szCs w:val="22"/>
        </w:rPr>
        <w:t>injekcióhoz való víz.</w:t>
      </w:r>
    </w:p>
    <w:p w14:paraId="36C8E293" w14:textId="77777777" w:rsidR="00764497" w:rsidRPr="00183B5F" w:rsidRDefault="00764497" w:rsidP="004062FE">
      <w:pPr>
        <w:spacing w:line="240" w:lineRule="auto"/>
        <w:rPr>
          <w:szCs w:val="22"/>
        </w:rPr>
      </w:pPr>
    </w:p>
    <w:p w14:paraId="53A8F7DE" w14:textId="77777777" w:rsidR="00764497" w:rsidRPr="00183B5F" w:rsidRDefault="00943743" w:rsidP="004062FE">
      <w:pPr>
        <w:spacing w:line="240" w:lineRule="auto"/>
        <w:rPr>
          <w:b/>
          <w:szCs w:val="22"/>
        </w:rPr>
      </w:pPr>
      <w:r w:rsidRPr="00183B5F">
        <w:rPr>
          <w:b/>
          <w:szCs w:val="22"/>
        </w:rPr>
        <w:t>6.2</w:t>
      </w:r>
      <w:r w:rsidRPr="00183B5F">
        <w:rPr>
          <w:b/>
          <w:szCs w:val="22"/>
        </w:rPr>
        <w:tab/>
        <w:t>Inkompatibilitások</w:t>
      </w:r>
    </w:p>
    <w:p w14:paraId="1439F105" w14:textId="77777777" w:rsidR="00764497" w:rsidRPr="00183B5F" w:rsidRDefault="00764497" w:rsidP="004062FE">
      <w:pPr>
        <w:spacing w:line="240" w:lineRule="auto"/>
        <w:rPr>
          <w:szCs w:val="22"/>
        </w:rPr>
      </w:pPr>
    </w:p>
    <w:p w14:paraId="0DDFF97A" w14:textId="77777777" w:rsidR="00764497" w:rsidRPr="00183B5F" w:rsidRDefault="00943743" w:rsidP="004062FE">
      <w:pPr>
        <w:spacing w:line="240" w:lineRule="auto"/>
        <w:rPr>
          <w:szCs w:val="22"/>
        </w:rPr>
      </w:pPr>
      <w:r w:rsidRPr="00183B5F">
        <w:rPr>
          <w:szCs w:val="22"/>
        </w:rPr>
        <w:t>Kompatibilitási vizsgálatok hiányában ez a gyógyszer nem keverhető más gyógyszerekkel.</w:t>
      </w:r>
    </w:p>
    <w:p w14:paraId="64727AAF" w14:textId="77777777" w:rsidR="00764497" w:rsidRPr="00183B5F" w:rsidRDefault="00764497" w:rsidP="004062FE">
      <w:pPr>
        <w:spacing w:line="240" w:lineRule="auto"/>
        <w:rPr>
          <w:szCs w:val="22"/>
        </w:rPr>
      </w:pPr>
    </w:p>
    <w:p w14:paraId="16D982B7" w14:textId="77777777" w:rsidR="00764497" w:rsidRPr="00183B5F" w:rsidRDefault="00943743" w:rsidP="004062FE">
      <w:pPr>
        <w:spacing w:line="240" w:lineRule="auto"/>
        <w:rPr>
          <w:b/>
          <w:szCs w:val="22"/>
        </w:rPr>
      </w:pPr>
      <w:r w:rsidRPr="00183B5F">
        <w:rPr>
          <w:b/>
          <w:szCs w:val="22"/>
        </w:rPr>
        <w:t>6.3</w:t>
      </w:r>
      <w:r w:rsidRPr="00183B5F">
        <w:rPr>
          <w:b/>
          <w:szCs w:val="22"/>
        </w:rPr>
        <w:tab/>
        <w:t>Felhasználhatósági időtartam</w:t>
      </w:r>
    </w:p>
    <w:p w14:paraId="3178529D" w14:textId="77777777" w:rsidR="00764497" w:rsidRPr="00183B5F" w:rsidRDefault="00764497" w:rsidP="004062FE">
      <w:pPr>
        <w:spacing w:line="240" w:lineRule="auto"/>
        <w:rPr>
          <w:szCs w:val="22"/>
        </w:rPr>
      </w:pPr>
    </w:p>
    <w:p w14:paraId="70062A59" w14:textId="77777777" w:rsidR="00764497" w:rsidRPr="00183B5F" w:rsidRDefault="00943743" w:rsidP="004062FE">
      <w:pPr>
        <w:spacing w:line="240" w:lineRule="auto"/>
        <w:rPr>
          <w:szCs w:val="22"/>
        </w:rPr>
      </w:pPr>
      <w:r w:rsidRPr="00183B5F">
        <w:rPr>
          <w:szCs w:val="22"/>
        </w:rPr>
        <w:t>2 év</w:t>
      </w:r>
    </w:p>
    <w:p w14:paraId="379385F4" w14:textId="77777777" w:rsidR="00764497" w:rsidRPr="00183B5F" w:rsidRDefault="00764497" w:rsidP="004062FE">
      <w:pPr>
        <w:spacing w:line="240" w:lineRule="auto"/>
        <w:rPr>
          <w:szCs w:val="22"/>
        </w:rPr>
      </w:pPr>
    </w:p>
    <w:p w14:paraId="3186B197" w14:textId="77777777" w:rsidR="00764497" w:rsidRPr="00183B5F" w:rsidRDefault="00943743" w:rsidP="004062FE">
      <w:pPr>
        <w:spacing w:line="240" w:lineRule="auto"/>
        <w:ind w:left="567" w:hanging="567"/>
        <w:rPr>
          <w:b/>
          <w:szCs w:val="22"/>
        </w:rPr>
      </w:pPr>
      <w:r w:rsidRPr="00183B5F">
        <w:rPr>
          <w:b/>
          <w:szCs w:val="22"/>
        </w:rPr>
        <w:t>6.4</w:t>
      </w:r>
      <w:r w:rsidRPr="00183B5F">
        <w:rPr>
          <w:b/>
          <w:szCs w:val="22"/>
        </w:rPr>
        <w:tab/>
        <w:t>Különleges tárolási előírások</w:t>
      </w:r>
    </w:p>
    <w:p w14:paraId="1757C06E" w14:textId="77777777" w:rsidR="00764497" w:rsidRPr="00183B5F" w:rsidRDefault="00764497" w:rsidP="004062FE">
      <w:pPr>
        <w:spacing w:line="240" w:lineRule="auto"/>
        <w:rPr>
          <w:szCs w:val="22"/>
        </w:rPr>
      </w:pPr>
    </w:p>
    <w:p w14:paraId="1C7DF5E2" w14:textId="77777777" w:rsidR="00764497" w:rsidRPr="00183B5F" w:rsidRDefault="00943743" w:rsidP="004062FE">
      <w:pPr>
        <w:spacing w:line="240" w:lineRule="auto"/>
        <w:rPr>
          <w:szCs w:val="22"/>
        </w:rPr>
      </w:pPr>
      <w:r w:rsidRPr="00183B5F">
        <w:rPr>
          <w:szCs w:val="22"/>
        </w:rPr>
        <w:t>Hűtőszekrényben (2°C</w:t>
      </w:r>
      <w:r w:rsidRPr="00183B5F">
        <w:rPr>
          <w:szCs w:val="22"/>
        </w:rPr>
        <w:noBreakHyphen/>
        <w:t>8</w:t>
      </w:r>
      <w:r w:rsidRPr="00183B5F">
        <w:rPr>
          <w:rFonts w:ascii="Symbol" w:hAnsi="Symbol"/>
          <w:szCs w:val="22"/>
        </w:rPr>
        <w:sym w:font="Symbol" w:char="F0B0"/>
      </w:r>
      <w:r w:rsidRPr="00183B5F">
        <w:rPr>
          <w:szCs w:val="22"/>
        </w:rPr>
        <w:t xml:space="preserve">C) tárolandó. Nem fagyasztható! A fénytől való védelem érdekében az előretöltött fecskendő </w:t>
      </w:r>
      <w:r w:rsidR="005B2F87" w:rsidRPr="00183B5F">
        <w:rPr>
          <w:szCs w:val="22"/>
        </w:rPr>
        <w:t xml:space="preserve">vagy előretöltött injekciós toll </w:t>
      </w:r>
      <w:r w:rsidRPr="00183B5F">
        <w:rPr>
          <w:szCs w:val="22"/>
        </w:rPr>
        <w:t>az eredeti dobozban tárolandó.</w:t>
      </w:r>
    </w:p>
    <w:p w14:paraId="274EA23D" w14:textId="77777777" w:rsidR="00764497" w:rsidRPr="00183B5F" w:rsidRDefault="00764497" w:rsidP="004062FE">
      <w:pPr>
        <w:spacing w:line="240" w:lineRule="auto"/>
        <w:rPr>
          <w:szCs w:val="22"/>
        </w:rPr>
      </w:pPr>
    </w:p>
    <w:p w14:paraId="0EB2CE69" w14:textId="77777777" w:rsidR="00764497" w:rsidRPr="00183B5F" w:rsidRDefault="00943743" w:rsidP="004062FE">
      <w:pPr>
        <w:spacing w:line="240" w:lineRule="auto"/>
        <w:rPr>
          <w:szCs w:val="22"/>
        </w:rPr>
      </w:pPr>
      <w:r w:rsidRPr="00183B5F">
        <w:rPr>
          <w:szCs w:val="22"/>
          <w:lang w:eastAsia="en-US"/>
        </w:rPr>
        <w:t xml:space="preserve">Önmagában a </w:t>
      </w:r>
      <w:r w:rsidRPr="00183B5F">
        <w:rPr>
          <w:szCs w:val="22"/>
        </w:rPr>
        <w:t>Humira előretöltött fecskendő</w:t>
      </w:r>
      <w:r w:rsidR="00F62AC7" w:rsidRPr="00183B5F">
        <w:rPr>
          <w:szCs w:val="22"/>
        </w:rPr>
        <w:t xml:space="preserve"> </w:t>
      </w:r>
      <w:r w:rsidR="00DC617C" w:rsidRPr="00183B5F">
        <w:rPr>
          <w:szCs w:val="22"/>
        </w:rPr>
        <w:t>vagy</w:t>
      </w:r>
      <w:r w:rsidR="00F62AC7" w:rsidRPr="00183B5F">
        <w:rPr>
          <w:szCs w:val="22"/>
        </w:rPr>
        <w:t xml:space="preserve"> előretöltött injekciós toll</w:t>
      </w:r>
      <w:r w:rsidRPr="00183B5F">
        <w:rPr>
          <w:szCs w:val="22"/>
        </w:rPr>
        <w:t xml:space="preserve"> legfeljebb 25</w:t>
      </w:r>
      <w:r w:rsidRPr="00183B5F">
        <w:rPr>
          <w:rFonts w:ascii="Symbol" w:hAnsi="Symbol"/>
          <w:szCs w:val="22"/>
        </w:rPr>
        <w:sym w:font="Symbol" w:char="F0B0"/>
      </w:r>
      <w:r w:rsidRPr="00183B5F">
        <w:rPr>
          <w:szCs w:val="22"/>
        </w:rPr>
        <w:t>C</w:t>
      </w:r>
      <w:r w:rsidRPr="00183B5F">
        <w:rPr>
          <w:szCs w:val="22"/>
        </w:rPr>
        <w:noBreakHyphen/>
        <w:t xml:space="preserve">on, maximum 14 napig tárolható. A fecskendőt </w:t>
      </w:r>
      <w:r w:rsidR="00F62AC7" w:rsidRPr="00183B5F">
        <w:rPr>
          <w:szCs w:val="22"/>
        </w:rPr>
        <w:t xml:space="preserve">vagy </w:t>
      </w:r>
      <w:r w:rsidR="002A0B34" w:rsidRPr="00183B5F">
        <w:rPr>
          <w:szCs w:val="22"/>
        </w:rPr>
        <w:t xml:space="preserve">injekciós </w:t>
      </w:r>
      <w:r w:rsidR="00F62AC7" w:rsidRPr="00183B5F">
        <w:rPr>
          <w:szCs w:val="22"/>
        </w:rPr>
        <w:t xml:space="preserve">tollat </w:t>
      </w:r>
      <w:r w:rsidRPr="00183B5F">
        <w:rPr>
          <w:szCs w:val="22"/>
        </w:rPr>
        <w:t>fénytől védeni kell, és meg kell semmisíteni, amennyiben a 14 napos időtartam alatt nem használták fel.</w:t>
      </w:r>
    </w:p>
    <w:p w14:paraId="7CA55A39" w14:textId="77777777" w:rsidR="00764497" w:rsidRPr="00183B5F" w:rsidRDefault="00764497" w:rsidP="004062FE">
      <w:pPr>
        <w:spacing w:line="240" w:lineRule="auto"/>
        <w:rPr>
          <w:szCs w:val="22"/>
        </w:rPr>
      </w:pPr>
    </w:p>
    <w:p w14:paraId="6E8332DE" w14:textId="77777777" w:rsidR="00764497" w:rsidRPr="00183B5F" w:rsidRDefault="00943743" w:rsidP="004062FE">
      <w:pPr>
        <w:spacing w:line="240" w:lineRule="auto"/>
        <w:rPr>
          <w:b/>
          <w:szCs w:val="22"/>
        </w:rPr>
      </w:pPr>
      <w:r w:rsidRPr="00183B5F">
        <w:rPr>
          <w:b/>
          <w:szCs w:val="22"/>
        </w:rPr>
        <w:t>6.5</w:t>
      </w:r>
      <w:r w:rsidRPr="00183B5F">
        <w:rPr>
          <w:b/>
          <w:szCs w:val="22"/>
        </w:rPr>
        <w:tab/>
        <w:t>Csomagolás típusa és kiszerelése</w:t>
      </w:r>
    </w:p>
    <w:p w14:paraId="3A4359B9" w14:textId="77777777" w:rsidR="00764497" w:rsidRPr="00183B5F" w:rsidRDefault="00764497" w:rsidP="004062FE">
      <w:pPr>
        <w:pStyle w:val="EndnoteText"/>
        <w:tabs>
          <w:tab w:val="clear" w:pos="567"/>
        </w:tabs>
        <w:suppressAutoHyphens/>
        <w:rPr>
          <w:sz w:val="22"/>
          <w:szCs w:val="22"/>
          <w:lang w:val="hu-HU" w:eastAsia="hu-HU"/>
        </w:rPr>
      </w:pPr>
    </w:p>
    <w:p w14:paraId="44D5D769" w14:textId="77777777" w:rsidR="00B05803" w:rsidRPr="00183B5F" w:rsidRDefault="00943743" w:rsidP="004062FE">
      <w:pPr>
        <w:spacing w:line="240" w:lineRule="auto"/>
        <w:rPr>
          <w:u w:val="single"/>
        </w:rPr>
      </w:pPr>
      <w:r w:rsidRPr="00183B5F">
        <w:rPr>
          <w:u w:val="single"/>
        </w:rPr>
        <w:t>Humira 80 mg oldatos injekció előretöltött fecskendőben</w:t>
      </w:r>
    </w:p>
    <w:p w14:paraId="5AB5C2BE" w14:textId="77777777" w:rsidR="00764497" w:rsidRPr="00183B5F" w:rsidRDefault="00943743" w:rsidP="004062FE">
      <w:pPr>
        <w:pStyle w:val="EndnoteText"/>
        <w:tabs>
          <w:tab w:val="clear" w:pos="567"/>
        </w:tabs>
        <w:suppressAutoHyphens/>
        <w:rPr>
          <w:sz w:val="22"/>
          <w:lang w:val="hu-HU"/>
        </w:rPr>
      </w:pPr>
      <w:r w:rsidRPr="00183B5F">
        <w:rPr>
          <w:sz w:val="22"/>
          <w:lang w:val="hu-HU"/>
        </w:rPr>
        <w:t xml:space="preserve">Humira 80 mg oldatos injekció egyszer használatos, előretöltött fecskendőben (I. típusú üveg) brómbutil gumitömítéses dugattyúval és tűvédővel </w:t>
      </w:r>
      <w:r w:rsidR="00DC617C" w:rsidRPr="00183B5F">
        <w:rPr>
          <w:sz w:val="22"/>
          <w:lang w:val="hu-HU"/>
        </w:rPr>
        <w:t xml:space="preserve">(termoplasztikus elasztomer) </w:t>
      </w:r>
      <w:r w:rsidRPr="00183B5F">
        <w:rPr>
          <w:sz w:val="22"/>
          <w:lang w:val="hu-HU"/>
        </w:rPr>
        <w:t>ellátott tűvel</w:t>
      </w:r>
      <w:r w:rsidRPr="00183B5F">
        <w:rPr>
          <w:sz w:val="22"/>
          <w:szCs w:val="22"/>
          <w:lang w:val="hu-HU"/>
        </w:rPr>
        <w:t>.</w:t>
      </w:r>
    </w:p>
    <w:p w14:paraId="09FCC692" w14:textId="77777777" w:rsidR="00764497" w:rsidRPr="00183B5F" w:rsidRDefault="00764497" w:rsidP="004062FE">
      <w:pPr>
        <w:pStyle w:val="EndnoteText"/>
        <w:tabs>
          <w:tab w:val="clear" w:pos="567"/>
        </w:tabs>
        <w:suppressAutoHyphens/>
        <w:rPr>
          <w:sz w:val="22"/>
          <w:szCs w:val="22"/>
          <w:lang w:val="hu-HU" w:eastAsia="hu-HU"/>
        </w:rPr>
      </w:pPr>
    </w:p>
    <w:p w14:paraId="415A96D2" w14:textId="77777777" w:rsidR="00764497" w:rsidRPr="00183B5F" w:rsidRDefault="00943743" w:rsidP="004062FE">
      <w:pPr>
        <w:keepNext/>
        <w:spacing w:line="240" w:lineRule="auto"/>
        <w:rPr>
          <w:szCs w:val="22"/>
        </w:rPr>
      </w:pPr>
      <w:r w:rsidRPr="00183B5F">
        <w:rPr>
          <w:szCs w:val="22"/>
        </w:rPr>
        <w:t>Csomagolási egységek:</w:t>
      </w:r>
    </w:p>
    <w:p w14:paraId="4B58D094" w14:textId="77777777" w:rsidR="00764497" w:rsidRPr="00183B5F" w:rsidRDefault="00943743" w:rsidP="004062FE">
      <w:pPr>
        <w:numPr>
          <w:ilvl w:val="0"/>
          <w:numId w:val="18"/>
        </w:numPr>
        <w:tabs>
          <w:tab w:val="clear" w:pos="720"/>
        </w:tabs>
        <w:spacing w:line="240" w:lineRule="auto"/>
        <w:ind w:left="567" w:hanging="567"/>
        <w:rPr>
          <w:szCs w:val="22"/>
        </w:rPr>
      </w:pPr>
      <w:r w:rsidRPr="00183B5F">
        <w:rPr>
          <w:szCs w:val="22"/>
        </w:rPr>
        <w:t>1 előretöltött fecskendő (0,8 ml steril oldat) egy alkoholos törlőkendővel, buborékcsomagolásban.</w:t>
      </w:r>
    </w:p>
    <w:p w14:paraId="294692E3" w14:textId="77777777" w:rsidR="00764497" w:rsidRPr="00183B5F" w:rsidRDefault="00764497" w:rsidP="004062FE">
      <w:pPr>
        <w:spacing w:line="240" w:lineRule="auto"/>
        <w:rPr>
          <w:szCs w:val="22"/>
        </w:rPr>
      </w:pPr>
    </w:p>
    <w:p w14:paraId="137DCF22" w14:textId="77777777" w:rsidR="00B05803" w:rsidRPr="00183B5F" w:rsidRDefault="00943743" w:rsidP="004062FE">
      <w:pPr>
        <w:spacing w:line="240" w:lineRule="auto"/>
        <w:rPr>
          <w:u w:val="single"/>
        </w:rPr>
      </w:pPr>
      <w:r w:rsidRPr="00183B5F">
        <w:rPr>
          <w:u w:val="single"/>
        </w:rPr>
        <w:t>Humira 80 mg oldatos injekció előretöltött injekciós tollban</w:t>
      </w:r>
    </w:p>
    <w:p w14:paraId="5C7FF576" w14:textId="77777777" w:rsidR="00B05803" w:rsidRPr="00183B5F" w:rsidRDefault="00943743" w:rsidP="004062FE">
      <w:pPr>
        <w:spacing w:line="240" w:lineRule="auto"/>
      </w:pPr>
      <w:r w:rsidRPr="00183B5F">
        <w:t xml:space="preserve">Humira 80 mg oldatos injekció egyszer használatos, előretöltött injekciós tollban, beteg általi alkalmazásra, előretöltött fecskendővel. Az injekciós toll belsejében található fecskendő I. típusú üvegből készül, brómbutil gumitömítéses dugattyúval és tűvédővel </w:t>
      </w:r>
      <w:r w:rsidR="00DC617C" w:rsidRPr="00183B5F">
        <w:t xml:space="preserve">(termoplasztikus elasztomer) </w:t>
      </w:r>
      <w:r w:rsidRPr="00183B5F">
        <w:t>ellátott tűvel.</w:t>
      </w:r>
    </w:p>
    <w:p w14:paraId="33F88CDB" w14:textId="77777777" w:rsidR="00B05803" w:rsidRPr="00183B5F" w:rsidRDefault="00B05803" w:rsidP="004062FE">
      <w:pPr>
        <w:spacing w:line="240" w:lineRule="auto"/>
      </w:pPr>
    </w:p>
    <w:p w14:paraId="614070FE" w14:textId="77777777" w:rsidR="0061386F" w:rsidRPr="00183B5F" w:rsidRDefault="00943743" w:rsidP="0061386F">
      <w:pPr>
        <w:keepNext/>
        <w:spacing w:line="240" w:lineRule="auto"/>
        <w:rPr>
          <w:szCs w:val="22"/>
        </w:rPr>
      </w:pPr>
      <w:r w:rsidRPr="00183B5F">
        <w:rPr>
          <w:szCs w:val="22"/>
        </w:rPr>
        <w:t>Csomagolási egységek:</w:t>
      </w:r>
    </w:p>
    <w:p w14:paraId="003BAC66" w14:textId="77777777" w:rsidR="0061386F" w:rsidRPr="00183B5F" w:rsidRDefault="00943743" w:rsidP="0061386F">
      <w:pPr>
        <w:numPr>
          <w:ilvl w:val="0"/>
          <w:numId w:val="18"/>
        </w:numPr>
        <w:tabs>
          <w:tab w:val="clear" w:pos="720"/>
        </w:tabs>
        <w:spacing w:line="240" w:lineRule="auto"/>
        <w:ind w:left="567" w:hanging="567"/>
        <w:rPr>
          <w:szCs w:val="22"/>
        </w:rPr>
      </w:pPr>
      <w:r w:rsidRPr="00183B5F">
        <w:rPr>
          <w:szCs w:val="22"/>
        </w:rPr>
        <w:t>1 előretöltött injekciós toll (0,8 ml steril oldat) két alkoholos törlőkendővel, buborékcsomagolásban.</w:t>
      </w:r>
    </w:p>
    <w:p w14:paraId="0C517CA8" w14:textId="77777777" w:rsidR="0061386F" w:rsidRPr="00183B5F" w:rsidRDefault="00943743" w:rsidP="0061386F">
      <w:pPr>
        <w:numPr>
          <w:ilvl w:val="0"/>
          <w:numId w:val="18"/>
        </w:numPr>
        <w:tabs>
          <w:tab w:val="clear" w:pos="720"/>
        </w:tabs>
        <w:spacing w:line="240" w:lineRule="auto"/>
        <w:ind w:left="567" w:hanging="567"/>
        <w:rPr>
          <w:szCs w:val="22"/>
        </w:rPr>
      </w:pPr>
      <w:r w:rsidRPr="00183B5F">
        <w:rPr>
          <w:szCs w:val="22"/>
        </w:rPr>
        <w:t>3 előretöltött injekciós toll (0,8 ml steril oldat) négy alkoholos törlőkendővel, buborékcsomagolásban.</w:t>
      </w:r>
    </w:p>
    <w:p w14:paraId="2D27E3F8" w14:textId="77777777" w:rsidR="00B05803" w:rsidRPr="00183B5F" w:rsidRDefault="00B05803" w:rsidP="004062FE">
      <w:pPr>
        <w:spacing w:line="240" w:lineRule="auto"/>
        <w:rPr>
          <w:szCs w:val="22"/>
        </w:rPr>
      </w:pPr>
    </w:p>
    <w:p w14:paraId="6E616604" w14:textId="77777777" w:rsidR="00764497" w:rsidRPr="00183B5F" w:rsidRDefault="00943743" w:rsidP="004062FE">
      <w:pPr>
        <w:spacing w:line="240" w:lineRule="auto"/>
        <w:rPr>
          <w:szCs w:val="22"/>
        </w:rPr>
      </w:pPr>
      <w:r w:rsidRPr="00183B5F">
        <w:rPr>
          <w:szCs w:val="22"/>
        </w:rPr>
        <w:t>Nem feltétlenül mindegyik kiszerelés kerül kereskedelmi forgalomba.</w:t>
      </w:r>
    </w:p>
    <w:p w14:paraId="29939C9B" w14:textId="77777777" w:rsidR="001D0322" w:rsidRPr="00183B5F" w:rsidRDefault="001D0322" w:rsidP="004062FE">
      <w:pPr>
        <w:spacing w:line="240" w:lineRule="auto"/>
        <w:rPr>
          <w:szCs w:val="22"/>
        </w:rPr>
      </w:pPr>
    </w:p>
    <w:p w14:paraId="1EEBACD2" w14:textId="77777777" w:rsidR="00764497" w:rsidRPr="00183B5F" w:rsidRDefault="00943743" w:rsidP="004062FE">
      <w:pPr>
        <w:keepNext/>
        <w:spacing w:line="240" w:lineRule="auto"/>
        <w:ind w:left="567" w:hanging="567"/>
        <w:rPr>
          <w:b/>
          <w:szCs w:val="22"/>
        </w:rPr>
      </w:pPr>
      <w:r w:rsidRPr="00183B5F">
        <w:rPr>
          <w:b/>
          <w:szCs w:val="22"/>
        </w:rPr>
        <w:t>6.6</w:t>
      </w:r>
      <w:r w:rsidRPr="00183B5F">
        <w:rPr>
          <w:b/>
          <w:szCs w:val="22"/>
        </w:rPr>
        <w:tab/>
        <w:t>A megsemmisítésre vonatkozó különleges óvintézkedések és egyéb, a készítmény kezelésével kapcsolatos információk</w:t>
      </w:r>
    </w:p>
    <w:p w14:paraId="5251A4D8" w14:textId="77777777" w:rsidR="00764497" w:rsidRPr="00183B5F" w:rsidRDefault="00764497" w:rsidP="004062FE">
      <w:pPr>
        <w:keepNext/>
        <w:spacing w:line="240" w:lineRule="auto"/>
        <w:rPr>
          <w:szCs w:val="22"/>
        </w:rPr>
      </w:pPr>
    </w:p>
    <w:p w14:paraId="212DC0EC" w14:textId="77777777" w:rsidR="00764497" w:rsidRPr="00183B5F" w:rsidRDefault="00943743" w:rsidP="004062FE">
      <w:pPr>
        <w:spacing w:line="240" w:lineRule="auto"/>
        <w:rPr>
          <w:szCs w:val="22"/>
        </w:rPr>
      </w:pPr>
      <w:r w:rsidRPr="00183B5F">
        <w:rPr>
          <w:szCs w:val="22"/>
        </w:rPr>
        <w:t>Bármilyen fel nem használt gyógyszer, illetve hulladékanyag megsemmisítését a gyógyszerekre vonatkozó előírások szerint kell végrehajtani.</w:t>
      </w:r>
    </w:p>
    <w:p w14:paraId="734ED807" w14:textId="77777777" w:rsidR="00764497" w:rsidRPr="00183B5F" w:rsidRDefault="00764497" w:rsidP="004062FE">
      <w:pPr>
        <w:spacing w:line="240" w:lineRule="auto"/>
        <w:rPr>
          <w:szCs w:val="22"/>
        </w:rPr>
      </w:pPr>
    </w:p>
    <w:p w14:paraId="32C26A86" w14:textId="77777777" w:rsidR="00764497" w:rsidRPr="00183B5F" w:rsidRDefault="00764497" w:rsidP="004062FE">
      <w:pPr>
        <w:spacing w:line="240" w:lineRule="auto"/>
        <w:rPr>
          <w:szCs w:val="22"/>
        </w:rPr>
      </w:pPr>
    </w:p>
    <w:p w14:paraId="677D5265" w14:textId="77777777" w:rsidR="00764497" w:rsidRPr="00183B5F" w:rsidRDefault="00943743" w:rsidP="004062FE">
      <w:pPr>
        <w:spacing w:line="240" w:lineRule="auto"/>
        <w:ind w:left="567" w:hanging="567"/>
        <w:rPr>
          <w:b/>
          <w:szCs w:val="22"/>
        </w:rPr>
      </w:pPr>
      <w:r w:rsidRPr="00183B5F">
        <w:rPr>
          <w:b/>
          <w:szCs w:val="22"/>
        </w:rPr>
        <w:t>7.</w:t>
      </w:r>
      <w:r w:rsidRPr="00183B5F">
        <w:rPr>
          <w:b/>
          <w:szCs w:val="22"/>
        </w:rPr>
        <w:tab/>
        <w:t>A FORGALOMBA HOZATALI ENGEDÉLY JOGOSULTJA</w:t>
      </w:r>
    </w:p>
    <w:p w14:paraId="4DCEE3FA" w14:textId="77777777" w:rsidR="00764497" w:rsidRPr="00183B5F" w:rsidRDefault="00764497" w:rsidP="004062FE">
      <w:pPr>
        <w:spacing w:line="240" w:lineRule="auto"/>
        <w:rPr>
          <w:szCs w:val="22"/>
        </w:rPr>
      </w:pPr>
    </w:p>
    <w:p w14:paraId="150CCE42" w14:textId="77777777" w:rsidR="0054572E" w:rsidRPr="00183B5F" w:rsidRDefault="00943743" w:rsidP="00157620">
      <w:pPr>
        <w:suppressAutoHyphens w:val="0"/>
        <w:autoSpaceDE w:val="0"/>
        <w:autoSpaceDN w:val="0"/>
        <w:adjustRightInd w:val="0"/>
        <w:spacing w:line="240" w:lineRule="atLeast"/>
        <w:rPr>
          <w:szCs w:val="22"/>
          <w:lang w:eastAsia="en-GB"/>
        </w:rPr>
      </w:pPr>
      <w:r w:rsidRPr="00183B5F">
        <w:rPr>
          <w:szCs w:val="22"/>
          <w:lang w:eastAsia="en-GB"/>
        </w:rPr>
        <w:t>AbbVie Deutschland GmbH &amp; Co. KG</w:t>
      </w:r>
    </w:p>
    <w:p w14:paraId="275164B0" w14:textId="77777777" w:rsidR="0054572E" w:rsidRPr="00183B5F" w:rsidRDefault="00943743" w:rsidP="00157620">
      <w:pPr>
        <w:suppressAutoHyphens w:val="0"/>
        <w:autoSpaceDE w:val="0"/>
        <w:autoSpaceDN w:val="0"/>
        <w:adjustRightInd w:val="0"/>
        <w:spacing w:line="240" w:lineRule="atLeast"/>
        <w:rPr>
          <w:szCs w:val="22"/>
          <w:lang w:eastAsia="en-GB"/>
        </w:rPr>
      </w:pPr>
      <w:r w:rsidRPr="00183B5F">
        <w:rPr>
          <w:szCs w:val="22"/>
          <w:lang w:eastAsia="en-GB"/>
        </w:rPr>
        <w:t>Knollstrasse</w:t>
      </w:r>
    </w:p>
    <w:p w14:paraId="78907BF1" w14:textId="77777777" w:rsidR="0054572E" w:rsidRPr="00183B5F" w:rsidRDefault="00943743" w:rsidP="00157620">
      <w:pPr>
        <w:suppressAutoHyphens w:val="0"/>
        <w:autoSpaceDE w:val="0"/>
        <w:autoSpaceDN w:val="0"/>
        <w:adjustRightInd w:val="0"/>
        <w:spacing w:line="240" w:lineRule="atLeast"/>
        <w:rPr>
          <w:szCs w:val="22"/>
          <w:lang w:eastAsia="en-GB"/>
        </w:rPr>
      </w:pPr>
      <w:r w:rsidRPr="00183B5F">
        <w:rPr>
          <w:szCs w:val="22"/>
          <w:lang w:eastAsia="en-GB"/>
        </w:rPr>
        <w:t>67061 Ludwigshafen</w:t>
      </w:r>
    </w:p>
    <w:p w14:paraId="59EFBBBE" w14:textId="77777777" w:rsidR="0054572E" w:rsidRPr="00183B5F" w:rsidRDefault="00943743" w:rsidP="00157620">
      <w:pPr>
        <w:suppressAutoHyphens w:val="0"/>
        <w:autoSpaceDE w:val="0"/>
        <w:autoSpaceDN w:val="0"/>
        <w:adjustRightInd w:val="0"/>
        <w:spacing w:line="240" w:lineRule="atLeast"/>
        <w:rPr>
          <w:szCs w:val="22"/>
          <w:lang w:eastAsia="en-GB"/>
        </w:rPr>
      </w:pPr>
      <w:r w:rsidRPr="00183B5F">
        <w:rPr>
          <w:szCs w:val="22"/>
          <w:lang w:eastAsia="en-GB"/>
        </w:rPr>
        <w:t xml:space="preserve">Németország </w:t>
      </w:r>
    </w:p>
    <w:p w14:paraId="5D025724" w14:textId="77777777" w:rsidR="00764497" w:rsidRPr="00183B5F" w:rsidRDefault="00764497" w:rsidP="004062FE">
      <w:pPr>
        <w:tabs>
          <w:tab w:val="left" w:pos="562"/>
        </w:tabs>
        <w:spacing w:line="240" w:lineRule="auto"/>
        <w:rPr>
          <w:szCs w:val="22"/>
        </w:rPr>
      </w:pPr>
    </w:p>
    <w:p w14:paraId="3DD5E83B" w14:textId="77777777" w:rsidR="00764497" w:rsidRPr="00183B5F" w:rsidRDefault="00764497" w:rsidP="004062FE">
      <w:pPr>
        <w:tabs>
          <w:tab w:val="left" w:pos="562"/>
        </w:tabs>
        <w:spacing w:line="240" w:lineRule="auto"/>
        <w:rPr>
          <w:szCs w:val="22"/>
        </w:rPr>
      </w:pPr>
    </w:p>
    <w:p w14:paraId="523AE557" w14:textId="77777777" w:rsidR="00764497" w:rsidRPr="00183B5F" w:rsidRDefault="00943743" w:rsidP="004062FE">
      <w:pPr>
        <w:keepNext/>
        <w:spacing w:line="240" w:lineRule="auto"/>
        <w:rPr>
          <w:b/>
          <w:szCs w:val="22"/>
        </w:rPr>
      </w:pPr>
      <w:r w:rsidRPr="00183B5F">
        <w:rPr>
          <w:b/>
          <w:szCs w:val="22"/>
        </w:rPr>
        <w:t>8.</w:t>
      </w:r>
      <w:r w:rsidRPr="00183B5F">
        <w:rPr>
          <w:b/>
          <w:szCs w:val="22"/>
        </w:rPr>
        <w:tab/>
        <w:t>A FORGALOMBA HOZATALI ENGEDÉLY SZÁMA(I)</w:t>
      </w:r>
    </w:p>
    <w:p w14:paraId="387D2681" w14:textId="77777777" w:rsidR="00764497" w:rsidRPr="00183B5F" w:rsidRDefault="00764497" w:rsidP="004062FE">
      <w:pPr>
        <w:keepNext/>
        <w:spacing w:line="240" w:lineRule="auto"/>
        <w:rPr>
          <w:szCs w:val="22"/>
        </w:rPr>
      </w:pPr>
    </w:p>
    <w:p w14:paraId="343AEBEB" w14:textId="77777777" w:rsidR="00A06055" w:rsidRPr="004B3DB3" w:rsidRDefault="00943743" w:rsidP="004062FE">
      <w:pPr>
        <w:spacing w:line="240" w:lineRule="auto"/>
        <w:rPr>
          <w:u w:val="single"/>
          <w:rPrChange w:id="8511" w:author="AbbVie_HU_03" w:date="2025-05-16T13:03:00Z">
            <w:rPr/>
          </w:rPrChange>
        </w:rPr>
      </w:pPr>
      <w:r w:rsidRPr="004B3DB3">
        <w:rPr>
          <w:u w:val="single"/>
          <w:rPrChange w:id="8512" w:author="AbbVie_HU_03" w:date="2025-05-16T13:03:00Z">
            <w:rPr/>
          </w:rPrChange>
        </w:rPr>
        <w:t>Humira 80 mg oldatos injekció előretöltött fecskendőben</w:t>
      </w:r>
    </w:p>
    <w:p w14:paraId="53797408" w14:textId="77777777" w:rsidR="00764497" w:rsidRPr="00183B5F" w:rsidRDefault="00943743" w:rsidP="004062FE">
      <w:pPr>
        <w:keepNext/>
        <w:spacing w:line="240" w:lineRule="auto"/>
        <w:rPr>
          <w:szCs w:val="22"/>
        </w:rPr>
      </w:pPr>
      <w:r w:rsidRPr="00183B5F">
        <w:rPr>
          <w:szCs w:val="22"/>
        </w:rPr>
        <w:t>EU/1/03/256/020</w:t>
      </w:r>
    </w:p>
    <w:p w14:paraId="756532B1" w14:textId="77777777" w:rsidR="00444507" w:rsidRPr="00183B5F" w:rsidRDefault="00444507" w:rsidP="004062FE">
      <w:pPr>
        <w:keepNext/>
        <w:spacing w:line="240" w:lineRule="auto"/>
        <w:rPr>
          <w:szCs w:val="22"/>
        </w:rPr>
      </w:pPr>
    </w:p>
    <w:p w14:paraId="46569DB2" w14:textId="77777777" w:rsidR="00A06055" w:rsidRPr="004B3DB3" w:rsidRDefault="00943743" w:rsidP="004062FE">
      <w:pPr>
        <w:spacing w:line="240" w:lineRule="auto"/>
        <w:rPr>
          <w:u w:val="single"/>
          <w:rPrChange w:id="8513" w:author="AbbVie_HU_03" w:date="2025-05-16T13:03:00Z">
            <w:rPr/>
          </w:rPrChange>
        </w:rPr>
      </w:pPr>
      <w:r w:rsidRPr="004B3DB3">
        <w:rPr>
          <w:u w:val="single"/>
          <w:rPrChange w:id="8514" w:author="AbbVie_HU_03" w:date="2025-05-16T13:03:00Z">
            <w:rPr/>
          </w:rPrChange>
        </w:rPr>
        <w:t>Humira 80 mg oldatos injekció előretöltött injekciós tollban</w:t>
      </w:r>
    </w:p>
    <w:p w14:paraId="03EC9700" w14:textId="77777777" w:rsidR="0061386F" w:rsidRPr="00183B5F" w:rsidRDefault="00943743" w:rsidP="0061386F">
      <w:pPr>
        <w:pStyle w:val="EMEANormal"/>
        <w:rPr>
          <w:lang w:val="hu-HU"/>
        </w:rPr>
      </w:pPr>
      <w:r w:rsidRPr="00183B5F">
        <w:rPr>
          <w:lang w:val="hu-HU"/>
        </w:rPr>
        <w:t>EU/1/03/256/021</w:t>
      </w:r>
    </w:p>
    <w:p w14:paraId="26698C9B" w14:textId="77777777" w:rsidR="0061386F" w:rsidRPr="00183B5F" w:rsidRDefault="00943743" w:rsidP="007B0C79">
      <w:pPr>
        <w:keepNext/>
        <w:rPr>
          <w:szCs w:val="22"/>
        </w:rPr>
      </w:pPr>
      <w:r w:rsidRPr="00183B5F">
        <w:t>EU/1/03/256/027</w:t>
      </w:r>
    </w:p>
    <w:p w14:paraId="3A43D33A" w14:textId="77777777" w:rsidR="00764497" w:rsidRPr="00183B5F" w:rsidRDefault="00764497" w:rsidP="004062FE">
      <w:pPr>
        <w:spacing w:line="240" w:lineRule="auto"/>
        <w:rPr>
          <w:szCs w:val="22"/>
        </w:rPr>
      </w:pPr>
    </w:p>
    <w:p w14:paraId="570B2565" w14:textId="77777777" w:rsidR="00991E1A" w:rsidRPr="00183B5F" w:rsidRDefault="00991E1A" w:rsidP="004062FE">
      <w:pPr>
        <w:spacing w:line="240" w:lineRule="auto"/>
        <w:rPr>
          <w:szCs w:val="22"/>
        </w:rPr>
      </w:pPr>
    </w:p>
    <w:p w14:paraId="61A67EE9" w14:textId="77777777" w:rsidR="00764497" w:rsidRPr="00183B5F" w:rsidRDefault="00943743" w:rsidP="004062FE">
      <w:pPr>
        <w:spacing w:line="240" w:lineRule="auto"/>
        <w:ind w:left="567" w:hanging="567"/>
        <w:rPr>
          <w:b/>
          <w:szCs w:val="22"/>
        </w:rPr>
      </w:pPr>
      <w:r w:rsidRPr="00183B5F">
        <w:rPr>
          <w:b/>
          <w:szCs w:val="22"/>
        </w:rPr>
        <w:t>9.</w:t>
      </w:r>
      <w:r w:rsidRPr="00183B5F">
        <w:rPr>
          <w:b/>
          <w:szCs w:val="22"/>
        </w:rPr>
        <w:tab/>
      </w:r>
      <w:r w:rsidRPr="00183B5F">
        <w:rPr>
          <w:b/>
          <w:szCs w:val="22"/>
        </w:rPr>
        <w:t>A FORGALOMBA HOZATALI ENGEDÉLY ELSŐ KIADÁSÁNAK/MEGÚJÍTÁSÁNAK DÁTUMA</w:t>
      </w:r>
    </w:p>
    <w:p w14:paraId="4B5FAE13" w14:textId="77777777" w:rsidR="00764497" w:rsidRPr="00183B5F" w:rsidRDefault="00764497" w:rsidP="004062FE">
      <w:pPr>
        <w:spacing w:line="240" w:lineRule="auto"/>
        <w:rPr>
          <w:szCs w:val="22"/>
        </w:rPr>
      </w:pPr>
    </w:p>
    <w:p w14:paraId="30A5EB4A" w14:textId="77777777" w:rsidR="00764497" w:rsidRPr="00183B5F" w:rsidRDefault="00943743" w:rsidP="004062FE">
      <w:pPr>
        <w:spacing w:line="240" w:lineRule="auto"/>
        <w:rPr>
          <w:rStyle w:val="hps"/>
          <w:szCs w:val="22"/>
        </w:rPr>
      </w:pPr>
      <w:r w:rsidRPr="00183B5F">
        <w:rPr>
          <w:szCs w:val="22"/>
        </w:rPr>
        <w:t>Forgalomba hozatali engedély első kiadásának dátuma: 2003.</w:t>
      </w:r>
      <w:r w:rsidRPr="00183B5F">
        <w:rPr>
          <w:rStyle w:val="Heading1Char"/>
          <w:rFonts w:ascii="Times New Roman" w:hAnsi="Times New Roman"/>
          <w:sz w:val="22"/>
          <w:szCs w:val="22"/>
        </w:rPr>
        <w:t xml:space="preserve"> </w:t>
      </w:r>
      <w:r w:rsidRPr="00183B5F">
        <w:rPr>
          <w:rStyle w:val="hps"/>
          <w:szCs w:val="22"/>
        </w:rPr>
        <w:t xml:space="preserve">szeptember </w:t>
      </w:r>
      <w:r w:rsidR="00703FA3" w:rsidRPr="00183B5F">
        <w:rPr>
          <w:rStyle w:val="hps"/>
          <w:szCs w:val="22"/>
        </w:rPr>
        <w:t>8</w:t>
      </w:r>
      <w:r w:rsidRPr="00183B5F">
        <w:rPr>
          <w:rStyle w:val="hps"/>
          <w:szCs w:val="22"/>
        </w:rPr>
        <w:t>.</w:t>
      </w:r>
    </w:p>
    <w:p w14:paraId="68404E4C" w14:textId="77777777" w:rsidR="00764497" w:rsidRPr="00183B5F" w:rsidRDefault="00943743" w:rsidP="004062FE">
      <w:pPr>
        <w:spacing w:line="240" w:lineRule="auto"/>
        <w:rPr>
          <w:szCs w:val="22"/>
        </w:rPr>
      </w:pPr>
      <w:r w:rsidRPr="00183B5F">
        <w:rPr>
          <w:szCs w:val="22"/>
        </w:rPr>
        <w:t xml:space="preserve">Forgalomba hozatali engedély legutolsó megújításának dátuma: 2008. </w:t>
      </w:r>
      <w:r w:rsidRPr="00183B5F">
        <w:rPr>
          <w:rStyle w:val="hps"/>
          <w:szCs w:val="22"/>
        </w:rPr>
        <w:t>szeptember 8.</w:t>
      </w:r>
    </w:p>
    <w:p w14:paraId="0608A057" w14:textId="77777777" w:rsidR="00764497" w:rsidRPr="00183B5F" w:rsidRDefault="00764497" w:rsidP="004062FE">
      <w:pPr>
        <w:spacing w:line="240" w:lineRule="auto"/>
        <w:rPr>
          <w:szCs w:val="22"/>
        </w:rPr>
      </w:pPr>
    </w:p>
    <w:p w14:paraId="13FBDE35" w14:textId="77777777" w:rsidR="00764497" w:rsidRPr="00183B5F" w:rsidRDefault="00764497" w:rsidP="004062FE">
      <w:pPr>
        <w:spacing w:line="240" w:lineRule="auto"/>
        <w:rPr>
          <w:szCs w:val="22"/>
        </w:rPr>
      </w:pPr>
    </w:p>
    <w:p w14:paraId="40885E5C" w14:textId="77777777" w:rsidR="00764497" w:rsidRPr="00183B5F" w:rsidRDefault="00943743" w:rsidP="004062FE">
      <w:pPr>
        <w:spacing w:line="240" w:lineRule="auto"/>
        <w:ind w:left="567" w:hanging="567"/>
        <w:rPr>
          <w:b/>
          <w:szCs w:val="22"/>
        </w:rPr>
      </w:pPr>
      <w:r w:rsidRPr="00183B5F">
        <w:rPr>
          <w:b/>
          <w:szCs w:val="22"/>
        </w:rPr>
        <w:t>10.</w:t>
      </w:r>
      <w:r w:rsidRPr="00183B5F">
        <w:rPr>
          <w:b/>
          <w:szCs w:val="22"/>
        </w:rPr>
        <w:tab/>
        <w:t>A SZÖVEG ELLENŐRZÉSÉNEK DÁTUMA</w:t>
      </w:r>
    </w:p>
    <w:p w14:paraId="4A98D7B9" w14:textId="77777777" w:rsidR="00764497" w:rsidRPr="00183B5F" w:rsidRDefault="00764497" w:rsidP="004062FE">
      <w:pPr>
        <w:spacing w:line="240" w:lineRule="auto"/>
        <w:ind w:left="567" w:hanging="567"/>
        <w:rPr>
          <w:bCs/>
          <w:szCs w:val="22"/>
        </w:rPr>
      </w:pPr>
    </w:p>
    <w:p w14:paraId="6498A80D" w14:textId="211104D7" w:rsidR="00764497" w:rsidRPr="00183B5F" w:rsidRDefault="00943743" w:rsidP="004062FE">
      <w:pPr>
        <w:spacing w:line="240" w:lineRule="auto"/>
        <w:rPr>
          <w:bCs/>
          <w:szCs w:val="22"/>
        </w:rPr>
      </w:pPr>
      <w:r w:rsidRPr="00183B5F">
        <w:rPr>
          <w:bCs/>
          <w:szCs w:val="22"/>
        </w:rPr>
        <w:t>A gyógyszerről részletes információ az Európai Gyógyszerügynökség internetes honlapján (</w:t>
      </w:r>
      <w:ins w:id="8515" w:author="AbbVie_HU_03" w:date="2025-05-14T15:57:00Z">
        <w:r w:rsidR="00691B1E">
          <w:rPr>
            <w:bCs/>
            <w:szCs w:val="22"/>
          </w:rPr>
          <w:fldChar w:fldCharType="begin"/>
        </w:r>
        <w:r w:rsidR="00691B1E">
          <w:rPr>
            <w:bCs/>
            <w:szCs w:val="22"/>
          </w:rPr>
          <w:instrText>HYPERLINK "</w:instrText>
        </w:r>
      </w:ins>
      <w:r w:rsidR="00691B1E" w:rsidRPr="00691B1E">
        <w:rPr>
          <w:rStyle w:val="Hyperlink"/>
          <w:bCs/>
          <w:szCs w:val="22"/>
        </w:rPr>
        <w:instrText>http</w:instrText>
      </w:r>
      <w:ins w:id="8516" w:author="AbbVie_HU_03" w:date="2025-05-14T15:56:00Z">
        <w:r w:rsidR="00691B1E" w:rsidRPr="00691B1E">
          <w:rPr>
            <w:rStyle w:val="Hyperlink"/>
            <w:bCs/>
            <w:szCs w:val="22"/>
          </w:rPr>
          <w:instrText>s</w:instrText>
        </w:r>
      </w:ins>
      <w:r w:rsidR="00691B1E" w:rsidRPr="00691B1E">
        <w:rPr>
          <w:rStyle w:val="Hyperlink"/>
          <w:bCs/>
          <w:szCs w:val="22"/>
        </w:rPr>
        <w:instrText>://www.ema.europa.eu</w:instrText>
      </w:r>
      <w:ins w:id="8517" w:author="AbbVie_HU_03" w:date="2025-05-14T15:57:00Z">
        <w:r w:rsidR="00691B1E">
          <w:rPr>
            <w:bCs/>
            <w:szCs w:val="22"/>
          </w:rPr>
          <w:instrText>"</w:instrText>
        </w:r>
        <w:r w:rsidR="00691B1E">
          <w:rPr>
            <w:bCs/>
            <w:szCs w:val="22"/>
          </w:rPr>
        </w:r>
        <w:r w:rsidR="00691B1E">
          <w:rPr>
            <w:bCs/>
            <w:szCs w:val="22"/>
          </w:rPr>
          <w:fldChar w:fldCharType="separate"/>
        </w:r>
      </w:ins>
      <w:r w:rsidR="00691B1E" w:rsidRPr="00691B1E">
        <w:rPr>
          <w:rStyle w:val="Hyperlink"/>
          <w:bCs/>
          <w:szCs w:val="22"/>
        </w:rPr>
        <w:t>http</w:t>
      </w:r>
      <w:ins w:id="8518" w:author="AbbVie_HU_03" w:date="2025-05-14T15:56:00Z">
        <w:r w:rsidR="00691B1E" w:rsidRPr="00691B1E">
          <w:rPr>
            <w:rStyle w:val="Hyperlink"/>
            <w:bCs/>
            <w:szCs w:val="22"/>
          </w:rPr>
          <w:t>s</w:t>
        </w:r>
      </w:ins>
      <w:r w:rsidR="00691B1E" w:rsidRPr="00691B1E">
        <w:rPr>
          <w:rStyle w:val="Hyperlink"/>
          <w:bCs/>
          <w:szCs w:val="22"/>
        </w:rPr>
        <w:t>://www.ema.europa.eu</w:t>
      </w:r>
      <w:ins w:id="8519" w:author="AbbVie_HU_03" w:date="2025-05-14T15:57:00Z">
        <w:r w:rsidR="00691B1E">
          <w:rPr>
            <w:bCs/>
            <w:szCs w:val="22"/>
          </w:rPr>
          <w:fldChar w:fldCharType="end"/>
        </w:r>
      </w:ins>
      <w:r w:rsidRPr="00183B5F">
        <w:rPr>
          <w:bCs/>
          <w:szCs w:val="22"/>
        </w:rPr>
        <w:t>) található.</w:t>
      </w:r>
    </w:p>
    <w:p w14:paraId="4F73DE60" w14:textId="77777777" w:rsidR="00764497" w:rsidRPr="00183B5F" w:rsidRDefault="00943743">
      <w:pPr>
        <w:suppressAutoHyphens w:val="0"/>
        <w:spacing w:line="240" w:lineRule="auto"/>
        <w:rPr>
          <w:b/>
          <w:szCs w:val="22"/>
        </w:rPr>
      </w:pPr>
      <w:r w:rsidRPr="00183B5F">
        <w:rPr>
          <w:b/>
          <w:szCs w:val="22"/>
        </w:rPr>
        <w:br w:type="page"/>
      </w:r>
    </w:p>
    <w:p w14:paraId="2B26F90B" w14:textId="77777777" w:rsidR="00FB6710" w:rsidRPr="00183B5F" w:rsidRDefault="00FB6710" w:rsidP="004062FE">
      <w:pPr>
        <w:spacing w:line="240" w:lineRule="auto"/>
        <w:jc w:val="center"/>
        <w:rPr>
          <w:b/>
          <w:szCs w:val="22"/>
        </w:rPr>
      </w:pPr>
    </w:p>
    <w:p w14:paraId="112CF19E" w14:textId="77777777" w:rsidR="00FB6710" w:rsidRPr="00183B5F" w:rsidRDefault="00FB6710" w:rsidP="004062FE">
      <w:pPr>
        <w:spacing w:line="240" w:lineRule="auto"/>
        <w:jc w:val="center"/>
        <w:rPr>
          <w:b/>
          <w:szCs w:val="22"/>
        </w:rPr>
      </w:pPr>
    </w:p>
    <w:p w14:paraId="043DECFB" w14:textId="77777777" w:rsidR="00FB6710" w:rsidRPr="00183B5F" w:rsidRDefault="00FB6710" w:rsidP="004062FE">
      <w:pPr>
        <w:spacing w:line="240" w:lineRule="auto"/>
        <w:jc w:val="center"/>
        <w:rPr>
          <w:b/>
          <w:szCs w:val="22"/>
        </w:rPr>
      </w:pPr>
    </w:p>
    <w:p w14:paraId="56B8FD99" w14:textId="77777777" w:rsidR="00FB6710" w:rsidRPr="00183B5F" w:rsidRDefault="00FB6710" w:rsidP="004062FE">
      <w:pPr>
        <w:spacing w:line="240" w:lineRule="auto"/>
        <w:jc w:val="center"/>
        <w:rPr>
          <w:b/>
          <w:szCs w:val="22"/>
        </w:rPr>
      </w:pPr>
    </w:p>
    <w:p w14:paraId="11E5BB10" w14:textId="77777777" w:rsidR="00FB6710" w:rsidRPr="00183B5F" w:rsidRDefault="00FB6710" w:rsidP="004062FE">
      <w:pPr>
        <w:spacing w:line="240" w:lineRule="auto"/>
        <w:jc w:val="center"/>
        <w:rPr>
          <w:b/>
          <w:szCs w:val="22"/>
        </w:rPr>
      </w:pPr>
    </w:p>
    <w:p w14:paraId="35461E8B" w14:textId="77777777" w:rsidR="00FB6710" w:rsidRPr="00183B5F" w:rsidRDefault="00FB6710" w:rsidP="004062FE">
      <w:pPr>
        <w:spacing w:line="240" w:lineRule="auto"/>
        <w:jc w:val="center"/>
        <w:rPr>
          <w:b/>
          <w:szCs w:val="22"/>
        </w:rPr>
      </w:pPr>
    </w:p>
    <w:p w14:paraId="5E0E8A25" w14:textId="77777777" w:rsidR="00FB6710" w:rsidRPr="00183B5F" w:rsidRDefault="00FB6710" w:rsidP="004062FE">
      <w:pPr>
        <w:spacing w:line="240" w:lineRule="auto"/>
        <w:jc w:val="center"/>
        <w:rPr>
          <w:b/>
          <w:szCs w:val="22"/>
        </w:rPr>
      </w:pPr>
    </w:p>
    <w:p w14:paraId="6ED68A80" w14:textId="77777777" w:rsidR="00FB6710" w:rsidRPr="00183B5F" w:rsidRDefault="00FB6710" w:rsidP="004062FE">
      <w:pPr>
        <w:spacing w:line="240" w:lineRule="auto"/>
        <w:jc w:val="center"/>
        <w:rPr>
          <w:b/>
          <w:szCs w:val="22"/>
        </w:rPr>
      </w:pPr>
    </w:p>
    <w:p w14:paraId="378C4145" w14:textId="77777777" w:rsidR="00FB6710" w:rsidRPr="00183B5F" w:rsidRDefault="00FB6710" w:rsidP="004062FE">
      <w:pPr>
        <w:spacing w:line="240" w:lineRule="auto"/>
        <w:jc w:val="center"/>
        <w:rPr>
          <w:b/>
          <w:szCs w:val="22"/>
        </w:rPr>
      </w:pPr>
    </w:p>
    <w:p w14:paraId="1AB0B5C8" w14:textId="77777777" w:rsidR="00FB6710" w:rsidRPr="00183B5F" w:rsidRDefault="00FB6710" w:rsidP="004062FE">
      <w:pPr>
        <w:spacing w:line="240" w:lineRule="auto"/>
        <w:jc w:val="center"/>
        <w:rPr>
          <w:b/>
          <w:szCs w:val="22"/>
        </w:rPr>
      </w:pPr>
    </w:p>
    <w:p w14:paraId="083A789A" w14:textId="77777777" w:rsidR="00FB6710" w:rsidRPr="00183B5F" w:rsidRDefault="00FB6710" w:rsidP="004062FE">
      <w:pPr>
        <w:spacing w:line="240" w:lineRule="auto"/>
        <w:jc w:val="center"/>
        <w:rPr>
          <w:b/>
          <w:szCs w:val="22"/>
        </w:rPr>
      </w:pPr>
    </w:p>
    <w:p w14:paraId="46314F3D" w14:textId="77777777" w:rsidR="00FB6710" w:rsidRPr="00183B5F" w:rsidRDefault="00FB6710" w:rsidP="004062FE">
      <w:pPr>
        <w:spacing w:line="240" w:lineRule="auto"/>
        <w:jc w:val="center"/>
        <w:rPr>
          <w:b/>
          <w:szCs w:val="22"/>
        </w:rPr>
      </w:pPr>
    </w:p>
    <w:p w14:paraId="6CB99FD7" w14:textId="77777777" w:rsidR="00FB6710" w:rsidRPr="00183B5F" w:rsidRDefault="00FB6710" w:rsidP="004062FE">
      <w:pPr>
        <w:spacing w:line="240" w:lineRule="auto"/>
        <w:jc w:val="center"/>
        <w:rPr>
          <w:b/>
          <w:szCs w:val="22"/>
        </w:rPr>
      </w:pPr>
    </w:p>
    <w:p w14:paraId="2835DC4A" w14:textId="77777777" w:rsidR="00FB6710" w:rsidRPr="00183B5F" w:rsidRDefault="00FB6710" w:rsidP="004062FE">
      <w:pPr>
        <w:spacing w:line="240" w:lineRule="auto"/>
        <w:jc w:val="center"/>
        <w:rPr>
          <w:b/>
          <w:szCs w:val="22"/>
        </w:rPr>
      </w:pPr>
    </w:p>
    <w:p w14:paraId="3550CCFD" w14:textId="77777777" w:rsidR="00FB6710" w:rsidRPr="00183B5F" w:rsidRDefault="00FB6710" w:rsidP="004062FE">
      <w:pPr>
        <w:spacing w:line="240" w:lineRule="auto"/>
        <w:jc w:val="center"/>
        <w:rPr>
          <w:b/>
          <w:szCs w:val="22"/>
        </w:rPr>
      </w:pPr>
    </w:p>
    <w:p w14:paraId="77D4D209" w14:textId="77777777" w:rsidR="00FB6710" w:rsidRPr="00183B5F" w:rsidRDefault="00FB6710" w:rsidP="004062FE">
      <w:pPr>
        <w:spacing w:line="240" w:lineRule="auto"/>
        <w:jc w:val="center"/>
        <w:rPr>
          <w:b/>
          <w:szCs w:val="22"/>
        </w:rPr>
      </w:pPr>
    </w:p>
    <w:p w14:paraId="3A8A9217" w14:textId="77777777" w:rsidR="00FB6710" w:rsidRPr="00183B5F" w:rsidRDefault="00FB6710" w:rsidP="004062FE">
      <w:pPr>
        <w:spacing w:line="240" w:lineRule="auto"/>
        <w:jc w:val="center"/>
        <w:rPr>
          <w:b/>
          <w:szCs w:val="22"/>
        </w:rPr>
      </w:pPr>
    </w:p>
    <w:p w14:paraId="711348B4" w14:textId="77777777" w:rsidR="00FB6710" w:rsidRPr="00183B5F" w:rsidRDefault="00FB6710" w:rsidP="004062FE">
      <w:pPr>
        <w:spacing w:line="240" w:lineRule="auto"/>
        <w:jc w:val="center"/>
        <w:rPr>
          <w:b/>
          <w:szCs w:val="22"/>
        </w:rPr>
      </w:pPr>
    </w:p>
    <w:p w14:paraId="0BD9251E" w14:textId="77777777" w:rsidR="00FB6710" w:rsidRPr="00183B5F" w:rsidRDefault="00FB6710" w:rsidP="004062FE">
      <w:pPr>
        <w:spacing w:line="240" w:lineRule="auto"/>
        <w:jc w:val="center"/>
        <w:rPr>
          <w:b/>
          <w:szCs w:val="22"/>
        </w:rPr>
      </w:pPr>
    </w:p>
    <w:p w14:paraId="2471AFF7" w14:textId="77777777" w:rsidR="00FB6710" w:rsidRPr="00183B5F" w:rsidRDefault="00FB6710" w:rsidP="004062FE">
      <w:pPr>
        <w:spacing w:line="240" w:lineRule="auto"/>
        <w:jc w:val="center"/>
        <w:rPr>
          <w:b/>
          <w:szCs w:val="22"/>
        </w:rPr>
      </w:pPr>
    </w:p>
    <w:p w14:paraId="387855D2" w14:textId="77777777" w:rsidR="000B205A" w:rsidRPr="00183B5F" w:rsidRDefault="000B205A" w:rsidP="004062FE">
      <w:pPr>
        <w:spacing w:line="240" w:lineRule="auto"/>
        <w:jc w:val="center"/>
        <w:rPr>
          <w:b/>
          <w:szCs w:val="22"/>
        </w:rPr>
      </w:pPr>
    </w:p>
    <w:p w14:paraId="7B8130E0" w14:textId="77777777" w:rsidR="00FB6710" w:rsidRPr="00183B5F" w:rsidRDefault="00FB6710" w:rsidP="004062FE">
      <w:pPr>
        <w:spacing w:line="240" w:lineRule="auto"/>
        <w:jc w:val="center"/>
        <w:rPr>
          <w:b/>
          <w:szCs w:val="22"/>
        </w:rPr>
      </w:pPr>
    </w:p>
    <w:p w14:paraId="263D0E8B" w14:textId="77777777" w:rsidR="00FB6710" w:rsidRPr="00183B5F" w:rsidRDefault="00FB6710" w:rsidP="004062FE">
      <w:pPr>
        <w:spacing w:line="240" w:lineRule="auto"/>
        <w:jc w:val="center"/>
        <w:rPr>
          <w:b/>
          <w:szCs w:val="22"/>
        </w:rPr>
      </w:pPr>
    </w:p>
    <w:p w14:paraId="0F63A611" w14:textId="77777777" w:rsidR="00FB6710" w:rsidRPr="00183B5F" w:rsidRDefault="00943743" w:rsidP="004062FE">
      <w:pPr>
        <w:spacing w:line="240" w:lineRule="auto"/>
        <w:jc w:val="center"/>
        <w:rPr>
          <w:b/>
          <w:szCs w:val="22"/>
        </w:rPr>
      </w:pPr>
      <w:r w:rsidRPr="00183B5F">
        <w:rPr>
          <w:b/>
          <w:szCs w:val="22"/>
        </w:rPr>
        <w:t>II. MELLÉKLET</w:t>
      </w:r>
    </w:p>
    <w:p w14:paraId="7CE69D29" w14:textId="77777777" w:rsidR="00FB6710" w:rsidRPr="00183B5F" w:rsidRDefault="00FB6710" w:rsidP="004062FE">
      <w:pPr>
        <w:spacing w:line="240" w:lineRule="auto"/>
        <w:ind w:left="1701" w:right="1416" w:hanging="567"/>
        <w:rPr>
          <w:szCs w:val="22"/>
        </w:rPr>
      </w:pPr>
    </w:p>
    <w:p w14:paraId="36281692" w14:textId="77777777" w:rsidR="00FB6710" w:rsidRPr="00183B5F" w:rsidRDefault="00943743" w:rsidP="004062FE">
      <w:pPr>
        <w:pStyle w:val="TitleB"/>
        <w:spacing w:line="240" w:lineRule="auto"/>
      </w:pPr>
      <w:r w:rsidRPr="00183B5F">
        <w:t>A.</w:t>
      </w:r>
      <w:r w:rsidRPr="00183B5F">
        <w:tab/>
      </w:r>
      <w:r w:rsidRPr="00183B5F">
        <w:t xml:space="preserve">A BIOLÓGIAI EREDETŰ HATÓANYAG(OK) GYÁRTÓ(I) ÉS A GYÁRTÁSI TÉTELEK VÉGFELSZABADÍTÁSÁÉRT FELELŐS </w:t>
      </w:r>
      <w:r w:rsidR="00664E31" w:rsidRPr="00183B5F">
        <w:t>GYÁRTÓ(K)</w:t>
      </w:r>
    </w:p>
    <w:p w14:paraId="3AF6AF70" w14:textId="77777777" w:rsidR="00FB6710" w:rsidRPr="00183B5F" w:rsidRDefault="00FB6710" w:rsidP="004062FE">
      <w:pPr>
        <w:spacing w:line="240" w:lineRule="auto"/>
        <w:ind w:left="1701" w:right="1416" w:hanging="711"/>
        <w:rPr>
          <w:bCs/>
          <w:szCs w:val="22"/>
        </w:rPr>
      </w:pPr>
    </w:p>
    <w:p w14:paraId="24B531B5" w14:textId="7AF12E85" w:rsidR="00664E31" w:rsidRPr="00183B5F" w:rsidRDefault="00943743" w:rsidP="004062FE">
      <w:pPr>
        <w:pStyle w:val="TitleB"/>
        <w:spacing w:line="240" w:lineRule="auto"/>
      </w:pPr>
      <w:r w:rsidRPr="00183B5F">
        <w:rPr>
          <w:szCs w:val="22"/>
        </w:rPr>
        <w:t>B.</w:t>
      </w:r>
      <w:r w:rsidRPr="00183B5F">
        <w:rPr>
          <w:szCs w:val="22"/>
        </w:rPr>
        <w:tab/>
      </w:r>
      <w:ins w:id="8520" w:author="AbbVie_HU_03" w:date="2025-05-14T15:59:00Z">
        <w:r w:rsidR="00691B1E" w:rsidRPr="00071EBC">
          <w:rPr>
            <w:bCs/>
          </w:rPr>
          <w:t xml:space="preserve">A KIADÁSRA ÉS A FELHASZNÁLÁSRA VONATKOZÓ </w:t>
        </w:r>
      </w:ins>
      <w:r w:rsidRPr="00183B5F">
        <w:t>FELTÉTELEK VAGY KORLÁTOZÁSOK</w:t>
      </w:r>
      <w:del w:id="8521" w:author="AbbVie_HU_03" w:date="2025-05-14T15:59:00Z">
        <w:r w:rsidRPr="00183B5F">
          <w:delText xml:space="preserve"> AZ ELLÁTÁS ÉS HASZNÁLAT KAPCSÁN</w:delText>
        </w:r>
      </w:del>
    </w:p>
    <w:p w14:paraId="5640B44F" w14:textId="77777777" w:rsidR="00664E31" w:rsidRPr="00183B5F" w:rsidRDefault="00664E31" w:rsidP="004062FE">
      <w:pPr>
        <w:suppressLineNumbers/>
        <w:spacing w:line="240" w:lineRule="auto"/>
        <w:ind w:left="1701" w:right="1416" w:hanging="711"/>
        <w:rPr>
          <w:rFonts w:ascii="SimSun" w:hAnsi="SimSun"/>
          <w:b/>
          <w:szCs w:val="24"/>
        </w:rPr>
      </w:pPr>
    </w:p>
    <w:p w14:paraId="0B522673" w14:textId="74A4D69D" w:rsidR="00664E31" w:rsidRPr="00183B5F" w:rsidRDefault="00943743" w:rsidP="004062FE">
      <w:pPr>
        <w:pStyle w:val="TitleB"/>
        <w:spacing w:line="240" w:lineRule="auto"/>
      </w:pPr>
      <w:r w:rsidRPr="00183B5F">
        <w:t>C.</w:t>
      </w:r>
      <w:r w:rsidRPr="00183B5F">
        <w:tab/>
      </w:r>
      <w:ins w:id="8522" w:author="AbbVie_HU_03" w:date="2025-05-14T15:59:00Z">
        <w:r w:rsidR="00691B1E" w:rsidRPr="00071EBC">
          <w:rPr>
            <w:bCs/>
          </w:rPr>
          <w:t>A FORGALOMBA HOZATALI ENGEDÉLYBEN FOGLALT EGYÉB FELTÉTELEK ÉS KÖVETELMÉNYEK</w:t>
        </w:r>
      </w:ins>
      <w:del w:id="8523" w:author="AbbVie_HU_03" w:date="2025-05-14T15:59:00Z">
        <w:r w:rsidRPr="00183B5F">
          <w:delText>A FORGALOMBA HOZATALI ENGEDÉLY EGYÉB FELTÉTELEI ÉS KÖVETELMÉNYEI</w:delText>
        </w:r>
      </w:del>
    </w:p>
    <w:p w14:paraId="6999C4E5" w14:textId="77777777" w:rsidR="00664E31" w:rsidRPr="00183B5F" w:rsidRDefault="00664E31" w:rsidP="004062FE">
      <w:pPr>
        <w:suppressLineNumbers/>
        <w:spacing w:line="240" w:lineRule="auto"/>
        <w:ind w:left="1701" w:right="1416" w:hanging="711"/>
        <w:rPr>
          <w:b/>
          <w:noProof/>
          <w:szCs w:val="24"/>
        </w:rPr>
      </w:pPr>
    </w:p>
    <w:p w14:paraId="4B236B18" w14:textId="5F0B6D65" w:rsidR="00FB6710" w:rsidRPr="00183B5F" w:rsidRDefault="00943743" w:rsidP="004062FE">
      <w:pPr>
        <w:pStyle w:val="TitleB"/>
        <w:spacing w:line="240" w:lineRule="auto"/>
        <w:rPr>
          <w:szCs w:val="22"/>
        </w:rPr>
      </w:pPr>
      <w:r w:rsidRPr="00183B5F">
        <w:t>D.</w:t>
      </w:r>
      <w:r w:rsidRPr="00183B5F">
        <w:tab/>
      </w:r>
      <w:ins w:id="8524" w:author="AbbVie_HU_03" w:date="2025-05-14T16:00:00Z">
        <w:r w:rsidR="00691B1E" w:rsidRPr="00071EBC">
          <w:rPr>
            <w:bCs/>
          </w:rPr>
          <w:t xml:space="preserve">A GYÓGYSZER BIZTONSÁGOS ÉS HATÉKONY ALKALMAZÁSÁRA VONATKOZÓ </w:t>
        </w:r>
      </w:ins>
      <w:r w:rsidRPr="00183B5F">
        <w:t>FELTÉTELEK VAGY KORLÁTOZÁSOK</w:t>
      </w:r>
      <w:del w:id="8525" w:author="AbbVie_HU_03" w:date="2025-05-14T16:00:00Z">
        <w:r w:rsidRPr="00183B5F">
          <w:delText xml:space="preserve"> A GYÓGYSZER BIZTONSÁGOS ÉS HATÉKONY ALKALMAZÁSÁRA VONATKOZÓAN</w:delText>
        </w:r>
      </w:del>
    </w:p>
    <w:p w14:paraId="28D052C2" w14:textId="77777777" w:rsidR="00FB6710" w:rsidRPr="00183B5F" w:rsidRDefault="00943743" w:rsidP="004062FE">
      <w:pPr>
        <w:pStyle w:val="BMLeftAligned"/>
        <w:spacing w:line="240" w:lineRule="auto"/>
        <w:rPr>
          <w:szCs w:val="22"/>
        </w:rPr>
      </w:pPr>
      <w:r w:rsidRPr="00183B5F">
        <w:rPr>
          <w:szCs w:val="22"/>
        </w:rPr>
        <w:br w:type="page"/>
        <w:t>A.</w:t>
      </w:r>
      <w:r w:rsidRPr="00183B5F">
        <w:rPr>
          <w:szCs w:val="22"/>
        </w:rPr>
        <w:tab/>
      </w:r>
      <w:r w:rsidRPr="00183B5F">
        <w:rPr>
          <w:noProof/>
          <w:szCs w:val="22"/>
        </w:rPr>
        <w:t xml:space="preserve">A BIOLÓGIAI EREDETŰ HATÓANYAG(OK) GYÁRTÓI ÉS A GYÁRTÁSI TÉTELEK VÉGFELSZABADÍTÁSÁÉRT FELELŐS </w:t>
      </w:r>
      <w:r w:rsidR="00664E31" w:rsidRPr="00183B5F">
        <w:rPr>
          <w:noProof/>
          <w:szCs w:val="22"/>
        </w:rPr>
        <w:t>GYÁRTÓ(K)</w:t>
      </w:r>
    </w:p>
    <w:p w14:paraId="5B03AA8D" w14:textId="77777777" w:rsidR="00FB6710" w:rsidRPr="00183B5F" w:rsidRDefault="00FB6710" w:rsidP="004062FE">
      <w:pPr>
        <w:spacing w:line="240" w:lineRule="auto"/>
        <w:ind w:right="1416"/>
        <w:jc w:val="both"/>
        <w:rPr>
          <w:szCs w:val="22"/>
        </w:rPr>
      </w:pPr>
    </w:p>
    <w:p w14:paraId="36B2C767" w14:textId="77777777" w:rsidR="00FB6710" w:rsidRPr="00183B5F" w:rsidRDefault="00943743" w:rsidP="004062FE">
      <w:pPr>
        <w:spacing w:line="240" w:lineRule="auto"/>
        <w:ind w:right="1416"/>
        <w:rPr>
          <w:szCs w:val="22"/>
        </w:rPr>
      </w:pPr>
      <w:r w:rsidRPr="00183B5F">
        <w:rPr>
          <w:noProof/>
          <w:szCs w:val="22"/>
          <w:u w:val="single"/>
        </w:rPr>
        <w:t>A biológiai eredetű hatóanyag gyártójának neve és címe</w:t>
      </w:r>
    </w:p>
    <w:p w14:paraId="03988EA4" w14:textId="77777777" w:rsidR="00FB6710" w:rsidRPr="00183B5F" w:rsidRDefault="00FB6710" w:rsidP="004062FE">
      <w:pPr>
        <w:spacing w:line="240" w:lineRule="auto"/>
        <w:jc w:val="both"/>
        <w:rPr>
          <w:szCs w:val="22"/>
        </w:rPr>
      </w:pPr>
    </w:p>
    <w:p w14:paraId="0EA4E35A" w14:textId="77777777" w:rsidR="00FB6710" w:rsidRPr="00183B5F" w:rsidRDefault="00943743" w:rsidP="004062FE">
      <w:pPr>
        <w:tabs>
          <w:tab w:val="left" w:pos="1134"/>
        </w:tabs>
        <w:spacing w:line="240" w:lineRule="auto"/>
        <w:jc w:val="both"/>
        <w:rPr>
          <w:szCs w:val="22"/>
        </w:rPr>
      </w:pPr>
      <w:r w:rsidRPr="00183B5F">
        <w:rPr>
          <w:szCs w:val="22"/>
        </w:rPr>
        <w:t>AbbVie Bioresearch Center</w:t>
      </w:r>
    </w:p>
    <w:p w14:paraId="66B2A8E4" w14:textId="77777777" w:rsidR="00FB6710" w:rsidRPr="00183B5F" w:rsidRDefault="00943743" w:rsidP="004062FE">
      <w:pPr>
        <w:tabs>
          <w:tab w:val="left" w:pos="1134"/>
        </w:tabs>
        <w:spacing w:line="240" w:lineRule="auto"/>
        <w:jc w:val="both"/>
        <w:rPr>
          <w:szCs w:val="22"/>
        </w:rPr>
      </w:pPr>
      <w:r w:rsidRPr="00183B5F">
        <w:rPr>
          <w:szCs w:val="22"/>
        </w:rPr>
        <w:t>100 Research Drive</w:t>
      </w:r>
    </w:p>
    <w:p w14:paraId="6F0631AE" w14:textId="77777777" w:rsidR="00FB6710" w:rsidRPr="00183B5F" w:rsidRDefault="00943743" w:rsidP="004062FE">
      <w:pPr>
        <w:tabs>
          <w:tab w:val="left" w:pos="1134"/>
        </w:tabs>
        <w:spacing w:line="240" w:lineRule="auto"/>
        <w:jc w:val="both"/>
        <w:rPr>
          <w:szCs w:val="22"/>
        </w:rPr>
      </w:pPr>
      <w:r w:rsidRPr="00183B5F">
        <w:rPr>
          <w:szCs w:val="22"/>
        </w:rPr>
        <w:t>Worcester</w:t>
      </w:r>
    </w:p>
    <w:p w14:paraId="5BACCDE8" w14:textId="77777777" w:rsidR="00FB6710" w:rsidRPr="00183B5F" w:rsidRDefault="00943743" w:rsidP="004062FE">
      <w:pPr>
        <w:tabs>
          <w:tab w:val="left" w:pos="1134"/>
        </w:tabs>
        <w:spacing w:line="240" w:lineRule="auto"/>
        <w:jc w:val="both"/>
        <w:rPr>
          <w:szCs w:val="22"/>
        </w:rPr>
      </w:pPr>
      <w:r w:rsidRPr="00183B5F">
        <w:rPr>
          <w:szCs w:val="22"/>
        </w:rPr>
        <w:t>MA 01605</w:t>
      </w:r>
    </w:p>
    <w:p w14:paraId="0F641420" w14:textId="77777777" w:rsidR="00FB6710" w:rsidRPr="00183B5F" w:rsidRDefault="00943743" w:rsidP="004062FE">
      <w:pPr>
        <w:tabs>
          <w:tab w:val="left" w:pos="1134"/>
          <w:tab w:val="left" w:pos="3572"/>
        </w:tabs>
        <w:spacing w:line="240" w:lineRule="auto"/>
        <w:jc w:val="both"/>
        <w:rPr>
          <w:szCs w:val="22"/>
        </w:rPr>
      </w:pPr>
      <w:r w:rsidRPr="00183B5F">
        <w:rPr>
          <w:szCs w:val="22"/>
        </w:rPr>
        <w:t>Egyesült Államok</w:t>
      </w:r>
    </w:p>
    <w:p w14:paraId="0D64D71C" w14:textId="77777777" w:rsidR="00FB6710" w:rsidRPr="00183B5F" w:rsidRDefault="00FB6710">
      <w:pPr>
        <w:suppressAutoHyphens w:val="0"/>
        <w:spacing w:line="240" w:lineRule="auto"/>
        <w:rPr>
          <w:szCs w:val="22"/>
        </w:rPr>
      </w:pPr>
    </w:p>
    <w:p w14:paraId="709D0B96" w14:textId="77777777" w:rsidR="00FB6710" w:rsidRPr="00183B5F" w:rsidRDefault="00943743">
      <w:pPr>
        <w:pStyle w:val="EndnoteText"/>
        <w:tabs>
          <w:tab w:val="clear" w:pos="567"/>
        </w:tabs>
        <w:rPr>
          <w:sz w:val="22"/>
          <w:szCs w:val="22"/>
          <w:lang w:val="hu-HU"/>
        </w:rPr>
      </w:pPr>
      <w:r w:rsidRPr="00183B5F">
        <w:rPr>
          <w:sz w:val="22"/>
          <w:szCs w:val="22"/>
          <w:lang w:val="hu-HU"/>
        </w:rPr>
        <w:t>és</w:t>
      </w:r>
    </w:p>
    <w:p w14:paraId="53D25F18" w14:textId="77777777" w:rsidR="00FB6710" w:rsidRPr="00183B5F" w:rsidRDefault="00FB6710">
      <w:pPr>
        <w:suppressAutoHyphens w:val="0"/>
        <w:spacing w:line="240" w:lineRule="auto"/>
        <w:rPr>
          <w:szCs w:val="22"/>
          <w:lang w:eastAsia="en-US"/>
        </w:rPr>
      </w:pPr>
    </w:p>
    <w:p w14:paraId="4897013F" w14:textId="77777777" w:rsidR="00FB6710" w:rsidRPr="00183B5F" w:rsidRDefault="00943743">
      <w:pPr>
        <w:suppressAutoHyphens w:val="0"/>
        <w:spacing w:line="240" w:lineRule="auto"/>
        <w:rPr>
          <w:szCs w:val="22"/>
          <w:lang w:eastAsia="en-US"/>
        </w:rPr>
      </w:pPr>
      <w:r w:rsidRPr="00183B5F">
        <w:rPr>
          <w:szCs w:val="22"/>
          <w:lang w:eastAsia="en-US"/>
        </w:rPr>
        <w:t>AbbVie Biotechnology Ltd.</w:t>
      </w:r>
    </w:p>
    <w:p w14:paraId="6417AC72" w14:textId="77777777" w:rsidR="00FB6710" w:rsidRPr="00183B5F" w:rsidRDefault="00943743">
      <w:pPr>
        <w:suppressAutoHyphens w:val="0"/>
        <w:spacing w:line="240" w:lineRule="auto"/>
        <w:rPr>
          <w:szCs w:val="22"/>
          <w:lang w:eastAsia="en-US"/>
        </w:rPr>
      </w:pPr>
      <w:r w:rsidRPr="00183B5F">
        <w:rPr>
          <w:szCs w:val="22"/>
          <w:lang w:eastAsia="en-US"/>
        </w:rPr>
        <w:t>Road No. 2, Km. 59.2</w:t>
      </w:r>
    </w:p>
    <w:p w14:paraId="7B3F7417" w14:textId="77777777" w:rsidR="00FB6710" w:rsidRPr="00183B5F" w:rsidRDefault="00943743">
      <w:pPr>
        <w:suppressAutoHyphens w:val="0"/>
        <w:spacing w:line="240" w:lineRule="auto"/>
      </w:pPr>
      <w:r w:rsidRPr="00183B5F">
        <w:t>Barceloneta</w:t>
      </w:r>
    </w:p>
    <w:p w14:paraId="4C559F06" w14:textId="77777777" w:rsidR="00FB6710" w:rsidRPr="00183B5F" w:rsidRDefault="00943743">
      <w:pPr>
        <w:suppressAutoHyphens w:val="0"/>
        <w:spacing w:line="240" w:lineRule="auto"/>
      </w:pPr>
      <w:r w:rsidRPr="00183B5F">
        <w:t>Puerto Rico 00617</w:t>
      </w:r>
    </w:p>
    <w:p w14:paraId="0BC28F03" w14:textId="77777777" w:rsidR="00FB6710" w:rsidRPr="00183B5F" w:rsidRDefault="00943743">
      <w:pPr>
        <w:suppressAutoHyphens w:val="0"/>
        <w:spacing w:line="240" w:lineRule="auto"/>
      </w:pPr>
      <w:r w:rsidRPr="00183B5F">
        <w:t>Egyesült Államok</w:t>
      </w:r>
    </w:p>
    <w:p w14:paraId="41F513CC" w14:textId="77777777" w:rsidR="00FB6710" w:rsidRPr="00183B5F" w:rsidRDefault="00FB6710">
      <w:pPr>
        <w:suppressAutoHyphens w:val="0"/>
        <w:spacing w:line="240" w:lineRule="auto"/>
      </w:pPr>
    </w:p>
    <w:p w14:paraId="72054B4E" w14:textId="77777777" w:rsidR="00AE3A0E" w:rsidRPr="00183B5F" w:rsidRDefault="00943743">
      <w:pPr>
        <w:tabs>
          <w:tab w:val="left" w:pos="2263"/>
        </w:tabs>
        <w:suppressAutoHyphens w:val="0"/>
        <w:spacing w:line="240" w:lineRule="auto"/>
      </w:pPr>
      <w:r w:rsidRPr="00183B5F">
        <w:t>és</w:t>
      </w:r>
    </w:p>
    <w:p w14:paraId="5026D324" w14:textId="77777777" w:rsidR="00AE3A0E" w:rsidRPr="00183B5F" w:rsidRDefault="00AE3A0E">
      <w:pPr>
        <w:tabs>
          <w:tab w:val="left" w:pos="2263"/>
        </w:tabs>
        <w:suppressAutoHyphens w:val="0"/>
        <w:spacing w:line="240" w:lineRule="auto"/>
      </w:pPr>
    </w:p>
    <w:p w14:paraId="7C7EE3D1" w14:textId="77777777" w:rsidR="00AE3A0E" w:rsidRPr="00183B5F" w:rsidRDefault="00943743" w:rsidP="004062FE">
      <w:pPr>
        <w:autoSpaceDE w:val="0"/>
        <w:autoSpaceDN w:val="0"/>
        <w:adjustRightInd w:val="0"/>
        <w:spacing w:line="240" w:lineRule="auto"/>
        <w:rPr>
          <w:bCs/>
          <w:szCs w:val="22"/>
        </w:rPr>
      </w:pPr>
      <w:r w:rsidRPr="00183B5F">
        <w:rPr>
          <w:bCs/>
          <w:szCs w:val="22"/>
        </w:rPr>
        <w:t>Lonza Biologics Tuas PTE Ltd</w:t>
      </w:r>
    </w:p>
    <w:p w14:paraId="2AF6BDAA" w14:textId="77777777" w:rsidR="00AE3A0E" w:rsidRPr="00183B5F" w:rsidRDefault="00943743" w:rsidP="004062FE">
      <w:pPr>
        <w:autoSpaceDE w:val="0"/>
        <w:autoSpaceDN w:val="0"/>
        <w:adjustRightInd w:val="0"/>
        <w:spacing w:line="240" w:lineRule="auto"/>
        <w:rPr>
          <w:bCs/>
          <w:szCs w:val="22"/>
        </w:rPr>
      </w:pPr>
      <w:r w:rsidRPr="00183B5F">
        <w:rPr>
          <w:bCs/>
          <w:szCs w:val="22"/>
        </w:rPr>
        <w:t>35 Tuas South Ave 6</w:t>
      </w:r>
    </w:p>
    <w:p w14:paraId="56D6FC99" w14:textId="77777777" w:rsidR="00AE3A0E" w:rsidRPr="00183B5F" w:rsidRDefault="00943743" w:rsidP="004062FE">
      <w:pPr>
        <w:spacing w:line="240" w:lineRule="auto"/>
        <w:rPr>
          <w:szCs w:val="22"/>
        </w:rPr>
      </w:pPr>
      <w:r w:rsidRPr="00183B5F">
        <w:rPr>
          <w:bCs/>
          <w:szCs w:val="22"/>
        </w:rPr>
        <w:t>Szingapúr 637377</w:t>
      </w:r>
    </w:p>
    <w:p w14:paraId="10A54B42" w14:textId="77777777" w:rsidR="00FB6710" w:rsidRPr="00183B5F" w:rsidRDefault="00FB6710">
      <w:pPr>
        <w:tabs>
          <w:tab w:val="left" w:pos="2263"/>
        </w:tabs>
        <w:suppressAutoHyphens w:val="0"/>
        <w:spacing w:line="240" w:lineRule="auto"/>
      </w:pPr>
    </w:p>
    <w:p w14:paraId="3044D601" w14:textId="77777777" w:rsidR="00FB6710" w:rsidRPr="00183B5F" w:rsidRDefault="00943743" w:rsidP="004062FE">
      <w:pPr>
        <w:spacing w:line="240" w:lineRule="auto"/>
        <w:jc w:val="both"/>
        <w:rPr>
          <w:szCs w:val="22"/>
          <w:u w:val="single"/>
        </w:rPr>
      </w:pPr>
      <w:r w:rsidRPr="00183B5F">
        <w:rPr>
          <w:szCs w:val="22"/>
          <w:u w:val="single"/>
        </w:rPr>
        <w:t>A gyártási tételek végfelszabadításáért felelős gyártó neve és címe</w:t>
      </w:r>
    </w:p>
    <w:p w14:paraId="5BD2B296" w14:textId="77777777" w:rsidR="00F023FC" w:rsidRPr="00183B5F" w:rsidRDefault="00F023FC" w:rsidP="004062FE">
      <w:pPr>
        <w:spacing w:line="240" w:lineRule="auto"/>
        <w:jc w:val="both"/>
        <w:rPr>
          <w:szCs w:val="22"/>
        </w:rPr>
      </w:pPr>
    </w:p>
    <w:p w14:paraId="3D1A169C" w14:textId="77777777" w:rsidR="00F023FC" w:rsidRPr="00183B5F" w:rsidRDefault="00943743" w:rsidP="004062FE">
      <w:pPr>
        <w:spacing w:line="240" w:lineRule="auto"/>
      </w:pPr>
      <w:r w:rsidRPr="00183B5F">
        <w:t>AbbVie Biotechnology GmbH</w:t>
      </w:r>
    </w:p>
    <w:p w14:paraId="2CE22AA7" w14:textId="77777777" w:rsidR="00F023FC" w:rsidRPr="00183B5F" w:rsidRDefault="00943743" w:rsidP="004062FE">
      <w:pPr>
        <w:numPr>
          <w:ilvl w:val="12"/>
          <w:numId w:val="0"/>
        </w:numPr>
        <w:tabs>
          <w:tab w:val="left" w:pos="720"/>
        </w:tabs>
        <w:spacing w:line="240" w:lineRule="auto"/>
      </w:pPr>
      <w:r w:rsidRPr="00183B5F">
        <w:t>Knollstrasse</w:t>
      </w:r>
    </w:p>
    <w:p w14:paraId="7B8B032F" w14:textId="77777777" w:rsidR="00F023FC" w:rsidRPr="00183B5F" w:rsidRDefault="00943743" w:rsidP="004062FE">
      <w:pPr>
        <w:numPr>
          <w:ilvl w:val="12"/>
          <w:numId w:val="0"/>
        </w:numPr>
        <w:tabs>
          <w:tab w:val="left" w:pos="720"/>
        </w:tabs>
        <w:spacing w:line="240" w:lineRule="auto"/>
      </w:pPr>
      <w:r w:rsidRPr="00183B5F">
        <w:t>67061 Ludwigshafen</w:t>
      </w:r>
    </w:p>
    <w:p w14:paraId="1F061CF5" w14:textId="77777777" w:rsidR="00FB6710" w:rsidRPr="00183B5F" w:rsidRDefault="00943743" w:rsidP="004062FE">
      <w:pPr>
        <w:spacing w:line="240" w:lineRule="auto"/>
        <w:jc w:val="both"/>
      </w:pPr>
      <w:r w:rsidRPr="00183B5F">
        <w:t>Németország</w:t>
      </w:r>
    </w:p>
    <w:p w14:paraId="4891B8A6" w14:textId="77777777" w:rsidR="00112BB4" w:rsidRPr="00183B5F" w:rsidRDefault="00112BB4" w:rsidP="004062FE">
      <w:pPr>
        <w:spacing w:line="240" w:lineRule="auto"/>
        <w:jc w:val="both"/>
        <w:rPr>
          <w:szCs w:val="22"/>
        </w:rPr>
      </w:pPr>
    </w:p>
    <w:p w14:paraId="19658363" w14:textId="77777777" w:rsidR="00112BB4" w:rsidRPr="00183B5F" w:rsidRDefault="00112BB4" w:rsidP="004062FE">
      <w:pPr>
        <w:spacing w:line="240" w:lineRule="auto"/>
        <w:jc w:val="both"/>
        <w:rPr>
          <w:szCs w:val="22"/>
        </w:rPr>
      </w:pPr>
    </w:p>
    <w:p w14:paraId="666E2097" w14:textId="1B97EB2C" w:rsidR="00FB6710" w:rsidRPr="00183B5F" w:rsidRDefault="00943743" w:rsidP="004062FE">
      <w:pPr>
        <w:pStyle w:val="BMLeftAligned"/>
        <w:spacing w:line="240" w:lineRule="auto"/>
        <w:rPr>
          <w:szCs w:val="22"/>
        </w:rPr>
      </w:pPr>
      <w:r w:rsidRPr="00183B5F">
        <w:rPr>
          <w:szCs w:val="22"/>
        </w:rPr>
        <w:t>B.</w:t>
      </w:r>
      <w:r w:rsidRPr="00183B5F">
        <w:rPr>
          <w:szCs w:val="22"/>
        </w:rPr>
        <w:tab/>
      </w:r>
      <w:ins w:id="8526" w:author="AbbVie_HU_03" w:date="2025-05-14T16:01:00Z">
        <w:r w:rsidR="00691B1E" w:rsidRPr="00071EBC">
          <w:rPr>
            <w:bCs/>
          </w:rPr>
          <w:t xml:space="preserve">A KIADÁSRA ÉS A FELHASZNÁLÁSRA VONATKOZÓ </w:t>
        </w:r>
      </w:ins>
      <w:r w:rsidR="00664E31" w:rsidRPr="00183B5F">
        <w:rPr>
          <w:szCs w:val="22"/>
        </w:rPr>
        <w:t>FELTÉTELEK VAGY KORLÁTOZÁSOK</w:t>
      </w:r>
      <w:del w:id="8527" w:author="AbbVie_HU_03" w:date="2025-05-14T16:01:00Z">
        <w:r w:rsidR="00664E31" w:rsidRPr="00183B5F">
          <w:rPr>
            <w:szCs w:val="22"/>
          </w:rPr>
          <w:delText xml:space="preserve"> AZ ELLÁTÁS ÉS HASZNÁLAT KAPCSÁN</w:delText>
        </w:r>
      </w:del>
    </w:p>
    <w:p w14:paraId="29E52077" w14:textId="77777777" w:rsidR="00FB6710" w:rsidRPr="00183B5F" w:rsidRDefault="00FB6710" w:rsidP="004062FE">
      <w:pPr>
        <w:spacing w:line="240" w:lineRule="auto"/>
        <w:jc w:val="both"/>
        <w:rPr>
          <w:szCs w:val="22"/>
        </w:rPr>
      </w:pPr>
    </w:p>
    <w:p w14:paraId="561B4660" w14:textId="77777777" w:rsidR="00FB6710" w:rsidRPr="00183B5F" w:rsidRDefault="00943743" w:rsidP="004062FE">
      <w:pPr>
        <w:numPr>
          <w:ilvl w:val="12"/>
          <w:numId w:val="0"/>
        </w:numPr>
        <w:spacing w:line="240" w:lineRule="auto"/>
        <w:rPr>
          <w:szCs w:val="22"/>
        </w:rPr>
      </w:pPr>
      <w:r w:rsidRPr="00183B5F">
        <w:rPr>
          <w:szCs w:val="22"/>
        </w:rPr>
        <w:t>Korlátozott érvényű orvosi rendelvényhez kötött gyógyszer (Lásd I. Melléklet: Alkalmazási előírás, 4.2</w:t>
      </w:r>
      <w:r w:rsidR="00664E31" w:rsidRPr="00183B5F">
        <w:rPr>
          <w:szCs w:val="22"/>
        </w:rPr>
        <w:t> pont</w:t>
      </w:r>
      <w:r w:rsidRPr="00183B5F">
        <w:rPr>
          <w:szCs w:val="22"/>
        </w:rPr>
        <w:t>).</w:t>
      </w:r>
    </w:p>
    <w:p w14:paraId="6F67C636" w14:textId="77777777" w:rsidR="00FB6710" w:rsidRPr="00183B5F" w:rsidRDefault="00FB6710" w:rsidP="004062FE">
      <w:pPr>
        <w:numPr>
          <w:ilvl w:val="12"/>
          <w:numId w:val="0"/>
        </w:numPr>
        <w:spacing w:line="240" w:lineRule="auto"/>
        <w:rPr>
          <w:szCs w:val="22"/>
        </w:rPr>
      </w:pPr>
    </w:p>
    <w:p w14:paraId="7B2BF0B0" w14:textId="77777777" w:rsidR="00087A4C" w:rsidRPr="00183B5F" w:rsidRDefault="00087A4C" w:rsidP="004062FE">
      <w:pPr>
        <w:numPr>
          <w:ilvl w:val="12"/>
          <w:numId w:val="0"/>
        </w:numPr>
        <w:spacing w:line="240" w:lineRule="auto"/>
        <w:rPr>
          <w:szCs w:val="22"/>
        </w:rPr>
      </w:pPr>
    </w:p>
    <w:p w14:paraId="5FBD7F81" w14:textId="2A664585" w:rsidR="00664E31" w:rsidRPr="00183B5F" w:rsidRDefault="00943743" w:rsidP="004062FE">
      <w:pPr>
        <w:pStyle w:val="BMLeftAligned"/>
        <w:spacing w:line="240" w:lineRule="auto"/>
      </w:pPr>
      <w:r w:rsidRPr="00183B5F">
        <w:t>C.</w:t>
      </w:r>
      <w:r w:rsidRPr="00183B5F">
        <w:tab/>
      </w:r>
      <w:ins w:id="8528" w:author="AbbVie_HU_03" w:date="2025-05-14T16:02:00Z">
        <w:r w:rsidR="00691B1E" w:rsidRPr="00071EBC">
          <w:rPr>
            <w:bCs/>
          </w:rPr>
          <w:t>A FORGALOMBA HOZATALI ENGEDÉLYBEN FOGLALT EGYÉB FELTÉTELEK ÉS KÖVETELMÉNYEK</w:t>
        </w:r>
      </w:ins>
      <w:del w:id="8529" w:author="AbbVie_HU_03" w:date="2025-05-14T16:02:00Z">
        <w:r w:rsidRPr="00183B5F">
          <w:delText>A FORGALOMBA HOZATALI ENGEDÉLY EGYÉB FELTÉTELEI ÉS KÖVETELMÉNYEI</w:delText>
        </w:r>
      </w:del>
    </w:p>
    <w:p w14:paraId="03D1638A" w14:textId="77777777" w:rsidR="00353383" w:rsidRPr="00183B5F" w:rsidRDefault="00353383" w:rsidP="004062FE">
      <w:pPr>
        <w:numPr>
          <w:ilvl w:val="12"/>
          <w:numId w:val="0"/>
        </w:numPr>
        <w:shd w:val="clear" w:color="auto" w:fill="FFFFFF"/>
        <w:tabs>
          <w:tab w:val="left" w:pos="720"/>
        </w:tabs>
        <w:spacing w:line="240" w:lineRule="auto"/>
        <w:rPr>
          <w:szCs w:val="22"/>
        </w:rPr>
      </w:pPr>
    </w:p>
    <w:p w14:paraId="12E45949" w14:textId="77777777" w:rsidR="00B26695" w:rsidRPr="00183B5F" w:rsidRDefault="00943743" w:rsidP="004062FE">
      <w:pPr>
        <w:numPr>
          <w:ilvl w:val="0"/>
          <w:numId w:val="77"/>
        </w:numPr>
        <w:shd w:val="clear" w:color="auto" w:fill="FFFFFF"/>
        <w:spacing w:line="240" w:lineRule="auto"/>
        <w:rPr>
          <w:b/>
          <w:szCs w:val="22"/>
        </w:rPr>
      </w:pPr>
      <w:r w:rsidRPr="00183B5F">
        <w:rPr>
          <w:b/>
          <w:noProof/>
          <w:szCs w:val="24"/>
        </w:rPr>
        <w:t>Időszakos gyógyszerbiztonsági jelentések</w:t>
      </w:r>
      <w:r w:rsidR="006B344D" w:rsidRPr="00183B5F">
        <w:rPr>
          <w:b/>
          <w:noProof/>
          <w:szCs w:val="24"/>
        </w:rPr>
        <w:t xml:space="preserve"> </w:t>
      </w:r>
      <w:r w:rsidR="006B344D" w:rsidRPr="00183B5F">
        <w:rPr>
          <w:b/>
          <w:bCs/>
        </w:rPr>
        <w:t>(</w:t>
      </w:r>
      <w:r w:rsidR="006B344D" w:rsidRPr="00183B5F">
        <w:rPr>
          <w:b/>
        </w:rPr>
        <w:t>Periodic safety update report, PSUR)</w:t>
      </w:r>
    </w:p>
    <w:p w14:paraId="5D42092E" w14:textId="77777777" w:rsidR="00A65CF1" w:rsidRPr="00183B5F" w:rsidRDefault="00A65CF1" w:rsidP="004062FE">
      <w:pPr>
        <w:shd w:val="clear" w:color="auto" w:fill="FFFFFF"/>
        <w:spacing w:line="240" w:lineRule="auto"/>
        <w:ind w:left="720"/>
        <w:rPr>
          <w:b/>
          <w:szCs w:val="22"/>
        </w:rPr>
      </w:pPr>
    </w:p>
    <w:p w14:paraId="49670460" w14:textId="77777777" w:rsidR="00A65CF1" w:rsidRPr="00183B5F" w:rsidRDefault="00943743">
      <w:pPr>
        <w:tabs>
          <w:tab w:val="left" w:pos="0"/>
        </w:tabs>
        <w:spacing w:line="240" w:lineRule="auto"/>
        <w:ind w:right="567"/>
        <w:rPr>
          <w:iCs/>
        </w:rPr>
      </w:pPr>
      <w:r w:rsidRPr="00183B5F">
        <w:rPr>
          <w:iCs/>
        </w:rPr>
        <w:t>Erre a készítményre a</w:t>
      </w:r>
      <w:r w:rsidR="006B344D" w:rsidRPr="00183B5F">
        <w:rPr>
          <w:iCs/>
        </w:rPr>
        <w:t xml:space="preserve"> PSUR-okat</w:t>
      </w:r>
      <w:r w:rsidRPr="00183B5F">
        <w:rPr>
          <w:iCs/>
        </w:rPr>
        <w:t xml:space="preserve">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101FA87A" w14:textId="77777777" w:rsidR="00353383" w:rsidRPr="00183B5F" w:rsidRDefault="00353383" w:rsidP="004062FE">
      <w:pPr>
        <w:numPr>
          <w:ilvl w:val="12"/>
          <w:numId w:val="0"/>
        </w:numPr>
        <w:shd w:val="clear" w:color="auto" w:fill="FFFFFF"/>
        <w:tabs>
          <w:tab w:val="left" w:pos="720"/>
        </w:tabs>
        <w:spacing w:line="240" w:lineRule="auto"/>
        <w:rPr>
          <w:noProof/>
          <w:szCs w:val="24"/>
        </w:rPr>
      </w:pPr>
    </w:p>
    <w:p w14:paraId="298EFC61" w14:textId="77777777" w:rsidR="00006A9A" w:rsidRPr="00183B5F" w:rsidRDefault="00006A9A" w:rsidP="004062FE">
      <w:pPr>
        <w:numPr>
          <w:ilvl w:val="12"/>
          <w:numId w:val="0"/>
        </w:numPr>
        <w:shd w:val="clear" w:color="auto" w:fill="FFFFFF"/>
        <w:tabs>
          <w:tab w:val="left" w:pos="720"/>
        </w:tabs>
        <w:spacing w:line="240" w:lineRule="auto"/>
        <w:rPr>
          <w:noProof/>
          <w:szCs w:val="24"/>
        </w:rPr>
      </w:pPr>
    </w:p>
    <w:p w14:paraId="6D74E795" w14:textId="22D7C43C" w:rsidR="00353383" w:rsidRPr="00183B5F" w:rsidRDefault="00943743" w:rsidP="004062FE">
      <w:pPr>
        <w:pStyle w:val="BMLeftAligned"/>
        <w:keepNext/>
        <w:spacing w:line="240" w:lineRule="auto"/>
        <w:rPr>
          <w:noProof/>
        </w:rPr>
      </w:pPr>
      <w:r w:rsidRPr="00183B5F">
        <w:rPr>
          <w:noProof/>
        </w:rPr>
        <w:t>D.</w:t>
      </w:r>
      <w:r w:rsidRPr="00183B5F">
        <w:rPr>
          <w:noProof/>
        </w:rPr>
        <w:tab/>
      </w:r>
      <w:del w:id="8530" w:author="AbbVie_HU_03" w:date="2025-05-14T16:03:00Z">
        <w:r w:rsidRPr="00183B5F">
          <w:rPr>
            <w:noProof/>
          </w:rPr>
          <w:delText xml:space="preserve">FELTÉTELEK VAGY KORLÁTOZÁSOK </w:delText>
        </w:r>
      </w:del>
      <w:r w:rsidRPr="00183B5F">
        <w:rPr>
          <w:noProof/>
        </w:rPr>
        <w:t>A GYÓGYSZER BIZTONSÁGOS ÉS HATÉKONY ALKALMAZÁSÁRA VONATKOZÓ</w:t>
      </w:r>
      <w:del w:id="8531" w:author="AbbVie_HU_03" w:date="2025-05-14T16:03:00Z">
        <w:r w:rsidRPr="00183B5F">
          <w:rPr>
            <w:noProof/>
          </w:rPr>
          <w:delText>AN</w:delText>
        </w:r>
      </w:del>
      <w:ins w:id="8532" w:author="AbbVie_HU_03" w:date="2025-05-14T16:03:00Z">
        <w:r w:rsidR="00691B1E" w:rsidRPr="00691B1E">
          <w:rPr>
            <w:noProof/>
          </w:rPr>
          <w:t xml:space="preserve"> </w:t>
        </w:r>
        <w:r w:rsidR="00691B1E" w:rsidRPr="00183B5F">
          <w:rPr>
            <w:noProof/>
          </w:rPr>
          <w:t>FELTÉTELEK VAGY KORLÁTOZÁSOK</w:t>
        </w:r>
      </w:ins>
    </w:p>
    <w:p w14:paraId="38E530DF" w14:textId="77777777" w:rsidR="00353383" w:rsidRPr="00183B5F" w:rsidRDefault="00353383" w:rsidP="004062FE">
      <w:pPr>
        <w:keepNext/>
        <w:numPr>
          <w:ilvl w:val="12"/>
          <w:numId w:val="0"/>
        </w:numPr>
        <w:suppressLineNumbers/>
        <w:spacing w:line="240" w:lineRule="auto"/>
        <w:rPr>
          <w:noProof/>
          <w:szCs w:val="24"/>
        </w:rPr>
      </w:pPr>
    </w:p>
    <w:p w14:paraId="4B90AAA9" w14:textId="77777777" w:rsidR="00353383" w:rsidRPr="00183B5F" w:rsidRDefault="00943743" w:rsidP="004062FE">
      <w:pPr>
        <w:keepNext/>
        <w:numPr>
          <w:ilvl w:val="0"/>
          <w:numId w:val="102"/>
        </w:numPr>
        <w:suppressLineNumbers/>
        <w:tabs>
          <w:tab w:val="left" w:pos="567"/>
        </w:tabs>
        <w:suppressAutoHyphens w:val="0"/>
        <w:spacing w:line="240" w:lineRule="auto"/>
        <w:ind w:left="360"/>
        <w:rPr>
          <w:b/>
        </w:rPr>
      </w:pPr>
      <w:r w:rsidRPr="00183B5F">
        <w:rPr>
          <w:b/>
        </w:rPr>
        <w:t xml:space="preserve">Kockázatkezelési terv </w:t>
      </w:r>
    </w:p>
    <w:p w14:paraId="07EFF276" w14:textId="77777777" w:rsidR="00353383" w:rsidRPr="00183B5F" w:rsidRDefault="00353383" w:rsidP="004062FE">
      <w:pPr>
        <w:keepNext/>
        <w:numPr>
          <w:ilvl w:val="12"/>
          <w:numId w:val="0"/>
        </w:numPr>
        <w:shd w:val="clear" w:color="auto" w:fill="FFFFFF"/>
        <w:tabs>
          <w:tab w:val="left" w:pos="720"/>
        </w:tabs>
        <w:spacing w:line="240" w:lineRule="auto"/>
      </w:pPr>
    </w:p>
    <w:p w14:paraId="1B353CE9" w14:textId="77777777" w:rsidR="00353383" w:rsidRPr="00183B5F" w:rsidRDefault="00943743" w:rsidP="004062FE">
      <w:pPr>
        <w:keepNext/>
        <w:numPr>
          <w:ilvl w:val="12"/>
          <w:numId w:val="0"/>
        </w:numPr>
        <w:suppressLineNumbers/>
        <w:spacing w:line="240" w:lineRule="auto"/>
      </w:pPr>
      <w:r w:rsidRPr="00183B5F">
        <w:t xml:space="preserve">A forgalomba hozatali engedély jogosultja </w:t>
      </w:r>
      <w:r w:rsidR="006B344D" w:rsidRPr="00183B5F">
        <w:t xml:space="preserve">(MAH) </w:t>
      </w:r>
      <w:r w:rsidRPr="00183B5F">
        <w:t>kötelezi magát, hogy a forgalomba hozatali engedély 1.8.2</w:t>
      </w:r>
      <w:r w:rsidR="000A4E79" w:rsidRPr="00183B5F">
        <w:t> </w:t>
      </w:r>
      <w:r w:rsidRPr="00183B5F">
        <w:t>moduljában leírt, jóváhagyott kockázatkezelési tervben, illetve annak jóváhagyott frissített verzióiban részletezett, kötelező farmakovigilanciai tevékenységeket és beavatkozásokat elvégzi.</w:t>
      </w:r>
    </w:p>
    <w:p w14:paraId="646E7848" w14:textId="77777777" w:rsidR="00353383" w:rsidRPr="00183B5F" w:rsidRDefault="00353383" w:rsidP="004062FE">
      <w:pPr>
        <w:numPr>
          <w:ilvl w:val="12"/>
          <w:numId w:val="0"/>
        </w:numPr>
        <w:suppressLineNumbers/>
        <w:spacing w:line="240" w:lineRule="auto"/>
      </w:pPr>
    </w:p>
    <w:p w14:paraId="7D09407D" w14:textId="77777777" w:rsidR="00353383" w:rsidRPr="00183B5F" w:rsidRDefault="00943743" w:rsidP="004062FE">
      <w:pPr>
        <w:numPr>
          <w:ilvl w:val="12"/>
          <w:numId w:val="0"/>
        </w:numPr>
        <w:suppressLineNumbers/>
        <w:spacing w:line="240" w:lineRule="auto"/>
      </w:pPr>
      <w:r w:rsidRPr="00183B5F">
        <w:t>A frissített kockázatkezelési terv benyújtandó a következő esetekben:</w:t>
      </w:r>
    </w:p>
    <w:p w14:paraId="66FBEF8C" w14:textId="77777777" w:rsidR="00353383" w:rsidRPr="00183B5F" w:rsidRDefault="00943743" w:rsidP="004062FE">
      <w:pPr>
        <w:numPr>
          <w:ilvl w:val="0"/>
          <w:numId w:val="103"/>
        </w:numPr>
        <w:suppressLineNumbers/>
        <w:tabs>
          <w:tab w:val="left" w:pos="720"/>
        </w:tabs>
        <w:suppressAutoHyphens w:val="0"/>
        <w:snapToGrid w:val="0"/>
        <w:spacing w:line="240" w:lineRule="auto"/>
        <w:ind w:left="567" w:right="-1" w:hanging="207"/>
      </w:pPr>
      <w:r w:rsidRPr="00183B5F">
        <w:t>ha az Európai Gyógyszerügynökség ezt indítványozza;</w:t>
      </w:r>
    </w:p>
    <w:p w14:paraId="6A21BCAD" w14:textId="77777777" w:rsidR="00353383" w:rsidRPr="00183B5F" w:rsidRDefault="00943743" w:rsidP="004062FE">
      <w:pPr>
        <w:numPr>
          <w:ilvl w:val="0"/>
          <w:numId w:val="103"/>
        </w:numPr>
        <w:shd w:val="clear" w:color="auto" w:fill="FFFFFF"/>
        <w:spacing w:line="240" w:lineRule="auto"/>
      </w:pPr>
      <w:r w:rsidRPr="00183B5F">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2B502B7D" w14:textId="77777777" w:rsidR="00353383" w:rsidRPr="00183B5F" w:rsidRDefault="00353383" w:rsidP="004062FE">
      <w:pPr>
        <w:shd w:val="clear" w:color="auto" w:fill="FFFFFF"/>
        <w:spacing w:line="240" w:lineRule="auto"/>
      </w:pPr>
    </w:p>
    <w:p w14:paraId="3DA130CE" w14:textId="77777777" w:rsidR="00353383" w:rsidRPr="00183B5F" w:rsidRDefault="00943743" w:rsidP="004062FE">
      <w:pPr>
        <w:shd w:val="clear" w:color="auto" w:fill="FFFFFF"/>
        <w:spacing w:line="240" w:lineRule="auto"/>
      </w:pPr>
      <w:r w:rsidRPr="00183B5F">
        <w:rPr>
          <w:b/>
        </w:rPr>
        <w:t>Kockázat-minimalizálásra irányuló további intézkedések</w:t>
      </w:r>
    </w:p>
    <w:p w14:paraId="6BDA12DE" w14:textId="77777777" w:rsidR="00FB6710" w:rsidRPr="00183B5F" w:rsidRDefault="00FB6710" w:rsidP="004062FE">
      <w:pPr>
        <w:numPr>
          <w:ilvl w:val="12"/>
          <w:numId w:val="0"/>
        </w:numPr>
        <w:shd w:val="clear" w:color="auto" w:fill="FFFFFF"/>
        <w:tabs>
          <w:tab w:val="left" w:pos="720"/>
        </w:tabs>
        <w:spacing w:line="240" w:lineRule="auto"/>
        <w:rPr>
          <w:szCs w:val="22"/>
        </w:rPr>
      </w:pPr>
    </w:p>
    <w:p w14:paraId="2812CC28" w14:textId="77777777" w:rsidR="00192D6D" w:rsidRPr="00183B5F" w:rsidRDefault="00943743" w:rsidP="0056350F">
      <w:pPr>
        <w:numPr>
          <w:ilvl w:val="12"/>
          <w:numId w:val="0"/>
        </w:numPr>
        <w:shd w:val="clear" w:color="auto" w:fill="FFFFFF"/>
        <w:tabs>
          <w:tab w:val="left" w:pos="720"/>
        </w:tabs>
        <w:spacing w:line="240" w:lineRule="auto"/>
        <w:rPr>
          <w:szCs w:val="22"/>
        </w:rPr>
      </w:pPr>
      <w:r w:rsidRPr="00183B5F">
        <w:rPr>
          <w:szCs w:val="22"/>
        </w:rPr>
        <w:t xml:space="preserve">A (felnőtteknek és gyermekeknek szóló) Betegemlékeztető </w:t>
      </w:r>
      <w:r w:rsidR="0056350F" w:rsidRPr="00183B5F">
        <w:rPr>
          <w:szCs w:val="22"/>
        </w:rPr>
        <w:t>K</w:t>
      </w:r>
      <w:r w:rsidRPr="00183B5F">
        <w:rPr>
          <w:szCs w:val="22"/>
        </w:rPr>
        <w:t>ártyák a következő kulcsfontosságú elemeket tartalmazzák:</w:t>
      </w:r>
    </w:p>
    <w:p w14:paraId="742ED798" w14:textId="77777777" w:rsidR="00B13F2B" w:rsidRPr="00183B5F" w:rsidRDefault="00B13F2B" w:rsidP="0056350F">
      <w:pPr>
        <w:numPr>
          <w:ilvl w:val="12"/>
          <w:numId w:val="0"/>
        </w:numPr>
        <w:shd w:val="clear" w:color="auto" w:fill="FFFFFF"/>
        <w:tabs>
          <w:tab w:val="left" w:pos="720"/>
        </w:tabs>
        <w:spacing w:line="240" w:lineRule="auto"/>
        <w:rPr>
          <w:szCs w:val="22"/>
        </w:rPr>
      </w:pPr>
    </w:p>
    <w:p w14:paraId="4411E3D8" w14:textId="77777777" w:rsidR="00192D6D" w:rsidRPr="00183B5F" w:rsidRDefault="00943743" w:rsidP="00622AE7">
      <w:pPr>
        <w:pStyle w:val="ListParagraph"/>
        <w:numPr>
          <w:ilvl w:val="0"/>
          <w:numId w:val="198"/>
        </w:numPr>
        <w:shd w:val="clear" w:color="auto" w:fill="FFFFFF"/>
        <w:tabs>
          <w:tab w:val="left" w:pos="720"/>
        </w:tabs>
        <w:spacing w:line="240" w:lineRule="auto"/>
        <w:rPr>
          <w:szCs w:val="22"/>
        </w:rPr>
      </w:pPr>
      <w:r w:rsidRPr="00183B5F">
        <w:rPr>
          <w:szCs w:val="22"/>
        </w:rPr>
        <w:t>fertőzések, idértve a tuber</w:t>
      </w:r>
      <w:r w:rsidR="00621B19" w:rsidRPr="00183B5F">
        <w:rPr>
          <w:szCs w:val="22"/>
        </w:rPr>
        <w:t>c</w:t>
      </w:r>
      <w:r w:rsidR="00B13F2B" w:rsidRPr="00183B5F">
        <w:rPr>
          <w:szCs w:val="22"/>
        </w:rPr>
        <w:t>u</w:t>
      </w:r>
      <w:r w:rsidRPr="00183B5F">
        <w:rPr>
          <w:szCs w:val="22"/>
        </w:rPr>
        <w:t>l</w:t>
      </w:r>
      <w:r w:rsidR="00B13F2B" w:rsidRPr="00183B5F">
        <w:rPr>
          <w:szCs w:val="22"/>
        </w:rPr>
        <w:t>os</w:t>
      </w:r>
      <w:r w:rsidRPr="00183B5F">
        <w:rPr>
          <w:szCs w:val="22"/>
        </w:rPr>
        <w:t>ist</w:t>
      </w:r>
    </w:p>
    <w:p w14:paraId="7D5EB898" w14:textId="77777777" w:rsidR="00192D6D" w:rsidRPr="00183B5F" w:rsidRDefault="00943743" w:rsidP="00622AE7">
      <w:pPr>
        <w:pStyle w:val="ListParagraph"/>
        <w:numPr>
          <w:ilvl w:val="0"/>
          <w:numId w:val="198"/>
        </w:numPr>
        <w:shd w:val="clear" w:color="auto" w:fill="FFFFFF"/>
        <w:tabs>
          <w:tab w:val="left" w:pos="720"/>
        </w:tabs>
        <w:spacing w:line="240" w:lineRule="auto"/>
        <w:rPr>
          <w:szCs w:val="22"/>
        </w:rPr>
      </w:pPr>
      <w:r w:rsidRPr="00183B5F">
        <w:rPr>
          <w:szCs w:val="22"/>
        </w:rPr>
        <w:t>daganatos betegség</w:t>
      </w:r>
    </w:p>
    <w:p w14:paraId="35DCAB56" w14:textId="77777777" w:rsidR="00192D6D" w:rsidRPr="00183B5F" w:rsidRDefault="00943743" w:rsidP="00622AE7">
      <w:pPr>
        <w:pStyle w:val="ListParagraph"/>
        <w:numPr>
          <w:ilvl w:val="0"/>
          <w:numId w:val="198"/>
        </w:numPr>
        <w:shd w:val="clear" w:color="auto" w:fill="FFFFFF"/>
        <w:tabs>
          <w:tab w:val="left" w:pos="720"/>
        </w:tabs>
        <w:spacing w:line="240" w:lineRule="auto"/>
        <w:rPr>
          <w:szCs w:val="22"/>
        </w:rPr>
      </w:pPr>
      <w:r w:rsidRPr="00183B5F">
        <w:rPr>
          <w:szCs w:val="22"/>
        </w:rPr>
        <w:t>idegrendszeri problémák</w:t>
      </w:r>
    </w:p>
    <w:p w14:paraId="6DA5CF7E" w14:textId="77777777" w:rsidR="00192D6D" w:rsidRPr="00183B5F" w:rsidRDefault="00943743" w:rsidP="00622AE7">
      <w:pPr>
        <w:pStyle w:val="ListParagraph"/>
        <w:numPr>
          <w:ilvl w:val="0"/>
          <w:numId w:val="198"/>
        </w:numPr>
        <w:shd w:val="clear" w:color="auto" w:fill="FFFFFF"/>
        <w:tabs>
          <w:tab w:val="left" w:pos="720"/>
        </w:tabs>
        <w:spacing w:line="240" w:lineRule="auto"/>
        <w:rPr>
          <w:szCs w:val="22"/>
        </w:rPr>
      </w:pPr>
      <w:r w:rsidRPr="00183B5F">
        <w:rPr>
          <w:szCs w:val="22"/>
        </w:rPr>
        <w:t>védőoltások</w:t>
      </w:r>
    </w:p>
    <w:p w14:paraId="0D15F908" w14:textId="77777777" w:rsidR="00FB6710" w:rsidRPr="00183B5F" w:rsidRDefault="00943743" w:rsidP="004062FE">
      <w:pPr>
        <w:spacing w:line="240" w:lineRule="auto"/>
        <w:rPr>
          <w:szCs w:val="22"/>
        </w:rPr>
      </w:pPr>
      <w:r w:rsidRPr="00183B5F">
        <w:rPr>
          <w:szCs w:val="22"/>
        </w:rPr>
        <w:br w:type="page"/>
      </w:r>
    </w:p>
    <w:p w14:paraId="1EFF5CE2" w14:textId="77777777" w:rsidR="00FB6710" w:rsidRPr="00183B5F" w:rsidRDefault="00FB6710" w:rsidP="004062FE">
      <w:pPr>
        <w:spacing w:line="240" w:lineRule="auto"/>
        <w:rPr>
          <w:szCs w:val="22"/>
        </w:rPr>
      </w:pPr>
    </w:p>
    <w:p w14:paraId="459B0DB0" w14:textId="77777777" w:rsidR="00FB6710" w:rsidRPr="00183B5F" w:rsidRDefault="00FB6710" w:rsidP="004062FE">
      <w:pPr>
        <w:spacing w:line="240" w:lineRule="auto"/>
        <w:rPr>
          <w:szCs w:val="22"/>
        </w:rPr>
      </w:pPr>
    </w:p>
    <w:p w14:paraId="6868ECA1" w14:textId="77777777" w:rsidR="00FB6710" w:rsidRPr="00183B5F" w:rsidRDefault="00FB6710" w:rsidP="004062FE">
      <w:pPr>
        <w:spacing w:line="240" w:lineRule="auto"/>
        <w:rPr>
          <w:szCs w:val="22"/>
        </w:rPr>
      </w:pPr>
    </w:p>
    <w:p w14:paraId="1C4AD892" w14:textId="77777777" w:rsidR="00FB6710" w:rsidRPr="00183B5F" w:rsidRDefault="00FB6710" w:rsidP="004062FE">
      <w:pPr>
        <w:spacing w:line="240" w:lineRule="auto"/>
        <w:rPr>
          <w:szCs w:val="22"/>
        </w:rPr>
      </w:pPr>
    </w:p>
    <w:p w14:paraId="7E632B15" w14:textId="77777777" w:rsidR="00FB6710" w:rsidRPr="00183B5F" w:rsidRDefault="00FB6710" w:rsidP="004062FE">
      <w:pPr>
        <w:spacing w:line="240" w:lineRule="auto"/>
        <w:rPr>
          <w:szCs w:val="22"/>
        </w:rPr>
      </w:pPr>
    </w:p>
    <w:p w14:paraId="3D78C0DC" w14:textId="77777777" w:rsidR="00FB6710" w:rsidRPr="00183B5F" w:rsidRDefault="00FB6710" w:rsidP="004062FE">
      <w:pPr>
        <w:spacing w:line="240" w:lineRule="auto"/>
        <w:rPr>
          <w:szCs w:val="22"/>
        </w:rPr>
      </w:pPr>
    </w:p>
    <w:p w14:paraId="5C8B980E" w14:textId="77777777" w:rsidR="00FB6710" w:rsidRPr="00183B5F" w:rsidRDefault="00FB6710" w:rsidP="004062FE">
      <w:pPr>
        <w:spacing w:line="240" w:lineRule="auto"/>
        <w:rPr>
          <w:szCs w:val="22"/>
        </w:rPr>
      </w:pPr>
    </w:p>
    <w:p w14:paraId="72552CA5" w14:textId="77777777" w:rsidR="00FB6710" w:rsidRPr="00183B5F" w:rsidRDefault="00FB6710" w:rsidP="004062FE">
      <w:pPr>
        <w:spacing w:line="240" w:lineRule="auto"/>
        <w:rPr>
          <w:szCs w:val="22"/>
        </w:rPr>
      </w:pPr>
    </w:p>
    <w:p w14:paraId="489EB4CB" w14:textId="77777777" w:rsidR="00FB6710" w:rsidRPr="00183B5F" w:rsidRDefault="00FB6710" w:rsidP="004062FE">
      <w:pPr>
        <w:spacing w:line="240" w:lineRule="auto"/>
        <w:ind w:right="566"/>
        <w:rPr>
          <w:b/>
          <w:szCs w:val="22"/>
        </w:rPr>
      </w:pPr>
    </w:p>
    <w:p w14:paraId="0B8ABD85" w14:textId="77777777" w:rsidR="00FB6710" w:rsidRPr="00183B5F" w:rsidRDefault="00FB6710" w:rsidP="004062FE">
      <w:pPr>
        <w:spacing w:line="240" w:lineRule="auto"/>
        <w:ind w:right="566"/>
        <w:rPr>
          <w:b/>
          <w:szCs w:val="22"/>
        </w:rPr>
      </w:pPr>
    </w:p>
    <w:p w14:paraId="64954EC3" w14:textId="77777777" w:rsidR="00FB6710" w:rsidRPr="00183B5F" w:rsidRDefault="00FB6710" w:rsidP="004062FE">
      <w:pPr>
        <w:spacing w:line="240" w:lineRule="auto"/>
        <w:ind w:right="566"/>
        <w:rPr>
          <w:b/>
          <w:szCs w:val="22"/>
        </w:rPr>
      </w:pPr>
    </w:p>
    <w:p w14:paraId="4EFB7890" w14:textId="77777777" w:rsidR="00FB6710" w:rsidRPr="00183B5F" w:rsidRDefault="00FB6710" w:rsidP="004062FE">
      <w:pPr>
        <w:spacing w:line="240" w:lineRule="auto"/>
        <w:ind w:right="566"/>
        <w:rPr>
          <w:b/>
          <w:szCs w:val="22"/>
        </w:rPr>
      </w:pPr>
    </w:p>
    <w:p w14:paraId="204D1178" w14:textId="77777777" w:rsidR="00FB6710" w:rsidRPr="00183B5F" w:rsidRDefault="00FB6710" w:rsidP="004062FE">
      <w:pPr>
        <w:spacing w:line="240" w:lineRule="auto"/>
        <w:ind w:right="566"/>
        <w:rPr>
          <w:b/>
          <w:szCs w:val="22"/>
        </w:rPr>
      </w:pPr>
    </w:p>
    <w:p w14:paraId="47A3E450" w14:textId="77777777" w:rsidR="00FB6710" w:rsidRPr="00183B5F" w:rsidRDefault="00FB6710" w:rsidP="004062FE">
      <w:pPr>
        <w:spacing w:line="240" w:lineRule="auto"/>
        <w:ind w:right="566"/>
        <w:rPr>
          <w:b/>
          <w:szCs w:val="22"/>
        </w:rPr>
      </w:pPr>
    </w:p>
    <w:p w14:paraId="757AA1FB" w14:textId="77777777" w:rsidR="00FB6710" w:rsidRPr="00183B5F" w:rsidRDefault="00FB6710" w:rsidP="004062FE">
      <w:pPr>
        <w:spacing w:line="240" w:lineRule="auto"/>
        <w:ind w:right="566"/>
        <w:rPr>
          <w:b/>
          <w:szCs w:val="22"/>
        </w:rPr>
      </w:pPr>
    </w:p>
    <w:p w14:paraId="7CA520FA" w14:textId="77777777" w:rsidR="00FB6710" w:rsidRPr="00183B5F" w:rsidRDefault="00FB6710" w:rsidP="004062FE">
      <w:pPr>
        <w:spacing w:line="240" w:lineRule="auto"/>
        <w:ind w:right="566"/>
        <w:rPr>
          <w:b/>
          <w:szCs w:val="22"/>
        </w:rPr>
      </w:pPr>
    </w:p>
    <w:p w14:paraId="65EF0E54" w14:textId="77777777" w:rsidR="00FB6710" w:rsidRPr="00183B5F" w:rsidRDefault="00FB6710" w:rsidP="004062FE">
      <w:pPr>
        <w:spacing w:line="240" w:lineRule="auto"/>
        <w:ind w:right="566"/>
        <w:rPr>
          <w:b/>
          <w:szCs w:val="22"/>
        </w:rPr>
      </w:pPr>
    </w:p>
    <w:p w14:paraId="1F05A1EE" w14:textId="77777777" w:rsidR="00FB6710" w:rsidRPr="00183B5F" w:rsidRDefault="00FB6710" w:rsidP="004062FE">
      <w:pPr>
        <w:spacing w:line="240" w:lineRule="auto"/>
        <w:ind w:right="566"/>
        <w:rPr>
          <w:b/>
          <w:szCs w:val="22"/>
        </w:rPr>
      </w:pPr>
    </w:p>
    <w:p w14:paraId="3621F324" w14:textId="77777777" w:rsidR="000B205A" w:rsidRPr="00183B5F" w:rsidRDefault="000B205A" w:rsidP="004062FE">
      <w:pPr>
        <w:spacing w:line="240" w:lineRule="auto"/>
        <w:ind w:right="566"/>
        <w:rPr>
          <w:b/>
          <w:szCs w:val="22"/>
        </w:rPr>
      </w:pPr>
    </w:p>
    <w:p w14:paraId="4F797116" w14:textId="77777777" w:rsidR="00FB6710" w:rsidRPr="00183B5F" w:rsidRDefault="00FB6710" w:rsidP="004062FE">
      <w:pPr>
        <w:spacing w:line="240" w:lineRule="auto"/>
        <w:ind w:right="566"/>
        <w:rPr>
          <w:b/>
          <w:szCs w:val="22"/>
        </w:rPr>
      </w:pPr>
    </w:p>
    <w:p w14:paraId="00F43E00" w14:textId="77777777" w:rsidR="00FB6710" w:rsidRPr="00183B5F" w:rsidRDefault="00FB6710" w:rsidP="004062FE">
      <w:pPr>
        <w:spacing w:line="240" w:lineRule="auto"/>
        <w:ind w:right="566"/>
        <w:rPr>
          <w:b/>
          <w:szCs w:val="22"/>
        </w:rPr>
      </w:pPr>
    </w:p>
    <w:p w14:paraId="34FB33C8" w14:textId="77777777" w:rsidR="00FB6710" w:rsidRPr="00183B5F" w:rsidRDefault="00FB6710" w:rsidP="004062FE">
      <w:pPr>
        <w:spacing w:line="240" w:lineRule="auto"/>
        <w:ind w:right="566"/>
        <w:rPr>
          <w:b/>
          <w:szCs w:val="22"/>
        </w:rPr>
      </w:pPr>
    </w:p>
    <w:p w14:paraId="23FE58D3" w14:textId="77777777" w:rsidR="00FB6710" w:rsidRPr="00183B5F" w:rsidRDefault="00FB6710" w:rsidP="004062FE">
      <w:pPr>
        <w:spacing w:line="240" w:lineRule="auto"/>
        <w:jc w:val="center"/>
        <w:rPr>
          <w:b/>
          <w:szCs w:val="22"/>
        </w:rPr>
      </w:pPr>
    </w:p>
    <w:p w14:paraId="6FA25B79" w14:textId="77777777" w:rsidR="00FB6710" w:rsidRPr="00183B5F" w:rsidRDefault="00943743" w:rsidP="004062FE">
      <w:pPr>
        <w:spacing w:line="240" w:lineRule="auto"/>
        <w:jc w:val="center"/>
        <w:rPr>
          <w:b/>
          <w:szCs w:val="22"/>
        </w:rPr>
      </w:pPr>
      <w:r w:rsidRPr="00183B5F">
        <w:rPr>
          <w:b/>
          <w:szCs w:val="22"/>
        </w:rPr>
        <w:t>III. MELLÉKLET</w:t>
      </w:r>
    </w:p>
    <w:p w14:paraId="429C17B9" w14:textId="77777777" w:rsidR="00FB6710" w:rsidRPr="00183B5F" w:rsidRDefault="00FB6710" w:rsidP="004062FE">
      <w:pPr>
        <w:spacing w:line="240" w:lineRule="auto"/>
        <w:jc w:val="center"/>
        <w:rPr>
          <w:b/>
          <w:szCs w:val="22"/>
        </w:rPr>
      </w:pPr>
    </w:p>
    <w:p w14:paraId="7946DF82" w14:textId="77777777" w:rsidR="00FB6710" w:rsidRPr="00183B5F" w:rsidRDefault="00943743" w:rsidP="004062FE">
      <w:pPr>
        <w:spacing w:line="240" w:lineRule="auto"/>
        <w:jc w:val="center"/>
        <w:rPr>
          <w:b/>
        </w:rPr>
      </w:pPr>
      <w:r w:rsidRPr="00183B5F">
        <w:rPr>
          <w:b/>
        </w:rPr>
        <w:t>CÍMKESZÖVEG ÉS BETEGTÁJÉKOZTATÓ</w:t>
      </w:r>
    </w:p>
    <w:p w14:paraId="2EF96D1F" w14:textId="77777777" w:rsidR="00FB6710" w:rsidRPr="00183B5F" w:rsidRDefault="00FB6710" w:rsidP="004062FE">
      <w:pPr>
        <w:spacing w:line="240" w:lineRule="auto"/>
        <w:rPr>
          <w:szCs w:val="22"/>
        </w:rPr>
      </w:pPr>
    </w:p>
    <w:p w14:paraId="31DC1182" w14:textId="77777777" w:rsidR="00FB6710" w:rsidRPr="00183B5F" w:rsidRDefault="00943743" w:rsidP="004062FE">
      <w:pPr>
        <w:spacing w:line="240" w:lineRule="auto"/>
        <w:jc w:val="center"/>
        <w:rPr>
          <w:b/>
          <w:szCs w:val="22"/>
        </w:rPr>
      </w:pPr>
      <w:r w:rsidRPr="00183B5F">
        <w:rPr>
          <w:szCs w:val="22"/>
        </w:rPr>
        <w:br w:type="page"/>
      </w:r>
    </w:p>
    <w:p w14:paraId="62987A7F" w14:textId="77777777" w:rsidR="00FB6710" w:rsidRPr="00183B5F" w:rsidRDefault="00FB6710" w:rsidP="004062FE">
      <w:pPr>
        <w:spacing w:line="240" w:lineRule="auto"/>
        <w:jc w:val="center"/>
        <w:rPr>
          <w:b/>
          <w:szCs w:val="22"/>
        </w:rPr>
      </w:pPr>
    </w:p>
    <w:p w14:paraId="0EA044EA" w14:textId="77777777" w:rsidR="00FB6710" w:rsidRPr="00183B5F" w:rsidRDefault="00FB6710" w:rsidP="004062FE">
      <w:pPr>
        <w:spacing w:line="240" w:lineRule="auto"/>
        <w:jc w:val="center"/>
        <w:rPr>
          <w:b/>
          <w:szCs w:val="22"/>
        </w:rPr>
      </w:pPr>
    </w:p>
    <w:p w14:paraId="35807244" w14:textId="77777777" w:rsidR="00FB6710" w:rsidRPr="00183B5F" w:rsidRDefault="00FB6710" w:rsidP="004062FE">
      <w:pPr>
        <w:spacing w:line="240" w:lineRule="auto"/>
        <w:jc w:val="center"/>
        <w:rPr>
          <w:b/>
          <w:szCs w:val="22"/>
        </w:rPr>
      </w:pPr>
    </w:p>
    <w:p w14:paraId="1BAC6975" w14:textId="77777777" w:rsidR="00FB6710" w:rsidRPr="00183B5F" w:rsidRDefault="00FB6710" w:rsidP="004062FE">
      <w:pPr>
        <w:spacing w:line="240" w:lineRule="auto"/>
        <w:jc w:val="center"/>
        <w:rPr>
          <w:b/>
          <w:szCs w:val="22"/>
        </w:rPr>
      </w:pPr>
    </w:p>
    <w:p w14:paraId="40565D4F" w14:textId="77777777" w:rsidR="00FB6710" w:rsidRPr="00183B5F" w:rsidRDefault="00FB6710" w:rsidP="004062FE">
      <w:pPr>
        <w:spacing w:line="240" w:lineRule="auto"/>
        <w:jc w:val="center"/>
        <w:rPr>
          <w:b/>
          <w:szCs w:val="22"/>
        </w:rPr>
      </w:pPr>
    </w:p>
    <w:p w14:paraId="4C467531" w14:textId="77777777" w:rsidR="00FB6710" w:rsidRPr="00183B5F" w:rsidRDefault="00FB6710" w:rsidP="004062FE">
      <w:pPr>
        <w:spacing w:line="240" w:lineRule="auto"/>
        <w:jc w:val="center"/>
        <w:rPr>
          <w:b/>
          <w:szCs w:val="22"/>
        </w:rPr>
      </w:pPr>
    </w:p>
    <w:p w14:paraId="460ABC4E" w14:textId="77777777" w:rsidR="00FB6710" w:rsidRPr="00183B5F" w:rsidRDefault="00FB6710" w:rsidP="004062FE">
      <w:pPr>
        <w:spacing w:line="240" w:lineRule="auto"/>
        <w:jc w:val="center"/>
        <w:rPr>
          <w:b/>
          <w:szCs w:val="22"/>
        </w:rPr>
      </w:pPr>
    </w:p>
    <w:p w14:paraId="24E6DE92" w14:textId="77777777" w:rsidR="00FB6710" w:rsidRPr="00183B5F" w:rsidRDefault="00FB6710" w:rsidP="004062FE">
      <w:pPr>
        <w:spacing w:line="240" w:lineRule="auto"/>
        <w:jc w:val="center"/>
        <w:rPr>
          <w:b/>
          <w:szCs w:val="22"/>
        </w:rPr>
      </w:pPr>
    </w:p>
    <w:p w14:paraId="47F53F89" w14:textId="77777777" w:rsidR="00FB6710" w:rsidRPr="00183B5F" w:rsidRDefault="00FB6710" w:rsidP="004062FE">
      <w:pPr>
        <w:spacing w:line="240" w:lineRule="auto"/>
        <w:jc w:val="center"/>
        <w:rPr>
          <w:b/>
          <w:szCs w:val="22"/>
        </w:rPr>
      </w:pPr>
    </w:p>
    <w:p w14:paraId="269342F6" w14:textId="77777777" w:rsidR="00FB6710" w:rsidRPr="00183B5F" w:rsidRDefault="00FB6710" w:rsidP="004062FE">
      <w:pPr>
        <w:spacing w:line="240" w:lineRule="auto"/>
        <w:jc w:val="center"/>
        <w:rPr>
          <w:b/>
          <w:szCs w:val="22"/>
        </w:rPr>
      </w:pPr>
    </w:p>
    <w:p w14:paraId="7A7CA930" w14:textId="77777777" w:rsidR="00FB6710" w:rsidRPr="00183B5F" w:rsidRDefault="00FB6710" w:rsidP="004062FE">
      <w:pPr>
        <w:spacing w:line="240" w:lineRule="auto"/>
        <w:jc w:val="center"/>
        <w:rPr>
          <w:b/>
          <w:szCs w:val="22"/>
        </w:rPr>
      </w:pPr>
    </w:p>
    <w:p w14:paraId="1B737DC4" w14:textId="77777777" w:rsidR="00FB6710" w:rsidRPr="00183B5F" w:rsidRDefault="00FB6710" w:rsidP="004062FE">
      <w:pPr>
        <w:spacing w:line="240" w:lineRule="auto"/>
        <w:jc w:val="center"/>
        <w:rPr>
          <w:b/>
          <w:szCs w:val="22"/>
        </w:rPr>
      </w:pPr>
    </w:p>
    <w:p w14:paraId="38AC8E43" w14:textId="77777777" w:rsidR="00FB6710" w:rsidRPr="00183B5F" w:rsidRDefault="00FB6710" w:rsidP="004062FE">
      <w:pPr>
        <w:spacing w:line="240" w:lineRule="auto"/>
        <w:jc w:val="center"/>
        <w:rPr>
          <w:b/>
          <w:szCs w:val="22"/>
        </w:rPr>
      </w:pPr>
    </w:p>
    <w:p w14:paraId="4EDA73CF" w14:textId="77777777" w:rsidR="00FB6710" w:rsidRPr="00183B5F" w:rsidRDefault="00FB6710" w:rsidP="004062FE">
      <w:pPr>
        <w:spacing w:line="240" w:lineRule="auto"/>
        <w:jc w:val="center"/>
        <w:rPr>
          <w:b/>
          <w:szCs w:val="22"/>
        </w:rPr>
      </w:pPr>
    </w:p>
    <w:p w14:paraId="2D99B360" w14:textId="77777777" w:rsidR="00FB6710" w:rsidRPr="00183B5F" w:rsidRDefault="00FB6710" w:rsidP="004062FE">
      <w:pPr>
        <w:spacing w:line="240" w:lineRule="auto"/>
        <w:jc w:val="center"/>
        <w:rPr>
          <w:b/>
          <w:szCs w:val="22"/>
        </w:rPr>
      </w:pPr>
    </w:p>
    <w:p w14:paraId="7C834848" w14:textId="77777777" w:rsidR="00FB6710" w:rsidRPr="00183B5F" w:rsidRDefault="00FB6710" w:rsidP="004062FE">
      <w:pPr>
        <w:spacing w:line="240" w:lineRule="auto"/>
        <w:jc w:val="center"/>
        <w:rPr>
          <w:b/>
          <w:szCs w:val="22"/>
        </w:rPr>
      </w:pPr>
    </w:p>
    <w:p w14:paraId="5378ED43" w14:textId="77777777" w:rsidR="00FB6710" w:rsidRPr="00183B5F" w:rsidRDefault="00FB6710" w:rsidP="004062FE">
      <w:pPr>
        <w:spacing w:line="240" w:lineRule="auto"/>
        <w:jc w:val="center"/>
        <w:rPr>
          <w:b/>
          <w:szCs w:val="22"/>
        </w:rPr>
      </w:pPr>
    </w:p>
    <w:p w14:paraId="61330DF6" w14:textId="77777777" w:rsidR="00FB6710" w:rsidRPr="00183B5F" w:rsidRDefault="00FB6710" w:rsidP="004062FE">
      <w:pPr>
        <w:spacing w:line="240" w:lineRule="auto"/>
        <w:jc w:val="center"/>
        <w:rPr>
          <w:b/>
          <w:szCs w:val="22"/>
        </w:rPr>
      </w:pPr>
    </w:p>
    <w:p w14:paraId="7EAB8269" w14:textId="77777777" w:rsidR="00FB6710" w:rsidRPr="00183B5F" w:rsidRDefault="00FB6710" w:rsidP="004062FE">
      <w:pPr>
        <w:spacing w:line="240" w:lineRule="auto"/>
        <w:jc w:val="center"/>
        <w:rPr>
          <w:b/>
          <w:szCs w:val="22"/>
        </w:rPr>
      </w:pPr>
    </w:p>
    <w:p w14:paraId="14B6F381" w14:textId="77777777" w:rsidR="00FB6710" w:rsidRPr="00183B5F" w:rsidRDefault="00FB6710" w:rsidP="004062FE">
      <w:pPr>
        <w:spacing w:line="240" w:lineRule="auto"/>
        <w:jc w:val="center"/>
        <w:rPr>
          <w:b/>
          <w:szCs w:val="22"/>
        </w:rPr>
      </w:pPr>
    </w:p>
    <w:p w14:paraId="49A84AFE" w14:textId="77777777" w:rsidR="000B205A" w:rsidRPr="00183B5F" w:rsidRDefault="000B205A" w:rsidP="004062FE">
      <w:pPr>
        <w:spacing w:line="240" w:lineRule="auto"/>
        <w:jc w:val="center"/>
        <w:rPr>
          <w:b/>
          <w:szCs w:val="22"/>
        </w:rPr>
      </w:pPr>
    </w:p>
    <w:p w14:paraId="5851D5C7" w14:textId="77777777" w:rsidR="00FB6710" w:rsidRPr="00183B5F" w:rsidRDefault="00FB6710" w:rsidP="004062FE">
      <w:pPr>
        <w:spacing w:line="240" w:lineRule="auto"/>
        <w:jc w:val="center"/>
        <w:rPr>
          <w:b/>
          <w:szCs w:val="22"/>
        </w:rPr>
      </w:pPr>
    </w:p>
    <w:p w14:paraId="56831586" w14:textId="77777777" w:rsidR="00FB6710" w:rsidRPr="00183B5F" w:rsidRDefault="00FB6710" w:rsidP="004062FE">
      <w:pPr>
        <w:spacing w:line="240" w:lineRule="auto"/>
        <w:jc w:val="center"/>
        <w:rPr>
          <w:b/>
          <w:szCs w:val="22"/>
        </w:rPr>
      </w:pPr>
    </w:p>
    <w:p w14:paraId="7DDD9489" w14:textId="77777777" w:rsidR="00FB6710" w:rsidRPr="00183B5F" w:rsidRDefault="00943743" w:rsidP="004062FE">
      <w:pPr>
        <w:pStyle w:val="BMCENTRED"/>
        <w:spacing w:line="240" w:lineRule="auto"/>
      </w:pPr>
      <w:r w:rsidRPr="00183B5F">
        <w:t>A. CÍMKESZÖVEG</w:t>
      </w:r>
    </w:p>
    <w:p w14:paraId="38984A53" w14:textId="77777777" w:rsidR="00FB6710" w:rsidRPr="00183B5F" w:rsidRDefault="00FB6710" w:rsidP="004062FE">
      <w:pPr>
        <w:spacing w:line="240" w:lineRule="auto"/>
        <w:jc w:val="center"/>
        <w:rPr>
          <w:b/>
          <w:szCs w:val="22"/>
        </w:rPr>
      </w:pPr>
    </w:p>
    <w:p w14:paraId="4568240D" w14:textId="77777777" w:rsidR="00366005" w:rsidRPr="00183B5F" w:rsidRDefault="00943743" w:rsidP="004062FE">
      <w:pPr>
        <w:spacing w:line="240" w:lineRule="auto"/>
        <w:rPr>
          <w:b/>
          <w:szCs w:val="22"/>
        </w:rPr>
      </w:pPr>
      <w:r w:rsidRPr="00183B5F">
        <w:rPr>
          <w:b/>
          <w:szCs w:val="22"/>
        </w:rPr>
        <w:br w:type="page"/>
      </w: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443A3DF4" w14:textId="77777777" w:rsidTr="00366005">
        <w:trPr>
          <w:trHeight w:val="1040"/>
          <w:jc w:val="center"/>
        </w:trPr>
        <w:tc>
          <w:tcPr>
            <w:tcW w:w="9069" w:type="dxa"/>
            <w:tcBorders>
              <w:top w:val="single" w:sz="2" w:space="0" w:color="000000"/>
              <w:left w:val="single" w:sz="2" w:space="0" w:color="000000"/>
              <w:bottom w:val="single" w:sz="2" w:space="0" w:color="000000"/>
              <w:right w:val="single" w:sz="2" w:space="0" w:color="000000"/>
            </w:tcBorders>
          </w:tcPr>
          <w:p w14:paraId="473BCEA7" w14:textId="77777777" w:rsidR="00366005" w:rsidRPr="00183B5F" w:rsidRDefault="00943743">
            <w:pPr>
              <w:spacing w:line="240" w:lineRule="auto"/>
              <w:rPr>
                <w:b/>
                <w:szCs w:val="22"/>
                <w:lang w:eastAsia="en-US"/>
              </w:rPr>
            </w:pPr>
            <w:r w:rsidRPr="00183B5F">
              <w:rPr>
                <w:b/>
                <w:szCs w:val="22"/>
                <w:lang w:eastAsia="en-US"/>
              </w:rPr>
              <w:t>A KÜLSŐ CSOMAGOLÁSON FELTÜNTETENDŐ ADATOK</w:t>
            </w:r>
          </w:p>
          <w:p w14:paraId="5C73C4E4" w14:textId="77777777" w:rsidR="00366005" w:rsidRPr="00183B5F" w:rsidRDefault="00366005">
            <w:pPr>
              <w:spacing w:line="240" w:lineRule="auto"/>
              <w:rPr>
                <w:b/>
                <w:szCs w:val="22"/>
                <w:lang w:eastAsia="en-US"/>
              </w:rPr>
            </w:pPr>
          </w:p>
          <w:p w14:paraId="60555211" w14:textId="77777777" w:rsidR="00366005" w:rsidRPr="00183B5F" w:rsidRDefault="00943743">
            <w:pPr>
              <w:spacing w:line="240" w:lineRule="auto"/>
              <w:rPr>
                <w:b/>
                <w:caps/>
                <w:szCs w:val="22"/>
                <w:lang w:eastAsia="en-US"/>
              </w:rPr>
            </w:pPr>
            <w:r w:rsidRPr="00183B5F">
              <w:rPr>
                <w:b/>
                <w:caps/>
                <w:szCs w:val="22"/>
                <w:lang w:eastAsia="en-US"/>
              </w:rPr>
              <w:t xml:space="preserve">Külső </w:t>
            </w:r>
            <w:r w:rsidR="0029015E" w:rsidRPr="00183B5F">
              <w:rPr>
                <w:b/>
                <w:caps/>
                <w:szCs w:val="22"/>
                <w:lang w:eastAsia="en-US"/>
              </w:rPr>
              <w:t xml:space="preserve">DOBOZ </w:t>
            </w:r>
          </w:p>
        </w:tc>
      </w:tr>
    </w:tbl>
    <w:p w14:paraId="09678313" w14:textId="77777777" w:rsidR="00366005" w:rsidRPr="00183B5F" w:rsidRDefault="00366005">
      <w:pPr>
        <w:spacing w:line="240" w:lineRule="auto"/>
        <w:rPr>
          <w:szCs w:val="22"/>
        </w:rPr>
      </w:pPr>
    </w:p>
    <w:p w14:paraId="631C23AD" w14:textId="77777777" w:rsidR="00366005" w:rsidRPr="00183B5F" w:rsidRDefault="00366005">
      <w:pPr>
        <w:spacing w:line="240" w:lineRule="auto"/>
        <w:rPr>
          <w:szCs w:val="22"/>
        </w:rPr>
      </w:pP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70839898"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49919164" w14:textId="77777777" w:rsidR="00366005" w:rsidRPr="00183B5F" w:rsidRDefault="00943743">
            <w:pPr>
              <w:tabs>
                <w:tab w:val="left" w:pos="142"/>
              </w:tabs>
              <w:spacing w:line="240" w:lineRule="auto"/>
              <w:ind w:left="567" w:hanging="567"/>
              <w:rPr>
                <w:b/>
                <w:szCs w:val="22"/>
                <w:lang w:eastAsia="en-US"/>
              </w:rPr>
            </w:pPr>
            <w:r w:rsidRPr="00183B5F">
              <w:rPr>
                <w:b/>
                <w:szCs w:val="22"/>
                <w:lang w:eastAsia="en-US"/>
              </w:rPr>
              <w:t>1.</w:t>
            </w:r>
            <w:r w:rsidRPr="00183B5F">
              <w:rPr>
                <w:b/>
                <w:szCs w:val="22"/>
                <w:lang w:eastAsia="en-US"/>
              </w:rPr>
              <w:tab/>
              <w:t>A GYÓGYSZER NEVE</w:t>
            </w:r>
          </w:p>
        </w:tc>
      </w:tr>
    </w:tbl>
    <w:p w14:paraId="0381F54F" w14:textId="77777777" w:rsidR="00366005" w:rsidRPr="00183B5F" w:rsidRDefault="00366005">
      <w:pPr>
        <w:spacing w:line="240" w:lineRule="auto"/>
        <w:rPr>
          <w:szCs w:val="22"/>
        </w:rPr>
      </w:pPr>
    </w:p>
    <w:p w14:paraId="2BAC955E" w14:textId="77777777" w:rsidR="00366005" w:rsidRPr="00183B5F" w:rsidRDefault="00943743">
      <w:pPr>
        <w:spacing w:line="240" w:lineRule="auto"/>
        <w:rPr>
          <w:szCs w:val="22"/>
        </w:rPr>
      </w:pPr>
      <w:r w:rsidRPr="00183B5F">
        <w:rPr>
          <w:szCs w:val="22"/>
        </w:rPr>
        <w:t>Humira 20 mg oldatos injekció előretöltött fecskendőben</w:t>
      </w:r>
    </w:p>
    <w:p w14:paraId="16EAFD6F" w14:textId="77777777" w:rsidR="00366005" w:rsidRPr="00183B5F" w:rsidRDefault="00943743">
      <w:pPr>
        <w:pStyle w:val="EndnoteText"/>
        <w:tabs>
          <w:tab w:val="clear" w:pos="567"/>
          <w:tab w:val="left" w:pos="708"/>
        </w:tabs>
        <w:suppressAutoHyphens/>
        <w:rPr>
          <w:sz w:val="22"/>
          <w:szCs w:val="22"/>
          <w:lang w:val="hu-HU"/>
        </w:rPr>
      </w:pPr>
      <w:r w:rsidRPr="00183B5F">
        <w:rPr>
          <w:sz w:val="22"/>
          <w:szCs w:val="22"/>
          <w:lang w:val="hu-HU"/>
        </w:rPr>
        <w:t>adalimumab</w:t>
      </w:r>
    </w:p>
    <w:p w14:paraId="50094D56" w14:textId="77777777" w:rsidR="00366005" w:rsidRPr="00183B5F" w:rsidRDefault="00366005">
      <w:pPr>
        <w:spacing w:line="240" w:lineRule="auto"/>
        <w:rPr>
          <w:szCs w:val="22"/>
        </w:rPr>
      </w:pPr>
    </w:p>
    <w:p w14:paraId="0FE8B70F" w14:textId="77777777" w:rsidR="00366005" w:rsidRPr="00183B5F" w:rsidRDefault="00366005">
      <w:pPr>
        <w:spacing w:line="240" w:lineRule="auto"/>
        <w:rPr>
          <w:szCs w:val="22"/>
        </w:rPr>
      </w:pPr>
    </w:p>
    <w:tbl>
      <w:tblPr>
        <w:tblW w:w="9075" w:type="dxa"/>
        <w:jc w:val="center"/>
        <w:tblLayout w:type="fixed"/>
        <w:tblCellMar>
          <w:left w:w="0" w:type="dxa"/>
          <w:right w:w="0" w:type="dxa"/>
        </w:tblCellMar>
        <w:tblLook w:val="04A0" w:firstRow="1" w:lastRow="0" w:firstColumn="1" w:lastColumn="0" w:noHBand="0" w:noVBand="1"/>
      </w:tblPr>
      <w:tblGrid>
        <w:gridCol w:w="9075"/>
      </w:tblGrid>
      <w:tr w:rsidR="00011D2F" w14:paraId="7E3764F0"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6DC3739E" w14:textId="77777777" w:rsidR="00366005" w:rsidRPr="00183B5F" w:rsidRDefault="00943743">
            <w:pPr>
              <w:tabs>
                <w:tab w:val="left" w:pos="142"/>
              </w:tabs>
              <w:spacing w:line="240" w:lineRule="auto"/>
              <w:ind w:left="567" w:hanging="567"/>
              <w:rPr>
                <w:b/>
                <w:szCs w:val="22"/>
                <w:lang w:eastAsia="en-US"/>
              </w:rPr>
            </w:pPr>
            <w:r w:rsidRPr="00183B5F">
              <w:rPr>
                <w:b/>
                <w:szCs w:val="22"/>
                <w:lang w:eastAsia="en-US"/>
              </w:rPr>
              <w:t>2.</w:t>
            </w:r>
            <w:r w:rsidRPr="00183B5F">
              <w:rPr>
                <w:b/>
                <w:szCs w:val="22"/>
                <w:lang w:eastAsia="en-US"/>
              </w:rPr>
              <w:tab/>
              <w:t>HATÓANYAG(OK) MEGNEVEZÉSE</w:t>
            </w:r>
          </w:p>
        </w:tc>
      </w:tr>
    </w:tbl>
    <w:p w14:paraId="2E2844CC" w14:textId="77777777" w:rsidR="00366005" w:rsidRPr="00183B5F" w:rsidRDefault="00366005">
      <w:pPr>
        <w:spacing w:line="240" w:lineRule="auto"/>
        <w:ind w:right="-2"/>
        <w:rPr>
          <w:szCs w:val="22"/>
        </w:rPr>
      </w:pPr>
    </w:p>
    <w:p w14:paraId="59E41874" w14:textId="77777777" w:rsidR="00366005" w:rsidRPr="00183B5F" w:rsidRDefault="00943743">
      <w:pPr>
        <w:spacing w:line="240" w:lineRule="auto"/>
        <w:ind w:right="-2"/>
        <w:rPr>
          <w:szCs w:val="22"/>
        </w:rPr>
      </w:pPr>
      <w:r w:rsidRPr="00183B5F">
        <w:rPr>
          <w:szCs w:val="22"/>
        </w:rPr>
        <w:t>20 mg adalimumab 0,2 ml-es előretöltött fecskendőben</w:t>
      </w:r>
      <w:r w:rsidR="00C036E3" w:rsidRPr="00183B5F">
        <w:rPr>
          <w:szCs w:val="22"/>
        </w:rPr>
        <w:t>.</w:t>
      </w:r>
    </w:p>
    <w:p w14:paraId="1E8B0BE2" w14:textId="77777777" w:rsidR="00366005" w:rsidRPr="00183B5F" w:rsidRDefault="00366005">
      <w:pPr>
        <w:spacing w:line="240" w:lineRule="auto"/>
        <w:ind w:right="-2"/>
        <w:rPr>
          <w:szCs w:val="22"/>
        </w:rPr>
      </w:pPr>
    </w:p>
    <w:p w14:paraId="5753AC99" w14:textId="77777777" w:rsidR="00366005" w:rsidRPr="00183B5F" w:rsidRDefault="00366005">
      <w:pPr>
        <w:spacing w:line="240" w:lineRule="auto"/>
        <w:rPr>
          <w:szCs w:val="22"/>
        </w:rPr>
      </w:pPr>
    </w:p>
    <w:tbl>
      <w:tblPr>
        <w:tblW w:w="9075" w:type="dxa"/>
        <w:jc w:val="center"/>
        <w:tblLayout w:type="fixed"/>
        <w:tblCellMar>
          <w:left w:w="0" w:type="dxa"/>
          <w:right w:w="0" w:type="dxa"/>
        </w:tblCellMar>
        <w:tblLook w:val="04A0" w:firstRow="1" w:lastRow="0" w:firstColumn="1" w:lastColumn="0" w:noHBand="0" w:noVBand="1"/>
      </w:tblPr>
      <w:tblGrid>
        <w:gridCol w:w="9075"/>
      </w:tblGrid>
      <w:tr w:rsidR="00011D2F" w14:paraId="7579082F"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40115F12" w14:textId="77777777" w:rsidR="00366005" w:rsidRPr="00183B5F" w:rsidRDefault="00943743">
            <w:pPr>
              <w:tabs>
                <w:tab w:val="left" w:pos="142"/>
              </w:tabs>
              <w:spacing w:line="240" w:lineRule="auto"/>
              <w:ind w:left="567" w:hanging="567"/>
              <w:rPr>
                <w:b/>
                <w:szCs w:val="22"/>
                <w:lang w:eastAsia="en-US"/>
              </w:rPr>
            </w:pPr>
            <w:r w:rsidRPr="00183B5F">
              <w:rPr>
                <w:b/>
                <w:szCs w:val="22"/>
                <w:lang w:eastAsia="en-US"/>
              </w:rPr>
              <w:t>3.</w:t>
            </w:r>
            <w:r w:rsidRPr="00183B5F">
              <w:rPr>
                <w:b/>
                <w:szCs w:val="22"/>
                <w:lang w:eastAsia="en-US"/>
              </w:rPr>
              <w:tab/>
              <w:t>SEGÉDANYAGOK FELSOROLÁSA</w:t>
            </w:r>
          </w:p>
        </w:tc>
      </w:tr>
    </w:tbl>
    <w:p w14:paraId="3F3BDA53" w14:textId="77777777" w:rsidR="00366005" w:rsidRPr="00183B5F" w:rsidRDefault="00366005">
      <w:pPr>
        <w:spacing w:line="240" w:lineRule="auto"/>
        <w:rPr>
          <w:szCs w:val="22"/>
        </w:rPr>
      </w:pPr>
    </w:p>
    <w:p w14:paraId="763387AD" w14:textId="77777777" w:rsidR="00366005" w:rsidRPr="00183B5F" w:rsidRDefault="00943743">
      <w:pPr>
        <w:spacing w:line="240" w:lineRule="auto"/>
        <w:rPr>
          <w:szCs w:val="22"/>
        </w:rPr>
      </w:pPr>
      <w:r w:rsidRPr="00183B5F">
        <w:rPr>
          <w:szCs w:val="22"/>
        </w:rPr>
        <w:t>Segédanyagok: mannit, poliszorbát 80, injekcióhoz való víz. További információkért olvassa el a betegtájékoztatót.</w:t>
      </w:r>
    </w:p>
    <w:p w14:paraId="31E8FCC6" w14:textId="77777777" w:rsidR="00366005" w:rsidRPr="00183B5F" w:rsidRDefault="00366005">
      <w:pPr>
        <w:pStyle w:val="EndnoteText"/>
        <w:tabs>
          <w:tab w:val="clear" w:pos="567"/>
          <w:tab w:val="left" w:pos="708"/>
        </w:tabs>
        <w:suppressAutoHyphens/>
        <w:rPr>
          <w:sz w:val="22"/>
          <w:szCs w:val="22"/>
          <w:lang w:val="hu-HU" w:eastAsia="hu-HU"/>
        </w:rPr>
      </w:pPr>
    </w:p>
    <w:p w14:paraId="5235F465" w14:textId="77777777" w:rsidR="00366005" w:rsidRPr="00183B5F" w:rsidRDefault="00366005">
      <w:pPr>
        <w:spacing w:line="240" w:lineRule="auto"/>
      </w:pP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0C8FCC6A"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7AEDB6EE" w14:textId="77777777" w:rsidR="00366005" w:rsidRPr="00183B5F" w:rsidRDefault="00943743">
            <w:pPr>
              <w:tabs>
                <w:tab w:val="left" w:pos="142"/>
              </w:tabs>
              <w:spacing w:line="240" w:lineRule="auto"/>
              <w:ind w:left="567" w:hanging="567"/>
              <w:rPr>
                <w:b/>
                <w:szCs w:val="22"/>
                <w:lang w:eastAsia="en-US"/>
              </w:rPr>
            </w:pPr>
            <w:r w:rsidRPr="00183B5F">
              <w:rPr>
                <w:b/>
                <w:szCs w:val="22"/>
                <w:lang w:eastAsia="en-US"/>
              </w:rPr>
              <w:t>4.</w:t>
            </w:r>
            <w:r w:rsidRPr="00183B5F">
              <w:rPr>
                <w:b/>
                <w:szCs w:val="22"/>
                <w:lang w:eastAsia="en-US"/>
              </w:rPr>
              <w:tab/>
              <w:t>GYÓGYSZERFORMA ÉS TARTALOM</w:t>
            </w:r>
          </w:p>
        </w:tc>
      </w:tr>
    </w:tbl>
    <w:p w14:paraId="03A1AD0B" w14:textId="77777777" w:rsidR="00366005" w:rsidRPr="00183B5F" w:rsidRDefault="00366005">
      <w:pPr>
        <w:spacing w:line="240" w:lineRule="auto"/>
        <w:rPr>
          <w:szCs w:val="22"/>
        </w:rPr>
      </w:pPr>
    </w:p>
    <w:p w14:paraId="6C782AC0" w14:textId="77777777" w:rsidR="00366005" w:rsidRPr="00183B5F" w:rsidRDefault="00943743">
      <w:pPr>
        <w:spacing w:line="240" w:lineRule="auto"/>
        <w:rPr>
          <w:szCs w:val="22"/>
        </w:rPr>
      </w:pPr>
      <w:r w:rsidRPr="00183B5F">
        <w:rPr>
          <w:szCs w:val="22"/>
          <w:highlight w:val="lightGray"/>
        </w:rPr>
        <w:t>Oldatos injekció.</w:t>
      </w:r>
    </w:p>
    <w:p w14:paraId="590D0AF3" w14:textId="77777777" w:rsidR="00366005" w:rsidRPr="00183B5F" w:rsidRDefault="00943743">
      <w:pPr>
        <w:spacing w:line="240" w:lineRule="auto"/>
        <w:rPr>
          <w:szCs w:val="22"/>
        </w:rPr>
      </w:pPr>
      <w:r w:rsidRPr="00183B5F">
        <w:rPr>
          <w:szCs w:val="22"/>
        </w:rPr>
        <w:t>2 db előretöltött fecskendő</w:t>
      </w:r>
    </w:p>
    <w:p w14:paraId="6469E836" w14:textId="77777777" w:rsidR="00366005" w:rsidRPr="00183B5F" w:rsidRDefault="00943743">
      <w:pPr>
        <w:spacing w:line="240" w:lineRule="auto"/>
        <w:rPr>
          <w:szCs w:val="22"/>
        </w:rPr>
      </w:pPr>
      <w:r w:rsidRPr="00183B5F">
        <w:rPr>
          <w:szCs w:val="22"/>
        </w:rPr>
        <w:t>2 db alkoholos törlőkendő</w:t>
      </w:r>
    </w:p>
    <w:p w14:paraId="4DFE5AF3" w14:textId="77777777" w:rsidR="00366005" w:rsidRPr="00183B5F" w:rsidRDefault="00366005">
      <w:pPr>
        <w:spacing w:line="240" w:lineRule="auto"/>
        <w:rPr>
          <w:szCs w:val="22"/>
        </w:rPr>
      </w:pPr>
    </w:p>
    <w:p w14:paraId="31F3F55E" w14:textId="77777777" w:rsidR="00366005" w:rsidRPr="00183B5F" w:rsidRDefault="00366005">
      <w:pPr>
        <w:pStyle w:val="EndnoteText"/>
        <w:tabs>
          <w:tab w:val="clear" w:pos="567"/>
          <w:tab w:val="left" w:pos="708"/>
        </w:tabs>
        <w:suppressAutoHyphens/>
        <w:rPr>
          <w:sz w:val="22"/>
          <w:szCs w:val="22"/>
          <w:lang w:val="hu-HU" w:eastAsia="hu-HU"/>
        </w:rPr>
      </w:pP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12B6CD86"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7718EFDC" w14:textId="77777777" w:rsidR="00366005" w:rsidRPr="00183B5F" w:rsidRDefault="00943743">
            <w:pPr>
              <w:tabs>
                <w:tab w:val="left" w:pos="142"/>
              </w:tabs>
              <w:spacing w:line="240" w:lineRule="auto"/>
              <w:ind w:left="567" w:hanging="567"/>
              <w:rPr>
                <w:b/>
                <w:szCs w:val="22"/>
                <w:lang w:eastAsia="en-US"/>
              </w:rPr>
            </w:pPr>
            <w:r w:rsidRPr="00183B5F">
              <w:rPr>
                <w:b/>
                <w:szCs w:val="22"/>
                <w:lang w:eastAsia="en-US"/>
              </w:rPr>
              <w:t>5.</w:t>
            </w:r>
            <w:r w:rsidRPr="00183B5F">
              <w:rPr>
                <w:b/>
                <w:szCs w:val="22"/>
                <w:lang w:eastAsia="en-US"/>
              </w:rPr>
              <w:tab/>
            </w:r>
            <w:r w:rsidRPr="00183B5F">
              <w:rPr>
                <w:b/>
                <w:szCs w:val="22"/>
                <w:lang w:eastAsia="en-US"/>
              </w:rPr>
              <w:t>AZ ALKALMAZÁSSAL KAPCSOLATOS TUDNIVALÓK ÉS AZ ALKALMAZÁS MÓDJA(I)</w:t>
            </w:r>
          </w:p>
        </w:tc>
      </w:tr>
    </w:tbl>
    <w:p w14:paraId="09F7583D" w14:textId="77777777" w:rsidR="00366005" w:rsidRPr="00183B5F" w:rsidRDefault="00366005">
      <w:pPr>
        <w:spacing w:line="240" w:lineRule="auto"/>
        <w:rPr>
          <w:szCs w:val="22"/>
        </w:rPr>
      </w:pPr>
    </w:p>
    <w:p w14:paraId="7100C55E" w14:textId="77777777" w:rsidR="00366005" w:rsidRPr="00183B5F" w:rsidRDefault="00943743">
      <w:pPr>
        <w:spacing w:line="240" w:lineRule="auto"/>
        <w:rPr>
          <w:szCs w:val="22"/>
        </w:rPr>
      </w:pPr>
      <w:r w:rsidRPr="00183B5F">
        <w:rPr>
          <w:szCs w:val="22"/>
        </w:rPr>
        <w:t>Bőr alá történő beadásra.</w:t>
      </w:r>
    </w:p>
    <w:p w14:paraId="45A0A39B" w14:textId="77777777" w:rsidR="00366005" w:rsidRPr="00183B5F" w:rsidRDefault="00366005">
      <w:pPr>
        <w:spacing w:line="240" w:lineRule="auto"/>
        <w:rPr>
          <w:szCs w:val="22"/>
        </w:rPr>
      </w:pPr>
    </w:p>
    <w:p w14:paraId="3EB13FE9" w14:textId="77777777" w:rsidR="00366005" w:rsidRPr="00183B5F" w:rsidRDefault="00943743">
      <w:pPr>
        <w:spacing w:line="240" w:lineRule="auto"/>
        <w:rPr>
          <w:szCs w:val="22"/>
        </w:rPr>
      </w:pPr>
      <w:r w:rsidRPr="00183B5F">
        <w:rPr>
          <w:szCs w:val="22"/>
        </w:rPr>
        <w:t>Használat előtt olvassa el a mellékelt betegtájékoztatót.</w:t>
      </w:r>
    </w:p>
    <w:p w14:paraId="30ED95E0" w14:textId="77777777" w:rsidR="00366005" w:rsidRPr="00183B5F" w:rsidRDefault="00366005">
      <w:pPr>
        <w:spacing w:line="240" w:lineRule="auto"/>
        <w:rPr>
          <w:szCs w:val="22"/>
        </w:rPr>
      </w:pPr>
    </w:p>
    <w:p w14:paraId="259B901D" w14:textId="77777777" w:rsidR="00366005" w:rsidRPr="00183B5F" w:rsidRDefault="00943743">
      <w:pPr>
        <w:spacing w:line="240" w:lineRule="auto"/>
        <w:rPr>
          <w:szCs w:val="22"/>
        </w:rPr>
      </w:pPr>
      <w:r w:rsidRPr="00183B5F">
        <w:rPr>
          <w:szCs w:val="22"/>
        </w:rPr>
        <w:t>Kizárólag egyszeri alkalmazásra.</w:t>
      </w:r>
    </w:p>
    <w:p w14:paraId="5BF464ED" w14:textId="77777777" w:rsidR="00366005" w:rsidRPr="00183B5F" w:rsidRDefault="00366005">
      <w:pPr>
        <w:spacing w:line="240" w:lineRule="auto"/>
        <w:rPr>
          <w:szCs w:val="22"/>
        </w:rPr>
      </w:pPr>
    </w:p>
    <w:p w14:paraId="49D0C15F" w14:textId="77777777" w:rsidR="00366005" w:rsidRPr="00183B5F" w:rsidRDefault="00943743">
      <w:pPr>
        <w:spacing w:line="240" w:lineRule="auto"/>
        <w:rPr>
          <w:szCs w:val="22"/>
        </w:rPr>
      </w:pPr>
      <w:r w:rsidRPr="00183B5F">
        <w:rPr>
          <w:szCs w:val="22"/>
        </w:rPr>
        <w:t xml:space="preserve">Gyermekgyógyászati </w:t>
      </w:r>
      <w:r w:rsidR="00AF3DE6" w:rsidRPr="00183B5F">
        <w:rPr>
          <w:szCs w:val="22"/>
        </w:rPr>
        <w:t>alkalmazásra.</w:t>
      </w:r>
    </w:p>
    <w:p w14:paraId="68973B37" w14:textId="77777777" w:rsidR="00366005" w:rsidRPr="00183B5F" w:rsidRDefault="00366005">
      <w:pPr>
        <w:spacing w:line="240" w:lineRule="auto"/>
        <w:rPr>
          <w:szCs w:val="22"/>
        </w:rPr>
      </w:pPr>
    </w:p>
    <w:p w14:paraId="0CC7A7CB" w14:textId="77777777" w:rsidR="00366005" w:rsidRPr="00183B5F" w:rsidRDefault="00366005">
      <w:pPr>
        <w:pStyle w:val="EndnoteText"/>
        <w:tabs>
          <w:tab w:val="clear" w:pos="567"/>
          <w:tab w:val="left" w:pos="708"/>
        </w:tabs>
        <w:suppressAutoHyphens/>
        <w:rPr>
          <w:sz w:val="22"/>
          <w:szCs w:val="22"/>
          <w:lang w:val="hu-HU" w:eastAsia="hu-HU"/>
        </w:rPr>
      </w:pP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66BA71A5"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627CBF0E" w14:textId="77777777" w:rsidR="00366005" w:rsidRPr="00183B5F" w:rsidRDefault="00943743">
            <w:pPr>
              <w:tabs>
                <w:tab w:val="left" w:pos="142"/>
              </w:tabs>
              <w:spacing w:line="240" w:lineRule="auto"/>
              <w:ind w:left="567" w:hanging="567"/>
              <w:rPr>
                <w:b/>
                <w:szCs w:val="22"/>
                <w:lang w:eastAsia="en-US"/>
              </w:rPr>
            </w:pPr>
            <w:r w:rsidRPr="00183B5F">
              <w:rPr>
                <w:b/>
                <w:szCs w:val="22"/>
                <w:lang w:eastAsia="en-US"/>
              </w:rPr>
              <w:t>6.</w:t>
            </w:r>
            <w:r w:rsidRPr="00183B5F">
              <w:rPr>
                <w:b/>
                <w:szCs w:val="22"/>
                <w:lang w:eastAsia="en-US"/>
              </w:rPr>
              <w:tab/>
              <w:t>KÜLÖN FIGYELMEZTETÉS, MELY SZERINT A GYÓGYSZERT GYERMEKEKTŐL ELZÁRVA KELL TARTANI</w:t>
            </w:r>
          </w:p>
        </w:tc>
      </w:tr>
    </w:tbl>
    <w:p w14:paraId="19A6C6EC" w14:textId="77777777" w:rsidR="00366005" w:rsidRPr="00183B5F" w:rsidRDefault="00366005">
      <w:pPr>
        <w:spacing w:line="240" w:lineRule="auto"/>
        <w:rPr>
          <w:szCs w:val="22"/>
        </w:rPr>
      </w:pPr>
    </w:p>
    <w:p w14:paraId="2E2A0881" w14:textId="77777777" w:rsidR="00366005" w:rsidRPr="00183B5F" w:rsidRDefault="00943743">
      <w:pPr>
        <w:spacing w:line="240" w:lineRule="auto"/>
        <w:rPr>
          <w:szCs w:val="22"/>
        </w:rPr>
      </w:pPr>
      <w:r w:rsidRPr="00183B5F">
        <w:rPr>
          <w:szCs w:val="22"/>
        </w:rPr>
        <w:t>A gyógyszer gyermekektől elzárva tartandó.</w:t>
      </w:r>
    </w:p>
    <w:p w14:paraId="1D94FC41" w14:textId="77777777" w:rsidR="00366005" w:rsidRPr="00183B5F" w:rsidRDefault="00366005">
      <w:pPr>
        <w:spacing w:line="240" w:lineRule="auto"/>
        <w:rPr>
          <w:szCs w:val="22"/>
        </w:rPr>
      </w:pPr>
    </w:p>
    <w:p w14:paraId="779E16B6" w14:textId="77777777" w:rsidR="00366005" w:rsidRPr="00183B5F" w:rsidRDefault="00366005">
      <w:pPr>
        <w:spacing w:line="240" w:lineRule="auto"/>
        <w:rPr>
          <w:szCs w:val="22"/>
        </w:rPr>
      </w:pP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7DF4B589"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06DA40CD" w14:textId="77777777" w:rsidR="00366005" w:rsidRPr="00183B5F" w:rsidRDefault="00943743">
            <w:pPr>
              <w:keepNext/>
              <w:tabs>
                <w:tab w:val="left" w:pos="142"/>
              </w:tabs>
              <w:spacing w:line="240" w:lineRule="auto"/>
              <w:ind w:left="567" w:hanging="567"/>
              <w:rPr>
                <w:b/>
                <w:szCs w:val="22"/>
                <w:lang w:eastAsia="en-US"/>
              </w:rPr>
            </w:pPr>
            <w:r w:rsidRPr="00183B5F">
              <w:rPr>
                <w:b/>
                <w:szCs w:val="22"/>
                <w:lang w:eastAsia="en-US"/>
              </w:rPr>
              <w:t>7.</w:t>
            </w:r>
            <w:r w:rsidRPr="00183B5F">
              <w:rPr>
                <w:b/>
                <w:szCs w:val="22"/>
                <w:lang w:eastAsia="en-US"/>
              </w:rPr>
              <w:tab/>
              <w:t>TOVÁBBI FIGYELMEZTETÉS(EK), AMENNYIBEN SZÜKSÉGES</w:t>
            </w:r>
          </w:p>
        </w:tc>
      </w:tr>
    </w:tbl>
    <w:p w14:paraId="2FE54A66" w14:textId="77777777" w:rsidR="00366005" w:rsidRPr="00183B5F" w:rsidRDefault="00366005">
      <w:pPr>
        <w:keepNext/>
        <w:spacing w:line="240" w:lineRule="auto"/>
        <w:rPr>
          <w:szCs w:val="22"/>
        </w:rPr>
      </w:pPr>
    </w:p>
    <w:p w14:paraId="0A63E7D3" w14:textId="77777777" w:rsidR="00366005" w:rsidRPr="00183B5F" w:rsidRDefault="00366005">
      <w:pPr>
        <w:keepNext/>
        <w:spacing w:line="240" w:lineRule="auto"/>
        <w:rPr>
          <w:szCs w:val="22"/>
        </w:rPr>
      </w:pP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531BF819"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35C1490B" w14:textId="77777777" w:rsidR="00366005" w:rsidRPr="00183B5F" w:rsidRDefault="00943743">
            <w:pPr>
              <w:tabs>
                <w:tab w:val="left" w:pos="142"/>
              </w:tabs>
              <w:spacing w:line="240" w:lineRule="auto"/>
              <w:ind w:left="567" w:hanging="567"/>
              <w:rPr>
                <w:b/>
                <w:szCs w:val="22"/>
                <w:lang w:eastAsia="en-US"/>
              </w:rPr>
            </w:pPr>
            <w:r w:rsidRPr="00183B5F">
              <w:rPr>
                <w:b/>
                <w:szCs w:val="22"/>
                <w:lang w:eastAsia="en-US"/>
              </w:rPr>
              <w:t>8.</w:t>
            </w:r>
            <w:r w:rsidRPr="00183B5F">
              <w:rPr>
                <w:b/>
                <w:szCs w:val="22"/>
                <w:lang w:eastAsia="en-US"/>
              </w:rPr>
              <w:tab/>
              <w:t>LEJÁRATI IDŐ</w:t>
            </w:r>
          </w:p>
        </w:tc>
      </w:tr>
    </w:tbl>
    <w:p w14:paraId="7309AD66" w14:textId="77777777" w:rsidR="00366005" w:rsidRPr="00183B5F" w:rsidRDefault="00366005">
      <w:pPr>
        <w:spacing w:line="240" w:lineRule="auto"/>
        <w:rPr>
          <w:szCs w:val="22"/>
        </w:rPr>
      </w:pPr>
    </w:p>
    <w:p w14:paraId="554E057C" w14:textId="77777777" w:rsidR="00366005" w:rsidRPr="00183B5F" w:rsidRDefault="00943743">
      <w:pPr>
        <w:spacing w:line="240" w:lineRule="auto"/>
        <w:rPr>
          <w:szCs w:val="22"/>
        </w:rPr>
      </w:pPr>
      <w:r w:rsidRPr="00183B5F">
        <w:rPr>
          <w:szCs w:val="22"/>
        </w:rPr>
        <w:t>EXP</w:t>
      </w:r>
    </w:p>
    <w:p w14:paraId="2D354163" w14:textId="77777777" w:rsidR="00366005" w:rsidRPr="00183B5F" w:rsidRDefault="00366005">
      <w:pPr>
        <w:spacing w:line="240" w:lineRule="auto"/>
        <w:rPr>
          <w:szCs w:val="22"/>
        </w:rPr>
      </w:pPr>
    </w:p>
    <w:p w14:paraId="6F1A368C" w14:textId="77777777" w:rsidR="00366005" w:rsidRPr="00183B5F" w:rsidRDefault="00366005">
      <w:pPr>
        <w:spacing w:line="240" w:lineRule="auto"/>
        <w:rPr>
          <w:szCs w:val="22"/>
        </w:rPr>
      </w:pP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6030172A"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5BAB92EB" w14:textId="77777777" w:rsidR="00366005" w:rsidRPr="00183B5F" w:rsidRDefault="00943743">
            <w:pPr>
              <w:keepNext/>
              <w:tabs>
                <w:tab w:val="left" w:pos="142"/>
              </w:tabs>
              <w:spacing w:line="240" w:lineRule="auto"/>
              <w:ind w:left="567" w:hanging="567"/>
              <w:rPr>
                <w:b/>
                <w:szCs w:val="22"/>
                <w:lang w:eastAsia="en-US"/>
              </w:rPr>
            </w:pPr>
            <w:r w:rsidRPr="00183B5F">
              <w:rPr>
                <w:b/>
                <w:szCs w:val="22"/>
                <w:lang w:eastAsia="en-US"/>
              </w:rPr>
              <w:t>9.</w:t>
            </w:r>
            <w:r w:rsidRPr="00183B5F">
              <w:rPr>
                <w:b/>
                <w:szCs w:val="22"/>
                <w:lang w:eastAsia="en-US"/>
              </w:rPr>
              <w:tab/>
              <w:t>KÜLÖNLEGES TÁROLÁSI ELŐÍRÁSOK</w:t>
            </w:r>
          </w:p>
        </w:tc>
      </w:tr>
    </w:tbl>
    <w:p w14:paraId="2FF57F46" w14:textId="77777777" w:rsidR="00366005" w:rsidRPr="00183B5F" w:rsidRDefault="00366005">
      <w:pPr>
        <w:keepNext/>
        <w:spacing w:line="240" w:lineRule="auto"/>
        <w:rPr>
          <w:szCs w:val="22"/>
        </w:rPr>
      </w:pPr>
    </w:p>
    <w:p w14:paraId="7820722C" w14:textId="77777777" w:rsidR="00366005" w:rsidRPr="00183B5F" w:rsidRDefault="00943743">
      <w:pPr>
        <w:keepNext/>
        <w:spacing w:line="240" w:lineRule="auto"/>
        <w:rPr>
          <w:szCs w:val="22"/>
        </w:rPr>
      </w:pPr>
      <w:r w:rsidRPr="00183B5F">
        <w:rPr>
          <w:szCs w:val="22"/>
        </w:rPr>
        <w:t>Hűtőszekrényben tárolandó. Nem fagyasztható!</w:t>
      </w:r>
    </w:p>
    <w:p w14:paraId="0FC908B5" w14:textId="77777777" w:rsidR="00366005" w:rsidRPr="00183B5F" w:rsidRDefault="00943743">
      <w:pPr>
        <w:spacing w:line="240" w:lineRule="auto"/>
        <w:rPr>
          <w:szCs w:val="22"/>
        </w:rPr>
      </w:pPr>
      <w:r w:rsidRPr="00183B5F">
        <w:rPr>
          <w:szCs w:val="22"/>
        </w:rPr>
        <w:t>További információkért olvassa el a betegtájékoztatót.</w:t>
      </w:r>
    </w:p>
    <w:p w14:paraId="2E5FD202" w14:textId="77777777" w:rsidR="00366005" w:rsidRPr="00183B5F" w:rsidRDefault="00366005">
      <w:pPr>
        <w:spacing w:line="240" w:lineRule="auto"/>
        <w:rPr>
          <w:szCs w:val="22"/>
        </w:rPr>
      </w:pPr>
    </w:p>
    <w:p w14:paraId="2D0870CB" w14:textId="77777777" w:rsidR="00366005" w:rsidRPr="00183B5F" w:rsidRDefault="00943743">
      <w:pPr>
        <w:spacing w:line="240" w:lineRule="auto"/>
        <w:rPr>
          <w:szCs w:val="22"/>
        </w:rPr>
      </w:pPr>
      <w:r w:rsidRPr="00183B5F">
        <w:rPr>
          <w:szCs w:val="22"/>
        </w:rPr>
        <w:t>A fénytől való védelem érdekében a fecskendő az eredeti dobozban tárolandó.</w:t>
      </w:r>
    </w:p>
    <w:p w14:paraId="37DBDBF6" w14:textId="77777777" w:rsidR="00366005" w:rsidRPr="00183B5F" w:rsidRDefault="00366005">
      <w:pPr>
        <w:spacing w:line="240" w:lineRule="auto"/>
        <w:rPr>
          <w:szCs w:val="22"/>
        </w:rPr>
      </w:pPr>
    </w:p>
    <w:p w14:paraId="08923966" w14:textId="77777777" w:rsidR="00366005" w:rsidRPr="00183B5F" w:rsidRDefault="00366005">
      <w:pPr>
        <w:spacing w:line="240" w:lineRule="auto"/>
        <w:rPr>
          <w:szCs w:val="22"/>
        </w:rPr>
      </w:pP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5005122F"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6CB0A70A" w14:textId="77777777" w:rsidR="00366005" w:rsidRPr="00183B5F" w:rsidRDefault="00943743">
            <w:pPr>
              <w:tabs>
                <w:tab w:val="left" w:pos="142"/>
              </w:tabs>
              <w:spacing w:line="240" w:lineRule="auto"/>
              <w:ind w:left="567" w:hanging="567"/>
              <w:rPr>
                <w:b/>
                <w:szCs w:val="22"/>
                <w:lang w:eastAsia="en-US"/>
              </w:rPr>
            </w:pPr>
            <w:r w:rsidRPr="00183B5F">
              <w:rPr>
                <w:b/>
                <w:szCs w:val="22"/>
                <w:lang w:eastAsia="en-US"/>
              </w:rPr>
              <w:t>10.</w:t>
            </w:r>
            <w:r w:rsidRPr="00183B5F">
              <w:rPr>
                <w:b/>
                <w:szCs w:val="22"/>
                <w:lang w:eastAsia="en-US"/>
              </w:rPr>
              <w:tab/>
              <w:t>KÜLÖNLEGES ÓVINTÉZKEDÉSEK A FEL NEM HASZNÁLT GYÓGYSZEREK VAGY AZ ILYEN TERMÉKEKBŐL KELETKEZETT HULLADÉKANYAGOK ÁRTALMATLANNÁ TÉTELÉRE, HA ILYENEKRE SZÜKSÉG VAN</w:t>
            </w:r>
          </w:p>
        </w:tc>
      </w:tr>
    </w:tbl>
    <w:p w14:paraId="6D97701C" w14:textId="77777777" w:rsidR="00366005" w:rsidRPr="00183B5F" w:rsidRDefault="00366005">
      <w:pPr>
        <w:spacing w:line="240" w:lineRule="auto"/>
        <w:rPr>
          <w:szCs w:val="22"/>
        </w:rPr>
      </w:pPr>
    </w:p>
    <w:p w14:paraId="65B4D69C" w14:textId="77777777" w:rsidR="00366005" w:rsidRPr="00183B5F" w:rsidRDefault="00366005">
      <w:pPr>
        <w:spacing w:line="240" w:lineRule="auto"/>
        <w:rPr>
          <w:szCs w:val="22"/>
        </w:rPr>
      </w:pP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6071F928"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659A0300" w14:textId="77777777" w:rsidR="00366005" w:rsidRPr="00183B5F" w:rsidRDefault="00943743">
            <w:pPr>
              <w:tabs>
                <w:tab w:val="left" w:pos="142"/>
              </w:tabs>
              <w:spacing w:line="240" w:lineRule="auto"/>
              <w:ind w:left="567" w:hanging="567"/>
              <w:rPr>
                <w:b/>
                <w:szCs w:val="22"/>
                <w:lang w:eastAsia="en-US"/>
              </w:rPr>
            </w:pPr>
            <w:r w:rsidRPr="00183B5F">
              <w:rPr>
                <w:b/>
                <w:szCs w:val="22"/>
                <w:lang w:eastAsia="en-US"/>
              </w:rPr>
              <w:t>11.</w:t>
            </w:r>
            <w:r w:rsidRPr="00183B5F">
              <w:rPr>
                <w:b/>
                <w:szCs w:val="22"/>
                <w:lang w:eastAsia="en-US"/>
              </w:rPr>
              <w:tab/>
              <w:t>A FORGALOMBA HOZATALI ENGEDÉLY JOGOSULTJÁNAK NEVE ÉS CÍME</w:t>
            </w:r>
          </w:p>
        </w:tc>
      </w:tr>
    </w:tbl>
    <w:p w14:paraId="0F704B6D" w14:textId="77777777" w:rsidR="00366005" w:rsidRPr="00183B5F" w:rsidRDefault="00366005">
      <w:pPr>
        <w:spacing w:line="240" w:lineRule="auto"/>
        <w:rPr>
          <w:szCs w:val="22"/>
        </w:rPr>
      </w:pPr>
    </w:p>
    <w:p w14:paraId="620A4A8B" w14:textId="77777777" w:rsidR="0054572E" w:rsidRPr="00183B5F" w:rsidRDefault="00943743" w:rsidP="0054572E">
      <w:pPr>
        <w:keepNext/>
        <w:suppressAutoHyphens w:val="0"/>
        <w:autoSpaceDE w:val="0"/>
        <w:autoSpaceDN w:val="0"/>
        <w:adjustRightInd w:val="0"/>
        <w:spacing w:line="240" w:lineRule="atLeast"/>
        <w:rPr>
          <w:szCs w:val="22"/>
          <w:lang w:eastAsia="en-GB"/>
        </w:rPr>
      </w:pPr>
      <w:r w:rsidRPr="00183B5F">
        <w:rPr>
          <w:szCs w:val="22"/>
          <w:lang w:eastAsia="en-GB"/>
        </w:rPr>
        <w:t>AbbVie Deutschland GmbH &amp; Co. KG</w:t>
      </w:r>
    </w:p>
    <w:p w14:paraId="3FDAAE4F" w14:textId="77777777" w:rsidR="0054572E" w:rsidRPr="00183B5F" w:rsidRDefault="00943743" w:rsidP="0054572E">
      <w:pPr>
        <w:keepNext/>
        <w:suppressAutoHyphens w:val="0"/>
        <w:autoSpaceDE w:val="0"/>
        <w:autoSpaceDN w:val="0"/>
        <w:adjustRightInd w:val="0"/>
        <w:spacing w:line="240" w:lineRule="atLeast"/>
        <w:rPr>
          <w:szCs w:val="22"/>
          <w:lang w:eastAsia="en-GB"/>
        </w:rPr>
      </w:pPr>
      <w:r w:rsidRPr="00183B5F">
        <w:rPr>
          <w:szCs w:val="22"/>
          <w:lang w:eastAsia="en-GB"/>
        </w:rPr>
        <w:t>Knollstrasse</w:t>
      </w:r>
    </w:p>
    <w:p w14:paraId="435DD12F" w14:textId="77777777" w:rsidR="0054572E" w:rsidRPr="00183B5F" w:rsidRDefault="00943743" w:rsidP="0054572E">
      <w:pPr>
        <w:keepNext/>
        <w:suppressAutoHyphens w:val="0"/>
        <w:autoSpaceDE w:val="0"/>
        <w:autoSpaceDN w:val="0"/>
        <w:adjustRightInd w:val="0"/>
        <w:spacing w:line="240" w:lineRule="atLeast"/>
        <w:rPr>
          <w:szCs w:val="22"/>
          <w:lang w:eastAsia="en-GB"/>
        </w:rPr>
      </w:pPr>
      <w:r w:rsidRPr="00183B5F">
        <w:rPr>
          <w:szCs w:val="22"/>
          <w:lang w:eastAsia="en-GB"/>
        </w:rPr>
        <w:t>67061 Ludwigshafen</w:t>
      </w:r>
    </w:p>
    <w:p w14:paraId="012ED2AB" w14:textId="77777777" w:rsidR="0054572E" w:rsidRPr="00183B5F" w:rsidRDefault="00943743" w:rsidP="0054572E">
      <w:pPr>
        <w:keepNext/>
        <w:suppressAutoHyphens w:val="0"/>
        <w:autoSpaceDE w:val="0"/>
        <w:autoSpaceDN w:val="0"/>
        <w:adjustRightInd w:val="0"/>
        <w:spacing w:line="240" w:lineRule="atLeast"/>
        <w:rPr>
          <w:szCs w:val="22"/>
          <w:lang w:eastAsia="en-GB"/>
        </w:rPr>
      </w:pPr>
      <w:r w:rsidRPr="00183B5F">
        <w:rPr>
          <w:szCs w:val="22"/>
          <w:lang w:eastAsia="en-GB"/>
        </w:rPr>
        <w:t xml:space="preserve">Németország </w:t>
      </w:r>
    </w:p>
    <w:p w14:paraId="7C548E62" w14:textId="77777777" w:rsidR="00366005" w:rsidRPr="00183B5F" w:rsidRDefault="00366005">
      <w:pPr>
        <w:pStyle w:val="EndnoteText"/>
        <w:tabs>
          <w:tab w:val="clear" w:pos="567"/>
          <w:tab w:val="left" w:pos="708"/>
        </w:tabs>
        <w:suppressAutoHyphens/>
        <w:rPr>
          <w:sz w:val="22"/>
          <w:szCs w:val="22"/>
          <w:lang w:val="hu-HU" w:eastAsia="hu-HU"/>
        </w:rPr>
      </w:pPr>
    </w:p>
    <w:p w14:paraId="52E74282" w14:textId="77777777" w:rsidR="00366005" w:rsidRPr="00183B5F" w:rsidRDefault="00366005">
      <w:pPr>
        <w:spacing w:line="240" w:lineRule="auto"/>
        <w:rPr>
          <w:szCs w:val="22"/>
        </w:rPr>
      </w:pP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5448CA61"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0CEF52D1" w14:textId="1E1BA72D" w:rsidR="00366005" w:rsidRPr="00183B5F" w:rsidRDefault="00943743">
            <w:pPr>
              <w:tabs>
                <w:tab w:val="left" w:pos="142"/>
              </w:tabs>
              <w:spacing w:line="240" w:lineRule="auto"/>
              <w:ind w:left="567" w:hanging="567"/>
              <w:rPr>
                <w:b/>
                <w:szCs w:val="22"/>
                <w:lang w:eastAsia="en-US"/>
              </w:rPr>
            </w:pPr>
            <w:r w:rsidRPr="00183B5F">
              <w:rPr>
                <w:b/>
                <w:szCs w:val="22"/>
                <w:lang w:eastAsia="en-US"/>
              </w:rPr>
              <w:t>12.</w:t>
            </w:r>
            <w:r w:rsidRPr="00183B5F">
              <w:rPr>
                <w:b/>
                <w:szCs w:val="22"/>
                <w:lang w:eastAsia="en-US"/>
              </w:rPr>
              <w:tab/>
            </w:r>
            <w:r w:rsidRPr="00183B5F">
              <w:rPr>
                <w:b/>
                <w:szCs w:val="22"/>
                <w:lang w:eastAsia="en-US"/>
              </w:rPr>
              <w:t>A FORGALOMBA HOZATALI ENGEDÉLY SZÁMA</w:t>
            </w:r>
            <w:del w:id="8533" w:author="AbbVie_HU_03" w:date="2025-05-14T16:07:00Z">
              <w:r w:rsidRPr="00183B5F">
                <w:rPr>
                  <w:b/>
                  <w:szCs w:val="22"/>
                  <w:lang w:eastAsia="en-US"/>
                </w:rPr>
                <w:delText xml:space="preserve"> </w:delText>
              </w:r>
            </w:del>
            <w:r w:rsidRPr="00183B5F">
              <w:rPr>
                <w:b/>
                <w:szCs w:val="22"/>
                <w:lang w:eastAsia="en-US"/>
              </w:rPr>
              <w:t>(I)</w:t>
            </w:r>
          </w:p>
        </w:tc>
      </w:tr>
    </w:tbl>
    <w:p w14:paraId="0788DCC2" w14:textId="77777777" w:rsidR="00366005" w:rsidRPr="00183B5F" w:rsidRDefault="00366005">
      <w:pPr>
        <w:spacing w:line="240" w:lineRule="auto"/>
        <w:rPr>
          <w:szCs w:val="22"/>
        </w:rPr>
      </w:pPr>
    </w:p>
    <w:p w14:paraId="2889B912" w14:textId="77777777" w:rsidR="00366005" w:rsidRPr="00183B5F" w:rsidRDefault="00943743">
      <w:pPr>
        <w:spacing w:line="240" w:lineRule="auto"/>
      </w:pPr>
      <w:r w:rsidRPr="00183B5F">
        <w:t>EU/1/03/256/022</w:t>
      </w:r>
    </w:p>
    <w:p w14:paraId="468DC307" w14:textId="77777777" w:rsidR="00366005" w:rsidRPr="00183B5F" w:rsidRDefault="00366005">
      <w:pPr>
        <w:spacing w:line="240" w:lineRule="auto"/>
        <w:rPr>
          <w:szCs w:val="22"/>
        </w:rPr>
      </w:pPr>
    </w:p>
    <w:p w14:paraId="477FB511" w14:textId="77777777" w:rsidR="00366005" w:rsidRPr="00183B5F" w:rsidRDefault="00366005">
      <w:pPr>
        <w:spacing w:line="240" w:lineRule="auto"/>
        <w:rPr>
          <w:szCs w:val="22"/>
        </w:rPr>
      </w:pP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2D87AEF5"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095218A2" w14:textId="77777777" w:rsidR="00366005" w:rsidRPr="00183B5F" w:rsidRDefault="00943743">
            <w:pPr>
              <w:tabs>
                <w:tab w:val="left" w:pos="142"/>
              </w:tabs>
              <w:spacing w:line="240" w:lineRule="auto"/>
              <w:ind w:left="567" w:hanging="567"/>
              <w:rPr>
                <w:b/>
                <w:szCs w:val="22"/>
                <w:lang w:eastAsia="en-US"/>
              </w:rPr>
            </w:pPr>
            <w:r w:rsidRPr="00183B5F">
              <w:rPr>
                <w:b/>
                <w:szCs w:val="22"/>
                <w:lang w:eastAsia="en-US"/>
              </w:rPr>
              <w:t>13.</w:t>
            </w:r>
            <w:r w:rsidRPr="00183B5F">
              <w:rPr>
                <w:b/>
                <w:szCs w:val="22"/>
                <w:lang w:eastAsia="en-US"/>
              </w:rPr>
              <w:tab/>
              <w:t>A GYÁRTÁSI TÉTEL SZÁMA</w:t>
            </w:r>
          </w:p>
        </w:tc>
      </w:tr>
    </w:tbl>
    <w:p w14:paraId="494FB802" w14:textId="77777777" w:rsidR="00366005" w:rsidRPr="00183B5F" w:rsidRDefault="00366005">
      <w:pPr>
        <w:spacing w:line="240" w:lineRule="auto"/>
        <w:rPr>
          <w:szCs w:val="22"/>
        </w:rPr>
      </w:pPr>
    </w:p>
    <w:p w14:paraId="1252F7C0" w14:textId="77777777" w:rsidR="00366005" w:rsidRPr="00183B5F" w:rsidRDefault="00943743">
      <w:pPr>
        <w:spacing w:line="240" w:lineRule="auto"/>
        <w:rPr>
          <w:szCs w:val="22"/>
        </w:rPr>
      </w:pPr>
      <w:r w:rsidRPr="00183B5F">
        <w:rPr>
          <w:szCs w:val="22"/>
        </w:rPr>
        <w:t>Lot</w:t>
      </w:r>
    </w:p>
    <w:p w14:paraId="13F73E1F" w14:textId="77777777" w:rsidR="00366005" w:rsidRPr="00183B5F" w:rsidRDefault="00366005">
      <w:pPr>
        <w:spacing w:line="240" w:lineRule="auto"/>
        <w:rPr>
          <w:szCs w:val="22"/>
        </w:rPr>
      </w:pPr>
    </w:p>
    <w:p w14:paraId="0F16D5AD" w14:textId="77777777" w:rsidR="00366005" w:rsidRPr="00183B5F" w:rsidRDefault="00366005">
      <w:pPr>
        <w:spacing w:line="240" w:lineRule="auto"/>
        <w:rPr>
          <w:szCs w:val="22"/>
        </w:rPr>
      </w:pP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51F5EB7F"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7A0FF9FA" w14:textId="755094CE" w:rsidR="00366005" w:rsidRPr="00183B5F" w:rsidRDefault="00943743">
            <w:pPr>
              <w:tabs>
                <w:tab w:val="left" w:pos="142"/>
              </w:tabs>
              <w:spacing w:line="240" w:lineRule="auto"/>
              <w:ind w:left="567" w:hanging="567"/>
              <w:rPr>
                <w:b/>
                <w:szCs w:val="22"/>
                <w:lang w:eastAsia="en-US"/>
              </w:rPr>
            </w:pPr>
            <w:r w:rsidRPr="00183B5F">
              <w:rPr>
                <w:b/>
                <w:szCs w:val="22"/>
                <w:lang w:eastAsia="en-US"/>
              </w:rPr>
              <w:t>14.</w:t>
            </w:r>
            <w:r w:rsidRPr="00183B5F">
              <w:rPr>
                <w:b/>
                <w:szCs w:val="22"/>
                <w:lang w:eastAsia="en-US"/>
              </w:rPr>
              <w:tab/>
              <w:t xml:space="preserve">A GYÓGYSZER </w:t>
            </w:r>
            <w:ins w:id="8534" w:author="AbbVie_HU_03" w:date="2025-05-14T16:07:00Z">
              <w:r w:rsidR="00810C65" w:rsidRPr="00BA324A">
                <w:rPr>
                  <w:b/>
                  <w:noProof/>
                </w:rPr>
                <w:t xml:space="preserve">ÁLTALÁNOS BESOROLÁSA </w:t>
              </w:r>
            </w:ins>
            <w:r w:rsidRPr="00183B5F">
              <w:rPr>
                <w:b/>
                <w:szCs w:val="22"/>
                <w:lang w:eastAsia="en-US"/>
              </w:rPr>
              <w:t>RENDELHETŐSÉG</w:t>
            </w:r>
            <w:del w:id="8535" w:author="AbbVie_HU_03" w:date="2025-05-14T16:07:00Z">
              <w:r w:rsidRPr="00183B5F">
                <w:rPr>
                  <w:b/>
                  <w:szCs w:val="22"/>
                  <w:lang w:eastAsia="en-US"/>
                </w:rPr>
                <w:delText>E</w:delText>
              </w:r>
            </w:del>
            <w:ins w:id="8536" w:author="AbbVie_HU_03" w:date="2025-05-14T16:07:00Z">
              <w:r w:rsidR="00810C65">
                <w:rPr>
                  <w:b/>
                  <w:szCs w:val="22"/>
                  <w:lang w:eastAsia="en-US"/>
                </w:rPr>
                <w:t xml:space="preserve"> </w:t>
              </w:r>
              <w:r w:rsidR="00810C65" w:rsidRPr="00BA324A">
                <w:rPr>
                  <w:b/>
                  <w:noProof/>
                </w:rPr>
                <w:t>SZEMPONTJÁBÓL</w:t>
              </w:r>
            </w:ins>
          </w:p>
        </w:tc>
      </w:tr>
    </w:tbl>
    <w:p w14:paraId="625854C1" w14:textId="77777777" w:rsidR="00366005" w:rsidRPr="00183B5F" w:rsidRDefault="00366005">
      <w:pPr>
        <w:spacing w:line="240" w:lineRule="auto"/>
        <w:rPr>
          <w:szCs w:val="22"/>
        </w:rPr>
      </w:pPr>
    </w:p>
    <w:p w14:paraId="71B86659" w14:textId="77777777" w:rsidR="00366005" w:rsidRPr="00183B5F" w:rsidRDefault="00366005">
      <w:pPr>
        <w:spacing w:line="240" w:lineRule="auto"/>
        <w:rPr>
          <w:szCs w:val="22"/>
        </w:rPr>
      </w:pP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616A8616"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4A3B564C" w14:textId="77777777" w:rsidR="00366005" w:rsidRPr="00183B5F" w:rsidRDefault="00943743">
            <w:pPr>
              <w:tabs>
                <w:tab w:val="left" w:pos="142"/>
              </w:tabs>
              <w:spacing w:line="240" w:lineRule="auto"/>
              <w:ind w:left="567" w:hanging="567"/>
              <w:rPr>
                <w:b/>
                <w:szCs w:val="22"/>
                <w:lang w:eastAsia="en-US"/>
              </w:rPr>
            </w:pPr>
            <w:r w:rsidRPr="00183B5F">
              <w:rPr>
                <w:b/>
                <w:szCs w:val="22"/>
                <w:lang w:eastAsia="en-US"/>
              </w:rPr>
              <w:t>15.</w:t>
            </w:r>
            <w:r w:rsidRPr="00183B5F">
              <w:rPr>
                <w:b/>
                <w:szCs w:val="22"/>
                <w:lang w:eastAsia="en-US"/>
              </w:rPr>
              <w:tab/>
              <w:t>AZ ALKALMAZÁSRA VONATKOZÓ UTASÍTÁSOK</w:t>
            </w:r>
          </w:p>
        </w:tc>
      </w:tr>
    </w:tbl>
    <w:p w14:paraId="4EA6EA16" w14:textId="77777777" w:rsidR="00366005" w:rsidRPr="00183B5F" w:rsidRDefault="00366005">
      <w:pPr>
        <w:spacing w:line="240" w:lineRule="auto"/>
        <w:rPr>
          <w:szCs w:val="22"/>
        </w:rPr>
      </w:pPr>
    </w:p>
    <w:p w14:paraId="746F1DA3" w14:textId="77777777" w:rsidR="00366005" w:rsidRPr="00183B5F" w:rsidRDefault="00366005">
      <w:pPr>
        <w:spacing w:line="240" w:lineRule="auto"/>
        <w:rPr>
          <w:szCs w:val="22"/>
        </w:rPr>
      </w:pP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1D05D322"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65D0F9A3" w14:textId="77777777" w:rsidR="00366005" w:rsidRPr="00183B5F" w:rsidRDefault="00943743">
            <w:pPr>
              <w:tabs>
                <w:tab w:val="left" w:pos="142"/>
              </w:tabs>
              <w:spacing w:line="240" w:lineRule="auto"/>
              <w:ind w:left="567" w:hanging="567"/>
              <w:rPr>
                <w:b/>
                <w:szCs w:val="22"/>
                <w:lang w:eastAsia="en-US"/>
              </w:rPr>
            </w:pPr>
            <w:r w:rsidRPr="00183B5F">
              <w:rPr>
                <w:b/>
                <w:szCs w:val="22"/>
                <w:lang w:eastAsia="en-US"/>
              </w:rPr>
              <w:t>16.</w:t>
            </w:r>
            <w:r w:rsidRPr="00183B5F">
              <w:rPr>
                <w:b/>
                <w:szCs w:val="22"/>
                <w:lang w:eastAsia="en-US"/>
              </w:rPr>
              <w:tab/>
            </w:r>
            <w:r w:rsidRPr="00183B5F">
              <w:rPr>
                <w:b/>
                <w:szCs w:val="22"/>
                <w:lang w:eastAsia="en-US"/>
              </w:rPr>
              <w:t>BRAILLE ÍRÁSSAL FELTÜNTETETT INFORMÁCIÓK</w:t>
            </w:r>
          </w:p>
        </w:tc>
      </w:tr>
    </w:tbl>
    <w:p w14:paraId="03818EEE" w14:textId="77777777" w:rsidR="00366005" w:rsidRPr="00183B5F" w:rsidRDefault="00366005">
      <w:pPr>
        <w:spacing w:line="240" w:lineRule="auto"/>
        <w:rPr>
          <w:szCs w:val="22"/>
        </w:rPr>
      </w:pPr>
    </w:p>
    <w:p w14:paraId="1C54F031" w14:textId="77777777" w:rsidR="00366005" w:rsidRPr="00183B5F" w:rsidRDefault="00943743">
      <w:pPr>
        <w:spacing w:line="240" w:lineRule="auto"/>
        <w:rPr>
          <w:szCs w:val="22"/>
        </w:rPr>
      </w:pPr>
      <w:r w:rsidRPr="00183B5F">
        <w:rPr>
          <w:szCs w:val="22"/>
        </w:rPr>
        <w:t>Humira 20 mg</w:t>
      </w:r>
    </w:p>
    <w:p w14:paraId="018F5654" w14:textId="77777777" w:rsidR="00366005" w:rsidRPr="00183B5F" w:rsidRDefault="00366005">
      <w:pPr>
        <w:spacing w:line="240" w:lineRule="auto"/>
        <w:rPr>
          <w:szCs w:val="22"/>
        </w:rPr>
      </w:pPr>
    </w:p>
    <w:p w14:paraId="72EF95C6" w14:textId="77777777" w:rsidR="00366005" w:rsidRPr="00183B5F" w:rsidRDefault="00366005">
      <w:pPr>
        <w:spacing w:line="240" w:lineRule="auto"/>
        <w:rPr>
          <w:noProof/>
          <w:shd w:val="clear" w:color="auto" w:fill="CCCCCC"/>
        </w:rPr>
      </w:pPr>
    </w:p>
    <w:p w14:paraId="6C51D526" w14:textId="77777777" w:rsidR="00366005" w:rsidRPr="00183B5F" w:rsidRDefault="00943743">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i/>
          <w:noProof/>
        </w:rPr>
      </w:pPr>
      <w:r w:rsidRPr="00183B5F">
        <w:rPr>
          <w:b/>
          <w:noProof/>
        </w:rPr>
        <w:t>17.</w:t>
      </w:r>
      <w:r w:rsidRPr="00183B5F">
        <w:rPr>
          <w:b/>
          <w:noProof/>
        </w:rPr>
        <w:tab/>
        <w:t>EGYEDI AZONOSÍTÓ – 2D VONALKÓD</w:t>
      </w:r>
    </w:p>
    <w:p w14:paraId="1A6B00BA" w14:textId="77777777" w:rsidR="00366005" w:rsidRPr="00183B5F" w:rsidRDefault="00366005">
      <w:pPr>
        <w:spacing w:line="240" w:lineRule="auto"/>
        <w:rPr>
          <w:noProof/>
        </w:rPr>
      </w:pPr>
    </w:p>
    <w:p w14:paraId="1607A508" w14:textId="77777777" w:rsidR="00366005" w:rsidRPr="00183B5F" w:rsidRDefault="00943743">
      <w:pPr>
        <w:spacing w:line="240" w:lineRule="auto"/>
        <w:rPr>
          <w:noProof/>
          <w:shd w:val="clear" w:color="auto" w:fill="CCCCCC"/>
        </w:rPr>
      </w:pPr>
      <w:r w:rsidRPr="00183B5F">
        <w:rPr>
          <w:noProof/>
          <w:highlight w:val="lightGray"/>
        </w:rPr>
        <w:t>Egyedi azonosítójú 2D vonalkóddal ellátva.</w:t>
      </w:r>
    </w:p>
    <w:p w14:paraId="3E52E5FE" w14:textId="77777777" w:rsidR="00366005" w:rsidRPr="00183B5F" w:rsidRDefault="00366005">
      <w:pPr>
        <w:spacing w:line="240" w:lineRule="auto"/>
        <w:rPr>
          <w:noProof/>
          <w:shd w:val="clear" w:color="auto" w:fill="CCCCCC"/>
        </w:rPr>
      </w:pPr>
    </w:p>
    <w:p w14:paraId="0D4E230F" w14:textId="77777777" w:rsidR="00366005" w:rsidRPr="00183B5F" w:rsidRDefault="00366005">
      <w:pPr>
        <w:spacing w:line="240" w:lineRule="auto"/>
        <w:rPr>
          <w:noProof/>
          <w:shd w:val="clear" w:color="auto" w:fill="CCCCCC"/>
        </w:rPr>
      </w:pPr>
    </w:p>
    <w:p w14:paraId="09A3AB81" w14:textId="77777777" w:rsidR="00366005" w:rsidRPr="00183B5F" w:rsidRDefault="00943743">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i/>
          <w:noProof/>
        </w:rPr>
      </w:pPr>
      <w:r w:rsidRPr="00183B5F">
        <w:rPr>
          <w:b/>
          <w:noProof/>
        </w:rPr>
        <w:t>18.</w:t>
      </w:r>
      <w:r w:rsidRPr="00183B5F">
        <w:rPr>
          <w:b/>
          <w:noProof/>
        </w:rPr>
        <w:tab/>
        <w:t>EGYEDI AZONOSÍTÓ OLVASHATÓ FORMÁTUMA</w:t>
      </w:r>
    </w:p>
    <w:p w14:paraId="66F7180D" w14:textId="77777777" w:rsidR="00366005" w:rsidRPr="00183B5F" w:rsidRDefault="00366005">
      <w:pPr>
        <w:spacing w:line="240" w:lineRule="auto"/>
        <w:rPr>
          <w:noProof/>
        </w:rPr>
      </w:pPr>
    </w:p>
    <w:p w14:paraId="3062A0A9" w14:textId="77777777" w:rsidR="00366005" w:rsidRPr="00183B5F" w:rsidRDefault="00943743">
      <w:pPr>
        <w:keepNext/>
        <w:spacing w:line="240" w:lineRule="auto"/>
        <w:rPr>
          <w:color w:val="008000"/>
        </w:rPr>
      </w:pPr>
      <w:r w:rsidRPr="00183B5F">
        <w:t>PC</w:t>
      </w:r>
    </w:p>
    <w:p w14:paraId="52BA497C" w14:textId="77777777" w:rsidR="00366005" w:rsidRPr="00183B5F" w:rsidRDefault="00943743">
      <w:pPr>
        <w:spacing w:line="240" w:lineRule="auto"/>
      </w:pPr>
      <w:r w:rsidRPr="00183B5F">
        <w:t>SN</w:t>
      </w:r>
    </w:p>
    <w:p w14:paraId="4FA20EEF" w14:textId="77777777" w:rsidR="00366005" w:rsidRPr="00183B5F" w:rsidRDefault="00943743">
      <w:pPr>
        <w:spacing w:line="240" w:lineRule="auto"/>
      </w:pPr>
      <w:r w:rsidRPr="00183B5F">
        <w:rPr>
          <w:highlight w:val="lightGray"/>
        </w:rPr>
        <w:t>NN</w:t>
      </w:r>
    </w:p>
    <w:p w14:paraId="1723CE74" w14:textId="77777777" w:rsidR="00366005" w:rsidRPr="00183B5F" w:rsidRDefault="00943743">
      <w:pPr>
        <w:suppressAutoHyphens w:val="0"/>
        <w:spacing w:line="240" w:lineRule="auto"/>
      </w:pPr>
      <w:r w:rsidRPr="00183B5F">
        <w:br w:type="page"/>
      </w: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5B5C743A"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53B3F3A2" w14:textId="77777777" w:rsidR="00366005" w:rsidRPr="00183B5F" w:rsidRDefault="00943743">
            <w:pPr>
              <w:spacing w:line="240" w:lineRule="auto"/>
              <w:rPr>
                <w:b/>
                <w:szCs w:val="22"/>
                <w:lang w:eastAsia="en-US"/>
              </w:rPr>
            </w:pPr>
            <w:r w:rsidRPr="00183B5F">
              <w:rPr>
                <w:b/>
                <w:szCs w:val="22"/>
                <w:lang w:eastAsia="en-US"/>
              </w:rPr>
              <w:t>A BUBORÉKCSOMAGOLÁSON VAGY A SZALAGFÓLIÁN MINIMÁLISAN FELTÜNTETENDŐ ADATOK</w:t>
            </w:r>
          </w:p>
          <w:p w14:paraId="3996703C" w14:textId="77777777" w:rsidR="00366005" w:rsidRPr="00183B5F" w:rsidRDefault="00943743">
            <w:pPr>
              <w:spacing w:line="240" w:lineRule="auto"/>
              <w:rPr>
                <w:b/>
                <w:szCs w:val="22"/>
                <w:lang w:eastAsia="en-US"/>
              </w:rPr>
            </w:pPr>
            <w:r w:rsidRPr="00183B5F">
              <w:rPr>
                <w:b/>
                <w:caps/>
                <w:szCs w:val="22"/>
                <w:lang w:eastAsia="en-US"/>
              </w:rPr>
              <w:br/>
              <w:t>Tálca hátoldalán levő szöveg</w:t>
            </w:r>
          </w:p>
        </w:tc>
      </w:tr>
    </w:tbl>
    <w:p w14:paraId="04E3CB63" w14:textId="77777777" w:rsidR="00366005" w:rsidRPr="00183B5F" w:rsidRDefault="00366005">
      <w:pPr>
        <w:spacing w:line="240" w:lineRule="auto"/>
        <w:rPr>
          <w:szCs w:val="22"/>
        </w:rPr>
      </w:pPr>
    </w:p>
    <w:p w14:paraId="31FE412C" w14:textId="77777777" w:rsidR="00366005" w:rsidRPr="00183B5F" w:rsidRDefault="00366005">
      <w:pPr>
        <w:spacing w:line="240" w:lineRule="auto"/>
        <w:rPr>
          <w:szCs w:val="22"/>
        </w:rPr>
      </w:pP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4A97BB34"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02171545" w14:textId="77777777" w:rsidR="00366005" w:rsidRPr="00183B5F" w:rsidRDefault="00943743">
            <w:pPr>
              <w:tabs>
                <w:tab w:val="left" w:pos="142"/>
              </w:tabs>
              <w:spacing w:line="240" w:lineRule="auto"/>
              <w:ind w:left="567" w:hanging="567"/>
              <w:rPr>
                <w:b/>
                <w:szCs w:val="22"/>
                <w:lang w:eastAsia="en-US"/>
              </w:rPr>
            </w:pPr>
            <w:r w:rsidRPr="00183B5F">
              <w:rPr>
                <w:b/>
                <w:szCs w:val="22"/>
                <w:lang w:eastAsia="en-US"/>
              </w:rPr>
              <w:t>1.</w:t>
            </w:r>
            <w:r w:rsidRPr="00183B5F">
              <w:rPr>
                <w:b/>
                <w:szCs w:val="22"/>
                <w:lang w:eastAsia="en-US"/>
              </w:rPr>
              <w:tab/>
              <w:t>A GYÓGYSZER NEVE</w:t>
            </w:r>
          </w:p>
        </w:tc>
      </w:tr>
    </w:tbl>
    <w:p w14:paraId="39F58A24" w14:textId="77777777" w:rsidR="00366005" w:rsidRPr="00183B5F" w:rsidRDefault="00366005">
      <w:pPr>
        <w:spacing w:line="240" w:lineRule="auto"/>
        <w:ind w:left="567" w:hanging="567"/>
        <w:rPr>
          <w:szCs w:val="22"/>
        </w:rPr>
      </w:pPr>
    </w:p>
    <w:p w14:paraId="1BC1662A" w14:textId="77777777" w:rsidR="00366005" w:rsidRPr="00183B5F" w:rsidRDefault="00943743">
      <w:pPr>
        <w:spacing w:line="240" w:lineRule="auto"/>
        <w:rPr>
          <w:szCs w:val="22"/>
        </w:rPr>
      </w:pPr>
      <w:r w:rsidRPr="00183B5F">
        <w:rPr>
          <w:szCs w:val="22"/>
        </w:rPr>
        <w:t>Humira 20 mg oldatos injekció előretöltött injekciós fecskendőben</w:t>
      </w:r>
    </w:p>
    <w:p w14:paraId="65791FFD" w14:textId="77777777" w:rsidR="00366005" w:rsidRPr="00183B5F" w:rsidRDefault="00943743">
      <w:pPr>
        <w:pStyle w:val="EndnoteText"/>
        <w:tabs>
          <w:tab w:val="clear" w:pos="567"/>
          <w:tab w:val="left" w:pos="708"/>
        </w:tabs>
        <w:suppressAutoHyphens/>
        <w:rPr>
          <w:sz w:val="22"/>
          <w:szCs w:val="22"/>
          <w:lang w:val="hu-HU"/>
        </w:rPr>
      </w:pPr>
      <w:r w:rsidRPr="00183B5F">
        <w:rPr>
          <w:sz w:val="22"/>
          <w:szCs w:val="22"/>
          <w:lang w:val="hu-HU"/>
        </w:rPr>
        <w:t>adalimumab</w:t>
      </w:r>
    </w:p>
    <w:p w14:paraId="72CD18BB" w14:textId="77777777" w:rsidR="00366005" w:rsidRPr="00183B5F" w:rsidRDefault="00366005">
      <w:pPr>
        <w:spacing w:line="240" w:lineRule="auto"/>
        <w:rPr>
          <w:szCs w:val="22"/>
        </w:rPr>
      </w:pPr>
    </w:p>
    <w:p w14:paraId="413AA662" w14:textId="77777777" w:rsidR="00366005" w:rsidRPr="00183B5F" w:rsidRDefault="00366005">
      <w:pPr>
        <w:spacing w:line="240" w:lineRule="auto"/>
        <w:rPr>
          <w:szCs w:val="22"/>
        </w:rPr>
      </w:pP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69454DC1"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020DDF89" w14:textId="77777777" w:rsidR="00366005" w:rsidRPr="00183B5F" w:rsidRDefault="00943743">
            <w:pPr>
              <w:tabs>
                <w:tab w:val="left" w:pos="142"/>
              </w:tabs>
              <w:spacing w:line="240" w:lineRule="auto"/>
              <w:ind w:left="567" w:hanging="567"/>
              <w:rPr>
                <w:b/>
                <w:szCs w:val="22"/>
                <w:lang w:eastAsia="en-US"/>
              </w:rPr>
            </w:pPr>
            <w:r w:rsidRPr="00183B5F">
              <w:rPr>
                <w:b/>
                <w:szCs w:val="22"/>
                <w:lang w:eastAsia="en-US"/>
              </w:rPr>
              <w:t>2.</w:t>
            </w:r>
            <w:r w:rsidRPr="00183B5F">
              <w:rPr>
                <w:b/>
                <w:szCs w:val="22"/>
                <w:lang w:eastAsia="en-US"/>
              </w:rPr>
              <w:tab/>
              <w:t>A FORGALOMBA HOZATALI ENGEDÉLY JOGOSULTJÁNAK NEVE</w:t>
            </w:r>
          </w:p>
        </w:tc>
      </w:tr>
    </w:tbl>
    <w:p w14:paraId="22C4CDCB" w14:textId="77777777" w:rsidR="00366005" w:rsidRPr="00183B5F" w:rsidRDefault="00366005">
      <w:pPr>
        <w:spacing w:line="240" w:lineRule="auto"/>
        <w:rPr>
          <w:szCs w:val="22"/>
        </w:rPr>
      </w:pPr>
    </w:p>
    <w:p w14:paraId="7317A5B5" w14:textId="77777777" w:rsidR="00366005" w:rsidRPr="00183B5F" w:rsidRDefault="00943743">
      <w:pPr>
        <w:spacing w:line="240" w:lineRule="auto"/>
        <w:ind w:right="-2"/>
        <w:rPr>
          <w:szCs w:val="22"/>
        </w:rPr>
      </w:pPr>
      <w:r w:rsidRPr="00183B5F">
        <w:rPr>
          <w:szCs w:val="22"/>
        </w:rPr>
        <w:t xml:space="preserve">AbbVie </w:t>
      </w:r>
      <w:r w:rsidR="00CE3F71" w:rsidRPr="00183B5F">
        <w:rPr>
          <w:szCs w:val="22"/>
          <w:highlight w:val="lightGray"/>
          <w:lang w:eastAsia="en-GB"/>
        </w:rPr>
        <w:t>(logo)</w:t>
      </w:r>
    </w:p>
    <w:p w14:paraId="6D3CFD19" w14:textId="77777777" w:rsidR="00366005" w:rsidRPr="00183B5F" w:rsidRDefault="00366005">
      <w:pPr>
        <w:spacing w:line="240" w:lineRule="auto"/>
        <w:rPr>
          <w:szCs w:val="22"/>
        </w:rPr>
      </w:pPr>
    </w:p>
    <w:p w14:paraId="57C69B19" w14:textId="77777777" w:rsidR="00366005" w:rsidRPr="00183B5F" w:rsidRDefault="00366005">
      <w:pPr>
        <w:spacing w:line="240" w:lineRule="auto"/>
        <w:rPr>
          <w:szCs w:val="22"/>
        </w:rPr>
      </w:pP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161DA64F"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7938E106" w14:textId="77777777" w:rsidR="00366005" w:rsidRPr="00183B5F" w:rsidRDefault="00943743">
            <w:pPr>
              <w:tabs>
                <w:tab w:val="left" w:pos="142"/>
              </w:tabs>
              <w:spacing w:line="240" w:lineRule="auto"/>
              <w:ind w:left="567" w:hanging="567"/>
              <w:rPr>
                <w:b/>
                <w:szCs w:val="22"/>
                <w:lang w:eastAsia="en-US"/>
              </w:rPr>
            </w:pPr>
            <w:r w:rsidRPr="00183B5F">
              <w:rPr>
                <w:b/>
                <w:szCs w:val="22"/>
                <w:lang w:eastAsia="en-US"/>
              </w:rPr>
              <w:t>3.</w:t>
            </w:r>
            <w:r w:rsidRPr="00183B5F">
              <w:rPr>
                <w:b/>
                <w:szCs w:val="22"/>
                <w:lang w:eastAsia="en-US"/>
              </w:rPr>
              <w:tab/>
              <w:t>LEJÁRATI IDŐ</w:t>
            </w:r>
          </w:p>
        </w:tc>
      </w:tr>
    </w:tbl>
    <w:p w14:paraId="0A81D362" w14:textId="77777777" w:rsidR="00366005" w:rsidRPr="00183B5F" w:rsidRDefault="00366005">
      <w:pPr>
        <w:spacing w:line="240" w:lineRule="auto"/>
        <w:rPr>
          <w:szCs w:val="22"/>
        </w:rPr>
      </w:pPr>
    </w:p>
    <w:p w14:paraId="3197104C" w14:textId="77777777" w:rsidR="00366005" w:rsidRPr="00183B5F" w:rsidRDefault="00943743">
      <w:pPr>
        <w:spacing w:line="240" w:lineRule="auto"/>
        <w:rPr>
          <w:szCs w:val="22"/>
        </w:rPr>
      </w:pPr>
      <w:r w:rsidRPr="00183B5F">
        <w:rPr>
          <w:szCs w:val="22"/>
        </w:rPr>
        <w:t>EXP</w:t>
      </w:r>
    </w:p>
    <w:p w14:paraId="0B590835" w14:textId="77777777" w:rsidR="00366005" w:rsidRPr="00183B5F" w:rsidRDefault="00366005">
      <w:pPr>
        <w:spacing w:line="240" w:lineRule="auto"/>
        <w:rPr>
          <w:szCs w:val="22"/>
        </w:rPr>
      </w:pPr>
    </w:p>
    <w:p w14:paraId="719C8F80" w14:textId="77777777" w:rsidR="00366005" w:rsidRPr="00183B5F" w:rsidRDefault="00366005">
      <w:pPr>
        <w:spacing w:line="240" w:lineRule="auto"/>
        <w:rPr>
          <w:szCs w:val="22"/>
        </w:rPr>
      </w:pP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345768BB"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1E3A0ED3" w14:textId="77777777" w:rsidR="00366005" w:rsidRPr="00183B5F" w:rsidRDefault="00943743">
            <w:pPr>
              <w:tabs>
                <w:tab w:val="left" w:pos="142"/>
              </w:tabs>
              <w:spacing w:line="240" w:lineRule="auto"/>
              <w:ind w:left="567" w:hanging="567"/>
              <w:rPr>
                <w:b/>
                <w:szCs w:val="22"/>
                <w:lang w:eastAsia="en-US"/>
              </w:rPr>
            </w:pPr>
            <w:r w:rsidRPr="00183B5F">
              <w:rPr>
                <w:b/>
                <w:szCs w:val="22"/>
                <w:lang w:eastAsia="en-US"/>
              </w:rPr>
              <w:t>4.</w:t>
            </w:r>
            <w:r w:rsidRPr="00183B5F">
              <w:rPr>
                <w:b/>
                <w:szCs w:val="22"/>
                <w:lang w:eastAsia="en-US"/>
              </w:rPr>
              <w:tab/>
              <w:t>A GYÁRTÁSI TÉTEL SZÁMA</w:t>
            </w:r>
          </w:p>
        </w:tc>
      </w:tr>
    </w:tbl>
    <w:p w14:paraId="18598AA1" w14:textId="77777777" w:rsidR="00366005" w:rsidRPr="00183B5F" w:rsidRDefault="00366005">
      <w:pPr>
        <w:spacing w:line="240" w:lineRule="auto"/>
        <w:rPr>
          <w:szCs w:val="22"/>
        </w:rPr>
      </w:pPr>
    </w:p>
    <w:p w14:paraId="3E27FAE9" w14:textId="77777777" w:rsidR="00366005" w:rsidRPr="00183B5F" w:rsidRDefault="00943743">
      <w:pPr>
        <w:spacing w:line="240" w:lineRule="auto"/>
        <w:rPr>
          <w:szCs w:val="22"/>
        </w:rPr>
      </w:pPr>
      <w:r w:rsidRPr="00183B5F">
        <w:rPr>
          <w:szCs w:val="22"/>
        </w:rPr>
        <w:t>Lot</w:t>
      </w:r>
    </w:p>
    <w:p w14:paraId="1ED18DDF" w14:textId="77777777" w:rsidR="00366005" w:rsidRPr="00183B5F" w:rsidRDefault="00366005">
      <w:pPr>
        <w:pStyle w:val="EndnoteText"/>
        <w:tabs>
          <w:tab w:val="clear" w:pos="567"/>
          <w:tab w:val="left" w:pos="708"/>
        </w:tabs>
        <w:suppressAutoHyphens/>
        <w:rPr>
          <w:sz w:val="22"/>
          <w:szCs w:val="22"/>
          <w:lang w:val="hu-HU"/>
        </w:rPr>
      </w:pPr>
    </w:p>
    <w:p w14:paraId="683C5397" w14:textId="77777777" w:rsidR="00366005" w:rsidRPr="00183B5F" w:rsidRDefault="00366005">
      <w:pPr>
        <w:spacing w:line="240" w:lineRule="auto"/>
      </w:pP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0AC204B5"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6D5FAECE" w14:textId="77777777" w:rsidR="00366005" w:rsidRPr="00183B5F" w:rsidRDefault="00943743">
            <w:pPr>
              <w:tabs>
                <w:tab w:val="left" w:pos="142"/>
              </w:tabs>
              <w:spacing w:line="240" w:lineRule="auto"/>
              <w:ind w:left="567" w:hanging="567"/>
              <w:rPr>
                <w:b/>
                <w:szCs w:val="22"/>
                <w:lang w:eastAsia="en-US"/>
              </w:rPr>
            </w:pPr>
            <w:r w:rsidRPr="00183B5F">
              <w:rPr>
                <w:b/>
                <w:szCs w:val="22"/>
                <w:lang w:eastAsia="en-US"/>
              </w:rPr>
              <w:t>5.</w:t>
            </w:r>
            <w:r w:rsidRPr="00183B5F">
              <w:rPr>
                <w:b/>
                <w:szCs w:val="22"/>
                <w:lang w:eastAsia="en-US"/>
              </w:rPr>
              <w:tab/>
              <w:t>EGYÉB INFORMÁCIÓK</w:t>
            </w:r>
          </w:p>
        </w:tc>
      </w:tr>
    </w:tbl>
    <w:p w14:paraId="503B4E92" w14:textId="77777777" w:rsidR="00366005" w:rsidRPr="00183B5F" w:rsidRDefault="00366005">
      <w:pPr>
        <w:spacing w:line="240" w:lineRule="auto"/>
        <w:rPr>
          <w:b/>
          <w:szCs w:val="22"/>
        </w:rPr>
      </w:pPr>
    </w:p>
    <w:p w14:paraId="0E42276F" w14:textId="77777777" w:rsidR="00366005" w:rsidRPr="00183B5F" w:rsidRDefault="00943743">
      <w:pPr>
        <w:spacing w:line="240" w:lineRule="auto"/>
        <w:rPr>
          <w:szCs w:val="22"/>
        </w:rPr>
      </w:pPr>
      <w:r w:rsidRPr="00183B5F">
        <w:rPr>
          <w:szCs w:val="22"/>
        </w:rPr>
        <w:t>Tárolási információkért olvassa el a betegtájékoztatót.</w:t>
      </w:r>
    </w:p>
    <w:p w14:paraId="1AEF927C" w14:textId="77777777" w:rsidR="00366005" w:rsidRPr="00183B5F" w:rsidRDefault="00366005">
      <w:pPr>
        <w:spacing w:line="240" w:lineRule="auto"/>
        <w:rPr>
          <w:szCs w:val="22"/>
        </w:rPr>
      </w:pPr>
    </w:p>
    <w:p w14:paraId="73D36B9F" w14:textId="77777777" w:rsidR="00366005" w:rsidRPr="00183B5F" w:rsidRDefault="00943743">
      <w:pPr>
        <w:spacing w:line="240" w:lineRule="auto"/>
        <w:rPr>
          <w:szCs w:val="22"/>
        </w:rPr>
      </w:pPr>
      <w:r w:rsidRPr="00183B5F">
        <w:rPr>
          <w:szCs w:val="22"/>
        </w:rPr>
        <w:t>Kizárólag egyszeri alkalmazásra.</w:t>
      </w:r>
    </w:p>
    <w:p w14:paraId="10D4A508" w14:textId="77777777" w:rsidR="00366005" w:rsidRPr="00183B5F" w:rsidRDefault="00366005">
      <w:pPr>
        <w:spacing w:line="240" w:lineRule="auto"/>
        <w:rPr>
          <w:szCs w:val="22"/>
        </w:rPr>
      </w:pPr>
    </w:p>
    <w:p w14:paraId="48CBD788" w14:textId="77777777" w:rsidR="00366005" w:rsidRPr="00183B5F" w:rsidRDefault="00943743">
      <w:pPr>
        <w:spacing w:line="240" w:lineRule="auto"/>
        <w:rPr>
          <w:szCs w:val="22"/>
        </w:rPr>
      </w:pPr>
      <w:r w:rsidRPr="00183B5F">
        <w:rPr>
          <w:szCs w:val="22"/>
        </w:rPr>
        <w:t>Gyermekgyógyászati alkalmazásra.</w:t>
      </w:r>
    </w:p>
    <w:p w14:paraId="4F185C04" w14:textId="77777777" w:rsidR="00444507" w:rsidRPr="00183B5F" w:rsidRDefault="00444507" w:rsidP="00444507">
      <w:pPr>
        <w:spacing w:line="240" w:lineRule="auto"/>
        <w:rPr>
          <w:szCs w:val="22"/>
          <w:highlight w:val="lightGray"/>
        </w:rPr>
      </w:pPr>
    </w:p>
    <w:p w14:paraId="748ED699" w14:textId="77777777" w:rsidR="00444507" w:rsidRPr="00183B5F" w:rsidRDefault="00444507" w:rsidP="00444507">
      <w:pPr>
        <w:spacing w:line="240" w:lineRule="auto"/>
        <w:rPr>
          <w:szCs w:val="22"/>
        </w:rPr>
      </w:pPr>
    </w:p>
    <w:p w14:paraId="26CBA0EC" w14:textId="77777777" w:rsidR="00366005" w:rsidRPr="00183B5F" w:rsidRDefault="00943743">
      <w:pPr>
        <w:spacing w:line="240" w:lineRule="auto"/>
        <w:rPr>
          <w:b/>
          <w:szCs w:val="22"/>
        </w:rPr>
      </w:pPr>
      <w:r w:rsidRPr="00183B5F">
        <w:rPr>
          <w:b/>
          <w:szCs w:val="22"/>
        </w:rPr>
        <w:br w:type="page"/>
      </w: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39DDD070" w14:textId="77777777" w:rsidTr="00366005">
        <w:trPr>
          <w:trHeight w:val="785"/>
          <w:jc w:val="center"/>
        </w:trPr>
        <w:tc>
          <w:tcPr>
            <w:tcW w:w="9069" w:type="dxa"/>
            <w:tcBorders>
              <w:top w:val="single" w:sz="2" w:space="0" w:color="000000"/>
              <w:left w:val="single" w:sz="2" w:space="0" w:color="000000"/>
              <w:bottom w:val="single" w:sz="2" w:space="0" w:color="000000"/>
              <w:right w:val="single" w:sz="2" w:space="0" w:color="000000"/>
            </w:tcBorders>
          </w:tcPr>
          <w:p w14:paraId="6CE94297" w14:textId="77777777" w:rsidR="00366005" w:rsidRPr="00183B5F" w:rsidRDefault="00943743">
            <w:pPr>
              <w:spacing w:line="240" w:lineRule="auto"/>
              <w:rPr>
                <w:b/>
                <w:szCs w:val="22"/>
                <w:lang w:eastAsia="en-US"/>
              </w:rPr>
            </w:pPr>
            <w:r w:rsidRPr="00183B5F">
              <w:rPr>
                <w:b/>
                <w:szCs w:val="22"/>
                <w:lang w:eastAsia="en-US"/>
              </w:rPr>
              <w:t>A KIS KÖZVETLEN CSOMAGOLÁSI EGYSÉGEKEN MINIMÁLISAN FELTÜNTETENDŐ ADATOK</w:t>
            </w:r>
          </w:p>
          <w:p w14:paraId="4BAC9849" w14:textId="77777777" w:rsidR="00366005" w:rsidRPr="00183B5F" w:rsidRDefault="00366005">
            <w:pPr>
              <w:spacing w:line="240" w:lineRule="auto"/>
              <w:rPr>
                <w:b/>
                <w:szCs w:val="22"/>
                <w:lang w:eastAsia="en-US"/>
              </w:rPr>
            </w:pPr>
          </w:p>
          <w:p w14:paraId="375B050F" w14:textId="77777777" w:rsidR="00366005" w:rsidRPr="00183B5F" w:rsidRDefault="00943743">
            <w:pPr>
              <w:spacing w:line="240" w:lineRule="auto"/>
              <w:rPr>
                <w:b/>
                <w:caps/>
                <w:szCs w:val="22"/>
                <w:lang w:eastAsia="en-US"/>
              </w:rPr>
            </w:pPr>
            <w:r w:rsidRPr="00183B5F">
              <w:rPr>
                <w:b/>
                <w:caps/>
                <w:szCs w:val="22"/>
                <w:lang w:eastAsia="en-US"/>
              </w:rPr>
              <w:t>Fecskendő cÍmke</w:t>
            </w:r>
          </w:p>
        </w:tc>
      </w:tr>
    </w:tbl>
    <w:p w14:paraId="0D92372D" w14:textId="77777777" w:rsidR="00366005" w:rsidRPr="00183B5F" w:rsidRDefault="00366005">
      <w:pPr>
        <w:spacing w:line="240" w:lineRule="auto"/>
        <w:rPr>
          <w:szCs w:val="22"/>
        </w:rPr>
      </w:pPr>
    </w:p>
    <w:p w14:paraId="3D5B6EB2" w14:textId="77777777" w:rsidR="00366005" w:rsidRPr="00183B5F" w:rsidRDefault="00366005">
      <w:pPr>
        <w:spacing w:line="240" w:lineRule="auto"/>
        <w:rPr>
          <w:szCs w:val="22"/>
        </w:rPr>
      </w:pP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17421CD0"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77B28917" w14:textId="77777777" w:rsidR="00366005" w:rsidRPr="00183B5F" w:rsidRDefault="00943743">
            <w:pPr>
              <w:tabs>
                <w:tab w:val="left" w:pos="142"/>
              </w:tabs>
              <w:spacing w:line="240" w:lineRule="auto"/>
              <w:ind w:left="567" w:hanging="567"/>
              <w:rPr>
                <w:b/>
                <w:szCs w:val="22"/>
                <w:lang w:eastAsia="en-US"/>
              </w:rPr>
            </w:pPr>
            <w:r w:rsidRPr="00183B5F">
              <w:rPr>
                <w:b/>
                <w:szCs w:val="22"/>
                <w:lang w:eastAsia="en-US"/>
              </w:rPr>
              <w:t>1.</w:t>
            </w:r>
            <w:r w:rsidRPr="00183B5F">
              <w:rPr>
                <w:b/>
                <w:szCs w:val="22"/>
                <w:lang w:eastAsia="en-US"/>
              </w:rPr>
              <w:tab/>
              <w:t>A GYÓGYSZER NEVE ÉS AZ ALKALMAZÁS MÓDJA(I)</w:t>
            </w:r>
          </w:p>
        </w:tc>
      </w:tr>
    </w:tbl>
    <w:p w14:paraId="5E5808F0" w14:textId="77777777" w:rsidR="00366005" w:rsidRPr="00183B5F" w:rsidRDefault="00366005">
      <w:pPr>
        <w:spacing w:line="240" w:lineRule="auto"/>
        <w:rPr>
          <w:szCs w:val="22"/>
        </w:rPr>
      </w:pPr>
    </w:p>
    <w:p w14:paraId="725BD3EC" w14:textId="77777777" w:rsidR="00366005" w:rsidRPr="00183B5F" w:rsidRDefault="00943743">
      <w:pPr>
        <w:pStyle w:val="EndnoteText"/>
        <w:tabs>
          <w:tab w:val="clear" w:pos="567"/>
          <w:tab w:val="left" w:pos="708"/>
        </w:tabs>
        <w:suppressAutoHyphens/>
        <w:rPr>
          <w:sz w:val="22"/>
          <w:szCs w:val="22"/>
          <w:lang w:val="hu-HU" w:eastAsia="hu-HU"/>
        </w:rPr>
      </w:pPr>
      <w:r w:rsidRPr="00183B5F">
        <w:rPr>
          <w:sz w:val="22"/>
          <w:szCs w:val="22"/>
          <w:lang w:val="hu-HU" w:eastAsia="hu-HU"/>
        </w:rPr>
        <w:t>Humira 20 mg injekció</w:t>
      </w:r>
    </w:p>
    <w:p w14:paraId="47DE04C9" w14:textId="77777777" w:rsidR="00366005" w:rsidRPr="00183B5F" w:rsidRDefault="00943743">
      <w:pPr>
        <w:spacing w:line="240" w:lineRule="auto"/>
        <w:rPr>
          <w:szCs w:val="22"/>
        </w:rPr>
      </w:pPr>
      <w:r w:rsidRPr="00183B5F">
        <w:rPr>
          <w:szCs w:val="22"/>
        </w:rPr>
        <w:t>adalimumab</w:t>
      </w:r>
    </w:p>
    <w:p w14:paraId="2B6A7D32" w14:textId="77777777" w:rsidR="00366005" w:rsidRPr="00183B5F" w:rsidRDefault="00943743">
      <w:pPr>
        <w:spacing w:line="240" w:lineRule="auto"/>
        <w:ind w:left="567" w:hanging="567"/>
        <w:rPr>
          <w:szCs w:val="22"/>
        </w:rPr>
      </w:pPr>
      <w:r w:rsidRPr="00183B5F">
        <w:rPr>
          <w:szCs w:val="22"/>
        </w:rPr>
        <w:t>SC</w:t>
      </w:r>
    </w:p>
    <w:p w14:paraId="2F51A967" w14:textId="77777777" w:rsidR="00366005" w:rsidRPr="00183B5F" w:rsidRDefault="00366005">
      <w:pPr>
        <w:spacing w:line="240" w:lineRule="auto"/>
        <w:rPr>
          <w:szCs w:val="22"/>
        </w:rPr>
      </w:pPr>
    </w:p>
    <w:p w14:paraId="6ADC9DC5" w14:textId="77777777" w:rsidR="00366005" w:rsidRPr="00183B5F" w:rsidRDefault="00366005">
      <w:pPr>
        <w:spacing w:line="240" w:lineRule="auto"/>
        <w:rPr>
          <w:szCs w:val="22"/>
        </w:rPr>
      </w:pP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327B18E6"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2C9D881A" w14:textId="77777777" w:rsidR="00366005" w:rsidRPr="00183B5F" w:rsidRDefault="00943743">
            <w:pPr>
              <w:tabs>
                <w:tab w:val="left" w:pos="142"/>
              </w:tabs>
              <w:spacing w:line="240" w:lineRule="auto"/>
              <w:ind w:left="567" w:hanging="567"/>
              <w:rPr>
                <w:b/>
                <w:szCs w:val="22"/>
                <w:lang w:eastAsia="en-US"/>
              </w:rPr>
            </w:pPr>
            <w:r w:rsidRPr="00183B5F">
              <w:rPr>
                <w:b/>
                <w:szCs w:val="22"/>
                <w:lang w:eastAsia="en-US"/>
              </w:rPr>
              <w:t>2.</w:t>
            </w:r>
            <w:r w:rsidRPr="00183B5F">
              <w:rPr>
                <w:b/>
                <w:szCs w:val="22"/>
                <w:lang w:eastAsia="en-US"/>
              </w:rPr>
              <w:tab/>
            </w:r>
            <w:r w:rsidRPr="00183B5F">
              <w:rPr>
                <w:b/>
                <w:szCs w:val="22"/>
                <w:lang w:eastAsia="en-US"/>
              </w:rPr>
              <w:t>AZ ALKALMAZÁSSAL KAPCSOLATOS TUDNIVALÓK</w:t>
            </w:r>
          </w:p>
        </w:tc>
      </w:tr>
    </w:tbl>
    <w:p w14:paraId="37770606" w14:textId="77777777" w:rsidR="00366005" w:rsidRPr="00183B5F" w:rsidRDefault="00366005">
      <w:pPr>
        <w:spacing w:line="240" w:lineRule="auto"/>
        <w:rPr>
          <w:szCs w:val="22"/>
        </w:rPr>
      </w:pPr>
    </w:p>
    <w:p w14:paraId="6C2EDF2E" w14:textId="77777777" w:rsidR="00366005" w:rsidRPr="00183B5F" w:rsidRDefault="00366005">
      <w:pPr>
        <w:spacing w:line="240" w:lineRule="auto"/>
        <w:rPr>
          <w:szCs w:val="22"/>
        </w:rPr>
      </w:pP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50AC3973"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5D34E118" w14:textId="77777777" w:rsidR="00366005" w:rsidRPr="00183B5F" w:rsidRDefault="00943743">
            <w:pPr>
              <w:tabs>
                <w:tab w:val="left" w:pos="142"/>
              </w:tabs>
              <w:spacing w:line="240" w:lineRule="auto"/>
              <w:ind w:left="567" w:hanging="567"/>
              <w:rPr>
                <w:b/>
                <w:szCs w:val="22"/>
                <w:lang w:eastAsia="en-US"/>
              </w:rPr>
            </w:pPr>
            <w:r w:rsidRPr="00183B5F">
              <w:rPr>
                <w:b/>
                <w:szCs w:val="22"/>
                <w:lang w:eastAsia="en-US"/>
              </w:rPr>
              <w:t>3.</w:t>
            </w:r>
            <w:r w:rsidRPr="00183B5F">
              <w:rPr>
                <w:b/>
                <w:szCs w:val="22"/>
                <w:lang w:eastAsia="en-US"/>
              </w:rPr>
              <w:tab/>
              <w:t>LEJÁRATI IDŐ</w:t>
            </w:r>
          </w:p>
        </w:tc>
      </w:tr>
    </w:tbl>
    <w:p w14:paraId="7A24C18C" w14:textId="77777777" w:rsidR="00366005" w:rsidRPr="00183B5F" w:rsidRDefault="00366005">
      <w:pPr>
        <w:spacing w:line="240" w:lineRule="auto"/>
        <w:rPr>
          <w:szCs w:val="22"/>
        </w:rPr>
      </w:pPr>
    </w:p>
    <w:p w14:paraId="6F2210B7" w14:textId="77777777" w:rsidR="00366005" w:rsidRPr="00183B5F" w:rsidRDefault="00943743">
      <w:pPr>
        <w:spacing w:line="240" w:lineRule="auto"/>
        <w:rPr>
          <w:szCs w:val="22"/>
        </w:rPr>
      </w:pPr>
      <w:r w:rsidRPr="00183B5F">
        <w:rPr>
          <w:szCs w:val="22"/>
        </w:rPr>
        <w:t>EXP</w:t>
      </w:r>
    </w:p>
    <w:p w14:paraId="08E83C3D" w14:textId="77777777" w:rsidR="00366005" w:rsidRPr="00183B5F" w:rsidRDefault="00366005">
      <w:pPr>
        <w:spacing w:line="240" w:lineRule="auto"/>
        <w:rPr>
          <w:b/>
          <w:szCs w:val="22"/>
        </w:rPr>
      </w:pPr>
    </w:p>
    <w:p w14:paraId="505B9819" w14:textId="77777777" w:rsidR="00366005" w:rsidRPr="00183B5F" w:rsidRDefault="00366005">
      <w:pPr>
        <w:spacing w:line="240" w:lineRule="auto"/>
        <w:rPr>
          <w:szCs w:val="22"/>
        </w:rPr>
      </w:pP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04D8ABB2"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64E6C9CD" w14:textId="77777777" w:rsidR="00366005" w:rsidRPr="00183B5F" w:rsidRDefault="00943743">
            <w:pPr>
              <w:tabs>
                <w:tab w:val="left" w:pos="142"/>
              </w:tabs>
              <w:spacing w:line="240" w:lineRule="auto"/>
              <w:ind w:left="567" w:hanging="567"/>
              <w:rPr>
                <w:b/>
                <w:szCs w:val="22"/>
                <w:lang w:eastAsia="en-US"/>
              </w:rPr>
            </w:pPr>
            <w:r w:rsidRPr="00183B5F">
              <w:rPr>
                <w:b/>
                <w:szCs w:val="22"/>
                <w:lang w:eastAsia="en-US"/>
              </w:rPr>
              <w:t>4.</w:t>
            </w:r>
            <w:r w:rsidRPr="00183B5F">
              <w:rPr>
                <w:b/>
                <w:szCs w:val="22"/>
                <w:lang w:eastAsia="en-US"/>
              </w:rPr>
              <w:tab/>
              <w:t>A GYÁRTÁSI TÉTEL SZÁMA</w:t>
            </w:r>
          </w:p>
        </w:tc>
      </w:tr>
    </w:tbl>
    <w:p w14:paraId="073F8690" w14:textId="77777777" w:rsidR="00366005" w:rsidRPr="00183B5F" w:rsidRDefault="00366005">
      <w:pPr>
        <w:spacing w:line="240" w:lineRule="auto"/>
        <w:rPr>
          <w:szCs w:val="22"/>
        </w:rPr>
      </w:pPr>
    </w:p>
    <w:p w14:paraId="2B19ECF3" w14:textId="77777777" w:rsidR="00366005" w:rsidRPr="00183B5F" w:rsidRDefault="00943743">
      <w:pPr>
        <w:spacing w:line="240" w:lineRule="auto"/>
        <w:rPr>
          <w:szCs w:val="22"/>
        </w:rPr>
      </w:pPr>
      <w:r w:rsidRPr="00183B5F">
        <w:rPr>
          <w:szCs w:val="22"/>
        </w:rPr>
        <w:t>Lot</w:t>
      </w:r>
    </w:p>
    <w:p w14:paraId="1CA3E751" w14:textId="77777777" w:rsidR="00366005" w:rsidRPr="00183B5F" w:rsidRDefault="00366005">
      <w:pPr>
        <w:spacing w:line="240" w:lineRule="auto"/>
        <w:ind w:right="113"/>
        <w:rPr>
          <w:szCs w:val="22"/>
        </w:rPr>
      </w:pPr>
    </w:p>
    <w:p w14:paraId="56EDDB60" w14:textId="77777777" w:rsidR="00366005" w:rsidRPr="00183B5F" w:rsidRDefault="00366005">
      <w:pPr>
        <w:spacing w:line="240" w:lineRule="auto"/>
        <w:ind w:right="113"/>
        <w:rPr>
          <w:szCs w:val="22"/>
        </w:rPr>
      </w:pP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4286F912"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7E05E09E" w14:textId="77777777" w:rsidR="00366005" w:rsidRPr="00183B5F" w:rsidRDefault="00943743">
            <w:pPr>
              <w:tabs>
                <w:tab w:val="left" w:pos="142"/>
              </w:tabs>
              <w:spacing w:line="240" w:lineRule="auto"/>
              <w:ind w:left="567" w:hanging="567"/>
              <w:rPr>
                <w:b/>
                <w:szCs w:val="22"/>
                <w:lang w:eastAsia="en-US"/>
              </w:rPr>
            </w:pPr>
            <w:r w:rsidRPr="00183B5F">
              <w:rPr>
                <w:b/>
                <w:szCs w:val="22"/>
                <w:lang w:eastAsia="en-US"/>
              </w:rPr>
              <w:t>5.</w:t>
            </w:r>
            <w:r w:rsidRPr="00183B5F">
              <w:rPr>
                <w:b/>
                <w:szCs w:val="22"/>
                <w:lang w:eastAsia="en-US"/>
              </w:rPr>
              <w:tab/>
              <w:t>A TARTALOM SÚLYRA, TÉRFOGATRA, VAGY EGYSÉGRE VONATKOZTATVA</w:t>
            </w:r>
          </w:p>
        </w:tc>
      </w:tr>
    </w:tbl>
    <w:p w14:paraId="4F0E0220" w14:textId="77777777" w:rsidR="00366005" w:rsidRPr="00183B5F" w:rsidRDefault="00366005">
      <w:pPr>
        <w:spacing w:line="240" w:lineRule="auto"/>
        <w:rPr>
          <w:szCs w:val="22"/>
        </w:rPr>
      </w:pPr>
    </w:p>
    <w:p w14:paraId="6774769D" w14:textId="77777777" w:rsidR="00366005" w:rsidRPr="00183B5F" w:rsidRDefault="00943743">
      <w:pPr>
        <w:spacing w:line="240" w:lineRule="auto"/>
        <w:rPr>
          <w:szCs w:val="22"/>
        </w:rPr>
      </w:pPr>
      <w:r w:rsidRPr="00183B5F">
        <w:rPr>
          <w:szCs w:val="22"/>
        </w:rPr>
        <w:t>20 mg/</w:t>
      </w:r>
      <w:r w:rsidRPr="00183B5F">
        <w:rPr>
          <w:szCs w:val="22"/>
          <w:shd w:val="clear" w:color="auto" w:fill="BFBFBF" w:themeFill="background1" w:themeFillShade="BF"/>
        </w:rPr>
        <w:t>0,2 ml</w:t>
      </w:r>
    </w:p>
    <w:p w14:paraId="79F761F0" w14:textId="77777777" w:rsidR="00366005" w:rsidRPr="00183B5F" w:rsidRDefault="00366005">
      <w:pPr>
        <w:spacing w:line="240" w:lineRule="auto"/>
        <w:rPr>
          <w:szCs w:val="22"/>
        </w:rPr>
      </w:pPr>
    </w:p>
    <w:p w14:paraId="22752C86" w14:textId="77777777" w:rsidR="00366005" w:rsidRPr="00183B5F" w:rsidRDefault="00366005">
      <w:pPr>
        <w:spacing w:line="240" w:lineRule="auto"/>
        <w:rPr>
          <w:szCs w:val="22"/>
        </w:rPr>
      </w:pPr>
    </w:p>
    <w:tbl>
      <w:tblPr>
        <w:tblW w:w="0" w:type="auto"/>
        <w:jc w:val="center"/>
        <w:tblLayout w:type="fixed"/>
        <w:tblCellMar>
          <w:left w:w="0" w:type="dxa"/>
          <w:right w:w="0" w:type="dxa"/>
        </w:tblCellMar>
        <w:tblLook w:val="04A0" w:firstRow="1" w:lastRow="0" w:firstColumn="1" w:lastColumn="0" w:noHBand="0" w:noVBand="1"/>
      </w:tblPr>
      <w:tblGrid>
        <w:gridCol w:w="9069"/>
      </w:tblGrid>
      <w:tr w:rsidR="00011D2F" w14:paraId="3B48D49D" w14:textId="77777777" w:rsidTr="00366005">
        <w:trPr>
          <w:jc w:val="center"/>
        </w:trPr>
        <w:tc>
          <w:tcPr>
            <w:tcW w:w="9069" w:type="dxa"/>
            <w:tcBorders>
              <w:top w:val="single" w:sz="2" w:space="0" w:color="000000"/>
              <w:left w:val="single" w:sz="2" w:space="0" w:color="000000"/>
              <w:bottom w:val="single" w:sz="2" w:space="0" w:color="000000"/>
              <w:right w:val="single" w:sz="2" w:space="0" w:color="000000"/>
            </w:tcBorders>
            <w:hideMark/>
          </w:tcPr>
          <w:p w14:paraId="0439DFBC" w14:textId="77777777" w:rsidR="00366005" w:rsidRPr="00183B5F" w:rsidRDefault="00943743">
            <w:pPr>
              <w:tabs>
                <w:tab w:val="left" w:pos="142"/>
              </w:tabs>
              <w:spacing w:line="240" w:lineRule="auto"/>
              <w:ind w:left="567" w:hanging="567"/>
              <w:rPr>
                <w:b/>
                <w:szCs w:val="22"/>
                <w:lang w:eastAsia="en-US"/>
              </w:rPr>
            </w:pPr>
            <w:r w:rsidRPr="00183B5F">
              <w:rPr>
                <w:b/>
                <w:szCs w:val="22"/>
                <w:lang w:eastAsia="en-US"/>
              </w:rPr>
              <w:t>6.</w:t>
            </w:r>
            <w:r w:rsidRPr="00183B5F">
              <w:rPr>
                <w:b/>
                <w:szCs w:val="22"/>
                <w:lang w:eastAsia="en-US"/>
              </w:rPr>
              <w:tab/>
              <w:t>EGYÉB INFORMÁCIÓK</w:t>
            </w:r>
          </w:p>
        </w:tc>
      </w:tr>
    </w:tbl>
    <w:p w14:paraId="7411500B" w14:textId="77777777" w:rsidR="00366005" w:rsidRPr="00183B5F" w:rsidRDefault="00366005">
      <w:pPr>
        <w:spacing w:line="240" w:lineRule="auto"/>
        <w:rPr>
          <w:szCs w:val="22"/>
        </w:rPr>
      </w:pPr>
    </w:p>
    <w:p w14:paraId="57389B00" w14:textId="77777777" w:rsidR="00366005" w:rsidRPr="00183B5F" w:rsidRDefault="00943743">
      <w:pPr>
        <w:suppressAutoHyphens w:val="0"/>
        <w:spacing w:line="240" w:lineRule="auto"/>
      </w:pPr>
      <w:r w:rsidRPr="00183B5F">
        <w:br w:type="page"/>
      </w:r>
    </w:p>
    <w:p w14:paraId="319F2325" w14:textId="065B3692" w:rsidR="00E62145" w:rsidRPr="00183B5F" w:rsidRDefault="00E62145" w:rsidP="004062FE">
      <w:pPr>
        <w:spacing w:line="240" w:lineRule="auto"/>
        <w:rPr>
          <w:del w:id="8537" w:author="AbbVie_HU_03" w:date="2025-05-14T16:12:00Z"/>
          <w:b/>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6353372E" w14:textId="49D95796">
        <w:trPr>
          <w:trHeight w:val="1040"/>
          <w:jc w:val="center"/>
          <w:del w:id="8538" w:author="AbbVie_HU_03" w:date="2025-05-14T16:12:00Z"/>
        </w:trPr>
        <w:tc>
          <w:tcPr>
            <w:tcW w:w="9069" w:type="dxa"/>
            <w:tcBorders>
              <w:top w:val="single" w:sz="4" w:space="0" w:color="auto"/>
              <w:bottom w:val="single" w:sz="4" w:space="0" w:color="auto"/>
            </w:tcBorders>
          </w:tcPr>
          <w:p w14:paraId="41141B9B" w14:textId="2F9F38E1" w:rsidR="00E62145" w:rsidRPr="00183B5F" w:rsidRDefault="00943743" w:rsidP="004062FE">
            <w:pPr>
              <w:spacing w:line="240" w:lineRule="auto"/>
              <w:rPr>
                <w:del w:id="8539" w:author="AbbVie_HU_03" w:date="2025-05-14T16:12:00Z"/>
                <w:b/>
                <w:szCs w:val="22"/>
              </w:rPr>
            </w:pPr>
            <w:del w:id="8540" w:author="AbbVie_HU_03" w:date="2025-05-14T16:12:00Z">
              <w:r w:rsidRPr="00183B5F">
                <w:rPr>
                  <w:szCs w:val="22"/>
                </w:rPr>
                <w:br w:type="page"/>
              </w:r>
              <w:r w:rsidRPr="00183B5F">
                <w:rPr>
                  <w:b/>
                  <w:szCs w:val="22"/>
                </w:rPr>
                <w:delText>A KÜLSŐ CSOMAGOLÁSON FELTÜNTETENDŐ ADATOK</w:delText>
              </w:r>
            </w:del>
          </w:p>
          <w:p w14:paraId="3B73E8FE" w14:textId="0A55E5FC" w:rsidR="00E62145" w:rsidRPr="00183B5F" w:rsidRDefault="00E62145" w:rsidP="004062FE">
            <w:pPr>
              <w:spacing w:line="240" w:lineRule="auto"/>
              <w:rPr>
                <w:del w:id="8541" w:author="AbbVie_HU_03" w:date="2025-05-14T16:12:00Z"/>
                <w:b/>
                <w:szCs w:val="22"/>
              </w:rPr>
            </w:pPr>
          </w:p>
          <w:p w14:paraId="68BE3063" w14:textId="3FCA2AD1" w:rsidR="00E62145" w:rsidRPr="00183B5F" w:rsidRDefault="00943743" w:rsidP="004062FE">
            <w:pPr>
              <w:spacing w:line="240" w:lineRule="auto"/>
              <w:rPr>
                <w:del w:id="8542" w:author="AbbVie_HU_03" w:date="2025-05-14T16:12:00Z"/>
                <w:b/>
                <w:szCs w:val="22"/>
              </w:rPr>
            </w:pPr>
            <w:del w:id="8543" w:author="AbbVie_HU_03" w:date="2025-05-14T16:12:00Z">
              <w:r w:rsidRPr="00183B5F">
                <w:rPr>
                  <w:b/>
                  <w:caps/>
                  <w:szCs w:val="22"/>
                </w:rPr>
                <w:delText xml:space="preserve">Külső </w:delText>
              </w:r>
              <w:r w:rsidR="0029015E" w:rsidRPr="00183B5F">
                <w:rPr>
                  <w:b/>
                  <w:caps/>
                  <w:szCs w:val="22"/>
                </w:rPr>
                <w:delText>DOBOZ</w:delText>
              </w:r>
              <w:r w:rsidR="0029015E" w:rsidRPr="00183B5F">
                <w:rPr>
                  <w:b/>
                  <w:szCs w:val="22"/>
                </w:rPr>
                <w:delText xml:space="preserve"> </w:delText>
              </w:r>
            </w:del>
          </w:p>
        </w:tc>
      </w:tr>
    </w:tbl>
    <w:p w14:paraId="0A78CB29" w14:textId="3201F028" w:rsidR="00E62145" w:rsidRPr="00183B5F" w:rsidRDefault="00E62145" w:rsidP="004062FE">
      <w:pPr>
        <w:spacing w:line="240" w:lineRule="auto"/>
        <w:rPr>
          <w:del w:id="8544" w:author="AbbVie_HU_03" w:date="2025-05-14T16:12:00Z"/>
          <w:szCs w:val="22"/>
        </w:rPr>
      </w:pPr>
    </w:p>
    <w:p w14:paraId="5716A980" w14:textId="0F670022" w:rsidR="00E62145" w:rsidRPr="00183B5F" w:rsidRDefault="00E62145" w:rsidP="004062FE">
      <w:pPr>
        <w:spacing w:line="240" w:lineRule="auto"/>
        <w:rPr>
          <w:del w:id="8545" w:author="AbbVie_HU_03" w:date="2025-05-14T16:12: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6DC3A300" w14:textId="7216B289">
        <w:trPr>
          <w:jc w:val="center"/>
          <w:del w:id="8546" w:author="AbbVie_HU_03" w:date="2025-05-14T16:12:00Z"/>
        </w:trPr>
        <w:tc>
          <w:tcPr>
            <w:tcW w:w="9069" w:type="dxa"/>
            <w:tcBorders>
              <w:top w:val="single" w:sz="4" w:space="0" w:color="auto"/>
              <w:bottom w:val="single" w:sz="4" w:space="0" w:color="auto"/>
            </w:tcBorders>
          </w:tcPr>
          <w:p w14:paraId="1B7189E4" w14:textId="113D273B" w:rsidR="00E62145" w:rsidRPr="00183B5F" w:rsidRDefault="00943743" w:rsidP="004062FE">
            <w:pPr>
              <w:tabs>
                <w:tab w:val="left" w:pos="142"/>
              </w:tabs>
              <w:spacing w:line="240" w:lineRule="auto"/>
              <w:ind w:left="567" w:hanging="567"/>
              <w:rPr>
                <w:del w:id="8547" w:author="AbbVie_HU_03" w:date="2025-05-14T16:12:00Z"/>
                <w:b/>
                <w:szCs w:val="22"/>
              </w:rPr>
            </w:pPr>
            <w:del w:id="8548" w:author="AbbVie_HU_03" w:date="2025-05-14T16:12:00Z">
              <w:r w:rsidRPr="00183B5F">
                <w:rPr>
                  <w:b/>
                  <w:szCs w:val="22"/>
                </w:rPr>
                <w:delText>1.</w:delText>
              </w:r>
              <w:r w:rsidRPr="00183B5F">
                <w:rPr>
                  <w:b/>
                  <w:szCs w:val="22"/>
                </w:rPr>
                <w:tab/>
                <w:delText xml:space="preserve">A GYÓGYSZER </w:delText>
              </w:r>
              <w:r w:rsidR="00F038A9" w:rsidRPr="00183B5F">
                <w:rPr>
                  <w:b/>
                  <w:szCs w:val="22"/>
                </w:rPr>
                <w:delText>NEVE</w:delText>
              </w:r>
            </w:del>
          </w:p>
        </w:tc>
      </w:tr>
    </w:tbl>
    <w:p w14:paraId="05513987" w14:textId="6BCC2322" w:rsidR="00E62145" w:rsidRPr="00183B5F" w:rsidRDefault="00E62145" w:rsidP="004062FE">
      <w:pPr>
        <w:spacing w:line="240" w:lineRule="auto"/>
        <w:rPr>
          <w:del w:id="8549" w:author="AbbVie_HU_03" w:date="2025-05-14T16:12:00Z"/>
          <w:szCs w:val="22"/>
        </w:rPr>
      </w:pPr>
    </w:p>
    <w:p w14:paraId="1818B3B5" w14:textId="47F7621E" w:rsidR="00E62145" w:rsidRPr="00183B5F" w:rsidRDefault="00943743" w:rsidP="004062FE">
      <w:pPr>
        <w:spacing w:line="240" w:lineRule="auto"/>
        <w:rPr>
          <w:del w:id="8550" w:author="AbbVie_HU_03" w:date="2025-05-14T16:12:00Z"/>
          <w:szCs w:val="22"/>
        </w:rPr>
      </w:pPr>
      <w:del w:id="8551" w:author="AbbVie_HU_03" w:date="2025-05-14T16:12:00Z">
        <w:r w:rsidRPr="00183B5F">
          <w:rPr>
            <w:szCs w:val="22"/>
          </w:rPr>
          <w:delText>Humira 40 mg</w:delText>
        </w:r>
        <w:r w:rsidR="00A828B5" w:rsidRPr="00183B5F">
          <w:rPr>
            <w:szCs w:val="22"/>
          </w:rPr>
          <w:delText>/0,8</w:delText>
        </w:r>
        <w:r w:rsidR="009B11CD" w:rsidRPr="00183B5F">
          <w:rPr>
            <w:szCs w:val="22"/>
          </w:rPr>
          <w:delText> </w:delText>
        </w:r>
        <w:r w:rsidR="00A828B5" w:rsidRPr="00183B5F">
          <w:rPr>
            <w:szCs w:val="22"/>
          </w:rPr>
          <w:delText>ml</w:delText>
        </w:r>
        <w:r w:rsidRPr="00183B5F">
          <w:rPr>
            <w:szCs w:val="22"/>
          </w:rPr>
          <w:delText xml:space="preserve"> oldatos injekció</w:delText>
        </w:r>
        <w:r w:rsidR="00A828B5" w:rsidRPr="00183B5F">
          <w:rPr>
            <w:szCs w:val="22"/>
          </w:rPr>
          <w:delText xml:space="preserve"> </w:delText>
        </w:r>
      </w:del>
    </w:p>
    <w:p w14:paraId="06B2DB0F" w14:textId="475DFFD9" w:rsidR="00E62145" w:rsidRPr="00183B5F" w:rsidRDefault="00943743" w:rsidP="004062FE">
      <w:pPr>
        <w:pStyle w:val="EndnoteText"/>
        <w:tabs>
          <w:tab w:val="clear" w:pos="567"/>
        </w:tabs>
        <w:suppressAutoHyphens/>
        <w:rPr>
          <w:del w:id="8552" w:author="AbbVie_HU_03" w:date="2025-05-14T16:12:00Z"/>
          <w:sz w:val="22"/>
          <w:lang w:val="hu-HU"/>
        </w:rPr>
      </w:pPr>
      <w:del w:id="8553" w:author="AbbVie_HU_03" w:date="2025-05-14T16:12:00Z">
        <w:r w:rsidRPr="00183B5F">
          <w:rPr>
            <w:sz w:val="22"/>
            <w:lang w:val="hu-HU"/>
          </w:rPr>
          <w:delText>adalimumab</w:delText>
        </w:r>
      </w:del>
    </w:p>
    <w:p w14:paraId="168A79B0" w14:textId="7C2D002B" w:rsidR="00E62145" w:rsidRPr="00183B5F" w:rsidRDefault="00E62145" w:rsidP="004062FE">
      <w:pPr>
        <w:pStyle w:val="EndnoteText"/>
        <w:tabs>
          <w:tab w:val="clear" w:pos="567"/>
        </w:tabs>
        <w:suppressAutoHyphens/>
        <w:rPr>
          <w:del w:id="8554" w:author="AbbVie_HU_03" w:date="2025-05-14T16:12:00Z"/>
          <w:sz w:val="22"/>
          <w:szCs w:val="22"/>
          <w:lang w:val="hu-HU" w:eastAsia="hu-HU"/>
        </w:rPr>
      </w:pPr>
    </w:p>
    <w:p w14:paraId="596B00FE" w14:textId="656C77BE" w:rsidR="00E62145" w:rsidRPr="00183B5F" w:rsidRDefault="00E62145" w:rsidP="004062FE">
      <w:pPr>
        <w:spacing w:line="240" w:lineRule="auto"/>
        <w:rPr>
          <w:del w:id="8555" w:author="AbbVie_HU_03" w:date="2025-05-14T16:12: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43EF76ED" w14:textId="203AE086">
        <w:trPr>
          <w:jc w:val="center"/>
          <w:del w:id="8556" w:author="AbbVie_HU_03" w:date="2025-05-14T16:12:00Z"/>
        </w:trPr>
        <w:tc>
          <w:tcPr>
            <w:tcW w:w="9069" w:type="dxa"/>
            <w:tcBorders>
              <w:top w:val="single" w:sz="4" w:space="0" w:color="auto"/>
              <w:bottom w:val="single" w:sz="4" w:space="0" w:color="auto"/>
            </w:tcBorders>
          </w:tcPr>
          <w:p w14:paraId="791208FB" w14:textId="1B301FA6" w:rsidR="00E62145" w:rsidRPr="00183B5F" w:rsidRDefault="00943743" w:rsidP="004062FE">
            <w:pPr>
              <w:tabs>
                <w:tab w:val="left" w:pos="142"/>
              </w:tabs>
              <w:spacing w:line="240" w:lineRule="auto"/>
              <w:ind w:left="567" w:hanging="567"/>
              <w:rPr>
                <w:del w:id="8557" w:author="AbbVie_HU_03" w:date="2025-05-14T16:12:00Z"/>
                <w:b/>
                <w:szCs w:val="22"/>
              </w:rPr>
            </w:pPr>
            <w:del w:id="8558" w:author="AbbVie_HU_03" w:date="2025-05-14T16:12:00Z">
              <w:r w:rsidRPr="00183B5F">
                <w:rPr>
                  <w:b/>
                  <w:szCs w:val="22"/>
                </w:rPr>
                <w:delText>2.</w:delText>
              </w:r>
              <w:r w:rsidRPr="00183B5F">
                <w:rPr>
                  <w:b/>
                  <w:szCs w:val="22"/>
                </w:rPr>
                <w:tab/>
                <w:delText>HATÓANYAG(OK) MEGNEVEZÉSE</w:delText>
              </w:r>
            </w:del>
          </w:p>
        </w:tc>
      </w:tr>
    </w:tbl>
    <w:p w14:paraId="54B231BF" w14:textId="0DC43785" w:rsidR="00E62145" w:rsidRPr="00183B5F" w:rsidRDefault="00E62145" w:rsidP="004062FE">
      <w:pPr>
        <w:spacing w:line="240" w:lineRule="auto"/>
        <w:ind w:right="-2"/>
        <w:rPr>
          <w:del w:id="8559" w:author="AbbVie_HU_03" w:date="2025-05-14T16:12:00Z"/>
          <w:szCs w:val="22"/>
        </w:rPr>
      </w:pPr>
    </w:p>
    <w:p w14:paraId="532B4972" w14:textId="77757DF2" w:rsidR="00E62145" w:rsidRPr="00183B5F" w:rsidRDefault="00943743" w:rsidP="004062FE">
      <w:pPr>
        <w:spacing w:line="240" w:lineRule="auto"/>
        <w:ind w:right="-2"/>
        <w:rPr>
          <w:del w:id="8560" w:author="AbbVie_HU_03" w:date="2025-05-14T16:12:00Z"/>
          <w:szCs w:val="22"/>
        </w:rPr>
      </w:pPr>
      <w:del w:id="8561" w:author="AbbVie_HU_03" w:date="2025-05-14T16:12:00Z">
        <w:r w:rsidRPr="00183B5F">
          <w:rPr>
            <w:szCs w:val="22"/>
          </w:rPr>
          <w:delText>40 mg adalimumab 0,8 ml-es injekciós üvegben</w:delText>
        </w:r>
        <w:r w:rsidR="00C036E3" w:rsidRPr="00183B5F">
          <w:rPr>
            <w:szCs w:val="22"/>
          </w:rPr>
          <w:delText>.</w:delText>
        </w:r>
      </w:del>
    </w:p>
    <w:p w14:paraId="3EAD8B2E" w14:textId="716DA5FF" w:rsidR="00E62145" w:rsidRPr="00183B5F" w:rsidRDefault="00E62145" w:rsidP="004062FE">
      <w:pPr>
        <w:spacing w:line="240" w:lineRule="auto"/>
        <w:rPr>
          <w:del w:id="8562" w:author="AbbVie_HU_03" w:date="2025-05-14T16:12:00Z"/>
          <w:szCs w:val="22"/>
        </w:rPr>
      </w:pPr>
    </w:p>
    <w:p w14:paraId="22C14BB7" w14:textId="16862CF0" w:rsidR="00E62145" w:rsidRPr="00183B5F" w:rsidRDefault="00E62145" w:rsidP="004062FE">
      <w:pPr>
        <w:spacing w:line="240" w:lineRule="auto"/>
        <w:rPr>
          <w:del w:id="8563" w:author="AbbVie_HU_03" w:date="2025-05-14T16:12: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612E26EA" w14:textId="4EACB27A">
        <w:trPr>
          <w:jc w:val="center"/>
          <w:del w:id="8564" w:author="AbbVie_HU_03" w:date="2025-05-14T16:12:00Z"/>
        </w:trPr>
        <w:tc>
          <w:tcPr>
            <w:tcW w:w="9069" w:type="dxa"/>
            <w:tcBorders>
              <w:top w:val="single" w:sz="4" w:space="0" w:color="auto"/>
              <w:bottom w:val="single" w:sz="4" w:space="0" w:color="auto"/>
            </w:tcBorders>
          </w:tcPr>
          <w:p w14:paraId="6C826373" w14:textId="47B3901E" w:rsidR="00E62145" w:rsidRPr="00183B5F" w:rsidRDefault="00943743" w:rsidP="004062FE">
            <w:pPr>
              <w:tabs>
                <w:tab w:val="left" w:pos="142"/>
              </w:tabs>
              <w:spacing w:line="240" w:lineRule="auto"/>
              <w:ind w:left="567" w:hanging="567"/>
              <w:rPr>
                <w:del w:id="8565" w:author="AbbVie_HU_03" w:date="2025-05-14T16:12:00Z"/>
                <w:b/>
                <w:szCs w:val="22"/>
              </w:rPr>
            </w:pPr>
            <w:del w:id="8566" w:author="AbbVie_HU_03" w:date="2025-05-14T16:12:00Z">
              <w:r w:rsidRPr="00183B5F">
                <w:rPr>
                  <w:b/>
                  <w:szCs w:val="22"/>
                </w:rPr>
                <w:delText>3.</w:delText>
              </w:r>
              <w:r w:rsidRPr="00183B5F">
                <w:rPr>
                  <w:b/>
                  <w:szCs w:val="22"/>
                </w:rPr>
                <w:tab/>
              </w:r>
              <w:r w:rsidRPr="00183B5F">
                <w:rPr>
                  <w:b/>
                  <w:szCs w:val="22"/>
                </w:rPr>
                <w:delText>SEGÉDANYAGOK FELSOROLÁSA</w:delText>
              </w:r>
            </w:del>
          </w:p>
        </w:tc>
      </w:tr>
    </w:tbl>
    <w:p w14:paraId="4297CDD4" w14:textId="5247DB85" w:rsidR="00E62145" w:rsidRPr="00183B5F" w:rsidRDefault="00E62145" w:rsidP="004062FE">
      <w:pPr>
        <w:spacing w:line="240" w:lineRule="auto"/>
        <w:rPr>
          <w:del w:id="8567" w:author="AbbVie_HU_03" w:date="2025-05-14T16:12:00Z"/>
          <w:szCs w:val="22"/>
        </w:rPr>
      </w:pPr>
    </w:p>
    <w:p w14:paraId="54C00A4B" w14:textId="5FE7E9A6" w:rsidR="00E62145" w:rsidRPr="00183B5F" w:rsidRDefault="00943743" w:rsidP="004062FE">
      <w:pPr>
        <w:spacing w:line="240" w:lineRule="auto"/>
        <w:rPr>
          <w:del w:id="8568" w:author="AbbVie_HU_03" w:date="2025-05-14T16:12:00Z"/>
          <w:szCs w:val="22"/>
        </w:rPr>
      </w:pPr>
      <w:del w:id="8569" w:author="AbbVie_HU_03" w:date="2025-05-14T16:12:00Z">
        <w:r w:rsidRPr="00183B5F">
          <w:rPr>
            <w:szCs w:val="22"/>
          </w:rPr>
          <w:delText>Segédanyagok: mannit, citromsav-monohidrát, trinátrium-citrát, nátrium</w:delText>
        </w:r>
        <w:r w:rsidRPr="00183B5F">
          <w:rPr>
            <w:szCs w:val="22"/>
          </w:rPr>
          <w:noBreakHyphen/>
          <w:delText>dihidrogén</w:delText>
        </w:r>
        <w:r w:rsidRPr="00183B5F">
          <w:rPr>
            <w:szCs w:val="22"/>
          </w:rPr>
          <w:noBreakHyphen/>
          <w:delText>foszfát</w:delText>
        </w:r>
        <w:r w:rsidRPr="00183B5F">
          <w:rPr>
            <w:szCs w:val="22"/>
          </w:rPr>
          <w:noBreakHyphen/>
          <w:delText>dihidrát, dinátrium</w:delText>
        </w:r>
        <w:r w:rsidRPr="00183B5F">
          <w:rPr>
            <w:szCs w:val="22"/>
          </w:rPr>
          <w:noBreakHyphen/>
          <w:delText>hidrogén</w:delText>
        </w:r>
        <w:r w:rsidRPr="00183B5F">
          <w:rPr>
            <w:szCs w:val="22"/>
          </w:rPr>
          <w:noBreakHyphen/>
          <w:delText>foszfát</w:delText>
        </w:r>
        <w:r w:rsidRPr="00183B5F">
          <w:rPr>
            <w:szCs w:val="22"/>
          </w:rPr>
          <w:noBreakHyphen/>
          <w:delText>dihidrát, nátrium</w:delText>
        </w:r>
        <w:r w:rsidRPr="00183B5F">
          <w:rPr>
            <w:szCs w:val="22"/>
          </w:rPr>
          <w:noBreakHyphen/>
          <w:delText>klorid, poliszorbát 80, nátrium</w:delText>
        </w:r>
        <w:r w:rsidRPr="00183B5F">
          <w:rPr>
            <w:szCs w:val="22"/>
          </w:rPr>
          <w:noBreakHyphen/>
        </w:r>
        <w:r w:rsidRPr="00183B5F">
          <w:rPr>
            <w:szCs w:val="22"/>
          </w:rPr>
          <w:delText>hidroxid, injekcióhoz való víz. További információkért olvassa el a betegtájékoztatót.</w:delText>
        </w:r>
      </w:del>
    </w:p>
    <w:p w14:paraId="6657B5A3" w14:textId="5EFB79F7" w:rsidR="00E62145" w:rsidRPr="00183B5F" w:rsidRDefault="00E62145" w:rsidP="004062FE">
      <w:pPr>
        <w:spacing w:line="240" w:lineRule="auto"/>
        <w:rPr>
          <w:del w:id="8570" w:author="AbbVie_HU_03" w:date="2025-05-14T16:12:00Z"/>
          <w:szCs w:val="22"/>
        </w:rPr>
      </w:pPr>
    </w:p>
    <w:p w14:paraId="4DE0189D" w14:textId="7082F1D0" w:rsidR="00E62145" w:rsidRPr="00183B5F" w:rsidRDefault="00E62145" w:rsidP="004062FE">
      <w:pPr>
        <w:spacing w:line="240" w:lineRule="auto"/>
        <w:rPr>
          <w:del w:id="8571" w:author="AbbVie_HU_03" w:date="2025-05-14T16:12: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5BE89FB4" w14:textId="02E4ECE1">
        <w:trPr>
          <w:jc w:val="center"/>
          <w:del w:id="8572" w:author="AbbVie_HU_03" w:date="2025-05-14T16:12:00Z"/>
        </w:trPr>
        <w:tc>
          <w:tcPr>
            <w:tcW w:w="9069" w:type="dxa"/>
            <w:tcBorders>
              <w:top w:val="single" w:sz="4" w:space="0" w:color="auto"/>
              <w:bottom w:val="single" w:sz="4" w:space="0" w:color="auto"/>
            </w:tcBorders>
          </w:tcPr>
          <w:p w14:paraId="291D162E" w14:textId="57A227FD" w:rsidR="00E62145" w:rsidRPr="00183B5F" w:rsidRDefault="00943743" w:rsidP="004062FE">
            <w:pPr>
              <w:tabs>
                <w:tab w:val="left" w:pos="142"/>
              </w:tabs>
              <w:spacing w:line="240" w:lineRule="auto"/>
              <w:ind w:left="567" w:hanging="567"/>
              <w:rPr>
                <w:del w:id="8573" w:author="AbbVie_HU_03" w:date="2025-05-14T16:12:00Z"/>
                <w:b/>
                <w:szCs w:val="22"/>
              </w:rPr>
            </w:pPr>
            <w:del w:id="8574" w:author="AbbVie_HU_03" w:date="2025-05-14T16:12:00Z">
              <w:r w:rsidRPr="00183B5F">
                <w:rPr>
                  <w:b/>
                  <w:szCs w:val="22"/>
                </w:rPr>
                <w:delText>4.</w:delText>
              </w:r>
              <w:r w:rsidRPr="00183B5F">
                <w:rPr>
                  <w:b/>
                  <w:szCs w:val="22"/>
                </w:rPr>
                <w:tab/>
                <w:delText>GYÓGYSZERFORMA ÉS TARTALOM</w:delText>
              </w:r>
            </w:del>
          </w:p>
        </w:tc>
      </w:tr>
    </w:tbl>
    <w:p w14:paraId="064390B0" w14:textId="236030A8" w:rsidR="00E62145" w:rsidRPr="00183B5F" w:rsidRDefault="00E62145" w:rsidP="004062FE">
      <w:pPr>
        <w:spacing w:line="240" w:lineRule="auto"/>
        <w:rPr>
          <w:del w:id="8575" w:author="AbbVie_HU_03" w:date="2025-05-14T16:12:00Z"/>
          <w:szCs w:val="22"/>
        </w:rPr>
      </w:pPr>
    </w:p>
    <w:p w14:paraId="691270AC" w14:textId="34F82749" w:rsidR="0026514C" w:rsidRPr="00183B5F" w:rsidRDefault="00943743" w:rsidP="004062FE">
      <w:pPr>
        <w:spacing w:line="240" w:lineRule="auto"/>
        <w:rPr>
          <w:del w:id="8576" w:author="AbbVie_HU_03" w:date="2025-05-14T16:12:00Z"/>
          <w:szCs w:val="22"/>
        </w:rPr>
      </w:pPr>
      <w:del w:id="8577" w:author="AbbVie_HU_03" w:date="2025-05-14T16:12:00Z">
        <w:r w:rsidRPr="00183B5F">
          <w:rPr>
            <w:szCs w:val="22"/>
            <w:highlight w:val="lightGray"/>
          </w:rPr>
          <w:delText>Oldatos injekció.</w:delText>
        </w:r>
      </w:del>
    </w:p>
    <w:p w14:paraId="0379744B" w14:textId="1BC6B6A9" w:rsidR="00A828B5" w:rsidRPr="00183B5F" w:rsidRDefault="00943743" w:rsidP="004062FE">
      <w:pPr>
        <w:spacing w:line="240" w:lineRule="auto"/>
        <w:rPr>
          <w:del w:id="8578" w:author="AbbVie_HU_03" w:date="2025-05-14T16:12:00Z"/>
          <w:szCs w:val="22"/>
        </w:rPr>
      </w:pPr>
      <w:del w:id="8579" w:author="AbbVie_HU_03" w:date="2025-05-14T16:12:00Z">
        <w:r w:rsidRPr="00183B5F">
          <w:rPr>
            <w:szCs w:val="22"/>
          </w:rPr>
          <w:delText>Két</w:delText>
        </w:r>
        <w:r w:rsidR="00A16A7E" w:rsidRPr="00183B5F">
          <w:rPr>
            <w:szCs w:val="22"/>
          </w:rPr>
          <w:delText xml:space="preserve"> dobozt</w:delText>
        </w:r>
        <w:r w:rsidRPr="00183B5F">
          <w:rPr>
            <w:szCs w:val="22"/>
          </w:rPr>
          <w:delText xml:space="preserve"> tartalmaz, mindegyikben</w:delText>
        </w:r>
        <w:r w:rsidR="00A16A7E" w:rsidRPr="00183B5F">
          <w:rPr>
            <w:szCs w:val="22"/>
          </w:rPr>
          <w:delText xml:space="preserve"> csak egy injekcióval.</w:delText>
        </w:r>
      </w:del>
    </w:p>
    <w:p w14:paraId="656F13BF" w14:textId="6981D97A" w:rsidR="00A16A7E" w:rsidRPr="00183B5F" w:rsidRDefault="00943743" w:rsidP="004062FE">
      <w:pPr>
        <w:spacing w:line="240" w:lineRule="auto"/>
        <w:rPr>
          <w:del w:id="8580" w:author="AbbVie_HU_03" w:date="2025-05-14T16:12:00Z"/>
          <w:b/>
          <w:szCs w:val="22"/>
        </w:rPr>
      </w:pPr>
      <w:del w:id="8581" w:author="AbbVie_HU_03" w:date="2025-05-14T16:12:00Z">
        <w:r w:rsidRPr="00183B5F">
          <w:rPr>
            <w:b/>
            <w:szCs w:val="22"/>
          </w:rPr>
          <w:delText>Mindegyik dobozban:</w:delText>
        </w:r>
      </w:del>
    </w:p>
    <w:p w14:paraId="7155708F" w14:textId="344C15D1" w:rsidR="00E62145" w:rsidRPr="00183B5F" w:rsidRDefault="00943743" w:rsidP="004062FE">
      <w:pPr>
        <w:spacing w:line="240" w:lineRule="auto"/>
        <w:rPr>
          <w:del w:id="8582" w:author="AbbVie_HU_03" w:date="2025-05-14T16:12:00Z"/>
          <w:szCs w:val="22"/>
        </w:rPr>
      </w:pPr>
      <w:del w:id="8583" w:author="AbbVie_HU_03" w:date="2025-05-14T16:12:00Z">
        <w:r w:rsidRPr="00183B5F">
          <w:rPr>
            <w:szCs w:val="22"/>
          </w:rPr>
          <w:delText>1</w:delText>
        </w:r>
        <w:r w:rsidR="009B11CD" w:rsidRPr="00183B5F">
          <w:rPr>
            <w:szCs w:val="22"/>
          </w:rPr>
          <w:delText> </w:delText>
        </w:r>
        <w:r w:rsidRPr="00183B5F">
          <w:rPr>
            <w:szCs w:val="22"/>
          </w:rPr>
          <w:delText>db injekciós üveg</w:delText>
        </w:r>
      </w:del>
    </w:p>
    <w:p w14:paraId="75CC068C" w14:textId="2A796D50" w:rsidR="00A16A7E" w:rsidRPr="00183B5F" w:rsidRDefault="00943743" w:rsidP="004062FE">
      <w:pPr>
        <w:spacing w:line="240" w:lineRule="auto"/>
        <w:rPr>
          <w:del w:id="8584" w:author="AbbVie_HU_03" w:date="2025-05-14T16:12:00Z"/>
          <w:szCs w:val="22"/>
        </w:rPr>
      </w:pPr>
      <w:del w:id="8585" w:author="AbbVie_HU_03" w:date="2025-05-14T16:12:00Z">
        <w:r w:rsidRPr="00183B5F">
          <w:rPr>
            <w:szCs w:val="22"/>
          </w:rPr>
          <w:delText>1</w:delText>
        </w:r>
        <w:r w:rsidR="009B11CD" w:rsidRPr="00183B5F">
          <w:rPr>
            <w:szCs w:val="22"/>
          </w:rPr>
          <w:delText> </w:delText>
        </w:r>
        <w:r w:rsidRPr="00183B5F">
          <w:rPr>
            <w:szCs w:val="22"/>
          </w:rPr>
          <w:delText xml:space="preserve">db steril injekciós fecskendő </w:delText>
        </w:r>
      </w:del>
    </w:p>
    <w:p w14:paraId="2F241894" w14:textId="5EFA043C" w:rsidR="00A16A7E" w:rsidRPr="00183B5F" w:rsidRDefault="00943743" w:rsidP="004062FE">
      <w:pPr>
        <w:spacing w:line="240" w:lineRule="auto"/>
        <w:rPr>
          <w:del w:id="8586" w:author="AbbVie_HU_03" w:date="2025-05-14T16:12:00Z"/>
          <w:szCs w:val="22"/>
        </w:rPr>
      </w:pPr>
      <w:del w:id="8587" w:author="AbbVie_HU_03" w:date="2025-05-14T16:12:00Z">
        <w:r w:rsidRPr="00183B5F">
          <w:rPr>
            <w:szCs w:val="22"/>
          </w:rPr>
          <w:delText>1</w:delText>
        </w:r>
        <w:r w:rsidR="009B11CD" w:rsidRPr="00183B5F">
          <w:rPr>
            <w:szCs w:val="22"/>
          </w:rPr>
          <w:delText> </w:delText>
        </w:r>
        <w:r w:rsidRPr="00183B5F">
          <w:rPr>
            <w:szCs w:val="22"/>
          </w:rPr>
          <w:delText xml:space="preserve">db steril tű </w:delText>
        </w:r>
      </w:del>
    </w:p>
    <w:p w14:paraId="16CFB904" w14:textId="304EE145" w:rsidR="00E62145" w:rsidRPr="00183B5F" w:rsidRDefault="00943743" w:rsidP="004062FE">
      <w:pPr>
        <w:spacing w:line="240" w:lineRule="auto"/>
        <w:rPr>
          <w:del w:id="8588" w:author="AbbVie_HU_03" w:date="2025-05-14T16:12:00Z"/>
          <w:szCs w:val="22"/>
        </w:rPr>
      </w:pPr>
      <w:del w:id="8589" w:author="AbbVie_HU_03" w:date="2025-05-14T16:12:00Z">
        <w:r w:rsidRPr="00183B5F">
          <w:rPr>
            <w:szCs w:val="22"/>
          </w:rPr>
          <w:delText>1</w:delText>
        </w:r>
        <w:r w:rsidR="009B11CD" w:rsidRPr="00183B5F">
          <w:rPr>
            <w:szCs w:val="22"/>
          </w:rPr>
          <w:delText> </w:delText>
        </w:r>
        <w:r w:rsidRPr="00183B5F">
          <w:rPr>
            <w:szCs w:val="22"/>
          </w:rPr>
          <w:delText>db steril adapter</w:delText>
        </w:r>
      </w:del>
    </w:p>
    <w:p w14:paraId="39F97A5D" w14:textId="32DA016F" w:rsidR="00E62145" w:rsidRPr="00183B5F" w:rsidRDefault="00943743" w:rsidP="004062FE">
      <w:pPr>
        <w:pStyle w:val="EndnoteText"/>
        <w:tabs>
          <w:tab w:val="clear" w:pos="567"/>
        </w:tabs>
        <w:suppressAutoHyphens/>
        <w:rPr>
          <w:del w:id="8590" w:author="AbbVie_HU_03" w:date="2025-05-14T16:12:00Z"/>
          <w:sz w:val="22"/>
          <w:szCs w:val="22"/>
          <w:lang w:val="hu-HU"/>
        </w:rPr>
      </w:pPr>
      <w:del w:id="8591" w:author="AbbVie_HU_03" w:date="2025-05-14T16:12:00Z">
        <w:r w:rsidRPr="00183B5F">
          <w:rPr>
            <w:sz w:val="22"/>
            <w:szCs w:val="22"/>
            <w:lang w:val="hu-HU"/>
          </w:rPr>
          <w:delText>2</w:delText>
        </w:r>
        <w:r w:rsidR="009B11CD" w:rsidRPr="00183B5F">
          <w:rPr>
            <w:sz w:val="22"/>
            <w:szCs w:val="22"/>
            <w:lang w:val="hu-HU"/>
          </w:rPr>
          <w:delText> </w:delText>
        </w:r>
        <w:r w:rsidRPr="00183B5F">
          <w:rPr>
            <w:sz w:val="22"/>
            <w:lang w:val="hu-HU"/>
          </w:rPr>
          <w:delText xml:space="preserve">db </w:delText>
        </w:r>
        <w:r w:rsidRPr="00183B5F">
          <w:rPr>
            <w:sz w:val="22"/>
            <w:szCs w:val="22"/>
            <w:lang w:val="hu-HU"/>
          </w:rPr>
          <w:delText>alko</w:delText>
        </w:r>
        <w:r w:rsidR="00347F49" w:rsidRPr="00183B5F">
          <w:rPr>
            <w:sz w:val="22"/>
            <w:szCs w:val="22"/>
            <w:lang w:val="hu-HU"/>
          </w:rPr>
          <w:delText>ho</w:delText>
        </w:r>
        <w:r w:rsidRPr="00183B5F">
          <w:rPr>
            <w:sz w:val="22"/>
            <w:szCs w:val="22"/>
            <w:lang w:val="hu-HU"/>
          </w:rPr>
          <w:delText>los törlőkendő</w:delText>
        </w:r>
      </w:del>
    </w:p>
    <w:p w14:paraId="32D80632" w14:textId="7075C215" w:rsidR="00E62145" w:rsidRPr="00183B5F" w:rsidRDefault="00E62145" w:rsidP="004062FE">
      <w:pPr>
        <w:spacing w:line="240" w:lineRule="auto"/>
        <w:rPr>
          <w:del w:id="8592" w:author="AbbVie_HU_03" w:date="2025-05-14T16:12:00Z"/>
          <w:szCs w:val="22"/>
        </w:rPr>
      </w:pPr>
    </w:p>
    <w:p w14:paraId="24727FC9" w14:textId="70A399C2" w:rsidR="00E62145" w:rsidRPr="00183B5F" w:rsidRDefault="00E62145" w:rsidP="004062FE">
      <w:pPr>
        <w:spacing w:line="240" w:lineRule="auto"/>
        <w:rPr>
          <w:del w:id="8593" w:author="AbbVie_HU_03" w:date="2025-05-14T16:12: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3F992BBC" w14:textId="683715FC">
        <w:trPr>
          <w:jc w:val="center"/>
          <w:del w:id="8594" w:author="AbbVie_HU_03" w:date="2025-05-14T16:12:00Z"/>
        </w:trPr>
        <w:tc>
          <w:tcPr>
            <w:tcW w:w="9069" w:type="dxa"/>
            <w:tcBorders>
              <w:top w:val="single" w:sz="4" w:space="0" w:color="auto"/>
              <w:bottom w:val="single" w:sz="4" w:space="0" w:color="auto"/>
            </w:tcBorders>
          </w:tcPr>
          <w:p w14:paraId="579D10C5" w14:textId="17F68ACA" w:rsidR="00E62145" w:rsidRPr="00183B5F" w:rsidRDefault="00943743" w:rsidP="004062FE">
            <w:pPr>
              <w:tabs>
                <w:tab w:val="left" w:pos="142"/>
              </w:tabs>
              <w:spacing w:line="240" w:lineRule="auto"/>
              <w:ind w:left="567" w:hanging="567"/>
              <w:rPr>
                <w:del w:id="8595" w:author="AbbVie_HU_03" w:date="2025-05-14T16:12:00Z"/>
                <w:b/>
                <w:szCs w:val="22"/>
              </w:rPr>
            </w:pPr>
            <w:del w:id="8596" w:author="AbbVie_HU_03" w:date="2025-05-14T16:12:00Z">
              <w:r w:rsidRPr="00183B5F">
                <w:rPr>
                  <w:b/>
                  <w:szCs w:val="22"/>
                </w:rPr>
                <w:delText>5.</w:delText>
              </w:r>
              <w:r w:rsidRPr="00183B5F">
                <w:rPr>
                  <w:b/>
                  <w:szCs w:val="22"/>
                </w:rPr>
                <w:tab/>
                <w:delText>AZ ALKALMAZÁSSAL KAPCSOLATOS TUDNIVALÓK ÉS AZ ALKALMAZÁS MÓDJA (I)</w:delText>
              </w:r>
            </w:del>
          </w:p>
        </w:tc>
      </w:tr>
    </w:tbl>
    <w:p w14:paraId="722FA0CA" w14:textId="24536400" w:rsidR="00E62145" w:rsidRPr="00183B5F" w:rsidRDefault="00E62145" w:rsidP="004062FE">
      <w:pPr>
        <w:spacing w:line="240" w:lineRule="auto"/>
        <w:rPr>
          <w:del w:id="8597" w:author="AbbVie_HU_03" w:date="2025-05-14T16:12:00Z"/>
          <w:szCs w:val="22"/>
        </w:rPr>
      </w:pPr>
    </w:p>
    <w:p w14:paraId="283848E4" w14:textId="1BC91153" w:rsidR="00E62145" w:rsidRPr="00183B5F" w:rsidRDefault="00943743" w:rsidP="004062FE">
      <w:pPr>
        <w:spacing w:line="240" w:lineRule="auto"/>
        <w:rPr>
          <w:del w:id="8598" w:author="AbbVie_HU_03" w:date="2025-05-14T16:12:00Z"/>
          <w:szCs w:val="22"/>
        </w:rPr>
      </w:pPr>
      <w:del w:id="8599" w:author="AbbVie_HU_03" w:date="2025-05-14T16:12:00Z">
        <w:r w:rsidRPr="00183B5F">
          <w:rPr>
            <w:szCs w:val="22"/>
          </w:rPr>
          <w:delText>Bőr alá történő beadásra</w:delText>
        </w:r>
        <w:r w:rsidR="00CE794D" w:rsidRPr="00183B5F">
          <w:rPr>
            <w:szCs w:val="22"/>
          </w:rPr>
          <w:delText>.</w:delText>
        </w:r>
      </w:del>
    </w:p>
    <w:p w14:paraId="12510EB3" w14:textId="0BAA65C3" w:rsidR="00E62145" w:rsidRPr="00183B5F" w:rsidRDefault="00E62145" w:rsidP="004062FE">
      <w:pPr>
        <w:spacing w:line="240" w:lineRule="auto"/>
        <w:rPr>
          <w:del w:id="8600" w:author="AbbVie_HU_03" w:date="2025-05-14T16:12:00Z"/>
          <w:szCs w:val="22"/>
        </w:rPr>
      </w:pPr>
    </w:p>
    <w:p w14:paraId="4AADA186" w14:textId="4241EFED" w:rsidR="00E62145" w:rsidRPr="00183B5F" w:rsidRDefault="00943743" w:rsidP="004062FE">
      <w:pPr>
        <w:spacing w:line="240" w:lineRule="auto"/>
        <w:rPr>
          <w:del w:id="8601" w:author="AbbVie_HU_03" w:date="2025-05-14T16:12:00Z"/>
          <w:szCs w:val="22"/>
        </w:rPr>
      </w:pPr>
      <w:del w:id="8602" w:author="AbbVie_HU_03" w:date="2025-05-14T16:12:00Z">
        <w:r w:rsidRPr="00183B5F">
          <w:rPr>
            <w:szCs w:val="22"/>
          </w:rPr>
          <w:delText>Használat előtt olvassa el a mellékelt betegtájékoztatót</w:delText>
        </w:r>
        <w:r w:rsidR="00091AC2" w:rsidRPr="00183B5F">
          <w:rPr>
            <w:szCs w:val="22"/>
          </w:rPr>
          <w:delText>.</w:delText>
        </w:r>
      </w:del>
    </w:p>
    <w:p w14:paraId="021A69E0" w14:textId="769E2732" w:rsidR="0026514C" w:rsidRPr="00183B5F" w:rsidRDefault="0026514C" w:rsidP="004062FE">
      <w:pPr>
        <w:spacing w:line="240" w:lineRule="auto"/>
        <w:rPr>
          <w:del w:id="8603" w:author="AbbVie_HU_03" w:date="2025-05-14T16:12:00Z"/>
          <w:szCs w:val="22"/>
        </w:rPr>
      </w:pPr>
    </w:p>
    <w:p w14:paraId="4A5C61D5" w14:textId="6502D23B" w:rsidR="0026514C" w:rsidRPr="00183B5F" w:rsidRDefault="00943743" w:rsidP="004062FE">
      <w:pPr>
        <w:spacing w:line="240" w:lineRule="auto"/>
        <w:rPr>
          <w:del w:id="8604" w:author="AbbVie_HU_03" w:date="2025-05-14T16:12:00Z"/>
          <w:szCs w:val="22"/>
        </w:rPr>
      </w:pPr>
      <w:del w:id="8605" w:author="AbbVie_HU_03" w:date="2025-05-14T16:12:00Z">
        <w:r w:rsidRPr="00183B5F">
          <w:rPr>
            <w:szCs w:val="22"/>
          </w:rPr>
          <w:delText xml:space="preserve">Gyermekgyógyászati </w:delText>
        </w:r>
        <w:r w:rsidR="009133F3" w:rsidRPr="00183B5F">
          <w:rPr>
            <w:szCs w:val="22"/>
          </w:rPr>
          <w:delText>alkalmazásra.</w:delText>
        </w:r>
      </w:del>
    </w:p>
    <w:p w14:paraId="55220FB5" w14:textId="38480CF5" w:rsidR="00E62145" w:rsidRPr="00183B5F" w:rsidRDefault="00E62145" w:rsidP="004062FE">
      <w:pPr>
        <w:spacing w:line="240" w:lineRule="auto"/>
        <w:rPr>
          <w:del w:id="8606" w:author="AbbVie_HU_03" w:date="2025-05-14T16:12:00Z"/>
          <w:szCs w:val="22"/>
        </w:rPr>
      </w:pPr>
    </w:p>
    <w:p w14:paraId="16C16FBE" w14:textId="3F25DF95" w:rsidR="00E62145" w:rsidRPr="00183B5F" w:rsidRDefault="00E62145" w:rsidP="004062FE">
      <w:pPr>
        <w:spacing w:line="240" w:lineRule="auto"/>
        <w:rPr>
          <w:del w:id="8607" w:author="AbbVie_HU_03" w:date="2025-05-14T16:12: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15D467A1" w14:textId="2260AABB">
        <w:trPr>
          <w:jc w:val="center"/>
          <w:del w:id="8608" w:author="AbbVie_HU_03" w:date="2025-05-14T16:12:00Z"/>
        </w:trPr>
        <w:tc>
          <w:tcPr>
            <w:tcW w:w="9069" w:type="dxa"/>
            <w:tcBorders>
              <w:top w:val="single" w:sz="4" w:space="0" w:color="auto"/>
              <w:bottom w:val="single" w:sz="4" w:space="0" w:color="auto"/>
            </w:tcBorders>
          </w:tcPr>
          <w:p w14:paraId="15E88F76" w14:textId="413827EE" w:rsidR="00E62145" w:rsidRPr="00183B5F" w:rsidRDefault="00943743" w:rsidP="004062FE">
            <w:pPr>
              <w:tabs>
                <w:tab w:val="left" w:pos="142"/>
              </w:tabs>
              <w:spacing w:line="240" w:lineRule="auto"/>
              <w:ind w:left="567" w:hanging="567"/>
              <w:rPr>
                <w:del w:id="8609" w:author="AbbVie_HU_03" w:date="2025-05-14T16:12:00Z"/>
                <w:b/>
                <w:szCs w:val="22"/>
              </w:rPr>
            </w:pPr>
            <w:del w:id="8610" w:author="AbbVie_HU_03" w:date="2025-05-14T16:12:00Z">
              <w:r w:rsidRPr="00183B5F">
                <w:rPr>
                  <w:b/>
                  <w:szCs w:val="22"/>
                </w:rPr>
                <w:delText>6.</w:delText>
              </w:r>
              <w:r w:rsidRPr="00183B5F">
                <w:rPr>
                  <w:b/>
                  <w:szCs w:val="22"/>
                </w:rPr>
                <w:tab/>
              </w:r>
              <w:r w:rsidRPr="00183B5F">
                <w:rPr>
                  <w:b/>
                  <w:szCs w:val="22"/>
                </w:rPr>
                <w:delText>KÜLÖN FIGYELMEZTETÉS, MELY SZERINT A GYÓGYSZERT GYERMEKEKTŐL ELZÁRVA KELL TARTANI</w:delText>
              </w:r>
            </w:del>
          </w:p>
        </w:tc>
      </w:tr>
    </w:tbl>
    <w:p w14:paraId="10984317" w14:textId="71829688" w:rsidR="00E62145" w:rsidRPr="00183B5F" w:rsidRDefault="00E62145" w:rsidP="004062FE">
      <w:pPr>
        <w:spacing w:line="240" w:lineRule="auto"/>
        <w:rPr>
          <w:del w:id="8611" w:author="AbbVie_HU_03" w:date="2025-05-14T16:12:00Z"/>
          <w:szCs w:val="22"/>
        </w:rPr>
      </w:pPr>
    </w:p>
    <w:p w14:paraId="3C52744A" w14:textId="4B98160D" w:rsidR="00E62145" w:rsidRPr="00183B5F" w:rsidRDefault="00943743" w:rsidP="004062FE">
      <w:pPr>
        <w:spacing w:line="240" w:lineRule="auto"/>
        <w:rPr>
          <w:del w:id="8612" w:author="AbbVie_HU_03" w:date="2025-05-14T16:12:00Z"/>
          <w:szCs w:val="22"/>
        </w:rPr>
      </w:pPr>
      <w:del w:id="8613" w:author="AbbVie_HU_03" w:date="2025-05-14T16:12:00Z">
        <w:r w:rsidRPr="00183B5F">
          <w:rPr>
            <w:szCs w:val="22"/>
          </w:rPr>
          <w:delText>A gyógyszer gyermekektől elzárva tartandó</w:delText>
        </w:r>
        <w:r w:rsidR="00091AC2" w:rsidRPr="00183B5F">
          <w:rPr>
            <w:szCs w:val="22"/>
          </w:rPr>
          <w:delText>.</w:delText>
        </w:r>
      </w:del>
    </w:p>
    <w:p w14:paraId="424417CB" w14:textId="2492DA00" w:rsidR="00E62145" w:rsidRPr="00183B5F" w:rsidRDefault="00E62145" w:rsidP="004062FE">
      <w:pPr>
        <w:spacing w:line="240" w:lineRule="auto"/>
        <w:rPr>
          <w:del w:id="8614" w:author="AbbVie_HU_03" w:date="2025-05-14T16:12:00Z"/>
          <w:szCs w:val="22"/>
        </w:rPr>
      </w:pPr>
    </w:p>
    <w:p w14:paraId="4951A994" w14:textId="30C1ED58" w:rsidR="00E62145" w:rsidRPr="00183B5F" w:rsidRDefault="00E62145" w:rsidP="004062FE">
      <w:pPr>
        <w:spacing w:line="240" w:lineRule="auto"/>
        <w:rPr>
          <w:del w:id="8615" w:author="AbbVie_HU_03" w:date="2025-05-14T16:12: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19660388" w14:textId="7B18EC45">
        <w:trPr>
          <w:jc w:val="center"/>
          <w:del w:id="8616" w:author="AbbVie_HU_03" w:date="2025-05-14T16:12:00Z"/>
        </w:trPr>
        <w:tc>
          <w:tcPr>
            <w:tcW w:w="9069" w:type="dxa"/>
            <w:tcBorders>
              <w:top w:val="single" w:sz="4" w:space="0" w:color="auto"/>
              <w:bottom w:val="single" w:sz="4" w:space="0" w:color="auto"/>
            </w:tcBorders>
          </w:tcPr>
          <w:p w14:paraId="5CE35CA5" w14:textId="17643A2F" w:rsidR="00E62145" w:rsidRPr="00183B5F" w:rsidRDefault="00943743" w:rsidP="004062FE">
            <w:pPr>
              <w:keepNext/>
              <w:tabs>
                <w:tab w:val="left" w:pos="142"/>
              </w:tabs>
              <w:spacing w:line="240" w:lineRule="auto"/>
              <w:ind w:left="567" w:hanging="567"/>
              <w:rPr>
                <w:del w:id="8617" w:author="AbbVie_HU_03" w:date="2025-05-14T16:12:00Z"/>
                <w:b/>
                <w:szCs w:val="22"/>
              </w:rPr>
            </w:pPr>
            <w:del w:id="8618" w:author="AbbVie_HU_03" w:date="2025-05-14T16:12:00Z">
              <w:r w:rsidRPr="00183B5F">
                <w:rPr>
                  <w:b/>
                  <w:szCs w:val="22"/>
                </w:rPr>
                <w:delText>7.</w:delText>
              </w:r>
              <w:r w:rsidRPr="00183B5F">
                <w:rPr>
                  <w:b/>
                  <w:szCs w:val="22"/>
                </w:rPr>
                <w:tab/>
                <w:delText>TOVÁBBI FIGYELMEZTETÉS(EK), AMENNYIBEN SZÜKSÉGES</w:delText>
              </w:r>
            </w:del>
          </w:p>
        </w:tc>
      </w:tr>
    </w:tbl>
    <w:p w14:paraId="79A226DC" w14:textId="062D130C" w:rsidR="00E62145" w:rsidRPr="00183B5F" w:rsidRDefault="00E62145" w:rsidP="004062FE">
      <w:pPr>
        <w:keepNext/>
        <w:spacing w:line="240" w:lineRule="auto"/>
        <w:rPr>
          <w:del w:id="8619" w:author="AbbVie_HU_03" w:date="2025-05-14T16:12:00Z"/>
          <w:szCs w:val="22"/>
        </w:rPr>
      </w:pPr>
    </w:p>
    <w:p w14:paraId="5CB9B770" w14:textId="0A407021" w:rsidR="00E62145" w:rsidRPr="00183B5F" w:rsidRDefault="00E62145" w:rsidP="004062FE">
      <w:pPr>
        <w:keepNext/>
        <w:spacing w:line="240" w:lineRule="auto"/>
        <w:rPr>
          <w:del w:id="8620" w:author="AbbVie_HU_03" w:date="2025-05-14T16:12: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4EF0894D" w14:textId="3D1F46EC">
        <w:trPr>
          <w:jc w:val="center"/>
          <w:del w:id="8621" w:author="AbbVie_HU_03" w:date="2025-05-14T16:12:00Z"/>
        </w:trPr>
        <w:tc>
          <w:tcPr>
            <w:tcW w:w="9069" w:type="dxa"/>
            <w:tcBorders>
              <w:top w:val="single" w:sz="4" w:space="0" w:color="auto"/>
              <w:bottom w:val="single" w:sz="4" w:space="0" w:color="auto"/>
            </w:tcBorders>
          </w:tcPr>
          <w:p w14:paraId="5BBF24B8" w14:textId="40169357" w:rsidR="00E62145" w:rsidRPr="00183B5F" w:rsidRDefault="00943743" w:rsidP="004062FE">
            <w:pPr>
              <w:keepNext/>
              <w:tabs>
                <w:tab w:val="left" w:pos="142"/>
              </w:tabs>
              <w:spacing w:line="240" w:lineRule="auto"/>
              <w:ind w:left="567" w:hanging="567"/>
              <w:rPr>
                <w:del w:id="8622" w:author="AbbVie_HU_03" w:date="2025-05-14T16:12:00Z"/>
                <w:b/>
                <w:szCs w:val="22"/>
              </w:rPr>
            </w:pPr>
            <w:del w:id="8623" w:author="AbbVie_HU_03" w:date="2025-05-14T16:12:00Z">
              <w:r w:rsidRPr="00183B5F">
                <w:rPr>
                  <w:b/>
                  <w:szCs w:val="22"/>
                </w:rPr>
                <w:delText>8.</w:delText>
              </w:r>
              <w:r w:rsidRPr="00183B5F">
                <w:rPr>
                  <w:b/>
                  <w:szCs w:val="22"/>
                </w:rPr>
                <w:tab/>
                <w:delText>LEJÁRATI IDŐ</w:delText>
              </w:r>
            </w:del>
          </w:p>
        </w:tc>
      </w:tr>
    </w:tbl>
    <w:p w14:paraId="7CD01C5F" w14:textId="73F0AF29" w:rsidR="00E62145" w:rsidRPr="00183B5F" w:rsidRDefault="00E62145" w:rsidP="004062FE">
      <w:pPr>
        <w:keepNext/>
        <w:spacing w:line="240" w:lineRule="auto"/>
        <w:rPr>
          <w:del w:id="8624" w:author="AbbVie_HU_03" w:date="2025-05-14T16:12:00Z"/>
          <w:szCs w:val="22"/>
        </w:rPr>
      </w:pPr>
    </w:p>
    <w:p w14:paraId="56DD5AB4" w14:textId="12E60673" w:rsidR="00E62145" w:rsidRPr="00183B5F" w:rsidRDefault="00943743" w:rsidP="004062FE">
      <w:pPr>
        <w:pStyle w:val="EndnoteText"/>
        <w:keepNext/>
        <w:tabs>
          <w:tab w:val="clear" w:pos="567"/>
        </w:tabs>
        <w:suppressAutoHyphens/>
        <w:rPr>
          <w:del w:id="8625" w:author="AbbVie_HU_03" w:date="2025-05-14T16:12:00Z"/>
          <w:sz w:val="22"/>
          <w:szCs w:val="22"/>
          <w:lang w:val="hu-HU" w:eastAsia="hu-HU"/>
        </w:rPr>
      </w:pPr>
      <w:del w:id="8626" w:author="AbbVie_HU_03" w:date="2025-05-14T16:12:00Z">
        <w:r w:rsidRPr="00183B5F">
          <w:rPr>
            <w:sz w:val="22"/>
            <w:szCs w:val="22"/>
            <w:lang w:val="hu-HU" w:eastAsia="hu-HU"/>
          </w:rPr>
          <w:delText>EXP</w:delText>
        </w:r>
      </w:del>
    </w:p>
    <w:p w14:paraId="04ED7E57" w14:textId="1D92293E" w:rsidR="00E62145" w:rsidRPr="00183B5F" w:rsidRDefault="00E62145" w:rsidP="004062FE">
      <w:pPr>
        <w:pStyle w:val="EndnoteText"/>
        <w:tabs>
          <w:tab w:val="clear" w:pos="567"/>
        </w:tabs>
        <w:suppressAutoHyphens/>
        <w:rPr>
          <w:del w:id="8627" w:author="AbbVie_HU_03" w:date="2025-05-14T16:12:00Z"/>
          <w:sz w:val="22"/>
          <w:szCs w:val="22"/>
          <w:lang w:val="hu-HU" w:eastAsia="hu-HU"/>
        </w:rPr>
      </w:pPr>
    </w:p>
    <w:p w14:paraId="26148601" w14:textId="0B450399" w:rsidR="00880369" w:rsidRPr="00183B5F" w:rsidRDefault="00880369" w:rsidP="004062FE">
      <w:pPr>
        <w:spacing w:line="240" w:lineRule="auto"/>
        <w:rPr>
          <w:del w:id="8628" w:author="AbbVie_HU_03" w:date="2025-05-14T16:12: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631B1B19" w14:textId="1389F2CE">
        <w:trPr>
          <w:jc w:val="center"/>
          <w:del w:id="8629" w:author="AbbVie_HU_03" w:date="2025-05-14T16:12:00Z"/>
        </w:trPr>
        <w:tc>
          <w:tcPr>
            <w:tcW w:w="9069" w:type="dxa"/>
            <w:tcBorders>
              <w:top w:val="single" w:sz="4" w:space="0" w:color="auto"/>
              <w:bottom w:val="single" w:sz="4" w:space="0" w:color="auto"/>
            </w:tcBorders>
          </w:tcPr>
          <w:p w14:paraId="7C65A941" w14:textId="4927B650" w:rsidR="00E62145" w:rsidRPr="00183B5F" w:rsidRDefault="00943743" w:rsidP="004062FE">
            <w:pPr>
              <w:tabs>
                <w:tab w:val="left" w:pos="0"/>
              </w:tabs>
              <w:spacing w:line="240" w:lineRule="auto"/>
              <w:ind w:left="567" w:hanging="567"/>
              <w:rPr>
                <w:del w:id="8630" w:author="AbbVie_HU_03" w:date="2025-05-14T16:12:00Z"/>
                <w:b/>
                <w:szCs w:val="22"/>
              </w:rPr>
            </w:pPr>
            <w:del w:id="8631" w:author="AbbVie_HU_03" w:date="2025-05-14T16:12:00Z">
              <w:r w:rsidRPr="00183B5F">
                <w:rPr>
                  <w:b/>
                  <w:szCs w:val="22"/>
                </w:rPr>
                <w:delText>9.</w:delText>
              </w:r>
              <w:r w:rsidRPr="00183B5F">
                <w:rPr>
                  <w:b/>
                  <w:szCs w:val="22"/>
                </w:rPr>
                <w:tab/>
              </w:r>
              <w:r w:rsidRPr="00183B5F">
                <w:rPr>
                  <w:b/>
                  <w:szCs w:val="22"/>
                </w:rPr>
                <w:delText>KÜLÖNLEGES TÁROLÁSI ELŐÍRÁSOK</w:delText>
              </w:r>
            </w:del>
          </w:p>
        </w:tc>
      </w:tr>
    </w:tbl>
    <w:p w14:paraId="21EB6AEC" w14:textId="2E349736" w:rsidR="00E62145" w:rsidRPr="00183B5F" w:rsidRDefault="00E62145" w:rsidP="004062FE">
      <w:pPr>
        <w:spacing w:line="240" w:lineRule="auto"/>
        <w:rPr>
          <w:del w:id="8632" w:author="AbbVie_HU_03" w:date="2025-05-14T16:12:00Z"/>
          <w:szCs w:val="22"/>
        </w:rPr>
      </w:pPr>
    </w:p>
    <w:p w14:paraId="5F71953B" w14:textId="439DA395" w:rsidR="00E62145" w:rsidRPr="00183B5F" w:rsidRDefault="00943743" w:rsidP="004062FE">
      <w:pPr>
        <w:spacing w:line="240" w:lineRule="auto"/>
        <w:rPr>
          <w:del w:id="8633" w:author="AbbVie_HU_03" w:date="2025-05-14T16:12:00Z"/>
          <w:szCs w:val="22"/>
        </w:rPr>
      </w:pPr>
      <w:del w:id="8634" w:author="AbbVie_HU_03" w:date="2025-05-14T16:12:00Z">
        <w:r w:rsidRPr="00183B5F">
          <w:rPr>
            <w:szCs w:val="22"/>
          </w:rPr>
          <w:delText>Hűtőszekrényben</w:delText>
        </w:r>
        <w:r w:rsidR="00880369" w:rsidRPr="00183B5F">
          <w:rPr>
            <w:szCs w:val="22"/>
          </w:rPr>
          <w:delText xml:space="preserve"> </w:delText>
        </w:r>
        <w:r w:rsidRPr="00183B5F">
          <w:rPr>
            <w:szCs w:val="22"/>
          </w:rPr>
          <w:delText>tárolandó. Nem fagyasztható</w:delText>
        </w:r>
        <w:r w:rsidR="00373FC7" w:rsidRPr="00183B5F">
          <w:rPr>
            <w:szCs w:val="22"/>
          </w:rPr>
          <w:delText>!</w:delText>
        </w:r>
      </w:del>
    </w:p>
    <w:p w14:paraId="2376ECCD" w14:textId="214CE03A" w:rsidR="00E62145" w:rsidRPr="00183B5F" w:rsidRDefault="00943743" w:rsidP="004062FE">
      <w:pPr>
        <w:spacing w:line="240" w:lineRule="auto"/>
        <w:rPr>
          <w:del w:id="8635" w:author="AbbVie_HU_03" w:date="2025-05-14T16:12:00Z"/>
          <w:szCs w:val="22"/>
        </w:rPr>
      </w:pPr>
      <w:del w:id="8636" w:author="AbbVie_HU_03" w:date="2025-05-14T16:12:00Z">
        <w:r w:rsidRPr="00183B5F">
          <w:rPr>
            <w:szCs w:val="22"/>
          </w:rPr>
          <w:delText xml:space="preserve">A fénytől való védelem érdekében az injekciós üveg </w:delText>
        </w:r>
        <w:r w:rsidR="00355D7E" w:rsidRPr="00183B5F">
          <w:rPr>
            <w:szCs w:val="22"/>
          </w:rPr>
          <w:delText xml:space="preserve">a </w:delText>
        </w:r>
        <w:r w:rsidRPr="00183B5F">
          <w:rPr>
            <w:szCs w:val="22"/>
          </w:rPr>
          <w:delText>dobozban tárolandó.</w:delText>
        </w:r>
      </w:del>
    </w:p>
    <w:p w14:paraId="24672B52" w14:textId="1D42C6B9" w:rsidR="00E62145" w:rsidRPr="00183B5F" w:rsidRDefault="00E62145" w:rsidP="004062FE">
      <w:pPr>
        <w:spacing w:line="240" w:lineRule="auto"/>
        <w:rPr>
          <w:del w:id="8637" w:author="AbbVie_HU_03" w:date="2025-05-14T16:12:00Z"/>
          <w:szCs w:val="22"/>
        </w:rPr>
      </w:pPr>
    </w:p>
    <w:p w14:paraId="24F5C122" w14:textId="25CE5CC8" w:rsidR="00E62145" w:rsidRPr="00183B5F" w:rsidRDefault="00E62145" w:rsidP="004062FE">
      <w:pPr>
        <w:spacing w:line="240" w:lineRule="auto"/>
        <w:rPr>
          <w:del w:id="8638" w:author="AbbVie_HU_03" w:date="2025-05-14T16:12: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0919F479" w14:textId="18A37EC6">
        <w:trPr>
          <w:jc w:val="center"/>
          <w:del w:id="8639" w:author="AbbVie_HU_03" w:date="2025-05-14T16:12:00Z"/>
        </w:trPr>
        <w:tc>
          <w:tcPr>
            <w:tcW w:w="9069" w:type="dxa"/>
            <w:tcBorders>
              <w:top w:val="single" w:sz="4" w:space="0" w:color="auto"/>
              <w:bottom w:val="single" w:sz="4" w:space="0" w:color="auto"/>
            </w:tcBorders>
          </w:tcPr>
          <w:p w14:paraId="02FEEEC0" w14:textId="01118838" w:rsidR="00E62145" w:rsidRPr="00183B5F" w:rsidRDefault="00943743" w:rsidP="004062FE">
            <w:pPr>
              <w:tabs>
                <w:tab w:val="left" w:pos="142"/>
              </w:tabs>
              <w:spacing w:line="240" w:lineRule="auto"/>
              <w:ind w:left="567" w:hanging="567"/>
              <w:rPr>
                <w:del w:id="8640" w:author="AbbVie_HU_03" w:date="2025-05-14T16:12:00Z"/>
                <w:b/>
                <w:szCs w:val="22"/>
              </w:rPr>
            </w:pPr>
            <w:del w:id="8641" w:author="AbbVie_HU_03" w:date="2025-05-14T16:12:00Z">
              <w:r w:rsidRPr="00183B5F">
                <w:rPr>
                  <w:b/>
                  <w:szCs w:val="22"/>
                </w:rPr>
                <w:delText>10.</w:delText>
              </w:r>
              <w:r w:rsidRPr="00183B5F">
                <w:rPr>
                  <w:b/>
                  <w:szCs w:val="22"/>
                </w:rPr>
                <w:tab/>
              </w:r>
              <w:r w:rsidRPr="00183B5F">
                <w:rPr>
                  <w:b/>
                  <w:szCs w:val="22"/>
                </w:rPr>
                <w:delText>KÜLÖNLEGES ÓVINTÉZKEDÉSEK A FEL NEM HASZNÁLT GYÓGYSZEREK VAGY AZ ILYEN TERMÉKEKBŐL KELETKEZETT HULLADÉKANYAGOK ÁRTALMATLANNÁ TÉTELÉRE, HA ILYENEKRE SZÜKSÉG VAN</w:delText>
              </w:r>
            </w:del>
          </w:p>
        </w:tc>
      </w:tr>
    </w:tbl>
    <w:p w14:paraId="43C48CB1" w14:textId="53432EC6" w:rsidR="00E62145" w:rsidRPr="00183B5F" w:rsidRDefault="00E62145" w:rsidP="004062FE">
      <w:pPr>
        <w:spacing w:line="240" w:lineRule="auto"/>
        <w:rPr>
          <w:del w:id="8642" w:author="AbbVie_HU_03" w:date="2025-05-14T16:12:00Z"/>
          <w:szCs w:val="22"/>
        </w:rPr>
      </w:pPr>
    </w:p>
    <w:p w14:paraId="66563EC0" w14:textId="536633CA" w:rsidR="00E62145" w:rsidRPr="00183B5F" w:rsidRDefault="00E62145" w:rsidP="004062FE">
      <w:pPr>
        <w:spacing w:line="240" w:lineRule="auto"/>
        <w:rPr>
          <w:del w:id="8643" w:author="AbbVie_HU_03" w:date="2025-05-14T16:12: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72A2F21F" w14:textId="6D2125CC">
        <w:trPr>
          <w:jc w:val="center"/>
          <w:del w:id="8644" w:author="AbbVie_HU_03" w:date="2025-05-14T16:12:00Z"/>
        </w:trPr>
        <w:tc>
          <w:tcPr>
            <w:tcW w:w="9069" w:type="dxa"/>
            <w:tcBorders>
              <w:top w:val="single" w:sz="4" w:space="0" w:color="auto"/>
              <w:bottom w:val="single" w:sz="4" w:space="0" w:color="auto"/>
            </w:tcBorders>
          </w:tcPr>
          <w:p w14:paraId="15B24237" w14:textId="5BEB4E21" w:rsidR="00E62145" w:rsidRPr="00183B5F" w:rsidRDefault="00943743" w:rsidP="004062FE">
            <w:pPr>
              <w:tabs>
                <w:tab w:val="left" w:pos="142"/>
              </w:tabs>
              <w:spacing w:line="240" w:lineRule="auto"/>
              <w:ind w:left="567" w:hanging="567"/>
              <w:rPr>
                <w:del w:id="8645" w:author="AbbVie_HU_03" w:date="2025-05-14T16:12:00Z"/>
                <w:b/>
                <w:szCs w:val="22"/>
              </w:rPr>
            </w:pPr>
            <w:del w:id="8646" w:author="AbbVie_HU_03" w:date="2025-05-14T16:12:00Z">
              <w:r w:rsidRPr="00183B5F">
                <w:rPr>
                  <w:b/>
                  <w:szCs w:val="22"/>
                </w:rPr>
                <w:delText>11.</w:delText>
              </w:r>
              <w:r w:rsidRPr="00183B5F">
                <w:rPr>
                  <w:b/>
                  <w:szCs w:val="22"/>
                </w:rPr>
                <w:tab/>
              </w:r>
              <w:r w:rsidRPr="00183B5F">
                <w:rPr>
                  <w:b/>
                  <w:szCs w:val="22"/>
                </w:rPr>
                <w:delText>A FORGALOMBA HOZATALI ENGEDÉLY JOGOSULTJÁNAK NEVE ÉS CÍME</w:delText>
              </w:r>
            </w:del>
          </w:p>
        </w:tc>
      </w:tr>
    </w:tbl>
    <w:p w14:paraId="702F8DAA" w14:textId="2BB3ECD6" w:rsidR="00E62145" w:rsidRPr="00183B5F" w:rsidRDefault="00E62145" w:rsidP="004062FE">
      <w:pPr>
        <w:spacing w:line="240" w:lineRule="auto"/>
        <w:rPr>
          <w:del w:id="8647" w:author="AbbVie_HU_03" w:date="2025-05-14T16:12:00Z"/>
          <w:szCs w:val="22"/>
        </w:rPr>
      </w:pPr>
    </w:p>
    <w:p w14:paraId="6B5A9D14" w14:textId="5ACBFF5B" w:rsidR="00CE3F71" w:rsidRPr="00183B5F" w:rsidRDefault="00943743" w:rsidP="00CE3F71">
      <w:pPr>
        <w:keepNext/>
        <w:suppressAutoHyphens w:val="0"/>
        <w:autoSpaceDE w:val="0"/>
        <w:autoSpaceDN w:val="0"/>
        <w:adjustRightInd w:val="0"/>
        <w:spacing w:line="240" w:lineRule="atLeast"/>
        <w:rPr>
          <w:del w:id="8648" w:author="AbbVie_HU_03" w:date="2025-05-14T16:12:00Z"/>
          <w:szCs w:val="22"/>
          <w:lang w:eastAsia="en-GB"/>
        </w:rPr>
      </w:pPr>
      <w:del w:id="8649" w:author="AbbVie_HU_03" w:date="2025-05-14T16:12:00Z">
        <w:r w:rsidRPr="00183B5F">
          <w:rPr>
            <w:szCs w:val="22"/>
            <w:lang w:eastAsia="en-GB"/>
          </w:rPr>
          <w:delText>AbbVie Deutschland GmbH &amp; Co. KG</w:delText>
        </w:r>
      </w:del>
    </w:p>
    <w:p w14:paraId="0E48FEE1" w14:textId="0C702085" w:rsidR="00CE3F71" w:rsidRPr="00183B5F" w:rsidRDefault="00943743" w:rsidP="00CE3F71">
      <w:pPr>
        <w:keepNext/>
        <w:suppressAutoHyphens w:val="0"/>
        <w:autoSpaceDE w:val="0"/>
        <w:autoSpaceDN w:val="0"/>
        <w:adjustRightInd w:val="0"/>
        <w:spacing w:line="240" w:lineRule="atLeast"/>
        <w:rPr>
          <w:del w:id="8650" w:author="AbbVie_HU_03" w:date="2025-05-14T16:12:00Z"/>
          <w:szCs w:val="22"/>
          <w:lang w:eastAsia="en-GB"/>
        </w:rPr>
      </w:pPr>
      <w:del w:id="8651" w:author="AbbVie_HU_03" w:date="2025-05-14T16:12:00Z">
        <w:r w:rsidRPr="00183B5F">
          <w:rPr>
            <w:szCs w:val="22"/>
            <w:lang w:eastAsia="en-GB"/>
          </w:rPr>
          <w:delText>Knollstrasse</w:delText>
        </w:r>
      </w:del>
    </w:p>
    <w:p w14:paraId="2166C5E5" w14:textId="37BD6FA1" w:rsidR="00CE3F71" w:rsidRPr="00183B5F" w:rsidRDefault="00943743" w:rsidP="00CE3F71">
      <w:pPr>
        <w:keepNext/>
        <w:suppressAutoHyphens w:val="0"/>
        <w:autoSpaceDE w:val="0"/>
        <w:autoSpaceDN w:val="0"/>
        <w:adjustRightInd w:val="0"/>
        <w:spacing w:line="240" w:lineRule="atLeast"/>
        <w:rPr>
          <w:del w:id="8652" w:author="AbbVie_HU_03" w:date="2025-05-14T16:12:00Z"/>
          <w:szCs w:val="22"/>
          <w:lang w:eastAsia="en-GB"/>
        </w:rPr>
      </w:pPr>
      <w:del w:id="8653" w:author="AbbVie_HU_03" w:date="2025-05-14T16:12:00Z">
        <w:r w:rsidRPr="00183B5F">
          <w:rPr>
            <w:szCs w:val="22"/>
            <w:lang w:eastAsia="en-GB"/>
          </w:rPr>
          <w:delText>67061 Ludwigshafen</w:delText>
        </w:r>
      </w:del>
    </w:p>
    <w:p w14:paraId="7EC2B8F4" w14:textId="620EBB4F" w:rsidR="00CE3F71" w:rsidRPr="00183B5F" w:rsidRDefault="00943743" w:rsidP="00CE3F71">
      <w:pPr>
        <w:keepNext/>
        <w:suppressAutoHyphens w:val="0"/>
        <w:autoSpaceDE w:val="0"/>
        <w:autoSpaceDN w:val="0"/>
        <w:adjustRightInd w:val="0"/>
        <w:spacing w:line="240" w:lineRule="atLeast"/>
        <w:rPr>
          <w:del w:id="8654" w:author="AbbVie_HU_03" w:date="2025-05-14T16:12:00Z"/>
          <w:szCs w:val="22"/>
          <w:lang w:eastAsia="en-GB"/>
        </w:rPr>
      </w:pPr>
      <w:del w:id="8655" w:author="AbbVie_HU_03" w:date="2025-05-14T16:12:00Z">
        <w:r w:rsidRPr="00183B5F">
          <w:rPr>
            <w:szCs w:val="22"/>
            <w:lang w:eastAsia="en-GB"/>
          </w:rPr>
          <w:delText xml:space="preserve">Németország </w:delText>
        </w:r>
      </w:del>
    </w:p>
    <w:p w14:paraId="0F3E75E2" w14:textId="6A34B9E9" w:rsidR="00E62145" w:rsidRPr="00183B5F" w:rsidRDefault="00E62145" w:rsidP="004062FE">
      <w:pPr>
        <w:spacing w:line="240" w:lineRule="auto"/>
        <w:rPr>
          <w:del w:id="8656" w:author="AbbVie_HU_03" w:date="2025-05-14T16:12:00Z"/>
          <w:szCs w:val="22"/>
        </w:rPr>
      </w:pPr>
    </w:p>
    <w:p w14:paraId="6A3D21B6" w14:textId="03CD1549" w:rsidR="00E62145" w:rsidRPr="00183B5F" w:rsidRDefault="00E62145" w:rsidP="004062FE">
      <w:pPr>
        <w:spacing w:line="240" w:lineRule="auto"/>
        <w:rPr>
          <w:del w:id="8657" w:author="AbbVie_HU_03" w:date="2025-05-14T16:12: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1A7AF4FE" w14:textId="44E33640">
        <w:trPr>
          <w:jc w:val="center"/>
          <w:del w:id="8658" w:author="AbbVie_HU_03" w:date="2025-05-14T16:12:00Z"/>
        </w:trPr>
        <w:tc>
          <w:tcPr>
            <w:tcW w:w="9069" w:type="dxa"/>
            <w:tcBorders>
              <w:top w:val="single" w:sz="4" w:space="0" w:color="auto"/>
              <w:bottom w:val="single" w:sz="4" w:space="0" w:color="auto"/>
            </w:tcBorders>
          </w:tcPr>
          <w:p w14:paraId="46432F50" w14:textId="058470AC" w:rsidR="00E62145" w:rsidRPr="00183B5F" w:rsidRDefault="00943743" w:rsidP="004062FE">
            <w:pPr>
              <w:tabs>
                <w:tab w:val="left" w:pos="142"/>
              </w:tabs>
              <w:spacing w:line="240" w:lineRule="auto"/>
              <w:ind w:left="567" w:hanging="567"/>
              <w:rPr>
                <w:del w:id="8659" w:author="AbbVie_HU_03" w:date="2025-05-14T16:12:00Z"/>
                <w:b/>
                <w:szCs w:val="22"/>
              </w:rPr>
            </w:pPr>
            <w:del w:id="8660" w:author="AbbVie_HU_03" w:date="2025-05-14T16:12:00Z">
              <w:r w:rsidRPr="00183B5F">
                <w:rPr>
                  <w:b/>
                  <w:szCs w:val="22"/>
                </w:rPr>
                <w:delText>12.</w:delText>
              </w:r>
              <w:r w:rsidRPr="00183B5F">
                <w:rPr>
                  <w:b/>
                  <w:szCs w:val="22"/>
                </w:rPr>
                <w:tab/>
                <w:delText>A FORGALOMBA HOZATALI ENGEDÉLY SZÁMA(I)</w:delText>
              </w:r>
            </w:del>
          </w:p>
        </w:tc>
      </w:tr>
    </w:tbl>
    <w:p w14:paraId="7A158172" w14:textId="5BA4FED4" w:rsidR="00E62145" w:rsidRPr="00183B5F" w:rsidRDefault="00E62145" w:rsidP="004062FE">
      <w:pPr>
        <w:spacing w:line="240" w:lineRule="auto"/>
        <w:rPr>
          <w:del w:id="8661" w:author="AbbVie_HU_03" w:date="2025-05-14T16:12:00Z"/>
          <w:szCs w:val="22"/>
        </w:rPr>
      </w:pPr>
    </w:p>
    <w:p w14:paraId="2613F611" w14:textId="620A9EA8" w:rsidR="00E62145" w:rsidRPr="00183B5F" w:rsidRDefault="00943743" w:rsidP="004062FE">
      <w:pPr>
        <w:spacing w:line="240" w:lineRule="auto"/>
        <w:rPr>
          <w:del w:id="8662" w:author="AbbVie_HU_03" w:date="2025-05-14T16:12:00Z"/>
          <w:szCs w:val="22"/>
        </w:rPr>
      </w:pPr>
      <w:del w:id="8663" w:author="AbbVie_HU_03" w:date="2025-05-14T16:12:00Z">
        <w:r w:rsidRPr="00183B5F">
          <w:rPr>
            <w:szCs w:val="22"/>
          </w:rPr>
          <w:delText>EU/1/03/256/001</w:delText>
        </w:r>
      </w:del>
    </w:p>
    <w:p w14:paraId="66D3A332" w14:textId="4C75830C" w:rsidR="00E62145" w:rsidRPr="00183B5F" w:rsidRDefault="00E62145" w:rsidP="004062FE">
      <w:pPr>
        <w:spacing w:line="240" w:lineRule="auto"/>
        <w:rPr>
          <w:del w:id="8664" w:author="AbbVie_HU_03" w:date="2025-05-14T16:12:00Z"/>
          <w:szCs w:val="22"/>
        </w:rPr>
      </w:pPr>
    </w:p>
    <w:p w14:paraId="602897C5" w14:textId="53315267" w:rsidR="00E62145" w:rsidRPr="00183B5F" w:rsidRDefault="00E62145" w:rsidP="004062FE">
      <w:pPr>
        <w:spacing w:line="240" w:lineRule="auto"/>
        <w:rPr>
          <w:del w:id="8665" w:author="AbbVie_HU_03" w:date="2025-05-14T16:12: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642DF6DD" w14:textId="6858EEFA">
        <w:trPr>
          <w:jc w:val="center"/>
          <w:del w:id="8666" w:author="AbbVie_HU_03" w:date="2025-05-14T16:12:00Z"/>
        </w:trPr>
        <w:tc>
          <w:tcPr>
            <w:tcW w:w="9069" w:type="dxa"/>
            <w:tcBorders>
              <w:top w:val="single" w:sz="4" w:space="0" w:color="auto"/>
              <w:bottom w:val="single" w:sz="4" w:space="0" w:color="auto"/>
            </w:tcBorders>
          </w:tcPr>
          <w:p w14:paraId="10533BE8" w14:textId="11904FFA" w:rsidR="00E62145" w:rsidRPr="00183B5F" w:rsidRDefault="00943743" w:rsidP="004062FE">
            <w:pPr>
              <w:tabs>
                <w:tab w:val="left" w:pos="142"/>
              </w:tabs>
              <w:spacing w:line="240" w:lineRule="auto"/>
              <w:ind w:left="567" w:hanging="567"/>
              <w:rPr>
                <w:del w:id="8667" w:author="AbbVie_HU_03" w:date="2025-05-14T16:12:00Z"/>
                <w:b/>
                <w:szCs w:val="22"/>
              </w:rPr>
            </w:pPr>
            <w:del w:id="8668" w:author="AbbVie_HU_03" w:date="2025-05-14T16:12:00Z">
              <w:r w:rsidRPr="00183B5F">
                <w:rPr>
                  <w:b/>
                  <w:szCs w:val="22"/>
                </w:rPr>
                <w:delText>13.</w:delText>
              </w:r>
              <w:r w:rsidRPr="00183B5F">
                <w:rPr>
                  <w:b/>
                  <w:szCs w:val="22"/>
                </w:rPr>
                <w:tab/>
                <w:delText>A GYÁRTÁSI TÉTEL SZÁMA</w:delText>
              </w:r>
            </w:del>
          </w:p>
        </w:tc>
      </w:tr>
    </w:tbl>
    <w:p w14:paraId="52647658" w14:textId="36D4DFC3" w:rsidR="00E62145" w:rsidRPr="00183B5F" w:rsidRDefault="00E62145" w:rsidP="004062FE">
      <w:pPr>
        <w:spacing w:line="240" w:lineRule="auto"/>
        <w:rPr>
          <w:del w:id="8669" w:author="AbbVie_HU_03" w:date="2025-05-14T16:12:00Z"/>
          <w:szCs w:val="22"/>
        </w:rPr>
      </w:pPr>
    </w:p>
    <w:p w14:paraId="731CE3AF" w14:textId="4CCADDF0" w:rsidR="00E62145" w:rsidRPr="00183B5F" w:rsidRDefault="00943743" w:rsidP="004062FE">
      <w:pPr>
        <w:spacing w:line="240" w:lineRule="auto"/>
        <w:rPr>
          <w:del w:id="8670" w:author="AbbVie_HU_03" w:date="2025-05-14T16:12:00Z"/>
          <w:szCs w:val="22"/>
        </w:rPr>
      </w:pPr>
      <w:del w:id="8671" w:author="AbbVie_HU_03" w:date="2025-05-14T16:12:00Z">
        <w:r w:rsidRPr="00183B5F">
          <w:rPr>
            <w:szCs w:val="22"/>
          </w:rPr>
          <w:delText>Lot</w:delText>
        </w:r>
      </w:del>
    </w:p>
    <w:p w14:paraId="3657A8FC" w14:textId="1DB118D5" w:rsidR="00E62145" w:rsidRPr="00183B5F" w:rsidRDefault="00E62145" w:rsidP="004062FE">
      <w:pPr>
        <w:spacing w:line="240" w:lineRule="auto"/>
        <w:rPr>
          <w:del w:id="8672" w:author="AbbVie_HU_03" w:date="2025-05-14T16:12:00Z"/>
          <w:szCs w:val="22"/>
        </w:rPr>
      </w:pPr>
    </w:p>
    <w:p w14:paraId="5BFAA17D" w14:textId="2E125249" w:rsidR="00E62145" w:rsidRPr="00183B5F" w:rsidRDefault="00E62145" w:rsidP="004062FE">
      <w:pPr>
        <w:spacing w:line="240" w:lineRule="auto"/>
        <w:rPr>
          <w:del w:id="8673" w:author="AbbVie_HU_03" w:date="2025-05-14T16:12: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0749FC4B" w14:textId="6204AA35">
        <w:trPr>
          <w:jc w:val="center"/>
          <w:del w:id="8674" w:author="AbbVie_HU_03" w:date="2025-05-14T16:12:00Z"/>
        </w:trPr>
        <w:tc>
          <w:tcPr>
            <w:tcW w:w="9069" w:type="dxa"/>
            <w:tcBorders>
              <w:top w:val="single" w:sz="4" w:space="0" w:color="auto"/>
              <w:bottom w:val="single" w:sz="4" w:space="0" w:color="auto"/>
            </w:tcBorders>
          </w:tcPr>
          <w:p w14:paraId="39121F5D" w14:textId="5F9B4075" w:rsidR="00E62145" w:rsidRPr="00183B5F" w:rsidRDefault="00943743" w:rsidP="004062FE">
            <w:pPr>
              <w:tabs>
                <w:tab w:val="left" w:pos="142"/>
              </w:tabs>
              <w:spacing w:line="240" w:lineRule="auto"/>
              <w:ind w:left="567" w:hanging="567"/>
              <w:rPr>
                <w:del w:id="8675" w:author="AbbVie_HU_03" w:date="2025-05-14T16:12:00Z"/>
                <w:b/>
                <w:szCs w:val="22"/>
              </w:rPr>
            </w:pPr>
            <w:del w:id="8676" w:author="AbbVie_HU_03" w:date="2025-05-14T16:12:00Z">
              <w:r w:rsidRPr="00183B5F">
                <w:rPr>
                  <w:b/>
                  <w:szCs w:val="22"/>
                </w:rPr>
                <w:delText>14.</w:delText>
              </w:r>
              <w:r w:rsidRPr="00183B5F">
                <w:rPr>
                  <w:b/>
                  <w:szCs w:val="22"/>
                </w:rPr>
                <w:tab/>
              </w:r>
              <w:r w:rsidRPr="00183B5F">
                <w:rPr>
                  <w:b/>
                  <w:szCs w:val="22"/>
                </w:rPr>
                <w:delText>A GYÓGYSZER RENDELHETŐSÉG</w:delText>
              </w:r>
              <w:r w:rsidR="000A4E79" w:rsidRPr="00183B5F">
                <w:rPr>
                  <w:b/>
                  <w:szCs w:val="22"/>
                </w:rPr>
                <w:delText>E</w:delText>
              </w:r>
            </w:del>
          </w:p>
        </w:tc>
      </w:tr>
    </w:tbl>
    <w:p w14:paraId="3C6083FE" w14:textId="6802AE0F" w:rsidR="00E62145" w:rsidRPr="00183B5F" w:rsidRDefault="00E62145" w:rsidP="004062FE">
      <w:pPr>
        <w:spacing w:line="240" w:lineRule="auto"/>
        <w:rPr>
          <w:del w:id="8677" w:author="AbbVie_HU_03" w:date="2025-05-14T16:12:00Z"/>
          <w:szCs w:val="22"/>
        </w:rPr>
      </w:pPr>
    </w:p>
    <w:p w14:paraId="5DB46A55" w14:textId="49DC6A7D" w:rsidR="00E62145" w:rsidRPr="00183B5F" w:rsidRDefault="00E62145" w:rsidP="004062FE">
      <w:pPr>
        <w:spacing w:line="240" w:lineRule="auto"/>
        <w:rPr>
          <w:del w:id="8678" w:author="AbbVie_HU_03" w:date="2025-05-14T16:12: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1DE596E2" w14:textId="64A051A6">
        <w:trPr>
          <w:jc w:val="center"/>
          <w:del w:id="8679" w:author="AbbVie_HU_03" w:date="2025-05-14T16:12:00Z"/>
        </w:trPr>
        <w:tc>
          <w:tcPr>
            <w:tcW w:w="9069" w:type="dxa"/>
            <w:tcBorders>
              <w:top w:val="single" w:sz="4" w:space="0" w:color="auto"/>
              <w:bottom w:val="single" w:sz="4" w:space="0" w:color="auto"/>
            </w:tcBorders>
          </w:tcPr>
          <w:p w14:paraId="6D602E85" w14:textId="72669649" w:rsidR="00E62145" w:rsidRPr="00183B5F" w:rsidRDefault="00943743" w:rsidP="004062FE">
            <w:pPr>
              <w:tabs>
                <w:tab w:val="left" w:pos="142"/>
              </w:tabs>
              <w:spacing w:line="240" w:lineRule="auto"/>
              <w:ind w:left="567" w:hanging="567"/>
              <w:rPr>
                <w:del w:id="8680" w:author="AbbVie_HU_03" w:date="2025-05-14T16:12:00Z"/>
                <w:b/>
                <w:szCs w:val="22"/>
              </w:rPr>
            </w:pPr>
            <w:del w:id="8681" w:author="AbbVie_HU_03" w:date="2025-05-14T16:12:00Z">
              <w:r w:rsidRPr="00183B5F">
                <w:rPr>
                  <w:b/>
                  <w:szCs w:val="22"/>
                </w:rPr>
                <w:delText>15.</w:delText>
              </w:r>
              <w:r w:rsidRPr="00183B5F">
                <w:rPr>
                  <w:b/>
                  <w:szCs w:val="22"/>
                </w:rPr>
                <w:tab/>
                <w:delText>AZ ALKALMAZÁSRA VONATKOZÓ UTASÍTÁSOK</w:delText>
              </w:r>
            </w:del>
          </w:p>
        </w:tc>
      </w:tr>
    </w:tbl>
    <w:p w14:paraId="0BDA2B9B" w14:textId="75693321" w:rsidR="00E62145" w:rsidRPr="00183B5F" w:rsidRDefault="00E62145" w:rsidP="004062FE">
      <w:pPr>
        <w:spacing w:line="240" w:lineRule="auto"/>
        <w:rPr>
          <w:del w:id="8682" w:author="AbbVie_HU_03" w:date="2025-05-14T16:12:00Z"/>
          <w:szCs w:val="22"/>
        </w:rPr>
      </w:pPr>
    </w:p>
    <w:p w14:paraId="4BC78212" w14:textId="5FDB736B" w:rsidR="00E62145" w:rsidRPr="00183B5F" w:rsidRDefault="00E62145" w:rsidP="004062FE">
      <w:pPr>
        <w:spacing w:line="240" w:lineRule="auto"/>
        <w:rPr>
          <w:del w:id="8683" w:author="AbbVie_HU_03" w:date="2025-05-14T16:12: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06145554" w14:textId="3A2095BA">
        <w:trPr>
          <w:jc w:val="center"/>
          <w:del w:id="8684" w:author="AbbVie_HU_03" w:date="2025-05-14T16:12:00Z"/>
        </w:trPr>
        <w:tc>
          <w:tcPr>
            <w:tcW w:w="9069" w:type="dxa"/>
            <w:tcBorders>
              <w:top w:val="single" w:sz="4" w:space="0" w:color="auto"/>
              <w:bottom w:val="single" w:sz="4" w:space="0" w:color="auto"/>
            </w:tcBorders>
          </w:tcPr>
          <w:p w14:paraId="3FD5BF2F" w14:textId="5706C781" w:rsidR="00E62145" w:rsidRPr="00183B5F" w:rsidRDefault="00943743" w:rsidP="004062FE">
            <w:pPr>
              <w:tabs>
                <w:tab w:val="left" w:pos="142"/>
              </w:tabs>
              <w:spacing w:line="240" w:lineRule="auto"/>
              <w:ind w:left="567" w:hanging="567"/>
              <w:rPr>
                <w:del w:id="8685" w:author="AbbVie_HU_03" w:date="2025-05-14T16:12:00Z"/>
                <w:b/>
                <w:szCs w:val="22"/>
              </w:rPr>
            </w:pPr>
            <w:del w:id="8686" w:author="AbbVie_HU_03" w:date="2025-05-14T16:12:00Z">
              <w:r w:rsidRPr="00183B5F">
                <w:rPr>
                  <w:b/>
                  <w:szCs w:val="22"/>
                </w:rPr>
                <w:delText>16.</w:delText>
              </w:r>
              <w:r w:rsidRPr="00183B5F">
                <w:rPr>
                  <w:b/>
                  <w:szCs w:val="22"/>
                </w:rPr>
                <w:tab/>
                <w:delText>BRAILLE ÍRÁSSAL FELTÜNTETETT INFORMÁCIÓK</w:delText>
              </w:r>
            </w:del>
          </w:p>
        </w:tc>
      </w:tr>
    </w:tbl>
    <w:p w14:paraId="551A3688" w14:textId="0F1CDB29" w:rsidR="00E62145" w:rsidRPr="00183B5F" w:rsidRDefault="00E62145" w:rsidP="004062FE">
      <w:pPr>
        <w:spacing w:line="240" w:lineRule="auto"/>
        <w:rPr>
          <w:del w:id="8687" w:author="AbbVie_HU_03" w:date="2025-05-14T16:12:00Z"/>
          <w:szCs w:val="22"/>
        </w:rPr>
      </w:pPr>
    </w:p>
    <w:p w14:paraId="69AAD007" w14:textId="50D2B139" w:rsidR="00E62145" w:rsidRPr="00183B5F" w:rsidRDefault="00943743" w:rsidP="004062FE">
      <w:pPr>
        <w:pStyle w:val="EMEANormal"/>
        <w:tabs>
          <w:tab w:val="clear" w:pos="562"/>
        </w:tabs>
        <w:rPr>
          <w:del w:id="8688" w:author="AbbVie_HU_03" w:date="2025-05-14T16:12:00Z"/>
          <w:bCs/>
          <w:szCs w:val="22"/>
          <w:lang w:val="hu-HU" w:eastAsia="hu-HU"/>
        </w:rPr>
      </w:pPr>
      <w:del w:id="8689" w:author="AbbVie_HU_03" w:date="2025-05-14T16:12:00Z">
        <w:r w:rsidRPr="00183B5F">
          <w:rPr>
            <w:bCs/>
            <w:szCs w:val="22"/>
            <w:lang w:val="hu-HU" w:eastAsia="hu-HU"/>
          </w:rPr>
          <w:delText>Humira 40 mg</w:delText>
        </w:r>
      </w:del>
    </w:p>
    <w:p w14:paraId="58FB8777" w14:textId="3DE5A9AE" w:rsidR="00FB6710" w:rsidRPr="00183B5F" w:rsidRDefault="00FB6710" w:rsidP="004062FE">
      <w:pPr>
        <w:spacing w:line="240" w:lineRule="auto"/>
        <w:rPr>
          <w:del w:id="8690" w:author="AbbVie_HU_03" w:date="2025-05-14T16:12:00Z"/>
          <w:szCs w:val="22"/>
        </w:rPr>
      </w:pPr>
    </w:p>
    <w:p w14:paraId="4488C1CA" w14:textId="2EAB471D" w:rsidR="000B2A7F" w:rsidRPr="00183B5F" w:rsidRDefault="000B2A7F">
      <w:pPr>
        <w:spacing w:line="240" w:lineRule="auto"/>
        <w:rPr>
          <w:del w:id="8691" w:author="AbbVie_HU_03" w:date="2025-05-14T16:12:00Z"/>
          <w:noProof/>
          <w:shd w:val="clear" w:color="auto" w:fill="CCCCCC"/>
        </w:rPr>
      </w:pPr>
    </w:p>
    <w:p w14:paraId="4D7F28E4" w14:textId="0A762E0C" w:rsidR="000B2A7F" w:rsidRPr="00183B5F" w:rsidRDefault="00943743">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del w:id="8692" w:author="AbbVie_HU_03" w:date="2025-05-14T16:12:00Z"/>
          <w:i/>
          <w:noProof/>
        </w:rPr>
      </w:pPr>
      <w:del w:id="8693" w:author="AbbVie_HU_03" w:date="2025-05-14T16:12:00Z">
        <w:r w:rsidRPr="00183B5F">
          <w:rPr>
            <w:b/>
            <w:noProof/>
          </w:rPr>
          <w:delText>17.</w:delText>
        </w:r>
        <w:r w:rsidRPr="00183B5F">
          <w:rPr>
            <w:b/>
            <w:noProof/>
          </w:rPr>
          <w:tab/>
          <w:delText>EGYEDI AZONOSÍTÓ – 2D VONALKÓD</w:delText>
        </w:r>
      </w:del>
    </w:p>
    <w:p w14:paraId="225089BF" w14:textId="72D14053" w:rsidR="000B2A7F" w:rsidRPr="00183B5F" w:rsidRDefault="000B2A7F">
      <w:pPr>
        <w:spacing w:line="240" w:lineRule="auto"/>
        <w:rPr>
          <w:del w:id="8694" w:author="AbbVie_HU_03" w:date="2025-05-14T16:12:00Z"/>
          <w:noProof/>
        </w:rPr>
      </w:pPr>
    </w:p>
    <w:p w14:paraId="06C132D7" w14:textId="1802B8BE" w:rsidR="000B2A7F" w:rsidRPr="00183B5F" w:rsidRDefault="00943743">
      <w:pPr>
        <w:spacing w:line="240" w:lineRule="auto"/>
        <w:rPr>
          <w:del w:id="8695" w:author="AbbVie_HU_03" w:date="2025-05-14T16:12:00Z"/>
          <w:noProof/>
          <w:shd w:val="clear" w:color="auto" w:fill="CCCCCC"/>
        </w:rPr>
      </w:pPr>
      <w:del w:id="8696" w:author="AbbVie_HU_03" w:date="2025-05-14T16:12:00Z">
        <w:r w:rsidRPr="00183B5F">
          <w:rPr>
            <w:noProof/>
            <w:highlight w:val="lightGray"/>
          </w:rPr>
          <w:delText>Egyedi azonosítójú 2D vonalkóddal ellátva.</w:delText>
        </w:r>
      </w:del>
    </w:p>
    <w:p w14:paraId="3CC81C66" w14:textId="3B7614E9" w:rsidR="000B2A7F" w:rsidRPr="00183B5F" w:rsidRDefault="000B2A7F">
      <w:pPr>
        <w:spacing w:line="240" w:lineRule="auto"/>
        <w:rPr>
          <w:del w:id="8697" w:author="AbbVie_HU_03" w:date="2025-05-14T16:12:00Z"/>
          <w:noProof/>
          <w:shd w:val="clear" w:color="auto" w:fill="CCCCCC"/>
        </w:rPr>
      </w:pPr>
    </w:p>
    <w:p w14:paraId="63F65B08" w14:textId="3C0CF7DA" w:rsidR="000B2A7F" w:rsidRPr="00183B5F" w:rsidRDefault="000B2A7F">
      <w:pPr>
        <w:spacing w:line="240" w:lineRule="auto"/>
        <w:rPr>
          <w:del w:id="8698" w:author="AbbVie_HU_03" w:date="2025-05-14T16:12:00Z"/>
          <w:noProof/>
          <w:shd w:val="clear" w:color="auto" w:fill="CCCCCC"/>
        </w:rPr>
      </w:pPr>
    </w:p>
    <w:p w14:paraId="7D0F23E9" w14:textId="2315B903" w:rsidR="000B2A7F" w:rsidRPr="00183B5F" w:rsidRDefault="00943743">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del w:id="8699" w:author="AbbVie_HU_03" w:date="2025-05-14T16:12:00Z"/>
          <w:i/>
          <w:noProof/>
        </w:rPr>
      </w:pPr>
      <w:del w:id="8700" w:author="AbbVie_HU_03" w:date="2025-05-14T16:12:00Z">
        <w:r w:rsidRPr="00183B5F">
          <w:rPr>
            <w:b/>
            <w:noProof/>
          </w:rPr>
          <w:delText>18.</w:delText>
        </w:r>
        <w:r w:rsidRPr="00183B5F">
          <w:rPr>
            <w:b/>
            <w:noProof/>
          </w:rPr>
          <w:tab/>
        </w:r>
        <w:r w:rsidRPr="00183B5F">
          <w:rPr>
            <w:b/>
            <w:noProof/>
          </w:rPr>
          <w:delText>EGYEDI AZONOSÍTÓ OLVASHATÓ FORMÁTUMA</w:delText>
        </w:r>
      </w:del>
    </w:p>
    <w:p w14:paraId="48E191F6" w14:textId="13675C05" w:rsidR="000B2A7F" w:rsidRPr="00183B5F" w:rsidRDefault="000B2A7F">
      <w:pPr>
        <w:keepNext/>
        <w:spacing w:line="240" w:lineRule="auto"/>
        <w:rPr>
          <w:del w:id="8701" w:author="AbbVie_HU_03" w:date="2025-05-14T16:12:00Z"/>
          <w:noProof/>
        </w:rPr>
      </w:pPr>
    </w:p>
    <w:p w14:paraId="10A96F00" w14:textId="1C6AFA11" w:rsidR="000B2A7F" w:rsidRPr="00183B5F" w:rsidRDefault="00943743" w:rsidP="004062FE">
      <w:pPr>
        <w:keepNext/>
        <w:spacing w:line="240" w:lineRule="auto"/>
        <w:rPr>
          <w:del w:id="8702" w:author="AbbVie_HU_03" w:date="2025-05-14T16:12:00Z"/>
          <w:color w:val="008000"/>
        </w:rPr>
      </w:pPr>
      <w:del w:id="8703" w:author="AbbVie_HU_03" w:date="2025-05-14T16:12:00Z">
        <w:r w:rsidRPr="00183B5F">
          <w:delText>PC</w:delText>
        </w:r>
      </w:del>
    </w:p>
    <w:p w14:paraId="4F14044D" w14:textId="07F5532A" w:rsidR="000B2A7F" w:rsidRPr="00183B5F" w:rsidRDefault="00943743" w:rsidP="004062FE">
      <w:pPr>
        <w:spacing w:line="240" w:lineRule="auto"/>
        <w:rPr>
          <w:del w:id="8704" w:author="AbbVie_HU_03" w:date="2025-05-14T16:12:00Z"/>
        </w:rPr>
      </w:pPr>
      <w:del w:id="8705" w:author="AbbVie_HU_03" w:date="2025-05-14T16:12:00Z">
        <w:r w:rsidRPr="00183B5F">
          <w:delText>SN</w:delText>
        </w:r>
      </w:del>
    </w:p>
    <w:p w14:paraId="4DF5EBBE" w14:textId="0F6E9A8A" w:rsidR="000B2A7F" w:rsidRPr="00183B5F" w:rsidRDefault="00943743" w:rsidP="004062FE">
      <w:pPr>
        <w:spacing w:line="240" w:lineRule="auto"/>
        <w:rPr>
          <w:del w:id="8706" w:author="AbbVie_HU_03" w:date="2025-05-14T16:12:00Z"/>
        </w:rPr>
      </w:pPr>
      <w:del w:id="8707" w:author="AbbVie_HU_03" w:date="2025-05-14T16:12:00Z">
        <w:r w:rsidRPr="00183B5F">
          <w:rPr>
            <w:shd w:val="clear" w:color="auto" w:fill="BFBFBF" w:themeFill="background1" w:themeFillShade="BF"/>
          </w:rPr>
          <w:delText>NN</w:delText>
        </w:r>
      </w:del>
    </w:p>
    <w:p w14:paraId="6E61B5D5" w14:textId="212B5436" w:rsidR="000B2A7F" w:rsidRPr="00183B5F" w:rsidRDefault="000B2A7F" w:rsidP="004062FE">
      <w:pPr>
        <w:spacing w:line="240" w:lineRule="auto"/>
        <w:rPr>
          <w:del w:id="8708" w:author="AbbVie_HU_03" w:date="2025-05-14T16:12:00Z"/>
        </w:rPr>
      </w:pPr>
    </w:p>
    <w:p w14:paraId="3589961B" w14:textId="164A5850" w:rsidR="000B2A7F" w:rsidRPr="00183B5F" w:rsidRDefault="000B2A7F" w:rsidP="004062FE">
      <w:pPr>
        <w:spacing w:line="240" w:lineRule="auto"/>
        <w:rPr>
          <w:del w:id="8709" w:author="AbbVie_HU_03" w:date="2025-05-14T16:12:00Z"/>
          <w:b/>
          <w:szCs w:val="22"/>
        </w:rPr>
      </w:pPr>
    </w:p>
    <w:p w14:paraId="7A5048AC" w14:textId="77777777" w:rsidR="00631499" w:rsidRPr="00183B5F" w:rsidRDefault="00943743" w:rsidP="004062FE">
      <w:pPr>
        <w:spacing w:line="240" w:lineRule="auto"/>
        <w:rPr>
          <w:del w:id="8710" w:author="AbbVie_HU_04" w:date="2025-05-15T11:59:00Z"/>
          <w:b/>
          <w:szCs w:val="22"/>
        </w:rPr>
      </w:pPr>
      <w:del w:id="8711" w:author="AbbVie_HU_04" w:date="2025-05-15T11:59:00Z">
        <w:r w:rsidRPr="00183B5F">
          <w:rPr>
            <w:b/>
            <w:szCs w:val="22"/>
          </w:rPr>
          <w:br w:type="page"/>
        </w:r>
      </w:del>
    </w:p>
    <w:tbl>
      <w:tblPr>
        <w:tblW w:w="906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Change w:id="8712" w:author="AbbVie_HU_03" w:date="2025-05-14T16:13:00Z">
          <w:tblPr>
            <w:tblW w:w="0" w:type="auto"/>
            <w:tblLayout w:type="fixed"/>
            <w:tblLook w:val="04A0" w:firstRow="1" w:lastRow="0" w:firstColumn="1" w:lastColumn="0" w:noHBand="0" w:noVBand="1"/>
          </w:tblPr>
        </w:tblPrChange>
      </w:tblPr>
      <w:tblGrid>
        <w:gridCol w:w="9069"/>
        <w:tblGridChange w:id="8713">
          <w:tblGrid>
            <w:gridCol w:w="5"/>
            <w:gridCol w:w="355"/>
            <w:gridCol w:w="8714"/>
          </w:tblGrid>
        </w:tblGridChange>
      </w:tblGrid>
      <w:tr w:rsidR="00011D2F" w14:paraId="362E4A09" w14:textId="1407EFF0" w:rsidTr="00810C65">
        <w:trPr>
          <w:trHeight w:val="1040"/>
          <w:jc w:val="center"/>
          <w:del w:id="8714" w:author="AbbVie_HU_04" w:date="2025-05-15T11:59:00Z"/>
          <w:trPrChange w:id="8715" w:author="AbbVie_HU_03" w:date="2025-05-14T16:13:00Z">
            <w:trPr>
              <w:gridAfter w:val="0"/>
            </w:trPr>
          </w:trPrChange>
        </w:trPr>
        <w:tc>
          <w:tcPr>
            <w:tcW w:w="9069" w:type="dxa"/>
            <w:tcBorders>
              <w:top w:val="single" w:sz="4" w:space="0" w:color="auto"/>
              <w:bottom w:val="single" w:sz="4" w:space="0" w:color="auto"/>
            </w:tcBorders>
            <w:tcPrChange w:id="8716" w:author="AbbVie_HU_03" w:date="2025-05-14T16:13:00Z">
              <w:tcPr>
                <w:tcW w:w="9069" w:type="dxa"/>
                <w:gridSpan w:val="2"/>
                <w:tcBorders>
                  <w:top w:val="single" w:sz="4" w:space="0" w:color="auto"/>
                  <w:bottom w:val="single" w:sz="4" w:space="0" w:color="auto"/>
                </w:tcBorders>
              </w:tcPr>
            </w:tcPrChange>
          </w:tcPr>
          <w:p w14:paraId="7500D788" w14:textId="43E7C3A3" w:rsidR="00FB6710" w:rsidRPr="00183B5F" w:rsidRDefault="00943743" w:rsidP="004062FE">
            <w:pPr>
              <w:spacing w:line="240" w:lineRule="auto"/>
              <w:rPr>
                <w:del w:id="8717" w:author="AbbVie_HU_04" w:date="2025-05-15T11:59:00Z"/>
                <w:b/>
                <w:szCs w:val="22"/>
              </w:rPr>
            </w:pPr>
            <w:del w:id="8718" w:author="AbbVie_HU_04" w:date="2025-05-15T11:59:00Z">
              <w:r w:rsidRPr="00183B5F">
                <w:rPr>
                  <w:szCs w:val="22"/>
                </w:rPr>
                <w:br w:type="page"/>
              </w:r>
              <w:r w:rsidRPr="00183B5F">
                <w:rPr>
                  <w:b/>
                  <w:szCs w:val="22"/>
                </w:rPr>
                <w:delText>A KÜLSŐ CSOMAGOLÁSON FELTÜNTETENDŐ ADATOK</w:delText>
              </w:r>
            </w:del>
          </w:p>
          <w:p w14:paraId="3C596FB9" w14:textId="2D491EE1" w:rsidR="00FB6710" w:rsidRPr="00183B5F" w:rsidRDefault="00FB6710" w:rsidP="004062FE">
            <w:pPr>
              <w:spacing w:line="240" w:lineRule="auto"/>
              <w:rPr>
                <w:del w:id="8719" w:author="AbbVie_HU_04" w:date="2025-05-15T11:59:00Z"/>
                <w:b/>
                <w:szCs w:val="22"/>
              </w:rPr>
            </w:pPr>
          </w:p>
          <w:p w14:paraId="4E1FD4AA" w14:textId="65C6BB2F" w:rsidR="00FB6710" w:rsidRPr="00183B5F" w:rsidRDefault="00943743" w:rsidP="004062FE">
            <w:pPr>
              <w:spacing w:line="240" w:lineRule="auto"/>
              <w:rPr>
                <w:del w:id="8720" w:author="AbbVie_HU_04" w:date="2025-05-15T11:59:00Z"/>
                <w:b/>
                <w:szCs w:val="22"/>
              </w:rPr>
            </w:pPr>
            <w:del w:id="8721" w:author="AbbVie_HU_04" w:date="2025-05-15T11:59:00Z">
              <w:r w:rsidRPr="00183B5F">
                <w:rPr>
                  <w:b/>
                  <w:szCs w:val="22"/>
                </w:rPr>
                <w:delText>BELSŐ</w:delText>
              </w:r>
              <w:r w:rsidR="00A85634" w:rsidRPr="00183B5F">
                <w:rPr>
                  <w:b/>
                  <w:szCs w:val="22"/>
                </w:rPr>
                <w:delText xml:space="preserve"> DOBOZ</w:delText>
              </w:r>
              <w:r w:rsidR="00355D7E" w:rsidRPr="00183B5F">
                <w:rPr>
                  <w:b/>
                  <w:szCs w:val="22"/>
                </w:rPr>
                <w:delText xml:space="preserve"> </w:delText>
              </w:r>
            </w:del>
          </w:p>
        </w:tc>
      </w:tr>
    </w:tbl>
    <w:p w14:paraId="28DB11AA" w14:textId="0F8C9951" w:rsidR="00FB6710" w:rsidRPr="00183B5F" w:rsidRDefault="00FB6710" w:rsidP="004062FE">
      <w:pPr>
        <w:spacing w:line="240" w:lineRule="auto"/>
        <w:rPr>
          <w:del w:id="8722" w:author="AbbVie_HU_04" w:date="2025-05-15T11:59:00Z"/>
          <w:szCs w:val="22"/>
        </w:rPr>
      </w:pPr>
    </w:p>
    <w:p w14:paraId="77416ACA" w14:textId="1FE264B6" w:rsidR="00FB6710" w:rsidRPr="00183B5F" w:rsidRDefault="00FB6710" w:rsidP="004062FE">
      <w:pPr>
        <w:spacing w:line="240" w:lineRule="auto"/>
        <w:rPr>
          <w:del w:id="8723" w:author="AbbVie_HU_04" w:date="2025-05-15T11:59: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69501BE4" w14:textId="5DA793DD">
        <w:trPr>
          <w:jc w:val="center"/>
          <w:del w:id="8724" w:author="AbbVie_HU_04" w:date="2025-05-15T11:59:00Z"/>
        </w:trPr>
        <w:tc>
          <w:tcPr>
            <w:tcW w:w="9069" w:type="dxa"/>
            <w:tcBorders>
              <w:top w:val="single" w:sz="4" w:space="0" w:color="auto"/>
              <w:bottom w:val="single" w:sz="4" w:space="0" w:color="auto"/>
            </w:tcBorders>
          </w:tcPr>
          <w:p w14:paraId="23AAC4E4" w14:textId="60ACBBA5" w:rsidR="00FB6710" w:rsidRPr="00183B5F" w:rsidRDefault="00943743" w:rsidP="004062FE">
            <w:pPr>
              <w:tabs>
                <w:tab w:val="left" w:pos="142"/>
              </w:tabs>
              <w:spacing w:line="240" w:lineRule="auto"/>
              <w:ind w:left="567" w:hanging="567"/>
              <w:rPr>
                <w:del w:id="8725" w:author="AbbVie_HU_04" w:date="2025-05-15T11:59:00Z"/>
                <w:b/>
                <w:szCs w:val="22"/>
              </w:rPr>
            </w:pPr>
            <w:del w:id="8726" w:author="AbbVie_HU_04" w:date="2025-05-15T11:59:00Z">
              <w:r w:rsidRPr="00183B5F">
                <w:rPr>
                  <w:b/>
                  <w:szCs w:val="22"/>
                </w:rPr>
                <w:delText>1.</w:delText>
              </w:r>
              <w:r w:rsidRPr="00183B5F">
                <w:rPr>
                  <w:b/>
                  <w:szCs w:val="22"/>
                </w:rPr>
                <w:tab/>
                <w:delText xml:space="preserve">A GYÓGYSZER </w:delText>
              </w:r>
              <w:r w:rsidR="00F038A9" w:rsidRPr="00183B5F">
                <w:rPr>
                  <w:b/>
                  <w:szCs w:val="22"/>
                </w:rPr>
                <w:delText>NEVE</w:delText>
              </w:r>
            </w:del>
          </w:p>
        </w:tc>
      </w:tr>
    </w:tbl>
    <w:p w14:paraId="414AFB74" w14:textId="00E066D9" w:rsidR="00FB6710" w:rsidRPr="00183B5F" w:rsidRDefault="00FB6710" w:rsidP="004062FE">
      <w:pPr>
        <w:spacing w:line="240" w:lineRule="auto"/>
        <w:rPr>
          <w:del w:id="8727" w:author="AbbVie_HU_04" w:date="2025-05-15T11:59:00Z"/>
          <w:szCs w:val="22"/>
        </w:rPr>
      </w:pPr>
    </w:p>
    <w:p w14:paraId="749D741E" w14:textId="03222592" w:rsidR="00FB6710" w:rsidRPr="00183B5F" w:rsidRDefault="00943743" w:rsidP="004062FE">
      <w:pPr>
        <w:spacing w:line="240" w:lineRule="auto"/>
        <w:rPr>
          <w:del w:id="8728" w:author="AbbVie_HU_04" w:date="2025-05-15T11:59:00Z"/>
          <w:szCs w:val="22"/>
        </w:rPr>
      </w:pPr>
      <w:del w:id="8729" w:author="AbbVie_HU_04" w:date="2025-05-15T11:59:00Z">
        <w:r w:rsidRPr="00183B5F">
          <w:rPr>
            <w:szCs w:val="22"/>
          </w:rPr>
          <w:delText>Humira 40 mg</w:delText>
        </w:r>
        <w:r w:rsidR="008A750B" w:rsidRPr="00183B5F">
          <w:rPr>
            <w:szCs w:val="22"/>
          </w:rPr>
          <w:delText>/0,8</w:delText>
        </w:r>
        <w:r w:rsidR="009B11CD" w:rsidRPr="00183B5F">
          <w:rPr>
            <w:szCs w:val="22"/>
          </w:rPr>
          <w:delText> </w:delText>
        </w:r>
        <w:r w:rsidR="008A750B" w:rsidRPr="00183B5F">
          <w:rPr>
            <w:szCs w:val="22"/>
          </w:rPr>
          <w:delText xml:space="preserve">mg </w:delText>
        </w:r>
        <w:r w:rsidRPr="00183B5F">
          <w:rPr>
            <w:szCs w:val="22"/>
          </w:rPr>
          <w:delText>oldatos injekció</w:delText>
        </w:r>
        <w:r w:rsidR="008A750B" w:rsidRPr="00183B5F">
          <w:rPr>
            <w:szCs w:val="22"/>
          </w:rPr>
          <w:delText xml:space="preserve"> </w:delText>
        </w:r>
      </w:del>
    </w:p>
    <w:p w14:paraId="577CA114" w14:textId="5F5DE3E7" w:rsidR="00FB6710" w:rsidRPr="00183B5F" w:rsidRDefault="00943743" w:rsidP="004062FE">
      <w:pPr>
        <w:pStyle w:val="EndnoteText"/>
        <w:tabs>
          <w:tab w:val="clear" w:pos="567"/>
        </w:tabs>
        <w:suppressAutoHyphens/>
        <w:rPr>
          <w:del w:id="8730" w:author="AbbVie_HU_04" w:date="2025-05-15T11:59:00Z"/>
          <w:sz w:val="22"/>
          <w:lang w:val="hu-HU"/>
        </w:rPr>
      </w:pPr>
      <w:del w:id="8731" w:author="AbbVie_HU_04" w:date="2025-05-15T11:59:00Z">
        <w:r w:rsidRPr="00183B5F">
          <w:rPr>
            <w:sz w:val="22"/>
            <w:lang w:val="hu-HU"/>
          </w:rPr>
          <w:delText>adalimumab</w:delText>
        </w:r>
      </w:del>
    </w:p>
    <w:p w14:paraId="633C519B" w14:textId="2FFCEED5" w:rsidR="00FB6710" w:rsidRPr="00183B5F" w:rsidRDefault="00FB6710" w:rsidP="004062FE">
      <w:pPr>
        <w:pStyle w:val="EndnoteText"/>
        <w:tabs>
          <w:tab w:val="clear" w:pos="567"/>
        </w:tabs>
        <w:suppressAutoHyphens/>
        <w:rPr>
          <w:del w:id="8732" w:author="AbbVie_HU_04" w:date="2025-05-15T11:59:00Z"/>
          <w:sz w:val="22"/>
          <w:szCs w:val="22"/>
          <w:lang w:val="hu-HU" w:eastAsia="hu-HU"/>
        </w:rPr>
      </w:pPr>
    </w:p>
    <w:p w14:paraId="1C13A33E" w14:textId="15633A06" w:rsidR="00FB6710" w:rsidRPr="00183B5F" w:rsidRDefault="00FB6710" w:rsidP="004062FE">
      <w:pPr>
        <w:spacing w:line="240" w:lineRule="auto"/>
        <w:rPr>
          <w:del w:id="8733" w:author="AbbVie_HU_04" w:date="2025-05-15T11:59: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5FFE35F6" w14:textId="01C42074">
        <w:trPr>
          <w:jc w:val="center"/>
          <w:del w:id="8734" w:author="AbbVie_HU_04" w:date="2025-05-15T11:59:00Z"/>
        </w:trPr>
        <w:tc>
          <w:tcPr>
            <w:tcW w:w="9069" w:type="dxa"/>
            <w:tcBorders>
              <w:top w:val="single" w:sz="4" w:space="0" w:color="auto"/>
              <w:bottom w:val="single" w:sz="4" w:space="0" w:color="auto"/>
            </w:tcBorders>
          </w:tcPr>
          <w:p w14:paraId="386A45A2" w14:textId="45D7C598" w:rsidR="00FB6710" w:rsidRPr="00183B5F" w:rsidRDefault="00943743" w:rsidP="004062FE">
            <w:pPr>
              <w:tabs>
                <w:tab w:val="left" w:pos="142"/>
              </w:tabs>
              <w:spacing w:line="240" w:lineRule="auto"/>
              <w:ind w:left="567" w:hanging="567"/>
              <w:rPr>
                <w:del w:id="8735" w:author="AbbVie_HU_04" w:date="2025-05-15T11:59:00Z"/>
                <w:b/>
                <w:szCs w:val="22"/>
              </w:rPr>
            </w:pPr>
            <w:del w:id="8736" w:author="AbbVie_HU_04" w:date="2025-05-15T11:59:00Z">
              <w:r w:rsidRPr="00183B5F">
                <w:rPr>
                  <w:b/>
                  <w:szCs w:val="22"/>
                </w:rPr>
                <w:delText>2.</w:delText>
              </w:r>
              <w:r w:rsidRPr="00183B5F">
                <w:rPr>
                  <w:b/>
                  <w:szCs w:val="22"/>
                </w:rPr>
                <w:tab/>
                <w:delText>HATÓANYAG(OK) MEGNEVEZÉSE</w:delText>
              </w:r>
            </w:del>
          </w:p>
        </w:tc>
      </w:tr>
    </w:tbl>
    <w:p w14:paraId="3668FD9A" w14:textId="5C1DB983" w:rsidR="00FB6710" w:rsidRPr="00183B5F" w:rsidRDefault="00FB6710" w:rsidP="004062FE">
      <w:pPr>
        <w:spacing w:line="240" w:lineRule="auto"/>
        <w:ind w:right="-2"/>
        <w:rPr>
          <w:del w:id="8737" w:author="AbbVie_HU_04" w:date="2025-05-15T11:59:00Z"/>
          <w:szCs w:val="22"/>
        </w:rPr>
      </w:pPr>
    </w:p>
    <w:p w14:paraId="74D5D19D" w14:textId="20D1FA87" w:rsidR="008A750B" w:rsidRPr="00183B5F" w:rsidRDefault="00943743" w:rsidP="004062FE">
      <w:pPr>
        <w:spacing w:line="240" w:lineRule="auto"/>
        <w:ind w:right="-2"/>
        <w:rPr>
          <w:del w:id="8738" w:author="AbbVie_HU_04" w:date="2025-05-15T11:59:00Z"/>
          <w:szCs w:val="22"/>
        </w:rPr>
      </w:pPr>
      <w:del w:id="8739" w:author="AbbVie_HU_04" w:date="2025-05-15T11:59:00Z">
        <w:r w:rsidRPr="00183B5F">
          <w:rPr>
            <w:szCs w:val="22"/>
          </w:rPr>
          <w:delText>40 mg adalimumab 0,8 ml-es injekciós üvegben</w:delText>
        </w:r>
        <w:r w:rsidR="00A85634" w:rsidRPr="00183B5F">
          <w:rPr>
            <w:szCs w:val="22"/>
          </w:rPr>
          <w:delText>.</w:delText>
        </w:r>
      </w:del>
    </w:p>
    <w:p w14:paraId="49D7579D" w14:textId="3284E250" w:rsidR="00FB6710" w:rsidRPr="00183B5F" w:rsidRDefault="00FB6710" w:rsidP="004062FE">
      <w:pPr>
        <w:spacing w:line="240" w:lineRule="auto"/>
        <w:ind w:right="-2"/>
        <w:rPr>
          <w:del w:id="8740" w:author="AbbVie_HU_04" w:date="2025-05-15T11:59:00Z"/>
          <w:szCs w:val="22"/>
        </w:rPr>
      </w:pPr>
    </w:p>
    <w:p w14:paraId="65490B4F" w14:textId="2EEAE5AA" w:rsidR="00FB6710" w:rsidRPr="00183B5F" w:rsidRDefault="00FB6710" w:rsidP="004062FE">
      <w:pPr>
        <w:spacing w:line="240" w:lineRule="auto"/>
        <w:rPr>
          <w:del w:id="8741" w:author="AbbVie_HU_04" w:date="2025-05-15T11:59: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46DFE53A" w14:textId="4B31BAF0">
        <w:trPr>
          <w:jc w:val="center"/>
          <w:del w:id="8742" w:author="AbbVie_HU_04" w:date="2025-05-15T11:59:00Z"/>
        </w:trPr>
        <w:tc>
          <w:tcPr>
            <w:tcW w:w="9069" w:type="dxa"/>
            <w:tcBorders>
              <w:top w:val="single" w:sz="4" w:space="0" w:color="auto"/>
              <w:bottom w:val="single" w:sz="4" w:space="0" w:color="auto"/>
            </w:tcBorders>
          </w:tcPr>
          <w:p w14:paraId="3E43B768" w14:textId="40A669B2" w:rsidR="00FB6710" w:rsidRPr="00183B5F" w:rsidRDefault="00943743" w:rsidP="004062FE">
            <w:pPr>
              <w:tabs>
                <w:tab w:val="left" w:pos="142"/>
              </w:tabs>
              <w:spacing w:line="240" w:lineRule="auto"/>
              <w:ind w:left="567" w:hanging="567"/>
              <w:rPr>
                <w:del w:id="8743" w:author="AbbVie_HU_04" w:date="2025-05-15T11:59:00Z"/>
                <w:b/>
                <w:szCs w:val="22"/>
              </w:rPr>
            </w:pPr>
            <w:del w:id="8744" w:author="AbbVie_HU_04" w:date="2025-05-15T11:59:00Z">
              <w:r w:rsidRPr="00183B5F">
                <w:rPr>
                  <w:b/>
                  <w:szCs w:val="22"/>
                </w:rPr>
                <w:delText>3.</w:delText>
              </w:r>
              <w:r w:rsidRPr="00183B5F">
                <w:rPr>
                  <w:b/>
                  <w:szCs w:val="22"/>
                </w:rPr>
                <w:tab/>
                <w:delText>SEGÉDANYAGOK FELSOROLÁSA</w:delText>
              </w:r>
            </w:del>
          </w:p>
        </w:tc>
      </w:tr>
    </w:tbl>
    <w:p w14:paraId="1669B0BF" w14:textId="4DDD6AE5" w:rsidR="00FB6710" w:rsidRPr="00183B5F" w:rsidRDefault="00FB6710" w:rsidP="004062FE">
      <w:pPr>
        <w:spacing w:line="240" w:lineRule="auto"/>
        <w:rPr>
          <w:del w:id="8745" w:author="AbbVie_HU_04" w:date="2025-05-15T11:59:00Z"/>
          <w:szCs w:val="22"/>
        </w:rPr>
      </w:pPr>
    </w:p>
    <w:p w14:paraId="6FAE5E95" w14:textId="1DEF8808" w:rsidR="00FB6710" w:rsidRPr="00183B5F" w:rsidRDefault="00943743" w:rsidP="004062FE">
      <w:pPr>
        <w:spacing w:line="240" w:lineRule="auto"/>
        <w:rPr>
          <w:del w:id="8746" w:author="AbbVie_HU_04" w:date="2025-05-15T11:59:00Z"/>
          <w:szCs w:val="22"/>
        </w:rPr>
      </w:pPr>
      <w:del w:id="8747" w:author="AbbVie_HU_04" w:date="2025-05-15T11:59:00Z">
        <w:r w:rsidRPr="00183B5F">
          <w:rPr>
            <w:szCs w:val="22"/>
          </w:rPr>
          <w:delText>Segédanyagok: mannit, citromsav-monohidrát, trinátrium-citrát, nátrium</w:delText>
        </w:r>
        <w:r w:rsidRPr="00183B5F">
          <w:rPr>
            <w:szCs w:val="22"/>
          </w:rPr>
          <w:noBreakHyphen/>
          <w:delText>dihidrogén</w:delText>
        </w:r>
        <w:r w:rsidRPr="00183B5F">
          <w:rPr>
            <w:szCs w:val="22"/>
          </w:rPr>
          <w:noBreakHyphen/>
          <w:delText>foszfát</w:delText>
        </w:r>
        <w:r w:rsidRPr="00183B5F">
          <w:rPr>
            <w:szCs w:val="22"/>
          </w:rPr>
          <w:noBreakHyphen/>
          <w:delText>dihidrát, dinátrium</w:delText>
        </w:r>
        <w:r w:rsidRPr="00183B5F">
          <w:rPr>
            <w:szCs w:val="22"/>
          </w:rPr>
          <w:noBreakHyphen/>
          <w:delText>hidrogén</w:delText>
        </w:r>
        <w:r w:rsidRPr="00183B5F">
          <w:rPr>
            <w:szCs w:val="22"/>
          </w:rPr>
          <w:noBreakHyphen/>
          <w:delText>foszfát</w:delText>
        </w:r>
        <w:r w:rsidRPr="00183B5F">
          <w:rPr>
            <w:szCs w:val="22"/>
          </w:rPr>
          <w:noBreakHyphen/>
          <w:delText>dihidrát, nátrium</w:delText>
        </w:r>
        <w:r w:rsidRPr="00183B5F">
          <w:rPr>
            <w:szCs w:val="22"/>
          </w:rPr>
          <w:noBreakHyphen/>
          <w:delText>klorid, poliszorbát 80, nátrium</w:delText>
        </w:r>
        <w:r w:rsidRPr="00183B5F">
          <w:rPr>
            <w:szCs w:val="22"/>
          </w:rPr>
          <w:noBreakHyphen/>
          <w:delText>hidroxid, injekcióhoz való víz. További információkért olvassa el a betegtájékoztatót.</w:delText>
        </w:r>
      </w:del>
    </w:p>
    <w:p w14:paraId="0F6F7A1C" w14:textId="09424E29" w:rsidR="00FB6710" w:rsidRPr="00183B5F" w:rsidRDefault="00FB6710" w:rsidP="004062FE">
      <w:pPr>
        <w:spacing w:line="240" w:lineRule="auto"/>
        <w:rPr>
          <w:del w:id="8748" w:author="AbbVie_HU_04" w:date="2025-05-15T11:59:00Z"/>
          <w:szCs w:val="22"/>
        </w:rPr>
      </w:pPr>
    </w:p>
    <w:p w14:paraId="42AC40F0" w14:textId="4FBD37A9" w:rsidR="00FB6710" w:rsidRPr="00183B5F" w:rsidRDefault="00FB6710" w:rsidP="004062FE">
      <w:pPr>
        <w:spacing w:line="240" w:lineRule="auto"/>
        <w:rPr>
          <w:del w:id="8749" w:author="AbbVie_HU_04" w:date="2025-05-15T11:59: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011716A8" w14:textId="765D3498">
        <w:trPr>
          <w:jc w:val="center"/>
          <w:del w:id="8750" w:author="AbbVie_HU_04" w:date="2025-05-15T11:59:00Z"/>
        </w:trPr>
        <w:tc>
          <w:tcPr>
            <w:tcW w:w="9069" w:type="dxa"/>
            <w:tcBorders>
              <w:top w:val="single" w:sz="4" w:space="0" w:color="auto"/>
              <w:bottom w:val="single" w:sz="4" w:space="0" w:color="auto"/>
            </w:tcBorders>
          </w:tcPr>
          <w:p w14:paraId="65441CF0" w14:textId="7A9662E7" w:rsidR="00FB6710" w:rsidRPr="00183B5F" w:rsidRDefault="00943743" w:rsidP="004062FE">
            <w:pPr>
              <w:tabs>
                <w:tab w:val="left" w:pos="142"/>
              </w:tabs>
              <w:spacing w:line="240" w:lineRule="auto"/>
              <w:ind w:left="567" w:hanging="567"/>
              <w:rPr>
                <w:del w:id="8751" w:author="AbbVie_HU_04" w:date="2025-05-15T11:59:00Z"/>
                <w:b/>
                <w:szCs w:val="22"/>
              </w:rPr>
            </w:pPr>
            <w:del w:id="8752" w:author="AbbVie_HU_04" w:date="2025-05-15T11:59:00Z">
              <w:r w:rsidRPr="00183B5F">
                <w:rPr>
                  <w:b/>
                  <w:szCs w:val="22"/>
                </w:rPr>
                <w:delText>4.</w:delText>
              </w:r>
              <w:r w:rsidRPr="00183B5F">
                <w:rPr>
                  <w:b/>
                  <w:szCs w:val="22"/>
                </w:rPr>
                <w:tab/>
                <w:delText>GYÓGYSZERFORMA ÉS TARTALOM</w:delText>
              </w:r>
            </w:del>
          </w:p>
        </w:tc>
      </w:tr>
    </w:tbl>
    <w:p w14:paraId="6DCCDAFC" w14:textId="70B7B502" w:rsidR="00FB6710" w:rsidRPr="00183B5F" w:rsidRDefault="00FB6710" w:rsidP="004062FE">
      <w:pPr>
        <w:spacing w:line="240" w:lineRule="auto"/>
        <w:rPr>
          <w:del w:id="8753" w:author="AbbVie_HU_04" w:date="2025-05-15T11:59:00Z"/>
          <w:szCs w:val="22"/>
        </w:rPr>
      </w:pPr>
    </w:p>
    <w:p w14:paraId="66F9D8FA" w14:textId="1464B2A0" w:rsidR="00CE119D" w:rsidRPr="00183B5F" w:rsidRDefault="00943743" w:rsidP="004062FE">
      <w:pPr>
        <w:spacing w:line="240" w:lineRule="auto"/>
        <w:rPr>
          <w:del w:id="8754" w:author="AbbVie_HU_04" w:date="2025-05-15T11:59:00Z"/>
          <w:szCs w:val="22"/>
        </w:rPr>
      </w:pPr>
      <w:del w:id="8755" w:author="AbbVie_HU_04" w:date="2025-05-15T11:59:00Z">
        <w:r w:rsidRPr="00183B5F">
          <w:rPr>
            <w:szCs w:val="22"/>
            <w:highlight w:val="lightGray"/>
          </w:rPr>
          <w:delText>Oldatos injekció.</w:delText>
        </w:r>
      </w:del>
    </w:p>
    <w:p w14:paraId="1A05D5B3" w14:textId="619093B5" w:rsidR="00A85634" w:rsidRPr="00183B5F" w:rsidRDefault="00943743" w:rsidP="004062FE">
      <w:pPr>
        <w:spacing w:line="240" w:lineRule="auto"/>
        <w:rPr>
          <w:del w:id="8756" w:author="AbbVie_HU_04" w:date="2025-05-15T11:59:00Z"/>
          <w:szCs w:val="22"/>
        </w:rPr>
      </w:pPr>
      <w:del w:id="8757" w:author="AbbVie_HU_04" w:date="2025-05-15T11:59:00Z">
        <w:r w:rsidRPr="00183B5F">
          <w:rPr>
            <w:szCs w:val="22"/>
          </w:rPr>
          <w:delText>1</w:delText>
        </w:r>
        <w:r w:rsidR="009B11CD" w:rsidRPr="00183B5F">
          <w:rPr>
            <w:szCs w:val="22"/>
          </w:rPr>
          <w:delText> </w:delText>
        </w:r>
        <w:r w:rsidRPr="00183B5F">
          <w:rPr>
            <w:szCs w:val="22"/>
          </w:rPr>
          <w:delText>db injekciós üveg</w:delText>
        </w:r>
      </w:del>
    </w:p>
    <w:p w14:paraId="6CE3F690" w14:textId="0A1BAB1B" w:rsidR="00A85634" w:rsidRPr="00183B5F" w:rsidRDefault="00943743" w:rsidP="004062FE">
      <w:pPr>
        <w:spacing w:line="240" w:lineRule="auto"/>
        <w:rPr>
          <w:del w:id="8758" w:author="AbbVie_HU_04" w:date="2025-05-15T11:59:00Z"/>
          <w:szCs w:val="22"/>
        </w:rPr>
      </w:pPr>
      <w:del w:id="8759" w:author="AbbVie_HU_04" w:date="2025-05-15T11:59:00Z">
        <w:r w:rsidRPr="00183B5F">
          <w:rPr>
            <w:szCs w:val="22"/>
          </w:rPr>
          <w:delText>1</w:delText>
        </w:r>
        <w:r w:rsidR="009B11CD" w:rsidRPr="00183B5F">
          <w:rPr>
            <w:szCs w:val="22"/>
          </w:rPr>
          <w:delText> </w:delText>
        </w:r>
        <w:r w:rsidRPr="00183B5F">
          <w:rPr>
            <w:szCs w:val="22"/>
          </w:rPr>
          <w:delText xml:space="preserve">db steril injekciós fecskendő </w:delText>
        </w:r>
      </w:del>
    </w:p>
    <w:p w14:paraId="0076D78B" w14:textId="5C3E9BDB" w:rsidR="00A85634" w:rsidRPr="00183B5F" w:rsidRDefault="00943743" w:rsidP="004062FE">
      <w:pPr>
        <w:spacing w:line="240" w:lineRule="auto"/>
        <w:rPr>
          <w:del w:id="8760" w:author="AbbVie_HU_04" w:date="2025-05-15T11:59:00Z"/>
          <w:szCs w:val="22"/>
        </w:rPr>
      </w:pPr>
      <w:del w:id="8761" w:author="AbbVie_HU_04" w:date="2025-05-15T11:59:00Z">
        <w:r w:rsidRPr="00183B5F">
          <w:rPr>
            <w:szCs w:val="22"/>
          </w:rPr>
          <w:delText>1</w:delText>
        </w:r>
        <w:r w:rsidR="009B11CD" w:rsidRPr="00183B5F">
          <w:rPr>
            <w:szCs w:val="22"/>
          </w:rPr>
          <w:delText> </w:delText>
        </w:r>
        <w:r w:rsidRPr="00183B5F">
          <w:rPr>
            <w:szCs w:val="22"/>
          </w:rPr>
          <w:delText xml:space="preserve">db steril tű </w:delText>
        </w:r>
      </w:del>
    </w:p>
    <w:p w14:paraId="6A37B241" w14:textId="0F9B0104" w:rsidR="00A85634" w:rsidRPr="00183B5F" w:rsidRDefault="00943743" w:rsidP="004062FE">
      <w:pPr>
        <w:spacing w:line="240" w:lineRule="auto"/>
        <w:rPr>
          <w:del w:id="8762" w:author="AbbVie_HU_04" w:date="2025-05-15T11:59:00Z"/>
          <w:szCs w:val="22"/>
        </w:rPr>
      </w:pPr>
      <w:del w:id="8763" w:author="AbbVie_HU_04" w:date="2025-05-15T11:59:00Z">
        <w:r w:rsidRPr="00183B5F">
          <w:rPr>
            <w:szCs w:val="22"/>
          </w:rPr>
          <w:delText>1</w:delText>
        </w:r>
        <w:r w:rsidR="009B11CD" w:rsidRPr="00183B5F">
          <w:rPr>
            <w:szCs w:val="22"/>
          </w:rPr>
          <w:delText> </w:delText>
        </w:r>
        <w:r w:rsidRPr="00183B5F">
          <w:rPr>
            <w:szCs w:val="22"/>
          </w:rPr>
          <w:delText>db steril adapter</w:delText>
        </w:r>
      </w:del>
    </w:p>
    <w:p w14:paraId="75BE61BF" w14:textId="76E2D6E2" w:rsidR="00A85634" w:rsidRPr="00183B5F" w:rsidRDefault="00943743" w:rsidP="004062FE">
      <w:pPr>
        <w:spacing w:line="240" w:lineRule="auto"/>
        <w:rPr>
          <w:del w:id="8764" w:author="AbbVie_HU_04" w:date="2025-05-15T11:59:00Z"/>
          <w:szCs w:val="22"/>
        </w:rPr>
      </w:pPr>
      <w:del w:id="8765" w:author="AbbVie_HU_04" w:date="2025-05-15T11:59:00Z">
        <w:r w:rsidRPr="00183B5F">
          <w:rPr>
            <w:szCs w:val="22"/>
          </w:rPr>
          <w:delText>2</w:delText>
        </w:r>
        <w:r w:rsidR="009B11CD" w:rsidRPr="00183B5F">
          <w:rPr>
            <w:szCs w:val="22"/>
          </w:rPr>
          <w:delText> </w:delText>
        </w:r>
        <w:r w:rsidRPr="00183B5F">
          <w:rPr>
            <w:szCs w:val="22"/>
          </w:rPr>
          <w:delText>db alko</w:delText>
        </w:r>
        <w:r w:rsidR="00347F49" w:rsidRPr="00183B5F">
          <w:rPr>
            <w:szCs w:val="22"/>
          </w:rPr>
          <w:delText>ho</w:delText>
        </w:r>
        <w:r w:rsidRPr="00183B5F">
          <w:rPr>
            <w:szCs w:val="22"/>
          </w:rPr>
          <w:delText>los törlőkendő</w:delText>
        </w:r>
      </w:del>
    </w:p>
    <w:p w14:paraId="23B8C48A" w14:textId="775A97E1" w:rsidR="00FB6710" w:rsidRPr="00183B5F" w:rsidRDefault="00FB6710" w:rsidP="004062FE">
      <w:pPr>
        <w:spacing w:line="240" w:lineRule="auto"/>
        <w:rPr>
          <w:del w:id="8766" w:author="AbbVie_HU_04" w:date="2025-05-15T11:59:00Z"/>
          <w:szCs w:val="22"/>
        </w:rPr>
      </w:pPr>
    </w:p>
    <w:p w14:paraId="0258A832" w14:textId="698195A3" w:rsidR="00FB6710" w:rsidRPr="00183B5F" w:rsidRDefault="00FB6710" w:rsidP="004062FE">
      <w:pPr>
        <w:spacing w:line="240" w:lineRule="auto"/>
        <w:rPr>
          <w:del w:id="8767" w:author="AbbVie_HU_04" w:date="2025-05-15T11:59: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1370C540" w14:textId="6E26137F">
        <w:trPr>
          <w:jc w:val="center"/>
          <w:del w:id="8768" w:author="AbbVie_HU_04" w:date="2025-05-15T11:59:00Z"/>
        </w:trPr>
        <w:tc>
          <w:tcPr>
            <w:tcW w:w="9069" w:type="dxa"/>
            <w:tcBorders>
              <w:top w:val="single" w:sz="4" w:space="0" w:color="auto"/>
              <w:bottom w:val="single" w:sz="4" w:space="0" w:color="auto"/>
            </w:tcBorders>
          </w:tcPr>
          <w:p w14:paraId="1E393346" w14:textId="2EC59D08" w:rsidR="00FB6710" w:rsidRPr="00183B5F" w:rsidRDefault="00943743" w:rsidP="004062FE">
            <w:pPr>
              <w:tabs>
                <w:tab w:val="left" w:pos="142"/>
              </w:tabs>
              <w:spacing w:line="240" w:lineRule="auto"/>
              <w:ind w:left="567" w:hanging="567"/>
              <w:rPr>
                <w:del w:id="8769" w:author="AbbVie_HU_04" w:date="2025-05-15T11:59:00Z"/>
                <w:b/>
                <w:szCs w:val="22"/>
              </w:rPr>
            </w:pPr>
            <w:del w:id="8770" w:author="AbbVie_HU_04" w:date="2025-05-15T11:59:00Z">
              <w:r w:rsidRPr="00183B5F">
                <w:rPr>
                  <w:b/>
                  <w:szCs w:val="22"/>
                </w:rPr>
                <w:delText>5.</w:delText>
              </w:r>
              <w:r w:rsidRPr="00183B5F">
                <w:rPr>
                  <w:b/>
                  <w:szCs w:val="22"/>
                </w:rPr>
                <w:tab/>
                <w:delText>AZ ALKALMAZÁSSAL KAPCSOLATOS TUDNIVALÓK ÉS AZ ALKALMAZÁS MÓDJA (I)</w:delText>
              </w:r>
            </w:del>
          </w:p>
        </w:tc>
      </w:tr>
    </w:tbl>
    <w:p w14:paraId="684BD0EF" w14:textId="45C6D5F0" w:rsidR="00FB6710" w:rsidRPr="00183B5F" w:rsidRDefault="00FB6710" w:rsidP="004062FE">
      <w:pPr>
        <w:spacing w:line="240" w:lineRule="auto"/>
        <w:rPr>
          <w:del w:id="8771" w:author="AbbVie_HU_04" w:date="2025-05-15T11:59:00Z"/>
          <w:szCs w:val="22"/>
        </w:rPr>
      </w:pPr>
    </w:p>
    <w:p w14:paraId="3F9B52DE" w14:textId="18B2ABB7" w:rsidR="00FB6710" w:rsidRPr="00183B5F" w:rsidRDefault="00943743" w:rsidP="004062FE">
      <w:pPr>
        <w:spacing w:line="240" w:lineRule="auto"/>
        <w:rPr>
          <w:del w:id="8772" w:author="AbbVie_HU_04" w:date="2025-05-15T11:59:00Z"/>
          <w:szCs w:val="22"/>
        </w:rPr>
      </w:pPr>
      <w:del w:id="8773" w:author="AbbVie_HU_04" w:date="2025-05-15T11:59:00Z">
        <w:r w:rsidRPr="00183B5F">
          <w:rPr>
            <w:szCs w:val="22"/>
          </w:rPr>
          <w:delText>Bőr alá történő beadásra</w:delText>
        </w:r>
        <w:r w:rsidR="00CE794D" w:rsidRPr="00183B5F">
          <w:rPr>
            <w:szCs w:val="22"/>
          </w:rPr>
          <w:delText>.</w:delText>
        </w:r>
      </w:del>
    </w:p>
    <w:p w14:paraId="44C6D3A8" w14:textId="19724361" w:rsidR="00091AC2" w:rsidRPr="00183B5F" w:rsidRDefault="00091AC2" w:rsidP="004062FE">
      <w:pPr>
        <w:spacing w:line="240" w:lineRule="auto"/>
        <w:rPr>
          <w:del w:id="8774" w:author="AbbVie_HU_04" w:date="2025-05-15T11:59:00Z"/>
          <w:szCs w:val="22"/>
        </w:rPr>
      </w:pPr>
    </w:p>
    <w:p w14:paraId="1AB2B90A" w14:textId="391D5A59" w:rsidR="00FB6710" w:rsidRPr="00183B5F" w:rsidRDefault="00943743" w:rsidP="004062FE">
      <w:pPr>
        <w:spacing w:line="240" w:lineRule="auto"/>
        <w:rPr>
          <w:del w:id="8775" w:author="AbbVie_HU_04" w:date="2025-05-15T11:59:00Z"/>
          <w:szCs w:val="22"/>
        </w:rPr>
      </w:pPr>
      <w:del w:id="8776" w:author="AbbVie_HU_04" w:date="2025-05-15T11:59:00Z">
        <w:r w:rsidRPr="00183B5F">
          <w:rPr>
            <w:szCs w:val="22"/>
          </w:rPr>
          <w:delText>Használat előtt olvassa el a mellékelt betegtájékoztatót</w:delText>
        </w:r>
        <w:r w:rsidR="00091AC2" w:rsidRPr="00183B5F">
          <w:rPr>
            <w:szCs w:val="22"/>
          </w:rPr>
          <w:delText>.</w:delText>
        </w:r>
      </w:del>
    </w:p>
    <w:p w14:paraId="5571626A" w14:textId="361FEA7D" w:rsidR="00DF0CD9" w:rsidRPr="00183B5F" w:rsidRDefault="00DF0CD9" w:rsidP="004062FE">
      <w:pPr>
        <w:spacing w:line="240" w:lineRule="auto"/>
        <w:rPr>
          <w:del w:id="8777" w:author="AbbVie_HU_04" w:date="2025-05-15T11:59:00Z"/>
          <w:szCs w:val="22"/>
        </w:rPr>
      </w:pPr>
    </w:p>
    <w:p w14:paraId="79D955AB" w14:textId="4A338749" w:rsidR="00DF0CD9" w:rsidRPr="00183B5F" w:rsidRDefault="00943743" w:rsidP="004062FE">
      <w:pPr>
        <w:spacing w:line="240" w:lineRule="auto"/>
        <w:rPr>
          <w:del w:id="8778" w:author="AbbVie_HU_04" w:date="2025-05-15T11:59:00Z"/>
          <w:szCs w:val="22"/>
        </w:rPr>
      </w:pPr>
      <w:del w:id="8779" w:author="AbbVie_HU_04" w:date="2025-05-15T11:59:00Z">
        <w:r w:rsidRPr="00183B5F">
          <w:rPr>
            <w:szCs w:val="22"/>
          </w:rPr>
          <w:delText>Kizárólag egyszeri alkalmazásra.</w:delText>
        </w:r>
      </w:del>
    </w:p>
    <w:p w14:paraId="21B8872C" w14:textId="35D9CCF8" w:rsidR="00DF0CD9" w:rsidRPr="00183B5F" w:rsidRDefault="00DF0CD9" w:rsidP="004062FE">
      <w:pPr>
        <w:spacing w:line="240" w:lineRule="auto"/>
        <w:rPr>
          <w:del w:id="8780" w:author="AbbVie_HU_04" w:date="2025-05-15T11:59:00Z"/>
          <w:szCs w:val="22"/>
        </w:rPr>
      </w:pPr>
    </w:p>
    <w:p w14:paraId="3F2654D0" w14:textId="2EEF7692" w:rsidR="00DF0CD9" w:rsidRPr="00183B5F" w:rsidRDefault="00943743" w:rsidP="004062FE">
      <w:pPr>
        <w:spacing w:line="240" w:lineRule="auto"/>
        <w:rPr>
          <w:del w:id="8781" w:author="AbbVie_HU_04" w:date="2025-05-15T11:59:00Z"/>
          <w:b/>
          <w:szCs w:val="22"/>
        </w:rPr>
      </w:pPr>
      <w:del w:id="8782" w:author="AbbVie_HU_04" w:date="2025-05-15T11:59:00Z">
        <w:r w:rsidRPr="00183B5F">
          <w:rPr>
            <w:szCs w:val="22"/>
          </w:rPr>
          <w:delText>Gyermekgyógyászati alkalmazásra.</w:delText>
        </w:r>
      </w:del>
    </w:p>
    <w:p w14:paraId="3C908162" w14:textId="33A4791C" w:rsidR="00FB6710" w:rsidRPr="00183B5F" w:rsidRDefault="00FB6710" w:rsidP="004062FE">
      <w:pPr>
        <w:spacing w:line="240" w:lineRule="auto"/>
        <w:rPr>
          <w:del w:id="8783" w:author="AbbVie_HU_04" w:date="2025-05-15T11:59:00Z"/>
          <w:szCs w:val="22"/>
        </w:rPr>
      </w:pPr>
    </w:p>
    <w:p w14:paraId="0EC073EE" w14:textId="47C6F83E" w:rsidR="00FB6710" w:rsidRPr="00183B5F" w:rsidRDefault="00FB6710" w:rsidP="004062FE">
      <w:pPr>
        <w:spacing w:line="240" w:lineRule="auto"/>
        <w:rPr>
          <w:del w:id="8784" w:author="AbbVie_HU_04" w:date="2025-05-15T11:59: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2357DCEB" w14:textId="2D91E8FA">
        <w:trPr>
          <w:jc w:val="center"/>
          <w:del w:id="8785" w:author="AbbVie_HU_04" w:date="2025-05-15T11:59:00Z"/>
        </w:trPr>
        <w:tc>
          <w:tcPr>
            <w:tcW w:w="9069" w:type="dxa"/>
            <w:tcBorders>
              <w:top w:val="single" w:sz="4" w:space="0" w:color="auto"/>
              <w:bottom w:val="single" w:sz="4" w:space="0" w:color="auto"/>
            </w:tcBorders>
          </w:tcPr>
          <w:p w14:paraId="082C3773" w14:textId="2D72F0F0" w:rsidR="00FB6710" w:rsidRPr="00183B5F" w:rsidRDefault="00943743" w:rsidP="004062FE">
            <w:pPr>
              <w:tabs>
                <w:tab w:val="left" w:pos="142"/>
              </w:tabs>
              <w:spacing w:line="240" w:lineRule="auto"/>
              <w:ind w:left="567" w:hanging="567"/>
              <w:rPr>
                <w:del w:id="8786" w:author="AbbVie_HU_04" w:date="2025-05-15T11:59:00Z"/>
                <w:b/>
                <w:szCs w:val="22"/>
              </w:rPr>
            </w:pPr>
            <w:del w:id="8787" w:author="AbbVie_HU_04" w:date="2025-05-15T11:59:00Z">
              <w:r w:rsidRPr="00183B5F">
                <w:rPr>
                  <w:b/>
                  <w:szCs w:val="22"/>
                </w:rPr>
                <w:delText>6.</w:delText>
              </w:r>
              <w:r w:rsidRPr="00183B5F">
                <w:rPr>
                  <w:b/>
                  <w:szCs w:val="22"/>
                </w:rPr>
                <w:tab/>
                <w:delText>KÜLÖN FIGYELMEZTETÉS, MELY SZERINT A GYÓGYSZERT GYERMEKEKTŐL ELZÁRVA KELL TARTANI</w:delText>
              </w:r>
            </w:del>
          </w:p>
        </w:tc>
      </w:tr>
    </w:tbl>
    <w:p w14:paraId="7CC2E84D" w14:textId="51A384BA" w:rsidR="00FB6710" w:rsidRPr="00183B5F" w:rsidRDefault="00FB6710" w:rsidP="004062FE">
      <w:pPr>
        <w:spacing w:line="240" w:lineRule="auto"/>
        <w:rPr>
          <w:del w:id="8788" w:author="AbbVie_HU_04" w:date="2025-05-15T11:59:00Z"/>
          <w:szCs w:val="22"/>
        </w:rPr>
      </w:pPr>
    </w:p>
    <w:p w14:paraId="5C56D65F" w14:textId="0FA2E8F8" w:rsidR="00FB6710" w:rsidRPr="00183B5F" w:rsidRDefault="00943743" w:rsidP="004062FE">
      <w:pPr>
        <w:spacing w:line="240" w:lineRule="auto"/>
        <w:rPr>
          <w:del w:id="8789" w:author="AbbVie_HU_04" w:date="2025-05-15T11:59:00Z"/>
          <w:szCs w:val="22"/>
        </w:rPr>
      </w:pPr>
      <w:del w:id="8790" w:author="AbbVie_HU_04" w:date="2025-05-15T11:59:00Z">
        <w:r w:rsidRPr="00183B5F">
          <w:rPr>
            <w:szCs w:val="22"/>
          </w:rPr>
          <w:delText>A gyógyszer gyermekektől elzárva tartandó</w:delText>
        </w:r>
        <w:r w:rsidR="00091AC2" w:rsidRPr="00183B5F">
          <w:rPr>
            <w:szCs w:val="22"/>
          </w:rPr>
          <w:delText>.</w:delText>
        </w:r>
      </w:del>
    </w:p>
    <w:p w14:paraId="0A6AD2DB" w14:textId="77D02784" w:rsidR="00FB6710" w:rsidRPr="00183B5F" w:rsidRDefault="00FB6710" w:rsidP="004062FE">
      <w:pPr>
        <w:spacing w:line="240" w:lineRule="auto"/>
        <w:rPr>
          <w:del w:id="8791" w:author="AbbVie_HU_04" w:date="2025-05-15T11:59:00Z"/>
          <w:szCs w:val="22"/>
        </w:rPr>
      </w:pPr>
    </w:p>
    <w:p w14:paraId="3F27D4F4" w14:textId="0788E05A" w:rsidR="00FB6710" w:rsidRPr="00183B5F" w:rsidRDefault="00FB6710" w:rsidP="004062FE">
      <w:pPr>
        <w:spacing w:line="240" w:lineRule="auto"/>
        <w:rPr>
          <w:del w:id="8792" w:author="AbbVie_HU_04" w:date="2025-05-15T11:59: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7C616D4D" w14:textId="07F6987E">
        <w:trPr>
          <w:jc w:val="center"/>
          <w:del w:id="8793" w:author="AbbVie_HU_04" w:date="2025-05-15T11:59:00Z"/>
        </w:trPr>
        <w:tc>
          <w:tcPr>
            <w:tcW w:w="9069" w:type="dxa"/>
            <w:tcBorders>
              <w:top w:val="single" w:sz="4" w:space="0" w:color="auto"/>
              <w:bottom w:val="single" w:sz="4" w:space="0" w:color="auto"/>
            </w:tcBorders>
          </w:tcPr>
          <w:p w14:paraId="762173B9" w14:textId="6FAE2CB9" w:rsidR="00FB6710" w:rsidRPr="00183B5F" w:rsidRDefault="00943743" w:rsidP="004062FE">
            <w:pPr>
              <w:tabs>
                <w:tab w:val="left" w:pos="142"/>
              </w:tabs>
              <w:spacing w:line="240" w:lineRule="auto"/>
              <w:ind w:left="567" w:hanging="567"/>
              <w:rPr>
                <w:del w:id="8794" w:author="AbbVie_HU_04" w:date="2025-05-15T11:59:00Z"/>
                <w:b/>
                <w:szCs w:val="22"/>
              </w:rPr>
            </w:pPr>
            <w:del w:id="8795" w:author="AbbVie_HU_04" w:date="2025-05-15T11:59:00Z">
              <w:r w:rsidRPr="00183B5F">
                <w:rPr>
                  <w:b/>
                  <w:szCs w:val="22"/>
                </w:rPr>
                <w:delText>7.</w:delText>
              </w:r>
              <w:r w:rsidRPr="00183B5F">
                <w:rPr>
                  <w:b/>
                  <w:szCs w:val="22"/>
                </w:rPr>
                <w:tab/>
              </w:r>
              <w:r w:rsidRPr="00183B5F">
                <w:rPr>
                  <w:b/>
                  <w:szCs w:val="22"/>
                </w:rPr>
                <w:delText>TOVÁBBI FIGYELMEZTETÉS(EK), AMENNYIBEN SZÜKSÉGES</w:delText>
              </w:r>
            </w:del>
          </w:p>
        </w:tc>
      </w:tr>
    </w:tbl>
    <w:p w14:paraId="40AB0ECB" w14:textId="1A44C0D0" w:rsidR="00FB6710" w:rsidRPr="00183B5F" w:rsidRDefault="00FB6710" w:rsidP="004062FE">
      <w:pPr>
        <w:spacing w:line="240" w:lineRule="auto"/>
        <w:rPr>
          <w:del w:id="8796" w:author="AbbVie_HU_04" w:date="2025-05-15T11:59:00Z"/>
          <w:szCs w:val="22"/>
        </w:rPr>
      </w:pPr>
    </w:p>
    <w:p w14:paraId="7D636A45" w14:textId="5AA5B763" w:rsidR="00FB6710" w:rsidRPr="00183B5F" w:rsidRDefault="00FB6710" w:rsidP="004062FE">
      <w:pPr>
        <w:spacing w:line="240" w:lineRule="auto"/>
        <w:rPr>
          <w:del w:id="8797" w:author="AbbVie_HU_04" w:date="2025-05-15T11:59: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5448465E" w14:textId="3CC8F8B2">
        <w:trPr>
          <w:jc w:val="center"/>
          <w:del w:id="8798" w:author="AbbVie_HU_04" w:date="2025-05-15T11:59:00Z"/>
        </w:trPr>
        <w:tc>
          <w:tcPr>
            <w:tcW w:w="9069" w:type="dxa"/>
            <w:tcBorders>
              <w:top w:val="single" w:sz="4" w:space="0" w:color="auto"/>
              <w:bottom w:val="single" w:sz="4" w:space="0" w:color="auto"/>
            </w:tcBorders>
          </w:tcPr>
          <w:p w14:paraId="69F0C1D0" w14:textId="22233C31" w:rsidR="00FB6710" w:rsidRPr="00183B5F" w:rsidRDefault="00943743" w:rsidP="00C45AF1">
            <w:pPr>
              <w:keepNext/>
              <w:tabs>
                <w:tab w:val="left" w:pos="142"/>
              </w:tabs>
              <w:spacing w:line="240" w:lineRule="auto"/>
              <w:ind w:left="567" w:hanging="567"/>
              <w:rPr>
                <w:del w:id="8799" w:author="AbbVie_HU_04" w:date="2025-05-15T11:59:00Z"/>
                <w:b/>
                <w:szCs w:val="22"/>
              </w:rPr>
            </w:pPr>
            <w:del w:id="8800" w:author="AbbVie_HU_04" w:date="2025-05-15T11:59:00Z">
              <w:r w:rsidRPr="00183B5F">
                <w:rPr>
                  <w:b/>
                  <w:szCs w:val="22"/>
                </w:rPr>
                <w:delText>8.</w:delText>
              </w:r>
              <w:r w:rsidRPr="00183B5F">
                <w:rPr>
                  <w:b/>
                  <w:szCs w:val="22"/>
                </w:rPr>
                <w:tab/>
                <w:delText>LEJÁRATI IDŐ</w:delText>
              </w:r>
            </w:del>
          </w:p>
        </w:tc>
      </w:tr>
    </w:tbl>
    <w:p w14:paraId="73C05D03" w14:textId="04F996CA" w:rsidR="00FB6710" w:rsidRPr="00183B5F" w:rsidRDefault="00FB6710" w:rsidP="00C45AF1">
      <w:pPr>
        <w:keepNext/>
        <w:spacing w:line="240" w:lineRule="auto"/>
        <w:rPr>
          <w:del w:id="8801" w:author="AbbVie_HU_04" w:date="2025-05-15T11:59:00Z"/>
          <w:szCs w:val="22"/>
        </w:rPr>
      </w:pPr>
    </w:p>
    <w:p w14:paraId="35BD2644" w14:textId="70C1A26B" w:rsidR="00FB6710" w:rsidRPr="00183B5F" w:rsidRDefault="00943743" w:rsidP="00C45AF1">
      <w:pPr>
        <w:pStyle w:val="EndnoteText"/>
        <w:keepNext/>
        <w:tabs>
          <w:tab w:val="clear" w:pos="567"/>
        </w:tabs>
        <w:suppressAutoHyphens/>
        <w:rPr>
          <w:del w:id="8802" w:author="AbbVie_HU_04" w:date="2025-05-15T11:59:00Z"/>
          <w:sz w:val="22"/>
          <w:szCs w:val="22"/>
          <w:lang w:val="hu-HU" w:eastAsia="hu-HU"/>
        </w:rPr>
      </w:pPr>
      <w:del w:id="8803" w:author="AbbVie_HU_04" w:date="2025-05-15T11:59:00Z">
        <w:r w:rsidRPr="00183B5F">
          <w:rPr>
            <w:sz w:val="22"/>
            <w:szCs w:val="22"/>
            <w:lang w:val="hu-HU" w:eastAsia="hu-HU"/>
          </w:rPr>
          <w:delText>EXP</w:delText>
        </w:r>
      </w:del>
    </w:p>
    <w:p w14:paraId="3471C104" w14:textId="4F80D762" w:rsidR="005B29C2" w:rsidRPr="00183B5F" w:rsidRDefault="005B29C2" w:rsidP="004062FE">
      <w:pPr>
        <w:spacing w:line="240" w:lineRule="auto"/>
        <w:rPr>
          <w:del w:id="8804" w:author="AbbVie_HU_04" w:date="2025-05-15T11:59:00Z"/>
        </w:rPr>
      </w:pPr>
    </w:p>
    <w:p w14:paraId="0B0686C8" w14:textId="1CD3B5D4" w:rsidR="005B29C2" w:rsidRPr="00183B5F" w:rsidRDefault="005B29C2" w:rsidP="004062FE">
      <w:pPr>
        <w:spacing w:line="240" w:lineRule="auto"/>
        <w:rPr>
          <w:del w:id="8805" w:author="AbbVie_HU_04" w:date="2025-05-15T11:59:00Z"/>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4089AEA6" w14:textId="111368DA">
        <w:trPr>
          <w:jc w:val="center"/>
          <w:del w:id="8806" w:author="AbbVie_HU_04" w:date="2025-05-15T11:59:00Z"/>
        </w:trPr>
        <w:tc>
          <w:tcPr>
            <w:tcW w:w="9069" w:type="dxa"/>
            <w:tcBorders>
              <w:top w:val="single" w:sz="4" w:space="0" w:color="auto"/>
              <w:bottom w:val="single" w:sz="4" w:space="0" w:color="auto"/>
            </w:tcBorders>
          </w:tcPr>
          <w:p w14:paraId="146D4F58" w14:textId="0D870D3C" w:rsidR="00FB6710" w:rsidRPr="00183B5F" w:rsidRDefault="00943743" w:rsidP="004062FE">
            <w:pPr>
              <w:tabs>
                <w:tab w:val="left" w:pos="0"/>
              </w:tabs>
              <w:spacing w:line="240" w:lineRule="auto"/>
              <w:ind w:left="567" w:hanging="567"/>
              <w:rPr>
                <w:del w:id="8807" w:author="AbbVie_HU_04" w:date="2025-05-15T11:59:00Z"/>
                <w:b/>
                <w:szCs w:val="22"/>
              </w:rPr>
            </w:pPr>
            <w:del w:id="8808" w:author="AbbVie_HU_04" w:date="2025-05-15T11:59:00Z">
              <w:r w:rsidRPr="00183B5F">
                <w:rPr>
                  <w:b/>
                  <w:szCs w:val="22"/>
                </w:rPr>
                <w:delText>9.</w:delText>
              </w:r>
              <w:r w:rsidRPr="00183B5F">
                <w:rPr>
                  <w:b/>
                  <w:szCs w:val="22"/>
                </w:rPr>
                <w:tab/>
                <w:delText>KÜLÖNLEGES TÁROLÁSI ELŐÍRÁSOK</w:delText>
              </w:r>
            </w:del>
          </w:p>
        </w:tc>
      </w:tr>
    </w:tbl>
    <w:p w14:paraId="7CFDDB4F" w14:textId="30AA3F10" w:rsidR="00FB6710" w:rsidRPr="00183B5F" w:rsidRDefault="00FB6710" w:rsidP="004062FE">
      <w:pPr>
        <w:spacing w:line="240" w:lineRule="auto"/>
        <w:rPr>
          <w:del w:id="8809" w:author="AbbVie_HU_04" w:date="2025-05-15T11:59:00Z"/>
          <w:szCs w:val="22"/>
        </w:rPr>
      </w:pPr>
    </w:p>
    <w:p w14:paraId="31D37111" w14:textId="6C42CC05" w:rsidR="00FB6710" w:rsidRPr="00183B5F" w:rsidRDefault="00943743" w:rsidP="004062FE">
      <w:pPr>
        <w:spacing w:line="240" w:lineRule="auto"/>
        <w:rPr>
          <w:del w:id="8810" w:author="AbbVie_HU_04" w:date="2025-05-15T11:59:00Z"/>
          <w:szCs w:val="22"/>
        </w:rPr>
      </w:pPr>
      <w:del w:id="8811" w:author="AbbVie_HU_04" w:date="2025-05-15T11:59:00Z">
        <w:r w:rsidRPr="00183B5F">
          <w:rPr>
            <w:szCs w:val="22"/>
          </w:rPr>
          <w:delText>Hűtőszekrényben</w:delText>
        </w:r>
        <w:r w:rsidR="00A85634" w:rsidRPr="00183B5F">
          <w:rPr>
            <w:szCs w:val="22"/>
          </w:rPr>
          <w:delText xml:space="preserve"> </w:delText>
        </w:r>
        <w:r w:rsidRPr="00183B5F">
          <w:rPr>
            <w:szCs w:val="22"/>
          </w:rPr>
          <w:delText>tárolandó</w:delText>
        </w:r>
        <w:r w:rsidR="00C00FDB" w:rsidRPr="00183B5F">
          <w:rPr>
            <w:szCs w:val="22"/>
          </w:rPr>
          <w:delText>.</w:delText>
        </w:r>
        <w:r w:rsidRPr="00183B5F">
          <w:rPr>
            <w:szCs w:val="22"/>
          </w:rPr>
          <w:delText xml:space="preserve"> Nem fagyasztható</w:delText>
        </w:r>
        <w:r w:rsidR="006B2BB7" w:rsidRPr="00183B5F">
          <w:rPr>
            <w:szCs w:val="22"/>
          </w:rPr>
          <w:delText>!</w:delText>
        </w:r>
      </w:del>
    </w:p>
    <w:p w14:paraId="17A56D53" w14:textId="25666B13" w:rsidR="00FB6710" w:rsidRPr="00183B5F" w:rsidRDefault="00943743" w:rsidP="004062FE">
      <w:pPr>
        <w:spacing w:line="240" w:lineRule="auto"/>
        <w:rPr>
          <w:del w:id="8812" w:author="AbbVie_HU_04" w:date="2025-05-15T11:59:00Z"/>
          <w:szCs w:val="22"/>
        </w:rPr>
      </w:pPr>
      <w:del w:id="8813" w:author="AbbVie_HU_04" w:date="2025-05-15T11:59:00Z">
        <w:r w:rsidRPr="00183B5F">
          <w:rPr>
            <w:szCs w:val="22"/>
          </w:rPr>
          <w:delText>A fénytől való védelem érdekében az injekciós üveg a</w:delText>
        </w:r>
        <w:r w:rsidR="00270A86" w:rsidRPr="00183B5F">
          <w:rPr>
            <w:szCs w:val="22"/>
          </w:rPr>
          <w:delText>z eredeti dobozban</w:delText>
        </w:r>
        <w:r w:rsidRPr="00183B5F">
          <w:rPr>
            <w:szCs w:val="22"/>
          </w:rPr>
          <w:delText xml:space="preserve"> </w:delText>
        </w:r>
        <w:r w:rsidR="00270A86" w:rsidRPr="00183B5F">
          <w:rPr>
            <w:szCs w:val="22"/>
          </w:rPr>
          <w:delText>tárolandó</w:delText>
        </w:r>
        <w:r w:rsidRPr="00183B5F">
          <w:rPr>
            <w:szCs w:val="22"/>
          </w:rPr>
          <w:delText>.</w:delText>
        </w:r>
      </w:del>
    </w:p>
    <w:p w14:paraId="405FBBF4" w14:textId="6526848D" w:rsidR="004A03D9" w:rsidRPr="00183B5F" w:rsidRDefault="004A03D9" w:rsidP="004062FE">
      <w:pPr>
        <w:spacing w:line="240" w:lineRule="auto"/>
        <w:rPr>
          <w:del w:id="8814" w:author="AbbVie_HU_04" w:date="2025-05-15T11:59:00Z"/>
          <w:szCs w:val="22"/>
        </w:rPr>
      </w:pPr>
    </w:p>
    <w:p w14:paraId="33BA5F53" w14:textId="11B80E76" w:rsidR="00D5292E" w:rsidRPr="00183B5F" w:rsidRDefault="00D5292E" w:rsidP="004062FE">
      <w:pPr>
        <w:spacing w:line="240" w:lineRule="auto"/>
        <w:rPr>
          <w:del w:id="8815" w:author="AbbVie_HU_04" w:date="2025-05-15T11:59: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4A6DE0EB" w14:textId="11A0ABE0">
        <w:trPr>
          <w:jc w:val="center"/>
          <w:del w:id="8816" w:author="AbbVie_HU_04" w:date="2025-05-15T11:59:00Z"/>
        </w:trPr>
        <w:tc>
          <w:tcPr>
            <w:tcW w:w="9069" w:type="dxa"/>
            <w:tcBorders>
              <w:top w:val="single" w:sz="4" w:space="0" w:color="auto"/>
              <w:bottom w:val="single" w:sz="4" w:space="0" w:color="auto"/>
            </w:tcBorders>
          </w:tcPr>
          <w:p w14:paraId="0FE7CB45" w14:textId="34ED60A0" w:rsidR="00FB6710" w:rsidRPr="00183B5F" w:rsidRDefault="00943743" w:rsidP="004062FE">
            <w:pPr>
              <w:tabs>
                <w:tab w:val="left" w:pos="142"/>
              </w:tabs>
              <w:spacing w:line="240" w:lineRule="auto"/>
              <w:ind w:left="567" w:hanging="567"/>
              <w:rPr>
                <w:del w:id="8817" w:author="AbbVie_HU_04" w:date="2025-05-15T11:59:00Z"/>
                <w:b/>
                <w:szCs w:val="22"/>
              </w:rPr>
            </w:pPr>
            <w:del w:id="8818" w:author="AbbVie_HU_04" w:date="2025-05-15T11:59:00Z">
              <w:r w:rsidRPr="00183B5F">
                <w:rPr>
                  <w:b/>
                  <w:szCs w:val="22"/>
                </w:rPr>
                <w:delText>10.</w:delText>
              </w:r>
              <w:r w:rsidRPr="00183B5F">
                <w:rPr>
                  <w:b/>
                  <w:szCs w:val="22"/>
                </w:rPr>
                <w:tab/>
              </w:r>
              <w:r w:rsidRPr="00183B5F">
                <w:rPr>
                  <w:b/>
                  <w:szCs w:val="22"/>
                </w:rPr>
                <w:delText>KÜLÖNLEGES ÓVINTÉZKEDÉSEK A FEL NEM HASZNÁLT GYÓGYSZEREK VAGY AZ ILYEN TERMÉKEKBŐL KELETKEZETT HULLADÉKANYAGOK ÁRTALMATLANNÁ TÉTELÉRE, HA ILYENEKRE SZÜKSÉG VAN</w:delText>
              </w:r>
            </w:del>
          </w:p>
        </w:tc>
      </w:tr>
    </w:tbl>
    <w:p w14:paraId="745A82D1" w14:textId="5BEE6A5E" w:rsidR="00FB6710" w:rsidRPr="00183B5F" w:rsidRDefault="00FB6710" w:rsidP="004062FE">
      <w:pPr>
        <w:spacing w:line="240" w:lineRule="auto"/>
        <w:rPr>
          <w:del w:id="8819" w:author="AbbVie_HU_04" w:date="2025-05-15T11:59:00Z"/>
          <w:szCs w:val="22"/>
        </w:rPr>
      </w:pPr>
    </w:p>
    <w:p w14:paraId="4F5977E6" w14:textId="6473889D" w:rsidR="00FB6710" w:rsidRPr="00183B5F" w:rsidRDefault="00FB6710" w:rsidP="004062FE">
      <w:pPr>
        <w:spacing w:line="240" w:lineRule="auto"/>
        <w:rPr>
          <w:del w:id="8820" w:author="AbbVie_HU_04" w:date="2025-05-15T11:59: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22F6212D" w14:textId="5D4F3AAF">
        <w:trPr>
          <w:jc w:val="center"/>
          <w:del w:id="8821" w:author="AbbVie_HU_04" w:date="2025-05-15T11:59:00Z"/>
        </w:trPr>
        <w:tc>
          <w:tcPr>
            <w:tcW w:w="9069" w:type="dxa"/>
            <w:tcBorders>
              <w:top w:val="single" w:sz="4" w:space="0" w:color="auto"/>
              <w:bottom w:val="single" w:sz="4" w:space="0" w:color="auto"/>
            </w:tcBorders>
          </w:tcPr>
          <w:p w14:paraId="365982A7" w14:textId="3109BAC7" w:rsidR="00FB6710" w:rsidRPr="00183B5F" w:rsidRDefault="00943743" w:rsidP="004062FE">
            <w:pPr>
              <w:tabs>
                <w:tab w:val="left" w:pos="142"/>
              </w:tabs>
              <w:spacing w:line="240" w:lineRule="auto"/>
              <w:ind w:left="567" w:hanging="567"/>
              <w:rPr>
                <w:del w:id="8822" w:author="AbbVie_HU_04" w:date="2025-05-15T11:59:00Z"/>
                <w:b/>
                <w:szCs w:val="22"/>
              </w:rPr>
            </w:pPr>
            <w:del w:id="8823" w:author="AbbVie_HU_04" w:date="2025-05-15T11:59:00Z">
              <w:r w:rsidRPr="00183B5F">
                <w:rPr>
                  <w:b/>
                  <w:szCs w:val="22"/>
                </w:rPr>
                <w:delText>11.</w:delText>
              </w:r>
              <w:r w:rsidRPr="00183B5F">
                <w:rPr>
                  <w:b/>
                  <w:szCs w:val="22"/>
                </w:rPr>
                <w:tab/>
              </w:r>
              <w:r w:rsidRPr="00183B5F">
                <w:rPr>
                  <w:b/>
                  <w:szCs w:val="22"/>
                </w:rPr>
                <w:delText>A FORGALOMBA HOZATALI ENGEDÉLY JOGOSULTJÁNAK NEVE ÉS CÍME</w:delText>
              </w:r>
            </w:del>
          </w:p>
        </w:tc>
      </w:tr>
    </w:tbl>
    <w:p w14:paraId="57639363" w14:textId="438B35F9" w:rsidR="00FB6710" w:rsidRPr="00183B5F" w:rsidRDefault="00FB6710" w:rsidP="004062FE">
      <w:pPr>
        <w:spacing w:line="240" w:lineRule="auto"/>
        <w:rPr>
          <w:del w:id="8824" w:author="AbbVie_HU_04" w:date="2025-05-15T11:59:00Z"/>
          <w:szCs w:val="22"/>
        </w:rPr>
      </w:pPr>
    </w:p>
    <w:p w14:paraId="221A2737" w14:textId="479398F0" w:rsidR="00CE3F71" w:rsidRPr="00183B5F" w:rsidRDefault="00943743" w:rsidP="00CE3F71">
      <w:pPr>
        <w:keepNext/>
        <w:suppressAutoHyphens w:val="0"/>
        <w:autoSpaceDE w:val="0"/>
        <w:autoSpaceDN w:val="0"/>
        <w:adjustRightInd w:val="0"/>
        <w:spacing w:line="240" w:lineRule="atLeast"/>
        <w:rPr>
          <w:del w:id="8825" w:author="AbbVie_HU_04" w:date="2025-05-15T11:59:00Z"/>
          <w:szCs w:val="22"/>
          <w:lang w:eastAsia="en-GB"/>
        </w:rPr>
      </w:pPr>
      <w:del w:id="8826" w:author="AbbVie_HU_04" w:date="2025-05-15T11:59:00Z">
        <w:r w:rsidRPr="00183B5F">
          <w:rPr>
            <w:szCs w:val="22"/>
            <w:lang w:eastAsia="en-GB"/>
          </w:rPr>
          <w:delText>AbbVie Deutschland GmbH &amp; Co. KG</w:delText>
        </w:r>
      </w:del>
    </w:p>
    <w:p w14:paraId="605F322F" w14:textId="4C156CC9" w:rsidR="00CE3F71" w:rsidRPr="00183B5F" w:rsidRDefault="00943743" w:rsidP="00CE3F71">
      <w:pPr>
        <w:keepNext/>
        <w:suppressAutoHyphens w:val="0"/>
        <w:autoSpaceDE w:val="0"/>
        <w:autoSpaceDN w:val="0"/>
        <w:adjustRightInd w:val="0"/>
        <w:spacing w:line="240" w:lineRule="atLeast"/>
        <w:rPr>
          <w:del w:id="8827" w:author="AbbVie_HU_04" w:date="2025-05-15T11:59:00Z"/>
          <w:szCs w:val="22"/>
          <w:lang w:eastAsia="en-GB"/>
        </w:rPr>
      </w:pPr>
      <w:del w:id="8828" w:author="AbbVie_HU_04" w:date="2025-05-15T11:59:00Z">
        <w:r w:rsidRPr="00183B5F">
          <w:rPr>
            <w:szCs w:val="22"/>
            <w:lang w:eastAsia="en-GB"/>
          </w:rPr>
          <w:delText>Knollstrasse</w:delText>
        </w:r>
      </w:del>
    </w:p>
    <w:p w14:paraId="3F1520AC" w14:textId="7BCBB1BB" w:rsidR="00CE3F71" w:rsidRPr="00183B5F" w:rsidRDefault="00943743" w:rsidP="00CE3F71">
      <w:pPr>
        <w:keepNext/>
        <w:suppressAutoHyphens w:val="0"/>
        <w:autoSpaceDE w:val="0"/>
        <w:autoSpaceDN w:val="0"/>
        <w:adjustRightInd w:val="0"/>
        <w:spacing w:line="240" w:lineRule="atLeast"/>
        <w:rPr>
          <w:del w:id="8829" w:author="AbbVie_HU_04" w:date="2025-05-15T11:59:00Z"/>
          <w:szCs w:val="22"/>
          <w:lang w:eastAsia="en-GB"/>
        </w:rPr>
      </w:pPr>
      <w:del w:id="8830" w:author="AbbVie_HU_04" w:date="2025-05-15T11:59:00Z">
        <w:r w:rsidRPr="00183B5F">
          <w:rPr>
            <w:szCs w:val="22"/>
            <w:lang w:eastAsia="en-GB"/>
          </w:rPr>
          <w:delText>67061 Ludwigshafen</w:delText>
        </w:r>
      </w:del>
    </w:p>
    <w:p w14:paraId="28933A08" w14:textId="3030DD3A" w:rsidR="00CE3F71" w:rsidRPr="00183B5F" w:rsidRDefault="00943743" w:rsidP="00CE3F71">
      <w:pPr>
        <w:keepNext/>
        <w:suppressAutoHyphens w:val="0"/>
        <w:autoSpaceDE w:val="0"/>
        <w:autoSpaceDN w:val="0"/>
        <w:adjustRightInd w:val="0"/>
        <w:spacing w:line="240" w:lineRule="atLeast"/>
        <w:rPr>
          <w:del w:id="8831" w:author="AbbVie_HU_04" w:date="2025-05-15T11:59:00Z"/>
          <w:szCs w:val="22"/>
          <w:lang w:eastAsia="en-GB"/>
        </w:rPr>
      </w:pPr>
      <w:del w:id="8832" w:author="AbbVie_HU_04" w:date="2025-05-15T11:59:00Z">
        <w:r w:rsidRPr="00183B5F">
          <w:rPr>
            <w:szCs w:val="22"/>
            <w:lang w:eastAsia="en-GB"/>
          </w:rPr>
          <w:delText xml:space="preserve">Németország </w:delText>
        </w:r>
      </w:del>
    </w:p>
    <w:p w14:paraId="33260CB0" w14:textId="5DA3C226" w:rsidR="00FB6710" w:rsidRPr="00183B5F" w:rsidRDefault="00FB6710" w:rsidP="004062FE">
      <w:pPr>
        <w:spacing w:line="240" w:lineRule="auto"/>
        <w:rPr>
          <w:del w:id="8833" w:author="AbbVie_HU_04" w:date="2025-05-15T11:59:00Z"/>
          <w:szCs w:val="22"/>
        </w:rPr>
      </w:pPr>
    </w:p>
    <w:p w14:paraId="55C1963A" w14:textId="6E5C21F7" w:rsidR="00FB6710" w:rsidRPr="00183B5F" w:rsidRDefault="00FB6710" w:rsidP="004062FE">
      <w:pPr>
        <w:spacing w:line="240" w:lineRule="auto"/>
        <w:rPr>
          <w:del w:id="8834" w:author="AbbVie_HU_04" w:date="2025-05-15T11:59: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4E868C77" w14:textId="240FAC78">
        <w:trPr>
          <w:jc w:val="center"/>
          <w:del w:id="8835" w:author="AbbVie_HU_04" w:date="2025-05-15T11:59:00Z"/>
        </w:trPr>
        <w:tc>
          <w:tcPr>
            <w:tcW w:w="9069" w:type="dxa"/>
            <w:tcBorders>
              <w:top w:val="single" w:sz="4" w:space="0" w:color="auto"/>
              <w:bottom w:val="single" w:sz="4" w:space="0" w:color="auto"/>
            </w:tcBorders>
          </w:tcPr>
          <w:p w14:paraId="7EAD042F" w14:textId="2F532719" w:rsidR="00FB6710" w:rsidRPr="00183B5F" w:rsidRDefault="00943743" w:rsidP="004062FE">
            <w:pPr>
              <w:tabs>
                <w:tab w:val="left" w:pos="142"/>
              </w:tabs>
              <w:spacing w:line="240" w:lineRule="auto"/>
              <w:ind w:left="567" w:hanging="567"/>
              <w:rPr>
                <w:del w:id="8836" w:author="AbbVie_HU_04" w:date="2025-05-15T11:59:00Z"/>
                <w:b/>
                <w:szCs w:val="22"/>
              </w:rPr>
            </w:pPr>
            <w:del w:id="8837" w:author="AbbVie_HU_04" w:date="2025-05-15T11:59:00Z">
              <w:r w:rsidRPr="00183B5F">
                <w:rPr>
                  <w:b/>
                  <w:szCs w:val="22"/>
                </w:rPr>
                <w:delText>12.</w:delText>
              </w:r>
              <w:r w:rsidRPr="00183B5F">
                <w:rPr>
                  <w:b/>
                  <w:szCs w:val="22"/>
                </w:rPr>
                <w:tab/>
                <w:delText>A FORGALOMBA HOZATALI ENGEDÉLY SZÁMA(I)</w:delText>
              </w:r>
            </w:del>
          </w:p>
        </w:tc>
      </w:tr>
    </w:tbl>
    <w:p w14:paraId="1AC781C8" w14:textId="08584EE4" w:rsidR="00FB6710" w:rsidRPr="00183B5F" w:rsidRDefault="00FB6710" w:rsidP="004062FE">
      <w:pPr>
        <w:spacing w:line="240" w:lineRule="auto"/>
        <w:rPr>
          <w:del w:id="8838" w:author="AbbVie_HU_04" w:date="2025-05-15T11:59:00Z"/>
          <w:szCs w:val="22"/>
        </w:rPr>
      </w:pPr>
    </w:p>
    <w:p w14:paraId="72CA933F" w14:textId="5EC25FBE" w:rsidR="00FB6710" w:rsidRPr="00183B5F" w:rsidRDefault="00943743" w:rsidP="004062FE">
      <w:pPr>
        <w:spacing w:line="240" w:lineRule="auto"/>
        <w:rPr>
          <w:del w:id="8839" w:author="AbbVie_HU_04" w:date="2025-05-15T11:59:00Z"/>
          <w:szCs w:val="22"/>
        </w:rPr>
      </w:pPr>
      <w:del w:id="8840" w:author="AbbVie_HU_04" w:date="2025-05-15T11:59:00Z">
        <w:r w:rsidRPr="00183B5F">
          <w:rPr>
            <w:szCs w:val="22"/>
          </w:rPr>
          <w:delText>EU/1/03/256/001</w:delText>
        </w:r>
      </w:del>
    </w:p>
    <w:p w14:paraId="607FBD90" w14:textId="61DFE3DF" w:rsidR="00FB6710" w:rsidRPr="00183B5F" w:rsidRDefault="00FB6710" w:rsidP="004062FE">
      <w:pPr>
        <w:spacing w:line="240" w:lineRule="auto"/>
        <w:rPr>
          <w:del w:id="8841" w:author="AbbVie_HU_04" w:date="2025-05-15T11:59:00Z"/>
          <w:szCs w:val="22"/>
        </w:rPr>
      </w:pPr>
    </w:p>
    <w:p w14:paraId="1F9829E3" w14:textId="6535D8C5" w:rsidR="00FB6710" w:rsidRPr="00183B5F" w:rsidRDefault="00FB6710" w:rsidP="004062FE">
      <w:pPr>
        <w:spacing w:line="240" w:lineRule="auto"/>
        <w:rPr>
          <w:del w:id="8842" w:author="AbbVie_HU_04" w:date="2025-05-15T11:59: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2732EE2A" w14:textId="50BB2520">
        <w:trPr>
          <w:jc w:val="center"/>
          <w:del w:id="8843" w:author="AbbVie_HU_04" w:date="2025-05-15T11:59:00Z"/>
        </w:trPr>
        <w:tc>
          <w:tcPr>
            <w:tcW w:w="9069" w:type="dxa"/>
            <w:tcBorders>
              <w:top w:val="single" w:sz="4" w:space="0" w:color="auto"/>
              <w:bottom w:val="single" w:sz="4" w:space="0" w:color="auto"/>
            </w:tcBorders>
          </w:tcPr>
          <w:p w14:paraId="2B8BA483" w14:textId="2886A6D6" w:rsidR="00FB6710" w:rsidRPr="00183B5F" w:rsidRDefault="00943743" w:rsidP="004062FE">
            <w:pPr>
              <w:tabs>
                <w:tab w:val="left" w:pos="142"/>
              </w:tabs>
              <w:spacing w:line="240" w:lineRule="auto"/>
              <w:ind w:left="567" w:hanging="567"/>
              <w:rPr>
                <w:del w:id="8844" w:author="AbbVie_HU_04" w:date="2025-05-15T11:59:00Z"/>
                <w:b/>
                <w:szCs w:val="22"/>
              </w:rPr>
            </w:pPr>
            <w:del w:id="8845" w:author="AbbVie_HU_04" w:date="2025-05-15T11:59:00Z">
              <w:r w:rsidRPr="00183B5F">
                <w:rPr>
                  <w:b/>
                  <w:szCs w:val="22"/>
                </w:rPr>
                <w:delText>13.</w:delText>
              </w:r>
              <w:r w:rsidRPr="00183B5F">
                <w:rPr>
                  <w:b/>
                  <w:szCs w:val="22"/>
                </w:rPr>
                <w:tab/>
                <w:delText>A GYÁRTÁSI TÉTEL SZÁMA</w:delText>
              </w:r>
            </w:del>
          </w:p>
        </w:tc>
      </w:tr>
    </w:tbl>
    <w:p w14:paraId="67E77A0D" w14:textId="368C1E1C" w:rsidR="00FB6710" w:rsidRPr="00183B5F" w:rsidRDefault="00FB6710" w:rsidP="004062FE">
      <w:pPr>
        <w:spacing w:line="240" w:lineRule="auto"/>
        <w:rPr>
          <w:del w:id="8846" w:author="AbbVie_HU_04" w:date="2025-05-15T11:59:00Z"/>
          <w:szCs w:val="22"/>
        </w:rPr>
      </w:pPr>
    </w:p>
    <w:p w14:paraId="364238CA" w14:textId="1C3F3C28" w:rsidR="00FB6710" w:rsidRPr="00183B5F" w:rsidRDefault="00943743" w:rsidP="004062FE">
      <w:pPr>
        <w:spacing w:line="240" w:lineRule="auto"/>
        <w:rPr>
          <w:del w:id="8847" w:author="AbbVie_HU_04" w:date="2025-05-15T11:59:00Z"/>
          <w:szCs w:val="22"/>
        </w:rPr>
      </w:pPr>
      <w:del w:id="8848" w:author="AbbVie_HU_04" w:date="2025-05-15T11:59:00Z">
        <w:r w:rsidRPr="00183B5F">
          <w:rPr>
            <w:szCs w:val="22"/>
          </w:rPr>
          <w:delText>Lot</w:delText>
        </w:r>
      </w:del>
    </w:p>
    <w:p w14:paraId="25895EB9" w14:textId="40F3989B" w:rsidR="00FB6710" w:rsidRPr="00183B5F" w:rsidRDefault="00FB6710" w:rsidP="004062FE">
      <w:pPr>
        <w:spacing w:line="240" w:lineRule="auto"/>
        <w:rPr>
          <w:del w:id="8849" w:author="AbbVie_HU_04" w:date="2025-05-15T11:59:00Z"/>
          <w:szCs w:val="22"/>
        </w:rPr>
      </w:pPr>
    </w:p>
    <w:p w14:paraId="2203A1AC" w14:textId="5C32567C" w:rsidR="00FB6710" w:rsidRPr="00183B5F" w:rsidRDefault="00FB6710" w:rsidP="004062FE">
      <w:pPr>
        <w:spacing w:line="240" w:lineRule="auto"/>
        <w:rPr>
          <w:del w:id="8850" w:author="AbbVie_HU_04" w:date="2025-05-15T11:59: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3081A569" w14:textId="16CC6D47">
        <w:trPr>
          <w:jc w:val="center"/>
          <w:del w:id="8851" w:author="AbbVie_HU_04" w:date="2025-05-15T11:59:00Z"/>
        </w:trPr>
        <w:tc>
          <w:tcPr>
            <w:tcW w:w="9069" w:type="dxa"/>
            <w:tcBorders>
              <w:top w:val="single" w:sz="4" w:space="0" w:color="auto"/>
              <w:bottom w:val="single" w:sz="4" w:space="0" w:color="auto"/>
            </w:tcBorders>
          </w:tcPr>
          <w:p w14:paraId="005DFB63" w14:textId="5C7BDCA4" w:rsidR="00FB6710" w:rsidRPr="00183B5F" w:rsidRDefault="00943743" w:rsidP="004062FE">
            <w:pPr>
              <w:tabs>
                <w:tab w:val="left" w:pos="142"/>
              </w:tabs>
              <w:spacing w:line="240" w:lineRule="auto"/>
              <w:ind w:left="567" w:hanging="567"/>
              <w:rPr>
                <w:del w:id="8852" w:author="AbbVie_HU_04" w:date="2025-05-15T11:59:00Z"/>
                <w:b/>
                <w:szCs w:val="22"/>
              </w:rPr>
            </w:pPr>
            <w:del w:id="8853" w:author="AbbVie_HU_04" w:date="2025-05-15T11:59:00Z">
              <w:r w:rsidRPr="00183B5F">
                <w:rPr>
                  <w:b/>
                  <w:szCs w:val="22"/>
                </w:rPr>
                <w:delText>14.</w:delText>
              </w:r>
              <w:r w:rsidRPr="00183B5F">
                <w:rPr>
                  <w:b/>
                  <w:szCs w:val="22"/>
                </w:rPr>
                <w:tab/>
              </w:r>
              <w:r w:rsidR="003507D7" w:rsidRPr="00183B5F">
                <w:rPr>
                  <w:b/>
                  <w:szCs w:val="22"/>
                </w:rPr>
                <w:delText>A GYÓGYSZER RENDELHETŐSÉGE</w:delText>
              </w:r>
            </w:del>
          </w:p>
        </w:tc>
      </w:tr>
    </w:tbl>
    <w:p w14:paraId="78B37992" w14:textId="3B88ED46" w:rsidR="00FB6710" w:rsidRPr="00183B5F" w:rsidRDefault="00FB6710" w:rsidP="004062FE">
      <w:pPr>
        <w:spacing w:line="240" w:lineRule="auto"/>
        <w:rPr>
          <w:del w:id="8854" w:author="AbbVie_HU_04" w:date="2025-05-15T11:59:00Z"/>
          <w:szCs w:val="22"/>
        </w:rPr>
      </w:pPr>
    </w:p>
    <w:p w14:paraId="184BC8C2" w14:textId="0F035DEA" w:rsidR="00FB6710" w:rsidRPr="00183B5F" w:rsidRDefault="00FB6710" w:rsidP="004062FE">
      <w:pPr>
        <w:spacing w:line="240" w:lineRule="auto"/>
        <w:rPr>
          <w:del w:id="8855" w:author="AbbVie_HU_04" w:date="2025-05-15T11:59: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6B4DF51A" w14:textId="6DCA9344">
        <w:trPr>
          <w:jc w:val="center"/>
          <w:del w:id="8856" w:author="AbbVie_HU_04" w:date="2025-05-15T11:59:00Z"/>
        </w:trPr>
        <w:tc>
          <w:tcPr>
            <w:tcW w:w="9069" w:type="dxa"/>
            <w:tcBorders>
              <w:top w:val="single" w:sz="4" w:space="0" w:color="auto"/>
              <w:bottom w:val="single" w:sz="4" w:space="0" w:color="auto"/>
            </w:tcBorders>
          </w:tcPr>
          <w:p w14:paraId="2E61718D" w14:textId="3C824CD6" w:rsidR="00FB6710" w:rsidRPr="00183B5F" w:rsidRDefault="00943743" w:rsidP="004062FE">
            <w:pPr>
              <w:tabs>
                <w:tab w:val="left" w:pos="142"/>
              </w:tabs>
              <w:spacing w:line="240" w:lineRule="auto"/>
              <w:ind w:left="567" w:hanging="567"/>
              <w:rPr>
                <w:del w:id="8857" w:author="AbbVie_HU_04" w:date="2025-05-15T11:59:00Z"/>
                <w:b/>
                <w:szCs w:val="22"/>
              </w:rPr>
            </w:pPr>
            <w:del w:id="8858" w:author="AbbVie_HU_04" w:date="2025-05-15T11:59:00Z">
              <w:r w:rsidRPr="00183B5F">
                <w:rPr>
                  <w:b/>
                  <w:szCs w:val="22"/>
                </w:rPr>
                <w:delText>15.</w:delText>
              </w:r>
              <w:r w:rsidRPr="00183B5F">
                <w:rPr>
                  <w:b/>
                  <w:szCs w:val="22"/>
                </w:rPr>
                <w:tab/>
                <w:delText>AZ ALKALMAZÁSRA VONATKOZÓ UTASÍTÁSOK</w:delText>
              </w:r>
            </w:del>
          </w:p>
        </w:tc>
      </w:tr>
    </w:tbl>
    <w:p w14:paraId="28C0E035" w14:textId="0F809CA1" w:rsidR="00FB6710" w:rsidRPr="00183B5F" w:rsidRDefault="00FB6710" w:rsidP="004062FE">
      <w:pPr>
        <w:spacing w:line="240" w:lineRule="auto"/>
        <w:rPr>
          <w:del w:id="8859" w:author="AbbVie_HU_04" w:date="2025-05-15T11:59:00Z"/>
          <w:szCs w:val="22"/>
        </w:rPr>
      </w:pPr>
    </w:p>
    <w:p w14:paraId="0A660B2D" w14:textId="540588F4" w:rsidR="00FB6710" w:rsidRPr="00183B5F" w:rsidRDefault="00FB6710" w:rsidP="004062FE">
      <w:pPr>
        <w:spacing w:line="240" w:lineRule="auto"/>
        <w:rPr>
          <w:del w:id="8860" w:author="AbbVie_HU_04" w:date="2025-05-15T11:59: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0B98E54C" w14:textId="5E9C4BD4">
        <w:trPr>
          <w:jc w:val="center"/>
          <w:del w:id="8861" w:author="AbbVie_HU_04" w:date="2025-05-15T11:59:00Z"/>
        </w:trPr>
        <w:tc>
          <w:tcPr>
            <w:tcW w:w="9069" w:type="dxa"/>
            <w:tcBorders>
              <w:top w:val="single" w:sz="4" w:space="0" w:color="auto"/>
              <w:bottom w:val="single" w:sz="4" w:space="0" w:color="auto"/>
            </w:tcBorders>
          </w:tcPr>
          <w:p w14:paraId="07C7807D" w14:textId="5AEA03B0" w:rsidR="00FB6710" w:rsidRPr="00183B5F" w:rsidRDefault="00943743" w:rsidP="004062FE">
            <w:pPr>
              <w:tabs>
                <w:tab w:val="left" w:pos="142"/>
              </w:tabs>
              <w:spacing w:line="240" w:lineRule="auto"/>
              <w:ind w:left="567" w:hanging="567"/>
              <w:rPr>
                <w:del w:id="8862" w:author="AbbVie_HU_04" w:date="2025-05-15T11:59:00Z"/>
                <w:b/>
                <w:szCs w:val="22"/>
              </w:rPr>
            </w:pPr>
            <w:del w:id="8863" w:author="AbbVie_HU_04" w:date="2025-05-15T11:59:00Z">
              <w:r w:rsidRPr="00183B5F">
                <w:rPr>
                  <w:b/>
                  <w:szCs w:val="22"/>
                </w:rPr>
                <w:delText>16.</w:delText>
              </w:r>
              <w:r w:rsidRPr="00183B5F">
                <w:rPr>
                  <w:b/>
                  <w:szCs w:val="22"/>
                </w:rPr>
                <w:tab/>
                <w:delText>BRAILLE ÍRÁSSAL FELTÜNTETETT INFORMÁCIÓK</w:delText>
              </w:r>
            </w:del>
          </w:p>
        </w:tc>
      </w:tr>
    </w:tbl>
    <w:p w14:paraId="03A15CB2" w14:textId="2D15FC80" w:rsidR="00FB6710" w:rsidRPr="00183B5F" w:rsidRDefault="00FB6710" w:rsidP="004062FE">
      <w:pPr>
        <w:spacing w:line="240" w:lineRule="auto"/>
        <w:rPr>
          <w:del w:id="8864" w:author="AbbVie_HU_04" w:date="2025-05-15T11:59:00Z"/>
          <w:szCs w:val="22"/>
        </w:rPr>
      </w:pPr>
    </w:p>
    <w:p w14:paraId="606DC219" w14:textId="5CAE9A1A" w:rsidR="00FB6710" w:rsidRPr="00183B5F" w:rsidRDefault="00943743" w:rsidP="004062FE">
      <w:pPr>
        <w:pStyle w:val="EMEANormal"/>
        <w:tabs>
          <w:tab w:val="clear" w:pos="562"/>
        </w:tabs>
        <w:rPr>
          <w:del w:id="8865" w:author="AbbVie_HU_04" w:date="2025-05-15T11:59:00Z"/>
          <w:bCs/>
          <w:szCs w:val="22"/>
          <w:lang w:val="hu-HU" w:eastAsia="hu-HU"/>
        </w:rPr>
      </w:pPr>
      <w:del w:id="8866" w:author="AbbVie_HU_04" w:date="2025-05-15T11:59:00Z">
        <w:r w:rsidRPr="00183B5F">
          <w:rPr>
            <w:bCs/>
            <w:szCs w:val="22"/>
            <w:lang w:val="hu-HU" w:eastAsia="hu-HU"/>
          </w:rPr>
          <w:delText>Humira 40 mg</w:delText>
        </w:r>
      </w:del>
    </w:p>
    <w:p w14:paraId="6DBC2414" w14:textId="315ACBCF" w:rsidR="000B2A7F" w:rsidRPr="00183B5F" w:rsidRDefault="000B2A7F" w:rsidP="004062FE">
      <w:pPr>
        <w:pStyle w:val="EMEANormal"/>
        <w:tabs>
          <w:tab w:val="clear" w:pos="562"/>
        </w:tabs>
        <w:rPr>
          <w:del w:id="8867" w:author="AbbVie_HU_04" w:date="2025-05-15T11:59:00Z"/>
          <w:bCs/>
          <w:szCs w:val="22"/>
          <w:lang w:val="hu-HU" w:eastAsia="hu-HU"/>
        </w:rPr>
      </w:pPr>
    </w:p>
    <w:p w14:paraId="65C0FBCA" w14:textId="0349A16A" w:rsidR="000B2A7F" w:rsidRPr="00183B5F" w:rsidRDefault="000B2A7F">
      <w:pPr>
        <w:spacing w:line="240" w:lineRule="auto"/>
        <w:rPr>
          <w:del w:id="8868" w:author="AbbVie_HU_04" w:date="2025-05-15T11:59:00Z"/>
          <w:noProof/>
          <w:shd w:val="clear" w:color="auto" w:fill="CCCCCC"/>
        </w:rPr>
      </w:pPr>
    </w:p>
    <w:p w14:paraId="37885D35" w14:textId="4225A1CF" w:rsidR="000B2A7F" w:rsidRPr="00183B5F" w:rsidRDefault="00943743">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del w:id="8869" w:author="AbbVie_HU_04" w:date="2025-05-15T11:59:00Z"/>
          <w:i/>
          <w:noProof/>
        </w:rPr>
      </w:pPr>
      <w:del w:id="8870" w:author="AbbVie_HU_04" w:date="2025-05-15T11:59:00Z">
        <w:r w:rsidRPr="00183B5F">
          <w:rPr>
            <w:b/>
            <w:noProof/>
          </w:rPr>
          <w:delText>17.</w:delText>
        </w:r>
        <w:r w:rsidRPr="00183B5F">
          <w:rPr>
            <w:b/>
            <w:noProof/>
          </w:rPr>
          <w:tab/>
          <w:delText>EGYEDI AZONOSÍTÓ – 2D VONALKÓD</w:delText>
        </w:r>
      </w:del>
    </w:p>
    <w:p w14:paraId="056C9885" w14:textId="38BD51EC" w:rsidR="000B2A7F" w:rsidRPr="00183B5F" w:rsidRDefault="000B2A7F">
      <w:pPr>
        <w:spacing w:line="240" w:lineRule="auto"/>
        <w:rPr>
          <w:del w:id="8871" w:author="AbbVie_HU_04" w:date="2025-05-15T11:59:00Z"/>
          <w:noProof/>
        </w:rPr>
      </w:pPr>
    </w:p>
    <w:p w14:paraId="3223C6C3" w14:textId="51FCAEC3" w:rsidR="000B2A7F" w:rsidRPr="00183B5F" w:rsidRDefault="000B2A7F">
      <w:pPr>
        <w:spacing w:line="240" w:lineRule="auto"/>
        <w:rPr>
          <w:del w:id="8872" w:author="AbbVie_HU_04" w:date="2025-05-15T11:59:00Z"/>
          <w:noProof/>
          <w:shd w:val="clear" w:color="auto" w:fill="CCCCCC"/>
        </w:rPr>
      </w:pPr>
    </w:p>
    <w:p w14:paraId="218CF345" w14:textId="78C78C6B" w:rsidR="000B2A7F" w:rsidRPr="00183B5F" w:rsidRDefault="00943743">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del w:id="8873" w:author="AbbVie_HU_04" w:date="2025-05-15T11:59:00Z"/>
          <w:i/>
          <w:noProof/>
        </w:rPr>
      </w:pPr>
      <w:del w:id="8874" w:author="AbbVie_HU_04" w:date="2025-05-15T11:59:00Z">
        <w:r w:rsidRPr="00183B5F">
          <w:rPr>
            <w:b/>
            <w:noProof/>
          </w:rPr>
          <w:delText>18.</w:delText>
        </w:r>
        <w:r w:rsidRPr="00183B5F">
          <w:rPr>
            <w:b/>
            <w:noProof/>
          </w:rPr>
          <w:tab/>
          <w:delText>EGYEDI AZONOSÍTÓ OLVASHATÓ FORMÁTUMA</w:delText>
        </w:r>
      </w:del>
    </w:p>
    <w:p w14:paraId="375D5C08" w14:textId="1A62E60D" w:rsidR="000B2A7F" w:rsidRPr="00183B5F" w:rsidRDefault="000B2A7F">
      <w:pPr>
        <w:spacing w:line="240" w:lineRule="auto"/>
        <w:rPr>
          <w:del w:id="8875" w:author="AbbVie_HU_04" w:date="2025-05-15T11:59:00Z"/>
          <w:noProof/>
        </w:rPr>
      </w:pPr>
    </w:p>
    <w:p w14:paraId="13A08111" w14:textId="5F2039E4" w:rsidR="00CE119D" w:rsidRPr="00183B5F" w:rsidRDefault="00CE119D">
      <w:pPr>
        <w:spacing w:line="240" w:lineRule="auto"/>
        <w:rPr>
          <w:del w:id="8876" w:author="AbbVie_HU_04" w:date="2025-05-15T11:59:00Z"/>
          <w:noProof/>
        </w:rPr>
      </w:pPr>
    </w:p>
    <w:p w14:paraId="0F841AB5" w14:textId="7A9B9F9B" w:rsidR="00FB6710" w:rsidRPr="00183B5F" w:rsidRDefault="00943743" w:rsidP="004062FE">
      <w:pPr>
        <w:spacing w:line="240" w:lineRule="auto"/>
        <w:rPr>
          <w:del w:id="8877" w:author="AbbVie_HU_04" w:date="2025-05-15T11:59:00Z"/>
          <w:szCs w:val="22"/>
        </w:rPr>
      </w:pPr>
      <w:del w:id="8878" w:author="AbbVie_HU_04" w:date="2025-05-15T11:59:00Z">
        <w:r w:rsidRPr="00183B5F">
          <w:rPr>
            <w:szCs w:val="22"/>
          </w:rPr>
          <w:br w:type="page"/>
        </w:r>
      </w:del>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56C10498" w14:textId="56493AA9">
        <w:trPr>
          <w:trHeight w:val="785"/>
          <w:jc w:val="center"/>
          <w:del w:id="8879" w:author="AbbVie_HU_04" w:date="2025-05-15T11:59:00Z"/>
        </w:trPr>
        <w:tc>
          <w:tcPr>
            <w:tcW w:w="9069" w:type="dxa"/>
            <w:tcBorders>
              <w:top w:val="single" w:sz="4" w:space="0" w:color="auto"/>
              <w:bottom w:val="single" w:sz="4" w:space="0" w:color="auto"/>
            </w:tcBorders>
          </w:tcPr>
          <w:p w14:paraId="5A0147B3" w14:textId="6ED0E2DE" w:rsidR="00FB6710" w:rsidRPr="00183B5F" w:rsidRDefault="00943743" w:rsidP="004062FE">
            <w:pPr>
              <w:spacing w:line="240" w:lineRule="auto"/>
              <w:rPr>
                <w:del w:id="8880" w:author="AbbVie_HU_04" w:date="2025-05-15T11:59:00Z"/>
                <w:b/>
                <w:szCs w:val="22"/>
              </w:rPr>
            </w:pPr>
            <w:del w:id="8881" w:author="AbbVie_HU_04" w:date="2025-05-15T11:59:00Z">
              <w:r w:rsidRPr="00183B5F">
                <w:rPr>
                  <w:b/>
                  <w:szCs w:val="22"/>
                </w:rPr>
                <w:delText>A KIS KÖZVETLEN CSOMAGOLÁSI EGYSÉGEKEN MINIMÁLISAN FELTÜNTETENDŐ ADATOK</w:delText>
              </w:r>
            </w:del>
          </w:p>
          <w:p w14:paraId="7E2895D6" w14:textId="5E9C570F" w:rsidR="00FB6710" w:rsidRPr="00183B5F" w:rsidRDefault="00FB6710" w:rsidP="004062FE">
            <w:pPr>
              <w:spacing w:line="240" w:lineRule="auto"/>
              <w:rPr>
                <w:del w:id="8882" w:author="AbbVie_HU_04" w:date="2025-05-15T11:59:00Z"/>
                <w:b/>
                <w:szCs w:val="22"/>
              </w:rPr>
            </w:pPr>
          </w:p>
          <w:p w14:paraId="76091D96" w14:textId="4AAFD347" w:rsidR="00FB6710" w:rsidRPr="00183B5F" w:rsidRDefault="00943743" w:rsidP="004062FE">
            <w:pPr>
              <w:spacing w:line="240" w:lineRule="auto"/>
              <w:rPr>
                <w:del w:id="8883" w:author="AbbVie_HU_04" w:date="2025-05-15T11:59:00Z"/>
                <w:b/>
                <w:caps/>
                <w:szCs w:val="22"/>
              </w:rPr>
            </w:pPr>
            <w:del w:id="8884" w:author="AbbVie_HU_04" w:date="2025-05-15T11:59:00Z">
              <w:r w:rsidRPr="00183B5F">
                <w:rPr>
                  <w:b/>
                  <w:caps/>
                  <w:szCs w:val="22"/>
                </w:rPr>
                <w:delText>AZ INJEKCIÓS Üveg cÍmkÉJE</w:delText>
              </w:r>
            </w:del>
          </w:p>
        </w:tc>
      </w:tr>
    </w:tbl>
    <w:p w14:paraId="45DA13DC" w14:textId="525C4680" w:rsidR="00FB6710" w:rsidRPr="00183B5F" w:rsidRDefault="00FB6710" w:rsidP="004062FE">
      <w:pPr>
        <w:spacing w:line="240" w:lineRule="auto"/>
        <w:rPr>
          <w:del w:id="8885" w:author="AbbVie_HU_04" w:date="2025-05-15T11:59:00Z"/>
          <w:b/>
          <w:szCs w:val="22"/>
        </w:rPr>
      </w:pPr>
    </w:p>
    <w:p w14:paraId="5A38B430" w14:textId="390985ED" w:rsidR="00FB6710" w:rsidRPr="00183B5F" w:rsidRDefault="00FB6710" w:rsidP="004062FE">
      <w:pPr>
        <w:spacing w:line="240" w:lineRule="auto"/>
        <w:rPr>
          <w:del w:id="8886" w:author="AbbVie_HU_04" w:date="2025-05-15T11:59:00Z"/>
          <w:b/>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6E7B59A5" w14:textId="773EC416">
        <w:trPr>
          <w:jc w:val="center"/>
          <w:del w:id="8887" w:author="AbbVie_HU_04" w:date="2025-05-15T11:59:00Z"/>
        </w:trPr>
        <w:tc>
          <w:tcPr>
            <w:tcW w:w="9069" w:type="dxa"/>
            <w:tcBorders>
              <w:top w:val="single" w:sz="4" w:space="0" w:color="auto"/>
              <w:bottom w:val="single" w:sz="4" w:space="0" w:color="auto"/>
            </w:tcBorders>
          </w:tcPr>
          <w:p w14:paraId="4C658A66" w14:textId="00B9E97B" w:rsidR="00FB6710" w:rsidRPr="00183B5F" w:rsidRDefault="00943743" w:rsidP="004062FE">
            <w:pPr>
              <w:tabs>
                <w:tab w:val="left" w:pos="142"/>
              </w:tabs>
              <w:spacing w:line="240" w:lineRule="auto"/>
              <w:ind w:left="567" w:hanging="567"/>
              <w:rPr>
                <w:del w:id="8888" w:author="AbbVie_HU_04" w:date="2025-05-15T11:59:00Z"/>
                <w:b/>
                <w:szCs w:val="22"/>
              </w:rPr>
            </w:pPr>
            <w:del w:id="8889" w:author="AbbVie_HU_04" w:date="2025-05-15T11:59:00Z">
              <w:r w:rsidRPr="00183B5F">
                <w:rPr>
                  <w:b/>
                  <w:szCs w:val="22"/>
                </w:rPr>
                <w:delText>1.</w:delText>
              </w:r>
              <w:r w:rsidRPr="00183B5F">
                <w:rPr>
                  <w:b/>
                  <w:szCs w:val="22"/>
                </w:rPr>
                <w:tab/>
                <w:delText xml:space="preserve">A GYÓGYSZER </w:delText>
              </w:r>
              <w:r w:rsidR="00F038A9" w:rsidRPr="00183B5F">
                <w:rPr>
                  <w:b/>
                  <w:szCs w:val="22"/>
                </w:rPr>
                <w:delText>NEVE</w:delText>
              </w:r>
              <w:r w:rsidRPr="00183B5F">
                <w:rPr>
                  <w:b/>
                  <w:szCs w:val="22"/>
                </w:rPr>
                <w:delText xml:space="preserve"> ÉS AZ ALKALMAZÁS MÓDJA (I)</w:delText>
              </w:r>
            </w:del>
          </w:p>
        </w:tc>
      </w:tr>
    </w:tbl>
    <w:p w14:paraId="0D2B130B" w14:textId="3DF566DF" w:rsidR="00FB6710" w:rsidRPr="00183B5F" w:rsidRDefault="00FB6710" w:rsidP="004062FE">
      <w:pPr>
        <w:spacing w:line="240" w:lineRule="auto"/>
        <w:rPr>
          <w:del w:id="8890" w:author="AbbVie_HU_04" w:date="2025-05-15T11:59:00Z"/>
          <w:szCs w:val="22"/>
        </w:rPr>
      </w:pPr>
    </w:p>
    <w:p w14:paraId="48864977" w14:textId="7773FB6B" w:rsidR="00FB6710" w:rsidRPr="00183B5F" w:rsidRDefault="00943743" w:rsidP="004062FE">
      <w:pPr>
        <w:pStyle w:val="EndnoteText"/>
        <w:tabs>
          <w:tab w:val="clear" w:pos="567"/>
        </w:tabs>
        <w:suppressAutoHyphens/>
        <w:rPr>
          <w:del w:id="8891" w:author="AbbVie_HU_04" w:date="2025-05-15T11:59:00Z"/>
          <w:sz w:val="22"/>
          <w:lang w:val="hu-HU"/>
        </w:rPr>
      </w:pPr>
      <w:del w:id="8892" w:author="AbbVie_HU_04" w:date="2025-05-15T11:59:00Z">
        <w:r w:rsidRPr="00183B5F">
          <w:rPr>
            <w:sz w:val="22"/>
            <w:szCs w:val="22"/>
            <w:lang w:val="hu-HU" w:eastAsia="hu-HU"/>
          </w:rPr>
          <w:delText>Humira 40 mg</w:delText>
        </w:r>
        <w:r w:rsidR="00C253F4" w:rsidRPr="00183B5F">
          <w:rPr>
            <w:sz w:val="22"/>
            <w:szCs w:val="22"/>
            <w:lang w:val="hu-HU" w:eastAsia="hu-HU"/>
          </w:rPr>
          <w:delText>/0,8</w:delText>
        </w:r>
        <w:r w:rsidR="009B11CD" w:rsidRPr="00183B5F">
          <w:rPr>
            <w:sz w:val="22"/>
            <w:szCs w:val="22"/>
            <w:lang w:val="hu-HU" w:eastAsia="hu-HU"/>
          </w:rPr>
          <w:delText> </w:delText>
        </w:r>
        <w:r w:rsidR="00C253F4" w:rsidRPr="00183B5F">
          <w:rPr>
            <w:sz w:val="22"/>
            <w:szCs w:val="22"/>
            <w:lang w:val="hu-HU" w:eastAsia="hu-HU"/>
          </w:rPr>
          <w:delText>ml</w:delText>
        </w:r>
        <w:r w:rsidRPr="00183B5F">
          <w:rPr>
            <w:sz w:val="22"/>
            <w:szCs w:val="22"/>
            <w:lang w:val="hu-HU" w:eastAsia="hu-HU"/>
          </w:rPr>
          <w:delText xml:space="preserve"> injekció</w:delText>
        </w:r>
      </w:del>
    </w:p>
    <w:p w14:paraId="62BD241C" w14:textId="70D2DF5B" w:rsidR="00C253F4" w:rsidRPr="00183B5F" w:rsidRDefault="00943743" w:rsidP="004062FE">
      <w:pPr>
        <w:pStyle w:val="EndnoteText"/>
        <w:tabs>
          <w:tab w:val="clear" w:pos="567"/>
          <w:tab w:val="left" w:pos="708"/>
        </w:tabs>
        <w:suppressAutoHyphens/>
        <w:rPr>
          <w:del w:id="8893" w:author="AbbVie_HU_04" w:date="2025-05-15T11:59:00Z"/>
          <w:sz w:val="22"/>
          <w:szCs w:val="22"/>
          <w:lang w:val="hu-HU"/>
        </w:rPr>
      </w:pPr>
      <w:del w:id="8894" w:author="AbbVie_HU_04" w:date="2025-05-15T11:59:00Z">
        <w:r w:rsidRPr="00183B5F">
          <w:rPr>
            <w:sz w:val="22"/>
            <w:szCs w:val="22"/>
            <w:lang w:val="hu-HU"/>
          </w:rPr>
          <w:delText>adalimumab</w:delText>
        </w:r>
      </w:del>
    </w:p>
    <w:p w14:paraId="0D1F23C3" w14:textId="06144780" w:rsidR="00FB6710" w:rsidRPr="00183B5F" w:rsidRDefault="00943743" w:rsidP="004062FE">
      <w:pPr>
        <w:spacing w:line="240" w:lineRule="auto"/>
        <w:rPr>
          <w:del w:id="8895" w:author="AbbVie_HU_04" w:date="2025-05-15T11:59:00Z"/>
          <w:szCs w:val="22"/>
        </w:rPr>
      </w:pPr>
      <w:del w:id="8896" w:author="AbbVie_HU_04" w:date="2025-05-15T11:59:00Z">
        <w:r w:rsidRPr="00183B5F">
          <w:rPr>
            <w:szCs w:val="22"/>
          </w:rPr>
          <w:delText>sc</w:delText>
        </w:r>
        <w:r w:rsidR="00A225CF" w:rsidRPr="00183B5F">
          <w:rPr>
            <w:szCs w:val="22"/>
          </w:rPr>
          <w:delText>.</w:delText>
        </w:r>
      </w:del>
    </w:p>
    <w:p w14:paraId="7EAB9E4B" w14:textId="5307A4BC" w:rsidR="00FB6710" w:rsidRPr="00183B5F" w:rsidRDefault="00FB6710" w:rsidP="004062FE">
      <w:pPr>
        <w:spacing w:line="240" w:lineRule="auto"/>
        <w:rPr>
          <w:del w:id="8897" w:author="AbbVie_HU_04" w:date="2025-05-15T11:59:00Z"/>
          <w:b/>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142BDDE0" w14:textId="53BA762E">
        <w:trPr>
          <w:jc w:val="center"/>
          <w:del w:id="8898" w:author="AbbVie_HU_04" w:date="2025-05-15T11:59:00Z"/>
        </w:trPr>
        <w:tc>
          <w:tcPr>
            <w:tcW w:w="9069" w:type="dxa"/>
            <w:tcBorders>
              <w:top w:val="single" w:sz="4" w:space="0" w:color="auto"/>
              <w:bottom w:val="single" w:sz="4" w:space="0" w:color="auto"/>
            </w:tcBorders>
          </w:tcPr>
          <w:p w14:paraId="18E494C4" w14:textId="3FD46F31" w:rsidR="00FB6710" w:rsidRPr="00183B5F" w:rsidRDefault="00943743" w:rsidP="004062FE">
            <w:pPr>
              <w:tabs>
                <w:tab w:val="left" w:pos="142"/>
              </w:tabs>
              <w:spacing w:line="240" w:lineRule="auto"/>
              <w:ind w:left="567" w:hanging="567"/>
              <w:rPr>
                <w:del w:id="8899" w:author="AbbVie_HU_04" w:date="2025-05-15T11:59:00Z"/>
                <w:b/>
                <w:szCs w:val="22"/>
              </w:rPr>
            </w:pPr>
            <w:del w:id="8900" w:author="AbbVie_HU_04" w:date="2025-05-15T11:59:00Z">
              <w:r w:rsidRPr="00183B5F">
                <w:rPr>
                  <w:b/>
                  <w:szCs w:val="22"/>
                </w:rPr>
                <w:delText>2.</w:delText>
              </w:r>
              <w:r w:rsidRPr="00183B5F">
                <w:rPr>
                  <w:b/>
                  <w:szCs w:val="22"/>
                </w:rPr>
                <w:tab/>
              </w:r>
              <w:r w:rsidRPr="00183B5F">
                <w:rPr>
                  <w:b/>
                  <w:szCs w:val="22"/>
                </w:rPr>
                <w:delText>AZ ALKALMAZÁSSAL KAPCSOLATOS TUDNIVALÓK</w:delText>
              </w:r>
            </w:del>
          </w:p>
        </w:tc>
      </w:tr>
    </w:tbl>
    <w:p w14:paraId="71EB9677" w14:textId="33549236" w:rsidR="00FB6710" w:rsidRPr="00183B5F" w:rsidRDefault="00FB6710" w:rsidP="004062FE">
      <w:pPr>
        <w:spacing w:line="240" w:lineRule="auto"/>
        <w:rPr>
          <w:del w:id="8901" w:author="AbbVie_HU_04" w:date="2025-05-15T11:59:00Z"/>
          <w:b/>
          <w:szCs w:val="22"/>
        </w:rPr>
      </w:pPr>
    </w:p>
    <w:p w14:paraId="75F846FE" w14:textId="4E79F0BE" w:rsidR="00FB6710" w:rsidRPr="00183B5F" w:rsidRDefault="00FB6710" w:rsidP="004062FE">
      <w:pPr>
        <w:spacing w:line="240" w:lineRule="auto"/>
        <w:rPr>
          <w:del w:id="8902" w:author="AbbVie_HU_04" w:date="2025-05-15T11:59:00Z"/>
          <w:b/>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3492381F" w14:textId="10D0BFE5">
        <w:trPr>
          <w:jc w:val="center"/>
          <w:del w:id="8903" w:author="AbbVie_HU_04" w:date="2025-05-15T11:59:00Z"/>
        </w:trPr>
        <w:tc>
          <w:tcPr>
            <w:tcW w:w="9069" w:type="dxa"/>
            <w:tcBorders>
              <w:top w:val="single" w:sz="4" w:space="0" w:color="auto"/>
              <w:bottom w:val="single" w:sz="4" w:space="0" w:color="auto"/>
            </w:tcBorders>
          </w:tcPr>
          <w:p w14:paraId="50C8708A" w14:textId="4E36365F" w:rsidR="00FB6710" w:rsidRPr="00183B5F" w:rsidRDefault="00943743" w:rsidP="004062FE">
            <w:pPr>
              <w:tabs>
                <w:tab w:val="left" w:pos="142"/>
              </w:tabs>
              <w:spacing w:line="240" w:lineRule="auto"/>
              <w:rPr>
                <w:del w:id="8904" w:author="AbbVie_HU_04" w:date="2025-05-15T11:59:00Z"/>
                <w:b/>
                <w:szCs w:val="22"/>
              </w:rPr>
            </w:pPr>
            <w:del w:id="8905" w:author="AbbVie_HU_04" w:date="2025-05-15T11:59:00Z">
              <w:r w:rsidRPr="00183B5F">
                <w:rPr>
                  <w:b/>
                  <w:szCs w:val="22"/>
                </w:rPr>
                <w:delText>3.</w:delText>
              </w:r>
              <w:r w:rsidRPr="00183B5F">
                <w:rPr>
                  <w:b/>
                  <w:szCs w:val="22"/>
                </w:rPr>
                <w:tab/>
                <w:delText>LEJÁRATI IDŐ</w:delText>
              </w:r>
            </w:del>
          </w:p>
        </w:tc>
      </w:tr>
    </w:tbl>
    <w:p w14:paraId="687FDCDE" w14:textId="335E5E74" w:rsidR="00FB6710" w:rsidRPr="00183B5F" w:rsidRDefault="00FB6710" w:rsidP="004062FE">
      <w:pPr>
        <w:spacing w:line="240" w:lineRule="auto"/>
        <w:rPr>
          <w:del w:id="8906" w:author="AbbVie_HU_04" w:date="2025-05-15T11:59:00Z"/>
          <w:szCs w:val="22"/>
        </w:rPr>
      </w:pPr>
    </w:p>
    <w:p w14:paraId="0C49282A" w14:textId="113D5096" w:rsidR="00FB6710" w:rsidRPr="00183B5F" w:rsidRDefault="00943743" w:rsidP="004062FE">
      <w:pPr>
        <w:spacing w:line="240" w:lineRule="auto"/>
        <w:rPr>
          <w:del w:id="8907" w:author="AbbVie_HU_04" w:date="2025-05-15T11:59:00Z"/>
          <w:szCs w:val="22"/>
        </w:rPr>
      </w:pPr>
      <w:del w:id="8908" w:author="AbbVie_HU_04" w:date="2025-05-15T11:59:00Z">
        <w:r w:rsidRPr="00183B5F">
          <w:rPr>
            <w:szCs w:val="22"/>
          </w:rPr>
          <w:delText>EXP</w:delText>
        </w:r>
      </w:del>
    </w:p>
    <w:p w14:paraId="6D967BDE" w14:textId="784950FF" w:rsidR="00FB6710" w:rsidRPr="00183B5F" w:rsidRDefault="00FB6710" w:rsidP="004062FE">
      <w:pPr>
        <w:spacing w:line="240" w:lineRule="auto"/>
        <w:rPr>
          <w:del w:id="8909" w:author="AbbVie_HU_04" w:date="2025-05-15T11:59:00Z"/>
          <w:b/>
          <w:szCs w:val="22"/>
        </w:rPr>
      </w:pPr>
    </w:p>
    <w:p w14:paraId="411ADEB9" w14:textId="2FB543EB" w:rsidR="00FB6710" w:rsidRPr="00183B5F" w:rsidRDefault="00FB6710" w:rsidP="004062FE">
      <w:pPr>
        <w:spacing w:line="240" w:lineRule="auto"/>
        <w:rPr>
          <w:del w:id="8910" w:author="AbbVie_HU_04" w:date="2025-05-15T11:59: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121E2FBF" w14:textId="6EB2D5D5">
        <w:trPr>
          <w:jc w:val="center"/>
          <w:del w:id="8911" w:author="AbbVie_HU_04" w:date="2025-05-15T11:59:00Z"/>
        </w:trPr>
        <w:tc>
          <w:tcPr>
            <w:tcW w:w="9069" w:type="dxa"/>
            <w:tcBorders>
              <w:top w:val="single" w:sz="4" w:space="0" w:color="auto"/>
              <w:bottom w:val="single" w:sz="4" w:space="0" w:color="auto"/>
            </w:tcBorders>
          </w:tcPr>
          <w:p w14:paraId="3EDF286A" w14:textId="5AA45DE4" w:rsidR="00FB6710" w:rsidRPr="00183B5F" w:rsidRDefault="00943743" w:rsidP="004062FE">
            <w:pPr>
              <w:tabs>
                <w:tab w:val="left" w:pos="142"/>
              </w:tabs>
              <w:spacing w:line="240" w:lineRule="auto"/>
              <w:ind w:left="567" w:hanging="567"/>
              <w:rPr>
                <w:del w:id="8912" w:author="AbbVie_HU_04" w:date="2025-05-15T11:59:00Z"/>
                <w:b/>
                <w:szCs w:val="22"/>
              </w:rPr>
            </w:pPr>
            <w:del w:id="8913" w:author="AbbVie_HU_04" w:date="2025-05-15T11:59:00Z">
              <w:r w:rsidRPr="00183B5F">
                <w:rPr>
                  <w:b/>
                  <w:szCs w:val="22"/>
                </w:rPr>
                <w:delText>4.</w:delText>
              </w:r>
              <w:r w:rsidRPr="00183B5F">
                <w:rPr>
                  <w:b/>
                  <w:szCs w:val="22"/>
                </w:rPr>
                <w:tab/>
                <w:delText>A GYÁRTÁSI TÉTEL SZÁMA</w:delText>
              </w:r>
            </w:del>
          </w:p>
        </w:tc>
      </w:tr>
    </w:tbl>
    <w:p w14:paraId="2B1A5F92" w14:textId="5DC23CB2" w:rsidR="00FB6710" w:rsidRPr="00183B5F" w:rsidRDefault="00FB6710" w:rsidP="004062FE">
      <w:pPr>
        <w:spacing w:line="240" w:lineRule="auto"/>
        <w:rPr>
          <w:del w:id="8914" w:author="AbbVie_HU_04" w:date="2025-05-15T11:59:00Z"/>
          <w:szCs w:val="22"/>
        </w:rPr>
      </w:pPr>
    </w:p>
    <w:p w14:paraId="2DD12BD2" w14:textId="1FCADDEA" w:rsidR="006B2BB7" w:rsidRPr="00183B5F" w:rsidRDefault="00943743" w:rsidP="004062FE">
      <w:pPr>
        <w:spacing w:line="240" w:lineRule="auto"/>
        <w:rPr>
          <w:del w:id="8915" w:author="AbbVie_HU_04" w:date="2025-05-15T11:59:00Z"/>
          <w:szCs w:val="22"/>
        </w:rPr>
      </w:pPr>
      <w:del w:id="8916" w:author="AbbVie_HU_04" w:date="2025-05-15T11:59:00Z">
        <w:r w:rsidRPr="00183B5F">
          <w:rPr>
            <w:szCs w:val="22"/>
          </w:rPr>
          <w:delText>Lot</w:delText>
        </w:r>
      </w:del>
    </w:p>
    <w:p w14:paraId="4C8AF194" w14:textId="44B02190" w:rsidR="00FB6710" w:rsidRPr="00183B5F" w:rsidRDefault="00FB6710" w:rsidP="004062FE">
      <w:pPr>
        <w:spacing w:line="240" w:lineRule="auto"/>
        <w:ind w:right="113"/>
        <w:rPr>
          <w:del w:id="8917" w:author="AbbVie_HU_04" w:date="2025-05-15T11:59:00Z"/>
          <w:szCs w:val="22"/>
        </w:rPr>
      </w:pPr>
    </w:p>
    <w:p w14:paraId="09628FE3" w14:textId="34047D0F" w:rsidR="00FB6710" w:rsidRPr="00183B5F" w:rsidRDefault="00FB6710" w:rsidP="004062FE">
      <w:pPr>
        <w:spacing w:line="240" w:lineRule="auto"/>
        <w:ind w:right="113"/>
        <w:rPr>
          <w:del w:id="8918" w:author="AbbVie_HU_04" w:date="2025-05-15T11:59: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3F429A76" w14:textId="075DABD4">
        <w:trPr>
          <w:jc w:val="center"/>
          <w:del w:id="8919" w:author="AbbVie_HU_04" w:date="2025-05-15T11:59:00Z"/>
        </w:trPr>
        <w:tc>
          <w:tcPr>
            <w:tcW w:w="9069" w:type="dxa"/>
            <w:tcBorders>
              <w:top w:val="single" w:sz="4" w:space="0" w:color="auto"/>
              <w:bottom w:val="single" w:sz="4" w:space="0" w:color="auto"/>
            </w:tcBorders>
          </w:tcPr>
          <w:p w14:paraId="2536B821" w14:textId="193E555E" w:rsidR="00FB6710" w:rsidRPr="00183B5F" w:rsidRDefault="00943743" w:rsidP="004062FE">
            <w:pPr>
              <w:tabs>
                <w:tab w:val="left" w:pos="142"/>
              </w:tabs>
              <w:spacing w:line="240" w:lineRule="auto"/>
              <w:ind w:left="567" w:hanging="567"/>
              <w:rPr>
                <w:del w:id="8920" w:author="AbbVie_HU_04" w:date="2025-05-15T11:59:00Z"/>
                <w:b/>
                <w:szCs w:val="22"/>
              </w:rPr>
            </w:pPr>
            <w:del w:id="8921" w:author="AbbVie_HU_04" w:date="2025-05-15T11:59:00Z">
              <w:r w:rsidRPr="00183B5F">
                <w:rPr>
                  <w:b/>
                  <w:szCs w:val="22"/>
                </w:rPr>
                <w:delText>5.</w:delText>
              </w:r>
              <w:r w:rsidRPr="00183B5F">
                <w:rPr>
                  <w:b/>
                  <w:szCs w:val="22"/>
                </w:rPr>
                <w:tab/>
                <w:delText>A TARTALOM SÚLYRA, TÉRFOGATRA, VAGY EGYSÉGRE VONATKOZTATVA</w:delText>
              </w:r>
            </w:del>
          </w:p>
        </w:tc>
      </w:tr>
    </w:tbl>
    <w:p w14:paraId="792C7DDA" w14:textId="2F958BBB" w:rsidR="00FB6710" w:rsidRPr="00183B5F" w:rsidRDefault="00FB6710" w:rsidP="004062FE">
      <w:pPr>
        <w:spacing w:line="240" w:lineRule="auto"/>
        <w:rPr>
          <w:del w:id="8922" w:author="AbbVie_HU_04" w:date="2025-05-15T11:59:00Z"/>
          <w:szCs w:val="22"/>
        </w:rPr>
      </w:pPr>
    </w:p>
    <w:p w14:paraId="3AE4FDFF" w14:textId="7EF393F7" w:rsidR="00FB6710" w:rsidRPr="00183B5F" w:rsidRDefault="00943743" w:rsidP="004062FE">
      <w:pPr>
        <w:pStyle w:val="EndnoteText"/>
        <w:tabs>
          <w:tab w:val="clear" w:pos="567"/>
        </w:tabs>
        <w:suppressAutoHyphens/>
        <w:rPr>
          <w:del w:id="8923" w:author="AbbVie_HU_04" w:date="2025-05-15T11:59:00Z"/>
          <w:sz w:val="22"/>
          <w:szCs w:val="22"/>
          <w:lang w:val="hu-HU" w:eastAsia="hu-HU"/>
        </w:rPr>
      </w:pPr>
      <w:del w:id="8924" w:author="AbbVie_HU_04" w:date="2025-05-15T11:59:00Z">
        <w:r w:rsidRPr="00183B5F">
          <w:rPr>
            <w:sz w:val="22"/>
            <w:szCs w:val="22"/>
            <w:lang w:val="hu-HU" w:eastAsia="hu-HU"/>
          </w:rPr>
          <w:delText>40 mg/0,8 ml</w:delText>
        </w:r>
      </w:del>
    </w:p>
    <w:p w14:paraId="7DF0E564" w14:textId="6180713A" w:rsidR="00FB6710" w:rsidRPr="00183B5F" w:rsidRDefault="00FB6710" w:rsidP="004062FE">
      <w:pPr>
        <w:spacing w:line="240" w:lineRule="auto"/>
        <w:rPr>
          <w:del w:id="8925" w:author="AbbVie_HU_04" w:date="2025-05-15T11:59:00Z"/>
          <w:szCs w:val="22"/>
        </w:rPr>
      </w:pPr>
    </w:p>
    <w:p w14:paraId="1D9D31A7" w14:textId="178499B6" w:rsidR="00FB6710" w:rsidRPr="00183B5F" w:rsidRDefault="00FB6710" w:rsidP="004062FE">
      <w:pPr>
        <w:spacing w:line="240" w:lineRule="auto"/>
        <w:rPr>
          <w:del w:id="8926" w:author="AbbVie_HU_04" w:date="2025-05-15T11:59:00Z"/>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72793461" w14:textId="52A4C004">
        <w:trPr>
          <w:jc w:val="center"/>
          <w:del w:id="8927" w:author="AbbVie_HU_04" w:date="2025-05-15T11:59:00Z"/>
        </w:trPr>
        <w:tc>
          <w:tcPr>
            <w:tcW w:w="9069" w:type="dxa"/>
            <w:tcBorders>
              <w:top w:val="single" w:sz="4" w:space="0" w:color="auto"/>
              <w:bottom w:val="single" w:sz="4" w:space="0" w:color="auto"/>
            </w:tcBorders>
          </w:tcPr>
          <w:p w14:paraId="3286A51E" w14:textId="6B87C530" w:rsidR="00FB6710" w:rsidRPr="00183B5F" w:rsidRDefault="00943743" w:rsidP="004062FE">
            <w:pPr>
              <w:tabs>
                <w:tab w:val="left" w:pos="142"/>
              </w:tabs>
              <w:spacing w:line="240" w:lineRule="auto"/>
              <w:ind w:left="567" w:hanging="567"/>
              <w:rPr>
                <w:del w:id="8928" w:author="AbbVie_HU_04" w:date="2025-05-15T11:59:00Z"/>
                <w:b/>
                <w:szCs w:val="22"/>
              </w:rPr>
            </w:pPr>
            <w:del w:id="8929" w:author="AbbVie_HU_04" w:date="2025-05-15T11:59:00Z">
              <w:r w:rsidRPr="00183B5F">
                <w:rPr>
                  <w:b/>
                  <w:szCs w:val="22"/>
                </w:rPr>
                <w:delText>6.</w:delText>
              </w:r>
              <w:r w:rsidRPr="00183B5F">
                <w:rPr>
                  <w:b/>
                  <w:szCs w:val="22"/>
                </w:rPr>
                <w:tab/>
                <w:delText>EGYÉB INFORMÁCIÓK</w:delText>
              </w:r>
            </w:del>
          </w:p>
        </w:tc>
      </w:tr>
    </w:tbl>
    <w:p w14:paraId="2EDB6E31" w14:textId="156743C7" w:rsidR="00FB6710" w:rsidRPr="00183B5F" w:rsidRDefault="00FB6710" w:rsidP="004062FE">
      <w:pPr>
        <w:spacing w:line="240" w:lineRule="auto"/>
        <w:jc w:val="center"/>
        <w:rPr>
          <w:del w:id="8930" w:author="AbbVie_HU_04" w:date="2025-05-15T11:59:00Z"/>
          <w:szCs w:val="22"/>
        </w:rPr>
      </w:pPr>
    </w:p>
    <w:p w14:paraId="331F1881" w14:textId="553231B5" w:rsidR="008A5597" w:rsidRPr="00183B5F" w:rsidRDefault="00943743" w:rsidP="004062FE">
      <w:pPr>
        <w:spacing w:line="240" w:lineRule="auto"/>
        <w:rPr>
          <w:del w:id="8931" w:author="AbbVie_HU_04" w:date="2025-05-15T11:59:00Z"/>
          <w:szCs w:val="22"/>
        </w:rPr>
      </w:pPr>
      <w:del w:id="8932" w:author="AbbVie_HU_04" w:date="2025-05-15T11:59:00Z">
        <w:r w:rsidRPr="00183B5F">
          <w:rPr>
            <w:szCs w:val="22"/>
          </w:rPr>
          <w:delText>Kizárólag egyszeri alkalmazásra.</w:delText>
        </w:r>
      </w:del>
    </w:p>
    <w:p w14:paraId="4AFBEA60" w14:textId="01A9C0AD" w:rsidR="00FB6710" w:rsidRPr="00183B5F" w:rsidRDefault="00943743" w:rsidP="004062FE">
      <w:pPr>
        <w:spacing w:line="240" w:lineRule="auto"/>
        <w:rPr>
          <w:del w:id="8933" w:author="AbbVie_HU_04" w:date="2025-05-15T11:59:00Z"/>
          <w:szCs w:val="22"/>
        </w:rPr>
      </w:pPr>
      <w:del w:id="8934" w:author="AbbVie_HU_04" w:date="2025-05-15T11:59:00Z">
        <w:r w:rsidRPr="00183B5F">
          <w:rPr>
            <w:szCs w:val="22"/>
          </w:rPr>
          <w:br w:type="page"/>
        </w:r>
      </w:del>
    </w:p>
    <w:tbl>
      <w:tblPr>
        <w:tblW w:w="9069" w:type="dxa"/>
        <w:jc w:val="center"/>
        <w:tblLayout w:type="fixed"/>
        <w:tblCellMar>
          <w:left w:w="0" w:type="dxa"/>
          <w:right w:w="0" w:type="dxa"/>
        </w:tblCellMar>
        <w:tblLook w:val="0000" w:firstRow="0" w:lastRow="0" w:firstColumn="0" w:lastColumn="0" w:noHBand="0" w:noVBand="0"/>
        <w:tblPrChange w:id="8935" w:author="AbbVie_HU_03" w:date="2025-05-14T16:14:00Z">
          <w:tblPr>
            <w:tblW w:w="0" w:type="auto"/>
            <w:tblLayout w:type="fixed"/>
            <w:tblLook w:val="04A0" w:firstRow="1" w:lastRow="0" w:firstColumn="1" w:lastColumn="0" w:noHBand="0" w:noVBand="1"/>
          </w:tblPr>
        </w:tblPrChange>
      </w:tblPr>
      <w:tblGrid>
        <w:gridCol w:w="9069"/>
        <w:tblGridChange w:id="8936">
          <w:tblGrid>
            <w:gridCol w:w="360"/>
            <w:gridCol w:w="8709"/>
          </w:tblGrid>
        </w:tblGridChange>
      </w:tblGrid>
      <w:tr w:rsidR="00011D2F" w14:paraId="07174CCF" w14:textId="520F75F0" w:rsidTr="00810C65">
        <w:trPr>
          <w:trHeight w:val="1040"/>
          <w:jc w:val="center"/>
          <w:del w:id="8937" w:author="AbbVie_HU_04" w:date="2025-05-15T11:59:00Z"/>
          <w:trPrChange w:id="8938" w:author="AbbVie_HU_03" w:date="2025-05-14T16:14:00Z">
            <w:trPr>
              <w:gridAfter w:val="0"/>
            </w:trPr>
          </w:trPrChange>
        </w:trPr>
        <w:tc>
          <w:tcPr>
            <w:tcW w:w="9069" w:type="dxa"/>
            <w:tcBorders>
              <w:top w:val="single" w:sz="2" w:space="0" w:color="000000"/>
              <w:left w:val="single" w:sz="2" w:space="0" w:color="000000"/>
              <w:bottom w:val="single" w:sz="2" w:space="0" w:color="000000"/>
              <w:right w:val="single" w:sz="2" w:space="0" w:color="000000"/>
            </w:tcBorders>
            <w:tcPrChange w:id="8939" w:author="AbbVie_HU_03" w:date="2025-05-14T16:14:00Z">
              <w:tcPr>
                <w:tcW w:w="9069" w:type="dxa"/>
                <w:tcBorders>
                  <w:top w:val="single" w:sz="2" w:space="0" w:color="000000"/>
                  <w:left w:val="single" w:sz="2" w:space="0" w:color="000000"/>
                  <w:bottom w:val="single" w:sz="2" w:space="0" w:color="000000"/>
                  <w:right w:val="single" w:sz="2" w:space="0" w:color="000000"/>
                </w:tcBorders>
              </w:tcPr>
            </w:tcPrChange>
          </w:tcPr>
          <w:p w14:paraId="3D5B32BA" w14:textId="74F28978" w:rsidR="00FB6710" w:rsidRPr="00183B5F" w:rsidRDefault="00943743" w:rsidP="004062FE">
            <w:pPr>
              <w:spacing w:line="240" w:lineRule="auto"/>
              <w:rPr>
                <w:del w:id="8940" w:author="AbbVie_HU_04" w:date="2025-05-15T11:59:00Z"/>
                <w:b/>
                <w:szCs w:val="22"/>
              </w:rPr>
            </w:pPr>
            <w:del w:id="8941" w:author="AbbVie_HU_04" w:date="2025-05-15T11:59:00Z">
              <w:r w:rsidRPr="00183B5F">
                <w:rPr>
                  <w:szCs w:val="22"/>
                </w:rPr>
                <w:br w:type="page"/>
              </w:r>
              <w:r w:rsidRPr="00183B5F">
                <w:rPr>
                  <w:b/>
                  <w:szCs w:val="22"/>
                </w:rPr>
                <w:delText>A KÜLSŐ CSOMAGOLÁSON FELTÜNTETENDŐ ADATOK</w:delText>
              </w:r>
            </w:del>
          </w:p>
          <w:p w14:paraId="6EB5D8D8" w14:textId="1790AE37" w:rsidR="00FB6710" w:rsidRPr="00183B5F" w:rsidRDefault="00FB6710" w:rsidP="004062FE">
            <w:pPr>
              <w:spacing w:line="240" w:lineRule="auto"/>
              <w:rPr>
                <w:del w:id="8942" w:author="AbbVie_HU_04" w:date="2025-05-15T11:59:00Z"/>
                <w:b/>
                <w:szCs w:val="22"/>
              </w:rPr>
            </w:pPr>
          </w:p>
          <w:p w14:paraId="514CB70D" w14:textId="171D1731" w:rsidR="00FB6710" w:rsidRPr="00183B5F" w:rsidRDefault="00943743" w:rsidP="004062FE">
            <w:pPr>
              <w:spacing w:line="240" w:lineRule="auto"/>
              <w:rPr>
                <w:del w:id="8943" w:author="AbbVie_HU_04" w:date="2025-05-15T11:59:00Z"/>
                <w:b/>
                <w:caps/>
                <w:szCs w:val="22"/>
              </w:rPr>
            </w:pPr>
            <w:del w:id="8944" w:author="AbbVie_HU_04" w:date="2025-05-15T11:59:00Z">
              <w:r w:rsidRPr="00183B5F">
                <w:rPr>
                  <w:b/>
                  <w:caps/>
                  <w:szCs w:val="22"/>
                </w:rPr>
                <w:delText xml:space="preserve">Külső </w:delText>
              </w:r>
              <w:r w:rsidR="00AA1A83" w:rsidRPr="00183B5F">
                <w:rPr>
                  <w:b/>
                  <w:caps/>
                  <w:szCs w:val="22"/>
                </w:rPr>
                <w:delText>DOBOZ</w:delText>
              </w:r>
            </w:del>
          </w:p>
        </w:tc>
      </w:tr>
    </w:tbl>
    <w:p w14:paraId="23EA67EF" w14:textId="362C4870" w:rsidR="00FB6710" w:rsidRPr="00183B5F" w:rsidRDefault="00FB6710" w:rsidP="004062FE">
      <w:pPr>
        <w:spacing w:line="240" w:lineRule="auto"/>
        <w:rPr>
          <w:del w:id="8945" w:author="AbbVie_HU_04" w:date="2025-05-15T11:59:00Z"/>
          <w:szCs w:val="22"/>
        </w:rPr>
      </w:pPr>
    </w:p>
    <w:p w14:paraId="72A20148" w14:textId="5BE3B8C4" w:rsidR="00FB6710" w:rsidRPr="00183B5F" w:rsidRDefault="00FB6710" w:rsidP="004062FE">
      <w:pPr>
        <w:spacing w:line="240" w:lineRule="auto"/>
        <w:rPr>
          <w:del w:id="8946"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521B8F3D" w14:textId="65419575">
        <w:trPr>
          <w:jc w:val="center"/>
          <w:del w:id="8947"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4C180F9B" w14:textId="4B78682E" w:rsidR="00FB6710" w:rsidRPr="00183B5F" w:rsidRDefault="00943743" w:rsidP="004062FE">
            <w:pPr>
              <w:tabs>
                <w:tab w:val="left" w:pos="142"/>
              </w:tabs>
              <w:spacing w:line="240" w:lineRule="auto"/>
              <w:ind w:left="567" w:hanging="567"/>
              <w:rPr>
                <w:del w:id="8948" w:author="AbbVie_HU_04" w:date="2025-05-15T11:59:00Z"/>
                <w:b/>
                <w:szCs w:val="22"/>
              </w:rPr>
            </w:pPr>
            <w:del w:id="8949" w:author="AbbVie_HU_04" w:date="2025-05-15T11:59:00Z">
              <w:r w:rsidRPr="00183B5F">
                <w:rPr>
                  <w:b/>
                  <w:szCs w:val="22"/>
                </w:rPr>
                <w:delText>1.</w:delText>
              </w:r>
              <w:r w:rsidRPr="00183B5F">
                <w:rPr>
                  <w:b/>
                  <w:szCs w:val="22"/>
                </w:rPr>
                <w:tab/>
                <w:delText xml:space="preserve">A GYÓGYSZER </w:delText>
              </w:r>
              <w:r w:rsidR="00F038A9" w:rsidRPr="00183B5F">
                <w:rPr>
                  <w:b/>
                  <w:szCs w:val="22"/>
                </w:rPr>
                <w:delText>NEVE</w:delText>
              </w:r>
            </w:del>
          </w:p>
        </w:tc>
      </w:tr>
    </w:tbl>
    <w:p w14:paraId="06530083" w14:textId="200FA729" w:rsidR="00FB6710" w:rsidRPr="00183B5F" w:rsidRDefault="00FB6710" w:rsidP="004062FE">
      <w:pPr>
        <w:spacing w:line="240" w:lineRule="auto"/>
        <w:rPr>
          <w:del w:id="8950" w:author="AbbVie_HU_04" w:date="2025-05-15T11:59:00Z"/>
          <w:szCs w:val="22"/>
        </w:rPr>
      </w:pPr>
    </w:p>
    <w:p w14:paraId="394763E7" w14:textId="141C5CB5" w:rsidR="00FB6710" w:rsidRPr="00183B5F" w:rsidRDefault="00943743" w:rsidP="004062FE">
      <w:pPr>
        <w:spacing w:line="240" w:lineRule="auto"/>
        <w:rPr>
          <w:del w:id="8951" w:author="AbbVie_HU_04" w:date="2025-05-15T11:59:00Z"/>
          <w:szCs w:val="22"/>
        </w:rPr>
      </w:pPr>
      <w:del w:id="8952" w:author="AbbVie_HU_04" w:date="2025-05-15T11:59:00Z">
        <w:r w:rsidRPr="00183B5F">
          <w:rPr>
            <w:szCs w:val="22"/>
          </w:rPr>
          <w:delText>Humira 40 mg oldatos injekció előretöltött fecskendőben</w:delText>
        </w:r>
      </w:del>
    </w:p>
    <w:p w14:paraId="02D0653F" w14:textId="422913EC" w:rsidR="00FB6710" w:rsidRPr="00183B5F" w:rsidRDefault="00943743" w:rsidP="004062FE">
      <w:pPr>
        <w:pStyle w:val="EndnoteText"/>
        <w:tabs>
          <w:tab w:val="clear" w:pos="567"/>
          <w:tab w:val="left" w:pos="708"/>
        </w:tabs>
        <w:suppressAutoHyphens/>
        <w:rPr>
          <w:del w:id="8953" w:author="AbbVie_HU_04" w:date="2025-05-15T11:59:00Z"/>
          <w:sz w:val="22"/>
          <w:szCs w:val="22"/>
          <w:lang w:val="hu-HU"/>
        </w:rPr>
      </w:pPr>
      <w:del w:id="8954" w:author="AbbVie_HU_04" w:date="2025-05-15T11:59:00Z">
        <w:r w:rsidRPr="00183B5F">
          <w:rPr>
            <w:sz w:val="22"/>
            <w:szCs w:val="22"/>
            <w:lang w:val="hu-HU"/>
          </w:rPr>
          <w:delText>adalimumab</w:delText>
        </w:r>
      </w:del>
    </w:p>
    <w:p w14:paraId="0FC8CA93" w14:textId="3CEE1AC1" w:rsidR="00FB6710" w:rsidRPr="00183B5F" w:rsidRDefault="00FB6710" w:rsidP="004062FE">
      <w:pPr>
        <w:spacing w:line="240" w:lineRule="auto"/>
        <w:rPr>
          <w:del w:id="8955" w:author="AbbVie_HU_04" w:date="2025-05-15T11:59:00Z"/>
          <w:szCs w:val="22"/>
        </w:rPr>
      </w:pPr>
    </w:p>
    <w:p w14:paraId="25103516" w14:textId="158525AC" w:rsidR="00FB6710" w:rsidRPr="00183B5F" w:rsidRDefault="00FB6710" w:rsidP="004062FE">
      <w:pPr>
        <w:spacing w:line="240" w:lineRule="auto"/>
        <w:rPr>
          <w:del w:id="8956"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6BF66983" w14:textId="3EDD81E4">
        <w:trPr>
          <w:jc w:val="center"/>
          <w:del w:id="8957"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79D142A3" w14:textId="7DABB220" w:rsidR="00FB6710" w:rsidRPr="00183B5F" w:rsidRDefault="00943743" w:rsidP="004062FE">
            <w:pPr>
              <w:tabs>
                <w:tab w:val="left" w:pos="142"/>
              </w:tabs>
              <w:spacing w:line="240" w:lineRule="auto"/>
              <w:ind w:left="567" w:hanging="567"/>
              <w:rPr>
                <w:del w:id="8958" w:author="AbbVie_HU_04" w:date="2025-05-15T11:59:00Z"/>
                <w:b/>
                <w:szCs w:val="22"/>
              </w:rPr>
            </w:pPr>
            <w:del w:id="8959" w:author="AbbVie_HU_04" w:date="2025-05-15T11:59:00Z">
              <w:r w:rsidRPr="00183B5F">
                <w:rPr>
                  <w:b/>
                  <w:szCs w:val="22"/>
                </w:rPr>
                <w:delText>2.</w:delText>
              </w:r>
              <w:r w:rsidRPr="00183B5F">
                <w:rPr>
                  <w:b/>
                  <w:szCs w:val="22"/>
                </w:rPr>
                <w:tab/>
                <w:delText>HATÓANYAG(OK) MEGNEVEZÉSE</w:delText>
              </w:r>
            </w:del>
          </w:p>
        </w:tc>
      </w:tr>
    </w:tbl>
    <w:p w14:paraId="673AC1FF" w14:textId="52CCE2DD" w:rsidR="00FB6710" w:rsidRPr="00183B5F" w:rsidRDefault="00FB6710" w:rsidP="004062FE">
      <w:pPr>
        <w:spacing w:line="240" w:lineRule="auto"/>
        <w:ind w:right="-2"/>
        <w:rPr>
          <w:del w:id="8960" w:author="AbbVie_HU_04" w:date="2025-05-15T11:59:00Z"/>
          <w:szCs w:val="22"/>
        </w:rPr>
      </w:pPr>
    </w:p>
    <w:p w14:paraId="543133C5" w14:textId="3D313F2F" w:rsidR="00FB6710" w:rsidRPr="00183B5F" w:rsidRDefault="00943743" w:rsidP="004062FE">
      <w:pPr>
        <w:spacing w:line="240" w:lineRule="auto"/>
        <w:ind w:right="-2"/>
        <w:rPr>
          <w:del w:id="8961" w:author="AbbVie_HU_04" w:date="2025-05-15T11:59:00Z"/>
          <w:szCs w:val="22"/>
        </w:rPr>
      </w:pPr>
      <w:del w:id="8962" w:author="AbbVie_HU_04" w:date="2025-05-15T11:59:00Z">
        <w:r w:rsidRPr="00183B5F">
          <w:rPr>
            <w:szCs w:val="22"/>
          </w:rPr>
          <w:delText>40 mg adalimumab 0,8 ml-es előretöltött fecskendőben</w:delText>
        </w:r>
        <w:r w:rsidR="00C036E3" w:rsidRPr="00183B5F">
          <w:rPr>
            <w:szCs w:val="22"/>
          </w:rPr>
          <w:delText>.</w:delText>
        </w:r>
      </w:del>
    </w:p>
    <w:p w14:paraId="7E9BE820" w14:textId="2551CE36" w:rsidR="00FB6710" w:rsidRPr="00183B5F" w:rsidRDefault="00FB6710" w:rsidP="004062FE">
      <w:pPr>
        <w:spacing w:line="240" w:lineRule="auto"/>
        <w:rPr>
          <w:del w:id="8963" w:author="AbbVie_HU_04" w:date="2025-05-15T11:59:00Z"/>
          <w:szCs w:val="22"/>
        </w:rPr>
      </w:pPr>
    </w:p>
    <w:p w14:paraId="3E25127B" w14:textId="4E60A2D1" w:rsidR="00FB6710" w:rsidRPr="00183B5F" w:rsidRDefault="00FB6710" w:rsidP="004062FE">
      <w:pPr>
        <w:spacing w:line="240" w:lineRule="auto"/>
        <w:rPr>
          <w:del w:id="8964"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2ED0102B" w14:textId="0E8E55BC">
        <w:trPr>
          <w:jc w:val="center"/>
          <w:del w:id="8965"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2F42C017" w14:textId="47DD4434" w:rsidR="00FB6710" w:rsidRPr="00183B5F" w:rsidRDefault="00943743" w:rsidP="004062FE">
            <w:pPr>
              <w:tabs>
                <w:tab w:val="left" w:pos="142"/>
              </w:tabs>
              <w:spacing w:line="240" w:lineRule="auto"/>
              <w:ind w:left="567" w:hanging="567"/>
              <w:rPr>
                <w:del w:id="8966" w:author="AbbVie_HU_04" w:date="2025-05-15T11:59:00Z"/>
                <w:b/>
                <w:szCs w:val="22"/>
              </w:rPr>
            </w:pPr>
            <w:del w:id="8967" w:author="AbbVie_HU_04" w:date="2025-05-15T11:59:00Z">
              <w:r w:rsidRPr="00183B5F">
                <w:rPr>
                  <w:b/>
                  <w:szCs w:val="22"/>
                </w:rPr>
                <w:delText>3.</w:delText>
              </w:r>
              <w:r w:rsidRPr="00183B5F">
                <w:rPr>
                  <w:b/>
                  <w:szCs w:val="22"/>
                </w:rPr>
                <w:tab/>
                <w:delText>SEGÉDANYAGOK FELSOROLÁSA</w:delText>
              </w:r>
            </w:del>
          </w:p>
        </w:tc>
      </w:tr>
    </w:tbl>
    <w:p w14:paraId="7F0904FA" w14:textId="057BD4C8" w:rsidR="00FB6710" w:rsidRPr="00183B5F" w:rsidRDefault="00FB6710" w:rsidP="004062FE">
      <w:pPr>
        <w:spacing w:line="240" w:lineRule="auto"/>
        <w:rPr>
          <w:del w:id="8968" w:author="AbbVie_HU_04" w:date="2025-05-15T11:59:00Z"/>
          <w:szCs w:val="22"/>
        </w:rPr>
      </w:pPr>
    </w:p>
    <w:p w14:paraId="1810F657" w14:textId="367B8725" w:rsidR="00FB6710" w:rsidRPr="00183B5F" w:rsidRDefault="00943743" w:rsidP="004062FE">
      <w:pPr>
        <w:spacing w:line="240" w:lineRule="auto"/>
        <w:rPr>
          <w:del w:id="8969" w:author="AbbVie_HU_04" w:date="2025-05-15T11:59:00Z"/>
          <w:szCs w:val="22"/>
        </w:rPr>
      </w:pPr>
      <w:del w:id="8970" w:author="AbbVie_HU_04" w:date="2025-05-15T11:59:00Z">
        <w:r w:rsidRPr="00183B5F">
          <w:rPr>
            <w:szCs w:val="22"/>
          </w:rPr>
          <w:delText>Segédanyagok: mannit, citromsav-monohidrát, trinátrium-citrát, nátrium</w:delText>
        </w:r>
        <w:r w:rsidRPr="00183B5F">
          <w:rPr>
            <w:szCs w:val="22"/>
          </w:rPr>
          <w:noBreakHyphen/>
          <w:delText>dihidrogén</w:delText>
        </w:r>
        <w:r w:rsidRPr="00183B5F">
          <w:rPr>
            <w:szCs w:val="22"/>
          </w:rPr>
          <w:noBreakHyphen/>
          <w:delText>foszfát</w:delText>
        </w:r>
        <w:r w:rsidRPr="00183B5F">
          <w:rPr>
            <w:szCs w:val="22"/>
          </w:rPr>
          <w:noBreakHyphen/>
          <w:delText>dihidrát, dinátrium</w:delText>
        </w:r>
        <w:r w:rsidRPr="00183B5F">
          <w:rPr>
            <w:szCs w:val="22"/>
          </w:rPr>
          <w:noBreakHyphen/>
          <w:delText>hidrogén</w:delText>
        </w:r>
        <w:r w:rsidRPr="00183B5F">
          <w:rPr>
            <w:szCs w:val="22"/>
          </w:rPr>
          <w:noBreakHyphen/>
          <w:delText>foszfát</w:delText>
        </w:r>
        <w:r w:rsidRPr="00183B5F">
          <w:rPr>
            <w:szCs w:val="22"/>
          </w:rPr>
          <w:noBreakHyphen/>
          <w:delText>dihidrát, nátrium</w:delText>
        </w:r>
        <w:r w:rsidRPr="00183B5F">
          <w:rPr>
            <w:szCs w:val="22"/>
          </w:rPr>
          <w:noBreakHyphen/>
        </w:r>
        <w:r w:rsidRPr="00183B5F">
          <w:rPr>
            <w:szCs w:val="22"/>
          </w:rPr>
          <w:delText>klorid, poliszorbát 80, nátrium</w:delText>
        </w:r>
        <w:r w:rsidRPr="00183B5F">
          <w:rPr>
            <w:szCs w:val="22"/>
          </w:rPr>
          <w:noBreakHyphen/>
          <w:delText>hidroxid, injekcióhoz való víz. További információkért olvassa el a betegtájékoztatót.</w:delText>
        </w:r>
      </w:del>
    </w:p>
    <w:p w14:paraId="5DC72379" w14:textId="3BFC559B" w:rsidR="00FB6710" w:rsidRPr="00183B5F" w:rsidRDefault="00FB6710" w:rsidP="004062FE">
      <w:pPr>
        <w:spacing w:line="240" w:lineRule="auto"/>
        <w:rPr>
          <w:del w:id="8971" w:author="AbbVie_HU_04" w:date="2025-05-15T11:59:00Z"/>
          <w:szCs w:val="22"/>
        </w:rPr>
      </w:pPr>
    </w:p>
    <w:p w14:paraId="3BA8B7D1" w14:textId="5A6CF9DE" w:rsidR="00FB6710" w:rsidRPr="00183B5F" w:rsidRDefault="00FB6710" w:rsidP="004062FE">
      <w:pPr>
        <w:pStyle w:val="EndnoteText"/>
        <w:tabs>
          <w:tab w:val="clear" w:pos="567"/>
        </w:tabs>
        <w:suppressAutoHyphens/>
        <w:rPr>
          <w:del w:id="8972" w:author="AbbVie_HU_04" w:date="2025-05-15T11:59:00Z"/>
          <w:sz w:val="22"/>
          <w:szCs w:val="22"/>
          <w:lang w:val="hu-HU" w:eastAsia="hu-HU"/>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77EB41B8" w14:textId="5FED721D">
        <w:trPr>
          <w:jc w:val="center"/>
          <w:del w:id="8973"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52A0A51E" w14:textId="0F0C24D3" w:rsidR="00FB6710" w:rsidRPr="00183B5F" w:rsidRDefault="00943743" w:rsidP="004062FE">
            <w:pPr>
              <w:tabs>
                <w:tab w:val="left" w:pos="142"/>
              </w:tabs>
              <w:spacing w:line="240" w:lineRule="auto"/>
              <w:ind w:left="567" w:hanging="567"/>
              <w:rPr>
                <w:del w:id="8974" w:author="AbbVie_HU_04" w:date="2025-05-15T11:59:00Z"/>
                <w:b/>
                <w:szCs w:val="22"/>
              </w:rPr>
            </w:pPr>
            <w:del w:id="8975" w:author="AbbVie_HU_04" w:date="2025-05-15T11:59:00Z">
              <w:r w:rsidRPr="00183B5F">
                <w:rPr>
                  <w:b/>
                  <w:szCs w:val="22"/>
                </w:rPr>
                <w:delText>4.</w:delText>
              </w:r>
              <w:r w:rsidRPr="00183B5F">
                <w:rPr>
                  <w:b/>
                  <w:szCs w:val="22"/>
                </w:rPr>
                <w:tab/>
                <w:delText>GYÓGYSZERFORMA ÉS TARTALOM</w:delText>
              </w:r>
            </w:del>
          </w:p>
        </w:tc>
      </w:tr>
    </w:tbl>
    <w:p w14:paraId="1745172C" w14:textId="333FBCF8" w:rsidR="00FB6710" w:rsidRPr="00183B5F" w:rsidRDefault="00FB6710" w:rsidP="004062FE">
      <w:pPr>
        <w:spacing w:line="240" w:lineRule="auto"/>
        <w:rPr>
          <w:del w:id="8976" w:author="AbbVie_HU_04" w:date="2025-05-15T11:59:00Z"/>
          <w:szCs w:val="22"/>
        </w:rPr>
      </w:pPr>
    </w:p>
    <w:p w14:paraId="5096B90B" w14:textId="767F22AF" w:rsidR="00CE119D" w:rsidRPr="00183B5F" w:rsidRDefault="00943743" w:rsidP="004062FE">
      <w:pPr>
        <w:spacing w:line="240" w:lineRule="auto"/>
        <w:rPr>
          <w:del w:id="8977" w:author="AbbVie_HU_04" w:date="2025-05-15T11:59:00Z"/>
          <w:szCs w:val="22"/>
        </w:rPr>
      </w:pPr>
      <w:del w:id="8978" w:author="AbbVie_HU_04" w:date="2025-05-15T11:59:00Z">
        <w:r w:rsidRPr="00183B5F">
          <w:rPr>
            <w:szCs w:val="22"/>
            <w:highlight w:val="lightGray"/>
          </w:rPr>
          <w:delText>Oldatos injekció.</w:delText>
        </w:r>
      </w:del>
    </w:p>
    <w:p w14:paraId="4145AE77" w14:textId="351CCA0E" w:rsidR="00FB6710" w:rsidRPr="00183B5F" w:rsidRDefault="00943743" w:rsidP="004062FE">
      <w:pPr>
        <w:spacing w:line="240" w:lineRule="auto"/>
        <w:rPr>
          <w:del w:id="8979" w:author="AbbVie_HU_04" w:date="2025-05-15T11:59:00Z"/>
          <w:szCs w:val="22"/>
        </w:rPr>
      </w:pPr>
      <w:del w:id="8980" w:author="AbbVie_HU_04" w:date="2025-05-15T11:59:00Z">
        <w:r w:rsidRPr="00183B5F">
          <w:rPr>
            <w:szCs w:val="22"/>
          </w:rPr>
          <w:delText>1 db előretöltött fecskendő</w:delText>
        </w:r>
      </w:del>
    </w:p>
    <w:p w14:paraId="2942F269" w14:textId="10096544" w:rsidR="00FB6710" w:rsidRPr="00183B5F" w:rsidRDefault="00943743" w:rsidP="004062FE">
      <w:pPr>
        <w:spacing w:line="240" w:lineRule="auto"/>
        <w:rPr>
          <w:del w:id="8981" w:author="AbbVie_HU_04" w:date="2025-05-15T11:59:00Z"/>
          <w:szCs w:val="22"/>
        </w:rPr>
      </w:pPr>
      <w:del w:id="8982" w:author="AbbVie_HU_04" w:date="2025-05-15T11:59:00Z">
        <w:r w:rsidRPr="00183B5F">
          <w:rPr>
            <w:szCs w:val="22"/>
          </w:rPr>
          <w:delText>1 db alko</w:delText>
        </w:r>
        <w:r w:rsidR="00347F49" w:rsidRPr="00183B5F">
          <w:rPr>
            <w:szCs w:val="22"/>
          </w:rPr>
          <w:delText>ho</w:delText>
        </w:r>
        <w:r w:rsidRPr="00183B5F">
          <w:rPr>
            <w:szCs w:val="22"/>
          </w:rPr>
          <w:delText>los törlőkendő</w:delText>
        </w:r>
      </w:del>
    </w:p>
    <w:p w14:paraId="085A5E32" w14:textId="537E8C09" w:rsidR="00CE119D" w:rsidRPr="00183B5F" w:rsidRDefault="00CE119D" w:rsidP="004062FE">
      <w:pPr>
        <w:spacing w:line="240" w:lineRule="auto"/>
        <w:rPr>
          <w:del w:id="8983" w:author="AbbVie_HU_04" w:date="2025-05-15T11:59:00Z"/>
          <w:szCs w:val="22"/>
        </w:rPr>
      </w:pPr>
    </w:p>
    <w:p w14:paraId="0DDC528C" w14:textId="7E1E2D54" w:rsidR="00CE119D" w:rsidRPr="00183B5F" w:rsidRDefault="00943743" w:rsidP="004062FE">
      <w:pPr>
        <w:spacing w:line="240" w:lineRule="auto"/>
        <w:rPr>
          <w:del w:id="8984" w:author="AbbVie_HU_04" w:date="2025-05-15T11:59:00Z"/>
          <w:szCs w:val="22"/>
          <w:highlight w:val="lightGray"/>
        </w:rPr>
      </w:pPr>
      <w:del w:id="8985" w:author="AbbVie_HU_04" w:date="2025-05-15T11:59:00Z">
        <w:r w:rsidRPr="00183B5F">
          <w:rPr>
            <w:szCs w:val="22"/>
            <w:highlight w:val="lightGray"/>
          </w:rPr>
          <w:delText>2 db előretöltött fecskendő</w:delText>
        </w:r>
      </w:del>
    </w:p>
    <w:p w14:paraId="5857890B" w14:textId="1CCAF863" w:rsidR="00CE119D" w:rsidRPr="00183B5F" w:rsidRDefault="00943743" w:rsidP="004062FE">
      <w:pPr>
        <w:spacing w:line="240" w:lineRule="auto"/>
        <w:rPr>
          <w:del w:id="8986" w:author="AbbVie_HU_04" w:date="2025-05-15T11:59:00Z"/>
          <w:szCs w:val="22"/>
          <w:highlight w:val="lightGray"/>
        </w:rPr>
      </w:pPr>
      <w:del w:id="8987" w:author="AbbVie_HU_04" w:date="2025-05-15T11:59:00Z">
        <w:r w:rsidRPr="00183B5F">
          <w:rPr>
            <w:szCs w:val="22"/>
            <w:highlight w:val="lightGray"/>
          </w:rPr>
          <w:delText>2 db alkoholos törlőkendő</w:delText>
        </w:r>
      </w:del>
    </w:p>
    <w:p w14:paraId="31315013" w14:textId="31A7B5BF" w:rsidR="00CE119D" w:rsidRPr="00183B5F" w:rsidRDefault="00CE119D" w:rsidP="004062FE">
      <w:pPr>
        <w:spacing w:line="240" w:lineRule="auto"/>
        <w:rPr>
          <w:del w:id="8988" w:author="AbbVie_HU_04" w:date="2025-05-15T11:59:00Z"/>
          <w:szCs w:val="22"/>
          <w:highlight w:val="lightGray"/>
        </w:rPr>
      </w:pPr>
    </w:p>
    <w:p w14:paraId="4BD9C404" w14:textId="797BD3F7" w:rsidR="00CE119D" w:rsidRPr="00183B5F" w:rsidRDefault="00943743" w:rsidP="004062FE">
      <w:pPr>
        <w:spacing w:line="240" w:lineRule="auto"/>
        <w:rPr>
          <w:del w:id="8989" w:author="AbbVie_HU_04" w:date="2025-05-15T11:59:00Z"/>
          <w:szCs w:val="22"/>
          <w:highlight w:val="lightGray"/>
        </w:rPr>
      </w:pPr>
      <w:del w:id="8990" w:author="AbbVie_HU_04" w:date="2025-05-15T11:59:00Z">
        <w:r w:rsidRPr="00183B5F">
          <w:rPr>
            <w:szCs w:val="22"/>
            <w:highlight w:val="lightGray"/>
          </w:rPr>
          <w:delText>4 db előretöltött fecskendő</w:delText>
        </w:r>
      </w:del>
    </w:p>
    <w:p w14:paraId="7C41A27E" w14:textId="1F079007" w:rsidR="00CE119D" w:rsidRPr="00183B5F" w:rsidRDefault="00943743" w:rsidP="004062FE">
      <w:pPr>
        <w:spacing w:line="240" w:lineRule="auto"/>
        <w:rPr>
          <w:del w:id="8991" w:author="AbbVie_HU_04" w:date="2025-05-15T11:59:00Z"/>
          <w:szCs w:val="22"/>
          <w:highlight w:val="lightGray"/>
        </w:rPr>
      </w:pPr>
      <w:del w:id="8992" w:author="AbbVie_HU_04" w:date="2025-05-15T11:59:00Z">
        <w:r w:rsidRPr="00183B5F">
          <w:rPr>
            <w:szCs w:val="22"/>
            <w:highlight w:val="lightGray"/>
          </w:rPr>
          <w:delText>4 db alkoholos törlőkendő</w:delText>
        </w:r>
      </w:del>
    </w:p>
    <w:p w14:paraId="7D03C231" w14:textId="002D1A23" w:rsidR="00FB6710" w:rsidRPr="00183B5F" w:rsidRDefault="00FB6710" w:rsidP="004062FE">
      <w:pPr>
        <w:spacing w:line="240" w:lineRule="auto"/>
        <w:rPr>
          <w:del w:id="8993" w:author="AbbVie_HU_04" w:date="2025-05-15T11:59:00Z"/>
          <w:szCs w:val="22"/>
          <w:highlight w:val="lightGray"/>
        </w:rPr>
      </w:pPr>
    </w:p>
    <w:p w14:paraId="143DCCE9" w14:textId="71E6A90A" w:rsidR="00CE119D" w:rsidRPr="00183B5F" w:rsidRDefault="00943743" w:rsidP="004062FE">
      <w:pPr>
        <w:spacing w:line="240" w:lineRule="auto"/>
        <w:rPr>
          <w:del w:id="8994" w:author="AbbVie_HU_04" w:date="2025-05-15T11:59:00Z"/>
          <w:szCs w:val="22"/>
          <w:highlight w:val="lightGray"/>
        </w:rPr>
      </w:pPr>
      <w:del w:id="8995" w:author="AbbVie_HU_04" w:date="2025-05-15T11:59:00Z">
        <w:r w:rsidRPr="00183B5F">
          <w:rPr>
            <w:szCs w:val="22"/>
            <w:highlight w:val="lightGray"/>
          </w:rPr>
          <w:delText>6 db előretöltött fecskendő</w:delText>
        </w:r>
      </w:del>
    </w:p>
    <w:p w14:paraId="21EACAE8" w14:textId="62A9DFD6" w:rsidR="00CE119D" w:rsidRPr="00183B5F" w:rsidRDefault="00943743" w:rsidP="004062FE">
      <w:pPr>
        <w:spacing w:line="240" w:lineRule="auto"/>
        <w:rPr>
          <w:del w:id="8996" w:author="AbbVie_HU_04" w:date="2025-05-15T11:59:00Z"/>
          <w:szCs w:val="22"/>
          <w:highlight w:val="lightGray"/>
        </w:rPr>
      </w:pPr>
      <w:del w:id="8997" w:author="AbbVie_HU_04" w:date="2025-05-15T11:59:00Z">
        <w:r w:rsidRPr="00183B5F">
          <w:rPr>
            <w:szCs w:val="22"/>
            <w:highlight w:val="lightGray"/>
          </w:rPr>
          <w:delText>6 db alkoholos törlőkendő</w:delText>
        </w:r>
      </w:del>
    </w:p>
    <w:p w14:paraId="4776EBF7" w14:textId="29FD08E2" w:rsidR="00CE119D" w:rsidRPr="00183B5F" w:rsidRDefault="00CE119D" w:rsidP="004062FE">
      <w:pPr>
        <w:spacing w:line="240" w:lineRule="auto"/>
        <w:rPr>
          <w:del w:id="8998" w:author="AbbVie_HU_04" w:date="2025-05-15T11:59:00Z"/>
          <w:szCs w:val="22"/>
        </w:rPr>
      </w:pPr>
    </w:p>
    <w:p w14:paraId="384739B9" w14:textId="6B4A8E68" w:rsidR="00FB6710" w:rsidRPr="00183B5F" w:rsidRDefault="00FB6710" w:rsidP="004062FE">
      <w:pPr>
        <w:pStyle w:val="EndnoteText"/>
        <w:tabs>
          <w:tab w:val="clear" w:pos="567"/>
        </w:tabs>
        <w:suppressAutoHyphens/>
        <w:rPr>
          <w:del w:id="8999" w:author="AbbVie_HU_04" w:date="2025-05-15T11:59:00Z"/>
          <w:sz w:val="22"/>
          <w:szCs w:val="22"/>
          <w:lang w:val="hu-HU" w:eastAsia="hu-HU"/>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49F52DA9" w14:textId="577853DC">
        <w:trPr>
          <w:jc w:val="center"/>
          <w:del w:id="9000"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1F7E43A1" w14:textId="68F343AE" w:rsidR="00FB6710" w:rsidRPr="00183B5F" w:rsidRDefault="00943743" w:rsidP="004062FE">
            <w:pPr>
              <w:tabs>
                <w:tab w:val="left" w:pos="142"/>
              </w:tabs>
              <w:spacing w:line="240" w:lineRule="auto"/>
              <w:ind w:left="567" w:hanging="567"/>
              <w:rPr>
                <w:del w:id="9001" w:author="AbbVie_HU_04" w:date="2025-05-15T11:59:00Z"/>
                <w:b/>
                <w:szCs w:val="22"/>
              </w:rPr>
            </w:pPr>
            <w:del w:id="9002" w:author="AbbVie_HU_04" w:date="2025-05-15T11:59:00Z">
              <w:r w:rsidRPr="00183B5F">
                <w:rPr>
                  <w:b/>
                  <w:szCs w:val="22"/>
                </w:rPr>
                <w:delText>5.</w:delText>
              </w:r>
              <w:r w:rsidRPr="00183B5F">
                <w:rPr>
                  <w:b/>
                  <w:szCs w:val="22"/>
                </w:rPr>
                <w:tab/>
                <w:delText>AZ ALKALMAZÁSSAL KAPCSOLATOS TUDNIVALÓK ÉS AZ ALKALMAZÁS MÓDJA (I)</w:delText>
              </w:r>
            </w:del>
          </w:p>
        </w:tc>
      </w:tr>
    </w:tbl>
    <w:p w14:paraId="5DE592BF" w14:textId="3E35FD1B" w:rsidR="00FB6710" w:rsidRPr="00183B5F" w:rsidRDefault="00FB6710" w:rsidP="004062FE">
      <w:pPr>
        <w:spacing w:line="240" w:lineRule="auto"/>
        <w:rPr>
          <w:del w:id="9003" w:author="AbbVie_HU_04" w:date="2025-05-15T11:59:00Z"/>
          <w:szCs w:val="22"/>
        </w:rPr>
      </w:pPr>
    </w:p>
    <w:p w14:paraId="4B3B87DF" w14:textId="23969B2C" w:rsidR="00FB6710" w:rsidRPr="00183B5F" w:rsidRDefault="00943743" w:rsidP="004062FE">
      <w:pPr>
        <w:spacing w:line="240" w:lineRule="auto"/>
        <w:rPr>
          <w:del w:id="9004" w:author="AbbVie_HU_04" w:date="2025-05-15T11:59:00Z"/>
          <w:szCs w:val="22"/>
        </w:rPr>
      </w:pPr>
      <w:del w:id="9005" w:author="AbbVie_HU_04" w:date="2025-05-15T11:59:00Z">
        <w:r w:rsidRPr="00183B5F">
          <w:rPr>
            <w:szCs w:val="22"/>
          </w:rPr>
          <w:delText>Bőr alá történő beadásra</w:delText>
        </w:r>
        <w:r w:rsidR="00CE794D" w:rsidRPr="00183B5F">
          <w:rPr>
            <w:szCs w:val="22"/>
          </w:rPr>
          <w:delText>.</w:delText>
        </w:r>
      </w:del>
    </w:p>
    <w:p w14:paraId="45D851B9" w14:textId="63CBA672" w:rsidR="00091AC2" w:rsidRPr="00183B5F" w:rsidRDefault="00091AC2" w:rsidP="004062FE">
      <w:pPr>
        <w:spacing w:line="240" w:lineRule="auto"/>
        <w:rPr>
          <w:del w:id="9006" w:author="AbbVie_HU_04" w:date="2025-05-15T11:59:00Z"/>
          <w:szCs w:val="22"/>
        </w:rPr>
      </w:pPr>
    </w:p>
    <w:p w14:paraId="16C40CA3" w14:textId="40C79059" w:rsidR="00FB6710" w:rsidRPr="00183B5F" w:rsidRDefault="00943743" w:rsidP="004062FE">
      <w:pPr>
        <w:spacing w:line="240" w:lineRule="auto"/>
        <w:rPr>
          <w:del w:id="9007" w:author="AbbVie_HU_04" w:date="2025-05-15T11:59:00Z"/>
          <w:szCs w:val="22"/>
        </w:rPr>
      </w:pPr>
      <w:del w:id="9008" w:author="AbbVie_HU_04" w:date="2025-05-15T11:59:00Z">
        <w:r w:rsidRPr="00183B5F">
          <w:rPr>
            <w:szCs w:val="22"/>
          </w:rPr>
          <w:delText>Használat előtt olvassa el a mellékelt betegtájékoztatót</w:delText>
        </w:r>
        <w:r w:rsidR="00091AC2" w:rsidRPr="00183B5F">
          <w:rPr>
            <w:szCs w:val="22"/>
          </w:rPr>
          <w:delText>.</w:delText>
        </w:r>
      </w:del>
    </w:p>
    <w:p w14:paraId="7A25884D" w14:textId="42F97E13" w:rsidR="00CE119D" w:rsidRPr="00183B5F" w:rsidRDefault="00CE119D" w:rsidP="004062FE">
      <w:pPr>
        <w:spacing w:line="240" w:lineRule="auto"/>
        <w:rPr>
          <w:del w:id="9009" w:author="AbbVie_HU_04" w:date="2025-05-15T11:59:00Z"/>
          <w:szCs w:val="22"/>
        </w:rPr>
      </w:pPr>
    </w:p>
    <w:p w14:paraId="0CEAEFEE" w14:textId="0C7B167C" w:rsidR="00CE119D" w:rsidRPr="00183B5F" w:rsidRDefault="00943743" w:rsidP="004062FE">
      <w:pPr>
        <w:spacing w:line="240" w:lineRule="auto"/>
        <w:rPr>
          <w:del w:id="9010" w:author="AbbVie_HU_04" w:date="2025-05-15T11:59:00Z"/>
          <w:strike/>
          <w:szCs w:val="22"/>
        </w:rPr>
      </w:pPr>
      <w:del w:id="9011" w:author="AbbVie_HU_04" w:date="2025-05-15T11:59:00Z">
        <w:r w:rsidRPr="00183B5F">
          <w:rPr>
            <w:szCs w:val="22"/>
          </w:rPr>
          <w:delText>Kizárólag egyszeri alkalmazásra.</w:delText>
        </w:r>
      </w:del>
    </w:p>
    <w:p w14:paraId="2C033DFA" w14:textId="691A56DB" w:rsidR="00FB6710" w:rsidRPr="00183B5F" w:rsidRDefault="00FB6710" w:rsidP="004062FE">
      <w:pPr>
        <w:spacing w:line="240" w:lineRule="auto"/>
        <w:rPr>
          <w:del w:id="9012" w:author="AbbVie_HU_04" w:date="2025-05-15T11:59:00Z"/>
          <w:szCs w:val="22"/>
        </w:rPr>
      </w:pPr>
    </w:p>
    <w:p w14:paraId="136D625C" w14:textId="3282F829" w:rsidR="00FB6710" w:rsidRPr="00183B5F" w:rsidRDefault="00FB6710" w:rsidP="004062FE">
      <w:pPr>
        <w:pStyle w:val="EndnoteText"/>
        <w:tabs>
          <w:tab w:val="clear" w:pos="567"/>
        </w:tabs>
        <w:suppressAutoHyphens/>
        <w:rPr>
          <w:del w:id="9013" w:author="AbbVie_HU_04" w:date="2025-05-15T11:59:00Z"/>
          <w:sz w:val="22"/>
          <w:szCs w:val="22"/>
          <w:lang w:val="hu-HU" w:eastAsia="hu-HU"/>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4273393" w14:textId="49DF3289">
        <w:trPr>
          <w:jc w:val="center"/>
          <w:del w:id="9014"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66632249" w14:textId="2237986C" w:rsidR="00FB6710" w:rsidRPr="00183B5F" w:rsidRDefault="00943743" w:rsidP="004062FE">
            <w:pPr>
              <w:spacing w:line="240" w:lineRule="auto"/>
              <w:ind w:left="567" w:hanging="567"/>
              <w:rPr>
                <w:del w:id="9015" w:author="AbbVie_HU_04" w:date="2025-05-15T11:59:00Z"/>
                <w:b/>
                <w:szCs w:val="22"/>
              </w:rPr>
            </w:pPr>
            <w:del w:id="9016" w:author="AbbVie_HU_04" w:date="2025-05-15T11:59:00Z">
              <w:r w:rsidRPr="00183B5F">
                <w:rPr>
                  <w:b/>
                  <w:szCs w:val="22"/>
                </w:rPr>
                <w:delText>6.</w:delText>
              </w:r>
              <w:r w:rsidRPr="00183B5F">
                <w:rPr>
                  <w:b/>
                  <w:szCs w:val="22"/>
                </w:rPr>
                <w:tab/>
              </w:r>
              <w:r w:rsidRPr="00183B5F">
                <w:rPr>
                  <w:b/>
                  <w:szCs w:val="22"/>
                </w:rPr>
                <w:delText>KÜLÖN FIGYELMEZTETÉS, MELY SZERINT A GYÓGYSZERT GYERMEKEKTŐL ELZÁRVA KELL TARTANI</w:delText>
              </w:r>
            </w:del>
          </w:p>
        </w:tc>
      </w:tr>
    </w:tbl>
    <w:p w14:paraId="6EF234D7" w14:textId="12A2A0AB" w:rsidR="00FB6710" w:rsidRPr="00183B5F" w:rsidRDefault="00FB6710" w:rsidP="004062FE">
      <w:pPr>
        <w:spacing w:line="240" w:lineRule="auto"/>
        <w:rPr>
          <w:del w:id="9017" w:author="AbbVie_HU_04" w:date="2025-05-15T11:59:00Z"/>
          <w:szCs w:val="22"/>
        </w:rPr>
      </w:pPr>
    </w:p>
    <w:p w14:paraId="5CE1FCE9" w14:textId="30C3DEA0" w:rsidR="00FB6710" w:rsidRPr="00183B5F" w:rsidRDefault="00943743" w:rsidP="004062FE">
      <w:pPr>
        <w:spacing w:line="240" w:lineRule="auto"/>
        <w:rPr>
          <w:del w:id="9018" w:author="AbbVie_HU_04" w:date="2025-05-15T11:59:00Z"/>
          <w:szCs w:val="22"/>
        </w:rPr>
      </w:pPr>
      <w:del w:id="9019" w:author="AbbVie_HU_04" w:date="2025-05-15T11:59:00Z">
        <w:r w:rsidRPr="00183B5F">
          <w:rPr>
            <w:szCs w:val="22"/>
          </w:rPr>
          <w:delText>A gyógyszer gyermekektől elzárva tartandó!</w:delText>
        </w:r>
      </w:del>
    </w:p>
    <w:p w14:paraId="64B06A8F" w14:textId="654073BE" w:rsidR="00FB6710" w:rsidRPr="00183B5F" w:rsidRDefault="00FB6710" w:rsidP="004062FE">
      <w:pPr>
        <w:spacing w:line="240" w:lineRule="auto"/>
        <w:rPr>
          <w:del w:id="9020" w:author="AbbVie_HU_04" w:date="2025-05-15T11:59:00Z"/>
          <w:szCs w:val="22"/>
        </w:rPr>
      </w:pPr>
    </w:p>
    <w:p w14:paraId="5EF4C9B6" w14:textId="74A53522" w:rsidR="00FB6710" w:rsidRPr="00183B5F" w:rsidRDefault="00FB6710" w:rsidP="004062FE">
      <w:pPr>
        <w:spacing w:line="240" w:lineRule="auto"/>
        <w:rPr>
          <w:del w:id="9021"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2E70B496" w14:textId="774A2E77">
        <w:trPr>
          <w:jc w:val="center"/>
          <w:del w:id="9022"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6FEB3C2E" w14:textId="388F94BF" w:rsidR="00FB6710" w:rsidRPr="00183B5F" w:rsidRDefault="00943743" w:rsidP="004062FE">
            <w:pPr>
              <w:tabs>
                <w:tab w:val="left" w:pos="142"/>
              </w:tabs>
              <w:spacing w:line="240" w:lineRule="auto"/>
              <w:ind w:left="567" w:hanging="567"/>
              <w:rPr>
                <w:del w:id="9023" w:author="AbbVie_HU_04" w:date="2025-05-15T11:59:00Z"/>
                <w:b/>
                <w:szCs w:val="22"/>
              </w:rPr>
            </w:pPr>
            <w:del w:id="9024" w:author="AbbVie_HU_04" w:date="2025-05-15T11:59:00Z">
              <w:r w:rsidRPr="00183B5F">
                <w:rPr>
                  <w:b/>
                  <w:szCs w:val="22"/>
                </w:rPr>
                <w:delText>7.</w:delText>
              </w:r>
              <w:r w:rsidRPr="00183B5F">
                <w:rPr>
                  <w:b/>
                  <w:szCs w:val="22"/>
                </w:rPr>
                <w:tab/>
                <w:delText>TOVÁBBI FIGYELMEZTETÉS(EK), AMENNYIBEN SZÜKSÉGES</w:delText>
              </w:r>
            </w:del>
          </w:p>
        </w:tc>
      </w:tr>
    </w:tbl>
    <w:p w14:paraId="34CCAC58" w14:textId="73E570AE" w:rsidR="00FB6710" w:rsidRPr="00183B5F" w:rsidRDefault="00FB6710" w:rsidP="004062FE">
      <w:pPr>
        <w:spacing w:line="240" w:lineRule="auto"/>
        <w:rPr>
          <w:del w:id="9025" w:author="AbbVie_HU_04" w:date="2025-05-15T11:59:00Z"/>
          <w:szCs w:val="22"/>
        </w:rPr>
      </w:pPr>
    </w:p>
    <w:p w14:paraId="2AFC7B3F" w14:textId="4420C151" w:rsidR="00FB6710" w:rsidRPr="00183B5F" w:rsidRDefault="00FB6710" w:rsidP="004062FE">
      <w:pPr>
        <w:spacing w:line="240" w:lineRule="auto"/>
        <w:rPr>
          <w:del w:id="9026"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288C1CD2" w14:textId="5DC780E2">
        <w:trPr>
          <w:jc w:val="center"/>
          <w:del w:id="9027"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3310DA1B" w14:textId="52388808" w:rsidR="00FB6710" w:rsidRPr="00183B5F" w:rsidRDefault="00943743" w:rsidP="004062FE">
            <w:pPr>
              <w:tabs>
                <w:tab w:val="left" w:pos="142"/>
              </w:tabs>
              <w:spacing w:line="240" w:lineRule="auto"/>
              <w:ind w:left="567" w:hanging="567"/>
              <w:rPr>
                <w:del w:id="9028" w:author="AbbVie_HU_04" w:date="2025-05-15T11:59:00Z"/>
                <w:b/>
                <w:szCs w:val="22"/>
              </w:rPr>
            </w:pPr>
            <w:del w:id="9029" w:author="AbbVie_HU_04" w:date="2025-05-15T11:59:00Z">
              <w:r w:rsidRPr="00183B5F">
                <w:rPr>
                  <w:b/>
                  <w:szCs w:val="22"/>
                </w:rPr>
                <w:delText>8.</w:delText>
              </w:r>
              <w:r w:rsidRPr="00183B5F">
                <w:rPr>
                  <w:b/>
                  <w:szCs w:val="22"/>
                </w:rPr>
                <w:tab/>
                <w:delText>LEJÁRATI IDŐ</w:delText>
              </w:r>
            </w:del>
          </w:p>
        </w:tc>
      </w:tr>
    </w:tbl>
    <w:p w14:paraId="223A640E" w14:textId="49A8401C" w:rsidR="00FB6710" w:rsidRPr="00183B5F" w:rsidRDefault="00FB6710" w:rsidP="004062FE">
      <w:pPr>
        <w:spacing w:line="240" w:lineRule="auto"/>
        <w:rPr>
          <w:del w:id="9030" w:author="AbbVie_HU_04" w:date="2025-05-15T11:59:00Z"/>
          <w:szCs w:val="22"/>
        </w:rPr>
      </w:pPr>
    </w:p>
    <w:p w14:paraId="351D36AB" w14:textId="41FF7C2E" w:rsidR="00FB6710" w:rsidRPr="00183B5F" w:rsidRDefault="00943743" w:rsidP="004062FE">
      <w:pPr>
        <w:spacing w:line="240" w:lineRule="auto"/>
        <w:rPr>
          <w:del w:id="9031" w:author="AbbVie_HU_04" w:date="2025-05-15T11:59:00Z"/>
          <w:szCs w:val="22"/>
        </w:rPr>
      </w:pPr>
      <w:del w:id="9032" w:author="AbbVie_HU_04" w:date="2025-05-15T11:59:00Z">
        <w:r w:rsidRPr="00183B5F">
          <w:rPr>
            <w:szCs w:val="22"/>
          </w:rPr>
          <w:delText>EXP</w:delText>
        </w:r>
      </w:del>
    </w:p>
    <w:p w14:paraId="3CC6FFD5" w14:textId="014BC16A" w:rsidR="00FB6710" w:rsidRPr="00183B5F" w:rsidRDefault="00FB6710" w:rsidP="004062FE">
      <w:pPr>
        <w:spacing w:line="240" w:lineRule="auto"/>
        <w:rPr>
          <w:del w:id="9033" w:author="AbbVie_HU_04" w:date="2025-05-15T11:59:00Z"/>
          <w:szCs w:val="22"/>
        </w:rPr>
      </w:pPr>
    </w:p>
    <w:p w14:paraId="395173AF" w14:textId="5247A4AC" w:rsidR="00FB6710" w:rsidRPr="00183B5F" w:rsidRDefault="00FB6710" w:rsidP="004062FE">
      <w:pPr>
        <w:spacing w:line="240" w:lineRule="auto"/>
        <w:rPr>
          <w:del w:id="9034"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328E021D" w14:textId="56E49001">
        <w:trPr>
          <w:jc w:val="center"/>
          <w:del w:id="9035"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04CFCA3C" w14:textId="0EBF2B15" w:rsidR="00FB6710" w:rsidRPr="00183B5F" w:rsidRDefault="00943743" w:rsidP="004062FE">
            <w:pPr>
              <w:keepNext/>
              <w:tabs>
                <w:tab w:val="left" w:pos="142"/>
              </w:tabs>
              <w:spacing w:line="240" w:lineRule="auto"/>
              <w:ind w:left="567" w:hanging="567"/>
              <w:rPr>
                <w:del w:id="9036" w:author="AbbVie_HU_04" w:date="2025-05-15T11:59:00Z"/>
                <w:b/>
                <w:szCs w:val="22"/>
              </w:rPr>
            </w:pPr>
            <w:del w:id="9037" w:author="AbbVie_HU_04" w:date="2025-05-15T11:59:00Z">
              <w:r w:rsidRPr="00183B5F">
                <w:rPr>
                  <w:b/>
                  <w:szCs w:val="22"/>
                </w:rPr>
                <w:delText>9.</w:delText>
              </w:r>
              <w:r w:rsidRPr="00183B5F">
                <w:rPr>
                  <w:b/>
                  <w:szCs w:val="22"/>
                </w:rPr>
                <w:tab/>
              </w:r>
              <w:r w:rsidRPr="00183B5F">
                <w:rPr>
                  <w:b/>
                  <w:szCs w:val="22"/>
                </w:rPr>
                <w:delText>KÜLÖNLEGES TÁROLÁSI ELŐÍRÁSOK</w:delText>
              </w:r>
            </w:del>
          </w:p>
        </w:tc>
      </w:tr>
    </w:tbl>
    <w:p w14:paraId="0CF3F3B8" w14:textId="19756C3A" w:rsidR="0000152A" w:rsidRPr="00183B5F" w:rsidRDefault="0000152A" w:rsidP="004062FE">
      <w:pPr>
        <w:keepNext/>
        <w:spacing w:line="240" w:lineRule="auto"/>
        <w:rPr>
          <w:del w:id="9038" w:author="AbbVie_HU_04" w:date="2025-05-15T11:59:00Z"/>
          <w:szCs w:val="22"/>
        </w:rPr>
      </w:pPr>
    </w:p>
    <w:p w14:paraId="05D9A3E0" w14:textId="58799873" w:rsidR="00091AC2" w:rsidRPr="00183B5F" w:rsidRDefault="00943743" w:rsidP="004062FE">
      <w:pPr>
        <w:keepNext/>
        <w:spacing w:line="240" w:lineRule="auto"/>
        <w:rPr>
          <w:del w:id="9039" w:author="AbbVie_HU_04" w:date="2025-05-15T11:59:00Z"/>
          <w:szCs w:val="22"/>
        </w:rPr>
      </w:pPr>
      <w:del w:id="9040" w:author="AbbVie_HU_04" w:date="2025-05-15T11:59:00Z">
        <w:r w:rsidRPr="00183B5F">
          <w:rPr>
            <w:szCs w:val="22"/>
          </w:rPr>
          <w:delText>Hűtőszekrényben tárolandó. Nem fagyasztható</w:delText>
        </w:r>
        <w:r w:rsidR="006B2BB7" w:rsidRPr="00183B5F">
          <w:rPr>
            <w:szCs w:val="22"/>
          </w:rPr>
          <w:delText>!</w:delText>
        </w:r>
      </w:del>
    </w:p>
    <w:p w14:paraId="09708D8A" w14:textId="64C6D717" w:rsidR="003F135D" w:rsidRPr="00183B5F" w:rsidRDefault="00943743" w:rsidP="004062FE">
      <w:pPr>
        <w:spacing w:line="240" w:lineRule="auto"/>
        <w:rPr>
          <w:del w:id="9041" w:author="AbbVie_HU_04" w:date="2025-05-15T11:59:00Z"/>
          <w:szCs w:val="22"/>
        </w:rPr>
      </w:pPr>
      <w:del w:id="9042" w:author="AbbVie_HU_04" w:date="2025-05-15T11:59:00Z">
        <w:r w:rsidRPr="00183B5F">
          <w:rPr>
            <w:szCs w:val="22"/>
          </w:rPr>
          <w:delText>További információkért olvassa el a betegtájékoztatót.</w:delText>
        </w:r>
      </w:del>
    </w:p>
    <w:p w14:paraId="3DF28D59" w14:textId="3B366EEA" w:rsidR="00091AC2" w:rsidRPr="00183B5F" w:rsidRDefault="00091AC2" w:rsidP="004062FE">
      <w:pPr>
        <w:spacing w:line="240" w:lineRule="auto"/>
        <w:rPr>
          <w:del w:id="9043" w:author="AbbVie_HU_04" w:date="2025-05-15T11:59:00Z"/>
          <w:szCs w:val="22"/>
        </w:rPr>
      </w:pPr>
    </w:p>
    <w:p w14:paraId="1D255B3D" w14:textId="224F0C0A" w:rsidR="00FB6710" w:rsidRPr="00183B5F" w:rsidRDefault="00943743" w:rsidP="004062FE">
      <w:pPr>
        <w:spacing w:line="240" w:lineRule="auto"/>
        <w:rPr>
          <w:del w:id="9044" w:author="AbbVie_HU_04" w:date="2025-05-15T11:59:00Z"/>
          <w:szCs w:val="22"/>
        </w:rPr>
      </w:pPr>
      <w:del w:id="9045" w:author="AbbVie_HU_04" w:date="2025-05-15T11:59:00Z">
        <w:r w:rsidRPr="00183B5F">
          <w:rPr>
            <w:szCs w:val="22"/>
          </w:rPr>
          <w:delText>A fénytől való védelem érdekében</w:delText>
        </w:r>
        <w:r w:rsidR="00C32B5C" w:rsidRPr="00183B5F">
          <w:rPr>
            <w:szCs w:val="22"/>
          </w:rPr>
          <w:delText xml:space="preserve"> a</w:delText>
        </w:r>
        <w:r w:rsidRPr="00183B5F">
          <w:rPr>
            <w:szCs w:val="22"/>
          </w:rPr>
          <w:delText xml:space="preserve"> fecskendő </w:delText>
        </w:r>
        <w:r w:rsidR="002933CF" w:rsidRPr="00183B5F">
          <w:rPr>
            <w:szCs w:val="22"/>
          </w:rPr>
          <w:delText>az eredeti dobozban tárolandó</w:delText>
        </w:r>
        <w:r w:rsidRPr="00183B5F">
          <w:rPr>
            <w:szCs w:val="22"/>
          </w:rPr>
          <w:delText>.</w:delText>
        </w:r>
      </w:del>
    </w:p>
    <w:p w14:paraId="3D29E6B6" w14:textId="4D8DA596" w:rsidR="00FB6710" w:rsidRPr="00183B5F" w:rsidRDefault="00FB6710" w:rsidP="004062FE">
      <w:pPr>
        <w:spacing w:line="240" w:lineRule="auto"/>
        <w:rPr>
          <w:del w:id="9046" w:author="AbbVie_HU_04" w:date="2025-05-15T11:59:00Z"/>
          <w:szCs w:val="22"/>
        </w:rPr>
      </w:pPr>
    </w:p>
    <w:p w14:paraId="0B84ACC3" w14:textId="4E16500C" w:rsidR="00FB6710" w:rsidRPr="00183B5F" w:rsidRDefault="00FB6710" w:rsidP="004062FE">
      <w:pPr>
        <w:spacing w:line="240" w:lineRule="auto"/>
        <w:rPr>
          <w:del w:id="9047"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3D364FE" w14:textId="576069DC">
        <w:trPr>
          <w:jc w:val="center"/>
          <w:del w:id="9048"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7BE463BE" w14:textId="3B76CB42" w:rsidR="00FB6710" w:rsidRPr="00183B5F" w:rsidRDefault="00943743" w:rsidP="004062FE">
            <w:pPr>
              <w:tabs>
                <w:tab w:val="left" w:pos="142"/>
              </w:tabs>
              <w:spacing w:line="240" w:lineRule="auto"/>
              <w:ind w:left="567" w:hanging="567"/>
              <w:rPr>
                <w:del w:id="9049" w:author="AbbVie_HU_04" w:date="2025-05-15T11:59:00Z"/>
                <w:b/>
                <w:szCs w:val="22"/>
              </w:rPr>
            </w:pPr>
            <w:del w:id="9050" w:author="AbbVie_HU_04" w:date="2025-05-15T11:59:00Z">
              <w:r w:rsidRPr="00183B5F">
                <w:rPr>
                  <w:b/>
                  <w:szCs w:val="22"/>
                </w:rPr>
                <w:delText>10.</w:delText>
              </w:r>
              <w:r w:rsidRPr="00183B5F">
                <w:rPr>
                  <w:b/>
                  <w:szCs w:val="22"/>
                </w:rPr>
                <w:tab/>
              </w:r>
              <w:r w:rsidRPr="00183B5F">
                <w:rPr>
                  <w:b/>
                  <w:szCs w:val="22"/>
                </w:rPr>
                <w:delText>KÜLÖNLEGES ÓVINTÉZKEDÉSEK A FEL NEM HASZNÁLT GYÓGYSZEREK VAGY AZ ILYEN TERMÉKEKBŐL KELETKEZETT HULLADÉKANYAGOK ÁRTALMATLANNÁ TÉTELÉRE, HA ILYENEKRE SZÜKSÉG VAN</w:delText>
              </w:r>
            </w:del>
          </w:p>
        </w:tc>
      </w:tr>
    </w:tbl>
    <w:p w14:paraId="5FD60637" w14:textId="28C9F052" w:rsidR="00FB6710" w:rsidRPr="00183B5F" w:rsidRDefault="00FB6710" w:rsidP="004062FE">
      <w:pPr>
        <w:spacing w:line="240" w:lineRule="auto"/>
        <w:rPr>
          <w:del w:id="9051" w:author="AbbVie_HU_04" w:date="2025-05-15T11:59:00Z"/>
          <w:szCs w:val="22"/>
        </w:rPr>
      </w:pPr>
    </w:p>
    <w:p w14:paraId="30B950AF" w14:textId="661533A2" w:rsidR="00FB6710" w:rsidRPr="00183B5F" w:rsidRDefault="00FB6710" w:rsidP="004062FE">
      <w:pPr>
        <w:spacing w:line="240" w:lineRule="auto"/>
        <w:rPr>
          <w:del w:id="9052"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76862E8" w14:textId="7756DF29">
        <w:trPr>
          <w:jc w:val="center"/>
          <w:del w:id="9053"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50592835" w14:textId="55FD73F8" w:rsidR="00FB6710" w:rsidRPr="00183B5F" w:rsidRDefault="00943743" w:rsidP="004062FE">
            <w:pPr>
              <w:tabs>
                <w:tab w:val="left" w:pos="142"/>
              </w:tabs>
              <w:spacing w:line="240" w:lineRule="auto"/>
              <w:ind w:left="567" w:hanging="567"/>
              <w:rPr>
                <w:del w:id="9054" w:author="AbbVie_HU_04" w:date="2025-05-15T11:59:00Z"/>
                <w:b/>
                <w:szCs w:val="22"/>
              </w:rPr>
            </w:pPr>
            <w:del w:id="9055" w:author="AbbVie_HU_04" w:date="2025-05-15T11:59:00Z">
              <w:r w:rsidRPr="00183B5F">
                <w:rPr>
                  <w:b/>
                  <w:szCs w:val="22"/>
                </w:rPr>
                <w:delText>11.</w:delText>
              </w:r>
              <w:r w:rsidRPr="00183B5F">
                <w:rPr>
                  <w:b/>
                  <w:szCs w:val="22"/>
                </w:rPr>
                <w:tab/>
                <w:delText>A FORGALOMBA HOZATALI ENGEDÉLY JOGOSULTJÁNAK NEVE ÉS CÍME</w:delText>
              </w:r>
            </w:del>
          </w:p>
        </w:tc>
      </w:tr>
    </w:tbl>
    <w:p w14:paraId="4AA7161A" w14:textId="5ABC2194" w:rsidR="00FB6710" w:rsidRPr="00183B5F" w:rsidRDefault="00FB6710" w:rsidP="004062FE">
      <w:pPr>
        <w:spacing w:line="240" w:lineRule="auto"/>
        <w:rPr>
          <w:del w:id="9056" w:author="AbbVie_HU_04" w:date="2025-05-15T11:59:00Z"/>
          <w:szCs w:val="22"/>
        </w:rPr>
      </w:pPr>
    </w:p>
    <w:p w14:paraId="0707C9A7" w14:textId="6AE38103" w:rsidR="00CE3F71" w:rsidRPr="00183B5F" w:rsidRDefault="00943743" w:rsidP="00CE3F71">
      <w:pPr>
        <w:keepNext/>
        <w:suppressAutoHyphens w:val="0"/>
        <w:autoSpaceDE w:val="0"/>
        <w:autoSpaceDN w:val="0"/>
        <w:adjustRightInd w:val="0"/>
        <w:spacing w:line="240" w:lineRule="atLeast"/>
        <w:rPr>
          <w:del w:id="9057" w:author="AbbVie_HU_04" w:date="2025-05-15T11:59:00Z"/>
          <w:szCs w:val="22"/>
          <w:lang w:eastAsia="en-GB"/>
        </w:rPr>
      </w:pPr>
      <w:del w:id="9058" w:author="AbbVie_HU_04" w:date="2025-05-15T11:59:00Z">
        <w:r w:rsidRPr="00183B5F">
          <w:rPr>
            <w:szCs w:val="22"/>
            <w:lang w:eastAsia="en-GB"/>
          </w:rPr>
          <w:delText>AbbVie Deutschland GmbH &amp; Co. KG</w:delText>
        </w:r>
      </w:del>
    </w:p>
    <w:p w14:paraId="50CFB5DA" w14:textId="0F0FA8D3" w:rsidR="00CE3F71" w:rsidRPr="00183B5F" w:rsidRDefault="00943743" w:rsidP="00CE3F71">
      <w:pPr>
        <w:keepNext/>
        <w:suppressAutoHyphens w:val="0"/>
        <w:autoSpaceDE w:val="0"/>
        <w:autoSpaceDN w:val="0"/>
        <w:adjustRightInd w:val="0"/>
        <w:spacing w:line="240" w:lineRule="atLeast"/>
        <w:rPr>
          <w:del w:id="9059" w:author="AbbVie_HU_04" w:date="2025-05-15T11:59:00Z"/>
          <w:szCs w:val="22"/>
          <w:lang w:eastAsia="en-GB"/>
        </w:rPr>
      </w:pPr>
      <w:del w:id="9060" w:author="AbbVie_HU_04" w:date="2025-05-15T11:59:00Z">
        <w:r w:rsidRPr="00183B5F">
          <w:rPr>
            <w:szCs w:val="22"/>
            <w:lang w:eastAsia="en-GB"/>
          </w:rPr>
          <w:delText>Knollstrasse</w:delText>
        </w:r>
      </w:del>
    </w:p>
    <w:p w14:paraId="4B805026" w14:textId="4A95FF8C" w:rsidR="00CE3F71" w:rsidRPr="00183B5F" w:rsidRDefault="00943743" w:rsidP="00CE3F71">
      <w:pPr>
        <w:keepNext/>
        <w:suppressAutoHyphens w:val="0"/>
        <w:autoSpaceDE w:val="0"/>
        <w:autoSpaceDN w:val="0"/>
        <w:adjustRightInd w:val="0"/>
        <w:spacing w:line="240" w:lineRule="atLeast"/>
        <w:rPr>
          <w:del w:id="9061" w:author="AbbVie_HU_04" w:date="2025-05-15T11:59:00Z"/>
          <w:szCs w:val="22"/>
          <w:lang w:eastAsia="en-GB"/>
        </w:rPr>
      </w:pPr>
      <w:del w:id="9062" w:author="AbbVie_HU_04" w:date="2025-05-15T11:59:00Z">
        <w:r w:rsidRPr="00183B5F">
          <w:rPr>
            <w:szCs w:val="22"/>
            <w:lang w:eastAsia="en-GB"/>
          </w:rPr>
          <w:delText>67061 Ludwigshafen</w:delText>
        </w:r>
      </w:del>
    </w:p>
    <w:p w14:paraId="148FA77C" w14:textId="07C158EC" w:rsidR="00CE3F71" w:rsidRPr="00183B5F" w:rsidRDefault="00943743" w:rsidP="00CE3F71">
      <w:pPr>
        <w:keepNext/>
        <w:suppressAutoHyphens w:val="0"/>
        <w:autoSpaceDE w:val="0"/>
        <w:autoSpaceDN w:val="0"/>
        <w:adjustRightInd w:val="0"/>
        <w:spacing w:line="240" w:lineRule="atLeast"/>
        <w:rPr>
          <w:del w:id="9063" w:author="AbbVie_HU_04" w:date="2025-05-15T11:59:00Z"/>
          <w:szCs w:val="22"/>
          <w:lang w:eastAsia="en-GB"/>
        </w:rPr>
      </w:pPr>
      <w:del w:id="9064" w:author="AbbVie_HU_04" w:date="2025-05-15T11:59:00Z">
        <w:r w:rsidRPr="00183B5F">
          <w:rPr>
            <w:szCs w:val="22"/>
            <w:lang w:eastAsia="en-GB"/>
          </w:rPr>
          <w:delText xml:space="preserve">Németország </w:delText>
        </w:r>
      </w:del>
    </w:p>
    <w:p w14:paraId="6619062E" w14:textId="1F7D06D1" w:rsidR="00FB6710" w:rsidRPr="00183B5F" w:rsidRDefault="00FB6710" w:rsidP="004062FE">
      <w:pPr>
        <w:spacing w:line="240" w:lineRule="auto"/>
        <w:rPr>
          <w:del w:id="9065" w:author="AbbVie_HU_04" w:date="2025-05-15T11:59:00Z"/>
          <w:szCs w:val="22"/>
        </w:rPr>
      </w:pPr>
    </w:p>
    <w:p w14:paraId="690EED26" w14:textId="1A7B326E" w:rsidR="00FB6710" w:rsidRPr="00183B5F" w:rsidRDefault="00FB6710" w:rsidP="004062FE">
      <w:pPr>
        <w:pStyle w:val="EndnoteText"/>
        <w:tabs>
          <w:tab w:val="clear" w:pos="567"/>
        </w:tabs>
        <w:suppressAutoHyphens/>
        <w:rPr>
          <w:del w:id="9066" w:author="AbbVie_HU_04" w:date="2025-05-15T11:59:00Z"/>
          <w:sz w:val="22"/>
          <w:szCs w:val="22"/>
          <w:lang w:val="hu-HU" w:eastAsia="hu-HU"/>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796AFB6" w14:textId="21C2A1FB">
        <w:trPr>
          <w:jc w:val="center"/>
          <w:del w:id="9067"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7CACADDB" w14:textId="58C8932A" w:rsidR="00FB6710" w:rsidRPr="00183B5F" w:rsidRDefault="00943743" w:rsidP="004062FE">
            <w:pPr>
              <w:tabs>
                <w:tab w:val="left" w:pos="142"/>
              </w:tabs>
              <w:spacing w:line="240" w:lineRule="auto"/>
              <w:ind w:left="567" w:hanging="567"/>
              <w:rPr>
                <w:del w:id="9068" w:author="AbbVie_HU_04" w:date="2025-05-15T11:59:00Z"/>
                <w:b/>
                <w:szCs w:val="22"/>
              </w:rPr>
            </w:pPr>
            <w:del w:id="9069" w:author="AbbVie_HU_04" w:date="2025-05-15T11:59:00Z">
              <w:r w:rsidRPr="00183B5F">
                <w:rPr>
                  <w:b/>
                  <w:szCs w:val="22"/>
                </w:rPr>
                <w:delText>12.</w:delText>
              </w:r>
              <w:r w:rsidRPr="00183B5F">
                <w:rPr>
                  <w:b/>
                  <w:szCs w:val="22"/>
                </w:rPr>
                <w:tab/>
                <w:delText>A FORGALOMBA HOZATALI ENGEDÉLY SZÁMA(I)</w:delText>
              </w:r>
            </w:del>
          </w:p>
        </w:tc>
      </w:tr>
    </w:tbl>
    <w:p w14:paraId="3ADF840D" w14:textId="42CCDDFE" w:rsidR="00FB6710" w:rsidRPr="00183B5F" w:rsidRDefault="00FB6710" w:rsidP="004062FE">
      <w:pPr>
        <w:spacing w:line="240" w:lineRule="auto"/>
        <w:rPr>
          <w:del w:id="9070" w:author="AbbVie_HU_04" w:date="2025-05-15T11:59:00Z"/>
          <w:szCs w:val="22"/>
        </w:rPr>
      </w:pPr>
    </w:p>
    <w:p w14:paraId="2BD9C3A3" w14:textId="2284F7BB" w:rsidR="00FB6710" w:rsidRPr="00183B5F" w:rsidRDefault="00943743" w:rsidP="004062FE">
      <w:pPr>
        <w:spacing w:line="240" w:lineRule="auto"/>
        <w:rPr>
          <w:del w:id="9071" w:author="AbbVie_HU_04" w:date="2025-05-15T11:59:00Z"/>
          <w:szCs w:val="22"/>
        </w:rPr>
      </w:pPr>
      <w:del w:id="9072" w:author="AbbVie_HU_04" w:date="2025-05-15T11:59:00Z">
        <w:r w:rsidRPr="00183B5F">
          <w:rPr>
            <w:szCs w:val="22"/>
          </w:rPr>
          <w:delText>EU/1/03/256/002</w:delText>
        </w:r>
      </w:del>
    </w:p>
    <w:p w14:paraId="5C3300AE" w14:textId="16DE9B1D" w:rsidR="00CE119D" w:rsidRPr="00183B5F" w:rsidRDefault="00943743" w:rsidP="004062FE">
      <w:pPr>
        <w:spacing w:line="240" w:lineRule="auto"/>
        <w:ind w:left="540" w:hanging="540"/>
        <w:rPr>
          <w:del w:id="9073" w:author="AbbVie_HU_04" w:date="2025-05-15T11:59:00Z"/>
          <w:highlight w:val="lightGray"/>
        </w:rPr>
      </w:pPr>
      <w:del w:id="9074" w:author="AbbVie_HU_04" w:date="2025-05-15T11:59:00Z">
        <w:r w:rsidRPr="00183B5F">
          <w:rPr>
            <w:highlight w:val="lightGray"/>
          </w:rPr>
          <w:delText>EU/1/03/256/003</w:delText>
        </w:r>
      </w:del>
    </w:p>
    <w:p w14:paraId="2BAE0375" w14:textId="6D650F6B" w:rsidR="00CE119D" w:rsidRPr="00183B5F" w:rsidRDefault="00943743" w:rsidP="004062FE">
      <w:pPr>
        <w:spacing w:line="240" w:lineRule="auto"/>
        <w:ind w:left="540" w:hanging="540"/>
        <w:rPr>
          <w:del w:id="9075" w:author="AbbVie_HU_04" w:date="2025-05-15T11:59:00Z"/>
          <w:highlight w:val="lightGray"/>
        </w:rPr>
      </w:pPr>
      <w:del w:id="9076" w:author="AbbVie_HU_04" w:date="2025-05-15T11:59:00Z">
        <w:r w:rsidRPr="00183B5F">
          <w:rPr>
            <w:highlight w:val="lightGray"/>
          </w:rPr>
          <w:delText>EU/1/03/256/004</w:delText>
        </w:r>
      </w:del>
    </w:p>
    <w:p w14:paraId="4DC756BA" w14:textId="743E4394" w:rsidR="00CE119D" w:rsidRPr="00183B5F" w:rsidRDefault="00943743" w:rsidP="004062FE">
      <w:pPr>
        <w:spacing w:line="240" w:lineRule="auto"/>
        <w:ind w:left="540" w:hanging="540"/>
        <w:rPr>
          <w:del w:id="9077" w:author="AbbVie_HU_04" w:date="2025-05-15T11:59:00Z"/>
          <w:szCs w:val="22"/>
        </w:rPr>
      </w:pPr>
      <w:del w:id="9078" w:author="AbbVie_HU_04" w:date="2025-05-15T11:59:00Z">
        <w:r w:rsidRPr="00183B5F">
          <w:rPr>
            <w:highlight w:val="lightGray"/>
          </w:rPr>
          <w:delText>EU/1/03/256/005</w:delText>
        </w:r>
      </w:del>
    </w:p>
    <w:p w14:paraId="7356F263" w14:textId="13B38199" w:rsidR="00FB6710" w:rsidRPr="00183B5F" w:rsidRDefault="00FB6710" w:rsidP="004062FE">
      <w:pPr>
        <w:spacing w:line="240" w:lineRule="auto"/>
        <w:rPr>
          <w:del w:id="9079" w:author="AbbVie_HU_04" w:date="2025-05-15T11:59:00Z"/>
          <w:szCs w:val="22"/>
        </w:rPr>
      </w:pPr>
    </w:p>
    <w:p w14:paraId="699DB17B" w14:textId="687F95BC" w:rsidR="00FB6710" w:rsidRPr="00183B5F" w:rsidRDefault="00FB6710" w:rsidP="004062FE">
      <w:pPr>
        <w:spacing w:line="240" w:lineRule="auto"/>
        <w:rPr>
          <w:del w:id="9080"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2BEFAF1" w14:textId="27B669F8">
        <w:trPr>
          <w:jc w:val="center"/>
          <w:del w:id="9081"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61AE9CB7" w14:textId="791B4F19" w:rsidR="00FB6710" w:rsidRPr="00183B5F" w:rsidRDefault="00943743" w:rsidP="004062FE">
            <w:pPr>
              <w:tabs>
                <w:tab w:val="left" w:pos="142"/>
              </w:tabs>
              <w:spacing w:line="240" w:lineRule="auto"/>
              <w:ind w:left="567" w:hanging="567"/>
              <w:rPr>
                <w:del w:id="9082" w:author="AbbVie_HU_04" w:date="2025-05-15T11:59:00Z"/>
                <w:b/>
                <w:szCs w:val="22"/>
              </w:rPr>
            </w:pPr>
            <w:del w:id="9083" w:author="AbbVie_HU_04" w:date="2025-05-15T11:59:00Z">
              <w:r w:rsidRPr="00183B5F">
                <w:rPr>
                  <w:b/>
                  <w:szCs w:val="22"/>
                </w:rPr>
                <w:delText>13.</w:delText>
              </w:r>
              <w:r w:rsidRPr="00183B5F">
                <w:rPr>
                  <w:b/>
                  <w:szCs w:val="22"/>
                </w:rPr>
                <w:tab/>
                <w:delText>A GYÁRTÁSI TÉTEL SZÁMA</w:delText>
              </w:r>
            </w:del>
          </w:p>
        </w:tc>
      </w:tr>
    </w:tbl>
    <w:p w14:paraId="73AD9696" w14:textId="1C0C2617" w:rsidR="00FB6710" w:rsidRPr="00183B5F" w:rsidRDefault="00FB6710" w:rsidP="004062FE">
      <w:pPr>
        <w:spacing w:line="240" w:lineRule="auto"/>
        <w:rPr>
          <w:del w:id="9084" w:author="AbbVie_HU_04" w:date="2025-05-15T11:59:00Z"/>
          <w:szCs w:val="22"/>
        </w:rPr>
      </w:pPr>
    </w:p>
    <w:p w14:paraId="6576EAAF" w14:textId="2C766BAF" w:rsidR="006B2BB7" w:rsidRPr="00183B5F" w:rsidRDefault="00943743" w:rsidP="004062FE">
      <w:pPr>
        <w:spacing w:line="240" w:lineRule="auto"/>
        <w:rPr>
          <w:del w:id="9085" w:author="AbbVie_HU_04" w:date="2025-05-15T11:59:00Z"/>
          <w:szCs w:val="22"/>
        </w:rPr>
      </w:pPr>
      <w:del w:id="9086" w:author="AbbVie_HU_04" w:date="2025-05-15T11:59:00Z">
        <w:r w:rsidRPr="00183B5F">
          <w:rPr>
            <w:szCs w:val="22"/>
          </w:rPr>
          <w:delText>Lot</w:delText>
        </w:r>
      </w:del>
    </w:p>
    <w:p w14:paraId="1E16259A" w14:textId="560DD890" w:rsidR="00FB6710" w:rsidRPr="00183B5F" w:rsidRDefault="00FB6710" w:rsidP="004062FE">
      <w:pPr>
        <w:spacing w:line="240" w:lineRule="auto"/>
        <w:rPr>
          <w:del w:id="9087" w:author="AbbVie_HU_04" w:date="2025-05-15T11:59:00Z"/>
          <w:szCs w:val="22"/>
        </w:rPr>
      </w:pPr>
    </w:p>
    <w:p w14:paraId="52AD393F" w14:textId="6C39EACB" w:rsidR="00FB6710" w:rsidRPr="00183B5F" w:rsidRDefault="00FB6710" w:rsidP="004062FE">
      <w:pPr>
        <w:spacing w:line="240" w:lineRule="auto"/>
        <w:rPr>
          <w:del w:id="9088"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14182279" w14:textId="62870E6A">
        <w:trPr>
          <w:jc w:val="center"/>
          <w:del w:id="9089"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5A79F77B" w14:textId="01BD9EF0" w:rsidR="00FB6710" w:rsidRPr="00183B5F" w:rsidRDefault="00943743" w:rsidP="004062FE">
            <w:pPr>
              <w:tabs>
                <w:tab w:val="left" w:pos="142"/>
              </w:tabs>
              <w:spacing w:line="240" w:lineRule="auto"/>
              <w:ind w:left="567" w:hanging="567"/>
              <w:rPr>
                <w:del w:id="9090" w:author="AbbVie_HU_04" w:date="2025-05-15T11:59:00Z"/>
                <w:b/>
                <w:szCs w:val="22"/>
              </w:rPr>
            </w:pPr>
            <w:del w:id="9091" w:author="AbbVie_HU_04" w:date="2025-05-15T11:59:00Z">
              <w:r w:rsidRPr="00183B5F">
                <w:rPr>
                  <w:b/>
                  <w:szCs w:val="22"/>
                </w:rPr>
                <w:delText>14.</w:delText>
              </w:r>
              <w:r w:rsidRPr="00183B5F">
                <w:rPr>
                  <w:b/>
                  <w:szCs w:val="22"/>
                </w:rPr>
                <w:tab/>
              </w:r>
              <w:r w:rsidR="003507D7" w:rsidRPr="00183B5F">
                <w:rPr>
                  <w:b/>
                  <w:szCs w:val="22"/>
                </w:rPr>
                <w:delText>A GYÓGYSZER RENDELHETŐSÉGE</w:delText>
              </w:r>
            </w:del>
          </w:p>
        </w:tc>
      </w:tr>
    </w:tbl>
    <w:p w14:paraId="7CEF27F0" w14:textId="7240DF4F" w:rsidR="00FB6710" w:rsidRPr="00183B5F" w:rsidRDefault="00FB6710" w:rsidP="004062FE">
      <w:pPr>
        <w:spacing w:line="240" w:lineRule="auto"/>
        <w:rPr>
          <w:del w:id="9092" w:author="AbbVie_HU_04" w:date="2025-05-15T11:59:00Z"/>
          <w:szCs w:val="22"/>
        </w:rPr>
      </w:pPr>
    </w:p>
    <w:p w14:paraId="7DDC13ED" w14:textId="3DC3D2A2" w:rsidR="00FB6710" w:rsidRPr="00183B5F" w:rsidRDefault="00FB6710" w:rsidP="004062FE">
      <w:pPr>
        <w:spacing w:line="240" w:lineRule="auto"/>
        <w:rPr>
          <w:del w:id="9093"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269B4C4F" w14:textId="1744653A">
        <w:trPr>
          <w:jc w:val="center"/>
          <w:del w:id="9094"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7EF5611B" w14:textId="3A2ACE98" w:rsidR="00FB6710" w:rsidRPr="00183B5F" w:rsidRDefault="00943743" w:rsidP="004062FE">
            <w:pPr>
              <w:tabs>
                <w:tab w:val="left" w:pos="142"/>
              </w:tabs>
              <w:spacing w:line="240" w:lineRule="auto"/>
              <w:ind w:left="567" w:hanging="567"/>
              <w:rPr>
                <w:del w:id="9095" w:author="AbbVie_HU_04" w:date="2025-05-15T11:59:00Z"/>
                <w:b/>
                <w:szCs w:val="22"/>
              </w:rPr>
            </w:pPr>
            <w:del w:id="9096" w:author="AbbVie_HU_04" w:date="2025-05-15T11:59:00Z">
              <w:r w:rsidRPr="00183B5F">
                <w:rPr>
                  <w:b/>
                  <w:szCs w:val="22"/>
                </w:rPr>
                <w:delText>15.</w:delText>
              </w:r>
              <w:r w:rsidRPr="00183B5F">
                <w:rPr>
                  <w:b/>
                  <w:szCs w:val="22"/>
                </w:rPr>
                <w:tab/>
                <w:delText>AZ ALKALMAZÁSRA VONATKOZÓ UTASÍTÁSOK</w:delText>
              </w:r>
            </w:del>
          </w:p>
        </w:tc>
      </w:tr>
    </w:tbl>
    <w:p w14:paraId="2ECB4426" w14:textId="35EC2AE7" w:rsidR="00FB6710" w:rsidRPr="00183B5F" w:rsidRDefault="00FB6710" w:rsidP="004062FE">
      <w:pPr>
        <w:spacing w:line="240" w:lineRule="auto"/>
        <w:rPr>
          <w:del w:id="9097" w:author="AbbVie_HU_04" w:date="2025-05-15T11:59:00Z"/>
          <w:szCs w:val="22"/>
        </w:rPr>
      </w:pPr>
    </w:p>
    <w:p w14:paraId="47022A4A" w14:textId="4036A8AC" w:rsidR="00FB6710" w:rsidRPr="00183B5F" w:rsidRDefault="00FB6710" w:rsidP="004062FE">
      <w:pPr>
        <w:spacing w:line="240" w:lineRule="auto"/>
        <w:rPr>
          <w:del w:id="9098"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304C7396" w14:textId="1B4CFE29">
        <w:trPr>
          <w:jc w:val="center"/>
          <w:del w:id="9099"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391D3379" w14:textId="52F8511F" w:rsidR="00FB6710" w:rsidRPr="00183B5F" w:rsidRDefault="00943743" w:rsidP="004062FE">
            <w:pPr>
              <w:tabs>
                <w:tab w:val="left" w:pos="142"/>
              </w:tabs>
              <w:spacing w:line="240" w:lineRule="auto"/>
              <w:ind w:left="567" w:hanging="567"/>
              <w:rPr>
                <w:del w:id="9100" w:author="AbbVie_HU_04" w:date="2025-05-15T11:59:00Z"/>
                <w:b/>
                <w:szCs w:val="22"/>
              </w:rPr>
            </w:pPr>
            <w:del w:id="9101" w:author="AbbVie_HU_04" w:date="2025-05-15T11:59:00Z">
              <w:r w:rsidRPr="00183B5F">
                <w:rPr>
                  <w:b/>
                  <w:szCs w:val="22"/>
                </w:rPr>
                <w:delText>16.</w:delText>
              </w:r>
              <w:r w:rsidRPr="00183B5F">
                <w:rPr>
                  <w:b/>
                  <w:szCs w:val="22"/>
                </w:rPr>
                <w:tab/>
                <w:delText>BRAILLE ÍRÁSSAL FELTÜNTETETT INFORMÁCIÓK</w:delText>
              </w:r>
            </w:del>
          </w:p>
        </w:tc>
      </w:tr>
    </w:tbl>
    <w:p w14:paraId="7FFB1808" w14:textId="73BF33F2" w:rsidR="00FB6710" w:rsidRPr="00183B5F" w:rsidRDefault="00FB6710" w:rsidP="004062FE">
      <w:pPr>
        <w:spacing w:line="240" w:lineRule="auto"/>
        <w:rPr>
          <w:del w:id="9102" w:author="AbbVie_HU_04" w:date="2025-05-15T11:59:00Z"/>
          <w:szCs w:val="22"/>
        </w:rPr>
      </w:pPr>
    </w:p>
    <w:p w14:paraId="5ED5E33D" w14:textId="6367A91F" w:rsidR="00FB6710" w:rsidRPr="00183B5F" w:rsidRDefault="00943743" w:rsidP="004062FE">
      <w:pPr>
        <w:spacing w:line="240" w:lineRule="auto"/>
        <w:rPr>
          <w:del w:id="9103" w:author="AbbVie_HU_04" w:date="2025-05-15T11:59:00Z"/>
          <w:szCs w:val="22"/>
        </w:rPr>
      </w:pPr>
      <w:del w:id="9104" w:author="AbbVie_HU_04" w:date="2025-05-15T11:59:00Z">
        <w:r w:rsidRPr="00183B5F">
          <w:rPr>
            <w:szCs w:val="22"/>
          </w:rPr>
          <w:delText>Humira 40 mg</w:delText>
        </w:r>
      </w:del>
    </w:p>
    <w:p w14:paraId="4E7B9092" w14:textId="1AD00599" w:rsidR="000B2A7F" w:rsidRPr="00183B5F" w:rsidRDefault="000B2A7F" w:rsidP="004062FE">
      <w:pPr>
        <w:spacing w:line="240" w:lineRule="auto"/>
        <w:rPr>
          <w:del w:id="9105" w:author="AbbVie_HU_04" w:date="2025-05-15T11:59:00Z"/>
          <w:szCs w:val="22"/>
        </w:rPr>
      </w:pPr>
    </w:p>
    <w:p w14:paraId="75662314" w14:textId="3973714F" w:rsidR="000B2A7F" w:rsidRPr="00183B5F" w:rsidRDefault="000B2A7F">
      <w:pPr>
        <w:spacing w:line="240" w:lineRule="auto"/>
        <w:rPr>
          <w:del w:id="9106" w:author="AbbVie_HU_04" w:date="2025-05-15T11:59:00Z"/>
          <w:noProof/>
          <w:shd w:val="clear" w:color="auto" w:fill="CCCCCC"/>
        </w:rPr>
      </w:pPr>
    </w:p>
    <w:p w14:paraId="6A5CA1A3" w14:textId="3BEC0BDE" w:rsidR="000B2A7F" w:rsidRPr="00183B5F" w:rsidRDefault="00943743">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del w:id="9107" w:author="AbbVie_HU_04" w:date="2025-05-15T11:59:00Z"/>
          <w:i/>
          <w:noProof/>
        </w:rPr>
      </w:pPr>
      <w:del w:id="9108" w:author="AbbVie_HU_04" w:date="2025-05-15T11:59:00Z">
        <w:r w:rsidRPr="00183B5F">
          <w:rPr>
            <w:b/>
            <w:noProof/>
          </w:rPr>
          <w:delText>17.</w:delText>
        </w:r>
        <w:r w:rsidRPr="00183B5F">
          <w:rPr>
            <w:b/>
            <w:noProof/>
          </w:rPr>
          <w:tab/>
          <w:delText>EGYEDI AZONOSÍTÓ – 2D VONALKÓD</w:delText>
        </w:r>
      </w:del>
    </w:p>
    <w:p w14:paraId="7EB1CF4A" w14:textId="69900C40" w:rsidR="000B2A7F" w:rsidRPr="00183B5F" w:rsidRDefault="000B2A7F">
      <w:pPr>
        <w:spacing w:line="240" w:lineRule="auto"/>
        <w:rPr>
          <w:del w:id="9109" w:author="AbbVie_HU_04" w:date="2025-05-15T11:59:00Z"/>
          <w:noProof/>
        </w:rPr>
      </w:pPr>
    </w:p>
    <w:p w14:paraId="066A4B5D" w14:textId="7BC0DA2A" w:rsidR="000B2A7F" w:rsidRPr="00183B5F" w:rsidRDefault="00943743">
      <w:pPr>
        <w:spacing w:line="240" w:lineRule="auto"/>
        <w:rPr>
          <w:del w:id="9110" w:author="AbbVie_HU_04" w:date="2025-05-15T11:59:00Z"/>
          <w:noProof/>
          <w:shd w:val="clear" w:color="auto" w:fill="CCCCCC"/>
        </w:rPr>
      </w:pPr>
      <w:del w:id="9111" w:author="AbbVie_HU_04" w:date="2025-05-15T11:59:00Z">
        <w:r w:rsidRPr="00183B5F">
          <w:rPr>
            <w:noProof/>
            <w:highlight w:val="lightGray"/>
          </w:rPr>
          <w:delText>Egyedi azonosítójú 2D vonalkóddal ellátva.</w:delText>
        </w:r>
      </w:del>
    </w:p>
    <w:p w14:paraId="36D9DD77" w14:textId="307E6868" w:rsidR="000B2A7F" w:rsidRPr="00183B5F" w:rsidRDefault="000B2A7F">
      <w:pPr>
        <w:spacing w:line="240" w:lineRule="auto"/>
        <w:rPr>
          <w:del w:id="9112" w:author="AbbVie_HU_04" w:date="2025-05-15T11:59:00Z"/>
          <w:noProof/>
          <w:shd w:val="clear" w:color="auto" w:fill="CCCCCC"/>
        </w:rPr>
      </w:pPr>
    </w:p>
    <w:p w14:paraId="5F11FE49" w14:textId="7C782E07" w:rsidR="000B2A7F" w:rsidRPr="00183B5F" w:rsidRDefault="000B2A7F">
      <w:pPr>
        <w:spacing w:line="240" w:lineRule="auto"/>
        <w:rPr>
          <w:del w:id="9113" w:author="AbbVie_HU_04" w:date="2025-05-15T11:59:00Z"/>
          <w:noProof/>
          <w:shd w:val="clear" w:color="auto" w:fill="CCCCCC"/>
        </w:rPr>
      </w:pPr>
    </w:p>
    <w:p w14:paraId="5055317A" w14:textId="48B4A9DC" w:rsidR="000B2A7F" w:rsidRPr="00183B5F" w:rsidRDefault="00943743">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del w:id="9114" w:author="AbbVie_HU_04" w:date="2025-05-15T11:59:00Z"/>
          <w:i/>
          <w:noProof/>
        </w:rPr>
      </w:pPr>
      <w:del w:id="9115" w:author="AbbVie_HU_04" w:date="2025-05-15T11:59:00Z">
        <w:r w:rsidRPr="00183B5F">
          <w:rPr>
            <w:b/>
            <w:noProof/>
          </w:rPr>
          <w:delText>18.</w:delText>
        </w:r>
        <w:r w:rsidRPr="00183B5F">
          <w:rPr>
            <w:b/>
            <w:noProof/>
          </w:rPr>
          <w:tab/>
        </w:r>
        <w:r w:rsidRPr="00183B5F">
          <w:rPr>
            <w:b/>
            <w:noProof/>
          </w:rPr>
          <w:delText>EGYEDI AZONOSÍTÓ OLVASHATÓ FORMÁTUMA</w:delText>
        </w:r>
      </w:del>
    </w:p>
    <w:p w14:paraId="6F57F1EE" w14:textId="55E52F7E" w:rsidR="000B2A7F" w:rsidRPr="00183B5F" w:rsidRDefault="000B2A7F">
      <w:pPr>
        <w:spacing w:line="240" w:lineRule="auto"/>
        <w:rPr>
          <w:del w:id="9116" w:author="AbbVie_HU_04" w:date="2025-05-15T11:59:00Z"/>
          <w:noProof/>
        </w:rPr>
      </w:pPr>
    </w:p>
    <w:p w14:paraId="1BE924C9" w14:textId="62096395" w:rsidR="000B2A7F" w:rsidRPr="00183B5F" w:rsidRDefault="00943743" w:rsidP="004062FE">
      <w:pPr>
        <w:keepNext/>
        <w:spacing w:line="240" w:lineRule="auto"/>
        <w:rPr>
          <w:del w:id="9117" w:author="AbbVie_HU_04" w:date="2025-05-15T11:59:00Z"/>
          <w:color w:val="008000"/>
        </w:rPr>
      </w:pPr>
      <w:del w:id="9118" w:author="AbbVie_HU_04" w:date="2025-05-15T11:59:00Z">
        <w:r w:rsidRPr="00183B5F">
          <w:delText>PC</w:delText>
        </w:r>
      </w:del>
    </w:p>
    <w:p w14:paraId="5A34E718" w14:textId="786CDE1A" w:rsidR="000B2A7F" w:rsidRPr="00183B5F" w:rsidRDefault="00943743" w:rsidP="004062FE">
      <w:pPr>
        <w:spacing w:line="240" w:lineRule="auto"/>
        <w:rPr>
          <w:del w:id="9119" w:author="AbbVie_HU_04" w:date="2025-05-15T11:59:00Z"/>
        </w:rPr>
      </w:pPr>
      <w:del w:id="9120" w:author="AbbVie_HU_04" w:date="2025-05-15T11:59:00Z">
        <w:r w:rsidRPr="00183B5F">
          <w:delText>SN</w:delText>
        </w:r>
      </w:del>
    </w:p>
    <w:p w14:paraId="3A9266C6" w14:textId="00260263" w:rsidR="000B2A7F" w:rsidRPr="00183B5F" w:rsidRDefault="00943743" w:rsidP="004062FE">
      <w:pPr>
        <w:spacing w:line="240" w:lineRule="auto"/>
        <w:rPr>
          <w:del w:id="9121" w:author="AbbVie_HU_04" w:date="2025-05-15T11:59:00Z"/>
        </w:rPr>
      </w:pPr>
      <w:del w:id="9122" w:author="AbbVie_HU_04" w:date="2025-05-15T11:59:00Z">
        <w:r w:rsidRPr="00183B5F">
          <w:rPr>
            <w:highlight w:val="lightGray"/>
          </w:rPr>
          <w:delText>NN</w:delText>
        </w:r>
      </w:del>
    </w:p>
    <w:p w14:paraId="1D7D98B7" w14:textId="33451491" w:rsidR="00FB6710" w:rsidRPr="00183B5F" w:rsidRDefault="00943743" w:rsidP="004062FE">
      <w:pPr>
        <w:spacing w:line="240" w:lineRule="auto"/>
        <w:rPr>
          <w:del w:id="9123" w:author="AbbVie_HU_04" w:date="2025-05-15T11:59:00Z"/>
          <w:szCs w:val="22"/>
        </w:rPr>
      </w:pPr>
      <w:del w:id="9124" w:author="AbbVie_HU_04" w:date="2025-05-15T11:59:00Z">
        <w:r w:rsidRPr="00183B5F">
          <w:rPr>
            <w:szCs w:val="22"/>
          </w:rPr>
          <w:br w:type="page"/>
        </w:r>
      </w:del>
    </w:p>
    <w:p w14:paraId="765875B3" w14:textId="18541B98" w:rsidR="00FB6710" w:rsidRPr="00183B5F" w:rsidRDefault="00FB6710" w:rsidP="004062FE">
      <w:pPr>
        <w:spacing w:line="240" w:lineRule="auto"/>
        <w:rPr>
          <w:del w:id="9125" w:author="AbbVie_HU_04" w:date="2025-05-15T11:59:00Z"/>
          <w:b/>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70AC1819" w14:textId="0D7BA0B2">
        <w:trPr>
          <w:jc w:val="center"/>
          <w:del w:id="9126"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3AA85056" w14:textId="5B20268C" w:rsidR="00FB6710" w:rsidRPr="00183B5F" w:rsidRDefault="00943743" w:rsidP="004062FE">
            <w:pPr>
              <w:spacing w:line="240" w:lineRule="auto"/>
              <w:rPr>
                <w:del w:id="9127" w:author="AbbVie_HU_04" w:date="2025-05-15T11:59:00Z"/>
                <w:b/>
                <w:szCs w:val="22"/>
              </w:rPr>
            </w:pPr>
            <w:del w:id="9128" w:author="AbbVie_HU_04" w:date="2025-05-15T11:59:00Z">
              <w:r w:rsidRPr="00183B5F">
                <w:rPr>
                  <w:b/>
                  <w:szCs w:val="22"/>
                </w:rPr>
                <w:delText xml:space="preserve">A </w:delText>
              </w:r>
              <w:r w:rsidR="009F5334" w:rsidRPr="00183B5F">
                <w:rPr>
                  <w:b/>
                  <w:szCs w:val="22"/>
                </w:rPr>
                <w:delText xml:space="preserve">BUBORÉKCSOMAGOLÁSON </w:delText>
              </w:r>
              <w:r w:rsidRPr="00183B5F">
                <w:rPr>
                  <w:b/>
                  <w:szCs w:val="22"/>
                </w:rPr>
                <w:delText>VAGY A SZALAGFÓLIÁN MINIMÁLISAN FELTÜNTETENDŐ ADATOK</w:delText>
              </w:r>
            </w:del>
          </w:p>
          <w:p w14:paraId="661EB3E7" w14:textId="7B73A28C" w:rsidR="00FB6710" w:rsidRPr="00183B5F" w:rsidRDefault="00FB6710" w:rsidP="004062FE">
            <w:pPr>
              <w:spacing w:line="240" w:lineRule="auto"/>
              <w:rPr>
                <w:del w:id="9129" w:author="AbbVie_HU_04" w:date="2025-05-15T11:59:00Z"/>
                <w:b/>
                <w:szCs w:val="22"/>
              </w:rPr>
            </w:pPr>
          </w:p>
          <w:p w14:paraId="42E89BC1" w14:textId="28BD9EA3" w:rsidR="00FB6710" w:rsidRPr="00183B5F" w:rsidRDefault="00943743" w:rsidP="004062FE">
            <w:pPr>
              <w:spacing w:line="240" w:lineRule="auto"/>
              <w:rPr>
                <w:del w:id="9130" w:author="AbbVie_HU_04" w:date="2025-05-15T11:59:00Z"/>
                <w:b/>
                <w:caps/>
                <w:szCs w:val="22"/>
              </w:rPr>
            </w:pPr>
            <w:del w:id="9131" w:author="AbbVie_HU_04" w:date="2025-05-15T11:59:00Z">
              <w:r w:rsidRPr="00183B5F">
                <w:rPr>
                  <w:b/>
                  <w:caps/>
                  <w:szCs w:val="22"/>
                </w:rPr>
                <w:delText>Tálca hátoldalán levő szöveg</w:delText>
              </w:r>
            </w:del>
          </w:p>
        </w:tc>
      </w:tr>
    </w:tbl>
    <w:p w14:paraId="152560E2" w14:textId="5AD07918" w:rsidR="00FB6710" w:rsidRPr="00183B5F" w:rsidRDefault="00FB6710" w:rsidP="004062FE">
      <w:pPr>
        <w:spacing w:line="240" w:lineRule="auto"/>
        <w:rPr>
          <w:del w:id="9132" w:author="AbbVie_HU_04" w:date="2025-05-15T11:59:00Z"/>
          <w:szCs w:val="22"/>
        </w:rPr>
      </w:pPr>
    </w:p>
    <w:p w14:paraId="560283DC" w14:textId="0AC282E9" w:rsidR="00FB6710" w:rsidRPr="00183B5F" w:rsidRDefault="00FB6710" w:rsidP="004062FE">
      <w:pPr>
        <w:spacing w:line="240" w:lineRule="auto"/>
        <w:rPr>
          <w:del w:id="9133"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6822EB66" w14:textId="35687521">
        <w:trPr>
          <w:jc w:val="center"/>
          <w:del w:id="9134"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39896CE2" w14:textId="2F8C5367" w:rsidR="00FB6710" w:rsidRPr="00183B5F" w:rsidRDefault="00943743" w:rsidP="004062FE">
            <w:pPr>
              <w:tabs>
                <w:tab w:val="left" w:pos="142"/>
              </w:tabs>
              <w:spacing w:line="240" w:lineRule="auto"/>
              <w:ind w:left="567" w:hanging="567"/>
              <w:rPr>
                <w:del w:id="9135" w:author="AbbVie_HU_04" w:date="2025-05-15T11:59:00Z"/>
                <w:b/>
                <w:szCs w:val="22"/>
              </w:rPr>
            </w:pPr>
            <w:del w:id="9136" w:author="AbbVie_HU_04" w:date="2025-05-15T11:59:00Z">
              <w:r w:rsidRPr="00183B5F">
                <w:rPr>
                  <w:b/>
                  <w:szCs w:val="22"/>
                </w:rPr>
                <w:delText>1.</w:delText>
              </w:r>
              <w:r w:rsidRPr="00183B5F">
                <w:rPr>
                  <w:b/>
                  <w:szCs w:val="22"/>
                </w:rPr>
                <w:tab/>
                <w:delText xml:space="preserve">A GYÓGYSZER </w:delText>
              </w:r>
              <w:r w:rsidR="00F038A9" w:rsidRPr="00183B5F">
                <w:rPr>
                  <w:b/>
                  <w:szCs w:val="22"/>
                </w:rPr>
                <w:delText>NEVE</w:delText>
              </w:r>
            </w:del>
          </w:p>
        </w:tc>
      </w:tr>
    </w:tbl>
    <w:p w14:paraId="1EAD84F8" w14:textId="03623D3F" w:rsidR="00FB6710" w:rsidRPr="00183B5F" w:rsidRDefault="00FB6710" w:rsidP="004062FE">
      <w:pPr>
        <w:spacing w:line="240" w:lineRule="auto"/>
        <w:ind w:left="567" w:hanging="567"/>
        <w:rPr>
          <w:del w:id="9137" w:author="AbbVie_HU_04" w:date="2025-05-15T11:59:00Z"/>
          <w:szCs w:val="22"/>
        </w:rPr>
      </w:pPr>
    </w:p>
    <w:p w14:paraId="01D2DA91" w14:textId="47D931A4" w:rsidR="00FB6710" w:rsidRPr="00183B5F" w:rsidRDefault="00943743" w:rsidP="004062FE">
      <w:pPr>
        <w:spacing w:line="240" w:lineRule="auto"/>
        <w:rPr>
          <w:del w:id="9138" w:author="AbbVie_HU_04" w:date="2025-05-15T11:59:00Z"/>
          <w:szCs w:val="22"/>
        </w:rPr>
      </w:pPr>
      <w:del w:id="9139" w:author="AbbVie_HU_04" w:date="2025-05-15T11:59:00Z">
        <w:r w:rsidRPr="00183B5F">
          <w:rPr>
            <w:szCs w:val="22"/>
          </w:rPr>
          <w:delText>Humira 40 mg oldatos injekció előretöltött fecskendőben</w:delText>
        </w:r>
      </w:del>
    </w:p>
    <w:p w14:paraId="11179032" w14:textId="5713B27E" w:rsidR="00FB6710" w:rsidRPr="00183B5F" w:rsidRDefault="00943743" w:rsidP="004062FE">
      <w:pPr>
        <w:pStyle w:val="EndnoteText"/>
        <w:tabs>
          <w:tab w:val="clear" w:pos="567"/>
          <w:tab w:val="left" w:pos="708"/>
        </w:tabs>
        <w:suppressAutoHyphens/>
        <w:rPr>
          <w:del w:id="9140" w:author="AbbVie_HU_04" w:date="2025-05-15T11:59:00Z"/>
          <w:sz w:val="22"/>
          <w:szCs w:val="22"/>
          <w:lang w:val="hu-HU"/>
        </w:rPr>
      </w:pPr>
      <w:del w:id="9141" w:author="AbbVie_HU_04" w:date="2025-05-15T11:59:00Z">
        <w:r w:rsidRPr="00183B5F">
          <w:rPr>
            <w:sz w:val="22"/>
            <w:szCs w:val="22"/>
            <w:lang w:val="hu-HU"/>
          </w:rPr>
          <w:delText>adalimumab</w:delText>
        </w:r>
      </w:del>
    </w:p>
    <w:p w14:paraId="50038563" w14:textId="29B362EB" w:rsidR="00FB6710" w:rsidRPr="00183B5F" w:rsidRDefault="00FB6710" w:rsidP="004062FE">
      <w:pPr>
        <w:spacing w:line="240" w:lineRule="auto"/>
        <w:rPr>
          <w:del w:id="9142" w:author="AbbVie_HU_04" w:date="2025-05-15T11:59:00Z"/>
          <w:szCs w:val="22"/>
        </w:rPr>
      </w:pPr>
    </w:p>
    <w:p w14:paraId="322112CA" w14:textId="61E68E5C" w:rsidR="00FB6710" w:rsidRPr="00183B5F" w:rsidRDefault="00FB6710" w:rsidP="004062FE">
      <w:pPr>
        <w:spacing w:line="240" w:lineRule="auto"/>
        <w:rPr>
          <w:del w:id="9143"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110B8A61" w14:textId="252E2597">
        <w:trPr>
          <w:jc w:val="center"/>
          <w:del w:id="9144"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39DA9178" w14:textId="73BC985D" w:rsidR="00FB6710" w:rsidRPr="00183B5F" w:rsidRDefault="00943743" w:rsidP="004062FE">
            <w:pPr>
              <w:tabs>
                <w:tab w:val="left" w:pos="142"/>
              </w:tabs>
              <w:spacing w:line="240" w:lineRule="auto"/>
              <w:ind w:left="567" w:hanging="567"/>
              <w:rPr>
                <w:del w:id="9145" w:author="AbbVie_HU_04" w:date="2025-05-15T11:59:00Z"/>
                <w:b/>
                <w:szCs w:val="22"/>
              </w:rPr>
            </w:pPr>
            <w:del w:id="9146" w:author="AbbVie_HU_04" w:date="2025-05-15T11:59:00Z">
              <w:r w:rsidRPr="00183B5F">
                <w:rPr>
                  <w:b/>
                  <w:szCs w:val="22"/>
                </w:rPr>
                <w:delText>2.</w:delText>
              </w:r>
              <w:r w:rsidRPr="00183B5F">
                <w:rPr>
                  <w:b/>
                  <w:szCs w:val="22"/>
                </w:rPr>
                <w:tab/>
                <w:delText>A FORGALOMBA HOZATALI ENGEDÉLY JOGOSULTJÁNAK NEVE</w:delText>
              </w:r>
            </w:del>
          </w:p>
        </w:tc>
      </w:tr>
    </w:tbl>
    <w:p w14:paraId="02C8604B" w14:textId="7664EACB" w:rsidR="00FB6710" w:rsidRPr="00183B5F" w:rsidRDefault="00FB6710" w:rsidP="004062FE">
      <w:pPr>
        <w:spacing w:line="240" w:lineRule="auto"/>
        <w:rPr>
          <w:del w:id="9147" w:author="AbbVie_HU_04" w:date="2025-05-15T11:59:00Z"/>
          <w:szCs w:val="22"/>
        </w:rPr>
      </w:pPr>
    </w:p>
    <w:p w14:paraId="5C22C16F" w14:textId="7270E362" w:rsidR="00FB6710" w:rsidRPr="00183B5F" w:rsidRDefault="00943743" w:rsidP="004062FE">
      <w:pPr>
        <w:spacing w:line="240" w:lineRule="auto"/>
        <w:ind w:right="-2"/>
        <w:rPr>
          <w:del w:id="9148" w:author="AbbVie_HU_04" w:date="2025-05-15T11:59:00Z"/>
          <w:szCs w:val="22"/>
          <w:highlight w:val="lightGray"/>
          <w:lang w:eastAsia="en-GB"/>
        </w:rPr>
      </w:pPr>
      <w:del w:id="9149" w:author="AbbVie_HU_04" w:date="2025-05-15T11:59:00Z">
        <w:r w:rsidRPr="00183B5F">
          <w:rPr>
            <w:szCs w:val="22"/>
          </w:rPr>
          <w:delText xml:space="preserve">AbbVie </w:delText>
        </w:r>
        <w:r w:rsidR="00CE3F71" w:rsidRPr="00183B5F">
          <w:rPr>
            <w:szCs w:val="22"/>
            <w:highlight w:val="lightGray"/>
            <w:lang w:eastAsia="en-GB"/>
          </w:rPr>
          <w:delText>(logo)</w:delText>
        </w:r>
      </w:del>
    </w:p>
    <w:p w14:paraId="3C63B544" w14:textId="6FD01485" w:rsidR="00FB6710" w:rsidRPr="00183B5F" w:rsidRDefault="00FB6710" w:rsidP="004062FE">
      <w:pPr>
        <w:spacing w:line="240" w:lineRule="auto"/>
        <w:rPr>
          <w:del w:id="9150" w:author="AbbVie_HU_04" w:date="2025-05-15T11:59:00Z"/>
          <w:szCs w:val="22"/>
        </w:rPr>
      </w:pPr>
    </w:p>
    <w:p w14:paraId="582DB86F" w14:textId="1CB01E24" w:rsidR="00FB6710" w:rsidRPr="00183B5F" w:rsidRDefault="00FB6710" w:rsidP="004062FE">
      <w:pPr>
        <w:spacing w:line="240" w:lineRule="auto"/>
        <w:rPr>
          <w:del w:id="9151"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1CA081E5" w14:textId="59E652EF">
        <w:trPr>
          <w:jc w:val="center"/>
          <w:del w:id="9152"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6D096625" w14:textId="10E5C5EA" w:rsidR="00FB6710" w:rsidRPr="00183B5F" w:rsidRDefault="00943743" w:rsidP="004062FE">
            <w:pPr>
              <w:tabs>
                <w:tab w:val="left" w:pos="142"/>
              </w:tabs>
              <w:spacing w:line="240" w:lineRule="auto"/>
              <w:ind w:left="567" w:hanging="567"/>
              <w:rPr>
                <w:del w:id="9153" w:author="AbbVie_HU_04" w:date="2025-05-15T11:59:00Z"/>
                <w:b/>
                <w:szCs w:val="22"/>
              </w:rPr>
            </w:pPr>
            <w:del w:id="9154" w:author="AbbVie_HU_04" w:date="2025-05-15T11:59:00Z">
              <w:r w:rsidRPr="00183B5F">
                <w:rPr>
                  <w:b/>
                  <w:szCs w:val="22"/>
                </w:rPr>
                <w:delText>3.</w:delText>
              </w:r>
              <w:r w:rsidRPr="00183B5F">
                <w:rPr>
                  <w:b/>
                  <w:szCs w:val="22"/>
                </w:rPr>
                <w:tab/>
                <w:delText>LEJÁRATI IDŐ</w:delText>
              </w:r>
            </w:del>
          </w:p>
        </w:tc>
      </w:tr>
    </w:tbl>
    <w:p w14:paraId="54A3E9C2" w14:textId="74088C1D" w:rsidR="00FB6710" w:rsidRPr="00183B5F" w:rsidRDefault="00FB6710" w:rsidP="004062FE">
      <w:pPr>
        <w:spacing w:line="240" w:lineRule="auto"/>
        <w:rPr>
          <w:del w:id="9155" w:author="AbbVie_HU_04" w:date="2025-05-15T11:59:00Z"/>
          <w:szCs w:val="22"/>
        </w:rPr>
      </w:pPr>
    </w:p>
    <w:p w14:paraId="2F4BA0D4" w14:textId="5F872034" w:rsidR="00FB6710" w:rsidRPr="00183B5F" w:rsidRDefault="00943743" w:rsidP="004062FE">
      <w:pPr>
        <w:spacing w:line="240" w:lineRule="auto"/>
        <w:rPr>
          <w:del w:id="9156" w:author="AbbVie_HU_04" w:date="2025-05-15T11:59:00Z"/>
          <w:szCs w:val="22"/>
        </w:rPr>
      </w:pPr>
      <w:del w:id="9157" w:author="AbbVie_HU_04" w:date="2025-05-15T11:59:00Z">
        <w:r w:rsidRPr="00183B5F">
          <w:rPr>
            <w:szCs w:val="22"/>
          </w:rPr>
          <w:delText>EXP</w:delText>
        </w:r>
      </w:del>
    </w:p>
    <w:p w14:paraId="0365A755" w14:textId="5DEB4241" w:rsidR="00FB6710" w:rsidRPr="00183B5F" w:rsidRDefault="00FB6710" w:rsidP="004062FE">
      <w:pPr>
        <w:spacing w:line="240" w:lineRule="auto"/>
        <w:rPr>
          <w:del w:id="9158" w:author="AbbVie_HU_04" w:date="2025-05-15T11:59:00Z"/>
          <w:szCs w:val="22"/>
        </w:rPr>
      </w:pPr>
    </w:p>
    <w:p w14:paraId="6DD111D6" w14:textId="2559AFE0" w:rsidR="00FB6710" w:rsidRPr="00183B5F" w:rsidRDefault="00FB6710" w:rsidP="004062FE">
      <w:pPr>
        <w:spacing w:line="240" w:lineRule="auto"/>
        <w:rPr>
          <w:del w:id="9159"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6B2BAE48" w14:textId="1832E544">
        <w:trPr>
          <w:jc w:val="center"/>
          <w:del w:id="9160"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08A63429" w14:textId="76C2548F" w:rsidR="00FB6710" w:rsidRPr="00183B5F" w:rsidRDefault="00943743" w:rsidP="004062FE">
            <w:pPr>
              <w:tabs>
                <w:tab w:val="left" w:pos="142"/>
              </w:tabs>
              <w:spacing w:line="240" w:lineRule="auto"/>
              <w:ind w:left="567" w:hanging="567"/>
              <w:rPr>
                <w:del w:id="9161" w:author="AbbVie_HU_04" w:date="2025-05-15T11:59:00Z"/>
                <w:b/>
                <w:szCs w:val="22"/>
              </w:rPr>
            </w:pPr>
            <w:del w:id="9162" w:author="AbbVie_HU_04" w:date="2025-05-15T11:59:00Z">
              <w:r w:rsidRPr="00183B5F">
                <w:rPr>
                  <w:b/>
                  <w:szCs w:val="22"/>
                </w:rPr>
                <w:delText>4.</w:delText>
              </w:r>
              <w:r w:rsidRPr="00183B5F">
                <w:rPr>
                  <w:b/>
                  <w:szCs w:val="22"/>
                </w:rPr>
                <w:tab/>
                <w:delText>A GYÁRTÁSI TÉTEL SZÁMA</w:delText>
              </w:r>
            </w:del>
          </w:p>
        </w:tc>
      </w:tr>
    </w:tbl>
    <w:p w14:paraId="05C9F280" w14:textId="73922A28" w:rsidR="00FB6710" w:rsidRPr="00183B5F" w:rsidRDefault="00FB6710" w:rsidP="004062FE">
      <w:pPr>
        <w:spacing w:line="240" w:lineRule="auto"/>
        <w:rPr>
          <w:del w:id="9163" w:author="AbbVie_HU_04" w:date="2025-05-15T11:59:00Z"/>
          <w:szCs w:val="22"/>
        </w:rPr>
      </w:pPr>
    </w:p>
    <w:p w14:paraId="2F68D32C" w14:textId="3D7FF587" w:rsidR="006B2BB7" w:rsidRPr="00183B5F" w:rsidRDefault="00943743" w:rsidP="004062FE">
      <w:pPr>
        <w:spacing w:line="240" w:lineRule="auto"/>
        <w:rPr>
          <w:del w:id="9164" w:author="AbbVie_HU_04" w:date="2025-05-15T11:59:00Z"/>
          <w:szCs w:val="22"/>
        </w:rPr>
      </w:pPr>
      <w:del w:id="9165" w:author="AbbVie_HU_04" w:date="2025-05-15T11:59:00Z">
        <w:r w:rsidRPr="00183B5F">
          <w:rPr>
            <w:szCs w:val="22"/>
          </w:rPr>
          <w:delText>Lot</w:delText>
        </w:r>
      </w:del>
    </w:p>
    <w:p w14:paraId="6379FB13" w14:textId="70FB0E03" w:rsidR="00FB6710" w:rsidRPr="00183B5F" w:rsidRDefault="00FB6710" w:rsidP="004062FE">
      <w:pPr>
        <w:spacing w:line="240" w:lineRule="auto"/>
        <w:rPr>
          <w:del w:id="9166" w:author="AbbVie_HU_04" w:date="2025-05-15T11:59:00Z"/>
          <w:szCs w:val="22"/>
        </w:rPr>
      </w:pPr>
    </w:p>
    <w:p w14:paraId="59A1FBAA" w14:textId="6A557E5A" w:rsidR="00FB6710" w:rsidRPr="00183B5F" w:rsidRDefault="00FB6710" w:rsidP="004062FE">
      <w:pPr>
        <w:spacing w:line="240" w:lineRule="auto"/>
        <w:rPr>
          <w:del w:id="9167"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67852F39" w14:textId="76AD2E59">
        <w:trPr>
          <w:jc w:val="center"/>
          <w:del w:id="9168"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36409AF3" w14:textId="7B293397" w:rsidR="00FB6710" w:rsidRPr="00183B5F" w:rsidRDefault="00943743" w:rsidP="004062FE">
            <w:pPr>
              <w:tabs>
                <w:tab w:val="left" w:pos="142"/>
              </w:tabs>
              <w:spacing w:line="240" w:lineRule="auto"/>
              <w:ind w:left="567" w:hanging="567"/>
              <w:rPr>
                <w:del w:id="9169" w:author="AbbVie_HU_04" w:date="2025-05-15T11:59:00Z"/>
                <w:b/>
                <w:szCs w:val="22"/>
              </w:rPr>
            </w:pPr>
            <w:del w:id="9170" w:author="AbbVie_HU_04" w:date="2025-05-15T11:59:00Z">
              <w:r w:rsidRPr="00183B5F">
                <w:rPr>
                  <w:b/>
                  <w:szCs w:val="22"/>
                </w:rPr>
                <w:delText>5.</w:delText>
              </w:r>
              <w:r w:rsidRPr="00183B5F">
                <w:rPr>
                  <w:b/>
                  <w:szCs w:val="22"/>
                </w:rPr>
                <w:tab/>
                <w:delText>EGYÉB INFORMÁCIÓK</w:delText>
              </w:r>
            </w:del>
          </w:p>
        </w:tc>
      </w:tr>
    </w:tbl>
    <w:p w14:paraId="7B717A77" w14:textId="6CD80E55" w:rsidR="00FB6710" w:rsidRPr="00183B5F" w:rsidRDefault="00FB6710" w:rsidP="004062FE">
      <w:pPr>
        <w:spacing w:line="240" w:lineRule="auto"/>
        <w:rPr>
          <w:del w:id="9171" w:author="AbbVie_HU_04" w:date="2025-05-15T11:59:00Z"/>
          <w:b/>
          <w:szCs w:val="22"/>
        </w:rPr>
      </w:pPr>
    </w:p>
    <w:p w14:paraId="4B74227D" w14:textId="6C359929" w:rsidR="00FB6710" w:rsidRPr="00183B5F" w:rsidRDefault="00943743" w:rsidP="004062FE">
      <w:pPr>
        <w:spacing w:line="240" w:lineRule="auto"/>
        <w:rPr>
          <w:del w:id="9172" w:author="AbbVie_HU_04" w:date="2025-05-15T11:59:00Z"/>
          <w:szCs w:val="22"/>
        </w:rPr>
      </w:pPr>
      <w:del w:id="9173" w:author="AbbVie_HU_04" w:date="2025-05-15T11:59:00Z">
        <w:r w:rsidRPr="00183B5F">
          <w:rPr>
            <w:szCs w:val="22"/>
          </w:rPr>
          <w:delText>Tárolási információ</w:delText>
        </w:r>
        <w:r w:rsidR="00A53984" w:rsidRPr="00183B5F">
          <w:rPr>
            <w:szCs w:val="22"/>
          </w:rPr>
          <w:delText>k</w:delText>
        </w:r>
        <w:r w:rsidRPr="00183B5F">
          <w:rPr>
            <w:szCs w:val="22"/>
          </w:rPr>
          <w:delText>ért olvassa el a betegtájékoztatót.</w:delText>
        </w:r>
      </w:del>
    </w:p>
    <w:p w14:paraId="415BE79B" w14:textId="5F41AF9B" w:rsidR="00091AC2" w:rsidRPr="00183B5F" w:rsidRDefault="00091AC2" w:rsidP="004062FE">
      <w:pPr>
        <w:spacing w:line="240" w:lineRule="auto"/>
        <w:rPr>
          <w:del w:id="9174" w:author="AbbVie_HU_04" w:date="2025-05-15T11:59:00Z"/>
          <w:szCs w:val="22"/>
        </w:rPr>
      </w:pPr>
    </w:p>
    <w:p w14:paraId="7DD1091C" w14:textId="2DFC16AF" w:rsidR="00444507" w:rsidRPr="00183B5F" w:rsidRDefault="00943743" w:rsidP="004062FE">
      <w:pPr>
        <w:spacing w:line="240" w:lineRule="auto"/>
        <w:rPr>
          <w:del w:id="9175" w:author="AbbVie_HU_04" w:date="2025-05-15T11:59:00Z"/>
          <w:b/>
          <w:szCs w:val="22"/>
        </w:rPr>
      </w:pPr>
      <w:del w:id="9176" w:author="AbbVie_HU_04" w:date="2025-05-15T11:59:00Z">
        <w:r w:rsidRPr="00183B5F">
          <w:rPr>
            <w:szCs w:val="22"/>
          </w:rPr>
          <w:delText>Kizárólag egyszeri alkalmazásra.</w:delText>
        </w:r>
      </w:del>
    </w:p>
    <w:p w14:paraId="57577546" w14:textId="3AFEF3BE" w:rsidR="00FB6710" w:rsidRPr="00183B5F" w:rsidRDefault="00943743" w:rsidP="004062FE">
      <w:pPr>
        <w:spacing w:line="240" w:lineRule="auto"/>
        <w:rPr>
          <w:del w:id="9177" w:author="AbbVie_HU_04" w:date="2025-05-15T11:59:00Z"/>
          <w:b/>
          <w:szCs w:val="22"/>
        </w:rPr>
      </w:pPr>
      <w:del w:id="9178" w:author="AbbVie_HU_04" w:date="2025-05-15T11:59:00Z">
        <w:r w:rsidRPr="00183B5F">
          <w:rPr>
            <w:b/>
            <w:szCs w:val="22"/>
          </w:rPr>
          <w:br w:type="page"/>
        </w:r>
      </w:del>
    </w:p>
    <w:tbl>
      <w:tblPr>
        <w:tblW w:w="9069" w:type="dxa"/>
        <w:jc w:val="center"/>
        <w:tblLayout w:type="fixed"/>
        <w:tblCellMar>
          <w:left w:w="0" w:type="dxa"/>
          <w:right w:w="0" w:type="dxa"/>
        </w:tblCellMar>
        <w:tblLook w:val="0000" w:firstRow="0" w:lastRow="0" w:firstColumn="0" w:lastColumn="0" w:noHBand="0" w:noVBand="0"/>
        <w:tblPrChange w:id="9179" w:author="AbbVie_HU_03" w:date="2025-05-14T16:15:00Z">
          <w:tblPr>
            <w:tblW w:w="0" w:type="auto"/>
            <w:tblLayout w:type="fixed"/>
            <w:tblLook w:val="04A0" w:firstRow="1" w:lastRow="0" w:firstColumn="1" w:lastColumn="0" w:noHBand="0" w:noVBand="1"/>
          </w:tblPr>
        </w:tblPrChange>
      </w:tblPr>
      <w:tblGrid>
        <w:gridCol w:w="9069"/>
        <w:tblGridChange w:id="9180">
          <w:tblGrid>
            <w:gridCol w:w="360"/>
            <w:gridCol w:w="8709"/>
          </w:tblGrid>
        </w:tblGridChange>
      </w:tblGrid>
      <w:tr w:rsidR="00011D2F" w14:paraId="057925F3" w14:textId="30F65242" w:rsidTr="00810C65">
        <w:trPr>
          <w:trHeight w:val="785"/>
          <w:jc w:val="center"/>
          <w:del w:id="9181" w:author="AbbVie_HU_04" w:date="2025-05-15T11:59:00Z"/>
          <w:trPrChange w:id="9182" w:author="AbbVie_HU_03" w:date="2025-05-14T16:15:00Z">
            <w:trPr>
              <w:gridAfter w:val="0"/>
            </w:trPr>
          </w:trPrChange>
        </w:trPr>
        <w:tc>
          <w:tcPr>
            <w:tcW w:w="9069" w:type="dxa"/>
            <w:tcBorders>
              <w:top w:val="single" w:sz="2" w:space="0" w:color="000000"/>
              <w:left w:val="single" w:sz="2" w:space="0" w:color="000000"/>
              <w:bottom w:val="single" w:sz="2" w:space="0" w:color="000000"/>
              <w:right w:val="single" w:sz="2" w:space="0" w:color="000000"/>
            </w:tcBorders>
            <w:tcPrChange w:id="9183" w:author="AbbVie_HU_03" w:date="2025-05-14T16:15:00Z">
              <w:tcPr>
                <w:tcW w:w="9069" w:type="dxa"/>
                <w:tcBorders>
                  <w:top w:val="single" w:sz="2" w:space="0" w:color="000000"/>
                  <w:left w:val="single" w:sz="2" w:space="0" w:color="000000"/>
                  <w:bottom w:val="single" w:sz="2" w:space="0" w:color="000000"/>
                  <w:right w:val="single" w:sz="2" w:space="0" w:color="000000"/>
                </w:tcBorders>
              </w:tcPr>
            </w:tcPrChange>
          </w:tcPr>
          <w:p w14:paraId="513AF33E" w14:textId="167A6ABB" w:rsidR="00FB6710" w:rsidRPr="00183B5F" w:rsidRDefault="00943743" w:rsidP="004062FE">
            <w:pPr>
              <w:spacing w:line="240" w:lineRule="auto"/>
              <w:rPr>
                <w:del w:id="9184" w:author="AbbVie_HU_04" w:date="2025-05-15T11:59:00Z"/>
                <w:b/>
                <w:szCs w:val="22"/>
              </w:rPr>
            </w:pPr>
            <w:del w:id="9185" w:author="AbbVie_HU_04" w:date="2025-05-15T11:59:00Z">
              <w:r w:rsidRPr="00183B5F">
                <w:rPr>
                  <w:b/>
                  <w:szCs w:val="22"/>
                </w:rPr>
                <w:delText>A KIS KÖZVETLEN CSOMAGOLÁSI EGYSÉGEKEN MINIMÁLISAN FELTÜNTETENDŐ ADATOK</w:delText>
              </w:r>
            </w:del>
          </w:p>
          <w:p w14:paraId="5D92722E" w14:textId="715D4F43" w:rsidR="00FB6710" w:rsidRPr="00183B5F" w:rsidRDefault="00FB6710" w:rsidP="004062FE">
            <w:pPr>
              <w:spacing w:line="240" w:lineRule="auto"/>
              <w:rPr>
                <w:del w:id="9186" w:author="AbbVie_HU_04" w:date="2025-05-15T11:59:00Z"/>
                <w:b/>
                <w:szCs w:val="22"/>
              </w:rPr>
            </w:pPr>
          </w:p>
          <w:p w14:paraId="563334B0" w14:textId="341F546B" w:rsidR="00FB6710" w:rsidRPr="00183B5F" w:rsidRDefault="00943743" w:rsidP="004062FE">
            <w:pPr>
              <w:spacing w:line="240" w:lineRule="auto"/>
              <w:rPr>
                <w:del w:id="9187" w:author="AbbVie_HU_04" w:date="2025-05-15T11:59:00Z"/>
                <w:b/>
                <w:caps/>
                <w:szCs w:val="22"/>
              </w:rPr>
            </w:pPr>
            <w:del w:id="9188" w:author="AbbVie_HU_04" w:date="2025-05-15T11:59:00Z">
              <w:r w:rsidRPr="00183B5F">
                <w:rPr>
                  <w:b/>
                  <w:caps/>
                  <w:szCs w:val="22"/>
                </w:rPr>
                <w:delText>Fecskendő cÍmke</w:delText>
              </w:r>
            </w:del>
          </w:p>
        </w:tc>
      </w:tr>
    </w:tbl>
    <w:p w14:paraId="13B17EDF" w14:textId="74BE6918" w:rsidR="00FB6710" w:rsidRPr="00183B5F" w:rsidRDefault="00FB6710" w:rsidP="004062FE">
      <w:pPr>
        <w:spacing w:line="240" w:lineRule="auto"/>
        <w:rPr>
          <w:del w:id="9189" w:author="AbbVie_HU_04" w:date="2025-05-15T11:59:00Z"/>
          <w:szCs w:val="22"/>
        </w:rPr>
      </w:pPr>
    </w:p>
    <w:p w14:paraId="1B5CEF34" w14:textId="47D2A39F" w:rsidR="00FB6710" w:rsidRPr="00183B5F" w:rsidRDefault="00FB6710" w:rsidP="004062FE">
      <w:pPr>
        <w:spacing w:line="240" w:lineRule="auto"/>
        <w:rPr>
          <w:del w:id="9190"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6A0C6262" w14:textId="39B1100E">
        <w:trPr>
          <w:jc w:val="center"/>
          <w:del w:id="9191"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57516E96" w14:textId="4AC9C5AB" w:rsidR="00FB6710" w:rsidRPr="00183B5F" w:rsidRDefault="00943743" w:rsidP="004062FE">
            <w:pPr>
              <w:tabs>
                <w:tab w:val="left" w:pos="142"/>
              </w:tabs>
              <w:spacing w:line="240" w:lineRule="auto"/>
              <w:ind w:left="567" w:hanging="567"/>
              <w:rPr>
                <w:del w:id="9192" w:author="AbbVie_HU_04" w:date="2025-05-15T11:59:00Z"/>
                <w:b/>
                <w:szCs w:val="22"/>
              </w:rPr>
            </w:pPr>
            <w:del w:id="9193" w:author="AbbVie_HU_04" w:date="2025-05-15T11:59:00Z">
              <w:r w:rsidRPr="00183B5F">
                <w:rPr>
                  <w:b/>
                  <w:szCs w:val="22"/>
                </w:rPr>
                <w:delText>1.</w:delText>
              </w:r>
              <w:r w:rsidRPr="00183B5F">
                <w:rPr>
                  <w:b/>
                  <w:szCs w:val="22"/>
                </w:rPr>
                <w:tab/>
                <w:delText xml:space="preserve">A GYÓGYSZER </w:delText>
              </w:r>
              <w:r w:rsidR="00F038A9" w:rsidRPr="00183B5F">
                <w:rPr>
                  <w:b/>
                  <w:szCs w:val="22"/>
                </w:rPr>
                <w:delText>NEVE</w:delText>
              </w:r>
              <w:r w:rsidRPr="00183B5F">
                <w:rPr>
                  <w:b/>
                  <w:szCs w:val="22"/>
                </w:rPr>
                <w:delText xml:space="preserve"> ÉS AZ ALKALMAZÁS MÓDJA</w:delText>
              </w:r>
            </w:del>
          </w:p>
        </w:tc>
      </w:tr>
    </w:tbl>
    <w:p w14:paraId="78272709" w14:textId="58C1C83E" w:rsidR="00FB6710" w:rsidRPr="00183B5F" w:rsidRDefault="00FB6710" w:rsidP="004062FE">
      <w:pPr>
        <w:spacing w:line="240" w:lineRule="auto"/>
        <w:rPr>
          <w:del w:id="9194" w:author="AbbVie_HU_04" w:date="2025-05-15T11:59:00Z"/>
          <w:szCs w:val="22"/>
        </w:rPr>
      </w:pPr>
    </w:p>
    <w:p w14:paraId="11117185" w14:textId="3839F032" w:rsidR="00FB6710" w:rsidRPr="00183B5F" w:rsidRDefault="00943743" w:rsidP="004062FE">
      <w:pPr>
        <w:spacing w:line="240" w:lineRule="auto"/>
        <w:rPr>
          <w:del w:id="9195" w:author="AbbVie_HU_04" w:date="2025-05-15T11:59:00Z"/>
          <w:szCs w:val="22"/>
        </w:rPr>
      </w:pPr>
      <w:del w:id="9196" w:author="AbbVie_HU_04" w:date="2025-05-15T11:59:00Z">
        <w:r w:rsidRPr="00183B5F">
          <w:rPr>
            <w:szCs w:val="22"/>
          </w:rPr>
          <w:delText>Humira 40 mg injekció</w:delText>
        </w:r>
      </w:del>
    </w:p>
    <w:p w14:paraId="653CA87F" w14:textId="125604C6" w:rsidR="00FB6710" w:rsidRPr="00183B5F" w:rsidRDefault="00943743" w:rsidP="004062FE">
      <w:pPr>
        <w:spacing w:line="240" w:lineRule="auto"/>
        <w:rPr>
          <w:del w:id="9197" w:author="AbbVie_HU_04" w:date="2025-05-15T11:59:00Z"/>
          <w:szCs w:val="22"/>
        </w:rPr>
      </w:pPr>
      <w:del w:id="9198" w:author="AbbVie_HU_04" w:date="2025-05-15T11:59:00Z">
        <w:r w:rsidRPr="00183B5F">
          <w:rPr>
            <w:szCs w:val="22"/>
          </w:rPr>
          <w:delText>a</w:delText>
        </w:r>
        <w:r w:rsidR="00221B35" w:rsidRPr="00183B5F">
          <w:rPr>
            <w:szCs w:val="22"/>
          </w:rPr>
          <w:delText>dalimumab</w:delText>
        </w:r>
      </w:del>
    </w:p>
    <w:p w14:paraId="6318FE48" w14:textId="63CD7902" w:rsidR="00FB6710" w:rsidRPr="00183B5F" w:rsidRDefault="00943743" w:rsidP="004062FE">
      <w:pPr>
        <w:spacing w:line="240" w:lineRule="auto"/>
        <w:rPr>
          <w:del w:id="9199" w:author="AbbVie_HU_04" w:date="2025-05-15T11:59:00Z"/>
          <w:szCs w:val="22"/>
        </w:rPr>
      </w:pPr>
      <w:del w:id="9200" w:author="AbbVie_HU_04" w:date="2025-05-15T11:59:00Z">
        <w:r w:rsidRPr="00183B5F">
          <w:rPr>
            <w:szCs w:val="22"/>
          </w:rPr>
          <w:delText>sc</w:delText>
        </w:r>
        <w:r w:rsidR="00A53E7F" w:rsidRPr="00183B5F">
          <w:rPr>
            <w:szCs w:val="22"/>
          </w:rPr>
          <w:delText>.</w:delText>
        </w:r>
      </w:del>
    </w:p>
    <w:p w14:paraId="50DFEA72" w14:textId="5CA8405B" w:rsidR="00FB6710" w:rsidRPr="00183B5F" w:rsidRDefault="00FB6710" w:rsidP="004062FE">
      <w:pPr>
        <w:spacing w:line="240" w:lineRule="auto"/>
        <w:rPr>
          <w:del w:id="9201"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4B4C046F" w14:textId="71C73940">
        <w:trPr>
          <w:jc w:val="center"/>
          <w:del w:id="9202"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3931EC89" w14:textId="52DFE0FD" w:rsidR="00FB6710" w:rsidRPr="00183B5F" w:rsidRDefault="00943743" w:rsidP="004062FE">
            <w:pPr>
              <w:tabs>
                <w:tab w:val="left" w:pos="142"/>
              </w:tabs>
              <w:spacing w:line="240" w:lineRule="auto"/>
              <w:ind w:left="567" w:hanging="567"/>
              <w:rPr>
                <w:del w:id="9203" w:author="AbbVie_HU_04" w:date="2025-05-15T11:59:00Z"/>
                <w:b/>
                <w:szCs w:val="22"/>
              </w:rPr>
            </w:pPr>
            <w:del w:id="9204" w:author="AbbVie_HU_04" w:date="2025-05-15T11:59:00Z">
              <w:r w:rsidRPr="00183B5F">
                <w:rPr>
                  <w:b/>
                  <w:szCs w:val="22"/>
                </w:rPr>
                <w:delText>2.</w:delText>
              </w:r>
              <w:r w:rsidRPr="00183B5F">
                <w:rPr>
                  <w:b/>
                  <w:szCs w:val="22"/>
                </w:rPr>
                <w:tab/>
                <w:delText>AZ ALKALMAZÁSSAL KAPCSOLATOS TUDNIVALÓK</w:delText>
              </w:r>
            </w:del>
          </w:p>
        </w:tc>
      </w:tr>
    </w:tbl>
    <w:p w14:paraId="3E52E6CC" w14:textId="02EC494F" w:rsidR="00FB6710" w:rsidRPr="00183B5F" w:rsidRDefault="00FB6710" w:rsidP="004062FE">
      <w:pPr>
        <w:spacing w:line="240" w:lineRule="auto"/>
        <w:rPr>
          <w:del w:id="9205" w:author="AbbVie_HU_04" w:date="2025-05-15T11:59:00Z"/>
          <w:szCs w:val="22"/>
        </w:rPr>
      </w:pPr>
    </w:p>
    <w:p w14:paraId="0D6CFD19" w14:textId="3DC51552" w:rsidR="00FB6710" w:rsidRPr="00183B5F" w:rsidRDefault="00FB6710" w:rsidP="004062FE">
      <w:pPr>
        <w:spacing w:line="240" w:lineRule="auto"/>
        <w:rPr>
          <w:del w:id="9206"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27C79314" w14:textId="2EDCD867">
        <w:trPr>
          <w:jc w:val="center"/>
          <w:del w:id="9207"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29366B85" w14:textId="57E2B23E" w:rsidR="00FB6710" w:rsidRPr="00183B5F" w:rsidRDefault="00943743" w:rsidP="004062FE">
            <w:pPr>
              <w:tabs>
                <w:tab w:val="left" w:pos="142"/>
              </w:tabs>
              <w:spacing w:line="240" w:lineRule="auto"/>
              <w:ind w:left="567" w:hanging="567"/>
              <w:rPr>
                <w:del w:id="9208" w:author="AbbVie_HU_04" w:date="2025-05-15T11:59:00Z"/>
                <w:b/>
                <w:szCs w:val="22"/>
              </w:rPr>
            </w:pPr>
            <w:del w:id="9209" w:author="AbbVie_HU_04" w:date="2025-05-15T11:59:00Z">
              <w:r w:rsidRPr="00183B5F">
                <w:rPr>
                  <w:b/>
                  <w:szCs w:val="22"/>
                </w:rPr>
                <w:delText>3.</w:delText>
              </w:r>
              <w:r w:rsidRPr="00183B5F">
                <w:rPr>
                  <w:b/>
                  <w:szCs w:val="22"/>
                </w:rPr>
                <w:tab/>
                <w:delText>LEJÁRATI IDŐ</w:delText>
              </w:r>
            </w:del>
          </w:p>
        </w:tc>
      </w:tr>
    </w:tbl>
    <w:p w14:paraId="2E621DDD" w14:textId="6966C620" w:rsidR="00FB6710" w:rsidRPr="00183B5F" w:rsidRDefault="00FB6710" w:rsidP="004062FE">
      <w:pPr>
        <w:spacing w:line="240" w:lineRule="auto"/>
        <w:rPr>
          <w:del w:id="9210" w:author="AbbVie_HU_04" w:date="2025-05-15T11:59:00Z"/>
          <w:szCs w:val="22"/>
        </w:rPr>
      </w:pPr>
    </w:p>
    <w:p w14:paraId="05207896" w14:textId="6E4EE696" w:rsidR="00FB6710" w:rsidRPr="00183B5F" w:rsidRDefault="00943743" w:rsidP="004062FE">
      <w:pPr>
        <w:spacing w:line="240" w:lineRule="auto"/>
        <w:rPr>
          <w:del w:id="9211" w:author="AbbVie_HU_04" w:date="2025-05-15T11:59:00Z"/>
          <w:szCs w:val="22"/>
        </w:rPr>
      </w:pPr>
      <w:del w:id="9212" w:author="AbbVie_HU_04" w:date="2025-05-15T11:59:00Z">
        <w:r w:rsidRPr="00183B5F">
          <w:rPr>
            <w:szCs w:val="22"/>
          </w:rPr>
          <w:delText>EXP</w:delText>
        </w:r>
      </w:del>
    </w:p>
    <w:p w14:paraId="49BEC90A" w14:textId="63F0EF11" w:rsidR="00FB6710" w:rsidRPr="00183B5F" w:rsidRDefault="00FB6710" w:rsidP="004062FE">
      <w:pPr>
        <w:spacing w:line="240" w:lineRule="auto"/>
        <w:rPr>
          <w:del w:id="9213" w:author="AbbVie_HU_04" w:date="2025-05-15T11:59:00Z"/>
          <w:szCs w:val="22"/>
        </w:rPr>
      </w:pPr>
    </w:p>
    <w:p w14:paraId="37336777" w14:textId="2D1052A4" w:rsidR="00FB6710" w:rsidRPr="00183B5F" w:rsidRDefault="00FB6710" w:rsidP="004062FE">
      <w:pPr>
        <w:spacing w:line="240" w:lineRule="auto"/>
        <w:rPr>
          <w:del w:id="9214"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2431B1C2" w14:textId="7A489E05">
        <w:trPr>
          <w:jc w:val="center"/>
          <w:del w:id="9215"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4A150A1C" w14:textId="21B6BBA0" w:rsidR="00FB6710" w:rsidRPr="00183B5F" w:rsidRDefault="00943743" w:rsidP="004062FE">
            <w:pPr>
              <w:tabs>
                <w:tab w:val="left" w:pos="142"/>
              </w:tabs>
              <w:spacing w:line="240" w:lineRule="auto"/>
              <w:ind w:left="567" w:hanging="567"/>
              <w:rPr>
                <w:del w:id="9216" w:author="AbbVie_HU_04" w:date="2025-05-15T11:59:00Z"/>
                <w:b/>
                <w:szCs w:val="22"/>
              </w:rPr>
            </w:pPr>
            <w:del w:id="9217" w:author="AbbVie_HU_04" w:date="2025-05-15T11:59:00Z">
              <w:r w:rsidRPr="00183B5F">
                <w:rPr>
                  <w:b/>
                  <w:szCs w:val="22"/>
                </w:rPr>
                <w:delText>4.</w:delText>
              </w:r>
              <w:r w:rsidRPr="00183B5F">
                <w:rPr>
                  <w:b/>
                  <w:szCs w:val="22"/>
                </w:rPr>
                <w:tab/>
                <w:delText>A GYÁRTÁSI TÉTEL SZÁMA</w:delText>
              </w:r>
            </w:del>
          </w:p>
        </w:tc>
      </w:tr>
    </w:tbl>
    <w:p w14:paraId="217D344C" w14:textId="4EE32F29" w:rsidR="00FB6710" w:rsidRPr="00183B5F" w:rsidRDefault="00FB6710" w:rsidP="004062FE">
      <w:pPr>
        <w:spacing w:line="240" w:lineRule="auto"/>
        <w:rPr>
          <w:del w:id="9218" w:author="AbbVie_HU_04" w:date="2025-05-15T11:59:00Z"/>
          <w:szCs w:val="22"/>
        </w:rPr>
      </w:pPr>
    </w:p>
    <w:p w14:paraId="5B4C12C3" w14:textId="7D8B6E54" w:rsidR="006B2BB7" w:rsidRPr="00183B5F" w:rsidRDefault="00943743" w:rsidP="004062FE">
      <w:pPr>
        <w:spacing w:line="240" w:lineRule="auto"/>
        <w:rPr>
          <w:del w:id="9219" w:author="AbbVie_HU_04" w:date="2025-05-15T11:59:00Z"/>
          <w:szCs w:val="22"/>
        </w:rPr>
      </w:pPr>
      <w:del w:id="9220" w:author="AbbVie_HU_04" w:date="2025-05-15T11:59:00Z">
        <w:r w:rsidRPr="00183B5F">
          <w:rPr>
            <w:szCs w:val="22"/>
          </w:rPr>
          <w:delText>Lot</w:delText>
        </w:r>
      </w:del>
    </w:p>
    <w:p w14:paraId="1078A3CD" w14:textId="69148453" w:rsidR="00FB6710" w:rsidRPr="00183B5F" w:rsidRDefault="00FB6710" w:rsidP="004062FE">
      <w:pPr>
        <w:spacing w:line="240" w:lineRule="auto"/>
        <w:ind w:right="113"/>
        <w:rPr>
          <w:del w:id="9221" w:author="AbbVie_HU_04" w:date="2025-05-15T11:59:00Z"/>
          <w:szCs w:val="22"/>
        </w:rPr>
      </w:pPr>
    </w:p>
    <w:p w14:paraId="7F30A498" w14:textId="53254F13" w:rsidR="00FB6710" w:rsidRPr="00183B5F" w:rsidRDefault="00FB6710" w:rsidP="004062FE">
      <w:pPr>
        <w:spacing w:line="240" w:lineRule="auto"/>
        <w:ind w:right="113"/>
        <w:rPr>
          <w:del w:id="9222"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67ABFE42" w14:textId="7EA74FCA">
        <w:trPr>
          <w:jc w:val="center"/>
          <w:del w:id="9223"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0827531C" w14:textId="0A0F0E61" w:rsidR="00FB6710" w:rsidRPr="00183B5F" w:rsidRDefault="00943743" w:rsidP="004062FE">
            <w:pPr>
              <w:tabs>
                <w:tab w:val="left" w:pos="142"/>
              </w:tabs>
              <w:spacing w:line="240" w:lineRule="auto"/>
              <w:ind w:left="567" w:hanging="567"/>
              <w:rPr>
                <w:del w:id="9224" w:author="AbbVie_HU_04" w:date="2025-05-15T11:59:00Z"/>
                <w:b/>
                <w:szCs w:val="22"/>
              </w:rPr>
            </w:pPr>
            <w:del w:id="9225" w:author="AbbVie_HU_04" w:date="2025-05-15T11:59:00Z">
              <w:r w:rsidRPr="00183B5F">
                <w:rPr>
                  <w:b/>
                  <w:szCs w:val="22"/>
                </w:rPr>
                <w:delText>5.</w:delText>
              </w:r>
              <w:r w:rsidRPr="00183B5F">
                <w:rPr>
                  <w:b/>
                  <w:szCs w:val="22"/>
                </w:rPr>
                <w:tab/>
              </w:r>
              <w:r w:rsidRPr="00183B5F">
                <w:rPr>
                  <w:b/>
                  <w:szCs w:val="22"/>
                </w:rPr>
                <w:delText>A TARTALOM SÚLYRA, TÉRFOGATRA, VAGY EGYSÉGREVONATKOZTATVA</w:delText>
              </w:r>
            </w:del>
          </w:p>
        </w:tc>
      </w:tr>
    </w:tbl>
    <w:p w14:paraId="4C4626CF" w14:textId="73ACED31" w:rsidR="00FB6710" w:rsidRPr="00183B5F" w:rsidRDefault="00FB6710" w:rsidP="004062FE">
      <w:pPr>
        <w:spacing w:line="240" w:lineRule="auto"/>
        <w:rPr>
          <w:del w:id="9226" w:author="AbbVie_HU_04" w:date="2025-05-15T11:59:00Z"/>
          <w:szCs w:val="22"/>
        </w:rPr>
      </w:pPr>
    </w:p>
    <w:p w14:paraId="3A4B9E34" w14:textId="48487936" w:rsidR="00FB6710" w:rsidRPr="00183B5F" w:rsidRDefault="00943743" w:rsidP="004062FE">
      <w:pPr>
        <w:spacing w:line="240" w:lineRule="auto"/>
        <w:rPr>
          <w:del w:id="9227" w:author="AbbVie_HU_04" w:date="2025-05-15T11:59:00Z"/>
          <w:szCs w:val="22"/>
        </w:rPr>
      </w:pPr>
      <w:del w:id="9228" w:author="AbbVie_HU_04" w:date="2025-05-15T11:59:00Z">
        <w:r w:rsidRPr="00183B5F">
          <w:rPr>
            <w:szCs w:val="22"/>
          </w:rPr>
          <w:delText>40 mg/0,8 ml</w:delText>
        </w:r>
      </w:del>
    </w:p>
    <w:p w14:paraId="020103EA" w14:textId="1F5EF179" w:rsidR="00FB6710" w:rsidRPr="00183B5F" w:rsidRDefault="00FB6710" w:rsidP="004062FE">
      <w:pPr>
        <w:spacing w:line="240" w:lineRule="auto"/>
        <w:rPr>
          <w:del w:id="9229" w:author="AbbVie_HU_04" w:date="2025-05-15T11:59:00Z"/>
          <w:szCs w:val="22"/>
        </w:rPr>
      </w:pPr>
    </w:p>
    <w:p w14:paraId="7BFFE55F" w14:textId="1862752B" w:rsidR="00FB6710" w:rsidRPr="00183B5F" w:rsidRDefault="00FB6710" w:rsidP="004062FE">
      <w:pPr>
        <w:spacing w:line="240" w:lineRule="auto"/>
        <w:rPr>
          <w:del w:id="9230"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20951DE2" w14:textId="3B033276">
        <w:trPr>
          <w:jc w:val="center"/>
          <w:del w:id="9231"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230F64A7" w14:textId="6A5431B1" w:rsidR="00FB6710" w:rsidRPr="00183B5F" w:rsidRDefault="00943743" w:rsidP="004062FE">
            <w:pPr>
              <w:tabs>
                <w:tab w:val="left" w:pos="142"/>
              </w:tabs>
              <w:spacing w:line="240" w:lineRule="auto"/>
              <w:ind w:left="567" w:hanging="567"/>
              <w:rPr>
                <w:del w:id="9232" w:author="AbbVie_HU_04" w:date="2025-05-15T11:59:00Z"/>
                <w:b/>
                <w:szCs w:val="22"/>
              </w:rPr>
            </w:pPr>
            <w:del w:id="9233" w:author="AbbVie_HU_04" w:date="2025-05-15T11:59:00Z">
              <w:r w:rsidRPr="00183B5F">
                <w:rPr>
                  <w:b/>
                  <w:szCs w:val="22"/>
                </w:rPr>
                <w:delText>6.</w:delText>
              </w:r>
              <w:r w:rsidRPr="00183B5F">
                <w:rPr>
                  <w:b/>
                  <w:szCs w:val="22"/>
                </w:rPr>
                <w:tab/>
                <w:delText>EGYÉB INFORMÁCIÓK</w:delText>
              </w:r>
            </w:del>
          </w:p>
        </w:tc>
      </w:tr>
    </w:tbl>
    <w:p w14:paraId="13A817F5" w14:textId="04B3A692" w:rsidR="00FB6710" w:rsidRPr="00183B5F" w:rsidRDefault="00FB6710" w:rsidP="004062FE">
      <w:pPr>
        <w:spacing w:line="240" w:lineRule="auto"/>
        <w:rPr>
          <w:del w:id="9234" w:author="AbbVie_HU_04" w:date="2025-05-15T11:59:00Z"/>
          <w:szCs w:val="22"/>
        </w:rPr>
      </w:pPr>
    </w:p>
    <w:p w14:paraId="32ABD5F7" w14:textId="7B09F060" w:rsidR="00FB6710" w:rsidRPr="00183B5F" w:rsidRDefault="00943743" w:rsidP="004062FE">
      <w:pPr>
        <w:spacing w:line="240" w:lineRule="auto"/>
        <w:rPr>
          <w:del w:id="9235" w:author="AbbVie_HU_04" w:date="2025-05-15T11:59:00Z"/>
          <w:szCs w:val="22"/>
        </w:rPr>
      </w:pPr>
      <w:del w:id="9236" w:author="AbbVie_HU_04" w:date="2025-05-15T11:59:00Z">
        <w:r w:rsidRPr="00183B5F">
          <w:rPr>
            <w:szCs w:val="22"/>
          </w:rPr>
          <w:br w:type="page"/>
        </w:r>
      </w:del>
    </w:p>
    <w:tbl>
      <w:tblPr>
        <w:tblW w:w="9069" w:type="dxa"/>
        <w:jc w:val="center"/>
        <w:tblLayout w:type="fixed"/>
        <w:tblCellMar>
          <w:left w:w="0" w:type="dxa"/>
          <w:right w:w="0" w:type="dxa"/>
        </w:tblCellMar>
        <w:tblLook w:val="0000" w:firstRow="0" w:lastRow="0" w:firstColumn="0" w:lastColumn="0" w:noHBand="0" w:noVBand="0"/>
        <w:tblPrChange w:id="9237" w:author="AbbVie_HU_03" w:date="2025-05-14T16:15:00Z">
          <w:tblPr>
            <w:tblW w:w="0" w:type="auto"/>
            <w:tblLayout w:type="fixed"/>
            <w:tblLook w:val="04A0" w:firstRow="1" w:lastRow="0" w:firstColumn="1" w:lastColumn="0" w:noHBand="0" w:noVBand="1"/>
          </w:tblPr>
        </w:tblPrChange>
      </w:tblPr>
      <w:tblGrid>
        <w:gridCol w:w="9069"/>
        <w:tblGridChange w:id="9238">
          <w:tblGrid>
            <w:gridCol w:w="360"/>
            <w:gridCol w:w="8709"/>
          </w:tblGrid>
        </w:tblGridChange>
      </w:tblGrid>
      <w:tr w:rsidR="00011D2F" w14:paraId="421E1A4C" w14:textId="4C887CB9" w:rsidTr="00810C65">
        <w:trPr>
          <w:trHeight w:val="1040"/>
          <w:jc w:val="center"/>
          <w:del w:id="9239" w:author="AbbVie_HU_04" w:date="2025-05-15T11:59:00Z"/>
          <w:trPrChange w:id="9240" w:author="AbbVie_HU_03" w:date="2025-05-14T16:15:00Z">
            <w:trPr>
              <w:gridAfter w:val="0"/>
            </w:trPr>
          </w:trPrChange>
        </w:trPr>
        <w:tc>
          <w:tcPr>
            <w:tcW w:w="9069" w:type="dxa"/>
            <w:tcBorders>
              <w:top w:val="single" w:sz="2" w:space="0" w:color="000000"/>
              <w:left w:val="single" w:sz="2" w:space="0" w:color="000000"/>
              <w:bottom w:val="single" w:sz="2" w:space="0" w:color="000000"/>
              <w:right w:val="single" w:sz="2" w:space="0" w:color="000000"/>
            </w:tcBorders>
            <w:tcPrChange w:id="9241" w:author="AbbVie_HU_03" w:date="2025-05-14T16:15:00Z">
              <w:tcPr>
                <w:tcW w:w="9069" w:type="dxa"/>
                <w:tcBorders>
                  <w:top w:val="single" w:sz="2" w:space="0" w:color="000000"/>
                  <w:left w:val="single" w:sz="2" w:space="0" w:color="000000"/>
                  <w:bottom w:val="single" w:sz="2" w:space="0" w:color="000000"/>
                  <w:right w:val="single" w:sz="2" w:space="0" w:color="000000"/>
                </w:tcBorders>
              </w:tcPr>
            </w:tcPrChange>
          </w:tcPr>
          <w:p w14:paraId="053C34E8" w14:textId="27EDC51C" w:rsidR="00FB6710" w:rsidRPr="00183B5F" w:rsidRDefault="00943743" w:rsidP="004062FE">
            <w:pPr>
              <w:spacing w:line="240" w:lineRule="auto"/>
              <w:rPr>
                <w:del w:id="9242" w:author="AbbVie_HU_04" w:date="2025-05-15T11:59:00Z"/>
                <w:b/>
                <w:caps/>
                <w:szCs w:val="22"/>
              </w:rPr>
            </w:pPr>
            <w:del w:id="9243" w:author="AbbVie_HU_04" w:date="2025-05-15T11:59:00Z">
              <w:r w:rsidRPr="00183B5F">
                <w:rPr>
                  <w:b/>
                  <w:caps/>
                  <w:szCs w:val="22"/>
                </w:rPr>
                <w:delText>A KÜLSŐ CSOMAGOLÁSON FELTÜNTETENDŐ ADATOK</w:delText>
              </w:r>
            </w:del>
          </w:p>
          <w:p w14:paraId="71C66964" w14:textId="67AF7B97" w:rsidR="00FB6710" w:rsidRPr="00183B5F" w:rsidRDefault="00FB6710" w:rsidP="004062FE">
            <w:pPr>
              <w:spacing w:line="240" w:lineRule="auto"/>
              <w:rPr>
                <w:del w:id="9244" w:author="AbbVie_HU_04" w:date="2025-05-15T11:59:00Z"/>
                <w:b/>
                <w:caps/>
                <w:szCs w:val="22"/>
              </w:rPr>
            </w:pPr>
          </w:p>
          <w:p w14:paraId="63C61B9C" w14:textId="5DCAEA39" w:rsidR="00FB6710" w:rsidRPr="00183B5F" w:rsidRDefault="00943743" w:rsidP="004062FE">
            <w:pPr>
              <w:spacing w:line="240" w:lineRule="auto"/>
              <w:rPr>
                <w:del w:id="9245" w:author="AbbVie_HU_04" w:date="2025-05-15T11:59:00Z"/>
                <w:b/>
                <w:caps/>
                <w:szCs w:val="22"/>
              </w:rPr>
            </w:pPr>
            <w:del w:id="9246" w:author="AbbVie_HU_04" w:date="2025-05-15T11:59:00Z">
              <w:r w:rsidRPr="00183B5F">
                <w:rPr>
                  <w:b/>
                  <w:caps/>
                  <w:szCs w:val="22"/>
                </w:rPr>
                <w:delText xml:space="preserve">Külső </w:delText>
              </w:r>
              <w:r w:rsidR="0029015E" w:rsidRPr="00183B5F">
                <w:rPr>
                  <w:b/>
                  <w:caps/>
                  <w:szCs w:val="22"/>
                </w:rPr>
                <w:delText>DOBOZ</w:delText>
              </w:r>
            </w:del>
          </w:p>
        </w:tc>
      </w:tr>
    </w:tbl>
    <w:p w14:paraId="17E39B4C" w14:textId="2B25B441" w:rsidR="00FB6710" w:rsidRPr="00183B5F" w:rsidRDefault="00FB6710" w:rsidP="004062FE">
      <w:pPr>
        <w:spacing w:line="240" w:lineRule="auto"/>
        <w:rPr>
          <w:del w:id="9247" w:author="AbbVie_HU_04" w:date="2025-05-15T11:59:00Z"/>
          <w:szCs w:val="22"/>
        </w:rPr>
      </w:pPr>
    </w:p>
    <w:p w14:paraId="11C9633E" w14:textId="6080DC6E" w:rsidR="00FB6710" w:rsidRPr="00183B5F" w:rsidRDefault="00FB6710" w:rsidP="004062FE">
      <w:pPr>
        <w:spacing w:line="240" w:lineRule="auto"/>
        <w:rPr>
          <w:del w:id="9248"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374A3A4E" w14:textId="1F30F9A4">
        <w:trPr>
          <w:jc w:val="center"/>
          <w:del w:id="9249"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75F0F093" w14:textId="585710EB" w:rsidR="00FB6710" w:rsidRPr="00183B5F" w:rsidRDefault="00943743" w:rsidP="004062FE">
            <w:pPr>
              <w:tabs>
                <w:tab w:val="left" w:pos="142"/>
              </w:tabs>
              <w:spacing w:line="240" w:lineRule="auto"/>
              <w:ind w:left="567" w:hanging="567"/>
              <w:rPr>
                <w:del w:id="9250" w:author="AbbVie_HU_04" w:date="2025-05-15T11:59:00Z"/>
                <w:b/>
                <w:szCs w:val="22"/>
              </w:rPr>
            </w:pPr>
            <w:del w:id="9251" w:author="AbbVie_HU_04" w:date="2025-05-15T11:59:00Z">
              <w:r w:rsidRPr="00183B5F">
                <w:rPr>
                  <w:b/>
                  <w:szCs w:val="22"/>
                </w:rPr>
                <w:delText>1.</w:delText>
              </w:r>
              <w:r w:rsidRPr="00183B5F">
                <w:rPr>
                  <w:b/>
                  <w:szCs w:val="22"/>
                </w:rPr>
                <w:tab/>
                <w:delText xml:space="preserve">A GYÓGYSZER </w:delText>
              </w:r>
              <w:r w:rsidR="00F038A9" w:rsidRPr="00183B5F">
                <w:rPr>
                  <w:b/>
                  <w:szCs w:val="22"/>
                </w:rPr>
                <w:delText>NEVE</w:delText>
              </w:r>
            </w:del>
          </w:p>
        </w:tc>
      </w:tr>
    </w:tbl>
    <w:p w14:paraId="35AB8267" w14:textId="34E5BC21" w:rsidR="00FB6710" w:rsidRPr="00183B5F" w:rsidRDefault="00FB6710" w:rsidP="004062FE">
      <w:pPr>
        <w:spacing w:line="240" w:lineRule="auto"/>
        <w:rPr>
          <w:del w:id="9252" w:author="AbbVie_HU_04" w:date="2025-05-15T11:59:00Z"/>
          <w:szCs w:val="22"/>
        </w:rPr>
      </w:pPr>
    </w:p>
    <w:p w14:paraId="0FB66883" w14:textId="7CC3F3C1" w:rsidR="00FB6710" w:rsidRPr="00183B5F" w:rsidRDefault="00943743" w:rsidP="004062FE">
      <w:pPr>
        <w:spacing w:line="240" w:lineRule="auto"/>
        <w:rPr>
          <w:del w:id="9253" w:author="AbbVie_HU_04" w:date="2025-05-15T11:59:00Z"/>
          <w:szCs w:val="22"/>
        </w:rPr>
      </w:pPr>
      <w:del w:id="9254" w:author="AbbVie_HU_04" w:date="2025-05-15T11:59:00Z">
        <w:r w:rsidRPr="00183B5F">
          <w:rPr>
            <w:szCs w:val="22"/>
          </w:rPr>
          <w:delText xml:space="preserve">Humira 40 mg oldatos injekció előretöltött fecskendőben </w:delText>
        </w:r>
      </w:del>
    </w:p>
    <w:p w14:paraId="63D41AD1" w14:textId="1DF30F51" w:rsidR="00FB6710" w:rsidRPr="00183B5F" w:rsidRDefault="00943743" w:rsidP="004062FE">
      <w:pPr>
        <w:pStyle w:val="EndnoteText"/>
        <w:tabs>
          <w:tab w:val="clear" w:pos="567"/>
          <w:tab w:val="left" w:pos="708"/>
        </w:tabs>
        <w:suppressAutoHyphens/>
        <w:rPr>
          <w:del w:id="9255" w:author="AbbVie_HU_04" w:date="2025-05-15T11:59:00Z"/>
          <w:sz w:val="22"/>
          <w:szCs w:val="22"/>
          <w:lang w:val="hu-HU"/>
        </w:rPr>
      </w:pPr>
      <w:del w:id="9256" w:author="AbbVie_HU_04" w:date="2025-05-15T11:59:00Z">
        <w:r w:rsidRPr="00183B5F">
          <w:rPr>
            <w:sz w:val="22"/>
            <w:szCs w:val="22"/>
            <w:lang w:val="hu-HU"/>
          </w:rPr>
          <w:delText>adalimumab</w:delText>
        </w:r>
      </w:del>
    </w:p>
    <w:p w14:paraId="5B15AABA" w14:textId="109F4C87" w:rsidR="00FB6710" w:rsidRPr="00183B5F" w:rsidRDefault="00FB6710" w:rsidP="004062FE">
      <w:pPr>
        <w:spacing w:line="240" w:lineRule="auto"/>
        <w:rPr>
          <w:del w:id="9257" w:author="AbbVie_HU_04" w:date="2025-05-15T11:59:00Z"/>
          <w:szCs w:val="22"/>
        </w:rPr>
      </w:pPr>
    </w:p>
    <w:p w14:paraId="69438380" w14:textId="4A479010" w:rsidR="00FB6710" w:rsidRPr="00183B5F" w:rsidRDefault="00FB6710" w:rsidP="004062FE">
      <w:pPr>
        <w:spacing w:line="240" w:lineRule="auto"/>
        <w:rPr>
          <w:del w:id="9258"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73F8A381" w14:textId="09790735">
        <w:trPr>
          <w:jc w:val="center"/>
          <w:del w:id="9259"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5E18AED9" w14:textId="4BDA1C35" w:rsidR="00FB6710" w:rsidRPr="00183B5F" w:rsidRDefault="00943743" w:rsidP="004062FE">
            <w:pPr>
              <w:tabs>
                <w:tab w:val="left" w:pos="142"/>
              </w:tabs>
              <w:spacing w:line="240" w:lineRule="auto"/>
              <w:ind w:left="567" w:hanging="567"/>
              <w:rPr>
                <w:del w:id="9260" w:author="AbbVie_HU_04" w:date="2025-05-15T11:59:00Z"/>
                <w:b/>
                <w:szCs w:val="22"/>
              </w:rPr>
            </w:pPr>
            <w:del w:id="9261" w:author="AbbVie_HU_04" w:date="2025-05-15T11:59:00Z">
              <w:r w:rsidRPr="00183B5F">
                <w:rPr>
                  <w:b/>
                  <w:szCs w:val="22"/>
                </w:rPr>
                <w:delText>2.</w:delText>
              </w:r>
              <w:r w:rsidRPr="00183B5F">
                <w:rPr>
                  <w:b/>
                  <w:szCs w:val="22"/>
                </w:rPr>
                <w:tab/>
                <w:delText>HATÓANYAG(OK) MEGNEVEZÉSE</w:delText>
              </w:r>
            </w:del>
          </w:p>
        </w:tc>
      </w:tr>
    </w:tbl>
    <w:p w14:paraId="24A5828D" w14:textId="03162997" w:rsidR="00FB6710" w:rsidRPr="00183B5F" w:rsidRDefault="00FB6710" w:rsidP="004062FE">
      <w:pPr>
        <w:spacing w:line="240" w:lineRule="auto"/>
        <w:ind w:right="-2"/>
        <w:rPr>
          <w:del w:id="9262" w:author="AbbVie_HU_04" w:date="2025-05-15T11:59:00Z"/>
          <w:szCs w:val="22"/>
        </w:rPr>
      </w:pPr>
    </w:p>
    <w:p w14:paraId="7C8E2A45" w14:textId="4795A89E" w:rsidR="00FB6710" w:rsidRPr="00183B5F" w:rsidRDefault="00943743" w:rsidP="004062FE">
      <w:pPr>
        <w:spacing w:line="240" w:lineRule="auto"/>
        <w:ind w:right="-2"/>
        <w:rPr>
          <w:del w:id="9263" w:author="AbbVie_HU_04" w:date="2025-05-15T11:59:00Z"/>
          <w:strike/>
          <w:szCs w:val="22"/>
        </w:rPr>
      </w:pPr>
      <w:del w:id="9264" w:author="AbbVie_HU_04" w:date="2025-05-15T11:59:00Z">
        <w:r w:rsidRPr="00183B5F">
          <w:rPr>
            <w:szCs w:val="22"/>
          </w:rPr>
          <w:delText>40 mg adalimumab 0,8 ml-es előretöltött fecskendőben tűvédővel</w:delText>
        </w:r>
        <w:r w:rsidR="00C036E3" w:rsidRPr="00183B5F">
          <w:rPr>
            <w:strike/>
            <w:szCs w:val="22"/>
          </w:rPr>
          <w:delText>.</w:delText>
        </w:r>
      </w:del>
    </w:p>
    <w:p w14:paraId="74F88B1B" w14:textId="5372A36E" w:rsidR="00FB6710" w:rsidRPr="00183B5F" w:rsidRDefault="00FB6710" w:rsidP="004062FE">
      <w:pPr>
        <w:spacing w:line="240" w:lineRule="auto"/>
        <w:ind w:right="-2"/>
        <w:rPr>
          <w:del w:id="9265" w:author="AbbVie_HU_04" w:date="2025-05-15T11:59:00Z"/>
          <w:szCs w:val="22"/>
        </w:rPr>
      </w:pPr>
    </w:p>
    <w:p w14:paraId="7DFD7654" w14:textId="6FF49603" w:rsidR="00FB6710" w:rsidRPr="00183B5F" w:rsidRDefault="00FB6710" w:rsidP="004062FE">
      <w:pPr>
        <w:pStyle w:val="EndnoteText"/>
        <w:tabs>
          <w:tab w:val="clear" w:pos="567"/>
        </w:tabs>
        <w:suppressAutoHyphens/>
        <w:rPr>
          <w:del w:id="9266" w:author="AbbVie_HU_04" w:date="2025-05-15T11:59:00Z"/>
          <w:sz w:val="22"/>
          <w:szCs w:val="22"/>
          <w:lang w:val="hu-HU" w:eastAsia="hu-HU"/>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53DD9F5A" w14:textId="52988C6A">
        <w:trPr>
          <w:jc w:val="center"/>
          <w:del w:id="9267"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7FB16787" w14:textId="52925375" w:rsidR="00FB6710" w:rsidRPr="00183B5F" w:rsidRDefault="00943743" w:rsidP="004062FE">
            <w:pPr>
              <w:tabs>
                <w:tab w:val="left" w:pos="142"/>
              </w:tabs>
              <w:spacing w:line="240" w:lineRule="auto"/>
              <w:ind w:left="567" w:hanging="567"/>
              <w:rPr>
                <w:del w:id="9268" w:author="AbbVie_HU_04" w:date="2025-05-15T11:59:00Z"/>
                <w:b/>
                <w:szCs w:val="22"/>
              </w:rPr>
            </w:pPr>
            <w:del w:id="9269" w:author="AbbVie_HU_04" w:date="2025-05-15T11:59:00Z">
              <w:r w:rsidRPr="00183B5F">
                <w:rPr>
                  <w:b/>
                  <w:szCs w:val="22"/>
                </w:rPr>
                <w:delText>3.</w:delText>
              </w:r>
              <w:r w:rsidRPr="00183B5F">
                <w:rPr>
                  <w:b/>
                  <w:szCs w:val="22"/>
                </w:rPr>
                <w:tab/>
                <w:delText>SEGÉDANYAGOK FELSOROLÁSA</w:delText>
              </w:r>
            </w:del>
          </w:p>
        </w:tc>
      </w:tr>
    </w:tbl>
    <w:p w14:paraId="78371C87" w14:textId="414FA157" w:rsidR="00FB6710" w:rsidRPr="00183B5F" w:rsidRDefault="00FB6710" w:rsidP="004062FE">
      <w:pPr>
        <w:spacing w:line="240" w:lineRule="auto"/>
        <w:rPr>
          <w:del w:id="9270" w:author="AbbVie_HU_04" w:date="2025-05-15T11:59:00Z"/>
          <w:szCs w:val="22"/>
        </w:rPr>
      </w:pPr>
    </w:p>
    <w:p w14:paraId="754E6944" w14:textId="14E155AC" w:rsidR="00FB6710" w:rsidRPr="00183B5F" w:rsidRDefault="00943743" w:rsidP="004062FE">
      <w:pPr>
        <w:spacing w:line="240" w:lineRule="auto"/>
        <w:rPr>
          <w:del w:id="9271" w:author="AbbVie_HU_04" w:date="2025-05-15T11:59:00Z"/>
          <w:szCs w:val="22"/>
        </w:rPr>
      </w:pPr>
      <w:del w:id="9272" w:author="AbbVie_HU_04" w:date="2025-05-15T11:59:00Z">
        <w:r w:rsidRPr="00183B5F">
          <w:rPr>
            <w:szCs w:val="22"/>
          </w:rPr>
          <w:delText>Segédanyagok: mannit, citromsav-monohidrát, trinátrium-citrát, nátrium</w:delText>
        </w:r>
        <w:r w:rsidRPr="00183B5F">
          <w:rPr>
            <w:szCs w:val="22"/>
          </w:rPr>
          <w:noBreakHyphen/>
          <w:delText>dihidrogén</w:delText>
        </w:r>
        <w:r w:rsidRPr="00183B5F">
          <w:rPr>
            <w:szCs w:val="22"/>
          </w:rPr>
          <w:noBreakHyphen/>
          <w:delText>foszfát</w:delText>
        </w:r>
        <w:r w:rsidRPr="00183B5F">
          <w:rPr>
            <w:szCs w:val="22"/>
          </w:rPr>
          <w:noBreakHyphen/>
          <w:delText>dihidrát, dinátrium</w:delText>
        </w:r>
        <w:r w:rsidRPr="00183B5F">
          <w:rPr>
            <w:szCs w:val="22"/>
          </w:rPr>
          <w:noBreakHyphen/>
          <w:delText>hidrogén</w:delText>
        </w:r>
        <w:r w:rsidRPr="00183B5F">
          <w:rPr>
            <w:szCs w:val="22"/>
          </w:rPr>
          <w:noBreakHyphen/>
          <w:delText>foszfát</w:delText>
        </w:r>
        <w:r w:rsidRPr="00183B5F">
          <w:rPr>
            <w:szCs w:val="22"/>
          </w:rPr>
          <w:noBreakHyphen/>
          <w:delText>dihidrát, nátrium</w:delText>
        </w:r>
        <w:r w:rsidRPr="00183B5F">
          <w:rPr>
            <w:szCs w:val="22"/>
          </w:rPr>
          <w:noBreakHyphen/>
          <w:delText>klorid, poliszorbát 80, nátrium</w:delText>
        </w:r>
        <w:r w:rsidRPr="00183B5F">
          <w:rPr>
            <w:szCs w:val="22"/>
          </w:rPr>
          <w:noBreakHyphen/>
          <w:delText>hidroxid, injekcióhoz való víz. További információkért olvassa el a betegtájékoztatót.</w:delText>
        </w:r>
      </w:del>
    </w:p>
    <w:p w14:paraId="5C294A37" w14:textId="23A072A4" w:rsidR="00FB6710" w:rsidRPr="00183B5F" w:rsidRDefault="00FB6710" w:rsidP="004062FE">
      <w:pPr>
        <w:spacing w:line="240" w:lineRule="auto"/>
        <w:rPr>
          <w:del w:id="9273" w:author="AbbVie_HU_04" w:date="2025-05-15T11:59:00Z"/>
          <w:szCs w:val="22"/>
        </w:rPr>
      </w:pPr>
    </w:p>
    <w:p w14:paraId="37110B34" w14:textId="5D5AB82C" w:rsidR="00FB6710" w:rsidRPr="00183B5F" w:rsidRDefault="00FB6710" w:rsidP="004062FE">
      <w:pPr>
        <w:spacing w:line="240" w:lineRule="auto"/>
        <w:rPr>
          <w:del w:id="9274"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816B365" w14:textId="53216423">
        <w:trPr>
          <w:jc w:val="center"/>
          <w:del w:id="9275"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23E7A0F6" w14:textId="6254327A" w:rsidR="00FB6710" w:rsidRPr="00183B5F" w:rsidRDefault="00943743" w:rsidP="004062FE">
            <w:pPr>
              <w:tabs>
                <w:tab w:val="left" w:pos="142"/>
              </w:tabs>
              <w:spacing w:line="240" w:lineRule="auto"/>
              <w:ind w:left="567" w:hanging="567"/>
              <w:rPr>
                <w:del w:id="9276" w:author="AbbVie_HU_04" w:date="2025-05-15T11:59:00Z"/>
                <w:b/>
                <w:szCs w:val="22"/>
              </w:rPr>
            </w:pPr>
            <w:del w:id="9277" w:author="AbbVie_HU_04" w:date="2025-05-15T11:59:00Z">
              <w:r w:rsidRPr="00183B5F">
                <w:rPr>
                  <w:b/>
                  <w:szCs w:val="22"/>
                </w:rPr>
                <w:delText>4.</w:delText>
              </w:r>
              <w:r w:rsidRPr="00183B5F">
                <w:rPr>
                  <w:b/>
                  <w:szCs w:val="22"/>
                </w:rPr>
                <w:tab/>
                <w:delText>GYÓGYSZERFORMA ÉS TARTALOM</w:delText>
              </w:r>
            </w:del>
          </w:p>
        </w:tc>
      </w:tr>
    </w:tbl>
    <w:p w14:paraId="69ECDBBE" w14:textId="430B692F" w:rsidR="00FB6710" w:rsidRPr="00183B5F" w:rsidRDefault="00FB6710" w:rsidP="004062FE">
      <w:pPr>
        <w:spacing w:line="240" w:lineRule="auto"/>
        <w:rPr>
          <w:del w:id="9278" w:author="AbbVie_HU_04" w:date="2025-05-15T11:59:00Z"/>
          <w:szCs w:val="22"/>
        </w:rPr>
      </w:pPr>
    </w:p>
    <w:p w14:paraId="3EB6EEC0" w14:textId="4A830149" w:rsidR="00CE119D" w:rsidRPr="00183B5F" w:rsidRDefault="00943743" w:rsidP="004062FE">
      <w:pPr>
        <w:spacing w:line="240" w:lineRule="auto"/>
        <w:rPr>
          <w:del w:id="9279" w:author="AbbVie_HU_04" w:date="2025-05-15T11:59:00Z"/>
          <w:szCs w:val="22"/>
        </w:rPr>
      </w:pPr>
      <w:del w:id="9280" w:author="AbbVie_HU_04" w:date="2025-05-15T11:59:00Z">
        <w:r w:rsidRPr="00183B5F">
          <w:rPr>
            <w:szCs w:val="22"/>
            <w:highlight w:val="lightGray"/>
          </w:rPr>
          <w:delText>Oldatos injekció.</w:delText>
        </w:r>
      </w:del>
    </w:p>
    <w:p w14:paraId="0AF216B7" w14:textId="73CF3505" w:rsidR="00FB6710" w:rsidRPr="00183B5F" w:rsidRDefault="00943743" w:rsidP="004062FE">
      <w:pPr>
        <w:spacing w:line="240" w:lineRule="auto"/>
        <w:rPr>
          <w:del w:id="9281" w:author="AbbVie_HU_04" w:date="2025-05-15T11:59:00Z"/>
          <w:szCs w:val="22"/>
        </w:rPr>
      </w:pPr>
      <w:del w:id="9282" w:author="AbbVie_HU_04" w:date="2025-05-15T11:59:00Z">
        <w:r w:rsidRPr="00183B5F">
          <w:rPr>
            <w:szCs w:val="22"/>
          </w:rPr>
          <w:delText xml:space="preserve">1 db előretöltött fecskendő </w:delText>
        </w:r>
      </w:del>
    </w:p>
    <w:p w14:paraId="045E3197" w14:textId="6B443B3C" w:rsidR="00FB6710" w:rsidRPr="00183B5F" w:rsidRDefault="00943743" w:rsidP="004062FE">
      <w:pPr>
        <w:spacing w:line="240" w:lineRule="auto"/>
        <w:rPr>
          <w:del w:id="9283" w:author="AbbVie_HU_04" w:date="2025-05-15T11:59:00Z"/>
          <w:szCs w:val="22"/>
        </w:rPr>
      </w:pPr>
      <w:del w:id="9284" w:author="AbbVie_HU_04" w:date="2025-05-15T11:59:00Z">
        <w:r w:rsidRPr="00183B5F">
          <w:rPr>
            <w:szCs w:val="22"/>
          </w:rPr>
          <w:delText>1 db alkolos törlőkendő</w:delText>
        </w:r>
      </w:del>
    </w:p>
    <w:p w14:paraId="2CA12FCB" w14:textId="33A16176" w:rsidR="00FB6710" w:rsidRPr="00183B5F" w:rsidRDefault="00FB6710" w:rsidP="004062FE">
      <w:pPr>
        <w:pStyle w:val="EndnoteText"/>
        <w:tabs>
          <w:tab w:val="clear" w:pos="567"/>
        </w:tabs>
        <w:suppressAutoHyphens/>
        <w:rPr>
          <w:del w:id="9285" w:author="AbbVie_HU_04" w:date="2025-05-15T11:59:00Z"/>
          <w:sz w:val="22"/>
          <w:szCs w:val="22"/>
          <w:lang w:val="hu-HU" w:eastAsia="hu-HU"/>
        </w:rPr>
      </w:pPr>
    </w:p>
    <w:p w14:paraId="3EB35297" w14:textId="5124BEAA" w:rsidR="00FB6710" w:rsidRPr="00183B5F" w:rsidRDefault="00FB6710" w:rsidP="004062FE">
      <w:pPr>
        <w:spacing w:line="240" w:lineRule="auto"/>
        <w:rPr>
          <w:del w:id="9286"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8F4C166" w14:textId="60840D13">
        <w:trPr>
          <w:jc w:val="center"/>
          <w:del w:id="9287"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00744E84" w14:textId="3EDA8744" w:rsidR="00FB6710" w:rsidRPr="00183B5F" w:rsidRDefault="00943743" w:rsidP="004062FE">
            <w:pPr>
              <w:tabs>
                <w:tab w:val="left" w:pos="142"/>
              </w:tabs>
              <w:spacing w:line="240" w:lineRule="auto"/>
              <w:ind w:left="567" w:hanging="567"/>
              <w:rPr>
                <w:del w:id="9288" w:author="AbbVie_HU_04" w:date="2025-05-15T11:59:00Z"/>
                <w:b/>
                <w:szCs w:val="22"/>
              </w:rPr>
            </w:pPr>
            <w:del w:id="9289" w:author="AbbVie_HU_04" w:date="2025-05-15T11:59:00Z">
              <w:r w:rsidRPr="00183B5F">
                <w:rPr>
                  <w:b/>
                  <w:szCs w:val="22"/>
                </w:rPr>
                <w:delText>5.</w:delText>
              </w:r>
              <w:r w:rsidRPr="00183B5F">
                <w:rPr>
                  <w:b/>
                  <w:szCs w:val="22"/>
                </w:rPr>
                <w:tab/>
                <w:delText>AZ ALKALMAZÁSSAL KAPCSOLATOS TUDNIVALÓK ÉS AZ ALKALMAZÁS MÓDJA(I)</w:delText>
              </w:r>
            </w:del>
          </w:p>
        </w:tc>
      </w:tr>
    </w:tbl>
    <w:p w14:paraId="30AC1650" w14:textId="44F675C8" w:rsidR="00FB6710" w:rsidRPr="00183B5F" w:rsidRDefault="00FB6710" w:rsidP="004062FE">
      <w:pPr>
        <w:pStyle w:val="EndnoteText"/>
        <w:tabs>
          <w:tab w:val="clear" w:pos="567"/>
        </w:tabs>
        <w:suppressAutoHyphens/>
        <w:rPr>
          <w:del w:id="9290" w:author="AbbVie_HU_04" w:date="2025-05-15T11:59:00Z"/>
          <w:sz w:val="22"/>
          <w:szCs w:val="22"/>
          <w:lang w:val="hu-HU" w:eastAsia="hu-HU"/>
        </w:rPr>
      </w:pPr>
    </w:p>
    <w:p w14:paraId="54E0B924" w14:textId="22B5C17C" w:rsidR="00FB6710" w:rsidRPr="00183B5F" w:rsidRDefault="00943743" w:rsidP="004062FE">
      <w:pPr>
        <w:spacing w:line="240" w:lineRule="auto"/>
        <w:rPr>
          <w:del w:id="9291" w:author="AbbVie_HU_04" w:date="2025-05-15T11:59:00Z"/>
          <w:szCs w:val="22"/>
        </w:rPr>
      </w:pPr>
      <w:del w:id="9292" w:author="AbbVie_HU_04" w:date="2025-05-15T11:59:00Z">
        <w:r w:rsidRPr="00183B5F">
          <w:rPr>
            <w:szCs w:val="22"/>
          </w:rPr>
          <w:delText>Bőr alá történő beadásra</w:delText>
        </w:r>
        <w:r w:rsidR="00CE794D" w:rsidRPr="00183B5F">
          <w:rPr>
            <w:szCs w:val="22"/>
          </w:rPr>
          <w:delText>.</w:delText>
        </w:r>
      </w:del>
    </w:p>
    <w:p w14:paraId="4C2B7381" w14:textId="31CC7243" w:rsidR="00091AC2" w:rsidRPr="00183B5F" w:rsidRDefault="00091AC2" w:rsidP="004062FE">
      <w:pPr>
        <w:spacing w:line="240" w:lineRule="auto"/>
        <w:rPr>
          <w:del w:id="9293" w:author="AbbVie_HU_04" w:date="2025-05-15T11:59:00Z"/>
          <w:szCs w:val="22"/>
        </w:rPr>
      </w:pPr>
    </w:p>
    <w:p w14:paraId="39FB00B8" w14:textId="6F9B1FF9" w:rsidR="00FB6710" w:rsidRPr="00183B5F" w:rsidRDefault="00943743" w:rsidP="004062FE">
      <w:pPr>
        <w:spacing w:line="240" w:lineRule="auto"/>
        <w:rPr>
          <w:del w:id="9294" w:author="AbbVie_HU_04" w:date="2025-05-15T11:59:00Z"/>
          <w:szCs w:val="22"/>
        </w:rPr>
      </w:pPr>
      <w:del w:id="9295" w:author="AbbVie_HU_04" w:date="2025-05-15T11:59:00Z">
        <w:r w:rsidRPr="00183B5F">
          <w:rPr>
            <w:szCs w:val="22"/>
          </w:rPr>
          <w:delText>Használat előtt olvassa el a mellékelt betegtájékoztatót</w:delText>
        </w:r>
        <w:r w:rsidR="00091AC2" w:rsidRPr="00183B5F">
          <w:rPr>
            <w:szCs w:val="22"/>
          </w:rPr>
          <w:delText>.</w:delText>
        </w:r>
      </w:del>
    </w:p>
    <w:p w14:paraId="6D57590D" w14:textId="2D2687E6" w:rsidR="00EB351A" w:rsidRPr="00183B5F" w:rsidRDefault="00EB351A" w:rsidP="004062FE">
      <w:pPr>
        <w:spacing w:line="240" w:lineRule="auto"/>
        <w:rPr>
          <w:del w:id="9296" w:author="AbbVie_HU_04" w:date="2025-05-15T11:59:00Z"/>
          <w:szCs w:val="22"/>
        </w:rPr>
      </w:pPr>
    </w:p>
    <w:p w14:paraId="4B002921" w14:textId="1B10107A" w:rsidR="00EB351A" w:rsidRPr="00183B5F" w:rsidRDefault="00943743" w:rsidP="004062FE">
      <w:pPr>
        <w:spacing w:line="240" w:lineRule="auto"/>
        <w:rPr>
          <w:del w:id="9297" w:author="AbbVie_HU_04" w:date="2025-05-15T11:59:00Z"/>
          <w:szCs w:val="22"/>
        </w:rPr>
      </w:pPr>
      <w:del w:id="9298" w:author="AbbVie_HU_04" w:date="2025-05-15T11:59:00Z">
        <w:r w:rsidRPr="00183B5F">
          <w:rPr>
            <w:szCs w:val="22"/>
          </w:rPr>
          <w:delText>Kizárólag egyszeri alkalmazásra.</w:delText>
        </w:r>
      </w:del>
    </w:p>
    <w:p w14:paraId="6036B5EC" w14:textId="5254C9D9" w:rsidR="00EB351A" w:rsidRPr="00183B5F" w:rsidRDefault="00EB351A" w:rsidP="004062FE">
      <w:pPr>
        <w:spacing w:line="240" w:lineRule="auto"/>
        <w:rPr>
          <w:del w:id="9299" w:author="AbbVie_HU_04" w:date="2025-05-15T11:59:00Z"/>
          <w:szCs w:val="22"/>
        </w:rPr>
      </w:pPr>
    </w:p>
    <w:p w14:paraId="2DEDFDE5" w14:textId="6AEB6AE3" w:rsidR="00EB351A" w:rsidRPr="00183B5F" w:rsidRDefault="00943743" w:rsidP="004062FE">
      <w:pPr>
        <w:spacing w:line="240" w:lineRule="auto"/>
        <w:rPr>
          <w:del w:id="9300" w:author="AbbVie_HU_04" w:date="2025-05-15T11:59:00Z"/>
          <w:szCs w:val="22"/>
        </w:rPr>
      </w:pPr>
      <w:del w:id="9301" w:author="AbbVie_HU_04" w:date="2025-05-15T11:59:00Z">
        <w:r w:rsidRPr="00183B5F">
          <w:rPr>
            <w:szCs w:val="22"/>
          </w:rPr>
          <w:delText>Tűvédővel ellátva.</w:delText>
        </w:r>
      </w:del>
    </w:p>
    <w:p w14:paraId="1E3207E5" w14:textId="64707150" w:rsidR="00FB6710" w:rsidRPr="00183B5F" w:rsidRDefault="00FB6710" w:rsidP="004062FE">
      <w:pPr>
        <w:spacing w:line="240" w:lineRule="auto"/>
        <w:rPr>
          <w:del w:id="9302" w:author="AbbVie_HU_04" w:date="2025-05-15T11:59:00Z"/>
          <w:szCs w:val="22"/>
        </w:rPr>
      </w:pPr>
    </w:p>
    <w:p w14:paraId="00659D88" w14:textId="48B7E4CD" w:rsidR="00FB6710" w:rsidRPr="00183B5F" w:rsidRDefault="00FB6710" w:rsidP="004062FE">
      <w:pPr>
        <w:pStyle w:val="EndnoteText"/>
        <w:tabs>
          <w:tab w:val="clear" w:pos="567"/>
        </w:tabs>
        <w:suppressAutoHyphens/>
        <w:rPr>
          <w:del w:id="9303" w:author="AbbVie_HU_04" w:date="2025-05-15T11:59:00Z"/>
          <w:sz w:val="22"/>
          <w:szCs w:val="22"/>
          <w:lang w:val="hu-HU" w:eastAsia="hu-HU"/>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591B1EE9" w14:textId="3EC9E98C">
        <w:trPr>
          <w:jc w:val="center"/>
          <w:del w:id="9304"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55592CDE" w14:textId="691DFEEE" w:rsidR="00FB6710" w:rsidRPr="00183B5F" w:rsidRDefault="00943743" w:rsidP="004062FE">
            <w:pPr>
              <w:tabs>
                <w:tab w:val="left" w:pos="142"/>
              </w:tabs>
              <w:spacing w:line="240" w:lineRule="auto"/>
              <w:ind w:left="567" w:hanging="567"/>
              <w:rPr>
                <w:del w:id="9305" w:author="AbbVie_HU_04" w:date="2025-05-15T11:59:00Z"/>
                <w:b/>
                <w:szCs w:val="22"/>
              </w:rPr>
            </w:pPr>
            <w:del w:id="9306" w:author="AbbVie_HU_04" w:date="2025-05-15T11:59:00Z">
              <w:r w:rsidRPr="00183B5F">
                <w:rPr>
                  <w:b/>
                  <w:szCs w:val="22"/>
                </w:rPr>
                <w:delText>6.</w:delText>
              </w:r>
              <w:r w:rsidRPr="00183B5F">
                <w:rPr>
                  <w:b/>
                  <w:szCs w:val="22"/>
                </w:rPr>
                <w:tab/>
                <w:delText>KÜLÖN FIGYELMEZTETÉS, MELY SZERINT A GYÓGYSZERT GYERMEKEKTŐL ELZÁRVA KELL TARTANI</w:delText>
              </w:r>
            </w:del>
          </w:p>
        </w:tc>
      </w:tr>
    </w:tbl>
    <w:p w14:paraId="007DA5D8" w14:textId="631167B7" w:rsidR="00FB6710" w:rsidRPr="00183B5F" w:rsidRDefault="00FB6710" w:rsidP="004062FE">
      <w:pPr>
        <w:spacing w:line="240" w:lineRule="auto"/>
        <w:rPr>
          <w:del w:id="9307" w:author="AbbVie_HU_04" w:date="2025-05-15T11:59:00Z"/>
          <w:szCs w:val="22"/>
        </w:rPr>
      </w:pPr>
    </w:p>
    <w:p w14:paraId="6F4FF0BC" w14:textId="07964370" w:rsidR="00FB6710" w:rsidRPr="00183B5F" w:rsidRDefault="00943743" w:rsidP="004062FE">
      <w:pPr>
        <w:spacing w:line="240" w:lineRule="auto"/>
        <w:rPr>
          <w:del w:id="9308" w:author="AbbVie_HU_04" w:date="2025-05-15T11:59:00Z"/>
          <w:szCs w:val="22"/>
        </w:rPr>
      </w:pPr>
      <w:del w:id="9309" w:author="AbbVie_HU_04" w:date="2025-05-15T11:59:00Z">
        <w:r w:rsidRPr="00183B5F">
          <w:rPr>
            <w:szCs w:val="22"/>
          </w:rPr>
          <w:delText>A gyógyszer gyermekektől elzárva tartandó</w:delText>
        </w:r>
        <w:r w:rsidR="00091AC2" w:rsidRPr="00183B5F">
          <w:rPr>
            <w:szCs w:val="22"/>
          </w:rPr>
          <w:delText>.</w:delText>
        </w:r>
      </w:del>
    </w:p>
    <w:p w14:paraId="68D34F03" w14:textId="2AA5C647" w:rsidR="00FB6710" w:rsidRPr="00183B5F" w:rsidRDefault="00FB6710" w:rsidP="004062FE">
      <w:pPr>
        <w:spacing w:line="240" w:lineRule="auto"/>
        <w:rPr>
          <w:del w:id="9310" w:author="AbbVie_HU_04" w:date="2025-05-15T11:59:00Z"/>
          <w:szCs w:val="22"/>
        </w:rPr>
      </w:pPr>
    </w:p>
    <w:p w14:paraId="0D8B0F11" w14:textId="34B45A2D" w:rsidR="00FB6710" w:rsidRPr="00183B5F" w:rsidRDefault="00FB6710" w:rsidP="004062FE">
      <w:pPr>
        <w:spacing w:line="240" w:lineRule="auto"/>
        <w:rPr>
          <w:del w:id="9311"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330BC2A8" w14:textId="2BCA56FB">
        <w:trPr>
          <w:jc w:val="center"/>
          <w:del w:id="9312"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2ACDC503" w14:textId="1FDAE686" w:rsidR="00FB6710" w:rsidRPr="00183B5F" w:rsidRDefault="00943743" w:rsidP="004062FE">
            <w:pPr>
              <w:tabs>
                <w:tab w:val="left" w:pos="142"/>
              </w:tabs>
              <w:spacing w:line="240" w:lineRule="auto"/>
              <w:ind w:left="567" w:hanging="567"/>
              <w:rPr>
                <w:del w:id="9313" w:author="AbbVie_HU_04" w:date="2025-05-15T11:59:00Z"/>
                <w:b/>
                <w:szCs w:val="22"/>
              </w:rPr>
            </w:pPr>
            <w:del w:id="9314" w:author="AbbVie_HU_04" w:date="2025-05-15T11:59:00Z">
              <w:r w:rsidRPr="00183B5F">
                <w:rPr>
                  <w:b/>
                  <w:szCs w:val="22"/>
                </w:rPr>
                <w:delText>7.</w:delText>
              </w:r>
              <w:r w:rsidRPr="00183B5F">
                <w:rPr>
                  <w:b/>
                  <w:szCs w:val="22"/>
                </w:rPr>
                <w:tab/>
              </w:r>
              <w:r w:rsidRPr="00183B5F">
                <w:rPr>
                  <w:b/>
                  <w:szCs w:val="22"/>
                </w:rPr>
                <w:delText>TOVÁBBI FIGYELMEZTETÉS(EK), AMENNYIBEN SZÜKSÉGES</w:delText>
              </w:r>
            </w:del>
          </w:p>
        </w:tc>
      </w:tr>
    </w:tbl>
    <w:p w14:paraId="65377435" w14:textId="0C77ACC9" w:rsidR="00FB6710" w:rsidRPr="00183B5F" w:rsidRDefault="00FB6710" w:rsidP="004062FE">
      <w:pPr>
        <w:spacing w:line="240" w:lineRule="auto"/>
        <w:rPr>
          <w:del w:id="9315" w:author="AbbVie_HU_04" w:date="2025-05-15T11:59:00Z"/>
          <w:szCs w:val="22"/>
        </w:rPr>
      </w:pPr>
    </w:p>
    <w:p w14:paraId="1B71F28B" w14:textId="662C4713" w:rsidR="00FB6710" w:rsidRPr="00183B5F" w:rsidRDefault="00FB6710" w:rsidP="004062FE">
      <w:pPr>
        <w:spacing w:line="240" w:lineRule="auto"/>
        <w:rPr>
          <w:del w:id="9316"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2B5D05B1" w14:textId="5287F802">
        <w:trPr>
          <w:jc w:val="center"/>
          <w:del w:id="9317"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7D727770" w14:textId="2B17FE6A" w:rsidR="00FB6710" w:rsidRPr="00183B5F" w:rsidRDefault="00943743" w:rsidP="004062FE">
            <w:pPr>
              <w:tabs>
                <w:tab w:val="left" w:pos="142"/>
              </w:tabs>
              <w:spacing w:line="240" w:lineRule="auto"/>
              <w:ind w:left="567" w:hanging="567"/>
              <w:rPr>
                <w:del w:id="9318" w:author="AbbVie_HU_04" w:date="2025-05-15T11:59:00Z"/>
                <w:b/>
                <w:szCs w:val="22"/>
              </w:rPr>
            </w:pPr>
            <w:del w:id="9319" w:author="AbbVie_HU_04" w:date="2025-05-15T11:59:00Z">
              <w:r w:rsidRPr="00183B5F">
                <w:rPr>
                  <w:b/>
                  <w:szCs w:val="22"/>
                </w:rPr>
                <w:delText>8.</w:delText>
              </w:r>
              <w:r w:rsidRPr="00183B5F">
                <w:rPr>
                  <w:b/>
                  <w:szCs w:val="22"/>
                </w:rPr>
                <w:tab/>
                <w:delText>LEJÁRATI IDŐ</w:delText>
              </w:r>
            </w:del>
          </w:p>
        </w:tc>
      </w:tr>
    </w:tbl>
    <w:p w14:paraId="2AB01079" w14:textId="454233DA" w:rsidR="00FB6710" w:rsidRPr="00183B5F" w:rsidRDefault="00FB6710" w:rsidP="004062FE">
      <w:pPr>
        <w:spacing w:line="240" w:lineRule="auto"/>
        <w:rPr>
          <w:del w:id="9320" w:author="AbbVie_HU_04" w:date="2025-05-15T11:59:00Z"/>
          <w:szCs w:val="22"/>
        </w:rPr>
      </w:pPr>
    </w:p>
    <w:p w14:paraId="3F74BC23" w14:textId="08E2935C" w:rsidR="00FB6710" w:rsidRPr="00183B5F" w:rsidRDefault="00943743" w:rsidP="004062FE">
      <w:pPr>
        <w:spacing w:line="240" w:lineRule="auto"/>
        <w:rPr>
          <w:del w:id="9321" w:author="AbbVie_HU_04" w:date="2025-05-15T11:59:00Z"/>
          <w:szCs w:val="22"/>
        </w:rPr>
      </w:pPr>
      <w:del w:id="9322" w:author="AbbVie_HU_04" w:date="2025-05-15T11:59:00Z">
        <w:r w:rsidRPr="00183B5F">
          <w:rPr>
            <w:szCs w:val="22"/>
          </w:rPr>
          <w:delText>EXP</w:delText>
        </w:r>
      </w:del>
    </w:p>
    <w:p w14:paraId="7C625DCF" w14:textId="773BEF6F" w:rsidR="00FB6710" w:rsidRPr="00183B5F" w:rsidRDefault="00FB6710" w:rsidP="004062FE">
      <w:pPr>
        <w:spacing w:line="240" w:lineRule="auto"/>
        <w:rPr>
          <w:del w:id="9323" w:author="AbbVie_HU_04" w:date="2025-05-15T11:59:00Z"/>
          <w:szCs w:val="22"/>
        </w:rPr>
      </w:pPr>
    </w:p>
    <w:p w14:paraId="64B5B8E5" w14:textId="515D6C4F" w:rsidR="00FB6710" w:rsidRPr="00183B5F" w:rsidRDefault="00FB6710" w:rsidP="004062FE">
      <w:pPr>
        <w:spacing w:line="240" w:lineRule="auto"/>
        <w:rPr>
          <w:del w:id="9324"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2DDF021" w14:textId="0D6C764D">
        <w:trPr>
          <w:jc w:val="center"/>
          <w:del w:id="9325"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2A831C35" w14:textId="0EDE9E52" w:rsidR="00FB6710" w:rsidRPr="00183B5F" w:rsidRDefault="00943743" w:rsidP="004062FE">
            <w:pPr>
              <w:keepNext/>
              <w:tabs>
                <w:tab w:val="left" w:pos="142"/>
              </w:tabs>
              <w:spacing w:line="240" w:lineRule="auto"/>
              <w:ind w:left="567" w:hanging="567"/>
              <w:rPr>
                <w:del w:id="9326" w:author="AbbVie_HU_04" w:date="2025-05-15T11:59:00Z"/>
                <w:b/>
                <w:szCs w:val="22"/>
              </w:rPr>
            </w:pPr>
            <w:del w:id="9327" w:author="AbbVie_HU_04" w:date="2025-05-15T11:59:00Z">
              <w:r w:rsidRPr="00183B5F">
                <w:rPr>
                  <w:b/>
                  <w:szCs w:val="22"/>
                </w:rPr>
                <w:delText>9.</w:delText>
              </w:r>
              <w:r w:rsidRPr="00183B5F">
                <w:rPr>
                  <w:b/>
                  <w:szCs w:val="22"/>
                </w:rPr>
                <w:tab/>
                <w:delText>KÜLÖNLEGES TÁROLÁSI ELŐÍRÁSOK</w:delText>
              </w:r>
            </w:del>
          </w:p>
        </w:tc>
      </w:tr>
    </w:tbl>
    <w:p w14:paraId="1751D16C" w14:textId="15031887" w:rsidR="0095719D" w:rsidRPr="00183B5F" w:rsidRDefault="0095719D" w:rsidP="004062FE">
      <w:pPr>
        <w:keepNext/>
        <w:spacing w:line="240" w:lineRule="auto"/>
        <w:rPr>
          <w:del w:id="9328" w:author="AbbVie_HU_04" w:date="2025-05-15T11:59:00Z"/>
          <w:szCs w:val="22"/>
        </w:rPr>
      </w:pPr>
    </w:p>
    <w:p w14:paraId="38DBCEE4" w14:textId="2FD764F1" w:rsidR="00FB6710" w:rsidRPr="00183B5F" w:rsidRDefault="00943743" w:rsidP="004062FE">
      <w:pPr>
        <w:keepNext/>
        <w:spacing w:line="240" w:lineRule="auto"/>
        <w:rPr>
          <w:del w:id="9329" w:author="AbbVie_HU_04" w:date="2025-05-15T11:59:00Z"/>
          <w:szCs w:val="22"/>
        </w:rPr>
      </w:pPr>
      <w:del w:id="9330" w:author="AbbVie_HU_04" w:date="2025-05-15T11:59:00Z">
        <w:r w:rsidRPr="00183B5F">
          <w:rPr>
            <w:szCs w:val="22"/>
          </w:rPr>
          <w:delText>Hűtőszekrényben tárolandó. Nem fagyasztható</w:delText>
        </w:r>
        <w:r w:rsidR="006B2BB7" w:rsidRPr="00183B5F">
          <w:rPr>
            <w:szCs w:val="22"/>
          </w:rPr>
          <w:delText>!</w:delText>
        </w:r>
      </w:del>
    </w:p>
    <w:p w14:paraId="639CC336" w14:textId="6CFAA11E" w:rsidR="00420B9A" w:rsidRPr="00183B5F" w:rsidRDefault="00943743" w:rsidP="004062FE">
      <w:pPr>
        <w:spacing w:line="240" w:lineRule="auto"/>
        <w:rPr>
          <w:del w:id="9331" w:author="AbbVie_HU_04" w:date="2025-05-15T11:59:00Z"/>
          <w:szCs w:val="22"/>
        </w:rPr>
      </w:pPr>
      <w:del w:id="9332" w:author="AbbVie_HU_04" w:date="2025-05-15T11:59:00Z">
        <w:r w:rsidRPr="00183B5F">
          <w:rPr>
            <w:szCs w:val="22"/>
          </w:rPr>
          <w:delText>További információkért olvassa el a betegtájékoztatót.</w:delText>
        </w:r>
      </w:del>
    </w:p>
    <w:p w14:paraId="0FF9EC46" w14:textId="6603E086" w:rsidR="00F32BBB" w:rsidRPr="00183B5F" w:rsidRDefault="00F32BBB" w:rsidP="004062FE">
      <w:pPr>
        <w:spacing w:line="240" w:lineRule="auto"/>
        <w:rPr>
          <w:del w:id="9333" w:author="AbbVie_HU_04" w:date="2025-05-15T11:59:00Z"/>
          <w:szCs w:val="22"/>
        </w:rPr>
      </w:pPr>
    </w:p>
    <w:p w14:paraId="01EA045D" w14:textId="237EFABF" w:rsidR="00FB6710" w:rsidRPr="00183B5F" w:rsidRDefault="00943743" w:rsidP="004062FE">
      <w:pPr>
        <w:spacing w:line="240" w:lineRule="auto"/>
        <w:rPr>
          <w:del w:id="9334" w:author="AbbVie_HU_04" w:date="2025-05-15T11:59:00Z"/>
          <w:szCs w:val="22"/>
        </w:rPr>
      </w:pPr>
      <w:del w:id="9335" w:author="AbbVie_HU_04" w:date="2025-05-15T11:59:00Z">
        <w:r w:rsidRPr="00183B5F">
          <w:rPr>
            <w:szCs w:val="22"/>
          </w:rPr>
          <w:delText>A fénytől való védelem érdekében a fecskendő a</w:delText>
        </w:r>
        <w:r w:rsidR="00395209" w:rsidRPr="00183B5F">
          <w:rPr>
            <w:szCs w:val="22"/>
          </w:rPr>
          <w:delText>ze eredeti dobozban tárolandó</w:delText>
        </w:r>
        <w:r w:rsidRPr="00183B5F">
          <w:rPr>
            <w:szCs w:val="22"/>
          </w:rPr>
          <w:delText>.</w:delText>
        </w:r>
      </w:del>
    </w:p>
    <w:p w14:paraId="09B6097A" w14:textId="59663ABE" w:rsidR="00FB6710" w:rsidRPr="00183B5F" w:rsidRDefault="00FB6710" w:rsidP="004062FE">
      <w:pPr>
        <w:spacing w:line="240" w:lineRule="auto"/>
        <w:rPr>
          <w:del w:id="9336" w:author="AbbVie_HU_04" w:date="2025-05-15T11:59:00Z"/>
          <w:szCs w:val="22"/>
        </w:rPr>
      </w:pPr>
    </w:p>
    <w:p w14:paraId="27964ED0" w14:textId="41E86C95" w:rsidR="00FB6710" w:rsidRPr="00183B5F" w:rsidRDefault="00FB6710" w:rsidP="004062FE">
      <w:pPr>
        <w:spacing w:line="240" w:lineRule="auto"/>
        <w:rPr>
          <w:del w:id="9337"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3DB97EEC" w14:textId="005F20CE">
        <w:trPr>
          <w:jc w:val="center"/>
          <w:del w:id="9338"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4C5A4297" w14:textId="17FA8222" w:rsidR="00FB6710" w:rsidRPr="00183B5F" w:rsidRDefault="00943743" w:rsidP="004062FE">
            <w:pPr>
              <w:tabs>
                <w:tab w:val="left" w:pos="142"/>
              </w:tabs>
              <w:spacing w:line="240" w:lineRule="auto"/>
              <w:ind w:left="567" w:hanging="567"/>
              <w:rPr>
                <w:del w:id="9339" w:author="AbbVie_HU_04" w:date="2025-05-15T11:59:00Z"/>
                <w:b/>
                <w:szCs w:val="22"/>
              </w:rPr>
            </w:pPr>
            <w:del w:id="9340" w:author="AbbVie_HU_04" w:date="2025-05-15T11:59:00Z">
              <w:r w:rsidRPr="00183B5F">
                <w:rPr>
                  <w:b/>
                  <w:szCs w:val="22"/>
                </w:rPr>
                <w:delText>10.</w:delText>
              </w:r>
              <w:r w:rsidRPr="00183B5F">
                <w:rPr>
                  <w:b/>
                  <w:szCs w:val="22"/>
                </w:rPr>
                <w:tab/>
              </w:r>
              <w:r w:rsidRPr="00183B5F">
                <w:rPr>
                  <w:b/>
                  <w:szCs w:val="22"/>
                </w:rPr>
                <w:delText>KÜLÖNLEGES ÓVINTÉZKEDÉSEK A FEL NEM HASZNÁLT GYÓGYSZEREK VAGY AZ ILYEN TERMÉKEKBŐL KELETKEZETT HULLADÉKANYAGOK ÁRTALMATLANNÁ TÉTELÉRE, HA ILYENEKRE SZÜKSÉG VAN</w:delText>
              </w:r>
            </w:del>
          </w:p>
        </w:tc>
      </w:tr>
    </w:tbl>
    <w:p w14:paraId="104700A6" w14:textId="5C7A3921" w:rsidR="00FB6710" w:rsidRPr="00183B5F" w:rsidRDefault="00FB6710" w:rsidP="004062FE">
      <w:pPr>
        <w:spacing w:line="240" w:lineRule="auto"/>
        <w:rPr>
          <w:del w:id="9341" w:author="AbbVie_HU_04" w:date="2025-05-15T11:59:00Z"/>
          <w:szCs w:val="22"/>
        </w:rPr>
      </w:pPr>
    </w:p>
    <w:p w14:paraId="0EF09CC6" w14:textId="57EE8CF7" w:rsidR="00FB6710" w:rsidRPr="00183B5F" w:rsidRDefault="00FB6710" w:rsidP="004062FE">
      <w:pPr>
        <w:spacing w:line="240" w:lineRule="auto"/>
        <w:rPr>
          <w:del w:id="9342"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90CDFCA" w14:textId="4C518BAC">
        <w:trPr>
          <w:jc w:val="center"/>
          <w:del w:id="9343"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3FBB21CF" w14:textId="021720CA" w:rsidR="00FB6710" w:rsidRPr="00183B5F" w:rsidRDefault="00943743" w:rsidP="004062FE">
            <w:pPr>
              <w:tabs>
                <w:tab w:val="left" w:pos="142"/>
              </w:tabs>
              <w:spacing w:line="240" w:lineRule="auto"/>
              <w:ind w:left="567" w:hanging="567"/>
              <w:rPr>
                <w:del w:id="9344" w:author="AbbVie_HU_04" w:date="2025-05-15T11:59:00Z"/>
                <w:b/>
                <w:szCs w:val="22"/>
              </w:rPr>
            </w:pPr>
            <w:del w:id="9345" w:author="AbbVie_HU_04" w:date="2025-05-15T11:59:00Z">
              <w:r w:rsidRPr="00183B5F">
                <w:rPr>
                  <w:b/>
                  <w:szCs w:val="22"/>
                </w:rPr>
                <w:delText>11.</w:delText>
              </w:r>
              <w:r w:rsidRPr="00183B5F">
                <w:rPr>
                  <w:b/>
                  <w:szCs w:val="22"/>
                </w:rPr>
                <w:tab/>
                <w:delText>A FORGALOMBA HOZATALI ENGEDÉLY JOGOSULTJÁNAK NEVE ÉS CÍME</w:delText>
              </w:r>
            </w:del>
          </w:p>
        </w:tc>
      </w:tr>
    </w:tbl>
    <w:p w14:paraId="4DF1F6D6" w14:textId="6F68185B" w:rsidR="00FB6710" w:rsidRPr="00183B5F" w:rsidRDefault="00FB6710" w:rsidP="004062FE">
      <w:pPr>
        <w:spacing w:line="240" w:lineRule="auto"/>
        <w:rPr>
          <w:del w:id="9346" w:author="AbbVie_HU_04" w:date="2025-05-15T11:59:00Z"/>
          <w:szCs w:val="22"/>
        </w:rPr>
      </w:pPr>
    </w:p>
    <w:p w14:paraId="56976142" w14:textId="1F806C82" w:rsidR="00CE3F71" w:rsidRPr="00183B5F" w:rsidRDefault="00943743" w:rsidP="00CE3F71">
      <w:pPr>
        <w:keepNext/>
        <w:suppressAutoHyphens w:val="0"/>
        <w:autoSpaceDE w:val="0"/>
        <w:autoSpaceDN w:val="0"/>
        <w:adjustRightInd w:val="0"/>
        <w:spacing w:line="240" w:lineRule="atLeast"/>
        <w:rPr>
          <w:del w:id="9347" w:author="AbbVie_HU_04" w:date="2025-05-15T11:59:00Z"/>
          <w:szCs w:val="22"/>
          <w:lang w:eastAsia="en-GB"/>
        </w:rPr>
      </w:pPr>
      <w:del w:id="9348" w:author="AbbVie_HU_04" w:date="2025-05-15T11:59:00Z">
        <w:r w:rsidRPr="00183B5F">
          <w:rPr>
            <w:szCs w:val="22"/>
            <w:lang w:eastAsia="en-GB"/>
          </w:rPr>
          <w:delText>AbbVie Deutschland GmbH &amp; Co. KG</w:delText>
        </w:r>
      </w:del>
    </w:p>
    <w:p w14:paraId="087B01F0" w14:textId="60E63764" w:rsidR="00CE3F71" w:rsidRPr="00183B5F" w:rsidRDefault="00943743" w:rsidP="00CE3F71">
      <w:pPr>
        <w:keepNext/>
        <w:suppressAutoHyphens w:val="0"/>
        <w:autoSpaceDE w:val="0"/>
        <w:autoSpaceDN w:val="0"/>
        <w:adjustRightInd w:val="0"/>
        <w:spacing w:line="240" w:lineRule="atLeast"/>
        <w:rPr>
          <w:del w:id="9349" w:author="AbbVie_HU_04" w:date="2025-05-15T11:59:00Z"/>
          <w:szCs w:val="22"/>
          <w:lang w:eastAsia="en-GB"/>
        </w:rPr>
      </w:pPr>
      <w:del w:id="9350" w:author="AbbVie_HU_04" w:date="2025-05-15T11:59:00Z">
        <w:r w:rsidRPr="00183B5F">
          <w:rPr>
            <w:szCs w:val="22"/>
            <w:lang w:eastAsia="en-GB"/>
          </w:rPr>
          <w:delText>Knollstrasse</w:delText>
        </w:r>
      </w:del>
    </w:p>
    <w:p w14:paraId="7206094F" w14:textId="2CA8F544" w:rsidR="00CE3F71" w:rsidRPr="00183B5F" w:rsidRDefault="00943743" w:rsidP="00CE3F71">
      <w:pPr>
        <w:keepNext/>
        <w:suppressAutoHyphens w:val="0"/>
        <w:autoSpaceDE w:val="0"/>
        <w:autoSpaceDN w:val="0"/>
        <w:adjustRightInd w:val="0"/>
        <w:spacing w:line="240" w:lineRule="atLeast"/>
        <w:rPr>
          <w:del w:id="9351" w:author="AbbVie_HU_04" w:date="2025-05-15T11:59:00Z"/>
          <w:szCs w:val="22"/>
          <w:lang w:eastAsia="en-GB"/>
        </w:rPr>
      </w:pPr>
      <w:del w:id="9352" w:author="AbbVie_HU_04" w:date="2025-05-15T11:59:00Z">
        <w:r w:rsidRPr="00183B5F">
          <w:rPr>
            <w:szCs w:val="22"/>
            <w:lang w:eastAsia="en-GB"/>
          </w:rPr>
          <w:delText>67061 Ludwigshafen</w:delText>
        </w:r>
      </w:del>
    </w:p>
    <w:p w14:paraId="6CA01395" w14:textId="73DF43B0" w:rsidR="00CE3F71" w:rsidRPr="00183B5F" w:rsidRDefault="00943743" w:rsidP="00CE3F71">
      <w:pPr>
        <w:keepNext/>
        <w:suppressAutoHyphens w:val="0"/>
        <w:autoSpaceDE w:val="0"/>
        <w:autoSpaceDN w:val="0"/>
        <w:adjustRightInd w:val="0"/>
        <w:spacing w:line="240" w:lineRule="atLeast"/>
        <w:rPr>
          <w:del w:id="9353" w:author="AbbVie_HU_04" w:date="2025-05-15T11:59:00Z"/>
          <w:szCs w:val="22"/>
          <w:lang w:eastAsia="en-GB"/>
        </w:rPr>
      </w:pPr>
      <w:del w:id="9354" w:author="AbbVie_HU_04" w:date="2025-05-15T11:59:00Z">
        <w:r w:rsidRPr="00183B5F">
          <w:rPr>
            <w:szCs w:val="22"/>
            <w:lang w:eastAsia="en-GB"/>
          </w:rPr>
          <w:delText xml:space="preserve">Németország </w:delText>
        </w:r>
      </w:del>
    </w:p>
    <w:p w14:paraId="541C2CF2" w14:textId="57349DD0" w:rsidR="00FB6710" w:rsidRPr="00183B5F" w:rsidRDefault="00FB6710" w:rsidP="004062FE">
      <w:pPr>
        <w:spacing w:line="240" w:lineRule="auto"/>
        <w:rPr>
          <w:del w:id="9355" w:author="AbbVie_HU_04" w:date="2025-05-15T11:59:00Z"/>
          <w:szCs w:val="22"/>
        </w:rPr>
      </w:pPr>
    </w:p>
    <w:p w14:paraId="57F51675" w14:textId="18971D8A" w:rsidR="00FB6710" w:rsidRPr="00183B5F" w:rsidRDefault="00FB6710" w:rsidP="004062FE">
      <w:pPr>
        <w:pStyle w:val="EndnoteText"/>
        <w:tabs>
          <w:tab w:val="clear" w:pos="567"/>
        </w:tabs>
        <w:suppressAutoHyphens/>
        <w:rPr>
          <w:del w:id="9356" w:author="AbbVie_HU_04" w:date="2025-05-15T11:59:00Z"/>
          <w:sz w:val="22"/>
          <w:szCs w:val="22"/>
          <w:lang w:val="hu-HU" w:eastAsia="hu-HU"/>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612E0F38" w14:textId="217D44A6">
        <w:trPr>
          <w:jc w:val="center"/>
          <w:del w:id="9357"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706B5879" w14:textId="6F7974A8" w:rsidR="00FB6710" w:rsidRPr="00183B5F" w:rsidRDefault="00943743" w:rsidP="004062FE">
            <w:pPr>
              <w:tabs>
                <w:tab w:val="left" w:pos="142"/>
              </w:tabs>
              <w:spacing w:line="240" w:lineRule="auto"/>
              <w:ind w:left="567" w:hanging="567"/>
              <w:rPr>
                <w:del w:id="9358" w:author="AbbVie_HU_04" w:date="2025-05-15T11:59:00Z"/>
                <w:b/>
                <w:szCs w:val="22"/>
              </w:rPr>
            </w:pPr>
            <w:del w:id="9359" w:author="AbbVie_HU_04" w:date="2025-05-15T11:59:00Z">
              <w:r w:rsidRPr="00183B5F">
                <w:rPr>
                  <w:b/>
                  <w:szCs w:val="22"/>
                </w:rPr>
                <w:delText>12.</w:delText>
              </w:r>
              <w:r w:rsidRPr="00183B5F">
                <w:rPr>
                  <w:b/>
                  <w:szCs w:val="22"/>
                </w:rPr>
                <w:tab/>
                <w:delText>A FORGALOMBA HOZATALI ENGEDÉLY SZÁMA (I)</w:delText>
              </w:r>
            </w:del>
          </w:p>
        </w:tc>
      </w:tr>
    </w:tbl>
    <w:p w14:paraId="3F0ABB86" w14:textId="5DBF5245" w:rsidR="00FB6710" w:rsidRPr="00183B5F" w:rsidRDefault="00FB6710" w:rsidP="004062FE">
      <w:pPr>
        <w:spacing w:line="240" w:lineRule="auto"/>
        <w:rPr>
          <w:del w:id="9360" w:author="AbbVie_HU_04" w:date="2025-05-15T11:59:00Z"/>
          <w:szCs w:val="22"/>
        </w:rPr>
      </w:pPr>
    </w:p>
    <w:p w14:paraId="19C8D7E7" w14:textId="6DBC7998" w:rsidR="00FB6710" w:rsidRPr="00183B5F" w:rsidRDefault="00943743" w:rsidP="004062FE">
      <w:pPr>
        <w:pStyle w:val="EndnoteText"/>
        <w:tabs>
          <w:tab w:val="clear" w:pos="567"/>
        </w:tabs>
        <w:suppressAutoHyphens/>
        <w:rPr>
          <w:del w:id="9361" w:author="AbbVie_HU_04" w:date="2025-05-15T11:59:00Z"/>
          <w:sz w:val="22"/>
          <w:szCs w:val="22"/>
          <w:lang w:val="hu-HU" w:eastAsia="hu-HU"/>
        </w:rPr>
      </w:pPr>
      <w:del w:id="9362" w:author="AbbVie_HU_04" w:date="2025-05-15T11:59:00Z">
        <w:r w:rsidRPr="00183B5F">
          <w:rPr>
            <w:sz w:val="22"/>
            <w:szCs w:val="22"/>
            <w:lang w:val="hu-HU" w:eastAsia="hu-HU"/>
          </w:rPr>
          <w:delText>EU/1/03/256/006</w:delText>
        </w:r>
      </w:del>
    </w:p>
    <w:p w14:paraId="490F72B0" w14:textId="7291BEE4" w:rsidR="00FB6710" w:rsidRPr="00183B5F" w:rsidRDefault="00FB6710" w:rsidP="004062FE">
      <w:pPr>
        <w:spacing w:line="240" w:lineRule="auto"/>
        <w:rPr>
          <w:del w:id="9363" w:author="AbbVie_HU_04" w:date="2025-05-15T11:59:00Z"/>
          <w:szCs w:val="22"/>
        </w:rPr>
      </w:pPr>
    </w:p>
    <w:p w14:paraId="70AFA57F" w14:textId="5C5528A3" w:rsidR="00FB6710" w:rsidRPr="00183B5F" w:rsidRDefault="00FB6710" w:rsidP="004062FE">
      <w:pPr>
        <w:spacing w:line="240" w:lineRule="auto"/>
        <w:rPr>
          <w:del w:id="9364"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787292AD" w14:textId="78A0C3EF">
        <w:trPr>
          <w:jc w:val="center"/>
          <w:del w:id="9365"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1D6CF7FE" w14:textId="38178046" w:rsidR="00FB6710" w:rsidRPr="00183B5F" w:rsidRDefault="00943743" w:rsidP="004062FE">
            <w:pPr>
              <w:tabs>
                <w:tab w:val="left" w:pos="142"/>
              </w:tabs>
              <w:spacing w:line="240" w:lineRule="auto"/>
              <w:ind w:left="567" w:hanging="567"/>
              <w:rPr>
                <w:del w:id="9366" w:author="AbbVie_HU_04" w:date="2025-05-15T11:59:00Z"/>
                <w:b/>
                <w:szCs w:val="22"/>
              </w:rPr>
            </w:pPr>
            <w:del w:id="9367" w:author="AbbVie_HU_04" w:date="2025-05-15T11:59:00Z">
              <w:r w:rsidRPr="00183B5F">
                <w:rPr>
                  <w:b/>
                  <w:szCs w:val="22"/>
                </w:rPr>
                <w:delText>13.</w:delText>
              </w:r>
              <w:r w:rsidRPr="00183B5F">
                <w:rPr>
                  <w:b/>
                  <w:szCs w:val="22"/>
                </w:rPr>
                <w:tab/>
                <w:delText>A GYÁRTÁSI TÉTEL SZÁMA</w:delText>
              </w:r>
            </w:del>
          </w:p>
        </w:tc>
      </w:tr>
    </w:tbl>
    <w:p w14:paraId="5E71FB05" w14:textId="4A89A51B" w:rsidR="00FB6710" w:rsidRPr="00183B5F" w:rsidRDefault="00FB6710" w:rsidP="004062FE">
      <w:pPr>
        <w:spacing w:line="240" w:lineRule="auto"/>
        <w:rPr>
          <w:del w:id="9368" w:author="AbbVie_HU_04" w:date="2025-05-15T11:59:00Z"/>
          <w:szCs w:val="22"/>
        </w:rPr>
      </w:pPr>
    </w:p>
    <w:p w14:paraId="55B7D88A" w14:textId="307583A3" w:rsidR="006B2BB7" w:rsidRPr="00183B5F" w:rsidRDefault="00943743" w:rsidP="004062FE">
      <w:pPr>
        <w:spacing w:line="240" w:lineRule="auto"/>
        <w:rPr>
          <w:del w:id="9369" w:author="AbbVie_HU_04" w:date="2025-05-15T11:59:00Z"/>
          <w:szCs w:val="22"/>
        </w:rPr>
      </w:pPr>
      <w:del w:id="9370" w:author="AbbVie_HU_04" w:date="2025-05-15T11:59:00Z">
        <w:r w:rsidRPr="00183B5F">
          <w:rPr>
            <w:szCs w:val="22"/>
          </w:rPr>
          <w:delText>Lot</w:delText>
        </w:r>
      </w:del>
    </w:p>
    <w:p w14:paraId="08FB0B4A" w14:textId="2747C3D5" w:rsidR="00FB6710" w:rsidRPr="00183B5F" w:rsidRDefault="00FB6710" w:rsidP="004062FE">
      <w:pPr>
        <w:spacing w:line="240" w:lineRule="auto"/>
        <w:rPr>
          <w:del w:id="9371" w:author="AbbVie_HU_04" w:date="2025-05-15T11:59:00Z"/>
          <w:szCs w:val="22"/>
        </w:rPr>
      </w:pPr>
    </w:p>
    <w:p w14:paraId="21ECD19A" w14:textId="07307E07" w:rsidR="00FB6710" w:rsidRPr="00183B5F" w:rsidRDefault="00FB6710" w:rsidP="004062FE">
      <w:pPr>
        <w:spacing w:line="240" w:lineRule="auto"/>
        <w:rPr>
          <w:del w:id="9372"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334D1215" w14:textId="01AB56CA">
        <w:trPr>
          <w:jc w:val="center"/>
          <w:del w:id="9373"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1531D1DF" w14:textId="2531C6FB" w:rsidR="00FB6710" w:rsidRPr="00183B5F" w:rsidRDefault="00943743" w:rsidP="004062FE">
            <w:pPr>
              <w:tabs>
                <w:tab w:val="left" w:pos="142"/>
              </w:tabs>
              <w:spacing w:line="240" w:lineRule="auto"/>
              <w:ind w:left="567" w:hanging="567"/>
              <w:rPr>
                <w:del w:id="9374" w:author="AbbVie_HU_04" w:date="2025-05-15T11:59:00Z"/>
                <w:b/>
                <w:szCs w:val="22"/>
              </w:rPr>
            </w:pPr>
            <w:del w:id="9375" w:author="AbbVie_HU_04" w:date="2025-05-15T11:59:00Z">
              <w:r w:rsidRPr="00183B5F">
                <w:rPr>
                  <w:b/>
                  <w:szCs w:val="22"/>
                </w:rPr>
                <w:delText>14.</w:delText>
              </w:r>
              <w:r w:rsidRPr="00183B5F">
                <w:rPr>
                  <w:b/>
                  <w:szCs w:val="22"/>
                </w:rPr>
                <w:tab/>
              </w:r>
              <w:r w:rsidR="003507D7" w:rsidRPr="00183B5F">
                <w:rPr>
                  <w:b/>
                  <w:szCs w:val="22"/>
                </w:rPr>
                <w:delText>A GYÓGYSZER RENDELHETŐSÉGE</w:delText>
              </w:r>
            </w:del>
          </w:p>
        </w:tc>
      </w:tr>
    </w:tbl>
    <w:p w14:paraId="2EBB80B4" w14:textId="252D416D" w:rsidR="00FB6710" w:rsidRPr="00183B5F" w:rsidRDefault="00FB6710" w:rsidP="004062FE">
      <w:pPr>
        <w:spacing w:line="240" w:lineRule="auto"/>
        <w:rPr>
          <w:del w:id="9376" w:author="AbbVie_HU_04" w:date="2025-05-15T11:59:00Z"/>
          <w:szCs w:val="22"/>
        </w:rPr>
      </w:pPr>
    </w:p>
    <w:p w14:paraId="6A454165" w14:textId="5433B55C" w:rsidR="00FB6710" w:rsidRPr="00183B5F" w:rsidRDefault="00FB6710" w:rsidP="004062FE">
      <w:pPr>
        <w:spacing w:line="240" w:lineRule="auto"/>
        <w:rPr>
          <w:del w:id="9377"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2F440339" w14:textId="76E056BB">
        <w:trPr>
          <w:jc w:val="center"/>
          <w:del w:id="9378"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7DEAAEE2" w14:textId="79D837C4" w:rsidR="00FB6710" w:rsidRPr="00183B5F" w:rsidRDefault="00943743" w:rsidP="004062FE">
            <w:pPr>
              <w:tabs>
                <w:tab w:val="left" w:pos="142"/>
              </w:tabs>
              <w:spacing w:line="240" w:lineRule="auto"/>
              <w:ind w:left="567" w:hanging="567"/>
              <w:rPr>
                <w:del w:id="9379" w:author="AbbVie_HU_04" w:date="2025-05-15T11:59:00Z"/>
                <w:b/>
                <w:szCs w:val="22"/>
              </w:rPr>
            </w:pPr>
            <w:del w:id="9380" w:author="AbbVie_HU_04" w:date="2025-05-15T11:59:00Z">
              <w:r w:rsidRPr="00183B5F">
                <w:rPr>
                  <w:b/>
                  <w:szCs w:val="22"/>
                </w:rPr>
                <w:delText>15.</w:delText>
              </w:r>
              <w:r w:rsidRPr="00183B5F">
                <w:rPr>
                  <w:b/>
                  <w:szCs w:val="22"/>
                </w:rPr>
                <w:tab/>
              </w:r>
              <w:r w:rsidRPr="00183B5F">
                <w:rPr>
                  <w:b/>
                  <w:szCs w:val="22"/>
                </w:rPr>
                <w:delText>AZ ALKALMAZÁSRA VONATKOZÓ UTASÍTÁSOK</w:delText>
              </w:r>
            </w:del>
          </w:p>
        </w:tc>
      </w:tr>
    </w:tbl>
    <w:p w14:paraId="5F3C6391" w14:textId="176C3FF1" w:rsidR="00FB6710" w:rsidRPr="00183B5F" w:rsidRDefault="00FB6710" w:rsidP="004062FE">
      <w:pPr>
        <w:spacing w:line="240" w:lineRule="auto"/>
        <w:rPr>
          <w:del w:id="9381" w:author="AbbVie_HU_04" w:date="2025-05-15T11:59:00Z"/>
          <w:szCs w:val="22"/>
        </w:rPr>
      </w:pPr>
    </w:p>
    <w:p w14:paraId="2AC4A4EB" w14:textId="2EDDCBB5" w:rsidR="00FB6710" w:rsidRPr="00183B5F" w:rsidRDefault="00FB6710" w:rsidP="004062FE">
      <w:pPr>
        <w:spacing w:line="240" w:lineRule="auto"/>
        <w:rPr>
          <w:del w:id="9382"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37E0C473" w14:textId="3D1F37D0">
        <w:trPr>
          <w:jc w:val="center"/>
          <w:del w:id="9383"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54F78CC8" w14:textId="62F3C6D1" w:rsidR="00FB6710" w:rsidRPr="00183B5F" w:rsidRDefault="00943743" w:rsidP="004062FE">
            <w:pPr>
              <w:tabs>
                <w:tab w:val="left" w:pos="142"/>
              </w:tabs>
              <w:spacing w:line="240" w:lineRule="auto"/>
              <w:ind w:left="567" w:hanging="567"/>
              <w:rPr>
                <w:del w:id="9384" w:author="AbbVie_HU_04" w:date="2025-05-15T11:59:00Z"/>
                <w:b/>
                <w:szCs w:val="22"/>
              </w:rPr>
            </w:pPr>
            <w:del w:id="9385" w:author="AbbVie_HU_04" w:date="2025-05-15T11:59:00Z">
              <w:r w:rsidRPr="00183B5F">
                <w:rPr>
                  <w:b/>
                  <w:szCs w:val="22"/>
                </w:rPr>
                <w:delText>16.</w:delText>
              </w:r>
              <w:r w:rsidRPr="00183B5F">
                <w:rPr>
                  <w:b/>
                  <w:szCs w:val="22"/>
                </w:rPr>
                <w:tab/>
                <w:delText>BRAILLE ÍRÁSSAL FELTÜNTETETT INFORMÁCIÓK</w:delText>
              </w:r>
            </w:del>
          </w:p>
        </w:tc>
      </w:tr>
    </w:tbl>
    <w:p w14:paraId="44DD49EB" w14:textId="71ACF203" w:rsidR="00FB6710" w:rsidRPr="00183B5F" w:rsidRDefault="00FB6710" w:rsidP="004062FE">
      <w:pPr>
        <w:spacing w:line="240" w:lineRule="auto"/>
        <w:rPr>
          <w:del w:id="9386" w:author="AbbVie_HU_04" w:date="2025-05-15T11:59:00Z"/>
          <w:szCs w:val="22"/>
        </w:rPr>
      </w:pPr>
    </w:p>
    <w:p w14:paraId="7869838D" w14:textId="6AFF7DE3" w:rsidR="00FB6710" w:rsidRPr="00183B5F" w:rsidRDefault="00943743" w:rsidP="004062FE">
      <w:pPr>
        <w:pStyle w:val="EMEANormal"/>
        <w:tabs>
          <w:tab w:val="clear" w:pos="562"/>
        </w:tabs>
        <w:rPr>
          <w:del w:id="9387" w:author="AbbVie_HU_04" w:date="2025-05-15T11:59:00Z"/>
          <w:bCs/>
          <w:szCs w:val="22"/>
          <w:lang w:val="hu-HU" w:eastAsia="hu-HU"/>
        </w:rPr>
      </w:pPr>
      <w:del w:id="9388" w:author="AbbVie_HU_04" w:date="2025-05-15T11:59:00Z">
        <w:r w:rsidRPr="00183B5F">
          <w:rPr>
            <w:bCs/>
            <w:szCs w:val="22"/>
            <w:lang w:val="hu-HU" w:eastAsia="hu-HU"/>
          </w:rPr>
          <w:delText>Humira 40 mg</w:delText>
        </w:r>
      </w:del>
    </w:p>
    <w:p w14:paraId="02E8A77F" w14:textId="668D4E6C" w:rsidR="00FB6710" w:rsidRPr="00183B5F" w:rsidRDefault="00FB6710" w:rsidP="004062FE">
      <w:pPr>
        <w:spacing w:line="240" w:lineRule="auto"/>
        <w:rPr>
          <w:del w:id="9389" w:author="AbbVie_HU_04" w:date="2025-05-15T11:59:00Z"/>
          <w:szCs w:val="22"/>
        </w:rPr>
      </w:pPr>
    </w:p>
    <w:p w14:paraId="326E5C93" w14:textId="560660DF" w:rsidR="000B2A7F" w:rsidRPr="00183B5F" w:rsidRDefault="000B2A7F">
      <w:pPr>
        <w:spacing w:line="240" w:lineRule="auto"/>
        <w:rPr>
          <w:del w:id="9390" w:author="AbbVie_HU_04" w:date="2025-05-15T11:59:00Z"/>
          <w:noProof/>
          <w:shd w:val="clear" w:color="auto" w:fill="CCCCCC"/>
        </w:rPr>
      </w:pPr>
    </w:p>
    <w:p w14:paraId="4EE2380A" w14:textId="39CD272B" w:rsidR="000B2A7F" w:rsidRPr="00183B5F" w:rsidRDefault="00943743">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del w:id="9391" w:author="AbbVie_HU_04" w:date="2025-05-15T11:59:00Z"/>
          <w:i/>
          <w:noProof/>
        </w:rPr>
      </w:pPr>
      <w:del w:id="9392" w:author="AbbVie_HU_04" w:date="2025-05-15T11:59:00Z">
        <w:r w:rsidRPr="00183B5F">
          <w:rPr>
            <w:b/>
            <w:noProof/>
          </w:rPr>
          <w:delText>17.</w:delText>
        </w:r>
        <w:r w:rsidRPr="00183B5F">
          <w:rPr>
            <w:b/>
            <w:noProof/>
          </w:rPr>
          <w:tab/>
          <w:delText>EGYEDI AZONOSÍTÓ – 2D VONALKÓD</w:delText>
        </w:r>
      </w:del>
    </w:p>
    <w:p w14:paraId="578CB0CC" w14:textId="0E6473D7" w:rsidR="000B2A7F" w:rsidRPr="00183B5F" w:rsidRDefault="000B2A7F">
      <w:pPr>
        <w:spacing w:line="240" w:lineRule="auto"/>
        <w:rPr>
          <w:del w:id="9393" w:author="AbbVie_HU_04" w:date="2025-05-15T11:59:00Z"/>
          <w:noProof/>
        </w:rPr>
      </w:pPr>
    </w:p>
    <w:p w14:paraId="4B6761CB" w14:textId="6A943359" w:rsidR="000B2A7F" w:rsidRPr="00183B5F" w:rsidRDefault="00943743">
      <w:pPr>
        <w:spacing w:line="240" w:lineRule="auto"/>
        <w:rPr>
          <w:del w:id="9394" w:author="AbbVie_HU_04" w:date="2025-05-15T11:59:00Z"/>
          <w:noProof/>
          <w:shd w:val="clear" w:color="auto" w:fill="CCCCCC"/>
        </w:rPr>
      </w:pPr>
      <w:del w:id="9395" w:author="AbbVie_HU_04" w:date="2025-05-15T11:59:00Z">
        <w:r w:rsidRPr="00183B5F">
          <w:rPr>
            <w:noProof/>
            <w:highlight w:val="lightGray"/>
          </w:rPr>
          <w:delText>Egyedi azonosítójú 2D vonalkóddal ellátva.</w:delText>
        </w:r>
      </w:del>
    </w:p>
    <w:p w14:paraId="581F80DC" w14:textId="5282C4CF" w:rsidR="000B2A7F" w:rsidRPr="00183B5F" w:rsidRDefault="000B2A7F">
      <w:pPr>
        <w:spacing w:line="240" w:lineRule="auto"/>
        <w:rPr>
          <w:del w:id="9396" w:author="AbbVie_HU_04" w:date="2025-05-15T11:59:00Z"/>
          <w:noProof/>
          <w:shd w:val="clear" w:color="auto" w:fill="CCCCCC"/>
        </w:rPr>
      </w:pPr>
    </w:p>
    <w:p w14:paraId="4B9F6923" w14:textId="7DC50D1E" w:rsidR="000B2A7F" w:rsidRPr="00183B5F" w:rsidRDefault="000B2A7F">
      <w:pPr>
        <w:spacing w:line="240" w:lineRule="auto"/>
        <w:rPr>
          <w:del w:id="9397" w:author="AbbVie_HU_04" w:date="2025-05-15T11:59:00Z"/>
          <w:noProof/>
          <w:shd w:val="clear" w:color="auto" w:fill="CCCCCC"/>
        </w:rPr>
      </w:pPr>
    </w:p>
    <w:p w14:paraId="3D914F2A" w14:textId="735A346F" w:rsidR="000B2A7F" w:rsidRPr="00183B5F" w:rsidRDefault="00943743">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del w:id="9398" w:author="AbbVie_HU_04" w:date="2025-05-15T11:59:00Z"/>
          <w:i/>
          <w:noProof/>
        </w:rPr>
      </w:pPr>
      <w:del w:id="9399" w:author="AbbVie_HU_04" w:date="2025-05-15T11:59:00Z">
        <w:r w:rsidRPr="00183B5F">
          <w:rPr>
            <w:b/>
            <w:noProof/>
          </w:rPr>
          <w:delText>18.</w:delText>
        </w:r>
        <w:r w:rsidRPr="00183B5F">
          <w:rPr>
            <w:b/>
            <w:noProof/>
          </w:rPr>
          <w:tab/>
        </w:r>
        <w:r w:rsidRPr="00183B5F">
          <w:rPr>
            <w:b/>
            <w:noProof/>
          </w:rPr>
          <w:delText>EGYEDI AZONOSÍTÓ OLVASHATÓ FORMÁTUMA</w:delText>
        </w:r>
      </w:del>
    </w:p>
    <w:p w14:paraId="0A96C3DF" w14:textId="669A8AA5" w:rsidR="000B2A7F" w:rsidRPr="00183B5F" w:rsidRDefault="000B2A7F">
      <w:pPr>
        <w:spacing w:line="240" w:lineRule="auto"/>
        <w:rPr>
          <w:del w:id="9400" w:author="AbbVie_HU_04" w:date="2025-05-15T11:59:00Z"/>
          <w:noProof/>
        </w:rPr>
      </w:pPr>
    </w:p>
    <w:p w14:paraId="54E4EBAC" w14:textId="2D595799" w:rsidR="000B2A7F" w:rsidRPr="00183B5F" w:rsidRDefault="00943743" w:rsidP="004062FE">
      <w:pPr>
        <w:keepNext/>
        <w:spacing w:line="240" w:lineRule="auto"/>
        <w:rPr>
          <w:del w:id="9401" w:author="AbbVie_HU_04" w:date="2025-05-15T11:59:00Z"/>
          <w:color w:val="008000"/>
        </w:rPr>
      </w:pPr>
      <w:del w:id="9402" w:author="AbbVie_HU_04" w:date="2025-05-15T11:59:00Z">
        <w:r w:rsidRPr="00183B5F">
          <w:delText>PC</w:delText>
        </w:r>
      </w:del>
    </w:p>
    <w:p w14:paraId="6D31FF05" w14:textId="4023599D" w:rsidR="000B2A7F" w:rsidRPr="00183B5F" w:rsidRDefault="00943743" w:rsidP="004062FE">
      <w:pPr>
        <w:spacing w:line="240" w:lineRule="auto"/>
        <w:rPr>
          <w:del w:id="9403" w:author="AbbVie_HU_04" w:date="2025-05-15T11:59:00Z"/>
        </w:rPr>
      </w:pPr>
      <w:del w:id="9404" w:author="AbbVie_HU_04" w:date="2025-05-15T11:59:00Z">
        <w:r w:rsidRPr="00183B5F">
          <w:delText>SN</w:delText>
        </w:r>
      </w:del>
    </w:p>
    <w:p w14:paraId="32116558" w14:textId="389CA9BD" w:rsidR="000B2A7F" w:rsidRPr="00183B5F" w:rsidRDefault="00943743" w:rsidP="004062FE">
      <w:pPr>
        <w:spacing w:line="240" w:lineRule="auto"/>
        <w:rPr>
          <w:del w:id="9405" w:author="AbbVie_HU_04" w:date="2025-05-15T11:59:00Z"/>
        </w:rPr>
      </w:pPr>
      <w:del w:id="9406" w:author="AbbVie_HU_04" w:date="2025-05-15T11:59:00Z">
        <w:r w:rsidRPr="00183B5F">
          <w:rPr>
            <w:highlight w:val="lightGray"/>
          </w:rPr>
          <w:delText>NN</w:delText>
        </w:r>
      </w:del>
    </w:p>
    <w:p w14:paraId="6069A4A1" w14:textId="6D28868F" w:rsidR="000B2A7F" w:rsidRPr="00183B5F" w:rsidRDefault="000B2A7F" w:rsidP="004062FE">
      <w:pPr>
        <w:spacing w:line="240" w:lineRule="auto"/>
        <w:rPr>
          <w:del w:id="9407" w:author="AbbVie_HU_04" w:date="2025-05-15T11:59:00Z"/>
        </w:rPr>
      </w:pPr>
    </w:p>
    <w:p w14:paraId="4FDD8F27" w14:textId="46BF000E" w:rsidR="00FB6710" w:rsidRPr="00183B5F" w:rsidRDefault="00943743" w:rsidP="004062FE">
      <w:pPr>
        <w:spacing w:line="240" w:lineRule="auto"/>
        <w:rPr>
          <w:del w:id="9408" w:author="AbbVie_HU_04" w:date="2025-05-15T11:59:00Z"/>
          <w:b/>
          <w:szCs w:val="22"/>
        </w:rPr>
      </w:pPr>
      <w:del w:id="9409" w:author="AbbVie_HU_04" w:date="2025-05-15T11:59:00Z">
        <w:r w:rsidRPr="00183B5F">
          <w:rPr>
            <w:b/>
            <w:szCs w:val="22"/>
          </w:rPr>
          <w:br w:type="page"/>
        </w:r>
      </w:del>
    </w:p>
    <w:tbl>
      <w:tblPr>
        <w:tblW w:w="9069" w:type="dxa"/>
        <w:jc w:val="center"/>
        <w:tblLayout w:type="fixed"/>
        <w:tblCellMar>
          <w:left w:w="0" w:type="dxa"/>
          <w:right w:w="0" w:type="dxa"/>
        </w:tblCellMar>
        <w:tblLook w:val="0000" w:firstRow="0" w:lastRow="0" w:firstColumn="0" w:lastColumn="0" w:noHBand="0" w:noVBand="0"/>
        <w:tblPrChange w:id="9410" w:author="AbbVie_HU_03" w:date="2025-05-14T16:15:00Z">
          <w:tblPr>
            <w:tblW w:w="0" w:type="auto"/>
            <w:tblLayout w:type="fixed"/>
            <w:tblLook w:val="04A0" w:firstRow="1" w:lastRow="0" w:firstColumn="1" w:lastColumn="0" w:noHBand="0" w:noVBand="1"/>
          </w:tblPr>
        </w:tblPrChange>
      </w:tblPr>
      <w:tblGrid>
        <w:gridCol w:w="9069"/>
        <w:tblGridChange w:id="9411">
          <w:tblGrid>
            <w:gridCol w:w="360"/>
            <w:gridCol w:w="8709"/>
          </w:tblGrid>
        </w:tblGridChange>
      </w:tblGrid>
      <w:tr w:rsidR="00011D2F" w14:paraId="60361579" w14:textId="5A60AD5A" w:rsidTr="00810C65">
        <w:trPr>
          <w:jc w:val="center"/>
          <w:del w:id="9412" w:author="AbbVie_HU_04" w:date="2025-05-15T11:59:00Z"/>
          <w:trPrChange w:id="9413" w:author="AbbVie_HU_03" w:date="2025-05-14T16:15:00Z">
            <w:trPr>
              <w:gridAfter w:val="0"/>
            </w:trPr>
          </w:trPrChange>
        </w:trPr>
        <w:tc>
          <w:tcPr>
            <w:tcW w:w="9069" w:type="dxa"/>
            <w:tcBorders>
              <w:top w:val="single" w:sz="2" w:space="0" w:color="000000"/>
              <w:left w:val="single" w:sz="2" w:space="0" w:color="000000"/>
              <w:bottom w:val="single" w:sz="2" w:space="0" w:color="000000"/>
              <w:right w:val="single" w:sz="2" w:space="0" w:color="000000"/>
            </w:tcBorders>
            <w:tcPrChange w:id="9414" w:author="AbbVie_HU_03" w:date="2025-05-14T16:15:00Z">
              <w:tcPr>
                <w:tcW w:w="9069" w:type="dxa"/>
                <w:tcBorders>
                  <w:top w:val="single" w:sz="2" w:space="0" w:color="000000"/>
                  <w:left w:val="single" w:sz="2" w:space="0" w:color="000000"/>
                  <w:bottom w:val="single" w:sz="2" w:space="0" w:color="000000"/>
                  <w:right w:val="single" w:sz="2" w:space="0" w:color="000000"/>
                </w:tcBorders>
              </w:tcPr>
            </w:tcPrChange>
          </w:tcPr>
          <w:p w14:paraId="01C99CC5" w14:textId="3A5121E7" w:rsidR="00FB6710" w:rsidRPr="00183B5F" w:rsidRDefault="00943743" w:rsidP="004062FE">
            <w:pPr>
              <w:spacing w:line="240" w:lineRule="auto"/>
              <w:rPr>
                <w:del w:id="9415" w:author="AbbVie_HU_04" w:date="2025-05-15T11:59:00Z"/>
                <w:b/>
                <w:szCs w:val="22"/>
              </w:rPr>
            </w:pPr>
            <w:del w:id="9416" w:author="AbbVie_HU_04" w:date="2025-05-15T11:59:00Z">
              <w:r w:rsidRPr="00183B5F">
                <w:rPr>
                  <w:b/>
                  <w:szCs w:val="22"/>
                </w:rPr>
                <w:delText xml:space="preserve">A </w:delText>
              </w:r>
              <w:r w:rsidR="009F5334" w:rsidRPr="00183B5F">
                <w:rPr>
                  <w:b/>
                  <w:szCs w:val="22"/>
                </w:rPr>
                <w:delText xml:space="preserve">BUBORÉKCSOMAGOLÁSON </w:delText>
              </w:r>
              <w:r w:rsidRPr="00183B5F">
                <w:rPr>
                  <w:b/>
                  <w:szCs w:val="22"/>
                </w:rPr>
                <w:delText>VAGY A SZALAGFÓLIÁN MINIMÁLISAN FELTÜNTETENDŐ ADATOK</w:delText>
              </w:r>
            </w:del>
          </w:p>
          <w:p w14:paraId="2E8FDDA0" w14:textId="5624BC82" w:rsidR="00FB6710" w:rsidRPr="00183B5F" w:rsidRDefault="00943743" w:rsidP="004062FE">
            <w:pPr>
              <w:spacing w:line="240" w:lineRule="auto"/>
              <w:rPr>
                <w:del w:id="9417" w:author="AbbVie_HU_04" w:date="2025-05-15T11:59:00Z"/>
                <w:b/>
                <w:szCs w:val="22"/>
              </w:rPr>
            </w:pPr>
            <w:del w:id="9418" w:author="AbbVie_HU_04" w:date="2025-05-15T11:59:00Z">
              <w:r w:rsidRPr="00183B5F">
                <w:rPr>
                  <w:b/>
                  <w:caps/>
                  <w:szCs w:val="22"/>
                </w:rPr>
                <w:br/>
                <w:delText>Tálca hátoldalán levő szöveg</w:delText>
              </w:r>
            </w:del>
          </w:p>
        </w:tc>
      </w:tr>
    </w:tbl>
    <w:p w14:paraId="15E2A557" w14:textId="49E745A3" w:rsidR="00FB6710" w:rsidRPr="00183B5F" w:rsidRDefault="00FB6710" w:rsidP="004062FE">
      <w:pPr>
        <w:spacing w:line="240" w:lineRule="auto"/>
        <w:rPr>
          <w:del w:id="9419" w:author="AbbVie_HU_04" w:date="2025-05-15T11:59:00Z"/>
          <w:szCs w:val="22"/>
        </w:rPr>
      </w:pPr>
    </w:p>
    <w:p w14:paraId="32EDC10A" w14:textId="4867664A" w:rsidR="00FB6710" w:rsidRPr="00183B5F" w:rsidRDefault="00FB6710" w:rsidP="004062FE">
      <w:pPr>
        <w:spacing w:line="240" w:lineRule="auto"/>
        <w:rPr>
          <w:del w:id="9420"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3E8C4D50" w14:textId="6D1C6A30">
        <w:trPr>
          <w:jc w:val="center"/>
          <w:del w:id="9421"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66136C94" w14:textId="2B2A6A67" w:rsidR="00FB6710" w:rsidRPr="00183B5F" w:rsidRDefault="00943743" w:rsidP="004062FE">
            <w:pPr>
              <w:tabs>
                <w:tab w:val="left" w:pos="142"/>
              </w:tabs>
              <w:spacing w:line="240" w:lineRule="auto"/>
              <w:ind w:left="567" w:hanging="567"/>
              <w:rPr>
                <w:del w:id="9422" w:author="AbbVie_HU_04" w:date="2025-05-15T11:59:00Z"/>
                <w:b/>
                <w:szCs w:val="22"/>
              </w:rPr>
            </w:pPr>
            <w:del w:id="9423" w:author="AbbVie_HU_04" w:date="2025-05-15T11:59:00Z">
              <w:r w:rsidRPr="00183B5F">
                <w:rPr>
                  <w:b/>
                  <w:szCs w:val="22"/>
                </w:rPr>
                <w:delText>1.</w:delText>
              </w:r>
              <w:r w:rsidRPr="00183B5F">
                <w:rPr>
                  <w:b/>
                  <w:szCs w:val="22"/>
                </w:rPr>
                <w:tab/>
                <w:delText xml:space="preserve">A GYÓGYSZER </w:delText>
              </w:r>
              <w:r w:rsidR="00F038A9" w:rsidRPr="00183B5F">
                <w:rPr>
                  <w:b/>
                  <w:szCs w:val="22"/>
                </w:rPr>
                <w:delText>NEVE</w:delText>
              </w:r>
            </w:del>
          </w:p>
          <w:p w14:paraId="123962B4" w14:textId="1540AC3D" w:rsidR="00FB6710" w:rsidRPr="00183B5F" w:rsidRDefault="00FB6710" w:rsidP="004062FE">
            <w:pPr>
              <w:tabs>
                <w:tab w:val="left" w:pos="142"/>
              </w:tabs>
              <w:spacing w:line="240" w:lineRule="auto"/>
              <w:ind w:left="567" w:hanging="567"/>
              <w:rPr>
                <w:del w:id="9424" w:author="AbbVie_HU_04" w:date="2025-05-15T11:59:00Z"/>
                <w:b/>
                <w:szCs w:val="22"/>
              </w:rPr>
            </w:pPr>
          </w:p>
        </w:tc>
      </w:tr>
    </w:tbl>
    <w:p w14:paraId="277EB933" w14:textId="76229EF5" w:rsidR="00FB6710" w:rsidRPr="00183B5F" w:rsidRDefault="00FB6710" w:rsidP="004062FE">
      <w:pPr>
        <w:spacing w:line="240" w:lineRule="auto"/>
        <w:ind w:left="567" w:hanging="567"/>
        <w:rPr>
          <w:del w:id="9425" w:author="AbbVie_HU_04" w:date="2025-05-15T11:59:00Z"/>
          <w:szCs w:val="22"/>
        </w:rPr>
      </w:pPr>
    </w:p>
    <w:p w14:paraId="4393A9C7" w14:textId="0D2862C4" w:rsidR="00FB6710" w:rsidRPr="00183B5F" w:rsidRDefault="00943743" w:rsidP="004062FE">
      <w:pPr>
        <w:spacing w:line="240" w:lineRule="auto"/>
        <w:rPr>
          <w:del w:id="9426" w:author="AbbVie_HU_04" w:date="2025-05-15T11:59:00Z"/>
          <w:szCs w:val="22"/>
        </w:rPr>
      </w:pPr>
      <w:del w:id="9427" w:author="AbbVie_HU_04" w:date="2025-05-15T11:59:00Z">
        <w:r w:rsidRPr="00183B5F">
          <w:rPr>
            <w:szCs w:val="22"/>
          </w:rPr>
          <w:delText>Humira 40 mg oldatos injekció előretöltött fecskendőben</w:delText>
        </w:r>
      </w:del>
    </w:p>
    <w:p w14:paraId="12E4FF61" w14:textId="7B9A7BD6" w:rsidR="00FB6710" w:rsidRPr="00183B5F" w:rsidRDefault="00943743" w:rsidP="004062FE">
      <w:pPr>
        <w:pStyle w:val="EndnoteText"/>
        <w:tabs>
          <w:tab w:val="clear" w:pos="567"/>
          <w:tab w:val="left" w:pos="708"/>
        </w:tabs>
        <w:suppressAutoHyphens/>
        <w:rPr>
          <w:del w:id="9428" w:author="AbbVie_HU_04" w:date="2025-05-15T11:59:00Z"/>
          <w:sz w:val="22"/>
          <w:szCs w:val="22"/>
          <w:lang w:val="hu-HU"/>
        </w:rPr>
      </w:pPr>
      <w:del w:id="9429" w:author="AbbVie_HU_04" w:date="2025-05-15T11:59:00Z">
        <w:r w:rsidRPr="00183B5F">
          <w:rPr>
            <w:sz w:val="22"/>
            <w:szCs w:val="22"/>
            <w:lang w:val="hu-HU"/>
          </w:rPr>
          <w:delText>adalimumab</w:delText>
        </w:r>
      </w:del>
    </w:p>
    <w:p w14:paraId="7625D5AC" w14:textId="708DB939" w:rsidR="00FB6710" w:rsidRPr="00183B5F" w:rsidRDefault="00FB6710" w:rsidP="004062FE">
      <w:pPr>
        <w:spacing w:line="240" w:lineRule="auto"/>
        <w:rPr>
          <w:del w:id="9430" w:author="AbbVie_HU_04" w:date="2025-05-15T11:59:00Z"/>
          <w:szCs w:val="22"/>
        </w:rPr>
      </w:pPr>
    </w:p>
    <w:p w14:paraId="2483127C" w14:textId="0807C2E9" w:rsidR="00FB6710" w:rsidRPr="00183B5F" w:rsidRDefault="00FB6710" w:rsidP="004062FE">
      <w:pPr>
        <w:spacing w:line="240" w:lineRule="auto"/>
        <w:rPr>
          <w:del w:id="9431"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79949700" w14:textId="177FF528">
        <w:trPr>
          <w:jc w:val="center"/>
          <w:del w:id="9432"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5368E135" w14:textId="5373AB50" w:rsidR="00FB6710" w:rsidRPr="00183B5F" w:rsidRDefault="00943743" w:rsidP="004062FE">
            <w:pPr>
              <w:tabs>
                <w:tab w:val="left" w:pos="142"/>
              </w:tabs>
              <w:spacing w:line="240" w:lineRule="auto"/>
              <w:ind w:left="567" w:hanging="567"/>
              <w:rPr>
                <w:del w:id="9433" w:author="AbbVie_HU_04" w:date="2025-05-15T11:59:00Z"/>
                <w:b/>
                <w:szCs w:val="22"/>
              </w:rPr>
            </w:pPr>
            <w:del w:id="9434" w:author="AbbVie_HU_04" w:date="2025-05-15T11:59:00Z">
              <w:r w:rsidRPr="00183B5F">
                <w:rPr>
                  <w:b/>
                  <w:szCs w:val="22"/>
                </w:rPr>
                <w:delText>2.</w:delText>
              </w:r>
              <w:r w:rsidRPr="00183B5F">
                <w:rPr>
                  <w:b/>
                  <w:szCs w:val="22"/>
                </w:rPr>
                <w:tab/>
                <w:delText>A FORGALOMBA HOZATALI ENGEDÉLY JOGOSULTJÁNAK NEVE</w:delText>
              </w:r>
            </w:del>
          </w:p>
        </w:tc>
      </w:tr>
    </w:tbl>
    <w:p w14:paraId="5471D8A7" w14:textId="22ECB1E3" w:rsidR="00FB6710" w:rsidRPr="00183B5F" w:rsidRDefault="00FB6710" w:rsidP="004062FE">
      <w:pPr>
        <w:spacing w:line="240" w:lineRule="auto"/>
        <w:rPr>
          <w:del w:id="9435" w:author="AbbVie_HU_04" w:date="2025-05-15T11:59:00Z"/>
          <w:szCs w:val="22"/>
        </w:rPr>
      </w:pPr>
    </w:p>
    <w:p w14:paraId="2E917009" w14:textId="61D397BF" w:rsidR="00FB6710" w:rsidRPr="00183B5F" w:rsidRDefault="00943743" w:rsidP="004062FE">
      <w:pPr>
        <w:spacing w:line="240" w:lineRule="auto"/>
        <w:ind w:right="-2"/>
        <w:rPr>
          <w:del w:id="9436" w:author="AbbVie_HU_04" w:date="2025-05-15T11:59:00Z"/>
          <w:szCs w:val="22"/>
        </w:rPr>
      </w:pPr>
      <w:del w:id="9437" w:author="AbbVie_HU_04" w:date="2025-05-15T11:59:00Z">
        <w:r w:rsidRPr="00183B5F">
          <w:rPr>
            <w:szCs w:val="22"/>
          </w:rPr>
          <w:delText xml:space="preserve">AbbVie </w:delText>
        </w:r>
        <w:r w:rsidR="00CE3F71" w:rsidRPr="00183B5F">
          <w:rPr>
            <w:szCs w:val="22"/>
            <w:highlight w:val="lightGray"/>
            <w:lang w:eastAsia="en-GB"/>
          </w:rPr>
          <w:delText>(logo)</w:delText>
        </w:r>
      </w:del>
    </w:p>
    <w:p w14:paraId="1C83DC4B" w14:textId="0D71628A" w:rsidR="00FB6710" w:rsidRPr="00183B5F" w:rsidRDefault="00FB6710" w:rsidP="004062FE">
      <w:pPr>
        <w:spacing w:line="240" w:lineRule="auto"/>
        <w:rPr>
          <w:del w:id="9438" w:author="AbbVie_HU_04" w:date="2025-05-15T11:59:00Z"/>
          <w:szCs w:val="22"/>
        </w:rPr>
      </w:pPr>
    </w:p>
    <w:p w14:paraId="09A6E69E" w14:textId="51DE0E0A" w:rsidR="00FB6710" w:rsidRPr="00183B5F" w:rsidRDefault="00FB6710" w:rsidP="004062FE">
      <w:pPr>
        <w:spacing w:line="240" w:lineRule="auto"/>
        <w:rPr>
          <w:del w:id="9439"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422208B2" w14:textId="06D971D5">
        <w:trPr>
          <w:jc w:val="center"/>
          <w:del w:id="9440"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62E9E5CE" w14:textId="38FE1787" w:rsidR="00FB6710" w:rsidRPr="00183B5F" w:rsidRDefault="00943743" w:rsidP="004062FE">
            <w:pPr>
              <w:tabs>
                <w:tab w:val="left" w:pos="142"/>
              </w:tabs>
              <w:spacing w:line="240" w:lineRule="auto"/>
              <w:ind w:left="567" w:hanging="567"/>
              <w:rPr>
                <w:del w:id="9441" w:author="AbbVie_HU_04" w:date="2025-05-15T11:59:00Z"/>
                <w:b/>
                <w:szCs w:val="22"/>
              </w:rPr>
            </w:pPr>
            <w:del w:id="9442" w:author="AbbVie_HU_04" w:date="2025-05-15T11:59:00Z">
              <w:r w:rsidRPr="00183B5F">
                <w:rPr>
                  <w:b/>
                  <w:szCs w:val="22"/>
                </w:rPr>
                <w:delText>3.</w:delText>
              </w:r>
              <w:r w:rsidRPr="00183B5F">
                <w:rPr>
                  <w:b/>
                  <w:szCs w:val="22"/>
                </w:rPr>
                <w:tab/>
                <w:delText>LEJÁRATI IDŐ</w:delText>
              </w:r>
            </w:del>
          </w:p>
        </w:tc>
      </w:tr>
    </w:tbl>
    <w:p w14:paraId="2EB46DFB" w14:textId="5EF0BF69" w:rsidR="00FB6710" w:rsidRPr="00183B5F" w:rsidRDefault="00FB6710" w:rsidP="004062FE">
      <w:pPr>
        <w:spacing w:line="240" w:lineRule="auto"/>
        <w:rPr>
          <w:del w:id="9443" w:author="AbbVie_HU_04" w:date="2025-05-15T11:59:00Z"/>
          <w:szCs w:val="22"/>
        </w:rPr>
      </w:pPr>
    </w:p>
    <w:p w14:paraId="5AEBFD70" w14:textId="7CDB2048" w:rsidR="00FB6710" w:rsidRPr="00183B5F" w:rsidRDefault="00943743" w:rsidP="004062FE">
      <w:pPr>
        <w:spacing w:line="240" w:lineRule="auto"/>
        <w:rPr>
          <w:del w:id="9444" w:author="AbbVie_HU_04" w:date="2025-05-15T11:59:00Z"/>
          <w:szCs w:val="22"/>
        </w:rPr>
      </w:pPr>
      <w:del w:id="9445" w:author="AbbVie_HU_04" w:date="2025-05-15T11:59:00Z">
        <w:r w:rsidRPr="00183B5F">
          <w:rPr>
            <w:szCs w:val="22"/>
          </w:rPr>
          <w:delText>EXP</w:delText>
        </w:r>
      </w:del>
    </w:p>
    <w:p w14:paraId="2A66A7ED" w14:textId="7D7273CC" w:rsidR="00FB6710" w:rsidRPr="00183B5F" w:rsidRDefault="00FB6710" w:rsidP="004062FE">
      <w:pPr>
        <w:spacing w:line="240" w:lineRule="auto"/>
        <w:rPr>
          <w:del w:id="9446" w:author="AbbVie_HU_04" w:date="2025-05-15T11:59:00Z"/>
          <w:szCs w:val="22"/>
        </w:rPr>
      </w:pPr>
    </w:p>
    <w:p w14:paraId="3F44FAB3" w14:textId="2AD14CE0" w:rsidR="00FB6710" w:rsidRPr="00183B5F" w:rsidRDefault="00FB6710" w:rsidP="004062FE">
      <w:pPr>
        <w:spacing w:line="240" w:lineRule="auto"/>
        <w:rPr>
          <w:del w:id="9447"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7D6F2A15" w14:textId="61C4E264">
        <w:trPr>
          <w:jc w:val="center"/>
          <w:del w:id="9448"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5452896E" w14:textId="342DF2B5" w:rsidR="00FB6710" w:rsidRPr="00183B5F" w:rsidRDefault="00943743" w:rsidP="004062FE">
            <w:pPr>
              <w:tabs>
                <w:tab w:val="left" w:pos="142"/>
              </w:tabs>
              <w:spacing w:line="240" w:lineRule="auto"/>
              <w:ind w:left="567" w:hanging="567"/>
              <w:rPr>
                <w:del w:id="9449" w:author="AbbVie_HU_04" w:date="2025-05-15T11:59:00Z"/>
                <w:b/>
                <w:szCs w:val="22"/>
              </w:rPr>
            </w:pPr>
            <w:del w:id="9450" w:author="AbbVie_HU_04" w:date="2025-05-15T11:59:00Z">
              <w:r w:rsidRPr="00183B5F">
                <w:rPr>
                  <w:b/>
                  <w:szCs w:val="22"/>
                </w:rPr>
                <w:delText>4.</w:delText>
              </w:r>
              <w:r w:rsidRPr="00183B5F">
                <w:rPr>
                  <w:b/>
                  <w:szCs w:val="22"/>
                </w:rPr>
                <w:tab/>
                <w:delText>A GYÁRTÁSI TÉTEL SZÁMA</w:delText>
              </w:r>
            </w:del>
          </w:p>
        </w:tc>
      </w:tr>
    </w:tbl>
    <w:p w14:paraId="2CAE61C3" w14:textId="592E11F5" w:rsidR="00FB6710" w:rsidRPr="00183B5F" w:rsidRDefault="00FB6710" w:rsidP="004062FE">
      <w:pPr>
        <w:spacing w:line="240" w:lineRule="auto"/>
        <w:rPr>
          <w:del w:id="9451" w:author="AbbVie_HU_04" w:date="2025-05-15T11:59:00Z"/>
          <w:szCs w:val="22"/>
        </w:rPr>
      </w:pPr>
    </w:p>
    <w:p w14:paraId="38E952AD" w14:textId="12576A54" w:rsidR="006B2BB7" w:rsidRPr="00183B5F" w:rsidRDefault="00943743" w:rsidP="004062FE">
      <w:pPr>
        <w:spacing w:line="240" w:lineRule="auto"/>
        <w:rPr>
          <w:del w:id="9452" w:author="AbbVie_HU_04" w:date="2025-05-15T11:59:00Z"/>
          <w:szCs w:val="22"/>
        </w:rPr>
      </w:pPr>
      <w:del w:id="9453" w:author="AbbVie_HU_04" w:date="2025-05-15T11:59:00Z">
        <w:r w:rsidRPr="00183B5F">
          <w:rPr>
            <w:szCs w:val="22"/>
          </w:rPr>
          <w:delText>Lot</w:delText>
        </w:r>
      </w:del>
    </w:p>
    <w:p w14:paraId="6A1592B5" w14:textId="3E96CFE3" w:rsidR="00FB6710" w:rsidRPr="00183B5F" w:rsidRDefault="00FB6710" w:rsidP="004062FE">
      <w:pPr>
        <w:pStyle w:val="EndnoteText"/>
        <w:tabs>
          <w:tab w:val="clear" w:pos="567"/>
        </w:tabs>
        <w:suppressAutoHyphens/>
        <w:rPr>
          <w:del w:id="9454" w:author="AbbVie_HU_04" w:date="2025-05-15T11:59:00Z"/>
          <w:sz w:val="22"/>
          <w:szCs w:val="22"/>
          <w:lang w:val="hu-HU"/>
        </w:rPr>
      </w:pPr>
    </w:p>
    <w:p w14:paraId="58AA1E1E" w14:textId="3AB21A39" w:rsidR="00FB6710" w:rsidRPr="00183B5F" w:rsidRDefault="00FB6710" w:rsidP="004062FE">
      <w:pPr>
        <w:spacing w:line="240" w:lineRule="auto"/>
        <w:rPr>
          <w:del w:id="9455" w:author="AbbVie_HU_04" w:date="2025-05-15T11:59:00Z"/>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1BBF0484" w14:textId="0CEFCA42">
        <w:trPr>
          <w:jc w:val="center"/>
          <w:del w:id="9456"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1152421D" w14:textId="1457F21C" w:rsidR="00FB6710" w:rsidRPr="00183B5F" w:rsidRDefault="00943743" w:rsidP="004062FE">
            <w:pPr>
              <w:tabs>
                <w:tab w:val="left" w:pos="142"/>
              </w:tabs>
              <w:spacing w:line="240" w:lineRule="auto"/>
              <w:ind w:left="567" w:hanging="567"/>
              <w:rPr>
                <w:del w:id="9457" w:author="AbbVie_HU_04" w:date="2025-05-15T11:59:00Z"/>
                <w:b/>
                <w:szCs w:val="22"/>
              </w:rPr>
            </w:pPr>
            <w:del w:id="9458" w:author="AbbVie_HU_04" w:date="2025-05-15T11:59:00Z">
              <w:r w:rsidRPr="00183B5F">
                <w:rPr>
                  <w:b/>
                  <w:szCs w:val="22"/>
                </w:rPr>
                <w:delText>5.</w:delText>
              </w:r>
              <w:r w:rsidRPr="00183B5F">
                <w:rPr>
                  <w:b/>
                  <w:szCs w:val="22"/>
                </w:rPr>
                <w:tab/>
                <w:delText>EGYÉB INFORMÁCIÓK</w:delText>
              </w:r>
            </w:del>
          </w:p>
        </w:tc>
      </w:tr>
    </w:tbl>
    <w:p w14:paraId="0A1CF55A" w14:textId="662EEE49" w:rsidR="00FB6710" w:rsidRPr="00183B5F" w:rsidRDefault="00FB6710" w:rsidP="004062FE">
      <w:pPr>
        <w:spacing w:line="240" w:lineRule="auto"/>
        <w:rPr>
          <w:del w:id="9459" w:author="AbbVie_HU_04" w:date="2025-05-15T11:59:00Z"/>
          <w:b/>
          <w:szCs w:val="22"/>
        </w:rPr>
      </w:pPr>
    </w:p>
    <w:p w14:paraId="13FD366B" w14:textId="53600435" w:rsidR="00FB6710" w:rsidRPr="00183B5F" w:rsidRDefault="00943743" w:rsidP="004062FE">
      <w:pPr>
        <w:spacing w:line="240" w:lineRule="auto"/>
        <w:rPr>
          <w:del w:id="9460" w:author="AbbVie_HU_04" w:date="2025-05-15T11:59:00Z"/>
          <w:szCs w:val="22"/>
        </w:rPr>
      </w:pPr>
      <w:del w:id="9461" w:author="AbbVie_HU_04" w:date="2025-05-15T11:59:00Z">
        <w:r w:rsidRPr="00183B5F">
          <w:rPr>
            <w:szCs w:val="22"/>
          </w:rPr>
          <w:delText>Tárolási információ</w:delText>
        </w:r>
        <w:r w:rsidR="00A53984" w:rsidRPr="00183B5F">
          <w:rPr>
            <w:szCs w:val="22"/>
          </w:rPr>
          <w:delText>k</w:delText>
        </w:r>
        <w:r w:rsidRPr="00183B5F">
          <w:rPr>
            <w:szCs w:val="22"/>
          </w:rPr>
          <w:delText>ért olvassa el a betegtájékoztatót</w:delText>
        </w:r>
        <w:r w:rsidR="00A53984" w:rsidRPr="00183B5F">
          <w:rPr>
            <w:szCs w:val="22"/>
          </w:rPr>
          <w:delText>.</w:delText>
        </w:r>
      </w:del>
    </w:p>
    <w:p w14:paraId="741D6D9A" w14:textId="258E3774" w:rsidR="00EB351A" w:rsidRPr="00183B5F" w:rsidRDefault="00EB351A" w:rsidP="004062FE">
      <w:pPr>
        <w:spacing w:line="240" w:lineRule="auto"/>
        <w:rPr>
          <w:del w:id="9462" w:author="AbbVie_HU_04" w:date="2025-05-15T11:59:00Z"/>
          <w:szCs w:val="22"/>
        </w:rPr>
      </w:pPr>
    </w:p>
    <w:p w14:paraId="280298C5" w14:textId="71F29DDE" w:rsidR="00FB6710" w:rsidRPr="00183B5F" w:rsidRDefault="00943743" w:rsidP="004062FE">
      <w:pPr>
        <w:spacing w:line="240" w:lineRule="auto"/>
        <w:rPr>
          <w:del w:id="9463" w:author="AbbVie_HU_04" w:date="2025-05-15T11:59:00Z"/>
          <w:szCs w:val="22"/>
        </w:rPr>
      </w:pPr>
      <w:del w:id="9464" w:author="AbbVie_HU_04" w:date="2025-05-15T11:59:00Z">
        <w:r w:rsidRPr="00183B5F">
          <w:rPr>
            <w:szCs w:val="22"/>
          </w:rPr>
          <w:delText>Kizárólag egyszeri alkalmazásra.</w:delText>
        </w:r>
      </w:del>
    </w:p>
    <w:p w14:paraId="06AB7FBB" w14:textId="039F4264" w:rsidR="00EB351A" w:rsidRPr="00183B5F" w:rsidRDefault="00EB351A" w:rsidP="004062FE">
      <w:pPr>
        <w:spacing w:line="240" w:lineRule="auto"/>
        <w:rPr>
          <w:del w:id="9465" w:author="AbbVie_HU_04" w:date="2025-05-15T11:59:00Z"/>
          <w:szCs w:val="22"/>
        </w:rPr>
      </w:pPr>
    </w:p>
    <w:p w14:paraId="7C4FEB51" w14:textId="39F91582" w:rsidR="00EB351A" w:rsidRPr="00183B5F" w:rsidRDefault="00943743" w:rsidP="004062FE">
      <w:pPr>
        <w:spacing w:line="240" w:lineRule="auto"/>
        <w:rPr>
          <w:del w:id="9466" w:author="AbbVie_HU_04" w:date="2025-05-15T11:59:00Z"/>
          <w:b/>
          <w:szCs w:val="22"/>
        </w:rPr>
      </w:pPr>
      <w:del w:id="9467" w:author="AbbVie_HU_04" w:date="2025-05-15T11:59:00Z">
        <w:r w:rsidRPr="00183B5F">
          <w:rPr>
            <w:szCs w:val="22"/>
          </w:rPr>
          <w:delText>Tűvédővel ellátva.</w:delText>
        </w:r>
      </w:del>
    </w:p>
    <w:p w14:paraId="21038015" w14:textId="23BAF59E" w:rsidR="00FB6710" w:rsidRPr="00183B5F" w:rsidRDefault="00943743" w:rsidP="004062FE">
      <w:pPr>
        <w:spacing w:line="240" w:lineRule="auto"/>
        <w:rPr>
          <w:del w:id="9468" w:author="AbbVie_HU_04" w:date="2025-05-15T11:59:00Z"/>
          <w:b/>
          <w:szCs w:val="22"/>
        </w:rPr>
      </w:pPr>
      <w:del w:id="9469" w:author="AbbVie_HU_04" w:date="2025-05-15T11:59:00Z">
        <w:r w:rsidRPr="00183B5F">
          <w:rPr>
            <w:b/>
            <w:szCs w:val="22"/>
          </w:rPr>
          <w:br w:type="page"/>
        </w:r>
      </w:del>
    </w:p>
    <w:tbl>
      <w:tblPr>
        <w:tblW w:w="9069" w:type="dxa"/>
        <w:jc w:val="center"/>
        <w:tblLayout w:type="fixed"/>
        <w:tblCellMar>
          <w:left w:w="0" w:type="dxa"/>
          <w:right w:w="0" w:type="dxa"/>
        </w:tblCellMar>
        <w:tblLook w:val="0000" w:firstRow="0" w:lastRow="0" w:firstColumn="0" w:lastColumn="0" w:noHBand="0" w:noVBand="0"/>
        <w:tblPrChange w:id="9470" w:author="AbbVie_HU_03" w:date="2025-05-14T16:16:00Z">
          <w:tblPr>
            <w:tblW w:w="0" w:type="auto"/>
            <w:tblLayout w:type="fixed"/>
            <w:tblLook w:val="04A0" w:firstRow="1" w:lastRow="0" w:firstColumn="1" w:lastColumn="0" w:noHBand="0" w:noVBand="1"/>
          </w:tblPr>
        </w:tblPrChange>
      </w:tblPr>
      <w:tblGrid>
        <w:gridCol w:w="9069"/>
        <w:tblGridChange w:id="9471">
          <w:tblGrid>
            <w:gridCol w:w="360"/>
            <w:gridCol w:w="8709"/>
          </w:tblGrid>
        </w:tblGridChange>
      </w:tblGrid>
      <w:tr w:rsidR="00011D2F" w14:paraId="5C5070CB" w14:textId="6541EB91" w:rsidTr="00810C65">
        <w:trPr>
          <w:trHeight w:val="785"/>
          <w:jc w:val="center"/>
          <w:del w:id="9472" w:author="AbbVie_HU_04" w:date="2025-05-15T11:59:00Z"/>
          <w:trPrChange w:id="9473" w:author="AbbVie_HU_03" w:date="2025-05-14T16:16:00Z">
            <w:trPr>
              <w:gridAfter w:val="0"/>
            </w:trPr>
          </w:trPrChange>
        </w:trPr>
        <w:tc>
          <w:tcPr>
            <w:tcW w:w="9069" w:type="dxa"/>
            <w:tcBorders>
              <w:top w:val="single" w:sz="2" w:space="0" w:color="000000"/>
              <w:left w:val="single" w:sz="2" w:space="0" w:color="000000"/>
              <w:bottom w:val="single" w:sz="2" w:space="0" w:color="000000"/>
              <w:right w:val="single" w:sz="2" w:space="0" w:color="000000"/>
            </w:tcBorders>
            <w:tcPrChange w:id="9474" w:author="AbbVie_HU_03" w:date="2025-05-14T16:16:00Z">
              <w:tcPr>
                <w:tcW w:w="9069" w:type="dxa"/>
                <w:tcBorders>
                  <w:top w:val="single" w:sz="2" w:space="0" w:color="000000"/>
                  <w:left w:val="single" w:sz="2" w:space="0" w:color="000000"/>
                  <w:bottom w:val="single" w:sz="2" w:space="0" w:color="000000"/>
                  <w:right w:val="single" w:sz="2" w:space="0" w:color="000000"/>
                </w:tcBorders>
              </w:tcPr>
            </w:tcPrChange>
          </w:tcPr>
          <w:p w14:paraId="1E5570A2" w14:textId="2124AABF" w:rsidR="00FB6710" w:rsidRPr="00183B5F" w:rsidRDefault="00943743" w:rsidP="004062FE">
            <w:pPr>
              <w:spacing w:line="240" w:lineRule="auto"/>
              <w:rPr>
                <w:del w:id="9475" w:author="AbbVie_HU_04" w:date="2025-05-15T11:59:00Z"/>
                <w:b/>
                <w:szCs w:val="22"/>
              </w:rPr>
            </w:pPr>
            <w:del w:id="9476" w:author="AbbVie_HU_04" w:date="2025-05-15T11:59:00Z">
              <w:r w:rsidRPr="00183B5F">
                <w:rPr>
                  <w:b/>
                  <w:szCs w:val="22"/>
                </w:rPr>
                <w:delText>A KIS KÖZVETLEN CSOMAGOLÁSI EGYSÉGEKEN MINIMÁLISAN FELTÜNTETENDŐ ADATOK</w:delText>
              </w:r>
            </w:del>
          </w:p>
          <w:p w14:paraId="4ECEC9DF" w14:textId="16B72679" w:rsidR="00FB6710" w:rsidRPr="00183B5F" w:rsidRDefault="00FB6710" w:rsidP="004062FE">
            <w:pPr>
              <w:spacing w:line="240" w:lineRule="auto"/>
              <w:rPr>
                <w:del w:id="9477" w:author="AbbVie_HU_04" w:date="2025-05-15T11:59:00Z"/>
                <w:b/>
                <w:szCs w:val="22"/>
              </w:rPr>
            </w:pPr>
          </w:p>
          <w:p w14:paraId="6E2353BD" w14:textId="72814BB2" w:rsidR="00FB6710" w:rsidRPr="00183B5F" w:rsidRDefault="00943743" w:rsidP="004062FE">
            <w:pPr>
              <w:spacing w:line="240" w:lineRule="auto"/>
              <w:rPr>
                <w:del w:id="9478" w:author="AbbVie_HU_04" w:date="2025-05-15T11:59:00Z"/>
                <w:b/>
                <w:caps/>
                <w:szCs w:val="22"/>
              </w:rPr>
            </w:pPr>
            <w:del w:id="9479" w:author="AbbVie_HU_04" w:date="2025-05-15T11:59:00Z">
              <w:r w:rsidRPr="00183B5F">
                <w:rPr>
                  <w:b/>
                  <w:caps/>
                  <w:szCs w:val="22"/>
                </w:rPr>
                <w:delText>Fecskendő cÍmke</w:delText>
              </w:r>
            </w:del>
          </w:p>
        </w:tc>
      </w:tr>
    </w:tbl>
    <w:p w14:paraId="150414C2" w14:textId="2CF6F5EA" w:rsidR="00FB6710" w:rsidRPr="00183B5F" w:rsidRDefault="00FB6710" w:rsidP="004062FE">
      <w:pPr>
        <w:spacing w:line="240" w:lineRule="auto"/>
        <w:rPr>
          <w:del w:id="9480" w:author="AbbVie_HU_04" w:date="2025-05-15T11:59:00Z"/>
          <w:szCs w:val="22"/>
        </w:rPr>
      </w:pPr>
    </w:p>
    <w:p w14:paraId="589D175D" w14:textId="1944DC7D" w:rsidR="00FB6710" w:rsidRPr="00183B5F" w:rsidRDefault="00FB6710" w:rsidP="004062FE">
      <w:pPr>
        <w:spacing w:line="240" w:lineRule="auto"/>
        <w:rPr>
          <w:del w:id="9481"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25C28BE2" w14:textId="4F6A8D60">
        <w:trPr>
          <w:jc w:val="center"/>
          <w:del w:id="9482"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1D96302A" w14:textId="6D50CA37" w:rsidR="00FB6710" w:rsidRPr="00183B5F" w:rsidRDefault="00943743" w:rsidP="004062FE">
            <w:pPr>
              <w:tabs>
                <w:tab w:val="left" w:pos="142"/>
              </w:tabs>
              <w:spacing w:line="240" w:lineRule="auto"/>
              <w:ind w:left="567" w:hanging="567"/>
              <w:rPr>
                <w:del w:id="9483" w:author="AbbVie_HU_04" w:date="2025-05-15T11:59:00Z"/>
                <w:b/>
                <w:szCs w:val="22"/>
              </w:rPr>
            </w:pPr>
            <w:del w:id="9484" w:author="AbbVie_HU_04" w:date="2025-05-15T11:59:00Z">
              <w:r w:rsidRPr="00183B5F">
                <w:rPr>
                  <w:b/>
                  <w:szCs w:val="22"/>
                </w:rPr>
                <w:delText>1.</w:delText>
              </w:r>
              <w:r w:rsidRPr="00183B5F">
                <w:rPr>
                  <w:b/>
                  <w:szCs w:val="22"/>
                </w:rPr>
                <w:tab/>
                <w:delText xml:space="preserve">A GYÓGYSZER </w:delText>
              </w:r>
              <w:r w:rsidR="00F038A9" w:rsidRPr="00183B5F">
                <w:rPr>
                  <w:b/>
                  <w:szCs w:val="22"/>
                </w:rPr>
                <w:delText>NEVE</w:delText>
              </w:r>
              <w:r w:rsidRPr="00183B5F">
                <w:rPr>
                  <w:b/>
                  <w:szCs w:val="22"/>
                </w:rPr>
                <w:delText xml:space="preserve"> ÉS AZ ALKALMAZÁS MÓDJA (I)</w:delText>
              </w:r>
            </w:del>
          </w:p>
        </w:tc>
      </w:tr>
    </w:tbl>
    <w:p w14:paraId="337D21A9" w14:textId="45BE7D35" w:rsidR="00FB6710" w:rsidRPr="00183B5F" w:rsidRDefault="00FB6710" w:rsidP="004062FE">
      <w:pPr>
        <w:spacing w:line="240" w:lineRule="auto"/>
        <w:rPr>
          <w:del w:id="9485" w:author="AbbVie_HU_04" w:date="2025-05-15T11:59:00Z"/>
          <w:szCs w:val="22"/>
        </w:rPr>
      </w:pPr>
    </w:p>
    <w:p w14:paraId="628131F3" w14:textId="2F5171A0" w:rsidR="00FB6710" w:rsidRPr="00183B5F" w:rsidRDefault="00943743" w:rsidP="004062FE">
      <w:pPr>
        <w:pStyle w:val="EndnoteText"/>
        <w:tabs>
          <w:tab w:val="clear" w:pos="567"/>
        </w:tabs>
        <w:suppressAutoHyphens/>
        <w:rPr>
          <w:del w:id="9486" w:author="AbbVie_HU_04" w:date="2025-05-15T11:59:00Z"/>
          <w:sz w:val="22"/>
          <w:szCs w:val="22"/>
          <w:lang w:val="hu-HU" w:eastAsia="hu-HU"/>
        </w:rPr>
      </w:pPr>
      <w:del w:id="9487" w:author="AbbVie_HU_04" w:date="2025-05-15T11:59:00Z">
        <w:r w:rsidRPr="00183B5F">
          <w:rPr>
            <w:sz w:val="22"/>
            <w:szCs w:val="22"/>
            <w:lang w:val="hu-HU" w:eastAsia="hu-HU"/>
          </w:rPr>
          <w:delText>Humira 40 mg injekció</w:delText>
        </w:r>
      </w:del>
    </w:p>
    <w:p w14:paraId="11662427" w14:textId="0E757612" w:rsidR="00FB6710" w:rsidRPr="00183B5F" w:rsidRDefault="00943743" w:rsidP="004062FE">
      <w:pPr>
        <w:spacing w:line="240" w:lineRule="auto"/>
        <w:rPr>
          <w:del w:id="9488" w:author="AbbVie_HU_04" w:date="2025-05-15T11:59:00Z"/>
          <w:szCs w:val="22"/>
        </w:rPr>
      </w:pPr>
      <w:del w:id="9489" w:author="AbbVie_HU_04" w:date="2025-05-15T11:59:00Z">
        <w:r w:rsidRPr="00183B5F">
          <w:rPr>
            <w:szCs w:val="22"/>
          </w:rPr>
          <w:delText>a</w:delText>
        </w:r>
        <w:r w:rsidR="00221B35" w:rsidRPr="00183B5F">
          <w:rPr>
            <w:szCs w:val="22"/>
          </w:rPr>
          <w:delText>dalimumab</w:delText>
        </w:r>
      </w:del>
    </w:p>
    <w:p w14:paraId="16859CB9" w14:textId="180DF84D" w:rsidR="00FB6710" w:rsidRPr="00183B5F" w:rsidRDefault="00943743" w:rsidP="004062FE">
      <w:pPr>
        <w:spacing w:line="240" w:lineRule="auto"/>
        <w:ind w:left="567" w:hanging="567"/>
        <w:rPr>
          <w:del w:id="9490" w:author="AbbVie_HU_04" w:date="2025-05-15T11:59:00Z"/>
          <w:szCs w:val="22"/>
        </w:rPr>
      </w:pPr>
      <w:del w:id="9491" w:author="AbbVie_HU_04" w:date="2025-05-15T11:59:00Z">
        <w:r w:rsidRPr="00183B5F">
          <w:rPr>
            <w:szCs w:val="22"/>
          </w:rPr>
          <w:delText>sc</w:delText>
        </w:r>
        <w:r w:rsidR="00A53E7F" w:rsidRPr="00183B5F">
          <w:rPr>
            <w:szCs w:val="22"/>
          </w:rPr>
          <w:delText>.</w:delText>
        </w:r>
      </w:del>
    </w:p>
    <w:p w14:paraId="1EDA33A9" w14:textId="6AFB5692" w:rsidR="00FB6710" w:rsidRPr="00183B5F" w:rsidRDefault="00FB6710" w:rsidP="004062FE">
      <w:pPr>
        <w:spacing w:line="240" w:lineRule="auto"/>
        <w:rPr>
          <w:del w:id="9492" w:author="AbbVie_HU_04" w:date="2025-05-15T11:59:00Z"/>
          <w:szCs w:val="22"/>
        </w:rPr>
      </w:pPr>
    </w:p>
    <w:p w14:paraId="33FC94B1" w14:textId="47350C82" w:rsidR="00FB6710" w:rsidRPr="00183B5F" w:rsidRDefault="00FB6710" w:rsidP="004062FE">
      <w:pPr>
        <w:spacing w:line="240" w:lineRule="auto"/>
        <w:rPr>
          <w:del w:id="9493"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3463805" w14:textId="18795F03">
        <w:trPr>
          <w:jc w:val="center"/>
          <w:del w:id="9494"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7BE109E9" w14:textId="4B1C51C2" w:rsidR="00FB6710" w:rsidRPr="00183B5F" w:rsidRDefault="00943743" w:rsidP="004062FE">
            <w:pPr>
              <w:tabs>
                <w:tab w:val="left" w:pos="142"/>
              </w:tabs>
              <w:spacing w:line="240" w:lineRule="auto"/>
              <w:ind w:left="567" w:hanging="567"/>
              <w:rPr>
                <w:del w:id="9495" w:author="AbbVie_HU_04" w:date="2025-05-15T11:59:00Z"/>
                <w:b/>
                <w:szCs w:val="22"/>
              </w:rPr>
            </w:pPr>
            <w:del w:id="9496" w:author="AbbVie_HU_04" w:date="2025-05-15T11:59:00Z">
              <w:r w:rsidRPr="00183B5F">
                <w:rPr>
                  <w:b/>
                  <w:szCs w:val="22"/>
                </w:rPr>
                <w:delText>2.</w:delText>
              </w:r>
              <w:r w:rsidRPr="00183B5F">
                <w:rPr>
                  <w:b/>
                  <w:szCs w:val="22"/>
                </w:rPr>
                <w:tab/>
                <w:delText>AZ ALKALMAZÁSSAL KAPCSOLATOS TUDNIVALÓK</w:delText>
              </w:r>
            </w:del>
          </w:p>
        </w:tc>
      </w:tr>
    </w:tbl>
    <w:p w14:paraId="37DFBB68" w14:textId="033EC046" w:rsidR="00FB6710" w:rsidRPr="00183B5F" w:rsidRDefault="00FB6710" w:rsidP="004062FE">
      <w:pPr>
        <w:spacing w:line="240" w:lineRule="auto"/>
        <w:rPr>
          <w:del w:id="9497" w:author="AbbVie_HU_04" w:date="2025-05-15T11:59:00Z"/>
          <w:szCs w:val="22"/>
        </w:rPr>
      </w:pPr>
    </w:p>
    <w:p w14:paraId="1D256957" w14:textId="1962EA2A" w:rsidR="00FB6710" w:rsidRPr="00183B5F" w:rsidRDefault="00FB6710" w:rsidP="004062FE">
      <w:pPr>
        <w:spacing w:line="240" w:lineRule="auto"/>
        <w:rPr>
          <w:del w:id="9498"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1F6FD961" w14:textId="6B27762E">
        <w:trPr>
          <w:jc w:val="center"/>
          <w:del w:id="9499"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3F46EFF1" w14:textId="50B5D7DF" w:rsidR="00FB6710" w:rsidRPr="00183B5F" w:rsidRDefault="00943743" w:rsidP="004062FE">
            <w:pPr>
              <w:tabs>
                <w:tab w:val="left" w:pos="142"/>
              </w:tabs>
              <w:spacing w:line="240" w:lineRule="auto"/>
              <w:ind w:left="567" w:hanging="567"/>
              <w:rPr>
                <w:del w:id="9500" w:author="AbbVie_HU_04" w:date="2025-05-15T11:59:00Z"/>
                <w:b/>
                <w:szCs w:val="22"/>
              </w:rPr>
            </w:pPr>
            <w:del w:id="9501" w:author="AbbVie_HU_04" w:date="2025-05-15T11:59:00Z">
              <w:r w:rsidRPr="00183B5F">
                <w:rPr>
                  <w:b/>
                  <w:szCs w:val="22"/>
                </w:rPr>
                <w:delText>3.</w:delText>
              </w:r>
              <w:r w:rsidRPr="00183B5F">
                <w:rPr>
                  <w:b/>
                  <w:szCs w:val="22"/>
                </w:rPr>
                <w:tab/>
                <w:delText>LEJÁRATI IDŐ</w:delText>
              </w:r>
            </w:del>
          </w:p>
        </w:tc>
      </w:tr>
    </w:tbl>
    <w:p w14:paraId="20F31623" w14:textId="63EDB054" w:rsidR="00FB6710" w:rsidRPr="00183B5F" w:rsidRDefault="00FB6710" w:rsidP="004062FE">
      <w:pPr>
        <w:spacing w:line="240" w:lineRule="auto"/>
        <w:rPr>
          <w:del w:id="9502" w:author="AbbVie_HU_04" w:date="2025-05-15T11:59:00Z"/>
          <w:szCs w:val="22"/>
        </w:rPr>
      </w:pPr>
    </w:p>
    <w:p w14:paraId="28A50386" w14:textId="7ECBA395" w:rsidR="00FB6710" w:rsidRPr="00183B5F" w:rsidRDefault="00943743" w:rsidP="004062FE">
      <w:pPr>
        <w:spacing w:line="240" w:lineRule="auto"/>
        <w:rPr>
          <w:del w:id="9503" w:author="AbbVie_HU_04" w:date="2025-05-15T11:59:00Z"/>
          <w:szCs w:val="22"/>
        </w:rPr>
      </w:pPr>
      <w:del w:id="9504" w:author="AbbVie_HU_04" w:date="2025-05-15T11:59:00Z">
        <w:r w:rsidRPr="00183B5F">
          <w:rPr>
            <w:szCs w:val="22"/>
          </w:rPr>
          <w:delText>EXP</w:delText>
        </w:r>
      </w:del>
    </w:p>
    <w:p w14:paraId="5D84F81B" w14:textId="654F91C6" w:rsidR="00FB6710" w:rsidRPr="00183B5F" w:rsidRDefault="00FB6710" w:rsidP="004062FE">
      <w:pPr>
        <w:spacing w:line="240" w:lineRule="auto"/>
        <w:rPr>
          <w:del w:id="9505" w:author="AbbVie_HU_04" w:date="2025-05-15T11:59:00Z"/>
          <w:szCs w:val="22"/>
        </w:rPr>
      </w:pPr>
    </w:p>
    <w:p w14:paraId="512F0823" w14:textId="38984281" w:rsidR="00FB6710" w:rsidRPr="00183B5F" w:rsidRDefault="00FB6710" w:rsidP="004062FE">
      <w:pPr>
        <w:spacing w:line="240" w:lineRule="auto"/>
        <w:rPr>
          <w:del w:id="9506"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10592AE8" w14:textId="21C8EC08">
        <w:trPr>
          <w:jc w:val="center"/>
          <w:del w:id="9507"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145808E0" w14:textId="528DB797" w:rsidR="00FB6710" w:rsidRPr="00183B5F" w:rsidRDefault="00943743" w:rsidP="004062FE">
            <w:pPr>
              <w:tabs>
                <w:tab w:val="left" w:pos="142"/>
              </w:tabs>
              <w:spacing w:line="240" w:lineRule="auto"/>
              <w:ind w:left="567" w:hanging="567"/>
              <w:rPr>
                <w:del w:id="9508" w:author="AbbVie_HU_04" w:date="2025-05-15T11:59:00Z"/>
                <w:b/>
                <w:szCs w:val="22"/>
              </w:rPr>
            </w:pPr>
            <w:del w:id="9509" w:author="AbbVie_HU_04" w:date="2025-05-15T11:59:00Z">
              <w:r w:rsidRPr="00183B5F">
                <w:rPr>
                  <w:b/>
                  <w:szCs w:val="22"/>
                </w:rPr>
                <w:delText>4.</w:delText>
              </w:r>
              <w:r w:rsidRPr="00183B5F">
                <w:rPr>
                  <w:b/>
                  <w:szCs w:val="22"/>
                </w:rPr>
                <w:tab/>
                <w:delText>A GYÁRTÁSI TÉTEL SZÁMA</w:delText>
              </w:r>
            </w:del>
          </w:p>
        </w:tc>
      </w:tr>
    </w:tbl>
    <w:p w14:paraId="47CFBC3B" w14:textId="3413B005" w:rsidR="00FB6710" w:rsidRPr="00183B5F" w:rsidRDefault="00FB6710" w:rsidP="004062FE">
      <w:pPr>
        <w:spacing w:line="240" w:lineRule="auto"/>
        <w:rPr>
          <w:del w:id="9510" w:author="AbbVie_HU_04" w:date="2025-05-15T11:59:00Z"/>
          <w:szCs w:val="22"/>
        </w:rPr>
      </w:pPr>
    </w:p>
    <w:p w14:paraId="0774F4E2" w14:textId="2F4EADEC" w:rsidR="006B2BB7" w:rsidRPr="00183B5F" w:rsidRDefault="00943743" w:rsidP="004062FE">
      <w:pPr>
        <w:spacing w:line="240" w:lineRule="auto"/>
        <w:rPr>
          <w:del w:id="9511" w:author="AbbVie_HU_04" w:date="2025-05-15T11:59:00Z"/>
          <w:szCs w:val="22"/>
        </w:rPr>
      </w:pPr>
      <w:del w:id="9512" w:author="AbbVie_HU_04" w:date="2025-05-15T11:59:00Z">
        <w:r w:rsidRPr="00183B5F">
          <w:rPr>
            <w:szCs w:val="22"/>
          </w:rPr>
          <w:delText>Lot</w:delText>
        </w:r>
      </w:del>
    </w:p>
    <w:p w14:paraId="2CE34696" w14:textId="7872FC7D" w:rsidR="00FB6710" w:rsidRPr="00183B5F" w:rsidRDefault="00FB6710" w:rsidP="004062FE">
      <w:pPr>
        <w:spacing w:line="240" w:lineRule="auto"/>
        <w:ind w:right="113"/>
        <w:rPr>
          <w:del w:id="9513" w:author="AbbVie_HU_04" w:date="2025-05-15T11:59:00Z"/>
          <w:szCs w:val="22"/>
        </w:rPr>
      </w:pPr>
    </w:p>
    <w:p w14:paraId="2617C315" w14:textId="6E4D4BBB" w:rsidR="00FB6710" w:rsidRPr="00183B5F" w:rsidRDefault="00FB6710" w:rsidP="004062FE">
      <w:pPr>
        <w:spacing w:line="240" w:lineRule="auto"/>
        <w:ind w:right="113"/>
        <w:rPr>
          <w:del w:id="9514"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3E200585" w14:textId="20C94077">
        <w:trPr>
          <w:jc w:val="center"/>
          <w:del w:id="9515"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78A3C741" w14:textId="51FE3878" w:rsidR="00FB6710" w:rsidRPr="00183B5F" w:rsidRDefault="00943743" w:rsidP="004062FE">
            <w:pPr>
              <w:tabs>
                <w:tab w:val="left" w:pos="142"/>
              </w:tabs>
              <w:spacing w:line="240" w:lineRule="auto"/>
              <w:ind w:left="567" w:hanging="567"/>
              <w:rPr>
                <w:del w:id="9516" w:author="AbbVie_HU_04" w:date="2025-05-15T11:59:00Z"/>
                <w:b/>
                <w:szCs w:val="22"/>
              </w:rPr>
            </w:pPr>
            <w:del w:id="9517" w:author="AbbVie_HU_04" w:date="2025-05-15T11:59:00Z">
              <w:r w:rsidRPr="00183B5F">
                <w:rPr>
                  <w:b/>
                  <w:szCs w:val="22"/>
                </w:rPr>
                <w:delText>5.</w:delText>
              </w:r>
              <w:r w:rsidRPr="00183B5F">
                <w:rPr>
                  <w:b/>
                  <w:szCs w:val="22"/>
                </w:rPr>
                <w:tab/>
              </w:r>
              <w:r w:rsidRPr="00183B5F">
                <w:rPr>
                  <w:b/>
                  <w:szCs w:val="22"/>
                </w:rPr>
                <w:delText>A TARTALOM SÚLYRA, TÉRFOGATRA, VAGY EGYSÉGRE VONATKOZTATVA</w:delText>
              </w:r>
            </w:del>
          </w:p>
        </w:tc>
      </w:tr>
    </w:tbl>
    <w:p w14:paraId="6D80915C" w14:textId="63BAEC25" w:rsidR="00FB6710" w:rsidRPr="00183B5F" w:rsidRDefault="00FB6710" w:rsidP="004062FE">
      <w:pPr>
        <w:spacing w:line="240" w:lineRule="auto"/>
        <w:rPr>
          <w:del w:id="9518" w:author="AbbVie_HU_04" w:date="2025-05-15T11:59:00Z"/>
          <w:szCs w:val="22"/>
        </w:rPr>
      </w:pPr>
    </w:p>
    <w:p w14:paraId="785572A6" w14:textId="11CE6A46" w:rsidR="00FB6710" w:rsidRPr="00183B5F" w:rsidRDefault="00943743" w:rsidP="004062FE">
      <w:pPr>
        <w:spacing w:line="240" w:lineRule="auto"/>
        <w:rPr>
          <w:del w:id="9519" w:author="AbbVie_HU_04" w:date="2025-05-15T11:59:00Z"/>
          <w:szCs w:val="22"/>
        </w:rPr>
      </w:pPr>
      <w:del w:id="9520" w:author="AbbVie_HU_04" w:date="2025-05-15T11:59:00Z">
        <w:r w:rsidRPr="00183B5F">
          <w:rPr>
            <w:szCs w:val="22"/>
          </w:rPr>
          <w:delText>40 mg/0,8 ml</w:delText>
        </w:r>
      </w:del>
    </w:p>
    <w:p w14:paraId="011C50CE" w14:textId="36CFBF0B" w:rsidR="00FB6710" w:rsidRPr="00183B5F" w:rsidRDefault="00FB6710" w:rsidP="004062FE">
      <w:pPr>
        <w:spacing w:line="240" w:lineRule="auto"/>
        <w:rPr>
          <w:del w:id="9521" w:author="AbbVie_HU_04" w:date="2025-05-15T11:59:00Z"/>
          <w:szCs w:val="22"/>
        </w:rPr>
      </w:pPr>
    </w:p>
    <w:p w14:paraId="3654A41C" w14:textId="5AE0EB00" w:rsidR="00FB6710" w:rsidRPr="00183B5F" w:rsidRDefault="00FB6710" w:rsidP="004062FE">
      <w:pPr>
        <w:spacing w:line="240" w:lineRule="auto"/>
        <w:rPr>
          <w:del w:id="9522"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7A670686" w14:textId="33A8FFE2">
        <w:trPr>
          <w:jc w:val="center"/>
          <w:del w:id="9523"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6828A5A1" w14:textId="1783BAFB" w:rsidR="00FB6710" w:rsidRPr="00183B5F" w:rsidRDefault="00943743" w:rsidP="004062FE">
            <w:pPr>
              <w:tabs>
                <w:tab w:val="left" w:pos="142"/>
              </w:tabs>
              <w:spacing w:line="240" w:lineRule="auto"/>
              <w:ind w:left="567" w:hanging="567"/>
              <w:rPr>
                <w:del w:id="9524" w:author="AbbVie_HU_04" w:date="2025-05-15T11:59:00Z"/>
                <w:b/>
                <w:szCs w:val="22"/>
              </w:rPr>
            </w:pPr>
            <w:del w:id="9525" w:author="AbbVie_HU_04" w:date="2025-05-15T11:59:00Z">
              <w:r w:rsidRPr="00183B5F">
                <w:rPr>
                  <w:b/>
                  <w:szCs w:val="22"/>
                </w:rPr>
                <w:delText>6.</w:delText>
              </w:r>
              <w:r w:rsidRPr="00183B5F">
                <w:rPr>
                  <w:b/>
                  <w:szCs w:val="22"/>
                </w:rPr>
                <w:tab/>
                <w:delText>EGYÉB INFORMÁCIÓK</w:delText>
              </w:r>
            </w:del>
          </w:p>
        </w:tc>
      </w:tr>
    </w:tbl>
    <w:p w14:paraId="5D72383E" w14:textId="756D5821" w:rsidR="00FB6710" w:rsidRPr="00183B5F" w:rsidRDefault="00FB6710" w:rsidP="004062FE">
      <w:pPr>
        <w:spacing w:line="240" w:lineRule="auto"/>
        <w:rPr>
          <w:del w:id="9526" w:author="AbbVie_HU_04" w:date="2025-05-15T11:59:00Z"/>
          <w:szCs w:val="22"/>
        </w:rPr>
      </w:pPr>
    </w:p>
    <w:p w14:paraId="01E47C37" w14:textId="7EDAD612" w:rsidR="00FB6710" w:rsidRPr="00183B5F" w:rsidRDefault="00943743" w:rsidP="004062FE">
      <w:pPr>
        <w:spacing w:line="240" w:lineRule="auto"/>
        <w:rPr>
          <w:del w:id="9527" w:author="AbbVie_HU_04" w:date="2025-05-15T11:59:00Z"/>
          <w:szCs w:val="22"/>
        </w:rPr>
      </w:pPr>
      <w:del w:id="9528" w:author="AbbVie_HU_04" w:date="2025-05-15T11:59:00Z">
        <w:r w:rsidRPr="00183B5F">
          <w:rPr>
            <w:szCs w:val="22"/>
          </w:rPr>
          <w:br w:type="page"/>
        </w:r>
      </w:del>
    </w:p>
    <w:tbl>
      <w:tblPr>
        <w:tblW w:w="9069" w:type="dxa"/>
        <w:jc w:val="center"/>
        <w:tblLayout w:type="fixed"/>
        <w:tblCellMar>
          <w:left w:w="0" w:type="dxa"/>
          <w:right w:w="0" w:type="dxa"/>
        </w:tblCellMar>
        <w:tblLook w:val="0000" w:firstRow="0" w:lastRow="0" w:firstColumn="0" w:lastColumn="0" w:noHBand="0" w:noVBand="0"/>
        <w:tblPrChange w:id="9529" w:author="AbbVie_HU_03" w:date="2025-05-14T16:16:00Z">
          <w:tblPr>
            <w:tblW w:w="0" w:type="auto"/>
            <w:tblLayout w:type="fixed"/>
            <w:tblLook w:val="04A0" w:firstRow="1" w:lastRow="0" w:firstColumn="1" w:lastColumn="0" w:noHBand="0" w:noVBand="1"/>
          </w:tblPr>
        </w:tblPrChange>
      </w:tblPr>
      <w:tblGrid>
        <w:gridCol w:w="9069"/>
        <w:tblGridChange w:id="9530">
          <w:tblGrid>
            <w:gridCol w:w="360"/>
            <w:gridCol w:w="8709"/>
          </w:tblGrid>
        </w:tblGridChange>
      </w:tblGrid>
      <w:tr w:rsidR="00011D2F" w14:paraId="02380B30" w14:textId="39FF8897" w:rsidTr="00511721">
        <w:trPr>
          <w:trHeight w:val="1040"/>
          <w:jc w:val="center"/>
          <w:del w:id="9531" w:author="AbbVie_HU_04" w:date="2025-05-15T11:59:00Z"/>
          <w:trPrChange w:id="9532" w:author="AbbVie_HU_03" w:date="2025-05-14T16:16:00Z">
            <w:trPr>
              <w:gridAfter w:val="0"/>
            </w:trPr>
          </w:trPrChange>
        </w:trPr>
        <w:tc>
          <w:tcPr>
            <w:tcW w:w="9069" w:type="dxa"/>
            <w:tcBorders>
              <w:top w:val="single" w:sz="2" w:space="0" w:color="000000"/>
              <w:left w:val="single" w:sz="2" w:space="0" w:color="000000"/>
              <w:bottom w:val="single" w:sz="2" w:space="0" w:color="000000"/>
              <w:right w:val="single" w:sz="2" w:space="0" w:color="000000"/>
            </w:tcBorders>
            <w:tcPrChange w:id="9533" w:author="AbbVie_HU_03" w:date="2025-05-14T16:16:00Z">
              <w:tcPr>
                <w:tcW w:w="9069" w:type="dxa"/>
                <w:tcBorders>
                  <w:top w:val="single" w:sz="2" w:space="0" w:color="000000"/>
                  <w:left w:val="single" w:sz="2" w:space="0" w:color="000000"/>
                  <w:bottom w:val="single" w:sz="2" w:space="0" w:color="000000"/>
                  <w:right w:val="single" w:sz="2" w:space="0" w:color="000000"/>
                </w:tcBorders>
              </w:tcPr>
            </w:tcPrChange>
          </w:tcPr>
          <w:p w14:paraId="357E0DB7" w14:textId="5C7C1119" w:rsidR="00FB6710" w:rsidRPr="00183B5F" w:rsidRDefault="00943743" w:rsidP="004062FE">
            <w:pPr>
              <w:spacing w:line="240" w:lineRule="auto"/>
              <w:rPr>
                <w:del w:id="9534" w:author="AbbVie_HU_04" w:date="2025-05-15T11:59:00Z"/>
                <w:b/>
                <w:caps/>
                <w:szCs w:val="22"/>
              </w:rPr>
            </w:pPr>
            <w:del w:id="9535" w:author="AbbVie_HU_04" w:date="2025-05-15T11:59:00Z">
              <w:r w:rsidRPr="00183B5F">
                <w:rPr>
                  <w:b/>
                  <w:caps/>
                  <w:szCs w:val="22"/>
                </w:rPr>
                <w:delText>A KÜLSŐ CSOMAGOLÁSON FELTÜNTETENDŐ ADATOK</w:delText>
              </w:r>
            </w:del>
          </w:p>
          <w:p w14:paraId="3FE1071D" w14:textId="1EA8E265" w:rsidR="00FB6710" w:rsidRPr="00183B5F" w:rsidRDefault="00FB6710" w:rsidP="004062FE">
            <w:pPr>
              <w:spacing w:line="240" w:lineRule="auto"/>
              <w:rPr>
                <w:del w:id="9536" w:author="AbbVie_HU_04" w:date="2025-05-15T11:59:00Z"/>
                <w:b/>
                <w:caps/>
                <w:szCs w:val="22"/>
              </w:rPr>
            </w:pPr>
          </w:p>
          <w:p w14:paraId="36DAC804" w14:textId="60E48642" w:rsidR="00FB6710" w:rsidRPr="00183B5F" w:rsidRDefault="00943743" w:rsidP="004062FE">
            <w:pPr>
              <w:spacing w:line="240" w:lineRule="auto"/>
              <w:rPr>
                <w:del w:id="9537" w:author="AbbVie_HU_04" w:date="2025-05-15T11:59:00Z"/>
                <w:b/>
                <w:caps/>
                <w:szCs w:val="22"/>
              </w:rPr>
            </w:pPr>
            <w:del w:id="9538" w:author="AbbVie_HU_04" w:date="2025-05-15T11:59:00Z">
              <w:r w:rsidRPr="00183B5F">
                <w:rPr>
                  <w:b/>
                  <w:caps/>
                  <w:szCs w:val="22"/>
                </w:rPr>
                <w:delText xml:space="preserve">Külső </w:delText>
              </w:r>
              <w:r w:rsidR="0029015E" w:rsidRPr="00183B5F">
                <w:rPr>
                  <w:b/>
                  <w:caps/>
                  <w:szCs w:val="22"/>
                </w:rPr>
                <w:delText>DOBOZ</w:delText>
              </w:r>
            </w:del>
          </w:p>
        </w:tc>
      </w:tr>
    </w:tbl>
    <w:p w14:paraId="3B11D9B9" w14:textId="1B27D0F0" w:rsidR="00FB6710" w:rsidRPr="00183B5F" w:rsidRDefault="00FB6710" w:rsidP="004062FE">
      <w:pPr>
        <w:spacing w:line="240" w:lineRule="auto"/>
        <w:rPr>
          <w:del w:id="9539" w:author="AbbVie_HU_04" w:date="2025-05-15T11:59:00Z"/>
          <w:szCs w:val="22"/>
        </w:rPr>
      </w:pPr>
    </w:p>
    <w:p w14:paraId="36DA6B45" w14:textId="618756FC" w:rsidR="00FB6710" w:rsidRPr="00183B5F" w:rsidRDefault="00FB6710" w:rsidP="004062FE">
      <w:pPr>
        <w:spacing w:line="240" w:lineRule="auto"/>
        <w:rPr>
          <w:del w:id="9540"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C5B5BE5" w14:textId="0C139AF9">
        <w:trPr>
          <w:jc w:val="center"/>
          <w:del w:id="9541"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74521778" w14:textId="14729D92" w:rsidR="00FB6710" w:rsidRPr="00183B5F" w:rsidRDefault="00943743" w:rsidP="004062FE">
            <w:pPr>
              <w:tabs>
                <w:tab w:val="left" w:pos="142"/>
              </w:tabs>
              <w:spacing w:line="240" w:lineRule="auto"/>
              <w:ind w:left="567" w:hanging="567"/>
              <w:rPr>
                <w:del w:id="9542" w:author="AbbVie_HU_04" w:date="2025-05-15T11:59:00Z"/>
                <w:b/>
                <w:szCs w:val="22"/>
              </w:rPr>
            </w:pPr>
            <w:del w:id="9543" w:author="AbbVie_HU_04" w:date="2025-05-15T11:59:00Z">
              <w:r w:rsidRPr="00183B5F">
                <w:rPr>
                  <w:b/>
                  <w:szCs w:val="22"/>
                </w:rPr>
                <w:delText>1.</w:delText>
              </w:r>
              <w:r w:rsidRPr="00183B5F">
                <w:rPr>
                  <w:b/>
                  <w:szCs w:val="22"/>
                </w:rPr>
                <w:tab/>
                <w:delText xml:space="preserve">A GYÓGYSZER </w:delText>
              </w:r>
              <w:r w:rsidR="00F038A9" w:rsidRPr="00183B5F">
                <w:rPr>
                  <w:b/>
                  <w:szCs w:val="22"/>
                </w:rPr>
                <w:delText>NEVE</w:delText>
              </w:r>
            </w:del>
          </w:p>
        </w:tc>
      </w:tr>
    </w:tbl>
    <w:p w14:paraId="27E11910" w14:textId="672CE705" w:rsidR="00FB6710" w:rsidRPr="00183B5F" w:rsidRDefault="00FB6710" w:rsidP="004062FE">
      <w:pPr>
        <w:spacing w:line="240" w:lineRule="auto"/>
        <w:rPr>
          <w:del w:id="9544" w:author="AbbVie_HU_04" w:date="2025-05-15T11:59:00Z"/>
          <w:szCs w:val="22"/>
        </w:rPr>
      </w:pPr>
    </w:p>
    <w:p w14:paraId="018B4F7C" w14:textId="7947C848" w:rsidR="00FB6710" w:rsidRPr="00183B5F" w:rsidRDefault="00943743" w:rsidP="004062FE">
      <w:pPr>
        <w:spacing w:line="240" w:lineRule="auto"/>
        <w:rPr>
          <w:del w:id="9545" w:author="AbbVie_HU_04" w:date="2025-05-15T11:59:00Z"/>
          <w:szCs w:val="22"/>
        </w:rPr>
      </w:pPr>
      <w:del w:id="9546" w:author="AbbVie_HU_04" w:date="2025-05-15T11:59:00Z">
        <w:r w:rsidRPr="00183B5F">
          <w:rPr>
            <w:szCs w:val="22"/>
          </w:rPr>
          <w:delText>Humira 40 mg oldatos injekció előretöltött injekciós tollban</w:delText>
        </w:r>
      </w:del>
    </w:p>
    <w:p w14:paraId="58750543" w14:textId="6954D576" w:rsidR="00FB6710" w:rsidRPr="00183B5F" w:rsidRDefault="00943743" w:rsidP="004062FE">
      <w:pPr>
        <w:pStyle w:val="EndnoteText"/>
        <w:tabs>
          <w:tab w:val="clear" w:pos="567"/>
          <w:tab w:val="left" w:pos="708"/>
        </w:tabs>
        <w:suppressAutoHyphens/>
        <w:rPr>
          <w:del w:id="9547" w:author="AbbVie_HU_04" w:date="2025-05-15T11:59:00Z"/>
          <w:sz w:val="22"/>
          <w:szCs w:val="22"/>
          <w:lang w:val="hu-HU"/>
        </w:rPr>
      </w:pPr>
      <w:del w:id="9548" w:author="AbbVie_HU_04" w:date="2025-05-15T11:59:00Z">
        <w:r w:rsidRPr="00183B5F">
          <w:rPr>
            <w:sz w:val="22"/>
            <w:szCs w:val="22"/>
            <w:lang w:val="hu-HU"/>
          </w:rPr>
          <w:delText>adalimumab</w:delText>
        </w:r>
      </w:del>
    </w:p>
    <w:p w14:paraId="1C57C48B" w14:textId="768E04C1" w:rsidR="00FB6710" w:rsidRPr="00183B5F" w:rsidRDefault="00FB6710" w:rsidP="004062FE">
      <w:pPr>
        <w:spacing w:line="240" w:lineRule="auto"/>
        <w:rPr>
          <w:del w:id="9549" w:author="AbbVie_HU_04" w:date="2025-05-15T11:59:00Z"/>
          <w:szCs w:val="22"/>
        </w:rPr>
      </w:pPr>
    </w:p>
    <w:p w14:paraId="6E1BC855" w14:textId="415947BD" w:rsidR="00FB6710" w:rsidRPr="00183B5F" w:rsidRDefault="00FB6710" w:rsidP="004062FE">
      <w:pPr>
        <w:spacing w:line="240" w:lineRule="auto"/>
        <w:rPr>
          <w:del w:id="9550"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728B3869" w14:textId="3FE4E700">
        <w:trPr>
          <w:jc w:val="center"/>
          <w:del w:id="9551"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3AE15BCA" w14:textId="536E0C91" w:rsidR="00FB6710" w:rsidRPr="00183B5F" w:rsidRDefault="00943743" w:rsidP="004062FE">
            <w:pPr>
              <w:tabs>
                <w:tab w:val="left" w:pos="142"/>
              </w:tabs>
              <w:spacing w:line="240" w:lineRule="auto"/>
              <w:ind w:left="567" w:hanging="567"/>
              <w:rPr>
                <w:del w:id="9552" w:author="AbbVie_HU_04" w:date="2025-05-15T11:59:00Z"/>
                <w:b/>
                <w:szCs w:val="22"/>
              </w:rPr>
            </w:pPr>
            <w:del w:id="9553" w:author="AbbVie_HU_04" w:date="2025-05-15T11:59:00Z">
              <w:r w:rsidRPr="00183B5F">
                <w:rPr>
                  <w:b/>
                  <w:szCs w:val="22"/>
                </w:rPr>
                <w:delText>2.</w:delText>
              </w:r>
              <w:r w:rsidRPr="00183B5F">
                <w:rPr>
                  <w:b/>
                  <w:szCs w:val="22"/>
                </w:rPr>
                <w:tab/>
                <w:delText>A HATÓANYAG(OK) MEGNEVEZÉSE</w:delText>
              </w:r>
            </w:del>
          </w:p>
        </w:tc>
      </w:tr>
    </w:tbl>
    <w:p w14:paraId="620000CA" w14:textId="4B7EBA0D" w:rsidR="00FB6710" w:rsidRPr="00183B5F" w:rsidRDefault="00FB6710" w:rsidP="004062FE">
      <w:pPr>
        <w:spacing w:line="240" w:lineRule="auto"/>
        <w:ind w:right="-2"/>
        <w:rPr>
          <w:del w:id="9554" w:author="AbbVie_HU_04" w:date="2025-05-15T11:59:00Z"/>
          <w:szCs w:val="22"/>
        </w:rPr>
      </w:pPr>
    </w:p>
    <w:p w14:paraId="352B2DE9" w14:textId="4FB6EE9A" w:rsidR="00FB6710" w:rsidRPr="00183B5F" w:rsidRDefault="00943743" w:rsidP="004062FE">
      <w:pPr>
        <w:spacing w:line="240" w:lineRule="auto"/>
        <w:ind w:right="-2"/>
        <w:rPr>
          <w:del w:id="9555" w:author="AbbVie_HU_04" w:date="2025-05-15T11:59:00Z"/>
          <w:strike/>
          <w:szCs w:val="22"/>
        </w:rPr>
      </w:pPr>
      <w:del w:id="9556" w:author="AbbVie_HU_04" w:date="2025-05-15T11:59:00Z">
        <w:r w:rsidRPr="00183B5F">
          <w:rPr>
            <w:szCs w:val="22"/>
          </w:rPr>
          <w:delText>40 mg adalimumab 0,8 ml-es előretöltött injekciós tollban</w:delText>
        </w:r>
        <w:r w:rsidR="00C036E3" w:rsidRPr="00183B5F">
          <w:rPr>
            <w:szCs w:val="22"/>
          </w:rPr>
          <w:delText>.</w:delText>
        </w:r>
      </w:del>
    </w:p>
    <w:p w14:paraId="548D0608" w14:textId="37EC5E17" w:rsidR="00FB6710" w:rsidRPr="00183B5F" w:rsidRDefault="00FB6710" w:rsidP="004062FE">
      <w:pPr>
        <w:spacing w:line="240" w:lineRule="auto"/>
        <w:ind w:right="-2"/>
        <w:rPr>
          <w:del w:id="9557" w:author="AbbVie_HU_04" w:date="2025-05-15T11:59:00Z"/>
          <w:szCs w:val="22"/>
        </w:rPr>
      </w:pPr>
    </w:p>
    <w:p w14:paraId="412D3833" w14:textId="01E27186" w:rsidR="00FB6710" w:rsidRPr="00183B5F" w:rsidRDefault="00FB6710" w:rsidP="004062FE">
      <w:pPr>
        <w:pStyle w:val="EndnoteText"/>
        <w:tabs>
          <w:tab w:val="clear" w:pos="567"/>
        </w:tabs>
        <w:suppressAutoHyphens/>
        <w:rPr>
          <w:del w:id="9558" w:author="AbbVie_HU_04" w:date="2025-05-15T11:59:00Z"/>
          <w:sz w:val="22"/>
          <w:szCs w:val="22"/>
          <w:lang w:val="hu-HU" w:eastAsia="hu-HU"/>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50DD9F8E" w14:textId="2257CBC2">
        <w:trPr>
          <w:jc w:val="center"/>
          <w:del w:id="9559"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7ED1C774" w14:textId="4BC3671E" w:rsidR="00FB6710" w:rsidRPr="00183B5F" w:rsidRDefault="00943743" w:rsidP="004062FE">
            <w:pPr>
              <w:tabs>
                <w:tab w:val="left" w:pos="142"/>
              </w:tabs>
              <w:spacing w:line="240" w:lineRule="auto"/>
              <w:ind w:left="567" w:hanging="567"/>
              <w:rPr>
                <w:del w:id="9560" w:author="AbbVie_HU_04" w:date="2025-05-15T11:59:00Z"/>
                <w:b/>
                <w:szCs w:val="22"/>
              </w:rPr>
            </w:pPr>
            <w:del w:id="9561" w:author="AbbVie_HU_04" w:date="2025-05-15T11:59:00Z">
              <w:r w:rsidRPr="00183B5F">
                <w:rPr>
                  <w:b/>
                  <w:szCs w:val="22"/>
                </w:rPr>
                <w:delText>3.</w:delText>
              </w:r>
              <w:r w:rsidRPr="00183B5F">
                <w:rPr>
                  <w:b/>
                  <w:szCs w:val="22"/>
                </w:rPr>
                <w:tab/>
                <w:delText>SEGÉDANYAGOK FELSOROLÁSA</w:delText>
              </w:r>
            </w:del>
          </w:p>
        </w:tc>
      </w:tr>
    </w:tbl>
    <w:p w14:paraId="613EF283" w14:textId="1D308D7F" w:rsidR="00FB6710" w:rsidRPr="00183B5F" w:rsidRDefault="00FB6710" w:rsidP="004062FE">
      <w:pPr>
        <w:spacing w:line="240" w:lineRule="auto"/>
        <w:rPr>
          <w:del w:id="9562" w:author="AbbVie_HU_04" w:date="2025-05-15T11:59:00Z"/>
          <w:szCs w:val="22"/>
        </w:rPr>
      </w:pPr>
    </w:p>
    <w:p w14:paraId="46EA62F5" w14:textId="247C3BFD" w:rsidR="00FB6710" w:rsidRPr="00183B5F" w:rsidRDefault="00943743" w:rsidP="004062FE">
      <w:pPr>
        <w:spacing w:line="240" w:lineRule="auto"/>
        <w:rPr>
          <w:del w:id="9563" w:author="AbbVie_HU_04" w:date="2025-05-15T11:59:00Z"/>
          <w:szCs w:val="22"/>
        </w:rPr>
      </w:pPr>
      <w:del w:id="9564" w:author="AbbVie_HU_04" w:date="2025-05-15T11:59:00Z">
        <w:r w:rsidRPr="00183B5F">
          <w:rPr>
            <w:szCs w:val="22"/>
          </w:rPr>
          <w:delText>Segédanyagok: mannit, citromsav-monohidrát, trinátrium-citrát, nátrium</w:delText>
        </w:r>
        <w:r w:rsidRPr="00183B5F">
          <w:rPr>
            <w:szCs w:val="22"/>
          </w:rPr>
          <w:noBreakHyphen/>
          <w:delText>dihidrogén</w:delText>
        </w:r>
        <w:r w:rsidRPr="00183B5F">
          <w:rPr>
            <w:szCs w:val="22"/>
          </w:rPr>
          <w:noBreakHyphen/>
          <w:delText>foszfát</w:delText>
        </w:r>
        <w:r w:rsidRPr="00183B5F">
          <w:rPr>
            <w:szCs w:val="22"/>
          </w:rPr>
          <w:noBreakHyphen/>
          <w:delText>dihidrát, dinátrium</w:delText>
        </w:r>
        <w:r w:rsidRPr="00183B5F">
          <w:rPr>
            <w:szCs w:val="22"/>
          </w:rPr>
          <w:noBreakHyphen/>
          <w:delText>hidrogén</w:delText>
        </w:r>
        <w:r w:rsidRPr="00183B5F">
          <w:rPr>
            <w:szCs w:val="22"/>
          </w:rPr>
          <w:noBreakHyphen/>
          <w:delText>foszfát</w:delText>
        </w:r>
        <w:r w:rsidRPr="00183B5F">
          <w:rPr>
            <w:szCs w:val="22"/>
          </w:rPr>
          <w:noBreakHyphen/>
          <w:delText>dihidrát, nátrium</w:delText>
        </w:r>
        <w:r w:rsidRPr="00183B5F">
          <w:rPr>
            <w:szCs w:val="22"/>
          </w:rPr>
          <w:noBreakHyphen/>
          <w:delText>klorid, poliszorbát 80, nátrium</w:delText>
        </w:r>
        <w:r w:rsidRPr="00183B5F">
          <w:rPr>
            <w:szCs w:val="22"/>
          </w:rPr>
          <w:noBreakHyphen/>
          <w:delText>hidroxid, injekcióhoz való víz. További információkért olvassa el a betegtájékoztatót.</w:delText>
        </w:r>
      </w:del>
    </w:p>
    <w:p w14:paraId="28E322E7" w14:textId="4D162B7B" w:rsidR="00FB6710" w:rsidRPr="00183B5F" w:rsidRDefault="00FB6710" w:rsidP="004062FE">
      <w:pPr>
        <w:spacing w:line="240" w:lineRule="auto"/>
        <w:rPr>
          <w:del w:id="9565" w:author="AbbVie_HU_04" w:date="2025-05-15T11:59:00Z"/>
          <w:szCs w:val="22"/>
        </w:rPr>
      </w:pPr>
    </w:p>
    <w:p w14:paraId="2CBEBFDA" w14:textId="668EEDF7" w:rsidR="00FB6710" w:rsidRPr="00183B5F" w:rsidRDefault="00FB6710" w:rsidP="004062FE">
      <w:pPr>
        <w:spacing w:line="240" w:lineRule="auto"/>
        <w:rPr>
          <w:del w:id="9566"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2E849C54" w14:textId="32ED62A8">
        <w:trPr>
          <w:jc w:val="center"/>
          <w:del w:id="9567"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2CD2D00F" w14:textId="4397D5AF" w:rsidR="00FB6710" w:rsidRPr="00183B5F" w:rsidRDefault="00943743" w:rsidP="004062FE">
            <w:pPr>
              <w:tabs>
                <w:tab w:val="left" w:pos="142"/>
              </w:tabs>
              <w:spacing w:line="240" w:lineRule="auto"/>
              <w:ind w:left="567" w:hanging="567"/>
              <w:rPr>
                <w:del w:id="9568" w:author="AbbVie_HU_04" w:date="2025-05-15T11:59:00Z"/>
                <w:b/>
                <w:szCs w:val="22"/>
              </w:rPr>
            </w:pPr>
            <w:del w:id="9569" w:author="AbbVie_HU_04" w:date="2025-05-15T11:59:00Z">
              <w:r w:rsidRPr="00183B5F">
                <w:rPr>
                  <w:b/>
                  <w:szCs w:val="22"/>
                </w:rPr>
                <w:delText>4.</w:delText>
              </w:r>
              <w:r w:rsidRPr="00183B5F">
                <w:rPr>
                  <w:b/>
                  <w:szCs w:val="22"/>
                </w:rPr>
                <w:tab/>
                <w:delText>GYÓGYSZERFORMA ÉS TARTALOM</w:delText>
              </w:r>
            </w:del>
          </w:p>
        </w:tc>
      </w:tr>
    </w:tbl>
    <w:p w14:paraId="306E03EE" w14:textId="57EE96D4" w:rsidR="00FB6710" w:rsidRPr="00183B5F" w:rsidRDefault="00FB6710" w:rsidP="004062FE">
      <w:pPr>
        <w:spacing w:line="240" w:lineRule="auto"/>
        <w:rPr>
          <w:del w:id="9570" w:author="AbbVie_HU_04" w:date="2025-05-15T11:59:00Z"/>
          <w:szCs w:val="22"/>
        </w:rPr>
      </w:pPr>
    </w:p>
    <w:p w14:paraId="07998AE5" w14:textId="357B119E" w:rsidR="00EB351A" w:rsidRPr="00183B5F" w:rsidRDefault="00943743" w:rsidP="004062FE">
      <w:pPr>
        <w:spacing w:line="240" w:lineRule="auto"/>
        <w:rPr>
          <w:del w:id="9571" w:author="AbbVie_HU_04" w:date="2025-05-15T11:59:00Z"/>
          <w:szCs w:val="22"/>
        </w:rPr>
      </w:pPr>
      <w:del w:id="9572" w:author="AbbVie_HU_04" w:date="2025-05-15T11:59:00Z">
        <w:r w:rsidRPr="00183B5F">
          <w:rPr>
            <w:szCs w:val="22"/>
            <w:highlight w:val="lightGray"/>
          </w:rPr>
          <w:delText>Oldatos injekció.</w:delText>
        </w:r>
      </w:del>
    </w:p>
    <w:p w14:paraId="287226F8" w14:textId="0320A988" w:rsidR="00FB6710" w:rsidRPr="00183B5F" w:rsidRDefault="00943743" w:rsidP="004062FE">
      <w:pPr>
        <w:spacing w:line="240" w:lineRule="auto"/>
        <w:rPr>
          <w:del w:id="9573" w:author="AbbVie_HU_04" w:date="2025-05-15T11:59:00Z"/>
          <w:szCs w:val="22"/>
        </w:rPr>
      </w:pPr>
      <w:del w:id="9574" w:author="AbbVie_HU_04" w:date="2025-05-15T11:59:00Z">
        <w:r w:rsidRPr="00183B5F">
          <w:rPr>
            <w:szCs w:val="22"/>
          </w:rPr>
          <w:delText>1</w:delText>
        </w:r>
        <w:r w:rsidR="00E77B8E" w:rsidRPr="00183B5F">
          <w:rPr>
            <w:szCs w:val="22"/>
          </w:rPr>
          <w:delText> </w:delText>
        </w:r>
        <w:r w:rsidRPr="00183B5F">
          <w:rPr>
            <w:szCs w:val="22"/>
          </w:rPr>
          <w:delText>db előretöltött injekciós toll</w:delText>
        </w:r>
      </w:del>
    </w:p>
    <w:p w14:paraId="3E4DBF47" w14:textId="5B5ACD35" w:rsidR="00FB6710" w:rsidRPr="00183B5F" w:rsidRDefault="00943743" w:rsidP="004062FE">
      <w:pPr>
        <w:spacing w:line="240" w:lineRule="auto"/>
        <w:rPr>
          <w:del w:id="9575" w:author="AbbVie_HU_04" w:date="2025-05-15T11:59:00Z"/>
          <w:szCs w:val="22"/>
        </w:rPr>
      </w:pPr>
      <w:del w:id="9576" w:author="AbbVie_HU_04" w:date="2025-05-15T11:59:00Z">
        <w:r w:rsidRPr="00183B5F">
          <w:rPr>
            <w:szCs w:val="22"/>
          </w:rPr>
          <w:delText>2 db alko</w:delText>
        </w:r>
        <w:r w:rsidR="0011050C" w:rsidRPr="00183B5F">
          <w:rPr>
            <w:szCs w:val="22"/>
          </w:rPr>
          <w:delText>ho</w:delText>
        </w:r>
        <w:r w:rsidRPr="00183B5F">
          <w:rPr>
            <w:szCs w:val="22"/>
          </w:rPr>
          <w:delText>los törlőkendő</w:delText>
        </w:r>
      </w:del>
    </w:p>
    <w:p w14:paraId="47AFCFB3" w14:textId="457F55B3" w:rsidR="00EB351A" w:rsidRPr="00183B5F" w:rsidRDefault="00EB351A" w:rsidP="004062FE">
      <w:pPr>
        <w:spacing w:line="240" w:lineRule="auto"/>
        <w:rPr>
          <w:del w:id="9577" w:author="AbbVie_HU_04" w:date="2025-05-15T11:59:00Z"/>
          <w:szCs w:val="22"/>
        </w:rPr>
      </w:pPr>
    </w:p>
    <w:p w14:paraId="3EBFD5C0" w14:textId="65B1EFB8" w:rsidR="00EB351A" w:rsidRPr="00183B5F" w:rsidRDefault="00943743" w:rsidP="004062FE">
      <w:pPr>
        <w:spacing w:line="240" w:lineRule="auto"/>
        <w:rPr>
          <w:del w:id="9578" w:author="AbbVie_HU_04" w:date="2025-05-15T11:59:00Z"/>
          <w:szCs w:val="24"/>
          <w:highlight w:val="lightGray"/>
          <w:lang w:eastAsia="en-US"/>
        </w:rPr>
      </w:pPr>
      <w:del w:id="9579" w:author="AbbVie_HU_04" w:date="2025-05-15T11:59:00Z">
        <w:r w:rsidRPr="00183B5F">
          <w:rPr>
            <w:szCs w:val="24"/>
            <w:highlight w:val="lightGray"/>
            <w:lang w:eastAsia="en-US"/>
          </w:rPr>
          <w:delText>2 db előretöltött injekciós toll</w:delText>
        </w:r>
      </w:del>
    </w:p>
    <w:p w14:paraId="60780AC7" w14:textId="005F0A3E" w:rsidR="00EB351A" w:rsidRPr="00183B5F" w:rsidRDefault="00943743" w:rsidP="004062FE">
      <w:pPr>
        <w:spacing w:line="240" w:lineRule="auto"/>
        <w:rPr>
          <w:del w:id="9580" w:author="AbbVie_HU_04" w:date="2025-05-15T11:59:00Z"/>
          <w:szCs w:val="24"/>
          <w:highlight w:val="lightGray"/>
          <w:lang w:eastAsia="en-US"/>
        </w:rPr>
      </w:pPr>
      <w:del w:id="9581" w:author="AbbVie_HU_04" w:date="2025-05-15T11:59:00Z">
        <w:r w:rsidRPr="00183B5F">
          <w:rPr>
            <w:szCs w:val="24"/>
            <w:highlight w:val="lightGray"/>
            <w:lang w:eastAsia="en-US"/>
          </w:rPr>
          <w:delText>2 db alkoholos törlőkendő</w:delText>
        </w:r>
      </w:del>
    </w:p>
    <w:p w14:paraId="784260F0" w14:textId="591892F6" w:rsidR="00EB351A" w:rsidRPr="00183B5F" w:rsidRDefault="00EB351A" w:rsidP="004062FE">
      <w:pPr>
        <w:spacing w:line="240" w:lineRule="auto"/>
        <w:rPr>
          <w:del w:id="9582" w:author="AbbVie_HU_04" w:date="2025-05-15T11:59:00Z"/>
          <w:szCs w:val="24"/>
          <w:highlight w:val="lightGray"/>
          <w:lang w:eastAsia="en-US"/>
        </w:rPr>
      </w:pPr>
    </w:p>
    <w:p w14:paraId="258DBF91" w14:textId="646E4248" w:rsidR="00EB351A" w:rsidRPr="00183B5F" w:rsidRDefault="00943743" w:rsidP="004062FE">
      <w:pPr>
        <w:spacing w:line="240" w:lineRule="auto"/>
        <w:rPr>
          <w:del w:id="9583" w:author="AbbVie_HU_04" w:date="2025-05-15T11:59:00Z"/>
          <w:szCs w:val="24"/>
          <w:highlight w:val="lightGray"/>
          <w:lang w:eastAsia="en-US"/>
        </w:rPr>
      </w:pPr>
      <w:del w:id="9584" w:author="AbbVie_HU_04" w:date="2025-05-15T11:59:00Z">
        <w:r w:rsidRPr="00183B5F">
          <w:rPr>
            <w:szCs w:val="24"/>
            <w:highlight w:val="lightGray"/>
            <w:lang w:eastAsia="en-US"/>
          </w:rPr>
          <w:delText>4 db előretöltött injekciós toll</w:delText>
        </w:r>
      </w:del>
    </w:p>
    <w:p w14:paraId="49FAD233" w14:textId="794BF77F" w:rsidR="00EB351A" w:rsidRPr="00183B5F" w:rsidRDefault="00943743" w:rsidP="004062FE">
      <w:pPr>
        <w:spacing w:line="240" w:lineRule="auto"/>
        <w:rPr>
          <w:del w:id="9585" w:author="AbbVie_HU_04" w:date="2025-05-15T11:59:00Z"/>
          <w:szCs w:val="24"/>
          <w:highlight w:val="lightGray"/>
          <w:lang w:eastAsia="en-US"/>
        </w:rPr>
      </w:pPr>
      <w:del w:id="9586" w:author="AbbVie_HU_04" w:date="2025-05-15T11:59:00Z">
        <w:r w:rsidRPr="00183B5F">
          <w:rPr>
            <w:szCs w:val="24"/>
            <w:highlight w:val="lightGray"/>
            <w:lang w:eastAsia="en-US"/>
          </w:rPr>
          <w:delText>4 db alkoholos törlőkendő</w:delText>
        </w:r>
      </w:del>
    </w:p>
    <w:p w14:paraId="365ED508" w14:textId="7262C24A" w:rsidR="00EB351A" w:rsidRPr="00183B5F" w:rsidRDefault="00EB351A" w:rsidP="004062FE">
      <w:pPr>
        <w:spacing w:line="240" w:lineRule="auto"/>
        <w:rPr>
          <w:del w:id="9587" w:author="AbbVie_HU_04" w:date="2025-05-15T11:59:00Z"/>
          <w:szCs w:val="24"/>
          <w:highlight w:val="lightGray"/>
          <w:lang w:eastAsia="en-US"/>
        </w:rPr>
      </w:pPr>
    </w:p>
    <w:p w14:paraId="6F1F59F6" w14:textId="78A93CA8" w:rsidR="00EB351A" w:rsidRPr="00183B5F" w:rsidRDefault="00943743" w:rsidP="004062FE">
      <w:pPr>
        <w:spacing w:line="240" w:lineRule="auto"/>
        <w:rPr>
          <w:del w:id="9588" w:author="AbbVie_HU_04" w:date="2025-05-15T11:59:00Z"/>
          <w:szCs w:val="24"/>
          <w:highlight w:val="lightGray"/>
          <w:lang w:eastAsia="en-US"/>
        </w:rPr>
      </w:pPr>
      <w:del w:id="9589" w:author="AbbVie_HU_04" w:date="2025-05-15T11:59:00Z">
        <w:r w:rsidRPr="00183B5F">
          <w:rPr>
            <w:szCs w:val="24"/>
            <w:highlight w:val="lightGray"/>
            <w:lang w:eastAsia="en-US"/>
          </w:rPr>
          <w:delText>6 db előretöltött injekciós toll</w:delText>
        </w:r>
      </w:del>
    </w:p>
    <w:p w14:paraId="20CB2C34" w14:textId="12B4BCA8" w:rsidR="00EB351A" w:rsidRPr="00183B5F" w:rsidRDefault="00943743" w:rsidP="004062FE">
      <w:pPr>
        <w:spacing w:line="240" w:lineRule="auto"/>
        <w:rPr>
          <w:del w:id="9590" w:author="AbbVie_HU_04" w:date="2025-05-15T11:59:00Z"/>
          <w:szCs w:val="22"/>
        </w:rPr>
      </w:pPr>
      <w:del w:id="9591" w:author="AbbVie_HU_04" w:date="2025-05-15T11:59:00Z">
        <w:r w:rsidRPr="00183B5F">
          <w:rPr>
            <w:szCs w:val="24"/>
            <w:highlight w:val="lightGray"/>
            <w:lang w:eastAsia="en-US"/>
          </w:rPr>
          <w:delText>6 db alkoholos törlőkendő</w:delText>
        </w:r>
      </w:del>
    </w:p>
    <w:p w14:paraId="2D6B87DB" w14:textId="3AB62F6E" w:rsidR="00FB6710" w:rsidRPr="00183B5F" w:rsidRDefault="00FB6710" w:rsidP="004062FE">
      <w:pPr>
        <w:pStyle w:val="EndnoteText"/>
        <w:tabs>
          <w:tab w:val="clear" w:pos="567"/>
        </w:tabs>
        <w:suppressAutoHyphens/>
        <w:rPr>
          <w:del w:id="9592" w:author="AbbVie_HU_04" w:date="2025-05-15T11:59:00Z"/>
          <w:sz w:val="22"/>
          <w:szCs w:val="22"/>
          <w:lang w:val="hu-HU" w:eastAsia="hu-HU"/>
        </w:rPr>
      </w:pPr>
    </w:p>
    <w:p w14:paraId="1147A28B" w14:textId="7A4663DA" w:rsidR="00FB6710" w:rsidRPr="00183B5F" w:rsidRDefault="00FB6710" w:rsidP="004062FE">
      <w:pPr>
        <w:spacing w:line="240" w:lineRule="auto"/>
        <w:rPr>
          <w:del w:id="9593"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460273EF" w14:textId="5EB7C24B">
        <w:trPr>
          <w:jc w:val="center"/>
          <w:del w:id="9594"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04337B00" w14:textId="1647E20D" w:rsidR="00FB6710" w:rsidRPr="00183B5F" w:rsidRDefault="00943743" w:rsidP="004062FE">
            <w:pPr>
              <w:tabs>
                <w:tab w:val="left" w:pos="142"/>
              </w:tabs>
              <w:spacing w:line="240" w:lineRule="auto"/>
              <w:ind w:left="567" w:hanging="567"/>
              <w:rPr>
                <w:del w:id="9595" w:author="AbbVie_HU_04" w:date="2025-05-15T11:59:00Z"/>
                <w:b/>
                <w:szCs w:val="22"/>
              </w:rPr>
            </w:pPr>
            <w:del w:id="9596" w:author="AbbVie_HU_04" w:date="2025-05-15T11:59:00Z">
              <w:r w:rsidRPr="00183B5F">
                <w:rPr>
                  <w:b/>
                  <w:szCs w:val="22"/>
                </w:rPr>
                <w:delText>5.</w:delText>
              </w:r>
              <w:r w:rsidRPr="00183B5F">
                <w:rPr>
                  <w:b/>
                  <w:szCs w:val="22"/>
                </w:rPr>
                <w:tab/>
                <w:delText>AZ ALKALMAZÁSSAL KAPCSOLATOS TUDNIVALÓK ÉS AZ ALKALMAZÁS MÓDJA (I)</w:delText>
              </w:r>
            </w:del>
          </w:p>
        </w:tc>
      </w:tr>
    </w:tbl>
    <w:p w14:paraId="672675DB" w14:textId="4AA5B294" w:rsidR="00FB6710" w:rsidRPr="00183B5F" w:rsidRDefault="00FB6710" w:rsidP="004062FE">
      <w:pPr>
        <w:pStyle w:val="EndnoteText"/>
        <w:tabs>
          <w:tab w:val="clear" w:pos="567"/>
        </w:tabs>
        <w:suppressAutoHyphens/>
        <w:rPr>
          <w:del w:id="9597" w:author="AbbVie_HU_04" w:date="2025-05-15T11:59:00Z"/>
          <w:sz w:val="22"/>
          <w:szCs w:val="22"/>
          <w:lang w:val="hu-HU" w:eastAsia="hu-HU"/>
        </w:rPr>
      </w:pPr>
    </w:p>
    <w:p w14:paraId="49845130" w14:textId="04244BAC" w:rsidR="00FB6710" w:rsidRPr="00183B5F" w:rsidRDefault="00943743" w:rsidP="004062FE">
      <w:pPr>
        <w:spacing w:line="240" w:lineRule="auto"/>
        <w:rPr>
          <w:del w:id="9598" w:author="AbbVie_HU_04" w:date="2025-05-15T11:59:00Z"/>
          <w:szCs w:val="22"/>
        </w:rPr>
      </w:pPr>
      <w:del w:id="9599" w:author="AbbVie_HU_04" w:date="2025-05-15T11:59:00Z">
        <w:r w:rsidRPr="00183B5F">
          <w:rPr>
            <w:szCs w:val="22"/>
          </w:rPr>
          <w:delText>Bőr alá történő beadásra</w:delText>
        </w:r>
        <w:r w:rsidR="00CE794D" w:rsidRPr="00183B5F">
          <w:rPr>
            <w:szCs w:val="22"/>
          </w:rPr>
          <w:delText>.</w:delText>
        </w:r>
      </w:del>
    </w:p>
    <w:p w14:paraId="742B773A" w14:textId="7F77A999" w:rsidR="00091AC2" w:rsidRPr="00183B5F" w:rsidRDefault="00091AC2" w:rsidP="004062FE">
      <w:pPr>
        <w:spacing w:line="240" w:lineRule="auto"/>
        <w:rPr>
          <w:del w:id="9600" w:author="AbbVie_HU_04" w:date="2025-05-15T11:59:00Z"/>
          <w:szCs w:val="22"/>
        </w:rPr>
      </w:pPr>
    </w:p>
    <w:p w14:paraId="4289CF47" w14:textId="32ACAEB6" w:rsidR="00FB6710" w:rsidRPr="00183B5F" w:rsidRDefault="00943743" w:rsidP="004062FE">
      <w:pPr>
        <w:spacing w:line="240" w:lineRule="auto"/>
        <w:rPr>
          <w:del w:id="9601" w:author="AbbVie_HU_04" w:date="2025-05-15T11:59:00Z"/>
          <w:szCs w:val="22"/>
        </w:rPr>
      </w:pPr>
      <w:del w:id="9602" w:author="AbbVie_HU_04" w:date="2025-05-15T11:59:00Z">
        <w:r w:rsidRPr="00183B5F">
          <w:rPr>
            <w:szCs w:val="22"/>
          </w:rPr>
          <w:delText>Használat előtt olvassa el a mellékelt betegtájékoztatót</w:delText>
        </w:r>
        <w:r w:rsidR="00091AC2" w:rsidRPr="00183B5F">
          <w:rPr>
            <w:szCs w:val="22"/>
          </w:rPr>
          <w:delText>.</w:delText>
        </w:r>
      </w:del>
    </w:p>
    <w:p w14:paraId="3BE19D27" w14:textId="25B73CC8" w:rsidR="00EB351A" w:rsidRPr="00183B5F" w:rsidRDefault="00EB351A" w:rsidP="004062FE">
      <w:pPr>
        <w:spacing w:line="240" w:lineRule="auto"/>
        <w:rPr>
          <w:del w:id="9603" w:author="AbbVie_HU_04" w:date="2025-05-15T11:59:00Z"/>
          <w:szCs w:val="22"/>
        </w:rPr>
      </w:pPr>
    </w:p>
    <w:p w14:paraId="5956AA26" w14:textId="7B9CEFF9" w:rsidR="00EB351A" w:rsidRPr="00183B5F" w:rsidRDefault="00943743" w:rsidP="004062FE">
      <w:pPr>
        <w:spacing w:line="240" w:lineRule="auto"/>
        <w:rPr>
          <w:del w:id="9604" w:author="AbbVie_HU_04" w:date="2025-05-15T11:59:00Z"/>
          <w:szCs w:val="22"/>
        </w:rPr>
      </w:pPr>
      <w:del w:id="9605" w:author="AbbVie_HU_04" w:date="2025-05-15T11:59:00Z">
        <w:r w:rsidRPr="00183B5F">
          <w:rPr>
            <w:szCs w:val="22"/>
          </w:rPr>
          <w:delText>Kizárólag egyszeri alkalmazásra.</w:delText>
        </w:r>
      </w:del>
    </w:p>
    <w:p w14:paraId="6CCA4A7F" w14:textId="4EAF0D42" w:rsidR="00FB6710" w:rsidRPr="00183B5F" w:rsidRDefault="00FB6710" w:rsidP="004062FE">
      <w:pPr>
        <w:spacing w:line="240" w:lineRule="auto"/>
        <w:rPr>
          <w:del w:id="9606" w:author="AbbVie_HU_04" w:date="2025-05-15T11:59:00Z"/>
          <w:szCs w:val="22"/>
        </w:rPr>
      </w:pPr>
    </w:p>
    <w:p w14:paraId="2798CA0C" w14:textId="2C9C6E46" w:rsidR="00FB6710" w:rsidRPr="00183B5F" w:rsidRDefault="00FB6710" w:rsidP="004062FE">
      <w:pPr>
        <w:pStyle w:val="EndnoteText"/>
        <w:tabs>
          <w:tab w:val="clear" w:pos="567"/>
        </w:tabs>
        <w:suppressAutoHyphens/>
        <w:rPr>
          <w:del w:id="9607" w:author="AbbVie_HU_04" w:date="2025-05-15T11:59:00Z"/>
          <w:sz w:val="22"/>
          <w:szCs w:val="22"/>
          <w:lang w:val="hu-HU" w:eastAsia="hu-HU"/>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33437F4F" w14:textId="34561E91">
        <w:trPr>
          <w:jc w:val="center"/>
          <w:del w:id="9608"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2B8BF505" w14:textId="7FF9FC6F" w:rsidR="00FB6710" w:rsidRPr="00183B5F" w:rsidRDefault="00943743" w:rsidP="004062FE">
            <w:pPr>
              <w:tabs>
                <w:tab w:val="left" w:pos="142"/>
              </w:tabs>
              <w:spacing w:line="240" w:lineRule="auto"/>
              <w:ind w:left="567" w:hanging="567"/>
              <w:rPr>
                <w:del w:id="9609" w:author="AbbVie_HU_04" w:date="2025-05-15T11:59:00Z"/>
                <w:b/>
                <w:szCs w:val="22"/>
              </w:rPr>
            </w:pPr>
            <w:del w:id="9610" w:author="AbbVie_HU_04" w:date="2025-05-15T11:59:00Z">
              <w:r w:rsidRPr="00183B5F">
                <w:rPr>
                  <w:b/>
                  <w:szCs w:val="22"/>
                </w:rPr>
                <w:delText>6.</w:delText>
              </w:r>
              <w:r w:rsidRPr="00183B5F">
                <w:rPr>
                  <w:b/>
                  <w:szCs w:val="22"/>
                </w:rPr>
                <w:tab/>
                <w:delText>KÜLÖN FIGYELMEZTETÉS, MELY SZERINT A GYÓGYSZERT GYERMEKEKTŐL ELZÁRVA KELL TARTANI</w:delText>
              </w:r>
            </w:del>
          </w:p>
        </w:tc>
      </w:tr>
    </w:tbl>
    <w:p w14:paraId="3F77BFE8" w14:textId="66DF7E69" w:rsidR="00FB6710" w:rsidRPr="00183B5F" w:rsidRDefault="00FB6710" w:rsidP="004062FE">
      <w:pPr>
        <w:spacing w:line="240" w:lineRule="auto"/>
        <w:rPr>
          <w:del w:id="9611" w:author="AbbVie_HU_04" w:date="2025-05-15T11:59:00Z"/>
          <w:szCs w:val="22"/>
        </w:rPr>
      </w:pPr>
    </w:p>
    <w:p w14:paraId="700A08AF" w14:textId="468E0AB9" w:rsidR="00FB6710" w:rsidRPr="00183B5F" w:rsidRDefault="00943743" w:rsidP="004062FE">
      <w:pPr>
        <w:spacing w:line="240" w:lineRule="auto"/>
        <w:rPr>
          <w:del w:id="9612" w:author="AbbVie_HU_04" w:date="2025-05-15T11:59:00Z"/>
          <w:szCs w:val="22"/>
        </w:rPr>
      </w:pPr>
      <w:del w:id="9613" w:author="AbbVie_HU_04" w:date="2025-05-15T11:59:00Z">
        <w:r w:rsidRPr="00183B5F">
          <w:rPr>
            <w:szCs w:val="22"/>
          </w:rPr>
          <w:delText>A gyógyszer gyermekektől elzárva tartandó</w:delText>
        </w:r>
        <w:r w:rsidR="00091AC2" w:rsidRPr="00183B5F">
          <w:rPr>
            <w:szCs w:val="22"/>
          </w:rPr>
          <w:delText>.</w:delText>
        </w:r>
      </w:del>
    </w:p>
    <w:p w14:paraId="4BFC26DF" w14:textId="523E2FA7" w:rsidR="00FB6710" w:rsidRPr="00183B5F" w:rsidRDefault="00FB6710" w:rsidP="004062FE">
      <w:pPr>
        <w:spacing w:line="240" w:lineRule="auto"/>
        <w:rPr>
          <w:del w:id="9614" w:author="AbbVie_HU_04" w:date="2025-05-15T11:59:00Z"/>
          <w:szCs w:val="22"/>
        </w:rPr>
      </w:pPr>
    </w:p>
    <w:p w14:paraId="236C183F" w14:textId="36B6E858" w:rsidR="00FB6710" w:rsidRPr="00183B5F" w:rsidRDefault="00FB6710" w:rsidP="004062FE">
      <w:pPr>
        <w:spacing w:line="240" w:lineRule="auto"/>
        <w:rPr>
          <w:del w:id="9615"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460E142A" w14:textId="6D4D0FD9">
        <w:trPr>
          <w:jc w:val="center"/>
          <w:del w:id="9616"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04EAFD8F" w14:textId="36B8DEEE" w:rsidR="00FB6710" w:rsidRPr="00183B5F" w:rsidRDefault="00943743" w:rsidP="004062FE">
            <w:pPr>
              <w:tabs>
                <w:tab w:val="left" w:pos="142"/>
              </w:tabs>
              <w:spacing w:line="240" w:lineRule="auto"/>
              <w:ind w:left="567" w:hanging="567"/>
              <w:rPr>
                <w:del w:id="9617" w:author="AbbVie_HU_04" w:date="2025-05-15T11:59:00Z"/>
                <w:b/>
                <w:szCs w:val="22"/>
              </w:rPr>
            </w:pPr>
            <w:del w:id="9618" w:author="AbbVie_HU_04" w:date="2025-05-15T11:59:00Z">
              <w:r w:rsidRPr="00183B5F">
                <w:rPr>
                  <w:b/>
                  <w:szCs w:val="22"/>
                </w:rPr>
                <w:delText>7.</w:delText>
              </w:r>
              <w:r w:rsidRPr="00183B5F">
                <w:rPr>
                  <w:b/>
                  <w:szCs w:val="22"/>
                </w:rPr>
                <w:tab/>
                <w:delText>TOVÁBBI FIGYELMEZTETÉS(EK), AMENNYIBEN SZÜKSÉGES</w:delText>
              </w:r>
            </w:del>
          </w:p>
        </w:tc>
      </w:tr>
    </w:tbl>
    <w:p w14:paraId="25287876" w14:textId="4065EB4C" w:rsidR="00FB6710" w:rsidRPr="00183B5F" w:rsidRDefault="00FB6710" w:rsidP="004062FE">
      <w:pPr>
        <w:spacing w:line="240" w:lineRule="auto"/>
        <w:rPr>
          <w:del w:id="9619" w:author="AbbVie_HU_04" w:date="2025-05-15T11:59:00Z"/>
          <w:szCs w:val="22"/>
        </w:rPr>
      </w:pPr>
    </w:p>
    <w:p w14:paraId="1CA1FB3F" w14:textId="21009901" w:rsidR="00FB6710" w:rsidRPr="00183B5F" w:rsidRDefault="00FB6710" w:rsidP="004062FE">
      <w:pPr>
        <w:spacing w:line="240" w:lineRule="auto"/>
        <w:rPr>
          <w:del w:id="9620"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11CA0AA9" w14:textId="347CB885">
        <w:trPr>
          <w:jc w:val="center"/>
          <w:del w:id="9621"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0D305218" w14:textId="5AF64332" w:rsidR="00FB6710" w:rsidRPr="00183B5F" w:rsidRDefault="00943743" w:rsidP="004062FE">
            <w:pPr>
              <w:tabs>
                <w:tab w:val="left" w:pos="142"/>
              </w:tabs>
              <w:spacing w:line="240" w:lineRule="auto"/>
              <w:ind w:left="567" w:hanging="567"/>
              <w:rPr>
                <w:del w:id="9622" w:author="AbbVie_HU_04" w:date="2025-05-15T11:59:00Z"/>
                <w:b/>
                <w:szCs w:val="22"/>
              </w:rPr>
            </w:pPr>
            <w:del w:id="9623" w:author="AbbVie_HU_04" w:date="2025-05-15T11:59:00Z">
              <w:r w:rsidRPr="00183B5F">
                <w:rPr>
                  <w:b/>
                  <w:szCs w:val="22"/>
                </w:rPr>
                <w:delText>8.</w:delText>
              </w:r>
              <w:r w:rsidRPr="00183B5F">
                <w:rPr>
                  <w:b/>
                  <w:szCs w:val="22"/>
                </w:rPr>
                <w:tab/>
                <w:delText>LEJÁRATI IDŐ</w:delText>
              </w:r>
            </w:del>
          </w:p>
        </w:tc>
      </w:tr>
    </w:tbl>
    <w:p w14:paraId="0F07A1C1" w14:textId="2FBF9A9D" w:rsidR="00FB6710" w:rsidRPr="00183B5F" w:rsidRDefault="00FB6710" w:rsidP="004062FE">
      <w:pPr>
        <w:spacing w:line="240" w:lineRule="auto"/>
        <w:rPr>
          <w:del w:id="9624" w:author="AbbVie_HU_04" w:date="2025-05-15T11:59:00Z"/>
          <w:szCs w:val="22"/>
        </w:rPr>
      </w:pPr>
    </w:p>
    <w:p w14:paraId="32D530F8" w14:textId="3204385F" w:rsidR="00FB6710" w:rsidRPr="00183B5F" w:rsidRDefault="00943743" w:rsidP="004062FE">
      <w:pPr>
        <w:spacing w:line="240" w:lineRule="auto"/>
        <w:rPr>
          <w:del w:id="9625" w:author="AbbVie_HU_04" w:date="2025-05-15T11:59:00Z"/>
          <w:szCs w:val="22"/>
        </w:rPr>
      </w:pPr>
      <w:del w:id="9626" w:author="AbbVie_HU_04" w:date="2025-05-15T11:59:00Z">
        <w:r w:rsidRPr="00183B5F">
          <w:rPr>
            <w:szCs w:val="22"/>
          </w:rPr>
          <w:delText>EXP</w:delText>
        </w:r>
      </w:del>
    </w:p>
    <w:p w14:paraId="37C47B5A" w14:textId="66F36D60" w:rsidR="00FB6710" w:rsidRPr="00183B5F" w:rsidRDefault="00FB6710" w:rsidP="004062FE">
      <w:pPr>
        <w:spacing w:line="240" w:lineRule="auto"/>
        <w:rPr>
          <w:del w:id="9627" w:author="AbbVie_HU_04" w:date="2025-05-15T11:59:00Z"/>
          <w:szCs w:val="22"/>
        </w:rPr>
      </w:pPr>
    </w:p>
    <w:p w14:paraId="07BCFCB2" w14:textId="23B7E60D" w:rsidR="00FB6710" w:rsidRPr="00183B5F" w:rsidRDefault="00FB6710" w:rsidP="004062FE">
      <w:pPr>
        <w:spacing w:line="240" w:lineRule="auto"/>
        <w:rPr>
          <w:del w:id="9628"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70163B57" w14:textId="308CAC61">
        <w:trPr>
          <w:jc w:val="center"/>
          <w:del w:id="9629"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7836F9B3" w14:textId="0872A0BA" w:rsidR="00FB6710" w:rsidRPr="00183B5F" w:rsidRDefault="00943743" w:rsidP="004062FE">
            <w:pPr>
              <w:keepNext/>
              <w:tabs>
                <w:tab w:val="left" w:pos="142"/>
              </w:tabs>
              <w:spacing w:line="240" w:lineRule="auto"/>
              <w:ind w:left="567" w:hanging="567"/>
              <w:rPr>
                <w:del w:id="9630" w:author="AbbVie_HU_04" w:date="2025-05-15T11:59:00Z"/>
                <w:b/>
                <w:szCs w:val="22"/>
              </w:rPr>
            </w:pPr>
            <w:del w:id="9631" w:author="AbbVie_HU_04" w:date="2025-05-15T11:59:00Z">
              <w:r w:rsidRPr="00183B5F">
                <w:rPr>
                  <w:b/>
                  <w:szCs w:val="22"/>
                </w:rPr>
                <w:delText>9.</w:delText>
              </w:r>
              <w:r w:rsidRPr="00183B5F">
                <w:rPr>
                  <w:b/>
                  <w:szCs w:val="22"/>
                </w:rPr>
                <w:tab/>
                <w:delText>KÜLÖNLEGES TÁROLÁSI ELŐÍRÁSOK</w:delText>
              </w:r>
            </w:del>
          </w:p>
        </w:tc>
      </w:tr>
    </w:tbl>
    <w:p w14:paraId="1FEF676D" w14:textId="1FBDD08B" w:rsidR="00E747FB" w:rsidRPr="00183B5F" w:rsidRDefault="00E747FB" w:rsidP="004062FE">
      <w:pPr>
        <w:keepNext/>
        <w:spacing w:line="240" w:lineRule="auto"/>
        <w:rPr>
          <w:del w:id="9632" w:author="AbbVie_HU_04" w:date="2025-05-15T11:59:00Z"/>
          <w:szCs w:val="22"/>
        </w:rPr>
      </w:pPr>
    </w:p>
    <w:p w14:paraId="3E5F8CF3" w14:textId="18D16FA8" w:rsidR="00FB6710" w:rsidRPr="00183B5F" w:rsidRDefault="00943743" w:rsidP="004062FE">
      <w:pPr>
        <w:keepNext/>
        <w:spacing w:line="240" w:lineRule="auto"/>
        <w:rPr>
          <w:del w:id="9633" w:author="AbbVie_HU_04" w:date="2025-05-15T11:59:00Z"/>
          <w:szCs w:val="22"/>
        </w:rPr>
      </w:pPr>
      <w:del w:id="9634" w:author="AbbVie_HU_04" w:date="2025-05-15T11:59:00Z">
        <w:r w:rsidRPr="00183B5F">
          <w:rPr>
            <w:szCs w:val="22"/>
          </w:rPr>
          <w:delText>Hűtőszekrényben tárolandó. Nem fagyasztható</w:delText>
        </w:r>
        <w:r w:rsidR="006B2BB7" w:rsidRPr="00183B5F">
          <w:rPr>
            <w:szCs w:val="22"/>
          </w:rPr>
          <w:delText>!</w:delText>
        </w:r>
      </w:del>
    </w:p>
    <w:p w14:paraId="72AF23A3" w14:textId="060F76AD" w:rsidR="00063530" w:rsidRPr="00183B5F" w:rsidRDefault="00943743" w:rsidP="004062FE">
      <w:pPr>
        <w:spacing w:line="240" w:lineRule="auto"/>
        <w:rPr>
          <w:del w:id="9635" w:author="AbbVie_HU_04" w:date="2025-05-15T11:59:00Z"/>
          <w:szCs w:val="22"/>
        </w:rPr>
      </w:pPr>
      <w:del w:id="9636" w:author="AbbVie_HU_04" w:date="2025-05-15T11:59:00Z">
        <w:r w:rsidRPr="00183B5F">
          <w:rPr>
            <w:szCs w:val="22"/>
          </w:rPr>
          <w:delText>További információkért olvassa el a betegtájékoztatót.</w:delText>
        </w:r>
      </w:del>
    </w:p>
    <w:p w14:paraId="43F70A7E" w14:textId="1A48733D" w:rsidR="00F32BBB" w:rsidRPr="00183B5F" w:rsidRDefault="00F32BBB" w:rsidP="004062FE">
      <w:pPr>
        <w:spacing w:line="240" w:lineRule="auto"/>
        <w:rPr>
          <w:del w:id="9637" w:author="AbbVie_HU_04" w:date="2025-05-15T11:59:00Z"/>
          <w:szCs w:val="22"/>
        </w:rPr>
      </w:pPr>
    </w:p>
    <w:p w14:paraId="775A5B5D" w14:textId="03892DB2" w:rsidR="00FB6710" w:rsidRPr="00183B5F" w:rsidRDefault="00943743" w:rsidP="004062FE">
      <w:pPr>
        <w:spacing w:line="240" w:lineRule="auto"/>
        <w:rPr>
          <w:del w:id="9638" w:author="AbbVie_HU_04" w:date="2025-05-15T11:59:00Z"/>
          <w:szCs w:val="22"/>
        </w:rPr>
      </w:pPr>
      <w:del w:id="9639" w:author="AbbVie_HU_04" w:date="2025-05-15T11:59:00Z">
        <w:r w:rsidRPr="00183B5F">
          <w:rPr>
            <w:szCs w:val="22"/>
          </w:rPr>
          <w:delText>A fénytől való védelem érdekében az előretöltött injekciós toll a</w:delText>
        </w:r>
        <w:r w:rsidR="009C6129" w:rsidRPr="00183B5F">
          <w:rPr>
            <w:szCs w:val="22"/>
          </w:rPr>
          <w:delText>z eredeti dobozban tárolandó</w:delText>
        </w:r>
        <w:r w:rsidR="00063530" w:rsidRPr="00183B5F">
          <w:rPr>
            <w:szCs w:val="22"/>
          </w:rPr>
          <w:delText>.</w:delText>
        </w:r>
      </w:del>
    </w:p>
    <w:p w14:paraId="606FE596" w14:textId="40AAB77E" w:rsidR="00FB6710" w:rsidRPr="00183B5F" w:rsidRDefault="00FB6710" w:rsidP="004062FE">
      <w:pPr>
        <w:spacing w:line="240" w:lineRule="auto"/>
        <w:rPr>
          <w:del w:id="9640" w:author="AbbVie_HU_04" w:date="2025-05-15T11:59:00Z"/>
          <w:szCs w:val="22"/>
        </w:rPr>
      </w:pPr>
    </w:p>
    <w:p w14:paraId="3FC78D6C" w14:textId="704E2E98" w:rsidR="00FB6710" w:rsidRPr="00183B5F" w:rsidRDefault="00FB6710" w:rsidP="004062FE">
      <w:pPr>
        <w:spacing w:line="240" w:lineRule="auto"/>
        <w:rPr>
          <w:del w:id="9641"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600BA9CD" w14:textId="20E34ED9">
        <w:trPr>
          <w:jc w:val="center"/>
          <w:del w:id="9642"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65895195" w14:textId="7A4414EA" w:rsidR="00FB6710" w:rsidRPr="00183B5F" w:rsidRDefault="00943743" w:rsidP="004062FE">
            <w:pPr>
              <w:tabs>
                <w:tab w:val="left" w:pos="142"/>
              </w:tabs>
              <w:spacing w:line="240" w:lineRule="auto"/>
              <w:ind w:left="567" w:hanging="567"/>
              <w:rPr>
                <w:del w:id="9643" w:author="AbbVie_HU_04" w:date="2025-05-15T11:59:00Z"/>
                <w:b/>
                <w:szCs w:val="22"/>
              </w:rPr>
            </w:pPr>
            <w:del w:id="9644" w:author="AbbVie_HU_04" w:date="2025-05-15T11:59:00Z">
              <w:r w:rsidRPr="00183B5F">
                <w:rPr>
                  <w:b/>
                  <w:szCs w:val="22"/>
                </w:rPr>
                <w:delText>10.</w:delText>
              </w:r>
              <w:r w:rsidRPr="00183B5F">
                <w:rPr>
                  <w:b/>
                  <w:szCs w:val="22"/>
                </w:rPr>
                <w:tab/>
                <w:delText>KÜLÖNLEGES ÓVINTÉZKEDÉSEK A FEL NEM HASZNÁLT GYÓGYSZEREK VAGY AZ ILYEN TERMÉKEKBŐL KELETKEZETT HULLADÉKANYAGOK ÁRTALMATLANNÁ TÉTELÉRE, HA ILYENEKRE SZÜKSÉG VAN</w:delText>
              </w:r>
            </w:del>
          </w:p>
        </w:tc>
      </w:tr>
    </w:tbl>
    <w:p w14:paraId="3A7E1429" w14:textId="4B548C5C" w:rsidR="00FB6710" w:rsidRPr="00183B5F" w:rsidRDefault="00FB6710" w:rsidP="004062FE">
      <w:pPr>
        <w:spacing w:line="240" w:lineRule="auto"/>
        <w:rPr>
          <w:del w:id="9645" w:author="AbbVie_HU_04" w:date="2025-05-15T11:59:00Z"/>
          <w:szCs w:val="22"/>
        </w:rPr>
      </w:pPr>
    </w:p>
    <w:p w14:paraId="11D837F2" w14:textId="059981BD" w:rsidR="00FB6710" w:rsidRPr="00183B5F" w:rsidRDefault="00FB6710" w:rsidP="004062FE">
      <w:pPr>
        <w:spacing w:line="240" w:lineRule="auto"/>
        <w:rPr>
          <w:del w:id="9646"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708E2E3A" w14:textId="52A866C0">
        <w:trPr>
          <w:jc w:val="center"/>
          <w:del w:id="9647"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2EE70A98" w14:textId="075E95E0" w:rsidR="00FB6710" w:rsidRPr="00183B5F" w:rsidRDefault="00943743" w:rsidP="004062FE">
            <w:pPr>
              <w:tabs>
                <w:tab w:val="left" w:pos="142"/>
              </w:tabs>
              <w:spacing w:line="240" w:lineRule="auto"/>
              <w:ind w:left="567" w:hanging="567"/>
              <w:rPr>
                <w:del w:id="9648" w:author="AbbVie_HU_04" w:date="2025-05-15T11:59:00Z"/>
                <w:b/>
                <w:szCs w:val="22"/>
              </w:rPr>
            </w:pPr>
            <w:del w:id="9649" w:author="AbbVie_HU_04" w:date="2025-05-15T11:59:00Z">
              <w:r w:rsidRPr="00183B5F">
                <w:rPr>
                  <w:b/>
                  <w:szCs w:val="22"/>
                </w:rPr>
                <w:delText>11.</w:delText>
              </w:r>
              <w:r w:rsidRPr="00183B5F">
                <w:rPr>
                  <w:b/>
                  <w:szCs w:val="22"/>
                </w:rPr>
                <w:tab/>
                <w:delText>A FORGALOMBA HOZATALI ENGEDÉLY JOGOSULTJÁNAK NEVE ÉS CÍME</w:delText>
              </w:r>
            </w:del>
          </w:p>
        </w:tc>
      </w:tr>
    </w:tbl>
    <w:p w14:paraId="19904C14" w14:textId="217AAC51" w:rsidR="00FB6710" w:rsidRPr="00183B5F" w:rsidRDefault="00FB6710" w:rsidP="004062FE">
      <w:pPr>
        <w:spacing w:line="240" w:lineRule="auto"/>
        <w:rPr>
          <w:del w:id="9650" w:author="AbbVie_HU_04" w:date="2025-05-15T11:59:00Z"/>
          <w:szCs w:val="22"/>
        </w:rPr>
      </w:pPr>
    </w:p>
    <w:p w14:paraId="4FC3490C" w14:textId="554B4B4A" w:rsidR="00CE3F71" w:rsidRPr="00183B5F" w:rsidRDefault="00943743" w:rsidP="00CE3F71">
      <w:pPr>
        <w:keepNext/>
        <w:suppressAutoHyphens w:val="0"/>
        <w:autoSpaceDE w:val="0"/>
        <w:autoSpaceDN w:val="0"/>
        <w:adjustRightInd w:val="0"/>
        <w:spacing w:line="240" w:lineRule="atLeast"/>
        <w:rPr>
          <w:del w:id="9651" w:author="AbbVie_HU_04" w:date="2025-05-15T11:59:00Z"/>
          <w:szCs w:val="22"/>
          <w:lang w:eastAsia="en-GB"/>
        </w:rPr>
      </w:pPr>
      <w:del w:id="9652" w:author="AbbVie_HU_04" w:date="2025-05-15T11:59:00Z">
        <w:r w:rsidRPr="00183B5F">
          <w:rPr>
            <w:szCs w:val="22"/>
            <w:lang w:eastAsia="en-GB"/>
          </w:rPr>
          <w:delText>AbbVie Deutschland GmbH &amp; Co. KG</w:delText>
        </w:r>
      </w:del>
    </w:p>
    <w:p w14:paraId="11D62A87" w14:textId="07057AB5" w:rsidR="00CE3F71" w:rsidRPr="00183B5F" w:rsidRDefault="00943743" w:rsidP="00CE3F71">
      <w:pPr>
        <w:keepNext/>
        <w:suppressAutoHyphens w:val="0"/>
        <w:autoSpaceDE w:val="0"/>
        <w:autoSpaceDN w:val="0"/>
        <w:adjustRightInd w:val="0"/>
        <w:spacing w:line="240" w:lineRule="atLeast"/>
        <w:rPr>
          <w:del w:id="9653" w:author="AbbVie_HU_04" w:date="2025-05-15T11:59:00Z"/>
          <w:szCs w:val="22"/>
          <w:lang w:eastAsia="en-GB"/>
        </w:rPr>
      </w:pPr>
      <w:del w:id="9654" w:author="AbbVie_HU_04" w:date="2025-05-15T11:59:00Z">
        <w:r w:rsidRPr="00183B5F">
          <w:rPr>
            <w:szCs w:val="22"/>
            <w:lang w:eastAsia="en-GB"/>
          </w:rPr>
          <w:delText>Knollstrasse</w:delText>
        </w:r>
      </w:del>
    </w:p>
    <w:p w14:paraId="602A365D" w14:textId="74EAE95D" w:rsidR="00CE3F71" w:rsidRPr="00183B5F" w:rsidRDefault="00943743" w:rsidP="00CE3F71">
      <w:pPr>
        <w:keepNext/>
        <w:suppressAutoHyphens w:val="0"/>
        <w:autoSpaceDE w:val="0"/>
        <w:autoSpaceDN w:val="0"/>
        <w:adjustRightInd w:val="0"/>
        <w:spacing w:line="240" w:lineRule="atLeast"/>
        <w:rPr>
          <w:del w:id="9655" w:author="AbbVie_HU_04" w:date="2025-05-15T11:59:00Z"/>
          <w:szCs w:val="22"/>
          <w:lang w:eastAsia="en-GB"/>
        </w:rPr>
      </w:pPr>
      <w:del w:id="9656" w:author="AbbVie_HU_04" w:date="2025-05-15T11:59:00Z">
        <w:r w:rsidRPr="00183B5F">
          <w:rPr>
            <w:szCs w:val="22"/>
            <w:lang w:eastAsia="en-GB"/>
          </w:rPr>
          <w:delText>67061 Ludwigshafen</w:delText>
        </w:r>
      </w:del>
    </w:p>
    <w:p w14:paraId="4E7465E6" w14:textId="02FD15E8" w:rsidR="00CE3F71" w:rsidRPr="00183B5F" w:rsidRDefault="00943743" w:rsidP="00CE3F71">
      <w:pPr>
        <w:keepNext/>
        <w:suppressAutoHyphens w:val="0"/>
        <w:autoSpaceDE w:val="0"/>
        <w:autoSpaceDN w:val="0"/>
        <w:adjustRightInd w:val="0"/>
        <w:spacing w:line="240" w:lineRule="atLeast"/>
        <w:rPr>
          <w:del w:id="9657" w:author="AbbVie_HU_04" w:date="2025-05-15T11:59:00Z"/>
          <w:szCs w:val="22"/>
          <w:lang w:eastAsia="en-GB"/>
        </w:rPr>
      </w:pPr>
      <w:del w:id="9658" w:author="AbbVie_HU_04" w:date="2025-05-15T11:59:00Z">
        <w:r w:rsidRPr="00183B5F">
          <w:rPr>
            <w:szCs w:val="22"/>
            <w:lang w:eastAsia="en-GB"/>
          </w:rPr>
          <w:delText xml:space="preserve">Németország </w:delText>
        </w:r>
      </w:del>
    </w:p>
    <w:p w14:paraId="627619C5" w14:textId="423E0B45" w:rsidR="00FB6710" w:rsidRPr="00183B5F" w:rsidRDefault="00FB6710" w:rsidP="004062FE">
      <w:pPr>
        <w:spacing w:line="240" w:lineRule="auto"/>
        <w:rPr>
          <w:del w:id="9659" w:author="AbbVie_HU_04" w:date="2025-05-15T11:59:00Z"/>
          <w:szCs w:val="22"/>
        </w:rPr>
      </w:pPr>
    </w:p>
    <w:p w14:paraId="67C78603" w14:textId="6143336D" w:rsidR="00FB6710" w:rsidRPr="00183B5F" w:rsidRDefault="00FB6710" w:rsidP="004062FE">
      <w:pPr>
        <w:pStyle w:val="EndnoteText"/>
        <w:tabs>
          <w:tab w:val="clear" w:pos="567"/>
        </w:tabs>
        <w:suppressAutoHyphens/>
        <w:rPr>
          <w:del w:id="9660" w:author="AbbVie_HU_04" w:date="2025-05-15T11:59:00Z"/>
          <w:sz w:val="22"/>
          <w:szCs w:val="22"/>
          <w:lang w:val="hu-HU" w:eastAsia="hu-HU"/>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2E9AEED6" w14:textId="6F962118">
        <w:trPr>
          <w:jc w:val="center"/>
          <w:del w:id="9661"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6C6D0D0F" w14:textId="566B5B30" w:rsidR="00FB6710" w:rsidRPr="00183B5F" w:rsidRDefault="00943743" w:rsidP="004062FE">
            <w:pPr>
              <w:tabs>
                <w:tab w:val="left" w:pos="142"/>
              </w:tabs>
              <w:spacing w:line="240" w:lineRule="auto"/>
              <w:ind w:left="567" w:hanging="567"/>
              <w:rPr>
                <w:del w:id="9662" w:author="AbbVie_HU_04" w:date="2025-05-15T11:59:00Z"/>
                <w:b/>
                <w:szCs w:val="22"/>
              </w:rPr>
            </w:pPr>
            <w:del w:id="9663" w:author="AbbVie_HU_04" w:date="2025-05-15T11:59:00Z">
              <w:r w:rsidRPr="00183B5F">
                <w:rPr>
                  <w:b/>
                  <w:szCs w:val="22"/>
                </w:rPr>
                <w:delText>12.</w:delText>
              </w:r>
              <w:r w:rsidRPr="00183B5F">
                <w:rPr>
                  <w:b/>
                  <w:szCs w:val="22"/>
                </w:rPr>
                <w:tab/>
                <w:delText>A FORGALOMBA HOZATALI ENGEDÉLY SZÁMA (I)</w:delText>
              </w:r>
            </w:del>
          </w:p>
        </w:tc>
      </w:tr>
    </w:tbl>
    <w:p w14:paraId="08C96149" w14:textId="6D807BB2" w:rsidR="00FB6710" w:rsidRPr="00183B5F" w:rsidRDefault="00FB6710" w:rsidP="004062FE">
      <w:pPr>
        <w:spacing w:line="240" w:lineRule="auto"/>
        <w:rPr>
          <w:del w:id="9664" w:author="AbbVie_HU_04" w:date="2025-05-15T11:59:00Z"/>
          <w:szCs w:val="22"/>
        </w:rPr>
      </w:pPr>
    </w:p>
    <w:p w14:paraId="30A5E352" w14:textId="714B9962" w:rsidR="00FB6710" w:rsidRPr="00183B5F" w:rsidRDefault="00943743" w:rsidP="004062FE">
      <w:pPr>
        <w:pStyle w:val="EndnoteText"/>
        <w:tabs>
          <w:tab w:val="clear" w:pos="567"/>
        </w:tabs>
        <w:suppressAutoHyphens/>
        <w:rPr>
          <w:del w:id="9665" w:author="AbbVie_HU_04" w:date="2025-05-15T11:59:00Z"/>
          <w:sz w:val="22"/>
          <w:lang w:val="hu-HU"/>
        </w:rPr>
      </w:pPr>
      <w:del w:id="9666" w:author="AbbVie_HU_04" w:date="2025-05-15T11:59:00Z">
        <w:r w:rsidRPr="00183B5F">
          <w:rPr>
            <w:sz w:val="22"/>
            <w:lang w:val="hu-HU"/>
          </w:rPr>
          <w:delText>EU/1/03/256/007</w:delText>
        </w:r>
      </w:del>
    </w:p>
    <w:p w14:paraId="670E844C" w14:textId="77CFCF42" w:rsidR="00EB351A" w:rsidRPr="00183B5F" w:rsidRDefault="00943743" w:rsidP="004062FE">
      <w:pPr>
        <w:spacing w:line="240" w:lineRule="auto"/>
        <w:ind w:left="540" w:hanging="540"/>
        <w:rPr>
          <w:del w:id="9667" w:author="AbbVie_HU_04" w:date="2025-05-15T11:59:00Z"/>
          <w:highlight w:val="lightGray"/>
        </w:rPr>
      </w:pPr>
      <w:del w:id="9668" w:author="AbbVie_HU_04" w:date="2025-05-15T11:59:00Z">
        <w:r w:rsidRPr="00183B5F">
          <w:rPr>
            <w:highlight w:val="lightGray"/>
          </w:rPr>
          <w:delText>EU/1/03/256/008</w:delText>
        </w:r>
      </w:del>
    </w:p>
    <w:p w14:paraId="32F64AB3" w14:textId="450B6A8C" w:rsidR="00EB351A" w:rsidRPr="00183B5F" w:rsidRDefault="00943743" w:rsidP="004062FE">
      <w:pPr>
        <w:spacing w:line="240" w:lineRule="auto"/>
        <w:ind w:left="540" w:hanging="540"/>
        <w:rPr>
          <w:del w:id="9669" w:author="AbbVie_HU_04" w:date="2025-05-15T11:59:00Z"/>
          <w:highlight w:val="lightGray"/>
        </w:rPr>
      </w:pPr>
      <w:del w:id="9670" w:author="AbbVie_HU_04" w:date="2025-05-15T11:59:00Z">
        <w:r w:rsidRPr="00183B5F">
          <w:rPr>
            <w:highlight w:val="lightGray"/>
          </w:rPr>
          <w:delText>EU/1/03/256/009</w:delText>
        </w:r>
      </w:del>
    </w:p>
    <w:p w14:paraId="2D9C8EDE" w14:textId="353321ED" w:rsidR="00EB351A" w:rsidRPr="00183B5F" w:rsidRDefault="00943743" w:rsidP="004062FE">
      <w:pPr>
        <w:spacing w:line="240" w:lineRule="auto"/>
        <w:ind w:left="540" w:hanging="540"/>
        <w:rPr>
          <w:del w:id="9671" w:author="AbbVie_HU_04" w:date="2025-05-15T11:59:00Z"/>
          <w:lang w:eastAsia="x-none"/>
        </w:rPr>
      </w:pPr>
      <w:del w:id="9672" w:author="AbbVie_HU_04" w:date="2025-05-15T11:59:00Z">
        <w:r w:rsidRPr="00183B5F">
          <w:rPr>
            <w:highlight w:val="lightGray"/>
          </w:rPr>
          <w:delText>EU/1/03/256/010</w:delText>
        </w:r>
      </w:del>
    </w:p>
    <w:p w14:paraId="6A21AC51" w14:textId="05A941C4" w:rsidR="00FB6710" w:rsidRPr="00183B5F" w:rsidRDefault="00FB6710" w:rsidP="004062FE">
      <w:pPr>
        <w:spacing w:line="240" w:lineRule="auto"/>
        <w:rPr>
          <w:del w:id="9673" w:author="AbbVie_HU_04" w:date="2025-05-15T11:59:00Z"/>
          <w:szCs w:val="22"/>
        </w:rPr>
      </w:pPr>
    </w:p>
    <w:p w14:paraId="28DC9F2E" w14:textId="494CA650" w:rsidR="00FB6710" w:rsidRPr="00183B5F" w:rsidRDefault="00FB6710" w:rsidP="004062FE">
      <w:pPr>
        <w:spacing w:line="240" w:lineRule="auto"/>
        <w:rPr>
          <w:del w:id="9674"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756043F0" w14:textId="32D594A1">
        <w:trPr>
          <w:jc w:val="center"/>
          <w:del w:id="9675"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32D375F0" w14:textId="061370A8" w:rsidR="00FB6710" w:rsidRPr="00183B5F" w:rsidRDefault="00943743" w:rsidP="004062FE">
            <w:pPr>
              <w:tabs>
                <w:tab w:val="left" w:pos="142"/>
              </w:tabs>
              <w:spacing w:line="240" w:lineRule="auto"/>
              <w:ind w:left="567" w:hanging="567"/>
              <w:rPr>
                <w:del w:id="9676" w:author="AbbVie_HU_04" w:date="2025-05-15T11:59:00Z"/>
                <w:b/>
                <w:szCs w:val="22"/>
              </w:rPr>
            </w:pPr>
            <w:del w:id="9677" w:author="AbbVie_HU_04" w:date="2025-05-15T11:59:00Z">
              <w:r w:rsidRPr="00183B5F">
                <w:rPr>
                  <w:b/>
                  <w:szCs w:val="22"/>
                </w:rPr>
                <w:delText>13.</w:delText>
              </w:r>
              <w:r w:rsidRPr="00183B5F">
                <w:rPr>
                  <w:b/>
                  <w:szCs w:val="22"/>
                </w:rPr>
                <w:tab/>
                <w:delText>A GYÁRTÁSI TÉTEL SZÁMA</w:delText>
              </w:r>
            </w:del>
          </w:p>
        </w:tc>
      </w:tr>
    </w:tbl>
    <w:p w14:paraId="091B4088" w14:textId="46B3B5C9" w:rsidR="00FB6710" w:rsidRPr="00183B5F" w:rsidRDefault="00FB6710" w:rsidP="004062FE">
      <w:pPr>
        <w:spacing w:line="240" w:lineRule="auto"/>
        <w:rPr>
          <w:del w:id="9678" w:author="AbbVie_HU_04" w:date="2025-05-15T11:59:00Z"/>
          <w:szCs w:val="22"/>
        </w:rPr>
      </w:pPr>
    </w:p>
    <w:p w14:paraId="75875C12" w14:textId="15C9D94B" w:rsidR="006B2BB7" w:rsidRPr="00183B5F" w:rsidRDefault="00943743" w:rsidP="004062FE">
      <w:pPr>
        <w:spacing w:line="240" w:lineRule="auto"/>
        <w:rPr>
          <w:del w:id="9679" w:author="AbbVie_HU_04" w:date="2025-05-15T11:59:00Z"/>
          <w:szCs w:val="22"/>
        </w:rPr>
      </w:pPr>
      <w:del w:id="9680" w:author="AbbVie_HU_04" w:date="2025-05-15T11:59:00Z">
        <w:r w:rsidRPr="00183B5F">
          <w:rPr>
            <w:szCs w:val="22"/>
          </w:rPr>
          <w:delText>Lot</w:delText>
        </w:r>
      </w:del>
    </w:p>
    <w:p w14:paraId="64E4275B" w14:textId="7BA1DC32" w:rsidR="00FB6710" w:rsidRPr="00183B5F" w:rsidRDefault="00FB6710" w:rsidP="004062FE">
      <w:pPr>
        <w:spacing w:line="240" w:lineRule="auto"/>
        <w:rPr>
          <w:del w:id="9681" w:author="AbbVie_HU_04" w:date="2025-05-15T11:59:00Z"/>
          <w:szCs w:val="22"/>
        </w:rPr>
      </w:pPr>
    </w:p>
    <w:p w14:paraId="1FC6C1FA" w14:textId="0B897516" w:rsidR="00FB6710" w:rsidRPr="00183B5F" w:rsidRDefault="00FB6710" w:rsidP="004062FE">
      <w:pPr>
        <w:spacing w:line="240" w:lineRule="auto"/>
        <w:rPr>
          <w:del w:id="9682"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1D15206A" w14:textId="5A80E59C">
        <w:trPr>
          <w:jc w:val="center"/>
          <w:del w:id="9683"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270C4739" w14:textId="329D6037" w:rsidR="00FB6710" w:rsidRPr="00183B5F" w:rsidRDefault="00943743" w:rsidP="004062FE">
            <w:pPr>
              <w:tabs>
                <w:tab w:val="left" w:pos="142"/>
              </w:tabs>
              <w:spacing w:line="240" w:lineRule="auto"/>
              <w:ind w:left="567" w:hanging="567"/>
              <w:rPr>
                <w:del w:id="9684" w:author="AbbVie_HU_04" w:date="2025-05-15T11:59:00Z"/>
                <w:b/>
                <w:szCs w:val="22"/>
              </w:rPr>
            </w:pPr>
            <w:del w:id="9685" w:author="AbbVie_HU_04" w:date="2025-05-15T11:59:00Z">
              <w:r w:rsidRPr="00183B5F">
                <w:rPr>
                  <w:b/>
                  <w:szCs w:val="22"/>
                </w:rPr>
                <w:delText>14.</w:delText>
              </w:r>
              <w:r w:rsidRPr="00183B5F">
                <w:rPr>
                  <w:b/>
                  <w:szCs w:val="22"/>
                </w:rPr>
                <w:tab/>
              </w:r>
              <w:r w:rsidR="003507D7" w:rsidRPr="00183B5F">
                <w:rPr>
                  <w:b/>
                  <w:szCs w:val="22"/>
                </w:rPr>
                <w:delText>A GYÓGYSZER RENDELHETŐSÉGE</w:delText>
              </w:r>
            </w:del>
          </w:p>
        </w:tc>
      </w:tr>
    </w:tbl>
    <w:p w14:paraId="4E8939A8" w14:textId="1DF58464" w:rsidR="00FB6710" w:rsidRPr="00183B5F" w:rsidRDefault="00FB6710" w:rsidP="004062FE">
      <w:pPr>
        <w:spacing w:line="240" w:lineRule="auto"/>
        <w:rPr>
          <w:del w:id="9686" w:author="AbbVie_HU_04" w:date="2025-05-15T11:59:00Z"/>
          <w:szCs w:val="22"/>
        </w:rPr>
      </w:pPr>
    </w:p>
    <w:p w14:paraId="0175AFE3" w14:textId="6EE4A753" w:rsidR="00FB6710" w:rsidRPr="00183B5F" w:rsidRDefault="00FB6710" w:rsidP="004062FE">
      <w:pPr>
        <w:spacing w:line="240" w:lineRule="auto"/>
        <w:rPr>
          <w:del w:id="9687"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1578376" w14:textId="666CF806">
        <w:trPr>
          <w:jc w:val="center"/>
          <w:del w:id="9688"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1AE94061" w14:textId="2FE7B08E" w:rsidR="00FB6710" w:rsidRPr="00183B5F" w:rsidRDefault="00943743" w:rsidP="004062FE">
            <w:pPr>
              <w:tabs>
                <w:tab w:val="left" w:pos="142"/>
              </w:tabs>
              <w:spacing w:line="240" w:lineRule="auto"/>
              <w:ind w:left="567" w:hanging="567"/>
              <w:rPr>
                <w:del w:id="9689" w:author="AbbVie_HU_04" w:date="2025-05-15T11:59:00Z"/>
                <w:b/>
                <w:szCs w:val="22"/>
              </w:rPr>
            </w:pPr>
            <w:del w:id="9690" w:author="AbbVie_HU_04" w:date="2025-05-15T11:59:00Z">
              <w:r w:rsidRPr="00183B5F">
                <w:rPr>
                  <w:b/>
                  <w:szCs w:val="22"/>
                </w:rPr>
                <w:delText>15.</w:delText>
              </w:r>
              <w:r w:rsidRPr="00183B5F">
                <w:rPr>
                  <w:b/>
                  <w:szCs w:val="22"/>
                </w:rPr>
                <w:tab/>
                <w:delText>AZ ALKALMAZÁSRA VONATKOZÓ UTASÍTÁSOK</w:delText>
              </w:r>
            </w:del>
          </w:p>
        </w:tc>
      </w:tr>
    </w:tbl>
    <w:p w14:paraId="155B0A04" w14:textId="7D73E01C" w:rsidR="00FB6710" w:rsidRPr="00183B5F" w:rsidRDefault="00FB6710" w:rsidP="004062FE">
      <w:pPr>
        <w:spacing w:line="240" w:lineRule="auto"/>
        <w:rPr>
          <w:del w:id="9691" w:author="AbbVie_HU_04" w:date="2025-05-15T11:59:00Z"/>
          <w:szCs w:val="22"/>
        </w:rPr>
      </w:pPr>
    </w:p>
    <w:p w14:paraId="609C09DD" w14:textId="61697B85" w:rsidR="00FB6710" w:rsidRPr="00183B5F" w:rsidRDefault="00FB6710" w:rsidP="004062FE">
      <w:pPr>
        <w:spacing w:line="240" w:lineRule="auto"/>
        <w:rPr>
          <w:del w:id="9692"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16D5CB96" w14:textId="4B595D6A">
        <w:trPr>
          <w:jc w:val="center"/>
          <w:del w:id="9693"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5D335F24" w14:textId="768AF156" w:rsidR="00FB6710" w:rsidRPr="00183B5F" w:rsidRDefault="00943743" w:rsidP="004062FE">
            <w:pPr>
              <w:tabs>
                <w:tab w:val="left" w:pos="142"/>
              </w:tabs>
              <w:spacing w:line="240" w:lineRule="auto"/>
              <w:ind w:left="567" w:hanging="567"/>
              <w:rPr>
                <w:del w:id="9694" w:author="AbbVie_HU_04" w:date="2025-05-15T11:59:00Z"/>
                <w:b/>
                <w:szCs w:val="22"/>
              </w:rPr>
            </w:pPr>
            <w:del w:id="9695" w:author="AbbVie_HU_04" w:date="2025-05-15T11:59:00Z">
              <w:r w:rsidRPr="00183B5F">
                <w:rPr>
                  <w:b/>
                  <w:szCs w:val="22"/>
                </w:rPr>
                <w:delText>16.</w:delText>
              </w:r>
              <w:r w:rsidRPr="00183B5F">
                <w:rPr>
                  <w:b/>
                  <w:szCs w:val="22"/>
                </w:rPr>
                <w:tab/>
                <w:delText>BRAILLE ÍRÁSSAL FELTÜNTETETT INFORMÁCIÓK</w:delText>
              </w:r>
            </w:del>
          </w:p>
        </w:tc>
      </w:tr>
    </w:tbl>
    <w:p w14:paraId="22EFF55D" w14:textId="3E617803" w:rsidR="00FB6710" w:rsidRPr="00183B5F" w:rsidRDefault="00FB6710" w:rsidP="004062FE">
      <w:pPr>
        <w:spacing w:line="240" w:lineRule="auto"/>
        <w:rPr>
          <w:del w:id="9696" w:author="AbbVie_HU_04" w:date="2025-05-15T11:59:00Z"/>
          <w:szCs w:val="22"/>
        </w:rPr>
      </w:pPr>
    </w:p>
    <w:p w14:paraId="6AA4A947" w14:textId="5D4A5437" w:rsidR="00FB6710" w:rsidRPr="00183B5F" w:rsidRDefault="00943743" w:rsidP="004062FE">
      <w:pPr>
        <w:spacing w:line="240" w:lineRule="auto"/>
        <w:rPr>
          <w:del w:id="9697" w:author="AbbVie_HU_04" w:date="2025-05-15T11:59:00Z"/>
          <w:szCs w:val="22"/>
        </w:rPr>
      </w:pPr>
      <w:del w:id="9698" w:author="AbbVie_HU_04" w:date="2025-05-15T11:59:00Z">
        <w:r w:rsidRPr="00183B5F">
          <w:rPr>
            <w:szCs w:val="22"/>
          </w:rPr>
          <w:delText>Humira 40 mg</w:delText>
        </w:r>
      </w:del>
    </w:p>
    <w:p w14:paraId="49FF0759" w14:textId="078D9A40" w:rsidR="00FB6710" w:rsidRPr="00183B5F" w:rsidRDefault="00FB6710" w:rsidP="004062FE">
      <w:pPr>
        <w:spacing w:line="240" w:lineRule="auto"/>
        <w:rPr>
          <w:del w:id="9699" w:author="AbbVie_HU_04" w:date="2025-05-15T11:59:00Z"/>
          <w:szCs w:val="22"/>
        </w:rPr>
      </w:pPr>
    </w:p>
    <w:p w14:paraId="57C9B327" w14:textId="5E633BAD" w:rsidR="000B2A7F" w:rsidRPr="00183B5F" w:rsidRDefault="000B2A7F">
      <w:pPr>
        <w:spacing w:line="240" w:lineRule="auto"/>
        <w:rPr>
          <w:del w:id="9700" w:author="AbbVie_HU_04" w:date="2025-05-15T11:59:00Z"/>
          <w:noProof/>
          <w:shd w:val="clear" w:color="auto" w:fill="CCCCCC"/>
        </w:rPr>
      </w:pPr>
    </w:p>
    <w:p w14:paraId="6FEAC67E" w14:textId="1E80C272" w:rsidR="000B2A7F" w:rsidRPr="00183B5F" w:rsidRDefault="00943743">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del w:id="9701" w:author="AbbVie_HU_04" w:date="2025-05-15T11:59:00Z"/>
          <w:i/>
          <w:noProof/>
        </w:rPr>
      </w:pPr>
      <w:del w:id="9702" w:author="AbbVie_HU_04" w:date="2025-05-15T11:59:00Z">
        <w:r w:rsidRPr="00183B5F">
          <w:rPr>
            <w:b/>
            <w:noProof/>
          </w:rPr>
          <w:delText>17.</w:delText>
        </w:r>
        <w:r w:rsidRPr="00183B5F">
          <w:rPr>
            <w:b/>
            <w:noProof/>
          </w:rPr>
          <w:tab/>
        </w:r>
        <w:r w:rsidRPr="00183B5F">
          <w:rPr>
            <w:b/>
            <w:noProof/>
          </w:rPr>
          <w:delText>EGYEDI AZONOSÍTÓ – 2D VONALKÓD</w:delText>
        </w:r>
      </w:del>
    </w:p>
    <w:p w14:paraId="1CCDBC1F" w14:textId="4CB05865" w:rsidR="000B2A7F" w:rsidRPr="00183B5F" w:rsidRDefault="000B2A7F">
      <w:pPr>
        <w:spacing w:line="240" w:lineRule="auto"/>
        <w:rPr>
          <w:del w:id="9703" w:author="AbbVie_HU_04" w:date="2025-05-15T11:59:00Z"/>
          <w:noProof/>
        </w:rPr>
      </w:pPr>
    </w:p>
    <w:p w14:paraId="1BB6BDEA" w14:textId="2AA81C83" w:rsidR="000B2A7F" w:rsidRPr="00183B5F" w:rsidRDefault="00943743">
      <w:pPr>
        <w:spacing w:line="240" w:lineRule="auto"/>
        <w:rPr>
          <w:del w:id="9704" w:author="AbbVie_HU_04" w:date="2025-05-15T11:59:00Z"/>
          <w:noProof/>
          <w:shd w:val="clear" w:color="auto" w:fill="CCCCCC"/>
        </w:rPr>
      </w:pPr>
      <w:del w:id="9705" w:author="AbbVie_HU_04" w:date="2025-05-15T11:59:00Z">
        <w:r w:rsidRPr="00183B5F">
          <w:rPr>
            <w:noProof/>
            <w:highlight w:val="lightGray"/>
          </w:rPr>
          <w:delText>Egyedi azonosítójú 2D vonalkóddal ellátva.</w:delText>
        </w:r>
      </w:del>
    </w:p>
    <w:p w14:paraId="4CA08CE1" w14:textId="0E5A9440" w:rsidR="000B2A7F" w:rsidRPr="00183B5F" w:rsidRDefault="000B2A7F">
      <w:pPr>
        <w:spacing w:line="240" w:lineRule="auto"/>
        <w:rPr>
          <w:del w:id="9706" w:author="AbbVie_HU_04" w:date="2025-05-15T11:59:00Z"/>
          <w:noProof/>
          <w:shd w:val="clear" w:color="auto" w:fill="CCCCCC"/>
        </w:rPr>
      </w:pPr>
    </w:p>
    <w:p w14:paraId="46496988" w14:textId="43F619BE" w:rsidR="000B2A7F" w:rsidRPr="00183B5F" w:rsidRDefault="000B2A7F">
      <w:pPr>
        <w:spacing w:line="240" w:lineRule="auto"/>
        <w:rPr>
          <w:del w:id="9707" w:author="AbbVie_HU_04" w:date="2025-05-15T11:59:00Z"/>
          <w:noProof/>
          <w:shd w:val="clear" w:color="auto" w:fill="CCCCCC"/>
        </w:rPr>
      </w:pPr>
    </w:p>
    <w:p w14:paraId="09625F6D" w14:textId="259CE30B" w:rsidR="000B2A7F" w:rsidRPr="00183B5F" w:rsidRDefault="00943743">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del w:id="9708" w:author="AbbVie_HU_04" w:date="2025-05-15T11:59:00Z"/>
          <w:i/>
          <w:noProof/>
        </w:rPr>
      </w:pPr>
      <w:del w:id="9709" w:author="AbbVie_HU_04" w:date="2025-05-15T11:59:00Z">
        <w:r w:rsidRPr="00183B5F">
          <w:rPr>
            <w:b/>
            <w:noProof/>
          </w:rPr>
          <w:delText>18.</w:delText>
        </w:r>
        <w:r w:rsidRPr="00183B5F">
          <w:rPr>
            <w:b/>
            <w:noProof/>
          </w:rPr>
          <w:tab/>
          <w:delText>EGYEDI AZONOSÍTÓ OLVASHATÓ FORMÁTUMA</w:delText>
        </w:r>
      </w:del>
    </w:p>
    <w:p w14:paraId="1DF383FC" w14:textId="0EBED5CC" w:rsidR="000B2A7F" w:rsidRPr="00183B5F" w:rsidRDefault="000B2A7F">
      <w:pPr>
        <w:spacing w:line="240" w:lineRule="auto"/>
        <w:rPr>
          <w:del w:id="9710" w:author="AbbVie_HU_04" w:date="2025-05-15T11:59:00Z"/>
          <w:noProof/>
        </w:rPr>
      </w:pPr>
    </w:p>
    <w:p w14:paraId="221B148B" w14:textId="465DEF1D" w:rsidR="000B2A7F" w:rsidRPr="00183B5F" w:rsidRDefault="00943743" w:rsidP="004062FE">
      <w:pPr>
        <w:keepNext/>
        <w:spacing w:line="240" w:lineRule="auto"/>
        <w:rPr>
          <w:del w:id="9711" w:author="AbbVie_HU_04" w:date="2025-05-15T11:59:00Z"/>
          <w:color w:val="008000"/>
        </w:rPr>
      </w:pPr>
      <w:del w:id="9712" w:author="AbbVie_HU_04" w:date="2025-05-15T11:59:00Z">
        <w:r w:rsidRPr="00183B5F">
          <w:delText>PC</w:delText>
        </w:r>
      </w:del>
    </w:p>
    <w:p w14:paraId="03EFE29B" w14:textId="6A38EBAE" w:rsidR="000B2A7F" w:rsidRPr="00183B5F" w:rsidRDefault="00943743" w:rsidP="004062FE">
      <w:pPr>
        <w:spacing w:line="240" w:lineRule="auto"/>
        <w:rPr>
          <w:del w:id="9713" w:author="AbbVie_HU_04" w:date="2025-05-15T11:59:00Z"/>
        </w:rPr>
      </w:pPr>
      <w:del w:id="9714" w:author="AbbVie_HU_04" w:date="2025-05-15T11:59:00Z">
        <w:r w:rsidRPr="00183B5F">
          <w:delText>SN</w:delText>
        </w:r>
      </w:del>
    </w:p>
    <w:p w14:paraId="24D4FA13" w14:textId="0375FF08" w:rsidR="000B2A7F" w:rsidRPr="00183B5F" w:rsidRDefault="00943743" w:rsidP="004062FE">
      <w:pPr>
        <w:spacing w:line="240" w:lineRule="auto"/>
        <w:rPr>
          <w:del w:id="9715" w:author="AbbVie_HU_04" w:date="2025-05-15T11:59:00Z"/>
        </w:rPr>
      </w:pPr>
      <w:del w:id="9716" w:author="AbbVie_HU_04" w:date="2025-05-15T11:59:00Z">
        <w:r w:rsidRPr="00183B5F">
          <w:rPr>
            <w:highlight w:val="lightGray"/>
          </w:rPr>
          <w:delText>NN</w:delText>
        </w:r>
      </w:del>
    </w:p>
    <w:p w14:paraId="198A735C" w14:textId="60C593DF" w:rsidR="000B2A7F" w:rsidRPr="00183B5F" w:rsidRDefault="000B2A7F" w:rsidP="004062FE">
      <w:pPr>
        <w:spacing w:line="240" w:lineRule="auto"/>
        <w:rPr>
          <w:del w:id="9717" w:author="AbbVie_HU_04" w:date="2025-05-15T11:59:00Z"/>
        </w:rPr>
      </w:pPr>
    </w:p>
    <w:p w14:paraId="6F785CB2" w14:textId="5FFAAD83" w:rsidR="00FB6710" w:rsidRPr="00183B5F" w:rsidRDefault="00943743" w:rsidP="004062FE">
      <w:pPr>
        <w:spacing w:line="240" w:lineRule="auto"/>
        <w:rPr>
          <w:del w:id="9718" w:author="AbbVie_HU_04" w:date="2025-05-15T11:59:00Z"/>
          <w:b/>
          <w:szCs w:val="22"/>
        </w:rPr>
      </w:pPr>
      <w:del w:id="9719" w:author="AbbVie_HU_04" w:date="2025-05-15T11:59:00Z">
        <w:r w:rsidRPr="00183B5F">
          <w:rPr>
            <w:b/>
            <w:szCs w:val="22"/>
          </w:rPr>
          <w:br w:type="page"/>
        </w:r>
      </w:del>
    </w:p>
    <w:p w14:paraId="7789156B" w14:textId="620E0A85" w:rsidR="00FB6710" w:rsidRPr="00183B5F" w:rsidRDefault="00FB6710" w:rsidP="004062FE">
      <w:pPr>
        <w:spacing w:line="240" w:lineRule="auto"/>
        <w:rPr>
          <w:del w:id="9720" w:author="AbbVie_HU_04" w:date="2025-05-15T11:59:00Z"/>
          <w:b/>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4D50860" w14:textId="412E41CD">
        <w:trPr>
          <w:jc w:val="center"/>
          <w:del w:id="9721"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61079458" w14:textId="1500A2AE" w:rsidR="00FB6710" w:rsidRPr="00183B5F" w:rsidRDefault="00943743" w:rsidP="004062FE">
            <w:pPr>
              <w:spacing w:line="240" w:lineRule="auto"/>
              <w:rPr>
                <w:del w:id="9722" w:author="AbbVie_HU_04" w:date="2025-05-15T11:59:00Z"/>
                <w:b/>
                <w:szCs w:val="22"/>
              </w:rPr>
            </w:pPr>
            <w:del w:id="9723" w:author="AbbVie_HU_04" w:date="2025-05-15T11:59:00Z">
              <w:r w:rsidRPr="00183B5F">
                <w:rPr>
                  <w:b/>
                  <w:szCs w:val="22"/>
                </w:rPr>
                <w:delText xml:space="preserve">A </w:delText>
              </w:r>
              <w:r w:rsidR="009F5334" w:rsidRPr="00183B5F">
                <w:rPr>
                  <w:b/>
                  <w:szCs w:val="22"/>
                </w:rPr>
                <w:delText xml:space="preserve">BUBORÉKCSOMAGOLÁSON </w:delText>
              </w:r>
              <w:r w:rsidRPr="00183B5F">
                <w:rPr>
                  <w:b/>
                  <w:szCs w:val="22"/>
                </w:rPr>
                <w:delText>VAGY A SZALAGFÓLIÁN MINIMÁLISAN FELTÜNTETENDŐ ADATOK</w:delText>
              </w:r>
            </w:del>
          </w:p>
          <w:p w14:paraId="7AD2D226" w14:textId="0DE2644B" w:rsidR="00FB6710" w:rsidRPr="00183B5F" w:rsidRDefault="00943743" w:rsidP="004062FE">
            <w:pPr>
              <w:spacing w:line="240" w:lineRule="auto"/>
              <w:rPr>
                <w:del w:id="9724" w:author="AbbVie_HU_04" w:date="2025-05-15T11:59:00Z"/>
                <w:b/>
                <w:szCs w:val="22"/>
              </w:rPr>
            </w:pPr>
            <w:del w:id="9725" w:author="AbbVie_HU_04" w:date="2025-05-15T11:59:00Z">
              <w:r w:rsidRPr="00183B5F">
                <w:rPr>
                  <w:b/>
                  <w:caps/>
                  <w:szCs w:val="22"/>
                </w:rPr>
                <w:br/>
                <w:delText>Tálca hátoldalán levő szöveg</w:delText>
              </w:r>
            </w:del>
          </w:p>
        </w:tc>
      </w:tr>
    </w:tbl>
    <w:p w14:paraId="7BAEF50E" w14:textId="269F23ED" w:rsidR="00FB6710" w:rsidRPr="00183B5F" w:rsidRDefault="00FB6710" w:rsidP="004062FE">
      <w:pPr>
        <w:spacing w:line="240" w:lineRule="auto"/>
        <w:rPr>
          <w:del w:id="9726" w:author="AbbVie_HU_04" w:date="2025-05-15T11:59:00Z"/>
          <w:szCs w:val="22"/>
        </w:rPr>
      </w:pPr>
    </w:p>
    <w:p w14:paraId="01FC2468" w14:textId="4231F564" w:rsidR="00FB6710" w:rsidRPr="00183B5F" w:rsidRDefault="00FB6710" w:rsidP="004062FE">
      <w:pPr>
        <w:spacing w:line="240" w:lineRule="auto"/>
        <w:rPr>
          <w:del w:id="9727"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3A8B69F6" w14:textId="0121C84B">
        <w:trPr>
          <w:jc w:val="center"/>
          <w:del w:id="9728"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410D693F" w14:textId="56D33EEC" w:rsidR="00FB6710" w:rsidRPr="00183B5F" w:rsidRDefault="00943743" w:rsidP="004062FE">
            <w:pPr>
              <w:tabs>
                <w:tab w:val="left" w:pos="142"/>
              </w:tabs>
              <w:spacing w:line="240" w:lineRule="auto"/>
              <w:ind w:left="567" w:hanging="567"/>
              <w:rPr>
                <w:del w:id="9729" w:author="AbbVie_HU_04" w:date="2025-05-15T11:59:00Z"/>
                <w:b/>
                <w:szCs w:val="22"/>
              </w:rPr>
            </w:pPr>
            <w:del w:id="9730" w:author="AbbVie_HU_04" w:date="2025-05-15T11:59:00Z">
              <w:r w:rsidRPr="00183B5F">
                <w:rPr>
                  <w:b/>
                  <w:szCs w:val="22"/>
                </w:rPr>
                <w:delText>1.</w:delText>
              </w:r>
              <w:r w:rsidRPr="00183B5F">
                <w:rPr>
                  <w:b/>
                  <w:szCs w:val="22"/>
                </w:rPr>
                <w:tab/>
                <w:delText xml:space="preserve">A GYÓGYSZER </w:delText>
              </w:r>
              <w:r w:rsidR="00F038A9" w:rsidRPr="00183B5F">
                <w:rPr>
                  <w:b/>
                  <w:szCs w:val="22"/>
                </w:rPr>
                <w:delText>NEVE</w:delText>
              </w:r>
            </w:del>
          </w:p>
        </w:tc>
      </w:tr>
    </w:tbl>
    <w:p w14:paraId="116CC535" w14:textId="080D8F96" w:rsidR="00FB6710" w:rsidRPr="00183B5F" w:rsidRDefault="00FB6710" w:rsidP="004062FE">
      <w:pPr>
        <w:spacing w:line="240" w:lineRule="auto"/>
        <w:ind w:left="567" w:hanging="567"/>
        <w:rPr>
          <w:del w:id="9731" w:author="AbbVie_HU_04" w:date="2025-05-15T11:59:00Z"/>
          <w:szCs w:val="22"/>
        </w:rPr>
      </w:pPr>
    </w:p>
    <w:p w14:paraId="14D636A2" w14:textId="33BA9FF8" w:rsidR="00FB6710" w:rsidRPr="00183B5F" w:rsidRDefault="00943743" w:rsidP="004062FE">
      <w:pPr>
        <w:spacing w:line="240" w:lineRule="auto"/>
        <w:rPr>
          <w:del w:id="9732" w:author="AbbVie_HU_04" w:date="2025-05-15T11:59:00Z"/>
          <w:szCs w:val="22"/>
        </w:rPr>
      </w:pPr>
      <w:del w:id="9733" w:author="AbbVie_HU_04" w:date="2025-05-15T11:59:00Z">
        <w:r w:rsidRPr="00183B5F">
          <w:rPr>
            <w:szCs w:val="22"/>
          </w:rPr>
          <w:delText>Humira 40 mg oldatos injekció előretöltött injekciós tollban</w:delText>
        </w:r>
      </w:del>
    </w:p>
    <w:p w14:paraId="78FA970D" w14:textId="6E1247EE" w:rsidR="00FB6710" w:rsidRPr="00183B5F" w:rsidRDefault="00943743" w:rsidP="004062FE">
      <w:pPr>
        <w:pStyle w:val="EndnoteText"/>
        <w:tabs>
          <w:tab w:val="clear" w:pos="567"/>
          <w:tab w:val="left" w:pos="708"/>
        </w:tabs>
        <w:suppressAutoHyphens/>
        <w:rPr>
          <w:del w:id="9734" w:author="AbbVie_HU_04" w:date="2025-05-15T11:59:00Z"/>
          <w:sz w:val="22"/>
          <w:szCs w:val="22"/>
          <w:lang w:val="hu-HU"/>
        </w:rPr>
      </w:pPr>
      <w:del w:id="9735" w:author="AbbVie_HU_04" w:date="2025-05-15T11:59:00Z">
        <w:r w:rsidRPr="00183B5F">
          <w:rPr>
            <w:sz w:val="22"/>
            <w:szCs w:val="22"/>
            <w:lang w:val="hu-HU"/>
          </w:rPr>
          <w:delText>adalimumab</w:delText>
        </w:r>
      </w:del>
    </w:p>
    <w:p w14:paraId="4081C263" w14:textId="4E5E68D0" w:rsidR="00FB6710" w:rsidRPr="00183B5F" w:rsidRDefault="00FB6710" w:rsidP="004062FE">
      <w:pPr>
        <w:spacing w:line="240" w:lineRule="auto"/>
        <w:rPr>
          <w:del w:id="9736" w:author="AbbVie_HU_04" w:date="2025-05-15T11:59:00Z"/>
          <w:szCs w:val="22"/>
        </w:rPr>
      </w:pPr>
    </w:p>
    <w:p w14:paraId="4D0B22C3" w14:textId="16E7D2A6" w:rsidR="00FB6710" w:rsidRPr="00183B5F" w:rsidRDefault="00FB6710" w:rsidP="004062FE">
      <w:pPr>
        <w:spacing w:line="240" w:lineRule="auto"/>
        <w:rPr>
          <w:del w:id="9737"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4A4C93E5" w14:textId="6F92549D">
        <w:trPr>
          <w:jc w:val="center"/>
          <w:del w:id="9738"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3F4161AA" w14:textId="67EFA4CE" w:rsidR="00FB6710" w:rsidRPr="00183B5F" w:rsidRDefault="00943743" w:rsidP="004062FE">
            <w:pPr>
              <w:tabs>
                <w:tab w:val="left" w:pos="142"/>
              </w:tabs>
              <w:spacing w:line="240" w:lineRule="auto"/>
              <w:ind w:left="567" w:hanging="567"/>
              <w:rPr>
                <w:del w:id="9739" w:author="AbbVie_HU_04" w:date="2025-05-15T11:59:00Z"/>
                <w:b/>
                <w:szCs w:val="22"/>
              </w:rPr>
            </w:pPr>
            <w:del w:id="9740" w:author="AbbVie_HU_04" w:date="2025-05-15T11:59:00Z">
              <w:r w:rsidRPr="00183B5F">
                <w:rPr>
                  <w:b/>
                  <w:szCs w:val="22"/>
                </w:rPr>
                <w:delText>2.</w:delText>
              </w:r>
              <w:r w:rsidRPr="00183B5F">
                <w:rPr>
                  <w:b/>
                  <w:szCs w:val="22"/>
                </w:rPr>
                <w:tab/>
              </w:r>
              <w:r w:rsidRPr="00183B5F">
                <w:rPr>
                  <w:b/>
                  <w:szCs w:val="22"/>
                </w:rPr>
                <w:delText>A FORGALOMBA HOZATALI ENGEDÉLY JOGOSULTJÁNAK NEVE</w:delText>
              </w:r>
            </w:del>
          </w:p>
        </w:tc>
      </w:tr>
    </w:tbl>
    <w:p w14:paraId="76D2898F" w14:textId="5BC50CCF" w:rsidR="00FB6710" w:rsidRPr="00183B5F" w:rsidRDefault="00FB6710" w:rsidP="004062FE">
      <w:pPr>
        <w:spacing w:line="240" w:lineRule="auto"/>
        <w:rPr>
          <w:del w:id="9741" w:author="AbbVie_HU_04" w:date="2025-05-15T11:59:00Z"/>
          <w:szCs w:val="22"/>
        </w:rPr>
      </w:pPr>
    </w:p>
    <w:p w14:paraId="05F43D32" w14:textId="7657B00C" w:rsidR="00FB6710" w:rsidRPr="00183B5F" w:rsidRDefault="00943743" w:rsidP="004062FE">
      <w:pPr>
        <w:spacing w:line="240" w:lineRule="auto"/>
        <w:ind w:right="-2"/>
        <w:rPr>
          <w:del w:id="9742" w:author="AbbVie_HU_04" w:date="2025-05-15T11:59:00Z"/>
          <w:szCs w:val="22"/>
        </w:rPr>
      </w:pPr>
      <w:del w:id="9743" w:author="AbbVie_HU_04" w:date="2025-05-15T11:59:00Z">
        <w:r w:rsidRPr="00183B5F">
          <w:rPr>
            <w:szCs w:val="22"/>
          </w:rPr>
          <w:delText xml:space="preserve">AbbVie </w:delText>
        </w:r>
        <w:r w:rsidR="00CE3F71" w:rsidRPr="00183B5F">
          <w:rPr>
            <w:szCs w:val="22"/>
            <w:highlight w:val="lightGray"/>
            <w:lang w:eastAsia="en-GB"/>
          </w:rPr>
          <w:delText>(logo)</w:delText>
        </w:r>
      </w:del>
    </w:p>
    <w:p w14:paraId="05DC5F97" w14:textId="1D09B153" w:rsidR="00FB6710" w:rsidRPr="00183B5F" w:rsidRDefault="00FB6710" w:rsidP="004062FE">
      <w:pPr>
        <w:spacing w:line="240" w:lineRule="auto"/>
        <w:rPr>
          <w:del w:id="9744" w:author="AbbVie_HU_04" w:date="2025-05-15T11:59:00Z"/>
          <w:szCs w:val="22"/>
        </w:rPr>
      </w:pPr>
    </w:p>
    <w:p w14:paraId="724BCEB6" w14:textId="17E48576" w:rsidR="00FB6710" w:rsidRPr="00183B5F" w:rsidRDefault="00FB6710" w:rsidP="004062FE">
      <w:pPr>
        <w:spacing w:line="240" w:lineRule="auto"/>
        <w:rPr>
          <w:del w:id="9745"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5923CE42" w14:textId="3B334F1D">
        <w:trPr>
          <w:jc w:val="center"/>
          <w:del w:id="9746"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6146186C" w14:textId="2CEDD5E4" w:rsidR="00FB6710" w:rsidRPr="00183B5F" w:rsidRDefault="00943743" w:rsidP="004062FE">
            <w:pPr>
              <w:tabs>
                <w:tab w:val="left" w:pos="142"/>
              </w:tabs>
              <w:spacing w:line="240" w:lineRule="auto"/>
              <w:ind w:left="567" w:hanging="567"/>
              <w:rPr>
                <w:del w:id="9747" w:author="AbbVie_HU_04" w:date="2025-05-15T11:59:00Z"/>
                <w:b/>
                <w:szCs w:val="22"/>
              </w:rPr>
            </w:pPr>
            <w:del w:id="9748" w:author="AbbVie_HU_04" w:date="2025-05-15T11:59:00Z">
              <w:r w:rsidRPr="00183B5F">
                <w:rPr>
                  <w:b/>
                  <w:szCs w:val="22"/>
                </w:rPr>
                <w:delText>3.</w:delText>
              </w:r>
              <w:r w:rsidRPr="00183B5F">
                <w:rPr>
                  <w:b/>
                  <w:szCs w:val="22"/>
                </w:rPr>
                <w:tab/>
                <w:delText>LEJÁRATI IDŐ</w:delText>
              </w:r>
            </w:del>
          </w:p>
        </w:tc>
      </w:tr>
    </w:tbl>
    <w:p w14:paraId="4DACB0D0" w14:textId="3A6EE9B8" w:rsidR="00FB6710" w:rsidRPr="00183B5F" w:rsidRDefault="00FB6710" w:rsidP="004062FE">
      <w:pPr>
        <w:spacing w:line="240" w:lineRule="auto"/>
        <w:rPr>
          <w:del w:id="9749" w:author="AbbVie_HU_04" w:date="2025-05-15T11:59:00Z"/>
          <w:szCs w:val="22"/>
        </w:rPr>
      </w:pPr>
    </w:p>
    <w:p w14:paraId="7507F88C" w14:textId="14D282E9" w:rsidR="00FB6710" w:rsidRPr="00183B5F" w:rsidRDefault="00943743" w:rsidP="004062FE">
      <w:pPr>
        <w:spacing w:line="240" w:lineRule="auto"/>
        <w:rPr>
          <w:del w:id="9750" w:author="AbbVie_HU_04" w:date="2025-05-15T11:59:00Z"/>
          <w:szCs w:val="22"/>
        </w:rPr>
      </w:pPr>
      <w:del w:id="9751" w:author="AbbVie_HU_04" w:date="2025-05-15T11:59:00Z">
        <w:r w:rsidRPr="00183B5F">
          <w:rPr>
            <w:szCs w:val="22"/>
          </w:rPr>
          <w:delText>EXP</w:delText>
        </w:r>
      </w:del>
    </w:p>
    <w:p w14:paraId="4DD6FCA8" w14:textId="6AF4E23C" w:rsidR="00FB6710" w:rsidRPr="00183B5F" w:rsidRDefault="00FB6710" w:rsidP="004062FE">
      <w:pPr>
        <w:spacing w:line="240" w:lineRule="auto"/>
        <w:rPr>
          <w:del w:id="9752" w:author="AbbVie_HU_04" w:date="2025-05-15T11:59:00Z"/>
          <w:szCs w:val="22"/>
        </w:rPr>
      </w:pPr>
    </w:p>
    <w:p w14:paraId="4BA7A527" w14:textId="4F97FD79" w:rsidR="00FB6710" w:rsidRPr="00183B5F" w:rsidRDefault="00FB6710" w:rsidP="004062FE">
      <w:pPr>
        <w:spacing w:line="240" w:lineRule="auto"/>
        <w:rPr>
          <w:del w:id="9753" w:author="AbbVie_HU_04" w:date="2025-05-15T11:59: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7E536E48" w14:textId="5DA535B6">
        <w:trPr>
          <w:jc w:val="center"/>
          <w:del w:id="9754"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7977A720" w14:textId="089BD774" w:rsidR="00FB6710" w:rsidRPr="00183B5F" w:rsidRDefault="00943743" w:rsidP="004062FE">
            <w:pPr>
              <w:tabs>
                <w:tab w:val="left" w:pos="142"/>
              </w:tabs>
              <w:spacing w:line="240" w:lineRule="auto"/>
              <w:ind w:left="567" w:hanging="567"/>
              <w:rPr>
                <w:del w:id="9755" w:author="AbbVie_HU_04" w:date="2025-05-15T11:59:00Z"/>
                <w:b/>
                <w:szCs w:val="22"/>
              </w:rPr>
            </w:pPr>
            <w:del w:id="9756" w:author="AbbVie_HU_04" w:date="2025-05-15T11:59:00Z">
              <w:r w:rsidRPr="00183B5F">
                <w:rPr>
                  <w:b/>
                  <w:szCs w:val="22"/>
                </w:rPr>
                <w:delText>4.</w:delText>
              </w:r>
              <w:r w:rsidRPr="00183B5F">
                <w:rPr>
                  <w:b/>
                  <w:szCs w:val="22"/>
                </w:rPr>
                <w:tab/>
                <w:delText>A GYÁRTÁSI TÉTEL SZÁMA</w:delText>
              </w:r>
            </w:del>
          </w:p>
        </w:tc>
      </w:tr>
    </w:tbl>
    <w:p w14:paraId="61BAC381" w14:textId="260A6647" w:rsidR="00FB6710" w:rsidRPr="00183B5F" w:rsidRDefault="00FB6710" w:rsidP="004062FE">
      <w:pPr>
        <w:spacing w:line="240" w:lineRule="auto"/>
        <w:rPr>
          <w:del w:id="9757" w:author="AbbVie_HU_04" w:date="2025-05-15T11:59:00Z"/>
          <w:szCs w:val="22"/>
        </w:rPr>
      </w:pPr>
    </w:p>
    <w:p w14:paraId="54EB15BC" w14:textId="12E1EC7A" w:rsidR="006B2BB7" w:rsidRPr="00183B5F" w:rsidRDefault="00943743" w:rsidP="004062FE">
      <w:pPr>
        <w:spacing w:line="240" w:lineRule="auto"/>
        <w:rPr>
          <w:del w:id="9758" w:author="AbbVie_HU_04" w:date="2025-05-15T11:59:00Z"/>
          <w:szCs w:val="22"/>
        </w:rPr>
      </w:pPr>
      <w:del w:id="9759" w:author="AbbVie_HU_04" w:date="2025-05-15T11:59:00Z">
        <w:r w:rsidRPr="00183B5F">
          <w:rPr>
            <w:szCs w:val="22"/>
          </w:rPr>
          <w:delText>Lot</w:delText>
        </w:r>
      </w:del>
    </w:p>
    <w:p w14:paraId="59ADC063" w14:textId="0039C6C9" w:rsidR="00FB6710" w:rsidRPr="00183B5F" w:rsidRDefault="00FB6710" w:rsidP="004062FE">
      <w:pPr>
        <w:pStyle w:val="EndnoteText"/>
        <w:tabs>
          <w:tab w:val="clear" w:pos="567"/>
        </w:tabs>
        <w:suppressAutoHyphens/>
        <w:rPr>
          <w:del w:id="9760" w:author="AbbVie_HU_04" w:date="2025-05-15T11:59:00Z"/>
          <w:sz w:val="22"/>
          <w:szCs w:val="22"/>
          <w:lang w:val="hu-HU"/>
        </w:rPr>
      </w:pPr>
    </w:p>
    <w:p w14:paraId="79BA6FCD" w14:textId="438BC4EB" w:rsidR="00FB6710" w:rsidRPr="00183B5F" w:rsidRDefault="00FB6710" w:rsidP="004062FE">
      <w:pPr>
        <w:spacing w:line="240" w:lineRule="auto"/>
        <w:rPr>
          <w:del w:id="9761" w:author="AbbVie_HU_04" w:date="2025-05-15T11:59:00Z"/>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7E736BC3" w14:textId="37B69937">
        <w:trPr>
          <w:jc w:val="center"/>
          <w:del w:id="9762" w:author="AbbVie_HU_04" w:date="2025-05-15T11:59:00Z"/>
        </w:trPr>
        <w:tc>
          <w:tcPr>
            <w:tcW w:w="9069" w:type="dxa"/>
            <w:tcBorders>
              <w:top w:val="single" w:sz="2" w:space="0" w:color="000000"/>
              <w:left w:val="single" w:sz="2" w:space="0" w:color="000000"/>
              <w:bottom w:val="single" w:sz="2" w:space="0" w:color="000000"/>
              <w:right w:val="single" w:sz="2" w:space="0" w:color="000000"/>
            </w:tcBorders>
          </w:tcPr>
          <w:p w14:paraId="00600383" w14:textId="0FA7E987" w:rsidR="00FB6710" w:rsidRPr="00183B5F" w:rsidRDefault="00943743" w:rsidP="004062FE">
            <w:pPr>
              <w:tabs>
                <w:tab w:val="left" w:pos="142"/>
              </w:tabs>
              <w:spacing w:line="240" w:lineRule="auto"/>
              <w:ind w:left="567" w:hanging="567"/>
              <w:rPr>
                <w:del w:id="9763" w:author="AbbVie_HU_04" w:date="2025-05-15T11:59:00Z"/>
                <w:b/>
                <w:szCs w:val="22"/>
              </w:rPr>
            </w:pPr>
            <w:del w:id="9764" w:author="AbbVie_HU_04" w:date="2025-05-15T11:59:00Z">
              <w:r w:rsidRPr="00183B5F">
                <w:rPr>
                  <w:b/>
                  <w:szCs w:val="22"/>
                </w:rPr>
                <w:delText>5.</w:delText>
              </w:r>
              <w:r w:rsidRPr="00183B5F">
                <w:rPr>
                  <w:b/>
                  <w:szCs w:val="22"/>
                </w:rPr>
                <w:tab/>
                <w:delText>EGYÉB INFORMÁCIÓK</w:delText>
              </w:r>
            </w:del>
          </w:p>
        </w:tc>
      </w:tr>
    </w:tbl>
    <w:p w14:paraId="2CFA1A5E" w14:textId="73209D28" w:rsidR="00FB6710" w:rsidRPr="00183B5F" w:rsidRDefault="00FB6710" w:rsidP="004062FE">
      <w:pPr>
        <w:spacing w:line="240" w:lineRule="auto"/>
        <w:rPr>
          <w:del w:id="9765" w:author="AbbVie_HU_04" w:date="2025-05-15T11:59:00Z"/>
          <w:b/>
          <w:szCs w:val="22"/>
        </w:rPr>
      </w:pPr>
    </w:p>
    <w:p w14:paraId="11D25A0C" w14:textId="2211DC2D" w:rsidR="00FB6710" w:rsidRPr="00183B5F" w:rsidRDefault="00943743" w:rsidP="004062FE">
      <w:pPr>
        <w:spacing w:line="240" w:lineRule="auto"/>
        <w:rPr>
          <w:del w:id="9766" w:author="AbbVie_HU_04" w:date="2025-05-15T11:59:00Z"/>
          <w:szCs w:val="22"/>
        </w:rPr>
      </w:pPr>
      <w:del w:id="9767" w:author="AbbVie_HU_04" w:date="2025-05-15T11:59:00Z">
        <w:r w:rsidRPr="00183B5F">
          <w:rPr>
            <w:szCs w:val="22"/>
          </w:rPr>
          <w:delText>Tárolási információ</w:delText>
        </w:r>
        <w:r w:rsidR="00A53984" w:rsidRPr="00183B5F">
          <w:rPr>
            <w:szCs w:val="22"/>
          </w:rPr>
          <w:delText>k</w:delText>
        </w:r>
        <w:r w:rsidRPr="00183B5F">
          <w:rPr>
            <w:szCs w:val="22"/>
          </w:rPr>
          <w:delText>ért olvassa el a betegtájékoztatót</w:delText>
        </w:r>
        <w:r w:rsidR="00A53984" w:rsidRPr="00183B5F">
          <w:rPr>
            <w:szCs w:val="22"/>
          </w:rPr>
          <w:delText>.</w:delText>
        </w:r>
      </w:del>
    </w:p>
    <w:p w14:paraId="4DD5464A" w14:textId="22387FFE" w:rsidR="00EB351A" w:rsidRPr="00183B5F" w:rsidRDefault="00EB351A" w:rsidP="004062FE">
      <w:pPr>
        <w:spacing w:line="240" w:lineRule="auto"/>
        <w:rPr>
          <w:del w:id="9768" w:author="AbbVie_HU_04" w:date="2025-05-15T11:59:00Z"/>
          <w:szCs w:val="22"/>
        </w:rPr>
      </w:pPr>
    </w:p>
    <w:p w14:paraId="09F66D1D" w14:textId="5E349CAF" w:rsidR="00FB6710" w:rsidRPr="00183B5F" w:rsidRDefault="00943743" w:rsidP="004062FE">
      <w:pPr>
        <w:spacing w:line="240" w:lineRule="auto"/>
        <w:rPr>
          <w:del w:id="9769" w:author="AbbVie_HU_04" w:date="2025-05-15T11:59:00Z"/>
          <w:b/>
          <w:szCs w:val="22"/>
        </w:rPr>
      </w:pPr>
      <w:del w:id="9770" w:author="AbbVie_HU_04" w:date="2025-05-15T11:59:00Z">
        <w:r w:rsidRPr="00183B5F">
          <w:rPr>
            <w:szCs w:val="22"/>
          </w:rPr>
          <w:delText>Kizárólag egyszeri alkalmazásra.</w:delText>
        </w:r>
      </w:del>
    </w:p>
    <w:p w14:paraId="4DC4980C" w14:textId="236BC542" w:rsidR="00FB6710" w:rsidRPr="00183B5F" w:rsidRDefault="00943743" w:rsidP="004062FE">
      <w:pPr>
        <w:spacing w:line="240" w:lineRule="auto"/>
        <w:rPr>
          <w:del w:id="9771" w:author="AbbVie_HU_03" w:date="2025-05-15T11:45:00Z"/>
          <w:b/>
          <w:szCs w:val="22"/>
        </w:rPr>
      </w:pPr>
      <w:del w:id="9772" w:author="AbbVie_HU_04" w:date="2025-05-15T11:59:00Z">
        <w:r w:rsidRPr="00183B5F">
          <w:rPr>
            <w:b/>
            <w:szCs w:val="22"/>
          </w:rPr>
          <w:br w:type="page"/>
        </w:r>
      </w:del>
    </w:p>
    <w:tbl>
      <w:tblPr>
        <w:tblW w:w="9069" w:type="dxa"/>
        <w:jc w:val="center"/>
        <w:tblLayout w:type="fixed"/>
        <w:tblCellMar>
          <w:left w:w="0" w:type="dxa"/>
          <w:right w:w="0" w:type="dxa"/>
        </w:tblCellMar>
        <w:tblLook w:val="0000" w:firstRow="0" w:lastRow="0" w:firstColumn="0" w:lastColumn="0" w:noHBand="0" w:noVBand="0"/>
        <w:tblPrChange w:id="9773" w:author="AbbVie_HU_03" w:date="2025-05-14T16:17:00Z">
          <w:tblPr>
            <w:tblW w:w="0" w:type="auto"/>
            <w:tblLayout w:type="fixed"/>
            <w:tblLook w:val="04A0" w:firstRow="1" w:lastRow="0" w:firstColumn="1" w:lastColumn="0" w:noHBand="0" w:noVBand="1"/>
          </w:tblPr>
        </w:tblPrChange>
      </w:tblPr>
      <w:tblGrid>
        <w:gridCol w:w="9069"/>
        <w:tblGridChange w:id="9774">
          <w:tblGrid>
            <w:gridCol w:w="360"/>
            <w:gridCol w:w="8709"/>
          </w:tblGrid>
        </w:tblGridChange>
      </w:tblGrid>
      <w:tr w:rsidR="00011D2F" w14:paraId="2B71B050" w14:textId="47C7F8E1" w:rsidTr="00511721">
        <w:trPr>
          <w:trHeight w:val="785"/>
          <w:jc w:val="center"/>
          <w:del w:id="9775" w:author="AbbVie_HU_03" w:date="2025-05-14T16:17:00Z"/>
          <w:trPrChange w:id="9776" w:author="AbbVie_HU_03" w:date="2025-05-14T16:17:00Z">
            <w:trPr>
              <w:gridAfter w:val="0"/>
            </w:trPr>
          </w:trPrChange>
        </w:trPr>
        <w:tc>
          <w:tcPr>
            <w:tcW w:w="9069" w:type="dxa"/>
            <w:tcBorders>
              <w:top w:val="single" w:sz="2" w:space="0" w:color="000000"/>
              <w:left w:val="single" w:sz="2" w:space="0" w:color="000000"/>
              <w:bottom w:val="single" w:sz="2" w:space="0" w:color="000000"/>
              <w:right w:val="single" w:sz="2" w:space="0" w:color="000000"/>
            </w:tcBorders>
            <w:tcPrChange w:id="9777" w:author="AbbVie_HU_03" w:date="2025-05-14T16:17:00Z">
              <w:tcPr>
                <w:tcW w:w="9069" w:type="dxa"/>
                <w:tcBorders>
                  <w:top w:val="single" w:sz="2" w:space="0" w:color="000000"/>
                  <w:left w:val="single" w:sz="2" w:space="0" w:color="000000"/>
                  <w:bottom w:val="single" w:sz="2" w:space="0" w:color="000000"/>
                  <w:right w:val="single" w:sz="2" w:space="0" w:color="000000"/>
                </w:tcBorders>
              </w:tcPr>
            </w:tcPrChange>
          </w:tcPr>
          <w:p w14:paraId="0A09EC24" w14:textId="7BD82D7D" w:rsidR="00FB6710" w:rsidRPr="00183B5F" w:rsidRDefault="00943743" w:rsidP="004062FE">
            <w:pPr>
              <w:spacing w:line="240" w:lineRule="auto"/>
              <w:rPr>
                <w:del w:id="9778" w:author="AbbVie_HU_03" w:date="2025-05-14T16:17:00Z"/>
                <w:b/>
                <w:szCs w:val="22"/>
              </w:rPr>
            </w:pPr>
            <w:del w:id="9779" w:author="AbbVie_HU_03" w:date="2025-05-14T16:17:00Z">
              <w:r w:rsidRPr="00183B5F">
                <w:rPr>
                  <w:b/>
                  <w:szCs w:val="22"/>
                </w:rPr>
                <w:delText>A KIS KÖZVETLEN CSOMAGOLÁSI EGYSÉGEKEN MINIMÁLISAN FELTÜNTETENDŐ ADATOK</w:delText>
              </w:r>
            </w:del>
          </w:p>
          <w:p w14:paraId="39B4C425" w14:textId="2F561FC7" w:rsidR="00FB6710" w:rsidRPr="00183B5F" w:rsidRDefault="00FB6710" w:rsidP="004062FE">
            <w:pPr>
              <w:spacing w:line="240" w:lineRule="auto"/>
              <w:rPr>
                <w:del w:id="9780" w:author="AbbVie_HU_03" w:date="2025-05-14T16:17:00Z"/>
                <w:b/>
                <w:szCs w:val="22"/>
              </w:rPr>
            </w:pPr>
          </w:p>
          <w:p w14:paraId="66D59994" w14:textId="2EC146DB" w:rsidR="00FB6710" w:rsidRPr="00183B5F" w:rsidRDefault="00943743" w:rsidP="004062FE">
            <w:pPr>
              <w:spacing w:line="240" w:lineRule="auto"/>
              <w:rPr>
                <w:del w:id="9781" w:author="AbbVie_HU_03" w:date="2025-05-14T16:17:00Z"/>
                <w:b/>
                <w:caps/>
                <w:szCs w:val="22"/>
              </w:rPr>
            </w:pPr>
            <w:del w:id="9782" w:author="AbbVie_HU_03" w:date="2025-05-14T16:17:00Z">
              <w:r w:rsidRPr="00183B5F">
                <w:rPr>
                  <w:b/>
                  <w:caps/>
                  <w:szCs w:val="22"/>
                </w:rPr>
                <w:delText>INJEKciós TOLL cÍmke</w:delText>
              </w:r>
            </w:del>
          </w:p>
        </w:tc>
      </w:tr>
    </w:tbl>
    <w:p w14:paraId="4385B5F8" w14:textId="5DA3A7DA" w:rsidR="00FB6710" w:rsidRPr="00183B5F" w:rsidRDefault="00FB6710" w:rsidP="004062FE">
      <w:pPr>
        <w:spacing w:line="240" w:lineRule="auto"/>
        <w:rPr>
          <w:del w:id="9783" w:author="AbbVie_HU_03" w:date="2025-05-14T16:17:00Z"/>
          <w:szCs w:val="22"/>
        </w:rPr>
      </w:pPr>
    </w:p>
    <w:p w14:paraId="7BA2BAD0" w14:textId="6A6B4769" w:rsidR="00FB6710" w:rsidRPr="00183B5F" w:rsidRDefault="00FB6710" w:rsidP="004062FE">
      <w:pPr>
        <w:spacing w:line="240" w:lineRule="auto"/>
        <w:rPr>
          <w:del w:id="9784" w:author="AbbVie_HU_03" w:date="2025-05-14T16:17: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634C85E" w14:textId="459D9425">
        <w:trPr>
          <w:jc w:val="center"/>
          <w:del w:id="9785" w:author="AbbVie_HU_03" w:date="2025-05-14T16:17:00Z"/>
        </w:trPr>
        <w:tc>
          <w:tcPr>
            <w:tcW w:w="9069" w:type="dxa"/>
            <w:tcBorders>
              <w:top w:val="single" w:sz="2" w:space="0" w:color="000000"/>
              <w:left w:val="single" w:sz="2" w:space="0" w:color="000000"/>
              <w:bottom w:val="single" w:sz="2" w:space="0" w:color="000000"/>
              <w:right w:val="single" w:sz="2" w:space="0" w:color="000000"/>
            </w:tcBorders>
          </w:tcPr>
          <w:p w14:paraId="2CE5C7F5" w14:textId="13D0A02D" w:rsidR="00FB6710" w:rsidRPr="00183B5F" w:rsidRDefault="00943743" w:rsidP="004062FE">
            <w:pPr>
              <w:tabs>
                <w:tab w:val="left" w:pos="142"/>
              </w:tabs>
              <w:spacing w:line="240" w:lineRule="auto"/>
              <w:ind w:left="567" w:hanging="567"/>
              <w:rPr>
                <w:del w:id="9786" w:author="AbbVie_HU_03" w:date="2025-05-14T16:17:00Z"/>
                <w:b/>
                <w:szCs w:val="22"/>
              </w:rPr>
            </w:pPr>
            <w:del w:id="9787" w:author="AbbVie_HU_03" w:date="2025-05-14T16:17:00Z">
              <w:r w:rsidRPr="00183B5F">
                <w:rPr>
                  <w:b/>
                  <w:szCs w:val="22"/>
                </w:rPr>
                <w:delText>1.</w:delText>
              </w:r>
              <w:r w:rsidRPr="00183B5F">
                <w:rPr>
                  <w:b/>
                  <w:szCs w:val="22"/>
                </w:rPr>
                <w:tab/>
                <w:delText xml:space="preserve">A GYÓGYSZER </w:delText>
              </w:r>
              <w:r w:rsidR="00F038A9" w:rsidRPr="00183B5F">
                <w:rPr>
                  <w:b/>
                  <w:szCs w:val="22"/>
                </w:rPr>
                <w:delText>NEVE</w:delText>
              </w:r>
              <w:r w:rsidRPr="00183B5F">
                <w:rPr>
                  <w:b/>
                  <w:szCs w:val="22"/>
                </w:rPr>
                <w:delText xml:space="preserve"> ÉS AZ ALKALMAZÁS MÓDJA(I)</w:delText>
              </w:r>
            </w:del>
          </w:p>
        </w:tc>
      </w:tr>
    </w:tbl>
    <w:p w14:paraId="31F760C4" w14:textId="49493951" w:rsidR="00FB6710" w:rsidRPr="00183B5F" w:rsidRDefault="00FB6710" w:rsidP="004062FE">
      <w:pPr>
        <w:spacing w:line="240" w:lineRule="auto"/>
        <w:rPr>
          <w:del w:id="9788" w:author="AbbVie_HU_03" w:date="2025-05-14T16:17:00Z"/>
          <w:szCs w:val="22"/>
        </w:rPr>
      </w:pPr>
    </w:p>
    <w:p w14:paraId="7A4815E4" w14:textId="4754A302" w:rsidR="00FB6710" w:rsidRPr="00183B5F" w:rsidRDefault="00943743" w:rsidP="004062FE">
      <w:pPr>
        <w:pStyle w:val="EndnoteText"/>
        <w:tabs>
          <w:tab w:val="clear" w:pos="567"/>
        </w:tabs>
        <w:suppressAutoHyphens/>
        <w:rPr>
          <w:del w:id="9789" w:author="AbbVie_HU_03" w:date="2025-05-14T16:17:00Z"/>
          <w:sz w:val="22"/>
          <w:szCs w:val="22"/>
          <w:lang w:val="hu-HU" w:eastAsia="hu-HU"/>
        </w:rPr>
      </w:pPr>
      <w:del w:id="9790" w:author="AbbVie_HU_03" w:date="2025-05-14T16:17:00Z">
        <w:r w:rsidRPr="00183B5F">
          <w:rPr>
            <w:sz w:val="22"/>
            <w:szCs w:val="22"/>
            <w:lang w:val="hu-HU" w:eastAsia="hu-HU"/>
          </w:rPr>
          <w:delText>Humira 40 mg injekció</w:delText>
        </w:r>
      </w:del>
    </w:p>
    <w:p w14:paraId="3A7CD21A" w14:textId="4CD3FAA4" w:rsidR="00FB6710" w:rsidRPr="00183B5F" w:rsidRDefault="00943743" w:rsidP="004062FE">
      <w:pPr>
        <w:spacing w:line="240" w:lineRule="auto"/>
        <w:rPr>
          <w:del w:id="9791" w:author="AbbVie_HU_03" w:date="2025-05-14T16:17:00Z"/>
          <w:szCs w:val="22"/>
        </w:rPr>
      </w:pPr>
      <w:del w:id="9792" w:author="AbbVie_HU_03" w:date="2025-05-14T16:17:00Z">
        <w:r w:rsidRPr="00183B5F">
          <w:rPr>
            <w:szCs w:val="22"/>
          </w:rPr>
          <w:delText>a</w:delText>
        </w:r>
        <w:r w:rsidR="00F15D2D" w:rsidRPr="00183B5F">
          <w:rPr>
            <w:szCs w:val="22"/>
          </w:rPr>
          <w:delText>dalimumab</w:delText>
        </w:r>
      </w:del>
    </w:p>
    <w:p w14:paraId="6194F61A" w14:textId="2F929398" w:rsidR="00FB6710" w:rsidRPr="00183B5F" w:rsidRDefault="00943743" w:rsidP="004062FE">
      <w:pPr>
        <w:spacing w:line="240" w:lineRule="auto"/>
        <w:ind w:left="567" w:hanging="567"/>
        <w:rPr>
          <w:del w:id="9793" w:author="AbbVie_HU_03" w:date="2025-05-14T16:17:00Z"/>
          <w:szCs w:val="22"/>
        </w:rPr>
      </w:pPr>
      <w:del w:id="9794" w:author="AbbVie_HU_03" w:date="2025-05-14T16:17:00Z">
        <w:r w:rsidRPr="00183B5F">
          <w:rPr>
            <w:szCs w:val="22"/>
          </w:rPr>
          <w:delText>sc</w:delText>
        </w:r>
        <w:r w:rsidR="00A53E7F" w:rsidRPr="00183B5F">
          <w:rPr>
            <w:szCs w:val="22"/>
          </w:rPr>
          <w:delText>.</w:delText>
        </w:r>
      </w:del>
    </w:p>
    <w:p w14:paraId="2AB2284D" w14:textId="2534EA50" w:rsidR="00FB6710" w:rsidRPr="00183B5F" w:rsidRDefault="00FB6710" w:rsidP="004062FE">
      <w:pPr>
        <w:spacing w:line="240" w:lineRule="auto"/>
        <w:rPr>
          <w:del w:id="9795" w:author="AbbVie_HU_03" w:date="2025-05-14T16:17:00Z"/>
          <w:szCs w:val="22"/>
        </w:rPr>
      </w:pPr>
    </w:p>
    <w:p w14:paraId="0FC0D82F" w14:textId="7A0DCC76" w:rsidR="00FB6710" w:rsidRPr="00183B5F" w:rsidRDefault="00FB6710" w:rsidP="004062FE">
      <w:pPr>
        <w:spacing w:line="240" w:lineRule="auto"/>
        <w:rPr>
          <w:del w:id="9796" w:author="AbbVie_HU_03" w:date="2025-05-14T16:17: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4685E3D5" w14:textId="00CFEE88">
        <w:trPr>
          <w:jc w:val="center"/>
          <w:del w:id="9797" w:author="AbbVie_HU_03" w:date="2025-05-14T16:17:00Z"/>
        </w:trPr>
        <w:tc>
          <w:tcPr>
            <w:tcW w:w="9069" w:type="dxa"/>
            <w:tcBorders>
              <w:top w:val="single" w:sz="2" w:space="0" w:color="000000"/>
              <w:left w:val="single" w:sz="2" w:space="0" w:color="000000"/>
              <w:bottom w:val="single" w:sz="2" w:space="0" w:color="000000"/>
              <w:right w:val="single" w:sz="2" w:space="0" w:color="000000"/>
            </w:tcBorders>
          </w:tcPr>
          <w:p w14:paraId="74323E1D" w14:textId="3986BB65" w:rsidR="00FB6710" w:rsidRPr="00183B5F" w:rsidRDefault="00943743" w:rsidP="004062FE">
            <w:pPr>
              <w:tabs>
                <w:tab w:val="left" w:pos="142"/>
              </w:tabs>
              <w:spacing w:line="240" w:lineRule="auto"/>
              <w:ind w:left="567" w:hanging="567"/>
              <w:rPr>
                <w:del w:id="9798" w:author="AbbVie_HU_03" w:date="2025-05-14T16:17:00Z"/>
                <w:b/>
                <w:szCs w:val="22"/>
              </w:rPr>
            </w:pPr>
            <w:del w:id="9799" w:author="AbbVie_HU_03" w:date="2025-05-14T16:17:00Z">
              <w:r w:rsidRPr="00183B5F">
                <w:rPr>
                  <w:b/>
                  <w:szCs w:val="22"/>
                </w:rPr>
                <w:delText>2.</w:delText>
              </w:r>
              <w:r w:rsidRPr="00183B5F">
                <w:rPr>
                  <w:b/>
                  <w:szCs w:val="22"/>
                </w:rPr>
                <w:tab/>
              </w:r>
              <w:r w:rsidRPr="00183B5F">
                <w:rPr>
                  <w:b/>
                  <w:szCs w:val="22"/>
                </w:rPr>
                <w:delText>AZ ALKALMAZÁSSAL KAPCSOLATOS TUDNIVALÓK</w:delText>
              </w:r>
            </w:del>
          </w:p>
        </w:tc>
      </w:tr>
    </w:tbl>
    <w:p w14:paraId="1982419E" w14:textId="43FE8CE8" w:rsidR="00FB6710" w:rsidRPr="00183B5F" w:rsidRDefault="00FB6710" w:rsidP="004062FE">
      <w:pPr>
        <w:spacing w:line="240" w:lineRule="auto"/>
        <w:rPr>
          <w:del w:id="9800" w:author="AbbVie_HU_03" w:date="2025-05-14T16:17:00Z"/>
          <w:szCs w:val="22"/>
        </w:rPr>
      </w:pPr>
    </w:p>
    <w:p w14:paraId="351BF8B5" w14:textId="17706E49" w:rsidR="00FB6710" w:rsidRPr="00183B5F" w:rsidRDefault="00FB6710" w:rsidP="004062FE">
      <w:pPr>
        <w:spacing w:line="240" w:lineRule="auto"/>
        <w:rPr>
          <w:del w:id="9801" w:author="AbbVie_HU_03" w:date="2025-05-14T16:17: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4462B74B" w14:textId="25509F71">
        <w:trPr>
          <w:jc w:val="center"/>
          <w:del w:id="9802" w:author="AbbVie_HU_03" w:date="2025-05-14T16:17:00Z"/>
        </w:trPr>
        <w:tc>
          <w:tcPr>
            <w:tcW w:w="9069" w:type="dxa"/>
            <w:tcBorders>
              <w:top w:val="single" w:sz="2" w:space="0" w:color="000000"/>
              <w:left w:val="single" w:sz="2" w:space="0" w:color="000000"/>
              <w:bottom w:val="single" w:sz="2" w:space="0" w:color="000000"/>
              <w:right w:val="single" w:sz="2" w:space="0" w:color="000000"/>
            </w:tcBorders>
          </w:tcPr>
          <w:p w14:paraId="0D20F4F9" w14:textId="71B0C3B3" w:rsidR="00FB6710" w:rsidRPr="00183B5F" w:rsidRDefault="00943743" w:rsidP="004062FE">
            <w:pPr>
              <w:tabs>
                <w:tab w:val="left" w:pos="142"/>
              </w:tabs>
              <w:spacing w:line="240" w:lineRule="auto"/>
              <w:ind w:left="567" w:hanging="567"/>
              <w:rPr>
                <w:del w:id="9803" w:author="AbbVie_HU_03" w:date="2025-05-14T16:17:00Z"/>
                <w:b/>
                <w:szCs w:val="22"/>
              </w:rPr>
            </w:pPr>
            <w:del w:id="9804" w:author="AbbVie_HU_03" w:date="2025-05-14T16:17:00Z">
              <w:r w:rsidRPr="00183B5F">
                <w:rPr>
                  <w:b/>
                  <w:szCs w:val="22"/>
                </w:rPr>
                <w:delText>3.</w:delText>
              </w:r>
              <w:r w:rsidRPr="00183B5F">
                <w:rPr>
                  <w:b/>
                  <w:szCs w:val="22"/>
                </w:rPr>
                <w:tab/>
                <w:delText>LEJÁRATI IDŐ</w:delText>
              </w:r>
            </w:del>
          </w:p>
        </w:tc>
      </w:tr>
    </w:tbl>
    <w:p w14:paraId="1A1E92FD" w14:textId="21017DCE" w:rsidR="00FB6710" w:rsidRPr="00183B5F" w:rsidRDefault="00FB6710" w:rsidP="004062FE">
      <w:pPr>
        <w:spacing w:line="240" w:lineRule="auto"/>
        <w:rPr>
          <w:del w:id="9805" w:author="AbbVie_HU_03" w:date="2025-05-14T16:17:00Z"/>
          <w:szCs w:val="22"/>
        </w:rPr>
      </w:pPr>
    </w:p>
    <w:p w14:paraId="21F9A61D" w14:textId="3BB8F372" w:rsidR="00FB6710" w:rsidRPr="00183B5F" w:rsidRDefault="00943743" w:rsidP="004062FE">
      <w:pPr>
        <w:spacing w:line="240" w:lineRule="auto"/>
        <w:rPr>
          <w:del w:id="9806" w:author="AbbVie_HU_03" w:date="2025-05-14T16:17:00Z"/>
          <w:szCs w:val="22"/>
        </w:rPr>
      </w:pPr>
      <w:del w:id="9807" w:author="AbbVie_HU_03" w:date="2025-05-14T16:17:00Z">
        <w:r w:rsidRPr="00183B5F">
          <w:rPr>
            <w:szCs w:val="22"/>
          </w:rPr>
          <w:delText>EXP</w:delText>
        </w:r>
      </w:del>
    </w:p>
    <w:p w14:paraId="016674D7" w14:textId="416030EF" w:rsidR="00FB6710" w:rsidRPr="00183B5F" w:rsidRDefault="00FB6710" w:rsidP="004062FE">
      <w:pPr>
        <w:spacing w:line="240" w:lineRule="auto"/>
        <w:rPr>
          <w:del w:id="9808" w:author="AbbVie_HU_03" w:date="2025-05-14T16:17:00Z"/>
          <w:b/>
          <w:szCs w:val="22"/>
        </w:rPr>
      </w:pPr>
    </w:p>
    <w:p w14:paraId="529D0876" w14:textId="22421678" w:rsidR="00FB6710" w:rsidRPr="00183B5F" w:rsidRDefault="00FB6710" w:rsidP="004062FE">
      <w:pPr>
        <w:spacing w:line="240" w:lineRule="auto"/>
        <w:rPr>
          <w:del w:id="9809" w:author="AbbVie_HU_03" w:date="2025-05-14T16:17: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44B089B7" w14:textId="58175CD2">
        <w:trPr>
          <w:jc w:val="center"/>
          <w:del w:id="9810" w:author="AbbVie_HU_03" w:date="2025-05-14T16:17:00Z"/>
        </w:trPr>
        <w:tc>
          <w:tcPr>
            <w:tcW w:w="9069" w:type="dxa"/>
            <w:tcBorders>
              <w:top w:val="single" w:sz="2" w:space="0" w:color="000000"/>
              <w:left w:val="single" w:sz="2" w:space="0" w:color="000000"/>
              <w:bottom w:val="single" w:sz="2" w:space="0" w:color="000000"/>
              <w:right w:val="single" w:sz="2" w:space="0" w:color="000000"/>
            </w:tcBorders>
          </w:tcPr>
          <w:p w14:paraId="6D5A8516" w14:textId="5FB90590" w:rsidR="00FB6710" w:rsidRPr="00183B5F" w:rsidRDefault="00943743" w:rsidP="004062FE">
            <w:pPr>
              <w:tabs>
                <w:tab w:val="left" w:pos="142"/>
              </w:tabs>
              <w:spacing w:line="240" w:lineRule="auto"/>
              <w:ind w:left="567" w:hanging="567"/>
              <w:rPr>
                <w:del w:id="9811" w:author="AbbVie_HU_03" w:date="2025-05-14T16:17:00Z"/>
                <w:b/>
                <w:szCs w:val="22"/>
              </w:rPr>
            </w:pPr>
            <w:del w:id="9812" w:author="AbbVie_HU_03" w:date="2025-05-14T16:17:00Z">
              <w:r w:rsidRPr="00183B5F">
                <w:rPr>
                  <w:b/>
                  <w:szCs w:val="22"/>
                </w:rPr>
                <w:delText>4.</w:delText>
              </w:r>
              <w:r w:rsidRPr="00183B5F">
                <w:rPr>
                  <w:b/>
                  <w:szCs w:val="22"/>
                </w:rPr>
                <w:tab/>
                <w:delText>A GYÁRTÁSI TÉTEL SZÁMA</w:delText>
              </w:r>
            </w:del>
          </w:p>
        </w:tc>
      </w:tr>
    </w:tbl>
    <w:p w14:paraId="439FFA89" w14:textId="1350D9A1" w:rsidR="00FB6710" w:rsidRPr="00183B5F" w:rsidRDefault="00FB6710" w:rsidP="004062FE">
      <w:pPr>
        <w:spacing w:line="240" w:lineRule="auto"/>
        <w:rPr>
          <w:del w:id="9813" w:author="AbbVie_HU_03" w:date="2025-05-14T16:17:00Z"/>
          <w:szCs w:val="22"/>
        </w:rPr>
      </w:pPr>
    </w:p>
    <w:p w14:paraId="6B5B376D" w14:textId="3328FFA9" w:rsidR="006B2BB7" w:rsidRPr="00183B5F" w:rsidRDefault="00943743" w:rsidP="004062FE">
      <w:pPr>
        <w:spacing w:line="240" w:lineRule="auto"/>
        <w:rPr>
          <w:del w:id="9814" w:author="AbbVie_HU_03" w:date="2025-05-14T16:17:00Z"/>
          <w:szCs w:val="22"/>
        </w:rPr>
      </w:pPr>
      <w:del w:id="9815" w:author="AbbVie_HU_03" w:date="2025-05-14T16:17:00Z">
        <w:r w:rsidRPr="00183B5F">
          <w:rPr>
            <w:szCs w:val="22"/>
          </w:rPr>
          <w:delText>Lot</w:delText>
        </w:r>
      </w:del>
    </w:p>
    <w:p w14:paraId="256A52C0" w14:textId="46E4B4A9" w:rsidR="00FB6710" w:rsidRPr="00183B5F" w:rsidRDefault="00FB6710" w:rsidP="004062FE">
      <w:pPr>
        <w:spacing w:line="240" w:lineRule="auto"/>
        <w:ind w:right="113"/>
        <w:rPr>
          <w:del w:id="9816" w:author="AbbVie_HU_03" w:date="2025-05-14T16:17:00Z"/>
          <w:szCs w:val="22"/>
        </w:rPr>
      </w:pPr>
    </w:p>
    <w:p w14:paraId="7AF556DB" w14:textId="4EF38F0F" w:rsidR="00FB6710" w:rsidRPr="00183B5F" w:rsidRDefault="00FB6710" w:rsidP="004062FE">
      <w:pPr>
        <w:spacing w:line="240" w:lineRule="auto"/>
        <w:ind w:right="113"/>
        <w:rPr>
          <w:del w:id="9817" w:author="AbbVie_HU_03" w:date="2025-05-14T16:17: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195E86C5" w14:textId="4F34DBE4">
        <w:trPr>
          <w:jc w:val="center"/>
          <w:del w:id="9818" w:author="AbbVie_HU_03" w:date="2025-05-14T16:17:00Z"/>
        </w:trPr>
        <w:tc>
          <w:tcPr>
            <w:tcW w:w="9069" w:type="dxa"/>
            <w:tcBorders>
              <w:top w:val="single" w:sz="2" w:space="0" w:color="000000"/>
              <w:left w:val="single" w:sz="2" w:space="0" w:color="000000"/>
              <w:bottom w:val="single" w:sz="2" w:space="0" w:color="000000"/>
              <w:right w:val="single" w:sz="2" w:space="0" w:color="000000"/>
            </w:tcBorders>
          </w:tcPr>
          <w:p w14:paraId="3111F7DC" w14:textId="2F14E228" w:rsidR="00FB6710" w:rsidRPr="00183B5F" w:rsidRDefault="00943743" w:rsidP="004062FE">
            <w:pPr>
              <w:tabs>
                <w:tab w:val="left" w:pos="142"/>
              </w:tabs>
              <w:spacing w:line="240" w:lineRule="auto"/>
              <w:ind w:left="567" w:hanging="567"/>
              <w:rPr>
                <w:del w:id="9819" w:author="AbbVie_HU_03" w:date="2025-05-14T16:17:00Z"/>
                <w:b/>
                <w:szCs w:val="22"/>
              </w:rPr>
            </w:pPr>
            <w:del w:id="9820" w:author="AbbVie_HU_03" w:date="2025-05-14T16:17:00Z">
              <w:r w:rsidRPr="00183B5F">
                <w:rPr>
                  <w:b/>
                  <w:szCs w:val="22"/>
                </w:rPr>
                <w:delText>5.</w:delText>
              </w:r>
              <w:r w:rsidRPr="00183B5F">
                <w:rPr>
                  <w:b/>
                  <w:szCs w:val="22"/>
                </w:rPr>
                <w:tab/>
                <w:delText>A TARTALOM SÚLYRA, TÉRFOGATRA, VAGY EGYSÉGRE VONATKOZTATVA</w:delText>
              </w:r>
            </w:del>
          </w:p>
        </w:tc>
      </w:tr>
    </w:tbl>
    <w:p w14:paraId="5A64F0DB" w14:textId="39E49EFB" w:rsidR="00FB6710" w:rsidRPr="00183B5F" w:rsidRDefault="00FB6710" w:rsidP="004062FE">
      <w:pPr>
        <w:spacing w:line="240" w:lineRule="auto"/>
        <w:rPr>
          <w:del w:id="9821" w:author="AbbVie_HU_03" w:date="2025-05-14T16:17:00Z"/>
          <w:szCs w:val="22"/>
        </w:rPr>
      </w:pPr>
    </w:p>
    <w:p w14:paraId="6D78F1B9" w14:textId="1A6F32A1" w:rsidR="00FB6710" w:rsidRPr="00183B5F" w:rsidRDefault="00943743" w:rsidP="004062FE">
      <w:pPr>
        <w:spacing w:line="240" w:lineRule="auto"/>
        <w:rPr>
          <w:del w:id="9822" w:author="AbbVie_HU_03" w:date="2025-05-14T16:17:00Z"/>
          <w:szCs w:val="22"/>
        </w:rPr>
      </w:pPr>
      <w:del w:id="9823" w:author="AbbVie_HU_03" w:date="2025-05-14T16:17:00Z">
        <w:r w:rsidRPr="00183B5F">
          <w:rPr>
            <w:szCs w:val="22"/>
          </w:rPr>
          <w:delText>40 mg/0,8 ml</w:delText>
        </w:r>
      </w:del>
    </w:p>
    <w:p w14:paraId="53DE4330" w14:textId="36F6048F" w:rsidR="00FB6710" w:rsidRPr="00183B5F" w:rsidRDefault="00FB6710" w:rsidP="004062FE">
      <w:pPr>
        <w:spacing w:line="240" w:lineRule="auto"/>
        <w:rPr>
          <w:del w:id="9824" w:author="AbbVie_HU_03" w:date="2025-05-14T16:17:00Z"/>
          <w:szCs w:val="22"/>
        </w:rPr>
      </w:pPr>
    </w:p>
    <w:p w14:paraId="10C46161" w14:textId="1719B306" w:rsidR="00FB6710" w:rsidRPr="00183B5F" w:rsidRDefault="00FB6710" w:rsidP="004062FE">
      <w:pPr>
        <w:spacing w:line="240" w:lineRule="auto"/>
        <w:rPr>
          <w:del w:id="9825" w:author="AbbVie_HU_03" w:date="2025-05-14T16:17:00Z"/>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7402AF0" w14:textId="22010ED3">
        <w:trPr>
          <w:jc w:val="center"/>
          <w:del w:id="9826" w:author="AbbVie_HU_03" w:date="2025-05-14T16:17:00Z"/>
        </w:trPr>
        <w:tc>
          <w:tcPr>
            <w:tcW w:w="9069" w:type="dxa"/>
            <w:tcBorders>
              <w:top w:val="single" w:sz="2" w:space="0" w:color="000000"/>
              <w:left w:val="single" w:sz="2" w:space="0" w:color="000000"/>
              <w:bottom w:val="single" w:sz="2" w:space="0" w:color="000000"/>
              <w:right w:val="single" w:sz="2" w:space="0" w:color="000000"/>
            </w:tcBorders>
          </w:tcPr>
          <w:p w14:paraId="58D89104" w14:textId="2034BB45" w:rsidR="00FB6710" w:rsidRPr="00183B5F" w:rsidRDefault="00943743" w:rsidP="004062FE">
            <w:pPr>
              <w:tabs>
                <w:tab w:val="left" w:pos="142"/>
              </w:tabs>
              <w:spacing w:line="240" w:lineRule="auto"/>
              <w:ind w:left="567" w:hanging="567"/>
              <w:rPr>
                <w:del w:id="9827" w:author="AbbVie_HU_03" w:date="2025-05-14T16:17:00Z"/>
                <w:b/>
                <w:szCs w:val="22"/>
              </w:rPr>
            </w:pPr>
            <w:del w:id="9828" w:author="AbbVie_HU_03" w:date="2025-05-14T16:17:00Z">
              <w:r w:rsidRPr="00183B5F">
                <w:rPr>
                  <w:b/>
                  <w:szCs w:val="22"/>
                </w:rPr>
                <w:delText>6.</w:delText>
              </w:r>
              <w:r w:rsidRPr="00183B5F">
                <w:rPr>
                  <w:b/>
                  <w:szCs w:val="22"/>
                </w:rPr>
                <w:tab/>
                <w:delText>EGYÉB INFORMÁCIÓK</w:delText>
              </w:r>
            </w:del>
          </w:p>
        </w:tc>
      </w:tr>
    </w:tbl>
    <w:p w14:paraId="43BBDC8E" w14:textId="1DA27671" w:rsidR="00FB6710" w:rsidRPr="00183B5F" w:rsidRDefault="00FB6710" w:rsidP="004062FE">
      <w:pPr>
        <w:spacing w:line="240" w:lineRule="auto"/>
        <w:rPr>
          <w:del w:id="9829" w:author="AbbVie_HU_03" w:date="2025-05-14T16:17:00Z"/>
          <w:szCs w:val="22"/>
        </w:rPr>
      </w:pPr>
    </w:p>
    <w:p w14:paraId="1909033D" w14:textId="7CA692F5" w:rsidR="006F4ACF" w:rsidRPr="00183B5F" w:rsidRDefault="00943743" w:rsidP="004062FE">
      <w:pPr>
        <w:spacing w:line="240" w:lineRule="auto"/>
        <w:rPr>
          <w:szCs w:val="22"/>
        </w:rPr>
      </w:pPr>
      <w:del w:id="9830" w:author="AbbVie_HU_03" w:date="2025-05-14T16:17:00Z">
        <w:r w:rsidRPr="00183B5F">
          <w:rPr>
            <w:szCs w:val="22"/>
          </w:rPr>
          <w:br w:type="page"/>
        </w:r>
      </w:del>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4BCCB581" w14:textId="77777777" w:rsidTr="006F4ACF">
        <w:trPr>
          <w:trHeight w:val="1040"/>
          <w:jc w:val="center"/>
        </w:trPr>
        <w:tc>
          <w:tcPr>
            <w:tcW w:w="9069" w:type="dxa"/>
            <w:tcBorders>
              <w:top w:val="single" w:sz="2" w:space="0" w:color="000000"/>
              <w:left w:val="single" w:sz="2" w:space="0" w:color="000000"/>
              <w:bottom w:val="single" w:sz="2" w:space="0" w:color="000000"/>
              <w:right w:val="single" w:sz="2" w:space="0" w:color="000000"/>
            </w:tcBorders>
          </w:tcPr>
          <w:p w14:paraId="09CDF1DD" w14:textId="77777777" w:rsidR="006F4ACF" w:rsidRPr="00183B5F" w:rsidRDefault="00943743" w:rsidP="004062FE">
            <w:pPr>
              <w:spacing w:line="240" w:lineRule="auto"/>
              <w:rPr>
                <w:b/>
                <w:szCs w:val="22"/>
              </w:rPr>
            </w:pPr>
            <w:r w:rsidRPr="00183B5F">
              <w:rPr>
                <w:szCs w:val="22"/>
              </w:rPr>
              <w:br w:type="page"/>
            </w:r>
            <w:r w:rsidRPr="00183B5F">
              <w:rPr>
                <w:b/>
                <w:szCs w:val="22"/>
              </w:rPr>
              <w:t>A KÜLSŐ CSOMAGOLÁSON FELTÜNTETENDŐ ADATOK</w:t>
            </w:r>
          </w:p>
          <w:p w14:paraId="3CC44F54" w14:textId="77777777" w:rsidR="006F4ACF" w:rsidRPr="00183B5F" w:rsidRDefault="006F4ACF" w:rsidP="004062FE">
            <w:pPr>
              <w:spacing w:line="240" w:lineRule="auto"/>
              <w:rPr>
                <w:b/>
                <w:szCs w:val="22"/>
              </w:rPr>
            </w:pPr>
          </w:p>
          <w:p w14:paraId="52240B27" w14:textId="77777777" w:rsidR="006F4ACF" w:rsidRPr="00183B5F" w:rsidRDefault="00943743" w:rsidP="004062FE">
            <w:pPr>
              <w:spacing w:line="240" w:lineRule="auto"/>
              <w:rPr>
                <w:b/>
                <w:caps/>
                <w:szCs w:val="22"/>
              </w:rPr>
            </w:pPr>
            <w:r w:rsidRPr="00183B5F">
              <w:rPr>
                <w:b/>
                <w:caps/>
                <w:szCs w:val="22"/>
              </w:rPr>
              <w:t>Külső DOBOZ</w:t>
            </w:r>
            <w:r w:rsidR="000000B4" w:rsidRPr="00183B5F">
              <w:rPr>
                <w:b/>
                <w:caps/>
                <w:szCs w:val="22"/>
              </w:rPr>
              <w:t xml:space="preserve"> </w:t>
            </w:r>
          </w:p>
        </w:tc>
      </w:tr>
    </w:tbl>
    <w:p w14:paraId="075BE3A5" w14:textId="77777777" w:rsidR="006F4ACF" w:rsidRPr="00183B5F" w:rsidRDefault="006F4ACF" w:rsidP="004062FE">
      <w:pPr>
        <w:spacing w:line="240" w:lineRule="auto"/>
        <w:rPr>
          <w:szCs w:val="22"/>
        </w:rPr>
      </w:pPr>
    </w:p>
    <w:p w14:paraId="6B38D2E2" w14:textId="77777777" w:rsidR="006F4ACF" w:rsidRPr="00183B5F" w:rsidRDefault="006F4ACF"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3C9B1979" w14:textId="77777777" w:rsidTr="006F4ACF">
        <w:trPr>
          <w:jc w:val="center"/>
        </w:trPr>
        <w:tc>
          <w:tcPr>
            <w:tcW w:w="9069" w:type="dxa"/>
            <w:tcBorders>
              <w:top w:val="single" w:sz="2" w:space="0" w:color="000000"/>
              <w:left w:val="single" w:sz="2" w:space="0" w:color="000000"/>
              <w:bottom w:val="single" w:sz="2" w:space="0" w:color="000000"/>
              <w:right w:val="single" w:sz="2" w:space="0" w:color="000000"/>
            </w:tcBorders>
          </w:tcPr>
          <w:p w14:paraId="7DFF0CCD" w14:textId="77777777" w:rsidR="006F4ACF" w:rsidRPr="00183B5F" w:rsidRDefault="00943743" w:rsidP="004062FE">
            <w:pPr>
              <w:tabs>
                <w:tab w:val="left" w:pos="142"/>
              </w:tabs>
              <w:spacing w:line="240" w:lineRule="auto"/>
              <w:ind w:left="567" w:hanging="567"/>
              <w:rPr>
                <w:b/>
                <w:szCs w:val="22"/>
              </w:rPr>
            </w:pPr>
            <w:r w:rsidRPr="00183B5F">
              <w:rPr>
                <w:b/>
                <w:szCs w:val="22"/>
              </w:rPr>
              <w:t>1.</w:t>
            </w:r>
            <w:r w:rsidRPr="00183B5F">
              <w:rPr>
                <w:b/>
                <w:szCs w:val="22"/>
              </w:rPr>
              <w:tab/>
              <w:t>A GYÓGYSZER NEVE</w:t>
            </w:r>
          </w:p>
        </w:tc>
      </w:tr>
    </w:tbl>
    <w:p w14:paraId="252CFA52" w14:textId="77777777" w:rsidR="006F4ACF" w:rsidRPr="00183B5F" w:rsidRDefault="006F4ACF" w:rsidP="004062FE">
      <w:pPr>
        <w:spacing w:line="240" w:lineRule="auto"/>
        <w:rPr>
          <w:szCs w:val="22"/>
        </w:rPr>
      </w:pPr>
    </w:p>
    <w:p w14:paraId="498BDA94" w14:textId="77777777" w:rsidR="006F4ACF" w:rsidRPr="00183B5F" w:rsidRDefault="00943743" w:rsidP="004062FE">
      <w:pPr>
        <w:spacing w:line="240" w:lineRule="auto"/>
        <w:rPr>
          <w:szCs w:val="22"/>
        </w:rPr>
      </w:pPr>
      <w:r w:rsidRPr="00183B5F">
        <w:rPr>
          <w:szCs w:val="22"/>
        </w:rPr>
        <w:t>Humira 40 mg oldatos injekció előretöltött fecskendőben</w:t>
      </w:r>
    </w:p>
    <w:p w14:paraId="154D41DA" w14:textId="77777777" w:rsidR="006F4ACF" w:rsidRPr="00183B5F" w:rsidRDefault="00943743" w:rsidP="004062FE">
      <w:pPr>
        <w:pStyle w:val="EndnoteText"/>
        <w:tabs>
          <w:tab w:val="clear" w:pos="567"/>
          <w:tab w:val="left" w:pos="708"/>
        </w:tabs>
        <w:suppressAutoHyphens/>
        <w:rPr>
          <w:sz w:val="22"/>
          <w:szCs w:val="22"/>
          <w:lang w:val="hu-HU"/>
        </w:rPr>
      </w:pPr>
      <w:r w:rsidRPr="00183B5F">
        <w:rPr>
          <w:sz w:val="22"/>
          <w:szCs w:val="22"/>
          <w:lang w:val="hu-HU"/>
        </w:rPr>
        <w:t>adalimumab</w:t>
      </w:r>
    </w:p>
    <w:p w14:paraId="4FE3F2C1" w14:textId="77777777" w:rsidR="006F4ACF" w:rsidRPr="00183B5F" w:rsidRDefault="006F4ACF" w:rsidP="004062FE">
      <w:pPr>
        <w:spacing w:line="240" w:lineRule="auto"/>
        <w:rPr>
          <w:szCs w:val="22"/>
        </w:rPr>
      </w:pPr>
    </w:p>
    <w:p w14:paraId="76E4B68B" w14:textId="77777777" w:rsidR="006F4ACF" w:rsidRPr="00183B5F" w:rsidRDefault="006F4ACF"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788A3DFA" w14:textId="77777777" w:rsidTr="006F4ACF">
        <w:trPr>
          <w:jc w:val="center"/>
        </w:trPr>
        <w:tc>
          <w:tcPr>
            <w:tcW w:w="9069" w:type="dxa"/>
            <w:tcBorders>
              <w:top w:val="single" w:sz="2" w:space="0" w:color="000000"/>
              <w:left w:val="single" w:sz="2" w:space="0" w:color="000000"/>
              <w:bottom w:val="single" w:sz="2" w:space="0" w:color="000000"/>
              <w:right w:val="single" w:sz="2" w:space="0" w:color="000000"/>
            </w:tcBorders>
          </w:tcPr>
          <w:p w14:paraId="3F3BE9EF" w14:textId="77777777" w:rsidR="006F4ACF" w:rsidRPr="00183B5F" w:rsidRDefault="00943743" w:rsidP="004062FE">
            <w:pPr>
              <w:tabs>
                <w:tab w:val="left" w:pos="142"/>
              </w:tabs>
              <w:spacing w:line="240" w:lineRule="auto"/>
              <w:ind w:left="567" w:hanging="567"/>
              <w:rPr>
                <w:b/>
                <w:szCs w:val="22"/>
              </w:rPr>
            </w:pPr>
            <w:r w:rsidRPr="00183B5F">
              <w:rPr>
                <w:b/>
                <w:szCs w:val="22"/>
              </w:rPr>
              <w:t>2.</w:t>
            </w:r>
            <w:r w:rsidRPr="00183B5F">
              <w:rPr>
                <w:b/>
                <w:szCs w:val="22"/>
              </w:rPr>
              <w:tab/>
              <w:t>HATÓANYAG(OK) MEGNEVEZÉSE</w:t>
            </w:r>
          </w:p>
        </w:tc>
      </w:tr>
    </w:tbl>
    <w:p w14:paraId="6A789CF3" w14:textId="77777777" w:rsidR="006F4ACF" w:rsidRPr="00183B5F" w:rsidRDefault="006F4ACF" w:rsidP="004062FE">
      <w:pPr>
        <w:spacing w:line="240" w:lineRule="auto"/>
        <w:ind w:right="-2"/>
        <w:rPr>
          <w:szCs w:val="22"/>
        </w:rPr>
      </w:pPr>
    </w:p>
    <w:p w14:paraId="3029FD4E" w14:textId="77777777" w:rsidR="006F4ACF" w:rsidRPr="00183B5F" w:rsidRDefault="00943743" w:rsidP="004062FE">
      <w:pPr>
        <w:spacing w:line="240" w:lineRule="auto"/>
        <w:ind w:right="-2"/>
        <w:rPr>
          <w:szCs w:val="22"/>
        </w:rPr>
      </w:pPr>
      <w:r w:rsidRPr="00183B5F">
        <w:rPr>
          <w:szCs w:val="22"/>
        </w:rPr>
        <w:t>40 mg adalimumab 0,4 ml-es előretöltött fecskendőben</w:t>
      </w:r>
      <w:r w:rsidR="00C036E3" w:rsidRPr="00183B5F">
        <w:rPr>
          <w:szCs w:val="22"/>
        </w:rPr>
        <w:t>.</w:t>
      </w:r>
    </w:p>
    <w:p w14:paraId="55E769CF" w14:textId="77777777" w:rsidR="006F4ACF" w:rsidRPr="00183B5F" w:rsidRDefault="006F4ACF" w:rsidP="004062FE">
      <w:pPr>
        <w:spacing w:line="240" w:lineRule="auto"/>
        <w:rPr>
          <w:szCs w:val="22"/>
        </w:rPr>
      </w:pPr>
    </w:p>
    <w:p w14:paraId="29D30730" w14:textId="77777777" w:rsidR="006F4ACF" w:rsidRPr="00183B5F" w:rsidRDefault="006F4ACF"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43817A22" w14:textId="77777777" w:rsidTr="006F4ACF">
        <w:trPr>
          <w:jc w:val="center"/>
        </w:trPr>
        <w:tc>
          <w:tcPr>
            <w:tcW w:w="9069" w:type="dxa"/>
            <w:tcBorders>
              <w:top w:val="single" w:sz="2" w:space="0" w:color="000000"/>
              <w:left w:val="single" w:sz="2" w:space="0" w:color="000000"/>
              <w:bottom w:val="single" w:sz="2" w:space="0" w:color="000000"/>
              <w:right w:val="single" w:sz="2" w:space="0" w:color="000000"/>
            </w:tcBorders>
          </w:tcPr>
          <w:p w14:paraId="1FC77FE0" w14:textId="77777777" w:rsidR="006F4ACF" w:rsidRPr="00183B5F" w:rsidRDefault="00943743" w:rsidP="004062FE">
            <w:pPr>
              <w:tabs>
                <w:tab w:val="left" w:pos="142"/>
              </w:tabs>
              <w:spacing w:line="240" w:lineRule="auto"/>
              <w:ind w:left="567" w:hanging="567"/>
              <w:rPr>
                <w:b/>
                <w:szCs w:val="22"/>
              </w:rPr>
            </w:pPr>
            <w:r w:rsidRPr="00183B5F">
              <w:rPr>
                <w:b/>
                <w:szCs w:val="22"/>
              </w:rPr>
              <w:t>3.</w:t>
            </w:r>
            <w:r w:rsidRPr="00183B5F">
              <w:rPr>
                <w:b/>
                <w:szCs w:val="22"/>
              </w:rPr>
              <w:tab/>
              <w:t>SEGÉDANYAGOK FELSOROLÁSA</w:t>
            </w:r>
          </w:p>
        </w:tc>
      </w:tr>
    </w:tbl>
    <w:p w14:paraId="5937484F" w14:textId="77777777" w:rsidR="006F4ACF" w:rsidRPr="00183B5F" w:rsidRDefault="006F4ACF" w:rsidP="004062FE">
      <w:pPr>
        <w:spacing w:line="240" w:lineRule="auto"/>
        <w:rPr>
          <w:szCs w:val="22"/>
        </w:rPr>
      </w:pPr>
    </w:p>
    <w:p w14:paraId="38DDF65C" w14:textId="77777777" w:rsidR="006F4ACF" w:rsidRPr="00183B5F" w:rsidRDefault="00943743" w:rsidP="004062FE">
      <w:pPr>
        <w:spacing w:line="240" w:lineRule="auto"/>
        <w:rPr>
          <w:szCs w:val="22"/>
        </w:rPr>
      </w:pPr>
      <w:r w:rsidRPr="00183B5F">
        <w:rPr>
          <w:szCs w:val="22"/>
        </w:rPr>
        <w:t>Segédanyagok: mannit, poliszorbát 80, injekcióhoz való víz. További információkért olvassa el a betegtájékoztatót.</w:t>
      </w:r>
    </w:p>
    <w:p w14:paraId="36410455" w14:textId="77777777" w:rsidR="006F4ACF" w:rsidRPr="00183B5F" w:rsidRDefault="006F4ACF" w:rsidP="004062FE">
      <w:pPr>
        <w:spacing w:line="240" w:lineRule="auto"/>
        <w:rPr>
          <w:szCs w:val="22"/>
        </w:rPr>
      </w:pPr>
    </w:p>
    <w:p w14:paraId="775013B5" w14:textId="77777777" w:rsidR="006F4ACF" w:rsidRPr="00183B5F" w:rsidRDefault="006F4ACF" w:rsidP="004062FE">
      <w:pPr>
        <w:pStyle w:val="EndnoteText"/>
        <w:tabs>
          <w:tab w:val="clear" w:pos="567"/>
        </w:tabs>
        <w:suppressAutoHyphens/>
        <w:rPr>
          <w:sz w:val="22"/>
          <w:szCs w:val="22"/>
          <w:lang w:val="hu-HU" w:eastAsia="hu-HU"/>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63E0725F" w14:textId="77777777" w:rsidTr="006F4ACF">
        <w:trPr>
          <w:jc w:val="center"/>
        </w:trPr>
        <w:tc>
          <w:tcPr>
            <w:tcW w:w="9069" w:type="dxa"/>
            <w:tcBorders>
              <w:top w:val="single" w:sz="2" w:space="0" w:color="000000"/>
              <w:left w:val="single" w:sz="2" w:space="0" w:color="000000"/>
              <w:bottom w:val="single" w:sz="2" w:space="0" w:color="000000"/>
              <w:right w:val="single" w:sz="2" w:space="0" w:color="000000"/>
            </w:tcBorders>
          </w:tcPr>
          <w:p w14:paraId="5610F6FF" w14:textId="77777777" w:rsidR="006F4ACF" w:rsidRPr="00183B5F" w:rsidRDefault="00943743" w:rsidP="004062FE">
            <w:pPr>
              <w:tabs>
                <w:tab w:val="left" w:pos="142"/>
              </w:tabs>
              <w:spacing w:line="240" w:lineRule="auto"/>
              <w:ind w:left="567" w:hanging="567"/>
              <w:rPr>
                <w:b/>
                <w:szCs w:val="22"/>
              </w:rPr>
            </w:pPr>
            <w:r w:rsidRPr="00183B5F">
              <w:rPr>
                <w:b/>
                <w:szCs w:val="22"/>
              </w:rPr>
              <w:t>4.</w:t>
            </w:r>
            <w:r w:rsidRPr="00183B5F">
              <w:rPr>
                <w:b/>
                <w:szCs w:val="22"/>
              </w:rPr>
              <w:tab/>
              <w:t>GYÓGYSZERFORMA ÉS TARTALOM</w:t>
            </w:r>
          </w:p>
        </w:tc>
      </w:tr>
    </w:tbl>
    <w:p w14:paraId="34908945" w14:textId="77777777" w:rsidR="006F4ACF" w:rsidRPr="00183B5F" w:rsidRDefault="006F4ACF" w:rsidP="004062FE">
      <w:pPr>
        <w:spacing w:line="240" w:lineRule="auto"/>
        <w:rPr>
          <w:szCs w:val="22"/>
        </w:rPr>
      </w:pPr>
    </w:p>
    <w:p w14:paraId="27EEDEFB" w14:textId="77777777" w:rsidR="00EB351A" w:rsidRPr="00183B5F" w:rsidRDefault="00943743" w:rsidP="004062FE">
      <w:pPr>
        <w:spacing w:line="240" w:lineRule="auto"/>
        <w:rPr>
          <w:szCs w:val="22"/>
        </w:rPr>
      </w:pPr>
      <w:r w:rsidRPr="00183B5F">
        <w:rPr>
          <w:szCs w:val="22"/>
          <w:highlight w:val="lightGray"/>
        </w:rPr>
        <w:t>Oldatos injekció.</w:t>
      </w:r>
    </w:p>
    <w:p w14:paraId="11ECFE88" w14:textId="77777777" w:rsidR="006F4ACF" w:rsidRPr="00183B5F" w:rsidRDefault="00943743" w:rsidP="004062FE">
      <w:pPr>
        <w:spacing w:line="240" w:lineRule="auto"/>
        <w:rPr>
          <w:szCs w:val="22"/>
        </w:rPr>
      </w:pPr>
      <w:r w:rsidRPr="00183B5F">
        <w:rPr>
          <w:szCs w:val="22"/>
        </w:rPr>
        <w:t>1 db előretöltött fecskendő</w:t>
      </w:r>
    </w:p>
    <w:p w14:paraId="4BED557D" w14:textId="77777777" w:rsidR="006F4ACF" w:rsidRPr="00183B5F" w:rsidRDefault="00943743" w:rsidP="004062FE">
      <w:pPr>
        <w:spacing w:line="240" w:lineRule="auto"/>
        <w:rPr>
          <w:szCs w:val="22"/>
        </w:rPr>
      </w:pPr>
      <w:r w:rsidRPr="00183B5F">
        <w:rPr>
          <w:szCs w:val="22"/>
        </w:rPr>
        <w:t>1 db alkoholos törlőkendő</w:t>
      </w:r>
    </w:p>
    <w:p w14:paraId="6AF56B15" w14:textId="77777777" w:rsidR="00EB351A" w:rsidRPr="00183B5F" w:rsidRDefault="00EB351A" w:rsidP="004062FE">
      <w:pPr>
        <w:spacing w:line="240" w:lineRule="auto"/>
        <w:rPr>
          <w:szCs w:val="22"/>
        </w:rPr>
      </w:pPr>
    </w:p>
    <w:p w14:paraId="6419FA31" w14:textId="77777777" w:rsidR="00EB351A" w:rsidRPr="00183B5F" w:rsidRDefault="00943743" w:rsidP="004062FE">
      <w:pPr>
        <w:spacing w:line="240" w:lineRule="auto"/>
        <w:rPr>
          <w:szCs w:val="22"/>
          <w:highlight w:val="lightGray"/>
        </w:rPr>
      </w:pPr>
      <w:r w:rsidRPr="00183B5F">
        <w:rPr>
          <w:szCs w:val="22"/>
          <w:highlight w:val="lightGray"/>
        </w:rPr>
        <w:t>2 db előretöltött fecskendő</w:t>
      </w:r>
    </w:p>
    <w:p w14:paraId="53A0037D" w14:textId="77777777" w:rsidR="00EB351A" w:rsidRPr="00183B5F" w:rsidRDefault="00943743" w:rsidP="004062FE">
      <w:pPr>
        <w:spacing w:line="240" w:lineRule="auto"/>
        <w:rPr>
          <w:szCs w:val="22"/>
          <w:highlight w:val="lightGray"/>
        </w:rPr>
      </w:pPr>
      <w:r w:rsidRPr="00183B5F">
        <w:rPr>
          <w:szCs w:val="22"/>
          <w:highlight w:val="lightGray"/>
        </w:rPr>
        <w:t>2 db alkoholos törlőkendő</w:t>
      </w:r>
    </w:p>
    <w:p w14:paraId="3CB2BC82" w14:textId="77777777" w:rsidR="00EB351A" w:rsidRPr="00183B5F" w:rsidRDefault="00EB351A" w:rsidP="004062FE">
      <w:pPr>
        <w:spacing w:line="240" w:lineRule="auto"/>
        <w:rPr>
          <w:szCs w:val="22"/>
          <w:highlight w:val="lightGray"/>
        </w:rPr>
      </w:pPr>
    </w:p>
    <w:p w14:paraId="2FF6A8DC" w14:textId="77777777" w:rsidR="00EB351A" w:rsidRPr="00183B5F" w:rsidRDefault="00943743" w:rsidP="004062FE">
      <w:pPr>
        <w:spacing w:line="240" w:lineRule="auto"/>
        <w:rPr>
          <w:szCs w:val="22"/>
          <w:highlight w:val="lightGray"/>
        </w:rPr>
      </w:pPr>
      <w:r w:rsidRPr="00183B5F">
        <w:rPr>
          <w:szCs w:val="22"/>
          <w:highlight w:val="lightGray"/>
        </w:rPr>
        <w:t>4 db előretöltött fecskendő</w:t>
      </w:r>
    </w:p>
    <w:p w14:paraId="24B8CD66" w14:textId="77777777" w:rsidR="00EB351A" w:rsidRPr="00183B5F" w:rsidRDefault="00943743" w:rsidP="004062FE">
      <w:pPr>
        <w:spacing w:line="240" w:lineRule="auto"/>
        <w:rPr>
          <w:szCs w:val="22"/>
          <w:highlight w:val="lightGray"/>
        </w:rPr>
      </w:pPr>
      <w:r w:rsidRPr="00183B5F">
        <w:rPr>
          <w:szCs w:val="22"/>
          <w:highlight w:val="lightGray"/>
        </w:rPr>
        <w:t>4 db alkoholos törlőkendő</w:t>
      </w:r>
    </w:p>
    <w:p w14:paraId="60AC94D9" w14:textId="77777777" w:rsidR="00EB351A" w:rsidRPr="00183B5F" w:rsidRDefault="00EB351A" w:rsidP="004062FE">
      <w:pPr>
        <w:spacing w:line="240" w:lineRule="auto"/>
        <w:rPr>
          <w:szCs w:val="22"/>
          <w:highlight w:val="lightGray"/>
        </w:rPr>
      </w:pPr>
    </w:p>
    <w:p w14:paraId="57D73E05" w14:textId="77777777" w:rsidR="00EB351A" w:rsidRPr="00183B5F" w:rsidRDefault="00943743" w:rsidP="004062FE">
      <w:pPr>
        <w:spacing w:line="240" w:lineRule="auto"/>
        <w:rPr>
          <w:szCs w:val="22"/>
          <w:highlight w:val="lightGray"/>
        </w:rPr>
      </w:pPr>
      <w:r w:rsidRPr="00183B5F">
        <w:rPr>
          <w:szCs w:val="22"/>
          <w:highlight w:val="lightGray"/>
        </w:rPr>
        <w:t>6 db előretöltött fecskendő</w:t>
      </w:r>
    </w:p>
    <w:p w14:paraId="777322F3" w14:textId="77777777" w:rsidR="00EB351A" w:rsidRPr="00183B5F" w:rsidRDefault="00943743" w:rsidP="004062FE">
      <w:pPr>
        <w:spacing w:line="240" w:lineRule="auto"/>
        <w:rPr>
          <w:szCs w:val="22"/>
          <w:highlight w:val="lightGray"/>
        </w:rPr>
      </w:pPr>
      <w:r w:rsidRPr="00183B5F">
        <w:rPr>
          <w:szCs w:val="22"/>
          <w:highlight w:val="lightGray"/>
        </w:rPr>
        <w:t>6 db alkoholos törlőkendő</w:t>
      </w:r>
    </w:p>
    <w:p w14:paraId="1710BC04" w14:textId="77777777" w:rsidR="006F4ACF" w:rsidRPr="00183B5F" w:rsidRDefault="006F4ACF" w:rsidP="004062FE">
      <w:pPr>
        <w:spacing w:line="240" w:lineRule="auto"/>
        <w:rPr>
          <w:szCs w:val="22"/>
          <w:highlight w:val="lightGray"/>
        </w:rPr>
      </w:pPr>
    </w:p>
    <w:p w14:paraId="7809A31E" w14:textId="77777777" w:rsidR="006F4ACF" w:rsidRPr="00183B5F" w:rsidRDefault="006F4ACF" w:rsidP="004062FE">
      <w:pPr>
        <w:pStyle w:val="EndnoteText"/>
        <w:tabs>
          <w:tab w:val="clear" w:pos="567"/>
        </w:tabs>
        <w:suppressAutoHyphens/>
        <w:rPr>
          <w:sz w:val="22"/>
          <w:szCs w:val="22"/>
          <w:lang w:val="hu-HU" w:eastAsia="hu-HU"/>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03F9706" w14:textId="77777777" w:rsidTr="006F4ACF">
        <w:trPr>
          <w:jc w:val="center"/>
        </w:trPr>
        <w:tc>
          <w:tcPr>
            <w:tcW w:w="9069" w:type="dxa"/>
            <w:tcBorders>
              <w:top w:val="single" w:sz="2" w:space="0" w:color="000000"/>
              <w:left w:val="single" w:sz="2" w:space="0" w:color="000000"/>
              <w:bottom w:val="single" w:sz="2" w:space="0" w:color="000000"/>
              <w:right w:val="single" w:sz="2" w:space="0" w:color="000000"/>
            </w:tcBorders>
          </w:tcPr>
          <w:p w14:paraId="24C3A28C" w14:textId="77777777" w:rsidR="006F4ACF" w:rsidRPr="00183B5F" w:rsidRDefault="00943743" w:rsidP="004062FE">
            <w:pPr>
              <w:tabs>
                <w:tab w:val="left" w:pos="142"/>
              </w:tabs>
              <w:spacing w:line="240" w:lineRule="auto"/>
              <w:ind w:left="567" w:hanging="567"/>
              <w:rPr>
                <w:b/>
                <w:szCs w:val="22"/>
              </w:rPr>
            </w:pPr>
            <w:r w:rsidRPr="00183B5F">
              <w:rPr>
                <w:b/>
                <w:szCs w:val="22"/>
              </w:rPr>
              <w:t>5.</w:t>
            </w:r>
            <w:r w:rsidRPr="00183B5F">
              <w:rPr>
                <w:b/>
                <w:szCs w:val="22"/>
              </w:rPr>
              <w:tab/>
            </w:r>
            <w:r w:rsidRPr="00183B5F">
              <w:rPr>
                <w:b/>
                <w:szCs w:val="22"/>
              </w:rPr>
              <w:t>AZ ALKALMAZÁSSAL KAPCSOLATOS TUDNIVALÓK ÉS AZ ALKALMAZÁS MÓDJA (I)</w:t>
            </w:r>
          </w:p>
        </w:tc>
      </w:tr>
    </w:tbl>
    <w:p w14:paraId="22918391" w14:textId="77777777" w:rsidR="006F4ACF" w:rsidRPr="00183B5F" w:rsidRDefault="006F4ACF" w:rsidP="004062FE">
      <w:pPr>
        <w:spacing w:line="240" w:lineRule="auto"/>
        <w:rPr>
          <w:szCs w:val="22"/>
        </w:rPr>
      </w:pPr>
    </w:p>
    <w:p w14:paraId="437128F8" w14:textId="77777777" w:rsidR="006F4ACF" w:rsidRPr="00183B5F" w:rsidRDefault="00943743" w:rsidP="004062FE">
      <w:pPr>
        <w:spacing w:line="240" w:lineRule="auto"/>
        <w:rPr>
          <w:szCs w:val="22"/>
        </w:rPr>
      </w:pPr>
      <w:r w:rsidRPr="00183B5F">
        <w:rPr>
          <w:szCs w:val="22"/>
        </w:rPr>
        <w:t>Bőr alá történő beadásra</w:t>
      </w:r>
      <w:r w:rsidR="00CE794D" w:rsidRPr="00183B5F">
        <w:rPr>
          <w:szCs w:val="22"/>
        </w:rPr>
        <w:t>.</w:t>
      </w:r>
    </w:p>
    <w:p w14:paraId="673D8B68" w14:textId="77777777" w:rsidR="006F4ACF" w:rsidRPr="00183B5F" w:rsidRDefault="006F4ACF" w:rsidP="004062FE">
      <w:pPr>
        <w:spacing w:line="240" w:lineRule="auto"/>
        <w:rPr>
          <w:szCs w:val="22"/>
        </w:rPr>
      </w:pPr>
    </w:p>
    <w:p w14:paraId="3F1A0267" w14:textId="77777777" w:rsidR="006F4ACF" w:rsidRPr="00183B5F" w:rsidRDefault="00943743" w:rsidP="004062FE">
      <w:pPr>
        <w:spacing w:line="240" w:lineRule="auto"/>
        <w:rPr>
          <w:szCs w:val="22"/>
        </w:rPr>
      </w:pPr>
      <w:r w:rsidRPr="00183B5F">
        <w:rPr>
          <w:szCs w:val="22"/>
        </w:rPr>
        <w:t>Használat előtt olvassa e</w:t>
      </w:r>
      <w:r w:rsidR="00A171D9" w:rsidRPr="00183B5F">
        <w:rPr>
          <w:szCs w:val="22"/>
        </w:rPr>
        <w:t>l a mellékelt betegtájékoztatót.</w:t>
      </w:r>
    </w:p>
    <w:p w14:paraId="63DAF94A" w14:textId="77777777" w:rsidR="00EB351A" w:rsidRPr="00183B5F" w:rsidRDefault="00EB351A" w:rsidP="004062FE">
      <w:pPr>
        <w:spacing w:line="240" w:lineRule="auto"/>
        <w:rPr>
          <w:strike/>
          <w:szCs w:val="22"/>
        </w:rPr>
      </w:pPr>
    </w:p>
    <w:p w14:paraId="629A7DD9" w14:textId="77777777" w:rsidR="00EB351A" w:rsidRPr="00183B5F" w:rsidRDefault="00943743" w:rsidP="004062FE">
      <w:pPr>
        <w:spacing w:line="240" w:lineRule="auto"/>
        <w:rPr>
          <w:b/>
          <w:szCs w:val="22"/>
        </w:rPr>
      </w:pPr>
      <w:r w:rsidRPr="00183B5F">
        <w:rPr>
          <w:szCs w:val="22"/>
        </w:rPr>
        <w:t>Kizárólag egyszeri alkalmazásra.</w:t>
      </w:r>
    </w:p>
    <w:p w14:paraId="5BDAD23C" w14:textId="77777777" w:rsidR="006F4ACF" w:rsidRPr="00183B5F" w:rsidRDefault="006F4ACF" w:rsidP="004062FE">
      <w:pPr>
        <w:pStyle w:val="EndnoteText"/>
        <w:tabs>
          <w:tab w:val="clear" w:pos="567"/>
        </w:tabs>
        <w:suppressAutoHyphens/>
        <w:rPr>
          <w:sz w:val="22"/>
          <w:szCs w:val="22"/>
          <w:lang w:val="hu-HU" w:eastAsia="hu-HU"/>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C21A182" w14:textId="77777777" w:rsidTr="006F4ACF">
        <w:trPr>
          <w:jc w:val="center"/>
        </w:trPr>
        <w:tc>
          <w:tcPr>
            <w:tcW w:w="9069" w:type="dxa"/>
            <w:tcBorders>
              <w:top w:val="single" w:sz="2" w:space="0" w:color="000000"/>
              <w:left w:val="single" w:sz="2" w:space="0" w:color="000000"/>
              <w:bottom w:val="single" w:sz="2" w:space="0" w:color="000000"/>
              <w:right w:val="single" w:sz="2" w:space="0" w:color="000000"/>
            </w:tcBorders>
          </w:tcPr>
          <w:p w14:paraId="74C030EB" w14:textId="77777777" w:rsidR="006F4ACF" w:rsidRPr="00183B5F" w:rsidRDefault="00943743" w:rsidP="004062FE">
            <w:pPr>
              <w:spacing w:line="240" w:lineRule="auto"/>
              <w:ind w:left="567" w:hanging="567"/>
              <w:rPr>
                <w:b/>
                <w:szCs w:val="22"/>
              </w:rPr>
            </w:pPr>
            <w:r w:rsidRPr="00183B5F">
              <w:rPr>
                <w:b/>
                <w:szCs w:val="22"/>
              </w:rPr>
              <w:t>6.</w:t>
            </w:r>
            <w:r w:rsidRPr="00183B5F">
              <w:rPr>
                <w:b/>
                <w:szCs w:val="22"/>
              </w:rPr>
              <w:tab/>
            </w:r>
            <w:r w:rsidRPr="00183B5F">
              <w:rPr>
                <w:b/>
                <w:szCs w:val="22"/>
              </w:rPr>
              <w:t>KÜLÖN FIGYELMEZTETÉS, MELY SZERINT A GYÓGYSZERT GYERMEKEKTŐL ELZÁRVA KELL TARTANI</w:t>
            </w:r>
          </w:p>
        </w:tc>
      </w:tr>
    </w:tbl>
    <w:p w14:paraId="013DAEB4" w14:textId="77777777" w:rsidR="006F4ACF" w:rsidRPr="00183B5F" w:rsidRDefault="006F4ACF" w:rsidP="004062FE">
      <w:pPr>
        <w:spacing w:line="240" w:lineRule="auto"/>
        <w:rPr>
          <w:szCs w:val="22"/>
        </w:rPr>
      </w:pPr>
    </w:p>
    <w:p w14:paraId="3663E4E4" w14:textId="77777777" w:rsidR="006F4ACF" w:rsidRPr="00183B5F" w:rsidRDefault="00943743" w:rsidP="004062FE">
      <w:pPr>
        <w:spacing w:line="240" w:lineRule="auto"/>
        <w:rPr>
          <w:szCs w:val="22"/>
        </w:rPr>
      </w:pPr>
      <w:r w:rsidRPr="00183B5F">
        <w:rPr>
          <w:szCs w:val="22"/>
        </w:rPr>
        <w:t>A gyógyszer gyermekektől elzárva tartandó.</w:t>
      </w:r>
    </w:p>
    <w:p w14:paraId="3150CCD5" w14:textId="77777777" w:rsidR="006F4ACF" w:rsidRPr="00183B5F" w:rsidRDefault="006F4ACF" w:rsidP="004062FE">
      <w:pPr>
        <w:spacing w:line="240" w:lineRule="auto"/>
        <w:rPr>
          <w:szCs w:val="22"/>
        </w:rPr>
      </w:pPr>
    </w:p>
    <w:p w14:paraId="03CEC9B2" w14:textId="77777777" w:rsidR="006F4ACF" w:rsidRPr="00183B5F" w:rsidRDefault="006F4ACF"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6DF3D82C" w14:textId="77777777" w:rsidTr="006F4ACF">
        <w:trPr>
          <w:jc w:val="center"/>
        </w:trPr>
        <w:tc>
          <w:tcPr>
            <w:tcW w:w="9069" w:type="dxa"/>
            <w:tcBorders>
              <w:top w:val="single" w:sz="2" w:space="0" w:color="000000"/>
              <w:left w:val="single" w:sz="2" w:space="0" w:color="000000"/>
              <w:bottom w:val="single" w:sz="2" w:space="0" w:color="000000"/>
              <w:right w:val="single" w:sz="2" w:space="0" w:color="000000"/>
            </w:tcBorders>
          </w:tcPr>
          <w:p w14:paraId="2F1C5BA0" w14:textId="77777777" w:rsidR="006F4ACF" w:rsidRPr="00183B5F" w:rsidRDefault="00943743" w:rsidP="004062FE">
            <w:pPr>
              <w:tabs>
                <w:tab w:val="left" w:pos="142"/>
              </w:tabs>
              <w:spacing w:line="240" w:lineRule="auto"/>
              <w:ind w:left="567" w:hanging="567"/>
              <w:rPr>
                <w:b/>
                <w:szCs w:val="22"/>
              </w:rPr>
            </w:pPr>
            <w:r w:rsidRPr="00183B5F">
              <w:rPr>
                <w:b/>
                <w:szCs w:val="22"/>
              </w:rPr>
              <w:t>7.</w:t>
            </w:r>
            <w:r w:rsidRPr="00183B5F">
              <w:rPr>
                <w:b/>
                <w:szCs w:val="22"/>
              </w:rPr>
              <w:tab/>
              <w:t>TOVÁBBI FIGYELMEZTETÉS(EK), AMENNYIBEN SZÜKSÉGES</w:t>
            </w:r>
          </w:p>
        </w:tc>
      </w:tr>
    </w:tbl>
    <w:p w14:paraId="3EB90207" w14:textId="77777777" w:rsidR="006F4ACF" w:rsidRPr="00183B5F" w:rsidRDefault="006F4ACF" w:rsidP="004062FE">
      <w:pPr>
        <w:spacing w:line="240" w:lineRule="auto"/>
        <w:rPr>
          <w:szCs w:val="22"/>
        </w:rPr>
      </w:pPr>
    </w:p>
    <w:p w14:paraId="5A8F8BB3" w14:textId="77777777" w:rsidR="006F4ACF" w:rsidRPr="00183B5F" w:rsidRDefault="006F4ACF"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2935A9FF" w14:textId="77777777" w:rsidTr="006F4ACF">
        <w:trPr>
          <w:jc w:val="center"/>
        </w:trPr>
        <w:tc>
          <w:tcPr>
            <w:tcW w:w="9069" w:type="dxa"/>
            <w:tcBorders>
              <w:top w:val="single" w:sz="2" w:space="0" w:color="000000"/>
              <w:left w:val="single" w:sz="2" w:space="0" w:color="000000"/>
              <w:bottom w:val="single" w:sz="2" w:space="0" w:color="000000"/>
              <w:right w:val="single" w:sz="2" w:space="0" w:color="000000"/>
            </w:tcBorders>
          </w:tcPr>
          <w:p w14:paraId="4FEF44F7" w14:textId="77777777" w:rsidR="006F4ACF" w:rsidRPr="00183B5F" w:rsidRDefault="00943743" w:rsidP="004062FE">
            <w:pPr>
              <w:tabs>
                <w:tab w:val="left" w:pos="142"/>
              </w:tabs>
              <w:spacing w:line="240" w:lineRule="auto"/>
              <w:ind w:left="567" w:hanging="567"/>
              <w:rPr>
                <w:b/>
                <w:szCs w:val="22"/>
              </w:rPr>
            </w:pPr>
            <w:r w:rsidRPr="00183B5F">
              <w:rPr>
                <w:b/>
                <w:szCs w:val="22"/>
              </w:rPr>
              <w:t>8.</w:t>
            </w:r>
            <w:r w:rsidRPr="00183B5F">
              <w:rPr>
                <w:b/>
                <w:szCs w:val="22"/>
              </w:rPr>
              <w:tab/>
              <w:t>LEJÁRATI IDŐ</w:t>
            </w:r>
          </w:p>
        </w:tc>
      </w:tr>
    </w:tbl>
    <w:p w14:paraId="0AC7758E" w14:textId="77777777" w:rsidR="006F4ACF" w:rsidRPr="00183B5F" w:rsidRDefault="006F4ACF" w:rsidP="004062FE">
      <w:pPr>
        <w:spacing w:line="240" w:lineRule="auto"/>
        <w:rPr>
          <w:szCs w:val="22"/>
        </w:rPr>
      </w:pPr>
    </w:p>
    <w:p w14:paraId="20F57ADD" w14:textId="77777777" w:rsidR="006F4ACF" w:rsidRPr="00183B5F" w:rsidRDefault="00943743" w:rsidP="004062FE">
      <w:pPr>
        <w:spacing w:line="240" w:lineRule="auto"/>
        <w:rPr>
          <w:szCs w:val="22"/>
        </w:rPr>
      </w:pPr>
      <w:r w:rsidRPr="00183B5F">
        <w:rPr>
          <w:szCs w:val="22"/>
        </w:rPr>
        <w:t>EXP</w:t>
      </w:r>
    </w:p>
    <w:p w14:paraId="0477458F" w14:textId="77777777" w:rsidR="006F4ACF" w:rsidRPr="00183B5F" w:rsidRDefault="006F4ACF" w:rsidP="004062FE">
      <w:pPr>
        <w:spacing w:line="240" w:lineRule="auto"/>
        <w:rPr>
          <w:szCs w:val="22"/>
        </w:rPr>
      </w:pPr>
    </w:p>
    <w:p w14:paraId="6EB4272F" w14:textId="77777777" w:rsidR="006F4ACF" w:rsidRPr="00183B5F" w:rsidRDefault="006F4ACF"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6D9B91DB" w14:textId="77777777" w:rsidTr="006F4ACF">
        <w:trPr>
          <w:jc w:val="center"/>
        </w:trPr>
        <w:tc>
          <w:tcPr>
            <w:tcW w:w="9069" w:type="dxa"/>
            <w:tcBorders>
              <w:top w:val="single" w:sz="2" w:space="0" w:color="000000"/>
              <w:left w:val="single" w:sz="2" w:space="0" w:color="000000"/>
              <w:bottom w:val="single" w:sz="2" w:space="0" w:color="000000"/>
              <w:right w:val="single" w:sz="2" w:space="0" w:color="000000"/>
            </w:tcBorders>
          </w:tcPr>
          <w:p w14:paraId="105024AC" w14:textId="77777777" w:rsidR="006F4ACF" w:rsidRPr="00183B5F" w:rsidRDefault="00943743" w:rsidP="004062FE">
            <w:pPr>
              <w:keepNext/>
              <w:tabs>
                <w:tab w:val="left" w:pos="142"/>
              </w:tabs>
              <w:spacing w:line="240" w:lineRule="auto"/>
              <w:ind w:left="567" w:hanging="567"/>
              <w:rPr>
                <w:b/>
                <w:szCs w:val="22"/>
              </w:rPr>
            </w:pPr>
            <w:r w:rsidRPr="00183B5F">
              <w:rPr>
                <w:b/>
                <w:szCs w:val="22"/>
              </w:rPr>
              <w:t>9.</w:t>
            </w:r>
            <w:r w:rsidRPr="00183B5F">
              <w:rPr>
                <w:b/>
                <w:szCs w:val="22"/>
              </w:rPr>
              <w:tab/>
            </w:r>
            <w:r w:rsidRPr="00183B5F">
              <w:rPr>
                <w:b/>
                <w:szCs w:val="22"/>
              </w:rPr>
              <w:t>KÜLÖNLEGES TÁROLÁSI ELŐÍRÁSOK</w:t>
            </w:r>
          </w:p>
        </w:tc>
      </w:tr>
    </w:tbl>
    <w:p w14:paraId="04376151" w14:textId="77777777" w:rsidR="006F4ACF" w:rsidRPr="00183B5F" w:rsidRDefault="006F4ACF" w:rsidP="004062FE">
      <w:pPr>
        <w:keepNext/>
        <w:spacing w:line="240" w:lineRule="auto"/>
        <w:rPr>
          <w:szCs w:val="22"/>
        </w:rPr>
      </w:pPr>
    </w:p>
    <w:p w14:paraId="5B9D237C" w14:textId="77777777" w:rsidR="006F4ACF" w:rsidRPr="00183B5F" w:rsidRDefault="00943743" w:rsidP="004062FE">
      <w:pPr>
        <w:keepNext/>
        <w:spacing w:line="240" w:lineRule="auto"/>
        <w:rPr>
          <w:szCs w:val="22"/>
        </w:rPr>
      </w:pPr>
      <w:r w:rsidRPr="00183B5F">
        <w:rPr>
          <w:szCs w:val="22"/>
        </w:rPr>
        <w:t>Hűtőszekrényben tárolandó. Nem fagyasztható</w:t>
      </w:r>
      <w:r w:rsidR="006B2BB7" w:rsidRPr="00183B5F">
        <w:rPr>
          <w:szCs w:val="22"/>
        </w:rPr>
        <w:t>!</w:t>
      </w:r>
    </w:p>
    <w:p w14:paraId="36673BB1" w14:textId="77777777" w:rsidR="006F4ACF" w:rsidRPr="00183B5F" w:rsidRDefault="00943743" w:rsidP="004062FE">
      <w:pPr>
        <w:spacing w:line="240" w:lineRule="auto"/>
        <w:rPr>
          <w:szCs w:val="22"/>
        </w:rPr>
      </w:pPr>
      <w:r w:rsidRPr="00183B5F">
        <w:rPr>
          <w:szCs w:val="22"/>
        </w:rPr>
        <w:t>További információkért olvassa el a betegtájékoztatót.</w:t>
      </w:r>
    </w:p>
    <w:p w14:paraId="3169C181" w14:textId="77777777" w:rsidR="00F32BBB" w:rsidRPr="00183B5F" w:rsidRDefault="00F32BBB" w:rsidP="004062FE">
      <w:pPr>
        <w:spacing w:line="240" w:lineRule="auto"/>
        <w:rPr>
          <w:szCs w:val="22"/>
        </w:rPr>
      </w:pPr>
    </w:p>
    <w:p w14:paraId="4131414A" w14:textId="77777777" w:rsidR="006F4ACF" w:rsidRPr="00183B5F" w:rsidRDefault="00943743" w:rsidP="004062FE">
      <w:pPr>
        <w:spacing w:line="240" w:lineRule="auto"/>
        <w:rPr>
          <w:szCs w:val="22"/>
        </w:rPr>
      </w:pPr>
      <w:r w:rsidRPr="00183B5F">
        <w:rPr>
          <w:szCs w:val="22"/>
        </w:rPr>
        <w:t>A fénytől való védelem érdekében a fecskendő az eredeti dobozban tárolandó.</w:t>
      </w:r>
    </w:p>
    <w:p w14:paraId="19A27C0B" w14:textId="77777777" w:rsidR="006F4ACF" w:rsidRPr="00183B5F" w:rsidRDefault="006F4ACF" w:rsidP="004062FE">
      <w:pPr>
        <w:spacing w:line="240" w:lineRule="auto"/>
        <w:rPr>
          <w:szCs w:val="22"/>
        </w:rPr>
      </w:pPr>
    </w:p>
    <w:p w14:paraId="097D6267" w14:textId="77777777" w:rsidR="006F4ACF" w:rsidRPr="00183B5F" w:rsidRDefault="006F4ACF"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4633985C" w14:textId="77777777" w:rsidTr="006F4ACF">
        <w:trPr>
          <w:jc w:val="center"/>
        </w:trPr>
        <w:tc>
          <w:tcPr>
            <w:tcW w:w="9069" w:type="dxa"/>
            <w:tcBorders>
              <w:top w:val="single" w:sz="2" w:space="0" w:color="000000"/>
              <w:left w:val="single" w:sz="2" w:space="0" w:color="000000"/>
              <w:bottom w:val="single" w:sz="2" w:space="0" w:color="000000"/>
              <w:right w:val="single" w:sz="2" w:space="0" w:color="000000"/>
            </w:tcBorders>
          </w:tcPr>
          <w:p w14:paraId="2A34C9EF" w14:textId="77777777" w:rsidR="006F4ACF" w:rsidRPr="00183B5F" w:rsidRDefault="00943743" w:rsidP="004062FE">
            <w:pPr>
              <w:tabs>
                <w:tab w:val="left" w:pos="142"/>
              </w:tabs>
              <w:spacing w:line="240" w:lineRule="auto"/>
              <w:ind w:left="567" w:hanging="567"/>
              <w:rPr>
                <w:b/>
                <w:szCs w:val="22"/>
              </w:rPr>
            </w:pPr>
            <w:r w:rsidRPr="00183B5F">
              <w:rPr>
                <w:b/>
                <w:szCs w:val="22"/>
              </w:rPr>
              <w:t>10.</w:t>
            </w:r>
            <w:r w:rsidRPr="00183B5F">
              <w:rPr>
                <w:b/>
                <w:szCs w:val="22"/>
              </w:rPr>
              <w:tab/>
              <w:t>KÜLÖNLEGES ÓVINTÉZKEDÉSEK A FEL NEM HASZNÁLT GYÓGYSZEREK VAGY AZ ILYEN TERMÉKEKBŐL KELETKEZETT HULLADÉKANYAGOK ÁRTALMATLANNÁ TÉTELÉRE, HA ILYENEKRE SZÜKSÉG VAN</w:t>
            </w:r>
          </w:p>
        </w:tc>
      </w:tr>
    </w:tbl>
    <w:p w14:paraId="4468E6A6" w14:textId="77777777" w:rsidR="006F4ACF" w:rsidRPr="00183B5F" w:rsidRDefault="006F4ACF" w:rsidP="004062FE">
      <w:pPr>
        <w:spacing w:line="240" w:lineRule="auto"/>
        <w:rPr>
          <w:szCs w:val="22"/>
        </w:rPr>
      </w:pPr>
    </w:p>
    <w:p w14:paraId="0765575C" w14:textId="77777777" w:rsidR="006F4ACF" w:rsidRPr="00183B5F" w:rsidRDefault="006F4ACF"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690E7ABA" w14:textId="77777777" w:rsidTr="006F4ACF">
        <w:trPr>
          <w:jc w:val="center"/>
        </w:trPr>
        <w:tc>
          <w:tcPr>
            <w:tcW w:w="9069" w:type="dxa"/>
            <w:tcBorders>
              <w:top w:val="single" w:sz="2" w:space="0" w:color="000000"/>
              <w:left w:val="single" w:sz="2" w:space="0" w:color="000000"/>
              <w:bottom w:val="single" w:sz="2" w:space="0" w:color="000000"/>
              <w:right w:val="single" w:sz="2" w:space="0" w:color="000000"/>
            </w:tcBorders>
          </w:tcPr>
          <w:p w14:paraId="55D50ADC" w14:textId="77777777" w:rsidR="006F4ACF" w:rsidRPr="00183B5F" w:rsidRDefault="00943743" w:rsidP="004062FE">
            <w:pPr>
              <w:tabs>
                <w:tab w:val="left" w:pos="142"/>
              </w:tabs>
              <w:spacing w:line="240" w:lineRule="auto"/>
              <w:ind w:left="567" w:hanging="567"/>
              <w:rPr>
                <w:b/>
                <w:szCs w:val="22"/>
              </w:rPr>
            </w:pPr>
            <w:r w:rsidRPr="00183B5F">
              <w:rPr>
                <w:b/>
                <w:szCs w:val="22"/>
              </w:rPr>
              <w:t>11.</w:t>
            </w:r>
            <w:r w:rsidRPr="00183B5F">
              <w:rPr>
                <w:b/>
                <w:szCs w:val="22"/>
              </w:rPr>
              <w:tab/>
              <w:t>A FORGALOMBA HOZATALI ENGEDÉLY JOGOSULTJÁNAK NEVE ÉS CÍME</w:t>
            </w:r>
          </w:p>
        </w:tc>
      </w:tr>
    </w:tbl>
    <w:p w14:paraId="6B87257B" w14:textId="77777777" w:rsidR="006F4ACF" w:rsidRPr="00183B5F" w:rsidRDefault="006F4ACF" w:rsidP="004062FE">
      <w:pPr>
        <w:spacing w:line="240" w:lineRule="auto"/>
        <w:rPr>
          <w:szCs w:val="22"/>
        </w:rPr>
      </w:pPr>
    </w:p>
    <w:p w14:paraId="3AB5DFD0"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AbbVie Deutschland GmbH &amp; Co. KG</w:t>
      </w:r>
    </w:p>
    <w:p w14:paraId="6E57F96A"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Knollstrasse</w:t>
      </w:r>
    </w:p>
    <w:p w14:paraId="400842F5"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67061 Ludwigshafen</w:t>
      </w:r>
    </w:p>
    <w:p w14:paraId="17FD76C4"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 xml:space="preserve">Németország </w:t>
      </w:r>
    </w:p>
    <w:p w14:paraId="71C1F4CC" w14:textId="77777777" w:rsidR="006F4ACF" w:rsidRPr="00183B5F" w:rsidRDefault="006F4ACF" w:rsidP="004062FE">
      <w:pPr>
        <w:spacing w:line="240" w:lineRule="auto"/>
        <w:rPr>
          <w:szCs w:val="22"/>
        </w:rPr>
      </w:pPr>
    </w:p>
    <w:p w14:paraId="38D92DC5" w14:textId="77777777" w:rsidR="006F4ACF" w:rsidRPr="00183B5F" w:rsidRDefault="006F4ACF" w:rsidP="004062FE">
      <w:pPr>
        <w:pStyle w:val="EndnoteText"/>
        <w:tabs>
          <w:tab w:val="clear" w:pos="567"/>
        </w:tabs>
        <w:suppressAutoHyphens/>
        <w:rPr>
          <w:sz w:val="22"/>
          <w:szCs w:val="22"/>
          <w:lang w:val="hu-HU" w:eastAsia="hu-HU"/>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4FD0FA05" w14:textId="77777777" w:rsidTr="006F4ACF">
        <w:trPr>
          <w:jc w:val="center"/>
        </w:trPr>
        <w:tc>
          <w:tcPr>
            <w:tcW w:w="9069" w:type="dxa"/>
            <w:tcBorders>
              <w:top w:val="single" w:sz="2" w:space="0" w:color="000000"/>
              <w:left w:val="single" w:sz="2" w:space="0" w:color="000000"/>
              <w:bottom w:val="single" w:sz="2" w:space="0" w:color="000000"/>
              <w:right w:val="single" w:sz="2" w:space="0" w:color="000000"/>
            </w:tcBorders>
          </w:tcPr>
          <w:p w14:paraId="7EBDBB8D" w14:textId="77777777" w:rsidR="006F4ACF" w:rsidRPr="00183B5F" w:rsidRDefault="00943743" w:rsidP="004062FE">
            <w:pPr>
              <w:tabs>
                <w:tab w:val="left" w:pos="142"/>
              </w:tabs>
              <w:spacing w:line="240" w:lineRule="auto"/>
              <w:ind w:left="567" w:hanging="567"/>
              <w:rPr>
                <w:b/>
                <w:szCs w:val="22"/>
              </w:rPr>
            </w:pPr>
            <w:r w:rsidRPr="00183B5F">
              <w:rPr>
                <w:b/>
                <w:szCs w:val="22"/>
              </w:rPr>
              <w:t>12.</w:t>
            </w:r>
            <w:r w:rsidRPr="00183B5F">
              <w:rPr>
                <w:b/>
                <w:szCs w:val="22"/>
              </w:rPr>
              <w:tab/>
              <w:t>A FORGALOMBA HOZATALI ENGEDÉLY SZÁMA(I)</w:t>
            </w:r>
          </w:p>
        </w:tc>
      </w:tr>
    </w:tbl>
    <w:p w14:paraId="1F147DF1" w14:textId="77777777" w:rsidR="006F4ACF" w:rsidRPr="00183B5F" w:rsidRDefault="006F4ACF" w:rsidP="004062FE">
      <w:pPr>
        <w:spacing w:line="240" w:lineRule="auto"/>
        <w:rPr>
          <w:szCs w:val="22"/>
        </w:rPr>
      </w:pPr>
    </w:p>
    <w:p w14:paraId="70303E25" w14:textId="77777777" w:rsidR="006F4ACF" w:rsidRPr="00183B5F" w:rsidRDefault="00943743" w:rsidP="004062FE">
      <w:pPr>
        <w:spacing w:line="240" w:lineRule="auto"/>
        <w:rPr>
          <w:szCs w:val="22"/>
        </w:rPr>
      </w:pPr>
      <w:r w:rsidRPr="00183B5F">
        <w:rPr>
          <w:szCs w:val="22"/>
        </w:rPr>
        <w:t>EU/1/03/256/0</w:t>
      </w:r>
      <w:r w:rsidR="000000B4" w:rsidRPr="00183B5F">
        <w:rPr>
          <w:szCs w:val="22"/>
        </w:rPr>
        <w:t>12</w:t>
      </w:r>
    </w:p>
    <w:p w14:paraId="05CD091B" w14:textId="77777777" w:rsidR="00EB351A" w:rsidRPr="00183B5F" w:rsidRDefault="00943743" w:rsidP="004062FE">
      <w:pPr>
        <w:spacing w:line="240" w:lineRule="auto"/>
        <w:ind w:left="540" w:hanging="540"/>
        <w:rPr>
          <w:highlight w:val="lightGray"/>
        </w:rPr>
      </w:pPr>
      <w:r w:rsidRPr="00183B5F">
        <w:rPr>
          <w:highlight w:val="lightGray"/>
        </w:rPr>
        <w:t>EU/1/03/256/013</w:t>
      </w:r>
    </w:p>
    <w:p w14:paraId="25E3076F" w14:textId="77777777" w:rsidR="00EB351A" w:rsidRPr="00183B5F" w:rsidRDefault="00943743" w:rsidP="004062FE">
      <w:pPr>
        <w:spacing w:line="240" w:lineRule="auto"/>
        <w:ind w:left="540" w:hanging="540"/>
        <w:rPr>
          <w:highlight w:val="lightGray"/>
        </w:rPr>
      </w:pPr>
      <w:r w:rsidRPr="00183B5F">
        <w:rPr>
          <w:highlight w:val="lightGray"/>
        </w:rPr>
        <w:t>EU/1/03/256/014</w:t>
      </w:r>
    </w:p>
    <w:p w14:paraId="11A0F0C3" w14:textId="77777777" w:rsidR="00EB351A" w:rsidRPr="00183B5F" w:rsidRDefault="00943743" w:rsidP="004062FE">
      <w:pPr>
        <w:spacing w:line="240" w:lineRule="auto"/>
        <w:ind w:left="540" w:hanging="540"/>
        <w:rPr>
          <w:szCs w:val="22"/>
        </w:rPr>
      </w:pPr>
      <w:r w:rsidRPr="00183B5F">
        <w:rPr>
          <w:highlight w:val="lightGray"/>
        </w:rPr>
        <w:t>EU/1/03/256/015</w:t>
      </w:r>
    </w:p>
    <w:p w14:paraId="66412E99" w14:textId="77777777" w:rsidR="006F4ACF" w:rsidRPr="00183B5F" w:rsidRDefault="006F4ACF" w:rsidP="004062FE">
      <w:pPr>
        <w:spacing w:line="240" w:lineRule="auto"/>
        <w:rPr>
          <w:szCs w:val="22"/>
        </w:rPr>
      </w:pPr>
    </w:p>
    <w:p w14:paraId="6DA5818A" w14:textId="77777777" w:rsidR="006F4ACF" w:rsidRPr="00183B5F" w:rsidRDefault="006F4ACF"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7B1182BB" w14:textId="77777777" w:rsidTr="006F4ACF">
        <w:trPr>
          <w:jc w:val="center"/>
        </w:trPr>
        <w:tc>
          <w:tcPr>
            <w:tcW w:w="9069" w:type="dxa"/>
            <w:tcBorders>
              <w:top w:val="single" w:sz="2" w:space="0" w:color="000000"/>
              <w:left w:val="single" w:sz="2" w:space="0" w:color="000000"/>
              <w:bottom w:val="single" w:sz="2" w:space="0" w:color="000000"/>
              <w:right w:val="single" w:sz="2" w:space="0" w:color="000000"/>
            </w:tcBorders>
          </w:tcPr>
          <w:p w14:paraId="016782CC" w14:textId="77777777" w:rsidR="006F4ACF" w:rsidRPr="00183B5F" w:rsidRDefault="00943743" w:rsidP="004062FE">
            <w:pPr>
              <w:tabs>
                <w:tab w:val="left" w:pos="142"/>
              </w:tabs>
              <w:spacing w:line="240" w:lineRule="auto"/>
              <w:ind w:left="567" w:hanging="567"/>
              <w:rPr>
                <w:b/>
                <w:szCs w:val="22"/>
              </w:rPr>
            </w:pPr>
            <w:r w:rsidRPr="00183B5F">
              <w:rPr>
                <w:b/>
                <w:szCs w:val="22"/>
              </w:rPr>
              <w:t>13.</w:t>
            </w:r>
            <w:r w:rsidRPr="00183B5F">
              <w:rPr>
                <w:b/>
                <w:szCs w:val="22"/>
              </w:rPr>
              <w:tab/>
              <w:t>A GYÁRTÁSI TÉTEL SZÁMA</w:t>
            </w:r>
          </w:p>
        </w:tc>
      </w:tr>
    </w:tbl>
    <w:p w14:paraId="69D129BB" w14:textId="77777777" w:rsidR="006F4ACF" w:rsidRPr="00183B5F" w:rsidRDefault="006F4ACF" w:rsidP="004062FE">
      <w:pPr>
        <w:spacing w:line="240" w:lineRule="auto"/>
        <w:rPr>
          <w:szCs w:val="22"/>
        </w:rPr>
      </w:pPr>
    </w:p>
    <w:p w14:paraId="183AE299" w14:textId="77777777" w:rsidR="006B2BB7" w:rsidRPr="00183B5F" w:rsidRDefault="00943743" w:rsidP="004062FE">
      <w:pPr>
        <w:spacing w:line="240" w:lineRule="auto"/>
        <w:rPr>
          <w:szCs w:val="22"/>
        </w:rPr>
      </w:pPr>
      <w:r w:rsidRPr="00183B5F">
        <w:rPr>
          <w:szCs w:val="22"/>
        </w:rPr>
        <w:t>Lot</w:t>
      </w:r>
    </w:p>
    <w:p w14:paraId="2613BE22" w14:textId="77777777" w:rsidR="006F4ACF" w:rsidRPr="00183B5F" w:rsidRDefault="006F4ACF" w:rsidP="004062FE">
      <w:pPr>
        <w:spacing w:line="240" w:lineRule="auto"/>
        <w:rPr>
          <w:szCs w:val="22"/>
        </w:rPr>
      </w:pPr>
    </w:p>
    <w:p w14:paraId="5E71DAD1" w14:textId="77777777" w:rsidR="006F4ACF" w:rsidRPr="00183B5F" w:rsidRDefault="006F4ACF"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67497334" w14:textId="77777777" w:rsidTr="006F4ACF">
        <w:trPr>
          <w:jc w:val="center"/>
        </w:trPr>
        <w:tc>
          <w:tcPr>
            <w:tcW w:w="9069" w:type="dxa"/>
            <w:tcBorders>
              <w:top w:val="single" w:sz="2" w:space="0" w:color="000000"/>
              <w:left w:val="single" w:sz="2" w:space="0" w:color="000000"/>
              <w:bottom w:val="single" w:sz="2" w:space="0" w:color="000000"/>
              <w:right w:val="single" w:sz="2" w:space="0" w:color="000000"/>
            </w:tcBorders>
          </w:tcPr>
          <w:p w14:paraId="50E4742B" w14:textId="0D042C53" w:rsidR="006F4ACF" w:rsidRPr="00183B5F" w:rsidRDefault="00943743" w:rsidP="004062FE">
            <w:pPr>
              <w:tabs>
                <w:tab w:val="left" w:pos="142"/>
              </w:tabs>
              <w:spacing w:line="240" w:lineRule="auto"/>
              <w:ind w:left="567" w:hanging="567"/>
              <w:rPr>
                <w:b/>
                <w:szCs w:val="22"/>
              </w:rPr>
            </w:pPr>
            <w:r w:rsidRPr="00183B5F">
              <w:rPr>
                <w:b/>
                <w:szCs w:val="22"/>
              </w:rPr>
              <w:t>14.</w:t>
            </w:r>
            <w:r w:rsidRPr="00183B5F">
              <w:rPr>
                <w:b/>
                <w:szCs w:val="22"/>
              </w:rPr>
              <w:tab/>
              <w:t xml:space="preserve">A GYÓGYSZER </w:t>
            </w:r>
            <w:ins w:id="9831" w:author="AbbVie_HU_03" w:date="2025-05-14T16:20:00Z">
              <w:r w:rsidR="00511721" w:rsidRPr="00BA324A">
                <w:rPr>
                  <w:b/>
                  <w:noProof/>
                </w:rPr>
                <w:t xml:space="preserve">ÁLTALÁNOS BESOROLÁSA </w:t>
              </w:r>
            </w:ins>
            <w:r w:rsidRPr="00183B5F">
              <w:rPr>
                <w:b/>
                <w:szCs w:val="22"/>
              </w:rPr>
              <w:t>RENDELHETŐSÉG</w:t>
            </w:r>
            <w:del w:id="9832" w:author="AbbVie_HU_03" w:date="2025-05-14T16:20:00Z">
              <w:r w:rsidRPr="00183B5F">
                <w:rPr>
                  <w:b/>
                  <w:szCs w:val="22"/>
                </w:rPr>
                <w:delText>E</w:delText>
              </w:r>
            </w:del>
            <w:ins w:id="9833" w:author="AbbVie_HU_03" w:date="2025-05-14T16:20:00Z">
              <w:r w:rsidR="00511721">
                <w:rPr>
                  <w:b/>
                  <w:szCs w:val="22"/>
                </w:rPr>
                <w:t xml:space="preserve"> SZEMPONTJÁBÓL</w:t>
              </w:r>
            </w:ins>
          </w:p>
        </w:tc>
      </w:tr>
    </w:tbl>
    <w:p w14:paraId="07D58D14" w14:textId="77777777" w:rsidR="006F4ACF" w:rsidRPr="00183B5F" w:rsidRDefault="006F4ACF" w:rsidP="004062FE">
      <w:pPr>
        <w:spacing w:line="240" w:lineRule="auto"/>
        <w:rPr>
          <w:szCs w:val="22"/>
        </w:rPr>
      </w:pPr>
    </w:p>
    <w:p w14:paraId="2691DD0F" w14:textId="77777777" w:rsidR="006F4ACF" w:rsidRPr="00183B5F" w:rsidRDefault="006F4ACF"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44AD87D" w14:textId="77777777" w:rsidTr="006F4ACF">
        <w:trPr>
          <w:jc w:val="center"/>
        </w:trPr>
        <w:tc>
          <w:tcPr>
            <w:tcW w:w="9069" w:type="dxa"/>
            <w:tcBorders>
              <w:top w:val="single" w:sz="2" w:space="0" w:color="000000"/>
              <w:left w:val="single" w:sz="2" w:space="0" w:color="000000"/>
              <w:bottom w:val="single" w:sz="2" w:space="0" w:color="000000"/>
              <w:right w:val="single" w:sz="2" w:space="0" w:color="000000"/>
            </w:tcBorders>
          </w:tcPr>
          <w:p w14:paraId="44DA430B" w14:textId="77777777" w:rsidR="006F4ACF" w:rsidRPr="00183B5F" w:rsidRDefault="00943743" w:rsidP="004062FE">
            <w:pPr>
              <w:tabs>
                <w:tab w:val="left" w:pos="142"/>
              </w:tabs>
              <w:spacing w:line="240" w:lineRule="auto"/>
              <w:ind w:left="567" w:hanging="567"/>
              <w:rPr>
                <w:b/>
                <w:szCs w:val="22"/>
              </w:rPr>
            </w:pPr>
            <w:r w:rsidRPr="00183B5F">
              <w:rPr>
                <w:b/>
                <w:szCs w:val="22"/>
              </w:rPr>
              <w:t>15.</w:t>
            </w:r>
            <w:r w:rsidRPr="00183B5F">
              <w:rPr>
                <w:b/>
                <w:szCs w:val="22"/>
              </w:rPr>
              <w:tab/>
              <w:t>AZ ALKALMAZÁSRA VONATKOZÓ UTASÍTÁSOK</w:t>
            </w:r>
          </w:p>
        </w:tc>
      </w:tr>
    </w:tbl>
    <w:p w14:paraId="465FDE92" w14:textId="77777777" w:rsidR="006F4ACF" w:rsidRPr="00183B5F" w:rsidRDefault="006F4ACF" w:rsidP="004062FE">
      <w:pPr>
        <w:spacing w:line="240" w:lineRule="auto"/>
        <w:rPr>
          <w:szCs w:val="22"/>
        </w:rPr>
      </w:pPr>
    </w:p>
    <w:p w14:paraId="66EA527D" w14:textId="77777777" w:rsidR="006F4ACF" w:rsidRPr="00183B5F" w:rsidRDefault="006F4ACF"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25704F87" w14:textId="77777777" w:rsidTr="006F4ACF">
        <w:trPr>
          <w:jc w:val="center"/>
        </w:trPr>
        <w:tc>
          <w:tcPr>
            <w:tcW w:w="9069" w:type="dxa"/>
            <w:tcBorders>
              <w:top w:val="single" w:sz="2" w:space="0" w:color="000000"/>
              <w:left w:val="single" w:sz="2" w:space="0" w:color="000000"/>
              <w:bottom w:val="single" w:sz="2" w:space="0" w:color="000000"/>
              <w:right w:val="single" w:sz="2" w:space="0" w:color="000000"/>
            </w:tcBorders>
          </w:tcPr>
          <w:p w14:paraId="466B823E" w14:textId="77777777" w:rsidR="006F4ACF" w:rsidRPr="00183B5F" w:rsidRDefault="00943743" w:rsidP="004062FE">
            <w:pPr>
              <w:tabs>
                <w:tab w:val="left" w:pos="142"/>
              </w:tabs>
              <w:spacing w:line="240" w:lineRule="auto"/>
              <w:ind w:left="567" w:hanging="567"/>
              <w:rPr>
                <w:b/>
                <w:szCs w:val="22"/>
              </w:rPr>
            </w:pPr>
            <w:r w:rsidRPr="00183B5F">
              <w:rPr>
                <w:b/>
                <w:szCs w:val="22"/>
              </w:rPr>
              <w:t>16.</w:t>
            </w:r>
            <w:r w:rsidRPr="00183B5F">
              <w:rPr>
                <w:b/>
                <w:szCs w:val="22"/>
              </w:rPr>
              <w:tab/>
              <w:t>BRAILLE ÍRÁSSAL FELTÜNTETETT INFORMÁCIÓK</w:t>
            </w:r>
          </w:p>
        </w:tc>
      </w:tr>
    </w:tbl>
    <w:p w14:paraId="60A7C110" w14:textId="77777777" w:rsidR="006F4ACF" w:rsidRPr="00183B5F" w:rsidRDefault="006F4ACF" w:rsidP="004062FE">
      <w:pPr>
        <w:spacing w:line="240" w:lineRule="auto"/>
        <w:rPr>
          <w:szCs w:val="22"/>
        </w:rPr>
      </w:pPr>
    </w:p>
    <w:p w14:paraId="1EA6668B" w14:textId="77777777" w:rsidR="006F4ACF" w:rsidRPr="00183B5F" w:rsidRDefault="00943743" w:rsidP="004062FE">
      <w:pPr>
        <w:spacing w:line="240" w:lineRule="auto"/>
        <w:rPr>
          <w:szCs w:val="22"/>
        </w:rPr>
      </w:pPr>
      <w:r w:rsidRPr="00183B5F">
        <w:rPr>
          <w:szCs w:val="22"/>
        </w:rPr>
        <w:t>Humira 40 mg</w:t>
      </w:r>
    </w:p>
    <w:p w14:paraId="70B8B344" w14:textId="77777777" w:rsidR="000B2A7F" w:rsidRPr="00183B5F" w:rsidRDefault="000B2A7F" w:rsidP="004062FE">
      <w:pPr>
        <w:spacing w:line="240" w:lineRule="auto"/>
        <w:rPr>
          <w:szCs w:val="22"/>
        </w:rPr>
      </w:pPr>
    </w:p>
    <w:p w14:paraId="78C2308F" w14:textId="77777777" w:rsidR="000B2A7F" w:rsidRPr="00183B5F" w:rsidRDefault="000B2A7F">
      <w:pPr>
        <w:spacing w:line="240" w:lineRule="auto"/>
        <w:rPr>
          <w:noProof/>
          <w:shd w:val="clear" w:color="auto" w:fill="CCCCCC"/>
        </w:rPr>
      </w:pPr>
    </w:p>
    <w:p w14:paraId="4CCDDDB4" w14:textId="77777777" w:rsidR="000B2A7F" w:rsidRPr="00183B5F" w:rsidRDefault="00943743">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i/>
          <w:noProof/>
        </w:rPr>
      </w:pPr>
      <w:r w:rsidRPr="00183B5F">
        <w:rPr>
          <w:b/>
          <w:noProof/>
        </w:rPr>
        <w:t>17.</w:t>
      </w:r>
      <w:r w:rsidRPr="00183B5F">
        <w:rPr>
          <w:b/>
          <w:noProof/>
        </w:rPr>
        <w:tab/>
        <w:t>EGYEDI AZONOSÍTÓ – 2D VONALKÓD</w:t>
      </w:r>
    </w:p>
    <w:p w14:paraId="10BF10B2" w14:textId="77777777" w:rsidR="000B2A7F" w:rsidRPr="00183B5F" w:rsidRDefault="000B2A7F">
      <w:pPr>
        <w:spacing w:line="240" w:lineRule="auto"/>
        <w:rPr>
          <w:noProof/>
        </w:rPr>
      </w:pPr>
    </w:p>
    <w:p w14:paraId="0CF02906" w14:textId="77777777" w:rsidR="000B2A7F" w:rsidRPr="00183B5F" w:rsidRDefault="00943743">
      <w:pPr>
        <w:spacing w:line="240" w:lineRule="auto"/>
        <w:rPr>
          <w:noProof/>
          <w:shd w:val="clear" w:color="auto" w:fill="CCCCCC"/>
        </w:rPr>
      </w:pPr>
      <w:r w:rsidRPr="00183B5F">
        <w:rPr>
          <w:noProof/>
          <w:highlight w:val="lightGray"/>
        </w:rPr>
        <w:t>Egyedi azonosítójú 2D vonalkóddal ellátva.</w:t>
      </w:r>
    </w:p>
    <w:p w14:paraId="74629308" w14:textId="77777777" w:rsidR="000B2A7F" w:rsidRPr="00183B5F" w:rsidRDefault="000B2A7F">
      <w:pPr>
        <w:spacing w:line="240" w:lineRule="auto"/>
        <w:rPr>
          <w:noProof/>
          <w:shd w:val="clear" w:color="auto" w:fill="CCCCCC"/>
        </w:rPr>
      </w:pPr>
    </w:p>
    <w:p w14:paraId="04AFA188" w14:textId="77777777" w:rsidR="000B2A7F" w:rsidRPr="00183B5F" w:rsidRDefault="000B2A7F">
      <w:pPr>
        <w:spacing w:line="240" w:lineRule="auto"/>
        <w:rPr>
          <w:noProof/>
          <w:shd w:val="clear" w:color="auto" w:fill="CCCCCC"/>
        </w:rPr>
      </w:pPr>
    </w:p>
    <w:p w14:paraId="60D48930" w14:textId="77777777" w:rsidR="000B2A7F" w:rsidRPr="00183B5F" w:rsidRDefault="00943743">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i/>
          <w:noProof/>
        </w:rPr>
      </w:pPr>
      <w:r w:rsidRPr="00183B5F">
        <w:rPr>
          <w:b/>
          <w:noProof/>
        </w:rPr>
        <w:t>18.</w:t>
      </w:r>
      <w:r w:rsidRPr="00183B5F">
        <w:rPr>
          <w:b/>
          <w:noProof/>
        </w:rPr>
        <w:tab/>
      </w:r>
      <w:r w:rsidRPr="00183B5F">
        <w:rPr>
          <w:b/>
          <w:noProof/>
        </w:rPr>
        <w:t>EGYEDI AZONOSÍTÓ OLVASHATÓ FORMÁTUMA</w:t>
      </w:r>
    </w:p>
    <w:p w14:paraId="549FEBC6" w14:textId="77777777" w:rsidR="000B2A7F" w:rsidRPr="00183B5F" w:rsidRDefault="000B2A7F">
      <w:pPr>
        <w:spacing w:line="240" w:lineRule="auto"/>
        <w:rPr>
          <w:noProof/>
        </w:rPr>
      </w:pPr>
    </w:p>
    <w:p w14:paraId="1624F601" w14:textId="77777777" w:rsidR="000B2A7F" w:rsidRPr="00183B5F" w:rsidRDefault="00943743" w:rsidP="004062FE">
      <w:pPr>
        <w:keepNext/>
        <w:spacing w:line="240" w:lineRule="auto"/>
        <w:rPr>
          <w:color w:val="008000"/>
        </w:rPr>
      </w:pPr>
      <w:r w:rsidRPr="00183B5F">
        <w:t>PC</w:t>
      </w:r>
    </w:p>
    <w:p w14:paraId="22FE4D7F" w14:textId="77777777" w:rsidR="000B2A7F" w:rsidRPr="00183B5F" w:rsidRDefault="00943743" w:rsidP="004062FE">
      <w:pPr>
        <w:spacing w:line="240" w:lineRule="auto"/>
      </w:pPr>
      <w:r w:rsidRPr="00183B5F">
        <w:t>SN</w:t>
      </w:r>
    </w:p>
    <w:p w14:paraId="10EFBF68" w14:textId="77777777" w:rsidR="000B2A7F" w:rsidRPr="00183B5F" w:rsidRDefault="00943743" w:rsidP="004062FE">
      <w:pPr>
        <w:spacing w:line="240" w:lineRule="auto"/>
      </w:pPr>
      <w:r w:rsidRPr="00183B5F">
        <w:rPr>
          <w:highlight w:val="lightGray"/>
        </w:rPr>
        <w:t>NN</w:t>
      </w:r>
    </w:p>
    <w:p w14:paraId="588EAA15" w14:textId="77777777" w:rsidR="000B2A7F" w:rsidRPr="00183B5F" w:rsidRDefault="000B2A7F" w:rsidP="004062FE">
      <w:pPr>
        <w:spacing w:line="240" w:lineRule="auto"/>
      </w:pPr>
    </w:p>
    <w:p w14:paraId="741FD565" w14:textId="77777777" w:rsidR="006F4ACF" w:rsidRPr="00183B5F" w:rsidRDefault="00943743" w:rsidP="004062FE">
      <w:pPr>
        <w:spacing w:line="240" w:lineRule="auto"/>
        <w:rPr>
          <w:szCs w:val="22"/>
        </w:rPr>
      </w:pPr>
      <w:r w:rsidRPr="00183B5F">
        <w:rPr>
          <w:szCs w:val="22"/>
        </w:rPr>
        <w:br w:type="page"/>
      </w:r>
    </w:p>
    <w:p w14:paraId="044A87DE" w14:textId="77777777" w:rsidR="0023059A" w:rsidRPr="00183B5F" w:rsidRDefault="0023059A" w:rsidP="004062FE">
      <w:pPr>
        <w:spacing w:line="240" w:lineRule="auto"/>
        <w:rPr>
          <w:b/>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62A7B649" w14:textId="77777777" w:rsidTr="0023059A">
        <w:trPr>
          <w:jc w:val="center"/>
        </w:trPr>
        <w:tc>
          <w:tcPr>
            <w:tcW w:w="9069" w:type="dxa"/>
            <w:tcBorders>
              <w:top w:val="single" w:sz="2" w:space="0" w:color="000000"/>
              <w:left w:val="single" w:sz="2" w:space="0" w:color="000000"/>
              <w:bottom w:val="single" w:sz="2" w:space="0" w:color="000000"/>
              <w:right w:val="single" w:sz="2" w:space="0" w:color="000000"/>
            </w:tcBorders>
          </w:tcPr>
          <w:p w14:paraId="3A4B1302" w14:textId="77777777" w:rsidR="0023059A" w:rsidRPr="00183B5F" w:rsidRDefault="00943743" w:rsidP="004062FE">
            <w:pPr>
              <w:spacing w:line="240" w:lineRule="auto"/>
              <w:rPr>
                <w:b/>
                <w:szCs w:val="22"/>
              </w:rPr>
            </w:pPr>
            <w:r w:rsidRPr="00183B5F">
              <w:rPr>
                <w:b/>
                <w:szCs w:val="22"/>
              </w:rPr>
              <w:t>A BUBORÉKCSOMAGOLÁSON VAGY A SZALAGFÓLIÁN MINIMÁLISAN FELTÜNTETENDŐ ADATOK</w:t>
            </w:r>
          </w:p>
          <w:p w14:paraId="6D2518E1" w14:textId="77777777" w:rsidR="0023059A" w:rsidRPr="00183B5F" w:rsidRDefault="0023059A" w:rsidP="004062FE">
            <w:pPr>
              <w:spacing w:line="240" w:lineRule="auto"/>
              <w:rPr>
                <w:b/>
                <w:szCs w:val="22"/>
              </w:rPr>
            </w:pPr>
          </w:p>
          <w:p w14:paraId="433851D2" w14:textId="77777777" w:rsidR="0023059A" w:rsidRPr="00183B5F" w:rsidRDefault="00943743" w:rsidP="004062FE">
            <w:pPr>
              <w:spacing w:line="240" w:lineRule="auto"/>
              <w:rPr>
                <w:b/>
                <w:caps/>
                <w:szCs w:val="22"/>
              </w:rPr>
            </w:pPr>
            <w:r w:rsidRPr="00183B5F">
              <w:rPr>
                <w:b/>
                <w:caps/>
                <w:szCs w:val="22"/>
              </w:rPr>
              <w:t>Tálca hátoldalán levő szöveg</w:t>
            </w:r>
          </w:p>
        </w:tc>
      </w:tr>
    </w:tbl>
    <w:p w14:paraId="5708F5EB" w14:textId="77777777" w:rsidR="0023059A" w:rsidRPr="00183B5F" w:rsidRDefault="0023059A" w:rsidP="004062FE">
      <w:pPr>
        <w:spacing w:line="240" w:lineRule="auto"/>
        <w:rPr>
          <w:szCs w:val="22"/>
        </w:rPr>
      </w:pPr>
    </w:p>
    <w:p w14:paraId="0DCF2BB0" w14:textId="77777777" w:rsidR="0023059A" w:rsidRPr="00183B5F" w:rsidRDefault="0023059A"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27AA5A19" w14:textId="77777777" w:rsidTr="0023059A">
        <w:trPr>
          <w:jc w:val="center"/>
        </w:trPr>
        <w:tc>
          <w:tcPr>
            <w:tcW w:w="9069" w:type="dxa"/>
            <w:tcBorders>
              <w:top w:val="single" w:sz="2" w:space="0" w:color="000000"/>
              <w:left w:val="single" w:sz="2" w:space="0" w:color="000000"/>
              <w:bottom w:val="single" w:sz="2" w:space="0" w:color="000000"/>
              <w:right w:val="single" w:sz="2" w:space="0" w:color="000000"/>
            </w:tcBorders>
          </w:tcPr>
          <w:p w14:paraId="5FCBC751" w14:textId="77777777" w:rsidR="0023059A" w:rsidRPr="00183B5F" w:rsidRDefault="00943743" w:rsidP="004062FE">
            <w:pPr>
              <w:tabs>
                <w:tab w:val="left" w:pos="142"/>
              </w:tabs>
              <w:spacing w:line="240" w:lineRule="auto"/>
              <w:ind w:left="567" w:hanging="567"/>
              <w:rPr>
                <w:b/>
                <w:szCs w:val="22"/>
              </w:rPr>
            </w:pPr>
            <w:r w:rsidRPr="00183B5F">
              <w:rPr>
                <w:b/>
                <w:szCs w:val="22"/>
              </w:rPr>
              <w:t>1.</w:t>
            </w:r>
            <w:r w:rsidRPr="00183B5F">
              <w:rPr>
                <w:b/>
                <w:szCs w:val="22"/>
              </w:rPr>
              <w:tab/>
              <w:t>A GYÓGYSZER NEVE</w:t>
            </w:r>
          </w:p>
        </w:tc>
      </w:tr>
    </w:tbl>
    <w:p w14:paraId="4D4F4B98" w14:textId="77777777" w:rsidR="0023059A" w:rsidRPr="00183B5F" w:rsidRDefault="0023059A" w:rsidP="004062FE">
      <w:pPr>
        <w:spacing w:line="240" w:lineRule="auto"/>
        <w:ind w:left="567" w:hanging="567"/>
        <w:rPr>
          <w:szCs w:val="22"/>
        </w:rPr>
      </w:pPr>
    </w:p>
    <w:p w14:paraId="7613F03D" w14:textId="77777777" w:rsidR="0023059A" w:rsidRPr="00183B5F" w:rsidRDefault="00943743" w:rsidP="004062FE">
      <w:pPr>
        <w:spacing w:line="240" w:lineRule="auto"/>
        <w:rPr>
          <w:szCs w:val="22"/>
        </w:rPr>
      </w:pPr>
      <w:r w:rsidRPr="00183B5F">
        <w:rPr>
          <w:szCs w:val="22"/>
        </w:rPr>
        <w:t>Humira 40 mg oldatos injekció előretöltött fecskendőben</w:t>
      </w:r>
    </w:p>
    <w:p w14:paraId="75F4552F" w14:textId="77777777" w:rsidR="0023059A" w:rsidRPr="00183B5F" w:rsidRDefault="00943743" w:rsidP="004062FE">
      <w:pPr>
        <w:pStyle w:val="EndnoteText"/>
        <w:tabs>
          <w:tab w:val="clear" w:pos="567"/>
          <w:tab w:val="left" w:pos="708"/>
        </w:tabs>
        <w:suppressAutoHyphens/>
        <w:rPr>
          <w:sz w:val="22"/>
          <w:szCs w:val="22"/>
          <w:lang w:val="hu-HU"/>
        </w:rPr>
      </w:pPr>
      <w:r w:rsidRPr="00183B5F">
        <w:rPr>
          <w:sz w:val="22"/>
          <w:szCs w:val="22"/>
          <w:lang w:val="hu-HU"/>
        </w:rPr>
        <w:t>adalimumab</w:t>
      </w:r>
    </w:p>
    <w:p w14:paraId="3974E42F" w14:textId="77777777" w:rsidR="0023059A" w:rsidRPr="00183B5F" w:rsidRDefault="0023059A" w:rsidP="004062FE">
      <w:pPr>
        <w:spacing w:line="240" w:lineRule="auto"/>
        <w:rPr>
          <w:szCs w:val="22"/>
        </w:rPr>
      </w:pPr>
    </w:p>
    <w:p w14:paraId="5462BF82" w14:textId="77777777" w:rsidR="0023059A" w:rsidRPr="00183B5F" w:rsidRDefault="0023059A"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6AA6E4FA" w14:textId="77777777" w:rsidTr="0023059A">
        <w:trPr>
          <w:jc w:val="center"/>
        </w:trPr>
        <w:tc>
          <w:tcPr>
            <w:tcW w:w="9069" w:type="dxa"/>
            <w:tcBorders>
              <w:top w:val="single" w:sz="2" w:space="0" w:color="000000"/>
              <w:left w:val="single" w:sz="2" w:space="0" w:color="000000"/>
              <w:bottom w:val="single" w:sz="2" w:space="0" w:color="000000"/>
              <w:right w:val="single" w:sz="2" w:space="0" w:color="000000"/>
            </w:tcBorders>
          </w:tcPr>
          <w:p w14:paraId="6B59AF4C" w14:textId="77777777" w:rsidR="0023059A" w:rsidRPr="00183B5F" w:rsidRDefault="00943743" w:rsidP="004062FE">
            <w:pPr>
              <w:tabs>
                <w:tab w:val="left" w:pos="142"/>
              </w:tabs>
              <w:spacing w:line="240" w:lineRule="auto"/>
              <w:ind w:left="567" w:hanging="567"/>
              <w:rPr>
                <w:b/>
                <w:szCs w:val="22"/>
              </w:rPr>
            </w:pPr>
            <w:r w:rsidRPr="00183B5F">
              <w:rPr>
                <w:b/>
                <w:szCs w:val="22"/>
              </w:rPr>
              <w:t>2.</w:t>
            </w:r>
            <w:r w:rsidRPr="00183B5F">
              <w:rPr>
                <w:b/>
                <w:szCs w:val="22"/>
              </w:rPr>
              <w:tab/>
              <w:t>A FORGALOMBA HOZATALI ENGEDÉLY JOGOSULTJÁNAK NEVE</w:t>
            </w:r>
          </w:p>
        </w:tc>
      </w:tr>
    </w:tbl>
    <w:p w14:paraId="1FAB3A17" w14:textId="77777777" w:rsidR="0023059A" w:rsidRPr="00183B5F" w:rsidRDefault="0023059A" w:rsidP="004062FE">
      <w:pPr>
        <w:spacing w:line="240" w:lineRule="auto"/>
        <w:rPr>
          <w:szCs w:val="22"/>
        </w:rPr>
      </w:pPr>
    </w:p>
    <w:p w14:paraId="06E05415" w14:textId="77777777" w:rsidR="0023059A" w:rsidRPr="00183B5F" w:rsidRDefault="00943743" w:rsidP="004062FE">
      <w:pPr>
        <w:spacing w:line="240" w:lineRule="auto"/>
        <w:ind w:right="-2"/>
        <w:rPr>
          <w:szCs w:val="22"/>
          <w:highlight w:val="lightGray"/>
          <w:lang w:eastAsia="en-GB"/>
        </w:rPr>
      </w:pPr>
      <w:r w:rsidRPr="00183B5F">
        <w:rPr>
          <w:szCs w:val="22"/>
        </w:rPr>
        <w:t xml:space="preserve">AbbVie </w:t>
      </w:r>
      <w:r w:rsidR="00CE3F71" w:rsidRPr="00183B5F">
        <w:rPr>
          <w:szCs w:val="22"/>
          <w:highlight w:val="lightGray"/>
          <w:lang w:eastAsia="en-GB"/>
        </w:rPr>
        <w:t>(logo)</w:t>
      </w:r>
    </w:p>
    <w:p w14:paraId="6706674B" w14:textId="77777777" w:rsidR="0023059A" w:rsidRPr="00183B5F" w:rsidRDefault="0023059A" w:rsidP="004062FE">
      <w:pPr>
        <w:spacing w:line="240" w:lineRule="auto"/>
        <w:rPr>
          <w:szCs w:val="22"/>
        </w:rPr>
      </w:pPr>
    </w:p>
    <w:p w14:paraId="7BB594E4" w14:textId="77777777" w:rsidR="0023059A" w:rsidRPr="00183B5F" w:rsidRDefault="0023059A"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13D5C0C8" w14:textId="77777777" w:rsidTr="0023059A">
        <w:trPr>
          <w:jc w:val="center"/>
        </w:trPr>
        <w:tc>
          <w:tcPr>
            <w:tcW w:w="9069" w:type="dxa"/>
            <w:tcBorders>
              <w:top w:val="single" w:sz="2" w:space="0" w:color="000000"/>
              <w:left w:val="single" w:sz="2" w:space="0" w:color="000000"/>
              <w:bottom w:val="single" w:sz="2" w:space="0" w:color="000000"/>
              <w:right w:val="single" w:sz="2" w:space="0" w:color="000000"/>
            </w:tcBorders>
          </w:tcPr>
          <w:p w14:paraId="001DD735" w14:textId="77777777" w:rsidR="0023059A" w:rsidRPr="00183B5F" w:rsidRDefault="00943743" w:rsidP="004062FE">
            <w:pPr>
              <w:tabs>
                <w:tab w:val="left" w:pos="142"/>
              </w:tabs>
              <w:spacing w:line="240" w:lineRule="auto"/>
              <w:ind w:left="567" w:hanging="567"/>
              <w:rPr>
                <w:b/>
                <w:szCs w:val="22"/>
              </w:rPr>
            </w:pPr>
            <w:r w:rsidRPr="00183B5F">
              <w:rPr>
                <w:b/>
                <w:szCs w:val="22"/>
              </w:rPr>
              <w:t>3.</w:t>
            </w:r>
            <w:r w:rsidRPr="00183B5F">
              <w:rPr>
                <w:b/>
                <w:szCs w:val="22"/>
              </w:rPr>
              <w:tab/>
              <w:t>LEJÁRATI IDŐ</w:t>
            </w:r>
          </w:p>
        </w:tc>
      </w:tr>
    </w:tbl>
    <w:p w14:paraId="0A5178CD" w14:textId="77777777" w:rsidR="0023059A" w:rsidRPr="00183B5F" w:rsidRDefault="0023059A" w:rsidP="004062FE">
      <w:pPr>
        <w:spacing w:line="240" w:lineRule="auto"/>
        <w:rPr>
          <w:szCs w:val="22"/>
        </w:rPr>
      </w:pPr>
    </w:p>
    <w:p w14:paraId="7293FE88" w14:textId="77777777" w:rsidR="0023059A" w:rsidRPr="00183B5F" w:rsidRDefault="00943743" w:rsidP="004062FE">
      <w:pPr>
        <w:spacing w:line="240" w:lineRule="auto"/>
        <w:rPr>
          <w:szCs w:val="22"/>
        </w:rPr>
      </w:pPr>
      <w:r w:rsidRPr="00183B5F">
        <w:rPr>
          <w:szCs w:val="22"/>
        </w:rPr>
        <w:t>EXP</w:t>
      </w:r>
    </w:p>
    <w:p w14:paraId="3298A44B" w14:textId="77777777" w:rsidR="0023059A" w:rsidRPr="00183B5F" w:rsidRDefault="0023059A" w:rsidP="004062FE">
      <w:pPr>
        <w:spacing w:line="240" w:lineRule="auto"/>
        <w:rPr>
          <w:szCs w:val="22"/>
        </w:rPr>
      </w:pPr>
    </w:p>
    <w:p w14:paraId="24E3AB16" w14:textId="77777777" w:rsidR="0023059A" w:rsidRPr="00183B5F" w:rsidRDefault="0023059A"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754F1F25" w14:textId="77777777" w:rsidTr="0023059A">
        <w:trPr>
          <w:jc w:val="center"/>
        </w:trPr>
        <w:tc>
          <w:tcPr>
            <w:tcW w:w="9069" w:type="dxa"/>
            <w:tcBorders>
              <w:top w:val="single" w:sz="2" w:space="0" w:color="000000"/>
              <w:left w:val="single" w:sz="2" w:space="0" w:color="000000"/>
              <w:bottom w:val="single" w:sz="2" w:space="0" w:color="000000"/>
              <w:right w:val="single" w:sz="2" w:space="0" w:color="000000"/>
            </w:tcBorders>
          </w:tcPr>
          <w:p w14:paraId="4D273CAA" w14:textId="77777777" w:rsidR="0023059A" w:rsidRPr="00183B5F" w:rsidRDefault="00943743" w:rsidP="004062FE">
            <w:pPr>
              <w:tabs>
                <w:tab w:val="left" w:pos="142"/>
              </w:tabs>
              <w:spacing w:line="240" w:lineRule="auto"/>
              <w:ind w:left="567" w:hanging="567"/>
              <w:rPr>
                <w:b/>
                <w:szCs w:val="22"/>
              </w:rPr>
            </w:pPr>
            <w:r w:rsidRPr="00183B5F">
              <w:rPr>
                <w:b/>
                <w:szCs w:val="22"/>
              </w:rPr>
              <w:t>4.</w:t>
            </w:r>
            <w:r w:rsidRPr="00183B5F">
              <w:rPr>
                <w:b/>
                <w:szCs w:val="22"/>
              </w:rPr>
              <w:tab/>
              <w:t>A GYÁRTÁSI TÉTEL SZÁMA</w:t>
            </w:r>
          </w:p>
        </w:tc>
      </w:tr>
    </w:tbl>
    <w:p w14:paraId="776AC307" w14:textId="77777777" w:rsidR="0023059A" w:rsidRPr="00183B5F" w:rsidRDefault="0023059A" w:rsidP="004062FE">
      <w:pPr>
        <w:spacing w:line="240" w:lineRule="auto"/>
        <w:rPr>
          <w:szCs w:val="22"/>
        </w:rPr>
      </w:pPr>
    </w:p>
    <w:p w14:paraId="55C8D5A8" w14:textId="77777777" w:rsidR="006B2BB7" w:rsidRPr="00183B5F" w:rsidRDefault="00943743" w:rsidP="004062FE">
      <w:pPr>
        <w:spacing w:line="240" w:lineRule="auto"/>
        <w:rPr>
          <w:szCs w:val="22"/>
        </w:rPr>
      </w:pPr>
      <w:r w:rsidRPr="00183B5F">
        <w:rPr>
          <w:szCs w:val="22"/>
        </w:rPr>
        <w:t>Lot</w:t>
      </w:r>
    </w:p>
    <w:p w14:paraId="14B98073" w14:textId="77777777" w:rsidR="0023059A" w:rsidRPr="00183B5F" w:rsidRDefault="0023059A" w:rsidP="004062FE">
      <w:pPr>
        <w:spacing w:line="240" w:lineRule="auto"/>
        <w:rPr>
          <w:szCs w:val="22"/>
        </w:rPr>
      </w:pPr>
    </w:p>
    <w:p w14:paraId="2B817D44" w14:textId="77777777" w:rsidR="0023059A" w:rsidRPr="00183B5F" w:rsidRDefault="0023059A"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61863D76" w14:textId="77777777" w:rsidTr="0023059A">
        <w:trPr>
          <w:jc w:val="center"/>
        </w:trPr>
        <w:tc>
          <w:tcPr>
            <w:tcW w:w="9069" w:type="dxa"/>
            <w:tcBorders>
              <w:top w:val="single" w:sz="2" w:space="0" w:color="000000"/>
              <w:left w:val="single" w:sz="2" w:space="0" w:color="000000"/>
              <w:bottom w:val="single" w:sz="2" w:space="0" w:color="000000"/>
              <w:right w:val="single" w:sz="2" w:space="0" w:color="000000"/>
            </w:tcBorders>
          </w:tcPr>
          <w:p w14:paraId="21AF6A1A" w14:textId="77777777" w:rsidR="0023059A" w:rsidRPr="00183B5F" w:rsidRDefault="00943743" w:rsidP="004062FE">
            <w:pPr>
              <w:tabs>
                <w:tab w:val="left" w:pos="142"/>
              </w:tabs>
              <w:spacing w:line="240" w:lineRule="auto"/>
              <w:ind w:left="567" w:hanging="567"/>
              <w:rPr>
                <w:b/>
                <w:szCs w:val="22"/>
              </w:rPr>
            </w:pPr>
            <w:r w:rsidRPr="00183B5F">
              <w:rPr>
                <w:b/>
                <w:szCs w:val="22"/>
              </w:rPr>
              <w:t>5.</w:t>
            </w:r>
            <w:r w:rsidRPr="00183B5F">
              <w:rPr>
                <w:b/>
                <w:szCs w:val="22"/>
              </w:rPr>
              <w:tab/>
              <w:t>EGYÉB INFORMÁCIÓK</w:t>
            </w:r>
          </w:p>
        </w:tc>
      </w:tr>
    </w:tbl>
    <w:p w14:paraId="75F0C5C9" w14:textId="77777777" w:rsidR="0023059A" w:rsidRPr="00183B5F" w:rsidRDefault="0023059A" w:rsidP="004062FE">
      <w:pPr>
        <w:spacing w:line="240" w:lineRule="auto"/>
        <w:rPr>
          <w:b/>
          <w:szCs w:val="22"/>
        </w:rPr>
      </w:pPr>
    </w:p>
    <w:p w14:paraId="30E09BC5" w14:textId="77777777" w:rsidR="0023059A" w:rsidRPr="00183B5F" w:rsidRDefault="00943743" w:rsidP="004062FE">
      <w:pPr>
        <w:spacing w:line="240" w:lineRule="auto"/>
        <w:rPr>
          <w:szCs w:val="22"/>
        </w:rPr>
      </w:pPr>
      <w:r w:rsidRPr="00183B5F">
        <w:rPr>
          <w:szCs w:val="22"/>
        </w:rPr>
        <w:t>Tárolási információkért olvassa el a betegtájékoztatót.</w:t>
      </w:r>
    </w:p>
    <w:p w14:paraId="33C48FD6" w14:textId="77777777" w:rsidR="001334C2" w:rsidRPr="00183B5F" w:rsidRDefault="001334C2" w:rsidP="004062FE">
      <w:pPr>
        <w:spacing w:line="240" w:lineRule="auto"/>
        <w:rPr>
          <w:szCs w:val="22"/>
        </w:rPr>
      </w:pPr>
    </w:p>
    <w:p w14:paraId="16CED239" w14:textId="77777777" w:rsidR="0023059A" w:rsidRPr="00183B5F" w:rsidRDefault="00943743" w:rsidP="004062FE">
      <w:pPr>
        <w:spacing w:line="240" w:lineRule="auto"/>
        <w:rPr>
          <w:szCs w:val="22"/>
        </w:rPr>
      </w:pPr>
      <w:r w:rsidRPr="00183B5F">
        <w:rPr>
          <w:szCs w:val="22"/>
        </w:rPr>
        <w:t>Kizárólag egyszeri alkalmazásra.</w:t>
      </w:r>
    </w:p>
    <w:p w14:paraId="17638124" w14:textId="77777777" w:rsidR="00EB351A" w:rsidRPr="00183B5F" w:rsidRDefault="00EB351A" w:rsidP="004062FE">
      <w:pPr>
        <w:spacing w:line="240" w:lineRule="auto"/>
        <w:rPr>
          <w:szCs w:val="22"/>
        </w:rPr>
      </w:pPr>
    </w:p>
    <w:p w14:paraId="5F5E10E7" w14:textId="77777777" w:rsidR="00277761" w:rsidRPr="00183B5F" w:rsidRDefault="00943743" w:rsidP="00277761">
      <w:pPr>
        <w:spacing w:line="240" w:lineRule="auto"/>
        <w:rPr>
          <w:szCs w:val="22"/>
        </w:rPr>
      </w:pPr>
      <w:r w:rsidRPr="00183B5F">
        <w:rPr>
          <w:szCs w:val="22"/>
        </w:rPr>
        <w:t>40 mg/0,4 ml</w:t>
      </w:r>
    </w:p>
    <w:p w14:paraId="36BB4B0E" w14:textId="77777777" w:rsidR="00277761" w:rsidRPr="00183B5F" w:rsidRDefault="00277761" w:rsidP="00277761">
      <w:pPr>
        <w:spacing w:line="240" w:lineRule="auto"/>
        <w:rPr>
          <w:szCs w:val="22"/>
          <w:highlight w:val="lightGray"/>
        </w:rPr>
      </w:pPr>
    </w:p>
    <w:p w14:paraId="4A3B2975" w14:textId="77777777" w:rsidR="00277761" w:rsidRPr="00183B5F" w:rsidRDefault="00277761" w:rsidP="00277761">
      <w:pPr>
        <w:spacing w:line="240" w:lineRule="auto"/>
        <w:rPr>
          <w:szCs w:val="22"/>
        </w:rPr>
      </w:pPr>
    </w:p>
    <w:p w14:paraId="5AB25162" w14:textId="77777777" w:rsidR="00277761" w:rsidRPr="00183B5F" w:rsidRDefault="00277761" w:rsidP="00277761">
      <w:pPr>
        <w:spacing w:line="240" w:lineRule="auto"/>
        <w:rPr>
          <w:szCs w:val="22"/>
        </w:rPr>
      </w:pPr>
    </w:p>
    <w:p w14:paraId="05E8FB51" w14:textId="77777777" w:rsidR="0023059A" w:rsidRPr="00183B5F" w:rsidRDefault="0023059A" w:rsidP="004062FE">
      <w:pPr>
        <w:pageBreakBefore/>
        <w:spacing w:line="240" w:lineRule="auto"/>
        <w:rPr>
          <w:b/>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7C23A6EF" w14:textId="77777777" w:rsidTr="0023059A">
        <w:trPr>
          <w:trHeight w:val="785"/>
          <w:jc w:val="center"/>
        </w:trPr>
        <w:tc>
          <w:tcPr>
            <w:tcW w:w="9069" w:type="dxa"/>
            <w:tcBorders>
              <w:top w:val="single" w:sz="4" w:space="0" w:color="auto"/>
              <w:bottom w:val="single" w:sz="4" w:space="0" w:color="auto"/>
            </w:tcBorders>
          </w:tcPr>
          <w:p w14:paraId="55FDF651" w14:textId="77777777" w:rsidR="0023059A" w:rsidRPr="00183B5F" w:rsidRDefault="00943743" w:rsidP="004062FE">
            <w:pPr>
              <w:spacing w:line="240" w:lineRule="auto"/>
              <w:rPr>
                <w:b/>
                <w:szCs w:val="22"/>
              </w:rPr>
            </w:pPr>
            <w:r w:rsidRPr="00183B5F">
              <w:rPr>
                <w:b/>
                <w:szCs w:val="22"/>
              </w:rPr>
              <w:t>A KIS KÖZVETLEN CSOMAGOLÁSI EGYSÉGEKEN MINIMÁLISAN FELTÜNTETENDŐ ADATOK</w:t>
            </w:r>
          </w:p>
          <w:p w14:paraId="0ADF5B7E" w14:textId="77777777" w:rsidR="0023059A" w:rsidRPr="00183B5F" w:rsidRDefault="0023059A" w:rsidP="004062FE">
            <w:pPr>
              <w:spacing w:line="240" w:lineRule="auto"/>
              <w:rPr>
                <w:b/>
                <w:szCs w:val="22"/>
              </w:rPr>
            </w:pPr>
          </w:p>
          <w:p w14:paraId="35C5B0FD" w14:textId="77777777" w:rsidR="0023059A" w:rsidRPr="00183B5F" w:rsidRDefault="00943743" w:rsidP="004062FE">
            <w:pPr>
              <w:spacing w:line="240" w:lineRule="auto"/>
              <w:rPr>
                <w:b/>
                <w:caps/>
                <w:szCs w:val="22"/>
              </w:rPr>
            </w:pPr>
            <w:r w:rsidRPr="00183B5F">
              <w:rPr>
                <w:b/>
                <w:caps/>
                <w:szCs w:val="22"/>
              </w:rPr>
              <w:t>AZ INJEKCIÓS Üveg cÍmkÉJE</w:t>
            </w:r>
          </w:p>
        </w:tc>
      </w:tr>
    </w:tbl>
    <w:p w14:paraId="7EC81488" w14:textId="77777777" w:rsidR="0023059A" w:rsidRPr="00183B5F" w:rsidRDefault="0023059A" w:rsidP="004062FE">
      <w:pPr>
        <w:spacing w:line="240" w:lineRule="auto"/>
        <w:rPr>
          <w:b/>
          <w:szCs w:val="22"/>
        </w:rPr>
      </w:pPr>
    </w:p>
    <w:p w14:paraId="5CC8B365" w14:textId="77777777" w:rsidR="0023059A" w:rsidRPr="00183B5F" w:rsidRDefault="0023059A" w:rsidP="004062FE">
      <w:pPr>
        <w:spacing w:line="240" w:lineRule="auto"/>
        <w:rPr>
          <w:b/>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2FA5BC1D" w14:textId="77777777" w:rsidTr="0023059A">
        <w:trPr>
          <w:jc w:val="center"/>
        </w:trPr>
        <w:tc>
          <w:tcPr>
            <w:tcW w:w="9069" w:type="dxa"/>
            <w:tcBorders>
              <w:top w:val="single" w:sz="4" w:space="0" w:color="auto"/>
              <w:bottom w:val="single" w:sz="4" w:space="0" w:color="auto"/>
            </w:tcBorders>
          </w:tcPr>
          <w:p w14:paraId="1A970BA0" w14:textId="77777777" w:rsidR="0023059A" w:rsidRPr="00183B5F" w:rsidRDefault="00943743" w:rsidP="004062FE">
            <w:pPr>
              <w:tabs>
                <w:tab w:val="left" w:pos="142"/>
              </w:tabs>
              <w:spacing w:line="240" w:lineRule="auto"/>
              <w:ind w:left="567" w:hanging="567"/>
              <w:rPr>
                <w:b/>
                <w:szCs w:val="22"/>
              </w:rPr>
            </w:pPr>
            <w:r w:rsidRPr="00183B5F">
              <w:rPr>
                <w:b/>
                <w:szCs w:val="22"/>
              </w:rPr>
              <w:t>1.</w:t>
            </w:r>
            <w:r w:rsidRPr="00183B5F">
              <w:rPr>
                <w:b/>
                <w:szCs w:val="22"/>
              </w:rPr>
              <w:tab/>
            </w:r>
            <w:r w:rsidRPr="00183B5F">
              <w:rPr>
                <w:b/>
                <w:szCs w:val="22"/>
              </w:rPr>
              <w:t>A GYÓGYSZER NEVE ÉS AZ ALKALMAZÁS MÓDJA</w:t>
            </w:r>
            <w:del w:id="9834" w:author="AbbVie_HU_03" w:date="2025-05-14T16:20:00Z">
              <w:r w:rsidRPr="00183B5F">
                <w:rPr>
                  <w:b/>
                  <w:szCs w:val="22"/>
                </w:rPr>
                <w:delText xml:space="preserve"> </w:delText>
              </w:r>
            </w:del>
            <w:r w:rsidRPr="00183B5F">
              <w:rPr>
                <w:b/>
                <w:szCs w:val="22"/>
              </w:rPr>
              <w:t>(I)</w:t>
            </w:r>
          </w:p>
        </w:tc>
      </w:tr>
    </w:tbl>
    <w:p w14:paraId="042E66DA" w14:textId="77777777" w:rsidR="0023059A" w:rsidRPr="00183B5F" w:rsidRDefault="0023059A" w:rsidP="004062FE">
      <w:pPr>
        <w:spacing w:line="240" w:lineRule="auto"/>
        <w:rPr>
          <w:szCs w:val="22"/>
        </w:rPr>
      </w:pPr>
    </w:p>
    <w:p w14:paraId="032C6329" w14:textId="77777777" w:rsidR="0023059A" w:rsidRPr="00183B5F" w:rsidRDefault="00943743" w:rsidP="004062FE">
      <w:pPr>
        <w:pStyle w:val="EndnoteText"/>
        <w:tabs>
          <w:tab w:val="clear" w:pos="567"/>
        </w:tabs>
        <w:suppressAutoHyphens/>
        <w:rPr>
          <w:sz w:val="22"/>
          <w:lang w:val="hu-HU"/>
        </w:rPr>
      </w:pPr>
      <w:r w:rsidRPr="00183B5F">
        <w:rPr>
          <w:sz w:val="22"/>
          <w:szCs w:val="22"/>
          <w:lang w:val="hu-HU" w:eastAsia="hu-HU"/>
        </w:rPr>
        <w:t>Humira 40 mg injekció</w:t>
      </w:r>
    </w:p>
    <w:p w14:paraId="58E4C494" w14:textId="77777777" w:rsidR="001334C2" w:rsidRPr="00183B5F" w:rsidRDefault="00943743" w:rsidP="004062FE">
      <w:pPr>
        <w:pStyle w:val="EndnoteText"/>
        <w:tabs>
          <w:tab w:val="clear" w:pos="567"/>
          <w:tab w:val="left" w:pos="708"/>
        </w:tabs>
        <w:suppressAutoHyphens/>
        <w:rPr>
          <w:sz w:val="22"/>
          <w:szCs w:val="22"/>
          <w:lang w:val="hu-HU"/>
        </w:rPr>
      </w:pPr>
      <w:r w:rsidRPr="00183B5F">
        <w:rPr>
          <w:sz w:val="22"/>
          <w:szCs w:val="22"/>
          <w:lang w:val="hu-HU"/>
        </w:rPr>
        <w:t>adalimumab</w:t>
      </w:r>
    </w:p>
    <w:p w14:paraId="5B5653CF" w14:textId="77777777" w:rsidR="0023059A" w:rsidRPr="00183B5F" w:rsidRDefault="00943743" w:rsidP="004062FE">
      <w:pPr>
        <w:spacing w:line="240" w:lineRule="auto"/>
        <w:ind w:left="567" w:hanging="567"/>
        <w:rPr>
          <w:szCs w:val="22"/>
        </w:rPr>
      </w:pPr>
      <w:r w:rsidRPr="00183B5F">
        <w:rPr>
          <w:szCs w:val="22"/>
        </w:rPr>
        <w:t>sc</w:t>
      </w:r>
      <w:r w:rsidR="00A53E7F" w:rsidRPr="00183B5F">
        <w:rPr>
          <w:szCs w:val="22"/>
        </w:rPr>
        <w:t>.</w:t>
      </w:r>
    </w:p>
    <w:p w14:paraId="19DA0837" w14:textId="77777777" w:rsidR="0023059A" w:rsidRPr="00183B5F" w:rsidRDefault="0023059A" w:rsidP="004062FE">
      <w:pPr>
        <w:spacing w:line="240" w:lineRule="auto"/>
        <w:rPr>
          <w:b/>
          <w:szCs w:val="22"/>
        </w:rPr>
      </w:pPr>
    </w:p>
    <w:p w14:paraId="5C79DB8E" w14:textId="77777777" w:rsidR="0023059A" w:rsidRPr="00183B5F" w:rsidRDefault="0023059A" w:rsidP="004062FE">
      <w:pPr>
        <w:spacing w:line="240" w:lineRule="auto"/>
        <w:rPr>
          <w:b/>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7E0A3FAC" w14:textId="77777777" w:rsidTr="0023059A">
        <w:trPr>
          <w:jc w:val="center"/>
        </w:trPr>
        <w:tc>
          <w:tcPr>
            <w:tcW w:w="9069" w:type="dxa"/>
            <w:tcBorders>
              <w:top w:val="single" w:sz="4" w:space="0" w:color="auto"/>
              <w:bottom w:val="single" w:sz="4" w:space="0" w:color="auto"/>
            </w:tcBorders>
          </w:tcPr>
          <w:p w14:paraId="49E8AB8E" w14:textId="77777777" w:rsidR="0023059A" w:rsidRPr="00183B5F" w:rsidRDefault="00943743" w:rsidP="004062FE">
            <w:pPr>
              <w:tabs>
                <w:tab w:val="left" w:pos="142"/>
              </w:tabs>
              <w:spacing w:line="240" w:lineRule="auto"/>
              <w:ind w:left="567" w:hanging="567"/>
              <w:rPr>
                <w:b/>
                <w:szCs w:val="22"/>
              </w:rPr>
            </w:pPr>
            <w:r w:rsidRPr="00183B5F">
              <w:rPr>
                <w:b/>
                <w:szCs w:val="22"/>
              </w:rPr>
              <w:t>2.</w:t>
            </w:r>
            <w:r w:rsidRPr="00183B5F">
              <w:rPr>
                <w:b/>
                <w:szCs w:val="22"/>
              </w:rPr>
              <w:tab/>
              <w:t>AZ ALKALMAZÁSSAL KAPCSOLATOS TUDNIVALÓK</w:t>
            </w:r>
          </w:p>
        </w:tc>
      </w:tr>
    </w:tbl>
    <w:p w14:paraId="6A39A88F" w14:textId="77777777" w:rsidR="0023059A" w:rsidRPr="00183B5F" w:rsidRDefault="0023059A" w:rsidP="004062FE">
      <w:pPr>
        <w:spacing w:line="240" w:lineRule="auto"/>
        <w:rPr>
          <w:b/>
          <w:szCs w:val="22"/>
        </w:rPr>
      </w:pPr>
    </w:p>
    <w:p w14:paraId="4104788D" w14:textId="77777777" w:rsidR="0023059A" w:rsidRPr="00183B5F" w:rsidRDefault="0023059A" w:rsidP="004062FE">
      <w:pPr>
        <w:spacing w:line="240" w:lineRule="auto"/>
        <w:rPr>
          <w:b/>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607658FF" w14:textId="77777777" w:rsidTr="0023059A">
        <w:trPr>
          <w:jc w:val="center"/>
        </w:trPr>
        <w:tc>
          <w:tcPr>
            <w:tcW w:w="9069" w:type="dxa"/>
            <w:tcBorders>
              <w:top w:val="single" w:sz="4" w:space="0" w:color="auto"/>
              <w:bottom w:val="single" w:sz="4" w:space="0" w:color="auto"/>
            </w:tcBorders>
          </w:tcPr>
          <w:p w14:paraId="639183B3" w14:textId="77777777" w:rsidR="0023059A" w:rsidRPr="00183B5F" w:rsidRDefault="00943743" w:rsidP="004062FE">
            <w:pPr>
              <w:tabs>
                <w:tab w:val="left" w:pos="142"/>
              </w:tabs>
              <w:spacing w:line="240" w:lineRule="auto"/>
              <w:rPr>
                <w:b/>
                <w:szCs w:val="22"/>
              </w:rPr>
            </w:pPr>
            <w:r w:rsidRPr="00183B5F">
              <w:rPr>
                <w:b/>
                <w:szCs w:val="22"/>
              </w:rPr>
              <w:t>3.</w:t>
            </w:r>
            <w:r w:rsidRPr="00183B5F">
              <w:rPr>
                <w:b/>
                <w:szCs w:val="22"/>
              </w:rPr>
              <w:tab/>
              <w:t>LEJÁRATI IDŐ</w:t>
            </w:r>
          </w:p>
        </w:tc>
      </w:tr>
    </w:tbl>
    <w:p w14:paraId="374108DA" w14:textId="77777777" w:rsidR="0023059A" w:rsidRPr="00183B5F" w:rsidRDefault="0023059A" w:rsidP="004062FE">
      <w:pPr>
        <w:spacing w:line="240" w:lineRule="auto"/>
        <w:rPr>
          <w:szCs w:val="22"/>
        </w:rPr>
      </w:pPr>
    </w:p>
    <w:p w14:paraId="54FD6158" w14:textId="77777777" w:rsidR="0023059A" w:rsidRPr="00183B5F" w:rsidRDefault="00943743" w:rsidP="004062FE">
      <w:pPr>
        <w:spacing w:line="240" w:lineRule="auto"/>
        <w:rPr>
          <w:szCs w:val="22"/>
        </w:rPr>
      </w:pPr>
      <w:r w:rsidRPr="00183B5F">
        <w:rPr>
          <w:szCs w:val="22"/>
        </w:rPr>
        <w:t>EXP</w:t>
      </w:r>
    </w:p>
    <w:p w14:paraId="178C581E" w14:textId="77777777" w:rsidR="0023059A" w:rsidRPr="00183B5F" w:rsidRDefault="0023059A" w:rsidP="004062FE">
      <w:pPr>
        <w:spacing w:line="240" w:lineRule="auto"/>
        <w:rPr>
          <w:b/>
          <w:szCs w:val="22"/>
        </w:rPr>
      </w:pPr>
    </w:p>
    <w:p w14:paraId="7E1D46FE" w14:textId="77777777" w:rsidR="0023059A" w:rsidRPr="00183B5F" w:rsidRDefault="0023059A" w:rsidP="004062FE">
      <w:pPr>
        <w:spacing w:line="240" w:lineRule="auto"/>
        <w:rPr>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6DB5B47B" w14:textId="77777777" w:rsidTr="0023059A">
        <w:trPr>
          <w:jc w:val="center"/>
        </w:trPr>
        <w:tc>
          <w:tcPr>
            <w:tcW w:w="9069" w:type="dxa"/>
            <w:tcBorders>
              <w:top w:val="single" w:sz="4" w:space="0" w:color="auto"/>
              <w:bottom w:val="single" w:sz="4" w:space="0" w:color="auto"/>
            </w:tcBorders>
          </w:tcPr>
          <w:p w14:paraId="44398525" w14:textId="77777777" w:rsidR="0023059A" w:rsidRPr="00183B5F" w:rsidRDefault="00943743" w:rsidP="004062FE">
            <w:pPr>
              <w:tabs>
                <w:tab w:val="left" w:pos="142"/>
              </w:tabs>
              <w:spacing w:line="240" w:lineRule="auto"/>
              <w:ind w:left="567" w:hanging="567"/>
              <w:rPr>
                <w:b/>
                <w:szCs w:val="22"/>
              </w:rPr>
            </w:pPr>
            <w:r w:rsidRPr="00183B5F">
              <w:rPr>
                <w:b/>
                <w:szCs w:val="22"/>
              </w:rPr>
              <w:t>4.</w:t>
            </w:r>
            <w:r w:rsidRPr="00183B5F">
              <w:rPr>
                <w:b/>
                <w:szCs w:val="22"/>
              </w:rPr>
              <w:tab/>
              <w:t>A GYÁRTÁSI TÉTEL SZÁMA</w:t>
            </w:r>
          </w:p>
        </w:tc>
      </w:tr>
    </w:tbl>
    <w:p w14:paraId="6ED9BCEE" w14:textId="77777777" w:rsidR="0023059A" w:rsidRPr="00183B5F" w:rsidRDefault="0023059A" w:rsidP="004062FE">
      <w:pPr>
        <w:spacing w:line="240" w:lineRule="auto"/>
        <w:rPr>
          <w:szCs w:val="22"/>
        </w:rPr>
      </w:pPr>
    </w:p>
    <w:p w14:paraId="3231E62E" w14:textId="77777777" w:rsidR="006B2BB7" w:rsidRPr="00183B5F" w:rsidRDefault="00943743" w:rsidP="004062FE">
      <w:pPr>
        <w:spacing w:line="240" w:lineRule="auto"/>
        <w:rPr>
          <w:szCs w:val="22"/>
        </w:rPr>
      </w:pPr>
      <w:r w:rsidRPr="00183B5F">
        <w:rPr>
          <w:szCs w:val="22"/>
        </w:rPr>
        <w:t>Lot</w:t>
      </w:r>
    </w:p>
    <w:p w14:paraId="3F5845F5" w14:textId="77777777" w:rsidR="0023059A" w:rsidRPr="00183B5F" w:rsidRDefault="0023059A" w:rsidP="004062FE">
      <w:pPr>
        <w:spacing w:line="240" w:lineRule="auto"/>
        <w:ind w:right="113"/>
        <w:rPr>
          <w:szCs w:val="22"/>
        </w:rPr>
      </w:pPr>
    </w:p>
    <w:p w14:paraId="38809A47" w14:textId="77777777" w:rsidR="0023059A" w:rsidRPr="00183B5F" w:rsidRDefault="0023059A" w:rsidP="004062FE">
      <w:pPr>
        <w:spacing w:line="240" w:lineRule="auto"/>
        <w:ind w:right="113"/>
        <w:rPr>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20B05083" w14:textId="77777777" w:rsidTr="0023059A">
        <w:trPr>
          <w:jc w:val="center"/>
        </w:trPr>
        <w:tc>
          <w:tcPr>
            <w:tcW w:w="9069" w:type="dxa"/>
            <w:tcBorders>
              <w:top w:val="single" w:sz="4" w:space="0" w:color="auto"/>
              <w:bottom w:val="single" w:sz="4" w:space="0" w:color="auto"/>
            </w:tcBorders>
          </w:tcPr>
          <w:p w14:paraId="38AB5A34" w14:textId="4E08D12E" w:rsidR="0023059A" w:rsidRPr="00183B5F" w:rsidRDefault="00943743" w:rsidP="004062FE">
            <w:pPr>
              <w:tabs>
                <w:tab w:val="left" w:pos="142"/>
              </w:tabs>
              <w:spacing w:line="240" w:lineRule="auto"/>
              <w:ind w:left="567" w:hanging="567"/>
              <w:rPr>
                <w:b/>
                <w:szCs w:val="22"/>
              </w:rPr>
            </w:pPr>
            <w:r w:rsidRPr="00183B5F">
              <w:rPr>
                <w:b/>
                <w:szCs w:val="22"/>
              </w:rPr>
              <w:t>5.</w:t>
            </w:r>
            <w:r w:rsidRPr="00183B5F">
              <w:rPr>
                <w:b/>
                <w:szCs w:val="22"/>
              </w:rPr>
              <w:tab/>
              <w:t xml:space="preserve">A TARTALOM </w:t>
            </w:r>
            <w:del w:id="9835" w:author="AbbVie_HU_03" w:date="2025-05-14T16:21:00Z">
              <w:r w:rsidRPr="00183B5F">
                <w:rPr>
                  <w:b/>
                  <w:szCs w:val="22"/>
                </w:rPr>
                <w:delText>SÚLYRA</w:delText>
              </w:r>
            </w:del>
            <w:ins w:id="9836" w:author="AbbVie_HU_03" w:date="2025-05-14T16:21:00Z">
              <w:r w:rsidR="00511721">
                <w:rPr>
                  <w:b/>
                  <w:szCs w:val="22"/>
                </w:rPr>
                <w:t>TÖMEGRE</w:t>
              </w:r>
            </w:ins>
            <w:r w:rsidRPr="00183B5F">
              <w:rPr>
                <w:b/>
                <w:szCs w:val="22"/>
              </w:rPr>
              <w:t>, TÉRFOGATRA, VAGY EGYSÉGRE VONATKOZTATVA</w:t>
            </w:r>
          </w:p>
        </w:tc>
      </w:tr>
    </w:tbl>
    <w:p w14:paraId="270D8057" w14:textId="77777777" w:rsidR="0023059A" w:rsidRPr="00183B5F" w:rsidRDefault="0023059A" w:rsidP="004062FE">
      <w:pPr>
        <w:spacing w:line="240" w:lineRule="auto"/>
        <w:rPr>
          <w:szCs w:val="22"/>
        </w:rPr>
      </w:pPr>
    </w:p>
    <w:p w14:paraId="4C015FC6" w14:textId="77777777" w:rsidR="0023059A" w:rsidRPr="00183B5F" w:rsidRDefault="00943743" w:rsidP="004062FE">
      <w:pPr>
        <w:pStyle w:val="EndnoteText"/>
        <w:tabs>
          <w:tab w:val="clear" w:pos="567"/>
        </w:tabs>
        <w:suppressAutoHyphens/>
        <w:rPr>
          <w:sz w:val="22"/>
          <w:szCs w:val="22"/>
          <w:lang w:val="hu-HU" w:eastAsia="hu-HU"/>
        </w:rPr>
      </w:pPr>
      <w:r w:rsidRPr="00183B5F">
        <w:rPr>
          <w:sz w:val="22"/>
          <w:szCs w:val="22"/>
          <w:lang w:val="hu-HU" w:eastAsia="hu-HU"/>
        </w:rPr>
        <w:t>40 mg/0,4 ml</w:t>
      </w:r>
    </w:p>
    <w:p w14:paraId="6BC4046C" w14:textId="77777777" w:rsidR="0023059A" w:rsidRPr="00183B5F" w:rsidRDefault="0023059A" w:rsidP="004062FE">
      <w:pPr>
        <w:spacing w:line="240" w:lineRule="auto"/>
        <w:rPr>
          <w:szCs w:val="22"/>
        </w:rPr>
      </w:pPr>
    </w:p>
    <w:p w14:paraId="59EA86BD" w14:textId="77777777" w:rsidR="0023059A" w:rsidRPr="00183B5F" w:rsidRDefault="0023059A" w:rsidP="004062FE">
      <w:pPr>
        <w:spacing w:line="240" w:lineRule="auto"/>
        <w:rPr>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4EF023B0" w14:textId="77777777" w:rsidTr="0023059A">
        <w:trPr>
          <w:jc w:val="center"/>
        </w:trPr>
        <w:tc>
          <w:tcPr>
            <w:tcW w:w="9069" w:type="dxa"/>
            <w:tcBorders>
              <w:top w:val="single" w:sz="4" w:space="0" w:color="auto"/>
              <w:bottom w:val="single" w:sz="4" w:space="0" w:color="auto"/>
            </w:tcBorders>
          </w:tcPr>
          <w:p w14:paraId="153FE2E5" w14:textId="77777777" w:rsidR="0023059A" w:rsidRPr="00183B5F" w:rsidRDefault="00943743" w:rsidP="004062FE">
            <w:pPr>
              <w:tabs>
                <w:tab w:val="left" w:pos="142"/>
              </w:tabs>
              <w:spacing w:line="240" w:lineRule="auto"/>
              <w:ind w:left="567" w:hanging="567"/>
              <w:rPr>
                <w:b/>
                <w:szCs w:val="22"/>
              </w:rPr>
            </w:pPr>
            <w:r w:rsidRPr="00183B5F">
              <w:rPr>
                <w:b/>
                <w:szCs w:val="22"/>
              </w:rPr>
              <w:t>6.</w:t>
            </w:r>
            <w:r w:rsidRPr="00183B5F">
              <w:rPr>
                <w:b/>
                <w:szCs w:val="22"/>
              </w:rPr>
              <w:tab/>
              <w:t>EGYÉB INFORMÁCIÓK</w:t>
            </w:r>
          </w:p>
        </w:tc>
      </w:tr>
    </w:tbl>
    <w:p w14:paraId="6D95EF20" w14:textId="77777777" w:rsidR="00EF3B31" w:rsidRPr="00183B5F" w:rsidRDefault="00EF3B31" w:rsidP="004062FE">
      <w:pPr>
        <w:spacing w:line="240" w:lineRule="auto"/>
        <w:jc w:val="center"/>
        <w:rPr>
          <w:szCs w:val="22"/>
        </w:rPr>
      </w:pPr>
    </w:p>
    <w:p w14:paraId="2C0396D0" w14:textId="77777777" w:rsidR="00EF3B31" w:rsidRPr="00183B5F" w:rsidRDefault="00943743">
      <w:pPr>
        <w:suppressAutoHyphens w:val="0"/>
        <w:spacing w:line="240" w:lineRule="auto"/>
        <w:rPr>
          <w:szCs w:val="22"/>
        </w:rPr>
      </w:pPr>
      <w:r w:rsidRPr="00183B5F">
        <w:rPr>
          <w:szCs w:val="22"/>
        </w:rPr>
        <w:br w:type="page"/>
      </w:r>
    </w:p>
    <w:p w14:paraId="20BD6A87" w14:textId="77777777" w:rsidR="00E77B8E" w:rsidRPr="00183B5F" w:rsidRDefault="00E77B8E" w:rsidP="009C288B">
      <w:pPr>
        <w:suppressAutoHyphens w:val="0"/>
        <w:spacing w:line="240" w:lineRule="auto"/>
        <w:rPr>
          <w:b/>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4AB3B848" w14:textId="77777777" w:rsidTr="00E77B8E">
        <w:trPr>
          <w:trHeight w:val="1040"/>
          <w:jc w:val="center"/>
        </w:trPr>
        <w:tc>
          <w:tcPr>
            <w:tcW w:w="9069" w:type="dxa"/>
            <w:tcBorders>
              <w:top w:val="single" w:sz="2" w:space="0" w:color="000000"/>
              <w:left w:val="single" w:sz="2" w:space="0" w:color="000000"/>
              <w:bottom w:val="single" w:sz="2" w:space="0" w:color="000000"/>
              <w:right w:val="single" w:sz="2" w:space="0" w:color="000000"/>
            </w:tcBorders>
          </w:tcPr>
          <w:p w14:paraId="1DAC8307" w14:textId="77777777" w:rsidR="00E77B8E" w:rsidRPr="00183B5F" w:rsidRDefault="00943743" w:rsidP="004062FE">
            <w:pPr>
              <w:spacing w:line="240" w:lineRule="auto"/>
              <w:rPr>
                <w:b/>
                <w:caps/>
                <w:szCs w:val="22"/>
              </w:rPr>
            </w:pPr>
            <w:r w:rsidRPr="00183B5F">
              <w:rPr>
                <w:b/>
                <w:caps/>
                <w:szCs w:val="22"/>
              </w:rPr>
              <w:t>A KÜLSŐ CSOMAGOLÁSON FELTÜNTETENDŐ ADATOK</w:t>
            </w:r>
          </w:p>
          <w:p w14:paraId="7E2B700B" w14:textId="77777777" w:rsidR="00E77B8E" w:rsidRPr="00183B5F" w:rsidRDefault="00E77B8E" w:rsidP="004062FE">
            <w:pPr>
              <w:spacing w:line="240" w:lineRule="auto"/>
              <w:rPr>
                <w:b/>
                <w:caps/>
                <w:szCs w:val="22"/>
              </w:rPr>
            </w:pPr>
          </w:p>
          <w:p w14:paraId="6376414B" w14:textId="77777777" w:rsidR="00E77B8E" w:rsidRPr="00183B5F" w:rsidRDefault="00943743" w:rsidP="004062FE">
            <w:pPr>
              <w:spacing w:line="240" w:lineRule="auto"/>
              <w:rPr>
                <w:b/>
                <w:caps/>
                <w:szCs w:val="22"/>
              </w:rPr>
            </w:pPr>
            <w:r w:rsidRPr="00183B5F">
              <w:rPr>
                <w:b/>
                <w:caps/>
                <w:szCs w:val="22"/>
              </w:rPr>
              <w:t xml:space="preserve">Külső </w:t>
            </w:r>
            <w:r w:rsidR="0029015E" w:rsidRPr="00183B5F">
              <w:rPr>
                <w:b/>
                <w:caps/>
                <w:szCs w:val="22"/>
              </w:rPr>
              <w:t>DOBOZ</w:t>
            </w:r>
          </w:p>
        </w:tc>
      </w:tr>
    </w:tbl>
    <w:p w14:paraId="6BB17A6B" w14:textId="77777777" w:rsidR="00E77B8E" w:rsidRPr="00183B5F" w:rsidRDefault="00E77B8E" w:rsidP="004062FE">
      <w:pPr>
        <w:spacing w:line="240" w:lineRule="auto"/>
        <w:rPr>
          <w:szCs w:val="22"/>
        </w:rPr>
      </w:pPr>
    </w:p>
    <w:p w14:paraId="12B25A07" w14:textId="77777777" w:rsidR="00E77B8E" w:rsidRPr="00183B5F" w:rsidRDefault="00E77B8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7B712B31" w14:textId="77777777" w:rsidTr="00E77B8E">
        <w:trPr>
          <w:jc w:val="center"/>
        </w:trPr>
        <w:tc>
          <w:tcPr>
            <w:tcW w:w="9069" w:type="dxa"/>
            <w:tcBorders>
              <w:top w:val="single" w:sz="2" w:space="0" w:color="000000"/>
              <w:left w:val="single" w:sz="2" w:space="0" w:color="000000"/>
              <w:bottom w:val="single" w:sz="2" w:space="0" w:color="000000"/>
              <w:right w:val="single" w:sz="2" w:space="0" w:color="000000"/>
            </w:tcBorders>
          </w:tcPr>
          <w:p w14:paraId="5F347B75" w14:textId="77777777" w:rsidR="00E77B8E" w:rsidRPr="00183B5F" w:rsidRDefault="00943743" w:rsidP="004062FE">
            <w:pPr>
              <w:tabs>
                <w:tab w:val="left" w:pos="142"/>
              </w:tabs>
              <w:spacing w:line="240" w:lineRule="auto"/>
              <w:ind w:left="567" w:hanging="567"/>
              <w:rPr>
                <w:b/>
                <w:szCs w:val="22"/>
              </w:rPr>
            </w:pPr>
            <w:r w:rsidRPr="00183B5F">
              <w:rPr>
                <w:b/>
                <w:szCs w:val="22"/>
              </w:rPr>
              <w:t>1.</w:t>
            </w:r>
            <w:r w:rsidRPr="00183B5F">
              <w:rPr>
                <w:b/>
                <w:szCs w:val="22"/>
              </w:rPr>
              <w:tab/>
              <w:t>A GYÓGYSZER NEVE</w:t>
            </w:r>
          </w:p>
        </w:tc>
      </w:tr>
    </w:tbl>
    <w:p w14:paraId="3F92E206" w14:textId="77777777" w:rsidR="00E77B8E" w:rsidRPr="00183B5F" w:rsidRDefault="00E77B8E" w:rsidP="004062FE">
      <w:pPr>
        <w:spacing w:line="240" w:lineRule="auto"/>
        <w:rPr>
          <w:szCs w:val="22"/>
        </w:rPr>
      </w:pPr>
    </w:p>
    <w:p w14:paraId="00F5D753" w14:textId="77777777" w:rsidR="00E77B8E" w:rsidRPr="00183B5F" w:rsidRDefault="00943743" w:rsidP="004062FE">
      <w:pPr>
        <w:spacing w:line="240" w:lineRule="auto"/>
        <w:rPr>
          <w:szCs w:val="22"/>
        </w:rPr>
      </w:pPr>
      <w:r w:rsidRPr="00183B5F">
        <w:rPr>
          <w:szCs w:val="22"/>
        </w:rPr>
        <w:t>Humira 40 mg oldatos injekció előretöltött injekciós tollban</w:t>
      </w:r>
    </w:p>
    <w:p w14:paraId="72524824" w14:textId="77777777" w:rsidR="00E77B8E" w:rsidRPr="00183B5F" w:rsidRDefault="00943743" w:rsidP="004062FE">
      <w:pPr>
        <w:pStyle w:val="EndnoteText"/>
        <w:tabs>
          <w:tab w:val="clear" w:pos="567"/>
          <w:tab w:val="left" w:pos="708"/>
        </w:tabs>
        <w:suppressAutoHyphens/>
        <w:rPr>
          <w:sz w:val="22"/>
          <w:szCs w:val="22"/>
          <w:lang w:val="hu-HU"/>
        </w:rPr>
      </w:pPr>
      <w:r w:rsidRPr="00183B5F">
        <w:rPr>
          <w:sz w:val="22"/>
          <w:szCs w:val="22"/>
          <w:lang w:val="hu-HU"/>
        </w:rPr>
        <w:t>adalimumab</w:t>
      </w:r>
    </w:p>
    <w:p w14:paraId="59A687BC" w14:textId="77777777" w:rsidR="00E77B8E" w:rsidRPr="00183B5F" w:rsidRDefault="00E77B8E" w:rsidP="004062FE">
      <w:pPr>
        <w:spacing w:line="240" w:lineRule="auto"/>
        <w:rPr>
          <w:szCs w:val="22"/>
        </w:rPr>
      </w:pPr>
    </w:p>
    <w:p w14:paraId="64B22A03" w14:textId="77777777" w:rsidR="00E77B8E" w:rsidRPr="00183B5F" w:rsidRDefault="00E77B8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57B92C0E" w14:textId="77777777" w:rsidTr="00E77B8E">
        <w:trPr>
          <w:jc w:val="center"/>
        </w:trPr>
        <w:tc>
          <w:tcPr>
            <w:tcW w:w="9069" w:type="dxa"/>
            <w:tcBorders>
              <w:top w:val="single" w:sz="2" w:space="0" w:color="000000"/>
              <w:left w:val="single" w:sz="2" w:space="0" w:color="000000"/>
              <w:bottom w:val="single" w:sz="2" w:space="0" w:color="000000"/>
              <w:right w:val="single" w:sz="2" w:space="0" w:color="000000"/>
            </w:tcBorders>
          </w:tcPr>
          <w:p w14:paraId="22029274" w14:textId="77777777" w:rsidR="00E77B8E" w:rsidRPr="00183B5F" w:rsidRDefault="00943743" w:rsidP="004062FE">
            <w:pPr>
              <w:tabs>
                <w:tab w:val="left" w:pos="142"/>
              </w:tabs>
              <w:spacing w:line="240" w:lineRule="auto"/>
              <w:ind w:left="567" w:hanging="567"/>
              <w:rPr>
                <w:b/>
                <w:szCs w:val="22"/>
              </w:rPr>
            </w:pPr>
            <w:r w:rsidRPr="00183B5F">
              <w:rPr>
                <w:b/>
                <w:szCs w:val="22"/>
              </w:rPr>
              <w:t>2.</w:t>
            </w:r>
            <w:r w:rsidRPr="00183B5F">
              <w:rPr>
                <w:b/>
                <w:szCs w:val="22"/>
              </w:rPr>
              <w:tab/>
              <w:t>HATÓANYAG(OK) MEGNEVEZÉSE</w:t>
            </w:r>
          </w:p>
        </w:tc>
      </w:tr>
    </w:tbl>
    <w:p w14:paraId="75DBEC99" w14:textId="77777777" w:rsidR="00E77B8E" w:rsidRPr="00183B5F" w:rsidRDefault="00E77B8E" w:rsidP="004062FE">
      <w:pPr>
        <w:spacing w:line="240" w:lineRule="auto"/>
        <w:ind w:right="-2"/>
        <w:rPr>
          <w:szCs w:val="22"/>
        </w:rPr>
      </w:pPr>
    </w:p>
    <w:p w14:paraId="1110AFC8" w14:textId="77777777" w:rsidR="00E77B8E" w:rsidRPr="00183B5F" w:rsidRDefault="00943743" w:rsidP="004062FE">
      <w:pPr>
        <w:spacing w:line="240" w:lineRule="auto"/>
        <w:ind w:right="-2"/>
        <w:rPr>
          <w:strike/>
          <w:szCs w:val="22"/>
        </w:rPr>
      </w:pPr>
      <w:r w:rsidRPr="00183B5F">
        <w:rPr>
          <w:szCs w:val="22"/>
        </w:rPr>
        <w:t>40 mg adalimumab 0,4 ml-es előretöltött injekciós tollban</w:t>
      </w:r>
      <w:r w:rsidR="00C036E3" w:rsidRPr="00183B5F">
        <w:rPr>
          <w:szCs w:val="22"/>
        </w:rPr>
        <w:t>.</w:t>
      </w:r>
    </w:p>
    <w:p w14:paraId="48344B6C" w14:textId="77777777" w:rsidR="00E77B8E" w:rsidRPr="00183B5F" w:rsidRDefault="00E77B8E" w:rsidP="004062FE">
      <w:pPr>
        <w:spacing w:line="240" w:lineRule="auto"/>
        <w:ind w:right="-2"/>
        <w:rPr>
          <w:szCs w:val="22"/>
        </w:rPr>
      </w:pPr>
    </w:p>
    <w:p w14:paraId="193E37D1" w14:textId="77777777" w:rsidR="00E77B8E" w:rsidRPr="00183B5F" w:rsidRDefault="00E77B8E" w:rsidP="004062FE">
      <w:pPr>
        <w:pStyle w:val="EndnoteText"/>
        <w:tabs>
          <w:tab w:val="clear" w:pos="567"/>
        </w:tabs>
        <w:suppressAutoHyphens/>
        <w:rPr>
          <w:sz w:val="22"/>
          <w:szCs w:val="22"/>
          <w:lang w:val="hu-HU" w:eastAsia="hu-HU"/>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4E6E6884" w14:textId="77777777" w:rsidTr="00E77B8E">
        <w:trPr>
          <w:jc w:val="center"/>
        </w:trPr>
        <w:tc>
          <w:tcPr>
            <w:tcW w:w="9069" w:type="dxa"/>
            <w:tcBorders>
              <w:top w:val="single" w:sz="2" w:space="0" w:color="000000"/>
              <w:left w:val="single" w:sz="2" w:space="0" w:color="000000"/>
              <w:bottom w:val="single" w:sz="2" w:space="0" w:color="000000"/>
              <w:right w:val="single" w:sz="2" w:space="0" w:color="000000"/>
            </w:tcBorders>
          </w:tcPr>
          <w:p w14:paraId="02F00EA4" w14:textId="77777777" w:rsidR="00E77B8E" w:rsidRPr="00183B5F" w:rsidRDefault="00943743" w:rsidP="004062FE">
            <w:pPr>
              <w:tabs>
                <w:tab w:val="left" w:pos="142"/>
              </w:tabs>
              <w:spacing w:line="240" w:lineRule="auto"/>
              <w:ind w:left="567" w:hanging="567"/>
              <w:rPr>
                <w:b/>
                <w:szCs w:val="22"/>
              </w:rPr>
            </w:pPr>
            <w:r w:rsidRPr="00183B5F">
              <w:rPr>
                <w:b/>
                <w:szCs w:val="22"/>
              </w:rPr>
              <w:t>3.</w:t>
            </w:r>
            <w:r w:rsidRPr="00183B5F">
              <w:rPr>
                <w:b/>
                <w:szCs w:val="22"/>
              </w:rPr>
              <w:tab/>
              <w:t>SEGÉDANYAGOK FELSOROLÁSA</w:t>
            </w:r>
          </w:p>
        </w:tc>
      </w:tr>
    </w:tbl>
    <w:p w14:paraId="7CAC7FF8" w14:textId="77777777" w:rsidR="00E77B8E" w:rsidRPr="00183B5F" w:rsidRDefault="00E77B8E" w:rsidP="004062FE">
      <w:pPr>
        <w:spacing w:line="240" w:lineRule="auto"/>
        <w:rPr>
          <w:szCs w:val="22"/>
        </w:rPr>
      </w:pPr>
    </w:p>
    <w:p w14:paraId="00B65325" w14:textId="77777777" w:rsidR="00E77B8E" w:rsidRPr="00183B5F" w:rsidRDefault="00943743" w:rsidP="004062FE">
      <w:pPr>
        <w:spacing w:line="240" w:lineRule="auto"/>
        <w:rPr>
          <w:szCs w:val="22"/>
        </w:rPr>
      </w:pPr>
      <w:r w:rsidRPr="00183B5F">
        <w:rPr>
          <w:szCs w:val="22"/>
        </w:rPr>
        <w:t>Segédanyagok: mannit, poliszorbát 80, injekcióhoz való víz. További információkért olvassa el a betegtájékoztatót.</w:t>
      </w:r>
    </w:p>
    <w:p w14:paraId="6DA06444" w14:textId="77777777" w:rsidR="00E77B8E" w:rsidRPr="00183B5F" w:rsidRDefault="00E77B8E" w:rsidP="004062FE">
      <w:pPr>
        <w:spacing w:line="240" w:lineRule="auto"/>
        <w:rPr>
          <w:szCs w:val="22"/>
        </w:rPr>
      </w:pPr>
    </w:p>
    <w:p w14:paraId="3D337CE4" w14:textId="77777777" w:rsidR="00E77B8E" w:rsidRPr="00183B5F" w:rsidRDefault="00E77B8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7CB98D1" w14:textId="77777777" w:rsidTr="00E77B8E">
        <w:trPr>
          <w:jc w:val="center"/>
        </w:trPr>
        <w:tc>
          <w:tcPr>
            <w:tcW w:w="9069" w:type="dxa"/>
            <w:tcBorders>
              <w:top w:val="single" w:sz="2" w:space="0" w:color="000000"/>
              <w:left w:val="single" w:sz="2" w:space="0" w:color="000000"/>
              <w:bottom w:val="single" w:sz="2" w:space="0" w:color="000000"/>
              <w:right w:val="single" w:sz="2" w:space="0" w:color="000000"/>
            </w:tcBorders>
          </w:tcPr>
          <w:p w14:paraId="7B4B0354" w14:textId="77777777" w:rsidR="00E77B8E" w:rsidRPr="00183B5F" w:rsidRDefault="00943743" w:rsidP="004062FE">
            <w:pPr>
              <w:tabs>
                <w:tab w:val="left" w:pos="142"/>
              </w:tabs>
              <w:spacing w:line="240" w:lineRule="auto"/>
              <w:ind w:left="567" w:hanging="567"/>
              <w:rPr>
                <w:b/>
                <w:szCs w:val="22"/>
              </w:rPr>
            </w:pPr>
            <w:r w:rsidRPr="00183B5F">
              <w:rPr>
                <w:b/>
                <w:szCs w:val="22"/>
              </w:rPr>
              <w:t>4.</w:t>
            </w:r>
            <w:r w:rsidRPr="00183B5F">
              <w:rPr>
                <w:b/>
                <w:szCs w:val="22"/>
              </w:rPr>
              <w:tab/>
              <w:t>GYÓGYSZERFORMA ÉS TARTALOM</w:t>
            </w:r>
          </w:p>
        </w:tc>
      </w:tr>
    </w:tbl>
    <w:p w14:paraId="28B24199" w14:textId="77777777" w:rsidR="00E77B8E" w:rsidRPr="00183B5F" w:rsidRDefault="00E77B8E" w:rsidP="004062FE">
      <w:pPr>
        <w:spacing w:line="240" w:lineRule="auto"/>
        <w:rPr>
          <w:szCs w:val="22"/>
        </w:rPr>
      </w:pPr>
    </w:p>
    <w:p w14:paraId="598B62D9" w14:textId="77777777" w:rsidR="00EB351A" w:rsidRPr="00183B5F" w:rsidRDefault="00943743" w:rsidP="004062FE">
      <w:pPr>
        <w:spacing w:line="240" w:lineRule="auto"/>
        <w:rPr>
          <w:szCs w:val="22"/>
        </w:rPr>
      </w:pPr>
      <w:r w:rsidRPr="00183B5F">
        <w:rPr>
          <w:szCs w:val="22"/>
          <w:highlight w:val="lightGray"/>
        </w:rPr>
        <w:t>Oldatos injekció.</w:t>
      </w:r>
    </w:p>
    <w:p w14:paraId="535BF79F" w14:textId="77777777" w:rsidR="00E77B8E" w:rsidRPr="00183B5F" w:rsidRDefault="00943743" w:rsidP="004062FE">
      <w:pPr>
        <w:spacing w:line="240" w:lineRule="auto"/>
        <w:rPr>
          <w:szCs w:val="22"/>
        </w:rPr>
      </w:pPr>
      <w:r w:rsidRPr="00183B5F">
        <w:rPr>
          <w:szCs w:val="22"/>
        </w:rPr>
        <w:t>1</w:t>
      </w:r>
      <w:r w:rsidR="00576509" w:rsidRPr="00183B5F">
        <w:rPr>
          <w:szCs w:val="22"/>
        </w:rPr>
        <w:t> </w:t>
      </w:r>
      <w:r w:rsidRPr="00183B5F">
        <w:rPr>
          <w:szCs w:val="22"/>
        </w:rPr>
        <w:t>db előretöltött injekciós toll</w:t>
      </w:r>
    </w:p>
    <w:p w14:paraId="0A3771F8" w14:textId="77777777" w:rsidR="00E77B8E" w:rsidRPr="00183B5F" w:rsidRDefault="00943743" w:rsidP="004062FE">
      <w:pPr>
        <w:spacing w:line="240" w:lineRule="auto"/>
        <w:rPr>
          <w:szCs w:val="22"/>
        </w:rPr>
      </w:pPr>
      <w:r w:rsidRPr="00183B5F">
        <w:rPr>
          <w:szCs w:val="22"/>
        </w:rPr>
        <w:t>2 db alkoholos törlőkendő</w:t>
      </w:r>
    </w:p>
    <w:p w14:paraId="0C1BFD74" w14:textId="77777777" w:rsidR="00EB351A" w:rsidRPr="00183B5F" w:rsidRDefault="00EB351A" w:rsidP="004062FE">
      <w:pPr>
        <w:spacing w:line="240" w:lineRule="auto"/>
        <w:rPr>
          <w:szCs w:val="22"/>
        </w:rPr>
      </w:pPr>
    </w:p>
    <w:p w14:paraId="28D7141F" w14:textId="77777777" w:rsidR="00EB351A" w:rsidRPr="00183B5F" w:rsidRDefault="00943743" w:rsidP="004062FE">
      <w:pPr>
        <w:spacing w:line="240" w:lineRule="auto"/>
        <w:rPr>
          <w:szCs w:val="22"/>
          <w:highlight w:val="lightGray"/>
        </w:rPr>
      </w:pPr>
      <w:r w:rsidRPr="00183B5F">
        <w:rPr>
          <w:szCs w:val="22"/>
          <w:highlight w:val="lightGray"/>
        </w:rPr>
        <w:t>2 db előretöltött injekciós toll</w:t>
      </w:r>
    </w:p>
    <w:p w14:paraId="5E2BBFF4" w14:textId="77777777" w:rsidR="00EB351A" w:rsidRPr="00183B5F" w:rsidRDefault="00943743" w:rsidP="004062FE">
      <w:pPr>
        <w:spacing w:line="240" w:lineRule="auto"/>
        <w:rPr>
          <w:szCs w:val="22"/>
          <w:highlight w:val="lightGray"/>
        </w:rPr>
      </w:pPr>
      <w:r w:rsidRPr="00183B5F">
        <w:rPr>
          <w:szCs w:val="22"/>
          <w:highlight w:val="lightGray"/>
        </w:rPr>
        <w:t>2 db alkoholos törlőkendő</w:t>
      </w:r>
    </w:p>
    <w:p w14:paraId="4F6FD38C" w14:textId="77777777" w:rsidR="00EB351A" w:rsidRPr="00183B5F" w:rsidRDefault="00EB351A" w:rsidP="004062FE">
      <w:pPr>
        <w:spacing w:line="240" w:lineRule="auto"/>
        <w:rPr>
          <w:szCs w:val="22"/>
          <w:highlight w:val="lightGray"/>
        </w:rPr>
      </w:pPr>
    </w:p>
    <w:p w14:paraId="10138EE2" w14:textId="77777777" w:rsidR="00EB351A" w:rsidRPr="00183B5F" w:rsidRDefault="00943743" w:rsidP="004062FE">
      <w:pPr>
        <w:spacing w:line="240" w:lineRule="auto"/>
        <w:rPr>
          <w:szCs w:val="22"/>
          <w:highlight w:val="lightGray"/>
        </w:rPr>
      </w:pPr>
      <w:r w:rsidRPr="00183B5F">
        <w:rPr>
          <w:szCs w:val="22"/>
          <w:highlight w:val="lightGray"/>
        </w:rPr>
        <w:t>4 db előretöltött injekciós toll</w:t>
      </w:r>
    </w:p>
    <w:p w14:paraId="595D3297" w14:textId="77777777" w:rsidR="00EB351A" w:rsidRPr="00183B5F" w:rsidRDefault="00943743" w:rsidP="004062FE">
      <w:pPr>
        <w:spacing w:line="240" w:lineRule="auto"/>
        <w:rPr>
          <w:szCs w:val="22"/>
          <w:highlight w:val="lightGray"/>
        </w:rPr>
      </w:pPr>
      <w:r w:rsidRPr="00183B5F">
        <w:rPr>
          <w:szCs w:val="22"/>
          <w:highlight w:val="lightGray"/>
        </w:rPr>
        <w:t>4 db alkoholos törlőkendő</w:t>
      </w:r>
    </w:p>
    <w:p w14:paraId="676AB76D" w14:textId="77777777" w:rsidR="00EB351A" w:rsidRPr="00183B5F" w:rsidRDefault="00EB351A" w:rsidP="004062FE">
      <w:pPr>
        <w:spacing w:line="240" w:lineRule="auto"/>
        <w:rPr>
          <w:szCs w:val="22"/>
          <w:highlight w:val="lightGray"/>
        </w:rPr>
      </w:pPr>
    </w:p>
    <w:p w14:paraId="040BB202" w14:textId="77777777" w:rsidR="00EB351A" w:rsidRPr="00183B5F" w:rsidRDefault="00943743" w:rsidP="004062FE">
      <w:pPr>
        <w:spacing w:line="240" w:lineRule="auto"/>
        <w:rPr>
          <w:szCs w:val="22"/>
          <w:highlight w:val="lightGray"/>
        </w:rPr>
      </w:pPr>
      <w:r w:rsidRPr="00183B5F">
        <w:rPr>
          <w:szCs w:val="22"/>
          <w:highlight w:val="lightGray"/>
        </w:rPr>
        <w:t>6 db előretöltött injekciós toll</w:t>
      </w:r>
    </w:p>
    <w:p w14:paraId="4FB8AF4C" w14:textId="77777777" w:rsidR="00EB351A" w:rsidRPr="00183B5F" w:rsidRDefault="00943743" w:rsidP="004062FE">
      <w:pPr>
        <w:spacing w:line="240" w:lineRule="auto"/>
        <w:rPr>
          <w:szCs w:val="22"/>
          <w:highlight w:val="lightGray"/>
        </w:rPr>
      </w:pPr>
      <w:r w:rsidRPr="00183B5F">
        <w:rPr>
          <w:szCs w:val="22"/>
          <w:highlight w:val="lightGray"/>
        </w:rPr>
        <w:t>6 db alkoholos törlőkendő</w:t>
      </w:r>
    </w:p>
    <w:p w14:paraId="7B29D5C4" w14:textId="77777777" w:rsidR="00E77B8E" w:rsidRPr="00183B5F" w:rsidRDefault="00E77B8E" w:rsidP="004062FE">
      <w:pPr>
        <w:pStyle w:val="EndnoteText"/>
        <w:tabs>
          <w:tab w:val="clear" w:pos="567"/>
        </w:tabs>
        <w:suppressAutoHyphens/>
        <w:rPr>
          <w:sz w:val="22"/>
          <w:szCs w:val="22"/>
          <w:lang w:val="hu-HU" w:eastAsia="hu-HU"/>
        </w:rPr>
      </w:pPr>
    </w:p>
    <w:p w14:paraId="0EFAB445" w14:textId="77777777" w:rsidR="00E77B8E" w:rsidRPr="00183B5F" w:rsidRDefault="00E77B8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5CE441E" w14:textId="77777777" w:rsidTr="00E77B8E">
        <w:trPr>
          <w:jc w:val="center"/>
        </w:trPr>
        <w:tc>
          <w:tcPr>
            <w:tcW w:w="9069" w:type="dxa"/>
            <w:tcBorders>
              <w:top w:val="single" w:sz="2" w:space="0" w:color="000000"/>
              <w:left w:val="single" w:sz="2" w:space="0" w:color="000000"/>
              <w:bottom w:val="single" w:sz="2" w:space="0" w:color="000000"/>
              <w:right w:val="single" w:sz="2" w:space="0" w:color="000000"/>
            </w:tcBorders>
          </w:tcPr>
          <w:p w14:paraId="42E27C7B" w14:textId="77777777" w:rsidR="00E77B8E" w:rsidRPr="00183B5F" w:rsidRDefault="00943743" w:rsidP="004062FE">
            <w:pPr>
              <w:tabs>
                <w:tab w:val="left" w:pos="142"/>
              </w:tabs>
              <w:spacing w:line="240" w:lineRule="auto"/>
              <w:ind w:left="567" w:hanging="567"/>
              <w:rPr>
                <w:b/>
                <w:szCs w:val="22"/>
              </w:rPr>
            </w:pPr>
            <w:r w:rsidRPr="00183B5F">
              <w:rPr>
                <w:b/>
                <w:szCs w:val="22"/>
              </w:rPr>
              <w:t>5.</w:t>
            </w:r>
            <w:r w:rsidRPr="00183B5F">
              <w:rPr>
                <w:b/>
                <w:szCs w:val="22"/>
              </w:rPr>
              <w:tab/>
              <w:t>AZ ALKALMAZÁSSAL KAPCSOLATOS TUDNIVALÓK ÉS AZ ALKALMAZÁS MÓDJA(I)</w:t>
            </w:r>
          </w:p>
        </w:tc>
      </w:tr>
    </w:tbl>
    <w:p w14:paraId="5517E6AC" w14:textId="77777777" w:rsidR="00E77B8E" w:rsidRPr="00183B5F" w:rsidRDefault="00E77B8E" w:rsidP="004062FE">
      <w:pPr>
        <w:pStyle w:val="EndnoteText"/>
        <w:tabs>
          <w:tab w:val="clear" w:pos="567"/>
        </w:tabs>
        <w:suppressAutoHyphens/>
        <w:rPr>
          <w:sz w:val="22"/>
          <w:szCs w:val="22"/>
          <w:lang w:val="hu-HU" w:eastAsia="hu-HU"/>
        </w:rPr>
      </w:pPr>
    </w:p>
    <w:p w14:paraId="10F94208" w14:textId="77777777" w:rsidR="00E77B8E" w:rsidRPr="00183B5F" w:rsidRDefault="00943743" w:rsidP="004062FE">
      <w:pPr>
        <w:spacing w:line="240" w:lineRule="auto"/>
        <w:rPr>
          <w:szCs w:val="22"/>
        </w:rPr>
      </w:pPr>
      <w:r w:rsidRPr="00183B5F">
        <w:rPr>
          <w:szCs w:val="22"/>
        </w:rPr>
        <w:t>Bőr alá történő beadásra</w:t>
      </w:r>
      <w:r w:rsidR="00CE794D" w:rsidRPr="00183B5F">
        <w:rPr>
          <w:szCs w:val="22"/>
        </w:rPr>
        <w:t>.</w:t>
      </w:r>
    </w:p>
    <w:p w14:paraId="4566F5D0" w14:textId="77777777" w:rsidR="00E77B8E" w:rsidRPr="00183B5F" w:rsidRDefault="00E77B8E" w:rsidP="004062FE">
      <w:pPr>
        <w:spacing w:line="240" w:lineRule="auto"/>
        <w:rPr>
          <w:szCs w:val="22"/>
        </w:rPr>
      </w:pPr>
    </w:p>
    <w:p w14:paraId="19F0FC4A" w14:textId="77777777" w:rsidR="00E77B8E" w:rsidRPr="00183B5F" w:rsidRDefault="00943743" w:rsidP="004062FE">
      <w:pPr>
        <w:spacing w:line="240" w:lineRule="auto"/>
        <w:rPr>
          <w:szCs w:val="22"/>
        </w:rPr>
      </w:pPr>
      <w:r w:rsidRPr="00183B5F">
        <w:rPr>
          <w:szCs w:val="22"/>
        </w:rPr>
        <w:t>Használat előtt olvassa el a mellékelt betegtájékoztatót.</w:t>
      </w:r>
    </w:p>
    <w:p w14:paraId="4D0B608C" w14:textId="77777777" w:rsidR="00EB351A" w:rsidRPr="00183B5F" w:rsidRDefault="00EB351A" w:rsidP="004062FE">
      <w:pPr>
        <w:spacing w:line="240" w:lineRule="auto"/>
        <w:rPr>
          <w:szCs w:val="22"/>
        </w:rPr>
      </w:pPr>
    </w:p>
    <w:p w14:paraId="4883C781" w14:textId="77777777" w:rsidR="00EB351A" w:rsidRPr="00183B5F" w:rsidRDefault="00943743" w:rsidP="004062FE">
      <w:pPr>
        <w:spacing w:line="240" w:lineRule="auto"/>
        <w:rPr>
          <w:szCs w:val="22"/>
        </w:rPr>
      </w:pPr>
      <w:r w:rsidRPr="00183B5F">
        <w:rPr>
          <w:szCs w:val="22"/>
        </w:rPr>
        <w:t>Kizárólag egyszeri alkalmazásra.</w:t>
      </w:r>
    </w:p>
    <w:p w14:paraId="0289883E" w14:textId="77777777" w:rsidR="00E77B8E" w:rsidRPr="00183B5F" w:rsidRDefault="00E77B8E" w:rsidP="004062FE">
      <w:pPr>
        <w:spacing w:line="240" w:lineRule="auto"/>
        <w:rPr>
          <w:szCs w:val="22"/>
        </w:rPr>
      </w:pPr>
    </w:p>
    <w:p w14:paraId="713C66F8" w14:textId="77777777" w:rsidR="00E77B8E" w:rsidRPr="00183B5F" w:rsidRDefault="00E77B8E" w:rsidP="004062FE">
      <w:pPr>
        <w:pStyle w:val="EndnoteText"/>
        <w:tabs>
          <w:tab w:val="clear" w:pos="567"/>
        </w:tabs>
        <w:suppressAutoHyphens/>
        <w:rPr>
          <w:sz w:val="22"/>
          <w:szCs w:val="22"/>
          <w:lang w:val="hu-HU" w:eastAsia="hu-HU"/>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9221A76" w14:textId="77777777" w:rsidTr="00E77B8E">
        <w:trPr>
          <w:jc w:val="center"/>
        </w:trPr>
        <w:tc>
          <w:tcPr>
            <w:tcW w:w="9069" w:type="dxa"/>
            <w:tcBorders>
              <w:top w:val="single" w:sz="2" w:space="0" w:color="000000"/>
              <w:left w:val="single" w:sz="2" w:space="0" w:color="000000"/>
              <w:bottom w:val="single" w:sz="2" w:space="0" w:color="000000"/>
              <w:right w:val="single" w:sz="2" w:space="0" w:color="000000"/>
            </w:tcBorders>
          </w:tcPr>
          <w:p w14:paraId="35473DFE" w14:textId="77777777" w:rsidR="00E77B8E" w:rsidRPr="00183B5F" w:rsidRDefault="00943743" w:rsidP="004062FE">
            <w:pPr>
              <w:tabs>
                <w:tab w:val="left" w:pos="142"/>
              </w:tabs>
              <w:spacing w:line="240" w:lineRule="auto"/>
              <w:ind w:left="567" w:hanging="567"/>
              <w:rPr>
                <w:b/>
                <w:szCs w:val="22"/>
              </w:rPr>
            </w:pPr>
            <w:r w:rsidRPr="00183B5F">
              <w:rPr>
                <w:b/>
                <w:szCs w:val="22"/>
              </w:rPr>
              <w:t>6.</w:t>
            </w:r>
            <w:r w:rsidRPr="00183B5F">
              <w:rPr>
                <w:b/>
                <w:szCs w:val="22"/>
              </w:rPr>
              <w:tab/>
            </w:r>
            <w:r w:rsidRPr="00183B5F">
              <w:rPr>
                <w:b/>
                <w:szCs w:val="22"/>
              </w:rPr>
              <w:t>KÜLÖN FIGYELMEZTETÉS, MELY SZERINT A GYÓGYSZERT GYERMEKEKTŐL ELZÁRVA KELL TARTANI</w:t>
            </w:r>
          </w:p>
        </w:tc>
      </w:tr>
    </w:tbl>
    <w:p w14:paraId="7C5DC488" w14:textId="77777777" w:rsidR="00E77B8E" w:rsidRPr="00183B5F" w:rsidRDefault="00E77B8E" w:rsidP="004062FE">
      <w:pPr>
        <w:spacing w:line="240" w:lineRule="auto"/>
        <w:rPr>
          <w:szCs w:val="22"/>
        </w:rPr>
      </w:pPr>
    </w:p>
    <w:p w14:paraId="344980EE" w14:textId="77777777" w:rsidR="00E77B8E" w:rsidRPr="00183B5F" w:rsidRDefault="00943743" w:rsidP="004062FE">
      <w:pPr>
        <w:spacing w:line="240" w:lineRule="auto"/>
        <w:rPr>
          <w:szCs w:val="22"/>
        </w:rPr>
      </w:pPr>
      <w:r w:rsidRPr="00183B5F">
        <w:rPr>
          <w:szCs w:val="22"/>
        </w:rPr>
        <w:t>A gyógyszer gyermekektől elzárva tartandó.</w:t>
      </w:r>
    </w:p>
    <w:p w14:paraId="02E3F71E" w14:textId="77777777" w:rsidR="00E77B8E" w:rsidRPr="00183B5F" w:rsidRDefault="00E77B8E" w:rsidP="004062FE">
      <w:pPr>
        <w:spacing w:line="240" w:lineRule="auto"/>
        <w:rPr>
          <w:szCs w:val="22"/>
        </w:rPr>
      </w:pPr>
    </w:p>
    <w:p w14:paraId="7E8BE667" w14:textId="77777777" w:rsidR="00E77B8E" w:rsidRPr="00183B5F" w:rsidRDefault="00E77B8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6AFD6C6B" w14:textId="77777777" w:rsidTr="00E77B8E">
        <w:trPr>
          <w:jc w:val="center"/>
        </w:trPr>
        <w:tc>
          <w:tcPr>
            <w:tcW w:w="9069" w:type="dxa"/>
            <w:tcBorders>
              <w:top w:val="single" w:sz="2" w:space="0" w:color="000000"/>
              <w:left w:val="single" w:sz="2" w:space="0" w:color="000000"/>
              <w:bottom w:val="single" w:sz="2" w:space="0" w:color="000000"/>
              <w:right w:val="single" w:sz="2" w:space="0" w:color="000000"/>
            </w:tcBorders>
          </w:tcPr>
          <w:p w14:paraId="5812F993" w14:textId="77777777" w:rsidR="00E77B8E" w:rsidRPr="00183B5F" w:rsidRDefault="00943743" w:rsidP="004062FE">
            <w:pPr>
              <w:tabs>
                <w:tab w:val="left" w:pos="142"/>
              </w:tabs>
              <w:spacing w:line="240" w:lineRule="auto"/>
              <w:ind w:left="567" w:hanging="567"/>
              <w:rPr>
                <w:b/>
                <w:szCs w:val="22"/>
              </w:rPr>
            </w:pPr>
            <w:r w:rsidRPr="00183B5F">
              <w:rPr>
                <w:b/>
                <w:szCs w:val="22"/>
              </w:rPr>
              <w:t>7.</w:t>
            </w:r>
            <w:r w:rsidRPr="00183B5F">
              <w:rPr>
                <w:b/>
                <w:szCs w:val="22"/>
              </w:rPr>
              <w:tab/>
              <w:t>TOVÁBBI FIGYELMEZTETÉS(EK), AMENNYIBEN SZÜKSÉGES</w:t>
            </w:r>
          </w:p>
        </w:tc>
      </w:tr>
    </w:tbl>
    <w:p w14:paraId="173533EB" w14:textId="77777777" w:rsidR="00E77B8E" w:rsidRPr="00183B5F" w:rsidRDefault="00E77B8E" w:rsidP="004062FE">
      <w:pPr>
        <w:spacing w:line="240" w:lineRule="auto"/>
        <w:rPr>
          <w:szCs w:val="22"/>
        </w:rPr>
      </w:pPr>
    </w:p>
    <w:p w14:paraId="6F157956" w14:textId="77777777" w:rsidR="00E77B8E" w:rsidRPr="00183B5F" w:rsidRDefault="00E77B8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24208279" w14:textId="77777777" w:rsidTr="00E77B8E">
        <w:trPr>
          <w:jc w:val="center"/>
        </w:trPr>
        <w:tc>
          <w:tcPr>
            <w:tcW w:w="9069" w:type="dxa"/>
            <w:tcBorders>
              <w:top w:val="single" w:sz="2" w:space="0" w:color="000000"/>
              <w:left w:val="single" w:sz="2" w:space="0" w:color="000000"/>
              <w:bottom w:val="single" w:sz="2" w:space="0" w:color="000000"/>
              <w:right w:val="single" w:sz="2" w:space="0" w:color="000000"/>
            </w:tcBorders>
          </w:tcPr>
          <w:p w14:paraId="25DCD693" w14:textId="77777777" w:rsidR="00E77B8E" w:rsidRPr="00183B5F" w:rsidRDefault="00943743" w:rsidP="004062FE">
            <w:pPr>
              <w:tabs>
                <w:tab w:val="left" w:pos="142"/>
              </w:tabs>
              <w:spacing w:line="240" w:lineRule="auto"/>
              <w:ind w:left="567" w:hanging="567"/>
              <w:rPr>
                <w:b/>
                <w:szCs w:val="22"/>
              </w:rPr>
            </w:pPr>
            <w:r w:rsidRPr="00183B5F">
              <w:rPr>
                <w:b/>
                <w:szCs w:val="22"/>
              </w:rPr>
              <w:t>8.</w:t>
            </w:r>
            <w:r w:rsidRPr="00183B5F">
              <w:rPr>
                <w:b/>
                <w:szCs w:val="22"/>
              </w:rPr>
              <w:tab/>
              <w:t>LEJÁRATI IDŐ</w:t>
            </w:r>
          </w:p>
        </w:tc>
      </w:tr>
    </w:tbl>
    <w:p w14:paraId="0E3A10DC" w14:textId="77777777" w:rsidR="00E77B8E" w:rsidRPr="00183B5F" w:rsidRDefault="00E77B8E" w:rsidP="004062FE">
      <w:pPr>
        <w:spacing w:line="240" w:lineRule="auto"/>
        <w:rPr>
          <w:szCs w:val="22"/>
        </w:rPr>
      </w:pPr>
    </w:p>
    <w:p w14:paraId="64A58489" w14:textId="77777777" w:rsidR="00E77B8E" w:rsidRPr="00183B5F" w:rsidRDefault="00943743" w:rsidP="004062FE">
      <w:pPr>
        <w:spacing w:line="240" w:lineRule="auto"/>
        <w:rPr>
          <w:szCs w:val="22"/>
        </w:rPr>
      </w:pPr>
      <w:r w:rsidRPr="00183B5F">
        <w:rPr>
          <w:szCs w:val="22"/>
        </w:rPr>
        <w:t>EXP</w:t>
      </w:r>
    </w:p>
    <w:p w14:paraId="3CDA79F3" w14:textId="77777777" w:rsidR="00E77B8E" w:rsidRPr="00183B5F" w:rsidRDefault="00E77B8E" w:rsidP="004062FE">
      <w:pPr>
        <w:spacing w:line="240" w:lineRule="auto"/>
        <w:rPr>
          <w:szCs w:val="22"/>
        </w:rPr>
      </w:pPr>
    </w:p>
    <w:p w14:paraId="2485349F" w14:textId="77777777" w:rsidR="00E77B8E" w:rsidRPr="00183B5F" w:rsidRDefault="00E77B8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387AB9FD" w14:textId="77777777" w:rsidTr="00E77B8E">
        <w:trPr>
          <w:jc w:val="center"/>
        </w:trPr>
        <w:tc>
          <w:tcPr>
            <w:tcW w:w="9069" w:type="dxa"/>
            <w:tcBorders>
              <w:top w:val="single" w:sz="2" w:space="0" w:color="000000"/>
              <w:left w:val="single" w:sz="2" w:space="0" w:color="000000"/>
              <w:bottom w:val="single" w:sz="2" w:space="0" w:color="000000"/>
              <w:right w:val="single" w:sz="2" w:space="0" w:color="000000"/>
            </w:tcBorders>
          </w:tcPr>
          <w:p w14:paraId="25408D55" w14:textId="77777777" w:rsidR="00E77B8E" w:rsidRPr="00183B5F" w:rsidRDefault="00943743" w:rsidP="004062FE">
            <w:pPr>
              <w:keepNext/>
              <w:tabs>
                <w:tab w:val="left" w:pos="142"/>
              </w:tabs>
              <w:spacing w:line="240" w:lineRule="auto"/>
              <w:ind w:left="567" w:hanging="567"/>
              <w:rPr>
                <w:b/>
                <w:szCs w:val="22"/>
              </w:rPr>
            </w:pPr>
            <w:r w:rsidRPr="00183B5F">
              <w:rPr>
                <w:b/>
                <w:szCs w:val="22"/>
              </w:rPr>
              <w:t>9.</w:t>
            </w:r>
            <w:r w:rsidRPr="00183B5F">
              <w:rPr>
                <w:b/>
                <w:szCs w:val="22"/>
              </w:rPr>
              <w:tab/>
            </w:r>
            <w:r w:rsidRPr="00183B5F">
              <w:rPr>
                <w:b/>
                <w:szCs w:val="22"/>
              </w:rPr>
              <w:t>KÜLÖNLEGES TÁROLÁSI ELŐÍRÁSOK</w:t>
            </w:r>
          </w:p>
        </w:tc>
      </w:tr>
    </w:tbl>
    <w:p w14:paraId="573DFD05" w14:textId="77777777" w:rsidR="00E77B8E" w:rsidRPr="00183B5F" w:rsidRDefault="00E77B8E" w:rsidP="004062FE">
      <w:pPr>
        <w:keepNext/>
        <w:spacing w:line="240" w:lineRule="auto"/>
        <w:rPr>
          <w:szCs w:val="22"/>
        </w:rPr>
      </w:pPr>
    </w:p>
    <w:p w14:paraId="0020880E" w14:textId="77777777" w:rsidR="00E77B8E" w:rsidRPr="00183B5F" w:rsidRDefault="00943743" w:rsidP="004062FE">
      <w:pPr>
        <w:keepNext/>
        <w:spacing w:line="240" w:lineRule="auto"/>
        <w:rPr>
          <w:szCs w:val="22"/>
        </w:rPr>
      </w:pPr>
      <w:r w:rsidRPr="00183B5F">
        <w:rPr>
          <w:szCs w:val="22"/>
        </w:rPr>
        <w:t>Hűtőszekrényben tárolandó. Nem fagyasztható!</w:t>
      </w:r>
    </w:p>
    <w:p w14:paraId="7B102F63" w14:textId="77777777" w:rsidR="00E77B8E" w:rsidRPr="00183B5F" w:rsidRDefault="00943743" w:rsidP="004062FE">
      <w:pPr>
        <w:keepNext/>
        <w:spacing w:line="240" w:lineRule="auto"/>
        <w:rPr>
          <w:szCs w:val="22"/>
        </w:rPr>
      </w:pPr>
      <w:r w:rsidRPr="00183B5F">
        <w:rPr>
          <w:szCs w:val="22"/>
        </w:rPr>
        <w:t>További információkért olvassa el a betegtájékoztatót.</w:t>
      </w:r>
    </w:p>
    <w:p w14:paraId="36F6F2E9" w14:textId="77777777" w:rsidR="00F32BBB" w:rsidRPr="00183B5F" w:rsidRDefault="00F32BBB" w:rsidP="004062FE">
      <w:pPr>
        <w:keepNext/>
        <w:spacing w:line="240" w:lineRule="auto"/>
        <w:rPr>
          <w:szCs w:val="22"/>
        </w:rPr>
      </w:pPr>
    </w:p>
    <w:p w14:paraId="3AD1A5F1" w14:textId="77777777" w:rsidR="00E77B8E" w:rsidRPr="00183B5F" w:rsidRDefault="00943743" w:rsidP="004062FE">
      <w:pPr>
        <w:spacing w:line="240" w:lineRule="auto"/>
        <w:rPr>
          <w:szCs w:val="22"/>
        </w:rPr>
      </w:pPr>
      <w:r w:rsidRPr="00183B5F">
        <w:rPr>
          <w:szCs w:val="22"/>
        </w:rPr>
        <w:t>A fénytől való védelem érdekében az előretöltött injekciós toll az eredeti dobozban tárolandó.</w:t>
      </w:r>
    </w:p>
    <w:p w14:paraId="17D7EB77" w14:textId="77777777" w:rsidR="00E77B8E" w:rsidRPr="00183B5F" w:rsidRDefault="00E77B8E" w:rsidP="004062FE">
      <w:pPr>
        <w:spacing w:line="240" w:lineRule="auto"/>
        <w:rPr>
          <w:szCs w:val="22"/>
        </w:rPr>
      </w:pPr>
    </w:p>
    <w:p w14:paraId="5170F0B2" w14:textId="77777777" w:rsidR="00E77B8E" w:rsidRPr="00183B5F" w:rsidRDefault="00E77B8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3C97BDDE" w14:textId="77777777" w:rsidTr="00E77B8E">
        <w:trPr>
          <w:jc w:val="center"/>
        </w:trPr>
        <w:tc>
          <w:tcPr>
            <w:tcW w:w="9069" w:type="dxa"/>
            <w:tcBorders>
              <w:top w:val="single" w:sz="2" w:space="0" w:color="000000"/>
              <w:left w:val="single" w:sz="2" w:space="0" w:color="000000"/>
              <w:bottom w:val="single" w:sz="2" w:space="0" w:color="000000"/>
              <w:right w:val="single" w:sz="2" w:space="0" w:color="000000"/>
            </w:tcBorders>
          </w:tcPr>
          <w:p w14:paraId="74CECCE7" w14:textId="77777777" w:rsidR="00E77B8E" w:rsidRPr="00183B5F" w:rsidRDefault="00943743" w:rsidP="004062FE">
            <w:pPr>
              <w:tabs>
                <w:tab w:val="left" w:pos="142"/>
              </w:tabs>
              <w:spacing w:line="240" w:lineRule="auto"/>
              <w:ind w:left="567" w:hanging="567"/>
              <w:rPr>
                <w:b/>
                <w:szCs w:val="22"/>
              </w:rPr>
            </w:pPr>
            <w:r w:rsidRPr="00183B5F">
              <w:rPr>
                <w:b/>
                <w:szCs w:val="22"/>
              </w:rPr>
              <w:t>10.</w:t>
            </w:r>
            <w:r w:rsidRPr="00183B5F">
              <w:rPr>
                <w:b/>
                <w:szCs w:val="22"/>
              </w:rPr>
              <w:tab/>
              <w:t>KÜLÖNLEGES ÓVINTÉZKEDÉSEK A FEL NEM HASZNÁLT GYÓGYSZEREK VAGY AZ ILYEN TERMÉKEKBŐL KELETKEZETT HULLADÉKANYAGOK ÁRTALMATLANNÁ TÉTELÉRE, HA ILYENEKRE SZÜKSÉG VAN</w:t>
            </w:r>
          </w:p>
        </w:tc>
      </w:tr>
    </w:tbl>
    <w:p w14:paraId="245BC28B" w14:textId="77777777" w:rsidR="00E77B8E" w:rsidRPr="00183B5F" w:rsidRDefault="00E77B8E" w:rsidP="004062FE">
      <w:pPr>
        <w:spacing w:line="240" w:lineRule="auto"/>
        <w:rPr>
          <w:szCs w:val="22"/>
        </w:rPr>
      </w:pPr>
    </w:p>
    <w:p w14:paraId="6F43209D" w14:textId="77777777" w:rsidR="00E77B8E" w:rsidRPr="00183B5F" w:rsidRDefault="00E77B8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2E2C1BBC" w14:textId="77777777" w:rsidTr="00E77B8E">
        <w:trPr>
          <w:jc w:val="center"/>
        </w:trPr>
        <w:tc>
          <w:tcPr>
            <w:tcW w:w="9069" w:type="dxa"/>
            <w:tcBorders>
              <w:top w:val="single" w:sz="2" w:space="0" w:color="000000"/>
              <w:left w:val="single" w:sz="2" w:space="0" w:color="000000"/>
              <w:bottom w:val="single" w:sz="2" w:space="0" w:color="000000"/>
              <w:right w:val="single" w:sz="2" w:space="0" w:color="000000"/>
            </w:tcBorders>
          </w:tcPr>
          <w:p w14:paraId="7D472A3B" w14:textId="77777777" w:rsidR="00E77B8E" w:rsidRPr="00183B5F" w:rsidRDefault="00943743" w:rsidP="004062FE">
            <w:pPr>
              <w:tabs>
                <w:tab w:val="left" w:pos="142"/>
              </w:tabs>
              <w:spacing w:line="240" w:lineRule="auto"/>
              <w:ind w:left="567" w:hanging="567"/>
              <w:rPr>
                <w:b/>
                <w:szCs w:val="22"/>
              </w:rPr>
            </w:pPr>
            <w:r w:rsidRPr="00183B5F">
              <w:rPr>
                <w:b/>
                <w:szCs w:val="22"/>
              </w:rPr>
              <w:t>11.</w:t>
            </w:r>
            <w:r w:rsidRPr="00183B5F">
              <w:rPr>
                <w:b/>
                <w:szCs w:val="22"/>
              </w:rPr>
              <w:tab/>
              <w:t>A FORGALOMBA HOZATALI ENGEDÉLY JOGOSULTJÁNAK NEVE ÉS CÍME</w:t>
            </w:r>
          </w:p>
        </w:tc>
      </w:tr>
    </w:tbl>
    <w:p w14:paraId="6D30D057" w14:textId="77777777" w:rsidR="00E77B8E" w:rsidRPr="00183B5F" w:rsidRDefault="00E77B8E" w:rsidP="004062FE">
      <w:pPr>
        <w:spacing w:line="240" w:lineRule="auto"/>
        <w:rPr>
          <w:szCs w:val="22"/>
        </w:rPr>
      </w:pPr>
    </w:p>
    <w:p w14:paraId="04B579AB"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AbbVie Deutschland GmbH &amp; Co. KG</w:t>
      </w:r>
    </w:p>
    <w:p w14:paraId="41094381"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Knollstrasse</w:t>
      </w:r>
    </w:p>
    <w:p w14:paraId="1B6F700D"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67061 Ludwigshafen</w:t>
      </w:r>
    </w:p>
    <w:p w14:paraId="1D2A6171"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 xml:space="preserve">Németország </w:t>
      </w:r>
    </w:p>
    <w:p w14:paraId="7DE8E0CC" w14:textId="77777777" w:rsidR="00E77B8E" w:rsidRPr="00183B5F" w:rsidRDefault="00E77B8E" w:rsidP="004062FE">
      <w:pPr>
        <w:spacing w:line="240" w:lineRule="auto"/>
        <w:rPr>
          <w:szCs w:val="22"/>
        </w:rPr>
      </w:pPr>
    </w:p>
    <w:p w14:paraId="6A04ED84" w14:textId="77777777" w:rsidR="00E77B8E" w:rsidRPr="00183B5F" w:rsidRDefault="00E77B8E" w:rsidP="004062FE">
      <w:pPr>
        <w:pStyle w:val="EndnoteText"/>
        <w:tabs>
          <w:tab w:val="clear" w:pos="567"/>
        </w:tabs>
        <w:suppressAutoHyphens/>
        <w:rPr>
          <w:sz w:val="22"/>
          <w:szCs w:val="22"/>
          <w:lang w:val="hu-HU" w:eastAsia="hu-HU"/>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2B4448F" w14:textId="77777777" w:rsidTr="00E77B8E">
        <w:trPr>
          <w:jc w:val="center"/>
        </w:trPr>
        <w:tc>
          <w:tcPr>
            <w:tcW w:w="9069" w:type="dxa"/>
            <w:tcBorders>
              <w:top w:val="single" w:sz="2" w:space="0" w:color="000000"/>
              <w:left w:val="single" w:sz="2" w:space="0" w:color="000000"/>
              <w:bottom w:val="single" w:sz="2" w:space="0" w:color="000000"/>
              <w:right w:val="single" w:sz="2" w:space="0" w:color="000000"/>
            </w:tcBorders>
          </w:tcPr>
          <w:p w14:paraId="5A18C116" w14:textId="77777777" w:rsidR="00E77B8E" w:rsidRPr="00183B5F" w:rsidRDefault="00943743" w:rsidP="004062FE">
            <w:pPr>
              <w:tabs>
                <w:tab w:val="left" w:pos="142"/>
              </w:tabs>
              <w:spacing w:line="240" w:lineRule="auto"/>
              <w:ind w:left="567" w:hanging="567"/>
              <w:rPr>
                <w:b/>
                <w:szCs w:val="22"/>
              </w:rPr>
            </w:pPr>
            <w:r w:rsidRPr="00183B5F">
              <w:rPr>
                <w:b/>
                <w:szCs w:val="22"/>
              </w:rPr>
              <w:t>12.</w:t>
            </w:r>
            <w:r w:rsidRPr="00183B5F">
              <w:rPr>
                <w:b/>
                <w:szCs w:val="22"/>
              </w:rPr>
              <w:tab/>
              <w:t>A FORGALOMBA HOZATALI ENGEDÉLY SZÁMA(I)</w:t>
            </w:r>
          </w:p>
        </w:tc>
      </w:tr>
    </w:tbl>
    <w:p w14:paraId="58B6D413" w14:textId="77777777" w:rsidR="00E77B8E" w:rsidRPr="00183B5F" w:rsidRDefault="00E77B8E" w:rsidP="004062FE">
      <w:pPr>
        <w:pStyle w:val="EndnoteText"/>
        <w:tabs>
          <w:tab w:val="clear" w:pos="567"/>
        </w:tabs>
        <w:suppressAutoHyphens/>
        <w:rPr>
          <w:sz w:val="22"/>
          <w:szCs w:val="22"/>
          <w:lang w:val="hu-HU"/>
        </w:rPr>
      </w:pPr>
    </w:p>
    <w:p w14:paraId="78F2CA99" w14:textId="77777777" w:rsidR="00484F6A" w:rsidRPr="00183B5F" w:rsidRDefault="00943743" w:rsidP="004062FE">
      <w:pPr>
        <w:spacing w:line="240" w:lineRule="auto"/>
        <w:ind w:left="540" w:hanging="540"/>
        <w:rPr>
          <w:szCs w:val="22"/>
        </w:rPr>
      </w:pPr>
      <w:r w:rsidRPr="00183B5F">
        <w:rPr>
          <w:szCs w:val="22"/>
        </w:rPr>
        <w:t>EU/1/03/256/016</w:t>
      </w:r>
    </w:p>
    <w:p w14:paraId="15533D6E" w14:textId="77777777" w:rsidR="00484F6A" w:rsidRPr="00183B5F" w:rsidRDefault="00943743" w:rsidP="004062FE">
      <w:pPr>
        <w:spacing w:line="240" w:lineRule="auto"/>
        <w:ind w:left="540" w:hanging="540"/>
        <w:rPr>
          <w:highlight w:val="lightGray"/>
        </w:rPr>
      </w:pPr>
      <w:r w:rsidRPr="00183B5F">
        <w:rPr>
          <w:highlight w:val="lightGray"/>
        </w:rPr>
        <w:t>EU/1/03/256/017</w:t>
      </w:r>
    </w:p>
    <w:p w14:paraId="35686387" w14:textId="77777777" w:rsidR="00484F6A" w:rsidRPr="00183B5F" w:rsidRDefault="00943743" w:rsidP="004062FE">
      <w:pPr>
        <w:spacing w:line="240" w:lineRule="auto"/>
        <w:ind w:left="540" w:hanging="540"/>
        <w:rPr>
          <w:highlight w:val="lightGray"/>
        </w:rPr>
      </w:pPr>
      <w:r w:rsidRPr="00183B5F">
        <w:rPr>
          <w:highlight w:val="lightGray"/>
        </w:rPr>
        <w:t>EU/1/03/256/018</w:t>
      </w:r>
    </w:p>
    <w:p w14:paraId="00BEFF39" w14:textId="77777777" w:rsidR="00E77B8E" w:rsidRPr="00183B5F" w:rsidRDefault="00943743" w:rsidP="004062FE">
      <w:pPr>
        <w:spacing w:line="240" w:lineRule="auto"/>
        <w:ind w:left="540" w:hanging="540"/>
        <w:rPr>
          <w:szCs w:val="22"/>
        </w:rPr>
      </w:pPr>
      <w:r w:rsidRPr="00183B5F">
        <w:rPr>
          <w:highlight w:val="lightGray"/>
        </w:rPr>
        <w:t>EU/1/03/256/019</w:t>
      </w:r>
    </w:p>
    <w:p w14:paraId="3A51E4A1" w14:textId="77777777" w:rsidR="00E77B8E" w:rsidRPr="00183B5F" w:rsidRDefault="00E77B8E" w:rsidP="004062FE">
      <w:pPr>
        <w:spacing w:line="240" w:lineRule="auto"/>
        <w:rPr>
          <w:szCs w:val="22"/>
        </w:rPr>
      </w:pPr>
    </w:p>
    <w:p w14:paraId="72BCD3CC" w14:textId="77777777" w:rsidR="00E77B8E" w:rsidRPr="00183B5F" w:rsidRDefault="00E77B8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58DE8F0F" w14:textId="77777777" w:rsidTr="00E77B8E">
        <w:trPr>
          <w:jc w:val="center"/>
        </w:trPr>
        <w:tc>
          <w:tcPr>
            <w:tcW w:w="9069" w:type="dxa"/>
            <w:tcBorders>
              <w:top w:val="single" w:sz="2" w:space="0" w:color="000000"/>
              <w:left w:val="single" w:sz="2" w:space="0" w:color="000000"/>
              <w:bottom w:val="single" w:sz="2" w:space="0" w:color="000000"/>
              <w:right w:val="single" w:sz="2" w:space="0" w:color="000000"/>
            </w:tcBorders>
          </w:tcPr>
          <w:p w14:paraId="51162036" w14:textId="77777777" w:rsidR="00E77B8E" w:rsidRPr="00183B5F" w:rsidRDefault="00943743" w:rsidP="004062FE">
            <w:pPr>
              <w:tabs>
                <w:tab w:val="left" w:pos="142"/>
              </w:tabs>
              <w:spacing w:line="240" w:lineRule="auto"/>
              <w:ind w:left="567" w:hanging="567"/>
              <w:rPr>
                <w:b/>
                <w:szCs w:val="22"/>
              </w:rPr>
            </w:pPr>
            <w:r w:rsidRPr="00183B5F">
              <w:rPr>
                <w:b/>
                <w:szCs w:val="22"/>
              </w:rPr>
              <w:t>13.</w:t>
            </w:r>
            <w:r w:rsidRPr="00183B5F">
              <w:rPr>
                <w:b/>
                <w:szCs w:val="22"/>
              </w:rPr>
              <w:tab/>
              <w:t>A GYÁRTÁSI TÉTEL SZÁMA</w:t>
            </w:r>
          </w:p>
        </w:tc>
      </w:tr>
    </w:tbl>
    <w:p w14:paraId="6D230B50" w14:textId="77777777" w:rsidR="00E77B8E" w:rsidRPr="00183B5F" w:rsidRDefault="00E77B8E" w:rsidP="004062FE">
      <w:pPr>
        <w:spacing w:line="240" w:lineRule="auto"/>
        <w:rPr>
          <w:szCs w:val="22"/>
        </w:rPr>
      </w:pPr>
    </w:p>
    <w:p w14:paraId="7475E63C" w14:textId="77777777" w:rsidR="00E77B8E" w:rsidRPr="00183B5F" w:rsidRDefault="00943743" w:rsidP="004062FE">
      <w:pPr>
        <w:spacing w:line="240" w:lineRule="auto"/>
        <w:rPr>
          <w:szCs w:val="22"/>
        </w:rPr>
      </w:pPr>
      <w:r w:rsidRPr="00183B5F">
        <w:rPr>
          <w:szCs w:val="22"/>
        </w:rPr>
        <w:t>Lot</w:t>
      </w:r>
    </w:p>
    <w:p w14:paraId="6A0E7478" w14:textId="77777777" w:rsidR="00E77B8E" w:rsidRPr="00183B5F" w:rsidRDefault="00E77B8E" w:rsidP="004062FE">
      <w:pPr>
        <w:spacing w:line="240" w:lineRule="auto"/>
        <w:rPr>
          <w:szCs w:val="22"/>
        </w:rPr>
      </w:pPr>
    </w:p>
    <w:p w14:paraId="4797165B" w14:textId="77777777" w:rsidR="00E77B8E" w:rsidRPr="00183B5F" w:rsidRDefault="00E77B8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C8201D3" w14:textId="77777777" w:rsidTr="00E77B8E">
        <w:trPr>
          <w:jc w:val="center"/>
        </w:trPr>
        <w:tc>
          <w:tcPr>
            <w:tcW w:w="9069" w:type="dxa"/>
            <w:tcBorders>
              <w:top w:val="single" w:sz="2" w:space="0" w:color="000000"/>
              <w:left w:val="single" w:sz="2" w:space="0" w:color="000000"/>
              <w:bottom w:val="single" w:sz="2" w:space="0" w:color="000000"/>
              <w:right w:val="single" w:sz="2" w:space="0" w:color="000000"/>
            </w:tcBorders>
          </w:tcPr>
          <w:p w14:paraId="0A417714" w14:textId="4D4DBB03" w:rsidR="00E77B8E" w:rsidRPr="00183B5F" w:rsidRDefault="00943743" w:rsidP="004062FE">
            <w:pPr>
              <w:tabs>
                <w:tab w:val="left" w:pos="142"/>
              </w:tabs>
              <w:spacing w:line="240" w:lineRule="auto"/>
              <w:ind w:left="567" w:hanging="567"/>
              <w:rPr>
                <w:b/>
                <w:szCs w:val="22"/>
              </w:rPr>
            </w:pPr>
            <w:r w:rsidRPr="00183B5F">
              <w:rPr>
                <w:b/>
                <w:szCs w:val="22"/>
              </w:rPr>
              <w:t>14.</w:t>
            </w:r>
            <w:r w:rsidRPr="00183B5F">
              <w:rPr>
                <w:b/>
                <w:szCs w:val="22"/>
              </w:rPr>
              <w:tab/>
              <w:t xml:space="preserve">A GYÓGYSZER </w:t>
            </w:r>
            <w:ins w:id="9837" w:author="AbbVie_HU_03" w:date="2025-05-14T16:21:00Z">
              <w:r w:rsidR="00511721" w:rsidRPr="00BA324A">
                <w:rPr>
                  <w:b/>
                  <w:noProof/>
                </w:rPr>
                <w:t xml:space="preserve">ÁLTALÁNOS BESOROLÁSA </w:t>
              </w:r>
            </w:ins>
            <w:r w:rsidRPr="00183B5F">
              <w:rPr>
                <w:b/>
                <w:szCs w:val="22"/>
              </w:rPr>
              <w:t>RENDELHETŐSÉG</w:t>
            </w:r>
            <w:del w:id="9838" w:author="AbbVie_HU_03" w:date="2025-05-14T16:21:00Z">
              <w:r w:rsidRPr="00183B5F">
                <w:rPr>
                  <w:b/>
                  <w:szCs w:val="22"/>
                </w:rPr>
                <w:delText>E</w:delText>
              </w:r>
            </w:del>
            <w:ins w:id="9839" w:author="AbbVie_HU_03" w:date="2025-05-14T16:22:00Z">
              <w:r w:rsidR="00511721">
                <w:rPr>
                  <w:b/>
                  <w:szCs w:val="22"/>
                </w:rPr>
                <w:t xml:space="preserve"> SZEMPONTJÁBÓL</w:t>
              </w:r>
            </w:ins>
          </w:p>
        </w:tc>
      </w:tr>
    </w:tbl>
    <w:p w14:paraId="728CC108" w14:textId="77777777" w:rsidR="00E77B8E" w:rsidRPr="00183B5F" w:rsidRDefault="00E77B8E" w:rsidP="004062FE">
      <w:pPr>
        <w:spacing w:line="240" w:lineRule="auto"/>
        <w:rPr>
          <w:szCs w:val="22"/>
        </w:rPr>
      </w:pPr>
    </w:p>
    <w:p w14:paraId="1CD657C1" w14:textId="77777777" w:rsidR="00E77B8E" w:rsidRPr="00183B5F" w:rsidRDefault="00E77B8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74332F93" w14:textId="77777777" w:rsidTr="00E77B8E">
        <w:trPr>
          <w:jc w:val="center"/>
        </w:trPr>
        <w:tc>
          <w:tcPr>
            <w:tcW w:w="9069" w:type="dxa"/>
            <w:tcBorders>
              <w:top w:val="single" w:sz="2" w:space="0" w:color="000000"/>
              <w:left w:val="single" w:sz="2" w:space="0" w:color="000000"/>
              <w:bottom w:val="single" w:sz="2" w:space="0" w:color="000000"/>
              <w:right w:val="single" w:sz="2" w:space="0" w:color="000000"/>
            </w:tcBorders>
          </w:tcPr>
          <w:p w14:paraId="65F146BA" w14:textId="77777777" w:rsidR="00E77B8E" w:rsidRPr="00183B5F" w:rsidRDefault="00943743" w:rsidP="004062FE">
            <w:pPr>
              <w:tabs>
                <w:tab w:val="left" w:pos="142"/>
              </w:tabs>
              <w:spacing w:line="240" w:lineRule="auto"/>
              <w:ind w:left="567" w:hanging="567"/>
              <w:rPr>
                <w:b/>
                <w:szCs w:val="22"/>
              </w:rPr>
            </w:pPr>
            <w:r w:rsidRPr="00183B5F">
              <w:rPr>
                <w:b/>
                <w:szCs w:val="22"/>
              </w:rPr>
              <w:t>15.</w:t>
            </w:r>
            <w:r w:rsidRPr="00183B5F">
              <w:rPr>
                <w:b/>
                <w:szCs w:val="22"/>
              </w:rPr>
              <w:tab/>
              <w:t>AZ ALKALMAZÁSRA VONATKOZÓ UTASÍTÁSOK</w:t>
            </w:r>
          </w:p>
        </w:tc>
      </w:tr>
    </w:tbl>
    <w:p w14:paraId="6AB50AB8" w14:textId="77777777" w:rsidR="00E77B8E" w:rsidRPr="00183B5F" w:rsidRDefault="00E77B8E" w:rsidP="004062FE">
      <w:pPr>
        <w:spacing w:line="240" w:lineRule="auto"/>
        <w:rPr>
          <w:szCs w:val="22"/>
        </w:rPr>
      </w:pPr>
    </w:p>
    <w:p w14:paraId="3E691979" w14:textId="77777777" w:rsidR="00E77B8E" w:rsidRPr="00183B5F" w:rsidRDefault="00E77B8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4D54D788" w14:textId="77777777" w:rsidTr="00E77B8E">
        <w:trPr>
          <w:jc w:val="center"/>
        </w:trPr>
        <w:tc>
          <w:tcPr>
            <w:tcW w:w="9069" w:type="dxa"/>
            <w:tcBorders>
              <w:top w:val="single" w:sz="2" w:space="0" w:color="000000"/>
              <w:left w:val="single" w:sz="2" w:space="0" w:color="000000"/>
              <w:bottom w:val="single" w:sz="2" w:space="0" w:color="000000"/>
              <w:right w:val="single" w:sz="2" w:space="0" w:color="000000"/>
            </w:tcBorders>
          </w:tcPr>
          <w:p w14:paraId="61030E9F" w14:textId="77777777" w:rsidR="00E77B8E" w:rsidRPr="00183B5F" w:rsidRDefault="00943743" w:rsidP="004062FE">
            <w:pPr>
              <w:tabs>
                <w:tab w:val="left" w:pos="142"/>
              </w:tabs>
              <w:spacing w:line="240" w:lineRule="auto"/>
              <w:ind w:left="567" w:hanging="567"/>
              <w:rPr>
                <w:b/>
                <w:szCs w:val="22"/>
              </w:rPr>
            </w:pPr>
            <w:r w:rsidRPr="00183B5F">
              <w:rPr>
                <w:b/>
                <w:szCs w:val="22"/>
              </w:rPr>
              <w:t>16.</w:t>
            </w:r>
            <w:r w:rsidRPr="00183B5F">
              <w:rPr>
                <w:b/>
                <w:szCs w:val="22"/>
              </w:rPr>
              <w:tab/>
              <w:t>BRAILLE ÍRÁSSAL FELTÜNTETETT INFORMÁCIÓK</w:t>
            </w:r>
          </w:p>
        </w:tc>
      </w:tr>
    </w:tbl>
    <w:p w14:paraId="4ADD5A37" w14:textId="77777777" w:rsidR="00E77B8E" w:rsidRPr="00183B5F" w:rsidRDefault="00E77B8E" w:rsidP="004062FE">
      <w:pPr>
        <w:spacing w:line="240" w:lineRule="auto"/>
        <w:rPr>
          <w:szCs w:val="22"/>
        </w:rPr>
      </w:pPr>
    </w:p>
    <w:p w14:paraId="28DAD9B5" w14:textId="77777777" w:rsidR="00E77B8E" w:rsidRPr="00183B5F" w:rsidRDefault="00943743" w:rsidP="004062FE">
      <w:pPr>
        <w:spacing w:line="240" w:lineRule="auto"/>
        <w:rPr>
          <w:szCs w:val="22"/>
        </w:rPr>
      </w:pPr>
      <w:r w:rsidRPr="00183B5F">
        <w:rPr>
          <w:szCs w:val="22"/>
        </w:rPr>
        <w:t>Humira 40 mg</w:t>
      </w:r>
    </w:p>
    <w:p w14:paraId="6EDEB38B" w14:textId="77777777" w:rsidR="000B2A7F" w:rsidRPr="00183B5F" w:rsidRDefault="000B2A7F" w:rsidP="004062FE">
      <w:pPr>
        <w:spacing w:line="240" w:lineRule="auto"/>
        <w:rPr>
          <w:szCs w:val="22"/>
        </w:rPr>
      </w:pPr>
    </w:p>
    <w:p w14:paraId="709ABD93" w14:textId="77777777" w:rsidR="000B2A7F" w:rsidRPr="00183B5F" w:rsidRDefault="000B2A7F">
      <w:pPr>
        <w:spacing w:line="240" w:lineRule="auto"/>
        <w:rPr>
          <w:noProof/>
          <w:shd w:val="clear" w:color="auto" w:fill="CCCCCC"/>
        </w:rPr>
      </w:pPr>
    </w:p>
    <w:p w14:paraId="7B67A7C3" w14:textId="77777777" w:rsidR="000B2A7F" w:rsidRPr="00183B5F" w:rsidRDefault="00943743">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i/>
          <w:noProof/>
        </w:rPr>
      </w:pPr>
      <w:r w:rsidRPr="00183B5F">
        <w:rPr>
          <w:b/>
          <w:noProof/>
        </w:rPr>
        <w:t>17.</w:t>
      </w:r>
      <w:r w:rsidRPr="00183B5F">
        <w:rPr>
          <w:b/>
          <w:noProof/>
        </w:rPr>
        <w:tab/>
        <w:t>EGYEDI AZONOSÍTÓ – 2D VONALKÓD</w:t>
      </w:r>
    </w:p>
    <w:p w14:paraId="529BCB51" w14:textId="77777777" w:rsidR="000B2A7F" w:rsidRPr="00183B5F" w:rsidRDefault="000B2A7F">
      <w:pPr>
        <w:spacing w:line="240" w:lineRule="auto"/>
        <w:rPr>
          <w:noProof/>
        </w:rPr>
      </w:pPr>
    </w:p>
    <w:p w14:paraId="3DD3B66C" w14:textId="77777777" w:rsidR="000B2A7F" w:rsidRPr="00183B5F" w:rsidRDefault="00943743">
      <w:pPr>
        <w:spacing w:line="240" w:lineRule="auto"/>
        <w:rPr>
          <w:noProof/>
          <w:shd w:val="clear" w:color="auto" w:fill="CCCCCC"/>
        </w:rPr>
      </w:pPr>
      <w:r w:rsidRPr="00183B5F">
        <w:rPr>
          <w:noProof/>
          <w:highlight w:val="lightGray"/>
        </w:rPr>
        <w:t>Egyedi azonosítójú 2D vonalkóddal ellátva.</w:t>
      </w:r>
    </w:p>
    <w:p w14:paraId="7E0A1875" w14:textId="77777777" w:rsidR="000B2A7F" w:rsidRPr="00183B5F" w:rsidRDefault="000B2A7F">
      <w:pPr>
        <w:spacing w:line="240" w:lineRule="auto"/>
        <w:rPr>
          <w:noProof/>
          <w:shd w:val="clear" w:color="auto" w:fill="CCCCCC"/>
        </w:rPr>
      </w:pPr>
    </w:p>
    <w:p w14:paraId="64594ECA" w14:textId="77777777" w:rsidR="000B2A7F" w:rsidRPr="00183B5F" w:rsidRDefault="000B2A7F">
      <w:pPr>
        <w:spacing w:line="240" w:lineRule="auto"/>
        <w:rPr>
          <w:noProof/>
          <w:shd w:val="clear" w:color="auto" w:fill="CCCCCC"/>
        </w:rPr>
      </w:pPr>
    </w:p>
    <w:p w14:paraId="51309930" w14:textId="77777777" w:rsidR="000B2A7F" w:rsidRPr="00183B5F" w:rsidRDefault="00943743">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i/>
          <w:noProof/>
        </w:rPr>
      </w:pPr>
      <w:r w:rsidRPr="00183B5F">
        <w:rPr>
          <w:b/>
          <w:noProof/>
        </w:rPr>
        <w:t>18.</w:t>
      </w:r>
      <w:r w:rsidRPr="00183B5F">
        <w:rPr>
          <w:b/>
          <w:noProof/>
        </w:rPr>
        <w:tab/>
        <w:t>EGYEDI AZONOSÍTÓ OLVASHATÓ FORMÁTUMA</w:t>
      </w:r>
    </w:p>
    <w:p w14:paraId="50719F4D" w14:textId="77777777" w:rsidR="000B2A7F" w:rsidRPr="00183B5F" w:rsidRDefault="000B2A7F">
      <w:pPr>
        <w:spacing w:line="240" w:lineRule="auto"/>
        <w:rPr>
          <w:noProof/>
        </w:rPr>
      </w:pPr>
    </w:p>
    <w:p w14:paraId="31F93726" w14:textId="77777777" w:rsidR="000B2A7F" w:rsidRPr="00183B5F" w:rsidRDefault="00943743" w:rsidP="004062FE">
      <w:pPr>
        <w:keepNext/>
        <w:spacing w:line="240" w:lineRule="auto"/>
        <w:rPr>
          <w:color w:val="008000"/>
        </w:rPr>
      </w:pPr>
      <w:r w:rsidRPr="00183B5F">
        <w:t>PC</w:t>
      </w:r>
    </w:p>
    <w:p w14:paraId="40C56F0B" w14:textId="77777777" w:rsidR="000B2A7F" w:rsidRPr="00183B5F" w:rsidRDefault="00943743" w:rsidP="004062FE">
      <w:pPr>
        <w:spacing w:line="240" w:lineRule="auto"/>
      </w:pPr>
      <w:r w:rsidRPr="00183B5F">
        <w:t>SN</w:t>
      </w:r>
    </w:p>
    <w:p w14:paraId="7141C259" w14:textId="77777777" w:rsidR="000B2A7F" w:rsidRPr="00183B5F" w:rsidRDefault="00943743" w:rsidP="004062FE">
      <w:pPr>
        <w:spacing w:line="240" w:lineRule="auto"/>
      </w:pPr>
      <w:r w:rsidRPr="00183B5F">
        <w:rPr>
          <w:highlight w:val="lightGray"/>
        </w:rPr>
        <w:t>NN</w:t>
      </w:r>
    </w:p>
    <w:p w14:paraId="02C9C9DF" w14:textId="77777777" w:rsidR="000B2A7F" w:rsidRPr="00183B5F" w:rsidRDefault="000B2A7F" w:rsidP="004062FE">
      <w:pPr>
        <w:spacing w:line="240" w:lineRule="auto"/>
      </w:pPr>
    </w:p>
    <w:p w14:paraId="1252151B" w14:textId="77777777" w:rsidR="00E77B8E" w:rsidRPr="00183B5F" w:rsidRDefault="00943743" w:rsidP="004062FE">
      <w:pPr>
        <w:spacing w:line="240" w:lineRule="auto"/>
        <w:rPr>
          <w:b/>
          <w:szCs w:val="22"/>
        </w:rPr>
      </w:pPr>
      <w:r w:rsidRPr="00183B5F">
        <w:rPr>
          <w:b/>
          <w:szCs w:val="22"/>
        </w:rPr>
        <w:br w:type="page"/>
      </w:r>
    </w:p>
    <w:p w14:paraId="72005CEA" w14:textId="77777777" w:rsidR="00576509" w:rsidRPr="00183B5F" w:rsidRDefault="00576509" w:rsidP="004062FE">
      <w:pPr>
        <w:spacing w:line="240" w:lineRule="auto"/>
        <w:rPr>
          <w:b/>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293E9BF1" w14:textId="77777777" w:rsidTr="00D81EBF">
        <w:trPr>
          <w:jc w:val="center"/>
        </w:trPr>
        <w:tc>
          <w:tcPr>
            <w:tcW w:w="9069" w:type="dxa"/>
            <w:tcBorders>
              <w:top w:val="single" w:sz="2" w:space="0" w:color="000000"/>
              <w:left w:val="single" w:sz="2" w:space="0" w:color="000000"/>
              <w:bottom w:val="single" w:sz="2" w:space="0" w:color="000000"/>
              <w:right w:val="single" w:sz="2" w:space="0" w:color="000000"/>
            </w:tcBorders>
          </w:tcPr>
          <w:p w14:paraId="12F95F04" w14:textId="77777777" w:rsidR="00576509" w:rsidRPr="00183B5F" w:rsidRDefault="00943743" w:rsidP="004062FE">
            <w:pPr>
              <w:spacing w:line="240" w:lineRule="auto"/>
              <w:rPr>
                <w:b/>
                <w:szCs w:val="22"/>
              </w:rPr>
            </w:pPr>
            <w:r w:rsidRPr="00183B5F">
              <w:rPr>
                <w:b/>
                <w:szCs w:val="22"/>
              </w:rPr>
              <w:t>A BUBORÉKCSOMAGOLÁSON VAGY A SZALAGFÓLIÁN MINIMÁLISAN FELTÜNTETENDŐ ADATOK</w:t>
            </w:r>
          </w:p>
          <w:p w14:paraId="03BEE669" w14:textId="77777777" w:rsidR="00576509" w:rsidRPr="00183B5F" w:rsidRDefault="00576509" w:rsidP="004062FE">
            <w:pPr>
              <w:spacing w:line="240" w:lineRule="auto"/>
              <w:rPr>
                <w:b/>
                <w:szCs w:val="22"/>
              </w:rPr>
            </w:pPr>
          </w:p>
          <w:p w14:paraId="4D9A0856" w14:textId="77777777" w:rsidR="00576509" w:rsidRPr="00183B5F" w:rsidRDefault="00943743" w:rsidP="004062FE">
            <w:pPr>
              <w:spacing w:line="240" w:lineRule="auto"/>
              <w:rPr>
                <w:b/>
                <w:caps/>
                <w:szCs w:val="22"/>
              </w:rPr>
            </w:pPr>
            <w:r w:rsidRPr="00183B5F">
              <w:rPr>
                <w:b/>
                <w:caps/>
                <w:szCs w:val="22"/>
              </w:rPr>
              <w:t>Tálca hátoldalán levő szöveg</w:t>
            </w:r>
          </w:p>
        </w:tc>
      </w:tr>
    </w:tbl>
    <w:p w14:paraId="61F13814" w14:textId="77777777" w:rsidR="00576509" w:rsidRPr="00183B5F" w:rsidRDefault="00576509" w:rsidP="004062FE">
      <w:pPr>
        <w:spacing w:line="240" w:lineRule="auto"/>
        <w:rPr>
          <w:szCs w:val="22"/>
        </w:rPr>
      </w:pPr>
    </w:p>
    <w:p w14:paraId="7E0134B3" w14:textId="77777777" w:rsidR="00576509" w:rsidRPr="00183B5F" w:rsidRDefault="00576509"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7D5DE4F9" w14:textId="77777777" w:rsidTr="00D81EBF">
        <w:trPr>
          <w:jc w:val="center"/>
        </w:trPr>
        <w:tc>
          <w:tcPr>
            <w:tcW w:w="9069" w:type="dxa"/>
            <w:tcBorders>
              <w:top w:val="single" w:sz="2" w:space="0" w:color="000000"/>
              <w:left w:val="single" w:sz="2" w:space="0" w:color="000000"/>
              <w:bottom w:val="single" w:sz="2" w:space="0" w:color="000000"/>
              <w:right w:val="single" w:sz="2" w:space="0" w:color="000000"/>
            </w:tcBorders>
          </w:tcPr>
          <w:p w14:paraId="0F4FA447" w14:textId="77777777" w:rsidR="00576509" w:rsidRPr="00183B5F" w:rsidRDefault="00943743" w:rsidP="004062FE">
            <w:pPr>
              <w:tabs>
                <w:tab w:val="left" w:pos="142"/>
              </w:tabs>
              <w:spacing w:line="240" w:lineRule="auto"/>
              <w:ind w:left="567" w:hanging="567"/>
              <w:rPr>
                <w:b/>
                <w:szCs w:val="22"/>
              </w:rPr>
            </w:pPr>
            <w:r w:rsidRPr="00183B5F">
              <w:rPr>
                <w:b/>
                <w:szCs w:val="22"/>
              </w:rPr>
              <w:t>1.</w:t>
            </w:r>
            <w:r w:rsidRPr="00183B5F">
              <w:rPr>
                <w:b/>
                <w:szCs w:val="22"/>
              </w:rPr>
              <w:tab/>
              <w:t>A GYÓGYSZER NEVE</w:t>
            </w:r>
          </w:p>
        </w:tc>
      </w:tr>
    </w:tbl>
    <w:p w14:paraId="1626129B" w14:textId="77777777" w:rsidR="00576509" w:rsidRPr="00183B5F" w:rsidRDefault="00576509" w:rsidP="004062FE">
      <w:pPr>
        <w:spacing w:line="240" w:lineRule="auto"/>
        <w:ind w:left="567" w:hanging="567"/>
        <w:rPr>
          <w:szCs w:val="22"/>
        </w:rPr>
      </w:pPr>
    </w:p>
    <w:p w14:paraId="4DA47862" w14:textId="77777777" w:rsidR="00576509" w:rsidRPr="00183B5F" w:rsidRDefault="00943743" w:rsidP="004062FE">
      <w:pPr>
        <w:spacing w:line="240" w:lineRule="auto"/>
        <w:rPr>
          <w:szCs w:val="22"/>
        </w:rPr>
      </w:pPr>
      <w:r w:rsidRPr="00183B5F">
        <w:rPr>
          <w:szCs w:val="22"/>
        </w:rPr>
        <w:t xml:space="preserve">Humira 40 mg oldatos injekció előretöltött </w:t>
      </w:r>
      <w:r w:rsidR="006A66A0" w:rsidRPr="00183B5F">
        <w:rPr>
          <w:szCs w:val="22"/>
        </w:rPr>
        <w:t>injekciós tollban</w:t>
      </w:r>
    </w:p>
    <w:p w14:paraId="39AB2AA8" w14:textId="77777777" w:rsidR="00576509" w:rsidRPr="00183B5F" w:rsidRDefault="00943743" w:rsidP="004062FE">
      <w:pPr>
        <w:pStyle w:val="EndnoteText"/>
        <w:tabs>
          <w:tab w:val="clear" w:pos="567"/>
          <w:tab w:val="left" w:pos="708"/>
        </w:tabs>
        <w:suppressAutoHyphens/>
        <w:rPr>
          <w:sz w:val="22"/>
          <w:szCs w:val="22"/>
          <w:lang w:val="hu-HU"/>
        </w:rPr>
      </w:pPr>
      <w:r w:rsidRPr="00183B5F">
        <w:rPr>
          <w:sz w:val="22"/>
          <w:szCs w:val="22"/>
          <w:lang w:val="hu-HU"/>
        </w:rPr>
        <w:t>adalimumab</w:t>
      </w:r>
    </w:p>
    <w:p w14:paraId="76904DD0" w14:textId="77777777" w:rsidR="00576509" w:rsidRPr="00183B5F" w:rsidRDefault="00576509" w:rsidP="004062FE">
      <w:pPr>
        <w:spacing w:line="240" w:lineRule="auto"/>
        <w:rPr>
          <w:szCs w:val="22"/>
        </w:rPr>
      </w:pPr>
    </w:p>
    <w:p w14:paraId="19061C27" w14:textId="77777777" w:rsidR="00576509" w:rsidRPr="00183B5F" w:rsidRDefault="00576509"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3D668D57" w14:textId="77777777" w:rsidTr="00D81EBF">
        <w:trPr>
          <w:jc w:val="center"/>
        </w:trPr>
        <w:tc>
          <w:tcPr>
            <w:tcW w:w="9069" w:type="dxa"/>
            <w:tcBorders>
              <w:top w:val="single" w:sz="2" w:space="0" w:color="000000"/>
              <w:left w:val="single" w:sz="2" w:space="0" w:color="000000"/>
              <w:bottom w:val="single" w:sz="2" w:space="0" w:color="000000"/>
              <w:right w:val="single" w:sz="2" w:space="0" w:color="000000"/>
            </w:tcBorders>
          </w:tcPr>
          <w:p w14:paraId="1A72B3C0" w14:textId="77777777" w:rsidR="00576509" w:rsidRPr="00183B5F" w:rsidRDefault="00943743" w:rsidP="004062FE">
            <w:pPr>
              <w:tabs>
                <w:tab w:val="left" w:pos="142"/>
              </w:tabs>
              <w:spacing w:line="240" w:lineRule="auto"/>
              <w:ind w:left="567" w:hanging="567"/>
              <w:rPr>
                <w:b/>
                <w:szCs w:val="22"/>
              </w:rPr>
            </w:pPr>
            <w:r w:rsidRPr="00183B5F">
              <w:rPr>
                <w:b/>
                <w:szCs w:val="22"/>
              </w:rPr>
              <w:t>2.</w:t>
            </w:r>
            <w:r w:rsidRPr="00183B5F">
              <w:rPr>
                <w:b/>
                <w:szCs w:val="22"/>
              </w:rPr>
              <w:tab/>
              <w:t>A FORGALOMBA HOZATALI ENGEDÉLY JOGOSULTJÁNAK NEVE</w:t>
            </w:r>
          </w:p>
        </w:tc>
      </w:tr>
    </w:tbl>
    <w:p w14:paraId="22490C1D" w14:textId="77777777" w:rsidR="00576509" w:rsidRPr="00183B5F" w:rsidRDefault="00576509" w:rsidP="004062FE">
      <w:pPr>
        <w:spacing w:line="240" w:lineRule="auto"/>
        <w:rPr>
          <w:szCs w:val="22"/>
        </w:rPr>
      </w:pPr>
    </w:p>
    <w:p w14:paraId="67626F47" w14:textId="77777777" w:rsidR="00576509" w:rsidRPr="00183B5F" w:rsidRDefault="00943743" w:rsidP="004062FE">
      <w:pPr>
        <w:spacing w:line="240" w:lineRule="auto"/>
        <w:ind w:right="-2"/>
        <w:rPr>
          <w:szCs w:val="22"/>
          <w:highlight w:val="lightGray"/>
          <w:lang w:eastAsia="en-GB"/>
        </w:rPr>
      </w:pPr>
      <w:r w:rsidRPr="00183B5F">
        <w:rPr>
          <w:szCs w:val="22"/>
        </w:rPr>
        <w:t xml:space="preserve">AbbVie </w:t>
      </w:r>
      <w:r w:rsidR="00CE3F71" w:rsidRPr="00183B5F">
        <w:rPr>
          <w:szCs w:val="22"/>
          <w:highlight w:val="lightGray"/>
          <w:lang w:eastAsia="en-GB"/>
        </w:rPr>
        <w:t>(logo)</w:t>
      </w:r>
    </w:p>
    <w:p w14:paraId="4653E038" w14:textId="77777777" w:rsidR="00576509" w:rsidRPr="00183B5F" w:rsidRDefault="00576509" w:rsidP="004062FE">
      <w:pPr>
        <w:spacing w:line="240" w:lineRule="auto"/>
        <w:rPr>
          <w:szCs w:val="22"/>
        </w:rPr>
      </w:pPr>
    </w:p>
    <w:p w14:paraId="1ACD8DA0" w14:textId="77777777" w:rsidR="00576509" w:rsidRPr="00183B5F" w:rsidRDefault="00576509"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6C5608F0" w14:textId="77777777" w:rsidTr="00D81EBF">
        <w:trPr>
          <w:jc w:val="center"/>
        </w:trPr>
        <w:tc>
          <w:tcPr>
            <w:tcW w:w="9069" w:type="dxa"/>
            <w:tcBorders>
              <w:top w:val="single" w:sz="2" w:space="0" w:color="000000"/>
              <w:left w:val="single" w:sz="2" w:space="0" w:color="000000"/>
              <w:bottom w:val="single" w:sz="2" w:space="0" w:color="000000"/>
              <w:right w:val="single" w:sz="2" w:space="0" w:color="000000"/>
            </w:tcBorders>
          </w:tcPr>
          <w:p w14:paraId="5ABEFF53" w14:textId="77777777" w:rsidR="00576509" w:rsidRPr="00183B5F" w:rsidRDefault="00943743" w:rsidP="004062FE">
            <w:pPr>
              <w:tabs>
                <w:tab w:val="left" w:pos="142"/>
              </w:tabs>
              <w:spacing w:line="240" w:lineRule="auto"/>
              <w:ind w:left="567" w:hanging="567"/>
              <w:rPr>
                <w:b/>
                <w:szCs w:val="22"/>
              </w:rPr>
            </w:pPr>
            <w:r w:rsidRPr="00183B5F">
              <w:rPr>
                <w:b/>
                <w:szCs w:val="22"/>
              </w:rPr>
              <w:t>3.</w:t>
            </w:r>
            <w:r w:rsidRPr="00183B5F">
              <w:rPr>
                <w:b/>
                <w:szCs w:val="22"/>
              </w:rPr>
              <w:tab/>
              <w:t>LEJÁRATI IDŐ</w:t>
            </w:r>
          </w:p>
        </w:tc>
      </w:tr>
    </w:tbl>
    <w:p w14:paraId="3BA1CDB5" w14:textId="77777777" w:rsidR="00576509" w:rsidRPr="00183B5F" w:rsidRDefault="00576509" w:rsidP="004062FE">
      <w:pPr>
        <w:spacing w:line="240" w:lineRule="auto"/>
        <w:rPr>
          <w:szCs w:val="22"/>
        </w:rPr>
      </w:pPr>
    </w:p>
    <w:p w14:paraId="495D6F98" w14:textId="77777777" w:rsidR="00576509" w:rsidRPr="00183B5F" w:rsidRDefault="00943743" w:rsidP="004062FE">
      <w:pPr>
        <w:spacing w:line="240" w:lineRule="auto"/>
        <w:rPr>
          <w:szCs w:val="22"/>
        </w:rPr>
      </w:pPr>
      <w:r w:rsidRPr="00183B5F">
        <w:rPr>
          <w:szCs w:val="22"/>
        </w:rPr>
        <w:t>EXP</w:t>
      </w:r>
    </w:p>
    <w:p w14:paraId="208F0811" w14:textId="77777777" w:rsidR="00576509" w:rsidRPr="00183B5F" w:rsidRDefault="00576509" w:rsidP="004062FE">
      <w:pPr>
        <w:spacing w:line="240" w:lineRule="auto"/>
        <w:rPr>
          <w:szCs w:val="22"/>
        </w:rPr>
      </w:pPr>
    </w:p>
    <w:p w14:paraId="2A353298" w14:textId="77777777" w:rsidR="00576509" w:rsidRPr="00183B5F" w:rsidRDefault="00576509"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74985E07" w14:textId="77777777" w:rsidTr="00D81EBF">
        <w:trPr>
          <w:jc w:val="center"/>
        </w:trPr>
        <w:tc>
          <w:tcPr>
            <w:tcW w:w="9069" w:type="dxa"/>
            <w:tcBorders>
              <w:top w:val="single" w:sz="2" w:space="0" w:color="000000"/>
              <w:left w:val="single" w:sz="2" w:space="0" w:color="000000"/>
              <w:bottom w:val="single" w:sz="2" w:space="0" w:color="000000"/>
              <w:right w:val="single" w:sz="2" w:space="0" w:color="000000"/>
            </w:tcBorders>
          </w:tcPr>
          <w:p w14:paraId="55E2B075" w14:textId="77777777" w:rsidR="00576509" w:rsidRPr="00183B5F" w:rsidRDefault="00943743" w:rsidP="004062FE">
            <w:pPr>
              <w:tabs>
                <w:tab w:val="left" w:pos="142"/>
              </w:tabs>
              <w:spacing w:line="240" w:lineRule="auto"/>
              <w:ind w:left="567" w:hanging="567"/>
              <w:rPr>
                <w:b/>
                <w:szCs w:val="22"/>
              </w:rPr>
            </w:pPr>
            <w:r w:rsidRPr="00183B5F">
              <w:rPr>
                <w:b/>
                <w:szCs w:val="22"/>
              </w:rPr>
              <w:t>4.</w:t>
            </w:r>
            <w:r w:rsidRPr="00183B5F">
              <w:rPr>
                <w:b/>
                <w:szCs w:val="22"/>
              </w:rPr>
              <w:tab/>
              <w:t>A GYÁRTÁSI TÉTEL SZÁMA</w:t>
            </w:r>
          </w:p>
        </w:tc>
      </w:tr>
    </w:tbl>
    <w:p w14:paraId="145C3778" w14:textId="77777777" w:rsidR="00576509" w:rsidRPr="00183B5F" w:rsidRDefault="00576509" w:rsidP="004062FE">
      <w:pPr>
        <w:spacing w:line="240" w:lineRule="auto"/>
        <w:rPr>
          <w:szCs w:val="22"/>
        </w:rPr>
      </w:pPr>
    </w:p>
    <w:p w14:paraId="30C8B310" w14:textId="77777777" w:rsidR="00576509" w:rsidRPr="00183B5F" w:rsidRDefault="00943743" w:rsidP="004062FE">
      <w:pPr>
        <w:spacing w:line="240" w:lineRule="auto"/>
        <w:rPr>
          <w:szCs w:val="22"/>
        </w:rPr>
      </w:pPr>
      <w:r w:rsidRPr="00183B5F">
        <w:rPr>
          <w:szCs w:val="22"/>
        </w:rPr>
        <w:t>Lot</w:t>
      </w:r>
    </w:p>
    <w:p w14:paraId="1E8A36B2" w14:textId="77777777" w:rsidR="00576509" w:rsidRPr="00183B5F" w:rsidRDefault="00576509" w:rsidP="004062FE">
      <w:pPr>
        <w:spacing w:line="240" w:lineRule="auto"/>
        <w:rPr>
          <w:szCs w:val="22"/>
        </w:rPr>
      </w:pPr>
    </w:p>
    <w:p w14:paraId="376101E3" w14:textId="77777777" w:rsidR="00576509" w:rsidRPr="00183B5F" w:rsidRDefault="00576509"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473959AC" w14:textId="77777777" w:rsidTr="00D81EBF">
        <w:trPr>
          <w:jc w:val="center"/>
        </w:trPr>
        <w:tc>
          <w:tcPr>
            <w:tcW w:w="9069" w:type="dxa"/>
            <w:tcBorders>
              <w:top w:val="single" w:sz="2" w:space="0" w:color="000000"/>
              <w:left w:val="single" w:sz="2" w:space="0" w:color="000000"/>
              <w:bottom w:val="single" w:sz="2" w:space="0" w:color="000000"/>
              <w:right w:val="single" w:sz="2" w:space="0" w:color="000000"/>
            </w:tcBorders>
          </w:tcPr>
          <w:p w14:paraId="1F923649" w14:textId="77777777" w:rsidR="00576509" w:rsidRPr="00183B5F" w:rsidRDefault="00943743" w:rsidP="004062FE">
            <w:pPr>
              <w:tabs>
                <w:tab w:val="left" w:pos="142"/>
              </w:tabs>
              <w:spacing w:line="240" w:lineRule="auto"/>
              <w:ind w:left="567" w:hanging="567"/>
              <w:rPr>
                <w:b/>
                <w:szCs w:val="22"/>
              </w:rPr>
            </w:pPr>
            <w:r w:rsidRPr="00183B5F">
              <w:rPr>
                <w:b/>
                <w:szCs w:val="22"/>
              </w:rPr>
              <w:t>5.</w:t>
            </w:r>
            <w:r w:rsidRPr="00183B5F">
              <w:rPr>
                <w:b/>
                <w:szCs w:val="22"/>
              </w:rPr>
              <w:tab/>
              <w:t>EGYÉB INFORMÁCIÓK</w:t>
            </w:r>
          </w:p>
        </w:tc>
      </w:tr>
    </w:tbl>
    <w:p w14:paraId="7E31FC70" w14:textId="77777777" w:rsidR="00576509" w:rsidRPr="00183B5F" w:rsidRDefault="00576509" w:rsidP="004062FE">
      <w:pPr>
        <w:spacing w:line="240" w:lineRule="auto"/>
        <w:rPr>
          <w:b/>
          <w:szCs w:val="22"/>
        </w:rPr>
      </w:pPr>
    </w:p>
    <w:p w14:paraId="5EAE5689" w14:textId="77777777" w:rsidR="00576509" w:rsidRPr="00183B5F" w:rsidRDefault="00943743" w:rsidP="004062FE">
      <w:pPr>
        <w:spacing w:line="240" w:lineRule="auto"/>
        <w:rPr>
          <w:szCs w:val="22"/>
        </w:rPr>
      </w:pPr>
      <w:r w:rsidRPr="00183B5F">
        <w:rPr>
          <w:szCs w:val="22"/>
        </w:rPr>
        <w:t>Tárolási információkért olvassa el a betegtájékoztatót.</w:t>
      </w:r>
    </w:p>
    <w:p w14:paraId="613ABDBA" w14:textId="77777777" w:rsidR="00484F6A" w:rsidRPr="00183B5F" w:rsidRDefault="00484F6A" w:rsidP="004062FE">
      <w:pPr>
        <w:spacing w:line="240" w:lineRule="auto"/>
        <w:rPr>
          <w:szCs w:val="22"/>
        </w:rPr>
      </w:pPr>
    </w:p>
    <w:p w14:paraId="258D815B" w14:textId="77777777" w:rsidR="00576509" w:rsidRPr="00183B5F" w:rsidRDefault="00943743" w:rsidP="004062FE">
      <w:pPr>
        <w:spacing w:line="240" w:lineRule="auto"/>
        <w:rPr>
          <w:szCs w:val="22"/>
        </w:rPr>
      </w:pPr>
      <w:r w:rsidRPr="00183B5F">
        <w:rPr>
          <w:szCs w:val="22"/>
        </w:rPr>
        <w:t>Kizárólag egyszeri alkalmazásra</w:t>
      </w:r>
    </w:p>
    <w:p w14:paraId="40A85268" w14:textId="77777777" w:rsidR="00484F6A" w:rsidRPr="00183B5F" w:rsidRDefault="00484F6A" w:rsidP="004062FE">
      <w:pPr>
        <w:spacing w:line="240" w:lineRule="auto"/>
        <w:rPr>
          <w:b/>
          <w:szCs w:val="22"/>
        </w:rPr>
      </w:pPr>
    </w:p>
    <w:p w14:paraId="146E2B29" w14:textId="77777777" w:rsidR="00B867EE" w:rsidRPr="00183B5F" w:rsidRDefault="00943743" w:rsidP="004062FE">
      <w:pPr>
        <w:spacing w:line="240" w:lineRule="auto"/>
        <w:rPr>
          <w:szCs w:val="22"/>
        </w:rPr>
      </w:pPr>
      <w:r w:rsidRPr="00183B5F">
        <w:rPr>
          <w:szCs w:val="22"/>
        </w:rPr>
        <w:t>40 mg/0,4 ml</w:t>
      </w:r>
    </w:p>
    <w:p w14:paraId="617A9364" w14:textId="77777777" w:rsidR="00EF3B31" w:rsidRPr="00183B5F" w:rsidRDefault="00EF3B31" w:rsidP="004062FE">
      <w:pPr>
        <w:spacing w:line="240" w:lineRule="auto"/>
        <w:rPr>
          <w:szCs w:val="22"/>
        </w:rPr>
      </w:pPr>
    </w:p>
    <w:p w14:paraId="367558D1" w14:textId="77777777" w:rsidR="00576509" w:rsidRPr="00183B5F" w:rsidRDefault="00943743" w:rsidP="004062FE">
      <w:pPr>
        <w:spacing w:line="240" w:lineRule="auto"/>
        <w:rPr>
          <w:b/>
          <w:szCs w:val="22"/>
        </w:rPr>
      </w:pPr>
      <w:r w:rsidRPr="00183B5F">
        <w:rPr>
          <w:szCs w:val="22"/>
        </w:rPr>
        <w:br w:type="page"/>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125DFAF7" w14:textId="77777777" w:rsidTr="00D81EBF">
        <w:trPr>
          <w:trHeight w:val="785"/>
          <w:jc w:val="center"/>
        </w:trPr>
        <w:tc>
          <w:tcPr>
            <w:tcW w:w="9069" w:type="dxa"/>
            <w:tcBorders>
              <w:top w:val="single" w:sz="4" w:space="0" w:color="auto"/>
              <w:bottom w:val="single" w:sz="4" w:space="0" w:color="auto"/>
            </w:tcBorders>
          </w:tcPr>
          <w:p w14:paraId="4EDD1C92" w14:textId="77777777" w:rsidR="00576509" w:rsidRPr="00183B5F" w:rsidRDefault="00943743" w:rsidP="004062FE">
            <w:pPr>
              <w:spacing w:line="240" w:lineRule="auto"/>
              <w:rPr>
                <w:b/>
                <w:szCs w:val="22"/>
              </w:rPr>
            </w:pPr>
            <w:r w:rsidRPr="00183B5F">
              <w:rPr>
                <w:b/>
                <w:szCs w:val="22"/>
              </w:rPr>
              <w:t>A KIS KÖZVETLEN CSOMAGOLÁSI EGYSÉGEKEN MINIMÁLISAN FELTÜNTETENDŐ ADATOK</w:t>
            </w:r>
          </w:p>
          <w:p w14:paraId="139DF44B" w14:textId="77777777" w:rsidR="00576509" w:rsidRPr="00183B5F" w:rsidRDefault="00576509" w:rsidP="004062FE">
            <w:pPr>
              <w:spacing w:line="240" w:lineRule="auto"/>
              <w:rPr>
                <w:b/>
                <w:szCs w:val="22"/>
              </w:rPr>
            </w:pPr>
          </w:p>
          <w:p w14:paraId="2DB1A043" w14:textId="77777777" w:rsidR="00576509" w:rsidRPr="00183B5F" w:rsidRDefault="00943743" w:rsidP="004062FE">
            <w:pPr>
              <w:spacing w:line="240" w:lineRule="auto"/>
              <w:rPr>
                <w:b/>
                <w:caps/>
                <w:szCs w:val="22"/>
              </w:rPr>
            </w:pPr>
            <w:r w:rsidRPr="00183B5F">
              <w:rPr>
                <w:b/>
                <w:caps/>
                <w:szCs w:val="22"/>
              </w:rPr>
              <w:t>A</w:t>
            </w:r>
            <w:r w:rsidR="005E18D2" w:rsidRPr="00183B5F">
              <w:rPr>
                <w:b/>
                <w:caps/>
                <w:szCs w:val="22"/>
              </w:rPr>
              <w:t>Z INJEKCIÓS</w:t>
            </w:r>
            <w:r w:rsidRPr="00183B5F">
              <w:rPr>
                <w:b/>
                <w:caps/>
                <w:szCs w:val="22"/>
              </w:rPr>
              <w:t xml:space="preserve"> toll cÍmkÉJE</w:t>
            </w:r>
          </w:p>
        </w:tc>
      </w:tr>
    </w:tbl>
    <w:p w14:paraId="3A719A4A" w14:textId="77777777" w:rsidR="00576509" w:rsidRPr="00183B5F" w:rsidRDefault="00576509" w:rsidP="004062FE">
      <w:pPr>
        <w:spacing w:line="240" w:lineRule="auto"/>
        <w:rPr>
          <w:b/>
          <w:szCs w:val="22"/>
        </w:rPr>
      </w:pPr>
    </w:p>
    <w:p w14:paraId="3338EA71" w14:textId="77777777" w:rsidR="00576509" w:rsidRPr="00183B5F" w:rsidRDefault="00576509" w:rsidP="004062FE">
      <w:pPr>
        <w:spacing w:line="240" w:lineRule="auto"/>
        <w:rPr>
          <w:b/>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303CBFDE" w14:textId="77777777" w:rsidTr="00D81EBF">
        <w:trPr>
          <w:jc w:val="center"/>
        </w:trPr>
        <w:tc>
          <w:tcPr>
            <w:tcW w:w="9069" w:type="dxa"/>
            <w:tcBorders>
              <w:top w:val="single" w:sz="4" w:space="0" w:color="auto"/>
              <w:bottom w:val="single" w:sz="4" w:space="0" w:color="auto"/>
            </w:tcBorders>
          </w:tcPr>
          <w:p w14:paraId="2986B78F" w14:textId="77777777" w:rsidR="00576509" w:rsidRPr="00183B5F" w:rsidRDefault="00943743" w:rsidP="004062FE">
            <w:pPr>
              <w:tabs>
                <w:tab w:val="left" w:pos="142"/>
              </w:tabs>
              <w:spacing w:line="240" w:lineRule="auto"/>
              <w:ind w:left="567" w:hanging="567"/>
              <w:rPr>
                <w:b/>
                <w:szCs w:val="22"/>
              </w:rPr>
            </w:pPr>
            <w:r w:rsidRPr="00183B5F">
              <w:rPr>
                <w:b/>
                <w:szCs w:val="22"/>
              </w:rPr>
              <w:t>1.</w:t>
            </w:r>
            <w:r w:rsidRPr="00183B5F">
              <w:rPr>
                <w:b/>
                <w:szCs w:val="22"/>
              </w:rPr>
              <w:tab/>
            </w:r>
            <w:r w:rsidRPr="00183B5F">
              <w:rPr>
                <w:b/>
                <w:szCs w:val="22"/>
              </w:rPr>
              <w:t>A GYÓGYSZER NEVE ÉS AZ ALKALMAZÁS MÓDJA (I)</w:t>
            </w:r>
          </w:p>
        </w:tc>
      </w:tr>
    </w:tbl>
    <w:p w14:paraId="2599761A" w14:textId="77777777" w:rsidR="00576509" w:rsidRPr="00183B5F" w:rsidRDefault="00576509" w:rsidP="004062FE">
      <w:pPr>
        <w:spacing w:line="240" w:lineRule="auto"/>
        <w:rPr>
          <w:szCs w:val="22"/>
        </w:rPr>
      </w:pPr>
    </w:p>
    <w:p w14:paraId="0B547DBE" w14:textId="77777777" w:rsidR="00576509" w:rsidRPr="00183B5F" w:rsidRDefault="00943743" w:rsidP="004062FE">
      <w:pPr>
        <w:pStyle w:val="EndnoteText"/>
        <w:tabs>
          <w:tab w:val="clear" w:pos="567"/>
        </w:tabs>
        <w:suppressAutoHyphens/>
        <w:rPr>
          <w:sz w:val="22"/>
          <w:szCs w:val="22"/>
          <w:lang w:val="hu-HU"/>
        </w:rPr>
      </w:pPr>
      <w:r w:rsidRPr="00183B5F">
        <w:rPr>
          <w:sz w:val="22"/>
          <w:szCs w:val="22"/>
          <w:lang w:val="hu-HU" w:eastAsia="hu-HU"/>
        </w:rPr>
        <w:t>Humira 40 mg injekció</w:t>
      </w:r>
    </w:p>
    <w:p w14:paraId="4368A1A3" w14:textId="77777777" w:rsidR="00576509" w:rsidRPr="00183B5F" w:rsidRDefault="00943743" w:rsidP="004062FE">
      <w:pPr>
        <w:pStyle w:val="EndnoteText"/>
        <w:tabs>
          <w:tab w:val="clear" w:pos="567"/>
          <w:tab w:val="left" w:pos="708"/>
        </w:tabs>
        <w:suppressAutoHyphens/>
        <w:rPr>
          <w:sz w:val="22"/>
          <w:szCs w:val="22"/>
          <w:lang w:val="hu-HU"/>
        </w:rPr>
      </w:pPr>
      <w:r w:rsidRPr="00183B5F">
        <w:rPr>
          <w:sz w:val="22"/>
          <w:szCs w:val="22"/>
          <w:lang w:val="hu-HU"/>
        </w:rPr>
        <w:t>adalimumab</w:t>
      </w:r>
    </w:p>
    <w:p w14:paraId="200DCC39" w14:textId="77777777" w:rsidR="00576509" w:rsidRPr="00183B5F" w:rsidRDefault="00943743" w:rsidP="004062FE">
      <w:pPr>
        <w:spacing w:line="240" w:lineRule="auto"/>
        <w:ind w:left="567" w:hanging="567"/>
        <w:rPr>
          <w:szCs w:val="22"/>
        </w:rPr>
      </w:pPr>
      <w:r w:rsidRPr="00183B5F">
        <w:rPr>
          <w:szCs w:val="22"/>
        </w:rPr>
        <w:t>sc</w:t>
      </w:r>
      <w:r w:rsidR="00A53E7F" w:rsidRPr="00183B5F">
        <w:rPr>
          <w:szCs w:val="22"/>
        </w:rPr>
        <w:t>.</w:t>
      </w:r>
    </w:p>
    <w:p w14:paraId="4C6070A9" w14:textId="77777777" w:rsidR="00576509" w:rsidRPr="00183B5F" w:rsidRDefault="00576509" w:rsidP="004062FE">
      <w:pPr>
        <w:spacing w:line="240" w:lineRule="auto"/>
        <w:rPr>
          <w:b/>
          <w:szCs w:val="22"/>
        </w:rPr>
      </w:pPr>
    </w:p>
    <w:p w14:paraId="2ACEE7F3" w14:textId="77777777" w:rsidR="00576509" w:rsidRPr="00183B5F" w:rsidRDefault="00576509" w:rsidP="004062FE">
      <w:pPr>
        <w:spacing w:line="240" w:lineRule="auto"/>
        <w:rPr>
          <w:b/>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00AEB35A" w14:textId="77777777" w:rsidTr="00D81EBF">
        <w:trPr>
          <w:jc w:val="center"/>
        </w:trPr>
        <w:tc>
          <w:tcPr>
            <w:tcW w:w="9069" w:type="dxa"/>
            <w:tcBorders>
              <w:top w:val="single" w:sz="4" w:space="0" w:color="auto"/>
              <w:bottom w:val="single" w:sz="4" w:space="0" w:color="auto"/>
            </w:tcBorders>
          </w:tcPr>
          <w:p w14:paraId="5EA525F9" w14:textId="77777777" w:rsidR="00576509" w:rsidRPr="00183B5F" w:rsidRDefault="00943743" w:rsidP="004062FE">
            <w:pPr>
              <w:tabs>
                <w:tab w:val="left" w:pos="142"/>
              </w:tabs>
              <w:spacing w:line="240" w:lineRule="auto"/>
              <w:ind w:left="567" w:hanging="567"/>
              <w:rPr>
                <w:b/>
                <w:szCs w:val="22"/>
              </w:rPr>
            </w:pPr>
            <w:r w:rsidRPr="00183B5F">
              <w:rPr>
                <w:b/>
                <w:szCs w:val="22"/>
              </w:rPr>
              <w:t>2.</w:t>
            </w:r>
            <w:r w:rsidRPr="00183B5F">
              <w:rPr>
                <w:b/>
                <w:szCs w:val="22"/>
              </w:rPr>
              <w:tab/>
              <w:t>AZ ALKALMAZÁSSAL KAPCSOLATOS TUDNIVALÓK</w:t>
            </w:r>
          </w:p>
        </w:tc>
      </w:tr>
    </w:tbl>
    <w:p w14:paraId="49233AC4" w14:textId="77777777" w:rsidR="00576509" w:rsidRPr="00183B5F" w:rsidRDefault="00576509" w:rsidP="004062FE">
      <w:pPr>
        <w:spacing w:line="240" w:lineRule="auto"/>
        <w:rPr>
          <w:b/>
          <w:szCs w:val="22"/>
        </w:rPr>
      </w:pPr>
    </w:p>
    <w:p w14:paraId="67925E73" w14:textId="77777777" w:rsidR="00576509" w:rsidRPr="00183B5F" w:rsidRDefault="00576509" w:rsidP="004062FE">
      <w:pPr>
        <w:spacing w:line="240" w:lineRule="auto"/>
        <w:rPr>
          <w:b/>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70428567" w14:textId="77777777" w:rsidTr="00D81EBF">
        <w:trPr>
          <w:jc w:val="center"/>
        </w:trPr>
        <w:tc>
          <w:tcPr>
            <w:tcW w:w="9069" w:type="dxa"/>
            <w:tcBorders>
              <w:top w:val="single" w:sz="4" w:space="0" w:color="auto"/>
              <w:bottom w:val="single" w:sz="4" w:space="0" w:color="auto"/>
            </w:tcBorders>
          </w:tcPr>
          <w:p w14:paraId="753E40A2" w14:textId="77777777" w:rsidR="00576509" w:rsidRPr="00183B5F" w:rsidRDefault="00943743" w:rsidP="004062FE">
            <w:pPr>
              <w:tabs>
                <w:tab w:val="left" w:pos="142"/>
              </w:tabs>
              <w:spacing w:line="240" w:lineRule="auto"/>
              <w:rPr>
                <w:b/>
                <w:szCs w:val="22"/>
              </w:rPr>
            </w:pPr>
            <w:r w:rsidRPr="00183B5F">
              <w:rPr>
                <w:b/>
                <w:szCs w:val="22"/>
              </w:rPr>
              <w:t>3.</w:t>
            </w:r>
            <w:r w:rsidRPr="00183B5F">
              <w:rPr>
                <w:b/>
                <w:szCs w:val="22"/>
              </w:rPr>
              <w:tab/>
              <w:t>LEJÁRATI IDŐ</w:t>
            </w:r>
          </w:p>
        </w:tc>
      </w:tr>
    </w:tbl>
    <w:p w14:paraId="4304B8AE" w14:textId="77777777" w:rsidR="00576509" w:rsidRPr="00183B5F" w:rsidRDefault="00576509" w:rsidP="004062FE">
      <w:pPr>
        <w:spacing w:line="240" w:lineRule="auto"/>
        <w:rPr>
          <w:szCs w:val="22"/>
        </w:rPr>
      </w:pPr>
    </w:p>
    <w:p w14:paraId="272DB338" w14:textId="77777777" w:rsidR="00576509" w:rsidRPr="00183B5F" w:rsidRDefault="00943743" w:rsidP="004062FE">
      <w:pPr>
        <w:spacing w:line="240" w:lineRule="auto"/>
        <w:rPr>
          <w:szCs w:val="22"/>
        </w:rPr>
      </w:pPr>
      <w:r w:rsidRPr="00183B5F">
        <w:rPr>
          <w:szCs w:val="22"/>
        </w:rPr>
        <w:t>EXP</w:t>
      </w:r>
    </w:p>
    <w:p w14:paraId="1F41342D" w14:textId="77777777" w:rsidR="00576509" w:rsidRPr="00183B5F" w:rsidRDefault="00576509" w:rsidP="004062FE">
      <w:pPr>
        <w:spacing w:line="240" w:lineRule="auto"/>
        <w:rPr>
          <w:b/>
          <w:szCs w:val="22"/>
        </w:rPr>
      </w:pPr>
    </w:p>
    <w:p w14:paraId="237B6B1B" w14:textId="77777777" w:rsidR="00576509" w:rsidRPr="00183B5F" w:rsidRDefault="00576509" w:rsidP="004062FE">
      <w:pPr>
        <w:spacing w:line="240" w:lineRule="auto"/>
        <w:rPr>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3D922F7E" w14:textId="77777777" w:rsidTr="00D81EBF">
        <w:trPr>
          <w:jc w:val="center"/>
        </w:trPr>
        <w:tc>
          <w:tcPr>
            <w:tcW w:w="9069" w:type="dxa"/>
            <w:tcBorders>
              <w:top w:val="single" w:sz="4" w:space="0" w:color="auto"/>
              <w:bottom w:val="single" w:sz="4" w:space="0" w:color="auto"/>
            </w:tcBorders>
          </w:tcPr>
          <w:p w14:paraId="50C8AC98" w14:textId="77777777" w:rsidR="00576509" w:rsidRPr="00183B5F" w:rsidRDefault="00943743" w:rsidP="004062FE">
            <w:pPr>
              <w:tabs>
                <w:tab w:val="left" w:pos="142"/>
              </w:tabs>
              <w:spacing w:line="240" w:lineRule="auto"/>
              <w:ind w:left="567" w:hanging="567"/>
              <w:rPr>
                <w:b/>
                <w:szCs w:val="22"/>
              </w:rPr>
            </w:pPr>
            <w:r w:rsidRPr="00183B5F">
              <w:rPr>
                <w:b/>
                <w:szCs w:val="22"/>
              </w:rPr>
              <w:t>4.</w:t>
            </w:r>
            <w:r w:rsidRPr="00183B5F">
              <w:rPr>
                <w:b/>
                <w:szCs w:val="22"/>
              </w:rPr>
              <w:tab/>
              <w:t>A GYÁRTÁSI TÉTEL SZÁMA</w:t>
            </w:r>
          </w:p>
        </w:tc>
      </w:tr>
    </w:tbl>
    <w:p w14:paraId="2C34BA4F" w14:textId="77777777" w:rsidR="00576509" w:rsidRPr="00183B5F" w:rsidRDefault="00576509" w:rsidP="004062FE">
      <w:pPr>
        <w:spacing w:line="240" w:lineRule="auto"/>
        <w:rPr>
          <w:szCs w:val="22"/>
        </w:rPr>
      </w:pPr>
    </w:p>
    <w:p w14:paraId="7DDC31C0" w14:textId="77777777" w:rsidR="00576509" w:rsidRPr="00183B5F" w:rsidRDefault="00943743" w:rsidP="004062FE">
      <w:pPr>
        <w:spacing w:line="240" w:lineRule="auto"/>
        <w:rPr>
          <w:szCs w:val="22"/>
        </w:rPr>
      </w:pPr>
      <w:r w:rsidRPr="00183B5F">
        <w:rPr>
          <w:szCs w:val="22"/>
        </w:rPr>
        <w:t>Lot</w:t>
      </w:r>
    </w:p>
    <w:p w14:paraId="036D96C7" w14:textId="77777777" w:rsidR="00576509" w:rsidRPr="00183B5F" w:rsidRDefault="00576509" w:rsidP="004062FE">
      <w:pPr>
        <w:spacing w:line="240" w:lineRule="auto"/>
        <w:ind w:right="113"/>
        <w:rPr>
          <w:szCs w:val="22"/>
        </w:rPr>
      </w:pPr>
    </w:p>
    <w:p w14:paraId="1E3E05DE" w14:textId="77777777" w:rsidR="00576509" w:rsidRPr="00183B5F" w:rsidRDefault="00576509" w:rsidP="004062FE">
      <w:pPr>
        <w:spacing w:line="240" w:lineRule="auto"/>
        <w:ind w:right="113"/>
        <w:rPr>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15FC887E" w14:textId="77777777" w:rsidTr="00D81EBF">
        <w:trPr>
          <w:jc w:val="center"/>
        </w:trPr>
        <w:tc>
          <w:tcPr>
            <w:tcW w:w="9069" w:type="dxa"/>
            <w:tcBorders>
              <w:top w:val="single" w:sz="4" w:space="0" w:color="auto"/>
              <w:bottom w:val="single" w:sz="4" w:space="0" w:color="auto"/>
            </w:tcBorders>
          </w:tcPr>
          <w:p w14:paraId="4C73EA9E" w14:textId="1F569B24" w:rsidR="00576509" w:rsidRPr="00183B5F" w:rsidRDefault="00943743" w:rsidP="004062FE">
            <w:pPr>
              <w:tabs>
                <w:tab w:val="left" w:pos="142"/>
              </w:tabs>
              <w:spacing w:line="240" w:lineRule="auto"/>
              <w:ind w:left="567" w:hanging="567"/>
              <w:rPr>
                <w:b/>
                <w:szCs w:val="22"/>
              </w:rPr>
            </w:pPr>
            <w:r w:rsidRPr="00183B5F">
              <w:rPr>
                <w:b/>
                <w:szCs w:val="22"/>
              </w:rPr>
              <w:t>5.</w:t>
            </w:r>
            <w:r w:rsidRPr="00183B5F">
              <w:rPr>
                <w:b/>
                <w:szCs w:val="22"/>
              </w:rPr>
              <w:tab/>
              <w:t xml:space="preserve">A TARTALOM </w:t>
            </w:r>
            <w:del w:id="9840" w:author="AbbVie_HU_03" w:date="2025-05-14T16:22:00Z">
              <w:r w:rsidRPr="00183B5F">
                <w:rPr>
                  <w:b/>
                  <w:szCs w:val="22"/>
                </w:rPr>
                <w:delText>SÚLYRA</w:delText>
              </w:r>
            </w:del>
            <w:ins w:id="9841" w:author="AbbVie_HU_03" w:date="2025-05-14T16:22:00Z">
              <w:r w:rsidR="00511721">
                <w:rPr>
                  <w:b/>
                  <w:szCs w:val="22"/>
                </w:rPr>
                <w:t>TÖMEGRE</w:t>
              </w:r>
            </w:ins>
            <w:r w:rsidRPr="00183B5F">
              <w:rPr>
                <w:b/>
                <w:szCs w:val="22"/>
              </w:rPr>
              <w:t>, TÉRFOGATRA, VAGY EGYSÉGRE VONATKOZTATVA</w:t>
            </w:r>
          </w:p>
        </w:tc>
      </w:tr>
    </w:tbl>
    <w:p w14:paraId="140CFC21" w14:textId="77777777" w:rsidR="00576509" w:rsidRPr="00183B5F" w:rsidRDefault="00576509" w:rsidP="004062FE">
      <w:pPr>
        <w:spacing w:line="240" w:lineRule="auto"/>
        <w:rPr>
          <w:szCs w:val="22"/>
        </w:rPr>
      </w:pPr>
    </w:p>
    <w:p w14:paraId="513133DC" w14:textId="77777777" w:rsidR="00576509" w:rsidRPr="00183B5F" w:rsidRDefault="00943743" w:rsidP="004062FE">
      <w:pPr>
        <w:pStyle w:val="EndnoteText"/>
        <w:tabs>
          <w:tab w:val="clear" w:pos="567"/>
        </w:tabs>
        <w:suppressAutoHyphens/>
        <w:rPr>
          <w:sz w:val="22"/>
          <w:szCs w:val="22"/>
          <w:lang w:val="hu-HU" w:eastAsia="hu-HU"/>
        </w:rPr>
      </w:pPr>
      <w:r w:rsidRPr="00183B5F">
        <w:rPr>
          <w:sz w:val="22"/>
          <w:szCs w:val="22"/>
          <w:lang w:val="hu-HU" w:eastAsia="hu-HU"/>
        </w:rPr>
        <w:t>40 mg/0,4 ml</w:t>
      </w:r>
    </w:p>
    <w:p w14:paraId="679F6FC3" w14:textId="77777777" w:rsidR="00576509" w:rsidRPr="00183B5F" w:rsidRDefault="00576509" w:rsidP="004062FE">
      <w:pPr>
        <w:spacing w:line="240" w:lineRule="auto"/>
        <w:rPr>
          <w:szCs w:val="22"/>
        </w:rPr>
      </w:pPr>
    </w:p>
    <w:p w14:paraId="6A8F7ACE" w14:textId="77777777" w:rsidR="00576509" w:rsidRPr="00183B5F" w:rsidRDefault="00576509" w:rsidP="004062FE">
      <w:pPr>
        <w:spacing w:line="240" w:lineRule="auto"/>
        <w:rPr>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1ADF7DA9" w14:textId="77777777" w:rsidTr="00D81EBF">
        <w:trPr>
          <w:jc w:val="center"/>
        </w:trPr>
        <w:tc>
          <w:tcPr>
            <w:tcW w:w="9069" w:type="dxa"/>
            <w:tcBorders>
              <w:top w:val="single" w:sz="4" w:space="0" w:color="auto"/>
              <w:bottom w:val="single" w:sz="4" w:space="0" w:color="auto"/>
            </w:tcBorders>
          </w:tcPr>
          <w:p w14:paraId="1D67316A" w14:textId="77777777" w:rsidR="00576509" w:rsidRPr="00183B5F" w:rsidRDefault="00943743" w:rsidP="004062FE">
            <w:pPr>
              <w:tabs>
                <w:tab w:val="left" w:pos="142"/>
              </w:tabs>
              <w:spacing w:line="240" w:lineRule="auto"/>
              <w:ind w:left="567" w:hanging="567"/>
              <w:rPr>
                <w:b/>
                <w:szCs w:val="22"/>
              </w:rPr>
            </w:pPr>
            <w:r w:rsidRPr="00183B5F">
              <w:rPr>
                <w:b/>
                <w:szCs w:val="22"/>
              </w:rPr>
              <w:t>6.</w:t>
            </w:r>
            <w:r w:rsidRPr="00183B5F">
              <w:rPr>
                <w:b/>
                <w:szCs w:val="22"/>
              </w:rPr>
              <w:tab/>
              <w:t>EGYÉB INFORMÁCIÓK</w:t>
            </w:r>
          </w:p>
        </w:tc>
      </w:tr>
    </w:tbl>
    <w:p w14:paraId="0AE4812F" w14:textId="77777777" w:rsidR="00743EDE" w:rsidRPr="00183B5F" w:rsidRDefault="00743EDE" w:rsidP="004062FE">
      <w:pPr>
        <w:spacing w:line="240" w:lineRule="auto"/>
        <w:jc w:val="center"/>
        <w:rPr>
          <w:szCs w:val="22"/>
        </w:rPr>
      </w:pPr>
    </w:p>
    <w:p w14:paraId="7B3C91CE" w14:textId="77777777" w:rsidR="00743EDE" w:rsidRPr="00183B5F" w:rsidRDefault="00943743">
      <w:pPr>
        <w:suppressAutoHyphens w:val="0"/>
        <w:spacing w:line="240" w:lineRule="auto"/>
        <w:rPr>
          <w:szCs w:val="22"/>
        </w:rPr>
      </w:pPr>
      <w:r w:rsidRPr="00183B5F">
        <w:rPr>
          <w:szCs w:val="22"/>
        </w:rPr>
        <w:br w:type="page"/>
      </w: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31D7A9D8" w14:textId="77777777" w:rsidTr="00743EDE">
        <w:trPr>
          <w:trHeight w:val="1040"/>
          <w:jc w:val="center"/>
        </w:trPr>
        <w:tc>
          <w:tcPr>
            <w:tcW w:w="9069" w:type="dxa"/>
            <w:tcBorders>
              <w:top w:val="single" w:sz="2" w:space="0" w:color="000000"/>
              <w:left w:val="single" w:sz="2" w:space="0" w:color="000000"/>
              <w:bottom w:val="single" w:sz="2" w:space="0" w:color="000000"/>
              <w:right w:val="single" w:sz="2" w:space="0" w:color="000000"/>
            </w:tcBorders>
          </w:tcPr>
          <w:p w14:paraId="5DB292B5" w14:textId="77777777" w:rsidR="00743EDE" w:rsidRPr="00183B5F" w:rsidRDefault="00943743" w:rsidP="004062FE">
            <w:pPr>
              <w:spacing w:line="240" w:lineRule="auto"/>
              <w:rPr>
                <w:b/>
                <w:szCs w:val="22"/>
              </w:rPr>
            </w:pPr>
            <w:r w:rsidRPr="00183B5F">
              <w:rPr>
                <w:szCs w:val="22"/>
              </w:rPr>
              <w:br w:type="page"/>
            </w:r>
            <w:r w:rsidRPr="00183B5F">
              <w:rPr>
                <w:b/>
                <w:szCs w:val="22"/>
              </w:rPr>
              <w:t>A KÜLSŐ CSOMAGOLÁSON FELTÜNTETENDŐ ADATOK</w:t>
            </w:r>
          </w:p>
          <w:p w14:paraId="26B301CC" w14:textId="77777777" w:rsidR="00743EDE" w:rsidRPr="00183B5F" w:rsidRDefault="00743EDE" w:rsidP="004062FE">
            <w:pPr>
              <w:spacing w:line="240" w:lineRule="auto"/>
              <w:rPr>
                <w:b/>
                <w:szCs w:val="22"/>
              </w:rPr>
            </w:pPr>
          </w:p>
          <w:p w14:paraId="3C58B2FF" w14:textId="77777777" w:rsidR="00743EDE" w:rsidRPr="00183B5F" w:rsidRDefault="00943743" w:rsidP="004062FE">
            <w:pPr>
              <w:spacing w:line="240" w:lineRule="auto"/>
              <w:rPr>
                <w:b/>
                <w:caps/>
                <w:szCs w:val="22"/>
              </w:rPr>
            </w:pPr>
            <w:r w:rsidRPr="00183B5F">
              <w:rPr>
                <w:b/>
                <w:caps/>
                <w:szCs w:val="22"/>
              </w:rPr>
              <w:t>Külső DOBOZ</w:t>
            </w:r>
          </w:p>
        </w:tc>
      </w:tr>
    </w:tbl>
    <w:p w14:paraId="399B88B4" w14:textId="77777777" w:rsidR="00743EDE" w:rsidRPr="00183B5F" w:rsidRDefault="00743EDE" w:rsidP="004062FE">
      <w:pPr>
        <w:spacing w:line="240" w:lineRule="auto"/>
        <w:rPr>
          <w:szCs w:val="22"/>
        </w:rPr>
      </w:pPr>
    </w:p>
    <w:p w14:paraId="1ED834F0" w14:textId="77777777" w:rsidR="00743EDE" w:rsidRPr="00183B5F" w:rsidRDefault="00743ED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5A3FDE62"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6773A2F7" w14:textId="77777777" w:rsidR="00743EDE" w:rsidRPr="00183B5F" w:rsidRDefault="00943743" w:rsidP="004062FE">
            <w:pPr>
              <w:tabs>
                <w:tab w:val="left" w:pos="142"/>
              </w:tabs>
              <w:spacing w:line="240" w:lineRule="auto"/>
              <w:ind w:left="567" w:hanging="567"/>
              <w:rPr>
                <w:b/>
                <w:szCs w:val="22"/>
              </w:rPr>
            </w:pPr>
            <w:r w:rsidRPr="00183B5F">
              <w:rPr>
                <w:b/>
                <w:szCs w:val="22"/>
              </w:rPr>
              <w:t>1.</w:t>
            </w:r>
            <w:r w:rsidRPr="00183B5F">
              <w:rPr>
                <w:b/>
                <w:szCs w:val="22"/>
              </w:rPr>
              <w:tab/>
              <w:t>A GYÓGYSZER NEVE</w:t>
            </w:r>
          </w:p>
        </w:tc>
      </w:tr>
    </w:tbl>
    <w:p w14:paraId="5F432AB8" w14:textId="77777777" w:rsidR="00743EDE" w:rsidRPr="00183B5F" w:rsidRDefault="00743EDE" w:rsidP="004062FE">
      <w:pPr>
        <w:spacing w:line="240" w:lineRule="auto"/>
        <w:rPr>
          <w:szCs w:val="22"/>
        </w:rPr>
      </w:pPr>
    </w:p>
    <w:p w14:paraId="2ECABBDF" w14:textId="77777777" w:rsidR="00743EDE" w:rsidRPr="00183B5F" w:rsidRDefault="00943743" w:rsidP="004062FE">
      <w:pPr>
        <w:spacing w:line="240" w:lineRule="auto"/>
        <w:rPr>
          <w:szCs w:val="22"/>
        </w:rPr>
      </w:pPr>
      <w:r w:rsidRPr="00183B5F">
        <w:rPr>
          <w:szCs w:val="22"/>
        </w:rPr>
        <w:t>Humira 80 mg oldatos injekció előretöltött fecskendőben</w:t>
      </w:r>
    </w:p>
    <w:p w14:paraId="32962A7C" w14:textId="77777777" w:rsidR="00743EDE" w:rsidRPr="00183B5F" w:rsidRDefault="00943743" w:rsidP="004062FE">
      <w:pPr>
        <w:pStyle w:val="EndnoteText"/>
        <w:tabs>
          <w:tab w:val="clear" w:pos="567"/>
          <w:tab w:val="left" w:pos="708"/>
        </w:tabs>
        <w:suppressAutoHyphens/>
        <w:rPr>
          <w:sz w:val="22"/>
          <w:szCs w:val="22"/>
          <w:lang w:val="hu-HU"/>
        </w:rPr>
      </w:pPr>
      <w:r w:rsidRPr="00183B5F">
        <w:rPr>
          <w:sz w:val="22"/>
          <w:szCs w:val="22"/>
          <w:lang w:val="hu-HU"/>
        </w:rPr>
        <w:t>adalimumab</w:t>
      </w:r>
    </w:p>
    <w:p w14:paraId="45E8B408" w14:textId="77777777" w:rsidR="00743EDE" w:rsidRPr="00183B5F" w:rsidRDefault="00743EDE" w:rsidP="004062FE">
      <w:pPr>
        <w:spacing w:line="240" w:lineRule="auto"/>
        <w:rPr>
          <w:szCs w:val="22"/>
        </w:rPr>
      </w:pPr>
    </w:p>
    <w:p w14:paraId="0B4F80B5" w14:textId="77777777" w:rsidR="00743EDE" w:rsidRPr="00183B5F" w:rsidRDefault="00743ED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7788308C"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04096584" w14:textId="77777777" w:rsidR="00743EDE" w:rsidRPr="00183B5F" w:rsidRDefault="00943743" w:rsidP="004062FE">
            <w:pPr>
              <w:tabs>
                <w:tab w:val="left" w:pos="142"/>
              </w:tabs>
              <w:spacing w:line="240" w:lineRule="auto"/>
              <w:ind w:left="567" w:hanging="567"/>
              <w:rPr>
                <w:b/>
                <w:szCs w:val="22"/>
              </w:rPr>
            </w:pPr>
            <w:r w:rsidRPr="00183B5F">
              <w:rPr>
                <w:b/>
                <w:szCs w:val="22"/>
              </w:rPr>
              <w:t>2.</w:t>
            </w:r>
            <w:r w:rsidRPr="00183B5F">
              <w:rPr>
                <w:b/>
                <w:szCs w:val="22"/>
              </w:rPr>
              <w:tab/>
              <w:t>HATÓANYAG(OK) MEGNEVEZÉSE</w:t>
            </w:r>
          </w:p>
        </w:tc>
      </w:tr>
    </w:tbl>
    <w:p w14:paraId="3EBB6285" w14:textId="77777777" w:rsidR="00743EDE" w:rsidRPr="00183B5F" w:rsidRDefault="00743EDE" w:rsidP="004062FE">
      <w:pPr>
        <w:spacing w:line="240" w:lineRule="auto"/>
        <w:ind w:right="-2"/>
        <w:rPr>
          <w:szCs w:val="22"/>
        </w:rPr>
      </w:pPr>
    </w:p>
    <w:p w14:paraId="35BF654E" w14:textId="77777777" w:rsidR="00743EDE" w:rsidRPr="00183B5F" w:rsidRDefault="00943743" w:rsidP="004062FE">
      <w:pPr>
        <w:spacing w:line="240" w:lineRule="auto"/>
        <w:ind w:right="-2"/>
        <w:rPr>
          <w:szCs w:val="22"/>
        </w:rPr>
      </w:pPr>
      <w:r w:rsidRPr="00183B5F">
        <w:rPr>
          <w:szCs w:val="22"/>
        </w:rPr>
        <w:t>80 mg adalimumab 0,8 ml-es előretöltött fecskendőben</w:t>
      </w:r>
      <w:r w:rsidR="006F2DCB" w:rsidRPr="00183B5F">
        <w:rPr>
          <w:szCs w:val="22"/>
        </w:rPr>
        <w:t>.</w:t>
      </w:r>
    </w:p>
    <w:p w14:paraId="0A9E24C6" w14:textId="77777777" w:rsidR="00743EDE" w:rsidRPr="00183B5F" w:rsidRDefault="00743EDE" w:rsidP="004062FE">
      <w:pPr>
        <w:spacing w:line="240" w:lineRule="auto"/>
        <w:rPr>
          <w:szCs w:val="22"/>
        </w:rPr>
      </w:pPr>
    </w:p>
    <w:p w14:paraId="6FF585AF" w14:textId="77777777" w:rsidR="00743EDE" w:rsidRPr="00183B5F" w:rsidRDefault="00743ED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3174DF01"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39168EE6" w14:textId="77777777" w:rsidR="00743EDE" w:rsidRPr="00183B5F" w:rsidRDefault="00943743" w:rsidP="004062FE">
            <w:pPr>
              <w:tabs>
                <w:tab w:val="left" w:pos="142"/>
              </w:tabs>
              <w:spacing w:line="240" w:lineRule="auto"/>
              <w:ind w:left="567" w:hanging="567"/>
              <w:rPr>
                <w:b/>
                <w:szCs w:val="22"/>
              </w:rPr>
            </w:pPr>
            <w:r w:rsidRPr="00183B5F">
              <w:rPr>
                <w:b/>
                <w:szCs w:val="22"/>
              </w:rPr>
              <w:t>3.</w:t>
            </w:r>
            <w:r w:rsidRPr="00183B5F">
              <w:rPr>
                <w:b/>
                <w:szCs w:val="22"/>
              </w:rPr>
              <w:tab/>
              <w:t>SEGÉDANYAGOK FELSOROLÁSA</w:t>
            </w:r>
          </w:p>
        </w:tc>
      </w:tr>
    </w:tbl>
    <w:p w14:paraId="6B9BEDD8" w14:textId="77777777" w:rsidR="00743EDE" w:rsidRPr="00183B5F" w:rsidRDefault="00743EDE" w:rsidP="004062FE">
      <w:pPr>
        <w:spacing w:line="240" w:lineRule="auto"/>
        <w:rPr>
          <w:szCs w:val="22"/>
        </w:rPr>
      </w:pPr>
    </w:p>
    <w:p w14:paraId="5800786B" w14:textId="77777777" w:rsidR="00743EDE" w:rsidRPr="00183B5F" w:rsidRDefault="00943743" w:rsidP="004062FE">
      <w:pPr>
        <w:spacing w:line="240" w:lineRule="auto"/>
        <w:rPr>
          <w:szCs w:val="22"/>
        </w:rPr>
      </w:pPr>
      <w:r w:rsidRPr="00183B5F">
        <w:rPr>
          <w:szCs w:val="22"/>
        </w:rPr>
        <w:t>Segédanyagok: mannit, poliszorbát 80, injekcióhoz való víz. További információkért olvassa el a betegtájékoztatót.</w:t>
      </w:r>
    </w:p>
    <w:p w14:paraId="251891F1" w14:textId="77777777" w:rsidR="00743EDE" w:rsidRPr="00183B5F" w:rsidRDefault="00743EDE" w:rsidP="004062FE">
      <w:pPr>
        <w:spacing w:line="240" w:lineRule="auto"/>
        <w:rPr>
          <w:szCs w:val="22"/>
        </w:rPr>
      </w:pPr>
    </w:p>
    <w:p w14:paraId="3AA381B3" w14:textId="77777777" w:rsidR="00743EDE" w:rsidRPr="00183B5F" w:rsidRDefault="00743EDE" w:rsidP="004062FE">
      <w:pPr>
        <w:pStyle w:val="EndnoteText"/>
        <w:tabs>
          <w:tab w:val="clear" w:pos="567"/>
        </w:tabs>
        <w:suppressAutoHyphens/>
        <w:rPr>
          <w:sz w:val="22"/>
          <w:szCs w:val="22"/>
          <w:lang w:val="hu-HU" w:eastAsia="hu-HU"/>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59F0F003"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2DB37DE1" w14:textId="77777777" w:rsidR="00743EDE" w:rsidRPr="00183B5F" w:rsidRDefault="00943743" w:rsidP="004062FE">
            <w:pPr>
              <w:tabs>
                <w:tab w:val="left" w:pos="142"/>
              </w:tabs>
              <w:spacing w:line="240" w:lineRule="auto"/>
              <w:ind w:left="567" w:hanging="567"/>
              <w:rPr>
                <w:b/>
                <w:szCs w:val="22"/>
              </w:rPr>
            </w:pPr>
            <w:r w:rsidRPr="00183B5F">
              <w:rPr>
                <w:b/>
                <w:szCs w:val="22"/>
              </w:rPr>
              <w:t>4.</w:t>
            </w:r>
            <w:r w:rsidRPr="00183B5F">
              <w:rPr>
                <w:b/>
                <w:szCs w:val="22"/>
              </w:rPr>
              <w:tab/>
              <w:t>GYÓGYSZERFORMA ÉS TARTALOM</w:t>
            </w:r>
          </w:p>
        </w:tc>
      </w:tr>
    </w:tbl>
    <w:p w14:paraId="0B3483AD" w14:textId="77777777" w:rsidR="00743EDE" w:rsidRPr="00183B5F" w:rsidRDefault="00743EDE" w:rsidP="004062FE">
      <w:pPr>
        <w:spacing w:line="240" w:lineRule="auto"/>
        <w:rPr>
          <w:szCs w:val="22"/>
        </w:rPr>
      </w:pPr>
    </w:p>
    <w:p w14:paraId="78AC3C7E" w14:textId="77777777" w:rsidR="00484F6A" w:rsidRPr="00183B5F" w:rsidRDefault="00943743" w:rsidP="004062FE">
      <w:pPr>
        <w:spacing w:line="240" w:lineRule="auto"/>
        <w:rPr>
          <w:szCs w:val="22"/>
        </w:rPr>
      </w:pPr>
      <w:r w:rsidRPr="00183B5F">
        <w:rPr>
          <w:szCs w:val="22"/>
          <w:highlight w:val="lightGray"/>
        </w:rPr>
        <w:t>Oldatos injekció.</w:t>
      </w:r>
    </w:p>
    <w:p w14:paraId="029993E8" w14:textId="77777777" w:rsidR="00743EDE" w:rsidRPr="00183B5F" w:rsidRDefault="00943743" w:rsidP="004062FE">
      <w:pPr>
        <w:spacing w:line="240" w:lineRule="auto"/>
        <w:rPr>
          <w:szCs w:val="22"/>
        </w:rPr>
      </w:pPr>
      <w:r w:rsidRPr="00183B5F">
        <w:rPr>
          <w:szCs w:val="22"/>
        </w:rPr>
        <w:t>1 db előretöltött fecskendő</w:t>
      </w:r>
    </w:p>
    <w:p w14:paraId="58CBCE92" w14:textId="77777777" w:rsidR="00743EDE" w:rsidRPr="00183B5F" w:rsidRDefault="00943743" w:rsidP="004062FE">
      <w:pPr>
        <w:spacing w:line="240" w:lineRule="auto"/>
        <w:rPr>
          <w:szCs w:val="22"/>
        </w:rPr>
      </w:pPr>
      <w:r w:rsidRPr="00183B5F">
        <w:rPr>
          <w:szCs w:val="22"/>
        </w:rPr>
        <w:t>1 db alkoholos törlőkendő</w:t>
      </w:r>
    </w:p>
    <w:p w14:paraId="1DC0A616" w14:textId="77777777" w:rsidR="00743EDE" w:rsidRPr="00183B5F" w:rsidRDefault="00743EDE" w:rsidP="004062FE">
      <w:pPr>
        <w:spacing w:line="240" w:lineRule="auto"/>
        <w:rPr>
          <w:szCs w:val="22"/>
        </w:rPr>
      </w:pPr>
    </w:p>
    <w:p w14:paraId="02B06BD1" w14:textId="77777777" w:rsidR="00743EDE" w:rsidRPr="00183B5F" w:rsidRDefault="00743EDE" w:rsidP="004062FE">
      <w:pPr>
        <w:pStyle w:val="EndnoteText"/>
        <w:tabs>
          <w:tab w:val="clear" w:pos="567"/>
        </w:tabs>
        <w:suppressAutoHyphens/>
        <w:rPr>
          <w:sz w:val="22"/>
          <w:szCs w:val="22"/>
          <w:lang w:val="hu-HU" w:eastAsia="hu-HU"/>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35607DD1"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4524F1E3" w14:textId="77777777" w:rsidR="00743EDE" w:rsidRPr="00183B5F" w:rsidRDefault="00943743" w:rsidP="004062FE">
            <w:pPr>
              <w:tabs>
                <w:tab w:val="left" w:pos="142"/>
              </w:tabs>
              <w:spacing w:line="240" w:lineRule="auto"/>
              <w:ind w:left="567" w:hanging="567"/>
              <w:rPr>
                <w:b/>
                <w:szCs w:val="22"/>
              </w:rPr>
            </w:pPr>
            <w:r w:rsidRPr="00183B5F">
              <w:rPr>
                <w:b/>
                <w:szCs w:val="22"/>
              </w:rPr>
              <w:t>5.</w:t>
            </w:r>
            <w:r w:rsidRPr="00183B5F">
              <w:rPr>
                <w:b/>
                <w:szCs w:val="22"/>
              </w:rPr>
              <w:tab/>
            </w:r>
            <w:r w:rsidRPr="00183B5F">
              <w:rPr>
                <w:b/>
                <w:szCs w:val="22"/>
              </w:rPr>
              <w:t>AZ ALKALMAZÁSSAL KAPCSOLATOS TUDNIVALÓK ÉS AZ ALKALMAZÁS MÓDJA (I)</w:t>
            </w:r>
          </w:p>
        </w:tc>
      </w:tr>
    </w:tbl>
    <w:p w14:paraId="51C77811" w14:textId="77777777" w:rsidR="00743EDE" w:rsidRPr="00183B5F" w:rsidRDefault="00743EDE" w:rsidP="004062FE">
      <w:pPr>
        <w:spacing w:line="240" w:lineRule="auto"/>
        <w:rPr>
          <w:szCs w:val="22"/>
        </w:rPr>
      </w:pPr>
    </w:p>
    <w:p w14:paraId="6C560668" w14:textId="77777777" w:rsidR="00743EDE" w:rsidRPr="00183B5F" w:rsidRDefault="00943743" w:rsidP="004062FE">
      <w:pPr>
        <w:spacing w:line="240" w:lineRule="auto"/>
        <w:rPr>
          <w:szCs w:val="22"/>
        </w:rPr>
      </w:pPr>
      <w:r w:rsidRPr="00183B5F">
        <w:rPr>
          <w:szCs w:val="22"/>
        </w:rPr>
        <w:t>Bőr alá történő beadásra</w:t>
      </w:r>
    </w:p>
    <w:p w14:paraId="3B40A2A4" w14:textId="77777777" w:rsidR="00743EDE" w:rsidRPr="00183B5F" w:rsidRDefault="00743EDE" w:rsidP="004062FE">
      <w:pPr>
        <w:spacing w:line="240" w:lineRule="auto"/>
        <w:rPr>
          <w:szCs w:val="22"/>
        </w:rPr>
      </w:pPr>
    </w:p>
    <w:p w14:paraId="39AC45EB" w14:textId="77777777" w:rsidR="00743EDE" w:rsidRPr="00183B5F" w:rsidRDefault="00943743" w:rsidP="004062FE">
      <w:pPr>
        <w:spacing w:line="240" w:lineRule="auto"/>
        <w:rPr>
          <w:strike/>
          <w:szCs w:val="22"/>
        </w:rPr>
      </w:pPr>
      <w:r w:rsidRPr="00183B5F">
        <w:rPr>
          <w:szCs w:val="22"/>
        </w:rPr>
        <w:t>Használat előtt olvassa el a mellékelt betegtájékoztatót.</w:t>
      </w:r>
    </w:p>
    <w:p w14:paraId="21032822" w14:textId="77777777" w:rsidR="00743EDE" w:rsidRPr="00183B5F" w:rsidRDefault="00743EDE" w:rsidP="004062FE">
      <w:pPr>
        <w:spacing w:line="240" w:lineRule="auto"/>
        <w:rPr>
          <w:szCs w:val="22"/>
        </w:rPr>
      </w:pPr>
    </w:p>
    <w:p w14:paraId="11275913" w14:textId="77777777" w:rsidR="00484F6A" w:rsidRPr="00183B5F" w:rsidRDefault="00943743" w:rsidP="004062FE">
      <w:pPr>
        <w:spacing w:line="240" w:lineRule="auto"/>
        <w:rPr>
          <w:b/>
          <w:szCs w:val="22"/>
        </w:rPr>
      </w:pPr>
      <w:r w:rsidRPr="00183B5F">
        <w:rPr>
          <w:szCs w:val="22"/>
        </w:rPr>
        <w:t>Kizárólag egyszeri alkalmazásra.</w:t>
      </w:r>
    </w:p>
    <w:p w14:paraId="2D90F4A3" w14:textId="77777777" w:rsidR="00484F6A" w:rsidRPr="00183B5F" w:rsidRDefault="00484F6A" w:rsidP="004062FE">
      <w:pPr>
        <w:spacing w:line="240" w:lineRule="auto"/>
        <w:rPr>
          <w:szCs w:val="22"/>
        </w:rPr>
      </w:pPr>
    </w:p>
    <w:p w14:paraId="2D05D6AD" w14:textId="77777777" w:rsidR="00743EDE" w:rsidRPr="00183B5F" w:rsidRDefault="00743EDE" w:rsidP="004062FE">
      <w:pPr>
        <w:pStyle w:val="EndnoteText"/>
        <w:tabs>
          <w:tab w:val="clear" w:pos="567"/>
        </w:tabs>
        <w:suppressAutoHyphens/>
        <w:rPr>
          <w:sz w:val="22"/>
          <w:szCs w:val="22"/>
          <w:lang w:val="hu-HU" w:eastAsia="hu-HU"/>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8A4EE9C"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54096CEF" w14:textId="77777777" w:rsidR="00743EDE" w:rsidRPr="00183B5F" w:rsidRDefault="00943743" w:rsidP="004062FE">
            <w:pPr>
              <w:spacing w:line="240" w:lineRule="auto"/>
              <w:ind w:left="567" w:hanging="567"/>
              <w:rPr>
                <w:b/>
                <w:szCs w:val="22"/>
              </w:rPr>
            </w:pPr>
            <w:r w:rsidRPr="00183B5F">
              <w:rPr>
                <w:b/>
                <w:szCs w:val="22"/>
              </w:rPr>
              <w:t>6.</w:t>
            </w:r>
            <w:r w:rsidRPr="00183B5F">
              <w:rPr>
                <w:b/>
                <w:szCs w:val="22"/>
              </w:rPr>
              <w:tab/>
              <w:t>KÜLÖN FIGYELMEZTETÉS, MELY SZERINT A GYÓGYSZERT GYERMEKEKTŐL ELZÁRVA KELL TARTANI</w:t>
            </w:r>
          </w:p>
        </w:tc>
      </w:tr>
    </w:tbl>
    <w:p w14:paraId="3A628BB9" w14:textId="77777777" w:rsidR="00743EDE" w:rsidRPr="00183B5F" w:rsidRDefault="00743EDE" w:rsidP="004062FE">
      <w:pPr>
        <w:spacing w:line="240" w:lineRule="auto"/>
        <w:rPr>
          <w:szCs w:val="22"/>
        </w:rPr>
      </w:pPr>
    </w:p>
    <w:p w14:paraId="719702C2" w14:textId="77777777" w:rsidR="00743EDE" w:rsidRPr="00183B5F" w:rsidRDefault="00943743" w:rsidP="004062FE">
      <w:pPr>
        <w:spacing w:line="240" w:lineRule="auto"/>
        <w:rPr>
          <w:szCs w:val="22"/>
        </w:rPr>
      </w:pPr>
      <w:r w:rsidRPr="00183B5F">
        <w:rPr>
          <w:szCs w:val="22"/>
        </w:rPr>
        <w:t>A gyógyszer gyermekektől elzárva tartandó!</w:t>
      </w:r>
    </w:p>
    <w:p w14:paraId="4951C26A" w14:textId="77777777" w:rsidR="00743EDE" w:rsidRPr="00183B5F" w:rsidRDefault="00743EDE" w:rsidP="004062FE">
      <w:pPr>
        <w:spacing w:line="240" w:lineRule="auto"/>
        <w:rPr>
          <w:szCs w:val="22"/>
        </w:rPr>
      </w:pPr>
    </w:p>
    <w:p w14:paraId="609C32C0" w14:textId="77777777" w:rsidR="00743EDE" w:rsidRPr="00183B5F" w:rsidRDefault="00743ED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20CE1301"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6353CC36" w14:textId="77777777" w:rsidR="00743EDE" w:rsidRPr="00183B5F" w:rsidRDefault="00943743" w:rsidP="004062FE">
            <w:pPr>
              <w:tabs>
                <w:tab w:val="left" w:pos="142"/>
              </w:tabs>
              <w:spacing w:line="240" w:lineRule="auto"/>
              <w:ind w:left="567" w:hanging="567"/>
              <w:rPr>
                <w:b/>
                <w:szCs w:val="22"/>
              </w:rPr>
            </w:pPr>
            <w:r w:rsidRPr="00183B5F">
              <w:rPr>
                <w:b/>
                <w:szCs w:val="22"/>
              </w:rPr>
              <w:t>7.</w:t>
            </w:r>
            <w:r w:rsidRPr="00183B5F">
              <w:rPr>
                <w:b/>
                <w:szCs w:val="22"/>
              </w:rPr>
              <w:tab/>
              <w:t>TOVÁBBI FIGYELMEZTETÉS(EK), AMENNYIBEN SZÜKSÉGES</w:t>
            </w:r>
          </w:p>
        </w:tc>
      </w:tr>
    </w:tbl>
    <w:p w14:paraId="1CBBC99C" w14:textId="77777777" w:rsidR="00743EDE" w:rsidRPr="00183B5F" w:rsidRDefault="00743EDE" w:rsidP="004062FE">
      <w:pPr>
        <w:spacing w:line="240" w:lineRule="auto"/>
        <w:rPr>
          <w:szCs w:val="22"/>
        </w:rPr>
      </w:pPr>
    </w:p>
    <w:p w14:paraId="6B321AA5" w14:textId="77777777" w:rsidR="00743EDE" w:rsidRPr="00183B5F" w:rsidRDefault="00743ED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1B959FAD"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7C3515E3" w14:textId="77777777" w:rsidR="00743EDE" w:rsidRPr="00183B5F" w:rsidRDefault="00943743" w:rsidP="004062FE">
            <w:pPr>
              <w:tabs>
                <w:tab w:val="left" w:pos="142"/>
              </w:tabs>
              <w:spacing w:line="240" w:lineRule="auto"/>
              <w:ind w:left="567" w:hanging="567"/>
              <w:rPr>
                <w:b/>
                <w:szCs w:val="22"/>
              </w:rPr>
            </w:pPr>
            <w:r w:rsidRPr="00183B5F">
              <w:rPr>
                <w:b/>
                <w:szCs w:val="22"/>
              </w:rPr>
              <w:t>8.</w:t>
            </w:r>
            <w:r w:rsidRPr="00183B5F">
              <w:rPr>
                <w:b/>
                <w:szCs w:val="22"/>
              </w:rPr>
              <w:tab/>
              <w:t>LEJÁRATI IDŐ</w:t>
            </w:r>
          </w:p>
        </w:tc>
      </w:tr>
    </w:tbl>
    <w:p w14:paraId="561B6D37" w14:textId="77777777" w:rsidR="00743EDE" w:rsidRPr="00183B5F" w:rsidRDefault="00743EDE" w:rsidP="004062FE">
      <w:pPr>
        <w:spacing w:line="240" w:lineRule="auto"/>
        <w:rPr>
          <w:szCs w:val="22"/>
        </w:rPr>
      </w:pPr>
    </w:p>
    <w:p w14:paraId="7539A7C0" w14:textId="77777777" w:rsidR="00743EDE" w:rsidRPr="00183B5F" w:rsidRDefault="00943743" w:rsidP="004062FE">
      <w:pPr>
        <w:spacing w:line="240" w:lineRule="auto"/>
        <w:rPr>
          <w:szCs w:val="22"/>
        </w:rPr>
      </w:pPr>
      <w:r w:rsidRPr="00183B5F">
        <w:rPr>
          <w:szCs w:val="22"/>
        </w:rPr>
        <w:t>EXP</w:t>
      </w:r>
    </w:p>
    <w:p w14:paraId="3FE5699C" w14:textId="77777777" w:rsidR="00743EDE" w:rsidRPr="00183B5F" w:rsidRDefault="00743EDE" w:rsidP="004062FE">
      <w:pPr>
        <w:spacing w:line="240" w:lineRule="auto"/>
        <w:rPr>
          <w:szCs w:val="22"/>
        </w:rPr>
      </w:pPr>
    </w:p>
    <w:p w14:paraId="5F115F0F" w14:textId="77777777" w:rsidR="00743EDE" w:rsidRPr="00183B5F" w:rsidRDefault="00743ED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A12C664"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3878B70A" w14:textId="77777777" w:rsidR="00743EDE" w:rsidRPr="00183B5F" w:rsidRDefault="00943743" w:rsidP="004062FE">
            <w:pPr>
              <w:keepNext/>
              <w:tabs>
                <w:tab w:val="left" w:pos="142"/>
              </w:tabs>
              <w:spacing w:line="240" w:lineRule="auto"/>
              <w:ind w:left="567" w:hanging="567"/>
              <w:rPr>
                <w:b/>
                <w:szCs w:val="22"/>
              </w:rPr>
            </w:pPr>
            <w:r w:rsidRPr="00183B5F">
              <w:rPr>
                <w:b/>
                <w:szCs w:val="22"/>
              </w:rPr>
              <w:t>9.</w:t>
            </w:r>
            <w:r w:rsidRPr="00183B5F">
              <w:rPr>
                <w:b/>
                <w:szCs w:val="22"/>
              </w:rPr>
              <w:tab/>
              <w:t>KÜLÖNLEGES TÁROLÁSI ELŐÍRÁSOK</w:t>
            </w:r>
          </w:p>
        </w:tc>
      </w:tr>
    </w:tbl>
    <w:p w14:paraId="0D518FF2" w14:textId="77777777" w:rsidR="00743EDE" w:rsidRPr="00183B5F" w:rsidRDefault="00743EDE" w:rsidP="004062FE">
      <w:pPr>
        <w:keepNext/>
        <w:spacing w:line="240" w:lineRule="auto"/>
        <w:rPr>
          <w:szCs w:val="22"/>
        </w:rPr>
      </w:pPr>
    </w:p>
    <w:p w14:paraId="0D0BF170" w14:textId="77777777" w:rsidR="00743EDE" w:rsidRPr="00183B5F" w:rsidRDefault="00943743" w:rsidP="004062FE">
      <w:pPr>
        <w:keepNext/>
        <w:spacing w:line="240" w:lineRule="auto"/>
        <w:rPr>
          <w:szCs w:val="22"/>
        </w:rPr>
      </w:pPr>
      <w:r w:rsidRPr="00183B5F">
        <w:rPr>
          <w:szCs w:val="22"/>
        </w:rPr>
        <w:t>Hűtőszekrényben tárolandó. Nem fagyasztható!</w:t>
      </w:r>
    </w:p>
    <w:p w14:paraId="1E3A03D9" w14:textId="77777777" w:rsidR="00743EDE" w:rsidRPr="00183B5F" w:rsidRDefault="00943743" w:rsidP="004062FE">
      <w:pPr>
        <w:spacing w:line="240" w:lineRule="auto"/>
        <w:rPr>
          <w:szCs w:val="22"/>
        </w:rPr>
      </w:pPr>
      <w:r w:rsidRPr="00183B5F">
        <w:rPr>
          <w:szCs w:val="22"/>
        </w:rPr>
        <w:t>További információkért olvassa el a betegtájékoztatót.</w:t>
      </w:r>
    </w:p>
    <w:p w14:paraId="32B24B1D" w14:textId="77777777" w:rsidR="00743EDE" w:rsidRPr="00183B5F" w:rsidRDefault="00743EDE" w:rsidP="004062FE">
      <w:pPr>
        <w:spacing w:line="240" w:lineRule="auto"/>
        <w:rPr>
          <w:szCs w:val="22"/>
        </w:rPr>
      </w:pPr>
    </w:p>
    <w:p w14:paraId="7CF8629C" w14:textId="77777777" w:rsidR="00743EDE" w:rsidRPr="00183B5F" w:rsidRDefault="00943743" w:rsidP="004062FE">
      <w:pPr>
        <w:spacing w:line="240" w:lineRule="auto"/>
        <w:rPr>
          <w:szCs w:val="22"/>
        </w:rPr>
      </w:pPr>
      <w:r w:rsidRPr="00183B5F">
        <w:rPr>
          <w:szCs w:val="22"/>
        </w:rPr>
        <w:t>A fénytől való védelem érdekében a fecskendő az eredeti dobozban tárolandó.</w:t>
      </w:r>
    </w:p>
    <w:p w14:paraId="5FEBFB06" w14:textId="77777777" w:rsidR="00743EDE" w:rsidRPr="00183B5F" w:rsidRDefault="00743EDE" w:rsidP="004062FE">
      <w:pPr>
        <w:spacing w:line="240" w:lineRule="auto"/>
        <w:rPr>
          <w:szCs w:val="22"/>
        </w:rPr>
      </w:pPr>
    </w:p>
    <w:p w14:paraId="7B09F4DC" w14:textId="77777777" w:rsidR="00743EDE" w:rsidRPr="00183B5F" w:rsidRDefault="00743ED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4D472C45"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48039A67" w14:textId="77777777" w:rsidR="00743EDE" w:rsidRPr="00183B5F" w:rsidRDefault="00943743" w:rsidP="004062FE">
            <w:pPr>
              <w:tabs>
                <w:tab w:val="left" w:pos="142"/>
              </w:tabs>
              <w:spacing w:line="240" w:lineRule="auto"/>
              <w:ind w:left="567" w:hanging="567"/>
              <w:rPr>
                <w:b/>
                <w:szCs w:val="22"/>
              </w:rPr>
            </w:pPr>
            <w:r w:rsidRPr="00183B5F">
              <w:rPr>
                <w:b/>
                <w:szCs w:val="22"/>
              </w:rPr>
              <w:t>10.</w:t>
            </w:r>
            <w:r w:rsidRPr="00183B5F">
              <w:rPr>
                <w:b/>
                <w:szCs w:val="22"/>
              </w:rPr>
              <w:tab/>
            </w:r>
            <w:r w:rsidRPr="00183B5F">
              <w:rPr>
                <w:b/>
                <w:szCs w:val="22"/>
              </w:rPr>
              <w:t>KÜLÖNLEGES ÓVINTÉZKEDÉSEK A FEL NEM HASZNÁLT GYÓGYSZEREK VAGY AZ ILYEN TERMÉKEKBŐL KELETKEZETT HULLADÉKANYAGOK ÁRTALMATLANNÁ TÉTELÉRE, HA ILYENEKRE SZÜKSÉG VAN</w:t>
            </w:r>
          </w:p>
        </w:tc>
      </w:tr>
    </w:tbl>
    <w:p w14:paraId="3E7A3E84" w14:textId="77777777" w:rsidR="00743EDE" w:rsidRPr="00183B5F" w:rsidRDefault="00743EDE" w:rsidP="004062FE">
      <w:pPr>
        <w:spacing w:line="240" w:lineRule="auto"/>
        <w:rPr>
          <w:szCs w:val="22"/>
        </w:rPr>
      </w:pPr>
    </w:p>
    <w:p w14:paraId="72BD138F" w14:textId="77777777" w:rsidR="00743EDE" w:rsidRPr="00183B5F" w:rsidRDefault="00743ED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6BEAFBC7"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5AA44B56" w14:textId="77777777" w:rsidR="00743EDE" w:rsidRPr="00183B5F" w:rsidRDefault="00943743" w:rsidP="004062FE">
            <w:pPr>
              <w:tabs>
                <w:tab w:val="left" w:pos="142"/>
              </w:tabs>
              <w:spacing w:line="240" w:lineRule="auto"/>
              <w:ind w:left="567" w:hanging="567"/>
              <w:rPr>
                <w:b/>
                <w:szCs w:val="22"/>
              </w:rPr>
            </w:pPr>
            <w:r w:rsidRPr="00183B5F">
              <w:rPr>
                <w:b/>
                <w:szCs w:val="22"/>
              </w:rPr>
              <w:t>11.</w:t>
            </w:r>
            <w:r w:rsidRPr="00183B5F">
              <w:rPr>
                <w:b/>
                <w:szCs w:val="22"/>
              </w:rPr>
              <w:tab/>
              <w:t>A FORGALOMBA HOZATALI ENGEDÉLY JOGOSULTJÁNAK NEVE ÉS CÍME</w:t>
            </w:r>
          </w:p>
        </w:tc>
      </w:tr>
    </w:tbl>
    <w:p w14:paraId="30CA03D2" w14:textId="77777777" w:rsidR="00743EDE" w:rsidRPr="00183B5F" w:rsidRDefault="00743EDE" w:rsidP="004062FE">
      <w:pPr>
        <w:spacing w:line="240" w:lineRule="auto"/>
        <w:rPr>
          <w:szCs w:val="22"/>
        </w:rPr>
      </w:pPr>
    </w:p>
    <w:p w14:paraId="510152F3"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AbbVie Deutschland GmbH &amp; Co. KG</w:t>
      </w:r>
    </w:p>
    <w:p w14:paraId="3AD80EF1"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Knollstrasse</w:t>
      </w:r>
    </w:p>
    <w:p w14:paraId="0DC20527"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67061 Ludwigshafen</w:t>
      </w:r>
    </w:p>
    <w:p w14:paraId="674C5539"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 xml:space="preserve">Németország </w:t>
      </w:r>
    </w:p>
    <w:p w14:paraId="766E646A" w14:textId="77777777" w:rsidR="00743EDE" w:rsidRPr="00183B5F" w:rsidRDefault="00743EDE" w:rsidP="004062FE">
      <w:pPr>
        <w:spacing w:line="240" w:lineRule="auto"/>
        <w:rPr>
          <w:szCs w:val="22"/>
        </w:rPr>
      </w:pPr>
    </w:p>
    <w:p w14:paraId="040F2841" w14:textId="77777777" w:rsidR="00743EDE" w:rsidRPr="00183B5F" w:rsidRDefault="00743EDE" w:rsidP="004062FE">
      <w:pPr>
        <w:pStyle w:val="EndnoteText"/>
        <w:tabs>
          <w:tab w:val="clear" w:pos="567"/>
        </w:tabs>
        <w:suppressAutoHyphens/>
        <w:rPr>
          <w:sz w:val="22"/>
          <w:szCs w:val="22"/>
          <w:lang w:val="hu-HU" w:eastAsia="hu-HU"/>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7DE4CA9D"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5487EEE6" w14:textId="77777777" w:rsidR="00743EDE" w:rsidRPr="00183B5F" w:rsidRDefault="00943743" w:rsidP="004062FE">
            <w:pPr>
              <w:tabs>
                <w:tab w:val="left" w:pos="142"/>
              </w:tabs>
              <w:spacing w:line="240" w:lineRule="auto"/>
              <w:ind w:left="567" w:hanging="567"/>
              <w:rPr>
                <w:b/>
                <w:szCs w:val="22"/>
              </w:rPr>
            </w:pPr>
            <w:r w:rsidRPr="00183B5F">
              <w:rPr>
                <w:b/>
                <w:szCs w:val="22"/>
              </w:rPr>
              <w:t>12.</w:t>
            </w:r>
            <w:r w:rsidRPr="00183B5F">
              <w:rPr>
                <w:b/>
                <w:szCs w:val="22"/>
              </w:rPr>
              <w:tab/>
              <w:t>A FORGALOMBA HOZATALI ENGEDÉLY SZÁMA(I)</w:t>
            </w:r>
          </w:p>
        </w:tc>
      </w:tr>
    </w:tbl>
    <w:p w14:paraId="4D3DD9CD" w14:textId="77777777" w:rsidR="00743EDE" w:rsidRPr="00183B5F" w:rsidRDefault="00743EDE" w:rsidP="004062FE">
      <w:pPr>
        <w:spacing w:line="240" w:lineRule="auto"/>
        <w:rPr>
          <w:szCs w:val="22"/>
        </w:rPr>
      </w:pPr>
    </w:p>
    <w:p w14:paraId="58D9758C" w14:textId="77777777" w:rsidR="00743EDE" w:rsidRPr="00183B5F" w:rsidRDefault="00943743" w:rsidP="004062FE">
      <w:pPr>
        <w:spacing w:line="240" w:lineRule="auto"/>
        <w:rPr>
          <w:szCs w:val="22"/>
        </w:rPr>
      </w:pPr>
      <w:r w:rsidRPr="00183B5F">
        <w:rPr>
          <w:szCs w:val="22"/>
        </w:rPr>
        <w:t>EU/1/03/256/020</w:t>
      </w:r>
    </w:p>
    <w:p w14:paraId="297F612A" w14:textId="77777777" w:rsidR="00743EDE" w:rsidRPr="00183B5F" w:rsidRDefault="00743EDE" w:rsidP="004062FE">
      <w:pPr>
        <w:spacing w:line="240" w:lineRule="auto"/>
        <w:rPr>
          <w:szCs w:val="22"/>
        </w:rPr>
      </w:pPr>
    </w:p>
    <w:p w14:paraId="16BF51EA" w14:textId="77777777" w:rsidR="00743EDE" w:rsidRPr="00183B5F" w:rsidRDefault="00743ED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1FC2AF1F"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44B646B0" w14:textId="77777777" w:rsidR="00743EDE" w:rsidRPr="00183B5F" w:rsidRDefault="00943743" w:rsidP="004062FE">
            <w:pPr>
              <w:tabs>
                <w:tab w:val="left" w:pos="142"/>
              </w:tabs>
              <w:spacing w:line="240" w:lineRule="auto"/>
              <w:ind w:left="567" w:hanging="567"/>
              <w:rPr>
                <w:b/>
                <w:szCs w:val="22"/>
              </w:rPr>
            </w:pPr>
            <w:r w:rsidRPr="00183B5F">
              <w:rPr>
                <w:b/>
                <w:szCs w:val="22"/>
              </w:rPr>
              <w:t>13.</w:t>
            </w:r>
            <w:r w:rsidRPr="00183B5F">
              <w:rPr>
                <w:b/>
                <w:szCs w:val="22"/>
              </w:rPr>
              <w:tab/>
              <w:t>A GYÁRTÁSI TÉTEL SZÁMA</w:t>
            </w:r>
          </w:p>
        </w:tc>
      </w:tr>
    </w:tbl>
    <w:p w14:paraId="0AC5024B" w14:textId="77777777" w:rsidR="00743EDE" w:rsidRPr="00183B5F" w:rsidRDefault="00743EDE" w:rsidP="004062FE">
      <w:pPr>
        <w:spacing w:line="240" w:lineRule="auto"/>
        <w:rPr>
          <w:szCs w:val="22"/>
        </w:rPr>
      </w:pPr>
    </w:p>
    <w:p w14:paraId="42F5BC68" w14:textId="77777777" w:rsidR="00743EDE" w:rsidRPr="00183B5F" w:rsidRDefault="00943743" w:rsidP="004062FE">
      <w:pPr>
        <w:spacing w:line="240" w:lineRule="auto"/>
        <w:rPr>
          <w:szCs w:val="22"/>
        </w:rPr>
      </w:pPr>
      <w:r w:rsidRPr="00183B5F">
        <w:rPr>
          <w:szCs w:val="22"/>
        </w:rPr>
        <w:t>Lot</w:t>
      </w:r>
    </w:p>
    <w:p w14:paraId="6849AE5B" w14:textId="77777777" w:rsidR="00743EDE" w:rsidRPr="00183B5F" w:rsidRDefault="00743EDE" w:rsidP="004062FE">
      <w:pPr>
        <w:spacing w:line="240" w:lineRule="auto"/>
        <w:rPr>
          <w:szCs w:val="22"/>
        </w:rPr>
      </w:pPr>
    </w:p>
    <w:p w14:paraId="6DB2CB52" w14:textId="77777777" w:rsidR="00743EDE" w:rsidRPr="00183B5F" w:rsidRDefault="00743ED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4A7BA9D1"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7F2F0910" w14:textId="5C558918" w:rsidR="00743EDE" w:rsidRPr="00183B5F" w:rsidRDefault="00943743" w:rsidP="004062FE">
            <w:pPr>
              <w:tabs>
                <w:tab w:val="left" w:pos="142"/>
              </w:tabs>
              <w:spacing w:line="240" w:lineRule="auto"/>
              <w:ind w:left="567" w:hanging="567"/>
              <w:rPr>
                <w:b/>
                <w:szCs w:val="22"/>
              </w:rPr>
            </w:pPr>
            <w:r w:rsidRPr="00183B5F">
              <w:rPr>
                <w:b/>
                <w:szCs w:val="22"/>
              </w:rPr>
              <w:t>14.</w:t>
            </w:r>
            <w:r w:rsidRPr="00183B5F">
              <w:rPr>
                <w:b/>
                <w:szCs w:val="22"/>
              </w:rPr>
              <w:tab/>
              <w:t xml:space="preserve">A GYÓGYSZER </w:t>
            </w:r>
            <w:ins w:id="9842" w:author="AbbVie_HU_03" w:date="2025-05-14T16:22:00Z">
              <w:r w:rsidR="00511721" w:rsidRPr="00BA324A">
                <w:rPr>
                  <w:b/>
                  <w:noProof/>
                </w:rPr>
                <w:t xml:space="preserve">ÁLTALÁNOS BESOROLÁSA </w:t>
              </w:r>
            </w:ins>
            <w:r w:rsidRPr="00183B5F">
              <w:rPr>
                <w:b/>
                <w:szCs w:val="22"/>
              </w:rPr>
              <w:t>RENDELHETŐSÉG</w:t>
            </w:r>
            <w:del w:id="9843" w:author="AbbVie_HU_03" w:date="2025-05-14T16:23:00Z">
              <w:r w:rsidRPr="00183B5F">
                <w:rPr>
                  <w:b/>
                  <w:szCs w:val="22"/>
                </w:rPr>
                <w:delText>E</w:delText>
              </w:r>
            </w:del>
            <w:ins w:id="9844" w:author="AbbVie_HU_03" w:date="2025-05-14T16:23:00Z">
              <w:r w:rsidR="00511721">
                <w:rPr>
                  <w:b/>
                  <w:szCs w:val="22"/>
                </w:rPr>
                <w:t xml:space="preserve"> SZEMPONTJÁBÓL</w:t>
              </w:r>
            </w:ins>
          </w:p>
        </w:tc>
      </w:tr>
    </w:tbl>
    <w:p w14:paraId="052E8C46" w14:textId="77777777" w:rsidR="00743EDE" w:rsidRPr="00183B5F" w:rsidRDefault="00743EDE" w:rsidP="004062FE">
      <w:pPr>
        <w:spacing w:line="240" w:lineRule="auto"/>
        <w:rPr>
          <w:szCs w:val="22"/>
        </w:rPr>
      </w:pPr>
    </w:p>
    <w:p w14:paraId="65C808A2" w14:textId="77777777" w:rsidR="00743EDE" w:rsidRPr="00183B5F" w:rsidRDefault="00743ED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CD86344"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46001953" w14:textId="77777777" w:rsidR="00743EDE" w:rsidRPr="00183B5F" w:rsidRDefault="00943743" w:rsidP="004062FE">
            <w:pPr>
              <w:tabs>
                <w:tab w:val="left" w:pos="142"/>
              </w:tabs>
              <w:spacing w:line="240" w:lineRule="auto"/>
              <w:ind w:left="567" w:hanging="567"/>
              <w:rPr>
                <w:b/>
                <w:szCs w:val="22"/>
              </w:rPr>
            </w:pPr>
            <w:r w:rsidRPr="00183B5F">
              <w:rPr>
                <w:b/>
                <w:szCs w:val="22"/>
              </w:rPr>
              <w:t>15.</w:t>
            </w:r>
            <w:r w:rsidRPr="00183B5F">
              <w:rPr>
                <w:b/>
                <w:szCs w:val="22"/>
              </w:rPr>
              <w:tab/>
            </w:r>
            <w:r w:rsidRPr="00183B5F">
              <w:rPr>
                <w:b/>
                <w:szCs w:val="22"/>
              </w:rPr>
              <w:t>AZ ALKALMAZÁSRA VONATKOZÓ UTASÍTÁSOK</w:t>
            </w:r>
          </w:p>
        </w:tc>
      </w:tr>
    </w:tbl>
    <w:p w14:paraId="6464E092" w14:textId="77777777" w:rsidR="00743EDE" w:rsidRPr="00183B5F" w:rsidRDefault="00743EDE" w:rsidP="004062FE">
      <w:pPr>
        <w:spacing w:line="240" w:lineRule="auto"/>
        <w:rPr>
          <w:szCs w:val="22"/>
        </w:rPr>
      </w:pPr>
    </w:p>
    <w:p w14:paraId="0D083C13" w14:textId="77777777" w:rsidR="00743EDE" w:rsidRPr="00183B5F" w:rsidRDefault="00743ED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53C20219"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0FF5621F" w14:textId="77777777" w:rsidR="00743EDE" w:rsidRPr="00183B5F" w:rsidRDefault="00943743" w:rsidP="004062FE">
            <w:pPr>
              <w:tabs>
                <w:tab w:val="left" w:pos="142"/>
              </w:tabs>
              <w:spacing w:line="240" w:lineRule="auto"/>
              <w:ind w:left="567" w:hanging="567"/>
              <w:rPr>
                <w:b/>
                <w:szCs w:val="22"/>
              </w:rPr>
            </w:pPr>
            <w:r w:rsidRPr="00183B5F">
              <w:rPr>
                <w:b/>
                <w:szCs w:val="22"/>
              </w:rPr>
              <w:t>16.</w:t>
            </w:r>
            <w:r w:rsidRPr="00183B5F">
              <w:rPr>
                <w:b/>
                <w:szCs w:val="22"/>
              </w:rPr>
              <w:tab/>
              <w:t>BRAILLE ÍRÁSSAL FELTÜNTETETT INFORMÁCIÓK</w:t>
            </w:r>
          </w:p>
        </w:tc>
      </w:tr>
    </w:tbl>
    <w:p w14:paraId="54D753D2" w14:textId="77777777" w:rsidR="00743EDE" w:rsidRPr="00183B5F" w:rsidRDefault="00743EDE" w:rsidP="004062FE">
      <w:pPr>
        <w:spacing w:line="240" w:lineRule="auto"/>
        <w:rPr>
          <w:szCs w:val="22"/>
        </w:rPr>
      </w:pPr>
    </w:p>
    <w:p w14:paraId="63B777DA" w14:textId="77777777" w:rsidR="00743EDE" w:rsidRPr="00183B5F" w:rsidRDefault="00943743" w:rsidP="004062FE">
      <w:pPr>
        <w:spacing w:line="240" w:lineRule="auto"/>
        <w:rPr>
          <w:szCs w:val="22"/>
        </w:rPr>
      </w:pPr>
      <w:r w:rsidRPr="00183B5F">
        <w:rPr>
          <w:szCs w:val="22"/>
        </w:rPr>
        <w:t>Humira 80 mg</w:t>
      </w:r>
    </w:p>
    <w:p w14:paraId="107DDADD" w14:textId="77777777" w:rsidR="00743EDE" w:rsidRPr="00183B5F" w:rsidRDefault="00743EDE" w:rsidP="004062FE">
      <w:pPr>
        <w:spacing w:line="240" w:lineRule="auto"/>
        <w:rPr>
          <w:szCs w:val="22"/>
        </w:rPr>
      </w:pPr>
    </w:p>
    <w:p w14:paraId="4741FCA5" w14:textId="77777777" w:rsidR="00743EDE" w:rsidRPr="00183B5F" w:rsidRDefault="00743EDE">
      <w:pPr>
        <w:spacing w:line="240" w:lineRule="auto"/>
        <w:rPr>
          <w:noProof/>
          <w:shd w:val="clear" w:color="auto" w:fill="CCCCCC"/>
        </w:rPr>
      </w:pPr>
    </w:p>
    <w:p w14:paraId="49860DCC" w14:textId="77777777" w:rsidR="00743EDE" w:rsidRPr="00183B5F" w:rsidRDefault="00943743">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i/>
          <w:noProof/>
        </w:rPr>
      </w:pPr>
      <w:r w:rsidRPr="00183B5F">
        <w:rPr>
          <w:b/>
          <w:noProof/>
        </w:rPr>
        <w:t>17.</w:t>
      </w:r>
      <w:r w:rsidRPr="00183B5F">
        <w:rPr>
          <w:b/>
          <w:noProof/>
        </w:rPr>
        <w:tab/>
        <w:t>EGYEDI AZONOSÍTÓ – 2D VONALKÓD</w:t>
      </w:r>
    </w:p>
    <w:p w14:paraId="36CC2C5E" w14:textId="77777777" w:rsidR="00743EDE" w:rsidRPr="00183B5F" w:rsidRDefault="00743EDE">
      <w:pPr>
        <w:spacing w:line="240" w:lineRule="auto"/>
        <w:rPr>
          <w:noProof/>
        </w:rPr>
      </w:pPr>
    </w:p>
    <w:p w14:paraId="51CEE325" w14:textId="77777777" w:rsidR="00743EDE" w:rsidRPr="00183B5F" w:rsidRDefault="00943743">
      <w:pPr>
        <w:spacing w:line="240" w:lineRule="auto"/>
        <w:rPr>
          <w:szCs w:val="24"/>
          <w:shd w:val="clear" w:color="auto" w:fill="BFBFBF"/>
          <w:lang w:eastAsia="en-US"/>
        </w:rPr>
      </w:pPr>
      <w:r w:rsidRPr="00183B5F">
        <w:rPr>
          <w:szCs w:val="24"/>
          <w:shd w:val="clear" w:color="auto" w:fill="BFBFBF"/>
          <w:lang w:eastAsia="en-US"/>
        </w:rPr>
        <w:t>Egyedi azonosítójú 2D vonalkóddal ellátva.</w:t>
      </w:r>
    </w:p>
    <w:p w14:paraId="08ECE9D9" w14:textId="77777777" w:rsidR="00743EDE" w:rsidRPr="00183B5F" w:rsidRDefault="00743EDE">
      <w:pPr>
        <w:spacing w:line="240" w:lineRule="auto"/>
        <w:rPr>
          <w:noProof/>
          <w:shd w:val="clear" w:color="auto" w:fill="CCCCCC"/>
        </w:rPr>
      </w:pPr>
    </w:p>
    <w:p w14:paraId="03D3D06D" w14:textId="77777777" w:rsidR="00743EDE" w:rsidRPr="00183B5F" w:rsidRDefault="00743EDE">
      <w:pPr>
        <w:spacing w:line="240" w:lineRule="auto"/>
        <w:rPr>
          <w:noProof/>
          <w:shd w:val="clear" w:color="auto" w:fill="CCCCCC"/>
        </w:rPr>
      </w:pPr>
    </w:p>
    <w:p w14:paraId="6FEF879D" w14:textId="77777777" w:rsidR="00743EDE" w:rsidRPr="00183B5F" w:rsidRDefault="00943743">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i/>
          <w:noProof/>
        </w:rPr>
      </w:pPr>
      <w:r w:rsidRPr="00183B5F">
        <w:rPr>
          <w:b/>
          <w:noProof/>
        </w:rPr>
        <w:t>18.</w:t>
      </w:r>
      <w:r w:rsidRPr="00183B5F">
        <w:rPr>
          <w:b/>
          <w:noProof/>
        </w:rPr>
        <w:tab/>
      </w:r>
      <w:r w:rsidRPr="00183B5F">
        <w:rPr>
          <w:b/>
          <w:noProof/>
        </w:rPr>
        <w:t>EGYEDI AZONOSÍTÓ OLVASHATÓ FORMÁTUMA</w:t>
      </w:r>
    </w:p>
    <w:p w14:paraId="53327DB5" w14:textId="77777777" w:rsidR="00743EDE" w:rsidRPr="00183B5F" w:rsidRDefault="00743EDE">
      <w:pPr>
        <w:spacing w:line="240" w:lineRule="auto"/>
        <w:rPr>
          <w:noProof/>
        </w:rPr>
      </w:pPr>
    </w:p>
    <w:p w14:paraId="530D6357" w14:textId="77777777" w:rsidR="00743EDE" w:rsidRPr="00183B5F" w:rsidRDefault="00943743" w:rsidP="004062FE">
      <w:pPr>
        <w:keepNext/>
        <w:spacing w:line="240" w:lineRule="auto"/>
        <w:rPr>
          <w:color w:val="008000"/>
        </w:rPr>
      </w:pPr>
      <w:r w:rsidRPr="00183B5F">
        <w:t>PC</w:t>
      </w:r>
    </w:p>
    <w:p w14:paraId="43A8F199" w14:textId="77777777" w:rsidR="00743EDE" w:rsidRPr="00183B5F" w:rsidRDefault="00943743" w:rsidP="004062FE">
      <w:pPr>
        <w:spacing w:line="240" w:lineRule="auto"/>
      </w:pPr>
      <w:r w:rsidRPr="00183B5F">
        <w:t>SN</w:t>
      </w:r>
    </w:p>
    <w:p w14:paraId="43495120" w14:textId="77777777" w:rsidR="00743EDE" w:rsidRPr="00183B5F" w:rsidRDefault="00943743">
      <w:pPr>
        <w:spacing w:line="240" w:lineRule="auto"/>
      </w:pPr>
      <w:r w:rsidRPr="00183B5F">
        <w:rPr>
          <w:szCs w:val="24"/>
          <w:shd w:val="clear" w:color="auto" w:fill="BFBFBF"/>
          <w:lang w:eastAsia="en-US"/>
        </w:rPr>
        <w:t>NN</w:t>
      </w:r>
    </w:p>
    <w:p w14:paraId="6EBA0A98" w14:textId="77777777" w:rsidR="00060484" w:rsidRPr="00183B5F" w:rsidRDefault="00943743">
      <w:pPr>
        <w:suppressAutoHyphens w:val="0"/>
        <w:spacing w:line="240" w:lineRule="auto"/>
      </w:pPr>
      <w:r w:rsidRPr="00183B5F">
        <w:br w:type="page"/>
      </w: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4C5C36DE"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72355E7B" w14:textId="77777777" w:rsidR="00743EDE" w:rsidRPr="00183B5F" w:rsidRDefault="00943743" w:rsidP="004062FE">
            <w:pPr>
              <w:spacing w:line="240" w:lineRule="auto"/>
              <w:rPr>
                <w:b/>
                <w:szCs w:val="22"/>
              </w:rPr>
            </w:pPr>
            <w:r w:rsidRPr="00183B5F">
              <w:rPr>
                <w:szCs w:val="22"/>
              </w:rPr>
              <w:br w:type="page"/>
            </w:r>
            <w:r w:rsidRPr="00183B5F">
              <w:rPr>
                <w:b/>
                <w:szCs w:val="22"/>
              </w:rPr>
              <w:t>A BUBORÉKCSOMAGOLÁSON VAGY A SZALAGFÓLIÁN MINIMÁLISAN FELTÜNTETENDŐ ADATOK</w:t>
            </w:r>
          </w:p>
          <w:p w14:paraId="047678DE" w14:textId="77777777" w:rsidR="00743EDE" w:rsidRPr="00183B5F" w:rsidRDefault="00743EDE" w:rsidP="004062FE">
            <w:pPr>
              <w:spacing w:line="240" w:lineRule="auto"/>
              <w:rPr>
                <w:b/>
                <w:szCs w:val="22"/>
              </w:rPr>
            </w:pPr>
          </w:p>
          <w:p w14:paraId="50078A94" w14:textId="77777777" w:rsidR="00743EDE" w:rsidRPr="00183B5F" w:rsidRDefault="00943743" w:rsidP="004062FE">
            <w:pPr>
              <w:spacing w:line="240" w:lineRule="auto"/>
              <w:rPr>
                <w:b/>
                <w:caps/>
                <w:szCs w:val="22"/>
              </w:rPr>
            </w:pPr>
            <w:r w:rsidRPr="00183B5F">
              <w:rPr>
                <w:b/>
                <w:caps/>
                <w:szCs w:val="22"/>
              </w:rPr>
              <w:t>Tálca hátoldalán levő szöveg</w:t>
            </w:r>
          </w:p>
        </w:tc>
      </w:tr>
    </w:tbl>
    <w:p w14:paraId="08B1BA18" w14:textId="77777777" w:rsidR="00743EDE" w:rsidRPr="00183B5F" w:rsidRDefault="00743EDE" w:rsidP="004062FE">
      <w:pPr>
        <w:spacing w:line="240" w:lineRule="auto"/>
        <w:rPr>
          <w:szCs w:val="22"/>
        </w:rPr>
      </w:pPr>
    </w:p>
    <w:p w14:paraId="253CDD39" w14:textId="77777777" w:rsidR="00743EDE" w:rsidRPr="00183B5F" w:rsidRDefault="00743ED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2A648B8E"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2AFF9785" w14:textId="77777777" w:rsidR="00743EDE" w:rsidRPr="00183B5F" w:rsidRDefault="00943743" w:rsidP="004062FE">
            <w:pPr>
              <w:tabs>
                <w:tab w:val="left" w:pos="142"/>
              </w:tabs>
              <w:spacing w:line="240" w:lineRule="auto"/>
              <w:ind w:left="567" w:hanging="567"/>
              <w:rPr>
                <w:b/>
                <w:szCs w:val="22"/>
              </w:rPr>
            </w:pPr>
            <w:r w:rsidRPr="00183B5F">
              <w:rPr>
                <w:b/>
                <w:szCs w:val="22"/>
              </w:rPr>
              <w:t>1.</w:t>
            </w:r>
            <w:r w:rsidRPr="00183B5F">
              <w:rPr>
                <w:b/>
                <w:szCs w:val="22"/>
              </w:rPr>
              <w:tab/>
              <w:t>A GYÓGYSZER NEVE</w:t>
            </w:r>
          </w:p>
        </w:tc>
      </w:tr>
    </w:tbl>
    <w:p w14:paraId="6E4A8FF0" w14:textId="77777777" w:rsidR="00743EDE" w:rsidRPr="00183B5F" w:rsidRDefault="00743EDE" w:rsidP="004062FE">
      <w:pPr>
        <w:spacing w:line="240" w:lineRule="auto"/>
        <w:ind w:left="567" w:hanging="567"/>
        <w:rPr>
          <w:szCs w:val="22"/>
        </w:rPr>
      </w:pPr>
    </w:p>
    <w:p w14:paraId="3D80E3B9" w14:textId="77777777" w:rsidR="00743EDE" w:rsidRPr="00183B5F" w:rsidRDefault="00943743" w:rsidP="004062FE">
      <w:pPr>
        <w:spacing w:line="240" w:lineRule="auto"/>
        <w:rPr>
          <w:szCs w:val="22"/>
        </w:rPr>
      </w:pPr>
      <w:r w:rsidRPr="00183B5F">
        <w:rPr>
          <w:szCs w:val="22"/>
        </w:rPr>
        <w:t>Humira 80 mg oldatos injekció előretöltött fecskendőben</w:t>
      </w:r>
    </w:p>
    <w:p w14:paraId="14ACFBAA" w14:textId="77777777" w:rsidR="00743EDE" w:rsidRPr="00183B5F" w:rsidRDefault="00943743" w:rsidP="004062FE">
      <w:pPr>
        <w:pStyle w:val="EndnoteText"/>
        <w:tabs>
          <w:tab w:val="clear" w:pos="567"/>
          <w:tab w:val="left" w:pos="708"/>
        </w:tabs>
        <w:suppressAutoHyphens/>
        <w:rPr>
          <w:sz w:val="22"/>
          <w:szCs w:val="22"/>
          <w:lang w:val="hu-HU"/>
        </w:rPr>
      </w:pPr>
      <w:r w:rsidRPr="00183B5F">
        <w:rPr>
          <w:sz w:val="22"/>
          <w:szCs w:val="22"/>
          <w:lang w:val="hu-HU"/>
        </w:rPr>
        <w:t>adalimumab</w:t>
      </w:r>
    </w:p>
    <w:p w14:paraId="4B3F58DD" w14:textId="77777777" w:rsidR="00743EDE" w:rsidRPr="00183B5F" w:rsidRDefault="00743EDE" w:rsidP="004062FE">
      <w:pPr>
        <w:spacing w:line="240" w:lineRule="auto"/>
        <w:rPr>
          <w:szCs w:val="22"/>
        </w:rPr>
      </w:pPr>
    </w:p>
    <w:p w14:paraId="5840E14A" w14:textId="77777777" w:rsidR="00743EDE" w:rsidRPr="00183B5F" w:rsidRDefault="00743ED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F82CFA7"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4C0FA6E7" w14:textId="77777777" w:rsidR="00743EDE" w:rsidRPr="00183B5F" w:rsidRDefault="00943743" w:rsidP="004062FE">
            <w:pPr>
              <w:tabs>
                <w:tab w:val="left" w:pos="142"/>
              </w:tabs>
              <w:spacing w:line="240" w:lineRule="auto"/>
              <w:ind w:left="567" w:hanging="567"/>
              <w:rPr>
                <w:b/>
                <w:szCs w:val="22"/>
              </w:rPr>
            </w:pPr>
            <w:r w:rsidRPr="00183B5F">
              <w:rPr>
                <w:b/>
                <w:szCs w:val="22"/>
              </w:rPr>
              <w:t>2.</w:t>
            </w:r>
            <w:r w:rsidRPr="00183B5F">
              <w:rPr>
                <w:b/>
                <w:szCs w:val="22"/>
              </w:rPr>
              <w:tab/>
              <w:t>A FORGALOMBA HOZATALI ENGEDÉLY JOGOSULTJÁNAK NEVE</w:t>
            </w:r>
          </w:p>
        </w:tc>
      </w:tr>
    </w:tbl>
    <w:p w14:paraId="2864E414" w14:textId="77777777" w:rsidR="00743EDE" w:rsidRPr="00183B5F" w:rsidRDefault="00743EDE" w:rsidP="004062FE">
      <w:pPr>
        <w:spacing w:line="240" w:lineRule="auto"/>
        <w:rPr>
          <w:szCs w:val="22"/>
        </w:rPr>
      </w:pPr>
    </w:p>
    <w:p w14:paraId="418EA5C3" w14:textId="77777777" w:rsidR="00743EDE" w:rsidRPr="00183B5F" w:rsidRDefault="00943743" w:rsidP="004062FE">
      <w:pPr>
        <w:spacing w:line="240" w:lineRule="auto"/>
        <w:ind w:right="-2"/>
        <w:rPr>
          <w:szCs w:val="22"/>
          <w:highlight w:val="lightGray"/>
          <w:lang w:eastAsia="en-GB"/>
        </w:rPr>
      </w:pPr>
      <w:r w:rsidRPr="00183B5F">
        <w:rPr>
          <w:szCs w:val="22"/>
        </w:rPr>
        <w:t xml:space="preserve">AbbVie </w:t>
      </w:r>
      <w:r w:rsidR="00CE3F71" w:rsidRPr="00183B5F">
        <w:rPr>
          <w:szCs w:val="22"/>
          <w:highlight w:val="lightGray"/>
          <w:lang w:eastAsia="en-GB"/>
        </w:rPr>
        <w:t>(logo)</w:t>
      </w:r>
    </w:p>
    <w:p w14:paraId="187A0328" w14:textId="77777777" w:rsidR="00743EDE" w:rsidRPr="00183B5F" w:rsidRDefault="00743EDE" w:rsidP="004062FE">
      <w:pPr>
        <w:spacing w:line="240" w:lineRule="auto"/>
        <w:rPr>
          <w:szCs w:val="22"/>
        </w:rPr>
      </w:pPr>
    </w:p>
    <w:p w14:paraId="1BD7DCCA" w14:textId="77777777" w:rsidR="00743EDE" w:rsidRPr="00183B5F" w:rsidRDefault="00743ED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3CC30C94"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433E0142" w14:textId="77777777" w:rsidR="00743EDE" w:rsidRPr="00183B5F" w:rsidRDefault="00943743" w:rsidP="004062FE">
            <w:pPr>
              <w:tabs>
                <w:tab w:val="left" w:pos="142"/>
              </w:tabs>
              <w:spacing w:line="240" w:lineRule="auto"/>
              <w:ind w:left="567" w:hanging="567"/>
              <w:rPr>
                <w:b/>
                <w:szCs w:val="22"/>
              </w:rPr>
            </w:pPr>
            <w:r w:rsidRPr="00183B5F">
              <w:rPr>
                <w:b/>
                <w:szCs w:val="22"/>
              </w:rPr>
              <w:t>3.</w:t>
            </w:r>
            <w:r w:rsidRPr="00183B5F">
              <w:rPr>
                <w:b/>
                <w:szCs w:val="22"/>
              </w:rPr>
              <w:tab/>
              <w:t>LEJÁRATI IDŐ</w:t>
            </w:r>
          </w:p>
        </w:tc>
      </w:tr>
    </w:tbl>
    <w:p w14:paraId="21C66E2C" w14:textId="77777777" w:rsidR="00743EDE" w:rsidRPr="00183B5F" w:rsidRDefault="00743EDE" w:rsidP="004062FE">
      <w:pPr>
        <w:spacing w:line="240" w:lineRule="auto"/>
        <w:rPr>
          <w:szCs w:val="22"/>
        </w:rPr>
      </w:pPr>
    </w:p>
    <w:p w14:paraId="547D50BF" w14:textId="77777777" w:rsidR="00743EDE" w:rsidRPr="00183B5F" w:rsidRDefault="00943743" w:rsidP="004062FE">
      <w:pPr>
        <w:spacing w:line="240" w:lineRule="auto"/>
        <w:rPr>
          <w:szCs w:val="22"/>
        </w:rPr>
      </w:pPr>
      <w:r w:rsidRPr="00183B5F">
        <w:rPr>
          <w:szCs w:val="22"/>
        </w:rPr>
        <w:t>EXP</w:t>
      </w:r>
    </w:p>
    <w:p w14:paraId="668F8328" w14:textId="77777777" w:rsidR="00743EDE" w:rsidRPr="00183B5F" w:rsidRDefault="00743EDE" w:rsidP="004062FE">
      <w:pPr>
        <w:spacing w:line="240" w:lineRule="auto"/>
        <w:rPr>
          <w:szCs w:val="22"/>
        </w:rPr>
      </w:pPr>
    </w:p>
    <w:p w14:paraId="2AA77238" w14:textId="77777777" w:rsidR="00743EDE" w:rsidRPr="00183B5F" w:rsidRDefault="00743ED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41D8D94F"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74D59C44" w14:textId="77777777" w:rsidR="00743EDE" w:rsidRPr="00183B5F" w:rsidRDefault="00943743" w:rsidP="004062FE">
            <w:pPr>
              <w:tabs>
                <w:tab w:val="left" w:pos="142"/>
              </w:tabs>
              <w:spacing w:line="240" w:lineRule="auto"/>
              <w:ind w:left="567" w:hanging="567"/>
              <w:rPr>
                <w:b/>
                <w:szCs w:val="22"/>
              </w:rPr>
            </w:pPr>
            <w:r w:rsidRPr="00183B5F">
              <w:rPr>
                <w:b/>
                <w:szCs w:val="22"/>
              </w:rPr>
              <w:t>4.</w:t>
            </w:r>
            <w:r w:rsidRPr="00183B5F">
              <w:rPr>
                <w:b/>
                <w:szCs w:val="22"/>
              </w:rPr>
              <w:tab/>
              <w:t>A GYÁRTÁSI TÉTEL SZÁMA</w:t>
            </w:r>
          </w:p>
        </w:tc>
      </w:tr>
    </w:tbl>
    <w:p w14:paraId="3715883D" w14:textId="77777777" w:rsidR="00743EDE" w:rsidRPr="00183B5F" w:rsidRDefault="00743EDE" w:rsidP="004062FE">
      <w:pPr>
        <w:spacing w:line="240" w:lineRule="auto"/>
        <w:rPr>
          <w:szCs w:val="22"/>
        </w:rPr>
      </w:pPr>
    </w:p>
    <w:p w14:paraId="50184C26" w14:textId="77777777" w:rsidR="00743EDE" w:rsidRPr="00183B5F" w:rsidRDefault="00943743" w:rsidP="004062FE">
      <w:pPr>
        <w:spacing w:line="240" w:lineRule="auto"/>
        <w:rPr>
          <w:szCs w:val="22"/>
        </w:rPr>
      </w:pPr>
      <w:r w:rsidRPr="00183B5F">
        <w:rPr>
          <w:szCs w:val="22"/>
        </w:rPr>
        <w:t>Lot</w:t>
      </w:r>
    </w:p>
    <w:p w14:paraId="4F2E2C4A" w14:textId="77777777" w:rsidR="00743EDE" w:rsidRPr="00183B5F" w:rsidRDefault="00743EDE" w:rsidP="004062FE">
      <w:pPr>
        <w:spacing w:line="240" w:lineRule="auto"/>
        <w:rPr>
          <w:szCs w:val="22"/>
        </w:rPr>
      </w:pPr>
    </w:p>
    <w:p w14:paraId="3965EE99" w14:textId="77777777" w:rsidR="00743EDE" w:rsidRPr="00183B5F" w:rsidRDefault="00743ED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26875665"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167F23A6" w14:textId="77777777" w:rsidR="00743EDE" w:rsidRPr="00183B5F" w:rsidRDefault="00943743" w:rsidP="004062FE">
            <w:pPr>
              <w:tabs>
                <w:tab w:val="left" w:pos="142"/>
              </w:tabs>
              <w:spacing w:line="240" w:lineRule="auto"/>
              <w:ind w:left="567" w:hanging="567"/>
              <w:rPr>
                <w:b/>
                <w:szCs w:val="22"/>
              </w:rPr>
            </w:pPr>
            <w:r w:rsidRPr="00183B5F">
              <w:rPr>
                <w:b/>
                <w:szCs w:val="22"/>
              </w:rPr>
              <w:t>5.</w:t>
            </w:r>
            <w:r w:rsidRPr="00183B5F">
              <w:rPr>
                <w:b/>
                <w:szCs w:val="22"/>
              </w:rPr>
              <w:tab/>
              <w:t>EGYÉB INFORMÁCIÓK</w:t>
            </w:r>
          </w:p>
        </w:tc>
      </w:tr>
    </w:tbl>
    <w:p w14:paraId="310A3849" w14:textId="77777777" w:rsidR="00743EDE" w:rsidRPr="00183B5F" w:rsidRDefault="00743EDE" w:rsidP="004062FE">
      <w:pPr>
        <w:spacing w:line="240" w:lineRule="auto"/>
        <w:rPr>
          <w:b/>
          <w:szCs w:val="22"/>
        </w:rPr>
      </w:pPr>
    </w:p>
    <w:p w14:paraId="701E08F5" w14:textId="77777777" w:rsidR="00743EDE" w:rsidRPr="00183B5F" w:rsidRDefault="00943743" w:rsidP="004062FE">
      <w:pPr>
        <w:spacing w:line="240" w:lineRule="auto"/>
        <w:rPr>
          <w:szCs w:val="22"/>
        </w:rPr>
      </w:pPr>
      <w:r w:rsidRPr="00183B5F">
        <w:rPr>
          <w:szCs w:val="22"/>
        </w:rPr>
        <w:t>Tárolási információkért olvassa el a betegtájékoztatót.</w:t>
      </w:r>
    </w:p>
    <w:p w14:paraId="4B4A80EF" w14:textId="77777777" w:rsidR="00743EDE" w:rsidRPr="00183B5F" w:rsidRDefault="00743EDE" w:rsidP="004062FE">
      <w:pPr>
        <w:spacing w:line="240" w:lineRule="auto"/>
        <w:rPr>
          <w:szCs w:val="22"/>
        </w:rPr>
      </w:pPr>
    </w:p>
    <w:p w14:paraId="04413A41" w14:textId="77777777" w:rsidR="00743EDE" w:rsidRPr="00183B5F" w:rsidRDefault="00943743" w:rsidP="004062FE">
      <w:pPr>
        <w:spacing w:line="240" w:lineRule="auto"/>
        <w:rPr>
          <w:szCs w:val="22"/>
        </w:rPr>
      </w:pPr>
      <w:r w:rsidRPr="00183B5F">
        <w:rPr>
          <w:szCs w:val="22"/>
        </w:rPr>
        <w:t>Kizárólag egyszeri alkalmazásra.</w:t>
      </w:r>
    </w:p>
    <w:p w14:paraId="55647287" w14:textId="77777777" w:rsidR="00EF3B31" w:rsidRPr="00183B5F" w:rsidRDefault="00EF3B31" w:rsidP="004062FE">
      <w:pPr>
        <w:spacing w:line="240" w:lineRule="auto"/>
        <w:rPr>
          <w:szCs w:val="22"/>
        </w:rPr>
      </w:pPr>
    </w:p>
    <w:p w14:paraId="098A979D" w14:textId="77777777" w:rsidR="00EF3B31" w:rsidRPr="00183B5F" w:rsidRDefault="00EF3B31" w:rsidP="004062FE">
      <w:pPr>
        <w:spacing w:line="240" w:lineRule="auto"/>
        <w:rPr>
          <w:b/>
          <w:szCs w:val="22"/>
        </w:rPr>
      </w:pPr>
    </w:p>
    <w:p w14:paraId="24E70B19" w14:textId="77777777" w:rsidR="00743EDE" w:rsidRPr="00183B5F" w:rsidRDefault="00943743" w:rsidP="004062FE">
      <w:pPr>
        <w:spacing w:line="240" w:lineRule="auto"/>
        <w:rPr>
          <w:b/>
          <w:szCs w:val="22"/>
        </w:rPr>
      </w:pPr>
      <w:r w:rsidRPr="00183B5F">
        <w:rPr>
          <w:b/>
          <w:szCs w:val="22"/>
        </w:rPr>
        <w:br w:type="page"/>
      </w: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5B2FA35B" w14:textId="77777777" w:rsidTr="00743EDE">
        <w:trPr>
          <w:trHeight w:val="785"/>
          <w:jc w:val="center"/>
        </w:trPr>
        <w:tc>
          <w:tcPr>
            <w:tcW w:w="9069" w:type="dxa"/>
            <w:tcBorders>
              <w:top w:val="single" w:sz="2" w:space="0" w:color="000000"/>
              <w:left w:val="single" w:sz="2" w:space="0" w:color="000000"/>
              <w:bottom w:val="single" w:sz="2" w:space="0" w:color="000000"/>
              <w:right w:val="single" w:sz="2" w:space="0" w:color="000000"/>
            </w:tcBorders>
          </w:tcPr>
          <w:p w14:paraId="4EA1863D" w14:textId="77777777" w:rsidR="00743EDE" w:rsidRPr="00183B5F" w:rsidRDefault="00943743" w:rsidP="004062FE">
            <w:pPr>
              <w:spacing w:line="240" w:lineRule="auto"/>
              <w:rPr>
                <w:b/>
                <w:szCs w:val="22"/>
              </w:rPr>
            </w:pPr>
            <w:r w:rsidRPr="00183B5F">
              <w:rPr>
                <w:b/>
                <w:szCs w:val="22"/>
              </w:rPr>
              <w:t>A KIS KÖZVETLEN CSOMAGOLÁSI EGYSÉGEKEN MINIMÁLISAN FELTÜNTETENDŐ ADATOK</w:t>
            </w:r>
          </w:p>
          <w:p w14:paraId="25A7A8EE" w14:textId="77777777" w:rsidR="00743EDE" w:rsidRPr="00183B5F" w:rsidRDefault="00743EDE" w:rsidP="004062FE">
            <w:pPr>
              <w:spacing w:line="240" w:lineRule="auto"/>
              <w:rPr>
                <w:b/>
                <w:szCs w:val="22"/>
              </w:rPr>
            </w:pPr>
          </w:p>
          <w:p w14:paraId="2C0872FA" w14:textId="77777777" w:rsidR="00743EDE" w:rsidRPr="00183B5F" w:rsidRDefault="00943743" w:rsidP="004062FE">
            <w:pPr>
              <w:spacing w:line="240" w:lineRule="auto"/>
              <w:rPr>
                <w:b/>
                <w:caps/>
                <w:szCs w:val="22"/>
              </w:rPr>
            </w:pPr>
            <w:r w:rsidRPr="00183B5F">
              <w:rPr>
                <w:b/>
                <w:caps/>
                <w:szCs w:val="22"/>
              </w:rPr>
              <w:t>Fecskendő cÍmke</w:t>
            </w:r>
          </w:p>
        </w:tc>
      </w:tr>
    </w:tbl>
    <w:p w14:paraId="4D9ABF49" w14:textId="77777777" w:rsidR="00743EDE" w:rsidRPr="00183B5F" w:rsidRDefault="00743EDE" w:rsidP="004062FE">
      <w:pPr>
        <w:spacing w:line="240" w:lineRule="auto"/>
        <w:rPr>
          <w:szCs w:val="22"/>
        </w:rPr>
      </w:pPr>
    </w:p>
    <w:p w14:paraId="44A93C92" w14:textId="77777777" w:rsidR="00743EDE" w:rsidRPr="00183B5F" w:rsidRDefault="00743ED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3AA00DEA"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2B8579D8" w14:textId="77777777" w:rsidR="00743EDE" w:rsidRPr="00183B5F" w:rsidRDefault="00943743" w:rsidP="004062FE">
            <w:pPr>
              <w:tabs>
                <w:tab w:val="left" w:pos="142"/>
              </w:tabs>
              <w:spacing w:line="240" w:lineRule="auto"/>
              <w:ind w:left="567" w:hanging="567"/>
              <w:rPr>
                <w:b/>
                <w:szCs w:val="22"/>
              </w:rPr>
            </w:pPr>
            <w:r w:rsidRPr="00183B5F">
              <w:rPr>
                <w:b/>
                <w:szCs w:val="22"/>
              </w:rPr>
              <w:t>1.</w:t>
            </w:r>
            <w:r w:rsidRPr="00183B5F">
              <w:rPr>
                <w:b/>
                <w:szCs w:val="22"/>
              </w:rPr>
              <w:tab/>
            </w:r>
            <w:r w:rsidRPr="00183B5F">
              <w:rPr>
                <w:b/>
                <w:szCs w:val="22"/>
              </w:rPr>
              <w:t>A GYÓGYSZER NEVE ÉS AZ ALKALMAZÁS MÓDJA</w:t>
            </w:r>
          </w:p>
        </w:tc>
      </w:tr>
    </w:tbl>
    <w:p w14:paraId="2942978F" w14:textId="77777777" w:rsidR="00743EDE" w:rsidRPr="00183B5F" w:rsidRDefault="00743EDE" w:rsidP="004062FE">
      <w:pPr>
        <w:spacing w:line="240" w:lineRule="auto"/>
        <w:rPr>
          <w:szCs w:val="22"/>
        </w:rPr>
      </w:pPr>
    </w:p>
    <w:p w14:paraId="7ABD22B6" w14:textId="77777777" w:rsidR="00743EDE" w:rsidRPr="00183B5F" w:rsidRDefault="00943743" w:rsidP="004062FE">
      <w:pPr>
        <w:spacing w:line="240" w:lineRule="auto"/>
        <w:rPr>
          <w:szCs w:val="22"/>
        </w:rPr>
      </w:pPr>
      <w:r w:rsidRPr="00183B5F">
        <w:rPr>
          <w:szCs w:val="22"/>
        </w:rPr>
        <w:t>Humira 80 mg injekció</w:t>
      </w:r>
    </w:p>
    <w:p w14:paraId="44E9912F" w14:textId="77777777" w:rsidR="00743EDE" w:rsidRPr="00183B5F" w:rsidRDefault="00943743" w:rsidP="004062FE">
      <w:pPr>
        <w:spacing w:line="240" w:lineRule="auto"/>
        <w:rPr>
          <w:szCs w:val="22"/>
        </w:rPr>
      </w:pPr>
      <w:r w:rsidRPr="00183B5F">
        <w:rPr>
          <w:szCs w:val="22"/>
        </w:rPr>
        <w:t>adalimumab</w:t>
      </w:r>
    </w:p>
    <w:p w14:paraId="4F7395A9" w14:textId="77777777" w:rsidR="00743EDE" w:rsidRPr="00183B5F" w:rsidRDefault="00943743" w:rsidP="004062FE">
      <w:pPr>
        <w:spacing w:line="240" w:lineRule="auto"/>
        <w:ind w:left="567" w:hanging="567"/>
        <w:rPr>
          <w:szCs w:val="22"/>
        </w:rPr>
      </w:pPr>
      <w:r w:rsidRPr="00183B5F">
        <w:rPr>
          <w:szCs w:val="22"/>
        </w:rPr>
        <w:t>sc</w:t>
      </w:r>
      <w:r w:rsidR="00A53E7F" w:rsidRPr="00183B5F">
        <w:rPr>
          <w:szCs w:val="22"/>
        </w:rPr>
        <w:t>.</w:t>
      </w:r>
    </w:p>
    <w:p w14:paraId="20414937" w14:textId="77777777" w:rsidR="00743EDE" w:rsidRPr="00183B5F" w:rsidRDefault="00743EDE" w:rsidP="004062FE">
      <w:pPr>
        <w:spacing w:line="240" w:lineRule="auto"/>
        <w:rPr>
          <w:szCs w:val="22"/>
        </w:rPr>
      </w:pPr>
    </w:p>
    <w:p w14:paraId="03A28E23" w14:textId="77777777" w:rsidR="00743EDE" w:rsidRPr="00183B5F" w:rsidRDefault="00743ED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6B0DA52F"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0E338F50" w14:textId="77777777" w:rsidR="00743EDE" w:rsidRPr="00183B5F" w:rsidRDefault="00943743" w:rsidP="004062FE">
            <w:pPr>
              <w:tabs>
                <w:tab w:val="left" w:pos="142"/>
              </w:tabs>
              <w:spacing w:line="240" w:lineRule="auto"/>
              <w:ind w:left="567" w:hanging="567"/>
              <w:rPr>
                <w:b/>
                <w:szCs w:val="22"/>
              </w:rPr>
            </w:pPr>
            <w:r w:rsidRPr="00183B5F">
              <w:rPr>
                <w:b/>
                <w:szCs w:val="22"/>
              </w:rPr>
              <w:t>2.</w:t>
            </w:r>
            <w:r w:rsidRPr="00183B5F">
              <w:rPr>
                <w:b/>
                <w:szCs w:val="22"/>
              </w:rPr>
              <w:tab/>
              <w:t>AZ ALKALMAZÁSSAL KAPCSOLATOS TUDNIVALÓK</w:t>
            </w:r>
          </w:p>
        </w:tc>
      </w:tr>
    </w:tbl>
    <w:p w14:paraId="0586F3F7" w14:textId="77777777" w:rsidR="00743EDE" w:rsidRPr="00183B5F" w:rsidRDefault="00743EDE" w:rsidP="004062FE">
      <w:pPr>
        <w:spacing w:line="240" w:lineRule="auto"/>
        <w:rPr>
          <w:szCs w:val="22"/>
        </w:rPr>
      </w:pPr>
    </w:p>
    <w:p w14:paraId="2549EFD2" w14:textId="77777777" w:rsidR="00743EDE" w:rsidRPr="00183B5F" w:rsidRDefault="00743ED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3B55DA7B"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208221C2" w14:textId="77777777" w:rsidR="00743EDE" w:rsidRPr="00183B5F" w:rsidRDefault="00943743" w:rsidP="004062FE">
            <w:pPr>
              <w:tabs>
                <w:tab w:val="left" w:pos="142"/>
              </w:tabs>
              <w:spacing w:line="240" w:lineRule="auto"/>
              <w:ind w:left="567" w:hanging="567"/>
              <w:rPr>
                <w:b/>
                <w:szCs w:val="22"/>
              </w:rPr>
            </w:pPr>
            <w:r w:rsidRPr="00183B5F">
              <w:rPr>
                <w:b/>
                <w:szCs w:val="22"/>
              </w:rPr>
              <w:t>3.</w:t>
            </w:r>
            <w:r w:rsidRPr="00183B5F">
              <w:rPr>
                <w:b/>
                <w:szCs w:val="22"/>
              </w:rPr>
              <w:tab/>
              <w:t>LEJÁRATI IDŐ</w:t>
            </w:r>
          </w:p>
        </w:tc>
      </w:tr>
    </w:tbl>
    <w:p w14:paraId="67AB73B4" w14:textId="77777777" w:rsidR="00743EDE" w:rsidRPr="00183B5F" w:rsidRDefault="00743EDE" w:rsidP="004062FE">
      <w:pPr>
        <w:spacing w:line="240" w:lineRule="auto"/>
        <w:rPr>
          <w:szCs w:val="22"/>
        </w:rPr>
      </w:pPr>
    </w:p>
    <w:p w14:paraId="3782A41F" w14:textId="77777777" w:rsidR="00743EDE" w:rsidRPr="00183B5F" w:rsidRDefault="00943743" w:rsidP="004062FE">
      <w:pPr>
        <w:spacing w:line="240" w:lineRule="auto"/>
        <w:rPr>
          <w:szCs w:val="22"/>
        </w:rPr>
      </w:pPr>
      <w:r w:rsidRPr="00183B5F">
        <w:rPr>
          <w:szCs w:val="22"/>
        </w:rPr>
        <w:t>EXP</w:t>
      </w:r>
    </w:p>
    <w:p w14:paraId="29DF0A09" w14:textId="77777777" w:rsidR="00743EDE" w:rsidRPr="00183B5F" w:rsidRDefault="00743EDE" w:rsidP="004062FE">
      <w:pPr>
        <w:spacing w:line="240" w:lineRule="auto"/>
        <w:rPr>
          <w:szCs w:val="22"/>
        </w:rPr>
      </w:pPr>
    </w:p>
    <w:p w14:paraId="6C90CDC3" w14:textId="77777777" w:rsidR="00743EDE" w:rsidRPr="00183B5F" w:rsidRDefault="00743ED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55D10292"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0A32B185" w14:textId="77777777" w:rsidR="00743EDE" w:rsidRPr="00183B5F" w:rsidRDefault="00943743" w:rsidP="004062FE">
            <w:pPr>
              <w:tabs>
                <w:tab w:val="left" w:pos="142"/>
              </w:tabs>
              <w:spacing w:line="240" w:lineRule="auto"/>
              <w:ind w:left="567" w:hanging="567"/>
              <w:rPr>
                <w:b/>
                <w:szCs w:val="22"/>
              </w:rPr>
            </w:pPr>
            <w:r w:rsidRPr="00183B5F">
              <w:rPr>
                <w:b/>
                <w:szCs w:val="22"/>
              </w:rPr>
              <w:t>4.</w:t>
            </w:r>
            <w:r w:rsidRPr="00183B5F">
              <w:rPr>
                <w:b/>
                <w:szCs w:val="22"/>
              </w:rPr>
              <w:tab/>
              <w:t>A GYÁRTÁSI TÉTEL SZÁMA</w:t>
            </w:r>
          </w:p>
        </w:tc>
      </w:tr>
    </w:tbl>
    <w:p w14:paraId="4E5C9146" w14:textId="77777777" w:rsidR="00743EDE" w:rsidRPr="00183B5F" w:rsidRDefault="00743EDE" w:rsidP="004062FE">
      <w:pPr>
        <w:spacing w:line="240" w:lineRule="auto"/>
        <w:rPr>
          <w:szCs w:val="22"/>
        </w:rPr>
      </w:pPr>
    </w:p>
    <w:p w14:paraId="503E1C65" w14:textId="77777777" w:rsidR="00743EDE" w:rsidRPr="00183B5F" w:rsidRDefault="00943743" w:rsidP="004062FE">
      <w:pPr>
        <w:spacing w:line="240" w:lineRule="auto"/>
        <w:rPr>
          <w:szCs w:val="22"/>
        </w:rPr>
      </w:pPr>
      <w:r w:rsidRPr="00183B5F">
        <w:rPr>
          <w:szCs w:val="22"/>
        </w:rPr>
        <w:t>Lot</w:t>
      </w:r>
    </w:p>
    <w:p w14:paraId="79D43318" w14:textId="77777777" w:rsidR="00743EDE" w:rsidRPr="00183B5F" w:rsidRDefault="00743EDE" w:rsidP="004062FE">
      <w:pPr>
        <w:spacing w:line="240" w:lineRule="auto"/>
        <w:ind w:right="113"/>
        <w:rPr>
          <w:szCs w:val="22"/>
        </w:rPr>
      </w:pPr>
    </w:p>
    <w:p w14:paraId="5CB908D7" w14:textId="77777777" w:rsidR="00743EDE" w:rsidRPr="00183B5F" w:rsidRDefault="00743EDE" w:rsidP="004062FE">
      <w:pPr>
        <w:spacing w:line="240" w:lineRule="auto"/>
        <w:ind w:right="113"/>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101F52B8"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41951A50" w14:textId="1E3315D9" w:rsidR="00743EDE" w:rsidRPr="00183B5F" w:rsidRDefault="00943743" w:rsidP="004062FE">
            <w:pPr>
              <w:tabs>
                <w:tab w:val="left" w:pos="142"/>
              </w:tabs>
              <w:spacing w:line="240" w:lineRule="auto"/>
              <w:ind w:left="567" w:hanging="567"/>
              <w:rPr>
                <w:b/>
                <w:szCs w:val="22"/>
              </w:rPr>
            </w:pPr>
            <w:r w:rsidRPr="00183B5F">
              <w:rPr>
                <w:b/>
                <w:szCs w:val="22"/>
              </w:rPr>
              <w:t>5.</w:t>
            </w:r>
            <w:r w:rsidRPr="00183B5F">
              <w:rPr>
                <w:b/>
                <w:szCs w:val="22"/>
              </w:rPr>
              <w:tab/>
              <w:t xml:space="preserve">A TARTALOM </w:t>
            </w:r>
            <w:del w:id="9845" w:author="AbbVie_HU_03" w:date="2025-05-14T16:23:00Z">
              <w:r w:rsidRPr="00183B5F">
                <w:rPr>
                  <w:b/>
                  <w:szCs w:val="22"/>
                </w:rPr>
                <w:delText>SÚLYRA</w:delText>
              </w:r>
            </w:del>
            <w:ins w:id="9846" w:author="AbbVie_HU_03" w:date="2025-05-14T16:23:00Z">
              <w:r w:rsidR="00511721">
                <w:rPr>
                  <w:b/>
                  <w:szCs w:val="22"/>
                </w:rPr>
                <w:t>TÖMEGRE</w:t>
              </w:r>
            </w:ins>
            <w:r w:rsidRPr="00183B5F">
              <w:rPr>
                <w:b/>
                <w:szCs w:val="22"/>
              </w:rPr>
              <w:t>, TÉRFOGATRA, VAGY EGYSÉGREVONATKOZTATVA</w:t>
            </w:r>
          </w:p>
        </w:tc>
      </w:tr>
    </w:tbl>
    <w:p w14:paraId="1CB526A7" w14:textId="77777777" w:rsidR="00743EDE" w:rsidRPr="00183B5F" w:rsidRDefault="00743EDE" w:rsidP="004062FE">
      <w:pPr>
        <w:spacing w:line="240" w:lineRule="auto"/>
        <w:rPr>
          <w:szCs w:val="22"/>
        </w:rPr>
      </w:pPr>
    </w:p>
    <w:p w14:paraId="6C9884EB" w14:textId="77777777" w:rsidR="00743EDE" w:rsidRPr="00183B5F" w:rsidRDefault="00943743" w:rsidP="004062FE">
      <w:pPr>
        <w:spacing w:line="240" w:lineRule="auto"/>
        <w:rPr>
          <w:szCs w:val="22"/>
        </w:rPr>
      </w:pPr>
      <w:r w:rsidRPr="00183B5F">
        <w:rPr>
          <w:szCs w:val="22"/>
        </w:rPr>
        <w:t>8</w:t>
      </w:r>
      <w:r w:rsidR="00B867EE" w:rsidRPr="00183B5F">
        <w:rPr>
          <w:szCs w:val="22"/>
        </w:rPr>
        <w:t>0 mg</w:t>
      </w:r>
      <w:r w:rsidR="00484F6A" w:rsidRPr="00183B5F">
        <w:rPr>
          <w:szCs w:val="22"/>
        </w:rPr>
        <w:t>/</w:t>
      </w:r>
      <w:r w:rsidR="00484F6A" w:rsidRPr="00183B5F">
        <w:rPr>
          <w:szCs w:val="22"/>
          <w:highlight w:val="lightGray"/>
        </w:rPr>
        <w:t>0,8 ml</w:t>
      </w:r>
    </w:p>
    <w:p w14:paraId="32302AAD" w14:textId="77777777" w:rsidR="00743EDE" w:rsidRPr="00183B5F" w:rsidRDefault="00743EDE" w:rsidP="004062FE">
      <w:pPr>
        <w:spacing w:line="240" w:lineRule="auto"/>
        <w:rPr>
          <w:szCs w:val="22"/>
        </w:rPr>
      </w:pPr>
    </w:p>
    <w:p w14:paraId="7CE1F9B3" w14:textId="77777777" w:rsidR="00743EDE" w:rsidRPr="00183B5F" w:rsidRDefault="00743EDE"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8049515" w14:textId="77777777" w:rsidTr="00743EDE">
        <w:trPr>
          <w:jc w:val="center"/>
        </w:trPr>
        <w:tc>
          <w:tcPr>
            <w:tcW w:w="9069" w:type="dxa"/>
            <w:tcBorders>
              <w:top w:val="single" w:sz="2" w:space="0" w:color="000000"/>
              <w:left w:val="single" w:sz="2" w:space="0" w:color="000000"/>
              <w:bottom w:val="single" w:sz="2" w:space="0" w:color="000000"/>
              <w:right w:val="single" w:sz="2" w:space="0" w:color="000000"/>
            </w:tcBorders>
          </w:tcPr>
          <w:p w14:paraId="0435337A" w14:textId="77777777" w:rsidR="00743EDE" w:rsidRPr="00183B5F" w:rsidRDefault="00943743" w:rsidP="004062FE">
            <w:pPr>
              <w:tabs>
                <w:tab w:val="left" w:pos="142"/>
              </w:tabs>
              <w:spacing w:line="240" w:lineRule="auto"/>
              <w:ind w:left="567" w:hanging="567"/>
              <w:rPr>
                <w:b/>
                <w:szCs w:val="22"/>
              </w:rPr>
            </w:pPr>
            <w:r w:rsidRPr="00183B5F">
              <w:rPr>
                <w:b/>
                <w:szCs w:val="22"/>
              </w:rPr>
              <w:t>6.</w:t>
            </w:r>
            <w:r w:rsidRPr="00183B5F">
              <w:rPr>
                <w:b/>
                <w:szCs w:val="22"/>
              </w:rPr>
              <w:tab/>
              <w:t>EGYÉB INFORMÁCIÓK</w:t>
            </w:r>
          </w:p>
        </w:tc>
      </w:tr>
    </w:tbl>
    <w:p w14:paraId="32D7FE3A" w14:textId="77777777" w:rsidR="00743EDE" w:rsidRPr="00183B5F" w:rsidRDefault="00743EDE" w:rsidP="004062FE">
      <w:pPr>
        <w:spacing w:line="240" w:lineRule="auto"/>
        <w:rPr>
          <w:szCs w:val="22"/>
        </w:rPr>
      </w:pPr>
    </w:p>
    <w:p w14:paraId="2340C85F" w14:textId="77777777" w:rsidR="00EF3B31" w:rsidRPr="00183B5F" w:rsidRDefault="00943743">
      <w:pPr>
        <w:suppressAutoHyphens w:val="0"/>
        <w:spacing w:line="240" w:lineRule="auto"/>
        <w:rPr>
          <w:szCs w:val="22"/>
        </w:rPr>
      </w:pPr>
      <w:r w:rsidRPr="00183B5F">
        <w:rPr>
          <w:szCs w:val="22"/>
        </w:rPr>
        <w:br w:type="page"/>
      </w:r>
    </w:p>
    <w:p w14:paraId="07539B10" w14:textId="77777777" w:rsidR="00EF3B31" w:rsidRPr="00183B5F" w:rsidRDefault="00EF3B31">
      <w:pPr>
        <w:suppressAutoHyphens w:val="0"/>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39CAD62" w14:textId="77777777" w:rsidTr="00913F10">
        <w:trPr>
          <w:trHeight w:val="1040"/>
          <w:jc w:val="center"/>
        </w:trPr>
        <w:tc>
          <w:tcPr>
            <w:tcW w:w="9069" w:type="dxa"/>
            <w:tcBorders>
              <w:top w:val="single" w:sz="2" w:space="0" w:color="000000"/>
              <w:left w:val="single" w:sz="2" w:space="0" w:color="000000"/>
              <w:bottom w:val="single" w:sz="2" w:space="0" w:color="000000"/>
              <w:right w:val="single" w:sz="2" w:space="0" w:color="000000"/>
            </w:tcBorders>
          </w:tcPr>
          <w:p w14:paraId="2D707148" w14:textId="77777777" w:rsidR="00F32BBB" w:rsidRPr="00183B5F" w:rsidRDefault="00943743" w:rsidP="004062FE">
            <w:pPr>
              <w:spacing w:line="240" w:lineRule="auto"/>
              <w:rPr>
                <w:b/>
                <w:caps/>
                <w:szCs w:val="22"/>
              </w:rPr>
            </w:pPr>
            <w:r w:rsidRPr="00183B5F">
              <w:rPr>
                <w:b/>
                <w:caps/>
                <w:szCs w:val="22"/>
              </w:rPr>
              <w:t>A KÜLSŐ CSOMAGOLÁSON FELTÜNTETENDŐ ADATOK</w:t>
            </w:r>
          </w:p>
          <w:p w14:paraId="4DB6A109" w14:textId="77777777" w:rsidR="00F32BBB" w:rsidRPr="00183B5F" w:rsidRDefault="00F32BBB" w:rsidP="004062FE">
            <w:pPr>
              <w:spacing w:line="240" w:lineRule="auto"/>
              <w:rPr>
                <w:b/>
                <w:caps/>
                <w:szCs w:val="22"/>
              </w:rPr>
            </w:pPr>
          </w:p>
          <w:p w14:paraId="724CB3DA" w14:textId="77777777" w:rsidR="00F32BBB" w:rsidRPr="00183B5F" w:rsidRDefault="00943743" w:rsidP="004062FE">
            <w:pPr>
              <w:spacing w:line="240" w:lineRule="auto"/>
              <w:rPr>
                <w:b/>
                <w:caps/>
                <w:szCs w:val="22"/>
              </w:rPr>
            </w:pPr>
            <w:r w:rsidRPr="00183B5F">
              <w:rPr>
                <w:b/>
                <w:caps/>
                <w:szCs w:val="22"/>
              </w:rPr>
              <w:t xml:space="preserve">Külső </w:t>
            </w:r>
            <w:r w:rsidR="0029015E" w:rsidRPr="00183B5F">
              <w:rPr>
                <w:b/>
                <w:caps/>
                <w:szCs w:val="22"/>
              </w:rPr>
              <w:t>DOBOZ</w:t>
            </w:r>
          </w:p>
        </w:tc>
      </w:tr>
    </w:tbl>
    <w:p w14:paraId="2CB42D65" w14:textId="77777777" w:rsidR="00F32BBB" w:rsidRPr="00183B5F" w:rsidRDefault="00F32BBB" w:rsidP="004062FE">
      <w:pPr>
        <w:spacing w:line="240" w:lineRule="auto"/>
        <w:rPr>
          <w:szCs w:val="22"/>
        </w:rPr>
      </w:pPr>
    </w:p>
    <w:p w14:paraId="173E364A" w14:textId="77777777" w:rsidR="00F32BBB" w:rsidRPr="00183B5F" w:rsidRDefault="00F32BBB"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72B0A03F" w14:textId="77777777" w:rsidTr="00913F10">
        <w:trPr>
          <w:jc w:val="center"/>
        </w:trPr>
        <w:tc>
          <w:tcPr>
            <w:tcW w:w="9069" w:type="dxa"/>
            <w:tcBorders>
              <w:top w:val="single" w:sz="2" w:space="0" w:color="000000"/>
              <w:left w:val="single" w:sz="2" w:space="0" w:color="000000"/>
              <w:bottom w:val="single" w:sz="2" w:space="0" w:color="000000"/>
              <w:right w:val="single" w:sz="2" w:space="0" w:color="000000"/>
            </w:tcBorders>
          </w:tcPr>
          <w:p w14:paraId="48B56A02" w14:textId="77777777" w:rsidR="00F32BBB" w:rsidRPr="00183B5F" w:rsidRDefault="00943743" w:rsidP="004062FE">
            <w:pPr>
              <w:tabs>
                <w:tab w:val="left" w:pos="142"/>
              </w:tabs>
              <w:spacing w:line="240" w:lineRule="auto"/>
              <w:ind w:left="567" w:hanging="567"/>
              <w:rPr>
                <w:b/>
                <w:szCs w:val="22"/>
              </w:rPr>
            </w:pPr>
            <w:r w:rsidRPr="00183B5F">
              <w:rPr>
                <w:b/>
                <w:szCs w:val="22"/>
              </w:rPr>
              <w:t>1.</w:t>
            </w:r>
            <w:r w:rsidRPr="00183B5F">
              <w:rPr>
                <w:b/>
                <w:szCs w:val="22"/>
              </w:rPr>
              <w:tab/>
              <w:t>A GYÓGYSZER NEVE</w:t>
            </w:r>
          </w:p>
        </w:tc>
      </w:tr>
    </w:tbl>
    <w:p w14:paraId="7D0082B3" w14:textId="77777777" w:rsidR="00F32BBB" w:rsidRPr="00183B5F" w:rsidRDefault="00F32BBB" w:rsidP="004062FE">
      <w:pPr>
        <w:spacing w:line="240" w:lineRule="auto"/>
        <w:rPr>
          <w:szCs w:val="22"/>
        </w:rPr>
      </w:pPr>
    </w:p>
    <w:p w14:paraId="17A309F0" w14:textId="77777777" w:rsidR="00F32BBB" w:rsidRPr="00183B5F" w:rsidRDefault="00943743" w:rsidP="004062FE">
      <w:pPr>
        <w:spacing w:line="240" w:lineRule="auto"/>
        <w:rPr>
          <w:szCs w:val="22"/>
        </w:rPr>
      </w:pPr>
      <w:r w:rsidRPr="00183B5F">
        <w:rPr>
          <w:szCs w:val="22"/>
        </w:rPr>
        <w:t>Humira 80 mg oldatos injekció előretöltött injekciós tollban</w:t>
      </w:r>
    </w:p>
    <w:p w14:paraId="64C0E7DE" w14:textId="77777777" w:rsidR="00F32BBB" w:rsidRPr="00183B5F" w:rsidRDefault="00943743" w:rsidP="004062FE">
      <w:pPr>
        <w:pStyle w:val="EndnoteText"/>
        <w:tabs>
          <w:tab w:val="clear" w:pos="567"/>
          <w:tab w:val="left" w:pos="708"/>
        </w:tabs>
        <w:suppressAutoHyphens/>
        <w:rPr>
          <w:sz w:val="22"/>
          <w:szCs w:val="22"/>
          <w:lang w:val="hu-HU"/>
        </w:rPr>
      </w:pPr>
      <w:r w:rsidRPr="00183B5F">
        <w:rPr>
          <w:sz w:val="22"/>
          <w:szCs w:val="22"/>
          <w:lang w:val="hu-HU"/>
        </w:rPr>
        <w:t>adalimumab</w:t>
      </w:r>
    </w:p>
    <w:p w14:paraId="578C2BE1" w14:textId="77777777" w:rsidR="00F32BBB" w:rsidRPr="00183B5F" w:rsidRDefault="00F32BBB" w:rsidP="004062FE">
      <w:pPr>
        <w:spacing w:line="240" w:lineRule="auto"/>
        <w:rPr>
          <w:szCs w:val="22"/>
        </w:rPr>
      </w:pPr>
    </w:p>
    <w:p w14:paraId="377C36B9" w14:textId="77777777" w:rsidR="00F32BBB" w:rsidRPr="00183B5F" w:rsidRDefault="00F32BBB"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B2DE01D" w14:textId="77777777" w:rsidTr="00913F10">
        <w:trPr>
          <w:jc w:val="center"/>
        </w:trPr>
        <w:tc>
          <w:tcPr>
            <w:tcW w:w="9069" w:type="dxa"/>
            <w:tcBorders>
              <w:top w:val="single" w:sz="2" w:space="0" w:color="000000"/>
              <w:left w:val="single" w:sz="2" w:space="0" w:color="000000"/>
              <w:bottom w:val="single" w:sz="2" w:space="0" w:color="000000"/>
              <w:right w:val="single" w:sz="2" w:space="0" w:color="000000"/>
            </w:tcBorders>
          </w:tcPr>
          <w:p w14:paraId="334C24D5" w14:textId="77777777" w:rsidR="00F32BBB" w:rsidRPr="00183B5F" w:rsidRDefault="00943743" w:rsidP="004062FE">
            <w:pPr>
              <w:tabs>
                <w:tab w:val="left" w:pos="142"/>
              </w:tabs>
              <w:spacing w:line="240" w:lineRule="auto"/>
              <w:ind w:left="567" w:hanging="567"/>
              <w:rPr>
                <w:b/>
                <w:szCs w:val="22"/>
              </w:rPr>
            </w:pPr>
            <w:r w:rsidRPr="00183B5F">
              <w:rPr>
                <w:b/>
                <w:szCs w:val="22"/>
              </w:rPr>
              <w:t>2.</w:t>
            </w:r>
            <w:r w:rsidRPr="00183B5F">
              <w:rPr>
                <w:b/>
                <w:szCs w:val="22"/>
              </w:rPr>
              <w:tab/>
              <w:t>HATÓANYAG(OK) MEGNEVEZÉSE</w:t>
            </w:r>
          </w:p>
        </w:tc>
      </w:tr>
    </w:tbl>
    <w:p w14:paraId="79FB7F1D" w14:textId="77777777" w:rsidR="00F32BBB" w:rsidRPr="00183B5F" w:rsidRDefault="00F32BBB" w:rsidP="004062FE">
      <w:pPr>
        <w:spacing w:line="240" w:lineRule="auto"/>
        <w:ind w:right="-2"/>
        <w:rPr>
          <w:szCs w:val="22"/>
        </w:rPr>
      </w:pPr>
    </w:p>
    <w:p w14:paraId="40487FC9" w14:textId="77777777" w:rsidR="00F32BBB" w:rsidRPr="00183B5F" w:rsidRDefault="00943743" w:rsidP="004062FE">
      <w:pPr>
        <w:spacing w:line="240" w:lineRule="auto"/>
        <w:ind w:right="-2"/>
        <w:rPr>
          <w:strike/>
          <w:szCs w:val="22"/>
        </w:rPr>
      </w:pPr>
      <w:r w:rsidRPr="00183B5F">
        <w:rPr>
          <w:szCs w:val="22"/>
        </w:rPr>
        <w:t>80 mg adalimumab 0,8 ml-es előretöltött injekciós tollban</w:t>
      </w:r>
      <w:r w:rsidR="006F2DCB" w:rsidRPr="00183B5F">
        <w:rPr>
          <w:szCs w:val="22"/>
        </w:rPr>
        <w:t>.</w:t>
      </w:r>
    </w:p>
    <w:p w14:paraId="385B0C6D" w14:textId="77777777" w:rsidR="00F32BBB" w:rsidRPr="00183B5F" w:rsidRDefault="00F32BBB" w:rsidP="004062FE">
      <w:pPr>
        <w:spacing w:line="240" w:lineRule="auto"/>
        <w:ind w:right="-2"/>
        <w:rPr>
          <w:szCs w:val="22"/>
        </w:rPr>
      </w:pPr>
    </w:p>
    <w:p w14:paraId="17F8733D" w14:textId="77777777" w:rsidR="00F32BBB" w:rsidRPr="00183B5F" w:rsidRDefault="00F32BBB" w:rsidP="004062FE">
      <w:pPr>
        <w:pStyle w:val="EndnoteText"/>
        <w:tabs>
          <w:tab w:val="clear" w:pos="567"/>
        </w:tabs>
        <w:suppressAutoHyphens/>
        <w:rPr>
          <w:sz w:val="22"/>
          <w:szCs w:val="22"/>
          <w:lang w:val="hu-HU" w:eastAsia="hu-HU"/>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3CA41D21" w14:textId="77777777" w:rsidTr="00913F10">
        <w:trPr>
          <w:jc w:val="center"/>
        </w:trPr>
        <w:tc>
          <w:tcPr>
            <w:tcW w:w="9069" w:type="dxa"/>
            <w:tcBorders>
              <w:top w:val="single" w:sz="2" w:space="0" w:color="000000"/>
              <w:left w:val="single" w:sz="2" w:space="0" w:color="000000"/>
              <w:bottom w:val="single" w:sz="2" w:space="0" w:color="000000"/>
              <w:right w:val="single" w:sz="2" w:space="0" w:color="000000"/>
            </w:tcBorders>
          </w:tcPr>
          <w:p w14:paraId="3169A322" w14:textId="77777777" w:rsidR="00F32BBB" w:rsidRPr="00183B5F" w:rsidRDefault="00943743" w:rsidP="004062FE">
            <w:pPr>
              <w:tabs>
                <w:tab w:val="left" w:pos="142"/>
              </w:tabs>
              <w:spacing w:line="240" w:lineRule="auto"/>
              <w:ind w:left="567" w:hanging="567"/>
              <w:rPr>
                <w:b/>
                <w:szCs w:val="22"/>
              </w:rPr>
            </w:pPr>
            <w:r w:rsidRPr="00183B5F">
              <w:rPr>
                <w:b/>
                <w:szCs w:val="22"/>
              </w:rPr>
              <w:t>3.</w:t>
            </w:r>
            <w:r w:rsidRPr="00183B5F">
              <w:rPr>
                <w:b/>
                <w:szCs w:val="22"/>
              </w:rPr>
              <w:tab/>
              <w:t>SEGÉDANYAGOK FELSOROLÁSA</w:t>
            </w:r>
          </w:p>
        </w:tc>
      </w:tr>
    </w:tbl>
    <w:p w14:paraId="7EFE434A" w14:textId="77777777" w:rsidR="00F32BBB" w:rsidRPr="00183B5F" w:rsidRDefault="00F32BBB" w:rsidP="004062FE">
      <w:pPr>
        <w:spacing w:line="240" w:lineRule="auto"/>
        <w:rPr>
          <w:szCs w:val="22"/>
        </w:rPr>
      </w:pPr>
    </w:p>
    <w:p w14:paraId="7B6878F2" w14:textId="77777777" w:rsidR="00F32BBB" w:rsidRPr="00183B5F" w:rsidRDefault="00943743" w:rsidP="004062FE">
      <w:pPr>
        <w:spacing w:line="240" w:lineRule="auto"/>
        <w:rPr>
          <w:szCs w:val="22"/>
        </w:rPr>
      </w:pPr>
      <w:r w:rsidRPr="00183B5F">
        <w:rPr>
          <w:szCs w:val="22"/>
        </w:rPr>
        <w:t>Segédanyagok: mannit, poliszorbát 80, injekcióhoz való víz. További információkért olvassa el a betegtájékoztatót.</w:t>
      </w:r>
    </w:p>
    <w:p w14:paraId="71F4E0E9" w14:textId="77777777" w:rsidR="00F32BBB" w:rsidRPr="00183B5F" w:rsidRDefault="00F32BBB" w:rsidP="004062FE">
      <w:pPr>
        <w:spacing w:line="240" w:lineRule="auto"/>
        <w:rPr>
          <w:szCs w:val="22"/>
        </w:rPr>
      </w:pPr>
    </w:p>
    <w:p w14:paraId="5A65345E" w14:textId="77777777" w:rsidR="00F32BBB" w:rsidRPr="00183B5F" w:rsidRDefault="00F32BBB"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72044EEC" w14:textId="77777777" w:rsidTr="00913F10">
        <w:trPr>
          <w:jc w:val="center"/>
        </w:trPr>
        <w:tc>
          <w:tcPr>
            <w:tcW w:w="9069" w:type="dxa"/>
            <w:tcBorders>
              <w:top w:val="single" w:sz="2" w:space="0" w:color="000000"/>
              <w:left w:val="single" w:sz="2" w:space="0" w:color="000000"/>
              <w:bottom w:val="single" w:sz="2" w:space="0" w:color="000000"/>
              <w:right w:val="single" w:sz="2" w:space="0" w:color="000000"/>
            </w:tcBorders>
          </w:tcPr>
          <w:p w14:paraId="7796DF60" w14:textId="77777777" w:rsidR="00F32BBB" w:rsidRPr="00183B5F" w:rsidRDefault="00943743" w:rsidP="004062FE">
            <w:pPr>
              <w:tabs>
                <w:tab w:val="left" w:pos="142"/>
              </w:tabs>
              <w:spacing w:line="240" w:lineRule="auto"/>
              <w:ind w:left="567" w:hanging="567"/>
              <w:rPr>
                <w:b/>
                <w:szCs w:val="22"/>
              </w:rPr>
            </w:pPr>
            <w:r w:rsidRPr="00183B5F">
              <w:rPr>
                <w:b/>
                <w:szCs w:val="22"/>
              </w:rPr>
              <w:t>4.</w:t>
            </w:r>
            <w:r w:rsidRPr="00183B5F">
              <w:rPr>
                <w:b/>
                <w:szCs w:val="22"/>
              </w:rPr>
              <w:tab/>
              <w:t>GYÓGYSZERFORMA ÉS TARTALOM</w:t>
            </w:r>
          </w:p>
        </w:tc>
      </w:tr>
    </w:tbl>
    <w:p w14:paraId="2A54A70D" w14:textId="77777777" w:rsidR="00F32BBB" w:rsidRPr="00183B5F" w:rsidRDefault="00F32BBB" w:rsidP="004062FE">
      <w:pPr>
        <w:spacing w:line="240" w:lineRule="auto"/>
        <w:rPr>
          <w:szCs w:val="22"/>
        </w:rPr>
      </w:pPr>
    </w:p>
    <w:p w14:paraId="0C99662F" w14:textId="77777777" w:rsidR="0061386F" w:rsidRPr="00183B5F" w:rsidRDefault="00943743" w:rsidP="0061386F">
      <w:pPr>
        <w:spacing w:line="240" w:lineRule="auto"/>
        <w:rPr>
          <w:szCs w:val="22"/>
        </w:rPr>
      </w:pPr>
      <w:r w:rsidRPr="00183B5F">
        <w:rPr>
          <w:szCs w:val="22"/>
          <w:highlight w:val="lightGray"/>
        </w:rPr>
        <w:t>Oldatos injekció.</w:t>
      </w:r>
    </w:p>
    <w:p w14:paraId="73F1BEFC" w14:textId="77777777" w:rsidR="0061386F" w:rsidRPr="00183B5F" w:rsidRDefault="00943743" w:rsidP="0061386F">
      <w:pPr>
        <w:spacing w:line="240" w:lineRule="auto"/>
        <w:rPr>
          <w:szCs w:val="22"/>
        </w:rPr>
      </w:pPr>
      <w:r w:rsidRPr="00183B5F">
        <w:rPr>
          <w:szCs w:val="22"/>
        </w:rPr>
        <w:t>1 db előretöltött injekciós toll</w:t>
      </w:r>
    </w:p>
    <w:p w14:paraId="1C38C64E" w14:textId="77777777" w:rsidR="0061386F" w:rsidRPr="00183B5F" w:rsidRDefault="00943743" w:rsidP="0061386F">
      <w:pPr>
        <w:spacing w:line="240" w:lineRule="auto"/>
        <w:rPr>
          <w:szCs w:val="22"/>
        </w:rPr>
      </w:pPr>
      <w:r w:rsidRPr="00183B5F">
        <w:rPr>
          <w:szCs w:val="22"/>
        </w:rPr>
        <w:t>2 db alkoholos törlőkendő</w:t>
      </w:r>
    </w:p>
    <w:p w14:paraId="491C6272" w14:textId="77777777" w:rsidR="0061386F" w:rsidRPr="00183B5F" w:rsidRDefault="0061386F" w:rsidP="0061386F">
      <w:pPr>
        <w:spacing w:line="240" w:lineRule="auto"/>
        <w:rPr>
          <w:szCs w:val="22"/>
        </w:rPr>
      </w:pPr>
    </w:p>
    <w:p w14:paraId="60F98D86" w14:textId="77777777" w:rsidR="0061386F" w:rsidRPr="00183B5F" w:rsidRDefault="00943743" w:rsidP="0061386F">
      <w:pPr>
        <w:spacing w:line="240" w:lineRule="auto"/>
        <w:rPr>
          <w:szCs w:val="22"/>
          <w:highlight w:val="lightGray"/>
        </w:rPr>
      </w:pPr>
      <w:r w:rsidRPr="00183B5F">
        <w:rPr>
          <w:szCs w:val="22"/>
          <w:highlight w:val="lightGray"/>
        </w:rPr>
        <w:t>3 db előretöltött injekciós toll</w:t>
      </w:r>
    </w:p>
    <w:p w14:paraId="60B72CE9" w14:textId="77777777" w:rsidR="0061386F" w:rsidRPr="00183B5F" w:rsidRDefault="00943743" w:rsidP="0061386F">
      <w:pPr>
        <w:spacing w:line="240" w:lineRule="auto"/>
        <w:rPr>
          <w:szCs w:val="22"/>
        </w:rPr>
      </w:pPr>
      <w:r w:rsidRPr="00183B5F">
        <w:rPr>
          <w:szCs w:val="22"/>
          <w:highlight w:val="lightGray"/>
        </w:rPr>
        <w:t>4 db alkoholos törlőkendő</w:t>
      </w:r>
    </w:p>
    <w:p w14:paraId="6E42E1AD" w14:textId="77777777" w:rsidR="00F32BBB" w:rsidRPr="00183B5F" w:rsidRDefault="00F32BBB" w:rsidP="004062FE">
      <w:pPr>
        <w:pStyle w:val="EndnoteText"/>
        <w:tabs>
          <w:tab w:val="clear" w:pos="567"/>
        </w:tabs>
        <w:suppressAutoHyphens/>
        <w:rPr>
          <w:sz w:val="22"/>
          <w:szCs w:val="22"/>
          <w:lang w:val="hu-HU" w:eastAsia="hu-HU"/>
        </w:rPr>
      </w:pPr>
    </w:p>
    <w:p w14:paraId="16D88D6E" w14:textId="77777777" w:rsidR="00F32BBB" w:rsidRPr="00183B5F" w:rsidRDefault="00F32BBB"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4F2187B8" w14:textId="77777777" w:rsidTr="00913F10">
        <w:trPr>
          <w:jc w:val="center"/>
        </w:trPr>
        <w:tc>
          <w:tcPr>
            <w:tcW w:w="9069" w:type="dxa"/>
            <w:tcBorders>
              <w:top w:val="single" w:sz="2" w:space="0" w:color="000000"/>
              <w:left w:val="single" w:sz="2" w:space="0" w:color="000000"/>
              <w:bottom w:val="single" w:sz="2" w:space="0" w:color="000000"/>
              <w:right w:val="single" w:sz="2" w:space="0" w:color="000000"/>
            </w:tcBorders>
          </w:tcPr>
          <w:p w14:paraId="0CB677E0" w14:textId="77777777" w:rsidR="00F32BBB" w:rsidRPr="00183B5F" w:rsidRDefault="00943743" w:rsidP="004062FE">
            <w:pPr>
              <w:tabs>
                <w:tab w:val="left" w:pos="142"/>
              </w:tabs>
              <w:spacing w:line="240" w:lineRule="auto"/>
              <w:ind w:left="567" w:hanging="567"/>
              <w:rPr>
                <w:b/>
                <w:szCs w:val="22"/>
              </w:rPr>
            </w:pPr>
            <w:r w:rsidRPr="00183B5F">
              <w:rPr>
                <w:b/>
                <w:szCs w:val="22"/>
              </w:rPr>
              <w:t>5.</w:t>
            </w:r>
            <w:r w:rsidRPr="00183B5F">
              <w:rPr>
                <w:b/>
                <w:szCs w:val="22"/>
              </w:rPr>
              <w:tab/>
              <w:t>AZ ALKALMAZÁSSAL KAPCSOLATOS TUDNIVALÓK ÉS AZ ALKALMAZÁS MÓDJA(I)</w:t>
            </w:r>
          </w:p>
        </w:tc>
      </w:tr>
    </w:tbl>
    <w:p w14:paraId="54607249" w14:textId="77777777" w:rsidR="00F32BBB" w:rsidRPr="00183B5F" w:rsidRDefault="00F32BBB" w:rsidP="004062FE">
      <w:pPr>
        <w:pStyle w:val="EndnoteText"/>
        <w:tabs>
          <w:tab w:val="clear" w:pos="567"/>
        </w:tabs>
        <w:suppressAutoHyphens/>
        <w:rPr>
          <w:sz w:val="22"/>
          <w:szCs w:val="22"/>
          <w:lang w:val="hu-HU" w:eastAsia="hu-HU"/>
        </w:rPr>
      </w:pPr>
    </w:p>
    <w:p w14:paraId="130D4F90" w14:textId="77777777" w:rsidR="00F32BBB" w:rsidRPr="00183B5F" w:rsidRDefault="00943743" w:rsidP="004062FE">
      <w:pPr>
        <w:spacing w:line="240" w:lineRule="auto"/>
        <w:rPr>
          <w:szCs w:val="22"/>
        </w:rPr>
      </w:pPr>
      <w:r w:rsidRPr="00183B5F">
        <w:rPr>
          <w:szCs w:val="22"/>
        </w:rPr>
        <w:t>Bőr alá történő beadásra.</w:t>
      </w:r>
    </w:p>
    <w:p w14:paraId="00B1F027" w14:textId="77777777" w:rsidR="00F32BBB" w:rsidRPr="00183B5F" w:rsidRDefault="00F32BBB" w:rsidP="004062FE">
      <w:pPr>
        <w:spacing w:line="240" w:lineRule="auto"/>
        <w:rPr>
          <w:szCs w:val="22"/>
        </w:rPr>
      </w:pPr>
    </w:p>
    <w:p w14:paraId="4556BB6B" w14:textId="77777777" w:rsidR="00F32BBB" w:rsidRPr="00183B5F" w:rsidRDefault="00943743" w:rsidP="004062FE">
      <w:pPr>
        <w:spacing w:line="240" w:lineRule="auto"/>
        <w:rPr>
          <w:szCs w:val="22"/>
        </w:rPr>
      </w:pPr>
      <w:r w:rsidRPr="00183B5F">
        <w:rPr>
          <w:szCs w:val="22"/>
        </w:rPr>
        <w:t>Használat előtt olvassa el a mellékelt betegtájékoztatót.</w:t>
      </w:r>
    </w:p>
    <w:p w14:paraId="2B60DB01" w14:textId="77777777" w:rsidR="00484F6A" w:rsidRPr="00183B5F" w:rsidRDefault="00484F6A" w:rsidP="004062FE">
      <w:pPr>
        <w:spacing w:line="240" w:lineRule="auto"/>
        <w:rPr>
          <w:szCs w:val="22"/>
        </w:rPr>
      </w:pPr>
    </w:p>
    <w:p w14:paraId="3DBE8038" w14:textId="77777777" w:rsidR="00484F6A" w:rsidRPr="00183B5F" w:rsidRDefault="00943743" w:rsidP="004062FE">
      <w:pPr>
        <w:spacing w:line="240" w:lineRule="auto"/>
        <w:rPr>
          <w:szCs w:val="22"/>
        </w:rPr>
      </w:pPr>
      <w:r w:rsidRPr="00183B5F">
        <w:rPr>
          <w:szCs w:val="22"/>
        </w:rPr>
        <w:t>Kizárólag egyszeri alkalmazásra.</w:t>
      </w:r>
    </w:p>
    <w:p w14:paraId="5049A96D" w14:textId="77777777" w:rsidR="00F32BBB" w:rsidRPr="00183B5F" w:rsidRDefault="00F32BBB" w:rsidP="004062FE">
      <w:pPr>
        <w:spacing w:line="240" w:lineRule="auto"/>
        <w:rPr>
          <w:szCs w:val="22"/>
        </w:rPr>
      </w:pPr>
    </w:p>
    <w:p w14:paraId="34F5A692" w14:textId="77777777" w:rsidR="00F32BBB" w:rsidRPr="00183B5F" w:rsidRDefault="00F32BBB" w:rsidP="004062FE">
      <w:pPr>
        <w:pStyle w:val="EndnoteText"/>
        <w:tabs>
          <w:tab w:val="clear" w:pos="567"/>
        </w:tabs>
        <w:suppressAutoHyphens/>
        <w:rPr>
          <w:sz w:val="22"/>
          <w:szCs w:val="22"/>
          <w:lang w:val="hu-HU" w:eastAsia="hu-HU"/>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675CE25A" w14:textId="77777777" w:rsidTr="00913F10">
        <w:trPr>
          <w:jc w:val="center"/>
        </w:trPr>
        <w:tc>
          <w:tcPr>
            <w:tcW w:w="9069" w:type="dxa"/>
            <w:tcBorders>
              <w:top w:val="single" w:sz="2" w:space="0" w:color="000000"/>
              <w:left w:val="single" w:sz="2" w:space="0" w:color="000000"/>
              <w:bottom w:val="single" w:sz="2" w:space="0" w:color="000000"/>
              <w:right w:val="single" w:sz="2" w:space="0" w:color="000000"/>
            </w:tcBorders>
          </w:tcPr>
          <w:p w14:paraId="4F03FF10" w14:textId="77777777" w:rsidR="00F32BBB" w:rsidRPr="00183B5F" w:rsidRDefault="00943743" w:rsidP="004062FE">
            <w:pPr>
              <w:tabs>
                <w:tab w:val="left" w:pos="142"/>
              </w:tabs>
              <w:spacing w:line="240" w:lineRule="auto"/>
              <w:ind w:left="567" w:hanging="567"/>
              <w:rPr>
                <w:b/>
                <w:szCs w:val="22"/>
              </w:rPr>
            </w:pPr>
            <w:r w:rsidRPr="00183B5F">
              <w:rPr>
                <w:b/>
                <w:szCs w:val="22"/>
              </w:rPr>
              <w:t>6.</w:t>
            </w:r>
            <w:r w:rsidRPr="00183B5F">
              <w:rPr>
                <w:b/>
                <w:szCs w:val="22"/>
              </w:rPr>
              <w:tab/>
              <w:t>KÜLÖN FIGYELMEZTETÉS, MELY SZERINT A GYÓGYSZERT GYERMEKEKTŐL ELZÁRVA KELL TARTANI</w:t>
            </w:r>
          </w:p>
        </w:tc>
      </w:tr>
    </w:tbl>
    <w:p w14:paraId="716472DB" w14:textId="77777777" w:rsidR="00F32BBB" w:rsidRPr="00183B5F" w:rsidRDefault="00F32BBB" w:rsidP="004062FE">
      <w:pPr>
        <w:spacing w:line="240" w:lineRule="auto"/>
        <w:rPr>
          <w:szCs w:val="22"/>
        </w:rPr>
      </w:pPr>
    </w:p>
    <w:p w14:paraId="3597256F" w14:textId="77777777" w:rsidR="00F32BBB" w:rsidRPr="00183B5F" w:rsidRDefault="00943743" w:rsidP="004062FE">
      <w:pPr>
        <w:spacing w:line="240" w:lineRule="auto"/>
        <w:rPr>
          <w:szCs w:val="22"/>
        </w:rPr>
      </w:pPr>
      <w:r w:rsidRPr="00183B5F">
        <w:rPr>
          <w:szCs w:val="22"/>
        </w:rPr>
        <w:t>A gyógyszer gyermekektől elzárva tartandó.</w:t>
      </w:r>
    </w:p>
    <w:p w14:paraId="0283E021" w14:textId="77777777" w:rsidR="00F32BBB" w:rsidRPr="00183B5F" w:rsidRDefault="00F32BBB" w:rsidP="004062FE">
      <w:pPr>
        <w:spacing w:line="240" w:lineRule="auto"/>
        <w:rPr>
          <w:szCs w:val="22"/>
        </w:rPr>
      </w:pPr>
    </w:p>
    <w:p w14:paraId="183A0C6F" w14:textId="77777777" w:rsidR="00F32BBB" w:rsidRPr="00183B5F" w:rsidRDefault="00F32BBB"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27C94125" w14:textId="77777777" w:rsidTr="00913F10">
        <w:trPr>
          <w:jc w:val="center"/>
        </w:trPr>
        <w:tc>
          <w:tcPr>
            <w:tcW w:w="9069" w:type="dxa"/>
            <w:tcBorders>
              <w:top w:val="single" w:sz="2" w:space="0" w:color="000000"/>
              <w:left w:val="single" w:sz="2" w:space="0" w:color="000000"/>
              <w:bottom w:val="single" w:sz="2" w:space="0" w:color="000000"/>
              <w:right w:val="single" w:sz="2" w:space="0" w:color="000000"/>
            </w:tcBorders>
          </w:tcPr>
          <w:p w14:paraId="05FBCBE2" w14:textId="77777777" w:rsidR="00F32BBB" w:rsidRPr="00183B5F" w:rsidRDefault="00943743" w:rsidP="004062FE">
            <w:pPr>
              <w:tabs>
                <w:tab w:val="left" w:pos="142"/>
              </w:tabs>
              <w:spacing w:line="240" w:lineRule="auto"/>
              <w:ind w:left="567" w:hanging="567"/>
              <w:rPr>
                <w:b/>
                <w:szCs w:val="22"/>
              </w:rPr>
            </w:pPr>
            <w:r w:rsidRPr="00183B5F">
              <w:rPr>
                <w:b/>
                <w:szCs w:val="22"/>
              </w:rPr>
              <w:t>7.</w:t>
            </w:r>
            <w:r w:rsidRPr="00183B5F">
              <w:rPr>
                <w:b/>
                <w:szCs w:val="22"/>
              </w:rPr>
              <w:tab/>
              <w:t>TOVÁBBI FIGYELMEZTETÉS(EK), AMENNYIBEN SZÜKSÉGES</w:t>
            </w:r>
          </w:p>
        </w:tc>
      </w:tr>
    </w:tbl>
    <w:p w14:paraId="6ED4EA13" w14:textId="77777777" w:rsidR="00F32BBB" w:rsidRPr="00183B5F" w:rsidRDefault="00F32BBB" w:rsidP="004062FE">
      <w:pPr>
        <w:spacing w:line="240" w:lineRule="auto"/>
        <w:rPr>
          <w:szCs w:val="22"/>
        </w:rPr>
      </w:pPr>
    </w:p>
    <w:p w14:paraId="7924DF99" w14:textId="77777777" w:rsidR="00F32BBB" w:rsidRPr="00183B5F" w:rsidRDefault="00F32BBB" w:rsidP="004062FE">
      <w:pPr>
        <w:spacing w:line="240" w:lineRule="auto"/>
        <w:rPr>
          <w:szCs w:val="22"/>
        </w:rPr>
      </w:pPr>
    </w:p>
    <w:p w14:paraId="16A2E4CC" w14:textId="77777777" w:rsidR="00F32BBB" w:rsidRPr="00183B5F" w:rsidRDefault="00F32BBB"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E7FB10F" w14:textId="77777777" w:rsidTr="00913F10">
        <w:trPr>
          <w:jc w:val="center"/>
        </w:trPr>
        <w:tc>
          <w:tcPr>
            <w:tcW w:w="9069" w:type="dxa"/>
            <w:tcBorders>
              <w:top w:val="single" w:sz="2" w:space="0" w:color="000000"/>
              <w:left w:val="single" w:sz="2" w:space="0" w:color="000000"/>
              <w:bottom w:val="single" w:sz="2" w:space="0" w:color="000000"/>
              <w:right w:val="single" w:sz="2" w:space="0" w:color="000000"/>
            </w:tcBorders>
          </w:tcPr>
          <w:p w14:paraId="02303576" w14:textId="77777777" w:rsidR="00F32BBB" w:rsidRPr="00183B5F" w:rsidRDefault="00943743" w:rsidP="004062FE">
            <w:pPr>
              <w:tabs>
                <w:tab w:val="left" w:pos="142"/>
              </w:tabs>
              <w:spacing w:line="240" w:lineRule="auto"/>
              <w:ind w:left="567" w:hanging="567"/>
              <w:rPr>
                <w:b/>
                <w:szCs w:val="22"/>
              </w:rPr>
            </w:pPr>
            <w:r w:rsidRPr="00183B5F">
              <w:rPr>
                <w:b/>
                <w:szCs w:val="22"/>
              </w:rPr>
              <w:t>8.</w:t>
            </w:r>
            <w:r w:rsidRPr="00183B5F">
              <w:rPr>
                <w:b/>
                <w:szCs w:val="22"/>
              </w:rPr>
              <w:tab/>
              <w:t>LEJÁRATI IDŐ</w:t>
            </w:r>
          </w:p>
        </w:tc>
      </w:tr>
    </w:tbl>
    <w:p w14:paraId="53B840FA" w14:textId="77777777" w:rsidR="00F32BBB" w:rsidRPr="00183B5F" w:rsidRDefault="00F32BBB" w:rsidP="004062FE">
      <w:pPr>
        <w:spacing w:line="240" w:lineRule="auto"/>
        <w:rPr>
          <w:szCs w:val="22"/>
        </w:rPr>
      </w:pPr>
    </w:p>
    <w:p w14:paraId="5EA18DF6" w14:textId="77777777" w:rsidR="00F32BBB" w:rsidRPr="00183B5F" w:rsidRDefault="00943743" w:rsidP="004062FE">
      <w:pPr>
        <w:spacing w:line="240" w:lineRule="auto"/>
        <w:rPr>
          <w:szCs w:val="22"/>
        </w:rPr>
      </w:pPr>
      <w:r w:rsidRPr="00183B5F">
        <w:rPr>
          <w:szCs w:val="22"/>
        </w:rPr>
        <w:t>EXP</w:t>
      </w:r>
    </w:p>
    <w:p w14:paraId="76CFF9B8" w14:textId="01F300CE" w:rsidR="00F32BBB" w:rsidRPr="00183B5F" w:rsidRDefault="00F32BBB" w:rsidP="004062FE">
      <w:pPr>
        <w:spacing w:line="240" w:lineRule="auto"/>
        <w:rPr>
          <w:del w:id="9847" w:author="AbbVie_HU_04" w:date="2025-05-15T12:00:00Z"/>
          <w:szCs w:val="22"/>
        </w:rPr>
      </w:pPr>
    </w:p>
    <w:p w14:paraId="23AC0281" w14:textId="77777777" w:rsidR="00F32BBB" w:rsidRPr="00183B5F" w:rsidRDefault="00F32BBB"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3673FE42" w14:textId="77777777" w:rsidTr="00913F10">
        <w:trPr>
          <w:jc w:val="center"/>
        </w:trPr>
        <w:tc>
          <w:tcPr>
            <w:tcW w:w="9069" w:type="dxa"/>
            <w:tcBorders>
              <w:top w:val="single" w:sz="2" w:space="0" w:color="000000"/>
              <w:left w:val="single" w:sz="2" w:space="0" w:color="000000"/>
              <w:bottom w:val="single" w:sz="2" w:space="0" w:color="000000"/>
              <w:right w:val="single" w:sz="2" w:space="0" w:color="000000"/>
            </w:tcBorders>
          </w:tcPr>
          <w:p w14:paraId="18E8CFAE" w14:textId="77777777" w:rsidR="00F32BBB" w:rsidRPr="00183B5F" w:rsidRDefault="00943743" w:rsidP="004062FE">
            <w:pPr>
              <w:keepNext/>
              <w:tabs>
                <w:tab w:val="left" w:pos="142"/>
              </w:tabs>
              <w:spacing w:line="240" w:lineRule="auto"/>
              <w:ind w:left="567" w:hanging="567"/>
              <w:rPr>
                <w:b/>
                <w:szCs w:val="22"/>
              </w:rPr>
            </w:pPr>
            <w:r w:rsidRPr="00183B5F">
              <w:rPr>
                <w:b/>
                <w:szCs w:val="22"/>
              </w:rPr>
              <w:t>9.</w:t>
            </w:r>
            <w:r w:rsidRPr="00183B5F">
              <w:rPr>
                <w:b/>
                <w:szCs w:val="22"/>
              </w:rPr>
              <w:tab/>
              <w:t>KÜLÖNLEGES TÁROLÁSI ELŐÍRÁSOK</w:t>
            </w:r>
          </w:p>
        </w:tc>
      </w:tr>
    </w:tbl>
    <w:p w14:paraId="1AEDFEB9" w14:textId="77777777" w:rsidR="00F32BBB" w:rsidRPr="00183B5F" w:rsidRDefault="00F32BBB" w:rsidP="004062FE">
      <w:pPr>
        <w:keepNext/>
        <w:spacing w:line="240" w:lineRule="auto"/>
        <w:rPr>
          <w:szCs w:val="22"/>
        </w:rPr>
      </w:pPr>
    </w:p>
    <w:p w14:paraId="3751C365" w14:textId="77777777" w:rsidR="00F32BBB" w:rsidRPr="00183B5F" w:rsidRDefault="00943743" w:rsidP="004062FE">
      <w:pPr>
        <w:keepNext/>
        <w:spacing w:line="240" w:lineRule="auto"/>
        <w:rPr>
          <w:szCs w:val="22"/>
        </w:rPr>
      </w:pPr>
      <w:r w:rsidRPr="00183B5F">
        <w:rPr>
          <w:szCs w:val="22"/>
        </w:rPr>
        <w:t>Hűtőszekrényben</w:t>
      </w:r>
      <w:r w:rsidR="0029015E" w:rsidRPr="00183B5F">
        <w:rPr>
          <w:szCs w:val="22"/>
        </w:rPr>
        <w:t xml:space="preserve"> </w:t>
      </w:r>
      <w:r w:rsidRPr="00183B5F">
        <w:rPr>
          <w:szCs w:val="22"/>
        </w:rPr>
        <w:t>tárolandó. Nem fagyasztható!</w:t>
      </w:r>
    </w:p>
    <w:p w14:paraId="56C1B868" w14:textId="77777777" w:rsidR="00F32BBB" w:rsidRPr="00183B5F" w:rsidRDefault="00943743" w:rsidP="004062FE">
      <w:pPr>
        <w:keepNext/>
        <w:spacing w:line="240" w:lineRule="auto"/>
        <w:rPr>
          <w:szCs w:val="22"/>
        </w:rPr>
      </w:pPr>
      <w:r w:rsidRPr="00183B5F">
        <w:rPr>
          <w:szCs w:val="22"/>
        </w:rPr>
        <w:t>További információkért olvassa el a betegtájékoztatót.</w:t>
      </w:r>
    </w:p>
    <w:p w14:paraId="60CC48E4" w14:textId="77777777" w:rsidR="00F32BBB" w:rsidRPr="00183B5F" w:rsidRDefault="00F32BBB" w:rsidP="004062FE">
      <w:pPr>
        <w:keepNext/>
        <w:spacing w:line="240" w:lineRule="auto"/>
        <w:rPr>
          <w:szCs w:val="22"/>
        </w:rPr>
      </w:pPr>
    </w:p>
    <w:p w14:paraId="18154E3D" w14:textId="77777777" w:rsidR="00F32BBB" w:rsidRPr="00183B5F" w:rsidRDefault="00943743" w:rsidP="004062FE">
      <w:pPr>
        <w:spacing w:line="240" w:lineRule="auto"/>
        <w:rPr>
          <w:szCs w:val="22"/>
        </w:rPr>
      </w:pPr>
      <w:r w:rsidRPr="00183B5F">
        <w:rPr>
          <w:szCs w:val="22"/>
        </w:rPr>
        <w:t>A fénytől való védelem érdekében az előretöltött injekciós toll az eredeti dobozban tárolandó.</w:t>
      </w:r>
    </w:p>
    <w:p w14:paraId="046733DC" w14:textId="77777777" w:rsidR="00F32BBB" w:rsidRPr="00183B5F" w:rsidRDefault="00F32BBB" w:rsidP="004062FE">
      <w:pPr>
        <w:spacing w:line="240" w:lineRule="auto"/>
        <w:rPr>
          <w:szCs w:val="22"/>
        </w:rPr>
      </w:pPr>
    </w:p>
    <w:p w14:paraId="063D2D28" w14:textId="77777777" w:rsidR="00F32BBB" w:rsidRPr="00183B5F" w:rsidRDefault="00F32BBB"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5AEF789D" w14:textId="77777777" w:rsidTr="00913F10">
        <w:trPr>
          <w:jc w:val="center"/>
        </w:trPr>
        <w:tc>
          <w:tcPr>
            <w:tcW w:w="9069" w:type="dxa"/>
            <w:tcBorders>
              <w:top w:val="single" w:sz="2" w:space="0" w:color="000000"/>
              <w:left w:val="single" w:sz="2" w:space="0" w:color="000000"/>
              <w:bottom w:val="single" w:sz="2" w:space="0" w:color="000000"/>
              <w:right w:val="single" w:sz="2" w:space="0" w:color="000000"/>
            </w:tcBorders>
          </w:tcPr>
          <w:p w14:paraId="73FA0DC7" w14:textId="77777777" w:rsidR="00F32BBB" w:rsidRPr="00183B5F" w:rsidRDefault="00943743" w:rsidP="004062FE">
            <w:pPr>
              <w:tabs>
                <w:tab w:val="left" w:pos="142"/>
              </w:tabs>
              <w:spacing w:line="240" w:lineRule="auto"/>
              <w:ind w:left="567" w:hanging="567"/>
              <w:rPr>
                <w:b/>
                <w:szCs w:val="22"/>
              </w:rPr>
            </w:pPr>
            <w:r w:rsidRPr="00183B5F">
              <w:rPr>
                <w:b/>
                <w:szCs w:val="22"/>
              </w:rPr>
              <w:t>10.</w:t>
            </w:r>
            <w:r w:rsidRPr="00183B5F">
              <w:rPr>
                <w:b/>
                <w:szCs w:val="22"/>
              </w:rPr>
              <w:tab/>
              <w:t>KÜLÖNLEGES ÓVINTÉZKEDÉSEK A FEL NEM HASZNÁLT GYÓGYSZEREK VAGY AZ ILYEN TERMÉKEKBŐL KELETKEZETT HULLADÉKANYAGOK ÁRTALMATLANNÁ TÉTELÉRE, HA ILYENEKRE SZÜKSÉG VAN</w:t>
            </w:r>
          </w:p>
        </w:tc>
      </w:tr>
    </w:tbl>
    <w:p w14:paraId="2FF2F97A" w14:textId="77777777" w:rsidR="00F32BBB" w:rsidRPr="00183B5F" w:rsidRDefault="00F32BBB" w:rsidP="004062FE">
      <w:pPr>
        <w:spacing w:line="240" w:lineRule="auto"/>
        <w:rPr>
          <w:szCs w:val="22"/>
        </w:rPr>
      </w:pPr>
    </w:p>
    <w:p w14:paraId="17597A04" w14:textId="77777777" w:rsidR="00F32BBB" w:rsidRPr="00183B5F" w:rsidRDefault="00F32BBB"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535D9999" w14:textId="77777777" w:rsidTr="00913F10">
        <w:trPr>
          <w:jc w:val="center"/>
        </w:trPr>
        <w:tc>
          <w:tcPr>
            <w:tcW w:w="9069" w:type="dxa"/>
            <w:tcBorders>
              <w:top w:val="single" w:sz="2" w:space="0" w:color="000000"/>
              <w:left w:val="single" w:sz="2" w:space="0" w:color="000000"/>
              <w:bottom w:val="single" w:sz="2" w:space="0" w:color="000000"/>
              <w:right w:val="single" w:sz="2" w:space="0" w:color="000000"/>
            </w:tcBorders>
          </w:tcPr>
          <w:p w14:paraId="5EAAA3DF" w14:textId="77777777" w:rsidR="00F32BBB" w:rsidRPr="00183B5F" w:rsidRDefault="00943743" w:rsidP="004062FE">
            <w:pPr>
              <w:tabs>
                <w:tab w:val="left" w:pos="142"/>
              </w:tabs>
              <w:spacing w:line="240" w:lineRule="auto"/>
              <w:ind w:left="567" w:hanging="567"/>
              <w:rPr>
                <w:b/>
                <w:szCs w:val="22"/>
              </w:rPr>
            </w:pPr>
            <w:r w:rsidRPr="00183B5F">
              <w:rPr>
                <w:b/>
                <w:szCs w:val="22"/>
              </w:rPr>
              <w:t>11.</w:t>
            </w:r>
            <w:r w:rsidRPr="00183B5F">
              <w:rPr>
                <w:b/>
                <w:szCs w:val="22"/>
              </w:rPr>
              <w:tab/>
              <w:t>A FORGALOMBA HOZATALI ENGEDÉLY JOGOSULTJÁNAK NEVE ÉS CÍME</w:t>
            </w:r>
          </w:p>
        </w:tc>
      </w:tr>
    </w:tbl>
    <w:p w14:paraId="48DA5886" w14:textId="77777777" w:rsidR="00F32BBB" w:rsidRPr="00183B5F" w:rsidRDefault="00F32BBB" w:rsidP="004062FE">
      <w:pPr>
        <w:spacing w:line="240" w:lineRule="auto"/>
        <w:rPr>
          <w:szCs w:val="22"/>
        </w:rPr>
      </w:pPr>
    </w:p>
    <w:p w14:paraId="7B82F3A1"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AbbVie Deutschland GmbH &amp; Co. KG</w:t>
      </w:r>
    </w:p>
    <w:p w14:paraId="69C9575B"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Knollstrasse</w:t>
      </w:r>
    </w:p>
    <w:p w14:paraId="6C291F3D"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67061 Ludwigshafen</w:t>
      </w:r>
    </w:p>
    <w:p w14:paraId="00A0578F"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 xml:space="preserve">Németország </w:t>
      </w:r>
    </w:p>
    <w:p w14:paraId="224BA7BF" w14:textId="77777777" w:rsidR="00F32BBB" w:rsidRPr="00183B5F" w:rsidRDefault="00F32BBB" w:rsidP="004062FE">
      <w:pPr>
        <w:spacing w:line="240" w:lineRule="auto"/>
        <w:rPr>
          <w:szCs w:val="22"/>
        </w:rPr>
      </w:pPr>
    </w:p>
    <w:p w14:paraId="4B6F16F7" w14:textId="77777777" w:rsidR="00F32BBB" w:rsidRPr="00183B5F" w:rsidRDefault="00F32BBB" w:rsidP="004062FE">
      <w:pPr>
        <w:pStyle w:val="EndnoteText"/>
        <w:tabs>
          <w:tab w:val="clear" w:pos="567"/>
        </w:tabs>
        <w:suppressAutoHyphens/>
        <w:rPr>
          <w:sz w:val="22"/>
          <w:szCs w:val="22"/>
          <w:lang w:val="hu-HU" w:eastAsia="hu-HU"/>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0A26D5F4" w14:textId="77777777" w:rsidTr="00913F10">
        <w:trPr>
          <w:jc w:val="center"/>
        </w:trPr>
        <w:tc>
          <w:tcPr>
            <w:tcW w:w="9069" w:type="dxa"/>
            <w:tcBorders>
              <w:top w:val="single" w:sz="2" w:space="0" w:color="000000"/>
              <w:left w:val="single" w:sz="2" w:space="0" w:color="000000"/>
              <w:bottom w:val="single" w:sz="2" w:space="0" w:color="000000"/>
              <w:right w:val="single" w:sz="2" w:space="0" w:color="000000"/>
            </w:tcBorders>
          </w:tcPr>
          <w:p w14:paraId="7FD0D921" w14:textId="77777777" w:rsidR="00F32BBB" w:rsidRPr="00183B5F" w:rsidRDefault="00943743" w:rsidP="004062FE">
            <w:pPr>
              <w:tabs>
                <w:tab w:val="left" w:pos="142"/>
              </w:tabs>
              <w:spacing w:line="240" w:lineRule="auto"/>
              <w:ind w:left="567" w:hanging="567"/>
              <w:rPr>
                <w:b/>
                <w:szCs w:val="22"/>
              </w:rPr>
            </w:pPr>
            <w:r w:rsidRPr="00183B5F">
              <w:rPr>
                <w:b/>
                <w:szCs w:val="22"/>
              </w:rPr>
              <w:t>12.</w:t>
            </w:r>
            <w:r w:rsidRPr="00183B5F">
              <w:rPr>
                <w:b/>
                <w:szCs w:val="22"/>
              </w:rPr>
              <w:tab/>
              <w:t>A FORGALOMBA HOZATALI ENGEDÉLY SZÁMA(I)</w:t>
            </w:r>
          </w:p>
        </w:tc>
      </w:tr>
    </w:tbl>
    <w:p w14:paraId="0EEABB00" w14:textId="77777777" w:rsidR="00F32BBB" w:rsidRPr="00183B5F" w:rsidRDefault="00F32BBB" w:rsidP="004062FE">
      <w:pPr>
        <w:pStyle w:val="EndnoteText"/>
        <w:tabs>
          <w:tab w:val="clear" w:pos="567"/>
        </w:tabs>
        <w:suppressAutoHyphens/>
        <w:rPr>
          <w:sz w:val="22"/>
          <w:szCs w:val="22"/>
          <w:lang w:val="hu-HU"/>
        </w:rPr>
      </w:pPr>
    </w:p>
    <w:p w14:paraId="5E149BCE" w14:textId="77777777" w:rsidR="00F32BBB" w:rsidRPr="00183B5F" w:rsidRDefault="00943743" w:rsidP="004062FE">
      <w:pPr>
        <w:spacing w:line="240" w:lineRule="auto"/>
        <w:ind w:left="540" w:hanging="540"/>
      </w:pPr>
      <w:r w:rsidRPr="00183B5F">
        <w:t>EU/1/03/256/021</w:t>
      </w:r>
    </w:p>
    <w:p w14:paraId="57AA1F80" w14:textId="77777777" w:rsidR="0061386F" w:rsidRPr="00183B5F" w:rsidRDefault="00943743" w:rsidP="007B0C79">
      <w:pPr>
        <w:ind w:left="540" w:hanging="540"/>
      </w:pPr>
      <w:r w:rsidRPr="00183B5F">
        <w:rPr>
          <w:highlight w:val="lightGray"/>
        </w:rPr>
        <w:t>EU/1/03/256/027</w:t>
      </w:r>
    </w:p>
    <w:p w14:paraId="34876065" w14:textId="77777777" w:rsidR="00F32BBB" w:rsidRPr="00183B5F" w:rsidRDefault="00F32BBB" w:rsidP="004062FE">
      <w:pPr>
        <w:spacing w:line="240" w:lineRule="auto"/>
        <w:rPr>
          <w:szCs w:val="22"/>
        </w:rPr>
      </w:pPr>
    </w:p>
    <w:p w14:paraId="4889D5F0" w14:textId="77777777" w:rsidR="0061386F" w:rsidRPr="00183B5F" w:rsidRDefault="0061386F"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5B26B547" w14:textId="77777777" w:rsidTr="00913F10">
        <w:trPr>
          <w:jc w:val="center"/>
        </w:trPr>
        <w:tc>
          <w:tcPr>
            <w:tcW w:w="9069" w:type="dxa"/>
            <w:tcBorders>
              <w:top w:val="single" w:sz="2" w:space="0" w:color="000000"/>
              <w:left w:val="single" w:sz="2" w:space="0" w:color="000000"/>
              <w:bottom w:val="single" w:sz="2" w:space="0" w:color="000000"/>
              <w:right w:val="single" w:sz="2" w:space="0" w:color="000000"/>
            </w:tcBorders>
          </w:tcPr>
          <w:p w14:paraId="6AE12A75" w14:textId="77777777" w:rsidR="00F32BBB" w:rsidRPr="00183B5F" w:rsidRDefault="00943743" w:rsidP="004062FE">
            <w:pPr>
              <w:tabs>
                <w:tab w:val="left" w:pos="142"/>
              </w:tabs>
              <w:spacing w:line="240" w:lineRule="auto"/>
              <w:ind w:left="567" w:hanging="567"/>
              <w:rPr>
                <w:b/>
                <w:szCs w:val="22"/>
              </w:rPr>
            </w:pPr>
            <w:r w:rsidRPr="00183B5F">
              <w:rPr>
                <w:b/>
                <w:szCs w:val="22"/>
              </w:rPr>
              <w:t>13.</w:t>
            </w:r>
            <w:r w:rsidRPr="00183B5F">
              <w:rPr>
                <w:b/>
                <w:szCs w:val="22"/>
              </w:rPr>
              <w:tab/>
            </w:r>
            <w:r w:rsidRPr="00183B5F">
              <w:rPr>
                <w:b/>
                <w:szCs w:val="22"/>
              </w:rPr>
              <w:t>A GYÁRTÁSI TÉTEL SZÁMA</w:t>
            </w:r>
          </w:p>
        </w:tc>
      </w:tr>
    </w:tbl>
    <w:p w14:paraId="7705387C" w14:textId="77777777" w:rsidR="00F32BBB" w:rsidRPr="00183B5F" w:rsidRDefault="00F32BBB" w:rsidP="004062FE">
      <w:pPr>
        <w:spacing w:line="240" w:lineRule="auto"/>
        <w:rPr>
          <w:szCs w:val="22"/>
        </w:rPr>
      </w:pPr>
    </w:p>
    <w:p w14:paraId="1E54E921" w14:textId="77777777" w:rsidR="00F32BBB" w:rsidRPr="00183B5F" w:rsidRDefault="00943743" w:rsidP="004062FE">
      <w:pPr>
        <w:spacing w:line="240" w:lineRule="auto"/>
        <w:rPr>
          <w:szCs w:val="22"/>
        </w:rPr>
      </w:pPr>
      <w:r w:rsidRPr="00183B5F">
        <w:rPr>
          <w:szCs w:val="22"/>
        </w:rPr>
        <w:t>Lot</w:t>
      </w:r>
    </w:p>
    <w:p w14:paraId="3A806909" w14:textId="77777777" w:rsidR="00F32BBB" w:rsidRPr="00183B5F" w:rsidRDefault="00F32BBB" w:rsidP="004062FE">
      <w:pPr>
        <w:spacing w:line="240" w:lineRule="auto"/>
        <w:rPr>
          <w:szCs w:val="22"/>
        </w:rPr>
      </w:pPr>
    </w:p>
    <w:p w14:paraId="6B4A5423" w14:textId="77777777" w:rsidR="00F32BBB" w:rsidRPr="00183B5F" w:rsidRDefault="00F32BBB"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6A907ABA" w14:textId="77777777" w:rsidTr="00913F10">
        <w:trPr>
          <w:jc w:val="center"/>
        </w:trPr>
        <w:tc>
          <w:tcPr>
            <w:tcW w:w="9069" w:type="dxa"/>
            <w:tcBorders>
              <w:top w:val="single" w:sz="2" w:space="0" w:color="000000"/>
              <w:left w:val="single" w:sz="2" w:space="0" w:color="000000"/>
              <w:bottom w:val="single" w:sz="2" w:space="0" w:color="000000"/>
              <w:right w:val="single" w:sz="2" w:space="0" w:color="000000"/>
            </w:tcBorders>
          </w:tcPr>
          <w:p w14:paraId="1D8AA2B3" w14:textId="6F6A915C" w:rsidR="00F32BBB" w:rsidRPr="00183B5F" w:rsidRDefault="00943743" w:rsidP="004062FE">
            <w:pPr>
              <w:tabs>
                <w:tab w:val="left" w:pos="142"/>
              </w:tabs>
              <w:spacing w:line="240" w:lineRule="auto"/>
              <w:ind w:left="567" w:hanging="567"/>
              <w:rPr>
                <w:b/>
                <w:szCs w:val="22"/>
              </w:rPr>
            </w:pPr>
            <w:r w:rsidRPr="00183B5F">
              <w:rPr>
                <w:b/>
                <w:szCs w:val="22"/>
              </w:rPr>
              <w:t>14.</w:t>
            </w:r>
            <w:r w:rsidRPr="00183B5F">
              <w:rPr>
                <w:b/>
                <w:szCs w:val="22"/>
              </w:rPr>
              <w:tab/>
              <w:t xml:space="preserve">A GYÓGYSZER </w:t>
            </w:r>
            <w:ins w:id="9848" w:author="AbbVie_HU_03" w:date="2025-05-14T16:23:00Z">
              <w:r w:rsidR="00511721" w:rsidRPr="00BA324A">
                <w:rPr>
                  <w:b/>
                  <w:noProof/>
                </w:rPr>
                <w:t xml:space="preserve">ÁLTALÁNOS BESOROLÁSA </w:t>
              </w:r>
            </w:ins>
            <w:r w:rsidRPr="00183B5F">
              <w:rPr>
                <w:b/>
                <w:szCs w:val="22"/>
              </w:rPr>
              <w:t>RENDELHETŐSÉG</w:t>
            </w:r>
            <w:del w:id="9849" w:author="AbbVie_HU_03" w:date="2025-05-14T16:23:00Z">
              <w:r w:rsidRPr="00183B5F">
                <w:rPr>
                  <w:b/>
                  <w:szCs w:val="22"/>
                </w:rPr>
                <w:delText>E</w:delText>
              </w:r>
            </w:del>
            <w:ins w:id="9850" w:author="AbbVie_HU_03" w:date="2025-05-14T16:23:00Z">
              <w:r w:rsidR="00511721">
                <w:rPr>
                  <w:b/>
                  <w:szCs w:val="22"/>
                </w:rPr>
                <w:t xml:space="preserve"> SZEMPONTJÁBÓL</w:t>
              </w:r>
            </w:ins>
          </w:p>
        </w:tc>
      </w:tr>
    </w:tbl>
    <w:p w14:paraId="43C11945" w14:textId="77777777" w:rsidR="00F32BBB" w:rsidRPr="00183B5F" w:rsidRDefault="00F32BBB" w:rsidP="004062FE">
      <w:pPr>
        <w:spacing w:line="240" w:lineRule="auto"/>
        <w:rPr>
          <w:szCs w:val="22"/>
        </w:rPr>
      </w:pPr>
    </w:p>
    <w:p w14:paraId="61F354E4" w14:textId="77777777" w:rsidR="00F32BBB" w:rsidRPr="00183B5F" w:rsidRDefault="00F32BBB"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2F8D722A" w14:textId="77777777" w:rsidTr="00913F10">
        <w:trPr>
          <w:jc w:val="center"/>
        </w:trPr>
        <w:tc>
          <w:tcPr>
            <w:tcW w:w="9069" w:type="dxa"/>
            <w:tcBorders>
              <w:top w:val="single" w:sz="2" w:space="0" w:color="000000"/>
              <w:left w:val="single" w:sz="2" w:space="0" w:color="000000"/>
              <w:bottom w:val="single" w:sz="2" w:space="0" w:color="000000"/>
              <w:right w:val="single" w:sz="2" w:space="0" w:color="000000"/>
            </w:tcBorders>
          </w:tcPr>
          <w:p w14:paraId="4F0C8D16" w14:textId="77777777" w:rsidR="00F32BBB" w:rsidRPr="00183B5F" w:rsidRDefault="00943743" w:rsidP="004062FE">
            <w:pPr>
              <w:tabs>
                <w:tab w:val="left" w:pos="142"/>
              </w:tabs>
              <w:spacing w:line="240" w:lineRule="auto"/>
              <w:ind w:left="567" w:hanging="567"/>
              <w:rPr>
                <w:b/>
                <w:szCs w:val="22"/>
              </w:rPr>
            </w:pPr>
            <w:r w:rsidRPr="00183B5F">
              <w:rPr>
                <w:b/>
                <w:szCs w:val="22"/>
              </w:rPr>
              <w:t>15.</w:t>
            </w:r>
            <w:r w:rsidRPr="00183B5F">
              <w:rPr>
                <w:b/>
                <w:szCs w:val="22"/>
              </w:rPr>
              <w:tab/>
              <w:t>AZ ALKALMAZÁSRA VONATKOZÓ UTASÍTÁSOK</w:t>
            </w:r>
          </w:p>
        </w:tc>
      </w:tr>
    </w:tbl>
    <w:p w14:paraId="606181AF" w14:textId="77777777" w:rsidR="00F32BBB" w:rsidRPr="00183B5F" w:rsidRDefault="00F32BBB" w:rsidP="004062FE">
      <w:pPr>
        <w:spacing w:line="240" w:lineRule="auto"/>
        <w:rPr>
          <w:szCs w:val="22"/>
        </w:rPr>
      </w:pPr>
    </w:p>
    <w:p w14:paraId="17B8FAE8" w14:textId="77777777" w:rsidR="00F32BBB" w:rsidRPr="00183B5F" w:rsidRDefault="00F32BBB"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3F1F7ACB" w14:textId="77777777" w:rsidTr="00913F10">
        <w:trPr>
          <w:jc w:val="center"/>
        </w:trPr>
        <w:tc>
          <w:tcPr>
            <w:tcW w:w="9069" w:type="dxa"/>
            <w:tcBorders>
              <w:top w:val="single" w:sz="2" w:space="0" w:color="000000"/>
              <w:left w:val="single" w:sz="2" w:space="0" w:color="000000"/>
              <w:bottom w:val="single" w:sz="2" w:space="0" w:color="000000"/>
              <w:right w:val="single" w:sz="2" w:space="0" w:color="000000"/>
            </w:tcBorders>
          </w:tcPr>
          <w:p w14:paraId="2E7E5213" w14:textId="77777777" w:rsidR="00F32BBB" w:rsidRPr="00183B5F" w:rsidRDefault="00943743" w:rsidP="004062FE">
            <w:pPr>
              <w:tabs>
                <w:tab w:val="left" w:pos="142"/>
              </w:tabs>
              <w:spacing w:line="240" w:lineRule="auto"/>
              <w:ind w:left="567" w:hanging="567"/>
              <w:rPr>
                <w:b/>
                <w:szCs w:val="22"/>
              </w:rPr>
            </w:pPr>
            <w:r w:rsidRPr="00183B5F">
              <w:rPr>
                <w:b/>
                <w:szCs w:val="22"/>
              </w:rPr>
              <w:t>16.</w:t>
            </w:r>
            <w:r w:rsidRPr="00183B5F">
              <w:rPr>
                <w:b/>
                <w:szCs w:val="22"/>
              </w:rPr>
              <w:tab/>
              <w:t>BRAILLE ÍRÁSSAL FELTÜNTETETT INFORMÁCIÓK</w:t>
            </w:r>
          </w:p>
        </w:tc>
      </w:tr>
    </w:tbl>
    <w:p w14:paraId="35B69A0F" w14:textId="77777777" w:rsidR="00F32BBB" w:rsidRPr="00183B5F" w:rsidRDefault="00F32BBB" w:rsidP="004062FE">
      <w:pPr>
        <w:spacing w:line="240" w:lineRule="auto"/>
        <w:rPr>
          <w:szCs w:val="22"/>
        </w:rPr>
      </w:pPr>
    </w:p>
    <w:p w14:paraId="394102E6" w14:textId="77777777" w:rsidR="00F32BBB" w:rsidRPr="00183B5F" w:rsidRDefault="00943743" w:rsidP="004062FE">
      <w:pPr>
        <w:spacing w:line="240" w:lineRule="auto"/>
        <w:rPr>
          <w:szCs w:val="22"/>
        </w:rPr>
      </w:pPr>
      <w:r w:rsidRPr="00183B5F">
        <w:rPr>
          <w:szCs w:val="22"/>
        </w:rPr>
        <w:t>Humira 80 mg</w:t>
      </w:r>
    </w:p>
    <w:p w14:paraId="0E18F60B" w14:textId="77777777" w:rsidR="00F32BBB" w:rsidRPr="00183B5F" w:rsidRDefault="00F32BBB" w:rsidP="004062FE">
      <w:pPr>
        <w:spacing w:line="240" w:lineRule="auto"/>
        <w:rPr>
          <w:szCs w:val="22"/>
        </w:rPr>
      </w:pPr>
    </w:p>
    <w:p w14:paraId="6EA3B838" w14:textId="77777777" w:rsidR="00F32BBB" w:rsidRPr="00183B5F" w:rsidRDefault="00F32BBB">
      <w:pPr>
        <w:spacing w:line="240" w:lineRule="auto"/>
        <w:rPr>
          <w:noProof/>
          <w:shd w:val="clear" w:color="auto" w:fill="CCCCCC"/>
        </w:rPr>
      </w:pPr>
    </w:p>
    <w:p w14:paraId="19DF2D57" w14:textId="77777777" w:rsidR="00F32BBB" w:rsidRPr="00183B5F" w:rsidRDefault="00943743">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i/>
          <w:noProof/>
        </w:rPr>
      </w:pPr>
      <w:r w:rsidRPr="00183B5F">
        <w:rPr>
          <w:b/>
          <w:noProof/>
        </w:rPr>
        <w:t>17.</w:t>
      </w:r>
      <w:r w:rsidRPr="00183B5F">
        <w:rPr>
          <w:b/>
          <w:noProof/>
        </w:rPr>
        <w:tab/>
      </w:r>
      <w:r w:rsidRPr="00183B5F">
        <w:rPr>
          <w:b/>
          <w:noProof/>
        </w:rPr>
        <w:t>EGYEDI AZONOSÍTÓ – 2D VONALKÓD</w:t>
      </w:r>
    </w:p>
    <w:p w14:paraId="21DB12C9" w14:textId="77777777" w:rsidR="00F32BBB" w:rsidRPr="00183B5F" w:rsidRDefault="00F32BBB">
      <w:pPr>
        <w:spacing w:line="240" w:lineRule="auto"/>
        <w:rPr>
          <w:noProof/>
        </w:rPr>
      </w:pPr>
    </w:p>
    <w:p w14:paraId="6C6C7AFD" w14:textId="77777777" w:rsidR="00F32BBB" w:rsidRPr="00183B5F" w:rsidRDefault="00943743">
      <w:pPr>
        <w:spacing w:line="240" w:lineRule="auto"/>
        <w:rPr>
          <w:noProof/>
          <w:shd w:val="clear" w:color="auto" w:fill="CCCCCC"/>
        </w:rPr>
      </w:pPr>
      <w:r w:rsidRPr="00183B5F">
        <w:rPr>
          <w:noProof/>
          <w:highlight w:val="lightGray"/>
        </w:rPr>
        <w:t>Egyedi azonosítójú 2D vonalkóddal ellátva.</w:t>
      </w:r>
    </w:p>
    <w:p w14:paraId="18B7312D" w14:textId="77777777" w:rsidR="00F32BBB" w:rsidRPr="00183B5F" w:rsidRDefault="00F32BBB">
      <w:pPr>
        <w:spacing w:line="240" w:lineRule="auto"/>
        <w:rPr>
          <w:noProof/>
          <w:shd w:val="clear" w:color="auto" w:fill="CCCCCC"/>
        </w:rPr>
      </w:pPr>
    </w:p>
    <w:p w14:paraId="46E6492A" w14:textId="77777777" w:rsidR="00F32BBB" w:rsidRPr="00183B5F" w:rsidRDefault="00F32BBB">
      <w:pPr>
        <w:spacing w:line="240" w:lineRule="auto"/>
        <w:rPr>
          <w:noProof/>
          <w:shd w:val="clear" w:color="auto" w:fill="CCCCCC"/>
        </w:rPr>
      </w:pPr>
    </w:p>
    <w:p w14:paraId="0B91A47B" w14:textId="77777777" w:rsidR="00F32BBB" w:rsidRPr="00183B5F" w:rsidRDefault="00943743">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i/>
          <w:noProof/>
        </w:rPr>
      </w:pPr>
      <w:r w:rsidRPr="00183B5F">
        <w:rPr>
          <w:b/>
          <w:noProof/>
        </w:rPr>
        <w:t>18.</w:t>
      </w:r>
      <w:r w:rsidRPr="00183B5F">
        <w:rPr>
          <w:b/>
          <w:noProof/>
        </w:rPr>
        <w:tab/>
        <w:t>EGYEDI AZONOSÍTÓ OLVASHATÓ FORMÁTUMA</w:t>
      </w:r>
    </w:p>
    <w:p w14:paraId="6D5FBC73" w14:textId="77777777" w:rsidR="00F32BBB" w:rsidRPr="00183B5F" w:rsidRDefault="00F32BBB">
      <w:pPr>
        <w:spacing w:line="240" w:lineRule="auto"/>
        <w:rPr>
          <w:noProof/>
        </w:rPr>
      </w:pPr>
    </w:p>
    <w:p w14:paraId="0CCD89B5" w14:textId="77777777" w:rsidR="00F32BBB" w:rsidRPr="00183B5F" w:rsidRDefault="00943743" w:rsidP="004062FE">
      <w:pPr>
        <w:keepNext/>
        <w:spacing w:line="240" w:lineRule="auto"/>
        <w:rPr>
          <w:color w:val="008000"/>
        </w:rPr>
      </w:pPr>
      <w:r w:rsidRPr="00183B5F">
        <w:t>PC</w:t>
      </w:r>
    </w:p>
    <w:p w14:paraId="44289708" w14:textId="77777777" w:rsidR="00F32BBB" w:rsidRPr="00183B5F" w:rsidRDefault="00943743" w:rsidP="004062FE">
      <w:pPr>
        <w:spacing w:line="240" w:lineRule="auto"/>
      </w:pPr>
      <w:r w:rsidRPr="00183B5F">
        <w:t>SN</w:t>
      </w:r>
    </w:p>
    <w:p w14:paraId="6436E32C" w14:textId="77777777" w:rsidR="00F32BBB" w:rsidRPr="00183B5F" w:rsidRDefault="00943743" w:rsidP="004062FE">
      <w:pPr>
        <w:spacing w:line="240" w:lineRule="auto"/>
      </w:pPr>
      <w:r w:rsidRPr="00183B5F">
        <w:rPr>
          <w:highlight w:val="lightGray"/>
        </w:rPr>
        <w:t>NN</w:t>
      </w:r>
    </w:p>
    <w:p w14:paraId="28B603F3" w14:textId="77777777" w:rsidR="00F32BBB" w:rsidRPr="00183B5F" w:rsidRDefault="00943743" w:rsidP="004062FE">
      <w:pPr>
        <w:spacing w:line="240" w:lineRule="auto"/>
        <w:rPr>
          <w:b/>
          <w:szCs w:val="22"/>
        </w:rPr>
      </w:pPr>
      <w:r w:rsidRPr="00183B5F">
        <w:rPr>
          <w:b/>
          <w:szCs w:val="22"/>
        </w:rPr>
        <w:br w:type="page"/>
      </w: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38D4D389" w14:textId="77777777" w:rsidTr="00913F10">
        <w:trPr>
          <w:jc w:val="center"/>
        </w:trPr>
        <w:tc>
          <w:tcPr>
            <w:tcW w:w="9069" w:type="dxa"/>
            <w:tcBorders>
              <w:top w:val="single" w:sz="2" w:space="0" w:color="000000"/>
              <w:left w:val="single" w:sz="2" w:space="0" w:color="000000"/>
              <w:bottom w:val="single" w:sz="2" w:space="0" w:color="000000"/>
              <w:right w:val="single" w:sz="2" w:space="0" w:color="000000"/>
            </w:tcBorders>
          </w:tcPr>
          <w:p w14:paraId="69C24982" w14:textId="77777777" w:rsidR="00F32BBB" w:rsidRPr="00183B5F" w:rsidRDefault="00943743" w:rsidP="004062FE">
            <w:pPr>
              <w:spacing w:line="240" w:lineRule="auto"/>
              <w:rPr>
                <w:b/>
                <w:szCs w:val="22"/>
              </w:rPr>
            </w:pPr>
            <w:r w:rsidRPr="00183B5F">
              <w:rPr>
                <w:b/>
                <w:szCs w:val="22"/>
              </w:rPr>
              <w:t>A BUBORÉKCSOMAGOLÁSON VAGY A SZALAGFÓLIÁN MINIMÁLISAN FELTÜNTETENDŐ ADATOK</w:t>
            </w:r>
          </w:p>
          <w:p w14:paraId="5D8ADDF6" w14:textId="77777777" w:rsidR="00F32BBB" w:rsidRPr="00183B5F" w:rsidRDefault="00F32BBB" w:rsidP="004062FE">
            <w:pPr>
              <w:spacing w:line="240" w:lineRule="auto"/>
              <w:rPr>
                <w:b/>
                <w:szCs w:val="22"/>
              </w:rPr>
            </w:pPr>
          </w:p>
          <w:p w14:paraId="33720920" w14:textId="77777777" w:rsidR="00F32BBB" w:rsidRPr="00183B5F" w:rsidRDefault="00943743" w:rsidP="004062FE">
            <w:pPr>
              <w:spacing w:line="240" w:lineRule="auto"/>
              <w:rPr>
                <w:b/>
                <w:caps/>
                <w:szCs w:val="22"/>
              </w:rPr>
            </w:pPr>
            <w:r w:rsidRPr="00183B5F">
              <w:rPr>
                <w:b/>
                <w:caps/>
                <w:szCs w:val="22"/>
              </w:rPr>
              <w:t>Tálca hátoldalán levő szöveg</w:t>
            </w:r>
          </w:p>
        </w:tc>
      </w:tr>
    </w:tbl>
    <w:p w14:paraId="57C4107A" w14:textId="77777777" w:rsidR="00F32BBB" w:rsidRPr="00183B5F" w:rsidRDefault="00F32BBB" w:rsidP="004062FE">
      <w:pPr>
        <w:spacing w:line="240" w:lineRule="auto"/>
        <w:rPr>
          <w:szCs w:val="22"/>
        </w:rPr>
      </w:pPr>
    </w:p>
    <w:p w14:paraId="17B8ECC4" w14:textId="77777777" w:rsidR="00F32BBB" w:rsidRPr="00183B5F" w:rsidRDefault="00F32BBB"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769C2BEF" w14:textId="77777777" w:rsidTr="00913F10">
        <w:trPr>
          <w:jc w:val="center"/>
        </w:trPr>
        <w:tc>
          <w:tcPr>
            <w:tcW w:w="9069" w:type="dxa"/>
            <w:tcBorders>
              <w:top w:val="single" w:sz="2" w:space="0" w:color="000000"/>
              <w:left w:val="single" w:sz="2" w:space="0" w:color="000000"/>
              <w:bottom w:val="single" w:sz="2" w:space="0" w:color="000000"/>
              <w:right w:val="single" w:sz="2" w:space="0" w:color="000000"/>
            </w:tcBorders>
          </w:tcPr>
          <w:p w14:paraId="2C5FE9E1" w14:textId="77777777" w:rsidR="00F32BBB" w:rsidRPr="00183B5F" w:rsidRDefault="00943743" w:rsidP="004062FE">
            <w:pPr>
              <w:tabs>
                <w:tab w:val="left" w:pos="142"/>
              </w:tabs>
              <w:spacing w:line="240" w:lineRule="auto"/>
              <w:ind w:left="567" w:hanging="567"/>
              <w:rPr>
                <w:b/>
                <w:szCs w:val="22"/>
              </w:rPr>
            </w:pPr>
            <w:r w:rsidRPr="00183B5F">
              <w:rPr>
                <w:b/>
                <w:szCs w:val="22"/>
              </w:rPr>
              <w:t>1.</w:t>
            </w:r>
            <w:r w:rsidRPr="00183B5F">
              <w:rPr>
                <w:b/>
                <w:szCs w:val="22"/>
              </w:rPr>
              <w:tab/>
            </w:r>
            <w:r w:rsidRPr="00183B5F">
              <w:rPr>
                <w:b/>
                <w:szCs w:val="22"/>
              </w:rPr>
              <w:t>A GYÓGYSZER NEVE</w:t>
            </w:r>
          </w:p>
        </w:tc>
      </w:tr>
    </w:tbl>
    <w:p w14:paraId="604E6FCD" w14:textId="77777777" w:rsidR="00F32BBB" w:rsidRPr="00183B5F" w:rsidRDefault="00F32BBB" w:rsidP="004062FE">
      <w:pPr>
        <w:spacing w:line="240" w:lineRule="auto"/>
        <w:ind w:left="567" w:hanging="567"/>
        <w:rPr>
          <w:szCs w:val="22"/>
        </w:rPr>
      </w:pPr>
    </w:p>
    <w:p w14:paraId="3C23EE9A" w14:textId="77777777" w:rsidR="00F32BBB" w:rsidRPr="00183B5F" w:rsidRDefault="00943743" w:rsidP="004062FE">
      <w:pPr>
        <w:spacing w:line="240" w:lineRule="auto"/>
        <w:rPr>
          <w:szCs w:val="22"/>
        </w:rPr>
      </w:pPr>
      <w:r w:rsidRPr="00183B5F">
        <w:rPr>
          <w:szCs w:val="22"/>
        </w:rPr>
        <w:t>Humira 80 mg oldatos injekció előretöltött injekciós tollban</w:t>
      </w:r>
    </w:p>
    <w:p w14:paraId="49856FB3" w14:textId="77777777" w:rsidR="00F32BBB" w:rsidRPr="00183B5F" w:rsidRDefault="00943743" w:rsidP="004062FE">
      <w:pPr>
        <w:pStyle w:val="EndnoteText"/>
        <w:tabs>
          <w:tab w:val="clear" w:pos="567"/>
          <w:tab w:val="left" w:pos="708"/>
        </w:tabs>
        <w:suppressAutoHyphens/>
        <w:rPr>
          <w:sz w:val="22"/>
          <w:szCs w:val="22"/>
          <w:lang w:val="hu-HU"/>
        </w:rPr>
      </w:pPr>
      <w:r w:rsidRPr="00183B5F">
        <w:rPr>
          <w:sz w:val="22"/>
          <w:szCs w:val="22"/>
          <w:lang w:val="hu-HU"/>
        </w:rPr>
        <w:t>adalimumab</w:t>
      </w:r>
    </w:p>
    <w:p w14:paraId="1F1AF322" w14:textId="77777777" w:rsidR="00F32BBB" w:rsidRPr="00183B5F" w:rsidRDefault="00F32BBB" w:rsidP="004062FE">
      <w:pPr>
        <w:spacing w:line="240" w:lineRule="auto"/>
        <w:rPr>
          <w:szCs w:val="22"/>
        </w:rPr>
      </w:pPr>
    </w:p>
    <w:p w14:paraId="67EE0F4E" w14:textId="77777777" w:rsidR="00F32BBB" w:rsidRPr="00183B5F" w:rsidRDefault="00F32BBB"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24E66878" w14:textId="77777777" w:rsidTr="00913F10">
        <w:trPr>
          <w:jc w:val="center"/>
        </w:trPr>
        <w:tc>
          <w:tcPr>
            <w:tcW w:w="9069" w:type="dxa"/>
            <w:tcBorders>
              <w:top w:val="single" w:sz="2" w:space="0" w:color="000000"/>
              <w:left w:val="single" w:sz="2" w:space="0" w:color="000000"/>
              <w:bottom w:val="single" w:sz="2" w:space="0" w:color="000000"/>
              <w:right w:val="single" w:sz="2" w:space="0" w:color="000000"/>
            </w:tcBorders>
          </w:tcPr>
          <w:p w14:paraId="32CE06C4" w14:textId="77777777" w:rsidR="00F32BBB" w:rsidRPr="00183B5F" w:rsidRDefault="00943743" w:rsidP="004062FE">
            <w:pPr>
              <w:tabs>
                <w:tab w:val="left" w:pos="142"/>
              </w:tabs>
              <w:spacing w:line="240" w:lineRule="auto"/>
              <w:ind w:left="567" w:hanging="567"/>
              <w:rPr>
                <w:b/>
                <w:szCs w:val="22"/>
              </w:rPr>
            </w:pPr>
            <w:r w:rsidRPr="00183B5F">
              <w:rPr>
                <w:b/>
                <w:szCs w:val="22"/>
              </w:rPr>
              <w:t>2.</w:t>
            </w:r>
            <w:r w:rsidRPr="00183B5F">
              <w:rPr>
                <w:b/>
                <w:szCs w:val="22"/>
              </w:rPr>
              <w:tab/>
              <w:t>A FORGALOMBA HOZATALI ENGEDÉLY JOGOSULTJÁNAK NEVE</w:t>
            </w:r>
          </w:p>
        </w:tc>
      </w:tr>
    </w:tbl>
    <w:p w14:paraId="36428036" w14:textId="77777777" w:rsidR="00F32BBB" w:rsidRPr="00183B5F" w:rsidRDefault="00F32BBB" w:rsidP="004062FE">
      <w:pPr>
        <w:spacing w:line="240" w:lineRule="auto"/>
        <w:rPr>
          <w:szCs w:val="22"/>
        </w:rPr>
      </w:pPr>
    </w:p>
    <w:p w14:paraId="303D6F6F" w14:textId="77777777" w:rsidR="00F32BBB" w:rsidRPr="00183B5F" w:rsidRDefault="00943743" w:rsidP="004062FE">
      <w:pPr>
        <w:spacing w:line="240" w:lineRule="auto"/>
        <w:ind w:right="-2"/>
        <w:rPr>
          <w:szCs w:val="22"/>
        </w:rPr>
      </w:pPr>
      <w:r w:rsidRPr="00183B5F">
        <w:rPr>
          <w:szCs w:val="22"/>
        </w:rPr>
        <w:t xml:space="preserve">AbbVie </w:t>
      </w:r>
      <w:r w:rsidR="00CE3F71" w:rsidRPr="00183B5F">
        <w:rPr>
          <w:szCs w:val="22"/>
          <w:highlight w:val="lightGray"/>
          <w:lang w:eastAsia="en-GB"/>
        </w:rPr>
        <w:t>(logo)</w:t>
      </w:r>
    </w:p>
    <w:p w14:paraId="3FE8CAAB" w14:textId="77777777" w:rsidR="00F32BBB" w:rsidRPr="00183B5F" w:rsidRDefault="00F32BBB" w:rsidP="004062FE">
      <w:pPr>
        <w:spacing w:line="240" w:lineRule="auto"/>
        <w:rPr>
          <w:szCs w:val="22"/>
        </w:rPr>
      </w:pPr>
    </w:p>
    <w:p w14:paraId="60B3D7B0" w14:textId="77777777" w:rsidR="00F32BBB" w:rsidRPr="00183B5F" w:rsidRDefault="00F32BBB"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694D4B41" w14:textId="77777777" w:rsidTr="00913F10">
        <w:trPr>
          <w:jc w:val="center"/>
        </w:trPr>
        <w:tc>
          <w:tcPr>
            <w:tcW w:w="9069" w:type="dxa"/>
            <w:tcBorders>
              <w:top w:val="single" w:sz="2" w:space="0" w:color="000000"/>
              <w:left w:val="single" w:sz="2" w:space="0" w:color="000000"/>
              <w:bottom w:val="single" w:sz="2" w:space="0" w:color="000000"/>
              <w:right w:val="single" w:sz="2" w:space="0" w:color="000000"/>
            </w:tcBorders>
          </w:tcPr>
          <w:p w14:paraId="6E666568" w14:textId="77777777" w:rsidR="00F32BBB" w:rsidRPr="00183B5F" w:rsidRDefault="00943743" w:rsidP="004062FE">
            <w:pPr>
              <w:tabs>
                <w:tab w:val="left" w:pos="142"/>
              </w:tabs>
              <w:spacing w:line="240" w:lineRule="auto"/>
              <w:ind w:left="567" w:hanging="567"/>
              <w:rPr>
                <w:b/>
                <w:szCs w:val="22"/>
              </w:rPr>
            </w:pPr>
            <w:r w:rsidRPr="00183B5F">
              <w:rPr>
                <w:b/>
                <w:szCs w:val="22"/>
              </w:rPr>
              <w:t>3.</w:t>
            </w:r>
            <w:r w:rsidRPr="00183B5F">
              <w:rPr>
                <w:b/>
                <w:szCs w:val="22"/>
              </w:rPr>
              <w:tab/>
              <w:t>LEJÁRATI IDŐ</w:t>
            </w:r>
          </w:p>
        </w:tc>
      </w:tr>
    </w:tbl>
    <w:p w14:paraId="554CDBD9" w14:textId="77777777" w:rsidR="00F32BBB" w:rsidRPr="00183B5F" w:rsidRDefault="00F32BBB" w:rsidP="004062FE">
      <w:pPr>
        <w:spacing w:line="240" w:lineRule="auto"/>
        <w:rPr>
          <w:szCs w:val="22"/>
        </w:rPr>
      </w:pPr>
    </w:p>
    <w:p w14:paraId="009AE881" w14:textId="77777777" w:rsidR="00F32BBB" w:rsidRPr="00183B5F" w:rsidRDefault="00943743" w:rsidP="004062FE">
      <w:pPr>
        <w:spacing w:line="240" w:lineRule="auto"/>
        <w:rPr>
          <w:szCs w:val="22"/>
        </w:rPr>
      </w:pPr>
      <w:r w:rsidRPr="00183B5F">
        <w:rPr>
          <w:szCs w:val="22"/>
        </w:rPr>
        <w:t>EXP</w:t>
      </w:r>
    </w:p>
    <w:p w14:paraId="51D65A14" w14:textId="77777777" w:rsidR="00F32BBB" w:rsidRPr="00183B5F" w:rsidRDefault="00F32BBB" w:rsidP="004062FE">
      <w:pPr>
        <w:spacing w:line="240" w:lineRule="auto"/>
        <w:rPr>
          <w:szCs w:val="22"/>
        </w:rPr>
      </w:pPr>
    </w:p>
    <w:p w14:paraId="274A9A78" w14:textId="77777777" w:rsidR="00F32BBB" w:rsidRPr="00183B5F" w:rsidRDefault="00F32BBB"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584E4BDF" w14:textId="77777777" w:rsidTr="00913F10">
        <w:trPr>
          <w:jc w:val="center"/>
        </w:trPr>
        <w:tc>
          <w:tcPr>
            <w:tcW w:w="9069" w:type="dxa"/>
            <w:tcBorders>
              <w:top w:val="single" w:sz="2" w:space="0" w:color="000000"/>
              <w:left w:val="single" w:sz="2" w:space="0" w:color="000000"/>
              <w:bottom w:val="single" w:sz="2" w:space="0" w:color="000000"/>
              <w:right w:val="single" w:sz="2" w:space="0" w:color="000000"/>
            </w:tcBorders>
          </w:tcPr>
          <w:p w14:paraId="7414AD6E" w14:textId="77777777" w:rsidR="00F32BBB" w:rsidRPr="00183B5F" w:rsidRDefault="00943743" w:rsidP="004062FE">
            <w:pPr>
              <w:tabs>
                <w:tab w:val="left" w:pos="142"/>
              </w:tabs>
              <w:spacing w:line="240" w:lineRule="auto"/>
              <w:ind w:left="567" w:hanging="567"/>
              <w:rPr>
                <w:b/>
                <w:szCs w:val="22"/>
              </w:rPr>
            </w:pPr>
            <w:r w:rsidRPr="00183B5F">
              <w:rPr>
                <w:b/>
                <w:szCs w:val="22"/>
              </w:rPr>
              <w:t>4.</w:t>
            </w:r>
            <w:r w:rsidRPr="00183B5F">
              <w:rPr>
                <w:b/>
                <w:szCs w:val="22"/>
              </w:rPr>
              <w:tab/>
              <w:t>A GYÁRTÁSI TÉTEL SZÁMA</w:t>
            </w:r>
          </w:p>
        </w:tc>
      </w:tr>
    </w:tbl>
    <w:p w14:paraId="4EC18E0A" w14:textId="77777777" w:rsidR="00F32BBB" w:rsidRPr="00183B5F" w:rsidRDefault="00F32BBB" w:rsidP="004062FE">
      <w:pPr>
        <w:spacing w:line="240" w:lineRule="auto"/>
        <w:rPr>
          <w:szCs w:val="22"/>
        </w:rPr>
      </w:pPr>
    </w:p>
    <w:p w14:paraId="72730247" w14:textId="77777777" w:rsidR="00F32BBB" w:rsidRPr="00183B5F" w:rsidRDefault="00943743" w:rsidP="004062FE">
      <w:pPr>
        <w:spacing w:line="240" w:lineRule="auto"/>
        <w:rPr>
          <w:szCs w:val="22"/>
        </w:rPr>
      </w:pPr>
      <w:r w:rsidRPr="00183B5F">
        <w:rPr>
          <w:szCs w:val="22"/>
        </w:rPr>
        <w:t>Lot</w:t>
      </w:r>
    </w:p>
    <w:p w14:paraId="412B462B" w14:textId="77777777" w:rsidR="00F32BBB" w:rsidRPr="00183B5F" w:rsidRDefault="00F32BBB" w:rsidP="004062FE">
      <w:pPr>
        <w:spacing w:line="240" w:lineRule="auto"/>
        <w:rPr>
          <w:szCs w:val="22"/>
        </w:rPr>
      </w:pPr>
    </w:p>
    <w:p w14:paraId="342FBA83" w14:textId="77777777" w:rsidR="00F32BBB" w:rsidRPr="00183B5F" w:rsidRDefault="00F32BBB" w:rsidP="004062FE">
      <w:pPr>
        <w:spacing w:line="240" w:lineRule="auto"/>
        <w:rPr>
          <w:szCs w:val="22"/>
        </w:rPr>
      </w:pPr>
    </w:p>
    <w:tbl>
      <w:tblPr>
        <w:tblW w:w="0" w:type="auto"/>
        <w:jc w:val="center"/>
        <w:tblLayout w:type="fixed"/>
        <w:tblCellMar>
          <w:left w:w="0" w:type="dxa"/>
          <w:right w:w="0" w:type="dxa"/>
        </w:tblCellMar>
        <w:tblLook w:val="0000" w:firstRow="0" w:lastRow="0" w:firstColumn="0" w:lastColumn="0" w:noHBand="0" w:noVBand="0"/>
      </w:tblPr>
      <w:tblGrid>
        <w:gridCol w:w="9069"/>
      </w:tblGrid>
      <w:tr w:rsidR="00011D2F" w14:paraId="401D12FE" w14:textId="77777777" w:rsidTr="00913F10">
        <w:trPr>
          <w:jc w:val="center"/>
        </w:trPr>
        <w:tc>
          <w:tcPr>
            <w:tcW w:w="9069" w:type="dxa"/>
            <w:tcBorders>
              <w:top w:val="single" w:sz="2" w:space="0" w:color="000000"/>
              <w:left w:val="single" w:sz="2" w:space="0" w:color="000000"/>
              <w:bottom w:val="single" w:sz="2" w:space="0" w:color="000000"/>
              <w:right w:val="single" w:sz="2" w:space="0" w:color="000000"/>
            </w:tcBorders>
          </w:tcPr>
          <w:p w14:paraId="2612F3BB" w14:textId="77777777" w:rsidR="00F32BBB" w:rsidRPr="00183B5F" w:rsidRDefault="00943743" w:rsidP="004062FE">
            <w:pPr>
              <w:tabs>
                <w:tab w:val="left" w:pos="142"/>
              </w:tabs>
              <w:spacing w:line="240" w:lineRule="auto"/>
              <w:ind w:left="567" w:hanging="567"/>
              <w:rPr>
                <w:b/>
                <w:szCs w:val="22"/>
              </w:rPr>
            </w:pPr>
            <w:r w:rsidRPr="00183B5F">
              <w:rPr>
                <w:b/>
                <w:szCs w:val="22"/>
              </w:rPr>
              <w:t>5.</w:t>
            </w:r>
            <w:r w:rsidRPr="00183B5F">
              <w:rPr>
                <w:b/>
                <w:szCs w:val="22"/>
              </w:rPr>
              <w:tab/>
            </w:r>
            <w:r w:rsidRPr="00183B5F">
              <w:rPr>
                <w:b/>
                <w:szCs w:val="22"/>
              </w:rPr>
              <w:t>EGYÉB INFORMÁCIÓK</w:t>
            </w:r>
          </w:p>
        </w:tc>
      </w:tr>
    </w:tbl>
    <w:p w14:paraId="366E6DBF" w14:textId="77777777" w:rsidR="00F32BBB" w:rsidRPr="00183B5F" w:rsidRDefault="00F32BBB" w:rsidP="004062FE">
      <w:pPr>
        <w:spacing w:line="240" w:lineRule="auto"/>
        <w:rPr>
          <w:b/>
          <w:szCs w:val="22"/>
        </w:rPr>
      </w:pPr>
    </w:p>
    <w:p w14:paraId="4574F933" w14:textId="77777777" w:rsidR="00F32BBB" w:rsidRPr="00183B5F" w:rsidRDefault="00943743" w:rsidP="004062FE">
      <w:pPr>
        <w:spacing w:line="240" w:lineRule="auto"/>
        <w:rPr>
          <w:szCs w:val="22"/>
        </w:rPr>
      </w:pPr>
      <w:r w:rsidRPr="00183B5F">
        <w:rPr>
          <w:szCs w:val="22"/>
        </w:rPr>
        <w:t>Tárolási információkért olvassa el a betegtájékoztatót.</w:t>
      </w:r>
    </w:p>
    <w:p w14:paraId="3388F7F0" w14:textId="77777777" w:rsidR="00484F6A" w:rsidRPr="00183B5F" w:rsidRDefault="00484F6A" w:rsidP="004062FE">
      <w:pPr>
        <w:spacing w:line="240" w:lineRule="auto"/>
        <w:rPr>
          <w:szCs w:val="22"/>
        </w:rPr>
      </w:pPr>
    </w:p>
    <w:p w14:paraId="289C86EF" w14:textId="77777777" w:rsidR="00F32BBB" w:rsidRPr="00183B5F" w:rsidRDefault="00943743" w:rsidP="004062FE">
      <w:pPr>
        <w:spacing w:line="240" w:lineRule="auto"/>
        <w:rPr>
          <w:b/>
          <w:szCs w:val="22"/>
        </w:rPr>
      </w:pPr>
      <w:r w:rsidRPr="00183B5F">
        <w:rPr>
          <w:szCs w:val="22"/>
        </w:rPr>
        <w:t>Kizárólag egyszeri alkalmazásra</w:t>
      </w:r>
    </w:p>
    <w:p w14:paraId="17F14303" w14:textId="77777777" w:rsidR="007A7DDC" w:rsidRPr="00183B5F" w:rsidRDefault="007A7DDC" w:rsidP="004062FE">
      <w:pPr>
        <w:spacing w:line="240" w:lineRule="auto"/>
        <w:rPr>
          <w:szCs w:val="22"/>
        </w:rPr>
      </w:pPr>
    </w:p>
    <w:p w14:paraId="1DA488CF" w14:textId="77777777" w:rsidR="00EF3B31" w:rsidRPr="00183B5F" w:rsidRDefault="00EF3B31" w:rsidP="004062FE">
      <w:pPr>
        <w:spacing w:line="240" w:lineRule="auto"/>
        <w:rPr>
          <w:szCs w:val="22"/>
        </w:rPr>
      </w:pPr>
    </w:p>
    <w:p w14:paraId="4C2121F3" w14:textId="77777777" w:rsidR="00F32BBB" w:rsidRPr="00183B5F" w:rsidRDefault="00943743" w:rsidP="004062FE">
      <w:pPr>
        <w:spacing w:line="240" w:lineRule="auto"/>
        <w:rPr>
          <w:b/>
          <w:szCs w:val="22"/>
        </w:rPr>
      </w:pPr>
      <w:r w:rsidRPr="00183B5F">
        <w:rPr>
          <w:szCs w:val="22"/>
        </w:rPr>
        <w:br w:type="page"/>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3053E436" w14:textId="77777777" w:rsidTr="00913F10">
        <w:trPr>
          <w:trHeight w:val="785"/>
          <w:jc w:val="center"/>
        </w:trPr>
        <w:tc>
          <w:tcPr>
            <w:tcW w:w="9069" w:type="dxa"/>
            <w:tcBorders>
              <w:top w:val="single" w:sz="4" w:space="0" w:color="auto"/>
              <w:bottom w:val="single" w:sz="4" w:space="0" w:color="auto"/>
            </w:tcBorders>
          </w:tcPr>
          <w:p w14:paraId="2E203C53" w14:textId="77777777" w:rsidR="00F32BBB" w:rsidRPr="00183B5F" w:rsidRDefault="00943743" w:rsidP="004062FE">
            <w:pPr>
              <w:spacing w:line="240" w:lineRule="auto"/>
              <w:rPr>
                <w:b/>
                <w:szCs w:val="22"/>
              </w:rPr>
            </w:pPr>
            <w:r w:rsidRPr="00183B5F">
              <w:rPr>
                <w:b/>
                <w:szCs w:val="22"/>
              </w:rPr>
              <w:t>A KIS KÖZVETLEN CSOMAGOLÁSI EGYSÉGEKEN MINIMÁLISAN FELTÜNTETENDŐ ADATOK</w:t>
            </w:r>
          </w:p>
          <w:p w14:paraId="25B6F5D9" w14:textId="77777777" w:rsidR="00F32BBB" w:rsidRPr="00183B5F" w:rsidRDefault="00F32BBB" w:rsidP="004062FE">
            <w:pPr>
              <w:spacing w:line="240" w:lineRule="auto"/>
              <w:rPr>
                <w:b/>
                <w:szCs w:val="22"/>
              </w:rPr>
            </w:pPr>
          </w:p>
          <w:p w14:paraId="77025A6C" w14:textId="77777777" w:rsidR="00F32BBB" w:rsidRPr="00183B5F" w:rsidRDefault="00943743" w:rsidP="004062FE">
            <w:pPr>
              <w:spacing w:line="240" w:lineRule="auto"/>
              <w:rPr>
                <w:b/>
                <w:caps/>
                <w:szCs w:val="22"/>
              </w:rPr>
            </w:pPr>
            <w:r w:rsidRPr="00183B5F">
              <w:rPr>
                <w:b/>
                <w:caps/>
                <w:szCs w:val="22"/>
              </w:rPr>
              <w:t>AZ INJEKCIÓS toll cÍmkÉJE</w:t>
            </w:r>
          </w:p>
        </w:tc>
      </w:tr>
    </w:tbl>
    <w:p w14:paraId="1D66B294" w14:textId="77777777" w:rsidR="00F32BBB" w:rsidRPr="00183B5F" w:rsidRDefault="00F32BBB" w:rsidP="004062FE">
      <w:pPr>
        <w:spacing w:line="240" w:lineRule="auto"/>
        <w:rPr>
          <w:b/>
          <w:szCs w:val="22"/>
        </w:rPr>
      </w:pPr>
    </w:p>
    <w:p w14:paraId="07DD8BC5" w14:textId="77777777" w:rsidR="00F32BBB" w:rsidRPr="00183B5F" w:rsidRDefault="00F32BBB" w:rsidP="004062FE">
      <w:pPr>
        <w:spacing w:line="240" w:lineRule="auto"/>
        <w:rPr>
          <w:b/>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2FC28BCA" w14:textId="77777777" w:rsidTr="00913F10">
        <w:trPr>
          <w:jc w:val="center"/>
        </w:trPr>
        <w:tc>
          <w:tcPr>
            <w:tcW w:w="9069" w:type="dxa"/>
            <w:tcBorders>
              <w:top w:val="single" w:sz="4" w:space="0" w:color="auto"/>
              <w:bottom w:val="single" w:sz="4" w:space="0" w:color="auto"/>
            </w:tcBorders>
          </w:tcPr>
          <w:p w14:paraId="5947BA4A" w14:textId="77777777" w:rsidR="00F32BBB" w:rsidRPr="00183B5F" w:rsidRDefault="00943743" w:rsidP="004062FE">
            <w:pPr>
              <w:tabs>
                <w:tab w:val="left" w:pos="142"/>
              </w:tabs>
              <w:spacing w:line="240" w:lineRule="auto"/>
              <w:ind w:left="567" w:hanging="567"/>
              <w:rPr>
                <w:b/>
                <w:szCs w:val="22"/>
              </w:rPr>
            </w:pPr>
            <w:r w:rsidRPr="00183B5F">
              <w:rPr>
                <w:b/>
                <w:szCs w:val="22"/>
              </w:rPr>
              <w:t>1.</w:t>
            </w:r>
            <w:r w:rsidRPr="00183B5F">
              <w:rPr>
                <w:b/>
                <w:szCs w:val="22"/>
              </w:rPr>
              <w:tab/>
            </w:r>
            <w:r w:rsidRPr="00183B5F">
              <w:rPr>
                <w:b/>
                <w:szCs w:val="22"/>
              </w:rPr>
              <w:t>A GYÓGYSZER NEVE ÉS AZ ALKALMAZÁS MÓDJA (I)</w:t>
            </w:r>
          </w:p>
        </w:tc>
      </w:tr>
    </w:tbl>
    <w:p w14:paraId="5579953B" w14:textId="77777777" w:rsidR="00F32BBB" w:rsidRPr="00183B5F" w:rsidRDefault="00F32BBB" w:rsidP="004062FE">
      <w:pPr>
        <w:spacing w:line="240" w:lineRule="auto"/>
        <w:rPr>
          <w:szCs w:val="22"/>
        </w:rPr>
      </w:pPr>
    </w:p>
    <w:p w14:paraId="345ED1E6" w14:textId="77777777" w:rsidR="00F32BBB" w:rsidRPr="00183B5F" w:rsidRDefault="00943743" w:rsidP="004062FE">
      <w:pPr>
        <w:pStyle w:val="EndnoteText"/>
        <w:tabs>
          <w:tab w:val="clear" w:pos="567"/>
        </w:tabs>
        <w:suppressAutoHyphens/>
        <w:rPr>
          <w:sz w:val="22"/>
          <w:szCs w:val="22"/>
          <w:lang w:val="hu-HU"/>
        </w:rPr>
      </w:pPr>
      <w:r w:rsidRPr="00183B5F">
        <w:rPr>
          <w:sz w:val="22"/>
          <w:szCs w:val="22"/>
          <w:lang w:val="hu-HU" w:eastAsia="hu-HU"/>
        </w:rPr>
        <w:t>Humira 80 mg injekció</w:t>
      </w:r>
    </w:p>
    <w:p w14:paraId="34A739C0" w14:textId="77777777" w:rsidR="00F32BBB" w:rsidRPr="00183B5F" w:rsidRDefault="00943743" w:rsidP="004062FE">
      <w:pPr>
        <w:pStyle w:val="EndnoteText"/>
        <w:tabs>
          <w:tab w:val="clear" w:pos="567"/>
          <w:tab w:val="left" w:pos="708"/>
        </w:tabs>
        <w:suppressAutoHyphens/>
        <w:rPr>
          <w:sz w:val="22"/>
          <w:szCs w:val="22"/>
          <w:lang w:val="hu-HU"/>
        </w:rPr>
      </w:pPr>
      <w:r w:rsidRPr="00183B5F">
        <w:rPr>
          <w:sz w:val="22"/>
          <w:szCs w:val="22"/>
          <w:lang w:val="hu-HU"/>
        </w:rPr>
        <w:t>adalimumab</w:t>
      </w:r>
    </w:p>
    <w:p w14:paraId="0E5F4263" w14:textId="77777777" w:rsidR="00F32BBB" w:rsidRPr="00183B5F" w:rsidRDefault="00943743" w:rsidP="004062FE">
      <w:pPr>
        <w:spacing w:line="240" w:lineRule="auto"/>
        <w:ind w:left="567" w:hanging="567"/>
        <w:rPr>
          <w:szCs w:val="22"/>
        </w:rPr>
      </w:pPr>
      <w:r w:rsidRPr="00183B5F">
        <w:rPr>
          <w:szCs w:val="22"/>
        </w:rPr>
        <w:t>sc</w:t>
      </w:r>
      <w:r w:rsidR="00A53E7F" w:rsidRPr="00183B5F">
        <w:rPr>
          <w:szCs w:val="22"/>
        </w:rPr>
        <w:t>.</w:t>
      </w:r>
    </w:p>
    <w:p w14:paraId="778275F3" w14:textId="77777777" w:rsidR="00F32BBB" w:rsidRPr="00183B5F" w:rsidRDefault="00F32BBB" w:rsidP="004062FE">
      <w:pPr>
        <w:spacing w:line="240" w:lineRule="auto"/>
        <w:rPr>
          <w:b/>
          <w:szCs w:val="22"/>
        </w:rPr>
      </w:pPr>
    </w:p>
    <w:p w14:paraId="62F3EF00" w14:textId="77777777" w:rsidR="00F32BBB" w:rsidRPr="00183B5F" w:rsidRDefault="00F32BBB" w:rsidP="004062FE">
      <w:pPr>
        <w:spacing w:line="240" w:lineRule="auto"/>
        <w:rPr>
          <w:b/>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72EA700C" w14:textId="77777777" w:rsidTr="00913F10">
        <w:trPr>
          <w:jc w:val="center"/>
        </w:trPr>
        <w:tc>
          <w:tcPr>
            <w:tcW w:w="9069" w:type="dxa"/>
            <w:tcBorders>
              <w:top w:val="single" w:sz="4" w:space="0" w:color="auto"/>
              <w:bottom w:val="single" w:sz="4" w:space="0" w:color="auto"/>
            </w:tcBorders>
          </w:tcPr>
          <w:p w14:paraId="4324B96D" w14:textId="77777777" w:rsidR="00F32BBB" w:rsidRPr="00183B5F" w:rsidRDefault="00943743" w:rsidP="004062FE">
            <w:pPr>
              <w:tabs>
                <w:tab w:val="left" w:pos="142"/>
              </w:tabs>
              <w:spacing w:line="240" w:lineRule="auto"/>
              <w:ind w:left="567" w:hanging="567"/>
              <w:rPr>
                <w:b/>
                <w:szCs w:val="22"/>
              </w:rPr>
            </w:pPr>
            <w:r w:rsidRPr="00183B5F">
              <w:rPr>
                <w:b/>
                <w:szCs w:val="22"/>
              </w:rPr>
              <w:t>2.</w:t>
            </w:r>
            <w:r w:rsidRPr="00183B5F">
              <w:rPr>
                <w:b/>
                <w:szCs w:val="22"/>
              </w:rPr>
              <w:tab/>
              <w:t>AZ ALKALMAZÁSSAL KAPCSOLATOS TUDNIVALÓK</w:t>
            </w:r>
          </w:p>
        </w:tc>
      </w:tr>
    </w:tbl>
    <w:p w14:paraId="26D97A51" w14:textId="77777777" w:rsidR="00F32BBB" w:rsidRPr="00183B5F" w:rsidRDefault="00F32BBB" w:rsidP="004062FE">
      <w:pPr>
        <w:spacing w:line="240" w:lineRule="auto"/>
        <w:rPr>
          <w:b/>
          <w:szCs w:val="22"/>
        </w:rPr>
      </w:pPr>
    </w:p>
    <w:p w14:paraId="003635F1" w14:textId="77777777" w:rsidR="00F32BBB" w:rsidRPr="00183B5F" w:rsidRDefault="00F32BBB" w:rsidP="004062FE">
      <w:pPr>
        <w:spacing w:line="240" w:lineRule="auto"/>
        <w:rPr>
          <w:b/>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77C22E38" w14:textId="77777777" w:rsidTr="00913F10">
        <w:trPr>
          <w:jc w:val="center"/>
        </w:trPr>
        <w:tc>
          <w:tcPr>
            <w:tcW w:w="9069" w:type="dxa"/>
            <w:tcBorders>
              <w:top w:val="single" w:sz="4" w:space="0" w:color="auto"/>
              <w:bottom w:val="single" w:sz="4" w:space="0" w:color="auto"/>
            </w:tcBorders>
          </w:tcPr>
          <w:p w14:paraId="3AC02116" w14:textId="77777777" w:rsidR="00F32BBB" w:rsidRPr="00183B5F" w:rsidRDefault="00943743" w:rsidP="004062FE">
            <w:pPr>
              <w:tabs>
                <w:tab w:val="left" w:pos="142"/>
              </w:tabs>
              <w:spacing w:line="240" w:lineRule="auto"/>
              <w:rPr>
                <w:b/>
                <w:szCs w:val="22"/>
              </w:rPr>
            </w:pPr>
            <w:r w:rsidRPr="00183B5F">
              <w:rPr>
                <w:b/>
                <w:szCs w:val="22"/>
              </w:rPr>
              <w:t>3.</w:t>
            </w:r>
            <w:r w:rsidRPr="00183B5F">
              <w:rPr>
                <w:b/>
                <w:szCs w:val="22"/>
              </w:rPr>
              <w:tab/>
              <w:t>LEJÁRATI IDŐ</w:t>
            </w:r>
          </w:p>
        </w:tc>
      </w:tr>
    </w:tbl>
    <w:p w14:paraId="6F7411C7" w14:textId="77777777" w:rsidR="00F32BBB" w:rsidRPr="00183B5F" w:rsidRDefault="00F32BBB" w:rsidP="004062FE">
      <w:pPr>
        <w:spacing w:line="240" w:lineRule="auto"/>
        <w:rPr>
          <w:szCs w:val="22"/>
        </w:rPr>
      </w:pPr>
    </w:p>
    <w:p w14:paraId="52DAEDD0" w14:textId="77777777" w:rsidR="00F32BBB" w:rsidRPr="00183B5F" w:rsidRDefault="00943743" w:rsidP="004062FE">
      <w:pPr>
        <w:spacing w:line="240" w:lineRule="auto"/>
        <w:rPr>
          <w:szCs w:val="22"/>
        </w:rPr>
      </w:pPr>
      <w:r w:rsidRPr="00183B5F">
        <w:rPr>
          <w:szCs w:val="22"/>
        </w:rPr>
        <w:t>EXP</w:t>
      </w:r>
    </w:p>
    <w:p w14:paraId="33E21B68" w14:textId="77777777" w:rsidR="00F32BBB" w:rsidRPr="00183B5F" w:rsidRDefault="00F32BBB" w:rsidP="004062FE">
      <w:pPr>
        <w:spacing w:line="240" w:lineRule="auto"/>
        <w:rPr>
          <w:b/>
          <w:szCs w:val="22"/>
        </w:rPr>
      </w:pPr>
    </w:p>
    <w:p w14:paraId="04422C44" w14:textId="77777777" w:rsidR="00F32BBB" w:rsidRPr="00183B5F" w:rsidRDefault="00F32BBB" w:rsidP="004062FE">
      <w:pPr>
        <w:spacing w:line="240" w:lineRule="auto"/>
        <w:rPr>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6050C380" w14:textId="77777777" w:rsidTr="00913F10">
        <w:trPr>
          <w:jc w:val="center"/>
        </w:trPr>
        <w:tc>
          <w:tcPr>
            <w:tcW w:w="9069" w:type="dxa"/>
            <w:tcBorders>
              <w:top w:val="single" w:sz="4" w:space="0" w:color="auto"/>
              <w:bottom w:val="single" w:sz="4" w:space="0" w:color="auto"/>
            </w:tcBorders>
          </w:tcPr>
          <w:p w14:paraId="79A8EB1D" w14:textId="77777777" w:rsidR="00F32BBB" w:rsidRPr="00183B5F" w:rsidRDefault="00943743" w:rsidP="004062FE">
            <w:pPr>
              <w:tabs>
                <w:tab w:val="left" w:pos="142"/>
              </w:tabs>
              <w:spacing w:line="240" w:lineRule="auto"/>
              <w:ind w:left="567" w:hanging="567"/>
              <w:rPr>
                <w:b/>
                <w:szCs w:val="22"/>
              </w:rPr>
            </w:pPr>
            <w:r w:rsidRPr="00183B5F">
              <w:rPr>
                <w:b/>
                <w:szCs w:val="22"/>
              </w:rPr>
              <w:t>4.</w:t>
            </w:r>
            <w:r w:rsidRPr="00183B5F">
              <w:rPr>
                <w:b/>
                <w:szCs w:val="22"/>
              </w:rPr>
              <w:tab/>
              <w:t>A GYÁRTÁSI TÉTEL SZÁMA</w:t>
            </w:r>
          </w:p>
        </w:tc>
      </w:tr>
    </w:tbl>
    <w:p w14:paraId="1568EB08" w14:textId="77777777" w:rsidR="00F32BBB" w:rsidRPr="00183B5F" w:rsidRDefault="00F32BBB" w:rsidP="004062FE">
      <w:pPr>
        <w:spacing w:line="240" w:lineRule="auto"/>
        <w:rPr>
          <w:szCs w:val="22"/>
        </w:rPr>
      </w:pPr>
    </w:p>
    <w:p w14:paraId="750D4A19" w14:textId="77777777" w:rsidR="00F32BBB" w:rsidRPr="00183B5F" w:rsidRDefault="00943743" w:rsidP="004062FE">
      <w:pPr>
        <w:spacing w:line="240" w:lineRule="auto"/>
        <w:rPr>
          <w:szCs w:val="22"/>
        </w:rPr>
      </w:pPr>
      <w:r w:rsidRPr="00183B5F">
        <w:rPr>
          <w:szCs w:val="22"/>
        </w:rPr>
        <w:t>Lot</w:t>
      </w:r>
    </w:p>
    <w:p w14:paraId="19E0AA21" w14:textId="77777777" w:rsidR="00F32BBB" w:rsidRPr="00183B5F" w:rsidRDefault="00F32BBB" w:rsidP="004062FE">
      <w:pPr>
        <w:spacing w:line="240" w:lineRule="auto"/>
        <w:ind w:right="113"/>
        <w:rPr>
          <w:szCs w:val="22"/>
        </w:rPr>
      </w:pPr>
    </w:p>
    <w:p w14:paraId="5AEB7001" w14:textId="77777777" w:rsidR="00F32BBB" w:rsidRPr="00183B5F" w:rsidRDefault="00F32BBB" w:rsidP="004062FE">
      <w:pPr>
        <w:spacing w:line="240" w:lineRule="auto"/>
        <w:ind w:right="113"/>
        <w:rPr>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69"/>
      </w:tblGrid>
      <w:tr w:rsidR="00011D2F" w14:paraId="242FCBD8" w14:textId="77777777" w:rsidTr="00913F10">
        <w:trPr>
          <w:jc w:val="center"/>
        </w:trPr>
        <w:tc>
          <w:tcPr>
            <w:tcW w:w="9069" w:type="dxa"/>
            <w:tcBorders>
              <w:top w:val="single" w:sz="4" w:space="0" w:color="auto"/>
              <w:bottom w:val="single" w:sz="4" w:space="0" w:color="auto"/>
            </w:tcBorders>
          </w:tcPr>
          <w:p w14:paraId="1534C329" w14:textId="52C61D36" w:rsidR="00F32BBB" w:rsidRPr="00183B5F" w:rsidRDefault="00943743" w:rsidP="004062FE">
            <w:pPr>
              <w:tabs>
                <w:tab w:val="left" w:pos="142"/>
              </w:tabs>
              <w:spacing w:line="240" w:lineRule="auto"/>
              <w:ind w:left="567" w:hanging="567"/>
              <w:rPr>
                <w:b/>
                <w:szCs w:val="22"/>
              </w:rPr>
            </w:pPr>
            <w:r w:rsidRPr="00183B5F">
              <w:rPr>
                <w:b/>
                <w:szCs w:val="22"/>
              </w:rPr>
              <w:t>5.</w:t>
            </w:r>
            <w:r w:rsidRPr="00183B5F">
              <w:rPr>
                <w:b/>
                <w:szCs w:val="22"/>
              </w:rPr>
              <w:tab/>
              <w:t xml:space="preserve">A TARTALOM </w:t>
            </w:r>
            <w:del w:id="9851" w:author="AbbVie_HU_03" w:date="2025-05-14T16:23:00Z">
              <w:r w:rsidRPr="00183B5F">
                <w:rPr>
                  <w:b/>
                  <w:szCs w:val="22"/>
                </w:rPr>
                <w:delText>SÚLYRA</w:delText>
              </w:r>
            </w:del>
            <w:ins w:id="9852" w:author="AbbVie_HU_03" w:date="2025-05-14T16:23:00Z">
              <w:r w:rsidR="00511721">
                <w:rPr>
                  <w:b/>
                  <w:szCs w:val="22"/>
                </w:rPr>
                <w:t>TÖMEGRE</w:t>
              </w:r>
            </w:ins>
            <w:r w:rsidRPr="00183B5F">
              <w:rPr>
                <w:b/>
                <w:szCs w:val="22"/>
              </w:rPr>
              <w:t>, TÉRFOGATRA, VAGY EGYSÉGRE VONATKOZTATVA</w:t>
            </w:r>
          </w:p>
        </w:tc>
      </w:tr>
    </w:tbl>
    <w:p w14:paraId="58ABF00A" w14:textId="77777777" w:rsidR="00F32BBB" w:rsidRPr="00183B5F" w:rsidRDefault="00F32BBB" w:rsidP="004062FE">
      <w:pPr>
        <w:spacing w:line="240" w:lineRule="auto"/>
        <w:rPr>
          <w:szCs w:val="22"/>
        </w:rPr>
      </w:pPr>
    </w:p>
    <w:p w14:paraId="57248FEA" w14:textId="77777777" w:rsidR="00F32BBB" w:rsidRPr="00183B5F" w:rsidRDefault="00943743" w:rsidP="004062FE">
      <w:pPr>
        <w:pStyle w:val="EndnoteText"/>
        <w:tabs>
          <w:tab w:val="clear" w:pos="567"/>
        </w:tabs>
        <w:suppressAutoHyphens/>
        <w:rPr>
          <w:sz w:val="22"/>
          <w:szCs w:val="22"/>
          <w:lang w:val="hu-HU" w:eastAsia="hu-HU"/>
        </w:rPr>
      </w:pPr>
      <w:r w:rsidRPr="00183B5F">
        <w:rPr>
          <w:sz w:val="22"/>
          <w:szCs w:val="22"/>
          <w:lang w:val="hu-HU" w:eastAsia="hu-HU"/>
        </w:rPr>
        <w:t>80 mg</w:t>
      </w:r>
      <w:r w:rsidR="00C72D3C" w:rsidRPr="00183B5F">
        <w:rPr>
          <w:sz w:val="22"/>
          <w:szCs w:val="22"/>
          <w:lang w:val="hu-HU" w:eastAsia="hu-HU"/>
        </w:rPr>
        <w:t>/</w:t>
      </w:r>
      <w:r w:rsidR="00C72D3C" w:rsidRPr="00183B5F">
        <w:rPr>
          <w:sz w:val="22"/>
          <w:szCs w:val="22"/>
          <w:highlight w:val="lightGray"/>
          <w:lang w:val="hu-HU" w:eastAsia="hu-HU"/>
        </w:rPr>
        <w:t>0,8 ml</w:t>
      </w:r>
    </w:p>
    <w:p w14:paraId="30B1ED82" w14:textId="77777777" w:rsidR="00F32BBB" w:rsidRPr="00183B5F" w:rsidRDefault="00F32BBB" w:rsidP="004062FE">
      <w:pPr>
        <w:spacing w:line="240" w:lineRule="auto"/>
        <w:rPr>
          <w:szCs w:val="22"/>
        </w:rPr>
      </w:pPr>
    </w:p>
    <w:p w14:paraId="34F1647A" w14:textId="77777777" w:rsidR="00F32BBB" w:rsidRPr="00183B5F" w:rsidRDefault="00F32BBB" w:rsidP="004062FE">
      <w:pPr>
        <w:spacing w:line="240" w:lineRule="auto"/>
        <w:rPr>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069"/>
      </w:tblGrid>
      <w:tr w:rsidR="00011D2F" w14:paraId="76209337" w14:textId="77777777" w:rsidTr="00913F10">
        <w:trPr>
          <w:jc w:val="center"/>
        </w:trPr>
        <w:tc>
          <w:tcPr>
            <w:tcW w:w="9069" w:type="dxa"/>
            <w:tcBorders>
              <w:top w:val="single" w:sz="4" w:space="0" w:color="auto"/>
              <w:bottom w:val="single" w:sz="4" w:space="0" w:color="auto"/>
            </w:tcBorders>
          </w:tcPr>
          <w:p w14:paraId="2BA86467" w14:textId="77777777" w:rsidR="00F32BBB" w:rsidRPr="00183B5F" w:rsidRDefault="00943743" w:rsidP="004062FE">
            <w:pPr>
              <w:tabs>
                <w:tab w:val="left" w:pos="142"/>
              </w:tabs>
              <w:spacing w:line="240" w:lineRule="auto"/>
              <w:ind w:left="567" w:hanging="567"/>
              <w:rPr>
                <w:b/>
                <w:szCs w:val="22"/>
              </w:rPr>
            </w:pPr>
            <w:r w:rsidRPr="00183B5F">
              <w:rPr>
                <w:b/>
                <w:szCs w:val="22"/>
              </w:rPr>
              <w:t>6.</w:t>
            </w:r>
            <w:r w:rsidRPr="00183B5F">
              <w:rPr>
                <w:b/>
                <w:szCs w:val="22"/>
              </w:rPr>
              <w:tab/>
              <w:t>EGYÉB INFORMÁCIÓK</w:t>
            </w:r>
          </w:p>
        </w:tc>
      </w:tr>
    </w:tbl>
    <w:p w14:paraId="5ABC8FFA" w14:textId="77777777" w:rsidR="00F32BBB" w:rsidRPr="00183B5F" w:rsidRDefault="00F32BBB" w:rsidP="004062FE">
      <w:pPr>
        <w:spacing w:line="240" w:lineRule="auto"/>
        <w:jc w:val="center"/>
        <w:rPr>
          <w:szCs w:val="22"/>
        </w:rPr>
      </w:pPr>
    </w:p>
    <w:p w14:paraId="0EEC5259" w14:textId="77777777" w:rsidR="00F32BBB" w:rsidRPr="00183B5F" w:rsidRDefault="00943743">
      <w:pPr>
        <w:suppressAutoHyphens w:val="0"/>
        <w:spacing w:line="240" w:lineRule="auto"/>
        <w:rPr>
          <w:szCs w:val="22"/>
        </w:rPr>
      </w:pPr>
      <w:r w:rsidRPr="00183B5F">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011D2F" w14:paraId="6C5EFDA4" w14:textId="77777777">
        <w:tc>
          <w:tcPr>
            <w:tcW w:w="9211" w:type="dxa"/>
          </w:tcPr>
          <w:p w14:paraId="1B1FE2B9" w14:textId="77777777" w:rsidR="00B71BBC" w:rsidRPr="00183B5F" w:rsidRDefault="00943743" w:rsidP="004062FE">
            <w:pPr>
              <w:tabs>
                <w:tab w:val="left" w:pos="562"/>
              </w:tabs>
              <w:spacing w:line="240" w:lineRule="auto"/>
              <w:rPr>
                <w:b/>
                <w:szCs w:val="22"/>
              </w:rPr>
            </w:pPr>
            <w:r w:rsidRPr="00183B5F">
              <w:rPr>
                <w:b/>
                <w:szCs w:val="22"/>
              </w:rPr>
              <w:t>RAGASZTHATÓ EMLÉKEZTETŐ CÉDULA SZÖVEGE (csomagolásban található)</w:t>
            </w:r>
          </w:p>
          <w:p w14:paraId="31498423" w14:textId="77777777" w:rsidR="00B71BBC" w:rsidRPr="00183B5F" w:rsidRDefault="00B71BBC" w:rsidP="004062FE">
            <w:pPr>
              <w:tabs>
                <w:tab w:val="left" w:pos="562"/>
              </w:tabs>
              <w:spacing w:line="240" w:lineRule="auto"/>
              <w:rPr>
                <w:szCs w:val="22"/>
              </w:rPr>
            </w:pPr>
          </w:p>
        </w:tc>
      </w:tr>
    </w:tbl>
    <w:p w14:paraId="13356EFF" w14:textId="77777777" w:rsidR="00B71BBC" w:rsidRPr="00183B5F" w:rsidRDefault="00B71BBC" w:rsidP="004062FE">
      <w:pPr>
        <w:spacing w:line="240" w:lineRule="auto"/>
        <w:rPr>
          <w:szCs w:val="22"/>
        </w:rPr>
      </w:pPr>
    </w:p>
    <w:p w14:paraId="03EFEE34" w14:textId="77777777" w:rsidR="00FB6710" w:rsidRPr="00183B5F" w:rsidRDefault="00943743" w:rsidP="004062FE">
      <w:pPr>
        <w:tabs>
          <w:tab w:val="left" w:pos="567"/>
        </w:tabs>
        <w:spacing w:line="240" w:lineRule="auto"/>
        <w:rPr>
          <w:szCs w:val="22"/>
        </w:rPr>
      </w:pPr>
      <w:r w:rsidRPr="00183B5F">
        <w:rPr>
          <w:szCs w:val="22"/>
        </w:rPr>
        <w:t>Humira</w:t>
      </w:r>
    </w:p>
    <w:p w14:paraId="2691F1E5" w14:textId="77777777" w:rsidR="007A7DDC" w:rsidRPr="00183B5F" w:rsidRDefault="007A7DDC" w:rsidP="004062FE">
      <w:pPr>
        <w:tabs>
          <w:tab w:val="left" w:pos="567"/>
        </w:tabs>
        <w:spacing w:line="240" w:lineRule="auto"/>
        <w:rPr>
          <w:szCs w:val="22"/>
          <w:lang w:eastAsia="en-US"/>
        </w:rPr>
      </w:pPr>
    </w:p>
    <w:p w14:paraId="47F9B016" w14:textId="77777777" w:rsidR="00FB6710" w:rsidRPr="00183B5F" w:rsidRDefault="00943743" w:rsidP="004062FE">
      <w:pPr>
        <w:tabs>
          <w:tab w:val="left" w:pos="567"/>
        </w:tabs>
        <w:spacing w:line="240" w:lineRule="auto"/>
        <w:rPr>
          <w:szCs w:val="22"/>
        </w:rPr>
      </w:pPr>
      <w:r w:rsidRPr="00183B5F">
        <w:rPr>
          <w:szCs w:val="22"/>
        </w:rPr>
        <w:t>Naptárában jelölje meg a mellékelt emlékeztető cédulával a következő adag beadásának napját.</w:t>
      </w:r>
    </w:p>
    <w:p w14:paraId="50E52A49" w14:textId="77777777" w:rsidR="00FB6710" w:rsidRPr="00183B5F" w:rsidRDefault="00943743" w:rsidP="004062FE">
      <w:pPr>
        <w:spacing w:line="240" w:lineRule="auto"/>
        <w:rPr>
          <w:szCs w:val="22"/>
        </w:rPr>
      </w:pPr>
      <w:r w:rsidRPr="00183B5F">
        <w:rPr>
          <w:szCs w:val="22"/>
        </w:rPr>
        <w:br w:type="page"/>
      </w:r>
    </w:p>
    <w:p w14:paraId="02941AC0" w14:textId="77777777" w:rsidR="00FB6710" w:rsidRPr="00183B5F" w:rsidRDefault="00FB6710" w:rsidP="004062FE">
      <w:pPr>
        <w:spacing w:line="240" w:lineRule="auto"/>
        <w:rPr>
          <w:szCs w:val="22"/>
        </w:rPr>
      </w:pPr>
    </w:p>
    <w:p w14:paraId="06D2DE44" w14:textId="77777777" w:rsidR="00FB6710" w:rsidRPr="00183B5F" w:rsidRDefault="00FB6710" w:rsidP="004062FE">
      <w:pPr>
        <w:spacing w:line="240" w:lineRule="auto"/>
        <w:rPr>
          <w:szCs w:val="22"/>
        </w:rPr>
      </w:pPr>
    </w:p>
    <w:p w14:paraId="62A5981E" w14:textId="77777777" w:rsidR="00FB6710" w:rsidRPr="00183B5F" w:rsidRDefault="00FB6710" w:rsidP="004062FE">
      <w:pPr>
        <w:spacing w:line="240" w:lineRule="auto"/>
        <w:rPr>
          <w:szCs w:val="22"/>
        </w:rPr>
      </w:pPr>
    </w:p>
    <w:p w14:paraId="05C99753" w14:textId="77777777" w:rsidR="00FB6710" w:rsidRPr="00183B5F" w:rsidRDefault="00FB6710" w:rsidP="004062FE">
      <w:pPr>
        <w:spacing w:line="240" w:lineRule="auto"/>
        <w:rPr>
          <w:szCs w:val="22"/>
        </w:rPr>
      </w:pPr>
    </w:p>
    <w:p w14:paraId="21BF0CF1" w14:textId="77777777" w:rsidR="00FB6710" w:rsidRPr="00183B5F" w:rsidRDefault="00FB6710" w:rsidP="004062FE">
      <w:pPr>
        <w:spacing w:line="240" w:lineRule="auto"/>
        <w:rPr>
          <w:szCs w:val="22"/>
        </w:rPr>
      </w:pPr>
    </w:p>
    <w:p w14:paraId="39603F76" w14:textId="77777777" w:rsidR="00FB6710" w:rsidRPr="00183B5F" w:rsidRDefault="00FB6710" w:rsidP="004062FE">
      <w:pPr>
        <w:spacing w:line="240" w:lineRule="auto"/>
        <w:rPr>
          <w:szCs w:val="22"/>
        </w:rPr>
      </w:pPr>
    </w:p>
    <w:p w14:paraId="3C6F5767" w14:textId="77777777" w:rsidR="00FB6710" w:rsidRPr="00183B5F" w:rsidRDefault="00FB6710" w:rsidP="004062FE">
      <w:pPr>
        <w:spacing w:line="240" w:lineRule="auto"/>
        <w:rPr>
          <w:szCs w:val="22"/>
        </w:rPr>
      </w:pPr>
    </w:p>
    <w:p w14:paraId="1678D37A" w14:textId="77777777" w:rsidR="00FB6710" w:rsidRPr="00183B5F" w:rsidRDefault="00FB6710" w:rsidP="004062FE">
      <w:pPr>
        <w:spacing w:line="240" w:lineRule="auto"/>
        <w:rPr>
          <w:szCs w:val="22"/>
        </w:rPr>
      </w:pPr>
    </w:p>
    <w:p w14:paraId="3455A69E" w14:textId="77777777" w:rsidR="00FB6710" w:rsidRPr="00183B5F" w:rsidRDefault="00FB6710" w:rsidP="004062FE">
      <w:pPr>
        <w:spacing w:line="240" w:lineRule="auto"/>
        <w:rPr>
          <w:szCs w:val="22"/>
        </w:rPr>
      </w:pPr>
    </w:p>
    <w:p w14:paraId="54E5D72F" w14:textId="77777777" w:rsidR="00FB6710" w:rsidRPr="00183B5F" w:rsidRDefault="00FB6710" w:rsidP="004062FE">
      <w:pPr>
        <w:spacing w:line="240" w:lineRule="auto"/>
        <w:rPr>
          <w:szCs w:val="22"/>
        </w:rPr>
      </w:pPr>
    </w:p>
    <w:p w14:paraId="107D1379" w14:textId="77777777" w:rsidR="00FB6710" w:rsidRPr="00183B5F" w:rsidRDefault="00FB6710" w:rsidP="004062FE">
      <w:pPr>
        <w:spacing w:line="240" w:lineRule="auto"/>
        <w:rPr>
          <w:szCs w:val="22"/>
        </w:rPr>
      </w:pPr>
    </w:p>
    <w:p w14:paraId="2960C3ED" w14:textId="77777777" w:rsidR="00FB6710" w:rsidRPr="00183B5F" w:rsidRDefault="00FB6710" w:rsidP="004062FE">
      <w:pPr>
        <w:spacing w:line="240" w:lineRule="auto"/>
        <w:rPr>
          <w:szCs w:val="22"/>
        </w:rPr>
      </w:pPr>
    </w:p>
    <w:p w14:paraId="00493311" w14:textId="77777777" w:rsidR="00FB6710" w:rsidRPr="00183B5F" w:rsidRDefault="00FB6710" w:rsidP="004062FE">
      <w:pPr>
        <w:spacing w:line="240" w:lineRule="auto"/>
        <w:rPr>
          <w:szCs w:val="22"/>
        </w:rPr>
      </w:pPr>
    </w:p>
    <w:p w14:paraId="1338D018" w14:textId="77777777" w:rsidR="00FB6710" w:rsidRPr="00183B5F" w:rsidRDefault="00FB6710" w:rsidP="004062FE">
      <w:pPr>
        <w:spacing w:line="240" w:lineRule="auto"/>
        <w:rPr>
          <w:szCs w:val="22"/>
        </w:rPr>
      </w:pPr>
    </w:p>
    <w:p w14:paraId="0593F60D" w14:textId="77777777" w:rsidR="00FB6710" w:rsidRPr="00183B5F" w:rsidRDefault="00FB6710" w:rsidP="004062FE">
      <w:pPr>
        <w:spacing w:line="240" w:lineRule="auto"/>
        <w:rPr>
          <w:szCs w:val="22"/>
        </w:rPr>
      </w:pPr>
    </w:p>
    <w:p w14:paraId="1852FD97" w14:textId="77777777" w:rsidR="00FB6710" w:rsidRPr="00183B5F" w:rsidRDefault="00FB6710" w:rsidP="004062FE">
      <w:pPr>
        <w:spacing w:line="240" w:lineRule="auto"/>
        <w:rPr>
          <w:szCs w:val="22"/>
        </w:rPr>
      </w:pPr>
    </w:p>
    <w:p w14:paraId="42D73D9D" w14:textId="77777777" w:rsidR="00BE3482" w:rsidRPr="00183B5F" w:rsidRDefault="00BE3482" w:rsidP="004062FE">
      <w:pPr>
        <w:spacing w:line="240" w:lineRule="auto"/>
        <w:rPr>
          <w:szCs w:val="22"/>
        </w:rPr>
      </w:pPr>
    </w:p>
    <w:p w14:paraId="56637F11" w14:textId="77777777" w:rsidR="00FB6710" w:rsidRPr="00183B5F" w:rsidRDefault="00FB6710" w:rsidP="004062FE">
      <w:pPr>
        <w:spacing w:line="240" w:lineRule="auto"/>
        <w:rPr>
          <w:szCs w:val="22"/>
        </w:rPr>
      </w:pPr>
    </w:p>
    <w:p w14:paraId="420E82B9" w14:textId="77777777" w:rsidR="00FB6710" w:rsidRPr="00183B5F" w:rsidRDefault="00FB6710" w:rsidP="004062FE">
      <w:pPr>
        <w:spacing w:line="240" w:lineRule="auto"/>
        <w:rPr>
          <w:szCs w:val="22"/>
        </w:rPr>
      </w:pPr>
    </w:p>
    <w:p w14:paraId="41B9BAFD" w14:textId="77777777" w:rsidR="00FB6710" w:rsidRPr="00183B5F" w:rsidRDefault="00FB6710" w:rsidP="004062FE">
      <w:pPr>
        <w:spacing w:line="240" w:lineRule="auto"/>
        <w:rPr>
          <w:szCs w:val="22"/>
        </w:rPr>
      </w:pPr>
    </w:p>
    <w:p w14:paraId="0D475634" w14:textId="77777777" w:rsidR="00FB6710" w:rsidRPr="00183B5F" w:rsidRDefault="00FB6710" w:rsidP="004062FE">
      <w:pPr>
        <w:spacing w:line="240" w:lineRule="auto"/>
        <w:rPr>
          <w:szCs w:val="22"/>
        </w:rPr>
      </w:pPr>
    </w:p>
    <w:p w14:paraId="04C2B7A6" w14:textId="77777777" w:rsidR="00FB6710" w:rsidRPr="00183B5F" w:rsidRDefault="00FB6710" w:rsidP="004062FE">
      <w:pPr>
        <w:spacing w:line="240" w:lineRule="auto"/>
        <w:rPr>
          <w:szCs w:val="22"/>
        </w:rPr>
      </w:pPr>
    </w:p>
    <w:p w14:paraId="3D0C1BF8" w14:textId="77777777" w:rsidR="00FB6710" w:rsidRPr="00183B5F" w:rsidRDefault="00FB6710" w:rsidP="004062FE">
      <w:pPr>
        <w:spacing w:line="240" w:lineRule="auto"/>
        <w:rPr>
          <w:szCs w:val="22"/>
        </w:rPr>
      </w:pPr>
    </w:p>
    <w:p w14:paraId="1499C992" w14:textId="77777777" w:rsidR="00FB6710" w:rsidRPr="00183B5F" w:rsidRDefault="00943743" w:rsidP="004062FE">
      <w:pPr>
        <w:pStyle w:val="BMCENTRED"/>
        <w:spacing w:line="240" w:lineRule="auto"/>
      </w:pPr>
      <w:r w:rsidRPr="00183B5F">
        <w:t>B. BETEGTÁJÉKOZTATÓ</w:t>
      </w:r>
    </w:p>
    <w:p w14:paraId="6AD69CA9" w14:textId="77777777" w:rsidR="00FB6710" w:rsidRPr="00183B5F" w:rsidRDefault="00FB6710" w:rsidP="004062FE">
      <w:pPr>
        <w:spacing w:line="240" w:lineRule="auto"/>
        <w:jc w:val="center"/>
        <w:rPr>
          <w:b/>
          <w:szCs w:val="22"/>
        </w:rPr>
      </w:pPr>
    </w:p>
    <w:p w14:paraId="4644E931" w14:textId="77777777" w:rsidR="00366005" w:rsidRPr="00183B5F" w:rsidRDefault="00943743">
      <w:pPr>
        <w:widowControl w:val="0"/>
        <w:spacing w:line="240" w:lineRule="auto"/>
        <w:ind w:right="-2"/>
        <w:jc w:val="center"/>
        <w:rPr>
          <w:szCs w:val="22"/>
        </w:rPr>
      </w:pPr>
      <w:r w:rsidRPr="00183B5F">
        <w:rPr>
          <w:b/>
          <w:szCs w:val="22"/>
        </w:rPr>
        <w:br w:type="page"/>
      </w:r>
      <w:r w:rsidRPr="00183B5F">
        <w:rPr>
          <w:b/>
          <w:noProof/>
          <w:szCs w:val="24"/>
        </w:rPr>
        <w:t>Betegtájékoztató: Információk a felhasználó számára</w:t>
      </w:r>
    </w:p>
    <w:p w14:paraId="5CB2E8EC" w14:textId="77777777" w:rsidR="00366005" w:rsidRPr="00183B5F" w:rsidRDefault="00366005">
      <w:pPr>
        <w:spacing w:line="240" w:lineRule="auto"/>
        <w:jc w:val="center"/>
        <w:rPr>
          <w:szCs w:val="22"/>
        </w:rPr>
      </w:pPr>
    </w:p>
    <w:p w14:paraId="569E83B2" w14:textId="77777777" w:rsidR="00366005" w:rsidRPr="00183B5F" w:rsidRDefault="00943743">
      <w:pPr>
        <w:spacing w:line="240" w:lineRule="auto"/>
        <w:jc w:val="center"/>
        <w:rPr>
          <w:szCs w:val="22"/>
        </w:rPr>
      </w:pPr>
      <w:r w:rsidRPr="00183B5F">
        <w:rPr>
          <w:b/>
          <w:szCs w:val="22"/>
        </w:rPr>
        <w:t>Humira 20 mg oldatos injekció előretöltött fecskendőben</w:t>
      </w:r>
    </w:p>
    <w:p w14:paraId="1A2F14F7" w14:textId="77777777" w:rsidR="00366005" w:rsidRPr="00183B5F" w:rsidRDefault="00943743">
      <w:pPr>
        <w:spacing w:line="240" w:lineRule="auto"/>
        <w:jc w:val="center"/>
        <w:rPr>
          <w:bCs/>
          <w:szCs w:val="22"/>
        </w:rPr>
      </w:pPr>
      <w:r w:rsidRPr="00183B5F">
        <w:rPr>
          <w:bCs/>
          <w:szCs w:val="22"/>
        </w:rPr>
        <w:t>adalimumab</w:t>
      </w:r>
    </w:p>
    <w:p w14:paraId="1B43FE48" w14:textId="77777777" w:rsidR="00366005" w:rsidRPr="00183B5F" w:rsidRDefault="00366005">
      <w:pPr>
        <w:spacing w:line="240" w:lineRule="auto"/>
        <w:jc w:val="center"/>
        <w:rPr>
          <w:szCs w:val="22"/>
        </w:rPr>
      </w:pPr>
    </w:p>
    <w:p w14:paraId="1A7ECCA0" w14:textId="77777777" w:rsidR="00366005" w:rsidRPr="00183B5F" w:rsidRDefault="00943743">
      <w:pPr>
        <w:spacing w:line="240" w:lineRule="auto"/>
        <w:rPr>
          <w:szCs w:val="22"/>
        </w:rPr>
      </w:pPr>
      <w:r w:rsidRPr="00183B5F">
        <w:rPr>
          <w:b/>
          <w:szCs w:val="22"/>
        </w:rPr>
        <w:t>Mielőtt gyermeke elkezdi alkalmazni ezt a gyógyszert, olvassa el figyelmesen az alábbi betegtájékoztatót</w:t>
      </w:r>
      <w:r w:rsidRPr="00183B5F">
        <w:rPr>
          <w:b/>
          <w:noProof/>
          <w:szCs w:val="24"/>
        </w:rPr>
        <w:t>, mert az Ön számára fontos információkat tartalmaz</w:t>
      </w:r>
      <w:r w:rsidRPr="00183B5F">
        <w:rPr>
          <w:b/>
          <w:szCs w:val="22"/>
        </w:rPr>
        <w:t>.</w:t>
      </w:r>
    </w:p>
    <w:p w14:paraId="0D7CE002" w14:textId="77777777" w:rsidR="00366005" w:rsidRPr="00183B5F" w:rsidRDefault="00943743">
      <w:pPr>
        <w:numPr>
          <w:ilvl w:val="0"/>
          <w:numId w:val="156"/>
        </w:numPr>
        <w:spacing w:line="240" w:lineRule="auto"/>
        <w:rPr>
          <w:szCs w:val="22"/>
        </w:rPr>
      </w:pPr>
      <w:r w:rsidRPr="00183B5F">
        <w:rPr>
          <w:szCs w:val="22"/>
        </w:rPr>
        <w:t>Tartsa meg a betegtájékoztatót, mert a benne szereplő információkra a későbbiekben is szüksége lehet.</w:t>
      </w:r>
    </w:p>
    <w:p w14:paraId="0AAA63F4" w14:textId="77777777" w:rsidR="00366005" w:rsidRPr="00183B5F" w:rsidRDefault="00943743">
      <w:pPr>
        <w:numPr>
          <w:ilvl w:val="0"/>
          <w:numId w:val="157"/>
        </w:numPr>
        <w:spacing w:line="240" w:lineRule="auto"/>
        <w:rPr>
          <w:szCs w:val="22"/>
        </w:rPr>
      </w:pPr>
      <w:r w:rsidRPr="00183B5F">
        <w:rPr>
          <w:szCs w:val="22"/>
        </w:rPr>
        <w:t xml:space="preserve">Orvosától egy </w:t>
      </w:r>
      <w:r w:rsidR="0048779F" w:rsidRPr="00183B5F">
        <w:rPr>
          <w:b/>
          <w:szCs w:val="22"/>
        </w:rPr>
        <w:t>Betegemlékeztető</w:t>
      </w:r>
      <w:r w:rsidRPr="00183B5F">
        <w:rPr>
          <w:b/>
          <w:szCs w:val="22"/>
        </w:rPr>
        <w:t xml:space="preserve"> Kártyát</w:t>
      </w:r>
      <w:r w:rsidRPr="00183B5F">
        <w:rPr>
          <w:szCs w:val="22"/>
        </w:rPr>
        <w:t xml:space="preserve"> is fog kapni fontos biztonsági információkkal, amit gyermekénél a Humira alkalmazása előtt és a Humira-val történő kezelés során is figyelembe kell venni. Tartsa magánál vagy gyermekénél ezt a </w:t>
      </w:r>
      <w:r w:rsidR="0048779F" w:rsidRPr="00183B5F">
        <w:rPr>
          <w:b/>
          <w:szCs w:val="22"/>
        </w:rPr>
        <w:t>Betegemlékeztető</w:t>
      </w:r>
      <w:r w:rsidRPr="00183B5F">
        <w:rPr>
          <w:b/>
          <w:szCs w:val="22"/>
        </w:rPr>
        <w:t xml:space="preserve"> Kártyát</w:t>
      </w:r>
      <w:r w:rsidRPr="00183B5F">
        <w:rPr>
          <w:szCs w:val="22"/>
        </w:rPr>
        <w:t>.</w:t>
      </w:r>
    </w:p>
    <w:p w14:paraId="45C93619" w14:textId="77777777" w:rsidR="00366005" w:rsidRPr="00183B5F" w:rsidRDefault="00943743">
      <w:pPr>
        <w:numPr>
          <w:ilvl w:val="0"/>
          <w:numId w:val="157"/>
        </w:numPr>
        <w:spacing w:line="240" w:lineRule="auto"/>
        <w:rPr>
          <w:szCs w:val="22"/>
        </w:rPr>
      </w:pPr>
      <w:r w:rsidRPr="00183B5F">
        <w:rPr>
          <w:szCs w:val="22"/>
        </w:rPr>
        <w:t>További kérdéseivel forduljon kezelőorvosához vagy gyógyszerészéhez.</w:t>
      </w:r>
    </w:p>
    <w:p w14:paraId="532D283C" w14:textId="77777777" w:rsidR="00366005" w:rsidRPr="00183B5F" w:rsidRDefault="00943743">
      <w:pPr>
        <w:numPr>
          <w:ilvl w:val="0"/>
          <w:numId w:val="158"/>
        </w:numPr>
        <w:spacing w:line="240" w:lineRule="auto"/>
        <w:rPr>
          <w:szCs w:val="22"/>
        </w:rPr>
      </w:pPr>
      <w:r w:rsidRPr="00183B5F">
        <w:rPr>
          <w:szCs w:val="22"/>
        </w:rPr>
        <w:t>Ezt a gyógyszert az orvos kizárólag az Ön gyermekének írta fel. Ne adja át a készítményt másnak, mert számára ártalmas lehet még abban az esetben is, ha a betegsége tünetei az Ön gyermekénél jelentkezőkhöz hasonlóak.</w:t>
      </w:r>
    </w:p>
    <w:p w14:paraId="066D66C2" w14:textId="77777777" w:rsidR="00366005" w:rsidRPr="00183B5F" w:rsidRDefault="00943743">
      <w:pPr>
        <w:numPr>
          <w:ilvl w:val="0"/>
          <w:numId w:val="158"/>
        </w:numPr>
        <w:spacing w:line="240" w:lineRule="auto"/>
        <w:rPr>
          <w:szCs w:val="22"/>
        </w:rPr>
      </w:pPr>
      <w:r w:rsidRPr="00183B5F">
        <w:rPr>
          <w:szCs w:val="24"/>
        </w:rPr>
        <w:t xml:space="preserve">Ha </w:t>
      </w:r>
      <w:r w:rsidRPr="00183B5F">
        <w:rPr>
          <w:noProof/>
          <w:szCs w:val="24"/>
        </w:rPr>
        <w:t>gyermekénél bármilyen</w:t>
      </w:r>
      <w:r w:rsidRPr="00183B5F">
        <w:rPr>
          <w:szCs w:val="24"/>
        </w:rPr>
        <w:t xml:space="preserve"> mellékhatás </w:t>
      </w:r>
      <w:r w:rsidRPr="00183B5F">
        <w:rPr>
          <w:noProof/>
          <w:szCs w:val="24"/>
        </w:rPr>
        <w:t>jelentkezik, tájékoztassa erről gyermeke kezelőorvosát vagy gyógyszerészét. Ez</w:t>
      </w:r>
      <w:r w:rsidRPr="00183B5F">
        <w:rPr>
          <w:szCs w:val="24"/>
        </w:rPr>
        <w:t xml:space="preserve"> a betegtájékoztatóban </w:t>
      </w:r>
      <w:r w:rsidRPr="00183B5F">
        <w:rPr>
          <w:noProof/>
          <w:szCs w:val="24"/>
        </w:rPr>
        <w:t>fel nem sorolt bármilyen lehetséges mellékhatásra is vonatkozik (lásd 4. pont).</w:t>
      </w:r>
    </w:p>
    <w:p w14:paraId="2E0BD59A" w14:textId="77777777" w:rsidR="00366005" w:rsidRPr="00183B5F" w:rsidRDefault="00366005">
      <w:pPr>
        <w:spacing w:line="240" w:lineRule="auto"/>
        <w:ind w:right="-2"/>
        <w:rPr>
          <w:szCs w:val="22"/>
        </w:rPr>
      </w:pPr>
    </w:p>
    <w:p w14:paraId="170E4678" w14:textId="77777777" w:rsidR="00366005" w:rsidRPr="00183B5F" w:rsidRDefault="00943743">
      <w:pPr>
        <w:spacing w:line="240" w:lineRule="auto"/>
        <w:ind w:right="-2"/>
        <w:rPr>
          <w:b/>
          <w:szCs w:val="22"/>
        </w:rPr>
      </w:pPr>
      <w:r w:rsidRPr="00183B5F">
        <w:rPr>
          <w:b/>
          <w:szCs w:val="22"/>
        </w:rPr>
        <w:t>A betegtájékoztató tartalma:</w:t>
      </w:r>
    </w:p>
    <w:p w14:paraId="19B2350D" w14:textId="77777777" w:rsidR="00366005" w:rsidRPr="00183B5F" w:rsidRDefault="00943743">
      <w:pPr>
        <w:spacing w:line="240" w:lineRule="auto"/>
        <w:ind w:left="567" w:right="-29" w:hanging="567"/>
        <w:rPr>
          <w:szCs w:val="22"/>
        </w:rPr>
      </w:pPr>
      <w:r w:rsidRPr="00183B5F">
        <w:rPr>
          <w:szCs w:val="22"/>
        </w:rPr>
        <w:t>1.</w:t>
      </w:r>
      <w:r w:rsidRPr="00183B5F">
        <w:rPr>
          <w:szCs w:val="22"/>
        </w:rPr>
        <w:tab/>
        <w:t>Milyen típusú gyógyszer a Humira és milyen betegségek esetén alkalmazható?</w:t>
      </w:r>
    </w:p>
    <w:p w14:paraId="64A9E3D3" w14:textId="77777777" w:rsidR="00366005" w:rsidRPr="00183B5F" w:rsidRDefault="00943743">
      <w:pPr>
        <w:spacing w:line="240" w:lineRule="auto"/>
        <w:ind w:left="567" w:right="-29" w:hanging="567"/>
        <w:rPr>
          <w:szCs w:val="22"/>
        </w:rPr>
      </w:pPr>
      <w:r w:rsidRPr="00183B5F">
        <w:rPr>
          <w:szCs w:val="22"/>
        </w:rPr>
        <w:t>2.</w:t>
      </w:r>
      <w:r w:rsidRPr="00183B5F">
        <w:rPr>
          <w:szCs w:val="22"/>
        </w:rPr>
        <w:tab/>
        <w:t>Tudnivalók a Humira alkalmazása előtt</w:t>
      </w:r>
    </w:p>
    <w:p w14:paraId="64960704" w14:textId="77777777" w:rsidR="00366005" w:rsidRPr="00183B5F" w:rsidRDefault="00943743">
      <w:pPr>
        <w:spacing w:line="240" w:lineRule="auto"/>
        <w:ind w:left="567" w:right="-29" w:hanging="567"/>
        <w:rPr>
          <w:szCs w:val="22"/>
        </w:rPr>
      </w:pPr>
      <w:r w:rsidRPr="00183B5F">
        <w:rPr>
          <w:szCs w:val="22"/>
        </w:rPr>
        <w:t>3.</w:t>
      </w:r>
      <w:r w:rsidRPr="00183B5F">
        <w:rPr>
          <w:szCs w:val="22"/>
        </w:rPr>
        <w:tab/>
        <w:t>Hogyan kell alkalmazni a Humira-t?</w:t>
      </w:r>
    </w:p>
    <w:p w14:paraId="6A981DD6" w14:textId="77777777" w:rsidR="00366005" w:rsidRPr="00183B5F" w:rsidRDefault="00943743">
      <w:pPr>
        <w:spacing w:line="240" w:lineRule="auto"/>
        <w:ind w:left="567" w:right="-29" w:hanging="567"/>
        <w:rPr>
          <w:szCs w:val="22"/>
        </w:rPr>
      </w:pPr>
      <w:r w:rsidRPr="00183B5F">
        <w:rPr>
          <w:szCs w:val="22"/>
        </w:rPr>
        <w:t>4.</w:t>
      </w:r>
      <w:r w:rsidRPr="00183B5F">
        <w:rPr>
          <w:szCs w:val="22"/>
        </w:rPr>
        <w:tab/>
        <w:t>Lehetséges mellékhatások</w:t>
      </w:r>
    </w:p>
    <w:p w14:paraId="68BD7E78" w14:textId="77777777" w:rsidR="00366005" w:rsidRPr="00183B5F" w:rsidRDefault="00943743">
      <w:pPr>
        <w:spacing w:line="240" w:lineRule="auto"/>
        <w:ind w:left="567" w:right="-29" w:hanging="567"/>
        <w:rPr>
          <w:szCs w:val="22"/>
        </w:rPr>
      </w:pPr>
      <w:r w:rsidRPr="00183B5F">
        <w:rPr>
          <w:szCs w:val="22"/>
        </w:rPr>
        <w:t>5.</w:t>
      </w:r>
      <w:r w:rsidRPr="00183B5F">
        <w:rPr>
          <w:szCs w:val="22"/>
        </w:rPr>
        <w:tab/>
        <w:t>Hogyan kell a Humira</w:t>
      </w:r>
      <w:r w:rsidRPr="00183B5F">
        <w:rPr>
          <w:szCs w:val="22"/>
        </w:rPr>
        <w:noBreakHyphen/>
        <w:t>t tárolni?</w:t>
      </w:r>
    </w:p>
    <w:p w14:paraId="48A9B8BB" w14:textId="77777777" w:rsidR="00366005" w:rsidRPr="00183B5F" w:rsidRDefault="00943743">
      <w:pPr>
        <w:spacing w:line="240" w:lineRule="auto"/>
        <w:ind w:left="567" w:right="-29" w:hanging="567"/>
        <w:rPr>
          <w:szCs w:val="22"/>
        </w:rPr>
      </w:pPr>
      <w:r w:rsidRPr="00183B5F">
        <w:rPr>
          <w:szCs w:val="22"/>
        </w:rPr>
        <w:t>6.</w:t>
      </w:r>
      <w:r w:rsidRPr="00183B5F">
        <w:rPr>
          <w:szCs w:val="22"/>
        </w:rPr>
        <w:tab/>
      </w:r>
      <w:r w:rsidRPr="00183B5F">
        <w:rPr>
          <w:noProof/>
          <w:szCs w:val="24"/>
        </w:rPr>
        <w:t>A csomagolás tartalma és egyéb</w:t>
      </w:r>
      <w:r w:rsidRPr="00183B5F">
        <w:rPr>
          <w:szCs w:val="22"/>
        </w:rPr>
        <w:t xml:space="preserve"> információk</w:t>
      </w:r>
    </w:p>
    <w:p w14:paraId="3220B06E" w14:textId="77777777" w:rsidR="00366005" w:rsidRPr="00183B5F" w:rsidRDefault="00943743" w:rsidP="00DA71A8">
      <w:pPr>
        <w:spacing w:line="240" w:lineRule="auto"/>
        <w:ind w:left="567" w:right="-29" w:hanging="567"/>
        <w:rPr>
          <w:szCs w:val="22"/>
        </w:rPr>
      </w:pPr>
      <w:r w:rsidRPr="00183B5F">
        <w:rPr>
          <w:szCs w:val="22"/>
        </w:rPr>
        <w:t>7.</w:t>
      </w:r>
      <w:r w:rsidRPr="00183B5F">
        <w:rPr>
          <w:szCs w:val="22"/>
        </w:rPr>
        <w:tab/>
      </w:r>
      <w:r w:rsidR="006F2DCB" w:rsidRPr="00183B5F">
        <w:rPr>
          <w:szCs w:val="22"/>
        </w:rPr>
        <w:t>A Humira beadása</w:t>
      </w:r>
    </w:p>
    <w:p w14:paraId="2B1D4547" w14:textId="77777777" w:rsidR="006F2DCB" w:rsidRPr="00183B5F" w:rsidRDefault="006F2DCB" w:rsidP="00DA71A8">
      <w:pPr>
        <w:spacing w:line="240" w:lineRule="auto"/>
        <w:ind w:left="567" w:right="-29" w:hanging="567"/>
        <w:rPr>
          <w:szCs w:val="22"/>
        </w:rPr>
      </w:pPr>
    </w:p>
    <w:p w14:paraId="1CF77C0D" w14:textId="77777777" w:rsidR="00366005" w:rsidRPr="00183B5F" w:rsidRDefault="00366005">
      <w:pPr>
        <w:spacing w:line="240" w:lineRule="auto"/>
        <w:ind w:right="-2"/>
        <w:rPr>
          <w:szCs w:val="22"/>
        </w:rPr>
      </w:pPr>
    </w:p>
    <w:p w14:paraId="5D5ECE98" w14:textId="77777777" w:rsidR="00366005" w:rsidRPr="00183B5F" w:rsidRDefault="00943743">
      <w:pPr>
        <w:spacing w:line="240" w:lineRule="auto"/>
        <w:ind w:left="567" w:right="-2" w:hanging="567"/>
        <w:rPr>
          <w:b/>
          <w:szCs w:val="22"/>
        </w:rPr>
      </w:pPr>
      <w:r w:rsidRPr="00183B5F">
        <w:rPr>
          <w:b/>
          <w:szCs w:val="22"/>
        </w:rPr>
        <w:t>1.</w:t>
      </w:r>
      <w:r w:rsidRPr="00183B5F">
        <w:rPr>
          <w:b/>
          <w:szCs w:val="22"/>
        </w:rPr>
        <w:tab/>
        <w:t>Milyen típusú gyógyszer a Humira és milyen betegségek esetén alkalmazható?</w:t>
      </w:r>
    </w:p>
    <w:p w14:paraId="19288F30" w14:textId="77777777" w:rsidR="00366005" w:rsidRPr="00183B5F" w:rsidRDefault="00366005">
      <w:pPr>
        <w:spacing w:line="240" w:lineRule="auto"/>
        <w:ind w:right="-2"/>
        <w:rPr>
          <w:szCs w:val="22"/>
        </w:rPr>
      </w:pPr>
    </w:p>
    <w:p w14:paraId="4409E27A" w14:textId="77777777" w:rsidR="00366005" w:rsidRPr="00183B5F" w:rsidRDefault="00943743">
      <w:pPr>
        <w:spacing w:line="240" w:lineRule="auto"/>
        <w:ind w:right="-2"/>
        <w:rPr>
          <w:szCs w:val="22"/>
        </w:rPr>
      </w:pPr>
      <w:r w:rsidRPr="00183B5F">
        <w:rPr>
          <w:szCs w:val="22"/>
        </w:rPr>
        <w:t>A Humira hatóanyaga az adalimumab.</w:t>
      </w:r>
    </w:p>
    <w:p w14:paraId="4A424B72" w14:textId="77777777" w:rsidR="00366005" w:rsidRPr="00183B5F" w:rsidRDefault="00366005">
      <w:pPr>
        <w:spacing w:line="240" w:lineRule="auto"/>
        <w:ind w:right="-2"/>
        <w:rPr>
          <w:szCs w:val="22"/>
        </w:rPr>
      </w:pPr>
    </w:p>
    <w:p w14:paraId="6C55282E" w14:textId="77777777" w:rsidR="00366005" w:rsidRPr="00183B5F" w:rsidRDefault="00943743">
      <w:pPr>
        <w:spacing w:line="240" w:lineRule="auto"/>
        <w:ind w:right="-2"/>
        <w:rPr>
          <w:szCs w:val="22"/>
        </w:rPr>
      </w:pPr>
      <w:r w:rsidRPr="00183B5F">
        <w:rPr>
          <w:szCs w:val="22"/>
        </w:rPr>
        <w:t>A Humira az alábbi gyulladásos betegségek kezelésére alkalmazható:</w:t>
      </w:r>
    </w:p>
    <w:p w14:paraId="19F36FC3" w14:textId="77777777" w:rsidR="00366005" w:rsidRPr="00183B5F" w:rsidRDefault="00943743">
      <w:pPr>
        <w:numPr>
          <w:ilvl w:val="0"/>
          <w:numId w:val="159"/>
        </w:numPr>
        <w:spacing w:line="240" w:lineRule="auto"/>
        <w:ind w:right="-2"/>
        <w:rPr>
          <w:szCs w:val="22"/>
        </w:rPr>
      </w:pPr>
      <w:r w:rsidRPr="00183B5F">
        <w:rPr>
          <w:szCs w:val="22"/>
        </w:rPr>
        <w:t>Gyermekkori ismeretlen eredetű sokízületi gyulladás (poliartikuláris juvenilis idiopátiás artritisz)</w:t>
      </w:r>
    </w:p>
    <w:p w14:paraId="2B1359D8" w14:textId="77777777" w:rsidR="00366005" w:rsidRPr="00183B5F" w:rsidRDefault="00943743">
      <w:pPr>
        <w:numPr>
          <w:ilvl w:val="0"/>
          <w:numId w:val="159"/>
        </w:numPr>
        <w:spacing w:line="240" w:lineRule="auto"/>
        <w:ind w:right="-2"/>
        <w:rPr>
          <w:szCs w:val="22"/>
        </w:rPr>
      </w:pPr>
      <w:r w:rsidRPr="00183B5F">
        <w:rPr>
          <w:szCs w:val="22"/>
        </w:rPr>
        <w:t xml:space="preserve">Az </w:t>
      </w:r>
      <w:r w:rsidR="00E3515C" w:rsidRPr="00183B5F">
        <w:rPr>
          <w:szCs w:val="22"/>
        </w:rPr>
        <w:t>i</w:t>
      </w:r>
      <w:r w:rsidRPr="00183B5F">
        <w:rPr>
          <w:szCs w:val="22"/>
        </w:rPr>
        <w:t>nak tapadási hely</w:t>
      </w:r>
      <w:r w:rsidR="00E3515C" w:rsidRPr="00183B5F">
        <w:rPr>
          <w:szCs w:val="22"/>
        </w:rPr>
        <w:t>é</w:t>
      </w:r>
      <w:r w:rsidRPr="00183B5F">
        <w:rPr>
          <w:szCs w:val="22"/>
        </w:rPr>
        <w:t>nek gyulladásos elváltozásával társult reumás ízületi gyulladás (entezitisszel társult artritisz)</w:t>
      </w:r>
    </w:p>
    <w:p w14:paraId="206A6A52" w14:textId="77777777" w:rsidR="00366005" w:rsidRPr="00183B5F" w:rsidRDefault="00943743">
      <w:pPr>
        <w:numPr>
          <w:ilvl w:val="0"/>
          <w:numId w:val="159"/>
        </w:numPr>
        <w:suppressAutoHyphens w:val="0"/>
        <w:autoSpaceDE w:val="0"/>
        <w:autoSpaceDN w:val="0"/>
        <w:adjustRightInd w:val="0"/>
        <w:spacing w:line="240" w:lineRule="auto"/>
        <w:ind w:left="714" w:hanging="357"/>
        <w:rPr>
          <w:szCs w:val="22"/>
        </w:rPr>
      </w:pPr>
      <w:r w:rsidRPr="00183B5F">
        <w:rPr>
          <w:szCs w:val="22"/>
        </w:rPr>
        <w:t xml:space="preserve">Gyermekkori plakkos pszoriázis </w:t>
      </w:r>
    </w:p>
    <w:p w14:paraId="2D7D7DC5" w14:textId="77777777" w:rsidR="00366005" w:rsidRPr="00183B5F" w:rsidRDefault="00943743">
      <w:pPr>
        <w:numPr>
          <w:ilvl w:val="0"/>
          <w:numId w:val="159"/>
        </w:numPr>
        <w:suppressAutoHyphens w:val="0"/>
        <w:autoSpaceDE w:val="0"/>
        <w:autoSpaceDN w:val="0"/>
        <w:adjustRightInd w:val="0"/>
        <w:spacing w:line="240" w:lineRule="auto"/>
        <w:ind w:left="714" w:right="-2" w:hanging="357"/>
        <w:rPr>
          <w:szCs w:val="22"/>
        </w:rPr>
      </w:pPr>
      <w:r w:rsidRPr="00183B5F">
        <w:rPr>
          <w:szCs w:val="22"/>
        </w:rPr>
        <w:t>A bélfal minden rétegére kiterjedő, nem fertőzéses eredetű gyulladás (gyermekkori Crohn</w:t>
      </w:r>
      <w:r w:rsidRPr="00183B5F">
        <w:rPr>
          <w:szCs w:val="22"/>
        </w:rPr>
        <w:noBreakHyphen/>
        <w:t>betegség)</w:t>
      </w:r>
    </w:p>
    <w:p w14:paraId="424EA7F6" w14:textId="77777777" w:rsidR="00366005" w:rsidRPr="00183B5F" w:rsidRDefault="00943743">
      <w:pPr>
        <w:numPr>
          <w:ilvl w:val="0"/>
          <w:numId w:val="159"/>
        </w:numPr>
        <w:suppressAutoHyphens w:val="0"/>
        <w:autoSpaceDE w:val="0"/>
        <w:autoSpaceDN w:val="0"/>
        <w:adjustRightInd w:val="0"/>
        <w:spacing w:line="240" w:lineRule="auto"/>
        <w:ind w:left="714" w:right="-2" w:hanging="357"/>
        <w:rPr>
          <w:szCs w:val="22"/>
        </w:rPr>
      </w:pPr>
      <w:r w:rsidRPr="00183B5F">
        <w:rPr>
          <w:szCs w:val="22"/>
        </w:rPr>
        <w:t>Gyermekkori nem fertőzéses eredetű szemgyulladás (uveitisz)</w:t>
      </w:r>
    </w:p>
    <w:p w14:paraId="5E8E6773" w14:textId="77777777" w:rsidR="00366005" w:rsidRPr="00183B5F" w:rsidRDefault="00366005">
      <w:pPr>
        <w:spacing w:line="240" w:lineRule="auto"/>
        <w:ind w:right="-2"/>
        <w:rPr>
          <w:szCs w:val="22"/>
        </w:rPr>
      </w:pPr>
    </w:p>
    <w:p w14:paraId="182393E0" w14:textId="77777777" w:rsidR="00366005" w:rsidRPr="00183B5F" w:rsidRDefault="00943743">
      <w:pPr>
        <w:spacing w:line="240" w:lineRule="auto"/>
        <w:ind w:right="-2"/>
        <w:rPr>
          <w:szCs w:val="22"/>
        </w:rPr>
      </w:pPr>
      <w:r w:rsidRPr="00183B5F">
        <w:rPr>
          <w:szCs w:val="22"/>
        </w:rPr>
        <w:t>A Humira hatóanyaga, az adalimumab egy emberi monoklonális antitest (ellenanyag). A monoklonális antitestek fehérjék, amelyek speciális célponthoz kötődnek.</w:t>
      </w:r>
    </w:p>
    <w:p w14:paraId="27ECBDD6" w14:textId="77777777" w:rsidR="00366005" w:rsidRPr="00183B5F" w:rsidRDefault="00366005">
      <w:pPr>
        <w:spacing w:line="240" w:lineRule="auto"/>
        <w:ind w:right="-2"/>
        <w:rPr>
          <w:szCs w:val="22"/>
        </w:rPr>
      </w:pPr>
    </w:p>
    <w:p w14:paraId="403B7CD4" w14:textId="77777777" w:rsidR="00366005" w:rsidRPr="00183B5F" w:rsidRDefault="00943743">
      <w:pPr>
        <w:spacing w:line="240" w:lineRule="auto"/>
        <w:ind w:right="-2"/>
        <w:rPr>
          <w:szCs w:val="22"/>
        </w:rPr>
      </w:pPr>
      <w:r w:rsidRPr="00183B5F">
        <w:rPr>
          <w:szCs w:val="22"/>
        </w:rPr>
        <w:t>Az adalim</w:t>
      </w:r>
      <w:r w:rsidR="0036605D" w:rsidRPr="00183B5F">
        <w:rPr>
          <w:szCs w:val="22"/>
        </w:rPr>
        <w:t>um</w:t>
      </w:r>
      <w:r w:rsidRPr="00183B5F">
        <w:rPr>
          <w:szCs w:val="22"/>
        </w:rPr>
        <w:t>ab célpontja a tumor nekrózis faktor (TNF</w:t>
      </w:r>
      <w:r w:rsidRPr="00183B5F">
        <w:rPr>
          <w:noProof/>
          <w:color w:val="000000"/>
          <w:szCs w:val="22"/>
        </w:rPr>
        <w:t>α</w:t>
      </w:r>
      <w:r w:rsidRPr="00183B5F">
        <w:rPr>
          <w:szCs w:val="22"/>
        </w:rPr>
        <w:t xml:space="preserve">) nevű fehérje, mely az immun (védekező) rendszer működésében vesz részt, és a fent felsorolt gyulladásos betegségekben </w:t>
      </w:r>
      <w:r w:rsidR="0089127C" w:rsidRPr="00183B5F">
        <w:rPr>
          <w:szCs w:val="22"/>
        </w:rPr>
        <w:t>megnövekedett</w:t>
      </w:r>
      <w:r w:rsidRPr="00183B5F">
        <w:rPr>
          <w:szCs w:val="22"/>
        </w:rPr>
        <w:t xml:space="preserve"> mennyiségben van jelen. A TNF</w:t>
      </w:r>
      <w:r w:rsidRPr="00183B5F">
        <w:rPr>
          <w:noProof/>
          <w:color w:val="000000"/>
          <w:szCs w:val="22"/>
        </w:rPr>
        <w:t>α</w:t>
      </w:r>
      <w:r w:rsidRPr="00183B5F">
        <w:rPr>
          <w:szCs w:val="22"/>
        </w:rPr>
        <w:noBreakHyphen/>
        <w:t>hoz való kötődéssel a Humira csökkenti ezen betegségek gyulladásos folyamatait.</w:t>
      </w:r>
    </w:p>
    <w:p w14:paraId="4530B2CC" w14:textId="77777777" w:rsidR="00366005" w:rsidRPr="00183B5F" w:rsidRDefault="00366005">
      <w:pPr>
        <w:spacing w:line="240" w:lineRule="auto"/>
        <w:ind w:right="-2"/>
        <w:rPr>
          <w:szCs w:val="22"/>
        </w:rPr>
      </w:pPr>
    </w:p>
    <w:p w14:paraId="78481785" w14:textId="77777777" w:rsidR="00366005" w:rsidRPr="00183B5F" w:rsidRDefault="00943743" w:rsidP="00622AE7">
      <w:pPr>
        <w:keepNext/>
        <w:spacing w:line="240" w:lineRule="auto"/>
        <w:rPr>
          <w:szCs w:val="22"/>
          <w:u w:val="single"/>
        </w:rPr>
      </w:pPr>
      <w:r w:rsidRPr="00183B5F">
        <w:rPr>
          <w:szCs w:val="22"/>
          <w:u w:val="single"/>
        </w:rPr>
        <w:t>Poliartikuláris juvenilis idiopátiás artritisz</w:t>
      </w:r>
    </w:p>
    <w:p w14:paraId="00BB3A3D" w14:textId="77777777" w:rsidR="00366005" w:rsidRPr="00183B5F" w:rsidRDefault="00366005" w:rsidP="00622AE7">
      <w:pPr>
        <w:keepNext/>
        <w:spacing w:line="240" w:lineRule="auto"/>
        <w:rPr>
          <w:szCs w:val="22"/>
          <w:u w:val="single"/>
        </w:rPr>
      </w:pPr>
    </w:p>
    <w:p w14:paraId="29B5DF73" w14:textId="77777777" w:rsidR="00366005" w:rsidRPr="00183B5F" w:rsidRDefault="00943743">
      <w:pPr>
        <w:spacing w:line="240" w:lineRule="auto"/>
        <w:ind w:right="-2"/>
        <w:rPr>
          <w:szCs w:val="22"/>
        </w:rPr>
      </w:pPr>
      <w:r w:rsidRPr="00183B5F">
        <w:rPr>
          <w:szCs w:val="22"/>
        </w:rPr>
        <w:t>A gyermekkori ismeretlen eredetű sokízületi gyulladás az ízületek gyulladásos betegsége, mely rendszerint elsőként gyerekkorban jelentkezik.</w:t>
      </w:r>
    </w:p>
    <w:p w14:paraId="4149F57A" w14:textId="77777777" w:rsidR="00366005" w:rsidRPr="00183B5F" w:rsidRDefault="00366005">
      <w:pPr>
        <w:spacing w:line="240" w:lineRule="auto"/>
        <w:ind w:right="-2"/>
        <w:rPr>
          <w:szCs w:val="22"/>
          <w:u w:val="single"/>
        </w:rPr>
      </w:pPr>
    </w:p>
    <w:p w14:paraId="4D5B1F3A" w14:textId="77777777" w:rsidR="00366005" w:rsidRPr="00183B5F" w:rsidRDefault="00943743" w:rsidP="00DA71A8">
      <w:pPr>
        <w:spacing w:line="240" w:lineRule="auto"/>
        <w:ind w:right="-2"/>
        <w:rPr>
          <w:szCs w:val="22"/>
        </w:rPr>
      </w:pPr>
      <w:r w:rsidRPr="00183B5F">
        <w:rPr>
          <w:szCs w:val="22"/>
        </w:rPr>
        <w:t xml:space="preserve">A Humira 2 éves kortól alkalmazható a gyermekkori ismeretlen eredetű sokízületi gyulladás (poliartikuláris juvenilis idiopátiás artritisz) kezelésére. </w:t>
      </w:r>
      <w:r w:rsidR="006F2DCB" w:rsidRPr="00183B5F">
        <w:rPr>
          <w:szCs w:val="22"/>
        </w:rPr>
        <w:t>Gyermeke</w:t>
      </w:r>
      <w:r w:rsidRPr="00183B5F">
        <w:rPr>
          <w:szCs w:val="22"/>
        </w:rPr>
        <w:t xml:space="preserve"> először egyéb betegséget módosító gyógyszereket (</w:t>
      </w:r>
      <w:r w:rsidR="00F15477" w:rsidRPr="00183B5F">
        <w:rPr>
          <w:bCs/>
          <w:szCs w:val="22"/>
        </w:rPr>
        <w:t>például</w:t>
      </w:r>
      <w:r w:rsidRPr="00183B5F">
        <w:rPr>
          <w:szCs w:val="22"/>
        </w:rPr>
        <w:t xml:space="preserve"> metotrexátot) kaphat. Ha ezek a gyógyszerek nem hatnak megfelelően, akkor fog </w:t>
      </w:r>
      <w:r w:rsidR="006F2DCB" w:rsidRPr="00183B5F">
        <w:rPr>
          <w:szCs w:val="22"/>
        </w:rPr>
        <w:t>gyermeke</w:t>
      </w:r>
      <w:r w:rsidRPr="00183B5F">
        <w:rPr>
          <w:szCs w:val="22"/>
        </w:rPr>
        <w:t xml:space="preserve"> a poliartikuláris juvenilis idiopátiás artritisz kezelésére</w:t>
      </w:r>
      <w:r w:rsidR="0089127C" w:rsidRPr="00183B5F">
        <w:rPr>
          <w:szCs w:val="22"/>
        </w:rPr>
        <w:t xml:space="preserve"> Humira</w:t>
      </w:r>
      <w:r w:rsidR="0089127C" w:rsidRPr="00183B5F">
        <w:rPr>
          <w:szCs w:val="22"/>
        </w:rPr>
        <w:noBreakHyphen/>
        <w:t>t kapni</w:t>
      </w:r>
      <w:r w:rsidRPr="00183B5F">
        <w:rPr>
          <w:szCs w:val="22"/>
        </w:rPr>
        <w:t>.</w:t>
      </w:r>
    </w:p>
    <w:p w14:paraId="3BC9C465" w14:textId="77777777" w:rsidR="00366005" w:rsidRPr="00183B5F" w:rsidRDefault="00366005">
      <w:pPr>
        <w:spacing w:line="240" w:lineRule="auto"/>
        <w:ind w:right="-2"/>
        <w:rPr>
          <w:szCs w:val="22"/>
        </w:rPr>
      </w:pPr>
    </w:p>
    <w:p w14:paraId="468025BE" w14:textId="77777777" w:rsidR="00366005" w:rsidRPr="00183B5F" w:rsidRDefault="00943743">
      <w:pPr>
        <w:spacing w:line="240" w:lineRule="auto"/>
        <w:ind w:right="-2"/>
        <w:rPr>
          <w:szCs w:val="22"/>
        </w:rPr>
      </w:pPr>
      <w:r w:rsidRPr="00183B5F">
        <w:rPr>
          <w:szCs w:val="22"/>
        </w:rPr>
        <w:t>Kezelőorvosa fogja eldönteni, hogy a Humira-t metotrexáttal együtt, vagy önmagában alkalmazza.</w:t>
      </w:r>
    </w:p>
    <w:p w14:paraId="3D34B5B4" w14:textId="77777777" w:rsidR="00366005" w:rsidRPr="00183B5F" w:rsidRDefault="00366005">
      <w:pPr>
        <w:spacing w:line="240" w:lineRule="auto"/>
      </w:pPr>
    </w:p>
    <w:p w14:paraId="2A2B7F67" w14:textId="77777777" w:rsidR="00366005" w:rsidRPr="00183B5F" w:rsidRDefault="00943743">
      <w:pPr>
        <w:spacing w:line="240" w:lineRule="auto"/>
        <w:ind w:right="-2"/>
        <w:rPr>
          <w:szCs w:val="22"/>
          <w:u w:val="single"/>
        </w:rPr>
      </w:pPr>
      <w:r w:rsidRPr="00183B5F">
        <w:rPr>
          <w:szCs w:val="22"/>
          <w:u w:val="single"/>
        </w:rPr>
        <w:t>Entezitisszel társult artritisz</w:t>
      </w:r>
    </w:p>
    <w:p w14:paraId="61C3510E" w14:textId="77777777" w:rsidR="00366005" w:rsidRPr="00183B5F" w:rsidRDefault="00366005">
      <w:pPr>
        <w:spacing w:line="240" w:lineRule="auto"/>
        <w:ind w:right="-2"/>
        <w:rPr>
          <w:szCs w:val="22"/>
        </w:rPr>
      </w:pPr>
    </w:p>
    <w:p w14:paraId="1D098099" w14:textId="77777777" w:rsidR="00366005" w:rsidRPr="00183B5F" w:rsidRDefault="00943743">
      <w:pPr>
        <w:spacing w:line="240" w:lineRule="auto"/>
        <w:ind w:right="-2"/>
        <w:rPr>
          <w:szCs w:val="22"/>
        </w:rPr>
      </w:pPr>
      <w:r w:rsidRPr="00183B5F">
        <w:rPr>
          <w:szCs w:val="22"/>
        </w:rPr>
        <w:t xml:space="preserve">Az entezitisszel társult artritisz az </w:t>
      </w:r>
      <w:r w:rsidR="00E3515C" w:rsidRPr="00183B5F">
        <w:rPr>
          <w:szCs w:val="22"/>
        </w:rPr>
        <w:t>i</w:t>
      </w:r>
      <w:r w:rsidRPr="00183B5F">
        <w:rPr>
          <w:szCs w:val="22"/>
        </w:rPr>
        <w:t>nak tapadási hely</w:t>
      </w:r>
      <w:r w:rsidR="00E3515C" w:rsidRPr="00183B5F">
        <w:rPr>
          <w:szCs w:val="22"/>
        </w:rPr>
        <w:t>é</w:t>
      </w:r>
      <w:r w:rsidRPr="00183B5F">
        <w:rPr>
          <w:szCs w:val="22"/>
        </w:rPr>
        <w:t>nek gyulladásos elváltozásával társult reumás ízületi gyulladás.</w:t>
      </w:r>
    </w:p>
    <w:p w14:paraId="10972063" w14:textId="77777777" w:rsidR="00366005" w:rsidRPr="00183B5F" w:rsidRDefault="00366005">
      <w:pPr>
        <w:spacing w:line="240" w:lineRule="auto"/>
        <w:ind w:right="-2"/>
        <w:rPr>
          <w:szCs w:val="22"/>
        </w:rPr>
      </w:pPr>
    </w:p>
    <w:p w14:paraId="10C22F4A" w14:textId="77777777" w:rsidR="00366005" w:rsidRPr="00183B5F" w:rsidRDefault="00943743" w:rsidP="00DA71A8">
      <w:pPr>
        <w:spacing w:line="240" w:lineRule="auto"/>
        <w:ind w:right="-2"/>
        <w:rPr>
          <w:szCs w:val="22"/>
        </w:rPr>
      </w:pPr>
      <w:r w:rsidRPr="00183B5F">
        <w:rPr>
          <w:szCs w:val="22"/>
        </w:rPr>
        <w:t xml:space="preserve">A Humira 6 éves kortól alkalmazható az entezitisszel társult artritisz kezelésére. </w:t>
      </w:r>
      <w:r w:rsidR="006F2DCB" w:rsidRPr="00183B5F">
        <w:rPr>
          <w:szCs w:val="22"/>
        </w:rPr>
        <w:t>Gyermeke</w:t>
      </w:r>
      <w:r w:rsidRPr="00183B5F">
        <w:rPr>
          <w:szCs w:val="22"/>
        </w:rPr>
        <w:t xml:space="preserve"> először egyéb betegséget módosító gyógyszereket (</w:t>
      </w:r>
      <w:r w:rsidR="00F15477" w:rsidRPr="00183B5F">
        <w:rPr>
          <w:bCs/>
          <w:szCs w:val="22"/>
        </w:rPr>
        <w:t>például</w:t>
      </w:r>
      <w:r w:rsidRPr="00183B5F">
        <w:rPr>
          <w:szCs w:val="22"/>
        </w:rPr>
        <w:t xml:space="preserve"> metotrexátot) kaphat. Ha ezek a gyógyszerek nem hatnak megfelelően, akkor fog </w:t>
      </w:r>
      <w:r w:rsidR="006F2DCB" w:rsidRPr="00183B5F">
        <w:rPr>
          <w:szCs w:val="22"/>
        </w:rPr>
        <w:t xml:space="preserve">gyermeke </w:t>
      </w:r>
      <w:r w:rsidRPr="00183B5F">
        <w:rPr>
          <w:szCs w:val="22"/>
        </w:rPr>
        <w:t>az entezitisszel társult artritisz kezelésre</w:t>
      </w:r>
      <w:r w:rsidR="006D0725" w:rsidRPr="00183B5F">
        <w:rPr>
          <w:szCs w:val="22"/>
        </w:rPr>
        <w:t xml:space="preserve"> Humira</w:t>
      </w:r>
      <w:r w:rsidR="006D0725" w:rsidRPr="00183B5F">
        <w:rPr>
          <w:szCs w:val="22"/>
        </w:rPr>
        <w:noBreakHyphen/>
        <w:t>t kapni</w:t>
      </w:r>
      <w:r w:rsidRPr="00183B5F">
        <w:rPr>
          <w:szCs w:val="22"/>
        </w:rPr>
        <w:t>.</w:t>
      </w:r>
    </w:p>
    <w:p w14:paraId="049CDBA4" w14:textId="77777777" w:rsidR="00366005" w:rsidRPr="00183B5F" w:rsidRDefault="00366005">
      <w:pPr>
        <w:spacing w:line="240" w:lineRule="auto"/>
        <w:ind w:right="-2"/>
        <w:rPr>
          <w:szCs w:val="22"/>
        </w:rPr>
      </w:pPr>
    </w:p>
    <w:p w14:paraId="10A2C712" w14:textId="77777777" w:rsidR="00366005" w:rsidRPr="00183B5F" w:rsidRDefault="00943743">
      <w:pPr>
        <w:pStyle w:val="DefaultText"/>
        <w:rPr>
          <w:rFonts w:ascii="Times New Roman" w:hAnsi="Times New Roman"/>
          <w:szCs w:val="22"/>
          <w:u w:val="single"/>
          <w:lang w:val="hu-HU"/>
        </w:rPr>
      </w:pPr>
      <w:r w:rsidRPr="00183B5F">
        <w:rPr>
          <w:rFonts w:ascii="Times New Roman" w:hAnsi="Times New Roman"/>
          <w:szCs w:val="22"/>
          <w:u w:val="single"/>
          <w:lang w:val="hu-HU"/>
        </w:rPr>
        <w:t>Gyermekkori plakkos pszoriázis (pikkelysömör)</w:t>
      </w:r>
    </w:p>
    <w:p w14:paraId="4FBBC29F" w14:textId="77777777" w:rsidR="00366005" w:rsidRPr="00183B5F" w:rsidRDefault="00366005">
      <w:pPr>
        <w:pStyle w:val="DefaultText"/>
        <w:rPr>
          <w:rFonts w:ascii="Times New Roman" w:hAnsi="Times New Roman"/>
          <w:szCs w:val="22"/>
          <w:u w:val="single"/>
          <w:lang w:val="hu-HU"/>
        </w:rPr>
      </w:pPr>
    </w:p>
    <w:p w14:paraId="712639BB" w14:textId="77777777" w:rsidR="00366005" w:rsidRPr="00183B5F" w:rsidRDefault="00943743">
      <w:pPr>
        <w:pStyle w:val="DefaultText"/>
        <w:rPr>
          <w:lang w:val="hu-HU"/>
        </w:rPr>
      </w:pPr>
      <w:r w:rsidRPr="00183B5F">
        <w:rPr>
          <w:rFonts w:ascii="Times New Roman" w:hAnsi="Times New Roman"/>
          <w:szCs w:val="22"/>
          <w:lang w:val="hu-HU"/>
        </w:rPr>
        <w:t xml:space="preserve">A plakkos </w:t>
      </w:r>
      <w:r w:rsidRPr="00183B5F">
        <w:rPr>
          <w:rFonts w:ascii="Times New Roman" w:hAnsi="Times New Roman"/>
          <w:bCs w:val="0"/>
          <w:szCs w:val="22"/>
          <w:lang w:val="hu-HU"/>
        </w:rPr>
        <w:t>pszoriázis</w:t>
      </w:r>
      <w:r w:rsidRPr="00183B5F">
        <w:rPr>
          <w:bCs w:val="0"/>
          <w:szCs w:val="22"/>
          <w:lang w:val="hu-HU"/>
        </w:rPr>
        <w:t xml:space="preserve"> </w:t>
      </w:r>
      <w:r w:rsidRPr="00183B5F">
        <w:rPr>
          <w:rFonts w:ascii="Times New Roman" w:hAnsi="Times New Roman"/>
          <w:szCs w:val="22"/>
          <w:lang w:val="hu-HU"/>
        </w:rPr>
        <w:t>egy bőrbetegség, ami ezüstös pikkelyekkel borított piros, hámló, kérges foltokat okoz a bőrön. A plakkos pszoriázis a körmöket is érintheti, a köröm töredezését, megvastagodását, a körömágytól való elválását okozva, ami fájdalmas lehet. A pszoriázist vélhetően a szervezet immunrendszerének hibája okozza, amely a bőrsejtek fokozott termelődéséhez vezet.</w:t>
      </w:r>
    </w:p>
    <w:p w14:paraId="6281B152" w14:textId="77777777" w:rsidR="00366005" w:rsidRPr="00183B5F" w:rsidRDefault="00366005">
      <w:pPr>
        <w:pStyle w:val="DefaultText"/>
        <w:rPr>
          <w:rFonts w:ascii="Times New Roman" w:hAnsi="Times New Roman"/>
          <w:szCs w:val="22"/>
          <w:u w:val="single"/>
          <w:lang w:val="hu-HU"/>
        </w:rPr>
      </w:pPr>
    </w:p>
    <w:p w14:paraId="247C7055" w14:textId="77777777" w:rsidR="00366005" w:rsidRPr="00183B5F" w:rsidRDefault="00943743">
      <w:pPr>
        <w:spacing w:line="240" w:lineRule="auto"/>
        <w:rPr>
          <w:bCs/>
          <w:szCs w:val="22"/>
        </w:rPr>
      </w:pPr>
      <w:r w:rsidRPr="00183B5F">
        <w:rPr>
          <w:szCs w:val="22"/>
        </w:rPr>
        <w:t xml:space="preserve">A Humira alkalmazható súlyos, idült plakkos pszoriázis kezelésére 4-17 év közötti gyermekeknél, </w:t>
      </w:r>
      <w:r w:rsidRPr="00183B5F">
        <w:rPr>
          <w:bCs/>
          <w:szCs w:val="22"/>
        </w:rPr>
        <w:t>akiknél a helyi kezelés és a fényterápiák nem használtak, vagy nem alkalmazhatóak.</w:t>
      </w:r>
    </w:p>
    <w:p w14:paraId="54EE22AD" w14:textId="77777777" w:rsidR="00366005" w:rsidRPr="00183B5F" w:rsidRDefault="00366005">
      <w:pPr>
        <w:spacing w:line="240" w:lineRule="auto"/>
        <w:rPr>
          <w:bCs/>
          <w:szCs w:val="22"/>
        </w:rPr>
      </w:pPr>
    </w:p>
    <w:p w14:paraId="4EB530B9" w14:textId="77777777" w:rsidR="00366005" w:rsidRPr="00183B5F" w:rsidRDefault="00943743">
      <w:pPr>
        <w:keepNext/>
        <w:spacing w:line="240" w:lineRule="auto"/>
        <w:rPr>
          <w:szCs w:val="22"/>
          <w:u w:val="single"/>
        </w:rPr>
      </w:pPr>
      <w:r w:rsidRPr="00183B5F">
        <w:rPr>
          <w:szCs w:val="22"/>
          <w:u w:val="single"/>
        </w:rPr>
        <w:t>Gyermekkori Crohn</w:t>
      </w:r>
      <w:r w:rsidRPr="00183B5F">
        <w:rPr>
          <w:szCs w:val="22"/>
          <w:u w:val="single"/>
        </w:rPr>
        <w:noBreakHyphen/>
        <w:t xml:space="preserve">betegség </w:t>
      </w:r>
    </w:p>
    <w:p w14:paraId="181AF5F0" w14:textId="77777777" w:rsidR="00366005" w:rsidRPr="00183B5F" w:rsidRDefault="00366005">
      <w:pPr>
        <w:keepNext/>
        <w:spacing w:line="240" w:lineRule="auto"/>
        <w:rPr>
          <w:szCs w:val="22"/>
        </w:rPr>
      </w:pPr>
    </w:p>
    <w:p w14:paraId="5D59ABA9" w14:textId="77777777" w:rsidR="00366005" w:rsidRPr="00183B5F" w:rsidRDefault="00943743">
      <w:pPr>
        <w:keepNext/>
        <w:spacing w:line="240" w:lineRule="auto"/>
        <w:rPr>
          <w:szCs w:val="22"/>
        </w:rPr>
      </w:pPr>
      <w:r w:rsidRPr="00183B5F">
        <w:rPr>
          <w:szCs w:val="22"/>
        </w:rPr>
        <w:t>A Crohn</w:t>
      </w:r>
      <w:r w:rsidRPr="00183B5F">
        <w:rPr>
          <w:szCs w:val="22"/>
        </w:rPr>
        <w:noBreakHyphen/>
        <w:t>betegség az emésztőcsatorna gyulladásos kórfolyamata.</w:t>
      </w:r>
    </w:p>
    <w:p w14:paraId="541B6A6E" w14:textId="77777777" w:rsidR="00366005" w:rsidRPr="00183B5F" w:rsidRDefault="00366005">
      <w:pPr>
        <w:spacing w:line="240" w:lineRule="auto"/>
        <w:rPr>
          <w:szCs w:val="22"/>
        </w:rPr>
      </w:pPr>
    </w:p>
    <w:p w14:paraId="3ACED75A" w14:textId="77777777" w:rsidR="00366005" w:rsidRPr="00183B5F" w:rsidRDefault="00943743">
      <w:pPr>
        <w:spacing w:line="240" w:lineRule="auto"/>
        <w:rPr>
          <w:bCs/>
          <w:szCs w:val="22"/>
        </w:rPr>
      </w:pPr>
      <w:r w:rsidRPr="00183B5F">
        <w:rPr>
          <w:bCs/>
          <w:szCs w:val="22"/>
        </w:rPr>
        <w:t>A Humira alkalmazható közepesen súlyos – súlyos Crohn</w:t>
      </w:r>
      <w:r w:rsidRPr="00183B5F">
        <w:rPr>
          <w:bCs/>
          <w:szCs w:val="22"/>
        </w:rPr>
        <w:noBreakHyphen/>
        <w:t>betegségben szenvedő, 6-17 éves korú gyermekek és serdülők kezelésére.</w:t>
      </w:r>
    </w:p>
    <w:p w14:paraId="2C2865EC" w14:textId="77777777" w:rsidR="00366005" w:rsidRPr="00183B5F" w:rsidRDefault="00366005">
      <w:pPr>
        <w:spacing w:line="240" w:lineRule="auto"/>
        <w:rPr>
          <w:szCs w:val="22"/>
        </w:rPr>
      </w:pPr>
    </w:p>
    <w:p w14:paraId="24DADA7D" w14:textId="77777777" w:rsidR="00366005" w:rsidRPr="00183B5F" w:rsidRDefault="00943743" w:rsidP="00DA71A8">
      <w:pPr>
        <w:spacing w:line="240" w:lineRule="auto"/>
        <w:ind w:right="-2"/>
        <w:rPr>
          <w:szCs w:val="22"/>
        </w:rPr>
      </w:pPr>
      <w:r w:rsidRPr="00183B5F">
        <w:rPr>
          <w:szCs w:val="22"/>
        </w:rPr>
        <w:t>Gyermeke először egyéb gyógyszereket kaphat. Ha ezek a gyógyszerek nem hatnak megfelelően, akkor fog gyermeke a betegség jeleinek és tüneteinek enyhítésére</w:t>
      </w:r>
      <w:r w:rsidR="0089127C" w:rsidRPr="00183B5F">
        <w:rPr>
          <w:szCs w:val="22"/>
        </w:rPr>
        <w:t xml:space="preserve"> </w:t>
      </w:r>
      <w:r w:rsidR="006D0725" w:rsidRPr="00183B5F">
        <w:rPr>
          <w:szCs w:val="22"/>
        </w:rPr>
        <w:t>Humira</w:t>
      </w:r>
      <w:r w:rsidR="006D0725" w:rsidRPr="00183B5F">
        <w:rPr>
          <w:szCs w:val="22"/>
        </w:rPr>
        <w:noBreakHyphen/>
        <w:t>t</w:t>
      </w:r>
      <w:r w:rsidR="0089127C" w:rsidRPr="00183B5F">
        <w:rPr>
          <w:szCs w:val="22"/>
        </w:rPr>
        <w:t xml:space="preserve"> kapni</w:t>
      </w:r>
      <w:r w:rsidRPr="00183B5F">
        <w:rPr>
          <w:szCs w:val="22"/>
        </w:rPr>
        <w:t>.</w:t>
      </w:r>
    </w:p>
    <w:p w14:paraId="7AFCB962" w14:textId="77777777" w:rsidR="00366005" w:rsidRPr="00183B5F" w:rsidRDefault="00366005">
      <w:pPr>
        <w:spacing w:line="240" w:lineRule="auto"/>
        <w:ind w:right="-2"/>
        <w:rPr>
          <w:szCs w:val="22"/>
        </w:rPr>
      </w:pPr>
    </w:p>
    <w:p w14:paraId="4C60EBD9" w14:textId="77777777" w:rsidR="00366005" w:rsidRPr="00183B5F" w:rsidRDefault="00943743">
      <w:pPr>
        <w:suppressAutoHyphens w:val="0"/>
        <w:autoSpaceDE w:val="0"/>
        <w:autoSpaceDN w:val="0"/>
        <w:adjustRightInd w:val="0"/>
        <w:spacing w:line="240" w:lineRule="auto"/>
        <w:rPr>
          <w:bCs/>
          <w:szCs w:val="22"/>
          <w:u w:val="single"/>
        </w:rPr>
      </w:pPr>
      <w:r w:rsidRPr="00183B5F">
        <w:rPr>
          <w:bCs/>
          <w:szCs w:val="22"/>
          <w:u w:val="single"/>
        </w:rPr>
        <w:t>Gyermekkori, nem fertőzéses eredetű szemgyulladás (uveitisz)</w:t>
      </w:r>
    </w:p>
    <w:p w14:paraId="3D44B86D" w14:textId="77777777" w:rsidR="00366005" w:rsidRPr="00183B5F" w:rsidRDefault="00366005">
      <w:pPr>
        <w:suppressAutoHyphens w:val="0"/>
        <w:autoSpaceDE w:val="0"/>
        <w:autoSpaceDN w:val="0"/>
        <w:adjustRightInd w:val="0"/>
        <w:spacing w:line="240" w:lineRule="auto"/>
        <w:rPr>
          <w:bCs/>
          <w:szCs w:val="22"/>
          <w:u w:val="single"/>
        </w:rPr>
      </w:pPr>
    </w:p>
    <w:p w14:paraId="10640A36" w14:textId="77777777" w:rsidR="00366005" w:rsidRPr="00183B5F" w:rsidRDefault="00943743">
      <w:pPr>
        <w:suppressAutoHyphens w:val="0"/>
        <w:autoSpaceDE w:val="0"/>
        <w:autoSpaceDN w:val="0"/>
        <w:adjustRightInd w:val="0"/>
        <w:spacing w:line="240" w:lineRule="auto"/>
        <w:rPr>
          <w:bCs/>
          <w:szCs w:val="22"/>
        </w:rPr>
      </w:pPr>
      <w:r w:rsidRPr="00183B5F">
        <w:rPr>
          <w:bCs/>
          <w:szCs w:val="22"/>
        </w:rPr>
        <w:t>A nem fertőzéses eredetű szemgyulladás egy gyulladásos betegség, mely a szem bizonyos részeit érinti.</w:t>
      </w:r>
    </w:p>
    <w:p w14:paraId="68E88092" w14:textId="77777777" w:rsidR="00366005" w:rsidRPr="00183B5F" w:rsidRDefault="00366005">
      <w:pPr>
        <w:suppressAutoHyphens w:val="0"/>
        <w:autoSpaceDE w:val="0"/>
        <w:autoSpaceDN w:val="0"/>
        <w:adjustRightInd w:val="0"/>
        <w:spacing w:line="240" w:lineRule="auto"/>
        <w:rPr>
          <w:bCs/>
          <w:szCs w:val="22"/>
        </w:rPr>
      </w:pPr>
    </w:p>
    <w:p w14:paraId="3A9961C4" w14:textId="77777777" w:rsidR="00366005" w:rsidRPr="00183B5F" w:rsidRDefault="00943743">
      <w:pPr>
        <w:suppressAutoHyphens w:val="0"/>
        <w:autoSpaceDE w:val="0"/>
        <w:autoSpaceDN w:val="0"/>
        <w:adjustRightInd w:val="0"/>
        <w:spacing w:line="240" w:lineRule="auto"/>
        <w:rPr>
          <w:bCs/>
          <w:szCs w:val="22"/>
        </w:rPr>
      </w:pPr>
      <w:r w:rsidRPr="00183B5F">
        <w:rPr>
          <w:bCs/>
          <w:szCs w:val="22"/>
        </w:rPr>
        <w:t xml:space="preserve">A Humira alkalmazható 2 éves kortól krónikus, nem fertőzéses eredetű uveitis kezelésére, amikor a gyulladás a szem elülső részét érinti. </w:t>
      </w:r>
    </w:p>
    <w:p w14:paraId="2948784B" w14:textId="77777777" w:rsidR="00366005" w:rsidRPr="00183B5F" w:rsidRDefault="00366005">
      <w:pPr>
        <w:suppressAutoHyphens w:val="0"/>
        <w:autoSpaceDE w:val="0"/>
        <w:autoSpaceDN w:val="0"/>
        <w:adjustRightInd w:val="0"/>
        <w:spacing w:line="240" w:lineRule="auto"/>
        <w:rPr>
          <w:bCs/>
          <w:szCs w:val="22"/>
        </w:rPr>
      </w:pPr>
    </w:p>
    <w:p w14:paraId="5C3B91C9" w14:textId="77777777" w:rsidR="00366005" w:rsidRPr="00183B5F" w:rsidRDefault="00943743">
      <w:pPr>
        <w:suppressAutoHyphens w:val="0"/>
        <w:autoSpaceDE w:val="0"/>
        <w:autoSpaceDN w:val="0"/>
        <w:adjustRightInd w:val="0"/>
        <w:spacing w:line="240" w:lineRule="auto"/>
        <w:rPr>
          <w:szCs w:val="22"/>
        </w:rPr>
      </w:pPr>
      <w:r w:rsidRPr="00183B5F">
        <w:rPr>
          <w:szCs w:val="22"/>
        </w:rPr>
        <w:t>A gyulladás látáscsökkenéshez és/vagy a szemben úszkáló homályok (fekete pontok vagy vékony csíkok, melyek a látótéren mozognak) jelenlétéhez vezethet. A Humira ezt a gyulladást csökkenti.</w:t>
      </w:r>
    </w:p>
    <w:p w14:paraId="7454C33A" w14:textId="77777777" w:rsidR="00366005" w:rsidRPr="00183B5F" w:rsidRDefault="00366005">
      <w:pPr>
        <w:suppressAutoHyphens w:val="0"/>
        <w:autoSpaceDE w:val="0"/>
        <w:autoSpaceDN w:val="0"/>
        <w:adjustRightInd w:val="0"/>
        <w:spacing w:line="240" w:lineRule="auto"/>
        <w:rPr>
          <w:szCs w:val="22"/>
        </w:rPr>
      </w:pPr>
    </w:p>
    <w:p w14:paraId="72D287E5" w14:textId="77777777" w:rsidR="00366005" w:rsidRPr="00183B5F" w:rsidRDefault="00943743" w:rsidP="00DA71A8">
      <w:pPr>
        <w:spacing w:line="240" w:lineRule="auto"/>
        <w:ind w:right="-2"/>
        <w:rPr>
          <w:szCs w:val="22"/>
        </w:rPr>
      </w:pPr>
      <w:r w:rsidRPr="00183B5F">
        <w:rPr>
          <w:szCs w:val="22"/>
        </w:rPr>
        <w:t>Gyermeke először egyéb gyógyszereket kaphat. Ha ezek a gyógyszerek nem hatnak megfelelően, akkor fog gyermeke a betegség jeleinek és tüneteinek enyhítésére</w:t>
      </w:r>
      <w:r w:rsidR="006D0725" w:rsidRPr="00183B5F">
        <w:rPr>
          <w:szCs w:val="22"/>
        </w:rPr>
        <w:t xml:space="preserve"> Humira</w:t>
      </w:r>
      <w:r w:rsidR="006D0725" w:rsidRPr="00183B5F">
        <w:rPr>
          <w:szCs w:val="22"/>
        </w:rPr>
        <w:noBreakHyphen/>
        <w:t>t kapni</w:t>
      </w:r>
      <w:r w:rsidRPr="00183B5F">
        <w:rPr>
          <w:szCs w:val="22"/>
        </w:rPr>
        <w:t>.</w:t>
      </w:r>
    </w:p>
    <w:p w14:paraId="11B457E7" w14:textId="77777777" w:rsidR="00366005" w:rsidRPr="00183B5F" w:rsidRDefault="00366005">
      <w:pPr>
        <w:spacing w:line="240" w:lineRule="auto"/>
        <w:ind w:right="-2"/>
        <w:rPr>
          <w:szCs w:val="22"/>
        </w:rPr>
      </w:pPr>
    </w:p>
    <w:p w14:paraId="4E9CE832" w14:textId="77777777" w:rsidR="00366005" w:rsidRPr="00183B5F" w:rsidRDefault="00366005">
      <w:pPr>
        <w:spacing w:line="240" w:lineRule="auto"/>
        <w:ind w:right="-2"/>
        <w:rPr>
          <w:szCs w:val="22"/>
        </w:rPr>
      </w:pPr>
    </w:p>
    <w:p w14:paraId="7484B79A" w14:textId="77777777" w:rsidR="00366005" w:rsidRPr="00183B5F" w:rsidRDefault="00943743" w:rsidP="00366B57">
      <w:pPr>
        <w:keepNext/>
        <w:spacing w:line="240" w:lineRule="auto"/>
        <w:ind w:right="-2"/>
        <w:rPr>
          <w:b/>
          <w:szCs w:val="22"/>
        </w:rPr>
      </w:pPr>
      <w:r w:rsidRPr="00183B5F">
        <w:rPr>
          <w:b/>
          <w:szCs w:val="22"/>
        </w:rPr>
        <w:t>2.</w:t>
      </w:r>
      <w:r w:rsidRPr="00183B5F">
        <w:rPr>
          <w:b/>
          <w:szCs w:val="22"/>
        </w:rPr>
        <w:tab/>
        <w:t>Tudnivalók a Humira</w:t>
      </w:r>
      <w:r w:rsidRPr="00183B5F">
        <w:rPr>
          <w:b/>
          <w:szCs w:val="22"/>
        </w:rPr>
        <w:noBreakHyphen/>
      </w:r>
      <w:r w:rsidRPr="00183B5F">
        <w:rPr>
          <w:b/>
          <w:szCs w:val="22"/>
        </w:rPr>
        <w:t>nak az Ön gyermekénél történő alkalmazása előtt</w:t>
      </w:r>
    </w:p>
    <w:p w14:paraId="22848F4D" w14:textId="77777777" w:rsidR="00366005" w:rsidRPr="00183B5F" w:rsidRDefault="00366005" w:rsidP="00366B57">
      <w:pPr>
        <w:keepNext/>
        <w:spacing w:line="240" w:lineRule="auto"/>
        <w:ind w:left="567" w:hanging="567"/>
        <w:rPr>
          <w:b/>
          <w:szCs w:val="22"/>
        </w:rPr>
      </w:pPr>
    </w:p>
    <w:p w14:paraId="527A364B" w14:textId="77777777" w:rsidR="00366005" w:rsidRPr="00183B5F" w:rsidRDefault="00943743" w:rsidP="00366B57">
      <w:pPr>
        <w:keepNext/>
        <w:spacing w:line="240" w:lineRule="auto"/>
        <w:rPr>
          <w:b/>
          <w:szCs w:val="22"/>
        </w:rPr>
      </w:pPr>
      <w:r w:rsidRPr="00183B5F">
        <w:rPr>
          <w:b/>
          <w:szCs w:val="22"/>
        </w:rPr>
        <w:t xml:space="preserve">Ne alkalmazza a </w:t>
      </w:r>
      <w:r w:rsidRPr="00183B5F">
        <w:rPr>
          <w:b/>
          <w:bCs/>
          <w:szCs w:val="22"/>
        </w:rPr>
        <w:t>Humira-t</w:t>
      </w:r>
    </w:p>
    <w:p w14:paraId="3581B35D" w14:textId="77777777" w:rsidR="00366005" w:rsidRPr="00183B5F" w:rsidRDefault="00366005" w:rsidP="00366B57">
      <w:pPr>
        <w:keepNext/>
        <w:spacing w:line="240" w:lineRule="auto"/>
        <w:ind w:left="567" w:hanging="567"/>
        <w:rPr>
          <w:b/>
          <w:szCs w:val="22"/>
        </w:rPr>
      </w:pPr>
    </w:p>
    <w:p w14:paraId="4BCAC1A3" w14:textId="77777777" w:rsidR="00366005" w:rsidRPr="00183B5F" w:rsidRDefault="00943743">
      <w:pPr>
        <w:numPr>
          <w:ilvl w:val="0"/>
          <w:numId w:val="160"/>
        </w:numPr>
        <w:spacing w:line="240" w:lineRule="auto"/>
        <w:ind w:left="567" w:hanging="567"/>
        <w:rPr>
          <w:szCs w:val="22"/>
        </w:rPr>
      </w:pPr>
      <w:r w:rsidRPr="00183B5F">
        <w:rPr>
          <w:szCs w:val="22"/>
        </w:rPr>
        <w:t xml:space="preserve">Ha gyermeke allergiás az adalimumabra vagy </w:t>
      </w:r>
      <w:r w:rsidRPr="00183B5F">
        <w:rPr>
          <w:noProof/>
          <w:szCs w:val="24"/>
        </w:rPr>
        <w:t xml:space="preserve">a gyógyszer (6. pontban felsorolt) </w:t>
      </w:r>
      <w:r w:rsidRPr="00183B5F">
        <w:rPr>
          <w:szCs w:val="24"/>
        </w:rPr>
        <w:t>egyéb összetevőjére.</w:t>
      </w:r>
    </w:p>
    <w:p w14:paraId="3C7375AA" w14:textId="77777777" w:rsidR="00366005" w:rsidRPr="00183B5F" w:rsidRDefault="00366005">
      <w:pPr>
        <w:spacing w:line="240" w:lineRule="auto"/>
        <w:rPr>
          <w:szCs w:val="22"/>
        </w:rPr>
      </w:pPr>
    </w:p>
    <w:p w14:paraId="3475C05E" w14:textId="77777777" w:rsidR="00366005" w:rsidRPr="00183B5F" w:rsidRDefault="00943743">
      <w:pPr>
        <w:numPr>
          <w:ilvl w:val="0"/>
          <w:numId w:val="160"/>
        </w:numPr>
        <w:spacing w:line="240" w:lineRule="auto"/>
        <w:ind w:left="630" w:hanging="630"/>
        <w:rPr>
          <w:szCs w:val="22"/>
        </w:rPr>
      </w:pPr>
      <w:r w:rsidRPr="00183B5F">
        <w:rPr>
          <w:szCs w:val="22"/>
        </w:rPr>
        <w:t xml:space="preserve">Ha gyermeke súlyos fertőzésben szenved, beleértve az aktív </w:t>
      </w:r>
      <w:r w:rsidRPr="00183B5F">
        <w:rPr>
          <w:bCs/>
          <w:szCs w:val="22"/>
        </w:rPr>
        <w:t>tuberkulózist</w:t>
      </w:r>
      <w:r w:rsidRPr="00183B5F">
        <w:rPr>
          <w:szCs w:val="22"/>
        </w:rPr>
        <w:t xml:space="preserve"> (lásd „Figyelmeztetések és óvintézkedések”). Kezelőorvosával feltétlenül közölje, ha gyermekének bármilyen fertőzésre utaló tünete van, mint </w:t>
      </w:r>
      <w:r w:rsidR="00F15477" w:rsidRPr="00183B5F">
        <w:rPr>
          <w:bCs/>
          <w:szCs w:val="22"/>
        </w:rPr>
        <w:t>például</w:t>
      </w:r>
      <w:r w:rsidRPr="00183B5F">
        <w:rPr>
          <w:szCs w:val="22"/>
        </w:rPr>
        <w:t xml:space="preserve"> láz, sebek, fáradtságérzés, fogászati problémák.</w:t>
      </w:r>
    </w:p>
    <w:p w14:paraId="2461A62D" w14:textId="77777777" w:rsidR="00366005" w:rsidRPr="00183B5F" w:rsidRDefault="00366005">
      <w:pPr>
        <w:spacing w:line="240" w:lineRule="auto"/>
        <w:rPr>
          <w:szCs w:val="22"/>
        </w:rPr>
      </w:pPr>
    </w:p>
    <w:p w14:paraId="5130BF86" w14:textId="77777777" w:rsidR="00366005" w:rsidRPr="00183B5F" w:rsidRDefault="00943743">
      <w:pPr>
        <w:numPr>
          <w:ilvl w:val="0"/>
          <w:numId w:val="160"/>
        </w:numPr>
        <w:spacing w:line="240" w:lineRule="auto"/>
        <w:ind w:left="630" w:hanging="630"/>
        <w:rPr>
          <w:szCs w:val="22"/>
        </w:rPr>
      </w:pPr>
      <w:r w:rsidRPr="00183B5F">
        <w:rPr>
          <w:szCs w:val="22"/>
        </w:rPr>
        <w:t>Ha gyermeke köz</w:t>
      </w:r>
      <w:r w:rsidR="006E6466" w:rsidRPr="00183B5F">
        <w:rPr>
          <w:szCs w:val="22"/>
        </w:rPr>
        <w:t xml:space="preserve">epesen </w:t>
      </w:r>
      <w:r w:rsidRPr="00183B5F">
        <w:rPr>
          <w:szCs w:val="22"/>
        </w:rPr>
        <w:t>súlyos vagy súlyos szívelégtelenségben szenved. Kezelőorvosával feltétlenül közölje, ha gyermekének súlyos szívproblémája van vagy volt (lásd „Figyelmeztetések és óvintézkedések”).</w:t>
      </w:r>
    </w:p>
    <w:p w14:paraId="563053D7" w14:textId="77777777" w:rsidR="00366005" w:rsidRPr="00183B5F" w:rsidRDefault="00366005">
      <w:pPr>
        <w:spacing w:line="240" w:lineRule="auto"/>
        <w:ind w:left="567" w:hanging="567"/>
        <w:rPr>
          <w:szCs w:val="22"/>
        </w:rPr>
      </w:pPr>
    </w:p>
    <w:p w14:paraId="170D48FB" w14:textId="77777777" w:rsidR="00366005" w:rsidRPr="00183B5F" w:rsidRDefault="00943743">
      <w:pPr>
        <w:spacing w:line="240" w:lineRule="auto"/>
        <w:ind w:right="-2"/>
        <w:rPr>
          <w:b/>
          <w:szCs w:val="22"/>
        </w:rPr>
      </w:pPr>
      <w:r w:rsidRPr="00183B5F">
        <w:rPr>
          <w:b/>
          <w:noProof/>
          <w:szCs w:val="24"/>
        </w:rPr>
        <w:t>Figyelmeztetések és óvintézkedések</w:t>
      </w:r>
    </w:p>
    <w:p w14:paraId="73B591E8" w14:textId="77777777" w:rsidR="00366005" w:rsidRPr="00183B5F" w:rsidRDefault="00366005">
      <w:pPr>
        <w:spacing w:line="240" w:lineRule="auto"/>
        <w:ind w:right="-2"/>
        <w:rPr>
          <w:szCs w:val="22"/>
        </w:rPr>
      </w:pPr>
    </w:p>
    <w:p w14:paraId="17AB717D" w14:textId="77777777" w:rsidR="00366005" w:rsidRPr="00183B5F" w:rsidRDefault="00943743">
      <w:pPr>
        <w:spacing w:line="240" w:lineRule="auto"/>
        <w:ind w:left="567" w:right="-2" w:hanging="567"/>
        <w:rPr>
          <w:szCs w:val="22"/>
        </w:rPr>
      </w:pPr>
      <w:r w:rsidRPr="00183B5F">
        <w:rPr>
          <w:noProof/>
          <w:szCs w:val="24"/>
        </w:rPr>
        <w:t>A Humira alkalmazása előtt beszéljen gyermeke kezelőorvosával vagy gyógyszerészével.</w:t>
      </w:r>
    </w:p>
    <w:p w14:paraId="272D73CC" w14:textId="77777777" w:rsidR="00366005" w:rsidRPr="00183B5F" w:rsidRDefault="00366005">
      <w:pPr>
        <w:spacing w:line="240" w:lineRule="auto"/>
        <w:ind w:left="567" w:right="-2" w:hanging="567"/>
        <w:rPr>
          <w:szCs w:val="22"/>
        </w:rPr>
      </w:pPr>
    </w:p>
    <w:p w14:paraId="15C0131B" w14:textId="77777777" w:rsidR="00366005" w:rsidRPr="00183B5F" w:rsidRDefault="00943743">
      <w:pPr>
        <w:tabs>
          <w:tab w:val="left" w:pos="630"/>
        </w:tabs>
        <w:spacing w:line="240" w:lineRule="auto"/>
        <w:ind w:right="-2"/>
        <w:rPr>
          <w:szCs w:val="22"/>
          <w:u w:val="single"/>
        </w:rPr>
      </w:pPr>
      <w:r w:rsidRPr="00183B5F">
        <w:rPr>
          <w:szCs w:val="22"/>
          <w:u w:val="single"/>
        </w:rPr>
        <w:t>Allergiás reakciók</w:t>
      </w:r>
    </w:p>
    <w:p w14:paraId="04A9BCEB" w14:textId="77777777" w:rsidR="00366005" w:rsidRPr="00183B5F" w:rsidRDefault="00366005">
      <w:pPr>
        <w:tabs>
          <w:tab w:val="left" w:pos="630"/>
        </w:tabs>
        <w:spacing w:line="240" w:lineRule="auto"/>
        <w:ind w:right="-2"/>
        <w:rPr>
          <w:szCs w:val="22"/>
          <w:u w:val="single"/>
        </w:rPr>
      </w:pPr>
    </w:p>
    <w:p w14:paraId="7EC12922" w14:textId="77777777" w:rsidR="00366005" w:rsidRPr="00183B5F" w:rsidRDefault="00943743">
      <w:pPr>
        <w:pStyle w:val="ListParagraph"/>
        <w:numPr>
          <w:ilvl w:val="0"/>
          <w:numId w:val="161"/>
        </w:numPr>
        <w:tabs>
          <w:tab w:val="left" w:pos="630"/>
        </w:tabs>
        <w:spacing w:line="240" w:lineRule="auto"/>
        <w:ind w:right="-2"/>
        <w:contextualSpacing/>
        <w:rPr>
          <w:szCs w:val="22"/>
        </w:rPr>
      </w:pPr>
      <w:r w:rsidRPr="00183B5F">
        <w:rPr>
          <w:szCs w:val="22"/>
        </w:rPr>
        <w:t xml:space="preserve">Ha gyermeke allergiás reakciót észlel olyan tünetekkel, mint a mellkasi szorítás, asztmás légzés, szédülés, duzzanat vagy </w:t>
      </w:r>
      <w:r w:rsidR="004C50B5" w:rsidRPr="00183B5F">
        <w:rPr>
          <w:szCs w:val="22"/>
        </w:rPr>
        <w:t>bőr</w:t>
      </w:r>
      <w:r w:rsidRPr="00183B5F">
        <w:rPr>
          <w:szCs w:val="22"/>
        </w:rPr>
        <w:t>kiütés, ne alkalmazza a Humira</w:t>
      </w:r>
      <w:r w:rsidRPr="00183B5F">
        <w:rPr>
          <w:szCs w:val="22"/>
        </w:rPr>
        <w:noBreakHyphen/>
        <w:t>t és azonnal forduljon orvosához</w:t>
      </w:r>
      <w:r w:rsidR="00151FE0" w:rsidRPr="00183B5F">
        <w:rPr>
          <w:szCs w:val="22"/>
        </w:rPr>
        <w:t>, mivel ritka esetekben ezek a reakciók életveszélyesek lehetnek</w:t>
      </w:r>
      <w:r w:rsidRPr="00183B5F">
        <w:rPr>
          <w:szCs w:val="22"/>
        </w:rPr>
        <w:t>.</w:t>
      </w:r>
    </w:p>
    <w:p w14:paraId="5353EC2B" w14:textId="77777777" w:rsidR="00366005" w:rsidRPr="00183B5F" w:rsidRDefault="00366005">
      <w:pPr>
        <w:tabs>
          <w:tab w:val="left" w:pos="630"/>
        </w:tabs>
        <w:spacing w:line="240" w:lineRule="auto"/>
        <w:ind w:right="-2"/>
        <w:rPr>
          <w:szCs w:val="22"/>
        </w:rPr>
      </w:pPr>
    </w:p>
    <w:p w14:paraId="55982056" w14:textId="77777777" w:rsidR="00366005" w:rsidRPr="00183B5F" w:rsidRDefault="00943743">
      <w:pPr>
        <w:spacing w:line="240" w:lineRule="auto"/>
        <w:rPr>
          <w:szCs w:val="22"/>
          <w:u w:val="single"/>
        </w:rPr>
      </w:pPr>
      <w:r w:rsidRPr="00183B5F">
        <w:rPr>
          <w:szCs w:val="22"/>
          <w:u w:val="single"/>
        </w:rPr>
        <w:t>Fertőzések</w:t>
      </w:r>
    </w:p>
    <w:p w14:paraId="481D609A" w14:textId="77777777" w:rsidR="00366005" w:rsidRPr="00183B5F" w:rsidRDefault="00366005">
      <w:pPr>
        <w:spacing w:line="240" w:lineRule="auto"/>
        <w:rPr>
          <w:szCs w:val="22"/>
          <w:u w:val="single"/>
        </w:rPr>
      </w:pPr>
    </w:p>
    <w:p w14:paraId="2A0FDA39" w14:textId="77777777" w:rsidR="00366005" w:rsidRPr="00183B5F" w:rsidRDefault="00943743">
      <w:pPr>
        <w:pStyle w:val="ListParagraph"/>
        <w:numPr>
          <w:ilvl w:val="0"/>
          <w:numId w:val="161"/>
        </w:numPr>
        <w:spacing w:line="240" w:lineRule="auto"/>
        <w:contextualSpacing/>
        <w:rPr>
          <w:szCs w:val="22"/>
        </w:rPr>
      </w:pPr>
      <w:r w:rsidRPr="00183B5F">
        <w:rPr>
          <w:szCs w:val="22"/>
        </w:rPr>
        <w:t>Ha gyermeke fertőzésben szenved, beleértve a hosszantartó vagy helyi fertőzést is (</w:t>
      </w:r>
      <w:r w:rsidR="00F15477" w:rsidRPr="00183B5F">
        <w:rPr>
          <w:bCs/>
          <w:szCs w:val="22"/>
        </w:rPr>
        <w:t>például</w:t>
      </w:r>
      <w:r w:rsidRPr="00183B5F">
        <w:rPr>
          <w:szCs w:val="22"/>
        </w:rPr>
        <w:t xml:space="preserve"> lábszárfekély), a Humira alkalmazása előtt beszéljen orvosával. Ha kétségei vannak, forduljon orvosához.</w:t>
      </w:r>
    </w:p>
    <w:p w14:paraId="3D339439" w14:textId="77777777" w:rsidR="00366005" w:rsidRPr="00183B5F" w:rsidRDefault="00366005">
      <w:pPr>
        <w:spacing w:line="240" w:lineRule="auto"/>
        <w:rPr>
          <w:szCs w:val="22"/>
        </w:rPr>
      </w:pPr>
    </w:p>
    <w:p w14:paraId="7ECA2E89" w14:textId="77777777" w:rsidR="00366005" w:rsidRPr="00183B5F" w:rsidRDefault="00943743">
      <w:pPr>
        <w:pStyle w:val="ListParagraph"/>
        <w:numPr>
          <w:ilvl w:val="0"/>
          <w:numId w:val="161"/>
        </w:numPr>
        <w:spacing w:line="240" w:lineRule="auto"/>
        <w:contextualSpacing/>
        <w:rPr>
          <w:szCs w:val="22"/>
        </w:rPr>
      </w:pPr>
      <w:r w:rsidRPr="00183B5F">
        <w:rPr>
          <w:szCs w:val="22"/>
        </w:rPr>
        <w:t>Humira</w:t>
      </w:r>
      <w:r w:rsidRPr="00183B5F">
        <w:rPr>
          <w:szCs w:val="22"/>
        </w:rPr>
        <w:noBreakHyphen/>
        <w:t>kezelés során gyermeke könnyebben kaphat meg fertőzéseket. Ennek veszélye nagyobb lehet, ha a légzésfunkciója károsodott. Ezek a fertőzések súlyosak lehetnek és közéjük tartozik</w:t>
      </w:r>
    </w:p>
    <w:p w14:paraId="2D684A30" w14:textId="77777777" w:rsidR="00366005" w:rsidRPr="00183B5F" w:rsidRDefault="00943743">
      <w:pPr>
        <w:pStyle w:val="ListParagraph"/>
        <w:numPr>
          <w:ilvl w:val="1"/>
          <w:numId w:val="161"/>
        </w:numPr>
        <w:spacing w:line="240" w:lineRule="auto"/>
        <w:contextualSpacing/>
        <w:rPr>
          <w:szCs w:val="22"/>
        </w:rPr>
      </w:pPr>
      <w:r w:rsidRPr="00183B5F">
        <w:rPr>
          <w:szCs w:val="22"/>
        </w:rPr>
        <w:t>a tuberkulózis</w:t>
      </w:r>
    </w:p>
    <w:p w14:paraId="14F2D634" w14:textId="77777777" w:rsidR="00366005" w:rsidRPr="00183B5F" w:rsidRDefault="00943743">
      <w:pPr>
        <w:pStyle w:val="ListParagraph"/>
        <w:numPr>
          <w:ilvl w:val="1"/>
          <w:numId w:val="161"/>
        </w:numPr>
        <w:spacing w:line="240" w:lineRule="auto"/>
        <w:contextualSpacing/>
        <w:rPr>
          <w:szCs w:val="22"/>
        </w:rPr>
      </w:pPr>
      <w:r w:rsidRPr="00183B5F">
        <w:rPr>
          <w:szCs w:val="22"/>
        </w:rPr>
        <w:t xml:space="preserve">a vírusok, gombák, élősködők vagy baktériumok okozta fertőzések </w:t>
      </w:r>
    </w:p>
    <w:p w14:paraId="4310364C" w14:textId="77777777" w:rsidR="00366005" w:rsidRPr="00183B5F" w:rsidRDefault="00943743">
      <w:pPr>
        <w:pStyle w:val="ListParagraph"/>
        <w:numPr>
          <w:ilvl w:val="1"/>
          <w:numId w:val="161"/>
        </w:numPr>
        <w:spacing w:line="240" w:lineRule="auto"/>
        <w:contextualSpacing/>
        <w:rPr>
          <w:szCs w:val="22"/>
        </w:rPr>
      </w:pPr>
      <w:r w:rsidRPr="00183B5F">
        <w:rPr>
          <w:szCs w:val="22"/>
        </w:rPr>
        <w:t>súlyos vérfertőzés (szepszis)</w:t>
      </w:r>
    </w:p>
    <w:p w14:paraId="5FFFDE4B" w14:textId="77777777" w:rsidR="00366005" w:rsidRPr="00183B5F" w:rsidRDefault="00366005">
      <w:pPr>
        <w:spacing w:line="240" w:lineRule="auto"/>
        <w:rPr>
          <w:szCs w:val="22"/>
        </w:rPr>
      </w:pPr>
    </w:p>
    <w:p w14:paraId="75FFD788" w14:textId="77777777" w:rsidR="00366005" w:rsidRPr="00183B5F" w:rsidRDefault="00943743">
      <w:pPr>
        <w:pStyle w:val="EMEABullet2"/>
        <w:numPr>
          <w:ilvl w:val="0"/>
          <w:numId w:val="0"/>
        </w:numPr>
        <w:rPr>
          <w:szCs w:val="22"/>
          <w:lang w:val="hu-HU"/>
        </w:rPr>
      </w:pPr>
      <w:r w:rsidRPr="00183B5F">
        <w:rPr>
          <w:szCs w:val="22"/>
          <w:lang w:val="hu-HU"/>
        </w:rPr>
        <w:t>Ritka esetekben ezek a reakciók életveszélyesek lehetnek. Fontos, hogy közölje kezelőorvosával, ha gyermekének olyan tünete van, mint a láz, sebek, fáradtságérzés, fogászati problémák. Orvosa a Humira</w:t>
      </w:r>
      <w:r w:rsidRPr="00183B5F">
        <w:rPr>
          <w:szCs w:val="22"/>
          <w:lang w:val="hu-HU"/>
        </w:rPr>
        <w:noBreakHyphen/>
        <w:t>kezelés átmeneti felfüggesztését javasolhatja.</w:t>
      </w:r>
    </w:p>
    <w:p w14:paraId="72FC7902" w14:textId="77777777" w:rsidR="00366005" w:rsidRPr="00183B5F" w:rsidRDefault="00366005">
      <w:pPr>
        <w:pStyle w:val="EMEANormal"/>
        <w:rPr>
          <w:lang w:val="hu-HU"/>
        </w:rPr>
      </w:pPr>
    </w:p>
    <w:p w14:paraId="5ABB44A0" w14:textId="77777777" w:rsidR="00366005" w:rsidRPr="00183B5F" w:rsidRDefault="00943743">
      <w:pPr>
        <w:pStyle w:val="EMEANormal"/>
        <w:numPr>
          <w:ilvl w:val="0"/>
          <w:numId w:val="162"/>
        </w:numPr>
        <w:ind w:left="360"/>
        <w:rPr>
          <w:szCs w:val="22"/>
          <w:lang w:val="hu-HU"/>
        </w:rPr>
      </w:pPr>
      <w:r w:rsidRPr="00183B5F">
        <w:rPr>
          <w:szCs w:val="22"/>
          <w:lang w:val="hu-HU"/>
        </w:rPr>
        <w:t>Tájékoztassa kezelőorvosát, ha gyermeke olyan területen él vagy olyan területre utazik, ahol a gombák okozta fertőzések (mint például a hisztoplazmózis, kokcidioidomikózis vagy a blasztomikózis) nagyon gyakoriak.</w:t>
      </w:r>
    </w:p>
    <w:p w14:paraId="5D44948D" w14:textId="77777777" w:rsidR="00366005" w:rsidRPr="00183B5F" w:rsidRDefault="00366005">
      <w:pPr>
        <w:pStyle w:val="EMEANormal"/>
        <w:rPr>
          <w:szCs w:val="22"/>
          <w:lang w:val="hu-HU"/>
        </w:rPr>
      </w:pPr>
    </w:p>
    <w:p w14:paraId="2B03CAAD" w14:textId="77777777" w:rsidR="00366005" w:rsidRPr="00183B5F" w:rsidRDefault="00943743">
      <w:pPr>
        <w:pStyle w:val="EMEANormal"/>
        <w:numPr>
          <w:ilvl w:val="0"/>
          <w:numId w:val="162"/>
        </w:numPr>
        <w:ind w:left="360"/>
        <w:rPr>
          <w:lang w:val="hu-HU"/>
        </w:rPr>
      </w:pPr>
      <w:r w:rsidRPr="00183B5F">
        <w:rPr>
          <w:szCs w:val="22"/>
          <w:lang w:val="hu-HU"/>
        </w:rPr>
        <w:t>Közölje orvosával, ha gyermeke kórelőzményében visszatérő fertőzés szerepel, vagy egyéb olyan állapot áll fenn, ami a fertőzés lehetőségét fokozza</w:t>
      </w:r>
      <w:r w:rsidRPr="00183B5F">
        <w:rPr>
          <w:lang w:val="hu-HU"/>
        </w:rPr>
        <w:t>.</w:t>
      </w:r>
    </w:p>
    <w:p w14:paraId="4B832670" w14:textId="77777777" w:rsidR="00366005" w:rsidRPr="00183B5F" w:rsidRDefault="00366005">
      <w:pPr>
        <w:pStyle w:val="ListParagraph"/>
        <w:spacing w:line="240" w:lineRule="auto"/>
      </w:pPr>
    </w:p>
    <w:p w14:paraId="01667D7E" w14:textId="77777777" w:rsidR="00366005" w:rsidRPr="00183B5F" w:rsidRDefault="00943743">
      <w:pPr>
        <w:pStyle w:val="EMEANormal"/>
        <w:numPr>
          <w:ilvl w:val="0"/>
          <w:numId w:val="163"/>
        </w:numPr>
        <w:rPr>
          <w:lang w:val="hu-HU"/>
        </w:rPr>
      </w:pPr>
      <w:r w:rsidRPr="00183B5F">
        <w:rPr>
          <w:lang w:val="hu-HU"/>
        </w:rPr>
        <w:t>Gyermekének és kezelőorvosának kiemelt figyelmet kell fordítania a fertőzés jeleire a Humira</w:t>
      </w:r>
      <w:r w:rsidRPr="00183B5F">
        <w:rPr>
          <w:lang w:val="hu-HU"/>
        </w:rPr>
        <w:noBreakHyphen/>
        <w:t>kezelés során. Fontos, hogy mondja el gyermeke kezelőorvosának, ha gyermekének fertőzésre utaló tünetei vannak, mint például láz, sebek, fáradtságérzés vagy fogászati problémák.</w:t>
      </w:r>
    </w:p>
    <w:p w14:paraId="53E90657" w14:textId="77777777" w:rsidR="00366005" w:rsidRPr="00183B5F" w:rsidRDefault="00366005">
      <w:pPr>
        <w:pStyle w:val="EMEANormal"/>
        <w:ind w:left="360"/>
        <w:rPr>
          <w:lang w:val="hu-HU"/>
        </w:rPr>
      </w:pPr>
    </w:p>
    <w:p w14:paraId="2DA520F5" w14:textId="77777777" w:rsidR="00366005" w:rsidRPr="00183B5F" w:rsidRDefault="00943743" w:rsidP="002D49EE">
      <w:pPr>
        <w:pStyle w:val="EMEANormal"/>
        <w:keepNext/>
        <w:rPr>
          <w:u w:val="single"/>
          <w:lang w:val="hu-HU"/>
        </w:rPr>
      </w:pPr>
      <w:r w:rsidRPr="00183B5F">
        <w:rPr>
          <w:u w:val="single"/>
          <w:lang w:val="hu-HU"/>
        </w:rPr>
        <w:t>Tuberkulózis</w:t>
      </w:r>
    </w:p>
    <w:p w14:paraId="32EE24C8" w14:textId="77777777" w:rsidR="00366005" w:rsidRPr="00183B5F" w:rsidRDefault="00366005" w:rsidP="002D49EE">
      <w:pPr>
        <w:pStyle w:val="EMEANormal"/>
        <w:keepNext/>
        <w:rPr>
          <w:szCs w:val="22"/>
          <w:lang w:val="hu-HU"/>
        </w:rPr>
      </w:pPr>
    </w:p>
    <w:p w14:paraId="7505D4F6" w14:textId="77777777" w:rsidR="00366005" w:rsidRPr="00183B5F" w:rsidRDefault="00943743" w:rsidP="0036300F">
      <w:pPr>
        <w:pStyle w:val="EMEANormal"/>
        <w:numPr>
          <w:ilvl w:val="0"/>
          <w:numId w:val="163"/>
        </w:numPr>
        <w:rPr>
          <w:u w:val="single"/>
          <w:lang w:val="hu-HU"/>
        </w:rPr>
      </w:pPr>
      <w:r w:rsidRPr="00183B5F">
        <w:rPr>
          <w:szCs w:val="22"/>
          <w:lang w:val="hu-HU"/>
        </w:rPr>
        <w:t>Mivel Humira</w:t>
      </w:r>
      <w:r w:rsidRPr="00183B5F">
        <w:rPr>
          <w:szCs w:val="22"/>
          <w:lang w:val="hu-HU"/>
        </w:rPr>
        <w:noBreakHyphen/>
        <w:t xml:space="preserve">val kezelt betegeken </w:t>
      </w:r>
      <w:r w:rsidRPr="00183B5F">
        <w:rPr>
          <w:bCs/>
          <w:szCs w:val="22"/>
          <w:lang w:val="hu-HU"/>
        </w:rPr>
        <w:t>tuberkulózis</w:t>
      </w:r>
      <w:r w:rsidRPr="00183B5F">
        <w:rPr>
          <w:szCs w:val="22"/>
          <w:lang w:val="hu-HU"/>
        </w:rPr>
        <w:t xml:space="preserve"> kialakulását észlelték, így a Humira</w:t>
      </w:r>
      <w:r w:rsidRPr="00183B5F">
        <w:rPr>
          <w:szCs w:val="22"/>
          <w:lang w:val="hu-HU"/>
        </w:rPr>
        <w:noBreakHyphen/>
        <w:t xml:space="preserve">kezelés megkezdése előtt kezelőorvosa az Ön gyermekénél megvizsgálja a </w:t>
      </w:r>
      <w:r w:rsidRPr="00183B5F">
        <w:rPr>
          <w:bCs/>
          <w:szCs w:val="22"/>
          <w:lang w:val="hu-HU"/>
        </w:rPr>
        <w:t>tuberkulózis</w:t>
      </w:r>
      <w:r w:rsidRPr="00183B5F">
        <w:rPr>
          <w:szCs w:val="22"/>
          <w:lang w:val="hu-HU"/>
        </w:rPr>
        <w:t xml:space="preserve">ra utaló jeleket és tüneteket. Ebbe beletartozik gyermeke részletes orvosi kórelőzményének elemzése és a megfelelő szűrővizsgálatok (mint </w:t>
      </w:r>
      <w:r w:rsidR="00F15477" w:rsidRPr="00183B5F">
        <w:rPr>
          <w:bCs/>
          <w:szCs w:val="22"/>
          <w:lang w:val="hu-HU"/>
        </w:rPr>
        <w:t>például</w:t>
      </w:r>
      <w:r w:rsidRPr="00183B5F">
        <w:rPr>
          <w:szCs w:val="22"/>
          <w:lang w:val="hu-HU"/>
        </w:rPr>
        <w:t xml:space="preserve"> mellkasröntgen vizsgálatra és tuberkulin teszt) elvégzése. Gyermeke </w:t>
      </w:r>
      <w:r w:rsidR="0048779F" w:rsidRPr="00183B5F">
        <w:rPr>
          <w:b/>
          <w:szCs w:val="22"/>
          <w:lang w:val="hu-HU"/>
        </w:rPr>
        <w:t>Betegemlékeztető</w:t>
      </w:r>
      <w:r w:rsidRPr="00183B5F">
        <w:rPr>
          <w:b/>
          <w:szCs w:val="22"/>
          <w:lang w:val="hu-HU"/>
        </w:rPr>
        <w:t xml:space="preserve"> Kártyáján</w:t>
      </w:r>
      <w:r w:rsidRPr="00183B5F">
        <w:rPr>
          <w:szCs w:val="22"/>
          <w:lang w:val="hu-HU"/>
        </w:rPr>
        <w:t xml:space="preserve"> a vizsgálatok elvégzésének tényét és eredményét vezetni kell.</w:t>
      </w:r>
    </w:p>
    <w:p w14:paraId="7BC7C611" w14:textId="77777777" w:rsidR="00AC1D27" w:rsidRPr="00183B5F" w:rsidRDefault="00AC1D27" w:rsidP="0036300F">
      <w:pPr>
        <w:pStyle w:val="EMEANormal"/>
        <w:ind w:left="360"/>
        <w:rPr>
          <w:u w:val="single"/>
          <w:lang w:val="hu-HU"/>
        </w:rPr>
      </w:pPr>
    </w:p>
    <w:p w14:paraId="3A067F2D" w14:textId="77777777" w:rsidR="00366005" w:rsidRPr="00183B5F" w:rsidRDefault="00943743" w:rsidP="00DA71A8">
      <w:pPr>
        <w:pStyle w:val="EMEANormal"/>
        <w:numPr>
          <w:ilvl w:val="1"/>
          <w:numId w:val="163"/>
        </w:numPr>
        <w:rPr>
          <w:u w:val="single"/>
          <w:lang w:val="hu-HU"/>
        </w:rPr>
      </w:pPr>
      <w:r w:rsidRPr="00183B5F">
        <w:rPr>
          <w:szCs w:val="22"/>
          <w:lang w:val="hu-HU"/>
        </w:rPr>
        <w:t xml:space="preserve">Nagyon fontos, hogy közölje kezelőorvosával, ha gyermeke bármikor </w:t>
      </w:r>
      <w:r w:rsidRPr="00183B5F">
        <w:rPr>
          <w:bCs/>
          <w:szCs w:val="22"/>
          <w:lang w:val="hu-HU"/>
        </w:rPr>
        <w:t>tuberkulózis</w:t>
      </w:r>
      <w:r w:rsidRPr="00183B5F">
        <w:rPr>
          <w:szCs w:val="22"/>
          <w:lang w:val="hu-HU"/>
        </w:rPr>
        <w:t xml:space="preserve">ban szenvedett vagy közeli kapcsolatban volt bárkivel, akinek </w:t>
      </w:r>
      <w:r w:rsidRPr="00183B5F">
        <w:rPr>
          <w:bCs/>
          <w:szCs w:val="22"/>
          <w:lang w:val="hu-HU"/>
        </w:rPr>
        <w:t>tuberkulózis</w:t>
      </w:r>
      <w:r w:rsidRPr="00183B5F">
        <w:rPr>
          <w:szCs w:val="22"/>
          <w:lang w:val="hu-HU"/>
        </w:rPr>
        <w:t>a volt. Ha gyermekének aktív tuberkulózisa van, ne használja a Humira</w:t>
      </w:r>
      <w:r w:rsidRPr="00183B5F">
        <w:rPr>
          <w:szCs w:val="22"/>
          <w:lang w:val="hu-HU"/>
        </w:rPr>
        <w:noBreakHyphen/>
        <w:t>t.</w:t>
      </w:r>
    </w:p>
    <w:p w14:paraId="2649A4B6" w14:textId="77777777" w:rsidR="00366005" w:rsidRPr="00183B5F" w:rsidRDefault="00943743">
      <w:pPr>
        <w:pStyle w:val="EMEANormal"/>
        <w:numPr>
          <w:ilvl w:val="1"/>
          <w:numId w:val="163"/>
        </w:numPr>
        <w:rPr>
          <w:u w:val="single"/>
          <w:lang w:val="hu-HU"/>
        </w:rPr>
      </w:pPr>
      <w:r w:rsidRPr="00183B5F">
        <w:rPr>
          <w:szCs w:val="22"/>
          <w:lang w:val="hu-HU"/>
        </w:rPr>
        <w:t>A tuberkulózis kialakulhat a kezelés során annak ellenére is, hogy gyermekénél tuberkulózis elleni megelőző terápiát alkalmaztak.</w:t>
      </w:r>
    </w:p>
    <w:p w14:paraId="724098E8" w14:textId="77777777" w:rsidR="00366005" w:rsidRPr="00183B5F" w:rsidRDefault="00943743">
      <w:pPr>
        <w:pStyle w:val="EMEANormal"/>
        <w:numPr>
          <w:ilvl w:val="1"/>
          <w:numId w:val="163"/>
        </w:numPr>
        <w:rPr>
          <w:u w:val="single"/>
          <w:lang w:val="hu-HU"/>
        </w:rPr>
      </w:pPr>
      <w:r w:rsidRPr="00183B5F">
        <w:rPr>
          <w:szCs w:val="22"/>
          <w:lang w:val="hu-HU"/>
        </w:rPr>
        <w:t xml:space="preserve">Ha a </w:t>
      </w:r>
      <w:r w:rsidRPr="00183B5F">
        <w:rPr>
          <w:bCs/>
          <w:szCs w:val="22"/>
          <w:lang w:val="hu-HU"/>
        </w:rPr>
        <w:t>tuberkulózis</w:t>
      </w:r>
      <w:r w:rsidRPr="00183B5F">
        <w:rPr>
          <w:szCs w:val="22"/>
          <w:lang w:val="hu-HU"/>
        </w:rPr>
        <w:t xml:space="preserve"> tünetei (mint például hosszan tartó köhögés, testsúlycsökkenés, erőtlenség, hőemelkedés), vagy más fertőzésre utaló tünetek jelentkeznek a kezelés alatt vagy a kezelést követően, azonnal közölje orvosával.</w:t>
      </w:r>
    </w:p>
    <w:p w14:paraId="3336DE5D" w14:textId="77777777" w:rsidR="00366005" w:rsidRPr="00183B5F" w:rsidRDefault="00366005">
      <w:pPr>
        <w:pStyle w:val="EMEANormal"/>
        <w:rPr>
          <w:szCs w:val="22"/>
          <w:lang w:val="hu-HU"/>
        </w:rPr>
      </w:pPr>
    </w:p>
    <w:p w14:paraId="5AFD66C8" w14:textId="77777777" w:rsidR="00366005" w:rsidRPr="00183B5F" w:rsidRDefault="00943743">
      <w:pPr>
        <w:pStyle w:val="EMEANormal"/>
        <w:rPr>
          <w:szCs w:val="22"/>
          <w:u w:val="single"/>
          <w:lang w:val="hu-HU"/>
        </w:rPr>
      </w:pPr>
      <w:r w:rsidRPr="00183B5F">
        <w:rPr>
          <w:szCs w:val="22"/>
          <w:u w:val="single"/>
          <w:lang w:val="hu-HU"/>
        </w:rPr>
        <w:t>Hepatitis B</w:t>
      </w:r>
    </w:p>
    <w:p w14:paraId="465CEE0F" w14:textId="77777777" w:rsidR="00366005" w:rsidRPr="00183B5F" w:rsidRDefault="00366005">
      <w:pPr>
        <w:pStyle w:val="EMEANormal"/>
        <w:rPr>
          <w:szCs w:val="22"/>
          <w:u w:val="single"/>
          <w:lang w:val="hu-HU"/>
        </w:rPr>
      </w:pPr>
    </w:p>
    <w:p w14:paraId="76258266" w14:textId="77777777" w:rsidR="00366005" w:rsidRPr="00183B5F" w:rsidRDefault="00943743">
      <w:pPr>
        <w:pStyle w:val="EMEANormal"/>
        <w:numPr>
          <w:ilvl w:val="0"/>
          <w:numId w:val="163"/>
        </w:numPr>
        <w:rPr>
          <w:u w:val="single"/>
          <w:lang w:val="hu-HU"/>
        </w:rPr>
      </w:pPr>
      <w:r w:rsidRPr="00183B5F">
        <w:rPr>
          <w:szCs w:val="22"/>
          <w:lang w:val="hu-HU"/>
        </w:rPr>
        <w:t xml:space="preserve">Figyelmeztesse orvosát arra, ha gyermeke hepatitisz B vírus (HBV) -hordozó, netán aktív </w:t>
      </w:r>
      <w:r w:rsidR="000A456B" w:rsidRPr="00183B5F">
        <w:rPr>
          <w:szCs w:val="22"/>
          <w:lang w:val="hu-HU"/>
        </w:rPr>
        <w:t>HBV</w:t>
      </w:r>
      <w:r w:rsidR="000A456B" w:rsidRPr="00183B5F">
        <w:rPr>
          <w:szCs w:val="22"/>
          <w:lang w:val="hu-HU"/>
        </w:rPr>
        <w:noBreakHyphen/>
        <w:t>fertőz</w:t>
      </w:r>
      <w:r w:rsidRPr="00183B5F">
        <w:rPr>
          <w:szCs w:val="22"/>
          <w:lang w:val="hu-HU"/>
        </w:rPr>
        <w:t>ésben szenved, vagy feltételezi, hogy hepatitisz B fertőzés veszélye fenyegetheti.</w:t>
      </w:r>
    </w:p>
    <w:p w14:paraId="180871CD" w14:textId="77777777" w:rsidR="00366005" w:rsidRPr="00183B5F" w:rsidRDefault="00943743">
      <w:pPr>
        <w:pStyle w:val="EMEANormal"/>
        <w:numPr>
          <w:ilvl w:val="1"/>
          <w:numId w:val="163"/>
        </w:numPr>
        <w:rPr>
          <w:u w:val="single"/>
          <w:lang w:val="hu-HU"/>
        </w:rPr>
      </w:pPr>
      <w:r w:rsidRPr="00183B5F">
        <w:rPr>
          <w:szCs w:val="22"/>
          <w:lang w:val="hu-HU"/>
        </w:rPr>
        <w:t>Gyermeke orvosának HBV</w:t>
      </w:r>
      <w:r w:rsidRPr="00183B5F">
        <w:rPr>
          <w:szCs w:val="22"/>
          <w:lang w:val="hu-HU"/>
        </w:rPr>
        <w:noBreakHyphen/>
        <w:t>vizsgálatot kell végeznie gyermekénél. A Humira a vírushordozókban ismét aktiválhatja a HBV</w:t>
      </w:r>
      <w:r w:rsidRPr="00183B5F">
        <w:rPr>
          <w:szCs w:val="22"/>
          <w:lang w:val="hu-HU"/>
        </w:rPr>
        <w:noBreakHyphen/>
        <w:t>t.</w:t>
      </w:r>
    </w:p>
    <w:p w14:paraId="17028AEF" w14:textId="77777777" w:rsidR="00366005" w:rsidRPr="00183B5F" w:rsidRDefault="00943743">
      <w:pPr>
        <w:numPr>
          <w:ilvl w:val="1"/>
          <w:numId w:val="163"/>
        </w:numPr>
        <w:spacing w:line="240" w:lineRule="auto"/>
        <w:rPr>
          <w:szCs w:val="22"/>
        </w:rPr>
      </w:pPr>
      <w:r w:rsidRPr="00183B5F">
        <w:rPr>
          <w:szCs w:val="22"/>
        </w:rPr>
        <w:t>Egyes ritka esetekben – különösen ha gyermeke más, az immunrendszer működését gátló szereket is szed – a HBV ismételt aktiválódása életveszélyes lehet.</w:t>
      </w:r>
    </w:p>
    <w:p w14:paraId="5798B4E9" w14:textId="77777777" w:rsidR="00366005" w:rsidRPr="00183B5F" w:rsidRDefault="00366005">
      <w:pPr>
        <w:spacing w:line="240" w:lineRule="auto"/>
        <w:rPr>
          <w:szCs w:val="22"/>
        </w:rPr>
      </w:pPr>
    </w:p>
    <w:p w14:paraId="1861306E" w14:textId="77777777" w:rsidR="00366005" w:rsidRPr="00183B5F" w:rsidRDefault="00943743">
      <w:pPr>
        <w:spacing w:line="240" w:lineRule="auto"/>
        <w:rPr>
          <w:szCs w:val="22"/>
        </w:rPr>
      </w:pPr>
      <w:r w:rsidRPr="00183B5F">
        <w:rPr>
          <w:szCs w:val="22"/>
          <w:u w:val="single"/>
        </w:rPr>
        <w:t>Sebészeti vagy fogászati beavatkozás</w:t>
      </w:r>
    </w:p>
    <w:p w14:paraId="638BA102" w14:textId="77777777" w:rsidR="00366005" w:rsidRPr="00183B5F" w:rsidRDefault="00366005">
      <w:pPr>
        <w:spacing w:line="240" w:lineRule="auto"/>
        <w:rPr>
          <w:szCs w:val="22"/>
        </w:rPr>
      </w:pPr>
    </w:p>
    <w:p w14:paraId="7EACBAA4" w14:textId="77777777" w:rsidR="00366005" w:rsidRPr="00183B5F" w:rsidRDefault="00943743">
      <w:pPr>
        <w:pStyle w:val="EMEABullet2"/>
        <w:numPr>
          <w:ilvl w:val="0"/>
          <w:numId w:val="164"/>
        </w:numPr>
        <w:tabs>
          <w:tab w:val="num" w:pos="567"/>
        </w:tabs>
        <w:ind w:left="567" w:hanging="567"/>
        <w:rPr>
          <w:szCs w:val="22"/>
          <w:lang w:val="hu-HU"/>
        </w:rPr>
      </w:pPr>
      <w:r w:rsidRPr="00183B5F">
        <w:rPr>
          <w:szCs w:val="22"/>
          <w:lang w:val="hu-HU"/>
        </w:rPr>
        <w:t xml:space="preserve">Ha gyermeke sebészeti vagy fogászati beavatkozás előtt áll, tájékoztassa orvosát, hogy Humira-kezelésben részesül. </w:t>
      </w:r>
      <w:r w:rsidRPr="00183B5F">
        <w:rPr>
          <w:lang w:val="hu-HU"/>
        </w:rPr>
        <w:t>Orvosa a kezelés átmeneti felfüggesztését javasolhatja.</w:t>
      </w:r>
    </w:p>
    <w:p w14:paraId="43811B84" w14:textId="77777777" w:rsidR="00366005" w:rsidRPr="00183B5F" w:rsidRDefault="00366005">
      <w:pPr>
        <w:spacing w:line="240" w:lineRule="auto"/>
        <w:rPr>
          <w:szCs w:val="22"/>
          <w:u w:val="single"/>
        </w:rPr>
      </w:pPr>
    </w:p>
    <w:p w14:paraId="4B096D32" w14:textId="77777777" w:rsidR="00366005" w:rsidRPr="00183B5F" w:rsidRDefault="00943743">
      <w:pPr>
        <w:spacing w:line="240" w:lineRule="auto"/>
        <w:rPr>
          <w:szCs w:val="22"/>
          <w:u w:val="single"/>
        </w:rPr>
      </w:pPr>
      <w:r w:rsidRPr="00183B5F">
        <w:rPr>
          <w:szCs w:val="22"/>
          <w:u w:val="single"/>
        </w:rPr>
        <w:t>Demielinizációval járó betegség</w:t>
      </w:r>
    </w:p>
    <w:p w14:paraId="43AEF3A0" w14:textId="77777777" w:rsidR="00366005" w:rsidRPr="00183B5F" w:rsidRDefault="00366005">
      <w:pPr>
        <w:pStyle w:val="EMEANormal"/>
        <w:ind w:left="1080"/>
        <w:rPr>
          <w:u w:val="single"/>
          <w:lang w:val="hu-HU"/>
        </w:rPr>
      </w:pPr>
    </w:p>
    <w:p w14:paraId="29C52083" w14:textId="77777777" w:rsidR="00366005" w:rsidRPr="00183B5F" w:rsidRDefault="00943743">
      <w:pPr>
        <w:pStyle w:val="EMEABullet2"/>
        <w:numPr>
          <w:ilvl w:val="0"/>
          <w:numId w:val="164"/>
        </w:numPr>
        <w:tabs>
          <w:tab w:val="num" w:pos="567"/>
        </w:tabs>
        <w:ind w:left="567" w:hanging="567"/>
        <w:rPr>
          <w:szCs w:val="22"/>
          <w:lang w:val="hu-HU"/>
        </w:rPr>
      </w:pPr>
      <w:r w:rsidRPr="00183B5F">
        <w:rPr>
          <w:szCs w:val="22"/>
          <w:lang w:val="hu-HU"/>
        </w:rPr>
        <w:t>Ha gyermeke demielinizációval (az idegrostok velőshüvelyét érintő betegség, mint például szklerózis multiplex) járó betegségben szenved vagy ilyen típusú betegség alakul ki nála, kezelőorvosa dönti el, hogy a Humira-kezelés alkalmazható</w:t>
      </w:r>
      <w:r w:rsidRPr="00183B5F">
        <w:rPr>
          <w:szCs w:val="22"/>
          <w:lang w:val="hu-HU"/>
        </w:rPr>
        <w:noBreakHyphen/>
        <w:t>e, vagy folytatható</w:t>
      </w:r>
      <w:r w:rsidRPr="00183B5F">
        <w:rPr>
          <w:szCs w:val="22"/>
          <w:lang w:val="hu-HU"/>
        </w:rPr>
        <w:noBreakHyphen/>
        <w:t>e gyermeke esetében. Azonnal tájékoztassa kezelőorvosát, ha gyermeke olyan tüneteket tapasztal, mint a megváltozott látás, kar</w:t>
      </w:r>
      <w:r w:rsidRPr="00183B5F">
        <w:rPr>
          <w:szCs w:val="22"/>
          <w:lang w:val="hu-HU"/>
        </w:rPr>
        <w:noBreakHyphen/>
        <w:t xml:space="preserve"> vagy lábgyengeség, illetve zsibbadás vagy bizsergés a test bármelyik részén. </w:t>
      </w:r>
    </w:p>
    <w:p w14:paraId="0A7CFDD6" w14:textId="77777777" w:rsidR="00366005" w:rsidRPr="00183B5F" w:rsidRDefault="00366005">
      <w:pPr>
        <w:pStyle w:val="EMEANormal"/>
        <w:rPr>
          <w:u w:val="single"/>
          <w:lang w:val="hu-HU"/>
        </w:rPr>
      </w:pPr>
    </w:p>
    <w:p w14:paraId="7822AFB7" w14:textId="77777777" w:rsidR="00366005" w:rsidRPr="00183B5F" w:rsidRDefault="00943743">
      <w:pPr>
        <w:pStyle w:val="EMEANormal"/>
        <w:keepNext/>
        <w:rPr>
          <w:u w:val="single"/>
          <w:lang w:val="hu-HU"/>
        </w:rPr>
      </w:pPr>
      <w:r w:rsidRPr="00183B5F">
        <w:rPr>
          <w:u w:val="single"/>
          <w:lang w:val="hu-HU"/>
        </w:rPr>
        <w:t>Védőoltások</w:t>
      </w:r>
    </w:p>
    <w:p w14:paraId="65BBE96D" w14:textId="77777777" w:rsidR="00366005" w:rsidRPr="00183B5F" w:rsidRDefault="00366005">
      <w:pPr>
        <w:pStyle w:val="EMEANormal"/>
        <w:keepNext/>
        <w:rPr>
          <w:szCs w:val="22"/>
          <w:lang w:val="hu-HU"/>
        </w:rPr>
      </w:pPr>
    </w:p>
    <w:p w14:paraId="74F6F4CE" w14:textId="77777777" w:rsidR="00366005" w:rsidRPr="00183B5F" w:rsidRDefault="00943743">
      <w:pPr>
        <w:pStyle w:val="EMEANormal"/>
        <w:keepNext/>
        <w:numPr>
          <w:ilvl w:val="0"/>
          <w:numId w:val="163"/>
        </w:numPr>
        <w:rPr>
          <w:szCs w:val="22"/>
          <w:lang w:val="hu-HU"/>
        </w:rPr>
      </w:pPr>
      <w:r w:rsidRPr="00183B5F">
        <w:rPr>
          <w:szCs w:val="22"/>
          <w:lang w:val="hu-HU"/>
        </w:rPr>
        <w:t>Bizonyos védőoltások fertőzést okozhatnak, és ezért nem adhatóak a Humira</w:t>
      </w:r>
      <w:r w:rsidRPr="00183B5F">
        <w:rPr>
          <w:szCs w:val="22"/>
          <w:lang w:val="hu-HU"/>
        </w:rPr>
        <w:noBreakHyphen/>
        <w:t>kezelés során.</w:t>
      </w:r>
    </w:p>
    <w:p w14:paraId="411A667E" w14:textId="77777777" w:rsidR="00366005" w:rsidRPr="00183B5F" w:rsidRDefault="00366005">
      <w:pPr>
        <w:pStyle w:val="EMEANormal"/>
        <w:rPr>
          <w:szCs w:val="22"/>
          <w:lang w:val="hu-HU"/>
        </w:rPr>
      </w:pPr>
    </w:p>
    <w:p w14:paraId="2CDAB9BB" w14:textId="77777777" w:rsidR="00366005" w:rsidRPr="00183B5F" w:rsidRDefault="00943743">
      <w:pPr>
        <w:pStyle w:val="EMEABullet2"/>
        <w:numPr>
          <w:ilvl w:val="1"/>
          <w:numId w:val="163"/>
        </w:numPr>
        <w:tabs>
          <w:tab w:val="clear" w:pos="567"/>
          <w:tab w:val="left" w:pos="708"/>
        </w:tabs>
        <w:rPr>
          <w:szCs w:val="22"/>
          <w:lang w:val="hu-HU"/>
        </w:rPr>
      </w:pPr>
      <w:r w:rsidRPr="00183B5F">
        <w:rPr>
          <w:szCs w:val="22"/>
          <w:lang w:val="hu-HU"/>
        </w:rPr>
        <w:t xml:space="preserve">Védőoltás gyermekének történő beadását megelőzően beszéljen orvosával. </w:t>
      </w:r>
    </w:p>
    <w:p w14:paraId="5E13F91F" w14:textId="77777777" w:rsidR="00366005" w:rsidRPr="00183B5F" w:rsidRDefault="00943743">
      <w:pPr>
        <w:pStyle w:val="EMEABullet2"/>
        <w:numPr>
          <w:ilvl w:val="1"/>
          <w:numId w:val="163"/>
        </w:numPr>
        <w:tabs>
          <w:tab w:val="clear" w:pos="567"/>
          <w:tab w:val="left" w:pos="708"/>
        </w:tabs>
        <w:rPr>
          <w:szCs w:val="22"/>
          <w:lang w:val="hu-HU"/>
        </w:rPr>
      </w:pPr>
      <w:r w:rsidRPr="00183B5F">
        <w:rPr>
          <w:szCs w:val="22"/>
          <w:lang w:val="hu-HU"/>
        </w:rPr>
        <w:t>Ajánlott, hogy a gyermekek– ha lehetséges</w:t>
      </w:r>
      <w:r w:rsidRPr="00183B5F">
        <w:rPr>
          <w:szCs w:val="22"/>
          <w:lang w:val="hu-HU"/>
        </w:rPr>
        <w:noBreakHyphen/>
        <w:t>a Humira</w:t>
      </w:r>
      <w:r w:rsidR="00316EC0" w:rsidRPr="00183B5F">
        <w:rPr>
          <w:szCs w:val="22"/>
          <w:lang w:val="hu-HU"/>
        </w:rPr>
        <w:noBreakHyphen/>
      </w:r>
      <w:r w:rsidRPr="00183B5F">
        <w:rPr>
          <w:szCs w:val="22"/>
          <w:lang w:val="hu-HU"/>
        </w:rPr>
        <w:t xml:space="preserve">kezelés megkezdése előtt minden, az életkoruknak megfelelően ütemezett védőoltást kapjanak meg. </w:t>
      </w:r>
    </w:p>
    <w:p w14:paraId="3F491153" w14:textId="77777777" w:rsidR="00366005" w:rsidRPr="00183B5F" w:rsidRDefault="00943743">
      <w:pPr>
        <w:pStyle w:val="EMEABullet2"/>
        <w:numPr>
          <w:ilvl w:val="1"/>
          <w:numId w:val="163"/>
        </w:numPr>
        <w:tabs>
          <w:tab w:val="clear" w:pos="567"/>
          <w:tab w:val="left" w:pos="708"/>
        </w:tabs>
        <w:rPr>
          <w:szCs w:val="22"/>
          <w:lang w:val="hu-HU"/>
        </w:rPr>
      </w:pPr>
      <w:r w:rsidRPr="00183B5F">
        <w:rPr>
          <w:szCs w:val="22"/>
          <w:lang w:val="hu-HU"/>
        </w:rPr>
        <w:t>Ha a terhessége alatt Humira</w:t>
      </w:r>
      <w:r w:rsidRPr="00183B5F">
        <w:rPr>
          <w:szCs w:val="22"/>
          <w:lang w:val="hu-HU"/>
        </w:rPr>
        <w:noBreakHyphen/>
        <w:t>t kapott, a kisbabája a terhesség alatt kapott utolsó adagot követően legfeljebb 5 hónapig nagyobb eséllyel kaphat el valamilyen fertőzést. Fontos, hogy elmondja kisbabája orvosának vagy az őt kezelő egészségügyi személyzetnek, hogy a terhessége alatt Humira</w:t>
      </w:r>
      <w:r w:rsidRPr="00183B5F">
        <w:rPr>
          <w:szCs w:val="22"/>
          <w:lang w:val="hu-HU"/>
        </w:rPr>
        <w:noBreakHyphen/>
        <w:t>t kapott, így ők el tudják dönteni, hogy kisbabájának mikor kell valamilyen védőoltást kapnia.</w:t>
      </w:r>
    </w:p>
    <w:p w14:paraId="712A68AD" w14:textId="77777777" w:rsidR="00366005" w:rsidRPr="00183B5F" w:rsidRDefault="00366005">
      <w:pPr>
        <w:pStyle w:val="EMEANormal"/>
        <w:rPr>
          <w:szCs w:val="22"/>
          <w:lang w:val="hu-HU"/>
        </w:rPr>
      </w:pPr>
    </w:p>
    <w:p w14:paraId="02FEB8A7" w14:textId="77777777" w:rsidR="00366005" w:rsidRPr="00183B5F" w:rsidRDefault="00943743" w:rsidP="002D49EE">
      <w:pPr>
        <w:pStyle w:val="EMEANormal"/>
        <w:keepNext/>
        <w:rPr>
          <w:szCs w:val="22"/>
          <w:u w:val="single"/>
          <w:lang w:val="hu-HU"/>
        </w:rPr>
      </w:pPr>
      <w:r w:rsidRPr="00183B5F">
        <w:rPr>
          <w:szCs w:val="22"/>
          <w:u w:val="single"/>
          <w:lang w:val="hu-HU"/>
        </w:rPr>
        <w:t>Szívelégtelenség</w:t>
      </w:r>
    </w:p>
    <w:p w14:paraId="00FE7F44" w14:textId="77777777" w:rsidR="00366005" w:rsidRPr="00183B5F" w:rsidRDefault="00366005" w:rsidP="002D49EE">
      <w:pPr>
        <w:pStyle w:val="EMEANormal"/>
        <w:keepNext/>
        <w:rPr>
          <w:szCs w:val="22"/>
          <w:u w:val="single"/>
          <w:lang w:val="hu-HU"/>
        </w:rPr>
      </w:pPr>
    </w:p>
    <w:p w14:paraId="3E6507B5" w14:textId="77777777" w:rsidR="00366005" w:rsidRPr="00183B5F" w:rsidRDefault="00943743">
      <w:pPr>
        <w:pStyle w:val="EMEANormal"/>
        <w:numPr>
          <w:ilvl w:val="0"/>
          <w:numId w:val="163"/>
        </w:numPr>
        <w:rPr>
          <w:u w:val="single"/>
          <w:lang w:val="hu-HU"/>
        </w:rPr>
      </w:pPr>
      <w:r w:rsidRPr="00183B5F">
        <w:rPr>
          <w:szCs w:val="22"/>
          <w:lang w:val="hu-HU"/>
        </w:rPr>
        <w:t>Ha gyermekének enyhe szívelégtelensége van és Humira</w:t>
      </w:r>
      <w:r w:rsidRPr="00183B5F">
        <w:rPr>
          <w:szCs w:val="22"/>
          <w:lang w:val="hu-HU"/>
        </w:rPr>
        <w:noBreakHyphen/>
        <w:t xml:space="preserve">kezelést kap, </w:t>
      </w:r>
      <w:r w:rsidRPr="00183B5F">
        <w:rPr>
          <w:bCs/>
          <w:szCs w:val="22"/>
          <w:lang w:val="hu-HU"/>
        </w:rPr>
        <w:t>szívelégtelenség állapotát</w:t>
      </w:r>
      <w:r w:rsidRPr="00183B5F">
        <w:rPr>
          <w:szCs w:val="22"/>
          <w:lang w:val="hu-HU"/>
        </w:rPr>
        <w:t xml:space="preserve"> orvosának szorosan követnie kell. Fontos, hogy közölje kezelőorvosával, ha gyermekének súlyos szívbetegsége volt, vagy jelenleg is van. Ha új tünetek kialakulását vagy a szívelégtelenség tüneteinek rosszabbodását észleli (</w:t>
      </w:r>
      <w:r w:rsidR="00F15477" w:rsidRPr="00183B5F">
        <w:rPr>
          <w:bCs/>
          <w:szCs w:val="22"/>
          <w:lang w:val="hu-HU"/>
        </w:rPr>
        <w:t>például</w:t>
      </w:r>
      <w:r w:rsidRPr="00183B5F">
        <w:rPr>
          <w:szCs w:val="22"/>
          <w:lang w:val="hu-HU"/>
        </w:rPr>
        <w:t xml:space="preserve"> légszomj, vagy lábdagadás), azonnal közölje orvosával. A kezelőorvos el fogja dönteni, hogy az Ön gyermeke kaphat-e Humira</w:t>
      </w:r>
      <w:r w:rsidRPr="00183B5F">
        <w:rPr>
          <w:szCs w:val="22"/>
          <w:lang w:val="hu-HU"/>
        </w:rPr>
        <w:noBreakHyphen/>
        <w:t>t.</w:t>
      </w:r>
    </w:p>
    <w:p w14:paraId="44E5777A" w14:textId="77777777" w:rsidR="00366005" w:rsidRPr="00183B5F" w:rsidRDefault="00366005">
      <w:pPr>
        <w:pStyle w:val="ListParagraph"/>
        <w:spacing w:line="240" w:lineRule="auto"/>
        <w:rPr>
          <w:u w:val="single"/>
        </w:rPr>
      </w:pPr>
    </w:p>
    <w:p w14:paraId="32254A0E" w14:textId="77777777" w:rsidR="00366005" w:rsidRPr="00183B5F" w:rsidRDefault="00943743">
      <w:pPr>
        <w:pStyle w:val="EMEANormal"/>
        <w:rPr>
          <w:u w:val="single"/>
          <w:lang w:val="hu-HU"/>
        </w:rPr>
      </w:pPr>
      <w:r w:rsidRPr="00183B5F">
        <w:rPr>
          <w:u w:val="single"/>
          <w:lang w:val="hu-HU"/>
        </w:rPr>
        <w:t>Láz, véraláfutás, vérzés vagy sápadtság</w:t>
      </w:r>
    </w:p>
    <w:p w14:paraId="5B96C08B" w14:textId="77777777" w:rsidR="00366005" w:rsidRPr="00183B5F" w:rsidRDefault="00366005">
      <w:pPr>
        <w:pStyle w:val="EMEANormal"/>
        <w:rPr>
          <w:szCs w:val="22"/>
          <w:lang w:val="hu-HU"/>
        </w:rPr>
      </w:pPr>
    </w:p>
    <w:p w14:paraId="41657CF2" w14:textId="77777777" w:rsidR="00366005" w:rsidRPr="00183B5F" w:rsidRDefault="00943743">
      <w:pPr>
        <w:numPr>
          <w:ilvl w:val="0"/>
          <w:numId w:val="163"/>
        </w:numPr>
        <w:spacing w:line="240" w:lineRule="auto"/>
        <w:rPr>
          <w:szCs w:val="22"/>
        </w:rPr>
      </w:pPr>
      <w:r w:rsidRPr="00183B5F">
        <w:rPr>
          <w:szCs w:val="22"/>
        </w:rPr>
        <w:t>Egyes betegek esetében a szervezet nem termel elég olyan vérsejtet, melyek leküzdenék a fertőzést, vagy segítenének megállítani a vérzést. Kezelőorvosa dönthet úgy, hogy abb</w:t>
      </w:r>
      <w:r w:rsidR="00316EC0" w:rsidRPr="00183B5F">
        <w:rPr>
          <w:szCs w:val="22"/>
        </w:rPr>
        <w:t>a</w:t>
      </w:r>
      <w:r w:rsidRPr="00183B5F">
        <w:rPr>
          <w:szCs w:val="22"/>
        </w:rPr>
        <w:t>hagyják a kezelést. Ha gyermekének csillapíthatatlan láza van, véraláfutása van, vagy könnyen vérzik és sápadtnak látszik, azonnal értesítse orvosát.</w:t>
      </w:r>
    </w:p>
    <w:p w14:paraId="6D7731B1" w14:textId="77777777" w:rsidR="00366005" w:rsidRPr="00183B5F" w:rsidRDefault="00366005">
      <w:pPr>
        <w:pStyle w:val="ListParagraph"/>
        <w:spacing w:line="240" w:lineRule="auto"/>
        <w:rPr>
          <w:szCs w:val="22"/>
        </w:rPr>
      </w:pPr>
    </w:p>
    <w:p w14:paraId="10BA5514" w14:textId="77777777" w:rsidR="00366005" w:rsidRPr="00183B5F" w:rsidRDefault="00943743">
      <w:pPr>
        <w:spacing w:line="240" w:lineRule="auto"/>
        <w:rPr>
          <w:szCs w:val="22"/>
          <w:u w:val="single"/>
        </w:rPr>
      </w:pPr>
      <w:r w:rsidRPr="00183B5F">
        <w:rPr>
          <w:szCs w:val="22"/>
          <w:u w:val="single"/>
        </w:rPr>
        <w:t>Daganatos betegség</w:t>
      </w:r>
    </w:p>
    <w:p w14:paraId="575EAAD1" w14:textId="77777777" w:rsidR="00366005" w:rsidRPr="00183B5F" w:rsidRDefault="00366005">
      <w:pPr>
        <w:spacing w:line="240" w:lineRule="auto"/>
        <w:ind w:right="-2"/>
      </w:pPr>
    </w:p>
    <w:p w14:paraId="65CC09DC" w14:textId="77777777" w:rsidR="00366005" w:rsidRPr="00183B5F" w:rsidRDefault="00943743">
      <w:pPr>
        <w:pStyle w:val="ListParagraph"/>
        <w:numPr>
          <w:ilvl w:val="0"/>
          <w:numId w:val="163"/>
        </w:numPr>
        <w:spacing w:line="240" w:lineRule="auto"/>
        <w:ind w:right="-2"/>
        <w:contextualSpacing/>
      </w:pPr>
      <w:r w:rsidRPr="00183B5F">
        <w:rPr>
          <w:szCs w:val="22"/>
        </w:rPr>
        <w:t>Nagyon ritkán előfordul, hogy a Humira</w:t>
      </w:r>
      <w:r w:rsidRPr="00183B5F">
        <w:rPr>
          <w:szCs w:val="22"/>
        </w:rPr>
        <w:noBreakHyphen/>
        <w:t>t vagy más TNF</w:t>
      </w:r>
      <w:r w:rsidRPr="00183B5F">
        <w:rPr>
          <w:szCs w:val="22"/>
        </w:rPr>
        <w:noBreakHyphen/>
      </w:r>
      <w:r w:rsidRPr="00183B5F">
        <w:rPr>
          <w:szCs w:val="22"/>
        </w:rPr>
        <w:t xml:space="preserve">antagonista gyógyszert szedő betegeknél bizonyos daganatfajta jelentkezik. </w:t>
      </w:r>
    </w:p>
    <w:p w14:paraId="5FA33960" w14:textId="77777777" w:rsidR="00366005" w:rsidRPr="00183B5F" w:rsidRDefault="00366005">
      <w:pPr>
        <w:pStyle w:val="ListParagraph"/>
        <w:spacing w:line="240" w:lineRule="auto"/>
        <w:ind w:left="360" w:right="-2"/>
      </w:pPr>
    </w:p>
    <w:p w14:paraId="13DD0CC4" w14:textId="77777777" w:rsidR="00366005" w:rsidRPr="00183B5F" w:rsidRDefault="00943743">
      <w:pPr>
        <w:pStyle w:val="ListParagraph"/>
        <w:numPr>
          <w:ilvl w:val="1"/>
          <w:numId w:val="163"/>
        </w:numPr>
        <w:spacing w:line="240" w:lineRule="auto"/>
        <w:ind w:right="-2"/>
        <w:contextualSpacing/>
      </w:pPr>
      <w:r w:rsidRPr="00183B5F">
        <w:rPr>
          <w:szCs w:val="22"/>
        </w:rPr>
        <w:t xml:space="preserve">A hosszú ideje súlyos reumatoid artritiszben szenvedő betegeknek az átlagosnál nagyobb a kockázatuk, hogy limfóma (a nyirokrendszert érintő daganat) vagy leukémia (a vért és a csontszövetet érintő daganat) alakul ki. </w:t>
      </w:r>
    </w:p>
    <w:p w14:paraId="223F7C78" w14:textId="77777777" w:rsidR="00366005" w:rsidRPr="00183B5F" w:rsidRDefault="00943743">
      <w:pPr>
        <w:pStyle w:val="ListParagraph"/>
        <w:numPr>
          <w:ilvl w:val="1"/>
          <w:numId w:val="163"/>
        </w:numPr>
        <w:spacing w:line="240" w:lineRule="auto"/>
        <w:ind w:right="-2"/>
        <w:contextualSpacing/>
      </w:pPr>
      <w:r w:rsidRPr="00183B5F">
        <w:rPr>
          <w:szCs w:val="22"/>
        </w:rPr>
        <w:t>Amennyiben gyermeke Humira</w:t>
      </w:r>
      <w:r w:rsidRPr="00183B5F">
        <w:rPr>
          <w:szCs w:val="22"/>
        </w:rPr>
        <w:noBreakHyphen/>
        <w:t>t kap, a limfóma, leukémia vagy egyéb daganat kialakulásának kockázata fokozódhat. Ritka esetekben a nyirokdaganat (limfóma) egy ritka és súlyos típusát észlelték Humira-val kezelt betegeknél. E betegek közül egyeseket egyidejűleg azatioprinnel, illetve 6</w:t>
      </w:r>
      <w:r w:rsidRPr="00183B5F">
        <w:rPr>
          <w:szCs w:val="22"/>
        </w:rPr>
        <w:noBreakHyphen/>
        <w:t xml:space="preserve">merkaptopurinnal is kezeltek. </w:t>
      </w:r>
    </w:p>
    <w:p w14:paraId="7896C315" w14:textId="77777777" w:rsidR="00366005" w:rsidRPr="00183B5F" w:rsidRDefault="00943743">
      <w:pPr>
        <w:pStyle w:val="ListParagraph"/>
        <w:numPr>
          <w:ilvl w:val="1"/>
          <w:numId w:val="163"/>
        </w:numPr>
        <w:spacing w:line="240" w:lineRule="auto"/>
        <w:ind w:right="-2"/>
        <w:contextualSpacing/>
      </w:pPr>
      <w:r w:rsidRPr="00183B5F">
        <w:rPr>
          <w:szCs w:val="22"/>
        </w:rPr>
        <w:t xml:space="preserve">Közölje orvosával, ha a gyermeke a Humira-val egyidejűleg azatioprint vagy 6-merkaptopurint szed. </w:t>
      </w:r>
    </w:p>
    <w:p w14:paraId="4AC7055F" w14:textId="77777777" w:rsidR="00366005" w:rsidRPr="00183B5F" w:rsidRDefault="00943743" w:rsidP="00DA71A8">
      <w:pPr>
        <w:pStyle w:val="ListParagraph"/>
        <w:numPr>
          <w:ilvl w:val="1"/>
          <w:numId w:val="163"/>
        </w:numPr>
        <w:spacing w:line="240" w:lineRule="auto"/>
        <w:ind w:right="-2"/>
        <w:contextualSpacing/>
      </w:pPr>
      <w:r w:rsidRPr="00183B5F">
        <w:rPr>
          <w:szCs w:val="22"/>
        </w:rPr>
        <w:t>Esetenként nem melanomás bőrrák kialakulását észlelték Humira</w:t>
      </w:r>
      <w:r w:rsidRPr="00183B5F">
        <w:rPr>
          <w:szCs w:val="22"/>
        </w:rPr>
        <w:noBreakHyphen/>
        <w:t xml:space="preserve">val kezelt betegeken. </w:t>
      </w:r>
    </w:p>
    <w:p w14:paraId="5025FA62" w14:textId="77777777" w:rsidR="00366005" w:rsidRPr="00183B5F" w:rsidRDefault="00943743">
      <w:pPr>
        <w:pStyle w:val="ListParagraph"/>
        <w:numPr>
          <w:ilvl w:val="1"/>
          <w:numId w:val="163"/>
        </w:numPr>
        <w:spacing w:line="240" w:lineRule="auto"/>
        <w:ind w:right="-2"/>
        <w:contextualSpacing/>
      </w:pPr>
      <w:r w:rsidRPr="00183B5F">
        <w:rPr>
          <w:szCs w:val="22"/>
        </w:rPr>
        <w:t>Ha új bőrelváltozások jelennek meg a kezelés alatt vagy a kezelést követően, vagy a meglévők külleme megváltozik, tájékoztassa kezelőorvosát.</w:t>
      </w:r>
    </w:p>
    <w:p w14:paraId="5C035884" w14:textId="77777777" w:rsidR="00366005" w:rsidRPr="00183B5F" w:rsidRDefault="00366005">
      <w:pPr>
        <w:spacing w:line="240" w:lineRule="auto"/>
        <w:ind w:right="-2"/>
      </w:pPr>
    </w:p>
    <w:p w14:paraId="0767B4C5" w14:textId="77777777" w:rsidR="00366005" w:rsidRPr="00183B5F" w:rsidRDefault="00943743">
      <w:pPr>
        <w:numPr>
          <w:ilvl w:val="0"/>
          <w:numId w:val="164"/>
        </w:numPr>
        <w:spacing w:line="240" w:lineRule="auto"/>
        <w:ind w:left="567" w:hanging="567"/>
        <w:rPr>
          <w:szCs w:val="22"/>
        </w:rPr>
      </w:pPr>
      <w:r w:rsidRPr="00183B5F">
        <w:rPr>
          <w:szCs w:val="22"/>
        </w:rPr>
        <w:t>Voltak esetek, amikor egy adott tüdőbetegségben (amelyet idült obstruktív tüdőbetegségnek (COPD</w:t>
      </w:r>
      <w:r w:rsidRPr="00183B5F">
        <w:rPr>
          <w:szCs w:val="22"/>
        </w:rPr>
        <w:noBreakHyphen/>
        <w:t>nek) neveznek) szenvedő, TNF</w:t>
      </w:r>
      <w:r w:rsidRPr="00183B5F">
        <w:rPr>
          <w:szCs w:val="22"/>
        </w:rPr>
        <w:noBreakHyphen/>
        <w:t>antagonistával kezelt betegeken nem limfóma természetű rákos daganatok kialakulását észlelték. Ha gyermeke COPD</w:t>
      </w:r>
      <w:r w:rsidRPr="00183B5F">
        <w:rPr>
          <w:szCs w:val="22"/>
        </w:rPr>
        <w:noBreakHyphen/>
        <w:t>ben szenved vagy erős dohányos, kérje orvosa tanácsát, hogy vajon a TNF</w:t>
      </w:r>
      <w:r w:rsidRPr="00183B5F">
        <w:rPr>
          <w:szCs w:val="22"/>
        </w:rPr>
        <w:noBreakHyphen/>
        <w:t>antagonistával végzett kezelés megfelelő-e gyermeke számára.</w:t>
      </w:r>
    </w:p>
    <w:p w14:paraId="308EA3DD" w14:textId="77777777" w:rsidR="00366005" w:rsidRPr="00183B5F" w:rsidRDefault="00366005">
      <w:pPr>
        <w:spacing w:line="240" w:lineRule="auto"/>
        <w:rPr>
          <w:szCs w:val="22"/>
        </w:rPr>
      </w:pPr>
    </w:p>
    <w:p w14:paraId="6B3114E6" w14:textId="77777777" w:rsidR="00366005" w:rsidRPr="00183B5F" w:rsidRDefault="00943743">
      <w:pPr>
        <w:spacing w:line="240" w:lineRule="auto"/>
        <w:rPr>
          <w:szCs w:val="22"/>
          <w:u w:val="single"/>
        </w:rPr>
      </w:pPr>
      <w:r w:rsidRPr="00183B5F">
        <w:rPr>
          <w:szCs w:val="22"/>
          <w:u w:val="single"/>
        </w:rPr>
        <w:t>Autoimmun betegség</w:t>
      </w:r>
    </w:p>
    <w:p w14:paraId="54FB9D8F" w14:textId="77777777" w:rsidR="00366005" w:rsidRPr="00183B5F" w:rsidRDefault="00366005">
      <w:pPr>
        <w:spacing w:line="240" w:lineRule="auto"/>
        <w:rPr>
          <w:szCs w:val="22"/>
          <w:u w:val="single"/>
        </w:rPr>
      </w:pPr>
    </w:p>
    <w:p w14:paraId="53D86744" w14:textId="77777777" w:rsidR="00366005" w:rsidRPr="00183B5F" w:rsidRDefault="00943743">
      <w:pPr>
        <w:pStyle w:val="ListParagraph"/>
        <w:numPr>
          <w:ilvl w:val="0"/>
          <w:numId w:val="165"/>
        </w:numPr>
        <w:spacing w:line="240" w:lineRule="auto"/>
        <w:contextualSpacing/>
        <w:rPr>
          <w:szCs w:val="22"/>
        </w:rPr>
      </w:pPr>
      <w:r w:rsidRPr="00183B5F">
        <w:rPr>
          <w:szCs w:val="22"/>
        </w:rPr>
        <w:t>Ritka esetekben a Humira lupusz-szerű szindrómát okoz</w:t>
      </w:r>
      <w:r w:rsidR="0089127C" w:rsidRPr="00183B5F">
        <w:rPr>
          <w:szCs w:val="22"/>
        </w:rPr>
        <w:t>hat</w:t>
      </w:r>
      <w:r w:rsidRPr="00183B5F">
        <w:rPr>
          <w:szCs w:val="22"/>
        </w:rPr>
        <w:t xml:space="preserve">. </w:t>
      </w:r>
      <w:r w:rsidR="0089127C" w:rsidRPr="00183B5F">
        <w:rPr>
          <w:szCs w:val="22"/>
        </w:rPr>
        <w:t>Keresse fel</w:t>
      </w:r>
      <w:r w:rsidRPr="00183B5F">
        <w:rPr>
          <w:szCs w:val="22"/>
        </w:rPr>
        <w:t xml:space="preserve"> kezelőorvosá</w:t>
      </w:r>
      <w:r w:rsidR="0089127C" w:rsidRPr="00183B5F">
        <w:rPr>
          <w:szCs w:val="22"/>
        </w:rPr>
        <w:t>t</w:t>
      </w:r>
      <w:r w:rsidRPr="00183B5F">
        <w:rPr>
          <w:szCs w:val="22"/>
        </w:rPr>
        <w:t xml:space="preserve">, ha olyan tüneteket észlel, mint a tartós, tisztázatlan eredetű </w:t>
      </w:r>
      <w:r w:rsidR="004C50B5" w:rsidRPr="00183B5F">
        <w:rPr>
          <w:szCs w:val="22"/>
        </w:rPr>
        <w:t>bőr</w:t>
      </w:r>
      <w:r w:rsidRPr="00183B5F">
        <w:rPr>
          <w:szCs w:val="22"/>
        </w:rPr>
        <w:t>kiütés, láz, ízületi fájdalom vagy fáradtság.</w:t>
      </w:r>
    </w:p>
    <w:p w14:paraId="2FFE8042" w14:textId="77777777" w:rsidR="00366005" w:rsidRPr="00183B5F" w:rsidRDefault="00366005">
      <w:pPr>
        <w:tabs>
          <w:tab w:val="num" w:pos="630"/>
        </w:tabs>
        <w:spacing w:line="240" w:lineRule="auto"/>
        <w:rPr>
          <w:szCs w:val="22"/>
        </w:rPr>
      </w:pPr>
    </w:p>
    <w:p w14:paraId="518B34AC" w14:textId="77777777" w:rsidR="00366005" w:rsidRPr="00183B5F" w:rsidRDefault="00943743">
      <w:pPr>
        <w:keepNext/>
        <w:spacing w:line="240" w:lineRule="auto"/>
        <w:rPr>
          <w:noProof/>
          <w:szCs w:val="24"/>
        </w:rPr>
      </w:pPr>
      <w:r w:rsidRPr="00183B5F">
        <w:rPr>
          <w:b/>
          <w:noProof/>
          <w:szCs w:val="24"/>
        </w:rPr>
        <w:t>Egyéb</w:t>
      </w:r>
      <w:r w:rsidRPr="00183B5F">
        <w:rPr>
          <w:b/>
          <w:szCs w:val="24"/>
        </w:rPr>
        <w:t xml:space="preserve"> gyógyszerek</w:t>
      </w:r>
      <w:r w:rsidRPr="00183B5F">
        <w:rPr>
          <w:b/>
          <w:noProof/>
          <w:szCs w:val="24"/>
        </w:rPr>
        <w:t xml:space="preserve"> és a Humira</w:t>
      </w:r>
    </w:p>
    <w:p w14:paraId="64709C60" w14:textId="77777777" w:rsidR="00366005" w:rsidRPr="00183B5F" w:rsidRDefault="00366005">
      <w:pPr>
        <w:keepNext/>
        <w:spacing w:line="240" w:lineRule="auto"/>
        <w:rPr>
          <w:noProof/>
          <w:szCs w:val="24"/>
        </w:rPr>
      </w:pPr>
    </w:p>
    <w:p w14:paraId="4F2BEC4F" w14:textId="77777777" w:rsidR="00366005" w:rsidRPr="00183B5F" w:rsidRDefault="00943743">
      <w:pPr>
        <w:keepNext/>
        <w:spacing w:line="240" w:lineRule="auto"/>
        <w:rPr>
          <w:b/>
          <w:szCs w:val="22"/>
        </w:rPr>
      </w:pPr>
      <w:r w:rsidRPr="00183B5F">
        <w:rPr>
          <w:szCs w:val="24"/>
        </w:rPr>
        <w:t xml:space="preserve">Feltétlenül tájékoztassa gyermeke kezelőorvosát vagy gyógyszerészét gyermeke jelenleg vagy nemrégiben </w:t>
      </w:r>
      <w:r w:rsidRPr="00183B5F">
        <w:rPr>
          <w:noProof/>
          <w:szCs w:val="24"/>
        </w:rPr>
        <w:t>szedett, valamint szedni tervezett</w:t>
      </w:r>
      <w:r w:rsidRPr="00183B5F">
        <w:rPr>
          <w:szCs w:val="24"/>
        </w:rPr>
        <w:t xml:space="preserve"> egyéb gyógyszereiről</w:t>
      </w:r>
      <w:r w:rsidRPr="00183B5F">
        <w:rPr>
          <w:noProof/>
          <w:szCs w:val="24"/>
        </w:rPr>
        <w:t>.</w:t>
      </w:r>
    </w:p>
    <w:p w14:paraId="63157FF1" w14:textId="77777777" w:rsidR="00366005" w:rsidRPr="00183B5F" w:rsidRDefault="00366005">
      <w:pPr>
        <w:tabs>
          <w:tab w:val="num" w:pos="630"/>
        </w:tabs>
        <w:spacing w:line="240" w:lineRule="auto"/>
        <w:rPr>
          <w:szCs w:val="22"/>
        </w:rPr>
      </w:pPr>
    </w:p>
    <w:p w14:paraId="4ADA3A4F" w14:textId="77777777" w:rsidR="00366005" w:rsidRPr="00183B5F" w:rsidRDefault="00943743">
      <w:pPr>
        <w:spacing w:line="240" w:lineRule="auto"/>
        <w:rPr>
          <w:szCs w:val="22"/>
        </w:rPr>
      </w:pPr>
      <w:r w:rsidRPr="00183B5F">
        <w:rPr>
          <w:szCs w:val="22"/>
        </w:rPr>
        <w:t>Gyermeke nem kaphat Humira</w:t>
      </w:r>
      <w:r w:rsidRPr="00183B5F">
        <w:rPr>
          <w:szCs w:val="22"/>
        </w:rPr>
        <w:noBreakHyphen/>
      </w:r>
      <w:r w:rsidRPr="00183B5F">
        <w:rPr>
          <w:szCs w:val="22"/>
        </w:rPr>
        <w:t>t a következő hatóanyagot tartalmazó gyógyszerekkel együtt, mert fokozódik a súlyos fertőzések kockázata:</w:t>
      </w:r>
    </w:p>
    <w:p w14:paraId="30FBC8E9" w14:textId="77777777" w:rsidR="00366005" w:rsidRPr="00183B5F" w:rsidRDefault="00943743">
      <w:pPr>
        <w:pStyle w:val="ListParagraph"/>
        <w:numPr>
          <w:ilvl w:val="0"/>
          <w:numId w:val="166"/>
        </w:numPr>
        <w:tabs>
          <w:tab w:val="num" w:pos="630"/>
        </w:tabs>
        <w:spacing w:line="240" w:lineRule="auto"/>
        <w:contextualSpacing/>
        <w:rPr>
          <w:szCs w:val="22"/>
        </w:rPr>
      </w:pPr>
      <w:r w:rsidRPr="00183B5F">
        <w:rPr>
          <w:szCs w:val="22"/>
        </w:rPr>
        <w:t xml:space="preserve">anakinra </w:t>
      </w:r>
    </w:p>
    <w:p w14:paraId="46574ED0" w14:textId="77777777" w:rsidR="00366005" w:rsidRPr="00183B5F" w:rsidRDefault="00943743">
      <w:pPr>
        <w:pStyle w:val="ListParagraph"/>
        <w:numPr>
          <w:ilvl w:val="0"/>
          <w:numId w:val="166"/>
        </w:numPr>
        <w:tabs>
          <w:tab w:val="num" w:pos="630"/>
        </w:tabs>
        <w:spacing w:line="240" w:lineRule="auto"/>
        <w:ind w:right="-2"/>
        <w:contextualSpacing/>
      </w:pPr>
      <w:r w:rsidRPr="00183B5F">
        <w:rPr>
          <w:szCs w:val="22"/>
        </w:rPr>
        <w:t>abatacept.</w:t>
      </w:r>
    </w:p>
    <w:p w14:paraId="1E7755EF" w14:textId="77777777" w:rsidR="00366005" w:rsidRPr="00183B5F" w:rsidRDefault="00366005">
      <w:pPr>
        <w:tabs>
          <w:tab w:val="num" w:pos="630"/>
        </w:tabs>
        <w:spacing w:line="240" w:lineRule="auto"/>
        <w:ind w:right="-2"/>
      </w:pPr>
    </w:p>
    <w:p w14:paraId="63287987" w14:textId="77777777" w:rsidR="00366005" w:rsidRPr="00183B5F" w:rsidRDefault="00943743" w:rsidP="002D49EE">
      <w:pPr>
        <w:keepNext/>
        <w:spacing w:line="240" w:lineRule="auto"/>
        <w:rPr>
          <w:szCs w:val="22"/>
        </w:rPr>
      </w:pPr>
      <w:r w:rsidRPr="00183B5F">
        <w:rPr>
          <w:szCs w:val="22"/>
        </w:rPr>
        <w:t>A Humira</w:t>
      </w:r>
      <w:r w:rsidRPr="00183B5F">
        <w:rPr>
          <w:szCs w:val="22"/>
        </w:rPr>
        <w:noBreakHyphen/>
        <w:t>t lehet együtt alkalmazni:</w:t>
      </w:r>
    </w:p>
    <w:p w14:paraId="22CB29BB" w14:textId="77777777" w:rsidR="00366005" w:rsidRPr="00183B5F" w:rsidRDefault="00943743">
      <w:pPr>
        <w:pStyle w:val="ListParagraph"/>
        <w:numPr>
          <w:ilvl w:val="0"/>
          <w:numId w:val="167"/>
        </w:numPr>
        <w:spacing w:line="240" w:lineRule="auto"/>
        <w:contextualSpacing/>
        <w:rPr>
          <w:szCs w:val="22"/>
        </w:rPr>
      </w:pPr>
      <w:r w:rsidRPr="00183B5F">
        <w:rPr>
          <w:szCs w:val="22"/>
        </w:rPr>
        <w:t xml:space="preserve">metotrexáttal </w:t>
      </w:r>
    </w:p>
    <w:p w14:paraId="670C9DCF" w14:textId="77777777" w:rsidR="00366005" w:rsidRPr="00183B5F" w:rsidRDefault="00943743">
      <w:pPr>
        <w:pStyle w:val="ListParagraph"/>
        <w:numPr>
          <w:ilvl w:val="0"/>
          <w:numId w:val="167"/>
        </w:numPr>
        <w:spacing w:line="240" w:lineRule="auto"/>
        <w:contextualSpacing/>
        <w:rPr>
          <w:szCs w:val="22"/>
        </w:rPr>
      </w:pPr>
      <w:r w:rsidRPr="00183B5F">
        <w:rPr>
          <w:szCs w:val="22"/>
        </w:rPr>
        <w:t>egyes betegséget befolyásoló reumaellenes szerrel (mint például a szulfaszalazin, hidroxiklorokin, leflunomid és arany injekció)</w:t>
      </w:r>
    </w:p>
    <w:p w14:paraId="6A0EF4D9" w14:textId="77777777" w:rsidR="00366005" w:rsidRPr="00183B5F" w:rsidRDefault="00943743">
      <w:pPr>
        <w:pStyle w:val="ListParagraph"/>
        <w:numPr>
          <w:ilvl w:val="0"/>
          <w:numId w:val="167"/>
        </w:numPr>
        <w:spacing w:line="240" w:lineRule="auto"/>
        <w:contextualSpacing/>
        <w:rPr>
          <w:szCs w:val="22"/>
        </w:rPr>
      </w:pPr>
      <w:r w:rsidRPr="00183B5F">
        <w:rPr>
          <w:szCs w:val="22"/>
        </w:rPr>
        <w:t>szteroidokkal vagy fájdalomcsillapító készítményekkel, beleértve a nem</w:t>
      </w:r>
      <w:r w:rsidR="00647E1C" w:rsidRPr="00183B5F">
        <w:rPr>
          <w:szCs w:val="22"/>
        </w:rPr>
        <w:t>-</w:t>
      </w:r>
      <w:r w:rsidRPr="00183B5F">
        <w:rPr>
          <w:szCs w:val="22"/>
        </w:rPr>
        <w:t xml:space="preserve">szteroid </w:t>
      </w:r>
      <w:r w:rsidR="008511AE" w:rsidRPr="00183B5F">
        <w:rPr>
          <w:szCs w:val="22"/>
        </w:rPr>
        <w:t>gyulladásgátlóka</w:t>
      </w:r>
      <w:r w:rsidRPr="00183B5F">
        <w:rPr>
          <w:szCs w:val="22"/>
        </w:rPr>
        <w:t>t (NSAID-ket).</w:t>
      </w:r>
    </w:p>
    <w:p w14:paraId="5AD42330" w14:textId="77777777" w:rsidR="00366005" w:rsidRPr="00183B5F" w:rsidRDefault="00366005">
      <w:pPr>
        <w:spacing w:line="240" w:lineRule="auto"/>
        <w:rPr>
          <w:szCs w:val="22"/>
        </w:rPr>
      </w:pPr>
    </w:p>
    <w:p w14:paraId="1756DA08" w14:textId="77777777" w:rsidR="00366005" w:rsidRPr="00183B5F" w:rsidRDefault="00943743">
      <w:pPr>
        <w:spacing w:line="240" w:lineRule="auto"/>
        <w:rPr>
          <w:szCs w:val="22"/>
        </w:rPr>
      </w:pPr>
      <w:r w:rsidRPr="00183B5F">
        <w:rPr>
          <w:szCs w:val="22"/>
        </w:rPr>
        <w:t>Ha kérdése van, kérdezze meg kezelőorvosát.</w:t>
      </w:r>
    </w:p>
    <w:p w14:paraId="79F72677" w14:textId="77777777" w:rsidR="00366005" w:rsidRPr="00183B5F" w:rsidRDefault="00366005">
      <w:pPr>
        <w:spacing w:line="240" w:lineRule="auto"/>
        <w:rPr>
          <w:szCs w:val="22"/>
        </w:rPr>
      </w:pPr>
    </w:p>
    <w:p w14:paraId="198BA0F6" w14:textId="77777777" w:rsidR="00366005" w:rsidRPr="00183B5F" w:rsidRDefault="00943743">
      <w:pPr>
        <w:keepNext/>
        <w:spacing w:line="240" w:lineRule="auto"/>
        <w:ind w:left="567" w:hanging="567"/>
        <w:rPr>
          <w:szCs w:val="22"/>
        </w:rPr>
      </w:pPr>
      <w:r w:rsidRPr="00183B5F">
        <w:rPr>
          <w:b/>
          <w:szCs w:val="22"/>
        </w:rPr>
        <w:t>Terhesség és szoptatás</w:t>
      </w:r>
    </w:p>
    <w:p w14:paraId="1CAACF6B" w14:textId="77777777" w:rsidR="00366005" w:rsidRPr="00183B5F" w:rsidRDefault="00366005">
      <w:pPr>
        <w:keepNext/>
        <w:spacing w:line="240" w:lineRule="auto"/>
        <w:ind w:left="567" w:hanging="567"/>
        <w:rPr>
          <w:szCs w:val="22"/>
        </w:rPr>
      </w:pPr>
    </w:p>
    <w:p w14:paraId="5FE3EB60" w14:textId="77777777" w:rsidR="00366005" w:rsidRPr="00183B5F" w:rsidRDefault="00943743" w:rsidP="00E87C31">
      <w:pPr>
        <w:pStyle w:val="ListParagraph"/>
        <w:numPr>
          <w:ilvl w:val="0"/>
          <w:numId w:val="164"/>
        </w:numPr>
        <w:tabs>
          <w:tab w:val="clear" w:pos="720"/>
          <w:tab w:val="num" w:pos="567"/>
        </w:tabs>
        <w:spacing w:line="240" w:lineRule="auto"/>
        <w:ind w:left="567" w:hanging="567"/>
        <w:rPr>
          <w:szCs w:val="22"/>
        </w:rPr>
      </w:pPr>
      <w:r w:rsidRPr="00183B5F">
        <w:rPr>
          <w:szCs w:val="22"/>
        </w:rPr>
        <w:t>Gyermek</w:t>
      </w:r>
      <w:r w:rsidR="00CE18FB" w:rsidRPr="00183B5F">
        <w:rPr>
          <w:szCs w:val="22"/>
        </w:rPr>
        <w:t>ének</w:t>
      </w:r>
      <w:r w:rsidRPr="00183B5F">
        <w:rPr>
          <w:szCs w:val="22"/>
        </w:rPr>
        <w:t xml:space="preserve"> </w:t>
      </w:r>
      <w:r w:rsidR="00CE18FB" w:rsidRPr="00183B5F">
        <w:rPr>
          <w:szCs w:val="22"/>
        </w:rPr>
        <w:t>a terhesség m</w:t>
      </w:r>
      <w:r w:rsidR="007B03EF" w:rsidRPr="00183B5F">
        <w:rPr>
          <w:szCs w:val="22"/>
        </w:rPr>
        <w:t>egelőzése</w:t>
      </w:r>
      <w:r w:rsidR="00CE18FB" w:rsidRPr="00183B5F">
        <w:rPr>
          <w:szCs w:val="22"/>
        </w:rPr>
        <w:t xml:space="preserve"> érdekében </w:t>
      </w:r>
      <w:r w:rsidR="00AD737C" w:rsidRPr="00183B5F">
        <w:rPr>
          <w:szCs w:val="22"/>
        </w:rPr>
        <w:t>meg kell fontolnia a</w:t>
      </w:r>
      <w:r w:rsidRPr="00183B5F">
        <w:rPr>
          <w:szCs w:val="22"/>
        </w:rPr>
        <w:t xml:space="preserve"> megfelelő fogamzásgátlás alkalmazás</w:t>
      </w:r>
      <w:r w:rsidR="00CE18FB" w:rsidRPr="00183B5F">
        <w:rPr>
          <w:szCs w:val="22"/>
        </w:rPr>
        <w:t>át</w:t>
      </w:r>
      <w:r w:rsidR="00C3365C" w:rsidRPr="00183B5F">
        <w:rPr>
          <w:szCs w:val="22"/>
        </w:rPr>
        <w:t xml:space="preserve"> és az alkalmazás folytatását</w:t>
      </w:r>
      <w:r w:rsidR="00CE18FB" w:rsidRPr="00183B5F">
        <w:rPr>
          <w:szCs w:val="22"/>
        </w:rPr>
        <w:t xml:space="preserve"> </w:t>
      </w:r>
      <w:r w:rsidR="00C3365C" w:rsidRPr="00183B5F">
        <w:rPr>
          <w:szCs w:val="22"/>
        </w:rPr>
        <w:t xml:space="preserve">a </w:t>
      </w:r>
      <w:r w:rsidRPr="00183B5F">
        <w:rPr>
          <w:szCs w:val="22"/>
        </w:rPr>
        <w:t>Humira</w:t>
      </w:r>
      <w:r w:rsidRPr="00183B5F">
        <w:rPr>
          <w:szCs w:val="22"/>
        </w:rPr>
        <w:noBreakHyphen/>
        <w:t>val történt utolsó kezelést követően legalább 5 hónapig.</w:t>
      </w:r>
    </w:p>
    <w:p w14:paraId="45C9A1DC" w14:textId="77777777" w:rsidR="007B03EF" w:rsidRPr="00183B5F" w:rsidRDefault="00943743" w:rsidP="007B03EF">
      <w:pPr>
        <w:pStyle w:val="ListParagraph"/>
        <w:numPr>
          <w:ilvl w:val="0"/>
          <w:numId w:val="194"/>
        </w:numPr>
        <w:tabs>
          <w:tab w:val="num" w:pos="567"/>
        </w:tabs>
        <w:spacing w:line="240" w:lineRule="auto"/>
        <w:ind w:left="567" w:hanging="567"/>
        <w:rPr>
          <w:szCs w:val="22"/>
        </w:rPr>
      </w:pPr>
      <w:r w:rsidRPr="00183B5F">
        <w:rPr>
          <w:szCs w:val="22"/>
        </w:rPr>
        <w:t>Amennyiben gyermeke terhes, úgy gondolja, hogy terhes lehet, vagy gyermeket tervez, kérje kezelőorvosa tanácsát ennek a gyógyszernek az alkalmazásáról.</w:t>
      </w:r>
    </w:p>
    <w:p w14:paraId="6353428C" w14:textId="77777777" w:rsidR="007B03EF" w:rsidRPr="00183B5F" w:rsidRDefault="00943743" w:rsidP="007B03EF">
      <w:pPr>
        <w:pStyle w:val="ListParagraph"/>
        <w:numPr>
          <w:ilvl w:val="0"/>
          <w:numId w:val="194"/>
        </w:numPr>
        <w:tabs>
          <w:tab w:val="num" w:pos="567"/>
        </w:tabs>
        <w:spacing w:line="240" w:lineRule="auto"/>
        <w:ind w:left="567" w:hanging="567"/>
        <w:rPr>
          <w:szCs w:val="22"/>
        </w:rPr>
      </w:pPr>
      <w:r w:rsidRPr="00183B5F">
        <w:rPr>
          <w:szCs w:val="22"/>
        </w:rPr>
        <w:t>A Humira csak akkor alkalmazható terhesség alatt, ha</w:t>
      </w:r>
      <w:r w:rsidR="004B37B2" w:rsidRPr="00183B5F">
        <w:rPr>
          <w:szCs w:val="22"/>
        </w:rPr>
        <w:t xml:space="preserve"> egyértelműen</w:t>
      </w:r>
      <w:r w:rsidRPr="00183B5F">
        <w:rPr>
          <w:szCs w:val="22"/>
        </w:rPr>
        <w:t xml:space="preserve"> szükséges.</w:t>
      </w:r>
    </w:p>
    <w:p w14:paraId="0C2CD598" w14:textId="77777777" w:rsidR="007B03EF" w:rsidRPr="00183B5F" w:rsidRDefault="00943743" w:rsidP="00C3365C">
      <w:pPr>
        <w:pStyle w:val="ListParagraph"/>
        <w:numPr>
          <w:ilvl w:val="0"/>
          <w:numId w:val="194"/>
        </w:numPr>
        <w:tabs>
          <w:tab w:val="num" w:pos="567"/>
        </w:tabs>
        <w:spacing w:line="240" w:lineRule="auto"/>
        <w:ind w:left="567" w:hanging="567"/>
        <w:rPr>
          <w:szCs w:val="22"/>
        </w:rPr>
      </w:pPr>
      <w:r w:rsidRPr="00183B5F">
        <w:rPr>
          <w:szCs w:val="22"/>
        </w:rPr>
        <w:t>Egy terhes nők</w:t>
      </w:r>
      <w:r w:rsidR="00C3365C" w:rsidRPr="00183B5F">
        <w:rPr>
          <w:szCs w:val="22"/>
        </w:rPr>
        <w:t>kel</w:t>
      </w:r>
      <w:r w:rsidRPr="00183B5F">
        <w:rPr>
          <w:szCs w:val="22"/>
        </w:rPr>
        <w:t xml:space="preserve"> végzett klinikai vizsgálat alapján nem volt magasabb a születési rendellenességek kockázata azokn</w:t>
      </w:r>
      <w:r w:rsidR="00C3365C" w:rsidRPr="00183B5F">
        <w:rPr>
          <w:szCs w:val="22"/>
        </w:rPr>
        <w:t>ál</w:t>
      </w:r>
      <w:r w:rsidRPr="00183B5F">
        <w:rPr>
          <w:szCs w:val="22"/>
        </w:rPr>
        <w:t xml:space="preserve"> a nőkn</w:t>
      </w:r>
      <w:r w:rsidR="00C3365C" w:rsidRPr="00183B5F">
        <w:rPr>
          <w:szCs w:val="22"/>
        </w:rPr>
        <w:t>él</w:t>
      </w:r>
      <w:r w:rsidRPr="00183B5F">
        <w:rPr>
          <w:szCs w:val="22"/>
        </w:rPr>
        <w:t xml:space="preserve">, akik a terhességük </w:t>
      </w:r>
      <w:r w:rsidR="00C3365C" w:rsidRPr="00183B5F">
        <w:rPr>
          <w:szCs w:val="22"/>
        </w:rPr>
        <w:t>alatt</w:t>
      </w:r>
      <w:r w:rsidRPr="00183B5F">
        <w:rPr>
          <w:szCs w:val="22"/>
        </w:rPr>
        <w:t xml:space="preserve"> Humira</w:t>
      </w:r>
      <w:r w:rsidRPr="00183B5F">
        <w:rPr>
          <w:szCs w:val="22"/>
        </w:rPr>
        <w:noBreakHyphen/>
        <w:t xml:space="preserve">kezelésben részesültek, </w:t>
      </w:r>
      <w:r w:rsidR="00C3365C" w:rsidRPr="00183B5F">
        <w:rPr>
          <w:szCs w:val="22"/>
        </w:rPr>
        <w:t>mint</w:t>
      </w:r>
      <w:r w:rsidRPr="00183B5F">
        <w:rPr>
          <w:szCs w:val="22"/>
        </w:rPr>
        <w:t xml:space="preserve"> az azonos betegségben szenvedő, Humira</w:t>
      </w:r>
      <w:r w:rsidRPr="00183B5F">
        <w:rPr>
          <w:szCs w:val="22"/>
        </w:rPr>
        <w:noBreakHyphen/>
        <w:t>kezelésben nem részesült nők</w:t>
      </w:r>
      <w:r w:rsidR="00C3365C" w:rsidRPr="00183B5F">
        <w:rPr>
          <w:szCs w:val="22"/>
        </w:rPr>
        <w:t>nél</w:t>
      </w:r>
      <w:r w:rsidRPr="00183B5F">
        <w:rPr>
          <w:szCs w:val="22"/>
        </w:rPr>
        <w:t>.</w:t>
      </w:r>
    </w:p>
    <w:p w14:paraId="2F0AEECD" w14:textId="77777777" w:rsidR="007B03EF" w:rsidRPr="00183B5F" w:rsidRDefault="00943743" w:rsidP="00E87C31">
      <w:pPr>
        <w:pStyle w:val="ListParagraph"/>
        <w:numPr>
          <w:ilvl w:val="0"/>
          <w:numId w:val="193"/>
        </w:numPr>
        <w:tabs>
          <w:tab w:val="num" w:pos="567"/>
        </w:tabs>
        <w:spacing w:line="240" w:lineRule="auto"/>
        <w:ind w:left="567" w:hanging="567"/>
        <w:rPr>
          <w:szCs w:val="22"/>
        </w:rPr>
      </w:pPr>
      <w:r w:rsidRPr="00183B5F">
        <w:t>Szoptatás alatt a Humira alkalmazható.</w:t>
      </w:r>
    </w:p>
    <w:p w14:paraId="51780C5B" w14:textId="77777777" w:rsidR="007B03EF" w:rsidRPr="00183B5F" w:rsidRDefault="00943743" w:rsidP="00E87C31">
      <w:pPr>
        <w:pStyle w:val="ListParagraph"/>
        <w:numPr>
          <w:ilvl w:val="0"/>
          <w:numId w:val="193"/>
        </w:numPr>
        <w:spacing w:line="240" w:lineRule="auto"/>
        <w:ind w:left="567" w:hanging="567"/>
      </w:pPr>
      <w:r w:rsidRPr="00183B5F">
        <w:t>Ha gyermeke a terhessége alatt Humira-t kapott, a kisbabája nagyobb eséllyel kap el valamilyen fertőzést.</w:t>
      </w:r>
    </w:p>
    <w:p w14:paraId="057EEFC1" w14:textId="77777777" w:rsidR="00366005" w:rsidRPr="00183B5F" w:rsidRDefault="00943743" w:rsidP="00E87C31">
      <w:pPr>
        <w:pStyle w:val="ListParagraph"/>
        <w:numPr>
          <w:ilvl w:val="0"/>
          <w:numId w:val="193"/>
        </w:numPr>
        <w:spacing w:line="240" w:lineRule="auto"/>
        <w:ind w:left="567" w:hanging="567"/>
        <w:rPr>
          <w:szCs w:val="22"/>
        </w:rPr>
      </w:pPr>
      <w:r w:rsidRPr="00183B5F">
        <w:t xml:space="preserve">Fontos, hogy elmondja gyermeke kisbabája orvosának vagy az őt kezelő egészségügyi személyzetnek, hogy a terhessége alatt Humira-t kapott, mielőtt a kisbaba bármilyen védőoltást kapna. </w:t>
      </w:r>
      <w:r w:rsidR="007B03EF" w:rsidRPr="00183B5F">
        <w:t>A védőoltásokról t</w:t>
      </w:r>
      <w:r w:rsidRPr="00183B5F">
        <w:t>ovábbi információ</w:t>
      </w:r>
      <w:r w:rsidR="007B03EF" w:rsidRPr="00183B5F">
        <w:t xml:space="preserve">t </w:t>
      </w:r>
      <w:r w:rsidR="007B03EF" w:rsidRPr="00183B5F">
        <w:rPr>
          <w:szCs w:val="22"/>
        </w:rPr>
        <w:t>talál a „Figyelmeztetések és óvintézkedések” részben</w:t>
      </w:r>
      <w:r w:rsidRPr="00183B5F">
        <w:rPr>
          <w:szCs w:val="22"/>
        </w:rPr>
        <w:t>.</w:t>
      </w:r>
    </w:p>
    <w:p w14:paraId="71C079C8" w14:textId="77777777" w:rsidR="00366005" w:rsidRPr="00183B5F" w:rsidRDefault="00366005">
      <w:pPr>
        <w:tabs>
          <w:tab w:val="num" w:pos="630"/>
        </w:tabs>
        <w:spacing w:line="240" w:lineRule="auto"/>
        <w:ind w:right="-2"/>
      </w:pPr>
    </w:p>
    <w:p w14:paraId="000CD01E" w14:textId="77777777" w:rsidR="00366005" w:rsidRPr="00183B5F" w:rsidRDefault="00943743">
      <w:pPr>
        <w:keepNext/>
        <w:spacing w:line="240" w:lineRule="auto"/>
        <w:ind w:right="-2"/>
        <w:rPr>
          <w:bCs/>
          <w:szCs w:val="22"/>
        </w:rPr>
      </w:pPr>
      <w:r w:rsidRPr="00183B5F">
        <w:rPr>
          <w:b/>
          <w:bCs/>
          <w:szCs w:val="22"/>
        </w:rPr>
        <w:t>A készítmény hatásai a gépjárművezetéshez és a gépek kezeléséhez szükséges képességekre</w:t>
      </w:r>
    </w:p>
    <w:p w14:paraId="0698B617" w14:textId="77777777" w:rsidR="00366005" w:rsidRPr="00183B5F" w:rsidRDefault="00366005">
      <w:pPr>
        <w:keepNext/>
        <w:spacing w:line="240" w:lineRule="auto"/>
        <w:ind w:right="-2"/>
        <w:rPr>
          <w:szCs w:val="22"/>
        </w:rPr>
      </w:pPr>
    </w:p>
    <w:p w14:paraId="2B8E43C2" w14:textId="77777777" w:rsidR="00366005" w:rsidRPr="00183B5F" w:rsidRDefault="00943743">
      <w:pPr>
        <w:keepNext/>
        <w:spacing w:line="240" w:lineRule="auto"/>
        <w:rPr>
          <w:szCs w:val="22"/>
        </w:rPr>
      </w:pPr>
      <w:r w:rsidRPr="00183B5F">
        <w:rPr>
          <w:szCs w:val="22"/>
        </w:rPr>
        <w:t xml:space="preserve">A Humira csekély mértékben befolyásolhatja gyermeke gépjárművezetéshez, kerékpározáshoz vagy a gépek </w:t>
      </w:r>
      <w:r w:rsidRPr="00183B5F">
        <w:rPr>
          <w:noProof/>
          <w:szCs w:val="22"/>
        </w:rPr>
        <w:t>kezeléséhez</w:t>
      </w:r>
      <w:r w:rsidRPr="00183B5F">
        <w:rPr>
          <w:szCs w:val="22"/>
        </w:rPr>
        <w:t xml:space="preserve"> szükséges képességeit. Előfordulhat olyan érzés, mintha forogna a szoba vagy a tér, továbbá látászavar is előfordulhat.</w:t>
      </w:r>
    </w:p>
    <w:p w14:paraId="0BCA41D7" w14:textId="77777777" w:rsidR="00366005" w:rsidRDefault="00366005">
      <w:pPr>
        <w:spacing w:line="240" w:lineRule="auto"/>
        <w:rPr>
          <w:ins w:id="9853" w:author="AbbVie_HU_03" w:date="2025-05-14T16:24:00Z"/>
          <w:szCs w:val="22"/>
        </w:rPr>
      </w:pPr>
    </w:p>
    <w:p w14:paraId="4D0CBF43" w14:textId="03A7B28D" w:rsidR="00511721" w:rsidRPr="00673483" w:rsidRDefault="00943743">
      <w:pPr>
        <w:spacing w:line="240" w:lineRule="auto"/>
        <w:rPr>
          <w:ins w:id="9854" w:author="AbbVie_HU_03" w:date="2025-05-14T16:24:00Z"/>
          <w:b/>
          <w:bCs/>
          <w:szCs w:val="22"/>
          <w:rPrChange w:id="9855" w:author="AbbVie_HU_03" w:date="2025-05-14T17:03:00Z">
            <w:rPr>
              <w:ins w:id="9856" w:author="AbbVie_HU_03" w:date="2025-05-14T16:24:00Z"/>
              <w:szCs w:val="22"/>
            </w:rPr>
          </w:rPrChange>
        </w:rPr>
      </w:pPr>
      <w:ins w:id="9857" w:author="AbbVie_HU_03" w:date="2025-05-14T16:24:00Z">
        <w:r w:rsidRPr="00673483">
          <w:rPr>
            <w:b/>
            <w:bCs/>
            <w:szCs w:val="22"/>
            <w:rPrChange w:id="9858" w:author="AbbVie_HU_03" w:date="2025-05-14T17:03:00Z">
              <w:rPr>
                <w:szCs w:val="22"/>
              </w:rPr>
            </w:rPrChange>
          </w:rPr>
          <w:t>A Humira poliszorbátot tartalmaz</w:t>
        </w:r>
      </w:ins>
    </w:p>
    <w:p w14:paraId="5763EDA0" w14:textId="77777777" w:rsidR="00511721" w:rsidRDefault="00511721">
      <w:pPr>
        <w:spacing w:line="240" w:lineRule="auto"/>
        <w:rPr>
          <w:ins w:id="9859" w:author="AbbVie_HU_03" w:date="2025-05-14T16:24:00Z"/>
          <w:szCs w:val="22"/>
        </w:rPr>
      </w:pPr>
    </w:p>
    <w:p w14:paraId="4396F9EA" w14:textId="7B9683B6" w:rsidR="00511721" w:rsidRDefault="00943743">
      <w:pPr>
        <w:spacing w:line="240" w:lineRule="auto"/>
        <w:rPr>
          <w:ins w:id="9860" w:author="AbbVie_HU_03" w:date="2025-05-14T16:29:00Z"/>
          <w:szCs w:val="22"/>
        </w:rPr>
      </w:pPr>
      <w:ins w:id="9861" w:author="AbbVie_HU_03" w:date="2025-05-14T16:25:00Z">
        <w:r>
          <w:rPr>
            <w:szCs w:val="22"/>
          </w:rPr>
          <w:t>A gyógyszer 0,2</w:t>
        </w:r>
      </w:ins>
      <w:ins w:id="9862" w:author="AbbVie_HU_03" w:date="2025-05-14T17:03:00Z">
        <w:r w:rsidR="00673483">
          <w:rPr>
            <w:szCs w:val="22"/>
          </w:rPr>
          <w:t> </w:t>
        </w:r>
      </w:ins>
      <w:ins w:id="9863" w:author="AbbVie_HU_03" w:date="2025-05-14T16:25:00Z">
        <w:r>
          <w:rPr>
            <w:szCs w:val="22"/>
          </w:rPr>
          <w:t>mg poliszorbát 80-at tartalmaz 20</w:t>
        </w:r>
      </w:ins>
      <w:ins w:id="9864" w:author="AbbVie_HU_03" w:date="2025-05-14T17:03:00Z">
        <w:r w:rsidR="00673483">
          <w:rPr>
            <w:szCs w:val="22"/>
          </w:rPr>
          <w:t> </w:t>
        </w:r>
      </w:ins>
      <w:ins w:id="9865" w:author="AbbVie_HU_03" w:date="2025-05-14T16:25:00Z">
        <w:r>
          <w:rPr>
            <w:szCs w:val="22"/>
          </w:rPr>
          <w:t>mg-os adagonként</w:t>
        </w:r>
      </w:ins>
      <w:ins w:id="9866" w:author="AbbVie_HU_03" w:date="2025-05-14T16:28:00Z">
        <w:r w:rsidR="00B6545F">
          <w:rPr>
            <w:szCs w:val="22"/>
          </w:rPr>
          <w:t>. A poliszorbát</w:t>
        </w:r>
      </w:ins>
      <w:ins w:id="9867" w:author="AbbVie_HU_03" w:date="2025-09-05T15:41:00Z">
        <w:r w:rsidR="000612E2">
          <w:rPr>
            <w:szCs w:val="22"/>
          </w:rPr>
          <w:t>ok</w:t>
        </w:r>
      </w:ins>
      <w:ins w:id="9868" w:author="AbbVie_HU_03" w:date="2025-05-14T16:28:00Z">
        <w:r w:rsidR="00B6545F">
          <w:rPr>
            <w:szCs w:val="22"/>
          </w:rPr>
          <w:t xml:space="preserve"> allergiás reakció</w:t>
        </w:r>
      </w:ins>
      <w:ins w:id="9869" w:author="AbbVie_HU_03" w:date="2025-09-05T15:41:00Z">
        <w:r w:rsidR="000612E2">
          <w:rPr>
            <w:szCs w:val="22"/>
          </w:rPr>
          <w:t>ka</w:t>
        </w:r>
      </w:ins>
      <w:ins w:id="9870" w:author="AbbVie_HU_03" w:date="2025-05-14T16:28:00Z">
        <w:r w:rsidR="00B6545F">
          <w:rPr>
            <w:szCs w:val="22"/>
          </w:rPr>
          <w:t>t okozhat</w:t>
        </w:r>
      </w:ins>
      <w:ins w:id="9871" w:author="AbbVie_HU_03" w:date="2025-09-05T15:42:00Z">
        <w:r w:rsidR="000612E2">
          <w:rPr>
            <w:szCs w:val="22"/>
          </w:rPr>
          <w:t>nak</w:t>
        </w:r>
      </w:ins>
      <w:ins w:id="9872" w:author="AbbVie_HU_03" w:date="2025-05-14T16:28:00Z">
        <w:r w:rsidR="00B6545F">
          <w:rPr>
            <w:szCs w:val="22"/>
          </w:rPr>
          <w:t>. Tájékoztassa kezelőorvosát, ha gyermekének b</w:t>
        </w:r>
      </w:ins>
      <w:ins w:id="9873" w:author="AbbVie_HU_03" w:date="2025-05-14T16:29:00Z">
        <w:r w:rsidR="00B6545F">
          <w:rPr>
            <w:szCs w:val="22"/>
          </w:rPr>
          <w:t xml:space="preserve">ármilyen </w:t>
        </w:r>
      </w:ins>
      <w:ins w:id="9874" w:author="AbbVie_HU_03" w:date="2025-05-14T16:28:00Z">
        <w:r w:rsidR="00B6545F">
          <w:rPr>
            <w:szCs w:val="22"/>
          </w:rPr>
          <w:t>ismert allergiája van</w:t>
        </w:r>
      </w:ins>
      <w:ins w:id="9875" w:author="AbbVie_HU_03" w:date="2025-05-14T16:29:00Z">
        <w:r w:rsidR="00B6545F">
          <w:rPr>
            <w:szCs w:val="22"/>
          </w:rPr>
          <w:t>.</w:t>
        </w:r>
      </w:ins>
    </w:p>
    <w:p w14:paraId="4A86C045" w14:textId="77777777" w:rsidR="00B6545F" w:rsidRPr="00183B5F" w:rsidRDefault="00B6545F">
      <w:pPr>
        <w:spacing w:line="240" w:lineRule="auto"/>
        <w:rPr>
          <w:szCs w:val="22"/>
        </w:rPr>
      </w:pPr>
    </w:p>
    <w:p w14:paraId="694C86A2" w14:textId="77777777" w:rsidR="00366005" w:rsidRPr="00183B5F" w:rsidRDefault="00366005">
      <w:pPr>
        <w:spacing w:line="240" w:lineRule="auto"/>
        <w:rPr>
          <w:szCs w:val="22"/>
        </w:rPr>
      </w:pPr>
    </w:p>
    <w:p w14:paraId="37D5D12A" w14:textId="77777777" w:rsidR="00366005" w:rsidRPr="00183B5F" w:rsidRDefault="00943743">
      <w:pPr>
        <w:spacing w:line="240" w:lineRule="auto"/>
        <w:ind w:left="567" w:right="-29" w:hanging="567"/>
        <w:rPr>
          <w:szCs w:val="22"/>
        </w:rPr>
      </w:pPr>
      <w:r w:rsidRPr="00183B5F">
        <w:rPr>
          <w:b/>
          <w:szCs w:val="22"/>
        </w:rPr>
        <w:t>3.</w:t>
      </w:r>
      <w:r w:rsidRPr="00183B5F">
        <w:rPr>
          <w:b/>
          <w:szCs w:val="22"/>
        </w:rPr>
        <w:tab/>
      </w:r>
      <w:r w:rsidRPr="00183B5F">
        <w:rPr>
          <w:b/>
          <w:szCs w:val="22"/>
        </w:rPr>
        <w:t>Hogyan kell alkalmazni a Humira</w:t>
      </w:r>
      <w:r w:rsidRPr="00183B5F">
        <w:rPr>
          <w:b/>
          <w:szCs w:val="22"/>
        </w:rPr>
        <w:noBreakHyphen/>
        <w:t>t</w:t>
      </w:r>
      <w:r w:rsidR="000C4F16" w:rsidRPr="00183B5F">
        <w:rPr>
          <w:b/>
          <w:szCs w:val="22"/>
        </w:rPr>
        <w:t>?</w:t>
      </w:r>
    </w:p>
    <w:p w14:paraId="20C609B5" w14:textId="77777777" w:rsidR="00366005" w:rsidRPr="00183B5F" w:rsidRDefault="00366005">
      <w:pPr>
        <w:spacing w:line="240" w:lineRule="auto"/>
        <w:ind w:left="567" w:right="-29" w:hanging="567"/>
        <w:rPr>
          <w:szCs w:val="22"/>
        </w:rPr>
      </w:pPr>
    </w:p>
    <w:p w14:paraId="686F293C" w14:textId="77777777" w:rsidR="00366005" w:rsidRPr="00183B5F" w:rsidRDefault="00943743">
      <w:pPr>
        <w:spacing w:line="240" w:lineRule="auto"/>
        <w:ind w:right="-2"/>
        <w:rPr>
          <w:szCs w:val="22"/>
        </w:rPr>
      </w:pPr>
      <w:r w:rsidRPr="00183B5F">
        <w:rPr>
          <w:noProof/>
          <w:szCs w:val="24"/>
        </w:rPr>
        <w:t>A gyógyszert</w:t>
      </w:r>
      <w:r w:rsidRPr="00183B5F">
        <w:rPr>
          <w:szCs w:val="24"/>
        </w:rPr>
        <w:t xml:space="preserve"> mindig a </w:t>
      </w:r>
      <w:r w:rsidRPr="00183B5F">
        <w:rPr>
          <w:noProof/>
          <w:szCs w:val="24"/>
        </w:rPr>
        <w:t>gyermeke kezelőorvosa vagy gyógyszerésze</w:t>
      </w:r>
      <w:r w:rsidRPr="00183B5F">
        <w:rPr>
          <w:szCs w:val="22"/>
        </w:rPr>
        <w:t xml:space="preserve"> által elmondottaknak megfelelően alkalmazza. Amennyiben nem biztos az adagolást illetően, kérdezze meg </w:t>
      </w:r>
      <w:r w:rsidRPr="00183B5F">
        <w:rPr>
          <w:noProof/>
          <w:szCs w:val="24"/>
        </w:rPr>
        <w:t xml:space="preserve">gyermeke </w:t>
      </w:r>
      <w:r w:rsidRPr="00183B5F">
        <w:rPr>
          <w:szCs w:val="22"/>
        </w:rPr>
        <w:t>kezelőorvosát vagy gyógyszerészét.</w:t>
      </w:r>
    </w:p>
    <w:p w14:paraId="0B8DE3C1" w14:textId="77777777" w:rsidR="00366005" w:rsidRPr="00183B5F" w:rsidRDefault="00366005">
      <w:pPr>
        <w:spacing w:line="240" w:lineRule="auto"/>
        <w:rPr>
          <w:szCs w:val="22"/>
        </w:rPr>
      </w:pPr>
    </w:p>
    <w:p w14:paraId="5D670761" w14:textId="77777777" w:rsidR="00366005" w:rsidRPr="00183B5F" w:rsidRDefault="00943743">
      <w:pPr>
        <w:tabs>
          <w:tab w:val="num" w:pos="630"/>
        </w:tabs>
        <w:spacing w:line="240" w:lineRule="auto"/>
        <w:ind w:right="-2"/>
      </w:pPr>
      <w:r w:rsidRPr="00183B5F">
        <w:t>A Humira ajánlott adagját az egyes engedélyezett javallatokban a következő táblázat tartalmazza. Kezelőorvosa más hatáserősségű Humira</w:t>
      </w:r>
      <w:r w:rsidRPr="00183B5F">
        <w:noBreakHyphen/>
        <w:t xml:space="preserve">t is felírhat, ha gyermekének </w:t>
      </w:r>
      <w:r w:rsidR="0089127C" w:rsidRPr="00183B5F">
        <w:t>más</w:t>
      </w:r>
      <w:r w:rsidRPr="00183B5F">
        <w:t xml:space="preserve"> dózisra van szüksége.</w:t>
      </w:r>
    </w:p>
    <w:p w14:paraId="5492EAC8" w14:textId="77777777" w:rsidR="00366005" w:rsidRPr="00183B5F" w:rsidRDefault="00366005">
      <w:pPr>
        <w:numPr>
          <w:ilvl w:val="12"/>
          <w:numId w:val="0"/>
        </w:numPr>
        <w:tabs>
          <w:tab w:val="left" w:pos="720"/>
        </w:tabs>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23"/>
        <w:gridCol w:w="3021"/>
      </w:tblGrid>
      <w:tr w:rsidR="00011D2F" w14:paraId="47C80B63" w14:textId="77777777" w:rsidTr="00366005">
        <w:tc>
          <w:tcPr>
            <w:tcW w:w="9287" w:type="dxa"/>
            <w:gridSpan w:val="3"/>
            <w:tcBorders>
              <w:top w:val="single" w:sz="4" w:space="0" w:color="auto"/>
              <w:left w:val="single" w:sz="4" w:space="0" w:color="auto"/>
              <w:bottom w:val="single" w:sz="4" w:space="0" w:color="auto"/>
              <w:right w:val="single" w:sz="4" w:space="0" w:color="auto"/>
            </w:tcBorders>
            <w:hideMark/>
          </w:tcPr>
          <w:p w14:paraId="2345CCA1" w14:textId="77777777" w:rsidR="00366005" w:rsidRPr="00183B5F" w:rsidRDefault="00943743">
            <w:pPr>
              <w:numPr>
                <w:ilvl w:val="12"/>
                <w:numId w:val="0"/>
              </w:numPr>
              <w:tabs>
                <w:tab w:val="left" w:pos="720"/>
              </w:tabs>
              <w:spacing w:line="240" w:lineRule="auto"/>
              <w:ind w:right="-2"/>
              <w:rPr>
                <w:lang w:eastAsia="en-US"/>
              </w:rPr>
            </w:pPr>
            <w:r w:rsidRPr="00183B5F">
              <w:rPr>
                <w:b/>
                <w:lang w:eastAsia="en-US"/>
              </w:rPr>
              <w:t>Poliartikuláris juvenilis idiopátiás artritisz</w:t>
            </w:r>
          </w:p>
        </w:tc>
      </w:tr>
      <w:tr w:rsidR="00011D2F" w14:paraId="486F8167" w14:textId="77777777" w:rsidTr="00366005">
        <w:tc>
          <w:tcPr>
            <w:tcW w:w="3095" w:type="dxa"/>
            <w:tcBorders>
              <w:top w:val="single" w:sz="4" w:space="0" w:color="auto"/>
              <w:left w:val="single" w:sz="4" w:space="0" w:color="auto"/>
              <w:bottom w:val="single" w:sz="4" w:space="0" w:color="auto"/>
              <w:right w:val="single" w:sz="4" w:space="0" w:color="auto"/>
            </w:tcBorders>
            <w:hideMark/>
          </w:tcPr>
          <w:p w14:paraId="6069B911" w14:textId="77777777" w:rsidR="00366005" w:rsidRPr="00183B5F" w:rsidRDefault="00943743">
            <w:pPr>
              <w:numPr>
                <w:ilvl w:val="12"/>
                <w:numId w:val="0"/>
              </w:numPr>
              <w:tabs>
                <w:tab w:val="left" w:pos="720"/>
              </w:tabs>
              <w:spacing w:line="240" w:lineRule="auto"/>
              <w:ind w:right="-2"/>
              <w:rPr>
                <w:lang w:eastAsia="en-US"/>
              </w:rPr>
            </w:pPr>
            <w:r w:rsidRPr="00183B5F">
              <w:rPr>
                <w:b/>
                <w:lang w:eastAsia="en-US"/>
              </w:rPr>
              <w:t>Kor vagy testtömeg</w:t>
            </w:r>
          </w:p>
        </w:tc>
        <w:tc>
          <w:tcPr>
            <w:tcW w:w="3096" w:type="dxa"/>
            <w:tcBorders>
              <w:top w:val="single" w:sz="4" w:space="0" w:color="auto"/>
              <w:left w:val="single" w:sz="4" w:space="0" w:color="auto"/>
              <w:bottom w:val="single" w:sz="4" w:space="0" w:color="auto"/>
              <w:right w:val="single" w:sz="4" w:space="0" w:color="auto"/>
            </w:tcBorders>
            <w:hideMark/>
          </w:tcPr>
          <w:p w14:paraId="52EDB4CA" w14:textId="77777777" w:rsidR="00366005" w:rsidRPr="00183B5F" w:rsidRDefault="00943743">
            <w:pPr>
              <w:numPr>
                <w:ilvl w:val="12"/>
                <w:numId w:val="0"/>
              </w:numPr>
              <w:tabs>
                <w:tab w:val="left" w:pos="720"/>
              </w:tabs>
              <w:spacing w:line="240" w:lineRule="auto"/>
              <w:ind w:right="-2"/>
              <w:rPr>
                <w:lang w:eastAsia="en-US"/>
              </w:rPr>
            </w:pPr>
            <w:r w:rsidRPr="00183B5F">
              <w:rPr>
                <w:b/>
                <w:lang w:eastAsia="en-US"/>
              </w:rPr>
              <w:t>Milyen adagot és milyen gyakran kell alkalmazni?</w:t>
            </w:r>
          </w:p>
        </w:tc>
        <w:tc>
          <w:tcPr>
            <w:tcW w:w="3096" w:type="dxa"/>
            <w:tcBorders>
              <w:top w:val="single" w:sz="4" w:space="0" w:color="auto"/>
              <w:left w:val="single" w:sz="4" w:space="0" w:color="auto"/>
              <w:bottom w:val="single" w:sz="4" w:space="0" w:color="auto"/>
              <w:right w:val="single" w:sz="4" w:space="0" w:color="auto"/>
            </w:tcBorders>
            <w:hideMark/>
          </w:tcPr>
          <w:p w14:paraId="043D8DA4" w14:textId="77777777" w:rsidR="00366005" w:rsidRPr="00183B5F" w:rsidRDefault="00943743">
            <w:pPr>
              <w:numPr>
                <w:ilvl w:val="12"/>
                <w:numId w:val="0"/>
              </w:numPr>
              <w:tabs>
                <w:tab w:val="left" w:pos="720"/>
              </w:tabs>
              <w:spacing w:line="240" w:lineRule="auto"/>
              <w:ind w:right="-2"/>
              <w:rPr>
                <w:lang w:eastAsia="en-US"/>
              </w:rPr>
            </w:pPr>
            <w:r w:rsidRPr="00183B5F">
              <w:rPr>
                <w:b/>
                <w:lang w:eastAsia="en-US"/>
              </w:rPr>
              <w:t>Megjegyzés</w:t>
            </w:r>
          </w:p>
        </w:tc>
      </w:tr>
      <w:tr w:rsidR="00011D2F" w14:paraId="6FF380A3" w14:textId="77777777" w:rsidTr="00366005">
        <w:tc>
          <w:tcPr>
            <w:tcW w:w="3095" w:type="dxa"/>
            <w:tcBorders>
              <w:top w:val="single" w:sz="4" w:space="0" w:color="auto"/>
              <w:left w:val="single" w:sz="4" w:space="0" w:color="auto"/>
              <w:bottom w:val="single" w:sz="4" w:space="0" w:color="auto"/>
              <w:right w:val="single" w:sz="4" w:space="0" w:color="auto"/>
            </w:tcBorders>
            <w:hideMark/>
          </w:tcPr>
          <w:p w14:paraId="78C4286D" w14:textId="77777777" w:rsidR="00366005" w:rsidRPr="00183B5F" w:rsidRDefault="00943743">
            <w:pPr>
              <w:numPr>
                <w:ilvl w:val="12"/>
                <w:numId w:val="0"/>
              </w:numPr>
              <w:tabs>
                <w:tab w:val="left" w:pos="720"/>
              </w:tabs>
              <w:spacing w:line="240" w:lineRule="auto"/>
              <w:ind w:right="-2"/>
              <w:rPr>
                <w:lang w:eastAsia="en-US"/>
              </w:rPr>
            </w:pPr>
            <w:r w:rsidRPr="00183B5F">
              <w:rPr>
                <w:lang w:eastAsia="en-US"/>
              </w:rPr>
              <w:t>2 évesnél idősebb, 30 kg vagy annál nagyobb testtömegű gyermekek, serdülők és felnőttek</w:t>
            </w:r>
          </w:p>
        </w:tc>
        <w:tc>
          <w:tcPr>
            <w:tcW w:w="3096" w:type="dxa"/>
            <w:tcBorders>
              <w:top w:val="single" w:sz="4" w:space="0" w:color="auto"/>
              <w:left w:val="single" w:sz="4" w:space="0" w:color="auto"/>
              <w:bottom w:val="single" w:sz="4" w:space="0" w:color="auto"/>
              <w:right w:val="single" w:sz="4" w:space="0" w:color="auto"/>
            </w:tcBorders>
            <w:hideMark/>
          </w:tcPr>
          <w:p w14:paraId="184FDFE7" w14:textId="77777777" w:rsidR="00366005" w:rsidRPr="00183B5F" w:rsidRDefault="00943743">
            <w:pPr>
              <w:numPr>
                <w:ilvl w:val="12"/>
                <w:numId w:val="0"/>
              </w:numPr>
              <w:tabs>
                <w:tab w:val="left" w:pos="720"/>
              </w:tabs>
              <w:spacing w:line="240" w:lineRule="auto"/>
              <w:ind w:right="-2"/>
              <w:rPr>
                <w:lang w:eastAsia="en-US"/>
              </w:rPr>
            </w:pPr>
            <w:r w:rsidRPr="00183B5F">
              <w:rPr>
                <w:lang w:eastAsia="en-US"/>
              </w:rPr>
              <w:t>40 mg minden második héten</w:t>
            </w:r>
          </w:p>
        </w:tc>
        <w:tc>
          <w:tcPr>
            <w:tcW w:w="3096" w:type="dxa"/>
            <w:tcBorders>
              <w:top w:val="single" w:sz="4" w:space="0" w:color="auto"/>
              <w:left w:val="single" w:sz="4" w:space="0" w:color="auto"/>
              <w:bottom w:val="single" w:sz="4" w:space="0" w:color="auto"/>
              <w:right w:val="single" w:sz="4" w:space="0" w:color="auto"/>
            </w:tcBorders>
            <w:hideMark/>
          </w:tcPr>
          <w:p w14:paraId="4B4D4F99" w14:textId="77777777" w:rsidR="00366005" w:rsidRPr="00183B5F" w:rsidRDefault="00943743">
            <w:pPr>
              <w:numPr>
                <w:ilvl w:val="12"/>
                <w:numId w:val="0"/>
              </w:numPr>
              <w:tabs>
                <w:tab w:val="left" w:pos="720"/>
              </w:tabs>
              <w:spacing w:line="240" w:lineRule="auto"/>
              <w:ind w:right="-2"/>
              <w:rPr>
                <w:lang w:eastAsia="en-US"/>
              </w:rPr>
            </w:pPr>
            <w:r w:rsidRPr="00183B5F">
              <w:rPr>
                <w:lang w:eastAsia="en-US"/>
              </w:rPr>
              <w:t>Nincs</w:t>
            </w:r>
          </w:p>
        </w:tc>
      </w:tr>
      <w:tr w:rsidR="00011D2F" w14:paraId="344BD242" w14:textId="77777777" w:rsidTr="00366005">
        <w:tc>
          <w:tcPr>
            <w:tcW w:w="3095" w:type="dxa"/>
            <w:tcBorders>
              <w:top w:val="single" w:sz="4" w:space="0" w:color="auto"/>
              <w:left w:val="single" w:sz="4" w:space="0" w:color="auto"/>
              <w:bottom w:val="single" w:sz="4" w:space="0" w:color="auto"/>
              <w:right w:val="single" w:sz="4" w:space="0" w:color="auto"/>
            </w:tcBorders>
            <w:hideMark/>
          </w:tcPr>
          <w:p w14:paraId="6B9AE82B" w14:textId="77777777" w:rsidR="00366005" w:rsidRPr="00183B5F" w:rsidRDefault="00943743" w:rsidP="00194670">
            <w:pPr>
              <w:numPr>
                <w:ilvl w:val="12"/>
                <w:numId w:val="0"/>
              </w:numPr>
              <w:tabs>
                <w:tab w:val="left" w:pos="720"/>
              </w:tabs>
              <w:spacing w:line="240" w:lineRule="auto"/>
              <w:ind w:right="-2"/>
              <w:rPr>
                <w:lang w:eastAsia="en-US"/>
              </w:rPr>
            </w:pPr>
            <w:r w:rsidRPr="00183B5F">
              <w:rPr>
                <w:lang w:eastAsia="en-US"/>
              </w:rPr>
              <w:t>2 évesnél idősebb, 10 kg</w:t>
            </w:r>
            <w:r w:rsidR="00B54E17" w:rsidRPr="00183B5F">
              <w:rPr>
                <w:lang w:eastAsia="en-US"/>
              </w:rPr>
              <w:t>-</w:t>
            </w:r>
            <w:r w:rsidR="00194670" w:rsidRPr="00183B5F">
              <w:rPr>
                <w:lang w:eastAsia="en-US"/>
              </w:rPr>
              <w:t xml:space="preserve">nál nagyobb, de </w:t>
            </w:r>
            <w:r w:rsidRPr="00183B5F">
              <w:rPr>
                <w:lang w:eastAsia="en-US"/>
              </w:rPr>
              <w:t>30 kg</w:t>
            </w:r>
            <w:r w:rsidR="00194670" w:rsidRPr="00183B5F">
              <w:rPr>
                <w:lang w:eastAsia="en-US"/>
              </w:rPr>
              <w:t>-nál kisebb</w:t>
            </w:r>
            <w:r w:rsidRPr="00183B5F">
              <w:rPr>
                <w:lang w:eastAsia="en-US"/>
              </w:rPr>
              <w:t xml:space="preserve"> testtömeg</w:t>
            </w:r>
            <w:r w:rsidR="00B54E17" w:rsidRPr="00183B5F">
              <w:rPr>
                <w:lang w:eastAsia="en-US"/>
              </w:rPr>
              <w:t>ű</w:t>
            </w:r>
            <w:r w:rsidRPr="00183B5F">
              <w:rPr>
                <w:lang w:eastAsia="en-US"/>
              </w:rPr>
              <w:t xml:space="preserve"> gyermekek és serdülők </w:t>
            </w:r>
          </w:p>
        </w:tc>
        <w:tc>
          <w:tcPr>
            <w:tcW w:w="3096" w:type="dxa"/>
            <w:tcBorders>
              <w:top w:val="single" w:sz="4" w:space="0" w:color="auto"/>
              <w:left w:val="single" w:sz="4" w:space="0" w:color="auto"/>
              <w:bottom w:val="single" w:sz="4" w:space="0" w:color="auto"/>
              <w:right w:val="single" w:sz="4" w:space="0" w:color="auto"/>
            </w:tcBorders>
            <w:hideMark/>
          </w:tcPr>
          <w:p w14:paraId="30C9BCAC" w14:textId="77777777" w:rsidR="00366005" w:rsidRPr="00183B5F" w:rsidRDefault="00943743">
            <w:pPr>
              <w:numPr>
                <w:ilvl w:val="12"/>
                <w:numId w:val="0"/>
              </w:numPr>
              <w:tabs>
                <w:tab w:val="left" w:pos="720"/>
              </w:tabs>
              <w:spacing w:line="240" w:lineRule="auto"/>
              <w:ind w:right="-2"/>
              <w:rPr>
                <w:lang w:eastAsia="en-US"/>
              </w:rPr>
            </w:pPr>
            <w:r w:rsidRPr="00183B5F">
              <w:rPr>
                <w:lang w:eastAsia="en-US"/>
              </w:rPr>
              <w:t>20 mg minden második héten</w:t>
            </w:r>
          </w:p>
        </w:tc>
        <w:tc>
          <w:tcPr>
            <w:tcW w:w="3096" w:type="dxa"/>
            <w:tcBorders>
              <w:top w:val="single" w:sz="4" w:space="0" w:color="auto"/>
              <w:left w:val="single" w:sz="4" w:space="0" w:color="auto"/>
              <w:bottom w:val="single" w:sz="4" w:space="0" w:color="auto"/>
              <w:right w:val="single" w:sz="4" w:space="0" w:color="auto"/>
            </w:tcBorders>
            <w:hideMark/>
          </w:tcPr>
          <w:p w14:paraId="4657E07C" w14:textId="77777777" w:rsidR="00366005" w:rsidRPr="00183B5F" w:rsidRDefault="00943743">
            <w:pPr>
              <w:numPr>
                <w:ilvl w:val="12"/>
                <w:numId w:val="0"/>
              </w:numPr>
              <w:tabs>
                <w:tab w:val="left" w:pos="720"/>
              </w:tabs>
              <w:spacing w:line="240" w:lineRule="auto"/>
              <w:ind w:right="-2"/>
              <w:rPr>
                <w:lang w:eastAsia="en-US"/>
              </w:rPr>
            </w:pPr>
            <w:r w:rsidRPr="00183B5F">
              <w:rPr>
                <w:lang w:eastAsia="en-US"/>
              </w:rPr>
              <w:t>Nincs</w:t>
            </w:r>
          </w:p>
        </w:tc>
      </w:tr>
    </w:tbl>
    <w:p w14:paraId="5BCE0651" w14:textId="77777777" w:rsidR="00366005" w:rsidRPr="00183B5F" w:rsidRDefault="00366005">
      <w:pPr>
        <w:numPr>
          <w:ilvl w:val="12"/>
          <w:numId w:val="0"/>
        </w:numPr>
        <w:tabs>
          <w:tab w:val="left" w:pos="720"/>
        </w:tabs>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23"/>
        <w:gridCol w:w="3021"/>
      </w:tblGrid>
      <w:tr w:rsidR="00011D2F" w14:paraId="52CCB728" w14:textId="77777777" w:rsidTr="00366005">
        <w:tc>
          <w:tcPr>
            <w:tcW w:w="9287" w:type="dxa"/>
            <w:gridSpan w:val="3"/>
            <w:tcBorders>
              <w:top w:val="single" w:sz="4" w:space="0" w:color="auto"/>
              <w:left w:val="single" w:sz="4" w:space="0" w:color="auto"/>
              <w:bottom w:val="single" w:sz="4" w:space="0" w:color="auto"/>
              <w:right w:val="single" w:sz="4" w:space="0" w:color="auto"/>
            </w:tcBorders>
            <w:hideMark/>
          </w:tcPr>
          <w:p w14:paraId="09D53130" w14:textId="77777777" w:rsidR="00366005" w:rsidRPr="00183B5F" w:rsidRDefault="00943743">
            <w:pPr>
              <w:numPr>
                <w:ilvl w:val="12"/>
                <w:numId w:val="0"/>
              </w:numPr>
              <w:tabs>
                <w:tab w:val="left" w:pos="720"/>
              </w:tabs>
              <w:spacing w:line="240" w:lineRule="auto"/>
              <w:ind w:right="-2"/>
              <w:rPr>
                <w:b/>
                <w:lang w:eastAsia="en-US"/>
              </w:rPr>
            </w:pPr>
            <w:r w:rsidRPr="00183B5F">
              <w:rPr>
                <w:b/>
                <w:szCs w:val="22"/>
                <w:lang w:eastAsia="en-US"/>
              </w:rPr>
              <w:t>Entezitisszel társult artritisz</w:t>
            </w:r>
          </w:p>
        </w:tc>
      </w:tr>
      <w:tr w:rsidR="00011D2F" w14:paraId="074198B8" w14:textId="77777777" w:rsidTr="00366005">
        <w:tc>
          <w:tcPr>
            <w:tcW w:w="3095" w:type="dxa"/>
            <w:tcBorders>
              <w:top w:val="single" w:sz="4" w:space="0" w:color="auto"/>
              <w:left w:val="single" w:sz="4" w:space="0" w:color="auto"/>
              <w:bottom w:val="single" w:sz="4" w:space="0" w:color="auto"/>
              <w:right w:val="single" w:sz="4" w:space="0" w:color="auto"/>
            </w:tcBorders>
            <w:hideMark/>
          </w:tcPr>
          <w:p w14:paraId="129B66A1" w14:textId="77777777" w:rsidR="00366005" w:rsidRPr="00183B5F" w:rsidRDefault="00943743">
            <w:pPr>
              <w:numPr>
                <w:ilvl w:val="12"/>
                <w:numId w:val="0"/>
              </w:numPr>
              <w:tabs>
                <w:tab w:val="left" w:pos="720"/>
              </w:tabs>
              <w:spacing w:line="240" w:lineRule="auto"/>
              <w:ind w:right="-2"/>
              <w:rPr>
                <w:lang w:eastAsia="en-US"/>
              </w:rPr>
            </w:pPr>
            <w:r w:rsidRPr="00183B5F">
              <w:rPr>
                <w:b/>
                <w:lang w:eastAsia="en-US"/>
              </w:rPr>
              <w:t>Kor vagy testtömeg</w:t>
            </w:r>
          </w:p>
        </w:tc>
        <w:tc>
          <w:tcPr>
            <w:tcW w:w="3096" w:type="dxa"/>
            <w:tcBorders>
              <w:top w:val="single" w:sz="4" w:space="0" w:color="auto"/>
              <w:left w:val="single" w:sz="4" w:space="0" w:color="auto"/>
              <w:bottom w:val="single" w:sz="4" w:space="0" w:color="auto"/>
              <w:right w:val="single" w:sz="4" w:space="0" w:color="auto"/>
            </w:tcBorders>
            <w:hideMark/>
          </w:tcPr>
          <w:p w14:paraId="6EBCF3F2" w14:textId="77777777" w:rsidR="00366005" w:rsidRPr="00183B5F" w:rsidRDefault="00943743">
            <w:pPr>
              <w:numPr>
                <w:ilvl w:val="12"/>
                <w:numId w:val="0"/>
              </w:numPr>
              <w:tabs>
                <w:tab w:val="left" w:pos="720"/>
              </w:tabs>
              <w:spacing w:line="240" w:lineRule="auto"/>
              <w:ind w:right="-2"/>
              <w:rPr>
                <w:lang w:eastAsia="en-US"/>
              </w:rPr>
            </w:pPr>
            <w:r w:rsidRPr="00183B5F">
              <w:rPr>
                <w:b/>
                <w:lang w:eastAsia="en-US"/>
              </w:rPr>
              <w:t>Milyen adagot és milyen gyakran kell alkalmazni?</w:t>
            </w:r>
          </w:p>
        </w:tc>
        <w:tc>
          <w:tcPr>
            <w:tcW w:w="3096" w:type="dxa"/>
            <w:tcBorders>
              <w:top w:val="single" w:sz="4" w:space="0" w:color="auto"/>
              <w:left w:val="single" w:sz="4" w:space="0" w:color="auto"/>
              <w:bottom w:val="single" w:sz="4" w:space="0" w:color="auto"/>
              <w:right w:val="single" w:sz="4" w:space="0" w:color="auto"/>
            </w:tcBorders>
            <w:hideMark/>
          </w:tcPr>
          <w:p w14:paraId="61E7735D" w14:textId="77777777" w:rsidR="00366005" w:rsidRPr="00183B5F" w:rsidRDefault="00943743">
            <w:pPr>
              <w:numPr>
                <w:ilvl w:val="12"/>
                <w:numId w:val="0"/>
              </w:numPr>
              <w:tabs>
                <w:tab w:val="left" w:pos="720"/>
              </w:tabs>
              <w:spacing w:line="240" w:lineRule="auto"/>
              <w:ind w:right="-2"/>
              <w:rPr>
                <w:lang w:eastAsia="en-US"/>
              </w:rPr>
            </w:pPr>
            <w:r w:rsidRPr="00183B5F">
              <w:rPr>
                <w:b/>
                <w:lang w:eastAsia="en-US"/>
              </w:rPr>
              <w:t>Megjegyzés</w:t>
            </w:r>
          </w:p>
        </w:tc>
      </w:tr>
      <w:tr w:rsidR="00011D2F" w14:paraId="1DE97D1F" w14:textId="77777777" w:rsidTr="00366005">
        <w:tc>
          <w:tcPr>
            <w:tcW w:w="3095" w:type="dxa"/>
            <w:tcBorders>
              <w:top w:val="single" w:sz="4" w:space="0" w:color="auto"/>
              <w:left w:val="single" w:sz="4" w:space="0" w:color="auto"/>
              <w:bottom w:val="single" w:sz="4" w:space="0" w:color="auto"/>
              <w:right w:val="single" w:sz="4" w:space="0" w:color="auto"/>
            </w:tcBorders>
            <w:hideMark/>
          </w:tcPr>
          <w:p w14:paraId="7A8C8DD4" w14:textId="77777777" w:rsidR="00366005" w:rsidRPr="00183B5F" w:rsidRDefault="00943743">
            <w:pPr>
              <w:numPr>
                <w:ilvl w:val="12"/>
                <w:numId w:val="0"/>
              </w:numPr>
              <w:tabs>
                <w:tab w:val="left" w:pos="720"/>
              </w:tabs>
              <w:spacing w:line="240" w:lineRule="auto"/>
              <w:ind w:right="-2"/>
              <w:rPr>
                <w:lang w:eastAsia="en-US"/>
              </w:rPr>
            </w:pPr>
            <w:r w:rsidRPr="00183B5F">
              <w:rPr>
                <w:lang w:eastAsia="en-US"/>
              </w:rPr>
              <w:t>6 évesnél idősebb, 30 kg vagy annál nagyobb testtömegű gyermekek, serdülők és felnőttek</w:t>
            </w:r>
          </w:p>
        </w:tc>
        <w:tc>
          <w:tcPr>
            <w:tcW w:w="3096" w:type="dxa"/>
            <w:tcBorders>
              <w:top w:val="single" w:sz="4" w:space="0" w:color="auto"/>
              <w:left w:val="single" w:sz="4" w:space="0" w:color="auto"/>
              <w:bottom w:val="single" w:sz="4" w:space="0" w:color="auto"/>
              <w:right w:val="single" w:sz="4" w:space="0" w:color="auto"/>
            </w:tcBorders>
            <w:hideMark/>
          </w:tcPr>
          <w:p w14:paraId="7D29E6B0" w14:textId="77777777" w:rsidR="00366005" w:rsidRPr="00183B5F" w:rsidRDefault="00943743">
            <w:pPr>
              <w:numPr>
                <w:ilvl w:val="12"/>
                <w:numId w:val="0"/>
              </w:numPr>
              <w:tabs>
                <w:tab w:val="left" w:pos="720"/>
              </w:tabs>
              <w:spacing w:line="240" w:lineRule="auto"/>
              <w:ind w:right="-2"/>
              <w:rPr>
                <w:lang w:eastAsia="en-US"/>
              </w:rPr>
            </w:pPr>
            <w:r w:rsidRPr="00183B5F">
              <w:rPr>
                <w:lang w:eastAsia="en-US"/>
              </w:rPr>
              <w:t>40 mg minden második héten</w:t>
            </w:r>
          </w:p>
        </w:tc>
        <w:tc>
          <w:tcPr>
            <w:tcW w:w="3096" w:type="dxa"/>
            <w:tcBorders>
              <w:top w:val="single" w:sz="4" w:space="0" w:color="auto"/>
              <w:left w:val="single" w:sz="4" w:space="0" w:color="auto"/>
              <w:bottom w:val="single" w:sz="4" w:space="0" w:color="auto"/>
              <w:right w:val="single" w:sz="4" w:space="0" w:color="auto"/>
            </w:tcBorders>
            <w:hideMark/>
          </w:tcPr>
          <w:p w14:paraId="4B83E4B3" w14:textId="77777777" w:rsidR="00366005" w:rsidRPr="00183B5F" w:rsidRDefault="00943743">
            <w:pPr>
              <w:numPr>
                <w:ilvl w:val="12"/>
                <w:numId w:val="0"/>
              </w:numPr>
              <w:tabs>
                <w:tab w:val="left" w:pos="720"/>
              </w:tabs>
              <w:spacing w:line="240" w:lineRule="auto"/>
              <w:ind w:right="-2"/>
              <w:rPr>
                <w:lang w:eastAsia="en-US"/>
              </w:rPr>
            </w:pPr>
            <w:r w:rsidRPr="00183B5F">
              <w:rPr>
                <w:lang w:eastAsia="en-US"/>
              </w:rPr>
              <w:t>Nincs</w:t>
            </w:r>
          </w:p>
        </w:tc>
      </w:tr>
      <w:tr w:rsidR="00011D2F" w14:paraId="0E25C57E" w14:textId="77777777" w:rsidTr="00366005">
        <w:tc>
          <w:tcPr>
            <w:tcW w:w="3095" w:type="dxa"/>
            <w:tcBorders>
              <w:top w:val="single" w:sz="4" w:space="0" w:color="auto"/>
              <w:left w:val="single" w:sz="4" w:space="0" w:color="auto"/>
              <w:bottom w:val="single" w:sz="4" w:space="0" w:color="auto"/>
              <w:right w:val="single" w:sz="4" w:space="0" w:color="auto"/>
            </w:tcBorders>
            <w:hideMark/>
          </w:tcPr>
          <w:p w14:paraId="2171DCCA" w14:textId="77777777" w:rsidR="00366005" w:rsidRPr="00183B5F" w:rsidRDefault="00943743" w:rsidP="0073731A">
            <w:pPr>
              <w:keepNext/>
              <w:numPr>
                <w:ilvl w:val="12"/>
                <w:numId w:val="0"/>
              </w:numPr>
              <w:tabs>
                <w:tab w:val="left" w:pos="720"/>
              </w:tabs>
              <w:spacing w:line="240" w:lineRule="auto"/>
              <w:ind w:right="-2"/>
              <w:rPr>
                <w:lang w:eastAsia="en-US"/>
              </w:rPr>
            </w:pPr>
            <w:r w:rsidRPr="00183B5F">
              <w:rPr>
                <w:lang w:eastAsia="en-US"/>
              </w:rPr>
              <w:t>6 évesnél idősebb, 15 kg</w:t>
            </w:r>
            <w:r w:rsidR="00B54E17" w:rsidRPr="00183B5F">
              <w:rPr>
                <w:lang w:eastAsia="en-US"/>
              </w:rPr>
              <w:t>-</w:t>
            </w:r>
            <w:r w:rsidR="00194670" w:rsidRPr="00183B5F">
              <w:rPr>
                <w:lang w:eastAsia="en-US"/>
              </w:rPr>
              <w:t>nál nagyobb, de</w:t>
            </w:r>
            <w:r w:rsidRPr="00183B5F">
              <w:rPr>
                <w:lang w:eastAsia="en-US"/>
              </w:rPr>
              <w:t xml:space="preserve"> 30 kg</w:t>
            </w:r>
            <w:r w:rsidR="00194670" w:rsidRPr="00183B5F">
              <w:rPr>
                <w:lang w:eastAsia="en-US"/>
              </w:rPr>
              <w:noBreakHyphen/>
              <w:t>nál kisebb</w:t>
            </w:r>
            <w:r w:rsidRPr="00183B5F">
              <w:rPr>
                <w:lang w:eastAsia="en-US"/>
              </w:rPr>
              <w:t xml:space="preserve"> testtömeg</w:t>
            </w:r>
            <w:r w:rsidR="00B54E17" w:rsidRPr="00183B5F">
              <w:rPr>
                <w:lang w:eastAsia="en-US"/>
              </w:rPr>
              <w:t>ű</w:t>
            </w:r>
            <w:r w:rsidRPr="00183B5F">
              <w:rPr>
                <w:lang w:eastAsia="en-US"/>
              </w:rPr>
              <w:t xml:space="preserve"> gyermekek és serdülők</w:t>
            </w:r>
          </w:p>
        </w:tc>
        <w:tc>
          <w:tcPr>
            <w:tcW w:w="3096" w:type="dxa"/>
            <w:tcBorders>
              <w:top w:val="single" w:sz="4" w:space="0" w:color="auto"/>
              <w:left w:val="single" w:sz="4" w:space="0" w:color="auto"/>
              <w:bottom w:val="single" w:sz="4" w:space="0" w:color="auto"/>
              <w:right w:val="single" w:sz="4" w:space="0" w:color="auto"/>
            </w:tcBorders>
            <w:hideMark/>
          </w:tcPr>
          <w:p w14:paraId="282FF2A6" w14:textId="77777777" w:rsidR="00366005" w:rsidRPr="00183B5F" w:rsidRDefault="00943743" w:rsidP="0073731A">
            <w:pPr>
              <w:keepNext/>
              <w:numPr>
                <w:ilvl w:val="12"/>
                <w:numId w:val="0"/>
              </w:numPr>
              <w:tabs>
                <w:tab w:val="left" w:pos="720"/>
              </w:tabs>
              <w:spacing w:line="240" w:lineRule="auto"/>
              <w:ind w:right="-2"/>
              <w:rPr>
                <w:lang w:eastAsia="en-US"/>
              </w:rPr>
            </w:pPr>
            <w:r w:rsidRPr="00183B5F">
              <w:rPr>
                <w:lang w:eastAsia="en-US"/>
              </w:rPr>
              <w:t>20 mg minden második héten</w:t>
            </w:r>
          </w:p>
        </w:tc>
        <w:tc>
          <w:tcPr>
            <w:tcW w:w="3096" w:type="dxa"/>
            <w:tcBorders>
              <w:top w:val="single" w:sz="4" w:space="0" w:color="auto"/>
              <w:left w:val="single" w:sz="4" w:space="0" w:color="auto"/>
              <w:bottom w:val="single" w:sz="4" w:space="0" w:color="auto"/>
              <w:right w:val="single" w:sz="4" w:space="0" w:color="auto"/>
            </w:tcBorders>
            <w:hideMark/>
          </w:tcPr>
          <w:p w14:paraId="527C85CC" w14:textId="77777777" w:rsidR="00366005" w:rsidRPr="00183B5F" w:rsidRDefault="00943743" w:rsidP="0073731A">
            <w:pPr>
              <w:keepNext/>
              <w:numPr>
                <w:ilvl w:val="12"/>
                <w:numId w:val="0"/>
              </w:numPr>
              <w:tabs>
                <w:tab w:val="left" w:pos="720"/>
              </w:tabs>
              <w:spacing w:line="240" w:lineRule="auto"/>
              <w:ind w:right="-2"/>
              <w:rPr>
                <w:lang w:eastAsia="en-US"/>
              </w:rPr>
            </w:pPr>
            <w:r w:rsidRPr="00183B5F">
              <w:rPr>
                <w:lang w:eastAsia="en-US"/>
              </w:rPr>
              <w:t>Nincs</w:t>
            </w:r>
          </w:p>
        </w:tc>
      </w:tr>
    </w:tbl>
    <w:p w14:paraId="5A163934" w14:textId="77777777" w:rsidR="00366005" w:rsidRPr="00183B5F" w:rsidRDefault="00366005">
      <w:pPr>
        <w:numPr>
          <w:ilvl w:val="12"/>
          <w:numId w:val="0"/>
        </w:numPr>
        <w:tabs>
          <w:tab w:val="left" w:pos="720"/>
        </w:tabs>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3024"/>
        <w:gridCol w:w="3021"/>
      </w:tblGrid>
      <w:tr w:rsidR="00011D2F" w14:paraId="30CC7B76" w14:textId="77777777" w:rsidTr="00366005">
        <w:tc>
          <w:tcPr>
            <w:tcW w:w="9287" w:type="dxa"/>
            <w:gridSpan w:val="3"/>
            <w:tcBorders>
              <w:top w:val="single" w:sz="4" w:space="0" w:color="auto"/>
              <w:left w:val="single" w:sz="4" w:space="0" w:color="auto"/>
              <w:bottom w:val="single" w:sz="4" w:space="0" w:color="auto"/>
              <w:right w:val="single" w:sz="4" w:space="0" w:color="auto"/>
            </w:tcBorders>
            <w:hideMark/>
          </w:tcPr>
          <w:p w14:paraId="219D7634" w14:textId="77777777" w:rsidR="00366005" w:rsidRPr="00183B5F" w:rsidRDefault="00943743">
            <w:pPr>
              <w:keepNext/>
              <w:numPr>
                <w:ilvl w:val="12"/>
                <w:numId w:val="0"/>
              </w:numPr>
              <w:tabs>
                <w:tab w:val="left" w:pos="720"/>
              </w:tabs>
              <w:spacing w:line="240" w:lineRule="auto"/>
              <w:ind w:right="-2"/>
              <w:rPr>
                <w:lang w:eastAsia="en-US"/>
              </w:rPr>
            </w:pPr>
            <w:r w:rsidRPr="00183B5F">
              <w:rPr>
                <w:b/>
                <w:lang w:eastAsia="en-US"/>
              </w:rPr>
              <w:t>Gyermekkori plakkos pszoriázis</w:t>
            </w:r>
          </w:p>
        </w:tc>
      </w:tr>
      <w:tr w:rsidR="00011D2F" w14:paraId="79D2AB92" w14:textId="77777777" w:rsidTr="00366005">
        <w:tc>
          <w:tcPr>
            <w:tcW w:w="3095" w:type="dxa"/>
            <w:tcBorders>
              <w:top w:val="single" w:sz="4" w:space="0" w:color="auto"/>
              <w:left w:val="single" w:sz="4" w:space="0" w:color="auto"/>
              <w:bottom w:val="single" w:sz="4" w:space="0" w:color="auto"/>
              <w:right w:val="single" w:sz="4" w:space="0" w:color="auto"/>
            </w:tcBorders>
            <w:hideMark/>
          </w:tcPr>
          <w:p w14:paraId="2FA93E27" w14:textId="77777777" w:rsidR="00366005" w:rsidRPr="00183B5F" w:rsidRDefault="00943743">
            <w:pPr>
              <w:numPr>
                <w:ilvl w:val="12"/>
                <w:numId w:val="0"/>
              </w:numPr>
              <w:tabs>
                <w:tab w:val="left" w:pos="720"/>
              </w:tabs>
              <w:spacing w:line="240" w:lineRule="auto"/>
              <w:ind w:right="-2"/>
              <w:rPr>
                <w:lang w:eastAsia="en-US"/>
              </w:rPr>
            </w:pPr>
            <w:r w:rsidRPr="00183B5F">
              <w:rPr>
                <w:b/>
                <w:lang w:eastAsia="en-US"/>
              </w:rPr>
              <w:t>Kor vagy testtömeg</w:t>
            </w:r>
          </w:p>
        </w:tc>
        <w:tc>
          <w:tcPr>
            <w:tcW w:w="3096" w:type="dxa"/>
            <w:tcBorders>
              <w:top w:val="single" w:sz="4" w:space="0" w:color="auto"/>
              <w:left w:val="single" w:sz="4" w:space="0" w:color="auto"/>
              <w:bottom w:val="single" w:sz="4" w:space="0" w:color="auto"/>
              <w:right w:val="single" w:sz="4" w:space="0" w:color="auto"/>
            </w:tcBorders>
            <w:hideMark/>
          </w:tcPr>
          <w:p w14:paraId="0AC2214F" w14:textId="77777777" w:rsidR="00366005" w:rsidRPr="00183B5F" w:rsidRDefault="00943743">
            <w:pPr>
              <w:numPr>
                <w:ilvl w:val="12"/>
                <w:numId w:val="0"/>
              </w:numPr>
              <w:tabs>
                <w:tab w:val="left" w:pos="720"/>
              </w:tabs>
              <w:spacing w:line="240" w:lineRule="auto"/>
              <w:ind w:right="-2"/>
              <w:rPr>
                <w:lang w:eastAsia="en-US"/>
              </w:rPr>
            </w:pPr>
            <w:r w:rsidRPr="00183B5F">
              <w:rPr>
                <w:b/>
                <w:lang w:eastAsia="en-US"/>
              </w:rPr>
              <w:t>Milyen adagot és milyen gyakran kell alkalmazni?</w:t>
            </w:r>
          </w:p>
        </w:tc>
        <w:tc>
          <w:tcPr>
            <w:tcW w:w="3096" w:type="dxa"/>
            <w:tcBorders>
              <w:top w:val="single" w:sz="4" w:space="0" w:color="auto"/>
              <w:left w:val="single" w:sz="4" w:space="0" w:color="auto"/>
              <w:bottom w:val="single" w:sz="4" w:space="0" w:color="auto"/>
              <w:right w:val="single" w:sz="4" w:space="0" w:color="auto"/>
            </w:tcBorders>
            <w:hideMark/>
          </w:tcPr>
          <w:p w14:paraId="54847D95" w14:textId="77777777" w:rsidR="00366005" w:rsidRPr="00183B5F" w:rsidRDefault="00943743">
            <w:pPr>
              <w:keepNext/>
              <w:numPr>
                <w:ilvl w:val="12"/>
                <w:numId w:val="0"/>
              </w:numPr>
              <w:tabs>
                <w:tab w:val="left" w:pos="720"/>
              </w:tabs>
              <w:spacing w:line="240" w:lineRule="auto"/>
              <w:ind w:right="-2"/>
              <w:rPr>
                <w:lang w:eastAsia="en-US"/>
              </w:rPr>
            </w:pPr>
            <w:r w:rsidRPr="00183B5F">
              <w:rPr>
                <w:b/>
                <w:lang w:eastAsia="en-US"/>
              </w:rPr>
              <w:t>Megjegyzés</w:t>
            </w:r>
          </w:p>
        </w:tc>
      </w:tr>
      <w:tr w:rsidR="00011D2F" w14:paraId="78D08875" w14:textId="77777777" w:rsidTr="00366005">
        <w:tc>
          <w:tcPr>
            <w:tcW w:w="3095" w:type="dxa"/>
            <w:tcBorders>
              <w:top w:val="single" w:sz="4" w:space="0" w:color="auto"/>
              <w:left w:val="single" w:sz="4" w:space="0" w:color="auto"/>
              <w:bottom w:val="single" w:sz="4" w:space="0" w:color="auto"/>
              <w:right w:val="single" w:sz="4" w:space="0" w:color="auto"/>
            </w:tcBorders>
            <w:hideMark/>
          </w:tcPr>
          <w:p w14:paraId="220CF634" w14:textId="77777777" w:rsidR="00366005" w:rsidRPr="00183B5F" w:rsidRDefault="00943743">
            <w:pPr>
              <w:numPr>
                <w:ilvl w:val="12"/>
                <w:numId w:val="0"/>
              </w:numPr>
              <w:tabs>
                <w:tab w:val="left" w:pos="720"/>
              </w:tabs>
              <w:spacing w:line="240" w:lineRule="auto"/>
              <w:ind w:right="-2"/>
              <w:rPr>
                <w:lang w:eastAsia="en-US"/>
              </w:rPr>
            </w:pPr>
            <w:r w:rsidRPr="00183B5F">
              <w:rPr>
                <w:lang w:eastAsia="en-US"/>
              </w:rPr>
              <w:t>4-17 éves kor közötti, 30</w:t>
            </w:r>
            <w:r w:rsidR="006D0725" w:rsidRPr="00183B5F">
              <w:rPr>
                <w:lang w:eastAsia="en-US"/>
              </w:rPr>
              <w:t> </w:t>
            </w:r>
            <w:r w:rsidRPr="00183B5F">
              <w:rPr>
                <w:lang w:eastAsia="en-US"/>
              </w:rPr>
              <w:t>kg vagy annál nagyobb testtömegű gyermekek és serdülők</w:t>
            </w:r>
          </w:p>
        </w:tc>
        <w:tc>
          <w:tcPr>
            <w:tcW w:w="3096" w:type="dxa"/>
            <w:tcBorders>
              <w:top w:val="single" w:sz="4" w:space="0" w:color="auto"/>
              <w:left w:val="single" w:sz="4" w:space="0" w:color="auto"/>
              <w:bottom w:val="single" w:sz="4" w:space="0" w:color="auto"/>
              <w:right w:val="single" w:sz="4" w:space="0" w:color="auto"/>
            </w:tcBorders>
          </w:tcPr>
          <w:p w14:paraId="664DED99" w14:textId="77777777" w:rsidR="00366005" w:rsidRPr="00183B5F" w:rsidRDefault="00943743">
            <w:pPr>
              <w:numPr>
                <w:ilvl w:val="12"/>
                <w:numId w:val="0"/>
              </w:numPr>
              <w:tabs>
                <w:tab w:val="left" w:pos="720"/>
              </w:tabs>
              <w:spacing w:line="240" w:lineRule="auto"/>
              <w:rPr>
                <w:szCs w:val="22"/>
                <w:lang w:eastAsia="en-US"/>
              </w:rPr>
            </w:pPr>
            <w:r w:rsidRPr="00183B5F">
              <w:rPr>
                <w:szCs w:val="22"/>
                <w:lang w:eastAsia="en-US"/>
              </w:rPr>
              <w:t>Első alkalommal 40 mg, majd egy héttel később 40 mg.</w:t>
            </w:r>
          </w:p>
          <w:p w14:paraId="56A0F613" w14:textId="77777777" w:rsidR="00366005" w:rsidRPr="00183B5F" w:rsidRDefault="00366005">
            <w:pPr>
              <w:numPr>
                <w:ilvl w:val="12"/>
                <w:numId w:val="0"/>
              </w:numPr>
              <w:tabs>
                <w:tab w:val="left" w:pos="720"/>
              </w:tabs>
              <w:spacing w:line="240" w:lineRule="auto"/>
              <w:rPr>
                <w:lang w:eastAsia="en-US"/>
              </w:rPr>
            </w:pPr>
          </w:p>
          <w:p w14:paraId="780D1B87" w14:textId="77777777" w:rsidR="00366005" w:rsidRPr="00183B5F" w:rsidRDefault="00943743">
            <w:pPr>
              <w:numPr>
                <w:ilvl w:val="12"/>
                <w:numId w:val="0"/>
              </w:numPr>
              <w:tabs>
                <w:tab w:val="left" w:pos="720"/>
              </w:tabs>
              <w:spacing w:line="240" w:lineRule="auto"/>
              <w:rPr>
                <w:lang w:eastAsia="en-US"/>
              </w:rPr>
            </w:pPr>
            <w:r w:rsidRPr="00183B5F">
              <w:rPr>
                <w:lang w:eastAsia="en-US"/>
              </w:rPr>
              <w:t>Ezt követően, a szokásos adag 40 mg minden második héten.</w:t>
            </w:r>
          </w:p>
        </w:tc>
        <w:tc>
          <w:tcPr>
            <w:tcW w:w="3096" w:type="dxa"/>
            <w:tcBorders>
              <w:top w:val="single" w:sz="4" w:space="0" w:color="auto"/>
              <w:left w:val="single" w:sz="4" w:space="0" w:color="auto"/>
              <w:bottom w:val="single" w:sz="4" w:space="0" w:color="auto"/>
              <w:right w:val="single" w:sz="4" w:space="0" w:color="auto"/>
            </w:tcBorders>
            <w:hideMark/>
          </w:tcPr>
          <w:p w14:paraId="29E60813" w14:textId="77777777" w:rsidR="00366005" w:rsidRPr="00183B5F" w:rsidRDefault="00943743">
            <w:pPr>
              <w:numPr>
                <w:ilvl w:val="12"/>
                <w:numId w:val="0"/>
              </w:numPr>
              <w:tabs>
                <w:tab w:val="left" w:pos="720"/>
              </w:tabs>
              <w:spacing w:line="240" w:lineRule="auto"/>
              <w:ind w:right="-2"/>
              <w:rPr>
                <w:lang w:eastAsia="en-US"/>
              </w:rPr>
            </w:pPr>
            <w:r w:rsidRPr="00183B5F">
              <w:rPr>
                <w:lang w:eastAsia="en-US"/>
              </w:rPr>
              <w:t>Nincs</w:t>
            </w:r>
          </w:p>
        </w:tc>
      </w:tr>
      <w:tr w:rsidR="00011D2F" w14:paraId="036F1DCD" w14:textId="77777777" w:rsidTr="00366005">
        <w:tc>
          <w:tcPr>
            <w:tcW w:w="3095" w:type="dxa"/>
            <w:tcBorders>
              <w:top w:val="single" w:sz="4" w:space="0" w:color="auto"/>
              <w:left w:val="single" w:sz="4" w:space="0" w:color="auto"/>
              <w:bottom w:val="single" w:sz="4" w:space="0" w:color="auto"/>
              <w:right w:val="single" w:sz="4" w:space="0" w:color="auto"/>
            </w:tcBorders>
            <w:hideMark/>
          </w:tcPr>
          <w:p w14:paraId="730FDC3F" w14:textId="77777777" w:rsidR="00366005" w:rsidRPr="00183B5F" w:rsidRDefault="00943743" w:rsidP="00194670">
            <w:pPr>
              <w:keepNext/>
              <w:numPr>
                <w:ilvl w:val="12"/>
                <w:numId w:val="0"/>
              </w:numPr>
              <w:tabs>
                <w:tab w:val="left" w:pos="1935"/>
              </w:tabs>
              <w:spacing w:line="240" w:lineRule="auto"/>
              <w:ind w:right="-2"/>
              <w:rPr>
                <w:lang w:eastAsia="en-US"/>
              </w:rPr>
            </w:pPr>
            <w:r w:rsidRPr="00183B5F">
              <w:rPr>
                <w:lang w:eastAsia="en-US"/>
              </w:rPr>
              <w:t>4-17 éves kor közötti, 15 kg</w:t>
            </w:r>
            <w:r w:rsidR="00B54E17" w:rsidRPr="00183B5F">
              <w:rPr>
                <w:lang w:eastAsia="en-US"/>
              </w:rPr>
              <w:t>-</w:t>
            </w:r>
            <w:r w:rsidR="00194670" w:rsidRPr="00183B5F">
              <w:rPr>
                <w:lang w:eastAsia="en-US"/>
              </w:rPr>
              <w:t xml:space="preserve">nál nagyobb, de </w:t>
            </w:r>
            <w:r w:rsidRPr="00183B5F">
              <w:rPr>
                <w:lang w:eastAsia="en-US"/>
              </w:rPr>
              <w:t>30 kg</w:t>
            </w:r>
            <w:r w:rsidR="00194670" w:rsidRPr="00183B5F">
              <w:rPr>
                <w:lang w:eastAsia="en-US"/>
              </w:rPr>
              <w:noBreakHyphen/>
              <w:t>nál kisebb</w:t>
            </w:r>
            <w:r w:rsidRPr="00183B5F">
              <w:rPr>
                <w:lang w:eastAsia="en-US"/>
              </w:rPr>
              <w:t xml:space="preserve"> testtömeg</w:t>
            </w:r>
            <w:r w:rsidR="00B54E17" w:rsidRPr="00183B5F">
              <w:rPr>
                <w:lang w:eastAsia="en-US"/>
              </w:rPr>
              <w:t>ű</w:t>
            </w:r>
            <w:r w:rsidRPr="00183B5F">
              <w:rPr>
                <w:lang w:eastAsia="en-US"/>
              </w:rPr>
              <w:t xml:space="preserve"> gyermekek és serdülők </w:t>
            </w:r>
          </w:p>
        </w:tc>
        <w:tc>
          <w:tcPr>
            <w:tcW w:w="3096" w:type="dxa"/>
            <w:tcBorders>
              <w:top w:val="single" w:sz="4" w:space="0" w:color="auto"/>
              <w:left w:val="single" w:sz="4" w:space="0" w:color="auto"/>
              <w:bottom w:val="single" w:sz="4" w:space="0" w:color="auto"/>
              <w:right w:val="single" w:sz="4" w:space="0" w:color="auto"/>
            </w:tcBorders>
          </w:tcPr>
          <w:p w14:paraId="428164E2" w14:textId="77777777" w:rsidR="00366005" w:rsidRPr="00183B5F" w:rsidRDefault="00943743">
            <w:pPr>
              <w:numPr>
                <w:ilvl w:val="12"/>
                <w:numId w:val="0"/>
              </w:numPr>
              <w:tabs>
                <w:tab w:val="left" w:pos="720"/>
              </w:tabs>
              <w:spacing w:line="240" w:lineRule="auto"/>
              <w:rPr>
                <w:szCs w:val="22"/>
                <w:lang w:eastAsia="en-US"/>
              </w:rPr>
            </w:pPr>
            <w:r w:rsidRPr="00183B5F">
              <w:rPr>
                <w:szCs w:val="22"/>
                <w:lang w:eastAsia="en-US"/>
              </w:rPr>
              <w:t>Első alkalommal 20 mg, majd egy héttel később 20 mg.</w:t>
            </w:r>
          </w:p>
          <w:p w14:paraId="7907FFA6" w14:textId="77777777" w:rsidR="00366005" w:rsidRPr="00183B5F" w:rsidRDefault="00366005">
            <w:pPr>
              <w:keepNext/>
              <w:numPr>
                <w:ilvl w:val="12"/>
                <w:numId w:val="0"/>
              </w:numPr>
              <w:tabs>
                <w:tab w:val="left" w:pos="720"/>
              </w:tabs>
              <w:spacing w:line="240" w:lineRule="auto"/>
              <w:rPr>
                <w:lang w:eastAsia="en-US"/>
              </w:rPr>
            </w:pPr>
          </w:p>
          <w:p w14:paraId="42E7836F" w14:textId="77777777" w:rsidR="00366005" w:rsidRPr="00183B5F" w:rsidRDefault="00943743">
            <w:pPr>
              <w:keepNext/>
              <w:numPr>
                <w:ilvl w:val="12"/>
                <w:numId w:val="0"/>
              </w:numPr>
              <w:tabs>
                <w:tab w:val="left" w:pos="720"/>
              </w:tabs>
              <w:spacing w:line="240" w:lineRule="auto"/>
              <w:rPr>
                <w:lang w:eastAsia="en-US"/>
              </w:rPr>
            </w:pPr>
            <w:r w:rsidRPr="00183B5F">
              <w:rPr>
                <w:lang w:eastAsia="en-US"/>
              </w:rPr>
              <w:t>Ezt követően, a szokásos adag 20 mg minden második héten.</w:t>
            </w:r>
          </w:p>
        </w:tc>
        <w:tc>
          <w:tcPr>
            <w:tcW w:w="3096" w:type="dxa"/>
            <w:tcBorders>
              <w:top w:val="single" w:sz="4" w:space="0" w:color="auto"/>
              <w:left w:val="single" w:sz="4" w:space="0" w:color="auto"/>
              <w:bottom w:val="single" w:sz="4" w:space="0" w:color="auto"/>
              <w:right w:val="single" w:sz="4" w:space="0" w:color="auto"/>
            </w:tcBorders>
            <w:hideMark/>
          </w:tcPr>
          <w:p w14:paraId="46AA042D" w14:textId="77777777" w:rsidR="00366005" w:rsidRPr="00183B5F" w:rsidRDefault="00943743">
            <w:pPr>
              <w:keepNext/>
              <w:numPr>
                <w:ilvl w:val="12"/>
                <w:numId w:val="0"/>
              </w:numPr>
              <w:tabs>
                <w:tab w:val="left" w:pos="720"/>
              </w:tabs>
              <w:spacing w:line="240" w:lineRule="auto"/>
              <w:ind w:right="-2"/>
              <w:rPr>
                <w:lang w:eastAsia="en-US"/>
              </w:rPr>
            </w:pPr>
            <w:r w:rsidRPr="00183B5F">
              <w:rPr>
                <w:lang w:eastAsia="en-US"/>
              </w:rPr>
              <w:t>Nincs</w:t>
            </w:r>
          </w:p>
        </w:tc>
      </w:tr>
    </w:tbl>
    <w:p w14:paraId="58D6E0B7" w14:textId="77777777" w:rsidR="00366005" w:rsidRPr="00183B5F" w:rsidRDefault="00366005">
      <w:pPr>
        <w:numPr>
          <w:ilvl w:val="12"/>
          <w:numId w:val="0"/>
        </w:numPr>
        <w:tabs>
          <w:tab w:val="left" w:pos="720"/>
        </w:tabs>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23"/>
        <w:gridCol w:w="3023"/>
      </w:tblGrid>
      <w:tr w:rsidR="00011D2F" w14:paraId="7B7B982F" w14:textId="77777777" w:rsidTr="00366005">
        <w:tc>
          <w:tcPr>
            <w:tcW w:w="9287" w:type="dxa"/>
            <w:gridSpan w:val="3"/>
            <w:tcBorders>
              <w:top w:val="single" w:sz="4" w:space="0" w:color="auto"/>
              <w:left w:val="single" w:sz="4" w:space="0" w:color="auto"/>
              <w:bottom w:val="single" w:sz="4" w:space="0" w:color="auto"/>
              <w:right w:val="single" w:sz="4" w:space="0" w:color="auto"/>
            </w:tcBorders>
            <w:hideMark/>
          </w:tcPr>
          <w:p w14:paraId="4677C2DE" w14:textId="77777777" w:rsidR="00366005" w:rsidRPr="00183B5F" w:rsidRDefault="00943743">
            <w:pPr>
              <w:keepNext/>
              <w:numPr>
                <w:ilvl w:val="12"/>
                <w:numId w:val="0"/>
              </w:numPr>
              <w:tabs>
                <w:tab w:val="left" w:pos="720"/>
              </w:tabs>
              <w:spacing w:line="240" w:lineRule="auto"/>
              <w:rPr>
                <w:lang w:eastAsia="en-US"/>
              </w:rPr>
            </w:pPr>
            <w:r w:rsidRPr="00183B5F">
              <w:rPr>
                <w:b/>
                <w:lang w:eastAsia="en-US"/>
              </w:rPr>
              <w:t>Gyermekkori Crohn</w:t>
            </w:r>
            <w:r w:rsidRPr="00183B5F">
              <w:rPr>
                <w:b/>
                <w:lang w:eastAsia="en-US"/>
              </w:rPr>
              <w:noBreakHyphen/>
              <w:t>betegség</w:t>
            </w:r>
          </w:p>
        </w:tc>
      </w:tr>
      <w:tr w:rsidR="00011D2F" w14:paraId="72BF8E0D" w14:textId="77777777" w:rsidTr="00366005">
        <w:tc>
          <w:tcPr>
            <w:tcW w:w="3095" w:type="dxa"/>
            <w:tcBorders>
              <w:top w:val="single" w:sz="4" w:space="0" w:color="auto"/>
              <w:left w:val="single" w:sz="4" w:space="0" w:color="auto"/>
              <w:bottom w:val="single" w:sz="4" w:space="0" w:color="auto"/>
              <w:right w:val="single" w:sz="4" w:space="0" w:color="auto"/>
            </w:tcBorders>
            <w:hideMark/>
          </w:tcPr>
          <w:p w14:paraId="4F8A4599" w14:textId="77777777" w:rsidR="00366005" w:rsidRPr="00183B5F" w:rsidRDefault="00943743">
            <w:pPr>
              <w:keepNext/>
              <w:numPr>
                <w:ilvl w:val="12"/>
                <w:numId w:val="0"/>
              </w:numPr>
              <w:tabs>
                <w:tab w:val="left" w:pos="720"/>
              </w:tabs>
              <w:spacing w:line="240" w:lineRule="auto"/>
              <w:rPr>
                <w:lang w:eastAsia="en-US"/>
              </w:rPr>
            </w:pPr>
            <w:r w:rsidRPr="00183B5F">
              <w:rPr>
                <w:b/>
                <w:lang w:eastAsia="en-US"/>
              </w:rPr>
              <w:t>Kor vagy testtömeg</w:t>
            </w:r>
          </w:p>
        </w:tc>
        <w:tc>
          <w:tcPr>
            <w:tcW w:w="3096" w:type="dxa"/>
            <w:tcBorders>
              <w:top w:val="single" w:sz="4" w:space="0" w:color="auto"/>
              <w:left w:val="single" w:sz="4" w:space="0" w:color="auto"/>
              <w:bottom w:val="single" w:sz="4" w:space="0" w:color="auto"/>
              <w:right w:val="single" w:sz="4" w:space="0" w:color="auto"/>
            </w:tcBorders>
            <w:hideMark/>
          </w:tcPr>
          <w:p w14:paraId="069CE89C" w14:textId="77777777" w:rsidR="00366005" w:rsidRPr="00183B5F" w:rsidRDefault="00943743">
            <w:pPr>
              <w:keepNext/>
              <w:numPr>
                <w:ilvl w:val="12"/>
                <w:numId w:val="0"/>
              </w:numPr>
              <w:tabs>
                <w:tab w:val="left" w:pos="720"/>
              </w:tabs>
              <w:spacing w:line="240" w:lineRule="auto"/>
              <w:rPr>
                <w:lang w:eastAsia="en-US"/>
              </w:rPr>
            </w:pPr>
            <w:r w:rsidRPr="00183B5F">
              <w:rPr>
                <w:b/>
                <w:lang w:eastAsia="en-US"/>
              </w:rPr>
              <w:t>Milyen adagot és milyen gyakran kell alkalmazni?</w:t>
            </w:r>
          </w:p>
        </w:tc>
        <w:tc>
          <w:tcPr>
            <w:tcW w:w="3096" w:type="dxa"/>
            <w:tcBorders>
              <w:top w:val="single" w:sz="4" w:space="0" w:color="auto"/>
              <w:left w:val="single" w:sz="4" w:space="0" w:color="auto"/>
              <w:bottom w:val="single" w:sz="4" w:space="0" w:color="auto"/>
              <w:right w:val="single" w:sz="4" w:space="0" w:color="auto"/>
            </w:tcBorders>
            <w:hideMark/>
          </w:tcPr>
          <w:p w14:paraId="4C945CF9" w14:textId="77777777" w:rsidR="00366005" w:rsidRPr="00183B5F" w:rsidRDefault="00943743">
            <w:pPr>
              <w:keepNext/>
              <w:numPr>
                <w:ilvl w:val="12"/>
                <w:numId w:val="0"/>
              </w:numPr>
              <w:tabs>
                <w:tab w:val="left" w:pos="720"/>
              </w:tabs>
              <w:spacing w:line="240" w:lineRule="auto"/>
              <w:rPr>
                <w:lang w:eastAsia="en-US"/>
              </w:rPr>
            </w:pPr>
            <w:r w:rsidRPr="00183B5F">
              <w:rPr>
                <w:b/>
                <w:lang w:eastAsia="en-US"/>
              </w:rPr>
              <w:t>Megjegyzés</w:t>
            </w:r>
          </w:p>
        </w:tc>
      </w:tr>
      <w:tr w:rsidR="00011D2F" w14:paraId="23D86954" w14:textId="77777777" w:rsidTr="00366005">
        <w:tc>
          <w:tcPr>
            <w:tcW w:w="3095" w:type="dxa"/>
            <w:tcBorders>
              <w:top w:val="single" w:sz="4" w:space="0" w:color="auto"/>
              <w:left w:val="single" w:sz="4" w:space="0" w:color="auto"/>
              <w:bottom w:val="single" w:sz="4" w:space="0" w:color="auto"/>
              <w:right w:val="single" w:sz="4" w:space="0" w:color="auto"/>
            </w:tcBorders>
          </w:tcPr>
          <w:p w14:paraId="39B98182" w14:textId="77777777" w:rsidR="00366005" w:rsidRPr="00183B5F" w:rsidRDefault="00943743">
            <w:pPr>
              <w:numPr>
                <w:ilvl w:val="12"/>
                <w:numId w:val="0"/>
              </w:numPr>
              <w:tabs>
                <w:tab w:val="left" w:pos="720"/>
              </w:tabs>
              <w:spacing w:line="240" w:lineRule="auto"/>
              <w:ind w:right="-2"/>
              <w:rPr>
                <w:lang w:eastAsia="en-US"/>
              </w:rPr>
            </w:pPr>
            <w:r w:rsidRPr="00183B5F">
              <w:rPr>
                <w:lang w:eastAsia="en-US"/>
              </w:rPr>
              <w:t>6-17 éves kor közötti, 40 kg-os vagy annál nagyobb testtömegű gyermekek és serdülők</w:t>
            </w:r>
          </w:p>
          <w:p w14:paraId="1CAA2A93" w14:textId="77777777" w:rsidR="00366005" w:rsidRPr="00183B5F" w:rsidRDefault="00366005">
            <w:pPr>
              <w:numPr>
                <w:ilvl w:val="12"/>
                <w:numId w:val="0"/>
              </w:numPr>
              <w:tabs>
                <w:tab w:val="left" w:pos="720"/>
              </w:tabs>
              <w:spacing w:line="240" w:lineRule="auto"/>
              <w:ind w:right="-2"/>
              <w:rPr>
                <w:lang w:eastAsia="en-US"/>
              </w:rPr>
            </w:pPr>
          </w:p>
          <w:p w14:paraId="473014C8" w14:textId="77777777" w:rsidR="00366005" w:rsidRPr="00183B5F" w:rsidRDefault="00366005">
            <w:pPr>
              <w:numPr>
                <w:ilvl w:val="12"/>
                <w:numId w:val="0"/>
              </w:numPr>
              <w:tabs>
                <w:tab w:val="left" w:pos="720"/>
              </w:tabs>
              <w:spacing w:line="240" w:lineRule="auto"/>
              <w:ind w:right="-2"/>
              <w:rPr>
                <w:lang w:eastAsia="en-US"/>
              </w:rPr>
            </w:pPr>
          </w:p>
        </w:tc>
        <w:tc>
          <w:tcPr>
            <w:tcW w:w="3096" w:type="dxa"/>
            <w:tcBorders>
              <w:top w:val="single" w:sz="4" w:space="0" w:color="auto"/>
              <w:left w:val="single" w:sz="4" w:space="0" w:color="auto"/>
              <w:bottom w:val="single" w:sz="4" w:space="0" w:color="auto"/>
              <w:right w:val="single" w:sz="4" w:space="0" w:color="auto"/>
            </w:tcBorders>
          </w:tcPr>
          <w:p w14:paraId="1A9A0C28" w14:textId="77777777" w:rsidR="00366005" w:rsidRPr="00183B5F" w:rsidRDefault="00943743">
            <w:pPr>
              <w:spacing w:line="240" w:lineRule="auto"/>
              <w:rPr>
                <w:lang w:eastAsia="en-US"/>
              </w:rPr>
            </w:pPr>
            <w:r w:rsidRPr="00183B5F">
              <w:rPr>
                <w:szCs w:val="22"/>
                <w:lang w:eastAsia="en-US"/>
              </w:rPr>
              <w:t>Első alkalommal 80 mg, majd 2 héttel később 40 mg</w:t>
            </w:r>
            <w:r w:rsidRPr="00183B5F">
              <w:rPr>
                <w:lang w:eastAsia="en-US"/>
              </w:rPr>
              <w:t>.</w:t>
            </w:r>
          </w:p>
          <w:p w14:paraId="22D129A8" w14:textId="77777777" w:rsidR="00366005" w:rsidRPr="00183B5F" w:rsidRDefault="00366005">
            <w:pPr>
              <w:spacing w:line="240" w:lineRule="auto"/>
              <w:rPr>
                <w:lang w:eastAsia="en-US"/>
              </w:rPr>
            </w:pPr>
          </w:p>
          <w:p w14:paraId="4D37E4AD" w14:textId="77777777" w:rsidR="00366005" w:rsidRPr="00183B5F" w:rsidRDefault="00943743">
            <w:pPr>
              <w:spacing w:line="240" w:lineRule="auto"/>
              <w:rPr>
                <w:lang w:eastAsia="en-US"/>
              </w:rPr>
            </w:pPr>
            <w:r w:rsidRPr="00183B5F">
              <w:rPr>
                <w:szCs w:val="22"/>
                <w:lang w:eastAsia="en-US"/>
              </w:rPr>
              <w:t>Amennyiben gyorsabb terápiás válaszra van szükség</w:t>
            </w:r>
            <w:r w:rsidRPr="00183B5F">
              <w:rPr>
                <w:lang w:eastAsia="en-US"/>
              </w:rPr>
              <w:t xml:space="preserve">, gyermeke kezelőorvosa rendelhet 160  mg kezdő dózist, melyet 80 mg követ két héttel később. </w:t>
            </w:r>
          </w:p>
          <w:p w14:paraId="744CA819" w14:textId="77777777" w:rsidR="00366005" w:rsidRPr="00183B5F" w:rsidRDefault="00366005">
            <w:pPr>
              <w:numPr>
                <w:ilvl w:val="12"/>
                <w:numId w:val="0"/>
              </w:numPr>
              <w:tabs>
                <w:tab w:val="left" w:pos="720"/>
              </w:tabs>
              <w:spacing w:line="240" w:lineRule="auto"/>
              <w:ind w:right="-2"/>
              <w:rPr>
                <w:lang w:eastAsia="en-US"/>
              </w:rPr>
            </w:pPr>
          </w:p>
          <w:p w14:paraId="3BD9AC76" w14:textId="77777777" w:rsidR="00366005" w:rsidRPr="00183B5F" w:rsidRDefault="00943743">
            <w:pPr>
              <w:numPr>
                <w:ilvl w:val="12"/>
                <w:numId w:val="0"/>
              </w:numPr>
              <w:tabs>
                <w:tab w:val="left" w:pos="720"/>
              </w:tabs>
              <w:spacing w:line="240" w:lineRule="auto"/>
              <w:ind w:right="-2"/>
              <w:rPr>
                <w:lang w:eastAsia="en-US"/>
              </w:rPr>
            </w:pPr>
            <w:r w:rsidRPr="00183B5F">
              <w:rPr>
                <w:lang w:eastAsia="en-US"/>
              </w:rPr>
              <w:t>Ezt követően, a szokásos adag 40 mg minden második héten.</w:t>
            </w:r>
          </w:p>
        </w:tc>
        <w:tc>
          <w:tcPr>
            <w:tcW w:w="3096" w:type="dxa"/>
            <w:tcBorders>
              <w:top w:val="single" w:sz="4" w:space="0" w:color="auto"/>
              <w:left w:val="single" w:sz="4" w:space="0" w:color="auto"/>
              <w:bottom w:val="single" w:sz="4" w:space="0" w:color="auto"/>
              <w:right w:val="single" w:sz="4" w:space="0" w:color="auto"/>
            </w:tcBorders>
          </w:tcPr>
          <w:p w14:paraId="28B9FB91" w14:textId="77777777" w:rsidR="00366005" w:rsidRPr="00183B5F" w:rsidRDefault="00943743">
            <w:pPr>
              <w:spacing w:line="240" w:lineRule="auto"/>
              <w:rPr>
                <w:lang w:eastAsia="en-US"/>
              </w:rPr>
            </w:pPr>
            <w:r w:rsidRPr="00183B5F">
              <w:rPr>
                <w:lang w:eastAsia="en-US"/>
              </w:rPr>
              <w:t>Gyermeke kezelőorvosa megemelheti az adag</w:t>
            </w:r>
            <w:r w:rsidR="00A56C40" w:rsidRPr="00183B5F">
              <w:rPr>
                <w:lang w:eastAsia="en-US"/>
              </w:rPr>
              <w:t xml:space="preserve">ot </w:t>
            </w:r>
            <w:r w:rsidRPr="00183B5F">
              <w:rPr>
                <w:lang w:eastAsia="en-US"/>
              </w:rPr>
              <w:t>heti 40 mg</w:t>
            </w:r>
            <w:r w:rsidRPr="00183B5F">
              <w:rPr>
                <w:lang w:eastAsia="en-US"/>
              </w:rPr>
              <w:noBreakHyphen/>
              <w:t>ra</w:t>
            </w:r>
            <w:r w:rsidR="00F13823" w:rsidRPr="00183B5F">
              <w:rPr>
                <w:lang w:eastAsia="en-US"/>
              </w:rPr>
              <w:t xml:space="preserve"> vagy kéthetente</w:t>
            </w:r>
            <w:r w:rsidR="00A56C40" w:rsidRPr="00183B5F">
              <w:rPr>
                <w:lang w:eastAsia="en-US"/>
              </w:rPr>
              <w:t xml:space="preserve"> 80 mg</w:t>
            </w:r>
            <w:r w:rsidR="00A56C40" w:rsidRPr="00183B5F">
              <w:rPr>
                <w:lang w:eastAsia="en-US"/>
              </w:rPr>
              <w:noBreakHyphen/>
              <w:t>ra.</w:t>
            </w:r>
          </w:p>
          <w:p w14:paraId="01F4B535" w14:textId="77777777" w:rsidR="00366005" w:rsidRPr="00183B5F" w:rsidRDefault="00366005">
            <w:pPr>
              <w:spacing w:line="240" w:lineRule="auto"/>
              <w:rPr>
                <w:lang w:eastAsia="en-US"/>
              </w:rPr>
            </w:pPr>
          </w:p>
        </w:tc>
      </w:tr>
      <w:tr w:rsidR="00011D2F" w14:paraId="7EE1021A" w14:textId="77777777" w:rsidTr="00366005">
        <w:tc>
          <w:tcPr>
            <w:tcW w:w="3095" w:type="dxa"/>
            <w:tcBorders>
              <w:top w:val="single" w:sz="4" w:space="0" w:color="auto"/>
              <w:left w:val="single" w:sz="4" w:space="0" w:color="auto"/>
              <w:bottom w:val="single" w:sz="4" w:space="0" w:color="auto"/>
              <w:right w:val="single" w:sz="4" w:space="0" w:color="auto"/>
            </w:tcBorders>
            <w:hideMark/>
          </w:tcPr>
          <w:p w14:paraId="404D8267" w14:textId="77777777" w:rsidR="00366005" w:rsidRPr="00183B5F" w:rsidRDefault="00943743">
            <w:pPr>
              <w:numPr>
                <w:ilvl w:val="12"/>
                <w:numId w:val="0"/>
              </w:numPr>
              <w:tabs>
                <w:tab w:val="left" w:pos="720"/>
              </w:tabs>
              <w:spacing w:line="240" w:lineRule="auto"/>
              <w:ind w:right="-2"/>
              <w:rPr>
                <w:lang w:eastAsia="en-US"/>
              </w:rPr>
            </w:pPr>
            <w:r w:rsidRPr="00183B5F">
              <w:rPr>
                <w:lang w:eastAsia="en-US"/>
              </w:rPr>
              <w:t>6-17 éves kor közötti, 40 kg-nál kisebb testtömegű gyermekek és serdülők</w:t>
            </w:r>
          </w:p>
        </w:tc>
        <w:tc>
          <w:tcPr>
            <w:tcW w:w="3096" w:type="dxa"/>
            <w:tcBorders>
              <w:top w:val="single" w:sz="4" w:space="0" w:color="auto"/>
              <w:left w:val="single" w:sz="4" w:space="0" w:color="auto"/>
              <w:bottom w:val="single" w:sz="4" w:space="0" w:color="auto"/>
              <w:right w:val="single" w:sz="4" w:space="0" w:color="auto"/>
            </w:tcBorders>
          </w:tcPr>
          <w:p w14:paraId="78906D73" w14:textId="77777777" w:rsidR="00366005" w:rsidRPr="00183B5F" w:rsidRDefault="00943743">
            <w:pPr>
              <w:spacing w:line="240" w:lineRule="auto"/>
              <w:rPr>
                <w:lang w:eastAsia="en-US"/>
              </w:rPr>
            </w:pPr>
            <w:r w:rsidRPr="00183B5F">
              <w:rPr>
                <w:szCs w:val="22"/>
                <w:lang w:eastAsia="en-US"/>
              </w:rPr>
              <w:t>Első alkalommal 40 mg, majd 2 héttel később 20 mg</w:t>
            </w:r>
            <w:r w:rsidRPr="00183B5F">
              <w:rPr>
                <w:lang w:eastAsia="en-US"/>
              </w:rPr>
              <w:t xml:space="preserve"> </w:t>
            </w:r>
          </w:p>
          <w:p w14:paraId="57C3D248" w14:textId="77777777" w:rsidR="00366005" w:rsidRPr="00183B5F" w:rsidRDefault="00366005">
            <w:pPr>
              <w:spacing w:line="240" w:lineRule="auto"/>
              <w:rPr>
                <w:lang w:eastAsia="en-US"/>
              </w:rPr>
            </w:pPr>
          </w:p>
          <w:p w14:paraId="0E66F797" w14:textId="77777777" w:rsidR="00366005" w:rsidRPr="00183B5F" w:rsidRDefault="00943743">
            <w:pPr>
              <w:numPr>
                <w:ilvl w:val="12"/>
                <w:numId w:val="0"/>
              </w:numPr>
              <w:tabs>
                <w:tab w:val="left" w:pos="720"/>
              </w:tabs>
              <w:spacing w:line="240" w:lineRule="auto"/>
              <w:ind w:right="-2"/>
              <w:rPr>
                <w:lang w:eastAsia="en-US"/>
              </w:rPr>
            </w:pPr>
            <w:r w:rsidRPr="00183B5F">
              <w:rPr>
                <w:szCs w:val="22"/>
                <w:lang w:eastAsia="en-US"/>
              </w:rPr>
              <w:t>Amennyiben gyorsabb terápiás válaszra van szükség</w:t>
            </w:r>
            <w:r w:rsidRPr="00183B5F">
              <w:rPr>
                <w:lang w:eastAsia="en-US"/>
              </w:rPr>
              <w:t xml:space="preserve">, gyermeke kezelőorvosa rendelhet 80  mg kezdő dózist, melyet 40 mg követ két héttel később </w:t>
            </w:r>
          </w:p>
          <w:p w14:paraId="1F3510C2" w14:textId="77777777" w:rsidR="00366005" w:rsidRPr="00183B5F" w:rsidRDefault="00366005">
            <w:pPr>
              <w:numPr>
                <w:ilvl w:val="12"/>
                <w:numId w:val="0"/>
              </w:numPr>
              <w:tabs>
                <w:tab w:val="left" w:pos="720"/>
              </w:tabs>
              <w:spacing w:line="240" w:lineRule="auto"/>
              <w:ind w:right="-2"/>
              <w:rPr>
                <w:lang w:eastAsia="en-US"/>
              </w:rPr>
            </w:pPr>
          </w:p>
          <w:p w14:paraId="51D09F18" w14:textId="77777777" w:rsidR="00366005" w:rsidRPr="00183B5F" w:rsidRDefault="00943743">
            <w:pPr>
              <w:numPr>
                <w:ilvl w:val="12"/>
                <w:numId w:val="0"/>
              </w:numPr>
              <w:tabs>
                <w:tab w:val="left" w:pos="720"/>
              </w:tabs>
              <w:spacing w:line="240" w:lineRule="auto"/>
              <w:ind w:right="-2"/>
              <w:rPr>
                <w:lang w:eastAsia="en-US"/>
              </w:rPr>
            </w:pPr>
            <w:r w:rsidRPr="00183B5F">
              <w:rPr>
                <w:lang w:eastAsia="en-US"/>
              </w:rPr>
              <w:t>Ezt követően, a szokásos adag 20 mg minden második héten.</w:t>
            </w:r>
          </w:p>
        </w:tc>
        <w:tc>
          <w:tcPr>
            <w:tcW w:w="3096" w:type="dxa"/>
            <w:tcBorders>
              <w:top w:val="single" w:sz="4" w:space="0" w:color="auto"/>
              <w:left w:val="single" w:sz="4" w:space="0" w:color="auto"/>
              <w:bottom w:val="single" w:sz="4" w:space="0" w:color="auto"/>
              <w:right w:val="single" w:sz="4" w:space="0" w:color="auto"/>
            </w:tcBorders>
          </w:tcPr>
          <w:p w14:paraId="4B743389" w14:textId="77777777" w:rsidR="00366005" w:rsidRPr="00183B5F" w:rsidRDefault="00943743">
            <w:pPr>
              <w:spacing w:line="240" w:lineRule="auto"/>
              <w:rPr>
                <w:lang w:eastAsia="en-US"/>
              </w:rPr>
            </w:pPr>
            <w:r w:rsidRPr="00183B5F">
              <w:rPr>
                <w:lang w:eastAsia="en-US"/>
              </w:rPr>
              <w:t>Gyermeke kezelőorvosa megemelheti az adagolás gyakoriságát heti 20 mg</w:t>
            </w:r>
            <w:r w:rsidRPr="00183B5F">
              <w:rPr>
                <w:lang w:eastAsia="en-US"/>
              </w:rPr>
              <w:noBreakHyphen/>
              <w:t>ra.</w:t>
            </w:r>
          </w:p>
          <w:p w14:paraId="43E9E41D" w14:textId="77777777" w:rsidR="00366005" w:rsidRPr="00183B5F" w:rsidRDefault="00366005">
            <w:pPr>
              <w:numPr>
                <w:ilvl w:val="12"/>
                <w:numId w:val="0"/>
              </w:numPr>
              <w:tabs>
                <w:tab w:val="left" w:pos="720"/>
              </w:tabs>
              <w:spacing w:line="240" w:lineRule="auto"/>
              <w:ind w:right="-2"/>
              <w:rPr>
                <w:lang w:eastAsia="en-US"/>
              </w:rPr>
            </w:pPr>
          </w:p>
        </w:tc>
      </w:tr>
    </w:tbl>
    <w:p w14:paraId="191A89EC" w14:textId="77777777" w:rsidR="00366005" w:rsidRPr="00183B5F" w:rsidRDefault="00366005">
      <w:pPr>
        <w:numPr>
          <w:ilvl w:val="12"/>
          <w:numId w:val="0"/>
        </w:numPr>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3022"/>
        <w:gridCol w:w="3025"/>
      </w:tblGrid>
      <w:tr w:rsidR="00011D2F" w14:paraId="22B25FCA" w14:textId="77777777" w:rsidTr="00366005">
        <w:tc>
          <w:tcPr>
            <w:tcW w:w="9287" w:type="dxa"/>
            <w:gridSpan w:val="3"/>
            <w:tcBorders>
              <w:top w:val="single" w:sz="4" w:space="0" w:color="auto"/>
              <w:left w:val="single" w:sz="4" w:space="0" w:color="auto"/>
              <w:bottom w:val="single" w:sz="4" w:space="0" w:color="auto"/>
              <w:right w:val="single" w:sz="4" w:space="0" w:color="auto"/>
            </w:tcBorders>
            <w:hideMark/>
          </w:tcPr>
          <w:p w14:paraId="2A29DA8F" w14:textId="77777777" w:rsidR="00366005" w:rsidRPr="00183B5F" w:rsidRDefault="00943743" w:rsidP="002D49EE">
            <w:pPr>
              <w:keepNext/>
              <w:numPr>
                <w:ilvl w:val="12"/>
                <w:numId w:val="0"/>
              </w:numPr>
              <w:spacing w:line="240" w:lineRule="auto"/>
              <w:ind w:right="-2"/>
              <w:rPr>
                <w:b/>
                <w:lang w:eastAsia="en-US"/>
              </w:rPr>
            </w:pPr>
            <w:r w:rsidRPr="00183B5F">
              <w:rPr>
                <w:b/>
                <w:szCs w:val="22"/>
                <w:lang w:eastAsia="en-US"/>
              </w:rPr>
              <w:t>Gyermekkori nem fertőzéses eredetű szemgyulladás (uveitisz)</w:t>
            </w:r>
          </w:p>
        </w:tc>
      </w:tr>
      <w:tr w:rsidR="00011D2F" w14:paraId="55461592" w14:textId="77777777" w:rsidTr="00366005">
        <w:tc>
          <w:tcPr>
            <w:tcW w:w="3095" w:type="dxa"/>
            <w:tcBorders>
              <w:top w:val="single" w:sz="4" w:space="0" w:color="auto"/>
              <w:left w:val="single" w:sz="4" w:space="0" w:color="auto"/>
              <w:bottom w:val="single" w:sz="4" w:space="0" w:color="auto"/>
              <w:right w:val="single" w:sz="4" w:space="0" w:color="auto"/>
            </w:tcBorders>
            <w:hideMark/>
          </w:tcPr>
          <w:p w14:paraId="301198EF" w14:textId="77777777" w:rsidR="00366005" w:rsidRPr="00183B5F" w:rsidRDefault="00943743" w:rsidP="002D49EE">
            <w:pPr>
              <w:keepNext/>
              <w:numPr>
                <w:ilvl w:val="12"/>
                <w:numId w:val="0"/>
              </w:numPr>
              <w:spacing w:line="240" w:lineRule="auto"/>
              <w:ind w:right="-2"/>
              <w:rPr>
                <w:lang w:eastAsia="en-US"/>
              </w:rPr>
            </w:pPr>
            <w:r w:rsidRPr="00183B5F">
              <w:rPr>
                <w:b/>
                <w:lang w:eastAsia="en-US"/>
              </w:rPr>
              <w:t>Kor vagy testtömeg</w:t>
            </w:r>
          </w:p>
        </w:tc>
        <w:tc>
          <w:tcPr>
            <w:tcW w:w="3096" w:type="dxa"/>
            <w:tcBorders>
              <w:top w:val="single" w:sz="4" w:space="0" w:color="auto"/>
              <w:left w:val="single" w:sz="4" w:space="0" w:color="auto"/>
              <w:bottom w:val="single" w:sz="4" w:space="0" w:color="auto"/>
              <w:right w:val="single" w:sz="4" w:space="0" w:color="auto"/>
            </w:tcBorders>
            <w:hideMark/>
          </w:tcPr>
          <w:p w14:paraId="2E24C66B" w14:textId="77777777" w:rsidR="00366005" w:rsidRPr="00183B5F" w:rsidRDefault="00943743" w:rsidP="002D49EE">
            <w:pPr>
              <w:keepNext/>
              <w:tabs>
                <w:tab w:val="left" w:pos="0"/>
              </w:tabs>
              <w:spacing w:line="240" w:lineRule="auto"/>
              <w:rPr>
                <w:lang w:eastAsia="en-US"/>
              </w:rPr>
            </w:pPr>
            <w:r w:rsidRPr="00183B5F">
              <w:rPr>
                <w:b/>
                <w:lang w:eastAsia="en-US"/>
              </w:rPr>
              <w:t>Milyen adagot és milyen gyakran kell alkalmazni?</w:t>
            </w:r>
          </w:p>
        </w:tc>
        <w:tc>
          <w:tcPr>
            <w:tcW w:w="3096" w:type="dxa"/>
            <w:tcBorders>
              <w:top w:val="single" w:sz="4" w:space="0" w:color="auto"/>
              <w:left w:val="single" w:sz="4" w:space="0" w:color="auto"/>
              <w:bottom w:val="single" w:sz="4" w:space="0" w:color="auto"/>
              <w:right w:val="single" w:sz="4" w:space="0" w:color="auto"/>
            </w:tcBorders>
            <w:hideMark/>
          </w:tcPr>
          <w:p w14:paraId="53DCB62F" w14:textId="77777777" w:rsidR="00366005" w:rsidRPr="00183B5F" w:rsidRDefault="00943743" w:rsidP="002D49EE">
            <w:pPr>
              <w:keepNext/>
              <w:numPr>
                <w:ilvl w:val="12"/>
                <w:numId w:val="0"/>
              </w:numPr>
              <w:spacing w:line="240" w:lineRule="auto"/>
              <w:rPr>
                <w:lang w:eastAsia="en-US"/>
              </w:rPr>
            </w:pPr>
            <w:r w:rsidRPr="00183B5F">
              <w:rPr>
                <w:b/>
                <w:lang w:eastAsia="en-US"/>
              </w:rPr>
              <w:t>Megjegyzés</w:t>
            </w:r>
          </w:p>
        </w:tc>
      </w:tr>
      <w:tr w:rsidR="00011D2F" w14:paraId="1E60106F" w14:textId="77777777" w:rsidTr="00366005">
        <w:tc>
          <w:tcPr>
            <w:tcW w:w="3095" w:type="dxa"/>
            <w:tcBorders>
              <w:top w:val="single" w:sz="4" w:space="0" w:color="auto"/>
              <w:left w:val="single" w:sz="4" w:space="0" w:color="auto"/>
              <w:bottom w:val="single" w:sz="4" w:space="0" w:color="auto"/>
              <w:right w:val="single" w:sz="4" w:space="0" w:color="auto"/>
            </w:tcBorders>
            <w:hideMark/>
          </w:tcPr>
          <w:p w14:paraId="7CB65C79" w14:textId="77777777" w:rsidR="00366005" w:rsidRPr="00183B5F" w:rsidRDefault="00943743" w:rsidP="002D49EE">
            <w:pPr>
              <w:keepNext/>
              <w:numPr>
                <w:ilvl w:val="12"/>
                <w:numId w:val="0"/>
              </w:numPr>
              <w:spacing w:line="240" w:lineRule="auto"/>
              <w:ind w:right="-2"/>
              <w:rPr>
                <w:lang w:eastAsia="en-US"/>
              </w:rPr>
            </w:pPr>
            <w:r w:rsidRPr="00183B5F">
              <w:rPr>
                <w:lang w:eastAsia="en-US"/>
              </w:rPr>
              <w:t>2 éves kor feletti, 30 kg</w:t>
            </w:r>
            <w:r w:rsidRPr="00183B5F">
              <w:rPr>
                <w:lang w:eastAsia="en-US"/>
              </w:rPr>
              <w:noBreakHyphen/>
              <w:t xml:space="preserve">nál kisebb testtömegű gyermekek és serdülők </w:t>
            </w:r>
          </w:p>
        </w:tc>
        <w:tc>
          <w:tcPr>
            <w:tcW w:w="3096" w:type="dxa"/>
            <w:tcBorders>
              <w:top w:val="single" w:sz="4" w:space="0" w:color="auto"/>
              <w:left w:val="single" w:sz="4" w:space="0" w:color="auto"/>
              <w:bottom w:val="single" w:sz="4" w:space="0" w:color="auto"/>
              <w:right w:val="single" w:sz="4" w:space="0" w:color="auto"/>
            </w:tcBorders>
            <w:hideMark/>
          </w:tcPr>
          <w:p w14:paraId="7B06975F" w14:textId="77777777" w:rsidR="00366005" w:rsidRPr="00183B5F" w:rsidRDefault="00943743" w:rsidP="002D49EE">
            <w:pPr>
              <w:keepNext/>
              <w:tabs>
                <w:tab w:val="left" w:pos="0"/>
              </w:tabs>
              <w:spacing w:line="240" w:lineRule="auto"/>
              <w:rPr>
                <w:lang w:eastAsia="en-US"/>
              </w:rPr>
            </w:pPr>
            <w:r w:rsidRPr="00183B5F">
              <w:rPr>
                <w:lang w:eastAsia="en-US"/>
              </w:rPr>
              <w:t>20 mg minden második héten</w:t>
            </w:r>
          </w:p>
        </w:tc>
        <w:tc>
          <w:tcPr>
            <w:tcW w:w="3096" w:type="dxa"/>
            <w:tcBorders>
              <w:top w:val="single" w:sz="4" w:space="0" w:color="auto"/>
              <w:left w:val="single" w:sz="4" w:space="0" w:color="auto"/>
              <w:bottom w:val="single" w:sz="4" w:space="0" w:color="auto"/>
              <w:right w:val="single" w:sz="4" w:space="0" w:color="auto"/>
            </w:tcBorders>
            <w:hideMark/>
          </w:tcPr>
          <w:p w14:paraId="46EA1CCF" w14:textId="77777777" w:rsidR="00366005" w:rsidRPr="00183B5F" w:rsidRDefault="00943743" w:rsidP="002D49EE">
            <w:pPr>
              <w:keepNext/>
              <w:numPr>
                <w:ilvl w:val="12"/>
                <w:numId w:val="0"/>
              </w:numPr>
              <w:spacing w:line="240" w:lineRule="auto"/>
              <w:rPr>
                <w:lang w:eastAsia="en-US"/>
              </w:rPr>
            </w:pPr>
            <w:r w:rsidRPr="00183B5F">
              <w:rPr>
                <w:szCs w:val="22"/>
                <w:lang w:eastAsia="en-US"/>
              </w:rPr>
              <w:t>Kezelőorvosa egy 40 mg</w:t>
            </w:r>
            <w:r w:rsidRPr="00183B5F">
              <w:rPr>
                <w:szCs w:val="22"/>
                <w:lang w:eastAsia="en-US"/>
              </w:rPr>
              <w:noBreakHyphen/>
              <w:t>os kezdő dózist is felírhat, melyet egy héttel a szokásos, kéthetente 20 mg</w:t>
            </w:r>
            <w:r w:rsidRPr="00183B5F">
              <w:rPr>
                <w:szCs w:val="22"/>
                <w:lang w:eastAsia="en-US"/>
              </w:rPr>
              <w:noBreakHyphen/>
              <w:t>os adagolás megkezdése előtt kell beadni. A Humira</w:t>
            </w:r>
            <w:r w:rsidRPr="00183B5F">
              <w:rPr>
                <w:szCs w:val="22"/>
                <w:lang w:eastAsia="en-US"/>
              </w:rPr>
              <w:noBreakHyphen/>
              <w:t>t metotrexáttal kombinálva javasolt alkalmazni.</w:t>
            </w:r>
          </w:p>
        </w:tc>
      </w:tr>
      <w:tr w:rsidR="00011D2F" w14:paraId="44AAEA6E" w14:textId="77777777" w:rsidTr="00366005">
        <w:tc>
          <w:tcPr>
            <w:tcW w:w="3095" w:type="dxa"/>
            <w:tcBorders>
              <w:top w:val="single" w:sz="4" w:space="0" w:color="auto"/>
              <w:left w:val="single" w:sz="4" w:space="0" w:color="auto"/>
              <w:bottom w:val="single" w:sz="4" w:space="0" w:color="auto"/>
              <w:right w:val="single" w:sz="4" w:space="0" w:color="auto"/>
            </w:tcBorders>
            <w:hideMark/>
          </w:tcPr>
          <w:p w14:paraId="666346FE" w14:textId="77777777" w:rsidR="00366005" w:rsidRPr="00183B5F" w:rsidRDefault="00943743" w:rsidP="002D49EE">
            <w:pPr>
              <w:keepNext/>
              <w:numPr>
                <w:ilvl w:val="12"/>
                <w:numId w:val="0"/>
              </w:numPr>
              <w:spacing w:line="240" w:lineRule="auto"/>
              <w:ind w:right="-2"/>
              <w:rPr>
                <w:lang w:eastAsia="en-US"/>
              </w:rPr>
            </w:pPr>
            <w:r w:rsidRPr="00183B5F">
              <w:rPr>
                <w:lang w:eastAsia="en-US"/>
              </w:rPr>
              <w:t>2 éves kor feletti, 30 kg vagy annál nagyobb testtömegű gyermekek és serdülők</w:t>
            </w:r>
          </w:p>
        </w:tc>
        <w:tc>
          <w:tcPr>
            <w:tcW w:w="3096" w:type="dxa"/>
            <w:tcBorders>
              <w:top w:val="single" w:sz="4" w:space="0" w:color="auto"/>
              <w:left w:val="single" w:sz="4" w:space="0" w:color="auto"/>
              <w:bottom w:val="single" w:sz="4" w:space="0" w:color="auto"/>
              <w:right w:val="single" w:sz="4" w:space="0" w:color="auto"/>
            </w:tcBorders>
            <w:hideMark/>
          </w:tcPr>
          <w:p w14:paraId="09A761DB" w14:textId="77777777" w:rsidR="00366005" w:rsidRPr="00183B5F" w:rsidRDefault="00943743" w:rsidP="002D49EE">
            <w:pPr>
              <w:keepNext/>
              <w:tabs>
                <w:tab w:val="left" w:pos="0"/>
              </w:tabs>
              <w:spacing w:line="240" w:lineRule="auto"/>
              <w:rPr>
                <w:lang w:eastAsia="en-US"/>
              </w:rPr>
            </w:pPr>
            <w:r w:rsidRPr="00183B5F">
              <w:rPr>
                <w:lang w:eastAsia="en-US"/>
              </w:rPr>
              <w:t xml:space="preserve">40 mg minden második héten </w:t>
            </w:r>
          </w:p>
        </w:tc>
        <w:tc>
          <w:tcPr>
            <w:tcW w:w="3096" w:type="dxa"/>
            <w:tcBorders>
              <w:top w:val="single" w:sz="4" w:space="0" w:color="auto"/>
              <w:left w:val="single" w:sz="4" w:space="0" w:color="auto"/>
              <w:bottom w:val="single" w:sz="4" w:space="0" w:color="auto"/>
              <w:right w:val="single" w:sz="4" w:space="0" w:color="auto"/>
            </w:tcBorders>
            <w:hideMark/>
          </w:tcPr>
          <w:p w14:paraId="7561D164" w14:textId="77777777" w:rsidR="00366005" w:rsidRPr="00183B5F" w:rsidRDefault="00943743" w:rsidP="002D49EE">
            <w:pPr>
              <w:keepNext/>
              <w:numPr>
                <w:ilvl w:val="12"/>
                <w:numId w:val="0"/>
              </w:numPr>
              <w:spacing w:line="240" w:lineRule="auto"/>
              <w:rPr>
                <w:lang w:eastAsia="en-US"/>
              </w:rPr>
            </w:pPr>
            <w:r w:rsidRPr="00183B5F">
              <w:rPr>
                <w:szCs w:val="22"/>
                <w:lang w:eastAsia="en-US"/>
              </w:rPr>
              <w:t xml:space="preserve">Kezelőorvosa egy </w:t>
            </w:r>
            <w:r w:rsidR="007C5998" w:rsidRPr="00183B5F">
              <w:rPr>
                <w:szCs w:val="22"/>
                <w:lang w:eastAsia="en-US"/>
              </w:rPr>
              <w:t>8</w:t>
            </w:r>
            <w:r w:rsidRPr="00183B5F">
              <w:rPr>
                <w:szCs w:val="22"/>
                <w:lang w:eastAsia="en-US"/>
              </w:rPr>
              <w:t>0 mg</w:t>
            </w:r>
            <w:r w:rsidRPr="00183B5F">
              <w:rPr>
                <w:szCs w:val="22"/>
                <w:lang w:eastAsia="en-US"/>
              </w:rPr>
              <w:noBreakHyphen/>
              <w:t>os kezdő dózist is felírhat, melyet egy héttel a szokásos, kéthetente 40 mg</w:t>
            </w:r>
            <w:r w:rsidRPr="00183B5F">
              <w:rPr>
                <w:szCs w:val="22"/>
                <w:lang w:eastAsia="en-US"/>
              </w:rPr>
              <w:noBreakHyphen/>
              <w:t>os adagolás megkezdése előtt kell beadni. A Humira</w:t>
            </w:r>
            <w:r w:rsidRPr="00183B5F">
              <w:rPr>
                <w:szCs w:val="22"/>
                <w:lang w:eastAsia="en-US"/>
              </w:rPr>
              <w:noBreakHyphen/>
              <w:t>t metotrexáttal kombinálva javasolt alkalmazni.</w:t>
            </w:r>
          </w:p>
        </w:tc>
      </w:tr>
    </w:tbl>
    <w:p w14:paraId="6BF05699" w14:textId="77777777" w:rsidR="00366005" w:rsidRPr="00183B5F" w:rsidRDefault="00366005">
      <w:pPr>
        <w:numPr>
          <w:ilvl w:val="12"/>
          <w:numId w:val="0"/>
        </w:numPr>
        <w:spacing w:line="240" w:lineRule="auto"/>
        <w:rPr>
          <w:szCs w:val="22"/>
        </w:rPr>
      </w:pPr>
    </w:p>
    <w:p w14:paraId="7E372736" w14:textId="77777777" w:rsidR="00366005" w:rsidRPr="00183B5F" w:rsidRDefault="00943743">
      <w:pPr>
        <w:keepNext/>
        <w:numPr>
          <w:ilvl w:val="12"/>
          <w:numId w:val="0"/>
        </w:numPr>
        <w:spacing w:line="240" w:lineRule="auto"/>
        <w:ind w:right="-2"/>
        <w:rPr>
          <w:szCs w:val="22"/>
        </w:rPr>
      </w:pPr>
      <w:r w:rsidRPr="00183B5F">
        <w:rPr>
          <w:b/>
          <w:szCs w:val="22"/>
        </w:rPr>
        <w:t>Az alkalmazással kapcsolatos tudnivalók és az alkalmazás módja</w:t>
      </w:r>
    </w:p>
    <w:p w14:paraId="24E837BB" w14:textId="77777777" w:rsidR="00366005" w:rsidRPr="00183B5F" w:rsidRDefault="00366005">
      <w:pPr>
        <w:keepNext/>
        <w:numPr>
          <w:ilvl w:val="12"/>
          <w:numId w:val="0"/>
        </w:numPr>
        <w:spacing w:line="240" w:lineRule="auto"/>
        <w:ind w:right="-2"/>
        <w:rPr>
          <w:szCs w:val="22"/>
        </w:rPr>
      </w:pPr>
    </w:p>
    <w:p w14:paraId="7BAED72C" w14:textId="77777777" w:rsidR="00366005" w:rsidRPr="00183B5F" w:rsidRDefault="00943743">
      <w:pPr>
        <w:keepNext/>
        <w:spacing w:line="240" w:lineRule="auto"/>
        <w:ind w:right="-2"/>
        <w:rPr>
          <w:szCs w:val="22"/>
        </w:rPr>
      </w:pPr>
      <w:r w:rsidRPr="00183B5F">
        <w:rPr>
          <w:szCs w:val="22"/>
        </w:rPr>
        <w:t>A Humira</w:t>
      </w:r>
      <w:r w:rsidRPr="00183B5F">
        <w:rPr>
          <w:szCs w:val="22"/>
        </w:rPr>
        <w:noBreakHyphen/>
      </w:r>
      <w:r w:rsidRPr="00183B5F">
        <w:rPr>
          <w:szCs w:val="22"/>
        </w:rPr>
        <w:t>t a bőr alá (szubkután injekció formájában) kell beadni.</w:t>
      </w:r>
    </w:p>
    <w:p w14:paraId="7D81B5CE" w14:textId="77777777" w:rsidR="00366005" w:rsidRPr="00183B5F" w:rsidRDefault="00366005">
      <w:pPr>
        <w:spacing w:line="240" w:lineRule="auto"/>
        <w:ind w:right="-2"/>
        <w:rPr>
          <w:szCs w:val="22"/>
        </w:rPr>
      </w:pPr>
    </w:p>
    <w:p w14:paraId="7428A5BB" w14:textId="77777777" w:rsidR="00366005" w:rsidRPr="00183B5F" w:rsidRDefault="00943743" w:rsidP="00DA71A8">
      <w:pPr>
        <w:spacing w:line="240" w:lineRule="auto"/>
        <w:ind w:right="-2"/>
        <w:rPr>
          <w:b/>
          <w:szCs w:val="22"/>
        </w:rPr>
      </w:pPr>
      <w:r w:rsidRPr="00183B5F">
        <w:rPr>
          <w:b/>
          <w:szCs w:val="22"/>
        </w:rPr>
        <w:t>A Humira injekció beadásával kapcsolatos részletes útmutatás a „7. </w:t>
      </w:r>
      <w:r w:rsidR="00AC1D27" w:rsidRPr="00183B5F">
        <w:rPr>
          <w:b/>
          <w:szCs w:val="22"/>
        </w:rPr>
        <w:t>A Humira beadása</w:t>
      </w:r>
      <w:r w:rsidRPr="00183B5F">
        <w:rPr>
          <w:b/>
          <w:szCs w:val="22"/>
        </w:rPr>
        <w:t>” című pontban található.</w:t>
      </w:r>
    </w:p>
    <w:p w14:paraId="566AE78D" w14:textId="77777777" w:rsidR="00366005" w:rsidRPr="00183B5F" w:rsidRDefault="00366005">
      <w:pPr>
        <w:tabs>
          <w:tab w:val="num" w:pos="630"/>
        </w:tabs>
        <w:spacing w:line="240" w:lineRule="auto"/>
        <w:ind w:right="-2"/>
      </w:pPr>
    </w:p>
    <w:p w14:paraId="5E41E65C" w14:textId="77777777" w:rsidR="00366005" w:rsidRPr="00183B5F" w:rsidRDefault="00943743">
      <w:pPr>
        <w:keepNext/>
        <w:spacing w:line="240" w:lineRule="auto"/>
        <w:rPr>
          <w:szCs w:val="22"/>
        </w:rPr>
      </w:pPr>
      <w:r w:rsidRPr="00183B5F">
        <w:rPr>
          <w:b/>
          <w:szCs w:val="22"/>
        </w:rPr>
        <w:t xml:space="preserve">Ha az előírtnál több </w:t>
      </w:r>
      <w:r w:rsidRPr="00183B5F">
        <w:rPr>
          <w:b/>
          <w:bCs/>
          <w:szCs w:val="22"/>
        </w:rPr>
        <w:t>Humira</w:t>
      </w:r>
      <w:r w:rsidRPr="00183B5F">
        <w:rPr>
          <w:b/>
          <w:bCs/>
          <w:szCs w:val="22"/>
        </w:rPr>
        <w:noBreakHyphen/>
        <w:t>t</w:t>
      </w:r>
      <w:r w:rsidRPr="00183B5F">
        <w:rPr>
          <w:b/>
          <w:szCs w:val="22"/>
        </w:rPr>
        <w:t xml:space="preserve"> alkalmazott</w:t>
      </w:r>
    </w:p>
    <w:p w14:paraId="212F44F8" w14:textId="77777777" w:rsidR="00366005" w:rsidRPr="00183B5F" w:rsidRDefault="00366005">
      <w:pPr>
        <w:keepNext/>
        <w:spacing w:line="240" w:lineRule="auto"/>
        <w:rPr>
          <w:szCs w:val="22"/>
        </w:rPr>
      </w:pPr>
    </w:p>
    <w:p w14:paraId="2D75A700" w14:textId="77777777" w:rsidR="00366005" w:rsidRPr="00183B5F" w:rsidRDefault="00943743">
      <w:pPr>
        <w:keepNext/>
        <w:spacing w:line="240" w:lineRule="auto"/>
        <w:rPr>
          <w:szCs w:val="22"/>
        </w:rPr>
      </w:pPr>
      <w:r w:rsidRPr="00183B5F">
        <w:rPr>
          <w:szCs w:val="22"/>
        </w:rPr>
        <w:t>Ha véletlenül a kezelőorvosa vagy gyógyszerésze által előírtnál gyakrabban alkalmazta a Humira-t, azonnal közölje ezt kezelőorvosával vagy gyógyszerészével. Őrizze meg a külső csomagolást, abban az esetben is, ha üres.</w:t>
      </w:r>
    </w:p>
    <w:p w14:paraId="15947ABA" w14:textId="77777777" w:rsidR="00366005" w:rsidRPr="00183B5F" w:rsidRDefault="00366005">
      <w:pPr>
        <w:spacing w:line="240" w:lineRule="auto"/>
        <w:ind w:right="-2"/>
        <w:rPr>
          <w:szCs w:val="22"/>
        </w:rPr>
      </w:pPr>
    </w:p>
    <w:p w14:paraId="7C34EF3C" w14:textId="77777777" w:rsidR="00366005" w:rsidRPr="00183B5F" w:rsidRDefault="00943743">
      <w:pPr>
        <w:spacing w:line="240" w:lineRule="auto"/>
        <w:ind w:right="-2"/>
        <w:rPr>
          <w:szCs w:val="22"/>
        </w:rPr>
      </w:pPr>
      <w:r w:rsidRPr="00183B5F">
        <w:rPr>
          <w:b/>
          <w:szCs w:val="22"/>
        </w:rPr>
        <w:t>Ha elfelejtette alkalmazni a</w:t>
      </w:r>
      <w:r w:rsidRPr="00183B5F">
        <w:rPr>
          <w:b/>
          <w:bCs/>
          <w:szCs w:val="22"/>
        </w:rPr>
        <w:t xml:space="preserve"> Humira</w:t>
      </w:r>
      <w:r w:rsidRPr="00183B5F">
        <w:rPr>
          <w:b/>
          <w:bCs/>
          <w:szCs w:val="22"/>
        </w:rPr>
        <w:noBreakHyphen/>
        <w:t>t</w:t>
      </w:r>
    </w:p>
    <w:p w14:paraId="15CABD72" w14:textId="77777777" w:rsidR="00366005" w:rsidRPr="00183B5F" w:rsidRDefault="00366005">
      <w:pPr>
        <w:spacing w:line="240" w:lineRule="auto"/>
        <w:ind w:right="-2"/>
        <w:rPr>
          <w:szCs w:val="22"/>
        </w:rPr>
      </w:pPr>
    </w:p>
    <w:p w14:paraId="1DD28094" w14:textId="77777777" w:rsidR="00366005" w:rsidRPr="00183B5F" w:rsidRDefault="00943743">
      <w:pPr>
        <w:spacing w:line="240" w:lineRule="auto"/>
        <w:ind w:right="-2"/>
        <w:rPr>
          <w:szCs w:val="22"/>
        </w:rPr>
      </w:pPr>
      <w:r w:rsidRPr="00183B5F">
        <w:rPr>
          <w:szCs w:val="22"/>
        </w:rPr>
        <w:t>Ha elfelejtette beadni gyermekéknek az injekciót, adja be a következő Humira adagot rögtön, amikor eszébe jutott. A következő adagot az eredeti kezelési terv alapján meghatározott napon adja be gyermekének, úgy mintha az előző adagot az előírás szerinti időpontban adta volna be.</w:t>
      </w:r>
    </w:p>
    <w:p w14:paraId="2F9B7027" w14:textId="77777777" w:rsidR="00366005" w:rsidRPr="00183B5F" w:rsidRDefault="00366005">
      <w:pPr>
        <w:spacing w:line="240" w:lineRule="auto"/>
        <w:ind w:right="-2"/>
        <w:rPr>
          <w:szCs w:val="22"/>
        </w:rPr>
      </w:pPr>
    </w:p>
    <w:p w14:paraId="792A5F75" w14:textId="77777777" w:rsidR="00366005" w:rsidRPr="00183B5F" w:rsidRDefault="00943743">
      <w:pPr>
        <w:spacing w:line="240" w:lineRule="auto"/>
        <w:ind w:right="-2"/>
      </w:pPr>
      <w:r w:rsidRPr="00183B5F">
        <w:rPr>
          <w:b/>
        </w:rPr>
        <w:t>Ha idő előtt abbahagyja a Humira alkalmazását</w:t>
      </w:r>
    </w:p>
    <w:p w14:paraId="699CFCCB" w14:textId="77777777" w:rsidR="00366005" w:rsidRPr="00183B5F" w:rsidRDefault="00366005">
      <w:pPr>
        <w:spacing w:line="240" w:lineRule="auto"/>
        <w:ind w:right="-2"/>
      </w:pPr>
    </w:p>
    <w:p w14:paraId="469AEA29" w14:textId="77777777" w:rsidR="00366005" w:rsidRPr="00183B5F" w:rsidRDefault="00943743">
      <w:pPr>
        <w:spacing w:line="240" w:lineRule="auto"/>
        <w:ind w:right="-2"/>
        <w:rPr>
          <w:szCs w:val="22"/>
        </w:rPr>
      </w:pPr>
      <w:r w:rsidRPr="00183B5F">
        <w:rPr>
          <w:szCs w:val="22"/>
        </w:rPr>
        <w:t>A döntést, hogy abbahagyja a Humira alkalmazását, meg kell beszélni kezelőorvosával. Gyermekének tünetei visszatérhetnek, ha abbahagyja a kezelést.</w:t>
      </w:r>
    </w:p>
    <w:p w14:paraId="40160EBF" w14:textId="77777777" w:rsidR="00366005" w:rsidRPr="00183B5F" w:rsidRDefault="00366005">
      <w:pPr>
        <w:spacing w:line="240" w:lineRule="auto"/>
        <w:ind w:right="-2"/>
        <w:rPr>
          <w:szCs w:val="22"/>
        </w:rPr>
      </w:pPr>
    </w:p>
    <w:p w14:paraId="294085C9" w14:textId="77777777" w:rsidR="00366005" w:rsidRPr="00183B5F" w:rsidRDefault="00943743">
      <w:pPr>
        <w:spacing w:line="240" w:lineRule="auto"/>
        <w:ind w:right="-2"/>
        <w:rPr>
          <w:szCs w:val="22"/>
        </w:rPr>
      </w:pPr>
      <w:r w:rsidRPr="00183B5F">
        <w:rPr>
          <w:szCs w:val="22"/>
        </w:rPr>
        <w:t>Ha bármilyen további kérdése van a készítmény alkalmazásával kapcsolatban, kérdezze meg kezelőorvosát vagy gyógyszerészét.</w:t>
      </w:r>
    </w:p>
    <w:p w14:paraId="2B59460A" w14:textId="77777777" w:rsidR="00366005" w:rsidRPr="00183B5F" w:rsidRDefault="00366005">
      <w:pPr>
        <w:tabs>
          <w:tab w:val="num" w:pos="630"/>
        </w:tabs>
        <w:spacing w:line="240" w:lineRule="auto"/>
        <w:ind w:right="-2"/>
      </w:pPr>
    </w:p>
    <w:p w14:paraId="1AE0B531" w14:textId="77777777" w:rsidR="00366005" w:rsidRPr="00183B5F" w:rsidRDefault="00943743">
      <w:pPr>
        <w:spacing w:line="240" w:lineRule="auto"/>
        <w:ind w:right="-2"/>
        <w:rPr>
          <w:szCs w:val="22"/>
        </w:rPr>
      </w:pPr>
      <w:r w:rsidRPr="00183B5F">
        <w:rPr>
          <w:b/>
          <w:szCs w:val="22"/>
        </w:rPr>
        <w:t>4.</w:t>
      </w:r>
      <w:r w:rsidRPr="00183B5F">
        <w:rPr>
          <w:b/>
          <w:szCs w:val="22"/>
        </w:rPr>
        <w:tab/>
        <w:t>Lehetséges mellékhatások</w:t>
      </w:r>
    </w:p>
    <w:p w14:paraId="3993DE2F" w14:textId="77777777" w:rsidR="00366005" w:rsidRPr="00183B5F" w:rsidRDefault="00366005">
      <w:pPr>
        <w:spacing w:line="240" w:lineRule="auto"/>
        <w:ind w:right="-29"/>
        <w:rPr>
          <w:szCs w:val="22"/>
        </w:rPr>
      </w:pPr>
    </w:p>
    <w:p w14:paraId="78BF928E" w14:textId="77777777" w:rsidR="00366005" w:rsidRPr="00183B5F" w:rsidRDefault="00943743">
      <w:pPr>
        <w:spacing w:line="240" w:lineRule="auto"/>
        <w:ind w:right="-2"/>
        <w:rPr>
          <w:szCs w:val="22"/>
        </w:rPr>
      </w:pPr>
      <w:r w:rsidRPr="00183B5F">
        <w:rPr>
          <w:szCs w:val="22"/>
        </w:rPr>
        <w:t>Mint minden gyógyszer, így ez a gyógyszer is okozhat mellékhatásokat, amelyek azonban nem mindenkinél jelentkeznek. A legtöbb mellékhatás enyhe vagy közepes fokú. Néhány esetben kezelést igénylő, súlyos mellékhatás is előfordulhat. A mellékhatások az utolsó Humira injekciót követően legalább 4 hónapig még bekövetkezhetnek.</w:t>
      </w:r>
    </w:p>
    <w:p w14:paraId="6866377C" w14:textId="77777777" w:rsidR="00366005" w:rsidRPr="00183B5F" w:rsidRDefault="00366005">
      <w:pPr>
        <w:spacing w:line="240" w:lineRule="auto"/>
        <w:ind w:right="-2"/>
        <w:rPr>
          <w:szCs w:val="22"/>
        </w:rPr>
      </w:pPr>
    </w:p>
    <w:p w14:paraId="346B9173" w14:textId="77777777" w:rsidR="00366005" w:rsidRPr="00183B5F" w:rsidRDefault="00943743" w:rsidP="002D49EE">
      <w:pPr>
        <w:keepNext/>
        <w:spacing w:line="240" w:lineRule="auto"/>
        <w:rPr>
          <w:szCs w:val="22"/>
        </w:rPr>
      </w:pPr>
      <w:r w:rsidRPr="00183B5F">
        <w:rPr>
          <w:b/>
          <w:szCs w:val="22"/>
        </w:rPr>
        <w:t>Közölje azonnal kezelőorvosával, ha az alábbiak közül bármit észlel:</w:t>
      </w:r>
    </w:p>
    <w:p w14:paraId="1DB7B6DB" w14:textId="77777777" w:rsidR="00366005" w:rsidRPr="00183B5F" w:rsidRDefault="00366005" w:rsidP="002D49EE">
      <w:pPr>
        <w:keepNext/>
        <w:spacing w:line="240" w:lineRule="auto"/>
        <w:rPr>
          <w:szCs w:val="22"/>
        </w:rPr>
      </w:pPr>
    </w:p>
    <w:p w14:paraId="2BEEAD60" w14:textId="77777777" w:rsidR="00366005" w:rsidRPr="00183B5F" w:rsidRDefault="00943743" w:rsidP="002D49EE">
      <w:pPr>
        <w:keepNext/>
        <w:numPr>
          <w:ilvl w:val="0"/>
          <w:numId w:val="168"/>
        </w:numPr>
        <w:spacing w:line="240" w:lineRule="auto"/>
        <w:rPr>
          <w:szCs w:val="22"/>
        </w:rPr>
      </w:pPr>
      <w:r w:rsidRPr="00183B5F">
        <w:rPr>
          <w:szCs w:val="22"/>
        </w:rPr>
        <w:t xml:space="preserve">súlyos </w:t>
      </w:r>
      <w:r w:rsidR="004C50B5" w:rsidRPr="00183B5F">
        <w:rPr>
          <w:szCs w:val="22"/>
        </w:rPr>
        <w:t>bőr</w:t>
      </w:r>
      <w:r w:rsidRPr="00183B5F">
        <w:rPr>
          <w:szCs w:val="22"/>
        </w:rPr>
        <w:t>kiütés, csalánkiütés vagy más allergiára utaló tünet;</w:t>
      </w:r>
    </w:p>
    <w:p w14:paraId="7E7E1017" w14:textId="77777777" w:rsidR="00366005" w:rsidRPr="00183B5F" w:rsidRDefault="00943743">
      <w:pPr>
        <w:numPr>
          <w:ilvl w:val="0"/>
          <w:numId w:val="168"/>
        </w:numPr>
        <w:spacing w:line="240" w:lineRule="auto"/>
        <w:rPr>
          <w:szCs w:val="22"/>
        </w:rPr>
      </w:pPr>
      <w:r w:rsidRPr="00183B5F">
        <w:rPr>
          <w:szCs w:val="22"/>
        </w:rPr>
        <w:t>duzzanat az arcon, k</w:t>
      </w:r>
      <w:r w:rsidR="004C50B5" w:rsidRPr="00183B5F">
        <w:rPr>
          <w:szCs w:val="22"/>
        </w:rPr>
        <w:t>ézen</w:t>
      </w:r>
      <w:r w:rsidRPr="00183B5F">
        <w:rPr>
          <w:szCs w:val="22"/>
        </w:rPr>
        <w:t xml:space="preserve"> vagy láb</w:t>
      </w:r>
      <w:r w:rsidR="004C50B5" w:rsidRPr="00183B5F">
        <w:rPr>
          <w:szCs w:val="22"/>
        </w:rPr>
        <w:t>on</w:t>
      </w:r>
      <w:r w:rsidRPr="00183B5F">
        <w:rPr>
          <w:szCs w:val="22"/>
        </w:rPr>
        <w:t>;</w:t>
      </w:r>
    </w:p>
    <w:p w14:paraId="453C48DA" w14:textId="77777777" w:rsidR="00366005" w:rsidRPr="00183B5F" w:rsidRDefault="00943743">
      <w:pPr>
        <w:numPr>
          <w:ilvl w:val="0"/>
          <w:numId w:val="168"/>
        </w:numPr>
        <w:spacing w:line="240" w:lineRule="auto"/>
        <w:rPr>
          <w:szCs w:val="22"/>
        </w:rPr>
      </w:pPr>
      <w:r w:rsidRPr="00183B5F">
        <w:rPr>
          <w:szCs w:val="22"/>
        </w:rPr>
        <w:t>nehézlégzés vagy nehézség a nyelés során;</w:t>
      </w:r>
    </w:p>
    <w:p w14:paraId="34C3AED5" w14:textId="77777777" w:rsidR="00366005" w:rsidRPr="00183B5F" w:rsidRDefault="00943743">
      <w:pPr>
        <w:numPr>
          <w:ilvl w:val="0"/>
          <w:numId w:val="168"/>
        </w:numPr>
        <w:spacing w:line="240" w:lineRule="auto"/>
        <w:rPr>
          <w:szCs w:val="22"/>
        </w:rPr>
      </w:pPr>
      <w:r w:rsidRPr="00183B5F">
        <w:rPr>
          <w:szCs w:val="22"/>
        </w:rPr>
        <w:t>megerőltetéskor vagy lefekvéskor jelentkező nehézlégzés, vagy lábdagadás.</w:t>
      </w:r>
    </w:p>
    <w:p w14:paraId="521700D6" w14:textId="77777777" w:rsidR="00366005" w:rsidRPr="00183B5F" w:rsidRDefault="00366005">
      <w:pPr>
        <w:spacing w:line="240" w:lineRule="auto"/>
        <w:ind w:right="-29"/>
        <w:rPr>
          <w:szCs w:val="22"/>
        </w:rPr>
      </w:pPr>
    </w:p>
    <w:p w14:paraId="5787FB51" w14:textId="77777777" w:rsidR="00366005" w:rsidRPr="00183B5F" w:rsidRDefault="00943743">
      <w:pPr>
        <w:keepNext/>
        <w:spacing w:line="240" w:lineRule="auto"/>
        <w:rPr>
          <w:szCs w:val="22"/>
        </w:rPr>
      </w:pPr>
      <w:r w:rsidRPr="00183B5F">
        <w:rPr>
          <w:b/>
          <w:szCs w:val="22"/>
        </w:rPr>
        <w:t>Közölje kezelőorvosával amint lehetséges, ha a</w:t>
      </w:r>
      <w:r w:rsidR="0073731A" w:rsidRPr="00183B5F">
        <w:rPr>
          <w:b/>
          <w:szCs w:val="22"/>
        </w:rPr>
        <w:t>z alábbiak közül bármit észlel:</w:t>
      </w:r>
    </w:p>
    <w:p w14:paraId="16C129A5" w14:textId="77777777" w:rsidR="00366005" w:rsidRPr="00183B5F" w:rsidRDefault="00366005">
      <w:pPr>
        <w:keepNext/>
        <w:spacing w:line="240" w:lineRule="auto"/>
        <w:rPr>
          <w:szCs w:val="22"/>
        </w:rPr>
      </w:pPr>
    </w:p>
    <w:p w14:paraId="0B6762E8" w14:textId="77777777" w:rsidR="00366005" w:rsidRPr="00183B5F" w:rsidRDefault="00943743">
      <w:pPr>
        <w:numPr>
          <w:ilvl w:val="0"/>
          <w:numId w:val="169"/>
        </w:numPr>
        <w:spacing w:line="240" w:lineRule="auto"/>
        <w:ind w:right="-2"/>
        <w:rPr>
          <w:szCs w:val="22"/>
        </w:rPr>
      </w:pPr>
      <w:r w:rsidRPr="00183B5F">
        <w:rPr>
          <w:szCs w:val="22"/>
        </w:rPr>
        <w:t>fertőzésre utaló tünet, mint láz, rossz közérzet, sebek</w:t>
      </w:r>
      <w:r w:rsidRPr="00183B5F">
        <w:rPr>
          <w:i/>
          <w:szCs w:val="22"/>
        </w:rPr>
        <w:t xml:space="preserve">, </w:t>
      </w:r>
      <w:r w:rsidRPr="00183B5F">
        <w:rPr>
          <w:szCs w:val="22"/>
        </w:rPr>
        <w:t>fogászati problémák, vizeléskor jelentkező égő érzés;</w:t>
      </w:r>
    </w:p>
    <w:p w14:paraId="184A0818" w14:textId="77777777" w:rsidR="00366005" w:rsidRPr="00183B5F" w:rsidRDefault="00943743">
      <w:pPr>
        <w:numPr>
          <w:ilvl w:val="0"/>
          <w:numId w:val="169"/>
        </w:numPr>
        <w:spacing w:line="240" w:lineRule="auto"/>
        <w:ind w:right="-2"/>
        <w:rPr>
          <w:szCs w:val="22"/>
        </w:rPr>
      </w:pPr>
      <w:r w:rsidRPr="00183B5F">
        <w:rPr>
          <w:szCs w:val="22"/>
        </w:rPr>
        <w:t>gyengeség vagy fáradtságérzés;</w:t>
      </w:r>
    </w:p>
    <w:p w14:paraId="6B2541D4" w14:textId="77777777" w:rsidR="00366005" w:rsidRPr="00183B5F" w:rsidRDefault="00943743">
      <w:pPr>
        <w:numPr>
          <w:ilvl w:val="0"/>
          <w:numId w:val="169"/>
        </w:numPr>
        <w:spacing w:line="240" w:lineRule="auto"/>
        <w:ind w:right="-2"/>
        <w:rPr>
          <w:szCs w:val="22"/>
        </w:rPr>
      </w:pPr>
      <w:r w:rsidRPr="00183B5F">
        <w:rPr>
          <w:szCs w:val="22"/>
        </w:rPr>
        <w:t>köhögés;</w:t>
      </w:r>
    </w:p>
    <w:p w14:paraId="0F5B5C4D" w14:textId="77777777" w:rsidR="00366005" w:rsidRPr="00183B5F" w:rsidRDefault="00943743">
      <w:pPr>
        <w:numPr>
          <w:ilvl w:val="0"/>
          <w:numId w:val="169"/>
        </w:numPr>
        <w:spacing w:line="240" w:lineRule="auto"/>
        <w:ind w:right="-2"/>
        <w:rPr>
          <w:szCs w:val="22"/>
        </w:rPr>
      </w:pPr>
      <w:r w:rsidRPr="00183B5F">
        <w:rPr>
          <w:szCs w:val="22"/>
        </w:rPr>
        <w:t>fülzúgás;</w:t>
      </w:r>
    </w:p>
    <w:p w14:paraId="3EF0BA3C" w14:textId="77777777" w:rsidR="00366005" w:rsidRPr="00183B5F" w:rsidRDefault="00943743">
      <w:pPr>
        <w:numPr>
          <w:ilvl w:val="0"/>
          <w:numId w:val="169"/>
        </w:numPr>
        <w:spacing w:line="240" w:lineRule="auto"/>
        <w:ind w:right="-2"/>
        <w:rPr>
          <w:szCs w:val="22"/>
        </w:rPr>
      </w:pPr>
      <w:r w:rsidRPr="00183B5F">
        <w:rPr>
          <w:szCs w:val="22"/>
        </w:rPr>
        <w:t>zsibbadás;</w:t>
      </w:r>
    </w:p>
    <w:p w14:paraId="3425557B" w14:textId="77777777" w:rsidR="00366005" w:rsidRPr="00183B5F" w:rsidRDefault="00943743">
      <w:pPr>
        <w:numPr>
          <w:ilvl w:val="0"/>
          <w:numId w:val="169"/>
        </w:numPr>
        <w:spacing w:line="240" w:lineRule="auto"/>
        <w:ind w:right="-2"/>
        <w:rPr>
          <w:szCs w:val="22"/>
        </w:rPr>
      </w:pPr>
      <w:r w:rsidRPr="00183B5F">
        <w:rPr>
          <w:szCs w:val="22"/>
        </w:rPr>
        <w:t>kettőslátás;</w:t>
      </w:r>
    </w:p>
    <w:p w14:paraId="174D26AE" w14:textId="77777777" w:rsidR="00366005" w:rsidRPr="00183B5F" w:rsidRDefault="00943743">
      <w:pPr>
        <w:numPr>
          <w:ilvl w:val="0"/>
          <w:numId w:val="169"/>
        </w:numPr>
        <w:spacing w:line="240" w:lineRule="auto"/>
        <w:ind w:right="-2"/>
        <w:rPr>
          <w:szCs w:val="22"/>
        </w:rPr>
      </w:pPr>
      <w:r w:rsidRPr="00183B5F">
        <w:rPr>
          <w:szCs w:val="22"/>
        </w:rPr>
        <w:t>kar</w:t>
      </w:r>
      <w:r w:rsidR="0029438F" w:rsidRPr="00183B5F">
        <w:rPr>
          <w:szCs w:val="22"/>
        </w:rPr>
        <w:t>-</w:t>
      </w:r>
      <w:r w:rsidRPr="00183B5F">
        <w:rPr>
          <w:szCs w:val="22"/>
        </w:rPr>
        <w:t xml:space="preserve"> vagy lábgyengeség;</w:t>
      </w:r>
    </w:p>
    <w:p w14:paraId="05D19045" w14:textId="77777777" w:rsidR="00366005" w:rsidRPr="00183B5F" w:rsidRDefault="00943743">
      <w:pPr>
        <w:numPr>
          <w:ilvl w:val="0"/>
          <w:numId w:val="169"/>
        </w:numPr>
        <w:spacing w:line="240" w:lineRule="auto"/>
        <w:ind w:right="-2"/>
        <w:rPr>
          <w:szCs w:val="22"/>
        </w:rPr>
      </w:pPr>
      <w:r w:rsidRPr="00183B5F">
        <w:rPr>
          <w:szCs w:val="22"/>
        </w:rPr>
        <w:t>duzzanat vagy nyílt fekély, amelyik nem gyógyul;</w:t>
      </w:r>
    </w:p>
    <w:p w14:paraId="53985D3D" w14:textId="77777777" w:rsidR="00366005" w:rsidRPr="00183B5F" w:rsidRDefault="00943743">
      <w:pPr>
        <w:numPr>
          <w:ilvl w:val="0"/>
          <w:numId w:val="169"/>
        </w:numPr>
        <w:spacing w:line="240" w:lineRule="auto"/>
        <w:ind w:right="-29"/>
        <w:rPr>
          <w:szCs w:val="22"/>
        </w:rPr>
      </w:pPr>
      <w:r w:rsidRPr="00183B5F">
        <w:rPr>
          <w:szCs w:val="22"/>
        </w:rPr>
        <w:t>vérképzőszervi betegségre jellemző jelek és tünetek, mint állandó láz, véraláfutás, vérzés, sápadtság.</w:t>
      </w:r>
    </w:p>
    <w:p w14:paraId="173DD384" w14:textId="77777777" w:rsidR="00366005" w:rsidRPr="00183B5F" w:rsidRDefault="00366005">
      <w:pPr>
        <w:spacing w:line="240" w:lineRule="auto"/>
        <w:ind w:right="-29"/>
        <w:rPr>
          <w:szCs w:val="22"/>
        </w:rPr>
      </w:pPr>
    </w:p>
    <w:p w14:paraId="39E82713" w14:textId="77777777" w:rsidR="00366005" w:rsidRPr="00183B5F" w:rsidRDefault="00943743">
      <w:pPr>
        <w:spacing w:line="240" w:lineRule="auto"/>
        <w:ind w:right="-2"/>
        <w:rPr>
          <w:szCs w:val="22"/>
        </w:rPr>
      </w:pPr>
      <w:r w:rsidRPr="00183B5F">
        <w:rPr>
          <w:szCs w:val="22"/>
        </w:rPr>
        <w:t>A fent leírt tünetek az alábbiakban felsorolt mellékhatások jelei is lehetnek, melyeket a Humira alkalmazása során észleltek:</w:t>
      </w:r>
    </w:p>
    <w:p w14:paraId="1A2FDF9E" w14:textId="77777777" w:rsidR="00366005" w:rsidRPr="00183B5F" w:rsidRDefault="00366005">
      <w:pPr>
        <w:spacing w:line="240" w:lineRule="auto"/>
        <w:ind w:right="-2"/>
        <w:rPr>
          <w:szCs w:val="22"/>
        </w:rPr>
      </w:pPr>
    </w:p>
    <w:p w14:paraId="39A27076" w14:textId="77777777" w:rsidR="00366005" w:rsidRPr="00183B5F" w:rsidRDefault="00943743">
      <w:pPr>
        <w:spacing w:line="240" w:lineRule="auto"/>
        <w:ind w:right="-2"/>
        <w:rPr>
          <w:szCs w:val="22"/>
        </w:rPr>
      </w:pPr>
      <w:r w:rsidRPr="00183B5F">
        <w:rPr>
          <w:b/>
          <w:szCs w:val="22"/>
        </w:rPr>
        <w:t>Nagyon gyakori</w:t>
      </w:r>
      <w:r w:rsidRPr="00183B5F">
        <w:rPr>
          <w:szCs w:val="22"/>
        </w:rPr>
        <w:t xml:space="preserve"> (10 beteg közül több mint 1</w:t>
      </w:r>
      <w:r w:rsidRPr="00183B5F">
        <w:rPr>
          <w:szCs w:val="22"/>
        </w:rPr>
        <w:noBreakHyphen/>
        <w:t>nél kialakuló)</w:t>
      </w:r>
    </w:p>
    <w:p w14:paraId="27C14452" w14:textId="77777777" w:rsidR="00366005" w:rsidRPr="00183B5F" w:rsidRDefault="00366005">
      <w:pPr>
        <w:spacing w:line="240" w:lineRule="auto"/>
        <w:ind w:right="-2"/>
        <w:rPr>
          <w:szCs w:val="22"/>
        </w:rPr>
      </w:pPr>
    </w:p>
    <w:p w14:paraId="3C66D561" w14:textId="77777777" w:rsidR="00366005" w:rsidRPr="00183B5F" w:rsidRDefault="00943743">
      <w:pPr>
        <w:numPr>
          <w:ilvl w:val="0"/>
          <w:numId w:val="170"/>
        </w:numPr>
        <w:spacing w:line="240" w:lineRule="auto"/>
        <w:ind w:right="-2"/>
        <w:rPr>
          <w:szCs w:val="22"/>
        </w:rPr>
      </w:pPr>
      <w:r w:rsidRPr="00183B5F">
        <w:rPr>
          <w:szCs w:val="22"/>
        </w:rPr>
        <w:t>helyi reakció az injekció beadásának helyén (beleértve fájdalom, duzzadás, vörösség vagy viszketés);</w:t>
      </w:r>
    </w:p>
    <w:p w14:paraId="5014D10A" w14:textId="77777777" w:rsidR="00366005" w:rsidRPr="00183B5F" w:rsidRDefault="00943743">
      <w:pPr>
        <w:numPr>
          <w:ilvl w:val="0"/>
          <w:numId w:val="170"/>
        </w:numPr>
        <w:suppressAutoHyphens w:val="0"/>
        <w:spacing w:line="240" w:lineRule="auto"/>
        <w:rPr>
          <w:szCs w:val="22"/>
        </w:rPr>
      </w:pPr>
      <w:r w:rsidRPr="00183B5F">
        <w:rPr>
          <w:szCs w:val="22"/>
        </w:rPr>
        <w:t>légúti fertőzések (beleértve a megfázást, orrfolyást, melléküreg-gyulladást, tüdőgyulladást is);</w:t>
      </w:r>
    </w:p>
    <w:p w14:paraId="49A44E90" w14:textId="77777777" w:rsidR="00366005" w:rsidRPr="00183B5F" w:rsidRDefault="00943743">
      <w:pPr>
        <w:numPr>
          <w:ilvl w:val="0"/>
          <w:numId w:val="170"/>
        </w:numPr>
        <w:suppressAutoHyphens w:val="0"/>
        <w:spacing w:line="240" w:lineRule="auto"/>
      </w:pPr>
      <w:r w:rsidRPr="00183B5F">
        <w:t>fejfájás;</w:t>
      </w:r>
    </w:p>
    <w:p w14:paraId="3F66D3A9" w14:textId="77777777" w:rsidR="00366005" w:rsidRPr="00183B5F" w:rsidRDefault="00943743">
      <w:pPr>
        <w:numPr>
          <w:ilvl w:val="0"/>
          <w:numId w:val="170"/>
        </w:numPr>
        <w:suppressAutoHyphens w:val="0"/>
        <w:spacing w:line="240" w:lineRule="auto"/>
      </w:pPr>
      <w:r w:rsidRPr="00183B5F">
        <w:t>hasi fájdalom;</w:t>
      </w:r>
    </w:p>
    <w:p w14:paraId="66D2E311" w14:textId="77777777" w:rsidR="00366005" w:rsidRPr="00183B5F" w:rsidRDefault="00943743">
      <w:pPr>
        <w:numPr>
          <w:ilvl w:val="0"/>
          <w:numId w:val="170"/>
        </w:numPr>
        <w:suppressAutoHyphens w:val="0"/>
        <w:spacing w:line="240" w:lineRule="auto"/>
      </w:pPr>
      <w:r w:rsidRPr="00183B5F">
        <w:t>hányinger és hányás;</w:t>
      </w:r>
    </w:p>
    <w:p w14:paraId="435DF9DD" w14:textId="77777777" w:rsidR="00366005" w:rsidRPr="00183B5F" w:rsidRDefault="00943743">
      <w:pPr>
        <w:numPr>
          <w:ilvl w:val="0"/>
          <w:numId w:val="170"/>
        </w:numPr>
        <w:suppressAutoHyphens w:val="0"/>
        <w:spacing w:line="240" w:lineRule="auto"/>
      </w:pPr>
      <w:r w:rsidRPr="00183B5F">
        <w:t>bőrkiütés;</w:t>
      </w:r>
    </w:p>
    <w:p w14:paraId="07476257" w14:textId="77777777" w:rsidR="00366005" w:rsidRPr="00183B5F" w:rsidRDefault="00943743">
      <w:pPr>
        <w:numPr>
          <w:ilvl w:val="0"/>
          <w:numId w:val="170"/>
        </w:numPr>
        <w:suppressAutoHyphens w:val="0"/>
        <w:spacing w:line="240" w:lineRule="auto"/>
      </w:pPr>
      <w:r w:rsidRPr="00183B5F">
        <w:t>mozgásszervi eredetű fájdalom.</w:t>
      </w:r>
    </w:p>
    <w:p w14:paraId="589448EB" w14:textId="77777777" w:rsidR="00366005" w:rsidRPr="00183B5F" w:rsidRDefault="00366005">
      <w:pPr>
        <w:spacing w:line="240" w:lineRule="auto"/>
        <w:ind w:right="-2"/>
        <w:rPr>
          <w:szCs w:val="22"/>
        </w:rPr>
      </w:pPr>
    </w:p>
    <w:p w14:paraId="4BBE4ABE" w14:textId="77777777" w:rsidR="00366005" w:rsidRPr="00183B5F" w:rsidRDefault="00943743">
      <w:pPr>
        <w:spacing w:line="240" w:lineRule="auto"/>
        <w:ind w:right="-2"/>
        <w:rPr>
          <w:szCs w:val="22"/>
        </w:rPr>
      </w:pPr>
      <w:r w:rsidRPr="00183B5F">
        <w:rPr>
          <w:b/>
          <w:szCs w:val="22"/>
        </w:rPr>
        <w:t>Gyakori</w:t>
      </w:r>
      <w:r w:rsidRPr="00183B5F">
        <w:rPr>
          <w:szCs w:val="22"/>
        </w:rPr>
        <w:t xml:space="preserve"> (10 beteg közül legfeljebb 1</w:t>
      </w:r>
      <w:r w:rsidRPr="00183B5F">
        <w:rPr>
          <w:szCs w:val="22"/>
        </w:rPr>
        <w:noBreakHyphen/>
        <w:t>nél kialakuló)</w:t>
      </w:r>
    </w:p>
    <w:p w14:paraId="5E464006" w14:textId="77777777" w:rsidR="00366005" w:rsidRPr="00183B5F" w:rsidRDefault="00366005">
      <w:pPr>
        <w:spacing w:line="240" w:lineRule="auto"/>
        <w:ind w:right="-2"/>
        <w:rPr>
          <w:szCs w:val="22"/>
        </w:rPr>
      </w:pPr>
    </w:p>
    <w:p w14:paraId="481320B0" w14:textId="77777777" w:rsidR="00366005" w:rsidRPr="00183B5F" w:rsidRDefault="00943743">
      <w:pPr>
        <w:numPr>
          <w:ilvl w:val="0"/>
          <w:numId w:val="171"/>
        </w:numPr>
        <w:tabs>
          <w:tab w:val="clear" w:pos="567"/>
          <w:tab w:val="left" w:pos="562"/>
        </w:tabs>
        <w:spacing w:line="240" w:lineRule="auto"/>
        <w:ind w:right="-2"/>
        <w:rPr>
          <w:szCs w:val="22"/>
        </w:rPr>
      </w:pPr>
      <w:r w:rsidRPr="00183B5F">
        <w:rPr>
          <w:szCs w:val="22"/>
        </w:rPr>
        <w:t>súlyos fertőzések (beleértve a vérmérgezést és az influenzát is);</w:t>
      </w:r>
    </w:p>
    <w:p w14:paraId="20D9D91B" w14:textId="77777777" w:rsidR="00366005" w:rsidRPr="00183B5F" w:rsidRDefault="00943743">
      <w:pPr>
        <w:numPr>
          <w:ilvl w:val="0"/>
          <w:numId w:val="171"/>
        </w:numPr>
        <w:tabs>
          <w:tab w:val="clear" w:pos="567"/>
          <w:tab w:val="left" w:pos="562"/>
        </w:tabs>
        <w:spacing w:line="240" w:lineRule="auto"/>
        <w:ind w:right="-2"/>
        <w:rPr>
          <w:szCs w:val="22"/>
        </w:rPr>
      </w:pPr>
      <w:r w:rsidRPr="00183B5F">
        <w:rPr>
          <w:szCs w:val="22"/>
        </w:rPr>
        <w:t>bélfertőzések (beleértve a gyomor-bélgyulladást);</w:t>
      </w:r>
    </w:p>
    <w:p w14:paraId="606A9A21" w14:textId="77777777" w:rsidR="00366005" w:rsidRPr="00183B5F" w:rsidRDefault="00943743">
      <w:pPr>
        <w:numPr>
          <w:ilvl w:val="0"/>
          <w:numId w:val="171"/>
        </w:numPr>
        <w:tabs>
          <w:tab w:val="clear" w:pos="567"/>
          <w:tab w:val="left" w:pos="562"/>
        </w:tabs>
        <w:spacing w:line="240" w:lineRule="auto"/>
        <w:ind w:right="-2"/>
        <w:rPr>
          <w:szCs w:val="22"/>
        </w:rPr>
      </w:pPr>
      <w:r w:rsidRPr="00183B5F">
        <w:rPr>
          <w:szCs w:val="22"/>
        </w:rPr>
        <w:t>bőrfertőzések (beleértve a kötőszövet-gyulladást és az övsömört is);</w:t>
      </w:r>
    </w:p>
    <w:p w14:paraId="74A7BC1A" w14:textId="77777777" w:rsidR="00366005" w:rsidRPr="00183B5F" w:rsidRDefault="00943743">
      <w:pPr>
        <w:numPr>
          <w:ilvl w:val="0"/>
          <w:numId w:val="171"/>
        </w:numPr>
        <w:tabs>
          <w:tab w:val="clear" w:pos="567"/>
          <w:tab w:val="left" w:pos="562"/>
        </w:tabs>
        <w:spacing w:line="240" w:lineRule="auto"/>
        <w:ind w:right="-2"/>
      </w:pPr>
      <w:r w:rsidRPr="00183B5F">
        <w:t>fülfertőzések;</w:t>
      </w:r>
    </w:p>
    <w:p w14:paraId="61E822A9" w14:textId="77777777" w:rsidR="00366005" w:rsidRPr="00183B5F" w:rsidRDefault="00943743">
      <w:pPr>
        <w:numPr>
          <w:ilvl w:val="0"/>
          <w:numId w:val="171"/>
        </w:numPr>
        <w:tabs>
          <w:tab w:val="clear" w:pos="567"/>
          <w:tab w:val="left" w:pos="562"/>
        </w:tabs>
        <w:spacing w:line="240" w:lineRule="auto"/>
        <w:ind w:right="-2"/>
      </w:pPr>
      <w:r w:rsidRPr="00183B5F">
        <w:t>szájüregi fertőzések (beleértve a fogfertőzéseket és az ajakherpeszt is);</w:t>
      </w:r>
    </w:p>
    <w:p w14:paraId="218698EB" w14:textId="77777777" w:rsidR="00366005" w:rsidRPr="00183B5F" w:rsidRDefault="00943743">
      <w:pPr>
        <w:numPr>
          <w:ilvl w:val="0"/>
          <w:numId w:val="171"/>
        </w:numPr>
        <w:tabs>
          <w:tab w:val="clear" w:pos="567"/>
          <w:tab w:val="left" w:pos="562"/>
        </w:tabs>
        <w:spacing w:line="240" w:lineRule="auto"/>
        <w:ind w:right="-2"/>
      </w:pPr>
      <w:r w:rsidRPr="00183B5F">
        <w:t>a nemi</w:t>
      </w:r>
      <w:r w:rsidR="00CE5CC7" w:rsidRPr="00183B5F">
        <w:t xml:space="preserve"> </w:t>
      </w:r>
      <w:r w:rsidRPr="00183B5F">
        <w:t>szervek fertőzései;</w:t>
      </w:r>
    </w:p>
    <w:p w14:paraId="43A53BF3" w14:textId="77777777" w:rsidR="00366005" w:rsidRPr="00183B5F" w:rsidRDefault="00943743">
      <w:pPr>
        <w:numPr>
          <w:ilvl w:val="0"/>
          <w:numId w:val="171"/>
        </w:numPr>
        <w:spacing w:line="240" w:lineRule="auto"/>
        <w:ind w:right="-2"/>
      </w:pPr>
      <w:r w:rsidRPr="00183B5F">
        <w:t>húgyúti fertőzések;</w:t>
      </w:r>
    </w:p>
    <w:p w14:paraId="34F9A52E" w14:textId="77777777" w:rsidR="00366005" w:rsidRPr="00183B5F" w:rsidRDefault="00943743">
      <w:pPr>
        <w:numPr>
          <w:ilvl w:val="0"/>
          <w:numId w:val="171"/>
        </w:numPr>
        <w:spacing w:line="240" w:lineRule="auto"/>
        <w:ind w:right="-2"/>
      </w:pPr>
      <w:r w:rsidRPr="00183B5F">
        <w:t>gombás fertőzések;</w:t>
      </w:r>
    </w:p>
    <w:p w14:paraId="6842AF9F" w14:textId="77777777" w:rsidR="00366005" w:rsidRPr="00183B5F" w:rsidRDefault="00943743">
      <w:pPr>
        <w:numPr>
          <w:ilvl w:val="0"/>
          <w:numId w:val="171"/>
        </w:numPr>
        <w:spacing w:line="240" w:lineRule="auto"/>
        <w:ind w:right="-2"/>
      </w:pPr>
      <w:r w:rsidRPr="00183B5F">
        <w:t>ízületi fertőzések;</w:t>
      </w:r>
    </w:p>
    <w:p w14:paraId="615865C3" w14:textId="77777777" w:rsidR="00366005" w:rsidRPr="00183B5F" w:rsidRDefault="00943743">
      <w:pPr>
        <w:numPr>
          <w:ilvl w:val="0"/>
          <w:numId w:val="171"/>
        </w:numPr>
        <w:tabs>
          <w:tab w:val="clear" w:pos="567"/>
          <w:tab w:val="left" w:pos="562"/>
        </w:tabs>
        <w:spacing w:line="240" w:lineRule="auto"/>
        <w:ind w:right="-2"/>
      </w:pPr>
      <w:r w:rsidRPr="00183B5F">
        <w:t>jóindulatú daganatok;</w:t>
      </w:r>
    </w:p>
    <w:p w14:paraId="1744E579" w14:textId="77777777" w:rsidR="00366005" w:rsidRPr="00183B5F" w:rsidRDefault="00943743">
      <w:pPr>
        <w:numPr>
          <w:ilvl w:val="0"/>
          <w:numId w:val="171"/>
        </w:numPr>
        <w:tabs>
          <w:tab w:val="clear" w:pos="567"/>
          <w:tab w:val="left" w:pos="562"/>
        </w:tabs>
        <w:spacing w:line="240" w:lineRule="auto"/>
        <w:ind w:right="-2"/>
      </w:pPr>
      <w:r w:rsidRPr="00183B5F">
        <w:t>bőrrák;</w:t>
      </w:r>
    </w:p>
    <w:p w14:paraId="4924218E" w14:textId="77777777" w:rsidR="00366005" w:rsidRPr="00183B5F" w:rsidRDefault="00943743">
      <w:pPr>
        <w:numPr>
          <w:ilvl w:val="0"/>
          <w:numId w:val="171"/>
        </w:numPr>
        <w:tabs>
          <w:tab w:val="clear" w:pos="567"/>
          <w:tab w:val="left" w:pos="562"/>
        </w:tabs>
        <w:spacing w:line="240" w:lineRule="auto"/>
        <w:ind w:right="-2"/>
      </w:pPr>
      <w:r w:rsidRPr="00183B5F">
        <w:t>allergiás reakciók (beleértve a szezonális allergiát is);</w:t>
      </w:r>
    </w:p>
    <w:p w14:paraId="0A28332F" w14:textId="77777777" w:rsidR="00366005" w:rsidRPr="00183B5F" w:rsidRDefault="00943743">
      <w:pPr>
        <w:numPr>
          <w:ilvl w:val="0"/>
          <w:numId w:val="171"/>
        </w:numPr>
        <w:tabs>
          <w:tab w:val="clear" w:pos="567"/>
          <w:tab w:val="left" w:pos="562"/>
        </w:tabs>
        <w:spacing w:line="240" w:lineRule="auto"/>
        <w:ind w:right="-2"/>
      </w:pPr>
      <w:r w:rsidRPr="00183B5F">
        <w:rPr>
          <w:szCs w:val="22"/>
        </w:rPr>
        <w:t>kiszáradás;</w:t>
      </w:r>
    </w:p>
    <w:p w14:paraId="43404972" w14:textId="77777777" w:rsidR="00366005" w:rsidRPr="00183B5F" w:rsidRDefault="00943743">
      <w:pPr>
        <w:numPr>
          <w:ilvl w:val="0"/>
          <w:numId w:val="171"/>
        </w:numPr>
        <w:tabs>
          <w:tab w:val="clear" w:pos="567"/>
          <w:tab w:val="left" w:pos="562"/>
        </w:tabs>
        <w:spacing w:line="240" w:lineRule="auto"/>
        <w:ind w:right="-2"/>
      </w:pPr>
      <w:r w:rsidRPr="00183B5F">
        <w:t>hangulatváltozás (beleértve a depressziót is);</w:t>
      </w:r>
    </w:p>
    <w:p w14:paraId="144E7D2C" w14:textId="77777777" w:rsidR="00366005" w:rsidRPr="00183B5F" w:rsidRDefault="00943743">
      <w:pPr>
        <w:numPr>
          <w:ilvl w:val="0"/>
          <w:numId w:val="171"/>
        </w:numPr>
        <w:tabs>
          <w:tab w:val="clear" w:pos="567"/>
          <w:tab w:val="left" w:pos="562"/>
        </w:tabs>
        <w:spacing w:line="240" w:lineRule="auto"/>
        <w:ind w:right="-2"/>
      </w:pPr>
      <w:r w:rsidRPr="00183B5F">
        <w:t>szorongás;</w:t>
      </w:r>
    </w:p>
    <w:p w14:paraId="2224C3E6" w14:textId="77777777" w:rsidR="00366005" w:rsidRPr="00183B5F" w:rsidRDefault="00943743">
      <w:pPr>
        <w:numPr>
          <w:ilvl w:val="0"/>
          <w:numId w:val="171"/>
        </w:numPr>
        <w:tabs>
          <w:tab w:val="clear" w:pos="567"/>
          <w:tab w:val="left" w:pos="562"/>
        </w:tabs>
        <w:spacing w:line="240" w:lineRule="auto"/>
        <w:ind w:right="-2"/>
      </w:pPr>
      <w:r w:rsidRPr="00183B5F">
        <w:t>álmatlanság;</w:t>
      </w:r>
    </w:p>
    <w:p w14:paraId="777C09E5" w14:textId="77777777" w:rsidR="00366005" w:rsidRPr="00183B5F" w:rsidRDefault="00943743">
      <w:pPr>
        <w:numPr>
          <w:ilvl w:val="0"/>
          <w:numId w:val="171"/>
        </w:numPr>
        <w:tabs>
          <w:tab w:val="clear" w:pos="567"/>
          <w:tab w:val="left" w:pos="562"/>
        </w:tabs>
        <w:spacing w:line="240" w:lineRule="auto"/>
        <w:ind w:right="-2"/>
      </w:pPr>
      <w:r w:rsidRPr="00183B5F">
        <w:t>érzészavarok, például bizsergés, szurkáló érzés vagy zsibbadás;</w:t>
      </w:r>
    </w:p>
    <w:p w14:paraId="6C9490FF" w14:textId="77777777" w:rsidR="00366005" w:rsidRPr="00183B5F" w:rsidRDefault="00943743">
      <w:pPr>
        <w:numPr>
          <w:ilvl w:val="0"/>
          <w:numId w:val="171"/>
        </w:numPr>
        <w:tabs>
          <w:tab w:val="clear" w:pos="567"/>
          <w:tab w:val="left" w:pos="562"/>
        </w:tabs>
        <w:spacing w:line="240" w:lineRule="auto"/>
        <w:ind w:right="-2"/>
      </w:pPr>
      <w:r w:rsidRPr="00183B5F">
        <w:t>migrén;</w:t>
      </w:r>
    </w:p>
    <w:p w14:paraId="1A8B7BC1" w14:textId="77777777" w:rsidR="00366005" w:rsidRPr="00183B5F" w:rsidRDefault="00943743">
      <w:pPr>
        <w:numPr>
          <w:ilvl w:val="0"/>
          <w:numId w:val="171"/>
        </w:numPr>
        <w:tabs>
          <w:tab w:val="clear" w:pos="567"/>
          <w:tab w:val="left" w:pos="562"/>
        </w:tabs>
        <w:spacing w:line="240" w:lineRule="auto"/>
        <w:ind w:right="-2"/>
      </w:pPr>
      <w:r w:rsidRPr="00183B5F">
        <w:t>ideggyök nyomási tünetei (beleértve a derékfájdalmat és a lábfájást is);</w:t>
      </w:r>
    </w:p>
    <w:p w14:paraId="74174AFD" w14:textId="77777777" w:rsidR="00366005" w:rsidRPr="00183B5F" w:rsidRDefault="00943743">
      <w:pPr>
        <w:numPr>
          <w:ilvl w:val="0"/>
          <w:numId w:val="171"/>
        </w:numPr>
        <w:tabs>
          <w:tab w:val="clear" w:pos="567"/>
          <w:tab w:val="left" w:pos="562"/>
        </w:tabs>
        <w:spacing w:line="240" w:lineRule="auto"/>
        <w:ind w:right="-2"/>
      </w:pPr>
      <w:r w:rsidRPr="00183B5F">
        <w:t>látászavar;</w:t>
      </w:r>
    </w:p>
    <w:p w14:paraId="3CA4CEBC" w14:textId="77777777" w:rsidR="00366005" w:rsidRPr="00183B5F" w:rsidRDefault="00943743">
      <w:pPr>
        <w:numPr>
          <w:ilvl w:val="0"/>
          <w:numId w:val="171"/>
        </w:numPr>
        <w:tabs>
          <w:tab w:val="clear" w:pos="567"/>
          <w:tab w:val="left" w:pos="562"/>
        </w:tabs>
        <w:spacing w:line="240" w:lineRule="auto"/>
        <w:ind w:right="-2"/>
      </w:pPr>
      <w:r w:rsidRPr="00183B5F">
        <w:t>szemgyulladás;</w:t>
      </w:r>
    </w:p>
    <w:p w14:paraId="199BE1D5" w14:textId="77777777" w:rsidR="00366005" w:rsidRPr="00183B5F" w:rsidRDefault="00943743">
      <w:pPr>
        <w:numPr>
          <w:ilvl w:val="0"/>
          <w:numId w:val="171"/>
        </w:numPr>
        <w:tabs>
          <w:tab w:val="clear" w:pos="567"/>
          <w:tab w:val="left" w:pos="562"/>
        </w:tabs>
        <w:spacing w:line="240" w:lineRule="auto"/>
        <w:ind w:right="-2"/>
      </w:pPr>
      <w:r w:rsidRPr="00183B5F">
        <w:t>a szemhéj gyulladása és a szem duzzanata;</w:t>
      </w:r>
    </w:p>
    <w:p w14:paraId="0C337290" w14:textId="77777777" w:rsidR="00366005" w:rsidRPr="00183B5F" w:rsidRDefault="00943743">
      <w:pPr>
        <w:numPr>
          <w:ilvl w:val="0"/>
          <w:numId w:val="171"/>
        </w:numPr>
        <w:spacing w:line="240" w:lineRule="auto"/>
        <w:ind w:right="-2"/>
      </w:pPr>
      <w:r w:rsidRPr="00183B5F">
        <w:t>forgó jellegű szédülés;</w:t>
      </w:r>
    </w:p>
    <w:p w14:paraId="2CBEAB0C" w14:textId="77777777" w:rsidR="00366005" w:rsidRPr="00183B5F" w:rsidRDefault="00943743">
      <w:pPr>
        <w:numPr>
          <w:ilvl w:val="0"/>
          <w:numId w:val="171"/>
        </w:numPr>
        <w:tabs>
          <w:tab w:val="clear" w:pos="567"/>
          <w:tab w:val="left" w:pos="562"/>
        </w:tabs>
        <w:spacing w:line="240" w:lineRule="auto"/>
        <w:ind w:right="-2"/>
      </w:pPr>
      <w:r w:rsidRPr="00183B5F">
        <w:t>gyors szívverés-érzés;</w:t>
      </w:r>
    </w:p>
    <w:p w14:paraId="29B4AFB2" w14:textId="77777777" w:rsidR="00366005" w:rsidRPr="00183B5F" w:rsidRDefault="00943743">
      <w:pPr>
        <w:numPr>
          <w:ilvl w:val="0"/>
          <w:numId w:val="171"/>
        </w:numPr>
        <w:tabs>
          <w:tab w:val="clear" w:pos="567"/>
          <w:tab w:val="left" w:pos="562"/>
        </w:tabs>
        <w:spacing w:line="240" w:lineRule="auto"/>
        <w:ind w:right="-2"/>
      </w:pPr>
      <w:r w:rsidRPr="00183B5F">
        <w:t>magas vérnyomás;</w:t>
      </w:r>
    </w:p>
    <w:p w14:paraId="13C50C52" w14:textId="77777777" w:rsidR="00366005" w:rsidRPr="00183B5F" w:rsidRDefault="00943743">
      <w:pPr>
        <w:numPr>
          <w:ilvl w:val="0"/>
          <w:numId w:val="171"/>
        </w:numPr>
        <w:tabs>
          <w:tab w:val="clear" w:pos="567"/>
          <w:tab w:val="left" w:pos="562"/>
        </w:tabs>
        <w:spacing w:line="240" w:lineRule="auto"/>
        <w:ind w:right="-2"/>
      </w:pPr>
      <w:r w:rsidRPr="00183B5F">
        <w:t>kipirulás;</w:t>
      </w:r>
    </w:p>
    <w:p w14:paraId="0976524D" w14:textId="77777777" w:rsidR="00366005" w:rsidRPr="00183B5F" w:rsidRDefault="00943743">
      <w:pPr>
        <w:numPr>
          <w:ilvl w:val="0"/>
          <w:numId w:val="171"/>
        </w:numPr>
        <w:tabs>
          <w:tab w:val="clear" w:pos="567"/>
          <w:tab w:val="left" w:pos="562"/>
        </w:tabs>
        <w:spacing w:line="240" w:lineRule="auto"/>
        <w:ind w:right="-2"/>
      </w:pPr>
      <w:r w:rsidRPr="00183B5F">
        <w:t>vérömleny;</w:t>
      </w:r>
    </w:p>
    <w:p w14:paraId="1B400368" w14:textId="77777777" w:rsidR="00366005" w:rsidRPr="00183B5F" w:rsidRDefault="00943743">
      <w:pPr>
        <w:numPr>
          <w:ilvl w:val="0"/>
          <w:numId w:val="171"/>
        </w:numPr>
        <w:spacing w:line="240" w:lineRule="auto"/>
        <w:ind w:right="-2"/>
      </w:pPr>
      <w:r w:rsidRPr="00183B5F">
        <w:t>köhögés;</w:t>
      </w:r>
    </w:p>
    <w:p w14:paraId="01CF5F70" w14:textId="77777777" w:rsidR="00366005" w:rsidRPr="00183B5F" w:rsidRDefault="00943743">
      <w:pPr>
        <w:numPr>
          <w:ilvl w:val="0"/>
          <w:numId w:val="171"/>
        </w:numPr>
        <w:spacing w:line="240" w:lineRule="auto"/>
        <w:ind w:right="-2"/>
      </w:pPr>
      <w:r w:rsidRPr="00183B5F">
        <w:t>asztma;</w:t>
      </w:r>
    </w:p>
    <w:p w14:paraId="0B8CF713" w14:textId="77777777" w:rsidR="00366005" w:rsidRPr="00183B5F" w:rsidRDefault="00943743">
      <w:pPr>
        <w:numPr>
          <w:ilvl w:val="0"/>
          <w:numId w:val="171"/>
        </w:numPr>
        <w:spacing w:line="240" w:lineRule="auto"/>
        <w:ind w:right="-2"/>
      </w:pPr>
      <w:r w:rsidRPr="00183B5F">
        <w:t>légszomj;</w:t>
      </w:r>
    </w:p>
    <w:p w14:paraId="39EF4DE6" w14:textId="77777777" w:rsidR="00366005" w:rsidRPr="00183B5F" w:rsidRDefault="00943743">
      <w:pPr>
        <w:numPr>
          <w:ilvl w:val="0"/>
          <w:numId w:val="171"/>
        </w:numPr>
        <w:spacing w:line="240" w:lineRule="auto"/>
        <w:ind w:right="-2"/>
      </w:pPr>
      <w:r w:rsidRPr="00183B5F">
        <w:t>tápcsatorna eredetű vérzés;</w:t>
      </w:r>
    </w:p>
    <w:p w14:paraId="2C8C51A7" w14:textId="77777777" w:rsidR="00366005" w:rsidRPr="00183B5F" w:rsidRDefault="00943743">
      <w:pPr>
        <w:numPr>
          <w:ilvl w:val="0"/>
          <w:numId w:val="171"/>
        </w:numPr>
        <w:spacing w:line="240" w:lineRule="auto"/>
        <w:ind w:right="-2"/>
      </w:pPr>
      <w:r w:rsidRPr="00183B5F">
        <w:t>diszpepszia (emésztési zavar, puffadás, gyomorégés);</w:t>
      </w:r>
    </w:p>
    <w:p w14:paraId="1E254DCF" w14:textId="77777777" w:rsidR="00366005" w:rsidRPr="00183B5F" w:rsidRDefault="00943743">
      <w:pPr>
        <w:numPr>
          <w:ilvl w:val="0"/>
          <w:numId w:val="171"/>
        </w:numPr>
        <w:spacing w:line="240" w:lineRule="auto"/>
        <w:ind w:right="-2"/>
      </w:pPr>
      <w:r w:rsidRPr="00183B5F">
        <w:t>a gyomorsav visszafolyása a nyelőcsőbe;</w:t>
      </w:r>
    </w:p>
    <w:p w14:paraId="1826C562" w14:textId="77777777" w:rsidR="00366005" w:rsidRPr="00183B5F" w:rsidRDefault="00943743">
      <w:pPr>
        <w:numPr>
          <w:ilvl w:val="0"/>
          <w:numId w:val="171"/>
        </w:numPr>
        <w:spacing w:line="240" w:lineRule="auto"/>
        <w:ind w:right="-2"/>
      </w:pPr>
      <w:r w:rsidRPr="00183B5F">
        <w:t>szikka-szindróma (beleértve a száraz szemet és a száraz szájat is);</w:t>
      </w:r>
    </w:p>
    <w:p w14:paraId="226F0982" w14:textId="77777777" w:rsidR="00366005" w:rsidRPr="00183B5F" w:rsidRDefault="00943743">
      <w:pPr>
        <w:numPr>
          <w:ilvl w:val="0"/>
          <w:numId w:val="171"/>
        </w:numPr>
        <w:spacing w:line="240" w:lineRule="auto"/>
        <w:ind w:right="-2"/>
      </w:pPr>
      <w:r w:rsidRPr="00183B5F">
        <w:t>bőrviszketés;</w:t>
      </w:r>
    </w:p>
    <w:p w14:paraId="18CC8FF4" w14:textId="77777777" w:rsidR="00366005" w:rsidRPr="00183B5F" w:rsidRDefault="00943743">
      <w:pPr>
        <w:numPr>
          <w:ilvl w:val="0"/>
          <w:numId w:val="171"/>
        </w:numPr>
        <w:spacing w:line="240" w:lineRule="auto"/>
        <w:ind w:right="-2"/>
      </w:pPr>
      <w:r w:rsidRPr="00183B5F">
        <w:t>viszkető bőrkiütés;</w:t>
      </w:r>
    </w:p>
    <w:p w14:paraId="7ABB414E" w14:textId="77777777" w:rsidR="00366005" w:rsidRPr="00183B5F" w:rsidRDefault="00943743">
      <w:pPr>
        <w:numPr>
          <w:ilvl w:val="0"/>
          <w:numId w:val="171"/>
        </w:numPr>
        <w:spacing w:line="240" w:lineRule="auto"/>
        <w:ind w:right="-2"/>
      </w:pPr>
      <w:r w:rsidRPr="00183B5F">
        <w:t>véraláfutás;</w:t>
      </w:r>
    </w:p>
    <w:p w14:paraId="7CC539FB" w14:textId="77777777" w:rsidR="00366005" w:rsidRPr="00183B5F" w:rsidRDefault="00943743">
      <w:pPr>
        <w:numPr>
          <w:ilvl w:val="0"/>
          <w:numId w:val="171"/>
        </w:numPr>
        <w:spacing w:line="240" w:lineRule="auto"/>
        <w:ind w:right="-2"/>
      </w:pPr>
      <w:r w:rsidRPr="00183B5F">
        <w:t>bőrgyulladás (mint például az ekcéma);</w:t>
      </w:r>
    </w:p>
    <w:p w14:paraId="354E3AB6" w14:textId="77777777" w:rsidR="00366005" w:rsidRPr="00183B5F" w:rsidRDefault="00943743">
      <w:pPr>
        <w:numPr>
          <w:ilvl w:val="0"/>
          <w:numId w:val="171"/>
        </w:numPr>
        <w:spacing w:line="240" w:lineRule="auto"/>
        <w:ind w:right="-2"/>
      </w:pPr>
      <w:r w:rsidRPr="00183B5F">
        <w:t>a kéz- és lábujjkörmök töredezése;</w:t>
      </w:r>
    </w:p>
    <w:p w14:paraId="152F1A95" w14:textId="77777777" w:rsidR="00366005" w:rsidRPr="00183B5F" w:rsidRDefault="00943743">
      <w:pPr>
        <w:numPr>
          <w:ilvl w:val="0"/>
          <w:numId w:val="171"/>
        </w:numPr>
        <w:spacing w:line="240" w:lineRule="auto"/>
        <w:ind w:right="-2"/>
      </w:pPr>
      <w:r w:rsidRPr="00183B5F">
        <w:t>fokozott verejtékezés;</w:t>
      </w:r>
    </w:p>
    <w:p w14:paraId="4B1B7E06" w14:textId="77777777" w:rsidR="00366005" w:rsidRPr="00183B5F" w:rsidRDefault="00943743">
      <w:pPr>
        <w:numPr>
          <w:ilvl w:val="0"/>
          <w:numId w:val="171"/>
        </w:numPr>
        <w:spacing w:line="240" w:lineRule="auto"/>
        <w:ind w:right="-2"/>
      </w:pPr>
      <w:r w:rsidRPr="00183B5F">
        <w:rPr>
          <w:szCs w:val="22"/>
        </w:rPr>
        <w:t>hajhullás;</w:t>
      </w:r>
    </w:p>
    <w:p w14:paraId="78BE9959" w14:textId="77777777" w:rsidR="00366005" w:rsidRPr="00183B5F" w:rsidRDefault="00943743">
      <w:pPr>
        <w:numPr>
          <w:ilvl w:val="0"/>
          <w:numId w:val="171"/>
        </w:numPr>
        <w:spacing w:line="240" w:lineRule="auto"/>
        <w:ind w:right="-2"/>
      </w:pPr>
      <w:r w:rsidRPr="00183B5F">
        <w:rPr>
          <w:szCs w:val="22"/>
        </w:rPr>
        <w:t>pikkelysömör megjelenése vagy rosszabbodása;</w:t>
      </w:r>
    </w:p>
    <w:p w14:paraId="430DDE1F" w14:textId="77777777" w:rsidR="00366005" w:rsidRPr="00183B5F" w:rsidRDefault="00943743">
      <w:pPr>
        <w:numPr>
          <w:ilvl w:val="0"/>
          <w:numId w:val="171"/>
        </w:numPr>
        <w:spacing w:line="240" w:lineRule="auto"/>
        <w:ind w:right="-2"/>
      </w:pPr>
      <w:r w:rsidRPr="00183B5F">
        <w:t>izomgörcsök;</w:t>
      </w:r>
    </w:p>
    <w:p w14:paraId="060F2F98" w14:textId="77777777" w:rsidR="00366005" w:rsidRPr="00183B5F" w:rsidRDefault="00943743">
      <w:pPr>
        <w:numPr>
          <w:ilvl w:val="0"/>
          <w:numId w:val="171"/>
        </w:numPr>
        <w:spacing w:line="240" w:lineRule="auto"/>
        <w:ind w:right="-2"/>
      </w:pPr>
      <w:r w:rsidRPr="00183B5F">
        <w:t>véres vizelet;</w:t>
      </w:r>
    </w:p>
    <w:p w14:paraId="0FA19604" w14:textId="77777777" w:rsidR="00366005" w:rsidRPr="00183B5F" w:rsidRDefault="00943743">
      <w:pPr>
        <w:numPr>
          <w:ilvl w:val="0"/>
          <w:numId w:val="171"/>
        </w:numPr>
        <w:spacing w:line="240" w:lineRule="auto"/>
        <w:ind w:right="-2"/>
      </w:pPr>
      <w:r w:rsidRPr="00183B5F">
        <w:t>veseproblémák;</w:t>
      </w:r>
    </w:p>
    <w:p w14:paraId="4504C8FB" w14:textId="77777777" w:rsidR="00366005" w:rsidRPr="00183B5F" w:rsidRDefault="00943743">
      <w:pPr>
        <w:numPr>
          <w:ilvl w:val="0"/>
          <w:numId w:val="171"/>
        </w:numPr>
        <w:spacing w:line="240" w:lineRule="auto"/>
        <w:ind w:right="-2"/>
      </w:pPr>
      <w:r w:rsidRPr="00183B5F">
        <w:t>mellkasi fájdalom;</w:t>
      </w:r>
    </w:p>
    <w:p w14:paraId="639F217E" w14:textId="77777777" w:rsidR="00366005" w:rsidRPr="00183B5F" w:rsidRDefault="00943743">
      <w:pPr>
        <w:numPr>
          <w:ilvl w:val="0"/>
          <w:numId w:val="171"/>
        </w:numPr>
        <w:spacing w:line="240" w:lineRule="auto"/>
        <w:ind w:right="-2"/>
      </w:pPr>
      <w:r w:rsidRPr="00183B5F">
        <w:t>vizenyő;</w:t>
      </w:r>
    </w:p>
    <w:p w14:paraId="6AD4D695" w14:textId="77777777" w:rsidR="00366005" w:rsidRPr="00183B5F" w:rsidRDefault="00943743">
      <w:pPr>
        <w:numPr>
          <w:ilvl w:val="0"/>
          <w:numId w:val="171"/>
        </w:numPr>
        <w:spacing w:line="240" w:lineRule="auto"/>
        <w:ind w:right="-2"/>
      </w:pPr>
      <w:r w:rsidRPr="00183B5F">
        <w:t>láz;</w:t>
      </w:r>
    </w:p>
    <w:p w14:paraId="0238FCFB" w14:textId="77777777" w:rsidR="00366005" w:rsidRPr="00183B5F" w:rsidRDefault="00943743">
      <w:pPr>
        <w:numPr>
          <w:ilvl w:val="0"/>
          <w:numId w:val="171"/>
        </w:numPr>
        <w:spacing w:line="240" w:lineRule="auto"/>
        <w:ind w:right="-2"/>
      </w:pPr>
      <w:r w:rsidRPr="00183B5F">
        <w:t>a vérlemezkék számának csökkenése, ami növeli a vérzés vagy a véraláfutás kialakulásának kockázatát;</w:t>
      </w:r>
    </w:p>
    <w:p w14:paraId="5F4DDD8F" w14:textId="77777777" w:rsidR="00366005" w:rsidRPr="00183B5F" w:rsidRDefault="00943743">
      <w:pPr>
        <w:numPr>
          <w:ilvl w:val="0"/>
          <w:numId w:val="171"/>
        </w:numPr>
        <w:spacing w:line="240" w:lineRule="auto"/>
        <w:ind w:right="-2"/>
      </w:pPr>
      <w:r w:rsidRPr="00183B5F">
        <w:t>csökkent gyógyulási készség.</w:t>
      </w:r>
    </w:p>
    <w:p w14:paraId="49398F84" w14:textId="77777777" w:rsidR="00366005" w:rsidRPr="00183B5F" w:rsidRDefault="00366005">
      <w:pPr>
        <w:spacing w:line="240" w:lineRule="auto"/>
        <w:ind w:right="-2"/>
        <w:rPr>
          <w:szCs w:val="22"/>
        </w:rPr>
      </w:pPr>
    </w:p>
    <w:p w14:paraId="4043A042" w14:textId="77777777" w:rsidR="00366005" w:rsidRPr="00183B5F" w:rsidRDefault="00943743">
      <w:pPr>
        <w:spacing w:line="240" w:lineRule="auto"/>
        <w:ind w:right="-2"/>
        <w:rPr>
          <w:szCs w:val="22"/>
        </w:rPr>
      </w:pPr>
      <w:r w:rsidRPr="00183B5F">
        <w:rPr>
          <w:b/>
          <w:szCs w:val="22"/>
        </w:rPr>
        <w:t>Nem gyakori</w:t>
      </w:r>
      <w:r w:rsidRPr="00183B5F">
        <w:rPr>
          <w:szCs w:val="22"/>
        </w:rPr>
        <w:t xml:space="preserve"> (100 beteg közül legfeljebb 1</w:t>
      </w:r>
      <w:r w:rsidRPr="00183B5F">
        <w:rPr>
          <w:szCs w:val="22"/>
        </w:rPr>
        <w:noBreakHyphen/>
        <w:t>nél kialakuló)</w:t>
      </w:r>
    </w:p>
    <w:p w14:paraId="7D67CDA1" w14:textId="77777777" w:rsidR="00366005" w:rsidRPr="00183B5F" w:rsidRDefault="00366005">
      <w:pPr>
        <w:spacing w:line="240" w:lineRule="auto"/>
        <w:ind w:right="-2"/>
        <w:rPr>
          <w:szCs w:val="22"/>
        </w:rPr>
      </w:pPr>
    </w:p>
    <w:p w14:paraId="12488889" w14:textId="77777777" w:rsidR="00366005" w:rsidRPr="00183B5F" w:rsidRDefault="00943743">
      <w:pPr>
        <w:numPr>
          <w:ilvl w:val="0"/>
          <w:numId w:val="172"/>
        </w:numPr>
        <w:tabs>
          <w:tab w:val="clear" w:pos="567"/>
          <w:tab w:val="left" w:pos="562"/>
        </w:tabs>
        <w:spacing w:line="240" w:lineRule="auto"/>
        <w:ind w:right="-2"/>
        <w:rPr>
          <w:szCs w:val="22"/>
        </w:rPr>
      </w:pPr>
      <w:r w:rsidRPr="00183B5F">
        <w:rPr>
          <w:szCs w:val="22"/>
        </w:rPr>
        <w:t>opportunista fertőzések (ezek közé tartozik a tuberkulózis és más, olyan fertőzések, amelyek akkor alakulnak ki, amikor a betegségekkel szembeni ellenállóképesség lecsökken);</w:t>
      </w:r>
    </w:p>
    <w:p w14:paraId="03AAAABE" w14:textId="77777777" w:rsidR="00366005" w:rsidRPr="00183B5F" w:rsidRDefault="00943743">
      <w:pPr>
        <w:numPr>
          <w:ilvl w:val="0"/>
          <w:numId w:val="172"/>
        </w:numPr>
        <w:tabs>
          <w:tab w:val="clear" w:pos="567"/>
          <w:tab w:val="left" w:pos="562"/>
        </w:tabs>
        <w:spacing w:line="240" w:lineRule="auto"/>
        <w:ind w:right="-2"/>
        <w:rPr>
          <w:szCs w:val="22"/>
        </w:rPr>
      </w:pPr>
      <w:r w:rsidRPr="00183B5F">
        <w:rPr>
          <w:szCs w:val="22"/>
        </w:rPr>
        <w:t>ideggyógyászati eredetű fertőzések (beleértve a vírusos eredetű agyhártyagyulladást is);</w:t>
      </w:r>
    </w:p>
    <w:p w14:paraId="4564ECA0" w14:textId="77777777" w:rsidR="00366005" w:rsidRPr="00183B5F" w:rsidRDefault="00943743">
      <w:pPr>
        <w:numPr>
          <w:ilvl w:val="0"/>
          <w:numId w:val="172"/>
        </w:numPr>
        <w:spacing w:line="240" w:lineRule="auto"/>
        <w:ind w:right="-2"/>
      </w:pPr>
      <w:r w:rsidRPr="00183B5F">
        <w:t>szemfertőzések;</w:t>
      </w:r>
    </w:p>
    <w:p w14:paraId="4BD69968" w14:textId="77777777" w:rsidR="00366005" w:rsidRPr="00183B5F" w:rsidRDefault="00943743">
      <w:pPr>
        <w:numPr>
          <w:ilvl w:val="0"/>
          <w:numId w:val="172"/>
        </w:numPr>
        <w:spacing w:line="240" w:lineRule="auto"/>
        <w:ind w:right="-2"/>
      </w:pPr>
      <w:r w:rsidRPr="00183B5F">
        <w:t>baktériumok okozta fertőzések;</w:t>
      </w:r>
    </w:p>
    <w:p w14:paraId="02C7F81C" w14:textId="77777777" w:rsidR="00366005" w:rsidRPr="00183B5F" w:rsidRDefault="00943743">
      <w:pPr>
        <w:numPr>
          <w:ilvl w:val="0"/>
          <w:numId w:val="172"/>
        </w:numPr>
        <w:spacing w:line="240" w:lineRule="auto"/>
        <w:ind w:right="-2"/>
      </w:pPr>
      <w:r w:rsidRPr="00183B5F">
        <w:t>divertikulitisz (vastagbélgyulladás és -fertőzés);</w:t>
      </w:r>
    </w:p>
    <w:p w14:paraId="4C860F08" w14:textId="77777777" w:rsidR="00366005" w:rsidRPr="00183B5F" w:rsidRDefault="00943743">
      <w:pPr>
        <w:numPr>
          <w:ilvl w:val="0"/>
          <w:numId w:val="172"/>
        </w:numPr>
        <w:spacing w:line="240" w:lineRule="auto"/>
        <w:ind w:right="-2"/>
      </w:pPr>
      <w:r w:rsidRPr="00183B5F">
        <w:t>rák;</w:t>
      </w:r>
    </w:p>
    <w:p w14:paraId="4DFB7CFA" w14:textId="77777777" w:rsidR="00366005" w:rsidRPr="00183B5F" w:rsidRDefault="00943743">
      <w:pPr>
        <w:numPr>
          <w:ilvl w:val="0"/>
          <w:numId w:val="172"/>
        </w:numPr>
        <w:spacing w:line="240" w:lineRule="auto"/>
        <w:ind w:right="-2"/>
      </w:pPr>
      <w:r w:rsidRPr="00183B5F">
        <w:t>rák, amely a nyirokrendszert támadja meg;</w:t>
      </w:r>
    </w:p>
    <w:p w14:paraId="43F64FD9" w14:textId="77777777" w:rsidR="00366005" w:rsidRPr="00183B5F" w:rsidRDefault="00943743">
      <w:pPr>
        <w:numPr>
          <w:ilvl w:val="0"/>
          <w:numId w:val="172"/>
        </w:numPr>
        <w:spacing w:line="240" w:lineRule="auto"/>
        <w:ind w:right="-2"/>
      </w:pPr>
      <w:r w:rsidRPr="00183B5F">
        <w:t>melanóma;</w:t>
      </w:r>
    </w:p>
    <w:p w14:paraId="5B62072E" w14:textId="77777777" w:rsidR="00366005" w:rsidRPr="00183B5F" w:rsidRDefault="00943743">
      <w:pPr>
        <w:numPr>
          <w:ilvl w:val="0"/>
          <w:numId w:val="172"/>
        </w:numPr>
        <w:spacing w:line="240" w:lineRule="auto"/>
        <w:ind w:right="-2"/>
      </w:pPr>
      <w:r w:rsidRPr="00183B5F">
        <w:t>a szervezet védekezőrendszerének betegségei, amelyek érinthetik a tüdőt, a bőrt és a nyirokcsomókat (leggyakrabban szarkoidózisként jelentkezik);</w:t>
      </w:r>
    </w:p>
    <w:p w14:paraId="5ABA5743" w14:textId="77777777" w:rsidR="00366005" w:rsidRPr="00183B5F" w:rsidRDefault="00943743">
      <w:pPr>
        <w:numPr>
          <w:ilvl w:val="0"/>
          <w:numId w:val="172"/>
        </w:numPr>
        <w:spacing w:line="240" w:lineRule="auto"/>
        <w:ind w:right="-2"/>
      </w:pPr>
      <w:r w:rsidRPr="00183B5F">
        <w:t>vaszkulitisz (érgyulladás);</w:t>
      </w:r>
    </w:p>
    <w:p w14:paraId="39B2803B" w14:textId="77777777" w:rsidR="00366005" w:rsidRPr="00183B5F" w:rsidRDefault="00943743">
      <w:pPr>
        <w:numPr>
          <w:ilvl w:val="0"/>
          <w:numId w:val="172"/>
        </w:numPr>
        <w:spacing w:line="240" w:lineRule="auto"/>
        <w:ind w:right="-2"/>
      </w:pPr>
      <w:r w:rsidRPr="00183B5F">
        <w:t>tremor (remegés);</w:t>
      </w:r>
    </w:p>
    <w:p w14:paraId="0FEE1793" w14:textId="77777777" w:rsidR="00366005" w:rsidRPr="00183B5F" w:rsidRDefault="00943743">
      <w:pPr>
        <w:numPr>
          <w:ilvl w:val="0"/>
          <w:numId w:val="172"/>
        </w:numPr>
        <w:spacing w:line="240" w:lineRule="auto"/>
        <w:ind w:right="-2"/>
      </w:pPr>
      <w:r w:rsidRPr="00183B5F">
        <w:rPr>
          <w:szCs w:val="22"/>
        </w:rPr>
        <w:t>érzékzavar;</w:t>
      </w:r>
    </w:p>
    <w:p w14:paraId="3C0B2876" w14:textId="77777777" w:rsidR="00366005" w:rsidRPr="00183B5F" w:rsidRDefault="00943743">
      <w:pPr>
        <w:numPr>
          <w:ilvl w:val="0"/>
          <w:numId w:val="172"/>
        </w:numPr>
        <w:spacing w:line="240" w:lineRule="auto"/>
        <w:ind w:right="-2"/>
      </w:pPr>
      <w:r w:rsidRPr="00183B5F">
        <w:t>szélütés</w:t>
      </w:r>
    </w:p>
    <w:p w14:paraId="131C0A57" w14:textId="77777777" w:rsidR="00366005" w:rsidRPr="00183B5F" w:rsidRDefault="00943743">
      <w:pPr>
        <w:numPr>
          <w:ilvl w:val="0"/>
          <w:numId w:val="172"/>
        </w:numPr>
        <w:spacing w:line="240" w:lineRule="auto"/>
        <w:ind w:right="-2"/>
      </w:pPr>
      <w:r w:rsidRPr="00183B5F">
        <w:t>halláscsökkenés, fülzúgás;</w:t>
      </w:r>
    </w:p>
    <w:p w14:paraId="35C56C6B" w14:textId="77777777" w:rsidR="00366005" w:rsidRPr="00183B5F" w:rsidRDefault="00943743">
      <w:pPr>
        <w:numPr>
          <w:ilvl w:val="0"/>
          <w:numId w:val="172"/>
        </w:numPr>
        <w:spacing w:line="240" w:lineRule="auto"/>
        <w:ind w:right="-2"/>
      </w:pPr>
      <w:r w:rsidRPr="00183B5F">
        <w:t>szabálytalan szívverés érzése, mint például kimaradó szívverés;</w:t>
      </w:r>
    </w:p>
    <w:p w14:paraId="71DD2347" w14:textId="77777777" w:rsidR="00366005" w:rsidRPr="00183B5F" w:rsidRDefault="00943743">
      <w:pPr>
        <w:numPr>
          <w:ilvl w:val="0"/>
          <w:numId w:val="172"/>
        </w:numPr>
        <w:spacing w:line="240" w:lineRule="auto"/>
        <w:ind w:right="-2"/>
      </w:pPr>
      <w:r w:rsidRPr="00183B5F">
        <w:t>szívproblémák, amelyek például nehézlégzést vagy bokadagadást okozhatnak;</w:t>
      </w:r>
    </w:p>
    <w:p w14:paraId="4B9F55E6" w14:textId="77777777" w:rsidR="00366005" w:rsidRPr="00183B5F" w:rsidRDefault="00943743">
      <w:pPr>
        <w:numPr>
          <w:ilvl w:val="0"/>
          <w:numId w:val="172"/>
        </w:numPr>
        <w:spacing w:line="240" w:lineRule="auto"/>
        <w:ind w:right="-2"/>
      </w:pPr>
      <w:r w:rsidRPr="00183B5F">
        <w:t>szívroham;</w:t>
      </w:r>
    </w:p>
    <w:p w14:paraId="3AAF432E" w14:textId="77777777" w:rsidR="00366005" w:rsidRPr="00183B5F" w:rsidRDefault="00943743">
      <w:pPr>
        <w:numPr>
          <w:ilvl w:val="0"/>
          <w:numId w:val="172"/>
        </w:numPr>
        <w:spacing w:line="240" w:lineRule="auto"/>
        <w:ind w:right="-2"/>
      </w:pPr>
      <w:r w:rsidRPr="00183B5F">
        <w:rPr>
          <w:szCs w:val="22"/>
        </w:rPr>
        <w:t>kiöblösödés valamely nagy ütőérben, gyulladás és vérrögképződés valamelyik vénában, érelzáródás;</w:t>
      </w:r>
    </w:p>
    <w:p w14:paraId="70B10164" w14:textId="77777777" w:rsidR="00366005" w:rsidRPr="00183B5F" w:rsidRDefault="00943743">
      <w:pPr>
        <w:numPr>
          <w:ilvl w:val="0"/>
          <w:numId w:val="172"/>
        </w:numPr>
        <w:spacing w:line="240" w:lineRule="auto"/>
        <w:ind w:right="-2"/>
      </w:pPr>
      <w:r w:rsidRPr="00183B5F">
        <w:t>nehézlégzést okozó tüdőbetegségek (beleértve a gyulladást is);</w:t>
      </w:r>
    </w:p>
    <w:p w14:paraId="518F56AF" w14:textId="77777777" w:rsidR="00366005" w:rsidRPr="00183B5F" w:rsidRDefault="00943743">
      <w:pPr>
        <w:numPr>
          <w:ilvl w:val="0"/>
          <w:numId w:val="172"/>
        </w:numPr>
        <w:spacing w:line="240" w:lineRule="auto"/>
        <w:ind w:right="-2"/>
      </w:pPr>
      <w:r w:rsidRPr="00183B5F">
        <w:t>tüdőembólia (a tüdőt ellátó ér elzáródása);</w:t>
      </w:r>
    </w:p>
    <w:p w14:paraId="02FD4D12" w14:textId="77777777" w:rsidR="00366005" w:rsidRPr="00183B5F" w:rsidRDefault="00943743">
      <w:pPr>
        <w:numPr>
          <w:ilvl w:val="0"/>
          <w:numId w:val="172"/>
        </w:numPr>
        <w:spacing w:line="240" w:lineRule="auto"/>
        <w:ind w:right="-2"/>
      </w:pPr>
      <w:r w:rsidRPr="00183B5F">
        <w:t>pleurális folyadékgyülem (a mellhártyák között kóros folyadékgyülem);</w:t>
      </w:r>
    </w:p>
    <w:p w14:paraId="4A8268AE" w14:textId="77777777" w:rsidR="00366005" w:rsidRPr="00183B5F" w:rsidRDefault="00943743">
      <w:pPr>
        <w:numPr>
          <w:ilvl w:val="0"/>
          <w:numId w:val="172"/>
        </w:numPr>
        <w:spacing w:line="240" w:lineRule="auto"/>
        <w:ind w:right="-2"/>
      </w:pPr>
      <w:r w:rsidRPr="00183B5F">
        <w:t>hasnyálmirigy</w:t>
      </w:r>
      <w:r w:rsidRPr="00183B5F">
        <w:noBreakHyphen/>
        <w:t>gyulladás ami erős hasi fájdalmat és hátfájást okoz;</w:t>
      </w:r>
    </w:p>
    <w:p w14:paraId="07F6BD73" w14:textId="77777777" w:rsidR="00366005" w:rsidRPr="00183B5F" w:rsidRDefault="00943743">
      <w:pPr>
        <w:numPr>
          <w:ilvl w:val="0"/>
          <w:numId w:val="172"/>
        </w:numPr>
        <w:spacing w:line="240" w:lineRule="auto"/>
        <w:ind w:right="-2"/>
      </w:pPr>
      <w:r w:rsidRPr="00183B5F">
        <w:t>nyelészavar;</w:t>
      </w:r>
    </w:p>
    <w:p w14:paraId="1FCE8DEA" w14:textId="77777777" w:rsidR="00366005" w:rsidRPr="00183B5F" w:rsidRDefault="00943743">
      <w:pPr>
        <w:numPr>
          <w:ilvl w:val="0"/>
          <w:numId w:val="172"/>
        </w:numPr>
        <w:spacing w:line="240" w:lineRule="auto"/>
        <w:ind w:right="-2"/>
      </w:pPr>
      <w:r w:rsidRPr="00183B5F">
        <w:t>az arc feldagadása;</w:t>
      </w:r>
    </w:p>
    <w:p w14:paraId="52271922" w14:textId="77777777" w:rsidR="00366005" w:rsidRPr="00183B5F" w:rsidRDefault="00943743">
      <w:pPr>
        <w:numPr>
          <w:ilvl w:val="0"/>
          <w:numId w:val="172"/>
        </w:numPr>
        <w:spacing w:line="240" w:lineRule="auto"/>
        <w:ind w:right="-2"/>
      </w:pPr>
      <w:r w:rsidRPr="00183B5F">
        <w:t>epehólyaggyulladás, epekövesség;</w:t>
      </w:r>
    </w:p>
    <w:p w14:paraId="40FBFFFF" w14:textId="77777777" w:rsidR="00366005" w:rsidRPr="00183B5F" w:rsidRDefault="00943743">
      <w:pPr>
        <w:numPr>
          <w:ilvl w:val="0"/>
          <w:numId w:val="172"/>
        </w:numPr>
        <w:spacing w:line="240" w:lineRule="auto"/>
        <w:ind w:right="-2"/>
      </w:pPr>
      <w:r w:rsidRPr="00183B5F">
        <w:t>zsírmáj;</w:t>
      </w:r>
    </w:p>
    <w:p w14:paraId="1E98C0E4" w14:textId="77777777" w:rsidR="00366005" w:rsidRPr="00183B5F" w:rsidRDefault="00943743">
      <w:pPr>
        <w:numPr>
          <w:ilvl w:val="0"/>
          <w:numId w:val="172"/>
        </w:numPr>
        <w:spacing w:line="240" w:lineRule="auto"/>
        <w:ind w:right="-2"/>
      </w:pPr>
      <w:r w:rsidRPr="00183B5F">
        <w:t>éjszakai izzadás;</w:t>
      </w:r>
    </w:p>
    <w:p w14:paraId="652CA9D7" w14:textId="77777777" w:rsidR="00366005" w:rsidRPr="00183B5F" w:rsidRDefault="00943743">
      <w:pPr>
        <w:numPr>
          <w:ilvl w:val="0"/>
          <w:numId w:val="172"/>
        </w:numPr>
        <w:spacing w:line="240" w:lineRule="auto"/>
        <w:ind w:right="-2"/>
      </w:pPr>
      <w:r w:rsidRPr="00183B5F">
        <w:t>hegképződés;</w:t>
      </w:r>
    </w:p>
    <w:p w14:paraId="7D7C9417" w14:textId="77777777" w:rsidR="00366005" w:rsidRPr="00183B5F" w:rsidRDefault="00943743">
      <w:pPr>
        <w:numPr>
          <w:ilvl w:val="0"/>
          <w:numId w:val="172"/>
        </w:numPr>
        <w:spacing w:line="240" w:lineRule="auto"/>
        <w:ind w:right="-2"/>
      </w:pPr>
      <w:r w:rsidRPr="00183B5F">
        <w:t>az izomszövet kóros szétesése;</w:t>
      </w:r>
    </w:p>
    <w:p w14:paraId="2F4A2148" w14:textId="77777777" w:rsidR="00366005" w:rsidRPr="00183B5F" w:rsidRDefault="00943743">
      <w:pPr>
        <w:numPr>
          <w:ilvl w:val="0"/>
          <w:numId w:val="172"/>
        </w:numPr>
        <w:spacing w:line="240" w:lineRule="auto"/>
        <w:ind w:right="-2"/>
      </w:pPr>
      <w:r w:rsidRPr="00183B5F">
        <w:rPr>
          <w:szCs w:val="22"/>
        </w:rPr>
        <w:t>szisztémás lupusz eritematózusz (beleértve a bőr, a szív, a tüdő, az ízületek és más szervrendszerek gyulladását);</w:t>
      </w:r>
    </w:p>
    <w:p w14:paraId="49EB826D" w14:textId="77777777" w:rsidR="00366005" w:rsidRPr="00183B5F" w:rsidRDefault="00943743">
      <w:pPr>
        <w:numPr>
          <w:ilvl w:val="0"/>
          <w:numId w:val="172"/>
        </w:numPr>
        <w:spacing w:line="240" w:lineRule="auto"/>
        <w:ind w:right="-2"/>
      </w:pPr>
      <w:r w:rsidRPr="00183B5F">
        <w:t>az alvás megszakadása;</w:t>
      </w:r>
    </w:p>
    <w:p w14:paraId="6AF75D12" w14:textId="77777777" w:rsidR="00366005" w:rsidRPr="00183B5F" w:rsidRDefault="00943743">
      <w:pPr>
        <w:numPr>
          <w:ilvl w:val="0"/>
          <w:numId w:val="172"/>
        </w:numPr>
        <w:spacing w:line="240" w:lineRule="auto"/>
        <w:ind w:right="-2"/>
      </w:pPr>
      <w:r w:rsidRPr="00183B5F">
        <w:t>merevedési zavar;</w:t>
      </w:r>
    </w:p>
    <w:p w14:paraId="2EBA74B3" w14:textId="77777777" w:rsidR="00366005" w:rsidRPr="00183B5F" w:rsidRDefault="00943743">
      <w:pPr>
        <w:numPr>
          <w:ilvl w:val="0"/>
          <w:numId w:val="172"/>
        </w:numPr>
        <w:tabs>
          <w:tab w:val="num" w:pos="1820"/>
        </w:tabs>
        <w:spacing w:line="240" w:lineRule="auto"/>
        <w:ind w:right="-2"/>
        <w:rPr>
          <w:szCs w:val="22"/>
        </w:rPr>
      </w:pPr>
      <w:r w:rsidRPr="00183B5F">
        <w:t>gyulladások.</w:t>
      </w:r>
    </w:p>
    <w:p w14:paraId="421BC5ED" w14:textId="77777777" w:rsidR="00366005" w:rsidRPr="00183B5F" w:rsidRDefault="00366005">
      <w:pPr>
        <w:spacing w:line="240" w:lineRule="auto"/>
        <w:ind w:right="-2"/>
        <w:rPr>
          <w:szCs w:val="22"/>
        </w:rPr>
      </w:pPr>
    </w:p>
    <w:p w14:paraId="3E84F934" w14:textId="77777777" w:rsidR="00366005" w:rsidRPr="00183B5F" w:rsidRDefault="00943743">
      <w:pPr>
        <w:spacing w:line="240" w:lineRule="auto"/>
        <w:ind w:right="-2"/>
        <w:rPr>
          <w:szCs w:val="22"/>
        </w:rPr>
      </w:pPr>
      <w:r w:rsidRPr="00183B5F">
        <w:rPr>
          <w:b/>
          <w:szCs w:val="22"/>
        </w:rPr>
        <w:t>Ritka</w:t>
      </w:r>
      <w:r w:rsidRPr="00183B5F">
        <w:rPr>
          <w:szCs w:val="22"/>
        </w:rPr>
        <w:t xml:space="preserve"> (1000 beteg közül legfeljebb 1</w:t>
      </w:r>
      <w:r w:rsidRPr="00183B5F">
        <w:rPr>
          <w:szCs w:val="22"/>
        </w:rPr>
        <w:noBreakHyphen/>
        <w:t>nél kialakuló)</w:t>
      </w:r>
    </w:p>
    <w:p w14:paraId="0E590D25" w14:textId="77777777" w:rsidR="00366005" w:rsidRPr="00183B5F" w:rsidRDefault="00366005">
      <w:pPr>
        <w:spacing w:line="240" w:lineRule="auto"/>
        <w:ind w:right="-2"/>
        <w:rPr>
          <w:szCs w:val="22"/>
        </w:rPr>
      </w:pPr>
    </w:p>
    <w:p w14:paraId="095A0256" w14:textId="77777777" w:rsidR="00366005" w:rsidRPr="00183B5F" w:rsidRDefault="00943743">
      <w:pPr>
        <w:numPr>
          <w:ilvl w:val="0"/>
          <w:numId w:val="173"/>
        </w:numPr>
        <w:spacing w:line="240" w:lineRule="auto"/>
        <w:ind w:right="-2"/>
        <w:rPr>
          <w:szCs w:val="22"/>
        </w:rPr>
      </w:pPr>
      <w:r w:rsidRPr="00183B5F">
        <w:rPr>
          <w:szCs w:val="22"/>
        </w:rPr>
        <w:t>leukémia (fehérvérűség, a vérképző rendszer daganata, ami a csontvelőt érinti);</w:t>
      </w:r>
    </w:p>
    <w:p w14:paraId="5D185211" w14:textId="77777777" w:rsidR="00366005" w:rsidRPr="00183B5F" w:rsidRDefault="00943743">
      <w:pPr>
        <w:numPr>
          <w:ilvl w:val="0"/>
          <w:numId w:val="173"/>
        </w:numPr>
        <w:spacing w:line="240" w:lineRule="auto"/>
        <w:ind w:right="-2"/>
        <w:rPr>
          <w:szCs w:val="22"/>
        </w:rPr>
      </w:pPr>
      <w:r w:rsidRPr="00183B5F">
        <w:rPr>
          <w:szCs w:val="22"/>
        </w:rPr>
        <w:t>súlyos, sokkot okozó allergiás reakció;</w:t>
      </w:r>
    </w:p>
    <w:p w14:paraId="09113231" w14:textId="77777777" w:rsidR="00366005" w:rsidRPr="00183B5F" w:rsidRDefault="00943743">
      <w:pPr>
        <w:numPr>
          <w:ilvl w:val="0"/>
          <w:numId w:val="173"/>
        </w:numPr>
        <w:spacing w:line="240" w:lineRule="auto"/>
        <w:ind w:right="-2"/>
        <w:rPr>
          <w:szCs w:val="22"/>
        </w:rPr>
      </w:pPr>
      <w:r w:rsidRPr="00183B5F">
        <w:rPr>
          <w:szCs w:val="22"/>
        </w:rPr>
        <w:t>szklerózis multiplex;</w:t>
      </w:r>
    </w:p>
    <w:p w14:paraId="73BF375F" w14:textId="77777777" w:rsidR="00366005" w:rsidRPr="00183B5F" w:rsidRDefault="00943743">
      <w:pPr>
        <w:numPr>
          <w:ilvl w:val="0"/>
          <w:numId w:val="173"/>
        </w:numPr>
        <w:spacing w:line="240" w:lineRule="auto"/>
        <w:ind w:right="-2"/>
        <w:rPr>
          <w:szCs w:val="22"/>
        </w:rPr>
      </w:pPr>
      <w:r w:rsidRPr="00183B5F">
        <w:rPr>
          <w:szCs w:val="22"/>
        </w:rPr>
        <w:t>ideggyógyászati betegségek (</w:t>
      </w:r>
      <w:r w:rsidR="00F15477" w:rsidRPr="00183B5F">
        <w:rPr>
          <w:bCs/>
          <w:szCs w:val="22"/>
        </w:rPr>
        <w:t>például</w:t>
      </w:r>
      <w:r w:rsidRPr="00183B5F">
        <w:rPr>
          <w:szCs w:val="22"/>
        </w:rPr>
        <w:t xml:space="preserve"> a látóideg gyulladása vagy Guillain</w:t>
      </w:r>
      <w:r w:rsidR="00F12F0A" w:rsidRPr="00183B5F">
        <w:rPr>
          <w:szCs w:val="22"/>
        </w:rPr>
        <w:t>–</w:t>
      </w:r>
      <w:r w:rsidRPr="00183B5F">
        <w:rPr>
          <w:szCs w:val="22"/>
        </w:rPr>
        <w:t>Barré-szindróma, ami izomgyengeséget, érzészavart, a karok és a felsőtest zsibbadását okozhatja);</w:t>
      </w:r>
    </w:p>
    <w:p w14:paraId="09BC32D9" w14:textId="77777777" w:rsidR="00366005" w:rsidRPr="00183B5F" w:rsidRDefault="00943743">
      <w:pPr>
        <w:numPr>
          <w:ilvl w:val="0"/>
          <w:numId w:val="173"/>
        </w:numPr>
        <w:spacing w:line="240" w:lineRule="auto"/>
        <w:ind w:right="-2"/>
        <w:rPr>
          <w:szCs w:val="22"/>
        </w:rPr>
      </w:pPr>
      <w:r w:rsidRPr="00183B5F">
        <w:rPr>
          <w:szCs w:val="22"/>
        </w:rPr>
        <w:t>szívleállás;</w:t>
      </w:r>
    </w:p>
    <w:p w14:paraId="13F761B6" w14:textId="77777777" w:rsidR="00366005" w:rsidRPr="00183B5F" w:rsidRDefault="00943743">
      <w:pPr>
        <w:pStyle w:val="EMEABullet2"/>
        <w:numPr>
          <w:ilvl w:val="0"/>
          <w:numId w:val="150"/>
        </w:numPr>
        <w:tabs>
          <w:tab w:val="num" w:pos="690"/>
        </w:tabs>
        <w:ind w:left="550" w:hanging="550"/>
        <w:rPr>
          <w:lang w:val="hu-HU"/>
        </w:rPr>
      </w:pPr>
      <w:r w:rsidRPr="00183B5F">
        <w:rPr>
          <w:lang w:val="hu-HU"/>
        </w:rPr>
        <w:t>tüdőfibrózis (tüdőhegesedés);</w:t>
      </w:r>
    </w:p>
    <w:p w14:paraId="146C4369" w14:textId="77777777" w:rsidR="00366005" w:rsidRPr="00183B5F" w:rsidRDefault="00943743">
      <w:pPr>
        <w:pStyle w:val="EMEABullet2"/>
        <w:numPr>
          <w:ilvl w:val="0"/>
          <w:numId w:val="150"/>
        </w:numPr>
        <w:tabs>
          <w:tab w:val="num" w:pos="690"/>
        </w:tabs>
        <w:ind w:left="550" w:hanging="550"/>
        <w:rPr>
          <w:lang w:val="hu-HU"/>
        </w:rPr>
      </w:pPr>
      <w:r w:rsidRPr="00183B5F">
        <w:rPr>
          <w:lang w:val="hu-HU"/>
        </w:rPr>
        <w:t>bél átlyukadása;</w:t>
      </w:r>
    </w:p>
    <w:p w14:paraId="1862C0C7" w14:textId="77777777" w:rsidR="00366005" w:rsidRPr="00183B5F" w:rsidRDefault="00943743">
      <w:pPr>
        <w:pStyle w:val="EMEABullet2"/>
        <w:numPr>
          <w:ilvl w:val="0"/>
          <w:numId w:val="150"/>
        </w:numPr>
        <w:tabs>
          <w:tab w:val="num" w:pos="690"/>
        </w:tabs>
        <w:ind w:left="550" w:hanging="550"/>
        <w:rPr>
          <w:lang w:val="hu-HU"/>
        </w:rPr>
      </w:pPr>
      <w:r w:rsidRPr="00183B5F">
        <w:rPr>
          <w:lang w:val="hu-HU"/>
        </w:rPr>
        <w:t>májgyulladás;</w:t>
      </w:r>
    </w:p>
    <w:p w14:paraId="1F8A5D86" w14:textId="77777777" w:rsidR="00366005" w:rsidRPr="00183B5F" w:rsidRDefault="00943743">
      <w:pPr>
        <w:pStyle w:val="EMEABullet2"/>
        <w:numPr>
          <w:ilvl w:val="0"/>
          <w:numId w:val="150"/>
        </w:numPr>
        <w:tabs>
          <w:tab w:val="num" w:pos="690"/>
        </w:tabs>
        <w:ind w:left="550" w:hanging="550"/>
        <w:rPr>
          <w:lang w:val="hu-HU"/>
        </w:rPr>
      </w:pPr>
      <w:r w:rsidRPr="00183B5F">
        <w:rPr>
          <w:lang w:val="hu-HU"/>
        </w:rPr>
        <w:t>B típusú fertőző májgyulladás kiújulása;</w:t>
      </w:r>
    </w:p>
    <w:p w14:paraId="1A329F3F" w14:textId="77777777" w:rsidR="00366005" w:rsidRPr="00183B5F" w:rsidRDefault="00943743">
      <w:pPr>
        <w:pStyle w:val="EMEABullet2"/>
        <w:numPr>
          <w:ilvl w:val="0"/>
          <w:numId w:val="150"/>
        </w:numPr>
        <w:ind w:left="550" w:hanging="550"/>
        <w:rPr>
          <w:szCs w:val="22"/>
          <w:lang w:val="hu-HU"/>
        </w:rPr>
      </w:pPr>
      <w:r w:rsidRPr="00183B5F">
        <w:rPr>
          <w:lang w:val="hu-HU"/>
        </w:rPr>
        <w:t>autoimmun májgyulladás (a máj gyulladása, melyet a saját immunrendszer vált ki);</w:t>
      </w:r>
    </w:p>
    <w:p w14:paraId="2313E4E4" w14:textId="77777777" w:rsidR="00366005" w:rsidRPr="00183B5F" w:rsidRDefault="00943743">
      <w:pPr>
        <w:pStyle w:val="EMEABullet2"/>
        <w:numPr>
          <w:ilvl w:val="0"/>
          <w:numId w:val="150"/>
        </w:numPr>
        <w:tabs>
          <w:tab w:val="num" w:pos="690"/>
        </w:tabs>
        <w:ind w:left="550" w:hanging="550"/>
        <w:rPr>
          <w:szCs w:val="22"/>
          <w:lang w:val="hu-HU"/>
        </w:rPr>
      </w:pPr>
      <w:r w:rsidRPr="00183B5F">
        <w:rPr>
          <w:szCs w:val="22"/>
          <w:lang w:val="hu-HU"/>
        </w:rPr>
        <w:t>kután vaszkulitisz (a bőrben található erek gyulladása);</w:t>
      </w:r>
    </w:p>
    <w:p w14:paraId="4D40D0B9" w14:textId="77777777" w:rsidR="00366005" w:rsidRPr="00183B5F" w:rsidRDefault="00943743">
      <w:pPr>
        <w:pStyle w:val="EMEABullet2"/>
        <w:numPr>
          <w:ilvl w:val="0"/>
          <w:numId w:val="150"/>
        </w:numPr>
        <w:tabs>
          <w:tab w:val="num" w:pos="690"/>
        </w:tabs>
        <w:ind w:left="550" w:hanging="550"/>
        <w:rPr>
          <w:szCs w:val="22"/>
          <w:lang w:val="hu-HU"/>
        </w:rPr>
      </w:pPr>
      <w:r w:rsidRPr="00183B5F">
        <w:rPr>
          <w:szCs w:val="22"/>
          <w:lang w:val="hu-HU"/>
        </w:rPr>
        <w:t>Stevens</w:t>
      </w:r>
      <w:r w:rsidR="00004B4F" w:rsidRPr="00183B5F">
        <w:rPr>
          <w:szCs w:val="22"/>
          <w:lang w:val="hu-HU"/>
        </w:rPr>
        <w:t>–</w:t>
      </w:r>
      <w:r w:rsidRPr="00183B5F">
        <w:rPr>
          <w:szCs w:val="22"/>
          <w:lang w:val="hu-HU"/>
        </w:rPr>
        <w:t>Johnson-szindróma (korai tünetei a rossz közérzet, láz, fejfájás és bőrkiütés);</w:t>
      </w:r>
    </w:p>
    <w:p w14:paraId="4A943780" w14:textId="77777777" w:rsidR="00366005" w:rsidRPr="00183B5F" w:rsidRDefault="00943743">
      <w:pPr>
        <w:pStyle w:val="EMEABullet2"/>
        <w:numPr>
          <w:ilvl w:val="0"/>
          <w:numId w:val="150"/>
        </w:numPr>
        <w:tabs>
          <w:tab w:val="num" w:pos="690"/>
        </w:tabs>
        <w:ind w:left="550" w:hanging="550"/>
        <w:rPr>
          <w:szCs w:val="22"/>
          <w:lang w:val="hu-HU"/>
        </w:rPr>
      </w:pPr>
      <w:r w:rsidRPr="00183B5F">
        <w:rPr>
          <w:szCs w:val="22"/>
          <w:lang w:val="hu-HU"/>
        </w:rPr>
        <w:t>arcduzzanat, amit allergiás reakció kísér;</w:t>
      </w:r>
    </w:p>
    <w:p w14:paraId="332211BA" w14:textId="77777777" w:rsidR="00366005" w:rsidRPr="00183B5F" w:rsidRDefault="00943743">
      <w:pPr>
        <w:numPr>
          <w:ilvl w:val="0"/>
          <w:numId w:val="174"/>
        </w:numPr>
        <w:spacing w:line="240" w:lineRule="auto"/>
        <w:ind w:right="-2"/>
        <w:rPr>
          <w:szCs w:val="22"/>
        </w:rPr>
      </w:pPr>
      <w:r w:rsidRPr="00183B5F">
        <w:rPr>
          <w:szCs w:val="22"/>
        </w:rPr>
        <w:t>eritéma multiforme (gyulladásos bőrkiütés);</w:t>
      </w:r>
    </w:p>
    <w:p w14:paraId="3D0ED972" w14:textId="77777777" w:rsidR="00366005" w:rsidRPr="00183B5F" w:rsidRDefault="00943743">
      <w:pPr>
        <w:numPr>
          <w:ilvl w:val="0"/>
          <w:numId w:val="174"/>
        </w:numPr>
        <w:spacing w:line="240" w:lineRule="auto"/>
        <w:ind w:right="-2"/>
        <w:rPr>
          <w:szCs w:val="22"/>
        </w:rPr>
      </w:pPr>
      <w:r w:rsidRPr="00183B5F">
        <w:rPr>
          <w:szCs w:val="22"/>
        </w:rPr>
        <w:t>lupusz-szerű szindróma;</w:t>
      </w:r>
    </w:p>
    <w:p w14:paraId="7DB8D230" w14:textId="77777777" w:rsidR="00AC1D27" w:rsidRPr="00183B5F" w:rsidRDefault="00943743">
      <w:pPr>
        <w:numPr>
          <w:ilvl w:val="0"/>
          <w:numId w:val="174"/>
        </w:numPr>
        <w:spacing w:line="240" w:lineRule="auto"/>
        <w:ind w:right="-2"/>
        <w:rPr>
          <w:szCs w:val="22"/>
        </w:rPr>
      </w:pPr>
      <w:r w:rsidRPr="00183B5F">
        <w:rPr>
          <w:szCs w:val="22"/>
        </w:rPr>
        <w:t>angioödéma (helyi bőrduzzanat)</w:t>
      </w:r>
      <w:r w:rsidR="00F2044E" w:rsidRPr="00183B5F">
        <w:rPr>
          <w:szCs w:val="22"/>
        </w:rPr>
        <w:t>;</w:t>
      </w:r>
    </w:p>
    <w:p w14:paraId="36646B3B" w14:textId="77777777" w:rsidR="00366005" w:rsidRPr="00183B5F" w:rsidRDefault="00943743">
      <w:pPr>
        <w:numPr>
          <w:ilvl w:val="0"/>
          <w:numId w:val="174"/>
        </w:numPr>
        <w:spacing w:line="240" w:lineRule="auto"/>
        <w:ind w:right="-2"/>
        <w:rPr>
          <w:szCs w:val="22"/>
        </w:rPr>
      </w:pPr>
      <w:r w:rsidRPr="00183B5F">
        <w:rPr>
          <w:szCs w:val="22"/>
        </w:rPr>
        <w:t>lichenoid bőrreakció (viszkető</w:t>
      </w:r>
      <w:r w:rsidR="00736B68" w:rsidRPr="00183B5F">
        <w:rPr>
          <w:szCs w:val="22"/>
        </w:rPr>
        <w:t>,</w:t>
      </w:r>
      <w:r w:rsidRPr="00183B5F">
        <w:rPr>
          <w:szCs w:val="22"/>
        </w:rPr>
        <w:t xml:space="preserve"> </w:t>
      </w:r>
      <w:r w:rsidR="007865CD" w:rsidRPr="00183B5F">
        <w:rPr>
          <w:szCs w:val="22"/>
        </w:rPr>
        <w:t>vöröses</w:t>
      </w:r>
      <w:r w:rsidRPr="00183B5F">
        <w:rPr>
          <w:szCs w:val="22"/>
        </w:rPr>
        <w:t>-lilás bőrkiütés).</w:t>
      </w:r>
    </w:p>
    <w:p w14:paraId="45729093" w14:textId="77777777" w:rsidR="00366005" w:rsidRPr="00183B5F" w:rsidRDefault="00366005">
      <w:pPr>
        <w:spacing w:line="240" w:lineRule="auto"/>
        <w:ind w:right="-2"/>
        <w:rPr>
          <w:szCs w:val="22"/>
          <w:lang w:eastAsia="de-DE"/>
        </w:rPr>
      </w:pPr>
    </w:p>
    <w:p w14:paraId="57211E95" w14:textId="77777777" w:rsidR="00366005" w:rsidRPr="00183B5F" w:rsidRDefault="00943743">
      <w:pPr>
        <w:keepNext/>
        <w:spacing w:line="240" w:lineRule="auto"/>
        <w:rPr>
          <w:szCs w:val="22"/>
        </w:rPr>
      </w:pPr>
      <w:r w:rsidRPr="00183B5F">
        <w:rPr>
          <w:b/>
          <w:szCs w:val="22"/>
        </w:rPr>
        <w:t>Nem ismert</w:t>
      </w:r>
      <w:r w:rsidRPr="00183B5F">
        <w:rPr>
          <w:szCs w:val="22"/>
        </w:rPr>
        <w:t xml:space="preserve"> (a </w:t>
      </w:r>
      <w:r w:rsidR="00004B4F" w:rsidRPr="00183B5F">
        <w:rPr>
          <w:szCs w:val="22"/>
        </w:rPr>
        <w:t xml:space="preserve">gyakoriság a </w:t>
      </w:r>
      <w:r w:rsidRPr="00183B5F">
        <w:rPr>
          <w:szCs w:val="22"/>
        </w:rPr>
        <w:t>rendelkezésre álló adatokból nem állapítható meg)</w:t>
      </w:r>
    </w:p>
    <w:p w14:paraId="2C9F2966" w14:textId="77777777" w:rsidR="00366005" w:rsidRPr="00183B5F" w:rsidRDefault="00366005">
      <w:pPr>
        <w:keepNext/>
        <w:spacing w:line="240" w:lineRule="auto"/>
        <w:rPr>
          <w:szCs w:val="22"/>
        </w:rPr>
      </w:pPr>
    </w:p>
    <w:p w14:paraId="7103FDC7" w14:textId="77777777" w:rsidR="00366005" w:rsidRPr="00183B5F" w:rsidRDefault="00943743" w:rsidP="00812C41">
      <w:pPr>
        <w:numPr>
          <w:ilvl w:val="0"/>
          <w:numId w:val="175"/>
        </w:numPr>
        <w:spacing w:line="240" w:lineRule="auto"/>
        <w:ind w:left="567" w:hanging="567"/>
        <w:rPr>
          <w:szCs w:val="22"/>
        </w:rPr>
      </w:pPr>
      <w:r w:rsidRPr="00183B5F">
        <w:rPr>
          <w:szCs w:val="22"/>
        </w:rPr>
        <w:t>hepatoszplénikus T-sejtes limfóma (ritka vérrák, ami gyakran halálos kimenetelű);</w:t>
      </w:r>
    </w:p>
    <w:p w14:paraId="412B9F53" w14:textId="77777777" w:rsidR="00366005" w:rsidRPr="00183B5F" w:rsidRDefault="00943743" w:rsidP="00812C41">
      <w:pPr>
        <w:numPr>
          <w:ilvl w:val="0"/>
          <w:numId w:val="175"/>
        </w:numPr>
        <w:spacing w:line="240" w:lineRule="auto"/>
        <w:ind w:left="567" w:hanging="567"/>
        <w:rPr>
          <w:szCs w:val="22"/>
        </w:rPr>
      </w:pPr>
      <w:r w:rsidRPr="00183B5F">
        <w:rPr>
          <w:szCs w:val="22"/>
        </w:rPr>
        <w:t>Merkel</w:t>
      </w:r>
      <w:r w:rsidRPr="00183B5F">
        <w:rPr>
          <w:szCs w:val="22"/>
        </w:rPr>
        <w:noBreakHyphen/>
        <w:t>sejtes karcinóma (bőrrák egyik típusa);</w:t>
      </w:r>
    </w:p>
    <w:p w14:paraId="418BF983" w14:textId="77777777" w:rsidR="00342FE6" w:rsidRPr="00183B5F" w:rsidRDefault="00943743" w:rsidP="00812C41">
      <w:pPr>
        <w:numPr>
          <w:ilvl w:val="0"/>
          <w:numId w:val="175"/>
        </w:numPr>
        <w:spacing w:line="240" w:lineRule="auto"/>
        <w:ind w:left="567" w:hanging="567"/>
        <w:rPr>
          <w:szCs w:val="22"/>
        </w:rPr>
      </w:pPr>
      <w:r w:rsidRPr="00183B5F">
        <w:rPr>
          <w:szCs w:val="22"/>
        </w:rPr>
        <w:t>Kaposi-szarkóma, a 8-as típusú humán herpeszvírus fertőzéssel járó ritka daganatos megbetegedés. A Kaposi-szarkóma leggyakrabban a bőrön jelenik meg lila elváltozások formájában;</w:t>
      </w:r>
    </w:p>
    <w:p w14:paraId="31EFDF92" w14:textId="77777777" w:rsidR="00366005" w:rsidRPr="00183B5F" w:rsidRDefault="00943743" w:rsidP="00812C41">
      <w:pPr>
        <w:numPr>
          <w:ilvl w:val="0"/>
          <w:numId w:val="175"/>
        </w:numPr>
        <w:spacing w:line="240" w:lineRule="auto"/>
        <w:ind w:left="567" w:hanging="567"/>
        <w:rPr>
          <w:szCs w:val="22"/>
        </w:rPr>
      </w:pPr>
      <w:r w:rsidRPr="00183B5F">
        <w:rPr>
          <w:szCs w:val="22"/>
        </w:rPr>
        <w:t>májelégtelenség;</w:t>
      </w:r>
    </w:p>
    <w:p w14:paraId="5A60BABB" w14:textId="77777777" w:rsidR="00366005" w:rsidRPr="00183B5F" w:rsidRDefault="00943743" w:rsidP="00812C41">
      <w:pPr>
        <w:numPr>
          <w:ilvl w:val="0"/>
          <w:numId w:val="175"/>
        </w:numPr>
        <w:spacing w:line="240" w:lineRule="auto"/>
        <w:ind w:left="567" w:hanging="567"/>
        <w:rPr>
          <w:szCs w:val="22"/>
        </w:rPr>
      </w:pPr>
      <w:r w:rsidRPr="00183B5F">
        <w:rPr>
          <w:szCs w:val="22"/>
        </w:rPr>
        <w:t>dermatomiozitisz nevű betegség (izomgyengeséghez társult bőrkiütés formájában jelentkezik) súlyosbodása</w:t>
      </w:r>
    </w:p>
    <w:p w14:paraId="4BE877D7" w14:textId="77777777" w:rsidR="004025F9" w:rsidRPr="00183B5F" w:rsidRDefault="00943743" w:rsidP="00812C41">
      <w:pPr>
        <w:numPr>
          <w:ilvl w:val="0"/>
          <w:numId w:val="175"/>
        </w:numPr>
        <w:spacing w:line="240" w:lineRule="auto"/>
        <w:ind w:left="567" w:hanging="567"/>
        <w:rPr>
          <w:szCs w:val="22"/>
        </w:rPr>
      </w:pPr>
      <w:r w:rsidRPr="00183B5F">
        <w:t>testsúlynövekedés (a legtöbb betegnél ez kismértékű volt)</w:t>
      </w:r>
    </w:p>
    <w:p w14:paraId="304A6021" w14:textId="77777777" w:rsidR="00366005" w:rsidRPr="00183B5F" w:rsidRDefault="00366005">
      <w:pPr>
        <w:keepNext/>
        <w:spacing w:line="240" w:lineRule="auto"/>
        <w:rPr>
          <w:szCs w:val="22"/>
        </w:rPr>
      </w:pPr>
    </w:p>
    <w:p w14:paraId="3056907B" w14:textId="77777777" w:rsidR="00366005" w:rsidRPr="00183B5F" w:rsidRDefault="00943743">
      <w:pPr>
        <w:suppressAutoHyphens w:val="0"/>
        <w:autoSpaceDE w:val="0"/>
        <w:autoSpaceDN w:val="0"/>
        <w:adjustRightInd w:val="0"/>
        <w:spacing w:line="240" w:lineRule="auto"/>
        <w:rPr>
          <w:szCs w:val="22"/>
          <w:lang w:eastAsia="de-DE"/>
        </w:rPr>
      </w:pPr>
      <w:r w:rsidRPr="00183B5F">
        <w:rPr>
          <w:szCs w:val="22"/>
          <w:lang w:eastAsia="de-DE"/>
        </w:rPr>
        <w:t>A Humira alkalmazása során észlelt némelyik mellékhatás nem okoz tüneteket, és lehet, hogy csak vérvizsgálattal deríthető ki. Ezek közé tartozik:</w:t>
      </w:r>
    </w:p>
    <w:p w14:paraId="03F184E5" w14:textId="77777777" w:rsidR="00366005" w:rsidRPr="00183B5F" w:rsidRDefault="00366005">
      <w:pPr>
        <w:suppressAutoHyphens w:val="0"/>
        <w:autoSpaceDE w:val="0"/>
        <w:autoSpaceDN w:val="0"/>
        <w:adjustRightInd w:val="0"/>
        <w:spacing w:line="240" w:lineRule="auto"/>
        <w:rPr>
          <w:szCs w:val="22"/>
          <w:lang w:eastAsia="de-DE"/>
        </w:rPr>
      </w:pPr>
    </w:p>
    <w:p w14:paraId="6384003C" w14:textId="77777777" w:rsidR="00366005" w:rsidRPr="00183B5F" w:rsidRDefault="00943743">
      <w:pPr>
        <w:suppressAutoHyphens w:val="0"/>
        <w:spacing w:line="240" w:lineRule="auto"/>
        <w:rPr>
          <w:szCs w:val="22"/>
        </w:rPr>
      </w:pPr>
      <w:r w:rsidRPr="00183B5F">
        <w:rPr>
          <w:b/>
          <w:szCs w:val="22"/>
        </w:rPr>
        <w:t>Nagyon gyakori</w:t>
      </w:r>
      <w:r w:rsidRPr="00183B5F">
        <w:rPr>
          <w:szCs w:val="22"/>
        </w:rPr>
        <w:t xml:space="preserve"> (10 beteg közül több mint 1</w:t>
      </w:r>
      <w:r w:rsidRPr="00183B5F">
        <w:rPr>
          <w:szCs w:val="22"/>
        </w:rPr>
        <w:noBreakHyphen/>
        <w:t>nél alakul ki)</w:t>
      </w:r>
    </w:p>
    <w:p w14:paraId="5A09DCBB" w14:textId="77777777" w:rsidR="00366005" w:rsidRPr="00183B5F" w:rsidRDefault="00366005">
      <w:pPr>
        <w:suppressAutoHyphens w:val="0"/>
        <w:spacing w:line="240" w:lineRule="auto"/>
        <w:rPr>
          <w:szCs w:val="22"/>
        </w:rPr>
      </w:pPr>
    </w:p>
    <w:p w14:paraId="4765D118" w14:textId="77777777" w:rsidR="00366005" w:rsidRPr="00183B5F" w:rsidRDefault="00943743">
      <w:pPr>
        <w:numPr>
          <w:ilvl w:val="0"/>
          <w:numId w:val="159"/>
        </w:numPr>
        <w:tabs>
          <w:tab w:val="num" w:pos="550"/>
        </w:tabs>
        <w:suppressAutoHyphens w:val="0"/>
        <w:spacing w:line="240" w:lineRule="auto"/>
        <w:ind w:left="550" w:hanging="550"/>
      </w:pPr>
      <w:r w:rsidRPr="00183B5F">
        <w:t>alacsony fehérvérsejtszám;</w:t>
      </w:r>
    </w:p>
    <w:p w14:paraId="2813536C" w14:textId="77777777" w:rsidR="00366005" w:rsidRPr="00183B5F" w:rsidRDefault="00943743">
      <w:pPr>
        <w:numPr>
          <w:ilvl w:val="0"/>
          <w:numId w:val="159"/>
        </w:numPr>
        <w:tabs>
          <w:tab w:val="num" w:pos="550"/>
        </w:tabs>
        <w:suppressAutoHyphens w:val="0"/>
        <w:spacing w:line="240" w:lineRule="auto"/>
        <w:ind w:left="550" w:hanging="550"/>
      </w:pPr>
      <w:r w:rsidRPr="00183B5F">
        <w:rPr>
          <w:szCs w:val="22"/>
        </w:rPr>
        <w:t>alacsony vörösvértestszám;</w:t>
      </w:r>
    </w:p>
    <w:p w14:paraId="08741793" w14:textId="77777777" w:rsidR="00366005" w:rsidRPr="00183B5F" w:rsidRDefault="00943743">
      <w:pPr>
        <w:numPr>
          <w:ilvl w:val="0"/>
          <w:numId w:val="159"/>
        </w:numPr>
        <w:tabs>
          <w:tab w:val="num" w:pos="550"/>
        </w:tabs>
        <w:suppressAutoHyphens w:val="0"/>
        <w:spacing w:line="240" w:lineRule="auto"/>
        <w:ind w:left="550" w:hanging="550"/>
      </w:pPr>
      <w:r w:rsidRPr="00183B5F">
        <w:rPr>
          <w:szCs w:val="22"/>
        </w:rPr>
        <w:t>a vérzsírszint emelkedése;</w:t>
      </w:r>
    </w:p>
    <w:p w14:paraId="68B924DD" w14:textId="77777777" w:rsidR="00366005" w:rsidRPr="00183B5F" w:rsidRDefault="00943743">
      <w:pPr>
        <w:numPr>
          <w:ilvl w:val="0"/>
          <w:numId w:val="159"/>
        </w:numPr>
        <w:tabs>
          <w:tab w:val="num" w:pos="550"/>
        </w:tabs>
        <w:suppressAutoHyphens w:val="0"/>
        <w:spacing w:line="240" w:lineRule="auto"/>
        <w:ind w:left="550" w:hanging="550"/>
      </w:pPr>
      <w:r w:rsidRPr="00183B5F">
        <w:rPr>
          <w:szCs w:val="22"/>
        </w:rPr>
        <w:t>emelkedett májenzimszint.</w:t>
      </w:r>
    </w:p>
    <w:p w14:paraId="21C8108C" w14:textId="77777777" w:rsidR="00366005" w:rsidRPr="00183B5F" w:rsidRDefault="00366005">
      <w:pPr>
        <w:suppressAutoHyphens w:val="0"/>
        <w:spacing w:line="240" w:lineRule="auto"/>
        <w:rPr>
          <w:szCs w:val="22"/>
        </w:rPr>
      </w:pPr>
    </w:p>
    <w:p w14:paraId="132F91AB" w14:textId="77777777" w:rsidR="00366005" w:rsidRPr="00183B5F" w:rsidRDefault="00943743">
      <w:pPr>
        <w:suppressAutoHyphens w:val="0"/>
        <w:spacing w:line="240" w:lineRule="auto"/>
        <w:rPr>
          <w:szCs w:val="22"/>
        </w:rPr>
      </w:pPr>
      <w:r w:rsidRPr="00183B5F">
        <w:rPr>
          <w:b/>
          <w:szCs w:val="22"/>
        </w:rPr>
        <w:t>Gyakori</w:t>
      </w:r>
      <w:r w:rsidRPr="00183B5F">
        <w:rPr>
          <w:szCs w:val="22"/>
        </w:rPr>
        <w:t xml:space="preserve"> (10 </w:t>
      </w:r>
      <w:r w:rsidR="00E60726" w:rsidRPr="00183B5F">
        <w:rPr>
          <w:szCs w:val="22"/>
        </w:rPr>
        <w:t xml:space="preserve">beteg </w:t>
      </w:r>
      <w:r w:rsidRPr="00183B5F">
        <w:rPr>
          <w:szCs w:val="22"/>
        </w:rPr>
        <w:t>közül legfeljebb 1</w:t>
      </w:r>
      <w:r w:rsidRPr="00183B5F">
        <w:rPr>
          <w:szCs w:val="22"/>
        </w:rPr>
        <w:noBreakHyphen/>
        <w:t>nél alakul ki)</w:t>
      </w:r>
    </w:p>
    <w:p w14:paraId="22F4198D" w14:textId="77777777" w:rsidR="00366005" w:rsidRPr="00183B5F" w:rsidRDefault="00366005">
      <w:pPr>
        <w:suppressAutoHyphens w:val="0"/>
        <w:spacing w:line="240" w:lineRule="auto"/>
        <w:rPr>
          <w:szCs w:val="22"/>
        </w:rPr>
      </w:pPr>
    </w:p>
    <w:p w14:paraId="0984F431" w14:textId="77777777" w:rsidR="00366005" w:rsidRPr="00183B5F" w:rsidRDefault="00943743">
      <w:pPr>
        <w:numPr>
          <w:ilvl w:val="0"/>
          <w:numId w:val="159"/>
        </w:numPr>
        <w:tabs>
          <w:tab w:val="num" w:pos="550"/>
        </w:tabs>
        <w:suppressAutoHyphens w:val="0"/>
        <w:spacing w:line="240" w:lineRule="auto"/>
        <w:ind w:left="550" w:hanging="550"/>
      </w:pPr>
      <w:r w:rsidRPr="00183B5F">
        <w:t>magas fehérvérsejtszám;</w:t>
      </w:r>
    </w:p>
    <w:p w14:paraId="4C98B798" w14:textId="77777777" w:rsidR="00366005" w:rsidRPr="00183B5F" w:rsidRDefault="00943743">
      <w:pPr>
        <w:numPr>
          <w:ilvl w:val="0"/>
          <w:numId w:val="159"/>
        </w:numPr>
        <w:tabs>
          <w:tab w:val="num" w:pos="550"/>
        </w:tabs>
        <w:suppressAutoHyphens w:val="0"/>
        <w:spacing w:line="240" w:lineRule="auto"/>
        <w:ind w:left="550" w:hanging="550"/>
      </w:pPr>
      <w:r w:rsidRPr="00183B5F">
        <w:rPr>
          <w:szCs w:val="22"/>
        </w:rPr>
        <w:t>alacsony vérlemezkeszám;</w:t>
      </w:r>
    </w:p>
    <w:p w14:paraId="19C81A1D" w14:textId="77777777" w:rsidR="00366005" w:rsidRPr="00183B5F" w:rsidRDefault="00943743">
      <w:pPr>
        <w:numPr>
          <w:ilvl w:val="0"/>
          <w:numId w:val="159"/>
        </w:numPr>
        <w:tabs>
          <w:tab w:val="num" w:pos="550"/>
        </w:tabs>
        <w:suppressAutoHyphens w:val="0"/>
        <w:spacing w:line="240" w:lineRule="auto"/>
        <w:ind w:left="550" w:hanging="550"/>
      </w:pPr>
      <w:r w:rsidRPr="00183B5F">
        <w:rPr>
          <w:szCs w:val="22"/>
        </w:rPr>
        <w:t>emelkedett húgysavszint a vérben;</w:t>
      </w:r>
    </w:p>
    <w:p w14:paraId="2C9E807C" w14:textId="77777777" w:rsidR="00366005" w:rsidRPr="00183B5F" w:rsidRDefault="00943743">
      <w:pPr>
        <w:numPr>
          <w:ilvl w:val="0"/>
          <w:numId w:val="159"/>
        </w:numPr>
        <w:tabs>
          <w:tab w:val="num" w:pos="550"/>
        </w:tabs>
        <w:suppressAutoHyphens w:val="0"/>
        <w:spacing w:line="240" w:lineRule="auto"/>
        <w:ind w:left="550" w:hanging="550"/>
      </w:pPr>
      <w:r w:rsidRPr="00183B5F">
        <w:t>kóros nátriumszint a vérben;</w:t>
      </w:r>
    </w:p>
    <w:p w14:paraId="57B3E67E" w14:textId="77777777" w:rsidR="00366005" w:rsidRPr="00183B5F" w:rsidRDefault="00943743">
      <w:pPr>
        <w:numPr>
          <w:ilvl w:val="0"/>
          <w:numId w:val="159"/>
        </w:numPr>
        <w:tabs>
          <w:tab w:val="num" w:pos="550"/>
        </w:tabs>
        <w:suppressAutoHyphens w:val="0"/>
        <w:spacing w:line="240" w:lineRule="auto"/>
        <w:ind w:left="550" w:hanging="550"/>
      </w:pPr>
      <w:r w:rsidRPr="00183B5F">
        <w:rPr>
          <w:szCs w:val="22"/>
        </w:rPr>
        <w:t>alacsony kalciumszint a vérben;</w:t>
      </w:r>
    </w:p>
    <w:p w14:paraId="2B9E5A9F" w14:textId="77777777" w:rsidR="00366005" w:rsidRPr="00183B5F" w:rsidRDefault="00943743">
      <w:pPr>
        <w:numPr>
          <w:ilvl w:val="0"/>
          <w:numId w:val="159"/>
        </w:numPr>
        <w:tabs>
          <w:tab w:val="num" w:pos="550"/>
        </w:tabs>
        <w:suppressAutoHyphens w:val="0"/>
        <w:spacing w:line="240" w:lineRule="auto"/>
        <w:ind w:left="550" w:hanging="550"/>
      </w:pPr>
      <w:r w:rsidRPr="00183B5F">
        <w:rPr>
          <w:szCs w:val="22"/>
        </w:rPr>
        <w:t>alacsony foszfátszint a vérben;</w:t>
      </w:r>
    </w:p>
    <w:p w14:paraId="75076059" w14:textId="77777777" w:rsidR="00366005" w:rsidRPr="00183B5F" w:rsidRDefault="00943743">
      <w:pPr>
        <w:numPr>
          <w:ilvl w:val="0"/>
          <w:numId w:val="159"/>
        </w:numPr>
        <w:tabs>
          <w:tab w:val="num" w:pos="550"/>
        </w:tabs>
        <w:suppressAutoHyphens w:val="0"/>
        <w:spacing w:line="240" w:lineRule="auto"/>
        <w:ind w:left="550" w:hanging="550"/>
      </w:pPr>
      <w:r w:rsidRPr="00183B5F">
        <w:t>magas vércukorszint;</w:t>
      </w:r>
    </w:p>
    <w:p w14:paraId="37082753" w14:textId="77777777" w:rsidR="00366005" w:rsidRPr="00183B5F" w:rsidRDefault="00943743">
      <w:pPr>
        <w:numPr>
          <w:ilvl w:val="0"/>
          <w:numId w:val="159"/>
        </w:numPr>
        <w:tabs>
          <w:tab w:val="num" w:pos="550"/>
        </w:tabs>
        <w:suppressAutoHyphens w:val="0"/>
        <w:spacing w:line="240" w:lineRule="auto"/>
        <w:ind w:left="550" w:hanging="550"/>
      </w:pPr>
      <w:r w:rsidRPr="00183B5F">
        <w:rPr>
          <w:szCs w:val="22"/>
        </w:rPr>
        <w:t xml:space="preserve">emelkedett </w:t>
      </w:r>
      <w:r w:rsidRPr="00183B5F">
        <w:t>laktát-dehidrogenáz-szint a vérben;</w:t>
      </w:r>
    </w:p>
    <w:p w14:paraId="4ED971B2" w14:textId="77777777" w:rsidR="00366005" w:rsidRPr="00183B5F" w:rsidRDefault="00943743">
      <w:pPr>
        <w:numPr>
          <w:ilvl w:val="0"/>
          <w:numId w:val="159"/>
        </w:numPr>
        <w:tabs>
          <w:tab w:val="num" w:pos="550"/>
        </w:tabs>
        <w:suppressAutoHyphens w:val="0"/>
        <w:spacing w:line="240" w:lineRule="auto"/>
        <w:ind w:left="550" w:hanging="550"/>
      </w:pPr>
      <w:r w:rsidRPr="00183B5F">
        <w:rPr>
          <w:szCs w:val="22"/>
        </w:rPr>
        <w:t>autoantitestek megjelenése a vérben;</w:t>
      </w:r>
    </w:p>
    <w:p w14:paraId="06EB8BA4" w14:textId="77777777" w:rsidR="00366005" w:rsidRPr="00183B5F" w:rsidRDefault="00943743">
      <w:pPr>
        <w:numPr>
          <w:ilvl w:val="0"/>
          <w:numId w:val="159"/>
        </w:numPr>
        <w:tabs>
          <w:tab w:val="num" w:pos="550"/>
        </w:tabs>
        <w:suppressAutoHyphens w:val="0"/>
        <w:spacing w:line="240" w:lineRule="auto"/>
        <w:ind w:left="550" w:hanging="550"/>
      </w:pPr>
      <w:r w:rsidRPr="00183B5F">
        <w:t>alacsony káliumszint</w:t>
      </w:r>
      <w:r w:rsidR="00994710" w:rsidRPr="00183B5F">
        <w:t xml:space="preserve"> a vérben.</w:t>
      </w:r>
    </w:p>
    <w:p w14:paraId="1558BB1E" w14:textId="77777777" w:rsidR="00366005" w:rsidRPr="00183B5F" w:rsidRDefault="00366005">
      <w:pPr>
        <w:suppressAutoHyphens w:val="0"/>
        <w:spacing w:line="240" w:lineRule="auto"/>
      </w:pPr>
    </w:p>
    <w:p w14:paraId="080F2BA5" w14:textId="77777777" w:rsidR="00366005" w:rsidRPr="00183B5F" w:rsidRDefault="00943743">
      <w:pPr>
        <w:suppressAutoHyphens w:val="0"/>
        <w:spacing w:line="240" w:lineRule="auto"/>
        <w:rPr>
          <w:szCs w:val="22"/>
        </w:rPr>
      </w:pPr>
      <w:r w:rsidRPr="00183B5F">
        <w:rPr>
          <w:b/>
        </w:rPr>
        <w:t>Nem gyakori (</w:t>
      </w:r>
      <w:r w:rsidRPr="00183B5F">
        <w:rPr>
          <w:szCs w:val="22"/>
        </w:rPr>
        <w:t>100 beteg közül legfeljebb 1</w:t>
      </w:r>
      <w:r w:rsidRPr="00183B5F">
        <w:rPr>
          <w:szCs w:val="22"/>
        </w:rPr>
        <w:noBreakHyphen/>
        <w:t>nél alakul ki)</w:t>
      </w:r>
    </w:p>
    <w:p w14:paraId="4909FFD4" w14:textId="77777777" w:rsidR="00366005" w:rsidRPr="00183B5F" w:rsidRDefault="00366005">
      <w:pPr>
        <w:suppressAutoHyphens w:val="0"/>
        <w:spacing w:line="240" w:lineRule="auto"/>
        <w:rPr>
          <w:szCs w:val="22"/>
        </w:rPr>
      </w:pPr>
    </w:p>
    <w:p w14:paraId="1FA84C46" w14:textId="77777777" w:rsidR="00366005" w:rsidRPr="00183B5F" w:rsidRDefault="00943743">
      <w:pPr>
        <w:pStyle w:val="ListParagraph"/>
        <w:numPr>
          <w:ilvl w:val="0"/>
          <w:numId w:val="176"/>
        </w:numPr>
        <w:suppressAutoHyphens w:val="0"/>
        <w:spacing w:line="240" w:lineRule="auto"/>
        <w:contextualSpacing/>
      </w:pPr>
      <w:r w:rsidRPr="00183B5F">
        <w:t>emelkedett bilirubin</w:t>
      </w:r>
      <w:r w:rsidRPr="00183B5F">
        <w:noBreakHyphen/>
        <w:t>szint (májfunkciós-vizsgálati eredmény)</w:t>
      </w:r>
    </w:p>
    <w:p w14:paraId="1682CE42" w14:textId="77777777" w:rsidR="00366005" w:rsidRPr="00183B5F" w:rsidRDefault="00366005">
      <w:pPr>
        <w:suppressAutoHyphens w:val="0"/>
        <w:spacing w:line="240" w:lineRule="auto"/>
      </w:pPr>
    </w:p>
    <w:p w14:paraId="332F6FA0" w14:textId="77777777" w:rsidR="00366005" w:rsidRPr="00183B5F" w:rsidRDefault="00943743">
      <w:pPr>
        <w:suppressAutoHyphens w:val="0"/>
        <w:spacing w:line="240" w:lineRule="auto"/>
        <w:rPr>
          <w:szCs w:val="22"/>
        </w:rPr>
      </w:pPr>
      <w:r w:rsidRPr="00183B5F">
        <w:rPr>
          <w:b/>
          <w:szCs w:val="22"/>
        </w:rPr>
        <w:t>Ritka</w:t>
      </w:r>
      <w:r w:rsidRPr="00183B5F">
        <w:rPr>
          <w:szCs w:val="22"/>
        </w:rPr>
        <w:t xml:space="preserve"> (1000 beteg közül legfeljebb 1</w:t>
      </w:r>
      <w:r w:rsidRPr="00183B5F">
        <w:rPr>
          <w:szCs w:val="22"/>
        </w:rPr>
        <w:noBreakHyphen/>
        <w:t>nél alakul ki)</w:t>
      </w:r>
    </w:p>
    <w:p w14:paraId="3DDA2910" w14:textId="77777777" w:rsidR="00366005" w:rsidRPr="00183B5F" w:rsidRDefault="00366005">
      <w:pPr>
        <w:suppressAutoHyphens w:val="0"/>
        <w:spacing w:line="240" w:lineRule="auto"/>
        <w:rPr>
          <w:szCs w:val="22"/>
        </w:rPr>
      </w:pPr>
    </w:p>
    <w:p w14:paraId="75661FC7" w14:textId="77777777" w:rsidR="00366005" w:rsidRPr="00183B5F" w:rsidRDefault="00943743">
      <w:pPr>
        <w:numPr>
          <w:ilvl w:val="0"/>
          <w:numId w:val="159"/>
        </w:numPr>
        <w:tabs>
          <w:tab w:val="num" w:pos="550"/>
        </w:tabs>
        <w:suppressAutoHyphens w:val="0"/>
        <w:spacing w:line="240" w:lineRule="auto"/>
        <w:ind w:left="550" w:hanging="550"/>
        <w:rPr>
          <w:szCs w:val="22"/>
        </w:rPr>
      </w:pPr>
      <w:r w:rsidRPr="00183B5F">
        <w:rPr>
          <w:szCs w:val="22"/>
        </w:rPr>
        <w:t>alacsony fehérvérsejtszám, vörösvértestszám és vérlemezkeszám.</w:t>
      </w:r>
    </w:p>
    <w:p w14:paraId="69DE14BE" w14:textId="77777777" w:rsidR="00366005" w:rsidRPr="00183B5F" w:rsidRDefault="00366005">
      <w:pPr>
        <w:suppressAutoHyphens w:val="0"/>
        <w:spacing w:line="240" w:lineRule="auto"/>
        <w:rPr>
          <w:szCs w:val="22"/>
        </w:rPr>
      </w:pPr>
    </w:p>
    <w:p w14:paraId="07CEBC2E" w14:textId="77777777" w:rsidR="00366005" w:rsidRPr="00183B5F" w:rsidRDefault="00943743">
      <w:pPr>
        <w:keepNext/>
        <w:spacing w:line="240" w:lineRule="auto"/>
        <w:ind w:right="-29"/>
        <w:rPr>
          <w:b/>
          <w:bCs/>
          <w:u w:val="single"/>
        </w:rPr>
      </w:pPr>
      <w:r w:rsidRPr="00183B5F">
        <w:rPr>
          <w:b/>
          <w:bCs/>
          <w:u w:val="single"/>
        </w:rPr>
        <w:t>Mellékhatások bejelentése</w:t>
      </w:r>
    </w:p>
    <w:p w14:paraId="2115ED8E" w14:textId="77777777" w:rsidR="00366005" w:rsidRPr="00183B5F" w:rsidRDefault="00943743">
      <w:pPr>
        <w:spacing w:line="240" w:lineRule="auto"/>
        <w:ind w:right="-2"/>
      </w:pPr>
      <w:r w:rsidRPr="00183B5F">
        <w:rPr>
          <w:szCs w:val="24"/>
        </w:rPr>
        <w:t xml:space="preserve">Ha </w:t>
      </w:r>
      <w:r w:rsidR="00180A2E" w:rsidRPr="00183B5F">
        <w:rPr>
          <w:noProof/>
          <w:szCs w:val="24"/>
        </w:rPr>
        <w:t xml:space="preserve">az Ön </w:t>
      </w:r>
      <w:r w:rsidR="00AC1D27" w:rsidRPr="00183B5F">
        <w:rPr>
          <w:noProof/>
          <w:szCs w:val="24"/>
        </w:rPr>
        <w:t xml:space="preserve">gyermekénél </w:t>
      </w:r>
      <w:r w:rsidRPr="00183B5F">
        <w:rPr>
          <w:noProof/>
          <w:szCs w:val="24"/>
        </w:rPr>
        <w:t>bármilyen</w:t>
      </w:r>
      <w:r w:rsidRPr="00183B5F">
        <w:rPr>
          <w:szCs w:val="24"/>
        </w:rPr>
        <w:t xml:space="preserve"> mellékhatás </w:t>
      </w:r>
      <w:r w:rsidRPr="00183B5F">
        <w:rPr>
          <w:noProof/>
          <w:szCs w:val="24"/>
        </w:rPr>
        <w:t xml:space="preserve">jelentkezik, tájékoztassa kezelőorvosát </w:t>
      </w:r>
      <w:r w:rsidRPr="00183B5F">
        <w:rPr>
          <w:szCs w:val="24"/>
        </w:rPr>
        <w:t xml:space="preserve">vagy </w:t>
      </w:r>
      <w:r w:rsidRPr="00183B5F">
        <w:rPr>
          <w:noProof/>
          <w:szCs w:val="24"/>
        </w:rPr>
        <w:t>gyógyszerészét. Ez</w:t>
      </w:r>
      <w:r w:rsidRPr="00183B5F">
        <w:rPr>
          <w:szCs w:val="24"/>
        </w:rPr>
        <w:t xml:space="preserve"> a betegtájékoztatóban </w:t>
      </w:r>
      <w:r w:rsidRPr="00183B5F">
        <w:rPr>
          <w:noProof/>
          <w:szCs w:val="24"/>
        </w:rPr>
        <w:t>fel nem sorolt bármilyen lehetséges mellékhatásra is vonatkozik.</w:t>
      </w:r>
      <w:r w:rsidRPr="00183B5F">
        <w:t xml:space="preserve">A mellékhatásokat közvetlenül a hatóság részére is bejelentheti az </w:t>
      </w:r>
      <w:hyperlink r:id="rId23" w:history="1">
        <w:r w:rsidR="00366005" w:rsidRPr="00183B5F">
          <w:rPr>
            <w:rStyle w:val="Hyperlink"/>
            <w:highlight w:val="lightGray"/>
          </w:rPr>
          <w:t>V. függelékben</w:t>
        </w:r>
      </w:hyperlink>
      <w:r w:rsidRPr="00183B5F">
        <w:rPr>
          <w:highlight w:val="lightGray"/>
        </w:rPr>
        <w:t xml:space="preserve"> található elérhetőségeken keresztül</w:t>
      </w:r>
      <w:r w:rsidRPr="00183B5F">
        <w:t>. A mellékhatások bejelentésével Ön is hozzájárulhat ahhoz, hogy minél több információ álljon rendelkezésre a gyógyszer biztonságos alkalmazásával kapcsolatban.</w:t>
      </w:r>
    </w:p>
    <w:p w14:paraId="614726F1" w14:textId="77777777" w:rsidR="00366005" w:rsidRPr="00183B5F" w:rsidRDefault="00366005">
      <w:pPr>
        <w:spacing w:line="240" w:lineRule="auto"/>
        <w:ind w:right="-2"/>
        <w:rPr>
          <w:szCs w:val="22"/>
        </w:rPr>
      </w:pPr>
    </w:p>
    <w:p w14:paraId="01ADDAE6" w14:textId="77777777" w:rsidR="00AC1D27" w:rsidRPr="00183B5F" w:rsidRDefault="00AC1D27">
      <w:pPr>
        <w:spacing w:line="240" w:lineRule="auto"/>
        <w:ind w:right="-2"/>
        <w:rPr>
          <w:szCs w:val="22"/>
        </w:rPr>
      </w:pPr>
    </w:p>
    <w:p w14:paraId="05B359E3" w14:textId="77777777" w:rsidR="00366005" w:rsidRPr="00183B5F" w:rsidRDefault="00943743">
      <w:pPr>
        <w:keepNext/>
        <w:spacing w:line="240" w:lineRule="auto"/>
        <w:ind w:right="-2"/>
        <w:rPr>
          <w:b/>
          <w:szCs w:val="22"/>
        </w:rPr>
      </w:pPr>
      <w:r w:rsidRPr="00183B5F">
        <w:rPr>
          <w:b/>
          <w:bCs/>
          <w:szCs w:val="22"/>
        </w:rPr>
        <w:t>5.</w:t>
      </w:r>
      <w:r w:rsidRPr="00183B5F">
        <w:rPr>
          <w:b/>
          <w:bCs/>
          <w:szCs w:val="22"/>
        </w:rPr>
        <w:tab/>
      </w:r>
      <w:r w:rsidRPr="00183B5F">
        <w:rPr>
          <w:b/>
          <w:szCs w:val="22"/>
        </w:rPr>
        <w:t>Hogyan kell a Humira</w:t>
      </w:r>
      <w:r w:rsidRPr="00183B5F">
        <w:rPr>
          <w:b/>
          <w:szCs w:val="22"/>
        </w:rPr>
        <w:noBreakHyphen/>
        <w:t>t tárolni?</w:t>
      </w:r>
    </w:p>
    <w:p w14:paraId="4C8C1303" w14:textId="77777777" w:rsidR="00366005" w:rsidRPr="00183B5F" w:rsidRDefault="00366005">
      <w:pPr>
        <w:keepNext/>
        <w:spacing w:line="240" w:lineRule="auto"/>
        <w:ind w:right="-2"/>
        <w:rPr>
          <w:b/>
          <w:szCs w:val="22"/>
        </w:rPr>
      </w:pPr>
    </w:p>
    <w:p w14:paraId="34C237BE" w14:textId="77777777" w:rsidR="00366005" w:rsidRPr="00183B5F" w:rsidRDefault="00943743">
      <w:pPr>
        <w:keepNext/>
        <w:spacing w:line="240" w:lineRule="auto"/>
        <w:ind w:right="-2"/>
        <w:rPr>
          <w:szCs w:val="22"/>
        </w:rPr>
      </w:pPr>
      <w:r w:rsidRPr="00183B5F">
        <w:rPr>
          <w:szCs w:val="22"/>
        </w:rPr>
        <w:t>A gyógyszer gyermekektől elzárva tartandó.</w:t>
      </w:r>
    </w:p>
    <w:p w14:paraId="19E14087" w14:textId="77777777" w:rsidR="00366005" w:rsidRPr="00183B5F" w:rsidRDefault="00366005">
      <w:pPr>
        <w:keepNext/>
        <w:spacing w:line="240" w:lineRule="auto"/>
        <w:rPr>
          <w:szCs w:val="22"/>
        </w:rPr>
      </w:pPr>
    </w:p>
    <w:p w14:paraId="71753FF9" w14:textId="77777777" w:rsidR="00366005" w:rsidRPr="00183B5F" w:rsidRDefault="00943743">
      <w:pPr>
        <w:keepNext/>
        <w:spacing w:line="240" w:lineRule="auto"/>
        <w:rPr>
          <w:szCs w:val="22"/>
        </w:rPr>
      </w:pPr>
      <w:r w:rsidRPr="00183B5F">
        <w:rPr>
          <w:szCs w:val="22"/>
        </w:rPr>
        <w:t xml:space="preserve">A címkén/buborékcsomagoláson/dobozon feltüntetett lejárati idő (EXP) után ne alkalmazza ezt </w:t>
      </w:r>
      <w:r w:rsidRPr="00183B5F">
        <w:rPr>
          <w:noProof/>
          <w:szCs w:val="24"/>
        </w:rPr>
        <w:t>a gyógyszert</w:t>
      </w:r>
      <w:r w:rsidRPr="00183B5F">
        <w:rPr>
          <w:szCs w:val="22"/>
        </w:rPr>
        <w:t>.</w:t>
      </w:r>
    </w:p>
    <w:p w14:paraId="3A2437DB" w14:textId="77777777" w:rsidR="00366005" w:rsidRPr="00183B5F" w:rsidRDefault="00366005">
      <w:pPr>
        <w:spacing w:line="240" w:lineRule="auto"/>
        <w:rPr>
          <w:szCs w:val="22"/>
        </w:rPr>
      </w:pPr>
    </w:p>
    <w:p w14:paraId="1A7FA4E7" w14:textId="77777777" w:rsidR="00366005" w:rsidRPr="00183B5F" w:rsidRDefault="00943743">
      <w:pPr>
        <w:spacing w:line="240" w:lineRule="auto"/>
        <w:rPr>
          <w:szCs w:val="22"/>
        </w:rPr>
      </w:pPr>
      <w:r w:rsidRPr="00183B5F">
        <w:rPr>
          <w:szCs w:val="22"/>
        </w:rPr>
        <w:t>Hűtőszekrényben (2°C</w:t>
      </w:r>
      <w:r w:rsidRPr="00183B5F">
        <w:rPr>
          <w:szCs w:val="22"/>
        </w:rPr>
        <w:noBreakHyphen/>
        <w:t>8</w:t>
      </w:r>
      <w:r w:rsidRPr="00183B5F">
        <w:rPr>
          <w:rFonts w:ascii="Symbol" w:hAnsi="Symbol"/>
          <w:szCs w:val="22"/>
        </w:rPr>
        <w:sym w:font="Symbol" w:char="F0B0"/>
      </w:r>
      <w:r w:rsidRPr="00183B5F">
        <w:rPr>
          <w:szCs w:val="22"/>
        </w:rPr>
        <w:t>C) tárolandó. Nem fagyasztható!</w:t>
      </w:r>
    </w:p>
    <w:p w14:paraId="2DE5EB51" w14:textId="77777777" w:rsidR="00366005" w:rsidRPr="00183B5F" w:rsidRDefault="00366005">
      <w:pPr>
        <w:spacing w:line="240" w:lineRule="auto"/>
        <w:rPr>
          <w:szCs w:val="22"/>
        </w:rPr>
      </w:pPr>
    </w:p>
    <w:p w14:paraId="68813B25" w14:textId="77777777" w:rsidR="00366005" w:rsidRPr="00183B5F" w:rsidRDefault="00943743" w:rsidP="00DF53F0">
      <w:pPr>
        <w:spacing w:line="240" w:lineRule="auto"/>
        <w:rPr>
          <w:szCs w:val="22"/>
        </w:rPr>
      </w:pPr>
      <w:r w:rsidRPr="00183B5F">
        <w:rPr>
          <w:szCs w:val="22"/>
        </w:rPr>
        <w:t xml:space="preserve">A fénytől való védelem érdekében az előretöltött injekciós </w:t>
      </w:r>
      <w:r w:rsidR="003120C5" w:rsidRPr="00183B5F">
        <w:rPr>
          <w:szCs w:val="22"/>
        </w:rPr>
        <w:t xml:space="preserve">fecskendő </w:t>
      </w:r>
      <w:r w:rsidRPr="00183B5F">
        <w:rPr>
          <w:szCs w:val="22"/>
        </w:rPr>
        <w:t>az eredeti dobozban tárolandó.</w:t>
      </w:r>
    </w:p>
    <w:p w14:paraId="40C6E78A" w14:textId="77777777" w:rsidR="00366005" w:rsidRPr="00183B5F" w:rsidRDefault="00366005">
      <w:pPr>
        <w:spacing w:line="240" w:lineRule="auto"/>
        <w:rPr>
          <w:szCs w:val="22"/>
        </w:rPr>
      </w:pPr>
    </w:p>
    <w:p w14:paraId="29AD5E98" w14:textId="77777777" w:rsidR="00366005" w:rsidRPr="00183B5F" w:rsidRDefault="00943743">
      <w:pPr>
        <w:spacing w:line="240" w:lineRule="auto"/>
        <w:rPr>
          <w:szCs w:val="22"/>
        </w:rPr>
      </w:pPr>
      <w:r w:rsidRPr="00183B5F">
        <w:rPr>
          <w:szCs w:val="22"/>
        </w:rPr>
        <w:t>További tárolási lehetőség:</w:t>
      </w:r>
    </w:p>
    <w:p w14:paraId="7B12AF4D" w14:textId="77777777" w:rsidR="00366005" w:rsidRPr="00183B5F" w:rsidRDefault="00366005">
      <w:pPr>
        <w:spacing w:line="240" w:lineRule="auto"/>
        <w:rPr>
          <w:szCs w:val="22"/>
        </w:rPr>
      </w:pPr>
    </w:p>
    <w:p w14:paraId="16DC251F" w14:textId="77777777" w:rsidR="00366005" w:rsidRPr="00183B5F" w:rsidRDefault="00943743">
      <w:pPr>
        <w:spacing w:line="240" w:lineRule="auto"/>
        <w:rPr>
          <w:szCs w:val="22"/>
        </w:rPr>
      </w:pPr>
      <w:r w:rsidRPr="00183B5F">
        <w:rPr>
          <w:szCs w:val="22"/>
        </w:rPr>
        <w:t>Amennyiben szükséges (</w:t>
      </w:r>
      <w:r w:rsidR="00F15477" w:rsidRPr="00183B5F">
        <w:rPr>
          <w:bCs/>
          <w:szCs w:val="22"/>
        </w:rPr>
        <w:t>például</w:t>
      </w:r>
      <w:r w:rsidRPr="00183B5F">
        <w:rPr>
          <w:szCs w:val="22"/>
        </w:rPr>
        <w:t xml:space="preserve"> utazás alatt), úgy önmagában a Humira előretöltött </w:t>
      </w:r>
      <w:r w:rsidR="00736B68" w:rsidRPr="00183B5F">
        <w:rPr>
          <w:szCs w:val="22"/>
        </w:rPr>
        <w:t>fecskendő</w:t>
      </w:r>
      <w:r w:rsidRPr="00183B5F">
        <w:rPr>
          <w:szCs w:val="22"/>
        </w:rPr>
        <w:t xml:space="preserve"> legfeljebb 25</w:t>
      </w:r>
      <w:r w:rsidRPr="00183B5F">
        <w:rPr>
          <w:rFonts w:ascii="Symbol" w:hAnsi="Symbol"/>
          <w:szCs w:val="22"/>
        </w:rPr>
        <w:sym w:font="Symbol" w:char="F0B0"/>
      </w:r>
      <w:r w:rsidRPr="00183B5F">
        <w:rPr>
          <w:szCs w:val="22"/>
        </w:rPr>
        <w:t>C</w:t>
      </w:r>
      <w:r w:rsidRPr="00183B5F">
        <w:rPr>
          <w:szCs w:val="22"/>
        </w:rPr>
        <w:noBreakHyphen/>
        <w:t xml:space="preserve">on, maximum 14 napig tárolható. A fénytől való védelmet biztosítani kell. Ha a hűtőgépből kivette, hogy szobahőmérsékleten tartsa, úgy a fecskendőt </w:t>
      </w:r>
      <w:r w:rsidRPr="00183B5F">
        <w:rPr>
          <w:b/>
          <w:szCs w:val="22"/>
        </w:rPr>
        <w:t>14 napon belül fel kell használni, vagy meg kell semmisíteni</w:t>
      </w:r>
      <w:r w:rsidRPr="00183B5F">
        <w:rPr>
          <w:szCs w:val="22"/>
        </w:rPr>
        <w:t>, még akkor is, ha visszatette a hűtőszekrénybe.</w:t>
      </w:r>
    </w:p>
    <w:p w14:paraId="1688CB64" w14:textId="77777777" w:rsidR="00366005" w:rsidRPr="00183B5F" w:rsidRDefault="00366005">
      <w:pPr>
        <w:spacing w:line="240" w:lineRule="auto"/>
        <w:rPr>
          <w:szCs w:val="22"/>
        </w:rPr>
      </w:pPr>
    </w:p>
    <w:p w14:paraId="18EF667D" w14:textId="77777777" w:rsidR="00366005" w:rsidRPr="00183B5F" w:rsidRDefault="00943743">
      <w:pPr>
        <w:spacing w:line="240" w:lineRule="auto"/>
        <w:rPr>
          <w:szCs w:val="22"/>
        </w:rPr>
      </w:pPr>
      <w:r w:rsidRPr="00183B5F">
        <w:rPr>
          <w:szCs w:val="22"/>
        </w:rPr>
        <w:t>Jegyezze fel, hogy mikor vette ki először a fecskendőt a hűtőszekrényből, és azt a dátumot is, ami után azt meg kell semmisíteni.</w:t>
      </w:r>
    </w:p>
    <w:p w14:paraId="333B94DD" w14:textId="77777777" w:rsidR="00366005" w:rsidRPr="00183B5F" w:rsidRDefault="00366005">
      <w:pPr>
        <w:spacing w:line="240" w:lineRule="auto"/>
        <w:rPr>
          <w:szCs w:val="22"/>
        </w:rPr>
      </w:pPr>
    </w:p>
    <w:p w14:paraId="0FCAB8C1" w14:textId="77777777" w:rsidR="00366005" w:rsidRPr="00183B5F" w:rsidRDefault="00943743">
      <w:pPr>
        <w:spacing w:line="240" w:lineRule="auto"/>
        <w:ind w:right="-2"/>
        <w:rPr>
          <w:noProof/>
          <w:szCs w:val="24"/>
        </w:rPr>
      </w:pPr>
      <w:r w:rsidRPr="00183B5F">
        <w:rPr>
          <w:noProof/>
          <w:szCs w:val="24"/>
        </w:rPr>
        <w:t xml:space="preserve">Semmilyen gyógyszert ne dobjon a szennyvízbe </w:t>
      </w:r>
      <w:r w:rsidRPr="00183B5F">
        <w:rPr>
          <w:szCs w:val="24"/>
        </w:rPr>
        <w:t xml:space="preserve">vagy a háztartási </w:t>
      </w:r>
      <w:r w:rsidRPr="00183B5F">
        <w:rPr>
          <w:noProof/>
          <w:szCs w:val="24"/>
        </w:rPr>
        <w:t>hulladékba.</w:t>
      </w:r>
      <w:r w:rsidRPr="00183B5F">
        <w:rPr>
          <w:szCs w:val="24"/>
        </w:rPr>
        <w:t xml:space="preserve"> Kérdezze meg gyógyszerészét, hogy mit tegyen </w:t>
      </w:r>
      <w:r w:rsidRPr="00183B5F">
        <w:rPr>
          <w:noProof/>
          <w:szCs w:val="24"/>
        </w:rPr>
        <w:t>a már nem használt</w:t>
      </w:r>
      <w:r w:rsidRPr="00183B5F">
        <w:rPr>
          <w:szCs w:val="24"/>
        </w:rPr>
        <w:t xml:space="preserve"> gyógyszereivel. </w:t>
      </w:r>
      <w:r w:rsidRPr="00183B5F">
        <w:rPr>
          <w:noProof/>
          <w:szCs w:val="24"/>
        </w:rPr>
        <w:t>Ezek az intézkedések elősegítik a környezet védelmét.</w:t>
      </w:r>
    </w:p>
    <w:p w14:paraId="6F1E8F1D" w14:textId="77777777" w:rsidR="00366005" w:rsidRPr="00183B5F" w:rsidRDefault="00366005">
      <w:pPr>
        <w:spacing w:line="240" w:lineRule="auto"/>
        <w:ind w:right="-2"/>
        <w:rPr>
          <w:noProof/>
          <w:szCs w:val="24"/>
        </w:rPr>
      </w:pPr>
    </w:p>
    <w:p w14:paraId="026544EC" w14:textId="77777777" w:rsidR="00366005" w:rsidRPr="00183B5F" w:rsidRDefault="00366005">
      <w:pPr>
        <w:spacing w:line="240" w:lineRule="auto"/>
        <w:ind w:right="-2"/>
        <w:rPr>
          <w:szCs w:val="22"/>
        </w:rPr>
      </w:pPr>
    </w:p>
    <w:p w14:paraId="0211CF1B" w14:textId="77777777" w:rsidR="00366005" w:rsidRPr="00183B5F" w:rsidRDefault="00943743">
      <w:pPr>
        <w:keepNext/>
        <w:spacing w:line="240" w:lineRule="auto"/>
        <w:ind w:right="-2"/>
        <w:rPr>
          <w:b/>
          <w:noProof/>
          <w:szCs w:val="24"/>
        </w:rPr>
      </w:pPr>
      <w:r w:rsidRPr="00183B5F">
        <w:rPr>
          <w:b/>
          <w:szCs w:val="22"/>
        </w:rPr>
        <w:t>6.</w:t>
      </w:r>
      <w:r w:rsidRPr="00183B5F">
        <w:rPr>
          <w:b/>
          <w:szCs w:val="22"/>
        </w:rPr>
        <w:tab/>
      </w:r>
      <w:r w:rsidRPr="00183B5F">
        <w:rPr>
          <w:b/>
          <w:noProof/>
          <w:szCs w:val="24"/>
        </w:rPr>
        <w:t>A csomagolás tartalma és egyéb információk</w:t>
      </w:r>
    </w:p>
    <w:p w14:paraId="0042E939" w14:textId="77777777" w:rsidR="00366005" w:rsidRPr="00183B5F" w:rsidRDefault="00366005">
      <w:pPr>
        <w:keepNext/>
        <w:spacing w:line="240" w:lineRule="auto"/>
        <w:rPr>
          <w:szCs w:val="22"/>
        </w:rPr>
      </w:pPr>
    </w:p>
    <w:p w14:paraId="21F9F2D7" w14:textId="77777777" w:rsidR="00366005" w:rsidRPr="00183B5F" w:rsidRDefault="00943743">
      <w:pPr>
        <w:keepNext/>
        <w:spacing w:line="240" w:lineRule="auto"/>
        <w:rPr>
          <w:b/>
          <w:bCs/>
          <w:szCs w:val="22"/>
        </w:rPr>
      </w:pPr>
      <w:r w:rsidRPr="00183B5F">
        <w:rPr>
          <w:b/>
          <w:bCs/>
          <w:szCs w:val="22"/>
        </w:rPr>
        <w:t>Mit tartalmaz a Humira?</w:t>
      </w:r>
    </w:p>
    <w:p w14:paraId="0CE5EABB" w14:textId="77777777" w:rsidR="00366005" w:rsidRPr="00183B5F" w:rsidRDefault="00366005">
      <w:pPr>
        <w:spacing w:line="240" w:lineRule="auto"/>
        <w:rPr>
          <w:szCs w:val="22"/>
        </w:rPr>
      </w:pPr>
    </w:p>
    <w:p w14:paraId="6B6ABAB2" w14:textId="77777777" w:rsidR="00366005" w:rsidRPr="00183B5F" w:rsidRDefault="00943743">
      <w:pPr>
        <w:spacing w:line="240" w:lineRule="auto"/>
        <w:rPr>
          <w:szCs w:val="22"/>
        </w:rPr>
      </w:pPr>
      <w:r w:rsidRPr="00183B5F">
        <w:rPr>
          <w:szCs w:val="22"/>
        </w:rPr>
        <w:t>A készítmény hatóanyaga: adalimumab.</w:t>
      </w:r>
    </w:p>
    <w:p w14:paraId="78892E0B" w14:textId="77777777" w:rsidR="00366005" w:rsidRPr="00183B5F" w:rsidRDefault="00943743">
      <w:pPr>
        <w:spacing w:line="240" w:lineRule="auto"/>
        <w:rPr>
          <w:szCs w:val="22"/>
        </w:rPr>
      </w:pPr>
      <w:r w:rsidRPr="00183B5F">
        <w:rPr>
          <w:szCs w:val="22"/>
        </w:rPr>
        <w:t>Egyéb összetevők: mannit, poliszorbát 80 és injekcióhoz való víz.</w:t>
      </w:r>
    </w:p>
    <w:p w14:paraId="41B84977" w14:textId="77777777" w:rsidR="00366005" w:rsidRPr="00183B5F" w:rsidRDefault="00366005">
      <w:pPr>
        <w:spacing w:line="240" w:lineRule="auto"/>
        <w:ind w:right="-2"/>
        <w:rPr>
          <w:bCs/>
          <w:szCs w:val="22"/>
        </w:rPr>
      </w:pPr>
    </w:p>
    <w:p w14:paraId="55E7429B" w14:textId="77777777" w:rsidR="00366005" w:rsidRPr="00183B5F" w:rsidRDefault="00943743">
      <w:pPr>
        <w:keepNext/>
        <w:spacing w:line="240" w:lineRule="auto"/>
        <w:ind w:right="-2"/>
        <w:rPr>
          <w:b/>
          <w:bCs/>
          <w:szCs w:val="22"/>
        </w:rPr>
      </w:pPr>
      <w:r w:rsidRPr="00183B5F">
        <w:rPr>
          <w:b/>
          <w:bCs/>
          <w:szCs w:val="22"/>
        </w:rPr>
        <w:t>Milyen a Humira előretöltött injekciós fecskendő külleme és mit tartalmaz a csomagolás?</w:t>
      </w:r>
    </w:p>
    <w:p w14:paraId="23F30F20" w14:textId="77777777" w:rsidR="00366005" w:rsidRPr="00183B5F" w:rsidRDefault="00366005">
      <w:pPr>
        <w:keepNext/>
        <w:spacing w:line="240" w:lineRule="auto"/>
        <w:ind w:right="-2"/>
        <w:rPr>
          <w:szCs w:val="22"/>
        </w:rPr>
      </w:pPr>
    </w:p>
    <w:p w14:paraId="3E97F7CC" w14:textId="77777777" w:rsidR="00366005" w:rsidRPr="00183B5F" w:rsidRDefault="00943743">
      <w:pPr>
        <w:keepNext/>
        <w:spacing w:line="240" w:lineRule="auto"/>
        <w:rPr>
          <w:szCs w:val="22"/>
        </w:rPr>
      </w:pPr>
      <w:r w:rsidRPr="00183B5F">
        <w:rPr>
          <w:szCs w:val="22"/>
        </w:rPr>
        <w:t>A Humira 20 mg oldatos injekció előretöltött fecskendőben 20 mg adalimumabot tartalmazó 0,2 ml steril oldat formájában kerül forgalomba.</w:t>
      </w:r>
    </w:p>
    <w:p w14:paraId="670A1749" w14:textId="77777777" w:rsidR="00366005" w:rsidRPr="00183B5F" w:rsidRDefault="00366005">
      <w:pPr>
        <w:spacing w:line="240" w:lineRule="auto"/>
        <w:ind w:right="-2"/>
        <w:rPr>
          <w:szCs w:val="22"/>
        </w:rPr>
      </w:pPr>
    </w:p>
    <w:p w14:paraId="092C44FB" w14:textId="77777777" w:rsidR="00366005" w:rsidRPr="00183B5F" w:rsidRDefault="00943743">
      <w:pPr>
        <w:spacing w:line="240" w:lineRule="auto"/>
        <w:ind w:right="-2"/>
        <w:rPr>
          <w:szCs w:val="22"/>
        </w:rPr>
      </w:pPr>
      <w:r w:rsidRPr="00183B5F">
        <w:rPr>
          <w:szCs w:val="22"/>
        </w:rPr>
        <w:t>A Humira előretöltött fecskendő egy adalimumab oldatot tartalmazó üveg fecskendő.</w:t>
      </w:r>
    </w:p>
    <w:p w14:paraId="025F1586" w14:textId="77777777" w:rsidR="00366005" w:rsidRPr="00183B5F" w:rsidRDefault="00366005">
      <w:pPr>
        <w:spacing w:line="240" w:lineRule="auto"/>
        <w:ind w:right="-2"/>
        <w:rPr>
          <w:szCs w:val="22"/>
        </w:rPr>
      </w:pPr>
    </w:p>
    <w:p w14:paraId="14C95BF9" w14:textId="77777777" w:rsidR="00366005" w:rsidRPr="00183B5F" w:rsidRDefault="00943743">
      <w:pPr>
        <w:spacing w:line="240" w:lineRule="auto"/>
        <w:ind w:right="-2"/>
        <w:rPr>
          <w:szCs w:val="22"/>
        </w:rPr>
      </w:pPr>
      <w:r w:rsidRPr="00183B5F">
        <w:rPr>
          <w:szCs w:val="22"/>
        </w:rPr>
        <w:t>A Humira előretöltött fecskendő 2 db előretöltött fecskendőt és 2 db alkoholos törlőkendőt tartalmazó csomagban kerül forgalomba.</w:t>
      </w:r>
    </w:p>
    <w:p w14:paraId="0BDA0BF8" w14:textId="77777777" w:rsidR="00366005" w:rsidRPr="00183B5F" w:rsidRDefault="00366005">
      <w:pPr>
        <w:spacing w:line="240" w:lineRule="auto"/>
        <w:ind w:right="-2"/>
        <w:rPr>
          <w:szCs w:val="22"/>
        </w:rPr>
      </w:pPr>
    </w:p>
    <w:p w14:paraId="4709EF87" w14:textId="77777777" w:rsidR="00366005" w:rsidRPr="00183B5F" w:rsidRDefault="00943743">
      <w:pPr>
        <w:spacing w:line="240" w:lineRule="auto"/>
        <w:ind w:right="-2"/>
        <w:rPr>
          <w:szCs w:val="22"/>
        </w:rPr>
      </w:pPr>
      <w:r w:rsidRPr="00183B5F">
        <w:rPr>
          <w:szCs w:val="22"/>
        </w:rPr>
        <w:t>A Humira injekciós üvegben, előretöltött fecskendőben és előretöltött injekciós tollban kapható.</w:t>
      </w:r>
    </w:p>
    <w:p w14:paraId="6336DDFD" w14:textId="77777777" w:rsidR="00366005" w:rsidRPr="00183B5F" w:rsidRDefault="00366005">
      <w:pPr>
        <w:spacing w:line="240" w:lineRule="auto"/>
        <w:ind w:right="-2"/>
        <w:rPr>
          <w:szCs w:val="22"/>
        </w:rPr>
      </w:pPr>
    </w:p>
    <w:p w14:paraId="4AEF2BD8" w14:textId="77777777" w:rsidR="00366005" w:rsidRPr="00183B5F" w:rsidRDefault="00943743">
      <w:pPr>
        <w:keepNext/>
        <w:spacing w:line="240" w:lineRule="auto"/>
        <w:rPr>
          <w:b/>
          <w:bCs/>
          <w:szCs w:val="22"/>
        </w:rPr>
      </w:pPr>
      <w:r w:rsidRPr="00183B5F">
        <w:rPr>
          <w:b/>
          <w:bCs/>
          <w:szCs w:val="22"/>
        </w:rPr>
        <w:t>A forgalomba hozatali engedély jogosultja</w:t>
      </w:r>
    </w:p>
    <w:p w14:paraId="5471DDC0" w14:textId="77777777" w:rsidR="00366005" w:rsidRPr="00183B5F" w:rsidRDefault="00366005">
      <w:pPr>
        <w:keepNext/>
        <w:spacing w:line="240" w:lineRule="auto"/>
        <w:rPr>
          <w:szCs w:val="22"/>
        </w:rPr>
      </w:pPr>
    </w:p>
    <w:p w14:paraId="2F54F840"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AbbVie Deutschland GmbH &amp; Co. KG</w:t>
      </w:r>
    </w:p>
    <w:p w14:paraId="69C47F7F"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Knollstrasse</w:t>
      </w:r>
    </w:p>
    <w:p w14:paraId="325C1995"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67061 Ludwigshafen</w:t>
      </w:r>
    </w:p>
    <w:p w14:paraId="124E38EE"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 xml:space="preserve">Németország </w:t>
      </w:r>
    </w:p>
    <w:p w14:paraId="5DEAC718" w14:textId="77777777" w:rsidR="00366005" w:rsidRPr="00183B5F" w:rsidRDefault="00366005">
      <w:pPr>
        <w:tabs>
          <w:tab w:val="left" w:pos="562"/>
        </w:tabs>
        <w:spacing w:line="240" w:lineRule="auto"/>
        <w:rPr>
          <w:szCs w:val="22"/>
          <w:lang w:eastAsia="en-US"/>
        </w:rPr>
      </w:pPr>
    </w:p>
    <w:p w14:paraId="12E4CC3F" w14:textId="77777777" w:rsidR="00366005" w:rsidRPr="00183B5F" w:rsidRDefault="00943743">
      <w:pPr>
        <w:spacing w:line="240" w:lineRule="auto"/>
        <w:rPr>
          <w:b/>
          <w:bCs/>
          <w:szCs w:val="22"/>
        </w:rPr>
      </w:pPr>
      <w:r w:rsidRPr="00183B5F">
        <w:rPr>
          <w:b/>
          <w:bCs/>
          <w:szCs w:val="22"/>
        </w:rPr>
        <w:t>Gyártó</w:t>
      </w:r>
    </w:p>
    <w:p w14:paraId="6E7C4F45" w14:textId="77777777" w:rsidR="00366005" w:rsidRPr="00183B5F" w:rsidRDefault="00366005">
      <w:pPr>
        <w:spacing w:line="240" w:lineRule="auto"/>
        <w:rPr>
          <w:szCs w:val="22"/>
        </w:rPr>
      </w:pPr>
    </w:p>
    <w:p w14:paraId="31FA07B9" w14:textId="77777777" w:rsidR="00366005" w:rsidRPr="00183B5F" w:rsidRDefault="00943743">
      <w:pPr>
        <w:spacing w:line="240" w:lineRule="auto"/>
      </w:pPr>
      <w:r w:rsidRPr="00183B5F">
        <w:t>AbbVie Biotechnology GmbH</w:t>
      </w:r>
    </w:p>
    <w:p w14:paraId="60070F35" w14:textId="77777777" w:rsidR="00366005" w:rsidRPr="00183B5F" w:rsidRDefault="00943743">
      <w:pPr>
        <w:numPr>
          <w:ilvl w:val="12"/>
          <w:numId w:val="0"/>
        </w:numPr>
        <w:tabs>
          <w:tab w:val="left" w:pos="720"/>
        </w:tabs>
        <w:spacing w:line="240" w:lineRule="auto"/>
      </w:pPr>
      <w:r w:rsidRPr="00183B5F">
        <w:t>Knollstrasse</w:t>
      </w:r>
    </w:p>
    <w:p w14:paraId="09DF5DA4" w14:textId="77777777" w:rsidR="00366005" w:rsidRPr="00183B5F" w:rsidRDefault="00943743">
      <w:pPr>
        <w:numPr>
          <w:ilvl w:val="12"/>
          <w:numId w:val="0"/>
        </w:numPr>
        <w:tabs>
          <w:tab w:val="left" w:pos="720"/>
        </w:tabs>
        <w:spacing w:line="240" w:lineRule="auto"/>
      </w:pPr>
      <w:r w:rsidRPr="00183B5F">
        <w:t>67061 Ludwigshafen</w:t>
      </w:r>
    </w:p>
    <w:p w14:paraId="591819F1" w14:textId="77777777" w:rsidR="00366005" w:rsidRPr="00183B5F" w:rsidRDefault="00943743">
      <w:pPr>
        <w:spacing w:line="240" w:lineRule="auto"/>
        <w:rPr>
          <w:szCs w:val="22"/>
        </w:rPr>
      </w:pPr>
      <w:r w:rsidRPr="00183B5F">
        <w:t>Németország</w:t>
      </w:r>
    </w:p>
    <w:p w14:paraId="0CA829B1" w14:textId="77777777" w:rsidR="00366005" w:rsidRPr="00183B5F" w:rsidRDefault="00366005">
      <w:pPr>
        <w:spacing w:line="240" w:lineRule="auto"/>
        <w:rPr>
          <w:szCs w:val="22"/>
        </w:rPr>
      </w:pPr>
    </w:p>
    <w:p w14:paraId="2A54176F" w14:textId="77777777" w:rsidR="00366005" w:rsidRPr="00183B5F" w:rsidRDefault="00943743">
      <w:pPr>
        <w:spacing w:line="240" w:lineRule="auto"/>
        <w:rPr>
          <w:szCs w:val="22"/>
        </w:rPr>
      </w:pPr>
      <w:r w:rsidRPr="00183B5F">
        <w:rPr>
          <w:szCs w:val="22"/>
        </w:rPr>
        <w:t>A készítményhez kapcsolódó további kérdéseivel forduljon a forgalomba hozatali engedély jogosultjának helyi képviseletéhez:</w:t>
      </w:r>
    </w:p>
    <w:p w14:paraId="7713D6A3" w14:textId="77777777" w:rsidR="00366005" w:rsidRPr="00183B5F" w:rsidRDefault="00366005">
      <w:pPr>
        <w:spacing w:line="240" w:lineRule="auto"/>
        <w:rPr>
          <w:szCs w:val="22"/>
        </w:rPr>
      </w:pPr>
    </w:p>
    <w:tbl>
      <w:tblPr>
        <w:tblW w:w="9356" w:type="dxa"/>
        <w:tblInd w:w="-34" w:type="dxa"/>
        <w:tblLayout w:type="fixed"/>
        <w:tblLook w:val="0000" w:firstRow="0" w:lastRow="0" w:firstColumn="0" w:lastColumn="0" w:noHBand="0" w:noVBand="0"/>
      </w:tblPr>
      <w:tblGrid>
        <w:gridCol w:w="34"/>
        <w:gridCol w:w="4610"/>
        <w:gridCol w:w="34"/>
        <w:gridCol w:w="4678"/>
      </w:tblGrid>
      <w:tr w:rsidR="00011D2F" w14:paraId="4334FD68" w14:textId="77777777" w:rsidTr="001F79B0">
        <w:tc>
          <w:tcPr>
            <w:tcW w:w="4644" w:type="dxa"/>
            <w:gridSpan w:val="2"/>
          </w:tcPr>
          <w:p w14:paraId="4F1E18D6" w14:textId="77777777" w:rsidR="00275D71" w:rsidRPr="00BD646C" w:rsidRDefault="00943743" w:rsidP="001F79B0">
            <w:pPr>
              <w:suppressAutoHyphens w:val="0"/>
              <w:rPr>
                <w:b/>
                <w:bCs/>
                <w:szCs w:val="22"/>
                <w:lang w:val="fr-BE"/>
              </w:rPr>
            </w:pPr>
            <w:r w:rsidRPr="00BD646C">
              <w:rPr>
                <w:b/>
                <w:bCs/>
                <w:szCs w:val="22"/>
                <w:lang w:val="fr-BE"/>
              </w:rPr>
              <w:t>België/Belgique/Belgien</w:t>
            </w:r>
          </w:p>
          <w:p w14:paraId="50AB99B1" w14:textId="77777777" w:rsidR="00275D71" w:rsidRPr="00BD646C" w:rsidRDefault="00943743" w:rsidP="001F79B0">
            <w:pPr>
              <w:suppressAutoHyphens w:val="0"/>
              <w:rPr>
                <w:bCs/>
                <w:szCs w:val="22"/>
                <w:lang w:val="fr-FR"/>
              </w:rPr>
            </w:pPr>
            <w:r w:rsidRPr="00BD646C">
              <w:rPr>
                <w:bCs/>
                <w:szCs w:val="22"/>
                <w:lang w:val="fr-FR"/>
              </w:rPr>
              <w:t>AbbVie SA</w:t>
            </w:r>
          </w:p>
          <w:p w14:paraId="6233EDDF" w14:textId="77777777" w:rsidR="00275D71" w:rsidRPr="00BD646C" w:rsidRDefault="00943743" w:rsidP="001F79B0">
            <w:pPr>
              <w:suppressAutoHyphens w:val="0"/>
              <w:rPr>
                <w:szCs w:val="22"/>
                <w:lang w:val="fr-FR"/>
              </w:rPr>
            </w:pPr>
            <w:r w:rsidRPr="00BD646C">
              <w:rPr>
                <w:bCs/>
                <w:szCs w:val="22"/>
                <w:lang w:val="fr-FR"/>
              </w:rPr>
              <w:t xml:space="preserve">Tél/Tel: +32 10 </w:t>
            </w:r>
            <w:r w:rsidRPr="00BD646C">
              <w:rPr>
                <w:szCs w:val="22"/>
                <w:lang w:val="fr-FR"/>
              </w:rPr>
              <w:t>477811</w:t>
            </w:r>
          </w:p>
          <w:p w14:paraId="7D39644B" w14:textId="77777777" w:rsidR="00275D71" w:rsidRPr="00BD646C" w:rsidRDefault="00275D71" w:rsidP="001F79B0">
            <w:pPr>
              <w:suppressAutoHyphens w:val="0"/>
              <w:rPr>
                <w:bCs/>
                <w:szCs w:val="22"/>
                <w:lang w:val="fr-FR"/>
              </w:rPr>
            </w:pPr>
          </w:p>
        </w:tc>
        <w:tc>
          <w:tcPr>
            <w:tcW w:w="4678" w:type="dxa"/>
            <w:gridSpan w:val="2"/>
          </w:tcPr>
          <w:p w14:paraId="1DC97ABF" w14:textId="77777777" w:rsidR="00275D71" w:rsidRPr="00BD646C" w:rsidRDefault="00943743" w:rsidP="001F79B0">
            <w:pPr>
              <w:suppressAutoHyphens w:val="0"/>
              <w:rPr>
                <w:b/>
                <w:bCs/>
                <w:szCs w:val="22"/>
                <w:lang w:val="lt-LT"/>
              </w:rPr>
            </w:pPr>
            <w:r w:rsidRPr="00BD646C">
              <w:rPr>
                <w:b/>
                <w:bCs/>
                <w:szCs w:val="22"/>
                <w:lang w:val="lt-LT"/>
              </w:rPr>
              <w:t>Lietuva</w:t>
            </w:r>
          </w:p>
          <w:p w14:paraId="5576C1A2" w14:textId="77777777" w:rsidR="00275D71" w:rsidRPr="00BD646C" w:rsidRDefault="00943743" w:rsidP="001F79B0">
            <w:pPr>
              <w:suppressAutoHyphens w:val="0"/>
              <w:rPr>
                <w:bCs/>
                <w:szCs w:val="22"/>
                <w:lang w:val="lv-LV"/>
              </w:rPr>
            </w:pPr>
            <w:r w:rsidRPr="00BD646C">
              <w:rPr>
                <w:bCs/>
                <w:szCs w:val="22"/>
                <w:lang w:val="lv-LV"/>
              </w:rPr>
              <w:t xml:space="preserve">AbbVie UAB </w:t>
            </w:r>
          </w:p>
          <w:p w14:paraId="26E20C25" w14:textId="77777777" w:rsidR="00275D71" w:rsidRDefault="00943743" w:rsidP="001F79B0">
            <w:pPr>
              <w:suppressAutoHyphens w:val="0"/>
              <w:rPr>
                <w:ins w:id="9876" w:author="AbbVie_HU_03" w:date="2025-05-14T16:30:00Z"/>
                <w:bCs/>
                <w:szCs w:val="22"/>
                <w:lang w:val="lv-LV"/>
              </w:rPr>
            </w:pPr>
            <w:r w:rsidRPr="00BD646C">
              <w:rPr>
                <w:bCs/>
                <w:szCs w:val="22"/>
                <w:lang w:val="lv-LV"/>
              </w:rPr>
              <w:t>Tel: +370 5 205 3023</w:t>
            </w:r>
          </w:p>
          <w:p w14:paraId="47EF524C" w14:textId="77777777" w:rsidR="00B6545F" w:rsidRPr="00BD646C" w:rsidRDefault="00B6545F" w:rsidP="001F79B0">
            <w:pPr>
              <w:suppressAutoHyphens w:val="0"/>
              <w:rPr>
                <w:bCs/>
                <w:szCs w:val="22"/>
                <w:lang w:val="lv-LV"/>
              </w:rPr>
            </w:pPr>
          </w:p>
        </w:tc>
      </w:tr>
      <w:tr w:rsidR="00011D2F" w14:paraId="39933820" w14:textId="77777777" w:rsidTr="001F79B0">
        <w:tc>
          <w:tcPr>
            <w:tcW w:w="4644" w:type="dxa"/>
            <w:gridSpan w:val="2"/>
          </w:tcPr>
          <w:p w14:paraId="6F64EA8F" w14:textId="77777777" w:rsidR="00B6545F" w:rsidRDefault="00B6545F" w:rsidP="001F79B0">
            <w:pPr>
              <w:suppressAutoHyphens w:val="0"/>
              <w:rPr>
                <w:ins w:id="9877" w:author="AbbVie_HU_03" w:date="2025-05-14T16:31:00Z"/>
                <w:b/>
                <w:bCs/>
                <w:szCs w:val="22"/>
              </w:rPr>
            </w:pPr>
          </w:p>
          <w:p w14:paraId="62EA69C7" w14:textId="279DE4F2" w:rsidR="00275D71" w:rsidRPr="00BD646C" w:rsidRDefault="00943743" w:rsidP="001F79B0">
            <w:pPr>
              <w:suppressAutoHyphens w:val="0"/>
              <w:rPr>
                <w:b/>
                <w:bCs/>
                <w:szCs w:val="22"/>
                <w:lang w:val="bg-BG"/>
              </w:rPr>
            </w:pPr>
            <w:r w:rsidRPr="00BD646C">
              <w:rPr>
                <w:b/>
                <w:bCs/>
                <w:szCs w:val="22"/>
                <w:lang w:val="bg-BG"/>
              </w:rPr>
              <w:t>България</w:t>
            </w:r>
          </w:p>
          <w:p w14:paraId="55E8DFD1" w14:textId="77777777" w:rsidR="00275D71" w:rsidRPr="00BD646C" w:rsidRDefault="00943743" w:rsidP="001F79B0">
            <w:pPr>
              <w:suppressAutoHyphens w:val="0"/>
              <w:rPr>
                <w:szCs w:val="22"/>
                <w:lang w:val="da-DK"/>
              </w:rPr>
            </w:pPr>
            <w:r w:rsidRPr="00BD646C">
              <w:rPr>
                <w:szCs w:val="22"/>
                <w:lang w:val="sk-SK"/>
              </w:rPr>
              <w:t>АбВи ЕООД</w:t>
            </w:r>
          </w:p>
          <w:p w14:paraId="7A785429" w14:textId="77777777" w:rsidR="00275D71" w:rsidRDefault="00943743" w:rsidP="001F79B0">
            <w:pPr>
              <w:suppressAutoHyphens w:val="0"/>
              <w:rPr>
                <w:ins w:id="9878" w:author="AbbVie_HU_03" w:date="2025-05-14T16:33:00Z"/>
                <w:szCs w:val="22"/>
                <w:lang w:val="it-IT"/>
              </w:rPr>
            </w:pPr>
            <w:r w:rsidRPr="00BD646C">
              <w:rPr>
                <w:szCs w:val="22"/>
                <w:lang w:val="sk-SK"/>
              </w:rPr>
              <w:t>Тел</w:t>
            </w:r>
            <w:r w:rsidRPr="00BD646C">
              <w:rPr>
                <w:szCs w:val="22"/>
                <w:lang w:val="it-IT"/>
              </w:rPr>
              <w:t>.:+359 2 90 30 430</w:t>
            </w:r>
          </w:p>
          <w:p w14:paraId="60954870" w14:textId="77777777" w:rsidR="00B6545F" w:rsidRDefault="00B6545F" w:rsidP="001F79B0">
            <w:pPr>
              <w:suppressAutoHyphens w:val="0"/>
              <w:rPr>
                <w:ins w:id="9879" w:author="AbbVie_HU_03" w:date="2025-05-14T16:33:00Z"/>
                <w:szCs w:val="22"/>
                <w:lang w:val="it-IT"/>
              </w:rPr>
            </w:pPr>
          </w:p>
          <w:p w14:paraId="61DF3DAC" w14:textId="77777777" w:rsidR="00B6545F" w:rsidRPr="00BD646C" w:rsidRDefault="00B6545F" w:rsidP="001F79B0">
            <w:pPr>
              <w:suppressAutoHyphens w:val="0"/>
              <w:rPr>
                <w:bCs/>
                <w:szCs w:val="22"/>
                <w:lang w:val="da-DK"/>
              </w:rPr>
            </w:pPr>
          </w:p>
        </w:tc>
        <w:tc>
          <w:tcPr>
            <w:tcW w:w="4678" w:type="dxa"/>
            <w:gridSpan w:val="2"/>
          </w:tcPr>
          <w:p w14:paraId="586A9B9C" w14:textId="77777777" w:rsidR="00B6545F" w:rsidRDefault="00B6545F" w:rsidP="001F79B0">
            <w:pPr>
              <w:suppressAutoHyphens w:val="0"/>
              <w:rPr>
                <w:ins w:id="9880" w:author="AbbVie_HU_03" w:date="2025-05-14T16:31:00Z"/>
                <w:b/>
                <w:bCs/>
                <w:szCs w:val="22"/>
                <w:lang w:val="de-DE"/>
              </w:rPr>
            </w:pPr>
          </w:p>
          <w:p w14:paraId="4C4DED24" w14:textId="23B7ACBD" w:rsidR="00275D71" w:rsidRPr="00BD646C" w:rsidRDefault="00943743" w:rsidP="001F79B0">
            <w:pPr>
              <w:suppressAutoHyphens w:val="0"/>
              <w:rPr>
                <w:b/>
                <w:bCs/>
                <w:szCs w:val="22"/>
                <w:lang w:val="de-DE"/>
              </w:rPr>
            </w:pPr>
            <w:r w:rsidRPr="00BD646C">
              <w:rPr>
                <w:b/>
                <w:bCs/>
                <w:szCs w:val="22"/>
                <w:lang w:val="de-DE"/>
              </w:rPr>
              <w:t>Luxembourg/Luxemburg</w:t>
            </w:r>
          </w:p>
          <w:p w14:paraId="648F4901" w14:textId="77777777" w:rsidR="00275D71" w:rsidRPr="00BD646C" w:rsidRDefault="00943743" w:rsidP="001F79B0">
            <w:pPr>
              <w:suppressAutoHyphens w:val="0"/>
              <w:rPr>
                <w:bCs/>
                <w:szCs w:val="22"/>
                <w:lang w:val="de-DE"/>
              </w:rPr>
            </w:pPr>
            <w:r w:rsidRPr="00BD646C">
              <w:rPr>
                <w:bCs/>
                <w:szCs w:val="22"/>
                <w:lang w:val="de-DE"/>
              </w:rPr>
              <w:t>AbbVie SA</w:t>
            </w:r>
          </w:p>
          <w:p w14:paraId="67F09DC7" w14:textId="77777777" w:rsidR="00275D71" w:rsidRPr="00BD646C" w:rsidRDefault="00943743" w:rsidP="001F79B0">
            <w:pPr>
              <w:suppressAutoHyphens w:val="0"/>
              <w:rPr>
                <w:bCs/>
                <w:szCs w:val="22"/>
                <w:lang w:val="de-DE"/>
              </w:rPr>
            </w:pPr>
            <w:r w:rsidRPr="00BD646C">
              <w:rPr>
                <w:bCs/>
                <w:szCs w:val="22"/>
                <w:lang w:val="de-DE"/>
              </w:rPr>
              <w:t>Belgique/Belgien</w:t>
            </w:r>
          </w:p>
          <w:p w14:paraId="34987F77" w14:textId="59F578DA" w:rsidR="00B6545F" w:rsidRPr="00BD646C" w:rsidRDefault="00943743" w:rsidP="001F79B0">
            <w:pPr>
              <w:suppressAutoHyphens w:val="0"/>
              <w:rPr>
                <w:bCs/>
                <w:szCs w:val="22"/>
                <w:lang w:val="fr-FR"/>
              </w:rPr>
            </w:pPr>
            <w:r w:rsidRPr="00BD646C">
              <w:rPr>
                <w:bCs/>
                <w:szCs w:val="22"/>
                <w:lang w:val="fr-FR"/>
              </w:rPr>
              <w:t>Tél/Tel: +32 10 477811</w:t>
            </w:r>
          </w:p>
          <w:p w14:paraId="340832D7" w14:textId="77777777" w:rsidR="00275D71" w:rsidRPr="00BD646C" w:rsidRDefault="00275D71" w:rsidP="001F79B0">
            <w:pPr>
              <w:suppressAutoHyphens w:val="0"/>
              <w:rPr>
                <w:bCs/>
                <w:szCs w:val="22"/>
                <w:lang w:val="fr-FR"/>
              </w:rPr>
            </w:pPr>
          </w:p>
        </w:tc>
      </w:tr>
      <w:tr w:rsidR="00011D2F" w14:paraId="28D7DFEF" w14:textId="77777777" w:rsidTr="001F79B0">
        <w:tc>
          <w:tcPr>
            <w:tcW w:w="4644" w:type="dxa"/>
            <w:gridSpan w:val="2"/>
          </w:tcPr>
          <w:p w14:paraId="5FDCEB2E" w14:textId="77777777" w:rsidR="00275D71" w:rsidRPr="00BD646C" w:rsidRDefault="00943743" w:rsidP="001F79B0">
            <w:pPr>
              <w:suppressAutoHyphens w:val="0"/>
              <w:rPr>
                <w:b/>
                <w:bCs/>
                <w:szCs w:val="22"/>
                <w:lang w:val="sk-SK"/>
              </w:rPr>
            </w:pPr>
            <w:r w:rsidRPr="00BD646C">
              <w:rPr>
                <w:b/>
                <w:bCs/>
                <w:szCs w:val="22"/>
                <w:lang w:val="sk-SK"/>
              </w:rPr>
              <w:t>Česká republika</w:t>
            </w:r>
          </w:p>
          <w:p w14:paraId="39372F75" w14:textId="77777777" w:rsidR="00275D71" w:rsidRPr="00BD646C" w:rsidRDefault="00943743" w:rsidP="001F79B0">
            <w:pPr>
              <w:suppressAutoHyphens w:val="0"/>
              <w:rPr>
                <w:bCs/>
                <w:szCs w:val="22"/>
                <w:lang w:val="sk-SK"/>
              </w:rPr>
            </w:pPr>
            <w:r w:rsidRPr="00BD646C">
              <w:rPr>
                <w:bCs/>
                <w:szCs w:val="22"/>
                <w:lang w:val="sk-SK"/>
              </w:rPr>
              <w:t xml:space="preserve">AbbVie s.r.o. </w:t>
            </w:r>
          </w:p>
          <w:p w14:paraId="407CF4D5" w14:textId="77777777" w:rsidR="00275D71" w:rsidRDefault="00943743" w:rsidP="001F79B0">
            <w:pPr>
              <w:suppressAutoHyphens w:val="0"/>
              <w:rPr>
                <w:ins w:id="9881" w:author="AbbVie_HU_03" w:date="2025-05-14T16:33:00Z"/>
                <w:bCs/>
                <w:szCs w:val="22"/>
                <w:lang w:val="sk-SK"/>
              </w:rPr>
            </w:pPr>
            <w:r w:rsidRPr="00BD646C">
              <w:rPr>
                <w:bCs/>
                <w:szCs w:val="22"/>
                <w:lang w:val="sk-SK"/>
              </w:rPr>
              <w:t>Tel: +420 233 098 111</w:t>
            </w:r>
          </w:p>
          <w:p w14:paraId="15247CFD" w14:textId="77777777" w:rsidR="00B6545F" w:rsidRPr="00BD646C" w:rsidRDefault="00B6545F" w:rsidP="001F79B0">
            <w:pPr>
              <w:suppressAutoHyphens w:val="0"/>
              <w:rPr>
                <w:bCs/>
                <w:szCs w:val="22"/>
                <w:lang w:val="sk-SK"/>
              </w:rPr>
            </w:pPr>
          </w:p>
        </w:tc>
        <w:tc>
          <w:tcPr>
            <w:tcW w:w="4678" w:type="dxa"/>
            <w:gridSpan w:val="2"/>
          </w:tcPr>
          <w:p w14:paraId="33DBB573" w14:textId="77777777" w:rsidR="00275D71" w:rsidRPr="00BD646C" w:rsidRDefault="00943743" w:rsidP="001F79B0">
            <w:pPr>
              <w:suppressAutoHyphens w:val="0"/>
              <w:rPr>
                <w:b/>
                <w:bCs/>
                <w:szCs w:val="22"/>
              </w:rPr>
            </w:pPr>
            <w:r w:rsidRPr="00BD646C">
              <w:rPr>
                <w:b/>
                <w:bCs/>
                <w:szCs w:val="22"/>
              </w:rPr>
              <w:t>Magyarország</w:t>
            </w:r>
          </w:p>
          <w:p w14:paraId="0ECCD7D2" w14:textId="77777777" w:rsidR="00275D71" w:rsidRPr="00BD646C" w:rsidRDefault="00943743" w:rsidP="001F79B0">
            <w:pPr>
              <w:suppressAutoHyphens w:val="0"/>
              <w:rPr>
                <w:bCs/>
                <w:szCs w:val="22"/>
              </w:rPr>
            </w:pPr>
            <w:r w:rsidRPr="00BD646C">
              <w:rPr>
                <w:bCs/>
                <w:szCs w:val="22"/>
              </w:rPr>
              <w:t>AbbVie Kft.</w:t>
            </w:r>
          </w:p>
          <w:p w14:paraId="63803B00" w14:textId="77777777" w:rsidR="00275D71" w:rsidRPr="00BD646C" w:rsidRDefault="00943743" w:rsidP="001F79B0">
            <w:pPr>
              <w:suppressAutoHyphens w:val="0"/>
              <w:rPr>
                <w:bCs/>
                <w:szCs w:val="22"/>
              </w:rPr>
            </w:pPr>
            <w:r w:rsidRPr="00BD646C">
              <w:rPr>
                <w:bCs/>
                <w:szCs w:val="22"/>
              </w:rPr>
              <w:t>Tel.:+36 1 455 8600</w:t>
            </w:r>
          </w:p>
          <w:p w14:paraId="4964532E" w14:textId="77777777" w:rsidR="00275D71" w:rsidRPr="00BD646C" w:rsidRDefault="00275D71" w:rsidP="001F79B0">
            <w:pPr>
              <w:suppressAutoHyphens w:val="0"/>
              <w:rPr>
                <w:bCs/>
                <w:szCs w:val="22"/>
              </w:rPr>
            </w:pPr>
          </w:p>
        </w:tc>
      </w:tr>
      <w:tr w:rsidR="00011D2F" w14:paraId="0A9F7B54" w14:textId="77777777" w:rsidTr="001F79B0">
        <w:trPr>
          <w:trHeight w:val="737"/>
        </w:trPr>
        <w:tc>
          <w:tcPr>
            <w:tcW w:w="4644" w:type="dxa"/>
            <w:gridSpan w:val="2"/>
          </w:tcPr>
          <w:p w14:paraId="6C2E630F" w14:textId="77777777" w:rsidR="00B6545F" w:rsidRDefault="00B6545F" w:rsidP="001F79B0">
            <w:pPr>
              <w:suppressAutoHyphens w:val="0"/>
              <w:rPr>
                <w:ins w:id="9882" w:author="AbbVie_HU_03" w:date="2025-05-14T16:34:00Z"/>
                <w:b/>
                <w:bCs/>
                <w:szCs w:val="22"/>
                <w:lang w:val="en-US"/>
              </w:rPr>
            </w:pPr>
          </w:p>
          <w:p w14:paraId="7CB68D97" w14:textId="5389E54B" w:rsidR="00275D71" w:rsidRPr="00BD646C" w:rsidRDefault="00943743" w:rsidP="001F79B0">
            <w:pPr>
              <w:suppressAutoHyphens w:val="0"/>
              <w:rPr>
                <w:b/>
                <w:bCs/>
                <w:szCs w:val="22"/>
                <w:lang w:val="en-US"/>
              </w:rPr>
            </w:pPr>
            <w:r w:rsidRPr="00BD646C">
              <w:rPr>
                <w:b/>
                <w:bCs/>
                <w:szCs w:val="22"/>
                <w:lang w:val="en-US"/>
              </w:rPr>
              <w:t>Danmark</w:t>
            </w:r>
          </w:p>
          <w:p w14:paraId="0262DBC9" w14:textId="77777777" w:rsidR="00275D71" w:rsidRPr="00BD646C" w:rsidRDefault="00943743" w:rsidP="001F79B0">
            <w:pPr>
              <w:suppressAutoHyphens w:val="0"/>
              <w:rPr>
                <w:bCs/>
                <w:szCs w:val="22"/>
                <w:lang w:val="en-US"/>
              </w:rPr>
            </w:pPr>
            <w:r w:rsidRPr="00BD646C">
              <w:rPr>
                <w:bCs/>
                <w:szCs w:val="22"/>
                <w:lang w:val="en-US"/>
              </w:rPr>
              <w:t>AbbVie A/S</w:t>
            </w:r>
          </w:p>
          <w:p w14:paraId="2596604C" w14:textId="1A160E13" w:rsidR="00275D71" w:rsidRPr="00BD646C" w:rsidRDefault="00943743" w:rsidP="001F79B0">
            <w:pPr>
              <w:suppressAutoHyphens w:val="0"/>
              <w:rPr>
                <w:bCs/>
                <w:szCs w:val="22"/>
                <w:lang w:val="sk-SK"/>
              </w:rPr>
            </w:pPr>
            <w:r w:rsidRPr="00BD646C">
              <w:rPr>
                <w:bCs/>
                <w:szCs w:val="22"/>
                <w:lang w:val="en-US"/>
              </w:rPr>
              <w:t>Tlf</w:t>
            </w:r>
            <w:ins w:id="9883" w:author="AbbVie_HU_03" w:date="2025-05-14T17:03:00Z">
              <w:r w:rsidR="00673483">
                <w:rPr>
                  <w:bCs/>
                  <w:szCs w:val="22"/>
                  <w:lang w:val="en-US"/>
                </w:rPr>
                <w:t>.</w:t>
              </w:r>
            </w:ins>
            <w:r w:rsidRPr="00BD646C">
              <w:rPr>
                <w:bCs/>
                <w:szCs w:val="22"/>
                <w:lang w:val="en-US"/>
              </w:rPr>
              <w:t>: +45 72 30-20-28</w:t>
            </w:r>
          </w:p>
        </w:tc>
        <w:tc>
          <w:tcPr>
            <w:tcW w:w="4678" w:type="dxa"/>
            <w:gridSpan w:val="2"/>
          </w:tcPr>
          <w:p w14:paraId="55F94EA2" w14:textId="77777777" w:rsidR="00B6545F" w:rsidRDefault="00B6545F" w:rsidP="001F79B0">
            <w:pPr>
              <w:suppressAutoHyphens w:val="0"/>
              <w:rPr>
                <w:ins w:id="9884" w:author="AbbVie_HU_03" w:date="2025-05-14T16:34:00Z"/>
                <w:b/>
                <w:bCs/>
                <w:szCs w:val="22"/>
                <w:lang w:val="mt-MT"/>
              </w:rPr>
            </w:pPr>
          </w:p>
          <w:p w14:paraId="14F918E2" w14:textId="73AD2F37" w:rsidR="00275D71" w:rsidRPr="00BD646C" w:rsidRDefault="00943743" w:rsidP="001F79B0">
            <w:pPr>
              <w:suppressAutoHyphens w:val="0"/>
              <w:rPr>
                <w:b/>
                <w:bCs/>
                <w:szCs w:val="22"/>
                <w:lang w:val="mt-MT"/>
              </w:rPr>
            </w:pPr>
            <w:r w:rsidRPr="00BD646C">
              <w:rPr>
                <w:b/>
                <w:bCs/>
                <w:szCs w:val="22"/>
                <w:lang w:val="mt-MT"/>
              </w:rPr>
              <w:t>Malta</w:t>
            </w:r>
          </w:p>
          <w:p w14:paraId="333C5558" w14:textId="77777777" w:rsidR="00275D71" w:rsidRPr="00BD646C" w:rsidRDefault="00943743" w:rsidP="001F79B0">
            <w:pPr>
              <w:suppressAutoHyphens w:val="0"/>
              <w:rPr>
                <w:bCs/>
                <w:szCs w:val="22"/>
                <w:lang w:val="sk-SK"/>
              </w:rPr>
            </w:pPr>
            <w:r w:rsidRPr="00BD646C">
              <w:rPr>
                <w:bCs/>
                <w:szCs w:val="22"/>
                <w:lang w:val="sk-SK"/>
              </w:rPr>
              <w:t xml:space="preserve">V.J.Salomone Pharma Limited </w:t>
            </w:r>
          </w:p>
          <w:p w14:paraId="2CA2D023" w14:textId="278F8DCD" w:rsidR="00275D71" w:rsidRPr="00BD646C" w:rsidRDefault="00943743" w:rsidP="001F79B0">
            <w:pPr>
              <w:suppressAutoHyphens w:val="0"/>
              <w:rPr>
                <w:bCs/>
                <w:szCs w:val="22"/>
                <w:lang w:val="sk-SK"/>
              </w:rPr>
            </w:pPr>
            <w:r w:rsidRPr="00BD646C">
              <w:rPr>
                <w:bCs/>
                <w:szCs w:val="22"/>
                <w:lang w:val="sk-SK"/>
              </w:rPr>
              <w:t xml:space="preserve">Tel: </w:t>
            </w:r>
            <w:r w:rsidR="00192C55">
              <w:rPr>
                <w:bCs/>
                <w:szCs w:val="22"/>
              </w:rPr>
              <w:t>+356 21220174</w:t>
            </w:r>
          </w:p>
          <w:p w14:paraId="7D1786E8" w14:textId="77777777" w:rsidR="00275D71" w:rsidRPr="00BD646C" w:rsidRDefault="00275D71" w:rsidP="001F79B0">
            <w:pPr>
              <w:suppressAutoHyphens w:val="0"/>
              <w:rPr>
                <w:bCs/>
                <w:szCs w:val="22"/>
                <w:lang w:val="sk-SK"/>
              </w:rPr>
            </w:pPr>
          </w:p>
        </w:tc>
      </w:tr>
      <w:tr w:rsidR="00011D2F" w14:paraId="0DF4011F" w14:textId="77777777" w:rsidTr="001F79B0">
        <w:tc>
          <w:tcPr>
            <w:tcW w:w="4644" w:type="dxa"/>
            <w:gridSpan w:val="2"/>
          </w:tcPr>
          <w:p w14:paraId="234B0189" w14:textId="77777777" w:rsidR="00275D71" w:rsidRPr="00BD646C" w:rsidRDefault="00943743" w:rsidP="001F79B0">
            <w:pPr>
              <w:suppressAutoHyphens w:val="0"/>
              <w:rPr>
                <w:b/>
                <w:bCs/>
                <w:szCs w:val="22"/>
                <w:lang w:val="de-DE"/>
              </w:rPr>
            </w:pPr>
            <w:r w:rsidRPr="00BD646C">
              <w:rPr>
                <w:b/>
                <w:bCs/>
                <w:szCs w:val="22"/>
                <w:lang w:val="de-DE"/>
              </w:rPr>
              <w:t>Deutschland</w:t>
            </w:r>
          </w:p>
          <w:p w14:paraId="0F86AB35" w14:textId="77777777" w:rsidR="00275D71" w:rsidRPr="00BD646C" w:rsidRDefault="00943743" w:rsidP="001F79B0">
            <w:pPr>
              <w:suppressAutoHyphens w:val="0"/>
              <w:rPr>
                <w:bCs/>
                <w:szCs w:val="22"/>
                <w:lang w:val="de-DE"/>
              </w:rPr>
            </w:pPr>
            <w:r w:rsidRPr="00BD646C">
              <w:rPr>
                <w:szCs w:val="22"/>
                <w:lang w:val="de-DE"/>
              </w:rPr>
              <w:t xml:space="preserve">AbbVie Deutschland </w:t>
            </w:r>
            <w:r w:rsidRPr="00BD646C">
              <w:rPr>
                <w:bCs/>
                <w:szCs w:val="22"/>
                <w:lang w:val="de-DE"/>
              </w:rPr>
              <w:t>GmbH &amp; Co. KG</w:t>
            </w:r>
          </w:p>
          <w:p w14:paraId="3C62B9D7" w14:textId="77777777" w:rsidR="00275D71" w:rsidRPr="00BD646C" w:rsidRDefault="00943743" w:rsidP="001F79B0">
            <w:pPr>
              <w:suppressAutoHyphens w:val="0"/>
              <w:rPr>
                <w:szCs w:val="22"/>
                <w:lang w:val="de-DE"/>
              </w:rPr>
            </w:pPr>
            <w:r w:rsidRPr="00BD646C">
              <w:rPr>
                <w:szCs w:val="22"/>
                <w:lang w:val="de-DE"/>
              </w:rPr>
              <w:t>Tel: 00800 222843 33 (gebührenfrei)</w:t>
            </w:r>
          </w:p>
          <w:p w14:paraId="32803FAD" w14:textId="77777777" w:rsidR="00275D71" w:rsidRPr="00BD646C" w:rsidRDefault="00943743" w:rsidP="001F79B0">
            <w:pPr>
              <w:suppressAutoHyphens w:val="0"/>
              <w:rPr>
                <w:szCs w:val="22"/>
                <w:lang w:val="de-DE"/>
              </w:rPr>
            </w:pPr>
            <w:r w:rsidRPr="00BD646C">
              <w:rPr>
                <w:szCs w:val="22"/>
                <w:lang w:val="de-DE"/>
              </w:rPr>
              <w:t>Tel: +49 (0) 611 / 1720-0</w:t>
            </w:r>
          </w:p>
          <w:p w14:paraId="7D17B021" w14:textId="77777777" w:rsidR="00275D71" w:rsidRPr="00BD646C" w:rsidRDefault="00275D71" w:rsidP="001F79B0">
            <w:pPr>
              <w:suppressAutoHyphens w:val="0"/>
              <w:rPr>
                <w:szCs w:val="22"/>
                <w:lang w:val="de-DE"/>
              </w:rPr>
            </w:pPr>
          </w:p>
        </w:tc>
        <w:tc>
          <w:tcPr>
            <w:tcW w:w="4678" w:type="dxa"/>
            <w:gridSpan w:val="2"/>
          </w:tcPr>
          <w:p w14:paraId="10CCCB7E" w14:textId="77777777" w:rsidR="00275D71" w:rsidRPr="00BD646C" w:rsidRDefault="00943743" w:rsidP="001F79B0">
            <w:pPr>
              <w:suppressAutoHyphens w:val="0"/>
              <w:rPr>
                <w:b/>
                <w:bCs/>
                <w:szCs w:val="22"/>
                <w:lang w:val="nl-NL"/>
              </w:rPr>
            </w:pPr>
            <w:r w:rsidRPr="00BD646C">
              <w:rPr>
                <w:b/>
                <w:bCs/>
                <w:szCs w:val="22"/>
                <w:lang w:val="nl-NL"/>
              </w:rPr>
              <w:t>Nederland</w:t>
            </w:r>
          </w:p>
          <w:p w14:paraId="1BA74AA9" w14:textId="77777777" w:rsidR="00275D71" w:rsidRPr="00BD646C" w:rsidRDefault="00943743" w:rsidP="001F79B0">
            <w:pPr>
              <w:suppressAutoHyphens w:val="0"/>
              <w:rPr>
                <w:bCs/>
                <w:szCs w:val="22"/>
                <w:lang w:val="de-DE"/>
              </w:rPr>
            </w:pPr>
            <w:r w:rsidRPr="00BD646C">
              <w:rPr>
                <w:bCs/>
                <w:szCs w:val="22"/>
                <w:lang w:val="de-DE"/>
              </w:rPr>
              <w:t>AbbVie B.V.</w:t>
            </w:r>
          </w:p>
          <w:p w14:paraId="7BE7FD79" w14:textId="397452F9" w:rsidR="00B6545F" w:rsidRPr="00BD646C" w:rsidRDefault="00943743" w:rsidP="001F79B0">
            <w:pPr>
              <w:suppressAutoHyphens w:val="0"/>
              <w:rPr>
                <w:bCs/>
                <w:szCs w:val="22"/>
                <w:lang w:val="de-DE"/>
              </w:rPr>
            </w:pPr>
            <w:r w:rsidRPr="00BD646C">
              <w:rPr>
                <w:bCs/>
                <w:szCs w:val="22"/>
                <w:lang w:val="de-DE"/>
              </w:rPr>
              <w:t>Tel: +31 (0)88 322 2843</w:t>
            </w:r>
          </w:p>
        </w:tc>
      </w:tr>
      <w:tr w:rsidR="00011D2F" w14:paraId="00A0C53A" w14:textId="77777777" w:rsidTr="001F79B0">
        <w:tc>
          <w:tcPr>
            <w:tcW w:w="4644" w:type="dxa"/>
            <w:gridSpan w:val="2"/>
          </w:tcPr>
          <w:p w14:paraId="0D7B4437" w14:textId="77777777" w:rsidR="00B6545F" w:rsidRDefault="00B6545F" w:rsidP="001F79B0">
            <w:pPr>
              <w:suppressAutoHyphens w:val="0"/>
              <w:rPr>
                <w:ins w:id="9885" w:author="AbbVie_HU_03" w:date="2025-05-14T16:34:00Z"/>
                <w:b/>
                <w:bCs/>
                <w:szCs w:val="22"/>
                <w:lang w:val="et-EE"/>
              </w:rPr>
            </w:pPr>
          </w:p>
          <w:p w14:paraId="64DBC6F8" w14:textId="0AA8EC3B" w:rsidR="00275D71" w:rsidRPr="00BD646C" w:rsidRDefault="00943743" w:rsidP="001F79B0">
            <w:pPr>
              <w:suppressAutoHyphens w:val="0"/>
              <w:rPr>
                <w:b/>
                <w:bCs/>
                <w:szCs w:val="22"/>
                <w:lang w:val="et-EE"/>
              </w:rPr>
            </w:pPr>
            <w:r w:rsidRPr="00BD646C">
              <w:rPr>
                <w:b/>
                <w:bCs/>
                <w:szCs w:val="22"/>
                <w:lang w:val="et-EE"/>
              </w:rPr>
              <w:t>Eesti</w:t>
            </w:r>
          </w:p>
          <w:p w14:paraId="5E6D0796" w14:textId="77777777" w:rsidR="00275D71" w:rsidRPr="00BD646C" w:rsidRDefault="00943743" w:rsidP="001F79B0">
            <w:pPr>
              <w:suppressAutoHyphens w:val="0"/>
              <w:rPr>
                <w:bCs/>
                <w:szCs w:val="22"/>
                <w:lang w:val="et-EE"/>
              </w:rPr>
            </w:pPr>
            <w:r w:rsidRPr="00BD646C">
              <w:rPr>
                <w:bCs/>
                <w:szCs w:val="22"/>
                <w:lang w:val="et-EE"/>
              </w:rPr>
              <w:t xml:space="preserve">AbbVie </w:t>
            </w:r>
            <w:r w:rsidRPr="00BD646C">
              <w:rPr>
                <w:bCs/>
                <w:szCs w:val="22"/>
                <w:lang w:val="sk-SK"/>
              </w:rPr>
              <w:t>OÜ</w:t>
            </w:r>
            <w:r w:rsidRPr="00BD646C">
              <w:rPr>
                <w:bCs/>
                <w:szCs w:val="22"/>
                <w:lang w:val="et-EE"/>
              </w:rPr>
              <w:t xml:space="preserve"> </w:t>
            </w:r>
          </w:p>
          <w:p w14:paraId="780CC45B" w14:textId="77777777" w:rsidR="00275D71" w:rsidRDefault="00943743" w:rsidP="001F79B0">
            <w:pPr>
              <w:suppressAutoHyphens w:val="0"/>
              <w:rPr>
                <w:ins w:id="9886" w:author="AbbVie_HU_03" w:date="2025-05-14T16:34:00Z"/>
                <w:bCs/>
                <w:szCs w:val="22"/>
                <w:lang w:val="et-EE"/>
              </w:rPr>
            </w:pPr>
            <w:r w:rsidRPr="00BD646C">
              <w:rPr>
                <w:bCs/>
                <w:szCs w:val="22"/>
                <w:lang w:val="et-EE"/>
              </w:rPr>
              <w:t>Tel: +372 623 1011</w:t>
            </w:r>
          </w:p>
          <w:p w14:paraId="17C8EA20" w14:textId="77777777" w:rsidR="00B6545F" w:rsidRPr="00BD646C" w:rsidRDefault="00B6545F" w:rsidP="001F79B0">
            <w:pPr>
              <w:suppressAutoHyphens w:val="0"/>
              <w:rPr>
                <w:bCs/>
                <w:szCs w:val="22"/>
                <w:lang w:val="lv-LV"/>
              </w:rPr>
            </w:pPr>
          </w:p>
        </w:tc>
        <w:tc>
          <w:tcPr>
            <w:tcW w:w="4678" w:type="dxa"/>
            <w:gridSpan w:val="2"/>
          </w:tcPr>
          <w:p w14:paraId="11CA7EEE" w14:textId="77777777" w:rsidR="00275D71" w:rsidRPr="00BD646C" w:rsidRDefault="00943743" w:rsidP="001F79B0">
            <w:pPr>
              <w:suppressAutoHyphens w:val="0"/>
              <w:rPr>
                <w:b/>
                <w:bCs/>
                <w:szCs w:val="22"/>
                <w:lang w:val="nb-NO"/>
              </w:rPr>
            </w:pPr>
            <w:r w:rsidRPr="00BD646C">
              <w:rPr>
                <w:b/>
                <w:bCs/>
                <w:szCs w:val="22"/>
                <w:lang w:val="nb-NO"/>
              </w:rPr>
              <w:t>Norge</w:t>
            </w:r>
          </w:p>
          <w:p w14:paraId="207437DF" w14:textId="77777777" w:rsidR="00275D71" w:rsidRPr="00BD646C" w:rsidRDefault="00943743" w:rsidP="001F79B0">
            <w:pPr>
              <w:suppressAutoHyphens w:val="0"/>
              <w:rPr>
                <w:bCs/>
                <w:szCs w:val="22"/>
                <w:lang w:val="sk-SK"/>
              </w:rPr>
            </w:pPr>
            <w:r w:rsidRPr="00BD646C">
              <w:rPr>
                <w:bCs/>
                <w:szCs w:val="22"/>
                <w:lang w:val="sk-SK"/>
              </w:rPr>
              <w:t>AbbVie AS</w:t>
            </w:r>
          </w:p>
          <w:p w14:paraId="25901D76" w14:textId="77777777" w:rsidR="00275D71" w:rsidRPr="00BD646C" w:rsidRDefault="00943743" w:rsidP="001F79B0">
            <w:pPr>
              <w:suppressAutoHyphens w:val="0"/>
              <w:rPr>
                <w:bCs/>
                <w:szCs w:val="22"/>
                <w:lang w:val="sk-SK"/>
              </w:rPr>
            </w:pPr>
            <w:r w:rsidRPr="00BD646C">
              <w:rPr>
                <w:bCs/>
                <w:szCs w:val="22"/>
                <w:lang w:val="sk-SK"/>
              </w:rPr>
              <w:t>Tlf: +47 67 81 80 00</w:t>
            </w:r>
          </w:p>
          <w:p w14:paraId="24C6FB3B" w14:textId="77777777" w:rsidR="00275D71" w:rsidRPr="00BD646C" w:rsidRDefault="00275D71" w:rsidP="001F79B0">
            <w:pPr>
              <w:suppressAutoHyphens w:val="0"/>
              <w:rPr>
                <w:bCs/>
                <w:szCs w:val="22"/>
                <w:lang w:val="sk-SK"/>
              </w:rPr>
            </w:pPr>
          </w:p>
        </w:tc>
      </w:tr>
      <w:tr w:rsidR="00011D2F" w14:paraId="146A5D42" w14:textId="77777777" w:rsidTr="001F79B0">
        <w:trPr>
          <w:trHeight w:val="794"/>
        </w:trPr>
        <w:tc>
          <w:tcPr>
            <w:tcW w:w="4644" w:type="dxa"/>
            <w:gridSpan w:val="2"/>
          </w:tcPr>
          <w:p w14:paraId="6154A0BC" w14:textId="77777777" w:rsidR="00B6545F" w:rsidRDefault="00B6545F" w:rsidP="001F79B0">
            <w:pPr>
              <w:suppressAutoHyphens w:val="0"/>
              <w:rPr>
                <w:ins w:id="9887" w:author="AbbVie_HU_03" w:date="2025-05-14T16:35:00Z"/>
                <w:b/>
                <w:bCs/>
                <w:szCs w:val="22"/>
              </w:rPr>
            </w:pPr>
          </w:p>
          <w:p w14:paraId="32BAFDCA" w14:textId="78A80855" w:rsidR="00275D71" w:rsidRPr="00BD646C" w:rsidRDefault="00943743" w:rsidP="001F79B0">
            <w:pPr>
              <w:suppressAutoHyphens w:val="0"/>
              <w:rPr>
                <w:b/>
                <w:bCs/>
                <w:szCs w:val="22"/>
                <w:lang w:val="el-GR"/>
              </w:rPr>
            </w:pPr>
            <w:r w:rsidRPr="00BD646C">
              <w:rPr>
                <w:b/>
                <w:bCs/>
                <w:szCs w:val="22"/>
                <w:lang w:val="el-GR"/>
              </w:rPr>
              <w:t>Ελλάδα</w:t>
            </w:r>
          </w:p>
          <w:p w14:paraId="4AA6FF4E" w14:textId="77777777" w:rsidR="00275D71" w:rsidRPr="00BD646C" w:rsidRDefault="00943743" w:rsidP="001F79B0">
            <w:pPr>
              <w:suppressAutoHyphens w:val="0"/>
              <w:rPr>
                <w:bCs/>
                <w:szCs w:val="22"/>
                <w:lang w:val="el-GR"/>
              </w:rPr>
            </w:pPr>
            <w:r w:rsidRPr="00BD646C">
              <w:rPr>
                <w:bCs/>
                <w:szCs w:val="22"/>
                <w:lang w:val="et-EE"/>
              </w:rPr>
              <w:t xml:space="preserve">AbbVie </w:t>
            </w:r>
            <w:r w:rsidRPr="00BD646C">
              <w:rPr>
                <w:szCs w:val="22"/>
                <w:lang w:val="el-GR"/>
              </w:rPr>
              <w:t>ΦΑΡΜΑΚΕΥΤΙΚΗ Α.Ε.</w:t>
            </w:r>
          </w:p>
          <w:p w14:paraId="039D3F46" w14:textId="77777777" w:rsidR="00275D71" w:rsidRPr="00BD646C" w:rsidRDefault="00943743" w:rsidP="001F79B0">
            <w:pPr>
              <w:suppressAutoHyphens w:val="0"/>
              <w:rPr>
                <w:bCs/>
                <w:szCs w:val="22"/>
                <w:lang w:val="sk-SK"/>
              </w:rPr>
            </w:pPr>
            <w:r w:rsidRPr="00BD646C">
              <w:rPr>
                <w:bCs/>
                <w:szCs w:val="22"/>
                <w:lang w:val="el-GR"/>
              </w:rPr>
              <w:t xml:space="preserve">Τηλ: +30 </w:t>
            </w:r>
            <w:r w:rsidRPr="00BD646C">
              <w:rPr>
                <w:bCs/>
                <w:szCs w:val="22"/>
                <w:lang w:val="sk-SK"/>
              </w:rPr>
              <w:t>214 4165 555</w:t>
            </w:r>
          </w:p>
        </w:tc>
        <w:tc>
          <w:tcPr>
            <w:tcW w:w="4678" w:type="dxa"/>
            <w:gridSpan w:val="2"/>
          </w:tcPr>
          <w:p w14:paraId="429119D3" w14:textId="77777777" w:rsidR="00275D71" w:rsidRPr="00BD646C" w:rsidRDefault="00943743" w:rsidP="001F79B0">
            <w:pPr>
              <w:suppressAutoHyphens w:val="0"/>
              <w:rPr>
                <w:b/>
                <w:bCs/>
                <w:szCs w:val="22"/>
                <w:lang w:val="de-DE"/>
              </w:rPr>
            </w:pPr>
            <w:r w:rsidRPr="00BD646C">
              <w:rPr>
                <w:b/>
                <w:bCs/>
                <w:szCs w:val="22"/>
                <w:lang w:val="de-DE"/>
              </w:rPr>
              <w:t>Österreich</w:t>
            </w:r>
          </w:p>
          <w:p w14:paraId="539892BC" w14:textId="77777777" w:rsidR="00275D71" w:rsidRPr="00BD646C" w:rsidRDefault="00943743" w:rsidP="001F79B0">
            <w:pPr>
              <w:suppressAutoHyphens w:val="0"/>
              <w:rPr>
                <w:bCs/>
                <w:szCs w:val="22"/>
                <w:lang w:val="de-DE"/>
              </w:rPr>
            </w:pPr>
            <w:r w:rsidRPr="00BD646C">
              <w:rPr>
                <w:bCs/>
                <w:szCs w:val="22"/>
                <w:lang w:val="de-DE"/>
              </w:rPr>
              <w:t xml:space="preserve">AbbVie GmbH </w:t>
            </w:r>
          </w:p>
          <w:p w14:paraId="1F422365" w14:textId="77777777" w:rsidR="00275D71" w:rsidRPr="00BD646C" w:rsidRDefault="00943743" w:rsidP="001F79B0">
            <w:pPr>
              <w:suppressAutoHyphens w:val="0"/>
              <w:rPr>
                <w:bCs/>
                <w:szCs w:val="22"/>
                <w:lang w:val="de-DE"/>
              </w:rPr>
            </w:pPr>
            <w:r w:rsidRPr="00BD646C">
              <w:rPr>
                <w:bCs/>
                <w:szCs w:val="22"/>
                <w:lang w:val="de-DE"/>
              </w:rPr>
              <w:t>Tel: +43 1 20589-0</w:t>
            </w:r>
          </w:p>
          <w:p w14:paraId="47549F26" w14:textId="77777777" w:rsidR="00275D71" w:rsidRPr="00BD646C" w:rsidRDefault="00275D71" w:rsidP="001F79B0">
            <w:pPr>
              <w:suppressAutoHyphens w:val="0"/>
              <w:rPr>
                <w:bCs/>
                <w:szCs w:val="22"/>
                <w:lang w:val="de-DE"/>
              </w:rPr>
            </w:pPr>
          </w:p>
        </w:tc>
      </w:tr>
      <w:tr w:rsidR="00011D2F" w14:paraId="58617CC5" w14:textId="77777777" w:rsidTr="001F79B0">
        <w:trPr>
          <w:gridBefore w:val="1"/>
          <w:wBefore w:w="34" w:type="dxa"/>
        </w:trPr>
        <w:tc>
          <w:tcPr>
            <w:tcW w:w="4644" w:type="dxa"/>
            <w:gridSpan w:val="2"/>
          </w:tcPr>
          <w:p w14:paraId="5D23767C" w14:textId="77777777" w:rsidR="00B6545F" w:rsidRDefault="00B6545F" w:rsidP="001F79B0">
            <w:pPr>
              <w:suppressAutoHyphens w:val="0"/>
              <w:rPr>
                <w:ins w:id="9888" w:author="AbbVie_HU_03" w:date="2025-05-14T16:35:00Z"/>
                <w:b/>
                <w:bCs/>
                <w:szCs w:val="22"/>
                <w:lang w:val="es-ES"/>
              </w:rPr>
            </w:pPr>
          </w:p>
          <w:p w14:paraId="4F886865" w14:textId="47A9EE30" w:rsidR="00275D71" w:rsidRPr="00BD646C" w:rsidRDefault="00943743" w:rsidP="001F79B0">
            <w:pPr>
              <w:suppressAutoHyphens w:val="0"/>
              <w:rPr>
                <w:b/>
                <w:bCs/>
                <w:szCs w:val="22"/>
                <w:lang w:val="es-ES"/>
              </w:rPr>
            </w:pPr>
            <w:r w:rsidRPr="00BD646C">
              <w:rPr>
                <w:b/>
                <w:bCs/>
                <w:szCs w:val="22"/>
                <w:lang w:val="es-ES"/>
              </w:rPr>
              <w:t>España</w:t>
            </w:r>
          </w:p>
          <w:p w14:paraId="3F19C61B" w14:textId="77777777" w:rsidR="00275D71" w:rsidRPr="00BD646C" w:rsidRDefault="00943743" w:rsidP="001F79B0">
            <w:pPr>
              <w:suppressAutoHyphens w:val="0"/>
              <w:rPr>
                <w:szCs w:val="22"/>
                <w:lang w:val="es-ES"/>
              </w:rPr>
            </w:pPr>
            <w:r w:rsidRPr="00BD646C">
              <w:rPr>
                <w:szCs w:val="22"/>
                <w:lang w:val="es-ES"/>
              </w:rPr>
              <w:t xml:space="preserve">AbbVie </w:t>
            </w:r>
            <w:r w:rsidRPr="00BD646C">
              <w:rPr>
                <w:bCs/>
                <w:szCs w:val="22"/>
                <w:lang w:val="es-ES"/>
              </w:rPr>
              <w:t>Spain</w:t>
            </w:r>
            <w:r w:rsidRPr="00BD646C">
              <w:rPr>
                <w:szCs w:val="22"/>
                <w:lang w:val="es-ES"/>
              </w:rPr>
              <w:t>, S.L.U</w:t>
            </w:r>
            <w:r w:rsidRPr="00BD646C">
              <w:rPr>
                <w:bCs/>
                <w:szCs w:val="22"/>
                <w:lang w:val="es-ES"/>
              </w:rPr>
              <w:t>.</w:t>
            </w:r>
          </w:p>
          <w:p w14:paraId="36ECF1E3" w14:textId="77777777" w:rsidR="00275D71" w:rsidRDefault="00943743" w:rsidP="001F79B0">
            <w:pPr>
              <w:suppressAutoHyphens w:val="0"/>
              <w:rPr>
                <w:ins w:id="9889" w:author="AbbVie_HU_03" w:date="2025-05-14T16:35:00Z"/>
                <w:bCs/>
                <w:szCs w:val="22"/>
                <w:lang w:val="pt-PT"/>
              </w:rPr>
            </w:pPr>
            <w:r w:rsidRPr="00BD646C">
              <w:rPr>
                <w:bCs/>
                <w:szCs w:val="22"/>
                <w:lang w:val="pt-PT"/>
              </w:rPr>
              <w:t>Tel: +34 91 384 09 10</w:t>
            </w:r>
          </w:p>
          <w:p w14:paraId="5AD1C45C" w14:textId="77777777" w:rsidR="00B6545F" w:rsidRPr="00BD646C" w:rsidRDefault="00B6545F" w:rsidP="001F79B0">
            <w:pPr>
              <w:suppressAutoHyphens w:val="0"/>
              <w:rPr>
                <w:bCs/>
                <w:szCs w:val="22"/>
                <w:lang w:val="pl-PL"/>
              </w:rPr>
            </w:pPr>
          </w:p>
        </w:tc>
        <w:tc>
          <w:tcPr>
            <w:tcW w:w="4678" w:type="dxa"/>
          </w:tcPr>
          <w:p w14:paraId="3C66F35C" w14:textId="77777777" w:rsidR="00275D71" w:rsidRPr="00BD646C" w:rsidRDefault="00943743" w:rsidP="001F79B0">
            <w:pPr>
              <w:suppressAutoHyphens w:val="0"/>
              <w:rPr>
                <w:b/>
                <w:bCs/>
                <w:iCs/>
                <w:szCs w:val="22"/>
                <w:lang w:val="pl-PL"/>
              </w:rPr>
            </w:pPr>
            <w:r w:rsidRPr="00BD646C">
              <w:rPr>
                <w:b/>
                <w:bCs/>
                <w:iCs/>
                <w:szCs w:val="22"/>
                <w:lang w:val="pl-PL"/>
              </w:rPr>
              <w:t>Polska</w:t>
            </w:r>
          </w:p>
          <w:p w14:paraId="5492E683" w14:textId="77777777" w:rsidR="00275D71" w:rsidRPr="00BD646C" w:rsidRDefault="00943743" w:rsidP="001F79B0">
            <w:pPr>
              <w:suppressAutoHyphens w:val="0"/>
              <w:rPr>
                <w:bCs/>
                <w:szCs w:val="22"/>
                <w:lang w:val="pl-PL"/>
              </w:rPr>
            </w:pPr>
            <w:r w:rsidRPr="00BD646C">
              <w:rPr>
                <w:bCs/>
                <w:szCs w:val="22"/>
                <w:lang w:val="pl-PL"/>
              </w:rPr>
              <w:t>AbbVie Sp. z o.o.</w:t>
            </w:r>
          </w:p>
          <w:p w14:paraId="22A2247B" w14:textId="77777777" w:rsidR="00275D71" w:rsidRPr="00BD646C" w:rsidRDefault="00943743" w:rsidP="001F79B0">
            <w:pPr>
              <w:suppressAutoHyphens w:val="0"/>
              <w:rPr>
                <w:bCs/>
                <w:szCs w:val="22"/>
                <w:lang w:val="pl-PL"/>
              </w:rPr>
            </w:pPr>
            <w:r w:rsidRPr="00BD646C">
              <w:rPr>
                <w:szCs w:val="22"/>
                <w:lang w:val="es-ES"/>
              </w:rPr>
              <w:t xml:space="preserve">Tel.: +48 22 </w:t>
            </w:r>
            <w:r w:rsidRPr="00BD646C">
              <w:rPr>
                <w:bCs/>
                <w:szCs w:val="22"/>
                <w:lang w:val="pl-PL"/>
              </w:rPr>
              <w:t xml:space="preserve">372 78 00 </w:t>
            </w:r>
          </w:p>
          <w:p w14:paraId="415E43F2" w14:textId="77777777" w:rsidR="00275D71" w:rsidRPr="00BD646C" w:rsidRDefault="00275D71" w:rsidP="001F79B0">
            <w:pPr>
              <w:suppressAutoHyphens w:val="0"/>
              <w:rPr>
                <w:bCs/>
                <w:szCs w:val="22"/>
                <w:lang w:val="pl-PL"/>
              </w:rPr>
            </w:pPr>
          </w:p>
        </w:tc>
      </w:tr>
      <w:tr w:rsidR="00011D2F" w14:paraId="62C5162B" w14:textId="77777777" w:rsidTr="001F79B0">
        <w:trPr>
          <w:trHeight w:val="734"/>
        </w:trPr>
        <w:tc>
          <w:tcPr>
            <w:tcW w:w="4678" w:type="dxa"/>
            <w:gridSpan w:val="3"/>
          </w:tcPr>
          <w:p w14:paraId="3986A89A" w14:textId="77777777" w:rsidR="00B6545F" w:rsidRDefault="00B6545F" w:rsidP="001F79B0">
            <w:pPr>
              <w:suppressAutoHyphens w:val="0"/>
              <w:rPr>
                <w:ins w:id="9890" w:author="AbbVie_HU_03" w:date="2025-05-14T16:35:00Z"/>
                <w:b/>
                <w:bCs/>
                <w:szCs w:val="22"/>
                <w:lang w:val="fr-FR"/>
              </w:rPr>
            </w:pPr>
          </w:p>
          <w:p w14:paraId="2EFC73F3" w14:textId="60A87468" w:rsidR="00275D71" w:rsidRPr="00BD646C" w:rsidRDefault="00943743" w:rsidP="001F79B0">
            <w:pPr>
              <w:suppressAutoHyphens w:val="0"/>
              <w:rPr>
                <w:b/>
                <w:bCs/>
                <w:szCs w:val="22"/>
                <w:lang w:val="fr-FR"/>
              </w:rPr>
            </w:pPr>
            <w:r w:rsidRPr="00BD646C">
              <w:rPr>
                <w:b/>
                <w:bCs/>
                <w:szCs w:val="22"/>
                <w:lang w:val="fr-FR"/>
              </w:rPr>
              <w:t>France</w:t>
            </w:r>
          </w:p>
          <w:p w14:paraId="25F8F7B6" w14:textId="77777777" w:rsidR="00275D71" w:rsidRPr="00BD646C" w:rsidRDefault="00943743" w:rsidP="001F79B0">
            <w:pPr>
              <w:suppressAutoHyphens w:val="0"/>
              <w:rPr>
                <w:bCs/>
                <w:szCs w:val="22"/>
                <w:lang w:val="fr-FR"/>
              </w:rPr>
            </w:pPr>
            <w:r w:rsidRPr="00BD646C">
              <w:rPr>
                <w:bCs/>
                <w:szCs w:val="22"/>
                <w:lang w:val="fr-FR"/>
              </w:rPr>
              <w:t>AbbVie</w:t>
            </w:r>
          </w:p>
          <w:p w14:paraId="1711082B" w14:textId="77777777" w:rsidR="00275D71" w:rsidRDefault="00943743" w:rsidP="001F79B0">
            <w:pPr>
              <w:suppressAutoHyphens w:val="0"/>
              <w:rPr>
                <w:ins w:id="9891" w:author="AbbVie_HU_03" w:date="2025-05-14T16:35:00Z"/>
                <w:bCs/>
                <w:szCs w:val="22"/>
                <w:lang w:val="fr-FR"/>
              </w:rPr>
            </w:pPr>
            <w:r w:rsidRPr="00BD646C">
              <w:rPr>
                <w:bCs/>
                <w:szCs w:val="22"/>
                <w:lang w:val="fr-FR"/>
              </w:rPr>
              <w:t>Tél: +33 (0) 1 45 60 13 00</w:t>
            </w:r>
          </w:p>
          <w:p w14:paraId="5B43D110" w14:textId="77777777" w:rsidR="00B6545F" w:rsidRPr="00BD646C" w:rsidRDefault="00B6545F" w:rsidP="001F79B0">
            <w:pPr>
              <w:suppressAutoHyphens w:val="0"/>
              <w:rPr>
                <w:bCs/>
                <w:szCs w:val="22"/>
                <w:lang w:val="fr-FR"/>
              </w:rPr>
            </w:pPr>
          </w:p>
        </w:tc>
        <w:tc>
          <w:tcPr>
            <w:tcW w:w="4678" w:type="dxa"/>
          </w:tcPr>
          <w:p w14:paraId="53B84BBF" w14:textId="77777777" w:rsidR="00275D71" w:rsidRPr="00BD646C" w:rsidRDefault="00943743" w:rsidP="001F79B0">
            <w:pPr>
              <w:suppressAutoHyphens w:val="0"/>
              <w:rPr>
                <w:b/>
                <w:bCs/>
                <w:szCs w:val="22"/>
                <w:lang w:val="pt-PT"/>
              </w:rPr>
            </w:pPr>
            <w:r w:rsidRPr="00BD646C">
              <w:rPr>
                <w:b/>
                <w:bCs/>
                <w:szCs w:val="22"/>
                <w:lang w:val="pt-PT"/>
              </w:rPr>
              <w:t>Portugal</w:t>
            </w:r>
          </w:p>
          <w:p w14:paraId="603EBEAB" w14:textId="77777777" w:rsidR="00275D71" w:rsidRPr="00BD646C" w:rsidRDefault="00943743" w:rsidP="001F79B0">
            <w:pPr>
              <w:suppressAutoHyphens w:val="0"/>
              <w:rPr>
                <w:bCs/>
                <w:szCs w:val="22"/>
                <w:lang w:val="fr-FR"/>
              </w:rPr>
            </w:pPr>
            <w:r w:rsidRPr="00BD646C">
              <w:rPr>
                <w:bCs/>
                <w:szCs w:val="22"/>
                <w:lang w:val="fr-FR"/>
              </w:rPr>
              <w:t xml:space="preserve">AbbVie, Lda. </w:t>
            </w:r>
          </w:p>
          <w:p w14:paraId="62258F9E" w14:textId="77777777" w:rsidR="00275D71" w:rsidRPr="00BD646C" w:rsidRDefault="00943743" w:rsidP="001F79B0">
            <w:pPr>
              <w:suppressAutoHyphens w:val="0"/>
              <w:rPr>
                <w:szCs w:val="22"/>
                <w:lang w:val="fr-FR"/>
              </w:rPr>
            </w:pPr>
            <w:r w:rsidRPr="00BD646C">
              <w:rPr>
                <w:szCs w:val="22"/>
                <w:lang w:val="fr-FR"/>
              </w:rPr>
              <w:t>Tel: +351 (0)21 1908400</w:t>
            </w:r>
          </w:p>
          <w:p w14:paraId="56039702" w14:textId="77777777" w:rsidR="00275D71" w:rsidRPr="00BD646C" w:rsidRDefault="00275D71" w:rsidP="001F79B0">
            <w:pPr>
              <w:suppressAutoHyphens w:val="0"/>
              <w:rPr>
                <w:szCs w:val="22"/>
                <w:lang w:val="fr-FR"/>
              </w:rPr>
            </w:pPr>
          </w:p>
        </w:tc>
      </w:tr>
      <w:tr w:rsidR="00011D2F" w14:paraId="0B76F319" w14:textId="77777777" w:rsidTr="001F79B0">
        <w:trPr>
          <w:gridBefore w:val="1"/>
          <w:wBefore w:w="34" w:type="dxa"/>
        </w:trPr>
        <w:tc>
          <w:tcPr>
            <w:tcW w:w="4644" w:type="dxa"/>
            <w:gridSpan w:val="2"/>
          </w:tcPr>
          <w:p w14:paraId="3013D9D8" w14:textId="77777777" w:rsidR="00B6545F" w:rsidRDefault="00B6545F" w:rsidP="001F79B0">
            <w:pPr>
              <w:suppressAutoHyphens w:val="0"/>
              <w:rPr>
                <w:ins w:id="9892" w:author="AbbVie_HU_03" w:date="2025-05-14T16:35:00Z"/>
                <w:b/>
                <w:bCs/>
                <w:szCs w:val="22"/>
              </w:rPr>
            </w:pPr>
          </w:p>
          <w:p w14:paraId="3DF065C9" w14:textId="462C6462" w:rsidR="00275D71" w:rsidRPr="0047544D" w:rsidRDefault="00943743" w:rsidP="001F79B0">
            <w:pPr>
              <w:suppressAutoHyphens w:val="0"/>
              <w:rPr>
                <w:szCs w:val="22"/>
              </w:rPr>
            </w:pPr>
            <w:r w:rsidRPr="0047544D">
              <w:rPr>
                <w:b/>
                <w:bCs/>
                <w:szCs w:val="22"/>
              </w:rPr>
              <w:t xml:space="preserve">Hrvatska </w:t>
            </w:r>
          </w:p>
          <w:p w14:paraId="4A7D94A7" w14:textId="77777777" w:rsidR="00275D71" w:rsidRPr="00BD646C" w:rsidRDefault="00943743" w:rsidP="001F79B0">
            <w:pPr>
              <w:suppressAutoHyphens w:val="0"/>
              <w:rPr>
                <w:szCs w:val="22"/>
                <w:lang w:val="hr-HR"/>
              </w:rPr>
            </w:pPr>
            <w:r w:rsidRPr="00BD646C">
              <w:rPr>
                <w:szCs w:val="22"/>
                <w:lang w:val="hr-HR"/>
              </w:rPr>
              <w:t>AbbVie d.o.o.</w:t>
            </w:r>
          </w:p>
          <w:p w14:paraId="0936EE36" w14:textId="77777777" w:rsidR="00275D71" w:rsidRDefault="00943743" w:rsidP="001F79B0">
            <w:pPr>
              <w:suppressAutoHyphens w:val="0"/>
              <w:rPr>
                <w:ins w:id="9893" w:author="AbbVie_HU_03" w:date="2025-05-14T16:35:00Z"/>
                <w:szCs w:val="22"/>
                <w:lang w:val="en-US"/>
              </w:rPr>
            </w:pPr>
            <w:r w:rsidRPr="00BD646C">
              <w:rPr>
                <w:szCs w:val="22"/>
                <w:lang w:val="hr-HR"/>
              </w:rPr>
              <w:t xml:space="preserve">Tel + 385 (0)1 </w:t>
            </w:r>
            <w:r w:rsidRPr="00BD646C">
              <w:rPr>
                <w:szCs w:val="22"/>
                <w:lang w:val="en-US"/>
              </w:rPr>
              <w:t>5625 501</w:t>
            </w:r>
          </w:p>
          <w:p w14:paraId="4EBCB331" w14:textId="77777777" w:rsidR="00B6545F" w:rsidRPr="00BD646C" w:rsidRDefault="00B6545F" w:rsidP="001F79B0">
            <w:pPr>
              <w:suppressAutoHyphens w:val="0"/>
              <w:rPr>
                <w:bCs/>
                <w:szCs w:val="22"/>
                <w:lang w:val="it-IT"/>
              </w:rPr>
            </w:pPr>
          </w:p>
        </w:tc>
        <w:tc>
          <w:tcPr>
            <w:tcW w:w="4678" w:type="dxa"/>
          </w:tcPr>
          <w:p w14:paraId="3833478D" w14:textId="77777777" w:rsidR="00275D71" w:rsidRPr="00BD646C" w:rsidRDefault="00943743" w:rsidP="001F79B0">
            <w:pPr>
              <w:suppressAutoHyphens w:val="0"/>
              <w:rPr>
                <w:b/>
                <w:bCs/>
                <w:szCs w:val="22"/>
                <w:lang w:val="it-IT"/>
              </w:rPr>
            </w:pPr>
            <w:r w:rsidRPr="00BD646C">
              <w:rPr>
                <w:b/>
                <w:bCs/>
                <w:szCs w:val="22"/>
                <w:lang w:val="it-IT"/>
              </w:rPr>
              <w:t>România</w:t>
            </w:r>
          </w:p>
          <w:p w14:paraId="224CC384" w14:textId="77777777" w:rsidR="00275D71" w:rsidRPr="00BD646C" w:rsidRDefault="00943743" w:rsidP="001F79B0">
            <w:pPr>
              <w:suppressAutoHyphens w:val="0"/>
              <w:rPr>
                <w:szCs w:val="22"/>
                <w:lang w:val="it-IT"/>
              </w:rPr>
            </w:pPr>
            <w:r w:rsidRPr="00BD646C">
              <w:rPr>
                <w:szCs w:val="22"/>
                <w:lang w:val="it-IT"/>
              </w:rPr>
              <w:t>AbbVie S.R.L.</w:t>
            </w:r>
          </w:p>
          <w:p w14:paraId="75F569E1" w14:textId="77777777" w:rsidR="00275D71" w:rsidRPr="00BD646C" w:rsidRDefault="00943743" w:rsidP="001F79B0">
            <w:pPr>
              <w:suppressAutoHyphens w:val="0"/>
              <w:rPr>
                <w:szCs w:val="22"/>
                <w:lang w:val="pl-PL"/>
              </w:rPr>
            </w:pPr>
            <w:r w:rsidRPr="00BD646C">
              <w:rPr>
                <w:szCs w:val="22"/>
                <w:lang w:val="pl-PL"/>
              </w:rPr>
              <w:t>Tel: +40 21 529 30 35</w:t>
            </w:r>
          </w:p>
          <w:p w14:paraId="62EBCF27" w14:textId="77777777" w:rsidR="00275D71" w:rsidRPr="00BD646C" w:rsidRDefault="00275D71" w:rsidP="001F79B0">
            <w:pPr>
              <w:suppressAutoHyphens w:val="0"/>
              <w:rPr>
                <w:szCs w:val="22"/>
                <w:lang w:val="pl-PL"/>
              </w:rPr>
            </w:pPr>
          </w:p>
        </w:tc>
      </w:tr>
      <w:tr w:rsidR="00011D2F" w14:paraId="076ECF40" w14:textId="77777777" w:rsidTr="001F79B0">
        <w:trPr>
          <w:gridBefore w:val="1"/>
          <w:wBefore w:w="34" w:type="dxa"/>
        </w:trPr>
        <w:tc>
          <w:tcPr>
            <w:tcW w:w="4644" w:type="dxa"/>
            <w:gridSpan w:val="2"/>
          </w:tcPr>
          <w:p w14:paraId="1D6B89C1" w14:textId="77777777" w:rsidR="00B6545F" w:rsidRDefault="00B6545F" w:rsidP="001F79B0">
            <w:pPr>
              <w:suppressAutoHyphens w:val="0"/>
              <w:rPr>
                <w:ins w:id="9894" w:author="AbbVie_HU_03" w:date="2025-05-14T16:35:00Z"/>
                <w:b/>
                <w:bCs/>
                <w:szCs w:val="22"/>
                <w:lang w:val="sk-SK"/>
              </w:rPr>
            </w:pPr>
          </w:p>
          <w:p w14:paraId="6D58B715" w14:textId="4BE14D9E" w:rsidR="00275D71" w:rsidRPr="00BD646C" w:rsidRDefault="00943743" w:rsidP="001F79B0">
            <w:pPr>
              <w:suppressAutoHyphens w:val="0"/>
              <w:rPr>
                <w:b/>
                <w:bCs/>
                <w:szCs w:val="22"/>
                <w:lang w:val="sk-SK"/>
              </w:rPr>
            </w:pPr>
            <w:r w:rsidRPr="00BD646C">
              <w:rPr>
                <w:b/>
                <w:bCs/>
                <w:szCs w:val="22"/>
                <w:lang w:val="sk-SK"/>
              </w:rPr>
              <w:t>Ireland</w:t>
            </w:r>
          </w:p>
          <w:p w14:paraId="7F7498E3" w14:textId="77777777" w:rsidR="00275D71" w:rsidRPr="00BD646C" w:rsidRDefault="00943743" w:rsidP="001F79B0">
            <w:pPr>
              <w:suppressAutoHyphens w:val="0"/>
              <w:rPr>
                <w:bCs/>
                <w:szCs w:val="22"/>
                <w:lang w:val="sk-SK"/>
              </w:rPr>
            </w:pPr>
            <w:r w:rsidRPr="00BD646C">
              <w:rPr>
                <w:bCs/>
                <w:szCs w:val="22"/>
                <w:lang w:val="sk-SK"/>
              </w:rPr>
              <w:t xml:space="preserve">AbbVie Limited </w:t>
            </w:r>
          </w:p>
          <w:p w14:paraId="1FBDA66E" w14:textId="77777777" w:rsidR="00275D71" w:rsidRDefault="00943743" w:rsidP="001F79B0">
            <w:pPr>
              <w:suppressAutoHyphens w:val="0"/>
              <w:rPr>
                <w:ins w:id="9895" w:author="AbbVie_HU_03" w:date="2025-05-14T16:35:00Z"/>
                <w:bCs/>
                <w:szCs w:val="22"/>
                <w:lang w:val="pt-PT"/>
              </w:rPr>
            </w:pPr>
            <w:r w:rsidRPr="00BD646C">
              <w:rPr>
                <w:bCs/>
                <w:szCs w:val="22"/>
                <w:lang w:val="pt-PT"/>
              </w:rPr>
              <w:t>Tel: +353 (0)1 42879</w:t>
            </w:r>
            <w:r w:rsidR="001C51F1">
              <w:rPr>
                <w:bCs/>
                <w:szCs w:val="22"/>
                <w:lang w:val="pt-PT"/>
              </w:rPr>
              <w:t>0</w:t>
            </w:r>
            <w:r w:rsidRPr="00BD646C">
              <w:rPr>
                <w:bCs/>
                <w:szCs w:val="22"/>
                <w:lang w:val="pt-PT"/>
              </w:rPr>
              <w:t>0</w:t>
            </w:r>
          </w:p>
          <w:p w14:paraId="371A2AD6" w14:textId="77777777" w:rsidR="00B6545F" w:rsidRPr="00BD646C" w:rsidRDefault="00B6545F" w:rsidP="001F79B0">
            <w:pPr>
              <w:suppressAutoHyphens w:val="0"/>
              <w:rPr>
                <w:bCs/>
                <w:szCs w:val="22"/>
                <w:lang w:val="sk-SK"/>
              </w:rPr>
            </w:pPr>
          </w:p>
        </w:tc>
        <w:tc>
          <w:tcPr>
            <w:tcW w:w="4678" w:type="dxa"/>
          </w:tcPr>
          <w:p w14:paraId="01EA1CA7" w14:textId="77777777" w:rsidR="00275D71" w:rsidRPr="00BD646C" w:rsidRDefault="00943743" w:rsidP="001F79B0">
            <w:pPr>
              <w:suppressAutoHyphens w:val="0"/>
              <w:rPr>
                <w:b/>
                <w:bCs/>
                <w:szCs w:val="22"/>
                <w:lang w:val="sl-SI"/>
              </w:rPr>
            </w:pPr>
            <w:r w:rsidRPr="00BD646C">
              <w:rPr>
                <w:b/>
                <w:bCs/>
                <w:szCs w:val="22"/>
                <w:lang w:val="sl-SI"/>
              </w:rPr>
              <w:t>Slovenija</w:t>
            </w:r>
          </w:p>
          <w:p w14:paraId="0D59DC08" w14:textId="77777777" w:rsidR="00275D71" w:rsidRPr="00BD646C" w:rsidRDefault="00943743" w:rsidP="001F79B0">
            <w:pPr>
              <w:suppressAutoHyphens w:val="0"/>
              <w:rPr>
                <w:bCs/>
                <w:szCs w:val="22"/>
                <w:lang w:val="sl-SI"/>
              </w:rPr>
            </w:pPr>
            <w:r w:rsidRPr="00BD646C">
              <w:rPr>
                <w:bCs/>
                <w:szCs w:val="22"/>
                <w:lang w:val="sl-SI"/>
              </w:rPr>
              <w:t xml:space="preserve">AbbVie </w:t>
            </w:r>
            <w:r w:rsidRPr="00BD646C">
              <w:rPr>
                <w:szCs w:val="22"/>
                <w:lang w:val="sl-SI"/>
              </w:rPr>
              <w:t>Biofarmacevtska družba d.o.o.</w:t>
            </w:r>
          </w:p>
          <w:p w14:paraId="4B5ADC93" w14:textId="77777777" w:rsidR="00275D71" w:rsidRPr="00BD646C" w:rsidRDefault="00943743" w:rsidP="001F79B0">
            <w:pPr>
              <w:suppressAutoHyphens w:val="0"/>
              <w:rPr>
                <w:bCs/>
                <w:szCs w:val="22"/>
                <w:lang w:val="sl-SI"/>
              </w:rPr>
            </w:pPr>
            <w:r w:rsidRPr="00BD646C">
              <w:rPr>
                <w:bCs/>
                <w:szCs w:val="22"/>
                <w:lang w:val="sl-SI"/>
              </w:rPr>
              <w:t>Tel: +386 (1)32 08 060</w:t>
            </w:r>
          </w:p>
          <w:p w14:paraId="77CCD0AF" w14:textId="77777777" w:rsidR="00275D71" w:rsidRPr="00BD646C" w:rsidRDefault="00275D71" w:rsidP="001F79B0">
            <w:pPr>
              <w:suppressAutoHyphens w:val="0"/>
              <w:rPr>
                <w:bCs/>
                <w:szCs w:val="22"/>
                <w:lang w:val="sl-SI"/>
              </w:rPr>
            </w:pPr>
          </w:p>
        </w:tc>
      </w:tr>
      <w:tr w:rsidR="00011D2F" w14:paraId="34ED63A8" w14:textId="77777777" w:rsidTr="001F79B0">
        <w:trPr>
          <w:gridBefore w:val="1"/>
          <w:wBefore w:w="34" w:type="dxa"/>
        </w:trPr>
        <w:tc>
          <w:tcPr>
            <w:tcW w:w="4644" w:type="dxa"/>
            <w:gridSpan w:val="2"/>
          </w:tcPr>
          <w:p w14:paraId="7F7D4C5D" w14:textId="77777777" w:rsidR="00B6545F" w:rsidRDefault="00B6545F" w:rsidP="001F79B0">
            <w:pPr>
              <w:suppressAutoHyphens w:val="0"/>
              <w:rPr>
                <w:ins w:id="9896" w:author="AbbVie_HU_03" w:date="2025-05-14T16:36:00Z"/>
                <w:b/>
                <w:bCs/>
                <w:szCs w:val="22"/>
                <w:lang w:val="is-IS"/>
              </w:rPr>
            </w:pPr>
          </w:p>
          <w:p w14:paraId="41117F86" w14:textId="78E83670" w:rsidR="00275D71" w:rsidRPr="00BD646C" w:rsidRDefault="00943743" w:rsidP="001F79B0">
            <w:pPr>
              <w:suppressAutoHyphens w:val="0"/>
              <w:rPr>
                <w:b/>
                <w:bCs/>
                <w:szCs w:val="22"/>
                <w:lang w:val="is-IS"/>
              </w:rPr>
            </w:pPr>
            <w:r w:rsidRPr="00BD646C">
              <w:rPr>
                <w:b/>
                <w:bCs/>
                <w:szCs w:val="22"/>
                <w:lang w:val="is-IS"/>
              </w:rPr>
              <w:t>Ísland</w:t>
            </w:r>
          </w:p>
          <w:p w14:paraId="57561723" w14:textId="77777777" w:rsidR="00275D71" w:rsidRPr="00BD646C" w:rsidRDefault="00943743" w:rsidP="001F79B0">
            <w:pPr>
              <w:suppressAutoHyphens w:val="0"/>
              <w:rPr>
                <w:bCs/>
                <w:szCs w:val="22"/>
                <w:lang w:val="sk-SK"/>
              </w:rPr>
            </w:pPr>
            <w:r w:rsidRPr="00BD646C">
              <w:rPr>
                <w:bCs/>
                <w:szCs w:val="22"/>
                <w:lang w:val="sk-SK"/>
              </w:rPr>
              <w:t>Vistor</w:t>
            </w:r>
            <w:del w:id="9897" w:author="AbbVie_HU_03" w:date="2025-05-14T16:36:00Z">
              <w:r w:rsidRPr="00BD646C">
                <w:rPr>
                  <w:bCs/>
                  <w:szCs w:val="22"/>
                  <w:lang w:val="sk-SK"/>
                </w:rPr>
                <w:delText xml:space="preserve"> hf.</w:delText>
              </w:r>
            </w:del>
          </w:p>
          <w:p w14:paraId="67FA6AE9" w14:textId="77777777" w:rsidR="00275D71" w:rsidRDefault="00943743" w:rsidP="001F79B0">
            <w:pPr>
              <w:suppressAutoHyphens w:val="0"/>
              <w:rPr>
                <w:ins w:id="9898" w:author="AbbVie_HU_03" w:date="2025-05-14T16:36:00Z"/>
                <w:bCs/>
                <w:szCs w:val="22"/>
                <w:lang w:val="sk-SK"/>
              </w:rPr>
            </w:pPr>
            <w:r w:rsidRPr="00BD646C">
              <w:rPr>
                <w:bCs/>
                <w:szCs w:val="22"/>
                <w:lang w:val="sk-SK"/>
              </w:rPr>
              <w:t>Tel: +354 535 7000</w:t>
            </w:r>
          </w:p>
          <w:p w14:paraId="1CC2834B" w14:textId="77777777" w:rsidR="00B6545F" w:rsidRPr="00BD646C" w:rsidRDefault="00B6545F" w:rsidP="001F79B0">
            <w:pPr>
              <w:suppressAutoHyphens w:val="0"/>
              <w:rPr>
                <w:bCs/>
                <w:szCs w:val="22"/>
                <w:lang w:val="sk-SK"/>
              </w:rPr>
            </w:pPr>
          </w:p>
        </w:tc>
        <w:tc>
          <w:tcPr>
            <w:tcW w:w="4678" w:type="dxa"/>
          </w:tcPr>
          <w:p w14:paraId="6D338519" w14:textId="77777777" w:rsidR="00275D71" w:rsidRPr="00BD646C" w:rsidRDefault="00943743" w:rsidP="001F79B0">
            <w:pPr>
              <w:suppressAutoHyphens w:val="0"/>
              <w:rPr>
                <w:b/>
                <w:bCs/>
                <w:szCs w:val="22"/>
                <w:lang w:val="sk-SK"/>
              </w:rPr>
            </w:pPr>
            <w:r w:rsidRPr="00BD646C">
              <w:rPr>
                <w:b/>
                <w:bCs/>
                <w:szCs w:val="22"/>
                <w:lang w:val="sk-SK"/>
              </w:rPr>
              <w:t>Slovenská republika</w:t>
            </w:r>
          </w:p>
          <w:p w14:paraId="6C85FA67" w14:textId="77777777" w:rsidR="00275D71" w:rsidRPr="00BD646C" w:rsidRDefault="00943743" w:rsidP="001F79B0">
            <w:pPr>
              <w:suppressAutoHyphens w:val="0"/>
              <w:rPr>
                <w:bCs/>
                <w:szCs w:val="22"/>
                <w:lang w:val="sk-SK"/>
              </w:rPr>
            </w:pPr>
            <w:r w:rsidRPr="00BD646C">
              <w:rPr>
                <w:bCs/>
                <w:szCs w:val="22"/>
                <w:lang w:val="sk-SK"/>
              </w:rPr>
              <w:t>AbbVie s.r.o.</w:t>
            </w:r>
          </w:p>
          <w:p w14:paraId="6AE43807" w14:textId="77777777" w:rsidR="00275D71" w:rsidRPr="00BD646C" w:rsidRDefault="00943743" w:rsidP="001F79B0">
            <w:pPr>
              <w:suppressAutoHyphens w:val="0"/>
              <w:rPr>
                <w:bCs/>
                <w:szCs w:val="22"/>
                <w:lang w:val="sk-SK"/>
              </w:rPr>
            </w:pPr>
            <w:r w:rsidRPr="00BD646C">
              <w:rPr>
                <w:bCs/>
                <w:szCs w:val="22"/>
                <w:lang w:val="sk-SK"/>
              </w:rPr>
              <w:t>Tel: +421 2 5050 0777</w:t>
            </w:r>
          </w:p>
          <w:p w14:paraId="50465310" w14:textId="77777777" w:rsidR="00275D71" w:rsidRPr="00BD646C" w:rsidRDefault="00275D71" w:rsidP="001F79B0">
            <w:pPr>
              <w:suppressAutoHyphens w:val="0"/>
              <w:rPr>
                <w:bCs/>
                <w:szCs w:val="22"/>
                <w:lang w:val="sk-SK"/>
              </w:rPr>
            </w:pPr>
          </w:p>
        </w:tc>
      </w:tr>
      <w:tr w:rsidR="00011D2F" w14:paraId="2080538A" w14:textId="77777777" w:rsidTr="001F79B0">
        <w:trPr>
          <w:gridBefore w:val="1"/>
          <w:wBefore w:w="34" w:type="dxa"/>
        </w:trPr>
        <w:tc>
          <w:tcPr>
            <w:tcW w:w="4644" w:type="dxa"/>
            <w:gridSpan w:val="2"/>
          </w:tcPr>
          <w:p w14:paraId="1A89BE82" w14:textId="77777777" w:rsidR="00B6545F" w:rsidRDefault="00B6545F" w:rsidP="001F79B0">
            <w:pPr>
              <w:suppressAutoHyphens w:val="0"/>
              <w:rPr>
                <w:ins w:id="9899" w:author="AbbVie_HU_03" w:date="2025-05-14T16:36:00Z"/>
                <w:b/>
                <w:bCs/>
                <w:szCs w:val="22"/>
                <w:lang w:val="it-IT"/>
              </w:rPr>
            </w:pPr>
          </w:p>
          <w:p w14:paraId="1214EB84" w14:textId="7AB55BA5" w:rsidR="00275D71" w:rsidRPr="00BD646C" w:rsidRDefault="00943743" w:rsidP="001F79B0">
            <w:pPr>
              <w:suppressAutoHyphens w:val="0"/>
              <w:rPr>
                <w:b/>
                <w:bCs/>
                <w:szCs w:val="22"/>
                <w:lang w:val="it-IT"/>
              </w:rPr>
            </w:pPr>
            <w:r w:rsidRPr="00BD646C">
              <w:rPr>
                <w:b/>
                <w:bCs/>
                <w:szCs w:val="22"/>
                <w:lang w:val="it-IT"/>
              </w:rPr>
              <w:t>Italia</w:t>
            </w:r>
          </w:p>
          <w:p w14:paraId="479BE55E" w14:textId="77777777" w:rsidR="00275D71" w:rsidRPr="00BD646C" w:rsidRDefault="00943743" w:rsidP="001F79B0">
            <w:pPr>
              <w:suppressAutoHyphens w:val="0"/>
              <w:rPr>
                <w:bCs/>
                <w:szCs w:val="22"/>
                <w:lang w:val="pt-PT"/>
              </w:rPr>
            </w:pPr>
            <w:r w:rsidRPr="00BD646C">
              <w:rPr>
                <w:bCs/>
                <w:szCs w:val="22"/>
                <w:lang w:val="pt-PT"/>
              </w:rPr>
              <w:t xml:space="preserve">AbbVie S.r.l. </w:t>
            </w:r>
          </w:p>
          <w:p w14:paraId="3518520A" w14:textId="77777777" w:rsidR="00275D71" w:rsidRDefault="00943743" w:rsidP="001F79B0">
            <w:pPr>
              <w:suppressAutoHyphens w:val="0"/>
              <w:rPr>
                <w:ins w:id="9900" w:author="AbbVie_HU_03" w:date="2025-05-14T16:36:00Z"/>
                <w:bCs/>
                <w:szCs w:val="22"/>
                <w:lang w:val="fr-FR"/>
              </w:rPr>
            </w:pPr>
            <w:r w:rsidRPr="00BD646C">
              <w:rPr>
                <w:bCs/>
                <w:szCs w:val="22"/>
                <w:lang w:val="fr-FR"/>
              </w:rPr>
              <w:t>Tel: +39 06 928921</w:t>
            </w:r>
          </w:p>
          <w:p w14:paraId="42BB2CC0" w14:textId="77777777" w:rsidR="00B6545F" w:rsidRPr="00BD646C" w:rsidRDefault="00B6545F" w:rsidP="001F79B0">
            <w:pPr>
              <w:suppressAutoHyphens w:val="0"/>
              <w:rPr>
                <w:bCs/>
                <w:szCs w:val="22"/>
                <w:lang w:val="fi-FI"/>
              </w:rPr>
            </w:pPr>
          </w:p>
        </w:tc>
        <w:tc>
          <w:tcPr>
            <w:tcW w:w="4678" w:type="dxa"/>
          </w:tcPr>
          <w:p w14:paraId="21B0A748" w14:textId="77777777" w:rsidR="00275D71" w:rsidRPr="00BD646C" w:rsidRDefault="00943743" w:rsidP="001F79B0">
            <w:pPr>
              <w:suppressAutoHyphens w:val="0"/>
              <w:rPr>
                <w:b/>
                <w:bCs/>
                <w:szCs w:val="22"/>
                <w:lang w:val="fi-FI"/>
              </w:rPr>
            </w:pPr>
            <w:r w:rsidRPr="00BD646C">
              <w:rPr>
                <w:b/>
                <w:bCs/>
                <w:szCs w:val="22"/>
                <w:lang w:val="fi-FI"/>
              </w:rPr>
              <w:t>Suomi/Finland</w:t>
            </w:r>
          </w:p>
          <w:p w14:paraId="110E2D5B" w14:textId="77777777" w:rsidR="00275D71" w:rsidRPr="00BD646C" w:rsidRDefault="00943743" w:rsidP="001F79B0">
            <w:pPr>
              <w:suppressAutoHyphens w:val="0"/>
              <w:rPr>
                <w:bCs/>
                <w:szCs w:val="22"/>
                <w:lang w:val="de-CH"/>
              </w:rPr>
            </w:pPr>
            <w:r w:rsidRPr="00BD646C">
              <w:rPr>
                <w:bCs/>
                <w:szCs w:val="22"/>
                <w:lang w:val="sk-SK"/>
              </w:rPr>
              <w:t>AbbVie Oy</w:t>
            </w:r>
          </w:p>
          <w:p w14:paraId="67EEB860" w14:textId="77777777" w:rsidR="00275D71" w:rsidRPr="00BD646C" w:rsidRDefault="00943743" w:rsidP="001F79B0">
            <w:pPr>
              <w:suppressAutoHyphens w:val="0"/>
              <w:rPr>
                <w:bCs/>
                <w:szCs w:val="22"/>
                <w:lang w:val="sk-SK"/>
              </w:rPr>
            </w:pPr>
            <w:r w:rsidRPr="00BD646C">
              <w:rPr>
                <w:bCs/>
                <w:szCs w:val="22"/>
                <w:lang w:val="sk-SK"/>
              </w:rPr>
              <w:t>Puh/Tel: +358 (0)10 2411 200</w:t>
            </w:r>
          </w:p>
          <w:p w14:paraId="4C241D2E" w14:textId="77777777" w:rsidR="00275D71" w:rsidRPr="00BD646C" w:rsidRDefault="00275D71" w:rsidP="001F79B0">
            <w:pPr>
              <w:suppressAutoHyphens w:val="0"/>
              <w:rPr>
                <w:szCs w:val="22"/>
                <w:lang w:val="sk-SK"/>
              </w:rPr>
            </w:pPr>
          </w:p>
        </w:tc>
      </w:tr>
      <w:tr w:rsidR="00011D2F" w14:paraId="66777A09" w14:textId="77777777" w:rsidTr="001F79B0">
        <w:trPr>
          <w:gridBefore w:val="1"/>
          <w:wBefore w:w="34" w:type="dxa"/>
          <w:cantSplit/>
          <w:trHeight w:val="887"/>
        </w:trPr>
        <w:tc>
          <w:tcPr>
            <w:tcW w:w="4644" w:type="dxa"/>
            <w:gridSpan w:val="2"/>
          </w:tcPr>
          <w:p w14:paraId="1B1BB7D1" w14:textId="77777777" w:rsidR="00B6545F" w:rsidRDefault="00B6545F" w:rsidP="001F79B0">
            <w:pPr>
              <w:suppressAutoHyphens w:val="0"/>
              <w:rPr>
                <w:ins w:id="9901" w:author="AbbVie_HU_03" w:date="2025-05-14T16:36:00Z"/>
                <w:b/>
                <w:bCs/>
                <w:szCs w:val="22"/>
              </w:rPr>
            </w:pPr>
          </w:p>
          <w:p w14:paraId="7611A933" w14:textId="5FA6BFDF" w:rsidR="00275D71" w:rsidRPr="00BD646C" w:rsidRDefault="00943743" w:rsidP="001F79B0">
            <w:pPr>
              <w:suppressAutoHyphens w:val="0"/>
              <w:rPr>
                <w:b/>
                <w:bCs/>
                <w:szCs w:val="22"/>
                <w:lang w:val="el-GR"/>
              </w:rPr>
            </w:pPr>
            <w:r w:rsidRPr="00BD646C">
              <w:rPr>
                <w:b/>
                <w:bCs/>
                <w:szCs w:val="22"/>
                <w:lang w:val="el-GR"/>
              </w:rPr>
              <w:t>Κύπρος</w:t>
            </w:r>
          </w:p>
          <w:p w14:paraId="1E950217" w14:textId="77777777" w:rsidR="00275D71" w:rsidRPr="00BD646C" w:rsidRDefault="00943743" w:rsidP="001F79B0">
            <w:pPr>
              <w:suppressAutoHyphens w:val="0"/>
              <w:rPr>
                <w:bCs/>
                <w:szCs w:val="22"/>
                <w:lang w:val="el-GR"/>
              </w:rPr>
            </w:pPr>
            <w:r w:rsidRPr="00BD646C">
              <w:rPr>
                <w:bCs/>
                <w:szCs w:val="22"/>
                <w:lang w:val="sk-SK"/>
              </w:rPr>
              <w:t xml:space="preserve">Lifepharma (Z.A.M.) </w:t>
            </w:r>
            <w:r w:rsidRPr="00BD646C">
              <w:rPr>
                <w:bCs/>
                <w:szCs w:val="22"/>
                <w:lang w:val="it-IT"/>
              </w:rPr>
              <w:t>Ltd</w:t>
            </w:r>
          </w:p>
          <w:p w14:paraId="147F8BC7" w14:textId="77777777" w:rsidR="00275D71" w:rsidRDefault="00943743" w:rsidP="001F79B0">
            <w:pPr>
              <w:suppressAutoHyphens w:val="0"/>
              <w:rPr>
                <w:ins w:id="9902" w:author="AbbVie_HU_03" w:date="2025-05-14T16:36:00Z"/>
                <w:bCs/>
                <w:szCs w:val="22"/>
              </w:rPr>
            </w:pPr>
            <w:r w:rsidRPr="00BD646C">
              <w:rPr>
                <w:bCs/>
                <w:szCs w:val="22"/>
                <w:lang w:val="el-GR"/>
              </w:rPr>
              <w:t>Τηλ.: +357 22 34 74 40</w:t>
            </w:r>
          </w:p>
          <w:p w14:paraId="557DE9DF" w14:textId="77777777" w:rsidR="00940F88" w:rsidRPr="00940F88" w:rsidRDefault="00940F88" w:rsidP="001F79B0">
            <w:pPr>
              <w:suppressAutoHyphens w:val="0"/>
              <w:rPr>
                <w:bCs/>
                <w:szCs w:val="22"/>
                <w:rPrChange w:id="9903" w:author="AbbVie_HU_03" w:date="2025-05-14T16:36:00Z">
                  <w:rPr>
                    <w:bCs/>
                    <w:szCs w:val="22"/>
                    <w:lang w:val="lv-LV"/>
                  </w:rPr>
                </w:rPrChange>
              </w:rPr>
            </w:pPr>
          </w:p>
        </w:tc>
        <w:tc>
          <w:tcPr>
            <w:tcW w:w="4678" w:type="dxa"/>
          </w:tcPr>
          <w:p w14:paraId="5A81EEB8" w14:textId="77777777" w:rsidR="00275D71" w:rsidRPr="00BD646C" w:rsidRDefault="00943743" w:rsidP="001F79B0">
            <w:pPr>
              <w:suppressAutoHyphens w:val="0"/>
              <w:rPr>
                <w:b/>
                <w:bCs/>
                <w:szCs w:val="22"/>
                <w:lang w:val="sk-SK"/>
              </w:rPr>
            </w:pPr>
            <w:r w:rsidRPr="00BD646C">
              <w:rPr>
                <w:b/>
                <w:bCs/>
                <w:szCs w:val="22"/>
                <w:lang w:val="sk-SK"/>
              </w:rPr>
              <w:t>Sverige</w:t>
            </w:r>
          </w:p>
          <w:p w14:paraId="45AFF976" w14:textId="77777777" w:rsidR="00275D71" w:rsidRPr="00BD646C" w:rsidRDefault="00943743" w:rsidP="001F79B0">
            <w:pPr>
              <w:suppressAutoHyphens w:val="0"/>
              <w:rPr>
                <w:bCs/>
                <w:szCs w:val="22"/>
                <w:lang w:val="pt-PT"/>
              </w:rPr>
            </w:pPr>
            <w:r w:rsidRPr="00BD646C">
              <w:rPr>
                <w:bCs/>
                <w:szCs w:val="22"/>
                <w:lang w:val="pt-PT"/>
              </w:rPr>
              <w:t>AbbVie AB</w:t>
            </w:r>
          </w:p>
          <w:p w14:paraId="0B01FDEF" w14:textId="77777777" w:rsidR="00275D71" w:rsidRPr="00BD646C" w:rsidRDefault="00943743" w:rsidP="001F79B0">
            <w:pPr>
              <w:suppressAutoHyphens w:val="0"/>
              <w:rPr>
                <w:bCs/>
                <w:szCs w:val="22"/>
                <w:lang w:val="sk-SK"/>
              </w:rPr>
            </w:pPr>
            <w:r w:rsidRPr="00BD646C">
              <w:rPr>
                <w:bCs/>
                <w:szCs w:val="22"/>
                <w:lang w:val="da-DK"/>
              </w:rPr>
              <w:t>Tel: +46 (0)8 684 44 600</w:t>
            </w:r>
          </w:p>
        </w:tc>
      </w:tr>
      <w:tr w:rsidR="00011D2F" w14:paraId="705FBCA6" w14:textId="77777777" w:rsidTr="001F79B0">
        <w:trPr>
          <w:gridBefore w:val="1"/>
          <w:wBefore w:w="34" w:type="dxa"/>
          <w:cantSplit/>
          <w:trHeight w:val="761"/>
        </w:trPr>
        <w:tc>
          <w:tcPr>
            <w:tcW w:w="4644" w:type="dxa"/>
            <w:gridSpan w:val="2"/>
          </w:tcPr>
          <w:p w14:paraId="713A47CC" w14:textId="77777777" w:rsidR="00940F88" w:rsidRDefault="00940F88" w:rsidP="001F79B0">
            <w:pPr>
              <w:suppressAutoHyphens w:val="0"/>
              <w:rPr>
                <w:ins w:id="9904" w:author="AbbVie_HU_03" w:date="2025-05-14T16:36:00Z"/>
                <w:b/>
                <w:bCs/>
                <w:szCs w:val="22"/>
                <w:lang w:val="lv-LV"/>
              </w:rPr>
            </w:pPr>
          </w:p>
          <w:p w14:paraId="10919EAA" w14:textId="53EAC953" w:rsidR="00275D71" w:rsidRPr="00BD646C" w:rsidRDefault="00943743" w:rsidP="001F79B0">
            <w:pPr>
              <w:suppressAutoHyphens w:val="0"/>
              <w:rPr>
                <w:b/>
                <w:bCs/>
                <w:szCs w:val="22"/>
                <w:lang w:val="lv-LV"/>
              </w:rPr>
            </w:pPr>
            <w:r w:rsidRPr="00BD646C">
              <w:rPr>
                <w:b/>
                <w:bCs/>
                <w:szCs w:val="22"/>
                <w:lang w:val="lv-LV"/>
              </w:rPr>
              <w:t>Latvija</w:t>
            </w:r>
          </w:p>
          <w:p w14:paraId="3D8088BE" w14:textId="77777777" w:rsidR="00275D71" w:rsidRPr="00BD646C" w:rsidRDefault="00943743" w:rsidP="001F79B0">
            <w:pPr>
              <w:suppressAutoHyphens w:val="0"/>
              <w:rPr>
                <w:bCs/>
                <w:szCs w:val="22"/>
                <w:lang w:val="lv-LV"/>
              </w:rPr>
            </w:pPr>
            <w:r w:rsidRPr="00BD646C">
              <w:rPr>
                <w:bCs/>
                <w:szCs w:val="22"/>
                <w:lang w:val="lv-LV"/>
              </w:rPr>
              <w:t xml:space="preserve">AbbVie SIA </w:t>
            </w:r>
          </w:p>
          <w:p w14:paraId="070AC894" w14:textId="77777777" w:rsidR="00275D71" w:rsidRPr="00BD646C" w:rsidRDefault="00943743" w:rsidP="001F79B0">
            <w:pPr>
              <w:suppressAutoHyphens w:val="0"/>
              <w:rPr>
                <w:bCs/>
                <w:szCs w:val="22"/>
                <w:lang w:val="lv-LV"/>
              </w:rPr>
            </w:pPr>
            <w:r w:rsidRPr="00BD646C">
              <w:rPr>
                <w:bCs/>
                <w:szCs w:val="22"/>
                <w:lang w:val="lv-LV"/>
              </w:rPr>
              <w:t>Tel: +371 67605000</w:t>
            </w:r>
          </w:p>
        </w:tc>
        <w:tc>
          <w:tcPr>
            <w:tcW w:w="4678" w:type="dxa"/>
          </w:tcPr>
          <w:p w14:paraId="1713DF07" w14:textId="01F4C2C6" w:rsidR="00275D71" w:rsidRPr="00BD646C" w:rsidRDefault="00275D71" w:rsidP="001F79B0">
            <w:pPr>
              <w:suppressAutoHyphens w:val="0"/>
              <w:rPr>
                <w:b/>
                <w:bCs/>
                <w:szCs w:val="22"/>
                <w:lang w:val="sk-SK"/>
              </w:rPr>
            </w:pPr>
          </w:p>
        </w:tc>
      </w:tr>
    </w:tbl>
    <w:p w14:paraId="23D5137C" w14:textId="77777777" w:rsidR="00366005" w:rsidRPr="00183B5F" w:rsidRDefault="00366005">
      <w:pPr>
        <w:spacing w:line="240" w:lineRule="auto"/>
        <w:ind w:right="-2"/>
        <w:rPr>
          <w:szCs w:val="22"/>
        </w:rPr>
      </w:pPr>
    </w:p>
    <w:p w14:paraId="4059342B" w14:textId="77777777" w:rsidR="00366005" w:rsidRPr="00183B5F" w:rsidRDefault="00943743">
      <w:pPr>
        <w:keepNext/>
        <w:spacing w:line="240" w:lineRule="auto"/>
        <w:ind w:right="-2"/>
        <w:rPr>
          <w:szCs w:val="22"/>
        </w:rPr>
      </w:pPr>
      <w:r w:rsidRPr="00183B5F">
        <w:rPr>
          <w:b/>
          <w:szCs w:val="22"/>
        </w:rPr>
        <w:t xml:space="preserve">A betegtájékoztató </w:t>
      </w:r>
      <w:r w:rsidRPr="00183B5F">
        <w:rPr>
          <w:b/>
          <w:noProof/>
          <w:szCs w:val="24"/>
        </w:rPr>
        <w:t>legutóbbi felülvizsgálatának</w:t>
      </w:r>
      <w:r w:rsidRPr="00183B5F">
        <w:rPr>
          <w:b/>
          <w:szCs w:val="24"/>
        </w:rPr>
        <w:t xml:space="preserve"> </w:t>
      </w:r>
      <w:r w:rsidRPr="00183B5F">
        <w:rPr>
          <w:b/>
          <w:szCs w:val="22"/>
        </w:rPr>
        <w:t>dátuma:</w:t>
      </w:r>
    </w:p>
    <w:p w14:paraId="39333156" w14:textId="77777777" w:rsidR="00366005" w:rsidRPr="00183B5F" w:rsidRDefault="00366005">
      <w:pPr>
        <w:keepNext/>
        <w:spacing w:line="240" w:lineRule="auto"/>
        <w:ind w:right="-3"/>
        <w:rPr>
          <w:szCs w:val="22"/>
        </w:rPr>
      </w:pPr>
    </w:p>
    <w:p w14:paraId="7BF8704D" w14:textId="599A9B53" w:rsidR="00366005" w:rsidRPr="00183B5F" w:rsidRDefault="00943743">
      <w:pPr>
        <w:keepNext/>
        <w:spacing w:line="240" w:lineRule="auto"/>
        <w:ind w:right="-3"/>
        <w:rPr>
          <w:i/>
          <w:iCs/>
          <w:snapToGrid w:val="0"/>
          <w:lang w:eastAsia="en-GB"/>
        </w:rPr>
      </w:pPr>
      <w:r w:rsidRPr="00183B5F">
        <w:rPr>
          <w:snapToGrid w:val="0"/>
          <w:lang w:eastAsia="en-GB"/>
        </w:rPr>
        <w:t>A gyógyszerről részletes információ az Európai Gyógyszerügynökség internetes honlapján (</w:t>
      </w:r>
      <w:r w:rsidRPr="00183B5F">
        <w:rPr>
          <w:color w:val="0000FF"/>
        </w:rPr>
        <w:t>http</w:t>
      </w:r>
      <w:ins w:id="9905" w:author="AbbVie_HU_03" w:date="2025-05-14T16:37:00Z">
        <w:r w:rsidR="00940F88">
          <w:rPr>
            <w:color w:val="0000FF"/>
          </w:rPr>
          <w:t>s</w:t>
        </w:r>
      </w:ins>
      <w:r w:rsidRPr="00183B5F">
        <w:rPr>
          <w:color w:val="0000FF"/>
        </w:rPr>
        <w:t>://www.ema.europa.eu/</w:t>
      </w:r>
      <w:r w:rsidRPr="00183B5F">
        <w:rPr>
          <w:i/>
          <w:iCs/>
          <w:snapToGrid w:val="0"/>
          <w:lang w:eastAsia="en-GB"/>
        </w:rPr>
        <w:t xml:space="preserve">) </w:t>
      </w:r>
      <w:r w:rsidRPr="00183B5F">
        <w:rPr>
          <w:snapToGrid w:val="0"/>
          <w:lang w:eastAsia="en-GB"/>
        </w:rPr>
        <w:t>található</w:t>
      </w:r>
      <w:r w:rsidRPr="00183B5F">
        <w:rPr>
          <w:i/>
          <w:iCs/>
          <w:snapToGrid w:val="0"/>
          <w:lang w:eastAsia="en-GB"/>
        </w:rPr>
        <w:t>.</w:t>
      </w:r>
    </w:p>
    <w:p w14:paraId="04F945CB" w14:textId="77777777" w:rsidR="00366005" w:rsidRPr="00183B5F" w:rsidRDefault="00366005">
      <w:pPr>
        <w:keepNext/>
        <w:spacing w:line="240" w:lineRule="auto"/>
        <w:ind w:right="-3"/>
        <w:rPr>
          <w:i/>
          <w:iCs/>
          <w:snapToGrid w:val="0"/>
          <w:lang w:eastAsia="en-GB"/>
        </w:rPr>
      </w:pPr>
    </w:p>
    <w:p w14:paraId="69F72E1F" w14:textId="77777777" w:rsidR="00366005" w:rsidRPr="00183B5F" w:rsidRDefault="00943743">
      <w:pPr>
        <w:autoSpaceDE w:val="0"/>
        <w:autoSpaceDN w:val="0"/>
        <w:adjustRightInd w:val="0"/>
        <w:spacing w:line="240" w:lineRule="auto"/>
        <w:rPr>
          <w:b/>
          <w:bCs/>
          <w:noProof/>
          <w:szCs w:val="22"/>
        </w:rPr>
      </w:pPr>
      <w:r w:rsidRPr="00183B5F">
        <w:rPr>
          <w:b/>
          <w:bCs/>
          <w:noProof/>
          <w:szCs w:val="22"/>
        </w:rPr>
        <w:t>A betegtájékoztató meghallgatásának, &lt;Braille írással&gt;, &lt;nagyméretű betűkkel&gt; készült vagy &lt;audio&gt; változatának igénylése érdekében forduljon a forgalomba hozatali engedély jogosultjának helyi képviselőjéhez.</w:t>
      </w:r>
    </w:p>
    <w:p w14:paraId="4AB15000" w14:textId="77777777" w:rsidR="00366005" w:rsidRPr="00183B5F" w:rsidRDefault="00366005">
      <w:pPr>
        <w:spacing w:line="240" w:lineRule="auto"/>
        <w:ind w:right="-2"/>
        <w:rPr>
          <w:szCs w:val="22"/>
        </w:rPr>
      </w:pPr>
    </w:p>
    <w:p w14:paraId="0F56E9B1" w14:textId="77777777" w:rsidR="00366005" w:rsidRPr="00183B5F" w:rsidRDefault="00366005">
      <w:pPr>
        <w:spacing w:line="240" w:lineRule="auto"/>
        <w:ind w:right="-2"/>
        <w:rPr>
          <w:szCs w:val="22"/>
        </w:rPr>
      </w:pPr>
    </w:p>
    <w:p w14:paraId="144FEF0A" w14:textId="77777777" w:rsidR="00366005" w:rsidRPr="00183B5F" w:rsidRDefault="00943743" w:rsidP="00180A2E">
      <w:pPr>
        <w:pStyle w:val="No-numheading3Agency"/>
        <w:spacing w:before="0" w:after="0"/>
        <w:rPr>
          <w:rFonts w:ascii="Times New Roman" w:hAnsi="Times New Roman"/>
          <w:szCs w:val="24"/>
          <w:lang w:val="hu-HU"/>
        </w:rPr>
      </w:pPr>
      <w:r w:rsidRPr="00183B5F">
        <w:rPr>
          <w:rFonts w:ascii="Times New Roman" w:hAnsi="Times New Roman"/>
          <w:szCs w:val="24"/>
          <w:lang w:val="hu-HU"/>
        </w:rPr>
        <w:t>7.</w:t>
      </w:r>
      <w:r w:rsidRPr="00183B5F">
        <w:rPr>
          <w:rFonts w:ascii="Times New Roman" w:hAnsi="Times New Roman"/>
          <w:szCs w:val="24"/>
          <w:lang w:val="hu-HU"/>
        </w:rPr>
        <w:tab/>
      </w:r>
      <w:r w:rsidR="00AC1D27" w:rsidRPr="00183B5F">
        <w:rPr>
          <w:rFonts w:ascii="Times New Roman" w:hAnsi="Times New Roman"/>
          <w:szCs w:val="24"/>
          <w:lang w:val="hu-HU"/>
        </w:rPr>
        <w:t>A Humira beadása</w:t>
      </w:r>
    </w:p>
    <w:p w14:paraId="59920DE6" w14:textId="77777777" w:rsidR="00366005" w:rsidRPr="00183B5F" w:rsidRDefault="00366005">
      <w:pPr>
        <w:pStyle w:val="No-numheading3Agency"/>
        <w:spacing w:before="0" w:after="0"/>
        <w:rPr>
          <w:rFonts w:ascii="Times New Roman" w:hAnsi="Times New Roman"/>
          <w:szCs w:val="24"/>
          <w:lang w:val="hu-HU"/>
        </w:rPr>
      </w:pPr>
    </w:p>
    <w:p w14:paraId="532C2465" w14:textId="77777777" w:rsidR="00366005" w:rsidRPr="00183B5F" w:rsidRDefault="00943743">
      <w:pPr>
        <w:numPr>
          <w:ilvl w:val="0"/>
          <w:numId w:val="159"/>
        </w:numPr>
        <w:suppressAutoHyphens w:val="0"/>
        <w:spacing w:line="240" w:lineRule="auto"/>
        <w:ind w:right="-3"/>
        <w:rPr>
          <w:szCs w:val="22"/>
        </w:rPr>
      </w:pPr>
      <w:r w:rsidRPr="00183B5F">
        <w:rPr>
          <w:szCs w:val="22"/>
        </w:rPr>
        <w:t xml:space="preserve">A következő útmutató azt magyarázza el, hogyan adja be gyermekének a bőre alá a Humira injekciót előretöltött fecskendővel. Kérjük, figyelmesen olvassa el az útmutatót, és kövesse lépésről-lépésre. </w:t>
      </w:r>
    </w:p>
    <w:p w14:paraId="5F7D097C" w14:textId="77777777" w:rsidR="00366005" w:rsidRPr="00183B5F" w:rsidRDefault="00366005">
      <w:pPr>
        <w:suppressAutoHyphens w:val="0"/>
        <w:spacing w:line="240" w:lineRule="auto"/>
        <w:ind w:right="-3"/>
        <w:rPr>
          <w:szCs w:val="22"/>
        </w:rPr>
      </w:pPr>
    </w:p>
    <w:p w14:paraId="5AE1CF3C" w14:textId="77777777" w:rsidR="00366005" w:rsidRPr="00183B5F" w:rsidRDefault="00943743">
      <w:pPr>
        <w:numPr>
          <w:ilvl w:val="0"/>
          <w:numId w:val="159"/>
        </w:numPr>
        <w:suppressAutoHyphens w:val="0"/>
        <w:spacing w:line="240" w:lineRule="auto"/>
        <w:ind w:right="-3"/>
        <w:rPr>
          <w:szCs w:val="22"/>
        </w:rPr>
      </w:pPr>
      <w:r w:rsidRPr="00183B5F">
        <w:rPr>
          <w:szCs w:val="22"/>
        </w:rPr>
        <w:t xml:space="preserve">Az injekciózás technikájára kezelőorvosa, a nővér, vagy gyógyszerésze tanítja meg Önt. </w:t>
      </w:r>
    </w:p>
    <w:p w14:paraId="23D80DEF" w14:textId="77777777" w:rsidR="00366005" w:rsidRPr="00183B5F" w:rsidRDefault="00366005">
      <w:pPr>
        <w:suppressAutoHyphens w:val="0"/>
        <w:spacing w:line="240" w:lineRule="auto"/>
        <w:ind w:right="-3"/>
        <w:rPr>
          <w:szCs w:val="22"/>
        </w:rPr>
      </w:pPr>
    </w:p>
    <w:p w14:paraId="329B5B33" w14:textId="77777777" w:rsidR="00366005" w:rsidRPr="00183B5F" w:rsidRDefault="00943743">
      <w:pPr>
        <w:numPr>
          <w:ilvl w:val="0"/>
          <w:numId w:val="159"/>
        </w:numPr>
        <w:suppressAutoHyphens w:val="0"/>
        <w:spacing w:line="240" w:lineRule="auto"/>
        <w:ind w:right="-3"/>
        <w:rPr>
          <w:szCs w:val="22"/>
        </w:rPr>
      </w:pPr>
      <w:r w:rsidRPr="00183B5F">
        <w:rPr>
          <w:szCs w:val="22"/>
        </w:rPr>
        <w:t xml:space="preserve">Ne próbálkozzon az gyermeke injekciózásával, amíg nem biztos abban, hogyan kell elkészíteni és beadni az injekciót. </w:t>
      </w:r>
    </w:p>
    <w:p w14:paraId="0D06710C" w14:textId="77777777" w:rsidR="00366005" w:rsidRPr="00183B5F" w:rsidRDefault="00366005">
      <w:pPr>
        <w:suppressAutoHyphens w:val="0"/>
        <w:spacing w:line="240" w:lineRule="auto"/>
        <w:ind w:right="-3"/>
        <w:rPr>
          <w:szCs w:val="22"/>
        </w:rPr>
      </w:pPr>
    </w:p>
    <w:p w14:paraId="4B2B91B5" w14:textId="77777777" w:rsidR="00366005" w:rsidRPr="00183B5F" w:rsidRDefault="00943743">
      <w:pPr>
        <w:numPr>
          <w:ilvl w:val="0"/>
          <w:numId w:val="159"/>
        </w:numPr>
        <w:suppressAutoHyphens w:val="0"/>
        <w:spacing w:line="240" w:lineRule="auto"/>
        <w:ind w:right="-3"/>
        <w:rPr>
          <w:szCs w:val="22"/>
        </w:rPr>
      </w:pPr>
      <w:r w:rsidRPr="00183B5F">
        <w:rPr>
          <w:szCs w:val="22"/>
        </w:rPr>
        <w:t>Megfelelő gyakorlás után Ön vagy más személy (</w:t>
      </w:r>
      <w:r w:rsidR="00F15477" w:rsidRPr="00183B5F">
        <w:rPr>
          <w:bCs/>
          <w:szCs w:val="22"/>
        </w:rPr>
        <w:t>például</w:t>
      </w:r>
      <w:r w:rsidRPr="00183B5F">
        <w:rPr>
          <w:szCs w:val="22"/>
        </w:rPr>
        <w:t xml:space="preserve"> családtag, ismerős) is beadhatja gyermekének az injekciót.</w:t>
      </w:r>
    </w:p>
    <w:p w14:paraId="61819702" w14:textId="77777777" w:rsidR="00366005" w:rsidRPr="00183B5F" w:rsidRDefault="00366005">
      <w:pPr>
        <w:suppressAutoHyphens w:val="0"/>
        <w:spacing w:line="240" w:lineRule="auto"/>
        <w:ind w:left="720" w:right="-3"/>
        <w:rPr>
          <w:szCs w:val="22"/>
        </w:rPr>
      </w:pPr>
    </w:p>
    <w:p w14:paraId="438B01CA" w14:textId="77777777" w:rsidR="00366005" w:rsidRPr="00183B5F" w:rsidRDefault="00943743">
      <w:pPr>
        <w:numPr>
          <w:ilvl w:val="0"/>
          <w:numId w:val="159"/>
        </w:numPr>
        <w:suppressAutoHyphens w:val="0"/>
        <w:spacing w:line="240" w:lineRule="auto"/>
        <w:ind w:right="-3"/>
        <w:rPr>
          <w:szCs w:val="22"/>
        </w:rPr>
      </w:pPr>
      <w:r w:rsidRPr="00183B5F">
        <w:rPr>
          <w:szCs w:val="22"/>
        </w:rPr>
        <w:t>Minden egyes előretöltött fecskendőt csak egyszeri beadásra használja!</w:t>
      </w:r>
    </w:p>
    <w:p w14:paraId="46D088F6" w14:textId="77777777" w:rsidR="00366005" w:rsidRPr="00183B5F" w:rsidRDefault="00366005">
      <w:pPr>
        <w:suppressAutoHyphens w:val="0"/>
        <w:spacing w:line="240" w:lineRule="auto"/>
        <w:ind w:right="-3"/>
        <w:rPr>
          <w:szCs w:val="22"/>
        </w:rPr>
      </w:pPr>
    </w:p>
    <w:p w14:paraId="49231265" w14:textId="77777777" w:rsidR="00366005" w:rsidRPr="00183B5F" w:rsidRDefault="00943743">
      <w:pPr>
        <w:keepNext/>
        <w:suppressAutoHyphens w:val="0"/>
        <w:spacing w:line="240" w:lineRule="auto"/>
        <w:rPr>
          <w:bCs/>
          <w:szCs w:val="22"/>
        </w:rPr>
      </w:pPr>
      <w:r w:rsidRPr="00183B5F">
        <w:rPr>
          <w:b/>
          <w:bCs/>
          <w:szCs w:val="22"/>
        </w:rPr>
        <w:t>Humira előretöltött fecskendő</w:t>
      </w:r>
    </w:p>
    <w:p w14:paraId="61857C0A" w14:textId="77777777" w:rsidR="00366005" w:rsidRPr="00183B5F" w:rsidRDefault="00366005">
      <w:pPr>
        <w:keepNext/>
        <w:suppressAutoHyphens w:val="0"/>
        <w:spacing w:line="240" w:lineRule="auto"/>
        <w:rPr>
          <w:bCs/>
          <w:szCs w:val="22"/>
        </w:rPr>
      </w:pPr>
    </w:p>
    <w:p w14:paraId="58F4732F" w14:textId="77777777" w:rsidR="00366005" w:rsidRPr="00183B5F" w:rsidRDefault="00943743">
      <w:pPr>
        <w:keepNext/>
        <w:tabs>
          <w:tab w:val="left" w:pos="4253"/>
          <w:tab w:val="left" w:pos="5954"/>
        </w:tabs>
        <w:suppressAutoHyphens w:val="0"/>
        <w:spacing w:line="240" w:lineRule="auto"/>
        <w:ind w:left="1134" w:firstLine="567"/>
        <w:rPr>
          <w:b/>
          <w:bCs/>
          <w:szCs w:val="22"/>
        </w:rPr>
      </w:pPr>
      <w:r w:rsidRPr="00183B5F">
        <w:rPr>
          <w:b/>
          <w:bCs/>
          <w:szCs w:val="22"/>
        </w:rPr>
        <w:t xml:space="preserve">dugattyú </w:t>
      </w:r>
      <w:r w:rsidRPr="00183B5F">
        <w:rPr>
          <w:b/>
          <w:bCs/>
          <w:szCs w:val="22"/>
        </w:rPr>
        <w:tab/>
        <w:t>ujjtámasz</w:t>
      </w:r>
      <w:r w:rsidRPr="00183B5F">
        <w:rPr>
          <w:b/>
          <w:bCs/>
          <w:szCs w:val="22"/>
        </w:rPr>
        <w:tab/>
        <w:t>tűvédő tok</w:t>
      </w:r>
    </w:p>
    <w:p w14:paraId="34F3ACF7" w14:textId="77777777" w:rsidR="00366005" w:rsidRPr="00183B5F" w:rsidRDefault="00943743">
      <w:pPr>
        <w:keepNext/>
        <w:suppressAutoHyphens w:val="0"/>
        <w:spacing w:line="240" w:lineRule="auto"/>
        <w:jc w:val="center"/>
        <w:rPr>
          <w:b/>
          <w:bCs/>
          <w:szCs w:val="22"/>
        </w:rPr>
      </w:pPr>
      <w:r w:rsidRPr="00202B95">
        <w:rPr>
          <w:noProof/>
          <w:lang w:val="en-GB"/>
        </w:rPr>
        <w:drawing>
          <wp:inline distT="0" distB="0" distL="0" distR="0" wp14:anchorId="1ABDEC78" wp14:editId="03258719">
            <wp:extent cx="3364992" cy="1478124"/>
            <wp:effectExtent l="0" t="0" r="6985" b="825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Humira_Exploded_Syringe_Only_new grey.jpg"/>
                    <pic:cNvPicPr/>
                  </pic:nvPicPr>
                  <pic:blipFill>
                    <a:blip r:embed="rId24">
                      <a:extLst>
                        <a:ext uri="{28A0092B-C50C-407E-A947-70E740481C1C}">
                          <a14:useLocalDpi xmlns:a14="http://schemas.microsoft.com/office/drawing/2010/main" val="0"/>
                        </a:ext>
                      </a:extLst>
                    </a:blip>
                    <a:stretch>
                      <a:fillRect/>
                    </a:stretch>
                  </pic:blipFill>
                  <pic:spPr>
                    <a:xfrm>
                      <a:off x="0" y="0"/>
                      <a:ext cx="3364992" cy="1478124"/>
                    </a:xfrm>
                    <a:prstGeom prst="rect">
                      <a:avLst/>
                    </a:prstGeom>
                  </pic:spPr>
                </pic:pic>
              </a:graphicData>
            </a:graphic>
          </wp:inline>
        </w:drawing>
      </w:r>
    </w:p>
    <w:p w14:paraId="033F3FE0" w14:textId="77777777" w:rsidR="00366005" w:rsidRPr="00183B5F" w:rsidRDefault="00366005" w:rsidP="004062FE">
      <w:pPr>
        <w:pStyle w:val="EMEAHeadingLeaflet"/>
        <w:keepNext/>
        <w:spacing w:beforeLines="0" w:before="0" w:afterLines="0" w:after="0"/>
        <w:rPr>
          <w:rFonts w:ascii="Times New Roman" w:hAnsi="Times New Roman"/>
          <w:b w:val="0"/>
          <w:lang w:val="hu-HU"/>
        </w:rPr>
      </w:pPr>
    </w:p>
    <w:p w14:paraId="2C821412" w14:textId="77777777" w:rsidR="00366005" w:rsidRPr="00183B5F" w:rsidRDefault="00943743" w:rsidP="004062FE">
      <w:pPr>
        <w:pStyle w:val="EMEAHeadingLeaflet"/>
        <w:keepNext/>
        <w:spacing w:beforeLines="0" w:before="0" w:afterLines="0" w:after="0"/>
        <w:rPr>
          <w:rFonts w:ascii="Times New Roman" w:hAnsi="Times New Roman"/>
          <w:lang w:val="hu-HU"/>
        </w:rPr>
      </w:pPr>
      <w:r w:rsidRPr="00183B5F">
        <w:rPr>
          <w:rFonts w:ascii="Times New Roman" w:hAnsi="Times New Roman"/>
          <w:lang w:val="hu-HU"/>
        </w:rPr>
        <w:t>Ne használja az előretöltött fecskendőt és hívja kezelőorvosát vagy gyógyszerészét, ha:</w:t>
      </w:r>
    </w:p>
    <w:p w14:paraId="1548CA04" w14:textId="77777777" w:rsidR="00366005" w:rsidRPr="00183B5F" w:rsidRDefault="00366005">
      <w:pPr>
        <w:pStyle w:val="EMEANormal"/>
        <w:keepNext/>
        <w:rPr>
          <w:lang w:val="hu-HU"/>
        </w:rPr>
      </w:pPr>
    </w:p>
    <w:p w14:paraId="247AACE8" w14:textId="77777777" w:rsidR="00366005" w:rsidRPr="00183B5F" w:rsidRDefault="00943743" w:rsidP="004062FE">
      <w:pPr>
        <w:pStyle w:val="EMEAHeadingLeaflet"/>
        <w:keepNext/>
        <w:numPr>
          <w:ilvl w:val="0"/>
          <w:numId w:val="177"/>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b w:val="0"/>
          <w:lang w:val="hu-HU"/>
        </w:rPr>
        <w:t>a folyadék zavaros, elszíneződött vagy pelyhes csapadékot vagy lebegő részecskéket tartalmaz</w:t>
      </w:r>
    </w:p>
    <w:p w14:paraId="114815A1" w14:textId="77777777" w:rsidR="00366005" w:rsidRPr="00183B5F" w:rsidRDefault="00943743" w:rsidP="004062FE">
      <w:pPr>
        <w:pStyle w:val="EMEAHeadingLeaflet"/>
        <w:keepNext/>
        <w:numPr>
          <w:ilvl w:val="0"/>
          <w:numId w:val="177"/>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b w:val="0"/>
          <w:lang w:val="hu-HU"/>
        </w:rPr>
        <w:t>a lejárati idő (EXP) elmúlt</w:t>
      </w:r>
    </w:p>
    <w:p w14:paraId="157270B2" w14:textId="77777777" w:rsidR="00366005" w:rsidRPr="00183B5F" w:rsidRDefault="00943743" w:rsidP="004062FE">
      <w:pPr>
        <w:pStyle w:val="EMEAHeadingLeaflet"/>
        <w:keepNext/>
        <w:numPr>
          <w:ilvl w:val="0"/>
          <w:numId w:val="177"/>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b w:val="0"/>
          <w:lang w:val="hu-HU"/>
        </w:rPr>
        <w:t>a folyadék megfagyott vagy közvetlen napfénynek volt kitéve</w:t>
      </w:r>
    </w:p>
    <w:p w14:paraId="625A20C6" w14:textId="77777777" w:rsidR="00366005" w:rsidRPr="00183B5F" w:rsidRDefault="00943743" w:rsidP="004062FE">
      <w:pPr>
        <w:pStyle w:val="EMEAHeadingLeaflet"/>
        <w:keepNext/>
        <w:numPr>
          <w:ilvl w:val="0"/>
          <w:numId w:val="177"/>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b w:val="0"/>
          <w:lang w:val="hu-HU"/>
        </w:rPr>
        <w:t>az előretöltött fecskendő leesett vagy eltörött</w:t>
      </w:r>
    </w:p>
    <w:p w14:paraId="36A82A0A" w14:textId="77777777" w:rsidR="00366005" w:rsidRPr="00183B5F" w:rsidRDefault="00366005">
      <w:pPr>
        <w:pStyle w:val="EMEANormal"/>
        <w:rPr>
          <w:lang w:val="hu-HU"/>
        </w:rPr>
      </w:pPr>
    </w:p>
    <w:p w14:paraId="6C61A0DD" w14:textId="77777777" w:rsidR="00366005" w:rsidRPr="00183B5F" w:rsidRDefault="00943743" w:rsidP="004062FE">
      <w:pPr>
        <w:pStyle w:val="EMEAHeadingLeaflet"/>
        <w:keepNext/>
        <w:tabs>
          <w:tab w:val="left" w:pos="0"/>
        </w:tabs>
        <w:spacing w:beforeLines="0" w:before="0" w:afterLines="0" w:after="0"/>
        <w:rPr>
          <w:rFonts w:ascii="Times New Roman" w:hAnsi="Times New Roman"/>
          <w:b w:val="0"/>
          <w:lang w:val="hu-HU"/>
        </w:rPr>
      </w:pPr>
      <w:r w:rsidRPr="00183B5F">
        <w:rPr>
          <w:szCs w:val="22"/>
          <w:lang w:val="hu-HU"/>
        </w:rPr>
        <w:t>A tűvédő tokot ne távolítsa el, csak közvetlenül az injekció beadása előtt.</w:t>
      </w:r>
      <w:r w:rsidRPr="00183B5F">
        <w:rPr>
          <w:rFonts w:ascii="Times New Roman" w:hAnsi="Times New Roman"/>
          <w:lang w:val="hu-HU"/>
        </w:rPr>
        <w:t xml:space="preserve"> A Humira gyermekektől elzárva tartandó!</w:t>
      </w:r>
    </w:p>
    <w:p w14:paraId="78653950" w14:textId="77777777" w:rsidR="00366005" w:rsidRPr="00183B5F" w:rsidRDefault="00366005">
      <w:pPr>
        <w:pStyle w:val="EMEANormal"/>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011D2F" w14:paraId="47655B21" w14:textId="77777777" w:rsidTr="00366005">
        <w:tc>
          <w:tcPr>
            <w:tcW w:w="9287" w:type="dxa"/>
            <w:gridSpan w:val="2"/>
            <w:tcBorders>
              <w:top w:val="single" w:sz="4" w:space="0" w:color="auto"/>
              <w:left w:val="single" w:sz="4" w:space="0" w:color="auto"/>
              <w:bottom w:val="single" w:sz="4" w:space="0" w:color="auto"/>
              <w:right w:val="single" w:sz="4" w:space="0" w:color="auto"/>
            </w:tcBorders>
          </w:tcPr>
          <w:p w14:paraId="5E54BC27" w14:textId="77777777" w:rsidR="00366005" w:rsidRPr="00183B5F" w:rsidRDefault="00943743" w:rsidP="004062FE">
            <w:pPr>
              <w:pStyle w:val="EMEAHeadingLeaflet"/>
              <w:spacing w:beforeLines="0" w:before="0" w:afterLines="0" w:after="0"/>
              <w:rPr>
                <w:rFonts w:ascii="Times New Roman" w:hAnsi="Times New Roman"/>
                <w:b w:val="0"/>
                <w:lang w:val="hu-HU"/>
              </w:rPr>
            </w:pPr>
            <w:r w:rsidRPr="00183B5F">
              <w:rPr>
                <w:rFonts w:ascii="Times New Roman" w:hAnsi="Times New Roman"/>
                <w:lang w:val="hu-HU"/>
              </w:rPr>
              <w:t>1. lépés</w:t>
            </w:r>
          </w:p>
          <w:p w14:paraId="73C31B60" w14:textId="77777777" w:rsidR="00366005" w:rsidRPr="00183B5F" w:rsidRDefault="00366005" w:rsidP="004062FE">
            <w:pPr>
              <w:pStyle w:val="EMEANormal"/>
              <w:rPr>
                <w:lang w:val="hu-HU"/>
              </w:rPr>
            </w:pPr>
          </w:p>
          <w:p w14:paraId="1EFE31B4" w14:textId="77777777" w:rsidR="00366005" w:rsidRPr="00183B5F" w:rsidRDefault="00943743" w:rsidP="004062FE">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Vegye ki a Humira</w:t>
            </w:r>
            <w:r w:rsidRPr="00183B5F">
              <w:rPr>
                <w:rFonts w:ascii="Times New Roman" w:hAnsi="Times New Roman"/>
                <w:b w:val="0"/>
                <w:lang w:val="hu-HU"/>
              </w:rPr>
              <w:noBreakHyphen/>
              <w:t>t a hűtőszekrényből.</w:t>
            </w:r>
          </w:p>
          <w:p w14:paraId="18C59BBD" w14:textId="77777777" w:rsidR="00366005" w:rsidRPr="00183B5F" w:rsidRDefault="00366005" w:rsidP="004062FE">
            <w:pPr>
              <w:pStyle w:val="EMEANormal"/>
              <w:rPr>
                <w:lang w:val="hu-HU"/>
              </w:rPr>
            </w:pPr>
          </w:p>
          <w:p w14:paraId="6FF450DD" w14:textId="77777777" w:rsidR="00366005" w:rsidRPr="00183B5F" w:rsidRDefault="00943743" w:rsidP="004062FE">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 xml:space="preserve">A beadás előtt </w:t>
            </w:r>
            <w:r w:rsidRPr="00183B5F">
              <w:rPr>
                <w:rFonts w:ascii="Times New Roman" w:hAnsi="Times New Roman"/>
                <w:lang w:val="hu-HU"/>
              </w:rPr>
              <w:t>15</w:t>
            </w:r>
            <w:r w:rsidRPr="00183B5F">
              <w:rPr>
                <w:rFonts w:ascii="Times New Roman" w:hAnsi="Times New Roman"/>
                <w:lang w:val="hu-HU"/>
              </w:rPr>
              <w:noBreakHyphen/>
              <w:t>30 percig</w:t>
            </w:r>
            <w:r w:rsidRPr="00183B5F">
              <w:rPr>
                <w:rFonts w:ascii="Times New Roman" w:hAnsi="Times New Roman"/>
                <w:b w:val="0"/>
                <w:lang w:val="hu-HU"/>
              </w:rPr>
              <w:t xml:space="preserve"> hagyja a Humira</w:t>
            </w:r>
            <w:r w:rsidRPr="00183B5F">
              <w:rPr>
                <w:rFonts w:ascii="Times New Roman" w:hAnsi="Times New Roman"/>
                <w:b w:val="0"/>
                <w:lang w:val="hu-HU"/>
              </w:rPr>
              <w:noBreakHyphen/>
              <w:t>t szobahőmérsékleten.</w:t>
            </w:r>
          </w:p>
          <w:p w14:paraId="0ACF18C3" w14:textId="77777777" w:rsidR="00366005" w:rsidRPr="00183B5F" w:rsidRDefault="00366005" w:rsidP="004062FE">
            <w:pPr>
              <w:pStyle w:val="EMEANormal"/>
              <w:rPr>
                <w:lang w:val="hu-HU"/>
              </w:rPr>
            </w:pPr>
          </w:p>
          <w:p w14:paraId="45F5A8A9" w14:textId="77777777" w:rsidR="00366005" w:rsidRPr="00183B5F" w:rsidRDefault="00943743" w:rsidP="004062FE">
            <w:pPr>
              <w:pStyle w:val="EMEAHeadingLeaflet"/>
              <w:numPr>
                <w:ilvl w:val="0"/>
                <w:numId w:val="178"/>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lang w:val="hu-HU"/>
              </w:rPr>
              <w:t>Ne távolítsa el</w:t>
            </w:r>
            <w:r w:rsidRPr="00183B5F">
              <w:rPr>
                <w:rFonts w:ascii="Times New Roman" w:hAnsi="Times New Roman"/>
                <w:b w:val="0"/>
                <w:lang w:val="hu-HU"/>
              </w:rPr>
              <w:t xml:space="preserve"> a tűvédő tokot, amíg a Humira hőmérséklete eléri a szobahőmérsékletet.</w:t>
            </w:r>
          </w:p>
          <w:p w14:paraId="7C544198" w14:textId="77777777" w:rsidR="00366005" w:rsidRPr="00183B5F" w:rsidRDefault="00943743" w:rsidP="004062FE">
            <w:pPr>
              <w:pStyle w:val="EMEANormal"/>
              <w:numPr>
                <w:ilvl w:val="0"/>
                <w:numId w:val="178"/>
              </w:numPr>
              <w:tabs>
                <w:tab w:val="clear" w:pos="562"/>
                <w:tab w:val="left" w:pos="720"/>
              </w:tabs>
              <w:rPr>
                <w:lang w:val="hu-HU"/>
              </w:rPr>
            </w:pPr>
            <w:r w:rsidRPr="00183B5F">
              <w:rPr>
                <w:b/>
                <w:lang w:val="hu-HU"/>
              </w:rPr>
              <w:t xml:space="preserve">Ne melegítse </w:t>
            </w:r>
            <w:r w:rsidRPr="00183B5F">
              <w:rPr>
                <w:lang w:val="hu-HU"/>
              </w:rPr>
              <w:t>a Humira</w:t>
            </w:r>
            <w:r w:rsidRPr="00183B5F">
              <w:rPr>
                <w:lang w:val="hu-HU"/>
              </w:rPr>
              <w:noBreakHyphen/>
              <w:t xml:space="preserve">t semmilyen egyéb módon. Például </w:t>
            </w:r>
            <w:r w:rsidRPr="00183B5F">
              <w:rPr>
                <w:b/>
                <w:lang w:val="hu-HU"/>
              </w:rPr>
              <w:t>ne melegítse</w:t>
            </w:r>
            <w:r w:rsidRPr="00183B5F">
              <w:rPr>
                <w:lang w:val="hu-HU"/>
              </w:rPr>
              <w:t xml:space="preserve"> mikrohullámú sütőben vagy forró vízben.</w:t>
            </w:r>
          </w:p>
        </w:tc>
      </w:tr>
      <w:tr w:rsidR="00011D2F" w14:paraId="0809221F" w14:textId="77777777" w:rsidTr="00366005">
        <w:tc>
          <w:tcPr>
            <w:tcW w:w="3708" w:type="dxa"/>
            <w:tcBorders>
              <w:top w:val="single" w:sz="4" w:space="0" w:color="auto"/>
              <w:left w:val="single" w:sz="4" w:space="0" w:color="auto"/>
              <w:bottom w:val="single" w:sz="4" w:space="0" w:color="auto"/>
              <w:right w:val="nil"/>
            </w:tcBorders>
          </w:tcPr>
          <w:p w14:paraId="1665E505" w14:textId="77777777" w:rsidR="00366005" w:rsidRPr="00183B5F" w:rsidRDefault="00943743" w:rsidP="0073731A">
            <w:pPr>
              <w:pStyle w:val="EMEANormal"/>
              <w:rPr>
                <w:noProof/>
                <w:lang w:val="hu-HU"/>
              </w:rPr>
            </w:pPr>
            <w:r w:rsidRPr="00183B5F">
              <w:rPr>
                <w:b/>
                <w:noProof/>
                <w:lang w:val="hu-HU"/>
              </w:rPr>
              <w:t>2. lépés</w:t>
            </w:r>
          </w:p>
          <w:p w14:paraId="5E0FB719" w14:textId="77777777" w:rsidR="00366005" w:rsidRPr="00183B5F" w:rsidRDefault="00366005" w:rsidP="0073731A">
            <w:pPr>
              <w:pStyle w:val="EMEANormal"/>
              <w:rPr>
                <w:noProof/>
                <w:lang w:val="hu-HU"/>
              </w:rPr>
            </w:pPr>
          </w:p>
          <w:p w14:paraId="1BF02276" w14:textId="77777777" w:rsidR="00366005" w:rsidRPr="00183B5F" w:rsidRDefault="00943743" w:rsidP="0073731A">
            <w:pPr>
              <w:pStyle w:val="EMEANormal"/>
              <w:rPr>
                <w:b/>
                <w:noProof/>
                <w:lang w:val="hu-HU"/>
              </w:rPr>
            </w:pPr>
            <w:r w:rsidRPr="00183B5F">
              <w:rPr>
                <w:noProof/>
                <w:lang w:val="hu-HU"/>
              </w:rPr>
              <w:t xml:space="preserve">      </w:t>
            </w:r>
            <w:r w:rsidRPr="00183B5F">
              <w:rPr>
                <w:b/>
                <w:noProof/>
                <w:lang w:val="hu-HU"/>
              </w:rPr>
              <w:t>Előretöltött fecskendő</w:t>
            </w:r>
          </w:p>
          <w:p w14:paraId="6666BD51" w14:textId="77777777" w:rsidR="00366005" w:rsidRPr="00183B5F" w:rsidRDefault="00943743" w:rsidP="0073731A">
            <w:pPr>
              <w:pStyle w:val="EMEANormal"/>
              <w:rPr>
                <w:noProof/>
                <w:lang w:val="hu-HU"/>
              </w:rPr>
            </w:pPr>
            <w:r w:rsidRPr="00202B95">
              <w:rPr>
                <w:noProof/>
                <w:lang w:val="en-GB"/>
              </w:rPr>
              <w:drawing>
                <wp:inline distT="0" distB="0" distL="0" distR="0" wp14:anchorId="51BC72D8" wp14:editId="458E9B1E">
                  <wp:extent cx="2217420" cy="2052320"/>
                  <wp:effectExtent l="0" t="0" r="0" b="508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STEP_2_SYRINGE_IFU_SETUP_new grey.jpg"/>
                          <pic:cNvPicPr/>
                        </pic:nvPicPr>
                        <pic:blipFill>
                          <a:blip r:embed="rId25">
                            <a:extLst>
                              <a:ext uri="{28A0092B-C50C-407E-A947-70E740481C1C}">
                                <a14:useLocalDpi xmlns:a14="http://schemas.microsoft.com/office/drawing/2010/main" val="0"/>
                              </a:ext>
                            </a:extLst>
                          </a:blip>
                          <a:stretch>
                            <a:fillRect/>
                          </a:stretch>
                        </pic:blipFill>
                        <pic:spPr>
                          <a:xfrm>
                            <a:off x="0" y="0"/>
                            <a:ext cx="2217420" cy="2052320"/>
                          </a:xfrm>
                          <a:prstGeom prst="rect">
                            <a:avLst/>
                          </a:prstGeom>
                        </pic:spPr>
                      </pic:pic>
                    </a:graphicData>
                  </a:graphic>
                </wp:inline>
              </w:drawing>
            </w:r>
          </w:p>
          <w:p w14:paraId="0E79ABF6" w14:textId="77777777" w:rsidR="00366005" w:rsidRPr="00183B5F" w:rsidRDefault="00943743" w:rsidP="0073731A">
            <w:pPr>
              <w:pStyle w:val="EMEANormal"/>
              <w:rPr>
                <w:b/>
                <w:noProof/>
                <w:lang w:val="hu-HU"/>
              </w:rPr>
            </w:pPr>
            <w:r w:rsidRPr="00183B5F">
              <w:rPr>
                <w:b/>
                <w:noProof/>
                <w:lang w:val="hu-HU"/>
              </w:rPr>
              <w:t xml:space="preserve">            Törlőkendő</w:t>
            </w:r>
          </w:p>
        </w:tc>
        <w:tc>
          <w:tcPr>
            <w:tcW w:w="5579" w:type="dxa"/>
            <w:tcBorders>
              <w:top w:val="single" w:sz="4" w:space="0" w:color="auto"/>
              <w:left w:val="nil"/>
              <w:bottom w:val="single" w:sz="4" w:space="0" w:color="auto"/>
              <w:right w:val="single" w:sz="4" w:space="0" w:color="auto"/>
            </w:tcBorders>
          </w:tcPr>
          <w:p w14:paraId="6CC6C68B" w14:textId="77777777" w:rsidR="00366005" w:rsidRPr="00183B5F" w:rsidRDefault="00366005" w:rsidP="0073731A">
            <w:pPr>
              <w:pStyle w:val="EMEAHeadingLeaflet"/>
              <w:spacing w:beforeLines="0" w:before="0" w:afterLines="0" w:after="0"/>
              <w:rPr>
                <w:rFonts w:ascii="Times New Roman" w:hAnsi="Times New Roman"/>
                <w:b w:val="0"/>
                <w:lang w:val="hu-HU"/>
              </w:rPr>
            </w:pPr>
          </w:p>
          <w:p w14:paraId="20BBBBF5" w14:textId="77777777" w:rsidR="00366005" w:rsidRPr="00183B5F" w:rsidRDefault="00943743" w:rsidP="0073731A">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 xml:space="preserve">Ellenőrizze a lejárat dátumát (EXP). </w:t>
            </w:r>
            <w:r w:rsidRPr="00183B5F">
              <w:rPr>
                <w:rFonts w:ascii="Times New Roman" w:hAnsi="Times New Roman"/>
                <w:lang w:val="hu-HU"/>
              </w:rPr>
              <w:t>Ne</w:t>
            </w:r>
            <w:r w:rsidRPr="00183B5F">
              <w:rPr>
                <w:rFonts w:ascii="Times New Roman" w:hAnsi="Times New Roman"/>
                <w:b w:val="0"/>
                <w:lang w:val="hu-HU"/>
              </w:rPr>
              <w:t xml:space="preserve"> használja az előretöltött fecskendőt, ha a lejárati idő (EXP) elmúlt.</w:t>
            </w:r>
          </w:p>
          <w:p w14:paraId="5D266A69" w14:textId="77777777" w:rsidR="00366005" w:rsidRPr="00183B5F" w:rsidRDefault="00366005" w:rsidP="0073731A">
            <w:pPr>
              <w:pStyle w:val="EMEANormal"/>
              <w:rPr>
                <w:lang w:val="hu-HU"/>
              </w:rPr>
            </w:pPr>
          </w:p>
          <w:p w14:paraId="25CD3821" w14:textId="77777777" w:rsidR="00366005" w:rsidRPr="00183B5F" w:rsidRDefault="00943743" w:rsidP="0073731A">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Helyezze a következőket egy tiszta, sima felületre:</w:t>
            </w:r>
          </w:p>
          <w:p w14:paraId="4CEF18BD" w14:textId="77777777" w:rsidR="00366005" w:rsidRPr="00183B5F" w:rsidRDefault="00366005" w:rsidP="0073731A">
            <w:pPr>
              <w:pStyle w:val="EMEANormal"/>
              <w:rPr>
                <w:lang w:val="hu-HU"/>
              </w:rPr>
            </w:pPr>
          </w:p>
          <w:p w14:paraId="0B94E0D5" w14:textId="77777777" w:rsidR="00366005" w:rsidRPr="00183B5F" w:rsidRDefault="00943743" w:rsidP="0073731A">
            <w:pPr>
              <w:pStyle w:val="EMEAHeadingLeaflet"/>
              <w:numPr>
                <w:ilvl w:val="0"/>
                <w:numId w:val="179"/>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 xml:space="preserve">1 egyszer használatos előretöltött fecskendőt és </w:t>
            </w:r>
          </w:p>
          <w:p w14:paraId="6981FA82" w14:textId="77777777" w:rsidR="00366005" w:rsidRPr="00183B5F" w:rsidRDefault="00943743" w:rsidP="0073731A">
            <w:pPr>
              <w:pStyle w:val="EMEAHeadingLeaflet"/>
              <w:numPr>
                <w:ilvl w:val="0"/>
                <w:numId w:val="179"/>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1 alkoholos törlőt</w:t>
            </w:r>
          </w:p>
          <w:p w14:paraId="3A7430BB" w14:textId="77777777" w:rsidR="00366005" w:rsidRPr="00183B5F" w:rsidRDefault="00366005" w:rsidP="0073731A">
            <w:pPr>
              <w:pStyle w:val="EMEANormal"/>
              <w:rPr>
                <w:lang w:val="hu-HU"/>
              </w:rPr>
            </w:pPr>
          </w:p>
          <w:p w14:paraId="167E582B" w14:textId="77777777" w:rsidR="00366005" w:rsidRPr="00183B5F" w:rsidRDefault="00943743" w:rsidP="0073731A">
            <w:pPr>
              <w:pStyle w:val="EMEANormal"/>
              <w:rPr>
                <w:lang w:val="hu-HU"/>
              </w:rPr>
            </w:pPr>
            <w:r w:rsidRPr="00183B5F">
              <w:rPr>
                <w:lang w:val="hu-HU"/>
              </w:rPr>
              <w:t>Mossa meg és szárítsa meg a kezét.</w:t>
            </w:r>
          </w:p>
        </w:tc>
      </w:tr>
      <w:tr w:rsidR="00011D2F" w14:paraId="2FE6A6A6" w14:textId="77777777" w:rsidTr="00366005">
        <w:tc>
          <w:tcPr>
            <w:tcW w:w="3708" w:type="dxa"/>
            <w:tcBorders>
              <w:top w:val="single" w:sz="4" w:space="0" w:color="auto"/>
              <w:left w:val="single" w:sz="4" w:space="0" w:color="auto"/>
              <w:bottom w:val="single" w:sz="4" w:space="0" w:color="auto"/>
              <w:right w:val="nil"/>
            </w:tcBorders>
          </w:tcPr>
          <w:p w14:paraId="616EB116" w14:textId="77777777" w:rsidR="00366005" w:rsidRPr="00183B5F" w:rsidRDefault="00943743" w:rsidP="004062FE">
            <w:pPr>
              <w:pStyle w:val="EMEANormal"/>
              <w:keepNext/>
              <w:rPr>
                <w:noProof/>
                <w:lang w:val="hu-HU"/>
              </w:rPr>
            </w:pPr>
            <w:r w:rsidRPr="00183B5F">
              <w:rPr>
                <w:b/>
                <w:noProof/>
                <w:lang w:val="hu-HU"/>
              </w:rPr>
              <w:t>3. lépés</w:t>
            </w:r>
          </w:p>
          <w:p w14:paraId="6E8C912D" w14:textId="77777777" w:rsidR="00366005" w:rsidRPr="00183B5F" w:rsidRDefault="00366005" w:rsidP="004062FE">
            <w:pPr>
              <w:pStyle w:val="EMEANormal"/>
              <w:keepNext/>
              <w:rPr>
                <w:noProof/>
                <w:lang w:val="hu-HU"/>
              </w:rPr>
            </w:pPr>
          </w:p>
          <w:p w14:paraId="21AA52AD" w14:textId="77777777" w:rsidR="00366005" w:rsidRPr="00183B5F" w:rsidRDefault="00943743" w:rsidP="004062FE">
            <w:pPr>
              <w:pStyle w:val="EMEANormal"/>
              <w:keepNext/>
              <w:rPr>
                <w:b/>
                <w:noProof/>
                <w:lang w:val="hu-HU"/>
              </w:rPr>
            </w:pPr>
            <w:r w:rsidRPr="00183B5F">
              <w:rPr>
                <w:b/>
                <w:noProof/>
                <w:lang w:val="hu-HU"/>
              </w:rPr>
              <w:t>Beadási helyek</w:t>
            </w:r>
          </w:p>
          <w:p w14:paraId="1E327CE8" w14:textId="77777777" w:rsidR="00366005" w:rsidRPr="00183B5F" w:rsidRDefault="00943743" w:rsidP="004062FE">
            <w:pPr>
              <w:pStyle w:val="EMEANormal"/>
              <w:keepNext/>
              <w:rPr>
                <w:noProof/>
                <w:lang w:val="hu-HU"/>
              </w:rPr>
            </w:pPr>
            <w:r w:rsidRPr="00202B95">
              <w:rPr>
                <w:noProof/>
                <w:lang w:val="en-GB"/>
              </w:rPr>
              <w:drawing>
                <wp:inline distT="0" distB="0" distL="0" distR="0" wp14:anchorId="0AE1A5CB" wp14:editId="0DA212B3">
                  <wp:extent cx="2276475" cy="2381250"/>
                  <wp:effectExtent l="0" t="0" r="9525" b="0"/>
                  <wp:docPr id="121" name="Picture 121"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93" descr="STEP3_grey"/>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276475" cy="2381250"/>
                          </a:xfrm>
                          <a:prstGeom prst="rect">
                            <a:avLst/>
                          </a:prstGeom>
                          <a:noFill/>
                          <a:ln>
                            <a:noFill/>
                          </a:ln>
                        </pic:spPr>
                      </pic:pic>
                    </a:graphicData>
                  </a:graphic>
                </wp:inline>
              </w:drawing>
            </w:r>
          </w:p>
          <w:p w14:paraId="11EEA3C1" w14:textId="77777777" w:rsidR="00366005" w:rsidRPr="00183B5F" w:rsidRDefault="00943743" w:rsidP="004062FE">
            <w:pPr>
              <w:pStyle w:val="EMEANormal"/>
              <w:keepNext/>
              <w:rPr>
                <w:b/>
                <w:lang w:val="hu-HU"/>
              </w:rPr>
            </w:pPr>
            <w:r w:rsidRPr="00183B5F">
              <w:rPr>
                <w:noProof/>
                <w:lang w:val="hu-HU"/>
              </w:rPr>
              <w:t xml:space="preserve">     </w:t>
            </w:r>
            <w:r w:rsidRPr="00183B5F">
              <w:rPr>
                <w:b/>
                <w:noProof/>
                <w:lang w:val="hu-HU"/>
              </w:rPr>
              <w:t>Beadási helyek</w:t>
            </w:r>
          </w:p>
        </w:tc>
        <w:tc>
          <w:tcPr>
            <w:tcW w:w="5579" w:type="dxa"/>
            <w:tcBorders>
              <w:top w:val="single" w:sz="4" w:space="0" w:color="auto"/>
              <w:left w:val="nil"/>
              <w:bottom w:val="single" w:sz="4" w:space="0" w:color="auto"/>
              <w:right w:val="single" w:sz="4" w:space="0" w:color="auto"/>
            </w:tcBorders>
          </w:tcPr>
          <w:p w14:paraId="0B0CE3EE" w14:textId="77777777" w:rsidR="00366005" w:rsidRPr="00183B5F" w:rsidRDefault="00366005" w:rsidP="004062FE">
            <w:pPr>
              <w:pStyle w:val="EMEAHeadingLeaflet"/>
              <w:keepNext/>
              <w:spacing w:beforeLines="0" w:before="0" w:afterLines="0" w:after="0"/>
              <w:rPr>
                <w:rFonts w:ascii="Times New Roman" w:hAnsi="Times New Roman"/>
                <w:b w:val="0"/>
                <w:lang w:val="hu-HU"/>
              </w:rPr>
            </w:pPr>
          </w:p>
          <w:p w14:paraId="0890D983" w14:textId="77777777" w:rsidR="00366005" w:rsidRPr="00183B5F" w:rsidRDefault="00943743" w:rsidP="004062FE">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Válassza ki a beadási helyet:</w:t>
            </w:r>
          </w:p>
          <w:p w14:paraId="37F524F9" w14:textId="77777777" w:rsidR="00366005" w:rsidRPr="00183B5F" w:rsidRDefault="00366005" w:rsidP="004062FE">
            <w:pPr>
              <w:pStyle w:val="EMEANormal"/>
              <w:keepNext/>
              <w:rPr>
                <w:lang w:val="hu-HU"/>
              </w:rPr>
            </w:pPr>
          </w:p>
          <w:p w14:paraId="529828A4" w14:textId="77777777" w:rsidR="00366005" w:rsidRPr="00183B5F" w:rsidRDefault="00943743" w:rsidP="004062FE">
            <w:pPr>
              <w:pStyle w:val="EMEAHeadingLeaflet"/>
              <w:keepNext/>
              <w:numPr>
                <w:ilvl w:val="0"/>
                <w:numId w:val="180"/>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Gyermeke combjának elülső részén vagy</w:t>
            </w:r>
          </w:p>
          <w:p w14:paraId="325C00A8" w14:textId="77777777" w:rsidR="00366005" w:rsidRPr="00183B5F" w:rsidRDefault="00943743" w:rsidP="004062FE">
            <w:pPr>
              <w:pStyle w:val="EMEAHeadingLeaflet"/>
              <w:keepNext/>
              <w:numPr>
                <w:ilvl w:val="0"/>
                <w:numId w:val="180"/>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Gyermeke hasfalán, legalább 5 cm távolságra a köldökétől</w:t>
            </w:r>
          </w:p>
          <w:p w14:paraId="0E920826" w14:textId="77777777" w:rsidR="00366005" w:rsidRPr="00183B5F" w:rsidRDefault="00943743" w:rsidP="004062FE">
            <w:pPr>
              <w:pStyle w:val="EMEAHeadingLeaflet"/>
              <w:keepNext/>
              <w:numPr>
                <w:ilvl w:val="0"/>
                <w:numId w:val="180"/>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Az előző beadási helytől legalább 3 cm távolságra</w:t>
            </w:r>
          </w:p>
          <w:p w14:paraId="134F487D" w14:textId="77777777" w:rsidR="00366005" w:rsidRPr="00183B5F" w:rsidRDefault="00366005" w:rsidP="004062FE">
            <w:pPr>
              <w:pStyle w:val="EMEANormal"/>
              <w:keepNext/>
              <w:rPr>
                <w:lang w:val="hu-HU"/>
              </w:rPr>
            </w:pPr>
          </w:p>
          <w:p w14:paraId="639C9D1A" w14:textId="77777777" w:rsidR="00366005" w:rsidRPr="00183B5F" w:rsidRDefault="00943743" w:rsidP="004062FE">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Körkörös mozdulattal törölje le az injekció beadásának helyét az alkoholos törlővel.</w:t>
            </w:r>
          </w:p>
          <w:p w14:paraId="0A43E968" w14:textId="77777777" w:rsidR="00366005" w:rsidRPr="00183B5F" w:rsidRDefault="00366005" w:rsidP="004062FE">
            <w:pPr>
              <w:pStyle w:val="EMEANormal"/>
              <w:keepNext/>
              <w:rPr>
                <w:lang w:val="hu-HU"/>
              </w:rPr>
            </w:pPr>
          </w:p>
          <w:p w14:paraId="6A5DF107" w14:textId="77777777" w:rsidR="00366005" w:rsidRPr="00183B5F" w:rsidRDefault="00943743" w:rsidP="004062FE">
            <w:pPr>
              <w:pStyle w:val="EMEAHeadingLeaflet"/>
              <w:keepNext/>
              <w:numPr>
                <w:ilvl w:val="0"/>
                <w:numId w:val="181"/>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lang w:val="hu-HU"/>
              </w:rPr>
              <w:t xml:space="preserve">Ne </w:t>
            </w:r>
            <w:r w:rsidRPr="00183B5F">
              <w:rPr>
                <w:rFonts w:ascii="Times New Roman" w:hAnsi="Times New Roman"/>
                <w:b w:val="0"/>
                <w:lang w:val="hu-HU"/>
              </w:rPr>
              <w:t>ruhán keresztül adja be az injekciót</w:t>
            </w:r>
          </w:p>
          <w:p w14:paraId="30F486DD" w14:textId="77777777" w:rsidR="00366005" w:rsidRPr="00183B5F" w:rsidRDefault="00943743" w:rsidP="004062FE">
            <w:pPr>
              <w:pStyle w:val="EMEANormal"/>
              <w:keepNext/>
              <w:numPr>
                <w:ilvl w:val="0"/>
                <w:numId w:val="181"/>
              </w:numPr>
              <w:tabs>
                <w:tab w:val="clear" w:pos="562"/>
                <w:tab w:val="left" w:pos="757"/>
              </w:tabs>
              <w:ind w:left="757"/>
              <w:rPr>
                <w:lang w:val="hu-HU"/>
              </w:rPr>
            </w:pPr>
            <w:r w:rsidRPr="00183B5F">
              <w:rPr>
                <w:b/>
                <w:szCs w:val="22"/>
                <w:lang w:val="hu-HU"/>
              </w:rPr>
              <w:t xml:space="preserve">Ne </w:t>
            </w:r>
            <w:r w:rsidRPr="00183B5F">
              <w:rPr>
                <w:szCs w:val="22"/>
                <w:lang w:val="hu-HU"/>
              </w:rPr>
              <w:t>adja az injekciót olyan helyre, ahol a bőr sebes, véraláfutásos, bepirosodott, kemény, heges, a bőr megnyúlását jelző világos csíkok (striák) területén, illetve a pikkelysömörös területeken</w:t>
            </w:r>
          </w:p>
        </w:tc>
      </w:tr>
      <w:tr w:rsidR="00011D2F" w14:paraId="67D33B17" w14:textId="77777777" w:rsidTr="00366005">
        <w:tc>
          <w:tcPr>
            <w:tcW w:w="3708" w:type="dxa"/>
            <w:tcBorders>
              <w:top w:val="single" w:sz="4" w:space="0" w:color="auto"/>
              <w:left w:val="single" w:sz="4" w:space="0" w:color="auto"/>
              <w:bottom w:val="single" w:sz="4" w:space="0" w:color="auto"/>
              <w:right w:val="nil"/>
            </w:tcBorders>
          </w:tcPr>
          <w:p w14:paraId="3E940A64" w14:textId="77777777" w:rsidR="00366005" w:rsidRPr="00183B5F" w:rsidRDefault="00943743" w:rsidP="004062FE">
            <w:pPr>
              <w:pStyle w:val="EMEANormal"/>
              <w:rPr>
                <w:noProof/>
                <w:lang w:val="hu-HU"/>
              </w:rPr>
            </w:pPr>
            <w:r w:rsidRPr="00183B5F">
              <w:rPr>
                <w:b/>
                <w:noProof/>
                <w:lang w:val="hu-HU"/>
              </w:rPr>
              <w:t>4. lépés</w:t>
            </w:r>
          </w:p>
          <w:p w14:paraId="505F813C" w14:textId="77777777" w:rsidR="00366005" w:rsidRPr="00183B5F" w:rsidRDefault="00366005" w:rsidP="004062FE">
            <w:pPr>
              <w:pStyle w:val="EMEANormal"/>
              <w:rPr>
                <w:noProof/>
                <w:lang w:val="hu-HU"/>
              </w:rPr>
            </w:pPr>
          </w:p>
          <w:p w14:paraId="7AEDABA4" w14:textId="77777777" w:rsidR="00366005" w:rsidRPr="00183B5F" w:rsidRDefault="00943743" w:rsidP="004062FE">
            <w:pPr>
              <w:pStyle w:val="EMEANormal"/>
              <w:rPr>
                <w:lang w:val="hu-HU"/>
              </w:rPr>
            </w:pPr>
            <w:r w:rsidRPr="00202B95">
              <w:rPr>
                <w:b/>
                <w:noProof/>
                <w:lang w:val="en-GB"/>
              </w:rPr>
              <w:drawing>
                <wp:inline distT="0" distB="0" distL="0" distR="0" wp14:anchorId="1DB4081D" wp14:editId="1EA80506">
                  <wp:extent cx="2011680" cy="1563488"/>
                  <wp:effectExtent l="0" t="0" r="762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STEP_4_SYRINGE_IFU_UNCAP_new grey.jpg"/>
                          <pic:cNvPicPr/>
                        </pic:nvPicPr>
                        <pic:blipFill>
                          <a:blip r:embed="rId27">
                            <a:extLst>
                              <a:ext uri="{28A0092B-C50C-407E-A947-70E740481C1C}">
                                <a14:useLocalDpi xmlns:a14="http://schemas.microsoft.com/office/drawing/2010/main" val="0"/>
                              </a:ext>
                            </a:extLst>
                          </a:blip>
                          <a:stretch>
                            <a:fillRect/>
                          </a:stretch>
                        </pic:blipFill>
                        <pic:spPr>
                          <a:xfrm>
                            <a:off x="0" y="0"/>
                            <a:ext cx="2011680" cy="1563488"/>
                          </a:xfrm>
                          <a:prstGeom prst="rect">
                            <a:avLst/>
                          </a:prstGeom>
                        </pic:spPr>
                      </pic:pic>
                    </a:graphicData>
                  </a:graphic>
                </wp:inline>
              </w:drawing>
            </w:r>
          </w:p>
        </w:tc>
        <w:tc>
          <w:tcPr>
            <w:tcW w:w="5579" w:type="dxa"/>
            <w:tcBorders>
              <w:top w:val="single" w:sz="4" w:space="0" w:color="auto"/>
              <w:left w:val="nil"/>
              <w:bottom w:val="single" w:sz="4" w:space="0" w:color="auto"/>
              <w:right w:val="single" w:sz="4" w:space="0" w:color="auto"/>
            </w:tcBorders>
          </w:tcPr>
          <w:p w14:paraId="0ADEB269" w14:textId="77777777" w:rsidR="00366005" w:rsidRPr="00183B5F" w:rsidRDefault="00366005" w:rsidP="004062FE">
            <w:pPr>
              <w:pStyle w:val="EMEAHeadingLeaflet"/>
              <w:keepNext/>
              <w:spacing w:beforeLines="0" w:before="0" w:afterLines="0" w:after="0"/>
              <w:rPr>
                <w:rFonts w:ascii="Times New Roman" w:hAnsi="Times New Roman"/>
                <w:b w:val="0"/>
                <w:lang w:val="hu-HU"/>
              </w:rPr>
            </w:pPr>
          </w:p>
          <w:p w14:paraId="1C6F1521" w14:textId="77777777" w:rsidR="00366005" w:rsidRPr="00183B5F" w:rsidRDefault="00943743" w:rsidP="004062FE">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 xml:space="preserve">Tartsa az előretöltött fecskendőt az egyik kezében. </w:t>
            </w:r>
          </w:p>
          <w:p w14:paraId="6C8A4231" w14:textId="77777777" w:rsidR="00366005" w:rsidRPr="00183B5F" w:rsidRDefault="00366005" w:rsidP="004062FE">
            <w:pPr>
              <w:pStyle w:val="EMEANormal"/>
              <w:rPr>
                <w:lang w:val="hu-HU"/>
              </w:rPr>
            </w:pPr>
          </w:p>
          <w:p w14:paraId="0F1A3C47" w14:textId="77777777" w:rsidR="00366005" w:rsidRPr="00183B5F" w:rsidRDefault="00943743" w:rsidP="004062FE">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Ellenőrizze a folyadékot az előretöltött fecskendőben.</w:t>
            </w:r>
          </w:p>
          <w:p w14:paraId="7C87279C" w14:textId="77777777" w:rsidR="00366005" w:rsidRPr="00183B5F" w:rsidRDefault="00366005" w:rsidP="004062FE">
            <w:pPr>
              <w:pStyle w:val="EMEANormal"/>
              <w:rPr>
                <w:lang w:val="hu-HU"/>
              </w:rPr>
            </w:pPr>
          </w:p>
          <w:p w14:paraId="6807983C" w14:textId="77777777" w:rsidR="00366005" w:rsidRPr="00183B5F" w:rsidRDefault="00943743" w:rsidP="004062FE">
            <w:pPr>
              <w:pStyle w:val="EMEAHeadingLeaflet"/>
              <w:keepNext/>
              <w:numPr>
                <w:ilvl w:val="0"/>
                <w:numId w:val="182"/>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Bizonyosodjon meg róla, hogy a folyadék tiszta és színtelen</w:t>
            </w:r>
          </w:p>
          <w:p w14:paraId="06682CB6" w14:textId="77777777" w:rsidR="00366005" w:rsidRPr="00183B5F" w:rsidRDefault="00943743" w:rsidP="004062FE">
            <w:pPr>
              <w:pStyle w:val="EMEAHeadingLeaflet"/>
              <w:keepNext/>
              <w:numPr>
                <w:ilvl w:val="0"/>
                <w:numId w:val="182"/>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lang w:val="hu-HU"/>
              </w:rPr>
              <w:t xml:space="preserve">Ne </w:t>
            </w:r>
            <w:r w:rsidRPr="00183B5F">
              <w:rPr>
                <w:rFonts w:ascii="Times New Roman" w:hAnsi="Times New Roman"/>
                <w:b w:val="0"/>
                <w:lang w:val="hu-HU"/>
              </w:rPr>
              <w:t>használja az előretöltött fecskendőt, ha a folyadék zavaros vagy részecskéket tartalmaz</w:t>
            </w:r>
          </w:p>
          <w:p w14:paraId="6587FFB5" w14:textId="77777777" w:rsidR="00366005" w:rsidRPr="00183B5F" w:rsidRDefault="00943743" w:rsidP="004062FE">
            <w:pPr>
              <w:pStyle w:val="EMEANormal"/>
              <w:numPr>
                <w:ilvl w:val="0"/>
                <w:numId w:val="182"/>
              </w:numPr>
              <w:tabs>
                <w:tab w:val="clear" w:pos="562"/>
                <w:tab w:val="left" w:pos="757"/>
              </w:tabs>
              <w:ind w:left="757"/>
              <w:rPr>
                <w:lang w:val="hu-HU"/>
              </w:rPr>
            </w:pPr>
            <w:r w:rsidRPr="00183B5F">
              <w:rPr>
                <w:b/>
                <w:lang w:val="hu-HU"/>
              </w:rPr>
              <w:t xml:space="preserve">Ne </w:t>
            </w:r>
            <w:r w:rsidRPr="00183B5F">
              <w:rPr>
                <w:lang w:val="hu-HU"/>
              </w:rPr>
              <w:t>használja az előretöltött fecskendőt, ha az leesett vagy eltörött</w:t>
            </w:r>
          </w:p>
          <w:p w14:paraId="2D69A86F" w14:textId="77777777" w:rsidR="00366005" w:rsidRPr="00183B5F" w:rsidRDefault="00366005" w:rsidP="004062FE">
            <w:pPr>
              <w:pStyle w:val="EMEANormal"/>
              <w:tabs>
                <w:tab w:val="clear" w:pos="562"/>
                <w:tab w:val="left" w:pos="757"/>
              </w:tabs>
              <w:ind w:left="397"/>
              <w:rPr>
                <w:b/>
                <w:lang w:val="hu-HU"/>
              </w:rPr>
            </w:pPr>
          </w:p>
          <w:p w14:paraId="496F7075" w14:textId="77777777" w:rsidR="00366005" w:rsidRPr="00183B5F" w:rsidRDefault="00943743" w:rsidP="004062FE">
            <w:pPr>
              <w:pStyle w:val="EMEANormal"/>
              <w:tabs>
                <w:tab w:val="clear" w:pos="562"/>
                <w:tab w:val="left" w:pos="757"/>
              </w:tabs>
              <w:ind w:left="397"/>
              <w:rPr>
                <w:bCs/>
                <w:lang w:val="hu-HU"/>
              </w:rPr>
            </w:pPr>
            <w:r w:rsidRPr="00183B5F">
              <w:rPr>
                <w:bCs/>
                <w:lang w:val="hu-HU"/>
              </w:rPr>
              <w:t>Óvatosan húzza le a tűvédő tokot a másik kezével. Dobja ki a tokot. Ne rakja vissza.</w:t>
            </w:r>
          </w:p>
          <w:p w14:paraId="533A12F1" w14:textId="77777777" w:rsidR="00366005" w:rsidRPr="00183B5F" w:rsidRDefault="00366005" w:rsidP="004062FE">
            <w:pPr>
              <w:pStyle w:val="EMEANormal"/>
              <w:tabs>
                <w:tab w:val="clear" w:pos="562"/>
                <w:tab w:val="left" w:pos="757"/>
              </w:tabs>
              <w:ind w:left="397"/>
              <w:rPr>
                <w:bCs/>
                <w:lang w:val="hu-HU"/>
              </w:rPr>
            </w:pPr>
          </w:p>
          <w:p w14:paraId="75F58A9A" w14:textId="77777777" w:rsidR="00366005" w:rsidRPr="00183B5F" w:rsidRDefault="00943743" w:rsidP="004062FE">
            <w:pPr>
              <w:pStyle w:val="EMEANormal"/>
              <w:numPr>
                <w:ilvl w:val="0"/>
                <w:numId w:val="183"/>
              </w:numPr>
              <w:tabs>
                <w:tab w:val="clear" w:pos="562"/>
                <w:tab w:val="left" w:pos="708"/>
              </w:tabs>
              <w:ind w:left="828" w:hanging="425"/>
              <w:rPr>
                <w:bCs/>
                <w:lang w:val="hu-HU"/>
              </w:rPr>
            </w:pPr>
            <w:r w:rsidRPr="00183B5F">
              <w:rPr>
                <w:b/>
                <w:lang w:val="hu-HU"/>
              </w:rPr>
              <w:t xml:space="preserve">Ne </w:t>
            </w:r>
            <w:r w:rsidRPr="00183B5F">
              <w:rPr>
                <w:bCs/>
                <w:lang w:val="hu-HU"/>
              </w:rPr>
              <w:t>érintse meg a kezével a tűt, illetve ne hagyja, hogy a tű bármihez hozzáérjen.</w:t>
            </w:r>
          </w:p>
        </w:tc>
      </w:tr>
      <w:tr w:rsidR="00011D2F" w14:paraId="1AD81A20" w14:textId="77777777" w:rsidTr="00366005">
        <w:tc>
          <w:tcPr>
            <w:tcW w:w="3708" w:type="dxa"/>
            <w:tcBorders>
              <w:top w:val="single" w:sz="4" w:space="0" w:color="auto"/>
              <w:left w:val="single" w:sz="4" w:space="0" w:color="auto"/>
              <w:bottom w:val="single" w:sz="4" w:space="0" w:color="auto"/>
              <w:right w:val="nil"/>
            </w:tcBorders>
          </w:tcPr>
          <w:p w14:paraId="2D8ED904" w14:textId="77777777" w:rsidR="00366005" w:rsidRPr="00183B5F" w:rsidRDefault="00943743" w:rsidP="0073731A">
            <w:pPr>
              <w:pStyle w:val="EMEANormal"/>
              <w:rPr>
                <w:noProof/>
                <w:lang w:val="hu-HU"/>
              </w:rPr>
            </w:pPr>
            <w:r w:rsidRPr="00183B5F">
              <w:rPr>
                <w:b/>
                <w:noProof/>
                <w:lang w:val="hu-HU"/>
              </w:rPr>
              <w:t>5. lépés</w:t>
            </w:r>
          </w:p>
          <w:p w14:paraId="5C284B5D" w14:textId="77777777" w:rsidR="00366005" w:rsidRPr="00183B5F" w:rsidRDefault="00366005" w:rsidP="0073731A">
            <w:pPr>
              <w:pStyle w:val="EMEANormal"/>
              <w:rPr>
                <w:noProof/>
                <w:lang w:val="hu-HU"/>
              </w:rPr>
            </w:pPr>
          </w:p>
          <w:p w14:paraId="10E0119E" w14:textId="77777777" w:rsidR="00366005" w:rsidRPr="00183B5F" w:rsidRDefault="00943743" w:rsidP="0073731A">
            <w:pPr>
              <w:pStyle w:val="EMEANormal"/>
              <w:rPr>
                <w:noProof/>
                <w:lang w:val="hu-HU"/>
              </w:rPr>
            </w:pPr>
            <w:r w:rsidRPr="00202B95">
              <w:rPr>
                <w:noProof/>
                <w:lang w:val="en-GB"/>
              </w:rPr>
              <w:drawing>
                <wp:inline distT="0" distB="0" distL="0" distR="0" wp14:anchorId="2ED56B68" wp14:editId="4C863F69">
                  <wp:extent cx="1990725" cy="1971675"/>
                  <wp:effectExtent l="0" t="0" r="9525" b="9525"/>
                  <wp:docPr id="119" name="Picture 119" descr="STEP_5_SYRINGE_IFU_FILLING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95" descr="STEP_5_SYRINGE_IFU_FILLING_grey"/>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990725" cy="1971675"/>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tcPr>
          <w:p w14:paraId="7F10A446" w14:textId="77777777" w:rsidR="00366005" w:rsidRPr="00183B5F" w:rsidRDefault="00943743" w:rsidP="0073731A">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Tartsa az előretöltött fecskendőt a tűvel felfelé.</w:t>
            </w:r>
          </w:p>
          <w:p w14:paraId="3C7B1561" w14:textId="77777777" w:rsidR="00366005" w:rsidRPr="00183B5F" w:rsidRDefault="00366005" w:rsidP="0073731A">
            <w:pPr>
              <w:pStyle w:val="EMEAHeadingLeaflet"/>
              <w:spacing w:beforeLines="0" w:before="0" w:afterLines="0" w:after="0"/>
              <w:rPr>
                <w:rFonts w:ascii="Times New Roman" w:hAnsi="Times New Roman"/>
                <w:b w:val="0"/>
                <w:lang w:val="hu-HU"/>
              </w:rPr>
            </w:pPr>
          </w:p>
          <w:p w14:paraId="58EFFF21" w14:textId="77777777" w:rsidR="00366005" w:rsidRPr="00183B5F" w:rsidRDefault="00943743" w:rsidP="0073731A">
            <w:pPr>
              <w:pStyle w:val="EMEAHeadingLeaflet"/>
              <w:numPr>
                <w:ilvl w:val="0"/>
                <w:numId w:val="183"/>
              </w:numPr>
              <w:tabs>
                <w:tab w:val="clear" w:pos="562"/>
                <w:tab w:val="left" w:pos="708"/>
              </w:tabs>
              <w:spacing w:beforeLines="0" w:before="0" w:afterLines="0" w:after="0"/>
              <w:ind w:left="828" w:hanging="425"/>
              <w:rPr>
                <w:rFonts w:ascii="Times New Roman" w:hAnsi="Times New Roman"/>
                <w:b w:val="0"/>
                <w:lang w:val="hu-HU"/>
              </w:rPr>
            </w:pPr>
            <w:r w:rsidRPr="00183B5F">
              <w:rPr>
                <w:rFonts w:ascii="Times New Roman" w:hAnsi="Times New Roman"/>
                <w:b w:val="0"/>
                <w:lang w:val="hu-HU"/>
              </w:rPr>
              <w:t xml:space="preserve">Tartsa egyik kezében, szemmagasságban az előretöltött fecskendőt, hogy lássa a levegőt az előretöltött fecskendőben. </w:t>
            </w:r>
          </w:p>
          <w:p w14:paraId="0A1B8D7A" w14:textId="77777777" w:rsidR="00366005" w:rsidRPr="00183B5F" w:rsidRDefault="00366005" w:rsidP="0073731A">
            <w:pPr>
              <w:pStyle w:val="EMEAHeadingLeaflet"/>
              <w:tabs>
                <w:tab w:val="clear" w:pos="562"/>
                <w:tab w:val="left" w:pos="708"/>
              </w:tabs>
              <w:spacing w:beforeLines="0" w:before="0" w:afterLines="0" w:after="0"/>
              <w:ind w:left="828"/>
              <w:rPr>
                <w:rFonts w:ascii="Times New Roman" w:hAnsi="Times New Roman"/>
                <w:b w:val="0"/>
                <w:lang w:val="hu-HU"/>
              </w:rPr>
            </w:pPr>
          </w:p>
          <w:p w14:paraId="5E0F37CB" w14:textId="77777777" w:rsidR="00366005" w:rsidRPr="00183B5F" w:rsidRDefault="00943743" w:rsidP="0073731A">
            <w:pPr>
              <w:pStyle w:val="EMEANormal"/>
              <w:rPr>
                <w:lang w:val="hu-HU"/>
              </w:rPr>
            </w:pPr>
            <w:r w:rsidRPr="00183B5F">
              <w:rPr>
                <w:lang w:val="hu-HU"/>
              </w:rPr>
              <w:t xml:space="preserve">Lassan nyomja be a dugattyút, hogy a levegőt kijöjjön a tűből. </w:t>
            </w:r>
          </w:p>
          <w:p w14:paraId="08DC429D" w14:textId="77777777" w:rsidR="00366005" w:rsidRPr="00183B5F" w:rsidRDefault="00366005" w:rsidP="0073731A">
            <w:pPr>
              <w:pStyle w:val="EMEANormal"/>
              <w:rPr>
                <w:lang w:val="hu-HU"/>
              </w:rPr>
            </w:pPr>
          </w:p>
          <w:p w14:paraId="04F428AD" w14:textId="77777777" w:rsidR="00366005" w:rsidRPr="00183B5F" w:rsidRDefault="00943743" w:rsidP="0073731A">
            <w:pPr>
              <w:pStyle w:val="EMEAHeadingLeaflet"/>
              <w:numPr>
                <w:ilvl w:val="0"/>
                <w:numId w:val="184"/>
              </w:numPr>
              <w:tabs>
                <w:tab w:val="clear" w:pos="562"/>
                <w:tab w:val="left" w:pos="708"/>
              </w:tabs>
              <w:spacing w:beforeLines="0" w:before="0" w:afterLines="0" w:after="0"/>
              <w:ind w:left="828" w:hanging="425"/>
              <w:rPr>
                <w:rFonts w:ascii="Times New Roman" w:hAnsi="Times New Roman"/>
                <w:b w:val="0"/>
                <w:lang w:val="hu-HU"/>
              </w:rPr>
            </w:pPr>
            <w:r w:rsidRPr="00183B5F">
              <w:rPr>
                <w:rFonts w:ascii="Times New Roman" w:hAnsi="Times New Roman"/>
                <w:b w:val="0"/>
                <w:lang w:val="hu-HU"/>
              </w:rPr>
              <w:t>Normális, ha lát néhány csepp folyadékot kijönni a tűből</w:t>
            </w:r>
          </w:p>
          <w:p w14:paraId="25C92BB2" w14:textId="77777777" w:rsidR="00366005" w:rsidRPr="00183B5F" w:rsidRDefault="00366005" w:rsidP="0073731A">
            <w:pPr>
              <w:pStyle w:val="EMEANormal"/>
              <w:rPr>
                <w:lang w:val="hu-HU"/>
              </w:rPr>
            </w:pPr>
          </w:p>
          <w:p w14:paraId="319E2401" w14:textId="77777777" w:rsidR="00366005" w:rsidRPr="00183B5F" w:rsidRDefault="00366005" w:rsidP="0073731A">
            <w:pPr>
              <w:pStyle w:val="EMEANormal"/>
              <w:rPr>
                <w:lang w:val="hu-HU"/>
              </w:rPr>
            </w:pPr>
          </w:p>
        </w:tc>
      </w:tr>
      <w:tr w:rsidR="00011D2F" w14:paraId="3FAF2BA0" w14:textId="77777777" w:rsidTr="00366005">
        <w:tc>
          <w:tcPr>
            <w:tcW w:w="3708" w:type="dxa"/>
            <w:tcBorders>
              <w:top w:val="single" w:sz="4" w:space="0" w:color="auto"/>
              <w:left w:val="single" w:sz="4" w:space="0" w:color="auto"/>
              <w:bottom w:val="single" w:sz="4" w:space="0" w:color="auto"/>
              <w:right w:val="nil"/>
            </w:tcBorders>
            <w:hideMark/>
          </w:tcPr>
          <w:p w14:paraId="6F6EF658" w14:textId="77777777" w:rsidR="00366005" w:rsidRPr="00183B5F" w:rsidRDefault="00943743" w:rsidP="004062FE">
            <w:pPr>
              <w:pStyle w:val="EMEANormal"/>
              <w:keepNext/>
              <w:rPr>
                <w:noProof/>
                <w:lang w:val="hu-HU"/>
              </w:rPr>
            </w:pPr>
            <w:r w:rsidRPr="00183B5F">
              <w:rPr>
                <w:b/>
                <w:noProof/>
                <w:lang w:val="hu-HU"/>
              </w:rPr>
              <w:t>6. lépés</w:t>
            </w:r>
          </w:p>
          <w:p w14:paraId="0EED7B11" w14:textId="77777777" w:rsidR="00366005" w:rsidRPr="00183B5F" w:rsidRDefault="00943743" w:rsidP="004062FE">
            <w:pPr>
              <w:pStyle w:val="EMEANormal"/>
              <w:keepNext/>
              <w:rPr>
                <w:lang w:val="hu-HU"/>
              </w:rPr>
            </w:pPr>
            <w:r w:rsidRPr="00202B95">
              <w:rPr>
                <w:noProof/>
                <w:lang w:val="en-GB"/>
              </w:rPr>
              <w:drawing>
                <wp:inline distT="0" distB="0" distL="0" distR="0" wp14:anchorId="553B75B0" wp14:editId="651EB2E8">
                  <wp:extent cx="2247900" cy="2143125"/>
                  <wp:effectExtent l="0" t="0" r="0" b="9525"/>
                  <wp:docPr id="118" name="Picture 118"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96" descr="STEP_6_SYRINGE_IFU_PRE-INJECTION_grey"/>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2247900" cy="2143125"/>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tcPr>
          <w:p w14:paraId="479700A2" w14:textId="77777777" w:rsidR="00366005" w:rsidRPr="00183B5F" w:rsidRDefault="00366005" w:rsidP="004062FE">
            <w:pPr>
              <w:pStyle w:val="EMEAHeadingLeaflet"/>
              <w:keepNext/>
              <w:spacing w:beforeLines="0" w:before="0" w:afterLines="0" w:after="0"/>
              <w:rPr>
                <w:rFonts w:ascii="Times New Roman" w:hAnsi="Times New Roman"/>
                <w:b w:val="0"/>
                <w:lang w:val="hu-HU"/>
              </w:rPr>
            </w:pPr>
          </w:p>
          <w:p w14:paraId="07002F4E" w14:textId="77777777" w:rsidR="00366005" w:rsidRPr="00183B5F" w:rsidRDefault="00943743" w:rsidP="004062FE">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 xml:space="preserve">Tartsa egy kézzel az előretöltött fecskendőt a közepénél, a hüvelyk- és mutatóujja között, mintha egy ceruzát fogna. </w:t>
            </w:r>
          </w:p>
          <w:p w14:paraId="2D237EC1" w14:textId="77777777" w:rsidR="00366005" w:rsidRPr="00183B5F" w:rsidRDefault="00366005" w:rsidP="004062FE">
            <w:pPr>
              <w:pStyle w:val="EMEAHeadingLeaflet"/>
              <w:keepNext/>
              <w:spacing w:beforeLines="0" w:before="0" w:afterLines="0" w:after="0"/>
              <w:rPr>
                <w:rFonts w:ascii="Times New Roman" w:hAnsi="Times New Roman"/>
                <w:b w:val="0"/>
                <w:lang w:val="hu-HU"/>
              </w:rPr>
            </w:pPr>
          </w:p>
          <w:p w14:paraId="45C28D87" w14:textId="77777777" w:rsidR="00366005" w:rsidRPr="00183B5F" w:rsidRDefault="00943743" w:rsidP="004062FE">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A beadás helyén szorítsa össze a gyermeke bőrét egy kiemelkedő redőbe, és tartsa mozdulatlanul.</w:t>
            </w:r>
          </w:p>
          <w:p w14:paraId="53BC3E99" w14:textId="77777777" w:rsidR="00366005" w:rsidRPr="00183B5F" w:rsidRDefault="00366005" w:rsidP="004062FE">
            <w:pPr>
              <w:pStyle w:val="EMEANormal"/>
              <w:keepNext/>
              <w:rPr>
                <w:lang w:val="hu-HU"/>
              </w:rPr>
            </w:pPr>
          </w:p>
          <w:p w14:paraId="77BA4327" w14:textId="77777777" w:rsidR="00366005" w:rsidRPr="00183B5F" w:rsidRDefault="00366005" w:rsidP="004062FE">
            <w:pPr>
              <w:pStyle w:val="EMEANormal"/>
              <w:keepNext/>
              <w:rPr>
                <w:lang w:val="hu-HU"/>
              </w:rPr>
            </w:pPr>
          </w:p>
        </w:tc>
      </w:tr>
      <w:tr w:rsidR="00011D2F" w14:paraId="198CD418" w14:textId="77777777" w:rsidTr="00366005">
        <w:tc>
          <w:tcPr>
            <w:tcW w:w="3708" w:type="dxa"/>
            <w:tcBorders>
              <w:top w:val="single" w:sz="4" w:space="0" w:color="auto"/>
              <w:left w:val="single" w:sz="4" w:space="0" w:color="auto"/>
              <w:bottom w:val="single" w:sz="4" w:space="0" w:color="auto"/>
              <w:right w:val="nil"/>
            </w:tcBorders>
            <w:hideMark/>
          </w:tcPr>
          <w:p w14:paraId="3E2967BA" w14:textId="77777777" w:rsidR="00366005" w:rsidRPr="00183B5F" w:rsidRDefault="00943743" w:rsidP="004062FE">
            <w:pPr>
              <w:pStyle w:val="EMEANormal"/>
              <w:jc w:val="both"/>
              <w:rPr>
                <w:noProof/>
                <w:lang w:val="hu-HU"/>
              </w:rPr>
            </w:pPr>
            <w:r w:rsidRPr="00183B5F">
              <w:rPr>
                <w:b/>
                <w:noProof/>
                <w:lang w:val="hu-HU"/>
              </w:rPr>
              <w:t>7. lépés</w:t>
            </w:r>
          </w:p>
          <w:p w14:paraId="557D12CD" w14:textId="77777777" w:rsidR="00366005" w:rsidRPr="00183B5F" w:rsidRDefault="00943743" w:rsidP="004062FE">
            <w:pPr>
              <w:pStyle w:val="EMEANormal"/>
              <w:rPr>
                <w:noProof/>
                <w:lang w:val="hu-HU"/>
              </w:rPr>
            </w:pPr>
            <w:r w:rsidRPr="00202B95">
              <w:rPr>
                <w:noProof/>
                <w:lang w:val="en-GB"/>
              </w:rPr>
              <w:drawing>
                <wp:inline distT="0" distB="0" distL="0" distR="0" wp14:anchorId="65C2638B" wp14:editId="6D71AF99">
                  <wp:extent cx="2181225" cy="2676525"/>
                  <wp:effectExtent l="0" t="0" r="9525" b="9525"/>
                  <wp:docPr id="117" name="Picture 117"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97" descr="STEP_7_SYRINGE_IFU_ABDOMEN-THIGH_grey"/>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2181225" cy="2676525"/>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tcPr>
          <w:p w14:paraId="3A472035" w14:textId="77777777" w:rsidR="00366005" w:rsidRPr="00183B5F" w:rsidRDefault="00943743" w:rsidP="004062FE">
            <w:pPr>
              <w:pStyle w:val="EMEANormal"/>
              <w:keepNext/>
              <w:rPr>
                <w:lang w:val="hu-HU"/>
              </w:rPr>
            </w:pPr>
            <w:r w:rsidRPr="00183B5F">
              <w:rPr>
                <w:szCs w:val="22"/>
                <w:lang w:val="hu-HU"/>
              </w:rPr>
              <w:t>Szúrja be a tűt a bőrébe körülbelül 45 fokos szögben, egy gyors, rövid mozdulattal.</w:t>
            </w:r>
          </w:p>
          <w:p w14:paraId="55AB7402" w14:textId="77777777" w:rsidR="00366005" w:rsidRPr="00183B5F" w:rsidRDefault="00366005" w:rsidP="004062FE">
            <w:pPr>
              <w:pStyle w:val="EMEANormal"/>
              <w:rPr>
                <w:lang w:val="hu-HU"/>
              </w:rPr>
            </w:pPr>
          </w:p>
          <w:p w14:paraId="2D8E5A01" w14:textId="77777777" w:rsidR="00366005" w:rsidRPr="00183B5F" w:rsidRDefault="00943743" w:rsidP="004062FE">
            <w:pPr>
              <w:pStyle w:val="EMEANormal"/>
              <w:numPr>
                <w:ilvl w:val="0"/>
                <w:numId w:val="183"/>
              </w:numPr>
              <w:tabs>
                <w:tab w:val="clear" w:pos="562"/>
                <w:tab w:val="left" w:pos="708"/>
              </w:tabs>
              <w:ind w:left="828"/>
              <w:rPr>
                <w:lang w:val="hu-HU"/>
              </w:rPr>
            </w:pPr>
            <w:r w:rsidRPr="00183B5F">
              <w:rPr>
                <w:lang w:val="hu-HU"/>
              </w:rPr>
              <w:t xml:space="preserve">Miután beszúrta a tűt, engedje el a bőrt, amit összeszorított. </w:t>
            </w:r>
          </w:p>
          <w:p w14:paraId="491F93B5" w14:textId="77777777" w:rsidR="00366005" w:rsidRPr="00183B5F" w:rsidRDefault="00366005" w:rsidP="004062FE">
            <w:pPr>
              <w:pStyle w:val="EMEANormal"/>
              <w:tabs>
                <w:tab w:val="clear" w:pos="562"/>
                <w:tab w:val="left" w:pos="708"/>
              </w:tabs>
              <w:rPr>
                <w:lang w:val="hu-HU"/>
              </w:rPr>
            </w:pPr>
          </w:p>
          <w:p w14:paraId="5B725B32" w14:textId="77777777" w:rsidR="00366005" w:rsidRPr="00183B5F" w:rsidRDefault="00943743" w:rsidP="004062FE">
            <w:pPr>
              <w:pStyle w:val="EMEANormal"/>
              <w:tabs>
                <w:tab w:val="clear" w:pos="562"/>
                <w:tab w:val="left" w:pos="708"/>
              </w:tabs>
              <w:rPr>
                <w:lang w:val="hu-HU"/>
              </w:rPr>
            </w:pPr>
            <w:r w:rsidRPr="00183B5F">
              <w:rPr>
                <w:lang w:val="hu-HU"/>
              </w:rPr>
              <w:t>Lassan nyomja be a dugattyút, egészen addig, amíg a folyadékot befecskendezte és az előretöltött fecskendő kiürült.</w:t>
            </w:r>
          </w:p>
          <w:p w14:paraId="4D218234" w14:textId="77777777" w:rsidR="00366005" w:rsidRPr="00183B5F" w:rsidRDefault="00366005" w:rsidP="004062FE">
            <w:pPr>
              <w:pStyle w:val="EMEANormal"/>
              <w:tabs>
                <w:tab w:val="clear" w:pos="562"/>
                <w:tab w:val="left" w:pos="708"/>
              </w:tabs>
              <w:rPr>
                <w:lang w:val="hu-HU"/>
              </w:rPr>
            </w:pPr>
          </w:p>
        </w:tc>
      </w:tr>
      <w:tr w:rsidR="00011D2F" w14:paraId="77374C9F" w14:textId="77777777" w:rsidTr="00366005">
        <w:tc>
          <w:tcPr>
            <w:tcW w:w="3708" w:type="dxa"/>
            <w:tcBorders>
              <w:top w:val="single" w:sz="4" w:space="0" w:color="auto"/>
              <w:left w:val="single" w:sz="4" w:space="0" w:color="auto"/>
              <w:bottom w:val="single" w:sz="4" w:space="0" w:color="auto"/>
              <w:right w:val="nil"/>
            </w:tcBorders>
            <w:hideMark/>
          </w:tcPr>
          <w:p w14:paraId="4AB14FF8" w14:textId="77777777" w:rsidR="00366005" w:rsidRPr="00183B5F" w:rsidRDefault="00943743" w:rsidP="0073731A">
            <w:pPr>
              <w:pStyle w:val="EMEANormal"/>
              <w:rPr>
                <w:noProof/>
                <w:lang w:val="hu-HU"/>
              </w:rPr>
            </w:pPr>
            <w:r w:rsidRPr="00183B5F">
              <w:rPr>
                <w:b/>
                <w:noProof/>
                <w:lang w:val="hu-HU"/>
              </w:rPr>
              <w:t>8. lépés</w:t>
            </w:r>
          </w:p>
          <w:p w14:paraId="0F55C03A" w14:textId="77777777" w:rsidR="00366005" w:rsidRPr="00183B5F" w:rsidRDefault="00366005" w:rsidP="0073731A">
            <w:pPr>
              <w:pStyle w:val="EMEANormal"/>
              <w:rPr>
                <w:lang w:val="hu-HU"/>
              </w:rPr>
            </w:pPr>
          </w:p>
          <w:p w14:paraId="67BC3075" w14:textId="77777777" w:rsidR="009A36B9" w:rsidRPr="00183B5F" w:rsidRDefault="00943743" w:rsidP="0073731A">
            <w:pPr>
              <w:pStyle w:val="EMEANormal"/>
              <w:rPr>
                <w:lang w:val="hu-HU"/>
              </w:rPr>
            </w:pPr>
            <w:r w:rsidRPr="00202B95">
              <w:rPr>
                <w:b/>
                <w:noProof/>
                <w:lang w:val="en-GB"/>
              </w:rPr>
              <w:drawing>
                <wp:inline distT="0" distB="0" distL="0" distR="0" wp14:anchorId="3D6A7432" wp14:editId="37F8867E">
                  <wp:extent cx="1984248" cy="2093976"/>
                  <wp:effectExtent l="0" t="0" r="0" b="190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STEP_8_SYRINGE_IFU_WITHDRAW_grey.REV 06Sep18.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84248" cy="2093976"/>
                          </a:xfrm>
                          <a:prstGeom prst="rect">
                            <a:avLst/>
                          </a:prstGeom>
                        </pic:spPr>
                      </pic:pic>
                    </a:graphicData>
                  </a:graphic>
                </wp:inline>
              </w:drawing>
            </w:r>
          </w:p>
          <w:p w14:paraId="399BEBF8" w14:textId="77777777" w:rsidR="009A36B9" w:rsidRPr="00183B5F" w:rsidRDefault="00943743" w:rsidP="0073731A">
            <w:pPr>
              <w:pStyle w:val="EMEANormal"/>
              <w:tabs>
                <w:tab w:val="clear" w:pos="562"/>
                <w:tab w:val="left" w:pos="851"/>
              </w:tabs>
              <w:rPr>
                <w:b/>
                <w:lang w:val="hu-HU"/>
              </w:rPr>
            </w:pPr>
            <w:r w:rsidRPr="00183B5F">
              <w:rPr>
                <w:lang w:val="hu-HU"/>
              </w:rPr>
              <w:tab/>
            </w:r>
            <w:r w:rsidRPr="00183B5F">
              <w:rPr>
                <w:b/>
                <w:lang w:val="hu-HU"/>
              </w:rPr>
              <w:t>Vattapamacs</w:t>
            </w:r>
          </w:p>
        </w:tc>
        <w:tc>
          <w:tcPr>
            <w:tcW w:w="5579" w:type="dxa"/>
            <w:tcBorders>
              <w:top w:val="single" w:sz="4" w:space="0" w:color="auto"/>
              <w:left w:val="nil"/>
              <w:bottom w:val="single" w:sz="4" w:space="0" w:color="auto"/>
              <w:right w:val="single" w:sz="4" w:space="0" w:color="auto"/>
            </w:tcBorders>
          </w:tcPr>
          <w:p w14:paraId="2DB85F6A" w14:textId="77777777" w:rsidR="00366005" w:rsidRPr="00183B5F" w:rsidRDefault="00366005" w:rsidP="0073731A">
            <w:pPr>
              <w:pStyle w:val="EMEAHeadingLeaflet"/>
              <w:spacing w:beforeLines="0" w:before="0" w:afterLines="0" w:after="0"/>
              <w:rPr>
                <w:rFonts w:ascii="Times New Roman" w:hAnsi="Times New Roman"/>
                <w:b w:val="0"/>
                <w:lang w:val="hu-HU"/>
              </w:rPr>
            </w:pPr>
          </w:p>
          <w:p w14:paraId="15312294" w14:textId="77777777" w:rsidR="00366005" w:rsidRPr="00183B5F" w:rsidRDefault="00943743" w:rsidP="0073731A">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 xml:space="preserve">Amikor a beadás befejeződött, lassan húzza ki a bőrből a tűt, az előretöltött fecskendőt ugyanolyan szögben tartva. </w:t>
            </w:r>
          </w:p>
          <w:p w14:paraId="19083CAB" w14:textId="77777777" w:rsidR="00366005" w:rsidRPr="00183B5F" w:rsidRDefault="00366005" w:rsidP="0073731A">
            <w:pPr>
              <w:pStyle w:val="EMEANormal"/>
              <w:rPr>
                <w:lang w:val="hu-HU"/>
              </w:rPr>
            </w:pPr>
          </w:p>
          <w:p w14:paraId="6C0C28BC" w14:textId="77777777" w:rsidR="00366005" w:rsidRPr="00183B5F" w:rsidRDefault="00943743" w:rsidP="0073731A">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Az injekció beadása után helyezzen egy vattapamacsot vagy gézdarabot a beadás helyére.</w:t>
            </w:r>
          </w:p>
          <w:p w14:paraId="2983B27A" w14:textId="77777777" w:rsidR="00366005" w:rsidRPr="00183B5F" w:rsidRDefault="00366005" w:rsidP="0073731A">
            <w:pPr>
              <w:pStyle w:val="EMEANormal"/>
              <w:rPr>
                <w:lang w:val="hu-HU"/>
              </w:rPr>
            </w:pPr>
          </w:p>
          <w:p w14:paraId="3C62C7AA" w14:textId="77777777" w:rsidR="00366005" w:rsidRPr="00183B5F" w:rsidRDefault="00943743" w:rsidP="0073731A">
            <w:pPr>
              <w:pStyle w:val="EMEAHeadingLeaflet"/>
              <w:numPr>
                <w:ilvl w:val="0"/>
                <w:numId w:val="185"/>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lang w:val="hu-HU"/>
              </w:rPr>
              <w:t>Ne</w:t>
            </w:r>
            <w:r w:rsidRPr="00183B5F">
              <w:rPr>
                <w:rFonts w:ascii="Times New Roman" w:hAnsi="Times New Roman"/>
                <w:b w:val="0"/>
                <w:lang w:val="hu-HU"/>
              </w:rPr>
              <w:t xml:space="preserve"> dörzsölje</w:t>
            </w:r>
          </w:p>
          <w:p w14:paraId="34929A54" w14:textId="77777777" w:rsidR="00366005" w:rsidRPr="00183B5F" w:rsidRDefault="00943743" w:rsidP="0073731A">
            <w:pPr>
              <w:pStyle w:val="EMEANormal"/>
              <w:numPr>
                <w:ilvl w:val="0"/>
                <w:numId w:val="185"/>
              </w:numPr>
              <w:tabs>
                <w:tab w:val="clear" w:pos="562"/>
                <w:tab w:val="left" w:pos="757"/>
              </w:tabs>
              <w:ind w:left="757"/>
              <w:rPr>
                <w:lang w:val="hu-HU"/>
              </w:rPr>
            </w:pPr>
            <w:r w:rsidRPr="00183B5F">
              <w:rPr>
                <w:lang w:val="hu-HU"/>
              </w:rPr>
              <w:t>Enyhe vérzés az injekció beadásának helyén normális</w:t>
            </w:r>
          </w:p>
        </w:tc>
      </w:tr>
      <w:tr w:rsidR="00011D2F" w14:paraId="68C0810E" w14:textId="77777777" w:rsidTr="00366005">
        <w:tc>
          <w:tcPr>
            <w:tcW w:w="9287" w:type="dxa"/>
            <w:gridSpan w:val="2"/>
            <w:tcBorders>
              <w:top w:val="single" w:sz="4" w:space="0" w:color="auto"/>
              <w:left w:val="single" w:sz="4" w:space="0" w:color="auto"/>
              <w:bottom w:val="single" w:sz="4" w:space="0" w:color="auto"/>
              <w:right w:val="single" w:sz="4" w:space="0" w:color="auto"/>
            </w:tcBorders>
          </w:tcPr>
          <w:p w14:paraId="1F83743D" w14:textId="77777777" w:rsidR="00366005" w:rsidRPr="00183B5F" w:rsidRDefault="00943743">
            <w:pPr>
              <w:keepNext/>
              <w:spacing w:line="240" w:lineRule="auto"/>
              <w:rPr>
                <w:lang w:eastAsia="en-US"/>
              </w:rPr>
            </w:pPr>
            <w:r w:rsidRPr="00183B5F">
              <w:rPr>
                <w:b/>
                <w:lang w:eastAsia="en-US"/>
              </w:rPr>
              <w:t>9. lépés</w:t>
            </w:r>
          </w:p>
          <w:p w14:paraId="110F0109" w14:textId="77777777" w:rsidR="00366005" w:rsidRPr="00183B5F" w:rsidRDefault="00366005">
            <w:pPr>
              <w:keepNext/>
              <w:spacing w:line="240" w:lineRule="auto"/>
              <w:rPr>
                <w:lang w:eastAsia="en-US"/>
              </w:rPr>
            </w:pPr>
          </w:p>
          <w:p w14:paraId="07A76494" w14:textId="77777777" w:rsidR="00366005" w:rsidRPr="00183B5F" w:rsidRDefault="00943743" w:rsidP="004062FE">
            <w:pPr>
              <w:pStyle w:val="EMEANormal"/>
              <w:keepNext/>
              <w:rPr>
                <w:szCs w:val="22"/>
                <w:lang w:val="hu-HU"/>
              </w:rPr>
            </w:pPr>
            <w:r w:rsidRPr="00183B5F">
              <w:rPr>
                <w:szCs w:val="22"/>
                <w:lang w:val="hu-HU"/>
              </w:rPr>
              <w:t xml:space="preserve">Az előretöltött fecskendőt dobja egy speciális gyűjtőedénybe a kezelőorvosa, a nővér vagy a gyógyszerésze útmutatásának megfelelően. </w:t>
            </w:r>
            <w:r w:rsidRPr="00183B5F">
              <w:rPr>
                <w:b/>
                <w:bCs/>
                <w:szCs w:val="22"/>
                <w:lang w:val="hu-HU"/>
              </w:rPr>
              <w:t xml:space="preserve">Soha </w:t>
            </w:r>
            <w:r w:rsidRPr="00183B5F">
              <w:rPr>
                <w:szCs w:val="22"/>
                <w:lang w:val="hu-HU"/>
              </w:rPr>
              <w:t>ne rakja vissza a tokot a tűre.</w:t>
            </w:r>
          </w:p>
          <w:p w14:paraId="3BCA3EFC" w14:textId="77777777" w:rsidR="00366005" w:rsidRPr="00183B5F" w:rsidRDefault="00366005" w:rsidP="004062FE">
            <w:pPr>
              <w:pStyle w:val="EMEANormal"/>
              <w:keepNext/>
              <w:rPr>
                <w:lang w:val="hu-HU"/>
              </w:rPr>
            </w:pPr>
          </w:p>
          <w:p w14:paraId="58DF0C62" w14:textId="77777777" w:rsidR="00366005" w:rsidRPr="00183B5F" w:rsidRDefault="00943743" w:rsidP="004062FE">
            <w:pPr>
              <w:pStyle w:val="EMEAHeadingLeaflet"/>
              <w:keepNext/>
              <w:numPr>
                <w:ilvl w:val="0"/>
                <w:numId w:val="186"/>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lang w:val="hu-HU"/>
              </w:rPr>
              <w:t xml:space="preserve">Ne </w:t>
            </w:r>
            <w:r w:rsidRPr="00183B5F">
              <w:rPr>
                <w:rFonts w:ascii="Times New Roman" w:hAnsi="Times New Roman"/>
                <w:b w:val="0"/>
                <w:lang w:val="hu-HU"/>
              </w:rPr>
              <w:t>dobja a szelektív vagy a háztartási hulladékba az előretöltött fecskendőt.</w:t>
            </w:r>
          </w:p>
          <w:p w14:paraId="7FEAE656" w14:textId="77777777" w:rsidR="00366005" w:rsidRPr="00183B5F" w:rsidRDefault="00943743" w:rsidP="004062FE">
            <w:pPr>
              <w:pStyle w:val="EMEANormal"/>
              <w:keepNext/>
              <w:numPr>
                <w:ilvl w:val="0"/>
                <w:numId w:val="186"/>
              </w:numPr>
              <w:tabs>
                <w:tab w:val="clear" w:pos="562"/>
                <w:tab w:val="left" w:pos="720"/>
              </w:tabs>
              <w:rPr>
                <w:lang w:val="hu-HU"/>
              </w:rPr>
            </w:pPr>
            <w:r w:rsidRPr="00183B5F">
              <w:rPr>
                <w:lang w:val="hu-HU"/>
              </w:rPr>
              <w:t xml:space="preserve">Az </w:t>
            </w:r>
            <w:r w:rsidRPr="00183B5F">
              <w:rPr>
                <w:bCs/>
                <w:lang w:val="hu-HU"/>
              </w:rPr>
              <w:t>előretöltött fecskendőt</w:t>
            </w:r>
            <w:r w:rsidRPr="00183B5F">
              <w:rPr>
                <w:lang w:val="hu-HU"/>
              </w:rPr>
              <w:t xml:space="preserve"> és a speciális gyűjtőedényt </w:t>
            </w:r>
            <w:r w:rsidRPr="00183B5F">
              <w:rPr>
                <w:b/>
                <w:lang w:val="hu-HU"/>
              </w:rPr>
              <w:t>mindig</w:t>
            </w:r>
            <w:r w:rsidRPr="00183B5F">
              <w:rPr>
                <w:lang w:val="hu-HU"/>
              </w:rPr>
              <w:t xml:space="preserve"> a gyermekektől elzárva kell tartani!</w:t>
            </w:r>
          </w:p>
          <w:p w14:paraId="7193702B" w14:textId="77777777" w:rsidR="00366005" w:rsidRPr="00183B5F" w:rsidRDefault="00366005" w:rsidP="004062FE">
            <w:pPr>
              <w:pStyle w:val="EMEANormal"/>
              <w:keepNext/>
              <w:tabs>
                <w:tab w:val="clear" w:pos="562"/>
                <w:tab w:val="left" w:pos="720"/>
              </w:tabs>
              <w:ind w:left="720"/>
              <w:rPr>
                <w:lang w:val="hu-HU"/>
              </w:rPr>
            </w:pPr>
          </w:p>
          <w:p w14:paraId="4043166F" w14:textId="77777777" w:rsidR="00366005" w:rsidRPr="00183B5F" w:rsidRDefault="00943743" w:rsidP="004062FE">
            <w:pPr>
              <w:pStyle w:val="EMEANormal"/>
              <w:keepNext/>
              <w:rPr>
                <w:lang w:val="hu-HU"/>
              </w:rPr>
            </w:pPr>
            <w:r w:rsidRPr="00183B5F">
              <w:rPr>
                <w:szCs w:val="22"/>
                <w:lang w:val="hu-HU"/>
              </w:rPr>
              <w:t>A tűvédő tokot, az alkoholos törlőt, a vattapamacsot vagy gézdarabot, a buborékcsomagolást és a csomagolást ki lehet dobni a háztartási hulladékba.</w:t>
            </w:r>
          </w:p>
        </w:tc>
      </w:tr>
    </w:tbl>
    <w:p w14:paraId="3C23E308" w14:textId="77777777" w:rsidR="00366005" w:rsidRPr="00183B5F" w:rsidRDefault="00366005">
      <w:pPr>
        <w:tabs>
          <w:tab w:val="num" w:pos="630"/>
        </w:tabs>
        <w:spacing w:line="240" w:lineRule="auto"/>
        <w:ind w:right="-2"/>
      </w:pPr>
    </w:p>
    <w:p w14:paraId="47C987CB" w14:textId="77777777" w:rsidR="00366005" w:rsidRPr="00183B5F" w:rsidRDefault="00943743">
      <w:pPr>
        <w:suppressAutoHyphens w:val="0"/>
        <w:spacing w:line="240" w:lineRule="auto"/>
        <w:rPr>
          <w:b/>
          <w:noProof/>
          <w:szCs w:val="24"/>
        </w:rPr>
      </w:pPr>
      <w:r w:rsidRPr="00183B5F">
        <w:rPr>
          <w:b/>
          <w:noProof/>
          <w:szCs w:val="24"/>
        </w:rPr>
        <w:br w:type="page"/>
      </w:r>
    </w:p>
    <w:p w14:paraId="196B4114" w14:textId="05BEC9A4" w:rsidR="00FB6710" w:rsidRPr="00183B5F" w:rsidRDefault="00943743" w:rsidP="004062FE">
      <w:pPr>
        <w:spacing w:line="240" w:lineRule="auto"/>
        <w:jc w:val="center"/>
        <w:rPr>
          <w:del w:id="9906" w:author="AbbVie_HU_03" w:date="2025-05-14T16:39:00Z"/>
          <w:b/>
          <w:szCs w:val="22"/>
        </w:rPr>
      </w:pPr>
      <w:del w:id="9907" w:author="AbbVie_HU_03" w:date="2025-05-14T16:39:00Z">
        <w:r w:rsidRPr="00183B5F">
          <w:rPr>
            <w:b/>
            <w:noProof/>
            <w:szCs w:val="24"/>
          </w:rPr>
          <w:delText>Betegtájékoztató: Információk a felhasználó számára</w:delText>
        </w:r>
      </w:del>
    </w:p>
    <w:p w14:paraId="42AC56EF" w14:textId="034A439C" w:rsidR="00FB6710" w:rsidRPr="00183B5F" w:rsidRDefault="00FB6710" w:rsidP="004062FE">
      <w:pPr>
        <w:spacing w:line="240" w:lineRule="auto"/>
        <w:jc w:val="center"/>
        <w:rPr>
          <w:del w:id="9908" w:author="AbbVie_HU_03" w:date="2025-05-14T16:39:00Z"/>
          <w:b/>
          <w:szCs w:val="22"/>
        </w:rPr>
      </w:pPr>
    </w:p>
    <w:p w14:paraId="688FF147" w14:textId="25790E24" w:rsidR="00FB6710" w:rsidRPr="00183B5F" w:rsidRDefault="00943743" w:rsidP="004062FE">
      <w:pPr>
        <w:spacing w:line="240" w:lineRule="auto"/>
        <w:jc w:val="center"/>
        <w:rPr>
          <w:del w:id="9909" w:author="AbbVie_HU_03" w:date="2025-05-14T16:39:00Z"/>
          <w:b/>
          <w:szCs w:val="22"/>
        </w:rPr>
      </w:pPr>
      <w:del w:id="9910" w:author="AbbVie_HU_03" w:date="2025-05-14T16:39:00Z">
        <w:r w:rsidRPr="00183B5F">
          <w:rPr>
            <w:b/>
            <w:szCs w:val="22"/>
          </w:rPr>
          <w:delText>Humira 40 mg</w:delText>
        </w:r>
        <w:r w:rsidR="00490A71" w:rsidRPr="00183B5F">
          <w:rPr>
            <w:b/>
            <w:szCs w:val="22"/>
          </w:rPr>
          <w:delText>/0,8</w:delText>
        </w:r>
        <w:r w:rsidR="009B11CD" w:rsidRPr="00183B5F">
          <w:rPr>
            <w:b/>
            <w:szCs w:val="22"/>
          </w:rPr>
          <w:delText> </w:delText>
        </w:r>
        <w:r w:rsidR="00490A71" w:rsidRPr="00183B5F">
          <w:rPr>
            <w:b/>
            <w:szCs w:val="22"/>
          </w:rPr>
          <w:delText>ml</w:delText>
        </w:r>
        <w:r w:rsidRPr="00183B5F">
          <w:rPr>
            <w:b/>
            <w:szCs w:val="22"/>
          </w:rPr>
          <w:delText xml:space="preserve"> oldatos injekció</w:delText>
        </w:r>
      </w:del>
    </w:p>
    <w:p w14:paraId="7528248E" w14:textId="5F057F7A" w:rsidR="00FB6710" w:rsidRPr="00183B5F" w:rsidRDefault="00943743" w:rsidP="004062FE">
      <w:pPr>
        <w:spacing w:line="240" w:lineRule="auto"/>
        <w:jc w:val="center"/>
        <w:rPr>
          <w:del w:id="9911" w:author="AbbVie_HU_03" w:date="2025-05-14T16:39:00Z"/>
          <w:bCs/>
          <w:szCs w:val="22"/>
        </w:rPr>
      </w:pPr>
      <w:del w:id="9912" w:author="AbbVie_HU_03" w:date="2025-05-14T16:39:00Z">
        <w:r w:rsidRPr="00183B5F">
          <w:rPr>
            <w:bCs/>
            <w:szCs w:val="22"/>
          </w:rPr>
          <w:delText>adalimumab</w:delText>
        </w:r>
      </w:del>
    </w:p>
    <w:p w14:paraId="200F4DC7" w14:textId="70F86706" w:rsidR="00FB6710" w:rsidRPr="00183B5F" w:rsidRDefault="00FB6710" w:rsidP="004062FE">
      <w:pPr>
        <w:spacing w:line="240" w:lineRule="auto"/>
        <w:jc w:val="center"/>
        <w:rPr>
          <w:del w:id="9913" w:author="AbbVie_HU_03" w:date="2025-05-14T16:39:00Z"/>
          <w:szCs w:val="22"/>
        </w:rPr>
      </w:pPr>
    </w:p>
    <w:p w14:paraId="06279E3E" w14:textId="11C24A0D" w:rsidR="00FB6710" w:rsidRPr="00183B5F" w:rsidRDefault="00943743" w:rsidP="004062FE">
      <w:pPr>
        <w:spacing w:line="240" w:lineRule="auto"/>
        <w:rPr>
          <w:del w:id="9914" w:author="AbbVie_HU_03" w:date="2025-05-14T16:39:00Z"/>
          <w:b/>
          <w:szCs w:val="22"/>
        </w:rPr>
      </w:pPr>
      <w:del w:id="9915" w:author="AbbVie_HU_03" w:date="2025-05-14T16:39:00Z">
        <w:r w:rsidRPr="00183B5F">
          <w:rPr>
            <w:b/>
            <w:szCs w:val="22"/>
          </w:rPr>
          <w:delText xml:space="preserve">Mielőtt </w:delText>
        </w:r>
        <w:r w:rsidR="00490A71" w:rsidRPr="00183B5F">
          <w:rPr>
            <w:b/>
            <w:szCs w:val="22"/>
          </w:rPr>
          <w:delText>gyermek</w:delText>
        </w:r>
        <w:r w:rsidR="00AB3C6A" w:rsidRPr="00183B5F">
          <w:rPr>
            <w:b/>
            <w:szCs w:val="22"/>
          </w:rPr>
          <w:delText>e</w:delText>
        </w:r>
        <w:r w:rsidR="00490A71" w:rsidRPr="00183B5F">
          <w:rPr>
            <w:b/>
            <w:szCs w:val="22"/>
          </w:rPr>
          <w:delText xml:space="preserve"> </w:delText>
        </w:r>
        <w:r w:rsidRPr="00183B5F">
          <w:rPr>
            <w:b/>
            <w:szCs w:val="22"/>
          </w:rPr>
          <w:delText>elkezd</w:delText>
        </w:r>
        <w:r w:rsidR="00AB3C6A" w:rsidRPr="00183B5F">
          <w:rPr>
            <w:b/>
            <w:szCs w:val="22"/>
          </w:rPr>
          <w:delText>i</w:delText>
        </w:r>
        <w:r w:rsidRPr="00183B5F">
          <w:rPr>
            <w:b/>
            <w:szCs w:val="22"/>
          </w:rPr>
          <w:delText xml:space="preserve"> alkalmazni ezt a gyógyszert, olvassa el figyelmesen az alábbi betegtájékoztatót</w:delText>
        </w:r>
        <w:r w:rsidR="0051103C" w:rsidRPr="00183B5F">
          <w:rPr>
            <w:b/>
            <w:noProof/>
            <w:szCs w:val="24"/>
          </w:rPr>
          <w:delText xml:space="preserve">, </w:delText>
        </w:r>
        <w:r w:rsidR="008965DA" w:rsidRPr="00183B5F">
          <w:rPr>
            <w:b/>
            <w:noProof/>
            <w:szCs w:val="24"/>
          </w:rPr>
          <w:delText xml:space="preserve">mert </w:delText>
        </w:r>
        <w:r w:rsidR="0051103C" w:rsidRPr="00183B5F">
          <w:rPr>
            <w:b/>
            <w:noProof/>
            <w:szCs w:val="24"/>
          </w:rPr>
          <w:delText>az Ön számára fontos információkat tartalmaz</w:delText>
        </w:r>
        <w:r w:rsidRPr="00183B5F">
          <w:rPr>
            <w:b/>
            <w:szCs w:val="22"/>
          </w:rPr>
          <w:delText>.</w:delText>
        </w:r>
      </w:del>
    </w:p>
    <w:p w14:paraId="38EE66EC" w14:textId="3283F1DC" w:rsidR="00FB6710" w:rsidRPr="00183B5F" w:rsidRDefault="00943743" w:rsidP="004062FE">
      <w:pPr>
        <w:numPr>
          <w:ilvl w:val="0"/>
          <w:numId w:val="35"/>
        </w:numPr>
        <w:spacing w:line="240" w:lineRule="auto"/>
        <w:rPr>
          <w:del w:id="9916" w:author="AbbVie_HU_03" w:date="2025-05-14T16:39:00Z"/>
          <w:szCs w:val="22"/>
        </w:rPr>
      </w:pPr>
      <w:del w:id="9917" w:author="AbbVie_HU_03" w:date="2025-05-14T16:39:00Z">
        <w:r w:rsidRPr="00183B5F">
          <w:rPr>
            <w:szCs w:val="22"/>
          </w:rPr>
          <w:delText>Tartsa meg a betegtájékoztatót, mert a benne szereplő információkra a későbbiekben is szüksége lehet.</w:delText>
        </w:r>
      </w:del>
    </w:p>
    <w:p w14:paraId="2CEF40A1" w14:textId="29E67057" w:rsidR="00FB6710" w:rsidRPr="00183B5F" w:rsidRDefault="00943743" w:rsidP="004062FE">
      <w:pPr>
        <w:numPr>
          <w:ilvl w:val="0"/>
          <w:numId w:val="35"/>
        </w:numPr>
        <w:spacing w:line="240" w:lineRule="auto"/>
        <w:rPr>
          <w:del w:id="9918" w:author="AbbVie_HU_03" w:date="2025-05-14T16:39:00Z"/>
          <w:szCs w:val="22"/>
        </w:rPr>
      </w:pPr>
      <w:del w:id="9919" w:author="AbbVie_HU_03" w:date="2025-05-14T16:39:00Z">
        <w:r w:rsidRPr="00183B5F">
          <w:rPr>
            <w:szCs w:val="22"/>
          </w:rPr>
          <w:delText xml:space="preserve">Orvosától </w:delText>
        </w:r>
        <w:r w:rsidR="00EC630A" w:rsidRPr="00183B5F">
          <w:rPr>
            <w:szCs w:val="22"/>
          </w:rPr>
          <w:delText xml:space="preserve">egy </w:delText>
        </w:r>
        <w:r w:rsidR="0048779F" w:rsidRPr="00183B5F">
          <w:rPr>
            <w:b/>
            <w:bCs/>
            <w:szCs w:val="22"/>
          </w:rPr>
          <w:delText>Betegemlékeztető</w:delText>
        </w:r>
        <w:r w:rsidRPr="00183B5F">
          <w:rPr>
            <w:b/>
            <w:bCs/>
            <w:szCs w:val="22"/>
          </w:rPr>
          <w:delText xml:space="preserve"> </w:delText>
        </w:r>
        <w:r w:rsidR="00C03472" w:rsidRPr="00183B5F">
          <w:rPr>
            <w:b/>
            <w:bCs/>
            <w:szCs w:val="22"/>
          </w:rPr>
          <w:delText>Kártyát</w:delText>
        </w:r>
        <w:r w:rsidR="00C03472" w:rsidRPr="00183B5F">
          <w:rPr>
            <w:szCs w:val="22"/>
          </w:rPr>
          <w:delText xml:space="preserve"> </w:delText>
        </w:r>
        <w:r w:rsidRPr="00183B5F">
          <w:rPr>
            <w:szCs w:val="22"/>
          </w:rPr>
          <w:delText xml:space="preserve">is </w:delText>
        </w:r>
        <w:r w:rsidR="00EC630A" w:rsidRPr="00183B5F">
          <w:rPr>
            <w:szCs w:val="22"/>
          </w:rPr>
          <w:delText xml:space="preserve">fog </w:delText>
        </w:r>
        <w:r w:rsidRPr="00183B5F">
          <w:rPr>
            <w:szCs w:val="22"/>
          </w:rPr>
          <w:delText xml:space="preserve">kapni fontos biztonsági információkkal, amit </w:delText>
        </w:r>
        <w:r w:rsidR="00490A71" w:rsidRPr="00183B5F">
          <w:rPr>
            <w:szCs w:val="22"/>
          </w:rPr>
          <w:delText xml:space="preserve">gyermekénél </w:delText>
        </w:r>
        <w:r w:rsidRPr="00183B5F">
          <w:rPr>
            <w:szCs w:val="22"/>
          </w:rPr>
          <w:delText xml:space="preserve">a Humira alkalmazása előtt és a Humira-val történő kezelés során is </w:delText>
        </w:r>
        <w:r w:rsidR="00962799" w:rsidRPr="00183B5F">
          <w:rPr>
            <w:szCs w:val="22"/>
          </w:rPr>
          <w:delText>figyelembe kell venni</w:delText>
        </w:r>
        <w:r w:rsidRPr="00183B5F">
          <w:rPr>
            <w:szCs w:val="22"/>
          </w:rPr>
          <w:delText xml:space="preserve">. Tartsa magánál </w:delText>
        </w:r>
        <w:r w:rsidR="00490A71" w:rsidRPr="00183B5F">
          <w:rPr>
            <w:szCs w:val="22"/>
          </w:rPr>
          <w:delText xml:space="preserve">vagy gyermekénél </w:delText>
        </w:r>
        <w:r w:rsidRPr="00183B5F">
          <w:rPr>
            <w:szCs w:val="22"/>
          </w:rPr>
          <w:delText xml:space="preserve">ezt a </w:delText>
        </w:r>
        <w:r w:rsidR="0048779F" w:rsidRPr="00183B5F">
          <w:rPr>
            <w:b/>
            <w:bCs/>
            <w:szCs w:val="22"/>
          </w:rPr>
          <w:delText>Betegemlékeztető</w:delText>
        </w:r>
        <w:r w:rsidRPr="00183B5F">
          <w:rPr>
            <w:b/>
            <w:bCs/>
            <w:szCs w:val="22"/>
          </w:rPr>
          <w:delText xml:space="preserve"> </w:delText>
        </w:r>
        <w:r w:rsidR="00C03472" w:rsidRPr="00183B5F">
          <w:rPr>
            <w:b/>
            <w:bCs/>
            <w:szCs w:val="22"/>
          </w:rPr>
          <w:delText>Kártyát</w:delText>
        </w:r>
        <w:r w:rsidRPr="00183B5F">
          <w:rPr>
            <w:szCs w:val="22"/>
          </w:rPr>
          <w:delText>.</w:delText>
        </w:r>
      </w:del>
    </w:p>
    <w:p w14:paraId="718F329B" w14:textId="5A8B75B6" w:rsidR="00FB6710" w:rsidRPr="00183B5F" w:rsidRDefault="00943743" w:rsidP="004062FE">
      <w:pPr>
        <w:numPr>
          <w:ilvl w:val="0"/>
          <w:numId w:val="35"/>
        </w:numPr>
        <w:spacing w:line="240" w:lineRule="auto"/>
        <w:rPr>
          <w:del w:id="9920" w:author="AbbVie_HU_03" w:date="2025-05-14T16:39:00Z"/>
          <w:szCs w:val="22"/>
        </w:rPr>
      </w:pPr>
      <w:del w:id="9921" w:author="AbbVie_HU_03" w:date="2025-05-14T16:39:00Z">
        <w:r w:rsidRPr="00183B5F">
          <w:rPr>
            <w:szCs w:val="22"/>
          </w:rPr>
          <w:delText xml:space="preserve">További kérdéseivel forduljon </w:delText>
        </w:r>
        <w:r w:rsidR="0051103C" w:rsidRPr="00183B5F">
          <w:rPr>
            <w:szCs w:val="22"/>
          </w:rPr>
          <w:delText>kezelő</w:delText>
        </w:r>
        <w:r w:rsidRPr="00183B5F">
          <w:rPr>
            <w:szCs w:val="22"/>
          </w:rPr>
          <w:delText>orvosához vagy gyógyszerészéhez.</w:delText>
        </w:r>
      </w:del>
    </w:p>
    <w:p w14:paraId="1D956783" w14:textId="31227845" w:rsidR="00FB6710" w:rsidRPr="00183B5F" w:rsidRDefault="00943743" w:rsidP="004062FE">
      <w:pPr>
        <w:numPr>
          <w:ilvl w:val="0"/>
          <w:numId w:val="36"/>
        </w:numPr>
        <w:spacing w:line="240" w:lineRule="auto"/>
        <w:rPr>
          <w:del w:id="9922" w:author="AbbVie_HU_03" w:date="2025-05-14T16:39:00Z"/>
          <w:szCs w:val="22"/>
        </w:rPr>
      </w:pPr>
      <w:del w:id="9923" w:author="AbbVie_HU_03" w:date="2025-05-14T16:39:00Z">
        <w:r w:rsidRPr="00183B5F">
          <w:rPr>
            <w:szCs w:val="22"/>
          </w:rPr>
          <w:delText xml:space="preserve">Ezt a gyógyszert az orvos </w:delText>
        </w:r>
        <w:r w:rsidR="0051103C" w:rsidRPr="00183B5F">
          <w:rPr>
            <w:szCs w:val="22"/>
          </w:rPr>
          <w:delText xml:space="preserve">kizárólag </w:delText>
        </w:r>
        <w:r w:rsidR="00490A71" w:rsidRPr="00183B5F">
          <w:rPr>
            <w:szCs w:val="22"/>
          </w:rPr>
          <w:delText xml:space="preserve">az Ön gyermekének </w:delText>
        </w:r>
        <w:r w:rsidRPr="00183B5F">
          <w:rPr>
            <w:szCs w:val="22"/>
          </w:rPr>
          <w:delText xml:space="preserve">írta fel. Ne adja át a készítményt másnak, mert számára ártalmas lehet még abban az esetben is, ha </w:delText>
        </w:r>
        <w:r w:rsidR="0051103C" w:rsidRPr="00183B5F">
          <w:rPr>
            <w:szCs w:val="22"/>
          </w:rPr>
          <w:delText xml:space="preserve">a betegsége </w:delText>
        </w:r>
        <w:r w:rsidRPr="00183B5F">
          <w:rPr>
            <w:szCs w:val="22"/>
          </w:rPr>
          <w:delText>tünetei az Ön</w:delText>
        </w:r>
        <w:r w:rsidR="00490A71" w:rsidRPr="00183B5F">
          <w:rPr>
            <w:szCs w:val="22"/>
          </w:rPr>
          <w:delText xml:space="preserve"> gyermekénél jelentkezőkhöz</w:delText>
        </w:r>
        <w:r w:rsidRPr="00183B5F">
          <w:rPr>
            <w:szCs w:val="22"/>
          </w:rPr>
          <w:delText xml:space="preserve"> hasonlóak.</w:delText>
        </w:r>
      </w:del>
    </w:p>
    <w:p w14:paraId="07B0C22B" w14:textId="10527CA6" w:rsidR="00FB6710" w:rsidRPr="00183B5F" w:rsidRDefault="00943743" w:rsidP="004062FE">
      <w:pPr>
        <w:numPr>
          <w:ilvl w:val="0"/>
          <w:numId w:val="36"/>
        </w:numPr>
        <w:spacing w:line="240" w:lineRule="auto"/>
        <w:rPr>
          <w:del w:id="9924" w:author="AbbVie_HU_03" w:date="2025-05-14T16:39:00Z"/>
          <w:szCs w:val="22"/>
        </w:rPr>
      </w:pPr>
      <w:del w:id="9925" w:author="AbbVie_HU_03" w:date="2025-05-14T16:39:00Z">
        <w:r w:rsidRPr="00183B5F">
          <w:rPr>
            <w:szCs w:val="24"/>
          </w:rPr>
          <w:delText xml:space="preserve">Ha </w:delText>
        </w:r>
        <w:r w:rsidRPr="00183B5F">
          <w:rPr>
            <w:noProof/>
            <w:szCs w:val="24"/>
          </w:rPr>
          <w:delText>gyermekénél bármilyen</w:delText>
        </w:r>
        <w:r w:rsidRPr="00183B5F">
          <w:rPr>
            <w:szCs w:val="24"/>
          </w:rPr>
          <w:delText xml:space="preserve"> mellékhatás </w:delText>
        </w:r>
        <w:r w:rsidRPr="00183B5F">
          <w:rPr>
            <w:noProof/>
            <w:szCs w:val="24"/>
          </w:rPr>
          <w:delText>jelentkezik, tájékoztassa erről gyermeke kezelőorvosát vagy gyógyszerészét. Ez</w:delText>
        </w:r>
        <w:r w:rsidRPr="00183B5F">
          <w:rPr>
            <w:szCs w:val="24"/>
          </w:rPr>
          <w:delText xml:space="preserve"> a betegtájékoztatóban </w:delText>
        </w:r>
        <w:r w:rsidRPr="00183B5F">
          <w:rPr>
            <w:noProof/>
            <w:szCs w:val="24"/>
          </w:rPr>
          <w:delText>fel nem sorolt bármilyen lehetséges mellékhatásra is vonatkozik</w:delText>
        </w:r>
        <w:r w:rsidR="009C0F40" w:rsidRPr="00183B5F">
          <w:rPr>
            <w:noProof/>
            <w:szCs w:val="24"/>
          </w:rPr>
          <w:delText xml:space="preserve"> (lásd 4. pont)</w:delText>
        </w:r>
        <w:r w:rsidRPr="00183B5F">
          <w:rPr>
            <w:noProof/>
            <w:szCs w:val="24"/>
          </w:rPr>
          <w:delText>.</w:delText>
        </w:r>
      </w:del>
    </w:p>
    <w:p w14:paraId="23159A3B" w14:textId="4784A0E7" w:rsidR="00FB6710" w:rsidRPr="00183B5F" w:rsidRDefault="00FB6710" w:rsidP="004062FE">
      <w:pPr>
        <w:spacing w:line="240" w:lineRule="auto"/>
        <w:ind w:right="-2"/>
        <w:rPr>
          <w:del w:id="9926" w:author="AbbVie_HU_03" w:date="2025-05-14T16:39:00Z"/>
          <w:szCs w:val="22"/>
        </w:rPr>
      </w:pPr>
    </w:p>
    <w:p w14:paraId="0ECA7C2A" w14:textId="7B44DD43" w:rsidR="00FB6710" w:rsidRPr="00183B5F" w:rsidRDefault="00943743" w:rsidP="004062FE">
      <w:pPr>
        <w:spacing w:line="240" w:lineRule="auto"/>
        <w:ind w:right="-2"/>
        <w:rPr>
          <w:del w:id="9927" w:author="AbbVie_HU_03" w:date="2025-05-14T16:39:00Z"/>
          <w:b/>
          <w:szCs w:val="22"/>
        </w:rPr>
      </w:pPr>
      <w:del w:id="9928" w:author="AbbVie_HU_03" w:date="2025-05-14T16:39:00Z">
        <w:r w:rsidRPr="00183B5F">
          <w:rPr>
            <w:b/>
            <w:szCs w:val="22"/>
          </w:rPr>
          <w:delText>A betegtájékoztató tartalma:</w:delText>
        </w:r>
      </w:del>
    </w:p>
    <w:p w14:paraId="090A099D" w14:textId="186B8CA2" w:rsidR="00FB6710" w:rsidRPr="00183B5F" w:rsidRDefault="00943743" w:rsidP="004062FE">
      <w:pPr>
        <w:spacing w:line="240" w:lineRule="auto"/>
        <w:ind w:left="567" w:right="-29" w:hanging="567"/>
        <w:rPr>
          <w:del w:id="9929" w:author="AbbVie_HU_03" w:date="2025-05-14T16:39:00Z"/>
          <w:szCs w:val="22"/>
        </w:rPr>
      </w:pPr>
      <w:del w:id="9930" w:author="AbbVie_HU_03" w:date="2025-05-14T16:39:00Z">
        <w:r w:rsidRPr="00183B5F">
          <w:rPr>
            <w:szCs w:val="22"/>
          </w:rPr>
          <w:delText>1.</w:delText>
        </w:r>
        <w:r w:rsidRPr="00183B5F">
          <w:rPr>
            <w:szCs w:val="22"/>
          </w:rPr>
          <w:tab/>
          <w:delText>Milyen típusú gyógyszer a Humira és milyen betegségek esetén alkalmazható</w:delText>
        </w:r>
        <w:r w:rsidR="00445BC9" w:rsidRPr="00183B5F">
          <w:rPr>
            <w:szCs w:val="22"/>
          </w:rPr>
          <w:delText>?</w:delText>
        </w:r>
      </w:del>
    </w:p>
    <w:p w14:paraId="611F81E8" w14:textId="71DEB741" w:rsidR="00FB6710" w:rsidRPr="00183B5F" w:rsidRDefault="00943743" w:rsidP="004062FE">
      <w:pPr>
        <w:spacing w:line="240" w:lineRule="auto"/>
        <w:ind w:left="567" w:right="-29" w:hanging="567"/>
        <w:rPr>
          <w:del w:id="9931" w:author="AbbVie_HU_03" w:date="2025-05-14T16:39:00Z"/>
          <w:szCs w:val="22"/>
        </w:rPr>
      </w:pPr>
      <w:del w:id="9932" w:author="AbbVie_HU_03" w:date="2025-05-14T16:39:00Z">
        <w:r w:rsidRPr="00183B5F">
          <w:rPr>
            <w:szCs w:val="22"/>
          </w:rPr>
          <w:delText>2.</w:delText>
        </w:r>
        <w:r w:rsidRPr="00183B5F">
          <w:rPr>
            <w:szCs w:val="22"/>
          </w:rPr>
          <w:tab/>
          <w:delText xml:space="preserve">Tudnivalók a </w:delText>
        </w:r>
        <w:r w:rsidR="001465AB" w:rsidRPr="00183B5F">
          <w:rPr>
            <w:szCs w:val="22"/>
          </w:rPr>
          <w:delText>Humir</w:delText>
        </w:r>
        <w:r w:rsidR="0056561A" w:rsidRPr="00183B5F">
          <w:rPr>
            <w:szCs w:val="22"/>
          </w:rPr>
          <w:delText>a</w:delText>
        </w:r>
        <w:r w:rsidR="0056561A" w:rsidRPr="00183B5F">
          <w:rPr>
            <w:szCs w:val="22"/>
          </w:rPr>
          <w:noBreakHyphen/>
        </w:r>
        <w:r w:rsidR="001465AB" w:rsidRPr="00183B5F">
          <w:rPr>
            <w:szCs w:val="22"/>
          </w:rPr>
          <w:delText xml:space="preserve">nak az Ön </w:delText>
        </w:r>
        <w:r w:rsidR="00D223FC" w:rsidRPr="00183B5F">
          <w:rPr>
            <w:szCs w:val="22"/>
          </w:rPr>
          <w:delText xml:space="preserve">gyermekénél történő </w:delText>
        </w:r>
        <w:r w:rsidRPr="00183B5F">
          <w:rPr>
            <w:szCs w:val="22"/>
          </w:rPr>
          <w:delText>alkalmazása előtt</w:delText>
        </w:r>
      </w:del>
    </w:p>
    <w:p w14:paraId="10C79220" w14:textId="543BDEB5" w:rsidR="00FB6710" w:rsidRPr="00183B5F" w:rsidRDefault="00943743" w:rsidP="004062FE">
      <w:pPr>
        <w:spacing w:line="240" w:lineRule="auto"/>
        <w:ind w:left="567" w:right="-29" w:hanging="567"/>
        <w:rPr>
          <w:del w:id="9933" w:author="AbbVie_HU_03" w:date="2025-05-14T16:39:00Z"/>
          <w:szCs w:val="22"/>
        </w:rPr>
      </w:pPr>
      <w:del w:id="9934" w:author="AbbVie_HU_03" w:date="2025-05-14T16:39:00Z">
        <w:r w:rsidRPr="00183B5F">
          <w:rPr>
            <w:szCs w:val="22"/>
          </w:rPr>
          <w:delText>3.</w:delText>
        </w:r>
        <w:r w:rsidRPr="00183B5F">
          <w:rPr>
            <w:szCs w:val="22"/>
          </w:rPr>
          <w:tab/>
          <w:delText xml:space="preserve">Hogyan kell alkalmazni </w:delText>
        </w:r>
        <w:r w:rsidR="00F15D2D" w:rsidRPr="00183B5F">
          <w:rPr>
            <w:szCs w:val="22"/>
          </w:rPr>
          <w:delText xml:space="preserve">a </w:delText>
        </w:r>
        <w:r w:rsidRPr="00183B5F">
          <w:rPr>
            <w:szCs w:val="22"/>
          </w:rPr>
          <w:delText>Humira-t</w:delText>
        </w:r>
        <w:r w:rsidR="00445BC9" w:rsidRPr="00183B5F">
          <w:rPr>
            <w:szCs w:val="22"/>
          </w:rPr>
          <w:delText>?</w:delText>
        </w:r>
      </w:del>
    </w:p>
    <w:p w14:paraId="533D9E3B" w14:textId="61B402CD" w:rsidR="00FB6710" w:rsidRPr="00183B5F" w:rsidRDefault="00943743" w:rsidP="004062FE">
      <w:pPr>
        <w:spacing w:line="240" w:lineRule="auto"/>
        <w:ind w:left="567" w:right="-29" w:hanging="567"/>
        <w:rPr>
          <w:del w:id="9935" w:author="AbbVie_HU_03" w:date="2025-05-14T16:39:00Z"/>
          <w:szCs w:val="22"/>
        </w:rPr>
      </w:pPr>
      <w:del w:id="9936" w:author="AbbVie_HU_03" w:date="2025-05-14T16:39:00Z">
        <w:r w:rsidRPr="00183B5F">
          <w:rPr>
            <w:szCs w:val="22"/>
          </w:rPr>
          <w:delText>4.</w:delText>
        </w:r>
        <w:r w:rsidRPr="00183B5F">
          <w:rPr>
            <w:szCs w:val="22"/>
          </w:rPr>
          <w:tab/>
          <w:delText>Lehetséges mellékhatások</w:delText>
        </w:r>
      </w:del>
    </w:p>
    <w:p w14:paraId="7DEC17A5" w14:textId="7CBAF760" w:rsidR="00FB6710" w:rsidRPr="00183B5F" w:rsidRDefault="00943743" w:rsidP="004062FE">
      <w:pPr>
        <w:spacing w:line="240" w:lineRule="auto"/>
        <w:ind w:left="567" w:right="-29" w:hanging="567"/>
        <w:rPr>
          <w:del w:id="9937" w:author="AbbVie_HU_03" w:date="2025-05-14T16:39:00Z"/>
          <w:szCs w:val="22"/>
        </w:rPr>
      </w:pPr>
      <w:del w:id="9938" w:author="AbbVie_HU_03" w:date="2025-05-14T16:39:00Z">
        <w:r w:rsidRPr="00183B5F">
          <w:rPr>
            <w:szCs w:val="22"/>
          </w:rPr>
          <w:delText>5.</w:delText>
        </w:r>
        <w:r w:rsidRPr="00183B5F">
          <w:rPr>
            <w:szCs w:val="22"/>
          </w:rPr>
          <w:tab/>
          <w:delText>Hogyan kell a Humira-t tárolni</w:delText>
        </w:r>
        <w:r w:rsidR="00445BC9" w:rsidRPr="00183B5F">
          <w:rPr>
            <w:szCs w:val="22"/>
          </w:rPr>
          <w:delText>?</w:delText>
        </w:r>
      </w:del>
    </w:p>
    <w:p w14:paraId="65540974" w14:textId="4D367620" w:rsidR="00FB6710" w:rsidRPr="00183B5F" w:rsidRDefault="00943743" w:rsidP="004062FE">
      <w:pPr>
        <w:spacing w:line="240" w:lineRule="auto"/>
        <w:ind w:left="567" w:right="-29" w:hanging="567"/>
        <w:rPr>
          <w:del w:id="9939" w:author="AbbVie_HU_03" w:date="2025-05-14T16:39:00Z"/>
          <w:szCs w:val="22"/>
        </w:rPr>
      </w:pPr>
      <w:del w:id="9940" w:author="AbbVie_HU_03" w:date="2025-05-14T16:39:00Z">
        <w:r w:rsidRPr="00183B5F">
          <w:rPr>
            <w:szCs w:val="22"/>
          </w:rPr>
          <w:delText>6.</w:delText>
        </w:r>
        <w:r w:rsidRPr="00183B5F">
          <w:rPr>
            <w:szCs w:val="22"/>
          </w:rPr>
          <w:tab/>
        </w:r>
        <w:r w:rsidR="00E863AD" w:rsidRPr="00183B5F">
          <w:rPr>
            <w:noProof/>
            <w:szCs w:val="24"/>
          </w:rPr>
          <w:delText>A csomagolás tartalma és egyéb</w:delText>
        </w:r>
        <w:r w:rsidR="00E863AD" w:rsidRPr="00183B5F">
          <w:rPr>
            <w:szCs w:val="22"/>
          </w:rPr>
          <w:delText xml:space="preserve"> </w:delText>
        </w:r>
        <w:r w:rsidRPr="00183B5F">
          <w:rPr>
            <w:szCs w:val="22"/>
          </w:rPr>
          <w:delText>információk</w:delText>
        </w:r>
      </w:del>
    </w:p>
    <w:p w14:paraId="63FB925C" w14:textId="3D5E7B5F" w:rsidR="00FB6710" w:rsidRPr="00183B5F" w:rsidRDefault="00FB6710" w:rsidP="004062FE">
      <w:pPr>
        <w:spacing w:line="240" w:lineRule="auto"/>
        <w:ind w:right="-2"/>
        <w:rPr>
          <w:del w:id="9941" w:author="AbbVie_HU_03" w:date="2025-05-14T16:39:00Z"/>
          <w:szCs w:val="22"/>
        </w:rPr>
      </w:pPr>
    </w:p>
    <w:p w14:paraId="452AD0DA" w14:textId="6CAFCBDE" w:rsidR="00FB6710" w:rsidRPr="00183B5F" w:rsidRDefault="00FB6710" w:rsidP="004062FE">
      <w:pPr>
        <w:spacing w:line="240" w:lineRule="auto"/>
        <w:ind w:right="-2"/>
        <w:rPr>
          <w:del w:id="9942" w:author="AbbVie_HU_03" w:date="2025-05-14T16:39:00Z"/>
          <w:szCs w:val="22"/>
        </w:rPr>
      </w:pPr>
    </w:p>
    <w:p w14:paraId="169B1796" w14:textId="0B6B3E2C" w:rsidR="00FB6710" w:rsidRPr="00183B5F" w:rsidRDefault="00943743" w:rsidP="004062FE">
      <w:pPr>
        <w:spacing w:line="240" w:lineRule="auto"/>
        <w:ind w:left="567" w:right="-2" w:hanging="567"/>
        <w:rPr>
          <w:del w:id="9943" w:author="AbbVie_HU_03" w:date="2025-05-14T16:39:00Z"/>
          <w:b/>
          <w:szCs w:val="22"/>
        </w:rPr>
      </w:pPr>
      <w:del w:id="9944" w:author="AbbVie_HU_03" w:date="2025-05-14T16:39:00Z">
        <w:r w:rsidRPr="00183B5F">
          <w:rPr>
            <w:b/>
            <w:szCs w:val="22"/>
          </w:rPr>
          <w:delText>1.</w:delText>
        </w:r>
        <w:r w:rsidRPr="00183B5F">
          <w:rPr>
            <w:b/>
            <w:szCs w:val="22"/>
          </w:rPr>
          <w:tab/>
        </w:r>
        <w:r w:rsidR="00E863AD" w:rsidRPr="00183B5F">
          <w:rPr>
            <w:b/>
            <w:szCs w:val="22"/>
          </w:rPr>
          <w:delText>Milyen típusú gyógyszer a Humira és milyen betegségek esetén alkalmazható</w:delText>
        </w:r>
        <w:r w:rsidR="00445BC9" w:rsidRPr="00183B5F">
          <w:rPr>
            <w:b/>
            <w:szCs w:val="22"/>
          </w:rPr>
          <w:delText>?</w:delText>
        </w:r>
      </w:del>
    </w:p>
    <w:p w14:paraId="56E4878B" w14:textId="2C3CCE64" w:rsidR="00FB6710" w:rsidRPr="00183B5F" w:rsidRDefault="00FB6710" w:rsidP="004062FE">
      <w:pPr>
        <w:spacing w:line="240" w:lineRule="auto"/>
        <w:ind w:right="-2"/>
        <w:rPr>
          <w:del w:id="9945" w:author="AbbVie_HU_03" w:date="2025-05-14T16:39:00Z"/>
          <w:szCs w:val="22"/>
        </w:rPr>
      </w:pPr>
    </w:p>
    <w:p w14:paraId="1830C63A" w14:textId="63FC2B01" w:rsidR="00906003" w:rsidRPr="00183B5F" w:rsidRDefault="00943743" w:rsidP="004062FE">
      <w:pPr>
        <w:spacing w:line="240" w:lineRule="auto"/>
        <w:ind w:right="-2"/>
        <w:rPr>
          <w:del w:id="9946" w:author="AbbVie_HU_03" w:date="2025-05-14T16:39:00Z"/>
          <w:szCs w:val="22"/>
        </w:rPr>
      </w:pPr>
      <w:del w:id="9947" w:author="AbbVie_HU_03" w:date="2025-05-14T16:39:00Z">
        <w:r w:rsidRPr="00183B5F">
          <w:rPr>
            <w:szCs w:val="22"/>
          </w:rPr>
          <w:delText>A Humira hatóanyaga az adalimumab.</w:delText>
        </w:r>
      </w:del>
    </w:p>
    <w:p w14:paraId="223153AC" w14:textId="5C0AAA97" w:rsidR="00906003" w:rsidRPr="00183B5F" w:rsidRDefault="00906003" w:rsidP="004062FE">
      <w:pPr>
        <w:spacing w:line="240" w:lineRule="auto"/>
        <w:ind w:right="-2"/>
        <w:rPr>
          <w:del w:id="9948" w:author="AbbVie_HU_03" w:date="2025-05-14T16:39:00Z"/>
          <w:szCs w:val="22"/>
        </w:rPr>
      </w:pPr>
    </w:p>
    <w:p w14:paraId="5963B497" w14:textId="0BEE9671" w:rsidR="00906003" w:rsidRPr="00183B5F" w:rsidRDefault="00943743" w:rsidP="004062FE">
      <w:pPr>
        <w:spacing w:line="240" w:lineRule="auto"/>
        <w:ind w:right="-2"/>
        <w:rPr>
          <w:del w:id="9949" w:author="AbbVie_HU_03" w:date="2025-05-14T16:39:00Z"/>
          <w:szCs w:val="22"/>
        </w:rPr>
      </w:pPr>
      <w:del w:id="9950" w:author="AbbVie_HU_03" w:date="2025-05-14T16:39:00Z">
        <w:r w:rsidRPr="00183B5F">
          <w:rPr>
            <w:szCs w:val="22"/>
          </w:rPr>
          <w:delText>A Humira az alábbi gyulladásos betegségek kezelésére alkalmazható:</w:delText>
        </w:r>
      </w:del>
    </w:p>
    <w:p w14:paraId="6113ED27" w14:textId="462B41ED" w:rsidR="00906003" w:rsidRPr="00183B5F" w:rsidRDefault="00943743" w:rsidP="004062FE">
      <w:pPr>
        <w:numPr>
          <w:ilvl w:val="0"/>
          <w:numId w:val="76"/>
        </w:numPr>
        <w:spacing w:line="240" w:lineRule="auto"/>
        <w:ind w:right="-2"/>
        <w:rPr>
          <w:del w:id="9951" w:author="AbbVie_HU_03" w:date="2025-05-14T16:39:00Z"/>
          <w:szCs w:val="22"/>
        </w:rPr>
      </w:pPr>
      <w:del w:id="9952" w:author="AbbVie_HU_03" w:date="2025-05-14T16:39:00Z">
        <w:r w:rsidRPr="00183B5F">
          <w:rPr>
            <w:szCs w:val="22"/>
          </w:rPr>
          <w:delText>Gyermekkori ismeretlen eredetű sokízületi gyulladás (poliartikuláris juvenilis idiopátiás artritisz)</w:delText>
        </w:r>
      </w:del>
    </w:p>
    <w:p w14:paraId="547DEB60" w14:textId="7A97BA16" w:rsidR="00906003" w:rsidRPr="00183B5F" w:rsidRDefault="00943743" w:rsidP="004062FE">
      <w:pPr>
        <w:numPr>
          <w:ilvl w:val="0"/>
          <w:numId w:val="76"/>
        </w:numPr>
        <w:spacing w:line="240" w:lineRule="auto"/>
        <w:ind w:right="-2"/>
        <w:rPr>
          <w:del w:id="9953" w:author="AbbVie_HU_03" w:date="2025-05-14T16:39:00Z"/>
          <w:szCs w:val="22"/>
        </w:rPr>
      </w:pPr>
      <w:del w:id="9954" w:author="AbbVie_HU_03" w:date="2025-05-14T16:39:00Z">
        <w:r w:rsidRPr="00183B5F">
          <w:rPr>
            <w:szCs w:val="22"/>
          </w:rPr>
          <w:delText xml:space="preserve">Az </w:delText>
        </w:r>
        <w:r w:rsidR="00E3515C" w:rsidRPr="00183B5F">
          <w:rPr>
            <w:szCs w:val="22"/>
          </w:rPr>
          <w:delText>i</w:delText>
        </w:r>
        <w:r w:rsidRPr="00183B5F">
          <w:rPr>
            <w:szCs w:val="22"/>
          </w:rPr>
          <w:delText>nak tapadási hely</w:delText>
        </w:r>
        <w:r w:rsidR="00963A8B" w:rsidRPr="00183B5F">
          <w:rPr>
            <w:szCs w:val="22"/>
          </w:rPr>
          <w:delText>é</w:delText>
        </w:r>
        <w:r w:rsidRPr="00183B5F">
          <w:rPr>
            <w:szCs w:val="22"/>
          </w:rPr>
          <w:delText>nek gyulladásos elváltozásával társult reumás ízületi gyulladás (entezitisszel társult artritisz)</w:delText>
        </w:r>
      </w:del>
    </w:p>
    <w:p w14:paraId="7DBBA587" w14:textId="689260B3" w:rsidR="00906003" w:rsidRPr="00183B5F" w:rsidRDefault="00943743" w:rsidP="004062FE">
      <w:pPr>
        <w:numPr>
          <w:ilvl w:val="0"/>
          <w:numId w:val="76"/>
        </w:numPr>
        <w:suppressAutoHyphens w:val="0"/>
        <w:autoSpaceDE w:val="0"/>
        <w:autoSpaceDN w:val="0"/>
        <w:adjustRightInd w:val="0"/>
        <w:spacing w:line="240" w:lineRule="auto"/>
        <w:ind w:left="714" w:hanging="357"/>
        <w:rPr>
          <w:del w:id="9955" w:author="AbbVie_HU_03" w:date="2025-05-14T16:39:00Z"/>
          <w:szCs w:val="22"/>
        </w:rPr>
      </w:pPr>
      <w:del w:id="9956" w:author="AbbVie_HU_03" w:date="2025-05-14T16:39:00Z">
        <w:r w:rsidRPr="00183B5F">
          <w:rPr>
            <w:szCs w:val="22"/>
          </w:rPr>
          <w:delText xml:space="preserve">Gyermekkori plakkos pszoriázis </w:delText>
        </w:r>
      </w:del>
    </w:p>
    <w:p w14:paraId="22CA1C36" w14:textId="2B1A6DB9" w:rsidR="004F484D" w:rsidRPr="00183B5F" w:rsidRDefault="00943743" w:rsidP="004062FE">
      <w:pPr>
        <w:numPr>
          <w:ilvl w:val="0"/>
          <w:numId w:val="76"/>
        </w:numPr>
        <w:suppressAutoHyphens w:val="0"/>
        <w:autoSpaceDE w:val="0"/>
        <w:autoSpaceDN w:val="0"/>
        <w:adjustRightInd w:val="0"/>
        <w:spacing w:line="240" w:lineRule="auto"/>
        <w:ind w:left="714" w:hanging="357"/>
        <w:rPr>
          <w:del w:id="9957" w:author="AbbVie_HU_03" w:date="2025-05-14T16:39:00Z"/>
          <w:szCs w:val="22"/>
        </w:rPr>
      </w:pPr>
      <w:del w:id="9958" w:author="AbbVie_HU_03" w:date="2025-05-14T16:39:00Z">
        <w:r w:rsidRPr="00183B5F">
          <w:rPr>
            <w:szCs w:val="22"/>
          </w:rPr>
          <w:delText>Serdülőkori hidradenitisz szuppuratíva</w:delText>
        </w:r>
      </w:del>
    </w:p>
    <w:p w14:paraId="3EA91A4F" w14:textId="29781552" w:rsidR="00906003" w:rsidRPr="00183B5F" w:rsidRDefault="00943743" w:rsidP="004062FE">
      <w:pPr>
        <w:numPr>
          <w:ilvl w:val="0"/>
          <w:numId w:val="76"/>
        </w:numPr>
        <w:suppressAutoHyphens w:val="0"/>
        <w:autoSpaceDE w:val="0"/>
        <w:autoSpaceDN w:val="0"/>
        <w:adjustRightInd w:val="0"/>
        <w:spacing w:line="240" w:lineRule="auto"/>
        <w:ind w:left="714" w:right="-2" w:hanging="357"/>
        <w:rPr>
          <w:del w:id="9959" w:author="AbbVie_HU_03" w:date="2025-05-14T16:39:00Z"/>
          <w:szCs w:val="22"/>
        </w:rPr>
      </w:pPr>
      <w:del w:id="9960" w:author="AbbVie_HU_03" w:date="2025-05-14T16:39:00Z">
        <w:r w:rsidRPr="00183B5F">
          <w:rPr>
            <w:szCs w:val="22"/>
          </w:rPr>
          <w:delText>A bélfal minden rétegére kiterjedő, nem fertőzéses eredetű gyulladás (gyermekkori Crohn</w:delText>
        </w:r>
        <w:r w:rsidRPr="00183B5F">
          <w:rPr>
            <w:szCs w:val="22"/>
          </w:rPr>
          <w:noBreakHyphen/>
          <w:delText>betegség)</w:delText>
        </w:r>
      </w:del>
    </w:p>
    <w:p w14:paraId="7863289B" w14:textId="6EEF46B9" w:rsidR="00A56882" w:rsidRPr="00183B5F" w:rsidRDefault="00943743" w:rsidP="004062FE">
      <w:pPr>
        <w:numPr>
          <w:ilvl w:val="0"/>
          <w:numId w:val="76"/>
        </w:numPr>
        <w:suppressAutoHyphens w:val="0"/>
        <w:autoSpaceDE w:val="0"/>
        <w:autoSpaceDN w:val="0"/>
        <w:adjustRightInd w:val="0"/>
        <w:spacing w:line="240" w:lineRule="auto"/>
        <w:ind w:left="714" w:right="-2" w:hanging="357"/>
        <w:rPr>
          <w:del w:id="9961" w:author="AbbVie_HU_03" w:date="2025-05-14T16:39:00Z"/>
          <w:szCs w:val="22"/>
        </w:rPr>
      </w:pPr>
      <w:bookmarkStart w:id="9962" w:name="_Hlk53386460"/>
      <w:del w:id="9963" w:author="AbbVie_HU_03" w:date="2025-05-14T16:39:00Z">
        <w:r w:rsidRPr="00183B5F">
          <w:rPr>
            <w:szCs w:val="22"/>
          </w:rPr>
          <w:delText>Nem fertőzéses eredetű, kifekélyesedő vastagbélgyulladás (gyermek</w:delText>
        </w:r>
        <w:r w:rsidR="00D1233F" w:rsidRPr="00183B5F">
          <w:rPr>
            <w:szCs w:val="22"/>
          </w:rPr>
          <w:delText>- és serdülő</w:delText>
        </w:r>
        <w:r w:rsidRPr="00183B5F">
          <w:rPr>
            <w:szCs w:val="22"/>
          </w:rPr>
          <w:delText>kori kolitisz ulceróza)</w:delText>
        </w:r>
      </w:del>
    </w:p>
    <w:bookmarkEnd w:id="9962"/>
    <w:p w14:paraId="0F19AF55" w14:textId="5EB4AD79" w:rsidR="00906003" w:rsidRPr="00183B5F" w:rsidRDefault="00943743" w:rsidP="004062FE">
      <w:pPr>
        <w:numPr>
          <w:ilvl w:val="0"/>
          <w:numId w:val="76"/>
        </w:numPr>
        <w:suppressAutoHyphens w:val="0"/>
        <w:autoSpaceDE w:val="0"/>
        <w:autoSpaceDN w:val="0"/>
        <w:adjustRightInd w:val="0"/>
        <w:spacing w:line="240" w:lineRule="auto"/>
        <w:ind w:left="714" w:right="-2" w:hanging="357"/>
        <w:rPr>
          <w:del w:id="9964" w:author="AbbVie_HU_03" w:date="2025-05-14T16:39:00Z"/>
          <w:szCs w:val="22"/>
        </w:rPr>
      </w:pPr>
      <w:del w:id="9965" w:author="AbbVie_HU_03" w:date="2025-05-14T16:39:00Z">
        <w:r w:rsidRPr="00183B5F">
          <w:rPr>
            <w:szCs w:val="22"/>
          </w:rPr>
          <w:delText>Gyermekkori nem fertőzéses eredetű szemgyulladás (uveitisz)</w:delText>
        </w:r>
      </w:del>
    </w:p>
    <w:p w14:paraId="67680E71" w14:textId="546FD3D2" w:rsidR="00906003" w:rsidRPr="00183B5F" w:rsidRDefault="00906003" w:rsidP="004062FE">
      <w:pPr>
        <w:spacing w:line="240" w:lineRule="auto"/>
        <w:ind w:right="-2"/>
        <w:rPr>
          <w:del w:id="9966" w:author="AbbVie_HU_03" w:date="2025-05-14T16:39:00Z"/>
          <w:szCs w:val="22"/>
        </w:rPr>
      </w:pPr>
    </w:p>
    <w:p w14:paraId="1DFEF898" w14:textId="585DDC77" w:rsidR="00906003" w:rsidRPr="00183B5F" w:rsidRDefault="00943743" w:rsidP="004062FE">
      <w:pPr>
        <w:spacing w:line="240" w:lineRule="auto"/>
        <w:ind w:right="-2"/>
        <w:rPr>
          <w:del w:id="9967" w:author="AbbVie_HU_03" w:date="2025-05-14T16:39:00Z"/>
          <w:szCs w:val="22"/>
        </w:rPr>
      </w:pPr>
      <w:del w:id="9968" w:author="AbbVie_HU_03" w:date="2025-05-14T16:39:00Z">
        <w:r w:rsidRPr="00183B5F">
          <w:rPr>
            <w:szCs w:val="22"/>
          </w:rPr>
          <w:delText>A Humira hatóanyaga, az adalimumab egy emberi monoklonális antitest (ellenanyag). A monoklonális antitestek fehérjék, amelyek speciális célponthoz kötődnek.</w:delText>
        </w:r>
      </w:del>
    </w:p>
    <w:p w14:paraId="59939624" w14:textId="23DFB0F3" w:rsidR="00906003" w:rsidRPr="00183B5F" w:rsidRDefault="00906003" w:rsidP="004062FE">
      <w:pPr>
        <w:spacing w:line="240" w:lineRule="auto"/>
        <w:ind w:right="-2"/>
        <w:rPr>
          <w:del w:id="9969" w:author="AbbVie_HU_03" w:date="2025-05-14T16:39:00Z"/>
          <w:szCs w:val="22"/>
        </w:rPr>
      </w:pPr>
    </w:p>
    <w:p w14:paraId="0DF3C264" w14:textId="0BD56769" w:rsidR="00906003" w:rsidRPr="00183B5F" w:rsidRDefault="00943743" w:rsidP="004062FE">
      <w:pPr>
        <w:spacing w:line="240" w:lineRule="auto"/>
        <w:ind w:right="-2"/>
        <w:rPr>
          <w:del w:id="9970" w:author="AbbVie_HU_03" w:date="2025-05-14T16:39:00Z"/>
          <w:szCs w:val="22"/>
        </w:rPr>
      </w:pPr>
      <w:del w:id="9971" w:author="AbbVie_HU_03" w:date="2025-05-14T16:39:00Z">
        <w:r w:rsidRPr="00183B5F">
          <w:rPr>
            <w:szCs w:val="22"/>
          </w:rPr>
          <w:delText>Az adalim</w:delText>
        </w:r>
        <w:r w:rsidR="0036605D" w:rsidRPr="00183B5F">
          <w:rPr>
            <w:szCs w:val="22"/>
          </w:rPr>
          <w:delText>um</w:delText>
        </w:r>
        <w:r w:rsidRPr="00183B5F">
          <w:rPr>
            <w:szCs w:val="22"/>
          </w:rPr>
          <w:delText>ab célpontja a tumor nekrózis faktor (TNF</w:delText>
        </w:r>
        <w:r w:rsidRPr="00183B5F">
          <w:rPr>
            <w:noProof/>
            <w:color w:val="000000"/>
            <w:szCs w:val="22"/>
          </w:rPr>
          <w:delText>α</w:delText>
        </w:r>
        <w:r w:rsidRPr="00183B5F">
          <w:rPr>
            <w:szCs w:val="22"/>
          </w:rPr>
          <w:delText xml:space="preserve">) nevű fehérje, mely az immun (védekező) rendszer működésében vesz részt, és a fent felsorolt gyulladásos betegségekben </w:delText>
        </w:r>
        <w:r w:rsidR="00963A8B" w:rsidRPr="00183B5F">
          <w:rPr>
            <w:szCs w:val="22"/>
          </w:rPr>
          <w:delText>megnövekedett</w:delText>
        </w:r>
        <w:r w:rsidRPr="00183B5F">
          <w:rPr>
            <w:szCs w:val="22"/>
          </w:rPr>
          <w:delText xml:space="preserve"> mennyiségben van jelen. A TNF</w:delText>
        </w:r>
        <w:r w:rsidRPr="00183B5F">
          <w:rPr>
            <w:noProof/>
            <w:color w:val="000000"/>
            <w:szCs w:val="22"/>
          </w:rPr>
          <w:delText>α</w:delText>
        </w:r>
        <w:r w:rsidRPr="00183B5F">
          <w:rPr>
            <w:szCs w:val="22"/>
          </w:rPr>
          <w:noBreakHyphen/>
          <w:delText xml:space="preserve">hoz való kötődéssel a Humira csökkenti </w:delText>
        </w:r>
        <w:r w:rsidR="00AA665D" w:rsidRPr="00183B5F">
          <w:rPr>
            <w:szCs w:val="22"/>
          </w:rPr>
          <w:delText>ezen</w:delText>
        </w:r>
        <w:r w:rsidRPr="00183B5F">
          <w:rPr>
            <w:szCs w:val="22"/>
          </w:rPr>
          <w:delText xml:space="preserve"> betegségek</w:delText>
        </w:r>
        <w:r w:rsidR="00AA665D" w:rsidRPr="00183B5F">
          <w:rPr>
            <w:szCs w:val="22"/>
          </w:rPr>
          <w:delText xml:space="preserve"> gyulladásos folyamatait.</w:delText>
        </w:r>
      </w:del>
    </w:p>
    <w:p w14:paraId="5B752B9A" w14:textId="14ECD29B" w:rsidR="00963A8B" w:rsidRPr="00183B5F" w:rsidRDefault="00963A8B" w:rsidP="004062FE">
      <w:pPr>
        <w:spacing w:line="240" w:lineRule="auto"/>
        <w:ind w:right="-2"/>
        <w:rPr>
          <w:del w:id="9972" w:author="AbbVie_HU_03" w:date="2025-05-14T16:39:00Z"/>
          <w:szCs w:val="22"/>
          <w:u w:val="single"/>
        </w:rPr>
      </w:pPr>
    </w:p>
    <w:p w14:paraId="39169268" w14:textId="0DC13303" w:rsidR="00FB6710" w:rsidRPr="00183B5F" w:rsidRDefault="00943743" w:rsidP="00622AE7">
      <w:pPr>
        <w:keepNext/>
        <w:spacing w:line="240" w:lineRule="auto"/>
        <w:rPr>
          <w:del w:id="9973" w:author="AbbVie_HU_03" w:date="2025-05-14T16:39:00Z"/>
          <w:szCs w:val="22"/>
          <w:u w:val="single"/>
        </w:rPr>
      </w:pPr>
      <w:del w:id="9974" w:author="AbbVie_HU_03" w:date="2025-05-14T16:39:00Z">
        <w:r w:rsidRPr="00183B5F">
          <w:rPr>
            <w:szCs w:val="22"/>
            <w:u w:val="single"/>
          </w:rPr>
          <w:delText>Poliartikuláris juvenilis idiopátiás artritisz</w:delText>
        </w:r>
        <w:r w:rsidR="00476C69" w:rsidRPr="00183B5F">
          <w:rPr>
            <w:szCs w:val="22"/>
            <w:u w:val="single"/>
          </w:rPr>
          <w:delText xml:space="preserve"> és entezitisszel társult artritisz</w:delText>
        </w:r>
      </w:del>
    </w:p>
    <w:p w14:paraId="31FB62FE" w14:textId="47CEBF06" w:rsidR="00FB6710" w:rsidRPr="00183B5F" w:rsidRDefault="00FB6710" w:rsidP="00622AE7">
      <w:pPr>
        <w:keepNext/>
        <w:spacing w:line="240" w:lineRule="auto"/>
        <w:rPr>
          <w:del w:id="9975" w:author="AbbVie_HU_03" w:date="2025-05-14T16:39:00Z"/>
          <w:szCs w:val="22"/>
          <w:u w:val="single"/>
        </w:rPr>
      </w:pPr>
    </w:p>
    <w:p w14:paraId="1411817E" w14:textId="1681BB2E" w:rsidR="00185DD6" w:rsidRPr="00183B5F" w:rsidRDefault="00943743" w:rsidP="004062FE">
      <w:pPr>
        <w:spacing w:line="240" w:lineRule="auto"/>
        <w:ind w:right="-2"/>
        <w:rPr>
          <w:del w:id="9976" w:author="AbbVie_HU_03" w:date="2025-05-14T16:39:00Z"/>
          <w:szCs w:val="22"/>
        </w:rPr>
      </w:pPr>
      <w:del w:id="9977" w:author="AbbVie_HU_03" w:date="2025-05-14T16:39:00Z">
        <w:r w:rsidRPr="00183B5F">
          <w:rPr>
            <w:szCs w:val="22"/>
          </w:rPr>
          <w:delText>A gyermekkori</w:delText>
        </w:r>
        <w:r w:rsidR="00996289" w:rsidRPr="00183B5F">
          <w:rPr>
            <w:szCs w:val="22"/>
          </w:rPr>
          <w:delText>,</w:delText>
        </w:r>
        <w:r w:rsidRPr="00183B5F">
          <w:rPr>
            <w:szCs w:val="22"/>
          </w:rPr>
          <w:delText xml:space="preserve"> ismeretlen eredetű sokízületi gyulladás és az </w:delText>
        </w:r>
        <w:r w:rsidR="00E3515C" w:rsidRPr="00183B5F">
          <w:rPr>
            <w:szCs w:val="22"/>
          </w:rPr>
          <w:delText>i</w:delText>
        </w:r>
        <w:r w:rsidRPr="00183B5F">
          <w:rPr>
            <w:szCs w:val="22"/>
          </w:rPr>
          <w:delText>nak tapadási hely</w:delText>
        </w:r>
        <w:r w:rsidR="00E3515C" w:rsidRPr="00183B5F">
          <w:rPr>
            <w:szCs w:val="22"/>
          </w:rPr>
          <w:delText>é</w:delText>
        </w:r>
        <w:r w:rsidRPr="00183B5F">
          <w:rPr>
            <w:szCs w:val="22"/>
          </w:rPr>
          <w:delText>nek gyulladásos elváltozásával társult reumás ízületi gyulladás, gyulladásos betegségek.</w:delText>
        </w:r>
      </w:del>
    </w:p>
    <w:p w14:paraId="7EA182BB" w14:textId="09F68697" w:rsidR="00185DD6" w:rsidRPr="00183B5F" w:rsidRDefault="00185DD6" w:rsidP="004062FE">
      <w:pPr>
        <w:spacing w:line="240" w:lineRule="auto"/>
        <w:ind w:right="-2"/>
        <w:rPr>
          <w:del w:id="9978" w:author="AbbVie_HU_03" w:date="2025-05-14T16:39:00Z"/>
          <w:szCs w:val="22"/>
          <w:u w:val="single"/>
        </w:rPr>
      </w:pPr>
    </w:p>
    <w:p w14:paraId="15213679" w14:textId="14F06971" w:rsidR="00FB6710" w:rsidRPr="00183B5F" w:rsidRDefault="00943743" w:rsidP="00DA71A8">
      <w:pPr>
        <w:spacing w:line="240" w:lineRule="auto"/>
        <w:ind w:right="-2"/>
        <w:rPr>
          <w:del w:id="9979" w:author="AbbVie_HU_03" w:date="2025-05-14T16:39:00Z"/>
          <w:szCs w:val="22"/>
        </w:rPr>
      </w:pPr>
      <w:del w:id="9980" w:author="AbbVie_HU_03" w:date="2025-05-14T16:39:00Z">
        <w:r w:rsidRPr="00183B5F">
          <w:rPr>
            <w:szCs w:val="22"/>
          </w:rPr>
          <w:delText xml:space="preserve">A Humira alkalmazható a gyermekkori ismeretlen eredetű sokízületi gyulladás (poliartikuláris juvenilis idiopátiás artritisz) </w:delText>
        </w:r>
        <w:r w:rsidR="00476C69" w:rsidRPr="00183B5F">
          <w:rPr>
            <w:szCs w:val="22"/>
          </w:rPr>
          <w:delText xml:space="preserve">és az </w:delText>
        </w:r>
        <w:r w:rsidR="00E3515C" w:rsidRPr="00183B5F">
          <w:rPr>
            <w:szCs w:val="22"/>
          </w:rPr>
          <w:delText>i</w:delText>
        </w:r>
        <w:r w:rsidR="00476C69" w:rsidRPr="00183B5F">
          <w:rPr>
            <w:szCs w:val="22"/>
          </w:rPr>
          <w:delText>n</w:delText>
        </w:r>
        <w:r w:rsidR="00EB22A0" w:rsidRPr="00183B5F">
          <w:rPr>
            <w:szCs w:val="22"/>
          </w:rPr>
          <w:delText xml:space="preserve">ak </w:delText>
        </w:r>
        <w:r w:rsidR="00476C69" w:rsidRPr="00183B5F">
          <w:rPr>
            <w:szCs w:val="22"/>
          </w:rPr>
          <w:delText>tapadási hely</w:delText>
        </w:r>
        <w:r w:rsidR="00E3515C" w:rsidRPr="00183B5F">
          <w:rPr>
            <w:szCs w:val="22"/>
          </w:rPr>
          <w:delText>é</w:delText>
        </w:r>
        <w:r w:rsidR="00EB22A0" w:rsidRPr="00183B5F">
          <w:rPr>
            <w:szCs w:val="22"/>
          </w:rPr>
          <w:delText>ne</w:delText>
        </w:r>
        <w:r w:rsidR="00476C69" w:rsidRPr="00183B5F">
          <w:rPr>
            <w:szCs w:val="22"/>
          </w:rPr>
          <w:delText xml:space="preserve">k gyulladásos elváltozásával társult reumás ízületi gyulladás (entezitisszel társult artritisz) </w:delText>
        </w:r>
        <w:r w:rsidRPr="00183B5F">
          <w:rPr>
            <w:szCs w:val="22"/>
          </w:rPr>
          <w:delText xml:space="preserve">kezelésére. </w:delText>
        </w:r>
        <w:r w:rsidR="00072DD8" w:rsidRPr="00183B5F">
          <w:rPr>
            <w:szCs w:val="22"/>
          </w:rPr>
          <w:delText>Gyermeke</w:delText>
        </w:r>
        <w:r w:rsidR="00906003" w:rsidRPr="00183B5F">
          <w:rPr>
            <w:szCs w:val="22"/>
          </w:rPr>
          <w:delText xml:space="preserve"> </w:delText>
        </w:r>
        <w:r w:rsidR="009461A5" w:rsidRPr="00183B5F">
          <w:rPr>
            <w:szCs w:val="22"/>
          </w:rPr>
          <w:delText>e</w:delText>
        </w:r>
        <w:r w:rsidRPr="00183B5F">
          <w:rPr>
            <w:szCs w:val="22"/>
          </w:rPr>
          <w:delText>lőször egyéb betegséget módosító gyógyszereket (</w:delText>
        </w:r>
        <w:r w:rsidR="00F15477" w:rsidRPr="00183B5F">
          <w:rPr>
            <w:bCs/>
            <w:szCs w:val="22"/>
          </w:rPr>
          <w:delText>például</w:delText>
        </w:r>
        <w:r w:rsidRPr="00183B5F">
          <w:rPr>
            <w:szCs w:val="22"/>
          </w:rPr>
          <w:delText xml:space="preserve"> metotrexátot) kaphat. </w:delText>
        </w:r>
        <w:r w:rsidR="00906003" w:rsidRPr="00183B5F">
          <w:rPr>
            <w:szCs w:val="22"/>
          </w:rPr>
          <w:delText xml:space="preserve">Ha ezek a gyógyszerek nem hatnak megfelelően, akkor fog </w:delText>
        </w:r>
        <w:r w:rsidR="00072DD8" w:rsidRPr="00183B5F">
          <w:rPr>
            <w:szCs w:val="22"/>
          </w:rPr>
          <w:delText xml:space="preserve">gyermeke </w:delText>
        </w:r>
        <w:r w:rsidR="007C6B99" w:rsidRPr="00183B5F">
          <w:rPr>
            <w:szCs w:val="22"/>
          </w:rPr>
          <w:delText xml:space="preserve">a </w:delText>
        </w:r>
        <w:r w:rsidRPr="00183B5F">
          <w:rPr>
            <w:szCs w:val="22"/>
          </w:rPr>
          <w:delText xml:space="preserve">poliartikuláris juvenilis idiopátiás artritisz </w:delText>
        </w:r>
        <w:r w:rsidR="00476C69" w:rsidRPr="00183B5F">
          <w:rPr>
            <w:szCs w:val="22"/>
          </w:rPr>
          <w:delText xml:space="preserve">és az entezitisszel társult artritisz </w:delText>
        </w:r>
        <w:r w:rsidRPr="00183B5F">
          <w:rPr>
            <w:szCs w:val="22"/>
          </w:rPr>
          <w:delText>kezelésére</w:delText>
        </w:r>
        <w:r w:rsidR="00963A8B" w:rsidRPr="00183B5F">
          <w:rPr>
            <w:szCs w:val="22"/>
          </w:rPr>
          <w:delText xml:space="preserve"> Humira</w:delText>
        </w:r>
        <w:r w:rsidR="00963A8B" w:rsidRPr="00183B5F">
          <w:rPr>
            <w:szCs w:val="22"/>
          </w:rPr>
          <w:noBreakHyphen/>
          <w:delText>t kapni</w:delText>
        </w:r>
        <w:r w:rsidR="00906003" w:rsidRPr="00183B5F">
          <w:rPr>
            <w:szCs w:val="22"/>
          </w:rPr>
          <w:delText>.</w:delText>
        </w:r>
      </w:del>
    </w:p>
    <w:p w14:paraId="36338138" w14:textId="6609C01B" w:rsidR="0002138C" w:rsidRPr="00183B5F" w:rsidRDefault="0002138C">
      <w:pPr>
        <w:suppressAutoHyphens w:val="0"/>
        <w:autoSpaceDE w:val="0"/>
        <w:autoSpaceDN w:val="0"/>
        <w:adjustRightInd w:val="0"/>
        <w:spacing w:line="240" w:lineRule="auto"/>
        <w:rPr>
          <w:del w:id="9981" w:author="AbbVie_HU_03" w:date="2025-05-14T16:39:00Z"/>
          <w:bCs/>
          <w:szCs w:val="22"/>
        </w:rPr>
      </w:pPr>
    </w:p>
    <w:p w14:paraId="70F12333" w14:textId="6826F13F" w:rsidR="00185DD6" w:rsidRPr="00183B5F" w:rsidRDefault="00943743">
      <w:pPr>
        <w:suppressAutoHyphens w:val="0"/>
        <w:autoSpaceDE w:val="0"/>
        <w:autoSpaceDN w:val="0"/>
        <w:adjustRightInd w:val="0"/>
        <w:spacing w:line="240" w:lineRule="auto"/>
        <w:rPr>
          <w:del w:id="9982" w:author="AbbVie_HU_03" w:date="2025-05-14T16:39:00Z"/>
          <w:bCs/>
          <w:szCs w:val="22"/>
          <w:u w:val="single"/>
        </w:rPr>
      </w:pPr>
      <w:del w:id="9983" w:author="AbbVie_HU_03" w:date="2025-05-14T16:39:00Z">
        <w:r w:rsidRPr="00183B5F">
          <w:rPr>
            <w:bCs/>
            <w:szCs w:val="22"/>
            <w:u w:val="single"/>
          </w:rPr>
          <w:delText xml:space="preserve">Gyermekkori plakkos </w:delText>
        </w:r>
        <w:r w:rsidR="00424544" w:rsidRPr="00183B5F">
          <w:rPr>
            <w:bCs/>
            <w:szCs w:val="22"/>
            <w:u w:val="single"/>
          </w:rPr>
          <w:delText>pikkelysömör (</w:delText>
        </w:r>
        <w:r w:rsidR="002F10ED" w:rsidRPr="00183B5F">
          <w:rPr>
            <w:bCs/>
            <w:szCs w:val="22"/>
            <w:u w:val="single"/>
          </w:rPr>
          <w:delText>pszoriázis</w:delText>
        </w:r>
        <w:r w:rsidR="00424544" w:rsidRPr="00183B5F">
          <w:rPr>
            <w:bCs/>
            <w:szCs w:val="22"/>
            <w:u w:val="single"/>
          </w:rPr>
          <w:delText>)</w:delText>
        </w:r>
      </w:del>
    </w:p>
    <w:p w14:paraId="6DE03DE8" w14:textId="3901E523" w:rsidR="00185DD6" w:rsidRPr="00183B5F" w:rsidRDefault="00185DD6">
      <w:pPr>
        <w:suppressAutoHyphens w:val="0"/>
        <w:autoSpaceDE w:val="0"/>
        <w:autoSpaceDN w:val="0"/>
        <w:adjustRightInd w:val="0"/>
        <w:spacing w:line="240" w:lineRule="auto"/>
        <w:rPr>
          <w:del w:id="9984" w:author="AbbVie_HU_03" w:date="2025-05-14T16:39:00Z"/>
          <w:bCs/>
          <w:szCs w:val="22"/>
        </w:rPr>
      </w:pPr>
    </w:p>
    <w:p w14:paraId="4EB3DA27" w14:textId="4C86CB06" w:rsidR="00185DD6" w:rsidRPr="00183B5F" w:rsidRDefault="00943743">
      <w:pPr>
        <w:suppressAutoHyphens w:val="0"/>
        <w:autoSpaceDE w:val="0"/>
        <w:autoSpaceDN w:val="0"/>
        <w:adjustRightInd w:val="0"/>
        <w:spacing w:line="240" w:lineRule="auto"/>
        <w:rPr>
          <w:del w:id="9985" w:author="AbbVie_HU_03" w:date="2025-05-14T16:39:00Z"/>
          <w:bCs/>
          <w:szCs w:val="22"/>
        </w:rPr>
      </w:pPr>
      <w:del w:id="9986" w:author="AbbVie_HU_03" w:date="2025-05-14T16:39:00Z">
        <w:r w:rsidRPr="00183B5F">
          <w:rPr>
            <w:bCs/>
            <w:szCs w:val="22"/>
          </w:rPr>
          <w:delText xml:space="preserve">A plakkos </w:delText>
        </w:r>
        <w:r w:rsidR="002F10ED" w:rsidRPr="00183B5F">
          <w:rPr>
            <w:bCs/>
            <w:szCs w:val="22"/>
          </w:rPr>
          <w:delText>pszoriázis</w:delText>
        </w:r>
        <w:r w:rsidR="00424544" w:rsidRPr="00183B5F">
          <w:rPr>
            <w:bCs/>
            <w:szCs w:val="22"/>
          </w:rPr>
          <w:delText xml:space="preserve"> </w:delText>
        </w:r>
        <w:r w:rsidRPr="00183B5F">
          <w:rPr>
            <w:bCs/>
            <w:szCs w:val="22"/>
          </w:rPr>
          <w:delText>egy bőrbetegség, am</w:delText>
        </w:r>
        <w:r w:rsidR="00996289" w:rsidRPr="00183B5F">
          <w:rPr>
            <w:bCs/>
            <w:szCs w:val="22"/>
          </w:rPr>
          <w:delText>ely</w:delText>
        </w:r>
        <w:r w:rsidRPr="00183B5F">
          <w:rPr>
            <w:bCs/>
            <w:szCs w:val="22"/>
          </w:rPr>
          <w:delText xml:space="preserve"> ezüstös pikkelyekkel borított piros, hámló, kérges foltokat okoz a bőrön.</w:delText>
        </w:r>
        <w:r w:rsidR="00906003" w:rsidRPr="00183B5F">
          <w:rPr>
            <w:bCs/>
            <w:szCs w:val="22"/>
          </w:rPr>
          <w:delText xml:space="preserve"> </w:delText>
        </w:r>
        <w:r w:rsidR="004B3EC9" w:rsidRPr="00183B5F">
          <w:rPr>
            <w:szCs w:val="22"/>
          </w:rPr>
          <w:delText>A plakkos pszoriázis a körmöket is érintheti a köröm töredezését, megvastagodását, a körömágytól való elválását okozva</w:delText>
        </w:r>
        <w:r w:rsidR="00906003" w:rsidRPr="00183B5F">
          <w:rPr>
            <w:szCs w:val="22"/>
          </w:rPr>
          <w:delText>, ami fájdalmas lehet.</w:delText>
        </w:r>
        <w:r w:rsidR="00963A8B" w:rsidRPr="00183B5F">
          <w:rPr>
            <w:bCs/>
            <w:szCs w:val="22"/>
          </w:rPr>
          <w:delText xml:space="preserve"> A pszoriázist vélhetően a szervezet immunrendszerének hibája okozza, amely a bőrsejtek fokozott termelődéséhez vezet.</w:delText>
        </w:r>
      </w:del>
    </w:p>
    <w:p w14:paraId="64C4E128" w14:textId="6A2789CE" w:rsidR="009A59FE" w:rsidRPr="00183B5F" w:rsidRDefault="009A59FE">
      <w:pPr>
        <w:suppressAutoHyphens w:val="0"/>
        <w:autoSpaceDE w:val="0"/>
        <w:autoSpaceDN w:val="0"/>
        <w:adjustRightInd w:val="0"/>
        <w:spacing w:line="240" w:lineRule="auto"/>
        <w:rPr>
          <w:del w:id="9987" w:author="AbbVie_HU_03" w:date="2025-05-14T16:39:00Z"/>
          <w:bCs/>
          <w:szCs w:val="22"/>
        </w:rPr>
      </w:pPr>
    </w:p>
    <w:p w14:paraId="6FFEB74F" w14:textId="0F05AE1F" w:rsidR="009A59FE" w:rsidRPr="00183B5F" w:rsidRDefault="00943743">
      <w:pPr>
        <w:suppressAutoHyphens w:val="0"/>
        <w:autoSpaceDE w:val="0"/>
        <w:autoSpaceDN w:val="0"/>
        <w:adjustRightInd w:val="0"/>
        <w:spacing w:line="240" w:lineRule="auto"/>
        <w:rPr>
          <w:del w:id="9988" w:author="AbbVie_HU_03" w:date="2025-05-14T16:39:00Z"/>
          <w:bCs/>
          <w:szCs w:val="22"/>
        </w:rPr>
      </w:pPr>
      <w:del w:id="9989" w:author="AbbVie_HU_03" w:date="2025-05-14T16:39:00Z">
        <w:r w:rsidRPr="00183B5F">
          <w:rPr>
            <w:bCs/>
            <w:szCs w:val="22"/>
          </w:rPr>
          <w:delText xml:space="preserve">A Humira alkalmazható súlyos plakkos </w:delText>
        </w:r>
        <w:r w:rsidR="00591DB1" w:rsidRPr="00183B5F">
          <w:rPr>
            <w:bCs/>
            <w:szCs w:val="22"/>
          </w:rPr>
          <w:delText>pszoriázisban</w:delText>
        </w:r>
        <w:r w:rsidR="00E7074D" w:rsidRPr="00183B5F">
          <w:rPr>
            <w:bCs/>
            <w:szCs w:val="22"/>
          </w:rPr>
          <w:delText xml:space="preserve"> szenvedő</w:delText>
        </w:r>
        <w:r w:rsidR="00996289" w:rsidRPr="00183B5F">
          <w:rPr>
            <w:bCs/>
            <w:szCs w:val="22"/>
          </w:rPr>
          <w:delText>,</w:delText>
        </w:r>
        <w:r w:rsidR="00E7074D" w:rsidRPr="00183B5F">
          <w:rPr>
            <w:bCs/>
            <w:szCs w:val="22"/>
          </w:rPr>
          <w:delText xml:space="preserve"> </w:delText>
        </w:r>
        <w:r w:rsidR="002F10ED" w:rsidRPr="00183B5F">
          <w:rPr>
            <w:bCs/>
            <w:szCs w:val="22"/>
          </w:rPr>
          <w:delText>4</w:delText>
        </w:r>
        <w:r w:rsidR="002F10ED" w:rsidRPr="00183B5F">
          <w:rPr>
            <w:bCs/>
            <w:szCs w:val="22"/>
          </w:rPr>
          <w:noBreakHyphen/>
          <w:delText xml:space="preserve">17 év közötti </w:delText>
        </w:r>
        <w:r w:rsidR="00E7074D" w:rsidRPr="00183B5F">
          <w:rPr>
            <w:bCs/>
            <w:szCs w:val="22"/>
          </w:rPr>
          <w:delText>gyer</w:delText>
        </w:r>
        <w:r w:rsidR="002F10ED" w:rsidRPr="00183B5F">
          <w:rPr>
            <w:bCs/>
            <w:szCs w:val="22"/>
          </w:rPr>
          <w:delText>m</w:delText>
        </w:r>
        <w:r w:rsidR="00E7074D" w:rsidRPr="00183B5F">
          <w:rPr>
            <w:bCs/>
            <w:szCs w:val="22"/>
          </w:rPr>
          <w:delText xml:space="preserve">ekeknél és </w:delText>
        </w:r>
        <w:r w:rsidRPr="00183B5F">
          <w:rPr>
            <w:bCs/>
            <w:szCs w:val="22"/>
          </w:rPr>
          <w:delText xml:space="preserve">serdülőknél, akiknél </w:delText>
        </w:r>
        <w:r w:rsidR="00EF6608" w:rsidRPr="00183B5F">
          <w:rPr>
            <w:bCs/>
            <w:szCs w:val="22"/>
          </w:rPr>
          <w:delText>a helyi kezelés</w:delText>
        </w:r>
        <w:r w:rsidR="00996289" w:rsidRPr="00183B5F">
          <w:rPr>
            <w:bCs/>
            <w:szCs w:val="22"/>
          </w:rPr>
          <w:delText>,</w:delText>
        </w:r>
        <w:r w:rsidR="00EF6608" w:rsidRPr="00183B5F">
          <w:rPr>
            <w:bCs/>
            <w:szCs w:val="22"/>
          </w:rPr>
          <w:delText xml:space="preserve"> </w:delText>
        </w:r>
        <w:r w:rsidR="00A967B4" w:rsidRPr="00183B5F">
          <w:rPr>
            <w:bCs/>
            <w:szCs w:val="22"/>
          </w:rPr>
          <w:delText>és</w:delText>
        </w:r>
        <w:r w:rsidR="00EF6608" w:rsidRPr="00183B5F">
          <w:rPr>
            <w:bCs/>
            <w:szCs w:val="22"/>
          </w:rPr>
          <w:delText xml:space="preserve"> </w:delText>
        </w:r>
        <w:r w:rsidR="00996289" w:rsidRPr="00183B5F">
          <w:rPr>
            <w:bCs/>
            <w:szCs w:val="22"/>
          </w:rPr>
          <w:delText xml:space="preserve">a </w:delText>
        </w:r>
        <w:r w:rsidR="00EF6608" w:rsidRPr="00183B5F">
          <w:rPr>
            <w:bCs/>
            <w:szCs w:val="22"/>
          </w:rPr>
          <w:delText>fényterápiák</w:delText>
        </w:r>
        <w:r w:rsidRPr="00183B5F">
          <w:rPr>
            <w:bCs/>
            <w:szCs w:val="22"/>
          </w:rPr>
          <w:delText xml:space="preserve"> nem használt</w:delText>
        </w:r>
        <w:r w:rsidR="002F10ED" w:rsidRPr="00183B5F">
          <w:rPr>
            <w:bCs/>
            <w:szCs w:val="22"/>
          </w:rPr>
          <w:delText>ak</w:delText>
        </w:r>
        <w:r w:rsidR="00996289" w:rsidRPr="00183B5F">
          <w:rPr>
            <w:bCs/>
            <w:szCs w:val="22"/>
          </w:rPr>
          <w:delText>,</w:delText>
        </w:r>
        <w:r w:rsidRPr="00183B5F">
          <w:rPr>
            <w:bCs/>
            <w:szCs w:val="22"/>
          </w:rPr>
          <w:delText xml:space="preserve"> vagy nem </w:delText>
        </w:r>
        <w:r w:rsidR="002F10ED" w:rsidRPr="00183B5F">
          <w:rPr>
            <w:bCs/>
            <w:szCs w:val="22"/>
          </w:rPr>
          <w:delText>alkalmazhatóak</w:delText>
        </w:r>
        <w:r w:rsidRPr="00183B5F">
          <w:rPr>
            <w:bCs/>
            <w:szCs w:val="22"/>
          </w:rPr>
          <w:delText>.</w:delText>
        </w:r>
      </w:del>
    </w:p>
    <w:p w14:paraId="19CB549A" w14:textId="67F5A25E" w:rsidR="00C3286D" w:rsidRPr="00183B5F" w:rsidRDefault="00C3286D">
      <w:pPr>
        <w:suppressAutoHyphens w:val="0"/>
        <w:autoSpaceDE w:val="0"/>
        <w:autoSpaceDN w:val="0"/>
        <w:adjustRightInd w:val="0"/>
        <w:spacing w:line="240" w:lineRule="auto"/>
        <w:rPr>
          <w:del w:id="9990" w:author="AbbVie_HU_03" w:date="2025-05-14T16:39:00Z"/>
          <w:bCs/>
          <w:szCs w:val="22"/>
        </w:rPr>
      </w:pPr>
    </w:p>
    <w:p w14:paraId="28795803" w14:textId="02F84CAE" w:rsidR="00C3286D" w:rsidRPr="00183B5F" w:rsidRDefault="00943743">
      <w:pPr>
        <w:suppressAutoHyphens w:val="0"/>
        <w:autoSpaceDE w:val="0"/>
        <w:autoSpaceDN w:val="0"/>
        <w:adjustRightInd w:val="0"/>
        <w:spacing w:line="240" w:lineRule="auto"/>
        <w:rPr>
          <w:del w:id="9991" w:author="AbbVie_HU_03" w:date="2025-05-14T16:39:00Z"/>
          <w:bCs/>
          <w:szCs w:val="22"/>
          <w:u w:val="single"/>
        </w:rPr>
      </w:pPr>
      <w:del w:id="9992" w:author="AbbVie_HU_03" w:date="2025-05-14T16:39:00Z">
        <w:r w:rsidRPr="00183B5F">
          <w:rPr>
            <w:bCs/>
            <w:szCs w:val="22"/>
            <w:u w:val="single"/>
          </w:rPr>
          <w:delText>Serdülőkori hidradenitisz szuppurat</w:delText>
        </w:r>
        <w:r w:rsidR="00BD3F27" w:rsidRPr="00183B5F">
          <w:rPr>
            <w:bCs/>
            <w:szCs w:val="22"/>
            <w:u w:val="single"/>
          </w:rPr>
          <w:delText>í</w:delText>
        </w:r>
        <w:r w:rsidRPr="00183B5F">
          <w:rPr>
            <w:bCs/>
            <w:szCs w:val="22"/>
            <w:u w:val="single"/>
          </w:rPr>
          <w:delText>va</w:delText>
        </w:r>
      </w:del>
    </w:p>
    <w:p w14:paraId="52322A2E" w14:textId="0AA25F78" w:rsidR="00C3286D" w:rsidRPr="00183B5F" w:rsidRDefault="00C3286D">
      <w:pPr>
        <w:suppressAutoHyphens w:val="0"/>
        <w:autoSpaceDE w:val="0"/>
        <w:autoSpaceDN w:val="0"/>
        <w:adjustRightInd w:val="0"/>
        <w:spacing w:line="240" w:lineRule="auto"/>
        <w:rPr>
          <w:del w:id="9993" w:author="AbbVie_HU_03" w:date="2025-05-14T16:39:00Z"/>
          <w:bCs/>
          <w:szCs w:val="22"/>
          <w:u w:val="single"/>
        </w:rPr>
      </w:pPr>
    </w:p>
    <w:p w14:paraId="6988FE4D" w14:textId="614A8A1C" w:rsidR="00C3286D" w:rsidRPr="00183B5F" w:rsidRDefault="00943743" w:rsidP="004062FE">
      <w:pPr>
        <w:spacing w:line="240" w:lineRule="auto"/>
        <w:ind w:right="-2"/>
        <w:rPr>
          <w:del w:id="9994" w:author="AbbVie_HU_03" w:date="2025-05-14T16:39:00Z"/>
          <w:bCs/>
          <w:szCs w:val="22"/>
        </w:rPr>
      </w:pPr>
      <w:del w:id="9995" w:author="AbbVie_HU_03" w:date="2025-05-14T16:39:00Z">
        <w:r w:rsidRPr="00183B5F">
          <w:rPr>
            <w:bCs/>
            <w:szCs w:val="22"/>
          </w:rPr>
          <w:delText xml:space="preserve">A </w:delText>
        </w:r>
        <w:r w:rsidRPr="00183B5F">
          <w:rPr>
            <w:szCs w:val="22"/>
          </w:rPr>
          <w:delText>hidradenitisz szuppuratíva</w:delText>
        </w:r>
        <w:r w:rsidRPr="00183B5F">
          <w:rPr>
            <w:bCs/>
            <w:szCs w:val="22"/>
          </w:rPr>
          <w:delText xml:space="preserve"> (más néven inverz akne) egy krónikus és gyakran fájdalmas, gyulladásos bőrbetegség. A tünetek közé tartozhatnak a bőr alatti gócok (csomók) és tályogok (kelések), melyekből genny szivároghat. Ez leggyakrabban a bőr bizonyos területein jelenik meg, </w:delText>
        </w:r>
        <w:r w:rsidR="00F15477" w:rsidRPr="00183B5F">
          <w:rPr>
            <w:bCs/>
            <w:szCs w:val="22"/>
          </w:rPr>
          <w:delText>például</w:delText>
        </w:r>
        <w:r w:rsidRPr="00183B5F">
          <w:rPr>
            <w:bCs/>
            <w:szCs w:val="22"/>
          </w:rPr>
          <w:delText> a mellek alatt, hónaljban, a combok belső felszínén, lágyékon és fenéken. Hegesedés is előfordulhat az érintett területeken.</w:delText>
        </w:r>
      </w:del>
    </w:p>
    <w:p w14:paraId="4790B6C6" w14:textId="03A14DEF" w:rsidR="00C3286D" w:rsidRPr="00183B5F" w:rsidRDefault="00C3286D" w:rsidP="004062FE">
      <w:pPr>
        <w:spacing w:line="240" w:lineRule="auto"/>
        <w:ind w:right="-2"/>
        <w:rPr>
          <w:del w:id="9996" w:author="AbbVie_HU_03" w:date="2025-05-14T16:39:00Z"/>
          <w:bCs/>
          <w:szCs w:val="22"/>
        </w:rPr>
      </w:pPr>
    </w:p>
    <w:p w14:paraId="15C0ABDD" w14:textId="01F47758" w:rsidR="00C3286D" w:rsidRPr="00183B5F" w:rsidRDefault="00943743" w:rsidP="004062FE">
      <w:pPr>
        <w:spacing w:line="240" w:lineRule="auto"/>
        <w:ind w:right="-2"/>
        <w:rPr>
          <w:del w:id="9997" w:author="AbbVie_HU_03" w:date="2025-05-14T16:39:00Z"/>
          <w:bCs/>
          <w:szCs w:val="22"/>
        </w:rPr>
      </w:pPr>
      <w:del w:id="9998" w:author="AbbVie_HU_03" w:date="2025-05-14T16:39:00Z">
        <w:r w:rsidRPr="00183B5F">
          <w:rPr>
            <w:bCs/>
            <w:szCs w:val="22"/>
          </w:rPr>
          <w:delText xml:space="preserve">A Humira hidradenitisz szuppuratívában szenvedő serdülők kezelésére alkalmazható 12 éves kortól. A Humira csökkenti a csomók és tályogok számát és a fájdalmat, </w:delText>
        </w:r>
        <w:r w:rsidR="00BD3F27" w:rsidRPr="00183B5F">
          <w:rPr>
            <w:bCs/>
            <w:szCs w:val="22"/>
          </w:rPr>
          <w:delText>ami</w:delText>
        </w:r>
        <w:r w:rsidRPr="00183B5F">
          <w:rPr>
            <w:bCs/>
            <w:szCs w:val="22"/>
          </w:rPr>
          <w:delText xml:space="preserve"> gyakran jár együtt a betegséggel. </w:delText>
        </w:r>
      </w:del>
    </w:p>
    <w:p w14:paraId="1B8E0046" w14:textId="1809B858" w:rsidR="00C3286D" w:rsidRPr="00183B5F" w:rsidRDefault="00943743">
      <w:pPr>
        <w:suppressAutoHyphens w:val="0"/>
        <w:autoSpaceDE w:val="0"/>
        <w:autoSpaceDN w:val="0"/>
        <w:adjustRightInd w:val="0"/>
        <w:spacing w:line="240" w:lineRule="auto"/>
        <w:rPr>
          <w:del w:id="9999" w:author="AbbVie_HU_03" w:date="2025-05-14T16:39:00Z"/>
          <w:bCs/>
          <w:szCs w:val="22"/>
        </w:rPr>
      </w:pPr>
      <w:del w:id="10000" w:author="AbbVie_HU_03" w:date="2025-05-14T16:39:00Z">
        <w:r w:rsidRPr="00183B5F">
          <w:rPr>
            <w:bCs/>
            <w:szCs w:val="22"/>
          </w:rPr>
          <w:delText>Önnek először más gyógyszereket adhatnak. Ha Ön nem reagál megfelelően ezekre a gyógyszerekre, Humira-t fog kapni.</w:delText>
        </w:r>
      </w:del>
    </w:p>
    <w:p w14:paraId="31AD3FBE" w14:textId="47F1B8E6" w:rsidR="00906003" w:rsidRPr="00183B5F" w:rsidRDefault="00906003">
      <w:pPr>
        <w:suppressAutoHyphens w:val="0"/>
        <w:autoSpaceDE w:val="0"/>
        <w:autoSpaceDN w:val="0"/>
        <w:adjustRightInd w:val="0"/>
        <w:spacing w:line="240" w:lineRule="auto"/>
        <w:rPr>
          <w:del w:id="10001" w:author="AbbVie_HU_03" w:date="2025-05-14T16:39:00Z"/>
          <w:bCs/>
          <w:szCs w:val="22"/>
        </w:rPr>
      </w:pPr>
    </w:p>
    <w:p w14:paraId="5E732C58" w14:textId="38B7D31A" w:rsidR="00906003" w:rsidRPr="00183B5F" w:rsidRDefault="00943743">
      <w:pPr>
        <w:keepNext/>
        <w:suppressAutoHyphens w:val="0"/>
        <w:autoSpaceDE w:val="0"/>
        <w:autoSpaceDN w:val="0"/>
        <w:adjustRightInd w:val="0"/>
        <w:spacing w:line="240" w:lineRule="auto"/>
        <w:rPr>
          <w:del w:id="10002" w:author="AbbVie_HU_03" w:date="2025-05-14T16:39:00Z"/>
          <w:bCs/>
          <w:szCs w:val="22"/>
          <w:u w:val="single"/>
        </w:rPr>
      </w:pPr>
      <w:del w:id="10003" w:author="AbbVie_HU_03" w:date="2025-05-14T16:39:00Z">
        <w:r w:rsidRPr="00183B5F">
          <w:rPr>
            <w:bCs/>
            <w:szCs w:val="22"/>
            <w:u w:val="single"/>
          </w:rPr>
          <w:delText>Gyermekkori Crohn</w:delText>
        </w:r>
        <w:r w:rsidRPr="00183B5F">
          <w:rPr>
            <w:bCs/>
            <w:szCs w:val="22"/>
            <w:u w:val="single"/>
          </w:rPr>
          <w:noBreakHyphen/>
          <w:delText>betegség</w:delText>
        </w:r>
      </w:del>
    </w:p>
    <w:p w14:paraId="03792163" w14:textId="7F2A4DEE" w:rsidR="00906003" w:rsidRPr="00183B5F" w:rsidRDefault="00906003">
      <w:pPr>
        <w:keepNext/>
        <w:suppressAutoHyphens w:val="0"/>
        <w:autoSpaceDE w:val="0"/>
        <w:autoSpaceDN w:val="0"/>
        <w:adjustRightInd w:val="0"/>
        <w:spacing w:line="240" w:lineRule="auto"/>
        <w:rPr>
          <w:del w:id="10004" w:author="AbbVie_HU_03" w:date="2025-05-14T16:39:00Z"/>
          <w:bCs/>
          <w:szCs w:val="22"/>
          <w:u w:val="single"/>
        </w:rPr>
      </w:pPr>
    </w:p>
    <w:p w14:paraId="59027847" w14:textId="62D1A245" w:rsidR="00906003" w:rsidRPr="00183B5F" w:rsidRDefault="00943743">
      <w:pPr>
        <w:keepNext/>
        <w:suppressAutoHyphens w:val="0"/>
        <w:autoSpaceDE w:val="0"/>
        <w:autoSpaceDN w:val="0"/>
        <w:adjustRightInd w:val="0"/>
        <w:spacing w:line="240" w:lineRule="auto"/>
        <w:rPr>
          <w:del w:id="10005" w:author="AbbVie_HU_03" w:date="2025-05-14T16:39:00Z"/>
          <w:bCs/>
          <w:szCs w:val="22"/>
        </w:rPr>
      </w:pPr>
      <w:del w:id="10006" w:author="AbbVie_HU_03" w:date="2025-05-14T16:39:00Z">
        <w:r w:rsidRPr="00183B5F">
          <w:rPr>
            <w:bCs/>
            <w:szCs w:val="22"/>
          </w:rPr>
          <w:delText>A Crohn</w:delText>
        </w:r>
        <w:r w:rsidRPr="00183B5F">
          <w:rPr>
            <w:bCs/>
            <w:szCs w:val="22"/>
          </w:rPr>
          <w:noBreakHyphen/>
          <w:delText>betegség a tápcsatorna gyulladásos betegsége. A Humira a 6 és 17 éves kor közötti, Crohn</w:delText>
        </w:r>
        <w:r w:rsidRPr="00183B5F">
          <w:rPr>
            <w:bCs/>
            <w:szCs w:val="22"/>
          </w:rPr>
          <w:noBreakHyphen/>
          <w:delText>betegségben szenvedő gyermekek kezelésére szolgál. Gyermekének először más gyógyszereket adnak. Ha a gyermekénél ezek a gyógyszerek nem hatnak megfelelően, úgy a Crohn</w:delText>
        </w:r>
        <w:r w:rsidRPr="00183B5F">
          <w:rPr>
            <w:bCs/>
            <w:szCs w:val="22"/>
          </w:rPr>
          <w:noBreakHyphen/>
          <w:delText xml:space="preserve">betegség okozta </w:delText>
        </w:r>
        <w:r w:rsidR="00D02F61" w:rsidRPr="00183B5F">
          <w:rPr>
            <w:bCs/>
            <w:szCs w:val="22"/>
          </w:rPr>
          <w:delText xml:space="preserve">jelek </w:delText>
        </w:r>
        <w:r w:rsidRPr="00183B5F">
          <w:rPr>
            <w:bCs/>
            <w:szCs w:val="22"/>
          </w:rPr>
          <w:delText>és tünetek enyhítésére</w:delText>
        </w:r>
        <w:r w:rsidR="00963A8B" w:rsidRPr="00183B5F">
          <w:rPr>
            <w:bCs/>
            <w:szCs w:val="22"/>
          </w:rPr>
          <w:delText xml:space="preserve"> Humira</w:delText>
        </w:r>
        <w:r w:rsidR="00963A8B" w:rsidRPr="00183B5F">
          <w:rPr>
            <w:bCs/>
            <w:szCs w:val="22"/>
          </w:rPr>
          <w:noBreakHyphen/>
          <w:delText>t adnak.</w:delText>
        </w:r>
      </w:del>
    </w:p>
    <w:p w14:paraId="4ECD272A" w14:textId="1F4B1A6B" w:rsidR="00E10D06" w:rsidRPr="00183B5F" w:rsidRDefault="00E10D06">
      <w:pPr>
        <w:keepNext/>
        <w:suppressAutoHyphens w:val="0"/>
        <w:autoSpaceDE w:val="0"/>
        <w:autoSpaceDN w:val="0"/>
        <w:adjustRightInd w:val="0"/>
        <w:spacing w:line="240" w:lineRule="auto"/>
        <w:rPr>
          <w:del w:id="10007" w:author="AbbVie_HU_03" w:date="2025-05-14T16:39:00Z"/>
          <w:bCs/>
          <w:szCs w:val="22"/>
        </w:rPr>
      </w:pPr>
    </w:p>
    <w:p w14:paraId="2F645B43" w14:textId="4B09B37C" w:rsidR="00E10D06" w:rsidRPr="005C4B06" w:rsidRDefault="00943743" w:rsidP="00E10D06">
      <w:pPr>
        <w:pStyle w:val="BodyText"/>
        <w:rPr>
          <w:del w:id="10008" w:author="AbbVie_HU_03" w:date="2025-05-14T16:39:00Z"/>
          <w:u w:val="single"/>
          <w:lang w:val="hu-HU"/>
        </w:rPr>
      </w:pPr>
      <w:bookmarkStart w:id="10009" w:name="_Hlk53389876"/>
      <w:del w:id="10010" w:author="AbbVie_HU_03" w:date="2025-05-14T16:39:00Z">
        <w:r w:rsidRPr="005C4B06">
          <w:rPr>
            <w:u w:val="single"/>
            <w:lang w:val="hu-HU"/>
          </w:rPr>
          <w:delText>Gyermek</w:delText>
        </w:r>
        <w:r w:rsidR="00D1233F" w:rsidRPr="00183B5F">
          <w:rPr>
            <w:u w:val="single"/>
            <w:lang w:val="hu-HU"/>
          </w:rPr>
          <w:delText xml:space="preserve"> és sedülő</w:delText>
        </w:r>
        <w:r w:rsidRPr="005C4B06">
          <w:rPr>
            <w:u w:val="single"/>
            <w:lang w:val="hu-HU"/>
          </w:rPr>
          <w:delText xml:space="preserve">kori kolitisz ulceróza </w:delText>
        </w:r>
      </w:del>
    </w:p>
    <w:p w14:paraId="380DED7C" w14:textId="4E37876B" w:rsidR="00E10D06" w:rsidRPr="005C4B06" w:rsidRDefault="00E10D06" w:rsidP="00E10D06">
      <w:pPr>
        <w:pStyle w:val="BodyText"/>
        <w:rPr>
          <w:del w:id="10011" w:author="AbbVie_HU_03" w:date="2025-05-14T16:39:00Z"/>
          <w:u w:val="single"/>
          <w:lang w:val="hu-HU"/>
        </w:rPr>
      </w:pPr>
    </w:p>
    <w:p w14:paraId="095C8737" w14:textId="66AF390E" w:rsidR="00906003" w:rsidRPr="00183B5F" w:rsidRDefault="00943743">
      <w:pPr>
        <w:suppressAutoHyphens w:val="0"/>
        <w:autoSpaceDE w:val="0"/>
        <w:autoSpaceDN w:val="0"/>
        <w:adjustRightInd w:val="0"/>
        <w:spacing w:line="240" w:lineRule="auto"/>
        <w:rPr>
          <w:del w:id="10012" w:author="AbbVie_HU_03" w:date="2025-05-14T16:39:00Z"/>
          <w:bCs/>
          <w:szCs w:val="22"/>
        </w:rPr>
      </w:pPr>
      <w:del w:id="10013" w:author="AbbVie_HU_03" w:date="2025-05-14T16:39:00Z">
        <w:r w:rsidRPr="00183B5F">
          <w:delText xml:space="preserve">A kolitisz ulceróza a </w:delText>
        </w:r>
        <w:r w:rsidR="0019432C" w:rsidRPr="00183B5F">
          <w:delText>vastag</w:delText>
        </w:r>
        <w:r w:rsidRPr="00183B5F">
          <w:delText>bél gyulladásos betegsége. A Humira a 6 és 17</w:delText>
        </w:r>
        <w:r w:rsidR="0019432C" w:rsidRPr="00183B5F">
          <w:delText> </w:delText>
        </w:r>
        <w:r w:rsidRPr="00183B5F">
          <w:delText xml:space="preserve">éves kor közötti, kolitisz ulcerózában szenvedő gyermekek </w:delText>
        </w:r>
        <w:r w:rsidR="00D1233F" w:rsidRPr="00183B5F">
          <w:delText xml:space="preserve">és sedülők </w:delText>
        </w:r>
        <w:r w:rsidRPr="00183B5F">
          <w:delText>kezelésére szolgál. Gyermekének először más gyógyszereket adnak. Ha a gyermekénél ezek a gyógyszerek nem hatnak megfelelően, úgy a kolitisz ulceróza okozta jelek és tünetek enyhítésére Humira-t adnak.</w:delText>
        </w:r>
      </w:del>
    </w:p>
    <w:bookmarkEnd w:id="10009"/>
    <w:p w14:paraId="3DBC024D" w14:textId="4CA69FCC" w:rsidR="00663BE1" w:rsidRPr="00183B5F" w:rsidRDefault="00943743">
      <w:pPr>
        <w:suppressAutoHyphens w:val="0"/>
        <w:autoSpaceDE w:val="0"/>
        <w:autoSpaceDN w:val="0"/>
        <w:adjustRightInd w:val="0"/>
        <w:spacing w:line="240" w:lineRule="auto"/>
        <w:rPr>
          <w:del w:id="10014" w:author="AbbVie_HU_03" w:date="2025-05-14T16:39:00Z"/>
          <w:bCs/>
          <w:szCs w:val="22"/>
          <w:u w:val="single"/>
        </w:rPr>
      </w:pPr>
      <w:del w:id="10015" w:author="AbbVie_HU_03" w:date="2025-05-14T16:39:00Z">
        <w:r w:rsidRPr="00183B5F">
          <w:rPr>
            <w:bCs/>
            <w:szCs w:val="22"/>
            <w:u w:val="single"/>
          </w:rPr>
          <w:delText xml:space="preserve">Gyermekkori </w:delText>
        </w:r>
        <w:r w:rsidR="00B6280E" w:rsidRPr="00183B5F">
          <w:rPr>
            <w:bCs/>
            <w:szCs w:val="22"/>
            <w:u w:val="single"/>
          </w:rPr>
          <w:delText>uveitis</w:delText>
        </w:r>
        <w:r w:rsidR="00256F81" w:rsidRPr="00183B5F">
          <w:rPr>
            <w:bCs/>
            <w:szCs w:val="22"/>
            <w:u w:val="single"/>
          </w:rPr>
          <w:delText>z</w:delText>
        </w:r>
      </w:del>
    </w:p>
    <w:p w14:paraId="70B11C16" w14:textId="2F4D41C2" w:rsidR="00B6280E" w:rsidRPr="00183B5F" w:rsidRDefault="00B6280E">
      <w:pPr>
        <w:suppressAutoHyphens w:val="0"/>
        <w:autoSpaceDE w:val="0"/>
        <w:autoSpaceDN w:val="0"/>
        <w:adjustRightInd w:val="0"/>
        <w:spacing w:line="240" w:lineRule="auto"/>
        <w:rPr>
          <w:del w:id="10016" w:author="AbbVie_HU_03" w:date="2025-05-14T16:39:00Z"/>
          <w:bCs/>
          <w:szCs w:val="22"/>
          <w:u w:val="single"/>
        </w:rPr>
      </w:pPr>
    </w:p>
    <w:p w14:paraId="558F6935" w14:textId="09A36FFD" w:rsidR="00B6280E" w:rsidRPr="00183B5F" w:rsidRDefault="00943743">
      <w:pPr>
        <w:suppressAutoHyphens w:val="0"/>
        <w:autoSpaceDE w:val="0"/>
        <w:autoSpaceDN w:val="0"/>
        <w:adjustRightInd w:val="0"/>
        <w:spacing w:line="240" w:lineRule="auto"/>
        <w:rPr>
          <w:del w:id="10017" w:author="AbbVie_HU_03" w:date="2025-05-14T16:39:00Z"/>
          <w:bCs/>
          <w:szCs w:val="22"/>
        </w:rPr>
      </w:pPr>
      <w:del w:id="10018" w:author="AbbVie_HU_03" w:date="2025-05-14T16:39:00Z">
        <w:r w:rsidRPr="00183B5F">
          <w:rPr>
            <w:bCs/>
            <w:szCs w:val="22"/>
          </w:rPr>
          <w:delText>A nem</w:delText>
        </w:r>
        <w:r w:rsidR="00B6025C" w:rsidRPr="00183B5F">
          <w:rPr>
            <w:bCs/>
            <w:szCs w:val="22"/>
          </w:rPr>
          <w:delText xml:space="preserve"> </w:delText>
        </w:r>
        <w:r w:rsidRPr="00183B5F">
          <w:rPr>
            <w:bCs/>
            <w:szCs w:val="22"/>
          </w:rPr>
          <w:delText xml:space="preserve">fertőzéses eredetű </w:delText>
        </w:r>
        <w:r w:rsidR="00256F81" w:rsidRPr="00183B5F">
          <w:rPr>
            <w:bCs/>
            <w:szCs w:val="22"/>
          </w:rPr>
          <w:delText xml:space="preserve">szemgyulladás </w:delText>
        </w:r>
        <w:r w:rsidRPr="00183B5F">
          <w:rPr>
            <w:bCs/>
            <w:szCs w:val="22"/>
          </w:rPr>
          <w:delText>egy gyulladásos betegség, mely a szem bizonyos részeit érinti.</w:delText>
        </w:r>
      </w:del>
    </w:p>
    <w:p w14:paraId="79C401C6" w14:textId="5E0BEC43" w:rsidR="00B6280E" w:rsidRPr="00183B5F" w:rsidRDefault="00B6280E">
      <w:pPr>
        <w:suppressAutoHyphens w:val="0"/>
        <w:autoSpaceDE w:val="0"/>
        <w:autoSpaceDN w:val="0"/>
        <w:adjustRightInd w:val="0"/>
        <w:spacing w:line="240" w:lineRule="auto"/>
        <w:rPr>
          <w:del w:id="10019" w:author="AbbVie_HU_03" w:date="2025-05-14T16:39:00Z"/>
          <w:bCs/>
          <w:szCs w:val="22"/>
        </w:rPr>
      </w:pPr>
    </w:p>
    <w:p w14:paraId="6F84FBDE" w14:textId="79D61BCD" w:rsidR="00EA69A9" w:rsidRPr="00183B5F" w:rsidRDefault="00943743" w:rsidP="004062FE">
      <w:pPr>
        <w:suppressAutoHyphens w:val="0"/>
        <w:autoSpaceDE w:val="0"/>
        <w:autoSpaceDN w:val="0"/>
        <w:adjustRightInd w:val="0"/>
        <w:spacing w:line="240" w:lineRule="auto"/>
        <w:rPr>
          <w:del w:id="10020" w:author="AbbVie_HU_03" w:date="2025-05-14T16:39:00Z"/>
          <w:szCs w:val="22"/>
        </w:rPr>
      </w:pPr>
      <w:del w:id="10021" w:author="AbbVie_HU_03" w:date="2025-05-14T16:39:00Z">
        <w:r w:rsidRPr="00183B5F">
          <w:rPr>
            <w:bCs/>
            <w:szCs w:val="22"/>
          </w:rPr>
          <w:delText xml:space="preserve">A Humira alkalmazható 2 éves kortól krónikus, </w:delText>
        </w:r>
        <w:r w:rsidR="00B6025C" w:rsidRPr="00183B5F">
          <w:rPr>
            <w:bCs/>
            <w:szCs w:val="22"/>
          </w:rPr>
          <w:delText xml:space="preserve">nem </w:delText>
        </w:r>
        <w:r w:rsidRPr="00183B5F">
          <w:rPr>
            <w:bCs/>
            <w:szCs w:val="22"/>
          </w:rPr>
          <w:delText xml:space="preserve">fertőzéses eredetű uveitis kezelésére, amikor a gyulladás a szem elülső részét érinti. </w:delText>
        </w:r>
        <w:r w:rsidRPr="00183B5F">
          <w:rPr>
            <w:szCs w:val="22"/>
          </w:rPr>
          <w:delText>A gyulladás látáscsökkenéshez és/vagy a szemben úszkáló homályok (fekete pontok vagy vékony csíkok, melyek a látótéren mozognak) jelenlétéhez vezet</w:delText>
        </w:r>
        <w:r w:rsidR="0042302B" w:rsidRPr="00183B5F">
          <w:rPr>
            <w:szCs w:val="22"/>
          </w:rPr>
          <w:delText>het</w:delText>
        </w:r>
        <w:r w:rsidRPr="00183B5F">
          <w:rPr>
            <w:szCs w:val="22"/>
          </w:rPr>
          <w:delText>. A Humira ezt a gyulladást csökkenti.</w:delText>
        </w:r>
      </w:del>
    </w:p>
    <w:p w14:paraId="5BBF6610" w14:textId="25F58EDF" w:rsidR="00EA69A9" w:rsidRPr="00183B5F" w:rsidRDefault="00EA69A9" w:rsidP="004062FE">
      <w:pPr>
        <w:suppressAutoHyphens w:val="0"/>
        <w:autoSpaceDE w:val="0"/>
        <w:autoSpaceDN w:val="0"/>
        <w:adjustRightInd w:val="0"/>
        <w:spacing w:line="240" w:lineRule="auto"/>
        <w:rPr>
          <w:del w:id="10022" w:author="AbbVie_HU_03" w:date="2025-05-14T16:39:00Z"/>
          <w:bCs/>
          <w:szCs w:val="22"/>
        </w:rPr>
      </w:pPr>
    </w:p>
    <w:p w14:paraId="58BB5BBD" w14:textId="5876BD2E" w:rsidR="00FE4E55" w:rsidRPr="00183B5F" w:rsidRDefault="00FE4E55">
      <w:pPr>
        <w:suppressAutoHyphens w:val="0"/>
        <w:autoSpaceDE w:val="0"/>
        <w:autoSpaceDN w:val="0"/>
        <w:adjustRightInd w:val="0"/>
        <w:spacing w:line="240" w:lineRule="auto"/>
        <w:rPr>
          <w:del w:id="10023" w:author="AbbVie_HU_03" w:date="2025-05-14T16:39:00Z"/>
          <w:bCs/>
          <w:szCs w:val="22"/>
        </w:rPr>
      </w:pPr>
    </w:p>
    <w:p w14:paraId="26BB3907" w14:textId="22DD8A8E" w:rsidR="00722692" w:rsidRPr="00183B5F" w:rsidRDefault="00943743" w:rsidP="004062FE">
      <w:pPr>
        <w:keepNext/>
        <w:spacing w:line="240" w:lineRule="auto"/>
        <w:ind w:left="567" w:right="-29" w:hanging="567"/>
        <w:rPr>
          <w:del w:id="10024" w:author="AbbVie_HU_03" w:date="2025-05-14T16:39:00Z"/>
          <w:b/>
          <w:szCs w:val="22"/>
        </w:rPr>
      </w:pPr>
      <w:del w:id="10025" w:author="AbbVie_HU_03" w:date="2025-05-14T16:39:00Z">
        <w:r w:rsidRPr="00183B5F">
          <w:rPr>
            <w:b/>
            <w:szCs w:val="22"/>
          </w:rPr>
          <w:delText>2.</w:delText>
        </w:r>
        <w:r w:rsidRPr="00183B5F">
          <w:rPr>
            <w:b/>
            <w:szCs w:val="22"/>
          </w:rPr>
          <w:tab/>
          <w:delText>Tudnivalók a Humir</w:delText>
        </w:r>
        <w:r w:rsidR="00AB3C6A" w:rsidRPr="00183B5F">
          <w:rPr>
            <w:b/>
            <w:szCs w:val="22"/>
          </w:rPr>
          <w:delText>a</w:delText>
        </w:r>
        <w:r w:rsidR="00AB3C6A" w:rsidRPr="00183B5F">
          <w:rPr>
            <w:b/>
            <w:szCs w:val="22"/>
          </w:rPr>
          <w:noBreakHyphen/>
        </w:r>
        <w:r w:rsidRPr="00183B5F">
          <w:rPr>
            <w:b/>
            <w:szCs w:val="22"/>
          </w:rPr>
          <w:delText>nak az Ön gyermekénél történő alkalmazása előtt</w:delText>
        </w:r>
      </w:del>
    </w:p>
    <w:p w14:paraId="77879370" w14:textId="2819357D" w:rsidR="00A53984" w:rsidRPr="00183B5F" w:rsidRDefault="00A53984" w:rsidP="004062FE">
      <w:pPr>
        <w:keepNext/>
        <w:spacing w:line="240" w:lineRule="auto"/>
        <w:ind w:left="567" w:hanging="567"/>
        <w:rPr>
          <w:del w:id="10026" w:author="AbbVie_HU_03" w:date="2025-05-14T16:39:00Z"/>
          <w:b/>
          <w:szCs w:val="22"/>
        </w:rPr>
      </w:pPr>
    </w:p>
    <w:p w14:paraId="27301DFC" w14:textId="24BD6F04" w:rsidR="00FB6710" w:rsidRPr="00183B5F" w:rsidRDefault="00943743" w:rsidP="004062FE">
      <w:pPr>
        <w:keepNext/>
        <w:spacing w:line="240" w:lineRule="auto"/>
        <w:rPr>
          <w:del w:id="10027" w:author="AbbVie_HU_03" w:date="2025-05-14T16:39:00Z"/>
          <w:b/>
          <w:szCs w:val="22"/>
        </w:rPr>
      </w:pPr>
      <w:del w:id="10028" w:author="AbbVie_HU_03" w:date="2025-05-14T16:39:00Z">
        <w:r w:rsidRPr="00183B5F">
          <w:rPr>
            <w:b/>
            <w:szCs w:val="22"/>
          </w:rPr>
          <w:delText xml:space="preserve">Ne alkalmazza a </w:delText>
        </w:r>
        <w:r w:rsidRPr="00183B5F">
          <w:rPr>
            <w:b/>
            <w:bCs/>
            <w:szCs w:val="22"/>
          </w:rPr>
          <w:delText>Humira-t</w:delText>
        </w:r>
      </w:del>
    </w:p>
    <w:p w14:paraId="7BFB0E68" w14:textId="1258BB0E" w:rsidR="00FB6710" w:rsidRPr="00183B5F" w:rsidRDefault="00FB6710" w:rsidP="004062FE">
      <w:pPr>
        <w:keepNext/>
        <w:spacing w:line="240" w:lineRule="auto"/>
        <w:ind w:left="567" w:hanging="567"/>
        <w:rPr>
          <w:del w:id="10029" w:author="AbbVie_HU_03" w:date="2025-05-14T16:39:00Z"/>
          <w:b/>
          <w:szCs w:val="22"/>
        </w:rPr>
      </w:pPr>
    </w:p>
    <w:p w14:paraId="69649F05" w14:textId="66395ED3" w:rsidR="00FB6710" w:rsidRPr="00183B5F" w:rsidRDefault="00943743" w:rsidP="004062FE">
      <w:pPr>
        <w:keepNext/>
        <w:numPr>
          <w:ilvl w:val="0"/>
          <w:numId w:val="19"/>
        </w:numPr>
        <w:tabs>
          <w:tab w:val="clear" w:pos="720"/>
        </w:tabs>
        <w:spacing w:line="240" w:lineRule="auto"/>
        <w:ind w:left="567" w:hanging="567"/>
        <w:rPr>
          <w:del w:id="10030" w:author="AbbVie_HU_03" w:date="2025-05-14T16:39:00Z"/>
          <w:szCs w:val="22"/>
        </w:rPr>
      </w:pPr>
      <w:del w:id="10031" w:author="AbbVie_HU_03" w:date="2025-05-14T16:39:00Z">
        <w:r w:rsidRPr="00183B5F">
          <w:rPr>
            <w:szCs w:val="22"/>
          </w:rPr>
          <w:delText xml:space="preserve">Ha </w:delText>
        </w:r>
        <w:r w:rsidR="007C6B99" w:rsidRPr="00183B5F">
          <w:rPr>
            <w:szCs w:val="22"/>
          </w:rPr>
          <w:delText xml:space="preserve">gyermeke </w:delText>
        </w:r>
        <w:r w:rsidRPr="00183B5F">
          <w:rPr>
            <w:szCs w:val="22"/>
          </w:rPr>
          <w:delText xml:space="preserve">allergiás az adalimumabra vagy </w:delText>
        </w:r>
        <w:r w:rsidR="00722692" w:rsidRPr="00183B5F">
          <w:rPr>
            <w:noProof/>
            <w:szCs w:val="24"/>
          </w:rPr>
          <w:delText>a gyógyszer (6.</w:delText>
        </w:r>
        <w:r w:rsidR="00AB3C6A" w:rsidRPr="00183B5F">
          <w:rPr>
            <w:noProof/>
            <w:szCs w:val="24"/>
          </w:rPr>
          <w:delText> </w:delText>
        </w:r>
        <w:r w:rsidR="00722692" w:rsidRPr="00183B5F">
          <w:rPr>
            <w:noProof/>
            <w:szCs w:val="24"/>
          </w:rPr>
          <w:delText xml:space="preserve">pontban felsorolt) </w:delText>
        </w:r>
        <w:r w:rsidR="00722692" w:rsidRPr="00183B5F">
          <w:rPr>
            <w:szCs w:val="24"/>
          </w:rPr>
          <w:delText>egyéb összetevőjére.</w:delText>
        </w:r>
      </w:del>
    </w:p>
    <w:p w14:paraId="54356ABE" w14:textId="41F7A04A" w:rsidR="00FB6710" w:rsidRPr="00183B5F" w:rsidRDefault="00FB6710" w:rsidP="004062FE">
      <w:pPr>
        <w:spacing w:line="240" w:lineRule="auto"/>
        <w:rPr>
          <w:del w:id="10032" w:author="AbbVie_HU_03" w:date="2025-05-14T16:39:00Z"/>
          <w:szCs w:val="22"/>
        </w:rPr>
      </w:pPr>
    </w:p>
    <w:p w14:paraId="204CD264" w14:textId="5C133400" w:rsidR="00FB6710" w:rsidRPr="00183B5F" w:rsidRDefault="00943743" w:rsidP="004062FE">
      <w:pPr>
        <w:numPr>
          <w:ilvl w:val="0"/>
          <w:numId w:val="19"/>
        </w:numPr>
        <w:tabs>
          <w:tab w:val="clear" w:pos="720"/>
          <w:tab w:val="num" w:pos="630"/>
        </w:tabs>
        <w:spacing w:line="240" w:lineRule="auto"/>
        <w:ind w:left="630" w:hanging="630"/>
        <w:rPr>
          <w:del w:id="10033" w:author="AbbVie_HU_03" w:date="2025-05-14T16:39:00Z"/>
          <w:szCs w:val="22"/>
        </w:rPr>
      </w:pPr>
      <w:del w:id="10034" w:author="AbbVie_HU_03" w:date="2025-05-14T16:39:00Z">
        <w:r w:rsidRPr="00183B5F">
          <w:rPr>
            <w:szCs w:val="22"/>
          </w:rPr>
          <w:delText xml:space="preserve">Ha </w:delText>
        </w:r>
        <w:r w:rsidR="007C6B99" w:rsidRPr="00183B5F">
          <w:rPr>
            <w:szCs w:val="22"/>
          </w:rPr>
          <w:delText xml:space="preserve">gyermeke </w:delText>
        </w:r>
        <w:r w:rsidRPr="00183B5F">
          <w:rPr>
            <w:szCs w:val="22"/>
          </w:rPr>
          <w:delText xml:space="preserve">súlyos fertőzésben szenved, beleértve az aktív </w:delText>
        </w:r>
        <w:r w:rsidRPr="00183B5F">
          <w:rPr>
            <w:bCs/>
            <w:szCs w:val="22"/>
          </w:rPr>
          <w:delText>tuberkulózist</w:delText>
        </w:r>
        <w:r w:rsidRPr="00183B5F">
          <w:rPr>
            <w:szCs w:val="22"/>
          </w:rPr>
          <w:delText xml:space="preserve"> (lásd „</w:delText>
        </w:r>
        <w:r w:rsidR="00722692" w:rsidRPr="00183B5F">
          <w:rPr>
            <w:szCs w:val="22"/>
          </w:rPr>
          <w:delText>Figyelmeztetések és óvintézkedések</w:delText>
        </w:r>
        <w:r w:rsidRPr="00183B5F">
          <w:rPr>
            <w:szCs w:val="22"/>
          </w:rPr>
          <w:delText xml:space="preserve">”). Kezelőorvosával feltétlenül közölje, ha </w:delText>
        </w:r>
        <w:r w:rsidR="007C6B99" w:rsidRPr="00183B5F">
          <w:rPr>
            <w:szCs w:val="22"/>
          </w:rPr>
          <w:delText xml:space="preserve">gyermekének </w:delText>
        </w:r>
        <w:r w:rsidRPr="00183B5F">
          <w:rPr>
            <w:szCs w:val="22"/>
          </w:rPr>
          <w:delText xml:space="preserve">bármilyen fertőzésre utaló tünete van, mint </w:delText>
        </w:r>
        <w:r w:rsidR="00F15477" w:rsidRPr="00183B5F">
          <w:rPr>
            <w:bCs/>
            <w:szCs w:val="22"/>
          </w:rPr>
          <w:delText>például</w:delText>
        </w:r>
        <w:r w:rsidRPr="00183B5F">
          <w:rPr>
            <w:szCs w:val="22"/>
          </w:rPr>
          <w:delText xml:space="preserve"> láz, sebek, fáradtságérzés, fogászati problémák.</w:delText>
        </w:r>
      </w:del>
    </w:p>
    <w:p w14:paraId="3E30183A" w14:textId="67BED301" w:rsidR="00FB6710" w:rsidRPr="00183B5F" w:rsidRDefault="00FB6710" w:rsidP="004062FE">
      <w:pPr>
        <w:spacing w:line="240" w:lineRule="auto"/>
        <w:rPr>
          <w:del w:id="10035" w:author="AbbVie_HU_03" w:date="2025-05-14T16:39:00Z"/>
          <w:szCs w:val="22"/>
        </w:rPr>
      </w:pPr>
    </w:p>
    <w:p w14:paraId="561E3100" w14:textId="7EA808E1" w:rsidR="00FB6710" w:rsidRPr="00183B5F" w:rsidRDefault="00943743" w:rsidP="004062FE">
      <w:pPr>
        <w:numPr>
          <w:ilvl w:val="0"/>
          <w:numId w:val="19"/>
        </w:numPr>
        <w:tabs>
          <w:tab w:val="clear" w:pos="720"/>
          <w:tab w:val="num" w:pos="630"/>
        </w:tabs>
        <w:spacing w:line="240" w:lineRule="auto"/>
        <w:ind w:left="630" w:hanging="630"/>
        <w:rPr>
          <w:del w:id="10036" w:author="AbbVie_HU_03" w:date="2025-05-14T16:39:00Z"/>
          <w:szCs w:val="22"/>
        </w:rPr>
      </w:pPr>
      <w:del w:id="10037" w:author="AbbVie_HU_03" w:date="2025-05-14T16:39:00Z">
        <w:r w:rsidRPr="00183B5F">
          <w:rPr>
            <w:szCs w:val="22"/>
          </w:rPr>
          <w:delText xml:space="preserve">Ha </w:delText>
        </w:r>
        <w:r w:rsidR="00676944" w:rsidRPr="00183B5F">
          <w:rPr>
            <w:szCs w:val="22"/>
          </w:rPr>
          <w:delText xml:space="preserve">gyermeke </w:delText>
        </w:r>
        <w:r w:rsidR="006E6466" w:rsidRPr="00183B5F">
          <w:rPr>
            <w:szCs w:val="22"/>
          </w:rPr>
          <w:delText>közepesen súlyos</w:delText>
        </w:r>
        <w:r w:rsidRPr="00183B5F">
          <w:rPr>
            <w:szCs w:val="22"/>
          </w:rPr>
          <w:delText xml:space="preserve"> vagy súlyos szívelégtelenségben szenved. Kezelőorvosával feltétlenül közölje, ha </w:delText>
        </w:r>
        <w:r w:rsidR="00676944" w:rsidRPr="00183B5F">
          <w:rPr>
            <w:szCs w:val="22"/>
          </w:rPr>
          <w:delText xml:space="preserve">gyermekének </w:delText>
        </w:r>
        <w:r w:rsidRPr="00183B5F">
          <w:rPr>
            <w:szCs w:val="22"/>
          </w:rPr>
          <w:delText xml:space="preserve">súlyos szívproblémája </w:delText>
        </w:r>
        <w:r w:rsidR="00722692" w:rsidRPr="00183B5F">
          <w:rPr>
            <w:szCs w:val="22"/>
          </w:rPr>
          <w:delText xml:space="preserve">van vagy volt </w:delText>
        </w:r>
        <w:r w:rsidRPr="00183B5F">
          <w:rPr>
            <w:szCs w:val="22"/>
          </w:rPr>
          <w:delText>(lásd „</w:delText>
        </w:r>
        <w:r w:rsidR="00722692" w:rsidRPr="00183B5F">
          <w:rPr>
            <w:szCs w:val="22"/>
          </w:rPr>
          <w:delText>Figyelmeztetések és óvintézkedések</w:delText>
        </w:r>
        <w:r w:rsidRPr="00183B5F">
          <w:rPr>
            <w:szCs w:val="22"/>
          </w:rPr>
          <w:delText>”).</w:delText>
        </w:r>
      </w:del>
    </w:p>
    <w:p w14:paraId="5F4AB539" w14:textId="0F69ABC8" w:rsidR="00FB6710" w:rsidRPr="00183B5F" w:rsidRDefault="00FB6710" w:rsidP="004062FE">
      <w:pPr>
        <w:spacing w:line="240" w:lineRule="auto"/>
        <w:ind w:left="567" w:hanging="567"/>
        <w:rPr>
          <w:del w:id="10038" w:author="AbbVie_HU_03" w:date="2025-05-14T16:39:00Z"/>
          <w:szCs w:val="22"/>
        </w:rPr>
      </w:pPr>
    </w:p>
    <w:p w14:paraId="50173EF2" w14:textId="041F48B2" w:rsidR="00FB6710" w:rsidRPr="00183B5F" w:rsidRDefault="00943743" w:rsidP="004062FE">
      <w:pPr>
        <w:spacing w:line="240" w:lineRule="auto"/>
        <w:ind w:right="-2"/>
        <w:rPr>
          <w:del w:id="10039" w:author="AbbVie_HU_03" w:date="2025-05-14T16:39:00Z"/>
          <w:b/>
          <w:szCs w:val="22"/>
        </w:rPr>
      </w:pPr>
      <w:del w:id="10040" w:author="AbbVie_HU_03" w:date="2025-05-14T16:39:00Z">
        <w:r w:rsidRPr="00183B5F">
          <w:rPr>
            <w:b/>
            <w:noProof/>
            <w:szCs w:val="24"/>
          </w:rPr>
          <w:delText>Figyelmeztetések és óvintézkedések</w:delText>
        </w:r>
      </w:del>
    </w:p>
    <w:p w14:paraId="26D6B1B1" w14:textId="3F348D3C" w:rsidR="00FB6710" w:rsidRPr="00183B5F" w:rsidRDefault="00FB6710" w:rsidP="004062FE">
      <w:pPr>
        <w:spacing w:line="240" w:lineRule="auto"/>
        <w:ind w:right="-2"/>
        <w:rPr>
          <w:del w:id="10041" w:author="AbbVie_HU_03" w:date="2025-05-14T16:39:00Z"/>
          <w:szCs w:val="22"/>
        </w:rPr>
      </w:pPr>
    </w:p>
    <w:p w14:paraId="156B9CBC" w14:textId="1637252F" w:rsidR="00722692" w:rsidRPr="00183B5F" w:rsidRDefault="00943743" w:rsidP="004062FE">
      <w:pPr>
        <w:spacing w:line="240" w:lineRule="auto"/>
        <w:ind w:left="567" w:right="-2" w:hanging="567"/>
        <w:rPr>
          <w:del w:id="10042" w:author="AbbVie_HU_03" w:date="2025-05-14T16:39:00Z"/>
          <w:szCs w:val="22"/>
        </w:rPr>
      </w:pPr>
      <w:del w:id="10043" w:author="AbbVie_HU_03" w:date="2025-05-14T16:39:00Z">
        <w:r w:rsidRPr="00183B5F">
          <w:rPr>
            <w:noProof/>
            <w:szCs w:val="24"/>
          </w:rPr>
          <w:delText>A Humira alkalmazása előtt beszéljen gyermeke kezelőorvosával</w:delText>
        </w:r>
        <w:r w:rsidR="00B97A37" w:rsidRPr="00183B5F">
          <w:rPr>
            <w:noProof/>
            <w:szCs w:val="24"/>
          </w:rPr>
          <w:delText xml:space="preserve"> vagy gyógyszerészével</w:delText>
        </w:r>
        <w:r w:rsidRPr="00183B5F">
          <w:rPr>
            <w:noProof/>
            <w:szCs w:val="24"/>
          </w:rPr>
          <w:delText>.</w:delText>
        </w:r>
      </w:del>
    </w:p>
    <w:p w14:paraId="5C688C12" w14:textId="5C9A33F8" w:rsidR="00722692" w:rsidRPr="00183B5F" w:rsidRDefault="00722692" w:rsidP="004062FE">
      <w:pPr>
        <w:spacing w:line="240" w:lineRule="auto"/>
        <w:ind w:left="567" w:right="-2" w:hanging="567"/>
        <w:rPr>
          <w:del w:id="10044" w:author="AbbVie_HU_03" w:date="2025-05-14T16:39:00Z"/>
          <w:szCs w:val="22"/>
        </w:rPr>
      </w:pPr>
    </w:p>
    <w:p w14:paraId="31D27C16" w14:textId="2EBFD3E7" w:rsidR="00FB6710" w:rsidRPr="00183B5F" w:rsidRDefault="00943743" w:rsidP="004062FE">
      <w:pPr>
        <w:numPr>
          <w:ilvl w:val="0"/>
          <w:numId w:val="104"/>
        </w:numPr>
        <w:tabs>
          <w:tab w:val="clear" w:pos="720"/>
          <w:tab w:val="left" w:pos="630"/>
        </w:tabs>
        <w:spacing w:line="240" w:lineRule="auto"/>
        <w:ind w:left="630" w:right="-2" w:hanging="630"/>
        <w:rPr>
          <w:del w:id="10045" w:author="AbbVie_HU_03" w:date="2025-05-14T16:39:00Z"/>
          <w:szCs w:val="22"/>
        </w:rPr>
      </w:pPr>
      <w:del w:id="10046" w:author="AbbVie_HU_03" w:date="2025-05-14T16:39:00Z">
        <w:r w:rsidRPr="00183B5F">
          <w:rPr>
            <w:szCs w:val="22"/>
          </w:rPr>
          <w:delText xml:space="preserve">Ha </w:delText>
        </w:r>
        <w:r w:rsidR="00676944" w:rsidRPr="00183B5F">
          <w:rPr>
            <w:szCs w:val="22"/>
          </w:rPr>
          <w:delText xml:space="preserve">gyermeke </w:delText>
        </w:r>
        <w:r w:rsidRPr="00183B5F">
          <w:rPr>
            <w:szCs w:val="22"/>
          </w:rPr>
          <w:delText xml:space="preserve">allergiás reakciót észlel olyan tünetekkel, mint a mellkasi szorítás, asztmás légzés, szédülés, duzzanat vagy </w:delText>
        </w:r>
        <w:r w:rsidR="004C50B5" w:rsidRPr="00183B5F">
          <w:rPr>
            <w:szCs w:val="22"/>
          </w:rPr>
          <w:delText>bőr</w:delText>
        </w:r>
        <w:r w:rsidRPr="00183B5F">
          <w:rPr>
            <w:szCs w:val="22"/>
          </w:rPr>
          <w:delText>kiütés</w:delText>
        </w:r>
        <w:r w:rsidR="00962799" w:rsidRPr="00183B5F">
          <w:rPr>
            <w:szCs w:val="22"/>
          </w:rPr>
          <w:delText>,</w:delText>
        </w:r>
        <w:r w:rsidRPr="00183B5F">
          <w:rPr>
            <w:szCs w:val="22"/>
          </w:rPr>
          <w:delText xml:space="preserve"> ne alkalmazza a Humira</w:delText>
        </w:r>
        <w:r w:rsidR="00EB22A0" w:rsidRPr="00183B5F">
          <w:rPr>
            <w:szCs w:val="22"/>
          </w:rPr>
          <w:noBreakHyphen/>
        </w:r>
        <w:r w:rsidRPr="00183B5F">
          <w:rPr>
            <w:szCs w:val="22"/>
          </w:rPr>
          <w:delText>t és azonnal forduljon orvosához</w:delText>
        </w:r>
        <w:r w:rsidR="00C1197A" w:rsidRPr="00183B5F">
          <w:rPr>
            <w:szCs w:val="22"/>
          </w:rPr>
          <w:delText>, mivel ritka esetekben ezek a reakciók életveszélyesek lehetnek</w:delText>
        </w:r>
        <w:r w:rsidRPr="00183B5F">
          <w:rPr>
            <w:szCs w:val="22"/>
          </w:rPr>
          <w:delText>.</w:delText>
        </w:r>
      </w:del>
    </w:p>
    <w:p w14:paraId="72EF20E5" w14:textId="1030FFF7" w:rsidR="00FB6710" w:rsidRPr="00183B5F" w:rsidRDefault="00FB6710" w:rsidP="004062FE">
      <w:pPr>
        <w:spacing w:line="240" w:lineRule="auto"/>
        <w:rPr>
          <w:del w:id="10047" w:author="AbbVie_HU_03" w:date="2025-05-14T16:39:00Z"/>
          <w:szCs w:val="22"/>
        </w:rPr>
      </w:pPr>
    </w:p>
    <w:p w14:paraId="5ACDE747" w14:textId="2588A202" w:rsidR="00FB6710" w:rsidRPr="00183B5F" w:rsidRDefault="00943743" w:rsidP="004062FE">
      <w:pPr>
        <w:numPr>
          <w:ilvl w:val="0"/>
          <w:numId w:val="20"/>
        </w:numPr>
        <w:tabs>
          <w:tab w:val="clear" w:pos="720"/>
        </w:tabs>
        <w:spacing w:line="240" w:lineRule="auto"/>
        <w:ind w:left="567" w:hanging="567"/>
        <w:rPr>
          <w:del w:id="10048" w:author="AbbVie_HU_03" w:date="2025-05-14T16:39:00Z"/>
          <w:szCs w:val="22"/>
        </w:rPr>
      </w:pPr>
      <w:del w:id="10049" w:author="AbbVie_HU_03" w:date="2025-05-14T16:39:00Z">
        <w:r w:rsidRPr="00183B5F">
          <w:rPr>
            <w:szCs w:val="22"/>
          </w:rPr>
          <w:delText xml:space="preserve">Ha </w:delText>
        </w:r>
        <w:r w:rsidR="00676944" w:rsidRPr="00183B5F">
          <w:rPr>
            <w:szCs w:val="22"/>
          </w:rPr>
          <w:delText>gyermeke</w:delText>
        </w:r>
        <w:r w:rsidRPr="00183B5F">
          <w:rPr>
            <w:szCs w:val="22"/>
          </w:rPr>
          <w:delText xml:space="preserve"> fertőzésben szenved, beleértve a hosszantartó vagy helyi fertőzést is (</w:delText>
        </w:r>
        <w:r w:rsidR="00F15477" w:rsidRPr="00183B5F">
          <w:rPr>
            <w:bCs/>
            <w:szCs w:val="22"/>
          </w:rPr>
          <w:delText>például</w:delText>
        </w:r>
        <w:r w:rsidRPr="00183B5F">
          <w:rPr>
            <w:szCs w:val="22"/>
          </w:rPr>
          <w:delText xml:space="preserve"> lábszárfekély), a Humira alkalmazása előtt beszéljen orvosával. Ha kétségei vannak, forduljon orvosához.</w:delText>
        </w:r>
      </w:del>
    </w:p>
    <w:p w14:paraId="282E72D3" w14:textId="05BBEE5D" w:rsidR="00FB6710" w:rsidRPr="00183B5F" w:rsidRDefault="00FB6710" w:rsidP="004062FE">
      <w:pPr>
        <w:spacing w:line="240" w:lineRule="auto"/>
        <w:ind w:left="567" w:hanging="567"/>
        <w:rPr>
          <w:del w:id="10050" w:author="AbbVie_HU_03" w:date="2025-05-14T16:39:00Z"/>
          <w:szCs w:val="22"/>
        </w:rPr>
      </w:pPr>
    </w:p>
    <w:p w14:paraId="18F7CEF0" w14:textId="3BAE43A4" w:rsidR="00FB6710" w:rsidRPr="00183B5F" w:rsidRDefault="00943743">
      <w:pPr>
        <w:pStyle w:val="EMEABullet2"/>
        <w:numPr>
          <w:ilvl w:val="0"/>
          <w:numId w:val="72"/>
        </w:numPr>
        <w:rPr>
          <w:del w:id="10051" w:author="AbbVie_HU_03" w:date="2025-05-14T16:39:00Z"/>
          <w:szCs w:val="22"/>
          <w:lang w:val="hu-HU"/>
        </w:rPr>
      </w:pPr>
      <w:del w:id="10052" w:author="AbbVie_HU_03" w:date="2025-05-14T16:39:00Z">
        <w:r w:rsidRPr="00183B5F">
          <w:rPr>
            <w:szCs w:val="22"/>
            <w:lang w:val="hu-HU"/>
          </w:rPr>
          <w:delText>Humira</w:delText>
        </w:r>
        <w:r w:rsidR="00EB22A0" w:rsidRPr="00183B5F">
          <w:rPr>
            <w:szCs w:val="22"/>
            <w:lang w:val="hu-HU"/>
          </w:rPr>
          <w:noBreakHyphen/>
        </w:r>
        <w:r w:rsidRPr="00183B5F">
          <w:rPr>
            <w:szCs w:val="22"/>
            <w:lang w:val="hu-HU"/>
          </w:rPr>
          <w:delText xml:space="preserve">kezelés során </w:delText>
        </w:r>
        <w:r w:rsidR="00676944" w:rsidRPr="00183B5F">
          <w:rPr>
            <w:szCs w:val="22"/>
            <w:lang w:val="hu-HU"/>
          </w:rPr>
          <w:delText xml:space="preserve">gyermeke </w:delText>
        </w:r>
        <w:r w:rsidRPr="00183B5F">
          <w:rPr>
            <w:szCs w:val="22"/>
            <w:lang w:val="hu-HU"/>
          </w:rPr>
          <w:delText xml:space="preserve">könnyebben kaphat </w:delText>
        </w:r>
        <w:r w:rsidR="00FA632B" w:rsidRPr="00183B5F">
          <w:rPr>
            <w:szCs w:val="22"/>
            <w:lang w:val="hu-HU"/>
          </w:rPr>
          <w:delText>meg</w:delText>
        </w:r>
        <w:r w:rsidR="00984EEF" w:rsidRPr="00183B5F">
          <w:rPr>
            <w:szCs w:val="22"/>
            <w:lang w:val="hu-HU"/>
          </w:rPr>
          <w:delText xml:space="preserve"> </w:delText>
        </w:r>
        <w:r w:rsidRPr="00183B5F">
          <w:rPr>
            <w:szCs w:val="22"/>
            <w:lang w:val="hu-HU"/>
          </w:rPr>
          <w:delText xml:space="preserve">fertőzéseket. Ennek veszélye nagyobb lehet, ha a légzésfunkciója károsodott. Ezek a fertőzések súlyosak lehetnek és közéjük tartozik a tuberkulózis, a vírusok, gombák, élősködők vagy baktériumok okozta fertőzések vagy az egyéb opportunista fertőzések és a szepszis, melyek ritkán életveszélyesek lehetnek. Kezelőorvosával feltétlenül közölje, ha </w:delText>
        </w:r>
        <w:r w:rsidR="00974EF2" w:rsidRPr="00183B5F">
          <w:rPr>
            <w:szCs w:val="22"/>
            <w:lang w:val="hu-HU"/>
          </w:rPr>
          <w:delText xml:space="preserve">gyermekének </w:delText>
        </w:r>
        <w:r w:rsidRPr="00183B5F">
          <w:rPr>
            <w:szCs w:val="22"/>
            <w:lang w:val="hu-HU"/>
          </w:rPr>
          <w:delText>bármilyen fertőzésre utaló tünete van, mint láz, sebek, fáradtságérzés, fogászati problémák. Orvosa a Humira</w:delText>
        </w:r>
        <w:r w:rsidR="00EB22A0" w:rsidRPr="00183B5F">
          <w:rPr>
            <w:szCs w:val="22"/>
            <w:lang w:val="hu-HU"/>
          </w:rPr>
          <w:noBreakHyphen/>
        </w:r>
        <w:r w:rsidRPr="00183B5F">
          <w:rPr>
            <w:szCs w:val="22"/>
            <w:lang w:val="hu-HU"/>
          </w:rPr>
          <w:delText>kezelés átmeneti felfüggesztését javasolhatja</w:delText>
        </w:r>
        <w:r w:rsidRPr="00183B5F">
          <w:rPr>
            <w:szCs w:val="22"/>
            <w:lang w:val="hu-HU"/>
          </w:rPr>
          <w:delText>.</w:delText>
        </w:r>
      </w:del>
    </w:p>
    <w:p w14:paraId="75CA8F32" w14:textId="2765CBE9" w:rsidR="00FB6710" w:rsidRPr="00183B5F" w:rsidRDefault="00FB6710" w:rsidP="004062FE">
      <w:pPr>
        <w:spacing w:line="240" w:lineRule="auto"/>
        <w:ind w:left="567" w:hanging="567"/>
        <w:rPr>
          <w:del w:id="10053" w:author="AbbVie_HU_03" w:date="2025-05-14T16:39:00Z"/>
          <w:szCs w:val="22"/>
        </w:rPr>
      </w:pPr>
    </w:p>
    <w:p w14:paraId="76E47256" w14:textId="6D926B26" w:rsidR="00FB6710" w:rsidRPr="00183B5F" w:rsidRDefault="00943743" w:rsidP="004062FE">
      <w:pPr>
        <w:numPr>
          <w:ilvl w:val="0"/>
          <w:numId w:val="20"/>
        </w:numPr>
        <w:tabs>
          <w:tab w:val="clear" w:pos="720"/>
        </w:tabs>
        <w:spacing w:line="240" w:lineRule="auto"/>
        <w:ind w:left="567" w:hanging="567"/>
        <w:rPr>
          <w:del w:id="10054" w:author="AbbVie_HU_03" w:date="2025-05-14T16:39:00Z"/>
          <w:szCs w:val="22"/>
        </w:rPr>
      </w:pPr>
      <w:del w:id="10055" w:author="AbbVie_HU_03" w:date="2025-05-14T16:39:00Z">
        <w:r w:rsidRPr="00183B5F">
          <w:rPr>
            <w:szCs w:val="22"/>
          </w:rPr>
          <w:delText>Humira</w:delText>
        </w:r>
        <w:r w:rsidR="00EB22A0" w:rsidRPr="00183B5F">
          <w:rPr>
            <w:szCs w:val="22"/>
          </w:rPr>
          <w:noBreakHyphen/>
        </w:r>
        <w:r w:rsidRPr="00183B5F">
          <w:rPr>
            <w:szCs w:val="22"/>
          </w:rPr>
          <w:delText xml:space="preserve">val kezelt betegeken </w:delText>
        </w:r>
        <w:r w:rsidRPr="00183B5F">
          <w:rPr>
            <w:bCs/>
            <w:szCs w:val="22"/>
          </w:rPr>
          <w:delText>tuberkulózis</w:delText>
        </w:r>
        <w:r w:rsidRPr="00183B5F">
          <w:rPr>
            <w:szCs w:val="22"/>
          </w:rPr>
          <w:delText xml:space="preserve"> kialakulását észlelték, így a kezelés megkezdése előtt kezelőorvosa </w:delText>
        </w:r>
        <w:r w:rsidR="00974EF2" w:rsidRPr="00183B5F">
          <w:rPr>
            <w:szCs w:val="22"/>
          </w:rPr>
          <w:delText xml:space="preserve">az Ön gyermekénél </w:delText>
        </w:r>
        <w:r w:rsidRPr="00183B5F">
          <w:rPr>
            <w:szCs w:val="22"/>
          </w:rPr>
          <w:delText xml:space="preserve">megvizsgálja a </w:delText>
        </w:r>
        <w:r w:rsidRPr="00183B5F">
          <w:rPr>
            <w:bCs/>
            <w:szCs w:val="22"/>
          </w:rPr>
          <w:delText>tuberkulózis</w:delText>
        </w:r>
        <w:r w:rsidRPr="00183B5F">
          <w:rPr>
            <w:szCs w:val="22"/>
          </w:rPr>
          <w:delText xml:space="preserve">ra utaló jeleket és tüneteket. </w:delText>
        </w:r>
        <w:r w:rsidR="000A0E58" w:rsidRPr="00183B5F">
          <w:rPr>
            <w:szCs w:val="22"/>
          </w:rPr>
          <w:delText>Gyermeke r</w:delText>
        </w:r>
        <w:r w:rsidRPr="00183B5F">
          <w:rPr>
            <w:szCs w:val="22"/>
          </w:rPr>
          <w:delText>észletes orvosi kórelőzmény</w:delText>
        </w:r>
        <w:r w:rsidR="000A0E58" w:rsidRPr="00183B5F">
          <w:rPr>
            <w:szCs w:val="22"/>
          </w:rPr>
          <w:delText>ének</w:delText>
        </w:r>
        <w:r w:rsidRPr="00183B5F">
          <w:rPr>
            <w:szCs w:val="22"/>
          </w:rPr>
          <w:delText xml:space="preserve"> felvételére</w:delText>
        </w:r>
        <w:r w:rsidR="00301ACA" w:rsidRPr="00183B5F">
          <w:rPr>
            <w:szCs w:val="22"/>
          </w:rPr>
          <w:delText xml:space="preserve"> és megfelelő szűrővizsgálatokra (mint </w:delText>
        </w:r>
        <w:r w:rsidR="00F15477" w:rsidRPr="00183B5F">
          <w:rPr>
            <w:bCs/>
            <w:szCs w:val="22"/>
          </w:rPr>
          <w:delText>például</w:delText>
        </w:r>
        <w:r w:rsidRPr="00183B5F">
          <w:rPr>
            <w:szCs w:val="22"/>
          </w:rPr>
          <w:delText xml:space="preserve"> mellkasröntgen vizsgálatra és tuberkulin teszt végzésére</w:delText>
        </w:r>
        <w:r w:rsidR="00301ACA" w:rsidRPr="00183B5F">
          <w:rPr>
            <w:szCs w:val="22"/>
          </w:rPr>
          <w:delText>)</w:delText>
        </w:r>
        <w:r w:rsidRPr="00183B5F">
          <w:rPr>
            <w:szCs w:val="22"/>
          </w:rPr>
          <w:delText xml:space="preserve"> kerül sor. </w:delText>
        </w:r>
        <w:r w:rsidR="00974EF2" w:rsidRPr="00183B5F">
          <w:rPr>
            <w:szCs w:val="22"/>
          </w:rPr>
          <w:delText xml:space="preserve">Gyermeke </w:delText>
        </w:r>
        <w:r w:rsidR="0048779F" w:rsidRPr="00183B5F">
          <w:rPr>
            <w:b/>
            <w:bCs/>
            <w:szCs w:val="22"/>
          </w:rPr>
          <w:delText>Betegemlékeztető</w:delText>
        </w:r>
        <w:r w:rsidRPr="00183B5F">
          <w:rPr>
            <w:b/>
            <w:bCs/>
            <w:szCs w:val="22"/>
          </w:rPr>
          <w:delText xml:space="preserve"> </w:delText>
        </w:r>
        <w:r w:rsidR="00C03472" w:rsidRPr="00183B5F">
          <w:rPr>
            <w:b/>
            <w:bCs/>
            <w:szCs w:val="22"/>
          </w:rPr>
          <w:delText>Kártyá</w:delText>
        </w:r>
        <w:r w:rsidR="00974EF2" w:rsidRPr="00183B5F">
          <w:rPr>
            <w:b/>
            <w:bCs/>
            <w:szCs w:val="22"/>
          </w:rPr>
          <w:delText>ján</w:delText>
        </w:r>
        <w:r w:rsidR="00974EF2" w:rsidRPr="00183B5F">
          <w:rPr>
            <w:szCs w:val="22"/>
          </w:rPr>
          <w:delText xml:space="preserve"> </w:delText>
        </w:r>
        <w:r w:rsidRPr="00183B5F">
          <w:rPr>
            <w:szCs w:val="22"/>
          </w:rPr>
          <w:delText xml:space="preserve">a vizsgálatok </w:delText>
        </w:r>
        <w:r w:rsidR="00301ACA" w:rsidRPr="00183B5F">
          <w:rPr>
            <w:szCs w:val="22"/>
          </w:rPr>
          <w:delText xml:space="preserve">elvégzésének tényét és </w:delText>
        </w:r>
        <w:r w:rsidRPr="00183B5F">
          <w:rPr>
            <w:szCs w:val="22"/>
          </w:rPr>
          <w:delText xml:space="preserve">eredményét vezetni kell. Kezelőorvosával feltétlenül közölje, ha </w:delText>
        </w:r>
        <w:r w:rsidR="00962799" w:rsidRPr="00183B5F">
          <w:rPr>
            <w:szCs w:val="22"/>
          </w:rPr>
          <w:delText xml:space="preserve">gyermeke </w:delText>
        </w:r>
        <w:r w:rsidRPr="00183B5F">
          <w:rPr>
            <w:szCs w:val="22"/>
          </w:rPr>
          <w:delText xml:space="preserve">bármikor </w:delText>
        </w:r>
        <w:r w:rsidRPr="00183B5F">
          <w:rPr>
            <w:bCs/>
            <w:szCs w:val="22"/>
          </w:rPr>
          <w:delText>tuberkulózis</w:delText>
        </w:r>
        <w:r w:rsidRPr="00183B5F">
          <w:rPr>
            <w:szCs w:val="22"/>
          </w:rPr>
          <w:delText xml:space="preserve">ban szenvedett vagy közeli kapcsolatban volt bárkivel, akinek </w:delText>
        </w:r>
        <w:r w:rsidRPr="00183B5F">
          <w:rPr>
            <w:bCs/>
            <w:szCs w:val="22"/>
          </w:rPr>
          <w:delText>tuberkulózis</w:delText>
        </w:r>
        <w:r w:rsidRPr="00183B5F">
          <w:rPr>
            <w:szCs w:val="22"/>
          </w:rPr>
          <w:delText xml:space="preserve">a volt. </w:delText>
        </w:r>
        <w:r w:rsidR="00301ACA" w:rsidRPr="00183B5F">
          <w:rPr>
            <w:szCs w:val="22"/>
          </w:rPr>
          <w:delText xml:space="preserve">A tuberkulózis kialakulhat a kezelés során annak ellenére, hogy gyermekénél tuberkulózis elleni megelőző terápiát alkalmaztak. </w:delText>
        </w:r>
        <w:r w:rsidRPr="00183B5F">
          <w:rPr>
            <w:szCs w:val="22"/>
          </w:rPr>
          <w:delText xml:space="preserve">Ha a </w:delText>
        </w:r>
        <w:r w:rsidRPr="00183B5F">
          <w:rPr>
            <w:bCs/>
            <w:szCs w:val="22"/>
          </w:rPr>
          <w:delText>tuberkulózis</w:delText>
        </w:r>
        <w:r w:rsidRPr="00183B5F">
          <w:rPr>
            <w:szCs w:val="22"/>
          </w:rPr>
          <w:delText xml:space="preserve"> tünetei (hosszan tartó köhögés, testsúlycsökkenés, kedvetlenség, hőemelkedés), vagy más fertőzésre utaló tünetek jelentkeznek a kezelés alatt vagy a kezelést követően, azonnal közölje orvosá</w:delText>
        </w:r>
        <w:r w:rsidRPr="00183B5F">
          <w:rPr>
            <w:szCs w:val="22"/>
          </w:rPr>
          <w:delText>val.</w:delText>
        </w:r>
      </w:del>
    </w:p>
    <w:p w14:paraId="35035324" w14:textId="25257FED" w:rsidR="00FB6710" w:rsidRPr="00183B5F" w:rsidRDefault="00FB6710" w:rsidP="004062FE">
      <w:pPr>
        <w:spacing w:line="240" w:lineRule="auto"/>
        <w:rPr>
          <w:del w:id="10056" w:author="AbbVie_HU_03" w:date="2025-05-14T16:39:00Z"/>
          <w:szCs w:val="22"/>
        </w:rPr>
      </w:pPr>
    </w:p>
    <w:p w14:paraId="5B995655" w14:textId="6A44F134" w:rsidR="00FB6710" w:rsidRPr="00183B5F" w:rsidRDefault="00943743">
      <w:pPr>
        <w:pStyle w:val="EMEABullet2"/>
        <w:numPr>
          <w:ilvl w:val="0"/>
          <w:numId w:val="64"/>
        </w:numPr>
        <w:rPr>
          <w:del w:id="10057" w:author="AbbVie_HU_03" w:date="2025-05-14T16:39:00Z"/>
          <w:szCs w:val="22"/>
          <w:lang w:val="hu-HU"/>
        </w:rPr>
      </w:pPr>
      <w:del w:id="10058" w:author="AbbVie_HU_03" w:date="2025-05-14T16:39:00Z">
        <w:r w:rsidRPr="00183B5F">
          <w:rPr>
            <w:szCs w:val="22"/>
            <w:lang w:val="hu-HU"/>
          </w:rPr>
          <w:delText xml:space="preserve">Tájékoztassa kezelőorvosát, ha </w:delText>
        </w:r>
        <w:r w:rsidR="00974EF2" w:rsidRPr="00183B5F">
          <w:rPr>
            <w:szCs w:val="22"/>
            <w:lang w:val="hu-HU"/>
          </w:rPr>
          <w:delText xml:space="preserve">gyermeke </w:delText>
        </w:r>
        <w:r w:rsidRPr="00183B5F">
          <w:rPr>
            <w:szCs w:val="22"/>
            <w:lang w:val="hu-HU"/>
          </w:rPr>
          <w:delText>olyan területen él vagy olyan területre utazik, ahol a gombák okozta fertőzések, mint például a hisztoplazmózis, kokcidioidomikózis vagy a blasztomikózis helyi, járványos betegségként előfordul</w:delText>
        </w:r>
        <w:r w:rsidR="00EB2BE2" w:rsidRPr="00183B5F">
          <w:rPr>
            <w:szCs w:val="22"/>
            <w:lang w:val="hu-HU"/>
          </w:rPr>
          <w:delText>nak</w:delText>
        </w:r>
        <w:r w:rsidRPr="00183B5F">
          <w:rPr>
            <w:szCs w:val="22"/>
            <w:lang w:val="hu-HU"/>
          </w:rPr>
          <w:delText>.</w:delText>
        </w:r>
      </w:del>
    </w:p>
    <w:p w14:paraId="2491D4F2" w14:textId="71E64E33" w:rsidR="00FB6710" w:rsidRPr="00183B5F" w:rsidRDefault="00FB6710">
      <w:pPr>
        <w:pStyle w:val="EMEANormal"/>
        <w:rPr>
          <w:del w:id="10059" w:author="AbbVie_HU_03" w:date="2025-05-14T16:39:00Z"/>
          <w:szCs w:val="22"/>
          <w:lang w:val="hu-HU"/>
        </w:rPr>
      </w:pPr>
    </w:p>
    <w:p w14:paraId="09A30822" w14:textId="37B4BB0F" w:rsidR="00FB6710" w:rsidRPr="00183B5F" w:rsidRDefault="00943743" w:rsidP="004062FE">
      <w:pPr>
        <w:numPr>
          <w:ilvl w:val="0"/>
          <w:numId w:val="64"/>
        </w:numPr>
        <w:spacing w:line="240" w:lineRule="auto"/>
        <w:rPr>
          <w:del w:id="10060" w:author="AbbVie_HU_03" w:date="2025-05-14T16:39:00Z"/>
          <w:szCs w:val="22"/>
        </w:rPr>
      </w:pPr>
      <w:del w:id="10061" w:author="AbbVie_HU_03" w:date="2025-05-14T16:39:00Z">
        <w:r w:rsidRPr="00183B5F">
          <w:rPr>
            <w:szCs w:val="22"/>
          </w:rPr>
          <w:delText>Közölje orvosával</w:delText>
        </w:r>
        <w:r w:rsidR="00FA632B" w:rsidRPr="00183B5F">
          <w:rPr>
            <w:szCs w:val="22"/>
          </w:rPr>
          <w:delText>,</w:delText>
        </w:r>
        <w:r w:rsidRPr="00183B5F">
          <w:rPr>
            <w:szCs w:val="22"/>
          </w:rPr>
          <w:delText xml:space="preserve"> </w:delText>
        </w:r>
        <w:r w:rsidR="00974EF2" w:rsidRPr="00183B5F">
          <w:rPr>
            <w:szCs w:val="22"/>
          </w:rPr>
          <w:delText>ha gyermek</w:delText>
        </w:r>
        <w:r w:rsidR="00097AE1" w:rsidRPr="00183B5F">
          <w:rPr>
            <w:szCs w:val="22"/>
          </w:rPr>
          <w:delText>e</w:delText>
        </w:r>
        <w:r w:rsidR="00CA6152" w:rsidRPr="00183B5F">
          <w:rPr>
            <w:szCs w:val="22"/>
          </w:rPr>
          <w:delText xml:space="preserve"> kórelő</w:delText>
        </w:r>
        <w:r w:rsidR="006D239E" w:rsidRPr="00183B5F">
          <w:rPr>
            <w:szCs w:val="22"/>
          </w:rPr>
          <w:delText xml:space="preserve">zményében </w:delText>
        </w:r>
        <w:r w:rsidRPr="00183B5F">
          <w:rPr>
            <w:szCs w:val="22"/>
          </w:rPr>
          <w:delText>visszatérő fertőzés</w:delText>
        </w:r>
        <w:r w:rsidR="006D239E" w:rsidRPr="00183B5F">
          <w:rPr>
            <w:szCs w:val="22"/>
          </w:rPr>
          <w:delText xml:space="preserve"> szerepel</w:delText>
        </w:r>
        <w:r w:rsidRPr="00183B5F">
          <w:rPr>
            <w:szCs w:val="22"/>
          </w:rPr>
          <w:delText xml:space="preserve">, vagy egyéb </w:delText>
        </w:r>
        <w:r w:rsidR="00CA6152" w:rsidRPr="00183B5F">
          <w:rPr>
            <w:szCs w:val="22"/>
          </w:rPr>
          <w:delText xml:space="preserve">olyan </w:delText>
        </w:r>
        <w:r w:rsidRPr="00183B5F">
          <w:rPr>
            <w:szCs w:val="22"/>
          </w:rPr>
          <w:delText>állapot</w:delText>
        </w:r>
        <w:r w:rsidR="00974EF2" w:rsidRPr="00183B5F">
          <w:rPr>
            <w:szCs w:val="22"/>
          </w:rPr>
          <w:delText xml:space="preserve"> áll fenn</w:delText>
        </w:r>
        <w:r w:rsidRPr="00183B5F">
          <w:rPr>
            <w:szCs w:val="22"/>
          </w:rPr>
          <w:delText>, ami a fertőzés lehetőségét fokozza.</w:delText>
        </w:r>
      </w:del>
    </w:p>
    <w:p w14:paraId="4E7BA704" w14:textId="2B79037F" w:rsidR="00FB6710" w:rsidRPr="00183B5F" w:rsidRDefault="00FB6710" w:rsidP="004062FE">
      <w:pPr>
        <w:spacing w:line="240" w:lineRule="auto"/>
        <w:rPr>
          <w:del w:id="10062" w:author="AbbVie_HU_03" w:date="2025-05-14T16:39:00Z"/>
          <w:szCs w:val="22"/>
        </w:rPr>
      </w:pPr>
    </w:p>
    <w:p w14:paraId="78C313CD" w14:textId="4A9A5EFB" w:rsidR="00FB6710" w:rsidRPr="00183B5F" w:rsidRDefault="00943743" w:rsidP="004062FE">
      <w:pPr>
        <w:numPr>
          <w:ilvl w:val="0"/>
          <w:numId w:val="20"/>
        </w:numPr>
        <w:tabs>
          <w:tab w:val="clear" w:pos="720"/>
        </w:tabs>
        <w:spacing w:line="240" w:lineRule="auto"/>
        <w:ind w:left="567" w:hanging="567"/>
        <w:rPr>
          <w:del w:id="10063" w:author="AbbVie_HU_03" w:date="2025-05-14T16:39:00Z"/>
          <w:szCs w:val="22"/>
        </w:rPr>
      </w:pPr>
      <w:del w:id="10064" w:author="AbbVie_HU_03" w:date="2025-05-14T16:39:00Z">
        <w:r w:rsidRPr="00183B5F">
          <w:rPr>
            <w:szCs w:val="22"/>
          </w:rPr>
          <w:delText xml:space="preserve">Figyelmeztesse orvosát arra, ha </w:delText>
        </w:r>
        <w:r w:rsidR="003D5151" w:rsidRPr="00183B5F">
          <w:rPr>
            <w:szCs w:val="22"/>
          </w:rPr>
          <w:delText xml:space="preserve">gyermeke </w:delText>
        </w:r>
        <w:r w:rsidRPr="00183B5F">
          <w:rPr>
            <w:szCs w:val="22"/>
          </w:rPr>
          <w:delText xml:space="preserve">hepatitisz B vírus (HBV) -hordozó, netán aktív </w:delText>
        </w:r>
        <w:r w:rsidR="000A456B" w:rsidRPr="00183B5F">
          <w:rPr>
            <w:szCs w:val="22"/>
          </w:rPr>
          <w:delText>HBV</w:delText>
        </w:r>
        <w:r w:rsidR="000A456B" w:rsidRPr="00183B5F">
          <w:rPr>
            <w:szCs w:val="22"/>
          </w:rPr>
          <w:noBreakHyphen/>
          <w:delText>fertőz</w:delText>
        </w:r>
        <w:r w:rsidRPr="00183B5F">
          <w:rPr>
            <w:szCs w:val="22"/>
          </w:rPr>
          <w:delText>ésben szenved, vagy feltételezi, hogy hepatitisz B fertőzés veszélye fenyegetheti.</w:delText>
        </w:r>
        <w:r w:rsidR="00574BA0" w:rsidRPr="00183B5F">
          <w:rPr>
            <w:szCs w:val="22"/>
          </w:rPr>
          <w:delText xml:space="preserve"> Gyermeke orvosának HBV</w:delText>
        </w:r>
        <w:r w:rsidR="00C308BE" w:rsidRPr="00183B5F">
          <w:rPr>
            <w:szCs w:val="22"/>
          </w:rPr>
          <w:noBreakHyphen/>
        </w:r>
        <w:r w:rsidR="00574BA0" w:rsidRPr="00183B5F">
          <w:rPr>
            <w:szCs w:val="22"/>
          </w:rPr>
          <w:delText>vizsgálatot kell végeznie gyermekénél.</w:delText>
        </w:r>
        <w:r w:rsidRPr="00183B5F">
          <w:rPr>
            <w:szCs w:val="22"/>
          </w:rPr>
          <w:delText xml:space="preserve"> A Humira a vírushordozókban ismét aktiválhatja a HBV</w:delText>
        </w:r>
        <w:r w:rsidR="00EB22A0" w:rsidRPr="00183B5F">
          <w:rPr>
            <w:szCs w:val="22"/>
          </w:rPr>
          <w:noBreakHyphen/>
        </w:r>
        <w:r w:rsidRPr="00183B5F">
          <w:rPr>
            <w:szCs w:val="22"/>
          </w:rPr>
          <w:delText xml:space="preserve">t. Egyes ritka esetekben – különösen ha </w:delText>
        </w:r>
        <w:r w:rsidR="003D5151" w:rsidRPr="00183B5F">
          <w:rPr>
            <w:szCs w:val="22"/>
          </w:rPr>
          <w:delText xml:space="preserve">gyermeke </w:delText>
        </w:r>
        <w:r w:rsidRPr="00183B5F">
          <w:rPr>
            <w:szCs w:val="22"/>
          </w:rPr>
          <w:delText>más, az immunrendszer működését gátló szereket is szed – a HBV ismételt aktiválódása életveszélyes lehet.</w:delText>
        </w:r>
      </w:del>
    </w:p>
    <w:p w14:paraId="6EDB8705" w14:textId="1F3A9C93" w:rsidR="00A04FB4" w:rsidRPr="00183B5F" w:rsidRDefault="00A04FB4" w:rsidP="004062FE">
      <w:pPr>
        <w:spacing w:line="240" w:lineRule="auto"/>
        <w:ind w:left="567"/>
        <w:rPr>
          <w:del w:id="10065" w:author="AbbVie_HU_03" w:date="2025-05-14T16:39:00Z"/>
          <w:szCs w:val="22"/>
        </w:rPr>
      </w:pPr>
    </w:p>
    <w:p w14:paraId="76D7CC37" w14:textId="509AC93D" w:rsidR="00722692" w:rsidRPr="00183B5F" w:rsidRDefault="00943743" w:rsidP="004062FE">
      <w:pPr>
        <w:numPr>
          <w:ilvl w:val="0"/>
          <w:numId w:val="20"/>
        </w:numPr>
        <w:tabs>
          <w:tab w:val="clear" w:pos="720"/>
        </w:tabs>
        <w:spacing w:line="240" w:lineRule="auto"/>
        <w:ind w:left="567" w:hanging="567"/>
        <w:rPr>
          <w:del w:id="10066" w:author="AbbVie_HU_03" w:date="2025-05-14T16:39:00Z"/>
        </w:rPr>
      </w:pPr>
      <w:del w:id="10067" w:author="AbbVie_HU_03" w:date="2025-05-14T16:39:00Z">
        <w:r w:rsidRPr="00183B5F">
          <w:delText>Fontos, hogy mondja el gyermeke kezelőorvosának, ha gyermekének fertőzésre utaló tünetei vannak, mint például láz, sebek, fáradtságérzés vagy fogászati problémák.</w:delText>
        </w:r>
      </w:del>
    </w:p>
    <w:p w14:paraId="4FC24E7E" w14:textId="5D271B80" w:rsidR="00722692" w:rsidRPr="00183B5F" w:rsidRDefault="00722692">
      <w:pPr>
        <w:pStyle w:val="EMEANormal"/>
        <w:rPr>
          <w:del w:id="10068" w:author="AbbVie_HU_03" w:date="2025-05-14T16:39:00Z"/>
          <w:lang w:val="hu-HU"/>
        </w:rPr>
      </w:pPr>
    </w:p>
    <w:p w14:paraId="6C4A22FE" w14:textId="51C2BCE7" w:rsidR="003D5151" w:rsidRPr="00183B5F" w:rsidRDefault="00943743">
      <w:pPr>
        <w:pStyle w:val="EMEABullet2"/>
        <w:numPr>
          <w:ilvl w:val="0"/>
          <w:numId w:val="20"/>
        </w:numPr>
        <w:tabs>
          <w:tab w:val="clear" w:pos="720"/>
          <w:tab w:val="num" w:pos="567"/>
        </w:tabs>
        <w:ind w:left="567" w:hanging="567"/>
        <w:rPr>
          <w:del w:id="10069" w:author="AbbVie_HU_03" w:date="2025-05-14T16:39:00Z"/>
          <w:szCs w:val="22"/>
          <w:lang w:val="hu-HU"/>
        </w:rPr>
      </w:pPr>
      <w:del w:id="10070" w:author="AbbVie_HU_03" w:date="2025-05-14T16:39:00Z">
        <w:r w:rsidRPr="00183B5F">
          <w:rPr>
            <w:szCs w:val="22"/>
            <w:lang w:val="hu-HU"/>
          </w:rPr>
          <w:delText xml:space="preserve">Ha gyermeke sebészeti vagy fogászati beavatkozás előtt áll, tájékoztassa orvosát, hogy Humira-kezelésben részesül. </w:delText>
        </w:r>
        <w:r w:rsidRPr="00183B5F">
          <w:rPr>
            <w:lang w:val="hu-HU"/>
          </w:rPr>
          <w:delText>Orvosa a kezelés átmeneti felfüggesztését javasolhatja.</w:delText>
        </w:r>
      </w:del>
    </w:p>
    <w:p w14:paraId="732D67B3" w14:textId="36D5DB5C" w:rsidR="003D5151" w:rsidRPr="00183B5F" w:rsidRDefault="003D5151" w:rsidP="004062FE">
      <w:pPr>
        <w:spacing w:line="240" w:lineRule="auto"/>
        <w:rPr>
          <w:del w:id="10071" w:author="AbbVie_HU_03" w:date="2025-05-14T16:39:00Z"/>
          <w:szCs w:val="22"/>
        </w:rPr>
      </w:pPr>
    </w:p>
    <w:p w14:paraId="2FF040EE" w14:textId="70772C73" w:rsidR="003D5151" w:rsidRPr="00183B5F" w:rsidRDefault="00943743">
      <w:pPr>
        <w:pStyle w:val="EMEABullet2"/>
        <w:numPr>
          <w:ilvl w:val="0"/>
          <w:numId w:val="20"/>
        </w:numPr>
        <w:tabs>
          <w:tab w:val="clear" w:pos="720"/>
          <w:tab w:val="num" w:pos="567"/>
        </w:tabs>
        <w:ind w:left="567" w:hanging="567"/>
        <w:rPr>
          <w:del w:id="10072" w:author="AbbVie_HU_03" w:date="2025-05-14T16:39:00Z"/>
          <w:szCs w:val="22"/>
          <w:lang w:val="hu-HU"/>
        </w:rPr>
      </w:pPr>
      <w:del w:id="10073" w:author="AbbVie_HU_03" w:date="2025-05-14T16:39:00Z">
        <w:r w:rsidRPr="00183B5F">
          <w:rPr>
            <w:szCs w:val="22"/>
            <w:lang w:val="hu-HU"/>
          </w:rPr>
          <w:delText>Ha gyermeke az idegrostok velőshüvelyének lebomlásával (demielinizációval) járó betegségben szenved</w:delText>
        </w:r>
        <w:r w:rsidR="00D96D7B" w:rsidRPr="00183B5F">
          <w:rPr>
            <w:szCs w:val="22"/>
            <w:lang w:val="hu-HU"/>
          </w:rPr>
          <w:delText xml:space="preserve">, vagy ilyen típusú betegség alakul ki nála </w:delText>
        </w:r>
        <w:r w:rsidRPr="00183B5F">
          <w:rPr>
            <w:szCs w:val="22"/>
            <w:lang w:val="hu-HU"/>
          </w:rPr>
          <w:delText>(mint amilyen a szklerózis multiplex), kezelőorvosa dönti el, hogy a Humira-kezelés alkalmazható</w:delText>
        </w:r>
        <w:r w:rsidRPr="00183B5F">
          <w:rPr>
            <w:szCs w:val="22"/>
            <w:lang w:val="hu-HU"/>
          </w:rPr>
          <w:noBreakHyphen/>
          <w:delText>e</w:delText>
        </w:r>
        <w:r w:rsidR="00D96D7B" w:rsidRPr="00183B5F">
          <w:rPr>
            <w:szCs w:val="22"/>
            <w:lang w:val="hu-HU"/>
          </w:rPr>
          <w:delText>, vagy folytatható</w:delText>
        </w:r>
        <w:r w:rsidR="00D96D7B" w:rsidRPr="00183B5F">
          <w:rPr>
            <w:szCs w:val="22"/>
            <w:lang w:val="hu-HU"/>
          </w:rPr>
          <w:noBreakHyphen/>
          <w:delText>e</w:delText>
        </w:r>
        <w:r w:rsidRPr="00183B5F">
          <w:rPr>
            <w:szCs w:val="22"/>
            <w:lang w:val="hu-HU"/>
          </w:rPr>
          <w:delText xml:space="preserve"> </w:delText>
        </w:r>
        <w:r w:rsidR="0054491C" w:rsidRPr="00183B5F">
          <w:rPr>
            <w:szCs w:val="22"/>
            <w:lang w:val="hu-HU"/>
          </w:rPr>
          <w:delText>gyermeke</w:delText>
        </w:r>
        <w:r w:rsidRPr="00183B5F">
          <w:rPr>
            <w:szCs w:val="22"/>
            <w:lang w:val="hu-HU"/>
          </w:rPr>
          <w:delText xml:space="preserve"> esetében.</w:delText>
        </w:r>
        <w:r w:rsidR="00D96D7B" w:rsidRPr="00183B5F">
          <w:rPr>
            <w:szCs w:val="22"/>
            <w:lang w:val="hu-HU"/>
          </w:rPr>
          <w:delText xml:space="preserve"> Azonnal tájékoztassa kezelőorvosát, ha gyermeke olyan tüneteket tapasztal, mint a megváltozott látás, kar</w:delText>
        </w:r>
        <w:r w:rsidR="00D96D7B" w:rsidRPr="00183B5F">
          <w:rPr>
            <w:szCs w:val="22"/>
            <w:lang w:val="hu-HU"/>
          </w:rPr>
          <w:noBreakHyphen/>
          <w:delText xml:space="preserve"> vagy lábgyengeség, illetve zsibbadás vagy bizsergés a test bármelyik részén. </w:delText>
        </w:r>
      </w:del>
    </w:p>
    <w:p w14:paraId="2EF7AA87" w14:textId="26F13CC7" w:rsidR="003D5151" w:rsidRPr="00183B5F" w:rsidRDefault="003D5151">
      <w:pPr>
        <w:pStyle w:val="EMEANormal"/>
        <w:rPr>
          <w:del w:id="10074" w:author="AbbVie_HU_03" w:date="2025-05-14T16:39:00Z"/>
          <w:szCs w:val="22"/>
          <w:lang w:val="hu-HU"/>
        </w:rPr>
      </w:pPr>
    </w:p>
    <w:p w14:paraId="6E55BC21" w14:textId="5A132393" w:rsidR="00FB6710" w:rsidRPr="00183B5F" w:rsidRDefault="00943743">
      <w:pPr>
        <w:pStyle w:val="EMEABullet2"/>
        <w:numPr>
          <w:ilvl w:val="0"/>
          <w:numId w:val="20"/>
        </w:numPr>
        <w:tabs>
          <w:tab w:val="clear" w:pos="720"/>
          <w:tab w:val="num" w:pos="567"/>
        </w:tabs>
        <w:ind w:left="567" w:hanging="567"/>
        <w:rPr>
          <w:del w:id="10075" w:author="AbbVie_HU_03" w:date="2025-05-14T16:39:00Z"/>
          <w:szCs w:val="22"/>
          <w:lang w:val="hu-HU"/>
        </w:rPr>
      </w:pPr>
      <w:del w:id="10076" w:author="AbbVie_HU_03" w:date="2025-05-14T16:39:00Z">
        <w:r w:rsidRPr="00183B5F">
          <w:rPr>
            <w:szCs w:val="22"/>
            <w:lang w:val="hu-HU"/>
          </w:rPr>
          <w:delText xml:space="preserve">Humira alkalmazása során </w:delText>
        </w:r>
        <w:r w:rsidR="00574BA0" w:rsidRPr="00183B5F">
          <w:rPr>
            <w:szCs w:val="22"/>
            <w:lang w:val="hu-HU"/>
          </w:rPr>
          <w:delText xml:space="preserve">bizonyos </w:delText>
        </w:r>
        <w:r w:rsidRPr="00183B5F">
          <w:rPr>
            <w:szCs w:val="22"/>
            <w:lang w:val="hu-HU"/>
          </w:rPr>
          <w:delText>védőoltás</w:delText>
        </w:r>
        <w:r w:rsidR="00574BA0" w:rsidRPr="00183B5F">
          <w:rPr>
            <w:szCs w:val="22"/>
            <w:lang w:val="hu-HU"/>
          </w:rPr>
          <w:delText>ok</w:delText>
        </w:r>
        <w:r w:rsidRPr="00183B5F">
          <w:rPr>
            <w:szCs w:val="22"/>
            <w:lang w:val="hu-HU"/>
          </w:rPr>
          <w:delText xml:space="preserve"> </w:delText>
        </w:r>
        <w:r w:rsidR="00574BA0" w:rsidRPr="00183B5F">
          <w:rPr>
            <w:szCs w:val="22"/>
            <w:lang w:val="hu-HU"/>
          </w:rPr>
          <w:delText xml:space="preserve">fertőzést okozhatnak, és ezért </w:delText>
        </w:r>
        <w:r w:rsidRPr="00183B5F">
          <w:rPr>
            <w:szCs w:val="22"/>
            <w:lang w:val="hu-HU"/>
          </w:rPr>
          <w:delText>nem adható</w:delText>
        </w:r>
        <w:r w:rsidR="00574BA0" w:rsidRPr="00183B5F">
          <w:rPr>
            <w:szCs w:val="22"/>
            <w:lang w:val="hu-HU"/>
          </w:rPr>
          <w:delText>ak</w:delText>
        </w:r>
        <w:r w:rsidRPr="00183B5F">
          <w:rPr>
            <w:szCs w:val="22"/>
            <w:lang w:val="hu-HU"/>
          </w:rPr>
          <w:delText xml:space="preserve">. Védőoltás gyermekének történő beadását megelőzően beszéljen orvosával. Ajánlott, hogy – ha lehetséges -, </w:delText>
        </w:r>
        <w:r w:rsidR="006255E5" w:rsidRPr="00183B5F">
          <w:rPr>
            <w:szCs w:val="22"/>
            <w:lang w:val="hu-HU"/>
          </w:rPr>
          <w:delText>a gyermekeknek</w:delText>
        </w:r>
        <w:r w:rsidRPr="00183B5F">
          <w:rPr>
            <w:szCs w:val="22"/>
            <w:lang w:val="hu-HU"/>
          </w:rPr>
          <w:delText xml:space="preserve"> a Humira</w:delText>
        </w:r>
        <w:r w:rsidR="00EB22A0" w:rsidRPr="00183B5F">
          <w:rPr>
            <w:szCs w:val="22"/>
            <w:lang w:val="hu-HU"/>
          </w:rPr>
          <w:noBreakHyphen/>
        </w:r>
        <w:r w:rsidRPr="00183B5F">
          <w:rPr>
            <w:szCs w:val="22"/>
            <w:lang w:val="hu-HU"/>
          </w:rPr>
          <w:delText xml:space="preserve">kezelés megkezdése előtt adjanak be minden védőoltást a hatályos védőoltási irányelvek alapján. </w:delText>
        </w:r>
        <w:r w:rsidR="00574BA0" w:rsidRPr="00183B5F">
          <w:rPr>
            <w:szCs w:val="22"/>
            <w:lang w:val="hu-HU"/>
          </w:rPr>
          <w:delText xml:space="preserve">Ha a terhessége </w:delText>
        </w:r>
        <w:r w:rsidR="00C308BE" w:rsidRPr="00183B5F">
          <w:rPr>
            <w:szCs w:val="22"/>
            <w:lang w:val="hu-HU"/>
          </w:rPr>
          <w:delText>alatt</w:delText>
        </w:r>
        <w:r w:rsidR="00574BA0" w:rsidRPr="00183B5F">
          <w:rPr>
            <w:szCs w:val="22"/>
            <w:lang w:val="hu-HU"/>
          </w:rPr>
          <w:delText xml:space="preserve"> </w:delText>
        </w:r>
        <w:r w:rsidR="00D31746" w:rsidRPr="00183B5F">
          <w:rPr>
            <w:szCs w:val="22"/>
            <w:lang w:val="hu-HU"/>
          </w:rPr>
          <w:delText>Humira</w:delText>
        </w:r>
        <w:r w:rsidR="00EB22A0" w:rsidRPr="00183B5F">
          <w:rPr>
            <w:szCs w:val="22"/>
            <w:lang w:val="hu-HU"/>
          </w:rPr>
          <w:noBreakHyphen/>
        </w:r>
        <w:r w:rsidR="00D31746" w:rsidRPr="00183B5F">
          <w:rPr>
            <w:szCs w:val="22"/>
            <w:lang w:val="hu-HU"/>
          </w:rPr>
          <w:delText>t</w:delText>
        </w:r>
        <w:r w:rsidR="00574BA0" w:rsidRPr="00183B5F">
          <w:rPr>
            <w:szCs w:val="22"/>
            <w:lang w:val="hu-HU"/>
          </w:rPr>
          <w:delText xml:space="preserve"> kapott, a kisbabája </w:delText>
        </w:r>
        <w:r w:rsidR="00722430" w:rsidRPr="00183B5F">
          <w:rPr>
            <w:szCs w:val="22"/>
            <w:lang w:val="hu-HU"/>
          </w:rPr>
          <w:delText xml:space="preserve">a terhesség </w:delText>
        </w:r>
        <w:r w:rsidR="00C308BE" w:rsidRPr="00183B5F">
          <w:rPr>
            <w:szCs w:val="22"/>
            <w:lang w:val="hu-HU"/>
          </w:rPr>
          <w:delText>alatt</w:delText>
        </w:r>
        <w:r w:rsidR="00722430" w:rsidRPr="00183B5F">
          <w:rPr>
            <w:szCs w:val="22"/>
            <w:lang w:val="hu-HU"/>
          </w:rPr>
          <w:delText xml:space="preserve"> kapott utolsó </w:delText>
        </w:r>
        <w:r w:rsidR="00C308BE" w:rsidRPr="00183B5F">
          <w:rPr>
            <w:szCs w:val="22"/>
            <w:lang w:val="hu-HU"/>
          </w:rPr>
          <w:delText>adagot</w:delText>
        </w:r>
        <w:r w:rsidR="00722430" w:rsidRPr="00183B5F">
          <w:rPr>
            <w:szCs w:val="22"/>
            <w:lang w:val="hu-HU"/>
          </w:rPr>
          <w:delText xml:space="preserve"> követően legfeljebb 5</w:delText>
        </w:r>
        <w:r w:rsidR="00EB22A0" w:rsidRPr="00183B5F">
          <w:rPr>
            <w:szCs w:val="22"/>
            <w:lang w:val="hu-HU"/>
          </w:rPr>
          <w:delText> </w:delText>
        </w:r>
        <w:r w:rsidR="00722430" w:rsidRPr="00183B5F">
          <w:rPr>
            <w:szCs w:val="22"/>
            <w:lang w:val="hu-HU"/>
          </w:rPr>
          <w:delText xml:space="preserve">hónapig </w:delText>
        </w:r>
        <w:r w:rsidR="00574BA0" w:rsidRPr="00183B5F">
          <w:rPr>
            <w:szCs w:val="22"/>
            <w:lang w:val="hu-HU"/>
          </w:rPr>
          <w:delText>nagyobb eséllyel kap</w:delText>
        </w:r>
        <w:r w:rsidR="00722430" w:rsidRPr="00183B5F">
          <w:rPr>
            <w:szCs w:val="22"/>
            <w:lang w:val="hu-HU"/>
          </w:rPr>
          <w:delText>hat</w:delText>
        </w:r>
        <w:r w:rsidR="00574BA0" w:rsidRPr="00183B5F">
          <w:rPr>
            <w:szCs w:val="22"/>
            <w:lang w:val="hu-HU"/>
          </w:rPr>
          <w:delText xml:space="preserve"> el </w:delText>
        </w:r>
        <w:r w:rsidR="00722430" w:rsidRPr="00183B5F">
          <w:rPr>
            <w:szCs w:val="22"/>
            <w:lang w:val="hu-HU"/>
          </w:rPr>
          <w:delText>valamilyen</w:delText>
        </w:r>
        <w:r w:rsidR="00574BA0" w:rsidRPr="00183B5F">
          <w:rPr>
            <w:szCs w:val="22"/>
            <w:lang w:val="hu-HU"/>
          </w:rPr>
          <w:delText xml:space="preserve"> fertőzést</w:delText>
        </w:r>
        <w:r w:rsidR="00722430" w:rsidRPr="00183B5F">
          <w:rPr>
            <w:szCs w:val="22"/>
            <w:lang w:val="hu-HU"/>
          </w:rPr>
          <w:delText>.</w:delText>
        </w:r>
        <w:r w:rsidR="00574BA0" w:rsidRPr="00183B5F">
          <w:rPr>
            <w:szCs w:val="22"/>
            <w:lang w:val="hu-HU"/>
          </w:rPr>
          <w:delText xml:space="preserve"> Fontos, hogy elmondja kisbab</w:delText>
        </w:r>
        <w:r w:rsidR="00005BA8" w:rsidRPr="00183B5F">
          <w:rPr>
            <w:szCs w:val="22"/>
            <w:lang w:val="hu-HU"/>
          </w:rPr>
          <w:delText>ája orvosának vagy az őt kezel</w:delText>
        </w:r>
        <w:r w:rsidR="00574BA0" w:rsidRPr="00183B5F">
          <w:rPr>
            <w:szCs w:val="22"/>
            <w:lang w:val="hu-HU"/>
          </w:rPr>
          <w:delText>ő egészségügyi személyzetnek</w:delText>
        </w:r>
        <w:r w:rsidR="00005BA8" w:rsidRPr="00183B5F">
          <w:rPr>
            <w:szCs w:val="22"/>
            <w:lang w:val="hu-HU"/>
          </w:rPr>
          <w:delText xml:space="preserve">, hogy a terhessége </w:delText>
        </w:r>
        <w:r w:rsidR="00C308BE" w:rsidRPr="00183B5F">
          <w:rPr>
            <w:szCs w:val="22"/>
            <w:lang w:val="hu-HU"/>
          </w:rPr>
          <w:delText>alatt</w:delText>
        </w:r>
        <w:r w:rsidR="00005BA8" w:rsidRPr="00183B5F">
          <w:rPr>
            <w:szCs w:val="22"/>
            <w:lang w:val="hu-HU"/>
          </w:rPr>
          <w:delText xml:space="preserve"> </w:delText>
        </w:r>
        <w:r w:rsidR="00D31746" w:rsidRPr="00183B5F">
          <w:rPr>
            <w:szCs w:val="22"/>
            <w:lang w:val="hu-HU"/>
          </w:rPr>
          <w:delText>Humira</w:delText>
        </w:r>
        <w:r w:rsidR="00EB22A0" w:rsidRPr="00183B5F">
          <w:rPr>
            <w:szCs w:val="22"/>
            <w:lang w:val="hu-HU"/>
          </w:rPr>
          <w:noBreakHyphen/>
        </w:r>
        <w:r w:rsidR="00D31746" w:rsidRPr="00183B5F">
          <w:rPr>
            <w:szCs w:val="22"/>
            <w:lang w:val="hu-HU"/>
          </w:rPr>
          <w:delText>t</w:delText>
        </w:r>
        <w:r w:rsidR="00005BA8" w:rsidRPr="00183B5F">
          <w:rPr>
            <w:szCs w:val="22"/>
            <w:lang w:val="hu-HU"/>
          </w:rPr>
          <w:delText xml:space="preserve"> kapott, így ők el tudják dönteni, hogy kisbabáj</w:delText>
        </w:r>
        <w:r w:rsidR="00C308BE" w:rsidRPr="00183B5F">
          <w:rPr>
            <w:szCs w:val="22"/>
            <w:lang w:val="hu-HU"/>
          </w:rPr>
          <w:delText>ának</w:delText>
        </w:r>
        <w:r w:rsidR="00005BA8" w:rsidRPr="00183B5F">
          <w:rPr>
            <w:szCs w:val="22"/>
            <w:lang w:val="hu-HU"/>
          </w:rPr>
          <w:delText xml:space="preserve"> mikor</w:delText>
        </w:r>
        <w:r w:rsidR="00C308BE" w:rsidRPr="00183B5F">
          <w:rPr>
            <w:szCs w:val="22"/>
            <w:lang w:val="hu-HU"/>
          </w:rPr>
          <w:delText xml:space="preserve"> kell valamilyen</w:delText>
        </w:r>
        <w:r w:rsidR="00005BA8" w:rsidRPr="00183B5F">
          <w:rPr>
            <w:szCs w:val="22"/>
            <w:lang w:val="hu-HU"/>
          </w:rPr>
          <w:delText xml:space="preserve"> védőoltást kap</w:delText>
        </w:r>
        <w:r w:rsidR="00C308BE" w:rsidRPr="00183B5F">
          <w:rPr>
            <w:szCs w:val="22"/>
            <w:lang w:val="hu-HU"/>
          </w:rPr>
          <w:delText>nia</w:delText>
        </w:r>
        <w:r w:rsidR="00005BA8" w:rsidRPr="00183B5F">
          <w:rPr>
            <w:szCs w:val="22"/>
            <w:lang w:val="hu-HU"/>
          </w:rPr>
          <w:delText>.</w:delText>
        </w:r>
      </w:del>
    </w:p>
    <w:p w14:paraId="6A1F3BF1" w14:textId="2B48B34B" w:rsidR="00FB6710" w:rsidRPr="00183B5F" w:rsidRDefault="00FB6710" w:rsidP="004062FE">
      <w:pPr>
        <w:spacing w:line="240" w:lineRule="auto"/>
        <w:rPr>
          <w:del w:id="10077" w:author="AbbVie_HU_03" w:date="2025-05-14T16:39:00Z"/>
          <w:szCs w:val="22"/>
        </w:rPr>
      </w:pPr>
    </w:p>
    <w:p w14:paraId="4B4B736D" w14:textId="1FF22D84" w:rsidR="00FB6710" w:rsidRPr="00183B5F" w:rsidRDefault="00943743" w:rsidP="004062FE">
      <w:pPr>
        <w:numPr>
          <w:ilvl w:val="0"/>
          <w:numId w:val="20"/>
        </w:numPr>
        <w:tabs>
          <w:tab w:val="clear" w:pos="720"/>
        </w:tabs>
        <w:spacing w:line="240" w:lineRule="auto"/>
        <w:ind w:left="567" w:hanging="567"/>
        <w:rPr>
          <w:del w:id="10078" w:author="AbbVie_HU_03" w:date="2025-05-14T16:39:00Z"/>
          <w:szCs w:val="22"/>
        </w:rPr>
      </w:pPr>
      <w:del w:id="10079" w:author="AbbVie_HU_03" w:date="2025-05-14T16:39:00Z">
        <w:r w:rsidRPr="00183B5F">
          <w:rPr>
            <w:szCs w:val="22"/>
          </w:rPr>
          <w:delText>Ha gyermekének enyhe szívelégtelensége van és Humira</w:delText>
        </w:r>
        <w:r w:rsidR="00EB22A0" w:rsidRPr="00183B5F">
          <w:rPr>
            <w:szCs w:val="22"/>
          </w:rPr>
          <w:noBreakHyphen/>
        </w:r>
        <w:r w:rsidRPr="00183B5F">
          <w:rPr>
            <w:szCs w:val="22"/>
          </w:rPr>
          <w:delText xml:space="preserve">kezelésben részesül, a szívelégtelenség állapotát orvosának szorosan követnie kell. Kezelőorvosával feltétlenül közölje, ha gyermekének </w:delText>
        </w:r>
        <w:r w:rsidR="00962799" w:rsidRPr="00183B5F">
          <w:rPr>
            <w:szCs w:val="22"/>
          </w:rPr>
          <w:delText>súlyos szív</w:delText>
        </w:r>
        <w:r w:rsidR="00180598" w:rsidRPr="00183B5F">
          <w:rPr>
            <w:szCs w:val="22"/>
          </w:rPr>
          <w:delText>betegsége</w:delText>
        </w:r>
        <w:r w:rsidR="00962799" w:rsidRPr="00183B5F">
          <w:rPr>
            <w:szCs w:val="22"/>
          </w:rPr>
          <w:delText xml:space="preserve"> </w:delText>
        </w:r>
        <w:r w:rsidRPr="00183B5F">
          <w:rPr>
            <w:szCs w:val="22"/>
          </w:rPr>
          <w:delText>volt</w:delText>
        </w:r>
        <w:r w:rsidR="00180598" w:rsidRPr="00183B5F">
          <w:rPr>
            <w:szCs w:val="22"/>
          </w:rPr>
          <w:delText xml:space="preserve">, </w:delText>
        </w:r>
        <w:r w:rsidRPr="00183B5F">
          <w:rPr>
            <w:szCs w:val="22"/>
          </w:rPr>
          <w:delText xml:space="preserve">vagy </w:delText>
        </w:r>
        <w:r w:rsidR="00962799" w:rsidRPr="00183B5F">
          <w:rPr>
            <w:szCs w:val="22"/>
          </w:rPr>
          <w:delText xml:space="preserve">jelenleg is </w:delText>
        </w:r>
        <w:r w:rsidR="00180598" w:rsidRPr="00183B5F">
          <w:rPr>
            <w:szCs w:val="22"/>
          </w:rPr>
          <w:delText>van</w:delText>
        </w:r>
        <w:r w:rsidRPr="00183B5F">
          <w:rPr>
            <w:szCs w:val="22"/>
          </w:rPr>
          <w:delText>. Ha gyermeke új tünetek kialakulását vagy a szívelégtelenség tüneteinek rosszabbodását észleli (</w:delText>
        </w:r>
        <w:r w:rsidR="00F15477" w:rsidRPr="00183B5F">
          <w:rPr>
            <w:bCs/>
            <w:szCs w:val="22"/>
          </w:rPr>
          <w:delText>például</w:delText>
        </w:r>
        <w:r w:rsidRPr="00183B5F">
          <w:rPr>
            <w:szCs w:val="22"/>
          </w:rPr>
          <w:delText xml:space="preserve"> légszomj, vagy lábdagadás), azonnal közölje orvosával. A kezelőorvos el fogja dönteni, hogy az Ön gyermeke kaphat-e Humira</w:delText>
        </w:r>
        <w:r w:rsidR="00EB22A0" w:rsidRPr="00183B5F">
          <w:rPr>
            <w:szCs w:val="22"/>
          </w:rPr>
          <w:noBreakHyphen/>
        </w:r>
        <w:r w:rsidRPr="00183B5F">
          <w:rPr>
            <w:szCs w:val="22"/>
          </w:rPr>
          <w:delText>t.</w:delText>
        </w:r>
      </w:del>
    </w:p>
    <w:p w14:paraId="28980580" w14:textId="28C8D1F5" w:rsidR="00FB6710" w:rsidRPr="00183B5F" w:rsidRDefault="00FB6710" w:rsidP="004062FE">
      <w:pPr>
        <w:spacing w:line="240" w:lineRule="auto"/>
        <w:rPr>
          <w:del w:id="10080" w:author="AbbVie_HU_03" w:date="2025-05-14T16:39:00Z"/>
          <w:szCs w:val="22"/>
        </w:rPr>
      </w:pPr>
    </w:p>
    <w:p w14:paraId="6B17BE5D" w14:textId="7B8261F6" w:rsidR="00FB6710" w:rsidRPr="00183B5F" w:rsidRDefault="00943743" w:rsidP="004062FE">
      <w:pPr>
        <w:numPr>
          <w:ilvl w:val="0"/>
          <w:numId w:val="20"/>
        </w:numPr>
        <w:tabs>
          <w:tab w:val="clear" w:pos="720"/>
        </w:tabs>
        <w:spacing w:line="240" w:lineRule="auto"/>
        <w:ind w:left="567" w:hanging="567"/>
        <w:rPr>
          <w:del w:id="10081" w:author="AbbVie_HU_03" w:date="2025-05-14T16:39:00Z"/>
          <w:szCs w:val="22"/>
        </w:rPr>
      </w:pPr>
      <w:del w:id="10082" w:author="AbbVie_HU_03" w:date="2025-05-14T16:39:00Z">
        <w:r w:rsidRPr="00183B5F">
          <w:rPr>
            <w:szCs w:val="22"/>
          </w:rPr>
          <w:delText xml:space="preserve">Bizonyos betegségekben a szervezet nem termel elég olyan vérsejtet, melyek segítenék </w:delText>
        </w:r>
        <w:r w:rsidR="00CB0AE0" w:rsidRPr="00183B5F">
          <w:rPr>
            <w:szCs w:val="22"/>
          </w:rPr>
          <w:delText>gyermekét</w:delText>
        </w:r>
        <w:r w:rsidRPr="00183B5F">
          <w:rPr>
            <w:szCs w:val="22"/>
          </w:rPr>
          <w:delText xml:space="preserve"> a fertőzés elleni küzdelemben, vagy megállítanák a vérzést. Ha </w:delText>
        </w:r>
        <w:r w:rsidR="00CB0AE0" w:rsidRPr="00183B5F">
          <w:rPr>
            <w:szCs w:val="22"/>
          </w:rPr>
          <w:delText xml:space="preserve">gyermekének </w:delText>
        </w:r>
        <w:r w:rsidRPr="00183B5F">
          <w:rPr>
            <w:szCs w:val="22"/>
          </w:rPr>
          <w:delText>csillapíthatatlan láza van, véraláfutása van, vagy könnyen vérzik és sápadtnak látszik, értesítse orvosát. Orvosa eldönti, hogy folytassák-e a kezelést.</w:delText>
        </w:r>
      </w:del>
    </w:p>
    <w:p w14:paraId="08EEDED7" w14:textId="53F521D6" w:rsidR="00FB6710" w:rsidRPr="00183B5F" w:rsidRDefault="00FB6710" w:rsidP="004062FE">
      <w:pPr>
        <w:spacing w:line="240" w:lineRule="auto"/>
        <w:rPr>
          <w:del w:id="10083" w:author="AbbVie_HU_03" w:date="2025-05-14T16:39:00Z"/>
          <w:szCs w:val="22"/>
        </w:rPr>
      </w:pPr>
    </w:p>
    <w:p w14:paraId="4EE784B1" w14:textId="76E92C8E" w:rsidR="00FB6710" w:rsidRPr="00183B5F" w:rsidRDefault="00943743" w:rsidP="004062FE">
      <w:pPr>
        <w:numPr>
          <w:ilvl w:val="0"/>
          <w:numId w:val="20"/>
        </w:numPr>
        <w:tabs>
          <w:tab w:val="clear" w:pos="720"/>
        </w:tabs>
        <w:spacing w:line="240" w:lineRule="auto"/>
        <w:ind w:left="567" w:hanging="567"/>
        <w:rPr>
          <w:del w:id="10084" w:author="AbbVie_HU_03" w:date="2025-05-14T16:39:00Z"/>
          <w:szCs w:val="22"/>
        </w:rPr>
      </w:pPr>
      <w:del w:id="10085" w:author="AbbVie_HU_03" w:date="2025-05-14T16:39:00Z">
        <w:r w:rsidRPr="00183B5F">
          <w:rPr>
            <w:szCs w:val="22"/>
          </w:rPr>
          <w:delText>Nagyon ritkán előfordul, hogy a Humira</w:delText>
        </w:r>
        <w:r w:rsidR="00EB22A0" w:rsidRPr="00183B5F">
          <w:rPr>
            <w:szCs w:val="22"/>
          </w:rPr>
          <w:noBreakHyphen/>
        </w:r>
        <w:r w:rsidRPr="00183B5F">
          <w:rPr>
            <w:szCs w:val="22"/>
          </w:rPr>
          <w:delText>t vagy más TNF</w:delText>
        </w:r>
        <w:r w:rsidR="00EB22A0" w:rsidRPr="00183B5F">
          <w:rPr>
            <w:szCs w:val="22"/>
          </w:rPr>
          <w:noBreakHyphen/>
        </w:r>
        <w:r w:rsidR="00332587" w:rsidRPr="00183B5F">
          <w:rPr>
            <w:szCs w:val="22"/>
          </w:rPr>
          <w:delText>antagonista</w:delText>
        </w:r>
        <w:r w:rsidRPr="00183B5F">
          <w:rPr>
            <w:szCs w:val="22"/>
          </w:rPr>
          <w:delText xml:space="preserve"> gyógyszert szedő betegeknél bizonyos daganatfajta jelentkezik. A hosszú ideje súlyos reumatoid artritiszben szenvedő betegeknek az átlagosnál nagyobb a kockázatuk, hogy limfóma alakul ki, amely a nyirokrendszert érintő daganat. Amennyiben </w:delText>
        </w:r>
        <w:r w:rsidR="00CB0AE0" w:rsidRPr="00183B5F">
          <w:rPr>
            <w:szCs w:val="22"/>
          </w:rPr>
          <w:delText xml:space="preserve">gyermeke </w:delText>
        </w:r>
        <w:r w:rsidRPr="00183B5F">
          <w:rPr>
            <w:szCs w:val="22"/>
          </w:rPr>
          <w:delText>Humira</w:delText>
        </w:r>
        <w:r w:rsidR="00EB22A0" w:rsidRPr="00183B5F">
          <w:rPr>
            <w:szCs w:val="22"/>
          </w:rPr>
          <w:noBreakHyphen/>
        </w:r>
        <w:r w:rsidRPr="00183B5F">
          <w:rPr>
            <w:szCs w:val="22"/>
          </w:rPr>
          <w:delText xml:space="preserve">t kap, </w:delText>
        </w:r>
        <w:r w:rsidR="00A07AA0" w:rsidRPr="00183B5F">
          <w:rPr>
            <w:szCs w:val="22"/>
          </w:rPr>
          <w:delText xml:space="preserve">a limfóma, leukémia vagy egyéb daganat kialakulásának </w:delText>
        </w:r>
        <w:r w:rsidRPr="00183B5F">
          <w:rPr>
            <w:szCs w:val="22"/>
          </w:rPr>
          <w:delText>kockázata fokozódhat. Ritkán a nyirokdaganat (limfóma) egy specifikus és súlyos típusát észlelték Humira-val kezelt betegeknél. E betegek közül egyeseket egyidejűleg azatioprinnel, illetve 6</w:delText>
        </w:r>
        <w:r w:rsidR="00EB22A0" w:rsidRPr="00183B5F">
          <w:rPr>
            <w:szCs w:val="22"/>
          </w:rPr>
          <w:noBreakHyphen/>
        </w:r>
        <w:r w:rsidRPr="00183B5F">
          <w:rPr>
            <w:szCs w:val="22"/>
          </w:rPr>
          <w:delText xml:space="preserve">merkaptopurinnal is kezeltek. </w:delText>
        </w:r>
        <w:r w:rsidR="00005BA8" w:rsidRPr="00183B5F">
          <w:rPr>
            <w:szCs w:val="22"/>
          </w:rPr>
          <w:delText xml:space="preserve">Közölje orvosával, ha a gyermeke a </w:delText>
        </w:r>
        <w:r w:rsidR="00D93585" w:rsidRPr="00183B5F">
          <w:rPr>
            <w:szCs w:val="22"/>
          </w:rPr>
          <w:delText>Humira-val</w:delText>
        </w:r>
        <w:r w:rsidR="00005BA8" w:rsidRPr="00183B5F">
          <w:rPr>
            <w:szCs w:val="22"/>
          </w:rPr>
          <w:delText xml:space="preserve"> egyidejűleg azatioprint vagy 6-merkaptopurint szed. </w:delText>
        </w:r>
        <w:r w:rsidRPr="00183B5F">
          <w:rPr>
            <w:szCs w:val="22"/>
          </w:rPr>
          <w:delText>Ezen kívül, nem melanomás bőrrák kialakulását észlelték Humira</w:delText>
        </w:r>
        <w:r w:rsidR="00EB22A0" w:rsidRPr="00183B5F">
          <w:rPr>
            <w:szCs w:val="22"/>
          </w:rPr>
          <w:noBreakHyphen/>
        </w:r>
        <w:r w:rsidRPr="00183B5F">
          <w:rPr>
            <w:szCs w:val="22"/>
          </w:rPr>
          <w:delText>val kezelt betegeken. Ha új bőrelváltozások jelennek meg a kezelés alatt, vagy a meglévők külleme megváltozik, tájékoztassa orvosá</w:delText>
        </w:r>
        <w:r w:rsidRPr="00183B5F">
          <w:rPr>
            <w:szCs w:val="22"/>
          </w:rPr>
          <w:delText>t.</w:delText>
        </w:r>
      </w:del>
    </w:p>
    <w:p w14:paraId="22DA690C" w14:textId="6A5F2E82" w:rsidR="00FB6710" w:rsidRPr="00183B5F" w:rsidRDefault="00FB6710" w:rsidP="004062FE">
      <w:pPr>
        <w:spacing w:line="240" w:lineRule="auto"/>
        <w:rPr>
          <w:del w:id="10086" w:author="AbbVie_HU_03" w:date="2025-05-14T16:39:00Z"/>
          <w:szCs w:val="22"/>
        </w:rPr>
      </w:pPr>
    </w:p>
    <w:p w14:paraId="2FFCB6AB" w14:textId="6AF46B74" w:rsidR="00F73B37" w:rsidRPr="00183B5F" w:rsidRDefault="00943743" w:rsidP="004062FE">
      <w:pPr>
        <w:numPr>
          <w:ilvl w:val="0"/>
          <w:numId w:val="20"/>
        </w:numPr>
        <w:tabs>
          <w:tab w:val="clear" w:pos="720"/>
        </w:tabs>
        <w:spacing w:line="240" w:lineRule="auto"/>
        <w:ind w:left="567" w:hanging="567"/>
        <w:rPr>
          <w:del w:id="10087" w:author="AbbVie_HU_03" w:date="2025-05-14T16:39:00Z"/>
          <w:szCs w:val="22"/>
        </w:rPr>
      </w:pPr>
      <w:del w:id="10088" w:author="AbbVie_HU_03" w:date="2025-05-14T16:39:00Z">
        <w:r w:rsidRPr="00183B5F">
          <w:rPr>
            <w:szCs w:val="22"/>
          </w:rPr>
          <w:delText>Voltak esetek, amikor egy adott tüdőbetegségben (amelyet idült obstruktív tüdőbetegségnek (COPD</w:delText>
        </w:r>
        <w:r w:rsidR="00EB22A0" w:rsidRPr="00183B5F">
          <w:rPr>
            <w:szCs w:val="22"/>
          </w:rPr>
          <w:noBreakHyphen/>
        </w:r>
        <w:r w:rsidRPr="00183B5F">
          <w:rPr>
            <w:szCs w:val="22"/>
          </w:rPr>
          <w:delText>nek) neveznek) szenvedő, TNF</w:delText>
        </w:r>
        <w:r w:rsidR="00EB22A0" w:rsidRPr="00183B5F">
          <w:rPr>
            <w:szCs w:val="22"/>
          </w:rPr>
          <w:noBreakHyphen/>
        </w:r>
        <w:r w:rsidR="00332587" w:rsidRPr="00183B5F">
          <w:rPr>
            <w:szCs w:val="22"/>
          </w:rPr>
          <w:delText>antagonistá</w:delText>
        </w:r>
        <w:r w:rsidRPr="00183B5F">
          <w:rPr>
            <w:szCs w:val="22"/>
          </w:rPr>
          <w:delText>val kezelt betegeken nem limfóma természetű rákos daganatok kialakulását észlelték</w:delText>
        </w:r>
        <w:r w:rsidR="00A07AA0" w:rsidRPr="00183B5F">
          <w:rPr>
            <w:szCs w:val="22"/>
          </w:rPr>
          <w:delText>.</w:delText>
        </w:r>
        <w:r w:rsidRPr="00183B5F">
          <w:rPr>
            <w:szCs w:val="22"/>
          </w:rPr>
          <w:delText xml:space="preserve"> Ha </w:delText>
        </w:r>
        <w:r w:rsidR="00CB0AE0" w:rsidRPr="00183B5F">
          <w:rPr>
            <w:szCs w:val="22"/>
          </w:rPr>
          <w:delText xml:space="preserve">gyermeke </w:delText>
        </w:r>
        <w:r w:rsidRPr="00183B5F">
          <w:rPr>
            <w:szCs w:val="22"/>
          </w:rPr>
          <w:delText>COPD</w:delText>
        </w:r>
        <w:r w:rsidR="00EB22A0" w:rsidRPr="00183B5F">
          <w:rPr>
            <w:szCs w:val="22"/>
          </w:rPr>
          <w:noBreakHyphen/>
        </w:r>
        <w:r w:rsidR="00794706" w:rsidRPr="00183B5F">
          <w:rPr>
            <w:szCs w:val="22"/>
          </w:rPr>
          <w:delText xml:space="preserve">ben </w:delText>
        </w:r>
        <w:r w:rsidRPr="00183B5F">
          <w:rPr>
            <w:szCs w:val="22"/>
          </w:rPr>
          <w:delText>szenved vagy erős dohányos, kérje orvosa tanácsát, hogy vajon a TNF</w:delText>
        </w:r>
        <w:r w:rsidR="00EB22A0" w:rsidRPr="00183B5F">
          <w:rPr>
            <w:szCs w:val="22"/>
          </w:rPr>
          <w:noBreakHyphen/>
        </w:r>
        <w:r w:rsidR="00332587" w:rsidRPr="00183B5F">
          <w:rPr>
            <w:szCs w:val="22"/>
          </w:rPr>
          <w:delText>antagonistá</w:delText>
        </w:r>
        <w:r w:rsidRPr="00183B5F">
          <w:rPr>
            <w:szCs w:val="22"/>
          </w:rPr>
          <w:delText xml:space="preserve">val végzett kezelés megfelelő-e </w:delText>
        </w:r>
        <w:r w:rsidR="00981543" w:rsidRPr="00183B5F">
          <w:rPr>
            <w:szCs w:val="22"/>
          </w:rPr>
          <w:delText>gyermeke</w:delText>
        </w:r>
        <w:r w:rsidRPr="00183B5F">
          <w:rPr>
            <w:szCs w:val="22"/>
          </w:rPr>
          <w:delText xml:space="preserve"> számára.</w:delText>
        </w:r>
      </w:del>
    </w:p>
    <w:p w14:paraId="0CF898A3" w14:textId="3DCB397A" w:rsidR="00F73B37" w:rsidRPr="00183B5F" w:rsidRDefault="00F73B37" w:rsidP="004062FE">
      <w:pPr>
        <w:pStyle w:val="ListParagraph"/>
        <w:spacing w:line="240" w:lineRule="auto"/>
        <w:rPr>
          <w:del w:id="10089" w:author="AbbVie_HU_03" w:date="2025-05-14T16:39:00Z"/>
          <w:szCs w:val="22"/>
        </w:rPr>
      </w:pPr>
    </w:p>
    <w:p w14:paraId="380468E0" w14:textId="2D02619C" w:rsidR="00F73B37" w:rsidRPr="00183B5F" w:rsidRDefault="00943743" w:rsidP="004062FE">
      <w:pPr>
        <w:numPr>
          <w:ilvl w:val="0"/>
          <w:numId w:val="20"/>
        </w:numPr>
        <w:tabs>
          <w:tab w:val="clear" w:pos="720"/>
        </w:tabs>
        <w:spacing w:line="240" w:lineRule="auto"/>
        <w:ind w:left="567" w:hanging="567"/>
        <w:rPr>
          <w:del w:id="10090" w:author="AbbVie_HU_03" w:date="2025-05-14T16:39:00Z"/>
          <w:szCs w:val="22"/>
        </w:rPr>
      </w:pPr>
      <w:del w:id="10091" w:author="AbbVie_HU_03" w:date="2025-05-14T16:39:00Z">
        <w:r w:rsidRPr="00183B5F">
          <w:rPr>
            <w:szCs w:val="22"/>
          </w:rPr>
          <w:delText>Ritka esetekben a Humira lupus</w:delText>
        </w:r>
        <w:r w:rsidR="00A76815" w:rsidRPr="00183B5F">
          <w:rPr>
            <w:szCs w:val="22"/>
          </w:rPr>
          <w:delText>z</w:delText>
        </w:r>
        <w:r w:rsidRPr="00183B5F">
          <w:rPr>
            <w:szCs w:val="22"/>
          </w:rPr>
          <w:delText>-szerű szindrómát okoz</w:delText>
        </w:r>
        <w:r w:rsidR="00963A8B" w:rsidRPr="00183B5F">
          <w:rPr>
            <w:szCs w:val="22"/>
          </w:rPr>
          <w:delText>hat</w:delText>
        </w:r>
        <w:r w:rsidRPr="00183B5F">
          <w:rPr>
            <w:szCs w:val="22"/>
          </w:rPr>
          <w:delText xml:space="preserve">. </w:delText>
        </w:r>
        <w:r w:rsidR="00963A8B" w:rsidRPr="00183B5F">
          <w:rPr>
            <w:szCs w:val="22"/>
          </w:rPr>
          <w:delText>Keresse fel</w:delText>
        </w:r>
        <w:r w:rsidRPr="00183B5F">
          <w:rPr>
            <w:szCs w:val="22"/>
          </w:rPr>
          <w:delText xml:space="preserve"> kezelőorvosá</w:delText>
        </w:r>
        <w:r w:rsidR="00963A8B" w:rsidRPr="00183B5F">
          <w:rPr>
            <w:szCs w:val="22"/>
          </w:rPr>
          <w:delText>t</w:delText>
        </w:r>
        <w:r w:rsidRPr="00183B5F">
          <w:rPr>
            <w:szCs w:val="22"/>
          </w:rPr>
          <w:delText xml:space="preserve">, ha olyan </w:delText>
        </w:r>
        <w:r w:rsidR="0001217B" w:rsidRPr="00183B5F">
          <w:rPr>
            <w:szCs w:val="22"/>
          </w:rPr>
          <w:delText>tüneteket észlel</w:delText>
        </w:r>
        <w:r w:rsidRPr="00183B5F">
          <w:rPr>
            <w:szCs w:val="22"/>
          </w:rPr>
          <w:delText xml:space="preserve">, mint a tartós, tisztázatlan eredetű </w:delText>
        </w:r>
        <w:r w:rsidR="004C50B5" w:rsidRPr="00183B5F">
          <w:rPr>
            <w:szCs w:val="22"/>
          </w:rPr>
          <w:delText>bőr</w:delText>
        </w:r>
        <w:r w:rsidRPr="00183B5F">
          <w:rPr>
            <w:szCs w:val="22"/>
          </w:rPr>
          <w:delText>kiütés, láz, ízületi fájdalom vagy fáradtság</w:delText>
        </w:r>
        <w:r w:rsidR="00A76815" w:rsidRPr="00183B5F">
          <w:rPr>
            <w:szCs w:val="22"/>
          </w:rPr>
          <w:delText>.</w:delText>
        </w:r>
      </w:del>
    </w:p>
    <w:p w14:paraId="1C38340A" w14:textId="4F67757D" w:rsidR="0034547B" w:rsidRPr="00183B5F" w:rsidRDefault="0034547B" w:rsidP="004062FE">
      <w:pPr>
        <w:spacing w:line="240" w:lineRule="auto"/>
        <w:rPr>
          <w:del w:id="10092" w:author="AbbVie_HU_03" w:date="2025-05-14T16:39:00Z"/>
          <w:b/>
          <w:szCs w:val="22"/>
        </w:rPr>
      </w:pPr>
    </w:p>
    <w:p w14:paraId="3331353B" w14:textId="5BCBDEAF" w:rsidR="00D32D17" w:rsidRPr="00183B5F" w:rsidRDefault="00943743" w:rsidP="004062FE">
      <w:pPr>
        <w:spacing w:line="240" w:lineRule="auto"/>
        <w:rPr>
          <w:del w:id="10093" w:author="AbbVie_HU_03" w:date="2025-05-14T16:39:00Z"/>
          <w:b/>
          <w:noProof/>
          <w:szCs w:val="24"/>
        </w:rPr>
      </w:pPr>
      <w:del w:id="10094" w:author="AbbVie_HU_03" w:date="2025-05-14T16:39:00Z">
        <w:r w:rsidRPr="00183B5F">
          <w:rPr>
            <w:b/>
            <w:noProof/>
            <w:szCs w:val="24"/>
          </w:rPr>
          <w:delText>Egyéb</w:delText>
        </w:r>
        <w:r w:rsidRPr="00183B5F">
          <w:rPr>
            <w:b/>
            <w:szCs w:val="24"/>
          </w:rPr>
          <w:delText xml:space="preserve"> gyógyszerek</w:delText>
        </w:r>
        <w:r w:rsidRPr="00183B5F">
          <w:rPr>
            <w:b/>
            <w:noProof/>
            <w:szCs w:val="24"/>
          </w:rPr>
          <w:delText xml:space="preserve"> és a Humira</w:delText>
        </w:r>
      </w:del>
    </w:p>
    <w:p w14:paraId="01D3EADC" w14:textId="372ABECF" w:rsidR="00D32D17" w:rsidRPr="00183B5F" w:rsidRDefault="00D32D17" w:rsidP="004062FE">
      <w:pPr>
        <w:spacing w:line="240" w:lineRule="auto"/>
        <w:rPr>
          <w:del w:id="10095" w:author="AbbVie_HU_03" w:date="2025-05-14T16:39:00Z"/>
          <w:b/>
          <w:noProof/>
          <w:szCs w:val="24"/>
        </w:rPr>
      </w:pPr>
    </w:p>
    <w:p w14:paraId="39E5A5E8" w14:textId="0B28AF4C" w:rsidR="00FB6710" w:rsidRPr="00183B5F" w:rsidRDefault="00943743" w:rsidP="004062FE">
      <w:pPr>
        <w:spacing w:line="240" w:lineRule="auto"/>
        <w:rPr>
          <w:del w:id="10096" w:author="AbbVie_HU_03" w:date="2025-05-14T16:39:00Z"/>
          <w:b/>
          <w:szCs w:val="22"/>
        </w:rPr>
      </w:pPr>
      <w:del w:id="10097" w:author="AbbVie_HU_03" w:date="2025-05-14T16:39:00Z">
        <w:r w:rsidRPr="00183B5F">
          <w:rPr>
            <w:szCs w:val="24"/>
          </w:rPr>
          <w:delText xml:space="preserve">Feltétlenül tájékoztassa gyermeke kezelőorvosát vagy gyógyszerészét gyermeke jelenleg vagy nemrégiben </w:delText>
        </w:r>
        <w:r w:rsidRPr="00183B5F">
          <w:rPr>
            <w:noProof/>
            <w:szCs w:val="24"/>
          </w:rPr>
          <w:delText>szedett, valamint szedni tervezett</w:delText>
        </w:r>
        <w:r w:rsidRPr="00183B5F">
          <w:rPr>
            <w:szCs w:val="24"/>
          </w:rPr>
          <w:delText xml:space="preserve"> egyéb gyógyszereiről</w:delText>
        </w:r>
        <w:r w:rsidRPr="00183B5F">
          <w:rPr>
            <w:noProof/>
            <w:szCs w:val="24"/>
          </w:rPr>
          <w:delText>.</w:delText>
        </w:r>
      </w:del>
    </w:p>
    <w:p w14:paraId="3A1A80AA" w14:textId="32D9B5EA" w:rsidR="00FB6710" w:rsidRPr="00183B5F" w:rsidRDefault="00FB6710" w:rsidP="004062FE">
      <w:pPr>
        <w:spacing w:line="240" w:lineRule="auto"/>
        <w:rPr>
          <w:del w:id="10098" w:author="AbbVie_HU_03" w:date="2025-05-14T16:39:00Z"/>
          <w:b/>
          <w:szCs w:val="22"/>
        </w:rPr>
      </w:pPr>
    </w:p>
    <w:p w14:paraId="25C6B9E6" w14:textId="29897A52" w:rsidR="00FB6710" w:rsidRPr="00183B5F" w:rsidRDefault="00943743" w:rsidP="004062FE">
      <w:pPr>
        <w:spacing w:line="240" w:lineRule="auto"/>
        <w:rPr>
          <w:del w:id="10099" w:author="AbbVie_HU_03" w:date="2025-05-14T16:39:00Z"/>
          <w:szCs w:val="22"/>
        </w:rPr>
      </w:pPr>
      <w:del w:id="10100" w:author="AbbVie_HU_03" w:date="2025-05-14T16:39:00Z">
        <w:r w:rsidRPr="00183B5F">
          <w:rPr>
            <w:szCs w:val="22"/>
          </w:rPr>
          <w:delText>A Humira együtt alkalmazható metotrexáttal vagy más a betegséget befolyásoló reumaellenes szerrel (szulfaszalazin, hidroxiklorokin, leflunomid és arany injekció), szteroidok</w:delText>
        </w:r>
        <w:r w:rsidR="00A07AA0" w:rsidRPr="00183B5F">
          <w:rPr>
            <w:szCs w:val="22"/>
          </w:rPr>
          <w:delText>kal</w:delText>
        </w:r>
        <w:r w:rsidRPr="00183B5F">
          <w:rPr>
            <w:szCs w:val="22"/>
          </w:rPr>
          <w:delText xml:space="preserve"> vagy fájdalomcsillapító készítményekkel</w:delText>
        </w:r>
        <w:r w:rsidR="00A07AA0" w:rsidRPr="00183B5F">
          <w:rPr>
            <w:szCs w:val="22"/>
          </w:rPr>
          <w:delText>,</w:delText>
        </w:r>
        <w:r w:rsidRPr="00183B5F">
          <w:rPr>
            <w:szCs w:val="22"/>
          </w:rPr>
          <w:delText xml:space="preserve"> beleértve a nem</w:delText>
        </w:r>
        <w:r w:rsidR="00647E1C" w:rsidRPr="00183B5F">
          <w:rPr>
            <w:szCs w:val="22"/>
          </w:rPr>
          <w:delText>-</w:delText>
        </w:r>
        <w:r w:rsidRPr="00183B5F">
          <w:rPr>
            <w:szCs w:val="22"/>
          </w:rPr>
          <w:delText xml:space="preserve">szteroid </w:delText>
        </w:r>
        <w:r w:rsidR="008511AE" w:rsidRPr="00183B5F">
          <w:rPr>
            <w:szCs w:val="22"/>
          </w:rPr>
          <w:delText>gyulladásgátlóka</w:delText>
        </w:r>
        <w:r w:rsidRPr="00183B5F">
          <w:rPr>
            <w:szCs w:val="22"/>
          </w:rPr>
          <w:delText>t (NSAID-ket).</w:delText>
        </w:r>
      </w:del>
    </w:p>
    <w:p w14:paraId="53D6729D" w14:textId="1A267242" w:rsidR="00FB6710" w:rsidRPr="00183B5F" w:rsidRDefault="00FB6710" w:rsidP="004062FE">
      <w:pPr>
        <w:spacing w:line="240" w:lineRule="auto"/>
        <w:ind w:right="-2"/>
        <w:rPr>
          <w:del w:id="10101" w:author="AbbVie_HU_03" w:date="2025-05-14T16:39:00Z"/>
          <w:szCs w:val="22"/>
        </w:rPr>
      </w:pPr>
    </w:p>
    <w:p w14:paraId="64F7C481" w14:textId="1AC56AE6" w:rsidR="00FB6710" w:rsidRPr="00183B5F" w:rsidRDefault="00943743" w:rsidP="004062FE">
      <w:pPr>
        <w:spacing w:line="240" w:lineRule="auto"/>
        <w:ind w:right="-2"/>
        <w:rPr>
          <w:del w:id="10102" w:author="AbbVie_HU_03" w:date="2025-05-14T16:39:00Z"/>
          <w:szCs w:val="22"/>
        </w:rPr>
      </w:pPr>
      <w:del w:id="10103" w:author="AbbVie_HU_03" w:date="2025-05-14T16:39:00Z">
        <w:r w:rsidRPr="00183B5F">
          <w:rPr>
            <w:szCs w:val="22"/>
          </w:rPr>
          <w:delText>Gyermeke nem kaphat Humir</w:delText>
        </w:r>
        <w:r w:rsidR="003D2B48" w:rsidRPr="00183B5F">
          <w:rPr>
            <w:szCs w:val="22"/>
          </w:rPr>
          <w:delText>a</w:delText>
        </w:r>
        <w:r w:rsidR="00EB22A0" w:rsidRPr="00183B5F">
          <w:rPr>
            <w:szCs w:val="22"/>
          </w:rPr>
          <w:noBreakHyphen/>
        </w:r>
        <w:r w:rsidR="00E22607" w:rsidRPr="00183B5F">
          <w:rPr>
            <w:szCs w:val="22"/>
          </w:rPr>
          <w:delText>t</w:delText>
        </w:r>
        <w:r w:rsidRPr="00183B5F">
          <w:rPr>
            <w:szCs w:val="22"/>
          </w:rPr>
          <w:delText xml:space="preserve"> anakinra vagy abatacept hatóanyagot tartalmazó gyógyszerekkel</w:delText>
        </w:r>
        <w:r w:rsidR="00E22607" w:rsidRPr="00183B5F">
          <w:rPr>
            <w:szCs w:val="22"/>
          </w:rPr>
          <w:delText xml:space="preserve"> együtt</w:delText>
        </w:r>
        <w:r w:rsidR="00F73B37" w:rsidRPr="00183B5F">
          <w:rPr>
            <w:szCs w:val="22"/>
          </w:rPr>
          <w:delText xml:space="preserve"> a súlyos fertőzések fokozott kockázata miatt</w:delText>
        </w:r>
        <w:r w:rsidRPr="00183B5F">
          <w:rPr>
            <w:szCs w:val="22"/>
          </w:rPr>
          <w:delText>. Ha kérdése van, kérdezze meg orvosát.</w:delText>
        </w:r>
      </w:del>
    </w:p>
    <w:p w14:paraId="103A700B" w14:textId="22A2B7AC" w:rsidR="00005BA8" w:rsidRPr="00183B5F" w:rsidRDefault="00005BA8" w:rsidP="004062FE">
      <w:pPr>
        <w:spacing w:line="240" w:lineRule="auto"/>
        <w:ind w:left="567" w:right="-2" w:hanging="567"/>
        <w:rPr>
          <w:del w:id="10104" w:author="AbbVie_HU_03" w:date="2025-05-14T16:39:00Z"/>
          <w:szCs w:val="22"/>
        </w:rPr>
      </w:pPr>
    </w:p>
    <w:p w14:paraId="2CE90E0B" w14:textId="0D540CA2" w:rsidR="00FB6710" w:rsidRPr="00183B5F" w:rsidRDefault="00943743" w:rsidP="004062FE">
      <w:pPr>
        <w:keepNext/>
        <w:spacing w:line="240" w:lineRule="auto"/>
        <w:ind w:left="567" w:hanging="567"/>
        <w:rPr>
          <w:del w:id="10105" w:author="AbbVie_HU_03" w:date="2025-05-14T16:39:00Z"/>
          <w:b/>
          <w:szCs w:val="22"/>
        </w:rPr>
      </w:pPr>
      <w:del w:id="10106" w:author="AbbVie_HU_03" w:date="2025-05-14T16:39:00Z">
        <w:r w:rsidRPr="00183B5F">
          <w:rPr>
            <w:b/>
            <w:szCs w:val="22"/>
          </w:rPr>
          <w:delText>Terhesség és szoptatás</w:delText>
        </w:r>
      </w:del>
    </w:p>
    <w:p w14:paraId="03CC90BE" w14:textId="6C75598C" w:rsidR="00FB6710" w:rsidRPr="00183B5F" w:rsidRDefault="00FB6710" w:rsidP="004062FE">
      <w:pPr>
        <w:keepNext/>
        <w:spacing w:line="240" w:lineRule="auto"/>
        <w:ind w:left="567" w:hanging="567"/>
        <w:rPr>
          <w:del w:id="10107" w:author="AbbVie_HU_03" w:date="2025-05-14T16:39:00Z"/>
          <w:szCs w:val="22"/>
        </w:rPr>
      </w:pPr>
    </w:p>
    <w:p w14:paraId="59D98D35" w14:textId="4E87488D" w:rsidR="00FB6710" w:rsidRPr="00183B5F" w:rsidRDefault="00943743" w:rsidP="00E87C31">
      <w:pPr>
        <w:pStyle w:val="ListParagraph"/>
        <w:numPr>
          <w:ilvl w:val="0"/>
          <w:numId w:val="195"/>
        </w:numPr>
        <w:spacing w:line="240" w:lineRule="auto"/>
        <w:ind w:left="567" w:hanging="567"/>
        <w:rPr>
          <w:del w:id="10108" w:author="AbbVie_HU_03" w:date="2025-05-14T16:39:00Z"/>
          <w:szCs w:val="22"/>
        </w:rPr>
      </w:pPr>
      <w:del w:id="10109" w:author="AbbVie_HU_03" w:date="2025-05-14T16:39:00Z">
        <w:r w:rsidRPr="00183B5F">
          <w:rPr>
            <w:szCs w:val="22"/>
          </w:rPr>
          <w:delText>Gyermek</w:delText>
        </w:r>
        <w:r w:rsidR="007B03EF" w:rsidRPr="00183B5F">
          <w:rPr>
            <w:szCs w:val="22"/>
          </w:rPr>
          <w:delText>én</w:delText>
        </w:r>
        <w:r w:rsidRPr="00183B5F">
          <w:rPr>
            <w:szCs w:val="22"/>
          </w:rPr>
          <w:delText>e</w:delText>
        </w:r>
        <w:r w:rsidR="007B03EF" w:rsidRPr="00183B5F">
          <w:rPr>
            <w:szCs w:val="22"/>
          </w:rPr>
          <w:delText>k a te</w:delText>
        </w:r>
        <w:r w:rsidR="00F70EB5" w:rsidRPr="00183B5F">
          <w:rPr>
            <w:szCs w:val="22"/>
          </w:rPr>
          <w:delText>r</w:delText>
        </w:r>
        <w:r w:rsidR="007B03EF" w:rsidRPr="00183B5F">
          <w:rPr>
            <w:szCs w:val="22"/>
          </w:rPr>
          <w:delText xml:space="preserve">hesség megelőzése érdekében </w:delText>
        </w:r>
        <w:r w:rsidR="00AD737C" w:rsidRPr="00183B5F">
          <w:rPr>
            <w:szCs w:val="22"/>
          </w:rPr>
          <w:delText>meg kell fontolnia a</w:delText>
        </w:r>
        <w:r w:rsidRPr="00183B5F">
          <w:rPr>
            <w:szCs w:val="22"/>
          </w:rPr>
          <w:delText xml:space="preserve"> megfelelő fogamzásgátlás alkalmazás</w:delText>
        </w:r>
        <w:r w:rsidR="007B03EF" w:rsidRPr="00183B5F">
          <w:rPr>
            <w:szCs w:val="22"/>
          </w:rPr>
          <w:delText>át</w:delText>
        </w:r>
        <w:r w:rsidR="00C3365C" w:rsidRPr="00183B5F">
          <w:rPr>
            <w:szCs w:val="22"/>
          </w:rPr>
          <w:delText xml:space="preserve"> és az alka</w:delText>
        </w:r>
        <w:r w:rsidR="001056CE" w:rsidRPr="00183B5F">
          <w:rPr>
            <w:szCs w:val="22"/>
          </w:rPr>
          <w:delText>l</w:delText>
        </w:r>
        <w:r w:rsidR="00C3365C" w:rsidRPr="00183B5F">
          <w:rPr>
            <w:szCs w:val="22"/>
          </w:rPr>
          <w:delText>m</w:delText>
        </w:r>
        <w:r w:rsidR="001056CE" w:rsidRPr="00183B5F">
          <w:rPr>
            <w:szCs w:val="22"/>
          </w:rPr>
          <w:delText>a</w:delText>
        </w:r>
        <w:r w:rsidR="00C3365C" w:rsidRPr="00183B5F">
          <w:rPr>
            <w:szCs w:val="22"/>
          </w:rPr>
          <w:delText>zás folytatását</w:delText>
        </w:r>
        <w:r w:rsidRPr="00183B5F">
          <w:rPr>
            <w:szCs w:val="22"/>
          </w:rPr>
          <w:delText xml:space="preserve"> </w:delText>
        </w:r>
        <w:r w:rsidR="003120C5" w:rsidRPr="00183B5F">
          <w:rPr>
            <w:szCs w:val="22"/>
          </w:rPr>
          <w:delText xml:space="preserve">a </w:delText>
        </w:r>
        <w:r w:rsidRPr="00183B5F">
          <w:rPr>
            <w:szCs w:val="22"/>
          </w:rPr>
          <w:delText>Humira</w:delText>
        </w:r>
        <w:r w:rsidR="00EB22A0" w:rsidRPr="00183B5F">
          <w:rPr>
            <w:szCs w:val="22"/>
          </w:rPr>
          <w:noBreakHyphen/>
        </w:r>
        <w:r w:rsidRPr="00183B5F">
          <w:rPr>
            <w:szCs w:val="22"/>
          </w:rPr>
          <w:delText>val történt utolsó kezelést követően legalább 5</w:delText>
        </w:r>
        <w:r w:rsidR="00EB22A0" w:rsidRPr="00183B5F">
          <w:rPr>
            <w:szCs w:val="22"/>
          </w:rPr>
          <w:delText> </w:delText>
        </w:r>
        <w:r w:rsidRPr="00183B5F">
          <w:rPr>
            <w:szCs w:val="22"/>
          </w:rPr>
          <w:delText>hónapig.</w:delText>
        </w:r>
      </w:del>
    </w:p>
    <w:p w14:paraId="0A0B0F56" w14:textId="7F142464" w:rsidR="00BB3828" w:rsidRPr="00183B5F" w:rsidRDefault="00943743" w:rsidP="00BB3828">
      <w:pPr>
        <w:pStyle w:val="ListParagraph"/>
        <w:numPr>
          <w:ilvl w:val="0"/>
          <w:numId w:val="195"/>
        </w:numPr>
        <w:spacing w:line="240" w:lineRule="auto"/>
        <w:ind w:left="567" w:hanging="567"/>
        <w:rPr>
          <w:del w:id="10110" w:author="AbbVie_HU_03" w:date="2025-05-14T16:39:00Z"/>
          <w:szCs w:val="22"/>
        </w:rPr>
      </w:pPr>
      <w:del w:id="10111" w:author="AbbVie_HU_03" w:date="2025-05-14T16:39:00Z">
        <w:r w:rsidRPr="00183B5F">
          <w:rPr>
            <w:szCs w:val="22"/>
          </w:rPr>
          <w:delText>Amennyiben gyermeke terhes, úgy gondolja, hogy terhes lehet, vagy gyermeket tervez, kérje kezelőorvosa tanácsát ennek a gyógyszernek az alkalmazásáról.</w:delText>
        </w:r>
      </w:del>
    </w:p>
    <w:p w14:paraId="65580AFD" w14:textId="1068B830" w:rsidR="00BB3828" w:rsidRPr="00183B5F" w:rsidRDefault="00943743" w:rsidP="00BB3828">
      <w:pPr>
        <w:pStyle w:val="ListParagraph"/>
        <w:numPr>
          <w:ilvl w:val="0"/>
          <w:numId w:val="195"/>
        </w:numPr>
        <w:spacing w:line="240" w:lineRule="auto"/>
        <w:ind w:left="567" w:hanging="567"/>
        <w:rPr>
          <w:del w:id="10112" w:author="AbbVie_HU_03" w:date="2025-05-14T16:39:00Z"/>
          <w:szCs w:val="22"/>
        </w:rPr>
      </w:pPr>
      <w:del w:id="10113" w:author="AbbVie_HU_03" w:date="2025-05-14T16:39:00Z">
        <w:r w:rsidRPr="00183B5F">
          <w:rPr>
            <w:szCs w:val="22"/>
          </w:rPr>
          <w:delText xml:space="preserve">A Humira csak akkor alkalmazható terhesség alatt, ha </w:delText>
        </w:r>
        <w:r w:rsidR="004B37B2" w:rsidRPr="00183B5F">
          <w:rPr>
            <w:szCs w:val="22"/>
          </w:rPr>
          <w:delText>egyértelműen</w:delText>
        </w:r>
        <w:r w:rsidRPr="00183B5F">
          <w:rPr>
            <w:szCs w:val="22"/>
          </w:rPr>
          <w:delText xml:space="preserve"> szükséges.</w:delText>
        </w:r>
      </w:del>
    </w:p>
    <w:p w14:paraId="7DAA8750" w14:textId="126EAEC7" w:rsidR="00BB3828" w:rsidRPr="00183B5F" w:rsidRDefault="00943743" w:rsidP="001056CE">
      <w:pPr>
        <w:pStyle w:val="ListParagraph"/>
        <w:numPr>
          <w:ilvl w:val="0"/>
          <w:numId w:val="195"/>
        </w:numPr>
        <w:spacing w:line="240" w:lineRule="auto"/>
        <w:ind w:left="567" w:hanging="567"/>
        <w:rPr>
          <w:del w:id="10114" w:author="AbbVie_HU_03" w:date="2025-05-14T16:39:00Z"/>
          <w:szCs w:val="22"/>
        </w:rPr>
      </w:pPr>
      <w:del w:id="10115" w:author="AbbVie_HU_03" w:date="2025-05-14T16:39:00Z">
        <w:r w:rsidRPr="00183B5F">
          <w:rPr>
            <w:szCs w:val="22"/>
          </w:rPr>
          <w:delText>Egy terhes nők</w:delText>
        </w:r>
        <w:r w:rsidR="001056CE" w:rsidRPr="00183B5F">
          <w:rPr>
            <w:szCs w:val="22"/>
          </w:rPr>
          <w:delText>kel</w:delText>
        </w:r>
        <w:r w:rsidRPr="00183B5F">
          <w:rPr>
            <w:szCs w:val="22"/>
          </w:rPr>
          <w:delText xml:space="preserve"> végzett klinikai vizsgálat alapján nem volt magasabb a születési rendellenességek kockázata azok</w:delText>
        </w:r>
        <w:r w:rsidR="001056CE" w:rsidRPr="00183B5F">
          <w:rPr>
            <w:szCs w:val="22"/>
          </w:rPr>
          <w:delText>mál</w:delText>
        </w:r>
        <w:r w:rsidRPr="00183B5F">
          <w:rPr>
            <w:szCs w:val="22"/>
          </w:rPr>
          <w:delText xml:space="preserve"> a nőkn</w:delText>
        </w:r>
        <w:r w:rsidR="001056CE" w:rsidRPr="00183B5F">
          <w:rPr>
            <w:szCs w:val="22"/>
          </w:rPr>
          <w:delText>él</w:delText>
        </w:r>
        <w:r w:rsidRPr="00183B5F">
          <w:rPr>
            <w:szCs w:val="22"/>
          </w:rPr>
          <w:delText xml:space="preserve">, akik a terhességük </w:delText>
        </w:r>
        <w:r w:rsidR="001056CE" w:rsidRPr="00183B5F">
          <w:rPr>
            <w:szCs w:val="22"/>
          </w:rPr>
          <w:delText>alatt</w:delText>
        </w:r>
        <w:r w:rsidRPr="00183B5F">
          <w:rPr>
            <w:szCs w:val="22"/>
          </w:rPr>
          <w:delText xml:space="preserve"> Humira</w:delText>
        </w:r>
        <w:r w:rsidRPr="00183B5F">
          <w:rPr>
            <w:szCs w:val="22"/>
          </w:rPr>
          <w:noBreakHyphen/>
          <w:delText xml:space="preserve">kezelésben részesültek, </w:delText>
        </w:r>
        <w:r w:rsidR="001056CE" w:rsidRPr="00183B5F">
          <w:rPr>
            <w:szCs w:val="22"/>
          </w:rPr>
          <w:delText>mint</w:delText>
        </w:r>
        <w:r w:rsidRPr="00183B5F">
          <w:rPr>
            <w:szCs w:val="22"/>
          </w:rPr>
          <w:delText xml:space="preserve"> az azonos betegségben szenvedő, Humira</w:delText>
        </w:r>
        <w:r w:rsidRPr="00183B5F">
          <w:rPr>
            <w:szCs w:val="22"/>
          </w:rPr>
          <w:noBreakHyphen/>
          <w:delText>kezelésben nem részesült nők</w:delText>
        </w:r>
        <w:r w:rsidR="001056CE" w:rsidRPr="00183B5F">
          <w:rPr>
            <w:szCs w:val="22"/>
          </w:rPr>
          <w:delText>nél</w:delText>
        </w:r>
        <w:r w:rsidRPr="00183B5F">
          <w:rPr>
            <w:szCs w:val="22"/>
          </w:rPr>
          <w:delText>.</w:delText>
        </w:r>
      </w:del>
    </w:p>
    <w:p w14:paraId="12160E7D" w14:textId="4B3E6029" w:rsidR="00BB3828" w:rsidRPr="00183B5F" w:rsidRDefault="00943743" w:rsidP="00E87C31">
      <w:pPr>
        <w:pStyle w:val="ListParagraph"/>
        <w:numPr>
          <w:ilvl w:val="0"/>
          <w:numId w:val="195"/>
        </w:numPr>
        <w:spacing w:line="240" w:lineRule="auto"/>
        <w:ind w:left="567" w:hanging="567"/>
        <w:rPr>
          <w:del w:id="10116" w:author="AbbVie_HU_03" w:date="2025-05-14T16:39:00Z"/>
          <w:szCs w:val="22"/>
        </w:rPr>
      </w:pPr>
      <w:del w:id="10117" w:author="AbbVie_HU_03" w:date="2025-05-14T16:39:00Z">
        <w:r w:rsidRPr="00183B5F">
          <w:delText>Szoptatás alatt a Humira alkalmazható.</w:delText>
        </w:r>
      </w:del>
    </w:p>
    <w:p w14:paraId="73367FCA" w14:textId="19F3B477" w:rsidR="00BB3828" w:rsidRPr="00183B5F" w:rsidRDefault="00943743" w:rsidP="00E87C31">
      <w:pPr>
        <w:pStyle w:val="ListParagraph"/>
        <w:numPr>
          <w:ilvl w:val="0"/>
          <w:numId w:val="195"/>
        </w:numPr>
        <w:spacing w:line="240" w:lineRule="auto"/>
        <w:ind w:left="567" w:hanging="567"/>
        <w:rPr>
          <w:del w:id="10118" w:author="AbbVie_HU_03" w:date="2025-05-14T16:39:00Z"/>
          <w:szCs w:val="22"/>
        </w:rPr>
      </w:pPr>
      <w:del w:id="10119" w:author="AbbVie_HU_03" w:date="2025-05-14T16:39:00Z">
        <w:r w:rsidRPr="00183B5F">
          <w:rPr>
            <w:szCs w:val="22"/>
          </w:rPr>
          <w:delText xml:space="preserve">Ha gyermeke a terhessége </w:delText>
        </w:r>
        <w:r w:rsidR="00C308BE" w:rsidRPr="00183B5F">
          <w:rPr>
            <w:szCs w:val="22"/>
          </w:rPr>
          <w:delText>alatt</w:delText>
        </w:r>
        <w:r w:rsidRPr="00183B5F">
          <w:rPr>
            <w:szCs w:val="22"/>
          </w:rPr>
          <w:delText xml:space="preserve"> </w:delText>
        </w:r>
        <w:r w:rsidR="00D31746" w:rsidRPr="00183B5F">
          <w:rPr>
            <w:szCs w:val="22"/>
          </w:rPr>
          <w:delText>Humira</w:delText>
        </w:r>
        <w:r w:rsidR="00EB22A0" w:rsidRPr="00183B5F">
          <w:rPr>
            <w:szCs w:val="22"/>
          </w:rPr>
          <w:noBreakHyphen/>
        </w:r>
        <w:r w:rsidR="00D31746" w:rsidRPr="00183B5F">
          <w:rPr>
            <w:szCs w:val="22"/>
          </w:rPr>
          <w:delText>t</w:delText>
        </w:r>
        <w:r w:rsidRPr="00183B5F">
          <w:rPr>
            <w:szCs w:val="22"/>
          </w:rPr>
          <w:delText xml:space="preserve"> kapott, a kisbabája nagyobb eséllyel kap el valamilyen fertőzést.</w:delText>
        </w:r>
      </w:del>
    </w:p>
    <w:p w14:paraId="0CD152EF" w14:textId="5B3B8DC1" w:rsidR="00FB6710" w:rsidRPr="00183B5F" w:rsidRDefault="00943743" w:rsidP="00E87C31">
      <w:pPr>
        <w:pStyle w:val="ListParagraph"/>
        <w:numPr>
          <w:ilvl w:val="0"/>
          <w:numId w:val="195"/>
        </w:numPr>
        <w:spacing w:line="240" w:lineRule="auto"/>
        <w:ind w:left="567" w:hanging="567"/>
        <w:rPr>
          <w:del w:id="10120" w:author="AbbVie_HU_03" w:date="2025-05-14T16:39:00Z"/>
          <w:szCs w:val="22"/>
        </w:rPr>
      </w:pPr>
      <w:del w:id="10121" w:author="AbbVie_HU_03" w:date="2025-05-14T16:39:00Z">
        <w:r w:rsidRPr="00183B5F">
          <w:rPr>
            <w:szCs w:val="22"/>
          </w:rPr>
          <w:delText xml:space="preserve">Fontos, hogy elmondja </w:delText>
        </w:r>
        <w:r w:rsidR="00BB3828" w:rsidRPr="00183B5F">
          <w:rPr>
            <w:szCs w:val="22"/>
          </w:rPr>
          <w:delText xml:space="preserve">gyermeke </w:delText>
        </w:r>
        <w:r w:rsidRPr="00183B5F">
          <w:rPr>
            <w:szCs w:val="22"/>
          </w:rPr>
          <w:delText>kisbabája orvosának vagy az őt kezelő egészségügyi személyzetnek, hogy</w:delText>
        </w:r>
        <w:r w:rsidR="00BB3828" w:rsidRPr="00183B5F">
          <w:rPr>
            <w:szCs w:val="22"/>
          </w:rPr>
          <w:delText xml:space="preserve"> gyermeke</w:delText>
        </w:r>
        <w:r w:rsidRPr="00183B5F">
          <w:rPr>
            <w:szCs w:val="22"/>
          </w:rPr>
          <w:delText xml:space="preserve"> a terhessége </w:delText>
        </w:r>
        <w:r w:rsidR="00C308BE" w:rsidRPr="00183B5F">
          <w:rPr>
            <w:szCs w:val="22"/>
          </w:rPr>
          <w:delText>alatt</w:delText>
        </w:r>
        <w:r w:rsidRPr="00183B5F">
          <w:rPr>
            <w:szCs w:val="22"/>
          </w:rPr>
          <w:delText xml:space="preserve"> </w:delText>
        </w:r>
        <w:r w:rsidR="00D31746" w:rsidRPr="00183B5F">
          <w:rPr>
            <w:szCs w:val="22"/>
          </w:rPr>
          <w:delText>Humira</w:delText>
        </w:r>
        <w:r w:rsidR="00EB22A0" w:rsidRPr="00183B5F">
          <w:rPr>
            <w:szCs w:val="22"/>
          </w:rPr>
          <w:noBreakHyphen/>
        </w:r>
        <w:r w:rsidR="00D31746" w:rsidRPr="00183B5F">
          <w:rPr>
            <w:szCs w:val="22"/>
          </w:rPr>
          <w:delText>t</w:delText>
        </w:r>
        <w:r w:rsidRPr="00183B5F">
          <w:rPr>
            <w:szCs w:val="22"/>
          </w:rPr>
          <w:delText xml:space="preserve"> </w:delText>
        </w:r>
        <w:r w:rsidR="00C308BE" w:rsidRPr="00183B5F">
          <w:rPr>
            <w:szCs w:val="22"/>
          </w:rPr>
          <w:delText>kapott</w:delText>
        </w:r>
        <w:r w:rsidRPr="00183B5F">
          <w:rPr>
            <w:szCs w:val="22"/>
          </w:rPr>
          <w:delText>, mielőtt a kisbaba bármilyen védőoltást kapna</w:delText>
        </w:r>
        <w:r w:rsidR="00BB3828" w:rsidRPr="00183B5F">
          <w:rPr>
            <w:szCs w:val="22"/>
          </w:rPr>
          <w:delText>.</w:delText>
        </w:r>
        <w:r w:rsidRPr="00183B5F">
          <w:rPr>
            <w:szCs w:val="22"/>
          </w:rPr>
          <w:delText xml:space="preserve"> </w:delText>
        </w:r>
        <w:r w:rsidR="00BB3828" w:rsidRPr="00183B5F">
          <w:delText xml:space="preserve">A védőoltásokról további információt </w:delText>
        </w:r>
        <w:r w:rsidR="00BB3828" w:rsidRPr="00183B5F">
          <w:rPr>
            <w:szCs w:val="22"/>
          </w:rPr>
          <w:delText>talál a „Figyelmeztetések és óvintézkedések” részben.</w:delText>
        </w:r>
      </w:del>
    </w:p>
    <w:p w14:paraId="556759B0" w14:textId="16BA0CF7" w:rsidR="009C0F40" w:rsidRPr="00183B5F" w:rsidRDefault="009C0F40" w:rsidP="004062FE">
      <w:pPr>
        <w:spacing w:line="240" w:lineRule="auto"/>
        <w:rPr>
          <w:del w:id="10122" w:author="AbbVie_HU_03" w:date="2025-05-14T16:39:00Z"/>
          <w:szCs w:val="22"/>
        </w:rPr>
      </w:pPr>
    </w:p>
    <w:p w14:paraId="78E89DFC" w14:textId="13BEF1E8" w:rsidR="00FB6710" w:rsidRPr="00183B5F" w:rsidRDefault="00943743" w:rsidP="004062FE">
      <w:pPr>
        <w:spacing w:line="240" w:lineRule="auto"/>
        <w:ind w:right="-2"/>
        <w:rPr>
          <w:del w:id="10123" w:author="AbbVie_HU_03" w:date="2025-05-14T16:39:00Z"/>
          <w:b/>
          <w:bCs/>
          <w:szCs w:val="22"/>
        </w:rPr>
      </w:pPr>
      <w:del w:id="10124" w:author="AbbVie_HU_03" w:date="2025-05-14T16:39:00Z">
        <w:r w:rsidRPr="00183B5F">
          <w:rPr>
            <w:b/>
            <w:bCs/>
            <w:szCs w:val="22"/>
          </w:rPr>
          <w:delText>A készítmény hatásai a gépjárművezetéshez és</w:delText>
        </w:r>
        <w:r w:rsidR="008965DA" w:rsidRPr="00183B5F">
          <w:rPr>
            <w:b/>
            <w:bCs/>
            <w:szCs w:val="22"/>
          </w:rPr>
          <w:delText xml:space="preserve"> a</w:delText>
        </w:r>
        <w:r w:rsidRPr="00183B5F">
          <w:rPr>
            <w:b/>
            <w:bCs/>
            <w:szCs w:val="22"/>
          </w:rPr>
          <w:delText xml:space="preserve"> gépek kezeléséhez szükséges képességekre</w:delText>
        </w:r>
      </w:del>
    </w:p>
    <w:p w14:paraId="0F01BFB7" w14:textId="1F530C67" w:rsidR="00FB6710" w:rsidRPr="00183B5F" w:rsidRDefault="00FB6710" w:rsidP="004062FE">
      <w:pPr>
        <w:spacing w:line="240" w:lineRule="auto"/>
        <w:ind w:right="-2"/>
        <w:rPr>
          <w:del w:id="10125" w:author="AbbVie_HU_03" w:date="2025-05-14T16:39:00Z"/>
          <w:szCs w:val="22"/>
        </w:rPr>
      </w:pPr>
    </w:p>
    <w:p w14:paraId="51248A00" w14:textId="1F1A737E" w:rsidR="00FB6710" w:rsidRPr="00183B5F" w:rsidRDefault="00943743" w:rsidP="004062FE">
      <w:pPr>
        <w:spacing w:line="240" w:lineRule="auto"/>
        <w:rPr>
          <w:del w:id="10126" w:author="AbbVie_HU_03" w:date="2025-05-14T16:39:00Z"/>
          <w:szCs w:val="22"/>
        </w:rPr>
      </w:pPr>
      <w:del w:id="10127" w:author="AbbVie_HU_03" w:date="2025-05-14T16:39:00Z">
        <w:r w:rsidRPr="00183B5F">
          <w:rPr>
            <w:szCs w:val="22"/>
          </w:rPr>
          <w:delText>A Humira csak csekély mértékben befolyásolhatja a gépjárművezetéshez</w:delText>
        </w:r>
        <w:r w:rsidR="009C0F40" w:rsidRPr="00183B5F">
          <w:rPr>
            <w:szCs w:val="22"/>
          </w:rPr>
          <w:delText xml:space="preserve">, </w:delText>
        </w:r>
        <w:r w:rsidR="008965DA" w:rsidRPr="00183B5F">
          <w:rPr>
            <w:szCs w:val="22"/>
          </w:rPr>
          <w:delText>kerékpározáshoz</w:delText>
        </w:r>
        <w:r w:rsidR="009C0F40" w:rsidRPr="00183B5F">
          <w:rPr>
            <w:szCs w:val="22"/>
          </w:rPr>
          <w:delText xml:space="preserve"> vagy a</w:delText>
        </w:r>
        <w:r w:rsidRPr="00183B5F">
          <w:rPr>
            <w:szCs w:val="22"/>
          </w:rPr>
          <w:delText xml:space="preserve"> gépek </w:delText>
        </w:r>
        <w:r w:rsidRPr="00183B5F">
          <w:rPr>
            <w:noProof/>
            <w:szCs w:val="22"/>
          </w:rPr>
          <w:delText>kezeléséhez</w:delText>
        </w:r>
        <w:r w:rsidRPr="00183B5F">
          <w:rPr>
            <w:szCs w:val="22"/>
          </w:rPr>
          <w:delText xml:space="preserve"> szükséges képességeket. A Humira alkalmazását követően előfordulhat</w:delText>
        </w:r>
        <w:r w:rsidR="00BC7AC8" w:rsidRPr="00183B5F">
          <w:rPr>
            <w:szCs w:val="22"/>
          </w:rPr>
          <w:delText xml:space="preserve"> olyan érzés,</w:delText>
        </w:r>
        <w:r w:rsidRPr="00183B5F">
          <w:rPr>
            <w:szCs w:val="22"/>
          </w:rPr>
          <w:delText xml:space="preserve"> mintha forogna a szoba vagy a tér, továbbá látászavar is előfordulhat.</w:delText>
        </w:r>
      </w:del>
    </w:p>
    <w:p w14:paraId="01CEF686" w14:textId="54CD5953" w:rsidR="00FB6710" w:rsidRPr="00183B5F" w:rsidRDefault="00FB6710" w:rsidP="004062FE">
      <w:pPr>
        <w:spacing w:line="240" w:lineRule="auto"/>
        <w:ind w:right="-2"/>
        <w:rPr>
          <w:del w:id="10128" w:author="AbbVie_HU_03" w:date="2025-05-14T16:39:00Z"/>
          <w:szCs w:val="22"/>
        </w:rPr>
      </w:pPr>
    </w:p>
    <w:p w14:paraId="7BD421F5" w14:textId="21998F8F" w:rsidR="005E7D40" w:rsidRPr="00183B5F" w:rsidRDefault="00943743" w:rsidP="004062FE">
      <w:pPr>
        <w:spacing w:line="240" w:lineRule="auto"/>
        <w:ind w:right="-2"/>
        <w:rPr>
          <w:del w:id="10129" w:author="AbbVie_HU_03" w:date="2025-05-14T16:39:00Z"/>
          <w:b/>
          <w:szCs w:val="22"/>
        </w:rPr>
      </w:pPr>
      <w:del w:id="10130" w:author="AbbVie_HU_03" w:date="2025-05-14T16:39:00Z">
        <w:r w:rsidRPr="00183B5F">
          <w:rPr>
            <w:b/>
            <w:szCs w:val="22"/>
          </w:rPr>
          <w:delText>A Humira</w:delText>
        </w:r>
        <w:r w:rsidR="00AB7CEF" w:rsidRPr="00183B5F">
          <w:rPr>
            <w:b/>
            <w:szCs w:val="22"/>
          </w:rPr>
          <w:delText xml:space="preserve"> nátriumot</w:delText>
        </w:r>
        <w:r w:rsidRPr="00183B5F">
          <w:rPr>
            <w:b/>
            <w:szCs w:val="22"/>
          </w:rPr>
          <w:delText xml:space="preserve"> tartalmaz.</w:delText>
        </w:r>
      </w:del>
    </w:p>
    <w:p w14:paraId="1427A573" w14:textId="1B252AE8" w:rsidR="005E7D40" w:rsidRPr="00183B5F" w:rsidRDefault="005E7D40" w:rsidP="004062FE">
      <w:pPr>
        <w:spacing w:line="240" w:lineRule="auto"/>
        <w:ind w:right="-2"/>
        <w:rPr>
          <w:del w:id="10131" w:author="AbbVie_HU_03" w:date="2025-05-14T16:39:00Z"/>
          <w:szCs w:val="22"/>
        </w:rPr>
      </w:pPr>
    </w:p>
    <w:p w14:paraId="5002F77B" w14:textId="2520C6A3" w:rsidR="006C1B09" w:rsidRPr="00183B5F" w:rsidRDefault="00943743" w:rsidP="004062FE">
      <w:pPr>
        <w:spacing w:line="240" w:lineRule="auto"/>
        <w:ind w:right="-2"/>
        <w:rPr>
          <w:del w:id="10132" w:author="AbbVie_HU_03" w:date="2025-05-14T16:39:00Z"/>
          <w:szCs w:val="22"/>
        </w:rPr>
      </w:pPr>
      <w:del w:id="10133" w:author="AbbVie_HU_03" w:date="2025-05-14T16:39:00Z">
        <w:r w:rsidRPr="00183B5F">
          <w:rPr>
            <w:szCs w:val="22"/>
          </w:rPr>
          <w:delText>A készítmény kevesebb, mint 1 mmol (23 </w:delText>
        </w:r>
        <w:r w:rsidR="00AB7CEF" w:rsidRPr="00183B5F">
          <w:rPr>
            <w:szCs w:val="22"/>
          </w:rPr>
          <w:delText>mg) per 0,8 ml adag nátriumot tartalmaz, azaz gyakorlatilag nátriummentes.</w:delText>
        </w:r>
      </w:del>
    </w:p>
    <w:p w14:paraId="1CDD0732" w14:textId="75711941" w:rsidR="006C1B09" w:rsidRPr="00183B5F" w:rsidRDefault="006C1B09" w:rsidP="004062FE">
      <w:pPr>
        <w:spacing w:line="240" w:lineRule="auto"/>
        <w:ind w:right="-2"/>
        <w:rPr>
          <w:del w:id="10134" w:author="AbbVie_HU_03" w:date="2025-05-14T16:39:00Z"/>
          <w:szCs w:val="22"/>
        </w:rPr>
      </w:pPr>
    </w:p>
    <w:p w14:paraId="6669D703" w14:textId="0EE2BBBE" w:rsidR="00FB6710" w:rsidRPr="00183B5F" w:rsidRDefault="00FB6710" w:rsidP="004062FE">
      <w:pPr>
        <w:spacing w:line="240" w:lineRule="auto"/>
        <w:ind w:right="-2"/>
        <w:rPr>
          <w:del w:id="10135" w:author="AbbVie_HU_03" w:date="2025-05-14T16:39:00Z"/>
          <w:szCs w:val="22"/>
        </w:rPr>
      </w:pPr>
    </w:p>
    <w:p w14:paraId="056A83BB" w14:textId="7ED0F4AD" w:rsidR="00D32D17" w:rsidRPr="00183B5F" w:rsidRDefault="00943743" w:rsidP="004062FE">
      <w:pPr>
        <w:spacing w:line="240" w:lineRule="auto"/>
        <w:ind w:left="567" w:right="-29" w:hanging="567"/>
        <w:rPr>
          <w:del w:id="10136" w:author="AbbVie_HU_03" w:date="2025-05-14T16:39:00Z"/>
          <w:b/>
          <w:szCs w:val="22"/>
        </w:rPr>
      </w:pPr>
      <w:del w:id="10137" w:author="AbbVie_HU_03" w:date="2025-05-14T16:39:00Z">
        <w:r w:rsidRPr="00183B5F">
          <w:rPr>
            <w:b/>
            <w:szCs w:val="22"/>
          </w:rPr>
          <w:delText>3.</w:delText>
        </w:r>
        <w:r w:rsidRPr="00183B5F">
          <w:rPr>
            <w:b/>
            <w:szCs w:val="22"/>
          </w:rPr>
          <w:tab/>
        </w:r>
        <w:r w:rsidRPr="00183B5F">
          <w:rPr>
            <w:b/>
            <w:szCs w:val="22"/>
          </w:rPr>
          <w:delText>Hogyan kell alkalmazni a Humira</w:delText>
        </w:r>
        <w:r w:rsidR="00EB22A0" w:rsidRPr="00183B5F">
          <w:rPr>
            <w:b/>
            <w:szCs w:val="22"/>
          </w:rPr>
          <w:noBreakHyphen/>
        </w:r>
        <w:r w:rsidRPr="00183B5F">
          <w:rPr>
            <w:b/>
            <w:szCs w:val="22"/>
          </w:rPr>
          <w:delText>t</w:delText>
        </w:r>
        <w:r w:rsidR="000C4F16" w:rsidRPr="00183B5F">
          <w:rPr>
            <w:b/>
            <w:szCs w:val="22"/>
          </w:rPr>
          <w:delText>?</w:delText>
        </w:r>
      </w:del>
    </w:p>
    <w:p w14:paraId="624C5727" w14:textId="31478211" w:rsidR="00FB6710" w:rsidRPr="00183B5F" w:rsidRDefault="00FB6710" w:rsidP="004062FE">
      <w:pPr>
        <w:spacing w:line="240" w:lineRule="auto"/>
        <w:ind w:left="567" w:right="-29" w:hanging="567"/>
        <w:rPr>
          <w:del w:id="10138" w:author="AbbVie_HU_03" w:date="2025-05-14T16:39:00Z"/>
          <w:szCs w:val="22"/>
        </w:rPr>
      </w:pPr>
    </w:p>
    <w:p w14:paraId="25B8522E" w14:textId="14926282" w:rsidR="00FB6710" w:rsidRPr="00183B5F" w:rsidRDefault="00943743" w:rsidP="004062FE">
      <w:pPr>
        <w:tabs>
          <w:tab w:val="num" w:pos="630"/>
        </w:tabs>
        <w:spacing w:line="240" w:lineRule="auto"/>
        <w:ind w:right="-2"/>
        <w:rPr>
          <w:del w:id="10139" w:author="AbbVie_HU_03" w:date="2025-05-14T16:39:00Z"/>
          <w:b/>
          <w:szCs w:val="22"/>
        </w:rPr>
      </w:pPr>
      <w:del w:id="10140" w:author="AbbVie_HU_03" w:date="2025-05-14T16:39:00Z">
        <w:r w:rsidRPr="00183B5F">
          <w:rPr>
            <w:noProof/>
            <w:szCs w:val="24"/>
          </w:rPr>
          <w:delText>A gyógyszert</w:delText>
        </w:r>
        <w:r w:rsidRPr="00183B5F">
          <w:rPr>
            <w:szCs w:val="24"/>
          </w:rPr>
          <w:delText xml:space="preserve"> mindig </w:delText>
        </w:r>
        <w:r w:rsidR="00AB3C6A" w:rsidRPr="00183B5F">
          <w:rPr>
            <w:szCs w:val="24"/>
          </w:rPr>
          <w:delText xml:space="preserve">a </w:delText>
        </w:r>
        <w:r w:rsidRPr="00183B5F">
          <w:rPr>
            <w:noProof/>
            <w:szCs w:val="24"/>
          </w:rPr>
          <w:delText>gyermeke kezelőorvosa vagy gyógyszerésze</w:delText>
        </w:r>
        <w:r w:rsidRPr="00183B5F">
          <w:rPr>
            <w:szCs w:val="22"/>
          </w:rPr>
          <w:delText xml:space="preserve"> által elmondottaknak megfelelően alkalmazza. Amennyiben nem biztos az adagolást illetően, kérdezze meg </w:delText>
        </w:r>
        <w:r w:rsidRPr="00183B5F">
          <w:rPr>
            <w:noProof/>
            <w:szCs w:val="24"/>
          </w:rPr>
          <w:delText xml:space="preserve">gyermeke </w:delText>
        </w:r>
        <w:r w:rsidRPr="00183B5F">
          <w:rPr>
            <w:szCs w:val="22"/>
          </w:rPr>
          <w:delText>kezelőorvosát vagy gyógyszerészét.</w:delText>
        </w:r>
        <w:r w:rsidR="00AB7CEF" w:rsidRPr="00183B5F">
          <w:rPr>
            <w:szCs w:val="22"/>
          </w:rPr>
          <w:delText xml:space="preserve"> </w:delText>
        </w:r>
        <w:r w:rsidR="00AB7CEF" w:rsidRPr="00183B5F">
          <w:delText>Kezelőorvosa más hatáserősségű Humira</w:delText>
        </w:r>
        <w:r w:rsidR="00AB7CEF" w:rsidRPr="00183B5F">
          <w:noBreakHyphen/>
          <w:delText xml:space="preserve">t is felírhat, ha gyermekének </w:delText>
        </w:r>
        <w:r w:rsidR="00963A8B" w:rsidRPr="00183B5F">
          <w:delText>más</w:delText>
        </w:r>
        <w:r w:rsidR="00AB7CEF" w:rsidRPr="00183B5F">
          <w:delText xml:space="preserve"> dózisra van szüksége.</w:delText>
        </w:r>
      </w:del>
    </w:p>
    <w:p w14:paraId="2B356E7A" w14:textId="4ED9D12B" w:rsidR="00FB6710" w:rsidRPr="00183B5F" w:rsidRDefault="00FB6710" w:rsidP="004062FE">
      <w:pPr>
        <w:spacing w:line="240" w:lineRule="auto"/>
        <w:ind w:right="-2"/>
        <w:rPr>
          <w:del w:id="10141" w:author="AbbVie_HU_03" w:date="2025-05-14T16:39:00Z"/>
          <w:szCs w:val="22"/>
        </w:rPr>
      </w:pPr>
    </w:p>
    <w:p w14:paraId="3BDC07E7" w14:textId="5D60A66C" w:rsidR="00DB6440" w:rsidRPr="00183B5F" w:rsidRDefault="00943743" w:rsidP="004062FE">
      <w:pPr>
        <w:keepNext/>
        <w:numPr>
          <w:ilvl w:val="12"/>
          <w:numId w:val="0"/>
        </w:numPr>
        <w:spacing w:line="240" w:lineRule="auto"/>
        <w:rPr>
          <w:del w:id="10142" w:author="AbbVie_HU_03" w:date="2025-05-14T16:39:00Z"/>
          <w:szCs w:val="22"/>
          <w:u w:val="single"/>
        </w:rPr>
      </w:pPr>
      <w:del w:id="10143" w:author="AbbVie_HU_03" w:date="2025-05-14T16:39:00Z">
        <w:r w:rsidRPr="00183B5F">
          <w:rPr>
            <w:szCs w:val="22"/>
            <w:u w:val="single"/>
          </w:rPr>
          <w:delText>Ismeretlen eredetű sokízületi gyulladásban szenvedő gyermekek</w:delText>
        </w:r>
        <w:r w:rsidR="007113F6" w:rsidRPr="00183B5F">
          <w:rPr>
            <w:szCs w:val="22"/>
            <w:u w:val="single"/>
          </w:rPr>
          <w:delText xml:space="preserve"> és serdülők</w:delText>
        </w:r>
        <w:r w:rsidRPr="00183B5F">
          <w:rPr>
            <w:szCs w:val="22"/>
            <w:u w:val="single"/>
          </w:rPr>
          <w:delText>:</w:delText>
        </w:r>
      </w:del>
    </w:p>
    <w:p w14:paraId="0327EAA2" w14:textId="5FDD5BF1" w:rsidR="007113F6" w:rsidRPr="00183B5F" w:rsidRDefault="007113F6" w:rsidP="004062FE">
      <w:pPr>
        <w:keepNext/>
        <w:numPr>
          <w:ilvl w:val="12"/>
          <w:numId w:val="0"/>
        </w:numPr>
        <w:spacing w:line="240" w:lineRule="auto"/>
        <w:rPr>
          <w:del w:id="10144" w:author="AbbVie_HU_03" w:date="2025-05-14T16:39:00Z"/>
          <w:szCs w:val="22"/>
          <w:u w:val="single"/>
        </w:rPr>
      </w:pPr>
    </w:p>
    <w:p w14:paraId="2D6107CB" w14:textId="58C4F2BA" w:rsidR="007113F6" w:rsidRPr="00183B5F" w:rsidRDefault="00943743" w:rsidP="004062FE">
      <w:pPr>
        <w:keepNext/>
        <w:numPr>
          <w:ilvl w:val="12"/>
          <w:numId w:val="0"/>
        </w:numPr>
        <w:spacing w:line="240" w:lineRule="auto"/>
        <w:rPr>
          <w:del w:id="10145" w:author="AbbVie_HU_03" w:date="2025-05-14T16:39:00Z"/>
          <w:i/>
        </w:rPr>
      </w:pPr>
      <w:del w:id="10146" w:author="AbbVie_HU_03" w:date="2025-05-14T16:39:00Z">
        <w:r w:rsidRPr="00183B5F">
          <w:rPr>
            <w:i/>
          </w:rPr>
          <w:delText>2 évesnél idősebb, 10</w:delText>
        </w:r>
        <w:r w:rsidR="00127FA5" w:rsidRPr="00183B5F">
          <w:rPr>
            <w:i/>
          </w:rPr>
          <w:delText> kg</w:delText>
        </w:r>
        <w:r w:rsidRPr="00183B5F">
          <w:rPr>
            <w:i/>
          </w:rPr>
          <w:delText>-</w:delText>
        </w:r>
        <w:r w:rsidR="00194670" w:rsidRPr="00183B5F">
          <w:rPr>
            <w:i/>
          </w:rPr>
          <w:delText>nál nagyobb, de</w:delText>
        </w:r>
        <w:r w:rsidR="00C06061" w:rsidRPr="00183B5F">
          <w:rPr>
            <w:i/>
          </w:rPr>
          <w:delText xml:space="preserve"> </w:delText>
        </w:r>
        <w:r w:rsidRPr="00183B5F">
          <w:rPr>
            <w:i/>
          </w:rPr>
          <w:delText>30 kg</w:delText>
        </w:r>
        <w:r w:rsidR="00194670" w:rsidRPr="00183B5F">
          <w:rPr>
            <w:i/>
          </w:rPr>
          <w:delText>-nál kisebb</w:delText>
        </w:r>
        <w:r w:rsidRPr="00183B5F">
          <w:rPr>
            <w:i/>
          </w:rPr>
          <w:delText xml:space="preserve"> testtömeg</w:delText>
        </w:r>
        <w:r w:rsidR="00B36CC7" w:rsidRPr="00183B5F">
          <w:rPr>
            <w:i/>
          </w:rPr>
          <w:delText>ű</w:delText>
        </w:r>
        <w:r w:rsidRPr="00183B5F">
          <w:rPr>
            <w:i/>
          </w:rPr>
          <w:delText xml:space="preserve"> gyermekek és serdülők</w:delText>
        </w:r>
      </w:del>
    </w:p>
    <w:p w14:paraId="7E74C066" w14:textId="16A0A330" w:rsidR="007113F6" w:rsidRPr="00183B5F" w:rsidRDefault="007113F6" w:rsidP="004062FE">
      <w:pPr>
        <w:keepNext/>
        <w:numPr>
          <w:ilvl w:val="12"/>
          <w:numId w:val="0"/>
        </w:numPr>
        <w:spacing w:line="240" w:lineRule="auto"/>
        <w:rPr>
          <w:del w:id="10147" w:author="AbbVie_HU_03" w:date="2025-05-14T16:39:00Z"/>
          <w:i/>
        </w:rPr>
      </w:pPr>
    </w:p>
    <w:p w14:paraId="60060F1A" w14:textId="601D21A4" w:rsidR="007113F6" w:rsidRPr="00183B5F" w:rsidRDefault="00943743" w:rsidP="004062FE">
      <w:pPr>
        <w:keepNext/>
        <w:numPr>
          <w:ilvl w:val="12"/>
          <w:numId w:val="0"/>
        </w:numPr>
        <w:spacing w:line="240" w:lineRule="auto"/>
        <w:rPr>
          <w:del w:id="10148" w:author="AbbVie_HU_03" w:date="2025-05-14T16:39:00Z"/>
        </w:rPr>
      </w:pPr>
      <w:del w:id="10149" w:author="AbbVie_HU_03" w:date="2025-05-14T16:39:00Z">
        <w:r w:rsidRPr="00183B5F">
          <w:delText>A Humira ajánlott adagja 20 mg minden második héten.</w:delText>
        </w:r>
      </w:del>
    </w:p>
    <w:p w14:paraId="637E30A2" w14:textId="58A0840B" w:rsidR="007113F6" w:rsidRPr="00183B5F" w:rsidRDefault="007113F6" w:rsidP="004062FE">
      <w:pPr>
        <w:keepNext/>
        <w:numPr>
          <w:ilvl w:val="12"/>
          <w:numId w:val="0"/>
        </w:numPr>
        <w:spacing w:line="240" w:lineRule="auto"/>
        <w:rPr>
          <w:del w:id="10150" w:author="AbbVie_HU_03" w:date="2025-05-14T16:39:00Z"/>
        </w:rPr>
      </w:pPr>
    </w:p>
    <w:p w14:paraId="7B1CAF09" w14:textId="6BDBF53F" w:rsidR="007113F6" w:rsidRPr="00183B5F" w:rsidRDefault="00943743" w:rsidP="004062FE">
      <w:pPr>
        <w:keepNext/>
        <w:numPr>
          <w:ilvl w:val="12"/>
          <w:numId w:val="0"/>
        </w:numPr>
        <w:spacing w:line="240" w:lineRule="auto"/>
        <w:rPr>
          <w:del w:id="10151" w:author="AbbVie_HU_03" w:date="2025-05-14T16:39:00Z"/>
          <w:i/>
        </w:rPr>
      </w:pPr>
      <w:del w:id="10152" w:author="AbbVie_HU_03" w:date="2025-05-14T16:39:00Z">
        <w:r w:rsidRPr="00183B5F">
          <w:rPr>
            <w:i/>
          </w:rPr>
          <w:delText xml:space="preserve">2 évesnél idősebb, 30 kg </w:delText>
        </w:r>
        <w:r w:rsidR="0070154C" w:rsidRPr="00183B5F">
          <w:rPr>
            <w:i/>
          </w:rPr>
          <w:delText xml:space="preserve">vagy annál nagyobb </w:delText>
        </w:r>
        <w:r w:rsidRPr="00183B5F">
          <w:rPr>
            <w:i/>
          </w:rPr>
          <w:delText>testtömegű gyermekek és serdülők</w:delText>
        </w:r>
      </w:del>
    </w:p>
    <w:p w14:paraId="1673D399" w14:textId="705C7010" w:rsidR="007113F6" w:rsidRPr="00183B5F" w:rsidRDefault="007113F6" w:rsidP="004062FE">
      <w:pPr>
        <w:keepNext/>
        <w:numPr>
          <w:ilvl w:val="12"/>
          <w:numId w:val="0"/>
        </w:numPr>
        <w:spacing w:line="240" w:lineRule="auto"/>
        <w:rPr>
          <w:del w:id="10153" w:author="AbbVie_HU_03" w:date="2025-05-14T16:39:00Z"/>
          <w:i/>
        </w:rPr>
      </w:pPr>
    </w:p>
    <w:p w14:paraId="74895AA3" w14:textId="3F60F0F6" w:rsidR="007113F6" w:rsidRPr="00183B5F" w:rsidRDefault="00943743" w:rsidP="004062FE">
      <w:pPr>
        <w:keepNext/>
        <w:numPr>
          <w:ilvl w:val="12"/>
          <w:numId w:val="0"/>
        </w:numPr>
        <w:spacing w:line="240" w:lineRule="auto"/>
        <w:rPr>
          <w:del w:id="10154" w:author="AbbVie_HU_03" w:date="2025-05-14T16:39:00Z"/>
          <w:i/>
        </w:rPr>
      </w:pPr>
      <w:del w:id="10155" w:author="AbbVie_HU_03" w:date="2025-05-14T16:39:00Z">
        <w:r w:rsidRPr="00183B5F">
          <w:delText>A Humira ajánlott adagja 40 mg minden második héten.</w:delText>
        </w:r>
      </w:del>
    </w:p>
    <w:p w14:paraId="5467190C" w14:textId="0508D873" w:rsidR="006A1B09" w:rsidRPr="00183B5F" w:rsidRDefault="006A1B09" w:rsidP="004062FE">
      <w:pPr>
        <w:numPr>
          <w:ilvl w:val="12"/>
          <w:numId w:val="0"/>
        </w:numPr>
        <w:spacing w:line="240" w:lineRule="auto"/>
        <w:ind w:right="-2"/>
        <w:rPr>
          <w:del w:id="10156" w:author="AbbVie_HU_03" w:date="2025-05-14T16:39:00Z"/>
          <w:szCs w:val="22"/>
        </w:rPr>
      </w:pPr>
    </w:p>
    <w:p w14:paraId="1238C8B0" w14:textId="60B5F05D" w:rsidR="00617878" w:rsidRPr="00183B5F" w:rsidRDefault="00943743" w:rsidP="000B3A51">
      <w:pPr>
        <w:keepNext/>
        <w:numPr>
          <w:ilvl w:val="12"/>
          <w:numId w:val="0"/>
        </w:numPr>
        <w:spacing w:line="240" w:lineRule="auto"/>
        <w:ind w:right="-2"/>
        <w:rPr>
          <w:del w:id="10157" w:author="AbbVie_HU_03" w:date="2025-05-14T16:39:00Z"/>
          <w:szCs w:val="22"/>
          <w:u w:val="single"/>
        </w:rPr>
      </w:pPr>
      <w:del w:id="10158" w:author="AbbVie_HU_03" w:date="2025-05-14T16:39:00Z">
        <w:r w:rsidRPr="00183B5F">
          <w:rPr>
            <w:szCs w:val="22"/>
            <w:u w:val="single"/>
          </w:rPr>
          <w:delText xml:space="preserve">Az </w:delText>
        </w:r>
        <w:r w:rsidR="00E3515C" w:rsidRPr="00183B5F">
          <w:rPr>
            <w:szCs w:val="22"/>
            <w:u w:val="single"/>
          </w:rPr>
          <w:delText>i</w:delText>
        </w:r>
        <w:r w:rsidRPr="00183B5F">
          <w:rPr>
            <w:szCs w:val="22"/>
            <w:u w:val="single"/>
          </w:rPr>
          <w:delText>n</w:delText>
        </w:r>
        <w:r w:rsidR="00EB22A0" w:rsidRPr="00183B5F">
          <w:rPr>
            <w:szCs w:val="22"/>
            <w:u w:val="single"/>
          </w:rPr>
          <w:delText xml:space="preserve">ak </w:delText>
        </w:r>
        <w:r w:rsidRPr="00183B5F">
          <w:rPr>
            <w:szCs w:val="22"/>
            <w:u w:val="single"/>
          </w:rPr>
          <w:delText>tapadási hely</w:delText>
        </w:r>
        <w:r w:rsidR="00E3515C" w:rsidRPr="00183B5F">
          <w:rPr>
            <w:szCs w:val="22"/>
            <w:u w:val="single"/>
          </w:rPr>
          <w:delText>é</w:delText>
        </w:r>
        <w:r w:rsidR="00EB22A0" w:rsidRPr="00183B5F">
          <w:rPr>
            <w:szCs w:val="22"/>
            <w:u w:val="single"/>
          </w:rPr>
          <w:delText>ne</w:delText>
        </w:r>
        <w:r w:rsidRPr="00183B5F">
          <w:rPr>
            <w:szCs w:val="22"/>
            <w:u w:val="single"/>
          </w:rPr>
          <w:delText>k gyulladásos elváltozásával társult reumás ízületi gyulladásban szenvedő gyermekek</w:delText>
        </w:r>
        <w:r w:rsidR="007113F6" w:rsidRPr="00183B5F">
          <w:rPr>
            <w:szCs w:val="22"/>
            <w:u w:val="single"/>
          </w:rPr>
          <w:delText>, serdülők és felnőttek</w:delText>
        </w:r>
      </w:del>
    </w:p>
    <w:p w14:paraId="2777CDEC" w14:textId="3ED30982" w:rsidR="00744EB2" w:rsidRPr="00183B5F" w:rsidRDefault="00744EB2" w:rsidP="000B3A51">
      <w:pPr>
        <w:keepNext/>
        <w:numPr>
          <w:ilvl w:val="12"/>
          <w:numId w:val="0"/>
        </w:numPr>
        <w:spacing w:line="240" w:lineRule="auto"/>
        <w:ind w:right="-2"/>
        <w:rPr>
          <w:del w:id="10159" w:author="AbbVie_HU_03" w:date="2025-05-14T16:39:00Z"/>
          <w:szCs w:val="22"/>
        </w:rPr>
      </w:pPr>
    </w:p>
    <w:p w14:paraId="3A23A33D" w14:textId="633E8C96" w:rsidR="00744EB2" w:rsidRPr="00183B5F" w:rsidRDefault="00943743" w:rsidP="000B3A51">
      <w:pPr>
        <w:keepNext/>
        <w:spacing w:line="240" w:lineRule="auto"/>
        <w:ind w:right="-2"/>
        <w:rPr>
          <w:del w:id="10160" w:author="AbbVie_HU_03" w:date="2025-05-14T16:39:00Z"/>
          <w:i/>
        </w:rPr>
      </w:pPr>
      <w:del w:id="10161" w:author="AbbVie_HU_03" w:date="2025-05-14T16:39:00Z">
        <w:r w:rsidRPr="00183B5F">
          <w:rPr>
            <w:i/>
          </w:rPr>
          <w:delText>6 évesnél idősebb, 15</w:delText>
        </w:r>
        <w:r w:rsidR="00127FA5" w:rsidRPr="00183B5F">
          <w:rPr>
            <w:i/>
          </w:rPr>
          <w:delText> kg</w:delText>
        </w:r>
        <w:r w:rsidRPr="00183B5F">
          <w:rPr>
            <w:i/>
          </w:rPr>
          <w:delText>-</w:delText>
        </w:r>
        <w:r w:rsidR="00194670" w:rsidRPr="00183B5F">
          <w:rPr>
            <w:i/>
          </w:rPr>
          <w:delText>nál nagyobb, de</w:delText>
        </w:r>
        <w:r w:rsidR="00C06061" w:rsidRPr="00183B5F">
          <w:rPr>
            <w:i/>
          </w:rPr>
          <w:delText xml:space="preserve"> </w:delText>
        </w:r>
        <w:r w:rsidRPr="00183B5F">
          <w:rPr>
            <w:i/>
          </w:rPr>
          <w:delText>30 kg</w:delText>
        </w:r>
        <w:r w:rsidR="00194670" w:rsidRPr="00183B5F">
          <w:rPr>
            <w:i/>
          </w:rPr>
          <w:noBreakHyphen/>
          <w:delText>nál kisebb</w:delText>
        </w:r>
        <w:r w:rsidRPr="00183B5F">
          <w:rPr>
            <w:i/>
          </w:rPr>
          <w:delText xml:space="preserve"> testtömegű gyermekek és serdülők</w:delText>
        </w:r>
      </w:del>
    </w:p>
    <w:p w14:paraId="043A2019" w14:textId="71A442C3" w:rsidR="00744EB2" w:rsidRPr="00183B5F" w:rsidRDefault="00744EB2" w:rsidP="004062FE">
      <w:pPr>
        <w:spacing w:line="240" w:lineRule="auto"/>
        <w:ind w:right="-2"/>
        <w:rPr>
          <w:del w:id="10162" w:author="AbbVie_HU_03" w:date="2025-05-14T16:39:00Z"/>
          <w:i/>
        </w:rPr>
      </w:pPr>
    </w:p>
    <w:p w14:paraId="44EE16C1" w14:textId="778201B6" w:rsidR="002764E2" w:rsidRPr="00183B5F" w:rsidRDefault="00943743" w:rsidP="004062FE">
      <w:pPr>
        <w:keepNext/>
        <w:numPr>
          <w:ilvl w:val="12"/>
          <w:numId w:val="0"/>
        </w:numPr>
        <w:spacing w:line="240" w:lineRule="auto"/>
        <w:rPr>
          <w:del w:id="10163" w:author="AbbVie_HU_03" w:date="2025-05-14T16:39:00Z"/>
        </w:rPr>
      </w:pPr>
      <w:del w:id="10164" w:author="AbbVie_HU_03" w:date="2025-05-14T16:39:00Z">
        <w:r w:rsidRPr="00183B5F">
          <w:delText>A Humira ajánlott adagja 20 mg minden második héten.</w:delText>
        </w:r>
      </w:del>
    </w:p>
    <w:p w14:paraId="7CEBC260" w14:textId="5188A724" w:rsidR="00744EB2" w:rsidRPr="00183B5F" w:rsidRDefault="00744EB2" w:rsidP="004062FE">
      <w:pPr>
        <w:spacing w:line="240" w:lineRule="auto"/>
        <w:ind w:right="-2"/>
        <w:rPr>
          <w:del w:id="10165" w:author="AbbVie_HU_03" w:date="2025-05-14T16:39:00Z"/>
          <w:i/>
        </w:rPr>
      </w:pPr>
    </w:p>
    <w:p w14:paraId="7B8CDC06" w14:textId="467B41DF" w:rsidR="002764E2" w:rsidRPr="00183B5F" w:rsidRDefault="00943743" w:rsidP="004062FE">
      <w:pPr>
        <w:keepNext/>
        <w:numPr>
          <w:ilvl w:val="12"/>
          <w:numId w:val="0"/>
        </w:numPr>
        <w:spacing w:line="240" w:lineRule="auto"/>
        <w:rPr>
          <w:del w:id="10166" w:author="AbbVie_HU_03" w:date="2025-05-14T16:39:00Z"/>
          <w:i/>
        </w:rPr>
      </w:pPr>
      <w:del w:id="10167" w:author="AbbVie_HU_03" w:date="2025-05-14T16:39:00Z">
        <w:r w:rsidRPr="00183B5F">
          <w:rPr>
            <w:i/>
          </w:rPr>
          <w:delText xml:space="preserve">6 évesnél idősebb, </w:delText>
        </w:r>
        <w:r w:rsidR="0070154C" w:rsidRPr="00183B5F">
          <w:rPr>
            <w:i/>
          </w:rPr>
          <w:delText xml:space="preserve">30 kg vagy annál nagyobb </w:delText>
        </w:r>
        <w:r w:rsidRPr="00183B5F">
          <w:rPr>
            <w:i/>
          </w:rPr>
          <w:delText>testtömegű gyermekek és serdülők</w:delText>
        </w:r>
      </w:del>
    </w:p>
    <w:p w14:paraId="65E1DBD2" w14:textId="019ADB30" w:rsidR="002764E2" w:rsidRPr="00183B5F" w:rsidRDefault="002764E2" w:rsidP="004062FE">
      <w:pPr>
        <w:spacing w:line="240" w:lineRule="auto"/>
        <w:ind w:right="-2"/>
        <w:rPr>
          <w:del w:id="10168" w:author="AbbVie_HU_03" w:date="2025-05-14T16:39:00Z"/>
          <w:i/>
        </w:rPr>
      </w:pPr>
    </w:p>
    <w:p w14:paraId="24BAFB0E" w14:textId="5E5902C5" w:rsidR="002764E2" w:rsidRPr="00183B5F" w:rsidRDefault="00943743" w:rsidP="004062FE">
      <w:pPr>
        <w:keepNext/>
        <w:numPr>
          <w:ilvl w:val="12"/>
          <w:numId w:val="0"/>
        </w:numPr>
        <w:spacing w:line="240" w:lineRule="auto"/>
        <w:rPr>
          <w:del w:id="10169" w:author="AbbVie_HU_03" w:date="2025-05-14T16:39:00Z"/>
          <w:i/>
        </w:rPr>
      </w:pPr>
      <w:del w:id="10170" w:author="AbbVie_HU_03" w:date="2025-05-14T16:39:00Z">
        <w:r w:rsidRPr="00183B5F">
          <w:delText>A Humira ajánlott adagja 40 mg minden második héten.</w:delText>
        </w:r>
      </w:del>
    </w:p>
    <w:p w14:paraId="343E13EA" w14:textId="17CC1E51" w:rsidR="00617878" w:rsidRPr="00183B5F" w:rsidRDefault="00617878" w:rsidP="004062FE">
      <w:pPr>
        <w:numPr>
          <w:ilvl w:val="12"/>
          <w:numId w:val="0"/>
        </w:numPr>
        <w:spacing w:line="240" w:lineRule="auto"/>
        <w:ind w:right="-2"/>
        <w:rPr>
          <w:del w:id="10171" w:author="AbbVie_HU_03" w:date="2025-05-14T16:39:00Z"/>
          <w:szCs w:val="22"/>
        </w:rPr>
      </w:pPr>
    </w:p>
    <w:p w14:paraId="4C8ECAF4" w14:textId="6773CF4D" w:rsidR="00E87A3C" w:rsidRPr="00183B5F" w:rsidRDefault="00943743" w:rsidP="004062FE">
      <w:pPr>
        <w:keepNext/>
        <w:numPr>
          <w:ilvl w:val="12"/>
          <w:numId w:val="0"/>
        </w:numPr>
        <w:spacing w:line="240" w:lineRule="auto"/>
        <w:ind w:right="-2"/>
        <w:rPr>
          <w:del w:id="10172" w:author="AbbVie_HU_03" w:date="2025-05-14T16:39:00Z"/>
          <w:szCs w:val="22"/>
          <w:u w:val="single"/>
        </w:rPr>
      </w:pPr>
      <w:del w:id="10173" w:author="AbbVie_HU_03" w:date="2025-05-14T16:39:00Z">
        <w:r w:rsidRPr="00183B5F">
          <w:rPr>
            <w:szCs w:val="22"/>
            <w:u w:val="single"/>
          </w:rPr>
          <w:delText>Pszoriázisban szenvedő gyermekek és serdülők</w:delText>
        </w:r>
      </w:del>
    </w:p>
    <w:p w14:paraId="1D0CCF68" w14:textId="60E4B4DB" w:rsidR="00E87A3C" w:rsidRPr="00183B5F" w:rsidRDefault="00E87A3C" w:rsidP="004062FE">
      <w:pPr>
        <w:keepNext/>
        <w:numPr>
          <w:ilvl w:val="12"/>
          <w:numId w:val="0"/>
        </w:numPr>
        <w:spacing w:line="240" w:lineRule="auto"/>
        <w:ind w:right="-2"/>
        <w:rPr>
          <w:del w:id="10174" w:author="AbbVie_HU_03" w:date="2025-05-14T16:39:00Z"/>
          <w:szCs w:val="22"/>
        </w:rPr>
      </w:pPr>
    </w:p>
    <w:p w14:paraId="0F7D7751" w14:textId="11E905CA" w:rsidR="002764E2" w:rsidRPr="00183B5F" w:rsidRDefault="00943743" w:rsidP="004062FE">
      <w:pPr>
        <w:keepNext/>
        <w:numPr>
          <w:ilvl w:val="12"/>
          <w:numId w:val="0"/>
        </w:numPr>
        <w:spacing w:line="240" w:lineRule="auto"/>
        <w:rPr>
          <w:del w:id="10175" w:author="AbbVie_HU_03" w:date="2025-05-14T16:39:00Z"/>
          <w:i/>
        </w:rPr>
      </w:pPr>
      <w:del w:id="10176" w:author="AbbVie_HU_03" w:date="2025-05-14T16:39:00Z">
        <w:r w:rsidRPr="00183B5F">
          <w:rPr>
            <w:i/>
          </w:rPr>
          <w:delText>4-17 éves kor közötti, 15</w:delText>
        </w:r>
        <w:r w:rsidR="00963A8B" w:rsidRPr="00183B5F">
          <w:rPr>
            <w:i/>
          </w:rPr>
          <w:delText> </w:delText>
        </w:r>
        <w:r w:rsidR="00127FA5" w:rsidRPr="00183B5F">
          <w:rPr>
            <w:i/>
          </w:rPr>
          <w:delText>kg</w:delText>
        </w:r>
        <w:r w:rsidRPr="00183B5F">
          <w:delText>-</w:delText>
        </w:r>
        <w:r w:rsidR="00194670" w:rsidRPr="00183B5F">
          <w:rPr>
            <w:i/>
          </w:rPr>
          <w:delText>nál nagyobb, de</w:delText>
        </w:r>
        <w:r w:rsidRPr="00183B5F">
          <w:rPr>
            <w:i/>
          </w:rPr>
          <w:delText xml:space="preserve"> 30 kg</w:delText>
        </w:r>
        <w:r w:rsidR="00194670" w:rsidRPr="00183B5F">
          <w:rPr>
            <w:i/>
          </w:rPr>
          <w:noBreakHyphen/>
          <w:delText>nál kisebb</w:delText>
        </w:r>
        <w:r w:rsidRPr="00183B5F">
          <w:rPr>
            <w:i/>
          </w:rPr>
          <w:delText xml:space="preserve"> testtömegű gyermekek és serdülők</w:delText>
        </w:r>
      </w:del>
    </w:p>
    <w:p w14:paraId="5B570A2F" w14:textId="338FC1C4" w:rsidR="002764E2" w:rsidRPr="00183B5F" w:rsidRDefault="002764E2" w:rsidP="004062FE">
      <w:pPr>
        <w:keepNext/>
        <w:numPr>
          <w:ilvl w:val="12"/>
          <w:numId w:val="0"/>
        </w:numPr>
        <w:spacing w:line="240" w:lineRule="auto"/>
        <w:rPr>
          <w:del w:id="10177" w:author="AbbVie_HU_03" w:date="2025-05-14T16:39:00Z"/>
          <w:i/>
          <w:szCs w:val="22"/>
        </w:rPr>
      </w:pPr>
    </w:p>
    <w:p w14:paraId="352E89E9" w14:textId="79D236FF" w:rsidR="002764E2" w:rsidRPr="00183B5F" w:rsidRDefault="00943743" w:rsidP="004062FE">
      <w:pPr>
        <w:keepNext/>
        <w:numPr>
          <w:ilvl w:val="12"/>
          <w:numId w:val="0"/>
        </w:numPr>
        <w:tabs>
          <w:tab w:val="left" w:pos="720"/>
        </w:tabs>
        <w:spacing w:line="240" w:lineRule="auto"/>
        <w:rPr>
          <w:del w:id="10178" w:author="AbbVie_HU_03" w:date="2025-05-14T16:39:00Z"/>
        </w:rPr>
      </w:pPr>
      <w:del w:id="10179" w:author="AbbVie_HU_03" w:date="2025-05-14T16:39:00Z">
        <w:r w:rsidRPr="00183B5F">
          <w:rPr>
            <w:szCs w:val="22"/>
          </w:rPr>
          <w:delText xml:space="preserve">A Humira ajánlott dózisa első alkalommal 20 mg, majd egy héttel később 20 mg. </w:delText>
        </w:r>
        <w:r w:rsidRPr="00183B5F">
          <w:delText>Ezt követően, a szokásos adag 20 mg minden második héten.</w:delText>
        </w:r>
      </w:del>
    </w:p>
    <w:p w14:paraId="556D8B81" w14:textId="1094C375" w:rsidR="002764E2" w:rsidRPr="00183B5F" w:rsidRDefault="002764E2" w:rsidP="004062FE">
      <w:pPr>
        <w:numPr>
          <w:ilvl w:val="12"/>
          <w:numId w:val="0"/>
        </w:numPr>
        <w:tabs>
          <w:tab w:val="left" w:pos="720"/>
        </w:tabs>
        <w:spacing w:line="240" w:lineRule="auto"/>
        <w:rPr>
          <w:del w:id="10180" w:author="AbbVie_HU_03" w:date="2025-05-14T16:39:00Z"/>
          <w:szCs w:val="22"/>
        </w:rPr>
      </w:pPr>
    </w:p>
    <w:p w14:paraId="668DC83A" w14:textId="3B61B5D2" w:rsidR="002764E2" w:rsidRPr="00183B5F" w:rsidRDefault="00943743" w:rsidP="004062FE">
      <w:pPr>
        <w:keepNext/>
        <w:numPr>
          <w:ilvl w:val="12"/>
          <w:numId w:val="0"/>
        </w:numPr>
        <w:tabs>
          <w:tab w:val="left" w:pos="720"/>
        </w:tabs>
        <w:spacing w:line="240" w:lineRule="auto"/>
        <w:rPr>
          <w:del w:id="10181" w:author="AbbVie_HU_03" w:date="2025-05-14T16:39:00Z"/>
          <w:i/>
        </w:rPr>
      </w:pPr>
      <w:del w:id="10182" w:author="AbbVie_HU_03" w:date="2025-05-14T16:39:00Z">
        <w:r w:rsidRPr="00183B5F">
          <w:rPr>
            <w:i/>
          </w:rPr>
          <w:delText>4-17 éves kor közötti, 30 kg</w:delText>
        </w:r>
        <w:r w:rsidR="0070154C" w:rsidRPr="00183B5F">
          <w:rPr>
            <w:i/>
          </w:rPr>
          <w:delText xml:space="preserve"> vagy annál nagyobb </w:delText>
        </w:r>
        <w:r w:rsidRPr="00183B5F">
          <w:rPr>
            <w:i/>
          </w:rPr>
          <w:delText>testtömegű gyermekek és serdülők</w:delText>
        </w:r>
      </w:del>
    </w:p>
    <w:p w14:paraId="68473647" w14:textId="2E891920" w:rsidR="002764E2" w:rsidRPr="00183B5F" w:rsidRDefault="002764E2" w:rsidP="004062FE">
      <w:pPr>
        <w:keepNext/>
        <w:numPr>
          <w:ilvl w:val="12"/>
          <w:numId w:val="0"/>
        </w:numPr>
        <w:tabs>
          <w:tab w:val="left" w:pos="720"/>
        </w:tabs>
        <w:spacing w:line="240" w:lineRule="auto"/>
        <w:rPr>
          <w:del w:id="10183" w:author="AbbVie_HU_03" w:date="2025-05-14T16:39:00Z"/>
          <w:i/>
        </w:rPr>
      </w:pPr>
    </w:p>
    <w:p w14:paraId="0EFA4080" w14:textId="2DD87378" w:rsidR="002764E2" w:rsidRPr="00183B5F" w:rsidRDefault="00943743" w:rsidP="004062FE">
      <w:pPr>
        <w:keepNext/>
        <w:numPr>
          <w:ilvl w:val="12"/>
          <w:numId w:val="0"/>
        </w:numPr>
        <w:tabs>
          <w:tab w:val="left" w:pos="720"/>
        </w:tabs>
        <w:spacing w:line="240" w:lineRule="auto"/>
        <w:rPr>
          <w:del w:id="10184" w:author="AbbVie_HU_03" w:date="2025-05-14T16:39:00Z"/>
          <w:i/>
        </w:rPr>
      </w:pPr>
      <w:del w:id="10185" w:author="AbbVie_HU_03" w:date="2025-05-14T16:39:00Z">
        <w:r w:rsidRPr="00183B5F">
          <w:rPr>
            <w:szCs w:val="22"/>
          </w:rPr>
          <w:delText xml:space="preserve">A Humira ajánlott dózisa első alkalommal 40 mg, majd egy héttel később 40 mg. </w:delText>
        </w:r>
        <w:r w:rsidRPr="00183B5F">
          <w:delText>Ezt követően, a szokásos adag 40 mg minden második héten.</w:delText>
        </w:r>
      </w:del>
    </w:p>
    <w:p w14:paraId="318927E5" w14:textId="63D28128" w:rsidR="002764E2" w:rsidRPr="00183B5F" w:rsidRDefault="002764E2" w:rsidP="004062FE">
      <w:pPr>
        <w:numPr>
          <w:ilvl w:val="12"/>
          <w:numId w:val="0"/>
        </w:numPr>
        <w:tabs>
          <w:tab w:val="left" w:pos="720"/>
        </w:tabs>
        <w:spacing w:line="240" w:lineRule="auto"/>
        <w:rPr>
          <w:del w:id="10186" w:author="AbbVie_HU_03" w:date="2025-05-14T16:39:00Z"/>
          <w:i/>
          <w:szCs w:val="22"/>
        </w:rPr>
      </w:pPr>
    </w:p>
    <w:p w14:paraId="75CC5B46" w14:textId="79C0D81C" w:rsidR="001B6D04" w:rsidRPr="00183B5F" w:rsidRDefault="00943743" w:rsidP="004062FE">
      <w:pPr>
        <w:keepNext/>
        <w:numPr>
          <w:ilvl w:val="12"/>
          <w:numId w:val="0"/>
        </w:numPr>
        <w:spacing w:line="240" w:lineRule="auto"/>
        <w:rPr>
          <w:del w:id="10187" w:author="AbbVie_HU_03" w:date="2025-05-14T16:39:00Z"/>
          <w:szCs w:val="22"/>
          <w:u w:val="single"/>
        </w:rPr>
      </w:pPr>
      <w:del w:id="10188" w:author="AbbVie_HU_03" w:date="2025-05-14T16:39:00Z">
        <w:r w:rsidRPr="00183B5F">
          <w:rPr>
            <w:szCs w:val="22"/>
            <w:u w:val="single"/>
          </w:rPr>
          <w:delText>Hidradenitisz szuppuratívában szenvedő 12</w:delText>
        </w:r>
        <w:r w:rsidR="00EF6882" w:rsidRPr="00183B5F">
          <w:rPr>
            <w:szCs w:val="22"/>
            <w:u w:val="single"/>
          </w:rPr>
          <w:delText>-17 </w:delText>
        </w:r>
        <w:r w:rsidRPr="00183B5F">
          <w:rPr>
            <w:szCs w:val="22"/>
            <w:u w:val="single"/>
          </w:rPr>
          <w:delText>éves k</w:delText>
        </w:r>
        <w:r w:rsidR="00BD3F27" w:rsidRPr="00183B5F">
          <w:rPr>
            <w:szCs w:val="22"/>
            <w:u w:val="single"/>
          </w:rPr>
          <w:delText>o</w:delText>
        </w:r>
        <w:r w:rsidRPr="00183B5F">
          <w:rPr>
            <w:szCs w:val="22"/>
            <w:u w:val="single"/>
          </w:rPr>
          <w:delText>r</w:delText>
        </w:r>
        <w:r w:rsidR="00EF6882" w:rsidRPr="00183B5F">
          <w:rPr>
            <w:szCs w:val="22"/>
            <w:u w:val="single"/>
          </w:rPr>
          <w:delText xml:space="preserve"> között</w:delText>
        </w:r>
        <w:r w:rsidR="00B206EA" w:rsidRPr="00183B5F">
          <w:rPr>
            <w:szCs w:val="22"/>
            <w:u w:val="single"/>
          </w:rPr>
          <w:delText>i</w:delText>
        </w:r>
        <w:r w:rsidRPr="00183B5F">
          <w:rPr>
            <w:szCs w:val="22"/>
            <w:u w:val="single"/>
          </w:rPr>
          <w:delText>, 30</w:delText>
        </w:r>
        <w:r w:rsidR="00EF6882" w:rsidRPr="00183B5F">
          <w:rPr>
            <w:szCs w:val="22"/>
            <w:u w:val="single"/>
          </w:rPr>
          <w:delText> </w:delText>
        </w:r>
        <w:r w:rsidRPr="00183B5F">
          <w:rPr>
            <w:szCs w:val="22"/>
            <w:u w:val="single"/>
          </w:rPr>
          <w:delText>kg</w:delText>
        </w:r>
        <w:r w:rsidR="00EF6882" w:rsidRPr="00183B5F">
          <w:rPr>
            <w:szCs w:val="22"/>
            <w:u w:val="single"/>
          </w:rPr>
          <w:delText xml:space="preserve"> vagy annál nagyobb testtömegű</w:delText>
        </w:r>
        <w:r w:rsidR="00B206EA" w:rsidRPr="00183B5F">
          <w:rPr>
            <w:szCs w:val="22"/>
            <w:u w:val="single"/>
          </w:rPr>
          <w:delText xml:space="preserve"> serdülők</w:delText>
        </w:r>
      </w:del>
    </w:p>
    <w:p w14:paraId="3BD67987" w14:textId="762FA307" w:rsidR="001B6D04" w:rsidRPr="00183B5F" w:rsidRDefault="001B6D04" w:rsidP="004062FE">
      <w:pPr>
        <w:keepNext/>
        <w:numPr>
          <w:ilvl w:val="12"/>
          <w:numId w:val="0"/>
        </w:numPr>
        <w:spacing w:line="240" w:lineRule="auto"/>
        <w:rPr>
          <w:del w:id="10189" w:author="AbbVie_HU_03" w:date="2025-05-14T16:39:00Z"/>
          <w:szCs w:val="22"/>
        </w:rPr>
      </w:pPr>
    </w:p>
    <w:p w14:paraId="2E00F581" w14:textId="6F233677" w:rsidR="004745FF" w:rsidRPr="00183B5F" w:rsidRDefault="00943743" w:rsidP="004062FE">
      <w:pPr>
        <w:keepNext/>
        <w:spacing w:line="240" w:lineRule="auto"/>
        <w:rPr>
          <w:del w:id="10190" w:author="AbbVie_HU_03" w:date="2025-05-14T16:39:00Z"/>
          <w:szCs w:val="22"/>
        </w:rPr>
      </w:pPr>
      <w:del w:id="10191" w:author="AbbVie_HU_03" w:date="2025-05-14T16:39:00Z">
        <w:r w:rsidRPr="00183B5F">
          <w:rPr>
            <w:szCs w:val="22"/>
          </w:rPr>
          <w:delText xml:space="preserve">A kezdő adag 80 mg (két </w:delText>
        </w:r>
        <w:r w:rsidR="00FD5818" w:rsidRPr="00183B5F">
          <w:rPr>
            <w:szCs w:val="22"/>
          </w:rPr>
          <w:delText>40 mg</w:delText>
        </w:r>
        <w:r w:rsidR="00E5381A" w:rsidRPr="00183B5F">
          <w:rPr>
            <w:szCs w:val="22"/>
          </w:rPr>
          <w:noBreakHyphen/>
        </w:r>
        <w:r w:rsidR="00FD5818" w:rsidRPr="00183B5F">
          <w:rPr>
            <w:szCs w:val="22"/>
          </w:rPr>
          <w:delText xml:space="preserve">os </w:delText>
        </w:r>
        <w:r w:rsidRPr="00183B5F">
          <w:rPr>
            <w:szCs w:val="22"/>
          </w:rPr>
          <w:delText>injekció ugyanazon a napon), amelyet egy héttel később minden második héten adott 40 mg követ.</w:delText>
        </w:r>
        <w:r w:rsidR="00551FDA" w:rsidRPr="00183B5F">
          <w:rPr>
            <w:szCs w:val="22"/>
          </w:rPr>
          <w:delText xml:space="preserve"> Ha Ön nem megfelelően reagál a </w:delText>
        </w:r>
        <w:r w:rsidR="00FD5818" w:rsidRPr="00183B5F">
          <w:rPr>
            <w:szCs w:val="22"/>
          </w:rPr>
          <w:delText>heti 40 mg Humira</w:delText>
        </w:r>
        <w:r w:rsidR="00FD5818" w:rsidRPr="00183B5F">
          <w:rPr>
            <w:szCs w:val="22"/>
          </w:rPr>
          <w:noBreakHyphen/>
        </w:r>
        <w:r w:rsidR="00551FDA" w:rsidRPr="00183B5F">
          <w:rPr>
            <w:szCs w:val="22"/>
          </w:rPr>
          <w:delText>kezelésre, kezelőorvosa megemelheti az adago</w:delText>
        </w:r>
        <w:r w:rsidR="00FD5818" w:rsidRPr="00183B5F">
          <w:rPr>
            <w:szCs w:val="22"/>
          </w:rPr>
          <w:delText>t</w:delText>
        </w:r>
        <w:r w:rsidR="000A6511" w:rsidRPr="00183B5F">
          <w:rPr>
            <w:szCs w:val="22"/>
          </w:rPr>
          <w:delText xml:space="preserve"> </w:delText>
        </w:r>
        <w:r w:rsidR="00551FDA" w:rsidRPr="00183B5F">
          <w:rPr>
            <w:szCs w:val="22"/>
          </w:rPr>
          <w:delText>heti 40 mg</w:delText>
        </w:r>
        <w:r w:rsidR="00551FDA" w:rsidRPr="00183B5F">
          <w:rPr>
            <w:szCs w:val="22"/>
          </w:rPr>
          <w:noBreakHyphen/>
          <w:delText>ra</w:delText>
        </w:r>
        <w:r w:rsidR="00FD5818" w:rsidRPr="00183B5F">
          <w:rPr>
            <w:szCs w:val="22"/>
          </w:rPr>
          <w:delText xml:space="preserve"> vagy kéthet</w:delText>
        </w:r>
        <w:r w:rsidR="00800BE5" w:rsidRPr="00183B5F">
          <w:rPr>
            <w:szCs w:val="22"/>
          </w:rPr>
          <w:delText>ente</w:delText>
        </w:r>
        <w:r w:rsidR="00FD5818" w:rsidRPr="00183B5F">
          <w:rPr>
            <w:szCs w:val="22"/>
          </w:rPr>
          <w:delText xml:space="preserve"> 80 mg</w:delText>
        </w:r>
        <w:r w:rsidR="00E5381A" w:rsidRPr="00183B5F">
          <w:rPr>
            <w:szCs w:val="22"/>
          </w:rPr>
          <w:noBreakHyphen/>
        </w:r>
        <w:r w:rsidR="00FD5818" w:rsidRPr="00183B5F">
          <w:rPr>
            <w:szCs w:val="22"/>
          </w:rPr>
          <w:delText>ra</w:delText>
        </w:r>
        <w:r w:rsidR="00551FDA" w:rsidRPr="00183B5F">
          <w:rPr>
            <w:szCs w:val="22"/>
          </w:rPr>
          <w:delText>.</w:delText>
        </w:r>
      </w:del>
    </w:p>
    <w:p w14:paraId="75D717F2" w14:textId="34ED53AA" w:rsidR="00551FDA" w:rsidRPr="00183B5F" w:rsidRDefault="00551FDA" w:rsidP="004062FE">
      <w:pPr>
        <w:keepNext/>
        <w:spacing w:line="240" w:lineRule="auto"/>
        <w:rPr>
          <w:del w:id="10192" w:author="AbbVie_HU_03" w:date="2025-05-14T16:39:00Z"/>
          <w:szCs w:val="22"/>
        </w:rPr>
      </w:pPr>
    </w:p>
    <w:p w14:paraId="57BEA70F" w14:textId="58B1A041" w:rsidR="001B6D04" w:rsidRPr="00183B5F" w:rsidRDefault="00943743" w:rsidP="004062FE">
      <w:pPr>
        <w:numPr>
          <w:ilvl w:val="12"/>
          <w:numId w:val="0"/>
        </w:numPr>
        <w:spacing w:line="240" w:lineRule="auto"/>
        <w:ind w:right="-2"/>
        <w:rPr>
          <w:del w:id="10193" w:author="AbbVie_HU_03" w:date="2025-05-14T16:39:00Z"/>
          <w:szCs w:val="22"/>
        </w:rPr>
      </w:pPr>
      <w:del w:id="10194" w:author="AbbVie_HU_03" w:date="2025-05-14T16:39:00Z">
        <w:r w:rsidRPr="00183B5F">
          <w:rPr>
            <w:szCs w:val="22"/>
          </w:rPr>
          <w:delText>Javasolt, hogy naponta használjon fertőtlenítő lemosót az érintett területeken.</w:delText>
        </w:r>
      </w:del>
    </w:p>
    <w:p w14:paraId="481BC5F0" w14:textId="315DC8B0" w:rsidR="00C03C2D" w:rsidRPr="00183B5F" w:rsidRDefault="00C03C2D" w:rsidP="004062FE">
      <w:pPr>
        <w:numPr>
          <w:ilvl w:val="12"/>
          <w:numId w:val="0"/>
        </w:numPr>
        <w:spacing w:line="240" w:lineRule="auto"/>
        <w:ind w:right="-2"/>
        <w:rPr>
          <w:del w:id="10195" w:author="AbbVie_HU_03" w:date="2025-05-14T16:39:00Z"/>
          <w:szCs w:val="22"/>
        </w:rPr>
      </w:pPr>
    </w:p>
    <w:p w14:paraId="6C8559B5" w14:textId="7FA95DCD" w:rsidR="002764E2" w:rsidRPr="00183B5F" w:rsidRDefault="00943743" w:rsidP="004062FE">
      <w:pPr>
        <w:keepNext/>
        <w:numPr>
          <w:ilvl w:val="12"/>
          <w:numId w:val="0"/>
        </w:numPr>
        <w:spacing w:line="240" w:lineRule="auto"/>
        <w:rPr>
          <w:del w:id="10196" w:author="AbbVie_HU_03" w:date="2025-05-14T16:39:00Z"/>
          <w:szCs w:val="22"/>
          <w:u w:val="single"/>
        </w:rPr>
      </w:pPr>
      <w:del w:id="10197" w:author="AbbVie_HU_03" w:date="2025-05-14T16:39:00Z">
        <w:r w:rsidRPr="00183B5F">
          <w:rPr>
            <w:szCs w:val="22"/>
            <w:u w:val="single"/>
          </w:rPr>
          <w:delText>Crohn</w:delText>
        </w:r>
        <w:r w:rsidRPr="00183B5F">
          <w:rPr>
            <w:szCs w:val="22"/>
            <w:u w:val="single"/>
          </w:rPr>
          <w:noBreakHyphen/>
          <w:delText>betegségben szenvedő gyermekek és serdülők</w:delText>
        </w:r>
      </w:del>
    </w:p>
    <w:p w14:paraId="52CF6692" w14:textId="1F807F94" w:rsidR="002764E2" w:rsidRPr="00183B5F" w:rsidRDefault="002764E2" w:rsidP="004062FE">
      <w:pPr>
        <w:keepNext/>
        <w:numPr>
          <w:ilvl w:val="12"/>
          <w:numId w:val="0"/>
        </w:numPr>
        <w:spacing w:line="240" w:lineRule="auto"/>
        <w:rPr>
          <w:del w:id="10198" w:author="AbbVie_HU_03" w:date="2025-05-14T16:39:00Z"/>
          <w:szCs w:val="22"/>
          <w:u w:val="single"/>
        </w:rPr>
      </w:pPr>
    </w:p>
    <w:p w14:paraId="799EC594" w14:textId="02D961A4" w:rsidR="002764E2" w:rsidRPr="00183B5F" w:rsidRDefault="00943743" w:rsidP="004062FE">
      <w:pPr>
        <w:numPr>
          <w:ilvl w:val="12"/>
          <w:numId w:val="0"/>
        </w:numPr>
        <w:tabs>
          <w:tab w:val="left" w:pos="720"/>
        </w:tabs>
        <w:spacing w:line="240" w:lineRule="auto"/>
        <w:ind w:right="-2"/>
        <w:rPr>
          <w:del w:id="10199" w:author="AbbVie_HU_03" w:date="2025-05-14T16:39:00Z"/>
          <w:i/>
        </w:rPr>
      </w:pPr>
      <w:del w:id="10200" w:author="AbbVie_HU_03" w:date="2025-05-14T16:39:00Z">
        <w:r w:rsidRPr="00183B5F">
          <w:rPr>
            <w:i/>
          </w:rPr>
          <w:delText>6-17 éves kor közötti, 40 kg-nál kisebb testtömegű gyermekek és serdülők</w:delText>
        </w:r>
      </w:del>
    </w:p>
    <w:p w14:paraId="5B0EB719" w14:textId="68839031" w:rsidR="006C1B09" w:rsidRPr="00183B5F" w:rsidRDefault="006C1B09" w:rsidP="004062FE">
      <w:pPr>
        <w:numPr>
          <w:ilvl w:val="12"/>
          <w:numId w:val="0"/>
        </w:numPr>
        <w:tabs>
          <w:tab w:val="left" w:pos="720"/>
        </w:tabs>
        <w:spacing w:line="240" w:lineRule="auto"/>
        <w:ind w:right="-2"/>
        <w:rPr>
          <w:del w:id="10201" w:author="AbbVie_HU_03" w:date="2025-05-14T16:39:00Z"/>
          <w:i/>
        </w:rPr>
      </w:pPr>
    </w:p>
    <w:p w14:paraId="5E932F7E" w14:textId="56BBE3EB" w:rsidR="006C1B09" w:rsidRPr="00183B5F" w:rsidRDefault="00943743" w:rsidP="004062FE">
      <w:pPr>
        <w:keepNext/>
        <w:numPr>
          <w:ilvl w:val="12"/>
          <w:numId w:val="0"/>
        </w:numPr>
        <w:spacing w:line="240" w:lineRule="auto"/>
        <w:rPr>
          <w:del w:id="10202" w:author="AbbVie_HU_03" w:date="2025-05-14T16:39:00Z"/>
          <w:szCs w:val="22"/>
        </w:rPr>
      </w:pPr>
      <w:del w:id="10203" w:author="AbbVie_HU_03" w:date="2025-05-14T16:39:00Z">
        <w:r w:rsidRPr="00183B5F">
          <w:rPr>
            <w:szCs w:val="22"/>
          </w:rPr>
          <w:delText>Első alkalommal 40 mg,</w:delText>
        </w:r>
        <w:r w:rsidR="0001217B" w:rsidRPr="00183B5F">
          <w:rPr>
            <w:szCs w:val="22"/>
          </w:rPr>
          <w:delText xml:space="preserve"> majd két </w:delText>
        </w:r>
        <w:r w:rsidRPr="00183B5F">
          <w:rPr>
            <w:szCs w:val="22"/>
          </w:rPr>
          <w:delText>héttel később 20 mg a szokásos adag. Ha gyorsabb hatásra van szükség, úgy gyermeke kezelőorvosa 80 </w:delText>
        </w:r>
        <w:r w:rsidR="0001217B" w:rsidRPr="00183B5F">
          <w:rPr>
            <w:szCs w:val="22"/>
          </w:rPr>
          <w:delText>mg</w:delText>
        </w:r>
        <w:r w:rsidR="0001217B" w:rsidRPr="00183B5F">
          <w:rPr>
            <w:szCs w:val="22"/>
          </w:rPr>
          <w:noBreakHyphen/>
          <w:delText>os kezdőadagot (két</w:delText>
        </w:r>
        <w:r w:rsidR="00FD5818" w:rsidRPr="00183B5F">
          <w:rPr>
            <w:szCs w:val="22"/>
          </w:rPr>
          <w:delText xml:space="preserve"> 40 mg</w:delText>
        </w:r>
        <w:r w:rsidR="00FD5818" w:rsidRPr="00183B5F">
          <w:rPr>
            <w:szCs w:val="22"/>
          </w:rPr>
          <w:noBreakHyphen/>
          <w:delText>os</w:delText>
        </w:r>
        <w:r w:rsidRPr="00183B5F">
          <w:rPr>
            <w:szCs w:val="22"/>
          </w:rPr>
          <w:delText xml:space="preserve"> injekció</w:delText>
        </w:r>
        <w:r w:rsidR="0001217B" w:rsidRPr="00183B5F">
          <w:rPr>
            <w:szCs w:val="22"/>
          </w:rPr>
          <w:delText xml:space="preserve"> egy napon), majd két </w:delText>
        </w:r>
        <w:r w:rsidRPr="00183B5F">
          <w:rPr>
            <w:szCs w:val="22"/>
          </w:rPr>
          <w:delText>héttel később 40 mg-os adagot is felírhat.</w:delText>
        </w:r>
      </w:del>
    </w:p>
    <w:p w14:paraId="4F91E6D0" w14:textId="0123A583" w:rsidR="006C1B09" w:rsidRPr="00183B5F" w:rsidRDefault="006C1B09" w:rsidP="004062FE">
      <w:pPr>
        <w:numPr>
          <w:ilvl w:val="12"/>
          <w:numId w:val="0"/>
        </w:numPr>
        <w:spacing w:line="240" w:lineRule="auto"/>
        <w:ind w:right="-2"/>
        <w:rPr>
          <w:del w:id="10204" w:author="AbbVie_HU_03" w:date="2025-05-14T16:39:00Z"/>
          <w:szCs w:val="22"/>
        </w:rPr>
      </w:pPr>
    </w:p>
    <w:p w14:paraId="2B50A4F0" w14:textId="5DB96760" w:rsidR="006C1B09" w:rsidRPr="00183B5F" w:rsidRDefault="00943743" w:rsidP="004062FE">
      <w:pPr>
        <w:numPr>
          <w:ilvl w:val="12"/>
          <w:numId w:val="0"/>
        </w:numPr>
        <w:spacing w:line="240" w:lineRule="auto"/>
        <w:ind w:right="-2"/>
        <w:rPr>
          <w:del w:id="10205" w:author="AbbVie_HU_03" w:date="2025-05-14T16:39:00Z"/>
          <w:szCs w:val="22"/>
        </w:rPr>
      </w:pPr>
      <w:del w:id="10206" w:author="AbbVie_HU_03" w:date="2025-05-14T16:39:00Z">
        <w:r w:rsidRPr="00183B5F">
          <w:rPr>
            <w:szCs w:val="22"/>
          </w:rPr>
          <w:delText xml:space="preserve">Ezután a szokásos adag kéthetente 20 mg. </w:delText>
        </w:r>
        <w:r w:rsidR="00B206EA" w:rsidRPr="00183B5F">
          <w:rPr>
            <w:szCs w:val="22"/>
          </w:rPr>
          <w:delText>Attól f</w:delText>
        </w:r>
        <w:r w:rsidRPr="00183B5F">
          <w:rPr>
            <w:szCs w:val="22"/>
          </w:rPr>
          <w:delText>üggően</w:delText>
        </w:r>
        <w:r w:rsidR="00491223" w:rsidRPr="00183B5F">
          <w:rPr>
            <w:szCs w:val="22"/>
          </w:rPr>
          <w:delText>,</w:delText>
        </w:r>
        <w:r w:rsidRPr="00183B5F">
          <w:rPr>
            <w:szCs w:val="22"/>
          </w:rPr>
          <w:delText xml:space="preserve"> </w:delText>
        </w:r>
        <w:r w:rsidR="00625A37" w:rsidRPr="00183B5F">
          <w:rPr>
            <w:szCs w:val="22"/>
          </w:rPr>
          <w:delText xml:space="preserve">hogy gyermeke </w:delText>
        </w:r>
        <w:r w:rsidRPr="00183B5F">
          <w:rPr>
            <w:szCs w:val="22"/>
          </w:rPr>
          <w:delText>hogyan reagál</w:delText>
        </w:r>
        <w:r w:rsidR="00625A37" w:rsidRPr="00183B5F">
          <w:rPr>
            <w:szCs w:val="22"/>
          </w:rPr>
          <w:delText>,</w:delText>
        </w:r>
        <w:r w:rsidRPr="00183B5F">
          <w:rPr>
            <w:szCs w:val="22"/>
          </w:rPr>
          <w:delText xml:space="preserve"> </w:delText>
        </w:r>
        <w:r w:rsidR="00B206EA" w:rsidRPr="00183B5F">
          <w:rPr>
            <w:szCs w:val="22"/>
          </w:rPr>
          <w:delText xml:space="preserve">a </w:delText>
        </w:r>
        <w:r w:rsidRPr="00183B5F">
          <w:rPr>
            <w:szCs w:val="22"/>
          </w:rPr>
          <w:delText>kezelőorvos heti 20 mg-ra is emelheti az adagot.</w:delText>
        </w:r>
      </w:del>
    </w:p>
    <w:p w14:paraId="4FD449D4" w14:textId="2CBFB49A" w:rsidR="006C1B09" w:rsidRPr="00183B5F" w:rsidRDefault="006C1B09" w:rsidP="004062FE">
      <w:pPr>
        <w:numPr>
          <w:ilvl w:val="12"/>
          <w:numId w:val="0"/>
        </w:numPr>
        <w:tabs>
          <w:tab w:val="left" w:pos="720"/>
        </w:tabs>
        <w:spacing w:line="240" w:lineRule="auto"/>
        <w:ind w:right="-2"/>
        <w:rPr>
          <w:del w:id="10207" w:author="AbbVie_HU_03" w:date="2025-05-14T16:39:00Z"/>
          <w:i/>
        </w:rPr>
      </w:pPr>
    </w:p>
    <w:p w14:paraId="1E211E2A" w14:textId="780D5D0C" w:rsidR="006C1B09" w:rsidRPr="00183B5F" w:rsidRDefault="00943743" w:rsidP="004062FE">
      <w:pPr>
        <w:keepNext/>
        <w:numPr>
          <w:ilvl w:val="12"/>
          <w:numId w:val="0"/>
        </w:numPr>
        <w:spacing w:line="240" w:lineRule="auto"/>
        <w:rPr>
          <w:del w:id="10208" w:author="AbbVie_HU_03" w:date="2025-05-14T16:39:00Z"/>
          <w:i/>
          <w:szCs w:val="22"/>
        </w:rPr>
      </w:pPr>
      <w:del w:id="10209" w:author="AbbVie_HU_03" w:date="2025-05-14T16:39:00Z">
        <w:r w:rsidRPr="00183B5F">
          <w:rPr>
            <w:i/>
          </w:rPr>
          <w:delText>6-17 éves kor közötti,</w:delText>
        </w:r>
        <w:r w:rsidRPr="00183B5F">
          <w:rPr>
            <w:i/>
            <w:szCs w:val="22"/>
          </w:rPr>
          <w:delText xml:space="preserve"> 40 kg-os vagy annál nagyobb testtömegű gyermekek és serdülők</w:delText>
        </w:r>
      </w:del>
    </w:p>
    <w:p w14:paraId="778EE40E" w14:textId="33B78F92" w:rsidR="006C1B09" w:rsidRPr="00183B5F" w:rsidRDefault="006C1B09" w:rsidP="004062FE">
      <w:pPr>
        <w:keepNext/>
        <w:numPr>
          <w:ilvl w:val="12"/>
          <w:numId w:val="0"/>
        </w:numPr>
        <w:spacing w:line="240" w:lineRule="auto"/>
        <w:rPr>
          <w:del w:id="10210" w:author="AbbVie_HU_03" w:date="2025-05-14T16:39:00Z"/>
          <w:i/>
          <w:szCs w:val="22"/>
          <w:u w:val="single"/>
        </w:rPr>
      </w:pPr>
    </w:p>
    <w:p w14:paraId="3FCFF322" w14:textId="17175F24" w:rsidR="006C1B09" w:rsidRPr="00183B5F" w:rsidRDefault="00943743" w:rsidP="004062FE">
      <w:pPr>
        <w:keepNext/>
        <w:numPr>
          <w:ilvl w:val="12"/>
          <w:numId w:val="0"/>
        </w:numPr>
        <w:spacing w:line="240" w:lineRule="auto"/>
        <w:rPr>
          <w:del w:id="10211" w:author="AbbVie_HU_03" w:date="2025-05-14T16:39:00Z"/>
          <w:szCs w:val="22"/>
        </w:rPr>
      </w:pPr>
      <w:del w:id="10212" w:author="AbbVie_HU_03" w:date="2025-05-14T16:39:00Z">
        <w:r w:rsidRPr="00183B5F">
          <w:rPr>
            <w:szCs w:val="22"/>
          </w:rPr>
          <w:delText>Első alkalommal 80 mg</w:delText>
        </w:r>
        <w:r w:rsidR="00FD5818" w:rsidRPr="00183B5F">
          <w:rPr>
            <w:szCs w:val="22"/>
          </w:rPr>
          <w:delText xml:space="preserve"> (két 40 mg</w:delText>
        </w:r>
        <w:r w:rsidR="00FD5818" w:rsidRPr="00183B5F">
          <w:rPr>
            <w:szCs w:val="22"/>
          </w:rPr>
          <w:noBreakHyphen/>
          <w:delText>os injekció egy napon)</w:delText>
        </w:r>
        <w:r w:rsidRPr="00183B5F">
          <w:rPr>
            <w:szCs w:val="22"/>
          </w:rPr>
          <w:delText>, majd két héttel később 40 mg a szokásos adag. Ha gyorsabb hatásra van szükség, úgy gyermek</w:delText>
        </w:r>
        <w:r w:rsidR="00163D96" w:rsidRPr="00183B5F">
          <w:rPr>
            <w:szCs w:val="22"/>
          </w:rPr>
          <w:delText>ének</w:delText>
        </w:r>
        <w:r w:rsidRPr="00183B5F">
          <w:rPr>
            <w:szCs w:val="22"/>
          </w:rPr>
          <w:delText xml:space="preserve"> kezelőorvosa 160 mg kezdőadagot (egy nap alatt </w:delText>
        </w:r>
        <w:r w:rsidR="00163D96" w:rsidRPr="00183B5F">
          <w:rPr>
            <w:szCs w:val="22"/>
          </w:rPr>
          <w:delText>négy</w:delText>
        </w:r>
        <w:r w:rsidR="00FD5818" w:rsidRPr="00183B5F">
          <w:rPr>
            <w:szCs w:val="22"/>
          </w:rPr>
          <w:delText xml:space="preserve"> 40 mg</w:delText>
        </w:r>
        <w:r w:rsidR="00E5381A" w:rsidRPr="00183B5F">
          <w:rPr>
            <w:szCs w:val="22"/>
          </w:rPr>
          <w:noBreakHyphen/>
        </w:r>
        <w:r w:rsidR="00FD5818" w:rsidRPr="00183B5F">
          <w:rPr>
            <w:szCs w:val="22"/>
          </w:rPr>
          <w:delText>os</w:delText>
        </w:r>
        <w:r w:rsidR="00163D96" w:rsidRPr="00183B5F">
          <w:rPr>
            <w:szCs w:val="22"/>
          </w:rPr>
          <w:delText xml:space="preserve"> </w:delText>
        </w:r>
        <w:r w:rsidRPr="00183B5F">
          <w:rPr>
            <w:szCs w:val="22"/>
          </w:rPr>
          <w:delText xml:space="preserve">injekciót vagy két egymást követő napon két-két </w:delText>
        </w:r>
        <w:r w:rsidR="00FD5818" w:rsidRPr="00183B5F">
          <w:rPr>
            <w:szCs w:val="22"/>
          </w:rPr>
          <w:delText>40 mg</w:delText>
        </w:r>
        <w:r w:rsidR="00FD5818" w:rsidRPr="00183B5F">
          <w:rPr>
            <w:szCs w:val="22"/>
          </w:rPr>
          <w:noBreakHyphen/>
          <w:delText xml:space="preserve">os </w:delText>
        </w:r>
        <w:r w:rsidRPr="00183B5F">
          <w:rPr>
            <w:szCs w:val="22"/>
          </w:rPr>
          <w:delText xml:space="preserve">injekciót adnak be), majd két héttel később 80 mg-os adagot </w:delText>
        </w:r>
        <w:r w:rsidR="000A6511" w:rsidRPr="00183B5F">
          <w:rPr>
            <w:szCs w:val="22"/>
          </w:rPr>
          <w:delText>(két 40 mg</w:delText>
        </w:r>
        <w:r w:rsidR="000A6511" w:rsidRPr="00183B5F">
          <w:rPr>
            <w:szCs w:val="22"/>
          </w:rPr>
          <w:noBreakHyphen/>
          <w:delText xml:space="preserve">os injekció egy napon) </w:delText>
        </w:r>
        <w:r w:rsidRPr="00183B5F">
          <w:rPr>
            <w:szCs w:val="22"/>
          </w:rPr>
          <w:delText>is felírhat.</w:delText>
        </w:r>
      </w:del>
    </w:p>
    <w:p w14:paraId="27AF378B" w14:textId="76A9A2BE" w:rsidR="006C1B09" w:rsidRPr="00183B5F" w:rsidRDefault="006C1B09" w:rsidP="004062FE">
      <w:pPr>
        <w:numPr>
          <w:ilvl w:val="12"/>
          <w:numId w:val="0"/>
        </w:numPr>
        <w:spacing w:line="240" w:lineRule="auto"/>
        <w:ind w:right="-2"/>
        <w:rPr>
          <w:del w:id="10213" w:author="AbbVie_HU_03" w:date="2025-05-14T16:39:00Z"/>
          <w:szCs w:val="22"/>
        </w:rPr>
      </w:pPr>
    </w:p>
    <w:p w14:paraId="07F2A152" w14:textId="076DFB8C" w:rsidR="002764E2" w:rsidRPr="00183B5F" w:rsidRDefault="00943743" w:rsidP="004062FE">
      <w:pPr>
        <w:numPr>
          <w:ilvl w:val="12"/>
          <w:numId w:val="0"/>
        </w:numPr>
        <w:spacing w:line="240" w:lineRule="auto"/>
        <w:ind w:right="-2"/>
        <w:rPr>
          <w:del w:id="10214" w:author="AbbVie_HU_03" w:date="2025-05-14T16:39:00Z"/>
          <w:szCs w:val="22"/>
        </w:rPr>
      </w:pPr>
      <w:del w:id="10215" w:author="AbbVie_HU_03" w:date="2025-05-14T16:39:00Z">
        <w:r w:rsidRPr="00183B5F">
          <w:rPr>
            <w:szCs w:val="22"/>
          </w:rPr>
          <w:delText xml:space="preserve">Ezután a szokásos adag kéthetente 40 mg. </w:delText>
        </w:r>
        <w:r w:rsidR="00B206EA" w:rsidRPr="00183B5F">
          <w:rPr>
            <w:szCs w:val="22"/>
          </w:rPr>
          <w:delText>Attól f</w:delText>
        </w:r>
        <w:r w:rsidRPr="00183B5F">
          <w:rPr>
            <w:szCs w:val="22"/>
          </w:rPr>
          <w:delText xml:space="preserve">üggően , </w:delText>
        </w:r>
        <w:r w:rsidR="00C74FF9" w:rsidRPr="00183B5F">
          <w:rPr>
            <w:szCs w:val="22"/>
          </w:rPr>
          <w:delText xml:space="preserve">hogy gyermeke </w:delText>
        </w:r>
        <w:r w:rsidRPr="00183B5F">
          <w:rPr>
            <w:szCs w:val="22"/>
          </w:rPr>
          <w:delText>hogyan reagál</w:delText>
        </w:r>
        <w:r w:rsidR="00C74FF9" w:rsidRPr="00183B5F">
          <w:rPr>
            <w:szCs w:val="22"/>
          </w:rPr>
          <w:delText>,</w:delText>
        </w:r>
        <w:r w:rsidRPr="00183B5F">
          <w:rPr>
            <w:szCs w:val="22"/>
          </w:rPr>
          <w:delText xml:space="preserve"> </w:delText>
        </w:r>
        <w:r w:rsidR="00B206EA" w:rsidRPr="00183B5F">
          <w:rPr>
            <w:szCs w:val="22"/>
          </w:rPr>
          <w:delText xml:space="preserve">a </w:delText>
        </w:r>
        <w:r w:rsidRPr="00183B5F">
          <w:rPr>
            <w:szCs w:val="22"/>
          </w:rPr>
          <w:delText>kezelőorvos heti 40 mg</w:delText>
        </w:r>
        <w:r w:rsidR="00E5381A" w:rsidRPr="00183B5F">
          <w:rPr>
            <w:szCs w:val="22"/>
          </w:rPr>
          <w:noBreakHyphen/>
        </w:r>
        <w:r w:rsidRPr="00183B5F">
          <w:rPr>
            <w:szCs w:val="22"/>
          </w:rPr>
          <w:delText xml:space="preserve">ra </w:delText>
        </w:r>
        <w:r w:rsidR="00F13823" w:rsidRPr="00183B5F">
          <w:rPr>
            <w:szCs w:val="22"/>
          </w:rPr>
          <w:delText>vagy kéthetente</w:delText>
        </w:r>
        <w:r w:rsidR="00FD5818" w:rsidRPr="00183B5F">
          <w:rPr>
            <w:szCs w:val="22"/>
          </w:rPr>
          <w:delText xml:space="preserve"> 80 mg</w:delText>
        </w:r>
        <w:r w:rsidR="00E5381A" w:rsidRPr="00183B5F">
          <w:rPr>
            <w:szCs w:val="22"/>
          </w:rPr>
          <w:noBreakHyphen/>
        </w:r>
        <w:r w:rsidR="00FD5818" w:rsidRPr="00183B5F">
          <w:rPr>
            <w:szCs w:val="22"/>
          </w:rPr>
          <w:delText xml:space="preserve">ra </w:delText>
        </w:r>
        <w:r w:rsidRPr="00183B5F">
          <w:rPr>
            <w:szCs w:val="22"/>
          </w:rPr>
          <w:delText>is emelheti az adagot.</w:delText>
        </w:r>
      </w:del>
    </w:p>
    <w:p w14:paraId="022387C2" w14:textId="2157D64B" w:rsidR="002C35F8" w:rsidRPr="00183B5F" w:rsidRDefault="002C35F8" w:rsidP="004062FE">
      <w:pPr>
        <w:numPr>
          <w:ilvl w:val="12"/>
          <w:numId w:val="0"/>
        </w:numPr>
        <w:spacing w:line="240" w:lineRule="auto"/>
        <w:ind w:right="-2"/>
        <w:rPr>
          <w:del w:id="10216" w:author="AbbVie_HU_03" w:date="2025-05-14T16:39:00Z"/>
          <w:szCs w:val="22"/>
        </w:rPr>
      </w:pPr>
    </w:p>
    <w:p w14:paraId="281BBD19" w14:textId="61AC4B38" w:rsidR="002C35F8" w:rsidRPr="00183B5F" w:rsidRDefault="00943743" w:rsidP="002C35F8">
      <w:pPr>
        <w:numPr>
          <w:ilvl w:val="12"/>
          <w:numId w:val="0"/>
        </w:numPr>
        <w:spacing w:line="240" w:lineRule="auto"/>
        <w:ind w:right="-2"/>
        <w:rPr>
          <w:del w:id="10217" w:author="AbbVie_HU_03" w:date="2025-05-14T16:39:00Z"/>
          <w:u w:val="single"/>
        </w:rPr>
      </w:pPr>
      <w:bookmarkStart w:id="10218" w:name="_Hlk53389852"/>
      <w:del w:id="10219" w:author="AbbVie_HU_03" w:date="2025-05-14T16:39:00Z">
        <w:r w:rsidRPr="00183B5F">
          <w:rPr>
            <w:u w:val="single"/>
          </w:rPr>
          <w:delText>Kolitisz ulcerózában szenvedő gyermekek és serdülők</w:delText>
        </w:r>
      </w:del>
    </w:p>
    <w:p w14:paraId="4B323496" w14:textId="29CE873A" w:rsidR="002C35F8" w:rsidRPr="00183B5F" w:rsidRDefault="002C35F8" w:rsidP="002C35F8">
      <w:pPr>
        <w:numPr>
          <w:ilvl w:val="12"/>
          <w:numId w:val="0"/>
        </w:numPr>
        <w:spacing w:line="240" w:lineRule="auto"/>
        <w:ind w:right="-2"/>
        <w:rPr>
          <w:del w:id="10220" w:author="AbbVie_HU_03" w:date="2025-05-14T16:39:00Z"/>
          <w:i/>
          <w:iCs/>
        </w:rPr>
      </w:pPr>
    </w:p>
    <w:p w14:paraId="60183A6D" w14:textId="73DA0662" w:rsidR="002C35F8" w:rsidRPr="00183B5F" w:rsidRDefault="00943743" w:rsidP="002C35F8">
      <w:pPr>
        <w:numPr>
          <w:ilvl w:val="12"/>
          <w:numId w:val="0"/>
        </w:numPr>
        <w:spacing w:line="240" w:lineRule="auto"/>
        <w:ind w:right="-2"/>
        <w:rPr>
          <w:del w:id="10221" w:author="AbbVie_HU_03" w:date="2025-05-14T16:39:00Z"/>
          <w:i/>
          <w:iCs/>
        </w:rPr>
      </w:pPr>
      <w:del w:id="10222" w:author="AbbVie_HU_03" w:date="2025-05-14T16:39:00Z">
        <w:r w:rsidRPr="00183B5F">
          <w:rPr>
            <w:i/>
          </w:rPr>
          <w:delText xml:space="preserve">6 éves </w:delText>
        </w:r>
        <w:r w:rsidR="004C08B8" w:rsidRPr="00183B5F">
          <w:rPr>
            <w:i/>
          </w:rPr>
          <w:delText>vagy annál idősebb</w:delText>
        </w:r>
        <w:r w:rsidRPr="00183B5F">
          <w:rPr>
            <w:i/>
          </w:rPr>
          <w:delText>, 40 kg-nál kisebb testtömegű gyermekek és serdülők</w:delText>
        </w:r>
      </w:del>
    </w:p>
    <w:p w14:paraId="1C8662EF" w14:textId="0E33CCE0" w:rsidR="002C35F8" w:rsidRPr="00183B5F" w:rsidRDefault="002C35F8" w:rsidP="002C35F8">
      <w:pPr>
        <w:numPr>
          <w:ilvl w:val="12"/>
          <w:numId w:val="0"/>
        </w:numPr>
        <w:spacing w:line="240" w:lineRule="auto"/>
        <w:ind w:right="-2"/>
        <w:rPr>
          <w:del w:id="10223" w:author="AbbVie_HU_03" w:date="2025-05-14T16:39:00Z"/>
        </w:rPr>
      </w:pPr>
    </w:p>
    <w:p w14:paraId="6A8E1D8C" w14:textId="257C1B41" w:rsidR="002C35F8" w:rsidRPr="00183B5F" w:rsidRDefault="00943743" w:rsidP="002C35F8">
      <w:pPr>
        <w:numPr>
          <w:ilvl w:val="12"/>
          <w:numId w:val="0"/>
        </w:numPr>
        <w:spacing w:line="240" w:lineRule="auto"/>
        <w:ind w:right="-2"/>
        <w:rPr>
          <w:del w:id="10224" w:author="AbbVie_HU_03" w:date="2025-05-14T16:39:00Z"/>
        </w:rPr>
      </w:pPr>
      <w:del w:id="10225" w:author="AbbVie_HU_03" w:date="2025-05-14T16:39:00Z">
        <w:r w:rsidRPr="00183B5F">
          <w:delText xml:space="preserve">A Humira szokásos adagja </w:delText>
        </w:r>
        <w:r w:rsidR="008F5AFF" w:rsidRPr="00183B5F">
          <w:delText>első alkalommal</w:delText>
        </w:r>
        <w:r w:rsidRPr="00183B5F">
          <w:delText xml:space="preserve"> 80 mg (két 40 mg-os injekció formájában egy nap</w:delText>
        </w:r>
        <w:r w:rsidR="008F5AFF" w:rsidRPr="00183B5F">
          <w:delText>on</w:delText>
        </w:r>
        <w:r w:rsidRPr="00183B5F">
          <w:delText>), amelyet két hét múlva 40 mg (egy 40 mg-os injekció formájában) követ. Ezt követően a szokásos adag 40 mg kéthetente.</w:delText>
        </w:r>
      </w:del>
    </w:p>
    <w:p w14:paraId="691082F0" w14:textId="252E590B" w:rsidR="002C35F8" w:rsidRPr="00183B5F" w:rsidRDefault="002C35F8" w:rsidP="002C35F8">
      <w:pPr>
        <w:numPr>
          <w:ilvl w:val="12"/>
          <w:numId w:val="0"/>
        </w:numPr>
        <w:spacing w:line="240" w:lineRule="auto"/>
        <w:ind w:right="-2"/>
        <w:rPr>
          <w:del w:id="10226" w:author="AbbVie_HU_03" w:date="2025-05-14T16:39:00Z"/>
        </w:rPr>
      </w:pPr>
    </w:p>
    <w:p w14:paraId="397C0D6D" w14:textId="62369786" w:rsidR="002C35F8" w:rsidRPr="00183B5F" w:rsidRDefault="00943743" w:rsidP="002C35F8">
      <w:pPr>
        <w:numPr>
          <w:ilvl w:val="12"/>
          <w:numId w:val="0"/>
        </w:numPr>
        <w:spacing w:line="240" w:lineRule="auto"/>
        <w:ind w:right="-2"/>
        <w:rPr>
          <w:del w:id="10227" w:author="AbbVie_HU_03" w:date="2025-05-14T16:39:00Z"/>
        </w:rPr>
      </w:pPr>
      <w:del w:id="10228" w:author="AbbVie_HU_03" w:date="2025-05-14T16:39:00Z">
        <w:r w:rsidRPr="00183B5F">
          <w:delText>Azoknak a betegeknek, akik a kéthetenkénti 40 mg-os dózis alkalmazása alatt töltik be 18 éves korukat, folytatniuk kell az előírt dózist.</w:delText>
        </w:r>
      </w:del>
    </w:p>
    <w:p w14:paraId="671BD913" w14:textId="635FC7B8" w:rsidR="002C35F8" w:rsidRPr="00183B5F" w:rsidRDefault="002C35F8" w:rsidP="002C35F8">
      <w:pPr>
        <w:numPr>
          <w:ilvl w:val="12"/>
          <w:numId w:val="0"/>
        </w:numPr>
        <w:spacing w:line="240" w:lineRule="auto"/>
        <w:ind w:right="-2"/>
        <w:rPr>
          <w:del w:id="10229" w:author="AbbVie_HU_03" w:date="2025-05-14T16:39:00Z"/>
          <w:i/>
          <w:iCs/>
        </w:rPr>
      </w:pPr>
    </w:p>
    <w:p w14:paraId="32639CDF" w14:textId="307209ED" w:rsidR="002C35F8" w:rsidRPr="00183B5F" w:rsidRDefault="00943743" w:rsidP="002C35F8">
      <w:pPr>
        <w:numPr>
          <w:ilvl w:val="12"/>
          <w:numId w:val="0"/>
        </w:numPr>
        <w:spacing w:line="240" w:lineRule="auto"/>
        <w:ind w:right="-2"/>
        <w:rPr>
          <w:del w:id="10230" w:author="AbbVie_HU_03" w:date="2025-05-14T16:39:00Z"/>
          <w:i/>
          <w:iCs/>
        </w:rPr>
      </w:pPr>
      <w:del w:id="10231" w:author="AbbVie_HU_03" w:date="2025-05-14T16:39:00Z">
        <w:r w:rsidRPr="00183B5F">
          <w:rPr>
            <w:i/>
          </w:rPr>
          <w:delText>6 éves vagy annál idősebb, 40 kg-os vagy annál nagyobb testtömegű gyermekek és serdülők</w:delText>
        </w:r>
      </w:del>
    </w:p>
    <w:p w14:paraId="3285F13A" w14:textId="21F38E69" w:rsidR="002C35F8" w:rsidRPr="00183B5F" w:rsidRDefault="002C35F8" w:rsidP="002C35F8">
      <w:pPr>
        <w:numPr>
          <w:ilvl w:val="12"/>
          <w:numId w:val="0"/>
        </w:numPr>
        <w:spacing w:line="240" w:lineRule="auto"/>
        <w:ind w:right="-2"/>
        <w:rPr>
          <w:del w:id="10232" w:author="AbbVie_HU_03" w:date="2025-05-14T16:39:00Z"/>
        </w:rPr>
      </w:pPr>
    </w:p>
    <w:p w14:paraId="57840C38" w14:textId="4854A71B" w:rsidR="002C35F8" w:rsidRPr="00183B5F" w:rsidRDefault="00943743" w:rsidP="002C35F8">
      <w:pPr>
        <w:numPr>
          <w:ilvl w:val="12"/>
          <w:numId w:val="0"/>
        </w:numPr>
        <w:spacing w:line="240" w:lineRule="auto"/>
        <w:ind w:right="-2"/>
        <w:rPr>
          <w:del w:id="10233" w:author="AbbVie_HU_03" w:date="2025-05-14T16:39:00Z"/>
        </w:rPr>
      </w:pPr>
      <w:del w:id="10234" w:author="AbbVie_HU_03" w:date="2025-05-14T16:39:00Z">
        <w:r w:rsidRPr="00183B5F">
          <w:delText xml:space="preserve">A Humira szokásos adagja </w:delText>
        </w:r>
        <w:r w:rsidR="008F5AFF" w:rsidRPr="00183B5F">
          <w:delText>első alkalommal</w:delText>
        </w:r>
        <w:r w:rsidRPr="00183B5F">
          <w:delText xml:space="preserve"> 160 mg (négy 40 mg-os injekció egy nap</w:delText>
        </w:r>
        <w:r w:rsidR="008F5AFF" w:rsidRPr="00183B5F">
          <w:delText>on</w:delText>
        </w:r>
        <w:r w:rsidRPr="00183B5F">
          <w:delText xml:space="preserve"> vagy két 40 mg</w:delText>
        </w:r>
        <w:r w:rsidR="008F5AFF" w:rsidRPr="00183B5F">
          <w:noBreakHyphen/>
        </w:r>
        <w:r w:rsidRPr="00183B5F">
          <w:delText>os injekció két egymást követő napon), majd két hét múlva 80 mg (két 40 mg-os injekció formájában egy nap</w:delText>
        </w:r>
        <w:r w:rsidR="008F5AFF" w:rsidRPr="00183B5F">
          <w:delText>on</w:delText>
        </w:r>
        <w:r w:rsidRPr="00183B5F">
          <w:delText>). Ezt követően a szokásos adag 80 mg kéthetente.</w:delText>
        </w:r>
      </w:del>
    </w:p>
    <w:p w14:paraId="7FD5AB7D" w14:textId="729B9C2F" w:rsidR="002C35F8" w:rsidRPr="00183B5F" w:rsidRDefault="002C35F8" w:rsidP="002C35F8">
      <w:pPr>
        <w:numPr>
          <w:ilvl w:val="12"/>
          <w:numId w:val="0"/>
        </w:numPr>
        <w:spacing w:line="240" w:lineRule="auto"/>
        <w:ind w:right="-2"/>
        <w:rPr>
          <w:del w:id="10235" w:author="AbbVie_HU_03" w:date="2025-05-14T16:39:00Z"/>
        </w:rPr>
      </w:pPr>
    </w:p>
    <w:p w14:paraId="4320D0DF" w14:textId="2BF96060" w:rsidR="002C35F8" w:rsidRPr="00183B5F" w:rsidRDefault="00943743" w:rsidP="002C35F8">
      <w:pPr>
        <w:numPr>
          <w:ilvl w:val="12"/>
          <w:numId w:val="0"/>
        </w:numPr>
        <w:spacing w:line="240" w:lineRule="auto"/>
        <w:ind w:right="-2"/>
        <w:rPr>
          <w:del w:id="10236" w:author="AbbVie_HU_03" w:date="2025-05-14T16:39:00Z"/>
        </w:rPr>
      </w:pPr>
      <w:del w:id="10237" w:author="AbbVie_HU_03" w:date="2025-05-14T16:39:00Z">
        <w:r w:rsidRPr="00183B5F">
          <w:delText>Azoknak a betegeknek, akik a kéthetenkénti 80 mg-os dózis alkalmazása alatt töltik be 18 éves korukat, folytatniuk kell az előírt dózist.</w:delText>
        </w:r>
      </w:del>
    </w:p>
    <w:bookmarkEnd w:id="10218"/>
    <w:p w14:paraId="5CF9DB98" w14:textId="3B44A03E" w:rsidR="002764E2" w:rsidRPr="00183B5F" w:rsidRDefault="002764E2" w:rsidP="004062FE">
      <w:pPr>
        <w:numPr>
          <w:ilvl w:val="12"/>
          <w:numId w:val="0"/>
        </w:numPr>
        <w:spacing w:line="240" w:lineRule="auto"/>
        <w:ind w:right="-2"/>
        <w:rPr>
          <w:del w:id="10238" w:author="AbbVie_HU_03" w:date="2025-05-14T16:39:00Z"/>
          <w:szCs w:val="22"/>
        </w:rPr>
      </w:pPr>
    </w:p>
    <w:p w14:paraId="786A353A" w14:textId="276D671D" w:rsidR="00D05C1C" w:rsidRPr="00183B5F" w:rsidRDefault="00943743" w:rsidP="000B3A51">
      <w:pPr>
        <w:keepNext/>
        <w:numPr>
          <w:ilvl w:val="12"/>
          <w:numId w:val="0"/>
        </w:numPr>
        <w:spacing w:line="240" w:lineRule="auto"/>
        <w:rPr>
          <w:del w:id="10239" w:author="AbbVie_HU_03" w:date="2025-05-14T16:39:00Z"/>
          <w:szCs w:val="22"/>
          <w:u w:val="single"/>
        </w:rPr>
      </w:pPr>
      <w:del w:id="10240" w:author="AbbVie_HU_03" w:date="2025-05-14T16:39:00Z">
        <w:r w:rsidRPr="00183B5F">
          <w:rPr>
            <w:szCs w:val="22"/>
            <w:u w:val="single"/>
          </w:rPr>
          <w:delText>Krónikus, n</w:delText>
        </w:r>
        <w:r w:rsidR="009F600A" w:rsidRPr="00183B5F">
          <w:rPr>
            <w:szCs w:val="22"/>
            <w:u w:val="single"/>
          </w:rPr>
          <w:delText>em fertőzéses</w:delText>
        </w:r>
        <w:r w:rsidR="00256F81" w:rsidRPr="00183B5F">
          <w:rPr>
            <w:szCs w:val="22"/>
            <w:u w:val="single"/>
          </w:rPr>
          <w:delText xml:space="preserve"> eredetű szemgyulladásban</w:delText>
        </w:r>
        <w:r w:rsidR="009F600A" w:rsidRPr="00183B5F">
          <w:rPr>
            <w:szCs w:val="22"/>
            <w:u w:val="single"/>
          </w:rPr>
          <w:delText xml:space="preserve"> </w:delText>
        </w:r>
        <w:r w:rsidR="00256F81" w:rsidRPr="00183B5F">
          <w:rPr>
            <w:szCs w:val="22"/>
            <w:u w:val="single"/>
          </w:rPr>
          <w:delText>(</w:delText>
        </w:r>
        <w:r w:rsidR="009F600A" w:rsidRPr="00183B5F">
          <w:rPr>
            <w:szCs w:val="22"/>
            <w:u w:val="single"/>
          </w:rPr>
          <w:delText>uveitis</w:delText>
        </w:r>
        <w:r w:rsidR="00256F81" w:rsidRPr="00183B5F">
          <w:rPr>
            <w:szCs w:val="22"/>
            <w:u w:val="single"/>
          </w:rPr>
          <w:delText>z)</w:delText>
        </w:r>
        <w:r w:rsidR="009F600A" w:rsidRPr="00183B5F">
          <w:rPr>
            <w:szCs w:val="22"/>
            <w:u w:val="single"/>
          </w:rPr>
          <w:delText xml:space="preserve"> szenvedő gyermekek </w:delText>
        </w:r>
        <w:r w:rsidR="006C1B09" w:rsidRPr="00183B5F">
          <w:rPr>
            <w:szCs w:val="22"/>
            <w:u w:val="single"/>
          </w:rPr>
          <w:delText xml:space="preserve">és serdülők </w:delText>
        </w:r>
        <w:r w:rsidR="009F600A" w:rsidRPr="00183B5F">
          <w:rPr>
            <w:szCs w:val="22"/>
            <w:u w:val="single"/>
          </w:rPr>
          <w:delText>2 éves kortól</w:delText>
        </w:r>
      </w:del>
    </w:p>
    <w:p w14:paraId="1D88D833" w14:textId="2B198DF1" w:rsidR="009F600A" w:rsidRPr="00183B5F" w:rsidRDefault="009F600A" w:rsidP="000B3A51">
      <w:pPr>
        <w:keepNext/>
        <w:numPr>
          <w:ilvl w:val="12"/>
          <w:numId w:val="0"/>
        </w:numPr>
        <w:spacing w:line="240" w:lineRule="auto"/>
        <w:rPr>
          <w:del w:id="10241" w:author="AbbVie_HU_03" w:date="2025-05-14T16:39:00Z"/>
          <w:szCs w:val="22"/>
          <w:u w:val="single"/>
        </w:rPr>
      </w:pPr>
    </w:p>
    <w:p w14:paraId="25DAE62F" w14:textId="2417C7C6" w:rsidR="0070154C" w:rsidRPr="00183B5F" w:rsidRDefault="00943743" w:rsidP="000B3A51">
      <w:pPr>
        <w:keepNext/>
        <w:numPr>
          <w:ilvl w:val="12"/>
          <w:numId w:val="0"/>
        </w:numPr>
        <w:spacing w:line="240" w:lineRule="auto"/>
        <w:ind w:right="-2"/>
        <w:rPr>
          <w:del w:id="10242" w:author="AbbVie_HU_03" w:date="2025-05-14T16:39:00Z"/>
          <w:i/>
        </w:rPr>
      </w:pPr>
      <w:del w:id="10243" w:author="AbbVie_HU_03" w:date="2025-05-14T16:39:00Z">
        <w:r w:rsidRPr="00183B5F">
          <w:rPr>
            <w:i/>
          </w:rPr>
          <w:delText>2 éves kor feletti, 30 kg</w:delText>
        </w:r>
        <w:r w:rsidRPr="00183B5F">
          <w:rPr>
            <w:i/>
          </w:rPr>
          <w:noBreakHyphen/>
          <w:delText xml:space="preserve">nál kisebb testtömegű gyermekek és serdülők </w:delText>
        </w:r>
      </w:del>
    </w:p>
    <w:p w14:paraId="59BD61C1" w14:textId="3F57C4B5" w:rsidR="009F600A" w:rsidRPr="00183B5F" w:rsidRDefault="009F600A" w:rsidP="000B3A51">
      <w:pPr>
        <w:keepNext/>
        <w:numPr>
          <w:ilvl w:val="12"/>
          <w:numId w:val="0"/>
        </w:numPr>
        <w:spacing w:line="240" w:lineRule="auto"/>
        <w:ind w:right="-2"/>
        <w:rPr>
          <w:del w:id="10244" w:author="AbbVie_HU_03" w:date="2025-05-14T16:39:00Z"/>
          <w:i/>
          <w:szCs w:val="22"/>
        </w:rPr>
      </w:pPr>
    </w:p>
    <w:p w14:paraId="515C0A4B" w14:textId="3F52A2B1" w:rsidR="009F600A" w:rsidRPr="00183B5F" w:rsidRDefault="00943743" w:rsidP="000B3A51">
      <w:pPr>
        <w:keepNext/>
        <w:numPr>
          <w:ilvl w:val="12"/>
          <w:numId w:val="0"/>
        </w:numPr>
        <w:spacing w:line="240" w:lineRule="auto"/>
        <w:ind w:right="-2"/>
        <w:rPr>
          <w:del w:id="10245" w:author="AbbVie_HU_03" w:date="2025-05-14T16:39:00Z"/>
          <w:szCs w:val="22"/>
        </w:rPr>
      </w:pPr>
      <w:del w:id="10246" w:author="AbbVie_HU_03" w:date="2025-05-14T16:39:00Z">
        <w:r w:rsidRPr="00183B5F">
          <w:rPr>
            <w:szCs w:val="22"/>
          </w:rPr>
          <w:delText>A Humira szokásos adagja 20 mg minden második héten</w:delText>
        </w:r>
        <w:r w:rsidR="003C11FA" w:rsidRPr="00183B5F">
          <w:rPr>
            <w:szCs w:val="22"/>
          </w:rPr>
          <w:delText>,</w:delText>
        </w:r>
        <w:r w:rsidRPr="00183B5F">
          <w:rPr>
            <w:szCs w:val="22"/>
          </w:rPr>
          <w:delText xml:space="preserve"> metotrexáttal kombiná</w:delText>
        </w:r>
        <w:r w:rsidR="00DC6E72" w:rsidRPr="00183B5F">
          <w:rPr>
            <w:szCs w:val="22"/>
          </w:rPr>
          <w:delText>lva</w:delText>
        </w:r>
        <w:r w:rsidRPr="00183B5F">
          <w:rPr>
            <w:szCs w:val="22"/>
          </w:rPr>
          <w:delText>.</w:delText>
        </w:r>
      </w:del>
    </w:p>
    <w:p w14:paraId="5303CFA3" w14:textId="603837D1" w:rsidR="009F600A" w:rsidRPr="00183B5F" w:rsidRDefault="009F600A" w:rsidP="004062FE">
      <w:pPr>
        <w:numPr>
          <w:ilvl w:val="12"/>
          <w:numId w:val="0"/>
        </w:numPr>
        <w:spacing w:line="240" w:lineRule="auto"/>
        <w:ind w:right="-2"/>
        <w:rPr>
          <w:del w:id="10247" w:author="AbbVie_HU_03" w:date="2025-05-14T16:39:00Z"/>
          <w:szCs w:val="22"/>
        </w:rPr>
      </w:pPr>
    </w:p>
    <w:p w14:paraId="54418BBC" w14:textId="3DBEB0F9" w:rsidR="009F600A" w:rsidRPr="00183B5F" w:rsidRDefault="00943743" w:rsidP="004062FE">
      <w:pPr>
        <w:numPr>
          <w:ilvl w:val="12"/>
          <w:numId w:val="0"/>
        </w:numPr>
        <w:spacing w:line="240" w:lineRule="auto"/>
        <w:ind w:right="-2"/>
        <w:rPr>
          <w:del w:id="10248" w:author="AbbVie_HU_03" w:date="2025-05-14T16:39:00Z"/>
          <w:szCs w:val="22"/>
        </w:rPr>
      </w:pPr>
      <w:del w:id="10249" w:author="AbbVie_HU_03" w:date="2025-05-14T16:39:00Z">
        <w:r w:rsidRPr="00183B5F">
          <w:rPr>
            <w:szCs w:val="22"/>
          </w:rPr>
          <w:delText xml:space="preserve">Gyermeke kezelőorvosa 40 mg kezdő adagot is felírhat, melyet </w:delText>
        </w:r>
        <w:r w:rsidR="00935BF0" w:rsidRPr="00183B5F">
          <w:rPr>
            <w:szCs w:val="22"/>
          </w:rPr>
          <w:delText>egy héttel</w:delText>
        </w:r>
        <w:r w:rsidRPr="00183B5F">
          <w:rPr>
            <w:szCs w:val="22"/>
          </w:rPr>
          <w:delText xml:space="preserve"> a szokásos adagolás megkezdése előtt</w:delText>
        </w:r>
        <w:r w:rsidR="00935BF0" w:rsidRPr="00183B5F">
          <w:rPr>
            <w:szCs w:val="22"/>
          </w:rPr>
          <w:delText xml:space="preserve"> kell beadni</w:delText>
        </w:r>
        <w:r w:rsidRPr="00183B5F">
          <w:rPr>
            <w:szCs w:val="22"/>
          </w:rPr>
          <w:delText>.</w:delText>
        </w:r>
      </w:del>
    </w:p>
    <w:p w14:paraId="719A9E3C" w14:textId="57981DBE" w:rsidR="009F600A" w:rsidRPr="00183B5F" w:rsidRDefault="009F600A" w:rsidP="004062FE">
      <w:pPr>
        <w:numPr>
          <w:ilvl w:val="12"/>
          <w:numId w:val="0"/>
        </w:numPr>
        <w:spacing w:line="240" w:lineRule="auto"/>
        <w:ind w:right="-2"/>
        <w:rPr>
          <w:del w:id="10250" w:author="AbbVie_HU_03" w:date="2025-05-14T16:39:00Z"/>
          <w:szCs w:val="22"/>
        </w:rPr>
      </w:pPr>
    </w:p>
    <w:p w14:paraId="53B55610" w14:textId="350B886A" w:rsidR="0070154C" w:rsidRPr="00183B5F" w:rsidRDefault="00943743" w:rsidP="004062FE">
      <w:pPr>
        <w:numPr>
          <w:ilvl w:val="12"/>
          <w:numId w:val="0"/>
        </w:numPr>
        <w:spacing w:line="240" w:lineRule="auto"/>
        <w:ind w:right="-2"/>
        <w:rPr>
          <w:del w:id="10251" w:author="AbbVie_HU_03" w:date="2025-05-14T16:39:00Z"/>
          <w:i/>
          <w:szCs w:val="22"/>
          <w:u w:val="single"/>
        </w:rPr>
      </w:pPr>
      <w:del w:id="10252" w:author="AbbVie_HU_03" w:date="2025-05-14T16:39:00Z">
        <w:r w:rsidRPr="00183B5F">
          <w:rPr>
            <w:i/>
          </w:rPr>
          <w:delText>2 éves kor feletti, 30 kg vagy annál nagyobb testtömegű gyermekek és serdülők</w:delText>
        </w:r>
        <w:r w:rsidRPr="00183B5F">
          <w:rPr>
            <w:i/>
            <w:szCs w:val="22"/>
            <w:u w:val="single"/>
          </w:rPr>
          <w:delText xml:space="preserve"> </w:delText>
        </w:r>
      </w:del>
    </w:p>
    <w:p w14:paraId="6EB37DCD" w14:textId="167D24B9" w:rsidR="009F600A" w:rsidRPr="00183B5F" w:rsidRDefault="009F600A" w:rsidP="004062FE">
      <w:pPr>
        <w:numPr>
          <w:ilvl w:val="12"/>
          <w:numId w:val="0"/>
        </w:numPr>
        <w:spacing w:line="240" w:lineRule="auto"/>
        <w:ind w:right="-2"/>
        <w:rPr>
          <w:del w:id="10253" w:author="AbbVie_HU_03" w:date="2025-05-14T16:39:00Z"/>
          <w:i/>
          <w:szCs w:val="22"/>
          <w:u w:val="single"/>
        </w:rPr>
      </w:pPr>
    </w:p>
    <w:p w14:paraId="76EE0114" w14:textId="353A0053" w:rsidR="009F600A" w:rsidRPr="00183B5F" w:rsidRDefault="00943743" w:rsidP="004062FE">
      <w:pPr>
        <w:numPr>
          <w:ilvl w:val="12"/>
          <w:numId w:val="0"/>
        </w:numPr>
        <w:spacing w:line="240" w:lineRule="auto"/>
        <w:ind w:right="-2"/>
        <w:rPr>
          <w:del w:id="10254" w:author="AbbVie_HU_03" w:date="2025-05-14T16:39:00Z"/>
          <w:szCs w:val="22"/>
          <w:u w:val="single"/>
        </w:rPr>
      </w:pPr>
      <w:del w:id="10255" w:author="AbbVie_HU_03" w:date="2025-05-14T16:39:00Z">
        <w:r w:rsidRPr="00183B5F">
          <w:rPr>
            <w:szCs w:val="22"/>
          </w:rPr>
          <w:delText xml:space="preserve">A Humira szokásos adagja 40 mg </w:delText>
        </w:r>
        <w:r w:rsidR="00935BF0" w:rsidRPr="00183B5F">
          <w:rPr>
            <w:szCs w:val="22"/>
          </w:rPr>
          <w:delText>minden második héten</w:delText>
        </w:r>
        <w:r w:rsidR="007C26D2" w:rsidRPr="00183B5F">
          <w:rPr>
            <w:szCs w:val="22"/>
          </w:rPr>
          <w:delText>,</w:delText>
        </w:r>
        <w:r w:rsidR="00935BF0" w:rsidRPr="00183B5F">
          <w:rPr>
            <w:szCs w:val="22"/>
          </w:rPr>
          <w:delText xml:space="preserve"> metotrexáttal kombiná</w:delText>
        </w:r>
        <w:r w:rsidR="00DC6E72" w:rsidRPr="00183B5F">
          <w:rPr>
            <w:szCs w:val="22"/>
          </w:rPr>
          <w:delText>lva</w:delText>
        </w:r>
        <w:r w:rsidR="00935BF0" w:rsidRPr="00183B5F">
          <w:rPr>
            <w:szCs w:val="22"/>
          </w:rPr>
          <w:delText xml:space="preserve">. </w:delText>
        </w:r>
      </w:del>
    </w:p>
    <w:p w14:paraId="23AC53C7" w14:textId="0D2B3564" w:rsidR="009F600A" w:rsidRPr="00183B5F" w:rsidRDefault="009F600A" w:rsidP="004062FE">
      <w:pPr>
        <w:numPr>
          <w:ilvl w:val="12"/>
          <w:numId w:val="0"/>
        </w:numPr>
        <w:spacing w:line="240" w:lineRule="auto"/>
        <w:ind w:right="-2"/>
        <w:rPr>
          <w:del w:id="10256" w:author="AbbVie_HU_03" w:date="2025-05-14T16:39:00Z"/>
          <w:szCs w:val="22"/>
        </w:rPr>
      </w:pPr>
    </w:p>
    <w:p w14:paraId="2516C858" w14:textId="57506B5F" w:rsidR="00935BF0" w:rsidRPr="00183B5F" w:rsidRDefault="00943743" w:rsidP="004062FE">
      <w:pPr>
        <w:numPr>
          <w:ilvl w:val="12"/>
          <w:numId w:val="0"/>
        </w:numPr>
        <w:spacing w:line="240" w:lineRule="auto"/>
        <w:ind w:right="-2"/>
        <w:rPr>
          <w:del w:id="10257" w:author="AbbVie_HU_03" w:date="2025-05-14T16:39:00Z"/>
          <w:szCs w:val="22"/>
        </w:rPr>
      </w:pPr>
      <w:del w:id="10258" w:author="AbbVie_HU_03" w:date="2025-05-14T16:39:00Z">
        <w:r w:rsidRPr="00183B5F">
          <w:rPr>
            <w:szCs w:val="22"/>
          </w:rPr>
          <w:delText>Gyermeke kezelőorvosa 80 mg kezdő adagot is felírhat, melyet egy héttel a szokásos adagolás megkezdése előtt kell beadni.</w:delText>
        </w:r>
      </w:del>
    </w:p>
    <w:p w14:paraId="7610A3A5" w14:textId="4333F5CD" w:rsidR="009F600A" w:rsidRPr="00183B5F" w:rsidRDefault="009F600A" w:rsidP="004062FE">
      <w:pPr>
        <w:numPr>
          <w:ilvl w:val="12"/>
          <w:numId w:val="0"/>
        </w:numPr>
        <w:spacing w:line="240" w:lineRule="auto"/>
        <w:ind w:right="-2"/>
        <w:rPr>
          <w:del w:id="10259" w:author="AbbVie_HU_03" w:date="2025-05-14T16:39:00Z"/>
          <w:szCs w:val="22"/>
        </w:rPr>
      </w:pPr>
    </w:p>
    <w:p w14:paraId="7762DC50" w14:textId="5B901DE1" w:rsidR="00B57D20" w:rsidRPr="00183B5F" w:rsidRDefault="00943743" w:rsidP="004062FE">
      <w:pPr>
        <w:numPr>
          <w:ilvl w:val="12"/>
          <w:numId w:val="0"/>
        </w:numPr>
        <w:spacing w:line="240" w:lineRule="auto"/>
        <w:ind w:right="-2"/>
        <w:rPr>
          <w:del w:id="10260" w:author="AbbVie_HU_03" w:date="2025-05-14T16:39:00Z"/>
          <w:b/>
          <w:szCs w:val="22"/>
        </w:rPr>
      </w:pPr>
      <w:del w:id="10261" w:author="AbbVie_HU_03" w:date="2025-05-14T16:39:00Z">
        <w:r w:rsidRPr="00183B5F">
          <w:rPr>
            <w:b/>
            <w:szCs w:val="22"/>
          </w:rPr>
          <w:delText>Az alkalmazással kapcsolatos tudnivalók és az alkalmazás módja</w:delText>
        </w:r>
      </w:del>
    </w:p>
    <w:p w14:paraId="26AACE25" w14:textId="42D73793" w:rsidR="00B57D20" w:rsidRPr="00183B5F" w:rsidRDefault="00B57D20" w:rsidP="004062FE">
      <w:pPr>
        <w:numPr>
          <w:ilvl w:val="12"/>
          <w:numId w:val="0"/>
        </w:numPr>
        <w:spacing w:line="240" w:lineRule="auto"/>
        <w:ind w:right="-2"/>
        <w:rPr>
          <w:del w:id="10262" w:author="AbbVie_HU_03" w:date="2025-05-14T16:39:00Z"/>
          <w:b/>
          <w:szCs w:val="22"/>
        </w:rPr>
      </w:pPr>
    </w:p>
    <w:p w14:paraId="01B31645" w14:textId="47AF5C79" w:rsidR="00B57D20" w:rsidRPr="00183B5F" w:rsidRDefault="00943743" w:rsidP="004062FE">
      <w:pPr>
        <w:keepNext/>
        <w:spacing w:line="240" w:lineRule="auto"/>
        <w:rPr>
          <w:del w:id="10263" w:author="AbbVie_HU_03" w:date="2025-05-14T16:39:00Z"/>
          <w:szCs w:val="22"/>
        </w:rPr>
      </w:pPr>
      <w:del w:id="10264" w:author="AbbVie_HU_03" w:date="2025-05-14T16:39:00Z">
        <w:r w:rsidRPr="00183B5F">
          <w:rPr>
            <w:szCs w:val="22"/>
          </w:rPr>
          <w:delText>A Humira</w:delText>
        </w:r>
        <w:r w:rsidR="00EB22A0" w:rsidRPr="00183B5F">
          <w:rPr>
            <w:szCs w:val="22"/>
          </w:rPr>
          <w:noBreakHyphen/>
        </w:r>
        <w:r w:rsidRPr="00183B5F">
          <w:rPr>
            <w:szCs w:val="22"/>
          </w:rPr>
          <w:delText>t a bőr alá (szubkután</w:delText>
        </w:r>
        <w:r w:rsidR="00AB3C6A" w:rsidRPr="00183B5F">
          <w:rPr>
            <w:szCs w:val="22"/>
          </w:rPr>
          <w:delText xml:space="preserve"> injekció formájában</w:delText>
        </w:r>
        <w:r w:rsidRPr="00183B5F">
          <w:rPr>
            <w:szCs w:val="22"/>
          </w:rPr>
          <w:delText>) kell beadni.</w:delText>
        </w:r>
      </w:del>
    </w:p>
    <w:p w14:paraId="4E6A0AB7" w14:textId="2D7B70CA" w:rsidR="00583E47" w:rsidRPr="00183B5F" w:rsidRDefault="00583E47" w:rsidP="004062FE">
      <w:pPr>
        <w:numPr>
          <w:ilvl w:val="12"/>
          <w:numId w:val="0"/>
        </w:numPr>
        <w:spacing w:line="240" w:lineRule="auto"/>
        <w:ind w:right="-2"/>
        <w:rPr>
          <w:del w:id="10265" w:author="AbbVie_HU_03" w:date="2025-05-14T16:39:00Z"/>
          <w:szCs w:val="22"/>
        </w:rPr>
      </w:pPr>
    </w:p>
    <w:p w14:paraId="5529EA6B" w14:textId="4B973AFE" w:rsidR="00162434" w:rsidRPr="00183B5F" w:rsidRDefault="00943743" w:rsidP="004062FE">
      <w:pPr>
        <w:numPr>
          <w:ilvl w:val="12"/>
          <w:numId w:val="0"/>
        </w:numPr>
        <w:spacing w:line="240" w:lineRule="auto"/>
        <w:ind w:right="-2"/>
        <w:rPr>
          <w:del w:id="10266" w:author="AbbVie_HU_03" w:date="2025-05-14T16:39:00Z"/>
          <w:b/>
          <w:bCs/>
          <w:szCs w:val="22"/>
        </w:rPr>
      </w:pPr>
      <w:del w:id="10267" w:author="AbbVie_HU_03" w:date="2025-05-14T16:39:00Z">
        <w:r w:rsidRPr="00183B5F">
          <w:rPr>
            <w:b/>
            <w:bCs/>
            <w:szCs w:val="22"/>
          </w:rPr>
          <w:delText>A Humira injekció elkészítésére és beadására vonatkozó utasítások:</w:delText>
        </w:r>
      </w:del>
    </w:p>
    <w:p w14:paraId="4412F6D8" w14:textId="03BEF466" w:rsidR="0076087C" w:rsidRPr="00183B5F" w:rsidRDefault="0076087C" w:rsidP="004062FE">
      <w:pPr>
        <w:numPr>
          <w:ilvl w:val="12"/>
          <w:numId w:val="0"/>
        </w:numPr>
        <w:spacing w:line="240" w:lineRule="auto"/>
        <w:ind w:right="-2"/>
        <w:rPr>
          <w:del w:id="10268" w:author="AbbVie_HU_03" w:date="2025-05-14T16:39:00Z"/>
          <w:szCs w:val="22"/>
        </w:rPr>
      </w:pPr>
    </w:p>
    <w:p w14:paraId="26948C7E" w14:textId="3B2816D2" w:rsidR="0076087C" w:rsidRPr="00183B5F" w:rsidRDefault="00943743" w:rsidP="004062FE">
      <w:pPr>
        <w:numPr>
          <w:ilvl w:val="12"/>
          <w:numId w:val="0"/>
        </w:numPr>
        <w:spacing w:line="240" w:lineRule="auto"/>
        <w:ind w:right="-2"/>
        <w:rPr>
          <w:del w:id="10269" w:author="AbbVie_HU_03" w:date="2025-05-14T16:39:00Z"/>
          <w:szCs w:val="22"/>
        </w:rPr>
      </w:pPr>
      <w:del w:id="10270" w:author="AbbVie_HU_03" w:date="2025-05-14T16:39:00Z">
        <w:r w:rsidRPr="00183B5F">
          <w:rPr>
            <w:szCs w:val="22"/>
          </w:rPr>
          <w:delText>Az alábbi utasítások ismertetik</w:delText>
        </w:r>
        <w:r w:rsidR="00156908" w:rsidRPr="00183B5F">
          <w:rPr>
            <w:szCs w:val="22"/>
          </w:rPr>
          <w:delText xml:space="preserve"> </w:delText>
        </w:r>
        <w:r w:rsidR="00313DDE" w:rsidRPr="00183B5F">
          <w:rPr>
            <w:szCs w:val="22"/>
          </w:rPr>
          <w:delText>a</w:delText>
        </w:r>
        <w:r w:rsidRPr="00183B5F">
          <w:rPr>
            <w:szCs w:val="22"/>
          </w:rPr>
          <w:delText xml:space="preserve"> Humira injekció</w:delText>
        </w:r>
        <w:r w:rsidR="00313DDE" w:rsidRPr="00183B5F">
          <w:rPr>
            <w:szCs w:val="22"/>
          </w:rPr>
          <w:delText xml:space="preserve"> beadásának módját</w:delText>
        </w:r>
        <w:r w:rsidRPr="00183B5F">
          <w:rPr>
            <w:szCs w:val="22"/>
          </w:rPr>
          <w:delText xml:space="preserve">. Kérjük, olvassa el figyelmesen </w:delText>
        </w:r>
        <w:r w:rsidR="00313DDE" w:rsidRPr="00183B5F">
          <w:rPr>
            <w:szCs w:val="22"/>
          </w:rPr>
          <w:delText xml:space="preserve">ezeket </w:delText>
        </w:r>
        <w:r w:rsidR="00BC7AC8" w:rsidRPr="00183B5F">
          <w:rPr>
            <w:szCs w:val="22"/>
          </w:rPr>
          <w:delText xml:space="preserve">az </w:delText>
        </w:r>
        <w:r w:rsidRPr="00183B5F">
          <w:rPr>
            <w:szCs w:val="22"/>
          </w:rPr>
          <w:delText>utasításokat</w:delText>
        </w:r>
        <w:r w:rsidR="00CA286E" w:rsidRPr="00183B5F">
          <w:rPr>
            <w:szCs w:val="22"/>
          </w:rPr>
          <w:delText>,</w:delText>
        </w:r>
        <w:r w:rsidRPr="00183B5F">
          <w:rPr>
            <w:szCs w:val="22"/>
          </w:rPr>
          <w:delText xml:space="preserve"> és kövesse lépésről lépésre. </w:delText>
        </w:r>
        <w:r w:rsidR="00A2696D" w:rsidRPr="00183B5F">
          <w:rPr>
            <w:szCs w:val="22"/>
          </w:rPr>
          <w:delText xml:space="preserve">Gyermeke kezelőorvosa vagy a nővér </w:delText>
        </w:r>
        <w:r w:rsidR="004259E8" w:rsidRPr="00183B5F">
          <w:rPr>
            <w:szCs w:val="22"/>
          </w:rPr>
          <w:delText>megtanítja</w:delText>
        </w:r>
        <w:r w:rsidR="00A2696D" w:rsidRPr="00183B5F">
          <w:rPr>
            <w:szCs w:val="22"/>
          </w:rPr>
          <w:delText xml:space="preserve"> Önnek az </w:delText>
        </w:r>
        <w:r w:rsidR="00BC7AC8" w:rsidRPr="00183B5F">
          <w:rPr>
            <w:szCs w:val="22"/>
          </w:rPr>
          <w:delText xml:space="preserve">injekciózás technikáját és </w:delText>
        </w:r>
        <w:r w:rsidR="004259E8" w:rsidRPr="00183B5F">
          <w:rPr>
            <w:szCs w:val="22"/>
          </w:rPr>
          <w:delText xml:space="preserve">tájékoztatja </w:delText>
        </w:r>
        <w:r w:rsidR="00BC7AC8" w:rsidRPr="00183B5F">
          <w:rPr>
            <w:szCs w:val="22"/>
          </w:rPr>
          <w:delText xml:space="preserve">a </w:delText>
        </w:r>
        <w:r w:rsidR="00A2696D" w:rsidRPr="00183B5F">
          <w:rPr>
            <w:szCs w:val="22"/>
          </w:rPr>
          <w:delText>g</w:delText>
        </w:r>
        <w:r w:rsidR="00BC7AC8" w:rsidRPr="00183B5F">
          <w:rPr>
            <w:szCs w:val="22"/>
          </w:rPr>
          <w:delText>y</w:delText>
        </w:r>
        <w:r w:rsidR="00A2696D" w:rsidRPr="00183B5F">
          <w:rPr>
            <w:szCs w:val="22"/>
          </w:rPr>
          <w:delText>ermekének beadandó adag</w:delText>
        </w:r>
        <w:r w:rsidR="004259E8" w:rsidRPr="00183B5F">
          <w:rPr>
            <w:szCs w:val="22"/>
          </w:rPr>
          <w:delText>ról</w:delText>
        </w:r>
        <w:r w:rsidR="00A2696D" w:rsidRPr="00183B5F">
          <w:rPr>
            <w:szCs w:val="22"/>
          </w:rPr>
          <w:delText>. Ne kíséreljen meg injekciót beadni gyermekének mindaddig, amíg</w:delText>
        </w:r>
        <w:r w:rsidR="006514A2" w:rsidRPr="00183B5F">
          <w:rPr>
            <w:szCs w:val="22"/>
          </w:rPr>
          <w:delText xml:space="preserve"> nem biztos abban, hogy érti az injekció elkészítésének és beadásának módját. Megfelelő gyakorlás után az </w:delText>
        </w:r>
        <w:r w:rsidR="007829BE" w:rsidRPr="00183B5F">
          <w:rPr>
            <w:szCs w:val="22"/>
          </w:rPr>
          <w:delText>öninjekciózás elsajátítható,</w:delText>
        </w:r>
        <w:r w:rsidR="006514A2" w:rsidRPr="00183B5F">
          <w:rPr>
            <w:szCs w:val="22"/>
          </w:rPr>
          <w:delText xml:space="preserve"> vagy </w:delText>
        </w:r>
        <w:r w:rsidR="007829BE" w:rsidRPr="00183B5F">
          <w:rPr>
            <w:szCs w:val="22"/>
          </w:rPr>
          <w:delText xml:space="preserve">az injekciót beadhatja </w:delText>
        </w:r>
        <w:r w:rsidR="006514A2" w:rsidRPr="00183B5F">
          <w:rPr>
            <w:szCs w:val="22"/>
          </w:rPr>
          <w:delText xml:space="preserve">egy másik személy, </w:delText>
        </w:r>
        <w:r w:rsidR="00F15477" w:rsidRPr="00183B5F">
          <w:rPr>
            <w:bCs/>
            <w:szCs w:val="22"/>
          </w:rPr>
          <w:delText>például</w:delText>
        </w:r>
        <w:r w:rsidR="006514A2" w:rsidRPr="00183B5F">
          <w:rPr>
            <w:szCs w:val="22"/>
          </w:rPr>
          <w:delText xml:space="preserve"> családtag vagy barát</w:delText>
        </w:r>
        <w:r w:rsidR="007829BE" w:rsidRPr="00183B5F">
          <w:rPr>
            <w:szCs w:val="22"/>
          </w:rPr>
          <w:delText>.</w:delText>
        </w:r>
      </w:del>
    </w:p>
    <w:p w14:paraId="2BDE9750" w14:textId="0C00596C" w:rsidR="009848E0" w:rsidRPr="00183B5F" w:rsidRDefault="009848E0" w:rsidP="004062FE">
      <w:pPr>
        <w:spacing w:line="240" w:lineRule="auto"/>
        <w:rPr>
          <w:del w:id="10271" w:author="AbbVie_HU_03" w:date="2025-05-14T16:39:00Z"/>
          <w:szCs w:val="22"/>
        </w:rPr>
      </w:pPr>
    </w:p>
    <w:p w14:paraId="155FB43A" w14:textId="43710C02" w:rsidR="006514A2" w:rsidRPr="00183B5F" w:rsidRDefault="00943743" w:rsidP="004062FE">
      <w:pPr>
        <w:spacing w:line="240" w:lineRule="auto"/>
        <w:rPr>
          <w:del w:id="10272" w:author="AbbVie_HU_03" w:date="2025-05-14T16:39:00Z"/>
          <w:szCs w:val="22"/>
        </w:rPr>
      </w:pPr>
      <w:del w:id="10273" w:author="AbbVie_HU_03" w:date="2025-05-14T16:39:00Z">
        <w:r w:rsidRPr="00183B5F">
          <w:rPr>
            <w:szCs w:val="22"/>
          </w:rPr>
          <w:delText>A</w:delText>
        </w:r>
        <w:r w:rsidR="00313DDE" w:rsidRPr="00183B5F">
          <w:rPr>
            <w:szCs w:val="22"/>
          </w:rPr>
          <w:delText>mennyiben a</w:delText>
        </w:r>
        <w:r w:rsidRPr="00183B5F">
          <w:rPr>
            <w:szCs w:val="22"/>
          </w:rPr>
          <w:delText xml:space="preserve">z alábbi lépések </w:delText>
        </w:r>
        <w:r w:rsidR="00313DDE" w:rsidRPr="00183B5F">
          <w:rPr>
            <w:szCs w:val="22"/>
          </w:rPr>
          <w:delText xml:space="preserve">nem a </w:delText>
        </w:r>
        <w:r w:rsidRPr="00183B5F">
          <w:rPr>
            <w:szCs w:val="22"/>
          </w:rPr>
          <w:delText>leírtak szerint</w:delText>
        </w:r>
        <w:r w:rsidR="00313DDE" w:rsidRPr="00183B5F">
          <w:rPr>
            <w:szCs w:val="22"/>
          </w:rPr>
          <w:delText xml:space="preserve"> kerülnek</w:delText>
        </w:r>
        <w:r w:rsidRPr="00183B5F">
          <w:rPr>
            <w:szCs w:val="22"/>
          </w:rPr>
          <w:delText xml:space="preserve"> </w:delText>
        </w:r>
        <w:r w:rsidR="00313DDE" w:rsidRPr="00183B5F">
          <w:rPr>
            <w:szCs w:val="22"/>
          </w:rPr>
          <w:delText xml:space="preserve">végrehajtásra, </w:delText>
        </w:r>
        <w:r w:rsidR="003057AD" w:rsidRPr="00183B5F">
          <w:rPr>
            <w:szCs w:val="22"/>
          </w:rPr>
          <w:delText>szennyeződés</w:delText>
        </w:r>
        <w:r w:rsidR="00313DDE" w:rsidRPr="00183B5F">
          <w:rPr>
            <w:szCs w:val="22"/>
          </w:rPr>
          <w:delText xml:space="preserve"> </w:delText>
        </w:r>
        <w:r w:rsidR="00FC7629" w:rsidRPr="00183B5F">
          <w:rPr>
            <w:szCs w:val="22"/>
          </w:rPr>
          <w:delText>alakulhat ki</w:delText>
        </w:r>
        <w:r w:rsidRPr="00183B5F">
          <w:rPr>
            <w:szCs w:val="22"/>
          </w:rPr>
          <w:delText xml:space="preserve">, amely </w:delText>
        </w:r>
        <w:r w:rsidR="00313DDE" w:rsidRPr="00183B5F">
          <w:rPr>
            <w:szCs w:val="22"/>
          </w:rPr>
          <w:delText xml:space="preserve">gyermekénél </w:delText>
        </w:r>
        <w:r w:rsidR="003057AD" w:rsidRPr="00183B5F">
          <w:rPr>
            <w:szCs w:val="22"/>
          </w:rPr>
          <w:delText>fertőzés</w:delText>
        </w:r>
        <w:r w:rsidR="00313DDE" w:rsidRPr="00183B5F">
          <w:rPr>
            <w:szCs w:val="22"/>
          </w:rPr>
          <w:delText xml:space="preserve"> kialakulásá</w:delText>
        </w:r>
        <w:r w:rsidR="003057AD" w:rsidRPr="00183B5F">
          <w:rPr>
            <w:szCs w:val="22"/>
          </w:rPr>
          <w:delText>h</w:delText>
        </w:r>
        <w:r w:rsidR="00313DDE" w:rsidRPr="00183B5F">
          <w:rPr>
            <w:szCs w:val="22"/>
          </w:rPr>
          <w:delText>o</w:delText>
        </w:r>
        <w:r w:rsidR="003057AD" w:rsidRPr="00183B5F">
          <w:rPr>
            <w:szCs w:val="22"/>
          </w:rPr>
          <w:delText>z vezethet.</w:delText>
        </w:r>
      </w:del>
    </w:p>
    <w:p w14:paraId="1391D895" w14:textId="62E67527" w:rsidR="003057AD" w:rsidRPr="00183B5F" w:rsidRDefault="003057AD" w:rsidP="004062FE">
      <w:pPr>
        <w:spacing w:line="240" w:lineRule="auto"/>
        <w:rPr>
          <w:del w:id="10274" w:author="AbbVie_HU_03" w:date="2025-05-14T16:39:00Z"/>
          <w:szCs w:val="22"/>
        </w:rPr>
      </w:pPr>
    </w:p>
    <w:p w14:paraId="5D2E98DB" w14:textId="75D5FC22" w:rsidR="009848E0" w:rsidRPr="00183B5F" w:rsidRDefault="00943743" w:rsidP="004062FE">
      <w:pPr>
        <w:spacing w:line="240" w:lineRule="auto"/>
        <w:ind w:right="-2"/>
        <w:rPr>
          <w:del w:id="10275" w:author="AbbVie_HU_03" w:date="2025-05-14T16:39:00Z"/>
          <w:szCs w:val="22"/>
        </w:rPr>
      </w:pPr>
      <w:del w:id="10276" w:author="AbbVie_HU_03" w:date="2025-05-14T16:39:00Z">
        <w:r w:rsidRPr="00183B5F">
          <w:rPr>
            <w:szCs w:val="22"/>
          </w:rPr>
          <w:delText>Az injekció nem keverhető más gyógyszerrel azonos fecskendőben vagy üvegben.</w:delText>
        </w:r>
      </w:del>
    </w:p>
    <w:p w14:paraId="5FAAE365" w14:textId="2D36A707" w:rsidR="000129AB" w:rsidRPr="00183B5F" w:rsidRDefault="000129AB" w:rsidP="004062FE">
      <w:pPr>
        <w:spacing w:line="240" w:lineRule="auto"/>
        <w:ind w:right="-2"/>
        <w:rPr>
          <w:del w:id="10277" w:author="AbbVie_HU_03" w:date="2025-05-14T16:39:00Z"/>
          <w:szCs w:val="22"/>
        </w:rPr>
      </w:pPr>
    </w:p>
    <w:p w14:paraId="39E291BA" w14:textId="09A18BE2" w:rsidR="009848E0" w:rsidRPr="00183B5F" w:rsidRDefault="00943743" w:rsidP="004062FE">
      <w:pPr>
        <w:spacing w:line="240" w:lineRule="auto"/>
        <w:rPr>
          <w:del w:id="10278" w:author="AbbVie_HU_03" w:date="2025-05-14T16:39:00Z"/>
          <w:b/>
        </w:rPr>
      </w:pPr>
      <w:del w:id="10279" w:author="AbbVie_HU_03" w:date="2025-05-14T16:39:00Z">
        <w:r w:rsidRPr="00183B5F">
          <w:rPr>
            <w:b/>
          </w:rPr>
          <w:delText xml:space="preserve">1) </w:delText>
        </w:r>
        <w:r w:rsidRPr="00183B5F">
          <w:rPr>
            <w:b/>
          </w:rPr>
          <w:tab/>
        </w:r>
        <w:r w:rsidR="003057AD" w:rsidRPr="00183B5F">
          <w:rPr>
            <w:b/>
          </w:rPr>
          <w:delText>Előkészítés</w:delText>
        </w:r>
        <w:r w:rsidRPr="00183B5F">
          <w:rPr>
            <w:b/>
          </w:rPr>
          <w:delText xml:space="preserve"> </w:delText>
        </w:r>
      </w:del>
    </w:p>
    <w:p w14:paraId="43FD65F6" w14:textId="15801440" w:rsidR="00767F56" w:rsidRPr="00183B5F" w:rsidRDefault="00767F56">
      <w:pPr>
        <w:pStyle w:val="EMEABullet2"/>
        <w:numPr>
          <w:ilvl w:val="0"/>
          <w:numId w:val="0"/>
        </w:numPr>
        <w:tabs>
          <w:tab w:val="clear" w:pos="567"/>
        </w:tabs>
        <w:rPr>
          <w:del w:id="10280" w:author="AbbVie_HU_03" w:date="2025-05-14T16:39:00Z"/>
          <w:lang w:val="hu-HU"/>
        </w:rPr>
      </w:pPr>
    </w:p>
    <w:p w14:paraId="6B3D5C97" w14:textId="0BD0FD85" w:rsidR="003057AD" w:rsidRPr="00183B5F" w:rsidRDefault="00943743" w:rsidP="004062FE">
      <w:pPr>
        <w:pStyle w:val="EMEABullet2"/>
        <w:numPr>
          <w:ilvl w:val="0"/>
          <w:numId w:val="89"/>
        </w:numPr>
        <w:tabs>
          <w:tab w:val="clear" w:pos="567"/>
          <w:tab w:val="clear" w:pos="1134"/>
        </w:tabs>
        <w:ind w:left="550" w:hanging="550"/>
        <w:rPr>
          <w:del w:id="10281" w:author="AbbVie_HU_03" w:date="2025-05-14T16:39:00Z"/>
          <w:lang w:val="hu-HU"/>
        </w:rPr>
      </w:pPr>
      <w:del w:id="10282" w:author="AbbVie_HU_03" w:date="2025-05-14T16:39:00Z">
        <w:r w:rsidRPr="00183B5F">
          <w:rPr>
            <w:lang w:val="hu-HU"/>
          </w:rPr>
          <w:delText>Győződjön meg arról, hogy ismeri az adag</w:delText>
        </w:r>
        <w:r w:rsidR="003C4D80" w:rsidRPr="00183B5F">
          <w:rPr>
            <w:lang w:val="hu-HU"/>
          </w:rPr>
          <w:delText>olás</w:delText>
        </w:r>
        <w:r w:rsidRPr="00183B5F">
          <w:rPr>
            <w:lang w:val="hu-HU"/>
          </w:rPr>
          <w:delText xml:space="preserve">hoz szükséges megfelelő mennyiséget (térfogatot). Ha nem ismeri a mennyiséget, </w:delText>
        </w:r>
        <w:r w:rsidR="00440455" w:rsidRPr="00183B5F">
          <w:rPr>
            <w:b/>
            <w:lang w:val="hu-HU"/>
          </w:rPr>
          <w:delText>ÁLLJON MEG ITT</w:delText>
        </w:r>
        <w:r w:rsidR="00440455" w:rsidRPr="00183B5F">
          <w:rPr>
            <w:lang w:val="hu-HU"/>
          </w:rPr>
          <w:delText xml:space="preserve"> és további utasításokért forduljon orvosához</w:delText>
        </w:r>
        <w:r w:rsidR="000129AB" w:rsidRPr="00183B5F">
          <w:rPr>
            <w:lang w:val="hu-HU"/>
          </w:rPr>
          <w:delText>!</w:delText>
        </w:r>
      </w:del>
    </w:p>
    <w:p w14:paraId="2C15FEF9" w14:textId="6B9A937B" w:rsidR="00440455" w:rsidRPr="00183B5F" w:rsidRDefault="00440455">
      <w:pPr>
        <w:pStyle w:val="EMEANormal"/>
        <w:rPr>
          <w:del w:id="10283" w:author="AbbVie_HU_03" w:date="2025-05-14T16:39:00Z"/>
          <w:lang w:val="hu-HU"/>
        </w:rPr>
      </w:pPr>
    </w:p>
    <w:p w14:paraId="62E36282" w14:textId="4F70B66C" w:rsidR="00F145C8" w:rsidRPr="00183B5F" w:rsidRDefault="00943743" w:rsidP="004062FE">
      <w:pPr>
        <w:pStyle w:val="EMEANormal"/>
        <w:ind w:left="550"/>
        <w:rPr>
          <w:del w:id="10284" w:author="AbbVie_HU_03" w:date="2025-05-14T16:39:00Z"/>
          <w:lang w:val="hu-HU"/>
        </w:rPr>
      </w:pPr>
      <w:del w:id="10285" w:author="AbbVie_HU_03" w:date="2025-05-14T16:39:00Z">
        <w:r w:rsidRPr="00183B5F">
          <w:rPr>
            <w:lang w:val="hu-HU"/>
          </w:rPr>
          <w:delText xml:space="preserve">Szüksége lesz egy külön </w:delText>
        </w:r>
        <w:r w:rsidR="000A62BD" w:rsidRPr="00183B5F">
          <w:rPr>
            <w:lang w:val="hu-HU"/>
          </w:rPr>
          <w:delText>gyűjtő</w:delText>
        </w:r>
        <w:r w:rsidR="003C4D80" w:rsidRPr="00183B5F">
          <w:rPr>
            <w:lang w:val="hu-HU"/>
          </w:rPr>
          <w:delText>edényre</w:delText>
        </w:r>
        <w:r w:rsidRPr="00183B5F">
          <w:rPr>
            <w:lang w:val="hu-HU"/>
          </w:rPr>
          <w:delText xml:space="preserve">, </w:delText>
        </w:r>
        <w:r w:rsidR="00F15477" w:rsidRPr="00183B5F">
          <w:rPr>
            <w:bCs/>
            <w:szCs w:val="22"/>
            <w:lang w:val="hu-HU"/>
          </w:rPr>
          <w:delText>például</w:delText>
        </w:r>
        <w:r w:rsidRPr="00183B5F">
          <w:rPr>
            <w:lang w:val="hu-HU"/>
          </w:rPr>
          <w:delText xml:space="preserve"> olyanra, mint amit éles</w:delText>
        </w:r>
        <w:r w:rsidR="00A91788" w:rsidRPr="00183B5F">
          <w:rPr>
            <w:lang w:val="hu-HU"/>
          </w:rPr>
          <w:delText>/szúró</w:delText>
        </w:r>
        <w:r w:rsidRPr="00183B5F">
          <w:rPr>
            <w:lang w:val="hu-HU"/>
          </w:rPr>
          <w:delText xml:space="preserve"> eszközök</w:delText>
        </w:r>
        <w:r w:rsidR="003C4D80" w:rsidRPr="00183B5F">
          <w:rPr>
            <w:lang w:val="hu-HU"/>
          </w:rPr>
          <w:delText xml:space="preserve"> esetében </w:delText>
        </w:r>
        <w:r w:rsidRPr="00183B5F">
          <w:rPr>
            <w:lang w:val="hu-HU"/>
          </w:rPr>
          <w:delText xml:space="preserve">használnak, vagy </w:delText>
        </w:r>
        <w:r w:rsidR="000A62BD" w:rsidRPr="00183B5F">
          <w:rPr>
            <w:lang w:val="hu-HU"/>
          </w:rPr>
          <w:delText>amilyet</w:delText>
        </w:r>
        <w:r w:rsidRPr="00183B5F">
          <w:rPr>
            <w:lang w:val="hu-HU"/>
          </w:rPr>
          <w:delText xml:space="preserve"> a nővér, az orvos vagy a gyógyszerész</w:delText>
        </w:r>
        <w:r w:rsidR="00795728" w:rsidRPr="00183B5F">
          <w:rPr>
            <w:lang w:val="hu-HU"/>
          </w:rPr>
          <w:delText xml:space="preserve"> tanácsol</w:delText>
        </w:r>
        <w:r w:rsidR="00A23B88" w:rsidRPr="00183B5F">
          <w:rPr>
            <w:lang w:val="hu-HU"/>
          </w:rPr>
          <w:delText xml:space="preserve">. Helyezze a </w:delText>
        </w:r>
        <w:r w:rsidR="003C4D80" w:rsidRPr="00183B5F">
          <w:rPr>
            <w:lang w:val="hu-HU"/>
          </w:rPr>
          <w:delText>gyűjtőedényt</w:delText>
        </w:r>
        <w:r w:rsidR="00A23B88" w:rsidRPr="00183B5F">
          <w:rPr>
            <w:lang w:val="hu-HU"/>
          </w:rPr>
          <w:delText xml:space="preserve"> az Ön által használt munkafelületre.</w:delText>
        </w:r>
      </w:del>
    </w:p>
    <w:p w14:paraId="4846FD14" w14:textId="32132F9E" w:rsidR="00F145C8" w:rsidRPr="00183B5F" w:rsidRDefault="00F145C8" w:rsidP="004062FE">
      <w:pPr>
        <w:pStyle w:val="EMEANormal"/>
        <w:rPr>
          <w:del w:id="10286" w:author="AbbVie_HU_03" w:date="2025-05-14T16:39:00Z"/>
          <w:lang w:val="hu-HU"/>
        </w:rPr>
      </w:pPr>
    </w:p>
    <w:p w14:paraId="6667B8A9" w14:textId="6C3F6953" w:rsidR="009848E0" w:rsidRPr="00183B5F" w:rsidRDefault="00943743" w:rsidP="004062FE">
      <w:pPr>
        <w:pStyle w:val="EMEABullet2"/>
        <w:numPr>
          <w:ilvl w:val="0"/>
          <w:numId w:val="89"/>
        </w:numPr>
        <w:tabs>
          <w:tab w:val="clear" w:pos="567"/>
          <w:tab w:val="clear" w:pos="1134"/>
        </w:tabs>
        <w:ind w:left="550" w:hanging="550"/>
        <w:rPr>
          <w:del w:id="10287" w:author="AbbVie_HU_03" w:date="2025-05-14T16:39:00Z"/>
          <w:lang w:val="hu-HU"/>
        </w:rPr>
      </w:pPr>
      <w:del w:id="10288" w:author="AbbVie_HU_03" w:date="2025-05-14T16:39:00Z">
        <w:r w:rsidRPr="00183B5F">
          <w:rPr>
            <w:lang w:val="hu-HU"/>
          </w:rPr>
          <w:delText>Alaposan mosson kezet.</w:delText>
        </w:r>
      </w:del>
    </w:p>
    <w:p w14:paraId="342427C7" w14:textId="57B88E16" w:rsidR="009848E0" w:rsidRPr="00183B5F" w:rsidRDefault="009848E0">
      <w:pPr>
        <w:pStyle w:val="EMEANormal"/>
        <w:rPr>
          <w:del w:id="10289" w:author="AbbVie_HU_03" w:date="2025-05-14T16:39:00Z"/>
          <w:lang w:val="hu-HU"/>
        </w:rPr>
      </w:pPr>
    </w:p>
    <w:p w14:paraId="6A16C4D9" w14:textId="5E496310" w:rsidR="00A23B88" w:rsidRPr="00183B5F" w:rsidRDefault="00943743">
      <w:pPr>
        <w:pStyle w:val="EMEABullet2"/>
        <w:tabs>
          <w:tab w:val="clear" w:pos="567"/>
          <w:tab w:val="clear" w:pos="720"/>
        </w:tabs>
        <w:ind w:left="576" w:hanging="576"/>
        <w:rPr>
          <w:del w:id="10290" w:author="AbbVie_HU_03" w:date="2025-05-14T16:39:00Z"/>
          <w:lang w:val="hu-HU"/>
        </w:rPr>
      </w:pPr>
      <w:del w:id="10291" w:author="AbbVie_HU_03" w:date="2025-05-14T16:39:00Z">
        <w:r w:rsidRPr="00183B5F">
          <w:rPr>
            <w:lang w:val="hu-HU"/>
          </w:rPr>
          <w:delText xml:space="preserve">A csomagolásból vegyen ki egy dobozt, amely egy fecskendőt, egy </w:delText>
        </w:r>
        <w:r w:rsidR="00A94BFD" w:rsidRPr="00183B5F">
          <w:rPr>
            <w:lang w:val="hu-HU"/>
          </w:rPr>
          <w:delText xml:space="preserve">injekciós üveg adaptert, egy injekciós üveget, két alkoholos törlőkendőt és egy tűt tartalmaz. Ha egy második doboz is van a csomagolásban egy későbbi injekcióhoz, </w:delText>
        </w:r>
        <w:r w:rsidR="004259E8" w:rsidRPr="00183B5F">
          <w:rPr>
            <w:lang w:val="hu-HU"/>
          </w:rPr>
          <w:delText xml:space="preserve">azt azonnal </w:delText>
        </w:r>
        <w:r w:rsidR="00A94BFD" w:rsidRPr="00183B5F">
          <w:rPr>
            <w:lang w:val="hu-HU"/>
          </w:rPr>
          <w:delText>helyezze vissza a hűtőszekrénybe.</w:delText>
        </w:r>
      </w:del>
    </w:p>
    <w:p w14:paraId="068AA495" w14:textId="406A44F7" w:rsidR="00A94BFD" w:rsidRPr="00183B5F" w:rsidRDefault="00A94BFD">
      <w:pPr>
        <w:pStyle w:val="EMEANormal"/>
        <w:rPr>
          <w:del w:id="10292" w:author="AbbVie_HU_03" w:date="2025-05-14T16:39:00Z"/>
          <w:lang w:val="hu-HU"/>
        </w:rPr>
      </w:pPr>
    </w:p>
    <w:p w14:paraId="0FD8A340" w14:textId="2D916253" w:rsidR="000129AB" w:rsidRPr="00183B5F" w:rsidRDefault="00943743">
      <w:pPr>
        <w:pStyle w:val="EMEABullet2"/>
        <w:tabs>
          <w:tab w:val="clear" w:pos="567"/>
          <w:tab w:val="clear" w:pos="720"/>
          <w:tab w:val="num" w:pos="-2200"/>
        </w:tabs>
        <w:ind w:left="550" w:hanging="550"/>
        <w:rPr>
          <w:del w:id="10293" w:author="AbbVie_HU_03" w:date="2025-05-14T16:39:00Z"/>
          <w:lang w:val="hu-HU"/>
        </w:rPr>
      </w:pPr>
      <w:del w:id="10294" w:author="AbbVie_HU_03" w:date="2025-05-14T16:39:00Z">
        <w:r w:rsidRPr="00183B5F">
          <w:rPr>
            <w:lang w:val="hu-HU"/>
          </w:rPr>
          <w:delText>Nézze meg a lejárati időt a</w:delText>
        </w:r>
        <w:r w:rsidR="00D812A8" w:rsidRPr="00183B5F">
          <w:rPr>
            <w:lang w:val="hu-HU"/>
          </w:rPr>
          <w:delText xml:space="preserve"> felhasználandó dobozon. </w:delText>
        </w:r>
        <w:r w:rsidR="00D812A8" w:rsidRPr="00183B5F">
          <w:rPr>
            <w:b/>
            <w:lang w:val="hu-HU"/>
          </w:rPr>
          <w:delText>NE HASZNÁLJON</w:delText>
        </w:r>
        <w:r w:rsidR="00D812A8" w:rsidRPr="00183B5F">
          <w:rPr>
            <w:lang w:val="hu-HU"/>
          </w:rPr>
          <w:delText xml:space="preserve"> </w:delText>
        </w:r>
        <w:r w:rsidR="00D812A8" w:rsidRPr="00183B5F">
          <w:rPr>
            <w:b/>
            <w:lang w:val="hu-HU"/>
          </w:rPr>
          <w:delText xml:space="preserve">FEL </w:delText>
        </w:r>
        <w:r w:rsidR="00D812A8" w:rsidRPr="00183B5F">
          <w:rPr>
            <w:lang w:val="hu-HU"/>
          </w:rPr>
          <w:delText xml:space="preserve">semmilyen </w:delText>
        </w:r>
        <w:r w:rsidR="007B7B6A" w:rsidRPr="00183B5F">
          <w:rPr>
            <w:lang w:val="hu-HU"/>
          </w:rPr>
          <w:delText>eszközt</w:delText>
        </w:r>
        <w:r w:rsidR="00D812A8" w:rsidRPr="00183B5F">
          <w:rPr>
            <w:lang w:val="hu-HU"/>
          </w:rPr>
          <w:delText xml:space="preserve"> a dobozon látható lejárati idő után</w:delText>
        </w:r>
        <w:r w:rsidRPr="00183B5F">
          <w:rPr>
            <w:lang w:val="hu-HU"/>
          </w:rPr>
          <w:delText>!</w:delText>
        </w:r>
      </w:del>
    </w:p>
    <w:p w14:paraId="04FB8DCB" w14:textId="3D75CDD0" w:rsidR="009848E0" w:rsidRPr="00183B5F" w:rsidRDefault="009848E0">
      <w:pPr>
        <w:pStyle w:val="EMEABullet2"/>
        <w:numPr>
          <w:ilvl w:val="0"/>
          <w:numId w:val="0"/>
        </w:numPr>
        <w:tabs>
          <w:tab w:val="clear" w:pos="567"/>
        </w:tabs>
        <w:rPr>
          <w:del w:id="10295" w:author="AbbVie_HU_03" w:date="2025-05-14T16:39:00Z"/>
          <w:lang w:val="hu-HU"/>
        </w:rPr>
      </w:pPr>
    </w:p>
    <w:p w14:paraId="417B596C" w14:textId="2F782960" w:rsidR="0015487B" w:rsidRPr="00183B5F" w:rsidRDefault="00943743">
      <w:pPr>
        <w:pStyle w:val="EMEABullet2"/>
        <w:tabs>
          <w:tab w:val="clear" w:pos="567"/>
          <w:tab w:val="clear" w:pos="720"/>
          <w:tab w:val="num" w:pos="550"/>
          <w:tab w:val="num" w:pos="690"/>
        </w:tabs>
        <w:ind w:left="550" w:hanging="550"/>
        <w:rPr>
          <w:del w:id="10296" w:author="AbbVie_HU_03" w:date="2025-05-14T16:39:00Z"/>
          <w:lang w:val="hu-HU"/>
        </w:rPr>
      </w:pPr>
      <w:del w:id="10297" w:author="AbbVie_HU_03" w:date="2025-05-14T16:39:00Z">
        <w:r w:rsidRPr="00183B5F">
          <w:rPr>
            <w:lang w:val="hu-HU"/>
          </w:rPr>
          <w:delText xml:space="preserve">Készítse elő az alábbi </w:delText>
        </w:r>
        <w:r w:rsidR="007B7B6A" w:rsidRPr="00183B5F">
          <w:rPr>
            <w:lang w:val="hu-HU"/>
          </w:rPr>
          <w:delText>eszközöket</w:delText>
        </w:r>
        <w:r w:rsidRPr="00183B5F">
          <w:rPr>
            <w:lang w:val="hu-HU"/>
          </w:rPr>
          <w:delText xml:space="preserve"> a tiszta felületre, de még </w:delText>
        </w:r>
        <w:r w:rsidRPr="00183B5F">
          <w:rPr>
            <w:b/>
            <w:lang w:val="hu-HU"/>
          </w:rPr>
          <w:delText>NE VEGYE</w:delText>
        </w:r>
        <w:r w:rsidRPr="00183B5F">
          <w:rPr>
            <w:lang w:val="hu-HU"/>
          </w:rPr>
          <w:delText xml:space="preserve"> ki azokat a csomagolásukból</w:delText>
        </w:r>
        <w:r w:rsidR="000129AB" w:rsidRPr="00183B5F">
          <w:rPr>
            <w:lang w:val="hu-HU"/>
          </w:rPr>
          <w:delText>!</w:delText>
        </w:r>
      </w:del>
    </w:p>
    <w:p w14:paraId="34225250" w14:textId="2FD805EB" w:rsidR="0015487B" w:rsidRPr="00183B5F" w:rsidRDefault="0015487B" w:rsidP="004062FE">
      <w:pPr>
        <w:spacing w:line="240" w:lineRule="auto"/>
        <w:rPr>
          <w:del w:id="10298" w:author="AbbVie_HU_03" w:date="2025-05-14T16:39:00Z"/>
        </w:rPr>
      </w:pPr>
    </w:p>
    <w:p w14:paraId="23BC84E1" w14:textId="6C5389D0" w:rsidR="009848E0" w:rsidRPr="00183B5F" w:rsidRDefault="00943743" w:rsidP="004062FE">
      <w:pPr>
        <w:numPr>
          <w:ilvl w:val="1"/>
          <w:numId w:val="81"/>
        </w:numPr>
        <w:tabs>
          <w:tab w:val="clear" w:pos="2520"/>
        </w:tabs>
        <w:spacing w:line="240" w:lineRule="auto"/>
        <w:ind w:left="1134" w:hanging="567"/>
        <w:rPr>
          <w:del w:id="10299" w:author="AbbVie_HU_03" w:date="2025-05-14T16:39:00Z"/>
        </w:rPr>
      </w:pPr>
      <w:del w:id="10300" w:author="AbbVie_HU_03" w:date="2025-05-14T16:39:00Z">
        <w:r w:rsidRPr="00183B5F">
          <w:delText>egy 1</w:delText>
        </w:r>
        <w:r w:rsidR="002A2571" w:rsidRPr="00183B5F">
          <w:delText> </w:delText>
        </w:r>
        <w:r w:rsidRPr="00183B5F">
          <w:delText xml:space="preserve">ml-es </w:delText>
        </w:r>
        <w:r w:rsidR="00BC7AC8" w:rsidRPr="00183B5F">
          <w:delText>fecskendő</w:delText>
        </w:r>
        <w:r w:rsidRPr="00183B5F">
          <w:delText xml:space="preserve"> (1) </w:delText>
        </w:r>
      </w:del>
    </w:p>
    <w:p w14:paraId="12427FF6" w14:textId="74685997" w:rsidR="009848E0" w:rsidRPr="00183B5F" w:rsidRDefault="00943743" w:rsidP="004062FE">
      <w:pPr>
        <w:numPr>
          <w:ilvl w:val="1"/>
          <w:numId w:val="81"/>
        </w:numPr>
        <w:tabs>
          <w:tab w:val="clear" w:pos="2520"/>
        </w:tabs>
        <w:spacing w:line="240" w:lineRule="auto"/>
        <w:ind w:left="1134" w:hanging="567"/>
        <w:rPr>
          <w:del w:id="10301" w:author="AbbVie_HU_03" w:date="2025-05-14T16:39:00Z"/>
        </w:rPr>
      </w:pPr>
      <w:del w:id="10302" w:author="AbbVie_HU_03" w:date="2025-05-14T16:39:00Z">
        <w:r w:rsidRPr="00183B5F">
          <w:delText xml:space="preserve">egy injekciós üveg adapter (2) </w:delText>
        </w:r>
      </w:del>
    </w:p>
    <w:p w14:paraId="1C33BA24" w14:textId="008D4AA5" w:rsidR="009848E0" w:rsidRPr="00183B5F" w:rsidRDefault="00943743" w:rsidP="004062FE">
      <w:pPr>
        <w:numPr>
          <w:ilvl w:val="1"/>
          <w:numId w:val="81"/>
        </w:numPr>
        <w:tabs>
          <w:tab w:val="clear" w:pos="2520"/>
        </w:tabs>
        <w:spacing w:line="240" w:lineRule="auto"/>
        <w:ind w:left="1134" w:hanging="567"/>
        <w:rPr>
          <w:del w:id="10303" w:author="AbbVie_HU_03" w:date="2025-05-14T16:39:00Z"/>
        </w:rPr>
      </w:pPr>
      <w:del w:id="10304" w:author="AbbVie_HU_03" w:date="2025-05-14T16:39:00Z">
        <w:r w:rsidRPr="00183B5F">
          <w:delText xml:space="preserve">egy </w:delText>
        </w:r>
        <w:r w:rsidR="00EC6235" w:rsidRPr="00183B5F">
          <w:delText>injekciós üveg Humira oldatos injekció gyermek</w:delText>
        </w:r>
        <w:r w:rsidR="00DA6707" w:rsidRPr="00183B5F">
          <w:delText>gyógyászati alkalmazásra</w:delText>
        </w:r>
        <w:r w:rsidRPr="00183B5F">
          <w:delText xml:space="preserve"> (3)</w:delText>
        </w:r>
      </w:del>
    </w:p>
    <w:p w14:paraId="0778AC48" w14:textId="7A241129" w:rsidR="009848E0" w:rsidRPr="00183B5F" w:rsidRDefault="00943743" w:rsidP="004062FE">
      <w:pPr>
        <w:numPr>
          <w:ilvl w:val="1"/>
          <w:numId w:val="81"/>
        </w:numPr>
        <w:tabs>
          <w:tab w:val="clear" w:pos="2520"/>
        </w:tabs>
        <w:spacing w:line="240" w:lineRule="auto"/>
        <w:ind w:left="1134" w:hanging="567"/>
        <w:rPr>
          <w:del w:id="10305" w:author="AbbVie_HU_03" w:date="2025-05-14T16:39:00Z"/>
        </w:rPr>
      </w:pPr>
      <w:del w:id="10306" w:author="AbbVie_HU_03" w:date="2025-05-14T16:39:00Z">
        <w:r w:rsidRPr="00183B5F">
          <w:delText>két alkoholos törlőkendő (4)</w:delText>
        </w:r>
      </w:del>
    </w:p>
    <w:p w14:paraId="3B75F849" w14:textId="00136761" w:rsidR="009848E0" w:rsidRPr="00183B5F" w:rsidRDefault="00943743" w:rsidP="004062FE">
      <w:pPr>
        <w:numPr>
          <w:ilvl w:val="1"/>
          <w:numId w:val="81"/>
        </w:numPr>
        <w:tabs>
          <w:tab w:val="clear" w:pos="2520"/>
        </w:tabs>
        <w:spacing w:line="240" w:lineRule="auto"/>
        <w:ind w:left="1134" w:hanging="567"/>
        <w:rPr>
          <w:del w:id="10307" w:author="AbbVie_HU_03" w:date="2025-05-14T16:39:00Z"/>
        </w:rPr>
      </w:pPr>
      <w:del w:id="10308" w:author="AbbVie_HU_03" w:date="2025-05-14T16:39:00Z">
        <w:r w:rsidRPr="00183B5F">
          <w:delText>egy tű (5)</w:delText>
        </w:r>
      </w:del>
    </w:p>
    <w:p w14:paraId="37C2CFDA" w14:textId="62B1646D" w:rsidR="00053821" w:rsidRPr="00183B5F" w:rsidRDefault="00943743" w:rsidP="004062FE">
      <w:pPr>
        <w:numPr>
          <w:ilvl w:val="0"/>
          <w:numId w:val="81"/>
        </w:numPr>
        <w:spacing w:line="240" w:lineRule="auto"/>
        <w:jc w:val="center"/>
        <w:rPr>
          <w:del w:id="10309" w:author="AbbVie_HU_03" w:date="2025-05-14T16:39:00Z"/>
        </w:rPr>
      </w:pPr>
      <w:del w:id="10310" w:author="AbbVie_HU_03" w:date="2025-05-14T16:39:00Z">
        <w:r w:rsidRPr="005C4B06">
          <w:rPr>
            <w:noProof/>
            <w:lang w:val="en-GB"/>
          </w:rPr>
          <w:drawing>
            <wp:inline distT="0" distB="0" distL="0" distR="0" wp14:anchorId="544C71EE" wp14:editId="13BB8F5B">
              <wp:extent cx="1932305" cy="1863090"/>
              <wp:effectExtent l="0" t="0" r="0" b="3810"/>
              <wp:docPr id="3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Kép 1"/>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932305" cy="1863090"/>
                      </a:xfrm>
                      <a:prstGeom prst="rect">
                        <a:avLst/>
                      </a:prstGeom>
                      <a:noFill/>
                      <a:ln>
                        <a:noFill/>
                      </a:ln>
                    </pic:spPr>
                  </pic:pic>
                </a:graphicData>
              </a:graphic>
            </wp:inline>
          </w:drawing>
        </w:r>
      </w:del>
    </w:p>
    <w:p w14:paraId="47ACB509" w14:textId="75EAC2BA" w:rsidR="00EC6235" w:rsidRPr="00183B5F" w:rsidRDefault="00943743">
      <w:pPr>
        <w:pStyle w:val="EMEABullet2"/>
        <w:tabs>
          <w:tab w:val="clear" w:pos="567"/>
          <w:tab w:val="clear" w:pos="720"/>
          <w:tab w:val="num" w:pos="550"/>
          <w:tab w:val="num" w:pos="690"/>
        </w:tabs>
        <w:ind w:left="550" w:hanging="440"/>
        <w:rPr>
          <w:del w:id="10311" w:author="AbbVie_HU_03" w:date="2025-05-14T16:39:00Z"/>
          <w:lang w:val="hu-HU"/>
        </w:rPr>
      </w:pPr>
      <w:del w:id="10312" w:author="AbbVie_HU_03" w:date="2025-05-14T16:39:00Z">
        <w:r w:rsidRPr="00183B5F">
          <w:rPr>
            <w:lang w:val="hu-HU"/>
          </w:rPr>
          <w:delText xml:space="preserve">A Humira tiszta és színtelen oldat. </w:delText>
        </w:r>
        <w:r w:rsidRPr="00183B5F">
          <w:rPr>
            <w:b/>
            <w:lang w:val="hu-HU"/>
          </w:rPr>
          <w:delText>NE HASZNÁLJA FEL</w:delText>
        </w:r>
        <w:r w:rsidRPr="00183B5F">
          <w:rPr>
            <w:lang w:val="hu-HU"/>
          </w:rPr>
          <w:delText>, ha a folyadék zavaros, elszíneződött</w:delText>
        </w:r>
        <w:r w:rsidR="004C7756" w:rsidRPr="00183B5F">
          <w:rPr>
            <w:lang w:val="hu-HU"/>
          </w:rPr>
          <w:delText xml:space="preserve"> vagy szemcsék, illetve részecskék vannak benne</w:delText>
        </w:r>
        <w:r w:rsidR="000129AB" w:rsidRPr="00183B5F">
          <w:rPr>
            <w:lang w:val="hu-HU"/>
          </w:rPr>
          <w:delText>!</w:delText>
        </w:r>
      </w:del>
    </w:p>
    <w:p w14:paraId="47AA081D" w14:textId="4A3D5640" w:rsidR="00767F56" w:rsidRPr="00183B5F" w:rsidRDefault="00767F56">
      <w:pPr>
        <w:pStyle w:val="EMEANormal"/>
        <w:rPr>
          <w:del w:id="10313" w:author="AbbVie_HU_03" w:date="2025-05-14T16:39:00Z"/>
          <w:lang w:val="hu-HU"/>
        </w:rPr>
      </w:pPr>
    </w:p>
    <w:p w14:paraId="61062550" w14:textId="0513C67A" w:rsidR="004C7756" w:rsidRPr="00183B5F" w:rsidRDefault="00943743" w:rsidP="004062FE">
      <w:pPr>
        <w:spacing w:line="240" w:lineRule="auto"/>
        <w:rPr>
          <w:del w:id="10314" w:author="AbbVie_HU_03" w:date="2025-05-14T16:39:00Z"/>
          <w:b/>
        </w:rPr>
      </w:pPr>
      <w:del w:id="10315" w:author="AbbVie_HU_03" w:date="2025-05-14T16:39:00Z">
        <w:r w:rsidRPr="00183B5F">
          <w:rPr>
            <w:b/>
          </w:rPr>
          <w:delText xml:space="preserve">2) </w:delText>
        </w:r>
        <w:r w:rsidRPr="00183B5F">
          <w:rPr>
            <w:b/>
          </w:rPr>
          <w:tab/>
          <w:delText>A Humira injekció beadásra történő előkészítése</w:delText>
        </w:r>
      </w:del>
    </w:p>
    <w:p w14:paraId="43D253AA" w14:textId="62B1F2EF" w:rsidR="00767F56" w:rsidRPr="00183B5F" w:rsidRDefault="00767F56">
      <w:pPr>
        <w:pStyle w:val="EMEANormal"/>
        <w:ind w:left="550"/>
        <w:rPr>
          <w:del w:id="10316" w:author="AbbVie_HU_03" w:date="2025-05-14T16:39:00Z"/>
          <w:lang w:val="hu-HU"/>
        </w:rPr>
      </w:pPr>
    </w:p>
    <w:p w14:paraId="76E08648" w14:textId="69520F48" w:rsidR="004C7756" w:rsidRPr="00183B5F" w:rsidRDefault="00943743">
      <w:pPr>
        <w:pStyle w:val="EMEANormal"/>
        <w:ind w:left="550"/>
        <w:rPr>
          <w:del w:id="10317" w:author="AbbVie_HU_03" w:date="2025-05-14T16:39:00Z"/>
          <w:lang w:val="hu-HU"/>
        </w:rPr>
      </w:pPr>
      <w:del w:id="10318" w:author="AbbVie_HU_03" w:date="2025-05-14T16:39:00Z">
        <w:r w:rsidRPr="00183B5F">
          <w:rPr>
            <w:lang w:val="hu-HU"/>
          </w:rPr>
          <w:delText>Általános kezelési utasítás</w:delText>
        </w:r>
        <w:r w:rsidR="009848E0" w:rsidRPr="00183B5F">
          <w:rPr>
            <w:lang w:val="hu-HU"/>
          </w:rPr>
          <w:delText xml:space="preserve">: </w:delText>
        </w:r>
        <w:r w:rsidRPr="00183B5F">
          <w:rPr>
            <w:b/>
            <w:lang w:val="hu-HU"/>
          </w:rPr>
          <w:delText>NE DOBJON KI</w:delText>
        </w:r>
        <w:r w:rsidRPr="00183B5F">
          <w:rPr>
            <w:lang w:val="hu-HU"/>
          </w:rPr>
          <w:delText xml:space="preserve"> semmilyen </w:delText>
        </w:r>
        <w:r w:rsidR="007B7B6A" w:rsidRPr="00183B5F">
          <w:rPr>
            <w:lang w:val="hu-HU"/>
          </w:rPr>
          <w:delText>eszközt</w:delText>
        </w:r>
        <w:r w:rsidR="00C50246" w:rsidRPr="00183B5F">
          <w:rPr>
            <w:lang w:val="hu-HU"/>
          </w:rPr>
          <w:delText xml:space="preserve"> hulladékként mindaddig, ameddig az injekciót </w:delText>
        </w:r>
        <w:r w:rsidR="004259E8" w:rsidRPr="00183B5F">
          <w:rPr>
            <w:lang w:val="hu-HU"/>
          </w:rPr>
          <w:delText>be nem adta</w:delText>
        </w:r>
        <w:r w:rsidR="000129AB" w:rsidRPr="00183B5F">
          <w:rPr>
            <w:lang w:val="hu-HU"/>
          </w:rPr>
          <w:delText>!</w:delText>
        </w:r>
      </w:del>
    </w:p>
    <w:p w14:paraId="1E8C7D15" w14:textId="0C213E43" w:rsidR="009848E0" w:rsidRPr="00183B5F" w:rsidRDefault="009848E0">
      <w:pPr>
        <w:pStyle w:val="EMEANormal"/>
        <w:rPr>
          <w:del w:id="10319" w:author="AbbVie_HU_03" w:date="2025-05-14T16:39:00Z"/>
          <w:lang w:val="hu-HU"/>
        </w:rPr>
      </w:pPr>
    </w:p>
    <w:p w14:paraId="0EA74B19" w14:textId="74E601D2" w:rsidR="00C50246" w:rsidRPr="00183B5F" w:rsidRDefault="00943743">
      <w:pPr>
        <w:pStyle w:val="EMEABullet2"/>
        <w:tabs>
          <w:tab w:val="clear" w:pos="720"/>
          <w:tab w:val="num" w:pos="690"/>
        </w:tabs>
        <w:ind w:left="550" w:hanging="550"/>
        <w:rPr>
          <w:del w:id="10320" w:author="AbbVie_HU_03" w:date="2025-05-14T16:39:00Z"/>
          <w:lang w:val="hu-HU"/>
        </w:rPr>
      </w:pPr>
      <w:del w:id="10321" w:author="AbbVie_HU_03" w:date="2025-05-14T16:39:00Z">
        <w:r w:rsidRPr="00183B5F">
          <w:rPr>
            <w:lang w:val="hu-HU"/>
          </w:rPr>
          <w:delText xml:space="preserve">Készítse elő a tűt úgy, hogy a </w:delText>
        </w:r>
        <w:r w:rsidR="00592F79" w:rsidRPr="00183B5F">
          <w:rPr>
            <w:lang w:val="hu-HU"/>
          </w:rPr>
          <w:delText xml:space="preserve">csomagolás </w:delText>
        </w:r>
        <w:r w:rsidRPr="00183B5F">
          <w:rPr>
            <w:lang w:val="hu-HU"/>
          </w:rPr>
          <w:delText>sárga</w:delText>
        </w:r>
        <w:r w:rsidR="00883F9B" w:rsidRPr="00183B5F">
          <w:rPr>
            <w:lang w:val="hu-HU"/>
          </w:rPr>
          <w:delText xml:space="preserve"> fecskendő-csatlakozó</w:delText>
        </w:r>
        <w:r w:rsidRPr="00183B5F">
          <w:rPr>
            <w:lang w:val="hu-HU"/>
          </w:rPr>
          <w:delText xml:space="preserve"> </w:delText>
        </w:r>
        <w:r w:rsidR="00883F9B" w:rsidRPr="00183B5F">
          <w:rPr>
            <w:lang w:val="hu-HU"/>
          </w:rPr>
          <w:delText>(</w:delText>
        </w:r>
        <w:r w:rsidR="00E737AF" w:rsidRPr="00183B5F">
          <w:rPr>
            <w:lang w:val="hu-HU"/>
          </w:rPr>
          <w:delText>kónusz</w:delText>
        </w:r>
        <w:r w:rsidR="00883F9B" w:rsidRPr="00183B5F">
          <w:rPr>
            <w:lang w:val="hu-HU"/>
          </w:rPr>
          <w:delText>)</w:delText>
        </w:r>
        <w:r w:rsidR="00654459" w:rsidRPr="00183B5F">
          <w:rPr>
            <w:lang w:val="hu-HU"/>
          </w:rPr>
          <w:delText xml:space="preserve"> felőli végétől</w:delText>
        </w:r>
        <w:r w:rsidRPr="00183B5F">
          <w:rPr>
            <w:lang w:val="hu-HU"/>
          </w:rPr>
          <w:delText xml:space="preserve"> </w:delText>
        </w:r>
        <w:r w:rsidR="0064675D" w:rsidRPr="00183B5F">
          <w:rPr>
            <w:lang w:val="hu-HU"/>
          </w:rPr>
          <w:delText>rész</w:delText>
        </w:r>
        <w:r w:rsidR="004259E8" w:rsidRPr="00183B5F">
          <w:rPr>
            <w:lang w:val="hu-HU"/>
          </w:rPr>
          <w:delText>b</w:delText>
        </w:r>
        <w:r w:rsidR="0064675D" w:rsidRPr="00183B5F">
          <w:rPr>
            <w:lang w:val="hu-HU"/>
          </w:rPr>
          <w:delText xml:space="preserve">en </w:delText>
        </w:r>
        <w:r w:rsidR="004259E8" w:rsidRPr="00183B5F">
          <w:rPr>
            <w:lang w:val="hu-HU"/>
          </w:rPr>
          <w:delText>felnyitja a csomagolást</w:delText>
        </w:r>
        <w:r w:rsidR="00960C60" w:rsidRPr="00183B5F">
          <w:rPr>
            <w:lang w:val="hu-HU"/>
          </w:rPr>
          <w:delText xml:space="preserve">. Először csak annyira nyissa fel a csomagolást, hogy hozzáférhető legyen a sárga </w:delText>
        </w:r>
        <w:r w:rsidR="00E737AF" w:rsidRPr="00183B5F">
          <w:rPr>
            <w:lang w:val="hu-HU"/>
          </w:rPr>
          <w:delText>fecskendő-</w:delText>
        </w:r>
        <w:r w:rsidR="000E3B9C" w:rsidRPr="00183B5F">
          <w:rPr>
            <w:lang w:val="hu-HU"/>
          </w:rPr>
          <w:delText xml:space="preserve">csatlakozó </w:delText>
        </w:r>
        <w:r w:rsidR="00E737AF" w:rsidRPr="00183B5F">
          <w:rPr>
            <w:lang w:val="hu-HU"/>
          </w:rPr>
          <w:delText>(kónusz)</w:delText>
        </w:r>
        <w:r w:rsidR="00592F79" w:rsidRPr="00183B5F">
          <w:rPr>
            <w:lang w:val="hu-HU"/>
          </w:rPr>
          <w:delText>. Tegye vissza a munkafelületre a csomagolást úgy, hogy annak átlátszó oldala felfelé nézzen.</w:delText>
        </w:r>
      </w:del>
    </w:p>
    <w:p w14:paraId="42F8C7F6" w14:textId="36E0CAB4" w:rsidR="008B4CF7" w:rsidRPr="00183B5F" w:rsidRDefault="008B4CF7">
      <w:pPr>
        <w:pStyle w:val="EMEANormal"/>
        <w:rPr>
          <w:del w:id="10322" w:author="AbbVie_HU_03" w:date="2025-05-14T16:39:00Z"/>
          <w:lang w:val="hu-HU"/>
        </w:rPr>
      </w:pPr>
    </w:p>
    <w:p w14:paraId="5D1C05F4" w14:textId="6D4499EC" w:rsidR="00022C7B" w:rsidRPr="00183B5F" w:rsidRDefault="00943743">
      <w:pPr>
        <w:pStyle w:val="EMEABullet2"/>
        <w:numPr>
          <w:ilvl w:val="0"/>
          <w:numId w:val="0"/>
        </w:numPr>
        <w:jc w:val="center"/>
        <w:rPr>
          <w:del w:id="10323" w:author="AbbVie_HU_03" w:date="2025-05-14T16:39:00Z"/>
          <w:lang w:val="hu-HU"/>
        </w:rPr>
      </w:pPr>
      <w:del w:id="10324" w:author="AbbVie_HU_03" w:date="2025-05-14T16:39:00Z">
        <w:r w:rsidRPr="00183B5F">
          <w:rPr>
            <w:lang w:val="hu-HU"/>
          </w:rPr>
          <w:tab/>
        </w:r>
        <w:r w:rsidR="00E87B8D" w:rsidRPr="00183B5F">
          <w:rPr>
            <w:lang w:val="hu-HU"/>
          </w:rPr>
          <w:tab/>
        </w:r>
        <w:r w:rsidR="00834BF8" w:rsidRPr="005C4B06">
          <w:rPr>
            <w:noProof/>
            <w:lang w:val="en-GB"/>
          </w:rPr>
          <w:drawing>
            <wp:inline distT="0" distB="0" distL="0" distR="0" wp14:anchorId="1D774C02" wp14:editId="04ABBA2D">
              <wp:extent cx="1854835" cy="1854835"/>
              <wp:effectExtent l="0" t="0" r="0" b="0"/>
              <wp:docPr id="3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Kép 2"/>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1854835" cy="1854835"/>
                      </a:xfrm>
                      <a:prstGeom prst="rect">
                        <a:avLst/>
                      </a:prstGeom>
                      <a:noFill/>
                      <a:ln>
                        <a:noFill/>
                      </a:ln>
                    </pic:spPr>
                  </pic:pic>
                </a:graphicData>
              </a:graphic>
            </wp:inline>
          </w:drawing>
        </w:r>
      </w:del>
    </w:p>
    <w:p w14:paraId="171D3676" w14:textId="7BD1DFC0" w:rsidR="009848E0" w:rsidRPr="00183B5F" w:rsidRDefault="009848E0">
      <w:pPr>
        <w:pStyle w:val="EMEABullet2"/>
        <w:numPr>
          <w:ilvl w:val="0"/>
          <w:numId w:val="0"/>
        </w:numPr>
        <w:rPr>
          <w:del w:id="10325" w:author="AbbVie_HU_03" w:date="2025-05-14T16:39:00Z"/>
          <w:lang w:val="hu-HU"/>
        </w:rPr>
      </w:pPr>
    </w:p>
    <w:p w14:paraId="56BF1805" w14:textId="09ADB46C" w:rsidR="00055580" w:rsidRPr="00183B5F" w:rsidRDefault="00943743">
      <w:pPr>
        <w:pStyle w:val="EMEABullet2"/>
        <w:tabs>
          <w:tab w:val="clear" w:pos="567"/>
          <w:tab w:val="clear" w:pos="720"/>
        </w:tabs>
        <w:ind w:left="690" w:hanging="690"/>
        <w:rPr>
          <w:del w:id="10326" w:author="AbbVie_HU_03" w:date="2025-05-14T16:39:00Z"/>
          <w:lang w:val="hu-HU"/>
        </w:rPr>
      </w:pPr>
      <w:del w:id="10327" w:author="AbbVie_HU_03" w:date="2025-05-14T16:39:00Z">
        <w:r w:rsidRPr="00183B5F">
          <w:rPr>
            <w:lang w:val="hu-HU"/>
          </w:rPr>
          <w:delText>Pattintsa le az injekciós üveg fehér műanyag kupakját</w:delText>
        </w:r>
        <w:r w:rsidR="0064675D" w:rsidRPr="00183B5F">
          <w:rPr>
            <w:lang w:val="hu-HU"/>
          </w:rPr>
          <w:delText xml:space="preserve"> úgy</w:delText>
        </w:r>
        <w:r w:rsidRPr="00183B5F">
          <w:rPr>
            <w:lang w:val="hu-HU"/>
          </w:rPr>
          <w:delText>, hogy látható</w:delText>
        </w:r>
        <w:r w:rsidR="00EF67D6" w:rsidRPr="00183B5F">
          <w:rPr>
            <w:lang w:val="hu-HU"/>
          </w:rPr>
          <w:delText xml:space="preserve"> legyen az injekciós üveg dugójának teteje</w:delText>
        </w:r>
        <w:r w:rsidR="00794706" w:rsidRPr="00183B5F">
          <w:rPr>
            <w:lang w:val="hu-HU"/>
          </w:rPr>
          <w:delText>.</w:delText>
        </w:r>
      </w:del>
    </w:p>
    <w:p w14:paraId="7C0958C5" w14:textId="67EF41D6" w:rsidR="000129AB" w:rsidRPr="00183B5F" w:rsidRDefault="000129AB">
      <w:pPr>
        <w:pStyle w:val="EMEABullet2"/>
        <w:numPr>
          <w:ilvl w:val="0"/>
          <w:numId w:val="0"/>
        </w:numPr>
        <w:tabs>
          <w:tab w:val="clear" w:pos="567"/>
          <w:tab w:val="left" w:pos="2127"/>
        </w:tabs>
        <w:rPr>
          <w:del w:id="10328" w:author="AbbVie_HU_03" w:date="2025-05-14T16:39:00Z"/>
          <w:lang w:val="hu-HU"/>
        </w:rPr>
      </w:pPr>
    </w:p>
    <w:p w14:paraId="0D9F7F6C" w14:textId="318B1694" w:rsidR="00022C7B" w:rsidRPr="00183B5F" w:rsidRDefault="00943743">
      <w:pPr>
        <w:pStyle w:val="EMEABullet2"/>
        <w:numPr>
          <w:ilvl w:val="0"/>
          <w:numId w:val="0"/>
        </w:numPr>
        <w:tabs>
          <w:tab w:val="clear" w:pos="567"/>
        </w:tabs>
        <w:jc w:val="center"/>
        <w:rPr>
          <w:del w:id="10329" w:author="AbbVie_HU_03" w:date="2025-05-14T16:39:00Z"/>
          <w:lang w:val="hu-HU"/>
        </w:rPr>
      </w:pPr>
      <w:del w:id="10330" w:author="AbbVie_HU_03" w:date="2025-05-14T16:39:00Z">
        <w:r w:rsidRPr="005C4B06">
          <w:rPr>
            <w:noProof/>
            <w:lang w:val="en-GB"/>
          </w:rPr>
          <w:drawing>
            <wp:inline distT="0" distB="0" distL="0" distR="0" wp14:anchorId="4B1214D5" wp14:editId="0FB609F8">
              <wp:extent cx="1854835" cy="1837690"/>
              <wp:effectExtent l="0" t="0" r="0" b="0"/>
              <wp:docPr id="3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Kép 3"/>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1854835" cy="1837690"/>
                      </a:xfrm>
                      <a:prstGeom prst="rect">
                        <a:avLst/>
                      </a:prstGeom>
                      <a:noFill/>
                      <a:ln>
                        <a:noFill/>
                      </a:ln>
                    </pic:spPr>
                  </pic:pic>
                </a:graphicData>
              </a:graphic>
            </wp:inline>
          </w:drawing>
        </w:r>
      </w:del>
    </w:p>
    <w:p w14:paraId="3AE7FD78" w14:textId="3FEE05FB" w:rsidR="009848E0" w:rsidRPr="00183B5F" w:rsidRDefault="009848E0">
      <w:pPr>
        <w:pStyle w:val="EMEABullet2"/>
        <w:numPr>
          <w:ilvl w:val="0"/>
          <w:numId w:val="0"/>
        </w:numPr>
        <w:rPr>
          <w:del w:id="10331" w:author="AbbVie_HU_03" w:date="2025-05-14T16:39:00Z"/>
          <w:lang w:val="hu-HU"/>
        </w:rPr>
      </w:pPr>
    </w:p>
    <w:p w14:paraId="70F3B703" w14:textId="3D6BEB85" w:rsidR="00055580" w:rsidRPr="00183B5F" w:rsidRDefault="00943743">
      <w:pPr>
        <w:pStyle w:val="EMEABullet2"/>
        <w:tabs>
          <w:tab w:val="clear" w:pos="567"/>
          <w:tab w:val="clear" w:pos="720"/>
        </w:tabs>
        <w:ind w:left="636" w:hanging="526"/>
        <w:rPr>
          <w:del w:id="10332" w:author="AbbVie_HU_03" w:date="2025-05-14T16:39:00Z"/>
          <w:lang w:val="hu-HU"/>
        </w:rPr>
      </w:pPr>
      <w:del w:id="10333" w:author="AbbVie_HU_03" w:date="2025-05-14T16:39:00Z">
        <w:r w:rsidRPr="00183B5F">
          <w:rPr>
            <w:lang w:val="hu-HU"/>
          </w:rPr>
          <w:delText>Az egyik alkoholos törlőkendővel törölje le az injekciós üveg dugóját.</w:delText>
        </w:r>
        <w:r w:rsidR="00947E9A" w:rsidRPr="00183B5F">
          <w:rPr>
            <w:lang w:val="hu-HU"/>
          </w:rPr>
          <w:delText xml:space="preserve"> </w:delText>
        </w:r>
        <w:r w:rsidR="00947E9A" w:rsidRPr="00183B5F">
          <w:rPr>
            <w:b/>
            <w:lang w:val="hu-HU"/>
          </w:rPr>
          <w:delText xml:space="preserve">NE </w:delText>
        </w:r>
        <w:r w:rsidR="00EF67D6" w:rsidRPr="00183B5F">
          <w:rPr>
            <w:lang w:val="hu-HU"/>
          </w:rPr>
          <w:delText>érintse meg</w:delText>
        </w:r>
        <w:r w:rsidR="00947E9A" w:rsidRPr="00183B5F">
          <w:rPr>
            <w:lang w:val="hu-HU"/>
          </w:rPr>
          <w:delText xml:space="preserve"> az injekciós üveg dugóját, miután letörölte </w:delText>
        </w:r>
        <w:r w:rsidR="00CD0C7F" w:rsidRPr="00183B5F">
          <w:rPr>
            <w:lang w:val="hu-HU"/>
          </w:rPr>
          <w:delText xml:space="preserve">azt </w:delText>
        </w:r>
        <w:r w:rsidR="00947E9A" w:rsidRPr="00183B5F">
          <w:rPr>
            <w:lang w:val="hu-HU"/>
          </w:rPr>
          <w:delText>az alkoholos kendővel</w:delText>
        </w:r>
        <w:r w:rsidR="000129AB" w:rsidRPr="00183B5F">
          <w:rPr>
            <w:lang w:val="hu-HU"/>
          </w:rPr>
          <w:delText>!</w:delText>
        </w:r>
      </w:del>
    </w:p>
    <w:p w14:paraId="50C0E6CC" w14:textId="703715D8" w:rsidR="009848E0" w:rsidRPr="00183B5F" w:rsidRDefault="009848E0">
      <w:pPr>
        <w:pStyle w:val="EMEANormal"/>
        <w:rPr>
          <w:del w:id="10334" w:author="AbbVie_HU_03" w:date="2025-05-14T16:39:00Z"/>
          <w:lang w:val="hu-HU"/>
        </w:rPr>
      </w:pPr>
    </w:p>
    <w:p w14:paraId="136311EE" w14:textId="1A407202" w:rsidR="00947E9A" w:rsidRPr="00183B5F" w:rsidRDefault="00943743">
      <w:pPr>
        <w:pStyle w:val="EMEABullet2"/>
        <w:tabs>
          <w:tab w:val="clear" w:pos="567"/>
          <w:tab w:val="clear" w:pos="720"/>
        </w:tabs>
        <w:ind w:left="636" w:hanging="526"/>
        <w:rPr>
          <w:del w:id="10335" w:author="AbbVie_HU_03" w:date="2025-05-14T16:39:00Z"/>
          <w:lang w:val="hu-HU"/>
        </w:rPr>
      </w:pPr>
      <w:del w:id="10336" w:author="AbbVie_HU_03" w:date="2025-05-14T16:39:00Z">
        <w:r w:rsidRPr="00183B5F">
          <w:rPr>
            <w:lang w:val="hu-HU"/>
          </w:rPr>
          <w:delText xml:space="preserve">Húzza </w:delText>
        </w:r>
        <w:r w:rsidR="0064675D" w:rsidRPr="00183B5F">
          <w:rPr>
            <w:lang w:val="hu-HU"/>
          </w:rPr>
          <w:delText>le</w:delText>
        </w:r>
        <w:r w:rsidRPr="00183B5F">
          <w:rPr>
            <w:lang w:val="hu-HU"/>
          </w:rPr>
          <w:delText xml:space="preserve"> az injekciós üveg adapter védőlapját, de ne vegye ki az adaptert.</w:delText>
        </w:r>
      </w:del>
    </w:p>
    <w:p w14:paraId="5AB38790" w14:textId="1FB5CED8" w:rsidR="00022C7B" w:rsidRPr="00183B5F" w:rsidRDefault="00943743">
      <w:pPr>
        <w:pStyle w:val="EMEABullet2"/>
        <w:numPr>
          <w:ilvl w:val="0"/>
          <w:numId w:val="0"/>
        </w:numPr>
        <w:rPr>
          <w:del w:id="10337" w:author="AbbVie_HU_03" w:date="2025-05-14T16:39:00Z"/>
          <w:lang w:val="hu-HU"/>
        </w:rPr>
      </w:pPr>
      <w:del w:id="10338" w:author="AbbVie_HU_03" w:date="2025-05-14T16:39:00Z">
        <w:r w:rsidRPr="00183B5F">
          <w:rPr>
            <w:lang w:val="hu-HU"/>
          </w:rPr>
          <w:tab/>
        </w:r>
      </w:del>
    </w:p>
    <w:p w14:paraId="346490AE" w14:textId="5EA6A051" w:rsidR="00022C7B" w:rsidRPr="00183B5F" w:rsidRDefault="00943743">
      <w:pPr>
        <w:pStyle w:val="EMEABullet2"/>
        <w:numPr>
          <w:ilvl w:val="0"/>
          <w:numId w:val="0"/>
        </w:numPr>
        <w:jc w:val="center"/>
        <w:rPr>
          <w:del w:id="10339" w:author="AbbVie_HU_03" w:date="2025-05-14T16:39:00Z"/>
          <w:lang w:val="hu-HU"/>
        </w:rPr>
      </w:pPr>
      <w:del w:id="10340" w:author="AbbVie_HU_03" w:date="2025-05-14T16:39:00Z">
        <w:r w:rsidRPr="005C4B06">
          <w:rPr>
            <w:noProof/>
            <w:lang w:val="en-GB"/>
          </w:rPr>
          <w:drawing>
            <wp:inline distT="0" distB="0" distL="0" distR="0" wp14:anchorId="55A939B9" wp14:editId="581844C0">
              <wp:extent cx="1819910" cy="1819910"/>
              <wp:effectExtent l="0" t="0" r="8890" b="8890"/>
              <wp:docPr id="3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Kép 4"/>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1819910" cy="1819910"/>
                      </a:xfrm>
                      <a:prstGeom prst="rect">
                        <a:avLst/>
                      </a:prstGeom>
                      <a:noFill/>
                      <a:ln>
                        <a:noFill/>
                      </a:ln>
                    </pic:spPr>
                  </pic:pic>
                </a:graphicData>
              </a:graphic>
            </wp:inline>
          </w:drawing>
        </w:r>
      </w:del>
    </w:p>
    <w:p w14:paraId="110F363C" w14:textId="3961304C" w:rsidR="009848E0" w:rsidRPr="00183B5F" w:rsidRDefault="009848E0">
      <w:pPr>
        <w:pStyle w:val="EMEABullet2"/>
        <w:numPr>
          <w:ilvl w:val="0"/>
          <w:numId w:val="0"/>
        </w:numPr>
        <w:ind w:left="-30"/>
        <w:rPr>
          <w:del w:id="10341" w:author="AbbVie_HU_03" w:date="2025-05-14T16:39:00Z"/>
          <w:lang w:val="hu-HU"/>
        </w:rPr>
      </w:pPr>
    </w:p>
    <w:p w14:paraId="0FA0592B" w14:textId="68B3816E" w:rsidR="00947E9A" w:rsidRPr="00183B5F" w:rsidRDefault="00943743">
      <w:pPr>
        <w:pStyle w:val="EMEANormal"/>
        <w:numPr>
          <w:ilvl w:val="0"/>
          <w:numId w:val="82"/>
        </w:numPr>
        <w:rPr>
          <w:del w:id="10342" w:author="AbbVie_HU_03" w:date="2025-05-14T16:39:00Z"/>
          <w:lang w:val="hu-HU"/>
        </w:rPr>
      </w:pPr>
      <w:del w:id="10343" w:author="AbbVie_HU_03" w:date="2025-05-14T16:39:00Z">
        <w:r w:rsidRPr="00183B5F">
          <w:rPr>
            <w:lang w:val="hu-HU"/>
          </w:rPr>
          <w:delText>Tartsa az injekciós üveget a dugóval felfelé</w:delText>
        </w:r>
        <w:r w:rsidR="00EF67D6" w:rsidRPr="00183B5F">
          <w:rPr>
            <w:lang w:val="hu-HU"/>
          </w:rPr>
          <w:delText>.</w:delText>
        </w:r>
      </w:del>
    </w:p>
    <w:p w14:paraId="15897109" w14:textId="49793EF0" w:rsidR="009848E0" w:rsidRPr="00183B5F" w:rsidRDefault="009848E0">
      <w:pPr>
        <w:pStyle w:val="EMEANormal"/>
        <w:ind w:left="330"/>
        <w:rPr>
          <w:del w:id="10344" w:author="AbbVie_HU_03" w:date="2025-05-14T16:39:00Z"/>
          <w:lang w:val="hu-HU"/>
        </w:rPr>
      </w:pPr>
    </w:p>
    <w:p w14:paraId="54C21267" w14:textId="067D2275" w:rsidR="00CD0C7F" w:rsidRPr="00183B5F" w:rsidRDefault="00943743">
      <w:pPr>
        <w:pStyle w:val="EMEANormal"/>
        <w:numPr>
          <w:ilvl w:val="0"/>
          <w:numId w:val="82"/>
        </w:numPr>
        <w:rPr>
          <w:del w:id="10345" w:author="AbbVie_HU_03" w:date="2025-05-14T16:39:00Z"/>
          <w:lang w:val="hu-HU"/>
        </w:rPr>
      </w:pPr>
      <w:del w:id="10346" w:author="AbbVie_HU_03" w:date="2025-05-14T16:39:00Z">
        <w:r w:rsidRPr="00183B5F">
          <w:rPr>
            <w:lang w:val="hu-HU"/>
          </w:rPr>
          <w:delText>Mialatt az adapter még az átlátszó csomagolásban van, illessze azt az injekciós üveg dugójához úgy, hogy</w:delText>
        </w:r>
        <w:r w:rsidR="00F4069E" w:rsidRPr="00183B5F">
          <w:rPr>
            <w:lang w:val="hu-HU"/>
          </w:rPr>
          <w:delText xml:space="preserve"> lefelé nyomja mindaddig, amíg az adapter a helyére nem pattan.</w:delText>
        </w:r>
      </w:del>
    </w:p>
    <w:p w14:paraId="3448D2BC" w14:textId="099F8CD8" w:rsidR="009848E0" w:rsidRPr="00183B5F" w:rsidRDefault="009848E0">
      <w:pPr>
        <w:pStyle w:val="EMEANormal"/>
        <w:ind w:left="330"/>
        <w:rPr>
          <w:del w:id="10347" w:author="AbbVie_HU_03" w:date="2025-05-14T16:39:00Z"/>
          <w:lang w:val="hu-HU"/>
        </w:rPr>
      </w:pPr>
    </w:p>
    <w:p w14:paraId="68C93D8D" w14:textId="02FA08C5" w:rsidR="00F4069E" w:rsidRPr="00183B5F" w:rsidRDefault="00943743">
      <w:pPr>
        <w:pStyle w:val="EMEANormal"/>
        <w:numPr>
          <w:ilvl w:val="0"/>
          <w:numId w:val="82"/>
        </w:numPr>
        <w:rPr>
          <w:del w:id="10348" w:author="AbbVie_HU_03" w:date="2025-05-14T16:39:00Z"/>
          <w:lang w:val="hu-HU"/>
        </w:rPr>
      </w:pPr>
      <w:del w:id="10349" w:author="AbbVie_HU_03" w:date="2025-05-14T16:39:00Z">
        <w:r w:rsidRPr="00183B5F">
          <w:rPr>
            <w:lang w:val="hu-HU"/>
          </w:rPr>
          <w:delText>Amikor megbizonyosodott arról, hogy az adapter csatlakozik az injekciós üveghez</w:delText>
        </w:r>
        <w:r w:rsidR="00B81978" w:rsidRPr="00183B5F">
          <w:rPr>
            <w:lang w:val="hu-HU"/>
          </w:rPr>
          <w:delText>, húzza le a csomagolást az adapterről.</w:delText>
        </w:r>
      </w:del>
    </w:p>
    <w:p w14:paraId="0B4B4077" w14:textId="4D2F1ABF" w:rsidR="009848E0" w:rsidRPr="00183B5F" w:rsidRDefault="009848E0">
      <w:pPr>
        <w:pStyle w:val="EMEANormal"/>
        <w:rPr>
          <w:del w:id="10350" w:author="AbbVie_HU_03" w:date="2025-05-14T16:39:00Z"/>
          <w:lang w:val="hu-HU"/>
        </w:rPr>
      </w:pPr>
    </w:p>
    <w:p w14:paraId="60F4BA78" w14:textId="7F106BA0" w:rsidR="00B81978" w:rsidRPr="00183B5F" w:rsidRDefault="00943743">
      <w:pPr>
        <w:pStyle w:val="EMEANormal"/>
        <w:numPr>
          <w:ilvl w:val="0"/>
          <w:numId w:val="82"/>
        </w:numPr>
        <w:rPr>
          <w:del w:id="10351" w:author="AbbVie_HU_03" w:date="2025-05-14T16:39:00Z"/>
          <w:lang w:val="hu-HU"/>
        </w:rPr>
      </w:pPr>
      <w:del w:id="10352" w:author="AbbVie_HU_03" w:date="2025-05-14T16:39:00Z">
        <w:r w:rsidRPr="00183B5F">
          <w:rPr>
            <w:lang w:val="hu-HU"/>
          </w:rPr>
          <w:delText xml:space="preserve">Finoman helyezze az adapterrel ellátott injekciós üveget a tiszta munkafelületre. Vigyázzon arra, hogy ne boruljon fel. </w:delText>
        </w:r>
        <w:r w:rsidRPr="00183B5F">
          <w:rPr>
            <w:b/>
            <w:lang w:val="hu-HU"/>
          </w:rPr>
          <w:delText xml:space="preserve">NE </w:delText>
        </w:r>
        <w:r w:rsidR="00EF67D6" w:rsidRPr="00183B5F">
          <w:rPr>
            <w:lang w:val="hu-HU"/>
          </w:rPr>
          <w:delText>érintse meg</w:delText>
        </w:r>
        <w:r w:rsidRPr="00183B5F">
          <w:rPr>
            <w:lang w:val="hu-HU"/>
          </w:rPr>
          <w:delText xml:space="preserve"> az adaptert</w:delText>
        </w:r>
        <w:r w:rsidR="000129AB" w:rsidRPr="00183B5F">
          <w:rPr>
            <w:lang w:val="hu-HU"/>
          </w:rPr>
          <w:delText>!</w:delText>
        </w:r>
      </w:del>
    </w:p>
    <w:p w14:paraId="27A27200" w14:textId="33FDC70C" w:rsidR="009848E0" w:rsidRPr="00183B5F" w:rsidRDefault="009848E0">
      <w:pPr>
        <w:pStyle w:val="EMEANormal"/>
        <w:ind w:left="330"/>
        <w:rPr>
          <w:del w:id="10353" w:author="AbbVie_HU_03" w:date="2025-05-14T16:39:00Z"/>
          <w:lang w:val="hu-HU"/>
        </w:rPr>
      </w:pPr>
    </w:p>
    <w:p w14:paraId="1DFC2CC3" w14:textId="7B38E9F7" w:rsidR="00022C7B" w:rsidRPr="00183B5F" w:rsidRDefault="00943743">
      <w:pPr>
        <w:pStyle w:val="EMEANormal"/>
        <w:jc w:val="center"/>
        <w:rPr>
          <w:del w:id="10354" w:author="AbbVie_HU_03" w:date="2025-05-14T16:39:00Z"/>
          <w:lang w:val="hu-HU"/>
        </w:rPr>
      </w:pPr>
      <w:del w:id="10355" w:author="AbbVie_HU_03" w:date="2025-05-14T16:39:00Z">
        <w:r w:rsidRPr="005C4B06">
          <w:rPr>
            <w:noProof/>
            <w:lang w:val="en-GB"/>
          </w:rPr>
          <w:drawing>
            <wp:inline distT="0" distB="0" distL="0" distR="0" wp14:anchorId="36124BB9" wp14:editId="76EFC71A">
              <wp:extent cx="3994150" cy="1880870"/>
              <wp:effectExtent l="0" t="0" r="6350" b="5080"/>
              <wp:docPr id="3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Kép 5"/>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3994150" cy="1880870"/>
                      </a:xfrm>
                      <a:prstGeom prst="rect">
                        <a:avLst/>
                      </a:prstGeom>
                      <a:noFill/>
                      <a:ln>
                        <a:noFill/>
                      </a:ln>
                    </pic:spPr>
                  </pic:pic>
                </a:graphicData>
              </a:graphic>
            </wp:inline>
          </w:drawing>
        </w:r>
      </w:del>
    </w:p>
    <w:p w14:paraId="6E4E089B" w14:textId="51749EAB" w:rsidR="009848E0" w:rsidRPr="00183B5F" w:rsidRDefault="009848E0">
      <w:pPr>
        <w:pStyle w:val="EMEANormal"/>
        <w:rPr>
          <w:del w:id="10356" w:author="AbbVie_HU_03" w:date="2025-05-14T16:39:00Z"/>
          <w:lang w:val="hu-HU"/>
        </w:rPr>
      </w:pPr>
    </w:p>
    <w:p w14:paraId="42AD255C" w14:textId="12C764AD" w:rsidR="00B81978" w:rsidRPr="00183B5F" w:rsidRDefault="00943743" w:rsidP="004062FE">
      <w:pPr>
        <w:pStyle w:val="EMEANormal"/>
        <w:numPr>
          <w:ilvl w:val="0"/>
          <w:numId w:val="84"/>
        </w:numPr>
        <w:tabs>
          <w:tab w:val="clear" w:pos="720"/>
        </w:tabs>
        <w:ind w:hanging="720"/>
        <w:rPr>
          <w:del w:id="10357" w:author="AbbVie_HU_03" w:date="2025-05-14T16:39:00Z"/>
          <w:lang w:val="hu-HU"/>
        </w:rPr>
      </w:pPr>
      <w:del w:id="10358" w:author="AbbVie_HU_03" w:date="2025-05-14T16:39:00Z">
        <w:r w:rsidRPr="00183B5F">
          <w:rPr>
            <w:lang w:val="hu-HU"/>
          </w:rPr>
          <w:delText>Készítse elő a fecskendőt oly</w:delText>
        </w:r>
        <w:r w:rsidR="00294347" w:rsidRPr="00183B5F">
          <w:rPr>
            <w:lang w:val="hu-HU"/>
          </w:rPr>
          <w:delText xml:space="preserve"> </w:delText>
        </w:r>
        <w:r w:rsidRPr="00183B5F">
          <w:rPr>
            <w:lang w:val="hu-HU"/>
          </w:rPr>
          <w:delText>módon, hogy részlegesen lehúzza a védőlapot a csomagolás</w:delText>
        </w:r>
        <w:r w:rsidR="00BE0D1E" w:rsidRPr="00183B5F">
          <w:rPr>
            <w:lang w:val="hu-HU"/>
          </w:rPr>
          <w:delText xml:space="preserve"> </w:delText>
        </w:r>
        <w:r w:rsidRPr="00183B5F">
          <w:rPr>
            <w:lang w:val="hu-HU"/>
          </w:rPr>
          <w:delText>fehér dugattyú felőli végéről.</w:delText>
        </w:r>
      </w:del>
    </w:p>
    <w:p w14:paraId="077F086D" w14:textId="066DEE1C" w:rsidR="009848E0" w:rsidRPr="00183B5F" w:rsidRDefault="009848E0">
      <w:pPr>
        <w:pStyle w:val="EMEANormal"/>
        <w:ind w:hanging="720"/>
        <w:rPr>
          <w:del w:id="10359" w:author="AbbVie_HU_03" w:date="2025-05-14T16:39:00Z"/>
          <w:lang w:val="hu-HU"/>
        </w:rPr>
      </w:pPr>
    </w:p>
    <w:p w14:paraId="2F72F472" w14:textId="37A3541E" w:rsidR="002566E0" w:rsidRPr="00183B5F" w:rsidRDefault="00943743" w:rsidP="004062FE">
      <w:pPr>
        <w:pStyle w:val="EMEANormal"/>
        <w:numPr>
          <w:ilvl w:val="0"/>
          <w:numId w:val="83"/>
        </w:numPr>
        <w:tabs>
          <w:tab w:val="clear" w:pos="720"/>
        </w:tabs>
        <w:ind w:hanging="720"/>
        <w:rPr>
          <w:del w:id="10360" w:author="AbbVie_HU_03" w:date="2025-05-14T16:39:00Z"/>
          <w:lang w:val="hu-HU"/>
        </w:rPr>
      </w:pPr>
      <w:del w:id="10361" w:author="AbbVie_HU_03" w:date="2025-05-14T16:39:00Z">
        <w:r w:rsidRPr="00183B5F">
          <w:rPr>
            <w:lang w:val="hu-HU"/>
          </w:rPr>
          <w:delText>Csak annyira húzza le az átlátszó védőlapot, hogy hozzáférhető legyen a fehér dugattyú, de ne vegye ki a fecskendőt a csomagolásból.</w:delText>
        </w:r>
      </w:del>
    </w:p>
    <w:p w14:paraId="681891C1" w14:textId="0FDED865" w:rsidR="009848E0" w:rsidRPr="00183B5F" w:rsidRDefault="009848E0">
      <w:pPr>
        <w:pStyle w:val="EMEANormal"/>
        <w:ind w:left="360" w:hanging="720"/>
        <w:rPr>
          <w:del w:id="10362" w:author="AbbVie_HU_03" w:date="2025-05-14T16:39:00Z"/>
          <w:lang w:val="hu-HU"/>
        </w:rPr>
      </w:pPr>
    </w:p>
    <w:p w14:paraId="119C78E0" w14:textId="31B988CF" w:rsidR="002566E0" w:rsidRPr="00183B5F" w:rsidRDefault="00943743" w:rsidP="004062FE">
      <w:pPr>
        <w:pStyle w:val="EMEANormal"/>
        <w:numPr>
          <w:ilvl w:val="0"/>
          <w:numId w:val="83"/>
        </w:numPr>
        <w:tabs>
          <w:tab w:val="clear" w:pos="720"/>
        </w:tabs>
        <w:ind w:hanging="720"/>
        <w:rPr>
          <w:del w:id="10363" w:author="AbbVie_HU_03" w:date="2025-05-14T16:39:00Z"/>
          <w:lang w:val="hu-HU"/>
        </w:rPr>
      </w:pPr>
      <w:del w:id="10364" w:author="AbbVie_HU_03" w:date="2025-05-14T16:39:00Z">
        <w:r w:rsidRPr="00183B5F">
          <w:rPr>
            <w:lang w:val="hu-HU"/>
          </w:rPr>
          <w:delText xml:space="preserve">Tartsa kézben a fecskendő csomagolását és </w:delText>
        </w:r>
        <w:r w:rsidRPr="00183B5F">
          <w:rPr>
            <w:b/>
            <w:lang w:val="hu-HU"/>
          </w:rPr>
          <w:delText>LASSAN</w:delText>
        </w:r>
        <w:r w:rsidRPr="00183B5F">
          <w:rPr>
            <w:lang w:val="hu-HU"/>
          </w:rPr>
          <w:delText xml:space="preserve"> húzza </w:delText>
        </w:r>
        <w:r w:rsidR="00294347" w:rsidRPr="00183B5F">
          <w:rPr>
            <w:lang w:val="hu-HU"/>
          </w:rPr>
          <w:delText>kifelé</w:delText>
        </w:r>
        <w:r w:rsidRPr="00183B5F">
          <w:rPr>
            <w:lang w:val="hu-HU"/>
          </w:rPr>
          <w:delText xml:space="preserve"> a</w:delText>
        </w:r>
        <w:r w:rsidR="0082272C" w:rsidRPr="00183B5F">
          <w:rPr>
            <w:lang w:val="hu-HU"/>
          </w:rPr>
          <w:delText xml:space="preserve"> fehér </w:delText>
        </w:r>
        <w:r w:rsidRPr="00183B5F">
          <w:rPr>
            <w:lang w:val="hu-HU"/>
          </w:rPr>
          <w:delText>dugattyút 0,1</w:delText>
        </w:r>
        <w:r w:rsidR="00E7732E" w:rsidRPr="00183B5F">
          <w:rPr>
            <w:lang w:val="hu-HU"/>
          </w:rPr>
          <w:delText> </w:delText>
        </w:r>
        <w:r w:rsidRPr="00183B5F">
          <w:rPr>
            <w:lang w:val="hu-HU"/>
          </w:rPr>
          <w:delText>ml-</w:delText>
        </w:r>
        <w:r w:rsidR="00EF67D6" w:rsidRPr="00183B5F">
          <w:rPr>
            <w:lang w:val="hu-HU"/>
          </w:rPr>
          <w:delText>r</w:delText>
        </w:r>
        <w:r w:rsidRPr="00183B5F">
          <w:rPr>
            <w:lang w:val="hu-HU"/>
          </w:rPr>
          <w:delText xml:space="preserve">el </w:delText>
        </w:r>
        <w:r w:rsidR="00294347" w:rsidRPr="00183B5F">
          <w:rPr>
            <w:lang w:val="hu-HU"/>
          </w:rPr>
          <w:delText>nagyobb jelzésig, mint amit az orvos rendelt</w:delText>
        </w:r>
        <w:r w:rsidRPr="00183B5F">
          <w:rPr>
            <w:lang w:val="hu-HU"/>
          </w:rPr>
          <w:delText>. (Például, ha a rendelt adag 0,5</w:delText>
        </w:r>
        <w:r w:rsidR="00E7732E" w:rsidRPr="00183B5F">
          <w:rPr>
            <w:lang w:val="hu-HU"/>
          </w:rPr>
          <w:delText> </w:delText>
        </w:r>
        <w:r w:rsidRPr="00183B5F">
          <w:rPr>
            <w:lang w:val="hu-HU"/>
          </w:rPr>
          <w:delText xml:space="preserve">ml, húzza </w:delText>
        </w:r>
        <w:r w:rsidR="00294347" w:rsidRPr="00183B5F">
          <w:rPr>
            <w:lang w:val="hu-HU"/>
          </w:rPr>
          <w:delText>ki</w:delText>
        </w:r>
        <w:r w:rsidRPr="00183B5F">
          <w:rPr>
            <w:lang w:val="hu-HU"/>
          </w:rPr>
          <w:delText>fel</w:delText>
        </w:r>
        <w:r w:rsidR="00294347" w:rsidRPr="00183B5F">
          <w:rPr>
            <w:lang w:val="hu-HU"/>
          </w:rPr>
          <w:delText>é</w:delText>
        </w:r>
        <w:r w:rsidRPr="00183B5F">
          <w:rPr>
            <w:lang w:val="hu-HU"/>
          </w:rPr>
          <w:delText xml:space="preserve"> a dugattyút 0,6</w:delText>
        </w:r>
        <w:r w:rsidR="00E7732E" w:rsidRPr="00183B5F">
          <w:rPr>
            <w:lang w:val="hu-HU"/>
          </w:rPr>
          <w:delText> </w:delText>
        </w:r>
        <w:r w:rsidRPr="00183B5F">
          <w:rPr>
            <w:lang w:val="hu-HU"/>
          </w:rPr>
          <w:delText>ml-e</w:delText>
        </w:r>
        <w:r w:rsidR="00294347" w:rsidRPr="00183B5F">
          <w:rPr>
            <w:lang w:val="hu-HU"/>
          </w:rPr>
          <w:delText>s jelzésig</w:delText>
        </w:r>
        <w:r w:rsidRPr="00183B5F">
          <w:rPr>
            <w:lang w:val="hu-HU"/>
          </w:rPr>
          <w:delText>).</w:delText>
        </w:r>
        <w:r w:rsidR="00A92BD6" w:rsidRPr="00183B5F">
          <w:rPr>
            <w:lang w:val="hu-HU"/>
          </w:rPr>
          <w:delText xml:space="preserve"> </w:delText>
        </w:r>
        <w:r w:rsidR="00A92BD6" w:rsidRPr="00183B5F">
          <w:rPr>
            <w:b/>
            <w:lang w:val="hu-HU"/>
          </w:rPr>
          <w:delText>SOHA NE</w:delText>
        </w:r>
        <w:r w:rsidR="00A92BD6" w:rsidRPr="00183B5F">
          <w:rPr>
            <w:lang w:val="hu-HU"/>
          </w:rPr>
          <w:delText xml:space="preserve"> húzza a dugattyút a 0,9</w:delText>
        </w:r>
        <w:r w:rsidR="00E7732E" w:rsidRPr="00183B5F">
          <w:rPr>
            <w:lang w:val="hu-HU"/>
          </w:rPr>
          <w:delText> </w:delText>
        </w:r>
        <w:r w:rsidR="00A92BD6" w:rsidRPr="00183B5F">
          <w:rPr>
            <w:lang w:val="hu-HU"/>
          </w:rPr>
          <w:delText>ml-es jelzésen túl, tekintet nélkül a rendelt adagra</w:delText>
        </w:r>
        <w:r w:rsidR="000129AB" w:rsidRPr="00183B5F">
          <w:rPr>
            <w:lang w:val="hu-HU"/>
          </w:rPr>
          <w:delText>!</w:delText>
        </w:r>
      </w:del>
    </w:p>
    <w:p w14:paraId="3AD5E219" w14:textId="35C23BF3" w:rsidR="009848E0" w:rsidRPr="00183B5F" w:rsidRDefault="009848E0">
      <w:pPr>
        <w:pStyle w:val="EMEANormal"/>
        <w:ind w:left="562" w:hanging="720"/>
        <w:rPr>
          <w:del w:id="10365" w:author="AbbVie_HU_03" w:date="2025-05-14T16:39:00Z"/>
          <w:lang w:val="hu-HU"/>
        </w:rPr>
      </w:pPr>
    </w:p>
    <w:p w14:paraId="3A4F9FD1" w14:textId="479810DC" w:rsidR="00A92BD6" w:rsidRPr="00183B5F" w:rsidRDefault="00943743" w:rsidP="004062FE">
      <w:pPr>
        <w:pStyle w:val="EMEANormal"/>
        <w:numPr>
          <w:ilvl w:val="0"/>
          <w:numId w:val="83"/>
        </w:numPr>
        <w:tabs>
          <w:tab w:val="clear" w:pos="720"/>
        </w:tabs>
        <w:ind w:hanging="720"/>
        <w:rPr>
          <w:del w:id="10366" w:author="AbbVie_HU_03" w:date="2025-05-14T16:39:00Z"/>
          <w:lang w:val="hu-HU"/>
        </w:rPr>
      </w:pPr>
      <w:del w:id="10367" w:author="AbbVie_HU_03" w:date="2025-05-14T16:39:00Z">
        <w:r w:rsidRPr="00183B5F">
          <w:rPr>
            <w:lang w:val="hu-HU"/>
          </w:rPr>
          <w:delText>A rendelt adag térfogatát egy későbbi lépésben fogja beállítani.</w:delText>
        </w:r>
      </w:del>
    </w:p>
    <w:p w14:paraId="1BB2DA63" w14:textId="2FCBB133" w:rsidR="009848E0" w:rsidRPr="00183B5F" w:rsidRDefault="009848E0">
      <w:pPr>
        <w:pStyle w:val="EMEANormal"/>
        <w:rPr>
          <w:del w:id="10368" w:author="AbbVie_HU_03" w:date="2025-05-14T16:39:00Z"/>
          <w:lang w:val="hu-HU"/>
        </w:rPr>
      </w:pPr>
    </w:p>
    <w:p w14:paraId="3770CA0D" w14:textId="52B1F15B" w:rsidR="00A92BD6" w:rsidRPr="00183B5F" w:rsidRDefault="00943743" w:rsidP="004062FE">
      <w:pPr>
        <w:pStyle w:val="EMEANormal"/>
        <w:numPr>
          <w:ilvl w:val="0"/>
          <w:numId w:val="83"/>
        </w:numPr>
        <w:tabs>
          <w:tab w:val="clear" w:pos="720"/>
        </w:tabs>
        <w:ind w:hanging="720"/>
        <w:rPr>
          <w:del w:id="10369" w:author="AbbVie_HU_03" w:date="2025-05-14T16:39:00Z"/>
          <w:lang w:val="hu-HU"/>
        </w:rPr>
      </w:pPr>
      <w:del w:id="10370" w:author="AbbVie_HU_03" w:date="2025-05-14T16:39:00Z">
        <w:r w:rsidRPr="00183B5F">
          <w:rPr>
            <w:b/>
            <w:lang w:val="hu-HU"/>
          </w:rPr>
          <w:delText>NE HÚZZA KI</w:delText>
        </w:r>
        <w:r w:rsidRPr="00183B5F">
          <w:rPr>
            <w:lang w:val="hu-HU"/>
          </w:rPr>
          <w:delText xml:space="preserve"> teljes</w:delText>
        </w:r>
        <w:r w:rsidR="00D44003" w:rsidRPr="00183B5F">
          <w:rPr>
            <w:lang w:val="hu-HU"/>
          </w:rPr>
          <w:delText>en</w:delText>
        </w:r>
        <w:r w:rsidR="00CA2F5B" w:rsidRPr="00183B5F">
          <w:rPr>
            <w:lang w:val="hu-HU"/>
          </w:rPr>
          <w:delText xml:space="preserve"> a </w:delText>
        </w:r>
        <w:r w:rsidR="0082272C" w:rsidRPr="00183B5F">
          <w:rPr>
            <w:lang w:val="hu-HU"/>
          </w:rPr>
          <w:delText xml:space="preserve">fehér </w:delText>
        </w:r>
        <w:r w:rsidR="00CA2F5B" w:rsidRPr="00183B5F">
          <w:rPr>
            <w:lang w:val="hu-HU"/>
          </w:rPr>
          <w:delText>dugattyút a fecskendőből</w:delText>
        </w:r>
        <w:r w:rsidR="000129AB" w:rsidRPr="00183B5F">
          <w:rPr>
            <w:lang w:val="hu-HU"/>
          </w:rPr>
          <w:delText>!</w:delText>
        </w:r>
      </w:del>
    </w:p>
    <w:p w14:paraId="7D043680" w14:textId="0F850003" w:rsidR="009848E0" w:rsidRPr="00183B5F" w:rsidRDefault="009848E0">
      <w:pPr>
        <w:pStyle w:val="EMEANormal"/>
        <w:rPr>
          <w:del w:id="10371" w:author="AbbVie_HU_03" w:date="2025-05-14T16:39:00Z"/>
          <w:lang w:val="hu-HU"/>
        </w:rPr>
      </w:pPr>
    </w:p>
    <w:p w14:paraId="25ABCE47" w14:textId="50BAC267" w:rsidR="009848E0" w:rsidRPr="00183B5F" w:rsidRDefault="00943743">
      <w:pPr>
        <w:pStyle w:val="EMEANormal"/>
        <w:keepNext/>
        <w:rPr>
          <w:del w:id="10372" w:author="AbbVie_HU_03" w:date="2025-05-14T16:39:00Z"/>
          <w:lang w:val="hu-HU"/>
        </w:rPr>
      </w:pPr>
      <w:del w:id="10373" w:author="AbbVie_HU_03" w:date="2025-05-14T16:39:00Z">
        <w:r w:rsidRPr="00183B5F">
          <w:rPr>
            <w:b/>
            <w:lang w:val="hu-HU"/>
          </w:rPr>
          <w:delText>MEGJEGYZÉS</w:delText>
        </w:r>
        <w:r w:rsidRPr="00183B5F">
          <w:rPr>
            <w:lang w:val="hu-HU"/>
          </w:rPr>
          <w:delText xml:space="preserve">: </w:delText>
        </w:r>
      </w:del>
    </w:p>
    <w:p w14:paraId="4B154459" w14:textId="27C0C0A3" w:rsidR="009848E0" w:rsidRPr="00183B5F" w:rsidRDefault="009848E0">
      <w:pPr>
        <w:pStyle w:val="EMEANormal"/>
        <w:keepNext/>
        <w:rPr>
          <w:del w:id="10374" w:author="AbbVie_HU_03" w:date="2025-05-14T16:39:00Z"/>
          <w:lang w:val="hu-HU"/>
        </w:rPr>
      </w:pPr>
    </w:p>
    <w:p w14:paraId="09EBD9E9" w14:textId="36DDF607" w:rsidR="00CA2F5B" w:rsidRPr="00183B5F" w:rsidRDefault="00943743">
      <w:pPr>
        <w:pStyle w:val="EMEANormal"/>
        <w:keepNext/>
        <w:rPr>
          <w:del w:id="10375" w:author="AbbVie_HU_03" w:date="2025-05-14T16:39:00Z"/>
          <w:lang w:val="hu-HU"/>
        </w:rPr>
      </w:pPr>
      <w:del w:id="10376" w:author="AbbVie_HU_03" w:date="2025-05-14T16:39:00Z">
        <w:r w:rsidRPr="00183B5F">
          <w:rPr>
            <w:lang w:val="hu-HU"/>
          </w:rPr>
          <w:delText>Ha a fehér dugattyút teljesen kihúzta a fecskendőből, dobja ki a fecskendőt</w:delText>
        </w:r>
        <w:r w:rsidR="00D44003" w:rsidRPr="00183B5F">
          <w:rPr>
            <w:lang w:val="hu-HU"/>
          </w:rPr>
          <w:delText>,</w:delText>
        </w:r>
        <w:r w:rsidRPr="00183B5F">
          <w:rPr>
            <w:lang w:val="hu-HU"/>
          </w:rPr>
          <w:delText xml:space="preserve"> és egy</w:delText>
        </w:r>
        <w:r w:rsidR="001F3FBE" w:rsidRPr="00183B5F">
          <w:rPr>
            <w:lang w:val="hu-HU"/>
          </w:rPr>
          <w:delText xml:space="preserve"> újabb fecskendő beszerzése céljából</w:delText>
        </w:r>
        <w:r w:rsidR="0082272C" w:rsidRPr="00183B5F">
          <w:rPr>
            <w:lang w:val="hu-HU"/>
          </w:rPr>
          <w:delText xml:space="preserve"> lépjen kapcsolatba azzal</w:delText>
        </w:r>
        <w:r w:rsidR="007E5FFF" w:rsidRPr="00183B5F">
          <w:rPr>
            <w:lang w:val="hu-HU"/>
          </w:rPr>
          <w:delText xml:space="preserve"> a személlyel</w:delText>
        </w:r>
        <w:r w:rsidR="0082272C" w:rsidRPr="00183B5F">
          <w:rPr>
            <w:lang w:val="hu-HU"/>
          </w:rPr>
          <w:delText xml:space="preserve">, akitől a Humira-t </w:delText>
        </w:r>
        <w:r w:rsidR="00AA1171" w:rsidRPr="00183B5F">
          <w:rPr>
            <w:lang w:val="hu-HU"/>
          </w:rPr>
          <w:delText>beszerezte</w:delText>
        </w:r>
        <w:r w:rsidR="0082272C" w:rsidRPr="00183B5F">
          <w:rPr>
            <w:lang w:val="hu-HU"/>
          </w:rPr>
          <w:delText xml:space="preserve">. </w:delText>
        </w:r>
        <w:r w:rsidR="0082272C" w:rsidRPr="00183B5F">
          <w:rPr>
            <w:b/>
            <w:lang w:val="hu-HU"/>
          </w:rPr>
          <w:delText xml:space="preserve">NE </w:delText>
        </w:r>
        <w:r w:rsidR="0082272C" w:rsidRPr="00183B5F">
          <w:rPr>
            <w:lang w:val="hu-HU"/>
          </w:rPr>
          <w:delText>próbálja visszahelyezni a fehér dugattyút a fecskendőbe</w:delText>
        </w:r>
        <w:r w:rsidR="000129AB" w:rsidRPr="00183B5F">
          <w:rPr>
            <w:lang w:val="hu-HU"/>
          </w:rPr>
          <w:delText>!</w:delText>
        </w:r>
      </w:del>
    </w:p>
    <w:p w14:paraId="38136F60" w14:textId="78C65C96" w:rsidR="009848E0" w:rsidRPr="00183B5F" w:rsidRDefault="00943743">
      <w:pPr>
        <w:pStyle w:val="EMEABullet2"/>
        <w:numPr>
          <w:ilvl w:val="0"/>
          <w:numId w:val="0"/>
        </w:numPr>
        <w:ind w:left="-30"/>
        <w:rPr>
          <w:del w:id="10377" w:author="AbbVie_HU_03" w:date="2025-05-14T16:39:00Z"/>
          <w:lang w:val="hu-HU"/>
        </w:rPr>
      </w:pPr>
      <w:del w:id="10378" w:author="AbbVie_HU_03" w:date="2025-05-14T16:39:00Z">
        <w:r w:rsidRPr="00183B5F">
          <w:rPr>
            <w:lang w:val="hu-HU"/>
          </w:rPr>
          <w:tab/>
        </w:r>
      </w:del>
    </w:p>
    <w:tbl>
      <w:tblPr>
        <w:tblW w:w="0" w:type="auto"/>
        <w:tblLook w:val="01E0" w:firstRow="1" w:lastRow="1" w:firstColumn="1" w:lastColumn="1" w:noHBand="0" w:noVBand="0"/>
      </w:tblPr>
      <w:tblGrid>
        <w:gridCol w:w="4585"/>
        <w:gridCol w:w="4486"/>
      </w:tblGrid>
      <w:tr w:rsidR="00011D2F" w14:paraId="1D841260" w14:textId="6FD05B93" w:rsidTr="00D126CF">
        <w:trPr>
          <w:del w:id="10379" w:author="AbbVie_HU_03" w:date="2025-05-14T16:39:00Z"/>
        </w:trPr>
        <w:tc>
          <w:tcPr>
            <w:tcW w:w="4643" w:type="dxa"/>
          </w:tcPr>
          <w:p w14:paraId="5CA48466" w14:textId="39978FD8" w:rsidR="00022C7B" w:rsidRPr="00183B5F" w:rsidRDefault="00943743">
            <w:pPr>
              <w:pStyle w:val="EMEANormal"/>
              <w:jc w:val="right"/>
              <w:rPr>
                <w:del w:id="10380" w:author="AbbVie_HU_03" w:date="2025-05-14T16:39:00Z"/>
                <w:lang w:val="hu-HU"/>
              </w:rPr>
            </w:pPr>
            <w:del w:id="10381" w:author="AbbVie_HU_03" w:date="2025-05-14T16:39:00Z">
              <w:r w:rsidRPr="005C4B06">
                <w:rPr>
                  <w:noProof/>
                  <w:lang w:val="en-GB"/>
                </w:rPr>
                <w:drawing>
                  <wp:inline distT="0" distB="0" distL="0" distR="0" wp14:anchorId="67B63AE9" wp14:editId="54FEF042">
                    <wp:extent cx="1898015" cy="1898015"/>
                    <wp:effectExtent l="0" t="0" r="6985" b="6985"/>
                    <wp:docPr id="3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Kép 6"/>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1898015" cy="1898015"/>
                            </a:xfrm>
                            <a:prstGeom prst="rect">
                              <a:avLst/>
                            </a:prstGeom>
                            <a:noFill/>
                            <a:ln>
                              <a:noFill/>
                            </a:ln>
                          </pic:spPr>
                        </pic:pic>
                      </a:graphicData>
                    </a:graphic>
                  </wp:inline>
                </w:drawing>
              </w:r>
            </w:del>
          </w:p>
        </w:tc>
        <w:tc>
          <w:tcPr>
            <w:tcW w:w="4644" w:type="dxa"/>
          </w:tcPr>
          <w:p w14:paraId="2E7824AF" w14:textId="06761BF4" w:rsidR="00022C7B" w:rsidRPr="00183B5F" w:rsidRDefault="00022C7B">
            <w:pPr>
              <w:pStyle w:val="EMEANormal"/>
              <w:rPr>
                <w:del w:id="10382" w:author="AbbVie_HU_03" w:date="2025-05-14T16:39:00Z"/>
                <w:lang w:val="hu-HU"/>
              </w:rPr>
            </w:pPr>
          </w:p>
          <w:p w14:paraId="52240911" w14:textId="7C1B01E1" w:rsidR="00022C7B" w:rsidRPr="00183B5F" w:rsidRDefault="00022C7B">
            <w:pPr>
              <w:pStyle w:val="EMEANormal"/>
              <w:rPr>
                <w:del w:id="10383" w:author="AbbVie_HU_03" w:date="2025-05-14T16:39:00Z"/>
                <w:lang w:val="hu-HU"/>
              </w:rPr>
            </w:pPr>
          </w:p>
          <w:p w14:paraId="4B7CB38E" w14:textId="33241551" w:rsidR="00022C7B" w:rsidRPr="00183B5F" w:rsidRDefault="00022C7B">
            <w:pPr>
              <w:pStyle w:val="EMEANormal"/>
              <w:rPr>
                <w:del w:id="10384" w:author="AbbVie_HU_03" w:date="2025-05-14T16:39:00Z"/>
                <w:lang w:val="hu-HU"/>
              </w:rPr>
            </w:pPr>
          </w:p>
          <w:p w14:paraId="0A013B63" w14:textId="0A529294" w:rsidR="00022C7B" w:rsidRPr="00183B5F" w:rsidRDefault="00022C7B">
            <w:pPr>
              <w:pStyle w:val="EMEANormal"/>
              <w:rPr>
                <w:del w:id="10385" w:author="AbbVie_HU_03" w:date="2025-05-14T16:39:00Z"/>
                <w:lang w:val="hu-HU"/>
              </w:rPr>
            </w:pPr>
          </w:p>
          <w:p w14:paraId="6C4FEE8C" w14:textId="1CCDFC8D" w:rsidR="00022C7B" w:rsidRPr="00183B5F" w:rsidRDefault="00022C7B">
            <w:pPr>
              <w:pStyle w:val="EMEANormal"/>
              <w:rPr>
                <w:del w:id="10386" w:author="AbbVie_HU_03" w:date="2025-05-14T16:39:00Z"/>
                <w:lang w:val="hu-HU"/>
              </w:rPr>
            </w:pPr>
          </w:p>
          <w:p w14:paraId="517F69CB" w14:textId="255E7D53" w:rsidR="00022C7B" w:rsidRPr="00183B5F" w:rsidRDefault="00022C7B">
            <w:pPr>
              <w:pStyle w:val="EMEANormal"/>
              <w:rPr>
                <w:del w:id="10387" w:author="AbbVie_HU_03" w:date="2025-05-14T16:39:00Z"/>
                <w:lang w:val="hu-HU"/>
              </w:rPr>
            </w:pPr>
          </w:p>
          <w:p w14:paraId="200A712E" w14:textId="34FA934C" w:rsidR="00022C7B" w:rsidRPr="00183B5F" w:rsidRDefault="00022C7B">
            <w:pPr>
              <w:pStyle w:val="EMEANormal"/>
              <w:rPr>
                <w:del w:id="10388" w:author="AbbVie_HU_03" w:date="2025-05-14T16:39:00Z"/>
                <w:lang w:val="hu-HU"/>
              </w:rPr>
            </w:pPr>
          </w:p>
          <w:p w14:paraId="4BA4C2C8" w14:textId="0BF1A2A7" w:rsidR="00022C7B" w:rsidRPr="00183B5F" w:rsidRDefault="00022C7B">
            <w:pPr>
              <w:pStyle w:val="EMEANormal"/>
              <w:rPr>
                <w:del w:id="10389" w:author="AbbVie_HU_03" w:date="2025-05-14T16:39:00Z"/>
                <w:lang w:val="hu-HU"/>
              </w:rPr>
            </w:pPr>
          </w:p>
          <w:p w14:paraId="0AD16107" w14:textId="35D963A4" w:rsidR="00022C7B" w:rsidRPr="00183B5F" w:rsidRDefault="00943743">
            <w:pPr>
              <w:pStyle w:val="EMEANormal"/>
              <w:rPr>
                <w:del w:id="10390" w:author="AbbVie_HU_03" w:date="2025-05-14T16:39:00Z"/>
                <w:lang w:val="hu-HU"/>
              </w:rPr>
            </w:pPr>
            <w:del w:id="10391" w:author="AbbVie_HU_03" w:date="2025-05-14T16:39:00Z">
              <w:r w:rsidRPr="00183B5F">
                <w:rPr>
                  <w:lang w:val="hu-HU"/>
                </w:rPr>
                <w:delText>Dózis + 0</w:delText>
              </w:r>
              <w:r w:rsidR="00794706" w:rsidRPr="00183B5F">
                <w:rPr>
                  <w:lang w:val="hu-HU"/>
                </w:rPr>
                <w:delText>,</w:delText>
              </w:r>
              <w:r w:rsidRPr="00183B5F">
                <w:rPr>
                  <w:lang w:val="hu-HU"/>
                </w:rPr>
                <w:delText>1</w:delText>
              </w:r>
              <w:r w:rsidR="006318E9" w:rsidRPr="00183B5F">
                <w:rPr>
                  <w:lang w:val="hu-HU"/>
                </w:rPr>
                <w:delText> </w:delText>
              </w:r>
              <w:r w:rsidRPr="00183B5F">
                <w:rPr>
                  <w:lang w:val="hu-HU"/>
                </w:rPr>
                <w:delText>ml</w:delText>
              </w:r>
            </w:del>
          </w:p>
        </w:tc>
      </w:tr>
    </w:tbl>
    <w:p w14:paraId="6EC1B5A1" w14:textId="2755FDCE" w:rsidR="000129AB" w:rsidRPr="00183B5F" w:rsidRDefault="000129AB">
      <w:pPr>
        <w:pStyle w:val="EMEANormal"/>
        <w:rPr>
          <w:del w:id="10392" w:author="AbbVie_HU_03" w:date="2025-05-14T16:39:00Z"/>
          <w:lang w:val="hu-HU"/>
        </w:rPr>
      </w:pPr>
    </w:p>
    <w:p w14:paraId="1861C9A4" w14:textId="5A06E270" w:rsidR="009848E0" w:rsidRPr="00183B5F" w:rsidRDefault="00943743" w:rsidP="004062FE">
      <w:pPr>
        <w:pStyle w:val="EMEANormal"/>
        <w:numPr>
          <w:ilvl w:val="0"/>
          <w:numId w:val="86"/>
        </w:numPr>
        <w:tabs>
          <w:tab w:val="clear" w:pos="562"/>
          <w:tab w:val="clear" w:pos="720"/>
        </w:tabs>
        <w:ind w:left="588" w:hanging="588"/>
        <w:rPr>
          <w:del w:id="10393" w:author="AbbVie_HU_03" w:date="2025-05-14T16:39:00Z"/>
          <w:lang w:val="hu-HU"/>
        </w:rPr>
      </w:pPr>
      <w:del w:id="10394" w:author="AbbVie_HU_03" w:date="2025-05-14T16:39:00Z">
        <w:r w:rsidRPr="00183B5F">
          <w:rPr>
            <w:b/>
            <w:lang w:val="hu-HU"/>
          </w:rPr>
          <w:delText xml:space="preserve">NE </w:delText>
        </w:r>
        <w:r w:rsidRPr="00183B5F">
          <w:rPr>
            <w:lang w:val="hu-HU"/>
          </w:rPr>
          <w:delText xml:space="preserve">használja a fehér dugattyút arra, hogy </w:delText>
        </w:r>
        <w:r w:rsidR="001F3FBE" w:rsidRPr="00183B5F">
          <w:rPr>
            <w:lang w:val="hu-HU"/>
          </w:rPr>
          <w:delText xml:space="preserve">annál fogva </w:delText>
        </w:r>
        <w:r w:rsidRPr="00183B5F">
          <w:rPr>
            <w:lang w:val="hu-HU"/>
          </w:rPr>
          <w:delText xml:space="preserve">vegye </w:delText>
        </w:r>
        <w:r w:rsidR="001F3FBE" w:rsidRPr="00183B5F">
          <w:rPr>
            <w:lang w:val="hu-HU"/>
          </w:rPr>
          <w:delText xml:space="preserve">ki </w:delText>
        </w:r>
        <w:r w:rsidRPr="00183B5F">
          <w:rPr>
            <w:lang w:val="hu-HU"/>
          </w:rPr>
          <w:delText xml:space="preserve">a fecskendőt a csomagolásból. </w:delText>
        </w:r>
        <w:r w:rsidR="007E5FFF" w:rsidRPr="00183B5F">
          <w:rPr>
            <w:lang w:val="hu-HU"/>
          </w:rPr>
          <w:delText xml:space="preserve">Fogja meg </w:delText>
        </w:r>
        <w:r w:rsidRPr="00183B5F">
          <w:rPr>
            <w:lang w:val="hu-HU"/>
          </w:rPr>
          <w:delText>a fecskendőt a jelzésekkel ellátott részén</w:delText>
        </w:r>
        <w:r w:rsidR="00D44003" w:rsidRPr="00183B5F">
          <w:rPr>
            <w:lang w:val="hu-HU"/>
          </w:rPr>
          <w:delText>,</w:delText>
        </w:r>
        <w:r w:rsidRPr="00183B5F">
          <w:rPr>
            <w:lang w:val="hu-HU"/>
          </w:rPr>
          <w:delText xml:space="preserve"> és húzza ki így a csomagolásból. </w:delText>
        </w:r>
        <w:r w:rsidR="001F3FBE" w:rsidRPr="00183B5F">
          <w:rPr>
            <w:b/>
            <w:lang w:val="hu-HU"/>
          </w:rPr>
          <w:delText>SOHA</w:delText>
        </w:r>
        <w:r w:rsidR="007E5FFF" w:rsidRPr="00183B5F">
          <w:rPr>
            <w:b/>
            <w:lang w:val="hu-HU"/>
          </w:rPr>
          <w:delText xml:space="preserve"> N</w:delText>
        </w:r>
        <w:r w:rsidRPr="00183B5F">
          <w:rPr>
            <w:b/>
            <w:lang w:val="hu-HU"/>
          </w:rPr>
          <w:delText>E</w:delText>
        </w:r>
        <w:r w:rsidRPr="00183B5F">
          <w:rPr>
            <w:lang w:val="hu-HU"/>
          </w:rPr>
          <w:delText xml:space="preserve"> tegye le a fecskendőt</w:delText>
        </w:r>
        <w:r w:rsidR="000129AB" w:rsidRPr="00183B5F">
          <w:rPr>
            <w:lang w:val="hu-HU"/>
          </w:rPr>
          <w:delText>!</w:delText>
        </w:r>
      </w:del>
    </w:p>
    <w:p w14:paraId="7A815EA2" w14:textId="5529BD46" w:rsidR="009848E0" w:rsidRPr="00183B5F" w:rsidRDefault="009848E0">
      <w:pPr>
        <w:pStyle w:val="EMEANormal"/>
        <w:tabs>
          <w:tab w:val="clear" w:pos="562"/>
        </w:tabs>
        <w:ind w:hanging="720"/>
        <w:rPr>
          <w:del w:id="10395" w:author="AbbVie_HU_03" w:date="2025-05-14T16:39:00Z"/>
          <w:lang w:val="hu-HU"/>
        </w:rPr>
      </w:pPr>
    </w:p>
    <w:p w14:paraId="501866AF" w14:textId="7CFF1DAB" w:rsidR="009848E0" w:rsidRPr="00183B5F" w:rsidRDefault="00943743" w:rsidP="004062FE">
      <w:pPr>
        <w:pStyle w:val="EMEANormal"/>
        <w:numPr>
          <w:ilvl w:val="0"/>
          <w:numId w:val="85"/>
        </w:numPr>
        <w:tabs>
          <w:tab w:val="clear" w:pos="562"/>
          <w:tab w:val="clear" w:pos="720"/>
        </w:tabs>
        <w:ind w:left="636" w:hanging="660"/>
        <w:rPr>
          <w:del w:id="10396" w:author="AbbVie_HU_03" w:date="2025-05-14T16:39:00Z"/>
          <w:lang w:val="hu-HU"/>
        </w:rPr>
      </w:pPr>
      <w:del w:id="10397" w:author="AbbVie_HU_03" w:date="2025-05-14T16:39:00Z">
        <w:r w:rsidRPr="00183B5F">
          <w:rPr>
            <w:lang w:val="hu-HU"/>
          </w:rPr>
          <w:delText xml:space="preserve">Miközben szilárdan tartja az adaptert, helyezze a fecskendő </w:delText>
        </w:r>
        <w:r w:rsidR="001F3FBE" w:rsidRPr="00183B5F">
          <w:rPr>
            <w:lang w:val="hu-HU"/>
          </w:rPr>
          <w:delText>csúcsát</w:delText>
        </w:r>
        <w:r w:rsidRPr="00183B5F">
          <w:rPr>
            <w:lang w:val="hu-HU"/>
          </w:rPr>
          <w:delText xml:space="preserve"> az adapterbe</w:delText>
        </w:r>
        <w:r w:rsidR="00D44003" w:rsidRPr="00183B5F">
          <w:rPr>
            <w:lang w:val="hu-HU"/>
          </w:rPr>
          <w:delText>,</w:delText>
        </w:r>
        <w:r w:rsidRPr="00183B5F">
          <w:rPr>
            <w:lang w:val="hu-HU"/>
          </w:rPr>
          <w:delText xml:space="preserve"> és egyik kezével forgassa a fecskendőt az óramutató járásának irányába addig, amíg </w:delText>
        </w:r>
        <w:r w:rsidR="001F3FBE" w:rsidRPr="00183B5F">
          <w:rPr>
            <w:lang w:val="hu-HU"/>
          </w:rPr>
          <w:delText xml:space="preserve">az </w:delText>
        </w:r>
        <w:r w:rsidRPr="00183B5F">
          <w:rPr>
            <w:lang w:val="hu-HU"/>
          </w:rPr>
          <w:delText>nem rögzül.</w:delText>
        </w:r>
        <w:r w:rsidR="00F43488" w:rsidRPr="00183B5F">
          <w:rPr>
            <w:lang w:val="hu-HU"/>
          </w:rPr>
          <w:delText xml:space="preserve"> </w:delText>
        </w:r>
        <w:r w:rsidR="00F43488" w:rsidRPr="00183B5F">
          <w:rPr>
            <w:b/>
            <w:lang w:val="hu-HU"/>
          </w:rPr>
          <w:delText>NE</w:delText>
        </w:r>
        <w:r w:rsidR="00F43488" w:rsidRPr="00183B5F">
          <w:rPr>
            <w:lang w:val="hu-HU"/>
          </w:rPr>
          <w:delText xml:space="preserve"> </w:delText>
        </w:r>
        <w:r w:rsidR="001F3FBE" w:rsidRPr="00183B5F">
          <w:rPr>
            <w:lang w:val="hu-HU"/>
          </w:rPr>
          <w:delText>szorítsa rá túl erősen</w:delText>
        </w:r>
        <w:r w:rsidR="000129AB" w:rsidRPr="00183B5F">
          <w:rPr>
            <w:lang w:val="hu-HU"/>
          </w:rPr>
          <w:delText>!</w:delText>
        </w:r>
      </w:del>
    </w:p>
    <w:p w14:paraId="53282EE6" w14:textId="6222323D" w:rsidR="00DE502E" w:rsidRPr="00183B5F" w:rsidRDefault="00DE502E">
      <w:pPr>
        <w:pStyle w:val="EMEANormal"/>
        <w:tabs>
          <w:tab w:val="clear" w:pos="562"/>
        </w:tabs>
        <w:ind w:left="-24"/>
        <w:rPr>
          <w:del w:id="10398" w:author="AbbVie_HU_03" w:date="2025-05-14T16:39:00Z"/>
          <w:lang w:val="hu-HU"/>
        </w:rPr>
      </w:pPr>
    </w:p>
    <w:p w14:paraId="479C19E7" w14:textId="2B89F373" w:rsidR="00022C7B" w:rsidRPr="00183B5F" w:rsidRDefault="00943743">
      <w:pPr>
        <w:pStyle w:val="EMEANormal"/>
        <w:jc w:val="center"/>
        <w:rPr>
          <w:del w:id="10399" w:author="AbbVie_HU_03" w:date="2025-05-14T16:39:00Z"/>
          <w:lang w:val="hu-HU"/>
        </w:rPr>
      </w:pPr>
      <w:del w:id="10400" w:author="AbbVie_HU_03" w:date="2025-05-14T16:39:00Z">
        <w:r w:rsidRPr="005C4B06">
          <w:rPr>
            <w:noProof/>
            <w:lang w:val="en-GB"/>
          </w:rPr>
          <w:drawing>
            <wp:inline distT="0" distB="0" distL="0" distR="0" wp14:anchorId="5353F83B" wp14:editId="5766CA9F">
              <wp:extent cx="1854835" cy="1819910"/>
              <wp:effectExtent l="0" t="0" r="0" b="8890"/>
              <wp:docPr id="3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Kép 7"/>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1854835" cy="1819910"/>
                      </a:xfrm>
                      <a:prstGeom prst="rect">
                        <a:avLst/>
                      </a:prstGeom>
                      <a:noFill/>
                      <a:ln>
                        <a:noFill/>
                      </a:ln>
                    </pic:spPr>
                  </pic:pic>
                </a:graphicData>
              </a:graphic>
            </wp:inline>
          </w:drawing>
        </w:r>
      </w:del>
    </w:p>
    <w:p w14:paraId="4A9A7F6B" w14:textId="664D598B" w:rsidR="009848E0" w:rsidRPr="00183B5F" w:rsidRDefault="009848E0">
      <w:pPr>
        <w:pStyle w:val="EMEANormal"/>
        <w:rPr>
          <w:del w:id="10401" w:author="AbbVie_HU_03" w:date="2025-05-14T16:39:00Z"/>
          <w:lang w:val="hu-HU"/>
        </w:rPr>
      </w:pPr>
    </w:p>
    <w:p w14:paraId="2417172C" w14:textId="2E56FAD9" w:rsidR="00F43488" w:rsidRPr="00183B5F" w:rsidRDefault="00943743">
      <w:pPr>
        <w:pStyle w:val="EMEABullet2"/>
        <w:tabs>
          <w:tab w:val="clear" w:pos="567"/>
          <w:tab w:val="clear" w:pos="720"/>
        </w:tabs>
        <w:ind w:left="576" w:hanging="576"/>
        <w:rPr>
          <w:del w:id="10402" w:author="AbbVie_HU_03" w:date="2025-05-14T16:39:00Z"/>
          <w:lang w:val="hu-HU"/>
        </w:rPr>
      </w:pPr>
      <w:del w:id="10403" w:author="AbbVie_HU_03" w:date="2025-05-14T16:39:00Z">
        <w:r w:rsidRPr="00183B5F">
          <w:rPr>
            <w:lang w:val="hu-HU"/>
          </w:rPr>
          <w:delText xml:space="preserve">Miközben </w:delText>
        </w:r>
        <w:r w:rsidR="00E35FE0" w:rsidRPr="00183B5F">
          <w:rPr>
            <w:lang w:val="hu-HU"/>
          </w:rPr>
          <w:delText xml:space="preserve">tartja az injekciós üveget, nyomja le teljesen a </w:delText>
        </w:r>
        <w:r w:rsidR="00065734" w:rsidRPr="00183B5F">
          <w:rPr>
            <w:lang w:val="hu-HU"/>
          </w:rPr>
          <w:delText xml:space="preserve">fecskendő </w:delText>
        </w:r>
        <w:r w:rsidR="00E35FE0" w:rsidRPr="00183B5F">
          <w:rPr>
            <w:lang w:val="hu-HU"/>
          </w:rPr>
          <w:delText>fehér dugattyút</w:delText>
        </w:r>
        <w:r w:rsidR="00065734" w:rsidRPr="00183B5F">
          <w:rPr>
            <w:lang w:val="hu-HU"/>
          </w:rPr>
          <w:delText>ját</w:delText>
        </w:r>
        <w:r w:rsidR="00E35FE0" w:rsidRPr="00183B5F">
          <w:rPr>
            <w:lang w:val="hu-HU"/>
          </w:rPr>
          <w:delText xml:space="preserve">. Ez a lépés fontos ahhoz, hogy ki lehessen mérni a megfelelő adagot. Tartsa </w:delText>
        </w:r>
        <w:r w:rsidR="00065734" w:rsidRPr="00183B5F">
          <w:rPr>
            <w:lang w:val="hu-HU"/>
          </w:rPr>
          <w:delText>teljesen lenyomva</w:delText>
        </w:r>
        <w:r w:rsidR="00E35FE0" w:rsidRPr="00183B5F">
          <w:rPr>
            <w:lang w:val="hu-HU"/>
          </w:rPr>
          <w:delText xml:space="preserve"> a fehér dugattyút</w:delText>
        </w:r>
        <w:r w:rsidR="00D44003" w:rsidRPr="00183B5F">
          <w:rPr>
            <w:lang w:val="hu-HU"/>
          </w:rPr>
          <w:delText>,</w:delText>
        </w:r>
        <w:r w:rsidR="00E35FE0" w:rsidRPr="00183B5F">
          <w:rPr>
            <w:lang w:val="hu-HU"/>
          </w:rPr>
          <w:delText xml:space="preserve"> és fordítsa</w:delText>
        </w:r>
        <w:r w:rsidR="00065734" w:rsidRPr="00183B5F">
          <w:rPr>
            <w:lang w:val="hu-HU"/>
          </w:rPr>
          <w:delText xml:space="preserve"> </w:delText>
        </w:r>
        <w:r w:rsidR="00D44003" w:rsidRPr="00183B5F">
          <w:rPr>
            <w:lang w:val="hu-HU"/>
          </w:rPr>
          <w:delText>meg</w:delText>
        </w:r>
        <w:r w:rsidR="003F345C" w:rsidRPr="00183B5F">
          <w:rPr>
            <w:lang w:val="hu-HU"/>
          </w:rPr>
          <w:delText xml:space="preserve"> az injekciós üveget és a fecskendőt</w:delText>
        </w:r>
        <w:r w:rsidR="00F62AFF" w:rsidRPr="00183B5F">
          <w:rPr>
            <w:lang w:val="hu-HU"/>
          </w:rPr>
          <w:delText xml:space="preserve"> úgy, hogy az injekciós üveg kerüljön felülre</w:delText>
        </w:r>
        <w:r w:rsidR="003F345C" w:rsidRPr="00183B5F">
          <w:rPr>
            <w:lang w:val="hu-HU"/>
          </w:rPr>
          <w:delText>.</w:delText>
        </w:r>
      </w:del>
    </w:p>
    <w:p w14:paraId="24E0AAA8" w14:textId="59E22B80" w:rsidR="009848E0" w:rsidRPr="00183B5F" w:rsidRDefault="009848E0">
      <w:pPr>
        <w:pStyle w:val="EMEANormal"/>
        <w:tabs>
          <w:tab w:val="clear" w:pos="562"/>
        </w:tabs>
        <w:rPr>
          <w:del w:id="10404" w:author="AbbVie_HU_03" w:date="2025-05-14T16:39:00Z"/>
          <w:lang w:val="hu-HU"/>
        </w:rPr>
      </w:pPr>
    </w:p>
    <w:p w14:paraId="59FFC74C" w14:textId="6CD94BB1" w:rsidR="00022C7B" w:rsidRPr="00183B5F" w:rsidRDefault="00943743">
      <w:pPr>
        <w:pStyle w:val="EMEANormal"/>
        <w:jc w:val="center"/>
        <w:rPr>
          <w:del w:id="10405" w:author="AbbVie_HU_03" w:date="2025-05-14T16:39:00Z"/>
          <w:lang w:val="hu-HU"/>
        </w:rPr>
      </w:pPr>
      <w:del w:id="10406" w:author="AbbVie_HU_03" w:date="2025-05-14T16:39:00Z">
        <w:r w:rsidRPr="005C4B06">
          <w:rPr>
            <w:noProof/>
            <w:lang w:val="en-GB"/>
          </w:rPr>
          <w:drawing>
            <wp:inline distT="0" distB="0" distL="0" distR="0" wp14:anchorId="1D7811C7" wp14:editId="224EB4DE">
              <wp:extent cx="1819910" cy="1819910"/>
              <wp:effectExtent l="0" t="0" r="8890" b="8890"/>
              <wp:docPr id="38"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Kép 8"/>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1819910" cy="1819910"/>
                      </a:xfrm>
                      <a:prstGeom prst="rect">
                        <a:avLst/>
                      </a:prstGeom>
                      <a:noFill/>
                      <a:ln>
                        <a:noFill/>
                      </a:ln>
                    </pic:spPr>
                  </pic:pic>
                </a:graphicData>
              </a:graphic>
            </wp:inline>
          </w:drawing>
        </w:r>
      </w:del>
    </w:p>
    <w:p w14:paraId="448D8766" w14:textId="6739BE62" w:rsidR="009848E0" w:rsidRPr="00183B5F" w:rsidRDefault="009848E0">
      <w:pPr>
        <w:pStyle w:val="EMEANormal"/>
        <w:ind w:left="360"/>
        <w:rPr>
          <w:del w:id="10407" w:author="AbbVie_HU_03" w:date="2025-05-14T16:39:00Z"/>
          <w:lang w:val="hu-HU"/>
        </w:rPr>
      </w:pPr>
    </w:p>
    <w:p w14:paraId="04903744" w14:textId="18DD2E46" w:rsidR="003F345C" w:rsidRPr="00183B5F" w:rsidRDefault="00943743" w:rsidP="004062FE">
      <w:pPr>
        <w:pStyle w:val="EMEANormal"/>
        <w:numPr>
          <w:ilvl w:val="0"/>
          <w:numId w:val="85"/>
        </w:numPr>
        <w:tabs>
          <w:tab w:val="clear" w:pos="562"/>
          <w:tab w:val="clear" w:pos="720"/>
          <w:tab w:val="num" w:pos="588"/>
        </w:tabs>
        <w:ind w:left="612" w:hanging="564"/>
        <w:rPr>
          <w:del w:id="10408" w:author="AbbVie_HU_03" w:date="2025-05-14T16:39:00Z"/>
          <w:lang w:val="hu-HU"/>
        </w:rPr>
      </w:pPr>
      <w:del w:id="10409" w:author="AbbVie_HU_03" w:date="2025-05-14T16:39:00Z">
        <w:r w:rsidRPr="00183B5F">
          <w:rPr>
            <w:b/>
            <w:lang w:val="hu-HU"/>
          </w:rPr>
          <w:delText xml:space="preserve">LASSAN </w:delText>
        </w:r>
        <w:r w:rsidR="001F3FBE" w:rsidRPr="00183B5F">
          <w:rPr>
            <w:lang w:val="hu-HU"/>
          </w:rPr>
          <w:delText>húzza vissza</w:delText>
        </w:r>
        <w:r w:rsidRPr="00183B5F">
          <w:rPr>
            <w:lang w:val="hu-HU"/>
          </w:rPr>
          <w:delText xml:space="preserve"> a fehér dugattyút</w:delText>
        </w:r>
        <w:r w:rsidR="001F3FBE" w:rsidRPr="00183B5F">
          <w:rPr>
            <w:lang w:val="hu-HU"/>
          </w:rPr>
          <w:delText xml:space="preserve"> </w:delText>
        </w:r>
        <w:r w:rsidR="00E764AB" w:rsidRPr="00183B5F">
          <w:rPr>
            <w:lang w:val="hu-HU"/>
          </w:rPr>
          <w:delText>0,1</w:delText>
        </w:r>
        <w:r w:rsidR="001775F8" w:rsidRPr="00183B5F">
          <w:rPr>
            <w:lang w:val="hu-HU"/>
          </w:rPr>
          <w:delText> </w:delText>
        </w:r>
        <w:r w:rsidR="00E764AB" w:rsidRPr="00183B5F">
          <w:rPr>
            <w:lang w:val="hu-HU"/>
          </w:rPr>
          <w:delText>ml-</w:delText>
        </w:r>
        <w:r w:rsidR="001F3FBE" w:rsidRPr="00183B5F">
          <w:rPr>
            <w:lang w:val="hu-HU"/>
          </w:rPr>
          <w:delText>r</w:delText>
        </w:r>
        <w:r w:rsidR="00E764AB" w:rsidRPr="00183B5F">
          <w:rPr>
            <w:lang w:val="hu-HU"/>
          </w:rPr>
          <w:delText xml:space="preserve">el </w:delText>
        </w:r>
        <w:r w:rsidR="00065734" w:rsidRPr="00183B5F">
          <w:rPr>
            <w:lang w:val="hu-HU"/>
          </w:rPr>
          <w:delText xml:space="preserve">tovább, mint </w:delText>
        </w:r>
        <w:r w:rsidR="001F3FBE" w:rsidRPr="00183B5F">
          <w:rPr>
            <w:lang w:val="hu-HU"/>
          </w:rPr>
          <w:delText>a rendelt adag</w:delText>
        </w:r>
        <w:r w:rsidR="00E764AB" w:rsidRPr="00183B5F">
          <w:rPr>
            <w:lang w:val="hu-HU"/>
          </w:rPr>
          <w:delText>. Ez fontos ahhoz, hogy ki lehessen mérni a megfelelő adagot. A rendelt adag térfogatát a 4. lépésben (Az adag kimérése) állítja majd be. Ha a rendelt adag 0,5</w:delText>
        </w:r>
        <w:r w:rsidR="001775F8" w:rsidRPr="00183B5F">
          <w:rPr>
            <w:lang w:val="hu-HU"/>
          </w:rPr>
          <w:delText> </w:delText>
        </w:r>
        <w:r w:rsidR="00E764AB" w:rsidRPr="00183B5F">
          <w:rPr>
            <w:lang w:val="hu-HU"/>
          </w:rPr>
          <w:delText xml:space="preserve">ml, húzza </w:delText>
        </w:r>
        <w:r w:rsidR="00065734" w:rsidRPr="00183B5F">
          <w:rPr>
            <w:lang w:val="hu-HU"/>
          </w:rPr>
          <w:delText>vissza</w:delText>
        </w:r>
        <w:r w:rsidR="00E764AB" w:rsidRPr="00183B5F">
          <w:rPr>
            <w:lang w:val="hu-HU"/>
          </w:rPr>
          <w:delText xml:space="preserve"> a fehér dugattyút </w:delText>
        </w:r>
        <w:r w:rsidR="00065734" w:rsidRPr="00183B5F">
          <w:rPr>
            <w:lang w:val="hu-HU"/>
          </w:rPr>
          <w:delText xml:space="preserve">a </w:delText>
        </w:r>
        <w:r w:rsidR="00E764AB" w:rsidRPr="00183B5F">
          <w:rPr>
            <w:lang w:val="hu-HU"/>
          </w:rPr>
          <w:delText>0,6</w:delText>
        </w:r>
        <w:r w:rsidR="001775F8" w:rsidRPr="00183B5F">
          <w:rPr>
            <w:lang w:val="hu-HU"/>
          </w:rPr>
          <w:delText> </w:delText>
        </w:r>
        <w:r w:rsidR="00E764AB" w:rsidRPr="00183B5F">
          <w:rPr>
            <w:lang w:val="hu-HU"/>
          </w:rPr>
          <w:delText>ml-e</w:delText>
        </w:r>
        <w:r w:rsidR="00065734" w:rsidRPr="00183B5F">
          <w:rPr>
            <w:lang w:val="hu-HU"/>
          </w:rPr>
          <w:delText>s jelzésig</w:delText>
        </w:r>
        <w:r w:rsidR="00E764AB" w:rsidRPr="00183B5F">
          <w:rPr>
            <w:lang w:val="hu-HU"/>
          </w:rPr>
          <w:delText xml:space="preserve">. </w:delText>
        </w:r>
        <w:r w:rsidR="009927E2" w:rsidRPr="00183B5F">
          <w:rPr>
            <w:lang w:val="hu-HU"/>
          </w:rPr>
          <w:delText>Látni fogja, amint a gyógyszert tartalmazó folyadék az injekciós üvegből a fecskendőbe áramlik.</w:delText>
        </w:r>
      </w:del>
    </w:p>
    <w:p w14:paraId="2BA4CBB3" w14:textId="7844FA29" w:rsidR="00756274" w:rsidRPr="00183B5F" w:rsidRDefault="00756274">
      <w:pPr>
        <w:pStyle w:val="EMEANormal"/>
        <w:jc w:val="center"/>
        <w:rPr>
          <w:del w:id="10410" w:author="AbbVie_HU_03" w:date="2025-05-14T16:39:00Z"/>
          <w:lang w:val="hu-HU"/>
        </w:rPr>
      </w:pPr>
    </w:p>
    <w:p w14:paraId="6C275B01" w14:textId="5A5D94F1" w:rsidR="00022C7B" w:rsidRPr="00183B5F" w:rsidRDefault="00943743">
      <w:pPr>
        <w:pStyle w:val="EMEANormal"/>
        <w:jc w:val="center"/>
        <w:rPr>
          <w:del w:id="10411" w:author="AbbVie_HU_03" w:date="2025-05-14T16:39:00Z"/>
          <w:lang w:val="hu-HU"/>
        </w:rPr>
      </w:pPr>
      <w:del w:id="10412" w:author="AbbVie_HU_03" w:date="2025-05-14T16:39:00Z">
        <w:r w:rsidRPr="005C4B06">
          <w:rPr>
            <w:noProof/>
            <w:lang w:val="en-GB"/>
          </w:rPr>
          <w:drawing>
            <wp:inline distT="0" distB="0" distL="0" distR="0" wp14:anchorId="407D7D9E" wp14:editId="2948EF7D">
              <wp:extent cx="1819910" cy="1819910"/>
              <wp:effectExtent l="0" t="0" r="8890" b="8890"/>
              <wp:docPr id="39"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Kép 9"/>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1819910" cy="1819910"/>
                      </a:xfrm>
                      <a:prstGeom prst="rect">
                        <a:avLst/>
                      </a:prstGeom>
                      <a:noFill/>
                      <a:ln>
                        <a:noFill/>
                      </a:ln>
                    </pic:spPr>
                  </pic:pic>
                </a:graphicData>
              </a:graphic>
            </wp:inline>
          </w:drawing>
        </w:r>
      </w:del>
    </w:p>
    <w:p w14:paraId="3CDB326B" w14:textId="5327D3F7" w:rsidR="00DE502E" w:rsidRPr="00183B5F" w:rsidRDefault="00DE502E">
      <w:pPr>
        <w:pStyle w:val="EMEANormal"/>
        <w:tabs>
          <w:tab w:val="clear" w:pos="562"/>
        </w:tabs>
        <w:ind w:left="-72"/>
        <w:rPr>
          <w:del w:id="10413" w:author="AbbVie_HU_03" w:date="2025-05-14T16:39:00Z"/>
          <w:lang w:val="hu-HU"/>
        </w:rPr>
      </w:pPr>
    </w:p>
    <w:p w14:paraId="402A12DB" w14:textId="582E5521" w:rsidR="009848E0" w:rsidRPr="00183B5F" w:rsidRDefault="00943743" w:rsidP="004062FE">
      <w:pPr>
        <w:pStyle w:val="EMEANormal"/>
        <w:numPr>
          <w:ilvl w:val="0"/>
          <w:numId w:val="88"/>
        </w:numPr>
        <w:tabs>
          <w:tab w:val="clear" w:pos="562"/>
          <w:tab w:val="clear" w:pos="1574"/>
        </w:tabs>
        <w:ind w:left="588" w:hanging="660"/>
        <w:rPr>
          <w:del w:id="10414" w:author="AbbVie_HU_03" w:date="2025-05-14T16:39:00Z"/>
          <w:lang w:val="hu-HU"/>
        </w:rPr>
      </w:pPr>
      <w:del w:id="10415" w:author="AbbVie_HU_03" w:date="2025-05-14T16:39:00Z">
        <w:r w:rsidRPr="00183B5F">
          <w:rPr>
            <w:lang w:val="hu-HU"/>
          </w:rPr>
          <w:delText>Nyomja vissza teljesen a fehér dugattyút</w:delText>
        </w:r>
        <w:r w:rsidR="00A97F94" w:rsidRPr="00183B5F">
          <w:rPr>
            <w:lang w:val="hu-HU"/>
          </w:rPr>
          <w:delText xml:space="preserve">, hogy a gyógyszert tartalmazó folyadék visszakerüljön az injekciós üvegbe. Ezután </w:delText>
        </w:r>
        <w:r w:rsidR="00065734" w:rsidRPr="00183B5F">
          <w:rPr>
            <w:lang w:val="hu-HU"/>
          </w:rPr>
          <w:delText>ismételten</w:delText>
        </w:r>
        <w:r w:rsidR="00DF4BF2" w:rsidRPr="00183B5F">
          <w:rPr>
            <w:lang w:val="hu-HU"/>
          </w:rPr>
          <w:delText>,</w:delText>
        </w:r>
        <w:r w:rsidR="00A97F94" w:rsidRPr="00183B5F">
          <w:rPr>
            <w:lang w:val="hu-HU"/>
          </w:rPr>
          <w:delText xml:space="preserve"> </w:delText>
        </w:r>
        <w:r w:rsidR="00A97F94" w:rsidRPr="00183B5F">
          <w:rPr>
            <w:b/>
            <w:lang w:val="hu-HU"/>
          </w:rPr>
          <w:delText>LASSAN</w:delText>
        </w:r>
        <w:r w:rsidR="00A97F94" w:rsidRPr="00183B5F">
          <w:rPr>
            <w:lang w:val="hu-HU"/>
          </w:rPr>
          <w:delText xml:space="preserve"> </w:delText>
        </w:r>
        <w:r w:rsidR="00DF4BF2" w:rsidRPr="00183B5F">
          <w:rPr>
            <w:lang w:val="hu-HU"/>
          </w:rPr>
          <w:delText xml:space="preserve">húzza </w:delText>
        </w:r>
        <w:r w:rsidR="00065734" w:rsidRPr="00183B5F">
          <w:rPr>
            <w:lang w:val="hu-HU"/>
          </w:rPr>
          <w:delText>vissza</w:delText>
        </w:r>
        <w:r w:rsidR="00DF4BF2" w:rsidRPr="00183B5F">
          <w:rPr>
            <w:lang w:val="hu-HU"/>
          </w:rPr>
          <w:delText xml:space="preserve"> a fehér dugattyút</w:delText>
        </w:r>
        <w:r w:rsidR="00A97F94" w:rsidRPr="00183B5F">
          <w:rPr>
            <w:lang w:val="hu-HU"/>
          </w:rPr>
          <w:delText xml:space="preserve"> 0,1</w:delText>
        </w:r>
        <w:r w:rsidR="001775F8" w:rsidRPr="00183B5F">
          <w:rPr>
            <w:lang w:val="hu-HU"/>
          </w:rPr>
          <w:delText> </w:delText>
        </w:r>
        <w:r w:rsidR="00A97F94" w:rsidRPr="00183B5F">
          <w:rPr>
            <w:lang w:val="hu-HU"/>
          </w:rPr>
          <w:delText>ml-</w:delText>
        </w:r>
        <w:r w:rsidR="00DF4BF2" w:rsidRPr="00183B5F">
          <w:rPr>
            <w:lang w:val="hu-HU"/>
          </w:rPr>
          <w:delText>r</w:delText>
        </w:r>
        <w:r w:rsidR="00A97F94" w:rsidRPr="00183B5F">
          <w:rPr>
            <w:lang w:val="hu-HU"/>
          </w:rPr>
          <w:delText xml:space="preserve">el </w:delText>
        </w:r>
        <w:r w:rsidR="00065734" w:rsidRPr="00183B5F">
          <w:rPr>
            <w:lang w:val="hu-HU"/>
          </w:rPr>
          <w:delText xml:space="preserve">tovább, mint </w:delText>
        </w:r>
        <w:r w:rsidR="00A97F94" w:rsidRPr="00183B5F">
          <w:rPr>
            <w:lang w:val="hu-HU"/>
          </w:rPr>
          <w:delText xml:space="preserve">a rendelt adag. Ez </w:delText>
        </w:r>
        <w:r w:rsidR="00065734" w:rsidRPr="00183B5F">
          <w:rPr>
            <w:lang w:val="hu-HU"/>
          </w:rPr>
          <w:delText xml:space="preserve">a lépés </w:delText>
        </w:r>
        <w:r w:rsidR="00A97F94" w:rsidRPr="00183B5F">
          <w:rPr>
            <w:lang w:val="hu-HU"/>
          </w:rPr>
          <w:delText>fontos a megfelelő adag kiméréséhez és a</w:delText>
        </w:r>
        <w:r w:rsidR="00065734" w:rsidRPr="00183B5F">
          <w:rPr>
            <w:lang w:val="hu-HU"/>
          </w:rPr>
          <w:delText>nnak érdekében</w:delText>
        </w:r>
        <w:r w:rsidR="00A97F94" w:rsidRPr="00183B5F">
          <w:rPr>
            <w:lang w:val="hu-HU"/>
          </w:rPr>
          <w:delText>, hogy</w:delText>
        </w:r>
        <w:r w:rsidR="00122652" w:rsidRPr="00183B5F">
          <w:rPr>
            <w:lang w:val="hu-HU"/>
          </w:rPr>
          <w:delText xml:space="preserve"> ne alakuljanak ki légbuborékok, illetve levegőzárványok a gyógyszert tartalmazó folyadékban. A rendelt adag térfogatát a 4. lépésben (Az adag kimérése) állítja majd be.</w:delText>
        </w:r>
      </w:del>
    </w:p>
    <w:p w14:paraId="29222930" w14:textId="0484BDEA" w:rsidR="009848E0" w:rsidRPr="00183B5F" w:rsidRDefault="009848E0">
      <w:pPr>
        <w:pStyle w:val="EMEANormal"/>
        <w:rPr>
          <w:del w:id="10416" w:author="AbbVie_HU_03" w:date="2025-05-14T16:39:00Z"/>
          <w:lang w:val="hu-HU"/>
        </w:rPr>
      </w:pPr>
    </w:p>
    <w:p w14:paraId="1E92D0CF" w14:textId="451F9C71" w:rsidR="00B60D67" w:rsidRPr="00183B5F" w:rsidRDefault="00943743">
      <w:pPr>
        <w:pStyle w:val="EMEANormal"/>
        <w:jc w:val="center"/>
        <w:rPr>
          <w:del w:id="10417" w:author="AbbVie_HU_03" w:date="2025-05-14T16:39:00Z"/>
          <w:lang w:val="hu-HU"/>
        </w:rPr>
      </w:pPr>
      <w:del w:id="10418" w:author="AbbVie_HU_03" w:date="2025-05-14T16:39:00Z">
        <w:r w:rsidRPr="00183B5F">
          <w:rPr>
            <w:lang w:val="hu-HU"/>
          </w:rPr>
          <w:tab/>
        </w:r>
        <w:r w:rsidRPr="00183B5F">
          <w:rPr>
            <w:lang w:val="hu-HU"/>
          </w:rPr>
          <w:tab/>
        </w:r>
        <w:r w:rsidR="00834BF8" w:rsidRPr="005C4B06">
          <w:rPr>
            <w:noProof/>
            <w:lang w:val="en-GB"/>
          </w:rPr>
          <w:drawing>
            <wp:inline distT="0" distB="0" distL="0" distR="0" wp14:anchorId="6E18671F" wp14:editId="393912DD">
              <wp:extent cx="1854835" cy="1828800"/>
              <wp:effectExtent l="0" t="0" r="0" b="0"/>
              <wp:docPr id="40" name="Picture 1" descr="cid:image002.png@01CE039B.D501E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 descr="cid:image002.png@01CE039B.D501EB10"/>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1854835" cy="1828800"/>
                      </a:xfrm>
                      <a:prstGeom prst="rect">
                        <a:avLst/>
                      </a:prstGeom>
                      <a:noFill/>
                      <a:ln>
                        <a:noFill/>
                      </a:ln>
                    </pic:spPr>
                  </pic:pic>
                </a:graphicData>
              </a:graphic>
            </wp:inline>
          </w:drawing>
        </w:r>
      </w:del>
    </w:p>
    <w:p w14:paraId="01615BC9" w14:textId="68C18080" w:rsidR="009848E0" w:rsidRPr="00183B5F" w:rsidRDefault="009848E0">
      <w:pPr>
        <w:pStyle w:val="EMEANormal"/>
        <w:rPr>
          <w:del w:id="10419" w:author="AbbVie_HU_03" w:date="2025-05-14T16:39:00Z"/>
          <w:lang w:val="hu-HU"/>
        </w:rPr>
      </w:pPr>
    </w:p>
    <w:p w14:paraId="0F0AE58B" w14:textId="640374F6" w:rsidR="00122652" w:rsidRPr="00183B5F" w:rsidRDefault="00943743" w:rsidP="004062FE">
      <w:pPr>
        <w:pStyle w:val="EMEANormal"/>
        <w:numPr>
          <w:ilvl w:val="0"/>
          <w:numId w:val="85"/>
        </w:numPr>
        <w:tabs>
          <w:tab w:val="clear" w:pos="720"/>
        </w:tabs>
        <w:ind w:hanging="708"/>
        <w:rPr>
          <w:del w:id="10420" w:author="AbbVie_HU_03" w:date="2025-05-14T16:39:00Z"/>
          <w:lang w:val="hu-HU"/>
        </w:rPr>
      </w:pPr>
      <w:del w:id="10421" w:author="AbbVie_HU_03" w:date="2025-05-14T16:39:00Z">
        <w:r w:rsidRPr="00183B5F">
          <w:rPr>
            <w:lang w:val="hu-HU"/>
          </w:rPr>
          <w:delText xml:space="preserve">Ha </w:delText>
        </w:r>
        <w:r w:rsidR="001D1A29" w:rsidRPr="00183B5F">
          <w:rPr>
            <w:lang w:val="hu-HU"/>
          </w:rPr>
          <w:delText xml:space="preserve">a fecskendőben lévő </w:delText>
        </w:r>
        <w:r w:rsidR="00B135E6" w:rsidRPr="00183B5F">
          <w:rPr>
            <w:lang w:val="hu-HU"/>
          </w:rPr>
          <w:delText>gyógyszeroldatban</w:delText>
        </w:r>
        <w:r w:rsidR="001D1A29" w:rsidRPr="00183B5F">
          <w:rPr>
            <w:lang w:val="hu-HU"/>
          </w:rPr>
          <w:delText xml:space="preserve"> </w:delText>
        </w:r>
        <w:r w:rsidR="00D44003" w:rsidRPr="00183B5F">
          <w:rPr>
            <w:lang w:val="hu-HU"/>
          </w:rPr>
          <w:delText>maradt</w:delText>
        </w:r>
        <w:r w:rsidR="001D1A29" w:rsidRPr="00183B5F">
          <w:rPr>
            <w:lang w:val="hu-HU"/>
          </w:rPr>
          <w:delText xml:space="preserve"> légbuborékokat vagy levegőzárványokat észlel, </w:delText>
        </w:r>
        <w:r w:rsidR="0064005F" w:rsidRPr="00183B5F">
          <w:rPr>
            <w:lang w:val="hu-HU"/>
          </w:rPr>
          <w:delText xml:space="preserve">megismételheti </w:delText>
        </w:r>
        <w:r w:rsidR="001D1A29" w:rsidRPr="00183B5F">
          <w:rPr>
            <w:lang w:val="hu-HU"/>
          </w:rPr>
          <w:delText>ezt az eljárást</w:delText>
        </w:r>
        <w:r w:rsidR="0064005F" w:rsidRPr="00183B5F">
          <w:rPr>
            <w:lang w:val="hu-HU"/>
          </w:rPr>
          <w:delText>,</w:delText>
        </w:r>
        <w:r w:rsidR="001D1A29" w:rsidRPr="00183B5F">
          <w:rPr>
            <w:lang w:val="hu-HU"/>
          </w:rPr>
          <w:delText xml:space="preserve"> </w:delText>
        </w:r>
        <w:r w:rsidR="0064005F" w:rsidRPr="00183B5F">
          <w:rPr>
            <w:lang w:val="hu-HU"/>
          </w:rPr>
          <w:delText>összesen</w:delText>
        </w:r>
        <w:r w:rsidR="001D1A29" w:rsidRPr="00183B5F">
          <w:rPr>
            <w:lang w:val="hu-HU"/>
          </w:rPr>
          <w:delText xml:space="preserve"> háromszor. </w:delText>
        </w:r>
        <w:r w:rsidR="001D1A29" w:rsidRPr="00183B5F">
          <w:rPr>
            <w:b/>
            <w:lang w:val="hu-HU"/>
          </w:rPr>
          <w:delText xml:space="preserve">NE RÁZOGASSA </w:delText>
        </w:r>
        <w:r w:rsidR="001D1A29" w:rsidRPr="00183B5F">
          <w:rPr>
            <w:lang w:val="hu-HU"/>
          </w:rPr>
          <w:delText>a fecskendőt</w:delText>
        </w:r>
        <w:r w:rsidR="000129AB" w:rsidRPr="00183B5F">
          <w:rPr>
            <w:lang w:val="hu-HU"/>
          </w:rPr>
          <w:delText>!</w:delText>
        </w:r>
      </w:del>
    </w:p>
    <w:p w14:paraId="3014CFD4" w14:textId="73AADC1A" w:rsidR="00756274" w:rsidRPr="00183B5F" w:rsidRDefault="00756274">
      <w:pPr>
        <w:pStyle w:val="EMEANormal"/>
        <w:rPr>
          <w:del w:id="10422" w:author="AbbVie_HU_03" w:date="2025-05-14T16:39:00Z"/>
          <w:b/>
          <w:lang w:val="hu-HU"/>
        </w:rPr>
      </w:pPr>
    </w:p>
    <w:p w14:paraId="2975BE30" w14:textId="640D6DE2" w:rsidR="009848E0" w:rsidRPr="00183B5F" w:rsidRDefault="00943743">
      <w:pPr>
        <w:pStyle w:val="EMEANormal"/>
        <w:keepNext/>
        <w:rPr>
          <w:del w:id="10423" w:author="AbbVie_HU_03" w:date="2025-05-14T16:39:00Z"/>
          <w:lang w:val="hu-HU"/>
        </w:rPr>
      </w:pPr>
      <w:del w:id="10424" w:author="AbbVie_HU_03" w:date="2025-05-14T16:39:00Z">
        <w:r w:rsidRPr="00183B5F">
          <w:rPr>
            <w:b/>
            <w:lang w:val="hu-HU"/>
          </w:rPr>
          <w:delText>MEGJEGYZÉS</w:delText>
        </w:r>
        <w:r w:rsidRPr="00183B5F">
          <w:rPr>
            <w:lang w:val="hu-HU"/>
          </w:rPr>
          <w:delText xml:space="preserve">: </w:delText>
        </w:r>
      </w:del>
    </w:p>
    <w:p w14:paraId="250E022E" w14:textId="723D640B" w:rsidR="009848E0" w:rsidRPr="00183B5F" w:rsidRDefault="009848E0">
      <w:pPr>
        <w:pStyle w:val="EMEANormal"/>
        <w:keepNext/>
        <w:rPr>
          <w:del w:id="10425" w:author="AbbVie_HU_03" w:date="2025-05-14T16:39:00Z"/>
          <w:lang w:val="hu-HU"/>
        </w:rPr>
      </w:pPr>
    </w:p>
    <w:p w14:paraId="25766C87" w14:textId="330CBCEF" w:rsidR="001D1A29" w:rsidRPr="00183B5F" w:rsidRDefault="00943743">
      <w:pPr>
        <w:pStyle w:val="EMEANormal"/>
        <w:keepNext/>
        <w:rPr>
          <w:del w:id="10426" w:author="AbbVie_HU_03" w:date="2025-05-14T16:39:00Z"/>
          <w:lang w:val="hu-HU"/>
        </w:rPr>
      </w:pPr>
      <w:del w:id="10427" w:author="AbbVie_HU_03" w:date="2025-05-14T16:39:00Z">
        <w:r w:rsidRPr="00183B5F">
          <w:rPr>
            <w:lang w:val="hu-HU"/>
          </w:rPr>
          <w:delText>Ha a fehér dugattyút teljesen kihúzta a fecskendőből, dobja ki a fecskendőt</w:delText>
        </w:r>
        <w:r w:rsidR="00D44003" w:rsidRPr="00183B5F">
          <w:rPr>
            <w:lang w:val="hu-HU"/>
          </w:rPr>
          <w:delText>,</w:delText>
        </w:r>
        <w:r w:rsidRPr="00183B5F">
          <w:rPr>
            <w:lang w:val="hu-HU"/>
          </w:rPr>
          <w:delText xml:space="preserve"> és egy újabb fecskendő beszerzéséért lépjen kapcsolatba azzal</w:delText>
        </w:r>
        <w:r w:rsidR="00B135E6" w:rsidRPr="00183B5F">
          <w:rPr>
            <w:lang w:val="hu-HU"/>
          </w:rPr>
          <w:delText xml:space="preserve"> a személlyel</w:delText>
        </w:r>
        <w:r w:rsidRPr="00183B5F">
          <w:rPr>
            <w:lang w:val="hu-HU"/>
          </w:rPr>
          <w:delText xml:space="preserve">, akitől a Humira-t </w:delText>
        </w:r>
        <w:r w:rsidR="00B135E6" w:rsidRPr="00183B5F">
          <w:rPr>
            <w:lang w:val="hu-HU"/>
          </w:rPr>
          <w:delText>beszerezte</w:delText>
        </w:r>
        <w:r w:rsidRPr="00183B5F">
          <w:rPr>
            <w:lang w:val="hu-HU"/>
          </w:rPr>
          <w:delText xml:space="preserve">. </w:delText>
        </w:r>
        <w:r w:rsidRPr="00183B5F">
          <w:rPr>
            <w:b/>
            <w:lang w:val="hu-HU"/>
          </w:rPr>
          <w:delText xml:space="preserve">NE </w:delText>
        </w:r>
        <w:r w:rsidRPr="00183B5F">
          <w:rPr>
            <w:lang w:val="hu-HU"/>
          </w:rPr>
          <w:delText>próbálja visszahelyezni a fehér dugattyút a fecskendőbe</w:delText>
        </w:r>
        <w:r w:rsidR="000129AB" w:rsidRPr="00183B5F">
          <w:rPr>
            <w:lang w:val="hu-HU"/>
          </w:rPr>
          <w:delText>!</w:delText>
        </w:r>
      </w:del>
    </w:p>
    <w:p w14:paraId="4B2E2FA7" w14:textId="0AB8D8C5" w:rsidR="009848E0" w:rsidRPr="00183B5F" w:rsidRDefault="009848E0">
      <w:pPr>
        <w:pStyle w:val="EMEANormal"/>
        <w:rPr>
          <w:del w:id="10428" w:author="AbbVie_HU_03" w:date="2025-05-14T16:39:00Z"/>
          <w:lang w:val="hu-HU"/>
        </w:rPr>
      </w:pPr>
    </w:p>
    <w:p w14:paraId="45E6E921" w14:textId="2CD20AE9" w:rsidR="001D1A29" w:rsidRPr="00183B5F" w:rsidRDefault="00943743" w:rsidP="004062FE">
      <w:pPr>
        <w:pStyle w:val="EMEANormal"/>
        <w:numPr>
          <w:ilvl w:val="0"/>
          <w:numId w:val="85"/>
        </w:numPr>
        <w:tabs>
          <w:tab w:val="clear" w:pos="720"/>
          <w:tab w:val="num" w:pos="588"/>
        </w:tabs>
        <w:ind w:hanging="720"/>
        <w:rPr>
          <w:del w:id="10429" w:author="AbbVie_HU_03" w:date="2025-05-14T16:39:00Z"/>
          <w:lang w:val="hu-HU"/>
        </w:rPr>
      </w:pPr>
      <w:del w:id="10430" w:author="AbbVie_HU_03" w:date="2025-05-14T16:39:00Z">
        <w:r w:rsidRPr="00183B5F">
          <w:rPr>
            <w:lang w:val="hu-HU"/>
          </w:rPr>
          <w:delText xml:space="preserve">Miközben </w:delText>
        </w:r>
        <w:r w:rsidR="00B135E6" w:rsidRPr="00183B5F">
          <w:rPr>
            <w:lang w:val="hu-HU"/>
          </w:rPr>
          <w:delText xml:space="preserve">egyik kezével továbbra is </w:delText>
        </w:r>
        <w:r w:rsidRPr="00183B5F">
          <w:rPr>
            <w:lang w:val="hu-HU"/>
          </w:rPr>
          <w:delText>a jel</w:delText>
        </w:r>
        <w:r w:rsidR="00B135E6" w:rsidRPr="00183B5F">
          <w:rPr>
            <w:lang w:val="hu-HU"/>
          </w:rPr>
          <w:delText xml:space="preserve">zésekkel ellátott részénél </w:delText>
        </w:r>
        <w:r w:rsidRPr="00183B5F">
          <w:rPr>
            <w:lang w:val="hu-HU"/>
          </w:rPr>
          <w:delText xml:space="preserve">fogva függőlegesen felfelé tartja </w:delText>
        </w:r>
        <w:r w:rsidR="006A70F4" w:rsidRPr="00183B5F">
          <w:rPr>
            <w:lang w:val="hu-HU"/>
          </w:rPr>
          <w:delText xml:space="preserve">a </w:delText>
        </w:r>
        <w:r w:rsidRPr="00183B5F">
          <w:rPr>
            <w:lang w:val="hu-HU"/>
          </w:rPr>
          <w:delText>fecskendőt, távolítsa el az</w:delText>
        </w:r>
        <w:r w:rsidR="00B135E6" w:rsidRPr="00183B5F">
          <w:rPr>
            <w:lang w:val="hu-HU"/>
          </w:rPr>
          <w:delText xml:space="preserve"> </w:delText>
        </w:r>
        <w:r w:rsidRPr="00183B5F">
          <w:rPr>
            <w:lang w:val="hu-HU"/>
          </w:rPr>
          <w:delText>adaptert</w:delText>
        </w:r>
        <w:r w:rsidR="006916E9" w:rsidRPr="00183B5F">
          <w:rPr>
            <w:lang w:val="hu-HU"/>
          </w:rPr>
          <w:delText xml:space="preserve"> az injekciós üveggel együtt</w:delText>
        </w:r>
        <w:r w:rsidRPr="00183B5F">
          <w:rPr>
            <w:lang w:val="hu-HU"/>
          </w:rPr>
          <w:delText xml:space="preserve"> </w:delText>
        </w:r>
        <w:r w:rsidR="00B135E6" w:rsidRPr="00183B5F">
          <w:rPr>
            <w:lang w:val="hu-HU"/>
          </w:rPr>
          <w:delText xml:space="preserve">úgy, hogy a </w:delText>
        </w:r>
        <w:r w:rsidRPr="00183B5F">
          <w:rPr>
            <w:lang w:val="hu-HU"/>
          </w:rPr>
          <w:delText>másik kezével lecsavar</w:delText>
        </w:r>
        <w:r w:rsidR="00B135E6" w:rsidRPr="00183B5F">
          <w:rPr>
            <w:lang w:val="hu-HU"/>
          </w:rPr>
          <w:delText>ja.</w:delText>
        </w:r>
        <w:r w:rsidRPr="00183B5F">
          <w:rPr>
            <w:lang w:val="hu-HU"/>
          </w:rPr>
          <w:delText xml:space="preserve"> Győződjön meg arról, hogy az adaptert az injekciós üveg</w:delText>
        </w:r>
        <w:r w:rsidR="006916E9" w:rsidRPr="00183B5F">
          <w:rPr>
            <w:lang w:val="hu-HU"/>
          </w:rPr>
          <w:delText>gel együtt</w:delText>
        </w:r>
        <w:r w:rsidR="007C2BB6" w:rsidRPr="00183B5F">
          <w:rPr>
            <w:lang w:val="hu-HU"/>
          </w:rPr>
          <w:delText xml:space="preserve"> eltávolította</w:delText>
        </w:r>
        <w:r w:rsidR="006916E9" w:rsidRPr="00183B5F">
          <w:rPr>
            <w:lang w:val="hu-HU"/>
          </w:rPr>
          <w:delText xml:space="preserve"> a fecskendőről</w:delText>
        </w:r>
        <w:r w:rsidRPr="00183B5F">
          <w:rPr>
            <w:lang w:val="hu-HU"/>
          </w:rPr>
          <w:delText xml:space="preserve">. </w:delText>
        </w:r>
        <w:r w:rsidRPr="00183B5F">
          <w:rPr>
            <w:b/>
            <w:lang w:val="hu-HU"/>
          </w:rPr>
          <w:delText>NE</w:delText>
        </w:r>
        <w:r w:rsidRPr="00183B5F">
          <w:rPr>
            <w:lang w:val="hu-HU"/>
          </w:rPr>
          <w:delText xml:space="preserve"> érjen hozzá a fecskendő csúcsához</w:delText>
        </w:r>
        <w:r w:rsidR="000129AB" w:rsidRPr="00183B5F">
          <w:rPr>
            <w:lang w:val="hu-HU"/>
          </w:rPr>
          <w:delText>!</w:delText>
        </w:r>
      </w:del>
    </w:p>
    <w:p w14:paraId="468A75D9" w14:textId="10F958A0" w:rsidR="009848E0" w:rsidRPr="00183B5F" w:rsidRDefault="009848E0">
      <w:pPr>
        <w:pStyle w:val="EMEANormal"/>
        <w:ind w:left="-720"/>
        <w:rPr>
          <w:del w:id="10431" w:author="AbbVie_HU_03" w:date="2025-05-14T16:39:00Z"/>
          <w:lang w:val="hu-HU"/>
        </w:rPr>
      </w:pPr>
    </w:p>
    <w:p w14:paraId="48D7DE06" w14:textId="022657AD" w:rsidR="00B60D67" w:rsidRPr="00183B5F" w:rsidRDefault="00943743">
      <w:pPr>
        <w:pStyle w:val="EMEANormal"/>
        <w:jc w:val="center"/>
        <w:rPr>
          <w:del w:id="10432" w:author="AbbVie_HU_03" w:date="2025-05-14T16:39:00Z"/>
          <w:lang w:val="hu-HU"/>
        </w:rPr>
      </w:pPr>
      <w:del w:id="10433" w:author="AbbVie_HU_03" w:date="2025-05-14T16:39:00Z">
        <w:r w:rsidRPr="00183B5F">
          <w:rPr>
            <w:lang w:val="hu-HU"/>
          </w:rPr>
          <w:tab/>
        </w:r>
        <w:r w:rsidR="00834BF8" w:rsidRPr="005C4B06">
          <w:rPr>
            <w:noProof/>
            <w:lang w:val="en-GB"/>
          </w:rPr>
          <w:drawing>
            <wp:inline distT="0" distB="0" distL="0" distR="0" wp14:anchorId="5D9572D6" wp14:editId="496371AE">
              <wp:extent cx="1854835" cy="1845945"/>
              <wp:effectExtent l="0" t="0" r="0" b="1905"/>
              <wp:docPr id="41"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Kép 11"/>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1854835" cy="1845945"/>
                      </a:xfrm>
                      <a:prstGeom prst="rect">
                        <a:avLst/>
                      </a:prstGeom>
                      <a:noFill/>
                      <a:ln>
                        <a:noFill/>
                      </a:ln>
                    </pic:spPr>
                  </pic:pic>
                </a:graphicData>
              </a:graphic>
            </wp:inline>
          </w:drawing>
        </w:r>
      </w:del>
    </w:p>
    <w:p w14:paraId="1C6D5E01" w14:textId="13FE3302" w:rsidR="009848E0" w:rsidRPr="00183B5F" w:rsidRDefault="009848E0">
      <w:pPr>
        <w:pStyle w:val="EMEANormal"/>
        <w:rPr>
          <w:del w:id="10434" w:author="AbbVie_HU_03" w:date="2025-05-14T16:39:00Z"/>
          <w:lang w:val="hu-HU"/>
        </w:rPr>
      </w:pPr>
    </w:p>
    <w:p w14:paraId="2ABC0D54" w14:textId="4CDF412B" w:rsidR="00A34E79" w:rsidRPr="00183B5F" w:rsidRDefault="00943743" w:rsidP="004062FE">
      <w:pPr>
        <w:pStyle w:val="EMEANormal"/>
        <w:numPr>
          <w:ilvl w:val="0"/>
          <w:numId w:val="87"/>
        </w:numPr>
        <w:tabs>
          <w:tab w:val="clear" w:pos="562"/>
          <w:tab w:val="clear" w:pos="720"/>
          <w:tab w:val="num" w:pos="550"/>
        </w:tabs>
        <w:ind w:left="588" w:hanging="588"/>
        <w:rPr>
          <w:del w:id="10435" w:author="AbbVie_HU_03" w:date="2025-05-14T16:39:00Z"/>
          <w:lang w:val="hu-HU"/>
        </w:rPr>
      </w:pPr>
      <w:del w:id="10436" w:author="AbbVie_HU_03" w:date="2025-05-14T16:39:00Z">
        <w:r w:rsidRPr="00183B5F">
          <w:rPr>
            <w:lang w:val="hu-HU"/>
          </w:rPr>
          <w:delText xml:space="preserve">Ha egy nagy légbuborék vagy levegőzárvány látható a fecskendő csúcsánál, </w:delText>
        </w:r>
        <w:r w:rsidRPr="00183B5F">
          <w:rPr>
            <w:b/>
            <w:lang w:val="hu-HU"/>
          </w:rPr>
          <w:delText>LASSAN</w:delText>
        </w:r>
        <w:r w:rsidRPr="00183B5F">
          <w:rPr>
            <w:lang w:val="hu-HU"/>
          </w:rPr>
          <w:delText xml:space="preserve"> </w:delText>
        </w:r>
        <w:r w:rsidR="007C2BB6" w:rsidRPr="00183B5F">
          <w:rPr>
            <w:lang w:val="hu-HU"/>
          </w:rPr>
          <w:delText>tolja</w:delText>
        </w:r>
        <w:r w:rsidRPr="00183B5F">
          <w:rPr>
            <w:lang w:val="hu-HU"/>
          </w:rPr>
          <w:delText xml:space="preserve"> a fehér dugattyút a fecskendőbe mindaddig, amíg folyadék nem jelenik meg a fecskendő csúcsánál. </w:delText>
        </w:r>
        <w:r w:rsidRPr="00183B5F">
          <w:rPr>
            <w:b/>
            <w:lang w:val="hu-HU"/>
          </w:rPr>
          <w:delText>NE</w:delText>
        </w:r>
        <w:r w:rsidRPr="00183B5F">
          <w:rPr>
            <w:lang w:val="hu-HU"/>
          </w:rPr>
          <w:delText xml:space="preserve"> ny</w:delText>
        </w:r>
        <w:r w:rsidR="00107CCC" w:rsidRPr="00183B5F">
          <w:rPr>
            <w:lang w:val="hu-HU"/>
          </w:rPr>
          <w:delText xml:space="preserve">omja </w:delText>
        </w:r>
        <w:r w:rsidRPr="00183B5F">
          <w:rPr>
            <w:lang w:val="hu-HU"/>
          </w:rPr>
          <w:delText xml:space="preserve">a fehér dugattyút </w:delText>
        </w:r>
        <w:r w:rsidR="007C2BB6" w:rsidRPr="00183B5F">
          <w:rPr>
            <w:lang w:val="hu-HU"/>
          </w:rPr>
          <w:delText xml:space="preserve">tovább, mint </w:delText>
        </w:r>
        <w:r w:rsidRPr="00183B5F">
          <w:rPr>
            <w:lang w:val="hu-HU"/>
          </w:rPr>
          <w:delText>a</w:delText>
        </w:r>
        <w:r w:rsidR="009C4212" w:rsidRPr="00183B5F">
          <w:rPr>
            <w:lang w:val="hu-HU"/>
          </w:rPr>
          <w:delText xml:space="preserve"> rendelt</w:delText>
        </w:r>
        <w:r w:rsidRPr="00183B5F">
          <w:rPr>
            <w:lang w:val="hu-HU"/>
          </w:rPr>
          <w:delText xml:space="preserve"> adag</w:delText>
        </w:r>
        <w:r w:rsidR="007C2BB6" w:rsidRPr="00183B5F">
          <w:rPr>
            <w:lang w:val="hu-HU"/>
          </w:rPr>
          <w:delText>ra vonatkozó</w:delText>
        </w:r>
        <w:r w:rsidR="00107CCC" w:rsidRPr="00183B5F">
          <w:rPr>
            <w:lang w:val="hu-HU"/>
          </w:rPr>
          <w:delText xml:space="preserve"> jelzés</w:delText>
        </w:r>
        <w:r w:rsidR="000129AB" w:rsidRPr="00183B5F">
          <w:rPr>
            <w:lang w:val="hu-HU"/>
          </w:rPr>
          <w:delText>!</w:delText>
        </w:r>
      </w:del>
    </w:p>
    <w:p w14:paraId="0B581581" w14:textId="2BD3F07B" w:rsidR="009848E0" w:rsidRPr="00183B5F" w:rsidRDefault="009848E0">
      <w:pPr>
        <w:pStyle w:val="EMEANormal"/>
        <w:tabs>
          <w:tab w:val="clear" w:pos="562"/>
        </w:tabs>
        <w:rPr>
          <w:del w:id="10437" w:author="AbbVie_HU_03" w:date="2025-05-14T16:39:00Z"/>
          <w:lang w:val="hu-HU"/>
        </w:rPr>
      </w:pPr>
    </w:p>
    <w:p w14:paraId="4D3D9C00" w14:textId="3EBBD8E4" w:rsidR="00107CCC" w:rsidRPr="00183B5F" w:rsidRDefault="00943743" w:rsidP="004062FE">
      <w:pPr>
        <w:pStyle w:val="EMEANormal"/>
        <w:numPr>
          <w:ilvl w:val="0"/>
          <w:numId w:val="87"/>
        </w:numPr>
        <w:tabs>
          <w:tab w:val="clear" w:pos="562"/>
          <w:tab w:val="clear" w:pos="720"/>
          <w:tab w:val="num" w:pos="550"/>
        </w:tabs>
        <w:ind w:left="588" w:hanging="588"/>
        <w:rPr>
          <w:del w:id="10438" w:author="AbbVie_HU_03" w:date="2025-05-14T16:39:00Z"/>
          <w:lang w:val="hu-HU"/>
        </w:rPr>
      </w:pPr>
      <w:del w:id="10439" w:author="AbbVie_HU_03" w:date="2025-05-14T16:39:00Z">
        <w:r w:rsidRPr="00183B5F">
          <w:rPr>
            <w:lang w:val="hu-HU"/>
          </w:rPr>
          <w:delText>Például, ha a rendelt adag 0,5</w:delText>
        </w:r>
        <w:r w:rsidR="001775F8" w:rsidRPr="00183B5F">
          <w:rPr>
            <w:lang w:val="hu-HU"/>
          </w:rPr>
          <w:delText> </w:delText>
        </w:r>
        <w:r w:rsidRPr="00183B5F">
          <w:rPr>
            <w:lang w:val="hu-HU"/>
          </w:rPr>
          <w:delText xml:space="preserve">ml, </w:delText>
        </w:r>
        <w:r w:rsidRPr="00183B5F">
          <w:rPr>
            <w:b/>
            <w:lang w:val="hu-HU"/>
          </w:rPr>
          <w:delText xml:space="preserve">NE </w:delText>
        </w:r>
        <w:r w:rsidRPr="00183B5F">
          <w:rPr>
            <w:lang w:val="hu-HU"/>
          </w:rPr>
          <w:delText>nyomja a fehér dugattyút a 0,5</w:delText>
        </w:r>
        <w:r w:rsidR="001775F8" w:rsidRPr="00183B5F">
          <w:rPr>
            <w:lang w:val="hu-HU"/>
          </w:rPr>
          <w:delText> </w:delText>
        </w:r>
        <w:r w:rsidRPr="00183B5F">
          <w:rPr>
            <w:lang w:val="hu-HU"/>
          </w:rPr>
          <w:delText>ml-es jelzés</w:delText>
        </w:r>
        <w:r w:rsidR="007C2BB6" w:rsidRPr="00183B5F">
          <w:rPr>
            <w:lang w:val="hu-HU"/>
          </w:rPr>
          <w:delText>nél tovább</w:delText>
        </w:r>
        <w:r w:rsidR="000129AB" w:rsidRPr="00183B5F">
          <w:rPr>
            <w:lang w:val="hu-HU"/>
          </w:rPr>
          <w:delText>!</w:delText>
        </w:r>
      </w:del>
    </w:p>
    <w:p w14:paraId="4F96974C" w14:textId="477C8B5A" w:rsidR="009848E0" w:rsidRPr="00183B5F" w:rsidRDefault="009848E0">
      <w:pPr>
        <w:pStyle w:val="EMEANormal"/>
        <w:tabs>
          <w:tab w:val="clear" w:pos="562"/>
          <w:tab w:val="num" w:pos="550"/>
        </w:tabs>
        <w:ind w:left="588" w:hanging="588"/>
        <w:rPr>
          <w:del w:id="10440" w:author="AbbVie_HU_03" w:date="2025-05-14T16:39:00Z"/>
          <w:lang w:val="hu-HU"/>
        </w:rPr>
      </w:pPr>
    </w:p>
    <w:p w14:paraId="5F371CA5" w14:textId="1EE0E32E" w:rsidR="00107CCC" w:rsidRPr="00183B5F" w:rsidRDefault="00943743">
      <w:pPr>
        <w:pStyle w:val="EMEABullet2"/>
        <w:tabs>
          <w:tab w:val="clear" w:pos="567"/>
          <w:tab w:val="clear" w:pos="720"/>
          <w:tab w:val="num" w:pos="550"/>
        </w:tabs>
        <w:ind w:left="588" w:hanging="588"/>
        <w:rPr>
          <w:del w:id="10441" w:author="AbbVie_HU_03" w:date="2025-05-14T16:39:00Z"/>
          <w:lang w:val="hu-HU"/>
        </w:rPr>
      </w:pPr>
      <w:del w:id="10442" w:author="AbbVie_HU_03" w:date="2025-05-14T16:39:00Z">
        <w:r w:rsidRPr="00183B5F">
          <w:rPr>
            <w:lang w:val="hu-HU"/>
          </w:rPr>
          <w:delText xml:space="preserve">Ellenőrizze le, </w:delText>
        </w:r>
        <w:r w:rsidR="00CB249C" w:rsidRPr="00183B5F">
          <w:rPr>
            <w:lang w:val="hu-HU"/>
          </w:rPr>
          <w:delText xml:space="preserve">hogy a fecskendőben maradó folyadék </w:delText>
        </w:r>
        <w:r w:rsidR="00D44003" w:rsidRPr="00183B5F">
          <w:rPr>
            <w:lang w:val="hu-HU"/>
          </w:rPr>
          <w:delText>legalább annyi, mint</w:delText>
        </w:r>
        <w:r w:rsidR="00CB249C" w:rsidRPr="00183B5F">
          <w:rPr>
            <w:lang w:val="hu-HU"/>
          </w:rPr>
          <w:delText xml:space="preserve"> a rendelt adag térfogat</w:delText>
        </w:r>
        <w:r w:rsidR="00D44003" w:rsidRPr="00183B5F">
          <w:rPr>
            <w:lang w:val="hu-HU"/>
          </w:rPr>
          <w:delText>a</w:delText>
        </w:r>
        <w:r w:rsidR="00CB249C" w:rsidRPr="00183B5F">
          <w:rPr>
            <w:lang w:val="hu-HU"/>
          </w:rPr>
          <w:delText xml:space="preserve">. Ha a megmaradt térfogat kevesebb, mint a rendelt adag térfogata, </w:delText>
        </w:r>
        <w:r w:rsidR="00CB249C" w:rsidRPr="00183B5F">
          <w:rPr>
            <w:b/>
            <w:lang w:val="hu-HU"/>
          </w:rPr>
          <w:delText>NE</w:delText>
        </w:r>
        <w:r w:rsidR="008134EF" w:rsidRPr="00183B5F">
          <w:rPr>
            <w:lang w:val="hu-HU"/>
          </w:rPr>
          <w:delText xml:space="preserve"> használja fel a fecskendőt és forduljon orvosához</w:delText>
        </w:r>
        <w:r w:rsidR="000129AB" w:rsidRPr="00183B5F">
          <w:rPr>
            <w:lang w:val="hu-HU"/>
          </w:rPr>
          <w:delText>!</w:delText>
        </w:r>
      </w:del>
    </w:p>
    <w:p w14:paraId="6052BE35" w14:textId="34781B40" w:rsidR="009848E0" w:rsidRPr="00183B5F" w:rsidRDefault="009848E0">
      <w:pPr>
        <w:pStyle w:val="EMEANormal"/>
        <w:tabs>
          <w:tab w:val="clear" w:pos="562"/>
          <w:tab w:val="num" w:pos="550"/>
        </w:tabs>
        <w:ind w:left="588" w:hanging="588"/>
        <w:rPr>
          <w:del w:id="10443" w:author="AbbVie_HU_03" w:date="2025-05-14T16:39:00Z"/>
          <w:lang w:val="hu-HU"/>
        </w:rPr>
      </w:pPr>
    </w:p>
    <w:p w14:paraId="6157D00B" w14:textId="6DA23708" w:rsidR="008134EF" w:rsidRPr="00183B5F" w:rsidRDefault="00943743" w:rsidP="004062FE">
      <w:pPr>
        <w:pStyle w:val="EMEANormal"/>
        <w:numPr>
          <w:ilvl w:val="0"/>
          <w:numId w:val="87"/>
        </w:numPr>
        <w:tabs>
          <w:tab w:val="clear" w:pos="562"/>
          <w:tab w:val="clear" w:pos="720"/>
          <w:tab w:val="num" w:pos="550"/>
        </w:tabs>
        <w:ind w:left="588" w:hanging="588"/>
        <w:rPr>
          <w:del w:id="10444" w:author="AbbVie_HU_03" w:date="2025-05-14T16:39:00Z"/>
          <w:lang w:val="hu-HU"/>
        </w:rPr>
      </w:pPr>
      <w:del w:id="10445" w:author="AbbVie_HU_03" w:date="2025-05-14T16:39:00Z">
        <w:r w:rsidRPr="00183B5F">
          <w:rPr>
            <w:lang w:val="hu-HU"/>
          </w:rPr>
          <w:delText xml:space="preserve">Szabad kezével fogja meg a tű csomagolását úgy, hogy a </w:delText>
        </w:r>
        <w:r w:rsidR="00E737AF" w:rsidRPr="00183B5F">
          <w:rPr>
            <w:lang w:val="hu-HU"/>
          </w:rPr>
          <w:delText>sárga kónusz</w:delText>
        </w:r>
        <w:r w:rsidRPr="00183B5F">
          <w:rPr>
            <w:lang w:val="hu-HU"/>
          </w:rPr>
          <w:delText xml:space="preserve"> lefelé nézzen.</w:delText>
        </w:r>
      </w:del>
    </w:p>
    <w:p w14:paraId="00D51935" w14:textId="03262C50" w:rsidR="000129AB" w:rsidRPr="00183B5F" w:rsidRDefault="000129AB">
      <w:pPr>
        <w:pStyle w:val="EMEANormal"/>
        <w:tabs>
          <w:tab w:val="clear" w:pos="562"/>
        </w:tabs>
        <w:rPr>
          <w:del w:id="10446" w:author="AbbVie_HU_03" w:date="2025-05-14T16:39:00Z"/>
          <w:lang w:val="hu-HU"/>
        </w:rPr>
      </w:pPr>
    </w:p>
    <w:p w14:paraId="0A34A640" w14:textId="69A704F8" w:rsidR="008134EF" w:rsidRPr="00183B5F" w:rsidRDefault="00943743" w:rsidP="004062FE">
      <w:pPr>
        <w:pStyle w:val="EMEANormal"/>
        <w:numPr>
          <w:ilvl w:val="0"/>
          <w:numId w:val="87"/>
        </w:numPr>
        <w:tabs>
          <w:tab w:val="clear" w:pos="562"/>
          <w:tab w:val="clear" w:pos="720"/>
          <w:tab w:val="num" w:pos="550"/>
        </w:tabs>
        <w:ind w:left="588" w:hanging="588"/>
        <w:rPr>
          <w:del w:id="10447" w:author="AbbVie_HU_03" w:date="2025-05-14T16:39:00Z"/>
          <w:lang w:val="hu-HU"/>
        </w:rPr>
      </w:pPr>
      <w:del w:id="10448" w:author="AbbVie_HU_03" w:date="2025-05-14T16:39:00Z">
        <w:r w:rsidRPr="00183B5F">
          <w:rPr>
            <w:lang w:val="hu-HU"/>
          </w:rPr>
          <w:delText xml:space="preserve">A fecskendőt </w:delText>
        </w:r>
        <w:r w:rsidR="003F5A4F" w:rsidRPr="00183B5F">
          <w:rPr>
            <w:lang w:val="hu-HU"/>
          </w:rPr>
          <w:delText xml:space="preserve">csúcsával </w:delText>
        </w:r>
        <w:r w:rsidRPr="00183B5F">
          <w:rPr>
            <w:lang w:val="hu-HU"/>
          </w:rPr>
          <w:delText>felfelé néző irányban tartva</w:delText>
        </w:r>
        <w:r w:rsidR="005D7E86" w:rsidRPr="00183B5F">
          <w:rPr>
            <w:lang w:val="hu-HU"/>
          </w:rPr>
          <w:delText xml:space="preserve"> illessze a fecskendő csúcsát a </w:delText>
        </w:r>
        <w:r w:rsidR="003F5A4F" w:rsidRPr="00183B5F">
          <w:rPr>
            <w:lang w:val="hu-HU"/>
          </w:rPr>
          <w:delText xml:space="preserve">tű </w:delText>
        </w:r>
        <w:r w:rsidR="000E3B9C" w:rsidRPr="00183B5F">
          <w:rPr>
            <w:lang w:val="hu-HU"/>
          </w:rPr>
          <w:delText xml:space="preserve">sárga </w:delText>
        </w:r>
        <w:r w:rsidR="00E737AF" w:rsidRPr="00183B5F">
          <w:rPr>
            <w:lang w:val="hu-HU"/>
          </w:rPr>
          <w:delText>kónusz</w:delText>
        </w:r>
        <w:r w:rsidR="003F5A4F" w:rsidRPr="00183B5F">
          <w:rPr>
            <w:lang w:val="hu-HU"/>
          </w:rPr>
          <w:delText>á</w:delText>
        </w:r>
        <w:r w:rsidR="00E737AF" w:rsidRPr="00183B5F">
          <w:rPr>
            <w:lang w:val="hu-HU"/>
          </w:rPr>
          <w:delText>hoz</w:delText>
        </w:r>
        <w:r w:rsidR="00D44003" w:rsidRPr="00183B5F">
          <w:rPr>
            <w:lang w:val="hu-HU"/>
          </w:rPr>
          <w:delText>,</w:delText>
        </w:r>
        <w:r w:rsidR="00E737AF" w:rsidRPr="00183B5F">
          <w:rPr>
            <w:lang w:val="hu-HU"/>
          </w:rPr>
          <w:delText xml:space="preserve"> </w:delText>
        </w:r>
        <w:r w:rsidR="005D7E86" w:rsidRPr="00183B5F">
          <w:rPr>
            <w:lang w:val="hu-HU"/>
          </w:rPr>
          <w:delText>és csavarja a fecskendőt az ábrán látható nyíl irányába</w:delText>
        </w:r>
        <w:r w:rsidR="003F5A4F" w:rsidRPr="00183B5F">
          <w:rPr>
            <w:lang w:val="hu-HU"/>
          </w:rPr>
          <w:delText>,</w:delText>
        </w:r>
        <w:r w:rsidR="005D7E86" w:rsidRPr="00183B5F">
          <w:rPr>
            <w:lang w:val="hu-HU"/>
          </w:rPr>
          <w:delText xml:space="preserve"> amíg nem rögzül.</w:delText>
        </w:r>
        <w:r w:rsidR="00F51E18" w:rsidRPr="00183B5F">
          <w:rPr>
            <w:lang w:val="hu-HU"/>
          </w:rPr>
          <w:delText xml:space="preserve"> A tű most </w:delText>
        </w:r>
        <w:r w:rsidR="003F5A4F" w:rsidRPr="00183B5F">
          <w:rPr>
            <w:lang w:val="hu-HU"/>
          </w:rPr>
          <w:delText xml:space="preserve">már </w:delText>
        </w:r>
        <w:r w:rsidR="00F51E18" w:rsidRPr="00183B5F">
          <w:rPr>
            <w:lang w:val="hu-HU"/>
          </w:rPr>
          <w:delText>csatlakoz</w:delText>
        </w:r>
        <w:r w:rsidR="003F5A4F" w:rsidRPr="00183B5F">
          <w:rPr>
            <w:lang w:val="hu-HU"/>
          </w:rPr>
          <w:delText>ott</w:delText>
        </w:r>
        <w:r w:rsidR="00F51E18" w:rsidRPr="00183B5F">
          <w:rPr>
            <w:lang w:val="hu-HU"/>
          </w:rPr>
          <w:delText xml:space="preserve"> a fecskendőhöz.</w:delText>
        </w:r>
      </w:del>
    </w:p>
    <w:p w14:paraId="20DAAE3C" w14:textId="47768F89" w:rsidR="000129AB" w:rsidRPr="00183B5F" w:rsidRDefault="000129AB">
      <w:pPr>
        <w:pStyle w:val="EMEANormal"/>
        <w:tabs>
          <w:tab w:val="clear" w:pos="562"/>
          <w:tab w:val="num" w:pos="142"/>
        </w:tabs>
        <w:ind w:left="588" w:hanging="588"/>
        <w:rPr>
          <w:del w:id="10449" w:author="AbbVie_HU_03" w:date="2025-05-14T16:39:00Z"/>
          <w:lang w:val="hu-HU"/>
        </w:rPr>
      </w:pPr>
    </w:p>
    <w:p w14:paraId="005AEFA2" w14:textId="4F62D4CB" w:rsidR="00B60D67" w:rsidRPr="00183B5F" w:rsidRDefault="00943743">
      <w:pPr>
        <w:pStyle w:val="EMEANormal"/>
        <w:tabs>
          <w:tab w:val="clear" w:pos="562"/>
        </w:tabs>
        <w:jc w:val="center"/>
        <w:rPr>
          <w:del w:id="10450" w:author="AbbVie_HU_03" w:date="2025-05-14T16:39:00Z"/>
          <w:lang w:val="hu-HU"/>
        </w:rPr>
      </w:pPr>
      <w:del w:id="10451" w:author="AbbVie_HU_03" w:date="2025-05-14T16:39:00Z">
        <w:r w:rsidRPr="005C4B06">
          <w:rPr>
            <w:noProof/>
            <w:lang w:val="en-GB"/>
          </w:rPr>
          <w:drawing>
            <wp:inline distT="0" distB="0" distL="0" distR="0" wp14:anchorId="070CF64F" wp14:editId="1751DCDD">
              <wp:extent cx="1854835" cy="1828800"/>
              <wp:effectExtent l="0" t="0" r="0" b="0"/>
              <wp:docPr id="42"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Kép 12"/>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1854835" cy="1828800"/>
                      </a:xfrm>
                      <a:prstGeom prst="rect">
                        <a:avLst/>
                      </a:prstGeom>
                      <a:noFill/>
                      <a:ln>
                        <a:noFill/>
                      </a:ln>
                    </pic:spPr>
                  </pic:pic>
                </a:graphicData>
              </a:graphic>
            </wp:inline>
          </w:drawing>
        </w:r>
      </w:del>
    </w:p>
    <w:p w14:paraId="3BA7BBAF" w14:textId="1D8A5F3E" w:rsidR="000129AB" w:rsidRPr="00183B5F" w:rsidRDefault="000129AB">
      <w:pPr>
        <w:pStyle w:val="EMEANormal"/>
        <w:tabs>
          <w:tab w:val="clear" w:pos="562"/>
          <w:tab w:val="num" w:pos="142"/>
        </w:tabs>
        <w:ind w:left="588" w:hanging="588"/>
        <w:rPr>
          <w:del w:id="10452" w:author="AbbVie_HU_03" w:date="2025-05-14T16:39:00Z"/>
          <w:lang w:val="hu-HU"/>
        </w:rPr>
      </w:pPr>
    </w:p>
    <w:p w14:paraId="2CD7EFA6" w14:textId="76BFDEB3" w:rsidR="00F51E18" w:rsidRPr="00183B5F" w:rsidRDefault="00943743" w:rsidP="004062FE">
      <w:pPr>
        <w:pStyle w:val="EMEANormal"/>
        <w:numPr>
          <w:ilvl w:val="0"/>
          <w:numId w:val="87"/>
        </w:numPr>
        <w:tabs>
          <w:tab w:val="clear" w:pos="562"/>
          <w:tab w:val="clear" w:pos="720"/>
          <w:tab w:val="left" w:pos="660"/>
        </w:tabs>
        <w:ind w:hanging="720"/>
        <w:rPr>
          <w:del w:id="10453" w:author="AbbVie_HU_03" w:date="2025-05-14T16:39:00Z"/>
          <w:lang w:val="hu-HU"/>
        </w:rPr>
      </w:pPr>
      <w:del w:id="10454" w:author="AbbVie_HU_03" w:date="2025-05-14T16:39:00Z">
        <w:r w:rsidRPr="00183B5F">
          <w:rPr>
            <w:lang w:val="hu-HU"/>
          </w:rPr>
          <w:delText>Húzza le a tűről a csomagolást</w:delText>
        </w:r>
        <w:r w:rsidR="00167E3E" w:rsidRPr="00183B5F">
          <w:rPr>
            <w:lang w:val="hu-HU"/>
          </w:rPr>
          <w:delText xml:space="preserve">, de </w:delText>
        </w:r>
        <w:r w:rsidR="00167E3E" w:rsidRPr="00183B5F">
          <w:rPr>
            <w:b/>
            <w:lang w:val="hu-HU"/>
          </w:rPr>
          <w:delText>NE</w:delText>
        </w:r>
        <w:r w:rsidR="00167E3E" w:rsidRPr="00183B5F">
          <w:rPr>
            <w:lang w:val="hu-HU"/>
          </w:rPr>
          <w:delText xml:space="preserve"> távolítsa el a</w:delText>
        </w:r>
        <w:r w:rsidR="00156A0A" w:rsidRPr="00183B5F">
          <w:rPr>
            <w:lang w:val="hu-HU"/>
          </w:rPr>
          <w:delText>z átlátszó</w:delText>
        </w:r>
        <w:r w:rsidR="00167E3E" w:rsidRPr="00183B5F">
          <w:rPr>
            <w:lang w:val="hu-HU"/>
          </w:rPr>
          <w:delText xml:space="preserve"> tűvédő sapkát</w:delText>
        </w:r>
        <w:r w:rsidR="000129AB" w:rsidRPr="00183B5F">
          <w:rPr>
            <w:lang w:val="hu-HU"/>
          </w:rPr>
          <w:delText>!</w:delText>
        </w:r>
      </w:del>
    </w:p>
    <w:p w14:paraId="73116CEC" w14:textId="39CF6B38" w:rsidR="000129AB" w:rsidRPr="00183B5F" w:rsidRDefault="000129AB">
      <w:pPr>
        <w:pStyle w:val="EMEANormal"/>
        <w:tabs>
          <w:tab w:val="clear" w:pos="562"/>
          <w:tab w:val="left" w:pos="660"/>
        </w:tabs>
        <w:rPr>
          <w:del w:id="10455" w:author="AbbVie_HU_03" w:date="2025-05-14T16:39:00Z"/>
          <w:lang w:val="hu-HU"/>
        </w:rPr>
      </w:pPr>
    </w:p>
    <w:p w14:paraId="7E8C8DB8" w14:textId="54D31BD6" w:rsidR="00167E3E" w:rsidRPr="00183B5F" w:rsidRDefault="00943743" w:rsidP="004062FE">
      <w:pPr>
        <w:pStyle w:val="EMEANormal"/>
        <w:numPr>
          <w:ilvl w:val="0"/>
          <w:numId w:val="87"/>
        </w:numPr>
        <w:tabs>
          <w:tab w:val="clear" w:pos="562"/>
          <w:tab w:val="clear" w:pos="720"/>
          <w:tab w:val="left" w:pos="660"/>
        </w:tabs>
        <w:ind w:hanging="720"/>
        <w:rPr>
          <w:del w:id="10456" w:author="AbbVie_HU_03" w:date="2025-05-14T16:39:00Z"/>
          <w:lang w:val="hu-HU"/>
        </w:rPr>
      </w:pPr>
      <w:del w:id="10457" w:author="AbbVie_HU_03" w:date="2025-05-14T16:39:00Z">
        <w:r w:rsidRPr="00183B5F">
          <w:rPr>
            <w:lang w:val="hu-HU"/>
          </w:rPr>
          <w:delText xml:space="preserve">Helyezze a fecskendőt a tiszta munkafelületre. </w:delText>
        </w:r>
        <w:r w:rsidR="002B30F4" w:rsidRPr="00183B5F">
          <w:rPr>
            <w:lang w:val="hu-HU"/>
          </w:rPr>
          <w:delText>Azonnal folytassa az előkészületeket az injekció beadási helyével és az adag kimérésével.</w:delText>
        </w:r>
      </w:del>
    </w:p>
    <w:p w14:paraId="7125D2F0" w14:textId="41DFB2F0" w:rsidR="009848E0" w:rsidRPr="00183B5F" w:rsidRDefault="009848E0">
      <w:pPr>
        <w:pStyle w:val="EMEANormal"/>
        <w:tabs>
          <w:tab w:val="clear" w:pos="562"/>
        </w:tabs>
        <w:rPr>
          <w:del w:id="10458" w:author="AbbVie_HU_03" w:date="2025-05-14T16:39:00Z"/>
          <w:lang w:val="hu-HU"/>
        </w:rPr>
      </w:pPr>
    </w:p>
    <w:p w14:paraId="531A2E35" w14:textId="7408747C" w:rsidR="009848E0" w:rsidRPr="00183B5F" w:rsidRDefault="00943743" w:rsidP="004062FE">
      <w:pPr>
        <w:spacing w:line="240" w:lineRule="auto"/>
        <w:rPr>
          <w:del w:id="10459" w:author="AbbVie_HU_03" w:date="2025-05-14T16:39:00Z"/>
          <w:b/>
        </w:rPr>
      </w:pPr>
      <w:del w:id="10460" w:author="AbbVie_HU_03" w:date="2025-05-14T16:39:00Z">
        <w:r w:rsidRPr="00183B5F">
          <w:rPr>
            <w:b/>
          </w:rPr>
          <w:delText xml:space="preserve">3) </w:delText>
        </w:r>
        <w:r w:rsidR="002B30F4" w:rsidRPr="00183B5F">
          <w:rPr>
            <w:b/>
          </w:rPr>
          <w:delText>Az injekció</w:delText>
        </w:r>
        <w:r w:rsidR="009301C0" w:rsidRPr="00183B5F">
          <w:rPr>
            <w:b/>
          </w:rPr>
          <w:delText xml:space="preserve"> beadási helyének</w:delText>
        </w:r>
        <w:r w:rsidR="008D7474" w:rsidRPr="00183B5F">
          <w:rPr>
            <w:b/>
          </w:rPr>
          <w:delText xml:space="preserve"> kiválasztása és előkészítése</w:delText>
        </w:r>
      </w:del>
    </w:p>
    <w:p w14:paraId="2E6B8C2F" w14:textId="0369C10C" w:rsidR="008D7474" w:rsidRPr="00183B5F" w:rsidRDefault="008D7474" w:rsidP="004062FE">
      <w:pPr>
        <w:pStyle w:val="EMEABullet2"/>
        <w:numPr>
          <w:ilvl w:val="0"/>
          <w:numId w:val="0"/>
        </w:numPr>
        <w:tabs>
          <w:tab w:val="clear" w:pos="567"/>
          <w:tab w:val="num" w:pos="720"/>
        </w:tabs>
        <w:rPr>
          <w:del w:id="10461" w:author="AbbVie_HU_03" w:date="2025-05-14T16:39:00Z"/>
          <w:lang w:val="hu-HU"/>
        </w:rPr>
      </w:pPr>
    </w:p>
    <w:p w14:paraId="6EEDB43F" w14:textId="0E29B79E" w:rsidR="008D7474" w:rsidRPr="00183B5F" w:rsidRDefault="00943743">
      <w:pPr>
        <w:pStyle w:val="EMEABullet2"/>
        <w:ind w:hanging="720"/>
        <w:rPr>
          <w:del w:id="10462" w:author="AbbVie_HU_03" w:date="2025-05-14T16:39:00Z"/>
          <w:lang w:val="hu-HU"/>
        </w:rPr>
      </w:pPr>
      <w:del w:id="10463" w:author="AbbVie_HU_03" w:date="2025-05-14T16:39:00Z">
        <w:r w:rsidRPr="00183B5F">
          <w:rPr>
            <w:lang w:val="hu-HU"/>
          </w:rPr>
          <w:delText>Válasszon egy helyet a</w:delText>
        </w:r>
        <w:r w:rsidR="003F497E" w:rsidRPr="00183B5F">
          <w:rPr>
            <w:lang w:val="hu-HU"/>
          </w:rPr>
          <w:delText xml:space="preserve"> gyermek</w:delText>
        </w:r>
        <w:r w:rsidRPr="00183B5F">
          <w:rPr>
            <w:lang w:val="hu-HU"/>
          </w:rPr>
          <w:delText xml:space="preserve"> combján vagy a hasfalán. </w:delText>
        </w:r>
        <w:r w:rsidRPr="00183B5F">
          <w:rPr>
            <w:b/>
            <w:lang w:val="hu-HU"/>
          </w:rPr>
          <w:delText xml:space="preserve">NE </w:delText>
        </w:r>
        <w:r w:rsidRPr="00183B5F">
          <w:rPr>
            <w:lang w:val="hu-HU"/>
          </w:rPr>
          <w:delText xml:space="preserve">válaszza ugyanazt a helyet, </w:delText>
        </w:r>
        <w:r w:rsidR="005E7AC8" w:rsidRPr="00183B5F">
          <w:rPr>
            <w:lang w:val="hu-HU"/>
          </w:rPr>
          <w:delText>ahol a legutóbbi injekciót beadta</w:delText>
        </w:r>
        <w:r w:rsidR="000129AB" w:rsidRPr="00183B5F">
          <w:rPr>
            <w:lang w:val="hu-HU"/>
          </w:rPr>
          <w:delText>!</w:delText>
        </w:r>
      </w:del>
    </w:p>
    <w:p w14:paraId="3028D889" w14:textId="7175D01C" w:rsidR="009848E0" w:rsidRPr="00183B5F" w:rsidRDefault="009848E0" w:rsidP="004062FE">
      <w:pPr>
        <w:tabs>
          <w:tab w:val="left" w:pos="567"/>
        </w:tabs>
        <w:spacing w:line="240" w:lineRule="auto"/>
        <w:rPr>
          <w:del w:id="10464" w:author="AbbVie_HU_03" w:date="2025-05-14T16:39:00Z"/>
        </w:rPr>
      </w:pPr>
    </w:p>
    <w:p w14:paraId="2A07DF28" w14:textId="49428064" w:rsidR="005E7AC8" w:rsidRPr="00183B5F" w:rsidRDefault="00943743">
      <w:pPr>
        <w:pStyle w:val="EMEABullet2"/>
        <w:ind w:hanging="720"/>
        <w:rPr>
          <w:del w:id="10465" w:author="AbbVie_HU_03" w:date="2025-05-14T16:39:00Z"/>
          <w:lang w:val="hu-HU"/>
        </w:rPr>
      </w:pPr>
      <w:del w:id="10466" w:author="AbbVie_HU_03" w:date="2025-05-14T16:39:00Z">
        <w:r w:rsidRPr="00183B5F">
          <w:rPr>
            <w:lang w:val="hu-HU"/>
          </w:rPr>
          <w:delText>A</w:delText>
        </w:r>
        <w:r w:rsidR="00AC1867" w:rsidRPr="00183B5F">
          <w:rPr>
            <w:lang w:val="hu-HU"/>
          </w:rPr>
          <w:delText xml:space="preserve"> soron következő</w:delText>
        </w:r>
        <w:r w:rsidRPr="00183B5F">
          <w:rPr>
            <w:lang w:val="hu-HU"/>
          </w:rPr>
          <w:delText xml:space="preserve"> injekciót az utolsó injekció beadásának helyétől legalább 3 cm-</w:delText>
        </w:r>
        <w:r w:rsidR="00AC1867" w:rsidRPr="00183B5F">
          <w:rPr>
            <w:lang w:val="hu-HU"/>
          </w:rPr>
          <w:delText>es távolságra</w:delText>
        </w:r>
        <w:r w:rsidRPr="00183B5F">
          <w:rPr>
            <w:lang w:val="hu-HU"/>
          </w:rPr>
          <w:delText xml:space="preserve"> lehet beadni.</w:delText>
        </w:r>
      </w:del>
    </w:p>
    <w:p w14:paraId="0B08BDC7" w14:textId="17444C81" w:rsidR="009848E0" w:rsidRPr="00183B5F" w:rsidRDefault="009848E0" w:rsidP="004062FE">
      <w:pPr>
        <w:pStyle w:val="EMEABullet2"/>
        <w:numPr>
          <w:ilvl w:val="0"/>
          <w:numId w:val="0"/>
        </w:numPr>
        <w:tabs>
          <w:tab w:val="clear" w:pos="567"/>
          <w:tab w:val="num" w:pos="720"/>
        </w:tabs>
        <w:rPr>
          <w:del w:id="10467" w:author="AbbVie_HU_03" w:date="2025-05-14T16:39:00Z"/>
          <w:lang w:val="hu-HU"/>
        </w:rPr>
      </w:pPr>
    </w:p>
    <w:p w14:paraId="69653044" w14:textId="179997E3" w:rsidR="00B60D67" w:rsidRPr="00183B5F" w:rsidRDefault="00943743">
      <w:pPr>
        <w:pStyle w:val="EMEANormal"/>
        <w:jc w:val="center"/>
        <w:rPr>
          <w:del w:id="10468" w:author="AbbVie_HU_03" w:date="2025-05-14T16:39:00Z"/>
          <w:lang w:val="hu-HU"/>
        </w:rPr>
      </w:pPr>
      <w:del w:id="10469" w:author="AbbVie_HU_03" w:date="2025-05-14T16:39:00Z">
        <w:r w:rsidRPr="005C4B06">
          <w:rPr>
            <w:noProof/>
            <w:lang w:val="en-GB"/>
          </w:rPr>
          <w:drawing>
            <wp:inline distT="0" distB="0" distL="0" distR="0" wp14:anchorId="3A92CB8C" wp14:editId="2C979BB8">
              <wp:extent cx="1819910" cy="1819910"/>
              <wp:effectExtent l="0" t="0" r="8890" b="8890"/>
              <wp:docPr id="4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Kép 13"/>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1819910" cy="1819910"/>
                      </a:xfrm>
                      <a:prstGeom prst="rect">
                        <a:avLst/>
                      </a:prstGeom>
                      <a:noFill/>
                      <a:ln>
                        <a:noFill/>
                      </a:ln>
                    </pic:spPr>
                  </pic:pic>
                </a:graphicData>
              </a:graphic>
            </wp:inline>
          </w:drawing>
        </w:r>
      </w:del>
    </w:p>
    <w:p w14:paraId="69F98AA6" w14:textId="7A648E84" w:rsidR="00373575" w:rsidRPr="00183B5F" w:rsidRDefault="00373575">
      <w:pPr>
        <w:spacing w:line="240" w:lineRule="auto"/>
        <w:rPr>
          <w:del w:id="10470" w:author="AbbVie_HU_03" w:date="2025-05-14T16:39:00Z"/>
        </w:rPr>
      </w:pPr>
    </w:p>
    <w:p w14:paraId="2548FC5D" w14:textId="34BA3363" w:rsidR="009848E0" w:rsidRPr="00183B5F" w:rsidRDefault="00943743" w:rsidP="004062FE">
      <w:pPr>
        <w:numPr>
          <w:ilvl w:val="0"/>
          <w:numId w:val="81"/>
        </w:numPr>
        <w:tabs>
          <w:tab w:val="clear" w:pos="470"/>
          <w:tab w:val="num" w:pos="660"/>
        </w:tabs>
        <w:spacing w:line="240" w:lineRule="auto"/>
        <w:ind w:left="660" w:hanging="660"/>
        <w:rPr>
          <w:del w:id="10471" w:author="AbbVie_HU_03" w:date="2025-05-14T16:39:00Z"/>
        </w:rPr>
      </w:pPr>
      <w:del w:id="10472" w:author="AbbVie_HU_03" w:date="2025-05-14T16:39:00Z">
        <w:r w:rsidRPr="00183B5F">
          <w:rPr>
            <w:b/>
            <w:bCs/>
            <w:szCs w:val="22"/>
          </w:rPr>
          <w:delText>NE</w:delText>
        </w:r>
        <w:r w:rsidRPr="00183B5F">
          <w:rPr>
            <w:szCs w:val="22"/>
          </w:rPr>
          <w:delText xml:space="preserve"> adja az injekciót olyan helyre, ahol a bőr bepirosodott, </w:delText>
        </w:r>
        <w:r w:rsidR="00691EDC" w:rsidRPr="00183B5F">
          <w:rPr>
            <w:szCs w:val="22"/>
          </w:rPr>
          <w:delText>véraláfutásos</w:delText>
        </w:r>
        <w:r w:rsidRPr="00183B5F">
          <w:rPr>
            <w:szCs w:val="22"/>
          </w:rPr>
          <w:delText xml:space="preserve"> vagy kemény</w:delText>
        </w:r>
        <w:r w:rsidR="000129AB" w:rsidRPr="00183B5F">
          <w:rPr>
            <w:szCs w:val="22"/>
          </w:rPr>
          <w:delText>!</w:delText>
        </w:r>
        <w:r w:rsidRPr="00183B5F">
          <w:rPr>
            <w:szCs w:val="22"/>
          </w:rPr>
          <w:delText xml:space="preserve"> Ezek a tünetek fertőzésre utalhatnak</w:delText>
        </w:r>
        <w:r w:rsidRPr="00183B5F">
          <w:delText>, így orvosához kell fordulnia.</w:delText>
        </w:r>
      </w:del>
    </w:p>
    <w:p w14:paraId="7C065180" w14:textId="6652281E" w:rsidR="000129AB" w:rsidRPr="00183B5F" w:rsidRDefault="000129AB">
      <w:pPr>
        <w:spacing w:line="240" w:lineRule="auto"/>
        <w:rPr>
          <w:del w:id="10473" w:author="AbbVie_HU_03" w:date="2025-05-14T16:39:00Z"/>
        </w:rPr>
      </w:pPr>
    </w:p>
    <w:p w14:paraId="197193EA" w14:textId="1138B0C0" w:rsidR="00DB48C7" w:rsidRPr="00183B5F" w:rsidRDefault="00943743" w:rsidP="004062FE">
      <w:pPr>
        <w:numPr>
          <w:ilvl w:val="0"/>
          <w:numId w:val="81"/>
        </w:numPr>
        <w:tabs>
          <w:tab w:val="clear" w:pos="470"/>
          <w:tab w:val="num" w:pos="660"/>
        </w:tabs>
        <w:spacing w:line="240" w:lineRule="auto"/>
        <w:ind w:left="660" w:hanging="660"/>
        <w:rPr>
          <w:del w:id="10474" w:author="AbbVie_HU_03" w:date="2025-05-14T16:39:00Z"/>
          <w:szCs w:val="22"/>
        </w:rPr>
      </w:pPr>
      <w:del w:id="10475" w:author="AbbVie_HU_03" w:date="2025-05-14T16:39:00Z">
        <w:r w:rsidRPr="00183B5F">
          <w:rPr>
            <w:szCs w:val="22"/>
          </w:rPr>
          <w:delText xml:space="preserve">A fertőzés kockázatának csökkentése érdekében törölje le az injekció beadási helyét a másik alkoholos törlőkendővel. </w:delText>
        </w:r>
        <w:r w:rsidR="00AC1867" w:rsidRPr="00183B5F">
          <w:rPr>
            <w:szCs w:val="22"/>
          </w:rPr>
          <w:delText xml:space="preserve">Ezt a területet </w:delText>
        </w:r>
        <w:r w:rsidRPr="00183B5F">
          <w:rPr>
            <w:b/>
            <w:bCs/>
            <w:szCs w:val="22"/>
          </w:rPr>
          <w:delText>NE</w:delText>
        </w:r>
        <w:r w:rsidRPr="00183B5F">
          <w:rPr>
            <w:szCs w:val="22"/>
          </w:rPr>
          <w:delText xml:space="preserve"> érintse meg </w:delText>
        </w:r>
        <w:r w:rsidR="00AC1867" w:rsidRPr="00183B5F">
          <w:rPr>
            <w:szCs w:val="22"/>
          </w:rPr>
          <w:delText>többé</w:delText>
        </w:r>
        <w:r w:rsidRPr="00183B5F">
          <w:rPr>
            <w:szCs w:val="22"/>
          </w:rPr>
          <w:delText xml:space="preserve"> az injekció beadása előtt.</w:delText>
        </w:r>
      </w:del>
    </w:p>
    <w:p w14:paraId="35442797" w14:textId="46E15E83" w:rsidR="00767F56" w:rsidRPr="00183B5F" w:rsidRDefault="00767F56">
      <w:pPr>
        <w:spacing w:line="240" w:lineRule="auto"/>
        <w:rPr>
          <w:del w:id="10476" w:author="AbbVie_HU_03" w:date="2025-05-14T16:39:00Z"/>
          <w:szCs w:val="22"/>
        </w:rPr>
      </w:pPr>
    </w:p>
    <w:p w14:paraId="12AF8C72" w14:textId="6DF6CCBC" w:rsidR="009848E0" w:rsidRPr="00183B5F" w:rsidRDefault="00943743" w:rsidP="004062FE">
      <w:pPr>
        <w:spacing w:line="240" w:lineRule="auto"/>
        <w:rPr>
          <w:del w:id="10477" w:author="AbbVie_HU_03" w:date="2025-05-14T16:39:00Z"/>
          <w:b/>
        </w:rPr>
      </w:pPr>
      <w:del w:id="10478" w:author="AbbVie_HU_03" w:date="2025-05-14T16:39:00Z">
        <w:r w:rsidRPr="00183B5F">
          <w:rPr>
            <w:b/>
            <w:szCs w:val="22"/>
          </w:rPr>
          <w:delText xml:space="preserve">4) </w:delText>
        </w:r>
        <w:r w:rsidRPr="00183B5F">
          <w:rPr>
            <w:b/>
            <w:szCs w:val="22"/>
          </w:rPr>
          <w:tab/>
        </w:r>
        <w:r w:rsidR="00B75E7F" w:rsidRPr="00183B5F">
          <w:rPr>
            <w:b/>
            <w:szCs w:val="22"/>
          </w:rPr>
          <w:delText>Az adag kimérése</w:delText>
        </w:r>
      </w:del>
    </w:p>
    <w:p w14:paraId="73ABBAEA" w14:textId="30193F5C" w:rsidR="00767F56" w:rsidRPr="00183B5F" w:rsidRDefault="00767F56">
      <w:pPr>
        <w:tabs>
          <w:tab w:val="left" w:pos="660"/>
        </w:tabs>
        <w:spacing w:line="240" w:lineRule="auto"/>
        <w:jc w:val="both"/>
        <w:rPr>
          <w:del w:id="10479" w:author="AbbVie_HU_03" w:date="2025-05-14T16:39:00Z"/>
        </w:rPr>
      </w:pPr>
    </w:p>
    <w:p w14:paraId="1E2EAA7B" w14:textId="4E296295" w:rsidR="00B75E7F" w:rsidRPr="00183B5F" w:rsidRDefault="00943743" w:rsidP="004062FE">
      <w:pPr>
        <w:numPr>
          <w:ilvl w:val="0"/>
          <w:numId w:val="81"/>
        </w:numPr>
        <w:tabs>
          <w:tab w:val="clear" w:pos="470"/>
          <w:tab w:val="num" w:pos="0"/>
          <w:tab w:val="left" w:pos="660"/>
        </w:tabs>
        <w:spacing w:line="240" w:lineRule="auto"/>
        <w:ind w:left="550" w:hanging="550"/>
        <w:jc w:val="both"/>
        <w:rPr>
          <w:del w:id="10480" w:author="AbbVie_HU_03" w:date="2025-05-14T16:39:00Z"/>
        </w:rPr>
      </w:pPr>
      <w:del w:id="10481" w:author="AbbVie_HU_03" w:date="2025-05-14T16:39:00Z">
        <w:r w:rsidRPr="00183B5F">
          <w:delText>Egyik kezével fogja meg a fecskendőt úgy, hogy a tű felfelé nézzen.</w:delText>
        </w:r>
      </w:del>
    </w:p>
    <w:p w14:paraId="7F4EF3BE" w14:textId="24B7D741" w:rsidR="000129AB" w:rsidRPr="00183B5F" w:rsidRDefault="000129AB">
      <w:pPr>
        <w:tabs>
          <w:tab w:val="left" w:pos="660"/>
        </w:tabs>
        <w:spacing w:line="240" w:lineRule="auto"/>
        <w:jc w:val="both"/>
        <w:rPr>
          <w:del w:id="10482" w:author="AbbVie_HU_03" w:date="2025-05-14T16:39:00Z"/>
        </w:rPr>
      </w:pPr>
    </w:p>
    <w:p w14:paraId="12E9AFAB" w14:textId="50626EEB" w:rsidR="00B75E7F" w:rsidRPr="00183B5F" w:rsidRDefault="00943743" w:rsidP="004062FE">
      <w:pPr>
        <w:numPr>
          <w:ilvl w:val="0"/>
          <w:numId w:val="81"/>
        </w:numPr>
        <w:tabs>
          <w:tab w:val="clear" w:pos="470"/>
          <w:tab w:val="num" w:pos="0"/>
          <w:tab w:val="left" w:pos="660"/>
        </w:tabs>
        <w:spacing w:line="240" w:lineRule="auto"/>
        <w:ind w:left="550" w:hanging="550"/>
        <w:jc w:val="both"/>
        <w:rPr>
          <w:del w:id="10483" w:author="AbbVie_HU_03" w:date="2025-05-14T16:39:00Z"/>
          <w:b/>
        </w:rPr>
      </w:pPr>
      <w:del w:id="10484" w:author="AbbVie_HU_03" w:date="2025-05-14T16:39:00Z">
        <w:r w:rsidRPr="00183B5F">
          <w:delText>A másik kezével</w:delText>
        </w:r>
        <w:r w:rsidR="00B7114A" w:rsidRPr="00183B5F">
          <w:delText xml:space="preserve"> </w:delText>
        </w:r>
        <w:r w:rsidR="00D21E1E" w:rsidRPr="00183B5F">
          <w:delText>húzza</w:delText>
        </w:r>
        <w:r w:rsidR="00B7114A" w:rsidRPr="00183B5F">
          <w:delText xml:space="preserve"> le</w:delText>
        </w:r>
        <w:r w:rsidR="0047659B" w:rsidRPr="00183B5F">
          <w:delText>felé</w:delText>
        </w:r>
        <w:r w:rsidR="00B7114A" w:rsidRPr="00183B5F">
          <w:delText xml:space="preserve"> a rózsaszínű </w:delText>
        </w:r>
        <w:r w:rsidR="00D05D0D" w:rsidRPr="00183B5F">
          <w:delText>tűborítót</w:delText>
        </w:r>
        <w:r w:rsidR="0047659B" w:rsidRPr="00183B5F">
          <w:delText xml:space="preserve"> </w:delText>
        </w:r>
        <w:r w:rsidR="00B7114A" w:rsidRPr="00183B5F">
          <w:delText>a fecskendő irányába</w:delText>
        </w:r>
        <w:r w:rsidR="0047659B" w:rsidRPr="00183B5F">
          <w:delText>.</w:delText>
        </w:r>
      </w:del>
    </w:p>
    <w:p w14:paraId="2A04FF7A" w14:textId="1E5F2110" w:rsidR="00B60D67" w:rsidRPr="00183B5F" w:rsidRDefault="00943743" w:rsidP="004062FE">
      <w:pPr>
        <w:tabs>
          <w:tab w:val="left" w:pos="660"/>
        </w:tabs>
        <w:spacing w:line="240" w:lineRule="auto"/>
        <w:jc w:val="center"/>
        <w:rPr>
          <w:del w:id="10485" w:author="AbbVie_HU_03" w:date="2025-05-14T16:39:00Z"/>
        </w:rPr>
      </w:pPr>
      <w:del w:id="10486" w:author="AbbVie_HU_03" w:date="2025-05-14T16:39:00Z">
        <w:r w:rsidRPr="005C4B06">
          <w:rPr>
            <w:noProof/>
            <w:lang w:val="en-GB"/>
          </w:rPr>
          <w:drawing>
            <wp:inline distT="0" distB="0" distL="0" distR="0" wp14:anchorId="4F3D9DDC" wp14:editId="09DDEDB9">
              <wp:extent cx="1854835" cy="1845945"/>
              <wp:effectExtent l="0" t="0" r="0" b="1905"/>
              <wp:docPr id="44"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Kép 14"/>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1854835" cy="1845945"/>
                      </a:xfrm>
                      <a:prstGeom prst="rect">
                        <a:avLst/>
                      </a:prstGeom>
                      <a:noFill/>
                      <a:ln>
                        <a:noFill/>
                      </a:ln>
                    </pic:spPr>
                  </pic:pic>
                </a:graphicData>
              </a:graphic>
            </wp:inline>
          </w:drawing>
        </w:r>
      </w:del>
    </w:p>
    <w:p w14:paraId="1CC9A252" w14:textId="42842606" w:rsidR="005D6F60" w:rsidRPr="00183B5F" w:rsidRDefault="005D6F60">
      <w:pPr>
        <w:tabs>
          <w:tab w:val="left" w:pos="660"/>
        </w:tabs>
        <w:spacing w:line="240" w:lineRule="auto"/>
        <w:rPr>
          <w:del w:id="10487" w:author="AbbVie_HU_03" w:date="2025-05-14T16:39:00Z"/>
          <w:b/>
        </w:rPr>
      </w:pPr>
    </w:p>
    <w:p w14:paraId="7E64E3B3" w14:textId="6152F299" w:rsidR="00B7114A" w:rsidRPr="00183B5F" w:rsidRDefault="00943743" w:rsidP="004062FE">
      <w:pPr>
        <w:numPr>
          <w:ilvl w:val="0"/>
          <w:numId w:val="81"/>
        </w:numPr>
        <w:tabs>
          <w:tab w:val="clear" w:pos="470"/>
          <w:tab w:val="num" w:pos="0"/>
          <w:tab w:val="left" w:pos="562"/>
        </w:tabs>
        <w:spacing w:line="240" w:lineRule="auto"/>
        <w:ind w:left="550" w:hanging="550"/>
        <w:jc w:val="both"/>
        <w:rPr>
          <w:del w:id="10488" w:author="AbbVie_HU_03" w:date="2025-05-14T16:39:00Z"/>
        </w:rPr>
      </w:pPr>
      <w:del w:id="10489" w:author="AbbVie_HU_03" w:date="2025-05-14T16:39:00Z">
        <w:r w:rsidRPr="00183B5F">
          <w:delText xml:space="preserve">Távolítsa el az átlátszó tűvédő </w:delText>
        </w:r>
        <w:r w:rsidR="006A42FB" w:rsidRPr="00183B5F">
          <w:delText>kupakot</w:delText>
        </w:r>
        <w:r w:rsidR="003567B3" w:rsidRPr="00183B5F">
          <w:delText xml:space="preserve"> úgy, hogy a másik kezével függőlegesen felfelé húzva leemeli a tűről.</w:delText>
        </w:r>
      </w:del>
    </w:p>
    <w:p w14:paraId="7F8047E7" w14:textId="4631D1DD" w:rsidR="00B7114A" w:rsidRPr="00183B5F" w:rsidRDefault="00B7114A" w:rsidP="004062FE">
      <w:pPr>
        <w:tabs>
          <w:tab w:val="left" w:pos="562"/>
        </w:tabs>
        <w:spacing w:line="240" w:lineRule="auto"/>
        <w:jc w:val="both"/>
        <w:rPr>
          <w:del w:id="10490" w:author="AbbVie_HU_03" w:date="2025-05-14T16:39:00Z"/>
        </w:rPr>
      </w:pPr>
    </w:p>
    <w:p w14:paraId="77536F1D" w14:textId="522F97A6" w:rsidR="00B60D67" w:rsidRPr="00183B5F" w:rsidRDefault="00943743" w:rsidP="004062FE">
      <w:pPr>
        <w:spacing w:line="240" w:lineRule="auto"/>
        <w:jc w:val="center"/>
        <w:rPr>
          <w:del w:id="10491" w:author="AbbVie_HU_03" w:date="2025-05-14T16:39:00Z"/>
        </w:rPr>
      </w:pPr>
      <w:del w:id="10492" w:author="AbbVie_HU_03" w:date="2025-05-14T16:39:00Z">
        <w:r w:rsidRPr="005C4B06">
          <w:rPr>
            <w:noProof/>
            <w:lang w:val="en-GB"/>
          </w:rPr>
          <w:drawing>
            <wp:inline distT="0" distB="0" distL="0" distR="0" wp14:anchorId="21F57BCB" wp14:editId="619AED51">
              <wp:extent cx="1819910" cy="1828800"/>
              <wp:effectExtent l="0" t="0" r="8890" b="0"/>
              <wp:docPr id="45"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Kép 15"/>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1819910" cy="1828800"/>
                      </a:xfrm>
                      <a:prstGeom prst="rect">
                        <a:avLst/>
                      </a:prstGeom>
                      <a:noFill/>
                      <a:ln>
                        <a:noFill/>
                      </a:ln>
                    </pic:spPr>
                  </pic:pic>
                </a:graphicData>
              </a:graphic>
            </wp:inline>
          </w:drawing>
        </w:r>
      </w:del>
    </w:p>
    <w:p w14:paraId="56DA91A9" w14:textId="06D989AF" w:rsidR="005D6F60" w:rsidRPr="00183B5F" w:rsidRDefault="005D6F60">
      <w:pPr>
        <w:tabs>
          <w:tab w:val="left" w:pos="562"/>
        </w:tabs>
        <w:spacing w:line="240" w:lineRule="auto"/>
        <w:jc w:val="center"/>
        <w:rPr>
          <w:del w:id="10493" w:author="AbbVie_HU_03" w:date="2025-05-14T16:39:00Z"/>
        </w:rPr>
      </w:pPr>
    </w:p>
    <w:p w14:paraId="1A12F06A" w14:textId="714CAEA7" w:rsidR="005D6F60" w:rsidRPr="00183B5F" w:rsidRDefault="00943743" w:rsidP="004062FE">
      <w:pPr>
        <w:numPr>
          <w:ilvl w:val="0"/>
          <w:numId w:val="81"/>
        </w:numPr>
        <w:tabs>
          <w:tab w:val="clear" w:pos="470"/>
          <w:tab w:val="num" w:pos="0"/>
          <w:tab w:val="left" w:pos="709"/>
        </w:tabs>
        <w:spacing w:line="240" w:lineRule="auto"/>
        <w:ind w:left="550" w:hanging="550"/>
        <w:jc w:val="both"/>
        <w:rPr>
          <w:del w:id="10494" w:author="AbbVie_HU_03" w:date="2025-05-14T16:39:00Z"/>
        </w:rPr>
      </w:pPr>
      <w:del w:id="10495" w:author="AbbVie_HU_03" w:date="2025-05-14T16:39:00Z">
        <w:r w:rsidRPr="00183B5F">
          <w:delText>A tű tiszta.</w:delText>
        </w:r>
      </w:del>
    </w:p>
    <w:p w14:paraId="639DDB30" w14:textId="77593B44" w:rsidR="009848E0" w:rsidRPr="00183B5F" w:rsidRDefault="00943743" w:rsidP="004062FE">
      <w:pPr>
        <w:numPr>
          <w:ilvl w:val="0"/>
          <w:numId w:val="81"/>
        </w:numPr>
        <w:tabs>
          <w:tab w:val="clear" w:pos="470"/>
          <w:tab w:val="num" w:pos="0"/>
          <w:tab w:val="left" w:pos="709"/>
        </w:tabs>
        <w:spacing w:line="240" w:lineRule="auto"/>
        <w:ind w:left="550" w:hanging="550"/>
        <w:jc w:val="both"/>
        <w:rPr>
          <w:del w:id="10496" w:author="AbbVie_HU_03" w:date="2025-05-14T16:39:00Z"/>
        </w:rPr>
      </w:pPr>
      <w:del w:id="10497" w:author="AbbVie_HU_03" w:date="2025-05-14T16:39:00Z">
        <w:r w:rsidRPr="00183B5F">
          <w:rPr>
            <w:b/>
          </w:rPr>
          <w:delText>NE</w:delText>
        </w:r>
        <w:r w:rsidRPr="00183B5F">
          <w:delText xml:space="preserve"> érintse meg a tűt</w:delText>
        </w:r>
        <w:r w:rsidR="005D6F60" w:rsidRPr="00183B5F">
          <w:delText>!</w:delText>
        </w:r>
      </w:del>
    </w:p>
    <w:p w14:paraId="39EEA19F" w14:textId="6181DE95" w:rsidR="00A3315F" w:rsidRPr="00183B5F" w:rsidRDefault="00943743" w:rsidP="004062FE">
      <w:pPr>
        <w:numPr>
          <w:ilvl w:val="0"/>
          <w:numId w:val="81"/>
        </w:numPr>
        <w:tabs>
          <w:tab w:val="clear" w:pos="470"/>
          <w:tab w:val="num" w:pos="0"/>
          <w:tab w:val="left" w:pos="709"/>
        </w:tabs>
        <w:spacing w:line="240" w:lineRule="auto"/>
        <w:ind w:left="550" w:hanging="550"/>
        <w:jc w:val="both"/>
        <w:rPr>
          <w:del w:id="10498" w:author="AbbVie_HU_03" w:date="2025-05-14T16:39:00Z"/>
        </w:rPr>
      </w:pPr>
      <w:del w:id="10499" w:author="AbbVie_HU_03" w:date="2025-05-14T16:39:00Z">
        <w:r w:rsidRPr="00183B5F">
          <w:rPr>
            <w:b/>
          </w:rPr>
          <w:delText>SOH</w:delText>
        </w:r>
        <w:r w:rsidR="00351F20" w:rsidRPr="00183B5F">
          <w:rPr>
            <w:b/>
          </w:rPr>
          <w:delText>A</w:delText>
        </w:r>
        <w:r w:rsidRPr="00183B5F">
          <w:rPr>
            <w:b/>
          </w:rPr>
          <w:delText xml:space="preserve"> NE</w:delText>
        </w:r>
        <w:r w:rsidRPr="00183B5F">
          <w:delText xml:space="preserve"> tegye le a fecskendőt azután, hogy eltávolította az átlátszó tűvédő </w:delText>
        </w:r>
        <w:r w:rsidR="00790A74" w:rsidRPr="00183B5F">
          <w:delText>kupakot</w:delText>
        </w:r>
        <w:r w:rsidR="005D6F60" w:rsidRPr="00183B5F">
          <w:delText>!</w:delText>
        </w:r>
      </w:del>
    </w:p>
    <w:p w14:paraId="12BB1ACB" w14:textId="33BB98C2" w:rsidR="00A3315F" w:rsidRPr="00183B5F" w:rsidRDefault="00943743" w:rsidP="004062FE">
      <w:pPr>
        <w:numPr>
          <w:ilvl w:val="0"/>
          <w:numId w:val="81"/>
        </w:numPr>
        <w:tabs>
          <w:tab w:val="clear" w:pos="470"/>
          <w:tab w:val="num" w:pos="0"/>
          <w:tab w:val="left" w:pos="709"/>
        </w:tabs>
        <w:spacing w:line="240" w:lineRule="auto"/>
        <w:ind w:left="709" w:hanging="709"/>
        <w:jc w:val="both"/>
        <w:rPr>
          <w:del w:id="10500" w:author="AbbVie_HU_03" w:date="2025-05-14T16:39:00Z"/>
        </w:rPr>
      </w:pPr>
      <w:del w:id="10501" w:author="AbbVie_HU_03" w:date="2025-05-14T16:39:00Z">
        <w:r w:rsidRPr="00183B5F">
          <w:rPr>
            <w:b/>
          </w:rPr>
          <w:delText>NE</w:delText>
        </w:r>
        <w:r w:rsidR="009848E0" w:rsidRPr="00183B5F">
          <w:delText xml:space="preserve"> </w:delText>
        </w:r>
        <w:r w:rsidRPr="00183B5F">
          <w:delText xml:space="preserve">próbálja </w:delText>
        </w:r>
        <w:r w:rsidR="006A03D9" w:rsidRPr="00183B5F">
          <w:delText xml:space="preserve">visszahelyezni az átlátszó tűvédő </w:delText>
        </w:r>
        <w:r w:rsidR="00790A74" w:rsidRPr="00183B5F">
          <w:delText xml:space="preserve">kupakot </w:delText>
        </w:r>
        <w:r w:rsidR="006A03D9" w:rsidRPr="00183B5F">
          <w:delText>a tűre</w:delText>
        </w:r>
        <w:r w:rsidR="005D6F60" w:rsidRPr="00183B5F">
          <w:delText>!</w:delText>
        </w:r>
      </w:del>
    </w:p>
    <w:p w14:paraId="2EFFA2E8" w14:textId="3EE00957" w:rsidR="009848E0" w:rsidRPr="00183B5F" w:rsidRDefault="009848E0" w:rsidP="004062FE">
      <w:pPr>
        <w:spacing w:line="240" w:lineRule="auto"/>
        <w:jc w:val="both"/>
        <w:rPr>
          <w:del w:id="10502" w:author="AbbVie_HU_03" w:date="2025-05-14T16:39:00Z"/>
        </w:rPr>
      </w:pPr>
    </w:p>
    <w:p w14:paraId="20196ADC" w14:textId="40FCFABC" w:rsidR="005D6F60" w:rsidRPr="00183B5F" w:rsidRDefault="00943743" w:rsidP="004062FE">
      <w:pPr>
        <w:numPr>
          <w:ilvl w:val="0"/>
          <w:numId w:val="81"/>
        </w:numPr>
        <w:tabs>
          <w:tab w:val="clear" w:pos="470"/>
          <w:tab w:val="num" w:pos="660"/>
          <w:tab w:val="left" w:pos="770"/>
        </w:tabs>
        <w:spacing w:line="240" w:lineRule="auto"/>
        <w:ind w:left="660" w:hanging="660"/>
        <w:jc w:val="both"/>
        <w:rPr>
          <w:del w:id="10503" w:author="AbbVie_HU_03" w:date="2025-05-14T16:39:00Z"/>
        </w:rPr>
      </w:pPr>
      <w:del w:id="10504" w:author="AbbVie_HU_03" w:date="2025-05-14T16:39:00Z">
        <w:r w:rsidRPr="00183B5F">
          <w:delText xml:space="preserve">Tartsa a fecskendőt szemmagasságban úgy, hogy a tű felfelé nézzen, </w:delText>
        </w:r>
        <w:r w:rsidR="00790A74" w:rsidRPr="00183B5F">
          <w:delText>annak érdekében, hogy</w:delText>
        </w:r>
        <w:r w:rsidRPr="00183B5F">
          <w:delText xml:space="preserve"> egyértelműen láthassa</w:delText>
        </w:r>
        <w:r w:rsidR="006827D1" w:rsidRPr="00183B5F">
          <w:delText xml:space="preserve"> benne lévő mennyiséget. Ügyeljen arra, hogy a gyógyszert tartalmazó folyadék</w:delText>
        </w:r>
        <w:r w:rsidR="00790A74" w:rsidRPr="00183B5F">
          <w:delText xml:space="preserve"> ne fröccsenjen</w:delText>
        </w:r>
        <w:r w:rsidR="006827D1" w:rsidRPr="00183B5F">
          <w:delText xml:space="preserve"> a szemébe.</w:delText>
        </w:r>
      </w:del>
    </w:p>
    <w:p w14:paraId="0A2545D4" w14:textId="5F439D14" w:rsidR="005D6F60" w:rsidRPr="00183B5F" w:rsidRDefault="00943743" w:rsidP="004062FE">
      <w:pPr>
        <w:numPr>
          <w:ilvl w:val="0"/>
          <w:numId w:val="81"/>
        </w:numPr>
        <w:tabs>
          <w:tab w:val="clear" w:pos="470"/>
          <w:tab w:val="num" w:pos="660"/>
          <w:tab w:val="left" w:pos="770"/>
        </w:tabs>
        <w:spacing w:line="240" w:lineRule="auto"/>
        <w:ind w:left="660" w:hanging="660"/>
        <w:jc w:val="both"/>
        <w:rPr>
          <w:del w:id="10505" w:author="AbbVie_HU_03" w:date="2025-05-14T16:39:00Z"/>
        </w:rPr>
      </w:pPr>
      <w:del w:id="10506" w:author="AbbVie_HU_03" w:date="2025-05-14T16:39:00Z">
        <w:r w:rsidRPr="00183B5F">
          <w:delText>Ellenőrizze újból a rendelt gyógyszermennyiséget.</w:delText>
        </w:r>
      </w:del>
    </w:p>
    <w:p w14:paraId="52F48991" w14:textId="453CD9B3" w:rsidR="006827D1" w:rsidRPr="00183B5F" w:rsidRDefault="00943743" w:rsidP="004062FE">
      <w:pPr>
        <w:numPr>
          <w:ilvl w:val="0"/>
          <w:numId w:val="81"/>
        </w:numPr>
        <w:tabs>
          <w:tab w:val="clear" w:pos="470"/>
          <w:tab w:val="num" w:pos="660"/>
          <w:tab w:val="left" w:pos="770"/>
        </w:tabs>
        <w:spacing w:line="240" w:lineRule="auto"/>
        <w:ind w:left="660" w:hanging="660"/>
        <w:jc w:val="both"/>
        <w:rPr>
          <w:del w:id="10507" w:author="AbbVie_HU_03" w:date="2025-05-14T16:39:00Z"/>
        </w:rPr>
      </w:pPr>
      <w:del w:id="10508" w:author="AbbVie_HU_03" w:date="2025-05-14T16:39:00Z">
        <w:r w:rsidRPr="00183B5F">
          <w:delText>Nyomja a fehér dugattyút finoman a fecskendőbe mindaddi</w:delText>
        </w:r>
        <w:r w:rsidR="00DF4BF2" w:rsidRPr="00183B5F">
          <w:delText>g, amíg a fecskendőben a rendelt</w:delText>
        </w:r>
        <w:r w:rsidRPr="00183B5F">
          <w:delText xml:space="preserve"> folyadékmennyiség marad. </w:delText>
        </w:r>
        <w:r w:rsidR="00AF4478" w:rsidRPr="00183B5F">
          <w:delText xml:space="preserve">A felesleges folyadék kifolyhat a tűből, miközben nyomja a fehér dugattyút. </w:delText>
        </w:r>
        <w:r w:rsidR="00AF4478" w:rsidRPr="00183B5F">
          <w:rPr>
            <w:b/>
          </w:rPr>
          <w:delText>NE</w:delText>
        </w:r>
        <w:r w:rsidR="00AF4478" w:rsidRPr="00183B5F">
          <w:delText xml:space="preserve"> törölje le a tűt vagy a fecskendőt</w:delText>
        </w:r>
        <w:r w:rsidR="006D2F10" w:rsidRPr="00183B5F">
          <w:delText>!</w:delText>
        </w:r>
      </w:del>
    </w:p>
    <w:p w14:paraId="0A4E5852" w14:textId="4A78895C" w:rsidR="009848E0" w:rsidRPr="00183B5F" w:rsidRDefault="009848E0" w:rsidP="004062FE">
      <w:pPr>
        <w:spacing w:line="240" w:lineRule="auto"/>
        <w:ind w:left="567" w:hanging="567"/>
        <w:rPr>
          <w:del w:id="10509" w:author="AbbVie_HU_03" w:date="2025-05-14T16:39:00Z"/>
        </w:rPr>
      </w:pPr>
    </w:p>
    <w:p w14:paraId="7A9EF0B1" w14:textId="39215A2C" w:rsidR="006D2F10" w:rsidRPr="00183B5F" w:rsidRDefault="00943743" w:rsidP="004062FE">
      <w:pPr>
        <w:spacing w:line="240" w:lineRule="auto"/>
        <w:ind w:left="567" w:hanging="567"/>
        <w:rPr>
          <w:del w:id="10510" w:author="AbbVie_HU_03" w:date="2025-05-14T16:39:00Z"/>
          <w:b/>
        </w:rPr>
      </w:pPr>
      <w:del w:id="10511" w:author="AbbVie_HU_03" w:date="2025-05-14T16:39:00Z">
        <w:r w:rsidRPr="00183B5F">
          <w:rPr>
            <w:b/>
          </w:rPr>
          <w:delText>5)</w:delText>
        </w:r>
        <w:r w:rsidRPr="00183B5F">
          <w:rPr>
            <w:b/>
          </w:rPr>
          <w:tab/>
        </w:r>
        <w:r w:rsidR="00AF4478" w:rsidRPr="00183B5F">
          <w:rPr>
            <w:b/>
          </w:rPr>
          <w:delText xml:space="preserve">A </w:delText>
        </w:r>
        <w:r w:rsidR="009848E0" w:rsidRPr="00183B5F">
          <w:rPr>
            <w:b/>
          </w:rPr>
          <w:delText>Humira</w:delText>
        </w:r>
        <w:r w:rsidR="00AF4478" w:rsidRPr="00183B5F">
          <w:rPr>
            <w:b/>
          </w:rPr>
          <w:delText xml:space="preserve"> injekció beadása</w:delText>
        </w:r>
      </w:del>
    </w:p>
    <w:p w14:paraId="3E84AB44" w14:textId="4F8D2685" w:rsidR="00F145C8" w:rsidRPr="00183B5F" w:rsidRDefault="00F145C8" w:rsidP="004062FE">
      <w:pPr>
        <w:spacing w:line="240" w:lineRule="auto"/>
        <w:ind w:left="567" w:hanging="567"/>
        <w:rPr>
          <w:del w:id="10512" w:author="AbbVie_HU_03" w:date="2025-05-14T16:39:00Z"/>
          <w:b/>
        </w:rPr>
      </w:pPr>
    </w:p>
    <w:p w14:paraId="02AB1803" w14:textId="5A6C589B" w:rsidR="006D2F10" w:rsidRPr="00183B5F" w:rsidRDefault="00943743">
      <w:pPr>
        <w:pStyle w:val="EMEABullet2"/>
        <w:tabs>
          <w:tab w:val="clear" w:pos="567"/>
          <w:tab w:val="clear" w:pos="720"/>
          <w:tab w:val="num" w:pos="550"/>
          <w:tab w:val="num" w:pos="690"/>
        </w:tabs>
        <w:ind w:left="550" w:hanging="550"/>
        <w:rPr>
          <w:del w:id="10513" w:author="AbbVie_HU_03" w:date="2025-05-14T16:39:00Z"/>
          <w:lang w:val="hu-HU"/>
        </w:rPr>
      </w:pPr>
      <w:del w:id="10514" w:author="AbbVie_HU_03" w:date="2025-05-14T16:39:00Z">
        <w:r w:rsidRPr="00183B5F">
          <w:rPr>
            <w:lang w:val="hu-HU"/>
          </w:rPr>
          <w:delText>A szabad kezével finoman fogja meg a letisztított bőrfelületet és tartsa erősen.</w:delText>
        </w:r>
      </w:del>
    </w:p>
    <w:p w14:paraId="78C4E96D" w14:textId="76799C1C" w:rsidR="006D2F10" w:rsidRPr="00183B5F" w:rsidRDefault="00943743">
      <w:pPr>
        <w:pStyle w:val="EMEABullet2"/>
        <w:tabs>
          <w:tab w:val="clear" w:pos="567"/>
          <w:tab w:val="clear" w:pos="720"/>
          <w:tab w:val="num" w:pos="550"/>
          <w:tab w:val="num" w:pos="690"/>
        </w:tabs>
        <w:ind w:left="550" w:hanging="550"/>
        <w:rPr>
          <w:del w:id="10515" w:author="AbbVie_HU_03" w:date="2025-05-14T16:39:00Z"/>
          <w:lang w:val="hu-HU"/>
        </w:rPr>
      </w:pPr>
      <w:del w:id="10516" w:author="AbbVie_HU_03" w:date="2025-05-14T16:39:00Z">
        <w:r w:rsidRPr="00183B5F">
          <w:rPr>
            <w:lang w:val="hu-HU"/>
          </w:rPr>
          <w:delText>A másik kezével tartsa a fecskendőt 45 fokos szögben a bőrfelülethez.</w:delText>
        </w:r>
      </w:del>
    </w:p>
    <w:p w14:paraId="353BFF99" w14:textId="308D4DB1" w:rsidR="006D2F10" w:rsidRPr="00183B5F" w:rsidRDefault="00943743">
      <w:pPr>
        <w:pStyle w:val="EMEABullet2"/>
        <w:tabs>
          <w:tab w:val="clear" w:pos="567"/>
          <w:tab w:val="clear" w:pos="720"/>
          <w:tab w:val="num" w:pos="612"/>
        </w:tabs>
        <w:ind w:left="648" w:hanging="648"/>
        <w:rPr>
          <w:del w:id="10517" w:author="AbbVie_HU_03" w:date="2025-05-14T16:39:00Z"/>
          <w:lang w:val="hu-HU"/>
        </w:rPr>
      </w:pPr>
      <w:del w:id="10518" w:author="AbbVie_HU_03" w:date="2025-05-14T16:39:00Z">
        <w:r w:rsidRPr="00183B5F">
          <w:rPr>
            <w:lang w:val="hu-HU"/>
          </w:rPr>
          <w:delText>Egy gyors, rövid mozdulattal nyomja be teljesen a tűt a bőrbe.</w:delText>
        </w:r>
      </w:del>
    </w:p>
    <w:p w14:paraId="59C96ADF" w14:textId="3FE8EC2D" w:rsidR="006D2F10" w:rsidRPr="00183B5F" w:rsidRDefault="00943743">
      <w:pPr>
        <w:pStyle w:val="EMEABullet2"/>
        <w:tabs>
          <w:tab w:val="clear" w:pos="567"/>
          <w:tab w:val="clear" w:pos="720"/>
          <w:tab w:val="num" w:pos="612"/>
        </w:tabs>
        <w:ind w:left="648" w:hanging="648"/>
        <w:rPr>
          <w:del w:id="10519" w:author="AbbVie_HU_03" w:date="2025-05-14T16:39:00Z"/>
          <w:lang w:val="hu-HU"/>
        </w:rPr>
      </w:pPr>
      <w:del w:id="10520" w:author="AbbVie_HU_03" w:date="2025-05-14T16:39:00Z">
        <w:r w:rsidRPr="00183B5F">
          <w:rPr>
            <w:lang w:val="hu-HU"/>
          </w:rPr>
          <w:delText>Engedje ki kezéből a bőrt</w:delText>
        </w:r>
        <w:r w:rsidR="00BF6E68" w:rsidRPr="00183B5F">
          <w:rPr>
            <w:lang w:val="hu-HU"/>
          </w:rPr>
          <w:delText>.</w:delText>
        </w:r>
      </w:del>
    </w:p>
    <w:p w14:paraId="1F15C222" w14:textId="4AD4314D" w:rsidR="00577815" w:rsidRPr="00183B5F" w:rsidRDefault="00943743">
      <w:pPr>
        <w:pStyle w:val="EMEABullet2"/>
        <w:tabs>
          <w:tab w:val="clear" w:pos="567"/>
          <w:tab w:val="clear" w:pos="720"/>
          <w:tab w:val="num" w:pos="612"/>
        </w:tabs>
        <w:ind w:left="648" w:hanging="648"/>
        <w:rPr>
          <w:del w:id="10521" w:author="AbbVie_HU_03" w:date="2025-05-14T16:39:00Z"/>
          <w:lang w:val="hu-HU"/>
        </w:rPr>
      </w:pPr>
      <w:del w:id="10522" w:author="AbbVie_HU_03" w:date="2025-05-14T16:39:00Z">
        <w:r w:rsidRPr="00183B5F">
          <w:rPr>
            <w:lang w:val="hu-HU"/>
          </w:rPr>
          <w:delText>Addig nyomja befelé</w:delText>
        </w:r>
        <w:r w:rsidR="00D255DE" w:rsidRPr="00183B5F">
          <w:rPr>
            <w:lang w:val="hu-HU"/>
          </w:rPr>
          <w:delText xml:space="preserve"> a fehér dugattyút a gyógyszert tartalmazó folyadék</w:delText>
        </w:r>
        <w:r w:rsidRPr="00183B5F">
          <w:rPr>
            <w:lang w:val="hu-HU"/>
          </w:rPr>
          <w:delText xml:space="preserve"> be</w:delText>
        </w:r>
        <w:r w:rsidR="00691EDC" w:rsidRPr="00183B5F">
          <w:rPr>
            <w:lang w:val="hu-HU"/>
          </w:rPr>
          <w:delText>fecskendezése</w:delText>
        </w:r>
        <w:r w:rsidRPr="00183B5F">
          <w:rPr>
            <w:lang w:val="hu-HU"/>
          </w:rPr>
          <w:delText xml:space="preserve"> céljából, amíg a fecskendő kiürül.</w:delText>
        </w:r>
      </w:del>
    </w:p>
    <w:p w14:paraId="20C55304" w14:textId="0FECDFA4" w:rsidR="00577815" w:rsidRPr="00183B5F" w:rsidRDefault="00943743">
      <w:pPr>
        <w:pStyle w:val="EMEABullet2"/>
        <w:tabs>
          <w:tab w:val="clear" w:pos="567"/>
          <w:tab w:val="clear" w:pos="720"/>
          <w:tab w:val="num" w:pos="612"/>
        </w:tabs>
        <w:ind w:left="648" w:hanging="648"/>
        <w:rPr>
          <w:del w:id="10523" w:author="AbbVie_HU_03" w:date="2025-05-14T16:39:00Z"/>
          <w:lang w:val="hu-HU"/>
        </w:rPr>
      </w:pPr>
      <w:del w:id="10524" w:author="AbbVie_HU_03" w:date="2025-05-14T16:39:00Z">
        <w:r w:rsidRPr="00183B5F">
          <w:rPr>
            <w:lang w:val="hu-HU"/>
          </w:rPr>
          <w:delText xml:space="preserve">Amikor a fecskendő kiürül, </w:delText>
        </w:r>
        <w:r w:rsidR="00497381" w:rsidRPr="00183B5F">
          <w:rPr>
            <w:lang w:val="hu-HU"/>
          </w:rPr>
          <w:delText>távolítsa el</w:delText>
        </w:r>
        <w:r w:rsidRPr="00183B5F">
          <w:rPr>
            <w:lang w:val="hu-HU"/>
          </w:rPr>
          <w:delText xml:space="preserve"> a tűt a bőrből</w:delText>
        </w:r>
        <w:r w:rsidR="00B00B74" w:rsidRPr="00183B5F">
          <w:rPr>
            <w:lang w:val="hu-HU"/>
          </w:rPr>
          <w:delText>,</w:delText>
        </w:r>
        <w:r w:rsidR="00497381" w:rsidRPr="00183B5F">
          <w:rPr>
            <w:lang w:val="hu-HU"/>
          </w:rPr>
          <w:delText xml:space="preserve"> gondosan ügyelve arra, hogy ugyanolyan szögben húzza ki, mint amilyen szögben beleszúrta.</w:delText>
        </w:r>
      </w:del>
    </w:p>
    <w:p w14:paraId="4D0E90ED" w14:textId="0D4C530C" w:rsidR="00497381" w:rsidRPr="00183B5F" w:rsidRDefault="00497381">
      <w:pPr>
        <w:pStyle w:val="EMEANormal"/>
        <w:rPr>
          <w:del w:id="10525" w:author="AbbVie_HU_03" w:date="2025-05-14T16:39:00Z"/>
          <w:lang w:val="hu-HU"/>
        </w:rPr>
      </w:pPr>
    </w:p>
    <w:p w14:paraId="42DAB115" w14:textId="06D228D1" w:rsidR="00B60D67" w:rsidRPr="00183B5F" w:rsidRDefault="00943743">
      <w:pPr>
        <w:pStyle w:val="EMEANormal"/>
        <w:jc w:val="center"/>
        <w:rPr>
          <w:del w:id="10526" w:author="AbbVie_HU_03" w:date="2025-05-14T16:39:00Z"/>
          <w:lang w:val="hu-HU"/>
        </w:rPr>
      </w:pPr>
      <w:del w:id="10527" w:author="AbbVie_HU_03" w:date="2025-05-14T16:39:00Z">
        <w:r w:rsidRPr="005C4B06">
          <w:rPr>
            <w:noProof/>
            <w:lang w:val="en-GB"/>
          </w:rPr>
          <w:drawing>
            <wp:inline distT="0" distB="0" distL="0" distR="0" wp14:anchorId="0F8F1CB6" wp14:editId="004D3542">
              <wp:extent cx="1898015" cy="1854835"/>
              <wp:effectExtent l="0" t="0" r="6985" b="0"/>
              <wp:docPr id="46"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Kép 16"/>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1898015" cy="1854835"/>
                      </a:xfrm>
                      <a:prstGeom prst="rect">
                        <a:avLst/>
                      </a:prstGeom>
                      <a:noFill/>
                      <a:ln>
                        <a:noFill/>
                      </a:ln>
                    </pic:spPr>
                  </pic:pic>
                </a:graphicData>
              </a:graphic>
            </wp:inline>
          </w:drawing>
        </w:r>
      </w:del>
    </w:p>
    <w:p w14:paraId="5AC85C6D" w14:textId="47749605" w:rsidR="00497381" w:rsidRPr="00183B5F" w:rsidRDefault="00497381">
      <w:pPr>
        <w:pStyle w:val="EMEANormal"/>
        <w:rPr>
          <w:del w:id="10528" w:author="AbbVie_HU_03" w:date="2025-05-14T16:39:00Z"/>
          <w:lang w:val="hu-HU"/>
        </w:rPr>
      </w:pPr>
    </w:p>
    <w:p w14:paraId="538EADB8" w14:textId="66E35003" w:rsidR="009A1FD6" w:rsidRPr="00183B5F" w:rsidRDefault="00943743">
      <w:pPr>
        <w:pStyle w:val="EMEABullet2"/>
        <w:tabs>
          <w:tab w:val="clear" w:pos="567"/>
          <w:tab w:val="clear" w:pos="720"/>
          <w:tab w:val="num" w:pos="612"/>
        </w:tabs>
        <w:ind w:left="648" w:hanging="648"/>
        <w:rPr>
          <w:del w:id="10529" w:author="AbbVie_HU_03" w:date="2025-05-14T16:39:00Z"/>
          <w:lang w:val="hu-HU"/>
        </w:rPr>
      </w:pPr>
      <w:del w:id="10530" w:author="AbbVie_HU_03" w:date="2025-05-14T16:39:00Z">
        <w:r w:rsidRPr="00183B5F">
          <w:rPr>
            <w:lang w:val="hu-HU"/>
          </w:rPr>
          <w:delText xml:space="preserve">Finoman </w:delText>
        </w:r>
        <w:r w:rsidR="00476F9E" w:rsidRPr="00183B5F">
          <w:rPr>
            <w:lang w:val="hu-HU"/>
          </w:rPr>
          <w:delText>tolja</w:delText>
        </w:r>
        <w:r w:rsidRPr="00183B5F">
          <w:rPr>
            <w:lang w:val="hu-HU"/>
          </w:rPr>
          <w:delText xml:space="preserve"> </w:delText>
        </w:r>
        <w:r w:rsidR="00B00B74" w:rsidRPr="00183B5F">
          <w:rPr>
            <w:lang w:val="hu-HU"/>
          </w:rPr>
          <w:delText>vissza</w:delText>
        </w:r>
        <w:r w:rsidRPr="00183B5F">
          <w:rPr>
            <w:lang w:val="hu-HU"/>
          </w:rPr>
          <w:delText xml:space="preserve"> a tűre</w:delText>
        </w:r>
        <w:r w:rsidR="00133586" w:rsidRPr="00183B5F">
          <w:rPr>
            <w:lang w:val="hu-HU"/>
          </w:rPr>
          <w:delText xml:space="preserve"> a </w:delText>
        </w:r>
        <w:r w:rsidR="00476F9E" w:rsidRPr="00183B5F">
          <w:rPr>
            <w:lang w:val="hu-HU"/>
          </w:rPr>
          <w:delText>tű</w:delText>
        </w:r>
        <w:r w:rsidR="00D05D0D" w:rsidRPr="00183B5F">
          <w:rPr>
            <w:lang w:val="hu-HU"/>
          </w:rPr>
          <w:delText>borítót</w:delText>
        </w:r>
        <w:r w:rsidR="00476F9E" w:rsidRPr="00183B5F">
          <w:rPr>
            <w:lang w:val="hu-HU"/>
          </w:rPr>
          <w:delText xml:space="preserve"> </w:delText>
        </w:r>
        <w:r w:rsidR="00B022C4" w:rsidRPr="00183B5F">
          <w:rPr>
            <w:lang w:val="hu-HU"/>
          </w:rPr>
          <w:delText xml:space="preserve">és </w:delText>
        </w:r>
        <w:r w:rsidR="00476F9E" w:rsidRPr="00183B5F">
          <w:rPr>
            <w:lang w:val="hu-HU"/>
          </w:rPr>
          <w:delText>pattintsa a helyére</w:delText>
        </w:r>
        <w:r w:rsidR="00B022C4" w:rsidRPr="00183B5F">
          <w:rPr>
            <w:lang w:val="hu-HU"/>
          </w:rPr>
          <w:delText>, majd tegye a fecskendőt a tűvel</w:delText>
        </w:r>
        <w:r w:rsidRPr="00183B5F">
          <w:rPr>
            <w:lang w:val="hu-HU"/>
          </w:rPr>
          <w:delText xml:space="preserve"> </w:delText>
        </w:r>
        <w:r w:rsidR="00476F9E" w:rsidRPr="00183B5F">
          <w:rPr>
            <w:lang w:val="hu-HU"/>
          </w:rPr>
          <w:delText xml:space="preserve">együtt </w:delText>
        </w:r>
        <w:r w:rsidRPr="00183B5F">
          <w:rPr>
            <w:lang w:val="hu-HU"/>
          </w:rPr>
          <w:delText>a munkafelületre.</w:delText>
        </w:r>
      </w:del>
    </w:p>
    <w:p w14:paraId="23AB49CE" w14:textId="398176B4" w:rsidR="006D2F10" w:rsidRPr="00183B5F" w:rsidRDefault="006D2F10">
      <w:pPr>
        <w:pStyle w:val="EMEANormal"/>
        <w:rPr>
          <w:del w:id="10531" w:author="AbbVie_HU_03" w:date="2025-05-14T16:39:00Z"/>
          <w:lang w:val="hu-HU"/>
        </w:rPr>
      </w:pPr>
    </w:p>
    <w:p w14:paraId="7D3B3521" w14:textId="7B8BAD27" w:rsidR="009A1FD6" w:rsidRPr="00183B5F" w:rsidRDefault="00943743">
      <w:pPr>
        <w:pStyle w:val="EMEABullet2"/>
        <w:tabs>
          <w:tab w:val="clear" w:pos="567"/>
          <w:tab w:val="clear" w:pos="720"/>
          <w:tab w:val="num" w:pos="612"/>
        </w:tabs>
        <w:ind w:left="648" w:hanging="648"/>
        <w:rPr>
          <w:del w:id="10532" w:author="AbbVie_HU_03" w:date="2025-05-14T16:39:00Z"/>
          <w:lang w:val="hu-HU"/>
        </w:rPr>
      </w:pPr>
      <w:del w:id="10533" w:author="AbbVie_HU_03" w:date="2025-05-14T16:39:00Z">
        <w:r w:rsidRPr="00183B5F">
          <w:rPr>
            <w:b/>
            <w:lang w:val="hu-HU"/>
          </w:rPr>
          <w:delText xml:space="preserve">NE </w:delText>
        </w:r>
        <w:r w:rsidRPr="00183B5F">
          <w:rPr>
            <w:lang w:val="hu-HU"/>
          </w:rPr>
          <w:delText xml:space="preserve">helyezze vissza a tűre az átlátszó tűvédő </w:delText>
        </w:r>
        <w:r w:rsidR="00476F9E" w:rsidRPr="00183B5F">
          <w:rPr>
            <w:lang w:val="hu-HU"/>
          </w:rPr>
          <w:delText>kupakot</w:delText>
        </w:r>
        <w:r w:rsidR="006D2F10" w:rsidRPr="00183B5F">
          <w:rPr>
            <w:lang w:val="hu-HU"/>
          </w:rPr>
          <w:delText>!</w:delText>
        </w:r>
      </w:del>
    </w:p>
    <w:p w14:paraId="63723643" w14:textId="387EB0C6" w:rsidR="006D2F10" w:rsidRPr="00183B5F" w:rsidRDefault="006D2F10">
      <w:pPr>
        <w:pStyle w:val="EMEABullet2"/>
        <w:numPr>
          <w:ilvl w:val="0"/>
          <w:numId w:val="0"/>
        </w:numPr>
        <w:tabs>
          <w:tab w:val="clear" w:pos="567"/>
        </w:tabs>
        <w:rPr>
          <w:del w:id="10534" w:author="AbbVie_HU_03" w:date="2025-05-14T16:39:00Z"/>
          <w:lang w:val="hu-HU"/>
        </w:rPr>
      </w:pPr>
    </w:p>
    <w:p w14:paraId="2F988B2C" w14:textId="027861BA" w:rsidR="00FB2190" w:rsidRPr="00183B5F" w:rsidRDefault="00943743">
      <w:pPr>
        <w:pStyle w:val="EMEABullet2"/>
        <w:tabs>
          <w:tab w:val="clear" w:pos="567"/>
          <w:tab w:val="clear" w:pos="720"/>
          <w:tab w:val="num" w:pos="612"/>
        </w:tabs>
        <w:ind w:left="648" w:hanging="648"/>
        <w:rPr>
          <w:del w:id="10535" w:author="AbbVie_HU_03" w:date="2025-05-14T16:39:00Z"/>
          <w:lang w:val="hu-HU"/>
        </w:rPr>
      </w:pPr>
      <w:del w:id="10536" w:author="AbbVie_HU_03" w:date="2025-05-14T16:39:00Z">
        <w:r w:rsidRPr="005C4B06">
          <w:rPr>
            <w:noProof/>
            <w:lang w:val="en-GB"/>
          </w:rPr>
          <w:drawing>
            <wp:inline distT="0" distB="0" distL="0" distR="0" wp14:anchorId="2D00CEDD" wp14:editId="130CBC5F">
              <wp:extent cx="3916680" cy="1802765"/>
              <wp:effectExtent l="0" t="0" r="7620" b="6985"/>
              <wp:docPr id="47" name="Kép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Kép 17"/>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3916680" cy="1802765"/>
                      </a:xfrm>
                      <a:prstGeom prst="rect">
                        <a:avLst/>
                      </a:prstGeom>
                      <a:noFill/>
                      <a:ln>
                        <a:noFill/>
                      </a:ln>
                    </pic:spPr>
                  </pic:pic>
                </a:graphicData>
              </a:graphic>
            </wp:inline>
          </w:drawing>
        </w:r>
      </w:del>
    </w:p>
    <w:p w14:paraId="0A1FE0DE" w14:textId="5F49D67D" w:rsidR="009A1FD6" w:rsidRPr="00183B5F" w:rsidRDefault="009A1FD6">
      <w:pPr>
        <w:pStyle w:val="EMEANormal"/>
        <w:rPr>
          <w:del w:id="10537" w:author="AbbVie_HU_03" w:date="2025-05-14T16:39:00Z"/>
          <w:lang w:val="hu-HU"/>
        </w:rPr>
      </w:pPr>
    </w:p>
    <w:p w14:paraId="04025BE0" w14:textId="002C7E39" w:rsidR="000A62BD" w:rsidRPr="00183B5F" w:rsidRDefault="00943743">
      <w:pPr>
        <w:pStyle w:val="EMEABullet2"/>
        <w:tabs>
          <w:tab w:val="clear" w:pos="567"/>
          <w:tab w:val="clear" w:pos="720"/>
          <w:tab w:val="num" w:pos="550"/>
          <w:tab w:val="num" w:pos="690"/>
        </w:tabs>
        <w:ind w:left="550" w:hanging="440"/>
        <w:rPr>
          <w:del w:id="10538" w:author="AbbVie_HU_03" w:date="2025-05-14T16:39:00Z"/>
          <w:lang w:val="hu-HU"/>
        </w:rPr>
      </w:pPr>
      <w:del w:id="10539" w:author="AbbVie_HU_03" w:date="2025-05-14T16:39:00Z">
        <w:r w:rsidRPr="00183B5F">
          <w:rPr>
            <w:lang w:val="hu-HU"/>
          </w:rPr>
          <w:delText>Nyomjon egy gézdarabot 10</w:delText>
        </w:r>
        <w:r w:rsidR="001775F8" w:rsidRPr="00183B5F">
          <w:rPr>
            <w:lang w:val="hu-HU"/>
          </w:rPr>
          <w:delText> </w:delText>
        </w:r>
        <w:r w:rsidRPr="00183B5F">
          <w:rPr>
            <w:lang w:val="hu-HU"/>
          </w:rPr>
          <w:delText>másodpercig</w:delText>
        </w:r>
        <w:r w:rsidR="000943F7" w:rsidRPr="00183B5F">
          <w:rPr>
            <w:lang w:val="hu-HU"/>
          </w:rPr>
          <w:delText xml:space="preserve"> az injekció beadási helyére. Csekély vérzés előfordulhat. </w:delText>
        </w:r>
        <w:r w:rsidR="000943F7" w:rsidRPr="00183B5F">
          <w:rPr>
            <w:b/>
            <w:lang w:val="hu-HU"/>
          </w:rPr>
          <w:delText>NE</w:delText>
        </w:r>
        <w:r w:rsidR="000943F7" w:rsidRPr="00183B5F">
          <w:rPr>
            <w:lang w:val="hu-HU"/>
          </w:rPr>
          <w:delText xml:space="preserve"> dörzsölje az injekció beadási helyét. Használjon </w:delText>
        </w:r>
        <w:r w:rsidR="00EC65D1" w:rsidRPr="00183B5F">
          <w:rPr>
            <w:lang w:val="hu-HU"/>
          </w:rPr>
          <w:delText>rag</w:delText>
        </w:r>
        <w:r w:rsidR="000943F7" w:rsidRPr="00183B5F">
          <w:rPr>
            <w:lang w:val="hu-HU"/>
          </w:rPr>
          <w:delText>tapaszt, ha szükségesnek látja</w:delText>
        </w:r>
        <w:r w:rsidR="006D2F10" w:rsidRPr="00183B5F">
          <w:rPr>
            <w:lang w:val="hu-HU"/>
          </w:rPr>
          <w:delText>!</w:delText>
        </w:r>
      </w:del>
    </w:p>
    <w:p w14:paraId="698B4ED4" w14:textId="45F31052" w:rsidR="00CA286E" w:rsidRPr="00183B5F" w:rsidRDefault="00CA286E">
      <w:pPr>
        <w:pStyle w:val="EMEANormal"/>
        <w:rPr>
          <w:del w:id="10540" w:author="AbbVie_HU_03" w:date="2025-05-14T16:39:00Z"/>
          <w:lang w:val="hu-HU"/>
        </w:rPr>
      </w:pPr>
    </w:p>
    <w:p w14:paraId="205C0C89" w14:textId="6E615700" w:rsidR="009848E0" w:rsidRPr="00183B5F" w:rsidRDefault="00943743" w:rsidP="000B3A51">
      <w:pPr>
        <w:pStyle w:val="EMEAHeading2SPC"/>
        <w:keepNext/>
        <w:spacing w:beforeLines="0" w:afterLines="0"/>
        <w:rPr>
          <w:del w:id="10541" w:author="AbbVie_HU_03" w:date="2025-05-14T16:39:00Z"/>
          <w:rFonts w:ascii="Times New Roman" w:hAnsi="Times New Roman"/>
          <w:lang w:val="hu-HU"/>
        </w:rPr>
      </w:pPr>
      <w:del w:id="10542" w:author="AbbVie_HU_03" w:date="2025-05-14T16:39:00Z">
        <w:r w:rsidRPr="00183B5F">
          <w:rPr>
            <w:rFonts w:ascii="Times New Roman" w:hAnsi="Times New Roman"/>
            <w:lang w:val="hu-HU"/>
          </w:rPr>
          <w:delText>6)</w:delText>
        </w:r>
        <w:r w:rsidRPr="00183B5F">
          <w:rPr>
            <w:rFonts w:ascii="Times New Roman" w:hAnsi="Times New Roman"/>
            <w:lang w:val="hu-HU"/>
          </w:rPr>
          <w:tab/>
        </w:r>
        <w:r w:rsidR="000943F7" w:rsidRPr="00183B5F">
          <w:rPr>
            <w:rFonts w:ascii="Times New Roman" w:hAnsi="Times New Roman"/>
            <w:lang w:val="hu-HU"/>
          </w:rPr>
          <w:delText>Az alkalmazott eszközök eldobása</w:delText>
        </w:r>
      </w:del>
    </w:p>
    <w:p w14:paraId="06599E5E" w14:textId="27539609" w:rsidR="00CA286E" w:rsidRPr="00183B5F" w:rsidRDefault="00CA286E" w:rsidP="000B3A51">
      <w:pPr>
        <w:pStyle w:val="EMEANormal"/>
        <w:keepNext/>
        <w:rPr>
          <w:del w:id="10543" w:author="AbbVie_HU_03" w:date="2025-05-14T16:39:00Z"/>
          <w:lang w:val="hu-HU"/>
        </w:rPr>
      </w:pPr>
    </w:p>
    <w:p w14:paraId="371D3146" w14:textId="6AA1C20F" w:rsidR="006D2F10" w:rsidRPr="00183B5F" w:rsidRDefault="00943743" w:rsidP="000B3A51">
      <w:pPr>
        <w:pStyle w:val="EMEABullet2"/>
        <w:keepNext/>
        <w:tabs>
          <w:tab w:val="clear" w:pos="567"/>
          <w:tab w:val="clear" w:pos="720"/>
          <w:tab w:val="num" w:pos="690"/>
          <w:tab w:val="num" w:pos="770"/>
        </w:tabs>
        <w:ind w:left="660" w:hanging="660"/>
        <w:rPr>
          <w:del w:id="10544" w:author="AbbVie_HU_03" w:date="2025-05-14T16:39:00Z"/>
          <w:lang w:val="hu-HU"/>
        </w:rPr>
      </w:pPr>
      <w:del w:id="10545" w:author="AbbVie_HU_03" w:date="2025-05-14T16:39:00Z">
        <w:r w:rsidRPr="00183B5F">
          <w:rPr>
            <w:lang w:val="hu-HU"/>
          </w:rPr>
          <w:delText>Szüksége lesz egy külön gyűjtő</w:delText>
        </w:r>
        <w:r w:rsidR="00DC62CF" w:rsidRPr="00183B5F">
          <w:rPr>
            <w:lang w:val="hu-HU"/>
          </w:rPr>
          <w:delText>edényre</w:delText>
        </w:r>
        <w:r w:rsidRPr="00183B5F">
          <w:rPr>
            <w:lang w:val="hu-HU"/>
          </w:rPr>
          <w:delText xml:space="preserve">, </w:delText>
        </w:r>
        <w:r w:rsidR="00F15477" w:rsidRPr="00183B5F">
          <w:rPr>
            <w:bCs/>
            <w:szCs w:val="22"/>
            <w:lang w:val="hu-HU"/>
          </w:rPr>
          <w:delText>például</w:delText>
        </w:r>
        <w:r w:rsidRPr="00183B5F">
          <w:rPr>
            <w:lang w:val="hu-HU"/>
          </w:rPr>
          <w:delText xml:space="preserve"> olyanra, mint amit éles</w:delText>
        </w:r>
        <w:r w:rsidR="00A91788" w:rsidRPr="00183B5F">
          <w:rPr>
            <w:lang w:val="hu-HU"/>
          </w:rPr>
          <w:delText>/szúró</w:delText>
        </w:r>
        <w:r w:rsidRPr="00183B5F">
          <w:rPr>
            <w:lang w:val="hu-HU"/>
          </w:rPr>
          <w:delText xml:space="preserve"> eszközök</w:delText>
        </w:r>
        <w:r w:rsidR="00DC62CF" w:rsidRPr="00183B5F">
          <w:rPr>
            <w:lang w:val="hu-HU"/>
          </w:rPr>
          <w:delText xml:space="preserve"> esetében</w:delText>
        </w:r>
        <w:r w:rsidRPr="00183B5F">
          <w:rPr>
            <w:lang w:val="hu-HU"/>
          </w:rPr>
          <w:delText xml:space="preserve"> használnak, vagy amilyet a nővér, az orvos vagy a gyógyszerész tanácsol.</w:delText>
        </w:r>
      </w:del>
    </w:p>
    <w:p w14:paraId="75F81BF3" w14:textId="0E90B05F" w:rsidR="00B14987" w:rsidRPr="00183B5F" w:rsidRDefault="00943743">
      <w:pPr>
        <w:pStyle w:val="EMEABullet2"/>
        <w:tabs>
          <w:tab w:val="clear" w:pos="567"/>
          <w:tab w:val="clear" w:pos="720"/>
          <w:tab w:val="num" w:pos="690"/>
          <w:tab w:val="num" w:pos="770"/>
        </w:tabs>
        <w:ind w:left="660" w:hanging="660"/>
        <w:rPr>
          <w:del w:id="10546" w:author="AbbVie_HU_03" w:date="2025-05-14T16:39:00Z"/>
          <w:lang w:val="hu-HU"/>
        </w:rPr>
      </w:pPr>
      <w:del w:id="10547" w:author="AbbVie_HU_03" w:date="2025-05-14T16:39:00Z">
        <w:r w:rsidRPr="00183B5F">
          <w:rPr>
            <w:lang w:val="hu-HU"/>
          </w:rPr>
          <w:delText>Helyezze a fecskendőt a tűvel, az injekciós üveggel és az injekciós üveg adapterrel egy külön az éles/szúró eszközök számára fenntartott gyűjtő</w:delText>
        </w:r>
        <w:r w:rsidR="00DC62CF" w:rsidRPr="00183B5F">
          <w:rPr>
            <w:lang w:val="hu-HU"/>
          </w:rPr>
          <w:delText>edénybe</w:delText>
        </w:r>
        <w:r w:rsidRPr="00183B5F">
          <w:rPr>
            <w:lang w:val="hu-HU"/>
          </w:rPr>
          <w:delText xml:space="preserve">. </w:delText>
        </w:r>
        <w:r w:rsidRPr="00183B5F">
          <w:rPr>
            <w:b/>
            <w:lang w:val="hu-HU"/>
          </w:rPr>
          <w:delText>NE</w:delText>
        </w:r>
        <w:r w:rsidRPr="00183B5F">
          <w:rPr>
            <w:lang w:val="hu-HU"/>
          </w:rPr>
          <w:delText xml:space="preserve"> helyezze ezeket </w:delText>
        </w:r>
        <w:r w:rsidR="007B7B6A" w:rsidRPr="00183B5F">
          <w:rPr>
            <w:lang w:val="hu-HU"/>
          </w:rPr>
          <w:delText>az eszközöket</w:delText>
        </w:r>
        <w:r w:rsidRPr="00183B5F">
          <w:rPr>
            <w:lang w:val="hu-HU"/>
          </w:rPr>
          <w:delText xml:space="preserve"> a szokásos háztartási hulladék közé</w:delText>
        </w:r>
        <w:r w:rsidR="006D2F10" w:rsidRPr="00183B5F">
          <w:rPr>
            <w:lang w:val="hu-HU"/>
          </w:rPr>
          <w:delText>!</w:delText>
        </w:r>
      </w:del>
    </w:p>
    <w:p w14:paraId="4A552B18" w14:textId="6809F6C1" w:rsidR="009848E0" w:rsidRPr="00183B5F" w:rsidRDefault="00943743">
      <w:pPr>
        <w:pStyle w:val="EMEABullet2"/>
        <w:tabs>
          <w:tab w:val="clear" w:pos="567"/>
          <w:tab w:val="clear" w:pos="720"/>
          <w:tab w:val="num" w:pos="690"/>
          <w:tab w:val="num" w:pos="770"/>
        </w:tabs>
        <w:ind w:left="660" w:hanging="660"/>
        <w:rPr>
          <w:del w:id="10548" w:author="AbbVie_HU_03" w:date="2025-05-14T16:39:00Z"/>
          <w:lang w:val="hu-HU"/>
        </w:rPr>
      </w:pPr>
      <w:del w:id="10549" w:author="AbbVie_HU_03" w:date="2025-05-14T16:39:00Z">
        <w:r w:rsidRPr="00183B5F">
          <w:rPr>
            <w:lang w:val="hu-HU"/>
          </w:rPr>
          <w:delText xml:space="preserve">A fecskendőt, a tűt, az injekciós üveget és az adaptert </w:delText>
        </w:r>
        <w:r w:rsidRPr="00183B5F">
          <w:rPr>
            <w:b/>
            <w:lang w:val="hu-HU"/>
          </w:rPr>
          <w:delText>TILOS</w:delText>
        </w:r>
        <w:r w:rsidRPr="00183B5F">
          <w:rPr>
            <w:lang w:val="hu-HU"/>
          </w:rPr>
          <w:delText xml:space="preserve"> újból felhasználni</w:delText>
        </w:r>
        <w:r w:rsidR="006D2F10" w:rsidRPr="00183B5F">
          <w:rPr>
            <w:lang w:val="hu-HU"/>
          </w:rPr>
          <w:delText>!</w:delText>
        </w:r>
      </w:del>
    </w:p>
    <w:p w14:paraId="40630E43" w14:textId="476881D5" w:rsidR="006D2F10" w:rsidRPr="00183B5F" w:rsidRDefault="00943743">
      <w:pPr>
        <w:pStyle w:val="EMEABullet2"/>
        <w:tabs>
          <w:tab w:val="clear" w:pos="567"/>
          <w:tab w:val="clear" w:pos="720"/>
          <w:tab w:val="num" w:pos="690"/>
          <w:tab w:val="num" w:pos="770"/>
        </w:tabs>
        <w:ind w:left="660" w:hanging="660"/>
        <w:rPr>
          <w:del w:id="10550" w:author="AbbVie_HU_03" w:date="2025-05-14T16:39:00Z"/>
          <w:lang w:val="hu-HU"/>
        </w:rPr>
      </w:pPr>
      <w:del w:id="10551" w:author="AbbVie_HU_03" w:date="2025-05-14T16:39:00Z">
        <w:r w:rsidRPr="00183B5F">
          <w:rPr>
            <w:lang w:val="hu-HU"/>
          </w:rPr>
          <w:delText>A külön gyűjtő</w:delText>
        </w:r>
        <w:r w:rsidR="00DC62CF" w:rsidRPr="00183B5F">
          <w:rPr>
            <w:lang w:val="hu-HU"/>
          </w:rPr>
          <w:delText>edényt</w:delText>
        </w:r>
        <w:r w:rsidRPr="00183B5F">
          <w:rPr>
            <w:lang w:val="hu-HU"/>
          </w:rPr>
          <w:delText xml:space="preserve"> </w:delText>
        </w:r>
        <w:r w:rsidR="00DC62CF" w:rsidRPr="00183B5F">
          <w:rPr>
            <w:lang w:val="hu-HU"/>
          </w:rPr>
          <w:delText>gyermekek elől elzárva kell tartani</w:delText>
        </w:r>
        <w:r w:rsidRPr="00183B5F">
          <w:rPr>
            <w:lang w:val="hu-HU"/>
          </w:rPr>
          <w:delText>.</w:delText>
        </w:r>
      </w:del>
    </w:p>
    <w:p w14:paraId="3326F250" w14:textId="3B83C654" w:rsidR="007B7B6A" w:rsidRPr="00183B5F" w:rsidRDefault="00943743">
      <w:pPr>
        <w:pStyle w:val="EMEABullet2"/>
        <w:tabs>
          <w:tab w:val="clear" w:pos="567"/>
          <w:tab w:val="clear" w:pos="720"/>
          <w:tab w:val="num" w:pos="690"/>
          <w:tab w:val="num" w:pos="770"/>
        </w:tabs>
        <w:ind w:left="660" w:hanging="660"/>
        <w:rPr>
          <w:del w:id="10552" w:author="AbbVie_HU_03" w:date="2025-05-14T16:39:00Z"/>
          <w:lang w:val="hu-HU"/>
        </w:rPr>
      </w:pPr>
      <w:del w:id="10553" w:author="AbbVie_HU_03" w:date="2025-05-14T16:39:00Z">
        <w:r w:rsidRPr="00183B5F">
          <w:rPr>
            <w:lang w:val="hu-HU"/>
          </w:rPr>
          <w:delText>Az összes többi felhasznált eszközt</w:delText>
        </w:r>
        <w:r w:rsidR="00913346" w:rsidRPr="00183B5F">
          <w:rPr>
            <w:lang w:val="hu-HU"/>
          </w:rPr>
          <w:delText xml:space="preserve"> dobja ki a szokásos háztartási hulladékkal.</w:delText>
        </w:r>
      </w:del>
    </w:p>
    <w:p w14:paraId="782AB5F5" w14:textId="495C5B5B" w:rsidR="00913346" w:rsidRPr="00183B5F" w:rsidRDefault="00913346" w:rsidP="004062FE">
      <w:pPr>
        <w:spacing w:line="240" w:lineRule="auto"/>
        <w:rPr>
          <w:del w:id="10554" w:author="AbbVie_HU_03" w:date="2025-05-14T16:39:00Z"/>
        </w:rPr>
      </w:pPr>
    </w:p>
    <w:p w14:paraId="19938279" w14:textId="4D49FE64" w:rsidR="00913346" w:rsidRPr="00183B5F" w:rsidRDefault="00943743" w:rsidP="004062FE">
      <w:pPr>
        <w:spacing w:line="240" w:lineRule="auto"/>
        <w:ind w:right="-2"/>
        <w:rPr>
          <w:del w:id="10555" w:author="AbbVie_HU_03" w:date="2025-05-14T16:39:00Z"/>
          <w:b/>
          <w:szCs w:val="22"/>
        </w:rPr>
      </w:pPr>
      <w:del w:id="10556" w:author="AbbVie_HU_03" w:date="2025-05-14T16:39:00Z">
        <w:r w:rsidRPr="00183B5F">
          <w:rPr>
            <w:b/>
            <w:szCs w:val="22"/>
          </w:rPr>
          <w:delText xml:space="preserve">Ha az előírtnál több </w:delText>
        </w:r>
        <w:r w:rsidRPr="00183B5F">
          <w:rPr>
            <w:b/>
            <w:bCs/>
            <w:szCs w:val="22"/>
          </w:rPr>
          <w:delText>Humir</w:delText>
        </w:r>
        <w:r w:rsidR="001775F8" w:rsidRPr="00183B5F">
          <w:rPr>
            <w:b/>
            <w:bCs/>
            <w:szCs w:val="22"/>
          </w:rPr>
          <w:delText>a</w:delText>
        </w:r>
        <w:r w:rsidR="002A2571" w:rsidRPr="00183B5F">
          <w:rPr>
            <w:b/>
            <w:bCs/>
            <w:szCs w:val="22"/>
          </w:rPr>
          <w:noBreakHyphen/>
        </w:r>
        <w:r w:rsidRPr="00183B5F">
          <w:rPr>
            <w:b/>
            <w:bCs/>
            <w:szCs w:val="22"/>
          </w:rPr>
          <w:delText>t</w:delText>
        </w:r>
        <w:r w:rsidRPr="00183B5F">
          <w:rPr>
            <w:b/>
            <w:szCs w:val="22"/>
          </w:rPr>
          <w:delText xml:space="preserve"> alkalmazott</w:delText>
        </w:r>
        <w:r w:rsidR="00191B57" w:rsidRPr="00183B5F">
          <w:rPr>
            <w:b/>
            <w:szCs w:val="22"/>
          </w:rPr>
          <w:delText>:</w:delText>
        </w:r>
      </w:del>
    </w:p>
    <w:p w14:paraId="4B012935" w14:textId="2AB1102E" w:rsidR="00913346" w:rsidRPr="00183B5F" w:rsidRDefault="00913346" w:rsidP="004062FE">
      <w:pPr>
        <w:spacing w:line="240" w:lineRule="auto"/>
        <w:ind w:right="-2"/>
        <w:rPr>
          <w:del w:id="10557" w:author="AbbVie_HU_03" w:date="2025-05-14T16:39:00Z"/>
          <w:b/>
          <w:szCs w:val="22"/>
        </w:rPr>
      </w:pPr>
    </w:p>
    <w:p w14:paraId="0696BA83" w14:textId="0EB25E87" w:rsidR="00387AA7" w:rsidRPr="00183B5F" w:rsidRDefault="00943743" w:rsidP="004062FE">
      <w:pPr>
        <w:spacing w:line="240" w:lineRule="auto"/>
        <w:ind w:right="-2"/>
        <w:rPr>
          <w:del w:id="10558" w:author="AbbVie_HU_03" w:date="2025-05-14T16:39:00Z"/>
          <w:szCs w:val="22"/>
        </w:rPr>
      </w:pPr>
      <w:del w:id="10559" w:author="AbbVie_HU_03" w:date="2025-05-14T16:39:00Z">
        <w:r w:rsidRPr="00183B5F">
          <w:rPr>
            <w:szCs w:val="22"/>
          </w:rPr>
          <w:delText xml:space="preserve">Ha véletlenül </w:delText>
        </w:r>
        <w:r w:rsidR="001C59A2" w:rsidRPr="00183B5F">
          <w:rPr>
            <w:szCs w:val="22"/>
          </w:rPr>
          <w:delText>kezelő</w:delText>
        </w:r>
        <w:r w:rsidRPr="00183B5F">
          <w:rPr>
            <w:szCs w:val="22"/>
          </w:rPr>
          <w:delText xml:space="preserve">orvosa által előírtnál nagyobb mennyiségű Humira </w:delText>
        </w:r>
        <w:r w:rsidR="00972F95" w:rsidRPr="00183B5F">
          <w:rPr>
            <w:szCs w:val="22"/>
          </w:rPr>
          <w:delText>oldatot</w:delText>
        </w:r>
        <w:r w:rsidRPr="00183B5F">
          <w:rPr>
            <w:szCs w:val="22"/>
          </w:rPr>
          <w:delText xml:space="preserve"> adott be</w:delText>
        </w:r>
        <w:r w:rsidR="00972F95" w:rsidRPr="00183B5F">
          <w:rPr>
            <w:szCs w:val="22"/>
          </w:rPr>
          <w:delText>,</w:delText>
        </w:r>
        <w:r w:rsidRPr="00183B5F">
          <w:rPr>
            <w:szCs w:val="22"/>
          </w:rPr>
          <w:delText xml:space="preserve"> vagy </w:delText>
        </w:r>
        <w:r w:rsidR="00972F95" w:rsidRPr="00183B5F">
          <w:rPr>
            <w:szCs w:val="22"/>
          </w:rPr>
          <w:delText xml:space="preserve">az előírtnál </w:delText>
        </w:r>
        <w:r w:rsidRPr="00183B5F">
          <w:rPr>
            <w:szCs w:val="22"/>
          </w:rPr>
          <w:delText>gyakrabban alkalmazta a Humir</w:delText>
        </w:r>
        <w:r w:rsidR="001775F8" w:rsidRPr="00183B5F">
          <w:rPr>
            <w:szCs w:val="22"/>
          </w:rPr>
          <w:delText>a</w:delText>
        </w:r>
        <w:r w:rsidR="002A2571" w:rsidRPr="00183B5F">
          <w:rPr>
            <w:szCs w:val="22"/>
          </w:rPr>
          <w:noBreakHyphen/>
        </w:r>
        <w:r w:rsidRPr="00183B5F">
          <w:rPr>
            <w:szCs w:val="22"/>
          </w:rPr>
          <w:delText>t</w:delText>
        </w:r>
        <w:r w:rsidR="0058462E" w:rsidRPr="00183B5F">
          <w:rPr>
            <w:szCs w:val="22"/>
          </w:rPr>
          <w:delText>,</w:delText>
        </w:r>
        <w:r w:rsidRPr="00183B5F">
          <w:rPr>
            <w:szCs w:val="22"/>
          </w:rPr>
          <w:delText xml:space="preserve"> azonnal </w:delText>
        </w:r>
        <w:r w:rsidR="00972F95" w:rsidRPr="00183B5F">
          <w:rPr>
            <w:szCs w:val="22"/>
          </w:rPr>
          <w:delText>keresse meg</w:delText>
        </w:r>
        <w:r w:rsidR="001C59A2" w:rsidRPr="00183B5F">
          <w:rPr>
            <w:szCs w:val="22"/>
          </w:rPr>
          <w:delText xml:space="preserve"> kezelő</w:delText>
        </w:r>
        <w:r w:rsidR="0058462E" w:rsidRPr="00183B5F">
          <w:rPr>
            <w:szCs w:val="22"/>
          </w:rPr>
          <w:delText xml:space="preserve">orvosát és </w:delText>
        </w:r>
        <w:r w:rsidR="00972F95" w:rsidRPr="00183B5F">
          <w:rPr>
            <w:szCs w:val="22"/>
          </w:rPr>
          <w:delText>tájékoztassa</w:delText>
        </w:r>
        <w:r w:rsidR="0058462E" w:rsidRPr="00183B5F">
          <w:rPr>
            <w:szCs w:val="22"/>
          </w:rPr>
          <w:delText>, hogy gyermekénél az előírtnál több Humira került alkalmazásra</w:delText>
        </w:r>
        <w:r w:rsidRPr="00183B5F">
          <w:rPr>
            <w:szCs w:val="22"/>
          </w:rPr>
          <w:delText xml:space="preserve">. </w:delText>
        </w:r>
        <w:r w:rsidR="0058462E" w:rsidRPr="00183B5F">
          <w:rPr>
            <w:szCs w:val="22"/>
          </w:rPr>
          <w:delText>Mindig vigye magával</w:delText>
        </w:r>
        <w:r w:rsidRPr="00183B5F">
          <w:rPr>
            <w:szCs w:val="22"/>
          </w:rPr>
          <w:delText xml:space="preserve"> a</w:delText>
        </w:r>
        <w:r w:rsidR="0058462E" w:rsidRPr="00183B5F">
          <w:rPr>
            <w:szCs w:val="22"/>
          </w:rPr>
          <w:delText xml:space="preserve"> gyógyszer </w:delText>
        </w:r>
        <w:r w:rsidRPr="00183B5F">
          <w:rPr>
            <w:szCs w:val="22"/>
          </w:rPr>
          <w:delText>külső csomagolás</w:delText>
        </w:r>
        <w:r w:rsidR="0058462E" w:rsidRPr="00183B5F">
          <w:rPr>
            <w:szCs w:val="22"/>
          </w:rPr>
          <w:delText>á</w:delText>
        </w:r>
        <w:r w:rsidRPr="00183B5F">
          <w:rPr>
            <w:szCs w:val="22"/>
          </w:rPr>
          <w:delText>t vagy</w:delText>
        </w:r>
        <w:r w:rsidR="0058462E" w:rsidRPr="00183B5F">
          <w:rPr>
            <w:szCs w:val="22"/>
          </w:rPr>
          <w:delText xml:space="preserve"> injekciós üvegé</w:delText>
        </w:r>
        <w:r w:rsidRPr="00183B5F">
          <w:rPr>
            <w:szCs w:val="22"/>
          </w:rPr>
          <w:delText>t, abban az esetben is, ha üres.</w:delText>
        </w:r>
      </w:del>
    </w:p>
    <w:p w14:paraId="5F7DE86A" w14:textId="6BE11E68" w:rsidR="00756274" w:rsidRPr="00183B5F" w:rsidRDefault="00756274" w:rsidP="004062FE">
      <w:pPr>
        <w:spacing w:line="240" w:lineRule="auto"/>
        <w:ind w:right="-2"/>
        <w:rPr>
          <w:del w:id="10560" w:author="AbbVie_HU_03" w:date="2025-05-14T16:39:00Z"/>
          <w:b/>
          <w:bCs/>
          <w:szCs w:val="22"/>
        </w:rPr>
      </w:pPr>
    </w:p>
    <w:p w14:paraId="7C4A0684" w14:textId="1B14B025" w:rsidR="00387AA7" w:rsidRPr="00183B5F" w:rsidRDefault="00943743" w:rsidP="004062FE">
      <w:pPr>
        <w:keepNext/>
        <w:spacing w:line="240" w:lineRule="auto"/>
        <w:rPr>
          <w:del w:id="10561" w:author="AbbVie_HU_03" w:date="2025-05-14T16:39:00Z"/>
          <w:b/>
          <w:bCs/>
          <w:szCs w:val="22"/>
        </w:rPr>
      </w:pPr>
      <w:del w:id="10562" w:author="AbbVie_HU_03" w:date="2025-05-14T16:39:00Z">
        <w:r w:rsidRPr="00183B5F">
          <w:rPr>
            <w:b/>
            <w:bCs/>
            <w:szCs w:val="22"/>
          </w:rPr>
          <w:delText>Ha az előírtnál kevesebb Humir</w:delText>
        </w:r>
        <w:r w:rsidR="00273CBB" w:rsidRPr="00183B5F">
          <w:rPr>
            <w:b/>
            <w:bCs/>
            <w:szCs w:val="22"/>
          </w:rPr>
          <w:delText>a</w:delText>
        </w:r>
        <w:r w:rsidR="002A2571" w:rsidRPr="00183B5F">
          <w:rPr>
            <w:b/>
            <w:bCs/>
            <w:szCs w:val="22"/>
          </w:rPr>
          <w:noBreakHyphen/>
        </w:r>
        <w:r w:rsidRPr="00183B5F">
          <w:rPr>
            <w:b/>
            <w:bCs/>
            <w:szCs w:val="22"/>
          </w:rPr>
          <w:delText>t alkalmazott</w:delText>
        </w:r>
        <w:r w:rsidR="00191B57" w:rsidRPr="00183B5F">
          <w:rPr>
            <w:b/>
            <w:bCs/>
            <w:szCs w:val="22"/>
          </w:rPr>
          <w:delText>:</w:delText>
        </w:r>
      </w:del>
    </w:p>
    <w:p w14:paraId="3EE8F841" w14:textId="03B63763" w:rsidR="00387AA7" w:rsidRPr="00183B5F" w:rsidRDefault="00387AA7" w:rsidP="004062FE">
      <w:pPr>
        <w:keepNext/>
        <w:spacing w:line="240" w:lineRule="auto"/>
        <w:rPr>
          <w:del w:id="10563" w:author="AbbVie_HU_03" w:date="2025-05-14T16:39:00Z"/>
          <w:szCs w:val="22"/>
        </w:rPr>
      </w:pPr>
    </w:p>
    <w:p w14:paraId="0A88AAA9" w14:textId="58339805" w:rsidR="00387AA7" w:rsidRPr="00183B5F" w:rsidRDefault="00943743" w:rsidP="004062FE">
      <w:pPr>
        <w:keepNext/>
        <w:spacing w:line="240" w:lineRule="auto"/>
        <w:rPr>
          <w:del w:id="10564" w:author="AbbVie_HU_03" w:date="2025-05-14T16:39:00Z"/>
          <w:szCs w:val="22"/>
        </w:rPr>
      </w:pPr>
      <w:del w:id="10565" w:author="AbbVie_HU_03" w:date="2025-05-14T16:39:00Z">
        <w:r w:rsidRPr="00183B5F">
          <w:rPr>
            <w:szCs w:val="22"/>
          </w:rPr>
          <w:delText>Ha véletlenül a</w:delText>
        </w:r>
        <w:r w:rsidR="001C59A2" w:rsidRPr="00183B5F">
          <w:rPr>
            <w:szCs w:val="22"/>
          </w:rPr>
          <w:delText xml:space="preserve"> gyermeke</w:delText>
        </w:r>
        <w:r w:rsidRPr="00183B5F">
          <w:rPr>
            <w:szCs w:val="22"/>
          </w:rPr>
          <w:delText xml:space="preserve"> </w:delText>
        </w:r>
        <w:r w:rsidR="001C59A2" w:rsidRPr="00183B5F">
          <w:rPr>
            <w:szCs w:val="22"/>
          </w:rPr>
          <w:delText>kezelő</w:delText>
        </w:r>
        <w:r w:rsidRPr="00183B5F">
          <w:rPr>
            <w:szCs w:val="22"/>
          </w:rPr>
          <w:delText xml:space="preserve">orvosa </w:delText>
        </w:r>
        <w:r w:rsidR="001C59A2" w:rsidRPr="00183B5F">
          <w:rPr>
            <w:szCs w:val="22"/>
          </w:rPr>
          <w:delText xml:space="preserve">vagy gyógyszerésze </w:delText>
        </w:r>
        <w:r w:rsidRPr="00183B5F">
          <w:rPr>
            <w:szCs w:val="22"/>
          </w:rPr>
          <w:delText>által előírtnál kisebb mennyiségű Humira</w:delText>
        </w:r>
        <w:r w:rsidR="005A662A" w:rsidRPr="00183B5F">
          <w:rPr>
            <w:szCs w:val="22"/>
          </w:rPr>
          <w:delText xml:space="preserve"> oldatot</w:delText>
        </w:r>
        <w:r w:rsidRPr="00183B5F">
          <w:rPr>
            <w:szCs w:val="22"/>
          </w:rPr>
          <w:delText xml:space="preserve"> adott be</w:delText>
        </w:r>
        <w:r w:rsidR="005A662A" w:rsidRPr="00183B5F">
          <w:rPr>
            <w:szCs w:val="22"/>
          </w:rPr>
          <w:delText>,</w:delText>
        </w:r>
        <w:r w:rsidRPr="00183B5F">
          <w:rPr>
            <w:szCs w:val="22"/>
          </w:rPr>
          <w:delText xml:space="preserve"> vagy </w:delText>
        </w:r>
        <w:r w:rsidR="005A662A" w:rsidRPr="00183B5F">
          <w:rPr>
            <w:szCs w:val="22"/>
          </w:rPr>
          <w:delText xml:space="preserve">az előírtnál </w:delText>
        </w:r>
        <w:r w:rsidRPr="00183B5F">
          <w:rPr>
            <w:szCs w:val="22"/>
          </w:rPr>
          <w:delText>ritkábban alkalmazta a Humir</w:delText>
        </w:r>
        <w:r w:rsidR="00273CBB" w:rsidRPr="00183B5F">
          <w:rPr>
            <w:szCs w:val="22"/>
          </w:rPr>
          <w:delText>a</w:delText>
        </w:r>
        <w:r w:rsidR="002A2571" w:rsidRPr="00183B5F">
          <w:rPr>
            <w:szCs w:val="22"/>
          </w:rPr>
          <w:noBreakHyphen/>
        </w:r>
        <w:r w:rsidRPr="00183B5F">
          <w:rPr>
            <w:szCs w:val="22"/>
          </w:rPr>
          <w:delText>t</w:delText>
        </w:r>
        <w:r w:rsidR="001D0AE8" w:rsidRPr="00183B5F">
          <w:rPr>
            <w:szCs w:val="22"/>
          </w:rPr>
          <w:delText xml:space="preserve">, azonnal </w:delText>
        </w:r>
        <w:r w:rsidR="005A662A" w:rsidRPr="00183B5F">
          <w:rPr>
            <w:szCs w:val="22"/>
          </w:rPr>
          <w:delText xml:space="preserve">keresse meg </w:delText>
        </w:r>
        <w:r w:rsidR="00B57D20" w:rsidRPr="00183B5F">
          <w:rPr>
            <w:szCs w:val="22"/>
          </w:rPr>
          <w:delText xml:space="preserve">gyermeke </w:delText>
        </w:r>
        <w:r w:rsidR="005A662A" w:rsidRPr="00183B5F">
          <w:rPr>
            <w:szCs w:val="22"/>
          </w:rPr>
          <w:delText xml:space="preserve">orvosát </w:delText>
        </w:r>
        <w:r w:rsidR="00B57D20" w:rsidRPr="00183B5F">
          <w:rPr>
            <w:szCs w:val="22"/>
          </w:rPr>
          <w:delText xml:space="preserve">vagy gyógyszerészét </w:delText>
        </w:r>
        <w:r w:rsidR="005A662A" w:rsidRPr="00183B5F">
          <w:rPr>
            <w:szCs w:val="22"/>
          </w:rPr>
          <w:delText>és tájékoztassa</w:delText>
        </w:r>
        <w:r w:rsidR="001D0AE8" w:rsidRPr="00183B5F">
          <w:rPr>
            <w:szCs w:val="22"/>
          </w:rPr>
          <w:delText>, hogy gyermekénél az előírtnál kevesebb Humira került alkalmazásra. Mindig vigye magával a gyógyszer külső csomagolását vagy injekciós üvegét, abban az esetben is, ha üres.</w:delText>
        </w:r>
      </w:del>
    </w:p>
    <w:p w14:paraId="3807CF17" w14:textId="4E5BD327" w:rsidR="00FB6710" w:rsidRPr="00183B5F" w:rsidRDefault="00FB6710" w:rsidP="004062FE">
      <w:pPr>
        <w:spacing w:line="240" w:lineRule="auto"/>
        <w:ind w:right="-2"/>
        <w:rPr>
          <w:del w:id="10566" w:author="AbbVie_HU_03" w:date="2025-05-14T16:39:00Z"/>
          <w:szCs w:val="22"/>
        </w:rPr>
      </w:pPr>
    </w:p>
    <w:p w14:paraId="1EA079F4" w14:textId="570A04BD" w:rsidR="00FB6710" w:rsidRPr="00183B5F" w:rsidRDefault="00943743" w:rsidP="004062FE">
      <w:pPr>
        <w:spacing w:line="240" w:lineRule="auto"/>
        <w:ind w:right="-2"/>
        <w:rPr>
          <w:del w:id="10567" w:author="AbbVie_HU_03" w:date="2025-05-14T16:39:00Z"/>
          <w:b/>
          <w:szCs w:val="22"/>
        </w:rPr>
      </w:pPr>
      <w:del w:id="10568" w:author="AbbVie_HU_03" w:date="2025-05-14T16:39:00Z">
        <w:r w:rsidRPr="00183B5F">
          <w:rPr>
            <w:b/>
            <w:szCs w:val="22"/>
          </w:rPr>
          <w:delText>Ha elfelejtette alkalmazni a</w:delText>
        </w:r>
        <w:r w:rsidRPr="00183B5F">
          <w:rPr>
            <w:b/>
            <w:bCs/>
            <w:szCs w:val="22"/>
          </w:rPr>
          <w:delText xml:space="preserve"> Humira</w:delText>
        </w:r>
        <w:r w:rsidR="002A2571" w:rsidRPr="00183B5F">
          <w:rPr>
            <w:b/>
            <w:bCs/>
            <w:szCs w:val="22"/>
          </w:rPr>
          <w:noBreakHyphen/>
        </w:r>
        <w:r w:rsidRPr="00183B5F">
          <w:rPr>
            <w:b/>
            <w:bCs/>
            <w:szCs w:val="22"/>
          </w:rPr>
          <w:delText>t</w:delText>
        </w:r>
        <w:r w:rsidR="00191B57" w:rsidRPr="00183B5F">
          <w:rPr>
            <w:b/>
            <w:bCs/>
            <w:szCs w:val="22"/>
          </w:rPr>
          <w:delText>:</w:delText>
        </w:r>
      </w:del>
    </w:p>
    <w:p w14:paraId="0D733BE4" w14:textId="3664BAA6" w:rsidR="00FB6710" w:rsidRPr="00183B5F" w:rsidRDefault="00FB6710" w:rsidP="004062FE">
      <w:pPr>
        <w:spacing w:line="240" w:lineRule="auto"/>
        <w:ind w:right="-2"/>
        <w:rPr>
          <w:del w:id="10569" w:author="AbbVie_HU_03" w:date="2025-05-14T16:39:00Z"/>
          <w:b/>
          <w:szCs w:val="22"/>
        </w:rPr>
      </w:pPr>
    </w:p>
    <w:p w14:paraId="18CD60CA" w14:textId="1485D3BD" w:rsidR="00FB6710" w:rsidRPr="00183B5F" w:rsidRDefault="00943743" w:rsidP="004062FE">
      <w:pPr>
        <w:spacing w:line="240" w:lineRule="auto"/>
        <w:ind w:right="-2"/>
        <w:rPr>
          <w:del w:id="10570" w:author="AbbVie_HU_03" w:date="2025-05-14T16:39:00Z"/>
          <w:szCs w:val="22"/>
        </w:rPr>
      </w:pPr>
      <w:del w:id="10571" w:author="AbbVie_HU_03" w:date="2025-05-14T16:39:00Z">
        <w:r w:rsidRPr="00183B5F">
          <w:rPr>
            <w:szCs w:val="22"/>
          </w:rPr>
          <w:delText xml:space="preserve">Ha elfelejtette beadni </w:delText>
        </w:r>
        <w:r w:rsidR="001D0AE8" w:rsidRPr="00183B5F">
          <w:rPr>
            <w:szCs w:val="22"/>
          </w:rPr>
          <w:delText>gyermekének a Humira</w:delText>
        </w:r>
        <w:r w:rsidRPr="00183B5F">
          <w:rPr>
            <w:szCs w:val="22"/>
          </w:rPr>
          <w:delText xml:space="preserve"> injekciót, adja be a következő Humira adagot rögtön, amikor eszébe jutott. A következő adagot az eredeti kezelési terv alapján meghatározott napon </w:delText>
        </w:r>
        <w:r w:rsidR="001D0AE8" w:rsidRPr="00183B5F">
          <w:rPr>
            <w:szCs w:val="22"/>
          </w:rPr>
          <w:delText>adja be gyermekének</w:delText>
        </w:r>
        <w:r w:rsidRPr="00183B5F">
          <w:rPr>
            <w:szCs w:val="22"/>
          </w:rPr>
          <w:delText>, úgy</w:delText>
        </w:r>
        <w:r w:rsidR="00FA632B" w:rsidRPr="00183B5F">
          <w:rPr>
            <w:szCs w:val="22"/>
          </w:rPr>
          <w:delText>,</w:delText>
        </w:r>
        <w:r w:rsidRPr="00183B5F">
          <w:rPr>
            <w:szCs w:val="22"/>
          </w:rPr>
          <w:delText xml:space="preserve"> mintha az előző adagot az előírás szerinti időpontban adta volna be.</w:delText>
        </w:r>
      </w:del>
    </w:p>
    <w:p w14:paraId="1A06D963" w14:textId="6D18B813" w:rsidR="00FB6710" w:rsidRPr="00183B5F" w:rsidRDefault="00FB6710" w:rsidP="004062FE">
      <w:pPr>
        <w:spacing w:line="240" w:lineRule="auto"/>
        <w:ind w:right="-2"/>
        <w:rPr>
          <w:del w:id="10572" w:author="AbbVie_HU_03" w:date="2025-05-14T16:39:00Z"/>
          <w:szCs w:val="22"/>
        </w:rPr>
      </w:pPr>
    </w:p>
    <w:p w14:paraId="13CE60B1" w14:textId="784AB2E2" w:rsidR="00B57D20" w:rsidRPr="00183B5F" w:rsidRDefault="00943743" w:rsidP="004062FE">
      <w:pPr>
        <w:spacing w:line="240" w:lineRule="auto"/>
        <w:ind w:right="-2"/>
        <w:rPr>
          <w:del w:id="10573" w:author="AbbVie_HU_03" w:date="2025-05-14T16:39:00Z"/>
          <w:b/>
          <w:szCs w:val="24"/>
        </w:rPr>
      </w:pPr>
      <w:del w:id="10574" w:author="AbbVie_HU_03" w:date="2025-05-14T16:39:00Z">
        <w:r w:rsidRPr="00183B5F">
          <w:rPr>
            <w:b/>
            <w:szCs w:val="24"/>
          </w:rPr>
          <w:delText>Ha gyermeke idő előtt abbahagyja a Humira alkalmazását</w:delText>
        </w:r>
        <w:r w:rsidR="00191B57" w:rsidRPr="00183B5F">
          <w:rPr>
            <w:b/>
            <w:szCs w:val="24"/>
          </w:rPr>
          <w:delText>:</w:delText>
        </w:r>
      </w:del>
    </w:p>
    <w:p w14:paraId="6F6022D7" w14:textId="64BD914B" w:rsidR="00B57D20" w:rsidRPr="00183B5F" w:rsidRDefault="00B57D20" w:rsidP="004062FE">
      <w:pPr>
        <w:spacing w:line="240" w:lineRule="auto"/>
        <w:ind w:right="-2"/>
        <w:rPr>
          <w:del w:id="10575" w:author="AbbVie_HU_03" w:date="2025-05-14T16:39:00Z"/>
          <w:szCs w:val="24"/>
        </w:rPr>
      </w:pPr>
    </w:p>
    <w:p w14:paraId="56258951" w14:textId="457CAADE" w:rsidR="00B57D20" w:rsidRPr="00183B5F" w:rsidRDefault="00943743" w:rsidP="004062FE">
      <w:pPr>
        <w:spacing w:line="240" w:lineRule="auto"/>
        <w:ind w:right="-2"/>
        <w:rPr>
          <w:del w:id="10576" w:author="AbbVie_HU_03" w:date="2025-05-14T16:39:00Z"/>
          <w:szCs w:val="22"/>
        </w:rPr>
      </w:pPr>
      <w:del w:id="10577" w:author="AbbVie_HU_03" w:date="2025-05-14T16:39:00Z">
        <w:r w:rsidRPr="00183B5F">
          <w:rPr>
            <w:szCs w:val="22"/>
          </w:rPr>
          <w:delText>A döntést, hogy gyermeke abbahagyja a Humira alkalmazását, meg kell beszélni gyermeke kezelőorvosával. Gyermeke tünetei visszatérhetnek, ha abbahagyja a kezelést.</w:delText>
        </w:r>
      </w:del>
    </w:p>
    <w:p w14:paraId="7911C1F6" w14:textId="5AB3D758" w:rsidR="00B57D20" w:rsidRPr="00183B5F" w:rsidRDefault="00B57D20" w:rsidP="004062FE">
      <w:pPr>
        <w:spacing w:line="240" w:lineRule="auto"/>
        <w:ind w:right="-2"/>
        <w:rPr>
          <w:del w:id="10578" w:author="AbbVie_HU_03" w:date="2025-05-14T16:39:00Z"/>
          <w:szCs w:val="22"/>
        </w:rPr>
      </w:pPr>
    </w:p>
    <w:p w14:paraId="394AFCE5" w14:textId="69FA3CBB" w:rsidR="00FB6710" w:rsidRPr="00183B5F" w:rsidRDefault="00943743" w:rsidP="004062FE">
      <w:pPr>
        <w:spacing w:line="240" w:lineRule="auto"/>
        <w:ind w:right="-2"/>
        <w:rPr>
          <w:del w:id="10579" w:author="AbbVie_HU_03" w:date="2025-05-14T16:39:00Z"/>
          <w:szCs w:val="22"/>
        </w:rPr>
      </w:pPr>
      <w:del w:id="10580" w:author="AbbVie_HU_03" w:date="2025-05-14T16:39:00Z">
        <w:r w:rsidRPr="00183B5F">
          <w:rPr>
            <w:szCs w:val="22"/>
          </w:rPr>
          <w:delText xml:space="preserve">Ha bármilyen további kérdése van a készítmény alkalmazásával kapcsolatban, kérdezze meg </w:delText>
        </w:r>
        <w:r w:rsidR="009450DD" w:rsidRPr="00183B5F">
          <w:rPr>
            <w:szCs w:val="22"/>
          </w:rPr>
          <w:delText>kezelő</w:delText>
        </w:r>
        <w:r w:rsidRPr="00183B5F">
          <w:rPr>
            <w:szCs w:val="22"/>
          </w:rPr>
          <w:delText>orvosát vagy gyógyszerészét.</w:delText>
        </w:r>
      </w:del>
    </w:p>
    <w:p w14:paraId="0CD4A0DB" w14:textId="3FF8B237" w:rsidR="00FB6710" w:rsidRPr="00183B5F" w:rsidRDefault="00FB6710" w:rsidP="004062FE">
      <w:pPr>
        <w:spacing w:line="240" w:lineRule="auto"/>
        <w:ind w:right="-2"/>
        <w:rPr>
          <w:del w:id="10581" w:author="AbbVie_HU_03" w:date="2025-05-14T16:39:00Z"/>
          <w:szCs w:val="22"/>
        </w:rPr>
      </w:pPr>
    </w:p>
    <w:p w14:paraId="542BA5DC" w14:textId="42D9D17B" w:rsidR="00FB6710" w:rsidRPr="00183B5F" w:rsidRDefault="00FB6710" w:rsidP="004062FE">
      <w:pPr>
        <w:spacing w:line="240" w:lineRule="auto"/>
        <w:ind w:right="-2"/>
        <w:rPr>
          <w:del w:id="10582" w:author="AbbVie_HU_03" w:date="2025-05-14T16:39:00Z"/>
          <w:szCs w:val="22"/>
        </w:rPr>
      </w:pPr>
    </w:p>
    <w:p w14:paraId="2986BA85" w14:textId="0D3D8F15" w:rsidR="00FB6710" w:rsidRPr="00183B5F" w:rsidRDefault="00943743" w:rsidP="004062FE">
      <w:pPr>
        <w:spacing w:line="240" w:lineRule="auto"/>
        <w:ind w:left="567" w:right="-2" w:hanging="567"/>
        <w:rPr>
          <w:del w:id="10583" w:author="AbbVie_HU_03" w:date="2025-05-14T16:39:00Z"/>
          <w:b/>
          <w:szCs w:val="22"/>
        </w:rPr>
      </w:pPr>
      <w:del w:id="10584" w:author="AbbVie_HU_03" w:date="2025-05-14T16:39:00Z">
        <w:r w:rsidRPr="00183B5F">
          <w:rPr>
            <w:b/>
            <w:szCs w:val="22"/>
          </w:rPr>
          <w:delText>4.</w:delText>
        </w:r>
        <w:r w:rsidRPr="00183B5F">
          <w:rPr>
            <w:b/>
            <w:szCs w:val="22"/>
          </w:rPr>
          <w:tab/>
        </w:r>
        <w:r w:rsidR="00B57D20" w:rsidRPr="00183B5F">
          <w:rPr>
            <w:b/>
            <w:szCs w:val="22"/>
          </w:rPr>
          <w:delText>Lehetséges mellékhatások</w:delText>
        </w:r>
      </w:del>
    </w:p>
    <w:p w14:paraId="30AE52BD" w14:textId="0DA6DD44" w:rsidR="001D77B7" w:rsidRPr="00183B5F" w:rsidRDefault="001D77B7" w:rsidP="004062FE">
      <w:pPr>
        <w:spacing w:line="240" w:lineRule="auto"/>
        <w:ind w:right="-29"/>
        <w:rPr>
          <w:del w:id="10585" w:author="AbbVie_HU_03" w:date="2025-05-14T16:39:00Z"/>
          <w:szCs w:val="22"/>
        </w:rPr>
      </w:pPr>
    </w:p>
    <w:p w14:paraId="2AA8EF02" w14:textId="51C6EEBA" w:rsidR="00FB6710" w:rsidRPr="00183B5F" w:rsidRDefault="00943743" w:rsidP="004062FE">
      <w:pPr>
        <w:spacing w:line="240" w:lineRule="auto"/>
        <w:ind w:right="-29"/>
        <w:rPr>
          <w:del w:id="10586" w:author="AbbVie_HU_03" w:date="2025-05-14T16:39:00Z"/>
          <w:szCs w:val="22"/>
        </w:rPr>
      </w:pPr>
      <w:del w:id="10587" w:author="AbbVie_HU_03" w:date="2025-05-14T16:39:00Z">
        <w:r w:rsidRPr="00183B5F">
          <w:rPr>
            <w:szCs w:val="22"/>
          </w:rPr>
          <w:delText xml:space="preserve">Mint minden gyógyszer, így </w:delText>
        </w:r>
        <w:r w:rsidR="00B57D20" w:rsidRPr="00183B5F">
          <w:rPr>
            <w:szCs w:val="22"/>
          </w:rPr>
          <w:delText>ez a gyógyszer</w:delText>
        </w:r>
        <w:r w:rsidRPr="00183B5F">
          <w:rPr>
            <w:szCs w:val="22"/>
          </w:rPr>
          <w:delText xml:space="preserve"> is okozhat mellékhatásokat, amelyek azonban nem mindenkinél jelentkeznek. A legtöbb mellékhatás enyhe vagy közepes fokú. Néhány esetben kezelést igénylő, súlyos mellékhatás is előfordulhat.</w:delText>
        </w:r>
        <w:r w:rsidR="005C2EBE" w:rsidRPr="00183B5F">
          <w:rPr>
            <w:szCs w:val="22"/>
          </w:rPr>
          <w:delText xml:space="preserve"> </w:delText>
        </w:r>
        <w:r w:rsidRPr="00183B5F">
          <w:rPr>
            <w:szCs w:val="22"/>
          </w:rPr>
          <w:delText xml:space="preserve">A mellékhatások az utolsó Humira injekciót követően legalább </w:delText>
        </w:r>
        <w:r w:rsidR="00EC630A" w:rsidRPr="00183B5F">
          <w:rPr>
            <w:szCs w:val="22"/>
          </w:rPr>
          <w:delText>4</w:delText>
        </w:r>
        <w:r w:rsidR="002A2571" w:rsidRPr="00183B5F">
          <w:rPr>
            <w:szCs w:val="22"/>
          </w:rPr>
          <w:delText> </w:delText>
        </w:r>
        <w:r w:rsidRPr="00183B5F">
          <w:rPr>
            <w:szCs w:val="22"/>
          </w:rPr>
          <w:delText>hónapig még bekövetkezhetnek.</w:delText>
        </w:r>
      </w:del>
    </w:p>
    <w:p w14:paraId="2DE5EB1B" w14:textId="57C14151" w:rsidR="005C2EBE" w:rsidRPr="00183B5F" w:rsidRDefault="005C2EBE" w:rsidP="004062FE">
      <w:pPr>
        <w:spacing w:line="240" w:lineRule="auto"/>
        <w:ind w:right="-29"/>
        <w:rPr>
          <w:del w:id="10588" w:author="AbbVie_HU_03" w:date="2025-05-14T16:39:00Z"/>
          <w:szCs w:val="22"/>
        </w:rPr>
      </w:pPr>
    </w:p>
    <w:p w14:paraId="68793A4E" w14:textId="3C97272F" w:rsidR="00FB6710" w:rsidRPr="00183B5F" w:rsidRDefault="00943743" w:rsidP="004062FE">
      <w:pPr>
        <w:spacing w:line="240" w:lineRule="auto"/>
        <w:ind w:right="-29"/>
        <w:rPr>
          <w:del w:id="10589" w:author="AbbVie_HU_03" w:date="2025-05-14T16:39:00Z"/>
          <w:szCs w:val="22"/>
        </w:rPr>
      </w:pPr>
      <w:del w:id="10590" w:author="AbbVie_HU_03" w:date="2025-05-14T16:39:00Z">
        <w:r w:rsidRPr="00183B5F">
          <w:rPr>
            <w:szCs w:val="22"/>
          </w:rPr>
          <w:delText>Közölje azonnal orvosával, ha az alábbiak közül bármit észlel:</w:delText>
        </w:r>
      </w:del>
    </w:p>
    <w:p w14:paraId="0DBEB7D4" w14:textId="0DC7111E" w:rsidR="00F2044E" w:rsidRPr="00183B5F" w:rsidRDefault="00F2044E" w:rsidP="004062FE">
      <w:pPr>
        <w:spacing w:line="240" w:lineRule="auto"/>
        <w:ind w:right="-29"/>
        <w:rPr>
          <w:del w:id="10591" w:author="AbbVie_HU_03" w:date="2025-05-14T16:39:00Z"/>
          <w:szCs w:val="22"/>
        </w:rPr>
      </w:pPr>
    </w:p>
    <w:p w14:paraId="689EEC4C" w14:textId="0FC5B725" w:rsidR="00FB6710" w:rsidRPr="00183B5F" w:rsidRDefault="00943743" w:rsidP="004062FE">
      <w:pPr>
        <w:numPr>
          <w:ilvl w:val="0"/>
          <w:numId w:val="8"/>
        </w:numPr>
        <w:tabs>
          <w:tab w:val="clear" w:pos="780"/>
        </w:tabs>
        <w:spacing w:line="240" w:lineRule="auto"/>
        <w:ind w:left="567" w:right="-29" w:hanging="567"/>
        <w:rPr>
          <w:del w:id="10592" w:author="AbbVie_HU_03" w:date="2025-05-14T16:39:00Z"/>
          <w:szCs w:val="22"/>
        </w:rPr>
      </w:pPr>
      <w:del w:id="10593" w:author="AbbVie_HU_03" w:date="2025-05-14T16:39:00Z">
        <w:r w:rsidRPr="00183B5F">
          <w:rPr>
            <w:szCs w:val="22"/>
          </w:rPr>
          <w:delText xml:space="preserve">súlyos </w:delText>
        </w:r>
        <w:r w:rsidR="004C50B5" w:rsidRPr="00183B5F">
          <w:rPr>
            <w:szCs w:val="22"/>
          </w:rPr>
          <w:delText>bőr</w:delText>
        </w:r>
        <w:r w:rsidRPr="00183B5F">
          <w:rPr>
            <w:szCs w:val="22"/>
          </w:rPr>
          <w:delText>kiütés, csalánkiütés vagy más allergiára utaló tünet</w:delText>
        </w:r>
        <w:r w:rsidR="00191B57" w:rsidRPr="00183B5F">
          <w:rPr>
            <w:szCs w:val="22"/>
          </w:rPr>
          <w:delText>;</w:delText>
        </w:r>
      </w:del>
    </w:p>
    <w:p w14:paraId="33DC06DD" w14:textId="23898010" w:rsidR="00FB6710" w:rsidRPr="00183B5F" w:rsidRDefault="00943743" w:rsidP="004062FE">
      <w:pPr>
        <w:numPr>
          <w:ilvl w:val="0"/>
          <w:numId w:val="8"/>
        </w:numPr>
        <w:tabs>
          <w:tab w:val="clear" w:pos="780"/>
        </w:tabs>
        <w:spacing w:line="240" w:lineRule="auto"/>
        <w:ind w:left="567" w:right="-29" w:hanging="567"/>
        <w:rPr>
          <w:del w:id="10594" w:author="AbbVie_HU_03" w:date="2025-05-14T16:39:00Z"/>
          <w:szCs w:val="22"/>
        </w:rPr>
      </w:pPr>
      <w:del w:id="10595" w:author="AbbVie_HU_03" w:date="2025-05-14T16:39:00Z">
        <w:r w:rsidRPr="00183B5F">
          <w:rPr>
            <w:szCs w:val="22"/>
          </w:rPr>
          <w:delText>duzzanat az arcon, k</w:delText>
        </w:r>
        <w:r w:rsidR="004C50B5" w:rsidRPr="00183B5F">
          <w:rPr>
            <w:szCs w:val="22"/>
          </w:rPr>
          <w:delText>é</w:delText>
        </w:r>
        <w:r w:rsidRPr="00183B5F">
          <w:rPr>
            <w:szCs w:val="22"/>
          </w:rPr>
          <w:delText>zen vagy lábon</w:delText>
        </w:r>
        <w:r w:rsidR="00191B57" w:rsidRPr="00183B5F">
          <w:rPr>
            <w:szCs w:val="22"/>
          </w:rPr>
          <w:delText>;</w:delText>
        </w:r>
      </w:del>
    </w:p>
    <w:p w14:paraId="1B000B4D" w14:textId="68986A8C" w:rsidR="00FB6710" w:rsidRPr="00183B5F" w:rsidRDefault="00943743" w:rsidP="004062FE">
      <w:pPr>
        <w:numPr>
          <w:ilvl w:val="0"/>
          <w:numId w:val="8"/>
        </w:numPr>
        <w:tabs>
          <w:tab w:val="clear" w:pos="780"/>
        </w:tabs>
        <w:spacing w:line="240" w:lineRule="auto"/>
        <w:ind w:left="567" w:right="-29" w:hanging="567"/>
        <w:rPr>
          <w:del w:id="10596" w:author="AbbVie_HU_03" w:date="2025-05-14T16:39:00Z"/>
          <w:szCs w:val="22"/>
        </w:rPr>
      </w:pPr>
      <w:del w:id="10597" w:author="AbbVie_HU_03" w:date="2025-05-14T16:39:00Z">
        <w:r w:rsidRPr="00183B5F">
          <w:rPr>
            <w:szCs w:val="22"/>
          </w:rPr>
          <w:delText>nehézlégzés vagy nehézség a nyelés során</w:delText>
        </w:r>
        <w:r w:rsidR="00191B57" w:rsidRPr="00183B5F">
          <w:rPr>
            <w:szCs w:val="22"/>
          </w:rPr>
          <w:delText>;</w:delText>
        </w:r>
      </w:del>
    </w:p>
    <w:p w14:paraId="6BBE5998" w14:textId="78806CD1" w:rsidR="00FB6710" w:rsidRPr="00183B5F" w:rsidRDefault="00943743" w:rsidP="004062FE">
      <w:pPr>
        <w:numPr>
          <w:ilvl w:val="0"/>
          <w:numId w:val="8"/>
        </w:numPr>
        <w:tabs>
          <w:tab w:val="clear" w:pos="780"/>
        </w:tabs>
        <w:spacing w:line="240" w:lineRule="auto"/>
        <w:ind w:left="567" w:right="-29" w:hanging="567"/>
        <w:rPr>
          <w:del w:id="10598" w:author="AbbVie_HU_03" w:date="2025-05-14T16:39:00Z"/>
          <w:szCs w:val="22"/>
        </w:rPr>
      </w:pPr>
      <w:del w:id="10599" w:author="AbbVie_HU_03" w:date="2025-05-14T16:39:00Z">
        <w:r w:rsidRPr="00183B5F">
          <w:rPr>
            <w:szCs w:val="22"/>
          </w:rPr>
          <w:delText>megerőltetéskor vagy lefekvéskor jelentkező nehézlégzés, vagy lábdagadás</w:delText>
        </w:r>
        <w:r w:rsidR="00191B57" w:rsidRPr="00183B5F">
          <w:rPr>
            <w:szCs w:val="22"/>
          </w:rPr>
          <w:delText>.</w:delText>
        </w:r>
      </w:del>
    </w:p>
    <w:p w14:paraId="00800725" w14:textId="71DB8A01" w:rsidR="00FB6710" w:rsidRPr="00183B5F" w:rsidRDefault="00FB6710" w:rsidP="004062FE">
      <w:pPr>
        <w:spacing w:line="240" w:lineRule="auto"/>
        <w:ind w:right="-29"/>
        <w:rPr>
          <w:del w:id="10600" w:author="AbbVie_HU_03" w:date="2025-05-14T16:39:00Z"/>
          <w:szCs w:val="22"/>
        </w:rPr>
      </w:pPr>
    </w:p>
    <w:p w14:paraId="4A9ED1B6" w14:textId="51A3C1DF" w:rsidR="00F2044E" w:rsidRPr="00183B5F" w:rsidRDefault="00943743" w:rsidP="0036300F">
      <w:pPr>
        <w:keepNext/>
        <w:spacing w:line="240" w:lineRule="auto"/>
        <w:rPr>
          <w:del w:id="10601" w:author="AbbVie_HU_03" w:date="2025-05-14T16:39:00Z"/>
          <w:szCs w:val="22"/>
        </w:rPr>
      </w:pPr>
      <w:del w:id="10602" w:author="AbbVie_HU_03" w:date="2025-05-14T16:39:00Z">
        <w:r w:rsidRPr="00183B5F">
          <w:rPr>
            <w:szCs w:val="22"/>
          </w:rPr>
          <w:delText>Közölje orvosával amint lehetséges, ha az alábbiak közül bármit észlel:</w:delText>
        </w:r>
      </w:del>
    </w:p>
    <w:p w14:paraId="49E00098" w14:textId="12516EF7" w:rsidR="00191B57" w:rsidRPr="00183B5F" w:rsidRDefault="00191B57" w:rsidP="0036300F">
      <w:pPr>
        <w:keepNext/>
        <w:spacing w:line="240" w:lineRule="auto"/>
        <w:rPr>
          <w:del w:id="10603" w:author="AbbVie_HU_03" w:date="2025-05-14T16:39:00Z"/>
          <w:szCs w:val="22"/>
        </w:rPr>
      </w:pPr>
    </w:p>
    <w:p w14:paraId="3183A57B" w14:textId="21D8BFDA" w:rsidR="00FB6710" w:rsidRPr="00183B5F" w:rsidRDefault="00943743" w:rsidP="0036300F">
      <w:pPr>
        <w:keepNext/>
        <w:numPr>
          <w:ilvl w:val="0"/>
          <w:numId w:val="9"/>
        </w:numPr>
        <w:tabs>
          <w:tab w:val="clear" w:pos="720"/>
        </w:tabs>
        <w:spacing w:line="240" w:lineRule="auto"/>
        <w:ind w:left="567" w:hanging="567"/>
        <w:rPr>
          <w:del w:id="10604" w:author="AbbVie_HU_03" w:date="2025-05-14T16:39:00Z"/>
          <w:szCs w:val="22"/>
        </w:rPr>
      </w:pPr>
      <w:del w:id="10605" w:author="AbbVie_HU_03" w:date="2025-05-14T16:39:00Z">
        <w:r w:rsidRPr="00183B5F">
          <w:rPr>
            <w:szCs w:val="22"/>
          </w:rPr>
          <w:delText xml:space="preserve">fertőzésre utaló tünet, mint láz, </w:delText>
        </w:r>
        <w:r w:rsidR="00B356BA" w:rsidRPr="00183B5F">
          <w:rPr>
            <w:szCs w:val="22"/>
          </w:rPr>
          <w:delText>rossz közérzet</w:delText>
        </w:r>
        <w:r w:rsidRPr="00183B5F">
          <w:rPr>
            <w:szCs w:val="22"/>
          </w:rPr>
          <w:delText>, sebek</w:delText>
        </w:r>
        <w:r w:rsidRPr="00183B5F">
          <w:rPr>
            <w:i/>
            <w:szCs w:val="22"/>
          </w:rPr>
          <w:delText xml:space="preserve">, </w:delText>
        </w:r>
        <w:r w:rsidRPr="00183B5F">
          <w:rPr>
            <w:szCs w:val="22"/>
          </w:rPr>
          <w:delText>fogászati problémák, vizeléskor jelentkező égő érzés</w:delText>
        </w:r>
        <w:r w:rsidR="00191B57" w:rsidRPr="00183B5F">
          <w:rPr>
            <w:szCs w:val="22"/>
          </w:rPr>
          <w:delText>;</w:delText>
        </w:r>
      </w:del>
    </w:p>
    <w:p w14:paraId="2270267E" w14:textId="6712F26B" w:rsidR="00FB6710" w:rsidRPr="00183B5F" w:rsidRDefault="00943743" w:rsidP="004062FE">
      <w:pPr>
        <w:numPr>
          <w:ilvl w:val="0"/>
          <w:numId w:val="9"/>
        </w:numPr>
        <w:tabs>
          <w:tab w:val="clear" w:pos="720"/>
        </w:tabs>
        <w:spacing w:line="240" w:lineRule="auto"/>
        <w:ind w:left="567" w:right="-2" w:hanging="567"/>
        <w:rPr>
          <w:del w:id="10606" w:author="AbbVie_HU_03" w:date="2025-05-14T16:39:00Z"/>
          <w:szCs w:val="22"/>
        </w:rPr>
      </w:pPr>
      <w:del w:id="10607" w:author="AbbVie_HU_03" w:date="2025-05-14T16:39:00Z">
        <w:r w:rsidRPr="00183B5F">
          <w:rPr>
            <w:szCs w:val="22"/>
          </w:rPr>
          <w:delText>gyengeség vagy fáradtságérzés</w:delText>
        </w:r>
        <w:r w:rsidR="00191B57" w:rsidRPr="00183B5F">
          <w:rPr>
            <w:szCs w:val="22"/>
          </w:rPr>
          <w:delText>;</w:delText>
        </w:r>
      </w:del>
    </w:p>
    <w:p w14:paraId="43817C33" w14:textId="1BB9F02A" w:rsidR="00FB6710" w:rsidRPr="00183B5F" w:rsidRDefault="00943743" w:rsidP="004062FE">
      <w:pPr>
        <w:numPr>
          <w:ilvl w:val="0"/>
          <w:numId w:val="9"/>
        </w:numPr>
        <w:tabs>
          <w:tab w:val="clear" w:pos="720"/>
        </w:tabs>
        <w:spacing w:line="240" w:lineRule="auto"/>
        <w:ind w:left="567" w:right="-2" w:hanging="567"/>
        <w:rPr>
          <w:del w:id="10608" w:author="AbbVie_HU_03" w:date="2025-05-14T16:39:00Z"/>
          <w:szCs w:val="22"/>
        </w:rPr>
      </w:pPr>
      <w:del w:id="10609" w:author="AbbVie_HU_03" w:date="2025-05-14T16:39:00Z">
        <w:r w:rsidRPr="00183B5F">
          <w:rPr>
            <w:szCs w:val="22"/>
          </w:rPr>
          <w:delText>köhögés</w:delText>
        </w:r>
        <w:r w:rsidR="00191B57" w:rsidRPr="00183B5F">
          <w:rPr>
            <w:szCs w:val="22"/>
          </w:rPr>
          <w:delText>;</w:delText>
        </w:r>
      </w:del>
    </w:p>
    <w:p w14:paraId="598694DB" w14:textId="742F094F" w:rsidR="00FB6710" w:rsidRPr="00183B5F" w:rsidRDefault="00943743" w:rsidP="004062FE">
      <w:pPr>
        <w:numPr>
          <w:ilvl w:val="0"/>
          <w:numId w:val="9"/>
        </w:numPr>
        <w:tabs>
          <w:tab w:val="clear" w:pos="720"/>
        </w:tabs>
        <w:spacing w:line="240" w:lineRule="auto"/>
        <w:ind w:left="567" w:right="-2" w:hanging="567"/>
        <w:rPr>
          <w:del w:id="10610" w:author="AbbVie_HU_03" w:date="2025-05-14T16:39:00Z"/>
          <w:szCs w:val="22"/>
        </w:rPr>
      </w:pPr>
      <w:del w:id="10611" w:author="AbbVie_HU_03" w:date="2025-05-14T16:39:00Z">
        <w:r w:rsidRPr="00183B5F">
          <w:rPr>
            <w:szCs w:val="22"/>
          </w:rPr>
          <w:delText>fülzúgás</w:delText>
        </w:r>
        <w:r w:rsidR="00191B57" w:rsidRPr="00183B5F">
          <w:rPr>
            <w:szCs w:val="22"/>
          </w:rPr>
          <w:delText>;</w:delText>
        </w:r>
      </w:del>
    </w:p>
    <w:p w14:paraId="1B0977B8" w14:textId="6C8CBD35" w:rsidR="00FB6710" w:rsidRPr="00183B5F" w:rsidRDefault="00943743" w:rsidP="004062FE">
      <w:pPr>
        <w:numPr>
          <w:ilvl w:val="0"/>
          <w:numId w:val="9"/>
        </w:numPr>
        <w:tabs>
          <w:tab w:val="clear" w:pos="720"/>
        </w:tabs>
        <w:spacing w:line="240" w:lineRule="auto"/>
        <w:ind w:left="567" w:right="-2" w:hanging="567"/>
        <w:rPr>
          <w:del w:id="10612" w:author="AbbVie_HU_03" w:date="2025-05-14T16:39:00Z"/>
          <w:szCs w:val="22"/>
        </w:rPr>
      </w:pPr>
      <w:del w:id="10613" w:author="AbbVie_HU_03" w:date="2025-05-14T16:39:00Z">
        <w:r w:rsidRPr="00183B5F">
          <w:rPr>
            <w:szCs w:val="22"/>
          </w:rPr>
          <w:delText>zsibbadás</w:delText>
        </w:r>
        <w:r w:rsidR="00191B57" w:rsidRPr="00183B5F">
          <w:rPr>
            <w:szCs w:val="22"/>
          </w:rPr>
          <w:delText>;</w:delText>
        </w:r>
      </w:del>
    </w:p>
    <w:p w14:paraId="55427F5F" w14:textId="58BB881C" w:rsidR="00FB6710" w:rsidRPr="00183B5F" w:rsidRDefault="00943743" w:rsidP="004062FE">
      <w:pPr>
        <w:numPr>
          <w:ilvl w:val="0"/>
          <w:numId w:val="9"/>
        </w:numPr>
        <w:tabs>
          <w:tab w:val="clear" w:pos="720"/>
        </w:tabs>
        <w:spacing w:line="240" w:lineRule="auto"/>
        <w:ind w:left="567" w:right="-2" w:hanging="567"/>
        <w:rPr>
          <w:del w:id="10614" w:author="AbbVie_HU_03" w:date="2025-05-14T16:39:00Z"/>
          <w:szCs w:val="22"/>
        </w:rPr>
      </w:pPr>
      <w:del w:id="10615" w:author="AbbVie_HU_03" w:date="2025-05-14T16:39:00Z">
        <w:r w:rsidRPr="00183B5F">
          <w:rPr>
            <w:szCs w:val="22"/>
          </w:rPr>
          <w:delText>kettőslátás</w:delText>
        </w:r>
        <w:r w:rsidR="00191B57" w:rsidRPr="00183B5F">
          <w:rPr>
            <w:szCs w:val="22"/>
          </w:rPr>
          <w:delText>;</w:delText>
        </w:r>
      </w:del>
    </w:p>
    <w:p w14:paraId="731D3BD2" w14:textId="49F71338" w:rsidR="00FB6710" w:rsidRPr="00183B5F" w:rsidRDefault="00943743" w:rsidP="004062FE">
      <w:pPr>
        <w:numPr>
          <w:ilvl w:val="0"/>
          <w:numId w:val="9"/>
        </w:numPr>
        <w:tabs>
          <w:tab w:val="clear" w:pos="720"/>
        </w:tabs>
        <w:spacing w:line="240" w:lineRule="auto"/>
        <w:ind w:left="567" w:right="-2" w:hanging="567"/>
        <w:rPr>
          <w:del w:id="10616" w:author="AbbVie_HU_03" w:date="2025-05-14T16:39:00Z"/>
          <w:szCs w:val="22"/>
        </w:rPr>
      </w:pPr>
      <w:del w:id="10617" w:author="AbbVie_HU_03" w:date="2025-05-14T16:39:00Z">
        <w:r w:rsidRPr="00183B5F">
          <w:rPr>
            <w:szCs w:val="22"/>
          </w:rPr>
          <w:delText>kar- vagy lábgyengeség</w:delText>
        </w:r>
        <w:r w:rsidR="00191B57" w:rsidRPr="00183B5F">
          <w:rPr>
            <w:szCs w:val="22"/>
          </w:rPr>
          <w:delText>;</w:delText>
        </w:r>
      </w:del>
    </w:p>
    <w:p w14:paraId="438CDF19" w14:textId="3659A9A6" w:rsidR="00FB6710" w:rsidRPr="00183B5F" w:rsidRDefault="00943743" w:rsidP="004062FE">
      <w:pPr>
        <w:numPr>
          <w:ilvl w:val="0"/>
          <w:numId w:val="9"/>
        </w:numPr>
        <w:tabs>
          <w:tab w:val="clear" w:pos="720"/>
        </w:tabs>
        <w:spacing w:line="240" w:lineRule="auto"/>
        <w:ind w:left="567" w:right="-2" w:hanging="567"/>
        <w:rPr>
          <w:del w:id="10618" w:author="AbbVie_HU_03" w:date="2025-05-14T16:39:00Z"/>
          <w:szCs w:val="22"/>
        </w:rPr>
      </w:pPr>
      <w:del w:id="10619" w:author="AbbVie_HU_03" w:date="2025-05-14T16:39:00Z">
        <w:r w:rsidRPr="00183B5F">
          <w:rPr>
            <w:szCs w:val="22"/>
          </w:rPr>
          <w:delText>duzzanat vagy nyílt fekély, amelyik nem gyógyul</w:delText>
        </w:r>
        <w:r w:rsidR="00191B57" w:rsidRPr="00183B5F">
          <w:rPr>
            <w:szCs w:val="22"/>
          </w:rPr>
          <w:delText>;</w:delText>
        </w:r>
      </w:del>
    </w:p>
    <w:p w14:paraId="0E57AD02" w14:textId="07B9E14E" w:rsidR="005C2EBE" w:rsidRPr="00183B5F" w:rsidRDefault="00943743" w:rsidP="004062FE">
      <w:pPr>
        <w:numPr>
          <w:ilvl w:val="0"/>
          <w:numId w:val="9"/>
        </w:numPr>
        <w:tabs>
          <w:tab w:val="clear" w:pos="720"/>
        </w:tabs>
        <w:spacing w:line="240" w:lineRule="auto"/>
        <w:ind w:left="567" w:right="-2" w:hanging="567"/>
        <w:rPr>
          <w:del w:id="10620" w:author="AbbVie_HU_03" w:date="2025-05-14T16:39:00Z"/>
          <w:szCs w:val="22"/>
        </w:rPr>
      </w:pPr>
      <w:del w:id="10621" w:author="AbbVie_HU_03" w:date="2025-05-14T16:39:00Z">
        <w:r w:rsidRPr="00183B5F">
          <w:rPr>
            <w:szCs w:val="22"/>
          </w:rPr>
          <w:delText>vérképzőszervi betegség</w:delText>
        </w:r>
        <w:r w:rsidR="00610441" w:rsidRPr="00183B5F">
          <w:rPr>
            <w:szCs w:val="22"/>
          </w:rPr>
          <w:delText>re jellemző</w:delText>
        </w:r>
        <w:r w:rsidRPr="00183B5F">
          <w:rPr>
            <w:szCs w:val="22"/>
          </w:rPr>
          <w:delText xml:space="preserve"> </w:delText>
        </w:r>
        <w:r w:rsidR="00610441" w:rsidRPr="00183B5F">
          <w:rPr>
            <w:szCs w:val="22"/>
          </w:rPr>
          <w:delText xml:space="preserve">jelek és </w:delText>
        </w:r>
        <w:r w:rsidRPr="00183B5F">
          <w:rPr>
            <w:szCs w:val="22"/>
          </w:rPr>
          <w:delText>tünet</w:delText>
        </w:r>
        <w:r w:rsidR="00610441" w:rsidRPr="00183B5F">
          <w:rPr>
            <w:szCs w:val="22"/>
          </w:rPr>
          <w:delText>ek</w:delText>
        </w:r>
        <w:r w:rsidRPr="00183B5F">
          <w:rPr>
            <w:szCs w:val="22"/>
          </w:rPr>
          <w:delText>, mint állandó láz, véraláfutás, vérzés, sápadtság</w:delText>
        </w:r>
        <w:r w:rsidR="00191B57" w:rsidRPr="00183B5F">
          <w:rPr>
            <w:szCs w:val="22"/>
          </w:rPr>
          <w:delText>.</w:delText>
        </w:r>
      </w:del>
    </w:p>
    <w:p w14:paraId="5494E0EB" w14:textId="01051C52" w:rsidR="006D2F10" w:rsidRPr="00183B5F" w:rsidRDefault="006D2F10" w:rsidP="004062FE">
      <w:pPr>
        <w:spacing w:line="240" w:lineRule="auto"/>
        <w:ind w:right="-2"/>
        <w:rPr>
          <w:del w:id="10622" w:author="AbbVie_HU_03" w:date="2025-05-14T16:39:00Z"/>
          <w:szCs w:val="22"/>
        </w:rPr>
      </w:pPr>
    </w:p>
    <w:p w14:paraId="6E85843D" w14:textId="62769EF5" w:rsidR="00FB6710" w:rsidRPr="00183B5F" w:rsidRDefault="00943743" w:rsidP="004062FE">
      <w:pPr>
        <w:suppressAutoHyphens w:val="0"/>
        <w:spacing w:line="240" w:lineRule="auto"/>
        <w:ind w:right="-2"/>
        <w:rPr>
          <w:del w:id="10623" w:author="AbbVie_HU_03" w:date="2025-05-14T16:39:00Z"/>
          <w:szCs w:val="22"/>
        </w:rPr>
      </w:pPr>
      <w:del w:id="10624" w:author="AbbVie_HU_03" w:date="2025-05-14T16:39:00Z">
        <w:r w:rsidRPr="00183B5F">
          <w:rPr>
            <w:szCs w:val="22"/>
          </w:rPr>
          <w:delText>A fent leírt tünetek az alábbiakban felsorolt mellékhatások jelei is lehetnek, melyeket a Humira alkalmazása során észleltek:</w:delText>
        </w:r>
      </w:del>
    </w:p>
    <w:p w14:paraId="132F1571" w14:textId="7BBD1A95" w:rsidR="00FB6710" w:rsidRPr="00183B5F" w:rsidRDefault="00FB6710" w:rsidP="004062FE">
      <w:pPr>
        <w:suppressAutoHyphens w:val="0"/>
        <w:spacing w:line="240" w:lineRule="auto"/>
        <w:ind w:right="-2"/>
        <w:rPr>
          <w:del w:id="10625" w:author="AbbVie_HU_03" w:date="2025-05-14T16:39:00Z"/>
          <w:szCs w:val="22"/>
        </w:rPr>
      </w:pPr>
    </w:p>
    <w:p w14:paraId="10565E81" w14:textId="16C02F08" w:rsidR="00FB6710" w:rsidRPr="00183B5F" w:rsidRDefault="00943743" w:rsidP="002D49EE">
      <w:pPr>
        <w:keepNext/>
        <w:suppressAutoHyphens w:val="0"/>
        <w:spacing w:line="240" w:lineRule="auto"/>
        <w:rPr>
          <w:del w:id="10626" w:author="AbbVie_HU_03" w:date="2025-05-14T16:39:00Z"/>
          <w:szCs w:val="22"/>
        </w:rPr>
      </w:pPr>
      <w:del w:id="10627" w:author="AbbVie_HU_03" w:date="2025-05-14T16:39:00Z">
        <w:r w:rsidRPr="00183B5F">
          <w:rPr>
            <w:szCs w:val="22"/>
          </w:rPr>
          <w:delText>Nagyon gyakori (10</w:delText>
        </w:r>
        <w:r w:rsidR="002A2571" w:rsidRPr="00183B5F">
          <w:rPr>
            <w:szCs w:val="22"/>
          </w:rPr>
          <w:delText> </w:delText>
        </w:r>
        <w:r w:rsidR="00C0300D" w:rsidRPr="00183B5F">
          <w:rPr>
            <w:szCs w:val="22"/>
          </w:rPr>
          <w:delText>beteg</w:delText>
        </w:r>
        <w:r w:rsidR="00284D3A" w:rsidRPr="00183B5F">
          <w:rPr>
            <w:szCs w:val="22"/>
          </w:rPr>
          <w:delText xml:space="preserve"> </w:delText>
        </w:r>
        <w:r w:rsidRPr="00183B5F">
          <w:rPr>
            <w:szCs w:val="22"/>
          </w:rPr>
          <w:delText>közül több mint 1</w:delText>
        </w:r>
        <w:r w:rsidR="00284D3A" w:rsidRPr="00183B5F">
          <w:rPr>
            <w:szCs w:val="22"/>
          </w:rPr>
          <w:delText>-</w:delText>
        </w:r>
        <w:r w:rsidR="00DD74A1" w:rsidRPr="00183B5F">
          <w:rPr>
            <w:szCs w:val="22"/>
          </w:rPr>
          <w:delText>nél</w:delText>
        </w:r>
        <w:r w:rsidR="00527304" w:rsidRPr="00183B5F">
          <w:rPr>
            <w:szCs w:val="22"/>
          </w:rPr>
          <w:delText xml:space="preserve"> </w:delText>
        </w:r>
        <w:r w:rsidRPr="00183B5F">
          <w:rPr>
            <w:szCs w:val="22"/>
          </w:rPr>
          <w:delText>kialakuló)</w:delText>
        </w:r>
      </w:del>
    </w:p>
    <w:p w14:paraId="5C743528" w14:textId="65D90345" w:rsidR="00191B57" w:rsidRPr="00183B5F" w:rsidRDefault="00191B57" w:rsidP="002D49EE">
      <w:pPr>
        <w:keepNext/>
        <w:suppressAutoHyphens w:val="0"/>
        <w:spacing w:line="240" w:lineRule="auto"/>
        <w:rPr>
          <w:del w:id="10628" w:author="AbbVie_HU_03" w:date="2025-05-14T16:39:00Z"/>
          <w:szCs w:val="22"/>
        </w:rPr>
      </w:pPr>
    </w:p>
    <w:p w14:paraId="71282582" w14:textId="2D5E0548" w:rsidR="00FB6710" w:rsidRPr="00183B5F" w:rsidRDefault="00943743" w:rsidP="002D49EE">
      <w:pPr>
        <w:keepNext/>
        <w:numPr>
          <w:ilvl w:val="0"/>
          <w:numId w:val="54"/>
        </w:numPr>
        <w:suppressAutoHyphens w:val="0"/>
        <w:spacing w:line="240" w:lineRule="auto"/>
        <w:ind w:right="-2"/>
        <w:rPr>
          <w:del w:id="10629" w:author="AbbVie_HU_03" w:date="2025-05-14T16:39:00Z"/>
          <w:szCs w:val="22"/>
        </w:rPr>
      </w:pPr>
      <w:del w:id="10630" w:author="AbbVie_HU_03" w:date="2025-05-14T16:39:00Z">
        <w:r w:rsidRPr="00183B5F">
          <w:rPr>
            <w:szCs w:val="22"/>
          </w:rPr>
          <w:delText>helyi reakció az injekció beadásának helyén (beleértve fájdalom, duzzadás, vörösség vagy viszketés)</w:delText>
        </w:r>
        <w:r w:rsidR="00191B57" w:rsidRPr="00183B5F">
          <w:rPr>
            <w:szCs w:val="22"/>
          </w:rPr>
          <w:delText>;</w:delText>
        </w:r>
      </w:del>
    </w:p>
    <w:p w14:paraId="2C33CE3C" w14:textId="07401735" w:rsidR="00FB6710" w:rsidRPr="00183B5F" w:rsidRDefault="00943743" w:rsidP="002D49EE">
      <w:pPr>
        <w:keepNext/>
        <w:numPr>
          <w:ilvl w:val="0"/>
          <w:numId w:val="54"/>
        </w:numPr>
        <w:suppressAutoHyphens w:val="0"/>
        <w:spacing w:line="240" w:lineRule="auto"/>
        <w:rPr>
          <w:del w:id="10631" w:author="AbbVie_HU_03" w:date="2025-05-14T16:39:00Z"/>
          <w:szCs w:val="22"/>
        </w:rPr>
      </w:pPr>
      <w:del w:id="10632" w:author="AbbVie_HU_03" w:date="2025-05-14T16:39:00Z">
        <w:r w:rsidRPr="00183B5F">
          <w:rPr>
            <w:szCs w:val="22"/>
          </w:rPr>
          <w:delText>légúti fertőzések (beleértve a megfázást, orrfolyást, melléküreg-gyulladást, tüdőgyulladást is)</w:delText>
        </w:r>
        <w:r w:rsidR="00191B57" w:rsidRPr="00183B5F">
          <w:rPr>
            <w:szCs w:val="22"/>
          </w:rPr>
          <w:delText>;</w:delText>
        </w:r>
      </w:del>
    </w:p>
    <w:p w14:paraId="5A7B9DC0" w14:textId="4D2DB848" w:rsidR="00FB6710" w:rsidRPr="00183B5F" w:rsidRDefault="00943743" w:rsidP="002D49EE">
      <w:pPr>
        <w:keepNext/>
        <w:numPr>
          <w:ilvl w:val="0"/>
          <w:numId w:val="54"/>
        </w:numPr>
        <w:suppressAutoHyphens w:val="0"/>
        <w:spacing w:line="240" w:lineRule="auto"/>
        <w:rPr>
          <w:del w:id="10633" w:author="AbbVie_HU_03" w:date="2025-05-14T16:39:00Z"/>
        </w:rPr>
      </w:pPr>
      <w:del w:id="10634" w:author="AbbVie_HU_03" w:date="2025-05-14T16:39:00Z">
        <w:r w:rsidRPr="00183B5F">
          <w:delText>fejfájás</w:delText>
        </w:r>
        <w:r w:rsidR="00191B57" w:rsidRPr="00183B5F">
          <w:delText>;</w:delText>
        </w:r>
      </w:del>
    </w:p>
    <w:p w14:paraId="535FB34E" w14:textId="25D0E2F0" w:rsidR="00FB6710" w:rsidRPr="00183B5F" w:rsidRDefault="00943743" w:rsidP="002D49EE">
      <w:pPr>
        <w:keepNext/>
        <w:numPr>
          <w:ilvl w:val="0"/>
          <w:numId w:val="54"/>
        </w:numPr>
        <w:suppressAutoHyphens w:val="0"/>
        <w:spacing w:line="240" w:lineRule="auto"/>
        <w:rPr>
          <w:del w:id="10635" w:author="AbbVie_HU_03" w:date="2025-05-14T16:39:00Z"/>
        </w:rPr>
      </w:pPr>
      <w:del w:id="10636" w:author="AbbVie_HU_03" w:date="2025-05-14T16:39:00Z">
        <w:r w:rsidRPr="00183B5F">
          <w:delText>hasi fájdalom</w:delText>
        </w:r>
        <w:r w:rsidR="00191B57" w:rsidRPr="00183B5F">
          <w:delText>;</w:delText>
        </w:r>
      </w:del>
    </w:p>
    <w:p w14:paraId="196E8809" w14:textId="0B24F287" w:rsidR="00FB6710" w:rsidRPr="00183B5F" w:rsidRDefault="00943743">
      <w:pPr>
        <w:numPr>
          <w:ilvl w:val="0"/>
          <w:numId w:val="54"/>
        </w:numPr>
        <w:suppressAutoHyphens w:val="0"/>
        <w:spacing w:line="240" w:lineRule="auto"/>
        <w:rPr>
          <w:del w:id="10637" w:author="AbbVie_HU_03" w:date="2025-05-14T16:39:00Z"/>
        </w:rPr>
      </w:pPr>
      <w:del w:id="10638" w:author="AbbVie_HU_03" w:date="2025-05-14T16:39:00Z">
        <w:r w:rsidRPr="00183B5F">
          <w:delText>hányinger és hányás</w:delText>
        </w:r>
        <w:r w:rsidR="00191B57" w:rsidRPr="00183B5F">
          <w:delText>;</w:delText>
        </w:r>
      </w:del>
    </w:p>
    <w:p w14:paraId="40658CCC" w14:textId="294C041D" w:rsidR="00FB6710" w:rsidRPr="00183B5F" w:rsidRDefault="00943743">
      <w:pPr>
        <w:numPr>
          <w:ilvl w:val="0"/>
          <w:numId w:val="54"/>
        </w:numPr>
        <w:suppressAutoHyphens w:val="0"/>
        <w:spacing w:line="240" w:lineRule="auto"/>
        <w:rPr>
          <w:del w:id="10639" w:author="AbbVie_HU_03" w:date="2025-05-14T16:39:00Z"/>
        </w:rPr>
      </w:pPr>
      <w:del w:id="10640" w:author="AbbVie_HU_03" w:date="2025-05-14T16:39:00Z">
        <w:r w:rsidRPr="00183B5F">
          <w:delText>bőrkiütés</w:delText>
        </w:r>
        <w:r w:rsidR="00191B57" w:rsidRPr="00183B5F">
          <w:delText>;</w:delText>
        </w:r>
      </w:del>
    </w:p>
    <w:p w14:paraId="12D74B8C" w14:textId="04CE4989" w:rsidR="00FB6710" w:rsidRPr="00183B5F" w:rsidRDefault="00943743">
      <w:pPr>
        <w:numPr>
          <w:ilvl w:val="0"/>
          <w:numId w:val="54"/>
        </w:numPr>
        <w:suppressAutoHyphens w:val="0"/>
        <w:spacing w:line="240" w:lineRule="auto"/>
        <w:rPr>
          <w:del w:id="10641" w:author="AbbVie_HU_03" w:date="2025-05-14T16:39:00Z"/>
          <w:szCs w:val="22"/>
        </w:rPr>
      </w:pPr>
      <w:del w:id="10642" w:author="AbbVie_HU_03" w:date="2025-05-14T16:39:00Z">
        <w:r w:rsidRPr="00183B5F">
          <w:delText>mozgásszervi eredetű fájdalom.</w:delText>
        </w:r>
      </w:del>
    </w:p>
    <w:p w14:paraId="687A00BD" w14:textId="78E7B826" w:rsidR="009838B7" w:rsidRPr="00183B5F" w:rsidRDefault="009838B7">
      <w:pPr>
        <w:suppressAutoHyphens w:val="0"/>
        <w:spacing w:line="240" w:lineRule="auto"/>
        <w:rPr>
          <w:del w:id="10643" w:author="AbbVie_HU_03" w:date="2025-05-14T16:39:00Z"/>
          <w:szCs w:val="22"/>
        </w:rPr>
      </w:pPr>
    </w:p>
    <w:p w14:paraId="2B7B4C6C" w14:textId="1F68638E" w:rsidR="00FB6710" w:rsidRPr="00183B5F" w:rsidRDefault="00943743" w:rsidP="004062FE">
      <w:pPr>
        <w:suppressAutoHyphens w:val="0"/>
        <w:spacing w:line="240" w:lineRule="auto"/>
        <w:ind w:right="-2"/>
        <w:rPr>
          <w:del w:id="10644" w:author="AbbVie_HU_03" w:date="2025-05-14T16:39:00Z"/>
          <w:szCs w:val="22"/>
        </w:rPr>
      </w:pPr>
      <w:del w:id="10645" w:author="AbbVie_HU_03" w:date="2025-05-14T16:39:00Z">
        <w:r w:rsidRPr="00183B5F">
          <w:rPr>
            <w:szCs w:val="22"/>
          </w:rPr>
          <w:delText>Gyakori (10</w:delText>
        </w:r>
        <w:r w:rsidR="002A2571" w:rsidRPr="00183B5F">
          <w:rPr>
            <w:szCs w:val="22"/>
          </w:rPr>
          <w:delText> </w:delText>
        </w:r>
        <w:r w:rsidR="00AA2A56" w:rsidRPr="00183B5F">
          <w:rPr>
            <w:szCs w:val="22"/>
          </w:rPr>
          <w:delText>beteg</w:delText>
        </w:r>
        <w:r w:rsidR="00DD74A1" w:rsidRPr="00183B5F">
          <w:rPr>
            <w:szCs w:val="22"/>
          </w:rPr>
          <w:delText xml:space="preserve"> </w:delText>
        </w:r>
        <w:r w:rsidRPr="00183B5F">
          <w:rPr>
            <w:szCs w:val="22"/>
          </w:rPr>
          <w:delText xml:space="preserve">közül </w:delText>
        </w:r>
        <w:r w:rsidR="00DD74A1" w:rsidRPr="00183B5F">
          <w:rPr>
            <w:szCs w:val="22"/>
          </w:rPr>
          <w:delText>le</w:delText>
        </w:r>
        <w:r w:rsidR="00603800" w:rsidRPr="00183B5F">
          <w:rPr>
            <w:szCs w:val="22"/>
          </w:rPr>
          <w:delText>g</w:delText>
        </w:r>
        <w:r w:rsidR="00DD74A1" w:rsidRPr="00183B5F">
          <w:rPr>
            <w:szCs w:val="22"/>
          </w:rPr>
          <w:delText>feljebb</w:delText>
        </w:r>
        <w:r w:rsidRPr="00183B5F">
          <w:rPr>
            <w:szCs w:val="22"/>
          </w:rPr>
          <w:delText xml:space="preserve"> 1</w:delText>
        </w:r>
        <w:r w:rsidR="00DD74A1" w:rsidRPr="00183B5F">
          <w:rPr>
            <w:szCs w:val="22"/>
          </w:rPr>
          <w:delText>-nél</w:delText>
        </w:r>
        <w:r w:rsidR="004A25AC" w:rsidRPr="00183B5F">
          <w:rPr>
            <w:szCs w:val="22"/>
          </w:rPr>
          <w:delText xml:space="preserve"> </w:delText>
        </w:r>
        <w:r w:rsidRPr="00183B5F">
          <w:rPr>
            <w:szCs w:val="22"/>
          </w:rPr>
          <w:delText>kialakuló)</w:delText>
        </w:r>
      </w:del>
    </w:p>
    <w:p w14:paraId="342F8514" w14:textId="02C009BE" w:rsidR="00191B57" w:rsidRPr="00183B5F" w:rsidRDefault="00191B57" w:rsidP="004062FE">
      <w:pPr>
        <w:suppressAutoHyphens w:val="0"/>
        <w:spacing w:line="240" w:lineRule="auto"/>
        <w:ind w:right="-2"/>
        <w:rPr>
          <w:del w:id="10646" w:author="AbbVie_HU_03" w:date="2025-05-14T16:39:00Z"/>
          <w:szCs w:val="22"/>
        </w:rPr>
      </w:pPr>
    </w:p>
    <w:p w14:paraId="1E1132CC" w14:textId="1569AEAA" w:rsidR="00FB6710" w:rsidRPr="00183B5F" w:rsidRDefault="00943743" w:rsidP="004062FE">
      <w:pPr>
        <w:numPr>
          <w:ilvl w:val="0"/>
          <w:numId w:val="54"/>
        </w:numPr>
        <w:tabs>
          <w:tab w:val="clear" w:pos="567"/>
          <w:tab w:val="left" w:pos="562"/>
        </w:tabs>
        <w:spacing w:line="240" w:lineRule="auto"/>
        <w:ind w:right="-2"/>
        <w:rPr>
          <w:del w:id="10647" w:author="AbbVie_HU_03" w:date="2025-05-14T16:39:00Z"/>
          <w:szCs w:val="22"/>
        </w:rPr>
      </w:pPr>
      <w:del w:id="10648" w:author="AbbVie_HU_03" w:date="2025-05-14T16:39:00Z">
        <w:r w:rsidRPr="00183B5F">
          <w:rPr>
            <w:szCs w:val="22"/>
          </w:rPr>
          <w:delText>súlyos fertőzések (beleértve a vérmérgezést és az influenzát is)</w:delText>
        </w:r>
        <w:r w:rsidR="00191B57" w:rsidRPr="00183B5F">
          <w:rPr>
            <w:szCs w:val="22"/>
          </w:rPr>
          <w:delText>;</w:delText>
        </w:r>
      </w:del>
    </w:p>
    <w:p w14:paraId="14D6907B" w14:textId="49B00ADE" w:rsidR="00F145C8" w:rsidRPr="00183B5F" w:rsidRDefault="00943743" w:rsidP="004062FE">
      <w:pPr>
        <w:numPr>
          <w:ilvl w:val="0"/>
          <w:numId w:val="54"/>
        </w:numPr>
        <w:tabs>
          <w:tab w:val="clear" w:pos="567"/>
          <w:tab w:val="left" w:pos="562"/>
        </w:tabs>
        <w:spacing w:line="240" w:lineRule="auto"/>
        <w:ind w:right="-2"/>
        <w:rPr>
          <w:del w:id="10649" w:author="AbbVie_HU_03" w:date="2025-05-14T16:39:00Z"/>
          <w:szCs w:val="22"/>
        </w:rPr>
      </w:pPr>
      <w:del w:id="10650" w:author="AbbVie_HU_03" w:date="2025-05-14T16:39:00Z">
        <w:r w:rsidRPr="00183B5F">
          <w:rPr>
            <w:szCs w:val="22"/>
          </w:rPr>
          <w:delText>bélfertőzések (beleértve a gyomor-bélgyulladást);</w:delText>
        </w:r>
      </w:del>
    </w:p>
    <w:p w14:paraId="06718665" w14:textId="2ECF2FF7" w:rsidR="00FB6710" w:rsidRPr="00183B5F" w:rsidRDefault="00943743" w:rsidP="004062FE">
      <w:pPr>
        <w:numPr>
          <w:ilvl w:val="0"/>
          <w:numId w:val="54"/>
        </w:numPr>
        <w:tabs>
          <w:tab w:val="clear" w:pos="567"/>
          <w:tab w:val="left" w:pos="562"/>
        </w:tabs>
        <w:spacing w:line="240" w:lineRule="auto"/>
        <w:ind w:right="-2"/>
        <w:rPr>
          <w:del w:id="10651" w:author="AbbVie_HU_03" w:date="2025-05-14T16:39:00Z"/>
          <w:szCs w:val="22"/>
        </w:rPr>
      </w:pPr>
      <w:del w:id="10652" w:author="AbbVie_HU_03" w:date="2025-05-14T16:39:00Z">
        <w:r w:rsidRPr="00183B5F">
          <w:rPr>
            <w:szCs w:val="22"/>
          </w:rPr>
          <w:delText>bőrfertőzések (beleértve a kötőszövet</w:delText>
        </w:r>
        <w:r w:rsidR="00CE5CC7" w:rsidRPr="00183B5F">
          <w:rPr>
            <w:szCs w:val="22"/>
          </w:rPr>
          <w:delText>-</w:delText>
        </w:r>
        <w:r w:rsidRPr="00183B5F">
          <w:rPr>
            <w:szCs w:val="22"/>
          </w:rPr>
          <w:delText>gyulladást és az övsömört is)</w:delText>
        </w:r>
        <w:r w:rsidR="00191B57" w:rsidRPr="00183B5F">
          <w:rPr>
            <w:szCs w:val="22"/>
          </w:rPr>
          <w:delText>;</w:delText>
        </w:r>
      </w:del>
    </w:p>
    <w:p w14:paraId="4C3D7DA6" w14:textId="324E3BD9" w:rsidR="00FB6710" w:rsidRPr="00183B5F" w:rsidRDefault="00943743" w:rsidP="004062FE">
      <w:pPr>
        <w:numPr>
          <w:ilvl w:val="0"/>
          <w:numId w:val="54"/>
        </w:numPr>
        <w:tabs>
          <w:tab w:val="clear" w:pos="567"/>
          <w:tab w:val="left" w:pos="562"/>
        </w:tabs>
        <w:spacing w:line="240" w:lineRule="auto"/>
        <w:ind w:right="-2"/>
        <w:rPr>
          <w:del w:id="10653" w:author="AbbVie_HU_03" w:date="2025-05-14T16:39:00Z"/>
        </w:rPr>
      </w:pPr>
      <w:del w:id="10654" w:author="AbbVie_HU_03" w:date="2025-05-14T16:39:00Z">
        <w:r w:rsidRPr="00183B5F">
          <w:delText>fülfertőzések</w:delText>
        </w:r>
        <w:r w:rsidR="00191B57" w:rsidRPr="00183B5F">
          <w:delText>;</w:delText>
        </w:r>
      </w:del>
    </w:p>
    <w:p w14:paraId="6E0A228B" w14:textId="30617D7E" w:rsidR="00FB6710" w:rsidRPr="00183B5F" w:rsidRDefault="00943743" w:rsidP="004062FE">
      <w:pPr>
        <w:numPr>
          <w:ilvl w:val="0"/>
          <w:numId w:val="54"/>
        </w:numPr>
        <w:tabs>
          <w:tab w:val="clear" w:pos="567"/>
          <w:tab w:val="left" w:pos="562"/>
        </w:tabs>
        <w:spacing w:line="240" w:lineRule="auto"/>
        <w:ind w:right="-2"/>
        <w:rPr>
          <w:del w:id="10655" w:author="AbbVie_HU_03" w:date="2025-05-14T16:39:00Z"/>
        </w:rPr>
      </w:pPr>
      <w:del w:id="10656" w:author="AbbVie_HU_03" w:date="2025-05-14T16:39:00Z">
        <w:r w:rsidRPr="00183B5F">
          <w:delText>szájüregi fertőzések (beleértve a fogfertőzéseket és az ajakherpeszt is)</w:delText>
        </w:r>
        <w:r w:rsidR="00191B57" w:rsidRPr="00183B5F">
          <w:delText>;</w:delText>
        </w:r>
      </w:del>
    </w:p>
    <w:p w14:paraId="15DC1527" w14:textId="7B46652F" w:rsidR="00FB6710" w:rsidRPr="00183B5F" w:rsidRDefault="00943743" w:rsidP="004062FE">
      <w:pPr>
        <w:numPr>
          <w:ilvl w:val="0"/>
          <w:numId w:val="54"/>
        </w:numPr>
        <w:tabs>
          <w:tab w:val="clear" w:pos="567"/>
          <w:tab w:val="left" w:pos="562"/>
        </w:tabs>
        <w:spacing w:line="240" w:lineRule="auto"/>
        <w:ind w:right="-2"/>
        <w:rPr>
          <w:del w:id="10657" w:author="AbbVie_HU_03" w:date="2025-05-14T16:39:00Z"/>
        </w:rPr>
      </w:pPr>
      <w:del w:id="10658" w:author="AbbVie_HU_03" w:date="2025-05-14T16:39:00Z">
        <w:r w:rsidRPr="00183B5F">
          <w:delText>a nemi</w:delText>
        </w:r>
        <w:r w:rsidR="00CE5CC7" w:rsidRPr="00183B5F">
          <w:delText xml:space="preserve"> </w:delText>
        </w:r>
        <w:r w:rsidRPr="00183B5F">
          <w:delText>szervek fertőzései</w:delText>
        </w:r>
        <w:r w:rsidR="00191B57" w:rsidRPr="00183B5F">
          <w:delText>;</w:delText>
        </w:r>
      </w:del>
    </w:p>
    <w:p w14:paraId="372426F3" w14:textId="6A1D9BF1" w:rsidR="00FB6710" w:rsidRPr="00183B5F" w:rsidRDefault="00943743" w:rsidP="004062FE">
      <w:pPr>
        <w:numPr>
          <w:ilvl w:val="0"/>
          <w:numId w:val="54"/>
        </w:numPr>
        <w:spacing w:line="240" w:lineRule="auto"/>
        <w:ind w:right="-2"/>
        <w:rPr>
          <w:del w:id="10659" w:author="AbbVie_HU_03" w:date="2025-05-14T16:39:00Z"/>
        </w:rPr>
      </w:pPr>
      <w:del w:id="10660" w:author="AbbVie_HU_03" w:date="2025-05-14T16:39:00Z">
        <w:r w:rsidRPr="00183B5F">
          <w:delText>húgyúti fertőzések</w:delText>
        </w:r>
        <w:r w:rsidR="00191B57" w:rsidRPr="00183B5F">
          <w:delText>;</w:delText>
        </w:r>
      </w:del>
    </w:p>
    <w:p w14:paraId="00F71172" w14:textId="011029FF" w:rsidR="00FB6710" w:rsidRPr="00183B5F" w:rsidRDefault="00943743" w:rsidP="004062FE">
      <w:pPr>
        <w:numPr>
          <w:ilvl w:val="0"/>
          <w:numId w:val="54"/>
        </w:numPr>
        <w:spacing w:line="240" w:lineRule="auto"/>
        <w:ind w:right="-2"/>
        <w:rPr>
          <w:del w:id="10661" w:author="AbbVie_HU_03" w:date="2025-05-14T16:39:00Z"/>
        </w:rPr>
      </w:pPr>
      <w:del w:id="10662" w:author="AbbVie_HU_03" w:date="2025-05-14T16:39:00Z">
        <w:r w:rsidRPr="00183B5F">
          <w:delText>gombás fertőzések</w:delText>
        </w:r>
        <w:r w:rsidR="00191B57" w:rsidRPr="00183B5F">
          <w:delText>;</w:delText>
        </w:r>
      </w:del>
    </w:p>
    <w:p w14:paraId="2164FBBD" w14:textId="00A68907" w:rsidR="00301ACA" w:rsidRPr="00183B5F" w:rsidRDefault="00943743" w:rsidP="004062FE">
      <w:pPr>
        <w:numPr>
          <w:ilvl w:val="0"/>
          <w:numId w:val="54"/>
        </w:numPr>
        <w:tabs>
          <w:tab w:val="num" w:pos="1820"/>
        </w:tabs>
        <w:spacing w:line="240" w:lineRule="auto"/>
        <w:ind w:right="-2"/>
        <w:rPr>
          <w:del w:id="10663" w:author="AbbVie_HU_03" w:date="2025-05-14T16:39:00Z"/>
        </w:rPr>
      </w:pPr>
      <w:del w:id="10664" w:author="AbbVie_HU_03" w:date="2025-05-14T16:39:00Z">
        <w:r w:rsidRPr="00183B5F">
          <w:delText>ízületi fertőzések</w:delText>
        </w:r>
        <w:r w:rsidR="00191B57" w:rsidRPr="00183B5F">
          <w:delText>;</w:delText>
        </w:r>
      </w:del>
    </w:p>
    <w:p w14:paraId="3A1A336A" w14:textId="1A177C94" w:rsidR="00FB6710" w:rsidRPr="00183B5F" w:rsidRDefault="00943743" w:rsidP="004062FE">
      <w:pPr>
        <w:numPr>
          <w:ilvl w:val="0"/>
          <w:numId w:val="54"/>
        </w:numPr>
        <w:tabs>
          <w:tab w:val="clear" w:pos="567"/>
          <w:tab w:val="left" w:pos="562"/>
        </w:tabs>
        <w:spacing w:line="240" w:lineRule="auto"/>
        <w:ind w:right="-2"/>
        <w:rPr>
          <w:del w:id="10665" w:author="AbbVie_HU_03" w:date="2025-05-14T16:39:00Z"/>
        </w:rPr>
      </w:pPr>
      <w:del w:id="10666" w:author="AbbVie_HU_03" w:date="2025-05-14T16:39:00Z">
        <w:r w:rsidRPr="00183B5F">
          <w:delText>jóindulatú daganatok</w:delText>
        </w:r>
        <w:r w:rsidR="00191B57" w:rsidRPr="00183B5F">
          <w:delText>;</w:delText>
        </w:r>
      </w:del>
    </w:p>
    <w:p w14:paraId="1A333FDE" w14:textId="70049474" w:rsidR="00FB6710" w:rsidRPr="00183B5F" w:rsidRDefault="00943743" w:rsidP="004062FE">
      <w:pPr>
        <w:numPr>
          <w:ilvl w:val="0"/>
          <w:numId w:val="54"/>
        </w:numPr>
        <w:tabs>
          <w:tab w:val="clear" w:pos="567"/>
          <w:tab w:val="left" w:pos="562"/>
        </w:tabs>
        <w:spacing w:line="240" w:lineRule="auto"/>
        <w:ind w:right="-2"/>
        <w:rPr>
          <w:del w:id="10667" w:author="AbbVie_HU_03" w:date="2025-05-14T16:39:00Z"/>
        </w:rPr>
      </w:pPr>
      <w:del w:id="10668" w:author="AbbVie_HU_03" w:date="2025-05-14T16:39:00Z">
        <w:r w:rsidRPr="00183B5F">
          <w:delText>bőrrák</w:delText>
        </w:r>
        <w:r w:rsidR="00191B57" w:rsidRPr="00183B5F">
          <w:delText>;</w:delText>
        </w:r>
      </w:del>
    </w:p>
    <w:p w14:paraId="3B25D50E" w14:textId="57372530" w:rsidR="00FB6710" w:rsidRPr="00183B5F" w:rsidRDefault="00943743" w:rsidP="004062FE">
      <w:pPr>
        <w:numPr>
          <w:ilvl w:val="0"/>
          <w:numId w:val="54"/>
        </w:numPr>
        <w:tabs>
          <w:tab w:val="clear" w:pos="567"/>
          <w:tab w:val="left" w:pos="562"/>
        </w:tabs>
        <w:spacing w:line="240" w:lineRule="auto"/>
        <w:ind w:right="-2"/>
        <w:rPr>
          <w:del w:id="10669" w:author="AbbVie_HU_03" w:date="2025-05-14T16:39:00Z"/>
        </w:rPr>
      </w:pPr>
      <w:del w:id="10670" w:author="AbbVie_HU_03" w:date="2025-05-14T16:39:00Z">
        <w:r w:rsidRPr="00183B5F">
          <w:delText>allergiás reakciók (beleértve a szezonális allergiát is)</w:delText>
        </w:r>
        <w:r w:rsidR="00191B57" w:rsidRPr="00183B5F">
          <w:delText>;</w:delText>
        </w:r>
      </w:del>
    </w:p>
    <w:p w14:paraId="356B56C6" w14:textId="6007F0E7" w:rsidR="004D0C2A" w:rsidRPr="00183B5F" w:rsidRDefault="00943743" w:rsidP="004062FE">
      <w:pPr>
        <w:numPr>
          <w:ilvl w:val="0"/>
          <w:numId w:val="54"/>
        </w:numPr>
        <w:tabs>
          <w:tab w:val="clear" w:pos="567"/>
          <w:tab w:val="left" w:pos="562"/>
        </w:tabs>
        <w:spacing w:line="240" w:lineRule="auto"/>
        <w:ind w:right="-2"/>
        <w:rPr>
          <w:del w:id="10671" w:author="AbbVie_HU_03" w:date="2025-05-14T16:39:00Z"/>
        </w:rPr>
      </w:pPr>
      <w:del w:id="10672" w:author="AbbVie_HU_03" w:date="2025-05-14T16:39:00Z">
        <w:r w:rsidRPr="00183B5F">
          <w:delText>kiszáradás</w:delText>
        </w:r>
        <w:r w:rsidR="00191B57" w:rsidRPr="00183B5F">
          <w:delText>;</w:delText>
        </w:r>
      </w:del>
    </w:p>
    <w:p w14:paraId="71ECB7DA" w14:textId="7DF00AFD" w:rsidR="00FB6710" w:rsidRPr="00183B5F" w:rsidRDefault="00943743" w:rsidP="004062FE">
      <w:pPr>
        <w:numPr>
          <w:ilvl w:val="0"/>
          <w:numId w:val="54"/>
        </w:numPr>
        <w:tabs>
          <w:tab w:val="clear" w:pos="567"/>
          <w:tab w:val="left" w:pos="562"/>
        </w:tabs>
        <w:spacing w:line="240" w:lineRule="auto"/>
        <w:ind w:right="-2"/>
        <w:rPr>
          <w:del w:id="10673" w:author="AbbVie_HU_03" w:date="2025-05-14T16:39:00Z"/>
        </w:rPr>
      </w:pPr>
      <w:del w:id="10674" w:author="AbbVie_HU_03" w:date="2025-05-14T16:39:00Z">
        <w:r w:rsidRPr="00183B5F">
          <w:delText>hangulatváltozás (beleértve a depressziót is)</w:delText>
        </w:r>
        <w:r w:rsidR="00191B57" w:rsidRPr="00183B5F">
          <w:delText>;</w:delText>
        </w:r>
      </w:del>
    </w:p>
    <w:p w14:paraId="215622CE" w14:textId="2C4A7B86" w:rsidR="00FB6710" w:rsidRPr="00183B5F" w:rsidRDefault="00943743" w:rsidP="004062FE">
      <w:pPr>
        <w:numPr>
          <w:ilvl w:val="0"/>
          <w:numId w:val="54"/>
        </w:numPr>
        <w:tabs>
          <w:tab w:val="clear" w:pos="567"/>
          <w:tab w:val="left" w:pos="562"/>
        </w:tabs>
        <w:spacing w:line="240" w:lineRule="auto"/>
        <w:ind w:right="-2"/>
        <w:rPr>
          <w:del w:id="10675" w:author="AbbVie_HU_03" w:date="2025-05-14T16:39:00Z"/>
        </w:rPr>
      </w:pPr>
      <w:del w:id="10676" w:author="AbbVie_HU_03" w:date="2025-05-14T16:39:00Z">
        <w:r w:rsidRPr="00183B5F">
          <w:delText>szorongás</w:delText>
        </w:r>
        <w:r w:rsidR="00191B57" w:rsidRPr="00183B5F">
          <w:delText>;</w:delText>
        </w:r>
      </w:del>
    </w:p>
    <w:p w14:paraId="0081EF03" w14:textId="34ADFCC8" w:rsidR="00FB6710" w:rsidRPr="00183B5F" w:rsidRDefault="00943743" w:rsidP="004062FE">
      <w:pPr>
        <w:numPr>
          <w:ilvl w:val="0"/>
          <w:numId w:val="54"/>
        </w:numPr>
        <w:tabs>
          <w:tab w:val="clear" w:pos="567"/>
          <w:tab w:val="left" w:pos="562"/>
        </w:tabs>
        <w:spacing w:line="240" w:lineRule="auto"/>
        <w:ind w:right="-2"/>
        <w:rPr>
          <w:del w:id="10677" w:author="AbbVie_HU_03" w:date="2025-05-14T16:39:00Z"/>
        </w:rPr>
      </w:pPr>
      <w:del w:id="10678" w:author="AbbVie_HU_03" w:date="2025-05-14T16:39:00Z">
        <w:r w:rsidRPr="00183B5F">
          <w:delText>álmatlanság</w:delText>
        </w:r>
        <w:r w:rsidR="00191B57" w:rsidRPr="00183B5F">
          <w:delText>;</w:delText>
        </w:r>
      </w:del>
    </w:p>
    <w:p w14:paraId="13BB0615" w14:textId="78F03763" w:rsidR="00FB6710" w:rsidRPr="00183B5F" w:rsidRDefault="00943743" w:rsidP="004062FE">
      <w:pPr>
        <w:numPr>
          <w:ilvl w:val="0"/>
          <w:numId w:val="54"/>
        </w:numPr>
        <w:tabs>
          <w:tab w:val="clear" w:pos="567"/>
          <w:tab w:val="left" w:pos="562"/>
        </w:tabs>
        <w:spacing w:line="240" w:lineRule="auto"/>
        <w:ind w:right="-2"/>
        <w:rPr>
          <w:del w:id="10679" w:author="AbbVie_HU_03" w:date="2025-05-14T16:39:00Z"/>
        </w:rPr>
      </w:pPr>
      <w:del w:id="10680" w:author="AbbVie_HU_03" w:date="2025-05-14T16:39:00Z">
        <w:r w:rsidRPr="00183B5F">
          <w:delText>érzészavarok, például bizsergés</w:delText>
        </w:r>
        <w:r w:rsidR="007C161B" w:rsidRPr="00183B5F">
          <w:delText>, sz</w:delText>
        </w:r>
        <w:r w:rsidRPr="00183B5F">
          <w:delText>urkáló érzés vagy zsibbadás</w:delText>
        </w:r>
        <w:r w:rsidR="00191B57" w:rsidRPr="00183B5F">
          <w:delText>;</w:delText>
        </w:r>
      </w:del>
    </w:p>
    <w:p w14:paraId="08E50BC1" w14:textId="29B0637C" w:rsidR="00FB6710" w:rsidRPr="00183B5F" w:rsidRDefault="00943743" w:rsidP="004062FE">
      <w:pPr>
        <w:numPr>
          <w:ilvl w:val="0"/>
          <w:numId w:val="54"/>
        </w:numPr>
        <w:tabs>
          <w:tab w:val="clear" w:pos="567"/>
          <w:tab w:val="left" w:pos="562"/>
        </w:tabs>
        <w:spacing w:line="240" w:lineRule="auto"/>
        <w:ind w:right="-2"/>
        <w:rPr>
          <w:del w:id="10681" w:author="AbbVie_HU_03" w:date="2025-05-14T16:39:00Z"/>
        </w:rPr>
      </w:pPr>
      <w:del w:id="10682" w:author="AbbVie_HU_03" w:date="2025-05-14T16:39:00Z">
        <w:r w:rsidRPr="00183B5F">
          <w:delText>migrén</w:delText>
        </w:r>
        <w:r w:rsidR="00191B57" w:rsidRPr="00183B5F">
          <w:delText>;</w:delText>
        </w:r>
      </w:del>
    </w:p>
    <w:p w14:paraId="5600ABF6" w14:textId="7A9FB38F" w:rsidR="00FB6710" w:rsidRPr="00183B5F" w:rsidRDefault="00943743" w:rsidP="004062FE">
      <w:pPr>
        <w:numPr>
          <w:ilvl w:val="0"/>
          <w:numId w:val="54"/>
        </w:numPr>
        <w:tabs>
          <w:tab w:val="clear" w:pos="567"/>
          <w:tab w:val="left" w:pos="562"/>
        </w:tabs>
        <w:spacing w:line="240" w:lineRule="auto"/>
        <w:ind w:right="-2"/>
        <w:rPr>
          <w:del w:id="10683" w:author="AbbVie_HU_03" w:date="2025-05-14T16:39:00Z"/>
        </w:rPr>
      </w:pPr>
      <w:del w:id="10684" w:author="AbbVie_HU_03" w:date="2025-05-14T16:39:00Z">
        <w:r w:rsidRPr="00183B5F">
          <w:delText>ideggyök nyomási tünetei (beleértve a derékfájdalmat és a lábfájást is)</w:delText>
        </w:r>
        <w:r w:rsidR="00191B57" w:rsidRPr="00183B5F">
          <w:delText>;</w:delText>
        </w:r>
      </w:del>
    </w:p>
    <w:p w14:paraId="72D1F171" w14:textId="585E096F" w:rsidR="00FB6710" w:rsidRPr="00183B5F" w:rsidRDefault="00943743" w:rsidP="004062FE">
      <w:pPr>
        <w:numPr>
          <w:ilvl w:val="0"/>
          <w:numId w:val="54"/>
        </w:numPr>
        <w:tabs>
          <w:tab w:val="clear" w:pos="567"/>
          <w:tab w:val="left" w:pos="562"/>
        </w:tabs>
        <w:spacing w:line="240" w:lineRule="auto"/>
        <w:ind w:right="-2"/>
        <w:rPr>
          <w:del w:id="10685" w:author="AbbVie_HU_03" w:date="2025-05-14T16:39:00Z"/>
        </w:rPr>
      </w:pPr>
      <w:del w:id="10686" w:author="AbbVie_HU_03" w:date="2025-05-14T16:39:00Z">
        <w:r w:rsidRPr="00183B5F">
          <w:delText>látászavar,</w:delText>
        </w:r>
        <w:r w:rsidR="00191B57" w:rsidRPr="00183B5F">
          <w:delText>;</w:delText>
        </w:r>
      </w:del>
    </w:p>
    <w:p w14:paraId="7B2861F3" w14:textId="2CCEC223" w:rsidR="00FB6710" w:rsidRPr="00183B5F" w:rsidRDefault="00943743" w:rsidP="004062FE">
      <w:pPr>
        <w:numPr>
          <w:ilvl w:val="0"/>
          <w:numId w:val="54"/>
        </w:numPr>
        <w:tabs>
          <w:tab w:val="clear" w:pos="567"/>
          <w:tab w:val="left" w:pos="562"/>
        </w:tabs>
        <w:spacing w:line="240" w:lineRule="auto"/>
        <w:ind w:right="-2"/>
        <w:rPr>
          <w:del w:id="10687" w:author="AbbVie_HU_03" w:date="2025-05-14T16:39:00Z"/>
        </w:rPr>
      </w:pPr>
      <w:del w:id="10688" w:author="AbbVie_HU_03" w:date="2025-05-14T16:39:00Z">
        <w:r w:rsidRPr="00183B5F">
          <w:delText>szemgyulladás</w:delText>
        </w:r>
        <w:r w:rsidR="00191B57" w:rsidRPr="00183B5F">
          <w:delText>;</w:delText>
        </w:r>
      </w:del>
    </w:p>
    <w:p w14:paraId="5742A8AD" w14:textId="22D7947C" w:rsidR="009B7C1A" w:rsidRPr="00183B5F" w:rsidRDefault="00943743" w:rsidP="004062FE">
      <w:pPr>
        <w:numPr>
          <w:ilvl w:val="0"/>
          <w:numId w:val="54"/>
        </w:numPr>
        <w:tabs>
          <w:tab w:val="clear" w:pos="567"/>
          <w:tab w:val="left" w:pos="562"/>
        </w:tabs>
        <w:spacing w:line="240" w:lineRule="auto"/>
        <w:ind w:right="-2"/>
        <w:rPr>
          <w:del w:id="10689" w:author="AbbVie_HU_03" w:date="2025-05-14T16:39:00Z"/>
        </w:rPr>
      </w:pPr>
      <w:del w:id="10690" w:author="AbbVie_HU_03" w:date="2025-05-14T16:39:00Z">
        <w:r w:rsidRPr="00183B5F">
          <w:delText xml:space="preserve">szemhéj gyulladása és a szem </w:delText>
        </w:r>
        <w:r w:rsidR="00AA5553" w:rsidRPr="00183B5F">
          <w:delText>duzzanata</w:delText>
        </w:r>
        <w:r w:rsidR="00191B57" w:rsidRPr="00183B5F">
          <w:delText>;</w:delText>
        </w:r>
      </w:del>
    </w:p>
    <w:p w14:paraId="334DE95D" w14:textId="4FCBDCC6" w:rsidR="00FB6710" w:rsidRPr="00183B5F" w:rsidRDefault="00943743" w:rsidP="004062FE">
      <w:pPr>
        <w:numPr>
          <w:ilvl w:val="0"/>
          <w:numId w:val="54"/>
        </w:numPr>
        <w:spacing w:line="240" w:lineRule="auto"/>
        <w:ind w:right="-2"/>
        <w:rPr>
          <w:del w:id="10691" w:author="AbbVie_HU_03" w:date="2025-05-14T16:39:00Z"/>
        </w:rPr>
      </w:pPr>
      <w:del w:id="10692" w:author="AbbVie_HU_03" w:date="2025-05-14T16:39:00Z">
        <w:r w:rsidRPr="00183B5F">
          <w:delText>forgó jellegű szédülés</w:delText>
        </w:r>
        <w:r w:rsidR="00191B57" w:rsidRPr="00183B5F">
          <w:delText>;</w:delText>
        </w:r>
      </w:del>
    </w:p>
    <w:p w14:paraId="4EFE5992" w14:textId="431DD3DD" w:rsidR="00FB6710" w:rsidRPr="00183B5F" w:rsidRDefault="00943743" w:rsidP="004062FE">
      <w:pPr>
        <w:numPr>
          <w:ilvl w:val="0"/>
          <w:numId w:val="54"/>
        </w:numPr>
        <w:tabs>
          <w:tab w:val="clear" w:pos="567"/>
          <w:tab w:val="left" w:pos="562"/>
        </w:tabs>
        <w:spacing w:line="240" w:lineRule="auto"/>
        <w:ind w:right="-2"/>
        <w:rPr>
          <w:del w:id="10693" w:author="AbbVie_HU_03" w:date="2025-05-14T16:39:00Z"/>
        </w:rPr>
      </w:pPr>
      <w:del w:id="10694" w:author="AbbVie_HU_03" w:date="2025-05-14T16:39:00Z">
        <w:r w:rsidRPr="00183B5F">
          <w:delText>gyors szívverés érzés</w:delText>
        </w:r>
        <w:r w:rsidR="00191B57" w:rsidRPr="00183B5F">
          <w:delText>;</w:delText>
        </w:r>
      </w:del>
    </w:p>
    <w:p w14:paraId="0EBF0624" w14:textId="1D4A8B85" w:rsidR="00FB6710" w:rsidRPr="00183B5F" w:rsidRDefault="00943743" w:rsidP="004062FE">
      <w:pPr>
        <w:numPr>
          <w:ilvl w:val="0"/>
          <w:numId w:val="54"/>
        </w:numPr>
        <w:tabs>
          <w:tab w:val="clear" w:pos="567"/>
          <w:tab w:val="left" w:pos="562"/>
        </w:tabs>
        <w:spacing w:line="240" w:lineRule="auto"/>
        <w:ind w:right="-2"/>
        <w:rPr>
          <w:del w:id="10695" w:author="AbbVie_HU_03" w:date="2025-05-14T16:39:00Z"/>
        </w:rPr>
      </w:pPr>
      <w:del w:id="10696" w:author="AbbVie_HU_03" w:date="2025-05-14T16:39:00Z">
        <w:r w:rsidRPr="00183B5F">
          <w:delText>magas vérnyomás</w:delText>
        </w:r>
        <w:r w:rsidR="00191B57" w:rsidRPr="00183B5F">
          <w:delText>;</w:delText>
        </w:r>
      </w:del>
    </w:p>
    <w:p w14:paraId="515B4D39" w14:textId="05BA0A97" w:rsidR="00FB6710" w:rsidRPr="00183B5F" w:rsidRDefault="00943743" w:rsidP="004062FE">
      <w:pPr>
        <w:numPr>
          <w:ilvl w:val="0"/>
          <w:numId w:val="54"/>
        </w:numPr>
        <w:tabs>
          <w:tab w:val="clear" w:pos="567"/>
          <w:tab w:val="left" w:pos="562"/>
        </w:tabs>
        <w:spacing w:line="240" w:lineRule="auto"/>
        <w:ind w:right="-2"/>
        <w:rPr>
          <w:del w:id="10697" w:author="AbbVie_HU_03" w:date="2025-05-14T16:39:00Z"/>
        </w:rPr>
      </w:pPr>
      <w:del w:id="10698" w:author="AbbVie_HU_03" w:date="2025-05-14T16:39:00Z">
        <w:r w:rsidRPr="00183B5F">
          <w:delText>kipirulás</w:delText>
        </w:r>
        <w:r w:rsidR="00191B57" w:rsidRPr="00183B5F">
          <w:delText>;</w:delText>
        </w:r>
      </w:del>
    </w:p>
    <w:p w14:paraId="36AE5BC0" w14:textId="4D2D9E22" w:rsidR="00FB6710" w:rsidRPr="00183B5F" w:rsidRDefault="00943743" w:rsidP="004062FE">
      <w:pPr>
        <w:numPr>
          <w:ilvl w:val="0"/>
          <w:numId w:val="54"/>
        </w:numPr>
        <w:tabs>
          <w:tab w:val="clear" w:pos="567"/>
          <w:tab w:val="left" w:pos="562"/>
        </w:tabs>
        <w:spacing w:line="240" w:lineRule="auto"/>
        <w:ind w:right="-2"/>
        <w:rPr>
          <w:del w:id="10699" w:author="AbbVie_HU_03" w:date="2025-05-14T16:39:00Z"/>
        </w:rPr>
      </w:pPr>
      <w:del w:id="10700" w:author="AbbVie_HU_03" w:date="2025-05-14T16:39:00Z">
        <w:r w:rsidRPr="00183B5F">
          <w:delText>vérömleny</w:delText>
        </w:r>
        <w:r w:rsidR="00191B57" w:rsidRPr="00183B5F">
          <w:delText>;</w:delText>
        </w:r>
      </w:del>
    </w:p>
    <w:p w14:paraId="5A0298A2" w14:textId="0A9298E3" w:rsidR="00FB6710" w:rsidRPr="00183B5F" w:rsidRDefault="00943743" w:rsidP="004062FE">
      <w:pPr>
        <w:numPr>
          <w:ilvl w:val="0"/>
          <w:numId w:val="54"/>
        </w:numPr>
        <w:spacing w:line="240" w:lineRule="auto"/>
        <w:ind w:right="-2"/>
        <w:rPr>
          <w:del w:id="10701" w:author="AbbVie_HU_03" w:date="2025-05-14T16:39:00Z"/>
        </w:rPr>
      </w:pPr>
      <w:del w:id="10702" w:author="AbbVie_HU_03" w:date="2025-05-14T16:39:00Z">
        <w:r w:rsidRPr="00183B5F">
          <w:delText>köhögés</w:delText>
        </w:r>
        <w:r w:rsidR="00191B57" w:rsidRPr="00183B5F">
          <w:delText>;</w:delText>
        </w:r>
      </w:del>
    </w:p>
    <w:p w14:paraId="30A66E6C" w14:textId="30121BB7" w:rsidR="00FB6710" w:rsidRPr="00183B5F" w:rsidRDefault="00943743" w:rsidP="004062FE">
      <w:pPr>
        <w:numPr>
          <w:ilvl w:val="0"/>
          <w:numId w:val="54"/>
        </w:numPr>
        <w:spacing w:line="240" w:lineRule="auto"/>
        <w:ind w:right="-2"/>
        <w:rPr>
          <w:del w:id="10703" w:author="AbbVie_HU_03" w:date="2025-05-14T16:39:00Z"/>
        </w:rPr>
      </w:pPr>
      <w:del w:id="10704" w:author="AbbVie_HU_03" w:date="2025-05-14T16:39:00Z">
        <w:r w:rsidRPr="00183B5F">
          <w:delText>asztma</w:delText>
        </w:r>
        <w:r w:rsidR="00191B57" w:rsidRPr="00183B5F">
          <w:delText>;</w:delText>
        </w:r>
      </w:del>
    </w:p>
    <w:p w14:paraId="7BE6EA77" w14:textId="3A645B41" w:rsidR="00FB6710" w:rsidRPr="00183B5F" w:rsidRDefault="00943743" w:rsidP="004062FE">
      <w:pPr>
        <w:numPr>
          <w:ilvl w:val="0"/>
          <w:numId w:val="54"/>
        </w:numPr>
        <w:spacing w:line="240" w:lineRule="auto"/>
        <w:ind w:right="-2"/>
        <w:rPr>
          <w:del w:id="10705" w:author="AbbVie_HU_03" w:date="2025-05-14T16:39:00Z"/>
        </w:rPr>
      </w:pPr>
      <w:del w:id="10706" w:author="AbbVie_HU_03" w:date="2025-05-14T16:39:00Z">
        <w:r w:rsidRPr="00183B5F">
          <w:delText>légszomj</w:delText>
        </w:r>
        <w:r w:rsidR="00191B57" w:rsidRPr="00183B5F">
          <w:delText>;</w:delText>
        </w:r>
      </w:del>
    </w:p>
    <w:p w14:paraId="64BDD123" w14:textId="08292FE9" w:rsidR="00FB6710" w:rsidRPr="00183B5F" w:rsidRDefault="00943743" w:rsidP="004062FE">
      <w:pPr>
        <w:numPr>
          <w:ilvl w:val="0"/>
          <w:numId w:val="54"/>
        </w:numPr>
        <w:spacing w:line="240" w:lineRule="auto"/>
        <w:ind w:right="-2"/>
        <w:rPr>
          <w:del w:id="10707" w:author="AbbVie_HU_03" w:date="2025-05-14T16:39:00Z"/>
        </w:rPr>
      </w:pPr>
      <w:del w:id="10708" w:author="AbbVie_HU_03" w:date="2025-05-14T16:39:00Z">
        <w:r w:rsidRPr="00183B5F">
          <w:delText>tápcsatorna eredetű vérzés</w:delText>
        </w:r>
        <w:r w:rsidR="00191B57" w:rsidRPr="00183B5F">
          <w:delText>;</w:delText>
        </w:r>
      </w:del>
    </w:p>
    <w:p w14:paraId="610D19EF" w14:textId="68DBE9EE" w:rsidR="00FB6710" w:rsidRPr="00183B5F" w:rsidRDefault="00943743" w:rsidP="004062FE">
      <w:pPr>
        <w:numPr>
          <w:ilvl w:val="0"/>
          <w:numId w:val="54"/>
        </w:numPr>
        <w:spacing w:line="240" w:lineRule="auto"/>
        <w:ind w:right="-2"/>
        <w:rPr>
          <w:del w:id="10709" w:author="AbbVie_HU_03" w:date="2025-05-14T16:39:00Z"/>
        </w:rPr>
      </w:pPr>
      <w:del w:id="10710" w:author="AbbVie_HU_03" w:date="2025-05-14T16:39:00Z">
        <w:r w:rsidRPr="00183B5F">
          <w:delText>diszpepszia (emésztési zavar, puffadás, gyomorégés)</w:delText>
        </w:r>
        <w:r w:rsidR="00191B57" w:rsidRPr="00183B5F">
          <w:delText>;</w:delText>
        </w:r>
      </w:del>
    </w:p>
    <w:p w14:paraId="4EA8C715" w14:textId="7019F3C9" w:rsidR="00FB6710" w:rsidRPr="00183B5F" w:rsidRDefault="00943743" w:rsidP="004062FE">
      <w:pPr>
        <w:numPr>
          <w:ilvl w:val="0"/>
          <w:numId w:val="54"/>
        </w:numPr>
        <w:spacing w:line="240" w:lineRule="auto"/>
        <w:ind w:right="-2"/>
        <w:rPr>
          <w:del w:id="10711" w:author="AbbVie_HU_03" w:date="2025-05-14T16:39:00Z"/>
        </w:rPr>
      </w:pPr>
      <w:del w:id="10712" w:author="AbbVie_HU_03" w:date="2025-05-14T16:39:00Z">
        <w:r w:rsidRPr="00183B5F">
          <w:delText>a gyomorsav visszafolyása a nyelőcsőbe</w:delText>
        </w:r>
        <w:r w:rsidR="00191B57" w:rsidRPr="00183B5F">
          <w:delText>;</w:delText>
        </w:r>
      </w:del>
    </w:p>
    <w:p w14:paraId="3BEA41A1" w14:textId="0B2DEF3C" w:rsidR="00FB6710" w:rsidRPr="00183B5F" w:rsidRDefault="00943743" w:rsidP="004062FE">
      <w:pPr>
        <w:numPr>
          <w:ilvl w:val="0"/>
          <w:numId w:val="54"/>
        </w:numPr>
        <w:spacing w:line="240" w:lineRule="auto"/>
        <w:ind w:right="-2"/>
        <w:rPr>
          <w:del w:id="10713" w:author="AbbVie_HU_03" w:date="2025-05-14T16:39:00Z"/>
        </w:rPr>
      </w:pPr>
      <w:del w:id="10714" w:author="AbbVie_HU_03" w:date="2025-05-14T16:39:00Z">
        <w:r w:rsidRPr="00183B5F">
          <w:delText>szikka-szindróma (beleértve a száraz szemet és a száraz szájat is)</w:delText>
        </w:r>
        <w:r w:rsidR="00191B57" w:rsidRPr="00183B5F">
          <w:delText>;</w:delText>
        </w:r>
      </w:del>
    </w:p>
    <w:p w14:paraId="24E47E87" w14:textId="11F2F8DC" w:rsidR="00FB6710" w:rsidRPr="00183B5F" w:rsidRDefault="00943743" w:rsidP="004062FE">
      <w:pPr>
        <w:numPr>
          <w:ilvl w:val="0"/>
          <w:numId w:val="54"/>
        </w:numPr>
        <w:spacing w:line="240" w:lineRule="auto"/>
        <w:ind w:right="-2"/>
        <w:rPr>
          <w:del w:id="10715" w:author="AbbVie_HU_03" w:date="2025-05-14T16:39:00Z"/>
        </w:rPr>
      </w:pPr>
      <w:del w:id="10716" w:author="AbbVie_HU_03" w:date="2025-05-14T16:39:00Z">
        <w:r w:rsidRPr="00183B5F">
          <w:delText>bőrviszketés</w:delText>
        </w:r>
        <w:r w:rsidR="00191B57" w:rsidRPr="00183B5F">
          <w:delText>;</w:delText>
        </w:r>
      </w:del>
    </w:p>
    <w:p w14:paraId="6CD6CDFE" w14:textId="64429F83" w:rsidR="00FB6710" w:rsidRPr="00183B5F" w:rsidRDefault="00943743" w:rsidP="004062FE">
      <w:pPr>
        <w:numPr>
          <w:ilvl w:val="0"/>
          <w:numId w:val="54"/>
        </w:numPr>
        <w:spacing w:line="240" w:lineRule="auto"/>
        <w:ind w:right="-2"/>
        <w:rPr>
          <w:del w:id="10717" w:author="AbbVie_HU_03" w:date="2025-05-14T16:39:00Z"/>
        </w:rPr>
      </w:pPr>
      <w:del w:id="10718" w:author="AbbVie_HU_03" w:date="2025-05-14T16:39:00Z">
        <w:r w:rsidRPr="00183B5F">
          <w:delText>viszkető bőrkiütés</w:delText>
        </w:r>
        <w:r w:rsidR="00191B57" w:rsidRPr="00183B5F">
          <w:delText>;</w:delText>
        </w:r>
      </w:del>
    </w:p>
    <w:p w14:paraId="07A97805" w14:textId="5AC3A216" w:rsidR="00FB6710" w:rsidRPr="00183B5F" w:rsidRDefault="00943743" w:rsidP="004062FE">
      <w:pPr>
        <w:numPr>
          <w:ilvl w:val="0"/>
          <w:numId w:val="54"/>
        </w:numPr>
        <w:spacing w:line="240" w:lineRule="auto"/>
        <w:ind w:right="-2"/>
        <w:rPr>
          <w:del w:id="10719" w:author="AbbVie_HU_03" w:date="2025-05-14T16:39:00Z"/>
        </w:rPr>
      </w:pPr>
      <w:del w:id="10720" w:author="AbbVie_HU_03" w:date="2025-05-14T16:39:00Z">
        <w:r w:rsidRPr="00183B5F">
          <w:delText>véraláfutás</w:delText>
        </w:r>
        <w:r w:rsidR="00191B57" w:rsidRPr="00183B5F">
          <w:delText>;</w:delText>
        </w:r>
      </w:del>
    </w:p>
    <w:p w14:paraId="0B6E1D47" w14:textId="002F342D" w:rsidR="00FB6710" w:rsidRPr="00183B5F" w:rsidRDefault="00943743" w:rsidP="004062FE">
      <w:pPr>
        <w:numPr>
          <w:ilvl w:val="0"/>
          <w:numId w:val="54"/>
        </w:numPr>
        <w:spacing w:line="240" w:lineRule="auto"/>
        <w:ind w:right="-2"/>
        <w:rPr>
          <w:del w:id="10721" w:author="AbbVie_HU_03" w:date="2025-05-14T16:39:00Z"/>
        </w:rPr>
      </w:pPr>
      <w:del w:id="10722" w:author="AbbVie_HU_03" w:date="2025-05-14T16:39:00Z">
        <w:r w:rsidRPr="00183B5F">
          <w:delText>bőrgyulladás (mint például az ekcéma)</w:delText>
        </w:r>
        <w:r w:rsidR="00191B57" w:rsidRPr="00183B5F">
          <w:delText>;</w:delText>
        </w:r>
      </w:del>
    </w:p>
    <w:p w14:paraId="1A65EEE2" w14:textId="3034F81E" w:rsidR="00FB6710" w:rsidRPr="00183B5F" w:rsidRDefault="00943743" w:rsidP="004062FE">
      <w:pPr>
        <w:numPr>
          <w:ilvl w:val="0"/>
          <w:numId w:val="54"/>
        </w:numPr>
        <w:spacing w:line="240" w:lineRule="auto"/>
        <w:ind w:right="-2"/>
        <w:rPr>
          <w:del w:id="10723" w:author="AbbVie_HU_03" w:date="2025-05-14T16:39:00Z"/>
        </w:rPr>
      </w:pPr>
      <w:del w:id="10724" w:author="AbbVie_HU_03" w:date="2025-05-14T16:39:00Z">
        <w:r w:rsidRPr="00183B5F">
          <w:delText>a kéz- és lábujjkörmök töredezése</w:delText>
        </w:r>
        <w:r w:rsidR="00191B57" w:rsidRPr="00183B5F">
          <w:delText>;</w:delText>
        </w:r>
      </w:del>
    </w:p>
    <w:p w14:paraId="538A0F85" w14:textId="7409043B" w:rsidR="00FB6710" w:rsidRPr="00183B5F" w:rsidRDefault="00943743" w:rsidP="004062FE">
      <w:pPr>
        <w:numPr>
          <w:ilvl w:val="0"/>
          <w:numId w:val="54"/>
        </w:numPr>
        <w:spacing w:line="240" w:lineRule="auto"/>
        <w:ind w:right="-2"/>
        <w:rPr>
          <w:del w:id="10725" w:author="AbbVie_HU_03" w:date="2025-05-14T16:39:00Z"/>
        </w:rPr>
      </w:pPr>
      <w:del w:id="10726" w:author="AbbVie_HU_03" w:date="2025-05-14T16:39:00Z">
        <w:r w:rsidRPr="00183B5F">
          <w:delText>fokozott verejtékezés</w:delText>
        </w:r>
        <w:r w:rsidR="00191B57" w:rsidRPr="00183B5F">
          <w:delText>;</w:delText>
        </w:r>
      </w:del>
    </w:p>
    <w:p w14:paraId="72823CBA" w14:textId="5B929A41" w:rsidR="007C3FEE" w:rsidRPr="00183B5F" w:rsidRDefault="00943743" w:rsidP="004062FE">
      <w:pPr>
        <w:numPr>
          <w:ilvl w:val="0"/>
          <w:numId w:val="54"/>
        </w:numPr>
        <w:spacing w:line="240" w:lineRule="auto"/>
        <w:ind w:right="-2"/>
        <w:rPr>
          <w:del w:id="10727" w:author="AbbVie_HU_03" w:date="2025-05-14T16:39:00Z"/>
        </w:rPr>
      </w:pPr>
      <w:del w:id="10728" w:author="AbbVie_HU_03" w:date="2025-05-14T16:39:00Z">
        <w:r w:rsidRPr="00183B5F">
          <w:delText>hajhullás</w:delText>
        </w:r>
        <w:r w:rsidR="00191B57" w:rsidRPr="00183B5F">
          <w:delText>;</w:delText>
        </w:r>
      </w:del>
    </w:p>
    <w:p w14:paraId="09609C7E" w14:textId="04B85017" w:rsidR="007C3FEE" w:rsidRPr="00183B5F" w:rsidRDefault="00943743" w:rsidP="004062FE">
      <w:pPr>
        <w:numPr>
          <w:ilvl w:val="0"/>
          <w:numId w:val="54"/>
        </w:numPr>
        <w:spacing w:line="240" w:lineRule="auto"/>
        <w:ind w:right="-2"/>
        <w:rPr>
          <w:del w:id="10729" w:author="AbbVie_HU_03" w:date="2025-05-14T16:39:00Z"/>
        </w:rPr>
      </w:pPr>
      <w:del w:id="10730" w:author="AbbVie_HU_03" w:date="2025-05-14T16:39:00Z">
        <w:r w:rsidRPr="00183B5F">
          <w:rPr>
            <w:szCs w:val="22"/>
          </w:rPr>
          <w:delText>pikkelysömör megjelenése vagy rosszabbodása</w:delText>
        </w:r>
        <w:r w:rsidR="00191B57" w:rsidRPr="00183B5F">
          <w:rPr>
            <w:szCs w:val="22"/>
          </w:rPr>
          <w:delText>;</w:delText>
        </w:r>
      </w:del>
    </w:p>
    <w:p w14:paraId="5A60370F" w14:textId="273D64B3" w:rsidR="00FB6710" w:rsidRPr="00183B5F" w:rsidRDefault="00943743" w:rsidP="004062FE">
      <w:pPr>
        <w:numPr>
          <w:ilvl w:val="0"/>
          <w:numId w:val="54"/>
        </w:numPr>
        <w:spacing w:line="240" w:lineRule="auto"/>
        <w:ind w:right="-2"/>
        <w:rPr>
          <w:del w:id="10731" w:author="AbbVie_HU_03" w:date="2025-05-14T16:39:00Z"/>
        </w:rPr>
      </w:pPr>
      <w:del w:id="10732" w:author="AbbVie_HU_03" w:date="2025-05-14T16:39:00Z">
        <w:r w:rsidRPr="00183B5F">
          <w:delText>izomgörcsök</w:delText>
        </w:r>
        <w:r w:rsidR="00191B57" w:rsidRPr="00183B5F">
          <w:delText>;</w:delText>
        </w:r>
      </w:del>
    </w:p>
    <w:p w14:paraId="382D1783" w14:textId="3A301101" w:rsidR="00FB6710" w:rsidRPr="00183B5F" w:rsidRDefault="00943743" w:rsidP="004062FE">
      <w:pPr>
        <w:numPr>
          <w:ilvl w:val="0"/>
          <w:numId w:val="54"/>
        </w:numPr>
        <w:spacing w:line="240" w:lineRule="auto"/>
        <w:ind w:right="-2"/>
        <w:rPr>
          <w:del w:id="10733" w:author="AbbVie_HU_03" w:date="2025-05-14T16:39:00Z"/>
        </w:rPr>
      </w:pPr>
      <w:del w:id="10734" w:author="AbbVie_HU_03" w:date="2025-05-14T16:39:00Z">
        <w:r w:rsidRPr="00183B5F">
          <w:delText>véres vizelet</w:delText>
        </w:r>
        <w:r w:rsidR="00191B57" w:rsidRPr="00183B5F">
          <w:delText>;</w:delText>
        </w:r>
      </w:del>
    </w:p>
    <w:p w14:paraId="34EBC6FF" w14:textId="1DD4E8E1" w:rsidR="00FB6710" w:rsidRPr="00183B5F" w:rsidRDefault="00943743" w:rsidP="004062FE">
      <w:pPr>
        <w:numPr>
          <w:ilvl w:val="0"/>
          <w:numId w:val="54"/>
        </w:numPr>
        <w:spacing w:line="240" w:lineRule="auto"/>
        <w:ind w:right="-2"/>
        <w:rPr>
          <w:del w:id="10735" w:author="AbbVie_HU_03" w:date="2025-05-14T16:39:00Z"/>
        </w:rPr>
      </w:pPr>
      <w:del w:id="10736" w:author="AbbVie_HU_03" w:date="2025-05-14T16:39:00Z">
        <w:r w:rsidRPr="00183B5F">
          <w:delText>veseproblémák</w:delText>
        </w:r>
        <w:r w:rsidR="00191B57" w:rsidRPr="00183B5F">
          <w:delText>;</w:delText>
        </w:r>
      </w:del>
    </w:p>
    <w:p w14:paraId="543DE646" w14:textId="436023DF" w:rsidR="00FB6710" w:rsidRPr="00183B5F" w:rsidRDefault="00943743" w:rsidP="004062FE">
      <w:pPr>
        <w:numPr>
          <w:ilvl w:val="0"/>
          <w:numId w:val="54"/>
        </w:numPr>
        <w:spacing w:line="240" w:lineRule="auto"/>
        <w:ind w:right="-2"/>
        <w:rPr>
          <w:del w:id="10737" w:author="AbbVie_HU_03" w:date="2025-05-14T16:39:00Z"/>
        </w:rPr>
      </w:pPr>
      <w:del w:id="10738" w:author="AbbVie_HU_03" w:date="2025-05-14T16:39:00Z">
        <w:r w:rsidRPr="00183B5F">
          <w:delText>mellkasi fájdalom</w:delText>
        </w:r>
        <w:r w:rsidR="00191B57" w:rsidRPr="00183B5F">
          <w:delText>;</w:delText>
        </w:r>
      </w:del>
    </w:p>
    <w:p w14:paraId="65B7E9C3" w14:textId="0ABB7D0E" w:rsidR="00FB6710" w:rsidRPr="00183B5F" w:rsidRDefault="00943743" w:rsidP="004062FE">
      <w:pPr>
        <w:numPr>
          <w:ilvl w:val="0"/>
          <w:numId w:val="54"/>
        </w:numPr>
        <w:spacing w:line="240" w:lineRule="auto"/>
        <w:ind w:right="-2"/>
        <w:rPr>
          <w:del w:id="10739" w:author="AbbVie_HU_03" w:date="2025-05-14T16:39:00Z"/>
        </w:rPr>
      </w:pPr>
      <w:del w:id="10740" w:author="AbbVie_HU_03" w:date="2025-05-14T16:39:00Z">
        <w:r w:rsidRPr="00183B5F">
          <w:delText>vizenyő</w:delText>
        </w:r>
        <w:r w:rsidR="00191B57" w:rsidRPr="00183B5F">
          <w:delText>;</w:delText>
        </w:r>
      </w:del>
    </w:p>
    <w:p w14:paraId="5B8FD1FA" w14:textId="79C8D5F8" w:rsidR="009B7C1A" w:rsidRPr="00183B5F" w:rsidRDefault="00943743" w:rsidP="004062FE">
      <w:pPr>
        <w:numPr>
          <w:ilvl w:val="0"/>
          <w:numId w:val="54"/>
        </w:numPr>
        <w:spacing w:line="240" w:lineRule="auto"/>
        <w:ind w:right="-2"/>
        <w:rPr>
          <w:del w:id="10741" w:author="AbbVie_HU_03" w:date="2025-05-14T16:39:00Z"/>
        </w:rPr>
      </w:pPr>
      <w:del w:id="10742" w:author="AbbVie_HU_03" w:date="2025-05-14T16:39:00Z">
        <w:r w:rsidRPr="00183B5F">
          <w:delText>láz</w:delText>
        </w:r>
        <w:r w:rsidR="00191B57" w:rsidRPr="00183B5F">
          <w:delText>;</w:delText>
        </w:r>
      </w:del>
    </w:p>
    <w:p w14:paraId="3777527E" w14:textId="65CF7962" w:rsidR="00FB6710" w:rsidRPr="00183B5F" w:rsidRDefault="00943743" w:rsidP="004062FE">
      <w:pPr>
        <w:numPr>
          <w:ilvl w:val="0"/>
          <w:numId w:val="54"/>
        </w:numPr>
        <w:spacing w:line="240" w:lineRule="auto"/>
        <w:ind w:right="-2"/>
        <w:rPr>
          <w:del w:id="10743" w:author="AbbVie_HU_03" w:date="2025-05-14T16:39:00Z"/>
        </w:rPr>
      </w:pPr>
      <w:del w:id="10744" w:author="AbbVie_HU_03" w:date="2025-05-14T16:39:00Z">
        <w:r w:rsidRPr="00183B5F">
          <w:delText>a vérlemezkék számának csökkenése, ami növeli a vérzés vagy a véraláfutás kialakulásának kockázatát</w:delText>
        </w:r>
        <w:r w:rsidR="00191B57" w:rsidRPr="00183B5F">
          <w:delText>;</w:delText>
        </w:r>
      </w:del>
    </w:p>
    <w:p w14:paraId="77A46A1C" w14:textId="06CA3E27" w:rsidR="00FB6710" w:rsidRPr="00183B5F" w:rsidRDefault="00943743" w:rsidP="004062FE">
      <w:pPr>
        <w:numPr>
          <w:ilvl w:val="0"/>
          <w:numId w:val="54"/>
        </w:numPr>
        <w:spacing w:line="240" w:lineRule="auto"/>
        <w:ind w:right="-2"/>
        <w:rPr>
          <w:del w:id="10745" w:author="AbbVie_HU_03" w:date="2025-05-14T16:39:00Z"/>
        </w:rPr>
      </w:pPr>
      <w:del w:id="10746" w:author="AbbVie_HU_03" w:date="2025-05-14T16:39:00Z">
        <w:r w:rsidRPr="00183B5F">
          <w:delText>csökkent gyógyulási készség</w:delText>
        </w:r>
        <w:r w:rsidR="00794706" w:rsidRPr="00183B5F">
          <w:delText>.</w:delText>
        </w:r>
      </w:del>
    </w:p>
    <w:p w14:paraId="7987B92B" w14:textId="17BF00DD" w:rsidR="00FB6710" w:rsidRPr="00183B5F" w:rsidRDefault="00FB6710" w:rsidP="004062FE">
      <w:pPr>
        <w:spacing w:line="240" w:lineRule="auto"/>
        <w:ind w:right="-2"/>
        <w:rPr>
          <w:del w:id="10747" w:author="AbbVie_HU_03" w:date="2025-05-14T16:39:00Z"/>
          <w:szCs w:val="22"/>
        </w:rPr>
      </w:pPr>
    </w:p>
    <w:p w14:paraId="66D79058" w14:textId="673CE848" w:rsidR="00FB6710" w:rsidRPr="00183B5F" w:rsidRDefault="00943743" w:rsidP="004062FE">
      <w:pPr>
        <w:spacing w:line="240" w:lineRule="auto"/>
        <w:ind w:right="-2"/>
        <w:rPr>
          <w:del w:id="10748" w:author="AbbVie_HU_03" w:date="2025-05-14T16:39:00Z"/>
          <w:szCs w:val="22"/>
        </w:rPr>
      </w:pPr>
      <w:del w:id="10749" w:author="AbbVie_HU_03" w:date="2025-05-14T16:39:00Z">
        <w:r w:rsidRPr="00183B5F">
          <w:rPr>
            <w:szCs w:val="22"/>
          </w:rPr>
          <w:delText>Nem gyakori (100</w:delText>
        </w:r>
        <w:r w:rsidR="002A2571" w:rsidRPr="00183B5F">
          <w:rPr>
            <w:szCs w:val="22"/>
          </w:rPr>
          <w:delText> </w:delText>
        </w:r>
        <w:r w:rsidR="00AA2A56" w:rsidRPr="00183B5F">
          <w:rPr>
            <w:szCs w:val="22"/>
          </w:rPr>
          <w:delText>beteg</w:delText>
        </w:r>
        <w:r w:rsidRPr="00183B5F">
          <w:rPr>
            <w:szCs w:val="22"/>
          </w:rPr>
          <w:delText xml:space="preserve"> közül </w:delText>
        </w:r>
        <w:r w:rsidR="00DD74A1" w:rsidRPr="00183B5F">
          <w:rPr>
            <w:szCs w:val="22"/>
          </w:rPr>
          <w:delText>legfeljebb</w:delText>
        </w:r>
        <w:r w:rsidRPr="00183B5F">
          <w:rPr>
            <w:szCs w:val="22"/>
          </w:rPr>
          <w:delText xml:space="preserve"> 1</w:delText>
        </w:r>
        <w:r w:rsidR="00DD74A1" w:rsidRPr="00183B5F">
          <w:rPr>
            <w:szCs w:val="22"/>
          </w:rPr>
          <w:delText>-nél</w:delText>
        </w:r>
        <w:r w:rsidR="00A04AC3" w:rsidRPr="00183B5F">
          <w:rPr>
            <w:szCs w:val="22"/>
          </w:rPr>
          <w:delText xml:space="preserve"> </w:delText>
        </w:r>
        <w:r w:rsidRPr="00183B5F">
          <w:rPr>
            <w:szCs w:val="22"/>
          </w:rPr>
          <w:delText>kialakuló</w:delText>
        </w:r>
        <w:r w:rsidR="00B206EA" w:rsidRPr="00183B5F">
          <w:rPr>
            <w:szCs w:val="22"/>
          </w:rPr>
          <w:delText>)</w:delText>
        </w:r>
      </w:del>
    </w:p>
    <w:p w14:paraId="76C96532" w14:textId="26A80DA4" w:rsidR="00191B57" w:rsidRPr="00183B5F" w:rsidRDefault="00191B57" w:rsidP="004062FE">
      <w:pPr>
        <w:spacing w:line="240" w:lineRule="auto"/>
        <w:ind w:right="-2"/>
        <w:rPr>
          <w:del w:id="10750" w:author="AbbVie_HU_03" w:date="2025-05-14T16:39:00Z"/>
          <w:szCs w:val="22"/>
        </w:rPr>
      </w:pPr>
    </w:p>
    <w:p w14:paraId="273C1837" w14:textId="07D9BAA0" w:rsidR="00FB6710" w:rsidRPr="00183B5F" w:rsidRDefault="00943743" w:rsidP="004062FE">
      <w:pPr>
        <w:numPr>
          <w:ilvl w:val="0"/>
          <w:numId w:val="55"/>
        </w:numPr>
        <w:tabs>
          <w:tab w:val="clear" w:pos="567"/>
          <w:tab w:val="left" w:pos="562"/>
        </w:tabs>
        <w:spacing w:line="240" w:lineRule="auto"/>
        <w:ind w:right="-2"/>
        <w:rPr>
          <w:del w:id="10751" w:author="AbbVie_HU_03" w:date="2025-05-14T16:39:00Z"/>
          <w:szCs w:val="22"/>
        </w:rPr>
      </w:pPr>
      <w:del w:id="10752" w:author="AbbVie_HU_03" w:date="2025-05-14T16:39:00Z">
        <w:r w:rsidRPr="00183B5F">
          <w:rPr>
            <w:szCs w:val="22"/>
          </w:rPr>
          <w:delText>opportunista fertőzések (ezek közé tartozik a tuberkulózis és más, olyan fertőzések, amelyek akkor alakulnak ki, amikor a betegségekkel szembeni ellenállóképesség lecsökken)</w:delText>
        </w:r>
        <w:r w:rsidR="00191B57" w:rsidRPr="00183B5F">
          <w:rPr>
            <w:szCs w:val="22"/>
          </w:rPr>
          <w:delText>;</w:delText>
        </w:r>
      </w:del>
    </w:p>
    <w:p w14:paraId="4779C2EF" w14:textId="10D84981" w:rsidR="00FB6710" w:rsidRPr="00183B5F" w:rsidRDefault="00943743" w:rsidP="004062FE">
      <w:pPr>
        <w:numPr>
          <w:ilvl w:val="0"/>
          <w:numId w:val="55"/>
        </w:numPr>
        <w:tabs>
          <w:tab w:val="clear" w:pos="567"/>
          <w:tab w:val="left" w:pos="562"/>
        </w:tabs>
        <w:spacing w:line="240" w:lineRule="auto"/>
        <w:ind w:right="-2"/>
        <w:rPr>
          <w:del w:id="10753" w:author="AbbVie_HU_03" w:date="2025-05-14T16:39:00Z"/>
          <w:szCs w:val="22"/>
        </w:rPr>
      </w:pPr>
      <w:del w:id="10754" w:author="AbbVie_HU_03" w:date="2025-05-14T16:39:00Z">
        <w:r w:rsidRPr="00183B5F">
          <w:rPr>
            <w:szCs w:val="22"/>
          </w:rPr>
          <w:delText>ideggyógyászati eredetű fertőzések (beleértve a vírusos eredetű agyhártyagyulladást is)</w:delText>
        </w:r>
        <w:r w:rsidR="00191B57" w:rsidRPr="00183B5F">
          <w:rPr>
            <w:szCs w:val="22"/>
          </w:rPr>
          <w:delText>;</w:delText>
        </w:r>
      </w:del>
    </w:p>
    <w:p w14:paraId="25381335" w14:textId="10F299A6" w:rsidR="00FB6710" w:rsidRPr="00183B5F" w:rsidRDefault="00943743" w:rsidP="004062FE">
      <w:pPr>
        <w:numPr>
          <w:ilvl w:val="0"/>
          <w:numId w:val="55"/>
        </w:numPr>
        <w:spacing w:line="240" w:lineRule="auto"/>
        <w:ind w:right="-2"/>
        <w:rPr>
          <w:del w:id="10755" w:author="AbbVie_HU_03" w:date="2025-05-14T16:39:00Z"/>
        </w:rPr>
      </w:pPr>
      <w:del w:id="10756" w:author="AbbVie_HU_03" w:date="2025-05-14T16:39:00Z">
        <w:r w:rsidRPr="00183B5F">
          <w:delText>szemfertőzések</w:delText>
        </w:r>
        <w:r w:rsidR="00191B57" w:rsidRPr="00183B5F">
          <w:delText>;</w:delText>
        </w:r>
      </w:del>
    </w:p>
    <w:p w14:paraId="73459D8F" w14:textId="522AE736" w:rsidR="00FB6710" w:rsidRPr="00183B5F" w:rsidRDefault="00943743" w:rsidP="004062FE">
      <w:pPr>
        <w:numPr>
          <w:ilvl w:val="0"/>
          <w:numId w:val="55"/>
        </w:numPr>
        <w:spacing w:line="240" w:lineRule="auto"/>
        <w:ind w:right="-2"/>
        <w:rPr>
          <w:del w:id="10757" w:author="AbbVie_HU_03" w:date="2025-05-14T16:39:00Z"/>
        </w:rPr>
      </w:pPr>
      <w:del w:id="10758" w:author="AbbVie_HU_03" w:date="2025-05-14T16:39:00Z">
        <w:r w:rsidRPr="00183B5F">
          <w:delText>baktériumok okozta fertőzések</w:delText>
        </w:r>
        <w:r w:rsidR="00191B57" w:rsidRPr="00183B5F">
          <w:delText>;</w:delText>
        </w:r>
      </w:del>
    </w:p>
    <w:p w14:paraId="50BA77D3" w14:textId="220DBB30" w:rsidR="007C3FEE" w:rsidRPr="00183B5F" w:rsidRDefault="00943743" w:rsidP="004062FE">
      <w:pPr>
        <w:numPr>
          <w:ilvl w:val="0"/>
          <w:numId w:val="55"/>
        </w:numPr>
        <w:spacing w:line="240" w:lineRule="auto"/>
        <w:ind w:right="-2"/>
        <w:rPr>
          <w:del w:id="10759" w:author="AbbVie_HU_03" w:date="2025-05-14T16:39:00Z"/>
        </w:rPr>
      </w:pPr>
      <w:del w:id="10760" w:author="AbbVie_HU_03" w:date="2025-05-14T16:39:00Z">
        <w:r w:rsidRPr="00183B5F">
          <w:delText>divertikulitisz (vastagbélgyulladás és -fertőzés)</w:delText>
        </w:r>
        <w:r w:rsidR="00191B57" w:rsidRPr="00183B5F">
          <w:delText>;</w:delText>
        </w:r>
      </w:del>
    </w:p>
    <w:p w14:paraId="1C93C3AE" w14:textId="66B28FC1" w:rsidR="00FB6710" w:rsidRPr="00183B5F" w:rsidRDefault="00943743" w:rsidP="004062FE">
      <w:pPr>
        <w:numPr>
          <w:ilvl w:val="0"/>
          <w:numId w:val="55"/>
        </w:numPr>
        <w:spacing w:line="240" w:lineRule="auto"/>
        <w:ind w:right="-2"/>
        <w:rPr>
          <w:del w:id="10761" w:author="AbbVie_HU_03" w:date="2025-05-14T16:39:00Z"/>
        </w:rPr>
      </w:pPr>
      <w:del w:id="10762" w:author="AbbVie_HU_03" w:date="2025-05-14T16:39:00Z">
        <w:r w:rsidRPr="00183B5F">
          <w:delText>rák</w:delText>
        </w:r>
        <w:r w:rsidR="00191B57" w:rsidRPr="00183B5F">
          <w:delText>;</w:delText>
        </w:r>
      </w:del>
    </w:p>
    <w:p w14:paraId="6BC69E82" w14:textId="1664CA1F" w:rsidR="00FB6710" w:rsidRPr="00183B5F" w:rsidRDefault="00943743" w:rsidP="004062FE">
      <w:pPr>
        <w:numPr>
          <w:ilvl w:val="0"/>
          <w:numId w:val="55"/>
        </w:numPr>
        <w:spacing w:line="240" w:lineRule="auto"/>
        <w:ind w:right="-2"/>
        <w:rPr>
          <w:del w:id="10763" w:author="AbbVie_HU_03" w:date="2025-05-14T16:39:00Z"/>
        </w:rPr>
      </w:pPr>
      <w:del w:id="10764" w:author="AbbVie_HU_03" w:date="2025-05-14T16:39:00Z">
        <w:r w:rsidRPr="00183B5F">
          <w:delText>rák, amely a nyirokrendszert támadja meg</w:delText>
        </w:r>
        <w:r w:rsidR="00191B57" w:rsidRPr="00183B5F">
          <w:delText>;</w:delText>
        </w:r>
      </w:del>
    </w:p>
    <w:p w14:paraId="3DBBD930" w14:textId="0DA1BF48" w:rsidR="00FB6710" w:rsidRPr="00183B5F" w:rsidRDefault="00943743" w:rsidP="004062FE">
      <w:pPr>
        <w:numPr>
          <w:ilvl w:val="0"/>
          <w:numId w:val="55"/>
        </w:numPr>
        <w:spacing w:line="240" w:lineRule="auto"/>
        <w:ind w:right="-2"/>
        <w:rPr>
          <w:del w:id="10765" w:author="AbbVie_HU_03" w:date="2025-05-14T16:39:00Z"/>
        </w:rPr>
      </w:pPr>
      <w:del w:id="10766" w:author="AbbVie_HU_03" w:date="2025-05-14T16:39:00Z">
        <w:r w:rsidRPr="00183B5F">
          <w:delText>melan</w:delText>
        </w:r>
        <w:r w:rsidR="0023653B" w:rsidRPr="00183B5F">
          <w:delText>ó</w:delText>
        </w:r>
        <w:r w:rsidRPr="00183B5F">
          <w:delText>ma</w:delText>
        </w:r>
        <w:r w:rsidR="00191B57" w:rsidRPr="00183B5F">
          <w:delText>;</w:delText>
        </w:r>
      </w:del>
    </w:p>
    <w:p w14:paraId="6A87D8EE" w14:textId="0F02EED9" w:rsidR="007C3FEE" w:rsidRPr="00183B5F" w:rsidRDefault="00943743" w:rsidP="004062FE">
      <w:pPr>
        <w:numPr>
          <w:ilvl w:val="0"/>
          <w:numId w:val="55"/>
        </w:numPr>
        <w:spacing w:line="240" w:lineRule="auto"/>
        <w:ind w:right="-2"/>
        <w:rPr>
          <w:del w:id="10767" w:author="AbbVie_HU_03" w:date="2025-05-14T16:39:00Z"/>
        </w:rPr>
      </w:pPr>
      <w:del w:id="10768" w:author="AbbVie_HU_03" w:date="2025-05-14T16:39:00Z">
        <w:r w:rsidRPr="00183B5F">
          <w:delText>a szervezet védekezőrendszerének betegségei, amelyek érinthetik a tüdőt, a bőrt és a nyirokcsomókat (leggyakrabban szarkoidózisként jelentkezik)</w:delText>
        </w:r>
        <w:r w:rsidR="00191B57" w:rsidRPr="00183B5F">
          <w:delText>;</w:delText>
        </w:r>
      </w:del>
    </w:p>
    <w:p w14:paraId="789A2223" w14:textId="4127AB32" w:rsidR="00274457" w:rsidRPr="00183B5F" w:rsidRDefault="00943743" w:rsidP="004062FE">
      <w:pPr>
        <w:numPr>
          <w:ilvl w:val="0"/>
          <w:numId w:val="55"/>
        </w:numPr>
        <w:spacing w:line="240" w:lineRule="auto"/>
        <w:ind w:right="-2"/>
        <w:rPr>
          <w:del w:id="10769" w:author="AbbVie_HU_03" w:date="2025-05-14T16:39:00Z"/>
        </w:rPr>
      </w:pPr>
      <w:del w:id="10770" w:author="AbbVie_HU_03" w:date="2025-05-14T16:39:00Z">
        <w:r w:rsidRPr="00183B5F">
          <w:delText>vaszkulitisz (</w:delText>
        </w:r>
        <w:r w:rsidR="00B93C3C" w:rsidRPr="00183B5F">
          <w:delText>ér</w:delText>
        </w:r>
        <w:r w:rsidRPr="00183B5F">
          <w:delText>gyulladás)</w:delText>
        </w:r>
        <w:r w:rsidR="00191B57" w:rsidRPr="00183B5F">
          <w:delText>;</w:delText>
        </w:r>
      </w:del>
    </w:p>
    <w:p w14:paraId="4C1C8656" w14:textId="75E4D0E9" w:rsidR="00FB6710" w:rsidRPr="00183B5F" w:rsidRDefault="00943743" w:rsidP="004062FE">
      <w:pPr>
        <w:numPr>
          <w:ilvl w:val="0"/>
          <w:numId w:val="55"/>
        </w:numPr>
        <w:spacing w:line="240" w:lineRule="auto"/>
        <w:ind w:right="-2"/>
        <w:rPr>
          <w:del w:id="10771" w:author="AbbVie_HU_03" w:date="2025-05-14T16:39:00Z"/>
        </w:rPr>
      </w:pPr>
      <w:del w:id="10772" w:author="AbbVie_HU_03" w:date="2025-05-14T16:39:00Z">
        <w:r w:rsidRPr="00183B5F">
          <w:delText>remegés</w:delText>
        </w:r>
        <w:r w:rsidR="00191B57" w:rsidRPr="00183B5F">
          <w:delText>;</w:delText>
        </w:r>
      </w:del>
    </w:p>
    <w:p w14:paraId="7D5A6130" w14:textId="6E8E0F34" w:rsidR="007C3FEE" w:rsidRPr="00183B5F" w:rsidRDefault="00943743" w:rsidP="004062FE">
      <w:pPr>
        <w:numPr>
          <w:ilvl w:val="0"/>
          <w:numId w:val="55"/>
        </w:numPr>
        <w:spacing w:line="240" w:lineRule="auto"/>
        <w:ind w:right="-2"/>
        <w:rPr>
          <w:del w:id="10773" w:author="AbbVie_HU_03" w:date="2025-05-14T16:39:00Z"/>
        </w:rPr>
      </w:pPr>
      <w:del w:id="10774" w:author="AbbVie_HU_03" w:date="2025-05-14T16:39:00Z">
        <w:r w:rsidRPr="00183B5F">
          <w:delText>szélütés</w:delText>
        </w:r>
        <w:r w:rsidR="00191B57" w:rsidRPr="00183B5F">
          <w:delText>;</w:delText>
        </w:r>
      </w:del>
    </w:p>
    <w:p w14:paraId="0F4F6760" w14:textId="3A683E07" w:rsidR="004D0C2A" w:rsidRPr="00183B5F" w:rsidRDefault="00943743" w:rsidP="004062FE">
      <w:pPr>
        <w:numPr>
          <w:ilvl w:val="0"/>
          <w:numId w:val="55"/>
        </w:numPr>
        <w:spacing w:line="240" w:lineRule="auto"/>
        <w:ind w:right="-2"/>
        <w:rPr>
          <w:del w:id="10775" w:author="AbbVie_HU_03" w:date="2025-05-14T16:39:00Z"/>
        </w:rPr>
      </w:pPr>
      <w:del w:id="10776" w:author="AbbVie_HU_03" w:date="2025-05-14T16:39:00Z">
        <w:r w:rsidRPr="00183B5F">
          <w:delText>idegek károsodása</w:delText>
        </w:r>
        <w:r w:rsidR="00191B57" w:rsidRPr="00183B5F">
          <w:delText>;</w:delText>
        </w:r>
      </w:del>
    </w:p>
    <w:p w14:paraId="743D87F1" w14:textId="3F28DCF8" w:rsidR="00FB6710" w:rsidRPr="00183B5F" w:rsidRDefault="00943743" w:rsidP="004062FE">
      <w:pPr>
        <w:numPr>
          <w:ilvl w:val="0"/>
          <w:numId w:val="55"/>
        </w:numPr>
        <w:spacing w:line="240" w:lineRule="auto"/>
        <w:ind w:right="-2"/>
        <w:rPr>
          <w:del w:id="10777" w:author="AbbVie_HU_03" w:date="2025-05-14T16:39:00Z"/>
        </w:rPr>
      </w:pPr>
      <w:del w:id="10778" w:author="AbbVie_HU_03" w:date="2025-05-14T16:39:00Z">
        <w:r w:rsidRPr="00183B5F">
          <w:delText>halláscsökkenés, fülzúgás</w:delText>
        </w:r>
        <w:r w:rsidR="00191B57" w:rsidRPr="00183B5F">
          <w:delText>;</w:delText>
        </w:r>
      </w:del>
    </w:p>
    <w:p w14:paraId="77951FFC" w14:textId="27B42740" w:rsidR="00FB6710" w:rsidRPr="00183B5F" w:rsidRDefault="00943743" w:rsidP="004062FE">
      <w:pPr>
        <w:numPr>
          <w:ilvl w:val="0"/>
          <w:numId w:val="55"/>
        </w:numPr>
        <w:spacing w:line="240" w:lineRule="auto"/>
        <w:ind w:right="-2"/>
        <w:rPr>
          <w:del w:id="10779" w:author="AbbVie_HU_03" w:date="2025-05-14T16:39:00Z"/>
        </w:rPr>
      </w:pPr>
      <w:del w:id="10780" w:author="AbbVie_HU_03" w:date="2025-05-14T16:39:00Z">
        <w:r w:rsidRPr="00183B5F">
          <w:delText>szabálytalan szívverés érzése, mint például kimaradó szívverés</w:delText>
        </w:r>
        <w:r w:rsidR="00191B57" w:rsidRPr="00183B5F">
          <w:delText>;</w:delText>
        </w:r>
      </w:del>
    </w:p>
    <w:p w14:paraId="2EF8F511" w14:textId="527D288E" w:rsidR="00FB6710" w:rsidRPr="00183B5F" w:rsidRDefault="00943743" w:rsidP="004062FE">
      <w:pPr>
        <w:numPr>
          <w:ilvl w:val="0"/>
          <w:numId w:val="55"/>
        </w:numPr>
        <w:spacing w:line="240" w:lineRule="auto"/>
        <w:ind w:right="-2"/>
        <w:rPr>
          <w:del w:id="10781" w:author="AbbVie_HU_03" w:date="2025-05-14T16:39:00Z"/>
        </w:rPr>
      </w:pPr>
      <w:del w:id="10782" w:author="AbbVie_HU_03" w:date="2025-05-14T16:39:00Z">
        <w:r w:rsidRPr="00183B5F">
          <w:delText>szívproblémák, amelyek például nehézlégzést vagy bokadagadást okozhatnak</w:delText>
        </w:r>
        <w:r w:rsidR="00191B57" w:rsidRPr="00183B5F">
          <w:delText>;</w:delText>
        </w:r>
      </w:del>
    </w:p>
    <w:p w14:paraId="1FDE6405" w14:textId="5A83148B" w:rsidR="007C3FEE" w:rsidRPr="00183B5F" w:rsidRDefault="00943743" w:rsidP="004062FE">
      <w:pPr>
        <w:numPr>
          <w:ilvl w:val="0"/>
          <w:numId w:val="55"/>
        </w:numPr>
        <w:spacing w:line="240" w:lineRule="auto"/>
        <w:ind w:right="-2"/>
        <w:rPr>
          <w:del w:id="10783" w:author="AbbVie_HU_03" w:date="2025-05-14T16:39:00Z"/>
        </w:rPr>
      </w:pPr>
      <w:del w:id="10784" w:author="AbbVie_HU_03" w:date="2025-05-14T16:39:00Z">
        <w:r w:rsidRPr="00183B5F">
          <w:delText>szívroham</w:delText>
        </w:r>
        <w:r w:rsidR="00191B57" w:rsidRPr="00183B5F">
          <w:delText>;</w:delText>
        </w:r>
      </w:del>
    </w:p>
    <w:p w14:paraId="31AFDB4D" w14:textId="797DC7CC" w:rsidR="004D0C2A" w:rsidRPr="00183B5F" w:rsidRDefault="00943743" w:rsidP="004062FE">
      <w:pPr>
        <w:numPr>
          <w:ilvl w:val="0"/>
          <w:numId w:val="55"/>
        </w:numPr>
        <w:spacing w:line="240" w:lineRule="auto"/>
        <w:ind w:right="-2"/>
        <w:rPr>
          <w:del w:id="10785" w:author="AbbVie_HU_03" w:date="2025-05-14T16:39:00Z"/>
        </w:rPr>
      </w:pPr>
      <w:del w:id="10786" w:author="AbbVie_HU_03" w:date="2025-05-14T16:39:00Z">
        <w:r w:rsidRPr="00183B5F">
          <w:rPr>
            <w:szCs w:val="22"/>
          </w:rPr>
          <w:delText xml:space="preserve">zsákszerű </w:delText>
        </w:r>
        <w:r w:rsidR="005D2CED" w:rsidRPr="00183B5F">
          <w:rPr>
            <w:szCs w:val="22"/>
          </w:rPr>
          <w:delText>kiöblösödés valamely nagy ütőér</w:delText>
        </w:r>
        <w:r w:rsidRPr="00183B5F">
          <w:rPr>
            <w:szCs w:val="22"/>
          </w:rPr>
          <w:delText xml:space="preserve"> falán</w:delText>
        </w:r>
        <w:r w:rsidR="005D2CED" w:rsidRPr="00183B5F">
          <w:rPr>
            <w:szCs w:val="22"/>
          </w:rPr>
          <w:delText>, gyulladás és vérrögképződés valamelyik vénában, érelzáródás</w:delText>
        </w:r>
        <w:r w:rsidR="00191B57" w:rsidRPr="00183B5F">
          <w:delText>;</w:delText>
        </w:r>
      </w:del>
    </w:p>
    <w:p w14:paraId="427CD763" w14:textId="708AADE7" w:rsidR="00FB6710" w:rsidRPr="00183B5F" w:rsidRDefault="00943743" w:rsidP="004062FE">
      <w:pPr>
        <w:numPr>
          <w:ilvl w:val="0"/>
          <w:numId w:val="55"/>
        </w:numPr>
        <w:spacing w:line="240" w:lineRule="auto"/>
        <w:ind w:right="-2"/>
        <w:rPr>
          <w:del w:id="10787" w:author="AbbVie_HU_03" w:date="2025-05-14T16:39:00Z"/>
        </w:rPr>
      </w:pPr>
      <w:del w:id="10788" w:author="AbbVie_HU_03" w:date="2025-05-14T16:39:00Z">
        <w:r w:rsidRPr="00183B5F">
          <w:delText>nehézlégzést okozó tüdőbetegségek (beleértve a gyulladást is)</w:delText>
        </w:r>
        <w:r w:rsidR="00191B57" w:rsidRPr="00183B5F">
          <w:delText>;</w:delText>
        </w:r>
      </w:del>
    </w:p>
    <w:p w14:paraId="4A5FD691" w14:textId="68C8E68D" w:rsidR="007C3FEE" w:rsidRPr="00183B5F" w:rsidRDefault="00943743" w:rsidP="004062FE">
      <w:pPr>
        <w:numPr>
          <w:ilvl w:val="0"/>
          <w:numId w:val="55"/>
        </w:numPr>
        <w:spacing w:line="240" w:lineRule="auto"/>
        <w:ind w:right="-2"/>
        <w:rPr>
          <w:del w:id="10789" w:author="AbbVie_HU_03" w:date="2025-05-14T16:39:00Z"/>
        </w:rPr>
      </w:pPr>
      <w:del w:id="10790" w:author="AbbVie_HU_03" w:date="2025-05-14T16:39:00Z">
        <w:r w:rsidRPr="00183B5F">
          <w:delText>tüdőembólia (a tüdőt ellátó ér elzáródása)</w:delText>
        </w:r>
        <w:r w:rsidR="00191B57" w:rsidRPr="00183B5F">
          <w:delText>;</w:delText>
        </w:r>
      </w:del>
    </w:p>
    <w:p w14:paraId="59B75E34" w14:textId="2D001539" w:rsidR="007C3FEE" w:rsidRPr="00183B5F" w:rsidRDefault="00943743" w:rsidP="004062FE">
      <w:pPr>
        <w:numPr>
          <w:ilvl w:val="0"/>
          <w:numId w:val="55"/>
        </w:numPr>
        <w:spacing w:line="240" w:lineRule="auto"/>
        <w:ind w:right="-2"/>
        <w:rPr>
          <w:del w:id="10791" w:author="AbbVie_HU_03" w:date="2025-05-14T16:39:00Z"/>
        </w:rPr>
      </w:pPr>
      <w:del w:id="10792" w:author="AbbVie_HU_03" w:date="2025-05-14T16:39:00Z">
        <w:r w:rsidRPr="00183B5F">
          <w:delText>pleurális folyadékgyülem (a mellhártyák között kóros folyadékgyülem)</w:delText>
        </w:r>
        <w:r w:rsidR="00191B57" w:rsidRPr="00183B5F">
          <w:delText>;</w:delText>
        </w:r>
      </w:del>
    </w:p>
    <w:p w14:paraId="6AA5CF73" w14:textId="3153E923" w:rsidR="00FB6710" w:rsidRPr="00183B5F" w:rsidRDefault="00943743" w:rsidP="004062FE">
      <w:pPr>
        <w:numPr>
          <w:ilvl w:val="0"/>
          <w:numId w:val="55"/>
        </w:numPr>
        <w:spacing w:line="240" w:lineRule="auto"/>
        <w:ind w:right="-2"/>
        <w:rPr>
          <w:del w:id="10793" w:author="AbbVie_HU_03" w:date="2025-05-14T16:39:00Z"/>
        </w:rPr>
      </w:pPr>
      <w:del w:id="10794" w:author="AbbVie_HU_03" w:date="2025-05-14T16:39:00Z">
        <w:r w:rsidRPr="00183B5F">
          <w:delText>hasnyálmirigy</w:delText>
        </w:r>
        <w:r w:rsidR="0023653B" w:rsidRPr="00183B5F">
          <w:noBreakHyphen/>
        </w:r>
        <w:r w:rsidRPr="00183B5F">
          <w:delText>gyulladás ami erős hasi fájdalmat és hátfájást okoz,</w:delText>
        </w:r>
        <w:r w:rsidR="00191B57" w:rsidRPr="00183B5F">
          <w:delText>;</w:delText>
        </w:r>
      </w:del>
    </w:p>
    <w:p w14:paraId="76145174" w14:textId="2A9AE97D" w:rsidR="00FB6710" w:rsidRPr="00183B5F" w:rsidRDefault="00943743" w:rsidP="004062FE">
      <w:pPr>
        <w:numPr>
          <w:ilvl w:val="0"/>
          <w:numId w:val="55"/>
        </w:numPr>
        <w:spacing w:line="240" w:lineRule="auto"/>
        <w:ind w:right="-2"/>
        <w:rPr>
          <w:del w:id="10795" w:author="AbbVie_HU_03" w:date="2025-05-14T16:39:00Z"/>
        </w:rPr>
      </w:pPr>
      <w:del w:id="10796" w:author="AbbVie_HU_03" w:date="2025-05-14T16:39:00Z">
        <w:r w:rsidRPr="00183B5F">
          <w:delText>nyelészavar</w:delText>
        </w:r>
        <w:r w:rsidR="00191B57" w:rsidRPr="00183B5F">
          <w:delText>;</w:delText>
        </w:r>
      </w:del>
    </w:p>
    <w:p w14:paraId="0485D7D0" w14:textId="0DAF5E22" w:rsidR="00FB6710" w:rsidRPr="00183B5F" w:rsidRDefault="00943743" w:rsidP="004062FE">
      <w:pPr>
        <w:numPr>
          <w:ilvl w:val="0"/>
          <w:numId w:val="55"/>
        </w:numPr>
        <w:spacing w:line="240" w:lineRule="auto"/>
        <w:ind w:right="-2"/>
        <w:rPr>
          <w:del w:id="10797" w:author="AbbVie_HU_03" w:date="2025-05-14T16:39:00Z"/>
        </w:rPr>
      </w:pPr>
      <w:del w:id="10798" w:author="AbbVie_HU_03" w:date="2025-05-14T16:39:00Z">
        <w:r w:rsidRPr="00183B5F">
          <w:delText>az arc feldagadása</w:delText>
        </w:r>
        <w:r w:rsidR="00191B57" w:rsidRPr="00183B5F">
          <w:delText>;</w:delText>
        </w:r>
      </w:del>
    </w:p>
    <w:p w14:paraId="1DB50607" w14:textId="157A545E" w:rsidR="00FB6710" w:rsidRPr="00183B5F" w:rsidRDefault="00943743" w:rsidP="004062FE">
      <w:pPr>
        <w:numPr>
          <w:ilvl w:val="0"/>
          <w:numId w:val="55"/>
        </w:numPr>
        <w:spacing w:line="240" w:lineRule="auto"/>
        <w:ind w:right="-2"/>
        <w:rPr>
          <w:del w:id="10799" w:author="AbbVie_HU_03" w:date="2025-05-14T16:39:00Z"/>
        </w:rPr>
      </w:pPr>
      <w:del w:id="10800" w:author="AbbVie_HU_03" w:date="2025-05-14T16:39:00Z">
        <w:r w:rsidRPr="00183B5F">
          <w:delText>epehólyaggyulladás, epekövesség</w:delText>
        </w:r>
        <w:r w:rsidR="00191B57" w:rsidRPr="00183B5F">
          <w:delText>;</w:delText>
        </w:r>
      </w:del>
    </w:p>
    <w:p w14:paraId="44B50E9D" w14:textId="3DB61880" w:rsidR="00FB6710" w:rsidRPr="00183B5F" w:rsidRDefault="00943743" w:rsidP="004062FE">
      <w:pPr>
        <w:numPr>
          <w:ilvl w:val="0"/>
          <w:numId w:val="55"/>
        </w:numPr>
        <w:spacing w:line="240" w:lineRule="auto"/>
        <w:ind w:right="-2"/>
        <w:rPr>
          <w:del w:id="10801" w:author="AbbVie_HU_03" w:date="2025-05-14T16:39:00Z"/>
        </w:rPr>
      </w:pPr>
      <w:del w:id="10802" w:author="AbbVie_HU_03" w:date="2025-05-14T16:39:00Z">
        <w:r w:rsidRPr="00183B5F">
          <w:delText>zsírmáj</w:delText>
        </w:r>
        <w:r w:rsidR="00191B57" w:rsidRPr="00183B5F">
          <w:delText>;</w:delText>
        </w:r>
      </w:del>
    </w:p>
    <w:p w14:paraId="70FE6F3B" w14:textId="7815269B" w:rsidR="00FB6710" w:rsidRPr="00183B5F" w:rsidRDefault="00943743" w:rsidP="004062FE">
      <w:pPr>
        <w:numPr>
          <w:ilvl w:val="0"/>
          <w:numId w:val="55"/>
        </w:numPr>
        <w:spacing w:line="240" w:lineRule="auto"/>
        <w:ind w:right="-2"/>
        <w:rPr>
          <w:del w:id="10803" w:author="AbbVie_HU_03" w:date="2025-05-14T16:39:00Z"/>
        </w:rPr>
      </w:pPr>
      <w:del w:id="10804" w:author="AbbVie_HU_03" w:date="2025-05-14T16:39:00Z">
        <w:r w:rsidRPr="00183B5F">
          <w:delText xml:space="preserve">éjszakai </w:delText>
        </w:r>
        <w:r w:rsidR="00794706" w:rsidRPr="00183B5F">
          <w:delText>i</w:delText>
        </w:r>
        <w:r w:rsidRPr="00183B5F">
          <w:delText>zzadás</w:delText>
        </w:r>
        <w:r w:rsidR="00191B57" w:rsidRPr="00183B5F">
          <w:delText>;</w:delText>
        </w:r>
      </w:del>
    </w:p>
    <w:p w14:paraId="6BFE0E3C" w14:textId="3D8621BA" w:rsidR="00FB6710" w:rsidRPr="00183B5F" w:rsidRDefault="00943743" w:rsidP="004062FE">
      <w:pPr>
        <w:numPr>
          <w:ilvl w:val="0"/>
          <w:numId w:val="55"/>
        </w:numPr>
        <w:spacing w:line="240" w:lineRule="auto"/>
        <w:ind w:right="-2"/>
        <w:rPr>
          <w:del w:id="10805" w:author="AbbVie_HU_03" w:date="2025-05-14T16:39:00Z"/>
        </w:rPr>
      </w:pPr>
      <w:del w:id="10806" w:author="AbbVie_HU_03" w:date="2025-05-14T16:39:00Z">
        <w:r w:rsidRPr="00183B5F">
          <w:delText>hegképződés</w:delText>
        </w:r>
        <w:r w:rsidR="00191B57" w:rsidRPr="00183B5F">
          <w:delText>;</w:delText>
        </w:r>
      </w:del>
    </w:p>
    <w:p w14:paraId="0C7511E8" w14:textId="11ABF8E8" w:rsidR="00FB6710" w:rsidRPr="00183B5F" w:rsidRDefault="00943743" w:rsidP="004062FE">
      <w:pPr>
        <w:numPr>
          <w:ilvl w:val="0"/>
          <w:numId w:val="55"/>
        </w:numPr>
        <w:spacing w:line="240" w:lineRule="auto"/>
        <w:ind w:right="-2"/>
        <w:rPr>
          <w:del w:id="10807" w:author="AbbVie_HU_03" w:date="2025-05-14T16:39:00Z"/>
        </w:rPr>
      </w:pPr>
      <w:del w:id="10808" w:author="AbbVie_HU_03" w:date="2025-05-14T16:39:00Z">
        <w:r w:rsidRPr="00183B5F">
          <w:delText>az izomszövet kóros szétesése</w:delText>
        </w:r>
        <w:r w:rsidR="00191B57" w:rsidRPr="00183B5F">
          <w:delText>;</w:delText>
        </w:r>
      </w:del>
    </w:p>
    <w:p w14:paraId="023C995F" w14:textId="20B3DE72" w:rsidR="004D0C2A" w:rsidRPr="00183B5F" w:rsidRDefault="00943743" w:rsidP="004062FE">
      <w:pPr>
        <w:numPr>
          <w:ilvl w:val="0"/>
          <w:numId w:val="55"/>
        </w:numPr>
        <w:spacing w:line="240" w:lineRule="auto"/>
        <w:ind w:right="-2"/>
        <w:rPr>
          <w:del w:id="10809" w:author="AbbVie_HU_03" w:date="2025-05-14T16:39:00Z"/>
        </w:rPr>
      </w:pPr>
      <w:del w:id="10810" w:author="AbbVie_HU_03" w:date="2025-05-14T16:39:00Z">
        <w:r w:rsidRPr="00183B5F">
          <w:rPr>
            <w:szCs w:val="22"/>
          </w:rPr>
          <w:delText>szisztémás lupusz eritematózusz (beleértve a bőr, a szív, a tüdő, az ízületek és más szervrendszerek gyulladását</w:delText>
        </w:r>
        <w:r w:rsidRPr="00183B5F">
          <w:delText>)</w:delText>
        </w:r>
        <w:r w:rsidR="00191B57" w:rsidRPr="00183B5F">
          <w:delText>;</w:delText>
        </w:r>
      </w:del>
    </w:p>
    <w:p w14:paraId="69D48BCE" w14:textId="56CFB547" w:rsidR="00FB6710" w:rsidRPr="00183B5F" w:rsidRDefault="00943743" w:rsidP="004062FE">
      <w:pPr>
        <w:numPr>
          <w:ilvl w:val="0"/>
          <w:numId w:val="55"/>
        </w:numPr>
        <w:spacing w:line="240" w:lineRule="auto"/>
        <w:ind w:right="-2"/>
        <w:rPr>
          <w:del w:id="10811" w:author="AbbVie_HU_03" w:date="2025-05-14T16:39:00Z"/>
        </w:rPr>
      </w:pPr>
      <w:del w:id="10812" w:author="AbbVie_HU_03" w:date="2025-05-14T16:39:00Z">
        <w:r w:rsidRPr="00183B5F">
          <w:delText>az alvás megszakadása</w:delText>
        </w:r>
        <w:r w:rsidR="00191B57" w:rsidRPr="00183B5F">
          <w:delText>;</w:delText>
        </w:r>
      </w:del>
    </w:p>
    <w:p w14:paraId="1A0443D1" w14:textId="43A019CD" w:rsidR="00FB6710" w:rsidRPr="00183B5F" w:rsidRDefault="00943743" w:rsidP="004062FE">
      <w:pPr>
        <w:numPr>
          <w:ilvl w:val="0"/>
          <w:numId w:val="55"/>
        </w:numPr>
        <w:spacing w:line="240" w:lineRule="auto"/>
        <w:ind w:right="-2"/>
        <w:rPr>
          <w:del w:id="10813" w:author="AbbVie_HU_03" w:date="2025-05-14T16:39:00Z"/>
        </w:rPr>
      </w:pPr>
      <w:del w:id="10814" w:author="AbbVie_HU_03" w:date="2025-05-14T16:39:00Z">
        <w:r w:rsidRPr="00183B5F">
          <w:delText>merevedési zavar</w:delText>
        </w:r>
        <w:r w:rsidR="00191B57" w:rsidRPr="00183B5F">
          <w:delText>;</w:delText>
        </w:r>
      </w:del>
    </w:p>
    <w:p w14:paraId="30AA7B93" w14:textId="646DF1F9" w:rsidR="00FB6710" w:rsidRPr="00183B5F" w:rsidRDefault="00943743" w:rsidP="004062FE">
      <w:pPr>
        <w:numPr>
          <w:ilvl w:val="0"/>
          <w:numId w:val="55"/>
        </w:numPr>
        <w:tabs>
          <w:tab w:val="num" w:pos="1820"/>
        </w:tabs>
        <w:spacing w:line="240" w:lineRule="auto"/>
        <w:ind w:right="-2"/>
        <w:rPr>
          <w:del w:id="10815" w:author="AbbVie_HU_03" w:date="2025-05-14T16:39:00Z"/>
        </w:rPr>
      </w:pPr>
      <w:del w:id="10816" w:author="AbbVie_HU_03" w:date="2025-05-14T16:39:00Z">
        <w:r w:rsidRPr="00183B5F">
          <w:delText>gyulladások.</w:delText>
        </w:r>
      </w:del>
    </w:p>
    <w:p w14:paraId="1753774B" w14:textId="68E8CC46" w:rsidR="00FB6710" w:rsidRPr="00183B5F" w:rsidRDefault="00FB6710" w:rsidP="004062FE">
      <w:pPr>
        <w:spacing w:line="240" w:lineRule="auto"/>
        <w:ind w:right="-2"/>
        <w:rPr>
          <w:del w:id="10817" w:author="AbbVie_HU_03" w:date="2025-05-14T16:39:00Z"/>
          <w:szCs w:val="22"/>
        </w:rPr>
      </w:pPr>
    </w:p>
    <w:p w14:paraId="78143742" w14:textId="38C89510" w:rsidR="00FB6710" w:rsidRPr="00183B5F" w:rsidRDefault="00943743" w:rsidP="002D49EE">
      <w:pPr>
        <w:keepNext/>
        <w:spacing w:line="240" w:lineRule="auto"/>
        <w:ind w:right="-2"/>
        <w:rPr>
          <w:del w:id="10818" w:author="AbbVie_HU_03" w:date="2025-05-14T16:39:00Z"/>
          <w:szCs w:val="22"/>
        </w:rPr>
      </w:pPr>
      <w:del w:id="10819" w:author="AbbVie_HU_03" w:date="2025-05-14T16:39:00Z">
        <w:r w:rsidRPr="00183B5F">
          <w:rPr>
            <w:szCs w:val="22"/>
          </w:rPr>
          <w:delText>Ritka (1000</w:delText>
        </w:r>
        <w:r w:rsidR="002A2571" w:rsidRPr="00183B5F">
          <w:rPr>
            <w:szCs w:val="22"/>
          </w:rPr>
          <w:delText> </w:delText>
        </w:r>
        <w:r w:rsidR="00AA2A56" w:rsidRPr="00183B5F">
          <w:rPr>
            <w:szCs w:val="22"/>
          </w:rPr>
          <w:delText>beteg</w:delText>
        </w:r>
        <w:r w:rsidR="00DD74A1" w:rsidRPr="00183B5F">
          <w:rPr>
            <w:szCs w:val="22"/>
          </w:rPr>
          <w:delText xml:space="preserve"> </w:delText>
        </w:r>
        <w:r w:rsidRPr="00183B5F">
          <w:rPr>
            <w:szCs w:val="22"/>
          </w:rPr>
          <w:delText xml:space="preserve">közül </w:delText>
        </w:r>
        <w:r w:rsidR="00DD74A1" w:rsidRPr="00183B5F">
          <w:rPr>
            <w:szCs w:val="22"/>
          </w:rPr>
          <w:delText>legfeljebb</w:delText>
        </w:r>
        <w:r w:rsidRPr="00183B5F">
          <w:rPr>
            <w:szCs w:val="22"/>
          </w:rPr>
          <w:delText xml:space="preserve"> 1</w:delText>
        </w:r>
        <w:r w:rsidR="00DD74A1" w:rsidRPr="00183B5F">
          <w:rPr>
            <w:szCs w:val="22"/>
          </w:rPr>
          <w:delText>-nél</w:delText>
        </w:r>
        <w:r w:rsidR="00A46C5A" w:rsidRPr="00183B5F">
          <w:rPr>
            <w:szCs w:val="22"/>
          </w:rPr>
          <w:delText xml:space="preserve"> </w:delText>
        </w:r>
        <w:r w:rsidRPr="00183B5F">
          <w:rPr>
            <w:szCs w:val="22"/>
          </w:rPr>
          <w:delText>kialakuló)</w:delText>
        </w:r>
      </w:del>
    </w:p>
    <w:p w14:paraId="3A98D5F7" w14:textId="020B6214" w:rsidR="00191B57" w:rsidRPr="00183B5F" w:rsidRDefault="00191B57" w:rsidP="002D49EE">
      <w:pPr>
        <w:keepNext/>
        <w:spacing w:line="240" w:lineRule="auto"/>
        <w:ind w:right="-2"/>
        <w:rPr>
          <w:del w:id="10820" w:author="AbbVie_HU_03" w:date="2025-05-14T16:39:00Z"/>
          <w:szCs w:val="22"/>
        </w:rPr>
      </w:pPr>
    </w:p>
    <w:p w14:paraId="1455294B" w14:textId="4F55EE19" w:rsidR="007C3FEE" w:rsidRPr="00183B5F" w:rsidRDefault="00943743" w:rsidP="002D49EE">
      <w:pPr>
        <w:keepNext/>
        <w:numPr>
          <w:ilvl w:val="0"/>
          <w:numId w:val="56"/>
        </w:numPr>
        <w:spacing w:line="240" w:lineRule="auto"/>
        <w:ind w:right="-2"/>
        <w:rPr>
          <w:del w:id="10821" w:author="AbbVie_HU_03" w:date="2025-05-14T16:39:00Z"/>
          <w:szCs w:val="22"/>
        </w:rPr>
      </w:pPr>
      <w:del w:id="10822" w:author="AbbVie_HU_03" w:date="2025-05-14T16:39:00Z">
        <w:r w:rsidRPr="00183B5F">
          <w:rPr>
            <w:szCs w:val="22"/>
          </w:rPr>
          <w:delText>leukémia (</w:delText>
        </w:r>
        <w:r w:rsidR="00FF33B2" w:rsidRPr="00183B5F">
          <w:rPr>
            <w:szCs w:val="22"/>
          </w:rPr>
          <w:delText xml:space="preserve">fehérvérűség, </w:delText>
        </w:r>
        <w:r w:rsidRPr="00183B5F">
          <w:rPr>
            <w:szCs w:val="22"/>
          </w:rPr>
          <w:delText>a</w:delText>
        </w:r>
        <w:r w:rsidR="008428A1" w:rsidRPr="00183B5F">
          <w:rPr>
            <w:szCs w:val="22"/>
          </w:rPr>
          <w:delText xml:space="preserve"> vérképző rendszer daganata, ami a csontvelőt érinti</w:delText>
        </w:r>
        <w:r w:rsidR="004E04BF" w:rsidRPr="00183B5F">
          <w:rPr>
            <w:szCs w:val="22"/>
          </w:rPr>
          <w:delText>)</w:delText>
        </w:r>
        <w:r w:rsidR="00191B57" w:rsidRPr="00183B5F">
          <w:rPr>
            <w:szCs w:val="22"/>
          </w:rPr>
          <w:delText>;</w:delText>
        </w:r>
      </w:del>
    </w:p>
    <w:p w14:paraId="221DDD71" w14:textId="41E83804" w:rsidR="004E04BF" w:rsidRPr="00183B5F" w:rsidRDefault="00943743" w:rsidP="004062FE">
      <w:pPr>
        <w:numPr>
          <w:ilvl w:val="0"/>
          <w:numId w:val="56"/>
        </w:numPr>
        <w:spacing w:line="240" w:lineRule="auto"/>
        <w:ind w:right="-2"/>
        <w:rPr>
          <w:del w:id="10823" w:author="AbbVie_HU_03" w:date="2025-05-14T16:39:00Z"/>
          <w:szCs w:val="22"/>
        </w:rPr>
      </w:pPr>
      <w:del w:id="10824" w:author="AbbVie_HU_03" w:date="2025-05-14T16:39:00Z">
        <w:r w:rsidRPr="00183B5F">
          <w:rPr>
            <w:szCs w:val="22"/>
          </w:rPr>
          <w:delText>súlyos, sokkot okozó allergiás reakció</w:delText>
        </w:r>
        <w:r w:rsidR="00191B57" w:rsidRPr="00183B5F">
          <w:rPr>
            <w:szCs w:val="22"/>
          </w:rPr>
          <w:delText>;</w:delText>
        </w:r>
      </w:del>
    </w:p>
    <w:p w14:paraId="6EC4FE8E" w14:textId="6E6103EE" w:rsidR="00FB6710" w:rsidRPr="00183B5F" w:rsidRDefault="00943743" w:rsidP="004062FE">
      <w:pPr>
        <w:numPr>
          <w:ilvl w:val="0"/>
          <w:numId w:val="56"/>
        </w:numPr>
        <w:spacing w:line="240" w:lineRule="auto"/>
        <w:ind w:right="-2"/>
        <w:rPr>
          <w:del w:id="10825" w:author="AbbVie_HU_03" w:date="2025-05-14T16:39:00Z"/>
          <w:szCs w:val="22"/>
        </w:rPr>
      </w:pPr>
      <w:del w:id="10826" w:author="AbbVie_HU_03" w:date="2025-05-14T16:39:00Z">
        <w:r w:rsidRPr="00183B5F">
          <w:rPr>
            <w:szCs w:val="22"/>
          </w:rPr>
          <w:delText>szklerózis multiplex</w:delText>
        </w:r>
        <w:r w:rsidR="00191B57" w:rsidRPr="00183B5F">
          <w:rPr>
            <w:szCs w:val="22"/>
          </w:rPr>
          <w:delText>;</w:delText>
        </w:r>
      </w:del>
    </w:p>
    <w:p w14:paraId="16668ADE" w14:textId="65FA0669" w:rsidR="004E04BF" w:rsidRPr="00183B5F" w:rsidRDefault="00943743" w:rsidP="004062FE">
      <w:pPr>
        <w:numPr>
          <w:ilvl w:val="0"/>
          <w:numId w:val="56"/>
        </w:numPr>
        <w:spacing w:line="240" w:lineRule="auto"/>
        <w:ind w:right="-2"/>
        <w:rPr>
          <w:del w:id="10827" w:author="AbbVie_HU_03" w:date="2025-05-14T16:39:00Z"/>
          <w:szCs w:val="22"/>
        </w:rPr>
      </w:pPr>
      <w:del w:id="10828" w:author="AbbVie_HU_03" w:date="2025-05-14T16:39:00Z">
        <w:r w:rsidRPr="00183B5F">
          <w:rPr>
            <w:szCs w:val="22"/>
          </w:rPr>
          <w:delText>ideggyógyászati betegségek (</w:delText>
        </w:r>
        <w:r w:rsidR="00F15477" w:rsidRPr="00183B5F">
          <w:rPr>
            <w:bCs/>
            <w:szCs w:val="22"/>
          </w:rPr>
          <w:delText>például</w:delText>
        </w:r>
        <w:r w:rsidRPr="00183B5F">
          <w:rPr>
            <w:szCs w:val="22"/>
          </w:rPr>
          <w:delText xml:space="preserve"> a látóideg gyulladása vagy Guilla</w:delText>
        </w:r>
        <w:r w:rsidR="00C366EC" w:rsidRPr="00183B5F">
          <w:rPr>
            <w:szCs w:val="22"/>
          </w:rPr>
          <w:delText>i</w:delText>
        </w:r>
        <w:r w:rsidRPr="00183B5F">
          <w:rPr>
            <w:szCs w:val="22"/>
          </w:rPr>
          <w:delText>n</w:delText>
        </w:r>
        <w:r w:rsidR="00F12F0A" w:rsidRPr="00183B5F">
          <w:rPr>
            <w:szCs w:val="22"/>
          </w:rPr>
          <w:delText>–</w:delText>
        </w:r>
        <w:r w:rsidRPr="00183B5F">
          <w:rPr>
            <w:szCs w:val="22"/>
          </w:rPr>
          <w:delText xml:space="preserve">Barré-szindróma, ami izomgyengeséget, érzészavart, a karok és a </w:delText>
        </w:r>
        <w:r w:rsidR="00722F59" w:rsidRPr="00183B5F">
          <w:rPr>
            <w:szCs w:val="22"/>
          </w:rPr>
          <w:delText>felsőtest</w:delText>
        </w:r>
        <w:r w:rsidRPr="00183B5F">
          <w:rPr>
            <w:szCs w:val="22"/>
          </w:rPr>
          <w:delText xml:space="preserve"> zsibbadását okozhatja)</w:delText>
        </w:r>
        <w:r w:rsidR="00191B57" w:rsidRPr="00183B5F">
          <w:rPr>
            <w:szCs w:val="22"/>
          </w:rPr>
          <w:delText>;</w:delText>
        </w:r>
      </w:del>
    </w:p>
    <w:p w14:paraId="76EA3518" w14:textId="185EB511" w:rsidR="00FB6710" w:rsidRPr="00183B5F" w:rsidRDefault="00943743" w:rsidP="004062FE">
      <w:pPr>
        <w:numPr>
          <w:ilvl w:val="0"/>
          <w:numId w:val="56"/>
        </w:numPr>
        <w:spacing w:line="240" w:lineRule="auto"/>
        <w:ind w:right="-2"/>
        <w:rPr>
          <w:del w:id="10829" w:author="AbbVie_HU_03" w:date="2025-05-14T16:39:00Z"/>
          <w:szCs w:val="22"/>
        </w:rPr>
      </w:pPr>
      <w:del w:id="10830" w:author="AbbVie_HU_03" w:date="2025-05-14T16:39:00Z">
        <w:r w:rsidRPr="00183B5F">
          <w:rPr>
            <w:szCs w:val="22"/>
          </w:rPr>
          <w:delText>szívleállás</w:delText>
        </w:r>
        <w:r w:rsidR="00191B57" w:rsidRPr="00183B5F">
          <w:rPr>
            <w:szCs w:val="22"/>
          </w:rPr>
          <w:delText>;</w:delText>
        </w:r>
      </w:del>
    </w:p>
    <w:p w14:paraId="1203E0BE" w14:textId="4F9B3963" w:rsidR="004E04BF" w:rsidRPr="00183B5F" w:rsidRDefault="00943743">
      <w:pPr>
        <w:pStyle w:val="EMEABullet2"/>
        <w:tabs>
          <w:tab w:val="clear" w:pos="720"/>
          <w:tab w:val="num" w:pos="690"/>
        </w:tabs>
        <w:ind w:left="550" w:hanging="550"/>
        <w:rPr>
          <w:del w:id="10831" w:author="AbbVie_HU_03" w:date="2025-05-14T16:39:00Z"/>
          <w:lang w:val="hu-HU"/>
        </w:rPr>
      </w:pPr>
      <w:del w:id="10832" w:author="AbbVie_HU_03" w:date="2025-05-14T16:39:00Z">
        <w:r w:rsidRPr="00183B5F">
          <w:rPr>
            <w:lang w:val="hu-HU"/>
          </w:rPr>
          <w:delText>tüdőfibrózis (tüdő</w:delText>
        </w:r>
        <w:r w:rsidR="00FF33B2" w:rsidRPr="00183B5F">
          <w:rPr>
            <w:lang w:val="hu-HU"/>
          </w:rPr>
          <w:delText xml:space="preserve">szövet </w:delText>
        </w:r>
        <w:r w:rsidRPr="00183B5F">
          <w:rPr>
            <w:lang w:val="hu-HU"/>
          </w:rPr>
          <w:delText>hegesedés)</w:delText>
        </w:r>
        <w:r w:rsidR="00191B57" w:rsidRPr="00183B5F">
          <w:rPr>
            <w:lang w:val="hu-HU"/>
          </w:rPr>
          <w:delText>;</w:delText>
        </w:r>
      </w:del>
    </w:p>
    <w:p w14:paraId="39D198CA" w14:textId="7DCC1691" w:rsidR="004E04BF" w:rsidRPr="00183B5F" w:rsidRDefault="00943743">
      <w:pPr>
        <w:pStyle w:val="EMEABullet2"/>
        <w:tabs>
          <w:tab w:val="clear" w:pos="720"/>
          <w:tab w:val="num" w:pos="690"/>
        </w:tabs>
        <w:ind w:left="550" w:hanging="550"/>
        <w:rPr>
          <w:del w:id="10833" w:author="AbbVie_HU_03" w:date="2025-05-14T16:39:00Z"/>
          <w:lang w:val="hu-HU"/>
        </w:rPr>
      </w:pPr>
      <w:del w:id="10834" w:author="AbbVie_HU_03" w:date="2025-05-14T16:39:00Z">
        <w:r w:rsidRPr="00183B5F">
          <w:rPr>
            <w:lang w:val="hu-HU"/>
          </w:rPr>
          <w:delText>bél átlyukadása</w:delText>
        </w:r>
        <w:r w:rsidR="00191B57" w:rsidRPr="00183B5F">
          <w:rPr>
            <w:lang w:val="hu-HU"/>
          </w:rPr>
          <w:delText>;</w:delText>
        </w:r>
      </w:del>
    </w:p>
    <w:p w14:paraId="38DF46F7" w14:textId="0F601B21" w:rsidR="00DD74A1" w:rsidRPr="00183B5F" w:rsidRDefault="00943743">
      <w:pPr>
        <w:pStyle w:val="EMEABullet2"/>
        <w:ind w:hanging="720"/>
        <w:rPr>
          <w:del w:id="10835" w:author="AbbVie_HU_03" w:date="2025-05-14T16:39:00Z"/>
          <w:lang w:val="hu-HU"/>
        </w:rPr>
      </w:pPr>
      <w:del w:id="10836" w:author="AbbVie_HU_03" w:date="2025-05-14T16:39:00Z">
        <w:r w:rsidRPr="00183B5F">
          <w:rPr>
            <w:lang w:val="hu-HU"/>
          </w:rPr>
          <w:delText>májgyulladás</w:delText>
        </w:r>
        <w:r w:rsidR="00191B57" w:rsidRPr="00183B5F">
          <w:rPr>
            <w:lang w:val="hu-HU"/>
          </w:rPr>
          <w:delText>;</w:delText>
        </w:r>
      </w:del>
    </w:p>
    <w:p w14:paraId="68B23371" w14:textId="2F190805" w:rsidR="004E04BF" w:rsidRPr="00183B5F" w:rsidRDefault="00943743">
      <w:pPr>
        <w:pStyle w:val="EMEABullet2"/>
        <w:tabs>
          <w:tab w:val="clear" w:pos="720"/>
          <w:tab w:val="num" w:pos="690"/>
        </w:tabs>
        <w:ind w:left="550" w:hanging="550"/>
        <w:rPr>
          <w:del w:id="10837" w:author="AbbVie_HU_03" w:date="2025-05-14T16:39:00Z"/>
          <w:lang w:val="hu-HU"/>
        </w:rPr>
      </w:pPr>
      <w:del w:id="10838" w:author="AbbVie_HU_03" w:date="2025-05-14T16:39:00Z">
        <w:r w:rsidRPr="00183B5F">
          <w:rPr>
            <w:lang w:val="hu-HU"/>
          </w:rPr>
          <w:delText>B típusú fertőző májgyulladás kiújulása</w:delText>
        </w:r>
        <w:r w:rsidR="00191B57" w:rsidRPr="00183B5F">
          <w:rPr>
            <w:lang w:val="hu-HU"/>
          </w:rPr>
          <w:delText>;</w:delText>
        </w:r>
      </w:del>
    </w:p>
    <w:p w14:paraId="176C5B5B" w14:textId="116E9D36" w:rsidR="00E653BD" w:rsidRPr="00183B5F" w:rsidRDefault="00943743">
      <w:pPr>
        <w:pStyle w:val="EMEABullet2"/>
        <w:ind w:left="550" w:hanging="550"/>
        <w:rPr>
          <w:del w:id="10839" w:author="AbbVie_HU_03" w:date="2025-05-14T16:39:00Z"/>
          <w:lang w:val="hu-HU"/>
        </w:rPr>
      </w:pPr>
      <w:del w:id="10840" w:author="AbbVie_HU_03" w:date="2025-05-14T16:39:00Z">
        <w:r w:rsidRPr="00183B5F">
          <w:rPr>
            <w:lang w:val="hu-HU"/>
          </w:rPr>
          <w:delText xml:space="preserve">autoimmun májgyulladás (a máj gyulladása, melyet </w:delText>
        </w:r>
        <w:r w:rsidR="00647C26" w:rsidRPr="00183B5F">
          <w:rPr>
            <w:lang w:val="hu-HU"/>
          </w:rPr>
          <w:delText>a saját immunrendszer vált ki)</w:delText>
        </w:r>
        <w:r w:rsidR="00191B57" w:rsidRPr="00183B5F">
          <w:rPr>
            <w:lang w:val="hu-HU"/>
          </w:rPr>
          <w:delText>;</w:delText>
        </w:r>
      </w:del>
    </w:p>
    <w:p w14:paraId="32F97BB7" w14:textId="59A01F78" w:rsidR="004E04BF" w:rsidRPr="00183B5F" w:rsidRDefault="00943743">
      <w:pPr>
        <w:pStyle w:val="EMEABullet2"/>
        <w:tabs>
          <w:tab w:val="clear" w:pos="720"/>
          <w:tab w:val="num" w:pos="690"/>
        </w:tabs>
        <w:ind w:left="550" w:hanging="550"/>
        <w:rPr>
          <w:del w:id="10841" w:author="AbbVie_HU_03" w:date="2025-05-14T16:39:00Z"/>
          <w:lang w:val="hu-HU"/>
        </w:rPr>
      </w:pPr>
      <w:del w:id="10842" w:author="AbbVie_HU_03" w:date="2025-05-14T16:39:00Z">
        <w:r w:rsidRPr="00183B5F">
          <w:rPr>
            <w:lang w:val="hu-HU"/>
          </w:rPr>
          <w:delText>kután vaszkulitisz (a bőrben található erek gyulladása)</w:delText>
        </w:r>
        <w:r w:rsidR="00191B57" w:rsidRPr="00183B5F">
          <w:rPr>
            <w:lang w:val="hu-HU"/>
          </w:rPr>
          <w:delText>;</w:delText>
        </w:r>
      </w:del>
    </w:p>
    <w:p w14:paraId="280BE42A" w14:textId="067C0CA8" w:rsidR="004E04BF" w:rsidRPr="00183B5F" w:rsidRDefault="00943743">
      <w:pPr>
        <w:pStyle w:val="EMEABullet2"/>
        <w:tabs>
          <w:tab w:val="clear" w:pos="720"/>
          <w:tab w:val="num" w:pos="690"/>
        </w:tabs>
        <w:ind w:left="550" w:hanging="550"/>
        <w:rPr>
          <w:del w:id="10843" w:author="AbbVie_HU_03" w:date="2025-05-14T16:39:00Z"/>
          <w:lang w:val="hu-HU"/>
        </w:rPr>
      </w:pPr>
      <w:del w:id="10844" w:author="AbbVie_HU_03" w:date="2025-05-14T16:39:00Z">
        <w:r w:rsidRPr="00183B5F">
          <w:rPr>
            <w:lang w:val="hu-HU"/>
          </w:rPr>
          <w:delText>Stevens</w:delText>
        </w:r>
        <w:r w:rsidR="00004B4F" w:rsidRPr="00183B5F">
          <w:rPr>
            <w:lang w:val="hu-HU"/>
          </w:rPr>
          <w:delText>–</w:delText>
        </w:r>
        <w:r w:rsidRPr="00183B5F">
          <w:rPr>
            <w:lang w:val="hu-HU"/>
          </w:rPr>
          <w:delText>Johnson-szindróma (korai tünetei a rossz közérzet, láz, fejfájás és bőrkiütés)</w:delText>
        </w:r>
        <w:r w:rsidR="00191B57" w:rsidRPr="00183B5F">
          <w:rPr>
            <w:lang w:val="hu-HU"/>
          </w:rPr>
          <w:delText>;</w:delText>
        </w:r>
      </w:del>
    </w:p>
    <w:p w14:paraId="6B3CDA13" w14:textId="5CE34446" w:rsidR="004E04BF" w:rsidRPr="00183B5F" w:rsidRDefault="00943743">
      <w:pPr>
        <w:pStyle w:val="EMEABullet2"/>
        <w:tabs>
          <w:tab w:val="clear" w:pos="720"/>
          <w:tab w:val="num" w:pos="690"/>
        </w:tabs>
        <w:ind w:left="550" w:hanging="550"/>
        <w:rPr>
          <w:del w:id="10845" w:author="AbbVie_HU_03" w:date="2025-05-14T16:39:00Z"/>
          <w:lang w:val="hu-HU"/>
        </w:rPr>
      </w:pPr>
      <w:del w:id="10846" w:author="AbbVie_HU_03" w:date="2025-05-14T16:39:00Z">
        <w:r w:rsidRPr="00183B5F">
          <w:rPr>
            <w:lang w:val="hu-HU"/>
          </w:rPr>
          <w:delText>arcduzzanat, amit allergiás reakció kísér</w:delText>
        </w:r>
        <w:r w:rsidR="00191B57" w:rsidRPr="00183B5F">
          <w:rPr>
            <w:lang w:val="hu-HU"/>
          </w:rPr>
          <w:delText>;</w:delText>
        </w:r>
      </w:del>
    </w:p>
    <w:p w14:paraId="1886FB4C" w14:textId="52E362A6" w:rsidR="00F53796" w:rsidRPr="00183B5F" w:rsidRDefault="00943743" w:rsidP="004062FE">
      <w:pPr>
        <w:numPr>
          <w:ilvl w:val="0"/>
          <w:numId w:val="56"/>
        </w:numPr>
        <w:spacing w:line="240" w:lineRule="auto"/>
        <w:ind w:right="-2"/>
        <w:rPr>
          <w:del w:id="10847" w:author="AbbVie_HU_03" w:date="2025-05-14T16:39:00Z"/>
          <w:szCs w:val="22"/>
        </w:rPr>
      </w:pPr>
      <w:del w:id="10848" w:author="AbbVie_HU_03" w:date="2025-05-14T16:39:00Z">
        <w:r w:rsidRPr="00183B5F">
          <w:rPr>
            <w:szCs w:val="22"/>
          </w:rPr>
          <w:delText>eritéma multiforme (gyulladásos bőrkiütés)</w:delText>
        </w:r>
        <w:r w:rsidR="00191B57" w:rsidRPr="00183B5F">
          <w:rPr>
            <w:szCs w:val="22"/>
          </w:rPr>
          <w:delText>;</w:delText>
        </w:r>
        <w:bookmarkStart w:id="10849" w:name="OLE_LINK6"/>
      </w:del>
    </w:p>
    <w:p w14:paraId="0D6357C6" w14:textId="24337662" w:rsidR="00F145C8" w:rsidRPr="00183B5F" w:rsidRDefault="00943743" w:rsidP="004062FE">
      <w:pPr>
        <w:numPr>
          <w:ilvl w:val="0"/>
          <w:numId w:val="56"/>
        </w:numPr>
        <w:spacing w:line="240" w:lineRule="auto"/>
        <w:ind w:right="-2"/>
        <w:rPr>
          <w:del w:id="10850" w:author="AbbVie_HU_03" w:date="2025-05-14T16:39:00Z"/>
          <w:szCs w:val="22"/>
        </w:rPr>
      </w:pPr>
      <w:del w:id="10851" w:author="AbbVie_HU_03" w:date="2025-05-14T16:39:00Z">
        <w:r w:rsidRPr="00183B5F">
          <w:rPr>
            <w:szCs w:val="22"/>
          </w:rPr>
          <w:delText>lupusz-szerű szindróma;</w:delText>
        </w:r>
      </w:del>
    </w:p>
    <w:p w14:paraId="372AED25" w14:textId="79A7A905" w:rsidR="00F2044E" w:rsidRPr="00183B5F" w:rsidRDefault="00943743" w:rsidP="004062FE">
      <w:pPr>
        <w:numPr>
          <w:ilvl w:val="0"/>
          <w:numId w:val="56"/>
        </w:numPr>
        <w:spacing w:line="240" w:lineRule="auto"/>
        <w:ind w:right="-2"/>
        <w:rPr>
          <w:del w:id="10852" w:author="AbbVie_HU_03" w:date="2025-05-14T16:39:00Z"/>
          <w:szCs w:val="22"/>
        </w:rPr>
      </w:pPr>
      <w:del w:id="10853" w:author="AbbVie_HU_03" w:date="2025-05-14T16:39:00Z">
        <w:r w:rsidRPr="00183B5F">
          <w:rPr>
            <w:szCs w:val="22"/>
          </w:rPr>
          <w:delText>angioödéma (helyi bőrduzzanat);</w:delText>
        </w:r>
      </w:del>
    </w:p>
    <w:p w14:paraId="04D87059" w14:textId="25A4327F" w:rsidR="00F2044E" w:rsidRPr="00183B5F" w:rsidRDefault="00943743" w:rsidP="00DA71A8">
      <w:pPr>
        <w:numPr>
          <w:ilvl w:val="0"/>
          <w:numId w:val="56"/>
        </w:numPr>
        <w:spacing w:line="240" w:lineRule="auto"/>
        <w:ind w:right="-2"/>
        <w:rPr>
          <w:del w:id="10854" w:author="AbbVie_HU_03" w:date="2025-05-14T16:39:00Z"/>
          <w:szCs w:val="22"/>
        </w:rPr>
      </w:pPr>
      <w:del w:id="10855" w:author="AbbVie_HU_03" w:date="2025-05-14T16:39:00Z">
        <w:r w:rsidRPr="00183B5F">
          <w:rPr>
            <w:szCs w:val="22"/>
          </w:rPr>
          <w:delText>lichenoid bőrreakció (viszkető</w:delText>
        </w:r>
        <w:r w:rsidR="00464295" w:rsidRPr="00183B5F">
          <w:rPr>
            <w:szCs w:val="22"/>
          </w:rPr>
          <w:delText>,</w:delText>
        </w:r>
        <w:r w:rsidRPr="00183B5F">
          <w:rPr>
            <w:szCs w:val="22"/>
          </w:rPr>
          <w:delText xml:space="preserve"> </w:delText>
        </w:r>
        <w:r w:rsidR="007865CD" w:rsidRPr="00183B5F">
          <w:rPr>
            <w:szCs w:val="22"/>
          </w:rPr>
          <w:delText>vöröses</w:delText>
        </w:r>
        <w:r w:rsidRPr="00183B5F">
          <w:rPr>
            <w:szCs w:val="22"/>
          </w:rPr>
          <w:delText>-lilás bőrkiütés).</w:delText>
        </w:r>
      </w:del>
    </w:p>
    <w:p w14:paraId="7E5AB9E1" w14:textId="2731F13A" w:rsidR="00715920" w:rsidRPr="00183B5F" w:rsidRDefault="00715920" w:rsidP="004062FE">
      <w:pPr>
        <w:spacing w:line="240" w:lineRule="auto"/>
        <w:ind w:right="-2"/>
        <w:rPr>
          <w:del w:id="10856" w:author="AbbVie_HU_03" w:date="2025-05-14T16:39:00Z"/>
          <w:szCs w:val="22"/>
        </w:rPr>
      </w:pPr>
    </w:p>
    <w:p w14:paraId="7999EBBD" w14:textId="0ECD55DB" w:rsidR="00715920" w:rsidRPr="00183B5F" w:rsidRDefault="00943743" w:rsidP="004062FE">
      <w:pPr>
        <w:spacing w:line="240" w:lineRule="auto"/>
        <w:ind w:right="-2"/>
        <w:rPr>
          <w:del w:id="10857" w:author="AbbVie_HU_03" w:date="2025-05-14T16:39:00Z"/>
          <w:szCs w:val="22"/>
        </w:rPr>
      </w:pPr>
      <w:del w:id="10858" w:author="AbbVie_HU_03" w:date="2025-05-14T16:39:00Z">
        <w:r w:rsidRPr="00183B5F">
          <w:rPr>
            <w:szCs w:val="22"/>
          </w:rPr>
          <w:delText xml:space="preserve">Nem ismert </w:delText>
        </w:r>
        <w:r w:rsidR="00A47728" w:rsidRPr="00183B5F">
          <w:rPr>
            <w:szCs w:val="22"/>
          </w:rPr>
          <w:delText xml:space="preserve">(a </w:delText>
        </w:r>
        <w:r w:rsidR="00004B4F" w:rsidRPr="00183B5F">
          <w:rPr>
            <w:szCs w:val="22"/>
          </w:rPr>
          <w:delText xml:space="preserve">gyakoriság a </w:delText>
        </w:r>
        <w:r w:rsidR="00A47728" w:rsidRPr="00183B5F">
          <w:rPr>
            <w:szCs w:val="22"/>
          </w:rPr>
          <w:delText>rendelkezésre álló adatokból nem állapítható meg)</w:delText>
        </w:r>
      </w:del>
    </w:p>
    <w:p w14:paraId="20F5AD5E" w14:textId="76635C97" w:rsidR="00191B57" w:rsidRPr="00183B5F" w:rsidRDefault="00191B57" w:rsidP="004062FE">
      <w:pPr>
        <w:spacing w:line="240" w:lineRule="auto"/>
        <w:ind w:right="-2"/>
        <w:rPr>
          <w:del w:id="10859" w:author="AbbVie_HU_03" w:date="2025-05-14T16:39:00Z"/>
          <w:szCs w:val="22"/>
        </w:rPr>
      </w:pPr>
    </w:p>
    <w:p w14:paraId="0C08C4CC" w14:textId="7719191F" w:rsidR="00A47728" w:rsidRPr="00183B5F" w:rsidRDefault="00943743" w:rsidP="00812C41">
      <w:pPr>
        <w:numPr>
          <w:ilvl w:val="0"/>
          <w:numId w:val="106"/>
        </w:numPr>
        <w:spacing w:line="240" w:lineRule="auto"/>
        <w:ind w:left="567" w:right="-2" w:hanging="567"/>
        <w:rPr>
          <w:del w:id="10860" w:author="AbbVie_HU_03" w:date="2025-05-14T16:39:00Z"/>
          <w:szCs w:val="22"/>
        </w:rPr>
      </w:pPr>
      <w:del w:id="10861" w:author="AbbVie_HU_03" w:date="2025-05-14T16:39:00Z">
        <w:r w:rsidRPr="00183B5F">
          <w:rPr>
            <w:szCs w:val="22"/>
          </w:rPr>
          <w:delText>hepatoszplénikus T</w:delText>
        </w:r>
        <w:r w:rsidR="002A2571" w:rsidRPr="00183B5F">
          <w:rPr>
            <w:szCs w:val="22"/>
          </w:rPr>
          <w:noBreakHyphen/>
        </w:r>
        <w:r w:rsidRPr="00183B5F">
          <w:rPr>
            <w:szCs w:val="22"/>
          </w:rPr>
          <w:delText>sejtes limfóma (ritka vérrák, ami gyakran halálos kimenetelű)</w:delText>
        </w:r>
        <w:r w:rsidR="00191B57" w:rsidRPr="00183B5F">
          <w:rPr>
            <w:szCs w:val="22"/>
          </w:rPr>
          <w:delText>;</w:delText>
        </w:r>
      </w:del>
    </w:p>
    <w:p w14:paraId="47726AD3" w14:textId="53104D6E" w:rsidR="00A47728" w:rsidRPr="00183B5F" w:rsidRDefault="00943743" w:rsidP="00812C41">
      <w:pPr>
        <w:numPr>
          <w:ilvl w:val="0"/>
          <w:numId w:val="106"/>
        </w:numPr>
        <w:spacing w:line="240" w:lineRule="auto"/>
        <w:ind w:left="567" w:hanging="567"/>
        <w:rPr>
          <w:del w:id="10862" w:author="AbbVie_HU_03" w:date="2025-05-14T16:39:00Z"/>
          <w:szCs w:val="22"/>
        </w:rPr>
      </w:pPr>
      <w:del w:id="10863" w:author="AbbVie_HU_03" w:date="2025-05-14T16:39:00Z">
        <w:r w:rsidRPr="00183B5F">
          <w:rPr>
            <w:szCs w:val="22"/>
          </w:rPr>
          <w:delText>Merkel</w:delText>
        </w:r>
        <w:r w:rsidRPr="00183B5F">
          <w:rPr>
            <w:szCs w:val="22"/>
          </w:rPr>
          <w:noBreakHyphen/>
          <w:delText>sejtes karcinóma (bőrrák egyik típusa)</w:delText>
        </w:r>
        <w:r w:rsidR="00191B57" w:rsidRPr="00183B5F">
          <w:rPr>
            <w:szCs w:val="22"/>
          </w:rPr>
          <w:delText>;</w:delText>
        </w:r>
      </w:del>
    </w:p>
    <w:p w14:paraId="0B78FAA5" w14:textId="1FDFFF0C" w:rsidR="003821F6" w:rsidRPr="00183B5F" w:rsidRDefault="00943743" w:rsidP="00812C41">
      <w:pPr>
        <w:numPr>
          <w:ilvl w:val="0"/>
          <w:numId w:val="106"/>
        </w:numPr>
        <w:spacing w:line="240" w:lineRule="auto"/>
        <w:ind w:left="567" w:hanging="567"/>
        <w:rPr>
          <w:del w:id="10864" w:author="AbbVie_HU_03" w:date="2025-05-14T16:39:00Z"/>
          <w:szCs w:val="22"/>
        </w:rPr>
      </w:pPr>
      <w:del w:id="10865" w:author="AbbVie_HU_03" w:date="2025-05-14T16:39:00Z">
        <w:r w:rsidRPr="00183B5F">
          <w:rPr>
            <w:szCs w:val="22"/>
          </w:rPr>
          <w:delText>Kaposi-szarkóma, a 8-as típusú humán herpeszvírus fertőzéssel járó ritka daganatos megbetegedés. A Kaposi-szarkóma leggyakrabban a bőrön jelenik meg lila elváltozások formájában;</w:delText>
        </w:r>
      </w:del>
    </w:p>
    <w:p w14:paraId="3B344530" w14:textId="7ACFB736" w:rsidR="009E2229" w:rsidRPr="00183B5F" w:rsidRDefault="00943743" w:rsidP="00812C41">
      <w:pPr>
        <w:numPr>
          <w:ilvl w:val="0"/>
          <w:numId w:val="106"/>
        </w:numPr>
        <w:spacing w:line="240" w:lineRule="auto"/>
        <w:ind w:left="567" w:hanging="567"/>
        <w:rPr>
          <w:del w:id="10866" w:author="AbbVie_HU_03" w:date="2025-05-14T16:39:00Z"/>
          <w:szCs w:val="22"/>
        </w:rPr>
      </w:pPr>
      <w:del w:id="10867" w:author="AbbVie_HU_03" w:date="2025-05-14T16:39:00Z">
        <w:r w:rsidRPr="00183B5F">
          <w:rPr>
            <w:szCs w:val="22"/>
          </w:rPr>
          <w:delText>májelégtelenség</w:delText>
        </w:r>
        <w:r w:rsidR="00191B57" w:rsidRPr="00183B5F">
          <w:rPr>
            <w:szCs w:val="22"/>
          </w:rPr>
          <w:delText>;</w:delText>
        </w:r>
      </w:del>
    </w:p>
    <w:p w14:paraId="5F4F1395" w14:textId="0E0C3515" w:rsidR="004025F9" w:rsidRPr="00183B5F" w:rsidRDefault="00943743" w:rsidP="005C4B06">
      <w:pPr>
        <w:numPr>
          <w:ilvl w:val="0"/>
          <w:numId w:val="175"/>
        </w:numPr>
        <w:spacing w:line="240" w:lineRule="auto"/>
        <w:ind w:left="567" w:hanging="567"/>
        <w:rPr>
          <w:del w:id="10868" w:author="AbbVie_HU_03" w:date="2025-05-14T16:39:00Z"/>
          <w:szCs w:val="22"/>
        </w:rPr>
      </w:pPr>
      <w:del w:id="10869" w:author="AbbVie_HU_03" w:date="2025-05-14T16:39:00Z">
        <w:r w:rsidRPr="00183B5F">
          <w:rPr>
            <w:szCs w:val="22"/>
          </w:rPr>
          <w:delText>dermatomiozitisz nevű betegség (izomgyengeséghez társult bőrkiütés formájában jelentkezik) súlyosbodása</w:delText>
        </w:r>
        <w:r w:rsidRPr="00183B5F">
          <w:delText>;</w:delText>
        </w:r>
      </w:del>
    </w:p>
    <w:p w14:paraId="77AF3077" w14:textId="5E8E9D30" w:rsidR="009E2229" w:rsidRPr="00183B5F" w:rsidRDefault="00943743" w:rsidP="004025F9">
      <w:pPr>
        <w:numPr>
          <w:ilvl w:val="0"/>
          <w:numId w:val="106"/>
        </w:numPr>
        <w:spacing w:line="240" w:lineRule="auto"/>
        <w:ind w:left="540" w:hanging="540"/>
        <w:rPr>
          <w:del w:id="10870" w:author="AbbVie_HU_03" w:date="2025-05-14T16:39:00Z"/>
          <w:szCs w:val="22"/>
        </w:rPr>
      </w:pPr>
      <w:del w:id="10871" w:author="AbbVie_HU_03" w:date="2025-05-14T16:39:00Z">
        <w:r w:rsidRPr="00183B5F">
          <w:delText>testsúlynövekedés (a legtöbb betegnél ez kismértékű volt)</w:delText>
        </w:r>
      </w:del>
    </w:p>
    <w:p w14:paraId="16E3304E" w14:textId="203122AA" w:rsidR="00FB6710" w:rsidRPr="00183B5F" w:rsidRDefault="00FB6710" w:rsidP="004062FE">
      <w:pPr>
        <w:spacing w:line="240" w:lineRule="auto"/>
        <w:ind w:right="-2"/>
        <w:rPr>
          <w:del w:id="10872" w:author="AbbVie_HU_03" w:date="2025-05-14T16:39:00Z"/>
          <w:szCs w:val="22"/>
          <w:lang w:eastAsia="de-DE"/>
        </w:rPr>
      </w:pPr>
      <w:bookmarkStart w:id="10873" w:name="OLE_LINK5"/>
    </w:p>
    <w:p w14:paraId="24C0E98B" w14:textId="748FF482" w:rsidR="00FB6710" w:rsidRPr="00183B5F" w:rsidRDefault="00943743" w:rsidP="004062FE">
      <w:pPr>
        <w:suppressAutoHyphens w:val="0"/>
        <w:autoSpaceDE w:val="0"/>
        <w:autoSpaceDN w:val="0"/>
        <w:adjustRightInd w:val="0"/>
        <w:spacing w:line="240" w:lineRule="auto"/>
        <w:rPr>
          <w:del w:id="10874" w:author="AbbVie_HU_03" w:date="2025-05-14T16:39:00Z"/>
          <w:szCs w:val="22"/>
          <w:lang w:eastAsia="de-DE"/>
        </w:rPr>
      </w:pPr>
      <w:del w:id="10875" w:author="AbbVie_HU_03" w:date="2025-05-14T16:39:00Z">
        <w:r w:rsidRPr="00183B5F">
          <w:rPr>
            <w:szCs w:val="22"/>
            <w:lang w:eastAsia="de-DE"/>
          </w:rPr>
          <w:delText xml:space="preserve">A </w:delText>
        </w:r>
        <w:r w:rsidR="00715920" w:rsidRPr="00183B5F">
          <w:rPr>
            <w:szCs w:val="22"/>
            <w:lang w:eastAsia="de-DE"/>
          </w:rPr>
          <w:delText>Humira alkalmazása</w:delText>
        </w:r>
        <w:r w:rsidRPr="00183B5F">
          <w:rPr>
            <w:szCs w:val="22"/>
            <w:lang w:eastAsia="de-DE"/>
          </w:rPr>
          <w:delText xml:space="preserve"> során észlelt némelyik mellékhatás nem okoz tüneteket, és lehet, hogy csak vérvizsgálattal deríthető ki.</w:delText>
        </w:r>
      </w:del>
    </w:p>
    <w:p w14:paraId="17CC3EBC" w14:textId="1D8AD0FD" w:rsidR="00FB6710" w:rsidRPr="00183B5F" w:rsidRDefault="00943743" w:rsidP="004062FE">
      <w:pPr>
        <w:suppressAutoHyphens w:val="0"/>
        <w:autoSpaceDE w:val="0"/>
        <w:autoSpaceDN w:val="0"/>
        <w:adjustRightInd w:val="0"/>
        <w:spacing w:line="240" w:lineRule="auto"/>
        <w:rPr>
          <w:del w:id="10876" w:author="AbbVie_HU_03" w:date="2025-05-14T16:39:00Z"/>
          <w:szCs w:val="22"/>
          <w:lang w:eastAsia="de-DE"/>
        </w:rPr>
      </w:pPr>
      <w:del w:id="10877" w:author="AbbVie_HU_03" w:date="2025-05-14T16:39:00Z">
        <w:r w:rsidRPr="00183B5F">
          <w:rPr>
            <w:szCs w:val="22"/>
            <w:lang w:eastAsia="de-DE"/>
          </w:rPr>
          <w:delText>Ezek közé tartozik:</w:delText>
        </w:r>
      </w:del>
    </w:p>
    <w:p w14:paraId="118F5F7B" w14:textId="71803134" w:rsidR="00FB6710" w:rsidRPr="00183B5F" w:rsidRDefault="00FB6710" w:rsidP="004062FE">
      <w:pPr>
        <w:suppressAutoHyphens w:val="0"/>
        <w:autoSpaceDE w:val="0"/>
        <w:autoSpaceDN w:val="0"/>
        <w:adjustRightInd w:val="0"/>
        <w:spacing w:line="240" w:lineRule="auto"/>
        <w:rPr>
          <w:del w:id="10878" w:author="AbbVie_HU_03" w:date="2025-05-14T16:39:00Z"/>
          <w:szCs w:val="22"/>
          <w:lang w:eastAsia="de-DE"/>
        </w:rPr>
      </w:pPr>
    </w:p>
    <w:p w14:paraId="444EB977" w14:textId="37F6DE42" w:rsidR="00FB6710" w:rsidRPr="00183B5F" w:rsidRDefault="00943743" w:rsidP="004062FE">
      <w:pPr>
        <w:suppressAutoHyphens w:val="0"/>
        <w:spacing w:line="240" w:lineRule="auto"/>
        <w:rPr>
          <w:del w:id="10879" w:author="AbbVie_HU_03" w:date="2025-05-14T16:39:00Z"/>
          <w:szCs w:val="22"/>
        </w:rPr>
      </w:pPr>
      <w:del w:id="10880" w:author="AbbVie_HU_03" w:date="2025-05-14T16:39:00Z">
        <w:r w:rsidRPr="00183B5F">
          <w:rPr>
            <w:szCs w:val="22"/>
          </w:rPr>
          <w:delText>Nagyon gyakori (10</w:delText>
        </w:r>
        <w:r w:rsidR="002A2571" w:rsidRPr="00183B5F">
          <w:rPr>
            <w:szCs w:val="22"/>
          </w:rPr>
          <w:delText> </w:delText>
        </w:r>
        <w:r w:rsidR="00AA2A56" w:rsidRPr="00183B5F">
          <w:rPr>
            <w:szCs w:val="22"/>
          </w:rPr>
          <w:delText>beteg</w:delText>
        </w:r>
        <w:r w:rsidR="00DD74A1" w:rsidRPr="00183B5F">
          <w:rPr>
            <w:szCs w:val="22"/>
          </w:rPr>
          <w:delText xml:space="preserve"> </w:delText>
        </w:r>
        <w:r w:rsidRPr="00183B5F">
          <w:rPr>
            <w:szCs w:val="22"/>
          </w:rPr>
          <w:delText>közül több mint 1</w:delText>
        </w:r>
        <w:r w:rsidR="00B92547" w:rsidRPr="00183B5F">
          <w:rPr>
            <w:szCs w:val="22"/>
          </w:rPr>
          <w:delText xml:space="preserve">-nél </w:delText>
        </w:r>
        <w:r w:rsidR="00DD74A1" w:rsidRPr="00183B5F">
          <w:rPr>
            <w:szCs w:val="22"/>
          </w:rPr>
          <w:delText>alakul</w:delText>
        </w:r>
        <w:r w:rsidR="00B92547" w:rsidRPr="00183B5F">
          <w:rPr>
            <w:szCs w:val="22"/>
          </w:rPr>
          <w:delText xml:space="preserve"> ki</w:delText>
        </w:r>
        <w:r w:rsidRPr="00183B5F">
          <w:rPr>
            <w:szCs w:val="22"/>
          </w:rPr>
          <w:delText>)</w:delText>
        </w:r>
      </w:del>
    </w:p>
    <w:p w14:paraId="1B2DE486" w14:textId="14B95ED6" w:rsidR="00191B57" w:rsidRPr="00183B5F" w:rsidRDefault="00191B57" w:rsidP="004062FE">
      <w:pPr>
        <w:suppressAutoHyphens w:val="0"/>
        <w:spacing w:line="240" w:lineRule="auto"/>
        <w:rPr>
          <w:del w:id="10881" w:author="AbbVie_HU_03" w:date="2025-05-14T16:39:00Z"/>
          <w:szCs w:val="22"/>
        </w:rPr>
      </w:pPr>
    </w:p>
    <w:p w14:paraId="4AA4976F" w14:textId="40DAD625" w:rsidR="00FB6710" w:rsidRPr="00183B5F" w:rsidRDefault="00943743" w:rsidP="004062FE">
      <w:pPr>
        <w:numPr>
          <w:ilvl w:val="0"/>
          <w:numId w:val="76"/>
        </w:numPr>
        <w:tabs>
          <w:tab w:val="clear" w:pos="720"/>
          <w:tab w:val="num" w:pos="550"/>
        </w:tabs>
        <w:suppressAutoHyphens w:val="0"/>
        <w:spacing w:line="240" w:lineRule="auto"/>
        <w:ind w:left="550" w:hanging="550"/>
        <w:rPr>
          <w:del w:id="10882" w:author="AbbVie_HU_03" w:date="2025-05-14T16:39:00Z"/>
        </w:rPr>
      </w:pPr>
      <w:del w:id="10883" w:author="AbbVie_HU_03" w:date="2025-05-14T16:39:00Z">
        <w:r w:rsidRPr="00183B5F">
          <w:delText>alacsony fehérvérsejtszám</w:delText>
        </w:r>
        <w:r w:rsidR="00191B57" w:rsidRPr="00183B5F">
          <w:delText>;</w:delText>
        </w:r>
      </w:del>
    </w:p>
    <w:p w14:paraId="2752645A" w14:textId="226AD13E" w:rsidR="00FB6710" w:rsidRPr="00183B5F" w:rsidRDefault="00943743" w:rsidP="004062FE">
      <w:pPr>
        <w:numPr>
          <w:ilvl w:val="0"/>
          <w:numId w:val="76"/>
        </w:numPr>
        <w:tabs>
          <w:tab w:val="clear" w:pos="720"/>
          <w:tab w:val="num" w:pos="550"/>
        </w:tabs>
        <w:suppressAutoHyphens w:val="0"/>
        <w:spacing w:line="240" w:lineRule="auto"/>
        <w:ind w:left="550" w:hanging="550"/>
        <w:rPr>
          <w:del w:id="10884" w:author="AbbVie_HU_03" w:date="2025-05-14T16:39:00Z"/>
        </w:rPr>
      </w:pPr>
      <w:del w:id="10885" w:author="AbbVie_HU_03" w:date="2025-05-14T16:39:00Z">
        <w:r w:rsidRPr="00183B5F">
          <w:rPr>
            <w:szCs w:val="22"/>
          </w:rPr>
          <w:delText>alacsony vörösvértestszám</w:delText>
        </w:r>
        <w:r w:rsidR="00191B57" w:rsidRPr="00183B5F">
          <w:rPr>
            <w:szCs w:val="22"/>
          </w:rPr>
          <w:delText>;</w:delText>
        </w:r>
      </w:del>
    </w:p>
    <w:p w14:paraId="1EE0A12C" w14:textId="249BE60A" w:rsidR="00FB6710" w:rsidRPr="00183B5F" w:rsidRDefault="00943743" w:rsidP="004062FE">
      <w:pPr>
        <w:numPr>
          <w:ilvl w:val="0"/>
          <w:numId w:val="76"/>
        </w:numPr>
        <w:tabs>
          <w:tab w:val="clear" w:pos="720"/>
          <w:tab w:val="num" w:pos="550"/>
        </w:tabs>
        <w:suppressAutoHyphens w:val="0"/>
        <w:spacing w:line="240" w:lineRule="auto"/>
        <w:ind w:left="550" w:hanging="550"/>
        <w:rPr>
          <w:del w:id="10886" w:author="AbbVie_HU_03" w:date="2025-05-14T16:39:00Z"/>
        </w:rPr>
      </w:pPr>
      <w:del w:id="10887" w:author="AbbVie_HU_03" w:date="2025-05-14T16:39:00Z">
        <w:r w:rsidRPr="00183B5F">
          <w:rPr>
            <w:szCs w:val="22"/>
          </w:rPr>
          <w:delText>a vérzsírszint emelkedése</w:delText>
        </w:r>
        <w:r w:rsidR="00191B57" w:rsidRPr="00183B5F">
          <w:rPr>
            <w:szCs w:val="22"/>
          </w:rPr>
          <w:delText>;</w:delText>
        </w:r>
      </w:del>
    </w:p>
    <w:p w14:paraId="2A93CB9C" w14:textId="00AA0B2D" w:rsidR="00FB6710" w:rsidRPr="00183B5F" w:rsidRDefault="00943743" w:rsidP="004062FE">
      <w:pPr>
        <w:numPr>
          <w:ilvl w:val="0"/>
          <w:numId w:val="76"/>
        </w:numPr>
        <w:tabs>
          <w:tab w:val="clear" w:pos="720"/>
          <w:tab w:val="num" w:pos="550"/>
        </w:tabs>
        <w:suppressAutoHyphens w:val="0"/>
        <w:spacing w:line="240" w:lineRule="auto"/>
        <w:ind w:left="550" w:hanging="550"/>
        <w:rPr>
          <w:del w:id="10888" w:author="AbbVie_HU_03" w:date="2025-05-14T16:39:00Z"/>
        </w:rPr>
      </w:pPr>
      <w:del w:id="10889" w:author="AbbVie_HU_03" w:date="2025-05-14T16:39:00Z">
        <w:r w:rsidRPr="00183B5F">
          <w:rPr>
            <w:szCs w:val="22"/>
          </w:rPr>
          <w:delText>emelkedett májenzimszint.</w:delText>
        </w:r>
      </w:del>
    </w:p>
    <w:p w14:paraId="02F6E31D" w14:textId="167B807C" w:rsidR="00FB6710" w:rsidRPr="00183B5F" w:rsidRDefault="00FB6710" w:rsidP="004062FE">
      <w:pPr>
        <w:suppressAutoHyphens w:val="0"/>
        <w:spacing w:line="240" w:lineRule="auto"/>
        <w:rPr>
          <w:del w:id="10890" w:author="AbbVie_HU_03" w:date="2025-05-14T16:39:00Z"/>
          <w:szCs w:val="22"/>
        </w:rPr>
      </w:pPr>
    </w:p>
    <w:p w14:paraId="54736EEE" w14:textId="64E0F562" w:rsidR="00FB6710" w:rsidRPr="00183B5F" w:rsidRDefault="00943743" w:rsidP="00121C13">
      <w:pPr>
        <w:keepNext/>
        <w:suppressAutoHyphens w:val="0"/>
        <w:spacing w:line="240" w:lineRule="auto"/>
        <w:rPr>
          <w:del w:id="10891" w:author="AbbVie_HU_03" w:date="2025-05-14T16:39:00Z"/>
          <w:szCs w:val="22"/>
        </w:rPr>
      </w:pPr>
      <w:del w:id="10892" w:author="AbbVie_HU_03" w:date="2025-05-14T16:39:00Z">
        <w:r w:rsidRPr="00183B5F">
          <w:rPr>
            <w:szCs w:val="22"/>
          </w:rPr>
          <w:delText>Gyakori (10</w:delText>
        </w:r>
        <w:r w:rsidR="002A2571" w:rsidRPr="00183B5F">
          <w:rPr>
            <w:szCs w:val="22"/>
          </w:rPr>
          <w:delText> </w:delText>
        </w:r>
        <w:r w:rsidR="00AA2A56" w:rsidRPr="00183B5F">
          <w:rPr>
            <w:szCs w:val="22"/>
          </w:rPr>
          <w:delText>beteg</w:delText>
        </w:r>
        <w:r w:rsidR="00DD74A1" w:rsidRPr="00183B5F">
          <w:rPr>
            <w:szCs w:val="22"/>
          </w:rPr>
          <w:delText xml:space="preserve"> </w:delText>
        </w:r>
        <w:r w:rsidRPr="00183B5F">
          <w:rPr>
            <w:szCs w:val="22"/>
          </w:rPr>
          <w:delText xml:space="preserve">közül </w:delText>
        </w:r>
        <w:r w:rsidR="00DD74A1" w:rsidRPr="00183B5F">
          <w:rPr>
            <w:szCs w:val="22"/>
          </w:rPr>
          <w:delText>legfeljebb</w:delText>
        </w:r>
        <w:r w:rsidRPr="00183B5F">
          <w:rPr>
            <w:szCs w:val="22"/>
          </w:rPr>
          <w:delText xml:space="preserve"> 1</w:delText>
        </w:r>
        <w:r w:rsidR="00DD74A1" w:rsidRPr="00183B5F">
          <w:rPr>
            <w:szCs w:val="22"/>
          </w:rPr>
          <w:delText>-nél</w:delText>
        </w:r>
        <w:r w:rsidR="004A25AC" w:rsidRPr="00183B5F">
          <w:rPr>
            <w:szCs w:val="22"/>
          </w:rPr>
          <w:delText xml:space="preserve"> </w:delText>
        </w:r>
        <w:r w:rsidR="00DD74A1" w:rsidRPr="00183B5F">
          <w:rPr>
            <w:szCs w:val="22"/>
          </w:rPr>
          <w:delText>alakul ki</w:delText>
        </w:r>
        <w:r w:rsidRPr="00183B5F">
          <w:rPr>
            <w:szCs w:val="22"/>
          </w:rPr>
          <w:delText>)</w:delText>
        </w:r>
      </w:del>
    </w:p>
    <w:p w14:paraId="6B737E6C" w14:textId="25329861" w:rsidR="00191B57" w:rsidRPr="00183B5F" w:rsidRDefault="00191B57" w:rsidP="00121C13">
      <w:pPr>
        <w:keepNext/>
        <w:suppressAutoHyphens w:val="0"/>
        <w:spacing w:line="240" w:lineRule="auto"/>
        <w:rPr>
          <w:del w:id="10893" w:author="AbbVie_HU_03" w:date="2025-05-14T16:39:00Z"/>
          <w:szCs w:val="22"/>
        </w:rPr>
      </w:pPr>
    </w:p>
    <w:p w14:paraId="48C5DD89" w14:textId="58E77D85" w:rsidR="00FB6710" w:rsidRPr="00183B5F" w:rsidRDefault="00943743" w:rsidP="004062FE">
      <w:pPr>
        <w:numPr>
          <w:ilvl w:val="0"/>
          <w:numId w:val="76"/>
        </w:numPr>
        <w:tabs>
          <w:tab w:val="clear" w:pos="720"/>
          <w:tab w:val="num" w:pos="550"/>
        </w:tabs>
        <w:suppressAutoHyphens w:val="0"/>
        <w:spacing w:line="240" w:lineRule="auto"/>
        <w:ind w:left="550" w:hanging="550"/>
        <w:rPr>
          <w:del w:id="10894" w:author="AbbVie_HU_03" w:date="2025-05-14T16:39:00Z"/>
        </w:rPr>
      </w:pPr>
      <w:del w:id="10895" w:author="AbbVie_HU_03" w:date="2025-05-14T16:39:00Z">
        <w:r w:rsidRPr="00183B5F">
          <w:delText>magas fehérvérsejtszám</w:delText>
        </w:r>
        <w:r w:rsidR="00191B57" w:rsidRPr="00183B5F">
          <w:delText>;</w:delText>
        </w:r>
      </w:del>
    </w:p>
    <w:p w14:paraId="69D0A49D" w14:textId="2093CDCB" w:rsidR="00FB6710" w:rsidRPr="00183B5F" w:rsidRDefault="00943743" w:rsidP="004062FE">
      <w:pPr>
        <w:numPr>
          <w:ilvl w:val="0"/>
          <w:numId w:val="76"/>
        </w:numPr>
        <w:tabs>
          <w:tab w:val="clear" w:pos="720"/>
          <w:tab w:val="num" w:pos="550"/>
        </w:tabs>
        <w:suppressAutoHyphens w:val="0"/>
        <w:spacing w:line="240" w:lineRule="auto"/>
        <w:ind w:left="550" w:hanging="550"/>
        <w:rPr>
          <w:del w:id="10896" w:author="AbbVie_HU_03" w:date="2025-05-14T16:39:00Z"/>
        </w:rPr>
      </w:pPr>
      <w:del w:id="10897" w:author="AbbVie_HU_03" w:date="2025-05-14T16:39:00Z">
        <w:r w:rsidRPr="00183B5F">
          <w:rPr>
            <w:szCs w:val="22"/>
          </w:rPr>
          <w:delText>alacsony vérlemezkeszám</w:delText>
        </w:r>
        <w:r w:rsidR="00191B57" w:rsidRPr="00183B5F">
          <w:rPr>
            <w:szCs w:val="22"/>
          </w:rPr>
          <w:delText>;</w:delText>
        </w:r>
      </w:del>
    </w:p>
    <w:p w14:paraId="0447FEB2" w14:textId="69191C17" w:rsidR="00FB6710" w:rsidRPr="00183B5F" w:rsidRDefault="00943743" w:rsidP="004062FE">
      <w:pPr>
        <w:numPr>
          <w:ilvl w:val="0"/>
          <w:numId w:val="76"/>
        </w:numPr>
        <w:tabs>
          <w:tab w:val="clear" w:pos="720"/>
          <w:tab w:val="num" w:pos="550"/>
        </w:tabs>
        <w:suppressAutoHyphens w:val="0"/>
        <w:spacing w:line="240" w:lineRule="auto"/>
        <w:ind w:left="550" w:hanging="550"/>
        <w:rPr>
          <w:del w:id="10898" w:author="AbbVie_HU_03" w:date="2025-05-14T16:39:00Z"/>
        </w:rPr>
      </w:pPr>
      <w:del w:id="10899" w:author="AbbVie_HU_03" w:date="2025-05-14T16:39:00Z">
        <w:r w:rsidRPr="00183B5F">
          <w:rPr>
            <w:szCs w:val="22"/>
          </w:rPr>
          <w:delText>emelkedett húgysavszint a vérben</w:delText>
        </w:r>
        <w:r w:rsidR="00191B57" w:rsidRPr="00183B5F">
          <w:rPr>
            <w:szCs w:val="22"/>
          </w:rPr>
          <w:delText>;</w:delText>
        </w:r>
      </w:del>
    </w:p>
    <w:p w14:paraId="5902961B" w14:textId="7734F45A" w:rsidR="00FB6710" w:rsidRPr="00183B5F" w:rsidRDefault="00943743" w:rsidP="004062FE">
      <w:pPr>
        <w:numPr>
          <w:ilvl w:val="0"/>
          <w:numId w:val="76"/>
        </w:numPr>
        <w:tabs>
          <w:tab w:val="clear" w:pos="720"/>
          <w:tab w:val="num" w:pos="550"/>
        </w:tabs>
        <w:suppressAutoHyphens w:val="0"/>
        <w:spacing w:line="240" w:lineRule="auto"/>
        <w:ind w:left="550" w:hanging="550"/>
        <w:rPr>
          <w:del w:id="10900" w:author="AbbVie_HU_03" w:date="2025-05-14T16:39:00Z"/>
        </w:rPr>
      </w:pPr>
      <w:del w:id="10901" w:author="AbbVie_HU_03" w:date="2025-05-14T16:39:00Z">
        <w:r w:rsidRPr="00183B5F">
          <w:delText>kóros nátriumszint a vérben</w:delText>
        </w:r>
        <w:r w:rsidR="00191B57" w:rsidRPr="00183B5F">
          <w:delText>;</w:delText>
        </w:r>
      </w:del>
    </w:p>
    <w:p w14:paraId="5345606D" w14:textId="3184343A" w:rsidR="00FB6710" w:rsidRPr="00183B5F" w:rsidRDefault="00943743" w:rsidP="004062FE">
      <w:pPr>
        <w:numPr>
          <w:ilvl w:val="0"/>
          <w:numId w:val="76"/>
        </w:numPr>
        <w:tabs>
          <w:tab w:val="clear" w:pos="720"/>
          <w:tab w:val="num" w:pos="550"/>
        </w:tabs>
        <w:suppressAutoHyphens w:val="0"/>
        <w:spacing w:line="240" w:lineRule="auto"/>
        <w:ind w:left="550" w:hanging="550"/>
        <w:rPr>
          <w:del w:id="10902" w:author="AbbVie_HU_03" w:date="2025-05-14T16:39:00Z"/>
        </w:rPr>
      </w:pPr>
      <w:del w:id="10903" w:author="AbbVie_HU_03" w:date="2025-05-14T16:39:00Z">
        <w:r w:rsidRPr="00183B5F">
          <w:rPr>
            <w:szCs w:val="22"/>
          </w:rPr>
          <w:delText>alacsony k</w:delText>
        </w:r>
        <w:r w:rsidR="00C308BE" w:rsidRPr="00183B5F">
          <w:rPr>
            <w:szCs w:val="22"/>
          </w:rPr>
          <w:delText>a</w:delText>
        </w:r>
        <w:r w:rsidRPr="00183B5F">
          <w:rPr>
            <w:szCs w:val="22"/>
          </w:rPr>
          <w:delText>lciumszint a vérben</w:delText>
        </w:r>
        <w:r w:rsidR="00191B57" w:rsidRPr="00183B5F">
          <w:rPr>
            <w:szCs w:val="22"/>
          </w:rPr>
          <w:delText>;</w:delText>
        </w:r>
      </w:del>
    </w:p>
    <w:p w14:paraId="27910E8A" w14:textId="1FBA5C6E" w:rsidR="00FB6710" w:rsidRPr="00183B5F" w:rsidRDefault="00943743" w:rsidP="004062FE">
      <w:pPr>
        <w:numPr>
          <w:ilvl w:val="0"/>
          <w:numId w:val="76"/>
        </w:numPr>
        <w:tabs>
          <w:tab w:val="clear" w:pos="720"/>
          <w:tab w:val="num" w:pos="550"/>
        </w:tabs>
        <w:suppressAutoHyphens w:val="0"/>
        <w:spacing w:line="240" w:lineRule="auto"/>
        <w:ind w:left="550" w:hanging="550"/>
        <w:rPr>
          <w:del w:id="10904" w:author="AbbVie_HU_03" w:date="2025-05-14T16:39:00Z"/>
        </w:rPr>
      </w:pPr>
      <w:del w:id="10905" w:author="AbbVie_HU_03" w:date="2025-05-14T16:39:00Z">
        <w:r w:rsidRPr="00183B5F">
          <w:rPr>
            <w:szCs w:val="22"/>
          </w:rPr>
          <w:delText>alacsony foszfátszint a vérben</w:delText>
        </w:r>
        <w:r w:rsidR="00191B57" w:rsidRPr="00183B5F">
          <w:rPr>
            <w:szCs w:val="22"/>
          </w:rPr>
          <w:delText>;</w:delText>
        </w:r>
      </w:del>
    </w:p>
    <w:p w14:paraId="02E78EEA" w14:textId="506DD6E5" w:rsidR="00FB6710" w:rsidRPr="00183B5F" w:rsidRDefault="00943743" w:rsidP="004062FE">
      <w:pPr>
        <w:numPr>
          <w:ilvl w:val="0"/>
          <w:numId w:val="76"/>
        </w:numPr>
        <w:tabs>
          <w:tab w:val="clear" w:pos="720"/>
          <w:tab w:val="num" w:pos="550"/>
        </w:tabs>
        <w:suppressAutoHyphens w:val="0"/>
        <w:spacing w:line="240" w:lineRule="auto"/>
        <w:ind w:left="550" w:hanging="550"/>
        <w:rPr>
          <w:del w:id="10906" w:author="AbbVie_HU_03" w:date="2025-05-14T16:39:00Z"/>
        </w:rPr>
      </w:pPr>
      <w:del w:id="10907" w:author="AbbVie_HU_03" w:date="2025-05-14T16:39:00Z">
        <w:r w:rsidRPr="00183B5F">
          <w:delText>magas vércukorszint</w:delText>
        </w:r>
        <w:r w:rsidR="00191B57" w:rsidRPr="00183B5F">
          <w:delText>;</w:delText>
        </w:r>
      </w:del>
    </w:p>
    <w:p w14:paraId="08626521" w14:textId="3DB3B14F" w:rsidR="00FB6710" w:rsidRPr="00183B5F" w:rsidRDefault="00943743" w:rsidP="004062FE">
      <w:pPr>
        <w:numPr>
          <w:ilvl w:val="0"/>
          <w:numId w:val="76"/>
        </w:numPr>
        <w:tabs>
          <w:tab w:val="clear" w:pos="720"/>
          <w:tab w:val="num" w:pos="550"/>
        </w:tabs>
        <w:suppressAutoHyphens w:val="0"/>
        <w:spacing w:line="240" w:lineRule="auto"/>
        <w:ind w:left="550" w:hanging="550"/>
        <w:rPr>
          <w:del w:id="10908" w:author="AbbVie_HU_03" w:date="2025-05-14T16:39:00Z"/>
        </w:rPr>
      </w:pPr>
      <w:del w:id="10909" w:author="AbbVie_HU_03" w:date="2025-05-14T16:39:00Z">
        <w:r w:rsidRPr="00183B5F">
          <w:rPr>
            <w:szCs w:val="22"/>
          </w:rPr>
          <w:delText xml:space="preserve">emelkedett </w:delText>
        </w:r>
        <w:r w:rsidRPr="00183B5F">
          <w:delText>laktát-dehidrogenáz-szint a vérben</w:delText>
        </w:r>
        <w:r w:rsidR="00191B57" w:rsidRPr="00183B5F">
          <w:delText>;</w:delText>
        </w:r>
      </w:del>
    </w:p>
    <w:p w14:paraId="41CE465B" w14:textId="498ED6B3" w:rsidR="00F145C8" w:rsidRPr="00183B5F" w:rsidRDefault="00943743" w:rsidP="004062FE">
      <w:pPr>
        <w:numPr>
          <w:ilvl w:val="0"/>
          <w:numId w:val="76"/>
        </w:numPr>
        <w:tabs>
          <w:tab w:val="clear" w:pos="720"/>
          <w:tab w:val="num" w:pos="550"/>
        </w:tabs>
        <w:suppressAutoHyphens w:val="0"/>
        <w:spacing w:line="240" w:lineRule="auto"/>
        <w:ind w:left="550" w:hanging="550"/>
        <w:rPr>
          <w:del w:id="10910" w:author="AbbVie_HU_03" w:date="2025-05-14T16:39:00Z"/>
        </w:rPr>
      </w:pPr>
      <w:del w:id="10911" w:author="AbbVie_HU_03" w:date="2025-05-14T16:39:00Z">
        <w:r w:rsidRPr="00183B5F">
          <w:rPr>
            <w:szCs w:val="22"/>
          </w:rPr>
          <w:delText>autoantitestek megjelenése a vérben;</w:delText>
        </w:r>
      </w:del>
    </w:p>
    <w:p w14:paraId="216DF7B4" w14:textId="1163E0B5" w:rsidR="00FB6710" w:rsidRPr="00183B5F" w:rsidRDefault="00943743" w:rsidP="004062FE">
      <w:pPr>
        <w:numPr>
          <w:ilvl w:val="0"/>
          <w:numId w:val="76"/>
        </w:numPr>
        <w:tabs>
          <w:tab w:val="clear" w:pos="720"/>
          <w:tab w:val="num" w:pos="550"/>
        </w:tabs>
        <w:suppressAutoHyphens w:val="0"/>
        <w:spacing w:line="240" w:lineRule="auto"/>
        <w:ind w:left="550" w:hanging="550"/>
        <w:rPr>
          <w:del w:id="10912" w:author="AbbVie_HU_03" w:date="2025-05-14T16:39:00Z"/>
        </w:rPr>
      </w:pPr>
      <w:del w:id="10913" w:author="AbbVie_HU_03" w:date="2025-05-14T16:39:00Z">
        <w:r w:rsidRPr="00183B5F">
          <w:delText xml:space="preserve">alacsony </w:delText>
        </w:r>
        <w:r w:rsidR="00B206EA" w:rsidRPr="00183B5F">
          <w:delText xml:space="preserve">káliumszint a </w:delText>
        </w:r>
        <w:r w:rsidRPr="00183B5F">
          <w:delText>vér</w:delText>
        </w:r>
        <w:r w:rsidR="00B206EA" w:rsidRPr="00183B5F">
          <w:delText>ben</w:delText>
        </w:r>
        <w:r w:rsidR="00B206EA" w:rsidRPr="00183B5F">
          <w:rPr>
            <w:szCs w:val="22"/>
          </w:rPr>
          <w:delText>.</w:delText>
        </w:r>
      </w:del>
    </w:p>
    <w:p w14:paraId="12C4791A" w14:textId="3FB027B1" w:rsidR="00AE5345" w:rsidRPr="00183B5F" w:rsidRDefault="00AE5345">
      <w:pPr>
        <w:suppressAutoHyphens w:val="0"/>
        <w:spacing w:line="240" w:lineRule="auto"/>
        <w:rPr>
          <w:del w:id="10914" w:author="AbbVie_HU_03" w:date="2025-05-14T16:39:00Z"/>
        </w:rPr>
      </w:pPr>
    </w:p>
    <w:p w14:paraId="1666A394" w14:textId="3E5D1487" w:rsidR="00F145C8" w:rsidRPr="00183B5F" w:rsidRDefault="00943743">
      <w:pPr>
        <w:suppressAutoHyphens w:val="0"/>
        <w:spacing w:line="240" w:lineRule="auto"/>
        <w:rPr>
          <w:del w:id="10915" w:author="AbbVie_HU_03" w:date="2025-05-14T16:39:00Z"/>
          <w:szCs w:val="22"/>
        </w:rPr>
      </w:pPr>
      <w:del w:id="10916" w:author="AbbVie_HU_03" w:date="2025-05-14T16:39:00Z">
        <w:r w:rsidRPr="00183B5F">
          <w:rPr>
            <w:b/>
          </w:rPr>
          <w:delText>Nem gyakori (</w:delText>
        </w:r>
        <w:r w:rsidRPr="00183B5F">
          <w:rPr>
            <w:szCs w:val="22"/>
          </w:rPr>
          <w:delText>100 beteg közül legfeljebb 1</w:delText>
        </w:r>
        <w:r w:rsidRPr="00183B5F">
          <w:rPr>
            <w:szCs w:val="22"/>
          </w:rPr>
          <w:noBreakHyphen/>
          <w:delText>nél alakul ki)</w:delText>
        </w:r>
      </w:del>
    </w:p>
    <w:p w14:paraId="7A9E2307" w14:textId="13E95031" w:rsidR="00F145C8" w:rsidRPr="00183B5F" w:rsidRDefault="00F145C8">
      <w:pPr>
        <w:suppressAutoHyphens w:val="0"/>
        <w:spacing w:line="240" w:lineRule="auto"/>
        <w:rPr>
          <w:del w:id="10917" w:author="AbbVie_HU_03" w:date="2025-05-14T16:39:00Z"/>
          <w:szCs w:val="22"/>
        </w:rPr>
      </w:pPr>
    </w:p>
    <w:p w14:paraId="1FB2C193" w14:textId="00FA1647" w:rsidR="00F145C8" w:rsidRPr="00183B5F" w:rsidRDefault="00943743">
      <w:pPr>
        <w:pStyle w:val="ListParagraph"/>
        <w:numPr>
          <w:ilvl w:val="0"/>
          <w:numId w:val="147"/>
        </w:numPr>
        <w:suppressAutoHyphens w:val="0"/>
        <w:spacing w:line="240" w:lineRule="auto"/>
        <w:contextualSpacing/>
        <w:rPr>
          <w:del w:id="10918" w:author="AbbVie_HU_03" w:date="2025-05-14T16:39:00Z"/>
        </w:rPr>
      </w:pPr>
      <w:del w:id="10919" w:author="AbbVie_HU_03" w:date="2025-05-14T16:39:00Z">
        <w:r w:rsidRPr="00183B5F">
          <w:delText>emelkedett bilirubin</w:delText>
        </w:r>
        <w:r w:rsidRPr="00183B5F">
          <w:noBreakHyphen/>
          <w:delText xml:space="preserve">szint </w:delText>
        </w:r>
        <w:r w:rsidR="0054236F" w:rsidRPr="00183B5F">
          <w:delText>(májfunkciós vizsgálati eredmény</w:delText>
        </w:r>
        <w:r w:rsidRPr="00183B5F">
          <w:delText>).</w:delText>
        </w:r>
      </w:del>
    </w:p>
    <w:p w14:paraId="27B8EBF6" w14:textId="15355A71" w:rsidR="00F145C8" w:rsidRPr="00183B5F" w:rsidRDefault="00F145C8" w:rsidP="004062FE">
      <w:pPr>
        <w:suppressAutoHyphens w:val="0"/>
        <w:spacing w:line="240" w:lineRule="auto"/>
        <w:rPr>
          <w:del w:id="10920" w:author="AbbVie_HU_03" w:date="2025-05-14T16:39:00Z"/>
        </w:rPr>
      </w:pPr>
    </w:p>
    <w:p w14:paraId="7C4101BF" w14:textId="6A6EB437" w:rsidR="00FB6710" w:rsidRPr="00183B5F" w:rsidRDefault="00943743" w:rsidP="004062FE">
      <w:pPr>
        <w:suppressAutoHyphens w:val="0"/>
        <w:spacing w:line="240" w:lineRule="auto"/>
        <w:rPr>
          <w:del w:id="10921" w:author="AbbVie_HU_03" w:date="2025-05-14T16:39:00Z"/>
          <w:szCs w:val="22"/>
        </w:rPr>
      </w:pPr>
      <w:del w:id="10922" w:author="AbbVie_HU_03" w:date="2025-05-14T16:39:00Z">
        <w:r w:rsidRPr="00183B5F">
          <w:rPr>
            <w:szCs w:val="22"/>
          </w:rPr>
          <w:delText>Ritka (1000</w:delText>
        </w:r>
        <w:r w:rsidR="002A2571" w:rsidRPr="00183B5F">
          <w:rPr>
            <w:szCs w:val="22"/>
          </w:rPr>
          <w:delText> </w:delText>
        </w:r>
        <w:r w:rsidR="00AA2A56" w:rsidRPr="00183B5F">
          <w:rPr>
            <w:szCs w:val="22"/>
          </w:rPr>
          <w:delText>beteg</w:delText>
        </w:r>
        <w:r w:rsidR="00DD74A1" w:rsidRPr="00183B5F">
          <w:rPr>
            <w:szCs w:val="22"/>
          </w:rPr>
          <w:delText xml:space="preserve"> </w:delText>
        </w:r>
        <w:r w:rsidRPr="00183B5F">
          <w:rPr>
            <w:szCs w:val="22"/>
          </w:rPr>
          <w:delText xml:space="preserve">közül </w:delText>
        </w:r>
        <w:r w:rsidR="00DD74A1" w:rsidRPr="00183B5F">
          <w:rPr>
            <w:szCs w:val="22"/>
          </w:rPr>
          <w:delText>legfeljebb</w:delText>
        </w:r>
        <w:r w:rsidRPr="00183B5F">
          <w:rPr>
            <w:szCs w:val="22"/>
          </w:rPr>
          <w:delText xml:space="preserve"> 1</w:delText>
        </w:r>
        <w:r w:rsidR="00DD74A1" w:rsidRPr="00183B5F">
          <w:rPr>
            <w:szCs w:val="22"/>
          </w:rPr>
          <w:delText>-nél alakul ki</w:delText>
        </w:r>
        <w:r w:rsidRPr="00183B5F">
          <w:rPr>
            <w:szCs w:val="22"/>
          </w:rPr>
          <w:delText>)</w:delText>
        </w:r>
      </w:del>
    </w:p>
    <w:p w14:paraId="64ED043B" w14:textId="34048809" w:rsidR="002121F5" w:rsidRPr="00183B5F" w:rsidRDefault="002121F5" w:rsidP="004062FE">
      <w:pPr>
        <w:suppressAutoHyphens w:val="0"/>
        <w:spacing w:line="240" w:lineRule="auto"/>
        <w:rPr>
          <w:del w:id="10923" w:author="AbbVie_HU_03" w:date="2025-05-14T16:39:00Z"/>
          <w:szCs w:val="22"/>
        </w:rPr>
      </w:pPr>
    </w:p>
    <w:p w14:paraId="73C83168" w14:textId="2F473AF0" w:rsidR="00FB6710" w:rsidRPr="00183B5F" w:rsidRDefault="00943743" w:rsidP="004062FE">
      <w:pPr>
        <w:numPr>
          <w:ilvl w:val="0"/>
          <w:numId w:val="76"/>
        </w:numPr>
        <w:tabs>
          <w:tab w:val="clear" w:pos="720"/>
          <w:tab w:val="num" w:pos="550"/>
        </w:tabs>
        <w:suppressAutoHyphens w:val="0"/>
        <w:spacing w:line="240" w:lineRule="auto"/>
        <w:ind w:left="550" w:hanging="550"/>
        <w:rPr>
          <w:del w:id="10924" w:author="AbbVie_HU_03" w:date="2025-05-14T16:39:00Z"/>
          <w:szCs w:val="22"/>
        </w:rPr>
      </w:pPr>
      <w:del w:id="10925" w:author="AbbVie_HU_03" w:date="2025-05-14T16:39:00Z">
        <w:r w:rsidRPr="00183B5F">
          <w:rPr>
            <w:szCs w:val="22"/>
          </w:rPr>
          <w:delText>alacsony fehérvérsejtszám, vörösvértestszám és vérlemezkeszám.</w:delText>
        </w:r>
      </w:del>
    </w:p>
    <w:p w14:paraId="621C6B26" w14:textId="5AACC7C0" w:rsidR="00FB6710" w:rsidRPr="00183B5F" w:rsidRDefault="00FB6710" w:rsidP="004062FE">
      <w:pPr>
        <w:suppressAutoHyphens w:val="0"/>
        <w:spacing w:line="240" w:lineRule="auto"/>
        <w:rPr>
          <w:del w:id="10926" w:author="AbbVie_HU_03" w:date="2025-05-14T16:39:00Z"/>
          <w:szCs w:val="22"/>
        </w:rPr>
      </w:pPr>
    </w:p>
    <w:bookmarkEnd w:id="10849"/>
    <w:bookmarkEnd w:id="10873"/>
    <w:p w14:paraId="7747811F" w14:textId="6A7E249D" w:rsidR="00B334C7" w:rsidRPr="00183B5F" w:rsidRDefault="00943743">
      <w:pPr>
        <w:keepNext/>
        <w:spacing w:line="240" w:lineRule="auto"/>
        <w:ind w:right="-29"/>
        <w:rPr>
          <w:del w:id="10927" w:author="AbbVie_HU_03" w:date="2025-05-14T16:39:00Z"/>
          <w:b/>
          <w:u w:val="single"/>
        </w:rPr>
      </w:pPr>
      <w:del w:id="10928" w:author="AbbVie_HU_03" w:date="2025-05-14T16:39:00Z">
        <w:r w:rsidRPr="00183B5F">
          <w:rPr>
            <w:b/>
            <w:u w:val="single"/>
          </w:rPr>
          <w:delText>Mellékhatások bejelentése</w:delText>
        </w:r>
      </w:del>
    </w:p>
    <w:p w14:paraId="0D3166D2" w14:textId="5B2814FA" w:rsidR="00B334C7" w:rsidRPr="00183B5F" w:rsidRDefault="00943743">
      <w:pPr>
        <w:spacing w:line="240" w:lineRule="auto"/>
        <w:ind w:right="-2"/>
        <w:rPr>
          <w:del w:id="10929" w:author="AbbVie_HU_03" w:date="2025-05-14T16:39:00Z"/>
        </w:rPr>
      </w:pPr>
      <w:del w:id="10930" w:author="AbbVie_HU_03" w:date="2025-05-14T16:39:00Z">
        <w:r w:rsidRPr="00183B5F">
          <w:rPr>
            <w:szCs w:val="24"/>
          </w:rPr>
          <w:delText xml:space="preserve">Ha </w:delText>
        </w:r>
        <w:r w:rsidR="00180A2E" w:rsidRPr="00183B5F">
          <w:rPr>
            <w:szCs w:val="24"/>
          </w:rPr>
          <w:delText xml:space="preserve">az Ön </w:delText>
        </w:r>
        <w:r w:rsidRPr="00183B5F">
          <w:rPr>
            <w:noProof/>
            <w:szCs w:val="24"/>
          </w:rPr>
          <w:delText>gyermekénél bármilyen</w:delText>
        </w:r>
        <w:r w:rsidRPr="00183B5F">
          <w:rPr>
            <w:szCs w:val="24"/>
          </w:rPr>
          <w:delText xml:space="preserve"> mellékhatás </w:delText>
        </w:r>
        <w:r w:rsidRPr="00183B5F">
          <w:rPr>
            <w:noProof/>
            <w:szCs w:val="24"/>
          </w:rPr>
          <w:delText xml:space="preserve">jelentkezik, tájékoztassa gyermeke kezelőorvosát </w:delText>
        </w:r>
        <w:r w:rsidRPr="00183B5F">
          <w:rPr>
            <w:szCs w:val="24"/>
          </w:rPr>
          <w:delText xml:space="preserve">vagy </w:delText>
        </w:r>
        <w:r w:rsidRPr="00183B5F">
          <w:rPr>
            <w:noProof/>
            <w:szCs w:val="24"/>
          </w:rPr>
          <w:delText>gyógyszerészét. Ez</w:delText>
        </w:r>
        <w:r w:rsidRPr="00183B5F">
          <w:rPr>
            <w:szCs w:val="24"/>
          </w:rPr>
          <w:delText xml:space="preserve"> a betegtájékoztatóban </w:delText>
        </w:r>
        <w:r w:rsidRPr="00183B5F">
          <w:rPr>
            <w:noProof/>
            <w:szCs w:val="24"/>
          </w:rPr>
          <w:delText>fel nem sorolt bármilyen lehetséges mellékhatásra is vonatkozik.</w:delText>
        </w:r>
        <w:r w:rsidRPr="00183B5F">
          <w:delText xml:space="preserve">A mellékhatásokat közvetlenül a hatóság részére is bejelentheti az </w:delText>
        </w:r>
        <w:r w:rsidR="00FB29DF">
          <w:fldChar w:fldCharType="begin"/>
        </w:r>
        <w:r w:rsidR="00FB29DF">
          <w:delInstrText>HYPERLINK "http://www.ema.europa.eu/docs/en_GB/document_library/Template_or_form/2013/03/WC500139752.doc"</w:delInstrText>
        </w:r>
        <w:r w:rsidR="00FB29DF">
          <w:fldChar w:fldCharType="separate"/>
        </w:r>
        <w:r w:rsidR="00FB29DF" w:rsidRPr="00183B5F">
          <w:rPr>
            <w:rStyle w:val="Hyperlink"/>
            <w:highlight w:val="lightGray"/>
          </w:rPr>
          <w:delText>V. függelékben</w:delText>
        </w:r>
        <w:r w:rsidR="00FB29DF">
          <w:fldChar w:fldCharType="end"/>
        </w:r>
        <w:r w:rsidR="00FB29DF" w:rsidRPr="00183B5F">
          <w:rPr>
            <w:highlight w:val="lightGray"/>
          </w:rPr>
          <w:delText xml:space="preserve"> található elérhetőségeken keresztül</w:delText>
        </w:r>
        <w:r w:rsidRPr="00183B5F">
          <w:delText>. A mellékhatások bejelentésével Ön is hozzájárulhat ahhoz, hogy minél több információ álljon rendelkezésre a gyógyszer biztonságos alkalmazásával kapcsolatban.</w:delText>
        </w:r>
      </w:del>
    </w:p>
    <w:p w14:paraId="3B4230C6" w14:textId="2BB99F27" w:rsidR="00CB1A09" w:rsidRPr="00183B5F" w:rsidRDefault="00CB1A09" w:rsidP="004062FE">
      <w:pPr>
        <w:spacing w:line="240" w:lineRule="auto"/>
        <w:ind w:right="-2"/>
        <w:rPr>
          <w:del w:id="10931" w:author="AbbVie_HU_03" w:date="2025-05-14T16:39:00Z"/>
          <w:szCs w:val="22"/>
        </w:rPr>
      </w:pPr>
    </w:p>
    <w:p w14:paraId="7555F564" w14:textId="0B1B56F7" w:rsidR="00B334C7" w:rsidRPr="00183B5F" w:rsidRDefault="00B334C7" w:rsidP="004062FE">
      <w:pPr>
        <w:spacing w:line="240" w:lineRule="auto"/>
        <w:ind w:right="-2"/>
        <w:rPr>
          <w:del w:id="10932" w:author="AbbVie_HU_03" w:date="2025-05-14T16:39:00Z"/>
          <w:szCs w:val="22"/>
        </w:rPr>
      </w:pPr>
    </w:p>
    <w:p w14:paraId="7DB3F8E2" w14:textId="2D214871" w:rsidR="00FB6710" w:rsidRPr="00183B5F" w:rsidRDefault="00943743" w:rsidP="004062FE">
      <w:pPr>
        <w:spacing w:line="240" w:lineRule="auto"/>
        <w:ind w:right="-2"/>
        <w:rPr>
          <w:del w:id="10933" w:author="AbbVie_HU_03" w:date="2025-05-14T16:39:00Z"/>
          <w:b/>
          <w:szCs w:val="22"/>
        </w:rPr>
      </w:pPr>
      <w:del w:id="10934" w:author="AbbVie_HU_03" w:date="2025-05-14T16:39:00Z">
        <w:r w:rsidRPr="00183B5F">
          <w:rPr>
            <w:b/>
            <w:szCs w:val="22"/>
          </w:rPr>
          <w:delText>5.</w:delText>
        </w:r>
        <w:r w:rsidRPr="00183B5F">
          <w:rPr>
            <w:b/>
            <w:szCs w:val="22"/>
          </w:rPr>
          <w:tab/>
        </w:r>
        <w:r w:rsidR="005C2EBE" w:rsidRPr="00183B5F">
          <w:rPr>
            <w:b/>
            <w:szCs w:val="22"/>
          </w:rPr>
          <w:delText>Hogyan kell a Humira</w:delText>
        </w:r>
        <w:r w:rsidR="005C2EBE" w:rsidRPr="00183B5F">
          <w:rPr>
            <w:b/>
            <w:szCs w:val="22"/>
          </w:rPr>
          <w:noBreakHyphen/>
          <w:delText>t tárolni</w:delText>
        </w:r>
        <w:r w:rsidR="00B54E17" w:rsidRPr="00183B5F">
          <w:rPr>
            <w:b/>
            <w:szCs w:val="22"/>
          </w:rPr>
          <w:delText>?</w:delText>
        </w:r>
      </w:del>
    </w:p>
    <w:p w14:paraId="7C5FE42B" w14:textId="70E4D23E" w:rsidR="00FB6710" w:rsidRPr="00183B5F" w:rsidRDefault="00FB6710" w:rsidP="004062FE">
      <w:pPr>
        <w:spacing w:line="240" w:lineRule="auto"/>
        <w:ind w:right="-2"/>
        <w:rPr>
          <w:del w:id="10935" w:author="AbbVie_HU_03" w:date="2025-05-14T16:39:00Z"/>
          <w:szCs w:val="22"/>
        </w:rPr>
      </w:pPr>
    </w:p>
    <w:p w14:paraId="05C13F62" w14:textId="5DDACCFE" w:rsidR="00FB6710" w:rsidRPr="00183B5F" w:rsidRDefault="00943743" w:rsidP="004062FE">
      <w:pPr>
        <w:spacing w:line="240" w:lineRule="auto"/>
        <w:ind w:right="-2"/>
        <w:rPr>
          <w:del w:id="10936" w:author="AbbVie_HU_03" w:date="2025-05-14T16:39:00Z"/>
          <w:szCs w:val="22"/>
        </w:rPr>
      </w:pPr>
      <w:del w:id="10937" w:author="AbbVie_HU_03" w:date="2025-05-14T16:39:00Z">
        <w:r w:rsidRPr="00183B5F">
          <w:rPr>
            <w:szCs w:val="22"/>
          </w:rPr>
          <w:delText>A gyógyszer gyermektől elzárva tartandó</w:delText>
        </w:r>
        <w:r w:rsidR="002121F5" w:rsidRPr="00183B5F">
          <w:rPr>
            <w:szCs w:val="22"/>
          </w:rPr>
          <w:delText>.</w:delText>
        </w:r>
      </w:del>
    </w:p>
    <w:p w14:paraId="61A94C85" w14:textId="2DF708D0" w:rsidR="005C2EBE" w:rsidRPr="00183B5F" w:rsidRDefault="005C2EBE" w:rsidP="004062FE">
      <w:pPr>
        <w:spacing w:line="240" w:lineRule="auto"/>
        <w:ind w:right="-2"/>
        <w:rPr>
          <w:del w:id="10938" w:author="AbbVie_HU_03" w:date="2025-05-14T16:39:00Z"/>
          <w:szCs w:val="22"/>
        </w:rPr>
      </w:pPr>
    </w:p>
    <w:p w14:paraId="36E973D1" w14:textId="26314972" w:rsidR="00FB6710" w:rsidRPr="00183B5F" w:rsidRDefault="00943743" w:rsidP="004062FE">
      <w:pPr>
        <w:spacing w:line="240" w:lineRule="auto"/>
        <w:rPr>
          <w:del w:id="10939" w:author="AbbVie_HU_03" w:date="2025-05-14T16:39:00Z"/>
          <w:szCs w:val="22"/>
        </w:rPr>
      </w:pPr>
      <w:del w:id="10940" w:author="AbbVie_HU_03" w:date="2025-05-14T16:39:00Z">
        <w:r w:rsidRPr="00183B5F">
          <w:rPr>
            <w:szCs w:val="22"/>
          </w:rPr>
          <w:delText>A címkén/</w:delText>
        </w:r>
        <w:r w:rsidR="008965DA" w:rsidRPr="00183B5F">
          <w:rPr>
            <w:szCs w:val="22"/>
          </w:rPr>
          <w:delText>buborékcsomagoláson</w:delText>
        </w:r>
        <w:r w:rsidRPr="00183B5F">
          <w:rPr>
            <w:szCs w:val="22"/>
          </w:rPr>
          <w:delText>/dobozon feltüntetett lejárati idő (</w:delText>
        </w:r>
        <w:r w:rsidR="00C63E72" w:rsidRPr="00183B5F">
          <w:rPr>
            <w:szCs w:val="22"/>
          </w:rPr>
          <w:delText>EXP</w:delText>
        </w:r>
        <w:r w:rsidRPr="00183B5F">
          <w:rPr>
            <w:szCs w:val="22"/>
          </w:rPr>
          <w:delText xml:space="preserve">) után ne alkalmazza </w:delText>
        </w:r>
        <w:r w:rsidR="008965DA" w:rsidRPr="00183B5F">
          <w:rPr>
            <w:szCs w:val="22"/>
          </w:rPr>
          <w:delText xml:space="preserve">ezt </w:delText>
        </w:r>
        <w:r w:rsidR="005C2EBE" w:rsidRPr="00183B5F">
          <w:rPr>
            <w:noProof/>
            <w:szCs w:val="24"/>
          </w:rPr>
          <w:delText>a gyógyszert</w:delText>
        </w:r>
        <w:r w:rsidRPr="00183B5F">
          <w:rPr>
            <w:szCs w:val="22"/>
          </w:rPr>
          <w:delText xml:space="preserve">. </w:delText>
        </w:r>
      </w:del>
    </w:p>
    <w:p w14:paraId="350CE92D" w14:textId="4BDB7347" w:rsidR="00FB6710" w:rsidRPr="00183B5F" w:rsidRDefault="00FB6710" w:rsidP="004062FE">
      <w:pPr>
        <w:spacing w:line="240" w:lineRule="auto"/>
        <w:rPr>
          <w:del w:id="10941" w:author="AbbVie_HU_03" w:date="2025-05-14T16:39:00Z"/>
          <w:szCs w:val="22"/>
        </w:rPr>
      </w:pPr>
    </w:p>
    <w:p w14:paraId="4B5A2B6E" w14:textId="68EFFCF8" w:rsidR="005C2EBE" w:rsidRPr="00183B5F" w:rsidRDefault="00943743" w:rsidP="004062FE">
      <w:pPr>
        <w:spacing w:line="240" w:lineRule="auto"/>
        <w:rPr>
          <w:del w:id="10942" w:author="AbbVie_HU_03" w:date="2025-05-14T16:39:00Z"/>
          <w:szCs w:val="22"/>
        </w:rPr>
      </w:pPr>
      <w:del w:id="10943" w:author="AbbVie_HU_03" w:date="2025-05-14T16:39:00Z">
        <w:r w:rsidRPr="00183B5F">
          <w:rPr>
            <w:szCs w:val="22"/>
          </w:rPr>
          <w:delText xml:space="preserve">Hűtőszekrényben </w:delText>
        </w:r>
        <w:r w:rsidR="000F0E59" w:rsidRPr="00183B5F">
          <w:rPr>
            <w:szCs w:val="22"/>
          </w:rPr>
          <w:delText>(2°C</w:delText>
        </w:r>
        <w:r w:rsidR="00014D43" w:rsidRPr="00183B5F">
          <w:rPr>
            <w:szCs w:val="22"/>
          </w:rPr>
          <w:delText>–</w:delText>
        </w:r>
        <w:r w:rsidR="000F0E59" w:rsidRPr="00183B5F">
          <w:rPr>
            <w:szCs w:val="22"/>
          </w:rPr>
          <w:delText>8</w:delText>
        </w:r>
        <w:r w:rsidR="00E3529F" w:rsidRPr="00183B5F">
          <w:rPr>
            <w:rFonts w:ascii="Symbol" w:hAnsi="Symbol"/>
            <w:szCs w:val="22"/>
          </w:rPr>
          <w:sym w:font="Symbol" w:char="F0B0"/>
        </w:r>
        <w:r w:rsidR="000F0E59" w:rsidRPr="00183B5F">
          <w:rPr>
            <w:szCs w:val="22"/>
          </w:rPr>
          <w:delText xml:space="preserve">C) </w:delText>
        </w:r>
        <w:r w:rsidRPr="00183B5F">
          <w:rPr>
            <w:szCs w:val="22"/>
          </w:rPr>
          <w:delText>tárolandó. Nem fagyasztható</w:delText>
        </w:r>
        <w:r w:rsidR="006B2BB7" w:rsidRPr="00183B5F">
          <w:rPr>
            <w:szCs w:val="22"/>
          </w:rPr>
          <w:delText>!</w:delText>
        </w:r>
      </w:del>
    </w:p>
    <w:p w14:paraId="5D40EAC2" w14:textId="59C8AD3A" w:rsidR="005C2EBE" w:rsidRPr="00183B5F" w:rsidRDefault="005C2EBE" w:rsidP="004062FE">
      <w:pPr>
        <w:spacing w:line="240" w:lineRule="auto"/>
        <w:rPr>
          <w:del w:id="10944" w:author="AbbVie_HU_03" w:date="2025-05-14T16:39:00Z"/>
          <w:szCs w:val="22"/>
        </w:rPr>
      </w:pPr>
    </w:p>
    <w:p w14:paraId="1E7AFF7A" w14:textId="1C04021A" w:rsidR="00FB6710" w:rsidRPr="00183B5F" w:rsidRDefault="00943743" w:rsidP="004062FE">
      <w:pPr>
        <w:spacing w:line="240" w:lineRule="auto"/>
        <w:rPr>
          <w:del w:id="10945" w:author="AbbVie_HU_03" w:date="2025-05-14T16:39:00Z"/>
          <w:szCs w:val="22"/>
        </w:rPr>
      </w:pPr>
      <w:del w:id="10946" w:author="AbbVie_HU_03" w:date="2025-05-14T16:39:00Z">
        <w:r w:rsidRPr="00183B5F">
          <w:rPr>
            <w:szCs w:val="22"/>
          </w:rPr>
          <w:delText>A fénytől való védelem érdekében az injekciós üveg a</w:delText>
        </w:r>
        <w:r w:rsidR="000F0E59" w:rsidRPr="00183B5F">
          <w:rPr>
            <w:szCs w:val="22"/>
          </w:rPr>
          <w:delText xml:space="preserve"> dobozban tárolandó</w:delText>
        </w:r>
        <w:r w:rsidRPr="00183B5F">
          <w:rPr>
            <w:szCs w:val="22"/>
          </w:rPr>
          <w:delText>.</w:delText>
        </w:r>
      </w:del>
    </w:p>
    <w:p w14:paraId="6FA7AD7B" w14:textId="60D161FB" w:rsidR="00FB6710" w:rsidRPr="00183B5F" w:rsidRDefault="00FB6710" w:rsidP="004062FE">
      <w:pPr>
        <w:spacing w:line="240" w:lineRule="auto"/>
        <w:ind w:right="-2"/>
        <w:rPr>
          <w:del w:id="10947" w:author="AbbVie_HU_03" w:date="2025-05-14T16:39:00Z"/>
          <w:szCs w:val="22"/>
        </w:rPr>
      </w:pPr>
    </w:p>
    <w:p w14:paraId="0EB73070" w14:textId="7F444F93" w:rsidR="005C2EBE" w:rsidRPr="00183B5F" w:rsidRDefault="00943743" w:rsidP="004062FE">
      <w:pPr>
        <w:spacing w:line="240" w:lineRule="auto"/>
        <w:ind w:right="-2"/>
        <w:rPr>
          <w:del w:id="10948" w:author="AbbVie_HU_03" w:date="2025-05-14T16:39:00Z"/>
          <w:szCs w:val="22"/>
        </w:rPr>
      </w:pPr>
      <w:del w:id="10949" w:author="AbbVie_HU_03" w:date="2025-05-14T16:39:00Z">
        <w:r w:rsidRPr="00183B5F">
          <w:rPr>
            <w:noProof/>
            <w:szCs w:val="24"/>
          </w:rPr>
          <w:delText xml:space="preserve">Semmilyen gyógyszert ne dobjon a szennyvízbe </w:delText>
        </w:r>
        <w:r w:rsidRPr="00183B5F">
          <w:rPr>
            <w:szCs w:val="24"/>
          </w:rPr>
          <w:delText xml:space="preserve">vagy a háztartási </w:delText>
        </w:r>
        <w:r w:rsidRPr="00183B5F">
          <w:rPr>
            <w:noProof/>
            <w:szCs w:val="24"/>
          </w:rPr>
          <w:delText>hulladékba.</w:delText>
        </w:r>
        <w:r w:rsidRPr="00183B5F">
          <w:rPr>
            <w:szCs w:val="24"/>
          </w:rPr>
          <w:delText xml:space="preserve"> Kérdezze meg gyógyszerészét, hogy mit tegyen </w:delText>
        </w:r>
        <w:r w:rsidRPr="00183B5F">
          <w:rPr>
            <w:noProof/>
            <w:szCs w:val="24"/>
          </w:rPr>
          <w:delText>a már nem használt</w:delText>
        </w:r>
        <w:r w:rsidRPr="00183B5F">
          <w:rPr>
            <w:szCs w:val="24"/>
          </w:rPr>
          <w:delText xml:space="preserve"> gyógyszereivel. </w:delText>
        </w:r>
        <w:r w:rsidRPr="00183B5F">
          <w:rPr>
            <w:noProof/>
            <w:szCs w:val="24"/>
          </w:rPr>
          <w:delText>Ezek az intézkedések elősegítik a környezet védelmét.</w:delText>
        </w:r>
      </w:del>
    </w:p>
    <w:p w14:paraId="24C9E9C4" w14:textId="7AADC05F" w:rsidR="005C2EBE" w:rsidRPr="00183B5F" w:rsidRDefault="005C2EBE" w:rsidP="004062FE">
      <w:pPr>
        <w:spacing w:line="240" w:lineRule="auto"/>
        <w:ind w:right="-2"/>
        <w:rPr>
          <w:del w:id="10950" w:author="AbbVie_HU_03" w:date="2025-05-14T16:39:00Z"/>
          <w:szCs w:val="22"/>
        </w:rPr>
      </w:pPr>
    </w:p>
    <w:p w14:paraId="7119DD11" w14:textId="76B9F405" w:rsidR="00FB6710" w:rsidRPr="00183B5F" w:rsidRDefault="00FB6710" w:rsidP="004062FE">
      <w:pPr>
        <w:spacing w:line="240" w:lineRule="auto"/>
        <w:ind w:right="-2"/>
        <w:rPr>
          <w:del w:id="10951" w:author="AbbVie_HU_03" w:date="2025-05-14T16:39:00Z"/>
          <w:szCs w:val="22"/>
        </w:rPr>
      </w:pPr>
    </w:p>
    <w:p w14:paraId="0842BF5A" w14:textId="43C8156A" w:rsidR="00FB6710" w:rsidRPr="00183B5F" w:rsidRDefault="00943743" w:rsidP="004062FE">
      <w:pPr>
        <w:spacing w:line="240" w:lineRule="auto"/>
        <w:ind w:left="567" w:right="-2" w:hanging="567"/>
        <w:rPr>
          <w:del w:id="10952" w:author="AbbVie_HU_03" w:date="2025-05-14T16:39:00Z"/>
          <w:b/>
          <w:szCs w:val="22"/>
        </w:rPr>
      </w:pPr>
      <w:del w:id="10953" w:author="AbbVie_HU_03" w:date="2025-05-14T16:39:00Z">
        <w:r w:rsidRPr="00183B5F">
          <w:rPr>
            <w:b/>
            <w:szCs w:val="22"/>
          </w:rPr>
          <w:delText>6.</w:delText>
        </w:r>
        <w:r w:rsidRPr="00183B5F">
          <w:rPr>
            <w:b/>
            <w:szCs w:val="22"/>
          </w:rPr>
          <w:tab/>
        </w:r>
        <w:r w:rsidR="005C2EBE" w:rsidRPr="00183B5F">
          <w:rPr>
            <w:b/>
            <w:noProof/>
            <w:szCs w:val="24"/>
          </w:rPr>
          <w:delText>A csomagolás tartalma és egyéb információk</w:delText>
        </w:r>
      </w:del>
    </w:p>
    <w:p w14:paraId="03B3A203" w14:textId="6DEA6463" w:rsidR="00FB6710" w:rsidRPr="00183B5F" w:rsidRDefault="00FB6710" w:rsidP="004062FE">
      <w:pPr>
        <w:spacing w:line="240" w:lineRule="auto"/>
        <w:ind w:left="567" w:right="-2" w:hanging="567"/>
        <w:rPr>
          <w:del w:id="10954" w:author="AbbVie_HU_03" w:date="2025-05-14T16:39:00Z"/>
          <w:b/>
          <w:szCs w:val="22"/>
        </w:rPr>
      </w:pPr>
    </w:p>
    <w:p w14:paraId="1D5AF70D" w14:textId="0A046E7B" w:rsidR="00FB6710" w:rsidRPr="00183B5F" w:rsidRDefault="00943743" w:rsidP="004062FE">
      <w:pPr>
        <w:spacing w:line="240" w:lineRule="auto"/>
        <w:rPr>
          <w:del w:id="10955" w:author="AbbVie_HU_03" w:date="2025-05-14T16:39:00Z"/>
          <w:b/>
          <w:bCs/>
          <w:szCs w:val="22"/>
        </w:rPr>
      </w:pPr>
      <w:del w:id="10956" w:author="AbbVie_HU_03" w:date="2025-05-14T16:39:00Z">
        <w:r w:rsidRPr="00183B5F">
          <w:rPr>
            <w:b/>
            <w:bCs/>
            <w:szCs w:val="22"/>
          </w:rPr>
          <w:delText>Mit tartalmaz a Humira</w:delText>
        </w:r>
      </w:del>
    </w:p>
    <w:p w14:paraId="45C47CC6" w14:textId="670F0965" w:rsidR="005C2EBE" w:rsidRPr="00183B5F" w:rsidRDefault="005C2EBE" w:rsidP="004062FE">
      <w:pPr>
        <w:spacing w:line="240" w:lineRule="auto"/>
        <w:rPr>
          <w:del w:id="10957" w:author="AbbVie_HU_03" w:date="2025-05-14T16:39:00Z"/>
          <w:b/>
          <w:bCs/>
          <w:szCs w:val="22"/>
        </w:rPr>
      </w:pPr>
    </w:p>
    <w:p w14:paraId="1DF3839C" w14:textId="5CEC4D9A" w:rsidR="00FB6710" w:rsidRPr="00183B5F" w:rsidRDefault="00943743" w:rsidP="004062FE">
      <w:pPr>
        <w:spacing w:line="240" w:lineRule="auto"/>
        <w:rPr>
          <w:del w:id="10958" w:author="AbbVie_HU_03" w:date="2025-05-14T16:39:00Z"/>
          <w:szCs w:val="22"/>
        </w:rPr>
      </w:pPr>
      <w:del w:id="10959" w:author="AbbVie_HU_03" w:date="2025-05-14T16:39:00Z">
        <w:r w:rsidRPr="00183B5F">
          <w:rPr>
            <w:szCs w:val="22"/>
          </w:rPr>
          <w:delText>A készítmény hatóanyaga: adalimumab.</w:delText>
        </w:r>
      </w:del>
    </w:p>
    <w:p w14:paraId="220CBCAF" w14:textId="71AEFEF8" w:rsidR="00FB6710" w:rsidRPr="00183B5F" w:rsidRDefault="00943743" w:rsidP="004062FE">
      <w:pPr>
        <w:spacing w:line="240" w:lineRule="auto"/>
        <w:rPr>
          <w:del w:id="10960" w:author="AbbVie_HU_03" w:date="2025-05-14T16:39:00Z"/>
          <w:szCs w:val="22"/>
        </w:rPr>
      </w:pPr>
      <w:del w:id="10961" w:author="AbbVie_HU_03" w:date="2025-05-14T16:39:00Z">
        <w:r w:rsidRPr="00183B5F">
          <w:rPr>
            <w:szCs w:val="22"/>
          </w:rPr>
          <w:delText>Egyéb összetevők: mannit, citromsav</w:delText>
        </w:r>
        <w:r w:rsidR="00F15D2D" w:rsidRPr="00183B5F">
          <w:rPr>
            <w:szCs w:val="22"/>
          </w:rPr>
          <w:delText>-</w:delText>
        </w:r>
        <w:r w:rsidRPr="00183B5F">
          <w:rPr>
            <w:szCs w:val="22"/>
          </w:rPr>
          <w:delText xml:space="preserve">monohidrát, </w:delText>
        </w:r>
        <w:r w:rsidR="00F15D2D" w:rsidRPr="00183B5F">
          <w:rPr>
            <w:szCs w:val="22"/>
          </w:rPr>
          <w:delText>tri</w:delText>
        </w:r>
        <w:r w:rsidRPr="00183B5F">
          <w:rPr>
            <w:szCs w:val="22"/>
          </w:rPr>
          <w:delText>nátrium-citrát, nátrium-dihidrogén-foszfát-dihidrát, dinátrium-</w:delText>
        </w:r>
        <w:r w:rsidR="00F15D2D" w:rsidRPr="00183B5F">
          <w:rPr>
            <w:szCs w:val="22"/>
          </w:rPr>
          <w:delText>hidrogén-</w:delText>
        </w:r>
        <w:r w:rsidRPr="00183B5F">
          <w:rPr>
            <w:szCs w:val="22"/>
          </w:rPr>
          <w:delText xml:space="preserve">foszfát-dihidrát, nátrium-klorid, poliszorbát 80, nátrium-hidroxid és </w:delText>
        </w:r>
        <w:r w:rsidR="00F15D2D" w:rsidRPr="00183B5F">
          <w:rPr>
            <w:szCs w:val="22"/>
          </w:rPr>
          <w:delText xml:space="preserve">injekcióhoz való </w:delText>
        </w:r>
        <w:r w:rsidRPr="00183B5F">
          <w:rPr>
            <w:szCs w:val="22"/>
          </w:rPr>
          <w:delText>víz.</w:delText>
        </w:r>
      </w:del>
    </w:p>
    <w:p w14:paraId="5DAF4436" w14:textId="617861FC" w:rsidR="000F0E59" w:rsidRPr="00183B5F" w:rsidRDefault="000F0E59" w:rsidP="004062FE">
      <w:pPr>
        <w:spacing w:line="240" w:lineRule="auto"/>
        <w:rPr>
          <w:del w:id="10962" w:author="AbbVie_HU_03" w:date="2025-05-14T16:39:00Z"/>
          <w:b/>
          <w:bCs/>
          <w:szCs w:val="22"/>
        </w:rPr>
      </w:pPr>
    </w:p>
    <w:p w14:paraId="27D8C620" w14:textId="4677D36E" w:rsidR="00FB6710" w:rsidRPr="00183B5F" w:rsidRDefault="00943743" w:rsidP="00AE5345">
      <w:pPr>
        <w:keepNext/>
        <w:spacing w:line="240" w:lineRule="auto"/>
        <w:rPr>
          <w:del w:id="10963" w:author="AbbVie_HU_03" w:date="2025-05-14T16:39:00Z"/>
          <w:b/>
          <w:bCs/>
          <w:szCs w:val="22"/>
        </w:rPr>
      </w:pPr>
      <w:del w:id="10964" w:author="AbbVie_HU_03" w:date="2025-05-14T16:39:00Z">
        <w:r w:rsidRPr="00183B5F">
          <w:rPr>
            <w:b/>
            <w:bCs/>
            <w:szCs w:val="22"/>
          </w:rPr>
          <w:delText>Milyen a Humira külleme és mit tartalmaz a csomagolás</w:delText>
        </w:r>
      </w:del>
    </w:p>
    <w:p w14:paraId="423592CA" w14:textId="7DF6F65A" w:rsidR="00FB6710" w:rsidRPr="00183B5F" w:rsidRDefault="00FB6710" w:rsidP="00AE5345">
      <w:pPr>
        <w:keepNext/>
        <w:spacing w:line="240" w:lineRule="auto"/>
        <w:rPr>
          <w:del w:id="10965" w:author="AbbVie_HU_03" w:date="2025-05-14T16:39:00Z"/>
          <w:szCs w:val="22"/>
        </w:rPr>
      </w:pPr>
    </w:p>
    <w:p w14:paraId="1C4D2F12" w14:textId="27AFD03C" w:rsidR="00FB6710" w:rsidRPr="00183B5F" w:rsidRDefault="00943743" w:rsidP="00AE5345">
      <w:pPr>
        <w:keepNext/>
        <w:spacing w:line="240" w:lineRule="auto"/>
        <w:rPr>
          <w:del w:id="10966" w:author="AbbVie_HU_03" w:date="2025-05-14T16:39:00Z"/>
          <w:szCs w:val="22"/>
        </w:rPr>
      </w:pPr>
      <w:del w:id="10967" w:author="AbbVie_HU_03" w:date="2025-05-14T16:39:00Z">
        <w:r w:rsidRPr="00183B5F">
          <w:rPr>
            <w:szCs w:val="22"/>
          </w:rPr>
          <w:delText>A Humira 40 mg oldatos injekció injekciós üvegben 40 mg adalimumabot tartalmazó 0,8 ml steril oldat formájában kerül forgalomba.</w:delText>
        </w:r>
      </w:del>
    </w:p>
    <w:p w14:paraId="5813774A" w14:textId="1ED4622B" w:rsidR="00FB6710" w:rsidRPr="00183B5F" w:rsidRDefault="00FB6710" w:rsidP="004062FE">
      <w:pPr>
        <w:spacing w:line="240" w:lineRule="auto"/>
        <w:rPr>
          <w:del w:id="10968" w:author="AbbVie_HU_03" w:date="2025-05-14T16:39:00Z"/>
          <w:szCs w:val="22"/>
        </w:rPr>
      </w:pPr>
    </w:p>
    <w:p w14:paraId="7DD44319" w14:textId="658F8BB4" w:rsidR="00FB6710" w:rsidRPr="00183B5F" w:rsidRDefault="00943743" w:rsidP="004062FE">
      <w:pPr>
        <w:spacing w:line="240" w:lineRule="auto"/>
        <w:rPr>
          <w:del w:id="10969" w:author="AbbVie_HU_03" w:date="2025-05-14T16:39:00Z"/>
          <w:szCs w:val="22"/>
        </w:rPr>
      </w:pPr>
      <w:del w:id="10970" w:author="AbbVie_HU_03" w:date="2025-05-14T16:39:00Z">
        <w:r w:rsidRPr="00183B5F">
          <w:rPr>
            <w:szCs w:val="22"/>
          </w:rPr>
          <w:delText xml:space="preserve">A Humira injekciós üveg adalimumab oldatot tartalmaz. </w:delText>
        </w:r>
        <w:r w:rsidR="00D57CA1" w:rsidRPr="00183B5F">
          <w:rPr>
            <w:szCs w:val="22"/>
          </w:rPr>
          <w:delText xml:space="preserve">Egy csomagolás 2 dobozt tartalmaz, mindegyikben 1 injekciós üveg, 1 </w:delText>
        </w:r>
        <w:r w:rsidRPr="00183B5F">
          <w:rPr>
            <w:szCs w:val="22"/>
          </w:rPr>
          <w:delText>üres, steril fecskendő</w:delText>
        </w:r>
        <w:r w:rsidR="00D57CA1" w:rsidRPr="00183B5F">
          <w:rPr>
            <w:szCs w:val="22"/>
          </w:rPr>
          <w:delText>, 1 tű, 1 injekciós üveg adapter</w:delText>
        </w:r>
        <w:r w:rsidRPr="00183B5F">
          <w:rPr>
            <w:szCs w:val="22"/>
          </w:rPr>
          <w:delText xml:space="preserve"> és 2 alkoholos törlőkendő dobozonként.</w:delText>
        </w:r>
      </w:del>
    </w:p>
    <w:p w14:paraId="531F0187" w14:textId="4EEF5F0B" w:rsidR="006D2F10" w:rsidRPr="00183B5F" w:rsidRDefault="006D2F10" w:rsidP="004062FE">
      <w:pPr>
        <w:spacing w:line="240" w:lineRule="auto"/>
        <w:rPr>
          <w:del w:id="10971" w:author="AbbVie_HU_03" w:date="2025-05-14T16:39:00Z"/>
          <w:szCs w:val="22"/>
        </w:rPr>
      </w:pPr>
    </w:p>
    <w:p w14:paraId="678A842A" w14:textId="1D6718C8" w:rsidR="00FB6710" w:rsidRPr="00183B5F" w:rsidRDefault="00943743" w:rsidP="004062FE">
      <w:pPr>
        <w:spacing w:line="240" w:lineRule="auto"/>
        <w:rPr>
          <w:del w:id="10972" w:author="AbbVie_HU_03" w:date="2025-05-14T16:39:00Z"/>
          <w:szCs w:val="22"/>
        </w:rPr>
      </w:pPr>
      <w:del w:id="10973" w:author="AbbVie_HU_03" w:date="2025-05-14T16:39:00Z">
        <w:r w:rsidRPr="00183B5F">
          <w:rPr>
            <w:szCs w:val="22"/>
          </w:rPr>
          <w:delText>A Humira</w:delText>
        </w:r>
        <w:r w:rsidR="008428A1" w:rsidRPr="00183B5F">
          <w:rPr>
            <w:szCs w:val="22"/>
          </w:rPr>
          <w:delText xml:space="preserve"> </w:delText>
        </w:r>
        <w:r w:rsidR="00F145C8" w:rsidRPr="00183B5F">
          <w:rPr>
            <w:szCs w:val="22"/>
          </w:rPr>
          <w:delText xml:space="preserve">injekciós üvegben, </w:delText>
        </w:r>
        <w:r w:rsidRPr="00183B5F">
          <w:rPr>
            <w:szCs w:val="22"/>
          </w:rPr>
          <w:delText xml:space="preserve">előretöltött fecskendőben </w:delText>
        </w:r>
        <w:r w:rsidR="00F145C8" w:rsidRPr="00183B5F">
          <w:rPr>
            <w:szCs w:val="22"/>
          </w:rPr>
          <w:delText>és/</w:delText>
        </w:r>
        <w:r w:rsidRPr="00183B5F">
          <w:rPr>
            <w:szCs w:val="22"/>
          </w:rPr>
          <w:delText xml:space="preserve">vagy </w:delText>
        </w:r>
        <w:r w:rsidR="00804117" w:rsidRPr="00183B5F">
          <w:rPr>
            <w:szCs w:val="22"/>
          </w:rPr>
          <w:delText xml:space="preserve">előretöltött </w:delText>
        </w:r>
        <w:r w:rsidRPr="00183B5F">
          <w:rPr>
            <w:szCs w:val="22"/>
          </w:rPr>
          <w:delText>injekciós tollban is kapható.</w:delText>
        </w:r>
      </w:del>
    </w:p>
    <w:p w14:paraId="47FD1D38" w14:textId="172E7A17" w:rsidR="00FB6710" w:rsidRPr="00183B5F" w:rsidRDefault="00FB6710" w:rsidP="004062FE">
      <w:pPr>
        <w:spacing w:line="240" w:lineRule="auto"/>
        <w:rPr>
          <w:del w:id="10974" w:author="AbbVie_HU_03" w:date="2025-05-14T16:39:00Z"/>
          <w:szCs w:val="22"/>
        </w:rPr>
      </w:pPr>
    </w:p>
    <w:p w14:paraId="5456BEA4" w14:textId="60DCB3AE" w:rsidR="00FB6710" w:rsidRPr="00183B5F" w:rsidRDefault="00943743" w:rsidP="002D49EE">
      <w:pPr>
        <w:keepNext/>
        <w:spacing w:line="240" w:lineRule="auto"/>
        <w:rPr>
          <w:del w:id="10975" w:author="AbbVie_HU_03" w:date="2025-05-14T16:39:00Z"/>
          <w:b/>
          <w:bCs/>
          <w:szCs w:val="22"/>
        </w:rPr>
      </w:pPr>
      <w:del w:id="10976" w:author="AbbVie_HU_03" w:date="2025-05-14T16:39:00Z">
        <w:r w:rsidRPr="00183B5F">
          <w:rPr>
            <w:b/>
            <w:bCs/>
            <w:szCs w:val="22"/>
          </w:rPr>
          <w:delText>A forgalomba hozatali engedély jogosultja</w:delText>
        </w:r>
      </w:del>
    </w:p>
    <w:p w14:paraId="1EDC767E" w14:textId="0DE609EF" w:rsidR="00FB6710" w:rsidRPr="00183B5F" w:rsidRDefault="00FB6710" w:rsidP="002D49EE">
      <w:pPr>
        <w:keepNext/>
        <w:spacing w:line="240" w:lineRule="auto"/>
        <w:rPr>
          <w:del w:id="10977" w:author="AbbVie_HU_03" w:date="2025-05-14T16:39:00Z"/>
          <w:szCs w:val="22"/>
        </w:rPr>
      </w:pPr>
    </w:p>
    <w:p w14:paraId="0ABA7C3F" w14:textId="23928C28" w:rsidR="00CE3F71" w:rsidRPr="00183B5F" w:rsidRDefault="00943743" w:rsidP="00CE3F71">
      <w:pPr>
        <w:keepNext/>
        <w:suppressAutoHyphens w:val="0"/>
        <w:autoSpaceDE w:val="0"/>
        <w:autoSpaceDN w:val="0"/>
        <w:adjustRightInd w:val="0"/>
        <w:spacing w:line="240" w:lineRule="atLeast"/>
        <w:rPr>
          <w:del w:id="10978" w:author="AbbVie_HU_03" w:date="2025-05-14T16:39:00Z"/>
          <w:szCs w:val="22"/>
          <w:lang w:eastAsia="en-GB"/>
        </w:rPr>
      </w:pPr>
      <w:del w:id="10979" w:author="AbbVie_HU_03" w:date="2025-05-14T16:39:00Z">
        <w:r w:rsidRPr="00183B5F">
          <w:rPr>
            <w:szCs w:val="22"/>
            <w:lang w:eastAsia="en-GB"/>
          </w:rPr>
          <w:delText>AbbVie Deutschland GmbH &amp; Co. KG</w:delText>
        </w:r>
      </w:del>
    </w:p>
    <w:p w14:paraId="2F3D2067" w14:textId="4DD7700F" w:rsidR="00CE3F71" w:rsidRPr="00183B5F" w:rsidRDefault="00943743" w:rsidP="00CE3F71">
      <w:pPr>
        <w:keepNext/>
        <w:suppressAutoHyphens w:val="0"/>
        <w:autoSpaceDE w:val="0"/>
        <w:autoSpaceDN w:val="0"/>
        <w:adjustRightInd w:val="0"/>
        <w:spacing w:line="240" w:lineRule="atLeast"/>
        <w:rPr>
          <w:del w:id="10980" w:author="AbbVie_HU_03" w:date="2025-05-14T16:39:00Z"/>
          <w:szCs w:val="22"/>
          <w:lang w:eastAsia="en-GB"/>
        </w:rPr>
      </w:pPr>
      <w:del w:id="10981" w:author="AbbVie_HU_03" w:date="2025-05-14T16:39:00Z">
        <w:r w:rsidRPr="00183B5F">
          <w:rPr>
            <w:szCs w:val="22"/>
            <w:lang w:eastAsia="en-GB"/>
          </w:rPr>
          <w:delText>Knollstrasse</w:delText>
        </w:r>
      </w:del>
    </w:p>
    <w:p w14:paraId="5710ED01" w14:textId="67FE9A9D" w:rsidR="00CE3F71" w:rsidRPr="00183B5F" w:rsidRDefault="00943743" w:rsidP="00CE3F71">
      <w:pPr>
        <w:keepNext/>
        <w:suppressAutoHyphens w:val="0"/>
        <w:autoSpaceDE w:val="0"/>
        <w:autoSpaceDN w:val="0"/>
        <w:adjustRightInd w:val="0"/>
        <w:spacing w:line="240" w:lineRule="atLeast"/>
        <w:rPr>
          <w:del w:id="10982" w:author="AbbVie_HU_03" w:date="2025-05-14T16:39:00Z"/>
          <w:szCs w:val="22"/>
          <w:lang w:eastAsia="en-GB"/>
        </w:rPr>
      </w:pPr>
      <w:del w:id="10983" w:author="AbbVie_HU_03" w:date="2025-05-14T16:39:00Z">
        <w:r w:rsidRPr="00183B5F">
          <w:rPr>
            <w:szCs w:val="22"/>
            <w:lang w:eastAsia="en-GB"/>
          </w:rPr>
          <w:delText>67061 Ludwigshafen</w:delText>
        </w:r>
      </w:del>
    </w:p>
    <w:p w14:paraId="3F61142F" w14:textId="670F5590" w:rsidR="00CE3F71" w:rsidRPr="00183B5F" w:rsidRDefault="00943743" w:rsidP="00CE3F71">
      <w:pPr>
        <w:keepNext/>
        <w:suppressAutoHyphens w:val="0"/>
        <w:autoSpaceDE w:val="0"/>
        <w:autoSpaceDN w:val="0"/>
        <w:adjustRightInd w:val="0"/>
        <w:spacing w:line="240" w:lineRule="atLeast"/>
        <w:rPr>
          <w:del w:id="10984" w:author="AbbVie_HU_03" w:date="2025-05-14T16:39:00Z"/>
          <w:szCs w:val="22"/>
          <w:lang w:eastAsia="en-GB"/>
        </w:rPr>
      </w:pPr>
      <w:del w:id="10985" w:author="AbbVie_HU_03" w:date="2025-05-14T16:39:00Z">
        <w:r w:rsidRPr="00183B5F">
          <w:rPr>
            <w:szCs w:val="22"/>
            <w:lang w:eastAsia="en-GB"/>
          </w:rPr>
          <w:delText xml:space="preserve">Németország </w:delText>
        </w:r>
      </w:del>
    </w:p>
    <w:p w14:paraId="0A501A3B" w14:textId="525271D8" w:rsidR="00FB6710" w:rsidRPr="00183B5F" w:rsidRDefault="00FB6710" w:rsidP="004062FE">
      <w:pPr>
        <w:spacing w:line="240" w:lineRule="auto"/>
        <w:rPr>
          <w:del w:id="10986" w:author="AbbVie_HU_03" w:date="2025-05-14T16:39:00Z"/>
          <w:szCs w:val="22"/>
        </w:rPr>
      </w:pPr>
    </w:p>
    <w:p w14:paraId="3E0B0407" w14:textId="7F5700DE" w:rsidR="00FB6710" w:rsidRPr="00183B5F" w:rsidRDefault="00943743" w:rsidP="004062FE">
      <w:pPr>
        <w:keepNext/>
        <w:spacing w:line="240" w:lineRule="auto"/>
        <w:rPr>
          <w:del w:id="10987" w:author="AbbVie_HU_03" w:date="2025-05-14T16:39:00Z"/>
          <w:b/>
          <w:bCs/>
          <w:szCs w:val="22"/>
        </w:rPr>
      </w:pPr>
      <w:del w:id="10988" w:author="AbbVie_HU_03" w:date="2025-05-14T16:39:00Z">
        <w:r w:rsidRPr="00183B5F">
          <w:rPr>
            <w:b/>
            <w:bCs/>
            <w:szCs w:val="22"/>
          </w:rPr>
          <w:delText>Gyártó</w:delText>
        </w:r>
      </w:del>
    </w:p>
    <w:p w14:paraId="47A65C08" w14:textId="47C94D3E" w:rsidR="007C40A0" w:rsidRPr="00183B5F" w:rsidRDefault="007C40A0" w:rsidP="004062FE">
      <w:pPr>
        <w:spacing w:line="240" w:lineRule="auto"/>
        <w:rPr>
          <w:del w:id="10989" w:author="AbbVie_HU_03" w:date="2025-05-14T16:39:00Z"/>
          <w:szCs w:val="22"/>
        </w:rPr>
      </w:pPr>
    </w:p>
    <w:p w14:paraId="5425706D" w14:textId="2A27C1AA" w:rsidR="007C40A0" w:rsidRPr="00183B5F" w:rsidRDefault="00943743" w:rsidP="004062FE">
      <w:pPr>
        <w:spacing w:line="240" w:lineRule="auto"/>
        <w:rPr>
          <w:del w:id="10990" w:author="AbbVie_HU_03" w:date="2025-05-14T16:39:00Z"/>
        </w:rPr>
      </w:pPr>
      <w:del w:id="10991" w:author="AbbVie_HU_03" w:date="2025-05-14T16:39:00Z">
        <w:r w:rsidRPr="00183B5F">
          <w:delText>AbbVie Biotechnology GmbH</w:delText>
        </w:r>
      </w:del>
    </w:p>
    <w:p w14:paraId="3B56F76A" w14:textId="1843C435" w:rsidR="007C40A0" w:rsidRPr="00183B5F" w:rsidRDefault="00943743" w:rsidP="004062FE">
      <w:pPr>
        <w:numPr>
          <w:ilvl w:val="12"/>
          <w:numId w:val="0"/>
        </w:numPr>
        <w:tabs>
          <w:tab w:val="left" w:pos="720"/>
        </w:tabs>
        <w:spacing w:line="240" w:lineRule="auto"/>
        <w:rPr>
          <w:del w:id="10992" w:author="AbbVie_HU_03" w:date="2025-05-14T16:39:00Z"/>
        </w:rPr>
      </w:pPr>
      <w:del w:id="10993" w:author="AbbVie_HU_03" w:date="2025-05-14T16:39:00Z">
        <w:r w:rsidRPr="00183B5F">
          <w:delText>Knollstrasse</w:delText>
        </w:r>
      </w:del>
    </w:p>
    <w:p w14:paraId="125E73FA" w14:textId="552835BD" w:rsidR="007C40A0" w:rsidRPr="00183B5F" w:rsidRDefault="00943743" w:rsidP="004062FE">
      <w:pPr>
        <w:numPr>
          <w:ilvl w:val="12"/>
          <w:numId w:val="0"/>
        </w:numPr>
        <w:tabs>
          <w:tab w:val="left" w:pos="720"/>
        </w:tabs>
        <w:spacing w:line="240" w:lineRule="auto"/>
        <w:rPr>
          <w:del w:id="10994" w:author="AbbVie_HU_03" w:date="2025-05-14T16:39:00Z"/>
        </w:rPr>
      </w:pPr>
      <w:del w:id="10995" w:author="AbbVie_HU_03" w:date="2025-05-14T16:39:00Z">
        <w:r w:rsidRPr="00183B5F">
          <w:delText>67061 Ludwigshafen</w:delText>
        </w:r>
      </w:del>
    </w:p>
    <w:p w14:paraId="4C9408D3" w14:textId="2F3AF78C" w:rsidR="007C40A0" w:rsidRPr="00183B5F" w:rsidRDefault="00943743" w:rsidP="004062FE">
      <w:pPr>
        <w:spacing w:line="240" w:lineRule="auto"/>
        <w:rPr>
          <w:del w:id="10996" w:author="AbbVie_HU_03" w:date="2025-05-14T16:39:00Z"/>
        </w:rPr>
      </w:pPr>
      <w:del w:id="10997" w:author="AbbVie_HU_03" w:date="2025-05-14T16:39:00Z">
        <w:r w:rsidRPr="00183B5F">
          <w:delText>Németország</w:delText>
        </w:r>
      </w:del>
    </w:p>
    <w:p w14:paraId="662359AC" w14:textId="043791F4" w:rsidR="007C40A0" w:rsidRPr="00183B5F" w:rsidRDefault="007C40A0" w:rsidP="004062FE">
      <w:pPr>
        <w:spacing w:line="240" w:lineRule="auto"/>
        <w:rPr>
          <w:del w:id="10998" w:author="AbbVie_HU_03" w:date="2025-05-14T16:39:00Z"/>
          <w:szCs w:val="22"/>
        </w:rPr>
      </w:pPr>
    </w:p>
    <w:p w14:paraId="7533FF36" w14:textId="3FBF1027" w:rsidR="00FB6710" w:rsidRPr="00183B5F" w:rsidRDefault="00943743" w:rsidP="004062FE">
      <w:pPr>
        <w:spacing w:line="240" w:lineRule="auto"/>
        <w:rPr>
          <w:del w:id="10999" w:author="AbbVie_HU_03" w:date="2025-05-14T16:39:00Z"/>
          <w:szCs w:val="22"/>
        </w:rPr>
      </w:pPr>
      <w:del w:id="11000" w:author="AbbVie_HU_03" w:date="2025-05-14T16:39:00Z">
        <w:r w:rsidRPr="00183B5F">
          <w:rPr>
            <w:szCs w:val="22"/>
          </w:rPr>
          <w:delText>A készítményhez kapcsolódó további kérdéseivel forduljon a forgalomba</w:delText>
        </w:r>
        <w:r w:rsidR="00B17581" w:rsidRPr="00183B5F">
          <w:rPr>
            <w:szCs w:val="22"/>
          </w:rPr>
          <w:delText xml:space="preserve"> </w:delText>
        </w:r>
        <w:r w:rsidRPr="00183B5F">
          <w:rPr>
            <w:szCs w:val="22"/>
          </w:rPr>
          <w:delText>hozatali engedély jogosultjának helyi képviseletéhez:</w:delText>
        </w:r>
      </w:del>
    </w:p>
    <w:p w14:paraId="66D2B1C0" w14:textId="1FDB8F32" w:rsidR="007C024F" w:rsidRPr="00183B5F" w:rsidRDefault="007C024F" w:rsidP="004062FE">
      <w:pPr>
        <w:spacing w:line="240" w:lineRule="auto"/>
        <w:rPr>
          <w:del w:id="11001" w:author="AbbVie_HU_03" w:date="2025-05-14T16:39:00Z"/>
          <w:szCs w:val="22"/>
        </w:rPr>
      </w:pPr>
    </w:p>
    <w:tbl>
      <w:tblPr>
        <w:tblW w:w="9356" w:type="dxa"/>
        <w:tblInd w:w="-34" w:type="dxa"/>
        <w:tblLayout w:type="fixed"/>
        <w:tblLook w:val="0000" w:firstRow="0" w:lastRow="0" w:firstColumn="0" w:lastColumn="0" w:noHBand="0" w:noVBand="0"/>
      </w:tblPr>
      <w:tblGrid>
        <w:gridCol w:w="34"/>
        <w:gridCol w:w="4610"/>
        <w:gridCol w:w="34"/>
        <w:gridCol w:w="4678"/>
      </w:tblGrid>
      <w:tr w:rsidR="00011D2F" w14:paraId="4DF33CEC" w14:textId="793CF8D8" w:rsidTr="001F79B0">
        <w:trPr>
          <w:del w:id="11002" w:author="AbbVie_HU_03" w:date="2025-05-14T16:39:00Z"/>
        </w:trPr>
        <w:tc>
          <w:tcPr>
            <w:tcW w:w="4644" w:type="dxa"/>
            <w:gridSpan w:val="2"/>
          </w:tcPr>
          <w:p w14:paraId="3BFA0BC2" w14:textId="420FE733" w:rsidR="00275D71" w:rsidRPr="00C70C5A" w:rsidRDefault="00943743" w:rsidP="001F79B0">
            <w:pPr>
              <w:suppressAutoHyphens w:val="0"/>
              <w:rPr>
                <w:del w:id="11003" w:author="AbbVie_HU_03" w:date="2025-05-14T16:39:00Z"/>
                <w:b/>
                <w:szCs w:val="22"/>
                <w:rPrChange w:id="11004" w:author="AbbVie_HU_04" w:date="2025-05-16T12:29:00Z">
                  <w:rPr>
                    <w:del w:id="11005" w:author="AbbVie_HU_03" w:date="2025-05-14T16:39:00Z"/>
                    <w:b/>
                    <w:bCs/>
                    <w:szCs w:val="22"/>
                    <w:lang w:val="fr-BE"/>
                  </w:rPr>
                </w:rPrChange>
              </w:rPr>
            </w:pPr>
            <w:del w:id="11006" w:author="AbbVie_HU_03" w:date="2025-05-14T16:39:00Z">
              <w:r w:rsidRPr="00C70C5A">
                <w:rPr>
                  <w:b/>
                  <w:szCs w:val="22"/>
                  <w:rPrChange w:id="11007" w:author="AbbVie_HU_04" w:date="2025-05-16T12:29:00Z">
                    <w:rPr>
                      <w:b/>
                      <w:bCs/>
                      <w:szCs w:val="22"/>
                      <w:lang w:val="fr-BE"/>
                    </w:rPr>
                  </w:rPrChange>
                </w:rPr>
                <w:delText>België/Belgique/Belgien</w:delText>
              </w:r>
            </w:del>
          </w:p>
          <w:p w14:paraId="02A1F8BB" w14:textId="73AC5145" w:rsidR="00275D71" w:rsidRPr="00C70C5A" w:rsidRDefault="00943743" w:rsidP="001F79B0">
            <w:pPr>
              <w:suppressAutoHyphens w:val="0"/>
              <w:rPr>
                <w:del w:id="11008" w:author="AbbVie_HU_03" w:date="2025-05-14T16:39:00Z"/>
                <w:szCs w:val="22"/>
                <w:rPrChange w:id="11009" w:author="AbbVie_HU_04" w:date="2025-05-16T12:29:00Z">
                  <w:rPr>
                    <w:del w:id="11010" w:author="AbbVie_HU_03" w:date="2025-05-14T16:39:00Z"/>
                    <w:bCs/>
                    <w:szCs w:val="22"/>
                    <w:lang w:val="fr-FR"/>
                  </w:rPr>
                </w:rPrChange>
              </w:rPr>
            </w:pPr>
            <w:del w:id="11011" w:author="AbbVie_HU_03" w:date="2025-05-14T16:39:00Z">
              <w:r w:rsidRPr="00C70C5A">
                <w:rPr>
                  <w:szCs w:val="22"/>
                  <w:rPrChange w:id="11012" w:author="AbbVie_HU_04" w:date="2025-05-16T12:29:00Z">
                    <w:rPr>
                      <w:bCs/>
                      <w:szCs w:val="22"/>
                      <w:lang w:val="fr-FR"/>
                    </w:rPr>
                  </w:rPrChange>
                </w:rPr>
                <w:delText>AbbVie SA</w:delText>
              </w:r>
            </w:del>
          </w:p>
          <w:p w14:paraId="1ACFDCF3" w14:textId="1020A1CD" w:rsidR="00275D71" w:rsidRPr="00C70C5A" w:rsidRDefault="00943743" w:rsidP="001F79B0">
            <w:pPr>
              <w:suppressAutoHyphens w:val="0"/>
              <w:rPr>
                <w:del w:id="11013" w:author="AbbVie_HU_03" w:date="2025-05-14T16:39:00Z"/>
                <w:szCs w:val="22"/>
                <w:rPrChange w:id="11014" w:author="AbbVie_HU_04" w:date="2025-05-16T12:29:00Z">
                  <w:rPr>
                    <w:del w:id="11015" w:author="AbbVie_HU_03" w:date="2025-05-14T16:39:00Z"/>
                    <w:szCs w:val="22"/>
                    <w:lang w:val="fr-FR"/>
                  </w:rPr>
                </w:rPrChange>
              </w:rPr>
            </w:pPr>
            <w:del w:id="11016" w:author="AbbVie_HU_03" w:date="2025-05-14T16:39:00Z">
              <w:r w:rsidRPr="00C70C5A">
                <w:rPr>
                  <w:szCs w:val="22"/>
                  <w:rPrChange w:id="11017" w:author="AbbVie_HU_04" w:date="2025-05-16T12:29:00Z">
                    <w:rPr>
                      <w:bCs/>
                      <w:szCs w:val="22"/>
                      <w:lang w:val="fr-FR"/>
                    </w:rPr>
                  </w:rPrChange>
                </w:rPr>
                <w:delText xml:space="preserve">Tél/Tel: +32 10 </w:delText>
              </w:r>
              <w:r w:rsidRPr="00C70C5A">
                <w:rPr>
                  <w:szCs w:val="22"/>
                  <w:rPrChange w:id="11018" w:author="AbbVie_HU_04" w:date="2025-05-16T12:29:00Z">
                    <w:rPr>
                      <w:szCs w:val="22"/>
                      <w:lang w:val="fr-FR"/>
                    </w:rPr>
                  </w:rPrChange>
                </w:rPr>
                <w:delText>477811</w:delText>
              </w:r>
            </w:del>
          </w:p>
          <w:p w14:paraId="335C26E7" w14:textId="4EEBEE31" w:rsidR="00275D71" w:rsidRPr="00C70C5A" w:rsidRDefault="00275D71" w:rsidP="001F79B0">
            <w:pPr>
              <w:suppressAutoHyphens w:val="0"/>
              <w:rPr>
                <w:del w:id="11019" w:author="AbbVie_HU_03" w:date="2025-05-14T16:39:00Z"/>
                <w:szCs w:val="22"/>
                <w:rPrChange w:id="11020" w:author="AbbVie_HU_04" w:date="2025-05-16T12:29:00Z">
                  <w:rPr>
                    <w:del w:id="11021" w:author="AbbVie_HU_03" w:date="2025-05-14T16:39:00Z"/>
                    <w:bCs/>
                    <w:szCs w:val="22"/>
                    <w:lang w:val="fr-FR"/>
                  </w:rPr>
                </w:rPrChange>
              </w:rPr>
            </w:pPr>
          </w:p>
        </w:tc>
        <w:tc>
          <w:tcPr>
            <w:tcW w:w="4678" w:type="dxa"/>
            <w:gridSpan w:val="2"/>
          </w:tcPr>
          <w:p w14:paraId="714D477A" w14:textId="2B97CF04" w:rsidR="00275D71" w:rsidRPr="00BD646C" w:rsidRDefault="00943743" w:rsidP="001F79B0">
            <w:pPr>
              <w:suppressAutoHyphens w:val="0"/>
              <w:rPr>
                <w:del w:id="11022" w:author="AbbVie_HU_03" w:date="2025-05-14T16:39:00Z"/>
                <w:b/>
                <w:bCs/>
                <w:szCs w:val="22"/>
                <w:lang w:val="lt-LT"/>
              </w:rPr>
            </w:pPr>
            <w:del w:id="11023" w:author="AbbVie_HU_03" w:date="2025-05-14T16:39:00Z">
              <w:r w:rsidRPr="00BD646C">
                <w:rPr>
                  <w:b/>
                  <w:bCs/>
                  <w:szCs w:val="22"/>
                  <w:lang w:val="lt-LT"/>
                </w:rPr>
                <w:delText>Lietuva</w:delText>
              </w:r>
            </w:del>
          </w:p>
          <w:p w14:paraId="3CBC122D" w14:textId="298225EA" w:rsidR="00275D71" w:rsidRPr="00BD646C" w:rsidRDefault="00943743" w:rsidP="001F79B0">
            <w:pPr>
              <w:suppressAutoHyphens w:val="0"/>
              <w:rPr>
                <w:del w:id="11024" w:author="AbbVie_HU_03" w:date="2025-05-14T16:39:00Z"/>
                <w:bCs/>
                <w:szCs w:val="22"/>
                <w:lang w:val="lv-LV"/>
              </w:rPr>
            </w:pPr>
            <w:del w:id="11025" w:author="AbbVie_HU_03" w:date="2025-05-14T16:39:00Z">
              <w:r w:rsidRPr="00BD646C">
                <w:rPr>
                  <w:bCs/>
                  <w:szCs w:val="22"/>
                  <w:lang w:val="lv-LV"/>
                </w:rPr>
                <w:delText xml:space="preserve">AbbVie UAB </w:delText>
              </w:r>
            </w:del>
          </w:p>
          <w:p w14:paraId="16120FC2" w14:textId="6010A2A8" w:rsidR="00275D71" w:rsidRPr="00BD646C" w:rsidRDefault="00943743" w:rsidP="001F79B0">
            <w:pPr>
              <w:suppressAutoHyphens w:val="0"/>
              <w:rPr>
                <w:del w:id="11026" w:author="AbbVie_HU_03" w:date="2025-05-14T16:39:00Z"/>
                <w:bCs/>
                <w:szCs w:val="22"/>
                <w:lang w:val="lv-LV"/>
              </w:rPr>
            </w:pPr>
            <w:del w:id="11027" w:author="AbbVie_HU_03" w:date="2025-05-14T16:39:00Z">
              <w:r w:rsidRPr="00BD646C">
                <w:rPr>
                  <w:bCs/>
                  <w:szCs w:val="22"/>
                  <w:lang w:val="lv-LV"/>
                </w:rPr>
                <w:delText>Tel: +370 5 205 3023</w:delText>
              </w:r>
            </w:del>
          </w:p>
        </w:tc>
      </w:tr>
      <w:tr w:rsidR="00011D2F" w14:paraId="14FBA938" w14:textId="674AC02D" w:rsidTr="001F79B0">
        <w:trPr>
          <w:del w:id="11028" w:author="AbbVie_HU_03" w:date="2025-05-14T16:39:00Z"/>
        </w:trPr>
        <w:tc>
          <w:tcPr>
            <w:tcW w:w="4644" w:type="dxa"/>
            <w:gridSpan w:val="2"/>
          </w:tcPr>
          <w:p w14:paraId="07751376" w14:textId="73C2E843" w:rsidR="00275D71" w:rsidRPr="00BD646C" w:rsidRDefault="00943743" w:rsidP="001F79B0">
            <w:pPr>
              <w:suppressAutoHyphens w:val="0"/>
              <w:rPr>
                <w:del w:id="11029" w:author="AbbVie_HU_03" w:date="2025-05-14T16:39:00Z"/>
                <w:b/>
                <w:bCs/>
                <w:szCs w:val="22"/>
                <w:lang w:val="bg-BG"/>
              </w:rPr>
            </w:pPr>
            <w:del w:id="11030" w:author="AbbVie_HU_03" w:date="2025-05-14T16:39:00Z">
              <w:r w:rsidRPr="00BD646C">
                <w:rPr>
                  <w:b/>
                  <w:bCs/>
                  <w:szCs w:val="22"/>
                  <w:lang w:val="bg-BG"/>
                </w:rPr>
                <w:delText>България</w:delText>
              </w:r>
            </w:del>
          </w:p>
          <w:p w14:paraId="317854A9" w14:textId="3CD12CE6" w:rsidR="00275D71" w:rsidRPr="00BD646C" w:rsidRDefault="00943743" w:rsidP="001F79B0">
            <w:pPr>
              <w:suppressAutoHyphens w:val="0"/>
              <w:rPr>
                <w:del w:id="11031" w:author="AbbVie_HU_03" w:date="2025-05-14T16:39:00Z"/>
                <w:szCs w:val="22"/>
                <w:lang w:val="da-DK"/>
              </w:rPr>
            </w:pPr>
            <w:del w:id="11032" w:author="AbbVie_HU_03" w:date="2025-05-14T16:39:00Z">
              <w:r w:rsidRPr="00BD646C">
                <w:rPr>
                  <w:szCs w:val="22"/>
                  <w:lang w:val="sk-SK"/>
                </w:rPr>
                <w:delText>АбВи ЕООД</w:delText>
              </w:r>
            </w:del>
          </w:p>
          <w:p w14:paraId="7054931C" w14:textId="6DD15309" w:rsidR="00275D71" w:rsidRPr="00BD646C" w:rsidRDefault="00943743" w:rsidP="001F79B0">
            <w:pPr>
              <w:suppressAutoHyphens w:val="0"/>
              <w:rPr>
                <w:del w:id="11033" w:author="AbbVie_HU_03" w:date="2025-05-14T16:39:00Z"/>
                <w:bCs/>
                <w:szCs w:val="22"/>
                <w:lang w:val="da-DK"/>
              </w:rPr>
            </w:pPr>
            <w:del w:id="11034" w:author="AbbVie_HU_03" w:date="2025-05-14T16:39:00Z">
              <w:r w:rsidRPr="00BD646C">
                <w:rPr>
                  <w:szCs w:val="22"/>
                  <w:lang w:val="sk-SK"/>
                </w:rPr>
                <w:delText>Тел</w:delText>
              </w:r>
              <w:r w:rsidRPr="00BD646C">
                <w:rPr>
                  <w:szCs w:val="22"/>
                  <w:lang w:val="it-IT"/>
                </w:rPr>
                <w:delText>.:+359 2 90 30 430</w:delText>
              </w:r>
            </w:del>
          </w:p>
        </w:tc>
        <w:tc>
          <w:tcPr>
            <w:tcW w:w="4678" w:type="dxa"/>
            <w:gridSpan w:val="2"/>
          </w:tcPr>
          <w:p w14:paraId="779C9074" w14:textId="3C52AB93" w:rsidR="00275D71" w:rsidRPr="00BD646C" w:rsidRDefault="00943743" w:rsidP="001F79B0">
            <w:pPr>
              <w:suppressAutoHyphens w:val="0"/>
              <w:rPr>
                <w:del w:id="11035" w:author="AbbVie_HU_03" w:date="2025-05-14T16:39:00Z"/>
                <w:b/>
                <w:bCs/>
                <w:szCs w:val="22"/>
                <w:lang w:val="de-DE"/>
              </w:rPr>
            </w:pPr>
            <w:del w:id="11036" w:author="AbbVie_HU_03" w:date="2025-05-14T16:39:00Z">
              <w:r w:rsidRPr="00BD646C">
                <w:rPr>
                  <w:b/>
                  <w:bCs/>
                  <w:szCs w:val="22"/>
                  <w:lang w:val="de-DE"/>
                </w:rPr>
                <w:delText>Luxembourg/Luxemburg</w:delText>
              </w:r>
            </w:del>
          </w:p>
          <w:p w14:paraId="4C5EB8F0" w14:textId="1BDF5843" w:rsidR="00275D71" w:rsidRPr="00BD646C" w:rsidRDefault="00943743" w:rsidP="001F79B0">
            <w:pPr>
              <w:suppressAutoHyphens w:val="0"/>
              <w:rPr>
                <w:del w:id="11037" w:author="AbbVie_HU_03" w:date="2025-05-14T16:39:00Z"/>
                <w:bCs/>
                <w:szCs w:val="22"/>
                <w:lang w:val="de-DE"/>
              </w:rPr>
            </w:pPr>
            <w:del w:id="11038" w:author="AbbVie_HU_03" w:date="2025-05-14T16:39:00Z">
              <w:r w:rsidRPr="00BD646C">
                <w:rPr>
                  <w:bCs/>
                  <w:szCs w:val="22"/>
                  <w:lang w:val="de-DE"/>
                </w:rPr>
                <w:delText>AbbVie SA</w:delText>
              </w:r>
            </w:del>
          </w:p>
          <w:p w14:paraId="68E9A055" w14:textId="4288B0D0" w:rsidR="00275D71" w:rsidRPr="00BD646C" w:rsidRDefault="00943743" w:rsidP="001F79B0">
            <w:pPr>
              <w:suppressAutoHyphens w:val="0"/>
              <w:rPr>
                <w:del w:id="11039" w:author="AbbVie_HU_03" w:date="2025-05-14T16:39:00Z"/>
                <w:bCs/>
                <w:szCs w:val="22"/>
                <w:lang w:val="de-DE"/>
              </w:rPr>
            </w:pPr>
            <w:del w:id="11040" w:author="AbbVie_HU_03" w:date="2025-05-14T16:39:00Z">
              <w:r w:rsidRPr="00BD646C">
                <w:rPr>
                  <w:bCs/>
                  <w:szCs w:val="22"/>
                  <w:lang w:val="de-DE"/>
                </w:rPr>
                <w:delText>Belgique/Belgien</w:delText>
              </w:r>
            </w:del>
          </w:p>
          <w:p w14:paraId="65B8D237" w14:textId="7787FFB4" w:rsidR="00275D71" w:rsidRPr="00C70C5A" w:rsidRDefault="00943743" w:rsidP="001F79B0">
            <w:pPr>
              <w:suppressAutoHyphens w:val="0"/>
              <w:rPr>
                <w:del w:id="11041" w:author="AbbVie_HU_03" w:date="2025-05-14T16:39:00Z"/>
                <w:szCs w:val="22"/>
                <w:rPrChange w:id="11042" w:author="AbbVie_HU_04" w:date="2025-05-16T12:29:00Z">
                  <w:rPr>
                    <w:del w:id="11043" w:author="AbbVie_HU_03" w:date="2025-05-14T16:39:00Z"/>
                    <w:bCs/>
                    <w:szCs w:val="22"/>
                    <w:lang w:val="fr-FR"/>
                  </w:rPr>
                </w:rPrChange>
              </w:rPr>
            </w:pPr>
            <w:del w:id="11044" w:author="AbbVie_HU_03" w:date="2025-05-14T16:39:00Z">
              <w:r w:rsidRPr="00C70C5A">
                <w:rPr>
                  <w:szCs w:val="22"/>
                  <w:rPrChange w:id="11045" w:author="AbbVie_HU_04" w:date="2025-05-16T12:29:00Z">
                    <w:rPr>
                      <w:bCs/>
                      <w:szCs w:val="22"/>
                      <w:lang w:val="fr-FR"/>
                    </w:rPr>
                  </w:rPrChange>
                </w:rPr>
                <w:delText>Tél/Tel: +32 10 477811</w:delText>
              </w:r>
            </w:del>
          </w:p>
          <w:p w14:paraId="7E65730D" w14:textId="37698CC9" w:rsidR="00275D71" w:rsidRPr="00C70C5A" w:rsidRDefault="00275D71" w:rsidP="001F79B0">
            <w:pPr>
              <w:suppressAutoHyphens w:val="0"/>
              <w:rPr>
                <w:del w:id="11046" w:author="AbbVie_HU_03" w:date="2025-05-14T16:39:00Z"/>
                <w:szCs w:val="22"/>
                <w:rPrChange w:id="11047" w:author="AbbVie_HU_04" w:date="2025-05-16T12:29:00Z">
                  <w:rPr>
                    <w:del w:id="11048" w:author="AbbVie_HU_03" w:date="2025-05-14T16:39:00Z"/>
                    <w:bCs/>
                    <w:szCs w:val="22"/>
                    <w:lang w:val="fr-FR"/>
                  </w:rPr>
                </w:rPrChange>
              </w:rPr>
            </w:pPr>
          </w:p>
        </w:tc>
      </w:tr>
      <w:tr w:rsidR="00011D2F" w14:paraId="29545514" w14:textId="184D1C64" w:rsidTr="001F79B0">
        <w:trPr>
          <w:del w:id="11049" w:author="AbbVie_HU_03" w:date="2025-05-14T16:39:00Z"/>
        </w:trPr>
        <w:tc>
          <w:tcPr>
            <w:tcW w:w="4644" w:type="dxa"/>
            <w:gridSpan w:val="2"/>
          </w:tcPr>
          <w:p w14:paraId="1597879D" w14:textId="66F5EFC8" w:rsidR="00275D71" w:rsidRPr="00BD646C" w:rsidRDefault="00943743" w:rsidP="001F79B0">
            <w:pPr>
              <w:suppressAutoHyphens w:val="0"/>
              <w:rPr>
                <w:del w:id="11050" w:author="AbbVie_HU_03" w:date="2025-05-14T16:39:00Z"/>
                <w:b/>
                <w:bCs/>
                <w:szCs w:val="22"/>
                <w:lang w:val="sk-SK"/>
              </w:rPr>
            </w:pPr>
            <w:del w:id="11051" w:author="AbbVie_HU_03" w:date="2025-05-14T16:39:00Z">
              <w:r w:rsidRPr="00BD646C">
                <w:rPr>
                  <w:b/>
                  <w:bCs/>
                  <w:szCs w:val="22"/>
                  <w:lang w:val="sk-SK"/>
                </w:rPr>
                <w:delText>Česká republika</w:delText>
              </w:r>
            </w:del>
          </w:p>
          <w:p w14:paraId="713A4356" w14:textId="14286878" w:rsidR="00275D71" w:rsidRPr="00BD646C" w:rsidRDefault="00943743" w:rsidP="001F79B0">
            <w:pPr>
              <w:suppressAutoHyphens w:val="0"/>
              <w:rPr>
                <w:del w:id="11052" w:author="AbbVie_HU_03" w:date="2025-05-14T16:39:00Z"/>
                <w:bCs/>
                <w:szCs w:val="22"/>
                <w:lang w:val="sk-SK"/>
              </w:rPr>
            </w:pPr>
            <w:del w:id="11053" w:author="AbbVie_HU_03" w:date="2025-05-14T16:39:00Z">
              <w:r w:rsidRPr="00BD646C">
                <w:rPr>
                  <w:bCs/>
                  <w:szCs w:val="22"/>
                  <w:lang w:val="sk-SK"/>
                </w:rPr>
                <w:delText xml:space="preserve">AbbVie s.r.o. </w:delText>
              </w:r>
            </w:del>
          </w:p>
          <w:p w14:paraId="63362803" w14:textId="4301671A" w:rsidR="00275D71" w:rsidRPr="00BD646C" w:rsidRDefault="00943743" w:rsidP="001F79B0">
            <w:pPr>
              <w:suppressAutoHyphens w:val="0"/>
              <w:rPr>
                <w:del w:id="11054" w:author="AbbVie_HU_03" w:date="2025-05-14T16:39:00Z"/>
                <w:bCs/>
                <w:szCs w:val="22"/>
                <w:lang w:val="sk-SK"/>
              </w:rPr>
            </w:pPr>
            <w:del w:id="11055" w:author="AbbVie_HU_03" w:date="2025-05-14T16:39:00Z">
              <w:r w:rsidRPr="00BD646C">
                <w:rPr>
                  <w:bCs/>
                  <w:szCs w:val="22"/>
                  <w:lang w:val="sk-SK"/>
                </w:rPr>
                <w:delText>Tel: +420 233 098 111</w:delText>
              </w:r>
            </w:del>
          </w:p>
        </w:tc>
        <w:tc>
          <w:tcPr>
            <w:tcW w:w="4678" w:type="dxa"/>
            <w:gridSpan w:val="2"/>
          </w:tcPr>
          <w:p w14:paraId="2FA9D8FA" w14:textId="680B6274" w:rsidR="00275D71" w:rsidRPr="00BD646C" w:rsidRDefault="00943743" w:rsidP="001F79B0">
            <w:pPr>
              <w:suppressAutoHyphens w:val="0"/>
              <w:rPr>
                <w:del w:id="11056" w:author="AbbVie_HU_03" w:date="2025-05-14T16:39:00Z"/>
                <w:b/>
                <w:bCs/>
                <w:szCs w:val="22"/>
              </w:rPr>
            </w:pPr>
            <w:del w:id="11057" w:author="AbbVie_HU_03" w:date="2025-05-14T16:39:00Z">
              <w:r w:rsidRPr="00BD646C">
                <w:rPr>
                  <w:b/>
                  <w:bCs/>
                  <w:szCs w:val="22"/>
                </w:rPr>
                <w:delText>Magyarország</w:delText>
              </w:r>
            </w:del>
          </w:p>
          <w:p w14:paraId="21F5B927" w14:textId="28F1C795" w:rsidR="00275D71" w:rsidRPr="00BD646C" w:rsidRDefault="00943743" w:rsidP="001F79B0">
            <w:pPr>
              <w:suppressAutoHyphens w:val="0"/>
              <w:rPr>
                <w:del w:id="11058" w:author="AbbVie_HU_03" w:date="2025-05-14T16:39:00Z"/>
                <w:bCs/>
                <w:szCs w:val="22"/>
              </w:rPr>
            </w:pPr>
            <w:del w:id="11059" w:author="AbbVie_HU_03" w:date="2025-05-14T16:39:00Z">
              <w:r w:rsidRPr="00BD646C">
                <w:rPr>
                  <w:bCs/>
                  <w:szCs w:val="22"/>
                </w:rPr>
                <w:delText>AbbVie Kft.</w:delText>
              </w:r>
            </w:del>
          </w:p>
          <w:p w14:paraId="6ACCC7D6" w14:textId="494E8E7B" w:rsidR="00275D71" w:rsidRPr="00BD646C" w:rsidRDefault="00943743" w:rsidP="001F79B0">
            <w:pPr>
              <w:suppressAutoHyphens w:val="0"/>
              <w:rPr>
                <w:del w:id="11060" w:author="AbbVie_HU_03" w:date="2025-05-14T16:39:00Z"/>
                <w:bCs/>
                <w:szCs w:val="22"/>
              </w:rPr>
            </w:pPr>
            <w:del w:id="11061" w:author="AbbVie_HU_03" w:date="2025-05-14T16:39:00Z">
              <w:r w:rsidRPr="00BD646C">
                <w:rPr>
                  <w:bCs/>
                  <w:szCs w:val="22"/>
                </w:rPr>
                <w:delText>Tel.:+36 1 455 8600</w:delText>
              </w:r>
            </w:del>
          </w:p>
          <w:p w14:paraId="4D1B3F33" w14:textId="65BCD53B" w:rsidR="00275D71" w:rsidRPr="00BD646C" w:rsidRDefault="00275D71" w:rsidP="001F79B0">
            <w:pPr>
              <w:suppressAutoHyphens w:val="0"/>
              <w:rPr>
                <w:del w:id="11062" w:author="AbbVie_HU_03" w:date="2025-05-14T16:39:00Z"/>
                <w:bCs/>
                <w:szCs w:val="22"/>
              </w:rPr>
            </w:pPr>
          </w:p>
        </w:tc>
      </w:tr>
      <w:tr w:rsidR="00011D2F" w14:paraId="3E6E19B3" w14:textId="15EA771F" w:rsidTr="001F79B0">
        <w:trPr>
          <w:trHeight w:val="737"/>
          <w:del w:id="11063" w:author="AbbVie_HU_03" w:date="2025-05-14T16:39:00Z"/>
        </w:trPr>
        <w:tc>
          <w:tcPr>
            <w:tcW w:w="4644" w:type="dxa"/>
            <w:gridSpan w:val="2"/>
          </w:tcPr>
          <w:p w14:paraId="2350BA08" w14:textId="78316B12" w:rsidR="00275D71" w:rsidRPr="00C70C5A" w:rsidRDefault="00943743" w:rsidP="001F79B0">
            <w:pPr>
              <w:suppressAutoHyphens w:val="0"/>
              <w:rPr>
                <w:del w:id="11064" w:author="AbbVie_HU_03" w:date="2025-05-14T16:39:00Z"/>
                <w:b/>
                <w:szCs w:val="22"/>
                <w:rPrChange w:id="11065" w:author="AbbVie_HU_04" w:date="2025-05-16T12:29:00Z">
                  <w:rPr>
                    <w:del w:id="11066" w:author="AbbVie_HU_03" w:date="2025-05-14T16:39:00Z"/>
                    <w:b/>
                    <w:bCs/>
                    <w:szCs w:val="22"/>
                    <w:lang w:val="en-US"/>
                  </w:rPr>
                </w:rPrChange>
              </w:rPr>
            </w:pPr>
            <w:del w:id="11067" w:author="AbbVie_HU_03" w:date="2025-05-14T16:39:00Z">
              <w:r w:rsidRPr="00C70C5A">
                <w:rPr>
                  <w:b/>
                  <w:szCs w:val="22"/>
                  <w:rPrChange w:id="11068" w:author="AbbVie_HU_04" w:date="2025-05-16T12:29:00Z">
                    <w:rPr>
                      <w:b/>
                      <w:bCs/>
                      <w:szCs w:val="22"/>
                      <w:lang w:val="en-US"/>
                    </w:rPr>
                  </w:rPrChange>
                </w:rPr>
                <w:delText>Danmark</w:delText>
              </w:r>
            </w:del>
          </w:p>
          <w:p w14:paraId="6AFD8F9C" w14:textId="742BF6BC" w:rsidR="00275D71" w:rsidRPr="00C70C5A" w:rsidRDefault="00943743" w:rsidP="001F79B0">
            <w:pPr>
              <w:suppressAutoHyphens w:val="0"/>
              <w:rPr>
                <w:del w:id="11069" w:author="AbbVie_HU_03" w:date="2025-05-14T16:39:00Z"/>
                <w:szCs w:val="22"/>
                <w:rPrChange w:id="11070" w:author="AbbVie_HU_04" w:date="2025-05-16T12:29:00Z">
                  <w:rPr>
                    <w:del w:id="11071" w:author="AbbVie_HU_03" w:date="2025-05-14T16:39:00Z"/>
                    <w:bCs/>
                    <w:szCs w:val="22"/>
                    <w:lang w:val="en-US"/>
                  </w:rPr>
                </w:rPrChange>
              </w:rPr>
            </w:pPr>
            <w:del w:id="11072" w:author="AbbVie_HU_03" w:date="2025-05-14T16:39:00Z">
              <w:r w:rsidRPr="00C70C5A">
                <w:rPr>
                  <w:szCs w:val="22"/>
                  <w:rPrChange w:id="11073" w:author="AbbVie_HU_04" w:date="2025-05-16T12:29:00Z">
                    <w:rPr>
                      <w:bCs/>
                      <w:szCs w:val="22"/>
                      <w:lang w:val="en-US"/>
                    </w:rPr>
                  </w:rPrChange>
                </w:rPr>
                <w:delText>AbbVie A/S</w:delText>
              </w:r>
            </w:del>
          </w:p>
          <w:p w14:paraId="1C7B312F" w14:textId="46C86FF9" w:rsidR="00275D71" w:rsidRPr="00BD646C" w:rsidRDefault="00943743" w:rsidP="001F79B0">
            <w:pPr>
              <w:suppressAutoHyphens w:val="0"/>
              <w:rPr>
                <w:del w:id="11074" w:author="AbbVie_HU_03" w:date="2025-05-14T16:39:00Z"/>
                <w:bCs/>
                <w:szCs w:val="22"/>
                <w:lang w:val="sk-SK"/>
              </w:rPr>
            </w:pPr>
            <w:del w:id="11075" w:author="AbbVie_HU_03" w:date="2025-05-14T16:39:00Z">
              <w:r w:rsidRPr="00C70C5A">
                <w:rPr>
                  <w:szCs w:val="22"/>
                  <w:rPrChange w:id="11076" w:author="AbbVie_HU_04" w:date="2025-05-16T12:29:00Z">
                    <w:rPr>
                      <w:bCs/>
                      <w:szCs w:val="22"/>
                      <w:lang w:val="en-US"/>
                    </w:rPr>
                  </w:rPrChange>
                </w:rPr>
                <w:delText>Tlf: +45 72 30-20-28</w:delText>
              </w:r>
            </w:del>
          </w:p>
        </w:tc>
        <w:tc>
          <w:tcPr>
            <w:tcW w:w="4678" w:type="dxa"/>
            <w:gridSpan w:val="2"/>
          </w:tcPr>
          <w:p w14:paraId="3D1AA5ED" w14:textId="4E6F2C4E" w:rsidR="00275D71" w:rsidRPr="00BD646C" w:rsidRDefault="00943743" w:rsidP="001F79B0">
            <w:pPr>
              <w:suppressAutoHyphens w:val="0"/>
              <w:rPr>
                <w:del w:id="11077" w:author="AbbVie_HU_03" w:date="2025-05-14T16:39:00Z"/>
                <w:b/>
                <w:bCs/>
                <w:szCs w:val="22"/>
                <w:lang w:val="mt-MT"/>
              </w:rPr>
            </w:pPr>
            <w:del w:id="11078" w:author="AbbVie_HU_03" w:date="2025-05-14T16:39:00Z">
              <w:r w:rsidRPr="00BD646C">
                <w:rPr>
                  <w:b/>
                  <w:bCs/>
                  <w:szCs w:val="22"/>
                  <w:lang w:val="mt-MT"/>
                </w:rPr>
                <w:delText>Malta</w:delText>
              </w:r>
            </w:del>
          </w:p>
          <w:p w14:paraId="425C445F" w14:textId="14929A46" w:rsidR="00275D71" w:rsidRPr="00BD646C" w:rsidRDefault="00943743" w:rsidP="001F79B0">
            <w:pPr>
              <w:suppressAutoHyphens w:val="0"/>
              <w:rPr>
                <w:del w:id="11079" w:author="AbbVie_HU_03" w:date="2025-05-14T16:39:00Z"/>
                <w:bCs/>
                <w:szCs w:val="22"/>
                <w:lang w:val="sk-SK"/>
              </w:rPr>
            </w:pPr>
            <w:del w:id="11080" w:author="AbbVie_HU_03" w:date="2025-05-14T16:39:00Z">
              <w:r w:rsidRPr="00BD646C">
                <w:rPr>
                  <w:bCs/>
                  <w:szCs w:val="22"/>
                  <w:lang w:val="sk-SK"/>
                </w:rPr>
                <w:delText xml:space="preserve">V.J.Salomone Pharma Limited </w:delText>
              </w:r>
            </w:del>
          </w:p>
          <w:p w14:paraId="68B7D118" w14:textId="1C895A24" w:rsidR="00275D71" w:rsidRPr="00BD646C" w:rsidRDefault="00943743" w:rsidP="001F79B0">
            <w:pPr>
              <w:suppressAutoHyphens w:val="0"/>
              <w:rPr>
                <w:del w:id="11081" w:author="AbbVie_HU_03" w:date="2025-05-14T16:39:00Z"/>
                <w:bCs/>
                <w:szCs w:val="22"/>
                <w:lang w:val="sk-SK"/>
              </w:rPr>
            </w:pPr>
            <w:del w:id="11082" w:author="AbbVie_HU_03" w:date="2025-05-14T16:39:00Z">
              <w:r w:rsidRPr="00BD646C">
                <w:rPr>
                  <w:bCs/>
                  <w:szCs w:val="22"/>
                  <w:lang w:val="sk-SK"/>
                </w:rPr>
                <w:delText xml:space="preserve">Tel: </w:delText>
              </w:r>
              <w:r w:rsidR="00192C55">
                <w:rPr>
                  <w:bCs/>
                  <w:szCs w:val="22"/>
                </w:rPr>
                <w:delText>+356 21220174</w:delText>
              </w:r>
            </w:del>
          </w:p>
          <w:p w14:paraId="6EDD64BA" w14:textId="5C53CCF3" w:rsidR="00275D71" w:rsidRPr="00BD646C" w:rsidRDefault="00275D71" w:rsidP="001F79B0">
            <w:pPr>
              <w:suppressAutoHyphens w:val="0"/>
              <w:rPr>
                <w:del w:id="11083" w:author="AbbVie_HU_03" w:date="2025-05-14T16:39:00Z"/>
                <w:bCs/>
                <w:szCs w:val="22"/>
                <w:lang w:val="sk-SK"/>
              </w:rPr>
            </w:pPr>
          </w:p>
        </w:tc>
      </w:tr>
      <w:tr w:rsidR="00011D2F" w14:paraId="1642FC96" w14:textId="327BD2F0" w:rsidTr="001F79B0">
        <w:trPr>
          <w:del w:id="11084" w:author="AbbVie_HU_03" w:date="2025-05-14T16:39:00Z"/>
        </w:trPr>
        <w:tc>
          <w:tcPr>
            <w:tcW w:w="4644" w:type="dxa"/>
            <w:gridSpan w:val="2"/>
          </w:tcPr>
          <w:p w14:paraId="20DCB1AF" w14:textId="1EA326DD" w:rsidR="00275D71" w:rsidRPr="00BD646C" w:rsidRDefault="00943743" w:rsidP="001F79B0">
            <w:pPr>
              <w:suppressAutoHyphens w:val="0"/>
              <w:rPr>
                <w:del w:id="11085" w:author="AbbVie_HU_03" w:date="2025-05-14T16:39:00Z"/>
                <w:b/>
                <w:bCs/>
                <w:szCs w:val="22"/>
                <w:lang w:val="de-DE"/>
              </w:rPr>
            </w:pPr>
            <w:del w:id="11086" w:author="AbbVie_HU_03" w:date="2025-05-14T16:39:00Z">
              <w:r w:rsidRPr="00BD646C">
                <w:rPr>
                  <w:b/>
                  <w:bCs/>
                  <w:szCs w:val="22"/>
                  <w:lang w:val="de-DE"/>
                </w:rPr>
                <w:delText>Deutschland</w:delText>
              </w:r>
            </w:del>
          </w:p>
          <w:p w14:paraId="4D994F41" w14:textId="0AF33535" w:rsidR="00275D71" w:rsidRPr="00BD646C" w:rsidRDefault="00943743" w:rsidP="001F79B0">
            <w:pPr>
              <w:suppressAutoHyphens w:val="0"/>
              <w:rPr>
                <w:del w:id="11087" w:author="AbbVie_HU_03" w:date="2025-05-14T16:39:00Z"/>
                <w:bCs/>
                <w:szCs w:val="22"/>
                <w:lang w:val="de-DE"/>
              </w:rPr>
            </w:pPr>
            <w:del w:id="11088" w:author="AbbVie_HU_03" w:date="2025-05-14T16:39:00Z">
              <w:r w:rsidRPr="00BD646C">
                <w:rPr>
                  <w:szCs w:val="22"/>
                  <w:lang w:val="de-DE"/>
                </w:rPr>
                <w:delText xml:space="preserve">AbbVie Deutschland </w:delText>
              </w:r>
              <w:r w:rsidRPr="00BD646C">
                <w:rPr>
                  <w:bCs/>
                  <w:szCs w:val="22"/>
                  <w:lang w:val="de-DE"/>
                </w:rPr>
                <w:delText>GmbH &amp; Co. KG</w:delText>
              </w:r>
            </w:del>
          </w:p>
          <w:p w14:paraId="0D8251CC" w14:textId="372C850B" w:rsidR="00275D71" w:rsidRPr="00BD646C" w:rsidRDefault="00943743" w:rsidP="001F79B0">
            <w:pPr>
              <w:suppressAutoHyphens w:val="0"/>
              <w:rPr>
                <w:del w:id="11089" w:author="AbbVie_HU_03" w:date="2025-05-14T16:39:00Z"/>
                <w:szCs w:val="22"/>
                <w:lang w:val="de-DE"/>
              </w:rPr>
            </w:pPr>
            <w:del w:id="11090" w:author="AbbVie_HU_03" w:date="2025-05-14T16:39:00Z">
              <w:r w:rsidRPr="00BD646C">
                <w:rPr>
                  <w:szCs w:val="22"/>
                  <w:lang w:val="de-DE"/>
                </w:rPr>
                <w:delText>Tel: 00800 222843 33 (gebührenfrei)</w:delText>
              </w:r>
            </w:del>
          </w:p>
          <w:p w14:paraId="5B88C923" w14:textId="7E42F803" w:rsidR="00275D71" w:rsidRPr="00BD646C" w:rsidRDefault="00943743" w:rsidP="001F79B0">
            <w:pPr>
              <w:suppressAutoHyphens w:val="0"/>
              <w:rPr>
                <w:del w:id="11091" w:author="AbbVie_HU_03" w:date="2025-05-14T16:39:00Z"/>
                <w:szCs w:val="22"/>
                <w:lang w:val="de-DE"/>
              </w:rPr>
            </w:pPr>
            <w:del w:id="11092" w:author="AbbVie_HU_03" w:date="2025-05-14T16:39:00Z">
              <w:r w:rsidRPr="00BD646C">
                <w:rPr>
                  <w:szCs w:val="22"/>
                  <w:lang w:val="de-DE"/>
                </w:rPr>
                <w:delText>Tel: +49 (0) 611 / 1720-0</w:delText>
              </w:r>
            </w:del>
          </w:p>
          <w:p w14:paraId="29992F3D" w14:textId="6A3173D6" w:rsidR="00275D71" w:rsidRPr="00BD646C" w:rsidRDefault="00275D71" w:rsidP="001F79B0">
            <w:pPr>
              <w:suppressAutoHyphens w:val="0"/>
              <w:rPr>
                <w:del w:id="11093" w:author="AbbVie_HU_03" w:date="2025-05-14T16:39:00Z"/>
                <w:szCs w:val="22"/>
                <w:lang w:val="de-DE"/>
              </w:rPr>
            </w:pPr>
          </w:p>
        </w:tc>
        <w:tc>
          <w:tcPr>
            <w:tcW w:w="4678" w:type="dxa"/>
            <w:gridSpan w:val="2"/>
          </w:tcPr>
          <w:p w14:paraId="74B603BC" w14:textId="5A7491B9" w:rsidR="00275D71" w:rsidRPr="00BD646C" w:rsidRDefault="00943743" w:rsidP="001F79B0">
            <w:pPr>
              <w:suppressAutoHyphens w:val="0"/>
              <w:rPr>
                <w:del w:id="11094" w:author="AbbVie_HU_03" w:date="2025-05-14T16:39:00Z"/>
                <w:b/>
                <w:bCs/>
                <w:szCs w:val="22"/>
                <w:lang w:val="nl-NL"/>
              </w:rPr>
            </w:pPr>
            <w:del w:id="11095" w:author="AbbVie_HU_03" w:date="2025-05-14T16:39:00Z">
              <w:r w:rsidRPr="00BD646C">
                <w:rPr>
                  <w:b/>
                  <w:bCs/>
                  <w:szCs w:val="22"/>
                  <w:lang w:val="nl-NL"/>
                </w:rPr>
                <w:delText>Nederland</w:delText>
              </w:r>
            </w:del>
          </w:p>
          <w:p w14:paraId="05BA3591" w14:textId="44A381D7" w:rsidR="00275D71" w:rsidRPr="00BD646C" w:rsidRDefault="00943743" w:rsidP="001F79B0">
            <w:pPr>
              <w:suppressAutoHyphens w:val="0"/>
              <w:rPr>
                <w:del w:id="11096" w:author="AbbVie_HU_03" w:date="2025-05-14T16:39:00Z"/>
                <w:bCs/>
                <w:szCs w:val="22"/>
                <w:lang w:val="de-DE"/>
              </w:rPr>
            </w:pPr>
            <w:del w:id="11097" w:author="AbbVie_HU_03" w:date="2025-05-14T16:39:00Z">
              <w:r w:rsidRPr="00BD646C">
                <w:rPr>
                  <w:bCs/>
                  <w:szCs w:val="22"/>
                  <w:lang w:val="de-DE"/>
                </w:rPr>
                <w:delText>AbbVie B.V.</w:delText>
              </w:r>
            </w:del>
          </w:p>
          <w:p w14:paraId="53A5AF4D" w14:textId="023B280B" w:rsidR="00275D71" w:rsidRPr="00BD646C" w:rsidRDefault="00943743" w:rsidP="001F79B0">
            <w:pPr>
              <w:suppressAutoHyphens w:val="0"/>
              <w:rPr>
                <w:del w:id="11098" w:author="AbbVie_HU_03" w:date="2025-05-14T16:39:00Z"/>
                <w:bCs/>
                <w:szCs w:val="22"/>
                <w:lang w:val="de-DE"/>
              </w:rPr>
            </w:pPr>
            <w:del w:id="11099" w:author="AbbVie_HU_03" w:date="2025-05-14T16:39:00Z">
              <w:r w:rsidRPr="00BD646C">
                <w:rPr>
                  <w:bCs/>
                  <w:szCs w:val="22"/>
                  <w:lang w:val="de-DE"/>
                </w:rPr>
                <w:delText>Tel: +31 (0)88 322 2843</w:delText>
              </w:r>
            </w:del>
          </w:p>
        </w:tc>
      </w:tr>
      <w:tr w:rsidR="00011D2F" w14:paraId="2EF1E56F" w14:textId="3FA311C8" w:rsidTr="001F79B0">
        <w:trPr>
          <w:del w:id="11100" w:author="AbbVie_HU_03" w:date="2025-05-14T16:39:00Z"/>
        </w:trPr>
        <w:tc>
          <w:tcPr>
            <w:tcW w:w="4644" w:type="dxa"/>
            <w:gridSpan w:val="2"/>
          </w:tcPr>
          <w:p w14:paraId="22E0B147" w14:textId="7379C217" w:rsidR="00275D71" w:rsidRPr="00BD646C" w:rsidRDefault="00943743" w:rsidP="001F79B0">
            <w:pPr>
              <w:suppressAutoHyphens w:val="0"/>
              <w:rPr>
                <w:del w:id="11101" w:author="AbbVie_HU_03" w:date="2025-05-14T16:39:00Z"/>
                <w:b/>
                <w:bCs/>
                <w:szCs w:val="22"/>
                <w:lang w:val="et-EE"/>
              </w:rPr>
            </w:pPr>
            <w:del w:id="11102" w:author="AbbVie_HU_03" w:date="2025-05-14T16:39:00Z">
              <w:r w:rsidRPr="00BD646C">
                <w:rPr>
                  <w:b/>
                  <w:bCs/>
                  <w:szCs w:val="22"/>
                  <w:lang w:val="et-EE"/>
                </w:rPr>
                <w:delText>Eesti</w:delText>
              </w:r>
            </w:del>
          </w:p>
          <w:p w14:paraId="20FDBFC5" w14:textId="6C6A6F44" w:rsidR="00275D71" w:rsidRPr="00BD646C" w:rsidRDefault="00943743" w:rsidP="001F79B0">
            <w:pPr>
              <w:suppressAutoHyphens w:val="0"/>
              <w:rPr>
                <w:del w:id="11103" w:author="AbbVie_HU_03" w:date="2025-05-14T16:39:00Z"/>
                <w:bCs/>
                <w:szCs w:val="22"/>
                <w:lang w:val="et-EE"/>
              </w:rPr>
            </w:pPr>
            <w:del w:id="11104" w:author="AbbVie_HU_03" w:date="2025-05-14T16:39:00Z">
              <w:r w:rsidRPr="00BD646C">
                <w:rPr>
                  <w:bCs/>
                  <w:szCs w:val="22"/>
                  <w:lang w:val="et-EE"/>
                </w:rPr>
                <w:delText xml:space="preserve">AbbVie </w:delText>
              </w:r>
              <w:r w:rsidRPr="00BD646C">
                <w:rPr>
                  <w:bCs/>
                  <w:szCs w:val="22"/>
                  <w:lang w:val="sk-SK"/>
                </w:rPr>
                <w:delText>OÜ</w:delText>
              </w:r>
              <w:r w:rsidRPr="00BD646C">
                <w:rPr>
                  <w:bCs/>
                  <w:szCs w:val="22"/>
                  <w:lang w:val="et-EE"/>
                </w:rPr>
                <w:delText xml:space="preserve"> </w:delText>
              </w:r>
            </w:del>
          </w:p>
          <w:p w14:paraId="41B2AD47" w14:textId="685FCBAE" w:rsidR="00275D71" w:rsidRPr="00BD646C" w:rsidRDefault="00943743" w:rsidP="001F79B0">
            <w:pPr>
              <w:suppressAutoHyphens w:val="0"/>
              <w:rPr>
                <w:del w:id="11105" w:author="AbbVie_HU_03" w:date="2025-05-14T16:39:00Z"/>
                <w:bCs/>
                <w:szCs w:val="22"/>
                <w:lang w:val="lv-LV"/>
              </w:rPr>
            </w:pPr>
            <w:del w:id="11106" w:author="AbbVie_HU_03" w:date="2025-05-14T16:39:00Z">
              <w:r w:rsidRPr="00BD646C">
                <w:rPr>
                  <w:bCs/>
                  <w:szCs w:val="22"/>
                  <w:lang w:val="et-EE"/>
                </w:rPr>
                <w:delText>Tel: +372 623 1011</w:delText>
              </w:r>
            </w:del>
          </w:p>
        </w:tc>
        <w:tc>
          <w:tcPr>
            <w:tcW w:w="4678" w:type="dxa"/>
            <w:gridSpan w:val="2"/>
          </w:tcPr>
          <w:p w14:paraId="7EAE45EB" w14:textId="61705524" w:rsidR="00275D71" w:rsidRPr="00BD646C" w:rsidRDefault="00943743" w:rsidP="001F79B0">
            <w:pPr>
              <w:suppressAutoHyphens w:val="0"/>
              <w:rPr>
                <w:del w:id="11107" w:author="AbbVie_HU_03" w:date="2025-05-14T16:39:00Z"/>
                <w:b/>
                <w:bCs/>
                <w:szCs w:val="22"/>
                <w:lang w:val="nb-NO"/>
              </w:rPr>
            </w:pPr>
            <w:del w:id="11108" w:author="AbbVie_HU_03" w:date="2025-05-14T16:39:00Z">
              <w:r w:rsidRPr="00BD646C">
                <w:rPr>
                  <w:b/>
                  <w:bCs/>
                  <w:szCs w:val="22"/>
                  <w:lang w:val="nb-NO"/>
                </w:rPr>
                <w:delText>Norge</w:delText>
              </w:r>
            </w:del>
          </w:p>
          <w:p w14:paraId="7EBD535C" w14:textId="04AA0180" w:rsidR="00275D71" w:rsidRPr="00BD646C" w:rsidRDefault="00943743" w:rsidP="001F79B0">
            <w:pPr>
              <w:suppressAutoHyphens w:val="0"/>
              <w:rPr>
                <w:del w:id="11109" w:author="AbbVie_HU_03" w:date="2025-05-14T16:39:00Z"/>
                <w:bCs/>
                <w:szCs w:val="22"/>
                <w:lang w:val="sk-SK"/>
              </w:rPr>
            </w:pPr>
            <w:del w:id="11110" w:author="AbbVie_HU_03" w:date="2025-05-14T16:39:00Z">
              <w:r w:rsidRPr="00BD646C">
                <w:rPr>
                  <w:bCs/>
                  <w:szCs w:val="22"/>
                  <w:lang w:val="sk-SK"/>
                </w:rPr>
                <w:delText>AbbVie AS</w:delText>
              </w:r>
            </w:del>
          </w:p>
          <w:p w14:paraId="4033EE87" w14:textId="1A5C85E7" w:rsidR="00275D71" w:rsidRPr="00BD646C" w:rsidRDefault="00943743" w:rsidP="001F79B0">
            <w:pPr>
              <w:suppressAutoHyphens w:val="0"/>
              <w:rPr>
                <w:del w:id="11111" w:author="AbbVie_HU_03" w:date="2025-05-14T16:39:00Z"/>
                <w:bCs/>
                <w:szCs w:val="22"/>
                <w:lang w:val="sk-SK"/>
              </w:rPr>
            </w:pPr>
            <w:del w:id="11112" w:author="AbbVie_HU_03" w:date="2025-05-14T16:39:00Z">
              <w:r w:rsidRPr="00BD646C">
                <w:rPr>
                  <w:bCs/>
                  <w:szCs w:val="22"/>
                  <w:lang w:val="sk-SK"/>
                </w:rPr>
                <w:delText>Tlf: +47 67 81 80 00</w:delText>
              </w:r>
            </w:del>
          </w:p>
          <w:p w14:paraId="23527F7F" w14:textId="6A89B2F3" w:rsidR="00275D71" w:rsidRPr="00BD646C" w:rsidRDefault="00275D71" w:rsidP="001F79B0">
            <w:pPr>
              <w:suppressAutoHyphens w:val="0"/>
              <w:rPr>
                <w:del w:id="11113" w:author="AbbVie_HU_03" w:date="2025-05-14T16:39:00Z"/>
                <w:bCs/>
                <w:szCs w:val="22"/>
                <w:lang w:val="sk-SK"/>
              </w:rPr>
            </w:pPr>
          </w:p>
        </w:tc>
      </w:tr>
      <w:tr w:rsidR="00011D2F" w14:paraId="06DD56A9" w14:textId="24022C19" w:rsidTr="001F79B0">
        <w:trPr>
          <w:trHeight w:val="794"/>
          <w:del w:id="11114" w:author="AbbVie_HU_03" w:date="2025-05-14T16:39:00Z"/>
        </w:trPr>
        <w:tc>
          <w:tcPr>
            <w:tcW w:w="4644" w:type="dxa"/>
            <w:gridSpan w:val="2"/>
          </w:tcPr>
          <w:p w14:paraId="10FB92F1" w14:textId="5FDC8C62" w:rsidR="00275D71" w:rsidRPr="00BD646C" w:rsidRDefault="00943743" w:rsidP="001F79B0">
            <w:pPr>
              <w:suppressAutoHyphens w:val="0"/>
              <w:rPr>
                <w:del w:id="11115" w:author="AbbVie_HU_03" w:date="2025-05-14T16:39:00Z"/>
                <w:b/>
                <w:bCs/>
                <w:szCs w:val="22"/>
                <w:lang w:val="el-GR"/>
              </w:rPr>
            </w:pPr>
            <w:del w:id="11116" w:author="AbbVie_HU_03" w:date="2025-05-14T16:39:00Z">
              <w:r w:rsidRPr="00BD646C">
                <w:rPr>
                  <w:b/>
                  <w:bCs/>
                  <w:szCs w:val="22"/>
                  <w:lang w:val="el-GR"/>
                </w:rPr>
                <w:delText>Ελλάδα</w:delText>
              </w:r>
            </w:del>
          </w:p>
          <w:p w14:paraId="1E40E332" w14:textId="70DF4022" w:rsidR="00275D71" w:rsidRPr="00BD646C" w:rsidRDefault="00943743" w:rsidP="001F79B0">
            <w:pPr>
              <w:suppressAutoHyphens w:val="0"/>
              <w:rPr>
                <w:del w:id="11117" w:author="AbbVie_HU_03" w:date="2025-05-14T16:39:00Z"/>
                <w:bCs/>
                <w:szCs w:val="22"/>
                <w:lang w:val="el-GR"/>
              </w:rPr>
            </w:pPr>
            <w:del w:id="11118" w:author="AbbVie_HU_03" w:date="2025-05-14T16:39:00Z">
              <w:r w:rsidRPr="00BD646C">
                <w:rPr>
                  <w:bCs/>
                  <w:szCs w:val="22"/>
                  <w:lang w:val="et-EE"/>
                </w:rPr>
                <w:delText xml:space="preserve">AbbVie </w:delText>
              </w:r>
              <w:r w:rsidRPr="00BD646C">
                <w:rPr>
                  <w:szCs w:val="22"/>
                  <w:lang w:val="el-GR"/>
                </w:rPr>
                <w:delText>ΦΑΡΜΑΚΕΥΤΙΚΗ Α.Ε.</w:delText>
              </w:r>
            </w:del>
          </w:p>
          <w:p w14:paraId="3A58BF1E" w14:textId="6C011FB4" w:rsidR="00275D71" w:rsidRPr="00BD646C" w:rsidRDefault="00943743" w:rsidP="001F79B0">
            <w:pPr>
              <w:suppressAutoHyphens w:val="0"/>
              <w:rPr>
                <w:del w:id="11119" w:author="AbbVie_HU_03" w:date="2025-05-14T16:39:00Z"/>
                <w:bCs/>
                <w:szCs w:val="22"/>
                <w:lang w:val="sk-SK"/>
              </w:rPr>
            </w:pPr>
            <w:del w:id="11120" w:author="AbbVie_HU_03" w:date="2025-05-14T16:39:00Z">
              <w:r w:rsidRPr="00BD646C">
                <w:rPr>
                  <w:bCs/>
                  <w:szCs w:val="22"/>
                  <w:lang w:val="el-GR"/>
                </w:rPr>
                <w:delText xml:space="preserve">Τηλ: +30 </w:delText>
              </w:r>
              <w:r w:rsidRPr="00BD646C">
                <w:rPr>
                  <w:bCs/>
                  <w:szCs w:val="22"/>
                  <w:lang w:val="sk-SK"/>
                </w:rPr>
                <w:delText>214 4165 555</w:delText>
              </w:r>
            </w:del>
          </w:p>
        </w:tc>
        <w:tc>
          <w:tcPr>
            <w:tcW w:w="4678" w:type="dxa"/>
            <w:gridSpan w:val="2"/>
          </w:tcPr>
          <w:p w14:paraId="79A8C673" w14:textId="276F3B78" w:rsidR="00275D71" w:rsidRPr="00BD646C" w:rsidRDefault="00943743" w:rsidP="001F79B0">
            <w:pPr>
              <w:suppressAutoHyphens w:val="0"/>
              <w:rPr>
                <w:del w:id="11121" w:author="AbbVie_HU_03" w:date="2025-05-14T16:39:00Z"/>
                <w:b/>
                <w:bCs/>
                <w:szCs w:val="22"/>
                <w:lang w:val="de-DE"/>
              </w:rPr>
            </w:pPr>
            <w:del w:id="11122" w:author="AbbVie_HU_03" w:date="2025-05-14T16:39:00Z">
              <w:r w:rsidRPr="00BD646C">
                <w:rPr>
                  <w:b/>
                  <w:bCs/>
                  <w:szCs w:val="22"/>
                  <w:lang w:val="de-DE"/>
                </w:rPr>
                <w:delText>Österreich</w:delText>
              </w:r>
            </w:del>
          </w:p>
          <w:p w14:paraId="5AD220D6" w14:textId="2207282F" w:rsidR="00275D71" w:rsidRPr="00BD646C" w:rsidRDefault="00943743" w:rsidP="001F79B0">
            <w:pPr>
              <w:suppressAutoHyphens w:val="0"/>
              <w:rPr>
                <w:del w:id="11123" w:author="AbbVie_HU_03" w:date="2025-05-14T16:39:00Z"/>
                <w:bCs/>
                <w:szCs w:val="22"/>
                <w:lang w:val="de-DE"/>
              </w:rPr>
            </w:pPr>
            <w:del w:id="11124" w:author="AbbVie_HU_03" w:date="2025-05-14T16:39:00Z">
              <w:r w:rsidRPr="00BD646C">
                <w:rPr>
                  <w:bCs/>
                  <w:szCs w:val="22"/>
                  <w:lang w:val="de-DE"/>
                </w:rPr>
                <w:delText xml:space="preserve">AbbVie GmbH </w:delText>
              </w:r>
            </w:del>
          </w:p>
          <w:p w14:paraId="4A42A3B5" w14:textId="39DBC78C" w:rsidR="00275D71" w:rsidRPr="00BD646C" w:rsidRDefault="00943743" w:rsidP="001F79B0">
            <w:pPr>
              <w:suppressAutoHyphens w:val="0"/>
              <w:rPr>
                <w:del w:id="11125" w:author="AbbVie_HU_03" w:date="2025-05-14T16:39:00Z"/>
                <w:bCs/>
                <w:szCs w:val="22"/>
                <w:lang w:val="de-DE"/>
              </w:rPr>
            </w:pPr>
            <w:del w:id="11126" w:author="AbbVie_HU_03" w:date="2025-05-14T16:39:00Z">
              <w:r w:rsidRPr="00BD646C">
                <w:rPr>
                  <w:bCs/>
                  <w:szCs w:val="22"/>
                  <w:lang w:val="de-DE"/>
                </w:rPr>
                <w:delText>Tel: +43 1 20589-0</w:delText>
              </w:r>
            </w:del>
          </w:p>
          <w:p w14:paraId="798F3B28" w14:textId="3F831D27" w:rsidR="00275D71" w:rsidRPr="00BD646C" w:rsidRDefault="00275D71" w:rsidP="001F79B0">
            <w:pPr>
              <w:suppressAutoHyphens w:val="0"/>
              <w:rPr>
                <w:del w:id="11127" w:author="AbbVie_HU_03" w:date="2025-05-14T16:39:00Z"/>
                <w:bCs/>
                <w:szCs w:val="22"/>
                <w:lang w:val="de-DE"/>
              </w:rPr>
            </w:pPr>
          </w:p>
        </w:tc>
      </w:tr>
      <w:tr w:rsidR="00011D2F" w14:paraId="0A5720AB" w14:textId="74280EE6" w:rsidTr="001F79B0">
        <w:trPr>
          <w:gridBefore w:val="1"/>
          <w:wBefore w:w="34" w:type="dxa"/>
          <w:del w:id="11128" w:author="AbbVie_HU_03" w:date="2025-05-14T16:39:00Z"/>
        </w:trPr>
        <w:tc>
          <w:tcPr>
            <w:tcW w:w="4644" w:type="dxa"/>
            <w:gridSpan w:val="2"/>
          </w:tcPr>
          <w:p w14:paraId="74523EE0" w14:textId="18E70B34" w:rsidR="00275D71" w:rsidRPr="00BD646C" w:rsidRDefault="00943743" w:rsidP="001F79B0">
            <w:pPr>
              <w:suppressAutoHyphens w:val="0"/>
              <w:rPr>
                <w:del w:id="11129" w:author="AbbVie_HU_03" w:date="2025-05-14T16:39:00Z"/>
                <w:b/>
                <w:bCs/>
                <w:szCs w:val="22"/>
                <w:lang w:val="es-ES"/>
              </w:rPr>
            </w:pPr>
            <w:del w:id="11130" w:author="AbbVie_HU_03" w:date="2025-05-14T16:39:00Z">
              <w:r w:rsidRPr="00BD646C">
                <w:rPr>
                  <w:b/>
                  <w:bCs/>
                  <w:szCs w:val="22"/>
                  <w:lang w:val="es-ES"/>
                </w:rPr>
                <w:delText>España</w:delText>
              </w:r>
            </w:del>
          </w:p>
          <w:p w14:paraId="1242FB08" w14:textId="5AEFCF03" w:rsidR="00275D71" w:rsidRPr="00BD646C" w:rsidRDefault="00943743" w:rsidP="001F79B0">
            <w:pPr>
              <w:suppressAutoHyphens w:val="0"/>
              <w:rPr>
                <w:del w:id="11131" w:author="AbbVie_HU_03" w:date="2025-05-14T16:39:00Z"/>
                <w:szCs w:val="22"/>
                <w:lang w:val="es-ES"/>
              </w:rPr>
            </w:pPr>
            <w:del w:id="11132" w:author="AbbVie_HU_03" w:date="2025-05-14T16:39:00Z">
              <w:r w:rsidRPr="00BD646C">
                <w:rPr>
                  <w:szCs w:val="22"/>
                  <w:lang w:val="es-ES"/>
                </w:rPr>
                <w:delText xml:space="preserve">AbbVie </w:delText>
              </w:r>
              <w:r w:rsidRPr="00BD646C">
                <w:rPr>
                  <w:bCs/>
                  <w:szCs w:val="22"/>
                  <w:lang w:val="es-ES"/>
                </w:rPr>
                <w:delText>Spain</w:delText>
              </w:r>
              <w:r w:rsidRPr="00BD646C">
                <w:rPr>
                  <w:szCs w:val="22"/>
                  <w:lang w:val="es-ES"/>
                </w:rPr>
                <w:delText>, S.L.U</w:delText>
              </w:r>
              <w:r w:rsidRPr="00BD646C">
                <w:rPr>
                  <w:bCs/>
                  <w:szCs w:val="22"/>
                  <w:lang w:val="es-ES"/>
                </w:rPr>
                <w:delText>.</w:delText>
              </w:r>
            </w:del>
          </w:p>
          <w:p w14:paraId="2EA52BDD" w14:textId="4C3B75B1" w:rsidR="00275D71" w:rsidRPr="00BD646C" w:rsidRDefault="00943743" w:rsidP="001F79B0">
            <w:pPr>
              <w:suppressAutoHyphens w:val="0"/>
              <w:rPr>
                <w:del w:id="11133" w:author="AbbVie_HU_03" w:date="2025-05-14T16:39:00Z"/>
                <w:bCs/>
                <w:szCs w:val="22"/>
                <w:lang w:val="pl-PL"/>
              </w:rPr>
            </w:pPr>
            <w:del w:id="11134" w:author="AbbVie_HU_03" w:date="2025-05-14T16:39:00Z">
              <w:r w:rsidRPr="00BD646C">
                <w:rPr>
                  <w:bCs/>
                  <w:szCs w:val="22"/>
                  <w:lang w:val="pt-PT"/>
                </w:rPr>
                <w:delText>Tel: +34 91 384 09 10</w:delText>
              </w:r>
            </w:del>
          </w:p>
        </w:tc>
        <w:tc>
          <w:tcPr>
            <w:tcW w:w="4678" w:type="dxa"/>
          </w:tcPr>
          <w:p w14:paraId="11907B7B" w14:textId="5C878A0D" w:rsidR="00275D71" w:rsidRPr="00BD646C" w:rsidRDefault="00943743" w:rsidP="001F79B0">
            <w:pPr>
              <w:suppressAutoHyphens w:val="0"/>
              <w:rPr>
                <w:del w:id="11135" w:author="AbbVie_HU_03" w:date="2025-05-14T16:39:00Z"/>
                <w:b/>
                <w:bCs/>
                <w:iCs/>
                <w:szCs w:val="22"/>
                <w:lang w:val="pl-PL"/>
              </w:rPr>
            </w:pPr>
            <w:del w:id="11136" w:author="AbbVie_HU_03" w:date="2025-05-14T16:39:00Z">
              <w:r w:rsidRPr="00BD646C">
                <w:rPr>
                  <w:b/>
                  <w:bCs/>
                  <w:iCs/>
                  <w:szCs w:val="22"/>
                  <w:lang w:val="pl-PL"/>
                </w:rPr>
                <w:delText>Polska</w:delText>
              </w:r>
            </w:del>
          </w:p>
          <w:p w14:paraId="6EDDC804" w14:textId="4EB34083" w:rsidR="00275D71" w:rsidRPr="00BD646C" w:rsidRDefault="00943743" w:rsidP="001F79B0">
            <w:pPr>
              <w:suppressAutoHyphens w:val="0"/>
              <w:rPr>
                <w:del w:id="11137" w:author="AbbVie_HU_03" w:date="2025-05-14T16:39:00Z"/>
                <w:bCs/>
                <w:szCs w:val="22"/>
                <w:lang w:val="pl-PL"/>
              </w:rPr>
            </w:pPr>
            <w:del w:id="11138" w:author="AbbVie_HU_03" w:date="2025-05-14T16:39:00Z">
              <w:r w:rsidRPr="00BD646C">
                <w:rPr>
                  <w:bCs/>
                  <w:szCs w:val="22"/>
                  <w:lang w:val="pl-PL"/>
                </w:rPr>
                <w:delText>AbbVie Sp. z o.o.</w:delText>
              </w:r>
            </w:del>
          </w:p>
          <w:p w14:paraId="4D4F3358" w14:textId="1C8C9059" w:rsidR="00275D71" w:rsidRPr="00BD646C" w:rsidRDefault="00943743" w:rsidP="001F79B0">
            <w:pPr>
              <w:suppressAutoHyphens w:val="0"/>
              <w:rPr>
                <w:del w:id="11139" w:author="AbbVie_HU_03" w:date="2025-05-14T16:39:00Z"/>
                <w:bCs/>
                <w:szCs w:val="22"/>
                <w:lang w:val="pl-PL"/>
              </w:rPr>
            </w:pPr>
            <w:del w:id="11140" w:author="AbbVie_HU_03" w:date="2025-05-14T16:39:00Z">
              <w:r w:rsidRPr="00BD646C">
                <w:rPr>
                  <w:szCs w:val="22"/>
                  <w:lang w:val="es-ES"/>
                </w:rPr>
                <w:delText xml:space="preserve">Tel.: +48 22 </w:delText>
              </w:r>
              <w:r w:rsidRPr="00BD646C">
                <w:rPr>
                  <w:bCs/>
                  <w:szCs w:val="22"/>
                  <w:lang w:val="pl-PL"/>
                </w:rPr>
                <w:delText xml:space="preserve">372 78 00 </w:delText>
              </w:r>
            </w:del>
          </w:p>
          <w:p w14:paraId="72719467" w14:textId="578A6A97" w:rsidR="00275D71" w:rsidRPr="00BD646C" w:rsidRDefault="00275D71" w:rsidP="001F79B0">
            <w:pPr>
              <w:suppressAutoHyphens w:val="0"/>
              <w:rPr>
                <w:del w:id="11141" w:author="AbbVie_HU_03" w:date="2025-05-14T16:39:00Z"/>
                <w:bCs/>
                <w:szCs w:val="22"/>
                <w:lang w:val="pl-PL"/>
              </w:rPr>
            </w:pPr>
          </w:p>
        </w:tc>
      </w:tr>
      <w:tr w:rsidR="00011D2F" w14:paraId="3EAB59A8" w14:textId="4FFA46A9" w:rsidTr="001F79B0">
        <w:trPr>
          <w:trHeight w:val="734"/>
          <w:del w:id="11142" w:author="AbbVie_HU_03" w:date="2025-05-14T16:39:00Z"/>
        </w:trPr>
        <w:tc>
          <w:tcPr>
            <w:tcW w:w="4678" w:type="dxa"/>
            <w:gridSpan w:val="3"/>
          </w:tcPr>
          <w:p w14:paraId="4B8CED4D" w14:textId="3E6DE223" w:rsidR="00275D71" w:rsidRPr="00C70C5A" w:rsidRDefault="00943743" w:rsidP="001F79B0">
            <w:pPr>
              <w:suppressAutoHyphens w:val="0"/>
              <w:rPr>
                <w:del w:id="11143" w:author="AbbVie_HU_03" w:date="2025-05-14T16:39:00Z"/>
                <w:b/>
                <w:szCs w:val="22"/>
                <w:rPrChange w:id="11144" w:author="AbbVie_HU_04" w:date="2025-05-16T12:29:00Z">
                  <w:rPr>
                    <w:del w:id="11145" w:author="AbbVie_HU_03" w:date="2025-05-14T16:39:00Z"/>
                    <w:b/>
                    <w:bCs/>
                    <w:szCs w:val="22"/>
                    <w:lang w:val="fr-FR"/>
                  </w:rPr>
                </w:rPrChange>
              </w:rPr>
            </w:pPr>
            <w:del w:id="11146" w:author="AbbVie_HU_03" w:date="2025-05-14T16:39:00Z">
              <w:r w:rsidRPr="00C70C5A">
                <w:rPr>
                  <w:b/>
                  <w:szCs w:val="22"/>
                  <w:rPrChange w:id="11147" w:author="AbbVie_HU_04" w:date="2025-05-16T12:29:00Z">
                    <w:rPr>
                      <w:b/>
                      <w:bCs/>
                      <w:szCs w:val="22"/>
                      <w:lang w:val="fr-FR"/>
                    </w:rPr>
                  </w:rPrChange>
                </w:rPr>
                <w:delText>France</w:delText>
              </w:r>
            </w:del>
          </w:p>
          <w:p w14:paraId="7878911D" w14:textId="63D81293" w:rsidR="00275D71" w:rsidRPr="00C70C5A" w:rsidRDefault="00943743" w:rsidP="001F79B0">
            <w:pPr>
              <w:suppressAutoHyphens w:val="0"/>
              <w:rPr>
                <w:del w:id="11148" w:author="AbbVie_HU_03" w:date="2025-05-14T16:39:00Z"/>
                <w:szCs w:val="22"/>
                <w:rPrChange w:id="11149" w:author="AbbVie_HU_04" w:date="2025-05-16T12:29:00Z">
                  <w:rPr>
                    <w:del w:id="11150" w:author="AbbVie_HU_03" w:date="2025-05-14T16:39:00Z"/>
                    <w:bCs/>
                    <w:szCs w:val="22"/>
                    <w:lang w:val="fr-FR"/>
                  </w:rPr>
                </w:rPrChange>
              </w:rPr>
            </w:pPr>
            <w:del w:id="11151" w:author="AbbVie_HU_03" w:date="2025-05-14T16:39:00Z">
              <w:r w:rsidRPr="00C70C5A">
                <w:rPr>
                  <w:szCs w:val="22"/>
                  <w:rPrChange w:id="11152" w:author="AbbVie_HU_04" w:date="2025-05-16T12:29:00Z">
                    <w:rPr>
                      <w:bCs/>
                      <w:szCs w:val="22"/>
                      <w:lang w:val="fr-FR"/>
                    </w:rPr>
                  </w:rPrChange>
                </w:rPr>
                <w:delText>AbbVie</w:delText>
              </w:r>
            </w:del>
          </w:p>
          <w:p w14:paraId="44640630" w14:textId="7CD89287" w:rsidR="00275D71" w:rsidRPr="00C70C5A" w:rsidRDefault="00943743" w:rsidP="001F79B0">
            <w:pPr>
              <w:suppressAutoHyphens w:val="0"/>
              <w:rPr>
                <w:del w:id="11153" w:author="AbbVie_HU_03" w:date="2025-05-14T16:39:00Z"/>
                <w:szCs w:val="22"/>
                <w:rPrChange w:id="11154" w:author="AbbVie_HU_04" w:date="2025-05-16T12:29:00Z">
                  <w:rPr>
                    <w:del w:id="11155" w:author="AbbVie_HU_03" w:date="2025-05-14T16:39:00Z"/>
                    <w:bCs/>
                    <w:szCs w:val="22"/>
                    <w:lang w:val="fr-FR"/>
                  </w:rPr>
                </w:rPrChange>
              </w:rPr>
            </w:pPr>
            <w:del w:id="11156" w:author="AbbVie_HU_03" w:date="2025-05-14T16:39:00Z">
              <w:r w:rsidRPr="00C70C5A">
                <w:rPr>
                  <w:szCs w:val="22"/>
                  <w:rPrChange w:id="11157" w:author="AbbVie_HU_04" w:date="2025-05-16T12:29:00Z">
                    <w:rPr>
                      <w:bCs/>
                      <w:szCs w:val="22"/>
                      <w:lang w:val="fr-FR"/>
                    </w:rPr>
                  </w:rPrChange>
                </w:rPr>
                <w:delText>Tél: +33 (0) 1 45 60 13 00</w:delText>
              </w:r>
            </w:del>
          </w:p>
        </w:tc>
        <w:tc>
          <w:tcPr>
            <w:tcW w:w="4678" w:type="dxa"/>
          </w:tcPr>
          <w:p w14:paraId="4C4E34A1" w14:textId="3B8EA158" w:rsidR="00275D71" w:rsidRPr="00BD646C" w:rsidRDefault="00943743" w:rsidP="001F79B0">
            <w:pPr>
              <w:suppressAutoHyphens w:val="0"/>
              <w:rPr>
                <w:del w:id="11158" w:author="AbbVie_HU_03" w:date="2025-05-14T16:39:00Z"/>
                <w:b/>
                <w:bCs/>
                <w:szCs w:val="22"/>
                <w:lang w:val="pt-PT"/>
              </w:rPr>
            </w:pPr>
            <w:del w:id="11159" w:author="AbbVie_HU_03" w:date="2025-05-14T16:39:00Z">
              <w:r w:rsidRPr="00BD646C">
                <w:rPr>
                  <w:b/>
                  <w:bCs/>
                  <w:szCs w:val="22"/>
                  <w:lang w:val="pt-PT"/>
                </w:rPr>
                <w:delText>Portugal</w:delText>
              </w:r>
            </w:del>
          </w:p>
          <w:p w14:paraId="6F45F27B" w14:textId="7D44023A" w:rsidR="00275D71" w:rsidRPr="00C70C5A" w:rsidRDefault="00943743" w:rsidP="001F79B0">
            <w:pPr>
              <w:suppressAutoHyphens w:val="0"/>
              <w:rPr>
                <w:del w:id="11160" w:author="AbbVie_HU_03" w:date="2025-05-14T16:39:00Z"/>
                <w:szCs w:val="22"/>
                <w:rPrChange w:id="11161" w:author="AbbVie_HU_04" w:date="2025-05-16T12:29:00Z">
                  <w:rPr>
                    <w:del w:id="11162" w:author="AbbVie_HU_03" w:date="2025-05-14T16:39:00Z"/>
                    <w:bCs/>
                    <w:szCs w:val="22"/>
                    <w:lang w:val="fr-FR"/>
                  </w:rPr>
                </w:rPrChange>
              </w:rPr>
            </w:pPr>
            <w:del w:id="11163" w:author="AbbVie_HU_03" w:date="2025-05-14T16:39:00Z">
              <w:r w:rsidRPr="00C70C5A">
                <w:rPr>
                  <w:szCs w:val="22"/>
                  <w:rPrChange w:id="11164" w:author="AbbVie_HU_04" w:date="2025-05-16T12:29:00Z">
                    <w:rPr>
                      <w:bCs/>
                      <w:szCs w:val="22"/>
                      <w:lang w:val="fr-FR"/>
                    </w:rPr>
                  </w:rPrChange>
                </w:rPr>
                <w:delText xml:space="preserve">AbbVie, Lda. </w:delText>
              </w:r>
            </w:del>
          </w:p>
          <w:p w14:paraId="69744B66" w14:textId="348377C4" w:rsidR="00275D71" w:rsidRPr="00C70C5A" w:rsidRDefault="00943743" w:rsidP="001F79B0">
            <w:pPr>
              <w:suppressAutoHyphens w:val="0"/>
              <w:rPr>
                <w:del w:id="11165" w:author="AbbVie_HU_03" w:date="2025-05-14T16:39:00Z"/>
                <w:szCs w:val="22"/>
                <w:rPrChange w:id="11166" w:author="AbbVie_HU_04" w:date="2025-05-16T12:29:00Z">
                  <w:rPr>
                    <w:del w:id="11167" w:author="AbbVie_HU_03" w:date="2025-05-14T16:39:00Z"/>
                    <w:szCs w:val="22"/>
                    <w:lang w:val="fr-FR"/>
                  </w:rPr>
                </w:rPrChange>
              </w:rPr>
            </w:pPr>
            <w:del w:id="11168" w:author="AbbVie_HU_03" w:date="2025-05-14T16:39:00Z">
              <w:r w:rsidRPr="00C70C5A">
                <w:rPr>
                  <w:szCs w:val="22"/>
                  <w:rPrChange w:id="11169" w:author="AbbVie_HU_04" w:date="2025-05-16T12:29:00Z">
                    <w:rPr>
                      <w:szCs w:val="22"/>
                      <w:lang w:val="fr-FR"/>
                    </w:rPr>
                  </w:rPrChange>
                </w:rPr>
                <w:delText>Tel: +351 (0)21 1908400</w:delText>
              </w:r>
            </w:del>
          </w:p>
          <w:p w14:paraId="2D7D657E" w14:textId="32966DAD" w:rsidR="00275D71" w:rsidRPr="00C70C5A" w:rsidRDefault="00275D71" w:rsidP="001F79B0">
            <w:pPr>
              <w:suppressAutoHyphens w:val="0"/>
              <w:rPr>
                <w:del w:id="11170" w:author="AbbVie_HU_03" w:date="2025-05-14T16:39:00Z"/>
                <w:szCs w:val="22"/>
                <w:rPrChange w:id="11171" w:author="AbbVie_HU_04" w:date="2025-05-16T12:29:00Z">
                  <w:rPr>
                    <w:del w:id="11172" w:author="AbbVie_HU_03" w:date="2025-05-14T16:39:00Z"/>
                    <w:szCs w:val="22"/>
                    <w:lang w:val="fr-FR"/>
                  </w:rPr>
                </w:rPrChange>
              </w:rPr>
            </w:pPr>
          </w:p>
        </w:tc>
      </w:tr>
      <w:tr w:rsidR="00011D2F" w14:paraId="2D447063" w14:textId="3D9C75F7" w:rsidTr="001F79B0">
        <w:trPr>
          <w:gridBefore w:val="1"/>
          <w:wBefore w:w="34" w:type="dxa"/>
          <w:del w:id="11173" w:author="AbbVie_HU_03" w:date="2025-05-14T16:39:00Z"/>
        </w:trPr>
        <w:tc>
          <w:tcPr>
            <w:tcW w:w="4644" w:type="dxa"/>
            <w:gridSpan w:val="2"/>
          </w:tcPr>
          <w:p w14:paraId="4E9B556D" w14:textId="6E807694" w:rsidR="00275D71" w:rsidRPr="0047544D" w:rsidRDefault="00943743" w:rsidP="00275D71">
            <w:pPr>
              <w:keepNext/>
              <w:suppressAutoHyphens w:val="0"/>
              <w:rPr>
                <w:del w:id="11174" w:author="AbbVie_HU_03" w:date="2025-05-14T16:39:00Z"/>
                <w:szCs w:val="22"/>
              </w:rPr>
            </w:pPr>
            <w:del w:id="11175" w:author="AbbVie_HU_03" w:date="2025-05-14T16:39:00Z">
              <w:r w:rsidRPr="0047544D">
                <w:rPr>
                  <w:b/>
                  <w:bCs/>
                  <w:szCs w:val="22"/>
                </w:rPr>
                <w:delText xml:space="preserve">Hrvatska </w:delText>
              </w:r>
            </w:del>
          </w:p>
          <w:p w14:paraId="382916CE" w14:textId="5063404A" w:rsidR="00275D71" w:rsidRPr="00BD646C" w:rsidRDefault="00943743" w:rsidP="00275D71">
            <w:pPr>
              <w:keepNext/>
              <w:suppressAutoHyphens w:val="0"/>
              <w:rPr>
                <w:del w:id="11176" w:author="AbbVie_HU_03" w:date="2025-05-14T16:39:00Z"/>
                <w:szCs w:val="22"/>
                <w:lang w:val="hr-HR"/>
              </w:rPr>
            </w:pPr>
            <w:del w:id="11177" w:author="AbbVie_HU_03" w:date="2025-05-14T16:39:00Z">
              <w:r w:rsidRPr="00BD646C">
                <w:rPr>
                  <w:szCs w:val="22"/>
                  <w:lang w:val="hr-HR"/>
                </w:rPr>
                <w:delText>AbbVie d.o.o.</w:delText>
              </w:r>
            </w:del>
          </w:p>
          <w:p w14:paraId="1B5CBF5F" w14:textId="4D265AEF" w:rsidR="00275D71" w:rsidRPr="00BD646C" w:rsidRDefault="00943743" w:rsidP="00275D71">
            <w:pPr>
              <w:keepNext/>
              <w:suppressAutoHyphens w:val="0"/>
              <w:rPr>
                <w:del w:id="11178" w:author="AbbVie_HU_03" w:date="2025-05-14T16:39:00Z"/>
                <w:bCs/>
                <w:szCs w:val="22"/>
                <w:lang w:val="it-IT"/>
              </w:rPr>
            </w:pPr>
            <w:del w:id="11179" w:author="AbbVie_HU_03" w:date="2025-05-14T16:39:00Z">
              <w:r w:rsidRPr="00BD646C">
                <w:rPr>
                  <w:szCs w:val="22"/>
                  <w:lang w:val="hr-HR"/>
                </w:rPr>
                <w:delText xml:space="preserve">Tel + 385 (0)1 </w:delText>
              </w:r>
              <w:r w:rsidRPr="00C70C5A">
                <w:rPr>
                  <w:szCs w:val="22"/>
                  <w:rPrChange w:id="11180" w:author="AbbVie_HU_04" w:date="2025-05-16T12:29:00Z">
                    <w:rPr>
                      <w:szCs w:val="22"/>
                      <w:lang w:val="en-US"/>
                    </w:rPr>
                  </w:rPrChange>
                </w:rPr>
                <w:delText>5625 501</w:delText>
              </w:r>
            </w:del>
          </w:p>
        </w:tc>
        <w:tc>
          <w:tcPr>
            <w:tcW w:w="4678" w:type="dxa"/>
          </w:tcPr>
          <w:p w14:paraId="50264D84" w14:textId="3CC74CA4" w:rsidR="00275D71" w:rsidRPr="00BD646C" w:rsidRDefault="00943743" w:rsidP="00275D71">
            <w:pPr>
              <w:keepNext/>
              <w:suppressAutoHyphens w:val="0"/>
              <w:rPr>
                <w:del w:id="11181" w:author="AbbVie_HU_03" w:date="2025-05-14T16:39:00Z"/>
                <w:b/>
                <w:bCs/>
                <w:szCs w:val="22"/>
                <w:lang w:val="it-IT"/>
              </w:rPr>
            </w:pPr>
            <w:del w:id="11182" w:author="AbbVie_HU_03" w:date="2025-05-14T16:39:00Z">
              <w:r w:rsidRPr="00BD646C">
                <w:rPr>
                  <w:b/>
                  <w:bCs/>
                  <w:szCs w:val="22"/>
                  <w:lang w:val="it-IT"/>
                </w:rPr>
                <w:delText>România</w:delText>
              </w:r>
            </w:del>
          </w:p>
          <w:p w14:paraId="6878AF05" w14:textId="133579AB" w:rsidR="00275D71" w:rsidRPr="00BD646C" w:rsidRDefault="00943743" w:rsidP="00275D71">
            <w:pPr>
              <w:keepNext/>
              <w:suppressAutoHyphens w:val="0"/>
              <w:rPr>
                <w:del w:id="11183" w:author="AbbVie_HU_03" w:date="2025-05-14T16:39:00Z"/>
                <w:szCs w:val="22"/>
                <w:lang w:val="it-IT"/>
              </w:rPr>
            </w:pPr>
            <w:del w:id="11184" w:author="AbbVie_HU_03" w:date="2025-05-14T16:39:00Z">
              <w:r w:rsidRPr="00BD646C">
                <w:rPr>
                  <w:szCs w:val="22"/>
                  <w:lang w:val="it-IT"/>
                </w:rPr>
                <w:delText>AbbVie S.R.L.</w:delText>
              </w:r>
            </w:del>
          </w:p>
          <w:p w14:paraId="78DF4C7F" w14:textId="02A6B9BC" w:rsidR="00275D71" w:rsidRPr="00BD646C" w:rsidRDefault="00943743" w:rsidP="00275D71">
            <w:pPr>
              <w:keepNext/>
              <w:suppressAutoHyphens w:val="0"/>
              <w:rPr>
                <w:del w:id="11185" w:author="AbbVie_HU_03" w:date="2025-05-14T16:39:00Z"/>
                <w:szCs w:val="22"/>
                <w:lang w:val="pl-PL"/>
              </w:rPr>
            </w:pPr>
            <w:del w:id="11186" w:author="AbbVie_HU_03" w:date="2025-05-14T16:39:00Z">
              <w:r w:rsidRPr="00BD646C">
                <w:rPr>
                  <w:szCs w:val="22"/>
                  <w:lang w:val="pl-PL"/>
                </w:rPr>
                <w:delText>Tel: +40 21 529 30 35</w:delText>
              </w:r>
            </w:del>
          </w:p>
          <w:p w14:paraId="2986A3BE" w14:textId="51301B84" w:rsidR="00275D71" w:rsidRPr="00BD646C" w:rsidRDefault="00275D71" w:rsidP="00275D71">
            <w:pPr>
              <w:keepNext/>
              <w:suppressAutoHyphens w:val="0"/>
              <w:rPr>
                <w:del w:id="11187" w:author="AbbVie_HU_03" w:date="2025-05-14T16:39:00Z"/>
                <w:szCs w:val="22"/>
                <w:lang w:val="pl-PL"/>
              </w:rPr>
            </w:pPr>
          </w:p>
        </w:tc>
      </w:tr>
      <w:tr w:rsidR="00011D2F" w14:paraId="0FEBBD27" w14:textId="2CCFC619" w:rsidTr="001F79B0">
        <w:trPr>
          <w:gridBefore w:val="1"/>
          <w:wBefore w:w="34" w:type="dxa"/>
          <w:del w:id="11188" w:author="AbbVie_HU_03" w:date="2025-05-14T16:39:00Z"/>
        </w:trPr>
        <w:tc>
          <w:tcPr>
            <w:tcW w:w="4644" w:type="dxa"/>
            <w:gridSpan w:val="2"/>
          </w:tcPr>
          <w:p w14:paraId="359860EE" w14:textId="0FD0FE04" w:rsidR="00275D71" w:rsidRPr="00BD646C" w:rsidRDefault="00943743" w:rsidP="001F79B0">
            <w:pPr>
              <w:suppressAutoHyphens w:val="0"/>
              <w:rPr>
                <w:del w:id="11189" w:author="AbbVie_HU_03" w:date="2025-05-14T16:39:00Z"/>
                <w:b/>
                <w:bCs/>
                <w:szCs w:val="22"/>
                <w:lang w:val="sk-SK"/>
              </w:rPr>
            </w:pPr>
            <w:del w:id="11190" w:author="AbbVie_HU_03" w:date="2025-05-14T16:39:00Z">
              <w:r w:rsidRPr="00BD646C">
                <w:rPr>
                  <w:b/>
                  <w:bCs/>
                  <w:szCs w:val="22"/>
                  <w:lang w:val="sk-SK"/>
                </w:rPr>
                <w:delText>Ireland</w:delText>
              </w:r>
            </w:del>
          </w:p>
          <w:p w14:paraId="31CB5192" w14:textId="232C4C24" w:rsidR="00275D71" w:rsidRPr="00BD646C" w:rsidRDefault="00943743" w:rsidP="001F79B0">
            <w:pPr>
              <w:suppressAutoHyphens w:val="0"/>
              <w:rPr>
                <w:del w:id="11191" w:author="AbbVie_HU_03" w:date="2025-05-14T16:39:00Z"/>
                <w:bCs/>
                <w:szCs w:val="22"/>
                <w:lang w:val="sk-SK"/>
              </w:rPr>
            </w:pPr>
            <w:del w:id="11192" w:author="AbbVie_HU_03" w:date="2025-05-14T16:39:00Z">
              <w:r w:rsidRPr="00BD646C">
                <w:rPr>
                  <w:bCs/>
                  <w:szCs w:val="22"/>
                  <w:lang w:val="sk-SK"/>
                </w:rPr>
                <w:delText xml:space="preserve">AbbVie Limited </w:delText>
              </w:r>
            </w:del>
          </w:p>
          <w:p w14:paraId="60050FF9" w14:textId="1A5F0A6D" w:rsidR="00275D71" w:rsidRPr="00BD646C" w:rsidRDefault="00943743" w:rsidP="001F79B0">
            <w:pPr>
              <w:suppressAutoHyphens w:val="0"/>
              <w:rPr>
                <w:del w:id="11193" w:author="AbbVie_HU_03" w:date="2025-05-14T16:39:00Z"/>
                <w:bCs/>
                <w:szCs w:val="22"/>
                <w:lang w:val="sk-SK"/>
              </w:rPr>
            </w:pPr>
            <w:del w:id="11194" w:author="AbbVie_HU_03" w:date="2025-05-14T16:39:00Z">
              <w:r w:rsidRPr="00BD646C">
                <w:rPr>
                  <w:bCs/>
                  <w:szCs w:val="22"/>
                  <w:lang w:val="pt-PT"/>
                </w:rPr>
                <w:delText>Tel: +353 (0)1 42879</w:delText>
              </w:r>
              <w:r w:rsidR="001C51F1">
                <w:rPr>
                  <w:bCs/>
                  <w:szCs w:val="22"/>
                  <w:lang w:val="pt-PT"/>
                </w:rPr>
                <w:delText>0</w:delText>
              </w:r>
              <w:r w:rsidRPr="00BD646C">
                <w:rPr>
                  <w:bCs/>
                  <w:szCs w:val="22"/>
                  <w:lang w:val="pt-PT"/>
                </w:rPr>
                <w:delText>0</w:delText>
              </w:r>
            </w:del>
          </w:p>
        </w:tc>
        <w:tc>
          <w:tcPr>
            <w:tcW w:w="4678" w:type="dxa"/>
          </w:tcPr>
          <w:p w14:paraId="3D42BDAA" w14:textId="1C7C40D7" w:rsidR="00275D71" w:rsidRPr="00BD646C" w:rsidRDefault="00943743" w:rsidP="001F79B0">
            <w:pPr>
              <w:suppressAutoHyphens w:val="0"/>
              <w:rPr>
                <w:del w:id="11195" w:author="AbbVie_HU_03" w:date="2025-05-14T16:39:00Z"/>
                <w:b/>
                <w:bCs/>
                <w:szCs w:val="22"/>
                <w:lang w:val="sl-SI"/>
              </w:rPr>
            </w:pPr>
            <w:del w:id="11196" w:author="AbbVie_HU_03" w:date="2025-05-14T16:39:00Z">
              <w:r w:rsidRPr="00BD646C">
                <w:rPr>
                  <w:b/>
                  <w:bCs/>
                  <w:szCs w:val="22"/>
                  <w:lang w:val="sl-SI"/>
                </w:rPr>
                <w:delText>Slovenija</w:delText>
              </w:r>
            </w:del>
          </w:p>
          <w:p w14:paraId="4473066A" w14:textId="0ECC9F72" w:rsidR="00275D71" w:rsidRPr="00BD646C" w:rsidRDefault="00943743" w:rsidP="001F79B0">
            <w:pPr>
              <w:suppressAutoHyphens w:val="0"/>
              <w:rPr>
                <w:del w:id="11197" w:author="AbbVie_HU_03" w:date="2025-05-14T16:39:00Z"/>
                <w:bCs/>
                <w:szCs w:val="22"/>
                <w:lang w:val="sl-SI"/>
              </w:rPr>
            </w:pPr>
            <w:del w:id="11198" w:author="AbbVie_HU_03" w:date="2025-05-14T16:39:00Z">
              <w:r w:rsidRPr="00BD646C">
                <w:rPr>
                  <w:bCs/>
                  <w:szCs w:val="22"/>
                  <w:lang w:val="sl-SI"/>
                </w:rPr>
                <w:delText xml:space="preserve">AbbVie </w:delText>
              </w:r>
              <w:r w:rsidRPr="00BD646C">
                <w:rPr>
                  <w:szCs w:val="22"/>
                  <w:lang w:val="sl-SI"/>
                </w:rPr>
                <w:delText>Biofarmacevtska družba d.o.o.</w:delText>
              </w:r>
            </w:del>
          </w:p>
          <w:p w14:paraId="0BC9DA51" w14:textId="34575D7F" w:rsidR="00275D71" w:rsidRPr="00BD646C" w:rsidRDefault="00943743" w:rsidP="001F79B0">
            <w:pPr>
              <w:suppressAutoHyphens w:val="0"/>
              <w:rPr>
                <w:del w:id="11199" w:author="AbbVie_HU_03" w:date="2025-05-14T16:39:00Z"/>
                <w:bCs/>
                <w:szCs w:val="22"/>
                <w:lang w:val="sl-SI"/>
              </w:rPr>
            </w:pPr>
            <w:del w:id="11200" w:author="AbbVie_HU_03" w:date="2025-05-14T16:39:00Z">
              <w:r w:rsidRPr="00BD646C">
                <w:rPr>
                  <w:bCs/>
                  <w:szCs w:val="22"/>
                  <w:lang w:val="sl-SI"/>
                </w:rPr>
                <w:delText>Tel: +386 (1)32 08 060</w:delText>
              </w:r>
            </w:del>
          </w:p>
          <w:p w14:paraId="59C905AE" w14:textId="16AAAD87" w:rsidR="00275D71" w:rsidRPr="00BD646C" w:rsidRDefault="00275D71" w:rsidP="001F79B0">
            <w:pPr>
              <w:suppressAutoHyphens w:val="0"/>
              <w:rPr>
                <w:del w:id="11201" w:author="AbbVie_HU_03" w:date="2025-05-14T16:39:00Z"/>
                <w:bCs/>
                <w:szCs w:val="22"/>
                <w:lang w:val="sl-SI"/>
              </w:rPr>
            </w:pPr>
          </w:p>
        </w:tc>
      </w:tr>
      <w:tr w:rsidR="00011D2F" w14:paraId="5E1ECD3A" w14:textId="606283B8" w:rsidTr="001F79B0">
        <w:trPr>
          <w:gridBefore w:val="1"/>
          <w:wBefore w:w="34" w:type="dxa"/>
          <w:del w:id="11202" w:author="AbbVie_HU_03" w:date="2025-05-14T16:39:00Z"/>
        </w:trPr>
        <w:tc>
          <w:tcPr>
            <w:tcW w:w="4644" w:type="dxa"/>
            <w:gridSpan w:val="2"/>
          </w:tcPr>
          <w:p w14:paraId="61C44BF2" w14:textId="31468961" w:rsidR="00275D71" w:rsidRPr="00BD646C" w:rsidRDefault="00943743" w:rsidP="001F79B0">
            <w:pPr>
              <w:suppressAutoHyphens w:val="0"/>
              <w:rPr>
                <w:del w:id="11203" w:author="AbbVie_HU_03" w:date="2025-05-14T16:39:00Z"/>
                <w:b/>
                <w:bCs/>
                <w:szCs w:val="22"/>
                <w:lang w:val="is-IS"/>
              </w:rPr>
            </w:pPr>
            <w:del w:id="11204" w:author="AbbVie_HU_03" w:date="2025-05-14T16:39:00Z">
              <w:r w:rsidRPr="00BD646C">
                <w:rPr>
                  <w:b/>
                  <w:bCs/>
                  <w:szCs w:val="22"/>
                  <w:lang w:val="is-IS"/>
                </w:rPr>
                <w:delText>Ísland</w:delText>
              </w:r>
            </w:del>
          </w:p>
          <w:p w14:paraId="42A26765" w14:textId="7C6CB944" w:rsidR="00275D71" w:rsidRPr="00BD646C" w:rsidRDefault="00943743" w:rsidP="001F79B0">
            <w:pPr>
              <w:suppressAutoHyphens w:val="0"/>
              <w:rPr>
                <w:del w:id="11205" w:author="AbbVie_HU_03" w:date="2025-05-14T16:39:00Z"/>
                <w:bCs/>
                <w:szCs w:val="22"/>
                <w:lang w:val="sk-SK"/>
              </w:rPr>
            </w:pPr>
            <w:del w:id="11206" w:author="AbbVie_HU_03" w:date="2025-05-14T16:39:00Z">
              <w:r w:rsidRPr="00BD646C">
                <w:rPr>
                  <w:bCs/>
                  <w:szCs w:val="22"/>
                  <w:lang w:val="sk-SK"/>
                </w:rPr>
                <w:delText>Vistor hf.</w:delText>
              </w:r>
            </w:del>
          </w:p>
          <w:p w14:paraId="6B65576B" w14:textId="5FC8515F" w:rsidR="00275D71" w:rsidRPr="00BD646C" w:rsidRDefault="00943743" w:rsidP="001F79B0">
            <w:pPr>
              <w:suppressAutoHyphens w:val="0"/>
              <w:rPr>
                <w:del w:id="11207" w:author="AbbVie_HU_03" w:date="2025-05-14T16:39:00Z"/>
                <w:bCs/>
                <w:szCs w:val="22"/>
                <w:lang w:val="sk-SK"/>
              </w:rPr>
            </w:pPr>
            <w:del w:id="11208" w:author="AbbVie_HU_03" w:date="2025-05-14T16:39:00Z">
              <w:r w:rsidRPr="00BD646C">
                <w:rPr>
                  <w:bCs/>
                  <w:szCs w:val="22"/>
                  <w:lang w:val="sk-SK"/>
                </w:rPr>
                <w:delText>Tel: +354 535 7000</w:delText>
              </w:r>
            </w:del>
          </w:p>
        </w:tc>
        <w:tc>
          <w:tcPr>
            <w:tcW w:w="4678" w:type="dxa"/>
          </w:tcPr>
          <w:p w14:paraId="29D799E3" w14:textId="04B0B2AD" w:rsidR="00275D71" w:rsidRPr="00BD646C" w:rsidRDefault="00943743" w:rsidP="001F79B0">
            <w:pPr>
              <w:suppressAutoHyphens w:val="0"/>
              <w:rPr>
                <w:del w:id="11209" w:author="AbbVie_HU_03" w:date="2025-05-14T16:39:00Z"/>
                <w:b/>
                <w:bCs/>
                <w:szCs w:val="22"/>
                <w:lang w:val="sk-SK"/>
              </w:rPr>
            </w:pPr>
            <w:del w:id="11210" w:author="AbbVie_HU_03" w:date="2025-05-14T16:39:00Z">
              <w:r w:rsidRPr="00BD646C">
                <w:rPr>
                  <w:b/>
                  <w:bCs/>
                  <w:szCs w:val="22"/>
                  <w:lang w:val="sk-SK"/>
                </w:rPr>
                <w:delText>Slovenská republika</w:delText>
              </w:r>
            </w:del>
          </w:p>
          <w:p w14:paraId="4F37503D" w14:textId="2354EBD8" w:rsidR="00275D71" w:rsidRPr="00BD646C" w:rsidRDefault="00943743" w:rsidP="001F79B0">
            <w:pPr>
              <w:suppressAutoHyphens w:val="0"/>
              <w:rPr>
                <w:del w:id="11211" w:author="AbbVie_HU_03" w:date="2025-05-14T16:39:00Z"/>
                <w:bCs/>
                <w:szCs w:val="22"/>
                <w:lang w:val="sk-SK"/>
              </w:rPr>
            </w:pPr>
            <w:del w:id="11212" w:author="AbbVie_HU_03" w:date="2025-05-14T16:39:00Z">
              <w:r w:rsidRPr="00BD646C">
                <w:rPr>
                  <w:bCs/>
                  <w:szCs w:val="22"/>
                  <w:lang w:val="sk-SK"/>
                </w:rPr>
                <w:delText>AbbVie s.r.o.</w:delText>
              </w:r>
            </w:del>
          </w:p>
          <w:p w14:paraId="180E0589" w14:textId="72FC1AA6" w:rsidR="00275D71" w:rsidRPr="00BD646C" w:rsidRDefault="00943743" w:rsidP="001F79B0">
            <w:pPr>
              <w:suppressAutoHyphens w:val="0"/>
              <w:rPr>
                <w:del w:id="11213" w:author="AbbVie_HU_03" w:date="2025-05-14T16:39:00Z"/>
                <w:bCs/>
                <w:szCs w:val="22"/>
                <w:lang w:val="sk-SK"/>
              </w:rPr>
            </w:pPr>
            <w:del w:id="11214" w:author="AbbVie_HU_03" w:date="2025-05-14T16:39:00Z">
              <w:r w:rsidRPr="00BD646C">
                <w:rPr>
                  <w:bCs/>
                  <w:szCs w:val="22"/>
                  <w:lang w:val="sk-SK"/>
                </w:rPr>
                <w:delText>Tel: +421 2 5050 0777</w:delText>
              </w:r>
            </w:del>
          </w:p>
          <w:p w14:paraId="6CF71649" w14:textId="4C973895" w:rsidR="00275D71" w:rsidRPr="00BD646C" w:rsidRDefault="00275D71" w:rsidP="001F79B0">
            <w:pPr>
              <w:suppressAutoHyphens w:val="0"/>
              <w:rPr>
                <w:del w:id="11215" w:author="AbbVie_HU_03" w:date="2025-05-14T16:39:00Z"/>
                <w:bCs/>
                <w:szCs w:val="22"/>
                <w:lang w:val="sk-SK"/>
              </w:rPr>
            </w:pPr>
          </w:p>
        </w:tc>
      </w:tr>
      <w:tr w:rsidR="00011D2F" w14:paraId="1406BF25" w14:textId="3C030CC2" w:rsidTr="001F79B0">
        <w:trPr>
          <w:gridBefore w:val="1"/>
          <w:wBefore w:w="34" w:type="dxa"/>
          <w:del w:id="11216" w:author="AbbVie_HU_03" w:date="2025-05-14T16:39:00Z"/>
        </w:trPr>
        <w:tc>
          <w:tcPr>
            <w:tcW w:w="4644" w:type="dxa"/>
            <w:gridSpan w:val="2"/>
          </w:tcPr>
          <w:p w14:paraId="5EB41AB0" w14:textId="1FDF6BE0" w:rsidR="00275D71" w:rsidRPr="00BD646C" w:rsidRDefault="00943743" w:rsidP="001F79B0">
            <w:pPr>
              <w:suppressAutoHyphens w:val="0"/>
              <w:rPr>
                <w:del w:id="11217" w:author="AbbVie_HU_03" w:date="2025-05-14T16:39:00Z"/>
                <w:b/>
                <w:bCs/>
                <w:szCs w:val="22"/>
                <w:lang w:val="it-IT"/>
              </w:rPr>
            </w:pPr>
            <w:del w:id="11218" w:author="AbbVie_HU_03" w:date="2025-05-14T16:39:00Z">
              <w:r w:rsidRPr="00BD646C">
                <w:rPr>
                  <w:b/>
                  <w:bCs/>
                  <w:szCs w:val="22"/>
                  <w:lang w:val="it-IT"/>
                </w:rPr>
                <w:delText>Italia</w:delText>
              </w:r>
            </w:del>
          </w:p>
          <w:p w14:paraId="3E70AC00" w14:textId="28D13919" w:rsidR="00275D71" w:rsidRPr="00BD646C" w:rsidRDefault="00943743" w:rsidP="001F79B0">
            <w:pPr>
              <w:suppressAutoHyphens w:val="0"/>
              <w:rPr>
                <w:del w:id="11219" w:author="AbbVie_HU_03" w:date="2025-05-14T16:39:00Z"/>
                <w:bCs/>
                <w:szCs w:val="22"/>
                <w:lang w:val="pt-PT"/>
              </w:rPr>
            </w:pPr>
            <w:del w:id="11220" w:author="AbbVie_HU_03" w:date="2025-05-14T16:39:00Z">
              <w:r w:rsidRPr="00BD646C">
                <w:rPr>
                  <w:bCs/>
                  <w:szCs w:val="22"/>
                  <w:lang w:val="pt-PT"/>
                </w:rPr>
                <w:delText xml:space="preserve">AbbVie S.r.l. </w:delText>
              </w:r>
            </w:del>
          </w:p>
          <w:p w14:paraId="03836295" w14:textId="6FB518D4" w:rsidR="00275D71" w:rsidRPr="00BD646C" w:rsidRDefault="00943743" w:rsidP="001F79B0">
            <w:pPr>
              <w:suppressAutoHyphens w:val="0"/>
              <w:rPr>
                <w:del w:id="11221" w:author="AbbVie_HU_03" w:date="2025-05-14T16:39:00Z"/>
                <w:bCs/>
                <w:szCs w:val="22"/>
                <w:lang w:val="fi-FI"/>
              </w:rPr>
            </w:pPr>
            <w:del w:id="11222" w:author="AbbVie_HU_03" w:date="2025-05-14T16:39:00Z">
              <w:r w:rsidRPr="00C70C5A">
                <w:rPr>
                  <w:szCs w:val="22"/>
                  <w:rPrChange w:id="11223" w:author="AbbVie_HU_04" w:date="2025-05-16T12:29:00Z">
                    <w:rPr>
                      <w:bCs/>
                      <w:szCs w:val="22"/>
                      <w:lang w:val="fr-FR"/>
                    </w:rPr>
                  </w:rPrChange>
                </w:rPr>
                <w:delText>Tel: +39 06 928921</w:delText>
              </w:r>
            </w:del>
          </w:p>
        </w:tc>
        <w:tc>
          <w:tcPr>
            <w:tcW w:w="4678" w:type="dxa"/>
          </w:tcPr>
          <w:p w14:paraId="626994CA" w14:textId="6D623767" w:rsidR="00275D71" w:rsidRPr="00BD646C" w:rsidRDefault="00943743" w:rsidP="001F79B0">
            <w:pPr>
              <w:suppressAutoHyphens w:val="0"/>
              <w:rPr>
                <w:del w:id="11224" w:author="AbbVie_HU_03" w:date="2025-05-14T16:39:00Z"/>
                <w:b/>
                <w:bCs/>
                <w:szCs w:val="22"/>
                <w:lang w:val="fi-FI"/>
              </w:rPr>
            </w:pPr>
            <w:del w:id="11225" w:author="AbbVie_HU_03" w:date="2025-05-14T16:39:00Z">
              <w:r w:rsidRPr="00BD646C">
                <w:rPr>
                  <w:b/>
                  <w:bCs/>
                  <w:szCs w:val="22"/>
                  <w:lang w:val="fi-FI"/>
                </w:rPr>
                <w:delText>Suomi/Finland</w:delText>
              </w:r>
            </w:del>
          </w:p>
          <w:p w14:paraId="077DFF19" w14:textId="1704F19E" w:rsidR="00275D71" w:rsidRPr="00BD646C" w:rsidRDefault="00943743" w:rsidP="001F79B0">
            <w:pPr>
              <w:suppressAutoHyphens w:val="0"/>
              <w:rPr>
                <w:del w:id="11226" w:author="AbbVie_HU_03" w:date="2025-05-14T16:39:00Z"/>
                <w:bCs/>
                <w:szCs w:val="22"/>
                <w:lang w:val="de-CH"/>
              </w:rPr>
            </w:pPr>
            <w:del w:id="11227" w:author="AbbVie_HU_03" w:date="2025-05-14T16:39:00Z">
              <w:r w:rsidRPr="00BD646C">
                <w:rPr>
                  <w:bCs/>
                  <w:szCs w:val="22"/>
                  <w:lang w:val="sk-SK"/>
                </w:rPr>
                <w:delText>AbbVie Oy</w:delText>
              </w:r>
            </w:del>
          </w:p>
          <w:p w14:paraId="07B02346" w14:textId="2FD2F2E1" w:rsidR="00275D71" w:rsidRPr="00BD646C" w:rsidRDefault="00943743" w:rsidP="001F79B0">
            <w:pPr>
              <w:suppressAutoHyphens w:val="0"/>
              <w:rPr>
                <w:del w:id="11228" w:author="AbbVie_HU_03" w:date="2025-05-14T16:39:00Z"/>
                <w:bCs/>
                <w:szCs w:val="22"/>
                <w:lang w:val="sk-SK"/>
              </w:rPr>
            </w:pPr>
            <w:del w:id="11229" w:author="AbbVie_HU_03" w:date="2025-05-14T16:39:00Z">
              <w:r w:rsidRPr="00BD646C">
                <w:rPr>
                  <w:bCs/>
                  <w:szCs w:val="22"/>
                  <w:lang w:val="sk-SK"/>
                </w:rPr>
                <w:delText>Puh/Tel: +358 (0)10 2411 200</w:delText>
              </w:r>
            </w:del>
          </w:p>
          <w:p w14:paraId="0B45E8F5" w14:textId="4ABC7C8D" w:rsidR="00275D71" w:rsidRPr="00BD646C" w:rsidRDefault="00275D71" w:rsidP="001F79B0">
            <w:pPr>
              <w:suppressAutoHyphens w:val="0"/>
              <w:rPr>
                <w:del w:id="11230" w:author="AbbVie_HU_03" w:date="2025-05-14T16:39:00Z"/>
                <w:szCs w:val="22"/>
                <w:lang w:val="sk-SK"/>
              </w:rPr>
            </w:pPr>
          </w:p>
        </w:tc>
      </w:tr>
      <w:tr w:rsidR="00011D2F" w14:paraId="10DC66CD" w14:textId="070340D5" w:rsidTr="001F79B0">
        <w:trPr>
          <w:gridBefore w:val="1"/>
          <w:wBefore w:w="34" w:type="dxa"/>
          <w:cantSplit/>
          <w:trHeight w:val="887"/>
          <w:del w:id="11231" w:author="AbbVie_HU_03" w:date="2025-05-14T16:39:00Z"/>
        </w:trPr>
        <w:tc>
          <w:tcPr>
            <w:tcW w:w="4644" w:type="dxa"/>
            <w:gridSpan w:val="2"/>
          </w:tcPr>
          <w:p w14:paraId="61DFB47F" w14:textId="02435821" w:rsidR="00275D71" w:rsidRPr="00BD646C" w:rsidRDefault="00943743" w:rsidP="001F79B0">
            <w:pPr>
              <w:suppressAutoHyphens w:val="0"/>
              <w:rPr>
                <w:del w:id="11232" w:author="AbbVie_HU_03" w:date="2025-05-14T16:39:00Z"/>
                <w:b/>
                <w:bCs/>
                <w:szCs w:val="22"/>
                <w:lang w:val="el-GR"/>
              </w:rPr>
            </w:pPr>
            <w:del w:id="11233" w:author="AbbVie_HU_03" w:date="2025-05-14T16:39:00Z">
              <w:r w:rsidRPr="00BD646C">
                <w:rPr>
                  <w:b/>
                  <w:bCs/>
                  <w:szCs w:val="22"/>
                  <w:lang w:val="el-GR"/>
                </w:rPr>
                <w:delText>Κύπρος</w:delText>
              </w:r>
            </w:del>
          </w:p>
          <w:p w14:paraId="5E1C65F8" w14:textId="009532B7" w:rsidR="00275D71" w:rsidRPr="00BD646C" w:rsidRDefault="00943743" w:rsidP="001F79B0">
            <w:pPr>
              <w:suppressAutoHyphens w:val="0"/>
              <w:rPr>
                <w:del w:id="11234" w:author="AbbVie_HU_03" w:date="2025-05-14T16:39:00Z"/>
                <w:bCs/>
                <w:szCs w:val="22"/>
                <w:lang w:val="el-GR"/>
              </w:rPr>
            </w:pPr>
            <w:del w:id="11235" w:author="AbbVie_HU_03" w:date="2025-05-14T16:39:00Z">
              <w:r w:rsidRPr="00BD646C">
                <w:rPr>
                  <w:bCs/>
                  <w:szCs w:val="22"/>
                  <w:lang w:val="sk-SK"/>
                </w:rPr>
                <w:delText xml:space="preserve">Lifepharma (Z.A.M.) </w:delText>
              </w:r>
              <w:r w:rsidRPr="00BD646C">
                <w:rPr>
                  <w:bCs/>
                  <w:szCs w:val="22"/>
                  <w:lang w:val="it-IT"/>
                </w:rPr>
                <w:delText>Ltd</w:delText>
              </w:r>
            </w:del>
          </w:p>
          <w:p w14:paraId="0280C246" w14:textId="5476044F" w:rsidR="00275D71" w:rsidRPr="00BD646C" w:rsidRDefault="00943743" w:rsidP="001F79B0">
            <w:pPr>
              <w:suppressAutoHyphens w:val="0"/>
              <w:rPr>
                <w:del w:id="11236" w:author="AbbVie_HU_03" w:date="2025-05-14T16:39:00Z"/>
                <w:bCs/>
                <w:szCs w:val="22"/>
                <w:lang w:val="lv-LV"/>
              </w:rPr>
            </w:pPr>
            <w:del w:id="11237" w:author="AbbVie_HU_03" w:date="2025-05-14T16:39:00Z">
              <w:r w:rsidRPr="00BD646C">
                <w:rPr>
                  <w:bCs/>
                  <w:szCs w:val="22"/>
                  <w:lang w:val="el-GR"/>
                </w:rPr>
                <w:delText>Τηλ.: +357 22 34 74 40</w:delText>
              </w:r>
            </w:del>
          </w:p>
        </w:tc>
        <w:tc>
          <w:tcPr>
            <w:tcW w:w="4678" w:type="dxa"/>
          </w:tcPr>
          <w:p w14:paraId="20A9AF7A" w14:textId="0B5ACDDC" w:rsidR="00275D71" w:rsidRPr="00BD646C" w:rsidRDefault="00943743" w:rsidP="001F79B0">
            <w:pPr>
              <w:suppressAutoHyphens w:val="0"/>
              <w:rPr>
                <w:del w:id="11238" w:author="AbbVie_HU_03" w:date="2025-05-14T16:39:00Z"/>
                <w:b/>
                <w:bCs/>
                <w:szCs w:val="22"/>
                <w:lang w:val="sk-SK"/>
              </w:rPr>
            </w:pPr>
            <w:del w:id="11239" w:author="AbbVie_HU_03" w:date="2025-05-14T16:39:00Z">
              <w:r w:rsidRPr="00BD646C">
                <w:rPr>
                  <w:b/>
                  <w:bCs/>
                  <w:szCs w:val="22"/>
                  <w:lang w:val="sk-SK"/>
                </w:rPr>
                <w:delText>Sverige</w:delText>
              </w:r>
            </w:del>
          </w:p>
          <w:p w14:paraId="28BDB011" w14:textId="28FE2BA0" w:rsidR="00275D71" w:rsidRPr="00BD646C" w:rsidRDefault="00943743" w:rsidP="001F79B0">
            <w:pPr>
              <w:suppressAutoHyphens w:val="0"/>
              <w:rPr>
                <w:del w:id="11240" w:author="AbbVie_HU_03" w:date="2025-05-14T16:39:00Z"/>
                <w:bCs/>
                <w:szCs w:val="22"/>
                <w:lang w:val="pt-PT"/>
              </w:rPr>
            </w:pPr>
            <w:del w:id="11241" w:author="AbbVie_HU_03" w:date="2025-05-14T16:39:00Z">
              <w:r w:rsidRPr="00BD646C">
                <w:rPr>
                  <w:bCs/>
                  <w:szCs w:val="22"/>
                  <w:lang w:val="pt-PT"/>
                </w:rPr>
                <w:delText>AbbVie AB</w:delText>
              </w:r>
            </w:del>
          </w:p>
          <w:p w14:paraId="1018575E" w14:textId="55CF2675" w:rsidR="00275D71" w:rsidRPr="00BD646C" w:rsidRDefault="00943743" w:rsidP="001F79B0">
            <w:pPr>
              <w:suppressAutoHyphens w:val="0"/>
              <w:rPr>
                <w:del w:id="11242" w:author="AbbVie_HU_03" w:date="2025-05-14T16:39:00Z"/>
                <w:bCs/>
                <w:szCs w:val="22"/>
                <w:lang w:val="sk-SK"/>
              </w:rPr>
            </w:pPr>
            <w:del w:id="11243" w:author="AbbVie_HU_03" w:date="2025-05-14T16:39:00Z">
              <w:r w:rsidRPr="00BD646C">
                <w:rPr>
                  <w:bCs/>
                  <w:szCs w:val="22"/>
                  <w:lang w:val="da-DK"/>
                </w:rPr>
                <w:delText>Tel: +46 (0)8 684 44 600</w:delText>
              </w:r>
            </w:del>
          </w:p>
        </w:tc>
      </w:tr>
      <w:tr w:rsidR="00011D2F" w14:paraId="4066643E" w14:textId="6E43E74A" w:rsidTr="001F79B0">
        <w:trPr>
          <w:gridBefore w:val="1"/>
          <w:wBefore w:w="34" w:type="dxa"/>
          <w:cantSplit/>
          <w:trHeight w:val="761"/>
          <w:del w:id="11244" w:author="AbbVie_HU_03" w:date="2025-05-14T16:39:00Z"/>
        </w:trPr>
        <w:tc>
          <w:tcPr>
            <w:tcW w:w="4644" w:type="dxa"/>
            <w:gridSpan w:val="2"/>
          </w:tcPr>
          <w:p w14:paraId="72607C0B" w14:textId="403179EA" w:rsidR="00275D71" w:rsidRPr="00BD646C" w:rsidRDefault="00943743" w:rsidP="001F79B0">
            <w:pPr>
              <w:suppressAutoHyphens w:val="0"/>
              <w:rPr>
                <w:del w:id="11245" w:author="AbbVie_HU_03" w:date="2025-05-14T16:39:00Z"/>
                <w:b/>
                <w:bCs/>
                <w:szCs w:val="22"/>
                <w:lang w:val="lv-LV"/>
              </w:rPr>
            </w:pPr>
            <w:del w:id="11246" w:author="AbbVie_HU_03" w:date="2025-05-14T16:39:00Z">
              <w:r w:rsidRPr="00BD646C">
                <w:rPr>
                  <w:b/>
                  <w:bCs/>
                  <w:szCs w:val="22"/>
                  <w:lang w:val="lv-LV"/>
                </w:rPr>
                <w:delText>Latvija</w:delText>
              </w:r>
            </w:del>
          </w:p>
          <w:p w14:paraId="7A83AD53" w14:textId="4B9B43B8" w:rsidR="00275D71" w:rsidRPr="00BD646C" w:rsidRDefault="00943743" w:rsidP="001F79B0">
            <w:pPr>
              <w:suppressAutoHyphens w:val="0"/>
              <w:rPr>
                <w:del w:id="11247" w:author="AbbVie_HU_03" w:date="2025-05-14T16:39:00Z"/>
                <w:bCs/>
                <w:szCs w:val="22"/>
                <w:lang w:val="lv-LV"/>
              </w:rPr>
            </w:pPr>
            <w:del w:id="11248" w:author="AbbVie_HU_03" w:date="2025-05-14T16:39:00Z">
              <w:r w:rsidRPr="00BD646C">
                <w:rPr>
                  <w:bCs/>
                  <w:szCs w:val="22"/>
                  <w:lang w:val="lv-LV"/>
                </w:rPr>
                <w:delText xml:space="preserve">AbbVie SIA </w:delText>
              </w:r>
            </w:del>
          </w:p>
          <w:p w14:paraId="289D48C2" w14:textId="75F762D1" w:rsidR="00275D71" w:rsidRPr="00BD646C" w:rsidRDefault="00943743" w:rsidP="001F79B0">
            <w:pPr>
              <w:suppressAutoHyphens w:val="0"/>
              <w:rPr>
                <w:del w:id="11249" w:author="AbbVie_HU_03" w:date="2025-05-14T16:39:00Z"/>
                <w:bCs/>
                <w:szCs w:val="22"/>
                <w:lang w:val="lv-LV"/>
              </w:rPr>
            </w:pPr>
            <w:del w:id="11250" w:author="AbbVie_HU_03" w:date="2025-05-14T16:39:00Z">
              <w:r w:rsidRPr="00BD646C">
                <w:rPr>
                  <w:bCs/>
                  <w:szCs w:val="22"/>
                  <w:lang w:val="lv-LV"/>
                </w:rPr>
                <w:delText>Tel: +371 67605000</w:delText>
              </w:r>
            </w:del>
          </w:p>
        </w:tc>
        <w:tc>
          <w:tcPr>
            <w:tcW w:w="4678" w:type="dxa"/>
          </w:tcPr>
          <w:p w14:paraId="1073AAA6" w14:textId="2E96E7B5" w:rsidR="00275D71" w:rsidRPr="00BD646C" w:rsidRDefault="00275D71" w:rsidP="001F79B0">
            <w:pPr>
              <w:suppressAutoHyphens w:val="0"/>
              <w:rPr>
                <w:del w:id="11251" w:author="AbbVie_HU_03" w:date="2025-05-14T16:39:00Z"/>
                <w:b/>
                <w:bCs/>
                <w:szCs w:val="22"/>
                <w:lang w:val="sk-SK"/>
              </w:rPr>
            </w:pPr>
          </w:p>
        </w:tc>
      </w:tr>
    </w:tbl>
    <w:p w14:paraId="3320725F" w14:textId="3E0CE83C" w:rsidR="00617878" w:rsidRPr="00183B5F" w:rsidRDefault="00617878" w:rsidP="004062FE">
      <w:pPr>
        <w:spacing w:line="240" w:lineRule="auto"/>
        <w:ind w:right="-2"/>
        <w:rPr>
          <w:del w:id="11252" w:author="AbbVie_HU_03" w:date="2025-05-14T16:39:00Z"/>
          <w:b/>
          <w:szCs w:val="22"/>
        </w:rPr>
      </w:pPr>
    </w:p>
    <w:p w14:paraId="7ED063CD" w14:textId="59548F63" w:rsidR="00FB6710" w:rsidRPr="00183B5F" w:rsidRDefault="00943743" w:rsidP="004062FE">
      <w:pPr>
        <w:spacing w:line="240" w:lineRule="auto"/>
        <w:ind w:right="-2"/>
        <w:rPr>
          <w:del w:id="11253" w:author="AbbVie_HU_03" w:date="2025-05-14T16:39:00Z"/>
          <w:b/>
          <w:szCs w:val="22"/>
        </w:rPr>
      </w:pPr>
      <w:del w:id="11254" w:author="AbbVie_HU_03" w:date="2025-05-14T16:39:00Z">
        <w:r w:rsidRPr="00183B5F">
          <w:rPr>
            <w:b/>
            <w:szCs w:val="22"/>
          </w:rPr>
          <w:delText xml:space="preserve">A betegtájékoztató </w:delText>
        </w:r>
        <w:r w:rsidR="00A13868" w:rsidRPr="00183B5F">
          <w:rPr>
            <w:b/>
            <w:noProof/>
            <w:szCs w:val="24"/>
          </w:rPr>
          <w:delText>legutóbbi felülvizsgálatának</w:delText>
        </w:r>
        <w:r w:rsidR="00A13868" w:rsidRPr="00183B5F">
          <w:rPr>
            <w:b/>
            <w:szCs w:val="24"/>
          </w:rPr>
          <w:delText xml:space="preserve"> </w:delText>
        </w:r>
        <w:r w:rsidRPr="00183B5F">
          <w:rPr>
            <w:b/>
            <w:szCs w:val="22"/>
          </w:rPr>
          <w:delText>dátuma:</w:delText>
        </w:r>
      </w:del>
    </w:p>
    <w:p w14:paraId="1B919FA5" w14:textId="1C0DACFF" w:rsidR="00FB6710" w:rsidRPr="00183B5F" w:rsidRDefault="00FB6710" w:rsidP="004062FE">
      <w:pPr>
        <w:spacing w:line="240" w:lineRule="auto"/>
        <w:ind w:right="-2"/>
        <w:rPr>
          <w:del w:id="11255" w:author="AbbVie_HU_03" w:date="2025-05-14T16:39:00Z"/>
          <w:b/>
          <w:szCs w:val="22"/>
        </w:rPr>
      </w:pPr>
    </w:p>
    <w:p w14:paraId="3CA62D45" w14:textId="40D8761A" w:rsidR="0095259B" w:rsidRPr="00183B5F" w:rsidRDefault="00943743" w:rsidP="004062FE">
      <w:pPr>
        <w:spacing w:line="240" w:lineRule="auto"/>
        <w:ind w:right="-2"/>
        <w:rPr>
          <w:del w:id="11256" w:author="AbbVie_HU_03" w:date="2025-05-14T16:39:00Z"/>
          <w:i/>
          <w:iCs/>
          <w:snapToGrid w:val="0"/>
          <w:lang w:eastAsia="en-GB"/>
        </w:rPr>
      </w:pPr>
      <w:del w:id="11257" w:author="AbbVie_HU_03" w:date="2025-05-14T16:39:00Z">
        <w:r w:rsidRPr="00183B5F">
          <w:rPr>
            <w:snapToGrid w:val="0"/>
            <w:lang w:eastAsia="en-GB"/>
          </w:rPr>
          <w:delText>A gyógyszerről részletes információ az Európai Gyógyszerügynökség internetes honlapján (</w:delText>
        </w:r>
        <w:r w:rsidRPr="00183B5F">
          <w:rPr>
            <w:color w:val="0000FF"/>
          </w:rPr>
          <w:delText>http://www.ema.europa.eu/</w:delText>
        </w:r>
        <w:r w:rsidRPr="00183B5F">
          <w:rPr>
            <w:i/>
            <w:iCs/>
            <w:snapToGrid w:val="0"/>
            <w:lang w:eastAsia="en-GB"/>
          </w:rPr>
          <w:delText xml:space="preserve">) </w:delText>
        </w:r>
        <w:r w:rsidRPr="00183B5F">
          <w:rPr>
            <w:snapToGrid w:val="0"/>
            <w:lang w:eastAsia="en-GB"/>
          </w:rPr>
          <w:delText>található</w:delText>
        </w:r>
        <w:r w:rsidRPr="00183B5F">
          <w:rPr>
            <w:i/>
            <w:iCs/>
            <w:snapToGrid w:val="0"/>
            <w:lang w:eastAsia="en-GB"/>
          </w:rPr>
          <w:delText>.</w:delText>
        </w:r>
      </w:del>
    </w:p>
    <w:p w14:paraId="4E238FF9" w14:textId="4B37938B" w:rsidR="00935BF0" w:rsidRPr="00183B5F" w:rsidRDefault="00935BF0" w:rsidP="004062FE">
      <w:pPr>
        <w:spacing w:line="240" w:lineRule="auto"/>
        <w:ind w:right="-2"/>
        <w:rPr>
          <w:del w:id="11258" w:author="AbbVie_HU_03" w:date="2025-05-14T16:39:00Z"/>
          <w:i/>
          <w:iCs/>
          <w:snapToGrid w:val="0"/>
          <w:lang w:eastAsia="en-GB"/>
        </w:rPr>
      </w:pPr>
    </w:p>
    <w:p w14:paraId="4557307A" w14:textId="30F6B854" w:rsidR="00935BF0" w:rsidRPr="00183B5F" w:rsidRDefault="00943743" w:rsidP="004062FE">
      <w:pPr>
        <w:autoSpaceDE w:val="0"/>
        <w:autoSpaceDN w:val="0"/>
        <w:adjustRightInd w:val="0"/>
        <w:spacing w:line="240" w:lineRule="auto"/>
        <w:rPr>
          <w:del w:id="11259" w:author="AbbVie_HU_03" w:date="2025-05-14T16:39:00Z"/>
          <w:b/>
          <w:bCs/>
          <w:noProof/>
          <w:szCs w:val="22"/>
        </w:rPr>
      </w:pPr>
      <w:del w:id="11260" w:author="AbbVie_HU_03" w:date="2025-05-14T16:39:00Z">
        <w:r w:rsidRPr="00183B5F">
          <w:rPr>
            <w:b/>
            <w:bCs/>
            <w:noProof/>
            <w:szCs w:val="22"/>
          </w:rPr>
          <w:delText>A betegtájékoztató meghallgatásának</w:delText>
        </w:r>
        <w:r w:rsidRPr="00183B5F">
          <w:rPr>
            <w:b/>
            <w:bCs/>
            <w:noProof/>
            <w:szCs w:val="22"/>
            <w:highlight w:val="lightGray"/>
          </w:rPr>
          <w:delText>, &lt;Braille írással&gt;, &lt;nagyméretű betűkkel&gt; készült vagy &lt;audio&gt; változatának</w:delText>
        </w:r>
        <w:r w:rsidRPr="00183B5F">
          <w:rPr>
            <w:b/>
            <w:bCs/>
            <w:noProof/>
            <w:szCs w:val="22"/>
          </w:rPr>
          <w:delText xml:space="preserve"> igénylése érdekében forduljon a forgalomba hozatali engedély jogosultjának helyi képviselőjéhez.</w:delText>
        </w:r>
      </w:del>
    </w:p>
    <w:p w14:paraId="3CEB9D2D" w14:textId="040A33C1" w:rsidR="00935BF0" w:rsidRPr="00183B5F" w:rsidRDefault="00935BF0" w:rsidP="004062FE">
      <w:pPr>
        <w:spacing w:line="240" w:lineRule="auto"/>
        <w:ind w:right="-2"/>
        <w:rPr>
          <w:del w:id="11261" w:author="AbbVie_HU_03" w:date="2025-05-14T16:39:00Z"/>
          <w:b/>
          <w:szCs w:val="22"/>
        </w:rPr>
      </w:pPr>
    </w:p>
    <w:p w14:paraId="35F98D8E" w14:textId="411DD44C" w:rsidR="00FB6710" w:rsidRPr="00183B5F" w:rsidRDefault="00943743" w:rsidP="00940F88">
      <w:pPr>
        <w:widowControl w:val="0"/>
        <w:spacing w:line="240" w:lineRule="auto"/>
        <w:ind w:right="-2"/>
        <w:jc w:val="center"/>
        <w:rPr>
          <w:del w:id="11262" w:author="AbbVie_HU_03" w:date="2025-05-14T16:41:00Z"/>
          <w:b/>
          <w:szCs w:val="22"/>
        </w:rPr>
      </w:pPr>
      <w:del w:id="11263" w:author="AbbVie_HU_03" w:date="2025-05-14T16:39:00Z">
        <w:r w:rsidRPr="00183B5F">
          <w:rPr>
            <w:b/>
            <w:szCs w:val="22"/>
          </w:rPr>
          <w:br w:type="page"/>
        </w:r>
      </w:del>
      <w:del w:id="11264" w:author="AbbVie_HU_03" w:date="2025-05-14T16:41:00Z">
        <w:r w:rsidR="00CE39AF" w:rsidRPr="00183B5F">
          <w:rPr>
            <w:b/>
            <w:noProof/>
            <w:szCs w:val="24"/>
          </w:rPr>
          <w:delText>Betegtájékoztató: Információk a felhasználó számára</w:delText>
        </w:r>
      </w:del>
    </w:p>
    <w:p w14:paraId="41B861FE" w14:textId="306631B7" w:rsidR="00FB6710" w:rsidRPr="00183B5F" w:rsidRDefault="00FB6710">
      <w:pPr>
        <w:widowControl w:val="0"/>
        <w:spacing w:line="240" w:lineRule="auto"/>
        <w:ind w:right="-2"/>
        <w:jc w:val="center"/>
        <w:rPr>
          <w:del w:id="11265" w:author="AbbVie_HU_03" w:date="2025-05-14T16:41:00Z"/>
          <w:b/>
          <w:szCs w:val="22"/>
        </w:rPr>
        <w:pPrChange w:id="11266" w:author="AbbVie_HU_03" w:date="2025-05-14T16:41:00Z">
          <w:pPr>
            <w:spacing w:line="240" w:lineRule="auto"/>
            <w:jc w:val="center"/>
          </w:pPr>
        </w:pPrChange>
      </w:pPr>
    </w:p>
    <w:p w14:paraId="59942C35" w14:textId="7279FA20" w:rsidR="00FB6710" w:rsidRPr="00183B5F" w:rsidRDefault="00943743">
      <w:pPr>
        <w:widowControl w:val="0"/>
        <w:spacing w:line="240" w:lineRule="auto"/>
        <w:ind w:right="-2"/>
        <w:jc w:val="center"/>
        <w:rPr>
          <w:del w:id="11267" w:author="AbbVie_HU_03" w:date="2025-05-14T16:41:00Z"/>
          <w:b/>
          <w:szCs w:val="22"/>
        </w:rPr>
        <w:pPrChange w:id="11268" w:author="AbbVie_HU_03" w:date="2025-05-14T16:41:00Z">
          <w:pPr>
            <w:spacing w:line="240" w:lineRule="auto"/>
            <w:jc w:val="center"/>
          </w:pPr>
        </w:pPrChange>
      </w:pPr>
      <w:del w:id="11269" w:author="AbbVie_HU_03" w:date="2025-05-14T16:41:00Z">
        <w:r w:rsidRPr="00183B5F">
          <w:rPr>
            <w:b/>
            <w:szCs w:val="22"/>
          </w:rPr>
          <w:delText>Humira 40 mg oldatos injekció előretöltött fecskendőben</w:delText>
        </w:r>
      </w:del>
    </w:p>
    <w:p w14:paraId="2470CC6A" w14:textId="08145740" w:rsidR="00FB6710" w:rsidRPr="00183B5F" w:rsidRDefault="00943743">
      <w:pPr>
        <w:widowControl w:val="0"/>
        <w:spacing w:line="240" w:lineRule="auto"/>
        <w:ind w:right="-2"/>
        <w:jc w:val="center"/>
        <w:rPr>
          <w:del w:id="11270" w:author="AbbVie_HU_03" w:date="2025-05-14T16:41:00Z"/>
          <w:bCs/>
          <w:szCs w:val="22"/>
        </w:rPr>
        <w:pPrChange w:id="11271" w:author="AbbVie_HU_03" w:date="2025-05-14T16:41:00Z">
          <w:pPr>
            <w:spacing w:line="240" w:lineRule="auto"/>
            <w:jc w:val="center"/>
          </w:pPr>
        </w:pPrChange>
      </w:pPr>
      <w:del w:id="11272" w:author="AbbVie_HU_03" w:date="2025-05-14T16:41:00Z">
        <w:r w:rsidRPr="00183B5F">
          <w:rPr>
            <w:bCs/>
            <w:szCs w:val="22"/>
          </w:rPr>
          <w:delText>adalimumab</w:delText>
        </w:r>
      </w:del>
    </w:p>
    <w:p w14:paraId="165ECC36" w14:textId="0F63DDDD" w:rsidR="00FB6710" w:rsidRPr="00183B5F" w:rsidRDefault="00FB6710">
      <w:pPr>
        <w:widowControl w:val="0"/>
        <w:spacing w:line="240" w:lineRule="auto"/>
        <w:ind w:right="-2"/>
        <w:jc w:val="center"/>
        <w:rPr>
          <w:del w:id="11273" w:author="AbbVie_HU_03" w:date="2025-05-14T16:41:00Z"/>
          <w:szCs w:val="22"/>
        </w:rPr>
        <w:pPrChange w:id="11274" w:author="AbbVie_HU_03" w:date="2025-05-14T16:41:00Z">
          <w:pPr>
            <w:spacing w:line="240" w:lineRule="auto"/>
            <w:jc w:val="center"/>
          </w:pPr>
        </w:pPrChange>
      </w:pPr>
    </w:p>
    <w:p w14:paraId="4DCCF4F4" w14:textId="51E3C4FF" w:rsidR="00FB6710" w:rsidRPr="00183B5F" w:rsidRDefault="00943743" w:rsidP="00673483">
      <w:pPr>
        <w:spacing w:line="240" w:lineRule="auto"/>
        <w:rPr>
          <w:del w:id="11275" w:author="AbbVie_HU_03" w:date="2025-05-14T16:41:00Z"/>
          <w:b/>
          <w:szCs w:val="22"/>
        </w:rPr>
      </w:pPr>
      <w:del w:id="11276" w:author="AbbVie_HU_03" w:date="2025-05-14T16:41:00Z">
        <w:r w:rsidRPr="00183B5F">
          <w:rPr>
            <w:b/>
            <w:szCs w:val="22"/>
          </w:rPr>
          <w:delText xml:space="preserve">Mielőtt </w:delText>
        </w:r>
        <w:r w:rsidR="003507D7" w:rsidRPr="00183B5F">
          <w:rPr>
            <w:b/>
            <w:szCs w:val="22"/>
          </w:rPr>
          <w:delText xml:space="preserve">elkezdi </w:delText>
        </w:r>
        <w:r w:rsidRPr="00183B5F">
          <w:rPr>
            <w:b/>
            <w:szCs w:val="22"/>
          </w:rPr>
          <w:delText>alkalmazni ezt a gyógyszert, olvassa el figyelmesen az alábbi betegtájékoztatót</w:delText>
        </w:r>
        <w:r w:rsidR="00CE39AF" w:rsidRPr="00183B5F">
          <w:rPr>
            <w:b/>
            <w:noProof/>
            <w:szCs w:val="24"/>
          </w:rPr>
          <w:delText xml:space="preserve">, </w:delText>
        </w:r>
        <w:r w:rsidR="009F5334" w:rsidRPr="00183B5F">
          <w:rPr>
            <w:b/>
            <w:noProof/>
            <w:szCs w:val="24"/>
          </w:rPr>
          <w:delText xml:space="preserve">mert </w:delText>
        </w:r>
        <w:r w:rsidR="00CE39AF" w:rsidRPr="00183B5F">
          <w:rPr>
            <w:b/>
            <w:noProof/>
            <w:szCs w:val="24"/>
          </w:rPr>
          <w:delText>az Ön számára fontos információkat tartalmaz</w:delText>
        </w:r>
        <w:r w:rsidRPr="00183B5F">
          <w:rPr>
            <w:b/>
            <w:szCs w:val="22"/>
          </w:rPr>
          <w:delText>.</w:delText>
        </w:r>
      </w:del>
    </w:p>
    <w:p w14:paraId="4ADE1D77" w14:textId="432150A3" w:rsidR="00FB6710" w:rsidRPr="00183B5F" w:rsidRDefault="00943743" w:rsidP="00673483">
      <w:pPr>
        <w:numPr>
          <w:ilvl w:val="0"/>
          <w:numId w:val="37"/>
        </w:numPr>
        <w:spacing w:line="240" w:lineRule="auto"/>
        <w:rPr>
          <w:del w:id="11277" w:author="AbbVie_HU_03" w:date="2025-05-14T16:41:00Z"/>
          <w:szCs w:val="22"/>
        </w:rPr>
      </w:pPr>
      <w:del w:id="11278" w:author="AbbVie_HU_03" w:date="2025-05-14T16:41:00Z">
        <w:r w:rsidRPr="00183B5F">
          <w:rPr>
            <w:szCs w:val="22"/>
          </w:rPr>
          <w:delText>Tartsa meg a betegtájékoztatót, mert a benne szereplő információkra a későbbiekben is szüksége lehet.</w:delText>
        </w:r>
      </w:del>
    </w:p>
    <w:p w14:paraId="461D3C7D" w14:textId="20F014F1" w:rsidR="00FB6710" w:rsidRPr="00183B5F" w:rsidRDefault="00943743" w:rsidP="00673483">
      <w:pPr>
        <w:numPr>
          <w:ilvl w:val="0"/>
          <w:numId w:val="37"/>
        </w:numPr>
        <w:spacing w:line="240" w:lineRule="auto"/>
        <w:rPr>
          <w:del w:id="11279" w:author="AbbVie_HU_03" w:date="2025-05-14T16:41:00Z"/>
          <w:szCs w:val="22"/>
        </w:rPr>
      </w:pPr>
      <w:del w:id="11280" w:author="AbbVie_HU_03" w:date="2025-05-14T16:41:00Z">
        <w:r w:rsidRPr="00183B5F">
          <w:rPr>
            <w:szCs w:val="22"/>
          </w:rPr>
          <w:delText xml:space="preserve">Orvosától </w:delText>
        </w:r>
        <w:r w:rsidR="00EC630A" w:rsidRPr="00183B5F">
          <w:rPr>
            <w:szCs w:val="22"/>
          </w:rPr>
          <w:delText xml:space="preserve">egy </w:delText>
        </w:r>
        <w:r w:rsidR="0048779F" w:rsidRPr="00183B5F">
          <w:rPr>
            <w:b/>
            <w:bCs/>
            <w:szCs w:val="22"/>
          </w:rPr>
          <w:delText>Betegemlékeztető</w:delText>
        </w:r>
        <w:r w:rsidRPr="00183B5F">
          <w:rPr>
            <w:b/>
            <w:bCs/>
            <w:szCs w:val="22"/>
          </w:rPr>
          <w:delText xml:space="preserve"> </w:delText>
        </w:r>
        <w:r w:rsidR="00587C86" w:rsidRPr="00183B5F">
          <w:rPr>
            <w:b/>
            <w:bCs/>
            <w:szCs w:val="22"/>
          </w:rPr>
          <w:delText>Kártyát</w:delText>
        </w:r>
        <w:r w:rsidR="00587C86" w:rsidRPr="00183B5F">
          <w:rPr>
            <w:szCs w:val="22"/>
          </w:rPr>
          <w:delText xml:space="preserve"> </w:delText>
        </w:r>
        <w:r w:rsidRPr="00183B5F">
          <w:rPr>
            <w:szCs w:val="22"/>
          </w:rPr>
          <w:delText xml:space="preserve">is </w:delText>
        </w:r>
        <w:r w:rsidR="00EC630A" w:rsidRPr="00183B5F">
          <w:rPr>
            <w:szCs w:val="22"/>
          </w:rPr>
          <w:delText xml:space="preserve">fog </w:delText>
        </w:r>
        <w:r w:rsidRPr="00183B5F">
          <w:rPr>
            <w:szCs w:val="22"/>
          </w:rPr>
          <w:delText>kapni fontos biztonsági információkkal, amit a Humira alkalmazása előtt és a Humira</w:delText>
        </w:r>
        <w:r w:rsidR="002A2571" w:rsidRPr="00183B5F">
          <w:rPr>
            <w:szCs w:val="22"/>
          </w:rPr>
          <w:noBreakHyphen/>
        </w:r>
        <w:r w:rsidRPr="00183B5F">
          <w:rPr>
            <w:szCs w:val="22"/>
          </w:rPr>
          <w:delText xml:space="preserve">val történő kezelés során is </w:delText>
        </w:r>
        <w:r w:rsidR="002B58CA" w:rsidRPr="00183B5F">
          <w:rPr>
            <w:szCs w:val="22"/>
          </w:rPr>
          <w:delText>figyelembe kell venni</w:delText>
        </w:r>
        <w:r w:rsidRPr="00183B5F">
          <w:rPr>
            <w:szCs w:val="22"/>
          </w:rPr>
          <w:delText xml:space="preserve">. Tartsa magánál ezt a </w:delText>
        </w:r>
        <w:r w:rsidR="0048779F" w:rsidRPr="00183B5F">
          <w:rPr>
            <w:b/>
            <w:bCs/>
            <w:szCs w:val="22"/>
          </w:rPr>
          <w:delText>Betegemlékeztető</w:delText>
        </w:r>
        <w:r w:rsidRPr="00183B5F">
          <w:rPr>
            <w:b/>
            <w:bCs/>
            <w:szCs w:val="22"/>
          </w:rPr>
          <w:delText xml:space="preserve"> </w:delText>
        </w:r>
        <w:r w:rsidR="00587C86" w:rsidRPr="00183B5F">
          <w:rPr>
            <w:b/>
            <w:bCs/>
            <w:szCs w:val="22"/>
          </w:rPr>
          <w:delText>Kártyát</w:delText>
        </w:r>
        <w:r w:rsidRPr="00183B5F">
          <w:rPr>
            <w:szCs w:val="22"/>
          </w:rPr>
          <w:delText>.</w:delText>
        </w:r>
      </w:del>
    </w:p>
    <w:p w14:paraId="6AA67494" w14:textId="4CF93F98" w:rsidR="00FB6710" w:rsidRPr="00183B5F" w:rsidRDefault="00943743" w:rsidP="00673483">
      <w:pPr>
        <w:numPr>
          <w:ilvl w:val="0"/>
          <w:numId w:val="37"/>
        </w:numPr>
        <w:spacing w:line="240" w:lineRule="auto"/>
        <w:rPr>
          <w:del w:id="11281" w:author="AbbVie_HU_03" w:date="2025-05-14T16:41:00Z"/>
          <w:szCs w:val="22"/>
        </w:rPr>
      </w:pPr>
      <w:del w:id="11282" w:author="AbbVie_HU_03" w:date="2025-05-14T16:41:00Z">
        <w:r w:rsidRPr="00183B5F">
          <w:rPr>
            <w:szCs w:val="22"/>
          </w:rPr>
          <w:delText xml:space="preserve">További kérdéseivel forduljon </w:delText>
        </w:r>
        <w:r w:rsidR="00CE39AF" w:rsidRPr="00183B5F">
          <w:rPr>
            <w:szCs w:val="22"/>
          </w:rPr>
          <w:delText xml:space="preserve">kezelőorvosához </w:delText>
        </w:r>
        <w:r w:rsidRPr="00183B5F">
          <w:rPr>
            <w:szCs w:val="22"/>
          </w:rPr>
          <w:delText>vagy gyógyszerészéhez.</w:delText>
        </w:r>
      </w:del>
    </w:p>
    <w:p w14:paraId="0ED3448F" w14:textId="0CEB094F" w:rsidR="00FB6710" w:rsidRPr="00183B5F" w:rsidRDefault="00943743" w:rsidP="00673483">
      <w:pPr>
        <w:numPr>
          <w:ilvl w:val="0"/>
          <w:numId w:val="37"/>
        </w:numPr>
        <w:spacing w:line="240" w:lineRule="auto"/>
        <w:rPr>
          <w:del w:id="11283" w:author="AbbVie_HU_03" w:date="2025-05-14T16:41:00Z"/>
          <w:szCs w:val="22"/>
        </w:rPr>
      </w:pPr>
      <w:del w:id="11284" w:author="AbbVie_HU_03" w:date="2025-05-14T16:41:00Z">
        <w:r w:rsidRPr="00183B5F">
          <w:rPr>
            <w:szCs w:val="22"/>
          </w:rPr>
          <w:delText xml:space="preserve">Ezt a gyógyszert az orvos </w:delText>
        </w:r>
        <w:r w:rsidR="00CE39AF" w:rsidRPr="00183B5F">
          <w:rPr>
            <w:szCs w:val="22"/>
          </w:rPr>
          <w:delText xml:space="preserve">kizárólag </w:delText>
        </w:r>
        <w:r w:rsidRPr="00183B5F">
          <w:rPr>
            <w:szCs w:val="22"/>
          </w:rPr>
          <w:delText xml:space="preserve">Önnek írta fel. Ne adja át a készítményt másnak, mert számára ártalmas lehet még abban az esetben is, ha </w:delText>
        </w:r>
        <w:r w:rsidR="00CE39AF" w:rsidRPr="00183B5F">
          <w:rPr>
            <w:szCs w:val="22"/>
          </w:rPr>
          <w:delText xml:space="preserve">a betegsége </w:delText>
        </w:r>
        <w:r w:rsidRPr="00183B5F">
          <w:rPr>
            <w:szCs w:val="22"/>
          </w:rPr>
          <w:delText>tünetei az Önéhez hasonlóak.</w:delText>
        </w:r>
      </w:del>
    </w:p>
    <w:p w14:paraId="59F9DFEA" w14:textId="3BDCD616" w:rsidR="00FB6710" w:rsidRPr="00183B5F" w:rsidRDefault="00943743" w:rsidP="00673483">
      <w:pPr>
        <w:numPr>
          <w:ilvl w:val="0"/>
          <w:numId w:val="37"/>
        </w:numPr>
        <w:spacing w:line="240" w:lineRule="auto"/>
        <w:rPr>
          <w:del w:id="11285" w:author="AbbVie_HU_03" w:date="2025-05-14T16:41:00Z"/>
          <w:szCs w:val="22"/>
        </w:rPr>
      </w:pPr>
      <w:del w:id="11286" w:author="AbbVie_HU_03" w:date="2025-05-14T16:41:00Z">
        <w:r w:rsidRPr="00183B5F">
          <w:rPr>
            <w:szCs w:val="24"/>
          </w:rPr>
          <w:delText xml:space="preserve">Ha </w:delText>
        </w:r>
        <w:r w:rsidRPr="00183B5F">
          <w:rPr>
            <w:noProof/>
            <w:szCs w:val="24"/>
          </w:rPr>
          <w:delText>Önnél bármilyen</w:delText>
        </w:r>
        <w:r w:rsidRPr="00183B5F">
          <w:rPr>
            <w:szCs w:val="24"/>
          </w:rPr>
          <w:delText xml:space="preserve"> mellékhatás </w:delText>
        </w:r>
        <w:r w:rsidRPr="00183B5F">
          <w:rPr>
            <w:noProof/>
            <w:szCs w:val="24"/>
          </w:rPr>
          <w:delText>jelentkezik, tájékoztassa erről kezelőorvosát vagy gyógyszerészét. Ez</w:delText>
        </w:r>
        <w:r w:rsidRPr="00183B5F">
          <w:rPr>
            <w:szCs w:val="24"/>
          </w:rPr>
          <w:delText xml:space="preserve"> a betegtájékoztatóban </w:delText>
        </w:r>
        <w:r w:rsidRPr="00183B5F">
          <w:rPr>
            <w:noProof/>
            <w:szCs w:val="24"/>
          </w:rPr>
          <w:delText>fel nem sorolt bármilyen lehetséges mellékhatásra is vonatkozik</w:delText>
        </w:r>
        <w:r w:rsidR="00120A59" w:rsidRPr="00183B5F">
          <w:rPr>
            <w:noProof/>
            <w:szCs w:val="24"/>
          </w:rPr>
          <w:delText xml:space="preserve"> (lásd 4. pont)</w:delText>
        </w:r>
        <w:r w:rsidRPr="00183B5F">
          <w:rPr>
            <w:noProof/>
            <w:szCs w:val="24"/>
          </w:rPr>
          <w:delText>.</w:delText>
        </w:r>
      </w:del>
    </w:p>
    <w:p w14:paraId="620FF62A" w14:textId="220DD5E6" w:rsidR="00FB6710" w:rsidRPr="00183B5F" w:rsidRDefault="00FB6710" w:rsidP="00673483">
      <w:pPr>
        <w:spacing w:line="240" w:lineRule="auto"/>
        <w:ind w:right="-2"/>
        <w:rPr>
          <w:del w:id="11287" w:author="AbbVie_HU_03" w:date="2025-05-14T16:41:00Z"/>
          <w:szCs w:val="22"/>
        </w:rPr>
      </w:pPr>
    </w:p>
    <w:p w14:paraId="19638127" w14:textId="5B6A8CA9" w:rsidR="00FB6710" w:rsidRPr="00183B5F" w:rsidRDefault="00943743" w:rsidP="00673483">
      <w:pPr>
        <w:spacing w:line="240" w:lineRule="auto"/>
        <w:ind w:right="-2"/>
        <w:rPr>
          <w:del w:id="11288" w:author="AbbVie_HU_03" w:date="2025-05-14T16:41:00Z"/>
          <w:b/>
          <w:szCs w:val="22"/>
        </w:rPr>
      </w:pPr>
      <w:del w:id="11289" w:author="AbbVie_HU_03" w:date="2025-05-14T16:41:00Z">
        <w:r w:rsidRPr="00183B5F">
          <w:rPr>
            <w:b/>
            <w:szCs w:val="22"/>
          </w:rPr>
          <w:delText>A betegtájékoztató tartalma:</w:delText>
        </w:r>
      </w:del>
    </w:p>
    <w:p w14:paraId="195E6B1E" w14:textId="6322680D" w:rsidR="00FB6710" w:rsidRPr="00183B5F" w:rsidRDefault="00943743" w:rsidP="00673483">
      <w:pPr>
        <w:spacing w:line="240" w:lineRule="auto"/>
        <w:ind w:left="567" w:right="-29" w:hanging="567"/>
        <w:rPr>
          <w:del w:id="11290" w:author="AbbVie_HU_03" w:date="2025-05-14T16:41:00Z"/>
          <w:szCs w:val="22"/>
        </w:rPr>
      </w:pPr>
      <w:del w:id="11291" w:author="AbbVie_HU_03" w:date="2025-05-14T16:41:00Z">
        <w:r w:rsidRPr="00183B5F">
          <w:rPr>
            <w:szCs w:val="22"/>
          </w:rPr>
          <w:delText>1.</w:delText>
        </w:r>
        <w:r w:rsidRPr="00183B5F">
          <w:rPr>
            <w:szCs w:val="22"/>
          </w:rPr>
          <w:tab/>
          <w:delText>Milyen típusú gyógyszer a Humira és milyen betegségek esetén alkalmazható</w:delText>
        </w:r>
        <w:r w:rsidR="008E7669" w:rsidRPr="00183B5F">
          <w:rPr>
            <w:szCs w:val="22"/>
          </w:rPr>
          <w:delText>?</w:delText>
        </w:r>
      </w:del>
    </w:p>
    <w:p w14:paraId="56402F58" w14:textId="7BE5CCCF" w:rsidR="00FB6710" w:rsidRPr="00183B5F" w:rsidRDefault="00943743" w:rsidP="00673483">
      <w:pPr>
        <w:spacing w:line="240" w:lineRule="auto"/>
        <w:ind w:left="567" w:right="-29" w:hanging="567"/>
        <w:rPr>
          <w:del w:id="11292" w:author="AbbVie_HU_03" w:date="2025-05-14T16:41:00Z"/>
          <w:szCs w:val="22"/>
        </w:rPr>
      </w:pPr>
      <w:del w:id="11293" w:author="AbbVie_HU_03" w:date="2025-05-14T16:41:00Z">
        <w:r w:rsidRPr="00183B5F">
          <w:rPr>
            <w:szCs w:val="22"/>
          </w:rPr>
          <w:delText>2.</w:delText>
        </w:r>
        <w:r w:rsidRPr="00183B5F">
          <w:rPr>
            <w:szCs w:val="22"/>
          </w:rPr>
          <w:tab/>
          <w:delText>Tudnivalók a Humira alkalmazása előtt</w:delText>
        </w:r>
      </w:del>
    </w:p>
    <w:p w14:paraId="77652DD0" w14:textId="0D2433C7" w:rsidR="00FB6710" w:rsidRPr="00183B5F" w:rsidRDefault="00943743" w:rsidP="00673483">
      <w:pPr>
        <w:spacing w:line="240" w:lineRule="auto"/>
        <w:ind w:left="567" w:right="-29" w:hanging="567"/>
        <w:rPr>
          <w:del w:id="11294" w:author="AbbVie_HU_03" w:date="2025-05-14T16:41:00Z"/>
          <w:szCs w:val="22"/>
        </w:rPr>
      </w:pPr>
      <w:del w:id="11295" w:author="AbbVie_HU_03" w:date="2025-05-14T16:41:00Z">
        <w:r w:rsidRPr="00183B5F">
          <w:rPr>
            <w:szCs w:val="22"/>
          </w:rPr>
          <w:delText>3.</w:delText>
        </w:r>
        <w:r w:rsidRPr="00183B5F">
          <w:rPr>
            <w:szCs w:val="22"/>
          </w:rPr>
          <w:tab/>
          <w:delText xml:space="preserve">Hogyan kell alkalmazni </w:delText>
        </w:r>
        <w:r w:rsidR="00B17581" w:rsidRPr="00183B5F">
          <w:rPr>
            <w:szCs w:val="22"/>
          </w:rPr>
          <w:delText xml:space="preserve">a </w:delText>
        </w:r>
        <w:r w:rsidRPr="00183B5F">
          <w:rPr>
            <w:szCs w:val="22"/>
          </w:rPr>
          <w:delText>Humira-t</w:delText>
        </w:r>
        <w:r w:rsidR="008E7669" w:rsidRPr="00183B5F">
          <w:rPr>
            <w:szCs w:val="22"/>
          </w:rPr>
          <w:delText>?</w:delText>
        </w:r>
      </w:del>
    </w:p>
    <w:p w14:paraId="7F9B8583" w14:textId="6128B657" w:rsidR="00FB6710" w:rsidRPr="00183B5F" w:rsidRDefault="00943743" w:rsidP="00673483">
      <w:pPr>
        <w:spacing w:line="240" w:lineRule="auto"/>
        <w:ind w:left="567" w:right="-29" w:hanging="567"/>
        <w:rPr>
          <w:del w:id="11296" w:author="AbbVie_HU_03" w:date="2025-05-14T16:41:00Z"/>
          <w:szCs w:val="22"/>
        </w:rPr>
      </w:pPr>
      <w:del w:id="11297" w:author="AbbVie_HU_03" w:date="2025-05-14T16:41:00Z">
        <w:r w:rsidRPr="00183B5F">
          <w:rPr>
            <w:szCs w:val="22"/>
          </w:rPr>
          <w:delText>4.</w:delText>
        </w:r>
        <w:r w:rsidRPr="00183B5F">
          <w:rPr>
            <w:szCs w:val="22"/>
          </w:rPr>
          <w:tab/>
          <w:delText>Lehetséges mellékhatások</w:delText>
        </w:r>
      </w:del>
    </w:p>
    <w:p w14:paraId="0C5DE3A9" w14:textId="10C933A7" w:rsidR="00FB6710" w:rsidRPr="00183B5F" w:rsidRDefault="00943743" w:rsidP="00673483">
      <w:pPr>
        <w:spacing w:line="240" w:lineRule="auto"/>
        <w:ind w:left="567" w:right="-29" w:hanging="567"/>
        <w:rPr>
          <w:del w:id="11298" w:author="AbbVie_HU_03" w:date="2025-05-14T16:41:00Z"/>
          <w:szCs w:val="22"/>
        </w:rPr>
      </w:pPr>
      <w:del w:id="11299" w:author="AbbVie_HU_03" w:date="2025-05-14T16:41:00Z">
        <w:r w:rsidRPr="00183B5F">
          <w:rPr>
            <w:szCs w:val="22"/>
          </w:rPr>
          <w:delText>5.</w:delText>
        </w:r>
        <w:r w:rsidRPr="00183B5F">
          <w:rPr>
            <w:szCs w:val="22"/>
          </w:rPr>
          <w:tab/>
          <w:delText>Hogyan kell a Humira</w:delText>
        </w:r>
        <w:r w:rsidR="002A2571" w:rsidRPr="00183B5F">
          <w:rPr>
            <w:szCs w:val="22"/>
          </w:rPr>
          <w:noBreakHyphen/>
        </w:r>
        <w:r w:rsidRPr="00183B5F">
          <w:rPr>
            <w:szCs w:val="22"/>
          </w:rPr>
          <w:delText>t tárolni</w:delText>
        </w:r>
        <w:r w:rsidR="008E7669" w:rsidRPr="00183B5F">
          <w:rPr>
            <w:szCs w:val="22"/>
          </w:rPr>
          <w:delText>?</w:delText>
        </w:r>
      </w:del>
    </w:p>
    <w:p w14:paraId="08F3819F" w14:textId="2EBB1B5D" w:rsidR="00FB6710" w:rsidRPr="00183B5F" w:rsidRDefault="00943743" w:rsidP="00673483">
      <w:pPr>
        <w:spacing w:line="240" w:lineRule="auto"/>
        <w:ind w:left="567" w:right="-29" w:hanging="567"/>
        <w:rPr>
          <w:del w:id="11300" w:author="AbbVie_HU_03" w:date="2025-05-14T16:41:00Z"/>
          <w:szCs w:val="22"/>
        </w:rPr>
      </w:pPr>
      <w:del w:id="11301" w:author="AbbVie_HU_03" w:date="2025-05-14T16:41:00Z">
        <w:r w:rsidRPr="00183B5F">
          <w:rPr>
            <w:szCs w:val="22"/>
          </w:rPr>
          <w:delText>6.</w:delText>
        </w:r>
        <w:r w:rsidRPr="00183B5F">
          <w:rPr>
            <w:szCs w:val="22"/>
          </w:rPr>
          <w:tab/>
        </w:r>
        <w:r w:rsidR="00CE39AF" w:rsidRPr="00183B5F">
          <w:rPr>
            <w:noProof/>
            <w:szCs w:val="24"/>
          </w:rPr>
          <w:delText>A csomagolás tartalma és egyéb</w:delText>
        </w:r>
        <w:r w:rsidR="00CE39AF" w:rsidRPr="00183B5F">
          <w:rPr>
            <w:szCs w:val="22"/>
          </w:rPr>
          <w:delText xml:space="preserve"> </w:delText>
        </w:r>
        <w:r w:rsidRPr="00183B5F">
          <w:rPr>
            <w:szCs w:val="22"/>
          </w:rPr>
          <w:delText>információk</w:delText>
        </w:r>
      </w:del>
    </w:p>
    <w:p w14:paraId="00C05F39" w14:textId="5B15994D" w:rsidR="00FB6710" w:rsidRPr="00183B5F" w:rsidRDefault="00FB6710" w:rsidP="00673483">
      <w:pPr>
        <w:spacing w:line="240" w:lineRule="auto"/>
        <w:ind w:right="-2"/>
        <w:rPr>
          <w:del w:id="11302" w:author="AbbVie_HU_03" w:date="2025-05-14T16:41:00Z"/>
          <w:szCs w:val="22"/>
        </w:rPr>
      </w:pPr>
    </w:p>
    <w:p w14:paraId="6F11B27F" w14:textId="66A6F9A2" w:rsidR="00FB6710" w:rsidRPr="00183B5F" w:rsidRDefault="00FB6710" w:rsidP="00673483">
      <w:pPr>
        <w:spacing w:line="240" w:lineRule="auto"/>
        <w:ind w:right="-2"/>
        <w:rPr>
          <w:del w:id="11303" w:author="AbbVie_HU_03" w:date="2025-05-14T16:41:00Z"/>
          <w:szCs w:val="22"/>
        </w:rPr>
      </w:pPr>
    </w:p>
    <w:p w14:paraId="14F99319" w14:textId="0E6DED8B" w:rsidR="00FB6710" w:rsidRPr="00183B5F" w:rsidRDefault="00943743" w:rsidP="00673483">
      <w:pPr>
        <w:spacing w:line="240" w:lineRule="auto"/>
        <w:ind w:left="567" w:right="-2" w:hanging="567"/>
        <w:rPr>
          <w:del w:id="11304" w:author="AbbVie_HU_03" w:date="2025-05-14T16:41:00Z"/>
          <w:b/>
          <w:szCs w:val="22"/>
        </w:rPr>
      </w:pPr>
      <w:del w:id="11305" w:author="AbbVie_HU_03" w:date="2025-05-14T16:41:00Z">
        <w:r w:rsidRPr="00183B5F">
          <w:rPr>
            <w:b/>
            <w:szCs w:val="22"/>
          </w:rPr>
          <w:delText>1.</w:delText>
        </w:r>
        <w:r w:rsidRPr="00183B5F">
          <w:rPr>
            <w:b/>
            <w:szCs w:val="22"/>
          </w:rPr>
          <w:tab/>
        </w:r>
        <w:r w:rsidR="00CE39AF" w:rsidRPr="00183B5F">
          <w:rPr>
            <w:b/>
            <w:szCs w:val="22"/>
          </w:rPr>
          <w:delText>Milyen típusú gyógyszer a Humira és milyen betegségek esetén alkalmazható</w:delText>
        </w:r>
        <w:r w:rsidR="008E7669" w:rsidRPr="00183B5F">
          <w:rPr>
            <w:b/>
            <w:szCs w:val="22"/>
          </w:rPr>
          <w:delText>?</w:delText>
        </w:r>
      </w:del>
    </w:p>
    <w:p w14:paraId="458CE6BF" w14:textId="2A3E9642" w:rsidR="00FB6710" w:rsidRPr="00183B5F" w:rsidRDefault="00FB6710" w:rsidP="00673483">
      <w:pPr>
        <w:spacing w:line="240" w:lineRule="auto"/>
        <w:ind w:right="-2"/>
        <w:rPr>
          <w:del w:id="11306" w:author="AbbVie_HU_03" w:date="2025-05-14T16:41:00Z"/>
          <w:szCs w:val="22"/>
        </w:rPr>
      </w:pPr>
    </w:p>
    <w:p w14:paraId="497CFDDC" w14:textId="1B4A9F04" w:rsidR="008E7669" w:rsidRPr="00183B5F" w:rsidRDefault="00943743" w:rsidP="00673483">
      <w:pPr>
        <w:spacing w:line="240" w:lineRule="auto"/>
        <w:ind w:right="-2"/>
        <w:rPr>
          <w:del w:id="11307" w:author="AbbVie_HU_03" w:date="2025-05-14T16:41:00Z"/>
          <w:szCs w:val="22"/>
        </w:rPr>
      </w:pPr>
      <w:del w:id="11308" w:author="AbbVie_HU_03" w:date="2025-05-14T16:41:00Z">
        <w:r w:rsidRPr="00183B5F">
          <w:rPr>
            <w:szCs w:val="22"/>
          </w:rPr>
          <w:delText>A Humira hatóanyaga az adalimumab.</w:delText>
        </w:r>
      </w:del>
    </w:p>
    <w:p w14:paraId="5B23BDE8" w14:textId="18C31B78" w:rsidR="008E7669" w:rsidRPr="00183B5F" w:rsidRDefault="008E7669" w:rsidP="00673483">
      <w:pPr>
        <w:spacing w:line="240" w:lineRule="auto"/>
        <w:ind w:right="-2"/>
        <w:rPr>
          <w:del w:id="11309" w:author="AbbVie_HU_03" w:date="2025-05-14T16:41:00Z"/>
          <w:szCs w:val="22"/>
        </w:rPr>
      </w:pPr>
    </w:p>
    <w:p w14:paraId="05395715" w14:textId="28AC77E8" w:rsidR="008E7669" w:rsidRPr="00183B5F" w:rsidRDefault="00943743" w:rsidP="00673483">
      <w:pPr>
        <w:spacing w:line="240" w:lineRule="auto"/>
        <w:ind w:right="-2"/>
        <w:rPr>
          <w:del w:id="11310" w:author="AbbVie_HU_03" w:date="2025-05-14T16:41:00Z"/>
          <w:szCs w:val="22"/>
        </w:rPr>
      </w:pPr>
      <w:del w:id="11311" w:author="AbbVie_HU_03" w:date="2025-05-14T16:41:00Z">
        <w:r w:rsidRPr="00183B5F">
          <w:rPr>
            <w:szCs w:val="22"/>
          </w:rPr>
          <w:delText>A Humira az alábbi gyulladásos betegségek kezelésére alkalmazható:</w:delText>
        </w:r>
      </w:del>
    </w:p>
    <w:p w14:paraId="03CE8664" w14:textId="58ECBC02" w:rsidR="008E7669" w:rsidRPr="00183B5F" w:rsidRDefault="00943743" w:rsidP="00673483">
      <w:pPr>
        <w:pStyle w:val="ListParagraph"/>
        <w:numPr>
          <w:ilvl w:val="0"/>
          <w:numId w:val="76"/>
        </w:numPr>
        <w:spacing w:line="240" w:lineRule="auto"/>
        <w:ind w:right="-2"/>
        <w:rPr>
          <w:del w:id="11312" w:author="AbbVie_HU_03" w:date="2025-05-14T16:41:00Z"/>
          <w:szCs w:val="22"/>
        </w:rPr>
      </w:pPr>
      <w:del w:id="11313" w:author="AbbVie_HU_03" w:date="2025-05-14T16:41:00Z">
        <w:r w:rsidRPr="00183B5F">
          <w:rPr>
            <w:szCs w:val="22"/>
          </w:rPr>
          <w:delText>R</w:delText>
        </w:r>
        <w:r w:rsidR="00FB6710" w:rsidRPr="00183B5F">
          <w:rPr>
            <w:szCs w:val="22"/>
          </w:rPr>
          <w:delText>eumás ízületi gyulladás (reumatoid artritisz)</w:delText>
        </w:r>
      </w:del>
    </w:p>
    <w:p w14:paraId="250661ED" w14:textId="1D15262D" w:rsidR="008E7669" w:rsidRPr="00183B5F" w:rsidRDefault="00943743" w:rsidP="00673483">
      <w:pPr>
        <w:pStyle w:val="ListParagraph"/>
        <w:numPr>
          <w:ilvl w:val="0"/>
          <w:numId w:val="76"/>
        </w:numPr>
        <w:spacing w:line="240" w:lineRule="auto"/>
        <w:ind w:right="-2"/>
        <w:rPr>
          <w:del w:id="11314" w:author="AbbVie_HU_03" w:date="2025-05-14T16:41:00Z"/>
          <w:szCs w:val="22"/>
        </w:rPr>
      </w:pPr>
      <w:del w:id="11315" w:author="AbbVie_HU_03" w:date="2025-05-14T16:41:00Z">
        <w:r w:rsidRPr="00183B5F">
          <w:rPr>
            <w:szCs w:val="22"/>
          </w:rPr>
          <w:delText>G</w:delText>
        </w:r>
        <w:r w:rsidR="00FB6710" w:rsidRPr="00183B5F">
          <w:rPr>
            <w:szCs w:val="22"/>
          </w:rPr>
          <w:delText>yermekkori ismeretlen eredetű sokízületi gyulladás (poliartikuláris juvenilis idiopátiás artritisz)</w:delText>
        </w:r>
      </w:del>
    </w:p>
    <w:p w14:paraId="00E79266" w14:textId="5DC3B611" w:rsidR="008E7669" w:rsidRPr="00183B5F" w:rsidRDefault="00943743" w:rsidP="00673483">
      <w:pPr>
        <w:pStyle w:val="ListParagraph"/>
        <w:numPr>
          <w:ilvl w:val="0"/>
          <w:numId w:val="76"/>
        </w:numPr>
        <w:spacing w:line="240" w:lineRule="auto"/>
        <w:ind w:right="-2"/>
        <w:rPr>
          <w:del w:id="11316" w:author="AbbVie_HU_03" w:date="2025-05-14T16:41:00Z"/>
          <w:szCs w:val="22"/>
        </w:rPr>
      </w:pPr>
      <w:del w:id="11317" w:author="AbbVie_HU_03" w:date="2025-05-14T16:41:00Z">
        <w:r w:rsidRPr="00183B5F">
          <w:rPr>
            <w:szCs w:val="22"/>
          </w:rPr>
          <w:delText>A</w:delText>
        </w:r>
        <w:r w:rsidR="00617878" w:rsidRPr="00183B5F">
          <w:rPr>
            <w:szCs w:val="22"/>
          </w:rPr>
          <w:delText xml:space="preserve">z </w:delText>
        </w:r>
        <w:r w:rsidR="00E3515C" w:rsidRPr="00183B5F">
          <w:rPr>
            <w:szCs w:val="22"/>
          </w:rPr>
          <w:delText>i</w:delText>
        </w:r>
        <w:r w:rsidR="00617878" w:rsidRPr="00183B5F">
          <w:rPr>
            <w:szCs w:val="22"/>
          </w:rPr>
          <w:delText>n</w:delText>
        </w:r>
        <w:r w:rsidR="002A2571" w:rsidRPr="00183B5F">
          <w:rPr>
            <w:szCs w:val="22"/>
          </w:rPr>
          <w:delText xml:space="preserve">ak </w:delText>
        </w:r>
        <w:r w:rsidR="00617878" w:rsidRPr="00183B5F">
          <w:rPr>
            <w:szCs w:val="22"/>
          </w:rPr>
          <w:delText>tapadási hely</w:delText>
        </w:r>
        <w:r w:rsidR="00E3515C" w:rsidRPr="00183B5F">
          <w:rPr>
            <w:szCs w:val="22"/>
          </w:rPr>
          <w:delText>é</w:delText>
        </w:r>
        <w:r w:rsidR="002A2571" w:rsidRPr="00183B5F">
          <w:rPr>
            <w:szCs w:val="22"/>
          </w:rPr>
          <w:delText>ne</w:delText>
        </w:r>
        <w:r w:rsidR="00617878" w:rsidRPr="00183B5F">
          <w:rPr>
            <w:szCs w:val="22"/>
          </w:rPr>
          <w:delText>k gyulladásos elváltozásával társult reumás ízületi gyulladás (entezitisszel társult artritisz)</w:delText>
        </w:r>
      </w:del>
    </w:p>
    <w:p w14:paraId="4EE8099A" w14:textId="0DD3713C" w:rsidR="008E7669" w:rsidRPr="00183B5F" w:rsidRDefault="00943743" w:rsidP="00673483">
      <w:pPr>
        <w:pStyle w:val="ListParagraph"/>
        <w:numPr>
          <w:ilvl w:val="0"/>
          <w:numId w:val="76"/>
        </w:numPr>
        <w:spacing w:line="240" w:lineRule="auto"/>
        <w:ind w:right="-2"/>
        <w:rPr>
          <w:del w:id="11318" w:author="AbbVie_HU_03" w:date="2025-05-14T16:41:00Z"/>
          <w:szCs w:val="22"/>
        </w:rPr>
      </w:pPr>
      <w:del w:id="11319" w:author="AbbVie_HU_03" w:date="2025-05-14T16:41:00Z">
        <w:r w:rsidRPr="00183B5F">
          <w:rPr>
            <w:szCs w:val="22"/>
          </w:rPr>
          <w:delText>A</w:delText>
        </w:r>
        <w:r w:rsidR="00FB6710" w:rsidRPr="00183B5F">
          <w:rPr>
            <w:szCs w:val="22"/>
          </w:rPr>
          <w:delText xml:space="preserve"> csigolyák összecsontosodásával járó kisízületi gyulladás (spondilitisz ankilopoetika)</w:delText>
        </w:r>
      </w:del>
    </w:p>
    <w:p w14:paraId="36C53BC7" w14:textId="679396EB" w:rsidR="00AA665D" w:rsidRPr="00183B5F" w:rsidRDefault="00943743" w:rsidP="00673483">
      <w:pPr>
        <w:pStyle w:val="ListParagraph"/>
        <w:numPr>
          <w:ilvl w:val="0"/>
          <w:numId w:val="76"/>
        </w:numPr>
        <w:spacing w:line="240" w:lineRule="auto"/>
        <w:ind w:right="-2"/>
        <w:rPr>
          <w:del w:id="11320" w:author="AbbVie_HU_03" w:date="2025-05-14T16:41:00Z"/>
          <w:szCs w:val="22"/>
        </w:rPr>
      </w:pPr>
      <w:del w:id="11321" w:author="AbbVie_HU_03" w:date="2025-05-14T16:41:00Z">
        <w:r w:rsidRPr="00183B5F">
          <w:rPr>
            <w:szCs w:val="22"/>
          </w:rPr>
          <w:delText>S</w:delText>
        </w:r>
        <w:r w:rsidR="006B7072" w:rsidRPr="00183B5F">
          <w:rPr>
            <w:szCs w:val="22"/>
          </w:rPr>
          <w:delText>pondilitisz ankilopoetiká</w:delText>
        </w:r>
        <w:r w:rsidR="009B7C1A" w:rsidRPr="00183B5F">
          <w:rPr>
            <w:szCs w:val="22"/>
          </w:rPr>
          <w:delText>r</w:delText>
        </w:r>
        <w:r w:rsidR="00A34A3E" w:rsidRPr="00183B5F">
          <w:rPr>
            <w:szCs w:val="22"/>
          </w:rPr>
          <w:delText>a</w:delText>
        </w:r>
        <w:r w:rsidR="009B7C1A" w:rsidRPr="00183B5F">
          <w:rPr>
            <w:szCs w:val="22"/>
          </w:rPr>
          <w:delText xml:space="preserve"> jellemző r</w:delText>
        </w:r>
        <w:r w:rsidR="00A34A3E" w:rsidRPr="00183B5F">
          <w:rPr>
            <w:szCs w:val="22"/>
          </w:rPr>
          <w:delText>öntgen</w:delText>
        </w:r>
        <w:r w:rsidR="009B7C1A" w:rsidRPr="00183B5F">
          <w:rPr>
            <w:szCs w:val="22"/>
          </w:rPr>
          <w:delText>eltérést nem mutató gerincízületi gyulladás (axiális spondiloartritisz)</w:delText>
        </w:r>
      </w:del>
    </w:p>
    <w:p w14:paraId="479316A3" w14:textId="6803795A" w:rsidR="00AA665D" w:rsidRPr="00183B5F" w:rsidRDefault="00943743" w:rsidP="00673483">
      <w:pPr>
        <w:pStyle w:val="ListParagraph"/>
        <w:numPr>
          <w:ilvl w:val="0"/>
          <w:numId w:val="76"/>
        </w:numPr>
        <w:spacing w:line="240" w:lineRule="auto"/>
        <w:ind w:right="-2"/>
        <w:rPr>
          <w:del w:id="11322" w:author="AbbVie_HU_03" w:date="2025-05-14T16:41:00Z"/>
          <w:szCs w:val="22"/>
        </w:rPr>
      </w:pPr>
      <w:del w:id="11323" w:author="AbbVie_HU_03" w:date="2025-05-14T16:41:00Z">
        <w:r w:rsidRPr="00183B5F">
          <w:rPr>
            <w:szCs w:val="22"/>
          </w:rPr>
          <w:delText>P</w:delText>
        </w:r>
        <w:r w:rsidR="002A795F" w:rsidRPr="00183B5F">
          <w:rPr>
            <w:szCs w:val="22"/>
          </w:rPr>
          <w:delText>ikkelysömörrel járó ízületi gyulladás (artritisz pszoriatika)</w:delText>
        </w:r>
      </w:del>
    </w:p>
    <w:p w14:paraId="70D840C8" w14:textId="6D76F4C9" w:rsidR="00AA665D" w:rsidRPr="00183B5F" w:rsidRDefault="00943743" w:rsidP="00673483">
      <w:pPr>
        <w:pStyle w:val="ListParagraph"/>
        <w:numPr>
          <w:ilvl w:val="0"/>
          <w:numId w:val="76"/>
        </w:numPr>
        <w:spacing w:line="240" w:lineRule="auto"/>
        <w:ind w:right="-2"/>
        <w:rPr>
          <w:del w:id="11324" w:author="AbbVie_HU_03" w:date="2025-05-14T16:41:00Z"/>
          <w:szCs w:val="22"/>
        </w:rPr>
      </w:pPr>
      <w:del w:id="11325" w:author="AbbVie_HU_03" w:date="2025-05-14T16:41:00Z">
        <w:r w:rsidRPr="00183B5F">
          <w:rPr>
            <w:szCs w:val="22"/>
          </w:rPr>
          <w:delText>P</w:delText>
        </w:r>
        <w:r w:rsidR="002A795F" w:rsidRPr="00183B5F">
          <w:rPr>
            <w:szCs w:val="22"/>
          </w:rPr>
          <w:delText>ikkelysömör (pszoriázis)</w:delText>
        </w:r>
      </w:del>
    </w:p>
    <w:p w14:paraId="333A2321" w14:textId="2D53FC87" w:rsidR="00AA665D" w:rsidRPr="00183B5F" w:rsidRDefault="00943743" w:rsidP="00673483">
      <w:pPr>
        <w:keepNext/>
        <w:numPr>
          <w:ilvl w:val="0"/>
          <w:numId w:val="76"/>
        </w:numPr>
        <w:spacing w:line="240" w:lineRule="auto"/>
        <w:rPr>
          <w:del w:id="11326" w:author="AbbVie_HU_03" w:date="2025-05-14T16:41:00Z"/>
          <w:bCs/>
          <w:szCs w:val="22"/>
        </w:rPr>
      </w:pPr>
      <w:del w:id="11327" w:author="AbbVie_HU_03" w:date="2025-05-14T16:41:00Z">
        <w:r w:rsidRPr="00183B5F">
          <w:rPr>
            <w:szCs w:val="22"/>
          </w:rPr>
          <w:delText>Gennyes verejtékmirigy-gyulladás (hidradenitisz szuppuratíva)</w:delText>
        </w:r>
      </w:del>
    </w:p>
    <w:p w14:paraId="5862872C" w14:textId="5F768FAA" w:rsidR="00AA665D" w:rsidRPr="00183B5F" w:rsidRDefault="00943743" w:rsidP="00673483">
      <w:pPr>
        <w:pStyle w:val="ListParagraph"/>
        <w:numPr>
          <w:ilvl w:val="0"/>
          <w:numId w:val="76"/>
        </w:numPr>
        <w:spacing w:line="240" w:lineRule="auto"/>
        <w:ind w:right="-2"/>
        <w:rPr>
          <w:del w:id="11328" w:author="AbbVie_HU_03" w:date="2025-05-14T16:41:00Z"/>
          <w:szCs w:val="22"/>
        </w:rPr>
      </w:pPr>
      <w:del w:id="11329" w:author="AbbVie_HU_03" w:date="2025-05-14T16:41:00Z">
        <w:r w:rsidRPr="00183B5F">
          <w:rPr>
            <w:szCs w:val="22"/>
          </w:rPr>
          <w:delText>A</w:delText>
        </w:r>
        <w:r w:rsidR="00FB6710" w:rsidRPr="00183B5F">
          <w:rPr>
            <w:szCs w:val="22"/>
          </w:rPr>
          <w:delText xml:space="preserve"> bélfal minden rétegére kiterjedő, nem fertőzéses eredetű gyulladás (Crohn</w:delText>
        </w:r>
        <w:r w:rsidR="00FB6710" w:rsidRPr="00183B5F">
          <w:rPr>
            <w:szCs w:val="22"/>
          </w:rPr>
          <w:noBreakHyphen/>
          <w:delText>betegség)</w:delText>
        </w:r>
      </w:del>
    </w:p>
    <w:p w14:paraId="56E8892F" w14:textId="2C823D08" w:rsidR="00AA665D" w:rsidRPr="00183B5F" w:rsidRDefault="00943743" w:rsidP="00673483">
      <w:pPr>
        <w:pStyle w:val="ListParagraph"/>
        <w:numPr>
          <w:ilvl w:val="0"/>
          <w:numId w:val="76"/>
        </w:numPr>
        <w:spacing w:line="240" w:lineRule="auto"/>
        <w:ind w:right="-2"/>
        <w:rPr>
          <w:del w:id="11330" w:author="AbbVie_HU_03" w:date="2025-05-14T16:41:00Z"/>
          <w:szCs w:val="22"/>
        </w:rPr>
      </w:pPr>
      <w:del w:id="11331" w:author="AbbVie_HU_03" w:date="2025-05-14T16:41:00Z">
        <w:r w:rsidRPr="00183B5F">
          <w:rPr>
            <w:szCs w:val="22"/>
          </w:rPr>
          <w:delText>N</w:delText>
        </w:r>
        <w:r w:rsidR="002A795F" w:rsidRPr="00183B5F">
          <w:rPr>
            <w:szCs w:val="22"/>
          </w:rPr>
          <w:delText xml:space="preserve">em </w:delText>
        </w:r>
        <w:r w:rsidR="005231D4" w:rsidRPr="00183B5F">
          <w:rPr>
            <w:szCs w:val="22"/>
          </w:rPr>
          <w:delText>fertőzéses eredetű</w:delText>
        </w:r>
        <w:r w:rsidR="007A1D04" w:rsidRPr="00183B5F">
          <w:rPr>
            <w:szCs w:val="22"/>
          </w:rPr>
          <w:delText xml:space="preserve">, </w:delText>
        </w:r>
        <w:r w:rsidR="00551E6A" w:rsidRPr="00183B5F">
          <w:rPr>
            <w:szCs w:val="22"/>
          </w:rPr>
          <w:delText>ki</w:delText>
        </w:r>
        <w:r w:rsidR="007A1D04" w:rsidRPr="00183B5F">
          <w:rPr>
            <w:szCs w:val="22"/>
          </w:rPr>
          <w:delText>fekélyes</w:delText>
        </w:r>
        <w:r w:rsidR="00551E6A" w:rsidRPr="00183B5F">
          <w:rPr>
            <w:szCs w:val="22"/>
          </w:rPr>
          <w:delText>edő</w:delText>
        </w:r>
        <w:r w:rsidR="002A795F" w:rsidRPr="00183B5F">
          <w:rPr>
            <w:szCs w:val="22"/>
          </w:rPr>
          <w:delText xml:space="preserve"> </w:delText>
        </w:r>
        <w:r w:rsidR="007A1D04" w:rsidRPr="00183B5F">
          <w:rPr>
            <w:szCs w:val="22"/>
          </w:rPr>
          <w:delText>vastagbél</w:delText>
        </w:r>
        <w:r w:rsidR="002A795F" w:rsidRPr="00183B5F">
          <w:rPr>
            <w:szCs w:val="22"/>
          </w:rPr>
          <w:delText>gyulladás (kolitisz ulceróza)</w:delText>
        </w:r>
        <w:r w:rsidR="00211E89" w:rsidRPr="00183B5F">
          <w:rPr>
            <w:szCs w:val="22"/>
          </w:rPr>
          <w:delText>, és</w:delText>
        </w:r>
      </w:del>
    </w:p>
    <w:p w14:paraId="31E3C6FD" w14:textId="41340086" w:rsidR="00AA665D" w:rsidRPr="00183B5F" w:rsidRDefault="00943743" w:rsidP="00673483">
      <w:pPr>
        <w:pStyle w:val="ListParagraph"/>
        <w:numPr>
          <w:ilvl w:val="0"/>
          <w:numId w:val="76"/>
        </w:numPr>
        <w:spacing w:line="240" w:lineRule="auto"/>
        <w:ind w:right="-2"/>
        <w:rPr>
          <w:del w:id="11332" w:author="AbbVie_HU_03" w:date="2025-05-14T16:41:00Z"/>
          <w:szCs w:val="22"/>
        </w:rPr>
      </w:pPr>
      <w:del w:id="11333" w:author="AbbVie_HU_03" w:date="2025-05-14T16:41:00Z">
        <w:r w:rsidRPr="00183B5F">
          <w:rPr>
            <w:szCs w:val="22"/>
          </w:rPr>
          <w:delText>N</w:delText>
        </w:r>
        <w:r w:rsidR="00211E89" w:rsidRPr="00183B5F">
          <w:rPr>
            <w:szCs w:val="22"/>
          </w:rPr>
          <w:delText>em fertőzéses eredetű</w:delText>
        </w:r>
        <w:r w:rsidR="00F47D03" w:rsidRPr="00183B5F">
          <w:rPr>
            <w:szCs w:val="22"/>
          </w:rPr>
          <w:delText xml:space="preserve"> </w:delText>
        </w:r>
        <w:r w:rsidR="00211E89" w:rsidRPr="00183B5F">
          <w:rPr>
            <w:szCs w:val="22"/>
          </w:rPr>
          <w:delText>szemgyulladás (uveitisz)</w:delText>
        </w:r>
        <w:r w:rsidR="002A795F" w:rsidRPr="00183B5F">
          <w:rPr>
            <w:szCs w:val="22"/>
          </w:rPr>
          <w:delText xml:space="preserve"> </w:delText>
        </w:r>
      </w:del>
    </w:p>
    <w:p w14:paraId="0A559581" w14:textId="0304FF02" w:rsidR="00C6226B" w:rsidRPr="00183B5F" w:rsidRDefault="00C6226B" w:rsidP="00673483">
      <w:pPr>
        <w:spacing w:line="240" w:lineRule="auto"/>
        <w:ind w:right="-2"/>
        <w:rPr>
          <w:del w:id="11334" w:author="AbbVie_HU_03" w:date="2025-05-14T16:41:00Z"/>
          <w:szCs w:val="22"/>
        </w:rPr>
      </w:pPr>
    </w:p>
    <w:p w14:paraId="1055352E" w14:textId="2B8A0440" w:rsidR="00AA665D" w:rsidRPr="00183B5F" w:rsidRDefault="00943743" w:rsidP="00673483">
      <w:pPr>
        <w:spacing w:line="240" w:lineRule="auto"/>
        <w:ind w:right="-2"/>
        <w:rPr>
          <w:del w:id="11335" w:author="AbbVie_HU_03" w:date="2025-05-14T16:41:00Z"/>
          <w:szCs w:val="22"/>
        </w:rPr>
      </w:pPr>
      <w:del w:id="11336" w:author="AbbVie_HU_03" w:date="2025-05-14T16:41:00Z">
        <w:r w:rsidRPr="00183B5F">
          <w:rPr>
            <w:szCs w:val="22"/>
          </w:rPr>
          <w:delText>A Humira hatóanyaga, az adalimumab egy emberi monoklonális antitest (ellenanyag). A monoklonális antitestek fehérjék, amelyek speciális célponthoz kötődnek.</w:delText>
        </w:r>
      </w:del>
    </w:p>
    <w:p w14:paraId="2FE5EBD8" w14:textId="68D1CFCF" w:rsidR="00AA665D" w:rsidRPr="00183B5F" w:rsidRDefault="00AA665D" w:rsidP="00673483">
      <w:pPr>
        <w:spacing w:line="240" w:lineRule="auto"/>
        <w:ind w:right="-2"/>
        <w:rPr>
          <w:del w:id="11337" w:author="AbbVie_HU_03" w:date="2025-05-14T16:41:00Z"/>
          <w:szCs w:val="22"/>
        </w:rPr>
      </w:pPr>
    </w:p>
    <w:p w14:paraId="229597E9" w14:textId="7D0701E3" w:rsidR="00AA665D" w:rsidRPr="00183B5F" w:rsidRDefault="00943743" w:rsidP="00673483">
      <w:pPr>
        <w:spacing w:line="240" w:lineRule="auto"/>
        <w:ind w:right="-2"/>
        <w:rPr>
          <w:del w:id="11338" w:author="AbbVie_HU_03" w:date="2025-05-14T16:41:00Z"/>
          <w:szCs w:val="22"/>
        </w:rPr>
      </w:pPr>
      <w:del w:id="11339" w:author="AbbVie_HU_03" w:date="2025-05-14T16:41:00Z">
        <w:r w:rsidRPr="00183B5F">
          <w:rPr>
            <w:szCs w:val="22"/>
          </w:rPr>
          <w:delText>Az adalim</w:delText>
        </w:r>
        <w:r w:rsidR="0036605D" w:rsidRPr="00183B5F">
          <w:rPr>
            <w:szCs w:val="22"/>
          </w:rPr>
          <w:delText>um</w:delText>
        </w:r>
        <w:r w:rsidRPr="00183B5F">
          <w:rPr>
            <w:szCs w:val="22"/>
          </w:rPr>
          <w:delText>ab célpontja a tumor nekrózis faktor (TNF</w:delText>
        </w:r>
        <w:r w:rsidRPr="00183B5F">
          <w:rPr>
            <w:noProof/>
            <w:color w:val="000000"/>
            <w:szCs w:val="22"/>
          </w:rPr>
          <w:delText>α</w:delText>
        </w:r>
        <w:r w:rsidRPr="00183B5F">
          <w:rPr>
            <w:szCs w:val="22"/>
          </w:rPr>
          <w:delText>) nevű fehérje, mely az immun (védekező) rendszer működésében vesz részt, és a fent felsorolt gyulladásos betegségekben megnövekedett mennyiségben van jelen. A TNF</w:delText>
        </w:r>
        <w:r w:rsidRPr="00183B5F">
          <w:rPr>
            <w:noProof/>
            <w:color w:val="000000"/>
            <w:szCs w:val="22"/>
          </w:rPr>
          <w:delText>α</w:delText>
        </w:r>
        <w:r w:rsidRPr="00183B5F">
          <w:rPr>
            <w:szCs w:val="22"/>
          </w:rPr>
          <w:noBreakHyphen/>
          <w:delText>hoz való kötődéssel a Humira csökkenti ezen betegségek gyulladásos folyamatait.</w:delText>
        </w:r>
      </w:del>
    </w:p>
    <w:p w14:paraId="5FF18256" w14:textId="10E05887" w:rsidR="00FB6710" w:rsidRPr="00183B5F" w:rsidRDefault="00FB6710" w:rsidP="00673483">
      <w:pPr>
        <w:spacing w:line="240" w:lineRule="auto"/>
        <w:ind w:right="-2"/>
        <w:rPr>
          <w:del w:id="11340" w:author="AbbVie_HU_03" w:date="2025-05-14T16:41:00Z"/>
          <w:szCs w:val="22"/>
        </w:rPr>
      </w:pPr>
    </w:p>
    <w:p w14:paraId="4F21FC07" w14:textId="6625E458" w:rsidR="00FB6710" w:rsidRPr="00183B5F" w:rsidRDefault="00943743" w:rsidP="00673483">
      <w:pPr>
        <w:spacing w:line="240" w:lineRule="auto"/>
        <w:ind w:right="-2"/>
        <w:rPr>
          <w:del w:id="11341" w:author="AbbVie_HU_03" w:date="2025-05-14T16:41:00Z"/>
          <w:szCs w:val="22"/>
          <w:u w:val="single"/>
        </w:rPr>
      </w:pPr>
      <w:del w:id="11342" w:author="AbbVie_HU_03" w:date="2025-05-14T16:41:00Z">
        <w:r w:rsidRPr="00183B5F">
          <w:rPr>
            <w:szCs w:val="22"/>
            <w:u w:val="single"/>
          </w:rPr>
          <w:delText>Reumatoid artritisz</w:delText>
        </w:r>
      </w:del>
    </w:p>
    <w:p w14:paraId="65CE69C3" w14:textId="56B5ED18" w:rsidR="00FB6710" w:rsidRPr="00183B5F" w:rsidRDefault="00FB6710" w:rsidP="00673483">
      <w:pPr>
        <w:spacing w:line="240" w:lineRule="auto"/>
        <w:ind w:right="-2"/>
        <w:rPr>
          <w:del w:id="11343" w:author="AbbVie_HU_03" w:date="2025-05-14T16:41:00Z"/>
          <w:szCs w:val="22"/>
        </w:rPr>
      </w:pPr>
    </w:p>
    <w:p w14:paraId="3ABC5A26" w14:textId="43713202" w:rsidR="00E87A3C" w:rsidRPr="00183B5F" w:rsidRDefault="00943743" w:rsidP="00673483">
      <w:pPr>
        <w:spacing w:line="240" w:lineRule="auto"/>
        <w:ind w:right="-2"/>
        <w:rPr>
          <w:del w:id="11344" w:author="AbbVie_HU_03" w:date="2025-05-14T16:41:00Z"/>
          <w:szCs w:val="22"/>
        </w:rPr>
      </w:pPr>
      <w:del w:id="11345" w:author="AbbVie_HU_03" w:date="2025-05-14T16:41:00Z">
        <w:r w:rsidRPr="00183B5F">
          <w:rPr>
            <w:szCs w:val="22"/>
          </w:rPr>
          <w:delText>A reumatoid artritisz az ízületek gyulladásos betegsége.</w:delText>
        </w:r>
      </w:del>
    </w:p>
    <w:p w14:paraId="66DB2464" w14:textId="68984CF8" w:rsidR="00E87A3C" w:rsidRPr="00183B5F" w:rsidRDefault="00E87A3C" w:rsidP="00673483">
      <w:pPr>
        <w:spacing w:line="240" w:lineRule="auto"/>
        <w:ind w:right="-2"/>
        <w:rPr>
          <w:del w:id="11346" w:author="AbbVie_HU_03" w:date="2025-05-14T16:41:00Z"/>
          <w:szCs w:val="22"/>
        </w:rPr>
      </w:pPr>
    </w:p>
    <w:p w14:paraId="00100033" w14:textId="012F47AF" w:rsidR="003713D8" w:rsidRPr="00183B5F" w:rsidRDefault="00943743" w:rsidP="00673483">
      <w:pPr>
        <w:spacing w:line="240" w:lineRule="auto"/>
        <w:ind w:right="-2"/>
        <w:rPr>
          <w:del w:id="11347" w:author="AbbVie_HU_03" w:date="2025-05-14T16:41:00Z"/>
          <w:szCs w:val="22"/>
        </w:rPr>
      </w:pPr>
      <w:del w:id="11348" w:author="AbbVie_HU_03" w:date="2025-05-14T16:41:00Z">
        <w:r w:rsidRPr="00183B5F">
          <w:rPr>
            <w:szCs w:val="22"/>
          </w:rPr>
          <w:delText xml:space="preserve">A Humira alkalmazható a felnőttkori reumatoid </w:delText>
        </w:r>
        <w:r w:rsidR="00274457" w:rsidRPr="00183B5F">
          <w:rPr>
            <w:szCs w:val="22"/>
          </w:rPr>
          <w:delText xml:space="preserve">artritisz </w:delText>
        </w:r>
        <w:r w:rsidRPr="00183B5F">
          <w:rPr>
            <w:szCs w:val="22"/>
          </w:rPr>
          <w:delText>kezelésére</w:delText>
        </w:r>
        <w:r w:rsidR="00FB6710" w:rsidRPr="00183B5F">
          <w:rPr>
            <w:szCs w:val="22"/>
          </w:rPr>
          <w:delText xml:space="preserve">. Ha Ön </w:delText>
        </w:r>
        <w:r w:rsidR="006E6466" w:rsidRPr="00183B5F">
          <w:rPr>
            <w:szCs w:val="22"/>
          </w:rPr>
          <w:delText>közepesen súlyos</w:delText>
        </w:r>
        <w:r w:rsidR="00FB6710" w:rsidRPr="00183B5F">
          <w:rPr>
            <w:szCs w:val="22"/>
          </w:rPr>
          <w:delText xml:space="preserve"> vagy súlyos</w:delText>
        </w:r>
        <w:r w:rsidR="002C1F5C" w:rsidRPr="00183B5F">
          <w:rPr>
            <w:szCs w:val="22"/>
          </w:rPr>
          <w:delText>,</w:delText>
        </w:r>
        <w:r w:rsidR="00FB6710" w:rsidRPr="00183B5F">
          <w:rPr>
            <w:szCs w:val="22"/>
          </w:rPr>
          <w:delText xml:space="preserve"> aktív reumatoid artritis</w:delText>
        </w:r>
        <w:r w:rsidR="00794706" w:rsidRPr="00183B5F">
          <w:rPr>
            <w:szCs w:val="22"/>
          </w:rPr>
          <w:delText>z</w:delText>
        </w:r>
        <w:r w:rsidR="00FB6710" w:rsidRPr="00183B5F">
          <w:rPr>
            <w:szCs w:val="22"/>
          </w:rPr>
          <w:delText>ben szenved, először más, betegséget befolyásoló reumaellenes szerrel, mint a metotrexát javasolt kezelni. Ha a kezelésre nem reagál megfelelő módon, abban az esetben javasolt a Humira alkalmazása a reumatoid artritisz kezelésére.</w:delText>
        </w:r>
      </w:del>
    </w:p>
    <w:p w14:paraId="00E45F46" w14:textId="0DDDAA1E" w:rsidR="00FB6710" w:rsidRPr="00183B5F" w:rsidRDefault="00FB6710" w:rsidP="00673483">
      <w:pPr>
        <w:spacing w:line="240" w:lineRule="auto"/>
        <w:ind w:right="-2"/>
        <w:rPr>
          <w:del w:id="11349" w:author="AbbVie_HU_03" w:date="2025-05-14T16:41:00Z"/>
          <w:szCs w:val="22"/>
        </w:rPr>
      </w:pPr>
    </w:p>
    <w:p w14:paraId="5427C37E" w14:textId="7BFFE2FA" w:rsidR="00FB6710" w:rsidRPr="00183B5F" w:rsidRDefault="00943743" w:rsidP="00673483">
      <w:pPr>
        <w:spacing w:line="240" w:lineRule="auto"/>
        <w:ind w:right="-2"/>
        <w:rPr>
          <w:del w:id="11350" w:author="AbbVie_HU_03" w:date="2025-05-14T16:41:00Z"/>
          <w:szCs w:val="22"/>
        </w:rPr>
      </w:pPr>
      <w:del w:id="11351" w:author="AbbVie_HU_03" w:date="2025-05-14T16:41:00Z">
        <w:r w:rsidRPr="00183B5F">
          <w:rPr>
            <w:szCs w:val="22"/>
          </w:rPr>
          <w:delText>A Humir</w:delText>
        </w:r>
        <w:r w:rsidR="003D2B48" w:rsidRPr="00183B5F">
          <w:rPr>
            <w:szCs w:val="22"/>
          </w:rPr>
          <w:delText>a-</w:delText>
        </w:r>
        <w:r w:rsidRPr="00183B5F">
          <w:rPr>
            <w:szCs w:val="22"/>
          </w:rPr>
          <w:delText xml:space="preserve">t használni lehet súlyos, aktív és súlyosbodó reumatoid artritiszben előzetes </w:delText>
        </w:r>
        <w:r w:rsidR="001A6E66" w:rsidRPr="00183B5F">
          <w:rPr>
            <w:szCs w:val="22"/>
          </w:rPr>
          <w:delText>metotrexát-keze</w:delText>
        </w:r>
        <w:r w:rsidRPr="00183B5F">
          <w:rPr>
            <w:szCs w:val="22"/>
          </w:rPr>
          <w:delText>lés nélkül is.</w:delText>
        </w:r>
      </w:del>
    </w:p>
    <w:p w14:paraId="14838FB6" w14:textId="22B39BD0" w:rsidR="00FB6710" w:rsidRPr="00183B5F" w:rsidRDefault="00FB6710" w:rsidP="00673483">
      <w:pPr>
        <w:spacing w:line="240" w:lineRule="auto"/>
        <w:ind w:right="-2"/>
        <w:rPr>
          <w:del w:id="11352" w:author="AbbVie_HU_03" w:date="2025-05-14T16:41:00Z"/>
          <w:szCs w:val="22"/>
        </w:rPr>
      </w:pPr>
    </w:p>
    <w:p w14:paraId="162CF43D" w14:textId="07A7D4E0" w:rsidR="00FB6710" w:rsidRPr="00183B5F" w:rsidRDefault="00943743" w:rsidP="00673483">
      <w:pPr>
        <w:spacing w:line="240" w:lineRule="auto"/>
        <w:ind w:right="-2"/>
        <w:rPr>
          <w:del w:id="11353" w:author="AbbVie_HU_03" w:date="2025-05-14T16:41:00Z"/>
          <w:szCs w:val="22"/>
        </w:rPr>
      </w:pPr>
      <w:del w:id="11354" w:author="AbbVie_HU_03" w:date="2025-05-14T16:41:00Z">
        <w:r w:rsidRPr="00183B5F">
          <w:rPr>
            <w:szCs w:val="22"/>
          </w:rPr>
          <w:delText>A Humira lelassítja a betegség okozta ízületi porc</w:delText>
        </w:r>
        <w:r w:rsidR="009F0E1C" w:rsidRPr="00183B5F">
          <w:rPr>
            <w:szCs w:val="22"/>
          </w:rPr>
          <w:delText>-</w:delText>
        </w:r>
        <w:r w:rsidRPr="00183B5F">
          <w:rPr>
            <w:szCs w:val="22"/>
          </w:rPr>
          <w:delText xml:space="preserve"> és csont</w:delText>
        </w:r>
        <w:r w:rsidR="009F0E1C" w:rsidRPr="00183B5F">
          <w:rPr>
            <w:szCs w:val="22"/>
          </w:rPr>
          <w:delText>-</w:delText>
        </w:r>
        <w:r w:rsidRPr="00183B5F">
          <w:rPr>
            <w:szCs w:val="22"/>
          </w:rPr>
          <w:delText>károsodást és javítja a fizikai funkciót.</w:delText>
        </w:r>
      </w:del>
    </w:p>
    <w:p w14:paraId="55A287B3" w14:textId="4C9E422F" w:rsidR="00FB6710" w:rsidRPr="00183B5F" w:rsidRDefault="00FB6710" w:rsidP="00673483">
      <w:pPr>
        <w:spacing w:line="240" w:lineRule="auto"/>
        <w:ind w:right="-2"/>
        <w:rPr>
          <w:del w:id="11355" w:author="AbbVie_HU_03" w:date="2025-05-14T16:41:00Z"/>
          <w:szCs w:val="22"/>
        </w:rPr>
      </w:pPr>
    </w:p>
    <w:p w14:paraId="573CB910" w14:textId="07329ED6" w:rsidR="00FB6710" w:rsidRPr="00183B5F" w:rsidRDefault="00943743" w:rsidP="00673483">
      <w:pPr>
        <w:spacing w:line="240" w:lineRule="auto"/>
        <w:ind w:right="-2"/>
        <w:rPr>
          <w:del w:id="11356" w:author="AbbVie_HU_03" w:date="2025-05-14T16:41:00Z"/>
          <w:szCs w:val="22"/>
        </w:rPr>
      </w:pPr>
      <w:del w:id="11357" w:author="AbbVie_HU_03" w:date="2025-05-14T16:41:00Z">
        <w:r w:rsidRPr="00183B5F">
          <w:rPr>
            <w:szCs w:val="22"/>
          </w:rPr>
          <w:delText xml:space="preserve">A </w:delText>
        </w:r>
        <w:r w:rsidR="003D2B48" w:rsidRPr="00183B5F">
          <w:rPr>
            <w:szCs w:val="22"/>
          </w:rPr>
          <w:delText xml:space="preserve">Humira-t </w:delText>
        </w:r>
        <w:r w:rsidRPr="00183B5F">
          <w:rPr>
            <w:szCs w:val="22"/>
          </w:rPr>
          <w:delText>általában metotrexáttal használják. Amennyiben az Ön kezelőorvosa a metotrexát adását nem tartja megfelelőnek, abban az esetben a Humira önállóan alkalmazható.</w:delText>
        </w:r>
      </w:del>
    </w:p>
    <w:p w14:paraId="4F948F40" w14:textId="3C043C27" w:rsidR="000D0705" w:rsidRPr="00183B5F" w:rsidRDefault="000D0705" w:rsidP="00673483">
      <w:pPr>
        <w:spacing w:line="240" w:lineRule="auto"/>
        <w:ind w:right="-2"/>
        <w:rPr>
          <w:del w:id="11358" w:author="AbbVie_HU_03" w:date="2025-05-14T16:41:00Z"/>
          <w:szCs w:val="22"/>
          <w:u w:val="single"/>
        </w:rPr>
      </w:pPr>
    </w:p>
    <w:p w14:paraId="11486E6F" w14:textId="39F44F22" w:rsidR="007C024F" w:rsidRPr="00183B5F" w:rsidRDefault="00943743" w:rsidP="00673483">
      <w:pPr>
        <w:spacing w:line="240" w:lineRule="auto"/>
        <w:ind w:right="-2"/>
        <w:rPr>
          <w:del w:id="11359" w:author="AbbVie_HU_03" w:date="2025-05-14T16:41:00Z"/>
          <w:szCs w:val="22"/>
          <w:u w:val="single"/>
        </w:rPr>
      </w:pPr>
      <w:del w:id="11360" w:author="AbbVie_HU_03" w:date="2025-05-14T16:41:00Z">
        <w:r w:rsidRPr="00183B5F">
          <w:rPr>
            <w:szCs w:val="22"/>
            <w:u w:val="single"/>
          </w:rPr>
          <w:delText>Poliartikuláris juvenilis idiopátiás artritisz és entezitisszel társult artritisz</w:delText>
        </w:r>
      </w:del>
    </w:p>
    <w:p w14:paraId="22C1462F" w14:textId="6C8CA184" w:rsidR="007C024F" w:rsidRPr="00183B5F" w:rsidRDefault="007C024F" w:rsidP="00673483">
      <w:pPr>
        <w:spacing w:line="240" w:lineRule="auto"/>
        <w:ind w:right="-2"/>
        <w:rPr>
          <w:del w:id="11361" w:author="AbbVie_HU_03" w:date="2025-05-14T16:41:00Z"/>
          <w:szCs w:val="22"/>
          <w:u w:val="single"/>
        </w:rPr>
      </w:pPr>
    </w:p>
    <w:p w14:paraId="6BAE32D7" w14:textId="045A031B" w:rsidR="00E87A3C" w:rsidRPr="00183B5F" w:rsidRDefault="00943743" w:rsidP="00673483">
      <w:pPr>
        <w:spacing w:line="240" w:lineRule="auto"/>
        <w:ind w:right="-2"/>
        <w:rPr>
          <w:del w:id="11362" w:author="AbbVie_HU_03" w:date="2025-05-14T16:41:00Z"/>
          <w:szCs w:val="22"/>
        </w:rPr>
      </w:pPr>
      <w:del w:id="11363" w:author="AbbVie_HU_03" w:date="2025-05-14T16:41:00Z">
        <w:r w:rsidRPr="00183B5F">
          <w:rPr>
            <w:szCs w:val="22"/>
          </w:rPr>
          <w:delText xml:space="preserve">A gyermekkori ismeretlen eredetű sokízületi gyulladás és az </w:delText>
        </w:r>
        <w:r w:rsidR="00E3515C" w:rsidRPr="00183B5F">
          <w:rPr>
            <w:szCs w:val="22"/>
          </w:rPr>
          <w:delText>i</w:delText>
        </w:r>
        <w:r w:rsidRPr="00183B5F">
          <w:rPr>
            <w:szCs w:val="22"/>
          </w:rPr>
          <w:delText>nak tapadási hely</w:delText>
        </w:r>
        <w:r w:rsidR="00E3515C" w:rsidRPr="00183B5F">
          <w:rPr>
            <w:szCs w:val="22"/>
          </w:rPr>
          <w:delText>é</w:delText>
        </w:r>
        <w:r w:rsidRPr="00183B5F">
          <w:rPr>
            <w:szCs w:val="22"/>
          </w:rPr>
          <w:delText>nek gyulladásos elváltozásával társult reumás ízületi gyulladás, gyulladásos betegségek.</w:delText>
        </w:r>
      </w:del>
    </w:p>
    <w:p w14:paraId="14E16409" w14:textId="0C35C44E" w:rsidR="00E87A3C" w:rsidRPr="00183B5F" w:rsidRDefault="00E87A3C" w:rsidP="00673483">
      <w:pPr>
        <w:spacing w:line="240" w:lineRule="auto"/>
        <w:ind w:right="-2"/>
        <w:rPr>
          <w:del w:id="11364" w:author="AbbVie_HU_03" w:date="2025-05-14T16:41:00Z"/>
          <w:szCs w:val="22"/>
          <w:u w:val="single"/>
        </w:rPr>
      </w:pPr>
    </w:p>
    <w:p w14:paraId="25C75F8C" w14:textId="1AEBE4A0" w:rsidR="007C024F" w:rsidRPr="00183B5F" w:rsidRDefault="00943743" w:rsidP="00673483">
      <w:pPr>
        <w:spacing w:line="240" w:lineRule="auto"/>
        <w:ind w:right="-2"/>
        <w:rPr>
          <w:del w:id="11365" w:author="AbbVie_HU_03" w:date="2025-05-14T16:41:00Z"/>
          <w:szCs w:val="22"/>
        </w:rPr>
      </w:pPr>
      <w:del w:id="11366" w:author="AbbVie_HU_03" w:date="2025-05-14T16:41:00Z">
        <w:r w:rsidRPr="00183B5F">
          <w:rPr>
            <w:szCs w:val="22"/>
          </w:rPr>
          <w:delText xml:space="preserve">A Humira alkalmazható </w:delText>
        </w:r>
        <w:r w:rsidR="00EB2BE2" w:rsidRPr="00183B5F">
          <w:rPr>
            <w:szCs w:val="22"/>
          </w:rPr>
          <w:delText xml:space="preserve">2–17 éves korban </w:delText>
        </w:r>
        <w:r w:rsidRPr="00183B5F">
          <w:rPr>
            <w:szCs w:val="22"/>
          </w:rPr>
          <w:delText xml:space="preserve">a gyermekkori ismeretlen eredetű sokízületi gyulladás (poliartikuláris juvenilis idiopátiás artritisz) és </w:delText>
        </w:r>
        <w:r w:rsidR="00EB2BE2" w:rsidRPr="00183B5F">
          <w:rPr>
            <w:szCs w:val="22"/>
          </w:rPr>
          <w:delText xml:space="preserve">6–17 éves korban </w:delText>
        </w:r>
        <w:r w:rsidRPr="00183B5F">
          <w:rPr>
            <w:szCs w:val="22"/>
          </w:rPr>
          <w:delText xml:space="preserve">az </w:delText>
        </w:r>
        <w:r w:rsidR="00E3515C" w:rsidRPr="00183B5F">
          <w:rPr>
            <w:szCs w:val="22"/>
          </w:rPr>
          <w:delText>i</w:delText>
        </w:r>
        <w:r w:rsidRPr="00183B5F">
          <w:rPr>
            <w:szCs w:val="22"/>
          </w:rPr>
          <w:delText>n</w:delText>
        </w:r>
        <w:r w:rsidR="002A2571" w:rsidRPr="00183B5F">
          <w:rPr>
            <w:szCs w:val="22"/>
          </w:rPr>
          <w:delText xml:space="preserve">ak </w:delText>
        </w:r>
        <w:r w:rsidRPr="00183B5F">
          <w:rPr>
            <w:szCs w:val="22"/>
          </w:rPr>
          <w:delText>tapadási hely</w:delText>
        </w:r>
        <w:r w:rsidR="00E3515C" w:rsidRPr="00183B5F">
          <w:rPr>
            <w:szCs w:val="22"/>
          </w:rPr>
          <w:delText>é</w:delText>
        </w:r>
        <w:r w:rsidR="002A2571" w:rsidRPr="00183B5F">
          <w:rPr>
            <w:szCs w:val="22"/>
          </w:rPr>
          <w:delText>ne</w:delText>
        </w:r>
        <w:r w:rsidRPr="00183B5F">
          <w:rPr>
            <w:szCs w:val="22"/>
          </w:rPr>
          <w:delText>k gyulladásos elváltozásával társult reumás ízületi gyulladás (entezitisszel társult artritisz) kezelésére. Gyermeke először egyéb betegséget módosító gyógyszereket (</w:delText>
        </w:r>
        <w:r w:rsidR="00F15477" w:rsidRPr="00183B5F">
          <w:rPr>
            <w:bCs/>
            <w:szCs w:val="22"/>
          </w:rPr>
          <w:delText>például</w:delText>
        </w:r>
        <w:r w:rsidR="00EB2BE2" w:rsidRPr="00183B5F">
          <w:rPr>
            <w:szCs w:val="22"/>
          </w:rPr>
          <w:delText> </w:delText>
        </w:r>
        <w:r w:rsidRPr="00183B5F">
          <w:rPr>
            <w:szCs w:val="22"/>
          </w:rPr>
          <w:delText>metotrexátot) kaphat. Ha gyermeke nem reagál kellőképpen ezekre a gyógyszerekre, akkor a poliartikuláris juvenilis idiopátiás artritisz és az entezitisszel társult artritisz kezelésére Humira</w:delText>
        </w:r>
        <w:r w:rsidR="0069092C" w:rsidRPr="00183B5F">
          <w:rPr>
            <w:szCs w:val="22"/>
          </w:rPr>
          <w:noBreakHyphen/>
        </w:r>
        <w:r w:rsidRPr="00183B5F">
          <w:rPr>
            <w:szCs w:val="22"/>
          </w:rPr>
          <w:delText>t adnak.</w:delText>
        </w:r>
      </w:del>
    </w:p>
    <w:p w14:paraId="6CA95320" w14:textId="66AE8306" w:rsidR="002A795F" w:rsidRPr="00183B5F" w:rsidRDefault="002A795F" w:rsidP="00673483">
      <w:pPr>
        <w:spacing w:line="240" w:lineRule="auto"/>
        <w:ind w:right="-2"/>
        <w:rPr>
          <w:del w:id="11367" w:author="AbbVie_HU_03" w:date="2025-05-14T16:41:00Z"/>
          <w:szCs w:val="22"/>
        </w:rPr>
      </w:pPr>
    </w:p>
    <w:p w14:paraId="36E6E797" w14:textId="2459FFF3" w:rsidR="002A795F" w:rsidRPr="00183B5F" w:rsidRDefault="00943743" w:rsidP="00673483">
      <w:pPr>
        <w:spacing w:line="240" w:lineRule="auto"/>
        <w:ind w:right="-2"/>
        <w:rPr>
          <w:del w:id="11368" w:author="AbbVie_HU_03" w:date="2025-05-14T16:41:00Z"/>
          <w:szCs w:val="22"/>
          <w:u w:val="single"/>
        </w:rPr>
      </w:pPr>
      <w:del w:id="11369" w:author="AbbVie_HU_03" w:date="2025-05-14T16:41:00Z">
        <w:r w:rsidRPr="00183B5F">
          <w:rPr>
            <w:szCs w:val="22"/>
            <w:u w:val="single"/>
          </w:rPr>
          <w:delText>Spondilitisz ankilopoetika</w:delText>
        </w:r>
        <w:r w:rsidR="009B7C1A" w:rsidRPr="00183B5F">
          <w:rPr>
            <w:szCs w:val="22"/>
            <w:u w:val="single"/>
          </w:rPr>
          <w:delText xml:space="preserve"> és </w:delText>
        </w:r>
        <w:r w:rsidR="003713D8" w:rsidRPr="00183B5F">
          <w:rPr>
            <w:szCs w:val="22"/>
            <w:u w:val="single"/>
          </w:rPr>
          <w:delText xml:space="preserve">spondilitisz ankilopoetikára </w:delText>
        </w:r>
        <w:r w:rsidR="005F7261" w:rsidRPr="00183B5F">
          <w:rPr>
            <w:szCs w:val="22"/>
            <w:u w:val="single"/>
          </w:rPr>
          <w:delText>jellemző röntgeneltérést nem mutató gerincízületi gyulladás (axiális spondiloartritisz)</w:delText>
        </w:r>
      </w:del>
    </w:p>
    <w:p w14:paraId="534F5429" w14:textId="2BBCD2F6" w:rsidR="002A795F" w:rsidRPr="00183B5F" w:rsidRDefault="002A795F" w:rsidP="00673483">
      <w:pPr>
        <w:spacing w:line="240" w:lineRule="auto"/>
        <w:ind w:right="-2"/>
        <w:rPr>
          <w:del w:id="11370" w:author="AbbVie_HU_03" w:date="2025-05-14T16:41:00Z"/>
          <w:szCs w:val="22"/>
        </w:rPr>
      </w:pPr>
    </w:p>
    <w:p w14:paraId="255C8D9A" w14:textId="492BE4D7" w:rsidR="00DD600B" w:rsidRPr="00183B5F" w:rsidRDefault="00943743" w:rsidP="00673483">
      <w:pPr>
        <w:spacing w:line="240" w:lineRule="auto"/>
        <w:ind w:right="-2"/>
        <w:rPr>
          <w:del w:id="11371" w:author="AbbVie_HU_03" w:date="2025-05-14T16:41:00Z"/>
          <w:szCs w:val="22"/>
        </w:rPr>
      </w:pPr>
      <w:del w:id="11372" w:author="AbbVie_HU_03" w:date="2025-05-14T16:41:00Z">
        <w:r w:rsidRPr="00183B5F">
          <w:rPr>
            <w:szCs w:val="22"/>
          </w:rPr>
          <w:delText>A spondilitisz ankilopoetika és a spondilitisz ankilopoetikára jellemző röntgeneltérést nem mutató gerincízületi gyulladás (axiális spondiloartritisz) a gerincoszlop gyulladással járó betegsége.</w:delText>
        </w:r>
      </w:del>
    </w:p>
    <w:p w14:paraId="6AB10537" w14:textId="33F6E8A5" w:rsidR="00DD600B" w:rsidRPr="00183B5F" w:rsidRDefault="00DD600B" w:rsidP="00673483">
      <w:pPr>
        <w:spacing w:line="240" w:lineRule="auto"/>
        <w:ind w:right="-2"/>
        <w:rPr>
          <w:del w:id="11373" w:author="AbbVie_HU_03" w:date="2025-05-14T16:41:00Z"/>
          <w:szCs w:val="22"/>
        </w:rPr>
      </w:pPr>
    </w:p>
    <w:p w14:paraId="2421F8A2" w14:textId="25E818CD" w:rsidR="002A795F" w:rsidRPr="00183B5F" w:rsidRDefault="00943743" w:rsidP="00673483">
      <w:pPr>
        <w:spacing w:line="240" w:lineRule="auto"/>
        <w:ind w:right="-2"/>
        <w:rPr>
          <w:del w:id="11374" w:author="AbbVie_HU_03" w:date="2025-05-14T16:41:00Z"/>
          <w:szCs w:val="22"/>
        </w:rPr>
      </w:pPr>
      <w:del w:id="11375" w:author="AbbVie_HU_03" w:date="2025-05-14T16:41:00Z">
        <w:r w:rsidRPr="00183B5F">
          <w:rPr>
            <w:szCs w:val="22"/>
          </w:rPr>
          <w:delText>A Humira alkalmazható felnőttkori spondilitisz ankilopoetika és spondilitisz ankilopoetikára jellemző röntgeneltérést nem mutató gerincízületi gyulladás (axiális spondiloartritisz) kezelésére</w:delText>
        </w:r>
        <w:r w:rsidR="009F0E1C" w:rsidRPr="00183B5F">
          <w:rPr>
            <w:szCs w:val="22"/>
          </w:rPr>
          <w:delText>.</w:delText>
        </w:r>
        <w:r w:rsidRPr="00183B5F">
          <w:rPr>
            <w:szCs w:val="22"/>
          </w:rPr>
          <w:delText xml:space="preserve"> Ha Ön spondilitisz ankilopoetikában </w:delText>
        </w:r>
        <w:r w:rsidR="009B7C1A" w:rsidRPr="00183B5F">
          <w:rPr>
            <w:szCs w:val="22"/>
          </w:rPr>
          <w:delText xml:space="preserve">vagy </w:delText>
        </w:r>
        <w:r w:rsidRPr="00183B5F">
          <w:rPr>
            <w:szCs w:val="22"/>
          </w:rPr>
          <w:delText xml:space="preserve">spondilitisz ankilopoetikára </w:delText>
        </w:r>
        <w:r w:rsidR="005F7261" w:rsidRPr="00183B5F">
          <w:rPr>
            <w:szCs w:val="22"/>
          </w:rPr>
          <w:delText>jellemző röntgeneltérést nem mutató gerincízületi gyulladásban (axiális spondiloartritiszben)</w:delText>
        </w:r>
        <w:r w:rsidR="009B7C1A" w:rsidRPr="00183B5F">
          <w:rPr>
            <w:szCs w:val="22"/>
          </w:rPr>
          <w:delText xml:space="preserve"> </w:delText>
        </w:r>
        <w:r w:rsidRPr="00183B5F">
          <w:rPr>
            <w:szCs w:val="22"/>
          </w:rPr>
          <w:delText>szenved, először egyéb gyógyszereket kap. Ha nem reagál megfelelő módon ezekre a gyógyszerekre, abban az esetben a betegség jeleinek és tüneteinek csökkentése érdekében Humira</w:delText>
        </w:r>
        <w:r w:rsidR="0069092C" w:rsidRPr="00183B5F">
          <w:rPr>
            <w:szCs w:val="22"/>
          </w:rPr>
          <w:noBreakHyphen/>
        </w:r>
        <w:r w:rsidRPr="00183B5F">
          <w:rPr>
            <w:szCs w:val="22"/>
          </w:rPr>
          <w:delText>t fog kapni.</w:delText>
        </w:r>
      </w:del>
    </w:p>
    <w:p w14:paraId="464C16AC" w14:textId="540C3C26" w:rsidR="00FB6710" w:rsidRPr="00183B5F" w:rsidRDefault="00FB6710" w:rsidP="00673483">
      <w:pPr>
        <w:spacing w:line="240" w:lineRule="auto"/>
        <w:ind w:right="-2"/>
        <w:rPr>
          <w:del w:id="11376" w:author="AbbVie_HU_03" w:date="2025-05-14T16:41:00Z"/>
          <w:szCs w:val="22"/>
        </w:rPr>
      </w:pPr>
    </w:p>
    <w:p w14:paraId="700EAAAF" w14:textId="7E0BC859" w:rsidR="00FB6710" w:rsidRPr="00183B5F" w:rsidRDefault="00943743" w:rsidP="00673483">
      <w:pPr>
        <w:spacing w:line="240" w:lineRule="auto"/>
        <w:rPr>
          <w:del w:id="11377" w:author="AbbVie_HU_03" w:date="2025-05-14T16:41:00Z"/>
          <w:szCs w:val="22"/>
          <w:u w:val="single"/>
        </w:rPr>
      </w:pPr>
      <w:del w:id="11378" w:author="AbbVie_HU_03" w:date="2025-05-14T16:41:00Z">
        <w:r w:rsidRPr="00183B5F">
          <w:rPr>
            <w:szCs w:val="22"/>
            <w:u w:val="single"/>
          </w:rPr>
          <w:delText>Artritisz pszoriatika</w:delText>
        </w:r>
      </w:del>
    </w:p>
    <w:p w14:paraId="7DB6F27B" w14:textId="2511F8D7" w:rsidR="00FB6710" w:rsidRPr="00183B5F" w:rsidRDefault="00FB6710" w:rsidP="00673483">
      <w:pPr>
        <w:spacing w:line="240" w:lineRule="auto"/>
        <w:ind w:right="-2"/>
        <w:rPr>
          <w:del w:id="11379" w:author="AbbVie_HU_03" w:date="2025-05-14T16:41:00Z"/>
          <w:szCs w:val="22"/>
        </w:rPr>
      </w:pPr>
    </w:p>
    <w:p w14:paraId="6E816313" w14:textId="1232FBA0" w:rsidR="00DD600B" w:rsidRPr="00183B5F" w:rsidRDefault="00943743" w:rsidP="00673483">
      <w:pPr>
        <w:spacing w:line="240" w:lineRule="auto"/>
        <w:ind w:right="-2"/>
        <w:rPr>
          <w:del w:id="11380" w:author="AbbVie_HU_03" w:date="2025-05-14T16:41:00Z"/>
          <w:szCs w:val="22"/>
        </w:rPr>
      </w:pPr>
      <w:del w:id="11381" w:author="AbbVie_HU_03" w:date="2025-05-14T16:41:00Z">
        <w:r w:rsidRPr="00183B5F">
          <w:rPr>
            <w:szCs w:val="22"/>
          </w:rPr>
          <w:delText>Az artritisz pszoriatika az ízületek olyan gyulladásos betegsége, amely pikkelysömörrel társul.</w:delText>
        </w:r>
      </w:del>
    </w:p>
    <w:p w14:paraId="74C2BC9F" w14:textId="48EBD6C2" w:rsidR="00DD600B" w:rsidRPr="00183B5F" w:rsidRDefault="00DD600B" w:rsidP="00673483">
      <w:pPr>
        <w:spacing w:line="240" w:lineRule="auto"/>
        <w:ind w:right="-2"/>
        <w:rPr>
          <w:del w:id="11382" w:author="AbbVie_HU_03" w:date="2025-05-14T16:41:00Z"/>
          <w:szCs w:val="22"/>
        </w:rPr>
      </w:pPr>
    </w:p>
    <w:p w14:paraId="6DCB0F2D" w14:textId="59E3BFA4" w:rsidR="00FB6710" w:rsidRPr="00183B5F" w:rsidRDefault="00943743" w:rsidP="00673483">
      <w:pPr>
        <w:spacing w:line="240" w:lineRule="auto"/>
        <w:ind w:right="-2"/>
        <w:rPr>
          <w:del w:id="11383" w:author="AbbVie_HU_03" w:date="2025-05-14T16:41:00Z"/>
          <w:szCs w:val="22"/>
        </w:rPr>
      </w:pPr>
      <w:del w:id="11384" w:author="AbbVie_HU_03" w:date="2025-05-14T16:41:00Z">
        <w:r w:rsidRPr="00183B5F">
          <w:rPr>
            <w:szCs w:val="22"/>
          </w:rPr>
          <w:delText>A Humira alkalmazható a felnőttkori artritisz pszoriatika kezelésére. Kimutatták, hogy a Humira lassítja az ízületekben a betegség által okozott porc</w:delText>
        </w:r>
        <w:r w:rsidR="0029438F" w:rsidRPr="00183B5F">
          <w:rPr>
            <w:szCs w:val="22"/>
          </w:rPr>
          <w:delText>-</w:delText>
        </w:r>
        <w:r w:rsidRPr="00183B5F">
          <w:rPr>
            <w:szCs w:val="22"/>
          </w:rPr>
          <w:delText xml:space="preserve"> és csontkárosodást, valamint javítja az ízületek működőképességét.</w:delText>
        </w:r>
      </w:del>
    </w:p>
    <w:p w14:paraId="22123573" w14:textId="113BE4E0" w:rsidR="00FB6710" w:rsidRPr="00183B5F" w:rsidRDefault="00FB6710" w:rsidP="00673483">
      <w:pPr>
        <w:spacing w:line="240" w:lineRule="auto"/>
        <w:ind w:right="-2"/>
        <w:rPr>
          <w:del w:id="11385" w:author="AbbVie_HU_03" w:date="2025-05-14T16:41:00Z"/>
          <w:szCs w:val="22"/>
        </w:rPr>
      </w:pPr>
    </w:p>
    <w:p w14:paraId="2F99393F" w14:textId="37BE6D0C" w:rsidR="002A795F" w:rsidRPr="00183B5F" w:rsidRDefault="00943743" w:rsidP="00673483">
      <w:pPr>
        <w:pStyle w:val="DefaultText"/>
        <w:rPr>
          <w:del w:id="11386" w:author="AbbVie_HU_03" w:date="2025-05-14T16:41:00Z"/>
          <w:rFonts w:ascii="Times New Roman" w:hAnsi="Times New Roman"/>
          <w:szCs w:val="22"/>
          <w:u w:val="single"/>
          <w:lang w:val="hu-HU"/>
        </w:rPr>
      </w:pPr>
      <w:del w:id="11387" w:author="AbbVie_HU_03" w:date="2025-05-14T16:41:00Z">
        <w:r w:rsidRPr="00183B5F">
          <w:rPr>
            <w:rFonts w:ascii="Times New Roman" w:hAnsi="Times New Roman"/>
            <w:szCs w:val="22"/>
            <w:u w:val="single"/>
            <w:lang w:val="hu-HU"/>
          </w:rPr>
          <w:delText>Pikkelysömör (pszoriázis)</w:delText>
        </w:r>
        <w:r w:rsidR="00DD600B" w:rsidRPr="00183B5F">
          <w:rPr>
            <w:rFonts w:ascii="Times New Roman" w:hAnsi="Times New Roman"/>
            <w:szCs w:val="22"/>
            <w:u w:val="single"/>
            <w:lang w:val="hu-HU"/>
          </w:rPr>
          <w:delText xml:space="preserve"> felnőtteknél és gyermekeknél</w:delText>
        </w:r>
      </w:del>
    </w:p>
    <w:p w14:paraId="2435EFC5" w14:textId="1F6A2ECB" w:rsidR="002A795F" w:rsidRPr="00183B5F" w:rsidRDefault="002A795F" w:rsidP="00673483">
      <w:pPr>
        <w:pStyle w:val="DefaultText"/>
        <w:rPr>
          <w:del w:id="11388" w:author="AbbVie_HU_03" w:date="2025-05-14T16:41:00Z"/>
          <w:rFonts w:ascii="Times New Roman" w:hAnsi="Times New Roman"/>
          <w:szCs w:val="22"/>
          <w:u w:val="single"/>
          <w:lang w:val="hu-HU"/>
        </w:rPr>
      </w:pPr>
    </w:p>
    <w:p w14:paraId="443C0FCA" w14:textId="3F4B4266" w:rsidR="007019ED" w:rsidRPr="00183B5F" w:rsidRDefault="00943743" w:rsidP="00673483">
      <w:pPr>
        <w:suppressAutoHyphens w:val="0"/>
        <w:autoSpaceDE w:val="0"/>
        <w:autoSpaceDN w:val="0"/>
        <w:adjustRightInd w:val="0"/>
        <w:spacing w:line="240" w:lineRule="auto"/>
        <w:rPr>
          <w:del w:id="11389" w:author="AbbVie_HU_03" w:date="2025-05-14T16:41:00Z"/>
          <w:bCs/>
          <w:szCs w:val="22"/>
        </w:rPr>
      </w:pPr>
      <w:del w:id="11390" w:author="AbbVie_HU_03" w:date="2025-05-14T16:41:00Z">
        <w:r w:rsidRPr="00183B5F">
          <w:rPr>
            <w:bCs/>
            <w:szCs w:val="22"/>
          </w:rPr>
          <w:delText xml:space="preserve">A plakkos pszoriázis egy bőrbetegség, amely ezüstös pikkelyekkel borított piros, hámló, kérges foltokat okoz a bőrön. </w:delText>
        </w:r>
        <w:r w:rsidR="00F778FC" w:rsidRPr="00183B5F">
          <w:rPr>
            <w:bCs/>
            <w:szCs w:val="22"/>
          </w:rPr>
          <w:delText xml:space="preserve">A plakkos pszoriázis a körmöket is érintheti, </w:delText>
        </w:r>
        <w:r w:rsidR="00845D0D" w:rsidRPr="00183B5F">
          <w:rPr>
            <w:bCs/>
            <w:szCs w:val="22"/>
          </w:rPr>
          <w:delText xml:space="preserve">a köröm töredezését, megvastagodását, </w:delText>
        </w:r>
        <w:r w:rsidR="004870AE" w:rsidRPr="00183B5F">
          <w:rPr>
            <w:bCs/>
            <w:szCs w:val="22"/>
          </w:rPr>
          <w:delText xml:space="preserve">a körömágytól való elválását okozva, ami fájdalmas lehet. </w:delText>
        </w:r>
        <w:r w:rsidRPr="00183B5F">
          <w:rPr>
            <w:bCs/>
            <w:szCs w:val="22"/>
          </w:rPr>
          <w:delText>A pszoriázist vélhetően a szervezet immunrendszerének hibája okozza, amely a bőrsejtek fokozott termelődéséhez vezet.</w:delText>
        </w:r>
      </w:del>
    </w:p>
    <w:p w14:paraId="4F368D33" w14:textId="453F2B94" w:rsidR="00DD600B" w:rsidRPr="00183B5F" w:rsidRDefault="00DD600B" w:rsidP="00673483">
      <w:pPr>
        <w:suppressAutoHyphens w:val="0"/>
        <w:autoSpaceDE w:val="0"/>
        <w:autoSpaceDN w:val="0"/>
        <w:adjustRightInd w:val="0"/>
        <w:spacing w:line="240" w:lineRule="auto"/>
        <w:rPr>
          <w:del w:id="11391" w:author="AbbVie_HU_03" w:date="2025-05-14T16:41:00Z"/>
          <w:bCs/>
          <w:szCs w:val="22"/>
        </w:rPr>
      </w:pPr>
    </w:p>
    <w:p w14:paraId="7AD3CF0A" w14:textId="28DA18D2" w:rsidR="00FB6710" w:rsidRPr="00183B5F" w:rsidRDefault="00943743" w:rsidP="00673483">
      <w:pPr>
        <w:spacing w:line="240" w:lineRule="auto"/>
        <w:ind w:right="-2"/>
        <w:rPr>
          <w:del w:id="11392" w:author="AbbVie_HU_03" w:date="2025-05-14T16:41:00Z"/>
          <w:szCs w:val="22"/>
        </w:rPr>
      </w:pPr>
      <w:del w:id="11393" w:author="AbbVie_HU_03" w:date="2025-05-14T16:41:00Z">
        <w:r w:rsidRPr="00183B5F">
          <w:rPr>
            <w:szCs w:val="22"/>
          </w:rPr>
          <w:delText xml:space="preserve">A Humira alkalmazható a </w:delText>
        </w:r>
        <w:r w:rsidR="00DD600B" w:rsidRPr="00183B5F">
          <w:rPr>
            <w:szCs w:val="22"/>
          </w:rPr>
          <w:delText xml:space="preserve">közepesen súlyos vagy súlyos </w:delText>
        </w:r>
        <w:r w:rsidRPr="00183B5F">
          <w:rPr>
            <w:szCs w:val="22"/>
          </w:rPr>
          <w:delText>felnőttkori pszoriázis kezelésére</w:delText>
        </w:r>
        <w:r w:rsidR="002A795F" w:rsidRPr="00183B5F">
          <w:rPr>
            <w:bCs/>
            <w:szCs w:val="22"/>
          </w:rPr>
          <w:delText xml:space="preserve">. </w:delText>
        </w:r>
        <w:r w:rsidR="000278D8" w:rsidRPr="00183B5F">
          <w:rPr>
            <w:bCs/>
            <w:szCs w:val="22"/>
          </w:rPr>
          <w:delText>A Humira alkalmazható súlyos plakkos pszoriázisban szenvedő, 4</w:delText>
        </w:r>
        <w:r w:rsidR="000278D8" w:rsidRPr="00183B5F">
          <w:rPr>
            <w:bCs/>
            <w:szCs w:val="22"/>
          </w:rPr>
          <w:noBreakHyphen/>
          <w:delText>17 év közötti gyermekeknél és serdülőknél</w:delText>
        </w:r>
        <w:r w:rsidR="002E423E" w:rsidRPr="00183B5F">
          <w:rPr>
            <w:bCs/>
            <w:szCs w:val="22"/>
          </w:rPr>
          <w:delText xml:space="preserve"> is</w:delText>
        </w:r>
        <w:r w:rsidR="000278D8" w:rsidRPr="00183B5F">
          <w:rPr>
            <w:bCs/>
            <w:szCs w:val="22"/>
          </w:rPr>
          <w:delText>, akiknél a helyi kezelés és a fényterápiák nem használtak, vagy nem alkalmazhatóak.</w:delText>
        </w:r>
      </w:del>
    </w:p>
    <w:p w14:paraId="2ABAB9F4" w14:textId="51F6F5AC" w:rsidR="00424544" w:rsidRPr="00183B5F" w:rsidRDefault="00424544" w:rsidP="00673483">
      <w:pPr>
        <w:spacing w:line="240" w:lineRule="auto"/>
        <w:ind w:right="-2"/>
        <w:rPr>
          <w:del w:id="11394" w:author="AbbVie_HU_03" w:date="2025-05-14T16:41:00Z"/>
          <w:bCs/>
          <w:szCs w:val="22"/>
        </w:rPr>
      </w:pPr>
    </w:p>
    <w:p w14:paraId="587CA147" w14:textId="50BBAEE4" w:rsidR="00C1469A" w:rsidRPr="00183B5F" w:rsidRDefault="00943743" w:rsidP="00673483">
      <w:pPr>
        <w:keepNext/>
        <w:spacing w:line="240" w:lineRule="auto"/>
        <w:rPr>
          <w:del w:id="11395" w:author="AbbVie_HU_03" w:date="2025-05-14T16:41:00Z"/>
          <w:bCs/>
          <w:szCs w:val="22"/>
          <w:u w:val="single"/>
        </w:rPr>
      </w:pPr>
      <w:del w:id="11396" w:author="AbbVie_HU_03" w:date="2025-05-14T16:41:00Z">
        <w:r w:rsidRPr="00183B5F">
          <w:rPr>
            <w:szCs w:val="22"/>
            <w:u w:val="single"/>
          </w:rPr>
          <w:delText>Hidradenitisz szuppuratíva</w:delText>
        </w:r>
        <w:r w:rsidR="004D1838" w:rsidRPr="00183B5F">
          <w:rPr>
            <w:szCs w:val="22"/>
            <w:u w:val="single"/>
          </w:rPr>
          <w:delText xml:space="preserve"> felnőtteknél és serdülőknél</w:delText>
        </w:r>
      </w:del>
    </w:p>
    <w:p w14:paraId="40440040" w14:textId="4B312EE7" w:rsidR="005727A2" w:rsidRPr="00183B5F" w:rsidRDefault="005727A2" w:rsidP="00673483">
      <w:pPr>
        <w:keepNext/>
        <w:spacing w:line="240" w:lineRule="auto"/>
        <w:rPr>
          <w:del w:id="11397" w:author="AbbVie_HU_03" w:date="2025-05-14T16:41:00Z"/>
          <w:bCs/>
          <w:szCs w:val="22"/>
          <w:u w:val="single"/>
        </w:rPr>
      </w:pPr>
    </w:p>
    <w:p w14:paraId="0BCA80D4" w14:textId="7C85912E" w:rsidR="00B829F4" w:rsidRPr="00183B5F" w:rsidRDefault="00943743" w:rsidP="00673483">
      <w:pPr>
        <w:spacing w:line="240" w:lineRule="auto"/>
        <w:ind w:right="-2"/>
        <w:rPr>
          <w:del w:id="11398" w:author="AbbVie_HU_03" w:date="2025-05-14T16:41:00Z"/>
          <w:bCs/>
          <w:szCs w:val="22"/>
        </w:rPr>
      </w:pPr>
      <w:del w:id="11399" w:author="AbbVie_HU_03" w:date="2025-05-14T16:41:00Z">
        <w:r w:rsidRPr="00183B5F">
          <w:rPr>
            <w:bCs/>
            <w:szCs w:val="22"/>
          </w:rPr>
          <w:delText xml:space="preserve">A </w:delText>
        </w:r>
        <w:r w:rsidR="00C1469A" w:rsidRPr="00183B5F">
          <w:rPr>
            <w:szCs w:val="22"/>
          </w:rPr>
          <w:delText>hidradenitisz szuppuratíva</w:delText>
        </w:r>
        <w:r w:rsidR="00C1469A" w:rsidRPr="00183B5F">
          <w:rPr>
            <w:bCs/>
            <w:szCs w:val="22"/>
          </w:rPr>
          <w:delText xml:space="preserve"> </w:delText>
        </w:r>
        <w:r w:rsidRPr="00183B5F">
          <w:rPr>
            <w:bCs/>
            <w:szCs w:val="22"/>
          </w:rPr>
          <w:delText xml:space="preserve">(más néven </w:delText>
        </w:r>
        <w:r w:rsidR="00C1469A" w:rsidRPr="00183B5F">
          <w:rPr>
            <w:bCs/>
            <w:szCs w:val="22"/>
          </w:rPr>
          <w:delText>inverz akne</w:delText>
        </w:r>
        <w:r w:rsidRPr="00183B5F">
          <w:rPr>
            <w:bCs/>
            <w:szCs w:val="22"/>
          </w:rPr>
          <w:delText>) egy krónikus és gyakran fájdalmas</w:delText>
        </w:r>
        <w:r w:rsidR="00C1469A" w:rsidRPr="00183B5F">
          <w:rPr>
            <w:bCs/>
            <w:szCs w:val="22"/>
          </w:rPr>
          <w:delText>,</w:delText>
        </w:r>
        <w:r w:rsidRPr="00183B5F">
          <w:rPr>
            <w:bCs/>
            <w:szCs w:val="22"/>
          </w:rPr>
          <w:delText xml:space="preserve"> gyulladásos bőrbetegség. A tünetek közé tartozhat</w:delText>
        </w:r>
        <w:r w:rsidR="00C1469A" w:rsidRPr="00183B5F">
          <w:rPr>
            <w:bCs/>
            <w:szCs w:val="22"/>
          </w:rPr>
          <w:delText>nak</w:delText>
        </w:r>
        <w:r w:rsidRPr="00183B5F">
          <w:rPr>
            <w:bCs/>
            <w:szCs w:val="22"/>
          </w:rPr>
          <w:delText xml:space="preserve"> a bőr alatti gócok (csomók) és tályogok (kelések), melyekből genny szivároghat. Ez</w:delText>
        </w:r>
        <w:r w:rsidR="00585C99" w:rsidRPr="00183B5F">
          <w:rPr>
            <w:bCs/>
            <w:szCs w:val="22"/>
          </w:rPr>
          <w:delText xml:space="preserve"> leggyakrabban a bőr </w:delText>
        </w:r>
        <w:r w:rsidR="00C1469A" w:rsidRPr="00183B5F">
          <w:rPr>
            <w:bCs/>
            <w:szCs w:val="22"/>
          </w:rPr>
          <w:delText>bizonyos</w:delText>
        </w:r>
        <w:r w:rsidR="00585C99" w:rsidRPr="00183B5F">
          <w:rPr>
            <w:bCs/>
            <w:szCs w:val="22"/>
          </w:rPr>
          <w:delText xml:space="preserve"> területein jelenik meg</w:delText>
        </w:r>
        <w:r w:rsidR="00C1469A" w:rsidRPr="00183B5F">
          <w:rPr>
            <w:bCs/>
            <w:szCs w:val="22"/>
          </w:rPr>
          <w:delText xml:space="preserve">, </w:delText>
        </w:r>
        <w:r w:rsidR="00F15477" w:rsidRPr="00183B5F">
          <w:rPr>
            <w:bCs/>
            <w:szCs w:val="22"/>
          </w:rPr>
          <w:delText>például</w:delText>
        </w:r>
        <w:r w:rsidR="00C1469A" w:rsidRPr="00183B5F">
          <w:rPr>
            <w:bCs/>
            <w:szCs w:val="22"/>
          </w:rPr>
          <w:delText> </w:delText>
        </w:r>
        <w:r w:rsidR="00585C99" w:rsidRPr="00183B5F">
          <w:rPr>
            <w:bCs/>
            <w:szCs w:val="22"/>
          </w:rPr>
          <w:delText xml:space="preserve">a mellek alatt, hónaljban, </w:delText>
        </w:r>
        <w:r w:rsidR="00D74B71" w:rsidRPr="00183B5F">
          <w:rPr>
            <w:bCs/>
            <w:szCs w:val="22"/>
          </w:rPr>
          <w:delText>a</w:delText>
        </w:r>
        <w:r w:rsidR="00585C99" w:rsidRPr="00183B5F">
          <w:rPr>
            <w:bCs/>
            <w:szCs w:val="22"/>
          </w:rPr>
          <w:delText xml:space="preserve"> combok</w:delText>
        </w:r>
        <w:r w:rsidR="00D74B71" w:rsidRPr="00183B5F">
          <w:rPr>
            <w:bCs/>
            <w:szCs w:val="22"/>
          </w:rPr>
          <w:delText xml:space="preserve"> belső felszíné</w:delText>
        </w:r>
        <w:r w:rsidR="00585C99" w:rsidRPr="00183B5F">
          <w:rPr>
            <w:bCs/>
            <w:szCs w:val="22"/>
          </w:rPr>
          <w:delText>n, lágyékon és fenéken. Hegesedés is előfordulhat az érintett területeken.</w:delText>
        </w:r>
      </w:del>
    </w:p>
    <w:p w14:paraId="72BCF5DE" w14:textId="2B1F900B" w:rsidR="00585C99" w:rsidRPr="00183B5F" w:rsidRDefault="00585C99" w:rsidP="00673483">
      <w:pPr>
        <w:spacing w:line="240" w:lineRule="auto"/>
        <w:ind w:right="-2"/>
        <w:rPr>
          <w:del w:id="11400" w:author="AbbVie_HU_03" w:date="2025-05-14T16:41:00Z"/>
          <w:bCs/>
          <w:szCs w:val="22"/>
        </w:rPr>
      </w:pPr>
    </w:p>
    <w:p w14:paraId="56312FF8" w14:textId="449F780B" w:rsidR="004D1838" w:rsidRPr="00183B5F" w:rsidRDefault="00943743" w:rsidP="00673483">
      <w:pPr>
        <w:suppressAutoHyphens w:val="0"/>
        <w:autoSpaceDE w:val="0"/>
        <w:autoSpaceDN w:val="0"/>
        <w:adjustRightInd w:val="0"/>
        <w:spacing w:line="240" w:lineRule="auto"/>
        <w:rPr>
          <w:del w:id="11401" w:author="AbbVie_HU_03" w:date="2025-05-14T16:41:00Z"/>
          <w:bCs/>
          <w:szCs w:val="22"/>
        </w:rPr>
      </w:pPr>
      <w:del w:id="11402" w:author="AbbVie_HU_03" w:date="2025-05-14T16:41:00Z">
        <w:r w:rsidRPr="00183B5F">
          <w:rPr>
            <w:bCs/>
            <w:szCs w:val="22"/>
          </w:rPr>
          <w:delText>A Humira hidradenitis</w:delText>
        </w:r>
        <w:r w:rsidR="000E11E5" w:rsidRPr="00183B5F">
          <w:rPr>
            <w:bCs/>
            <w:szCs w:val="22"/>
          </w:rPr>
          <w:delText>z</w:delText>
        </w:r>
        <w:r w:rsidRPr="00183B5F">
          <w:rPr>
            <w:bCs/>
            <w:szCs w:val="22"/>
          </w:rPr>
          <w:delText xml:space="preserve"> s</w:delText>
        </w:r>
        <w:r w:rsidR="000E11E5" w:rsidRPr="00183B5F">
          <w:rPr>
            <w:bCs/>
            <w:szCs w:val="22"/>
          </w:rPr>
          <w:delText>z</w:delText>
        </w:r>
        <w:r w:rsidRPr="00183B5F">
          <w:rPr>
            <w:bCs/>
            <w:szCs w:val="22"/>
          </w:rPr>
          <w:delText>uppurat</w:delText>
        </w:r>
        <w:r w:rsidR="000E11E5" w:rsidRPr="00183B5F">
          <w:rPr>
            <w:bCs/>
            <w:szCs w:val="22"/>
          </w:rPr>
          <w:delText>í</w:delText>
        </w:r>
        <w:r w:rsidRPr="00183B5F">
          <w:rPr>
            <w:bCs/>
            <w:szCs w:val="22"/>
          </w:rPr>
          <w:delText>vában szenvedő felnőttek és 12 év feletti serdülők kezelésére</w:delText>
        </w:r>
        <w:r w:rsidR="00324601" w:rsidRPr="00183B5F">
          <w:rPr>
            <w:bCs/>
            <w:szCs w:val="22"/>
          </w:rPr>
          <w:delText xml:space="preserve"> alkalmazható</w:delText>
        </w:r>
        <w:r w:rsidRPr="00183B5F">
          <w:rPr>
            <w:bCs/>
            <w:szCs w:val="22"/>
          </w:rPr>
          <w:delText xml:space="preserve">. A Humira </w:delText>
        </w:r>
        <w:r w:rsidR="00324601" w:rsidRPr="00183B5F">
          <w:rPr>
            <w:bCs/>
            <w:szCs w:val="22"/>
          </w:rPr>
          <w:delText>csökkenti</w:delText>
        </w:r>
        <w:r w:rsidRPr="00183B5F">
          <w:rPr>
            <w:bCs/>
            <w:szCs w:val="22"/>
          </w:rPr>
          <w:delText xml:space="preserve"> a csomók és tályogok számát és a fájdalmat, </w:delText>
        </w:r>
        <w:r w:rsidR="00BD3F27" w:rsidRPr="00183B5F">
          <w:rPr>
            <w:bCs/>
            <w:szCs w:val="22"/>
          </w:rPr>
          <w:delText>ami</w:delText>
        </w:r>
        <w:r w:rsidRPr="00183B5F">
          <w:rPr>
            <w:bCs/>
            <w:szCs w:val="22"/>
          </w:rPr>
          <w:delText xml:space="preserve"> gyakran jár együtt a betegséggel. Önnek először más gyógyszereket adhatnak. Ha Ön nem reagál megfelelően ezekre a gyógyszerekre, Humira-t fog kapni.</w:delText>
        </w:r>
      </w:del>
    </w:p>
    <w:p w14:paraId="380A33B5" w14:textId="34CD1D9B" w:rsidR="00585C99" w:rsidRPr="00183B5F" w:rsidRDefault="00585C99" w:rsidP="00673483">
      <w:pPr>
        <w:spacing w:line="240" w:lineRule="auto"/>
        <w:ind w:right="-2"/>
        <w:rPr>
          <w:del w:id="11403" w:author="AbbVie_HU_03" w:date="2025-05-14T16:41:00Z"/>
          <w:bCs/>
          <w:szCs w:val="22"/>
        </w:rPr>
      </w:pPr>
    </w:p>
    <w:p w14:paraId="7A6E6ED5" w14:textId="2CF24DEB" w:rsidR="00FB6710" w:rsidRPr="00183B5F" w:rsidRDefault="00943743" w:rsidP="00673483">
      <w:pPr>
        <w:keepNext/>
        <w:spacing w:line="240" w:lineRule="auto"/>
        <w:rPr>
          <w:del w:id="11404" w:author="AbbVie_HU_03" w:date="2025-05-14T16:41:00Z"/>
          <w:szCs w:val="22"/>
          <w:u w:val="single"/>
        </w:rPr>
      </w:pPr>
      <w:del w:id="11405" w:author="AbbVie_HU_03" w:date="2025-05-14T16:41:00Z">
        <w:r w:rsidRPr="00183B5F">
          <w:rPr>
            <w:szCs w:val="22"/>
            <w:u w:val="single"/>
          </w:rPr>
          <w:delText>Crohn</w:delText>
        </w:r>
        <w:r w:rsidR="0069092C" w:rsidRPr="00183B5F">
          <w:rPr>
            <w:szCs w:val="22"/>
            <w:u w:val="single"/>
          </w:rPr>
          <w:noBreakHyphen/>
        </w:r>
        <w:r w:rsidRPr="00183B5F">
          <w:rPr>
            <w:szCs w:val="22"/>
            <w:u w:val="single"/>
          </w:rPr>
          <w:delText>betegség</w:delText>
        </w:r>
        <w:r w:rsidR="002822F4" w:rsidRPr="00183B5F">
          <w:rPr>
            <w:szCs w:val="22"/>
            <w:u w:val="single"/>
          </w:rPr>
          <w:delText xml:space="preserve"> felnőtteknél és gyermekeknél</w:delText>
        </w:r>
      </w:del>
    </w:p>
    <w:p w14:paraId="799ED78A" w14:textId="66A40809" w:rsidR="00FB6710" w:rsidRPr="00183B5F" w:rsidRDefault="00FB6710" w:rsidP="00673483">
      <w:pPr>
        <w:keepNext/>
        <w:spacing w:line="240" w:lineRule="auto"/>
        <w:rPr>
          <w:del w:id="11406" w:author="AbbVie_HU_03" w:date="2025-05-14T16:41:00Z"/>
          <w:szCs w:val="22"/>
        </w:rPr>
      </w:pPr>
    </w:p>
    <w:p w14:paraId="5DBFB434" w14:textId="367A7072" w:rsidR="00A5709D" w:rsidRPr="00183B5F" w:rsidRDefault="00943743" w:rsidP="00673483">
      <w:pPr>
        <w:keepNext/>
        <w:spacing w:line="240" w:lineRule="auto"/>
        <w:rPr>
          <w:del w:id="11407" w:author="AbbVie_HU_03" w:date="2025-05-14T16:41:00Z"/>
          <w:szCs w:val="22"/>
        </w:rPr>
      </w:pPr>
      <w:del w:id="11408" w:author="AbbVie_HU_03" w:date="2025-05-14T16:41:00Z">
        <w:r w:rsidRPr="00183B5F">
          <w:rPr>
            <w:szCs w:val="22"/>
          </w:rPr>
          <w:delText>A Crohn</w:delText>
        </w:r>
        <w:r w:rsidRPr="00183B5F">
          <w:rPr>
            <w:szCs w:val="22"/>
          </w:rPr>
          <w:noBreakHyphen/>
          <w:delText>betegség az emésztőcsatorna gyulladásos kórfolyamata.</w:delText>
        </w:r>
      </w:del>
    </w:p>
    <w:p w14:paraId="1E711E76" w14:textId="123888C7" w:rsidR="00A5709D" w:rsidRPr="00183B5F" w:rsidRDefault="00A5709D" w:rsidP="00673483">
      <w:pPr>
        <w:keepNext/>
        <w:spacing w:line="240" w:lineRule="auto"/>
        <w:rPr>
          <w:del w:id="11409" w:author="AbbVie_HU_03" w:date="2025-05-14T16:41:00Z"/>
          <w:szCs w:val="22"/>
        </w:rPr>
      </w:pPr>
    </w:p>
    <w:p w14:paraId="74AA5A19" w14:textId="765E9DB6" w:rsidR="00FB6710" w:rsidRPr="00183B5F" w:rsidRDefault="00943743" w:rsidP="00673483">
      <w:pPr>
        <w:keepNext/>
        <w:spacing w:line="240" w:lineRule="auto"/>
        <w:rPr>
          <w:del w:id="11410" w:author="AbbVie_HU_03" w:date="2025-05-14T16:41:00Z"/>
          <w:szCs w:val="22"/>
        </w:rPr>
      </w:pPr>
      <w:del w:id="11411" w:author="AbbVie_HU_03" w:date="2025-05-14T16:41:00Z">
        <w:r w:rsidRPr="00183B5F">
          <w:rPr>
            <w:bCs/>
            <w:szCs w:val="22"/>
          </w:rPr>
          <w:delText>A Humira alkalmazható Crohn</w:delText>
        </w:r>
        <w:r w:rsidR="0069092C" w:rsidRPr="00183B5F">
          <w:rPr>
            <w:bCs/>
            <w:szCs w:val="22"/>
          </w:rPr>
          <w:noBreakHyphen/>
        </w:r>
        <w:r w:rsidRPr="00183B5F">
          <w:rPr>
            <w:bCs/>
            <w:szCs w:val="22"/>
          </w:rPr>
          <w:delText>betegségben szenvedő felnőttek és a 6 és 17 éves kor közötti gyermekek kezelésére.</w:delText>
        </w:r>
        <w:r w:rsidR="005B3540" w:rsidRPr="00183B5F">
          <w:rPr>
            <w:szCs w:val="22"/>
          </w:rPr>
          <w:delText xml:space="preserve"> </w:delText>
        </w:r>
        <w:r w:rsidRPr="00183B5F">
          <w:rPr>
            <w:szCs w:val="22"/>
          </w:rPr>
          <w:delText>Ha Ön Crohn</w:delText>
        </w:r>
        <w:r w:rsidR="0069092C" w:rsidRPr="00183B5F">
          <w:rPr>
            <w:szCs w:val="22"/>
          </w:rPr>
          <w:noBreakHyphen/>
        </w:r>
        <w:r w:rsidRPr="00183B5F">
          <w:rPr>
            <w:szCs w:val="22"/>
          </w:rPr>
          <w:delText>betegségben szenved, akkor először Önt másfajta gyógyszerekkel kezdik el kezelni. Ha ezekre a gyógyszerekre nem reagál megfelelően, akkor Humira</w:delText>
        </w:r>
        <w:r w:rsidR="0069092C" w:rsidRPr="00183B5F">
          <w:rPr>
            <w:szCs w:val="22"/>
          </w:rPr>
          <w:noBreakHyphen/>
        </w:r>
        <w:r w:rsidRPr="00183B5F">
          <w:rPr>
            <w:szCs w:val="22"/>
          </w:rPr>
          <w:delText>t kap a</w:delText>
        </w:r>
        <w:r w:rsidR="002822F4" w:rsidRPr="00183B5F">
          <w:rPr>
            <w:szCs w:val="22"/>
          </w:rPr>
          <w:delText xml:space="preserve"> Crohn</w:delText>
        </w:r>
        <w:r w:rsidR="0069092C" w:rsidRPr="00183B5F">
          <w:rPr>
            <w:szCs w:val="22"/>
          </w:rPr>
          <w:noBreakHyphen/>
        </w:r>
        <w:r w:rsidRPr="00183B5F">
          <w:rPr>
            <w:szCs w:val="22"/>
          </w:rPr>
          <w:delText xml:space="preserve">betegség okozta </w:delText>
        </w:r>
        <w:r w:rsidR="00D02F61" w:rsidRPr="00183B5F">
          <w:rPr>
            <w:szCs w:val="22"/>
          </w:rPr>
          <w:delText xml:space="preserve">jelek </w:delText>
        </w:r>
        <w:r w:rsidRPr="00183B5F">
          <w:rPr>
            <w:szCs w:val="22"/>
          </w:rPr>
          <w:delText>és tünetek enyhítése céljából.</w:delText>
        </w:r>
      </w:del>
    </w:p>
    <w:p w14:paraId="464F6AFE" w14:textId="26D54F52" w:rsidR="00FB6710" w:rsidRPr="00183B5F" w:rsidRDefault="00FB6710" w:rsidP="00673483">
      <w:pPr>
        <w:spacing w:line="240" w:lineRule="auto"/>
        <w:rPr>
          <w:del w:id="11412" w:author="AbbVie_HU_03" w:date="2025-05-14T16:41:00Z"/>
          <w:szCs w:val="22"/>
        </w:rPr>
      </w:pPr>
    </w:p>
    <w:p w14:paraId="6FC85A21" w14:textId="652C4217" w:rsidR="00FB6710" w:rsidRPr="00183B5F" w:rsidRDefault="00943743" w:rsidP="00673483">
      <w:pPr>
        <w:keepNext/>
        <w:suppressAutoHyphens w:val="0"/>
        <w:autoSpaceDE w:val="0"/>
        <w:autoSpaceDN w:val="0"/>
        <w:adjustRightInd w:val="0"/>
        <w:spacing w:line="240" w:lineRule="auto"/>
        <w:rPr>
          <w:del w:id="11413" w:author="AbbVie_HU_03" w:date="2025-05-14T16:41:00Z"/>
          <w:szCs w:val="22"/>
          <w:u w:val="single"/>
        </w:rPr>
      </w:pPr>
      <w:bookmarkStart w:id="11414" w:name="_Hlk53390533"/>
      <w:bookmarkStart w:id="11415" w:name="_Hlk53386532"/>
      <w:del w:id="11416" w:author="AbbVie_HU_03" w:date="2025-05-14T16:41:00Z">
        <w:r w:rsidRPr="00183B5F">
          <w:rPr>
            <w:szCs w:val="22"/>
            <w:u w:val="single"/>
          </w:rPr>
          <w:delText>Kolitisz ulceróza</w:delText>
        </w:r>
        <w:r w:rsidR="00135736" w:rsidRPr="00183B5F">
          <w:rPr>
            <w:szCs w:val="22"/>
            <w:u w:val="single"/>
          </w:rPr>
          <w:delText xml:space="preserve"> felnőtteknél és gyermekeknél</w:delText>
        </w:r>
      </w:del>
    </w:p>
    <w:p w14:paraId="7436853E" w14:textId="6DF05ED8" w:rsidR="00C67B62" w:rsidRPr="00183B5F" w:rsidRDefault="00C67B62" w:rsidP="00673483">
      <w:pPr>
        <w:keepNext/>
        <w:suppressAutoHyphens w:val="0"/>
        <w:autoSpaceDE w:val="0"/>
        <w:autoSpaceDN w:val="0"/>
        <w:adjustRightInd w:val="0"/>
        <w:spacing w:line="240" w:lineRule="auto"/>
        <w:rPr>
          <w:del w:id="11417" w:author="AbbVie_HU_03" w:date="2025-05-14T16:41:00Z"/>
          <w:szCs w:val="22"/>
          <w:u w:val="single"/>
        </w:rPr>
      </w:pPr>
    </w:p>
    <w:p w14:paraId="6AA29308" w14:textId="1D1AAA3D" w:rsidR="00A5709D" w:rsidRPr="00183B5F" w:rsidRDefault="00943743" w:rsidP="00673483">
      <w:pPr>
        <w:keepNext/>
        <w:suppressAutoHyphens w:val="0"/>
        <w:autoSpaceDE w:val="0"/>
        <w:autoSpaceDN w:val="0"/>
        <w:adjustRightInd w:val="0"/>
        <w:spacing w:line="240" w:lineRule="auto"/>
        <w:rPr>
          <w:del w:id="11418" w:author="AbbVie_HU_03" w:date="2025-05-14T16:41:00Z"/>
          <w:szCs w:val="22"/>
        </w:rPr>
      </w:pPr>
      <w:del w:id="11419" w:author="AbbVie_HU_03" w:date="2025-05-14T16:41:00Z">
        <w:r w:rsidRPr="00183B5F">
          <w:rPr>
            <w:szCs w:val="22"/>
          </w:rPr>
          <w:delText>A kolitisz ulceróza a vastagbél gyulladásos betegsége.</w:delText>
        </w:r>
      </w:del>
    </w:p>
    <w:p w14:paraId="79EF8F51" w14:textId="23019D29" w:rsidR="00A5709D" w:rsidRPr="00183B5F" w:rsidRDefault="00A5709D" w:rsidP="00673483">
      <w:pPr>
        <w:keepNext/>
        <w:suppressAutoHyphens w:val="0"/>
        <w:autoSpaceDE w:val="0"/>
        <w:autoSpaceDN w:val="0"/>
        <w:adjustRightInd w:val="0"/>
        <w:spacing w:line="240" w:lineRule="auto"/>
        <w:rPr>
          <w:del w:id="11420" w:author="AbbVie_HU_03" w:date="2025-05-14T16:41:00Z"/>
          <w:szCs w:val="22"/>
          <w:u w:val="single"/>
        </w:rPr>
      </w:pPr>
    </w:p>
    <w:p w14:paraId="765A0877" w14:textId="6CAD2217" w:rsidR="002A795F" w:rsidRPr="00183B5F" w:rsidRDefault="00943743" w:rsidP="00673483">
      <w:pPr>
        <w:keepNext/>
        <w:suppressAutoHyphens w:val="0"/>
        <w:autoSpaceDE w:val="0"/>
        <w:autoSpaceDN w:val="0"/>
        <w:adjustRightInd w:val="0"/>
        <w:spacing w:line="240" w:lineRule="auto"/>
        <w:rPr>
          <w:del w:id="11421" w:author="AbbVie_HU_03" w:date="2025-05-14T16:41:00Z"/>
          <w:szCs w:val="22"/>
        </w:rPr>
      </w:pPr>
      <w:del w:id="11422" w:author="AbbVie_HU_03" w:date="2025-05-14T16:41:00Z">
        <w:r w:rsidRPr="00183B5F">
          <w:rPr>
            <w:bCs/>
            <w:szCs w:val="22"/>
          </w:rPr>
          <w:delText xml:space="preserve">A Humira alkalmazható </w:delText>
        </w:r>
        <w:r w:rsidR="00135736" w:rsidRPr="00183B5F">
          <w:rPr>
            <w:bCs/>
            <w:szCs w:val="22"/>
          </w:rPr>
          <w:delText>köz</w:delText>
        </w:r>
        <w:r w:rsidR="008F5AFF" w:rsidRPr="00183B5F">
          <w:rPr>
            <w:bCs/>
            <w:szCs w:val="22"/>
          </w:rPr>
          <w:delText xml:space="preserve">epesen </w:delText>
        </w:r>
        <w:r w:rsidR="00135736" w:rsidRPr="00183B5F">
          <w:rPr>
            <w:bCs/>
            <w:szCs w:val="22"/>
          </w:rPr>
          <w:delText>súlyos</w:delText>
        </w:r>
        <w:r w:rsidR="008F5AFF" w:rsidRPr="00183B5F">
          <w:rPr>
            <w:bCs/>
            <w:szCs w:val="22"/>
          </w:rPr>
          <w:delText> </w:delText>
        </w:r>
        <w:r w:rsidR="006242C8" w:rsidRPr="00183B5F">
          <w:rPr>
            <w:bCs/>
            <w:szCs w:val="22"/>
          </w:rPr>
          <w:delText>-</w:delText>
        </w:r>
        <w:r w:rsidR="008F5AFF" w:rsidRPr="00183B5F">
          <w:rPr>
            <w:bCs/>
            <w:szCs w:val="22"/>
          </w:rPr>
          <w:delText> </w:delText>
        </w:r>
        <w:r w:rsidR="00135736" w:rsidRPr="00183B5F">
          <w:rPr>
            <w:bCs/>
            <w:szCs w:val="22"/>
          </w:rPr>
          <w:delText>súlyos kolitisz ulcerózában szenvedő felnőttek és 6 és 17 éves kor közötti gyermekek kezelésére</w:delText>
        </w:r>
        <w:r w:rsidR="009F0E1C" w:rsidRPr="00183B5F">
          <w:rPr>
            <w:bCs/>
            <w:szCs w:val="22"/>
          </w:rPr>
          <w:delText>.</w:delText>
        </w:r>
        <w:r w:rsidRPr="00183B5F">
          <w:rPr>
            <w:szCs w:val="22"/>
          </w:rPr>
          <w:delText xml:space="preserve"> Ha kolitisz ulcerózában szenved, akkor Önt </w:delText>
        </w:r>
        <w:r w:rsidR="00AF0A3B" w:rsidRPr="00183B5F">
          <w:rPr>
            <w:szCs w:val="22"/>
          </w:rPr>
          <w:delText xml:space="preserve">először </w:delText>
        </w:r>
        <w:r w:rsidRPr="00183B5F">
          <w:rPr>
            <w:szCs w:val="22"/>
          </w:rPr>
          <w:delText>másfajta gyógyszerekkel kezd</w:delText>
        </w:r>
        <w:r w:rsidR="00182A2E" w:rsidRPr="00183B5F">
          <w:rPr>
            <w:szCs w:val="22"/>
          </w:rPr>
          <w:delText>het</w:delText>
        </w:r>
        <w:r w:rsidRPr="00183B5F">
          <w:rPr>
            <w:szCs w:val="22"/>
          </w:rPr>
          <w:delText xml:space="preserve">ik el kezelni. Ha ezekre a gyógyszerekre nem reagál megfelelően, akkor Humira-t kap a betegség okozta </w:delText>
        </w:r>
        <w:r w:rsidR="00D02F61" w:rsidRPr="00183B5F">
          <w:rPr>
            <w:szCs w:val="22"/>
          </w:rPr>
          <w:delText xml:space="preserve">jelek </w:delText>
        </w:r>
        <w:r w:rsidRPr="00183B5F">
          <w:rPr>
            <w:szCs w:val="22"/>
          </w:rPr>
          <w:delText>és tünetek enyhítése céljából.</w:delText>
        </w:r>
      </w:del>
    </w:p>
    <w:bookmarkEnd w:id="11414"/>
    <w:p w14:paraId="7703A8C0" w14:textId="4901C78A" w:rsidR="002A795F" w:rsidRPr="00183B5F" w:rsidRDefault="002A795F" w:rsidP="00673483">
      <w:pPr>
        <w:suppressAutoHyphens w:val="0"/>
        <w:autoSpaceDE w:val="0"/>
        <w:autoSpaceDN w:val="0"/>
        <w:adjustRightInd w:val="0"/>
        <w:spacing w:line="240" w:lineRule="auto"/>
        <w:rPr>
          <w:del w:id="11423" w:author="AbbVie_HU_03" w:date="2025-05-14T16:41:00Z"/>
          <w:szCs w:val="22"/>
        </w:rPr>
      </w:pPr>
    </w:p>
    <w:bookmarkEnd w:id="11415"/>
    <w:p w14:paraId="626DC0C3" w14:textId="4710E7F0" w:rsidR="0082440C" w:rsidRPr="00183B5F" w:rsidRDefault="00943743" w:rsidP="00673483">
      <w:pPr>
        <w:suppressAutoHyphens w:val="0"/>
        <w:autoSpaceDE w:val="0"/>
        <w:autoSpaceDN w:val="0"/>
        <w:adjustRightInd w:val="0"/>
        <w:spacing w:line="240" w:lineRule="auto"/>
        <w:rPr>
          <w:del w:id="11424" w:author="AbbVie_HU_03" w:date="2025-05-14T16:41:00Z"/>
          <w:szCs w:val="22"/>
          <w:u w:val="single"/>
        </w:rPr>
      </w:pPr>
      <w:del w:id="11425" w:author="AbbVie_HU_03" w:date="2025-05-14T16:41:00Z">
        <w:r w:rsidRPr="00183B5F">
          <w:rPr>
            <w:szCs w:val="22"/>
            <w:u w:val="single"/>
          </w:rPr>
          <w:delText>Felnőtt- és gyermekkori, nem fertőzéses eredetű szemgyulladás (uveitisz)</w:delText>
        </w:r>
      </w:del>
    </w:p>
    <w:p w14:paraId="2788F227" w14:textId="6E9EB428" w:rsidR="0082440C" w:rsidRPr="00183B5F" w:rsidRDefault="0082440C" w:rsidP="00673483">
      <w:pPr>
        <w:suppressAutoHyphens w:val="0"/>
        <w:autoSpaceDE w:val="0"/>
        <w:autoSpaceDN w:val="0"/>
        <w:adjustRightInd w:val="0"/>
        <w:spacing w:line="240" w:lineRule="auto"/>
        <w:rPr>
          <w:del w:id="11426" w:author="AbbVie_HU_03" w:date="2025-05-14T16:41:00Z"/>
          <w:szCs w:val="22"/>
        </w:rPr>
      </w:pPr>
    </w:p>
    <w:p w14:paraId="4BBE7891" w14:textId="129EEAEE" w:rsidR="0082440C" w:rsidRPr="00183B5F" w:rsidRDefault="00943743" w:rsidP="00673483">
      <w:pPr>
        <w:suppressAutoHyphens w:val="0"/>
        <w:autoSpaceDE w:val="0"/>
        <w:autoSpaceDN w:val="0"/>
        <w:adjustRightInd w:val="0"/>
        <w:spacing w:line="240" w:lineRule="auto"/>
        <w:rPr>
          <w:del w:id="11427" w:author="AbbVie_HU_03" w:date="2025-05-14T16:41:00Z"/>
          <w:szCs w:val="22"/>
        </w:rPr>
      </w:pPr>
      <w:del w:id="11428" w:author="AbbVie_HU_03" w:date="2025-05-14T16:41:00Z">
        <w:r w:rsidRPr="00183B5F">
          <w:rPr>
            <w:szCs w:val="22"/>
          </w:rPr>
          <w:delText>A nem fertőzéses eredetű szemgyulladás egy gyulladásos betegség, mely a szem bizonyos részeit érinti.</w:delText>
        </w:r>
      </w:del>
    </w:p>
    <w:p w14:paraId="65242791" w14:textId="75A75A50" w:rsidR="0082440C" w:rsidRPr="00183B5F" w:rsidRDefault="0082440C" w:rsidP="00673483">
      <w:pPr>
        <w:suppressAutoHyphens w:val="0"/>
        <w:autoSpaceDE w:val="0"/>
        <w:autoSpaceDN w:val="0"/>
        <w:adjustRightInd w:val="0"/>
        <w:spacing w:line="240" w:lineRule="auto"/>
        <w:rPr>
          <w:del w:id="11429" w:author="AbbVie_HU_03" w:date="2025-05-14T16:41:00Z"/>
          <w:szCs w:val="22"/>
        </w:rPr>
      </w:pPr>
    </w:p>
    <w:p w14:paraId="370EDE29" w14:textId="3D820A96" w:rsidR="00F47D03" w:rsidRPr="00183B5F" w:rsidRDefault="00943743" w:rsidP="00673483">
      <w:pPr>
        <w:suppressAutoHyphens w:val="0"/>
        <w:autoSpaceDE w:val="0"/>
        <w:autoSpaceDN w:val="0"/>
        <w:adjustRightInd w:val="0"/>
        <w:spacing w:line="240" w:lineRule="auto"/>
        <w:rPr>
          <w:del w:id="11430" w:author="AbbVie_HU_03" w:date="2025-05-14T16:41:00Z"/>
          <w:szCs w:val="22"/>
        </w:rPr>
      </w:pPr>
      <w:del w:id="11431" w:author="AbbVie_HU_03" w:date="2025-05-14T16:41:00Z">
        <w:r w:rsidRPr="00183B5F">
          <w:rPr>
            <w:szCs w:val="22"/>
          </w:rPr>
          <w:delText xml:space="preserve">A Humira alkalmazható </w:delText>
        </w:r>
      </w:del>
    </w:p>
    <w:p w14:paraId="506DA7BB" w14:textId="4EC97221" w:rsidR="00F47D03" w:rsidRPr="00183B5F" w:rsidRDefault="00943743" w:rsidP="00673483">
      <w:pPr>
        <w:pStyle w:val="ListParagraph"/>
        <w:numPr>
          <w:ilvl w:val="0"/>
          <w:numId w:val="76"/>
        </w:numPr>
        <w:suppressAutoHyphens w:val="0"/>
        <w:autoSpaceDE w:val="0"/>
        <w:autoSpaceDN w:val="0"/>
        <w:adjustRightInd w:val="0"/>
        <w:spacing w:line="240" w:lineRule="auto"/>
        <w:rPr>
          <w:del w:id="11432" w:author="AbbVie_HU_03" w:date="2025-05-14T16:41:00Z"/>
          <w:szCs w:val="22"/>
        </w:rPr>
      </w:pPr>
      <w:del w:id="11433" w:author="AbbVie_HU_03" w:date="2025-05-14T16:41:00Z">
        <w:r w:rsidRPr="00183B5F">
          <w:rPr>
            <w:szCs w:val="22"/>
          </w:rPr>
          <w:delText>F</w:delText>
        </w:r>
        <w:r w:rsidR="0082440C" w:rsidRPr="00183B5F">
          <w:rPr>
            <w:szCs w:val="22"/>
          </w:rPr>
          <w:delText>elnőttkori</w:delText>
        </w:r>
        <w:r w:rsidR="00A67C57" w:rsidRPr="00183B5F">
          <w:rPr>
            <w:szCs w:val="22"/>
          </w:rPr>
          <w:delText>,</w:delText>
        </w:r>
        <w:r w:rsidR="0082440C" w:rsidRPr="00183B5F">
          <w:rPr>
            <w:szCs w:val="22"/>
          </w:rPr>
          <w:delText xml:space="preserve"> nem fertőzéses eredetű szemgyulladás kezelésére, amikor a gyulladás a szem</w:delText>
        </w:r>
        <w:r w:rsidR="00875982" w:rsidRPr="00183B5F">
          <w:rPr>
            <w:szCs w:val="22"/>
          </w:rPr>
          <w:delText>feneket</w:delText>
        </w:r>
        <w:r w:rsidR="0082440C" w:rsidRPr="00183B5F">
          <w:rPr>
            <w:szCs w:val="22"/>
          </w:rPr>
          <w:delText xml:space="preserve"> érinti</w:delText>
        </w:r>
      </w:del>
    </w:p>
    <w:p w14:paraId="19C88CCC" w14:textId="369A1629" w:rsidR="00F47D03" w:rsidRPr="00183B5F" w:rsidRDefault="00943743" w:rsidP="00673483">
      <w:pPr>
        <w:pStyle w:val="ListParagraph"/>
        <w:numPr>
          <w:ilvl w:val="0"/>
          <w:numId w:val="76"/>
        </w:numPr>
        <w:suppressAutoHyphens w:val="0"/>
        <w:autoSpaceDE w:val="0"/>
        <w:autoSpaceDN w:val="0"/>
        <w:adjustRightInd w:val="0"/>
        <w:spacing w:line="240" w:lineRule="auto"/>
        <w:rPr>
          <w:del w:id="11434" w:author="AbbVie_HU_03" w:date="2025-05-14T16:41:00Z"/>
          <w:szCs w:val="22"/>
        </w:rPr>
      </w:pPr>
      <w:del w:id="11435" w:author="AbbVie_HU_03" w:date="2025-05-14T16:41:00Z">
        <w:r w:rsidRPr="00183B5F">
          <w:rPr>
            <w:szCs w:val="22"/>
          </w:rPr>
          <w:delText xml:space="preserve">2 évnél idősebb gyermekeknél a </w:delText>
        </w:r>
        <w:r w:rsidR="005B638E" w:rsidRPr="00183B5F">
          <w:rPr>
            <w:szCs w:val="22"/>
          </w:rPr>
          <w:delText xml:space="preserve">krónikus, </w:delText>
        </w:r>
        <w:r w:rsidRPr="00183B5F">
          <w:rPr>
            <w:szCs w:val="22"/>
          </w:rPr>
          <w:delText>nem fertőzéses eredetű szemgyulladás kezelésére, amikor a gyulladás a szem elülső részét érinti.</w:delText>
        </w:r>
      </w:del>
    </w:p>
    <w:p w14:paraId="3DCE3C1C" w14:textId="5050FF6E" w:rsidR="00F47D03" w:rsidRPr="00183B5F" w:rsidRDefault="00F47D03" w:rsidP="00673483">
      <w:pPr>
        <w:suppressAutoHyphens w:val="0"/>
        <w:autoSpaceDE w:val="0"/>
        <w:autoSpaceDN w:val="0"/>
        <w:adjustRightInd w:val="0"/>
        <w:spacing w:line="240" w:lineRule="auto"/>
        <w:rPr>
          <w:del w:id="11436" w:author="AbbVie_HU_03" w:date="2025-05-14T16:41:00Z"/>
          <w:szCs w:val="22"/>
        </w:rPr>
      </w:pPr>
    </w:p>
    <w:p w14:paraId="2BE4DB62" w14:textId="76C73E0E" w:rsidR="0082440C" w:rsidRPr="00183B5F" w:rsidRDefault="00943743" w:rsidP="00673483">
      <w:pPr>
        <w:suppressAutoHyphens w:val="0"/>
        <w:autoSpaceDE w:val="0"/>
        <w:autoSpaceDN w:val="0"/>
        <w:adjustRightInd w:val="0"/>
        <w:spacing w:line="240" w:lineRule="auto"/>
        <w:rPr>
          <w:del w:id="11437" w:author="AbbVie_HU_03" w:date="2025-05-14T16:41:00Z"/>
          <w:szCs w:val="22"/>
        </w:rPr>
      </w:pPr>
      <w:del w:id="11438" w:author="AbbVie_HU_03" w:date="2025-05-14T16:41:00Z">
        <w:r w:rsidRPr="00183B5F">
          <w:rPr>
            <w:szCs w:val="22"/>
          </w:rPr>
          <w:delText xml:space="preserve">A gyulladás látáscsökkenéshez és/vagy </w:delText>
        </w:r>
        <w:r w:rsidR="00A67C57" w:rsidRPr="00183B5F">
          <w:rPr>
            <w:szCs w:val="22"/>
          </w:rPr>
          <w:delText xml:space="preserve">a szemben </w:delText>
        </w:r>
        <w:r w:rsidR="00334330" w:rsidRPr="00183B5F">
          <w:rPr>
            <w:szCs w:val="22"/>
          </w:rPr>
          <w:delText>úszkáló homályok (fekete pontok vagy vékony csíkok, melyek a látótéren mozognak)</w:delText>
        </w:r>
        <w:r w:rsidR="00A67C57" w:rsidRPr="00183B5F">
          <w:rPr>
            <w:szCs w:val="22"/>
          </w:rPr>
          <w:delText xml:space="preserve"> jelenlétéhez vezet</w:delText>
        </w:r>
        <w:r w:rsidR="0042302B" w:rsidRPr="00183B5F">
          <w:rPr>
            <w:szCs w:val="22"/>
          </w:rPr>
          <w:delText>het</w:delText>
        </w:r>
        <w:r w:rsidR="00334330" w:rsidRPr="00183B5F">
          <w:rPr>
            <w:szCs w:val="22"/>
          </w:rPr>
          <w:delText>. A Humira ezt a gyulladást csökkenti.</w:delText>
        </w:r>
      </w:del>
    </w:p>
    <w:p w14:paraId="05C116F2" w14:textId="54A4A761" w:rsidR="00334330" w:rsidRPr="00183B5F" w:rsidRDefault="00334330" w:rsidP="00673483">
      <w:pPr>
        <w:suppressAutoHyphens w:val="0"/>
        <w:autoSpaceDE w:val="0"/>
        <w:autoSpaceDN w:val="0"/>
        <w:adjustRightInd w:val="0"/>
        <w:spacing w:line="240" w:lineRule="auto"/>
        <w:rPr>
          <w:del w:id="11439" w:author="AbbVie_HU_03" w:date="2025-05-14T16:41:00Z"/>
          <w:szCs w:val="22"/>
        </w:rPr>
      </w:pPr>
    </w:p>
    <w:p w14:paraId="5B99FB4F" w14:textId="4BB61DA9" w:rsidR="00FB6710" w:rsidRPr="00183B5F" w:rsidRDefault="00FB6710" w:rsidP="00673483">
      <w:pPr>
        <w:suppressAutoHyphens w:val="0"/>
        <w:autoSpaceDE w:val="0"/>
        <w:autoSpaceDN w:val="0"/>
        <w:adjustRightInd w:val="0"/>
        <w:spacing w:line="240" w:lineRule="auto"/>
        <w:rPr>
          <w:del w:id="11440" w:author="AbbVie_HU_03" w:date="2025-05-14T16:41:00Z"/>
          <w:szCs w:val="22"/>
        </w:rPr>
      </w:pPr>
    </w:p>
    <w:p w14:paraId="3D4AE4C9" w14:textId="44384C2B" w:rsidR="00FB6710" w:rsidRPr="00183B5F" w:rsidRDefault="00943743" w:rsidP="00673483">
      <w:pPr>
        <w:keepNext/>
        <w:suppressAutoHyphens w:val="0"/>
        <w:autoSpaceDE w:val="0"/>
        <w:autoSpaceDN w:val="0"/>
        <w:adjustRightInd w:val="0"/>
        <w:spacing w:line="240" w:lineRule="auto"/>
        <w:rPr>
          <w:del w:id="11441" w:author="AbbVie_HU_03" w:date="2025-05-14T16:41:00Z"/>
          <w:b/>
          <w:szCs w:val="22"/>
        </w:rPr>
      </w:pPr>
      <w:del w:id="11442" w:author="AbbVie_HU_03" w:date="2025-05-14T16:41:00Z">
        <w:r w:rsidRPr="00183B5F">
          <w:rPr>
            <w:b/>
            <w:szCs w:val="22"/>
          </w:rPr>
          <w:delText>2.</w:delText>
        </w:r>
        <w:r w:rsidRPr="00183B5F">
          <w:rPr>
            <w:b/>
            <w:szCs w:val="22"/>
          </w:rPr>
          <w:tab/>
        </w:r>
        <w:r w:rsidR="00CE39AF" w:rsidRPr="00183B5F">
          <w:rPr>
            <w:b/>
            <w:szCs w:val="22"/>
          </w:rPr>
          <w:delText>Tudnivalók a Humira alkalmazása előtt</w:delText>
        </w:r>
      </w:del>
    </w:p>
    <w:p w14:paraId="7D37B9C0" w14:textId="3ECED5C7" w:rsidR="00FB6710" w:rsidRPr="00183B5F" w:rsidRDefault="00FB6710" w:rsidP="00673483">
      <w:pPr>
        <w:keepNext/>
        <w:spacing w:line="240" w:lineRule="auto"/>
        <w:rPr>
          <w:del w:id="11443" w:author="AbbVie_HU_03" w:date="2025-05-14T16:41:00Z"/>
          <w:szCs w:val="22"/>
        </w:rPr>
      </w:pPr>
    </w:p>
    <w:p w14:paraId="5DDDE692" w14:textId="78F4010C" w:rsidR="00FB6710" w:rsidRPr="00183B5F" w:rsidRDefault="00943743" w:rsidP="00673483">
      <w:pPr>
        <w:keepNext/>
        <w:spacing w:line="240" w:lineRule="auto"/>
        <w:rPr>
          <w:del w:id="11444" w:author="AbbVie_HU_03" w:date="2025-05-14T16:41:00Z"/>
          <w:b/>
          <w:szCs w:val="22"/>
        </w:rPr>
      </w:pPr>
      <w:del w:id="11445" w:author="AbbVie_HU_03" w:date="2025-05-14T16:41:00Z">
        <w:r w:rsidRPr="00183B5F">
          <w:rPr>
            <w:b/>
            <w:szCs w:val="22"/>
          </w:rPr>
          <w:delText xml:space="preserve">Ne alkalmazza a </w:delText>
        </w:r>
        <w:r w:rsidRPr="00183B5F">
          <w:rPr>
            <w:b/>
            <w:bCs/>
            <w:szCs w:val="22"/>
          </w:rPr>
          <w:delText>Humira-t</w:delText>
        </w:r>
      </w:del>
    </w:p>
    <w:p w14:paraId="24E35791" w14:textId="43D934F3" w:rsidR="00FB6710" w:rsidRPr="00183B5F" w:rsidRDefault="00FB6710" w:rsidP="00673483">
      <w:pPr>
        <w:keepNext/>
        <w:spacing w:line="240" w:lineRule="auto"/>
        <w:rPr>
          <w:del w:id="11446" w:author="AbbVie_HU_03" w:date="2025-05-14T16:41:00Z"/>
          <w:szCs w:val="22"/>
        </w:rPr>
      </w:pPr>
    </w:p>
    <w:p w14:paraId="40A31810" w14:textId="78EE1218" w:rsidR="00014471" w:rsidRPr="00183B5F" w:rsidRDefault="00943743" w:rsidP="00673483">
      <w:pPr>
        <w:keepNext/>
        <w:numPr>
          <w:ilvl w:val="0"/>
          <w:numId w:val="19"/>
        </w:numPr>
        <w:tabs>
          <w:tab w:val="clear" w:pos="720"/>
        </w:tabs>
        <w:spacing w:line="240" w:lineRule="auto"/>
        <w:ind w:left="567" w:hanging="567"/>
        <w:rPr>
          <w:del w:id="11447" w:author="AbbVie_HU_03" w:date="2025-05-14T16:41:00Z"/>
          <w:szCs w:val="22"/>
        </w:rPr>
      </w:pPr>
      <w:del w:id="11448" w:author="AbbVie_HU_03" w:date="2025-05-14T16:41:00Z">
        <w:r w:rsidRPr="00183B5F">
          <w:rPr>
            <w:szCs w:val="22"/>
          </w:rPr>
          <w:delText xml:space="preserve">Ha Ön allergiás (túlérzékeny) az adalimumabra vagy </w:delText>
        </w:r>
        <w:r w:rsidR="00FF7C1E" w:rsidRPr="00183B5F">
          <w:rPr>
            <w:noProof/>
            <w:szCs w:val="24"/>
          </w:rPr>
          <w:delText>a gyógyszer (6.</w:delText>
        </w:r>
        <w:r w:rsidR="003507D7" w:rsidRPr="00183B5F">
          <w:rPr>
            <w:noProof/>
            <w:szCs w:val="24"/>
          </w:rPr>
          <w:delText> </w:delText>
        </w:r>
        <w:r w:rsidR="00FF7C1E" w:rsidRPr="00183B5F">
          <w:rPr>
            <w:noProof/>
            <w:szCs w:val="24"/>
          </w:rPr>
          <w:delText xml:space="preserve">pontban felsorolt) </w:delText>
        </w:r>
        <w:r w:rsidR="00FF7C1E" w:rsidRPr="00183B5F">
          <w:rPr>
            <w:szCs w:val="24"/>
          </w:rPr>
          <w:delText>egyéb összetevőjére.</w:delText>
        </w:r>
      </w:del>
    </w:p>
    <w:p w14:paraId="4BDEF51B" w14:textId="6039216C" w:rsidR="00014471" w:rsidRPr="00183B5F" w:rsidRDefault="00014471" w:rsidP="00673483">
      <w:pPr>
        <w:spacing w:line="240" w:lineRule="auto"/>
        <w:rPr>
          <w:del w:id="11449" w:author="AbbVie_HU_03" w:date="2025-05-14T16:41:00Z"/>
          <w:szCs w:val="22"/>
        </w:rPr>
      </w:pPr>
    </w:p>
    <w:p w14:paraId="436DD7BD" w14:textId="4350538E" w:rsidR="00FB6710" w:rsidRPr="00183B5F" w:rsidRDefault="00943743" w:rsidP="00673483">
      <w:pPr>
        <w:numPr>
          <w:ilvl w:val="0"/>
          <w:numId w:val="19"/>
        </w:numPr>
        <w:tabs>
          <w:tab w:val="clear" w:pos="720"/>
        </w:tabs>
        <w:spacing w:line="240" w:lineRule="auto"/>
        <w:ind w:left="567" w:hanging="567"/>
        <w:rPr>
          <w:del w:id="11450" w:author="AbbVie_HU_03" w:date="2025-05-14T16:41:00Z"/>
          <w:szCs w:val="22"/>
        </w:rPr>
      </w:pPr>
      <w:del w:id="11451" w:author="AbbVie_HU_03" w:date="2025-05-14T16:41:00Z">
        <w:r w:rsidRPr="00183B5F">
          <w:rPr>
            <w:szCs w:val="22"/>
          </w:rPr>
          <w:delText xml:space="preserve">Ha Ön súlyos fertőzésben szenved, beleértve az aktív </w:delText>
        </w:r>
        <w:r w:rsidRPr="00183B5F">
          <w:rPr>
            <w:bCs/>
            <w:szCs w:val="22"/>
          </w:rPr>
          <w:delText>tuberkulózist</w:delText>
        </w:r>
        <w:r w:rsidRPr="00183B5F">
          <w:rPr>
            <w:szCs w:val="22"/>
          </w:rPr>
          <w:delText xml:space="preserve"> (lásd „</w:delText>
        </w:r>
        <w:r w:rsidR="00B97A37" w:rsidRPr="00183B5F">
          <w:rPr>
            <w:szCs w:val="22"/>
          </w:rPr>
          <w:delText>Figyelmeztetések és óvintézkedések</w:delText>
        </w:r>
        <w:r w:rsidRPr="00183B5F">
          <w:rPr>
            <w:szCs w:val="22"/>
          </w:rPr>
          <w:delText xml:space="preserve">”). Kezelőorvosával feltétlenül közölje, ha bármilyen fertőzésre utaló tünete van, mint </w:delText>
        </w:r>
        <w:r w:rsidR="00F15477" w:rsidRPr="00183B5F">
          <w:rPr>
            <w:bCs/>
            <w:szCs w:val="22"/>
          </w:rPr>
          <w:delText>például</w:delText>
        </w:r>
        <w:r w:rsidRPr="00183B5F">
          <w:rPr>
            <w:szCs w:val="22"/>
          </w:rPr>
          <w:delText xml:space="preserve"> láz, sebek, fáradtságérzés, fogászati problémák.</w:delText>
        </w:r>
      </w:del>
    </w:p>
    <w:p w14:paraId="67FA39B6" w14:textId="7BA241FA" w:rsidR="00FB6710" w:rsidRPr="00183B5F" w:rsidRDefault="00FB6710" w:rsidP="00673483">
      <w:pPr>
        <w:spacing w:line="240" w:lineRule="auto"/>
        <w:rPr>
          <w:del w:id="11452" w:author="AbbVie_HU_03" w:date="2025-05-14T16:41:00Z"/>
          <w:szCs w:val="22"/>
        </w:rPr>
      </w:pPr>
    </w:p>
    <w:p w14:paraId="0584E2F9" w14:textId="3D2D1D9B" w:rsidR="00FB6710" w:rsidRPr="00183B5F" w:rsidRDefault="00943743" w:rsidP="00673483">
      <w:pPr>
        <w:numPr>
          <w:ilvl w:val="0"/>
          <w:numId w:val="19"/>
        </w:numPr>
        <w:tabs>
          <w:tab w:val="clear" w:pos="720"/>
        </w:tabs>
        <w:spacing w:line="240" w:lineRule="auto"/>
        <w:ind w:left="567" w:hanging="567"/>
        <w:rPr>
          <w:del w:id="11453" w:author="AbbVie_HU_03" w:date="2025-05-14T16:41:00Z"/>
          <w:szCs w:val="22"/>
        </w:rPr>
      </w:pPr>
      <w:del w:id="11454" w:author="AbbVie_HU_03" w:date="2025-05-14T16:41:00Z">
        <w:r w:rsidRPr="00183B5F">
          <w:rPr>
            <w:szCs w:val="22"/>
          </w:rPr>
          <w:delText xml:space="preserve">Ha Ön </w:delText>
        </w:r>
        <w:r w:rsidR="006E6466" w:rsidRPr="00183B5F">
          <w:rPr>
            <w:szCs w:val="22"/>
          </w:rPr>
          <w:delText>közepesen súlyos</w:delText>
        </w:r>
        <w:r w:rsidRPr="00183B5F">
          <w:rPr>
            <w:szCs w:val="22"/>
          </w:rPr>
          <w:delText xml:space="preserve"> vagy súlyos szívelégtelenségben szenved. Kezelőorvosával feltétlenül közölje, ha Önnek volt, vagy van súlyos szívproblémája (lásd „</w:delText>
        </w:r>
        <w:r w:rsidR="00B97A37" w:rsidRPr="00183B5F">
          <w:rPr>
            <w:szCs w:val="22"/>
          </w:rPr>
          <w:delText>Figyelmeztetések és óvintézkedések</w:delText>
        </w:r>
        <w:r w:rsidRPr="00183B5F">
          <w:rPr>
            <w:szCs w:val="22"/>
          </w:rPr>
          <w:delText>”).</w:delText>
        </w:r>
      </w:del>
    </w:p>
    <w:p w14:paraId="5604147E" w14:textId="06D5A9F7" w:rsidR="00FB6710" w:rsidRPr="00183B5F" w:rsidRDefault="00FB6710" w:rsidP="00673483">
      <w:pPr>
        <w:spacing w:line="240" w:lineRule="auto"/>
        <w:ind w:left="567" w:hanging="567"/>
        <w:rPr>
          <w:del w:id="11455" w:author="AbbVie_HU_03" w:date="2025-05-14T16:41:00Z"/>
          <w:szCs w:val="22"/>
        </w:rPr>
      </w:pPr>
    </w:p>
    <w:p w14:paraId="7592FBCA" w14:textId="0EF4B904" w:rsidR="00B97A37" w:rsidRPr="00183B5F" w:rsidRDefault="00943743" w:rsidP="00673483">
      <w:pPr>
        <w:spacing w:line="240" w:lineRule="auto"/>
        <w:ind w:right="-2"/>
        <w:rPr>
          <w:del w:id="11456" w:author="AbbVie_HU_03" w:date="2025-05-14T16:41:00Z"/>
          <w:b/>
          <w:szCs w:val="22"/>
        </w:rPr>
      </w:pPr>
      <w:del w:id="11457" w:author="AbbVie_HU_03" w:date="2025-05-14T16:41:00Z">
        <w:r w:rsidRPr="00183B5F">
          <w:rPr>
            <w:b/>
            <w:noProof/>
            <w:szCs w:val="24"/>
          </w:rPr>
          <w:delText>Figyelmeztetések és óvintézkedések</w:delText>
        </w:r>
      </w:del>
    </w:p>
    <w:p w14:paraId="22D2624E" w14:textId="5D6A9004" w:rsidR="00B97A37" w:rsidRPr="00183B5F" w:rsidRDefault="00B97A37" w:rsidP="00673483">
      <w:pPr>
        <w:spacing w:line="240" w:lineRule="auto"/>
        <w:ind w:right="-2"/>
        <w:rPr>
          <w:del w:id="11458" w:author="AbbVie_HU_03" w:date="2025-05-14T16:41:00Z"/>
          <w:szCs w:val="22"/>
        </w:rPr>
      </w:pPr>
    </w:p>
    <w:p w14:paraId="7C120FCB" w14:textId="09F89B5F" w:rsidR="00B97A37" w:rsidRPr="00183B5F" w:rsidRDefault="00943743" w:rsidP="00673483">
      <w:pPr>
        <w:spacing w:line="240" w:lineRule="auto"/>
        <w:ind w:left="567" w:right="-2" w:hanging="567"/>
        <w:rPr>
          <w:del w:id="11459" w:author="AbbVie_HU_03" w:date="2025-05-14T16:41:00Z"/>
          <w:noProof/>
          <w:szCs w:val="24"/>
        </w:rPr>
      </w:pPr>
      <w:del w:id="11460" w:author="AbbVie_HU_03" w:date="2025-05-14T16:41:00Z">
        <w:r w:rsidRPr="00183B5F">
          <w:rPr>
            <w:szCs w:val="22"/>
          </w:rPr>
          <w:delText>●</w:delText>
        </w:r>
        <w:r w:rsidRPr="00183B5F">
          <w:rPr>
            <w:szCs w:val="22"/>
          </w:rPr>
          <w:tab/>
        </w:r>
        <w:r w:rsidRPr="00183B5F">
          <w:rPr>
            <w:noProof/>
            <w:szCs w:val="24"/>
          </w:rPr>
          <w:delText>A Humira alkalmazása előtt beszéljen kezelőorvosával vagy gyógyszerészével.</w:delText>
        </w:r>
      </w:del>
    </w:p>
    <w:p w14:paraId="5BF4C732" w14:textId="216D4D60" w:rsidR="00FB6710" w:rsidRPr="00183B5F" w:rsidRDefault="00FB6710" w:rsidP="00673483">
      <w:pPr>
        <w:spacing w:line="240" w:lineRule="auto"/>
        <w:ind w:left="567" w:right="-2" w:hanging="567"/>
        <w:rPr>
          <w:del w:id="11461" w:author="AbbVie_HU_03" w:date="2025-05-14T16:41:00Z"/>
          <w:b/>
          <w:szCs w:val="22"/>
        </w:rPr>
      </w:pPr>
    </w:p>
    <w:p w14:paraId="588AAB18" w14:textId="2632DF85" w:rsidR="00FB6710" w:rsidRPr="00183B5F" w:rsidRDefault="00943743" w:rsidP="00673483">
      <w:pPr>
        <w:numPr>
          <w:ilvl w:val="0"/>
          <w:numId w:val="38"/>
        </w:numPr>
        <w:spacing w:line="240" w:lineRule="auto"/>
        <w:rPr>
          <w:del w:id="11462" w:author="AbbVie_HU_03" w:date="2025-05-14T16:41:00Z"/>
          <w:szCs w:val="22"/>
        </w:rPr>
      </w:pPr>
      <w:del w:id="11463" w:author="AbbVie_HU_03" w:date="2025-05-14T16:41:00Z">
        <w:r w:rsidRPr="00183B5F">
          <w:rPr>
            <w:szCs w:val="22"/>
          </w:rPr>
          <w:delText xml:space="preserve">Ha allergiás reakciót észlel olyan tünetekkel, mint a mellkasi szorítás, asztmás légzés, szédülés, duzzanat vagy </w:delText>
        </w:r>
        <w:r w:rsidR="004C50B5" w:rsidRPr="00183B5F">
          <w:rPr>
            <w:szCs w:val="22"/>
          </w:rPr>
          <w:delText>bőr</w:delText>
        </w:r>
        <w:r w:rsidRPr="00183B5F">
          <w:rPr>
            <w:szCs w:val="22"/>
          </w:rPr>
          <w:delText>kiütés</w:delText>
        </w:r>
        <w:r w:rsidR="00587C86" w:rsidRPr="00183B5F">
          <w:rPr>
            <w:szCs w:val="22"/>
          </w:rPr>
          <w:delText>,</w:delText>
        </w:r>
        <w:r w:rsidRPr="00183B5F">
          <w:rPr>
            <w:szCs w:val="22"/>
          </w:rPr>
          <w:delText xml:space="preserve"> ne alkalmazza a Humira-t és azonnal forduljon orvosához</w:delText>
        </w:r>
        <w:r w:rsidR="00C1197A" w:rsidRPr="00183B5F">
          <w:rPr>
            <w:szCs w:val="22"/>
          </w:rPr>
          <w:delText>, mivel ritka esetekben ezek a reakciók életveszélyesek lehetnek</w:delText>
        </w:r>
        <w:r w:rsidRPr="00183B5F">
          <w:rPr>
            <w:szCs w:val="22"/>
          </w:rPr>
          <w:delText>.</w:delText>
        </w:r>
      </w:del>
    </w:p>
    <w:p w14:paraId="5AD2A111" w14:textId="08B5B9DA" w:rsidR="00FB6710" w:rsidRPr="00183B5F" w:rsidRDefault="00FB6710" w:rsidP="00673483">
      <w:pPr>
        <w:spacing w:line="240" w:lineRule="auto"/>
        <w:rPr>
          <w:del w:id="11464" w:author="AbbVie_HU_03" w:date="2025-05-14T16:41:00Z"/>
          <w:szCs w:val="22"/>
        </w:rPr>
      </w:pPr>
    </w:p>
    <w:p w14:paraId="5D79F1D9" w14:textId="57C409A6" w:rsidR="00FB6710" w:rsidRPr="00183B5F" w:rsidRDefault="00943743" w:rsidP="00673483">
      <w:pPr>
        <w:numPr>
          <w:ilvl w:val="0"/>
          <w:numId w:val="20"/>
        </w:numPr>
        <w:tabs>
          <w:tab w:val="clear" w:pos="720"/>
        </w:tabs>
        <w:spacing w:line="240" w:lineRule="auto"/>
        <w:ind w:left="567" w:hanging="567"/>
        <w:rPr>
          <w:del w:id="11465" w:author="AbbVie_HU_03" w:date="2025-05-14T16:41:00Z"/>
          <w:szCs w:val="22"/>
        </w:rPr>
      </w:pPr>
      <w:del w:id="11466" w:author="AbbVie_HU_03" w:date="2025-05-14T16:41:00Z">
        <w:r w:rsidRPr="00183B5F">
          <w:rPr>
            <w:szCs w:val="22"/>
          </w:rPr>
          <w:delText>A Humira alkalmazása előtt, ha fertőzésben szenved, mint hosszantartó vagy helyi fertőzés (</w:delText>
        </w:r>
        <w:r w:rsidR="00F15477" w:rsidRPr="00183B5F">
          <w:rPr>
            <w:bCs/>
            <w:szCs w:val="22"/>
          </w:rPr>
          <w:delText>például</w:delText>
        </w:r>
        <w:r w:rsidR="002C3A2C" w:rsidRPr="00183B5F">
          <w:rPr>
            <w:szCs w:val="22"/>
          </w:rPr>
          <w:delText> </w:delText>
        </w:r>
        <w:r w:rsidRPr="00183B5F">
          <w:rPr>
            <w:szCs w:val="22"/>
          </w:rPr>
          <w:delText>lábszárfekély) beszéljen orvosával. Ha kétségei vannak, forduljon orvosához.</w:delText>
        </w:r>
      </w:del>
    </w:p>
    <w:p w14:paraId="2A400885" w14:textId="16B2FB7A" w:rsidR="00FB6710" w:rsidRPr="00183B5F" w:rsidRDefault="00FB6710" w:rsidP="00673483">
      <w:pPr>
        <w:spacing w:line="240" w:lineRule="auto"/>
        <w:ind w:left="567" w:hanging="567"/>
        <w:rPr>
          <w:del w:id="11467" w:author="AbbVie_HU_03" w:date="2025-05-14T16:41:00Z"/>
          <w:szCs w:val="22"/>
        </w:rPr>
      </w:pPr>
    </w:p>
    <w:p w14:paraId="7593A55D" w14:textId="40F9769A" w:rsidR="00FB6710" w:rsidRPr="00183B5F" w:rsidRDefault="00943743" w:rsidP="00673483">
      <w:pPr>
        <w:pStyle w:val="EMEABullet2"/>
        <w:numPr>
          <w:ilvl w:val="0"/>
          <w:numId w:val="20"/>
        </w:numPr>
        <w:tabs>
          <w:tab w:val="clear" w:pos="720"/>
          <w:tab w:val="num" w:pos="567"/>
        </w:tabs>
        <w:ind w:left="567" w:hanging="567"/>
        <w:rPr>
          <w:del w:id="11468" w:author="AbbVie_HU_03" w:date="2025-05-14T16:41:00Z"/>
          <w:szCs w:val="22"/>
          <w:lang w:val="hu-HU"/>
        </w:rPr>
      </w:pPr>
      <w:del w:id="11469" w:author="AbbVie_HU_03" w:date="2025-05-14T16:41:00Z">
        <w:r w:rsidRPr="00183B5F">
          <w:rPr>
            <w:szCs w:val="22"/>
            <w:lang w:val="hu-HU"/>
          </w:rPr>
          <w:delText>Humira</w:delText>
        </w:r>
        <w:r w:rsidR="0069092C" w:rsidRPr="00183B5F">
          <w:rPr>
            <w:szCs w:val="22"/>
            <w:lang w:val="hu-HU"/>
          </w:rPr>
          <w:noBreakHyphen/>
        </w:r>
        <w:r w:rsidRPr="00183B5F">
          <w:rPr>
            <w:szCs w:val="22"/>
            <w:lang w:val="hu-HU"/>
          </w:rPr>
          <w:delText>kezelés során könnyebben kaphat fertőzéseket. Ennek veszélye nagyobb lehet, ha a légzésfunkciója károsodott. Ezek a fertőzések súlyosak lehetnek és közéjük tartozik a tuberkulózis, a vírusok, gombák, élősködők vagy baktériumok okozta fertőzések vagy az egyéb opportunista fertőzések és a szepszis, melyek ritkán életveszélyesek lehetnek. Kezelőorvosával feltétlenül közölje, ha bármilyen fertőzésre utaló tünete van, mint láz, sebek, fáradtságérzés, fogászati problémák</w:delText>
        </w:r>
        <w:r w:rsidR="007C581D" w:rsidRPr="00183B5F">
          <w:rPr>
            <w:szCs w:val="22"/>
            <w:lang w:val="hu-HU"/>
          </w:rPr>
          <w:delText>.</w:delText>
        </w:r>
        <w:r w:rsidRPr="00183B5F">
          <w:rPr>
            <w:szCs w:val="22"/>
            <w:lang w:val="hu-HU"/>
          </w:rPr>
          <w:delText xml:space="preserve"> Orvosa a Humira</w:delText>
        </w:r>
        <w:r w:rsidR="0069092C" w:rsidRPr="00183B5F">
          <w:rPr>
            <w:szCs w:val="22"/>
            <w:lang w:val="hu-HU"/>
          </w:rPr>
          <w:noBreakHyphen/>
        </w:r>
        <w:r w:rsidRPr="00183B5F">
          <w:rPr>
            <w:szCs w:val="22"/>
            <w:lang w:val="hu-HU"/>
          </w:rPr>
          <w:delText>kezelés átmeneti felfügge</w:delText>
        </w:r>
        <w:r w:rsidRPr="00183B5F">
          <w:rPr>
            <w:szCs w:val="22"/>
            <w:lang w:val="hu-HU"/>
          </w:rPr>
          <w:delText>sztését javasolhatja.</w:delText>
        </w:r>
      </w:del>
    </w:p>
    <w:p w14:paraId="3C3BD2D4" w14:textId="3D47BE73" w:rsidR="00FB6710" w:rsidRPr="00183B5F" w:rsidRDefault="00FB6710" w:rsidP="00673483">
      <w:pPr>
        <w:spacing w:line="240" w:lineRule="auto"/>
        <w:ind w:left="567" w:hanging="567"/>
        <w:rPr>
          <w:del w:id="11470" w:author="AbbVie_HU_03" w:date="2025-05-14T16:41:00Z"/>
          <w:szCs w:val="22"/>
        </w:rPr>
      </w:pPr>
    </w:p>
    <w:p w14:paraId="5E13D42C" w14:textId="68DEF8C5" w:rsidR="00FB6710" w:rsidRPr="00183B5F" w:rsidRDefault="00943743" w:rsidP="00673483">
      <w:pPr>
        <w:numPr>
          <w:ilvl w:val="0"/>
          <w:numId w:val="20"/>
        </w:numPr>
        <w:tabs>
          <w:tab w:val="clear" w:pos="720"/>
        </w:tabs>
        <w:spacing w:line="240" w:lineRule="auto"/>
        <w:ind w:left="567" w:hanging="567"/>
        <w:rPr>
          <w:del w:id="11471" w:author="AbbVie_HU_03" w:date="2025-05-14T16:41:00Z"/>
          <w:szCs w:val="22"/>
        </w:rPr>
      </w:pPr>
      <w:del w:id="11472" w:author="AbbVie_HU_03" w:date="2025-05-14T16:41:00Z">
        <w:r w:rsidRPr="00183B5F">
          <w:rPr>
            <w:szCs w:val="22"/>
          </w:rPr>
          <w:delText>Humira</w:delText>
        </w:r>
        <w:r w:rsidR="0069092C" w:rsidRPr="00183B5F">
          <w:rPr>
            <w:szCs w:val="22"/>
          </w:rPr>
          <w:noBreakHyphen/>
        </w:r>
        <w:r w:rsidRPr="00183B5F">
          <w:rPr>
            <w:szCs w:val="22"/>
          </w:rPr>
          <w:delText xml:space="preserve">val kezelt betegeken </w:delText>
        </w:r>
        <w:r w:rsidRPr="00183B5F">
          <w:rPr>
            <w:bCs/>
            <w:szCs w:val="22"/>
          </w:rPr>
          <w:delText>tuberkulózis</w:delText>
        </w:r>
        <w:r w:rsidRPr="00183B5F">
          <w:rPr>
            <w:szCs w:val="22"/>
          </w:rPr>
          <w:delText xml:space="preserve"> kialakulását észlelték, így a kezelés megkezdése előtt kezelőorvosa megvizsgálja a </w:delText>
        </w:r>
        <w:r w:rsidRPr="00183B5F">
          <w:rPr>
            <w:bCs/>
            <w:szCs w:val="22"/>
          </w:rPr>
          <w:delText>tuberkulózis</w:delText>
        </w:r>
        <w:r w:rsidRPr="00183B5F">
          <w:rPr>
            <w:szCs w:val="22"/>
          </w:rPr>
          <w:delText xml:space="preserve">ra utaló jeleket és tüneteket. </w:delText>
        </w:r>
        <w:r w:rsidR="00FF129D" w:rsidRPr="00183B5F">
          <w:rPr>
            <w:szCs w:val="22"/>
          </w:rPr>
          <w:delText>R</w:delText>
        </w:r>
        <w:r w:rsidRPr="00183B5F">
          <w:rPr>
            <w:szCs w:val="22"/>
          </w:rPr>
          <w:delText>észletes orvosi kórelőzmény felvételére</w:delText>
        </w:r>
        <w:r w:rsidR="009B7C1A" w:rsidRPr="00183B5F">
          <w:rPr>
            <w:szCs w:val="22"/>
          </w:rPr>
          <w:delText xml:space="preserve"> és megfelelő szűrővizsgálatokra (mint </w:delText>
        </w:r>
        <w:r w:rsidR="00F15477" w:rsidRPr="00183B5F">
          <w:rPr>
            <w:bCs/>
            <w:szCs w:val="22"/>
          </w:rPr>
          <w:delText>például</w:delText>
        </w:r>
        <w:r w:rsidRPr="00183B5F">
          <w:rPr>
            <w:szCs w:val="22"/>
          </w:rPr>
          <w:delText xml:space="preserve"> mellkasröntgen vizsgálatra és tuberkulin teszt végzésére</w:delText>
        </w:r>
        <w:r w:rsidR="009B7C1A" w:rsidRPr="00183B5F">
          <w:rPr>
            <w:szCs w:val="22"/>
          </w:rPr>
          <w:delText>)</w:delText>
        </w:r>
        <w:r w:rsidRPr="00183B5F">
          <w:rPr>
            <w:szCs w:val="22"/>
          </w:rPr>
          <w:delText xml:space="preserve"> kerül sor. A </w:delText>
        </w:r>
        <w:r w:rsidR="0048779F" w:rsidRPr="00183B5F">
          <w:rPr>
            <w:b/>
            <w:bCs/>
            <w:szCs w:val="22"/>
          </w:rPr>
          <w:delText>Betegemlékeztető</w:delText>
        </w:r>
        <w:r w:rsidRPr="00183B5F">
          <w:rPr>
            <w:b/>
            <w:bCs/>
            <w:szCs w:val="22"/>
          </w:rPr>
          <w:delText xml:space="preserve"> </w:delText>
        </w:r>
        <w:r w:rsidR="00587C86" w:rsidRPr="00183B5F">
          <w:rPr>
            <w:b/>
            <w:bCs/>
            <w:szCs w:val="22"/>
          </w:rPr>
          <w:delText>Kártyán</w:delText>
        </w:r>
        <w:r w:rsidR="00587C86" w:rsidRPr="00183B5F">
          <w:rPr>
            <w:szCs w:val="22"/>
          </w:rPr>
          <w:delText xml:space="preserve"> </w:delText>
        </w:r>
        <w:r w:rsidRPr="00183B5F">
          <w:rPr>
            <w:szCs w:val="22"/>
          </w:rPr>
          <w:delText xml:space="preserve">a vizsgálatok </w:delText>
        </w:r>
        <w:r w:rsidR="009B7C1A" w:rsidRPr="00183B5F">
          <w:rPr>
            <w:szCs w:val="22"/>
          </w:rPr>
          <w:delText xml:space="preserve">elvégzésének tényét és </w:delText>
        </w:r>
        <w:r w:rsidRPr="00183B5F">
          <w:rPr>
            <w:szCs w:val="22"/>
          </w:rPr>
          <w:delText xml:space="preserve">eredményét vezetni kell. Kezelőorvosával feltétlenül közölje, ha bármikor </w:delText>
        </w:r>
        <w:r w:rsidRPr="00183B5F">
          <w:rPr>
            <w:bCs/>
            <w:szCs w:val="22"/>
          </w:rPr>
          <w:delText>tuberkulózis</w:delText>
        </w:r>
        <w:r w:rsidRPr="00183B5F">
          <w:rPr>
            <w:szCs w:val="22"/>
          </w:rPr>
          <w:delText xml:space="preserve">ban szenvedett vagy közeli kapcsolatban volt bárkivel, akinek </w:delText>
        </w:r>
        <w:r w:rsidRPr="00183B5F">
          <w:rPr>
            <w:bCs/>
            <w:szCs w:val="22"/>
          </w:rPr>
          <w:delText>tuberkulózis</w:delText>
        </w:r>
        <w:r w:rsidRPr="00183B5F">
          <w:rPr>
            <w:szCs w:val="22"/>
          </w:rPr>
          <w:delText xml:space="preserve">a volt. </w:delText>
        </w:r>
        <w:r w:rsidR="009B7C1A" w:rsidRPr="00183B5F">
          <w:rPr>
            <w:szCs w:val="22"/>
          </w:rPr>
          <w:delText>A tuberkulózis kialakulhat a kezelés során annak ellenére, hogy</w:delText>
        </w:r>
        <w:r w:rsidR="00AC23B6" w:rsidRPr="00183B5F">
          <w:rPr>
            <w:szCs w:val="22"/>
          </w:rPr>
          <w:delText xml:space="preserve"> Ö</w:delText>
        </w:r>
        <w:r w:rsidR="00CD1891" w:rsidRPr="00183B5F">
          <w:rPr>
            <w:szCs w:val="22"/>
          </w:rPr>
          <w:delText>n</w:delText>
        </w:r>
        <w:r w:rsidR="009B7C1A" w:rsidRPr="00183B5F">
          <w:rPr>
            <w:szCs w:val="22"/>
          </w:rPr>
          <w:delText xml:space="preserve"> tuberkulózis elleni megelőző terápiát </w:delText>
        </w:r>
        <w:r w:rsidR="00CD1891" w:rsidRPr="00183B5F">
          <w:rPr>
            <w:szCs w:val="22"/>
          </w:rPr>
          <w:delText>kapott</w:delText>
        </w:r>
        <w:r w:rsidR="009B7C1A" w:rsidRPr="00183B5F">
          <w:rPr>
            <w:szCs w:val="22"/>
          </w:rPr>
          <w:delText xml:space="preserve">. </w:delText>
        </w:r>
        <w:r w:rsidRPr="00183B5F">
          <w:rPr>
            <w:szCs w:val="22"/>
          </w:rPr>
          <w:delText xml:space="preserve">Ha a </w:delText>
        </w:r>
        <w:r w:rsidRPr="00183B5F">
          <w:rPr>
            <w:bCs/>
            <w:szCs w:val="22"/>
          </w:rPr>
          <w:delText>tuberkulózis</w:delText>
        </w:r>
        <w:r w:rsidRPr="00183B5F">
          <w:rPr>
            <w:szCs w:val="22"/>
          </w:rPr>
          <w:delText xml:space="preserve"> tünetei (hosszan tartó köhögés, testsúlycsökkenés, kedvetlenség, hőemelkedés), vagy más fertőzésre utaló tünetek jelentkeznek a kezelés alatt vagy a kezelést követően, azonnal közölje orvosával.</w:delText>
        </w:r>
      </w:del>
    </w:p>
    <w:p w14:paraId="39BF8EED" w14:textId="4CFA862A" w:rsidR="00FB6710" w:rsidRPr="00183B5F" w:rsidRDefault="00FB6710" w:rsidP="00673483">
      <w:pPr>
        <w:spacing w:line="240" w:lineRule="auto"/>
        <w:rPr>
          <w:del w:id="11473" w:author="AbbVie_HU_03" w:date="2025-05-14T16:41:00Z"/>
          <w:szCs w:val="22"/>
        </w:rPr>
      </w:pPr>
    </w:p>
    <w:p w14:paraId="04DAE601" w14:textId="39A05E4C" w:rsidR="00FB6710" w:rsidRPr="00183B5F" w:rsidRDefault="00943743" w:rsidP="00673483">
      <w:pPr>
        <w:pStyle w:val="EMEABullet2"/>
        <w:numPr>
          <w:ilvl w:val="0"/>
          <w:numId w:val="64"/>
        </w:numPr>
        <w:rPr>
          <w:del w:id="11474" w:author="AbbVie_HU_03" w:date="2025-05-14T16:41:00Z"/>
          <w:szCs w:val="22"/>
          <w:lang w:val="hu-HU"/>
        </w:rPr>
      </w:pPr>
      <w:del w:id="11475" w:author="AbbVie_HU_03" w:date="2025-05-14T16:41:00Z">
        <w:r w:rsidRPr="00183B5F">
          <w:rPr>
            <w:szCs w:val="22"/>
            <w:lang w:val="hu-HU"/>
          </w:rPr>
          <w:delText>Tájékoztassa kezelőorvosát, ha olyan területen él vagy olyan területre utazik, ahol a gombák okozta fertőzések, mint például a hisztoplazmózis, kokcidioidomikózis vagy a blasztomikózis helyi, járványos betegségként előfordul</w:delText>
        </w:r>
        <w:r w:rsidR="00EB2BE2" w:rsidRPr="00183B5F">
          <w:rPr>
            <w:szCs w:val="22"/>
            <w:lang w:val="hu-HU"/>
          </w:rPr>
          <w:delText>nak</w:delText>
        </w:r>
        <w:r w:rsidRPr="00183B5F">
          <w:rPr>
            <w:szCs w:val="22"/>
            <w:lang w:val="hu-HU"/>
          </w:rPr>
          <w:delText>.</w:delText>
        </w:r>
      </w:del>
    </w:p>
    <w:p w14:paraId="5CB667EA" w14:textId="584E5CDB" w:rsidR="00FB6710" w:rsidRPr="00183B5F" w:rsidRDefault="00FB6710" w:rsidP="00673483">
      <w:pPr>
        <w:pStyle w:val="EMEANormal"/>
        <w:rPr>
          <w:del w:id="11476" w:author="AbbVie_HU_03" w:date="2025-05-14T16:41:00Z"/>
          <w:szCs w:val="22"/>
          <w:lang w:val="hu-HU"/>
        </w:rPr>
      </w:pPr>
    </w:p>
    <w:p w14:paraId="5CBD54A6" w14:textId="6AECBC1C" w:rsidR="00FB6710" w:rsidRPr="00183B5F" w:rsidRDefault="00943743" w:rsidP="00673483">
      <w:pPr>
        <w:numPr>
          <w:ilvl w:val="0"/>
          <w:numId w:val="20"/>
        </w:numPr>
        <w:tabs>
          <w:tab w:val="clear" w:pos="720"/>
        </w:tabs>
        <w:spacing w:line="240" w:lineRule="auto"/>
        <w:ind w:left="567" w:hanging="567"/>
        <w:rPr>
          <w:del w:id="11477" w:author="AbbVie_HU_03" w:date="2025-05-14T16:41:00Z"/>
          <w:szCs w:val="22"/>
        </w:rPr>
      </w:pPr>
      <w:del w:id="11478" w:author="AbbVie_HU_03" w:date="2025-05-14T16:41:00Z">
        <w:r w:rsidRPr="00183B5F">
          <w:rPr>
            <w:szCs w:val="22"/>
          </w:rPr>
          <w:delText xml:space="preserve">Közölje orvosával visszatérő fertőzésre utaló kórelőzményét, vagy egyéb </w:delText>
        </w:r>
        <w:r w:rsidR="00274457" w:rsidRPr="00183B5F">
          <w:rPr>
            <w:szCs w:val="22"/>
          </w:rPr>
          <w:delText>állapotát</w:delText>
        </w:r>
        <w:r w:rsidRPr="00183B5F">
          <w:rPr>
            <w:szCs w:val="22"/>
          </w:rPr>
          <w:delText>, ami a fertőzés lehetőségét fokozza.</w:delText>
        </w:r>
      </w:del>
    </w:p>
    <w:p w14:paraId="66653992" w14:textId="16F97AB5" w:rsidR="00FB6710" w:rsidRPr="00183B5F" w:rsidRDefault="00FB6710" w:rsidP="00673483">
      <w:pPr>
        <w:spacing w:line="240" w:lineRule="auto"/>
        <w:rPr>
          <w:del w:id="11479" w:author="AbbVie_HU_03" w:date="2025-05-14T16:41:00Z"/>
          <w:szCs w:val="22"/>
        </w:rPr>
      </w:pPr>
    </w:p>
    <w:p w14:paraId="545E8B00" w14:textId="515490F9" w:rsidR="00FB6710" w:rsidRPr="00183B5F" w:rsidRDefault="00943743" w:rsidP="00673483">
      <w:pPr>
        <w:numPr>
          <w:ilvl w:val="0"/>
          <w:numId w:val="20"/>
        </w:numPr>
        <w:tabs>
          <w:tab w:val="clear" w:pos="720"/>
        </w:tabs>
        <w:spacing w:line="240" w:lineRule="auto"/>
        <w:ind w:left="567" w:hanging="567"/>
        <w:rPr>
          <w:del w:id="11480" w:author="AbbVie_HU_03" w:date="2025-05-14T16:41:00Z"/>
          <w:szCs w:val="22"/>
        </w:rPr>
      </w:pPr>
      <w:del w:id="11481" w:author="AbbVie_HU_03" w:date="2025-05-14T16:41:00Z">
        <w:r w:rsidRPr="00183B5F">
          <w:rPr>
            <w:szCs w:val="22"/>
          </w:rPr>
          <w:delText>Figyelmeztesse orvosát arra, ha ön hepatitisz B vírus (HBV)</w:delText>
        </w:r>
        <w:r w:rsidR="00EB2BE2" w:rsidRPr="00183B5F">
          <w:rPr>
            <w:szCs w:val="22"/>
          </w:rPr>
          <w:noBreakHyphen/>
        </w:r>
        <w:r w:rsidRPr="00183B5F">
          <w:rPr>
            <w:szCs w:val="22"/>
          </w:rPr>
          <w:delText xml:space="preserve">hordozó, netán aktív </w:delText>
        </w:r>
        <w:r w:rsidR="000A456B" w:rsidRPr="00183B5F">
          <w:rPr>
            <w:szCs w:val="22"/>
          </w:rPr>
          <w:delText>HBV</w:delText>
        </w:r>
        <w:r w:rsidR="000A456B" w:rsidRPr="00183B5F">
          <w:rPr>
            <w:szCs w:val="22"/>
          </w:rPr>
          <w:noBreakHyphen/>
          <w:delText>fertőz</w:delText>
        </w:r>
        <w:r w:rsidRPr="00183B5F">
          <w:rPr>
            <w:szCs w:val="22"/>
          </w:rPr>
          <w:delText xml:space="preserve">ésben szenved, vagy feltételezi, hogy hepatitisz B fertőzés veszélye fenyegetheti. </w:delText>
        </w:r>
        <w:r w:rsidR="00005BA8" w:rsidRPr="00183B5F">
          <w:rPr>
            <w:szCs w:val="22"/>
          </w:rPr>
          <w:delText>Orvosának HBV</w:delText>
        </w:r>
        <w:r w:rsidR="00EB2BE2" w:rsidRPr="00183B5F">
          <w:rPr>
            <w:szCs w:val="22"/>
          </w:rPr>
          <w:noBreakHyphen/>
        </w:r>
        <w:r w:rsidR="00005BA8" w:rsidRPr="00183B5F">
          <w:rPr>
            <w:szCs w:val="22"/>
          </w:rPr>
          <w:delText xml:space="preserve">vizsgálatot kell végeznie Önnél. </w:delText>
        </w:r>
        <w:r w:rsidRPr="00183B5F">
          <w:rPr>
            <w:szCs w:val="22"/>
          </w:rPr>
          <w:delText>A Humira a vírushordozókban ismét aktiválhatja a HBV</w:delText>
        </w:r>
        <w:r w:rsidR="0069092C" w:rsidRPr="00183B5F">
          <w:rPr>
            <w:szCs w:val="22"/>
          </w:rPr>
          <w:noBreakHyphen/>
        </w:r>
        <w:r w:rsidRPr="00183B5F">
          <w:rPr>
            <w:szCs w:val="22"/>
          </w:rPr>
          <w:delText>t. Egyes ritka esetekben – különösen ha más, az immunrendszer működését gátló szereket is szed – a HBV ismételt aktiválódása életveszélyes lehet.</w:delText>
        </w:r>
      </w:del>
    </w:p>
    <w:p w14:paraId="4A076D98" w14:textId="344A7D85" w:rsidR="00FB6710" w:rsidRPr="00183B5F" w:rsidRDefault="00FB6710" w:rsidP="00673483">
      <w:pPr>
        <w:spacing w:line="240" w:lineRule="auto"/>
        <w:rPr>
          <w:del w:id="11482" w:author="AbbVie_HU_03" w:date="2025-05-14T16:41:00Z"/>
          <w:szCs w:val="22"/>
        </w:rPr>
      </w:pPr>
    </w:p>
    <w:p w14:paraId="1A043DF5" w14:textId="1074C021" w:rsidR="00FB6710" w:rsidRPr="00183B5F" w:rsidRDefault="00943743" w:rsidP="00673483">
      <w:pPr>
        <w:numPr>
          <w:ilvl w:val="0"/>
          <w:numId w:val="80"/>
        </w:numPr>
        <w:tabs>
          <w:tab w:val="clear" w:pos="720"/>
          <w:tab w:val="num" w:pos="567"/>
        </w:tabs>
        <w:spacing w:line="240" w:lineRule="auto"/>
        <w:ind w:left="567" w:hanging="567"/>
        <w:rPr>
          <w:del w:id="11483" w:author="AbbVie_HU_03" w:date="2025-05-14T16:41:00Z"/>
          <w:szCs w:val="22"/>
        </w:rPr>
      </w:pPr>
      <w:del w:id="11484" w:author="AbbVie_HU_03" w:date="2025-05-14T16:41:00Z">
        <w:r w:rsidRPr="00183B5F">
          <w:rPr>
            <w:szCs w:val="22"/>
          </w:rPr>
          <w:delText>Ha Ön 65</w:delText>
        </w:r>
        <w:r w:rsidR="0069092C" w:rsidRPr="00183B5F">
          <w:rPr>
            <w:szCs w:val="22"/>
          </w:rPr>
          <w:delText> </w:delText>
        </w:r>
        <w:r w:rsidRPr="00183B5F">
          <w:rPr>
            <w:szCs w:val="22"/>
          </w:rPr>
          <w:delText>évnél idősebb, a Humira</w:delText>
        </w:r>
        <w:r w:rsidRPr="00183B5F">
          <w:rPr>
            <w:szCs w:val="22"/>
          </w:rPr>
          <w:noBreakHyphen/>
          <w:delText>kezelés ideje alatt fogékonyabb lehet a fertőzésekre. A Humira</w:delText>
        </w:r>
        <w:r w:rsidR="0069092C" w:rsidRPr="00183B5F">
          <w:rPr>
            <w:szCs w:val="22"/>
          </w:rPr>
          <w:noBreakHyphen/>
        </w:r>
        <w:r w:rsidRPr="00183B5F">
          <w:rPr>
            <w:szCs w:val="22"/>
          </w:rPr>
          <w:delText>kezelés ideje alatt Önnek és kezelőorvosának különös figyelmet kell fordítania a fertőzések tüneteire. Fontos, hogy mondja el kezelőorvosának, ha fertőzésre utaló tünetei vannak, mint például láz, sebek, fáradtságérzés vagy fogászati problémák.</w:delText>
        </w:r>
      </w:del>
    </w:p>
    <w:p w14:paraId="2FC99C66" w14:textId="69FB68FC" w:rsidR="00FB6710" w:rsidRPr="00183B5F" w:rsidRDefault="00FB6710" w:rsidP="00673483">
      <w:pPr>
        <w:spacing w:line="240" w:lineRule="auto"/>
        <w:rPr>
          <w:del w:id="11485" w:author="AbbVie_HU_03" w:date="2025-05-14T16:41:00Z"/>
          <w:szCs w:val="22"/>
        </w:rPr>
      </w:pPr>
    </w:p>
    <w:p w14:paraId="6481B7F7" w14:textId="358C48C2" w:rsidR="00FB6710" w:rsidRPr="00183B5F" w:rsidRDefault="00943743" w:rsidP="00673483">
      <w:pPr>
        <w:numPr>
          <w:ilvl w:val="0"/>
          <w:numId w:val="20"/>
        </w:numPr>
        <w:tabs>
          <w:tab w:val="clear" w:pos="720"/>
        </w:tabs>
        <w:spacing w:line="240" w:lineRule="auto"/>
        <w:ind w:left="567" w:hanging="567"/>
        <w:rPr>
          <w:del w:id="11486" w:author="AbbVie_HU_03" w:date="2025-05-14T16:41:00Z"/>
          <w:szCs w:val="22"/>
        </w:rPr>
      </w:pPr>
      <w:del w:id="11487" w:author="AbbVie_HU_03" w:date="2025-05-14T16:41:00Z">
        <w:r w:rsidRPr="00183B5F">
          <w:rPr>
            <w:szCs w:val="22"/>
            <w:lang w:eastAsia="en-US"/>
          </w:rPr>
          <w:delText>Ha sebészeti vagy fogászati beavatkozás előtt áll</w:delText>
        </w:r>
        <w:r w:rsidR="007C581D" w:rsidRPr="00183B5F">
          <w:rPr>
            <w:szCs w:val="22"/>
            <w:lang w:eastAsia="en-US"/>
          </w:rPr>
          <w:delText>,</w:delText>
        </w:r>
        <w:r w:rsidRPr="00183B5F">
          <w:rPr>
            <w:szCs w:val="22"/>
            <w:lang w:eastAsia="en-US"/>
          </w:rPr>
          <w:delText xml:space="preserve"> tájékoztassa orvosát, hogy Humira</w:delText>
        </w:r>
        <w:r w:rsidR="0069092C" w:rsidRPr="00183B5F">
          <w:rPr>
            <w:szCs w:val="22"/>
            <w:lang w:eastAsia="en-US"/>
          </w:rPr>
          <w:noBreakHyphen/>
        </w:r>
        <w:r w:rsidRPr="00183B5F">
          <w:rPr>
            <w:szCs w:val="22"/>
            <w:lang w:eastAsia="en-US"/>
          </w:rPr>
          <w:delText xml:space="preserve">kezelésben részesül. </w:delText>
        </w:r>
        <w:r w:rsidRPr="00183B5F">
          <w:rPr>
            <w:szCs w:val="22"/>
          </w:rPr>
          <w:delText>Orvosa a kezelés átmeneti felfüggesztését javasolhatja.</w:delText>
        </w:r>
      </w:del>
    </w:p>
    <w:p w14:paraId="5F7B606F" w14:textId="61D00421" w:rsidR="00FB6710" w:rsidRPr="00183B5F" w:rsidRDefault="00FB6710" w:rsidP="00673483">
      <w:pPr>
        <w:pStyle w:val="EndnoteText"/>
        <w:tabs>
          <w:tab w:val="clear" w:pos="567"/>
        </w:tabs>
        <w:suppressAutoHyphens/>
        <w:rPr>
          <w:del w:id="11488" w:author="AbbVie_HU_03" w:date="2025-05-14T16:41:00Z"/>
          <w:sz w:val="22"/>
          <w:szCs w:val="22"/>
          <w:lang w:val="hu-HU" w:eastAsia="hu-HU"/>
        </w:rPr>
      </w:pPr>
    </w:p>
    <w:p w14:paraId="1B2F7D22" w14:textId="097ECBA3" w:rsidR="00555673" w:rsidRPr="00183B5F" w:rsidRDefault="00943743" w:rsidP="00673483">
      <w:pPr>
        <w:numPr>
          <w:ilvl w:val="0"/>
          <w:numId w:val="101"/>
        </w:numPr>
        <w:spacing w:line="240" w:lineRule="auto"/>
        <w:ind w:left="567" w:hanging="567"/>
        <w:rPr>
          <w:del w:id="11489" w:author="AbbVie_HU_03" w:date="2025-05-14T16:41:00Z"/>
          <w:szCs w:val="22"/>
        </w:rPr>
      </w:pPr>
      <w:del w:id="11490" w:author="AbbVie_HU_03" w:date="2025-05-14T16:41:00Z">
        <w:r w:rsidRPr="00183B5F">
          <w:rPr>
            <w:szCs w:val="22"/>
          </w:rPr>
          <w:delText>Ha az idegrostok velőshüvelyének lebomlásával (demielinizációval) járó betegségben szenved</w:delText>
        </w:r>
        <w:r w:rsidR="00334330" w:rsidRPr="00183B5F">
          <w:rPr>
            <w:szCs w:val="22"/>
          </w:rPr>
          <w:delText>, vagy ilyen típusú betegség alakul ki</w:delText>
        </w:r>
        <w:r w:rsidRPr="00183B5F">
          <w:rPr>
            <w:szCs w:val="22"/>
          </w:rPr>
          <w:delText xml:space="preserve"> </w:delText>
        </w:r>
        <w:r w:rsidR="00334330" w:rsidRPr="00183B5F">
          <w:rPr>
            <w:szCs w:val="22"/>
          </w:rPr>
          <w:delText xml:space="preserve">Önnél </w:delText>
        </w:r>
        <w:r w:rsidRPr="00183B5F">
          <w:rPr>
            <w:szCs w:val="22"/>
          </w:rPr>
          <w:delText>(mint amilyen a szklerózis multiplex)</w:delText>
        </w:r>
        <w:r w:rsidR="00AD48EC" w:rsidRPr="00183B5F">
          <w:rPr>
            <w:szCs w:val="22"/>
          </w:rPr>
          <w:delText>,</w:delText>
        </w:r>
        <w:r w:rsidRPr="00183B5F">
          <w:rPr>
            <w:szCs w:val="22"/>
          </w:rPr>
          <w:delText xml:space="preserve"> kezelőorvosa dönti el, hogy a Humira</w:delText>
        </w:r>
        <w:r w:rsidR="0069092C" w:rsidRPr="00183B5F">
          <w:rPr>
            <w:szCs w:val="22"/>
          </w:rPr>
          <w:noBreakHyphen/>
        </w:r>
        <w:r w:rsidRPr="00183B5F">
          <w:rPr>
            <w:szCs w:val="22"/>
          </w:rPr>
          <w:delText>kezelés alkalmazható</w:delText>
        </w:r>
        <w:r w:rsidRPr="00183B5F">
          <w:rPr>
            <w:szCs w:val="22"/>
          </w:rPr>
          <w:noBreakHyphen/>
          <w:delText>e</w:delText>
        </w:r>
        <w:r w:rsidR="00334330" w:rsidRPr="00183B5F">
          <w:rPr>
            <w:szCs w:val="22"/>
          </w:rPr>
          <w:delText>, vagy folytatható</w:delText>
        </w:r>
        <w:r w:rsidR="00334330" w:rsidRPr="00183B5F">
          <w:rPr>
            <w:szCs w:val="22"/>
          </w:rPr>
          <w:noBreakHyphen/>
          <w:delText>e</w:delText>
        </w:r>
        <w:r w:rsidRPr="00183B5F">
          <w:rPr>
            <w:szCs w:val="22"/>
          </w:rPr>
          <w:delText xml:space="preserve"> az Ön esetében</w:delText>
        </w:r>
        <w:r w:rsidR="00794706" w:rsidRPr="00183B5F">
          <w:rPr>
            <w:szCs w:val="22"/>
          </w:rPr>
          <w:delText>.</w:delText>
        </w:r>
        <w:r w:rsidR="00334330" w:rsidRPr="00183B5F">
          <w:rPr>
            <w:szCs w:val="22"/>
          </w:rPr>
          <w:delText xml:space="preserve"> Azonnal tájékoztassa kezelőorvosát, ha olyan tüneteket tapasztal, mint a megváltozott látás, kar</w:delText>
        </w:r>
        <w:r w:rsidR="00334330" w:rsidRPr="00183B5F">
          <w:rPr>
            <w:szCs w:val="22"/>
          </w:rPr>
          <w:noBreakHyphen/>
          <w:delText xml:space="preserve"> vagy lábgyengeség, illetve zsibbadás vagy bizsergés a test bármelyik részén.</w:delText>
        </w:r>
      </w:del>
    </w:p>
    <w:p w14:paraId="07E05008" w14:textId="6056E78E" w:rsidR="00555673" w:rsidRPr="00183B5F" w:rsidRDefault="00555673" w:rsidP="00673483">
      <w:pPr>
        <w:spacing w:line="240" w:lineRule="auto"/>
        <w:rPr>
          <w:del w:id="11491" w:author="AbbVie_HU_03" w:date="2025-05-14T16:41:00Z"/>
          <w:szCs w:val="22"/>
        </w:rPr>
      </w:pPr>
    </w:p>
    <w:p w14:paraId="436AEBBE" w14:textId="602D5BAE" w:rsidR="00FB6710" w:rsidRPr="00183B5F" w:rsidRDefault="00943743" w:rsidP="00673483">
      <w:pPr>
        <w:numPr>
          <w:ilvl w:val="0"/>
          <w:numId w:val="101"/>
        </w:numPr>
        <w:spacing w:line="240" w:lineRule="auto"/>
        <w:ind w:left="567" w:hanging="567"/>
        <w:rPr>
          <w:del w:id="11492" w:author="AbbVie_HU_03" w:date="2025-05-14T16:41:00Z"/>
          <w:szCs w:val="22"/>
        </w:rPr>
      </w:pPr>
      <w:del w:id="11493" w:author="AbbVie_HU_03" w:date="2025-05-14T16:41:00Z">
        <w:r w:rsidRPr="00183B5F">
          <w:rPr>
            <w:szCs w:val="22"/>
          </w:rPr>
          <w:delText xml:space="preserve">Humira alkalmazása során </w:delText>
        </w:r>
        <w:r w:rsidR="00555673" w:rsidRPr="00183B5F">
          <w:rPr>
            <w:szCs w:val="22"/>
          </w:rPr>
          <w:delText xml:space="preserve">bizonyos </w:delText>
        </w:r>
        <w:r w:rsidRPr="00183B5F">
          <w:rPr>
            <w:szCs w:val="22"/>
          </w:rPr>
          <w:delText>védőoltás</w:delText>
        </w:r>
        <w:r w:rsidR="00555673" w:rsidRPr="00183B5F">
          <w:rPr>
            <w:szCs w:val="22"/>
          </w:rPr>
          <w:delText>ok fertőzést okozhatnak, és ezért</w:delText>
        </w:r>
        <w:r w:rsidRPr="00183B5F">
          <w:rPr>
            <w:szCs w:val="22"/>
          </w:rPr>
          <w:delText xml:space="preserve"> nem adható</w:delText>
        </w:r>
        <w:r w:rsidR="00555673" w:rsidRPr="00183B5F">
          <w:rPr>
            <w:szCs w:val="22"/>
          </w:rPr>
          <w:delText>ak</w:delText>
        </w:r>
        <w:r w:rsidRPr="00183B5F">
          <w:rPr>
            <w:szCs w:val="22"/>
          </w:rPr>
          <w:delText xml:space="preserve">. Védőoltás adását megelőzően beszéljen orvosával. Ajánlott, hogy – ha lehetséges -, a </w:delText>
        </w:r>
        <w:r w:rsidR="002822F4" w:rsidRPr="00183B5F">
          <w:rPr>
            <w:szCs w:val="22"/>
          </w:rPr>
          <w:delText>gyermekeknek</w:delText>
        </w:r>
        <w:r w:rsidRPr="00183B5F">
          <w:rPr>
            <w:szCs w:val="22"/>
          </w:rPr>
          <w:delText xml:space="preserve"> a Humira</w:delText>
        </w:r>
        <w:r w:rsidR="0069092C" w:rsidRPr="00183B5F">
          <w:rPr>
            <w:szCs w:val="22"/>
          </w:rPr>
          <w:noBreakHyphen/>
        </w:r>
        <w:r w:rsidRPr="00183B5F">
          <w:rPr>
            <w:szCs w:val="22"/>
          </w:rPr>
          <w:delText>kezelés megkezdése előtt adjanak be minden védőoltást a hatályos védőoltási irányelvek alapján.</w:delText>
        </w:r>
        <w:r w:rsidR="00555673" w:rsidRPr="00183B5F">
          <w:rPr>
            <w:szCs w:val="22"/>
          </w:rPr>
          <w:delText xml:space="preserve"> </w:delText>
        </w:r>
        <w:r w:rsidR="00FC3785" w:rsidRPr="00183B5F">
          <w:rPr>
            <w:szCs w:val="22"/>
          </w:rPr>
          <w:delText xml:space="preserve">Ha a terhessége </w:delText>
        </w:r>
        <w:r w:rsidR="00765088" w:rsidRPr="00183B5F">
          <w:rPr>
            <w:szCs w:val="22"/>
          </w:rPr>
          <w:delText>alatt</w:delText>
        </w:r>
        <w:r w:rsidR="00FC6792" w:rsidRPr="00183B5F">
          <w:rPr>
            <w:szCs w:val="22"/>
          </w:rPr>
          <w:delText xml:space="preserve"> </w:delText>
        </w:r>
        <w:r w:rsidR="00D31746" w:rsidRPr="00183B5F">
          <w:rPr>
            <w:szCs w:val="22"/>
          </w:rPr>
          <w:delText>Humira</w:delText>
        </w:r>
        <w:r w:rsidR="0069092C" w:rsidRPr="00183B5F">
          <w:rPr>
            <w:szCs w:val="22"/>
          </w:rPr>
          <w:noBreakHyphen/>
        </w:r>
        <w:r w:rsidR="00D31746" w:rsidRPr="00183B5F">
          <w:rPr>
            <w:szCs w:val="22"/>
          </w:rPr>
          <w:delText>t</w:delText>
        </w:r>
        <w:r w:rsidR="00FC3785" w:rsidRPr="00183B5F">
          <w:rPr>
            <w:szCs w:val="22"/>
          </w:rPr>
          <w:delText xml:space="preserve"> kapott, a kisbabája a terhesség </w:delText>
        </w:r>
        <w:r w:rsidR="00765088" w:rsidRPr="00183B5F">
          <w:rPr>
            <w:szCs w:val="22"/>
          </w:rPr>
          <w:delText>alatt</w:delText>
        </w:r>
        <w:r w:rsidR="00FC3785" w:rsidRPr="00183B5F">
          <w:rPr>
            <w:szCs w:val="22"/>
          </w:rPr>
          <w:delText xml:space="preserve"> kapott utolsó </w:delText>
        </w:r>
        <w:r w:rsidR="00765088" w:rsidRPr="00183B5F">
          <w:rPr>
            <w:szCs w:val="22"/>
          </w:rPr>
          <w:delText>adago</w:delText>
        </w:r>
        <w:r w:rsidR="00FC3785" w:rsidRPr="00183B5F">
          <w:rPr>
            <w:szCs w:val="22"/>
          </w:rPr>
          <w:delText>t követően legfeljebb 5</w:delText>
        </w:r>
        <w:r w:rsidR="0069092C" w:rsidRPr="00183B5F">
          <w:rPr>
            <w:szCs w:val="22"/>
          </w:rPr>
          <w:delText> </w:delText>
        </w:r>
        <w:r w:rsidR="00FC3785" w:rsidRPr="00183B5F">
          <w:rPr>
            <w:szCs w:val="22"/>
          </w:rPr>
          <w:delText xml:space="preserve">hónapig nagyobb eséllyel kaphat el valamilyen fertőzést. </w:delText>
        </w:r>
        <w:r w:rsidR="00555673" w:rsidRPr="00183B5F">
          <w:rPr>
            <w:szCs w:val="22"/>
          </w:rPr>
          <w:delText xml:space="preserve">Fontos, hogy elmondja kisbabája orvosának vagy az őt kezelő egészségügyi személyzetnek, hogy a terhessége </w:delText>
        </w:r>
        <w:r w:rsidR="00765088" w:rsidRPr="00183B5F">
          <w:rPr>
            <w:szCs w:val="22"/>
          </w:rPr>
          <w:delText xml:space="preserve">alatt </w:delText>
        </w:r>
        <w:r w:rsidR="00D31746" w:rsidRPr="00183B5F">
          <w:rPr>
            <w:szCs w:val="22"/>
          </w:rPr>
          <w:delText>Humira</w:delText>
        </w:r>
        <w:r w:rsidR="0069092C" w:rsidRPr="00183B5F">
          <w:rPr>
            <w:szCs w:val="22"/>
          </w:rPr>
          <w:noBreakHyphen/>
        </w:r>
        <w:r w:rsidR="00D31746" w:rsidRPr="00183B5F">
          <w:rPr>
            <w:szCs w:val="22"/>
          </w:rPr>
          <w:delText>t</w:delText>
        </w:r>
        <w:r w:rsidR="00555673" w:rsidRPr="00183B5F">
          <w:rPr>
            <w:szCs w:val="22"/>
          </w:rPr>
          <w:delText xml:space="preserve"> </w:delText>
        </w:r>
        <w:r w:rsidR="00765088" w:rsidRPr="00183B5F">
          <w:rPr>
            <w:szCs w:val="22"/>
          </w:rPr>
          <w:delText>kapot</w:delText>
        </w:r>
        <w:r w:rsidR="00555673" w:rsidRPr="00183B5F">
          <w:rPr>
            <w:szCs w:val="22"/>
          </w:rPr>
          <w:delText>t, így ők el tudják dönteni, hogy kisbabáj</w:delText>
        </w:r>
        <w:r w:rsidR="00765088" w:rsidRPr="00183B5F">
          <w:rPr>
            <w:szCs w:val="22"/>
          </w:rPr>
          <w:delText>ának</w:delText>
        </w:r>
        <w:r w:rsidR="00555673" w:rsidRPr="00183B5F">
          <w:rPr>
            <w:szCs w:val="22"/>
          </w:rPr>
          <w:delText xml:space="preserve"> mikor </w:delText>
        </w:r>
        <w:r w:rsidR="00765088" w:rsidRPr="00183B5F">
          <w:rPr>
            <w:szCs w:val="22"/>
          </w:rPr>
          <w:delText xml:space="preserve">kell valamilyen </w:delText>
        </w:r>
        <w:r w:rsidR="00555673" w:rsidRPr="00183B5F">
          <w:rPr>
            <w:szCs w:val="22"/>
          </w:rPr>
          <w:delText>védőoltást kap</w:delText>
        </w:r>
        <w:r w:rsidR="00765088" w:rsidRPr="00183B5F">
          <w:rPr>
            <w:szCs w:val="22"/>
          </w:rPr>
          <w:delText>nia</w:delText>
        </w:r>
        <w:r w:rsidR="00555673" w:rsidRPr="00183B5F">
          <w:rPr>
            <w:szCs w:val="22"/>
          </w:rPr>
          <w:delText>.</w:delText>
        </w:r>
      </w:del>
    </w:p>
    <w:p w14:paraId="77E2B1A2" w14:textId="47231467" w:rsidR="00FB6710" w:rsidRPr="00183B5F" w:rsidRDefault="00FB6710" w:rsidP="00673483">
      <w:pPr>
        <w:spacing w:line="240" w:lineRule="auto"/>
        <w:rPr>
          <w:del w:id="11494" w:author="AbbVie_HU_03" w:date="2025-05-14T16:41:00Z"/>
          <w:szCs w:val="22"/>
        </w:rPr>
      </w:pPr>
    </w:p>
    <w:p w14:paraId="4EC59D58" w14:textId="204FCDC4" w:rsidR="00FB6710" w:rsidRPr="00183B5F" w:rsidRDefault="00943743" w:rsidP="00673483">
      <w:pPr>
        <w:numPr>
          <w:ilvl w:val="0"/>
          <w:numId w:val="20"/>
        </w:numPr>
        <w:tabs>
          <w:tab w:val="clear" w:pos="720"/>
        </w:tabs>
        <w:spacing w:line="240" w:lineRule="auto"/>
        <w:ind w:left="567" w:hanging="567"/>
        <w:rPr>
          <w:del w:id="11495" w:author="AbbVie_HU_03" w:date="2025-05-14T16:41:00Z"/>
          <w:szCs w:val="22"/>
        </w:rPr>
      </w:pPr>
      <w:del w:id="11496" w:author="AbbVie_HU_03" w:date="2025-05-14T16:41:00Z">
        <w:r w:rsidRPr="00183B5F">
          <w:rPr>
            <w:szCs w:val="22"/>
          </w:rPr>
          <w:delText xml:space="preserve">Enyhe szívelégtelenség </w:delText>
        </w:r>
        <w:r w:rsidR="00E84354" w:rsidRPr="00183B5F">
          <w:rPr>
            <w:szCs w:val="22"/>
          </w:rPr>
          <w:delText>esetén, a</w:delText>
        </w:r>
        <w:r w:rsidRPr="00183B5F">
          <w:rPr>
            <w:szCs w:val="22"/>
          </w:rPr>
          <w:delText xml:space="preserve"> Humira</w:delText>
        </w:r>
        <w:r w:rsidR="0069092C" w:rsidRPr="00183B5F">
          <w:rPr>
            <w:szCs w:val="22"/>
          </w:rPr>
          <w:noBreakHyphen/>
        </w:r>
        <w:r w:rsidRPr="00183B5F">
          <w:rPr>
            <w:szCs w:val="22"/>
          </w:rPr>
          <w:delText xml:space="preserve">kezelés </w:delText>
        </w:r>
        <w:r w:rsidR="00E84354" w:rsidRPr="00183B5F">
          <w:rPr>
            <w:szCs w:val="22"/>
          </w:rPr>
          <w:delText>során</w:delText>
        </w:r>
        <w:r w:rsidRPr="00183B5F">
          <w:rPr>
            <w:szCs w:val="22"/>
          </w:rPr>
          <w:delText xml:space="preserve"> a szívelégtelenség állapotát orvosának szorosan követnie kell. Kezelőorvosával feltétlenül közölje, ha Önnek volt, vagy van súlyos szívproblémája. Ha új tünetek kialakulását vagy a szívelégtelenség tüneteinek rosszabbodását észleli (</w:delText>
        </w:r>
        <w:r w:rsidR="00F15477" w:rsidRPr="00183B5F">
          <w:rPr>
            <w:bCs/>
            <w:szCs w:val="22"/>
          </w:rPr>
          <w:delText>például</w:delText>
        </w:r>
        <w:r w:rsidRPr="00183B5F">
          <w:rPr>
            <w:szCs w:val="22"/>
          </w:rPr>
          <w:delText xml:space="preserve"> légszomj, vagy lábdagadás), azonnal közölje orvosával. Kezelőorvosa el fogja dönteni, hogy Ön kaphat-e Humira</w:delText>
        </w:r>
        <w:r w:rsidR="0069092C" w:rsidRPr="00183B5F">
          <w:rPr>
            <w:szCs w:val="22"/>
          </w:rPr>
          <w:noBreakHyphen/>
        </w:r>
        <w:r w:rsidRPr="00183B5F">
          <w:rPr>
            <w:szCs w:val="22"/>
          </w:rPr>
          <w:delText>t.</w:delText>
        </w:r>
      </w:del>
    </w:p>
    <w:p w14:paraId="0E321ECD" w14:textId="30959B91" w:rsidR="00FB6710" w:rsidRPr="00183B5F" w:rsidRDefault="00FB6710" w:rsidP="00673483">
      <w:pPr>
        <w:spacing w:line="240" w:lineRule="auto"/>
        <w:rPr>
          <w:del w:id="11497" w:author="AbbVie_HU_03" w:date="2025-05-14T16:41:00Z"/>
          <w:szCs w:val="22"/>
        </w:rPr>
      </w:pPr>
    </w:p>
    <w:p w14:paraId="33D44C2E" w14:textId="52805F50" w:rsidR="00FB6710" w:rsidRPr="00183B5F" w:rsidRDefault="00943743" w:rsidP="00673483">
      <w:pPr>
        <w:numPr>
          <w:ilvl w:val="0"/>
          <w:numId w:val="20"/>
        </w:numPr>
        <w:tabs>
          <w:tab w:val="clear" w:pos="720"/>
        </w:tabs>
        <w:spacing w:line="240" w:lineRule="auto"/>
        <w:ind w:left="567" w:hanging="567"/>
        <w:rPr>
          <w:del w:id="11498" w:author="AbbVie_HU_03" w:date="2025-05-14T16:41:00Z"/>
          <w:szCs w:val="22"/>
        </w:rPr>
      </w:pPr>
      <w:del w:id="11499" w:author="AbbVie_HU_03" w:date="2025-05-14T16:41:00Z">
        <w:r w:rsidRPr="00183B5F">
          <w:rPr>
            <w:szCs w:val="22"/>
          </w:rPr>
          <w:delText>Bizonyos betegségekben a szervezet nem termel elég olyan vérsejtet, melyek segítenék a szervezetet a fertőzés elleni küzdelemben, vagy megállítanák a vérzést. Ha csillapíthatatlan láza van, véraláfutása van, vagy könnyen vérzik és sápadtnak látszik, értesítse orvosát. Orvosa eldönti, hogy folytassák-e a kezelést.</w:delText>
        </w:r>
      </w:del>
    </w:p>
    <w:p w14:paraId="727B52E8" w14:textId="21D55110" w:rsidR="00FB6710" w:rsidRPr="00183B5F" w:rsidRDefault="00FB6710" w:rsidP="00673483">
      <w:pPr>
        <w:spacing w:line="240" w:lineRule="auto"/>
        <w:rPr>
          <w:del w:id="11500" w:author="AbbVie_HU_03" w:date="2025-05-14T16:41:00Z"/>
          <w:szCs w:val="22"/>
        </w:rPr>
      </w:pPr>
    </w:p>
    <w:p w14:paraId="00287217" w14:textId="7021CD9A" w:rsidR="00FB6710" w:rsidRPr="00183B5F" w:rsidRDefault="00943743" w:rsidP="00673483">
      <w:pPr>
        <w:numPr>
          <w:ilvl w:val="0"/>
          <w:numId w:val="20"/>
        </w:numPr>
        <w:tabs>
          <w:tab w:val="clear" w:pos="720"/>
        </w:tabs>
        <w:spacing w:line="240" w:lineRule="auto"/>
        <w:ind w:left="567" w:hanging="567"/>
        <w:rPr>
          <w:del w:id="11501" w:author="AbbVie_HU_03" w:date="2025-05-14T16:41:00Z"/>
          <w:szCs w:val="22"/>
        </w:rPr>
      </w:pPr>
      <w:del w:id="11502" w:author="AbbVie_HU_03" w:date="2025-05-14T16:41:00Z">
        <w:r w:rsidRPr="00183B5F">
          <w:rPr>
            <w:szCs w:val="22"/>
          </w:rPr>
          <w:delText>Nagyon ritkán előfordul, hogy a Humira</w:delText>
        </w:r>
        <w:r w:rsidR="0069092C" w:rsidRPr="00183B5F">
          <w:rPr>
            <w:szCs w:val="22"/>
          </w:rPr>
          <w:noBreakHyphen/>
        </w:r>
        <w:r w:rsidRPr="00183B5F">
          <w:rPr>
            <w:szCs w:val="22"/>
          </w:rPr>
          <w:delText>t vagy más TNF</w:delText>
        </w:r>
        <w:r w:rsidR="0069092C" w:rsidRPr="00183B5F">
          <w:rPr>
            <w:szCs w:val="22"/>
          </w:rPr>
          <w:noBreakHyphen/>
        </w:r>
        <w:r w:rsidR="00332587" w:rsidRPr="00183B5F">
          <w:rPr>
            <w:szCs w:val="22"/>
          </w:rPr>
          <w:delText>antagonista</w:delText>
        </w:r>
        <w:r w:rsidRPr="00183B5F">
          <w:rPr>
            <w:szCs w:val="22"/>
          </w:rPr>
          <w:delText xml:space="preserve"> gyógyszert szedő betegeknél bizonyos daganatfajta jelentkezik. A hosszú ideje súlyos reumatoid artritiszben szenvedő betegeknek az átlagosnál nagyobb a kockázatuk, hogy limfóma </w:delText>
        </w:r>
        <w:r w:rsidR="00E84354" w:rsidRPr="00183B5F">
          <w:rPr>
            <w:szCs w:val="22"/>
          </w:rPr>
          <w:delText>(</w:delText>
        </w:r>
        <w:r w:rsidRPr="00183B5F">
          <w:rPr>
            <w:szCs w:val="22"/>
          </w:rPr>
          <w:delText>a nyirokrendszert érintő daganat</w:delText>
        </w:r>
        <w:r w:rsidR="00E84354" w:rsidRPr="00183B5F">
          <w:rPr>
            <w:szCs w:val="22"/>
          </w:rPr>
          <w:delText>) vagy leukémia (a csontvelőt, vérképzést érintő daganat) alakul ki</w:delText>
        </w:r>
        <w:r w:rsidRPr="00183B5F">
          <w:rPr>
            <w:szCs w:val="22"/>
          </w:rPr>
          <w:delText>. Amennyiben Humira</w:delText>
        </w:r>
        <w:r w:rsidR="0069092C" w:rsidRPr="00183B5F">
          <w:rPr>
            <w:szCs w:val="22"/>
          </w:rPr>
          <w:noBreakHyphen/>
        </w:r>
        <w:r w:rsidRPr="00183B5F">
          <w:rPr>
            <w:szCs w:val="22"/>
          </w:rPr>
          <w:delText>t kap, kockázata fokozódhat. Ritkán a nyirokdaganat (limfóma) egy specifikus és súlyos típusát észlelték Humira</w:delText>
        </w:r>
        <w:r w:rsidR="00EB2BE2" w:rsidRPr="00183B5F">
          <w:rPr>
            <w:szCs w:val="22"/>
          </w:rPr>
          <w:noBreakHyphen/>
        </w:r>
        <w:r w:rsidRPr="00183B5F">
          <w:rPr>
            <w:szCs w:val="22"/>
          </w:rPr>
          <w:delText>val kezelt betegeknél. E betegek közül egyeseket egyidejűleg azatioprinnel,</w:delText>
        </w:r>
        <w:r w:rsidRPr="00183B5F">
          <w:rPr>
            <w:szCs w:val="22"/>
          </w:rPr>
          <w:delText xml:space="preserve"> illetve 6</w:delText>
        </w:r>
        <w:r w:rsidR="0069092C" w:rsidRPr="00183B5F">
          <w:rPr>
            <w:szCs w:val="22"/>
          </w:rPr>
          <w:noBreakHyphen/>
        </w:r>
        <w:r w:rsidRPr="00183B5F">
          <w:rPr>
            <w:szCs w:val="22"/>
          </w:rPr>
          <w:delText xml:space="preserve">merkaptopurinnal is kezeltek. </w:delText>
        </w:r>
        <w:r w:rsidR="00555673" w:rsidRPr="00183B5F">
          <w:rPr>
            <w:szCs w:val="22"/>
          </w:rPr>
          <w:delText xml:space="preserve">Közölje orvosával, ha a </w:delText>
        </w:r>
        <w:r w:rsidR="00D93585" w:rsidRPr="00183B5F">
          <w:rPr>
            <w:szCs w:val="22"/>
          </w:rPr>
          <w:delText>Humira</w:delText>
        </w:r>
        <w:r w:rsidR="0069092C" w:rsidRPr="00183B5F">
          <w:rPr>
            <w:szCs w:val="22"/>
          </w:rPr>
          <w:noBreakHyphen/>
        </w:r>
        <w:r w:rsidR="00D93585" w:rsidRPr="00183B5F">
          <w:rPr>
            <w:szCs w:val="22"/>
          </w:rPr>
          <w:delText>val</w:delText>
        </w:r>
        <w:r w:rsidR="00555673" w:rsidRPr="00183B5F">
          <w:rPr>
            <w:szCs w:val="22"/>
          </w:rPr>
          <w:delText xml:space="preserve"> egyidejűleg azatioprint vagy 6</w:delText>
        </w:r>
        <w:r w:rsidR="0069092C" w:rsidRPr="00183B5F">
          <w:rPr>
            <w:szCs w:val="22"/>
          </w:rPr>
          <w:noBreakHyphen/>
        </w:r>
        <w:r w:rsidR="00555673" w:rsidRPr="00183B5F">
          <w:rPr>
            <w:szCs w:val="22"/>
          </w:rPr>
          <w:delText xml:space="preserve">merkaptopurint szed. </w:delText>
        </w:r>
        <w:r w:rsidRPr="00183B5F">
          <w:rPr>
            <w:szCs w:val="22"/>
          </w:rPr>
          <w:delText>Ezen kívül, nem melanomás bőrrák kialakulását észlelték Humira</w:delText>
        </w:r>
        <w:r w:rsidR="0069092C" w:rsidRPr="00183B5F">
          <w:rPr>
            <w:szCs w:val="22"/>
          </w:rPr>
          <w:noBreakHyphen/>
        </w:r>
        <w:r w:rsidRPr="00183B5F">
          <w:rPr>
            <w:szCs w:val="22"/>
          </w:rPr>
          <w:delText>val kezelt betegeken. Ha új bőrelváltozások jelennek meg a kezelés alatt, vagy a meglévők külleme megváltozik, tájékoztassa orvosát.</w:delText>
        </w:r>
      </w:del>
    </w:p>
    <w:p w14:paraId="2AAD8DBC" w14:textId="5BD97206" w:rsidR="00FB6710" w:rsidRPr="00183B5F" w:rsidRDefault="00FB6710" w:rsidP="00673483">
      <w:pPr>
        <w:spacing w:line="240" w:lineRule="auto"/>
        <w:rPr>
          <w:del w:id="11503" w:author="AbbVie_HU_03" w:date="2025-05-14T16:41:00Z"/>
          <w:szCs w:val="22"/>
        </w:rPr>
      </w:pPr>
    </w:p>
    <w:p w14:paraId="5F2333AC" w14:textId="670D084E" w:rsidR="00FB6710" w:rsidRPr="00183B5F" w:rsidRDefault="00943743" w:rsidP="00673483">
      <w:pPr>
        <w:numPr>
          <w:ilvl w:val="0"/>
          <w:numId w:val="20"/>
        </w:numPr>
        <w:tabs>
          <w:tab w:val="clear" w:pos="720"/>
        </w:tabs>
        <w:spacing w:line="240" w:lineRule="auto"/>
        <w:ind w:left="567" w:hanging="567"/>
        <w:rPr>
          <w:del w:id="11504" w:author="AbbVie_HU_03" w:date="2025-05-14T16:41:00Z"/>
          <w:szCs w:val="22"/>
        </w:rPr>
      </w:pPr>
      <w:del w:id="11505" w:author="AbbVie_HU_03" w:date="2025-05-14T16:41:00Z">
        <w:r w:rsidRPr="00183B5F">
          <w:rPr>
            <w:szCs w:val="22"/>
          </w:rPr>
          <w:delText>Voltak esetek, amikor egy adott tüdőbetegségben (amelyet idült obstruktív tüdőbetegségnek (COPD-nek) neveznek) szenvedő, TNF</w:delText>
        </w:r>
        <w:r w:rsidR="0069092C" w:rsidRPr="00183B5F">
          <w:rPr>
            <w:szCs w:val="22"/>
          </w:rPr>
          <w:noBreakHyphen/>
        </w:r>
        <w:r w:rsidR="00332587" w:rsidRPr="00183B5F">
          <w:rPr>
            <w:szCs w:val="22"/>
          </w:rPr>
          <w:delText>antagonistá</w:delText>
        </w:r>
        <w:r w:rsidRPr="00183B5F">
          <w:rPr>
            <w:szCs w:val="22"/>
          </w:rPr>
          <w:delText>val kezelt betegeken nem limfóma természetű rákos daganatok kialakulását észlelték. Ha Ön COPD</w:delText>
        </w:r>
        <w:r w:rsidR="0069092C" w:rsidRPr="00183B5F">
          <w:rPr>
            <w:szCs w:val="22"/>
          </w:rPr>
          <w:noBreakHyphen/>
        </w:r>
        <w:r w:rsidR="007C581D" w:rsidRPr="00183B5F">
          <w:rPr>
            <w:szCs w:val="22"/>
          </w:rPr>
          <w:delText xml:space="preserve">ben </w:delText>
        </w:r>
        <w:r w:rsidRPr="00183B5F">
          <w:rPr>
            <w:szCs w:val="22"/>
          </w:rPr>
          <w:delText>szenved vagy erős dohányos, kérje orvosa tanácsát, hogy vajon a TNF</w:delText>
        </w:r>
        <w:r w:rsidR="0069092C" w:rsidRPr="00183B5F">
          <w:rPr>
            <w:szCs w:val="22"/>
          </w:rPr>
          <w:noBreakHyphen/>
        </w:r>
        <w:r w:rsidR="00332587" w:rsidRPr="00183B5F">
          <w:rPr>
            <w:szCs w:val="22"/>
          </w:rPr>
          <w:delText>antagonistá</w:delText>
        </w:r>
        <w:r w:rsidRPr="00183B5F">
          <w:rPr>
            <w:szCs w:val="22"/>
          </w:rPr>
          <w:delText>val végzett kezelés megfelelő-e az Ön számára.</w:delText>
        </w:r>
      </w:del>
    </w:p>
    <w:p w14:paraId="6482358F" w14:textId="7A0486A1" w:rsidR="00A76815" w:rsidRPr="00183B5F" w:rsidRDefault="00A76815" w:rsidP="00673483">
      <w:pPr>
        <w:pStyle w:val="ListParagraph"/>
        <w:spacing w:line="240" w:lineRule="auto"/>
        <w:rPr>
          <w:del w:id="11506" w:author="AbbVie_HU_03" w:date="2025-05-14T16:41:00Z"/>
          <w:szCs w:val="22"/>
        </w:rPr>
      </w:pPr>
    </w:p>
    <w:p w14:paraId="724D9440" w14:textId="7E652655" w:rsidR="00A76815" w:rsidRPr="00183B5F" w:rsidRDefault="00943743" w:rsidP="00673483">
      <w:pPr>
        <w:numPr>
          <w:ilvl w:val="0"/>
          <w:numId w:val="20"/>
        </w:numPr>
        <w:tabs>
          <w:tab w:val="clear" w:pos="720"/>
        </w:tabs>
        <w:spacing w:line="240" w:lineRule="auto"/>
        <w:ind w:left="567" w:hanging="567"/>
        <w:rPr>
          <w:del w:id="11507" w:author="AbbVie_HU_03" w:date="2025-05-14T16:41:00Z"/>
          <w:szCs w:val="22"/>
        </w:rPr>
      </w:pPr>
      <w:del w:id="11508" w:author="AbbVie_HU_03" w:date="2025-05-14T16:41:00Z">
        <w:r w:rsidRPr="00183B5F">
          <w:rPr>
            <w:szCs w:val="22"/>
          </w:rPr>
          <w:delText>Ritka esetekben a Humira lupusz-szerű szindrómát okoz</w:delText>
        </w:r>
        <w:r w:rsidR="001147C9" w:rsidRPr="00183B5F">
          <w:rPr>
            <w:szCs w:val="22"/>
          </w:rPr>
          <w:delText>hat</w:delText>
        </w:r>
        <w:r w:rsidRPr="00183B5F">
          <w:rPr>
            <w:szCs w:val="22"/>
          </w:rPr>
          <w:delText xml:space="preserve">. </w:delText>
        </w:r>
        <w:r w:rsidR="001147C9" w:rsidRPr="00183B5F">
          <w:rPr>
            <w:szCs w:val="22"/>
          </w:rPr>
          <w:delText>Keresse fel</w:delText>
        </w:r>
        <w:r w:rsidRPr="00183B5F">
          <w:rPr>
            <w:szCs w:val="22"/>
          </w:rPr>
          <w:delText xml:space="preserve"> kezelőorvosá</w:delText>
        </w:r>
        <w:r w:rsidR="001147C9" w:rsidRPr="00183B5F">
          <w:rPr>
            <w:szCs w:val="22"/>
          </w:rPr>
          <w:delText>t</w:delText>
        </w:r>
        <w:r w:rsidRPr="00183B5F">
          <w:rPr>
            <w:szCs w:val="22"/>
          </w:rPr>
          <w:delText xml:space="preserve">, ha olyan </w:delText>
        </w:r>
        <w:r w:rsidR="0001217B" w:rsidRPr="00183B5F">
          <w:rPr>
            <w:szCs w:val="22"/>
          </w:rPr>
          <w:delText>tüneteket észlel</w:delText>
        </w:r>
        <w:r w:rsidRPr="00183B5F">
          <w:rPr>
            <w:szCs w:val="22"/>
          </w:rPr>
          <w:delText xml:space="preserve">, mint a tartós, tisztázatlan eredetű </w:delText>
        </w:r>
        <w:r w:rsidR="004C50B5" w:rsidRPr="00183B5F">
          <w:rPr>
            <w:szCs w:val="22"/>
          </w:rPr>
          <w:delText>bőr</w:delText>
        </w:r>
        <w:r w:rsidRPr="00183B5F">
          <w:rPr>
            <w:szCs w:val="22"/>
          </w:rPr>
          <w:delText>kiütés, láz, ízületi fájdalom vagy fáradtság.</w:delText>
        </w:r>
      </w:del>
    </w:p>
    <w:p w14:paraId="253D4B45" w14:textId="097C8C6F" w:rsidR="00FB6710" w:rsidRPr="00183B5F" w:rsidRDefault="00FB6710" w:rsidP="00673483">
      <w:pPr>
        <w:spacing w:line="240" w:lineRule="auto"/>
        <w:rPr>
          <w:del w:id="11509" w:author="AbbVie_HU_03" w:date="2025-05-14T16:41:00Z"/>
          <w:szCs w:val="22"/>
        </w:rPr>
      </w:pPr>
    </w:p>
    <w:p w14:paraId="3B7D5ED3" w14:textId="29ED9344" w:rsidR="00B97A37" w:rsidRPr="00183B5F" w:rsidRDefault="00943743" w:rsidP="00673483">
      <w:pPr>
        <w:spacing w:line="240" w:lineRule="auto"/>
        <w:rPr>
          <w:del w:id="11510" w:author="AbbVie_HU_03" w:date="2025-05-14T16:41:00Z"/>
          <w:b/>
          <w:szCs w:val="22"/>
        </w:rPr>
      </w:pPr>
      <w:del w:id="11511" w:author="AbbVie_HU_03" w:date="2025-05-14T16:41:00Z">
        <w:r w:rsidRPr="00183B5F">
          <w:rPr>
            <w:b/>
          </w:rPr>
          <w:delText>Gyermekek és serdülők</w:delText>
        </w:r>
      </w:del>
    </w:p>
    <w:p w14:paraId="53AB8670" w14:textId="1A37688E" w:rsidR="00B97A37" w:rsidRPr="00183B5F" w:rsidRDefault="00B97A37" w:rsidP="00673483">
      <w:pPr>
        <w:spacing w:line="240" w:lineRule="auto"/>
        <w:rPr>
          <w:del w:id="11512" w:author="AbbVie_HU_03" w:date="2025-05-14T16:41:00Z"/>
          <w:b/>
          <w:szCs w:val="22"/>
        </w:rPr>
      </w:pPr>
    </w:p>
    <w:p w14:paraId="765162F5" w14:textId="16E3AF22" w:rsidR="00B97A37" w:rsidRPr="00183B5F" w:rsidRDefault="00943743" w:rsidP="00673483">
      <w:pPr>
        <w:numPr>
          <w:ilvl w:val="0"/>
          <w:numId w:val="104"/>
        </w:numPr>
        <w:tabs>
          <w:tab w:val="clear" w:pos="720"/>
          <w:tab w:val="num" w:pos="630"/>
        </w:tabs>
        <w:spacing w:line="240" w:lineRule="auto"/>
        <w:ind w:left="630" w:hanging="630"/>
        <w:rPr>
          <w:del w:id="11513" w:author="AbbVie_HU_03" w:date="2025-05-14T16:41:00Z"/>
          <w:szCs w:val="22"/>
        </w:rPr>
      </w:pPr>
      <w:del w:id="11514" w:author="AbbVie_HU_03" w:date="2025-05-14T16:41:00Z">
        <w:r w:rsidRPr="00183B5F">
          <w:rPr>
            <w:szCs w:val="22"/>
          </w:rPr>
          <w:delText>Védőoltások: ha lehetséges, a gyermeknek meg kell kapnia az összes esedékes védőoltást a Humira alkalmazásának megkezdése előtt.</w:delText>
        </w:r>
      </w:del>
    </w:p>
    <w:p w14:paraId="2B4E3CE7" w14:textId="619CC9EA" w:rsidR="00B97A37" w:rsidRPr="00183B5F" w:rsidRDefault="00943743" w:rsidP="00673483">
      <w:pPr>
        <w:numPr>
          <w:ilvl w:val="0"/>
          <w:numId w:val="104"/>
        </w:numPr>
        <w:tabs>
          <w:tab w:val="clear" w:pos="720"/>
          <w:tab w:val="num" w:pos="630"/>
        </w:tabs>
        <w:spacing w:line="240" w:lineRule="auto"/>
        <w:ind w:left="630" w:hanging="630"/>
        <w:rPr>
          <w:del w:id="11515" w:author="AbbVie_HU_03" w:date="2025-05-14T16:41:00Z"/>
          <w:szCs w:val="22"/>
        </w:rPr>
      </w:pPr>
      <w:del w:id="11516" w:author="AbbVie_HU_03" w:date="2025-05-14T16:41:00Z">
        <w:r w:rsidRPr="00183B5F">
          <w:rPr>
            <w:szCs w:val="22"/>
          </w:rPr>
          <w:delText>Ne adjon Humira</w:delText>
        </w:r>
        <w:r w:rsidRPr="00183B5F">
          <w:rPr>
            <w:szCs w:val="22"/>
          </w:rPr>
          <w:noBreakHyphen/>
          <w:delText>t 2 éves kor alatti, gyermekkori ismeretlen eredetű sokízületi gyulladásban szenvedő gyermekeknek.</w:delText>
        </w:r>
      </w:del>
    </w:p>
    <w:p w14:paraId="738332F8" w14:textId="56FAFC49" w:rsidR="00B97A37" w:rsidRPr="00183B5F" w:rsidRDefault="00B97A37" w:rsidP="00673483">
      <w:pPr>
        <w:spacing w:line="240" w:lineRule="auto"/>
        <w:rPr>
          <w:del w:id="11517" w:author="AbbVie_HU_03" w:date="2025-05-14T16:41:00Z"/>
          <w:b/>
          <w:szCs w:val="22"/>
        </w:rPr>
      </w:pPr>
    </w:p>
    <w:p w14:paraId="0B47581F" w14:textId="25A0F4FC" w:rsidR="00B97A37" w:rsidRPr="00183B5F" w:rsidRDefault="00943743" w:rsidP="00673483">
      <w:pPr>
        <w:keepNext/>
        <w:spacing w:line="240" w:lineRule="auto"/>
        <w:rPr>
          <w:del w:id="11518" w:author="AbbVie_HU_03" w:date="2025-05-14T16:41:00Z"/>
          <w:b/>
          <w:noProof/>
          <w:szCs w:val="24"/>
        </w:rPr>
      </w:pPr>
      <w:del w:id="11519" w:author="AbbVie_HU_03" w:date="2025-05-14T16:41:00Z">
        <w:r w:rsidRPr="00183B5F">
          <w:rPr>
            <w:b/>
            <w:noProof/>
            <w:szCs w:val="24"/>
          </w:rPr>
          <w:delText>Egyéb</w:delText>
        </w:r>
        <w:r w:rsidRPr="00183B5F">
          <w:rPr>
            <w:b/>
            <w:szCs w:val="24"/>
          </w:rPr>
          <w:delText xml:space="preserve"> gyógyszerek</w:delText>
        </w:r>
        <w:r w:rsidRPr="00183B5F">
          <w:rPr>
            <w:b/>
            <w:noProof/>
            <w:szCs w:val="24"/>
          </w:rPr>
          <w:delText xml:space="preserve"> és a Humira</w:delText>
        </w:r>
      </w:del>
    </w:p>
    <w:p w14:paraId="4B0C52D6" w14:textId="2AE32943" w:rsidR="00B97A37" w:rsidRPr="00183B5F" w:rsidRDefault="00B97A37" w:rsidP="00673483">
      <w:pPr>
        <w:keepNext/>
        <w:spacing w:line="240" w:lineRule="auto"/>
        <w:rPr>
          <w:del w:id="11520" w:author="AbbVie_HU_03" w:date="2025-05-14T16:41:00Z"/>
          <w:b/>
          <w:noProof/>
          <w:szCs w:val="24"/>
        </w:rPr>
      </w:pPr>
    </w:p>
    <w:p w14:paraId="32D2B0B6" w14:textId="796E09C8" w:rsidR="00FB6710" w:rsidRPr="00183B5F" w:rsidRDefault="00943743" w:rsidP="00673483">
      <w:pPr>
        <w:keepNext/>
        <w:spacing w:line="240" w:lineRule="auto"/>
        <w:ind w:right="-2"/>
        <w:rPr>
          <w:del w:id="11521" w:author="AbbVie_HU_03" w:date="2025-05-14T16:41:00Z"/>
          <w:b/>
          <w:szCs w:val="22"/>
        </w:rPr>
      </w:pPr>
      <w:del w:id="11522" w:author="AbbVie_HU_03" w:date="2025-05-14T16:41:00Z">
        <w:r w:rsidRPr="00183B5F">
          <w:rPr>
            <w:szCs w:val="24"/>
          </w:rPr>
          <w:delText xml:space="preserve">Feltétlenül tájékoztassa kezelőorvosát vagy gyógyszerészét jelenleg vagy nemrégiben </w:delText>
        </w:r>
        <w:r w:rsidRPr="00183B5F">
          <w:rPr>
            <w:noProof/>
            <w:szCs w:val="24"/>
          </w:rPr>
          <w:delText>szedett, valamint szedni tervezett</w:delText>
        </w:r>
        <w:r w:rsidRPr="00183B5F">
          <w:rPr>
            <w:szCs w:val="24"/>
          </w:rPr>
          <w:delText xml:space="preserve"> egyéb gyógyszereiről</w:delText>
        </w:r>
        <w:r w:rsidRPr="00183B5F">
          <w:rPr>
            <w:noProof/>
            <w:szCs w:val="24"/>
          </w:rPr>
          <w:delText>.</w:delText>
        </w:r>
      </w:del>
    </w:p>
    <w:p w14:paraId="57D20F35" w14:textId="0D7A292F" w:rsidR="00FB6710" w:rsidRPr="00183B5F" w:rsidRDefault="00FB6710" w:rsidP="00673483">
      <w:pPr>
        <w:spacing w:line="240" w:lineRule="auto"/>
        <w:ind w:right="-2"/>
        <w:rPr>
          <w:del w:id="11523" w:author="AbbVie_HU_03" w:date="2025-05-14T16:41:00Z"/>
          <w:b/>
          <w:szCs w:val="22"/>
        </w:rPr>
      </w:pPr>
    </w:p>
    <w:p w14:paraId="309E3CF8" w14:textId="6EA038F3" w:rsidR="00FB6710" w:rsidRPr="00183B5F" w:rsidRDefault="00943743" w:rsidP="00673483">
      <w:pPr>
        <w:spacing w:line="240" w:lineRule="auto"/>
        <w:ind w:right="-2"/>
        <w:rPr>
          <w:del w:id="11524" w:author="AbbVie_HU_03" w:date="2025-05-14T16:41:00Z"/>
          <w:szCs w:val="22"/>
        </w:rPr>
      </w:pPr>
      <w:del w:id="11525" w:author="AbbVie_HU_03" w:date="2025-05-14T16:41:00Z">
        <w:r w:rsidRPr="00183B5F">
          <w:rPr>
            <w:szCs w:val="22"/>
          </w:rPr>
          <w:delText>A Humira együtt alkalmazható metotrexáttal vagy más</w:delText>
        </w:r>
        <w:r w:rsidR="00E84354" w:rsidRPr="00183B5F">
          <w:rPr>
            <w:szCs w:val="22"/>
          </w:rPr>
          <w:delText>,</w:delText>
        </w:r>
        <w:r w:rsidRPr="00183B5F">
          <w:rPr>
            <w:szCs w:val="22"/>
          </w:rPr>
          <w:delText xml:space="preserve"> betegséget befolyásoló reumaellenes szerrel (szulfaszalazin, hidroxiklorokin, leflunomid és arany injekció), szteroidok</w:delText>
        </w:r>
        <w:r w:rsidR="00C569AA" w:rsidRPr="00183B5F">
          <w:rPr>
            <w:szCs w:val="22"/>
          </w:rPr>
          <w:delText>kal</w:delText>
        </w:r>
        <w:r w:rsidRPr="00183B5F">
          <w:rPr>
            <w:szCs w:val="22"/>
          </w:rPr>
          <w:delText xml:space="preserve"> vagy fájdalomcsillapító készítményekkel</w:delText>
        </w:r>
        <w:r w:rsidR="00C569AA" w:rsidRPr="00183B5F">
          <w:rPr>
            <w:szCs w:val="22"/>
          </w:rPr>
          <w:delText>,</w:delText>
        </w:r>
        <w:r w:rsidRPr="00183B5F">
          <w:rPr>
            <w:szCs w:val="22"/>
          </w:rPr>
          <w:delText xml:space="preserve"> beleértve a nem</w:delText>
        </w:r>
        <w:r w:rsidR="00647E1C" w:rsidRPr="00183B5F">
          <w:rPr>
            <w:szCs w:val="22"/>
          </w:rPr>
          <w:delText>-</w:delText>
        </w:r>
        <w:r w:rsidRPr="00183B5F">
          <w:rPr>
            <w:szCs w:val="22"/>
          </w:rPr>
          <w:delText xml:space="preserve">szteroid </w:delText>
        </w:r>
        <w:r w:rsidR="008511AE" w:rsidRPr="00183B5F">
          <w:rPr>
            <w:szCs w:val="22"/>
          </w:rPr>
          <w:delText>gyulladásgátlóka</w:delText>
        </w:r>
        <w:r w:rsidRPr="00183B5F">
          <w:rPr>
            <w:szCs w:val="22"/>
          </w:rPr>
          <w:delText>t (NSAID-ket).</w:delText>
        </w:r>
      </w:del>
    </w:p>
    <w:p w14:paraId="4195D255" w14:textId="13B5B00D" w:rsidR="00FB6710" w:rsidRPr="00183B5F" w:rsidRDefault="00FB6710" w:rsidP="00673483">
      <w:pPr>
        <w:spacing w:line="240" w:lineRule="auto"/>
        <w:ind w:right="-2"/>
        <w:rPr>
          <w:del w:id="11526" w:author="AbbVie_HU_03" w:date="2025-05-14T16:41:00Z"/>
          <w:szCs w:val="22"/>
        </w:rPr>
      </w:pPr>
    </w:p>
    <w:p w14:paraId="2BB2D15C" w14:textId="1294ED8C" w:rsidR="00FB6710" w:rsidRPr="00183B5F" w:rsidRDefault="00943743" w:rsidP="00673483">
      <w:pPr>
        <w:spacing w:line="240" w:lineRule="auto"/>
        <w:ind w:right="-2"/>
        <w:rPr>
          <w:del w:id="11527" w:author="AbbVie_HU_03" w:date="2025-05-14T16:41:00Z"/>
          <w:szCs w:val="22"/>
        </w:rPr>
      </w:pPr>
      <w:del w:id="11528" w:author="AbbVie_HU_03" w:date="2025-05-14T16:41:00Z">
        <w:r w:rsidRPr="00183B5F">
          <w:rPr>
            <w:szCs w:val="22"/>
          </w:rPr>
          <w:delText>Humira-val kezeltek nem kaphatnak anakinra vagy abatacept hatóanyagot tartalmazó gyógyszereket</w:delText>
        </w:r>
        <w:r w:rsidR="00A76815" w:rsidRPr="00183B5F">
          <w:rPr>
            <w:szCs w:val="22"/>
          </w:rPr>
          <w:delText xml:space="preserve"> a súlyos fertőzések fokozott kockázata miatt</w:delText>
        </w:r>
        <w:r w:rsidRPr="00183B5F">
          <w:rPr>
            <w:szCs w:val="22"/>
          </w:rPr>
          <w:delText>. Ha kérdése van, kérdezze meg orvosát.</w:delText>
        </w:r>
      </w:del>
    </w:p>
    <w:p w14:paraId="06167F08" w14:textId="7669E142" w:rsidR="00FB6710" w:rsidRPr="00183B5F" w:rsidRDefault="00FB6710" w:rsidP="00673483">
      <w:pPr>
        <w:spacing w:line="240" w:lineRule="auto"/>
        <w:ind w:right="-2"/>
        <w:rPr>
          <w:del w:id="11529" w:author="AbbVie_HU_03" w:date="2025-05-14T16:41:00Z"/>
          <w:szCs w:val="22"/>
        </w:rPr>
      </w:pPr>
    </w:p>
    <w:p w14:paraId="281409C2" w14:textId="5961AB91" w:rsidR="00FB6710" w:rsidRPr="00183B5F" w:rsidRDefault="00943743" w:rsidP="00673483">
      <w:pPr>
        <w:spacing w:line="240" w:lineRule="auto"/>
        <w:ind w:left="567" w:right="-2" w:hanging="567"/>
        <w:rPr>
          <w:del w:id="11530" w:author="AbbVie_HU_03" w:date="2025-05-14T16:41:00Z"/>
          <w:b/>
          <w:szCs w:val="22"/>
        </w:rPr>
      </w:pPr>
      <w:del w:id="11531" w:author="AbbVie_HU_03" w:date="2025-05-14T16:41:00Z">
        <w:r w:rsidRPr="00183B5F">
          <w:rPr>
            <w:b/>
            <w:szCs w:val="22"/>
          </w:rPr>
          <w:delText>Terhesség és szoptatás</w:delText>
        </w:r>
      </w:del>
    </w:p>
    <w:p w14:paraId="23C725A1" w14:textId="12FFB671" w:rsidR="00FB6710" w:rsidRPr="00183B5F" w:rsidRDefault="00FB6710" w:rsidP="00673483">
      <w:pPr>
        <w:spacing w:line="240" w:lineRule="auto"/>
        <w:ind w:left="567" w:right="-2" w:hanging="567"/>
        <w:rPr>
          <w:del w:id="11532" w:author="AbbVie_HU_03" w:date="2025-05-14T16:41:00Z"/>
          <w:b/>
          <w:szCs w:val="22"/>
        </w:rPr>
      </w:pPr>
    </w:p>
    <w:p w14:paraId="29FB5646" w14:textId="55A4E6FE" w:rsidR="006D2F10" w:rsidRPr="00183B5F" w:rsidRDefault="00943743" w:rsidP="00673483">
      <w:pPr>
        <w:pStyle w:val="ListParagraph"/>
        <w:numPr>
          <w:ilvl w:val="0"/>
          <w:numId w:val="196"/>
        </w:numPr>
        <w:spacing w:line="240" w:lineRule="auto"/>
        <w:ind w:left="567" w:hanging="567"/>
        <w:rPr>
          <w:del w:id="11533" w:author="AbbVie_HU_03" w:date="2025-05-14T16:41:00Z"/>
          <w:szCs w:val="22"/>
        </w:rPr>
      </w:pPr>
      <w:del w:id="11534" w:author="AbbVie_HU_03" w:date="2025-05-14T16:41:00Z">
        <w:r w:rsidRPr="00183B5F">
          <w:rPr>
            <w:szCs w:val="22"/>
          </w:rPr>
          <w:delText>A</w:delText>
        </w:r>
        <w:r w:rsidR="00FB6710" w:rsidRPr="00183B5F">
          <w:rPr>
            <w:szCs w:val="22"/>
          </w:rPr>
          <w:delText xml:space="preserve"> terhesség megelőzése </w:delText>
        </w:r>
        <w:r w:rsidRPr="00183B5F">
          <w:rPr>
            <w:szCs w:val="22"/>
          </w:rPr>
          <w:delText xml:space="preserve">érdekében </w:delText>
        </w:r>
        <w:r w:rsidR="00AD737C" w:rsidRPr="00183B5F">
          <w:rPr>
            <w:szCs w:val="22"/>
          </w:rPr>
          <w:delText>meg kell fontolnia a</w:delText>
        </w:r>
        <w:r w:rsidR="00FB6710" w:rsidRPr="00183B5F">
          <w:rPr>
            <w:szCs w:val="22"/>
          </w:rPr>
          <w:delText xml:space="preserve"> megfelelő fogamzásgátlás alkalmazás</w:delText>
        </w:r>
        <w:r w:rsidR="00AD737C" w:rsidRPr="00183B5F">
          <w:rPr>
            <w:szCs w:val="22"/>
          </w:rPr>
          <w:delText>át</w:delText>
        </w:r>
        <w:r w:rsidR="001056CE" w:rsidRPr="00183B5F">
          <w:rPr>
            <w:szCs w:val="22"/>
          </w:rPr>
          <w:delText xml:space="preserve"> és az alkalmazás folytatását</w:delText>
        </w:r>
        <w:r w:rsidR="00FB6710" w:rsidRPr="00183B5F">
          <w:rPr>
            <w:szCs w:val="22"/>
          </w:rPr>
          <w:delText xml:space="preserve"> </w:delText>
        </w:r>
        <w:r w:rsidR="001056CE" w:rsidRPr="00183B5F">
          <w:rPr>
            <w:szCs w:val="22"/>
          </w:rPr>
          <w:delText xml:space="preserve">a </w:delText>
        </w:r>
        <w:r w:rsidR="00FB6710" w:rsidRPr="00183B5F">
          <w:rPr>
            <w:szCs w:val="22"/>
          </w:rPr>
          <w:delText>Humira</w:delText>
        </w:r>
        <w:r w:rsidR="00EB2BE2" w:rsidRPr="00183B5F">
          <w:rPr>
            <w:szCs w:val="22"/>
          </w:rPr>
          <w:noBreakHyphen/>
        </w:r>
        <w:r w:rsidR="00FB6710" w:rsidRPr="00183B5F">
          <w:rPr>
            <w:szCs w:val="22"/>
          </w:rPr>
          <w:delText>val történt utolsó kezelést követően legalább 5</w:delText>
        </w:r>
        <w:r w:rsidR="0069092C" w:rsidRPr="00183B5F">
          <w:rPr>
            <w:szCs w:val="22"/>
          </w:rPr>
          <w:delText> </w:delText>
        </w:r>
        <w:r w:rsidR="00FB6710" w:rsidRPr="00183B5F">
          <w:rPr>
            <w:szCs w:val="22"/>
          </w:rPr>
          <w:delText>hónapig.</w:delText>
        </w:r>
      </w:del>
    </w:p>
    <w:p w14:paraId="2A298B88" w14:textId="24810074" w:rsidR="00AD737C" w:rsidRPr="00183B5F" w:rsidRDefault="00943743" w:rsidP="00673483">
      <w:pPr>
        <w:pStyle w:val="ListParagraph"/>
        <w:numPr>
          <w:ilvl w:val="0"/>
          <w:numId w:val="196"/>
        </w:numPr>
        <w:spacing w:line="240" w:lineRule="auto"/>
        <w:ind w:left="567" w:hanging="567"/>
        <w:rPr>
          <w:del w:id="11535" w:author="AbbVie_HU_03" w:date="2025-05-14T16:41:00Z"/>
          <w:szCs w:val="22"/>
        </w:rPr>
      </w:pPr>
      <w:del w:id="11536" w:author="AbbVie_HU_03" w:date="2025-05-14T16:41:00Z">
        <w:r w:rsidRPr="00183B5F">
          <w:rPr>
            <w:szCs w:val="22"/>
          </w:rPr>
          <w:delText>Amennyiben terhes, úgy gondolja, hogy terhes lehet, vagy gyermeket tervez, kérje kezelőorvosa tanácsát ennek a gyógyszernek az alkalmazásáról.</w:delText>
        </w:r>
      </w:del>
    </w:p>
    <w:p w14:paraId="16DA9A8E" w14:textId="125EAA70" w:rsidR="00AD737C" w:rsidRPr="00183B5F" w:rsidRDefault="00943743" w:rsidP="00673483">
      <w:pPr>
        <w:pStyle w:val="ListParagraph"/>
        <w:numPr>
          <w:ilvl w:val="0"/>
          <w:numId w:val="196"/>
        </w:numPr>
        <w:spacing w:line="240" w:lineRule="auto"/>
        <w:ind w:left="567" w:hanging="567"/>
        <w:rPr>
          <w:del w:id="11537" w:author="AbbVie_HU_03" w:date="2025-05-14T16:41:00Z"/>
          <w:szCs w:val="22"/>
        </w:rPr>
      </w:pPr>
      <w:del w:id="11538" w:author="AbbVie_HU_03" w:date="2025-05-14T16:41:00Z">
        <w:r w:rsidRPr="00183B5F">
          <w:rPr>
            <w:szCs w:val="22"/>
          </w:rPr>
          <w:delText xml:space="preserve">A Humira csak akkor alkalmazható terhesség alatt, ha </w:delText>
        </w:r>
        <w:r w:rsidR="004B37B2" w:rsidRPr="00183B5F">
          <w:rPr>
            <w:szCs w:val="22"/>
          </w:rPr>
          <w:delText>egyértelműen</w:delText>
        </w:r>
        <w:r w:rsidRPr="00183B5F">
          <w:rPr>
            <w:szCs w:val="22"/>
          </w:rPr>
          <w:delText xml:space="preserve"> szükséges.</w:delText>
        </w:r>
      </w:del>
    </w:p>
    <w:p w14:paraId="5B67EB43" w14:textId="039B8154" w:rsidR="00AD737C" w:rsidRPr="00183B5F" w:rsidRDefault="00943743" w:rsidP="00673483">
      <w:pPr>
        <w:pStyle w:val="ListParagraph"/>
        <w:numPr>
          <w:ilvl w:val="0"/>
          <w:numId w:val="196"/>
        </w:numPr>
        <w:spacing w:line="240" w:lineRule="auto"/>
        <w:ind w:left="567" w:hanging="567"/>
        <w:rPr>
          <w:del w:id="11539" w:author="AbbVie_HU_03" w:date="2025-05-14T16:41:00Z"/>
          <w:szCs w:val="22"/>
        </w:rPr>
      </w:pPr>
      <w:del w:id="11540" w:author="AbbVie_HU_03" w:date="2025-05-14T16:41:00Z">
        <w:r w:rsidRPr="00183B5F">
          <w:rPr>
            <w:szCs w:val="22"/>
          </w:rPr>
          <w:delText>Egy terhes nők</w:delText>
        </w:r>
        <w:r w:rsidR="001056CE" w:rsidRPr="00183B5F">
          <w:rPr>
            <w:szCs w:val="22"/>
          </w:rPr>
          <w:delText>kel</w:delText>
        </w:r>
        <w:r w:rsidRPr="00183B5F">
          <w:rPr>
            <w:szCs w:val="22"/>
          </w:rPr>
          <w:delText xml:space="preserve"> végzett klinikai vizsgálat alapján nem volt magasabb a születési rendellenességek kockázata azokn</w:delText>
        </w:r>
        <w:r w:rsidR="001056CE" w:rsidRPr="00183B5F">
          <w:rPr>
            <w:szCs w:val="22"/>
          </w:rPr>
          <w:delText>ál</w:delText>
        </w:r>
        <w:r w:rsidRPr="00183B5F">
          <w:rPr>
            <w:szCs w:val="22"/>
          </w:rPr>
          <w:delText xml:space="preserve"> a nők</w:delText>
        </w:r>
        <w:r w:rsidR="001056CE" w:rsidRPr="00183B5F">
          <w:rPr>
            <w:szCs w:val="22"/>
          </w:rPr>
          <w:delText>nél</w:delText>
        </w:r>
        <w:r w:rsidRPr="00183B5F">
          <w:rPr>
            <w:szCs w:val="22"/>
          </w:rPr>
          <w:delText xml:space="preserve">, akik a terhességük </w:delText>
        </w:r>
        <w:r w:rsidR="001056CE" w:rsidRPr="00183B5F">
          <w:rPr>
            <w:szCs w:val="22"/>
          </w:rPr>
          <w:delText>alatt</w:delText>
        </w:r>
        <w:r w:rsidRPr="00183B5F">
          <w:rPr>
            <w:szCs w:val="22"/>
          </w:rPr>
          <w:delText xml:space="preserve"> Humira</w:delText>
        </w:r>
        <w:r w:rsidRPr="00183B5F">
          <w:rPr>
            <w:szCs w:val="22"/>
          </w:rPr>
          <w:noBreakHyphen/>
          <w:delText xml:space="preserve">kezelésben részesültek, </w:delText>
        </w:r>
        <w:r w:rsidR="001056CE" w:rsidRPr="00183B5F">
          <w:rPr>
            <w:szCs w:val="22"/>
          </w:rPr>
          <w:delText>mint</w:delText>
        </w:r>
        <w:r w:rsidRPr="00183B5F">
          <w:rPr>
            <w:szCs w:val="22"/>
          </w:rPr>
          <w:delText xml:space="preserve"> az azonos betegségben szenvedő, Humira</w:delText>
        </w:r>
        <w:r w:rsidRPr="00183B5F">
          <w:rPr>
            <w:szCs w:val="22"/>
          </w:rPr>
          <w:noBreakHyphen/>
          <w:delText>kezelésben nem részesült nők</w:delText>
        </w:r>
        <w:r w:rsidR="001056CE" w:rsidRPr="00183B5F">
          <w:rPr>
            <w:szCs w:val="22"/>
          </w:rPr>
          <w:delText>nél</w:delText>
        </w:r>
        <w:r w:rsidRPr="00183B5F">
          <w:rPr>
            <w:szCs w:val="22"/>
          </w:rPr>
          <w:delText>.</w:delText>
        </w:r>
      </w:del>
    </w:p>
    <w:p w14:paraId="3CB95397" w14:textId="163A53B3" w:rsidR="00AD737C" w:rsidRPr="00183B5F" w:rsidRDefault="00943743" w:rsidP="00673483">
      <w:pPr>
        <w:pStyle w:val="ListParagraph"/>
        <w:numPr>
          <w:ilvl w:val="0"/>
          <w:numId w:val="196"/>
        </w:numPr>
        <w:spacing w:line="240" w:lineRule="auto"/>
        <w:ind w:left="567" w:hanging="567"/>
        <w:rPr>
          <w:del w:id="11541" w:author="AbbVie_HU_03" w:date="2025-05-14T16:41:00Z"/>
          <w:szCs w:val="22"/>
        </w:rPr>
      </w:pPr>
      <w:del w:id="11542" w:author="AbbVie_HU_03" w:date="2025-05-14T16:41:00Z">
        <w:r w:rsidRPr="00183B5F">
          <w:delText>Szoptatás alatt a Humira alkalmazható.</w:delText>
        </w:r>
      </w:del>
    </w:p>
    <w:p w14:paraId="2CC89110" w14:textId="56765211" w:rsidR="00AD737C" w:rsidRPr="00183B5F" w:rsidRDefault="00943743" w:rsidP="00673483">
      <w:pPr>
        <w:pStyle w:val="ListParagraph"/>
        <w:numPr>
          <w:ilvl w:val="0"/>
          <w:numId w:val="196"/>
        </w:numPr>
        <w:spacing w:line="240" w:lineRule="auto"/>
        <w:ind w:left="567" w:hanging="567"/>
        <w:rPr>
          <w:del w:id="11543" w:author="AbbVie_HU_03" w:date="2025-05-14T16:41:00Z"/>
          <w:szCs w:val="22"/>
        </w:rPr>
      </w:pPr>
      <w:del w:id="11544" w:author="AbbVie_HU_03" w:date="2025-05-14T16:41:00Z">
        <w:r w:rsidRPr="00183B5F">
          <w:rPr>
            <w:szCs w:val="22"/>
          </w:rPr>
          <w:delText>Ha a terhessége alatt Humira</w:delText>
        </w:r>
        <w:r w:rsidR="0069092C" w:rsidRPr="00183B5F">
          <w:rPr>
            <w:szCs w:val="22"/>
          </w:rPr>
          <w:noBreakHyphen/>
        </w:r>
        <w:r w:rsidRPr="00183B5F">
          <w:rPr>
            <w:szCs w:val="22"/>
          </w:rPr>
          <w:delText>t kapott, a kisbabája nagyobb eséllyel kap el valamilyen fertőzést.</w:delText>
        </w:r>
      </w:del>
    </w:p>
    <w:p w14:paraId="2571D80C" w14:textId="5035ED23" w:rsidR="00FB6710" w:rsidRPr="00183B5F" w:rsidRDefault="00943743" w:rsidP="00673483">
      <w:pPr>
        <w:pStyle w:val="ListParagraph"/>
        <w:numPr>
          <w:ilvl w:val="0"/>
          <w:numId w:val="196"/>
        </w:numPr>
        <w:spacing w:line="240" w:lineRule="auto"/>
        <w:ind w:left="567" w:hanging="567"/>
        <w:rPr>
          <w:del w:id="11545" w:author="AbbVie_HU_03" w:date="2025-05-14T16:41:00Z"/>
          <w:szCs w:val="22"/>
        </w:rPr>
      </w:pPr>
      <w:del w:id="11546" w:author="AbbVie_HU_03" w:date="2025-05-14T16:41:00Z">
        <w:r w:rsidRPr="00183B5F">
          <w:rPr>
            <w:szCs w:val="22"/>
          </w:rPr>
          <w:delText>Fontos, hogy elmondja kisbabája orvosának vagy az őt kezelő egészségügyi személyzetnek, hogy a terhessége alatt Humira</w:delText>
        </w:r>
        <w:r w:rsidR="0069092C" w:rsidRPr="00183B5F">
          <w:rPr>
            <w:szCs w:val="22"/>
          </w:rPr>
          <w:noBreakHyphen/>
        </w:r>
        <w:r w:rsidRPr="00183B5F">
          <w:rPr>
            <w:szCs w:val="22"/>
          </w:rPr>
          <w:delText>t kapott, mielőtt a kisbaba bármilyen védőoltást kapna</w:delText>
        </w:r>
        <w:r w:rsidR="00AD737C" w:rsidRPr="00183B5F">
          <w:rPr>
            <w:szCs w:val="22"/>
          </w:rPr>
          <w:delText>.</w:delText>
        </w:r>
        <w:r w:rsidRPr="00183B5F">
          <w:rPr>
            <w:szCs w:val="22"/>
          </w:rPr>
          <w:delText xml:space="preserve"> </w:delText>
        </w:r>
        <w:r w:rsidR="00AD737C" w:rsidRPr="00183B5F">
          <w:delText xml:space="preserve">A védőoltásokról további információt </w:delText>
        </w:r>
        <w:r w:rsidR="00AD737C" w:rsidRPr="00183B5F">
          <w:rPr>
            <w:szCs w:val="22"/>
          </w:rPr>
          <w:delText>talál a „Figyelmeztetések és óvintézkedések” részben</w:delText>
        </w:r>
        <w:r w:rsidR="00675575" w:rsidRPr="00183B5F">
          <w:rPr>
            <w:szCs w:val="22"/>
          </w:rPr>
          <w:delText>.</w:delText>
        </w:r>
      </w:del>
    </w:p>
    <w:p w14:paraId="1B7A17E8" w14:textId="3FD742DD" w:rsidR="00120A59" w:rsidRPr="00183B5F" w:rsidRDefault="00120A59" w:rsidP="00673483">
      <w:pPr>
        <w:spacing w:line="240" w:lineRule="auto"/>
        <w:rPr>
          <w:del w:id="11547" w:author="AbbVie_HU_03" w:date="2025-05-14T16:41:00Z"/>
          <w:szCs w:val="22"/>
        </w:rPr>
      </w:pPr>
    </w:p>
    <w:p w14:paraId="35F3E710" w14:textId="17D63BDE" w:rsidR="00120A59" w:rsidRPr="00183B5F" w:rsidRDefault="00943743" w:rsidP="00673483">
      <w:pPr>
        <w:spacing w:line="240" w:lineRule="auto"/>
        <w:ind w:right="-2"/>
        <w:rPr>
          <w:del w:id="11548" w:author="AbbVie_HU_03" w:date="2025-05-14T16:41:00Z"/>
          <w:b/>
          <w:bCs/>
          <w:szCs w:val="22"/>
        </w:rPr>
      </w:pPr>
      <w:del w:id="11549" w:author="AbbVie_HU_03" w:date="2025-05-14T16:41:00Z">
        <w:r w:rsidRPr="00183B5F">
          <w:rPr>
            <w:b/>
            <w:bCs/>
            <w:szCs w:val="22"/>
          </w:rPr>
          <w:delText xml:space="preserve">A készítmény hatásai a gépjárművezetéshez és </w:delText>
        </w:r>
        <w:r w:rsidR="00FB29DF" w:rsidRPr="00183B5F">
          <w:rPr>
            <w:b/>
            <w:bCs/>
            <w:szCs w:val="22"/>
          </w:rPr>
          <w:delText xml:space="preserve">a </w:delText>
        </w:r>
        <w:r w:rsidRPr="00183B5F">
          <w:rPr>
            <w:b/>
            <w:bCs/>
            <w:szCs w:val="22"/>
          </w:rPr>
          <w:delText>gépek kezeléséhez szükséges képességekre</w:delText>
        </w:r>
      </w:del>
    </w:p>
    <w:p w14:paraId="68F42B19" w14:textId="10C37CDB" w:rsidR="00120A59" w:rsidRPr="00183B5F" w:rsidRDefault="00120A59" w:rsidP="00673483">
      <w:pPr>
        <w:spacing w:line="240" w:lineRule="auto"/>
        <w:ind w:right="-2"/>
        <w:rPr>
          <w:del w:id="11550" w:author="AbbVie_HU_03" w:date="2025-05-14T16:41:00Z"/>
          <w:szCs w:val="22"/>
        </w:rPr>
      </w:pPr>
    </w:p>
    <w:p w14:paraId="7A265990" w14:textId="13D3C72B" w:rsidR="00120A59" w:rsidRPr="00183B5F" w:rsidRDefault="00943743" w:rsidP="00673483">
      <w:pPr>
        <w:spacing w:line="240" w:lineRule="auto"/>
        <w:rPr>
          <w:del w:id="11551" w:author="AbbVie_HU_03" w:date="2025-05-14T16:41:00Z"/>
          <w:szCs w:val="22"/>
        </w:rPr>
      </w:pPr>
      <w:del w:id="11552" w:author="AbbVie_HU_03" w:date="2025-05-14T16:41:00Z">
        <w:r w:rsidRPr="00183B5F">
          <w:rPr>
            <w:szCs w:val="22"/>
          </w:rPr>
          <w:delText xml:space="preserve">A Humira csak csekély mértékben befolyásolhatja a gépjárművezetéshez, </w:delText>
        </w:r>
        <w:r w:rsidR="00FB29DF" w:rsidRPr="00183B5F">
          <w:rPr>
            <w:szCs w:val="22"/>
          </w:rPr>
          <w:delText xml:space="preserve">kerékpározáshoz </w:delText>
        </w:r>
        <w:r w:rsidRPr="00183B5F">
          <w:rPr>
            <w:szCs w:val="22"/>
          </w:rPr>
          <w:delText xml:space="preserve">vagy a gépek </w:delText>
        </w:r>
        <w:r w:rsidRPr="00183B5F">
          <w:rPr>
            <w:noProof/>
            <w:szCs w:val="22"/>
          </w:rPr>
          <w:delText>kezeléséhez</w:delText>
        </w:r>
        <w:r w:rsidRPr="00183B5F">
          <w:rPr>
            <w:szCs w:val="22"/>
          </w:rPr>
          <w:delText xml:space="preserve"> szükséges képességeket. A Humira alkalmazását követően előfordulhat olyan érzés, mintha forogna a szoba vagy a tér, továbbá látászavar is előfordulhat.</w:delText>
        </w:r>
      </w:del>
    </w:p>
    <w:p w14:paraId="2C46D057" w14:textId="3E8C66BB" w:rsidR="00C80150" w:rsidRPr="00183B5F" w:rsidRDefault="00C80150" w:rsidP="00673483">
      <w:pPr>
        <w:spacing w:line="240" w:lineRule="auto"/>
        <w:rPr>
          <w:del w:id="11553" w:author="AbbVie_HU_03" w:date="2025-05-14T16:41:00Z"/>
          <w:szCs w:val="22"/>
        </w:rPr>
      </w:pPr>
    </w:p>
    <w:p w14:paraId="33B36A28" w14:textId="6820512B" w:rsidR="00A76815" w:rsidRPr="00183B5F" w:rsidRDefault="00943743" w:rsidP="00673483">
      <w:pPr>
        <w:spacing w:line="240" w:lineRule="auto"/>
        <w:ind w:right="-2"/>
        <w:rPr>
          <w:del w:id="11554" w:author="AbbVie_HU_03" w:date="2025-05-14T16:41:00Z"/>
          <w:b/>
          <w:szCs w:val="22"/>
        </w:rPr>
      </w:pPr>
      <w:del w:id="11555" w:author="AbbVie_HU_03" w:date="2025-05-14T16:41:00Z">
        <w:r w:rsidRPr="00183B5F">
          <w:rPr>
            <w:b/>
            <w:szCs w:val="22"/>
          </w:rPr>
          <w:delText>A Humira nátriumot tartalmaz.</w:delText>
        </w:r>
      </w:del>
    </w:p>
    <w:p w14:paraId="04FC3E20" w14:textId="3AD6CABE" w:rsidR="00A76815" w:rsidRPr="00183B5F" w:rsidRDefault="00A76815" w:rsidP="00673483">
      <w:pPr>
        <w:spacing w:line="240" w:lineRule="auto"/>
        <w:ind w:right="-2"/>
        <w:rPr>
          <w:del w:id="11556" w:author="AbbVie_HU_03" w:date="2025-05-14T16:41:00Z"/>
          <w:szCs w:val="22"/>
        </w:rPr>
      </w:pPr>
    </w:p>
    <w:p w14:paraId="5BE810F0" w14:textId="38E5A712" w:rsidR="00C80150" w:rsidRPr="00183B5F" w:rsidRDefault="00943743" w:rsidP="00673483">
      <w:pPr>
        <w:spacing w:line="240" w:lineRule="auto"/>
        <w:rPr>
          <w:del w:id="11557" w:author="AbbVie_HU_03" w:date="2025-05-14T16:41:00Z"/>
          <w:szCs w:val="22"/>
        </w:rPr>
      </w:pPr>
      <w:del w:id="11558" w:author="AbbVie_HU_03" w:date="2025-05-14T16:41:00Z">
        <w:r w:rsidRPr="00183B5F">
          <w:rPr>
            <w:szCs w:val="22"/>
          </w:rPr>
          <w:delText>A készítmény kevesebb, mint 1 mmol (23 </w:delText>
        </w:r>
        <w:r w:rsidR="00A76815" w:rsidRPr="00183B5F">
          <w:rPr>
            <w:szCs w:val="22"/>
          </w:rPr>
          <w:delText>mg) per 0,8 ml adag nátriumot tartalmaz, azaz gyakorlatilag nátriummentes.</w:delText>
        </w:r>
      </w:del>
    </w:p>
    <w:p w14:paraId="70DEB3AE" w14:textId="5D47277E" w:rsidR="00A76815" w:rsidRPr="00183B5F" w:rsidRDefault="00A76815" w:rsidP="00673483">
      <w:pPr>
        <w:spacing w:line="240" w:lineRule="auto"/>
        <w:rPr>
          <w:del w:id="11559" w:author="AbbVie_HU_03" w:date="2025-05-14T16:41:00Z"/>
          <w:szCs w:val="22"/>
        </w:rPr>
      </w:pPr>
    </w:p>
    <w:p w14:paraId="2AA01B04" w14:textId="0DC2F155" w:rsidR="00A76815" w:rsidRPr="00183B5F" w:rsidRDefault="00A76815" w:rsidP="00673483">
      <w:pPr>
        <w:spacing w:line="240" w:lineRule="auto"/>
        <w:rPr>
          <w:del w:id="11560" w:author="AbbVie_HU_03" w:date="2025-05-14T16:41:00Z"/>
          <w:szCs w:val="22"/>
        </w:rPr>
      </w:pPr>
    </w:p>
    <w:p w14:paraId="5B392538" w14:textId="48FC1FF9" w:rsidR="00B97A37" w:rsidRPr="00183B5F" w:rsidRDefault="00943743" w:rsidP="00673483">
      <w:pPr>
        <w:keepNext/>
        <w:spacing w:line="240" w:lineRule="auto"/>
        <w:ind w:left="567" w:right="-29" w:hanging="567"/>
        <w:rPr>
          <w:del w:id="11561" w:author="AbbVie_HU_03" w:date="2025-05-14T16:41:00Z"/>
          <w:b/>
          <w:szCs w:val="22"/>
        </w:rPr>
      </w:pPr>
      <w:del w:id="11562" w:author="AbbVie_HU_03" w:date="2025-05-14T16:41:00Z">
        <w:r w:rsidRPr="00183B5F">
          <w:rPr>
            <w:b/>
            <w:szCs w:val="22"/>
          </w:rPr>
          <w:delText>3.</w:delText>
        </w:r>
        <w:r w:rsidRPr="00183B5F">
          <w:rPr>
            <w:b/>
            <w:szCs w:val="22"/>
          </w:rPr>
          <w:tab/>
          <w:delText>Hogyan kell alkalmazni a Humira</w:delText>
        </w:r>
        <w:r w:rsidR="0069092C" w:rsidRPr="00183B5F">
          <w:rPr>
            <w:b/>
            <w:szCs w:val="22"/>
          </w:rPr>
          <w:noBreakHyphen/>
        </w:r>
        <w:r w:rsidRPr="00183B5F">
          <w:rPr>
            <w:b/>
            <w:szCs w:val="22"/>
          </w:rPr>
          <w:delText>t</w:delText>
        </w:r>
        <w:r w:rsidR="000C4F16" w:rsidRPr="00183B5F">
          <w:rPr>
            <w:b/>
            <w:szCs w:val="22"/>
          </w:rPr>
          <w:delText>?</w:delText>
        </w:r>
      </w:del>
    </w:p>
    <w:p w14:paraId="3A55BB19" w14:textId="0B6373AB" w:rsidR="00B97A37" w:rsidRPr="00183B5F" w:rsidRDefault="00B97A37" w:rsidP="00673483">
      <w:pPr>
        <w:keepNext/>
        <w:spacing w:line="240" w:lineRule="auto"/>
        <w:ind w:left="567" w:right="-29" w:hanging="567"/>
        <w:rPr>
          <w:del w:id="11563" w:author="AbbVie_HU_03" w:date="2025-05-14T16:41:00Z"/>
          <w:szCs w:val="22"/>
        </w:rPr>
      </w:pPr>
    </w:p>
    <w:p w14:paraId="05F77B30" w14:textId="7E23EB11" w:rsidR="00FB6710" w:rsidRPr="00183B5F" w:rsidRDefault="00943743" w:rsidP="00673483">
      <w:pPr>
        <w:tabs>
          <w:tab w:val="num" w:pos="630"/>
        </w:tabs>
        <w:spacing w:line="240" w:lineRule="auto"/>
        <w:ind w:right="-2"/>
        <w:rPr>
          <w:del w:id="11564" w:author="AbbVie_HU_03" w:date="2025-05-14T16:41:00Z"/>
          <w:szCs w:val="22"/>
        </w:rPr>
      </w:pPr>
      <w:del w:id="11565" w:author="AbbVie_HU_03" w:date="2025-05-14T16:41:00Z">
        <w:r w:rsidRPr="00183B5F">
          <w:rPr>
            <w:noProof/>
            <w:szCs w:val="24"/>
          </w:rPr>
          <w:delText>A gyógyszert</w:delText>
        </w:r>
        <w:r w:rsidRPr="00183B5F">
          <w:rPr>
            <w:szCs w:val="24"/>
          </w:rPr>
          <w:delText xml:space="preserve"> mindig </w:delText>
        </w:r>
        <w:r w:rsidR="003507D7" w:rsidRPr="00183B5F">
          <w:rPr>
            <w:szCs w:val="24"/>
          </w:rPr>
          <w:delText xml:space="preserve">a </w:delText>
        </w:r>
        <w:r w:rsidRPr="00183B5F">
          <w:rPr>
            <w:noProof/>
            <w:szCs w:val="24"/>
          </w:rPr>
          <w:delText>kezelőorvosa vagy gyógyszerésze</w:delText>
        </w:r>
        <w:r w:rsidRPr="00183B5F">
          <w:rPr>
            <w:szCs w:val="22"/>
          </w:rPr>
          <w:delText xml:space="preserve"> által elmondottaknak megfelelően alkalmazza. Amennyiben nem biztos az adagolást illetően, kérdezze meg kezelőorvosát vagy gyógyszerészét.</w:delText>
        </w:r>
        <w:r w:rsidR="00A76815" w:rsidRPr="00183B5F">
          <w:rPr>
            <w:szCs w:val="22"/>
          </w:rPr>
          <w:delText xml:space="preserve"> </w:delText>
        </w:r>
        <w:r w:rsidR="00A76815" w:rsidRPr="00183B5F">
          <w:delText>Kezelőorvosa más hatáserősségű Humira</w:delText>
        </w:r>
        <w:r w:rsidR="00A76815" w:rsidRPr="00183B5F">
          <w:noBreakHyphen/>
          <w:delText xml:space="preserve">t is felírhat, ha gyermekének </w:delText>
        </w:r>
        <w:r w:rsidR="00524F71" w:rsidRPr="00183B5F">
          <w:delText>más</w:delText>
        </w:r>
        <w:r w:rsidR="00A76815" w:rsidRPr="00183B5F">
          <w:delText xml:space="preserve"> dózisra van szüksége.</w:delText>
        </w:r>
      </w:del>
    </w:p>
    <w:p w14:paraId="023D9065" w14:textId="42FDDCB1" w:rsidR="00FB6710" w:rsidRPr="00183B5F" w:rsidRDefault="00FB6710" w:rsidP="00673483">
      <w:pPr>
        <w:spacing w:line="240" w:lineRule="auto"/>
        <w:ind w:right="-2"/>
        <w:rPr>
          <w:del w:id="11566" w:author="AbbVie_HU_03" w:date="2025-05-14T16:41:00Z"/>
          <w:szCs w:val="22"/>
        </w:rPr>
      </w:pPr>
    </w:p>
    <w:p w14:paraId="0ED92FC3" w14:textId="10909776" w:rsidR="002822F4" w:rsidRPr="00183B5F" w:rsidRDefault="00943743" w:rsidP="00673483">
      <w:pPr>
        <w:keepNext/>
        <w:spacing w:line="240" w:lineRule="auto"/>
        <w:rPr>
          <w:del w:id="11567" w:author="AbbVie_HU_03" w:date="2025-05-14T16:41:00Z"/>
          <w:szCs w:val="22"/>
          <w:u w:val="single"/>
        </w:rPr>
      </w:pPr>
      <w:del w:id="11568" w:author="AbbVie_HU_03" w:date="2025-05-14T16:41:00Z">
        <w:r w:rsidRPr="00183B5F">
          <w:rPr>
            <w:szCs w:val="22"/>
            <w:u w:val="single"/>
          </w:rPr>
          <w:delText xml:space="preserve">Reumatoid artritiszben, spondilitisz ankilopoetikában, </w:delText>
        </w:r>
        <w:r w:rsidR="00B97A37" w:rsidRPr="00183B5F">
          <w:rPr>
            <w:szCs w:val="22"/>
            <w:u w:val="single"/>
          </w:rPr>
          <w:delText>spondilitisz ankilopoetiká</w:delText>
        </w:r>
        <w:r w:rsidRPr="00183B5F">
          <w:rPr>
            <w:szCs w:val="22"/>
            <w:u w:val="single"/>
          </w:rPr>
          <w:delText>ra jellemző röntgeneltérést nem mutató gerincízületi gyulladásban (axiális spondiloartritiszben) és pszoriázisos artritiszben szenvedő felnőttek</w:delText>
        </w:r>
      </w:del>
    </w:p>
    <w:p w14:paraId="3D0A00BE" w14:textId="160F431E" w:rsidR="002822F4" w:rsidRPr="00183B5F" w:rsidRDefault="002822F4" w:rsidP="00673483">
      <w:pPr>
        <w:keepNext/>
        <w:spacing w:line="240" w:lineRule="auto"/>
        <w:rPr>
          <w:del w:id="11569" w:author="AbbVie_HU_03" w:date="2025-05-14T16:41:00Z"/>
          <w:szCs w:val="22"/>
        </w:rPr>
      </w:pPr>
    </w:p>
    <w:p w14:paraId="43CB4CA5" w14:textId="7ECFC17A" w:rsidR="00FB6710" w:rsidRPr="00183B5F" w:rsidRDefault="00943743" w:rsidP="00673483">
      <w:pPr>
        <w:keepNext/>
        <w:spacing w:line="240" w:lineRule="auto"/>
        <w:rPr>
          <w:del w:id="11570" w:author="AbbVie_HU_03" w:date="2025-05-14T16:41:00Z"/>
          <w:szCs w:val="22"/>
        </w:rPr>
      </w:pPr>
      <w:del w:id="11571" w:author="AbbVie_HU_03" w:date="2025-05-14T16:41:00Z">
        <w:r w:rsidRPr="00183B5F">
          <w:rPr>
            <w:szCs w:val="22"/>
          </w:rPr>
          <w:delText>A Humira</w:delText>
        </w:r>
        <w:r w:rsidR="0069092C" w:rsidRPr="00183B5F">
          <w:rPr>
            <w:szCs w:val="22"/>
          </w:rPr>
          <w:noBreakHyphen/>
        </w:r>
        <w:r w:rsidRPr="00183B5F">
          <w:rPr>
            <w:szCs w:val="22"/>
          </w:rPr>
          <w:delText>t a bőr alá (szubkután) kell beadni. A készítmény szokásos adagja reumatoid artritiszben, spondilitisz ankilopoetikában</w:delText>
        </w:r>
        <w:r w:rsidR="001905BF" w:rsidRPr="00183B5F">
          <w:rPr>
            <w:szCs w:val="22"/>
          </w:rPr>
          <w:delText xml:space="preserve">, </w:delText>
        </w:r>
        <w:r w:rsidR="00B97A37" w:rsidRPr="00183B5F">
          <w:rPr>
            <w:szCs w:val="22"/>
          </w:rPr>
          <w:delText>spondilitisz ankilopoetiká</w:delText>
        </w:r>
        <w:r w:rsidR="00B348C2" w:rsidRPr="00183B5F">
          <w:rPr>
            <w:szCs w:val="22"/>
          </w:rPr>
          <w:delText>ra jellemző röntgeneltérést nem mutató gerincízületi gyulladásban (axiális spondiloartritiszben)</w:delText>
        </w:r>
        <w:r w:rsidR="002A795F" w:rsidRPr="00183B5F">
          <w:rPr>
            <w:szCs w:val="22"/>
          </w:rPr>
          <w:delText xml:space="preserve"> és pszoriázisos artritiszben</w:delText>
        </w:r>
        <w:r w:rsidRPr="00183B5F">
          <w:rPr>
            <w:szCs w:val="22"/>
          </w:rPr>
          <w:delText xml:space="preserve"> szenvedő felnőttek részére 40 mg adalimumab kéthe</w:delText>
        </w:r>
        <w:r w:rsidR="00140723" w:rsidRPr="00183B5F">
          <w:rPr>
            <w:szCs w:val="22"/>
          </w:rPr>
          <w:delText>tenként egy adagban alkalmazva.</w:delText>
        </w:r>
      </w:del>
    </w:p>
    <w:p w14:paraId="694824B0" w14:textId="033E4E60" w:rsidR="00FB6710" w:rsidRPr="00183B5F" w:rsidRDefault="00FB6710" w:rsidP="00673483">
      <w:pPr>
        <w:spacing w:line="240" w:lineRule="auto"/>
        <w:ind w:right="-2"/>
        <w:rPr>
          <w:del w:id="11572" w:author="AbbVie_HU_03" w:date="2025-05-14T16:41:00Z"/>
          <w:szCs w:val="22"/>
        </w:rPr>
      </w:pPr>
    </w:p>
    <w:p w14:paraId="0FB47079" w14:textId="6EC4E2CD" w:rsidR="00FB6710" w:rsidRPr="00183B5F" w:rsidRDefault="00943743" w:rsidP="00673483">
      <w:pPr>
        <w:spacing w:line="240" w:lineRule="auto"/>
        <w:ind w:right="-2"/>
        <w:rPr>
          <w:del w:id="11573" w:author="AbbVie_HU_03" w:date="2025-05-14T16:41:00Z"/>
          <w:szCs w:val="22"/>
        </w:rPr>
      </w:pPr>
      <w:del w:id="11574" w:author="AbbVie_HU_03" w:date="2025-05-14T16:41:00Z">
        <w:r w:rsidRPr="00183B5F">
          <w:rPr>
            <w:szCs w:val="22"/>
          </w:rPr>
          <w:delText xml:space="preserve">Reumatoid artritiszben a Humira alkalmazása során a </w:delText>
        </w:r>
        <w:r w:rsidR="001A6E66" w:rsidRPr="00183B5F">
          <w:rPr>
            <w:szCs w:val="22"/>
          </w:rPr>
          <w:delText>metotrexát-keze</w:delText>
        </w:r>
        <w:r w:rsidRPr="00183B5F">
          <w:rPr>
            <w:szCs w:val="22"/>
          </w:rPr>
          <w:delText>lést folytatni kell. Amennyiben az Ön kezelőorvosa a metotrexát adását szükségtelennek tartja, abban az esetben a Humira önállóan alkalmazható.</w:delText>
        </w:r>
      </w:del>
    </w:p>
    <w:p w14:paraId="184B8117" w14:textId="123DD1EE" w:rsidR="00FB6710" w:rsidRPr="00183B5F" w:rsidRDefault="00FB6710" w:rsidP="00673483">
      <w:pPr>
        <w:spacing w:line="240" w:lineRule="auto"/>
        <w:ind w:right="-2"/>
        <w:rPr>
          <w:del w:id="11575" w:author="AbbVie_HU_03" w:date="2025-05-14T16:41:00Z"/>
          <w:szCs w:val="22"/>
        </w:rPr>
      </w:pPr>
    </w:p>
    <w:p w14:paraId="23A40C80" w14:textId="1941EE3F" w:rsidR="00FB6710" w:rsidRPr="00183B5F" w:rsidRDefault="00943743" w:rsidP="00673483">
      <w:pPr>
        <w:spacing w:line="240" w:lineRule="auto"/>
        <w:ind w:right="-2"/>
        <w:rPr>
          <w:del w:id="11576" w:author="AbbVie_HU_03" w:date="2025-05-14T16:41:00Z"/>
          <w:szCs w:val="22"/>
        </w:rPr>
      </w:pPr>
      <w:del w:id="11577" w:author="AbbVie_HU_03" w:date="2025-05-14T16:41:00Z">
        <w:r w:rsidRPr="00183B5F">
          <w:rPr>
            <w:szCs w:val="22"/>
          </w:rPr>
          <w:delText xml:space="preserve">Ha Önnek reumatoid artritisze van és a Humira alkalmazása során nem kap </w:delText>
        </w:r>
        <w:r w:rsidR="001A6E66" w:rsidRPr="00183B5F">
          <w:rPr>
            <w:szCs w:val="22"/>
          </w:rPr>
          <w:delText>metotrexát-keze</w:delText>
        </w:r>
        <w:r w:rsidRPr="00183B5F">
          <w:rPr>
            <w:szCs w:val="22"/>
          </w:rPr>
          <w:delText xml:space="preserve">lést, abban az esetben kezelőorvosa </w:delText>
        </w:r>
        <w:r w:rsidR="00800BE5" w:rsidRPr="00183B5F">
          <w:rPr>
            <w:szCs w:val="22"/>
          </w:rPr>
          <w:delText xml:space="preserve">hetente 40 mg vagy kéthetente 80 mg </w:delText>
        </w:r>
        <w:r w:rsidRPr="00183B5F">
          <w:rPr>
            <w:szCs w:val="22"/>
          </w:rPr>
          <w:delText>adalimumab</w:delText>
        </w:r>
        <w:r w:rsidR="00FD5818" w:rsidRPr="00183B5F">
          <w:rPr>
            <w:szCs w:val="22"/>
          </w:rPr>
          <w:delText xml:space="preserve"> </w:delText>
        </w:r>
        <w:r w:rsidRPr="00183B5F">
          <w:rPr>
            <w:szCs w:val="22"/>
          </w:rPr>
          <w:delText>adása mellett dönthet.</w:delText>
        </w:r>
      </w:del>
    </w:p>
    <w:p w14:paraId="6780465E" w14:textId="115DB411" w:rsidR="00FB6710" w:rsidRPr="00183B5F" w:rsidRDefault="00FB6710" w:rsidP="00673483">
      <w:pPr>
        <w:spacing w:line="240" w:lineRule="auto"/>
        <w:ind w:right="-2"/>
        <w:rPr>
          <w:del w:id="11578" w:author="AbbVie_HU_03" w:date="2025-05-14T16:41:00Z"/>
          <w:szCs w:val="22"/>
        </w:rPr>
      </w:pPr>
    </w:p>
    <w:p w14:paraId="3F186302" w14:textId="4F805CF7" w:rsidR="002822F4" w:rsidRPr="00183B5F" w:rsidRDefault="00943743" w:rsidP="00673483">
      <w:pPr>
        <w:keepNext/>
        <w:spacing w:line="240" w:lineRule="auto"/>
        <w:rPr>
          <w:del w:id="11579" w:author="AbbVie_HU_03" w:date="2025-05-14T16:41:00Z"/>
          <w:szCs w:val="22"/>
          <w:u w:val="single"/>
        </w:rPr>
      </w:pPr>
      <w:del w:id="11580" w:author="AbbVie_HU_03" w:date="2025-05-14T16:41:00Z">
        <w:r w:rsidRPr="00183B5F">
          <w:rPr>
            <w:szCs w:val="22"/>
            <w:u w:val="single"/>
          </w:rPr>
          <w:delText>Ismeretlen eredetű sokízületi gyulladásban szenvedő gyermekek</w:delText>
        </w:r>
        <w:r w:rsidR="00A76815" w:rsidRPr="00183B5F">
          <w:rPr>
            <w:szCs w:val="22"/>
            <w:u w:val="single"/>
          </w:rPr>
          <w:delText xml:space="preserve"> és serdülők</w:delText>
        </w:r>
      </w:del>
    </w:p>
    <w:p w14:paraId="259B1BEB" w14:textId="0A7B4F31" w:rsidR="002822F4" w:rsidRPr="00183B5F" w:rsidRDefault="002822F4" w:rsidP="00673483">
      <w:pPr>
        <w:keepNext/>
        <w:spacing w:line="240" w:lineRule="auto"/>
        <w:rPr>
          <w:del w:id="11581" w:author="AbbVie_HU_03" w:date="2025-05-14T16:41:00Z"/>
          <w:szCs w:val="22"/>
        </w:rPr>
      </w:pPr>
    </w:p>
    <w:p w14:paraId="4A8AD831" w14:textId="5A2DB87D" w:rsidR="00A76815" w:rsidRPr="00183B5F" w:rsidRDefault="00943743" w:rsidP="00673483">
      <w:pPr>
        <w:keepNext/>
        <w:numPr>
          <w:ilvl w:val="12"/>
          <w:numId w:val="0"/>
        </w:numPr>
        <w:spacing w:line="240" w:lineRule="auto"/>
        <w:rPr>
          <w:del w:id="11582" w:author="AbbVie_HU_03" w:date="2025-05-14T16:41:00Z"/>
          <w:i/>
        </w:rPr>
      </w:pPr>
      <w:del w:id="11583" w:author="AbbVie_HU_03" w:date="2025-05-14T16:41:00Z">
        <w:r w:rsidRPr="00183B5F">
          <w:rPr>
            <w:i/>
          </w:rPr>
          <w:delText>2 évesnél idősebb, 10</w:delText>
        </w:r>
        <w:r w:rsidR="00127FA5" w:rsidRPr="00183B5F">
          <w:rPr>
            <w:i/>
          </w:rPr>
          <w:delText> kg</w:delText>
        </w:r>
        <w:r w:rsidRPr="00183B5F">
          <w:rPr>
            <w:i/>
          </w:rPr>
          <w:delText>-</w:delText>
        </w:r>
        <w:r w:rsidR="00194670" w:rsidRPr="00183B5F">
          <w:rPr>
            <w:i/>
          </w:rPr>
          <w:delText>nál nagyobb, de</w:delText>
        </w:r>
        <w:r w:rsidR="00127FA5" w:rsidRPr="00183B5F">
          <w:rPr>
            <w:i/>
          </w:rPr>
          <w:delText xml:space="preserve"> </w:delText>
        </w:r>
        <w:r w:rsidRPr="00183B5F">
          <w:rPr>
            <w:i/>
          </w:rPr>
          <w:delText>30 kg</w:delText>
        </w:r>
        <w:r w:rsidR="00194670" w:rsidRPr="00183B5F">
          <w:rPr>
            <w:i/>
          </w:rPr>
          <w:noBreakHyphen/>
          <w:delText>nál kisebb</w:delText>
        </w:r>
        <w:r w:rsidRPr="00183B5F">
          <w:rPr>
            <w:i/>
          </w:rPr>
          <w:delText xml:space="preserve"> testtömegű gyermekek és serdülők</w:delText>
        </w:r>
      </w:del>
    </w:p>
    <w:p w14:paraId="4B94B720" w14:textId="270B8B39" w:rsidR="00A76815" w:rsidRPr="00183B5F" w:rsidRDefault="00A76815" w:rsidP="00673483">
      <w:pPr>
        <w:keepNext/>
        <w:numPr>
          <w:ilvl w:val="12"/>
          <w:numId w:val="0"/>
        </w:numPr>
        <w:spacing w:line="240" w:lineRule="auto"/>
        <w:rPr>
          <w:del w:id="11584" w:author="AbbVie_HU_03" w:date="2025-05-14T16:41:00Z"/>
          <w:i/>
        </w:rPr>
      </w:pPr>
    </w:p>
    <w:p w14:paraId="234232F9" w14:textId="7E3B0863" w:rsidR="00A76815" w:rsidRPr="00183B5F" w:rsidRDefault="00943743" w:rsidP="00673483">
      <w:pPr>
        <w:keepNext/>
        <w:numPr>
          <w:ilvl w:val="12"/>
          <w:numId w:val="0"/>
        </w:numPr>
        <w:spacing w:line="240" w:lineRule="auto"/>
        <w:rPr>
          <w:del w:id="11585" w:author="AbbVie_HU_03" w:date="2025-05-14T16:41:00Z"/>
        </w:rPr>
      </w:pPr>
      <w:del w:id="11586" w:author="AbbVie_HU_03" w:date="2025-05-14T16:41:00Z">
        <w:r w:rsidRPr="00183B5F">
          <w:delText>A Humira ajánlott adagja 20 mg minden második héten.</w:delText>
        </w:r>
      </w:del>
    </w:p>
    <w:p w14:paraId="3DAA46F6" w14:textId="39BDAEF5" w:rsidR="00A76815" w:rsidRPr="00183B5F" w:rsidRDefault="00A76815" w:rsidP="00673483">
      <w:pPr>
        <w:keepNext/>
        <w:numPr>
          <w:ilvl w:val="12"/>
          <w:numId w:val="0"/>
        </w:numPr>
        <w:spacing w:line="240" w:lineRule="auto"/>
        <w:rPr>
          <w:del w:id="11587" w:author="AbbVie_HU_03" w:date="2025-05-14T16:41:00Z"/>
        </w:rPr>
      </w:pPr>
    </w:p>
    <w:p w14:paraId="4871104D" w14:textId="0A2E4FEB" w:rsidR="00A76815" w:rsidRPr="00183B5F" w:rsidRDefault="00943743" w:rsidP="00673483">
      <w:pPr>
        <w:keepNext/>
        <w:numPr>
          <w:ilvl w:val="12"/>
          <w:numId w:val="0"/>
        </w:numPr>
        <w:spacing w:line="240" w:lineRule="auto"/>
        <w:rPr>
          <w:del w:id="11588" w:author="AbbVie_HU_03" w:date="2025-05-14T16:41:00Z"/>
          <w:i/>
        </w:rPr>
      </w:pPr>
      <w:del w:id="11589" w:author="AbbVie_HU_03" w:date="2025-05-14T16:41:00Z">
        <w:r w:rsidRPr="00183B5F">
          <w:rPr>
            <w:i/>
          </w:rPr>
          <w:delText>2 évesnél idősebb, 30 kg vagy annál nagyobb testtömegű gyermekek és serdülők</w:delText>
        </w:r>
      </w:del>
    </w:p>
    <w:p w14:paraId="348B3802" w14:textId="2DBCA471" w:rsidR="00A76815" w:rsidRPr="00183B5F" w:rsidRDefault="00A76815" w:rsidP="00673483">
      <w:pPr>
        <w:keepNext/>
        <w:numPr>
          <w:ilvl w:val="12"/>
          <w:numId w:val="0"/>
        </w:numPr>
        <w:spacing w:line="240" w:lineRule="auto"/>
        <w:rPr>
          <w:del w:id="11590" w:author="AbbVie_HU_03" w:date="2025-05-14T16:41:00Z"/>
          <w:i/>
        </w:rPr>
      </w:pPr>
    </w:p>
    <w:p w14:paraId="5BF07CFE" w14:textId="699117A1" w:rsidR="00A76815" w:rsidRPr="00183B5F" w:rsidRDefault="00943743" w:rsidP="00673483">
      <w:pPr>
        <w:keepNext/>
        <w:numPr>
          <w:ilvl w:val="12"/>
          <w:numId w:val="0"/>
        </w:numPr>
        <w:spacing w:line="240" w:lineRule="auto"/>
        <w:rPr>
          <w:del w:id="11591" w:author="AbbVie_HU_03" w:date="2025-05-14T16:41:00Z"/>
          <w:i/>
        </w:rPr>
      </w:pPr>
      <w:del w:id="11592" w:author="AbbVie_HU_03" w:date="2025-05-14T16:41:00Z">
        <w:r w:rsidRPr="00183B5F">
          <w:delText>A Humira ajánlott adagja 40 mg minden második héten.</w:delText>
        </w:r>
      </w:del>
    </w:p>
    <w:p w14:paraId="33F7F511" w14:textId="7E446AAE" w:rsidR="00756274" w:rsidRPr="00183B5F" w:rsidRDefault="00756274" w:rsidP="00673483">
      <w:pPr>
        <w:spacing w:line="240" w:lineRule="auto"/>
        <w:ind w:right="-2"/>
        <w:rPr>
          <w:del w:id="11593" w:author="AbbVie_HU_03" w:date="2025-05-14T16:41:00Z"/>
          <w:szCs w:val="22"/>
        </w:rPr>
      </w:pPr>
    </w:p>
    <w:p w14:paraId="4A814A04" w14:textId="6C39834B" w:rsidR="007C024F" w:rsidRPr="00183B5F" w:rsidRDefault="00943743" w:rsidP="00673483">
      <w:pPr>
        <w:numPr>
          <w:ilvl w:val="12"/>
          <w:numId w:val="0"/>
        </w:numPr>
        <w:spacing w:line="240" w:lineRule="auto"/>
        <w:ind w:right="-2"/>
        <w:rPr>
          <w:del w:id="11594" w:author="AbbVie_HU_03" w:date="2025-05-14T16:41:00Z"/>
          <w:szCs w:val="22"/>
          <w:u w:val="single"/>
        </w:rPr>
      </w:pPr>
      <w:del w:id="11595" w:author="AbbVie_HU_03" w:date="2025-05-14T16:41:00Z">
        <w:r w:rsidRPr="00183B5F">
          <w:rPr>
            <w:szCs w:val="22"/>
            <w:u w:val="single"/>
          </w:rPr>
          <w:delText xml:space="preserve">Az </w:delText>
        </w:r>
        <w:r w:rsidR="00E3515C" w:rsidRPr="00183B5F">
          <w:rPr>
            <w:szCs w:val="22"/>
            <w:u w:val="single"/>
          </w:rPr>
          <w:delText>i</w:delText>
        </w:r>
        <w:r w:rsidRPr="00183B5F">
          <w:rPr>
            <w:szCs w:val="22"/>
            <w:u w:val="single"/>
          </w:rPr>
          <w:delText>n</w:delText>
        </w:r>
        <w:r w:rsidR="0069092C" w:rsidRPr="00183B5F">
          <w:rPr>
            <w:szCs w:val="22"/>
            <w:u w:val="single"/>
          </w:rPr>
          <w:delText xml:space="preserve">ak </w:delText>
        </w:r>
        <w:r w:rsidRPr="00183B5F">
          <w:rPr>
            <w:szCs w:val="22"/>
            <w:u w:val="single"/>
          </w:rPr>
          <w:delText>tapadási hely</w:delText>
        </w:r>
        <w:r w:rsidR="00E3515C" w:rsidRPr="00183B5F">
          <w:rPr>
            <w:szCs w:val="22"/>
            <w:u w:val="single"/>
          </w:rPr>
          <w:delText>é</w:delText>
        </w:r>
        <w:r w:rsidR="0069092C" w:rsidRPr="00183B5F">
          <w:rPr>
            <w:szCs w:val="22"/>
            <w:u w:val="single"/>
          </w:rPr>
          <w:delText>ne</w:delText>
        </w:r>
        <w:r w:rsidRPr="00183B5F">
          <w:rPr>
            <w:szCs w:val="22"/>
            <w:u w:val="single"/>
          </w:rPr>
          <w:delText>k gyulladásos elváltozásával társult reumás ízületi gyulladásban szenvedő gyermekek</w:delText>
        </w:r>
        <w:r w:rsidR="00580E46" w:rsidRPr="00183B5F">
          <w:rPr>
            <w:szCs w:val="22"/>
            <w:u w:val="single"/>
          </w:rPr>
          <w:delText>, serdülők és felnőttek</w:delText>
        </w:r>
      </w:del>
    </w:p>
    <w:p w14:paraId="5D01682C" w14:textId="756ED1F9" w:rsidR="007C024F" w:rsidRPr="00183B5F" w:rsidRDefault="007C024F" w:rsidP="00673483">
      <w:pPr>
        <w:numPr>
          <w:ilvl w:val="12"/>
          <w:numId w:val="0"/>
        </w:numPr>
        <w:spacing w:line="240" w:lineRule="auto"/>
        <w:ind w:right="-2"/>
        <w:rPr>
          <w:del w:id="11596" w:author="AbbVie_HU_03" w:date="2025-05-14T16:41:00Z"/>
          <w:szCs w:val="22"/>
        </w:rPr>
      </w:pPr>
    </w:p>
    <w:p w14:paraId="1A064F55" w14:textId="420B3566" w:rsidR="00580E46" w:rsidRPr="00183B5F" w:rsidRDefault="00943743" w:rsidP="00673483">
      <w:pPr>
        <w:spacing w:line="240" w:lineRule="auto"/>
        <w:ind w:right="-2"/>
        <w:rPr>
          <w:del w:id="11597" w:author="AbbVie_HU_03" w:date="2025-05-14T16:41:00Z"/>
          <w:i/>
        </w:rPr>
      </w:pPr>
      <w:del w:id="11598" w:author="AbbVie_HU_03" w:date="2025-05-14T16:41:00Z">
        <w:r w:rsidRPr="00183B5F">
          <w:rPr>
            <w:i/>
          </w:rPr>
          <w:delText>6 évesnél idősebb, 15</w:delText>
        </w:r>
        <w:r w:rsidR="00127FA5" w:rsidRPr="00183B5F">
          <w:rPr>
            <w:i/>
          </w:rPr>
          <w:delText> kg</w:delText>
        </w:r>
        <w:r w:rsidRPr="00183B5F">
          <w:rPr>
            <w:i/>
          </w:rPr>
          <w:delText>-</w:delText>
        </w:r>
        <w:r w:rsidR="00194670" w:rsidRPr="00183B5F">
          <w:rPr>
            <w:i/>
          </w:rPr>
          <w:delText>nál nagyobb, de</w:delText>
        </w:r>
        <w:r w:rsidR="00127FA5" w:rsidRPr="00183B5F">
          <w:rPr>
            <w:i/>
          </w:rPr>
          <w:delText xml:space="preserve"> </w:delText>
        </w:r>
        <w:r w:rsidRPr="00183B5F">
          <w:rPr>
            <w:i/>
          </w:rPr>
          <w:delText>30 kg</w:delText>
        </w:r>
        <w:r w:rsidR="00194670" w:rsidRPr="00183B5F">
          <w:rPr>
            <w:i/>
          </w:rPr>
          <w:noBreakHyphen/>
          <w:delText>nál kisebb</w:delText>
        </w:r>
        <w:r w:rsidRPr="00183B5F">
          <w:rPr>
            <w:i/>
          </w:rPr>
          <w:delText xml:space="preserve"> testtömegű gyermekek és serdülők</w:delText>
        </w:r>
      </w:del>
    </w:p>
    <w:p w14:paraId="7F1E2034" w14:textId="430C7056" w:rsidR="00580E46" w:rsidRPr="00183B5F" w:rsidRDefault="00580E46" w:rsidP="00673483">
      <w:pPr>
        <w:spacing w:line="240" w:lineRule="auto"/>
        <w:ind w:right="-2"/>
        <w:rPr>
          <w:del w:id="11599" w:author="AbbVie_HU_03" w:date="2025-05-14T16:41:00Z"/>
          <w:i/>
        </w:rPr>
      </w:pPr>
    </w:p>
    <w:p w14:paraId="41C6712A" w14:textId="26452ED3" w:rsidR="00580E46" w:rsidRPr="00183B5F" w:rsidRDefault="00943743" w:rsidP="00673483">
      <w:pPr>
        <w:keepNext/>
        <w:numPr>
          <w:ilvl w:val="12"/>
          <w:numId w:val="0"/>
        </w:numPr>
        <w:spacing w:line="240" w:lineRule="auto"/>
        <w:rPr>
          <w:del w:id="11600" w:author="AbbVie_HU_03" w:date="2025-05-14T16:41:00Z"/>
        </w:rPr>
      </w:pPr>
      <w:del w:id="11601" w:author="AbbVie_HU_03" w:date="2025-05-14T16:41:00Z">
        <w:r w:rsidRPr="00183B5F">
          <w:delText>A Humira ajánlott adagja 20 mg minden második héten.</w:delText>
        </w:r>
      </w:del>
    </w:p>
    <w:p w14:paraId="74F01EEA" w14:textId="4722152A" w:rsidR="00580E46" w:rsidRPr="00183B5F" w:rsidRDefault="00580E46" w:rsidP="00673483">
      <w:pPr>
        <w:spacing w:line="240" w:lineRule="auto"/>
        <w:ind w:right="-2"/>
        <w:rPr>
          <w:del w:id="11602" w:author="AbbVie_HU_03" w:date="2025-05-14T16:41:00Z"/>
          <w:i/>
        </w:rPr>
      </w:pPr>
    </w:p>
    <w:p w14:paraId="3ADEDBDD" w14:textId="790844C2" w:rsidR="00580E46" w:rsidRPr="00183B5F" w:rsidRDefault="00943743" w:rsidP="00673483">
      <w:pPr>
        <w:keepNext/>
        <w:numPr>
          <w:ilvl w:val="12"/>
          <w:numId w:val="0"/>
        </w:numPr>
        <w:spacing w:line="240" w:lineRule="auto"/>
        <w:rPr>
          <w:del w:id="11603" w:author="AbbVie_HU_03" w:date="2025-05-14T16:41:00Z"/>
          <w:i/>
        </w:rPr>
      </w:pPr>
      <w:del w:id="11604" w:author="AbbVie_HU_03" w:date="2025-05-14T16:41:00Z">
        <w:r w:rsidRPr="00183B5F">
          <w:rPr>
            <w:i/>
          </w:rPr>
          <w:delText>6 évesnél idősebb, 30 kg vagy annál nagyobb testtömegű gyermekek és serdülők</w:delText>
        </w:r>
      </w:del>
    </w:p>
    <w:p w14:paraId="12A573A5" w14:textId="4D42AF87" w:rsidR="00580E46" w:rsidRPr="00183B5F" w:rsidRDefault="00580E46" w:rsidP="00673483">
      <w:pPr>
        <w:spacing w:line="240" w:lineRule="auto"/>
        <w:ind w:right="-2"/>
        <w:rPr>
          <w:del w:id="11605" w:author="AbbVie_HU_03" w:date="2025-05-14T16:41:00Z"/>
          <w:i/>
        </w:rPr>
      </w:pPr>
    </w:p>
    <w:p w14:paraId="705249EB" w14:textId="547FDD5C" w:rsidR="00580E46" w:rsidRPr="00183B5F" w:rsidRDefault="00943743" w:rsidP="00673483">
      <w:pPr>
        <w:keepNext/>
        <w:numPr>
          <w:ilvl w:val="12"/>
          <w:numId w:val="0"/>
        </w:numPr>
        <w:spacing w:line="240" w:lineRule="auto"/>
        <w:rPr>
          <w:del w:id="11606" w:author="AbbVie_HU_03" w:date="2025-05-14T16:41:00Z"/>
          <w:i/>
        </w:rPr>
      </w:pPr>
      <w:del w:id="11607" w:author="AbbVie_HU_03" w:date="2025-05-14T16:41:00Z">
        <w:r w:rsidRPr="00183B5F">
          <w:delText>A Humira ajánlott adagja 40 mg minden második héten.</w:delText>
        </w:r>
      </w:del>
    </w:p>
    <w:p w14:paraId="1FEAB96E" w14:textId="485BF181" w:rsidR="007C024F" w:rsidRPr="00183B5F" w:rsidRDefault="007C024F" w:rsidP="00673483">
      <w:pPr>
        <w:spacing w:line="240" w:lineRule="auto"/>
        <w:ind w:right="-2"/>
        <w:rPr>
          <w:del w:id="11608" w:author="AbbVie_HU_03" w:date="2025-05-14T16:41:00Z"/>
          <w:szCs w:val="22"/>
        </w:rPr>
      </w:pPr>
    </w:p>
    <w:p w14:paraId="0AD86A96" w14:textId="3FAC78D3" w:rsidR="002822F4" w:rsidRPr="00183B5F" w:rsidRDefault="00943743" w:rsidP="00673483">
      <w:pPr>
        <w:keepNext/>
        <w:spacing w:line="240" w:lineRule="auto"/>
        <w:rPr>
          <w:del w:id="11609" w:author="AbbVie_HU_03" w:date="2025-05-14T16:41:00Z"/>
          <w:szCs w:val="22"/>
          <w:u w:val="single"/>
        </w:rPr>
      </w:pPr>
      <w:del w:id="11610" w:author="AbbVie_HU_03" w:date="2025-05-14T16:41:00Z">
        <w:r w:rsidRPr="00183B5F">
          <w:rPr>
            <w:szCs w:val="22"/>
            <w:u w:val="single"/>
          </w:rPr>
          <w:delText>Pikkelysömörben szenvedő felnőttek</w:delText>
        </w:r>
      </w:del>
    </w:p>
    <w:p w14:paraId="2B7DA3C2" w14:textId="56A41F1A" w:rsidR="002822F4" w:rsidRPr="00183B5F" w:rsidRDefault="002822F4" w:rsidP="00673483">
      <w:pPr>
        <w:keepNext/>
        <w:spacing w:line="240" w:lineRule="auto"/>
        <w:rPr>
          <w:del w:id="11611" w:author="AbbVie_HU_03" w:date="2025-05-14T16:41:00Z"/>
          <w:szCs w:val="22"/>
        </w:rPr>
      </w:pPr>
    </w:p>
    <w:p w14:paraId="0E0003D9" w14:textId="493C5019" w:rsidR="002A795F" w:rsidRPr="00183B5F" w:rsidRDefault="00943743" w:rsidP="00673483">
      <w:pPr>
        <w:keepNext/>
        <w:spacing w:line="240" w:lineRule="auto"/>
        <w:rPr>
          <w:del w:id="11612" w:author="AbbVie_HU_03" w:date="2025-05-14T16:41:00Z"/>
          <w:szCs w:val="22"/>
        </w:rPr>
      </w:pPr>
      <w:del w:id="11613" w:author="AbbVie_HU_03" w:date="2025-05-14T16:41:00Z">
        <w:r w:rsidRPr="00183B5F">
          <w:rPr>
            <w:szCs w:val="22"/>
          </w:rPr>
          <w:delText>A pikkelysömörben szenvedő felnőttek szokásos kezdő adagja 80 mg</w:delText>
        </w:r>
        <w:r w:rsidR="00580E46" w:rsidRPr="00183B5F">
          <w:rPr>
            <w:szCs w:val="22"/>
          </w:rPr>
          <w:delText xml:space="preserve"> (két</w:delText>
        </w:r>
        <w:r w:rsidR="00FD5818" w:rsidRPr="00183B5F">
          <w:rPr>
            <w:szCs w:val="22"/>
          </w:rPr>
          <w:delText xml:space="preserve"> 40 mg</w:delText>
        </w:r>
        <w:r w:rsidR="00E5381A" w:rsidRPr="00183B5F">
          <w:rPr>
            <w:szCs w:val="22"/>
          </w:rPr>
          <w:noBreakHyphen/>
        </w:r>
        <w:r w:rsidR="00FD5818" w:rsidRPr="00183B5F">
          <w:rPr>
            <w:szCs w:val="22"/>
          </w:rPr>
          <w:delText>os</w:delText>
        </w:r>
        <w:r w:rsidR="00580E46" w:rsidRPr="00183B5F">
          <w:rPr>
            <w:szCs w:val="22"/>
          </w:rPr>
          <w:delText xml:space="preserve"> injekció egy napon)</w:delText>
        </w:r>
        <w:r w:rsidRPr="00183B5F">
          <w:rPr>
            <w:szCs w:val="22"/>
          </w:rPr>
          <w:delText>, amelyet minden második</w:delText>
        </w:r>
        <w:r w:rsidR="00557871" w:rsidRPr="00183B5F">
          <w:rPr>
            <w:szCs w:val="22"/>
          </w:rPr>
          <w:delText xml:space="preserve"> </w:delText>
        </w:r>
        <w:r w:rsidR="00A44DB6" w:rsidRPr="00183B5F">
          <w:rPr>
            <w:szCs w:val="22"/>
          </w:rPr>
          <w:delText>hét</w:delText>
        </w:r>
        <w:r w:rsidRPr="00183B5F">
          <w:rPr>
            <w:szCs w:val="22"/>
          </w:rPr>
          <w:delText>en adott 40 mg követ, a kezdő</w:delText>
        </w:r>
        <w:r w:rsidR="00D63540" w:rsidRPr="00183B5F">
          <w:rPr>
            <w:szCs w:val="22"/>
          </w:rPr>
          <w:delText xml:space="preserve"> </w:delText>
        </w:r>
        <w:r w:rsidRPr="00183B5F">
          <w:rPr>
            <w:szCs w:val="22"/>
          </w:rPr>
          <w:delText>adag utáni első</w:delText>
        </w:r>
        <w:r w:rsidR="00557871" w:rsidRPr="00183B5F">
          <w:rPr>
            <w:szCs w:val="22"/>
          </w:rPr>
          <w:delText xml:space="preserve"> </w:delText>
        </w:r>
        <w:r w:rsidR="00A44DB6" w:rsidRPr="00183B5F">
          <w:rPr>
            <w:szCs w:val="22"/>
          </w:rPr>
          <w:delText>hét</w:delText>
        </w:r>
        <w:r w:rsidRPr="00183B5F">
          <w:rPr>
            <w:szCs w:val="22"/>
          </w:rPr>
          <w:delText>től kezdve. Humira injekciót az orvos által meghatározott ideig kell alkalmazni.</w:delText>
        </w:r>
        <w:r w:rsidR="00343E44" w:rsidRPr="00183B5F">
          <w:rPr>
            <w:szCs w:val="22"/>
          </w:rPr>
          <w:delText xml:space="preserve"> Attól függően, hogy Ön hogyan reagál a kezelésre, kezelőorvosa heti 40 mg ra </w:delText>
        </w:r>
        <w:r w:rsidR="00F13823" w:rsidRPr="00183B5F">
          <w:rPr>
            <w:szCs w:val="22"/>
          </w:rPr>
          <w:delText>vagy kéthetente</w:delText>
        </w:r>
        <w:r w:rsidR="00FD5818" w:rsidRPr="00183B5F">
          <w:rPr>
            <w:szCs w:val="22"/>
          </w:rPr>
          <w:delText xml:space="preserve"> 80 mg</w:delText>
        </w:r>
        <w:r w:rsidR="00E5381A" w:rsidRPr="00183B5F">
          <w:rPr>
            <w:szCs w:val="22"/>
          </w:rPr>
          <w:noBreakHyphen/>
        </w:r>
        <w:r w:rsidR="00FD5818" w:rsidRPr="00183B5F">
          <w:rPr>
            <w:szCs w:val="22"/>
          </w:rPr>
          <w:delText xml:space="preserve">ra </w:delText>
        </w:r>
        <w:r w:rsidR="00343E44" w:rsidRPr="00183B5F">
          <w:rPr>
            <w:szCs w:val="22"/>
          </w:rPr>
          <w:delText>növelheti az adag</w:delText>
        </w:r>
        <w:r w:rsidR="00FD5818" w:rsidRPr="00183B5F">
          <w:rPr>
            <w:szCs w:val="22"/>
          </w:rPr>
          <w:delText>ot</w:delText>
        </w:r>
        <w:r w:rsidR="00343E44" w:rsidRPr="00183B5F">
          <w:rPr>
            <w:szCs w:val="22"/>
          </w:rPr>
          <w:delText>.</w:delText>
        </w:r>
      </w:del>
    </w:p>
    <w:p w14:paraId="31A0626A" w14:textId="29D9B0B7" w:rsidR="002A795F" w:rsidRPr="00183B5F" w:rsidRDefault="002A795F" w:rsidP="00673483">
      <w:pPr>
        <w:spacing w:line="240" w:lineRule="auto"/>
        <w:ind w:right="-2"/>
        <w:rPr>
          <w:del w:id="11614" w:author="AbbVie_HU_03" w:date="2025-05-14T16:41:00Z"/>
          <w:szCs w:val="22"/>
        </w:rPr>
      </w:pPr>
    </w:p>
    <w:p w14:paraId="70EC5A64" w14:textId="541F6ECC" w:rsidR="00424544" w:rsidRPr="00183B5F" w:rsidRDefault="00943743" w:rsidP="00673483">
      <w:pPr>
        <w:keepNext/>
        <w:numPr>
          <w:ilvl w:val="12"/>
          <w:numId w:val="0"/>
        </w:numPr>
        <w:spacing w:line="240" w:lineRule="auto"/>
        <w:ind w:right="-2"/>
        <w:rPr>
          <w:del w:id="11615" w:author="AbbVie_HU_03" w:date="2025-05-14T16:41:00Z"/>
          <w:szCs w:val="22"/>
          <w:u w:val="single"/>
        </w:rPr>
      </w:pPr>
      <w:del w:id="11616" w:author="AbbVie_HU_03" w:date="2025-05-14T16:41:00Z">
        <w:r w:rsidRPr="00183B5F">
          <w:rPr>
            <w:szCs w:val="22"/>
            <w:u w:val="single"/>
          </w:rPr>
          <w:delText>Pszoriázisban szenvedő gyermekek és serdülők</w:delText>
        </w:r>
      </w:del>
    </w:p>
    <w:p w14:paraId="36549F05" w14:textId="54EA7D4C" w:rsidR="00424544" w:rsidRPr="00183B5F" w:rsidRDefault="00424544" w:rsidP="00673483">
      <w:pPr>
        <w:keepNext/>
        <w:numPr>
          <w:ilvl w:val="12"/>
          <w:numId w:val="0"/>
        </w:numPr>
        <w:spacing w:line="240" w:lineRule="auto"/>
        <w:ind w:right="-2"/>
        <w:rPr>
          <w:del w:id="11617" w:author="AbbVie_HU_03" w:date="2025-05-14T16:41:00Z"/>
          <w:szCs w:val="22"/>
        </w:rPr>
      </w:pPr>
    </w:p>
    <w:p w14:paraId="676563D9" w14:textId="35CBF9DB" w:rsidR="00580E46" w:rsidRPr="00183B5F" w:rsidRDefault="00943743" w:rsidP="00673483">
      <w:pPr>
        <w:keepNext/>
        <w:numPr>
          <w:ilvl w:val="12"/>
          <w:numId w:val="0"/>
        </w:numPr>
        <w:spacing w:line="240" w:lineRule="auto"/>
        <w:rPr>
          <w:del w:id="11618" w:author="AbbVie_HU_03" w:date="2025-05-14T16:41:00Z"/>
          <w:i/>
        </w:rPr>
      </w:pPr>
      <w:del w:id="11619" w:author="AbbVie_HU_03" w:date="2025-05-14T16:41:00Z">
        <w:r w:rsidRPr="00183B5F">
          <w:rPr>
            <w:i/>
          </w:rPr>
          <w:delText>4-17 éves kor közötti, 15 </w:delText>
        </w:r>
        <w:r w:rsidR="00127FA5" w:rsidRPr="00183B5F">
          <w:rPr>
            <w:i/>
          </w:rPr>
          <w:delText>kg</w:delText>
        </w:r>
        <w:r w:rsidR="00194670" w:rsidRPr="00183B5F">
          <w:rPr>
            <w:i/>
          </w:rPr>
          <w:noBreakHyphen/>
          <w:delText>nál n</w:delText>
        </w:r>
        <w:r w:rsidR="007E1A5A" w:rsidRPr="00183B5F">
          <w:rPr>
            <w:i/>
          </w:rPr>
          <w:delText>a</w:delText>
        </w:r>
        <w:r w:rsidR="00194670" w:rsidRPr="00183B5F">
          <w:rPr>
            <w:i/>
          </w:rPr>
          <w:delText>gyobb, de</w:delText>
        </w:r>
        <w:r w:rsidRPr="00183B5F">
          <w:rPr>
            <w:i/>
          </w:rPr>
          <w:delText xml:space="preserve"> 30 kg</w:delText>
        </w:r>
        <w:r w:rsidR="00194670" w:rsidRPr="00183B5F">
          <w:rPr>
            <w:i/>
          </w:rPr>
          <w:noBreakHyphen/>
          <w:delText>nál kisebb</w:delText>
        </w:r>
        <w:r w:rsidRPr="00183B5F">
          <w:rPr>
            <w:i/>
          </w:rPr>
          <w:delText xml:space="preserve"> testtömegű gyermekek és serdülők</w:delText>
        </w:r>
      </w:del>
    </w:p>
    <w:p w14:paraId="37B45E4A" w14:textId="6D3D07BE" w:rsidR="00580E46" w:rsidRPr="00183B5F" w:rsidRDefault="00580E46" w:rsidP="00673483">
      <w:pPr>
        <w:keepNext/>
        <w:numPr>
          <w:ilvl w:val="12"/>
          <w:numId w:val="0"/>
        </w:numPr>
        <w:spacing w:line="240" w:lineRule="auto"/>
        <w:rPr>
          <w:del w:id="11620" w:author="AbbVie_HU_03" w:date="2025-05-14T16:41:00Z"/>
          <w:i/>
          <w:szCs w:val="22"/>
        </w:rPr>
      </w:pPr>
    </w:p>
    <w:p w14:paraId="1D920A49" w14:textId="78B05AC0" w:rsidR="00580E46" w:rsidRPr="00183B5F" w:rsidRDefault="00943743" w:rsidP="00673483">
      <w:pPr>
        <w:keepNext/>
        <w:numPr>
          <w:ilvl w:val="12"/>
          <w:numId w:val="0"/>
        </w:numPr>
        <w:tabs>
          <w:tab w:val="left" w:pos="720"/>
        </w:tabs>
        <w:spacing w:line="240" w:lineRule="auto"/>
        <w:rPr>
          <w:del w:id="11621" w:author="AbbVie_HU_03" w:date="2025-05-14T16:41:00Z"/>
        </w:rPr>
      </w:pPr>
      <w:del w:id="11622" w:author="AbbVie_HU_03" w:date="2025-05-14T16:41:00Z">
        <w:r w:rsidRPr="00183B5F">
          <w:rPr>
            <w:szCs w:val="22"/>
          </w:rPr>
          <w:delText xml:space="preserve">A Humira ajánlott dózisa első alkalommal 20 mg, majd egy héttel később 20 mg. </w:delText>
        </w:r>
        <w:r w:rsidRPr="00183B5F">
          <w:delText>Ezt követően, a szokásos adag 20 mg minden második héten.</w:delText>
        </w:r>
      </w:del>
    </w:p>
    <w:p w14:paraId="06A15E5A" w14:textId="20966D77" w:rsidR="00580E46" w:rsidRPr="00183B5F" w:rsidRDefault="00580E46" w:rsidP="00673483">
      <w:pPr>
        <w:numPr>
          <w:ilvl w:val="12"/>
          <w:numId w:val="0"/>
        </w:numPr>
        <w:tabs>
          <w:tab w:val="left" w:pos="720"/>
        </w:tabs>
        <w:spacing w:line="240" w:lineRule="auto"/>
        <w:rPr>
          <w:del w:id="11623" w:author="AbbVie_HU_03" w:date="2025-05-14T16:41:00Z"/>
          <w:szCs w:val="22"/>
        </w:rPr>
      </w:pPr>
    </w:p>
    <w:p w14:paraId="77AD4F46" w14:textId="7714D6A0" w:rsidR="00580E46" w:rsidRPr="00183B5F" w:rsidRDefault="00943743" w:rsidP="00673483">
      <w:pPr>
        <w:keepNext/>
        <w:numPr>
          <w:ilvl w:val="12"/>
          <w:numId w:val="0"/>
        </w:numPr>
        <w:tabs>
          <w:tab w:val="left" w:pos="720"/>
        </w:tabs>
        <w:spacing w:line="240" w:lineRule="auto"/>
        <w:rPr>
          <w:del w:id="11624" w:author="AbbVie_HU_03" w:date="2025-05-14T16:41:00Z"/>
          <w:i/>
        </w:rPr>
      </w:pPr>
      <w:del w:id="11625" w:author="AbbVie_HU_03" w:date="2025-05-14T16:41:00Z">
        <w:r w:rsidRPr="00183B5F">
          <w:rPr>
            <w:i/>
          </w:rPr>
          <w:delText>4-17 éves kor közötti, 30 kg vagy annál nagyobb testtömegű gyermekek és serdülők</w:delText>
        </w:r>
      </w:del>
    </w:p>
    <w:p w14:paraId="4EC7338E" w14:textId="757AC0DE" w:rsidR="00580E46" w:rsidRPr="00183B5F" w:rsidRDefault="00580E46" w:rsidP="00673483">
      <w:pPr>
        <w:keepNext/>
        <w:numPr>
          <w:ilvl w:val="12"/>
          <w:numId w:val="0"/>
        </w:numPr>
        <w:tabs>
          <w:tab w:val="left" w:pos="720"/>
        </w:tabs>
        <w:spacing w:line="240" w:lineRule="auto"/>
        <w:rPr>
          <w:del w:id="11626" w:author="AbbVie_HU_03" w:date="2025-05-14T16:41:00Z"/>
          <w:i/>
        </w:rPr>
      </w:pPr>
    </w:p>
    <w:p w14:paraId="4B11A3A1" w14:textId="4515761E" w:rsidR="00580E46" w:rsidRPr="00183B5F" w:rsidRDefault="00943743" w:rsidP="00673483">
      <w:pPr>
        <w:keepNext/>
        <w:numPr>
          <w:ilvl w:val="12"/>
          <w:numId w:val="0"/>
        </w:numPr>
        <w:tabs>
          <w:tab w:val="left" w:pos="720"/>
        </w:tabs>
        <w:spacing w:line="240" w:lineRule="auto"/>
        <w:rPr>
          <w:del w:id="11627" w:author="AbbVie_HU_03" w:date="2025-05-14T16:41:00Z"/>
          <w:i/>
        </w:rPr>
      </w:pPr>
      <w:del w:id="11628" w:author="AbbVie_HU_03" w:date="2025-05-14T16:41:00Z">
        <w:r w:rsidRPr="00183B5F">
          <w:rPr>
            <w:szCs w:val="22"/>
          </w:rPr>
          <w:delText xml:space="preserve">A Humira ajánlott dózisa első alkalommal 40 mg, majd egy héttel később 40 mg. </w:delText>
        </w:r>
        <w:r w:rsidRPr="00183B5F">
          <w:delText>Ezt követően, a szokásos adag 40 mg minden második héten.</w:delText>
        </w:r>
      </w:del>
    </w:p>
    <w:p w14:paraId="7EBF378B" w14:textId="636144F9" w:rsidR="004710ED" w:rsidRPr="00183B5F" w:rsidRDefault="004710ED" w:rsidP="00673483">
      <w:pPr>
        <w:spacing w:line="240" w:lineRule="auto"/>
        <w:ind w:right="-2"/>
        <w:rPr>
          <w:del w:id="11629" w:author="AbbVie_HU_03" w:date="2025-05-14T16:41:00Z"/>
          <w:szCs w:val="22"/>
        </w:rPr>
      </w:pPr>
    </w:p>
    <w:p w14:paraId="08C2CA75" w14:textId="02D7A780" w:rsidR="00B37B64" w:rsidRPr="00183B5F" w:rsidRDefault="00943743" w:rsidP="00673483">
      <w:pPr>
        <w:keepNext/>
        <w:spacing w:line="240" w:lineRule="auto"/>
        <w:ind w:right="-2"/>
        <w:rPr>
          <w:del w:id="11630" w:author="AbbVie_HU_03" w:date="2025-05-14T16:41:00Z"/>
          <w:szCs w:val="22"/>
          <w:u w:val="single"/>
        </w:rPr>
      </w:pPr>
      <w:del w:id="11631" w:author="AbbVie_HU_03" w:date="2025-05-14T16:41:00Z">
        <w:r w:rsidRPr="00183B5F">
          <w:rPr>
            <w:szCs w:val="22"/>
            <w:u w:val="single"/>
          </w:rPr>
          <w:delText>Hidradenitisz szuppuratívában szenvedő felnőttek</w:delText>
        </w:r>
      </w:del>
    </w:p>
    <w:p w14:paraId="33DDA0D4" w14:textId="26417BD2" w:rsidR="00B37B64" w:rsidRPr="00183B5F" w:rsidRDefault="00B37B64" w:rsidP="00673483">
      <w:pPr>
        <w:keepNext/>
        <w:spacing w:line="240" w:lineRule="auto"/>
        <w:ind w:right="-2"/>
        <w:rPr>
          <w:del w:id="11632" w:author="AbbVie_HU_03" w:date="2025-05-14T16:41:00Z"/>
          <w:szCs w:val="22"/>
        </w:rPr>
      </w:pPr>
    </w:p>
    <w:p w14:paraId="586FB2F1" w14:textId="6804F363" w:rsidR="00B37B64" w:rsidRPr="00183B5F" w:rsidRDefault="00943743" w:rsidP="00673483">
      <w:pPr>
        <w:keepNext/>
        <w:spacing w:line="240" w:lineRule="auto"/>
        <w:rPr>
          <w:del w:id="11633" w:author="AbbVie_HU_03" w:date="2025-05-14T16:41:00Z"/>
          <w:szCs w:val="22"/>
        </w:rPr>
      </w:pPr>
      <w:del w:id="11634" w:author="AbbVie_HU_03" w:date="2025-05-14T16:41:00Z">
        <w:r w:rsidRPr="00183B5F">
          <w:rPr>
            <w:szCs w:val="22"/>
          </w:rPr>
          <w:delText xml:space="preserve">A Humira javasolt adagolása </w:delText>
        </w:r>
        <w:r w:rsidR="00324601" w:rsidRPr="00183B5F">
          <w:rPr>
            <w:szCs w:val="22"/>
          </w:rPr>
          <w:delText xml:space="preserve">hidradenitisz szuppuratívában </w:delText>
        </w:r>
        <w:r w:rsidRPr="00183B5F">
          <w:rPr>
            <w:szCs w:val="22"/>
          </w:rPr>
          <w:delText xml:space="preserve">szenvedő felnőttek </w:delText>
        </w:r>
        <w:r w:rsidR="00324601" w:rsidRPr="00183B5F">
          <w:rPr>
            <w:szCs w:val="22"/>
          </w:rPr>
          <w:delText>kezdő</w:delText>
        </w:r>
        <w:r w:rsidRPr="00183B5F">
          <w:rPr>
            <w:szCs w:val="22"/>
          </w:rPr>
          <w:delText xml:space="preserve"> kezelésére 160 mg (</w:delText>
        </w:r>
        <w:r w:rsidR="00580E46" w:rsidRPr="00183B5F">
          <w:rPr>
            <w:szCs w:val="22"/>
          </w:rPr>
          <w:delText>négy</w:delText>
        </w:r>
        <w:r w:rsidRPr="00183B5F">
          <w:rPr>
            <w:szCs w:val="22"/>
          </w:rPr>
          <w:delText xml:space="preserve"> </w:delText>
        </w:r>
        <w:r w:rsidR="00FD5818" w:rsidRPr="00183B5F">
          <w:rPr>
            <w:szCs w:val="22"/>
          </w:rPr>
          <w:delText>40 mg</w:delText>
        </w:r>
        <w:r w:rsidR="00E5381A" w:rsidRPr="00183B5F">
          <w:rPr>
            <w:szCs w:val="22"/>
          </w:rPr>
          <w:noBreakHyphen/>
        </w:r>
        <w:r w:rsidR="00FD5818" w:rsidRPr="00183B5F">
          <w:rPr>
            <w:szCs w:val="22"/>
          </w:rPr>
          <w:delText xml:space="preserve">os </w:delText>
        </w:r>
        <w:r w:rsidRPr="00183B5F">
          <w:rPr>
            <w:szCs w:val="22"/>
          </w:rPr>
          <w:delText xml:space="preserve">injekcióban egyetlen napon, vagy napi </w:delText>
        </w:r>
        <w:r w:rsidR="00580E46" w:rsidRPr="00183B5F">
          <w:rPr>
            <w:szCs w:val="22"/>
          </w:rPr>
          <w:delText>két</w:delText>
        </w:r>
        <w:r w:rsidRPr="00183B5F">
          <w:rPr>
            <w:szCs w:val="22"/>
          </w:rPr>
          <w:delText xml:space="preserve"> </w:delText>
        </w:r>
        <w:r w:rsidR="00FD5818" w:rsidRPr="00183B5F">
          <w:rPr>
            <w:szCs w:val="22"/>
          </w:rPr>
          <w:delText>40 mg</w:delText>
        </w:r>
        <w:r w:rsidR="00FD5818" w:rsidRPr="00183B5F">
          <w:rPr>
            <w:szCs w:val="22"/>
          </w:rPr>
          <w:noBreakHyphen/>
          <w:delText xml:space="preserve">os </w:delText>
        </w:r>
        <w:r w:rsidRPr="00183B5F">
          <w:rPr>
            <w:szCs w:val="22"/>
          </w:rPr>
          <w:delText xml:space="preserve">injekcióban két egymást követő napon beadva), melyet </w:delText>
        </w:r>
        <w:r w:rsidR="008C298A" w:rsidRPr="00183B5F">
          <w:rPr>
            <w:szCs w:val="22"/>
          </w:rPr>
          <w:delText xml:space="preserve">két </w:delText>
        </w:r>
        <w:r w:rsidRPr="00183B5F">
          <w:rPr>
            <w:szCs w:val="22"/>
          </w:rPr>
          <w:delText>héttel később 80 mg követ</w:delText>
        </w:r>
        <w:r w:rsidR="00324601" w:rsidRPr="00183B5F">
          <w:rPr>
            <w:szCs w:val="22"/>
          </w:rPr>
          <w:delText xml:space="preserve"> </w:delText>
        </w:r>
        <w:r w:rsidRPr="00183B5F">
          <w:rPr>
            <w:szCs w:val="22"/>
          </w:rPr>
          <w:delText>(</w:delText>
        </w:r>
        <w:r w:rsidR="00171074" w:rsidRPr="00183B5F">
          <w:rPr>
            <w:szCs w:val="22"/>
          </w:rPr>
          <w:delText>két</w:delText>
        </w:r>
        <w:r w:rsidRPr="00183B5F">
          <w:rPr>
            <w:szCs w:val="22"/>
          </w:rPr>
          <w:delText xml:space="preserve"> darab </w:delText>
        </w:r>
        <w:r w:rsidR="00FD5818" w:rsidRPr="00183B5F">
          <w:rPr>
            <w:szCs w:val="22"/>
          </w:rPr>
          <w:delText>40 mg</w:delText>
        </w:r>
        <w:r w:rsidR="00FD5818" w:rsidRPr="00183B5F">
          <w:rPr>
            <w:szCs w:val="22"/>
          </w:rPr>
          <w:noBreakHyphen/>
          <w:delText xml:space="preserve">os </w:delText>
        </w:r>
        <w:r w:rsidRPr="00183B5F">
          <w:rPr>
            <w:szCs w:val="22"/>
          </w:rPr>
          <w:delText xml:space="preserve">injekcióban beadva egyetlen napon). Két héttel később heti 40 mg </w:delText>
        </w:r>
        <w:r w:rsidR="00F13823" w:rsidRPr="00183B5F">
          <w:rPr>
            <w:szCs w:val="22"/>
          </w:rPr>
          <w:delText>vagy kéthetente</w:delText>
        </w:r>
        <w:r w:rsidR="00FD5818" w:rsidRPr="00183B5F">
          <w:rPr>
            <w:szCs w:val="22"/>
          </w:rPr>
          <w:delText xml:space="preserve"> 80 mg </w:delText>
        </w:r>
        <w:r w:rsidRPr="00183B5F">
          <w:rPr>
            <w:szCs w:val="22"/>
          </w:rPr>
          <w:delText>dózissal folytassa</w:delText>
        </w:r>
        <w:r w:rsidR="000A6511" w:rsidRPr="00183B5F">
          <w:rPr>
            <w:szCs w:val="22"/>
          </w:rPr>
          <w:delText xml:space="preserve"> a kezelőorvos utasításának megfelelően</w:delText>
        </w:r>
        <w:r w:rsidRPr="00183B5F">
          <w:rPr>
            <w:szCs w:val="22"/>
          </w:rPr>
          <w:delText>. Javasol</w:delText>
        </w:r>
        <w:r w:rsidR="008F39CC" w:rsidRPr="00183B5F">
          <w:rPr>
            <w:szCs w:val="22"/>
          </w:rPr>
          <w:delText>t</w:delText>
        </w:r>
        <w:r w:rsidR="00324601" w:rsidRPr="00183B5F">
          <w:rPr>
            <w:szCs w:val="22"/>
          </w:rPr>
          <w:delText>, hogy</w:delText>
        </w:r>
        <w:r w:rsidRPr="00183B5F">
          <w:rPr>
            <w:szCs w:val="22"/>
          </w:rPr>
          <w:delText xml:space="preserve"> naponta használjon fertőtlenítő lemosót az érintett területeken.</w:delText>
        </w:r>
      </w:del>
    </w:p>
    <w:p w14:paraId="50309DCB" w14:textId="20FA197F" w:rsidR="004B28FC" w:rsidRPr="00183B5F" w:rsidRDefault="004B28FC" w:rsidP="00673483">
      <w:pPr>
        <w:keepNext/>
        <w:numPr>
          <w:ilvl w:val="12"/>
          <w:numId w:val="0"/>
        </w:numPr>
        <w:spacing w:line="240" w:lineRule="auto"/>
        <w:rPr>
          <w:del w:id="11635" w:author="AbbVie_HU_03" w:date="2025-05-14T16:41:00Z"/>
          <w:szCs w:val="22"/>
        </w:rPr>
      </w:pPr>
    </w:p>
    <w:p w14:paraId="74225134" w14:textId="0C1C3F8D" w:rsidR="004B28FC" w:rsidRPr="00183B5F" w:rsidRDefault="00943743" w:rsidP="00673483">
      <w:pPr>
        <w:keepNext/>
        <w:numPr>
          <w:ilvl w:val="12"/>
          <w:numId w:val="0"/>
        </w:numPr>
        <w:spacing w:line="240" w:lineRule="auto"/>
        <w:rPr>
          <w:del w:id="11636" w:author="AbbVie_HU_03" w:date="2025-05-14T16:41:00Z"/>
          <w:szCs w:val="22"/>
          <w:u w:val="single"/>
        </w:rPr>
      </w:pPr>
      <w:del w:id="11637" w:author="AbbVie_HU_03" w:date="2025-05-14T16:41:00Z">
        <w:r w:rsidRPr="00183B5F">
          <w:rPr>
            <w:szCs w:val="22"/>
            <w:u w:val="single"/>
          </w:rPr>
          <w:delText>Hidradenitisz szuppuratívában szenvedő</w:delText>
        </w:r>
        <w:r w:rsidR="00504784" w:rsidRPr="00183B5F">
          <w:rPr>
            <w:szCs w:val="22"/>
            <w:u w:val="single"/>
          </w:rPr>
          <w:delText>,</w:delText>
        </w:r>
        <w:r w:rsidRPr="00183B5F">
          <w:rPr>
            <w:szCs w:val="22"/>
            <w:u w:val="single"/>
          </w:rPr>
          <w:delText xml:space="preserve"> 12</w:delText>
        </w:r>
        <w:r w:rsidR="00580E46" w:rsidRPr="00183B5F">
          <w:rPr>
            <w:szCs w:val="22"/>
            <w:u w:val="single"/>
          </w:rPr>
          <w:delText>-17 </w:delText>
        </w:r>
        <w:r w:rsidRPr="00183B5F">
          <w:rPr>
            <w:szCs w:val="22"/>
            <w:u w:val="single"/>
          </w:rPr>
          <w:delText xml:space="preserve"> éves k</w:delText>
        </w:r>
        <w:r w:rsidR="00BD3F27" w:rsidRPr="00183B5F">
          <w:rPr>
            <w:szCs w:val="22"/>
            <w:u w:val="single"/>
          </w:rPr>
          <w:delText>o</w:delText>
        </w:r>
        <w:r w:rsidRPr="00183B5F">
          <w:rPr>
            <w:szCs w:val="22"/>
            <w:u w:val="single"/>
          </w:rPr>
          <w:delText>r</w:delText>
        </w:r>
        <w:r w:rsidR="00580E46" w:rsidRPr="00183B5F">
          <w:rPr>
            <w:szCs w:val="22"/>
            <w:u w:val="single"/>
          </w:rPr>
          <w:delText xml:space="preserve"> között</w:delText>
        </w:r>
        <w:r w:rsidR="000C4F16" w:rsidRPr="00183B5F">
          <w:rPr>
            <w:szCs w:val="22"/>
            <w:u w:val="single"/>
          </w:rPr>
          <w:delText>i</w:delText>
        </w:r>
        <w:r w:rsidRPr="00183B5F">
          <w:rPr>
            <w:szCs w:val="22"/>
            <w:u w:val="single"/>
          </w:rPr>
          <w:delText>, 30</w:delText>
        </w:r>
        <w:r w:rsidR="00580E46" w:rsidRPr="00183B5F">
          <w:rPr>
            <w:szCs w:val="22"/>
            <w:u w:val="single"/>
          </w:rPr>
          <w:delText> </w:delText>
        </w:r>
        <w:r w:rsidRPr="00183B5F">
          <w:rPr>
            <w:szCs w:val="22"/>
            <w:u w:val="single"/>
          </w:rPr>
          <w:delText>kg</w:delText>
        </w:r>
        <w:r w:rsidR="00580E46" w:rsidRPr="00183B5F">
          <w:rPr>
            <w:szCs w:val="22"/>
            <w:u w:val="single"/>
          </w:rPr>
          <w:delText xml:space="preserve"> vagy annál nagyobb testtömegű </w:delText>
        </w:r>
        <w:r w:rsidR="000C4F16" w:rsidRPr="00183B5F">
          <w:rPr>
            <w:szCs w:val="22"/>
            <w:u w:val="single"/>
          </w:rPr>
          <w:delText>serdülők</w:delText>
        </w:r>
      </w:del>
    </w:p>
    <w:p w14:paraId="63923DA3" w14:textId="32BEB2E7" w:rsidR="004B28FC" w:rsidRPr="00183B5F" w:rsidRDefault="004B28FC" w:rsidP="00673483">
      <w:pPr>
        <w:keepNext/>
        <w:numPr>
          <w:ilvl w:val="12"/>
          <w:numId w:val="0"/>
        </w:numPr>
        <w:spacing w:line="240" w:lineRule="auto"/>
        <w:rPr>
          <w:del w:id="11638" w:author="AbbVie_HU_03" w:date="2025-05-14T16:41:00Z"/>
          <w:szCs w:val="22"/>
        </w:rPr>
      </w:pPr>
    </w:p>
    <w:p w14:paraId="7C5378E4" w14:textId="643404D6" w:rsidR="004B28FC" w:rsidRPr="00183B5F" w:rsidRDefault="00943743" w:rsidP="00673483">
      <w:pPr>
        <w:keepNext/>
        <w:spacing w:line="240" w:lineRule="auto"/>
        <w:rPr>
          <w:del w:id="11639" w:author="AbbVie_HU_03" w:date="2025-05-14T16:41:00Z"/>
          <w:szCs w:val="22"/>
        </w:rPr>
      </w:pPr>
      <w:del w:id="11640" w:author="AbbVie_HU_03" w:date="2025-05-14T16:41:00Z">
        <w:r w:rsidRPr="00183B5F">
          <w:rPr>
            <w:szCs w:val="22"/>
          </w:rPr>
          <w:delText xml:space="preserve">A kezdő adag 80 mg (két </w:delText>
        </w:r>
        <w:r w:rsidR="00FD5818" w:rsidRPr="00183B5F">
          <w:rPr>
            <w:szCs w:val="22"/>
          </w:rPr>
          <w:delText>40 mg</w:delText>
        </w:r>
        <w:r w:rsidR="00FD5818" w:rsidRPr="00183B5F">
          <w:rPr>
            <w:szCs w:val="22"/>
          </w:rPr>
          <w:noBreakHyphen/>
          <w:delText xml:space="preserve">os </w:delText>
        </w:r>
        <w:r w:rsidRPr="00183B5F">
          <w:rPr>
            <w:szCs w:val="22"/>
          </w:rPr>
          <w:delText xml:space="preserve">injekció </w:delText>
        </w:r>
        <w:r w:rsidR="00580E46" w:rsidRPr="00183B5F">
          <w:rPr>
            <w:szCs w:val="22"/>
          </w:rPr>
          <w:delText>egy</w:delText>
        </w:r>
        <w:r w:rsidRPr="00183B5F">
          <w:rPr>
            <w:szCs w:val="22"/>
          </w:rPr>
          <w:delText xml:space="preserve"> napon), amelyet egy héttel később minden második héten adott 40 mg követ. Ha Ön nem megfelelően reagál a </w:delText>
        </w:r>
        <w:r w:rsidR="00F13823" w:rsidRPr="00183B5F">
          <w:rPr>
            <w:szCs w:val="22"/>
          </w:rPr>
          <w:delText>kéthetente</w:delText>
        </w:r>
        <w:r w:rsidR="00FD5818" w:rsidRPr="00183B5F">
          <w:rPr>
            <w:szCs w:val="22"/>
          </w:rPr>
          <w:delText xml:space="preserve"> 40 mg Humira</w:delText>
        </w:r>
        <w:r w:rsidR="00FD5818" w:rsidRPr="00183B5F">
          <w:rPr>
            <w:szCs w:val="22"/>
          </w:rPr>
          <w:noBreakHyphen/>
        </w:r>
        <w:r w:rsidRPr="00183B5F">
          <w:rPr>
            <w:szCs w:val="22"/>
          </w:rPr>
          <w:delText>kezelésre, kezelőorvosa megemelheti az adago</w:delText>
        </w:r>
        <w:r w:rsidR="00FD5818" w:rsidRPr="00183B5F">
          <w:rPr>
            <w:szCs w:val="22"/>
          </w:rPr>
          <w:delText>t</w:delText>
        </w:r>
        <w:r w:rsidR="000A6511" w:rsidRPr="00183B5F">
          <w:rPr>
            <w:szCs w:val="22"/>
          </w:rPr>
          <w:delText xml:space="preserve"> </w:delText>
        </w:r>
        <w:r w:rsidRPr="00183B5F">
          <w:rPr>
            <w:szCs w:val="22"/>
          </w:rPr>
          <w:delText>heti 40 mg</w:delText>
        </w:r>
        <w:r w:rsidRPr="00183B5F">
          <w:rPr>
            <w:szCs w:val="22"/>
          </w:rPr>
          <w:noBreakHyphen/>
          <w:delText>ra</w:delText>
        </w:r>
        <w:r w:rsidR="00F13823" w:rsidRPr="00183B5F">
          <w:rPr>
            <w:szCs w:val="22"/>
          </w:rPr>
          <w:delText xml:space="preserve"> vagy kéthetente</w:delText>
        </w:r>
        <w:r w:rsidR="00FD5818" w:rsidRPr="00183B5F">
          <w:rPr>
            <w:szCs w:val="22"/>
          </w:rPr>
          <w:delText xml:space="preserve"> 80 mg</w:delText>
        </w:r>
        <w:r w:rsidR="00E5381A" w:rsidRPr="00183B5F">
          <w:rPr>
            <w:szCs w:val="22"/>
          </w:rPr>
          <w:noBreakHyphen/>
        </w:r>
        <w:r w:rsidR="00FD5818" w:rsidRPr="00183B5F">
          <w:rPr>
            <w:szCs w:val="22"/>
          </w:rPr>
          <w:delText>ra</w:delText>
        </w:r>
        <w:r w:rsidRPr="00183B5F">
          <w:rPr>
            <w:szCs w:val="22"/>
          </w:rPr>
          <w:delText>.</w:delText>
        </w:r>
      </w:del>
    </w:p>
    <w:p w14:paraId="2951CB80" w14:textId="3AAA6EB8" w:rsidR="004B28FC" w:rsidRPr="00183B5F" w:rsidRDefault="004B28FC" w:rsidP="00673483">
      <w:pPr>
        <w:keepNext/>
        <w:spacing w:line="240" w:lineRule="auto"/>
        <w:rPr>
          <w:del w:id="11641" w:author="AbbVie_HU_03" w:date="2025-05-14T16:41:00Z"/>
          <w:szCs w:val="22"/>
        </w:rPr>
      </w:pPr>
    </w:p>
    <w:p w14:paraId="41F8ACF7" w14:textId="6E57A012" w:rsidR="004B28FC" w:rsidRPr="00183B5F" w:rsidRDefault="00943743" w:rsidP="00673483">
      <w:pPr>
        <w:numPr>
          <w:ilvl w:val="12"/>
          <w:numId w:val="0"/>
        </w:numPr>
        <w:spacing w:line="240" w:lineRule="auto"/>
        <w:ind w:right="-2"/>
        <w:rPr>
          <w:del w:id="11642" w:author="AbbVie_HU_03" w:date="2025-05-14T16:41:00Z"/>
          <w:szCs w:val="22"/>
        </w:rPr>
      </w:pPr>
      <w:del w:id="11643" w:author="AbbVie_HU_03" w:date="2025-05-14T16:41:00Z">
        <w:r w:rsidRPr="00183B5F">
          <w:rPr>
            <w:szCs w:val="22"/>
          </w:rPr>
          <w:delText>Javasolt, hogy naponta használjon fertőtlenítő lemosót az érintett területeken.</w:delText>
        </w:r>
      </w:del>
    </w:p>
    <w:p w14:paraId="7C1053CC" w14:textId="32A4C6E7" w:rsidR="00902D7B" w:rsidRPr="00183B5F" w:rsidRDefault="00902D7B" w:rsidP="00673483">
      <w:pPr>
        <w:numPr>
          <w:ilvl w:val="12"/>
          <w:numId w:val="0"/>
        </w:numPr>
        <w:spacing w:line="240" w:lineRule="auto"/>
        <w:ind w:right="-2"/>
        <w:rPr>
          <w:del w:id="11644" w:author="AbbVie_HU_03" w:date="2025-05-14T16:41:00Z"/>
          <w:szCs w:val="22"/>
        </w:rPr>
      </w:pPr>
    </w:p>
    <w:p w14:paraId="196BB1AC" w14:textId="3C7631B8" w:rsidR="002822F4" w:rsidRPr="00183B5F" w:rsidRDefault="00943743" w:rsidP="00673483">
      <w:pPr>
        <w:spacing w:line="240" w:lineRule="auto"/>
        <w:ind w:right="-2"/>
        <w:rPr>
          <w:del w:id="11645" w:author="AbbVie_HU_03" w:date="2025-05-14T16:41:00Z"/>
          <w:szCs w:val="22"/>
          <w:u w:val="single"/>
        </w:rPr>
      </w:pPr>
      <w:del w:id="11646" w:author="AbbVie_HU_03" w:date="2025-05-14T16:41:00Z">
        <w:r w:rsidRPr="00183B5F">
          <w:rPr>
            <w:szCs w:val="22"/>
            <w:u w:val="single"/>
          </w:rPr>
          <w:delText>Crohn</w:delText>
        </w:r>
        <w:r w:rsidR="0069092C" w:rsidRPr="00183B5F">
          <w:rPr>
            <w:szCs w:val="22"/>
            <w:u w:val="single"/>
          </w:rPr>
          <w:noBreakHyphen/>
        </w:r>
        <w:r w:rsidRPr="00183B5F">
          <w:rPr>
            <w:szCs w:val="22"/>
            <w:u w:val="single"/>
          </w:rPr>
          <w:delText>betegségben szenvedő felnőttek</w:delText>
        </w:r>
      </w:del>
    </w:p>
    <w:p w14:paraId="538BD100" w14:textId="1D5E230F" w:rsidR="002822F4" w:rsidRPr="00183B5F" w:rsidRDefault="002822F4" w:rsidP="00673483">
      <w:pPr>
        <w:spacing w:line="240" w:lineRule="auto"/>
        <w:ind w:right="-2"/>
        <w:rPr>
          <w:del w:id="11647" w:author="AbbVie_HU_03" w:date="2025-05-14T16:41:00Z"/>
          <w:szCs w:val="22"/>
        </w:rPr>
      </w:pPr>
    </w:p>
    <w:p w14:paraId="35DDCBB6" w14:textId="01087086" w:rsidR="007C4EC5" w:rsidRPr="00183B5F" w:rsidRDefault="00943743" w:rsidP="00673483">
      <w:pPr>
        <w:spacing w:line="240" w:lineRule="auto"/>
        <w:ind w:right="-2"/>
        <w:rPr>
          <w:del w:id="11648" w:author="AbbVie_HU_03" w:date="2025-05-14T16:41:00Z"/>
          <w:szCs w:val="22"/>
        </w:rPr>
      </w:pPr>
      <w:del w:id="11649" w:author="AbbVie_HU_03" w:date="2025-05-14T16:41:00Z">
        <w:r w:rsidRPr="00183B5F">
          <w:rPr>
            <w:szCs w:val="22"/>
          </w:rPr>
          <w:delText>Crohn</w:delText>
        </w:r>
        <w:r w:rsidR="0069092C" w:rsidRPr="00183B5F">
          <w:rPr>
            <w:szCs w:val="22"/>
          </w:rPr>
          <w:noBreakHyphen/>
        </w:r>
        <w:r w:rsidRPr="00183B5F">
          <w:rPr>
            <w:szCs w:val="22"/>
          </w:rPr>
          <w:delText>betegségben a szokásos adag</w:delText>
        </w:r>
        <w:r w:rsidR="002822F4" w:rsidRPr="00183B5F">
          <w:rPr>
            <w:szCs w:val="22"/>
          </w:rPr>
          <w:delText xml:space="preserve"> először</w:delText>
        </w:r>
        <w:r w:rsidRPr="00183B5F">
          <w:rPr>
            <w:szCs w:val="22"/>
          </w:rPr>
          <w:delText xml:space="preserve"> 80 mg</w:delText>
        </w:r>
        <w:r w:rsidR="00EF6882" w:rsidRPr="00183B5F">
          <w:rPr>
            <w:szCs w:val="22"/>
          </w:rPr>
          <w:delText xml:space="preserve"> (két </w:delText>
        </w:r>
        <w:r w:rsidR="00FD5818" w:rsidRPr="00183B5F">
          <w:rPr>
            <w:szCs w:val="22"/>
          </w:rPr>
          <w:delText>40 mg</w:delText>
        </w:r>
        <w:r w:rsidR="00FD5818" w:rsidRPr="00183B5F">
          <w:rPr>
            <w:szCs w:val="22"/>
          </w:rPr>
          <w:noBreakHyphen/>
          <w:delText xml:space="preserve">os </w:delText>
        </w:r>
        <w:r w:rsidR="00EF6882" w:rsidRPr="00183B5F">
          <w:rPr>
            <w:szCs w:val="22"/>
          </w:rPr>
          <w:delText>injekció egy napon)</w:delText>
        </w:r>
        <w:r w:rsidRPr="00183B5F">
          <w:rPr>
            <w:szCs w:val="22"/>
          </w:rPr>
          <w:delText xml:space="preserve">, majd </w:delText>
        </w:r>
        <w:r w:rsidR="008C298A" w:rsidRPr="00183B5F">
          <w:rPr>
            <w:szCs w:val="22"/>
          </w:rPr>
          <w:delText>két</w:delText>
        </w:r>
        <w:r w:rsidR="00903B9C" w:rsidRPr="00183B5F">
          <w:rPr>
            <w:szCs w:val="22"/>
          </w:rPr>
          <w:delText> </w:delText>
        </w:r>
        <w:r w:rsidR="002822F4" w:rsidRPr="00183B5F">
          <w:rPr>
            <w:szCs w:val="22"/>
          </w:rPr>
          <w:delText>héttel később</w:delText>
        </w:r>
        <w:r w:rsidRPr="00183B5F">
          <w:rPr>
            <w:szCs w:val="22"/>
          </w:rPr>
          <w:delText xml:space="preserve"> 40 mg minden második héten. Ha </w:delText>
        </w:r>
        <w:r w:rsidR="00FC3DA9" w:rsidRPr="00183B5F">
          <w:rPr>
            <w:szCs w:val="22"/>
          </w:rPr>
          <w:delText xml:space="preserve">gyorsabb hatás </w:delText>
        </w:r>
        <w:r w:rsidRPr="00183B5F">
          <w:rPr>
            <w:szCs w:val="22"/>
          </w:rPr>
          <w:delText xml:space="preserve">szükséges, akkor orvosa 160 mg-ra növelheti a </w:delText>
        </w:r>
        <w:r w:rsidR="002822F4" w:rsidRPr="00183B5F">
          <w:rPr>
            <w:szCs w:val="22"/>
          </w:rPr>
          <w:delText>kezdő</w:delText>
        </w:r>
        <w:r w:rsidRPr="00183B5F">
          <w:rPr>
            <w:szCs w:val="22"/>
          </w:rPr>
          <w:delText xml:space="preserve">adagot (ez esetben egy nap alatt </w:delText>
        </w:r>
        <w:r w:rsidR="00EF6882" w:rsidRPr="00183B5F">
          <w:rPr>
            <w:szCs w:val="22"/>
          </w:rPr>
          <w:delText>négy</w:delText>
        </w:r>
        <w:r w:rsidR="008C298A" w:rsidRPr="00183B5F">
          <w:rPr>
            <w:szCs w:val="22"/>
          </w:rPr>
          <w:delText xml:space="preserve"> </w:delText>
        </w:r>
        <w:r w:rsidR="00A41C40" w:rsidRPr="00183B5F">
          <w:rPr>
            <w:szCs w:val="22"/>
          </w:rPr>
          <w:delText>40 mg</w:delText>
        </w:r>
        <w:r w:rsidR="00A41C40" w:rsidRPr="00183B5F">
          <w:rPr>
            <w:szCs w:val="22"/>
          </w:rPr>
          <w:noBreakHyphen/>
          <w:delText xml:space="preserve">os </w:delText>
        </w:r>
        <w:r w:rsidRPr="00183B5F">
          <w:rPr>
            <w:szCs w:val="22"/>
          </w:rPr>
          <w:delText xml:space="preserve">injekciót kap, vagy két egymást követő napon adnak be Önnek </w:delText>
        </w:r>
        <w:r w:rsidR="00EF6882" w:rsidRPr="00183B5F">
          <w:rPr>
            <w:szCs w:val="22"/>
          </w:rPr>
          <w:delText>két-két</w:delText>
        </w:r>
        <w:r w:rsidR="00A41C40" w:rsidRPr="00183B5F">
          <w:rPr>
            <w:szCs w:val="22"/>
          </w:rPr>
          <w:delText xml:space="preserve"> 40 mg</w:delText>
        </w:r>
        <w:r w:rsidR="00A41C40" w:rsidRPr="00183B5F">
          <w:rPr>
            <w:szCs w:val="22"/>
          </w:rPr>
          <w:noBreakHyphen/>
          <w:delText xml:space="preserve">os </w:delText>
        </w:r>
        <w:r w:rsidRPr="00183B5F">
          <w:rPr>
            <w:szCs w:val="22"/>
          </w:rPr>
          <w:delText>injekciót)</w:delText>
        </w:r>
        <w:r w:rsidR="002822F4" w:rsidRPr="00183B5F">
          <w:rPr>
            <w:szCs w:val="22"/>
          </w:rPr>
          <w:delText>, majd két héttel később</w:delText>
        </w:r>
        <w:r w:rsidR="002A795F" w:rsidRPr="00183B5F">
          <w:rPr>
            <w:szCs w:val="22"/>
          </w:rPr>
          <w:delText xml:space="preserve"> 80</w:delText>
        </w:r>
        <w:r w:rsidR="008716BB" w:rsidRPr="00183B5F">
          <w:rPr>
            <w:szCs w:val="22"/>
          </w:rPr>
          <w:delText> </w:delText>
        </w:r>
        <w:r w:rsidR="002A795F" w:rsidRPr="00183B5F">
          <w:rPr>
            <w:szCs w:val="22"/>
          </w:rPr>
          <w:delText>mg-ot</w:delText>
        </w:r>
        <w:r w:rsidR="002822F4" w:rsidRPr="00183B5F">
          <w:rPr>
            <w:szCs w:val="22"/>
          </w:rPr>
          <w:delText xml:space="preserve"> adnak Önnek</w:delText>
        </w:r>
        <w:r w:rsidR="00A41C40" w:rsidRPr="00183B5F">
          <w:rPr>
            <w:szCs w:val="22"/>
          </w:rPr>
          <w:delText xml:space="preserve"> (két 40 mg</w:delText>
        </w:r>
        <w:r w:rsidR="00A41C40" w:rsidRPr="00183B5F">
          <w:rPr>
            <w:szCs w:val="22"/>
          </w:rPr>
          <w:noBreakHyphen/>
          <w:delText>os injekció egy napon)</w:delText>
        </w:r>
        <w:r w:rsidRPr="00183B5F">
          <w:rPr>
            <w:szCs w:val="22"/>
          </w:rPr>
          <w:delText>. A továbbiakban 40 mg Humira</w:delText>
        </w:r>
        <w:r w:rsidR="0069092C" w:rsidRPr="00183B5F">
          <w:rPr>
            <w:szCs w:val="22"/>
          </w:rPr>
          <w:noBreakHyphen/>
        </w:r>
        <w:r w:rsidRPr="00183B5F">
          <w:rPr>
            <w:szCs w:val="22"/>
          </w:rPr>
          <w:delText>t kap minden második héten.</w:delText>
        </w:r>
        <w:r w:rsidR="002822F4" w:rsidRPr="00183B5F">
          <w:rPr>
            <w:szCs w:val="22"/>
          </w:rPr>
          <w:delText xml:space="preserve"> A terápiás hatástól függően orvosa heti 40 mg</w:delText>
        </w:r>
        <w:r w:rsidR="00E5381A" w:rsidRPr="00183B5F">
          <w:rPr>
            <w:szCs w:val="22"/>
          </w:rPr>
          <w:noBreakHyphen/>
        </w:r>
        <w:r w:rsidR="002822F4" w:rsidRPr="00183B5F">
          <w:rPr>
            <w:szCs w:val="22"/>
          </w:rPr>
          <w:delText>ra</w:delText>
        </w:r>
        <w:r w:rsidR="00F13823" w:rsidRPr="00183B5F">
          <w:rPr>
            <w:szCs w:val="22"/>
          </w:rPr>
          <w:delText xml:space="preserve"> vagy kéthetente</w:delText>
        </w:r>
        <w:r w:rsidR="00A41C40" w:rsidRPr="00183B5F">
          <w:rPr>
            <w:szCs w:val="22"/>
          </w:rPr>
          <w:delText xml:space="preserve"> 80 mg</w:delText>
        </w:r>
        <w:r w:rsidR="00E5381A" w:rsidRPr="00183B5F">
          <w:rPr>
            <w:szCs w:val="22"/>
          </w:rPr>
          <w:noBreakHyphen/>
        </w:r>
        <w:r w:rsidR="00A41C40" w:rsidRPr="00183B5F">
          <w:rPr>
            <w:szCs w:val="22"/>
          </w:rPr>
          <w:delText>ra</w:delText>
        </w:r>
        <w:r w:rsidR="002822F4" w:rsidRPr="00183B5F">
          <w:rPr>
            <w:szCs w:val="22"/>
          </w:rPr>
          <w:delText xml:space="preserve"> emelheti az adagot.</w:delText>
        </w:r>
      </w:del>
    </w:p>
    <w:p w14:paraId="18DCCF60" w14:textId="3BD16DBE" w:rsidR="002822F4" w:rsidRPr="00183B5F" w:rsidRDefault="002822F4" w:rsidP="00673483">
      <w:pPr>
        <w:spacing w:line="240" w:lineRule="auto"/>
        <w:ind w:right="-2"/>
        <w:rPr>
          <w:del w:id="11650" w:author="AbbVie_HU_03" w:date="2025-05-14T16:41:00Z"/>
          <w:szCs w:val="22"/>
        </w:rPr>
      </w:pPr>
    </w:p>
    <w:p w14:paraId="6A0C4993" w14:textId="6572B834" w:rsidR="002822F4" w:rsidRPr="00183B5F" w:rsidRDefault="00943743" w:rsidP="00673483">
      <w:pPr>
        <w:keepNext/>
        <w:numPr>
          <w:ilvl w:val="12"/>
          <w:numId w:val="0"/>
        </w:numPr>
        <w:spacing w:line="240" w:lineRule="auto"/>
        <w:rPr>
          <w:del w:id="11651" w:author="AbbVie_HU_03" w:date="2025-05-14T16:41:00Z"/>
          <w:szCs w:val="22"/>
          <w:u w:val="single"/>
        </w:rPr>
      </w:pPr>
      <w:del w:id="11652" w:author="AbbVie_HU_03" w:date="2025-05-14T16:41:00Z">
        <w:r w:rsidRPr="00183B5F">
          <w:rPr>
            <w:szCs w:val="22"/>
            <w:u w:val="single"/>
          </w:rPr>
          <w:delText>Crohn</w:delText>
        </w:r>
        <w:r w:rsidR="0069092C" w:rsidRPr="00183B5F">
          <w:rPr>
            <w:szCs w:val="22"/>
            <w:u w:val="single"/>
          </w:rPr>
          <w:noBreakHyphen/>
        </w:r>
        <w:r w:rsidRPr="00183B5F">
          <w:rPr>
            <w:szCs w:val="22"/>
            <w:u w:val="single"/>
          </w:rPr>
          <w:delText>betegségben szenvedő gyermekek és serdülők</w:delText>
        </w:r>
      </w:del>
    </w:p>
    <w:p w14:paraId="746F72FA" w14:textId="7D11A26A" w:rsidR="002822F4" w:rsidRPr="00183B5F" w:rsidRDefault="002822F4" w:rsidP="00673483">
      <w:pPr>
        <w:keepNext/>
        <w:numPr>
          <w:ilvl w:val="12"/>
          <w:numId w:val="0"/>
        </w:numPr>
        <w:spacing w:line="240" w:lineRule="auto"/>
        <w:rPr>
          <w:del w:id="11653" w:author="AbbVie_HU_03" w:date="2025-05-14T16:41:00Z"/>
          <w:szCs w:val="22"/>
          <w:u w:val="single"/>
        </w:rPr>
      </w:pPr>
    </w:p>
    <w:p w14:paraId="729AD435" w14:textId="04D68EDE" w:rsidR="002822F4" w:rsidRPr="00183B5F" w:rsidRDefault="00943743" w:rsidP="00673483">
      <w:pPr>
        <w:keepNext/>
        <w:numPr>
          <w:ilvl w:val="12"/>
          <w:numId w:val="0"/>
        </w:numPr>
        <w:spacing w:line="240" w:lineRule="auto"/>
        <w:rPr>
          <w:del w:id="11654" w:author="AbbVie_HU_03" w:date="2025-05-14T16:41:00Z"/>
          <w:i/>
          <w:szCs w:val="22"/>
        </w:rPr>
      </w:pPr>
      <w:del w:id="11655" w:author="AbbVie_HU_03" w:date="2025-05-14T16:41:00Z">
        <w:r w:rsidRPr="00183B5F">
          <w:rPr>
            <w:i/>
          </w:rPr>
          <w:delText xml:space="preserve">6-17 éves kor közötti, </w:delText>
        </w:r>
        <w:r w:rsidRPr="00183B5F">
          <w:rPr>
            <w:i/>
            <w:szCs w:val="22"/>
          </w:rPr>
          <w:delText>40</w:delText>
        </w:r>
        <w:r w:rsidR="00903B9C" w:rsidRPr="00183B5F">
          <w:rPr>
            <w:i/>
            <w:szCs w:val="22"/>
          </w:rPr>
          <w:delText> </w:delText>
        </w:r>
        <w:r w:rsidRPr="00183B5F">
          <w:rPr>
            <w:i/>
            <w:szCs w:val="22"/>
          </w:rPr>
          <w:delText>kg</w:delText>
        </w:r>
        <w:r w:rsidR="0069092C" w:rsidRPr="00183B5F">
          <w:rPr>
            <w:i/>
            <w:szCs w:val="22"/>
          </w:rPr>
          <w:noBreakHyphen/>
        </w:r>
        <w:r w:rsidRPr="00183B5F">
          <w:rPr>
            <w:i/>
            <w:szCs w:val="22"/>
          </w:rPr>
          <w:delText>nál kisebb testtömegű gyermekek és serdülők</w:delText>
        </w:r>
      </w:del>
    </w:p>
    <w:p w14:paraId="38CBEAF8" w14:textId="363392B2" w:rsidR="002822F4" w:rsidRPr="00183B5F" w:rsidRDefault="002822F4" w:rsidP="00673483">
      <w:pPr>
        <w:keepNext/>
        <w:numPr>
          <w:ilvl w:val="12"/>
          <w:numId w:val="0"/>
        </w:numPr>
        <w:spacing w:line="240" w:lineRule="auto"/>
        <w:rPr>
          <w:del w:id="11656" w:author="AbbVie_HU_03" w:date="2025-05-14T16:41:00Z"/>
          <w:szCs w:val="22"/>
        </w:rPr>
      </w:pPr>
    </w:p>
    <w:p w14:paraId="0201ED5C" w14:textId="3448803A" w:rsidR="002822F4" w:rsidRPr="00183B5F" w:rsidRDefault="00943743" w:rsidP="00673483">
      <w:pPr>
        <w:keepNext/>
        <w:numPr>
          <w:ilvl w:val="12"/>
          <w:numId w:val="0"/>
        </w:numPr>
        <w:spacing w:line="240" w:lineRule="auto"/>
        <w:rPr>
          <w:del w:id="11657" w:author="AbbVie_HU_03" w:date="2025-05-14T16:41:00Z"/>
          <w:szCs w:val="22"/>
        </w:rPr>
      </w:pPr>
      <w:del w:id="11658" w:author="AbbVie_HU_03" w:date="2025-05-14T16:41:00Z">
        <w:r w:rsidRPr="00183B5F">
          <w:rPr>
            <w:szCs w:val="22"/>
          </w:rPr>
          <w:delText>Első alkalommal 40</w:delText>
        </w:r>
        <w:r w:rsidR="00903B9C" w:rsidRPr="00183B5F">
          <w:rPr>
            <w:szCs w:val="22"/>
          </w:rPr>
          <w:delText> </w:delText>
        </w:r>
        <w:r w:rsidRPr="00183B5F">
          <w:rPr>
            <w:szCs w:val="22"/>
          </w:rPr>
          <w:delText xml:space="preserve">mg, majd </w:delText>
        </w:r>
        <w:r w:rsidR="00171074" w:rsidRPr="00183B5F">
          <w:rPr>
            <w:szCs w:val="22"/>
          </w:rPr>
          <w:delText xml:space="preserve">két </w:delText>
        </w:r>
        <w:r w:rsidRPr="00183B5F">
          <w:rPr>
            <w:szCs w:val="22"/>
          </w:rPr>
          <w:delText>héttel később 20</w:delText>
        </w:r>
        <w:r w:rsidR="00903B9C" w:rsidRPr="00183B5F">
          <w:rPr>
            <w:szCs w:val="22"/>
          </w:rPr>
          <w:delText> </w:delText>
        </w:r>
        <w:r w:rsidRPr="00183B5F">
          <w:rPr>
            <w:szCs w:val="22"/>
          </w:rPr>
          <w:delText xml:space="preserve">mg a szokásos adag. Ha gyorsabb hatásra van szükség, úgy gyermeke </w:delText>
        </w:r>
        <w:r w:rsidR="00E4607F" w:rsidRPr="00183B5F">
          <w:rPr>
            <w:szCs w:val="22"/>
          </w:rPr>
          <w:delText>kezelő</w:delText>
        </w:r>
        <w:r w:rsidRPr="00183B5F">
          <w:rPr>
            <w:szCs w:val="22"/>
          </w:rPr>
          <w:delText>orvosa 80</w:delText>
        </w:r>
        <w:r w:rsidR="00903B9C" w:rsidRPr="00183B5F">
          <w:rPr>
            <w:szCs w:val="22"/>
          </w:rPr>
          <w:delText> </w:delText>
        </w:r>
        <w:r w:rsidRPr="00183B5F">
          <w:rPr>
            <w:szCs w:val="22"/>
          </w:rPr>
          <w:delText>mg</w:delText>
        </w:r>
        <w:r w:rsidR="00E5381A" w:rsidRPr="00183B5F">
          <w:rPr>
            <w:szCs w:val="22"/>
          </w:rPr>
          <w:noBreakHyphen/>
        </w:r>
        <w:r w:rsidRPr="00183B5F">
          <w:rPr>
            <w:szCs w:val="22"/>
          </w:rPr>
          <w:delText>os kezdőadagot (</w:delText>
        </w:r>
        <w:r w:rsidR="00CF23F3" w:rsidRPr="00183B5F">
          <w:rPr>
            <w:szCs w:val="22"/>
          </w:rPr>
          <w:delText>egy nap</w:delText>
        </w:r>
        <w:r w:rsidRPr="00183B5F">
          <w:rPr>
            <w:szCs w:val="22"/>
          </w:rPr>
          <w:delText xml:space="preserve"> </w:delText>
        </w:r>
        <w:r w:rsidR="00CF23F3" w:rsidRPr="00183B5F">
          <w:rPr>
            <w:szCs w:val="22"/>
          </w:rPr>
          <w:delText xml:space="preserve">két </w:delText>
        </w:r>
        <w:r w:rsidR="00A41C40" w:rsidRPr="00183B5F">
          <w:rPr>
            <w:szCs w:val="22"/>
          </w:rPr>
          <w:delText>40 mg</w:delText>
        </w:r>
        <w:r w:rsidR="00E5381A" w:rsidRPr="00183B5F">
          <w:rPr>
            <w:szCs w:val="22"/>
          </w:rPr>
          <w:noBreakHyphen/>
        </w:r>
        <w:r w:rsidR="00A41C40" w:rsidRPr="00183B5F">
          <w:rPr>
            <w:szCs w:val="22"/>
          </w:rPr>
          <w:delText xml:space="preserve">os </w:delText>
        </w:r>
        <w:r w:rsidRPr="00183B5F">
          <w:rPr>
            <w:szCs w:val="22"/>
          </w:rPr>
          <w:delText>injekció</w:delText>
        </w:r>
        <w:r w:rsidR="00CF23F3" w:rsidRPr="00183B5F">
          <w:rPr>
            <w:szCs w:val="22"/>
          </w:rPr>
          <w:delText xml:space="preserve"> formájában</w:delText>
        </w:r>
        <w:r w:rsidRPr="00183B5F">
          <w:rPr>
            <w:szCs w:val="22"/>
          </w:rPr>
          <w:delText xml:space="preserve">), majd </w:delText>
        </w:r>
        <w:r w:rsidR="00171074" w:rsidRPr="00183B5F">
          <w:rPr>
            <w:szCs w:val="22"/>
          </w:rPr>
          <w:delText xml:space="preserve">két </w:delText>
        </w:r>
        <w:r w:rsidRPr="00183B5F">
          <w:rPr>
            <w:szCs w:val="22"/>
          </w:rPr>
          <w:delText>héttel később 40</w:delText>
        </w:r>
        <w:r w:rsidR="00903B9C" w:rsidRPr="00183B5F">
          <w:rPr>
            <w:szCs w:val="22"/>
          </w:rPr>
          <w:delText> </w:delText>
        </w:r>
        <w:r w:rsidRPr="00183B5F">
          <w:rPr>
            <w:szCs w:val="22"/>
          </w:rPr>
          <w:delText>mg</w:delText>
        </w:r>
        <w:r w:rsidR="00E5381A" w:rsidRPr="00183B5F">
          <w:rPr>
            <w:szCs w:val="22"/>
          </w:rPr>
          <w:noBreakHyphen/>
        </w:r>
        <w:r w:rsidRPr="00183B5F">
          <w:rPr>
            <w:szCs w:val="22"/>
          </w:rPr>
          <w:delText>os adagot is felírhat.</w:delText>
        </w:r>
      </w:del>
    </w:p>
    <w:p w14:paraId="1EFB9DEB" w14:textId="5C6BF94D" w:rsidR="002822F4" w:rsidRPr="00183B5F" w:rsidRDefault="002822F4" w:rsidP="00673483">
      <w:pPr>
        <w:numPr>
          <w:ilvl w:val="12"/>
          <w:numId w:val="0"/>
        </w:numPr>
        <w:spacing w:line="240" w:lineRule="auto"/>
        <w:ind w:right="-2"/>
        <w:rPr>
          <w:del w:id="11659" w:author="AbbVie_HU_03" w:date="2025-05-14T16:41:00Z"/>
          <w:szCs w:val="22"/>
        </w:rPr>
      </w:pPr>
    </w:p>
    <w:p w14:paraId="35E5FC64" w14:textId="19BD34E7" w:rsidR="002822F4" w:rsidRPr="00183B5F" w:rsidRDefault="00943743" w:rsidP="00673483">
      <w:pPr>
        <w:numPr>
          <w:ilvl w:val="12"/>
          <w:numId w:val="0"/>
        </w:numPr>
        <w:spacing w:line="240" w:lineRule="auto"/>
        <w:ind w:right="-2"/>
        <w:rPr>
          <w:del w:id="11660" w:author="AbbVie_HU_03" w:date="2025-05-14T16:41:00Z"/>
          <w:szCs w:val="22"/>
        </w:rPr>
      </w:pPr>
      <w:del w:id="11661" w:author="AbbVie_HU_03" w:date="2025-05-14T16:41:00Z">
        <w:r w:rsidRPr="00183B5F">
          <w:rPr>
            <w:szCs w:val="22"/>
          </w:rPr>
          <w:delText xml:space="preserve">Ezután a szokásos adag </w:delText>
        </w:r>
        <w:r w:rsidR="00DA2B49" w:rsidRPr="00183B5F">
          <w:rPr>
            <w:szCs w:val="22"/>
          </w:rPr>
          <w:delText>kéthetente</w:delText>
        </w:r>
        <w:r w:rsidRPr="00183B5F">
          <w:rPr>
            <w:szCs w:val="22"/>
          </w:rPr>
          <w:delText xml:space="preserve"> 20</w:delText>
        </w:r>
        <w:r w:rsidR="00903B9C" w:rsidRPr="00183B5F">
          <w:rPr>
            <w:szCs w:val="22"/>
          </w:rPr>
          <w:delText> </w:delText>
        </w:r>
        <w:r w:rsidRPr="00183B5F">
          <w:rPr>
            <w:szCs w:val="22"/>
          </w:rPr>
          <w:delText xml:space="preserve">mg. </w:delText>
        </w:r>
        <w:r w:rsidR="000C4F16" w:rsidRPr="00183B5F">
          <w:rPr>
            <w:szCs w:val="22"/>
          </w:rPr>
          <w:delText>Attól f</w:delText>
        </w:r>
        <w:r w:rsidR="00DA2B49" w:rsidRPr="00183B5F">
          <w:rPr>
            <w:szCs w:val="22"/>
          </w:rPr>
          <w:delText>üggően</w:delText>
        </w:r>
        <w:r w:rsidR="005D4AD7" w:rsidRPr="00183B5F">
          <w:rPr>
            <w:szCs w:val="22"/>
          </w:rPr>
          <w:delText xml:space="preserve">, </w:delText>
        </w:r>
        <w:r w:rsidR="000C4F16" w:rsidRPr="00183B5F">
          <w:rPr>
            <w:szCs w:val="22"/>
          </w:rPr>
          <w:delText xml:space="preserve">hogy gyermeke </w:delText>
        </w:r>
        <w:r w:rsidR="005D4AD7" w:rsidRPr="00183B5F">
          <w:rPr>
            <w:szCs w:val="22"/>
          </w:rPr>
          <w:delText xml:space="preserve">hogyan reagál, </w:delText>
        </w:r>
        <w:r w:rsidR="000C4F16" w:rsidRPr="00183B5F">
          <w:rPr>
            <w:szCs w:val="22"/>
          </w:rPr>
          <w:delText xml:space="preserve">a </w:delText>
        </w:r>
        <w:r w:rsidR="005D4AD7" w:rsidRPr="00183B5F">
          <w:rPr>
            <w:szCs w:val="22"/>
          </w:rPr>
          <w:delText>kezelő</w:delText>
        </w:r>
        <w:r w:rsidRPr="00183B5F">
          <w:rPr>
            <w:szCs w:val="22"/>
          </w:rPr>
          <w:delText>orvos heti 20</w:delText>
        </w:r>
        <w:r w:rsidR="00903B9C" w:rsidRPr="00183B5F">
          <w:rPr>
            <w:szCs w:val="22"/>
          </w:rPr>
          <w:delText> </w:delText>
        </w:r>
        <w:r w:rsidRPr="00183B5F">
          <w:rPr>
            <w:szCs w:val="22"/>
          </w:rPr>
          <w:delText>mg</w:delText>
        </w:r>
        <w:r w:rsidR="005B7D8B" w:rsidRPr="00183B5F">
          <w:rPr>
            <w:szCs w:val="22"/>
          </w:rPr>
          <w:noBreakHyphen/>
        </w:r>
        <w:r w:rsidRPr="00183B5F">
          <w:rPr>
            <w:szCs w:val="22"/>
          </w:rPr>
          <w:delText>ra is emelheti az adagot.</w:delText>
        </w:r>
      </w:del>
    </w:p>
    <w:p w14:paraId="531065C3" w14:textId="0AA34D00" w:rsidR="002822F4" w:rsidRPr="00183B5F" w:rsidRDefault="002822F4" w:rsidP="00673483">
      <w:pPr>
        <w:numPr>
          <w:ilvl w:val="12"/>
          <w:numId w:val="0"/>
        </w:numPr>
        <w:spacing w:line="240" w:lineRule="auto"/>
        <w:ind w:right="-2"/>
        <w:rPr>
          <w:del w:id="11662" w:author="AbbVie_HU_03" w:date="2025-05-14T16:41:00Z"/>
          <w:szCs w:val="22"/>
          <w:u w:val="single"/>
        </w:rPr>
      </w:pPr>
    </w:p>
    <w:p w14:paraId="371CD716" w14:textId="529A6057" w:rsidR="002822F4" w:rsidRPr="00183B5F" w:rsidRDefault="00943743" w:rsidP="00673483">
      <w:pPr>
        <w:numPr>
          <w:ilvl w:val="12"/>
          <w:numId w:val="0"/>
        </w:numPr>
        <w:spacing w:line="240" w:lineRule="auto"/>
        <w:ind w:right="-2"/>
        <w:rPr>
          <w:del w:id="11663" w:author="AbbVie_HU_03" w:date="2025-05-14T16:41:00Z"/>
          <w:i/>
          <w:szCs w:val="22"/>
        </w:rPr>
      </w:pPr>
      <w:del w:id="11664" w:author="AbbVie_HU_03" w:date="2025-05-14T16:41:00Z">
        <w:r w:rsidRPr="00183B5F">
          <w:rPr>
            <w:i/>
          </w:rPr>
          <w:delText>6-17 éves kor közötti,</w:delText>
        </w:r>
        <w:r w:rsidRPr="00183B5F">
          <w:rPr>
            <w:i/>
            <w:szCs w:val="22"/>
          </w:rPr>
          <w:delText xml:space="preserve"> 40</w:delText>
        </w:r>
        <w:r w:rsidR="00903B9C" w:rsidRPr="00183B5F">
          <w:rPr>
            <w:i/>
            <w:szCs w:val="22"/>
          </w:rPr>
          <w:delText> </w:delText>
        </w:r>
        <w:r w:rsidRPr="00183B5F">
          <w:rPr>
            <w:i/>
            <w:szCs w:val="22"/>
          </w:rPr>
          <w:delText>kg</w:delText>
        </w:r>
        <w:r w:rsidR="005B7D8B" w:rsidRPr="00183B5F">
          <w:rPr>
            <w:i/>
            <w:szCs w:val="22"/>
          </w:rPr>
          <w:noBreakHyphen/>
        </w:r>
        <w:r w:rsidRPr="00183B5F">
          <w:rPr>
            <w:i/>
            <w:szCs w:val="22"/>
          </w:rPr>
          <w:delText>os vagy annál nagyobb testtömegű gyermekek és serdülők</w:delText>
        </w:r>
      </w:del>
    </w:p>
    <w:p w14:paraId="68743A63" w14:textId="076EBD27" w:rsidR="002822F4" w:rsidRPr="00183B5F" w:rsidRDefault="002822F4" w:rsidP="00673483">
      <w:pPr>
        <w:numPr>
          <w:ilvl w:val="12"/>
          <w:numId w:val="0"/>
        </w:numPr>
        <w:spacing w:line="240" w:lineRule="auto"/>
        <w:ind w:right="-2"/>
        <w:rPr>
          <w:del w:id="11665" w:author="AbbVie_HU_03" w:date="2025-05-14T16:41:00Z"/>
          <w:szCs w:val="22"/>
        </w:rPr>
      </w:pPr>
    </w:p>
    <w:p w14:paraId="4DF0C82C" w14:textId="72904980" w:rsidR="002822F4" w:rsidRPr="00183B5F" w:rsidRDefault="00943743" w:rsidP="00673483">
      <w:pPr>
        <w:numPr>
          <w:ilvl w:val="12"/>
          <w:numId w:val="0"/>
        </w:numPr>
        <w:spacing w:line="240" w:lineRule="auto"/>
        <w:ind w:right="-2"/>
        <w:rPr>
          <w:del w:id="11666" w:author="AbbVie_HU_03" w:date="2025-05-14T16:41:00Z"/>
          <w:szCs w:val="22"/>
        </w:rPr>
      </w:pPr>
      <w:del w:id="11667" w:author="AbbVie_HU_03" w:date="2025-05-14T16:41:00Z">
        <w:r w:rsidRPr="00183B5F">
          <w:rPr>
            <w:szCs w:val="22"/>
          </w:rPr>
          <w:delText>El</w:delText>
        </w:r>
        <w:r w:rsidR="00DC4482" w:rsidRPr="00183B5F">
          <w:rPr>
            <w:szCs w:val="22"/>
          </w:rPr>
          <w:delText>ső alkalommal</w:delText>
        </w:r>
        <w:r w:rsidRPr="00183B5F">
          <w:rPr>
            <w:szCs w:val="22"/>
          </w:rPr>
          <w:delText xml:space="preserve"> 80</w:delText>
        </w:r>
        <w:r w:rsidR="00903B9C" w:rsidRPr="00183B5F">
          <w:rPr>
            <w:szCs w:val="22"/>
          </w:rPr>
          <w:delText> </w:delText>
        </w:r>
        <w:r w:rsidRPr="00183B5F">
          <w:rPr>
            <w:szCs w:val="22"/>
          </w:rPr>
          <w:delText>mg</w:delText>
        </w:r>
        <w:r w:rsidR="00CF23F3" w:rsidRPr="00183B5F">
          <w:rPr>
            <w:szCs w:val="22"/>
          </w:rPr>
          <w:delText xml:space="preserve"> (két </w:delText>
        </w:r>
        <w:r w:rsidR="00992FCA" w:rsidRPr="00183B5F">
          <w:rPr>
            <w:szCs w:val="22"/>
          </w:rPr>
          <w:delText>40 mg</w:delText>
        </w:r>
        <w:r w:rsidR="002C5457" w:rsidRPr="00183B5F">
          <w:rPr>
            <w:szCs w:val="22"/>
          </w:rPr>
          <w:noBreakHyphen/>
        </w:r>
        <w:r w:rsidR="00992FCA" w:rsidRPr="00183B5F">
          <w:rPr>
            <w:szCs w:val="22"/>
          </w:rPr>
          <w:delText xml:space="preserve">os </w:delText>
        </w:r>
        <w:r w:rsidR="00CF23F3" w:rsidRPr="00183B5F">
          <w:rPr>
            <w:szCs w:val="22"/>
          </w:rPr>
          <w:delText>injekció egy napon)</w:delText>
        </w:r>
        <w:r w:rsidRPr="00183B5F">
          <w:rPr>
            <w:szCs w:val="22"/>
          </w:rPr>
          <w:delText xml:space="preserve">, majd </w:delText>
        </w:r>
        <w:r w:rsidR="00171074" w:rsidRPr="00183B5F">
          <w:rPr>
            <w:szCs w:val="22"/>
          </w:rPr>
          <w:delText xml:space="preserve">két </w:delText>
        </w:r>
        <w:r w:rsidRPr="00183B5F">
          <w:rPr>
            <w:szCs w:val="22"/>
          </w:rPr>
          <w:delText>héttel később 40</w:delText>
        </w:r>
        <w:r w:rsidR="00903B9C" w:rsidRPr="00183B5F">
          <w:rPr>
            <w:szCs w:val="22"/>
          </w:rPr>
          <w:delText> </w:delText>
        </w:r>
        <w:r w:rsidRPr="00183B5F">
          <w:rPr>
            <w:szCs w:val="22"/>
          </w:rPr>
          <w:delText xml:space="preserve">mg a szokásos adag. Ha gyorsabb hatásra van szükség, </w:delText>
        </w:r>
        <w:r w:rsidR="005C3281" w:rsidRPr="00183B5F">
          <w:rPr>
            <w:szCs w:val="22"/>
          </w:rPr>
          <w:delText xml:space="preserve">úgy </w:delText>
        </w:r>
        <w:r w:rsidR="003855D8" w:rsidRPr="00183B5F">
          <w:rPr>
            <w:szCs w:val="22"/>
          </w:rPr>
          <w:delText>gyermek</w:delText>
        </w:r>
        <w:r w:rsidR="00163D96" w:rsidRPr="00183B5F">
          <w:rPr>
            <w:szCs w:val="22"/>
          </w:rPr>
          <w:delText>ének</w:delText>
        </w:r>
        <w:r w:rsidR="005C3281" w:rsidRPr="00183B5F">
          <w:rPr>
            <w:szCs w:val="22"/>
          </w:rPr>
          <w:delText xml:space="preserve"> </w:delText>
        </w:r>
        <w:r w:rsidR="003855D8" w:rsidRPr="00183B5F">
          <w:rPr>
            <w:szCs w:val="22"/>
          </w:rPr>
          <w:delText>kezelő</w:delText>
        </w:r>
        <w:r w:rsidRPr="00183B5F">
          <w:rPr>
            <w:szCs w:val="22"/>
          </w:rPr>
          <w:delText>orvosa 160</w:delText>
        </w:r>
        <w:r w:rsidR="00903B9C" w:rsidRPr="00183B5F">
          <w:rPr>
            <w:szCs w:val="22"/>
          </w:rPr>
          <w:delText> </w:delText>
        </w:r>
        <w:r w:rsidRPr="00183B5F">
          <w:rPr>
            <w:szCs w:val="22"/>
          </w:rPr>
          <w:delText>mg kezdőadagot (</w:delText>
        </w:r>
        <w:r w:rsidR="00171074" w:rsidRPr="00183B5F">
          <w:rPr>
            <w:szCs w:val="22"/>
          </w:rPr>
          <w:delText xml:space="preserve">egy </w:delText>
        </w:r>
        <w:r w:rsidRPr="00183B5F">
          <w:rPr>
            <w:szCs w:val="22"/>
          </w:rPr>
          <w:delText xml:space="preserve">nap alatt </w:delText>
        </w:r>
        <w:r w:rsidR="00CF23F3" w:rsidRPr="00183B5F">
          <w:rPr>
            <w:szCs w:val="22"/>
          </w:rPr>
          <w:delText xml:space="preserve">négy </w:delText>
        </w:r>
        <w:r w:rsidR="00992FCA" w:rsidRPr="00183B5F">
          <w:rPr>
            <w:szCs w:val="22"/>
          </w:rPr>
          <w:delText>40 mg</w:delText>
        </w:r>
        <w:r w:rsidR="00E5381A" w:rsidRPr="00183B5F">
          <w:rPr>
            <w:szCs w:val="22"/>
          </w:rPr>
          <w:noBreakHyphen/>
        </w:r>
        <w:r w:rsidR="00992FCA" w:rsidRPr="00183B5F">
          <w:rPr>
            <w:szCs w:val="22"/>
          </w:rPr>
          <w:delText xml:space="preserve">os </w:delText>
        </w:r>
        <w:r w:rsidRPr="00183B5F">
          <w:rPr>
            <w:szCs w:val="22"/>
          </w:rPr>
          <w:delText xml:space="preserve">injekció vagy </w:delText>
        </w:r>
        <w:r w:rsidR="00CF23F3" w:rsidRPr="00183B5F">
          <w:rPr>
            <w:szCs w:val="22"/>
          </w:rPr>
          <w:delText xml:space="preserve">két </w:delText>
        </w:r>
        <w:r w:rsidRPr="00183B5F">
          <w:rPr>
            <w:szCs w:val="22"/>
          </w:rPr>
          <w:delText xml:space="preserve">egymást követő napon </w:delText>
        </w:r>
        <w:r w:rsidR="00CF23F3" w:rsidRPr="00183B5F">
          <w:rPr>
            <w:szCs w:val="22"/>
          </w:rPr>
          <w:delText>két-két</w:delText>
        </w:r>
        <w:r w:rsidRPr="00183B5F">
          <w:rPr>
            <w:szCs w:val="22"/>
          </w:rPr>
          <w:delText xml:space="preserve"> </w:delText>
        </w:r>
        <w:r w:rsidR="00992FCA" w:rsidRPr="00183B5F">
          <w:rPr>
            <w:szCs w:val="22"/>
          </w:rPr>
          <w:delText>40 mg</w:delText>
        </w:r>
        <w:r w:rsidR="00E5381A" w:rsidRPr="00183B5F">
          <w:rPr>
            <w:szCs w:val="22"/>
          </w:rPr>
          <w:noBreakHyphen/>
        </w:r>
        <w:r w:rsidR="00992FCA" w:rsidRPr="00183B5F">
          <w:rPr>
            <w:szCs w:val="22"/>
          </w:rPr>
          <w:delText xml:space="preserve">os </w:delText>
        </w:r>
        <w:r w:rsidRPr="00183B5F">
          <w:rPr>
            <w:szCs w:val="22"/>
          </w:rPr>
          <w:delText xml:space="preserve">injekció), majd </w:delText>
        </w:r>
        <w:r w:rsidR="00171074" w:rsidRPr="00183B5F">
          <w:rPr>
            <w:szCs w:val="22"/>
          </w:rPr>
          <w:delText xml:space="preserve">két </w:delText>
        </w:r>
        <w:r w:rsidR="00903B9C" w:rsidRPr="00183B5F">
          <w:rPr>
            <w:szCs w:val="22"/>
          </w:rPr>
          <w:delText> </w:delText>
        </w:r>
        <w:r w:rsidRPr="00183B5F">
          <w:rPr>
            <w:szCs w:val="22"/>
          </w:rPr>
          <w:delText>héttel később 80</w:delText>
        </w:r>
        <w:r w:rsidR="00903B9C" w:rsidRPr="00183B5F">
          <w:rPr>
            <w:szCs w:val="22"/>
          </w:rPr>
          <w:delText> </w:delText>
        </w:r>
        <w:r w:rsidRPr="00183B5F">
          <w:rPr>
            <w:szCs w:val="22"/>
          </w:rPr>
          <w:delText>mg</w:delText>
        </w:r>
        <w:r w:rsidR="00E5381A" w:rsidRPr="00183B5F">
          <w:rPr>
            <w:szCs w:val="22"/>
          </w:rPr>
          <w:noBreakHyphen/>
        </w:r>
        <w:r w:rsidRPr="00183B5F">
          <w:rPr>
            <w:szCs w:val="22"/>
          </w:rPr>
          <w:delText xml:space="preserve">os </w:delText>
        </w:r>
        <w:r w:rsidR="00CF23F3" w:rsidRPr="00183B5F">
          <w:rPr>
            <w:szCs w:val="22"/>
          </w:rPr>
          <w:delText xml:space="preserve">(egy nap két </w:delText>
        </w:r>
        <w:r w:rsidR="00992FCA" w:rsidRPr="00183B5F">
          <w:rPr>
            <w:szCs w:val="22"/>
          </w:rPr>
          <w:delText>40 mg</w:delText>
        </w:r>
        <w:r w:rsidR="002C5457" w:rsidRPr="00183B5F">
          <w:rPr>
            <w:szCs w:val="22"/>
          </w:rPr>
          <w:noBreakHyphen/>
        </w:r>
        <w:r w:rsidR="00992FCA" w:rsidRPr="00183B5F">
          <w:rPr>
            <w:szCs w:val="22"/>
          </w:rPr>
          <w:delText xml:space="preserve">os </w:delText>
        </w:r>
        <w:r w:rsidR="00CF23F3" w:rsidRPr="00183B5F">
          <w:rPr>
            <w:szCs w:val="22"/>
          </w:rPr>
          <w:delText xml:space="preserve">injekció formájában) </w:delText>
        </w:r>
        <w:r w:rsidRPr="00183B5F">
          <w:rPr>
            <w:szCs w:val="22"/>
          </w:rPr>
          <w:delText>adagot</w:delText>
        </w:r>
        <w:r w:rsidR="005C3281" w:rsidRPr="00183B5F">
          <w:rPr>
            <w:szCs w:val="22"/>
          </w:rPr>
          <w:delText xml:space="preserve"> is felírhat</w:delText>
        </w:r>
        <w:r w:rsidRPr="00183B5F">
          <w:rPr>
            <w:szCs w:val="22"/>
          </w:rPr>
          <w:delText>.</w:delText>
        </w:r>
      </w:del>
    </w:p>
    <w:p w14:paraId="293C2284" w14:textId="2460AEAF" w:rsidR="002822F4" w:rsidRPr="00183B5F" w:rsidRDefault="002822F4" w:rsidP="00673483">
      <w:pPr>
        <w:numPr>
          <w:ilvl w:val="12"/>
          <w:numId w:val="0"/>
        </w:numPr>
        <w:spacing w:line="240" w:lineRule="auto"/>
        <w:ind w:right="-2"/>
        <w:rPr>
          <w:del w:id="11668" w:author="AbbVie_HU_03" w:date="2025-05-14T16:41:00Z"/>
          <w:szCs w:val="22"/>
        </w:rPr>
      </w:pPr>
    </w:p>
    <w:p w14:paraId="0304F654" w14:textId="3B90AE1A" w:rsidR="002822F4" w:rsidRPr="00183B5F" w:rsidRDefault="00943743" w:rsidP="00673483">
      <w:pPr>
        <w:numPr>
          <w:ilvl w:val="12"/>
          <w:numId w:val="0"/>
        </w:numPr>
        <w:spacing w:line="240" w:lineRule="auto"/>
        <w:ind w:right="-2"/>
        <w:rPr>
          <w:del w:id="11669" w:author="AbbVie_HU_03" w:date="2025-05-14T16:41:00Z"/>
          <w:szCs w:val="22"/>
        </w:rPr>
      </w:pPr>
      <w:del w:id="11670" w:author="AbbVie_HU_03" w:date="2025-05-14T16:41:00Z">
        <w:r w:rsidRPr="00183B5F">
          <w:rPr>
            <w:szCs w:val="22"/>
          </w:rPr>
          <w:delText xml:space="preserve">Ezután a szokásos adag </w:delText>
        </w:r>
        <w:r w:rsidR="005C3281" w:rsidRPr="00183B5F">
          <w:rPr>
            <w:szCs w:val="22"/>
          </w:rPr>
          <w:delText>kéthetente</w:delText>
        </w:r>
        <w:r w:rsidRPr="00183B5F">
          <w:rPr>
            <w:szCs w:val="22"/>
          </w:rPr>
          <w:delText xml:space="preserve"> 40</w:delText>
        </w:r>
        <w:r w:rsidR="00903B9C" w:rsidRPr="00183B5F">
          <w:rPr>
            <w:szCs w:val="22"/>
          </w:rPr>
          <w:delText> </w:delText>
        </w:r>
        <w:r w:rsidRPr="00183B5F">
          <w:rPr>
            <w:szCs w:val="22"/>
          </w:rPr>
          <w:delText xml:space="preserve">mg. </w:delText>
        </w:r>
        <w:r w:rsidR="000C4F16" w:rsidRPr="00183B5F">
          <w:rPr>
            <w:szCs w:val="22"/>
          </w:rPr>
          <w:delText>Attól f</w:delText>
        </w:r>
        <w:r w:rsidR="005C3281" w:rsidRPr="00183B5F">
          <w:rPr>
            <w:szCs w:val="22"/>
          </w:rPr>
          <w:delText xml:space="preserve">üggően, </w:delText>
        </w:r>
        <w:r w:rsidR="000C4F16" w:rsidRPr="00183B5F">
          <w:rPr>
            <w:szCs w:val="22"/>
          </w:rPr>
          <w:delText>hogy gyermeke hogyan r</w:delText>
        </w:r>
        <w:r w:rsidR="005C3281" w:rsidRPr="00183B5F">
          <w:rPr>
            <w:szCs w:val="22"/>
          </w:rPr>
          <w:delText>eagál</w:delText>
        </w:r>
        <w:r w:rsidR="000C4F16" w:rsidRPr="00183B5F">
          <w:rPr>
            <w:szCs w:val="22"/>
          </w:rPr>
          <w:delText>,</w:delText>
        </w:r>
        <w:r w:rsidR="005C3281" w:rsidRPr="00183B5F">
          <w:rPr>
            <w:szCs w:val="22"/>
          </w:rPr>
          <w:delText xml:space="preserve"> </w:delText>
        </w:r>
        <w:r w:rsidR="000C4F16" w:rsidRPr="00183B5F">
          <w:rPr>
            <w:szCs w:val="22"/>
          </w:rPr>
          <w:delText xml:space="preserve">a </w:delText>
        </w:r>
        <w:r w:rsidR="000C18B7" w:rsidRPr="00183B5F">
          <w:rPr>
            <w:szCs w:val="22"/>
          </w:rPr>
          <w:delText>kezelő</w:delText>
        </w:r>
        <w:r w:rsidRPr="00183B5F">
          <w:rPr>
            <w:szCs w:val="22"/>
          </w:rPr>
          <w:delText>orvos heti</w:delText>
        </w:r>
        <w:r w:rsidR="00903B9C" w:rsidRPr="00183B5F">
          <w:rPr>
            <w:szCs w:val="22"/>
          </w:rPr>
          <w:delText xml:space="preserve"> </w:delText>
        </w:r>
        <w:r w:rsidRPr="00183B5F">
          <w:rPr>
            <w:szCs w:val="22"/>
          </w:rPr>
          <w:delText>40</w:delText>
        </w:r>
        <w:r w:rsidR="00903B9C" w:rsidRPr="00183B5F">
          <w:rPr>
            <w:szCs w:val="22"/>
          </w:rPr>
          <w:delText> </w:delText>
        </w:r>
        <w:r w:rsidRPr="00183B5F">
          <w:rPr>
            <w:szCs w:val="22"/>
          </w:rPr>
          <w:delText>mg</w:delText>
        </w:r>
        <w:r w:rsidR="00E5381A" w:rsidRPr="00183B5F">
          <w:rPr>
            <w:szCs w:val="22"/>
          </w:rPr>
          <w:noBreakHyphen/>
        </w:r>
        <w:r w:rsidRPr="00183B5F">
          <w:rPr>
            <w:szCs w:val="22"/>
          </w:rPr>
          <w:delText>ra</w:delText>
        </w:r>
        <w:r w:rsidR="00F13823" w:rsidRPr="00183B5F">
          <w:rPr>
            <w:szCs w:val="22"/>
          </w:rPr>
          <w:delText xml:space="preserve"> vagy kéthetente</w:delText>
        </w:r>
        <w:r w:rsidR="00992FCA" w:rsidRPr="00183B5F">
          <w:rPr>
            <w:szCs w:val="22"/>
          </w:rPr>
          <w:delText xml:space="preserve"> 80 mg</w:delText>
        </w:r>
        <w:r w:rsidR="00E5381A" w:rsidRPr="00183B5F">
          <w:rPr>
            <w:szCs w:val="22"/>
          </w:rPr>
          <w:noBreakHyphen/>
        </w:r>
        <w:r w:rsidR="00992FCA" w:rsidRPr="00183B5F">
          <w:rPr>
            <w:szCs w:val="22"/>
          </w:rPr>
          <w:delText>ra</w:delText>
        </w:r>
        <w:r w:rsidRPr="00183B5F">
          <w:rPr>
            <w:szCs w:val="22"/>
          </w:rPr>
          <w:delText xml:space="preserve"> emelheti az adagot.</w:delText>
        </w:r>
      </w:del>
    </w:p>
    <w:p w14:paraId="706A95DB" w14:textId="3873DF7B" w:rsidR="002822F4" w:rsidRPr="00183B5F" w:rsidRDefault="002822F4" w:rsidP="00673483">
      <w:pPr>
        <w:numPr>
          <w:ilvl w:val="12"/>
          <w:numId w:val="0"/>
        </w:numPr>
        <w:spacing w:line="240" w:lineRule="auto"/>
        <w:ind w:right="-2"/>
        <w:rPr>
          <w:del w:id="11671" w:author="AbbVie_HU_03" w:date="2025-05-14T16:41:00Z"/>
          <w:szCs w:val="22"/>
        </w:rPr>
      </w:pPr>
    </w:p>
    <w:p w14:paraId="4403EC3F" w14:textId="5963AA02" w:rsidR="002822F4" w:rsidRPr="00183B5F" w:rsidRDefault="00943743" w:rsidP="00673483">
      <w:pPr>
        <w:keepNext/>
        <w:spacing w:line="240" w:lineRule="auto"/>
        <w:rPr>
          <w:del w:id="11672" w:author="AbbVie_HU_03" w:date="2025-05-14T16:41:00Z"/>
          <w:szCs w:val="22"/>
          <w:u w:val="single"/>
        </w:rPr>
      </w:pPr>
      <w:del w:id="11673" w:author="AbbVie_HU_03" w:date="2025-05-14T16:41:00Z">
        <w:r w:rsidRPr="00183B5F">
          <w:rPr>
            <w:szCs w:val="22"/>
            <w:u w:val="single"/>
          </w:rPr>
          <w:delText>Kolitisz ulcerózában szenvedő felnőttek</w:delText>
        </w:r>
      </w:del>
    </w:p>
    <w:p w14:paraId="658AF6D7" w14:textId="5F7DE305" w:rsidR="002822F4" w:rsidRPr="00183B5F" w:rsidRDefault="002822F4" w:rsidP="00673483">
      <w:pPr>
        <w:keepNext/>
        <w:spacing w:line="240" w:lineRule="auto"/>
        <w:rPr>
          <w:del w:id="11674" w:author="AbbVie_HU_03" w:date="2025-05-14T16:41:00Z"/>
          <w:szCs w:val="22"/>
        </w:rPr>
      </w:pPr>
    </w:p>
    <w:p w14:paraId="1F2C7AA9" w14:textId="5DB5AC31" w:rsidR="007C4EC5" w:rsidRPr="00183B5F" w:rsidRDefault="00943743" w:rsidP="00673483">
      <w:pPr>
        <w:keepNext/>
        <w:spacing w:line="240" w:lineRule="auto"/>
        <w:rPr>
          <w:del w:id="11675" w:author="AbbVie_HU_03" w:date="2025-05-14T16:41:00Z"/>
          <w:szCs w:val="22"/>
        </w:rPr>
      </w:pPr>
      <w:del w:id="11676" w:author="AbbVie_HU_03" w:date="2025-05-14T16:41:00Z">
        <w:r w:rsidRPr="00183B5F">
          <w:rPr>
            <w:szCs w:val="22"/>
          </w:rPr>
          <w:delText xml:space="preserve">Felnőtteknél kolitisz ulcerózában a szokásos adag 160 mg </w:delText>
        </w:r>
        <w:r w:rsidR="00CF23F3" w:rsidRPr="00183B5F">
          <w:rPr>
            <w:szCs w:val="22"/>
          </w:rPr>
          <w:delText>(</w:delText>
        </w:r>
        <w:r w:rsidR="00DF61CC" w:rsidRPr="00183B5F">
          <w:rPr>
            <w:szCs w:val="22"/>
          </w:rPr>
          <w:delText xml:space="preserve">egy nap alatt négy </w:delText>
        </w:r>
        <w:r w:rsidR="00003A4F" w:rsidRPr="00183B5F">
          <w:rPr>
            <w:szCs w:val="22"/>
          </w:rPr>
          <w:delText>40 mg</w:delText>
        </w:r>
        <w:r w:rsidR="002C5457" w:rsidRPr="00183B5F">
          <w:rPr>
            <w:szCs w:val="22"/>
          </w:rPr>
          <w:noBreakHyphen/>
        </w:r>
        <w:r w:rsidR="00003A4F" w:rsidRPr="00183B5F">
          <w:rPr>
            <w:szCs w:val="22"/>
          </w:rPr>
          <w:delText xml:space="preserve">os </w:delText>
        </w:r>
        <w:r w:rsidR="00DF61CC" w:rsidRPr="00183B5F">
          <w:rPr>
            <w:szCs w:val="22"/>
          </w:rPr>
          <w:delText>injekció vagy két egymást követő napon két</w:delText>
        </w:r>
        <w:r w:rsidR="00DF61CC" w:rsidRPr="00183B5F">
          <w:rPr>
            <w:szCs w:val="22"/>
          </w:rPr>
          <w:noBreakHyphen/>
          <w:delText xml:space="preserve">két </w:delText>
        </w:r>
        <w:r w:rsidR="00003A4F" w:rsidRPr="00183B5F">
          <w:rPr>
            <w:szCs w:val="22"/>
          </w:rPr>
          <w:delText>40 mg</w:delText>
        </w:r>
        <w:r w:rsidR="00003A4F" w:rsidRPr="00183B5F">
          <w:rPr>
            <w:szCs w:val="22"/>
          </w:rPr>
          <w:noBreakHyphen/>
          <w:delText xml:space="preserve">os </w:delText>
        </w:r>
        <w:r w:rsidR="00DF61CC" w:rsidRPr="00183B5F">
          <w:rPr>
            <w:szCs w:val="22"/>
          </w:rPr>
          <w:delText>injekció</w:delText>
        </w:r>
        <w:r w:rsidR="00CF23F3" w:rsidRPr="00183B5F">
          <w:rPr>
            <w:szCs w:val="22"/>
          </w:rPr>
          <w:delText xml:space="preserve">) </w:delText>
        </w:r>
        <w:r w:rsidRPr="00183B5F">
          <w:rPr>
            <w:szCs w:val="22"/>
          </w:rPr>
          <w:delText>a 0.</w:delText>
        </w:r>
        <w:r w:rsidR="00A44DB6" w:rsidRPr="00183B5F">
          <w:rPr>
            <w:szCs w:val="22"/>
          </w:rPr>
          <w:delText> </w:delText>
        </w:r>
        <w:r w:rsidR="00171074" w:rsidRPr="00183B5F">
          <w:rPr>
            <w:szCs w:val="22"/>
          </w:rPr>
          <w:delText>h</w:delText>
        </w:r>
        <w:r w:rsidR="00A44DB6" w:rsidRPr="00183B5F">
          <w:rPr>
            <w:szCs w:val="22"/>
          </w:rPr>
          <w:delText>ét</w:delText>
        </w:r>
        <w:r w:rsidRPr="00183B5F">
          <w:rPr>
            <w:szCs w:val="22"/>
          </w:rPr>
          <w:delText>en</w:delText>
        </w:r>
        <w:r w:rsidR="00CF23F3" w:rsidRPr="00183B5F">
          <w:rPr>
            <w:szCs w:val="22"/>
          </w:rPr>
          <w:delText>,</w:delText>
        </w:r>
        <w:r w:rsidRPr="00183B5F">
          <w:rPr>
            <w:szCs w:val="22"/>
          </w:rPr>
          <w:delText xml:space="preserve"> 80</w:delText>
        </w:r>
        <w:r w:rsidR="008716BB" w:rsidRPr="00183B5F">
          <w:rPr>
            <w:szCs w:val="22"/>
          </w:rPr>
          <w:delText> </w:delText>
        </w:r>
        <w:r w:rsidRPr="00183B5F">
          <w:rPr>
            <w:szCs w:val="22"/>
          </w:rPr>
          <w:delText xml:space="preserve">mg </w:delText>
        </w:r>
        <w:r w:rsidR="00003A4F" w:rsidRPr="00183B5F">
          <w:rPr>
            <w:szCs w:val="22"/>
          </w:rPr>
          <w:delText>(két 40 mg</w:delText>
        </w:r>
        <w:r w:rsidR="00003A4F" w:rsidRPr="00183B5F">
          <w:rPr>
            <w:szCs w:val="22"/>
          </w:rPr>
          <w:noBreakHyphen/>
          <w:delText xml:space="preserve">os injekció egy napon) </w:delText>
        </w:r>
        <w:r w:rsidRPr="00183B5F">
          <w:rPr>
            <w:szCs w:val="22"/>
          </w:rPr>
          <w:delText>a 2.</w:delText>
        </w:r>
        <w:r w:rsidR="00A44DB6" w:rsidRPr="00183B5F">
          <w:rPr>
            <w:szCs w:val="22"/>
          </w:rPr>
          <w:delText> hét</w:delText>
        </w:r>
        <w:r w:rsidRPr="00183B5F">
          <w:rPr>
            <w:szCs w:val="22"/>
          </w:rPr>
          <w:delText>en, majd ezt követően 40 mg minden második</w:delText>
        </w:r>
        <w:r w:rsidR="00557871" w:rsidRPr="00183B5F">
          <w:rPr>
            <w:szCs w:val="22"/>
          </w:rPr>
          <w:delText xml:space="preserve"> </w:delText>
        </w:r>
        <w:r w:rsidR="00A44DB6" w:rsidRPr="00183B5F">
          <w:rPr>
            <w:szCs w:val="22"/>
          </w:rPr>
          <w:delText>hét</w:delText>
        </w:r>
        <w:r w:rsidRPr="00183B5F">
          <w:rPr>
            <w:szCs w:val="22"/>
          </w:rPr>
          <w:delText>en. A terápiás hatástól függően orvosa heti 40</w:delText>
        </w:r>
        <w:r w:rsidR="008716BB" w:rsidRPr="00183B5F">
          <w:rPr>
            <w:szCs w:val="22"/>
          </w:rPr>
          <w:delText> </w:delText>
        </w:r>
        <w:r w:rsidRPr="00183B5F">
          <w:rPr>
            <w:szCs w:val="22"/>
          </w:rPr>
          <w:delText>mg</w:delText>
        </w:r>
        <w:r w:rsidR="00E5381A" w:rsidRPr="00183B5F">
          <w:rPr>
            <w:szCs w:val="22"/>
          </w:rPr>
          <w:noBreakHyphen/>
        </w:r>
        <w:r w:rsidRPr="00183B5F">
          <w:rPr>
            <w:szCs w:val="22"/>
          </w:rPr>
          <w:delText xml:space="preserve">ra </w:delText>
        </w:r>
        <w:r w:rsidR="00003A4F" w:rsidRPr="00183B5F">
          <w:rPr>
            <w:szCs w:val="22"/>
          </w:rPr>
          <w:delText>vagy kéthetente 80 mg</w:delText>
        </w:r>
        <w:r w:rsidR="00003A4F" w:rsidRPr="00183B5F">
          <w:rPr>
            <w:szCs w:val="22"/>
          </w:rPr>
          <w:noBreakHyphen/>
          <w:delText xml:space="preserve">ra </w:delText>
        </w:r>
        <w:r w:rsidRPr="00183B5F">
          <w:rPr>
            <w:szCs w:val="22"/>
          </w:rPr>
          <w:delText>emelheti az adagot.</w:delText>
        </w:r>
      </w:del>
    </w:p>
    <w:p w14:paraId="086A7619" w14:textId="1D9BC7F1" w:rsidR="00FB6710" w:rsidRPr="00183B5F" w:rsidRDefault="00FB6710" w:rsidP="00673483">
      <w:pPr>
        <w:spacing w:line="240" w:lineRule="auto"/>
        <w:ind w:right="-2"/>
        <w:rPr>
          <w:del w:id="11677" w:author="AbbVie_HU_03" w:date="2025-05-14T16:41:00Z"/>
          <w:szCs w:val="22"/>
        </w:rPr>
      </w:pPr>
    </w:p>
    <w:p w14:paraId="7741423E" w14:textId="78292642" w:rsidR="007D3746" w:rsidRPr="00183B5F" w:rsidRDefault="00943743" w:rsidP="00673483">
      <w:pPr>
        <w:keepNext/>
        <w:numPr>
          <w:ilvl w:val="12"/>
          <w:numId w:val="0"/>
        </w:numPr>
        <w:spacing w:line="240" w:lineRule="auto"/>
        <w:rPr>
          <w:del w:id="11678" w:author="AbbVie_HU_03" w:date="2025-05-14T16:41:00Z"/>
          <w:u w:val="single"/>
        </w:rPr>
      </w:pPr>
      <w:del w:id="11679" w:author="AbbVie_HU_03" w:date="2025-05-14T16:41:00Z">
        <w:r w:rsidRPr="00183B5F">
          <w:rPr>
            <w:u w:val="single"/>
          </w:rPr>
          <w:delText>Kolitisz ulcerózában szenvedő gyermekek és serdülők</w:delText>
        </w:r>
      </w:del>
    </w:p>
    <w:p w14:paraId="1D974853" w14:textId="5DADB6F9" w:rsidR="007D3746" w:rsidRPr="00183B5F" w:rsidRDefault="007D3746" w:rsidP="00673483">
      <w:pPr>
        <w:keepNext/>
        <w:numPr>
          <w:ilvl w:val="12"/>
          <w:numId w:val="0"/>
        </w:numPr>
        <w:spacing w:line="240" w:lineRule="auto"/>
        <w:rPr>
          <w:del w:id="11680" w:author="AbbVie_HU_03" w:date="2025-05-14T16:41:00Z"/>
          <w:i/>
          <w:iCs/>
        </w:rPr>
      </w:pPr>
    </w:p>
    <w:p w14:paraId="4FBE5F1C" w14:textId="561B2FD0" w:rsidR="007D3746" w:rsidRPr="00183B5F" w:rsidRDefault="00943743" w:rsidP="00673483">
      <w:pPr>
        <w:keepNext/>
        <w:numPr>
          <w:ilvl w:val="12"/>
          <w:numId w:val="0"/>
        </w:numPr>
        <w:spacing w:line="240" w:lineRule="auto"/>
        <w:rPr>
          <w:del w:id="11681" w:author="AbbVie_HU_03" w:date="2025-05-14T16:41:00Z"/>
          <w:i/>
          <w:iCs/>
        </w:rPr>
      </w:pPr>
      <w:del w:id="11682" w:author="AbbVie_HU_03" w:date="2025-05-14T16:41:00Z">
        <w:r w:rsidRPr="00183B5F">
          <w:rPr>
            <w:i/>
          </w:rPr>
          <w:delText xml:space="preserve">6 éves </w:delText>
        </w:r>
        <w:r w:rsidR="004C08B8" w:rsidRPr="00183B5F">
          <w:rPr>
            <w:i/>
          </w:rPr>
          <w:delText>vagy annál idősebb</w:delText>
        </w:r>
        <w:r w:rsidRPr="00183B5F">
          <w:rPr>
            <w:i/>
          </w:rPr>
          <w:delText>, 40 kg-nál kisebb testtömegű gyermekek és serdülők</w:delText>
        </w:r>
      </w:del>
    </w:p>
    <w:p w14:paraId="55538F89" w14:textId="6C0616C0" w:rsidR="007D3746" w:rsidRPr="00183B5F" w:rsidRDefault="007D3746" w:rsidP="00673483">
      <w:pPr>
        <w:keepNext/>
        <w:numPr>
          <w:ilvl w:val="12"/>
          <w:numId w:val="0"/>
        </w:numPr>
        <w:spacing w:line="240" w:lineRule="auto"/>
        <w:rPr>
          <w:del w:id="11683" w:author="AbbVie_HU_03" w:date="2025-05-14T16:41:00Z"/>
        </w:rPr>
      </w:pPr>
    </w:p>
    <w:p w14:paraId="01B656DC" w14:textId="59F996E8" w:rsidR="007D3746" w:rsidRPr="00183B5F" w:rsidRDefault="00943743" w:rsidP="00673483">
      <w:pPr>
        <w:numPr>
          <w:ilvl w:val="12"/>
          <w:numId w:val="0"/>
        </w:numPr>
        <w:spacing w:line="240" w:lineRule="auto"/>
        <w:ind w:right="-2"/>
        <w:rPr>
          <w:del w:id="11684" w:author="AbbVie_HU_03" w:date="2025-05-14T16:41:00Z"/>
        </w:rPr>
      </w:pPr>
      <w:del w:id="11685" w:author="AbbVie_HU_03" w:date="2025-05-14T16:41:00Z">
        <w:r w:rsidRPr="00183B5F">
          <w:delText xml:space="preserve">A Humira szokásos adagja </w:delText>
        </w:r>
        <w:r w:rsidR="00DE7BD6" w:rsidRPr="00183B5F">
          <w:delText>első alkalommal</w:delText>
        </w:r>
        <w:r w:rsidRPr="00183B5F">
          <w:delText xml:space="preserve"> 80 mg (két 40 mg-os injekció formájában egy nap</w:delText>
        </w:r>
        <w:r w:rsidR="00DE7BD6" w:rsidRPr="00183B5F">
          <w:delText>on</w:delText>
        </w:r>
        <w:r w:rsidRPr="00183B5F">
          <w:delText>), amelyet két hét múlva 40 mg (egy 40 mg-os injekció formájában) követ. Ezt követően a szokásos adag 40 mg kéthetente.</w:delText>
        </w:r>
      </w:del>
    </w:p>
    <w:p w14:paraId="4B2EF277" w14:textId="571F1A8C" w:rsidR="007D3746" w:rsidRPr="00183B5F" w:rsidRDefault="007D3746" w:rsidP="00673483">
      <w:pPr>
        <w:numPr>
          <w:ilvl w:val="12"/>
          <w:numId w:val="0"/>
        </w:numPr>
        <w:spacing w:line="240" w:lineRule="auto"/>
        <w:ind w:right="-2"/>
        <w:rPr>
          <w:del w:id="11686" w:author="AbbVie_HU_03" w:date="2025-05-14T16:41:00Z"/>
        </w:rPr>
      </w:pPr>
    </w:p>
    <w:p w14:paraId="63189014" w14:textId="340B6BF3" w:rsidR="007D3746" w:rsidRPr="00183B5F" w:rsidRDefault="00943743" w:rsidP="00673483">
      <w:pPr>
        <w:numPr>
          <w:ilvl w:val="12"/>
          <w:numId w:val="0"/>
        </w:numPr>
        <w:spacing w:line="240" w:lineRule="auto"/>
        <w:ind w:right="-2"/>
        <w:rPr>
          <w:del w:id="11687" w:author="AbbVie_HU_03" w:date="2025-05-14T16:41:00Z"/>
        </w:rPr>
      </w:pPr>
      <w:del w:id="11688" w:author="AbbVie_HU_03" w:date="2025-05-14T16:41:00Z">
        <w:r w:rsidRPr="00183B5F">
          <w:delText>Azoknak a betegeknek, akik a kéthetenkénti 40 mg-os dózis alkalmazása alatt töltik be 18 éves korukat, folytatniuk kell az előírt dózist.</w:delText>
        </w:r>
      </w:del>
    </w:p>
    <w:p w14:paraId="405C3FBC" w14:textId="35391242" w:rsidR="007D3746" w:rsidRPr="00183B5F" w:rsidRDefault="007D3746" w:rsidP="00673483">
      <w:pPr>
        <w:numPr>
          <w:ilvl w:val="12"/>
          <w:numId w:val="0"/>
        </w:numPr>
        <w:spacing w:line="240" w:lineRule="auto"/>
        <w:ind w:right="-2"/>
        <w:rPr>
          <w:del w:id="11689" w:author="AbbVie_HU_03" w:date="2025-05-14T16:41:00Z"/>
          <w:i/>
          <w:iCs/>
        </w:rPr>
      </w:pPr>
    </w:p>
    <w:p w14:paraId="2E05DB6D" w14:textId="2C1D3408" w:rsidR="007D3746" w:rsidRPr="00183B5F" w:rsidRDefault="00943743" w:rsidP="00673483">
      <w:pPr>
        <w:numPr>
          <w:ilvl w:val="12"/>
          <w:numId w:val="0"/>
        </w:numPr>
        <w:spacing w:line="240" w:lineRule="auto"/>
        <w:ind w:right="-2"/>
        <w:rPr>
          <w:del w:id="11690" w:author="AbbVie_HU_03" w:date="2025-05-14T16:41:00Z"/>
          <w:i/>
          <w:iCs/>
        </w:rPr>
      </w:pPr>
      <w:del w:id="11691" w:author="AbbVie_HU_03" w:date="2025-05-14T16:41:00Z">
        <w:r w:rsidRPr="00183B5F">
          <w:rPr>
            <w:i/>
          </w:rPr>
          <w:delText>6 éves vagy annál idősebb, 40 kg-os vagy annál nagyobb testtömegű gyermekek és serdülők</w:delText>
        </w:r>
      </w:del>
    </w:p>
    <w:p w14:paraId="31BFAD0E" w14:textId="7761DD90" w:rsidR="007D3746" w:rsidRPr="00183B5F" w:rsidRDefault="007D3746" w:rsidP="00673483">
      <w:pPr>
        <w:numPr>
          <w:ilvl w:val="12"/>
          <w:numId w:val="0"/>
        </w:numPr>
        <w:spacing w:line="240" w:lineRule="auto"/>
        <w:ind w:right="-2"/>
        <w:rPr>
          <w:del w:id="11692" w:author="AbbVie_HU_03" w:date="2025-05-14T16:41:00Z"/>
        </w:rPr>
      </w:pPr>
    </w:p>
    <w:p w14:paraId="215EBE5D" w14:textId="0F309770" w:rsidR="00A521D7" w:rsidRPr="00183B5F" w:rsidRDefault="00943743" w:rsidP="00673483">
      <w:pPr>
        <w:numPr>
          <w:ilvl w:val="12"/>
          <w:numId w:val="0"/>
        </w:numPr>
        <w:spacing w:line="240" w:lineRule="auto"/>
        <w:ind w:right="-2"/>
        <w:rPr>
          <w:del w:id="11693" w:author="AbbVie_HU_03" w:date="2025-05-14T16:41:00Z"/>
        </w:rPr>
      </w:pPr>
      <w:del w:id="11694" w:author="AbbVie_HU_03" w:date="2025-05-14T16:41:00Z">
        <w:r w:rsidRPr="00183B5F">
          <w:delText xml:space="preserve">A Humira szokásos adagja </w:delText>
        </w:r>
        <w:r w:rsidR="00DE7BD6" w:rsidRPr="00183B5F">
          <w:delText>első alkalommal</w:delText>
        </w:r>
        <w:r w:rsidRPr="00183B5F">
          <w:delText xml:space="preserve"> 160 mg (négy 40 mg-os injekció egy nap</w:delText>
        </w:r>
        <w:r w:rsidR="00DE7BD6" w:rsidRPr="00183B5F">
          <w:delText>on</w:delText>
        </w:r>
        <w:r w:rsidRPr="00183B5F">
          <w:delText xml:space="preserve"> vagy két 40 mg-os injekció két egymást követő napon), majd két hét múlva 80 mg (két 40 mg-os injekció formájában egy nap</w:delText>
        </w:r>
        <w:r w:rsidR="00DE7BD6" w:rsidRPr="00183B5F">
          <w:delText>on</w:delText>
        </w:r>
        <w:r w:rsidRPr="00183B5F">
          <w:delText>). Ezt követően a szokásos adag 80 mg kéthetente.</w:delText>
        </w:r>
      </w:del>
    </w:p>
    <w:p w14:paraId="4AB9CC2D" w14:textId="562E69AB" w:rsidR="007D3746" w:rsidRPr="00183B5F" w:rsidRDefault="007D3746" w:rsidP="00673483">
      <w:pPr>
        <w:numPr>
          <w:ilvl w:val="12"/>
          <w:numId w:val="0"/>
        </w:numPr>
        <w:spacing w:line="240" w:lineRule="auto"/>
        <w:ind w:right="-2"/>
        <w:rPr>
          <w:del w:id="11695" w:author="AbbVie_HU_03" w:date="2025-05-14T16:41:00Z"/>
        </w:rPr>
      </w:pPr>
    </w:p>
    <w:p w14:paraId="54DAC4BF" w14:textId="76D729D7" w:rsidR="007D3746" w:rsidRPr="00183B5F" w:rsidRDefault="00943743" w:rsidP="00673483">
      <w:pPr>
        <w:numPr>
          <w:ilvl w:val="12"/>
          <w:numId w:val="0"/>
        </w:numPr>
        <w:spacing w:line="240" w:lineRule="auto"/>
        <w:ind w:right="-2"/>
        <w:rPr>
          <w:del w:id="11696" w:author="AbbVie_HU_03" w:date="2025-05-14T16:41:00Z"/>
        </w:rPr>
      </w:pPr>
      <w:del w:id="11697" w:author="AbbVie_HU_03" w:date="2025-05-14T16:41:00Z">
        <w:r w:rsidRPr="00183B5F">
          <w:delText>Azoknak a betegeknek, akik a kéthetenkénti 80 mg-os dózis alkalmazása alatt töltik be 18 éves korukat, folytatniuk kell az előírt dózist.</w:delText>
        </w:r>
      </w:del>
    </w:p>
    <w:p w14:paraId="67BAAA87" w14:textId="376D2181" w:rsidR="007D3746" w:rsidRPr="00183B5F" w:rsidRDefault="007D3746" w:rsidP="00673483">
      <w:pPr>
        <w:spacing w:line="240" w:lineRule="auto"/>
        <w:ind w:right="-2"/>
        <w:rPr>
          <w:del w:id="11698" w:author="AbbVie_HU_03" w:date="2025-05-14T16:41:00Z"/>
          <w:szCs w:val="22"/>
        </w:rPr>
      </w:pPr>
    </w:p>
    <w:p w14:paraId="7F2CE065" w14:textId="717EECA5" w:rsidR="00334330" w:rsidRPr="00183B5F" w:rsidRDefault="00943743" w:rsidP="00673483">
      <w:pPr>
        <w:keepNext/>
        <w:spacing w:line="240" w:lineRule="auto"/>
        <w:rPr>
          <w:del w:id="11699" w:author="AbbVie_HU_03" w:date="2025-05-14T16:41:00Z"/>
          <w:szCs w:val="22"/>
          <w:u w:val="single"/>
        </w:rPr>
      </w:pPr>
      <w:del w:id="11700" w:author="AbbVie_HU_03" w:date="2025-05-14T16:41:00Z">
        <w:r w:rsidRPr="00183B5F">
          <w:rPr>
            <w:szCs w:val="22"/>
            <w:u w:val="single"/>
          </w:rPr>
          <w:delText>Nem fertőzéses eredetű szemgyulladásban (uveitisz) szenvedő felnőttek</w:delText>
        </w:r>
      </w:del>
    </w:p>
    <w:p w14:paraId="77A97D59" w14:textId="2D497B8A" w:rsidR="00334330" w:rsidRPr="00183B5F" w:rsidRDefault="00334330" w:rsidP="00673483">
      <w:pPr>
        <w:keepNext/>
        <w:spacing w:line="240" w:lineRule="auto"/>
        <w:rPr>
          <w:del w:id="11701" w:author="AbbVie_HU_03" w:date="2025-05-14T16:41:00Z"/>
          <w:szCs w:val="22"/>
        </w:rPr>
      </w:pPr>
    </w:p>
    <w:p w14:paraId="3C3AA682" w14:textId="2BA72AFA" w:rsidR="0047052F" w:rsidRPr="00183B5F" w:rsidRDefault="00943743" w:rsidP="00673483">
      <w:pPr>
        <w:keepNext/>
        <w:spacing w:line="240" w:lineRule="auto"/>
        <w:rPr>
          <w:del w:id="11702" w:author="AbbVie_HU_03" w:date="2025-05-14T16:41:00Z"/>
          <w:szCs w:val="22"/>
        </w:rPr>
      </w:pPr>
      <w:del w:id="11703" w:author="AbbVie_HU_03" w:date="2025-05-14T16:41:00Z">
        <w:r w:rsidRPr="00183B5F">
          <w:rPr>
            <w:szCs w:val="22"/>
          </w:rPr>
          <w:delText>Nem fertőzéses eredetű szemgyulladásban (uveitisz) szenvedő felnőtte</w:delText>
        </w:r>
        <w:r w:rsidR="00CB7B2B" w:rsidRPr="00183B5F">
          <w:rPr>
            <w:szCs w:val="22"/>
          </w:rPr>
          <w:delText>k</w:delText>
        </w:r>
        <w:r w:rsidRPr="00183B5F">
          <w:rPr>
            <w:szCs w:val="22"/>
          </w:rPr>
          <w:delText>nél a szokásos adag először 80 mg</w:delText>
        </w:r>
        <w:r w:rsidR="00CF23F3" w:rsidRPr="00183B5F">
          <w:rPr>
            <w:szCs w:val="22"/>
          </w:rPr>
          <w:delText xml:space="preserve"> (két injekció egy napon)</w:delText>
        </w:r>
        <w:r w:rsidRPr="00183B5F">
          <w:rPr>
            <w:szCs w:val="22"/>
          </w:rPr>
          <w:delText xml:space="preserve">, majd </w:delText>
        </w:r>
        <w:r w:rsidR="008C298A" w:rsidRPr="00183B5F">
          <w:rPr>
            <w:szCs w:val="22"/>
          </w:rPr>
          <w:delText xml:space="preserve">egy </w:delText>
        </w:r>
        <w:r w:rsidRPr="00183B5F">
          <w:rPr>
            <w:szCs w:val="22"/>
          </w:rPr>
          <w:delText>héttel a kezdő</w:delText>
        </w:r>
        <w:r w:rsidR="009F0E1C" w:rsidRPr="00183B5F">
          <w:rPr>
            <w:szCs w:val="22"/>
          </w:rPr>
          <w:delText xml:space="preserve"> </w:delText>
        </w:r>
        <w:r w:rsidRPr="00183B5F">
          <w:rPr>
            <w:szCs w:val="22"/>
          </w:rPr>
          <w:delText xml:space="preserve">adag után 40 mg minden második héten beadva. Addig kell folytatnia a Humira beadását, amíg </w:delText>
        </w:r>
        <w:r w:rsidR="00A67C57" w:rsidRPr="00183B5F">
          <w:rPr>
            <w:szCs w:val="22"/>
          </w:rPr>
          <w:delText>kezelő</w:delText>
        </w:r>
        <w:r w:rsidRPr="00183B5F">
          <w:rPr>
            <w:szCs w:val="22"/>
          </w:rPr>
          <w:delText xml:space="preserve">orvosa </w:delText>
        </w:r>
        <w:r w:rsidR="00A67C57" w:rsidRPr="00183B5F">
          <w:rPr>
            <w:szCs w:val="22"/>
          </w:rPr>
          <w:delText>mondja Önnek</w:delText>
        </w:r>
        <w:r w:rsidRPr="00183B5F">
          <w:rPr>
            <w:szCs w:val="22"/>
          </w:rPr>
          <w:delText xml:space="preserve">. </w:delText>
        </w:r>
      </w:del>
    </w:p>
    <w:p w14:paraId="3112A7B6" w14:textId="472886AC" w:rsidR="00334330" w:rsidRPr="00183B5F" w:rsidRDefault="00334330" w:rsidP="00673483">
      <w:pPr>
        <w:spacing w:line="240" w:lineRule="auto"/>
        <w:ind w:right="-2"/>
        <w:rPr>
          <w:del w:id="11704" w:author="AbbVie_HU_03" w:date="2025-05-14T16:41:00Z"/>
          <w:szCs w:val="22"/>
        </w:rPr>
      </w:pPr>
    </w:p>
    <w:p w14:paraId="33B8CCD5" w14:textId="760B4A0E" w:rsidR="0047052F" w:rsidRPr="00183B5F" w:rsidRDefault="00943743" w:rsidP="00673483">
      <w:pPr>
        <w:spacing w:line="240" w:lineRule="auto"/>
        <w:ind w:right="-2"/>
        <w:rPr>
          <w:del w:id="11705" w:author="AbbVie_HU_03" w:date="2025-05-14T16:41:00Z"/>
          <w:szCs w:val="22"/>
        </w:rPr>
      </w:pPr>
      <w:del w:id="11706" w:author="AbbVie_HU_03" w:date="2025-05-14T16:41:00Z">
        <w:r w:rsidRPr="00183B5F">
          <w:rPr>
            <w:szCs w:val="22"/>
          </w:rPr>
          <w:delText>Nem fertőzéses eredetű szemgyulladásban kortikoszteroidok vagy egyéb, az immunrendszer működését befolyásoló gyógyszerek adhatók a Humira</w:delText>
        </w:r>
        <w:r w:rsidRPr="00183B5F">
          <w:rPr>
            <w:szCs w:val="22"/>
          </w:rPr>
          <w:noBreakHyphen/>
          <w:delText>val egyidejűleg. A Humira önmagában is alkalmazható.</w:delText>
        </w:r>
      </w:del>
    </w:p>
    <w:p w14:paraId="5396C771" w14:textId="2A250089" w:rsidR="0042302B" w:rsidRPr="00183B5F" w:rsidRDefault="0042302B" w:rsidP="00673483">
      <w:pPr>
        <w:spacing w:line="240" w:lineRule="auto"/>
        <w:ind w:right="-2"/>
        <w:rPr>
          <w:del w:id="11707" w:author="AbbVie_HU_03" w:date="2025-05-14T16:41:00Z"/>
          <w:szCs w:val="22"/>
        </w:rPr>
      </w:pPr>
    </w:p>
    <w:p w14:paraId="5A6E1F81" w14:textId="3B277025" w:rsidR="0042302B" w:rsidRPr="00183B5F" w:rsidRDefault="00943743" w:rsidP="00673483">
      <w:pPr>
        <w:keepNext/>
        <w:numPr>
          <w:ilvl w:val="12"/>
          <w:numId w:val="0"/>
        </w:numPr>
        <w:spacing w:line="240" w:lineRule="auto"/>
        <w:rPr>
          <w:del w:id="11708" w:author="AbbVie_HU_03" w:date="2025-05-14T16:41:00Z"/>
          <w:szCs w:val="22"/>
          <w:u w:val="single"/>
        </w:rPr>
      </w:pPr>
      <w:del w:id="11709" w:author="AbbVie_HU_03" w:date="2025-05-14T16:41:00Z">
        <w:r w:rsidRPr="00183B5F">
          <w:rPr>
            <w:szCs w:val="22"/>
            <w:u w:val="single"/>
          </w:rPr>
          <w:delText xml:space="preserve">Krónikus, nem fertőzéses eredetű szemgyulladásban (uveitisz) szenvedő gyermekek </w:delText>
        </w:r>
        <w:r w:rsidR="00CF23F3" w:rsidRPr="00183B5F">
          <w:rPr>
            <w:szCs w:val="22"/>
            <w:u w:val="single"/>
          </w:rPr>
          <w:delText xml:space="preserve">és serdülők </w:delText>
        </w:r>
        <w:r w:rsidRPr="00183B5F">
          <w:rPr>
            <w:szCs w:val="22"/>
            <w:u w:val="single"/>
          </w:rPr>
          <w:delText>2 éves kortól</w:delText>
        </w:r>
      </w:del>
    </w:p>
    <w:p w14:paraId="4DBB6F74" w14:textId="7306137B" w:rsidR="0042302B" w:rsidRPr="00183B5F" w:rsidRDefault="0042302B" w:rsidP="00673483">
      <w:pPr>
        <w:keepNext/>
        <w:numPr>
          <w:ilvl w:val="12"/>
          <w:numId w:val="0"/>
        </w:numPr>
        <w:spacing w:line="240" w:lineRule="auto"/>
        <w:rPr>
          <w:del w:id="11710" w:author="AbbVie_HU_03" w:date="2025-05-14T16:41:00Z"/>
          <w:szCs w:val="22"/>
          <w:u w:val="single"/>
        </w:rPr>
      </w:pPr>
    </w:p>
    <w:p w14:paraId="2AAF9BF2" w14:textId="156F7D2F" w:rsidR="00CF23F3" w:rsidRPr="00183B5F" w:rsidRDefault="00943743" w:rsidP="00673483">
      <w:pPr>
        <w:numPr>
          <w:ilvl w:val="12"/>
          <w:numId w:val="0"/>
        </w:numPr>
        <w:spacing w:line="240" w:lineRule="auto"/>
        <w:ind w:right="-2"/>
        <w:rPr>
          <w:del w:id="11711" w:author="AbbVie_HU_03" w:date="2025-05-14T16:41:00Z"/>
          <w:i/>
        </w:rPr>
      </w:pPr>
      <w:del w:id="11712" w:author="AbbVie_HU_03" w:date="2025-05-14T16:41:00Z">
        <w:r w:rsidRPr="00183B5F">
          <w:rPr>
            <w:i/>
          </w:rPr>
          <w:delText>2 éves kor feletti, 30 kg</w:delText>
        </w:r>
        <w:r w:rsidRPr="00183B5F">
          <w:rPr>
            <w:i/>
          </w:rPr>
          <w:noBreakHyphen/>
        </w:r>
        <w:r w:rsidRPr="00183B5F">
          <w:rPr>
            <w:i/>
          </w:rPr>
          <w:delText xml:space="preserve">nál kisebb testtömegű gyermekek és serdülők </w:delText>
        </w:r>
      </w:del>
    </w:p>
    <w:p w14:paraId="2DFE4E7C" w14:textId="712220E1" w:rsidR="0042302B" w:rsidRPr="00183B5F" w:rsidRDefault="0042302B" w:rsidP="00673483">
      <w:pPr>
        <w:numPr>
          <w:ilvl w:val="12"/>
          <w:numId w:val="0"/>
        </w:numPr>
        <w:spacing w:line="240" w:lineRule="auto"/>
        <w:ind w:right="-2"/>
        <w:rPr>
          <w:del w:id="11713" w:author="AbbVie_HU_03" w:date="2025-05-14T16:41:00Z"/>
          <w:szCs w:val="22"/>
        </w:rPr>
      </w:pPr>
    </w:p>
    <w:p w14:paraId="1015AE09" w14:textId="1CF67EA4" w:rsidR="0042302B" w:rsidRPr="00183B5F" w:rsidRDefault="00943743" w:rsidP="00673483">
      <w:pPr>
        <w:numPr>
          <w:ilvl w:val="12"/>
          <w:numId w:val="0"/>
        </w:numPr>
        <w:spacing w:line="240" w:lineRule="auto"/>
        <w:ind w:right="-2"/>
        <w:rPr>
          <w:del w:id="11714" w:author="AbbVie_HU_03" w:date="2025-05-14T16:41:00Z"/>
          <w:szCs w:val="22"/>
        </w:rPr>
      </w:pPr>
      <w:del w:id="11715" w:author="AbbVie_HU_03" w:date="2025-05-14T16:41:00Z">
        <w:r w:rsidRPr="00183B5F">
          <w:rPr>
            <w:szCs w:val="22"/>
          </w:rPr>
          <w:delText>A Humira szokásos adagja 20 mg minden második héten</w:delText>
        </w:r>
        <w:r w:rsidR="003C11FA" w:rsidRPr="00183B5F">
          <w:rPr>
            <w:szCs w:val="22"/>
          </w:rPr>
          <w:delText>,</w:delText>
        </w:r>
        <w:r w:rsidRPr="00183B5F">
          <w:rPr>
            <w:szCs w:val="22"/>
          </w:rPr>
          <w:delText xml:space="preserve"> metotrexáttal kombiná</w:delText>
        </w:r>
        <w:r w:rsidR="00DC6E72" w:rsidRPr="00183B5F">
          <w:rPr>
            <w:szCs w:val="22"/>
          </w:rPr>
          <w:delText>lva</w:delText>
        </w:r>
        <w:r w:rsidRPr="00183B5F">
          <w:rPr>
            <w:szCs w:val="22"/>
          </w:rPr>
          <w:delText>.</w:delText>
        </w:r>
      </w:del>
    </w:p>
    <w:p w14:paraId="2AC25195" w14:textId="376513B9" w:rsidR="0042302B" w:rsidRPr="00183B5F" w:rsidRDefault="0042302B" w:rsidP="00673483">
      <w:pPr>
        <w:numPr>
          <w:ilvl w:val="12"/>
          <w:numId w:val="0"/>
        </w:numPr>
        <w:spacing w:line="240" w:lineRule="auto"/>
        <w:ind w:right="-2"/>
        <w:rPr>
          <w:del w:id="11716" w:author="AbbVie_HU_03" w:date="2025-05-14T16:41:00Z"/>
          <w:szCs w:val="22"/>
        </w:rPr>
      </w:pPr>
    </w:p>
    <w:p w14:paraId="7BC09173" w14:textId="71B4AFDC" w:rsidR="0042302B" w:rsidRPr="00183B5F" w:rsidRDefault="00943743" w:rsidP="00673483">
      <w:pPr>
        <w:numPr>
          <w:ilvl w:val="12"/>
          <w:numId w:val="0"/>
        </w:numPr>
        <w:spacing w:line="240" w:lineRule="auto"/>
        <w:ind w:right="-2"/>
        <w:rPr>
          <w:del w:id="11717" w:author="AbbVie_HU_03" w:date="2025-05-14T16:41:00Z"/>
          <w:szCs w:val="22"/>
        </w:rPr>
      </w:pPr>
      <w:del w:id="11718" w:author="AbbVie_HU_03" w:date="2025-05-14T16:41:00Z">
        <w:r w:rsidRPr="00183B5F">
          <w:rPr>
            <w:szCs w:val="22"/>
          </w:rPr>
          <w:delText xml:space="preserve">Kezelőorvosa </w:delText>
        </w:r>
        <w:r w:rsidR="009201C1" w:rsidRPr="00183B5F">
          <w:rPr>
            <w:szCs w:val="22"/>
          </w:rPr>
          <w:delText xml:space="preserve">egy </w:delText>
        </w:r>
        <w:r w:rsidRPr="00183B5F">
          <w:rPr>
            <w:szCs w:val="22"/>
          </w:rPr>
          <w:delText>40 mg</w:delText>
        </w:r>
        <w:r w:rsidR="00B6025C" w:rsidRPr="00183B5F">
          <w:rPr>
            <w:szCs w:val="22"/>
          </w:rPr>
          <w:noBreakHyphen/>
        </w:r>
        <w:r w:rsidR="009201C1" w:rsidRPr="00183B5F">
          <w:rPr>
            <w:szCs w:val="22"/>
          </w:rPr>
          <w:delText>os</w:delText>
        </w:r>
        <w:r w:rsidRPr="00183B5F">
          <w:rPr>
            <w:szCs w:val="22"/>
          </w:rPr>
          <w:delText xml:space="preserve"> kezdő adagot is felírhat, melyet egy héttel a szokásos adagolás megkezdése előtt kell beadni.</w:delText>
        </w:r>
      </w:del>
    </w:p>
    <w:p w14:paraId="2598DE31" w14:textId="3BCB6DFA" w:rsidR="0042302B" w:rsidRPr="00183B5F" w:rsidRDefault="0042302B" w:rsidP="00673483">
      <w:pPr>
        <w:numPr>
          <w:ilvl w:val="12"/>
          <w:numId w:val="0"/>
        </w:numPr>
        <w:spacing w:line="240" w:lineRule="auto"/>
        <w:ind w:right="-2"/>
        <w:rPr>
          <w:del w:id="11719" w:author="AbbVie_HU_03" w:date="2025-05-14T16:41:00Z"/>
          <w:szCs w:val="22"/>
        </w:rPr>
      </w:pPr>
    </w:p>
    <w:p w14:paraId="7490C98D" w14:textId="0ACEE822" w:rsidR="00CF23F3" w:rsidRPr="00183B5F" w:rsidRDefault="00943743" w:rsidP="00673483">
      <w:pPr>
        <w:numPr>
          <w:ilvl w:val="12"/>
          <w:numId w:val="0"/>
        </w:numPr>
        <w:spacing w:line="240" w:lineRule="auto"/>
        <w:ind w:right="-2"/>
        <w:rPr>
          <w:del w:id="11720" w:author="AbbVie_HU_03" w:date="2025-05-14T16:41:00Z"/>
          <w:i/>
          <w:szCs w:val="22"/>
          <w:u w:val="single"/>
        </w:rPr>
      </w:pPr>
      <w:del w:id="11721" w:author="AbbVie_HU_03" w:date="2025-05-14T16:41:00Z">
        <w:r w:rsidRPr="00183B5F">
          <w:rPr>
            <w:i/>
          </w:rPr>
          <w:delText>2 éves kor feletti, 30 kg vagy annál nagyobb testtömegű gyermekek és serdülők</w:delText>
        </w:r>
        <w:r w:rsidRPr="00183B5F">
          <w:rPr>
            <w:i/>
            <w:szCs w:val="22"/>
            <w:u w:val="single"/>
          </w:rPr>
          <w:delText xml:space="preserve"> </w:delText>
        </w:r>
      </w:del>
    </w:p>
    <w:p w14:paraId="7191188F" w14:textId="3EAC21B0" w:rsidR="0042302B" w:rsidRPr="00183B5F" w:rsidRDefault="0042302B" w:rsidP="00673483">
      <w:pPr>
        <w:numPr>
          <w:ilvl w:val="12"/>
          <w:numId w:val="0"/>
        </w:numPr>
        <w:spacing w:line="240" w:lineRule="auto"/>
        <w:ind w:right="-2"/>
        <w:rPr>
          <w:del w:id="11722" w:author="AbbVie_HU_03" w:date="2025-05-14T16:41:00Z"/>
          <w:szCs w:val="22"/>
          <w:u w:val="single"/>
        </w:rPr>
      </w:pPr>
    </w:p>
    <w:p w14:paraId="66682D58" w14:textId="5078B4EE" w:rsidR="0042302B" w:rsidRPr="00183B5F" w:rsidRDefault="00943743" w:rsidP="00673483">
      <w:pPr>
        <w:numPr>
          <w:ilvl w:val="12"/>
          <w:numId w:val="0"/>
        </w:numPr>
        <w:spacing w:line="240" w:lineRule="auto"/>
        <w:ind w:right="-2"/>
        <w:rPr>
          <w:del w:id="11723" w:author="AbbVie_HU_03" w:date="2025-05-14T16:41:00Z"/>
          <w:szCs w:val="22"/>
          <w:u w:val="single"/>
        </w:rPr>
      </w:pPr>
      <w:del w:id="11724" w:author="AbbVie_HU_03" w:date="2025-05-14T16:41:00Z">
        <w:r w:rsidRPr="00183B5F">
          <w:rPr>
            <w:szCs w:val="22"/>
          </w:rPr>
          <w:delText>A Humira szokásos adagja 40 mg minden második héten</w:delText>
        </w:r>
        <w:r w:rsidR="003240BE" w:rsidRPr="00183B5F">
          <w:rPr>
            <w:szCs w:val="22"/>
          </w:rPr>
          <w:delText>,</w:delText>
        </w:r>
        <w:r w:rsidRPr="00183B5F">
          <w:rPr>
            <w:szCs w:val="22"/>
          </w:rPr>
          <w:delText xml:space="preserve"> metotrexáttal kombiná</w:delText>
        </w:r>
        <w:r w:rsidR="00DC6E72" w:rsidRPr="00183B5F">
          <w:rPr>
            <w:szCs w:val="22"/>
          </w:rPr>
          <w:delText>lva</w:delText>
        </w:r>
        <w:r w:rsidRPr="00183B5F">
          <w:rPr>
            <w:szCs w:val="22"/>
          </w:rPr>
          <w:delText xml:space="preserve">. </w:delText>
        </w:r>
      </w:del>
    </w:p>
    <w:p w14:paraId="45A06B80" w14:textId="41C1DF4F" w:rsidR="0042302B" w:rsidRPr="00183B5F" w:rsidRDefault="0042302B" w:rsidP="00673483">
      <w:pPr>
        <w:numPr>
          <w:ilvl w:val="12"/>
          <w:numId w:val="0"/>
        </w:numPr>
        <w:spacing w:line="240" w:lineRule="auto"/>
        <w:ind w:right="-2"/>
        <w:rPr>
          <w:del w:id="11725" w:author="AbbVie_HU_03" w:date="2025-05-14T16:41:00Z"/>
          <w:szCs w:val="22"/>
        </w:rPr>
      </w:pPr>
    </w:p>
    <w:p w14:paraId="3648E1DF" w14:textId="61AEEFF3" w:rsidR="0042302B" w:rsidRPr="00183B5F" w:rsidRDefault="00943743" w:rsidP="00673483">
      <w:pPr>
        <w:numPr>
          <w:ilvl w:val="12"/>
          <w:numId w:val="0"/>
        </w:numPr>
        <w:spacing w:line="240" w:lineRule="auto"/>
        <w:ind w:right="-2"/>
        <w:rPr>
          <w:del w:id="11726" w:author="AbbVie_HU_03" w:date="2025-05-14T16:41:00Z"/>
          <w:szCs w:val="22"/>
        </w:rPr>
      </w:pPr>
      <w:del w:id="11727" w:author="AbbVie_HU_03" w:date="2025-05-14T16:41:00Z">
        <w:r w:rsidRPr="00183B5F">
          <w:rPr>
            <w:szCs w:val="22"/>
          </w:rPr>
          <w:delText xml:space="preserve">Kezelőorvosa </w:delText>
        </w:r>
        <w:r w:rsidR="009201C1" w:rsidRPr="00183B5F">
          <w:rPr>
            <w:szCs w:val="22"/>
          </w:rPr>
          <w:delText xml:space="preserve">egy </w:delText>
        </w:r>
        <w:r w:rsidRPr="00183B5F">
          <w:rPr>
            <w:szCs w:val="22"/>
          </w:rPr>
          <w:delText>80 mg</w:delText>
        </w:r>
        <w:r w:rsidR="00B6025C" w:rsidRPr="00183B5F">
          <w:rPr>
            <w:szCs w:val="22"/>
          </w:rPr>
          <w:noBreakHyphen/>
        </w:r>
        <w:r w:rsidR="009201C1" w:rsidRPr="00183B5F">
          <w:rPr>
            <w:szCs w:val="22"/>
          </w:rPr>
          <w:delText>os</w:delText>
        </w:r>
        <w:r w:rsidRPr="00183B5F">
          <w:rPr>
            <w:szCs w:val="22"/>
          </w:rPr>
          <w:delText xml:space="preserve"> kezdő adagot is felírhat, melyet egy héttel a szokásos adagolás megkezdése előtt kell beadni.</w:delText>
        </w:r>
      </w:del>
    </w:p>
    <w:p w14:paraId="250DEFB8" w14:textId="0F381D1D" w:rsidR="00334330" w:rsidRPr="00183B5F" w:rsidRDefault="00334330" w:rsidP="00673483">
      <w:pPr>
        <w:spacing w:line="240" w:lineRule="auto"/>
        <w:ind w:right="-2"/>
        <w:rPr>
          <w:del w:id="11728" w:author="AbbVie_HU_03" w:date="2025-05-14T16:41:00Z"/>
          <w:szCs w:val="22"/>
        </w:rPr>
      </w:pPr>
    </w:p>
    <w:p w14:paraId="22B2392B" w14:textId="7D52F0AE" w:rsidR="001C59A2" w:rsidRPr="00183B5F" w:rsidRDefault="00943743" w:rsidP="00673483">
      <w:pPr>
        <w:numPr>
          <w:ilvl w:val="12"/>
          <w:numId w:val="0"/>
        </w:numPr>
        <w:spacing w:line="240" w:lineRule="auto"/>
        <w:ind w:right="-2"/>
        <w:rPr>
          <w:del w:id="11729" w:author="AbbVie_HU_03" w:date="2025-05-14T16:41:00Z"/>
          <w:b/>
          <w:szCs w:val="22"/>
        </w:rPr>
      </w:pPr>
      <w:del w:id="11730" w:author="AbbVie_HU_03" w:date="2025-05-14T16:41:00Z">
        <w:r w:rsidRPr="00183B5F">
          <w:rPr>
            <w:b/>
            <w:szCs w:val="22"/>
          </w:rPr>
          <w:delText>Az alkalmazással kapcsolatos tudnivalók és az alkalmazás módja</w:delText>
        </w:r>
      </w:del>
    </w:p>
    <w:p w14:paraId="2A47D980" w14:textId="71E82F7B" w:rsidR="001C59A2" w:rsidRPr="00183B5F" w:rsidRDefault="001C59A2" w:rsidP="00673483">
      <w:pPr>
        <w:numPr>
          <w:ilvl w:val="12"/>
          <w:numId w:val="0"/>
        </w:numPr>
        <w:spacing w:line="240" w:lineRule="auto"/>
        <w:ind w:right="-2"/>
        <w:rPr>
          <w:del w:id="11731" w:author="AbbVie_HU_03" w:date="2025-05-14T16:41:00Z"/>
          <w:b/>
          <w:szCs w:val="22"/>
        </w:rPr>
      </w:pPr>
    </w:p>
    <w:p w14:paraId="216FC3CA" w14:textId="599D97FC" w:rsidR="001C59A2" w:rsidRPr="00183B5F" w:rsidRDefault="00943743" w:rsidP="00673483">
      <w:pPr>
        <w:spacing w:line="240" w:lineRule="auto"/>
        <w:ind w:right="-2"/>
        <w:rPr>
          <w:del w:id="11732" w:author="AbbVie_HU_03" w:date="2025-05-14T16:41:00Z"/>
          <w:szCs w:val="22"/>
        </w:rPr>
      </w:pPr>
      <w:del w:id="11733" w:author="AbbVie_HU_03" w:date="2025-05-14T16:41:00Z">
        <w:r w:rsidRPr="00183B5F">
          <w:rPr>
            <w:szCs w:val="22"/>
          </w:rPr>
          <w:delText>A Humira</w:delText>
        </w:r>
        <w:r w:rsidR="005B7D8B" w:rsidRPr="00183B5F">
          <w:rPr>
            <w:szCs w:val="22"/>
          </w:rPr>
          <w:noBreakHyphen/>
        </w:r>
        <w:r w:rsidRPr="00183B5F">
          <w:rPr>
            <w:szCs w:val="22"/>
          </w:rPr>
          <w:delText>t a bőr alá (</w:delText>
        </w:r>
        <w:r w:rsidR="003507D7" w:rsidRPr="00183B5F">
          <w:rPr>
            <w:szCs w:val="22"/>
          </w:rPr>
          <w:delText>szubkután injekció formájában</w:delText>
        </w:r>
        <w:r w:rsidRPr="00183B5F">
          <w:rPr>
            <w:szCs w:val="22"/>
          </w:rPr>
          <w:delText>) kell beadni.</w:delText>
        </w:r>
      </w:del>
    </w:p>
    <w:p w14:paraId="57B6F060" w14:textId="0DDC83EE" w:rsidR="001C59A2" w:rsidRPr="00183B5F" w:rsidRDefault="001C59A2" w:rsidP="00673483">
      <w:pPr>
        <w:spacing w:line="240" w:lineRule="auto"/>
        <w:ind w:right="-2"/>
        <w:rPr>
          <w:del w:id="11734" w:author="AbbVie_HU_03" w:date="2025-05-14T16:41:00Z"/>
          <w:szCs w:val="22"/>
        </w:rPr>
      </w:pPr>
    </w:p>
    <w:p w14:paraId="20308478" w14:textId="1408DCC5" w:rsidR="00950A14" w:rsidRPr="00183B5F" w:rsidRDefault="00943743" w:rsidP="00673483">
      <w:pPr>
        <w:spacing w:line="240" w:lineRule="auto"/>
        <w:ind w:right="-2"/>
        <w:rPr>
          <w:del w:id="11735" w:author="AbbVie_HU_03" w:date="2025-05-14T16:41:00Z"/>
          <w:b/>
          <w:szCs w:val="22"/>
        </w:rPr>
      </w:pPr>
      <w:del w:id="11736" w:author="AbbVie_HU_03" w:date="2025-05-14T16:41:00Z">
        <w:r w:rsidRPr="00183B5F">
          <w:rPr>
            <w:b/>
            <w:szCs w:val="22"/>
          </w:rPr>
          <w:delText>Utasítások a Humira injekció előkészítéséhez és alkalmazásához:</w:delText>
        </w:r>
      </w:del>
    </w:p>
    <w:p w14:paraId="0056B129" w14:textId="330A2CC3" w:rsidR="00950A14" w:rsidRPr="00183B5F" w:rsidRDefault="00950A14" w:rsidP="00673483">
      <w:pPr>
        <w:spacing w:line="240" w:lineRule="auto"/>
        <w:ind w:right="-2"/>
        <w:rPr>
          <w:del w:id="11737" w:author="AbbVie_HU_03" w:date="2025-05-14T16:41:00Z"/>
          <w:szCs w:val="22"/>
        </w:rPr>
      </w:pPr>
    </w:p>
    <w:p w14:paraId="18D722E6" w14:textId="69BF9BAE" w:rsidR="00FB6710" w:rsidRPr="00183B5F" w:rsidRDefault="00943743" w:rsidP="00673483">
      <w:pPr>
        <w:spacing w:line="240" w:lineRule="auto"/>
        <w:ind w:right="-2"/>
        <w:rPr>
          <w:del w:id="11738" w:author="AbbVie_HU_03" w:date="2025-05-14T16:41:00Z"/>
          <w:szCs w:val="22"/>
        </w:rPr>
      </w:pPr>
      <w:del w:id="11739" w:author="AbbVie_HU_03" w:date="2025-05-14T16:41:00Z">
        <w:r w:rsidRPr="00183B5F">
          <w:rPr>
            <w:szCs w:val="22"/>
          </w:rPr>
          <w:delText xml:space="preserve">Az alábbi utasítások </w:delText>
        </w:r>
        <w:r w:rsidR="003B3BC3" w:rsidRPr="00183B5F">
          <w:rPr>
            <w:szCs w:val="22"/>
          </w:rPr>
          <w:delText>ismertetik</w:delText>
        </w:r>
        <w:r w:rsidRPr="00183B5F">
          <w:rPr>
            <w:szCs w:val="22"/>
          </w:rPr>
          <w:delText xml:space="preserve"> a Humira injekció alkalmazásának módját.</w:delText>
        </w:r>
        <w:r w:rsidR="006D2F10" w:rsidRPr="00183B5F">
          <w:rPr>
            <w:szCs w:val="22"/>
          </w:rPr>
          <w:delText xml:space="preserve"> </w:delText>
        </w:r>
        <w:r w:rsidRPr="00183B5F">
          <w:rPr>
            <w:szCs w:val="22"/>
          </w:rPr>
          <w:delText xml:space="preserve">Kérjük, </w:delText>
        </w:r>
        <w:r w:rsidR="003B3BC3" w:rsidRPr="00183B5F">
          <w:rPr>
            <w:szCs w:val="22"/>
          </w:rPr>
          <w:delText xml:space="preserve">olvassa el </w:delText>
        </w:r>
        <w:r w:rsidRPr="00183B5F">
          <w:rPr>
            <w:szCs w:val="22"/>
          </w:rPr>
          <w:delText xml:space="preserve">figyelmesen </w:delText>
        </w:r>
        <w:r w:rsidR="003B3BC3" w:rsidRPr="00183B5F">
          <w:rPr>
            <w:szCs w:val="22"/>
          </w:rPr>
          <w:delText xml:space="preserve">ezeket </w:delText>
        </w:r>
        <w:r w:rsidRPr="00183B5F">
          <w:rPr>
            <w:szCs w:val="22"/>
          </w:rPr>
          <w:delText>az utasításokat</w:delText>
        </w:r>
        <w:r w:rsidR="003B3BC3" w:rsidRPr="00183B5F">
          <w:rPr>
            <w:szCs w:val="22"/>
          </w:rPr>
          <w:delText>,</w:delText>
        </w:r>
        <w:r w:rsidRPr="00183B5F">
          <w:rPr>
            <w:szCs w:val="22"/>
          </w:rPr>
          <w:delText xml:space="preserve"> és kövesse lépésről lépésre. Önt kezelőorvosa </w:delText>
        </w:r>
        <w:r w:rsidR="00E84354" w:rsidRPr="00183B5F">
          <w:rPr>
            <w:szCs w:val="22"/>
          </w:rPr>
          <w:delText>vagy</w:delText>
        </w:r>
        <w:r w:rsidRPr="00183B5F">
          <w:rPr>
            <w:szCs w:val="22"/>
          </w:rPr>
          <w:delText xml:space="preserve"> asszisztense tájékoztatni fogja az öninjekciózás módjáról. Ne kezdjen bele az öninjekciózásba, míg teljesen nem győződött meg arról, hogy megértette az injekció előkészítésének és beadásának folyamatát. Megfelelő gyakorlatot követően adhatja be önmagának az injekciót, vagy adhatja be Önnek azt egy másik személy, családtag vagy barát.</w:delText>
        </w:r>
      </w:del>
    </w:p>
    <w:p w14:paraId="1062A375" w14:textId="76C45765" w:rsidR="00FB6710" w:rsidRPr="00183B5F" w:rsidRDefault="00FB6710" w:rsidP="00673483">
      <w:pPr>
        <w:spacing w:line="240" w:lineRule="auto"/>
        <w:ind w:right="-2"/>
        <w:rPr>
          <w:del w:id="11740" w:author="AbbVie_HU_03" w:date="2025-05-14T16:41:00Z"/>
          <w:szCs w:val="22"/>
        </w:rPr>
      </w:pPr>
    </w:p>
    <w:p w14:paraId="33256F71" w14:textId="2C6C0BE3" w:rsidR="00313158" w:rsidRPr="00183B5F" w:rsidRDefault="00943743" w:rsidP="00673483">
      <w:pPr>
        <w:spacing w:line="240" w:lineRule="auto"/>
        <w:ind w:right="-2"/>
        <w:rPr>
          <w:del w:id="11741" w:author="AbbVie_HU_03" w:date="2025-05-14T16:41:00Z"/>
          <w:szCs w:val="22"/>
        </w:rPr>
      </w:pPr>
      <w:del w:id="11742" w:author="AbbVie_HU_03" w:date="2025-05-14T16:41:00Z">
        <w:r w:rsidRPr="00183B5F">
          <w:rPr>
            <w:szCs w:val="22"/>
          </w:rPr>
          <w:delText>Az injekció nem keverhető más gyógyszerrel azonos fecskendőben vagy</w:delText>
        </w:r>
        <w:r w:rsidR="003B3BC3" w:rsidRPr="00183B5F">
          <w:rPr>
            <w:szCs w:val="22"/>
          </w:rPr>
          <w:delText xml:space="preserve"> </w:delText>
        </w:r>
        <w:r w:rsidRPr="00183B5F">
          <w:rPr>
            <w:szCs w:val="22"/>
          </w:rPr>
          <w:delText>üvegben.</w:delText>
        </w:r>
      </w:del>
    </w:p>
    <w:p w14:paraId="3E3106F7" w14:textId="4810CE18" w:rsidR="00FB6710" w:rsidRPr="00183B5F" w:rsidRDefault="00FB6710" w:rsidP="00673483">
      <w:pPr>
        <w:spacing w:line="240" w:lineRule="auto"/>
        <w:ind w:right="-2"/>
        <w:rPr>
          <w:del w:id="11743" w:author="AbbVie_HU_03" w:date="2025-05-14T16:41:00Z"/>
          <w:szCs w:val="22"/>
        </w:rPr>
      </w:pPr>
    </w:p>
    <w:p w14:paraId="79E517A1" w14:textId="0FD0ED51" w:rsidR="00FB6710" w:rsidRPr="00183B5F" w:rsidRDefault="00943743" w:rsidP="00673483">
      <w:pPr>
        <w:keepNext/>
        <w:numPr>
          <w:ilvl w:val="0"/>
          <w:numId w:val="22"/>
        </w:numPr>
        <w:tabs>
          <w:tab w:val="clear" w:pos="720"/>
        </w:tabs>
        <w:spacing w:line="240" w:lineRule="auto"/>
        <w:ind w:left="567" w:hanging="567"/>
        <w:rPr>
          <w:del w:id="11744" w:author="AbbVie_HU_03" w:date="2025-05-14T16:41:00Z"/>
          <w:b/>
          <w:szCs w:val="22"/>
        </w:rPr>
      </w:pPr>
      <w:del w:id="11745" w:author="AbbVie_HU_03" w:date="2025-05-14T16:41:00Z">
        <w:r w:rsidRPr="00183B5F">
          <w:rPr>
            <w:b/>
            <w:szCs w:val="22"/>
          </w:rPr>
          <w:delText>Előkészítés</w:delText>
        </w:r>
      </w:del>
    </w:p>
    <w:p w14:paraId="64C87CE3" w14:textId="5D2CE4F6" w:rsidR="00CF23F3" w:rsidRPr="00183B5F" w:rsidRDefault="00CF23F3" w:rsidP="00673483">
      <w:pPr>
        <w:keepNext/>
        <w:spacing w:line="240" w:lineRule="auto"/>
        <w:ind w:left="567"/>
        <w:rPr>
          <w:del w:id="11746" w:author="AbbVie_HU_03" w:date="2025-05-14T16:41:00Z"/>
          <w:b/>
          <w:szCs w:val="22"/>
        </w:rPr>
      </w:pPr>
    </w:p>
    <w:p w14:paraId="7A6C04FA" w14:textId="476B1035" w:rsidR="00FB6710" w:rsidRPr="00183B5F" w:rsidRDefault="00943743" w:rsidP="00673483">
      <w:pPr>
        <w:keepNext/>
        <w:numPr>
          <w:ilvl w:val="0"/>
          <w:numId w:val="15"/>
        </w:numPr>
        <w:tabs>
          <w:tab w:val="clear" w:pos="360"/>
        </w:tabs>
        <w:spacing w:line="240" w:lineRule="auto"/>
        <w:ind w:left="567" w:hanging="567"/>
        <w:rPr>
          <w:del w:id="11747" w:author="AbbVie_HU_03" w:date="2025-05-14T16:41:00Z"/>
          <w:szCs w:val="22"/>
        </w:rPr>
      </w:pPr>
      <w:del w:id="11748" w:author="AbbVie_HU_03" w:date="2025-05-14T16:41:00Z">
        <w:r w:rsidRPr="00183B5F">
          <w:rPr>
            <w:szCs w:val="22"/>
          </w:rPr>
          <w:delText>Alaposan mosson kezet.</w:delText>
        </w:r>
      </w:del>
    </w:p>
    <w:p w14:paraId="1D07D5F8" w14:textId="7159A581" w:rsidR="006D2F10" w:rsidRPr="00183B5F" w:rsidRDefault="006D2F10" w:rsidP="00673483">
      <w:pPr>
        <w:keepNext/>
        <w:spacing w:line="240" w:lineRule="auto"/>
        <w:rPr>
          <w:del w:id="11749" w:author="AbbVie_HU_03" w:date="2025-05-14T16:41:00Z"/>
          <w:szCs w:val="22"/>
        </w:rPr>
      </w:pPr>
    </w:p>
    <w:p w14:paraId="50A85B57" w14:textId="4D526F20" w:rsidR="00FB6710" w:rsidRPr="00183B5F" w:rsidRDefault="00943743" w:rsidP="00673483">
      <w:pPr>
        <w:keepNext/>
        <w:numPr>
          <w:ilvl w:val="0"/>
          <w:numId w:val="15"/>
        </w:numPr>
        <w:tabs>
          <w:tab w:val="clear" w:pos="360"/>
        </w:tabs>
        <w:spacing w:line="240" w:lineRule="auto"/>
        <w:ind w:left="567" w:hanging="567"/>
        <w:rPr>
          <w:del w:id="11750" w:author="AbbVie_HU_03" w:date="2025-05-14T16:41:00Z"/>
          <w:szCs w:val="22"/>
        </w:rPr>
      </w:pPr>
      <w:del w:id="11751" w:author="AbbVie_HU_03" w:date="2025-05-14T16:41:00Z">
        <w:r w:rsidRPr="00183B5F">
          <w:rPr>
            <w:szCs w:val="22"/>
          </w:rPr>
          <w:delText>Készítse elő az alábbiakat egy tiszta felületre:</w:delText>
        </w:r>
      </w:del>
    </w:p>
    <w:p w14:paraId="65C5070C" w14:textId="7058CE6B" w:rsidR="00FB6710" w:rsidRPr="00183B5F" w:rsidRDefault="00943743" w:rsidP="00673483">
      <w:pPr>
        <w:numPr>
          <w:ilvl w:val="1"/>
          <w:numId w:val="15"/>
        </w:numPr>
        <w:tabs>
          <w:tab w:val="clear" w:pos="720"/>
        </w:tabs>
        <w:spacing w:line="240" w:lineRule="auto"/>
        <w:ind w:left="1134" w:right="-2" w:hanging="567"/>
        <w:rPr>
          <w:del w:id="11752" w:author="AbbVie_HU_03" w:date="2025-05-14T16:41:00Z"/>
          <w:szCs w:val="22"/>
        </w:rPr>
      </w:pPr>
      <w:del w:id="11753" w:author="AbbVie_HU_03" w:date="2025-05-14T16:41:00Z">
        <w:r w:rsidRPr="00183B5F">
          <w:rPr>
            <w:szCs w:val="22"/>
          </w:rPr>
          <w:delText>Egy előretöltött fecskendőben levő injekcióhoz való Humira-t</w:delText>
        </w:r>
      </w:del>
    </w:p>
    <w:p w14:paraId="52AC4D85" w14:textId="3B153569" w:rsidR="00255F1C" w:rsidRPr="00183B5F" w:rsidRDefault="00943743" w:rsidP="00673483">
      <w:pPr>
        <w:numPr>
          <w:ilvl w:val="1"/>
          <w:numId w:val="15"/>
        </w:numPr>
        <w:tabs>
          <w:tab w:val="clear" w:pos="720"/>
        </w:tabs>
        <w:spacing w:line="240" w:lineRule="auto"/>
        <w:ind w:left="1134" w:right="-2" w:hanging="567"/>
        <w:rPr>
          <w:del w:id="11754" w:author="AbbVie_HU_03" w:date="2025-05-14T16:41:00Z"/>
          <w:szCs w:val="22"/>
        </w:rPr>
      </w:pPr>
      <w:del w:id="11755" w:author="AbbVie_HU_03" w:date="2025-05-14T16:41:00Z">
        <w:r w:rsidRPr="00183B5F">
          <w:rPr>
            <w:szCs w:val="22"/>
          </w:rPr>
          <w:delText>Egy alkoholos törlőkendőt</w:delText>
        </w:r>
      </w:del>
    </w:p>
    <w:p w14:paraId="3726D251" w14:textId="37AEC839" w:rsidR="006D2F10" w:rsidRPr="00183B5F" w:rsidRDefault="006D2F10" w:rsidP="00673483">
      <w:pPr>
        <w:spacing w:line="240" w:lineRule="auto"/>
        <w:ind w:right="-2"/>
        <w:rPr>
          <w:del w:id="11756" w:author="AbbVie_HU_03" w:date="2025-05-14T16:41:00Z"/>
          <w:szCs w:val="22"/>
        </w:rPr>
      </w:pPr>
    </w:p>
    <w:p w14:paraId="675F2F96" w14:textId="47440CB2" w:rsidR="00255F1C" w:rsidRPr="00183B5F" w:rsidRDefault="00255F1C" w:rsidP="00673483">
      <w:pPr>
        <w:spacing w:line="240" w:lineRule="auto"/>
        <w:ind w:right="-2"/>
        <w:rPr>
          <w:del w:id="11757" w:author="AbbVie_HU_03" w:date="2025-05-14T16:41:00Z"/>
          <w:szCs w:val="22"/>
        </w:rPr>
      </w:pPr>
    </w:p>
    <w:p w14:paraId="49B1763E" w14:textId="18A7E846" w:rsidR="00255F1C" w:rsidRPr="00183B5F" w:rsidRDefault="00255F1C" w:rsidP="00673483">
      <w:pPr>
        <w:spacing w:line="240" w:lineRule="auto"/>
        <w:ind w:right="-2"/>
        <w:rPr>
          <w:del w:id="11758" w:author="AbbVie_HU_03" w:date="2025-05-14T16:41:00Z"/>
          <w:szCs w:val="22"/>
        </w:rPr>
      </w:pPr>
    </w:p>
    <w:p w14:paraId="3811FFD1" w14:textId="7C869693" w:rsidR="00255F1C" w:rsidRPr="00183B5F" w:rsidRDefault="00255F1C" w:rsidP="00673483">
      <w:pPr>
        <w:spacing w:line="240" w:lineRule="auto"/>
        <w:ind w:right="-2"/>
        <w:rPr>
          <w:del w:id="11759" w:author="AbbVie_HU_03" w:date="2025-05-14T16:41:00Z"/>
          <w:szCs w:val="22"/>
        </w:rPr>
      </w:pPr>
    </w:p>
    <w:p w14:paraId="258FBFDB" w14:textId="524B7ABD" w:rsidR="00255F1C" w:rsidRPr="00183B5F" w:rsidRDefault="00255F1C" w:rsidP="00673483">
      <w:pPr>
        <w:spacing w:line="240" w:lineRule="auto"/>
        <w:ind w:right="-2"/>
        <w:rPr>
          <w:del w:id="11760" w:author="AbbVie_HU_03" w:date="2025-05-14T16:41:00Z"/>
          <w:szCs w:val="22"/>
        </w:rPr>
      </w:pPr>
    </w:p>
    <w:p w14:paraId="16C0009D" w14:textId="34B08FE2" w:rsidR="00255F1C" w:rsidRPr="00183B5F" w:rsidRDefault="00255F1C" w:rsidP="00673483">
      <w:pPr>
        <w:spacing w:line="240" w:lineRule="auto"/>
        <w:ind w:right="-2"/>
        <w:rPr>
          <w:del w:id="11761" w:author="AbbVie_HU_03" w:date="2025-05-14T16:41:00Z"/>
          <w:szCs w:val="22"/>
        </w:rPr>
      </w:pPr>
    </w:p>
    <w:p w14:paraId="5EE44885" w14:textId="748CA82A" w:rsidR="00255F1C" w:rsidRPr="00183B5F" w:rsidRDefault="00255F1C" w:rsidP="00673483">
      <w:pPr>
        <w:spacing w:line="240" w:lineRule="auto"/>
        <w:ind w:right="-2"/>
        <w:rPr>
          <w:del w:id="11762" w:author="AbbVie_HU_03" w:date="2025-05-14T16:41:00Z"/>
          <w:szCs w:val="22"/>
        </w:rPr>
      </w:pPr>
    </w:p>
    <w:p w14:paraId="76BF0D13" w14:textId="531C5602" w:rsidR="00255F1C" w:rsidRPr="00183B5F" w:rsidRDefault="00255F1C" w:rsidP="00673483">
      <w:pPr>
        <w:spacing w:line="240" w:lineRule="auto"/>
        <w:ind w:right="-2"/>
        <w:rPr>
          <w:del w:id="11763" w:author="AbbVie_HU_03" w:date="2025-05-14T16:41:00Z"/>
          <w:szCs w:val="22"/>
        </w:rPr>
      </w:pPr>
    </w:p>
    <w:p w14:paraId="1A658E49" w14:textId="011C6339" w:rsidR="0082677B" w:rsidRPr="00183B5F" w:rsidRDefault="0082677B" w:rsidP="00673483">
      <w:pPr>
        <w:spacing w:line="240" w:lineRule="auto"/>
        <w:ind w:right="-2"/>
        <w:rPr>
          <w:del w:id="11764" w:author="AbbVie_HU_03" w:date="2025-05-14T16:41:00Z"/>
          <w:szCs w:val="22"/>
        </w:rPr>
      </w:pPr>
    </w:p>
    <w:p w14:paraId="45104E13" w14:textId="391722AD" w:rsidR="0082677B" w:rsidRPr="00183B5F" w:rsidRDefault="0082677B" w:rsidP="00673483">
      <w:pPr>
        <w:spacing w:line="240" w:lineRule="auto"/>
        <w:ind w:right="-2"/>
        <w:rPr>
          <w:del w:id="11765" w:author="AbbVie_HU_03" w:date="2025-05-14T16:41:00Z"/>
          <w:szCs w:val="22"/>
        </w:rPr>
      </w:pPr>
    </w:p>
    <w:p w14:paraId="1D901AA7" w14:textId="479A1DB1" w:rsidR="00255F1C" w:rsidRPr="00183B5F" w:rsidRDefault="00255F1C" w:rsidP="00673483">
      <w:pPr>
        <w:spacing w:line="240" w:lineRule="auto"/>
        <w:ind w:right="-2"/>
        <w:rPr>
          <w:del w:id="11766" w:author="AbbVie_HU_03" w:date="2025-05-14T16:41:00Z"/>
          <w:szCs w:val="22"/>
        </w:rPr>
      </w:pPr>
    </w:p>
    <w:p w14:paraId="3C5B33C9" w14:textId="41636ECB" w:rsidR="00B85F3E" w:rsidRPr="00183B5F" w:rsidRDefault="00943743" w:rsidP="00673483">
      <w:pPr>
        <w:spacing w:line="240" w:lineRule="auto"/>
        <w:ind w:right="-2"/>
        <w:rPr>
          <w:del w:id="11767" w:author="AbbVie_HU_03" w:date="2025-05-14T16:41:00Z"/>
          <w:szCs w:val="22"/>
        </w:rPr>
      </w:pPr>
      <w:del w:id="11768" w:author="AbbVie_HU_03" w:date="2025-05-14T16:41:00Z">
        <w:r w:rsidRPr="005C4B06">
          <w:rPr>
            <w:noProof/>
            <w:lang w:val="en-GB"/>
          </w:rPr>
          <w:drawing>
            <wp:anchor distT="0" distB="0" distL="114300" distR="114300" simplePos="0" relativeHeight="251676672" behindDoc="0" locked="0" layoutInCell="1" allowOverlap="1" wp14:anchorId="6AA34055" wp14:editId="13E7E316">
              <wp:simplePos x="0" y="0"/>
              <wp:positionH relativeFrom="column">
                <wp:posOffset>713105</wp:posOffset>
              </wp:positionH>
              <wp:positionV relativeFrom="paragraph">
                <wp:posOffset>-1035685</wp:posOffset>
              </wp:positionV>
              <wp:extent cx="2028825" cy="2028825"/>
              <wp:effectExtent l="0" t="0" r="9525" b="9525"/>
              <wp:wrapNone/>
              <wp:docPr id="79" name="Kép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Kép 37"/>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2028825" cy="2028825"/>
                      </a:xfrm>
                      <a:prstGeom prst="rect">
                        <a:avLst/>
                      </a:prstGeom>
                      <a:noFill/>
                    </pic:spPr>
                  </pic:pic>
                </a:graphicData>
              </a:graphic>
              <wp14:sizeRelH relativeFrom="page">
                <wp14:pctWidth>0</wp14:pctWidth>
              </wp14:sizeRelH>
              <wp14:sizeRelV relativeFrom="page">
                <wp14:pctHeight>0</wp14:pctHeight>
              </wp14:sizeRelV>
            </wp:anchor>
          </w:drawing>
        </w:r>
      </w:del>
    </w:p>
    <w:p w14:paraId="11DE8BED" w14:textId="1E9E3A63" w:rsidR="00B85F3E" w:rsidRPr="00183B5F" w:rsidRDefault="00B85F3E" w:rsidP="00673483">
      <w:pPr>
        <w:spacing w:line="240" w:lineRule="auto"/>
        <w:ind w:right="-2"/>
        <w:rPr>
          <w:del w:id="11769" w:author="AbbVie_HU_03" w:date="2025-05-14T16:41:00Z"/>
          <w:szCs w:val="22"/>
        </w:rPr>
      </w:pPr>
    </w:p>
    <w:p w14:paraId="21AAB7C6" w14:textId="3732BD3C" w:rsidR="00B85F3E" w:rsidRPr="00183B5F" w:rsidRDefault="00B85F3E" w:rsidP="00673483">
      <w:pPr>
        <w:spacing w:line="240" w:lineRule="auto"/>
        <w:ind w:right="-2"/>
        <w:rPr>
          <w:del w:id="11770" w:author="AbbVie_HU_03" w:date="2025-05-14T16:41:00Z"/>
          <w:szCs w:val="22"/>
        </w:rPr>
      </w:pPr>
    </w:p>
    <w:p w14:paraId="2D58F502" w14:textId="30927566" w:rsidR="00B85F3E" w:rsidRPr="00183B5F" w:rsidRDefault="00B85F3E" w:rsidP="00673483">
      <w:pPr>
        <w:spacing w:line="240" w:lineRule="auto"/>
        <w:ind w:right="-2"/>
        <w:rPr>
          <w:del w:id="11771" w:author="AbbVie_HU_03" w:date="2025-05-14T16:41:00Z"/>
          <w:szCs w:val="22"/>
        </w:rPr>
      </w:pPr>
    </w:p>
    <w:p w14:paraId="48BC0B8B" w14:textId="7DAE9248" w:rsidR="00B85F3E" w:rsidRPr="00183B5F" w:rsidRDefault="00B85F3E" w:rsidP="00673483">
      <w:pPr>
        <w:spacing w:line="240" w:lineRule="auto"/>
        <w:ind w:right="-2"/>
        <w:rPr>
          <w:del w:id="11772" w:author="AbbVie_HU_03" w:date="2025-05-14T16:41:00Z"/>
          <w:szCs w:val="22"/>
        </w:rPr>
      </w:pPr>
    </w:p>
    <w:p w14:paraId="7113A7B6" w14:textId="2D2ED842" w:rsidR="007C024F" w:rsidRPr="00183B5F" w:rsidRDefault="007C024F" w:rsidP="00673483">
      <w:pPr>
        <w:spacing w:line="240" w:lineRule="auto"/>
        <w:ind w:left="567" w:right="-2"/>
        <w:rPr>
          <w:del w:id="11773" w:author="AbbVie_HU_03" w:date="2025-05-14T16:41:00Z"/>
          <w:szCs w:val="22"/>
        </w:rPr>
      </w:pPr>
    </w:p>
    <w:p w14:paraId="1A15F79E" w14:textId="792B1871" w:rsidR="004A3760" w:rsidRPr="00183B5F" w:rsidRDefault="004A3760" w:rsidP="00673483">
      <w:pPr>
        <w:spacing w:line="240" w:lineRule="auto"/>
        <w:ind w:left="567" w:right="-2"/>
        <w:rPr>
          <w:del w:id="11774" w:author="AbbVie_HU_03" w:date="2025-05-14T16:41:00Z"/>
          <w:szCs w:val="22"/>
        </w:rPr>
      </w:pPr>
    </w:p>
    <w:p w14:paraId="57C91DAC" w14:textId="107E80F1" w:rsidR="00FB6710" w:rsidRPr="00183B5F" w:rsidRDefault="00943743" w:rsidP="00673483">
      <w:pPr>
        <w:numPr>
          <w:ilvl w:val="0"/>
          <w:numId w:val="15"/>
        </w:numPr>
        <w:tabs>
          <w:tab w:val="clear" w:pos="360"/>
        </w:tabs>
        <w:spacing w:line="240" w:lineRule="auto"/>
        <w:ind w:left="567" w:right="-2" w:hanging="567"/>
        <w:rPr>
          <w:del w:id="11775" w:author="AbbVie_HU_03" w:date="2025-05-14T16:41:00Z"/>
          <w:szCs w:val="22"/>
        </w:rPr>
      </w:pPr>
      <w:del w:id="11776" w:author="AbbVie_HU_03" w:date="2025-05-14T16:41:00Z">
        <w:r w:rsidRPr="00183B5F">
          <w:rPr>
            <w:szCs w:val="22"/>
          </w:rPr>
          <w:delText>Nézze meg a fecskendőn látható lejárati időt. Ne alkalmazza a készítményt a feltüntetett hónapot és évet követően.</w:delText>
        </w:r>
      </w:del>
    </w:p>
    <w:p w14:paraId="59842EF1" w14:textId="60256076" w:rsidR="00FE4E55" w:rsidRPr="00183B5F" w:rsidRDefault="00FE4E55" w:rsidP="00673483">
      <w:pPr>
        <w:spacing w:line="240" w:lineRule="auto"/>
        <w:ind w:left="567" w:right="-2"/>
        <w:rPr>
          <w:del w:id="11777" w:author="AbbVie_HU_03" w:date="2025-05-14T16:41:00Z"/>
          <w:szCs w:val="22"/>
        </w:rPr>
      </w:pPr>
    </w:p>
    <w:p w14:paraId="3F09BD20" w14:textId="33D58BD9" w:rsidR="00FE4E55" w:rsidRPr="00183B5F" w:rsidRDefault="00943743" w:rsidP="00673483">
      <w:pPr>
        <w:numPr>
          <w:ilvl w:val="0"/>
          <w:numId w:val="22"/>
        </w:numPr>
        <w:tabs>
          <w:tab w:val="clear" w:pos="720"/>
        </w:tabs>
        <w:spacing w:line="240" w:lineRule="auto"/>
        <w:ind w:left="567" w:hanging="567"/>
        <w:rPr>
          <w:del w:id="11778" w:author="AbbVie_HU_03" w:date="2025-05-14T16:41:00Z"/>
          <w:b/>
          <w:szCs w:val="22"/>
        </w:rPr>
      </w:pPr>
      <w:del w:id="11779" w:author="AbbVie_HU_03" w:date="2025-05-14T16:41:00Z">
        <w:r w:rsidRPr="00183B5F">
          <w:rPr>
            <w:b/>
            <w:szCs w:val="22"/>
          </w:rPr>
          <w:delText xml:space="preserve">Az injekció beadási helyének kiválasztása és előkészítése </w:delText>
        </w:r>
      </w:del>
    </w:p>
    <w:p w14:paraId="73A94BD7" w14:textId="2262D282" w:rsidR="00FE4E55" w:rsidRPr="00183B5F" w:rsidRDefault="00FE4E55" w:rsidP="00673483">
      <w:pPr>
        <w:spacing w:line="240" w:lineRule="auto"/>
        <w:ind w:left="567" w:right="-2"/>
        <w:rPr>
          <w:del w:id="11780" w:author="AbbVie_HU_03" w:date="2025-05-14T16:41:00Z"/>
          <w:szCs w:val="22"/>
        </w:rPr>
      </w:pPr>
    </w:p>
    <w:p w14:paraId="40CF616E" w14:textId="6374F336" w:rsidR="009804BF" w:rsidRPr="00183B5F" w:rsidRDefault="00943743" w:rsidP="00673483">
      <w:pPr>
        <w:keepNext/>
        <w:numPr>
          <w:ilvl w:val="0"/>
          <w:numId w:val="15"/>
        </w:numPr>
        <w:tabs>
          <w:tab w:val="clear" w:pos="360"/>
        </w:tabs>
        <w:spacing w:line="240" w:lineRule="auto"/>
        <w:ind w:left="567" w:right="-2" w:hanging="567"/>
        <w:rPr>
          <w:del w:id="11781" w:author="AbbVie_HU_03" w:date="2025-05-14T16:41:00Z"/>
          <w:szCs w:val="22"/>
        </w:rPr>
      </w:pPr>
      <w:del w:id="11782" w:author="AbbVie_HU_03" w:date="2025-05-14T16:41:00Z">
        <w:r w:rsidRPr="00183B5F">
          <w:rPr>
            <w:szCs w:val="22"/>
          </w:rPr>
          <w:delText>Válasszon egy helyet a combján vagy a hasfalán.</w:delText>
        </w:r>
      </w:del>
    </w:p>
    <w:p w14:paraId="6ED98935" w14:textId="18A341C0" w:rsidR="009804BF" w:rsidRPr="00183B5F" w:rsidRDefault="009804BF" w:rsidP="00673483">
      <w:pPr>
        <w:spacing w:line="240" w:lineRule="auto"/>
        <w:ind w:left="567" w:right="-2"/>
        <w:rPr>
          <w:del w:id="11783" w:author="AbbVie_HU_03" w:date="2025-05-14T16:41:00Z"/>
          <w:szCs w:val="22"/>
        </w:rPr>
      </w:pPr>
    </w:p>
    <w:p w14:paraId="2A71A4B3" w14:textId="4A1E2224" w:rsidR="00FE4E55" w:rsidRPr="00183B5F" w:rsidRDefault="00FE4E55" w:rsidP="00673483">
      <w:pPr>
        <w:keepNext/>
        <w:spacing w:line="240" w:lineRule="auto"/>
        <w:ind w:left="567"/>
        <w:rPr>
          <w:del w:id="11784" w:author="AbbVie_HU_03" w:date="2025-05-14T16:41:00Z"/>
          <w:szCs w:val="22"/>
        </w:rPr>
      </w:pPr>
    </w:p>
    <w:p w14:paraId="64C836F9" w14:textId="62363AC7" w:rsidR="00FE4E55" w:rsidRPr="00183B5F" w:rsidRDefault="00943743" w:rsidP="00673483">
      <w:pPr>
        <w:keepNext/>
        <w:spacing w:line="240" w:lineRule="auto"/>
        <w:ind w:left="567"/>
        <w:rPr>
          <w:del w:id="11785" w:author="AbbVie_HU_03" w:date="2025-05-14T16:41:00Z"/>
          <w:szCs w:val="22"/>
        </w:rPr>
      </w:pPr>
      <w:del w:id="11786" w:author="AbbVie_HU_03" w:date="2025-05-14T16:41:00Z">
        <w:r w:rsidRPr="005C4B06">
          <w:rPr>
            <w:noProof/>
            <w:lang w:val="en-GB"/>
          </w:rPr>
          <w:drawing>
            <wp:anchor distT="0" distB="0" distL="114300" distR="114300" simplePos="0" relativeHeight="251677696" behindDoc="0" locked="0" layoutInCell="1" allowOverlap="0" wp14:anchorId="41FF6D2D" wp14:editId="7F0C3B4C">
              <wp:simplePos x="0" y="0"/>
              <wp:positionH relativeFrom="column">
                <wp:posOffset>551180</wp:posOffset>
              </wp:positionH>
              <wp:positionV relativeFrom="paragraph">
                <wp:posOffset>-113665</wp:posOffset>
              </wp:positionV>
              <wp:extent cx="2054225" cy="2054225"/>
              <wp:effectExtent l="0" t="0" r="3175" b="3175"/>
              <wp:wrapSquare wrapText="bothSides"/>
              <wp:docPr id="78" name="Kép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Kép 81"/>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2054225" cy="2054225"/>
                      </a:xfrm>
                      <a:prstGeom prst="rect">
                        <a:avLst/>
                      </a:prstGeom>
                      <a:noFill/>
                    </pic:spPr>
                  </pic:pic>
                </a:graphicData>
              </a:graphic>
              <wp14:sizeRelH relativeFrom="page">
                <wp14:pctWidth>0</wp14:pctWidth>
              </wp14:sizeRelH>
              <wp14:sizeRelV relativeFrom="page">
                <wp14:pctHeight>0</wp14:pctHeight>
              </wp14:sizeRelV>
            </wp:anchor>
          </w:drawing>
        </w:r>
      </w:del>
    </w:p>
    <w:p w14:paraId="6FF1E764" w14:textId="5579C985" w:rsidR="00FE4E55" w:rsidRPr="00183B5F" w:rsidRDefault="00FE4E55" w:rsidP="00673483">
      <w:pPr>
        <w:keepNext/>
        <w:spacing w:line="240" w:lineRule="auto"/>
        <w:ind w:left="567"/>
        <w:rPr>
          <w:del w:id="11787" w:author="AbbVie_HU_03" w:date="2025-05-14T16:41:00Z"/>
          <w:szCs w:val="22"/>
        </w:rPr>
      </w:pPr>
    </w:p>
    <w:p w14:paraId="2E46C79D" w14:textId="3C34DC5E" w:rsidR="009804BF" w:rsidRPr="00183B5F" w:rsidRDefault="009804BF" w:rsidP="00673483">
      <w:pPr>
        <w:keepNext/>
        <w:spacing w:line="240" w:lineRule="auto"/>
        <w:ind w:left="567"/>
        <w:rPr>
          <w:del w:id="11788" w:author="AbbVie_HU_03" w:date="2025-05-14T16:41:00Z"/>
          <w:szCs w:val="22"/>
        </w:rPr>
      </w:pPr>
    </w:p>
    <w:p w14:paraId="6C64953E" w14:textId="52F6CEF3" w:rsidR="009804BF" w:rsidRPr="00183B5F" w:rsidRDefault="009804BF" w:rsidP="00673483">
      <w:pPr>
        <w:keepNext/>
        <w:spacing w:line="240" w:lineRule="auto"/>
        <w:ind w:left="567"/>
        <w:rPr>
          <w:del w:id="11789" w:author="AbbVie_HU_03" w:date="2025-05-14T16:41:00Z"/>
          <w:szCs w:val="22"/>
        </w:rPr>
      </w:pPr>
    </w:p>
    <w:p w14:paraId="69BE691A" w14:textId="616E2115" w:rsidR="009804BF" w:rsidRPr="00183B5F" w:rsidRDefault="009804BF" w:rsidP="00673483">
      <w:pPr>
        <w:keepNext/>
        <w:spacing w:line="240" w:lineRule="auto"/>
        <w:ind w:left="567"/>
        <w:rPr>
          <w:del w:id="11790" w:author="AbbVie_HU_03" w:date="2025-05-14T16:41:00Z"/>
          <w:szCs w:val="22"/>
        </w:rPr>
      </w:pPr>
    </w:p>
    <w:p w14:paraId="48D2F4C5" w14:textId="58F8168B" w:rsidR="009804BF" w:rsidRPr="00183B5F" w:rsidRDefault="009804BF" w:rsidP="00673483">
      <w:pPr>
        <w:keepNext/>
        <w:spacing w:line="240" w:lineRule="auto"/>
        <w:ind w:left="567"/>
        <w:rPr>
          <w:del w:id="11791" w:author="AbbVie_HU_03" w:date="2025-05-14T16:41:00Z"/>
          <w:szCs w:val="22"/>
        </w:rPr>
      </w:pPr>
    </w:p>
    <w:p w14:paraId="6004F9BD" w14:textId="4085AC43" w:rsidR="009804BF" w:rsidRPr="00183B5F" w:rsidRDefault="009804BF" w:rsidP="00673483">
      <w:pPr>
        <w:keepNext/>
        <w:spacing w:line="240" w:lineRule="auto"/>
        <w:ind w:left="567"/>
        <w:rPr>
          <w:del w:id="11792" w:author="AbbVie_HU_03" w:date="2025-05-14T16:41:00Z"/>
          <w:szCs w:val="22"/>
        </w:rPr>
      </w:pPr>
    </w:p>
    <w:p w14:paraId="39EDAF23" w14:textId="632E510B" w:rsidR="009804BF" w:rsidRPr="00183B5F" w:rsidRDefault="009804BF" w:rsidP="00673483">
      <w:pPr>
        <w:keepNext/>
        <w:spacing w:line="240" w:lineRule="auto"/>
        <w:ind w:left="567"/>
        <w:rPr>
          <w:del w:id="11793" w:author="AbbVie_HU_03" w:date="2025-05-14T16:41:00Z"/>
          <w:szCs w:val="22"/>
        </w:rPr>
      </w:pPr>
    </w:p>
    <w:p w14:paraId="6E64A5A2" w14:textId="02E7F083" w:rsidR="009804BF" w:rsidRPr="00183B5F" w:rsidRDefault="009804BF" w:rsidP="00673483">
      <w:pPr>
        <w:keepNext/>
        <w:spacing w:line="240" w:lineRule="auto"/>
        <w:ind w:left="567"/>
        <w:rPr>
          <w:del w:id="11794" w:author="AbbVie_HU_03" w:date="2025-05-14T16:41:00Z"/>
          <w:szCs w:val="22"/>
        </w:rPr>
      </w:pPr>
    </w:p>
    <w:p w14:paraId="2633227A" w14:textId="17027914" w:rsidR="009804BF" w:rsidRPr="00183B5F" w:rsidRDefault="009804BF" w:rsidP="00673483">
      <w:pPr>
        <w:keepNext/>
        <w:spacing w:line="240" w:lineRule="auto"/>
        <w:ind w:left="567"/>
        <w:rPr>
          <w:del w:id="11795" w:author="AbbVie_HU_03" w:date="2025-05-14T16:41:00Z"/>
          <w:szCs w:val="22"/>
        </w:rPr>
      </w:pPr>
    </w:p>
    <w:p w14:paraId="12BE6815" w14:textId="54EBC38B" w:rsidR="009804BF" w:rsidRPr="00183B5F" w:rsidRDefault="009804BF" w:rsidP="00673483">
      <w:pPr>
        <w:keepNext/>
        <w:spacing w:line="240" w:lineRule="auto"/>
        <w:ind w:left="567"/>
        <w:rPr>
          <w:del w:id="11796" w:author="AbbVie_HU_03" w:date="2025-05-14T16:41:00Z"/>
          <w:szCs w:val="22"/>
        </w:rPr>
      </w:pPr>
    </w:p>
    <w:p w14:paraId="2DABA53A" w14:textId="73B97CB7" w:rsidR="00FE4E55" w:rsidRPr="00183B5F" w:rsidRDefault="00FE4E55" w:rsidP="00673483">
      <w:pPr>
        <w:keepNext/>
        <w:spacing w:line="240" w:lineRule="auto"/>
        <w:ind w:left="567"/>
        <w:rPr>
          <w:del w:id="11797" w:author="AbbVie_HU_03" w:date="2025-05-14T16:41:00Z"/>
          <w:szCs w:val="22"/>
        </w:rPr>
      </w:pPr>
    </w:p>
    <w:p w14:paraId="2CEE735E" w14:textId="49772A0C" w:rsidR="00FB6710" w:rsidRPr="00183B5F" w:rsidRDefault="00943743" w:rsidP="00673483">
      <w:pPr>
        <w:keepNext/>
        <w:numPr>
          <w:ilvl w:val="0"/>
          <w:numId w:val="15"/>
        </w:numPr>
        <w:tabs>
          <w:tab w:val="clear" w:pos="360"/>
        </w:tabs>
        <w:spacing w:line="240" w:lineRule="auto"/>
        <w:ind w:left="567" w:hanging="567"/>
        <w:rPr>
          <w:del w:id="11798" w:author="AbbVie_HU_03" w:date="2025-05-14T16:41:00Z"/>
          <w:szCs w:val="22"/>
        </w:rPr>
      </w:pPr>
      <w:del w:id="11799" w:author="AbbVie_HU_03" w:date="2025-05-14T16:41:00Z">
        <w:r w:rsidRPr="00183B5F">
          <w:rPr>
            <w:szCs w:val="22"/>
          </w:rPr>
          <w:delText>Minden újabb injekciót legalább 3 cm-re lehet csak alkalmazni az utolsó injekció beadásának helyétől</w:delText>
        </w:r>
      </w:del>
    </w:p>
    <w:p w14:paraId="52CCBA0F" w14:textId="31D7CFA9" w:rsidR="00FB6710" w:rsidRPr="00183B5F" w:rsidRDefault="00943743" w:rsidP="00673483">
      <w:pPr>
        <w:keepNext/>
        <w:numPr>
          <w:ilvl w:val="1"/>
          <w:numId w:val="15"/>
        </w:numPr>
        <w:tabs>
          <w:tab w:val="clear" w:pos="720"/>
        </w:tabs>
        <w:spacing w:line="240" w:lineRule="auto"/>
        <w:ind w:left="1134" w:hanging="567"/>
        <w:rPr>
          <w:del w:id="11800" w:author="AbbVie_HU_03" w:date="2025-05-14T16:41:00Z"/>
          <w:szCs w:val="22"/>
        </w:rPr>
      </w:pPr>
      <w:del w:id="11801" w:author="AbbVie_HU_03" w:date="2025-05-14T16:41:00Z">
        <w:r w:rsidRPr="00183B5F">
          <w:rPr>
            <w:szCs w:val="22"/>
          </w:rPr>
          <w:delText>Ne adja az injekciót olyan helyre, ahol a bőr bepirosodott, megsérült vagy kemény. Ezek a tünetek fertőzésre utalhatnak.</w:delText>
        </w:r>
      </w:del>
    </w:p>
    <w:p w14:paraId="130AB448" w14:textId="07EFA61B" w:rsidR="00FB6710" w:rsidRPr="00183B5F" w:rsidRDefault="00943743" w:rsidP="00673483">
      <w:pPr>
        <w:keepNext/>
        <w:numPr>
          <w:ilvl w:val="1"/>
          <w:numId w:val="15"/>
        </w:numPr>
        <w:tabs>
          <w:tab w:val="clear" w:pos="720"/>
        </w:tabs>
        <w:spacing w:line="240" w:lineRule="auto"/>
        <w:ind w:left="1134" w:hanging="567"/>
        <w:rPr>
          <w:del w:id="11802" w:author="AbbVie_HU_03" w:date="2025-05-14T16:41:00Z"/>
          <w:szCs w:val="22"/>
        </w:rPr>
      </w:pPr>
      <w:del w:id="11803" w:author="AbbVie_HU_03" w:date="2025-05-14T16:41:00Z">
        <w:r w:rsidRPr="00183B5F">
          <w:rPr>
            <w:szCs w:val="22"/>
          </w:rPr>
          <w:delText>Törölje le körkörös mozdulattal az injekció beadásának helyét a mellékelt alkoholos törlővel.</w:delText>
        </w:r>
      </w:del>
    </w:p>
    <w:p w14:paraId="1CB2F80A" w14:textId="6E052949" w:rsidR="00FB6710" w:rsidRPr="00183B5F" w:rsidRDefault="00943743" w:rsidP="00673483">
      <w:pPr>
        <w:keepNext/>
        <w:numPr>
          <w:ilvl w:val="1"/>
          <w:numId w:val="15"/>
        </w:numPr>
        <w:tabs>
          <w:tab w:val="clear" w:pos="720"/>
        </w:tabs>
        <w:spacing w:line="240" w:lineRule="auto"/>
        <w:ind w:left="1134" w:hanging="567"/>
        <w:rPr>
          <w:del w:id="11804" w:author="AbbVie_HU_03" w:date="2025-05-14T16:41:00Z"/>
          <w:szCs w:val="22"/>
        </w:rPr>
      </w:pPr>
      <w:del w:id="11805" w:author="AbbVie_HU_03" w:date="2025-05-14T16:41:00Z">
        <w:r w:rsidRPr="00183B5F">
          <w:rPr>
            <w:szCs w:val="22"/>
          </w:rPr>
          <w:delText>Az injekció beadása előtt ezt a területet már ne érintse meg.</w:delText>
        </w:r>
      </w:del>
    </w:p>
    <w:p w14:paraId="18E24EDC" w14:textId="570DCA1B" w:rsidR="00FB6710" w:rsidRPr="00183B5F" w:rsidRDefault="00FB6710" w:rsidP="00673483">
      <w:pPr>
        <w:spacing w:line="240" w:lineRule="auto"/>
        <w:ind w:left="567" w:right="-2"/>
        <w:rPr>
          <w:del w:id="11806" w:author="AbbVie_HU_03" w:date="2025-05-14T16:41:00Z"/>
          <w:szCs w:val="22"/>
        </w:rPr>
      </w:pPr>
    </w:p>
    <w:p w14:paraId="3CF7FC61" w14:textId="33DFD313" w:rsidR="00FB6710" w:rsidRPr="00183B5F" w:rsidRDefault="00943743" w:rsidP="00673483">
      <w:pPr>
        <w:keepNext/>
        <w:numPr>
          <w:ilvl w:val="0"/>
          <w:numId w:val="22"/>
        </w:numPr>
        <w:tabs>
          <w:tab w:val="clear" w:pos="720"/>
        </w:tabs>
        <w:spacing w:line="240" w:lineRule="auto"/>
        <w:ind w:left="567" w:hanging="567"/>
        <w:rPr>
          <w:del w:id="11807" w:author="AbbVie_HU_03" w:date="2025-05-14T16:41:00Z"/>
          <w:b/>
          <w:szCs w:val="22"/>
        </w:rPr>
      </w:pPr>
      <w:del w:id="11808" w:author="AbbVie_HU_03" w:date="2025-05-14T16:41:00Z">
        <w:r w:rsidRPr="00183B5F">
          <w:rPr>
            <w:b/>
            <w:szCs w:val="22"/>
          </w:rPr>
          <w:delText>Humira injekció beadása</w:delText>
        </w:r>
      </w:del>
    </w:p>
    <w:p w14:paraId="1099E065" w14:textId="2CB160C9" w:rsidR="006D2F10" w:rsidRPr="00183B5F" w:rsidRDefault="006D2F10" w:rsidP="00673483">
      <w:pPr>
        <w:keepNext/>
        <w:spacing w:line="240" w:lineRule="auto"/>
        <w:rPr>
          <w:del w:id="11809" w:author="AbbVie_HU_03" w:date="2025-05-14T16:41:00Z"/>
          <w:b/>
          <w:szCs w:val="22"/>
        </w:rPr>
      </w:pPr>
    </w:p>
    <w:p w14:paraId="7A423D48" w14:textId="595FDF5F" w:rsidR="00FB6710" w:rsidRPr="00183B5F" w:rsidRDefault="00943743" w:rsidP="00673483">
      <w:pPr>
        <w:keepNext/>
        <w:numPr>
          <w:ilvl w:val="0"/>
          <w:numId w:val="29"/>
        </w:numPr>
        <w:tabs>
          <w:tab w:val="clear" w:pos="1433"/>
          <w:tab w:val="num" w:pos="567"/>
        </w:tabs>
        <w:spacing w:line="240" w:lineRule="auto"/>
        <w:ind w:left="600" w:hanging="600"/>
        <w:rPr>
          <w:del w:id="11810" w:author="AbbVie_HU_03" w:date="2025-05-14T16:41:00Z"/>
          <w:szCs w:val="22"/>
        </w:rPr>
      </w:pPr>
      <w:del w:id="11811" w:author="AbbVie_HU_03" w:date="2025-05-14T16:41:00Z">
        <w:r w:rsidRPr="00183B5F">
          <w:rPr>
            <w:szCs w:val="22"/>
          </w:rPr>
          <w:delText>Ne rázza össze a fecskendőt</w:delText>
        </w:r>
        <w:r w:rsidR="006D2F10" w:rsidRPr="00183B5F">
          <w:rPr>
            <w:szCs w:val="22"/>
          </w:rPr>
          <w:delText>!</w:delText>
        </w:r>
      </w:del>
    </w:p>
    <w:p w14:paraId="5A35F501" w14:textId="4E24231C" w:rsidR="006D2F10" w:rsidRPr="00183B5F" w:rsidRDefault="00943743" w:rsidP="00673483">
      <w:pPr>
        <w:numPr>
          <w:ilvl w:val="0"/>
          <w:numId w:val="29"/>
        </w:numPr>
        <w:tabs>
          <w:tab w:val="clear" w:pos="1433"/>
          <w:tab w:val="num" w:pos="600"/>
        </w:tabs>
        <w:spacing w:line="240" w:lineRule="auto"/>
        <w:ind w:left="600" w:right="-2" w:hanging="600"/>
        <w:rPr>
          <w:del w:id="11812" w:author="AbbVie_HU_03" w:date="2025-05-14T16:41:00Z"/>
          <w:szCs w:val="22"/>
        </w:rPr>
      </w:pPr>
      <w:del w:id="11813" w:author="AbbVie_HU_03" w:date="2025-05-14T16:41:00Z">
        <w:r w:rsidRPr="00183B5F">
          <w:rPr>
            <w:szCs w:val="22"/>
          </w:rPr>
          <w:delText>Távolítsa el az injekciós tűn levő védőkupakot, és gondosan figyeljen arra, hogy ne érintse meg a tűt, illetve ne érintsen meg vele semmilyen felületet.</w:delText>
        </w:r>
      </w:del>
    </w:p>
    <w:p w14:paraId="63051F52" w14:textId="5476E5E9" w:rsidR="006D2F10" w:rsidRPr="00183B5F" w:rsidRDefault="00943743" w:rsidP="00673483">
      <w:pPr>
        <w:numPr>
          <w:ilvl w:val="0"/>
          <w:numId w:val="29"/>
        </w:numPr>
        <w:tabs>
          <w:tab w:val="clear" w:pos="1433"/>
        </w:tabs>
        <w:spacing w:line="240" w:lineRule="auto"/>
        <w:ind w:left="630" w:right="-2" w:hanging="630"/>
        <w:rPr>
          <w:del w:id="11814" w:author="AbbVie_HU_03" w:date="2025-05-14T16:41:00Z"/>
          <w:szCs w:val="22"/>
        </w:rPr>
      </w:pPr>
      <w:del w:id="11815" w:author="AbbVie_HU_03" w:date="2025-05-14T16:41:00Z">
        <w:r w:rsidRPr="00183B5F">
          <w:rPr>
            <w:szCs w:val="22"/>
          </w:rPr>
          <w:delText>Egyik kezével finoman fogja meg a letörölt bőrfelületet és tartsa erősen.</w:delText>
        </w:r>
      </w:del>
    </w:p>
    <w:p w14:paraId="568F8593" w14:textId="093B2259" w:rsidR="00FB6710" w:rsidRPr="00183B5F" w:rsidRDefault="00943743" w:rsidP="00673483">
      <w:pPr>
        <w:numPr>
          <w:ilvl w:val="0"/>
          <w:numId w:val="50"/>
        </w:numPr>
        <w:tabs>
          <w:tab w:val="clear" w:pos="720"/>
          <w:tab w:val="num" w:pos="630"/>
        </w:tabs>
        <w:spacing w:line="240" w:lineRule="auto"/>
        <w:ind w:left="630" w:right="-2" w:hanging="630"/>
        <w:rPr>
          <w:del w:id="11816" w:author="AbbVie_HU_03" w:date="2025-05-14T16:41:00Z"/>
          <w:szCs w:val="22"/>
        </w:rPr>
      </w:pPr>
      <w:del w:id="11817" w:author="AbbVie_HU_03" w:date="2025-05-14T16:41:00Z">
        <w:r w:rsidRPr="00183B5F">
          <w:rPr>
            <w:szCs w:val="22"/>
          </w:rPr>
          <w:delText>Másik kezével tartsa a bőréhez viszonyítva 45 fokos szögben a fecskendőt a rovátkolt részével felfele.</w:delText>
        </w:r>
      </w:del>
    </w:p>
    <w:p w14:paraId="5B042ABF" w14:textId="3CA161B6" w:rsidR="008C1692" w:rsidRPr="00183B5F" w:rsidRDefault="008C1692" w:rsidP="00673483">
      <w:pPr>
        <w:spacing w:line="240" w:lineRule="auto"/>
        <w:ind w:left="360"/>
        <w:jc w:val="center"/>
        <w:rPr>
          <w:del w:id="11818" w:author="AbbVie_HU_03" w:date="2025-05-14T16:41:00Z"/>
          <w:szCs w:val="22"/>
        </w:rPr>
      </w:pPr>
    </w:p>
    <w:p w14:paraId="49E8D321" w14:textId="162E517F" w:rsidR="008C1692" w:rsidRPr="00183B5F" w:rsidRDefault="008C1692" w:rsidP="00673483">
      <w:pPr>
        <w:spacing w:line="240" w:lineRule="auto"/>
        <w:ind w:left="360"/>
        <w:jc w:val="center"/>
        <w:rPr>
          <w:del w:id="11819" w:author="AbbVie_HU_03" w:date="2025-05-14T16:41:00Z"/>
          <w:szCs w:val="22"/>
        </w:rPr>
      </w:pPr>
    </w:p>
    <w:p w14:paraId="03F8687E" w14:textId="09F92877" w:rsidR="008C1692" w:rsidRPr="00183B5F" w:rsidRDefault="008C1692" w:rsidP="00673483">
      <w:pPr>
        <w:tabs>
          <w:tab w:val="left" w:pos="4178"/>
        </w:tabs>
        <w:spacing w:line="240" w:lineRule="auto"/>
        <w:ind w:left="360"/>
        <w:jc w:val="center"/>
        <w:rPr>
          <w:del w:id="11820" w:author="AbbVie_HU_03" w:date="2025-05-14T16:41:00Z"/>
          <w:szCs w:val="22"/>
        </w:rPr>
      </w:pPr>
    </w:p>
    <w:p w14:paraId="6BCD5288" w14:textId="369220F7" w:rsidR="008C1692" w:rsidRPr="00183B5F" w:rsidRDefault="008C1692" w:rsidP="00673483">
      <w:pPr>
        <w:spacing w:line="240" w:lineRule="auto"/>
        <w:ind w:left="360"/>
        <w:jc w:val="center"/>
        <w:rPr>
          <w:del w:id="11821" w:author="AbbVie_HU_03" w:date="2025-05-14T16:41:00Z"/>
          <w:szCs w:val="22"/>
        </w:rPr>
      </w:pPr>
    </w:p>
    <w:p w14:paraId="3EE4246A" w14:textId="1F07855D" w:rsidR="008C1692" w:rsidRPr="00183B5F" w:rsidRDefault="008C1692" w:rsidP="00673483">
      <w:pPr>
        <w:spacing w:line="240" w:lineRule="auto"/>
        <w:ind w:left="360"/>
        <w:jc w:val="center"/>
        <w:rPr>
          <w:del w:id="11822" w:author="AbbVie_HU_03" w:date="2025-05-14T16:41:00Z"/>
          <w:szCs w:val="22"/>
        </w:rPr>
      </w:pPr>
    </w:p>
    <w:p w14:paraId="5155DDD5" w14:textId="7E940E42" w:rsidR="008C1692" w:rsidRPr="00183B5F" w:rsidRDefault="008C1692" w:rsidP="00673483">
      <w:pPr>
        <w:spacing w:line="240" w:lineRule="auto"/>
        <w:ind w:left="360"/>
        <w:jc w:val="center"/>
        <w:rPr>
          <w:del w:id="11823" w:author="AbbVie_HU_03" w:date="2025-05-14T16:41:00Z"/>
          <w:szCs w:val="22"/>
        </w:rPr>
      </w:pPr>
    </w:p>
    <w:p w14:paraId="662C20B9" w14:textId="62294BC5" w:rsidR="008C1692" w:rsidRPr="00183B5F" w:rsidRDefault="00943743" w:rsidP="00673483">
      <w:pPr>
        <w:spacing w:line="240" w:lineRule="auto"/>
        <w:ind w:left="360"/>
        <w:jc w:val="center"/>
        <w:rPr>
          <w:del w:id="11824" w:author="AbbVie_HU_03" w:date="2025-05-14T16:41:00Z"/>
          <w:szCs w:val="22"/>
        </w:rPr>
      </w:pPr>
      <w:del w:id="11825" w:author="AbbVie_HU_03" w:date="2025-05-14T16:41:00Z">
        <w:r w:rsidRPr="005C4B06">
          <w:rPr>
            <w:noProof/>
            <w:lang w:val="en-GB"/>
          </w:rPr>
          <w:drawing>
            <wp:anchor distT="0" distB="0" distL="114300" distR="114300" simplePos="0" relativeHeight="251678720" behindDoc="0" locked="0" layoutInCell="1" allowOverlap="1" wp14:anchorId="134BDEA7" wp14:editId="60A972E0">
              <wp:simplePos x="0" y="0"/>
              <wp:positionH relativeFrom="column">
                <wp:posOffset>1905000</wp:posOffset>
              </wp:positionH>
              <wp:positionV relativeFrom="paragraph">
                <wp:posOffset>-744220</wp:posOffset>
              </wp:positionV>
              <wp:extent cx="2019300" cy="1988820"/>
              <wp:effectExtent l="0" t="0" r="0" b="0"/>
              <wp:wrapNone/>
              <wp:docPr id="77" name="Kép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Kép 48"/>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2019300" cy="1988820"/>
                      </a:xfrm>
                      <a:prstGeom prst="rect">
                        <a:avLst/>
                      </a:prstGeom>
                      <a:noFill/>
                    </pic:spPr>
                  </pic:pic>
                </a:graphicData>
              </a:graphic>
              <wp14:sizeRelH relativeFrom="page">
                <wp14:pctWidth>0</wp14:pctWidth>
              </wp14:sizeRelH>
              <wp14:sizeRelV relativeFrom="page">
                <wp14:pctHeight>0</wp14:pctHeight>
              </wp14:sizeRelV>
            </wp:anchor>
          </w:drawing>
        </w:r>
      </w:del>
    </w:p>
    <w:p w14:paraId="45F04C12" w14:textId="654C9FC1" w:rsidR="008C1692" w:rsidRPr="00183B5F" w:rsidRDefault="008C1692" w:rsidP="00673483">
      <w:pPr>
        <w:spacing w:line="240" w:lineRule="auto"/>
        <w:ind w:left="360"/>
        <w:jc w:val="center"/>
        <w:rPr>
          <w:del w:id="11826" w:author="AbbVie_HU_03" w:date="2025-05-14T16:41:00Z"/>
          <w:szCs w:val="22"/>
        </w:rPr>
      </w:pPr>
    </w:p>
    <w:p w14:paraId="2EA339D6" w14:textId="47998B20" w:rsidR="008C1692" w:rsidRPr="00183B5F" w:rsidRDefault="008C1692" w:rsidP="00673483">
      <w:pPr>
        <w:spacing w:line="240" w:lineRule="auto"/>
        <w:ind w:left="360"/>
        <w:jc w:val="center"/>
        <w:rPr>
          <w:del w:id="11827" w:author="AbbVie_HU_03" w:date="2025-05-14T16:41:00Z"/>
          <w:szCs w:val="22"/>
        </w:rPr>
      </w:pPr>
    </w:p>
    <w:p w14:paraId="46EEA4C7" w14:textId="687B268F" w:rsidR="002822F4" w:rsidRPr="00183B5F" w:rsidRDefault="002822F4" w:rsidP="00673483">
      <w:pPr>
        <w:spacing w:line="240" w:lineRule="auto"/>
        <w:ind w:left="360"/>
        <w:jc w:val="center"/>
        <w:rPr>
          <w:del w:id="11828" w:author="AbbVie_HU_03" w:date="2025-05-14T16:41:00Z"/>
          <w:szCs w:val="22"/>
        </w:rPr>
      </w:pPr>
    </w:p>
    <w:p w14:paraId="4C343E8F" w14:textId="57833748" w:rsidR="00FB6710" w:rsidRPr="00183B5F" w:rsidRDefault="00FB6710" w:rsidP="00673483">
      <w:pPr>
        <w:spacing w:line="240" w:lineRule="auto"/>
        <w:ind w:right="-2"/>
        <w:rPr>
          <w:del w:id="11829" w:author="AbbVie_HU_03" w:date="2025-05-14T16:41:00Z"/>
          <w:b/>
          <w:szCs w:val="22"/>
        </w:rPr>
      </w:pPr>
    </w:p>
    <w:p w14:paraId="0B50CCBE" w14:textId="5FEC9E3F" w:rsidR="007C024F" w:rsidRPr="00183B5F" w:rsidRDefault="007C024F" w:rsidP="00673483">
      <w:pPr>
        <w:spacing w:line="240" w:lineRule="auto"/>
        <w:ind w:right="-2"/>
        <w:rPr>
          <w:del w:id="11830" w:author="AbbVie_HU_03" w:date="2025-05-14T16:41:00Z"/>
          <w:szCs w:val="22"/>
        </w:rPr>
      </w:pPr>
    </w:p>
    <w:p w14:paraId="35CB51DE" w14:textId="137FAF9B" w:rsidR="007C024F" w:rsidRPr="00183B5F" w:rsidRDefault="007C024F" w:rsidP="00673483">
      <w:pPr>
        <w:spacing w:line="240" w:lineRule="auto"/>
        <w:ind w:right="-2"/>
        <w:rPr>
          <w:del w:id="11831" w:author="AbbVie_HU_03" w:date="2025-05-14T16:41:00Z"/>
          <w:szCs w:val="22"/>
        </w:rPr>
      </w:pPr>
    </w:p>
    <w:p w14:paraId="54107801" w14:textId="2480832F" w:rsidR="007C024F" w:rsidRPr="00183B5F" w:rsidRDefault="007C024F" w:rsidP="00673483">
      <w:pPr>
        <w:spacing w:line="240" w:lineRule="auto"/>
        <w:ind w:right="-2"/>
        <w:rPr>
          <w:del w:id="11832" w:author="AbbVie_HU_03" w:date="2025-05-14T16:41:00Z"/>
          <w:szCs w:val="22"/>
        </w:rPr>
      </w:pPr>
    </w:p>
    <w:p w14:paraId="16D8ADB6" w14:textId="29924C31" w:rsidR="006D2F10" w:rsidRPr="00183B5F" w:rsidRDefault="00943743" w:rsidP="00673483">
      <w:pPr>
        <w:numPr>
          <w:ilvl w:val="0"/>
          <w:numId w:val="16"/>
        </w:numPr>
        <w:tabs>
          <w:tab w:val="clear" w:pos="720"/>
        </w:tabs>
        <w:spacing w:line="240" w:lineRule="auto"/>
        <w:ind w:left="567" w:right="-2" w:hanging="567"/>
        <w:rPr>
          <w:del w:id="11833" w:author="AbbVie_HU_03" w:date="2025-05-14T16:41:00Z"/>
          <w:szCs w:val="22"/>
        </w:rPr>
      </w:pPr>
      <w:del w:id="11834" w:author="AbbVie_HU_03" w:date="2025-05-14T16:41:00Z">
        <w:r w:rsidRPr="00183B5F">
          <w:rPr>
            <w:szCs w:val="22"/>
          </w:rPr>
          <w:delText>Egy gyors, rövid mozdulattal szúrja a tűt teljesen a bőrbe.</w:delText>
        </w:r>
      </w:del>
    </w:p>
    <w:p w14:paraId="118CCF73" w14:textId="4ACC1D79" w:rsidR="006D2F10" w:rsidRPr="00183B5F" w:rsidRDefault="00943743" w:rsidP="00673483">
      <w:pPr>
        <w:numPr>
          <w:ilvl w:val="0"/>
          <w:numId w:val="16"/>
        </w:numPr>
        <w:tabs>
          <w:tab w:val="clear" w:pos="720"/>
        </w:tabs>
        <w:spacing w:line="240" w:lineRule="auto"/>
        <w:ind w:left="567" w:right="-2" w:hanging="567"/>
        <w:rPr>
          <w:del w:id="11835" w:author="AbbVie_HU_03" w:date="2025-05-14T16:41:00Z"/>
          <w:szCs w:val="22"/>
        </w:rPr>
      </w:pPr>
      <w:del w:id="11836" w:author="AbbVie_HU_03" w:date="2025-05-14T16:41:00Z">
        <w:r w:rsidRPr="00183B5F">
          <w:rPr>
            <w:szCs w:val="22"/>
          </w:rPr>
          <w:delText>A kezével megemelt bőrt engedje el.</w:delText>
        </w:r>
      </w:del>
    </w:p>
    <w:p w14:paraId="61FF2852" w14:textId="2769B566" w:rsidR="006D2F10" w:rsidRPr="00183B5F" w:rsidRDefault="00943743" w:rsidP="00673483">
      <w:pPr>
        <w:numPr>
          <w:ilvl w:val="0"/>
          <w:numId w:val="16"/>
        </w:numPr>
        <w:tabs>
          <w:tab w:val="clear" w:pos="720"/>
        </w:tabs>
        <w:spacing w:line="240" w:lineRule="auto"/>
        <w:ind w:left="567" w:right="-2" w:hanging="567"/>
        <w:rPr>
          <w:del w:id="11837" w:author="AbbVie_HU_03" w:date="2025-05-14T16:41:00Z"/>
          <w:szCs w:val="22"/>
        </w:rPr>
      </w:pPr>
      <w:del w:id="11838" w:author="AbbVie_HU_03" w:date="2025-05-14T16:41:00Z">
        <w:r w:rsidRPr="00183B5F">
          <w:rPr>
            <w:szCs w:val="22"/>
          </w:rPr>
          <w:delText>Nyomja a dugattyút úgy, hogy az oldat injektálása 2</w:delText>
        </w:r>
        <w:r w:rsidR="004538E1" w:rsidRPr="00183B5F">
          <w:rPr>
            <w:szCs w:val="22"/>
          </w:rPr>
          <w:delText> </w:delText>
        </w:r>
        <w:r w:rsidR="004538E1" w:rsidRPr="00183B5F">
          <w:rPr>
            <w:szCs w:val="22"/>
          </w:rPr>
          <w:noBreakHyphen/>
          <w:delText> </w:delText>
        </w:r>
        <w:r w:rsidRPr="00183B5F">
          <w:rPr>
            <w:szCs w:val="22"/>
          </w:rPr>
          <w:delText>5</w:delText>
        </w:r>
        <w:r w:rsidR="005B7D8B" w:rsidRPr="00183B5F">
          <w:rPr>
            <w:szCs w:val="22"/>
          </w:rPr>
          <w:delText> </w:delText>
        </w:r>
        <w:r w:rsidRPr="00183B5F">
          <w:rPr>
            <w:szCs w:val="22"/>
          </w:rPr>
          <w:delText>másodpercig tartson.</w:delText>
        </w:r>
      </w:del>
    </w:p>
    <w:p w14:paraId="14BABED0" w14:textId="27CBE89C" w:rsidR="006D2F10" w:rsidRPr="00183B5F" w:rsidRDefault="00943743" w:rsidP="00673483">
      <w:pPr>
        <w:numPr>
          <w:ilvl w:val="0"/>
          <w:numId w:val="16"/>
        </w:numPr>
        <w:tabs>
          <w:tab w:val="clear" w:pos="720"/>
        </w:tabs>
        <w:spacing w:line="240" w:lineRule="auto"/>
        <w:ind w:left="567" w:right="-2" w:hanging="567"/>
        <w:rPr>
          <w:del w:id="11839" w:author="AbbVie_HU_03" w:date="2025-05-14T16:41:00Z"/>
          <w:szCs w:val="22"/>
        </w:rPr>
      </w:pPr>
      <w:del w:id="11840" w:author="AbbVie_HU_03" w:date="2025-05-14T16:41:00Z">
        <w:r w:rsidRPr="00183B5F">
          <w:rPr>
            <w:szCs w:val="22"/>
          </w:rPr>
          <w:delText>Amikor a fecskendő kiürült, húzza ki a tűt a bőrből, ügyelve arra, hogy az a beszúrással azonos szögben történjen.</w:delText>
        </w:r>
      </w:del>
    </w:p>
    <w:p w14:paraId="5B36F00D" w14:textId="34DFDFF5" w:rsidR="00FB6710" w:rsidRPr="00183B5F" w:rsidRDefault="00943743" w:rsidP="00673483">
      <w:pPr>
        <w:numPr>
          <w:ilvl w:val="0"/>
          <w:numId w:val="16"/>
        </w:numPr>
        <w:tabs>
          <w:tab w:val="clear" w:pos="720"/>
        </w:tabs>
        <w:spacing w:line="240" w:lineRule="auto"/>
        <w:ind w:left="567" w:right="-2" w:hanging="567"/>
        <w:rPr>
          <w:del w:id="11841" w:author="AbbVie_HU_03" w:date="2025-05-14T16:41:00Z"/>
          <w:b/>
          <w:szCs w:val="22"/>
        </w:rPr>
      </w:pPr>
      <w:del w:id="11842" w:author="AbbVie_HU_03" w:date="2025-05-14T16:41:00Z">
        <w:r w:rsidRPr="00183B5F">
          <w:rPr>
            <w:szCs w:val="22"/>
          </w:rPr>
          <w:delText>Az injekció helyét 10 másodpercig nyomja a hüvelykujjával és egy darab gézzel. Enyhe vérzés előfordulhat. Ne dörzsölje az injekció helyét. Leragaszthatja sebtapasszal.</w:delText>
        </w:r>
      </w:del>
    </w:p>
    <w:p w14:paraId="65A40F4B" w14:textId="0B9F9798" w:rsidR="00E57DF1" w:rsidRPr="00183B5F" w:rsidRDefault="00E57DF1" w:rsidP="00673483">
      <w:pPr>
        <w:spacing w:line="240" w:lineRule="auto"/>
        <w:ind w:right="-2"/>
        <w:rPr>
          <w:del w:id="11843" w:author="AbbVie_HU_03" w:date="2025-05-14T16:41:00Z"/>
          <w:b/>
          <w:szCs w:val="22"/>
        </w:rPr>
      </w:pPr>
    </w:p>
    <w:p w14:paraId="61EB91A7" w14:textId="562EC800" w:rsidR="00FB6710" w:rsidRPr="00183B5F" w:rsidRDefault="00943743" w:rsidP="00673483">
      <w:pPr>
        <w:numPr>
          <w:ilvl w:val="0"/>
          <w:numId w:val="22"/>
        </w:numPr>
        <w:tabs>
          <w:tab w:val="clear" w:pos="720"/>
        </w:tabs>
        <w:spacing w:line="240" w:lineRule="auto"/>
        <w:ind w:left="567" w:right="-2" w:hanging="567"/>
        <w:rPr>
          <w:del w:id="11844" w:author="AbbVie_HU_03" w:date="2025-05-14T16:41:00Z"/>
          <w:b/>
          <w:szCs w:val="22"/>
        </w:rPr>
      </w:pPr>
      <w:del w:id="11845" w:author="AbbVie_HU_03" w:date="2025-05-14T16:41:00Z">
        <w:r w:rsidRPr="00183B5F">
          <w:rPr>
            <w:b/>
            <w:szCs w:val="22"/>
          </w:rPr>
          <w:delText>Az alkalmazott eszközök eldobása</w:delText>
        </w:r>
      </w:del>
    </w:p>
    <w:p w14:paraId="253F929B" w14:textId="5BBB88F5" w:rsidR="00FB6710" w:rsidRPr="00183B5F" w:rsidRDefault="00FB6710" w:rsidP="00673483">
      <w:pPr>
        <w:spacing w:line="240" w:lineRule="auto"/>
        <w:ind w:right="-2"/>
        <w:rPr>
          <w:del w:id="11846" w:author="AbbVie_HU_03" w:date="2025-05-14T16:41:00Z"/>
          <w:b/>
          <w:szCs w:val="22"/>
        </w:rPr>
      </w:pPr>
    </w:p>
    <w:p w14:paraId="12E7FD1B" w14:textId="700D74A7" w:rsidR="006D2F10" w:rsidRPr="00183B5F" w:rsidRDefault="00943743" w:rsidP="00673483">
      <w:pPr>
        <w:numPr>
          <w:ilvl w:val="0"/>
          <w:numId w:val="17"/>
        </w:numPr>
        <w:tabs>
          <w:tab w:val="clear" w:pos="720"/>
        </w:tabs>
        <w:spacing w:line="240" w:lineRule="auto"/>
        <w:ind w:left="567" w:right="-2" w:hanging="567"/>
        <w:rPr>
          <w:del w:id="11847" w:author="AbbVie_HU_03" w:date="2025-05-14T16:41:00Z"/>
          <w:szCs w:val="22"/>
        </w:rPr>
      </w:pPr>
      <w:del w:id="11848" w:author="AbbVie_HU_03" w:date="2025-05-14T16:41:00Z">
        <w:r w:rsidRPr="00183B5F">
          <w:rPr>
            <w:szCs w:val="22"/>
          </w:rPr>
          <w:delText xml:space="preserve">A Humira fecskendőjét </w:delText>
        </w:r>
        <w:r w:rsidRPr="00183B5F">
          <w:rPr>
            <w:b/>
            <w:szCs w:val="22"/>
          </w:rPr>
          <w:delText>SOHA</w:delText>
        </w:r>
        <w:r w:rsidRPr="00183B5F">
          <w:rPr>
            <w:szCs w:val="22"/>
          </w:rPr>
          <w:delText xml:space="preserve"> nem szabad ismételten felhasználni! </w:delText>
        </w:r>
        <w:r w:rsidRPr="00183B5F">
          <w:rPr>
            <w:b/>
            <w:szCs w:val="22"/>
          </w:rPr>
          <w:delText>SOHA</w:delText>
        </w:r>
        <w:r w:rsidRPr="00183B5F">
          <w:rPr>
            <w:szCs w:val="22"/>
          </w:rPr>
          <w:delText xml:space="preserve"> ne helyezze vissza a védőkupakot a tűre!</w:delText>
        </w:r>
      </w:del>
    </w:p>
    <w:p w14:paraId="68E5C282" w14:textId="1255BBEB" w:rsidR="006D2F10" w:rsidRPr="00183B5F" w:rsidRDefault="00943743" w:rsidP="00673483">
      <w:pPr>
        <w:numPr>
          <w:ilvl w:val="0"/>
          <w:numId w:val="17"/>
        </w:numPr>
        <w:tabs>
          <w:tab w:val="clear" w:pos="720"/>
        </w:tabs>
        <w:spacing w:line="240" w:lineRule="auto"/>
        <w:ind w:left="567" w:right="-2" w:hanging="567"/>
        <w:rPr>
          <w:del w:id="11849" w:author="AbbVie_HU_03" w:date="2025-05-14T16:41:00Z"/>
          <w:szCs w:val="22"/>
        </w:rPr>
      </w:pPr>
      <w:del w:id="11850" w:author="AbbVie_HU_03" w:date="2025-05-14T16:41:00Z">
        <w:r w:rsidRPr="00183B5F">
          <w:rPr>
            <w:szCs w:val="22"/>
          </w:rPr>
          <w:delText>A Humira beadását követően haladéktalanul dobja el a fecskendőt egy speciális gyűjtőedénybe, annak alapján, ahogy orvosa, asszisztense vagy a gyógyszerésze javasolta.</w:delText>
        </w:r>
      </w:del>
    </w:p>
    <w:p w14:paraId="5163DCED" w14:textId="4C93984F" w:rsidR="00FB6710" w:rsidRPr="00183B5F" w:rsidRDefault="00943743" w:rsidP="00673483">
      <w:pPr>
        <w:numPr>
          <w:ilvl w:val="0"/>
          <w:numId w:val="17"/>
        </w:numPr>
        <w:tabs>
          <w:tab w:val="clear" w:pos="720"/>
        </w:tabs>
        <w:spacing w:line="240" w:lineRule="auto"/>
        <w:ind w:left="567" w:right="-2" w:hanging="567"/>
        <w:rPr>
          <w:del w:id="11851" w:author="AbbVie_HU_03" w:date="2025-05-14T16:41:00Z"/>
          <w:szCs w:val="22"/>
        </w:rPr>
      </w:pPr>
      <w:del w:id="11852" w:author="AbbVie_HU_03" w:date="2025-05-14T16:41:00Z">
        <w:r w:rsidRPr="00183B5F">
          <w:rPr>
            <w:szCs w:val="22"/>
          </w:rPr>
          <w:delText>A gyűjtőedényt gyermekek elől elzárva kell tartani!</w:delText>
        </w:r>
      </w:del>
    </w:p>
    <w:p w14:paraId="7F1F58EB" w14:textId="5546DA27" w:rsidR="00C612FF" w:rsidRPr="00183B5F" w:rsidRDefault="00C612FF" w:rsidP="00673483">
      <w:pPr>
        <w:spacing w:line="240" w:lineRule="auto"/>
        <w:ind w:right="-2"/>
        <w:rPr>
          <w:del w:id="11853" w:author="AbbVie_HU_03" w:date="2025-05-14T16:41:00Z"/>
          <w:szCs w:val="22"/>
        </w:rPr>
      </w:pPr>
    </w:p>
    <w:p w14:paraId="70A333FE" w14:textId="0EBD6F5E" w:rsidR="000863CC" w:rsidRPr="00183B5F" w:rsidRDefault="00943743" w:rsidP="00673483">
      <w:pPr>
        <w:spacing w:line="240" w:lineRule="auto"/>
        <w:ind w:right="-2"/>
        <w:rPr>
          <w:del w:id="11854" w:author="AbbVie_HU_03" w:date="2025-05-14T16:41:00Z"/>
          <w:b/>
          <w:szCs w:val="22"/>
          <w:highlight w:val="lightGray"/>
        </w:rPr>
      </w:pPr>
      <w:del w:id="11855" w:author="AbbVie_HU_03" w:date="2025-05-14T16:41:00Z">
        <w:r w:rsidRPr="00183B5F">
          <w:rPr>
            <w:b/>
            <w:szCs w:val="22"/>
            <w:highlight w:val="lightGray"/>
          </w:rPr>
          <w:delText>Utasítások a Humira injekció előkészítéséhez és alkalmazásához:</w:delText>
        </w:r>
      </w:del>
    </w:p>
    <w:p w14:paraId="400E8498" w14:textId="14662685" w:rsidR="000863CC" w:rsidRPr="00183B5F" w:rsidRDefault="000863CC" w:rsidP="00673483">
      <w:pPr>
        <w:spacing w:line="240" w:lineRule="auto"/>
        <w:ind w:right="-2"/>
        <w:rPr>
          <w:del w:id="11856" w:author="AbbVie_HU_03" w:date="2025-05-14T16:41:00Z"/>
          <w:b/>
          <w:szCs w:val="22"/>
          <w:highlight w:val="lightGray"/>
        </w:rPr>
      </w:pPr>
    </w:p>
    <w:p w14:paraId="080195A9" w14:textId="4DC2257D" w:rsidR="000863CC" w:rsidRPr="00183B5F" w:rsidRDefault="00943743" w:rsidP="00673483">
      <w:pPr>
        <w:spacing w:line="240" w:lineRule="auto"/>
        <w:ind w:right="-2"/>
        <w:rPr>
          <w:del w:id="11857" w:author="AbbVie_HU_03" w:date="2025-05-14T16:41:00Z"/>
          <w:szCs w:val="22"/>
          <w:highlight w:val="lightGray"/>
        </w:rPr>
      </w:pPr>
      <w:del w:id="11858" w:author="AbbVie_HU_03" w:date="2025-05-14T16:41:00Z">
        <w:r w:rsidRPr="00183B5F">
          <w:rPr>
            <w:szCs w:val="22"/>
            <w:highlight w:val="lightGray"/>
          </w:rPr>
          <w:delText>Az alábbi utasítások ismertetik a Humira injekció alkalmazásának módját. Kérjük, olvassa el figyelmesen ezeket az utasításokat, és kövesse lépésről lépésre. Önt kezelőorvosa vagy asszisztense tájékoztatni fogja az öninjekciózás módjáról. Ne kezdjen bele az öninjekciózásba, míg teljesen nem győződött meg arról, hogy megértette az injekció előkészítésének és beadásának folyamatát. Megfelelő gyakorlatot követően adhatja be önmagának az injekciót, vagy adhatja be Önnek azt egy másik személy, családtag vagy bará</w:delText>
        </w:r>
        <w:r w:rsidRPr="00183B5F">
          <w:rPr>
            <w:szCs w:val="22"/>
            <w:highlight w:val="lightGray"/>
          </w:rPr>
          <w:delText>t.</w:delText>
        </w:r>
      </w:del>
    </w:p>
    <w:p w14:paraId="3FD73116" w14:textId="2C251A08" w:rsidR="000863CC" w:rsidRPr="00183B5F" w:rsidRDefault="000863CC" w:rsidP="00673483">
      <w:pPr>
        <w:spacing w:line="240" w:lineRule="auto"/>
        <w:ind w:right="-2"/>
        <w:rPr>
          <w:del w:id="11859" w:author="AbbVie_HU_03" w:date="2025-05-14T16:41:00Z"/>
          <w:szCs w:val="22"/>
          <w:highlight w:val="lightGray"/>
        </w:rPr>
      </w:pPr>
    </w:p>
    <w:p w14:paraId="3D82F7C7" w14:textId="76E0E842" w:rsidR="000863CC" w:rsidRPr="00183B5F" w:rsidRDefault="00943743" w:rsidP="00673483">
      <w:pPr>
        <w:spacing w:line="240" w:lineRule="auto"/>
        <w:ind w:right="-2"/>
        <w:rPr>
          <w:del w:id="11860" w:author="AbbVie_HU_03" w:date="2025-05-14T16:41:00Z"/>
          <w:szCs w:val="22"/>
          <w:highlight w:val="lightGray"/>
        </w:rPr>
      </w:pPr>
      <w:del w:id="11861" w:author="AbbVie_HU_03" w:date="2025-05-14T16:41:00Z">
        <w:r w:rsidRPr="00183B5F">
          <w:rPr>
            <w:szCs w:val="22"/>
            <w:highlight w:val="lightGray"/>
          </w:rPr>
          <w:delText>Az injekció nem keverhető más gyógyszerrel azonos fecskendőben vagy üvegben.</w:delText>
        </w:r>
      </w:del>
    </w:p>
    <w:p w14:paraId="64685E83" w14:textId="2D3B1062" w:rsidR="000863CC" w:rsidRPr="00183B5F" w:rsidRDefault="000863CC" w:rsidP="00673483">
      <w:pPr>
        <w:spacing w:line="240" w:lineRule="auto"/>
        <w:ind w:right="-2"/>
        <w:rPr>
          <w:del w:id="11862" w:author="AbbVie_HU_03" w:date="2025-05-14T16:41:00Z"/>
          <w:szCs w:val="22"/>
          <w:highlight w:val="lightGray"/>
        </w:rPr>
      </w:pPr>
    </w:p>
    <w:p w14:paraId="12FEC3E6" w14:textId="152EBD8F" w:rsidR="000863CC" w:rsidRPr="00183B5F" w:rsidRDefault="00943743" w:rsidP="00673483">
      <w:pPr>
        <w:numPr>
          <w:ilvl w:val="0"/>
          <w:numId w:val="23"/>
        </w:numPr>
        <w:tabs>
          <w:tab w:val="clear" w:pos="720"/>
        </w:tabs>
        <w:spacing w:line="240" w:lineRule="auto"/>
        <w:ind w:left="0" w:firstLine="0"/>
        <w:rPr>
          <w:del w:id="11863" w:author="AbbVie_HU_03" w:date="2025-05-14T16:41:00Z"/>
          <w:b/>
          <w:szCs w:val="22"/>
          <w:highlight w:val="lightGray"/>
        </w:rPr>
      </w:pPr>
      <w:del w:id="11864" w:author="AbbVie_HU_03" w:date="2025-05-14T16:41:00Z">
        <w:r w:rsidRPr="00183B5F">
          <w:rPr>
            <w:b/>
            <w:szCs w:val="22"/>
            <w:highlight w:val="lightGray"/>
          </w:rPr>
          <w:delText>Előkészítés</w:delText>
        </w:r>
      </w:del>
    </w:p>
    <w:p w14:paraId="52AE0F24" w14:textId="3D2ACD46" w:rsidR="000863CC" w:rsidRPr="00183B5F" w:rsidRDefault="000863CC" w:rsidP="00966731">
      <w:pPr>
        <w:spacing w:line="240" w:lineRule="auto"/>
        <w:rPr>
          <w:del w:id="11865" w:author="AbbVie_HU_03" w:date="2025-05-14T16:41:00Z"/>
          <w:b/>
          <w:szCs w:val="22"/>
          <w:highlight w:val="lightGray"/>
        </w:rPr>
      </w:pPr>
    </w:p>
    <w:p w14:paraId="7A87C7F1" w14:textId="7AA6AD4C" w:rsidR="000863CC" w:rsidRPr="00183B5F" w:rsidRDefault="00943743" w:rsidP="00966731">
      <w:pPr>
        <w:numPr>
          <w:ilvl w:val="0"/>
          <w:numId w:val="4"/>
        </w:numPr>
        <w:tabs>
          <w:tab w:val="clear" w:pos="360"/>
        </w:tabs>
        <w:spacing w:line="240" w:lineRule="auto"/>
        <w:ind w:left="567" w:right="-2" w:hanging="567"/>
        <w:rPr>
          <w:del w:id="11866" w:author="AbbVie_HU_03" w:date="2025-05-14T16:41:00Z"/>
          <w:szCs w:val="22"/>
          <w:highlight w:val="lightGray"/>
        </w:rPr>
      </w:pPr>
      <w:del w:id="11867" w:author="AbbVie_HU_03" w:date="2025-05-14T16:41:00Z">
        <w:r w:rsidRPr="00183B5F">
          <w:rPr>
            <w:szCs w:val="22"/>
            <w:highlight w:val="lightGray"/>
          </w:rPr>
          <w:delText>Alaposan mosson kezet</w:delText>
        </w:r>
      </w:del>
    </w:p>
    <w:p w14:paraId="460E7005" w14:textId="7FB564DB" w:rsidR="000863CC" w:rsidRPr="00183B5F" w:rsidRDefault="00943743" w:rsidP="00966731">
      <w:pPr>
        <w:numPr>
          <w:ilvl w:val="0"/>
          <w:numId w:val="4"/>
        </w:numPr>
        <w:tabs>
          <w:tab w:val="clear" w:pos="360"/>
        </w:tabs>
        <w:spacing w:line="240" w:lineRule="auto"/>
        <w:ind w:left="567" w:right="-2" w:hanging="567"/>
        <w:rPr>
          <w:del w:id="11868" w:author="AbbVie_HU_03" w:date="2025-05-14T16:41:00Z"/>
          <w:szCs w:val="22"/>
          <w:highlight w:val="lightGray"/>
        </w:rPr>
      </w:pPr>
      <w:del w:id="11869" w:author="AbbVie_HU_03" w:date="2025-05-14T16:41:00Z">
        <w:r w:rsidRPr="00183B5F">
          <w:rPr>
            <w:szCs w:val="22"/>
            <w:highlight w:val="lightGray"/>
          </w:rPr>
          <w:delText>Készítse elő az alábbiakat egy tiszta felületre</w:delText>
        </w:r>
      </w:del>
    </w:p>
    <w:p w14:paraId="32EC593E" w14:textId="11BBB6B2" w:rsidR="000863CC" w:rsidRPr="00183B5F" w:rsidRDefault="00943743" w:rsidP="00966731">
      <w:pPr>
        <w:numPr>
          <w:ilvl w:val="1"/>
          <w:numId w:val="4"/>
        </w:numPr>
        <w:tabs>
          <w:tab w:val="clear" w:pos="720"/>
        </w:tabs>
        <w:spacing w:line="240" w:lineRule="auto"/>
        <w:ind w:left="1134" w:right="-2" w:hanging="567"/>
        <w:rPr>
          <w:del w:id="11870" w:author="AbbVie_HU_03" w:date="2025-05-14T16:41:00Z"/>
          <w:szCs w:val="22"/>
          <w:highlight w:val="lightGray"/>
        </w:rPr>
      </w:pPr>
      <w:del w:id="11871" w:author="AbbVie_HU_03" w:date="2025-05-14T16:41:00Z">
        <w:r w:rsidRPr="00183B5F">
          <w:rPr>
            <w:szCs w:val="22"/>
            <w:highlight w:val="lightGray"/>
          </w:rPr>
          <w:delText>Egy előretöltött fecskendőben levő injekcióhoz való Humira-t.</w:delText>
        </w:r>
      </w:del>
    </w:p>
    <w:p w14:paraId="302868CE" w14:textId="6D2509B0" w:rsidR="000863CC" w:rsidRPr="00183B5F" w:rsidRDefault="00943743" w:rsidP="00966731">
      <w:pPr>
        <w:numPr>
          <w:ilvl w:val="1"/>
          <w:numId w:val="4"/>
        </w:numPr>
        <w:tabs>
          <w:tab w:val="clear" w:pos="720"/>
        </w:tabs>
        <w:spacing w:line="240" w:lineRule="auto"/>
        <w:ind w:left="1134" w:right="-2" w:hanging="567"/>
        <w:rPr>
          <w:del w:id="11872" w:author="AbbVie_HU_03" w:date="2025-05-14T16:41:00Z"/>
          <w:szCs w:val="22"/>
          <w:highlight w:val="lightGray"/>
        </w:rPr>
      </w:pPr>
      <w:del w:id="11873" w:author="AbbVie_HU_03" w:date="2025-05-14T16:41:00Z">
        <w:r w:rsidRPr="005C4B06">
          <w:rPr>
            <w:noProof/>
            <w:highlight w:val="lightGray"/>
            <w:lang w:val="en-GB"/>
          </w:rPr>
          <w:drawing>
            <wp:anchor distT="0" distB="0" distL="114300" distR="114300" simplePos="0" relativeHeight="251679744" behindDoc="0" locked="0" layoutInCell="0" allowOverlap="1" wp14:anchorId="5FA8DCC8" wp14:editId="6C2AC397">
              <wp:simplePos x="0" y="0"/>
              <wp:positionH relativeFrom="column">
                <wp:posOffset>1786255</wp:posOffset>
              </wp:positionH>
              <wp:positionV relativeFrom="paragraph">
                <wp:posOffset>347980</wp:posOffset>
              </wp:positionV>
              <wp:extent cx="1828800" cy="1390650"/>
              <wp:effectExtent l="0" t="0" r="0" b="0"/>
              <wp:wrapTopAndBottom/>
              <wp:docPr id="9"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ép 5"/>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bwMode="auto">
                      <a:xfrm>
                        <a:off x="0" y="0"/>
                        <a:ext cx="1828800" cy="1390650"/>
                      </a:xfrm>
                      <a:prstGeom prst="rect">
                        <a:avLst/>
                      </a:prstGeom>
                      <a:noFill/>
                    </pic:spPr>
                  </pic:pic>
                </a:graphicData>
              </a:graphic>
              <wp14:sizeRelH relativeFrom="page">
                <wp14:pctWidth>0</wp14:pctWidth>
              </wp14:sizeRelH>
              <wp14:sizeRelV relativeFrom="page">
                <wp14:pctHeight>0</wp14:pctHeight>
              </wp14:sizeRelV>
            </wp:anchor>
          </w:drawing>
        </w:r>
        <w:r w:rsidRPr="00183B5F">
          <w:rPr>
            <w:szCs w:val="22"/>
            <w:highlight w:val="lightGray"/>
          </w:rPr>
          <w:delText>Egy alkoholos törlőkendőt.</w:delText>
        </w:r>
      </w:del>
    </w:p>
    <w:p w14:paraId="1949730A" w14:textId="40F18A77" w:rsidR="000863CC" w:rsidRPr="00183B5F" w:rsidRDefault="000863CC" w:rsidP="00966731">
      <w:pPr>
        <w:spacing w:line="240" w:lineRule="auto"/>
        <w:ind w:left="567" w:right="-2"/>
        <w:rPr>
          <w:del w:id="11874" w:author="AbbVie_HU_03" w:date="2025-05-14T16:41:00Z"/>
          <w:szCs w:val="22"/>
          <w:highlight w:val="lightGray"/>
        </w:rPr>
      </w:pPr>
    </w:p>
    <w:p w14:paraId="31CF160F" w14:textId="4A6E68EF" w:rsidR="000863CC" w:rsidRPr="00183B5F" w:rsidRDefault="00943743" w:rsidP="00966731">
      <w:pPr>
        <w:numPr>
          <w:ilvl w:val="0"/>
          <w:numId w:val="4"/>
        </w:numPr>
        <w:tabs>
          <w:tab w:val="clear" w:pos="360"/>
        </w:tabs>
        <w:spacing w:line="240" w:lineRule="auto"/>
        <w:ind w:left="567" w:right="-2" w:hanging="567"/>
        <w:rPr>
          <w:del w:id="11875" w:author="AbbVie_HU_03" w:date="2025-05-14T16:41:00Z"/>
          <w:szCs w:val="22"/>
          <w:highlight w:val="lightGray"/>
        </w:rPr>
      </w:pPr>
      <w:del w:id="11876" w:author="AbbVie_HU_03" w:date="2025-05-14T16:41:00Z">
        <w:r w:rsidRPr="00183B5F">
          <w:rPr>
            <w:szCs w:val="22"/>
            <w:highlight w:val="lightGray"/>
          </w:rPr>
          <w:delText>Nézze meg a fecskendőn látható lejárati időt. Ne alkalmazza a készítményt a feltüntetett hónapot és évet követően.</w:delText>
        </w:r>
      </w:del>
    </w:p>
    <w:p w14:paraId="708E059A" w14:textId="08BC7703" w:rsidR="000863CC" w:rsidRPr="00183B5F" w:rsidRDefault="000863CC" w:rsidP="00966731">
      <w:pPr>
        <w:spacing w:line="240" w:lineRule="auto"/>
        <w:ind w:right="-2"/>
        <w:rPr>
          <w:del w:id="11877" w:author="AbbVie_HU_03" w:date="2025-05-14T16:41:00Z"/>
          <w:szCs w:val="22"/>
          <w:highlight w:val="lightGray"/>
        </w:rPr>
      </w:pPr>
    </w:p>
    <w:p w14:paraId="1379E214" w14:textId="2D3C1403" w:rsidR="000863CC" w:rsidRPr="00183B5F" w:rsidRDefault="00943743" w:rsidP="00966731">
      <w:pPr>
        <w:keepNext/>
        <w:numPr>
          <w:ilvl w:val="0"/>
          <w:numId w:val="23"/>
        </w:numPr>
        <w:tabs>
          <w:tab w:val="clear" w:pos="720"/>
        </w:tabs>
        <w:spacing w:line="240" w:lineRule="auto"/>
        <w:ind w:left="567" w:hanging="567"/>
        <w:rPr>
          <w:del w:id="11878" w:author="AbbVie_HU_03" w:date="2025-05-14T16:41:00Z"/>
          <w:b/>
          <w:szCs w:val="22"/>
          <w:highlight w:val="lightGray"/>
        </w:rPr>
      </w:pPr>
      <w:del w:id="11879" w:author="AbbVie_HU_03" w:date="2025-05-14T16:41:00Z">
        <w:r w:rsidRPr="00183B5F">
          <w:rPr>
            <w:b/>
            <w:szCs w:val="22"/>
            <w:highlight w:val="lightGray"/>
          </w:rPr>
          <w:delText>Az injekció beadási helyének kiválasztása és előkészítése</w:delText>
        </w:r>
      </w:del>
    </w:p>
    <w:p w14:paraId="45E2D9EE" w14:textId="74D874AE" w:rsidR="000863CC" w:rsidRPr="00183B5F" w:rsidRDefault="000863CC" w:rsidP="00966731">
      <w:pPr>
        <w:keepNext/>
        <w:spacing w:line="240" w:lineRule="auto"/>
        <w:rPr>
          <w:del w:id="11880" w:author="AbbVie_HU_03" w:date="2025-05-14T16:41:00Z"/>
          <w:b/>
          <w:szCs w:val="22"/>
          <w:highlight w:val="lightGray"/>
        </w:rPr>
      </w:pPr>
    </w:p>
    <w:p w14:paraId="2ACF4FEF" w14:textId="106CC3AE" w:rsidR="000863CC" w:rsidRPr="00183B5F" w:rsidRDefault="00943743" w:rsidP="00966731">
      <w:pPr>
        <w:keepNext/>
        <w:numPr>
          <w:ilvl w:val="0"/>
          <w:numId w:val="4"/>
        </w:numPr>
        <w:spacing w:line="240" w:lineRule="auto"/>
        <w:rPr>
          <w:del w:id="11881" w:author="AbbVie_HU_03" w:date="2025-05-14T16:41:00Z"/>
          <w:szCs w:val="22"/>
          <w:highlight w:val="lightGray"/>
        </w:rPr>
      </w:pPr>
      <w:del w:id="11882" w:author="AbbVie_HU_03" w:date="2025-05-14T16:41:00Z">
        <w:r w:rsidRPr="00183B5F">
          <w:rPr>
            <w:szCs w:val="22"/>
            <w:highlight w:val="lightGray"/>
          </w:rPr>
          <w:delText>Válasszon egy helyet a combján vagy a hasfalán.</w:delText>
        </w:r>
      </w:del>
    </w:p>
    <w:p w14:paraId="6E3A60CF" w14:textId="379BA2C8" w:rsidR="000863CC" w:rsidRPr="00183B5F" w:rsidRDefault="000863CC" w:rsidP="00966731">
      <w:pPr>
        <w:spacing w:line="240" w:lineRule="auto"/>
        <w:ind w:right="-2"/>
        <w:rPr>
          <w:del w:id="11883" w:author="AbbVie_HU_03" w:date="2025-05-14T16:41:00Z"/>
          <w:szCs w:val="22"/>
          <w:highlight w:val="lightGray"/>
        </w:rPr>
      </w:pPr>
    </w:p>
    <w:p w14:paraId="50A0CEFF" w14:textId="2B5F4E26" w:rsidR="000863CC" w:rsidRPr="00183B5F" w:rsidRDefault="00943743" w:rsidP="00966731">
      <w:pPr>
        <w:spacing w:line="240" w:lineRule="auto"/>
        <w:jc w:val="center"/>
        <w:rPr>
          <w:del w:id="11884" w:author="AbbVie_HU_03" w:date="2025-05-14T16:41:00Z"/>
          <w:highlight w:val="lightGray"/>
        </w:rPr>
      </w:pPr>
      <w:del w:id="11885" w:author="AbbVie_HU_03" w:date="2025-05-14T16:41:00Z">
        <w:r>
          <w:rPr>
            <w:noProof/>
            <w:highlight w:val="lightGray"/>
          </w:rPr>
          <w:object w:dxaOrig="2567" w:dyaOrig="2166" w14:anchorId="45B17B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35pt;height:108.3pt" o:ole="">
              <v:imagedata r:id="rId53" o:title=""/>
            </v:shape>
            <o:OLEObject Type="Embed" ProgID="MSPhotoEd.3" ShapeID="_x0000_i1025" DrawAspect="Content" ObjectID="_1819000598" r:id="rId54"/>
          </w:object>
        </w:r>
      </w:del>
    </w:p>
    <w:p w14:paraId="4431F8C2" w14:textId="0245C45A" w:rsidR="000863CC" w:rsidRPr="00183B5F" w:rsidRDefault="000863CC" w:rsidP="00966731">
      <w:pPr>
        <w:spacing w:line="240" w:lineRule="auto"/>
        <w:jc w:val="center"/>
        <w:rPr>
          <w:del w:id="11886" w:author="AbbVie_HU_03" w:date="2025-05-14T16:41:00Z"/>
          <w:szCs w:val="22"/>
          <w:highlight w:val="lightGray"/>
        </w:rPr>
      </w:pPr>
    </w:p>
    <w:p w14:paraId="4C210870" w14:textId="5BD8CD2D" w:rsidR="000863CC" w:rsidRPr="00183B5F" w:rsidRDefault="00943743" w:rsidP="00966731">
      <w:pPr>
        <w:numPr>
          <w:ilvl w:val="0"/>
          <w:numId w:val="4"/>
        </w:numPr>
        <w:tabs>
          <w:tab w:val="clear" w:pos="360"/>
        </w:tabs>
        <w:spacing w:line="240" w:lineRule="auto"/>
        <w:ind w:left="567" w:right="-2" w:hanging="567"/>
        <w:rPr>
          <w:del w:id="11887" w:author="AbbVie_HU_03" w:date="2025-05-14T16:41:00Z"/>
          <w:szCs w:val="22"/>
          <w:highlight w:val="lightGray"/>
        </w:rPr>
      </w:pPr>
      <w:del w:id="11888" w:author="AbbVie_HU_03" w:date="2025-05-14T16:41:00Z">
        <w:r w:rsidRPr="00183B5F">
          <w:rPr>
            <w:szCs w:val="22"/>
            <w:highlight w:val="lightGray"/>
          </w:rPr>
          <w:delText>Minden újabb injekciót legalább 3 cm</w:delText>
        </w:r>
        <w:r w:rsidRPr="00183B5F">
          <w:rPr>
            <w:szCs w:val="22"/>
            <w:highlight w:val="lightGray"/>
          </w:rPr>
          <w:noBreakHyphen/>
          <w:delText>re lehet csak alkalmazni az utolsó injekció beadásának helyétől.</w:delText>
        </w:r>
      </w:del>
    </w:p>
    <w:p w14:paraId="2A4D81FD" w14:textId="7C14706C" w:rsidR="000863CC" w:rsidRPr="00183B5F" w:rsidRDefault="00943743" w:rsidP="00966731">
      <w:pPr>
        <w:numPr>
          <w:ilvl w:val="1"/>
          <w:numId w:val="4"/>
        </w:numPr>
        <w:tabs>
          <w:tab w:val="clear" w:pos="720"/>
        </w:tabs>
        <w:spacing w:line="240" w:lineRule="auto"/>
        <w:ind w:left="1134" w:right="-2" w:hanging="567"/>
        <w:rPr>
          <w:del w:id="11889" w:author="AbbVie_HU_03" w:date="2025-05-14T16:41:00Z"/>
          <w:szCs w:val="22"/>
          <w:highlight w:val="lightGray"/>
        </w:rPr>
      </w:pPr>
      <w:del w:id="11890" w:author="AbbVie_HU_03" w:date="2025-05-14T16:41:00Z">
        <w:r w:rsidRPr="00183B5F">
          <w:rPr>
            <w:szCs w:val="22"/>
            <w:highlight w:val="lightGray"/>
          </w:rPr>
          <w:delText>Ne adja az injekciót olyan helyre, ahol a bőr bepirosodott, megsérült vagy kemény. Ezek a tünetek fertőzésre utalhatnak.</w:delText>
        </w:r>
      </w:del>
    </w:p>
    <w:p w14:paraId="7A807D74" w14:textId="5A87D35D" w:rsidR="000863CC" w:rsidRPr="00183B5F" w:rsidRDefault="00943743" w:rsidP="00966731">
      <w:pPr>
        <w:numPr>
          <w:ilvl w:val="1"/>
          <w:numId w:val="4"/>
        </w:numPr>
        <w:tabs>
          <w:tab w:val="clear" w:pos="720"/>
        </w:tabs>
        <w:spacing w:line="240" w:lineRule="auto"/>
        <w:ind w:left="1134" w:right="-2" w:hanging="567"/>
        <w:rPr>
          <w:del w:id="11891" w:author="AbbVie_HU_03" w:date="2025-05-14T16:41:00Z"/>
          <w:szCs w:val="22"/>
          <w:highlight w:val="lightGray"/>
        </w:rPr>
      </w:pPr>
      <w:del w:id="11892" w:author="AbbVie_HU_03" w:date="2025-05-14T16:41:00Z">
        <w:r w:rsidRPr="00183B5F">
          <w:rPr>
            <w:szCs w:val="22"/>
            <w:highlight w:val="lightGray"/>
          </w:rPr>
          <w:delText>Törölje le körkörös mozdulattal az injekció beadásának helyét a mellékelt alkoholos törlővel.</w:delText>
        </w:r>
      </w:del>
    </w:p>
    <w:p w14:paraId="2E59D456" w14:textId="3909FA4D" w:rsidR="000863CC" w:rsidRPr="00183B5F" w:rsidRDefault="00943743" w:rsidP="00966731">
      <w:pPr>
        <w:numPr>
          <w:ilvl w:val="1"/>
          <w:numId w:val="4"/>
        </w:numPr>
        <w:tabs>
          <w:tab w:val="clear" w:pos="720"/>
        </w:tabs>
        <w:spacing w:line="240" w:lineRule="auto"/>
        <w:ind w:left="1134" w:right="-2" w:hanging="567"/>
        <w:rPr>
          <w:del w:id="11893" w:author="AbbVie_HU_03" w:date="2025-05-14T16:41:00Z"/>
          <w:szCs w:val="22"/>
          <w:highlight w:val="lightGray"/>
        </w:rPr>
      </w:pPr>
      <w:del w:id="11894" w:author="AbbVie_HU_03" w:date="2025-05-14T16:41:00Z">
        <w:r w:rsidRPr="00183B5F">
          <w:rPr>
            <w:szCs w:val="22"/>
            <w:highlight w:val="lightGray"/>
          </w:rPr>
          <w:delText>Az injekció beadása előtt ezt a területet már ne érintse meg.</w:delText>
        </w:r>
      </w:del>
    </w:p>
    <w:p w14:paraId="4733B132" w14:textId="4ED43C2E" w:rsidR="000863CC" w:rsidRPr="00183B5F" w:rsidRDefault="000863CC" w:rsidP="00966731">
      <w:pPr>
        <w:spacing w:line="240" w:lineRule="auto"/>
        <w:ind w:right="-2"/>
        <w:rPr>
          <w:del w:id="11895" w:author="AbbVie_HU_03" w:date="2025-05-14T16:41:00Z"/>
          <w:szCs w:val="22"/>
          <w:highlight w:val="lightGray"/>
        </w:rPr>
      </w:pPr>
    </w:p>
    <w:p w14:paraId="2521AFB8" w14:textId="39BE85E5" w:rsidR="000863CC" w:rsidRPr="00183B5F" w:rsidRDefault="00943743" w:rsidP="00966731">
      <w:pPr>
        <w:numPr>
          <w:ilvl w:val="0"/>
          <w:numId w:val="23"/>
        </w:numPr>
        <w:tabs>
          <w:tab w:val="clear" w:pos="720"/>
        </w:tabs>
        <w:spacing w:line="240" w:lineRule="auto"/>
        <w:ind w:left="567" w:right="-2" w:hanging="567"/>
        <w:rPr>
          <w:del w:id="11896" w:author="AbbVie_HU_03" w:date="2025-05-14T16:41:00Z"/>
          <w:b/>
          <w:szCs w:val="22"/>
          <w:highlight w:val="lightGray"/>
        </w:rPr>
      </w:pPr>
      <w:del w:id="11897" w:author="AbbVie_HU_03" w:date="2025-05-14T16:41:00Z">
        <w:r w:rsidRPr="00183B5F">
          <w:rPr>
            <w:b/>
            <w:szCs w:val="22"/>
            <w:highlight w:val="lightGray"/>
          </w:rPr>
          <w:delText>Humira injekció beadása</w:delText>
        </w:r>
      </w:del>
    </w:p>
    <w:p w14:paraId="185EF68B" w14:textId="5D2369E5" w:rsidR="000863CC" w:rsidRPr="00183B5F" w:rsidRDefault="000863CC" w:rsidP="00966731">
      <w:pPr>
        <w:spacing w:line="240" w:lineRule="auto"/>
        <w:ind w:right="-2"/>
        <w:rPr>
          <w:del w:id="11898" w:author="AbbVie_HU_03" w:date="2025-05-14T16:41:00Z"/>
          <w:b/>
          <w:szCs w:val="22"/>
          <w:highlight w:val="lightGray"/>
        </w:rPr>
      </w:pPr>
    </w:p>
    <w:p w14:paraId="0E24FE07" w14:textId="1CAABD9E" w:rsidR="000863CC" w:rsidRPr="00183B5F" w:rsidRDefault="00943743" w:rsidP="00966731">
      <w:pPr>
        <w:numPr>
          <w:ilvl w:val="0"/>
          <w:numId w:val="4"/>
        </w:numPr>
        <w:tabs>
          <w:tab w:val="clear" w:pos="360"/>
        </w:tabs>
        <w:spacing w:line="240" w:lineRule="auto"/>
        <w:ind w:left="567" w:right="-2" w:hanging="567"/>
        <w:rPr>
          <w:del w:id="11899" w:author="AbbVie_HU_03" w:date="2025-05-14T16:41:00Z"/>
          <w:b/>
          <w:szCs w:val="22"/>
          <w:highlight w:val="lightGray"/>
        </w:rPr>
      </w:pPr>
      <w:del w:id="11900" w:author="AbbVie_HU_03" w:date="2025-05-14T16:41:00Z">
        <w:r w:rsidRPr="00183B5F">
          <w:rPr>
            <w:szCs w:val="22"/>
            <w:highlight w:val="lightGray"/>
          </w:rPr>
          <w:delText>A fecskendőt ne rázza össze!</w:delText>
        </w:r>
      </w:del>
    </w:p>
    <w:p w14:paraId="3C32099E" w14:textId="0B10690E" w:rsidR="000863CC" w:rsidRPr="00183B5F" w:rsidRDefault="00943743" w:rsidP="00966731">
      <w:pPr>
        <w:numPr>
          <w:ilvl w:val="0"/>
          <w:numId w:val="4"/>
        </w:numPr>
        <w:tabs>
          <w:tab w:val="clear" w:pos="360"/>
        </w:tabs>
        <w:spacing w:line="240" w:lineRule="auto"/>
        <w:ind w:left="567" w:right="-2" w:hanging="567"/>
        <w:rPr>
          <w:del w:id="11901" w:author="AbbVie_HU_03" w:date="2025-05-14T16:41:00Z"/>
          <w:szCs w:val="22"/>
          <w:highlight w:val="lightGray"/>
        </w:rPr>
      </w:pPr>
      <w:del w:id="11902" w:author="AbbVie_HU_03" w:date="2025-05-14T16:41:00Z">
        <w:r w:rsidRPr="00183B5F">
          <w:rPr>
            <w:szCs w:val="22"/>
            <w:highlight w:val="lightGray"/>
          </w:rPr>
          <w:delText>Távolítsa el az injekciós tűn levő védőkupakot és gondosan figyeljen arra, hogy ne érintse meg a tűt, illetve ne érintsen meg vele semmilyen felületet.</w:delText>
        </w:r>
      </w:del>
    </w:p>
    <w:p w14:paraId="66A7B947" w14:textId="484E5AAC" w:rsidR="000863CC" w:rsidRPr="00183B5F" w:rsidRDefault="00943743" w:rsidP="00966731">
      <w:pPr>
        <w:numPr>
          <w:ilvl w:val="0"/>
          <w:numId w:val="4"/>
        </w:numPr>
        <w:tabs>
          <w:tab w:val="clear" w:pos="360"/>
        </w:tabs>
        <w:spacing w:line="240" w:lineRule="auto"/>
        <w:ind w:left="567" w:right="-2" w:hanging="567"/>
        <w:rPr>
          <w:del w:id="11903" w:author="AbbVie_HU_03" w:date="2025-05-14T16:41:00Z"/>
          <w:szCs w:val="22"/>
          <w:highlight w:val="lightGray"/>
        </w:rPr>
      </w:pPr>
      <w:del w:id="11904" w:author="AbbVie_HU_03" w:date="2025-05-14T16:41:00Z">
        <w:r w:rsidRPr="00183B5F">
          <w:rPr>
            <w:szCs w:val="22"/>
            <w:highlight w:val="lightGray"/>
          </w:rPr>
          <w:delText>Egyik kezével finoman fogja meg a letörölt bőrfelületet és tartsa erősen.</w:delText>
        </w:r>
      </w:del>
    </w:p>
    <w:p w14:paraId="4B7BD28D" w14:textId="76A75988" w:rsidR="000863CC" w:rsidRPr="00183B5F" w:rsidRDefault="00943743" w:rsidP="00966731">
      <w:pPr>
        <w:numPr>
          <w:ilvl w:val="0"/>
          <w:numId w:val="4"/>
        </w:numPr>
        <w:tabs>
          <w:tab w:val="clear" w:pos="360"/>
        </w:tabs>
        <w:spacing w:line="240" w:lineRule="auto"/>
        <w:ind w:left="567" w:right="-2" w:hanging="567"/>
        <w:rPr>
          <w:del w:id="11905" w:author="AbbVie_HU_03" w:date="2025-05-14T16:41:00Z"/>
          <w:szCs w:val="22"/>
          <w:highlight w:val="lightGray"/>
        </w:rPr>
      </w:pPr>
      <w:del w:id="11906" w:author="AbbVie_HU_03" w:date="2025-05-14T16:41:00Z">
        <w:r w:rsidRPr="00183B5F">
          <w:rPr>
            <w:szCs w:val="22"/>
            <w:highlight w:val="lightGray"/>
          </w:rPr>
          <w:delText>Másik kezével tartsa a bőréhez viszonyítva 45 fokos szögben a fecskendőt a rovátkolt részével felfele.</w:delText>
        </w:r>
      </w:del>
    </w:p>
    <w:p w14:paraId="68494B6E" w14:textId="199D8318" w:rsidR="000863CC" w:rsidRPr="00183B5F" w:rsidRDefault="00943743" w:rsidP="00966731">
      <w:pPr>
        <w:spacing w:line="240" w:lineRule="auto"/>
        <w:ind w:right="-2"/>
        <w:rPr>
          <w:del w:id="11907" w:author="AbbVie_HU_03" w:date="2025-05-14T16:41:00Z"/>
          <w:szCs w:val="22"/>
          <w:highlight w:val="lightGray"/>
        </w:rPr>
      </w:pPr>
      <w:del w:id="11908" w:author="AbbVie_HU_03" w:date="2025-05-14T16:41:00Z">
        <w:r>
          <w:rPr>
            <w:noProof/>
            <w:szCs w:val="22"/>
            <w:highlight w:val="lightGray"/>
          </w:rPr>
          <w:object w:dxaOrig="1440" w:dyaOrig="1440" w14:anchorId="781E0515">
            <v:shape id="_x0000_s1036" type="#_x0000_t75" style="position:absolute;margin-left:158.05pt;margin-top:7.4pt;width:143.25pt;height:140.25pt;z-index:251671552;mso-wrap-edited:f" o:allowincell="f">
              <v:imagedata r:id="rId55" o:title=""/>
              <w10:wrap type="topAndBottom"/>
            </v:shape>
            <o:OLEObject Type="Embed" ProgID="PBrush" ShapeID="_x0000_s1036" DrawAspect="Content" ObjectID="_1819000599" r:id="rId56"/>
          </w:object>
        </w:r>
        <w:r>
          <w:rPr>
            <w:noProof/>
            <w:szCs w:val="22"/>
            <w:highlight w:val="lightGray"/>
          </w:rPr>
          <w:pict w14:anchorId="4CCE38D0">
            <v:shape id="_x0000_s1037" type="#_x0000_t75" style="position:absolute;margin-left:158.05pt;margin-top:7.4pt;width:143.25pt;height:140.25pt;z-index:251670528;mso-wrap-edited:f" o:allowincell="f">
              <v:imagedata r:id="rId55" o:title=""/>
              <w10:wrap type="topAndBottom"/>
            </v:shape>
          </w:pict>
        </w:r>
      </w:del>
    </w:p>
    <w:p w14:paraId="5EDF9D7D" w14:textId="2E5688D1" w:rsidR="000863CC" w:rsidRPr="00183B5F" w:rsidRDefault="00943743" w:rsidP="00966731">
      <w:pPr>
        <w:keepNext/>
        <w:numPr>
          <w:ilvl w:val="0"/>
          <w:numId w:val="16"/>
        </w:numPr>
        <w:tabs>
          <w:tab w:val="clear" w:pos="720"/>
        </w:tabs>
        <w:spacing w:line="240" w:lineRule="auto"/>
        <w:ind w:left="567" w:right="-2" w:hanging="567"/>
        <w:rPr>
          <w:del w:id="11909" w:author="AbbVie_HU_03" w:date="2025-05-14T16:41:00Z"/>
          <w:szCs w:val="22"/>
          <w:highlight w:val="lightGray"/>
        </w:rPr>
      </w:pPr>
      <w:del w:id="11910" w:author="AbbVie_HU_03" w:date="2025-05-14T16:41:00Z">
        <w:r w:rsidRPr="00183B5F">
          <w:rPr>
            <w:szCs w:val="22"/>
            <w:highlight w:val="lightGray"/>
          </w:rPr>
          <w:delText>Egy gyors, rövid mozdulattal szúrja a tűt teljesen a bőrbe.</w:delText>
        </w:r>
      </w:del>
    </w:p>
    <w:p w14:paraId="43A9BF25" w14:textId="4230578F" w:rsidR="000863CC" w:rsidRPr="00183B5F" w:rsidRDefault="00943743" w:rsidP="00966731">
      <w:pPr>
        <w:numPr>
          <w:ilvl w:val="0"/>
          <w:numId w:val="16"/>
        </w:numPr>
        <w:tabs>
          <w:tab w:val="clear" w:pos="720"/>
        </w:tabs>
        <w:spacing w:line="240" w:lineRule="auto"/>
        <w:ind w:left="567" w:right="-2" w:hanging="567"/>
        <w:rPr>
          <w:del w:id="11911" w:author="AbbVie_HU_03" w:date="2025-05-14T16:41:00Z"/>
          <w:szCs w:val="22"/>
          <w:highlight w:val="lightGray"/>
        </w:rPr>
      </w:pPr>
      <w:del w:id="11912" w:author="AbbVie_HU_03" w:date="2025-05-14T16:41:00Z">
        <w:r w:rsidRPr="00183B5F">
          <w:rPr>
            <w:szCs w:val="22"/>
            <w:highlight w:val="lightGray"/>
          </w:rPr>
          <w:delText>A kezével megemelt bőrt engedje el.</w:delText>
        </w:r>
      </w:del>
    </w:p>
    <w:p w14:paraId="6216B625" w14:textId="2BB1A962" w:rsidR="000863CC" w:rsidRPr="00183B5F" w:rsidRDefault="00943743" w:rsidP="00966731">
      <w:pPr>
        <w:numPr>
          <w:ilvl w:val="0"/>
          <w:numId w:val="16"/>
        </w:numPr>
        <w:tabs>
          <w:tab w:val="clear" w:pos="720"/>
        </w:tabs>
        <w:spacing w:line="240" w:lineRule="auto"/>
        <w:ind w:left="567" w:right="-2" w:hanging="567"/>
        <w:rPr>
          <w:del w:id="11913" w:author="AbbVie_HU_03" w:date="2025-05-14T16:41:00Z"/>
          <w:szCs w:val="22"/>
          <w:highlight w:val="lightGray"/>
        </w:rPr>
      </w:pPr>
      <w:del w:id="11914" w:author="AbbVie_HU_03" w:date="2025-05-14T16:41:00Z">
        <w:r w:rsidRPr="00183B5F">
          <w:rPr>
            <w:szCs w:val="22"/>
            <w:highlight w:val="lightGray"/>
          </w:rPr>
          <w:delText>Nyomja a dugattyút</w:delText>
        </w:r>
        <w:r w:rsidRPr="00183B5F">
          <w:rPr>
            <w:strike/>
            <w:szCs w:val="22"/>
            <w:highlight w:val="lightGray"/>
          </w:rPr>
          <w:delText>,</w:delText>
        </w:r>
        <w:r w:rsidRPr="00183B5F">
          <w:rPr>
            <w:szCs w:val="22"/>
            <w:highlight w:val="lightGray"/>
          </w:rPr>
          <w:delText xml:space="preserve"> úgy, hogy az oldat injektálása 2</w:delText>
        </w:r>
        <w:r w:rsidRPr="00183B5F">
          <w:rPr>
            <w:szCs w:val="22"/>
            <w:highlight w:val="lightGray"/>
          </w:rPr>
          <w:noBreakHyphen/>
          <w:delText>5 másodpercig tartson.</w:delText>
        </w:r>
      </w:del>
    </w:p>
    <w:p w14:paraId="1C56A321" w14:textId="153C4A54" w:rsidR="000863CC" w:rsidRPr="00183B5F" w:rsidRDefault="00943743" w:rsidP="00966731">
      <w:pPr>
        <w:numPr>
          <w:ilvl w:val="0"/>
          <w:numId w:val="16"/>
        </w:numPr>
        <w:tabs>
          <w:tab w:val="clear" w:pos="720"/>
        </w:tabs>
        <w:spacing w:line="240" w:lineRule="auto"/>
        <w:ind w:left="567" w:right="-2" w:hanging="567"/>
        <w:rPr>
          <w:del w:id="11915" w:author="AbbVie_HU_03" w:date="2025-05-14T16:41:00Z"/>
          <w:szCs w:val="22"/>
          <w:highlight w:val="lightGray"/>
        </w:rPr>
      </w:pPr>
      <w:del w:id="11916" w:author="AbbVie_HU_03" w:date="2025-05-14T16:41:00Z">
        <w:r w:rsidRPr="00183B5F">
          <w:rPr>
            <w:szCs w:val="22"/>
            <w:highlight w:val="lightGray"/>
          </w:rPr>
          <w:delText>Amikor a fecskendő kiürült, húzza ki a tűt a bőrből, ügyelve arra, hogy az a beszúrással azonos szögben történjen.</w:delText>
        </w:r>
      </w:del>
    </w:p>
    <w:p w14:paraId="42BCDBDD" w14:textId="18532AE8" w:rsidR="000863CC" w:rsidRPr="00183B5F" w:rsidRDefault="00943743" w:rsidP="00966731">
      <w:pPr>
        <w:numPr>
          <w:ilvl w:val="0"/>
          <w:numId w:val="16"/>
        </w:numPr>
        <w:tabs>
          <w:tab w:val="clear" w:pos="720"/>
        </w:tabs>
        <w:spacing w:line="240" w:lineRule="auto"/>
        <w:ind w:left="567" w:right="-2" w:hanging="567"/>
        <w:rPr>
          <w:del w:id="11917" w:author="AbbVie_HU_03" w:date="2025-05-14T16:41:00Z"/>
          <w:b/>
          <w:szCs w:val="22"/>
          <w:highlight w:val="lightGray"/>
        </w:rPr>
      </w:pPr>
      <w:del w:id="11918" w:author="AbbVie_HU_03" w:date="2025-05-14T16:41:00Z">
        <w:r w:rsidRPr="00183B5F">
          <w:rPr>
            <w:szCs w:val="22"/>
            <w:highlight w:val="lightGray"/>
          </w:rPr>
          <w:delText>Az injekció helyét 10 másodpercig nyomja a hüvelykujjával és egy darab gézzel. Enyhe vérzés előfordulhat. Ne dörzsölje az injekció helyét. Leragaszthatja sebtapasszal.</w:delText>
        </w:r>
      </w:del>
    </w:p>
    <w:p w14:paraId="624B93EF" w14:textId="49A1C3B9" w:rsidR="000863CC" w:rsidRPr="00183B5F" w:rsidRDefault="000863CC" w:rsidP="00966731">
      <w:pPr>
        <w:spacing w:line="240" w:lineRule="auto"/>
        <w:ind w:right="-2"/>
        <w:rPr>
          <w:del w:id="11919" w:author="AbbVie_HU_03" w:date="2025-05-14T16:41:00Z"/>
          <w:b/>
          <w:szCs w:val="22"/>
          <w:highlight w:val="lightGray"/>
        </w:rPr>
      </w:pPr>
    </w:p>
    <w:p w14:paraId="08773230" w14:textId="3846A3A7" w:rsidR="000863CC" w:rsidRPr="00183B5F" w:rsidRDefault="00943743" w:rsidP="00966731">
      <w:pPr>
        <w:numPr>
          <w:ilvl w:val="0"/>
          <w:numId w:val="23"/>
        </w:numPr>
        <w:tabs>
          <w:tab w:val="clear" w:pos="720"/>
        </w:tabs>
        <w:spacing w:line="240" w:lineRule="auto"/>
        <w:ind w:left="567" w:right="-2" w:hanging="567"/>
        <w:rPr>
          <w:del w:id="11920" w:author="AbbVie_HU_03" w:date="2025-05-14T16:41:00Z"/>
          <w:b/>
          <w:szCs w:val="22"/>
          <w:highlight w:val="lightGray"/>
        </w:rPr>
      </w:pPr>
      <w:del w:id="11921" w:author="AbbVie_HU_03" w:date="2025-05-14T16:41:00Z">
        <w:r w:rsidRPr="00183B5F">
          <w:rPr>
            <w:b/>
            <w:szCs w:val="22"/>
            <w:highlight w:val="lightGray"/>
          </w:rPr>
          <w:delText>Az alkalmazott eszközök eldobása</w:delText>
        </w:r>
      </w:del>
    </w:p>
    <w:p w14:paraId="5FCD004D" w14:textId="0901175C" w:rsidR="000863CC" w:rsidRPr="00183B5F" w:rsidRDefault="000863CC" w:rsidP="00966731">
      <w:pPr>
        <w:spacing w:line="240" w:lineRule="auto"/>
        <w:ind w:right="-2"/>
        <w:rPr>
          <w:del w:id="11922" w:author="AbbVie_HU_03" w:date="2025-05-14T16:41:00Z"/>
          <w:b/>
          <w:szCs w:val="22"/>
          <w:highlight w:val="lightGray"/>
        </w:rPr>
      </w:pPr>
    </w:p>
    <w:p w14:paraId="569171E6" w14:textId="24F5476A" w:rsidR="000863CC" w:rsidRPr="00183B5F" w:rsidRDefault="00943743" w:rsidP="00966731">
      <w:pPr>
        <w:numPr>
          <w:ilvl w:val="0"/>
          <w:numId w:val="17"/>
        </w:numPr>
        <w:tabs>
          <w:tab w:val="clear" w:pos="720"/>
        </w:tabs>
        <w:spacing w:line="240" w:lineRule="auto"/>
        <w:ind w:left="567" w:right="-2" w:hanging="567"/>
        <w:rPr>
          <w:del w:id="11923" w:author="AbbVie_HU_03" w:date="2025-05-14T16:41:00Z"/>
          <w:szCs w:val="22"/>
          <w:highlight w:val="lightGray"/>
        </w:rPr>
      </w:pPr>
      <w:del w:id="11924" w:author="AbbVie_HU_03" w:date="2025-05-14T16:41:00Z">
        <w:r w:rsidRPr="00183B5F">
          <w:rPr>
            <w:szCs w:val="22"/>
            <w:highlight w:val="lightGray"/>
          </w:rPr>
          <w:delText xml:space="preserve">A Humira fecskendőjét </w:delText>
        </w:r>
        <w:r w:rsidRPr="00183B5F">
          <w:rPr>
            <w:b/>
            <w:bCs/>
            <w:szCs w:val="22"/>
            <w:highlight w:val="lightGray"/>
          </w:rPr>
          <w:delText>SOHA</w:delText>
        </w:r>
        <w:r w:rsidRPr="00183B5F">
          <w:rPr>
            <w:szCs w:val="22"/>
            <w:highlight w:val="lightGray"/>
          </w:rPr>
          <w:delText xml:space="preserve"> nem szabad ismételten felhasználni! </w:delText>
        </w:r>
        <w:r w:rsidRPr="00183B5F">
          <w:rPr>
            <w:b/>
            <w:bCs/>
            <w:szCs w:val="22"/>
            <w:highlight w:val="lightGray"/>
          </w:rPr>
          <w:delText>SOHA</w:delText>
        </w:r>
        <w:r w:rsidRPr="00183B5F">
          <w:rPr>
            <w:szCs w:val="22"/>
            <w:highlight w:val="lightGray"/>
          </w:rPr>
          <w:delText xml:space="preserve"> ne helyezze vissza a védőkupakot a tűre!</w:delText>
        </w:r>
      </w:del>
    </w:p>
    <w:p w14:paraId="24CB5BEC" w14:textId="070D55E9" w:rsidR="000863CC" w:rsidRPr="00183B5F" w:rsidRDefault="00943743" w:rsidP="00966731">
      <w:pPr>
        <w:numPr>
          <w:ilvl w:val="0"/>
          <w:numId w:val="17"/>
        </w:numPr>
        <w:tabs>
          <w:tab w:val="clear" w:pos="720"/>
        </w:tabs>
        <w:spacing w:line="240" w:lineRule="auto"/>
        <w:ind w:left="567" w:right="-2" w:hanging="567"/>
        <w:rPr>
          <w:del w:id="11925" w:author="AbbVie_HU_03" w:date="2025-05-14T16:41:00Z"/>
          <w:szCs w:val="22"/>
          <w:highlight w:val="lightGray"/>
        </w:rPr>
      </w:pPr>
      <w:del w:id="11926" w:author="AbbVie_HU_03" w:date="2025-05-14T16:41:00Z">
        <w:r w:rsidRPr="00183B5F">
          <w:rPr>
            <w:szCs w:val="22"/>
            <w:highlight w:val="lightGray"/>
          </w:rPr>
          <w:delText>A Humira beadását követően haladéktalanul dobja el a fecskendőt egy speciális gyűjtőedénybe, annak alapján, ahogy orvosa, asszisztense vagy a gyógyszerésze javasolta.</w:delText>
        </w:r>
      </w:del>
    </w:p>
    <w:p w14:paraId="28923EA2" w14:textId="5752CDB8" w:rsidR="000863CC" w:rsidRPr="00183B5F" w:rsidRDefault="00943743" w:rsidP="00966731">
      <w:pPr>
        <w:numPr>
          <w:ilvl w:val="0"/>
          <w:numId w:val="17"/>
        </w:numPr>
        <w:tabs>
          <w:tab w:val="clear" w:pos="720"/>
        </w:tabs>
        <w:spacing w:line="240" w:lineRule="auto"/>
        <w:ind w:left="567" w:right="-2" w:hanging="567"/>
        <w:rPr>
          <w:del w:id="11927" w:author="AbbVie_HU_03" w:date="2025-05-14T16:41:00Z"/>
          <w:szCs w:val="22"/>
          <w:highlight w:val="lightGray"/>
        </w:rPr>
      </w:pPr>
      <w:del w:id="11928" w:author="AbbVie_HU_03" w:date="2025-05-14T16:41:00Z">
        <w:r w:rsidRPr="00183B5F">
          <w:rPr>
            <w:szCs w:val="22"/>
            <w:highlight w:val="lightGray"/>
          </w:rPr>
          <w:delText>A gyűjtőedényt gyermekek elől elzárva kell tartani!</w:delText>
        </w:r>
      </w:del>
    </w:p>
    <w:p w14:paraId="0D7994C9" w14:textId="1EAAF5F2" w:rsidR="000863CC" w:rsidRPr="00183B5F" w:rsidRDefault="000863CC" w:rsidP="00966731">
      <w:pPr>
        <w:spacing w:line="240" w:lineRule="auto"/>
        <w:ind w:right="-2"/>
        <w:rPr>
          <w:del w:id="11929" w:author="AbbVie_HU_03" w:date="2025-05-14T16:41:00Z"/>
          <w:szCs w:val="22"/>
        </w:rPr>
      </w:pPr>
    </w:p>
    <w:p w14:paraId="0C4DA4E3" w14:textId="21A387EE" w:rsidR="00FB6710" w:rsidRPr="00183B5F" w:rsidRDefault="00943743" w:rsidP="00966731">
      <w:pPr>
        <w:keepNext/>
        <w:spacing w:line="240" w:lineRule="auto"/>
        <w:rPr>
          <w:del w:id="11930" w:author="AbbVie_HU_03" w:date="2025-05-14T16:41:00Z"/>
          <w:b/>
          <w:szCs w:val="22"/>
        </w:rPr>
      </w:pPr>
      <w:del w:id="11931" w:author="AbbVie_HU_03" w:date="2025-05-14T16:41:00Z">
        <w:r w:rsidRPr="00183B5F">
          <w:rPr>
            <w:b/>
            <w:szCs w:val="22"/>
          </w:rPr>
          <w:delText xml:space="preserve">Ha az előírtnál több </w:delText>
        </w:r>
        <w:r w:rsidRPr="00183B5F">
          <w:rPr>
            <w:b/>
            <w:bCs/>
            <w:szCs w:val="22"/>
          </w:rPr>
          <w:delText>Humira</w:delText>
        </w:r>
        <w:r w:rsidR="005B7D8B" w:rsidRPr="00183B5F">
          <w:rPr>
            <w:b/>
            <w:bCs/>
            <w:szCs w:val="22"/>
          </w:rPr>
          <w:noBreakHyphen/>
        </w:r>
        <w:r w:rsidRPr="00183B5F">
          <w:rPr>
            <w:b/>
            <w:bCs/>
            <w:szCs w:val="22"/>
          </w:rPr>
          <w:delText>t</w:delText>
        </w:r>
        <w:r w:rsidRPr="00183B5F">
          <w:rPr>
            <w:b/>
            <w:szCs w:val="22"/>
          </w:rPr>
          <w:delText xml:space="preserve"> alkalmazott</w:delText>
        </w:r>
      </w:del>
    </w:p>
    <w:p w14:paraId="19BB3EFB" w14:textId="19A279F3" w:rsidR="00336D99" w:rsidRPr="00183B5F" w:rsidRDefault="00336D99" w:rsidP="00966731">
      <w:pPr>
        <w:keepNext/>
        <w:spacing w:line="240" w:lineRule="auto"/>
        <w:rPr>
          <w:del w:id="11932" w:author="AbbVie_HU_03" w:date="2025-05-14T16:41:00Z"/>
          <w:b/>
          <w:szCs w:val="22"/>
        </w:rPr>
      </w:pPr>
    </w:p>
    <w:p w14:paraId="3F6BE499" w14:textId="08CA05D1" w:rsidR="00FB6710" w:rsidRPr="00183B5F" w:rsidRDefault="00943743" w:rsidP="00966731">
      <w:pPr>
        <w:spacing w:line="240" w:lineRule="auto"/>
        <w:ind w:right="-2"/>
        <w:rPr>
          <w:del w:id="11933" w:author="AbbVie_HU_03" w:date="2025-05-14T16:41:00Z"/>
          <w:szCs w:val="22"/>
        </w:rPr>
      </w:pPr>
      <w:del w:id="11934" w:author="AbbVie_HU_03" w:date="2025-05-14T16:41:00Z">
        <w:r w:rsidRPr="00183B5F">
          <w:rPr>
            <w:szCs w:val="22"/>
          </w:rPr>
          <w:delText xml:space="preserve">Ha véletlenül </w:delText>
        </w:r>
        <w:r w:rsidR="00E84354" w:rsidRPr="00183B5F">
          <w:rPr>
            <w:szCs w:val="22"/>
          </w:rPr>
          <w:delText>a</w:delText>
        </w:r>
        <w:r w:rsidR="001C59A2" w:rsidRPr="00183B5F">
          <w:rPr>
            <w:szCs w:val="22"/>
          </w:rPr>
          <w:delText xml:space="preserve"> kezelő</w:delText>
        </w:r>
        <w:r w:rsidRPr="00183B5F">
          <w:rPr>
            <w:szCs w:val="22"/>
          </w:rPr>
          <w:delText xml:space="preserve">orvosa </w:delText>
        </w:r>
        <w:r w:rsidR="001C59A2" w:rsidRPr="00183B5F">
          <w:rPr>
            <w:szCs w:val="22"/>
          </w:rPr>
          <w:delText xml:space="preserve">vagy gyógyszerésze </w:delText>
        </w:r>
        <w:r w:rsidRPr="00183B5F">
          <w:rPr>
            <w:szCs w:val="22"/>
          </w:rPr>
          <w:delText>által előírtnál gyakrabban alkalmazta a Humira</w:delText>
        </w:r>
        <w:r w:rsidR="005B7D8B" w:rsidRPr="00183B5F">
          <w:rPr>
            <w:szCs w:val="22"/>
          </w:rPr>
          <w:noBreakHyphen/>
        </w:r>
        <w:r w:rsidRPr="00183B5F">
          <w:rPr>
            <w:szCs w:val="22"/>
          </w:rPr>
          <w:delText>t</w:delText>
        </w:r>
        <w:r w:rsidR="001C59A2" w:rsidRPr="00183B5F">
          <w:rPr>
            <w:szCs w:val="22"/>
          </w:rPr>
          <w:delText>,</w:delText>
        </w:r>
        <w:r w:rsidRPr="00183B5F">
          <w:rPr>
            <w:szCs w:val="22"/>
          </w:rPr>
          <w:delText xml:space="preserve"> azonnal közölje ezt </w:delText>
        </w:r>
        <w:r w:rsidR="007E2B1F" w:rsidRPr="00183B5F">
          <w:rPr>
            <w:szCs w:val="22"/>
          </w:rPr>
          <w:delText>kezelő</w:delText>
        </w:r>
        <w:r w:rsidRPr="00183B5F">
          <w:rPr>
            <w:szCs w:val="22"/>
          </w:rPr>
          <w:delText>orvosával</w:delText>
        </w:r>
        <w:r w:rsidR="007E2B1F" w:rsidRPr="00183B5F">
          <w:rPr>
            <w:szCs w:val="22"/>
          </w:rPr>
          <w:delText xml:space="preserve"> vagy gyógyszerészével</w:delText>
        </w:r>
        <w:r w:rsidRPr="00183B5F">
          <w:rPr>
            <w:szCs w:val="22"/>
          </w:rPr>
          <w:delText>. Őrizze meg a külső csomagolást, abban az esetben is, ha üres.</w:delText>
        </w:r>
      </w:del>
    </w:p>
    <w:p w14:paraId="292D8B03" w14:textId="494DC9E3" w:rsidR="00FB6710" w:rsidRPr="00183B5F" w:rsidRDefault="00FB6710" w:rsidP="00966731">
      <w:pPr>
        <w:spacing w:line="240" w:lineRule="auto"/>
        <w:ind w:right="-2"/>
        <w:rPr>
          <w:del w:id="11935" w:author="AbbVie_HU_03" w:date="2025-05-14T16:41:00Z"/>
          <w:szCs w:val="22"/>
        </w:rPr>
      </w:pPr>
    </w:p>
    <w:p w14:paraId="533ACC3A" w14:textId="0A2B70FD" w:rsidR="00FB6710" w:rsidRPr="00183B5F" w:rsidRDefault="00943743" w:rsidP="00966731">
      <w:pPr>
        <w:keepNext/>
        <w:spacing w:line="240" w:lineRule="auto"/>
        <w:rPr>
          <w:del w:id="11936" w:author="AbbVie_HU_03" w:date="2025-05-14T16:41:00Z"/>
          <w:b/>
          <w:szCs w:val="22"/>
        </w:rPr>
      </w:pPr>
      <w:del w:id="11937" w:author="AbbVie_HU_03" w:date="2025-05-14T16:41:00Z">
        <w:r w:rsidRPr="00183B5F">
          <w:rPr>
            <w:b/>
            <w:szCs w:val="22"/>
          </w:rPr>
          <w:delText>Ha elfelejtette alkalmazni a</w:delText>
        </w:r>
        <w:r w:rsidRPr="00183B5F">
          <w:rPr>
            <w:b/>
            <w:bCs/>
            <w:szCs w:val="22"/>
          </w:rPr>
          <w:delText xml:space="preserve"> Humira</w:delText>
        </w:r>
        <w:r w:rsidR="005B7D8B" w:rsidRPr="00183B5F">
          <w:rPr>
            <w:b/>
            <w:bCs/>
            <w:szCs w:val="22"/>
          </w:rPr>
          <w:noBreakHyphen/>
        </w:r>
        <w:r w:rsidRPr="00183B5F">
          <w:rPr>
            <w:b/>
            <w:bCs/>
            <w:szCs w:val="22"/>
          </w:rPr>
          <w:delText>t</w:delText>
        </w:r>
      </w:del>
    </w:p>
    <w:p w14:paraId="11B9BA9E" w14:textId="3F9A4E83" w:rsidR="00FB6710" w:rsidRPr="00183B5F" w:rsidRDefault="00FB6710" w:rsidP="00966731">
      <w:pPr>
        <w:keepNext/>
        <w:spacing w:line="240" w:lineRule="auto"/>
        <w:rPr>
          <w:del w:id="11938" w:author="AbbVie_HU_03" w:date="2025-05-14T16:41:00Z"/>
          <w:b/>
          <w:szCs w:val="22"/>
        </w:rPr>
      </w:pPr>
    </w:p>
    <w:p w14:paraId="1D39084E" w14:textId="531A9AF7" w:rsidR="00FB6710" w:rsidRPr="00183B5F" w:rsidRDefault="00943743" w:rsidP="00966731">
      <w:pPr>
        <w:keepNext/>
        <w:spacing w:line="240" w:lineRule="auto"/>
        <w:rPr>
          <w:del w:id="11939" w:author="AbbVie_HU_03" w:date="2025-05-14T16:41:00Z"/>
          <w:szCs w:val="22"/>
        </w:rPr>
      </w:pPr>
      <w:del w:id="11940" w:author="AbbVie_HU_03" w:date="2025-05-14T16:41:00Z">
        <w:r w:rsidRPr="00183B5F">
          <w:rPr>
            <w:szCs w:val="22"/>
          </w:rPr>
          <w:delText>Ha elfelejtette beadni az injekciót, adja be a következő Humira adagot rögtön, amikor eszébe jutott. A következő adagot az eredeti kezelési terv alapján meghatározott napon alkalmazza, úgy mintha az előző adagot az előírás szerinti időpontban adta volna be.</w:delText>
        </w:r>
      </w:del>
    </w:p>
    <w:p w14:paraId="30006810" w14:textId="3EB7C993" w:rsidR="00FB6710" w:rsidRPr="00183B5F" w:rsidRDefault="00FB6710" w:rsidP="00966731">
      <w:pPr>
        <w:spacing w:line="240" w:lineRule="auto"/>
        <w:ind w:right="-2"/>
        <w:rPr>
          <w:del w:id="11941" w:author="AbbVie_HU_03" w:date="2025-05-14T16:41:00Z"/>
          <w:szCs w:val="22"/>
        </w:rPr>
      </w:pPr>
    </w:p>
    <w:p w14:paraId="1AA4EB7B" w14:textId="0A523942" w:rsidR="007E2B1F" w:rsidRPr="00183B5F" w:rsidRDefault="00943743" w:rsidP="00966731">
      <w:pPr>
        <w:spacing w:line="240" w:lineRule="auto"/>
        <w:ind w:right="-2"/>
        <w:rPr>
          <w:del w:id="11942" w:author="AbbVie_HU_03" w:date="2025-05-14T16:41:00Z"/>
          <w:b/>
        </w:rPr>
      </w:pPr>
      <w:del w:id="11943" w:author="AbbVie_HU_03" w:date="2025-05-14T16:41:00Z">
        <w:r w:rsidRPr="00183B5F">
          <w:rPr>
            <w:b/>
          </w:rPr>
          <w:delText>Ha idő előtt abbahagyja a Humira alkalmazását</w:delText>
        </w:r>
      </w:del>
    </w:p>
    <w:p w14:paraId="43EA93F7" w14:textId="0F6B493C" w:rsidR="007E2B1F" w:rsidRPr="00183B5F" w:rsidRDefault="007E2B1F" w:rsidP="00966731">
      <w:pPr>
        <w:spacing w:line="240" w:lineRule="auto"/>
        <w:ind w:right="-2"/>
        <w:rPr>
          <w:del w:id="11944" w:author="AbbVie_HU_03" w:date="2025-05-14T16:41:00Z"/>
        </w:rPr>
      </w:pPr>
    </w:p>
    <w:p w14:paraId="193B531C" w14:textId="713D6EA7" w:rsidR="007E2B1F" w:rsidRPr="00183B5F" w:rsidRDefault="00943743" w:rsidP="00966731">
      <w:pPr>
        <w:spacing w:line="240" w:lineRule="auto"/>
        <w:ind w:right="-2"/>
        <w:rPr>
          <w:del w:id="11945" w:author="AbbVie_HU_03" w:date="2025-05-14T16:41:00Z"/>
          <w:szCs w:val="22"/>
        </w:rPr>
      </w:pPr>
      <w:del w:id="11946" w:author="AbbVie_HU_03" w:date="2025-05-14T16:41:00Z">
        <w:r w:rsidRPr="00183B5F">
          <w:rPr>
            <w:szCs w:val="22"/>
          </w:rPr>
          <w:delText>A döntést, hogy abbahagyja a Humira alkalmazását, meg kell beszélni kezelőorvosával. Tünetei visszatérhetnek, ha abbahagyja a kezelést.</w:delText>
        </w:r>
      </w:del>
    </w:p>
    <w:p w14:paraId="13F00DA0" w14:textId="5CCAE125" w:rsidR="007E2B1F" w:rsidRPr="00183B5F" w:rsidRDefault="007E2B1F" w:rsidP="00966731">
      <w:pPr>
        <w:spacing w:line="240" w:lineRule="auto"/>
        <w:ind w:right="-2"/>
        <w:rPr>
          <w:del w:id="11947" w:author="AbbVie_HU_03" w:date="2025-05-14T16:41:00Z"/>
          <w:szCs w:val="22"/>
        </w:rPr>
      </w:pPr>
    </w:p>
    <w:p w14:paraId="7B476C4B" w14:textId="6FFF836E" w:rsidR="00FB6710" w:rsidRPr="00183B5F" w:rsidRDefault="00943743" w:rsidP="00966731">
      <w:pPr>
        <w:spacing w:line="240" w:lineRule="auto"/>
        <w:ind w:right="-2"/>
        <w:rPr>
          <w:del w:id="11948" w:author="AbbVie_HU_03" w:date="2025-05-14T16:41:00Z"/>
          <w:szCs w:val="22"/>
        </w:rPr>
      </w:pPr>
      <w:del w:id="11949" w:author="AbbVie_HU_03" w:date="2025-05-14T16:41:00Z">
        <w:r w:rsidRPr="00183B5F">
          <w:rPr>
            <w:szCs w:val="22"/>
          </w:rPr>
          <w:delText xml:space="preserve">Ha bármilyen további kérdése van a készítmény alkalmazásával kapcsolatban, kérdezze meg </w:delText>
        </w:r>
        <w:r w:rsidR="00007E76" w:rsidRPr="00183B5F">
          <w:rPr>
            <w:szCs w:val="22"/>
          </w:rPr>
          <w:delText>kezelő</w:delText>
        </w:r>
        <w:r w:rsidRPr="00183B5F">
          <w:rPr>
            <w:szCs w:val="22"/>
          </w:rPr>
          <w:delText>orvosát vagy gyógyszerészét.</w:delText>
        </w:r>
      </w:del>
    </w:p>
    <w:p w14:paraId="7E1269C9" w14:textId="3861F771" w:rsidR="006D2F10" w:rsidRPr="00183B5F" w:rsidRDefault="006D2F10" w:rsidP="00966731">
      <w:pPr>
        <w:spacing w:line="240" w:lineRule="auto"/>
        <w:ind w:right="-2"/>
        <w:rPr>
          <w:del w:id="11950" w:author="AbbVie_HU_03" w:date="2025-05-14T16:41:00Z"/>
          <w:szCs w:val="22"/>
        </w:rPr>
      </w:pPr>
    </w:p>
    <w:p w14:paraId="23713DA1" w14:textId="215E73DB" w:rsidR="006D2F10" w:rsidRPr="00183B5F" w:rsidRDefault="006D2F10" w:rsidP="00966731">
      <w:pPr>
        <w:spacing w:line="240" w:lineRule="auto"/>
        <w:ind w:right="-2"/>
        <w:rPr>
          <w:del w:id="11951" w:author="AbbVie_HU_03" w:date="2025-05-14T16:41:00Z"/>
          <w:szCs w:val="22"/>
        </w:rPr>
      </w:pPr>
    </w:p>
    <w:p w14:paraId="4A561BD6" w14:textId="7730E3A9" w:rsidR="00FB6710" w:rsidRPr="00183B5F" w:rsidRDefault="00943743" w:rsidP="00966731">
      <w:pPr>
        <w:spacing w:line="240" w:lineRule="auto"/>
        <w:ind w:right="-2"/>
        <w:rPr>
          <w:del w:id="11952" w:author="AbbVie_HU_03" w:date="2025-05-14T16:41:00Z"/>
          <w:b/>
          <w:szCs w:val="22"/>
        </w:rPr>
      </w:pPr>
      <w:del w:id="11953" w:author="AbbVie_HU_03" w:date="2025-05-14T16:41:00Z">
        <w:r w:rsidRPr="00183B5F">
          <w:rPr>
            <w:b/>
            <w:szCs w:val="22"/>
          </w:rPr>
          <w:delText>4.</w:delText>
        </w:r>
        <w:r w:rsidRPr="00183B5F">
          <w:rPr>
            <w:b/>
            <w:szCs w:val="22"/>
          </w:rPr>
          <w:tab/>
        </w:r>
        <w:r w:rsidR="007E2B1F" w:rsidRPr="00183B5F">
          <w:rPr>
            <w:b/>
            <w:szCs w:val="22"/>
          </w:rPr>
          <w:delText>Lehetséges mellékhatások</w:delText>
        </w:r>
      </w:del>
    </w:p>
    <w:p w14:paraId="6476AC1E" w14:textId="299AAF06" w:rsidR="00FB6710" w:rsidRPr="00183B5F" w:rsidRDefault="00FB6710" w:rsidP="00966731">
      <w:pPr>
        <w:spacing w:line="240" w:lineRule="auto"/>
        <w:ind w:right="-29"/>
        <w:rPr>
          <w:del w:id="11954" w:author="AbbVie_HU_03" w:date="2025-05-14T16:41:00Z"/>
          <w:szCs w:val="22"/>
        </w:rPr>
      </w:pPr>
    </w:p>
    <w:p w14:paraId="37B5F0C3" w14:textId="52EDFD05" w:rsidR="00FB6710" w:rsidRPr="00183B5F" w:rsidRDefault="00943743" w:rsidP="00966731">
      <w:pPr>
        <w:spacing w:line="240" w:lineRule="auto"/>
        <w:ind w:right="-29"/>
        <w:rPr>
          <w:del w:id="11955" w:author="AbbVie_HU_03" w:date="2025-05-14T16:41:00Z"/>
          <w:szCs w:val="22"/>
        </w:rPr>
      </w:pPr>
      <w:del w:id="11956" w:author="AbbVie_HU_03" w:date="2025-05-14T16:41:00Z">
        <w:r w:rsidRPr="00183B5F">
          <w:rPr>
            <w:szCs w:val="22"/>
          </w:rPr>
          <w:delText xml:space="preserve">Mint minden gyógyszer, így </w:delText>
        </w:r>
        <w:r w:rsidR="007E2B1F" w:rsidRPr="00183B5F">
          <w:rPr>
            <w:szCs w:val="22"/>
          </w:rPr>
          <w:delText xml:space="preserve">ez a gyógyszer </w:delText>
        </w:r>
        <w:r w:rsidRPr="00183B5F">
          <w:rPr>
            <w:szCs w:val="22"/>
          </w:rPr>
          <w:delText>is okozhat mellékhatásokat, amelyek azonban nem mindenkinél jelentkeznek. A legtöbb mellékhatás enyhe vagy közepes fokú. Néhány esetben kezelést igénylő, súlyos mellékhatás is előfordulhat.</w:delText>
        </w:r>
      </w:del>
    </w:p>
    <w:p w14:paraId="59E237F6" w14:textId="2BB8103B" w:rsidR="00FB6710" w:rsidRPr="00183B5F" w:rsidRDefault="00943743" w:rsidP="00966731">
      <w:pPr>
        <w:spacing w:line="240" w:lineRule="auto"/>
        <w:ind w:right="-29"/>
        <w:rPr>
          <w:del w:id="11957" w:author="AbbVie_HU_03" w:date="2025-05-14T16:41:00Z"/>
          <w:szCs w:val="22"/>
        </w:rPr>
      </w:pPr>
      <w:del w:id="11958" w:author="AbbVie_HU_03" w:date="2025-05-14T16:41:00Z">
        <w:r w:rsidRPr="00183B5F">
          <w:rPr>
            <w:szCs w:val="22"/>
          </w:rPr>
          <w:delText xml:space="preserve">A mellékhatások az utolsó Humira injekciót követően legalább </w:delText>
        </w:r>
        <w:r w:rsidR="00EC630A" w:rsidRPr="00183B5F">
          <w:rPr>
            <w:szCs w:val="22"/>
          </w:rPr>
          <w:delText>4</w:delText>
        </w:r>
        <w:r w:rsidR="005B7D8B" w:rsidRPr="00183B5F">
          <w:rPr>
            <w:szCs w:val="22"/>
          </w:rPr>
          <w:delText> </w:delText>
        </w:r>
        <w:r w:rsidRPr="00183B5F">
          <w:rPr>
            <w:szCs w:val="22"/>
          </w:rPr>
          <w:delText>hónapig még bekövetkezhetnek.</w:delText>
        </w:r>
      </w:del>
    </w:p>
    <w:p w14:paraId="5689D160" w14:textId="4F5378E1" w:rsidR="00FB6710" w:rsidRPr="00183B5F" w:rsidRDefault="00FB6710" w:rsidP="00966731">
      <w:pPr>
        <w:spacing w:line="240" w:lineRule="auto"/>
        <w:ind w:right="-29"/>
        <w:rPr>
          <w:del w:id="11959" w:author="AbbVie_HU_03" w:date="2025-05-14T16:41:00Z"/>
          <w:szCs w:val="22"/>
        </w:rPr>
      </w:pPr>
    </w:p>
    <w:p w14:paraId="00323721" w14:textId="57416714" w:rsidR="00FB6710" w:rsidRPr="00183B5F" w:rsidRDefault="00943743" w:rsidP="00966731">
      <w:pPr>
        <w:spacing w:line="240" w:lineRule="auto"/>
        <w:ind w:right="-29"/>
        <w:rPr>
          <w:del w:id="11960" w:author="AbbVie_HU_03" w:date="2025-05-14T16:41:00Z"/>
          <w:szCs w:val="22"/>
        </w:rPr>
      </w:pPr>
      <w:del w:id="11961" w:author="AbbVie_HU_03" w:date="2025-05-14T16:41:00Z">
        <w:r w:rsidRPr="00183B5F">
          <w:rPr>
            <w:szCs w:val="22"/>
          </w:rPr>
          <w:delText>Közölje azonnal orvosával, ha az alábbiak közül bármit észlel:</w:delText>
        </w:r>
      </w:del>
    </w:p>
    <w:p w14:paraId="2179AC01" w14:textId="264812EE" w:rsidR="00FB6710" w:rsidRPr="00183B5F" w:rsidRDefault="00943743" w:rsidP="00966731">
      <w:pPr>
        <w:numPr>
          <w:ilvl w:val="0"/>
          <w:numId w:val="8"/>
        </w:numPr>
        <w:tabs>
          <w:tab w:val="clear" w:pos="780"/>
        </w:tabs>
        <w:spacing w:line="240" w:lineRule="auto"/>
        <w:ind w:left="567" w:right="-29" w:hanging="567"/>
        <w:rPr>
          <w:del w:id="11962" w:author="AbbVie_HU_03" w:date="2025-05-14T16:41:00Z"/>
          <w:szCs w:val="22"/>
        </w:rPr>
      </w:pPr>
      <w:del w:id="11963" w:author="AbbVie_HU_03" w:date="2025-05-14T16:41:00Z">
        <w:r w:rsidRPr="00183B5F">
          <w:rPr>
            <w:szCs w:val="22"/>
          </w:rPr>
          <w:delText xml:space="preserve">súlyos </w:delText>
        </w:r>
        <w:r w:rsidR="004C50B5" w:rsidRPr="00183B5F">
          <w:rPr>
            <w:szCs w:val="22"/>
          </w:rPr>
          <w:delText>bőr</w:delText>
        </w:r>
        <w:r w:rsidRPr="00183B5F">
          <w:rPr>
            <w:szCs w:val="22"/>
          </w:rPr>
          <w:delText>kiütés, csalánkiütés vagy más allergiára utaló tünet</w:delText>
        </w:r>
        <w:r w:rsidR="002121F5" w:rsidRPr="00183B5F">
          <w:rPr>
            <w:szCs w:val="22"/>
          </w:rPr>
          <w:delText>;</w:delText>
        </w:r>
      </w:del>
    </w:p>
    <w:p w14:paraId="53C872FD" w14:textId="54BF5620" w:rsidR="00FB6710" w:rsidRPr="00183B5F" w:rsidRDefault="00943743" w:rsidP="00966731">
      <w:pPr>
        <w:numPr>
          <w:ilvl w:val="0"/>
          <w:numId w:val="8"/>
        </w:numPr>
        <w:tabs>
          <w:tab w:val="clear" w:pos="780"/>
        </w:tabs>
        <w:spacing w:line="240" w:lineRule="auto"/>
        <w:ind w:left="567" w:right="-29" w:hanging="567"/>
        <w:rPr>
          <w:del w:id="11964" w:author="AbbVie_HU_03" w:date="2025-05-14T16:41:00Z"/>
          <w:szCs w:val="22"/>
        </w:rPr>
      </w:pPr>
      <w:del w:id="11965" w:author="AbbVie_HU_03" w:date="2025-05-14T16:41:00Z">
        <w:r w:rsidRPr="00183B5F">
          <w:rPr>
            <w:szCs w:val="22"/>
          </w:rPr>
          <w:delText>duzzanat az arcon, k</w:delText>
        </w:r>
        <w:r w:rsidR="004C50B5" w:rsidRPr="00183B5F">
          <w:rPr>
            <w:szCs w:val="22"/>
          </w:rPr>
          <w:delText>ézen</w:delText>
        </w:r>
        <w:r w:rsidRPr="00183B5F">
          <w:rPr>
            <w:szCs w:val="22"/>
          </w:rPr>
          <w:delText xml:space="preserve"> vagy láb</w:delText>
        </w:r>
        <w:r w:rsidR="004C50B5" w:rsidRPr="00183B5F">
          <w:rPr>
            <w:szCs w:val="22"/>
          </w:rPr>
          <w:delText>on</w:delText>
        </w:r>
        <w:r w:rsidR="002121F5" w:rsidRPr="00183B5F">
          <w:rPr>
            <w:szCs w:val="22"/>
          </w:rPr>
          <w:delText>;</w:delText>
        </w:r>
      </w:del>
    </w:p>
    <w:p w14:paraId="4BF026DB" w14:textId="5DE66DB5" w:rsidR="00FB6710" w:rsidRPr="00183B5F" w:rsidRDefault="00943743" w:rsidP="00966731">
      <w:pPr>
        <w:numPr>
          <w:ilvl w:val="0"/>
          <w:numId w:val="8"/>
        </w:numPr>
        <w:tabs>
          <w:tab w:val="clear" w:pos="780"/>
        </w:tabs>
        <w:spacing w:line="240" w:lineRule="auto"/>
        <w:ind w:left="567" w:right="-29" w:hanging="567"/>
        <w:rPr>
          <w:del w:id="11966" w:author="AbbVie_HU_03" w:date="2025-05-14T16:41:00Z"/>
          <w:szCs w:val="22"/>
        </w:rPr>
      </w:pPr>
      <w:del w:id="11967" w:author="AbbVie_HU_03" w:date="2025-05-14T16:41:00Z">
        <w:r w:rsidRPr="00183B5F">
          <w:rPr>
            <w:szCs w:val="22"/>
          </w:rPr>
          <w:delText>nehézlégzés vagy nehézség a nyelés során</w:delText>
        </w:r>
        <w:r w:rsidR="002121F5" w:rsidRPr="00183B5F">
          <w:rPr>
            <w:szCs w:val="22"/>
          </w:rPr>
          <w:delText>;</w:delText>
        </w:r>
      </w:del>
    </w:p>
    <w:p w14:paraId="570F7C52" w14:textId="284C744C" w:rsidR="00FB6710" w:rsidRPr="00183B5F" w:rsidRDefault="00943743" w:rsidP="00966731">
      <w:pPr>
        <w:numPr>
          <w:ilvl w:val="0"/>
          <w:numId w:val="8"/>
        </w:numPr>
        <w:tabs>
          <w:tab w:val="clear" w:pos="780"/>
        </w:tabs>
        <w:spacing w:line="240" w:lineRule="auto"/>
        <w:ind w:left="567" w:right="-29" w:hanging="567"/>
        <w:rPr>
          <w:del w:id="11968" w:author="AbbVie_HU_03" w:date="2025-05-14T16:41:00Z"/>
          <w:szCs w:val="22"/>
        </w:rPr>
      </w:pPr>
      <w:del w:id="11969" w:author="AbbVie_HU_03" w:date="2025-05-14T16:41:00Z">
        <w:r w:rsidRPr="00183B5F">
          <w:rPr>
            <w:szCs w:val="22"/>
          </w:rPr>
          <w:delText>megerőltetéskor vagy lefekvéskor jelentkező nehézlégzés, vagy lábdagadás</w:delText>
        </w:r>
        <w:r w:rsidR="002121F5" w:rsidRPr="00183B5F">
          <w:rPr>
            <w:szCs w:val="22"/>
          </w:rPr>
          <w:delText>.</w:delText>
        </w:r>
      </w:del>
    </w:p>
    <w:p w14:paraId="08212AB0" w14:textId="18164175" w:rsidR="00FB6710" w:rsidRPr="00183B5F" w:rsidRDefault="00FB6710" w:rsidP="00966731">
      <w:pPr>
        <w:spacing w:line="240" w:lineRule="auto"/>
        <w:ind w:right="-29"/>
        <w:rPr>
          <w:del w:id="11970" w:author="AbbVie_HU_03" w:date="2025-05-14T16:41:00Z"/>
          <w:szCs w:val="22"/>
        </w:rPr>
      </w:pPr>
    </w:p>
    <w:p w14:paraId="7B6F4DB1" w14:textId="49B357DA" w:rsidR="00FB6710" w:rsidRPr="00183B5F" w:rsidRDefault="00943743" w:rsidP="00966731">
      <w:pPr>
        <w:spacing w:line="240" w:lineRule="auto"/>
        <w:ind w:right="-2"/>
        <w:rPr>
          <w:del w:id="11971" w:author="AbbVie_HU_03" w:date="2025-05-14T16:41:00Z"/>
          <w:szCs w:val="22"/>
        </w:rPr>
      </w:pPr>
      <w:del w:id="11972" w:author="AbbVie_HU_03" w:date="2025-05-14T16:41:00Z">
        <w:r w:rsidRPr="00183B5F">
          <w:rPr>
            <w:szCs w:val="22"/>
          </w:rPr>
          <w:delText>Közölje orvosával amint lehetséges, ha az alábbiak közül bármit észlel:</w:delText>
        </w:r>
      </w:del>
    </w:p>
    <w:p w14:paraId="7804827F" w14:textId="490399F6" w:rsidR="00FB6710" w:rsidRPr="00183B5F" w:rsidRDefault="00943743" w:rsidP="00966731">
      <w:pPr>
        <w:numPr>
          <w:ilvl w:val="0"/>
          <w:numId w:val="9"/>
        </w:numPr>
        <w:tabs>
          <w:tab w:val="clear" w:pos="720"/>
        </w:tabs>
        <w:spacing w:line="240" w:lineRule="auto"/>
        <w:ind w:left="567" w:right="-2" w:hanging="567"/>
        <w:rPr>
          <w:del w:id="11973" w:author="AbbVie_HU_03" w:date="2025-05-14T16:41:00Z"/>
          <w:szCs w:val="22"/>
        </w:rPr>
      </w:pPr>
      <w:del w:id="11974" w:author="AbbVie_HU_03" w:date="2025-05-14T16:41:00Z">
        <w:r w:rsidRPr="00183B5F">
          <w:rPr>
            <w:szCs w:val="22"/>
          </w:rPr>
          <w:delText xml:space="preserve">fertőzésre utaló tünet, mint láz, </w:delText>
        </w:r>
        <w:r w:rsidR="00007E76" w:rsidRPr="00183B5F">
          <w:rPr>
            <w:szCs w:val="22"/>
          </w:rPr>
          <w:delText>rossz közérzet</w:delText>
        </w:r>
        <w:r w:rsidRPr="00183B5F">
          <w:rPr>
            <w:szCs w:val="22"/>
          </w:rPr>
          <w:delText>, gyengeség, sebek</w:delText>
        </w:r>
        <w:r w:rsidRPr="00183B5F">
          <w:rPr>
            <w:i/>
            <w:szCs w:val="22"/>
          </w:rPr>
          <w:delText xml:space="preserve">, </w:delText>
        </w:r>
        <w:r w:rsidRPr="00183B5F">
          <w:rPr>
            <w:szCs w:val="22"/>
          </w:rPr>
          <w:delText>fogászati problémák, vizeléskor jelentkező égő érzés</w:delText>
        </w:r>
        <w:r w:rsidR="002121F5" w:rsidRPr="00183B5F">
          <w:rPr>
            <w:szCs w:val="22"/>
          </w:rPr>
          <w:delText>;</w:delText>
        </w:r>
      </w:del>
    </w:p>
    <w:p w14:paraId="600F446F" w14:textId="3412D73E" w:rsidR="00FB6710" w:rsidRPr="00183B5F" w:rsidRDefault="00943743" w:rsidP="00966731">
      <w:pPr>
        <w:numPr>
          <w:ilvl w:val="0"/>
          <w:numId w:val="9"/>
        </w:numPr>
        <w:tabs>
          <w:tab w:val="clear" w:pos="720"/>
        </w:tabs>
        <w:spacing w:line="240" w:lineRule="auto"/>
        <w:ind w:left="567" w:right="-2" w:hanging="567"/>
        <w:rPr>
          <w:del w:id="11975" w:author="AbbVie_HU_03" w:date="2025-05-14T16:41:00Z"/>
          <w:szCs w:val="22"/>
        </w:rPr>
      </w:pPr>
      <w:del w:id="11976" w:author="AbbVie_HU_03" w:date="2025-05-14T16:41:00Z">
        <w:r w:rsidRPr="00183B5F">
          <w:rPr>
            <w:szCs w:val="22"/>
          </w:rPr>
          <w:delText>gyengeség vagy fáradtságérzés</w:delText>
        </w:r>
        <w:r w:rsidR="002121F5" w:rsidRPr="00183B5F">
          <w:rPr>
            <w:szCs w:val="22"/>
          </w:rPr>
          <w:delText>;</w:delText>
        </w:r>
      </w:del>
    </w:p>
    <w:p w14:paraId="44C151BB" w14:textId="4113EFC7" w:rsidR="00FB6710" w:rsidRPr="00183B5F" w:rsidRDefault="00943743" w:rsidP="00966731">
      <w:pPr>
        <w:numPr>
          <w:ilvl w:val="0"/>
          <w:numId w:val="9"/>
        </w:numPr>
        <w:tabs>
          <w:tab w:val="clear" w:pos="720"/>
        </w:tabs>
        <w:spacing w:line="240" w:lineRule="auto"/>
        <w:ind w:left="567" w:right="-2" w:hanging="567"/>
        <w:rPr>
          <w:del w:id="11977" w:author="AbbVie_HU_03" w:date="2025-05-14T16:41:00Z"/>
          <w:szCs w:val="22"/>
        </w:rPr>
      </w:pPr>
      <w:del w:id="11978" w:author="AbbVie_HU_03" w:date="2025-05-14T16:41:00Z">
        <w:r w:rsidRPr="00183B5F">
          <w:rPr>
            <w:szCs w:val="22"/>
          </w:rPr>
          <w:delText>köhögés</w:delText>
        </w:r>
        <w:r w:rsidR="002121F5" w:rsidRPr="00183B5F">
          <w:rPr>
            <w:szCs w:val="22"/>
          </w:rPr>
          <w:delText>;</w:delText>
        </w:r>
      </w:del>
    </w:p>
    <w:p w14:paraId="476952FE" w14:textId="74331222" w:rsidR="00FB6710" w:rsidRPr="00183B5F" w:rsidRDefault="00943743" w:rsidP="00966731">
      <w:pPr>
        <w:numPr>
          <w:ilvl w:val="0"/>
          <w:numId w:val="9"/>
        </w:numPr>
        <w:tabs>
          <w:tab w:val="clear" w:pos="720"/>
        </w:tabs>
        <w:spacing w:line="240" w:lineRule="auto"/>
        <w:ind w:left="567" w:right="-2" w:hanging="567"/>
        <w:rPr>
          <w:del w:id="11979" w:author="AbbVie_HU_03" w:date="2025-05-14T16:41:00Z"/>
          <w:szCs w:val="22"/>
        </w:rPr>
      </w:pPr>
      <w:del w:id="11980" w:author="AbbVie_HU_03" w:date="2025-05-14T16:41:00Z">
        <w:r w:rsidRPr="00183B5F">
          <w:rPr>
            <w:szCs w:val="22"/>
          </w:rPr>
          <w:delText>fülzúgás</w:delText>
        </w:r>
        <w:r w:rsidR="002121F5" w:rsidRPr="00183B5F">
          <w:rPr>
            <w:szCs w:val="22"/>
          </w:rPr>
          <w:delText>;</w:delText>
        </w:r>
      </w:del>
    </w:p>
    <w:p w14:paraId="2EA1AEDE" w14:textId="768868E4" w:rsidR="00FB6710" w:rsidRPr="00183B5F" w:rsidRDefault="00943743" w:rsidP="00966731">
      <w:pPr>
        <w:numPr>
          <w:ilvl w:val="0"/>
          <w:numId w:val="9"/>
        </w:numPr>
        <w:tabs>
          <w:tab w:val="clear" w:pos="720"/>
        </w:tabs>
        <w:spacing w:line="240" w:lineRule="auto"/>
        <w:ind w:left="567" w:right="-2" w:hanging="567"/>
        <w:rPr>
          <w:del w:id="11981" w:author="AbbVie_HU_03" w:date="2025-05-14T16:41:00Z"/>
          <w:szCs w:val="22"/>
        </w:rPr>
      </w:pPr>
      <w:del w:id="11982" w:author="AbbVie_HU_03" w:date="2025-05-14T16:41:00Z">
        <w:r w:rsidRPr="00183B5F">
          <w:rPr>
            <w:szCs w:val="22"/>
          </w:rPr>
          <w:delText>zsibbadás</w:delText>
        </w:r>
        <w:r w:rsidR="002121F5" w:rsidRPr="00183B5F">
          <w:rPr>
            <w:szCs w:val="22"/>
          </w:rPr>
          <w:delText>;</w:delText>
        </w:r>
      </w:del>
    </w:p>
    <w:p w14:paraId="0BBE5743" w14:textId="7B83E043" w:rsidR="00FB6710" w:rsidRPr="00183B5F" w:rsidRDefault="00943743" w:rsidP="00966731">
      <w:pPr>
        <w:numPr>
          <w:ilvl w:val="0"/>
          <w:numId w:val="9"/>
        </w:numPr>
        <w:tabs>
          <w:tab w:val="clear" w:pos="720"/>
        </w:tabs>
        <w:spacing w:line="240" w:lineRule="auto"/>
        <w:ind w:left="567" w:right="-2" w:hanging="567"/>
        <w:rPr>
          <w:del w:id="11983" w:author="AbbVie_HU_03" w:date="2025-05-14T16:41:00Z"/>
          <w:szCs w:val="22"/>
        </w:rPr>
      </w:pPr>
      <w:del w:id="11984" w:author="AbbVie_HU_03" w:date="2025-05-14T16:41:00Z">
        <w:r w:rsidRPr="00183B5F">
          <w:rPr>
            <w:szCs w:val="22"/>
          </w:rPr>
          <w:delText>kettőslátás</w:delText>
        </w:r>
        <w:r w:rsidR="002121F5" w:rsidRPr="00183B5F">
          <w:rPr>
            <w:szCs w:val="22"/>
          </w:rPr>
          <w:delText>;</w:delText>
        </w:r>
      </w:del>
    </w:p>
    <w:p w14:paraId="20266C4D" w14:textId="5A4E87E0" w:rsidR="00FB6710" w:rsidRPr="00183B5F" w:rsidRDefault="00943743" w:rsidP="00966731">
      <w:pPr>
        <w:numPr>
          <w:ilvl w:val="0"/>
          <w:numId w:val="9"/>
        </w:numPr>
        <w:tabs>
          <w:tab w:val="clear" w:pos="720"/>
        </w:tabs>
        <w:spacing w:line="240" w:lineRule="auto"/>
        <w:ind w:left="567" w:right="-2" w:hanging="567"/>
        <w:rPr>
          <w:del w:id="11985" w:author="AbbVie_HU_03" w:date="2025-05-14T16:41:00Z"/>
          <w:szCs w:val="22"/>
        </w:rPr>
      </w:pPr>
      <w:del w:id="11986" w:author="AbbVie_HU_03" w:date="2025-05-14T16:41:00Z">
        <w:r w:rsidRPr="00183B5F">
          <w:rPr>
            <w:szCs w:val="22"/>
          </w:rPr>
          <w:delText>kar</w:delText>
        </w:r>
        <w:r w:rsidR="007028D6" w:rsidRPr="00183B5F">
          <w:rPr>
            <w:szCs w:val="22"/>
          </w:rPr>
          <w:delText>-</w:delText>
        </w:r>
        <w:r w:rsidRPr="00183B5F">
          <w:rPr>
            <w:szCs w:val="22"/>
          </w:rPr>
          <w:delText xml:space="preserve"> vagy lábgyengeség</w:delText>
        </w:r>
        <w:r w:rsidR="002121F5" w:rsidRPr="00183B5F">
          <w:rPr>
            <w:szCs w:val="22"/>
          </w:rPr>
          <w:delText>;</w:delText>
        </w:r>
      </w:del>
    </w:p>
    <w:p w14:paraId="7D1579F8" w14:textId="7750AC45" w:rsidR="00FB6710" w:rsidRPr="00183B5F" w:rsidRDefault="00943743" w:rsidP="00966731">
      <w:pPr>
        <w:numPr>
          <w:ilvl w:val="0"/>
          <w:numId w:val="9"/>
        </w:numPr>
        <w:tabs>
          <w:tab w:val="clear" w:pos="720"/>
        </w:tabs>
        <w:spacing w:line="240" w:lineRule="auto"/>
        <w:ind w:left="567" w:right="-2" w:hanging="567"/>
        <w:rPr>
          <w:del w:id="11987" w:author="AbbVie_HU_03" w:date="2025-05-14T16:41:00Z"/>
          <w:szCs w:val="22"/>
        </w:rPr>
      </w:pPr>
      <w:del w:id="11988" w:author="AbbVie_HU_03" w:date="2025-05-14T16:41:00Z">
        <w:r w:rsidRPr="00183B5F">
          <w:rPr>
            <w:szCs w:val="22"/>
          </w:rPr>
          <w:delText>duzzanat vagy nyílt fekély, amelyik nem gyógyul</w:delText>
        </w:r>
        <w:r w:rsidR="002121F5" w:rsidRPr="00183B5F">
          <w:rPr>
            <w:szCs w:val="22"/>
          </w:rPr>
          <w:delText>;</w:delText>
        </w:r>
      </w:del>
    </w:p>
    <w:p w14:paraId="3BF5218B" w14:textId="5DFAFAAC" w:rsidR="00A13868" w:rsidRPr="00183B5F" w:rsidRDefault="00943743" w:rsidP="00966731">
      <w:pPr>
        <w:numPr>
          <w:ilvl w:val="0"/>
          <w:numId w:val="9"/>
        </w:numPr>
        <w:tabs>
          <w:tab w:val="clear" w:pos="720"/>
        </w:tabs>
        <w:spacing w:line="240" w:lineRule="auto"/>
        <w:ind w:left="567" w:right="-2" w:hanging="567"/>
        <w:rPr>
          <w:del w:id="11989" w:author="AbbVie_HU_03" w:date="2025-05-14T16:41:00Z"/>
          <w:szCs w:val="22"/>
        </w:rPr>
      </w:pPr>
      <w:del w:id="11990" w:author="AbbVie_HU_03" w:date="2025-05-14T16:41:00Z">
        <w:r w:rsidRPr="00183B5F">
          <w:rPr>
            <w:szCs w:val="22"/>
          </w:rPr>
          <w:delText xml:space="preserve">vérképzőszervi </w:delText>
        </w:r>
        <w:r w:rsidR="003507D7" w:rsidRPr="00183B5F">
          <w:rPr>
            <w:szCs w:val="22"/>
          </w:rPr>
          <w:delText>betegségre jellemző jelek és tünetek</w:delText>
        </w:r>
        <w:r w:rsidRPr="00183B5F">
          <w:rPr>
            <w:szCs w:val="22"/>
          </w:rPr>
          <w:delText>, mint állandó láz, véraláfutás, vérzés, sápadtság</w:delText>
        </w:r>
        <w:r w:rsidR="003507D7" w:rsidRPr="00183B5F">
          <w:rPr>
            <w:szCs w:val="22"/>
          </w:rPr>
          <w:delText>.</w:delText>
        </w:r>
      </w:del>
    </w:p>
    <w:p w14:paraId="4614B47A" w14:textId="006F72A1" w:rsidR="00FB6710" w:rsidRPr="00183B5F" w:rsidRDefault="00FB6710" w:rsidP="00966731">
      <w:pPr>
        <w:spacing w:line="240" w:lineRule="auto"/>
        <w:ind w:right="-2"/>
        <w:rPr>
          <w:del w:id="11991" w:author="AbbVie_HU_03" w:date="2025-05-14T16:41:00Z"/>
          <w:szCs w:val="22"/>
        </w:rPr>
      </w:pPr>
    </w:p>
    <w:p w14:paraId="235C8423" w14:textId="18C33E9C" w:rsidR="00FB6710" w:rsidRPr="00183B5F" w:rsidRDefault="00943743" w:rsidP="00966731">
      <w:pPr>
        <w:suppressAutoHyphens w:val="0"/>
        <w:spacing w:line="240" w:lineRule="auto"/>
        <w:ind w:right="-2"/>
        <w:rPr>
          <w:del w:id="11992" w:author="AbbVie_HU_03" w:date="2025-05-14T16:41:00Z"/>
          <w:szCs w:val="22"/>
        </w:rPr>
      </w:pPr>
      <w:del w:id="11993" w:author="AbbVie_HU_03" w:date="2025-05-14T16:41:00Z">
        <w:r w:rsidRPr="00183B5F">
          <w:rPr>
            <w:szCs w:val="22"/>
          </w:rPr>
          <w:delText>A fent leírt tünetek az alábbiakban felsorolt mellékhatások jelei is lehetnek, melyeket a Humira alkalmazása során észleltek:</w:delText>
        </w:r>
      </w:del>
    </w:p>
    <w:p w14:paraId="2F46080F" w14:textId="15459B80" w:rsidR="00FB6710" w:rsidRPr="00183B5F" w:rsidRDefault="00FB6710" w:rsidP="00966731">
      <w:pPr>
        <w:suppressAutoHyphens w:val="0"/>
        <w:spacing w:line="240" w:lineRule="auto"/>
        <w:ind w:right="-2"/>
        <w:rPr>
          <w:del w:id="11994" w:author="AbbVie_HU_03" w:date="2025-05-14T16:41:00Z"/>
          <w:szCs w:val="22"/>
        </w:rPr>
      </w:pPr>
    </w:p>
    <w:p w14:paraId="2CAFFD05" w14:textId="2D040F9A" w:rsidR="00FB6710" w:rsidRPr="00183B5F" w:rsidRDefault="00943743" w:rsidP="00966731">
      <w:pPr>
        <w:keepNext/>
        <w:suppressAutoHyphens w:val="0"/>
        <w:spacing w:line="240" w:lineRule="auto"/>
        <w:ind w:right="-2"/>
        <w:rPr>
          <w:del w:id="11995" w:author="AbbVie_HU_03" w:date="2025-05-14T16:41:00Z"/>
          <w:szCs w:val="22"/>
        </w:rPr>
      </w:pPr>
      <w:del w:id="11996" w:author="AbbVie_HU_03" w:date="2025-05-14T16:41:00Z">
        <w:r w:rsidRPr="00183B5F">
          <w:rPr>
            <w:szCs w:val="22"/>
          </w:rPr>
          <w:delText>Nagyon gyakori (10</w:delText>
        </w:r>
        <w:r w:rsidR="005B7D8B" w:rsidRPr="00183B5F">
          <w:rPr>
            <w:szCs w:val="22"/>
          </w:rPr>
          <w:delText> </w:delText>
        </w:r>
        <w:r w:rsidR="00AA4AC8" w:rsidRPr="00183B5F">
          <w:rPr>
            <w:szCs w:val="22"/>
          </w:rPr>
          <w:delText>beteg</w:delText>
        </w:r>
        <w:r w:rsidR="006F1BCC" w:rsidRPr="00183B5F">
          <w:rPr>
            <w:szCs w:val="22"/>
          </w:rPr>
          <w:delText xml:space="preserve"> </w:delText>
        </w:r>
        <w:r w:rsidRPr="00183B5F">
          <w:rPr>
            <w:szCs w:val="22"/>
          </w:rPr>
          <w:delText>közül több mint 1</w:delText>
        </w:r>
        <w:r w:rsidR="00603800" w:rsidRPr="00183B5F">
          <w:rPr>
            <w:szCs w:val="22"/>
          </w:rPr>
          <w:delText>-</w:delText>
        </w:r>
        <w:r w:rsidR="006F1BCC" w:rsidRPr="00183B5F">
          <w:rPr>
            <w:szCs w:val="22"/>
          </w:rPr>
          <w:delText>nél</w:delText>
        </w:r>
        <w:r w:rsidRPr="00183B5F">
          <w:rPr>
            <w:szCs w:val="22"/>
          </w:rPr>
          <w:delText xml:space="preserve"> kialakuló)</w:delText>
        </w:r>
      </w:del>
    </w:p>
    <w:p w14:paraId="768A6CEC" w14:textId="0FD758FF" w:rsidR="002121F5" w:rsidRPr="00183B5F" w:rsidRDefault="002121F5" w:rsidP="00966731">
      <w:pPr>
        <w:keepNext/>
        <w:suppressAutoHyphens w:val="0"/>
        <w:spacing w:line="240" w:lineRule="auto"/>
        <w:ind w:right="-2"/>
        <w:rPr>
          <w:del w:id="11997" w:author="AbbVie_HU_03" w:date="2025-05-14T16:41:00Z"/>
          <w:szCs w:val="22"/>
        </w:rPr>
      </w:pPr>
    </w:p>
    <w:p w14:paraId="37819E35" w14:textId="3D443668" w:rsidR="00FB6710" w:rsidRPr="00183B5F" w:rsidRDefault="00943743" w:rsidP="00966731">
      <w:pPr>
        <w:keepNext/>
        <w:numPr>
          <w:ilvl w:val="0"/>
          <w:numId w:val="57"/>
        </w:numPr>
        <w:suppressAutoHyphens w:val="0"/>
        <w:spacing w:line="240" w:lineRule="auto"/>
        <w:ind w:right="-2"/>
        <w:rPr>
          <w:del w:id="11998" w:author="AbbVie_HU_03" w:date="2025-05-14T16:41:00Z"/>
          <w:szCs w:val="22"/>
        </w:rPr>
      </w:pPr>
      <w:del w:id="11999" w:author="AbbVie_HU_03" w:date="2025-05-14T16:41:00Z">
        <w:r w:rsidRPr="00183B5F">
          <w:rPr>
            <w:szCs w:val="22"/>
          </w:rPr>
          <w:delText xml:space="preserve">helyi reakció az injekció beadásának helyén (beleértve </w:delText>
        </w:r>
        <w:r w:rsidR="0080149D" w:rsidRPr="00183B5F">
          <w:rPr>
            <w:szCs w:val="22"/>
          </w:rPr>
          <w:delText xml:space="preserve">a </w:delText>
        </w:r>
        <w:r w:rsidRPr="00183B5F">
          <w:rPr>
            <w:szCs w:val="22"/>
          </w:rPr>
          <w:delText>fájdal</w:delText>
        </w:r>
        <w:r w:rsidR="0080149D" w:rsidRPr="00183B5F">
          <w:rPr>
            <w:szCs w:val="22"/>
          </w:rPr>
          <w:delText>mat</w:delText>
        </w:r>
        <w:r w:rsidRPr="00183B5F">
          <w:rPr>
            <w:szCs w:val="22"/>
          </w:rPr>
          <w:delText>, duzzadás</w:delText>
        </w:r>
        <w:r w:rsidR="0080149D" w:rsidRPr="00183B5F">
          <w:rPr>
            <w:szCs w:val="22"/>
          </w:rPr>
          <w:delText>t</w:delText>
        </w:r>
        <w:r w:rsidRPr="00183B5F">
          <w:rPr>
            <w:szCs w:val="22"/>
          </w:rPr>
          <w:delText>, vörösség</w:delText>
        </w:r>
        <w:r w:rsidR="0080149D" w:rsidRPr="00183B5F">
          <w:rPr>
            <w:szCs w:val="22"/>
          </w:rPr>
          <w:delText>et</w:delText>
        </w:r>
        <w:r w:rsidRPr="00183B5F">
          <w:rPr>
            <w:szCs w:val="22"/>
          </w:rPr>
          <w:delText xml:space="preserve"> vagy viszketés</w:delText>
        </w:r>
        <w:r w:rsidR="0080149D" w:rsidRPr="00183B5F">
          <w:rPr>
            <w:szCs w:val="22"/>
          </w:rPr>
          <w:delText>t</w:delText>
        </w:r>
        <w:r w:rsidRPr="00183B5F">
          <w:rPr>
            <w:szCs w:val="22"/>
          </w:rPr>
          <w:delText>)</w:delText>
        </w:r>
        <w:r w:rsidR="002121F5" w:rsidRPr="00183B5F">
          <w:rPr>
            <w:szCs w:val="22"/>
          </w:rPr>
          <w:delText>;</w:delText>
        </w:r>
      </w:del>
    </w:p>
    <w:p w14:paraId="029F367E" w14:textId="2023CCD7" w:rsidR="00FB6710" w:rsidRPr="00183B5F" w:rsidRDefault="00943743" w:rsidP="00966731">
      <w:pPr>
        <w:keepNext/>
        <w:numPr>
          <w:ilvl w:val="0"/>
          <w:numId w:val="57"/>
        </w:numPr>
        <w:suppressAutoHyphens w:val="0"/>
        <w:spacing w:line="240" w:lineRule="auto"/>
        <w:rPr>
          <w:del w:id="12000" w:author="AbbVie_HU_03" w:date="2025-05-14T16:41:00Z"/>
          <w:szCs w:val="22"/>
        </w:rPr>
      </w:pPr>
      <w:del w:id="12001" w:author="AbbVie_HU_03" w:date="2025-05-14T16:41:00Z">
        <w:r w:rsidRPr="00183B5F">
          <w:rPr>
            <w:szCs w:val="22"/>
          </w:rPr>
          <w:delText>légúti fertőzések (beleértve a megfázást, orrfolyást, melléküreg-gyulladást, tüdőgyulladást is)</w:delText>
        </w:r>
        <w:r w:rsidR="002121F5" w:rsidRPr="00183B5F">
          <w:rPr>
            <w:szCs w:val="22"/>
          </w:rPr>
          <w:delText>;</w:delText>
        </w:r>
      </w:del>
    </w:p>
    <w:p w14:paraId="30FA2E15" w14:textId="1F9F1DC6" w:rsidR="00FB6710" w:rsidRPr="00183B5F" w:rsidRDefault="00943743" w:rsidP="00966731">
      <w:pPr>
        <w:keepNext/>
        <w:numPr>
          <w:ilvl w:val="0"/>
          <w:numId w:val="57"/>
        </w:numPr>
        <w:suppressAutoHyphens w:val="0"/>
        <w:spacing w:line="240" w:lineRule="auto"/>
        <w:rPr>
          <w:del w:id="12002" w:author="AbbVie_HU_03" w:date="2025-05-14T16:41:00Z"/>
        </w:rPr>
      </w:pPr>
      <w:del w:id="12003" w:author="AbbVie_HU_03" w:date="2025-05-14T16:41:00Z">
        <w:r w:rsidRPr="00183B5F">
          <w:delText>fejfájás</w:delText>
        </w:r>
        <w:r w:rsidR="002121F5" w:rsidRPr="00183B5F">
          <w:delText>;</w:delText>
        </w:r>
      </w:del>
    </w:p>
    <w:p w14:paraId="08C698DA" w14:textId="1A07BD06" w:rsidR="00FB6710" w:rsidRPr="00183B5F" w:rsidRDefault="00943743" w:rsidP="00966731">
      <w:pPr>
        <w:keepNext/>
        <w:numPr>
          <w:ilvl w:val="0"/>
          <w:numId w:val="57"/>
        </w:numPr>
        <w:suppressAutoHyphens w:val="0"/>
        <w:spacing w:line="240" w:lineRule="auto"/>
        <w:rPr>
          <w:del w:id="12004" w:author="AbbVie_HU_03" w:date="2025-05-14T16:41:00Z"/>
        </w:rPr>
      </w:pPr>
      <w:del w:id="12005" w:author="AbbVie_HU_03" w:date="2025-05-14T16:41:00Z">
        <w:r w:rsidRPr="00183B5F">
          <w:delText>hasi fájdalom</w:delText>
        </w:r>
        <w:r w:rsidR="002121F5" w:rsidRPr="00183B5F">
          <w:delText>;</w:delText>
        </w:r>
      </w:del>
    </w:p>
    <w:p w14:paraId="45E296AC" w14:textId="1F52AE2C" w:rsidR="00FB6710" w:rsidRPr="00183B5F" w:rsidRDefault="00943743" w:rsidP="00966731">
      <w:pPr>
        <w:keepNext/>
        <w:numPr>
          <w:ilvl w:val="0"/>
          <w:numId w:val="57"/>
        </w:numPr>
        <w:suppressAutoHyphens w:val="0"/>
        <w:spacing w:line="240" w:lineRule="auto"/>
        <w:rPr>
          <w:del w:id="12006" w:author="AbbVie_HU_03" w:date="2025-05-14T16:41:00Z"/>
        </w:rPr>
      </w:pPr>
      <w:del w:id="12007" w:author="AbbVie_HU_03" w:date="2025-05-14T16:41:00Z">
        <w:r w:rsidRPr="00183B5F">
          <w:delText>hányinger és hányás</w:delText>
        </w:r>
        <w:r w:rsidR="002121F5" w:rsidRPr="00183B5F">
          <w:delText>;</w:delText>
        </w:r>
      </w:del>
    </w:p>
    <w:p w14:paraId="20BB1629" w14:textId="6646AC5D" w:rsidR="00FB6710" w:rsidRPr="00183B5F" w:rsidRDefault="00943743" w:rsidP="00966731">
      <w:pPr>
        <w:keepNext/>
        <w:numPr>
          <w:ilvl w:val="0"/>
          <w:numId w:val="57"/>
        </w:numPr>
        <w:suppressAutoHyphens w:val="0"/>
        <w:spacing w:line="240" w:lineRule="auto"/>
        <w:rPr>
          <w:del w:id="12008" w:author="AbbVie_HU_03" w:date="2025-05-14T16:41:00Z"/>
        </w:rPr>
      </w:pPr>
      <w:del w:id="12009" w:author="AbbVie_HU_03" w:date="2025-05-14T16:41:00Z">
        <w:r w:rsidRPr="00183B5F">
          <w:delText>bőrkiütés</w:delText>
        </w:r>
        <w:r w:rsidR="002121F5" w:rsidRPr="00183B5F">
          <w:delText>;</w:delText>
        </w:r>
      </w:del>
    </w:p>
    <w:p w14:paraId="444DD5EC" w14:textId="3CCA15D0" w:rsidR="00FB6710" w:rsidRPr="00183B5F" w:rsidRDefault="00943743" w:rsidP="00966731">
      <w:pPr>
        <w:keepNext/>
        <w:numPr>
          <w:ilvl w:val="0"/>
          <w:numId w:val="57"/>
        </w:numPr>
        <w:suppressAutoHyphens w:val="0"/>
        <w:spacing w:line="240" w:lineRule="auto"/>
        <w:rPr>
          <w:del w:id="12010" w:author="AbbVie_HU_03" w:date="2025-05-14T16:41:00Z"/>
        </w:rPr>
      </w:pPr>
      <w:del w:id="12011" w:author="AbbVie_HU_03" w:date="2025-05-14T16:41:00Z">
        <w:r w:rsidRPr="00183B5F">
          <w:delText>mozgásszervi eredetű fájdalom.</w:delText>
        </w:r>
      </w:del>
    </w:p>
    <w:p w14:paraId="79148CF5" w14:textId="2FB3AD99" w:rsidR="00FB6710" w:rsidRPr="00183B5F" w:rsidRDefault="00FB6710" w:rsidP="00966731">
      <w:pPr>
        <w:suppressAutoHyphens w:val="0"/>
        <w:spacing w:line="240" w:lineRule="auto"/>
        <w:ind w:right="-2"/>
        <w:rPr>
          <w:del w:id="12012" w:author="AbbVie_HU_03" w:date="2025-05-14T16:41:00Z"/>
          <w:szCs w:val="22"/>
        </w:rPr>
      </w:pPr>
    </w:p>
    <w:p w14:paraId="2470851F" w14:textId="7F7E3330" w:rsidR="00FB6710" w:rsidRPr="00183B5F" w:rsidRDefault="00943743" w:rsidP="00966731">
      <w:pPr>
        <w:spacing w:line="240" w:lineRule="auto"/>
        <w:ind w:right="-2"/>
        <w:rPr>
          <w:del w:id="12013" w:author="AbbVie_HU_03" w:date="2025-05-14T16:41:00Z"/>
          <w:szCs w:val="22"/>
        </w:rPr>
      </w:pPr>
      <w:del w:id="12014" w:author="AbbVie_HU_03" w:date="2025-05-14T16:41:00Z">
        <w:r w:rsidRPr="00183B5F">
          <w:rPr>
            <w:szCs w:val="22"/>
          </w:rPr>
          <w:delText>Gyakori (10</w:delText>
        </w:r>
        <w:r w:rsidR="005B7D8B" w:rsidRPr="00183B5F">
          <w:rPr>
            <w:szCs w:val="22"/>
          </w:rPr>
          <w:delText> </w:delText>
        </w:r>
        <w:r w:rsidR="00AA4AC8" w:rsidRPr="00183B5F">
          <w:rPr>
            <w:szCs w:val="22"/>
          </w:rPr>
          <w:delText>beteg</w:delText>
        </w:r>
        <w:r w:rsidR="006F1BCC" w:rsidRPr="00183B5F">
          <w:rPr>
            <w:szCs w:val="22"/>
          </w:rPr>
          <w:delText xml:space="preserve"> </w:delText>
        </w:r>
        <w:r w:rsidRPr="00183B5F">
          <w:rPr>
            <w:szCs w:val="22"/>
          </w:rPr>
          <w:delText xml:space="preserve">közül </w:delText>
        </w:r>
        <w:r w:rsidR="006F1BCC" w:rsidRPr="00183B5F">
          <w:rPr>
            <w:szCs w:val="22"/>
          </w:rPr>
          <w:delText>legfeljebb</w:delText>
        </w:r>
        <w:r w:rsidRPr="00183B5F">
          <w:rPr>
            <w:szCs w:val="22"/>
          </w:rPr>
          <w:delText xml:space="preserve"> 1</w:delText>
        </w:r>
        <w:r w:rsidR="006F1BCC" w:rsidRPr="00183B5F">
          <w:rPr>
            <w:szCs w:val="22"/>
          </w:rPr>
          <w:delText>-nél</w:delText>
        </w:r>
        <w:r w:rsidRPr="00183B5F">
          <w:rPr>
            <w:szCs w:val="22"/>
          </w:rPr>
          <w:delText xml:space="preserve"> kialakuló)</w:delText>
        </w:r>
      </w:del>
    </w:p>
    <w:p w14:paraId="0BAFC251" w14:textId="277EB9FE" w:rsidR="002121F5" w:rsidRPr="00183B5F" w:rsidRDefault="002121F5" w:rsidP="00966731">
      <w:pPr>
        <w:spacing w:line="240" w:lineRule="auto"/>
        <w:ind w:right="-2"/>
        <w:rPr>
          <w:del w:id="12015" w:author="AbbVie_HU_03" w:date="2025-05-14T16:41:00Z"/>
          <w:szCs w:val="22"/>
        </w:rPr>
      </w:pPr>
    </w:p>
    <w:p w14:paraId="70BE5EE9" w14:textId="24B70459" w:rsidR="00FB6710" w:rsidRPr="00183B5F" w:rsidRDefault="00943743" w:rsidP="00966731">
      <w:pPr>
        <w:numPr>
          <w:ilvl w:val="0"/>
          <w:numId w:val="54"/>
        </w:numPr>
        <w:tabs>
          <w:tab w:val="clear" w:pos="567"/>
          <w:tab w:val="left" w:pos="562"/>
        </w:tabs>
        <w:spacing w:line="240" w:lineRule="auto"/>
        <w:ind w:right="-2"/>
        <w:rPr>
          <w:del w:id="12016" w:author="AbbVie_HU_03" w:date="2025-05-14T16:41:00Z"/>
          <w:szCs w:val="22"/>
        </w:rPr>
      </w:pPr>
      <w:del w:id="12017" w:author="AbbVie_HU_03" w:date="2025-05-14T16:41:00Z">
        <w:r w:rsidRPr="00183B5F">
          <w:rPr>
            <w:szCs w:val="22"/>
          </w:rPr>
          <w:delText>súlyos fertőzések (beleértve a vérmérgezést és az influenzát is)</w:delText>
        </w:r>
        <w:r w:rsidR="002121F5" w:rsidRPr="00183B5F">
          <w:rPr>
            <w:szCs w:val="22"/>
          </w:rPr>
          <w:delText>;</w:delText>
        </w:r>
      </w:del>
    </w:p>
    <w:p w14:paraId="524C0768" w14:textId="3E8EE085" w:rsidR="00CF23F3" w:rsidRPr="00183B5F" w:rsidRDefault="00943743" w:rsidP="00966731">
      <w:pPr>
        <w:numPr>
          <w:ilvl w:val="0"/>
          <w:numId w:val="54"/>
        </w:numPr>
        <w:tabs>
          <w:tab w:val="clear" w:pos="567"/>
          <w:tab w:val="left" w:pos="562"/>
        </w:tabs>
        <w:spacing w:line="240" w:lineRule="auto"/>
        <w:ind w:right="-2"/>
        <w:rPr>
          <w:del w:id="12018" w:author="AbbVie_HU_03" w:date="2025-05-14T16:41:00Z"/>
          <w:szCs w:val="22"/>
        </w:rPr>
      </w:pPr>
      <w:del w:id="12019" w:author="AbbVie_HU_03" w:date="2025-05-14T16:41:00Z">
        <w:r w:rsidRPr="00183B5F">
          <w:rPr>
            <w:szCs w:val="22"/>
          </w:rPr>
          <w:delText>bélfertőzések (beleértve a gyomor-bélgyulladást);</w:delText>
        </w:r>
      </w:del>
    </w:p>
    <w:p w14:paraId="49C4F6E0" w14:textId="35950E9F" w:rsidR="00FB6710" w:rsidRPr="00183B5F" w:rsidRDefault="00943743" w:rsidP="00966731">
      <w:pPr>
        <w:numPr>
          <w:ilvl w:val="0"/>
          <w:numId w:val="54"/>
        </w:numPr>
        <w:tabs>
          <w:tab w:val="clear" w:pos="567"/>
          <w:tab w:val="left" w:pos="562"/>
        </w:tabs>
        <w:spacing w:line="240" w:lineRule="auto"/>
        <w:ind w:right="-2"/>
        <w:rPr>
          <w:del w:id="12020" w:author="AbbVie_HU_03" w:date="2025-05-14T16:41:00Z"/>
          <w:szCs w:val="22"/>
        </w:rPr>
      </w:pPr>
      <w:del w:id="12021" w:author="AbbVie_HU_03" w:date="2025-05-14T16:41:00Z">
        <w:r w:rsidRPr="00183B5F">
          <w:rPr>
            <w:szCs w:val="22"/>
          </w:rPr>
          <w:delText xml:space="preserve">bőrfertőzések (beleértve a </w:delText>
        </w:r>
        <w:r w:rsidR="007028D6" w:rsidRPr="00183B5F">
          <w:rPr>
            <w:szCs w:val="22"/>
          </w:rPr>
          <w:delText>kötőszövet-</w:delText>
        </w:r>
        <w:r w:rsidR="00CE5CC7" w:rsidRPr="00183B5F">
          <w:rPr>
            <w:szCs w:val="22"/>
          </w:rPr>
          <w:delText>g</w:delText>
        </w:r>
        <w:r w:rsidR="007028D6" w:rsidRPr="00183B5F">
          <w:rPr>
            <w:szCs w:val="22"/>
          </w:rPr>
          <w:delText xml:space="preserve">yulladást </w:delText>
        </w:r>
        <w:r w:rsidRPr="00183B5F">
          <w:rPr>
            <w:szCs w:val="22"/>
          </w:rPr>
          <w:delText>és az övsömört is)</w:delText>
        </w:r>
        <w:r w:rsidR="002121F5" w:rsidRPr="00183B5F">
          <w:rPr>
            <w:szCs w:val="22"/>
          </w:rPr>
          <w:delText>;</w:delText>
        </w:r>
      </w:del>
    </w:p>
    <w:p w14:paraId="243FBDE7" w14:textId="414698AF" w:rsidR="00FB6710" w:rsidRPr="00183B5F" w:rsidRDefault="00943743" w:rsidP="00966731">
      <w:pPr>
        <w:numPr>
          <w:ilvl w:val="0"/>
          <w:numId w:val="54"/>
        </w:numPr>
        <w:tabs>
          <w:tab w:val="clear" w:pos="567"/>
          <w:tab w:val="left" w:pos="562"/>
        </w:tabs>
        <w:spacing w:line="240" w:lineRule="auto"/>
        <w:ind w:right="-2"/>
        <w:rPr>
          <w:del w:id="12022" w:author="AbbVie_HU_03" w:date="2025-05-14T16:41:00Z"/>
        </w:rPr>
      </w:pPr>
      <w:del w:id="12023" w:author="AbbVie_HU_03" w:date="2025-05-14T16:41:00Z">
        <w:r w:rsidRPr="00183B5F">
          <w:delText>fülfertőzések</w:delText>
        </w:r>
        <w:r w:rsidR="002121F5" w:rsidRPr="00183B5F">
          <w:delText>;</w:delText>
        </w:r>
      </w:del>
    </w:p>
    <w:p w14:paraId="3C65082E" w14:textId="65D98778" w:rsidR="00FB6710" w:rsidRPr="00183B5F" w:rsidRDefault="00943743" w:rsidP="00966731">
      <w:pPr>
        <w:numPr>
          <w:ilvl w:val="0"/>
          <w:numId w:val="54"/>
        </w:numPr>
        <w:tabs>
          <w:tab w:val="clear" w:pos="567"/>
          <w:tab w:val="left" w:pos="562"/>
        </w:tabs>
        <w:spacing w:line="240" w:lineRule="auto"/>
        <w:ind w:right="-2"/>
        <w:rPr>
          <w:del w:id="12024" w:author="AbbVie_HU_03" w:date="2025-05-14T16:41:00Z"/>
        </w:rPr>
      </w:pPr>
      <w:del w:id="12025" w:author="AbbVie_HU_03" w:date="2025-05-14T16:41:00Z">
        <w:r w:rsidRPr="00183B5F">
          <w:delText>szájüregi fertőzések (beleértve a fogfertőzéseket és az ajakherpeszt is)</w:delText>
        </w:r>
        <w:r w:rsidR="002121F5" w:rsidRPr="00183B5F">
          <w:delText>;</w:delText>
        </w:r>
      </w:del>
    </w:p>
    <w:p w14:paraId="0AF7AE92" w14:textId="057E9819" w:rsidR="00FB6710" w:rsidRPr="00183B5F" w:rsidRDefault="00943743" w:rsidP="00966731">
      <w:pPr>
        <w:numPr>
          <w:ilvl w:val="0"/>
          <w:numId w:val="54"/>
        </w:numPr>
        <w:tabs>
          <w:tab w:val="clear" w:pos="567"/>
          <w:tab w:val="left" w:pos="562"/>
        </w:tabs>
        <w:spacing w:line="240" w:lineRule="auto"/>
        <w:ind w:right="-2"/>
        <w:rPr>
          <w:del w:id="12026" w:author="AbbVie_HU_03" w:date="2025-05-14T16:41:00Z"/>
        </w:rPr>
      </w:pPr>
      <w:del w:id="12027" w:author="AbbVie_HU_03" w:date="2025-05-14T16:41:00Z">
        <w:r w:rsidRPr="00183B5F">
          <w:delText>a nemi</w:delText>
        </w:r>
        <w:r w:rsidR="007028D6" w:rsidRPr="00183B5F">
          <w:delText xml:space="preserve"> </w:delText>
        </w:r>
        <w:r w:rsidRPr="00183B5F">
          <w:delText>szervek fertőzései</w:delText>
        </w:r>
        <w:r w:rsidR="002121F5" w:rsidRPr="00183B5F">
          <w:delText>;</w:delText>
        </w:r>
      </w:del>
    </w:p>
    <w:p w14:paraId="5AF0D30E" w14:textId="0EE42861" w:rsidR="00FB6710" w:rsidRPr="00183B5F" w:rsidRDefault="00943743" w:rsidP="00966731">
      <w:pPr>
        <w:numPr>
          <w:ilvl w:val="0"/>
          <w:numId w:val="54"/>
        </w:numPr>
        <w:spacing w:line="240" w:lineRule="auto"/>
        <w:ind w:right="-2"/>
        <w:rPr>
          <w:del w:id="12028" w:author="AbbVie_HU_03" w:date="2025-05-14T16:41:00Z"/>
        </w:rPr>
      </w:pPr>
      <w:del w:id="12029" w:author="AbbVie_HU_03" w:date="2025-05-14T16:41:00Z">
        <w:r w:rsidRPr="00183B5F">
          <w:delText>húgyúti fertőzések</w:delText>
        </w:r>
        <w:r w:rsidR="002121F5" w:rsidRPr="00183B5F">
          <w:delText>;</w:delText>
        </w:r>
      </w:del>
    </w:p>
    <w:p w14:paraId="63DDACE1" w14:textId="2B1ACD9B" w:rsidR="00FB6710" w:rsidRPr="00183B5F" w:rsidRDefault="00943743" w:rsidP="00966731">
      <w:pPr>
        <w:numPr>
          <w:ilvl w:val="0"/>
          <w:numId w:val="54"/>
        </w:numPr>
        <w:spacing w:line="240" w:lineRule="auto"/>
        <w:ind w:right="-2"/>
        <w:rPr>
          <w:del w:id="12030" w:author="AbbVie_HU_03" w:date="2025-05-14T16:41:00Z"/>
        </w:rPr>
      </w:pPr>
      <w:del w:id="12031" w:author="AbbVie_HU_03" w:date="2025-05-14T16:41:00Z">
        <w:r w:rsidRPr="00183B5F">
          <w:delText>gombás fertőzések</w:delText>
        </w:r>
        <w:r w:rsidR="002121F5" w:rsidRPr="00183B5F">
          <w:delText>;</w:delText>
        </w:r>
      </w:del>
    </w:p>
    <w:p w14:paraId="4A3E2A0D" w14:textId="578BCAE2" w:rsidR="001905BF" w:rsidRPr="00183B5F" w:rsidRDefault="00943743" w:rsidP="00966731">
      <w:pPr>
        <w:numPr>
          <w:ilvl w:val="0"/>
          <w:numId w:val="54"/>
        </w:numPr>
        <w:spacing w:line="240" w:lineRule="auto"/>
        <w:ind w:right="-2"/>
        <w:rPr>
          <w:del w:id="12032" w:author="AbbVie_HU_03" w:date="2025-05-14T16:41:00Z"/>
        </w:rPr>
      </w:pPr>
      <w:del w:id="12033" w:author="AbbVie_HU_03" w:date="2025-05-14T16:41:00Z">
        <w:r w:rsidRPr="00183B5F">
          <w:delText>ízületi fertőzések</w:delText>
        </w:r>
        <w:r w:rsidR="002121F5" w:rsidRPr="00183B5F">
          <w:delText>;</w:delText>
        </w:r>
      </w:del>
    </w:p>
    <w:p w14:paraId="4DE0074B" w14:textId="29BFACFF" w:rsidR="00FB6710" w:rsidRPr="00183B5F" w:rsidRDefault="00943743" w:rsidP="00966731">
      <w:pPr>
        <w:numPr>
          <w:ilvl w:val="0"/>
          <w:numId w:val="54"/>
        </w:numPr>
        <w:tabs>
          <w:tab w:val="clear" w:pos="567"/>
          <w:tab w:val="left" w:pos="562"/>
        </w:tabs>
        <w:spacing w:line="240" w:lineRule="auto"/>
        <w:ind w:right="-2"/>
        <w:rPr>
          <w:del w:id="12034" w:author="AbbVie_HU_03" w:date="2025-05-14T16:41:00Z"/>
        </w:rPr>
      </w:pPr>
      <w:del w:id="12035" w:author="AbbVie_HU_03" w:date="2025-05-14T16:41:00Z">
        <w:r w:rsidRPr="00183B5F">
          <w:delText>jóindulatú daganatok</w:delText>
        </w:r>
        <w:r w:rsidR="002121F5" w:rsidRPr="00183B5F">
          <w:delText>;</w:delText>
        </w:r>
      </w:del>
    </w:p>
    <w:p w14:paraId="2684A888" w14:textId="355E6610" w:rsidR="00FB6710" w:rsidRPr="00183B5F" w:rsidRDefault="00943743" w:rsidP="00966731">
      <w:pPr>
        <w:numPr>
          <w:ilvl w:val="0"/>
          <w:numId w:val="54"/>
        </w:numPr>
        <w:tabs>
          <w:tab w:val="clear" w:pos="567"/>
          <w:tab w:val="left" w:pos="562"/>
        </w:tabs>
        <w:spacing w:line="240" w:lineRule="auto"/>
        <w:ind w:right="-2"/>
        <w:rPr>
          <w:del w:id="12036" w:author="AbbVie_HU_03" w:date="2025-05-14T16:41:00Z"/>
        </w:rPr>
      </w:pPr>
      <w:del w:id="12037" w:author="AbbVie_HU_03" w:date="2025-05-14T16:41:00Z">
        <w:r w:rsidRPr="00183B5F">
          <w:delText>bőrrák</w:delText>
        </w:r>
        <w:r w:rsidR="002121F5" w:rsidRPr="00183B5F">
          <w:delText>;</w:delText>
        </w:r>
      </w:del>
    </w:p>
    <w:p w14:paraId="4A422C8B" w14:textId="5EA3ABF9" w:rsidR="00FB6710" w:rsidRPr="00183B5F" w:rsidRDefault="00943743" w:rsidP="00966731">
      <w:pPr>
        <w:numPr>
          <w:ilvl w:val="0"/>
          <w:numId w:val="54"/>
        </w:numPr>
        <w:tabs>
          <w:tab w:val="clear" w:pos="567"/>
          <w:tab w:val="left" w:pos="562"/>
        </w:tabs>
        <w:spacing w:line="240" w:lineRule="auto"/>
        <w:ind w:right="-2"/>
        <w:rPr>
          <w:del w:id="12038" w:author="AbbVie_HU_03" w:date="2025-05-14T16:41:00Z"/>
        </w:rPr>
      </w:pPr>
      <w:del w:id="12039" w:author="AbbVie_HU_03" w:date="2025-05-14T16:41:00Z">
        <w:r w:rsidRPr="00183B5F">
          <w:delText>allergiás reakciók (beleértve a szezonális allergiát is)</w:delText>
        </w:r>
        <w:r w:rsidR="002121F5" w:rsidRPr="00183B5F">
          <w:delText>;</w:delText>
        </w:r>
      </w:del>
    </w:p>
    <w:p w14:paraId="67B3A0BE" w14:textId="3E9D3DB0" w:rsidR="007C4EC5" w:rsidRPr="00183B5F" w:rsidRDefault="00943743" w:rsidP="00966731">
      <w:pPr>
        <w:numPr>
          <w:ilvl w:val="0"/>
          <w:numId w:val="54"/>
        </w:numPr>
        <w:tabs>
          <w:tab w:val="clear" w:pos="567"/>
          <w:tab w:val="left" w:pos="562"/>
        </w:tabs>
        <w:spacing w:line="240" w:lineRule="auto"/>
        <w:ind w:right="-2"/>
        <w:rPr>
          <w:del w:id="12040" w:author="AbbVie_HU_03" w:date="2025-05-14T16:41:00Z"/>
        </w:rPr>
      </w:pPr>
      <w:del w:id="12041" w:author="AbbVie_HU_03" w:date="2025-05-14T16:41:00Z">
        <w:r w:rsidRPr="00183B5F">
          <w:rPr>
            <w:szCs w:val="22"/>
          </w:rPr>
          <w:delText>kiszáradás</w:delText>
        </w:r>
        <w:r w:rsidR="002121F5" w:rsidRPr="00183B5F">
          <w:rPr>
            <w:szCs w:val="22"/>
          </w:rPr>
          <w:delText>;</w:delText>
        </w:r>
      </w:del>
    </w:p>
    <w:p w14:paraId="712A8777" w14:textId="4C3B11C6" w:rsidR="00FB6710" w:rsidRPr="00183B5F" w:rsidRDefault="00943743" w:rsidP="00966731">
      <w:pPr>
        <w:numPr>
          <w:ilvl w:val="0"/>
          <w:numId w:val="54"/>
        </w:numPr>
        <w:tabs>
          <w:tab w:val="clear" w:pos="567"/>
          <w:tab w:val="left" w:pos="562"/>
        </w:tabs>
        <w:spacing w:line="240" w:lineRule="auto"/>
        <w:ind w:right="-2"/>
        <w:rPr>
          <w:del w:id="12042" w:author="AbbVie_HU_03" w:date="2025-05-14T16:41:00Z"/>
        </w:rPr>
      </w:pPr>
      <w:del w:id="12043" w:author="AbbVie_HU_03" w:date="2025-05-14T16:41:00Z">
        <w:r w:rsidRPr="00183B5F">
          <w:delText>hangulatváltozás (beleértve a depressziót is)</w:delText>
        </w:r>
        <w:r w:rsidR="002121F5" w:rsidRPr="00183B5F">
          <w:delText>;</w:delText>
        </w:r>
      </w:del>
    </w:p>
    <w:p w14:paraId="079BD665" w14:textId="5F513FC8" w:rsidR="00FB6710" w:rsidRPr="00183B5F" w:rsidRDefault="00943743" w:rsidP="00966731">
      <w:pPr>
        <w:numPr>
          <w:ilvl w:val="0"/>
          <w:numId w:val="54"/>
        </w:numPr>
        <w:tabs>
          <w:tab w:val="clear" w:pos="567"/>
          <w:tab w:val="left" w:pos="562"/>
        </w:tabs>
        <w:spacing w:line="240" w:lineRule="auto"/>
        <w:ind w:right="-2"/>
        <w:rPr>
          <w:del w:id="12044" w:author="AbbVie_HU_03" w:date="2025-05-14T16:41:00Z"/>
        </w:rPr>
      </w:pPr>
      <w:del w:id="12045" w:author="AbbVie_HU_03" w:date="2025-05-14T16:41:00Z">
        <w:r w:rsidRPr="00183B5F">
          <w:delText>szorongás</w:delText>
        </w:r>
        <w:r w:rsidR="002121F5" w:rsidRPr="00183B5F">
          <w:delText>;</w:delText>
        </w:r>
      </w:del>
    </w:p>
    <w:p w14:paraId="007CA568" w14:textId="6E3CF5BA" w:rsidR="00FB6710" w:rsidRPr="00183B5F" w:rsidRDefault="00943743" w:rsidP="00966731">
      <w:pPr>
        <w:numPr>
          <w:ilvl w:val="0"/>
          <w:numId w:val="54"/>
        </w:numPr>
        <w:tabs>
          <w:tab w:val="clear" w:pos="567"/>
          <w:tab w:val="left" w:pos="562"/>
        </w:tabs>
        <w:spacing w:line="240" w:lineRule="auto"/>
        <w:ind w:right="-2"/>
        <w:rPr>
          <w:del w:id="12046" w:author="AbbVie_HU_03" w:date="2025-05-14T16:41:00Z"/>
        </w:rPr>
      </w:pPr>
      <w:del w:id="12047" w:author="AbbVie_HU_03" w:date="2025-05-14T16:41:00Z">
        <w:r w:rsidRPr="00183B5F">
          <w:delText>álmatlanság</w:delText>
        </w:r>
        <w:r w:rsidR="002121F5" w:rsidRPr="00183B5F">
          <w:delText>;</w:delText>
        </w:r>
      </w:del>
    </w:p>
    <w:p w14:paraId="48E2298C" w14:textId="319DB2E8" w:rsidR="00FB6710" w:rsidRPr="00183B5F" w:rsidRDefault="00943743" w:rsidP="00966731">
      <w:pPr>
        <w:numPr>
          <w:ilvl w:val="0"/>
          <w:numId w:val="54"/>
        </w:numPr>
        <w:tabs>
          <w:tab w:val="clear" w:pos="567"/>
          <w:tab w:val="left" w:pos="562"/>
        </w:tabs>
        <w:spacing w:line="240" w:lineRule="auto"/>
        <w:ind w:right="-2"/>
        <w:rPr>
          <w:del w:id="12048" w:author="AbbVie_HU_03" w:date="2025-05-14T16:41:00Z"/>
        </w:rPr>
      </w:pPr>
      <w:del w:id="12049" w:author="AbbVie_HU_03" w:date="2025-05-14T16:41:00Z">
        <w:r w:rsidRPr="00183B5F">
          <w:delText>érzészavarok, például bizsergés, szurkáló érzés vagy zsibbadás</w:delText>
        </w:r>
        <w:r w:rsidR="002121F5" w:rsidRPr="00183B5F">
          <w:delText>;</w:delText>
        </w:r>
      </w:del>
    </w:p>
    <w:p w14:paraId="2760C47E" w14:textId="400EF20B" w:rsidR="00FB6710" w:rsidRPr="00183B5F" w:rsidRDefault="00943743" w:rsidP="00966731">
      <w:pPr>
        <w:numPr>
          <w:ilvl w:val="0"/>
          <w:numId w:val="54"/>
        </w:numPr>
        <w:tabs>
          <w:tab w:val="clear" w:pos="567"/>
          <w:tab w:val="left" w:pos="562"/>
        </w:tabs>
        <w:spacing w:line="240" w:lineRule="auto"/>
        <w:ind w:right="-2"/>
        <w:rPr>
          <w:del w:id="12050" w:author="AbbVie_HU_03" w:date="2025-05-14T16:41:00Z"/>
        </w:rPr>
      </w:pPr>
      <w:del w:id="12051" w:author="AbbVie_HU_03" w:date="2025-05-14T16:41:00Z">
        <w:r w:rsidRPr="00183B5F">
          <w:delText>migrén</w:delText>
        </w:r>
        <w:r w:rsidR="002121F5" w:rsidRPr="00183B5F">
          <w:delText>;</w:delText>
        </w:r>
      </w:del>
    </w:p>
    <w:p w14:paraId="465ED28A" w14:textId="71721013" w:rsidR="00FB6710" w:rsidRPr="00183B5F" w:rsidRDefault="00943743" w:rsidP="00966731">
      <w:pPr>
        <w:numPr>
          <w:ilvl w:val="0"/>
          <w:numId w:val="54"/>
        </w:numPr>
        <w:tabs>
          <w:tab w:val="clear" w:pos="567"/>
          <w:tab w:val="left" w:pos="562"/>
        </w:tabs>
        <w:spacing w:line="240" w:lineRule="auto"/>
        <w:ind w:right="-2"/>
        <w:rPr>
          <w:del w:id="12052" w:author="AbbVie_HU_03" w:date="2025-05-14T16:41:00Z"/>
        </w:rPr>
      </w:pPr>
      <w:del w:id="12053" w:author="AbbVie_HU_03" w:date="2025-05-14T16:41:00Z">
        <w:r w:rsidRPr="00183B5F">
          <w:delText>ideggyök nyomási tünetei (beleértve a derékfájdalmat és a lábfájást is)</w:delText>
        </w:r>
        <w:r w:rsidR="002121F5" w:rsidRPr="00183B5F">
          <w:delText>;</w:delText>
        </w:r>
      </w:del>
    </w:p>
    <w:p w14:paraId="3EBFDDE3" w14:textId="025291BF" w:rsidR="00FB6710" w:rsidRPr="00183B5F" w:rsidRDefault="00943743" w:rsidP="00966731">
      <w:pPr>
        <w:numPr>
          <w:ilvl w:val="0"/>
          <w:numId w:val="54"/>
        </w:numPr>
        <w:tabs>
          <w:tab w:val="clear" w:pos="567"/>
          <w:tab w:val="left" w:pos="562"/>
        </w:tabs>
        <w:spacing w:line="240" w:lineRule="auto"/>
        <w:ind w:right="-2"/>
        <w:rPr>
          <w:del w:id="12054" w:author="AbbVie_HU_03" w:date="2025-05-14T16:41:00Z"/>
        </w:rPr>
      </w:pPr>
      <w:del w:id="12055" w:author="AbbVie_HU_03" w:date="2025-05-14T16:41:00Z">
        <w:r w:rsidRPr="00183B5F">
          <w:delText>látászavar</w:delText>
        </w:r>
        <w:r w:rsidR="002121F5" w:rsidRPr="00183B5F">
          <w:delText>;</w:delText>
        </w:r>
      </w:del>
    </w:p>
    <w:p w14:paraId="61B01A90" w14:textId="7CBBF735" w:rsidR="00FB6710" w:rsidRPr="00183B5F" w:rsidRDefault="00943743" w:rsidP="00966731">
      <w:pPr>
        <w:numPr>
          <w:ilvl w:val="0"/>
          <w:numId w:val="54"/>
        </w:numPr>
        <w:tabs>
          <w:tab w:val="clear" w:pos="567"/>
          <w:tab w:val="left" w:pos="562"/>
        </w:tabs>
        <w:spacing w:line="240" w:lineRule="auto"/>
        <w:ind w:right="-2"/>
        <w:rPr>
          <w:del w:id="12056" w:author="AbbVie_HU_03" w:date="2025-05-14T16:41:00Z"/>
        </w:rPr>
      </w:pPr>
      <w:del w:id="12057" w:author="AbbVie_HU_03" w:date="2025-05-14T16:41:00Z">
        <w:r w:rsidRPr="00183B5F">
          <w:delText>szemgyulladás</w:delText>
        </w:r>
        <w:r w:rsidR="002121F5" w:rsidRPr="00183B5F">
          <w:delText>;</w:delText>
        </w:r>
      </w:del>
    </w:p>
    <w:p w14:paraId="3BF802FE" w14:textId="394D4817" w:rsidR="001905BF" w:rsidRPr="00183B5F" w:rsidRDefault="00943743" w:rsidP="00966731">
      <w:pPr>
        <w:numPr>
          <w:ilvl w:val="0"/>
          <w:numId w:val="54"/>
        </w:numPr>
        <w:tabs>
          <w:tab w:val="clear" w:pos="567"/>
          <w:tab w:val="left" w:pos="562"/>
        </w:tabs>
        <w:spacing w:line="240" w:lineRule="auto"/>
        <w:ind w:right="-2"/>
        <w:rPr>
          <w:del w:id="12058" w:author="AbbVie_HU_03" w:date="2025-05-14T16:41:00Z"/>
        </w:rPr>
      </w:pPr>
      <w:del w:id="12059" w:author="AbbVie_HU_03" w:date="2025-05-14T16:41:00Z">
        <w:r w:rsidRPr="00183B5F">
          <w:delText xml:space="preserve">a szemhéj gyulladása és a szem </w:delText>
        </w:r>
        <w:r w:rsidR="00EC1539" w:rsidRPr="00183B5F">
          <w:delText>duzzanata</w:delText>
        </w:r>
        <w:r w:rsidR="002121F5" w:rsidRPr="00183B5F">
          <w:delText>;</w:delText>
        </w:r>
      </w:del>
    </w:p>
    <w:p w14:paraId="3497ADB4" w14:textId="699D1764" w:rsidR="00FB6710" w:rsidRPr="00183B5F" w:rsidRDefault="00943743" w:rsidP="00966731">
      <w:pPr>
        <w:numPr>
          <w:ilvl w:val="0"/>
          <w:numId w:val="54"/>
        </w:numPr>
        <w:spacing w:line="240" w:lineRule="auto"/>
        <w:ind w:right="-2"/>
        <w:rPr>
          <w:del w:id="12060" w:author="AbbVie_HU_03" w:date="2025-05-14T16:41:00Z"/>
        </w:rPr>
      </w:pPr>
      <w:del w:id="12061" w:author="AbbVie_HU_03" w:date="2025-05-14T16:41:00Z">
        <w:r w:rsidRPr="00183B5F">
          <w:delText>forgó jellegű szédülés</w:delText>
        </w:r>
        <w:r w:rsidR="002121F5" w:rsidRPr="00183B5F">
          <w:delText>;</w:delText>
        </w:r>
      </w:del>
    </w:p>
    <w:p w14:paraId="39EFADA7" w14:textId="094A53EF" w:rsidR="00FB6710" w:rsidRPr="00183B5F" w:rsidRDefault="00943743" w:rsidP="00966731">
      <w:pPr>
        <w:numPr>
          <w:ilvl w:val="0"/>
          <w:numId w:val="54"/>
        </w:numPr>
        <w:tabs>
          <w:tab w:val="clear" w:pos="567"/>
          <w:tab w:val="left" w:pos="562"/>
        </w:tabs>
        <w:spacing w:line="240" w:lineRule="auto"/>
        <w:ind w:right="-2"/>
        <w:rPr>
          <w:del w:id="12062" w:author="AbbVie_HU_03" w:date="2025-05-14T16:41:00Z"/>
        </w:rPr>
      </w:pPr>
      <w:del w:id="12063" w:author="AbbVie_HU_03" w:date="2025-05-14T16:41:00Z">
        <w:r w:rsidRPr="00183B5F">
          <w:delText>gyors szívverés érzés</w:delText>
        </w:r>
        <w:r w:rsidR="002121F5" w:rsidRPr="00183B5F">
          <w:delText>;</w:delText>
        </w:r>
      </w:del>
    </w:p>
    <w:p w14:paraId="3AE5C2A6" w14:textId="671292B1" w:rsidR="00FB6710" w:rsidRPr="00183B5F" w:rsidRDefault="00943743" w:rsidP="00966731">
      <w:pPr>
        <w:numPr>
          <w:ilvl w:val="0"/>
          <w:numId w:val="54"/>
        </w:numPr>
        <w:tabs>
          <w:tab w:val="clear" w:pos="567"/>
          <w:tab w:val="left" w:pos="562"/>
        </w:tabs>
        <w:spacing w:line="240" w:lineRule="auto"/>
        <w:ind w:right="-2"/>
        <w:rPr>
          <w:del w:id="12064" w:author="AbbVie_HU_03" w:date="2025-05-14T16:41:00Z"/>
        </w:rPr>
      </w:pPr>
      <w:del w:id="12065" w:author="AbbVie_HU_03" w:date="2025-05-14T16:41:00Z">
        <w:r w:rsidRPr="00183B5F">
          <w:delText>magas vérnyomás</w:delText>
        </w:r>
        <w:r w:rsidR="002121F5" w:rsidRPr="00183B5F">
          <w:delText>;</w:delText>
        </w:r>
      </w:del>
    </w:p>
    <w:p w14:paraId="1B693220" w14:textId="6605BCE6" w:rsidR="00FB6710" w:rsidRPr="00183B5F" w:rsidRDefault="00943743" w:rsidP="00966731">
      <w:pPr>
        <w:numPr>
          <w:ilvl w:val="0"/>
          <w:numId w:val="54"/>
        </w:numPr>
        <w:tabs>
          <w:tab w:val="clear" w:pos="567"/>
          <w:tab w:val="left" w:pos="562"/>
        </w:tabs>
        <w:spacing w:line="240" w:lineRule="auto"/>
        <w:ind w:right="-2"/>
        <w:rPr>
          <w:del w:id="12066" w:author="AbbVie_HU_03" w:date="2025-05-14T16:41:00Z"/>
        </w:rPr>
      </w:pPr>
      <w:del w:id="12067" w:author="AbbVie_HU_03" w:date="2025-05-14T16:41:00Z">
        <w:r w:rsidRPr="00183B5F">
          <w:delText>kipirulás</w:delText>
        </w:r>
        <w:r w:rsidR="002121F5" w:rsidRPr="00183B5F">
          <w:delText>;</w:delText>
        </w:r>
      </w:del>
    </w:p>
    <w:p w14:paraId="2DB4A49B" w14:textId="493161E1" w:rsidR="00FB6710" w:rsidRPr="00183B5F" w:rsidRDefault="00943743" w:rsidP="00966731">
      <w:pPr>
        <w:numPr>
          <w:ilvl w:val="0"/>
          <w:numId w:val="54"/>
        </w:numPr>
        <w:tabs>
          <w:tab w:val="clear" w:pos="567"/>
          <w:tab w:val="left" w:pos="562"/>
        </w:tabs>
        <w:spacing w:line="240" w:lineRule="auto"/>
        <w:ind w:right="-2"/>
        <w:rPr>
          <w:del w:id="12068" w:author="AbbVie_HU_03" w:date="2025-05-14T16:41:00Z"/>
        </w:rPr>
      </w:pPr>
      <w:del w:id="12069" w:author="AbbVie_HU_03" w:date="2025-05-14T16:41:00Z">
        <w:r w:rsidRPr="00183B5F">
          <w:delText>vérömleny</w:delText>
        </w:r>
        <w:r w:rsidR="002121F5" w:rsidRPr="00183B5F">
          <w:delText>;</w:delText>
        </w:r>
      </w:del>
    </w:p>
    <w:p w14:paraId="061BA3E1" w14:textId="7B49548A" w:rsidR="00FB6710" w:rsidRPr="00183B5F" w:rsidRDefault="00943743" w:rsidP="00966731">
      <w:pPr>
        <w:numPr>
          <w:ilvl w:val="0"/>
          <w:numId w:val="54"/>
        </w:numPr>
        <w:spacing w:line="240" w:lineRule="auto"/>
        <w:ind w:right="-2"/>
        <w:rPr>
          <w:del w:id="12070" w:author="AbbVie_HU_03" w:date="2025-05-14T16:41:00Z"/>
        </w:rPr>
      </w:pPr>
      <w:del w:id="12071" w:author="AbbVie_HU_03" w:date="2025-05-14T16:41:00Z">
        <w:r w:rsidRPr="00183B5F">
          <w:delText>köhögés</w:delText>
        </w:r>
        <w:r w:rsidR="002121F5" w:rsidRPr="00183B5F">
          <w:delText>;</w:delText>
        </w:r>
      </w:del>
    </w:p>
    <w:p w14:paraId="6D6AB2D8" w14:textId="46A89271" w:rsidR="00FB6710" w:rsidRPr="00183B5F" w:rsidRDefault="00943743" w:rsidP="00966731">
      <w:pPr>
        <w:numPr>
          <w:ilvl w:val="0"/>
          <w:numId w:val="54"/>
        </w:numPr>
        <w:spacing w:line="240" w:lineRule="auto"/>
        <w:ind w:right="-2"/>
        <w:rPr>
          <w:del w:id="12072" w:author="AbbVie_HU_03" w:date="2025-05-14T16:41:00Z"/>
        </w:rPr>
      </w:pPr>
      <w:del w:id="12073" w:author="AbbVie_HU_03" w:date="2025-05-14T16:41:00Z">
        <w:r w:rsidRPr="00183B5F">
          <w:delText>asztma</w:delText>
        </w:r>
        <w:r w:rsidR="002121F5" w:rsidRPr="00183B5F">
          <w:delText>;</w:delText>
        </w:r>
      </w:del>
    </w:p>
    <w:p w14:paraId="315C0CF1" w14:textId="1E6E5C5A" w:rsidR="00FB6710" w:rsidRPr="00183B5F" w:rsidRDefault="00943743" w:rsidP="00966731">
      <w:pPr>
        <w:numPr>
          <w:ilvl w:val="0"/>
          <w:numId w:val="54"/>
        </w:numPr>
        <w:spacing w:line="240" w:lineRule="auto"/>
        <w:ind w:right="-2"/>
        <w:rPr>
          <w:del w:id="12074" w:author="AbbVie_HU_03" w:date="2025-05-14T16:41:00Z"/>
        </w:rPr>
      </w:pPr>
      <w:del w:id="12075" w:author="AbbVie_HU_03" w:date="2025-05-14T16:41:00Z">
        <w:r w:rsidRPr="00183B5F">
          <w:delText>légszomj</w:delText>
        </w:r>
        <w:r w:rsidR="002121F5" w:rsidRPr="00183B5F">
          <w:delText>;</w:delText>
        </w:r>
      </w:del>
    </w:p>
    <w:p w14:paraId="336958C9" w14:textId="0CD962BA" w:rsidR="00FB6710" w:rsidRPr="00183B5F" w:rsidRDefault="00943743" w:rsidP="00966731">
      <w:pPr>
        <w:numPr>
          <w:ilvl w:val="0"/>
          <w:numId w:val="54"/>
        </w:numPr>
        <w:spacing w:line="240" w:lineRule="auto"/>
        <w:ind w:right="-2"/>
        <w:rPr>
          <w:del w:id="12076" w:author="AbbVie_HU_03" w:date="2025-05-14T16:41:00Z"/>
        </w:rPr>
      </w:pPr>
      <w:del w:id="12077" w:author="AbbVie_HU_03" w:date="2025-05-14T16:41:00Z">
        <w:r w:rsidRPr="00183B5F">
          <w:delText>tápcsatorna eredetű vérzés</w:delText>
        </w:r>
        <w:r w:rsidR="002121F5" w:rsidRPr="00183B5F">
          <w:delText>;</w:delText>
        </w:r>
      </w:del>
    </w:p>
    <w:p w14:paraId="6B7FEBB0" w14:textId="65B88ABD" w:rsidR="00FB6710" w:rsidRPr="00183B5F" w:rsidRDefault="00943743" w:rsidP="00966731">
      <w:pPr>
        <w:numPr>
          <w:ilvl w:val="0"/>
          <w:numId w:val="54"/>
        </w:numPr>
        <w:spacing w:line="240" w:lineRule="auto"/>
        <w:ind w:right="-2"/>
        <w:rPr>
          <w:del w:id="12078" w:author="AbbVie_HU_03" w:date="2025-05-14T16:41:00Z"/>
        </w:rPr>
      </w:pPr>
      <w:del w:id="12079" w:author="AbbVie_HU_03" w:date="2025-05-14T16:41:00Z">
        <w:r w:rsidRPr="00183B5F">
          <w:delText>diszpepszia (emésztési zavar, puffadás, gyomorégés)</w:delText>
        </w:r>
        <w:r w:rsidR="002121F5" w:rsidRPr="00183B5F">
          <w:delText>;</w:delText>
        </w:r>
      </w:del>
    </w:p>
    <w:p w14:paraId="2581A285" w14:textId="42049B9A" w:rsidR="00FB6710" w:rsidRPr="00183B5F" w:rsidRDefault="00943743" w:rsidP="00966731">
      <w:pPr>
        <w:numPr>
          <w:ilvl w:val="0"/>
          <w:numId w:val="54"/>
        </w:numPr>
        <w:spacing w:line="240" w:lineRule="auto"/>
        <w:ind w:right="-2"/>
        <w:rPr>
          <w:del w:id="12080" w:author="AbbVie_HU_03" w:date="2025-05-14T16:41:00Z"/>
        </w:rPr>
      </w:pPr>
      <w:del w:id="12081" w:author="AbbVie_HU_03" w:date="2025-05-14T16:41:00Z">
        <w:r w:rsidRPr="00183B5F">
          <w:delText>a gyomorsav visszafolyása a nyelőcsőbe</w:delText>
        </w:r>
        <w:r w:rsidR="002121F5" w:rsidRPr="00183B5F">
          <w:delText>;</w:delText>
        </w:r>
      </w:del>
    </w:p>
    <w:p w14:paraId="79448B39" w14:textId="47A74B2A" w:rsidR="00FB6710" w:rsidRPr="00183B5F" w:rsidRDefault="00943743" w:rsidP="00966731">
      <w:pPr>
        <w:numPr>
          <w:ilvl w:val="0"/>
          <w:numId w:val="54"/>
        </w:numPr>
        <w:spacing w:line="240" w:lineRule="auto"/>
        <w:ind w:right="-2"/>
        <w:rPr>
          <w:del w:id="12082" w:author="AbbVie_HU_03" w:date="2025-05-14T16:41:00Z"/>
        </w:rPr>
      </w:pPr>
      <w:del w:id="12083" w:author="AbbVie_HU_03" w:date="2025-05-14T16:41:00Z">
        <w:r w:rsidRPr="00183B5F">
          <w:delText>szikka-szindróma (beleértve a száraz szemet és a száraz szájat is)</w:delText>
        </w:r>
        <w:r w:rsidR="002121F5" w:rsidRPr="00183B5F">
          <w:delText>;</w:delText>
        </w:r>
      </w:del>
    </w:p>
    <w:p w14:paraId="559E11C7" w14:textId="5A2CF209" w:rsidR="00FB6710" w:rsidRPr="00183B5F" w:rsidRDefault="00943743" w:rsidP="00966731">
      <w:pPr>
        <w:numPr>
          <w:ilvl w:val="0"/>
          <w:numId w:val="54"/>
        </w:numPr>
        <w:spacing w:line="240" w:lineRule="auto"/>
        <w:ind w:right="-2"/>
        <w:rPr>
          <w:del w:id="12084" w:author="AbbVie_HU_03" w:date="2025-05-14T16:41:00Z"/>
        </w:rPr>
      </w:pPr>
      <w:del w:id="12085" w:author="AbbVie_HU_03" w:date="2025-05-14T16:41:00Z">
        <w:r w:rsidRPr="00183B5F">
          <w:delText>bőrviszketés</w:delText>
        </w:r>
        <w:r w:rsidR="002121F5" w:rsidRPr="00183B5F">
          <w:delText>;</w:delText>
        </w:r>
      </w:del>
    </w:p>
    <w:p w14:paraId="2C1CD3BD" w14:textId="0D791059" w:rsidR="00FB6710" w:rsidRPr="00183B5F" w:rsidRDefault="00943743" w:rsidP="00966731">
      <w:pPr>
        <w:numPr>
          <w:ilvl w:val="0"/>
          <w:numId w:val="54"/>
        </w:numPr>
        <w:spacing w:line="240" w:lineRule="auto"/>
        <w:ind w:right="-2"/>
        <w:rPr>
          <w:del w:id="12086" w:author="AbbVie_HU_03" w:date="2025-05-14T16:41:00Z"/>
        </w:rPr>
      </w:pPr>
      <w:del w:id="12087" w:author="AbbVie_HU_03" w:date="2025-05-14T16:41:00Z">
        <w:r w:rsidRPr="00183B5F">
          <w:delText>viszkető bőrkiütés</w:delText>
        </w:r>
        <w:r w:rsidR="002121F5" w:rsidRPr="00183B5F">
          <w:delText>;</w:delText>
        </w:r>
      </w:del>
    </w:p>
    <w:p w14:paraId="68F3C855" w14:textId="57D634F0" w:rsidR="00FB6710" w:rsidRPr="00183B5F" w:rsidRDefault="00943743" w:rsidP="00966731">
      <w:pPr>
        <w:numPr>
          <w:ilvl w:val="0"/>
          <w:numId w:val="54"/>
        </w:numPr>
        <w:spacing w:line="240" w:lineRule="auto"/>
        <w:ind w:right="-2"/>
        <w:rPr>
          <w:del w:id="12088" w:author="AbbVie_HU_03" w:date="2025-05-14T16:41:00Z"/>
        </w:rPr>
      </w:pPr>
      <w:del w:id="12089" w:author="AbbVie_HU_03" w:date="2025-05-14T16:41:00Z">
        <w:r w:rsidRPr="00183B5F">
          <w:delText>véraláfutás</w:delText>
        </w:r>
        <w:r w:rsidR="002121F5" w:rsidRPr="00183B5F">
          <w:delText>;</w:delText>
        </w:r>
      </w:del>
    </w:p>
    <w:p w14:paraId="6B595A70" w14:textId="01A16BDB" w:rsidR="00FB6710" w:rsidRPr="00183B5F" w:rsidRDefault="00943743" w:rsidP="00966731">
      <w:pPr>
        <w:numPr>
          <w:ilvl w:val="0"/>
          <w:numId w:val="54"/>
        </w:numPr>
        <w:spacing w:line="240" w:lineRule="auto"/>
        <w:ind w:right="-2"/>
        <w:rPr>
          <w:del w:id="12090" w:author="AbbVie_HU_03" w:date="2025-05-14T16:41:00Z"/>
        </w:rPr>
      </w:pPr>
      <w:del w:id="12091" w:author="AbbVie_HU_03" w:date="2025-05-14T16:41:00Z">
        <w:r w:rsidRPr="00183B5F">
          <w:delText>bőrgyulladás (mint például az ekcéma)</w:delText>
        </w:r>
        <w:r w:rsidR="002121F5" w:rsidRPr="00183B5F">
          <w:delText>;</w:delText>
        </w:r>
      </w:del>
    </w:p>
    <w:p w14:paraId="5DEF7AAA" w14:textId="2D0A4AD0" w:rsidR="00FB6710" w:rsidRPr="00183B5F" w:rsidRDefault="00943743" w:rsidP="00966731">
      <w:pPr>
        <w:numPr>
          <w:ilvl w:val="0"/>
          <w:numId w:val="54"/>
        </w:numPr>
        <w:spacing w:line="240" w:lineRule="auto"/>
        <w:ind w:right="-2"/>
        <w:rPr>
          <w:del w:id="12092" w:author="AbbVie_HU_03" w:date="2025-05-14T16:41:00Z"/>
        </w:rPr>
      </w:pPr>
      <w:del w:id="12093" w:author="AbbVie_HU_03" w:date="2025-05-14T16:41:00Z">
        <w:r w:rsidRPr="00183B5F">
          <w:delText>a kéz- és lábujjkörmök töredezése</w:delText>
        </w:r>
        <w:r w:rsidR="002121F5" w:rsidRPr="00183B5F">
          <w:delText>;</w:delText>
        </w:r>
      </w:del>
    </w:p>
    <w:p w14:paraId="4741AEE3" w14:textId="4A9CD483" w:rsidR="00FB6710" w:rsidRPr="00183B5F" w:rsidRDefault="00943743" w:rsidP="00966731">
      <w:pPr>
        <w:numPr>
          <w:ilvl w:val="0"/>
          <w:numId w:val="54"/>
        </w:numPr>
        <w:spacing w:line="240" w:lineRule="auto"/>
        <w:ind w:right="-2"/>
        <w:rPr>
          <w:del w:id="12094" w:author="AbbVie_HU_03" w:date="2025-05-14T16:41:00Z"/>
        </w:rPr>
      </w:pPr>
      <w:del w:id="12095" w:author="AbbVie_HU_03" w:date="2025-05-14T16:41:00Z">
        <w:r w:rsidRPr="00183B5F">
          <w:delText>fokozott verejtékezés</w:delText>
        </w:r>
        <w:r w:rsidR="002121F5" w:rsidRPr="00183B5F">
          <w:delText>;</w:delText>
        </w:r>
      </w:del>
    </w:p>
    <w:p w14:paraId="3DDF2038" w14:textId="45E81E37" w:rsidR="008428A1" w:rsidRPr="00183B5F" w:rsidRDefault="00943743" w:rsidP="00966731">
      <w:pPr>
        <w:numPr>
          <w:ilvl w:val="0"/>
          <w:numId w:val="54"/>
        </w:numPr>
        <w:spacing w:line="240" w:lineRule="auto"/>
        <w:ind w:right="-2"/>
        <w:rPr>
          <w:del w:id="12096" w:author="AbbVie_HU_03" w:date="2025-05-14T16:41:00Z"/>
        </w:rPr>
      </w:pPr>
      <w:del w:id="12097" w:author="AbbVie_HU_03" w:date="2025-05-14T16:41:00Z">
        <w:r w:rsidRPr="00183B5F">
          <w:rPr>
            <w:szCs w:val="22"/>
          </w:rPr>
          <w:delText>hajhullás</w:delText>
        </w:r>
        <w:r w:rsidR="002121F5" w:rsidRPr="00183B5F">
          <w:rPr>
            <w:szCs w:val="22"/>
          </w:rPr>
          <w:delText>;</w:delText>
        </w:r>
      </w:del>
    </w:p>
    <w:p w14:paraId="33E3D172" w14:textId="335D3113" w:rsidR="008428A1" w:rsidRPr="00183B5F" w:rsidRDefault="00943743" w:rsidP="00966731">
      <w:pPr>
        <w:numPr>
          <w:ilvl w:val="0"/>
          <w:numId w:val="54"/>
        </w:numPr>
        <w:spacing w:line="240" w:lineRule="auto"/>
        <w:ind w:right="-2"/>
        <w:rPr>
          <w:del w:id="12098" w:author="AbbVie_HU_03" w:date="2025-05-14T16:41:00Z"/>
        </w:rPr>
      </w:pPr>
      <w:del w:id="12099" w:author="AbbVie_HU_03" w:date="2025-05-14T16:41:00Z">
        <w:r w:rsidRPr="00183B5F">
          <w:rPr>
            <w:szCs w:val="22"/>
          </w:rPr>
          <w:delText>pikkelysömör megjelenése vagy rosszabbodása</w:delText>
        </w:r>
        <w:r w:rsidR="002121F5" w:rsidRPr="00183B5F">
          <w:rPr>
            <w:szCs w:val="22"/>
          </w:rPr>
          <w:delText>;</w:delText>
        </w:r>
      </w:del>
    </w:p>
    <w:p w14:paraId="45E6D8BB" w14:textId="3CF27B01" w:rsidR="00FB6710" w:rsidRPr="00183B5F" w:rsidRDefault="00943743" w:rsidP="00966731">
      <w:pPr>
        <w:numPr>
          <w:ilvl w:val="0"/>
          <w:numId w:val="54"/>
        </w:numPr>
        <w:spacing w:line="240" w:lineRule="auto"/>
        <w:ind w:right="-2"/>
        <w:rPr>
          <w:del w:id="12100" w:author="AbbVie_HU_03" w:date="2025-05-14T16:41:00Z"/>
        </w:rPr>
      </w:pPr>
      <w:del w:id="12101" w:author="AbbVie_HU_03" w:date="2025-05-14T16:41:00Z">
        <w:r w:rsidRPr="00183B5F">
          <w:delText>izomgörcsök</w:delText>
        </w:r>
        <w:r w:rsidR="002121F5" w:rsidRPr="00183B5F">
          <w:delText>;</w:delText>
        </w:r>
      </w:del>
    </w:p>
    <w:p w14:paraId="4415615D" w14:textId="7E68CB32" w:rsidR="00FB6710" w:rsidRPr="00183B5F" w:rsidRDefault="00943743" w:rsidP="00966731">
      <w:pPr>
        <w:numPr>
          <w:ilvl w:val="0"/>
          <w:numId w:val="54"/>
        </w:numPr>
        <w:spacing w:line="240" w:lineRule="auto"/>
        <w:ind w:right="-2"/>
        <w:rPr>
          <w:del w:id="12102" w:author="AbbVie_HU_03" w:date="2025-05-14T16:41:00Z"/>
        </w:rPr>
      </w:pPr>
      <w:del w:id="12103" w:author="AbbVie_HU_03" w:date="2025-05-14T16:41:00Z">
        <w:r w:rsidRPr="00183B5F">
          <w:delText>véres vizelet</w:delText>
        </w:r>
        <w:r w:rsidR="002121F5" w:rsidRPr="00183B5F">
          <w:delText>;</w:delText>
        </w:r>
      </w:del>
    </w:p>
    <w:p w14:paraId="0345080D" w14:textId="72718AE3" w:rsidR="00FB6710" w:rsidRPr="00183B5F" w:rsidRDefault="00943743" w:rsidP="00966731">
      <w:pPr>
        <w:numPr>
          <w:ilvl w:val="0"/>
          <w:numId w:val="54"/>
        </w:numPr>
        <w:spacing w:line="240" w:lineRule="auto"/>
        <w:ind w:right="-2"/>
        <w:rPr>
          <w:del w:id="12104" w:author="AbbVie_HU_03" w:date="2025-05-14T16:41:00Z"/>
        </w:rPr>
      </w:pPr>
      <w:del w:id="12105" w:author="AbbVie_HU_03" w:date="2025-05-14T16:41:00Z">
        <w:r w:rsidRPr="00183B5F">
          <w:delText>veseproblémák</w:delText>
        </w:r>
        <w:r w:rsidR="002121F5" w:rsidRPr="00183B5F">
          <w:delText>;</w:delText>
        </w:r>
      </w:del>
    </w:p>
    <w:p w14:paraId="0A529758" w14:textId="3819A1AF" w:rsidR="00FB6710" w:rsidRPr="00183B5F" w:rsidRDefault="00943743" w:rsidP="00966731">
      <w:pPr>
        <w:numPr>
          <w:ilvl w:val="0"/>
          <w:numId w:val="54"/>
        </w:numPr>
        <w:spacing w:line="240" w:lineRule="auto"/>
        <w:ind w:right="-2"/>
        <w:rPr>
          <w:del w:id="12106" w:author="AbbVie_HU_03" w:date="2025-05-14T16:41:00Z"/>
        </w:rPr>
      </w:pPr>
      <w:del w:id="12107" w:author="AbbVie_HU_03" w:date="2025-05-14T16:41:00Z">
        <w:r w:rsidRPr="00183B5F">
          <w:delText>mellkasi fájdalom</w:delText>
        </w:r>
        <w:r w:rsidR="002121F5" w:rsidRPr="00183B5F">
          <w:delText>;</w:delText>
        </w:r>
      </w:del>
    </w:p>
    <w:p w14:paraId="1D84BC6D" w14:textId="3159AD80" w:rsidR="00FB6710" w:rsidRPr="00183B5F" w:rsidRDefault="00943743" w:rsidP="00966731">
      <w:pPr>
        <w:numPr>
          <w:ilvl w:val="0"/>
          <w:numId w:val="54"/>
        </w:numPr>
        <w:spacing w:line="240" w:lineRule="auto"/>
        <w:ind w:right="-2"/>
        <w:rPr>
          <w:del w:id="12108" w:author="AbbVie_HU_03" w:date="2025-05-14T16:41:00Z"/>
        </w:rPr>
      </w:pPr>
      <w:del w:id="12109" w:author="AbbVie_HU_03" w:date="2025-05-14T16:41:00Z">
        <w:r w:rsidRPr="00183B5F">
          <w:delText>vizenyő</w:delText>
        </w:r>
        <w:r w:rsidR="002121F5" w:rsidRPr="00183B5F">
          <w:delText>;</w:delText>
        </w:r>
      </w:del>
    </w:p>
    <w:p w14:paraId="083D6793" w14:textId="3BAB9129" w:rsidR="001905BF" w:rsidRPr="00183B5F" w:rsidRDefault="00943743" w:rsidP="00966731">
      <w:pPr>
        <w:numPr>
          <w:ilvl w:val="0"/>
          <w:numId w:val="54"/>
        </w:numPr>
        <w:spacing w:line="240" w:lineRule="auto"/>
        <w:ind w:right="-2"/>
        <w:rPr>
          <w:del w:id="12110" w:author="AbbVie_HU_03" w:date="2025-05-14T16:41:00Z"/>
        </w:rPr>
      </w:pPr>
      <w:del w:id="12111" w:author="AbbVie_HU_03" w:date="2025-05-14T16:41:00Z">
        <w:r w:rsidRPr="00183B5F">
          <w:delText>láz</w:delText>
        </w:r>
        <w:r w:rsidR="002121F5" w:rsidRPr="00183B5F">
          <w:delText>;</w:delText>
        </w:r>
      </w:del>
    </w:p>
    <w:p w14:paraId="36BB2FA8" w14:textId="1760DAC6" w:rsidR="00FB6710" w:rsidRPr="00183B5F" w:rsidRDefault="00943743" w:rsidP="00966731">
      <w:pPr>
        <w:numPr>
          <w:ilvl w:val="0"/>
          <w:numId w:val="54"/>
        </w:numPr>
        <w:spacing w:line="240" w:lineRule="auto"/>
        <w:ind w:right="-2"/>
        <w:rPr>
          <w:del w:id="12112" w:author="AbbVie_HU_03" w:date="2025-05-14T16:41:00Z"/>
        </w:rPr>
      </w:pPr>
      <w:del w:id="12113" w:author="AbbVie_HU_03" w:date="2025-05-14T16:41:00Z">
        <w:r w:rsidRPr="00183B5F">
          <w:delText>a vérlemezkék számának csökkenése, ami növeli a vérzés vagy a véraláfutás kialakulásának kockázatát</w:delText>
        </w:r>
        <w:r w:rsidR="002121F5" w:rsidRPr="00183B5F">
          <w:delText>;</w:delText>
        </w:r>
      </w:del>
    </w:p>
    <w:p w14:paraId="46201988" w14:textId="4CB132B1" w:rsidR="00FB6710" w:rsidRPr="00183B5F" w:rsidRDefault="00943743" w:rsidP="00966731">
      <w:pPr>
        <w:numPr>
          <w:ilvl w:val="0"/>
          <w:numId w:val="54"/>
        </w:numPr>
        <w:spacing w:line="240" w:lineRule="auto"/>
        <w:ind w:right="-2"/>
        <w:rPr>
          <w:del w:id="12114" w:author="AbbVie_HU_03" w:date="2025-05-14T16:41:00Z"/>
        </w:rPr>
      </w:pPr>
      <w:del w:id="12115" w:author="AbbVie_HU_03" w:date="2025-05-14T16:41:00Z">
        <w:r w:rsidRPr="00183B5F">
          <w:delText>csökkent gyógyulási készség</w:delText>
        </w:r>
        <w:r w:rsidR="00107B1A" w:rsidRPr="00183B5F">
          <w:delText>.</w:delText>
        </w:r>
      </w:del>
    </w:p>
    <w:p w14:paraId="5880624D" w14:textId="44F291DC" w:rsidR="00FB6710" w:rsidRPr="00183B5F" w:rsidRDefault="00FB6710" w:rsidP="00966731">
      <w:pPr>
        <w:spacing w:line="240" w:lineRule="auto"/>
        <w:ind w:right="-2"/>
        <w:rPr>
          <w:del w:id="12116" w:author="AbbVie_HU_03" w:date="2025-05-14T16:41:00Z"/>
          <w:szCs w:val="22"/>
        </w:rPr>
      </w:pPr>
    </w:p>
    <w:p w14:paraId="50481364" w14:textId="13A0FE70" w:rsidR="00FB6710" w:rsidRPr="00183B5F" w:rsidRDefault="00943743" w:rsidP="00966731">
      <w:pPr>
        <w:spacing w:line="240" w:lineRule="auto"/>
        <w:ind w:right="-2"/>
        <w:rPr>
          <w:del w:id="12117" w:author="AbbVie_HU_03" w:date="2025-05-14T16:41:00Z"/>
          <w:szCs w:val="22"/>
        </w:rPr>
      </w:pPr>
      <w:del w:id="12118" w:author="AbbVie_HU_03" w:date="2025-05-14T16:41:00Z">
        <w:r w:rsidRPr="00183B5F">
          <w:rPr>
            <w:szCs w:val="22"/>
          </w:rPr>
          <w:delText>Nem gyakori (100</w:delText>
        </w:r>
        <w:r w:rsidR="005B7D8B" w:rsidRPr="00183B5F">
          <w:rPr>
            <w:szCs w:val="22"/>
          </w:rPr>
          <w:delText> </w:delText>
        </w:r>
        <w:r w:rsidR="004418CD" w:rsidRPr="00183B5F">
          <w:rPr>
            <w:szCs w:val="22"/>
          </w:rPr>
          <w:delText>beteg</w:delText>
        </w:r>
        <w:r w:rsidR="006F1BCC" w:rsidRPr="00183B5F">
          <w:rPr>
            <w:szCs w:val="22"/>
          </w:rPr>
          <w:delText xml:space="preserve"> </w:delText>
        </w:r>
        <w:r w:rsidRPr="00183B5F">
          <w:rPr>
            <w:szCs w:val="22"/>
          </w:rPr>
          <w:delText xml:space="preserve">közül </w:delText>
        </w:r>
        <w:r w:rsidR="006F1BCC" w:rsidRPr="00183B5F">
          <w:rPr>
            <w:szCs w:val="22"/>
          </w:rPr>
          <w:delText>legfeljebb</w:delText>
        </w:r>
        <w:r w:rsidRPr="00183B5F">
          <w:rPr>
            <w:szCs w:val="22"/>
          </w:rPr>
          <w:delText xml:space="preserve"> 1</w:delText>
        </w:r>
        <w:r w:rsidR="005B7D8B" w:rsidRPr="00183B5F">
          <w:rPr>
            <w:szCs w:val="22"/>
          </w:rPr>
          <w:noBreakHyphen/>
        </w:r>
        <w:r w:rsidR="006F1BCC" w:rsidRPr="00183B5F">
          <w:rPr>
            <w:szCs w:val="22"/>
          </w:rPr>
          <w:delText>nél</w:delText>
        </w:r>
        <w:r w:rsidRPr="00183B5F">
          <w:rPr>
            <w:szCs w:val="22"/>
          </w:rPr>
          <w:delText xml:space="preserve"> kialakuló)</w:delText>
        </w:r>
      </w:del>
    </w:p>
    <w:p w14:paraId="781CC0FC" w14:textId="224DD20D" w:rsidR="002121F5" w:rsidRPr="00183B5F" w:rsidRDefault="002121F5" w:rsidP="00966731">
      <w:pPr>
        <w:spacing w:line="240" w:lineRule="auto"/>
        <w:ind w:right="-2"/>
        <w:rPr>
          <w:del w:id="12119" w:author="AbbVie_HU_03" w:date="2025-05-14T16:41:00Z"/>
          <w:szCs w:val="22"/>
        </w:rPr>
      </w:pPr>
    </w:p>
    <w:p w14:paraId="022485B4" w14:textId="32611337" w:rsidR="00FB6710" w:rsidRPr="00183B5F" w:rsidRDefault="00943743" w:rsidP="00966731">
      <w:pPr>
        <w:numPr>
          <w:ilvl w:val="0"/>
          <w:numId w:val="55"/>
        </w:numPr>
        <w:tabs>
          <w:tab w:val="clear" w:pos="567"/>
          <w:tab w:val="left" w:pos="562"/>
        </w:tabs>
        <w:spacing w:line="240" w:lineRule="auto"/>
        <w:ind w:right="-2"/>
        <w:rPr>
          <w:del w:id="12120" w:author="AbbVie_HU_03" w:date="2025-05-14T16:41:00Z"/>
          <w:szCs w:val="22"/>
        </w:rPr>
      </w:pPr>
      <w:del w:id="12121" w:author="AbbVie_HU_03" w:date="2025-05-14T16:41:00Z">
        <w:r w:rsidRPr="00183B5F">
          <w:rPr>
            <w:szCs w:val="22"/>
          </w:rPr>
          <w:delText>opportunista fertőzések (ezek közé tartozik a tuberkulózis és más, olyan fertőzések, amelyek akkor alakulnak ki, amikor a betegségekkel szembeni ellenállóképesség lecsökken)</w:delText>
        </w:r>
        <w:r w:rsidR="002121F5" w:rsidRPr="00183B5F">
          <w:rPr>
            <w:szCs w:val="22"/>
          </w:rPr>
          <w:delText>;</w:delText>
        </w:r>
      </w:del>
    </w:p>
    <w:p w14:paraId="4E29EB22" w14:textId="0F7DAE71" w:rsidR="00FB6710" w:rsidRPr="00183B5F" w:rsidRDefault="00943743" w:rsidP="00966731">
      <w:pPr>
        <w:numPr>
          <w:ilvl w:val="0"/>
          <w:numId w:val="55"/>
        </w:numPr>
        <w:tabs>
          <w:tab w:val="clear" w:pos="567"/>
          <w:tab w:val="left" w:pos="562"/>
        </w:tabs>
        <w:spacing w:line="240" w:lineRule="auto"/>
        <w:ind w:right="-2"/>
        <w:rPr>
          <w:del w:id="12122" w:author="AbbVie_HU_03" w:date="2025-05-14T16:41:00Z"/>
          <w:szCs w:val="22"/>
        </w:rPr>
      </w:pPr>
      <w:del w:id="12123" w:author="AbbVie_HU_03" w:date="2025-05-14T16:41:00Z">
        <w:r w:rsidRPr="00183B5F">
          <w:rPr>
            <w:szCs w:val="22"/>
          </w:rPr>
          <w:delText>ideggyógyászati eredetű fertőzések (beleértve a vírusos eredetű agyhártyagyulladást is)</w:delText>
        </w:r>
        <w:r w:rsidR="002121F5" w:rsidRPr="00183B5F">
          <w:rPr>
            <w:szCs w:val="22"/>
          </w:rPr>
          <w:delText>;</w:delText>
        </w:r>
      </w:del>
    </w:p>
    <w:p w14:paraId="392E5FA8" w14:textId="39F82E2A" w:rsidR="00FB6710" w:rsidRPr="00183B5F" w:rsidRDefault="00943743" w:rsidP="00966731">
      <w:pPr>
        <w:numPr>
          <w:ilvl w:val="0"/>
          <w:numId w:val="55"/>
        </w:numPr>
        <w:spacing w:line="240" w:lineRule="auto"/>
        <w:ind w:right="-2"/>
        <w:rPr>
          <w:del w:id="12124" w:author="AbbVie_HU_03" w:date="2025-05-14T16:41:00Z"/>
        </w:rPr>
      </w:pPr>
      <w:del w:id="12125" w:author="AbbVie_HU_03" w:date="2025-05-14T16:41:00Z">
        <w:r w:rsidRPr="00183B5F">
          <w:delText>szemfertőzések</w:delText>
        </w:r>
        <w:r w:rsidR="002121F5" w:rsidRPr="00183B5F">
          <w:delText>;</w:delText>
        </w:r>
      </w:del>
    </w:p>
    <w:p w14:paraId="43187484" w14:textId="046658DC" w:rsidR="00FB6710" w:rsidRPr="00183B5F" w:rsidRDefault="00943743" w:rsidP="00966731">
      <w:pPr>
        <w:numPr>
          <w:ilvl w:val="0"/>
          <w:numId w:val="55"/>
        </w:numPr>
        <w:spacing w:line="240" w:lineRule="auto"/>
        <w:ind w:right="-2"/>
        <w:rPr>
          <w:del w:id="12126" w:author="AbbVie_HU_03" w:date="2025-05-14T16:41:00Z"/>
        </w:rPr>
      </w:pPr>
      <w:del w:id="12127" w:author="AbbVie_HU_03" w:date="2025-05-14T16:41:00Z">
        <w:r w:rsidRPr="00183B5F">
          <w:delText>baktériumok okozta fertőzések</w:delText>
        </w:r>
        <w:r w:rsidR="002121F5" w:rsidRPr="00183B5F">
          <w:delText>;</w:delText>
        </w:r>
      </w:del>
    </w:p>
    <w:p w14:paraId="1C3AC68B" w14:textId="01BE73F9" w:rsidR="008428A1" w:rsidRPr="00183B5F" w:rsidRDefault="00943743" w:rsidP="00966731">
      <w:pPr>
        <w:numPr>
          <w:ilvl w:val="0"/>
          <w:numId w:val="55"/>
        </w:numPr>
        <w:spacing w:line="240" w:lineRule="auto"/>
        <w:ind w:right="-2"/>
        <w:rPr>
          <w:del w:id="12128" w:author="AbbVie_HU_03" w:date="2025-05-14T16:41:00Z"/>
        </w:rPr>
      </w:pPr>
      <w:del w:id="12129" w:author="AbbVie_HU_03" w:date="2025-05-14T16:41:00Z">
        <w:r w:rsidRPr="00183B5F">
          <w:delText>divertikulitisz (vastagbélgyulladás és -fertőzés)</w:delText>
        </w:r>
        <w:r w:rsidR="002121F5" w:rsidRPr="00183B5F">
          <w:delText>;</w:delText>
        </w:r>
      </w:del>
    </w:p>
    <w:p w14:paraId="15DF8D21" w14:textId="5EC83955" w:rsidR="00FB6710" w:rsidRPr="00183B5F" w:rsidRDefault="00943743" w:rsidP="00966731">
      <w:pPr>
        <w:numPr>
          <w:ilvl w:val="0"/>
          <w:numId w:val="55"/>
        </w:numPr>
        <w:spacing w:line="240" w:lineRule="auto"/>
        <w:ind w:right="-2"/>
        <w:rPr>
          <w:del w:id="12130" w:author="AbbVie_HU_03" w:date="2025-05-14T16:41:00Z"/>
        </w:rPr>
      </w:pPr>
      <w:del w:id="12131" w:author="AbbVie_HU_03" w:date="2025-05-14T16:41:00Z">
        <w:r w:rsidRPr="00183B5F">
          <w:delText>rák</w:delText>
        </w:r>
        <w:r w:rsidR="002121F5" w:rsidRPr="00183B5F">
          <w:delText>;</w:delText>
        </w:r>
      </w:del>
    </w:p>
    <w:p w14:paraId="3C35DB2B" w14:textId="4F170DC4" w:rsidR="00FB6710" w:rsidRPr="00183B5F" w:rsidRDefault="00943743" w:rsidP="00966731">
      <w:pPr>
        <w:numPr>
          <w:ilvl w:val="0"/>
          <w:numId w:val="55"/>
        </w:numPr>
        <w:spacing w:line="240" w:lineRule="auto"/>
        <w:ind w:right="-2"/>
        <w:rPr>
          <w:del w:id="12132" w:author="AbbVie_HU_03" w:date="2025-05-14T16:41:00Z"/>
        </w:rPr>
      </w:pPr>
      <w:del w:id="12133" w:author="AbbVie_HU_03" w:date="2025-05-14T16:41:00Z">
        <w:r w:rsidRPr="00183B5F">
          <w:delText>rák, amely a nyirokrendszert támadja meg</w:delText>
        </w:r>
        <w:r w:rsidR="002121F5" w:rsidRPr="00183B5F">
          <w:delText>;</w:delText>
        </w:r>
      </w:del>
    </w:p>
    <w:p w14:paraId="7925D297" w14:textId="11A5ECD2" w:rsidR="00FB6710" w:rsidRPr="00183B5F" w:rsidRDefault="00943743" w:rsidP="00966731">
      <w:pPr>
        <w:numPr>
          <w:ilvl w:val="0"/>
          <w:numId w:val="55"/>
        </w:numPr>
        <w:spacing w:line="240" w:lineRule="auto"/>
        <w:ind w:right="-2"/>
        <w:rPr>
          <w:del w:id="12134" w:author="AbbVie_HU_03" w:date="2025-05-14T16:41:00Z"/>
        </w:rPr>
      </w:pPr>
      <w:del w:id="12135" w:author="AbbVie_HU_03" w:date="2025-05-14T16:41:00Z">
        <w:r w:rsidRPr="00183B5F">
          <w:delText>melan</w:delText>
        </w:r>
        <w:r w:rsidR="004538E1" w:rsidRPr="00183B5F">
          <w:delText>ó</w:delText>
        </w:r>
        <w:r w:rsidRPr="00183B5F">
          <w:delText>ma</w:delText>
        </w:r>
        <w:r w:rsidR="002121F5" w:rsidRPr="00183B5F">
          <w:delText>;</w:delText>
        </w:r>
      </w:del>
    </w:p>
    <w:p w14:paraId="3B0CE01E" w14:textId="35CC6E20" w:rsidR="008428A1" w:rsidRPr="00183B5F" w:rsidRDefault="00943743" w:rsidP="00966731">
      <w:pPr>
        <w:numPr>
          <w:ilvl w:val="0"/>
          <w:numId w:val="55"/>
        </w:numPr>
        <w:spacing w:line="240" w:lineRule="auto"/>
        <w:ind w:right="-2"/>
        <w:rPr>
          <w:del w:id="12136" w:author="AbbVie_HU_03" w:date="2025-05-14T16:41:00Z"/>
        </w:rPr>
      </w:pPr>
      <w:del w:id="12137" w:author="AbbVie_HU_03" w:date="2025-05-14T16:41:00Z">
        <w:r w:rsidRPr="00183B5F">
          <w:delText>a szervezet védekező rendszerének betegségei, amelyek érinthetik a tüdőt, a bőrt és a nyirokcsomókat (leggyakrabban szarkoidózisként jelentkezik)</w:delText>
        </w:r>
        <w:r w:rsidR="002121F5" w:rsidRPr="00183B5F">
          <w:delText>;</w:delText>
        </w:r>
      </w:del>
    </w:p>
    <w:p w14:paraId="77FEC313" w14:textId="6302A21C" w:rsidR="00274457" w:rsidRPr="00183B5F" w:rsidRDefault="00943743" w:rsidP="00966731">
      <w:pPr>
        <w:numPr>
          <w:ilvl w:val="0"/>
          <w:numId w:val="55"/>
        </w:numPr>
        <w:spacing w:line="240" w:lineRule="auto"/>
        <w:ind w:right="-2"/>
        <w:rPr>
          <w:del w:id="12138" w:author="AbbVie_HU_03" w:date="2025-05-14T16:41:00Z"/>
        </w:rPr>
      </w:pPr>
      <w:del w:id="12139" w:author="AbbVie_HU_03" w:date="2025-05-14T16:41:00Z">
        <w:r w:rsidRPr="00183B5F">
          <w:delText>vaszkulitisz (</w:delText>
        </w:r>
        <w:r w:rsidR="00831942" w:rsidRPr="00183B5F">
          <w:delText>ér</w:delText>
        </w:r>
        <w:r w:rsidRPr="00183B5F">
          <w:delText>gyulladás)</w:delText>
        </w:r>
        <w:r w:rsidR="002121F5" w:rsidRPr="00183B5F">
          <w:delText>;</w:delText>
        </w:r>
      </w:del>
    </w:p>
    <w:p w14:paraId="038EAA7D" w14:textId="7D620A60" w:rsidR="00FB6710" w:rsidRPr="00183B5F" w:rsidRDefault="00943743" w:rsidP="00966731">
      <w:pPr>
        <w:numPr>
          <w:ilvl w:val="0"/>
          <w:numId w:val="55"/>
        </w:numPr>
        <w:spacing w:line="240" w:lineRule="auto"/>
        <w:ind w:right="-2"/>
        <w:rPr>
          <w:del w:id="12140" w:author="AbbVie_HU_03" w:date="2025-05-14T16:41:00Z"/>
        </w:rPr>
      </w:pPr>
      <w:del w:id="12141" w:author="AbbVie_HU_03" w:date="2025-05-14T16:41:00Z">
        <w:r w:rsidRPr="00183B5F">
          <w:delText>remegés</w:delText>
        </w:r>
        <w:r w:rsidR="002121F5" w:rsidRPr="00183B5F">
          <w:delText>;</w:delText>
        </w:r>
      </w:del>
    </w:p>
    <w:p w14:paraId="132F372F" w14:textId="1B0F958B" w:rsidR="008428A1" w:rsidRPr="00183B5F" w:rsidRDefault="00943743" w:rsidP="00966731">
      <w:pPr>
        <w:numPr>
          <w:ilvl w:val="0"/>
          <w:numId w:val="55"/>
        </w:numPr>
        <w:spacing w:line="240" w:lineRule="auto"/>
        <w:ind w:right="-2"/>
        <w:rPr>
          <w:del w:id="12142" w:author="AbbVie_HU_03" w:date="2025-05-14T16:41:00Z"/>
        </w:rPr>
      </w:pPr>
      <w:del w:id="12143" w:author="AbbVie_HU_03" w:date="2025-05-14T16:41:00Z">
        <w:r w:rsidRPr="00183B5F">
          <w:delText>szélütés</w:delText>
        </w:r>
        <w:r w:rsidR="002121F5" w:rsidRPr="00183B5F">
          <w:delText>;</w:delText>
        </w:r>
      </w:del>
    </w:p>
    <w:p w14:paraId="1564BB47" w14:textId="1D2A3921" w:rsidR="007C4EC5" w:rsidRPr="00183B5F" w:rsidRDefault="00943743" w:rsidP="00966731">
      <w:pPr>
        <w:numPr>
          <w:ilvl w:val="0"/>
          <w:numId w:val="55"/>
        </w:numPr>
        <w:spacing w:line="240" w:lineRule="auto"/>
        <w:ind w:right="-2"/>
        <w:rPr>
          <w:del w:id="12144" w:author="AbbVie_HU_03" w:date="2025-05-14T16:41:00Z"/>
        </w:rPr>
      </w:pPr>
      <w:del w:id="12145" w:author="AbbVie_HU_03" w:date="2025-05-14T16:41:00Z">
        <w:r w:rsidRPr="00183B5F">
          <w:delText>neuropátia (</w:delText>
        </w:r>
        <w:r w:rsidR="00FB40E2" w:rsidRPr="00183B5F">
          <w:delText>ideg</w:delText>
        </w:r>
        <w:r w:rsidR="007028D6" w:rsidRPr="00183B5F">
          <w:delText>bántalom</w:delText>
        </w:r>
        <w:r w:rsidRPr="00183B5F">
          <w:delText>)</w:delText>
        </w:r>
        <w:r w:rsidR="002121F5" w:rsidRPr="00183B5F">
          <w:delText>;</w:delText>
        </w:r>
      </w:del>
    </w:p>
    <w:p w14:paraId="547144EB" w14:textId="160E4953" w:rsidR="00FB6710" w:rsidRPr="00183B5F" w:rsidRDefault="00943743" w:rsidP="00966731">
      <w:pPr>
        <w:numPr>
          <w:ilvl w:val="0"/>
          <w:numId w:val="55"/>
        </w:numPr>
        <w:spacing w:line="240" w:lineRule="auto"/>
        <w:ind w:right="-2"/>
        <w:rPr>
          <w:del w:id="12146" w:author="AbbVie_HU_03" w:date="2025-05-14T16:41:00Z"/>
        </w:rPr>
      </w:pPr>
      <w:del w:id="12147" w:author="AbbVie_HU_03" w:date="2025-05-14T16:41:00Z">
        <w:r w:rsidRPr="00183B5F">
          <w:delText>halláscsökkenés, fülzúgás</w:delText>
        </w:r>
        <w:r w:rsidR="008172BB" w:rsidRPr="00183B5F">
          <w:delText>;</w:delText>
        </w:r>
      </w:del>
    </w:p>
    <w:p w14:paraId="186DD912" w14:textId="34147FFD" w:rsidR="00FB6710" w:rsidRPr="00183B5F" w:rsidRDefault="00943743" w:rsidP="00966731">
      <w:pPr>
        <w:numPr>
          <w:ilvl w:val="0"/>
          <w:numId w:val="55"/>
        </w:numPr>
        <w:spacing w:line="240" w:lineRule="auto"/>
        <w:ind w:right="-2"/>
        <w:rPr>
          <w:del w:id="12148" w:author="AbbVie_HU_03" w:date="2025-05-14T16:41:00Z"/>
        </w:rPr>
      </w:pPr>
      <w:del w:id="12149" w:author="AbbVie_HU_03" w:date="2025-05-14T16:41:00Z">
        <w:r w:rsidRPr="00183B5F">
          <w:delText>szabálytalan szívverés érzése, mint például kimaradó szívverés</w:delText>
        </w:r>
        <w:r w:rsidR="008172BB" w:rsidRPr="00183B5F">
          <w:delText>;</w:delText>
        </w:r>
      </w:del>
    </w:p>
    <w:p w14:paraId="492D3804" w14:textId="25C54364" w:rsidR="00FB6710" w:rsidRPr="00183B5F" w:rsidRDefault="00943743" w:rsidP="00966731">
      <w:pPr>
        <w:numPr>
          <w:ilvl w:val="0"/>
          <w:numId w:val="55"/>
        </w:numPr>
        <w:spacing w:line="240" w:lineRule="auto"/>
        <w:ind w:right="-2"/>
        <w:rPr>
          <w:del w:id="12150" w:author="AbbVie_HU_03" w:date="2025-05-14T16:41:00Z"/>
        </w:rPr>
      </w:pPr>
      <w:del w:id="12151" w:author="AbbVie_HU_03" w:date="2025-05-14T16:41:00Z">
        <w:r w:rsidRPr="00183B5F">
          <w:delText>szívproblémák, amelyek például nehézlégzést vagy bokadagadást okozhatnak</w:delText>
        </w:r>
        <w:r w:rsidR="008172BB" w:rsidRPr="00183B5F">
          <w:delText>;</w:delText>
        </w:r>
      </w:del>
    </w:p>
    <w:p w14:paraId="66CADF4C" w14:textId="26B5C9B7" w:rsidR="00804117" w:rsidRPr="00183B5F" w:rsidRDefault="00943743" w:rsidP="00966731">
      <w:pPr>
        <w:numPr>
          <w:ilvl w:val="0"/>
          <w:numId w:val="55"/>
        </w:numPr>
        <w:spacing w:line="240" w:lineRule="auto"/>
        <w:ind w:right="-2"/>
        <w:rPr>
          <w:del w:id="12152" w:author="AbbVie_HU_03" w:date="2025-05-14T16:41:00Z"/>
        </w:rPr>
      </w:pPr>
      <w:del w:id="12153" w:author="AbbVie_HU_03" w:date="2025-05-14T16:41:00Z">
        <w:r w:rsidRPr="00183B5F">
          <w:delText>szívroham</w:delText>
        </w:r>
        <w:r w:rsidR="008172BB" w:rsidRPr="00183B5F">
          <w:delText>;</w:delText>
        </w:r>
      </w:del>
    </w:p>
    <w:p w14:paraId="0FE54B64" w14:textId="3BF360AD" w:rsidR="007C4EC5" w:rsidRPr="00183B5F" w:rsidRDefault="00943743" w:rsidP="00966731">
      <w:pPr>
        <w:numPr>
          <w:ilvl w:val="0"/>
          <w:numId w:val="55"/>
        </w:numPr>
        <w:spacing w:line="240" w:lineRule="auto"/>
        <w:ind w:right="-2"/>
        <w:rPr>
          <w:del w:id="12154" w:author="AbbVie_HU_03" w:date="2025-05-14T16:41:00Z"/>
        </w:rPr>
      </w:pPr>
      <w:del w:id="12155" w:author="AbbVie_HU_03" w:date="2025-05-14T16:41:00Z">
        <w:r w:rsidRPr="00183B5F">
          <w:rPr>
            <w:szCs w:val="22"/>
          </w:rPr>
          <w:delText>zsákszerű kiöblösödés valamely nagy ütőér falán, gyulladás és vérrögképződés valamelyik vénában, érelzáródás</w:delText>
        </w:r>
        <w:r w:rsidR="008172BB" w:rsidRPr="00183B5F">
          <w:rPr>
            <w:szCs w:val="22"/>
          </w:rPr>
          <w:delText>;</w:delText>
        </w:r>
      </w:del>
    </w:p>
    <w:p w14:paraId="6A89FA91" w14:textId="5453C820" w:rsidR="008428A1" w:rsidRPr="00183B5F" w:rsidRDefault="00943743" w:rsidP="00966731">
      <w:pPr>
        <w:numPr>
          <w:ilvl w:val="0"/>
          <w:numId w:val="55"/>
        </w:numPr>
        <w:spacing w:line="240" w:lineRule="auto"/>
        <w:ind w:right="-2"/>
        <w:rPr>
          <w:del w:id="12156" w:author="AbbVie_HU_03" w:date="2025-05-14T16:41:00Z"/>
        </w:rPr>
      </w:pPr>
      <w:del w:id="12157" w:author="AbbVie_HU_03" w:date="2025-05-14T16:41:00Z">
        <w:r w:rsidRPr="00183B5F">
          <w:delText>tüdőembólia (a tüdőt ellátó ér elzáródása)</w:delText>
        </w:r>
        <w:r w:rsidR="008172BB" w:rsidRPr="00183B5F">
          <w:delText>;</w:delText>
        </w:r>
      </w:del>
    </w:p>
    <w:p w14:paraId="4A5E7234" w14:textId="01D13100" w:rsidR="008428A1" w:rsidRPr="00183B5F" w:rsidRDefault="00943743" w:rsidP="00966731">
      <w:pPr>
        <w:numPr>
          <w:ilvl w:val="0"/>
          <w:numId w:val="55"/>
        </w:numPr>
        <w:spacing w:line="240" w:lineRule="auto"/>
        <w:ind w:right="-2"/>
        <w:rPr>
          <w:del w:id="12158" w:author="AbbVie_HU_03" w:date="2025-05-14T16:41:00Z"/>
        </w:rPr>
      </w:pPr>
      <w:del w:id="12159" w:author="AbbVie_HU_03" w:date="2025-05-14T16:41:00Z">
        <w:r w:rsidRPr="00183B5F">
          <w:delText>pleurális folyadékgyülem (a mellhártyák között kóros folyadékgyülem)</w:delText>
        </w:r>
        <w:r w:rsidR="008172BB" w:rsidRPr="00183B5F">
          <w:delText>;</w:delText>
        </w:r>
      </w:del>
    </w:p>
    <w:p w14:paraId="24501374" w14:textId="2B914A0E" w:rsidR="00FB6710" w:rsidRPr="00183B5F" w:rsidRDefault="00943743" w:rsidP="00966731">
      <w:pPr>
        <w:numPr>
          <w:ilvl w:val="0"/>
          <w:numId w:val="55"/>
        </w:numPr>
        <w:spacing w:line="240" w:lineRule="auto"/>
        <w:ind w:right="-2"/>
        <w:rPr>
          <w:del w:id="12160" w:author="AbbVie_HU_03" w:date="2025-05-14T16:41:00Z"/>
        </w:rPr>
      </w:pPr>
      <w:del w:id="12161" w:author="AbbVie_HU_03" w:date="2025-05-14T16:41:00Z">
        <w:r w:rsidRPr="00183B5F">
          <w:delText>nehézlégzést okozó tüdőbetegségek (beleértve a gyulladást is)</w:delText>
        </w:r>
        <w:r w:rsidR="008172BB" w:rsidRPr="00183B5F">
          <w:delText>;</w:delText>
        </w:r>
      </w:del>
    </w:p>
    <w:p w14:paraId="2F070576" w14:textId="595CD7E3" w:rsidR="00FB6710" w:rsidRPr="00183B5F" w:rsidRDefault="00943743" w:rsidP="00966731">
      <w:pPr>
        <w:numPr>
          <w:ilvl w:val="0"/>
          <w:numId w:val="55"/>
        </w:numPr>
        <w:spacing w:line="240" w:lineRule="auto"/>
        <w:ind w:right="-2"/>
        <w:rPr>
          <w:del w:id="12162" w:author="AbbVie_HU_03" w:date="2025-05-14T16:41:00Z"/>
        </w:rPr>
      </w:pPr>
      <w:del w:id="12163" w:author="AbbVie_HU_03" w:date="2025-05-14T16:41:00Z">
        <w:r w:rsidRPr="00183B5F">
          <w:delText>hasnyálmirigy</w:delText>
        </w:r>
        <w:r w:rsidR="004538E1" w:rsidRPr="00183B5F">
          <w:noBreakHyphen/>
        </w:r>
        <w:r w:rsidRPr="00183B5F">
          <w:delText>gyulladás ami erős hasi fájdalmat és hátfájást okoz</w:delText>
        </w:r>
        <w:r w:rsidR="008172BB" w:rsidRPr="00183B5F">
          <w:delText>;</w:delText>
        </w:r>
      </w:del>
    </w:p>
    <w:p w14:paraId="3B693BCF" w14:textId="06349A23" w:rsidR="00FB6710" w:rsidRPr="00183B5F" w:rsidRDefault="00943743" w:rsidP="00966731">
      <w:pPr>
        <w:numPr>
          <w:ilvl w:val="0"/>
          <w:numId w:val="55"/>
        </w:numPr>
        <w:spacing w:line="240" w:lineRule="auto"/>
        <w:ind w:right="-2"/>
        <w:rPr>
          <w:del w:id="12164" w:author="AbbVie_HU_03" w:date="2025-05-14T16:41:00Z"/>
        </w:rPr>
      </w:pPr>
      <w:del w:id="12165" w:author="AbbVie_HU_03" w:date="2025-05-14T16:41:00Z">
        <w:r w:rsidRPr="00183B5F">
          <w:delText>nyelészavar</w:delText>
        </w:r>
        <w:r w:rsidR="008172BB" w:rsidRPr="00183B5F">
          <w:delText>;</w:delText>
        </w:r>
      </w:del>
    </w:p>
    <w:p w14:paraId="4F285A07" w14:textId="415E6460" w:rsidR="00FB6710" w:rsidRPr="00183B5F" w:rsidRDefault="00943743" w:rsidP="00966731">
      <w:pPr>
        <w:numPr>
          <w:ilvl w:val="0"/>
          <w:numId w:val="55"/>
        </w:numPr>
        <w:spacing w:line="240" w:lineRule="auto"/>
        <w:ind w:right="-2"/>
        <w:rPr>
          <w:del w:id="12166" w:author="AbbVie_HU_03" w:date="2025-05-14T16:41:00Z"/>
        </w:rPr>
      </w:pPr>
      <w:del w:id="12167" w:author="AbbVie_HU_03" w:date="2025-05-14T16:41:00Z">
        <w:r w:rsidRPr="00183B5F">
          <w:delText>az arc feldagadása</w:delText>
        </w:r>
        <w:r w:rsidR="008172BB" w:rsidRPr="00183B5F">
          <w:delText>;</w:delText>
        </w:r>
      </w:del>
    </w:p>
    <w:p w14:paraId="5A12929C" w14:textId="677572A8" w:rsidR="00FB6710" w:rsidRPr="00183B5F" w:rsidRDefault="00943743" w:rsidP="00966731">
      <w:pPr>
        <w:numPr>
          <w:ilvl w:val="0"/>
          <w:numId w:val="55"/>
        </w:numPr>
        <w:spacing w:line="240" w:lineRule="auto"/>
        <w:ind w:right="-2"/>
        <w:rPr>
          <w:del w:id="12168" w:author="AbbVie_HU_03" w:date="2025-05-14T16:41:00Z"/>
        </w:rPr>
      </w:pPr>
      <w:del w:id="12169" w:author="AbbVie_HU_03" w:date="2025-05-14T16:41:00Z">
        <w:r w:rsidRPr="00183B5F">
          <w:delText>epehólyaggyulladás, epekövesség</w:delText>
        </w:r>
        <w:r w:rsidR="008172BB" w:rsidRPr="00183B5F">
          <w:delText>;</w:delText>
        </w:r>
      </w:del>
    </w:p>
    <w:p w14:paraId="158F633C" w14:textId="23EAE17B" w:rsidR="00FB6710" w:rsidRPr="00183B5F" w:rsidRDefault="00943743" w:rsidP="00966731">
      <w:pPr>
        <w:numPr>
          <w:ilvl w:val="0"/>
          <w:numId w:val="55"/>
        </w:numPr>
        <w:spacing w:line="240" w:lineRule="auto"/>
        <w:ind w:right="-2"/>
        <w:rPr>
          <w:del w:id="12170" w:author="AbbVie_HU_03" w:date="2025-05-14T16:41:00Z"/>
        </w:rPr>
      </w:pPr>
      <w:del w:id="12171" w:author="AbbVie_HU_03" w:date="2025-05-14T16:41:00Z">
        <w:r w:rsidRPr="00183B5F">
          <w:delText>zsírmáj</w:delText>
        </w:r>
        <w:r w:rsidR="008172BB" w:rsidRPr="00183B5F">
          <w:delText>;</w:delText>
        </w:r>
      </w:del>
    </w:p>
    <w:p w14:paraId="38DEB23D" w14:textId="3B3340B6" w:rsidR="00FB6710" w:rsidRPr="00183B5F" w:rsidRDefault="00943743" w:rsidP="00966731">
      <w:pPr>
        <w:numPr>
          <w:ilvl w:val="0"/>
          <w:numId w:val="55"/>
        </w:numPr>
        <w:spacing w:line="240" w:lineRule="auto"/>
        <w:ind w:right="-2"/>
        <w:rPr>
          <w:del w:id="12172" w:author="AbbVie_HU_03" w:date="2025-05-14T16:41:00Z"/>
        </w:rPr>
      </w:pPr>
      <w:del w:id="12173" w:author="AbbVie_HU_03" w:date="2025-05-14T16:41:00Z">
        <w:r w:rsidRPr="00183B5F">
          <w:delText xml:space="preserve">éjszakai </w:delText>
        </w:r>
        <w:r w:rsidR="00794706" w:rsidRPr="00183B5F">
          <w:delText>i</w:delText>
        </w:r>
        <w:r w:rsidRPr="00183B5F">
          <w:delText>zzadás</w:delText>
        </w:r>
        <w:r w:rsidR="008172BB" w:rsidRPr="00183B5F">
          <w:delText>;</w:delText>
        </w:r>
      </w:del>
    </w:p>
    <w:p w14:paraId="5268A5E6" w14:textId="60E9E5DB" w:rsidR="00FB6710" w:rsidRPr="00183B5F" w:rsidRDefault="00943743" w:rsidP="00966731">
      <w:pPr>
        <w:numPr>
          <w:ilvl w:val="0"/>
          <w:numId w:val="55"/>
        </w:numPr>
        <w:spacing w:line="240" w:lineRule="auto"/>
        <w:ind w:right="-2"/>
        <w:rPr>
          <w:del w:id="12174" w:author="AbbVie_HU_03" w:date="2025-05-14T16:41:00Z"/>
        </w:rPr>
      </w:pPr>
      <w:del w:id="12175" w:author="AbbVie_HU_03" w:date="2025-05-14T16:41:00Z">
        <w:r w:rsidRPr="00183B5F">
          <w:delText>hegképződés</w:delText>
        </w:r>
        <w:r w:rsidR="008172BB" w:rsidRPr="00183B5F">
          <w:delText>;</w:delText>
        </w:r>
      </w:del>
    </w:p>
    <w:p w14:paraId="13B15D4C" w14:textId="040F66F0" w:rsidR="00FB6710" w:rsidRPr="00183B5F" w:rsidRDefault="00943743" w:rsidP="00966731">
      <w:pPr>
        <w:numPr>
          <w:ilvl w:val="0"/>
          <w:numId w:val="55"/>
        </w:numPr>
        <w:spacing w:line="240" w:lineRule="auto"/>
        <w:ind w:right="-2"/>
        <w:rPr>
          <w:del w:id="12176" w:author="AbbVie_HU_03" w:date="2025-05-14T16:41:00Z"/>
        </w:rPr>
      </w:pPr>
      <w:del w:id="12177" w:author="AbbVie_HU_03" w:date="2025-05-14T16:41:00Z">
        <w:r w:rsidRPr="00183B5F">
          <w:delText>az izomszövet kóros szétesése</w:delText>
        </w:r>
        <w:r w:rsidR="008172BB" w:rsidRPr="00183B5F">
          <w:delText>;</w:delText>
        </w:r>
      </w:del>
    </w:p>
    <w:p w14:paraId="1654DFF0" w14:textId="464EFF32" w:rsidR="007C4EC5" w:rsidRPr="00183B5F" w:rsidRDefault="00943743" w:rsidP="00966731">
      <w:pPr>
        <w:numPr>
          <w:ilvl w:val="0"/>
          <w:numId w:val="55"/>
        </w:numPr>
        <w:spacing w:line="240" w:lineRule="auto"/>
        <w:ind w:right="-2"/>
        <w:rPr>
          <w:del w:id="12178" w:author="AbbVie_HU_03" w:date="2025-05-14T16:41:00Z"/>
        </w:rPr>
      </w:pPr>
      <w:del w:id="12179" w:author="AbbVie_HU_03" w:date="2025-05-14T16:41:00Z">
        <w:r w:rsidRPr="00183B5F">
          <w:rPr>
            <w:szCs w:val="22"/>
          </w:rPr>
          <w:delText>szisztémás lupusz eritematózusz (beleértve a bőr, a szív, a tüdő, az ízületek és más szervrendszerek gyulladását)</w:delText>
        </w:r>
        <w:r w:rsidR="008172BB" w:rsidRPr="00183B5F">
          <w:rPr>
            <w:szCs w:val="22"/>
          </w:rPr>
          <w:delText>;</w:delText>
        </w:r>
      </w:del>
    </w:p>
    <w:p w14:paraId="511FBDEC" w14:textId="55D15EC6" w:rsidR="00FB6710" w:rsidRPr="00183B5F" w:rsidRDefault="00943743" w:rsidP="00966731">
      <w:pPr>
        <w:numPr>
          <w:ilvl w:val="0"/>
          <w:numId w:val="55"/>
        </w:numPr>
        <w:spacing w:line="240" w:lineRule="auto"/>
        <w:ind w:right="-2"/>
        <w:rPr>
          <w:del w:id="12180" w:author="AbbVie_HU_03" w:date="2025-05-14T16:41:00Z"/>
        </w:rPr>
      </w:pPr>
      <w:del w:id="12181" w:author="AbbVie_HU_03" w:date="2025-05-14T16:41:00Z">
        <w:r w:rsidRPr="00183B5F">
          <w:delText>az alvás megszakadása</w:delText>
        </w:r>
        <w:r w:rsidR="008172BB" w:rsidRPr="00183B5F">
          <w:delText>;</w:delText>
        </w:r>
      </w:del>
    </w:p>
    <w:p w14:paraId="49C5E85E" w14:textId="7DB2FC0F" w:rsidR="00FB6710" w:rsidRPr="00183B5F" w:rsidRDefault="00943743" w:rsidP="00966731">
      <w:pPr>
        <w:numPr>
          <w:ilvl w:val="0"/>
          <w:numId w:val="55"/>
        </w:numPr>
        <w:spacing w:line="240" w:lineRule="auto"/>
        <w:ind w:right="-2"/>
        <w:rPr>
          <w:del w:id="12182" w:author="AbbVie_HU_03" w:date="2025-05-14T16:41:00Z"/>
        </w:rPr>
      </w:pPr>
      <w:del w:id="12183" w:author="AbbVie_HU_03" w:date="2025-05-14T16:41:00Z">
        <w:r w:rsidRPr="00183B5F">
          <w:delText>merevedési zavar</w:delText>
        </w:r>
        <w:r w:rsidR="008172BB" w:rsidRPr="00183B5F">
          <w:delText>;</w:delText>
        </w:r>
      </w:del>
    </w:p>
    <w:p w14:paraId="48702BA0" w14:textId="09CC17CE" w:rsidR="00FB6710" w:rsidRPr="00183B5F" w:rsidRDefault="00943743" w:rsidP="00966731">
      <w:pPr>
        <w:numPr>
          <w:ilvl w:val="0"/>
          <w:numId w:val="55"/>
        </w:numPr>
        <w:tabs>
          <w:tab w:val="num" w:pos="1820"/>
        </w:tabs>
        <w:spacing w:line="240" w:lineRule="auto"/>
        <w:ind w:right="-2"/>
        <w:rPr>
          <w:del w:id="12184" w:author="AbbVie_HU_03" w:date="2025-05-14T16:41:00Z"/>
        </w:rPr>
      </w:pPr>
      <w:del w:id="12185" w:author="AbbVie_HU_03" w:date="2025-05-14T16:41:00Z">
        <w:r w:rsidRPr="00183B5F">
          <w:delText>gyulladások.</w:delText>
        </w:r>
      </w:del>
    </w:p>
    <w:p w14:paraId="12466BED" w14:textId="75B9EB6F" w:rsidR="00FB6710" w:rsidRPr="00183B5F" w:rsidRDefault="00FB6710" w:rsidP="00966731">
      <w:pPr>
        <w:spacing w:line="240" w:lineRule="auto"/>
        <w:ind w:right="-2"/>
        <w:rPr>
          <w:del w:id="12186" w:author="AbbVie_HU_03" w:date="2025-05-14T16:41:00Z"/>
          <w:szCs w:val="22"/>
        </w:rPr>
      </w:pPr>
    </w:p>
    <w:p w14:paraId="32A70B8F" w14:textId="3D5A7120" w:rsidR="00FB6710" w:rsidRPr="00183B5F" w:rsidRDefault="00943743" w:rsidP="00966731">
      <w:pPr>
        <w:spacing w:line="240" w:lineRule="auto"/>
        <w:ind w:right="-2"/>
        <w:rPr>
          <w:del w:id="12187" w:author="AbbVie_HU_03" w:date="2025-05-14T16:41:00Z"/>
          <w:szCs w:val="22"/>
        </w:rPr>
      </w:pPr>
      <w:del w:id="12188" w:author="AbbVie_HU_03" w:date="2025-05-14T16:41:00Z">
        <w:r w:rsidRPr="00183B5F">
          <w:rPr>
            <w:szCs w:val="22"/>
          </w:rPr>
          <w:delText>Ritka (1000</w:delText>
        </w:r>
        <w:r w:rsidR="005B7D8B" w:rsidRPr="00183B5F">
          <w:rPr>
            <w:szCs w:val="22"/>
          </w:rPr>
          <w:delText> </w:delText>
        </w:r>
        <w:r w:rsidR="004418CD" w:rsidRPr="00183B5F">
          <w:rPr>
            <w:szCs w:val="22"/>
          </w:rPr>
          <w:delText>beteg</w:delText>
        </w:r>
        <w:r w:rsidR="006F1BCC" w:rsidRPr="00183B5F">
          <w:rPr>
            <w:szCs w:val="22"/>
          </w:rPr>
          <w:delText xml:space="preserve"> </w:delText>
        </w:r>
        <w:r w:rsidRPr="00183B5F">
          <w:rPr>
            <w:szCs w:val="22"/>
          </w:rPr>
          <w:delText xml:space="preserve">közül </w:delText>
        </w:r>
        <w:r w:rsidR="006F1BCC" w:rsidRPr="00183B5F">
          <w:rPr>
            <w:szCs w:val="22"/>
          </w:rPr>
          <w:delText>legfeljebb</w:delText>
        </w:r>
        <w:r w:rsidRPr="00183B5F">
          <w:rPr>
            <w:szCs w:val="22"/>
          </w:rPr>
          <w:delText xml:space="preserve"> 1</w:delText>
        </w:r>
        <w:r w:rsidR="005B7D8B" w:rsidRPr="00183B5F">
          <w:rPr>
            <w:szCs w:val="22"/>
          </w:rPr>
          <w:noBreakHyphen/>
        </w:r>
        <w:r w:rsidR="006F1BCC" w:rsidRPr="00183B5F">
          <w:rPr>
            <w:szCs w:val="22"/>
          </w:rPr>
          <w:delText>nél</w:delText>
        </w:r>
        <w:r w:rsidRPr="00183B5F">
          <w:rPr>
            <w:szCs w:val="22"/>
          </w:rPr>
          <w:delText xml:space="preserve"> kialakuló)</w:delText>
        </w:r>
      </w:del>
    </w:p>
    <w:p w14:paraId="4D734A16" w14:textId="51B2B636" w:rsidR="008172BB" w:rsidRPr="00183B5F" w:rsidRDefault="008172BB" w:rsidP="00966731">
      <w:pPr>
        <w:spacing w:line="240" w:lineRule="auto"/>
        <w:ind w:right="-2"/>
        <w:rPr>
          <w:del w:id="12189" w:author="AbbVie_HU_03" w:date="2025-05-14T16:41:00Z"/>
          <w:szCs w:val="22"/>
        </w:rPr>
      </w:pPr>
    </w:p>
    <w:p w14:paraId="5AEDFF5D" w14:textId="62BB623C" w:rsidR="008428A1" w:rsidRPr="00183B5F" w:rsidRDefault="00943743" w:rsidP="00966731">
      <w:pPr>
        <w:numPr>
          <w:ilvl w:val="0"/>
          <w:numId w:val="55"/>
        </w:numPr>
        <w:spacing w:line="240" w:lineRule="auto"/>
        <w:ind w:right="-2"/>
        <w:rPr>
          <w:del w:id="12190" w:author="AbbVie_HU_03" w:date="2025-05-14T16:41:00Z"/>
          <w:szCs w:val="22"/>
        </w:rPr>
      </w:pPr>
      <w:del w:id="12191" w:author="AbbVie_HU_03" w:date="2025-05-14T16:41:00Z">
        <w:r w:rsidRPr="00183B5F">
          <w:rPr>
            <w:szCs w:val="22"/>
          </w:rPr>
          <w:delText>leukémia (</w:delText>
        </w:r>
        <w:r w:rsidR="00FB31A7" w:rsidRPr="00183B5F">
          <w:rPr>
            <w:szCs w:val="22"/>
          </w:rPr>
          <w:delText xml:space="preserve">fehérvérűség, </w:delText>
        </w:r>
        <w:r w:rsidRPr="00183B5F">
          <w:rPr>
            <w:szCs w:val="22"/>
          </w:rPr>
          <w:delText>a vérképző rendszer daganata, ami a csontvelőt érinti)</w:delText>
        </w:r>
        <w:r w:rsidR="008172BB" w:rsidRPr="00183B5F">
          <w:rPr>
            <w:szCs w:val="22"/>
          </w:rPr>
          <w:delText>;</w:delText>
        </w:r>
      </w:del>
    </w:p>
    <w:p w14:paraId="776A76A9" w14:textId="59C6F9E4" w:rsidR="008428A1" w:rsidRPr="00183B5F" w:rsidRDefault="00943743" w:rsidP="00966731">
      <w:pPr>
        <w:numPr>
          <w:ilvl w:val="0"/>
          <w:numId w:val="58"/>
        </w:numPr>
        <w:spacing w:line="240" w:lineRule="auto"/>
        <w:ind w:right="-2"/>
        <w:rPr>
          <w:del w:id="12192" w:author="AbbVie_HU_03" w:date="2025-05-14T16:41:00Z"/>
          <w:szCs w:val="22"/>
        </w:rPr>
      </w:pPr>
      <w:del w:id="12193" w:author="AbbVie_HU_03" w:date="2025-05-14T16:41:00Z">
        <w:r w:rsidRPr="00183B5F">
          <w:rPr>
            <w:szCs w:val="22"/>
          </w:rPr>
          <w:delText>súlyos, sokkot okozó allergiás reakció</w:delText>
        </w:r>
        <w:r w:rsidR="008172BB" w:rsidRPr="00183B5F">
          <w:rPr>
            <w:szCs w:val="22"/>
          </w:rPr>
          <w:delText>;</w:delText>
        </w:r>
      </w:del>
    </w:p>
    <w:p w14:paraId="4A573678" w14:textId="2089BF43" w:rsidR="00FB6710" w:rsidRPr="00183B5F" w:rsidRDefault="00943743" w:rsidP="00966731">
      <w:pPr>
        <w:numPr>
          <w:ilvl w:val="0"/>
          <w:numId w:val="58"/>
        </w:numPr>
        <w:spacing w:line="240" w:lineRule="auto"/>
        <w:ind w:right="-2"/>
        <w:rPr>
          <w:del w:id="12194" w:author="AbbVie_HU_03" w:date="2025-05-14T16:41:00Z"/>
          <w:szCs w:val="22"/>
        </w:rPr>
      </w:pPr>
      <w:del w:id="12195" w:author="AbbVie_HU_03" w:date="2025-05-14T16:41:00Z">
        <w:r w:rsidRPr="00183B5F">
          <w:rPr>
            <w:szCs w:val="22"/>
          </w:rPr>
          <w:delText>szklerózis multiplex</w:delText>
        </w:r>
        <w:r w:rsidR="008172BB" w:rsidRPr="00183B5F">
          <w:rPr>
            <w:szCs w:val="22"/>
          </w:rPr>
          <w:delText>;</w:delText>
        </w:r>
      </w:del>
    </w:p>
    <w:p w14:paraId="0ED163DA" w14:textId="165004F0" w:rsidR="008428A1" w:rsidRPr="00183B5F" w:rsidRDefault="00943743" w:rsidP="00966731">
      <w:pPr>
        <w:numPr>
          <w:ilvl w:val="0"/>
          <w:numId w:val="58"/>
        </w:numPr>
        <w:spacing w:line="240" w:lineRule="auto"/>
        <w:ind w:right="-2"/>
        <w:rPr>
          <w:del w:id="12196" w:author="AbbVie_HU_03" w:date="2025-05-14T16:41:00Z"/>
          <w:szCs w:val="22"/>
        </w:rPr>
      </w:pPr>
      <w:del w:id="12197" w:author="AbbVie_HU_03" w:date="2025-05-14T16:41:00Z">
        <w:r w:rsidRPr="00183B5F">
          <w:rPr>
            <w:szCs w:val="22"/>
          </w:rPr>
          <w:delText>ideggyógyászati betegségek (</w:delText>
        </w:r>
        <w:r w:rsidR="00F15477" w:rsidRPr="00183B5F">
          <w:rPr>
            <w:bCs/>
            <w:szCs w:val="22"/>
          </w:rPr>
          <w:delText>például</w:delText>
        </w:r>
        <w:r w:rsidRPr="00183B5F">
          <w:rPr>
            <w:szCs w:val="22"/>
          </w:rPr>
          <w:delText xml:space="preserve"> a látóideg gyulladása vagy Guilla</w:delText>
        </w:r>
        <w:r w:rsidR="003C598B" w:rsidRPr="00183B5F">
          <w:rPr>
            <w:szCs w:val="22"/>
          </w:rPr>
          <w:delText>i</w:delText>
        </w:r>
        <w:r w:rsidRPr="00183B5F">
          <w:rPr>
            <w:szCs w:val="22"/>
          </w:rPr>
          <w:delText>n</w:delText>
        </w:r>
        <w:r w:rsidR="00F12F0A" w:rsidRPr="00183B5F">
          <w:rPr>
            <w:szCs w:val="22"/>
          </w:rPr>
          <w:delText>–</w:delText>
        </w:r>
        <w:r w:rsidRPr="00183B5F">
          <w:rPr>
            <w:szCs w:val="22"/>
          </w:rPr>
          <w:delText xml:space="preserve">Barré-szindróma, ami izomgyengeséget, érzészavart, a karok és a </w:delText>
        </w:r>
        <w:r w:rsidR="00722F59" w:rsidRPr="00183B5F">
          <w:rPr>
            <w:szCs w:val="22"/>
          </w:rPr>
          <w:delText>felsőtest</w:delText>
        </w:r>
        <w:r w:rsidRPr="00183B5F">
          <w:rPr>
            <w:szCs w:val="22"/>
          </w:rPr>
          <w:delText xml:space="preserve"> zsibbadását okozhatja)</w:delText>
        </w:r>
        <w:r w:rsidR="008172BB" w:rsidRPr="00183B5F">
          <w:rPr>
            <w:szCs w:val="22"/>
          </w:rPr>
          <w:delText>;</w:delText>
        </w:r>
      </w:del>
    </w:p>
    <w:p w14:paraId="11F055E6" w14:textId="0825B170" w:rsidR="00FB6710" w:rsidRPr="00183B5F" w:rsidRDefault="00943743" w:rsidP="00966731">
      <w:pPr>
        <w:numPr>
          <w:ilvl w:val="0"/>
          <w:numId w:val="58"/>
        </w:numPr>
        <w:spacing w:line="240" w:lineRule="auto"/>
        <w:ind w:right="-2"/>
        <w:rPr>
          <w:del w:id="12198" w:author="AbbVie_HU_03" w:date="2025-05-14T16:41:00Z"/>
          <w:szCs w:val="22"/>
        </w:rPr>
      </w:pPr>
      <w:del w:id="12199" w:author="AbbVie_HU_03" w:date="2025-05-14T16:41:00Z">
        <w:r w:rsidRPr="00183B5F">
          <w:rPr>
            <w:szCs w:val="22"/>
          </w:rPr>
          <w:delText>szívleállás</w:delText>
        </w:r>
        <w:r w:rsidR="008172BB" w:rsidRPr="00183B5F">
          <w:rPr>
            <w:szCs w:val="22"/>
          </w:rPr>
          <w:delText>;</w:delText>
        </w:r>
      </w:del>
    </w:p>
    <w:p w14:paraId="4C1C18C5" w14:textId="33620192" w:rsidR="00F56C4D" w:rsidRPr="00183B5F" w:rsidRDefault="00943743" w:rsidP="00966731">
      <w:pPr>
        <w:pStyle w:val="EMEABullet2"/>
        <w:tabs>
          <w:tab w:val="clear" w:pos="720"/>
          <w:tab w:val="num" w:pos="690"/>
        </w:tabs>
        <w:ind w:left="550" w:hanging="550"/>
        <w:rPr>
          <w:del w:id="12200" w:author="AbbVie_HU_03" w:date="2025-05-14T16:41:00Z"/>
          <w:lang w:val="hu-HU"/>
        </w:rPr>
      </w:pPr>
      <w:del w:id="12201" w:author="AbbVie_HU_03" w:date="2025-05-14T16:41:00Z">
        <w:r w:rsidRPr="00183B5F">
          <w:rPr>
            <w:lang w:val="hu-HU"/>
          </w:rPr>
          <w:delText>tüdőfibrózis (tüdőhegesedés)</w:delText>
        </w:r>
        <w:r w:rsidR="008172BB" w:rsidRPr="00183B5F">
          <w:rPr>
            <w:lang w:val="hu-HU"/>
          </w:rPr>
          <w:delText>;</w:delText>
        </w:r>
      </w:del>
    </w:p>
    <w:p w14:paraId="6CEF0A97" w14:textId="3F2B6BEE" w:rsidR="00F56C4D" w:rsidRPr="00183B5F" w:rsidRDefault="00943743" w:rsidP="00966731">
      <w:pPr>
        <w:pStyle w:val="EMEABullet2"/>
        <w:tabs>
          <w:tab w:val="clear" w:pos="720"/>
          <w:tab w:val="num" w:pos="690"/>
        </w:tabs>
        <w:ind w:left="550" w:hanging="550"/>
        <w:rPr>
          <w:del w:id="12202" w:author="AbbVie_HU_03" w:date="2025-05-14T16:41:00Z"/>
          <w:lang w:val="hu-HU"/>
        </w:rPr>
      </w:pPr>
      <w:del w:id="12203" w:author="AbbVie_HU_03" w:date="2025-05-14T16:41:00Z">
        <w:r w:rsidRPr="00183B5F">
          <w:rPr>
            <w:lang w:val="hu-HU"/>
          </w:rPr>
          <w:delText>bél átlyukadása</w:delText>
        </w:r>
        <w:r w:rsidR="008172BB" w:rsidRPr="00183B5F">
          <w:rPr>
            <w:lang w:val="hu-HU"/>
          </w:rPr>
          <w:delText>;</w:delText>
        </w:r>
      </w:del>
    </w:p>
    <w:p w14:paraId="29763892" w14:textId="2F03A464" w:rsidR="006F1BCC" w:rsidRPr="00183B5F" w:rsidRDefault="00943743" w:rsidP="00966731">
      <w:pPr>
        <w:pStyle w:val="EMEABullet2"/>
        <w:tabs>
          <w:tab w:val="clear" w:pos="720"/>
          <w:tab w:val="num" w:pos="690"/>
        </w:tabs>
        <w:ind w:left="550" w:hanging="550"/>
        <w:rPr>
          <w:del w:id="12204" w:author="AbbVie_HU_03" w:date="2025-05-14T16:41:00Z"/>
          <w:lang w:val="hu-HU"/>
        </w:rPr>
      </w:pPr>
      <w:del w:id="12205" w:author="AbbVie_HU_03" w:date="2025-05-14T16:41:00Z">
        <w:r w:rsidRPr="00183B5F">
          <w:rPr>
            <w:lang w:val="hu-HU"/>
          </w:rPr>
          <w:delText>májgyulladás</w:delText>
        </w:r>
        <w:r w:rsidR="008172BB" w:rsidRPr="00183B5F">
          <w:rPr>
            <w:lang w:val="hu-HU"/>
          </w:rPr>
          <w:delText>;</w:delText>
        </w:r>
      </w:del>
    </w:p>
    <w:p w14:paraId="3764FA4D" w14:textId="24A66556" w:rsidR="00F56C4D" w:rsidRPr="00183B5F" w:rsidRDefault="00943743" w:rsidP="00966731">
      <w:pPr>
        <w:pStyle w:val="EMEABullet2"/>
        <w:tabs>
          <w:tab w:val="clear" w:pos="720"/>
          <w:tab w:val="num" w:pos="690"/>
        </w:tabs>
        <w:ind w:left="550" w:hanging="550"/>
        <w:rPr>
          <w:del w:id="12206" w:author="AbbVie_HU_03" w:date="2025-05-14T16:41:00Z"/>
          <w:lang w:val="hu-HU"/>
        </w:rPr>
      </w:pPr>
      <w:del w:id="12207" w:author="AbbVie_HU_03" w:date="2025-05-14T16:41:00Z">
        <w:r w:rsidRPr="00183B5F">
          <w:rPr>
            <w:lang w:val="hu-HU"/>
          </w:rPr>
          <w:delText>B típusú fertőző májgyulladás kiújulása</w:delText>
        </w:r>
        <w:r w:rsidR="008172BB" w:rsidRPr="00183B5F">
          <w:rPr>
            <w:lang w:val="hu-HU"/>
          </w:rPr>
          <w:delText>;</w:delText>
        </w:r>
      </w:del>
    </w:p>
    <w:p w14:paraId="37E33DD4" w14:textId="617FDBD3" w:rsidR="008736EE" w:rsidRPr="00183B5F" w:rsidRDefault="00943743" w:rsidP="00966731">
      <w:pPr>
        <w:pStyle w:val="EMEABullet2"/>
        <w:ind w:left="550" w:hanging="550"/>
        <w:rPr>
          <w:del w:id="12208" w:author="AbbVie_HU_03" w:date="2025-05-14T16:41:00Z"/>
          <w:szCs w:val="22"/>
          <w:lang w:val="hu-HU"/>
        </w:rPr>
      </w:pPr>
      <w:del w:id="12209" w:author="AbbVie_HU_03" w:date="2025-05-14T16:41:00Z">
        <w:r w:rsidRPr="00183B5F">
          <w:rPr>
            <w:lang w:val="hu-HU"/>
          </w:rPr>
          <w:delText>autoimmun májgyulladás (a máj gyulladása, melyet a saját immunrendszer vált ki)</w:delText>
        </w:r>
        <w:r w:rsidR="008172BB" w:rsidRPr="00183B5F">
          <w:rPr>
            <w:lang w:val="hu-HU"/>
          </w:rPr>
          <w:delText>;</w:delText>
        </w:r>
      </w:del>
    </w:p>
    <w:p w14:paraId="23C7D066" w14:textId="1C86C51A" w:rsidR="00F56C4D" w:rsidRPr="00183B5F" w:rsidRDefault="00943743" w:rsidP="00966731">
      <w:pPr>
        <w:pStyle w:val="EMEABullet2"/>
        <w:tabs>
          <w:tab w:val="clear" w:pos="720"/>
          <w:tab w:val="num" w:pos="690"/>
        </w:tabs>
        <w:ind w:left="550" w:hanging="550"/>
        <w:rPr>
          <w:del w:id="12210" w:author="AbbVie_HU_03" w:date="2025-05-14T16:41:00Z"/>
          <w:szCs w:val="22"/>
          <w:lang w:val="hu-HU"/>
        </w:rPr>
      </w:pPr>
      <w:del w:id="12211" w:author="AbbVie_HU_03" w:date="2025-05-14T16:41:00Z">
        <w:r w:rsidRPr="00183B5F">
          <w:rPr>
            <w:szCs w:val="22"/>
            <w:lang w:val="hu-HU"/>
          </w:rPr>
          <w:delText>kután vaszkulitisz (a bőrben található erek gyulladása)</w:delText>
        </w:r>
        <w:r w:rsidR="008172BB" w:rsidRPr="00183B5F">
          <w:rPr>
            <w:szCs w:val="22"/>
            <w:lang w:val="hu-HU"/>
          </w:rPr>
          <w:delText>;</w:delText>
        </w:r>
      </w:del>
    </w:p>
    <w:p w14:paraId="43929F7D" w14:textId="646E0C2E" w:rsidR="00F56C4D" w:rsidRPr="00183B5F" w:rsidRDefault="00943743" w:rsidP="00966731">
      <w:pPr>
        <w:pStyle w:val="EMEABullet2"/>
        <w:tabs>
          <w:tab w:val="clear" w:pos="720"/>
          <w:tab w:val="num" w:pos="690"/>
        </w:tabs>
        <w:ind w:left="550" w:hanging="550"/>
        <w:rPr>
          <w:del w:id="12212" w:author="AbbVie_HU_03" w:date="2025-05-14T16:41:00Z"/>
          <w:szCs w:val="22"/>
          <w:lang w:val="hu-HU"/>
        </w:rPr>
      </w:pPr>
      <w:del w:id="12213" w:author="AbbVie_HU_03" w:date="2025-05-14T16:41:00Z">
        <w:r w:rsidRPr="00183B5F">
          <w:rPr>
            <w:szCs w:val="22"/>
            <w:lang w:val="hu-HU"/>
          </w:rPr>
          <w:delText>Stevens</w:delText>
        </w:r>
        <w:r w:rsidR="00004B4F" w:rsidRPr="00183B5F">
          <w:rPr>
            <w:szCs w:val="22"/>
            <w:lang w:val="hu-HU"/>
          </w:rPr>
          <w:delText>–</w:delText>
        </w:r>
        <w:r w:rsidRPr="00183B5F">
          <w:rPr>
            <w:szCs w:val="22"/>
            <w:lang w:val="hu-HU"/>
          </w:rPr>
          <w:delText>Johnson-szindróma (korai tünetei a rossz közérzet, láz, fejfájás és bőrkiütés)</w:delText>
        </w:r>
        <w:r w:rsidR="008172BB" w:rsidRPr="00183B5F">
          <w:rPr>
            <w:szCs w:val="22"/>
            <w:lang w:val="hu-HU"/>
          </w:rPr>
          <w:delText>;</w:delText>
        </w:r>
      </w:del>
    </w:p>
    <w:p w14:paraId="6AFD4E5B" w14:textId="2253B09F" w:rsidR="00F56C4D" w:rsidRPr="00183B5F" w:rsidRDefault="00943743" w:rsidP="00966731">
      <w:pPr>
        <w:pStyle w:val="EMEABullet2"/>
        <w:tabs>
          <w:tab w:val="clear" w:pos="720"/>
          <w:tab w:val="num" w:pos="690"/>
        </w:tabs>
        <w:ind w:left="550" w:hanging="550"/>
        <w:rPr>
          <w:del w:id="12214" w:author="AbbVie_HU_03" w:date="2025-05-14T16:41:00Z"/>
          <w:szCs w:val="22"/>
          <w:lang w:val="hu-HU"/>
        </w:rPr>
      </w:pPr>
      <w:del w:id="12215" w:author="AbbVie_HU_03" w:date="2025-05-14T16:41:00Z">
        <w:r w:rsidRPr="00183B5F">
          <w:rPr>
            <w:szCs w:val="22"/>
            <w:lang w:val="hu-HU"/>
          </w:rPr>
          <w:delText>arcduzzanat, amit allergiás reakció kísér</w:delText>
        </w:r>
        <w:r w:rsidR="008172BB" w:rsidRPr="00183B5F">
          <w:rPr>
            <w:szCs w:val="22"/>
            <w:lang w:val="hu-HU"/>
          </w:rPr>
          <w:delText>;</w:delText>
        </w:r>
      </w:del>
    </w:p>
    <w:p w14:paraId="12B3F1FF" w14:textId="02856360" w:rsidR="00F56C4D" w:rsidRPr="00183B5F" w:rsidRDefault="00943743" w:rsidP="00966731">
      <w:pPr>
        <w:numPr>
          <w:ilvl w:val="0"/>
          <w:numId w:val="68"/>
        </w:numPr>
        <w:suppressAutoHyphens w:val="0"/>
        <w:autoSpaceDE w:val="0"/>
        <w:autoSpaceDN w:val="0"/>
        <w:adjustRightInd w:val="0"/>
        <w:spacing w:line="240" w:lineRule="auto"/>
        <w:rPr>
          <w:del w:id="12216" w:author="AbbVie_HU_03" w:date="2025-05-14T16:41:00Z"/>
          <w:szCs w:val="22"/>
          <w:lang w:eastAsia="de-DE"/>
        </w:rPr>
      </w:pPr>
      <w:del w:id="12217" w:author="AbbVie_HU_03" w:date="2025-05-14T16:41:00Z">
        <w:r w:rsidRPr="00183B5F">
          <w:rPr>
            <w:szCs w:val="22"/>
          </w:rPr>
          <w:delText>eritéma multiforme (gyulladásos bőrkiütés)</w:delText>
        </w:r>
        <w:r w:rsidR="008172BB" w:rsidRPr="00183B5F">
          <w:rPr>
            <w:szCs w:val="22"/>
          </w:rPr>
          <w:delText>;</w:delText>
        </w:r>
      </w:del>
    </w:p>
    <w:p w14:paraId="1C577DB5" w14:textId="49B9965F" w:rsidR="00CF23F3" w:rsidRPr="00183B5F" w:rsidRDefault="00943743" w:rsidP="00966731">
      <w:pPr>
        <w:numPr>
          <w:ilvl w:val="0"/>
          <w:numId w:val="68"/>
        </w:numPr>
        <w:spacing w:line="240" w:lineRule="auto"/>
        <w:ind w:right="-2"/>
        <w:rPr>
          <w:del w:id="12218" w:author="AbbVie_HU_03" w:date="2025-05-14T16:41:00Z"/>
          <w:szCs w:val="22"/>
        </w:rPr>
      </w:pPr>
      <w:del w:id="12219" w:author="AbbVie_HU_03" w:date="2025-05-14T16:41:00Z">
        <w:r w:rsidRPr="00183B5F">
          <w:rPr>
            <w:szCs w:val="22"/>
          </w:rPr>
          <w:delText>lupusz-szerű szindróma;</w:delText>
        </w:r>
      </w:del>
    </w:p>
    <w:p w14:paraId="637E59D3" w14:textId="49F1EF22" w:rsidR="00180A2E" w:rsidRPr="00183B5F" w:rsidRDefault="00943743" w:rsidP="00966731">
      <w:pPr>
        <w:numPr>
          <w:ilvl w:val="0"/>
          <w:numId w:val="68"/>
        </w:numPr>
        <w:spacing w:line="240" w:lineRule="auto"/>
        <w:ind w:right="-2"/>
        <w:rPr>
          <w:del w:id="12220" w:author="AbbVie_HU_03" w:date="2025-05-14T16:41:00Z"/>
          <w:szCs w:val="22"/>
        </w:rPr>
      </w:pPr>
      <w:del w:id="12221" w:author="AbbVie_HU_03" w:date="2025-05-14T16:41:00Z">
        <w:r w:rsidRPr="00183B5F">
          <w:rPr>
            <w:szCs w:val="22"/>
          </w:rPr>
          <w:delText>angioödéma (helyi bőrduzzanat);</w:delText>
        </w:r>
      </w:del>
    </w:p>
    <w:p w14:paraId="0148E207" w14:textId="7F0F321F" w:rsidR="00FB6710" w:rsidRPr="00183B5F" w:rsidRDefault="00943743" w:rsidP="00966731">
      <w:pPr>
        <w:numPr>
          <w:ilvl w:val="0"/>
          <w:numId w:val="68"/>
        </w:numPr>
        <w:spacing w:line="240" w:lineRule="auto"/>
        <w:ind w:right="-2"/>
        <w:rPr>
          <w:del w:id="12222" w:author="AbbVie_HU_03" w:date="2025-05-14T16:41:00Z"/>
          <w:szCs w:val="22"/>
        </w:rPr>
      </w:pPr>
      <w:del w:id="12223" w:author="AbbVie_HU_03" w:date="2025-05-14T16:41:00Z">
        <w:r w:rsidRPr="00183B5F">
          <w:rPr>
            <w:szCs w:val="22"/>
          </w:rPr>
          <w:delText>lichenoid bőrreakció (viszkető</w:delText>
        </w:r>
        <w:r w:rsidR="00464295" w:rsidRPr="00183B5F">
          <w:rPr>
            <w:szCs w:val="22"/>
          </w:rPr>
          <w:delText>,</w:delText>
        </w:r>
        <w:r w:rsidRPr="00183B5F">
          <w:rPr>
            <w:szCs w:val="22"/>
          </w:rPr>
          <w:delText xml:space="preserve"> </w:delText>
        </w:r>
        <w:r w:rsidR="007865CD" w:rsidRPr="00183B5F">
          <w:rPr>
            <w:szCs w:val="22"/>
          </w:rPr>
          <w:delText>vöröses</w:delText>
        </w:r>
        <w:r w:rsidRPr="00183B5F">
          <w:rPr>
            <w:szCs w:val="22"/>
          </w:rPr>
          <w:delText>-lilás bőrkiütés).</w:delText>
        </w:r>
      </w:del>
    </w:p>
    <w:p w14:paraId="6413C902" w14:textId="0502D96F" w:rsidR="00FB6710" w:rsidRPr="00183B5F" w:rsidRDefault="00FB6710" w:rsidP="00966731">
      <w:pPr>
        <w:suppressAutoHyphens w:val="0"/>
        <w:autoSpaceDE w:val="0"/>
        <w:autoSpaceDN w:val="0"/>
        <w:adjustRightInd w:val="0"/>
        <w:spacing w:line="240" w:lineRule="auto"/>
        <w:rPr>
          <w:del w:id="12224" w:author="AbbVie_HU_03" w:date="2025-05-14T16:41:00Z"/>
          <w:szCs w:val="22"/>
          <w:lang w:eastAsia="de-DE"/>
        </w:rPr>
      </w:pPr>
    </w:p>
    <w:p w14:paraId="661340D8" w14:textId="1D0873EE" w:rsidR="009E2229" w:rsidRPr="00183B5F" w:rsidRDefault="00943743" w:rsidP="00966731">
      <w:pPr>
        <w:spacing w:line="240" w:lineRule="auto"/>
        <w:ind w:right="-2"/>
        <w:rPr>
          <w:del w:id="12225" w:author="AbbVie_HU_03" w:date="2025-05-14T16:41:00Z"/>
          <w:szCs w:val="22"/>
        </w:rPr>
      </w:pPr>
      <w:del w:id="12226" w:author="AbbVie_HU_03" w:date="2025-05-14T16:41:00Z">
        <w:r w:rsidRPr="00183B5F">
          <w:rPr>
            <w:szCs w:val="22"/>
          </w:rPr>
          <w:delText xml:space="preserve">Nem ismert (a </w:delText>
        </w:r>
        <w:r w:rsidR="00004B4F" w:rsidRPr="00183B5F">
          <w:rPr>
            <w:szCs w:val="22"/>
          </w:rPr>
          <w:delText xml:space="preserve">gyakoriság a </w:delText>
        </w:r>
        <w:r w:rsidRPr="00183B5F">
          <w:rPr>
            <w:szCs w:val="22"/>
          </w:rPr>
          <w:delText>rendelkezésre álló adatokból nem állapítható meg)</w:delText>
        </w:r>
      </w:del>
    </w:p>
    <w:p w14:paraId="0BAB9216" w14:textId="68542CBA" w:rsidR="008172BB" w:rsidRPr="00183B5F" w:rsidRDefault="008172BB" w:rsidP="00966731">
      <w:pPr>
        <w:spacing w:line="240" w:lineRule="auto"/>
        <w:ind w:right="-2"/>
        <w:rPr>
          <w:del w:id="12227" w:author="AbbVie_HU_03" w:date="2025-05-14T16:41:00Z"/>
          <w:szCs w:val="22"/>
        </w:rPr>
      </w:pPr>
    </w:p>
    <w:p w14:paraId="501013E2" w14:textId="35357CA2" w:rsidR="009E2229" w:rsidRPr="00183B5F" w:rsidRDefault="00943743" w:rsidP="00966731">
      <w:pPr>
        <w:numPr>
          <w:ilvl w:val="0"/>
          <w:numId w:val="106"/>
        </w:numPr>
        <w:spacing w:line="240" w:lineRule="auto"/>
        <w:ind w:left="567" w:right="-2" w:hanging="567"/>
        <w:rPr>
          <w:del w:id="12228" w:author="AbbVie_HU_03" w:date="2025-05-14T16:41:00Z"/>
          <w:szCs w:val="22"/>
        </w:rPr>
      </w:pPr>
      <w:del w:id="12229" w:author="AbbVie_HU_03" w:date="2025-05-14T16:41:00Z">
        <w:r w:rsidRPr="00183B5F">
          <w:rPr>
            <w:szCs w:val="22"/>
          </w:rPr>
          <w:delText>hepatoszplénikus T</w:delText>
        </w:r>
        <w:r w:rsidR="005B7D8B" w:rsidRPr="00183B5F">
          <w:rPr>
            <w:szCs w:val="22"/>
          </w:rPr>
          <w:noBreakHyphen/>
        </w:r>
        <w:r w:rsidRPr="00183B5F">
          <w:rPr>
            <w:szCs w:val="22"/>
          </w:rPr>
          <w:delText>sejtes limfóma (ritka vérrák, ami gyakran halálos kimenetelű)</w:delText>
        </w:r>
        <w:r w:rsidR="008172BB" w:rsidRPr="00183B5F">
          <w:rPr>
            <w:szCs w:val="22"/>
          </w:rPr>
          <w:delText>;</w:delText>
        </w:r>
      </w:del>
    </w:p>
    <w:p w14:paraId="13D7A04B" w14:textId="2C7C34F7" w:rsidR="009E2229" w:rsidRPr="00183B5F" w:rsidRDefault="00943743" w:rsidP="00966731">
      <w:pPr>
        <w:numPr>
          <w:ilvl w:val="0"/>
          <w:numId w:val="106"/>
        </w:numPr>
        <w:spacing w:line="240" w:lineRule="auto"/>
        <w:ind w:left="567" w:right="-2" w:hanging="567"/>
        <w:rPr>
          <w:del w:id="12230" w:author="AbbVie_HU_03" w:date="2025-05-14T16:41:00Z"/>
          <w:szCs w:val="22"/>
        </w:rPr>
      </w:pPr>
      <w:del w:id="12231" w:author="AbbVie_HU_03" w:date="2025-05-14T16:41:00Z">
        <w:r w:rsidRPr="00183B5F">
          <w:rPr>
            <w:szCs w:val="22"/>
          </w:rPr>
          <w:delText>Merkel</w:delText>
        </w:r>
        <w:r w:rsidRPr="00183B5F">
          <w:rPr>
            <w:szCs w:val="22"/>
          </w:rPr>
          <w:noBreakHyphen/>
          <w:delText>sejtes karcinóma (bőrrák egyik típusa)</w:delText>
        </w:r>
        <w:r w:rsidR="008172BB" w:rsidRPr="00183B5F">
          <w:rPr>
            <w:szCs w:val="22"/>
          </w:rPr>
          <w:delText>;</w:delText>
        </w:r>
      </w:del>
    </w:p>
    <w:p w14:paraId="522D12E5" w14:textId="4E64364E" w:rsidR="00874034" w:rsidRPr="00183B5F" w:rsidRDefault="00943743" w:rsidP="00966731">
      <w:pPr>
        <w:numPr>
          <w:ilvl w:val="0"/>
          <w:numId w:val="106"/>
        </w:numPr>
        <w:spacing w:line="240" w:lineRule="auto"/>
        <w:ind w:left="567" w:right="-2" w:hanging="567"/>
        <w:rPr>
          <w:del w:id="12232" w:author="AbbVie_HU_03" w:date="2025-05-14T16:41:00Z"/>
          <w:szCs w:val="22"/>
        </w:rPr>
      </w:pPr>
      <w:del w:id="12233" w:author="AbbVie_HU_03" w:date="2025-05-14T16:41:00Z">
        <w:r w:rsidRPr="00183B5F">
          <w:rPr>
            <w:szCs w:val="22"/>
          </w:rPr>
          <w:delText>Kaposi-szarkóma, a 8-as típusú humán herpeszvírus fertőzéssel járó ritka daganatos megbetegedés. A Kaposi-szarkóma leggyakrabban a bőrön jelenik meg lila elváltozások formájában;</w:delText>
        </w:r>
      </w:del>
    </w:p>
    <w:p w14:paraId="263AB721" w14:textId="2E7DECE3" w:rsidR="003821F6" w:rsidRPr="00183B5F" w:rsidRDefault="00943743" w:rsidP="00966731">
      <w:pPr>
        <w:numPr>
          <w:ilvl w:val="0"/>
          <w:numId w:val="106"/>
        </w:numPr>
        <w:spacing w:line="240" w:lineRule="auto"/>
        <w:ind w:left="567" w:right="-2" w:hanging="567"/>
        <w:rPr>
          <w:del w:id="12234" w:author="AbbVie_HU_03" w:date="2025-05-14T16:41:00Z"/>
          <w:szCs w:val="22"/>
        </w:rPr>
      </w:pPr>
      <w:del w:id="12235" w:author="AbbVie_HU_03" w:date="2025-05-14T16:41:00Z">
        <w:r w:rsidRPr="00183B5F">
          <w:rPr>
            <w:szCs w:val="22"/>
          </w:rPr>
          <w:delText>m</w:delText>
        </w:r>
        <w:r w:rsidR="009E2229" w:rsidRPr="00183B5F">
          <w:rPr>
            <w:szCs w:val="22"/>
          </w:rPr>
          <w:delText>ájelégtelenség</w:delText>
        </w:r>
        <w:r w:rsidR="008172BB" w:rsidRPr="00183B5F">
          <w:rPr>
            <w:szCs w:val="22"/>
          </w:rPr>
          <w:delText>;</w:delText>
        </w:r>
      </w:del>
    </w:p>
    <w:p w14:paraId="359041F5" w14:textId="22537B05" w:rsidR="004025F9" w:rsidRPr="00183B5F" w:rsidRDefault="00943743" w:rsidP="00966731">
      <w:pPr>
        <w:numPr>
          <w:ilvl w:val="0"/>
          <w:numId w:val="106"/>
        </w:numPr>
        <w:spacing w:line="240" w:lineRule="auto"/>
        <w:ind w:left="567" w:right="-2" w:hanging="567"/>
        <w:rPr>
          <w:del w:id="12236" w:author="AbbVie_HU_03" w:date="2025-05-14T16:41:00Z"/>
          <w:szCs w:val="22"/>
        </w:rPr>
      </w:pPr>
      <w:del w:id="12237" w:author="AbbVie_HU_03" w:date="2025-05-14T16:41:00Z">
        <w:r w:rsidRPr="00183B5F">
          <w:rPr>
            <w:szCs w:val="22"/>
          </w:rPr>
          <w:delText>dermatomiozitisz nevű betegség (izomgyengeséghez társult bőrkiütés formájában jelentkezik) súlyosbodása;</w:delText>
        </w:r>
      </w:del>
    </w:p>
    <w:p w14:paraId="7A3F2D17" w14:textId="4B8C44B5" w:rsidR="009E2229" w:rsidRPr="00183B5F" w:rsidRDefault="00943743" w:rsidP="00966731">
      <w:pPr>
        <w:numPr>
          <w:ilvl w:val="0"/>
          <w:numId w:val="106"/>
        </w:numPr>
        <w:spacing w:line="240" w:lineRule="auto"/>
        <w:ind w:left="567" w:right="-2" w:hanging="567"/>
        <w:rPr>
          <w:del w:id="12238" w:author="AbbVie_HU_03" w:date="2025-05-14T16:41:00Z"/>
          <w:szCs w:val="22"/>
        </w:rPr>
      </w:pPr>
      <w:del w:id="12239" w:author="AbbVie_HU_03" w:date="2025-05-14T16:41:00Z">
        <w:r w:rsidRPr="00183B5F">
          <w:delText>testsúlynövekedés (a legtöbb betegnél ez kismértékű volt)</w:delText>
        </w:r>
      </w:del>
    </w:p>
    <w:p w14:paraId="64B1CA6F" w14:textId="5F34AA4B" w:rsidR="009E2229" w:rsidRPr="00183B5F" w:rsidRDefault="009E2229" w:rsidP="00966731">
      <w:pPr>
        <w:spacing w:line="240" w:lineRule="auto"/>
        <w:ind w:right="-2"/>
        <w:rPr>
          <w:del w:id="12240" w:author="AbbVie_HU_03" w:date="2025-05-14T16:41:00Z"/>
          <w:szCs w:val="22"/>
          <w:lang w:eastAsia="de-DE"/>
        </w:rPr>
      </w:pPr>
    </w:p>
    <w:p w14:paraId="13AFE090" w14:textId="02A7DE08" w:rsidR="00FB6710" w:rsidRPr="00183B5F" w:rsidRDefault="00943743" w:rsidP="00966731">
      <w:pPr>
        <w:suppressAutoHyphens w:val="0"/>
        <w:autoSpaceDE w:val="0"/>
        <w:autoSpaceDN w:val="0"/>
        <w:adjustRightInd w:val="0"/>
        <w:spacing w:line="240" w:lineRule="auto"/>
        <w:rPr>
          <w:del w:id="12241" w:author="AbbVie_HU_03" w:date="2025-05-14T16:41:00Z"/>
          <w:szCs w:val="22"/>
          <w:lang w:eastAsia="de-DE"/>
        </w:rPr>
      </w:pPr>
      <w:del w:id="12242" w:author="AbbVie_HU_03" w:date="2025-05-14T16:41:00Z">
        <w:r w:rsidRPr="00183B5F">
          <w:rPr>
            <w:szCs w:val="22"/>
            <w:lang w:eastAsia="de-DE"/>
          </w:rPr>
          <w:delText>A Humira alkalmazása során észlelt némelyik mellékhatás nem okoz tüneteket, és lehet, hogy csak vérvizsgálattal deríthető ki.</w:delText>
        </w:r>
      </w:del>
    </w:p>
    <w:p w14:paraId="5D46BECA" w14:textId="57CB1548" w:rsidR="00FB6710" w:rsidRPr="00183B5F" w:rsidRDefault="00943743" w:rsidP="00966731">
      <w:pPr>
        <w:suppressAutoHyphens w:val="0"/>
        <w:autoSpaceDE w:val="0"/>
        <w:autoSpaceDN w:val="0"/>
        <w:adjustRightInd w:val="0"/>
        <w:spacing w:line="240" w:lineRule="auto"/>
        <w:rPr>
          <w:del w:id="12243" w:author="AbbVie_HU_03" w:date="2025-05-14T16:41:00Z"/>
          <w:szCs w:val="22"/>
          <w:lang w:eastAsia="de-DE"/>
        </w:rPr>
      </w:pPr>
      <w:del w:id="12244" w:author="AbbVie_HU_03" w:date="2025-05-14T16:41:00Z">
        <w:r w:rsidRPr="00183B5F">
          <w:rPr>
            <w:szCs w:val="22"/>
            <w:lang w:eastAsia="de-DE"/>
          </w:rPr>
          <w:delText>Ezek közé tartozik:</w:delText>
        </w:r>
      </w:del>
    </w:p>
    <w:p w14:paraId="7E123A59" w14:textId="24FC40E0" w:rsidR="00FB6710" w:rsidRPr="00183B5F" w:rsidRDefault="00FB6710" w:rsidP="00966731">
      <w:pPr>
        <w:suppressAutoHyphens w:val="0"/>
        <w:autoSpaceDE w:val="0"/>
        <w:autoSpaceDN w:val="0"/>
        <w:adjustRightInd w:val="0"/>
        <w:spacing w:line="240" w:lineRule="auto"/>
        <w:rPr>
          <w:del w:id="12245" w:author="AbbVie_HU_03" w:date="2025-05-14T16:41:00Z"/>
          <w:szCs w:val="22"/>
          <w:lang w:eastAsia="de-DE"/>
        </w:rPr>
      </w:pPr>
    </w:p>
    <w:p w14:paraId="1C5568E9" w14:textId="48B54FA0" w:rsidR="00FB6710" w:rsidRPr="00183B5F" w:rsidRDefault="00943743" w:rsidP="00966731">
      <w:pPr>
        <w:keepNext/>
        <w:suppressAutoHyphens w:val="0"/>
        <w:spacing w:line="240" w:lineRule="auto"/>
        <w:rPr>
          <w:del w:id="12246" w:author="AbbVie_HU_03" w:date="2025-05-14T16:41:00Z"/>
          <w:szCs w:val="22"/>
        </w:rPr>
      </w:pPr>
      <w:del w:id="12247" w:author="AbbVie_HU_03" w:date="2025-05-14T16:41:00Z">
        <w:r w:rsidRPr="00183B5F">
          <w:rPr>
            <w:szCs w:val="22"/>
          </w:rPr>
          <w:delText>Nagyon gyakori (10</w:delText>
        </w:r>
        <w:r w:rsidR="005B7D8B" w:rsidRPr="00183B5F">
          <w:rPr>
            <w:szCs w:val="22"/>
          </w:rPr>
          <w:delText> </w:delText>
        </w:r>
        <w:r w:rsidR="004418CD" w:rsidRPr="00183B5F">
          <w:rPr>
            <w:szCs w:val="22"/>
          </w:rPr>
          <w:delText>beteg</w:delText>
        </w:r>
        <w:r w:rsidR="006F1BCC" w:rsidRPr="00183B5F">
          <w:rPr>
            <w:szCs w:val="22"/>
          </w:rPr>
          <w:delText xml:space="preserve"> </w:delText>
        </w:r>
        <w:r w:rsidRPr="00183B5F">
          <w:rPr>
            <w:szCs w:val="22"/>
          </w:rPr>
          <w:delText>közül több mint 1</w:delText>
        </w:r>
        <w:r w:rsidR="005B7D8B" w:rsidRPr="00183B5F">
          <w:rPr>
            <w:szCs w:val="22"/>
          </w:rPr>
          <w:noBreakHyphen/>
        </w:r>
        <w:r w:rsidR="006F1BCC" w:rsidRPr="00183B5F">
          <w:rPr>
            <w:szCs w:val="22"/>
          </w:rPr>
          <w:delText>nél alakul ki</w:delText>
        </w:r>
        <w:r w:rsidRPr="00183B5F">
          <w:rPr>
            <w:szCs w:val="22"/>
          </w:rPr>
          <w:delText>)</w:delText>
        </w:r>
      </w:del>
    </w:p>
    <w:p w14:paraId="13A680CC" w14:textId="6EBC962C" w:rsidR="008172BB" w:rsidRPr="00183B5F" w:rsidRDefault="008172BB" w:rsidP="00966731">
      <w:pPr>
        <w:keepNext/>
        <w:suppressAutoHyphens w:val="0"/>
        <w:spacing w:line="240" w:lineRule="auto"/>
        <w:rPr>
          <w:del w:id="12248" w:author="AbbVie_HU_03" w:date="2025-05-14T16:41:00Z"/>
          <w:szCs w:val="22"/>
        </w:rPr>
      </w:pPr>
    </w:p>
    <w:p w14:paraId="75A7D6E4" w14:textId="38684F75" w:rsidR="00FB6710" w:rsidRPr="00183B5F" w:rsidRDefault="00943743" w:rsidP="00966731">
      <w:pPr>
        <w:keepNext/>
        <w:numPr>
          <w:ilvl w:val="0"/>
          <w:numId w:val="76"/>
        </w:numPr>
        <w:tabs>
          <w:tab w:val="clear" w:pos="720"/>
          <w:tab w:val="num" w:pos="550"/>
        </w:tabs>
        <w:suppressAutoHyphens w:val="0"/>
        <w:spacing w:line="240" w:lineRule="auto"/>
        <w:ind w:left="550" w:hanging="550"/>
        <w:rPr>
          <w:del w:id="12249" w:author="AbbVie_HU_03" w:date="2025-05-14T16:41:00Z"/>
        </w:rPr>
      </w:pPr>
      <w:del w:id="12250" w:author="AbbVie_HU_03" w:date="2025-05-14T16:41:00Z">
        <w:r w:rsidRPr="00183B5F">
          <w:delText>alacsony fehérvérsejtszám</w:delText>
        </w:r>
        <w:r w:rsidR="008172BB" w:rsidRPr="00183B5F">
          <w:delText>;</w:delText>
        </w:r>
      </w:del>
    </w:p>
    <w:p w14:paraId="42EBDF4A" w14:textId="3C4D1D17" w:rsidR="00FB6710" w:rsidRPr="00183B5F" w:rsidRDefault="00943743" w:rsidP="00966731">
      <w:pPr>
        <w:keepNext/>
        <w:numPr>
          <w:ilvl w:val="0"/>
          <w:numId w:val="76"/>
        </w:numPr>
        <w:tabs>
          <w:tab w:val="clear" w:pos="720"/>
          <w:tab w:val="num" w:pos="550"/>
        </w:tabs>
        <w:suppressAutoHyphens w:val="0"/>
        <w:spacing w:line="240" w:lineRule="auto"/>
        <w:ind w:left="550" w:hanging="550"/>
        <w:rPr>
          <w:del w:id="12251" w:author="AbbVie_HU_03" w:date="2025-05-14T16:41:00Z"/>
        </w:rPr>
      </w:pPr>
      <w:del w:id="12252" w:author="AbbVie_HU_03" w:date="2025-05-14T16:41:00Z">
        <w:r w:rsidRPr="00183B5F">
          <w:rPr>
            <w:szCs w:val="22"/>
          </w:rPr>
          <w:delText>alacsony vörösvértestszám</w:delText>
        </w:r>
        <w:r w:rsidR="008172BB" w:rsidRPr="00183B5F">
          <w:rPr>
            <w:szCs w:val="22"/>
          </w:rPr>
          <w:delText>;</w:delText>
        </w:r>
      </w:del>
    </w:p>
    <w:p w14:paraId="6DE1FA77" w14:textId="6F86B4C9" w:rsidR="00FB6710" w:rsidRPr="00183B5F" w:rsidRDefault="00943743" w:rsidP="00966731">
      <w:pPr>
        <w:numPr>
          <w:ilvl w:val="0"/>
          <w:numId w:val="76"/>
        </w:numPr>
        <w:tabs>
          <w:tab w:val="clear" w:pos="720"/>
          <w:tab w:val="num" w:pos="550"/>
        </w:tabs>
        <w:suppressAutoHyphens w:val="0"/>
        <w:spacing w:line="240" w:lineRule="auto"/>
        <w:ind w:left="550" w:hanging="550"/>
        <w:rPr>
          <w:del w:id="12253" w:author="AbbVie_HU_03" w:date="2025-05-14T16:41:00Z"/>
        </w:rPr>
      </w:pPr>
      <w:del w:id="12254" w:author="AbbVie_HU_03" w:date="2025-05-14T16:41:00Z">
        <w:r w:rsidRPr="00183B5F">
          <w:rPr>
            <w:szCs w:val="22"/>
          </w:rPr>
          <w:delText>a vérzsírszint emelkedése</w:delText>
        </w:r>
        <w:r w:rsidR="008172BB" w:rsidRPr="00183B5F">
          <w:rPr>
            <w:szCs w:val="22"/>
          </w:rPr>
          <w:delText>;</w:delText>
        </w:r>
      </w:del>
    </w:p>
    <w:p w14:paraId="1152863E" w14:textId="2DE1ABF9" w:rsidR="00FB6710" w:rsidRPr="00183B5F" w:rsidRDefault="00943743" w:rsidP="00966731">
      <w:pPr>
        <w:numPr>
          <w:ilvl w:val="0"/>
          <w:numId w:val="76"/>
        </w:numPr>
        <w:tabs>
          <w:tab w:val="clear" w:pos="720"/>
          <w:tab w:val="num" w:pos="550"/>
        </w:tabs>
        <w:suppressAutoHyphens w:val="0"/>
        <w:spacing w:line="240" w:lineRule="auto"/>
        <w:ind w:left="550" w:hanging="550"/>
        <w:rPr>
          <w:del w:id="12255" w:author="AbbVie_HU_03" w:date="2025-05-14T16:41:00Z"/>
        </w:rPr>
      </w:pPr>
      <w:del w:id="12256" w:author="AbbVie_HU_03" w:date="2025-05-14T16:41:00Z">
        <w:r w:rsidRPr="00183B5F">
          <w:rPr>
            <w:szCs w:val="22"/>
          </w:rPr>
          <w:delText>emelkedett májenzimszint.</w:delText>
        </w:r>
      </w:del>
    </w:p>
    <w:p w14:paraId="25F4B84A" w14:textId="458F3C09" w:rsidR="00080E16" w:rsidRPr="00183B5F" w:rsidRDefault="00080E16" w:rsidP="00966731">
      <w:pPr>
        <w:suppressAutoHyphens w:val="0"/>
        <w:spacing w:line="240" w:lineRule="auto"/>
        <w:rPr>
          <w:del w:id="12257" w:author="AbbVie_HU_03" w:date="2025-05-14T16:41:00Z"/>
          <w:szCs w:val="22"/>
        </w:rPr>
      </w:pPr>
    </w:p>
    <w:p w14:paraId="384EB877" w14:textId="759204DF" w:rsidR="00FB6710" w:rsidRPr="00183B5F" w:rsidRDefault="00943743" w:rsidP="00966731">
      <w:pPr>
        <w:keepNext/>
        <w:suppressAutoHyphens w:val="0"/>
        <w:spacing w:line="240" w:lineRule="auto"/>
        <w:rPr>
          <w:del w:id="12258" w:author="AbbVie_HU_03" w:date="2025-05-14T16:41:00Z"/>
          <w:szCs w:val="22"/>
        </w:rPr>
      </w:pPr>
      <w:del w:id="12259" w:author="AbbVie_HU_03" w:date="2025-05-14T16:41:00Z">
        <w:r w:rsidRPr="00183B5F">
          <w:rPr>
            <w:szCs w:val="22"/>
          </w:rPr>
          <w:delText>Gyakori (10</w:delText>
        </w:r>
        <w:r w:rsidR="005B7D8B" w:rsidRPr="00183B5F">
          <w:rPr>
            <w:szCs w:val="22"/>
          </w:rPr>
          <w:delText> </w:delText>
        </w:r>
        <w:r w:rsidR="004418CD" w:rsidRPr="00183B5F">
          <w:rPr>
            <w:szCs w:val="22"/>
          </w:rPr>
          <w:delText>beteg</w:delText>
        </w:r>
        <w:r w:rsidR="006F1BCC" w:rsidRPr="00183B5F">
          <w:rPr>
            <w:szCs w:val="22"/>
          </w:rPr>
          <w:delText xml:space="preserve"> </w:delText>
        </w:r>
        <w:r w:rsidRPr="00183B5F">
          <w:rPr>
            <w:szCs w:val="22"/>
          </w:rPr>
          <w:delText xml:space="preserve">közül </w:delText>
        </w:r>
        <w:r w:rsidR="006F1BCC" w:rsidRPr="00183B5F">
          <w:rPr>
            <w:szCs w:val="22"/>
          </w:rPr>
          <w:delText>legfeljebb</w:delText>
        </w:r>
        <w:r w:rsidRPr="00183B5F">
          <w:rPr>
            <w:szCs w:val="22"/>
          </w:rPr>
          <w:delText xml:space="preserve"> 1</w:delText>
        </w:r>
        <w:r w:rsidR="005B7D8B" w:rsidRPr="00183B5F">
          <w:rPr>
            <w:szCs w:val="22"/>
          </w:rPr>
          <w:noBreakHyphen/>
        </w:r>
        <w:r w:rsidR="006F1BCC" w:rsidRPr="00183B5F">
          <w:rPr>
            <w:szCs w:val="22"/>
          </w:rPr>
          <w:delText>nél</w:delText>
        </w:r>
        <w:r w:rsidRPr="00183B5F">
          <w:rPr>
            <w:szCs w:val="22"/>
          </w:rPr>
          <w:delText xml:space="preserve"> </w:delText>
        </w:r>
        <w:r w:rsidR="006F1BCC" w:rsidRPr="00183B5F">
          <w:rPr>
            <w:szCs w:val="22"/>
          </w:rPr>
          <w:delText>alakul</w:delText>
        </w:r>
        <w:r w:rsidR="00B92547" w:rsidRPr="00183B5F">
          <w:rPr>
            <w:szCs w:val="22"/>
          </w:rPr>
          <w:delText xml:space="preserve"> ki</w:delText>
        </w:r>
        <w:r w:rsidRPr="00183B5F">
          <w:rPr>
            <w:szCs w:val="22"/>
          </w:rPr>
          <w:delText>)</w:delText>
        </w:r>
      </w:del>
    </w:p>
    <w:p w14:paraId="3F076EF1" w14:textId="7DD1C7FC" w:rsidR="008172BB" w:rsidRPr="00183B5F" w:rsidRDefault="008172BB" w:rsidP="00966731">
      <w:pPr>
        <w:keepNext/>
        <w:suppressAutoHyphens w:val="0"/>
        <w:spacing w:line="240" w:lineRule="auto"/>
        <w:rPr>
          <w:del w:id="12260" w:author="AbbVie_HU_03" w:date="2025-05-14T16:41:00Z"/>
          <w:szCs w:val="22"/>
        </w:rPr>
      </w:pPr>
    </w:p>
    <w:p w14:paraId="1B37F8DB" w14:textId="5EAB792D" w:rsidR="00FB6710" w:rsidRPr="00183B5F" w:rsidRDefault="00943743" w:rsidP="00966731">
      <w:pPr>
        <w:keepNext/>
        <w:numPr>
          <w:ilvl w:val="0"/>
          <w:numId w:val="76"/>
        </w:numPr>
        <w:tabs>
          <w:tab w:val="clear" w:pos="720"/>
          <w:tab w:val="num" w:pos="550"/>
        </w:tabs>
        <w:suppressAutoHyphens w:val="0"/>
        <w:spacing w:line="240" w:lineRule="auto"/>
        <w:ind w:left="550" w:hanging="550"/>
        <w:rPr>
          <w:del w:id="12261" w:author="AbbVie_HU_03" w:date="2025-05-14T16:41:00Z"/>
        </w:rPr>
      </w:pPr>
      <w:del w:id="12262" w:author="AbbVie_HU_03" w:date="2025-05-14T16:41:00Z">
        <w:r w:rsidRPr="00183B5F">
          <w:delText>magas fehérvérsejtszám</w:delText>
        </w:r>
        <w:r w:rsidR="008172BB" w:rsidRPr="00183B5F">
          <w:delText>;</w:delText>
        </w:r>
      </w:del>
    </w:p>
    <w:p w14:paraId="4D52B336" w14:textId="3FA9EA56" w:rsidR="00FB6710" w:rsidRPr="00183B5F" w:rsidRDefault="00943743" w:rsidP="00966731">
      <w:pPr>
        <w:keepNext/>
        <w:numPr>
          <w:ilvl w:val="0"/>
          <w:numId w:val="76"/>
        </w:numPr>
        <w:tabs>
          <w:tab w:val="clear" w:pos="720"/>
          <w:tab w:val="num" w:pos="550"/>
        </w:tabs>
        <w:suppressAutoHyphens w:val="0"/>
        <w:spacing w:line="240" w:lineRule="auto"/>
        <w:ind w:left="550" w:hanging="550"/>
        <w:rPr>
          <w:del w:id="12263" w:author="AbbVie_HU_03" w:date="2025-05-14T16:41:00Z"/>
        </w:rPr>
      </w:pPr>
      <w:del w:id="12264" w:author="AbbVie_HU_03" w:date="2025-05-14T16:41:00Z">
        <w:r w:rsidRPr="00183B5F">
          <w:rPr>
            <w:szCs w:val="22"/>
          </w:rPr>
          <w:delText>alacsony vérlemezkeszám</w:delText>
        </w:r>
        <w:r w:rsidR="008172BB" w:rsidRPr="00183B5F">
          <w:rPr>
            <w:szCs w:val="22"/>
          </w:rPr>
          <w:delText>;</w:delText>
        </w:r>
      </w:del>
    </w:p>
    <w:p w14:paraId="78B20DA8" w14:textId="1DF4452C" w:rsidR="00FB6710" w:rsidRPr="00183B5F" w:rsidRDefault="00943743" w:rsidP="00966731">
      <w:pPr>
        <w:keepNext/>
        <w:numPr>
          <w:ilvl w:val="0"/>
          <w:numId w:val="76"/>
        </w:numPr>
        <w:tabs>
          <w:tab w:val="clear" w:pos="720"/>
          <w:tab w:val="num" w:pos="550"/>
        </w:tabs>
        <w:suppressAutoHyphens w:val="0"/>
        <w:spacing w:line="240" w:lineRule="auto"/>
        <w:ind w:left="550" w:hanging="550"/>
        <w:rPr>
          <w:del w:id="12265" w:author="AbbVie_HU_03" w:date="2025-05-14T16:41:00Z"/>
        </w:rPr>
      </w:pPr>
      <w:del w:id="12266" w:author="AbbVie_HU_03" w:date="2025-05-14T16:41:00Z">
        <w:r w:rsidRPr="00183B5F">
          <w:rPr>
            <w:szCs w:val="22"/>
          </w:rPr>
          <w:delText>emelkedett húgysavszint a vérben</w:delText>
        </w:r>
        <w:r w:rsidR="008172BB" w:rsidRPr="00183B5F">
          <w:rPr>
            <w:szCs w:val="22"/>
          </w:rPr>
          <w:delText>;</w:delText>
        </w:r>
      </w:del>
    </w:p>
    <w:p w14:paraId="61C2ED93" w14:textId="63C854F9" w:rsidR="00FB6710" w:rsidRPr="00183B5F" w:rsidRDefault="00943743" w:rsidP="00966731">
      <w:pPr>
        <w:numPr>
          <w:ilvl w:val="0"/>
          <w:numId w:val="76"/>
        </w:numPr>
        <w:tabs>
          <w:tab w:val="clear" w:pos="720"/>
          <w:tab w:val="num" w:pos="550"/>
        </w:tabs>
        <w:suppressAutoHyphens w:val="0"/>
        <w:spacing w:line="240" w:lineRule="auto"/>
        <w:ind w:left="550" w:hanging="550"/>
        <w:rPr>
          <w:del w:id="12267" w:author="AbbVie_HU_03" w:date="2025-05-14T16:41:00Z"/>
        </w:rPr>
      </w:pPr>
      <w:del w:id="12268" w:author="AbbVie_HU_03" w:date="2025-05-14T16:41:00Z">
        <w:r w:rsidRPr="00183B5F">
          <w:delText>kóros nátriumszint a vérben</w:delText>
        </w:r>
        <w:r w:rsidR="008172BB" w:rsidRPr="00183B5F">
          <w:delText>;</w:delText>
        </w:r>
      </w:del>
    </w:p>
    <w:p w14:paraId="0E2110E0" w14:textId="01C184C8" w:rsidR="00FB6710" w:rsidRPr="00183B5F" w:rsidRDefault="00943743" w:rsidP="00966731">
      <w:pPr>
        <w:numPr>
          <w:ilvl w:val="0"/>
          <w:numId w:val="76"/>
        </w:numPr>
        <w:tabs>
          <w:tab w:val="clear" w:pos="720"/>
          <w:tab w:val="num" w:pos="550"/>
        </w:tabs>
        <w:suppressAutoHyphens w:val="0"/>
        <w:spacing w:line="240" w:lineRule="auto"/>
        <w:ind w:left="550" w:hanging="550"/>
        <w:rPr>
          <w:del w:id="12269" w:author="AbbVie_HU_03" w:date="2025-05-14T16:41:00Z"/>
        </w:rPr>
      </w:pPr>
      <w:del w:id="12270" w:author="AbbVie_HU_03" w:date="2025-05-14T16:41:00Z">
        <w:r w:rsidRPr="00183B5F">
          <w:rPr>
            <w:szCs w:val="22"/>
          </w:rPr>
          <w:delText>alacsony kalciumszint a vérben</w:delText>
        </w:r>
        <w:r w:rsidR="008172BB" w:rsidRPr="00183B5F">
          <w:rPr>
            <w:szCs w:val="22"/>
          </w:rPr>
          <w:delText>;</w:delText>
        </w:r>
      </w:del>
    </w:p>
    <w:p w14:paraId="25910724" w14:textId="1CED0EA1" w:rsidR="00FB6710" w:rsidRPr="00183B5F" w:rsidRDefault="00943743" w:rsidP="00966731">
      <w:pPr>
        <w:numPr>
          <w:ilvl w:val="0"/>
          <w:numId w:val="76"/>
        </w:numPr>
        <w:tabs>
          <w:tab w:val="clear" w:pos="720"/>
          <w:tab w:val="num" w:pos="550"/>
        </w:tabs>
        <w:suppressAutoHyphens w:val="0"/>
        <w:spacing w:line="240" w:lineRule="auto"/>
        <w:ind w:left="550" w:hanging="550"/>
        <w:rPr>
          <w:del w:id="12271" w:author="AbbVie_HU_03" w:date="2025-05-14T16:41:00Z"/>
        </w:rPr>
      </w:pPr>
      <w:del w:id="12272" w:author="AbbVie_HU_03" w:date="2025-05-14T16:41:00Z">
        <w:r w:rsidRPr="00183B5F">
          <w:rPr>
            <w:szCs w:val="22"/>
          </w:rPr>
          <w:delText>alacsony foszfátszint a vérben</w:delText>
        </w:r>
        <w:r w:rsidR="008172BB" w:rsidRPr="00183B5F">
          <w:rPr>
            <w:szCs w:val="22"/>
          </w:rPr>
          <w:delText>;</w:delText>
        </w:r>
      </w:del>
    </w:p>
    <w:p w14:paraId="47CBB889" w14:textId="5A87973D" w:rsidR="00FB6710" w:rsidRPr="00183B5F" w:rsidRDefault="00943743" w:rsidP="00966731">
      <w:pPr>
        <w:numPr>
          <w:ilvl w:val="0"/>
          <w:numId w:val="76"/>
        </w:numPr>
        <w:tabs>
          <w:tab w:val="clear" w:pos="720"/>
          <w:tab w:val="num" w:pos="550"/>
        </w:tabs>
        <w:suppressAutoHyphens w:val="0"/>
        <w:spacing w:line="240" w:lineRule="auto"/>
        <w:ind w:left="550" w:hanging="550"/>
        <w:rPr>
          <w:del w:id="12273" w:author="AbbVie_HU_03" w:date="2025-05-14T16:41:00Z"/>
        </w:rPr>
      </w:pPr>
      <w:del w:id="12274" w:author="AbbVie_HU_03" w:date="2025-05-14T16:41:00Z">
        <w:r w:rsidRPr="00183B5F">
          <w:delText>magas vércukorszint</w:delText>
        </w:r>
        <w:r w:rsidR="008172BB" w:rsidRPr="00183B5F">
          <w:delText>;</w:delText>
        </w:r>
      </w:del>
    </w:p>
    <w:p w14:paraId="6D732C0B" w14:textId="529E00C9" w:rsidR="00FB6710" w:rsidRPr="00183B5F" w:rsidRDefault="00943743" w:rsidP="00966731">
      <w:pPr>
        <w:numPr>
          <w:ilvl w:val="0"/>
          <w:numId w:val="76"/>
        </w:numPr>
        <w:tabs>
          <w:tab w:val="clear" w:pos="720"/>
          <w:tab w:val="num" w:pos="550"/>
        </w:tabs>
        <w:suppressAutoHyphens w:val="0"/>
        <w:spacing w:line="240" w:lineRule="auto"/>
        <w:ind w:left="550" w:hanging="550"/>
        <w:rPr>
          <w:del w:id="12275" w:author="AbbVie_HU_03" w:date="2025-05-14T16:41:00Z"/>
        </w:rPr>
      </w:pPr>
      <w:del w:id="12276" w:author="AbbVie_HU_03" w:date="2025-05-14T16:41:00Z">
        <w:r w:rsidRPr="00183B5F">
          <w:rPr>
            <w:szCs w:val="22"/>
          </w:rPr>
          <w:delText xml:space="preserve">emelkedett </w:delText>
        </w:r>
        <w:r w:rsidRPr="00183B5F">
          <w:delText>laktát-dehidrogenáz-szint a vérben</w:delText>
        </w:r>
        <w:r w:rsidR="008172BB" w:rsidRPr="00183B5F">
          <w:delText>;</w:delText>
        </w:r>
      </w:del>
    </w:p>
    <w:p w14:paraId="766D9EC0" w14:textId="12EC703C" w:rsidR="00CF23F3" w:rsidRPr="00183B5F" w:rsidRDefault="00943743" w:rsidP="00966731">
      <w:pPr>
        <w:numPr>
          <w:ilvl w:val="0"/>
          <w:numId w:val="76"/>
        </w:numPr>
        <w:tabs>
          <w:tab w:val="clear" w:pos="720"/>
          <w:tab w:val="num" w:pos="550"/>
        </w:tabs>
        <w:suppressAutoHyphens w:val="0"/>
        <w:spacing w:line="240" w:lineRule="auto"/>
        <w:ind w:left="550" w:hanging="550"/>
        <w:rPr>
          <w:del w:id="12277" w:author="AbbVie_HU_03" w:date="2025-05-14T16:41:00Z"/>
        </w:rPr>
      </w:pPr>
      <w:del w:id="12278" w:author="AbbVie_HU_03" w:date="2025-05-14T16:41:00Z">
        <w:r w:rsidRPr="00183B5F">
          <w:rPr>
            <w:szCs w:val="22"/>
          </w:rPr>
          <w:delText>autoantitestek megjelenése a vérben</w:delText>
        </w:r>
        <w:r w:rsidRPr="00183B5F">
          <w:delText>;</w:delText>
        </w:r>
      </w:del>
    </w:p>
    <w:p w14:paraId="66701639" w14:textId="4CF75BA3" w:rsidR="00CF23F3" w:rsidRPr="00183B5F" w:rsidRDefault="00943743" w:rsidP="00966731">
      <w:pPr>
        <w:numPr>
          <w:ilvl w:val="0"/>
          <w:numId w:val="76"/>
        </w:numPr>
        <w:tabs>
          <w:tab w:val="clear" w:pos="720"/>
          <w:tab w:val="num" w:pos="550"/>
        </w:tabs>
        <w:suppressAutoHyphens w:val="0"/>
        <w:spacing w:line="240" w:lineRule="auto"/>
        <w:ind w:left="550" w:hanging="550"/>
        <w:rPr>
          <w:del w:id="12279" w:author="AbbVie_HU_03" w:date="2025-05-14T16:41:00Z"/>
        </w:rPr>
      </w:pPr>
      <w:del w:id="12280" w:author="AbbVie_HU_03" w:date="2025-05-14T16:41:00Z">
        <w:r w:rsidRPr="00183B5F">
          <w:delText xml:space="preserve">alacsony </w:delText>
        </w:r>
        <w:r w:rsidR="001147C9" w:rsidRPr="00183B5F">
          <w:delText>kálium</w:delText>
        </w:r>
        <w:r w:rsidRPr="00183B5F">
          <w:delText>szint</w:delText>
        </w:r>
        <w:r w:rsidR="001147C9" w:rsidRPr="00183B5F">
          <w:delText xml:space="preserve"> a vérben</w:delText>
        </w:r>
        <w:r w:rsidRPr="00183B5F">
          <w:delText>.</w:delText>
        </w:r>
      </w:del>
    </w:p>
    <w:p w14:paraId="751166E4" w14:textId="48834CB0" w:rsidR="00CF23F3" w:rsidRPr="00183B5F" w:rsidRDefault="00CF23F3" w:rsidP="00966731">
      <w:pPr>
        <w:suppressAutoHyphens w:val="0"/>
        <w:spacing w:line="240" w:lineRule="auto"/>
        <w:rPr>
          <w:del w:id="12281" w:author="AbbVie_HU_03" w:date="2025-05-14T16:41:00Z"/>
        </w:rPr>
      </w:pPr>
    </w:p>
    <w:p w14:paraId="37A51F08" w14:textId="553FB087" w:rsidR="00CF23F3" w:rsidRPr="00183B5F" w:rsidRDefault="00943743" w:rsidP="00966731">
      <w:pPr>
        <w:suppressAutoHyphens w:val="0"/>
        <w:spacing w:line="240" w:lineRule="auto"/>
        <w:rPr>
          <w:del w:id="12282" w:author="AbbVie_HU_03" w:date="2025-05-14T16:41:00Z"/>
          <w:szCs w:val="22"/>
        </w:rPr>
      </w:pPr>
      <w:del w:id="12283" w:author="AbbVie_HU_03" w:date="2025-05-14T16:41:00Z">
        <w:r w:rsidRPr="00183B5F">
          <w:rPr>
            <w:b/>
          </w:rPr>
          <w:delText>Nem gyakori (</w:delText>
        </w:r>
        <w:r w:rsidRPr="00183B5F">
          <w:rPr>
            <w:szCs w:val="22"/>
          </w:rPr>
          <w:delText>100 beteg közül legfeljebb 1</w:delText>
        </w:r>
        <w:r w:rsidRPr="00183B5F">
          <w:rPr>
            <w:szCs w:val="22"/>
          </w:rPr>
          <w:noBreakHyphen/>
          <w:delText>nél alakul ki)</w:delText>
        </w:r>
      </w:del>
    </w:p>
    <w:p w14:paraId="54A44674" w14:textId="07640902" w:rsidR="00CF23F3" w:rsidRPr="00183B5F" w:rsidRDefault="00CF23F3" w:rsidP="00966731">
      <w:pPr>
        <w:suppressAutoHyphens w:val="0"/>
        <w:spacing w:line="240" w:lineRule="auto"/>
        <w:rPr>
          <w:del w:id="12284" w:author="AbbVie_HU_03" w:date="2025-05-14T16:41:00Z"/>
          <w:szCs w:val="22"/>
        </w:rPr>
      </w:pPr>
    </w:p>
    <w:p w14:paraId="3D2FB418" w14:textId="10C17E81" w:rsidR="00FB6710" w:rsidRPr="00183B5F" w:rsidRDefault="00943743" w:rsidP="00966731">
      <w:pPr>
        <w:pStyle w:val="ListParagraph"/>
        <w:numPr>
          <w:ilvl w:val="0"/>
          <w:numId w:val="147"/>
        </w:numPr>
        <w:suppressAutoHyphens w:val="0"/>
        <w:spacing w:line="240" w:lineRule="auto"/>
        <w:contextualSpacing/>
        <w:rPr>
          <w:del w:id="12285" w:author="AbbVie_HU_03" w:date="2025-05-14T16:41:00Z"/>
        </w:rPr>
      </w:pPr>
      <w:del w:id="12286" w:author="AbbVie_HU_03" w:date="2025-05-14T16:41:00Z">
        <w:r w:rsidRPr="00183B5F">
          <w:delText>emelkedett bilirubin</w:delText>
        </w:r>
        <w:r w:rsidRPr="00183B5F">
          <w:noBreakHyphen/>
          <w:delText>szint (</w:delText>
        </w:r>
        <w:r w:rsidR="003829C8" w:rsidRPr="00183B5F">
          <w:delText>m</w:delText>
        </w:r>
        <w:r w:rsidR="0054236F" w:rsidRPr="00183B5F">
          <w:delText>ájfunkciós vizsgálati eredmény)</w:delText>
        </w:r>
      </w:del>
    </w:p>
    <w:p w14:paraId="6A1CE265" w14:textId="6A1ED23C" w:rsidR="00161F48" w:rsidRPr="00183B5F" w:rsidRDefault="00161F48" w:rsidP="00966731">
      <w:pPr>
        <w:suppressAutoHyphens w:val="0"/>
        <w:spacing w:line="240" w:lineRule="auto"/>
        <w:rPr>
          <w:del w:id="12287" w:author="AbbVie_HU_03" w:date="2025-05-14T16:41:00Z"/>
        </w:rPr>
      </w:pPr>
    </w:p>
    <w:p w14:paraId="7126292F" w14:textId="519AC605" w:rsidR="00FB6710" w:rsidRPr="00183B5F" w:rsidRDefault="00943743" w:rsidP="00966731">
      <w:pPr>
        <w:suppressAutoHyphens w:val="0"/>
        <w:spacing w:line="240" w:lineRule="auto"/>
        <w:rPr>
          <w:del w:id="12288" w:author="AbbVie_HU_03" w:date="2025-05-14T16:41:00Z"/>
          <w:szCs w:val="22"/>
        </w:rPr>
      </w:pPr>
      <w:del w:id="12289" w:author="AbbVie_HU_03" w:date="2025-05-14T16:41:00Z">
        <w:r w:rsidRPr="00183B5F">
          <w:rPr>
            <w:szCs w:val="22"/>
          </w:rPr>
          <w:delText>Ritka (1000</w:delText>
        </w:r>
        <w:r w:rsidR="005B7D8B" w:rsidRPr="00183B5F">
          <w:rPr>
            <w:szCs w:val="22"/>
          </w:rPr>
          <w:delText> </w:delText>
        </w:r>
        <w:r w:rsidR="004418CD" w:rsidRPr="00183B5F">
          <w:rPr>
            <w:szCs w:val="22"/>
          </w:rPr>
          <w:delText>beteg</w:delText>
        </w:r>
        <w:r w:rsidR="006F1BCC" w:rsidRPr="00183B5F">
          <w:rPr>
            <w:szCs w:val="22"/>
          </w:rPr>
          <w:delText xml:space="preserve"> </w:delText>
        </w:r>
        <w:r w:rsidRPr="00183B5F">
          <w:rPr>
            <w:szCs w:val="22"/>
          </w:rPr>
          <w:delText xml:space="preserve">közül </w:delText>
        </w:r>
        <w:r w:rsidR="006F1BCC" w:rsidRPr="00183B5F">
          <w:rPr>
            <w:szCs w:val="22"/>
          </w:rPr>
          <w:delText>legfeljebb</w:delText>
        </w:r>
        <w:r w:rsidRPr="00183B5F">
          <w:rPr>
            <w:szCs w:val="22"/>
          </w:rPr>
          <w:delText xml:space="preserve"> 1</w:delText>
        </w:r>
        <w:r w:rsidR="005B7D8B" w:rsidRPr="00183B5F">
          <w:rPr>
            <w:szCs w:val="22"/>
          </w:rPr>
          <w:noBreakHyphen/>
        </w:r>
        <w:r w:rsidR="00B92547" w:rsidRPr="00183B5F">
          <w:rPr>
            <w:szCs w:val="22"/>
          </w:rPr>
          <w:delText xml:space="preserve">nél </w:delText>
        </w:r>
        <w:r w:rsidR="006F1BCC" w:rsidRPr="00183B5F">
          <w:rPr>
            <w:szCs w:val="22"/>
          </w:rPr>
          <w:delText>alakul</w:delText>
        </w:r>
        <w:r w:rsidR="00B92547" w:rsidRPr="00183B5F">
          <w:rPr>
            <w:szCs w:val="22"/>
          </w:rPr>
          <w:delText xml:space="preserve"> ki</w:delText>
        </w:r>
        <w:r w:rsidRPr="00183B5F">
          <w:rPr>
            <w:szCs w:val="22"/>
          </w:rPr>
          <w:delText>)</w:delText>
        </w:r>
      </w:del>
    </w:p>
    <w:p w14:paraId="6006F0E0" w14:textId="39AB90F2" w:rsidR="008172BB" w:rsidRPr="00183B5F" w:rsidRDefault="008172BB" w:rsidP="00966731">
      <w:pPr>
        <w:suppressAutoHyphens w:val="0"/>
        <w:spacing w:line="240" w:lineRule="auto"/>
        <w:rPr>
          <w:del w:id="12290" w:author="AbbVie_HU_03" w:date="2025-05-14T16:41:00Z"/>
          <w:szCs w:val="22"/>
        </w:rPr>
      </w:pPr>
    </w:p>
    <w:p w14:paraId="0553A482" w14:textId="291C6239" w:rsidR="00FB6710" w:rsidRPr="00183B5F" w:rsidRDefault="00943743" w:rsidP="00966731">
      <w:pPr>
        <w:numPr>
          <w:ilvl w:val="0"/>
          <w:numId w:val="76"/>
        </w:numPr>
        <w:tabs>
          <w:tab w:val="clear" w:pos="720"/>
          <w:tab w:val="num" w:pos="550"/>
        </w:tabs>
        <w:suppressAutoHyphens w:val="0"/>
        <w:spacing w:line="240" w:lineRule="auto"/>
        <w:ind w:left="550" w:hanging="550"/>
        <w:rPr>
          <w:del w:id="12291" w:author="AbbVie_HU_03" w:date="2025-05-14T16:41:00Z"/>
          <w:szCs w:val="22"/>
        </w:rPr>
      </w:pPr>
      <w:del w:id="12292" w:author="AbbVie_HU_03" w:date="2025-05-14T16:41:00Z">
        <w:r w:rsidRPr="00183B5F">
          <w:rPr>
            <w:szCs w:val="22"/>
          </w:rPr>
          <w:delText>alacsony fehérvérsejtszám, vörösvértestszám és vérlemezkeszám.</w:delText>
        </w:r>
      </w:del>
    </w:p>
    <w:p w14:paraId="74DACE9D" w14:textId="40F0FB06" w:rsidR="00FB6710" w:rsidRPr="00183B5F" w:rsidRDefault="00FB6710" w:rsidP="00966731">
      <w:pPr>
        <w:suppressAutoHyphens w:val="0"/>
        <w:spacing w:line="240" w:lineRule="auto"/>
        <w:rPr>
          <w:del w:id="12293" w:author="AbbVie_HU_03" w:date="2025-05-14T16:41:00Z"/>
          <w:szCs w:val="22"/>
        </w:rPr>
      </w:pPr>
    </w:p>
    <w:p w14:paraId="09355081" w14:textId="268053F0" w:rsidR="00120A59" w:rsidRPr="00183B5F" w:rsidRDefault="00943743" w:rsidP="00966731">
      <w:pPr>
        <w:keepNext/>
        <w:spacing w:line="240" w:lineRule="auto"/>
        <w:ind w:right="-29"/>
        <w:rPr>
          <w:del w:id="12294" w:author="AbbVie_HU_03" w:date="2025-05-14T16:41:00Z"/>
          <w:b/>
          <w:u w:val="single"/>
        </w:rPr>
      </w:pPr>
      <w:del w:id="12295" w:author="AbbVie_HU_03" w:date="2025-05-14T16:41:00Z">
        <w:r w:rsidRPr="00183B5F">
          <w:rPr>
            <w:b/>
            <w:u w:val="single"/>
          </w:rPr>
          <w:delText>Mellékhatások bejelentése</w:delText>
        </w:r>
      </w:del>
    </w:p>
    <w:p w14:paraId="5D5E14E4" w14:textId="23DF1499" w:rsidR="00120A59" w:rsidRPr="00183B5F" w:rsidRDefault="00943743" w:rsidP="00966731">
      <w:pPr>
        <w:spacing w:line="240" w:lineRule="auto"/>
        <w:ind w:right="-2"/>
        <w:rPr>
          <w:del w:id="12296" w:author="AbbVie_HU_03" w:date="2025-05-14T16:41:00Z"/>
        </w:rPr>
      </w:pPr>
      <w:del w:id="12297" w:author="AbbVie_HU_03" w:date="2025-05-14T16:41:00Z">
        <w:r w:rsidRPr="00183B5F">
          <w:rPr>
            <w:szCs w:val="24"/>
          </w:rPr>
          <w:delText xml:space="preserve">Ha </w:delText>
        </w:r>
        <w:r w:rsidRPr="00183B5F">
          <w:rPr>
            <w:noProof/>
            <w:szCs w:val="24"/>
          </w:rPr>
          <w:delText>Önnél bármilyen</w:delText>
        </w:r>
        <w:r w:rsidRPr="00183B5F">
          <w:rPr>
            <w:szCs w:val="24"/>
          </w:rPr>
          <w:delText xml:space="preserve"> mellékhatás </w:delText>
        </w:r>
        <w:r w:rsidRPr="00183B5F">
          <w:rPr>
            <w:noProof/>
            <w:szCs w:val="24"/>
          </w:rPr>
          <w:delText xml:space="preserve">jelentkezik, tájékoztassa kezelőorvosát </w:delText>
        </w:r>
        <w:r w:rsidRPr="00183B5F">
          <w:rPr>
            <w:szCs w:val="24"/>
          </w:rPr>
          <w:delText xml:space="preserve">vagy </w:delText>
        </w:r>
        <w:r w:rsidRPr="00183B5F">
          <w:rPr>
            <w:noProof/>
            <w:szCs w:val="24"/>
          </w:rPr>
          <w:delText>gyógyszerészét. Ez</w:delText>
        </w:r>
        <w:r w:rsidRPr="00183B5F">
          <w:rPr>
            <w:szCs w:val="24"/>
          </w:rPr>
          <w:delText xml:space="preserve"> a betegtájékoztatóban </w:delText>
        </w:r>
        <w:r w:rsidRPr="00183B5F">
          <w:rPr>
            <w:noProof/>
            <w:szCs w:val="24"/>
          </w:rPr>
          <w:delText>fel nem sorolt bármilyen lehetséges mellékhatásra is vonatkozik.</w:delText>
        </w:r>
        <w:r w:rsidRPr="00183B5F">
          <w:delText xml:space="preserve">A mellékhatásokat közvetlenül a hatóság részére is bejelentheti az </w:delText>
        </w:r>
        <w:r w:rsidR="00FB29DF">
          <w:fldChar w:fldCharType="begin"/>
        </w:r>
        <w:r w:rsidR="00FB29DF">
          <w:delInstrText>HYPERLINK "http://www.ema.europa.eu/docs/en_GB/document_library/Template_or_form/2013/03/WC500139752.doc"</w:delInstrText>
        </w:r>
        <w:r w:rsidR="00FB29DF">
          <w:fldChar w:fldCharType="separate"/>
        </w:r>
        <w:r w:rsidR="00FB29DF" w:rsidRPr="00183B5F">
          <w:rPr>
            <w:rStyle w:val="Hyperlink"/>
            <w:highlight w:val="lightGray"/>
          </w:rPr>
          <w:delText>V. függelékben</w:delText>
        </w:r>
        <w:r w:rsidR="00FB29DF">
          <w:fldChar w:fldCharType="end"/>
        </w:r>
        <w:r w:rsidR="00FB29DF" w:rsidRPr="00183B5F">
          <w:rPr>
            <w:highlight w:val="lightGray"/>
          </w:rPr>
          <w:delText xml:space="preserve"> található elérhetőségeken keresztül</w:delText>
        </w:r>
        <w:r w:rsidRPr="00183B5F">
          <w:delText>. A mellékhatások bejelentésével Ön is hozzájárulhat ahhoz, hogy minél több információ álljon rendelkezésre a gyógyszer biztonságos alkalmazásával kapcsolatban.</w:delText>
        </w:r>
      </w:del>
    </w:p>
    <w:p w14:paraId="7D545939" w14:textId="40260175" w:rsidR="00120A59" w:rsidRPr="00183B5F" w:rsidRDefault="00120A59" w:rsidP="00966731">
      <w:pPr>
        <w:spacing w:line="240" w:lineRule="auto"/>
        <w:ind w:right="-2"/>
        <w:rPr>
          <w:del w:id="12298" w:author="AbbVie_HU_03" w:date="2025-05-14T16:41:00Z"/>
          <w:szCs w:val="22"/>
        </w:rPr>
      </w:pPr>
    </w:p>
    <w:p w14:paraId="27EFDD37" w14:textId="0D12B11C" w:rsidR="00FB6710" w:rsidRPr="00183B5F" w:rsidRDefault="00FB6710" w:rsidP="00966731">
      <w:pPr>
        <w:tabs>
          <w:tab w:val="left" w:pos="7980"/>
        </w:tabs>
        <w:spacing w:line="240" w:lineRule="auto"/>
        <w:ind w:right="-2"/>
        <w:rPr>
          <w:del w:id="12299" w:author="AbbVie_HU_03" w:date="2025-05-14T16:41:00Z"/>
          <w:szCs w:val="22"/>
        </w:rPr>
      </w:pPr>
    </w:p>
    <w:p w14:paraId="3806440C" w14:textId="433F156F" w:rsidR="00FB6710" w:rsidRPr="00183B5F" w:rsidRDefault="00943743" w:rsidP="00966731">
      <w:pPr>
        <w:keepNext/>
        <w:spacing w:line="240" w:lineRule="auto"/>
        <w:ind w:left="567" w:hanging="567"/>
        <w:rPr>
          <w:del w:id="12300" w:author="AbbVie_HU_03" w:date="2025-05-14T16:41:00Z"/>
          <w:b/>
          <w:szCs w:val="22"/>
        </w:rPr>
      </w:pPr>
      <w:del w:id="12301" w:author="AbbVie_HU_03" w:date="2025-05-14T16:41:00Z">
        <w:r w:rsidRPr="00183B5F">
          <w:rPr>
            <w:b/>
            <w:szCs w:val="22"/>
          </w:rPr>
          <w:delText>5.</w:delText>
        </w:r>
        <w:r w:rsidRPr="00183B5F">
          <w:rPr>
            <w:b/>
            <w:szCs w:val="22"/>
          </w:rPr>
          <w:tab/>
        </w:r>
        <w:r w:rsidR="00A13868" w:rsidRPr="00183B5F">
          <w:rPr>
            <w:b/>
            <w:szCs w:val="22"/>
          </w:rPr>
          <w:delText>Hogyan kell a Humira</w:delText>
        </w:r>
        <w:r w:rsidR="00A13868" w:rsidRPr="00183B5F">
          <w:rPr>
            <w:b/>
            <w:szCs w:val="22"/>
          </w:rPr>
          <w:noBreakHyphen/>
          <w:delText>t tárolni</w:delText>
        </w:r>
        <w:r w:rsidR="00B54E17" w:rsidRPr="00183B5F">
          <w:rPr>
            <w:b/>
            <w:szCs w:val="22"/>
          </w:rPr>
          <w:delText>?</w:delText>
        </w:r>
      </w:del>
    </w:p>
    <w:p w14:paraId="636D5B9F" w14:textId="6626113F" w:rsidR="00FB6710" w:rsidRPr="00183B5F" w:rsidRDefault="00FB6710" w:rsidP="00966731">
      <w:pPr>
        <w:keepNext/>
        <w:spacing w:line="240" w:lineRule="auto"/>
        <w:rPr>
          <w:del w:id="12302" w:author="AbbVie_HU_03" w:date="2025-05-14T16:41:00Z"/>
          <w:szCs w:val="22"/>
        </w:rPr>
      </w:pPr>
    </w:p>
    <w:p w14:paraId="7560C5BD" w14:textId="71183EC3" w:rsidR="00FB6710" w:rsidRPr="00183B5F" w:rsidRDefault="00943743" w:rsidP="00966731">
      <w:pPr>
        <w:keepNext/>
        <w:spacing w:line="240" w:lineRule="auto"/>
        <w:rPr>
          <w:del w:id="12303" w:author="AbbVie_HU_03" w:date="2025-05-14T16:41:00Z"/>
          <w:szCs w:val="22"/>
        </w:rPr>
      </w:pPr>
      <w:del w:id="12304" w:author="AbbVie_HU_03" w:date="2025-05-14T16:41:00Z">
        <w:r w:rsidRPr="00183B5F">
          <w:rPr>
            <w:szCs w:val="22"/>
          </w:rPr>
          <w:delText>A gyógyszer gyermek</w:delText>
        </w:r>
        <w:r w:rsidR="00472E28" w:rsidRPr="00183B5F">
          <w:rPr>
            <w:szCs w:val="22"/>
          </w:rPr>
          <w:delText>ek</w:delText>
        </w:r>
        <w:r w:rsidRPr="00183B5F">
          <w:rPr>
            <w:szCs w:val="22"/>
          </w:rPr>
          <w:delText>től elzárva tartandó</w:delText>
        </w:r>
        <w:r w:rsidR="008172BB" w:rsidRPr="00183B5F">
          <w:rPr>
            <w:szCs w:val="22"/>
          </w:rPr>
          <w:delText>.</w:delText>
        </w:r>
      </w:del>
    </w:p>
    <w:p w14:paraId="1C8EE1D8" w14:textId="4A2CA8CA" w:rsidR="00FB6710" w:rsidRPr="00183B5F" w:rsidRDefault="00FB6710" w:rsidP="00966731">
      <w:pPr>
        <w:spacing w:line="240" w:lineRule="auto"/>
        <w:rPr>
          <w:del w:id="12305" w:author="AbbVie_HU_03" w:date="2025-05-14T16:41:00Z"/>
          <w:szCs w:val="22"/>
        </w:rPr>
      </w:pPr>
    </w:p>
    <w:p w14:paraId="307ACA73" w14:textId="4744BA2B" w:rsidR="00FB6710" w:rsidRPr="00183B5F" w:rsidRDefault="00943743" w:rsidP="00966731">
      <w:pPr>
        <w:spacing w:line="240" w:lineRule="auto"/>
        <w:rPr>
          <w:del w:id="12306" w:author="AbbVie_HU_03" w:date="2025-05-14T16:41:00Z"/>
          <w:szCs w:val="22"/>
        </w:rPr>
      </w:pPr>
      <w:del w:id="12307" w:author="AbbVie_HU_03" w:date="2025-05-14T16:41:00Z">
        <w:r w:rsidRPr="00183B5F">
          <w:rPr>
            <w:szCs w:val="22"/>
          </w:rPr>
          <w:delText>A címkén/</w:delText>
        </w:r>
        <w:r w:rsidR="009F5334" w:rsidRPr="00183B5F">
          <w:rPr>
            <w:szCs w:val="22"/>
          </w:rPr>
          <w:delText>buborékcsomagoláson</w:delText>
        </w:r>
        <w:r w:rsidRPr="00183B5F">
          <w:rPr>
            <w:szCs w:val="22"/>
          </w:rPr>
          <w:delText>/dobozon feltüntetett lejárati idő (</w:delText>
        </w:r>
        <w:r w:rsidR="00C63E72" w:rsidRPr="00183B5F">
          <w:rPr>
            <w:szCs w:val="22"/>
          </w:rPr>
          <w:delText>EXP</w:delText>
        </w:r>
        <w:r w:rsidRPr="00183B5F">
          <w:rPr>
            <w:szCs w:val="22"/>
          </w:rPr>
          <w:delText xml:space="preserve">) után ne alkalmazza </w:delText>
        </w:r>
        <w:r w:rsidR="00FB29DF" w:rsidRPr="00183B5F">
          <w:rPr>
            <w:szCs w:val="22"/>
          </w:rPr>
          <w:delText xml:space="preserve">ezt </w:delText>
        </w:r>
        <w:r w:rsidR="00A13868" w:rsidRPr="00183B5F">
          <w:rPr>
            <w:noProof/>
            <w:szCs w:val="24"/>
          </w:rPr>
          <w:delText>a gyógyszert</w:delText>
        </w:r>
        <w:r w:rsidRPr="00183B5F">
          <w:rPr>
            <w:szCs w:val="22"/>
          </w:rPr>
          <w:delText>.</w:delText>
        </w:r>
      </w:del>
    </w:p>
    <w:p w14:paraId="71B57358" w14:textId="32A6E15C" w:rsidR="00FB6710" w:rsidRPr="00183B5F" w:rsidRDefault="00FB6710" w:rsidP="00966731">
      <w:pPr>
        <w:spacing w:line="240" w:lineRule="auto"/>
        <w:rPr>
          <w:del w:id="12308" w:author="AbbVie_HU_03" w:date="2025-05-14T16:41:00Z"/>
          <w:szCs w:val="22"/>
        </w:rPr>
      </w:pPr>
    </w:p>
    <w:p w14:paraId="5916E171" w14:textId="2081A17B" w:rsidR="008172BB" w:rsidRPr="00183B5F" w:rsidRDefault="00943743" w:rsidP="00966731">
      <w:pPr>
        <w:spacing w:line="240" w:lineRule="auto"/>
        <w:rPr>
          <w:del w:id="12309" w:author="AbbVie_HU_03" w:date="2025-05-14T16:41:00Z"/>
          <w:szCs w:val="22"/>
        </w:rPr>
      </w:pPr>
      <w:del w:id="12310" w:author="AbbVie_HU_03" w:date="2025-05-14T16:41:00Z">
        <w:r w:rsidRPr="00183B5F">
          <w:rPr>
            <w:szCs w:val="22"/>
          </w:rPr>
          <w:delText xml:space="preserve">Hűtőszekrényben </w:delText>
        </w:r>
        <w:r w:rsidR="008145AC" w:rsidRPr="00183B5F">
          <w:rPr>
            <w:szCs w:val="22"/>
          </w:rPr>
          <w:delText>(2°C</w:delText>
        </w:r>
        <w:r w:rsidR="001B213F" w:rsidRPr="00183B5F">
          <w:rPr>
            <w:szCs w:val="22"/>
          </w:rPr>
          <w:noBreakHyphen/>
        </w:r>
        <w:r w:rsidR="008145AC" w:rsidRPr="00183B5F">
          <w:rPr>
            <w:szCs w:val="22"/>
          </w:rPr>
          <w:delText>8</w:delText>
        </w:r>
        <w:r w:rsidR="00E3529F" w:rsidRPr="00183B5F">
          <w:rPr>
            <w:rFonts w:ascii="Symbol" w:hAnsi="Symbol"/>
            <w:szCs w:val="22"/>
          </w:rPr>
          <w:sym w:font="Symbol" w:char="F0B0"/>
        </w:r>
        <w:r w:rsidR="008145AC" w:rsidRPr="00183B5F">
          <w:rPr>
            <w:szCs w:val="22"/>
          </w:rPr>
          <w:delText xml:space="preserve">C) </w:delText>
        </w:r>
        <w:r w:rsidRPr="00183B5F">
          <w:rPr>
            <w:szCs w:val="22"/>
          </w:rPr>
          <w:delText>tárolandó. Nem fagyasztható</w:delText>
        </w:r>
        <w:r w:rsidR="006B2BB7" w:rsidRPr="00183B5F">
          <w:rPr>
            <w:szCs w:val="22"/>
          </w:rPr>
          <w:delText>!</w:delText>
        </w:r>
      </w:del>
    </w:p>
    <w:p w14:paraId="5DD38A3C" w14:textId="281CA109" w:rsidR="008172BB" w:rsidRPr="00183B5F" w:rsidRDefault="008172BB" w:rsidP="00966731">
      <w:pPr>
        <w:spacing w:line="240" w:lineRule="auto"/>
        <w:rPr>
          <w:del w:id="12311" w:author="AbbVie_HU_03" w:date="2025-05-14T16:41:00Z"/>
          <w:szCs w:val="22"/>
        </w:rPr>
      </w:pPr>
    </w:p>
    <w:p w14:paraId="176B0600" w14:textId="0A24C668" w:rsidR="00FB6710" w:rsidRPr="00183B5F" w:rsidRDefault="00943743" w:rsidP="00966731">
      <w:pPr>
        <w:spacing w:line="240" w:lineRule="auto"/>
        <w:rPr>
          <w:del w:id="12312" w:author="AbbVie_HU_03" w:date="2025-05-14T16:41:00Z"/>
          <w:szCs w:val="22"/>
        </w:rPr>
      </w:pPr>
      <w:del w:id="12313" w:author="AbbVie_HU_03" w:date="2025-05-14T16:41:00Z">
        <w:r w:rsidRPr="00183B5F">
          <w:rPr>
            <w:szCs w:val="22"/>
          </w:rPr>
          <w:delText>A fénytől való védelem érdekében az előretöltött fecskendő a</w:delText>
        </w:r>
        <w:r w:rsidR="008145AC" w:rsidRPr="00183B5F">
          <w:rPr>
            <w:szCs w:val="22"/>
          </w:rPr>
          <w:delText>z eredeti dobozban tárolandó</w:delText>
        </w:r>
        <w:r w:rsidRPr="00183B5F">
          <w:rPr>
            <w:szCs w:val="22"/>
          </w:rPr>
          <w:delText>.</w:delText>
        </w:r>
      </w:del>
    </w:p>
    <w:p w14:paraId="7FD1FE8B" w14:textId="3FDC4784" w:rsidR="00DD754B" w:rsidRPr="00183B5F" w:rsidRDefault="00DD754B" w:rsidP="00966731">
      <w:pPr>
        <w:spacing w:line="240" w:lineRule="auto"/>
        <w:rPr>
          <w:del w:id="12314" w:author="AbbVie_HU_03" w:date="2025-05-14T16:41:00Z"/>
          <w:szCs w:val="22"/>
        </w:rPr>
      </w:pPr>
    </w:p>
    <w:p w14:paraId="361F24D1" w14:textId="34EF9428" w:rsidR="00DD754B" w:rsidRPr="00183B5F" w:rsidRDefault="00943743" w:rsidP="00966731">
      <w:pPr>
        <w:spacing w:line="240" w:lineRule="auto"/>
        <w:rPr>
          <w:del w:id="12315" w:author="AbbVie_HU_03" w:date="2025-05-14T16:41:00Z"/>
          <w:szCs w:val="22"/>
        </w:rPr>
      </w:pPr>
      <w:del w:id="12316" w:author="AbbVie_HU_03" w:date="2025-05-14T16:41:00Z">
        <w:r w:rsidRPr="00183B5F">
          <w:rPr>
            <w:szCs w:val="22"/>
          </w:rPr>
          <w:delText>További tárolás</w:delText>
        </w:r>
        <w:r w:rsidR="00831C5C" w:rsidRPr="00183B5F">
          <w:rPr>
            <w:szCs w:val="22"/>
          </w:rPr>
          <w:delText>i lehetőség</w:delText>
        </w:r>
        <w:r w:rsidRPr="00183B5F">
          <w:rPr>
            <w:szCs w:val="22"/>
          </w:rPr>
          <w:delText>:</w:delText>
        </w:r>
      </w:del>
    </w:p>
    <w:p w14:paraId="63D42563" w14:textId="661387F3" w:rsidR="00DD754B" w:rsidRPr="00183B5F" w:rsidRDefault="00DD754B" w:rsidP="00966731">
      <w:pPr>
        <w:spacing w:line="240" w:lineRule="auto"/>
        <w:rPr>
          <w:del w:id="12317" w:author="AbbVie_HU_03" w:date="2025-05-14T16:41:00Z"/>
          <w:szCs w:val="22"/>
        </w:rPr>
      </w:pPr>
    </w:p>
    <w:p w14:paraId="5CAB4165" w14:textId="33A5C91A" w:rsidR="00D0289D" w:rsidRPr="00183B5F" w:rsidRDefault="00943743" w:rsidP="00966731">
      <w:pPr>
        <w:spacing w:line="240" w:lineRule="auto"/>
        <w:rPr>
          <w:del w:id="12318" w:author="AbbVie_HU_03" w:date="2025-05-14T16:41:00Z"/>
          <w:szCs w:val="22"/>
        </w:rPr>
      </w:pPr>
      <w:del w:id="12319" w:author="AbbVie_HU_03" w:date="2025-05-14T16:41:00Z">
        <w:r w:rsidRPr="00183B5F">
          <w:rPr>
            <w:szCs w:val="22"/>
          </w:rPr>
          <w:delText>Amennyiben szükséges (</w:delText>
        </w:r>
        <w:r w:rsidR="00F15477" w:rsidRPr="00183B5F">
          <w:rPr>
            <w:bCs/>
            <w:szCs w:val="22"/>
          </w:rPr>
          <w:delText>például</w:delText>
        </w:r>
        <w:r w:rsidR="00472E28" w:rsidRPr="00183B5F">
          <w:rPr>
            <w:szCs w:val="22"/>
          </w:rPr>
          <w:delText> </w:delText>
        </w:r>
        <w:r w:rsidRPr="00183B5F">
          <w:rPr>
            <w:szCs w:val="22"/>
          </w:rPr>
          <w:delText xml:space="preserve">utazás alatt), </w:delText>
        </w:r>
        <w:r w:rsidR="00831C5C" w:rsidRPr="00183B5F">
          <w:rPr>
            <w:szCs w:val="22"/>
          </w:rPr>
          <w:delText xml:space="preserve">úgy </w:delText>
        </w:r>
        <w:r w:rsidR="00014D43" w:rsidRPr="00183B5F">
          <w:rPr>
            <w:szCs w:val="22"/>
          </w:rPr>
          <w:delText>önmagában a</w:delText>
        </w:r>
        <w:r w:rsidR="003D531B" w:rsidRPr="00183B5F">
          <w:rPr>
            <w:szCs w:val="22"/>
          </w:rPr>
          <w:delText xml:space="preserve"> Humira előretöltött fecskendő legfeljebb 25</w:delText>
        </w:r>
        <w:r w:rsidR="00E3529F" w:rsidRPr="00183B5F">
          <w:rPr>
            <w:rFonts w:ascii="Symbol" w:hAnsi="Symbol"/>
            <w:szCs w:val="22"/>
          </w:rPr>
          <w:sym w:font="Symbol" w:char="F0B0"/>
        </w:r>
        <w:r w:rsidR="003D531B" w:rsidRPr="00183B5F">
          <w:rPr>
            <w:szCs w:val="22"/>
          </w:rPr>
          <w:delText>C</w:delText>
        </w:r>
        <w:r w:rsidR="006D2BD0" w:rsidRPr="00183B5F">
          <w:rPr>
            <w:szCs w:val="22"/>
          </w:rPr>
          <w:noBreakHyphen/>
        </w:r>
        <w:r w:rsidR="003D531B" w:rsidRPr="00183B5F">
          <w:rPr>
            <w:szCs w:val="22"/>
          </w:rPr>
          <w:delText>on</w:delText>
        </w:r>
        <w:r w:rsidR="00014D43" w:rsidRPr="00183B5F">
          <w:rPr>
            <w:szCs w:val="22"/>
          </w:rPr>
          <w:delText>,</w:delText>
        </w:r>
        <w:r w:rsidR="003D531B" w:rsidRPr="00183B5F">
          <w:rPr>
            <w:szCs w:val="22"/>
          </w:rPr>
          <w:delText xml:space="preserve"> </w:delText>
        </w:r>
        <w:r w:rsidR="00831C5C" w:rsidRPr="00183B5F">
          <w:rPr>
            <w:szCs w:val="22"/>
          </w:rPr>
          <w:delText xml:space="preserve">maximum </w:delText>
        </w:r>
        <w:r w:rsidR="003D531B" w:rsidRPr="00183B5F">
          <w:rPr>
            <w:szCs w:val="22"/>
          </w:rPr>
          <w:delText>14</w:delText>
        </w:r>
        <w:r w:rsidR="005B7D8B" w:rsidRPr="00183B5F">
          <w:rPr>
            <w:szCs w:val="22"/>
          </w:rPr>
          <w:delText> </w:delText>
        </w:r>
        <w:r w:rsidR="003D531B" w:rsidRPr="00183B5F">
          <w:rPr>
            <w:szCs w:val="22"/>
          </w:rPr>
          <w:delText xml:space="preserve">napig tárolható. </w:delText>
        </w:r>
        <w:r w:rsidR="00B5755A" w:rsidRPr="00183B5F">
          <w:rPr>
            <w:szCs w:val="22"/>
          </w:rPr>
          <w:delText xml:space="preserve">A fénytől való védelmet biztosítani kell. </w:delText>
        </w:r>
        <w:r w:rsidR="001B554D" w:rsidRPr="00183B5F">
          <w:rPr>
            <w:szCs w:val="22"/>
          </w:rPr>
          <w:delText xml:space="preserve">Ha a </w:delText>
        </w:r>
        <w:r w:rsidR="00B5755A" w:rsidRPr="00183B5F">
          <w:rPr>
            <w:szCs w:val="22"/>
          </w:rPr>
          <w:delText xml:space="preserve">hűtőgépből </w:delText>
        </w:r>
        <w:r w:rsidR="00014D43" w:rsidRPr="00183B5F">
          <w:rPr>
            <w:szCs w:val="22"/>
          </w:rPr>
          <w:delText xml:space="preserve">kivette, hogy </w:delText>
        </w:r>
        <w:r w:rsidR="00B5755A" w:rsidRPr="00183B5F">
          <w:rPr>
            <w:szCs w:val="22"/>
          </w:rPr>
          <w:delText>szobahőmérsékleten tart</w:delText>
        </w:r>
        <w:r w:rsidR="00014D43" w:rsidRPr="00183B5F">
          <w:rPr>
            <w:szCs w:val="22"/>
          </w:rPr>
          <w:delText>sa</w:delText>
        </w:r>
        <w:r w:rsidR="00B5755A" w:rsidRPr="00183B5F">
          <w:rPr>
            <w:szCs w:val="22"/>
          </w:rPr>
          <w:delText xml:space="preserve">, </w:delText>
        </w:r>
        <w:r w:rsidR="00146D05" w:rsidRPr="00183B5F">
          <w:rPr>
            <w:szCs w:val="22"/>
          </w:rPr>
          <w:delText xml:space="preserve">úgy </w:delText>
        </w:r>
        <w:r w:rsidR="00B5755A" w:rsidRPr="00183B5F">
          <w:rPr>
            <w:szCs w:val="22"/>
          </w:rPr>
          <w:delText>a fecsken</w:delText>
        </w:r>
        <w:r w:rsidR="00860519" w:rsidRPr="00183B5F">
          <w:rPr>
            <w:szCs w:val="22"/>
          </w:rPr>
          <w:delText xml:space="preserve">dőt </w:delText>
        </w:r>
        <w:r w:rsidR="00860519" w:rsidRPr="00183B5F">
          <w:rPr>
            <w:b/>
            <w:szCs w:val="22"/>
          </w:rPr>
          <w:delText>14</w:delText>
        </w:r>
        <w:r w:rsidR="005B7D8B" w:rsidRPr="00183B5F">
          <w:rPr>
            <w:b/>
            <w:szCs w:val="22"/>
          </w:rPr>
          <w:delText> </w:delText>
        </w:r>
        <w:r w:rsidR="00860519" w:rsidRPr="00183B5F">
          <w:rPr>
            <w:b/>
            <w:szCs w:val="22"/>
          </w:rPr>
          <w:delText>nap</w:delText>
        </w:r>
        <w:r w:rsidR="00146D05" w:rsidRPr="00183B5F">
          <w:rPr>
            <w:b/>
            <w:szCs w:val="22"/>
          </w:rPr>
          <w:delText>on</w:delText>
        </w:r>
        <w:r w:rsidR="00860519" w:rsidRPr="00183B5F">
          <w:rPr>
            <w:b/>
            <w:szCs w:val="22"/>
          </w:rPr>
          <w:delText xml:space="preserve"> </w:delText>
        </w:r>
        <w:r w:rsidR="00146D05" w:rsidRPr="00183B5F">
          <w:rPr>
            <w:b/>
            <w:szCs w:val="22"/>
          </w:rPr>
          <w:delText>belül</w:delText>
        </w:r>
        <w:r w:rsidR="00860519" w:rsidRPr="00183B5F">
          <w:rPr>
            <w:b/>
            <w:szCs w:val="22"/>
          </w:rPr>
          <w:delText xml:space="preserve"> fel kell haszná</w:delText>
        </w:r>
        <w:r w:rsidR="00B5755A" w:rsidRPr="00183B5F">
          <w:rPr>
            <w:b/>
            <w:szCs w:val="22"/>
          </w:rPr>
          <w:delText>lni</w:delText>
        </w:r>
        <w:r w:rsidRPr="00183B5F">
          <w:rPr>
            <w:b/>
            <w:szCs w:val="22"/>
          </w:rPr>
          <w:delText>,</w:delText>
        </w:r>
        <w:r w:rsidR="009F0EF2" w:rsidRPr="00183B5F">
          <w:rPr>
            <w:b/>
            <w:szCs w:val="22"/>
          </w:rPr>
          <w:delText xml:space="preserve"> vagy meg kell semmisíteni</w:delText>
        </w:r>
        <w:r w:rsidR="00146D05" w:rsidRPr="00183B5F">
          <w:rPr>
            <w:szCs w:val="22"/>
          </w:rPr>
          <w:delText>,</w:delText>
        </w:r>
        <w:r w:rsidR="00B5755A" w:rsidRPr="00183B5F">
          <w:rPr>
            <w:szCs w:val="22"/>
          </w:rPr>
          <w:delText xml:space="preserve"> még akkor is, ha </w:delText>
        </w:r>
        <w:r w:rsidR="00860519" w:rsidRPr="00183B5F">
          <w:rPr>
            <w:szCs w:val="22"/>
          </w:rPr>
          <w:delText>visszatette a hűtőszekrénybe.</w:delText>
        </w:r>
      </w:del>
    </w:p>
    <w:p w14:paraId="30F8B841" w14:textId="7A20C64E" w:rsidR="00014D43" w:rsidRPr="00183B5F" w:rsidRDefault="00014D43" w:rsidP="00966731">
      <w:pPr>
        <w:spacing w:line="240" w:lineRule="auto"/>
        <w:rPr>
          <w:del w:id="12320" w:author="AbbVie_HU_03" w:date="2025-05-14T16:41:00Z"/>
          <w:szCs w:val="22"/>
        </w:rPr>
      </w:pPr>
    </w:p>
    <w:p w14:paraId="50C1530E" w14:textId="390CB1FF" w:rsidR="00C80150" w:rsidRPr="00183B5F" w:rsidRDefault="00943743" w:rsidP="00966731">
      <w:pPr>
        <w:spacing w:line="240" w:lineRule="auto"/>
        <w:rPr>
          <w:del w:id="12321" w:author="AbbVie_HU_03" w:date="2025-05-14T16:41:00Z"/>
          <w:szCs w:val="22"/>
        </w:rPr>
      </w:pPr>
      <w:del w:id="12322" w:author="AbbVie_HU_03" w:date="2025-05-14T16:41:00Z">
        <w:r w:rsidRPr="00183B5F">
          <w:rPr>
            <w:szCs w:val="22"/>
          </w:rPr>
          <w:delText>Jegyezze</w:delText>
        </w:r>
        <w:r w:rsidR="00D0289D" w:rsidRPr="00183B5F">
          <w:rPr>
            <w:szCs w:val="22"/>
          </w:rPr>
          <w:delText xml:space="preserve"> fel, hogy mikor vette ki </w:delText>
        </w:r>
        <w:r w:rsidR="005A7806" w:rsidRPr="00183B5F">
          <w:rPr>
            <w:szCs w:val="22"/>
          </w:rPr>
          <w:delText>először</w:delText>
        </w:r>
        <w:r w:rsidR="00014D43" w:rsidRPr="00183B5F">
          <w:rPr>
            <w:szCs w:val="22"/>
          </w:rPr>
          <w:delText xml:space="preserve"> a fecskendőt</w:delText>
        </w:r>
        <w:r w:rsidR="005A7806" w:rsidRPr="00183B5F">
          <w:rPr>
            <w:szCs w:val="22"/>
          </w:rPr>
          <w:delText xml:space="preserve"> </w:delText>
        </w:r>
        <w:r w:rsidR="00D0289D" w:rsidRPr="00183B5F">
          <w:rPr>
            <w:szCs w:val="22"/>
          </w:rPr>
          <w:delText>a hűtőszekrényből</w:delText>
        </w:r>
        <w:r w:rsidR="00014D43" w:rsidRPr="00183B5F">
          <w:rPr>
            <w:szCs w:val="22"/>
          </w:rPr>
          <w:delText>,</w:delText>
        </w:r>
        <w:r w:rsidR="00D0289D" w:rsidRPr="00183B5F">
          <w:rPr>
            <w:szCs w:val="22"/>
          </w:rPr>
          <w:delText xml:space="preserve"> és azt </w:delText>
        </w:r>
        <w:r w:rsidR="005A7806" w:rsidRPr="00183B5F">
          <w:rPr>
            <w:szCs w:val="22"/>
          </w:rPr>
          <w:delText xml:space="preserve">a dátumot is, </w:delText>
        </w:r>
        <w:r w:rsidR="00014D43" w:rsidRPr="00183B5F">
          <w:rPr>
            <w:szCs w:val="22"/>
          </w:rPr>
          <w:delText>ami</w:delText>
        </w:r>
        <w:r w:rsidRPr="00183B5F">
          <w:rPr>
            <w:szCs w:val="22"/>
          </w:rPr>
          <w:delText xml:space="preserve"> után </w:delText>
        </w:r>
        <w:r w:rsidR="00014D43" w:rsidRPr="00183B5F">
          <w:rPr>
            <w:szCs w:val="22"/>
          </w:rPr>
          <w:delText xml:space="preserve">azt </w:delText>
        </w:r>
        <w:r w:rsidR="00D0289D" w:rsidRPr="00183B5F">
          <w:rPr>
            <w:szCs w:val="22"/>
          </w:rPr>
          <w:delText>meg</w:delText>
        </w:r>
        <w:r w:rsidR="005A7806" w:rsidRPr="00183B5F">
          <w:rPr>
            <w:szCs w:val="22"/>
          </w:rPr>
          <w:delText xml:space="preserve"> kell </w:delText>
        </w:r>
        <w:r w:rsidR="00D0289D" w:rsidRPr="00183B5F">
          <w:rPr>
            <w:szCs w:val="22"/>
          </w:rPr>
          <w:delText>semmisíteni.</w:delText>
        </w:r>
      </w:del>
    </w:p>
    <w:p w14:paraId="239C17D4" w14:textId="371543A0" w:rsidR="009F0EF2" w:rsidRPr="00183B5F" w:rsidRDefault="009F0EF2" w:rsidP="00966731">
      <w:pPr>
        <w:spacing w:line="240" w:lineRule="auto"/>
        <w:ind w:right="-2"/>
        <w:rPr>
          <w:del w:id="12323" w:author="AbbVie_HU_03" w:date="2025-05-14T16:41:00Z"/>
          <w:b/>
          <w:szCs w:val="22"/>
        </w:rPr>
      </w:pPr>
    </w:p>
    <w:p w14:paraId="364AEE64" w14:textId="10302E0D" w:rsidR="00A13868" w:rsidRPr="00183B5F" w:rsidRDefault="00943743" w:rsidP="00966731">
      <w:pPr>
        <w:spacing w:line="240" w:lineRule="auto"/>
        <w:ind w:right="-2"/>
        <w:rPr>
          <w:del w:id="12324" w:author="AbbVie_HU_03" w:date="2025-05-14T16:41:00Z"/>
          <w:szCs w:val="22"/>
        </w:rPr>
      </w:pPr>
      <w:del w:id="12325" w:author="AbbVie_HU_03" w:date="2025-05-14T16:41:00Z">
        <w:r w:rsidRPr="00183B5F">
          <w:rPr>
            <w:noProof/>
            <w:szCs w:val="24"/>
          </w:rPr>
          <w:delText xml:space="preserve">Semmilyen gyógyszert ne dobjon a szennyvízbe </w:delText>
        </w:r>
        <w:r w:rsidRPr="00183B5F">
          <w:rPr>
            <w:szCs w:val="24"/>
          </w:rPr>
          <w:delText xml:space="preserve">vagy a háztartási </w:delText>
        </w:r>
        <w:r w:rsidRPr="00183B5F">
          <w:rPr>
            <w:noProof/>
            <w:szCs w:val="24"/>
          </w:rPr>
          <w:delText>hulladékba.</w:delText>
        </w:r>
        <w:r w:rsidRPr="00183B5F">
          <w:rPr>
            <w:szCs w:val="24"/>
          </w:rPr>
          <w:delText xml:space="preserve"> Kérdezze meg gyógyszerészét, hogy mit tegyen </w:delText>
        </w:r>
        <w:r w:rsidRPr="00183B5F">
          <w:rPr>
            <w:noProof/>
            <w:szCs w:val="24"/>
          </w:rPr>
          <w:delText>a már nem használt</w:delText>
        </w:r>
        <w:r w:rsidRPr="00183B5F">
          <w:rPr>
            <w:szCs w:val="24"/>
          </w:rPr>
          <w:delText xml:space="preserve"> gyógyszereivel. </w:delText>
        </w:r>
        <w:r w:rsidRPr="00183B5F">
          <w:rPr>
            <w:noProof/>
            <w:szCs w:val="24"/>
          </w:rPr>
          <w:delText>Ezek az intézkedések elősegítik a környezet védelmét.</w:delText>
        </w:r>
      </w:del>
    </w:p>
    <w:p w14:paraId="73A84C04" w14:textId="23635BE7" w:rsidR="00A13868" w:rsidRPr="00183B5F" w:rsidRDefault="00A13868" w:rsidP="00966731">
      <w:pPr>
        <w:spacing w:line="240" w:lineRule="auto"/>
        <w:ind w:right="-2"/>
        <w:rPr>
          <w:del w:id="12326" w:author="AbbVie_HU_03" w:date="2025-05-14T16:41:00Z"/>
          <w:szCs w:val="22"/>
        </w:rPr>
      </w:pPr>
    </w:p>
    <w:p w14:paraId="1A791F8E" w14:textId="35C962B8" w:rsidR="00A13868" w:rsidRPr="00183B5F" w:rsidRDefault="00A13868" w:rsidP="00966731">
      <w:pPr>
        <w:spacing w:line="240" w:lineRule="auto"/>
        <w:ind w:right="-2"/>
        <w:rPr>
          <w:del w:id="12327" w:author="AbbVie_HU_03" w:date="2025-05-14T16:41:00Z"/>
          <w:szCs w:val="22"/>
        </w:rPr>
      </w:pPr>
    </w:p>
    <w:p w14:paraId="33BC45DB" w14:textId="4BE7BBDC" w:rsidR="00307C6D" w:rsidRPr="00183B5F" w:rsidRDefault="00943743" w:rsidP="00966731">
      <w:pPr>
        <w:keepNext/>
        <w:spacing w:line="240" w:lineRule="auto"/>
        <w:ind w:right="-2"/>
        <w:rPr>
          <w:del w:id="12328" w:author="AbbVie_HU_03" w:date="2025-05-14T16:41:00Z"/>
          <w:b/>
          <w:szCs w:val="22"/>
        </w:rPr>
      </w:pPr>
      <w:del w:id="12329" w:author="AbbVie_HU_03" w:date="2025-05-14T16:41:00Z">
        <w:r w:rsidRPr="00183B5F">
          <w:rPr>
            <w:b/>
            <w:szCs w:val="22"/>
          </w:rPr>
          <w:delText>6.</w:delText>
        </w:r>
        <w:r w:rsidRPr="00183B5F">
          <w:rPr>
            <w:b/>
            <w:szCs w:val="22"/>
          </w:rPr>
          <w:tab/>
        </w:r>
        <w:r w:rsidRPr="00183B5F">
          <w:rPr>
            <w:b/>
            <w:noProof/>
            <w:szCs w:val="24"/>
          </w:rPr>
          <w:delText>A csomagolás tartalma és egyéb információk</w:delText>
        </w:r>
      </w:del>
    </w:p>
    <w:p w14:paraId="58D0B009" w14:textId="141EB8AC" w:rsidR="00FB6710" w:rsidRPr="00183B5F" w:rsidRDefault="00FB6710" w:rsidP="00966731">
      <w:pPr>
        <w:keepNext/>
        <w:spacing w:line="240" w:lineRule="auto"/>
        <w:rPr>
          <w:del w:id="12330" w:author="AbbVie_HU_03" w:date="2025-05-14T16:41:00Z"/>
          <w:szCs w:val="22"/>
        </w:rPr>
      </w:pPr>
    </w:p>
    <w:p w14:paraId="58FE1C10" w14:textId="61E68195" w:rsidR="00FB6710" w:rsidRPr="00183B5F" w:rsidRDefault="00943743" w:rsidP="00966731">
      <w:pPr>
        <w:keepNext/>
        <w:spacing w:line="240" w:lineRule="auto"/>
        <w:rPr>
          <w:del w:id="12331" w:author="AbbVie_HU_03" w:date="2025-05-14T16:41:00Z"/>
          <w:b/>
          <w:bCs/>
          <w:szCs w:val="22"/>
        </w:rPr>
      </w:pPr>
      <w:del w:id="12332" w:author="AbbVie_HU_03" w:date="2025-05-14T16:41:00Z">
        <w:r w:rsidRPr="00183B5F">
          <w:rPr>
            <w:b/>
            <w:bCs/>
            <w:szCs w:val="22"/>
          </w:rPr>
          <w:delText>Mit tartalmaz a Humira</w:delText>
        </w:r>
        <w:r w:rsidR="00CF23F3" w:rsidRPr="00183B5F">
          <w:rPr>
            <w:b/>
            <w:bCs/>
            <w:szCs w:val="22"/>
          </w:rPr>
          <w:delText>?</w:delText>
        </w:r>
      </w:del>
    </w:p>
    <w:p w14:paraId="27878701" w14:textId="630626FD" w:rsidR="00FB6710" w:rsidRPr="00183B5F" w:rsidRDefault="00FB6710" w:rsidP="00966731">
      <w:pPr>
        <w:keepNext/>
        <w:spacing w:line="240" w:lineRule="auto"/>
        <w:rPr>
          <w:del w:id="12333" w:author="AbbVie_HU_03" w:date="2025-05-14T16:41:00Z"/>
          <w:bCs/>
          <w:szCs w:val="22"/>
        </w:rPr>
      </w:pPr>
    </w:p>
    <w:p w14:paraId="1552E824" w14:textId="2D92F4B4" w:rsidR="00FB6710" w:rsidRPr="00183B5F" w:rsidRDefault="00943743" w:rsidP="00966731">
      <w:pPr>
        <w:keepNext/>
        <w:spacing w:line="240" w:lineRule="auto"/>
        <w:rPr>
          <w:del w:id="12334" w:author="AbbVie_HU_03" w:date="2025-05-14T16:41:00Z"/>
          <w:szCs w:val="22"/>
        </w:rPr>
      </w:pPr>
      <w:del w:id="12335" w:author="AbbVie_HU_03" w:date="2025-05-14T16:41:00Z">
        <w:r w:rsidRPr="00183B5F">
          <w:rPr>
            <w:szCs w:val="22"/>
          </w:rPr>
          <w:delText>A készítmény hatóanyaga: adalimumab.</w:delText>
        </w:r>
      </w:del>
    </w:p>
    <w:p w14:paraId="28A05817" w14:textId="134A6460" w:rsidR="00FB6710" w:rsidRPr="00183B5F" w:rsidRDefault="00943743" w:rsidP="00966731">
      <w:pPr>
        <w:spacing w:line="240" w:lineRule="auto"/>
        <w:rPr>
          <w:del w:id="12336" w:author="AbbVie_HU_03" w:date="2025-05-14T16:41:00Z"/>
          <w:szCs w:val="22"/>
        </w:rPr>
      </w:pPr>
      <w:del w:id="12337" w:author="AbbVie_HU_03" w:date="2025-05-14T16:41:00Z">
        <w:r w:rsidRPr="00183B5F">
          <w:rPr>
            <w:szCs w:val="22"/>
          </w:rPr>
          <w:delText>Egyéb összetevők: mannit, citromsav</w:delText>
        </w:r>
        <w:r w:rsidR="00B17581" w:rsidRPr="00183B5F">
          <w:rPr>
            <w:szCs w:val="22"/>
          </w:rPr>
          <w:delText>-</w:delText>
        </w:r>
        <w:r w:rsidRPr="00183B5F">
          <w:rPr>
            <w:szCs w:val="22"/>
          </w:rPr>
          <w:delText xml:space="preserve">monohidrát, </w:delText>
        </w:r>
        <w:r w:rsidR="00B17581" w:rsidRPr="00183B5F">
          <w:rPr>
            <w:szCs w:val="22"/>
          </w:rPr>
          <w:delText>tri</w:delText>
        </w:r>
        <w:r w:rsidRPr="00183B5F">
          <w:rPr>
            <w:szCs w:val="22"/>
          </w:rPr>
          <w:delText>nátrium-citrát, nátrium-dihidrogén-foszfát-dihidrát, dinátrium-</w:delText>
        </w:r>
        <w:r w:rsidR="00B17581" w:rsidRPr="00183B5F">
          <w:rPr>
            <w:szCs w:val="22"/>
          </w:rPr>
          <w:delText>hidrogén-</w:delText>
        </w:r>
        <w:r w:rsidR="007C581D" w:rsidRPr="00183B5F">
          <w:rPr>
            <w:szCs w:val="22"/>
          </w:rPr>
          <w:delText>foszfát</w:delText>
        </w:r>
        <w:r w:rsidR="007C581D" w:rsidRPr="00183B5F">
          <w:rPr>
            <w:szCs w:val="22"/>
          </w:rPr>
          <w:noBreakHyphen/>
        </w:r>
        <w:r w:rsidRPr="00183B5F">
          <w:rPr>
            <w:szCs w:val="22"/>
          </w:rPr>
          <w:delText xml:space="preserve">dihidrát, nátrium-klorid, poliszorbát 80, nátrium-hidroxid és </w:delText>
        </w:r>
        <w:r w:rsidR="00B17581" w:rsidRPr="00183B5F">
          <w:rPr>
            <w:szCs w:val="22"/>
          </w:rPr>
          <w:delText xml:space="preserve">injekcióhoz való </w:delText>
        </w:r>
        <w:r w:rsidRPr="00183B5F">
          <w:rPr>
            <w:szCs w:val="22"/>
          </w:rPr>
          <w:delText>víz.</w:delText>
        </w:r>
      </w:del>
    </w:p>
    <w:p w14:paraId="2A6027E0" w14:textId="27F983E7" w:rsidR="008172BB" w:rsidRPr="00183B5F" w:rsidRDefault="008172BB" w:rsidP="00966731">
      <w:pPr>
        <w:spacing w:line="240" w:lineRule="auto"/>
        <w:rPr>
          <w:del w:id="12338" w:author="AbbVie_HU_03" w:date="2025-05-14T16:41:00Z"/>
          <w:szCs w:val="22"/>
        </w:rPr>
      </w:pPr>
    </w:p>
    <w:p w14:paraId="45E674B9" w14:textId="3DF77480" w:rsidR="00FB6710" w:rsidRPr="00183B5F" w:rsidRDefault="00943743" w:rsidP="00966731">
      <w:pPr>
        <w:spacing w:line="240" w:lineRule="auto"/>
        <w:rPr>
          <w:del w:id="12339" w:author="AbbVie_HU_03" w:date="2025-05-14T16:41:00Z"/>
          <w:b/>
          <w:bCs/>
          <w:szCs w:val="22"/>
        </w:rPr>
      </w:pPr>
      <w:del w:id="12340" w:author="AbbVie_HU_03" w:date="2025-05-14T16:41:00Z">
        <w:r w:rsidRPr="00183B5F">
          <w:rPr>
            <w:b/>
            <w:bCs/>
            <w:szCs w:val="22"/>
          </w:rPr>
          <w:delText>Milyen a Humira külleme és mit tartalmaz a csomagolás</w:delText>
        </w:r>
        <w:r w:rsidR="00CF23F3" w:rsidRPr="00183B5F">
          <w:rPr>
            <w:b/>
            <w:bCs/>
            <w:szCs w:val="22"/>
          </w:rPr>
          <w:delText>?</w:delText>
        </w:r>
      </w:del>
    </w:p>
    <w:p w14:paraId="3518A776" w14:textId="593D3900" w:rsidR="00FB6710" w:rsidRPr="00183B5F" w:rsidRDefault="00FB6710" w:rsidP="00966731">
      <w:pPr>
        <w:spacing w:line="240" w:lineRule="auto"/>
        <w:rPr>
          <w:del w:id="12341" w:author="AbbVie_HU_03" w:date="2025-05-14T16:41:00Z"/>
          <w:szCs w:val="22"/>
        </w:rPr>
      </w:pPr>
    </w:p>
    <w:p w14:paraId="0DDD33EF" w14:textId="24FD7FB5" w:rsidR="00FB6710" w:rsidRPr="00183B5F" w:rsidRDefault="00943743" w:rsidP="00966731">
      <w:pPr>
        <w:spacing w:line="240" w:lineRule="auto"/>
        <w:rPr>
          <w:del w:id="12342" w:author="AbbVie_HU_03" w:date="2025-05-14T16:41:00Z"/>
          <w:szCs w:val="22"/>
        </w:rPr>
      </w:pPr>
      <w:del w:id="12343" w:author="AbbVie_HU_03" w:date="2025-05-14T16:41:00Z">
        <w:r w:rsidRPr="00183B5F">
          <w:rPr>
            <w:szCs w:val="22"/>
          </w:rPr>
          <w:delText>A Humira 40 mg oldatos injekció előretöltött fecskendőben 40 mg adalimumabot tartalmazó 0,8 ml steril oldat formájában kerül forgalomba.</w:delText>
        </w:r>
      </w:del>
    </w:p>
    <w:p w14:paraId="7A1E1809" w14:textId="2C190392" w:rsidR="00FB6710" w:rsidRPr="00183B5F" w:rsidRDefault="00FB6710" w:rsidP="00966731">
      <w:pPr>
        <w:spacing w:line="240" w:lineRule="auto"/>
        <w:rPr>
          <w:del w:id="12344" w:author="AbbVie_HU_03" w:date="2025-05-14T16:41:00Z"/>
          <w:szCs w:val="22"/>
        </w:rPr>
      </w:pPr>
    </w:p>
    <w:p w14:paraId="6F8D04A8" w14:textId="34B8E6D9" w:rsidR="00FB6710" w:rsidRPr="00183B5F" w:rsidRDefault="00943743" w:rsidP="00966731">
      <w:pPr>
        <w:spacing w:line="240" w:lineRule="auto"/>
        <w:rPr>
          <w:del w:id="12345" w:author="AbbVie_HU_03" w:date="2025-05-14T16:41:00Z"/>
          <w:szCs w:val="22"/>
        </w:rPr>
      </w:pPr>
      <w:del w:id="12346" w:author="AbbVie_HU_03" w:date="2025-05-14T16:41:00Z">
        <w:r w:rsidRPr="00183B5F">
          <w:rPr>
            <w:szCs w:val="22"/>
          </w:rPr>
          <w:delText>A Humira előretöltött fecskendő üvegből készült és adalimumab oldatot tartalmaz</w:delText>
        </w:r>
        <w:r w:rsidR="008D7030" w:rsidRPr="00183B5F">
          <w:rPr>
            <w:szCs w:val="22"/>
          </w:rPr>
          <w:delText>.</w:delText>
        </w:r>
      </w:del>
    </w:p>
    <w:p w14:paraId="0FF896BF" w14:textId="338582B7" w:rsidR="00FB6710" w:rsidRPr="00183B5F" w:rsidRDefault="00943743" w:rsidP="00966731">
      <w:pPr>
        <w:spacing w:line="240" w:lineRule="auto"/>
        <w:rPr>
          <w:del w:id="12347" w:author="AbbVie_HU_03" w:date="2025-05-14T16:41:00Z"/>
          <w:szCs w:val="22"/>
        </w:rPr>
      </w:pPr>
      <w:del w:id="12348" w:author="AbbVie_HU_03" w:date="2025-05-14T16:41:00Z">
        <w:r w:rsidRPr="00183B5F">
          <w:rPr>
            <w:szCs w:val="22"/>
          </w:rPr>
          <w:delText>Csomagolási egységek: 1, 2, 4 vagy 6 előretöltött fecskendő, 1, 2, 4 vagy 6 alkoholos törlőkendővel.</w:delText>
        </w:r>
      </w:del>
    </w:p>
    <w:p w14:paraId="4EBBDEA6" w14:textId="73F771F6" w:rsidR="00FB6710" w:rsidRPr="00183B5F" w:rsidRDefault="00943743" w:rsidP="00966731">
      <w:pPr>
        <w:spacing w:line="240" w:lineRule="auto"/>
        <w:rPr>
          <w:del w:id="12349" w:author="AbbVie_HU_03" w:date="2025-05-14T16:41:00Z"/>
          <w:szCs w:val="22"/>
        </w:rPr>
      </w:pPr>
      <w:del w:id="12350" w:author="AbbVie_HU_03" w:date="2025-05-14T16:41:00Z">
        <w:r w:rsidRPr="00183B5F">
          <w:rPr>
            <w:szCs w:val="22"/>
          </w:rPr>
          <w:delText>Nem feltétlenül mindegyik kiszerelés kerül kereskedelmi forgalomba.</w:delText>
        </w:r>
      </w:del>
    </w:p>
    <w:p w14:paraId="1859682A" w14:textId="76DBDE47" w:rsidR="00161F48" w:rsidRPr="00183B5F" w:rsidRDefault="00161F48" w:rsidP="00966731">
      <w:pPr>
        <w:spacing w:line="240" w:lineRule="auto"/>
        <w:rPr>
          <w:del w:id="12351" w:author="AbbVie_HU_03" w:date="2025-05-14T16:41:00Z"/>
          <w:szCs w:val="22"/>
        </w:rPr>
      </w:pPr>
    </w:p>
    <w:p w14:paraId="38FDCF47" w14:textId="02F79735" w:rsidR="00FB6710" w:rsidRPr="00183B5F" w:rsidRDefault="00943743" w:rsidP="00966731">
      <w:pPr>
        <w:spacing w:line="240" w:lineRule="auto"/>
        <w:rPr>
          <w:del w:id="12352" w:author="AbbVie_HU_03" w:date="2025-05-14T16:41:00Z"/>
          <w:szCs w:val="22"/>
        </w:rPr>
      </w:pPr>
      <w:del w:id="12353" w:author="AbbVie_HU_03" w:date="2025-05-14T16:41:00Z">
        <w:r w:rsidRPr="00183B5F">
          <w:rPr>
            <w:szCs w:val="22"/>
          </w:rPr>
          <w:delText>A Humira injekciós üvegben</w:delText>
        </w:r>
        <w:r w:rsidR="005D20F5" w:rsidRPr="00183B5F">
          <w:rPr>
            <w:szCs w:val="22"/>
          </w:rPr>
          <w:delText>,</w:delText>
        </w:r>
        <w:r w:rsidRPr="00183B5F">
          <w:rPr>
            <w:szCs w:val="22"/>
          </w:rPr>
          <w:delText xml:space="preserve"> előretöltött injekciós </w:delText>
        </w:r>
        <w:r w:rsidR="005D20F5" w:rsidRPr="00183B5F">
          <w:rPr>
            <w:szCs w:val="22"/>
          </w:rPr>
          <w:delText>fecskendőben és</w:delText>
        </w:r>
        <w:r w:rsidR="004740C6" w:rsidRPr="00183B5F">
          <w:rPr>
            <w:szCs w:val="22"/>
          </w:rPr>
          <w:delText>/vagy</w:delText>
        </w:r>
        <w:r w:rsidR="005D20F5" w:rsidRPr="00183B5F">
          <w:rPr>
            <w:szCs w:val="22"/>
          </w:rPr>
          <w:delText xml:space="preserve"> előretöltött injekciós </w:delText>
        </w:r>
        <w:r w:rsidRPr="00183B5F">
          <w:rPr>
            <w:szCs w:val="22"/>
          </w:rPr>
          <w:delText>tollban</w:delText>
        </w:r>
        <w:r w:rsidR="00F56C4D" w:rsidRPr="00183B5F">
          <w:rPr>
            <w:szCs w:val="22"/>
          </w:rPr>
          <w:delText xml:space="preserve"> </w:delText>
        </w:r>
        <w:r w:rsidRPr="00183B5F">
          <w:rPr>
            <w:szCs w:val="22"/>
          </w:rPr>
          <w:delText>is kapható.</w:delText>
        </w:r>
      </w:del>
    </w:p>
    <w:p w14:paraId="7C059D39" w14:textId="6F70729D" w:rsidR="00FB6710" w:rsidRPr="00183B5F" w:rsidRDefault="00FB6710" w:rsidP="00966731">
      <w:pPr>
        <w:spacing w:line="240" w:lineRule="auto"/>
        <w:rPr>
          <w:del w:id="12354" w:author="AbbVie_HU_03" w:date="2025-05-14T16:41:00Z"/>
          <w:szCs w:val="22"/>
        </w:rPr>
      </w:pPr>
    </w:p>
    <w:p w14:paraId="7E6D8A04" w14:textId="34927711" w:rsidR="00FB6710" w:rsidRPr="00183B5F" w:rsidRDefault="00943743" w:rsidP="00966731">
      <w:pPr>
        <w:spacing w:line="240" w:lineRule="auto"/>
        <w:rPr>
          <w:del w:id="12355" w:author="AbbVie_HU_03" w:date="2025-05-14T16:41:00Z"/>
          <w:b/>
          <w:bCs/>
          <w:szCs w:val="22"/>
        </w:rPr>
      </w:pPr>
      <w:del w:id="12356" w:author="AbbVie_HU_03" w:date="2025-05-14T16:41:00Z">
        <w:r w:rsidRPr="00183B5F">
          <w:rPr>
            <w:b/>
            <w:bCs/>
            <w:szCs w:val="22"/>
          </w:rPr>
          <w:delText>A forgalomba hozatali engedély jogosultja</w:delText>
        </w:r>
      </w:del>
    </w:p>
    <w:p w14:paraId="4B54B476" w14:textId="71EE9639" w:rsidR="00FB6710" w:rsidRPr="00183B5F" w:rsidRDefault="00FB6710" w:rsidP="00966731">
      <w:pPr>
        <w:spacing w:line="240" w:lineRule="auto"/>
        <w:rPr>
          <w:del w:id="12357" w:author="AbbVie_HU_03" w:date="2025-05-14T16:41:00Z"/>
          <w:szCs w:val="22"/>
        </w:rPr>
      </w:pPr>
    </w:p>
    <w:p w14:paraId="0B9BFA32" w14:textId="25715CE9" w:rsidR="00CE3F71" w:rsidRPr="00183B5F" w:rsidRDefault="00943743" w:rsidP="00966731">
      <w:pPr>
        <w:keepNext/>
        <w:suppressAutoHyphens w:val="0"/>
        <w:autoSpaceDE w:val="0"/>
        <w:autoSpaceDN w:val="0"/>
        <w:adjustRightInd w:val="0"/>
        <w:spacing w:line="240" w:lineRule="atLeast"/>
        <w:rPr>
          <w:del w:id="12358" w:author="AbbVie_HU_03" w:date="2025-05-14T16:41:00Z"/>
          <w:szCs w:val="22"/>
          <w:lang w:eastAsia="en-GB"/>
        </w:rPr>
      </w:pPr>
      <w:del w:id="12359" w:author="AbbVie_HU_03" w:date="2025-05-14T16:41:00Z">
        <w:r w:rsidRPr="00183B5F">
          <w:rPr>
            <w:szCs w:val="22"/>
            <w:lang w:eastAsia="en-GB"/>
          </w:rPr>
          <w:delText>AbbVie Deutschland GmbH &amp; Co. KG</w:delText>
        </w:r>
      </w:del>
    </w:p>
    <w:p w14:paraId="79DA1625" w14:textId="4B820D9C" w:rsidR="00CE3F71" w:rsidRPr="00183B5F" w:rsidRDefault="00943743" w:rsidP="00966731">
      <w:pPr>
        <w:keepNext/>
        <w:suppressAutoHyphens w:val="0"/>
        <w:autoSpaceDE w:val="0"/>
        <w:autoSpaceDN w:val="0"/>
        <w:adjustRightInd w:val="0"/>
        <w:spacing w:line="240" w:lineRule="atLeast"/>
        <w:rPr>
          <w:del w:id="12360" w:author="AbbVie_HU_03" w:date="2025-05-14T16:41:00Z"/>
          <w:szCs w:val="22"/>
          <w:lang w:eastAsia="en-GB"/>
        </w:rPr>
      </w:pPr>
      <w:del w:id="12361" w:author="AbbVie_HU_03" w:date="2025-05-14T16:41:00Z">
        <w:r w:rsidRPr="00183B5F">
          <w:rPr>
            <w:szCs w:val="22"/>
            <w:lang w:eastAsia="en-GB"/>
          </w:rPr>
          <w:delText>Knollstrasse</w:delText>
        </w:r>
      </w:del>
    </w:p>
    <w:p w14:paraId="3E907C4F" w14:textId="579D9A22" w:rsidR="00CE3F71" w:rsidRPr="00183B5F" w:rsidRDefault="00943743" w:rsidP="00966731">
      <w:pPr>
        <w:keepNext/>
        <w:suppressAutoHyphens w:val="0"/>
        <w:autoSpaceDE w:val="0"/>
        <w:autoSpaceDN w:val="0"/>
        <w:adjustRightInd w:val="0"/>
        <w:spacing w:line="240" w:lineRule="atLeast"/>
        <w:rPr>
          <w:del w:id="12362" w:author="AbbVie_HU_03" w:date="2025-05-14T16:41:00Z"/>
          <w:szCs w:val="22"/>
          <w:lang w:eastAsia="en-GB"/>
        </w:rPr>
      </w:pPr>
      <w:del w:id="12363" w:author="AbbVie_HU_03" w:date="2025-05-14T16:41:00Z">
        <w:r w:rsidRPr="00183B5F">
          <w:rPr>
            <w:szCs w:val="22"/>
            <w:lang w:eastAsia="en-GB"/>
          </w:rPr>
          <w:delText>67061 Ludwigshafen</w:delText>
        </w:r>
      </w:del>
    </w:p>
    <w:p w14:paraId="47FDA7B5" w14:textId="2545A55D" w:rsidR="00CE3F71" w:rsidRPr="00183B5F" w:rsidRDefault="00943743" w:rsidP="00966731">
      <w:pPr>
        <w:keepNext/>
        <w:suppressAutoHyphens w:val="0"/>
        <w:autoSpaceDE w:val="0"/>
        <w:autoSpaceDN w:val="0"/>
        <w:adjustRightInd w:val="0"/>
        <w:spacing w:line="240" w:lineRule="atLeast"/>
        <w:rPr>
          <w:del w:id="12364" w:author="AbbVie_HU_03" w:date="2025-05-14T16:41:00Z"/>
          <w:szCs w:val="22"/>
          <w:lang w:eastAsia="en-GB"/>
        </w:rPr>
      </w:pPr>
      <w:del w:id="12365" w:author="AbbVie_HU_03" w:date="2025-05-14T16:41:00Z">
        <w:r w:rsidRPr="00183B5F">
          <w:rPr>
            <w:szCs w:val="22"/>
            <w:lang w:eastAsia="en-GB"/>
          </w:rPr>
          <w:delText xml:space="preserve">Németország </w:delText>
        </w:r>
      </w:del>
    </w:p>
    <w:p w14:paraId="6917AFC1" w14:textId="7BE5A903" w:rsidR="00FB6710" w:rsidRPr="00183B5F" w:rsidRDefault="00FB6710" w:rsidP="00966731">
      <w:pPr>
        <w:spacing w:line="240" w:lineRule="auto"/>
        <w:rPr>
          <w:del w:id="12366" w:author="AbbVie_HU_03" w:date="2025-05-14T16:41:00Z"/>
          <w:szCs w:val="22"/>
        </w:rPr>
      </w:pPr>
    </w:p>
    <w:p w14:paraId="4CBE799F" w14:textId="5AB90044" w:rsidR="00FB6710" w:rsidRPr="00183B5F" w:rsidRDefault="00943743" w:rsidP="00966731">
      <w:pPr>
        <w:spacing w:line="240" w:lineRule="auto"/>
        <w:rPr>
          <w:del w:id="12367" w:author="AbbVie_HU_03" w:date="2025-05-14T16:41:00Z"/>
          <w:b/>
          <w:bCs/>
          <w:szCs w:val="22"/>
        </w:rPr>
      </w:pPr>
      <w:del w:id="12368" w:author="AbbVie_HU_03" w:date="2025-05-14T16:41:00Z">
        <w:r w:rsidRPr="00183B5F">
          <w:rPr>
            <w:b/>
            <w:bCs/>
            <w:szCs w:val="22"/>
          </w:rPr>
          <w:delText>Gyártó</w:delText>
        </w:r>
      </w:del>
    </w:p>
    <w:p w14:paraId="424CA1ED" w14:textId="064C20F3" w:rsidR="00FB6710" w:rsidRPr="00183B5F" w:rsidRDefault="00FB6710" w:rsidP="00966731">
      <w:pPr>
        <w:spacing w:line="240" w:lineRule="auto"/>
        <w:rPr>
          <w:del w:id="12369" w:author="AbbVie_HU_03" w:date="2025-05-14T16:41:00Z"/>
          <w:szCs w:val="22"/>
        </w:rPr>
      </w:pPr>
    </w:p>
    <w:p w14:paraId="10ECE0C9" w14:textId="4C442052" w:rsidR="007C40A0" w:rsidRPr="00183B5F" w:rsidRDefault="00943743" w:rsidP="00966731">
      <w:pPr>
        <w:spacing w:line="240" w:lineRule="auto"/>
        <w:rPr>
          <w:del w:id="12370" w:author="AbbVie_HU_03" w:date="2025-05-14T16:41:00Z"/>
        </w:rPr>
      </w:pPr>
      <w:del w:id="12371" w:author="AbbVie_HU_03" w:date="2025-05-14T16:41:00Z">
        <w:r w:rsidRPr="00183B5F">
          <w:delText>AbbVie Biotechnology GmbH</w:delText>
        </w:r>
      </w:del>
    </w:p>
    <w:p w14:paraId="6A7830C5" w14:textId="39626282" w:rsidR="007C40A0" w:rsidRPr="00183B5F" w:rsidRDefault="00943743" w:rsidP="00966731">
      <w:pPr>
        <w:numPr>
          <w:ilvl w:val="12"/>
          <w:numId w:val="0"/>
        </w:numPr>
        <w:tabs>
          <w:tab w:val="left" w:pos="720"/>
        </w:tabs>
        <w:spacing w:line="240" w:lineRule="auto"/>
        <w:rPr>
          <w:del w:id="12372" w:author="AbbVie_HU_03" w:date="2025-05-14T16:41:00Z"/>
        </w:rPr>
      </w:pPr>
      <w:del w:id="12373" w:author="AbbVie_HU_03" w:date="2025-05-14T16:41:00Z">
        <w:r w:rsidRPr="00183B5F">
          <w:delText>Knollstrasse</w:delText>
        </w:r>
      </w:del>
    </w:p>
    <w:p w14:paraId="1FF3E6C9" w14:textId="114A2DBF" w:rsidR="007C40A0" w:rsidRPr="00183B5F" w:rsidRDefault="00943743" w:rsidP="00966731">
      <w:pPr>
        <w:numPr>
          <w:ilvl w:val="12"/>
          <w:numId w:val="0"/>
        </w:numPr>
        <w:tabs>
          <w:tab w:val="left" w:pos="720"/>
        </w:tabs>
        <w:spacing w:line="240" w:lineRule="auto"/>
        <w:rPr>
          <w:del w:id="12374" w:author="AbbVie_HU_03" w:date="2025-05-14T16:41:00Z"/>
        </w:rPr>
      </w:pPr>
      <w:del w:id="12375" w:author="AbbVie_HU_03" w:date="2025-05-14T16:41:00Z">
        <w:r w:rsidRPr="00183B5F">
          <w:delText>67061 Ludwigshafen</w:delText>
        </w:r>
      </w:del>
    </w:p>
    <w:p w14:paraId="6AE9721A" w14:textId="072EB3CD" w:rsidR="007C40A0" w:rsidRPr="00183B5F" w:rsidRDefault="00943743" w:rsidP="00966731">
      <w:pPr>
        <w:spacing w:line="240" w:lineRule="auto"/>
        <w:rPr>
          <w:del w:id="12376" w:author="AbbVie_HU_03" w:date="2025-05-14T16:41:00Z"/>
        </w:rPr>
      </w:pPr>
      <w:del w:id="12377" w:author="AbbVie_HU_03" w:date="2025-05-14T16:41:00Z">
        <w:r w:rsidRPr="00183B5F">
          <w:delText>Németország</w:delText>
        </w:r>
      </w:del>
    </w:p>
    <w:p w14:paraId="18CB3B6B" w14:textId="25B4836F" w:rsidR="007C40A0" w:rsidRPr="00183B5F" w:rsidRDefault="007C40A0" w:rsidP="00966731">
      <w:pPr>
        <w:spacing w:line="240" w:lineRule="auto"/>
        <w:rPr>
          <w:del w:id="12378" w:author="AbbVie_HU_03" w:date="2025-05-14T16:41:00Z"/>
          <w:szCs w:val="22"/>
        </w:rPr>
      </w:pPr>
    </w:p>
    <w:p w14:paraId="47B347F8" w14:textId="045F3EF5" w:rsidR="00FB6710" w:rsidRPr="00183B5F" w:rsidRDefault="00943743" w:rsidP="00966731">
      <w:pPr>
        <w:spacing w:line="240" w:lineRule="auto"/>
        <w:rPr>
          <w:del w:id="12379" w:author="AbbVie_HU_03" w:date="2025-05-14T16:41:00Z"/>
          <w:szCs w:val="22"/>
        </w:rPr>
      </w:pPr>
      <w:del w:id="12380" w:author="AbbVie_HU_03" w:date="2025-05-14T16:41:00Z">
        <w:r w:rsidRPr="00183B5F">
          <w:rPr>
            <w:szCs w:val="22"/>
          </w:rPr>
          <w:delText>A készítményhez kapcsolódó további kérdéseivel forduljon a forgalomba hozatali engedély jogosultjának helyi képviseletéhez:</w:delText>
        </w:r>
      </w:del>
    </w:p>
    <w:p w14:paraId="43DCD59A" w14:textId="54FF0143" w:rsidR="007C024F" w:rsidRPr="00183B5F" w:rsidRDefault="007C024F" w:rsidP="00966731">
      <w:pPr>
        <w:spacing w:line="240" w:lineRule="auto"/>
        <w:rPr>
          <w:del w:id="12381" w:author="AbbVie_HU_03" w:date="2025-05-14T16:41:00Z"/>
          <w:szCs w:val="22"/>
        </w:rPr>
      </w:pPr>
    </w:p>
    <w:tbl>
      <w:tblPr>
        <w:tblW w:w="9356" w:type="dxa"/>
        <w:tblInd w:w="-34" w:type="dxa"/>
        <w:tblLayout w:type="fixed"/>
        <w:tblLook w:val="0000" w:firstRow="0" w:lastRow="0" w:firstColumn="0" w:lastColumn="0" w:noHBand="0" w:noVBand="0"/>
      </w:tblPr>
      <w:tblGrid>
        <w:gridCol w:w="34"/>
        <w:gridCol w:w="4610"/>
        <w:gridCol w:w="34"/>
        <w:gridCol w:w="4678"/>
      </w:tblGrid>
      <w:tr w:rsidR="00011D2F" w14:paraId="44E574D1" w14:textId="76C67CC4" w:rsidTr="001F79B0">
        <w:trPr>
          <w:del w:id="12382" w:author="AbbVie_HU_03" w:date="2025-05-14T16:41:00Z"/>
        </w:trPr>
        <w:tc>
          <w:tcPr>
            <w:tcW w:w="4644" w:type="dxa"/>
            <w:gridSpan w:val="2"/>
          </w:tcPr>
          <w:p w14:paraId="09FB4CFD" w14:textId="19EBD3F6" w:rsidR="008604D4" w:rsidRPr="00C70C5A" w:rsidRDefault="00943743" w:rsidP="00966731">
            <w:pPr>
              <w:suppressAutoHyphens w:val="0"/>
              <w:rPr>
                <w:del w:id="12383" w:author="AbbVie_HU_03" w:date="2025-05-14T16:41:00Z"/>
                <w:b/>
                <w:szCs w:val="22"/>
                <w:rPrChange w:id="12384" w:author="AbbVie_HU_04" w:date="2025-05-16T12:29:00Z">
                  <w:rPr>
                    <w:del w:id="12385" w:author="AbbVie_HU_03" w:date="2025-05-14T16:41:00Z"/>
                    <w:b/>
                    <w:bCs/>
                    <w:szCs w:val="22"/>
                    <w:lang w:val="fr-BE"/>
                  </w:rPr>
                </w:rPrChange>
              </w:rPr>
            </w:pPr>
            <w:del w:id="12386" w:author="AbbVie_HU_03" w:date="2025-05-14T16:41:00Z">
              <w:r w:rsidRPr="00C70C5A">
                <w:rPr>
                  <w:b/>
                  <w:szCs w:val="22"/>
                  <w:rPrChange w:id="12387" w:author="AbbVie_HU_04" w:date="2025-05-16T12:29:00Z">
                    <w:rPr>
                      <w:b/>
                      <w:bCs/>
                      <w:szCs w:val="22"/>
                      <w:lang w:val="fr-BE"/>
                    </w:rPr>
                  </w:rPrChange>
                </w:rPr>
                <w:delText>België/Belgique/Belgien</w:delText>
              </w:r>
            </w:del>
          </w:p>
          <w:p w14:paraId="08C549CD" w14:textId="38D492C6" w:rsidR="008604D4" w:rsidRPr="00C70C5A" w:rsidRDefault="00943743" w:rsidP="00966731">
            <w:pPr>
              <w:suppressAutoHyphens w:val="0"/>
              <w:rPr>
                <w:del w:id="12388" w:author="AbbVie_HU_03" w:date="2025-05-14T16:41:00Z"/>
                <w:szCs w:val="22"/>
                <w:rPrChange w:id="12389" w:author="AbbVie_HU_04" w:date="2025-05-16T12:29:00Z">
                  <w:rPr>
                    <w:del w:id="12390" w:author="AbbVie_HU_03" w:date="2025-05-14T16:41:00Z"/>
                    <w:bCs/>
                    <w:szCs w:val="22"/>
                    <w:lang w:val="fr-FR"/>
                  </w:rPr>
                </w:rPrChange>
              </w:rPr>
            </w:pPr>
            <w:del w:id="12391" w:author="AbbVie_HU_03" w:date="2025-05-14T16:41:00Z">
              <w:r w:rsidRPr="00C70C5A">
                <w:rPr>
                  <w:szCs w:val="22"/>
                  <w:rPrChange w:id="12392" w:author="AbbVie_HU_04" w:date="2025-05-16T12:29:00Z">
                    <w:rPr>
                      <w:bCs/>
                      <w:szCs w:val="22"/>
                      <w:lang w:val="fr-FR"/>
                    </w:rPr>
                  </w:rPrChange>
                </w:rPr>
                <w:delText>AbbVie SA</w:delText>
              </w:r>
            </w:del>
          </w:p>
          <w:p w14:paraId="13ACE051" w14:textId="1D472B46" w:rsidR="008604D4" w:rsidRPr="00C70C5A" w:rsidRDefault="00943743" w:rsidP="00966731">
            <w:pPr>
              <w:suppressAutoHyphens w:val="0"/>
              <w:rPr>
                <w:del w:id="12393" w:author="AbbVie_HU_03" w:date="2025-05-14T16:41:00Z"/>
                <w:szCs w:val="22"/>
                <w:rPrChange w:id="12394" w:author="AbbVie_HU_04" w:date="2025-05-16T12:29:00Z">
                  <w:rPr>
                    <w:del w:id="12395" w:author="AbbVie_HU_03" w:date="2025-05-14T16:41:00Z"/>
                    <w:szCs w:val="22"/>
                    <w:lang w:val="fr-FR"/>
                  </w:rPr>
                </w:rPrChange>
              </w:rPr>
            </w:pPr>
            <w:del w:id="12396" w:author="AbbVie_HU_03" w:date="2025-05-14T16:41:00Z">
              <w:r w:rsidRPr="00C70C5A">
                <w:rPr>
                  <w:szCs w:val="22"/>
                  <w:rPrChange w:id="12397" w:author="AbbVie_HU_04" w:date="2025-05-16T12:29:00Z">
                    <w:rPr>
                      <w:bCs/>
                      <w:szCs w:val="22"/>
                      <w:lang w:val="fr-FR"/>
                    </w:rPr>
                  </w:rPrChange>
                </w:rPr>
                <w:delText xml:space="preserve">Tél/Tel: +32 10 </w:delText>
              </w:r>
              <w:r w:rsidRPr="00C70C5A">
                <w:rPr>
                  <w:szCs w:val="22"/>
                  <w:rPrChange w:id="12398" w:author="AbbVie_HU_04" w:date="2025-05-16T12:29:00Z">
                    <w:rPr>
                      <w:szCs w:val="22"/>
                      <w:lang w:val="fr-FR"/>
                    </w:rPr>
                  </w:rPrChange>
                </w:rPr>
                <w:delText>477811</w:delText>
              </w:r>
            </w:del>
          </w:p>
          <w:p w14:paraId="6A2648A8" w14:textId="4E53DC7E" w:rsidR="008604D4" w:rsidRPr="00C70C5A" w:rsidRDefault="008604D4" w:rsidP="00966731">
            <w:pPr>
              <w:suppressAutoHyphens w:val="0"/>
              <w:rPr>
                <w:del w:id="12399" w:author="AbbVie_HU_03" w:date="2025-05-14T16:41:00Z"/>
                <w:szCs w:val="22"/>
                <w:rPrChange w:id="12400" w:author="AbbVie_HU_04" w:date="2025-05-16T12:29:00Z">
                  <w:rPr>
                    <w:del w:id="12401" w:author="AbbVie_HU_03" w:date="2025-05-14T16:41:00Z"/>
                    <w:bCs/>
                    <w:szCs w:val="22"/>
                    <w:lang w:val="fr-FR"/>
                  </w:rPr>
                </w:rPrChange>
              </w:rPr>
            </w:pPr>
          </w:p>
        </w:tc>
        <w:tc>
          <w:tcPr>
            <w:tcW w:w="4678" w:type="dxa"/>
            <w:gridSpan w:val="2"/>
          </w:tcPr>
          <w:p w14:paraId="59BE4EF0" w14:textId="3A6E8FAA" w:rsidR="008604D4" w:rsidRPr="00BD646C" w:rsidRDefault="00943743" w:rsidP="00966731">
            <w:pPr>
              <w:suppressAutoHyphens w:val="0"/>
              <w:rPr>
                <w:del w:id="12402" w:author="AbbVie_HU_03" w:date="2025-05-14T16:41:00Z"/>
                <w:b/>
                <w:bCs/>
                <w:szCs w:val="22"/>
                <w:lang w:val="lt-LT"/>
              </w:rPr>
            </w:pPr>
            <w:del w:id="12403" w:author="AbbVie_HU_03" w:date="2025-05-14T16:41:00Z">
              <w:r w:rsidRPr="00BD646C">
                <w:rPr>
                  <w:b/>
                  <w:bCs/>
                  <w:szCs w:val="22"/>
                  <w:lang w:val="lt-LT"/>
                </w:rPr>
                <w:delText>Lietuva</w:delText>
              </w:r>
            </w:del>
          </w:p>
          <w:p w14:paraId="74E73B54" w14:textId="55F4D019" w:rsidR="008604D4" w:rsidRPr="00BD646C" w:rsidRDefault="00943743" w:rsidP="00966731">
            <w:pPr>
              <w:suppressAutoHyphens w:val="0"/>
              <w:rPr>
                <w:del w:id="12404" w:author="AbbVie_HU_03" w:date="2025-05-14T16:41:00Z"/>
                <w:bCs/>
                <w:szCs w:val="22"/>
                <w:lang w:val="lv-LV"/>
              </w:rPr>
            </w:pPr>
            <w:del w:id="12405" w:author="AbbVie_HU_03" w:date="2025-05-14T16:41:00Z">
              <w:r w:rsidRPr="00BD646C">
                <w:rPr>
                  <w:bCs/>
                  <w:szCs w:val="22"/>
                  <w:lang w:val="lv-LV"/>
                </w:rPr>
                <w:delText xml:space="preserve">AbbVie UAB </w:delText>
              </w:r>
            </w:del>
          </w:p>
          <w:p w14:paraId="65DC062A" w14:textId="5285EC49" w:rsidR="008604D4" w:rsidRPr="00BD646C" w:rsidRDefault="00943743" w:rsidP="00966731">
            <w:pPr>
              <w:suppressAutoHyphens w:val="0"/>
              <w:rPr>
                <w:del w:id="12406" w:author="AbbVie_HU_03" w:date="2025-05-14T16:41:00Z"/>
                <w:bCs/>
                <w:szCs w:val="22"/>
                <w:lang w:val="lv-LV"/>
              </w:rPr>
            </w:pPr>
            <w:del w:id="12407" w:author="AbbVie_HU_03" w:date="2025-05-14T16:41:00Z">
              <w:r w:rsidRPr="00BD646C">
                <w:rPr>
                  <w:bCs/>
                  <w:szCs w:val="22"/>
                  <w:lang w:val="lv-LV"/>
                </w:rPr>
                <w:delText>Tel: +370 5 205 3023</w:delText>
              </w:r>
            </w:del>
          </w:p>
        </w:tc>
      </w:tr>
      <w:tr w:rsidR="00011D2F" w14:paraId="799F2DD0" w14:textId="7AD40ABE" w:rsidTr="001F79B0">
        <w:trPr>
          <w:del w:id="12408" w:author="AbbVie_HU_03" w:date="2025-05-14T16:41:00Z"/>
        </w:trPr>
        <w:tc>
          <w:tcPr>
            <w:tcW w:w="4644" w:type="dxa"/>
            <w:gridSpan w:val="2"/>
          </w:tcPr>
          <w:p w14:paraId="31BF3D8F" w14:textId="10550542" w:rsidR="008604D4" w:rsidRPr="00BD646C" w:rsidRDefault="00943743" w:rsidP="00966731">
            <w:pPr>
              <w:suppressAutoHyphens w:val="0"/>
              <w:rPr>
                <w:del w:id="12409" w:author="AbbVie_HU_03" w:date="2025-05-14T16:41:00Z"/>
                <w:b/>
                <w:bCs/>
                <w:szCs w:val="22"/>
                <w:lang w:val="bg-BG"/>
              </w:rPr>
            </w:pPr>
            <w:del w:id="12410" w:author="AbbVie_HU_03" w:date="2025-05-14T16:41:00Z">
              <w:r w:rsidRPr="00BD646C">
                <w:rPr>
                  <w:b/>
                  <w:bCs/>
                  <w:szCs w:val="22"/>
                  <w:lang w:val="bg-BG"/>
                </w:rPr>
                <w:delText>България</w:delText>
              </w:r>
            </w:del>
          </w:p>
          <w:p w14:paraId="10A9634E" w14:textId="1E18285C" w:rsidR="008604D4" w:rsidRPr="00BD646C" w:rsidRDefault="00943743" w:rsidP="00966731">
            <w:pPr>
              <w:suppressAutoHyphens w:val="0"/>
              <w:rPr>
                <w:del w:id="12411" w:author="AbbVie_HU_03" w:date="2025-05-14T16:41:00Z"/>
                <w:szCs w:val="22"/>
                <w:lang w:val="da-DK"/>
              </w:rPr>
            </w:pPr>
            <w:del w:id="12412" w:author="AbbVie_HU_03" w:date="2025-05-14T16:41:00Z">
              <w:r w:rsidRPr="00BD646C">
                <w:rPr>
                  <w:szCs w:val="22"/>
                  <w:lang w:val="sk-SK"/>
                </w:rPr>
                <w:delText>АбВи ЕООД</w:delText>
              </w:r>
            </w:del>
          </w:p>
          <w:p w14:paraId="4D535E55" w14:textId="4EA5A69C" w:rsidR="008604D4" w:rsidRPr="00BD646C" w:rsidRDefault="00943743" w:rsidP="00966731">
            <w:pPr>
              <w:suppressAutoHyphens w:val="0"/>
              <w:rPr>
                <w:del w:id="12413" w:author="AbbVie_HU_03" w:date="2025-05-14T16:41:00Z"/>
                <w:bCs/>
                <w:szCs w:val="22"/>
                <w:lang w:val="da-DK"/>
              </w:rPr>
            </w:pPr>
            <w:del w:id="12414" w:author="AbbVie_HU_03" w:date="2025-05-14T16:41:00Z">
              <w:r w:rsidRPr="00BD646C">
                <w:rPr>
                  <w:szCs w:val="22"/>
                  <w:lang w:val="sk-SK"/>
                </w:rPr>
                <w:delText>Тел</w:delText>
              </w:r>
              <w:r w:rsidRPr="00BD646C">
                <w:rPr>
                  <w:szCs w:val="22"/>
                  <w:lang w:val="it-IT"/>
                </w:rPr>
                <w:delText>.:+359 2 90 30 430</w:delText>
              </w:r>
            </w:del>
          </w:p>
        </w:tc>
        <w:tc>
          <w:tcPr>
            <w:tcW w:w="4678" w:type="dxa"/>
            <w:gridSpan w:val="2"/>
          </w:tcPr>
          <w:p w14:paraId="1256C929" w14:textId="3C01AC98" w:rsidR="008604D4" w:rsidRPr="00BD646C" w:rsidRDefault="00943743" w:rsidP="00966731">
            <w:pPr>
              <w:suppressAutoHyphens w:val="0"/>
              <w:rPr>
                <w:del w:id="12415" w:author="AbbVie_HU_03" w:date="2025-05-14T16:41:00Z"/>
                <w:b/>
                <w:bCs/>
                <w:szCs w:val="22"/>
                <w:lang w:val="de-DE"/>
              </w:rPr>
            </w:pPr>
            <w:del w:id="12416" w:author="AbbVie_HU_03" w:date="2025-05-14T16:41:00Z">
              <w:r w:rsidRPr="00BD646C">
                <w:rPr>
                  <w:b/>
                  <w:bCs/>
                  <w:szCs w:val="22"/>
                  <w:lang w:val="de-DE"/>
                </w:rPr>
                <w:delText>Luxembourg/Luxemburg</w:delText>
              </w:r>
            </w:del>
          </w:p>
          <w:p w14:paraId="266FDB0D" w14:textId="6AA642FC" w:rsidR="008604D4" w:rsidRPr="00BD646C" w:rsidRDefault="00943743" w:rsidP="00966731">
            <w:pPr>
              <w:suppressAutoHyphens w:val="0"/>
              <w:rPr>
                <w:del w:id="12417" w:author="AbbVie_HU_03" w:date="2025-05-14T16:41:00Z"/>
                <w:bCs/>
                <w:szCs w:val="22"/>
                <w:lang w:val="de-DE"/>
              </w:rPr>
            </w:pPr>
            <w:del w:id="12418" w:author="AbbVie_HU_03" w:date="2025-05-14T16:41:00Z">
              <w:r w:rsidRPr="00BD646C">
                <w:rPr>
                  <w:bCs/>
                  <w:szCs w:val="22"/>
                  <w:lang w:val="de-DE"/>
                </w:rPr>
                <w:delText>AbbVie SA</w:delText>
              </w:r>
            </w:del>
          </w:p>
          <w:p w14:paraId="2C333B32" w14:textId="3E6E84D2" w:rsidR="008604D4" w:rsidRPr="00BD646C" w:rsidRDefault="00943743" w:rsidP="00966731">
            <w:pPr>
              <w:suppressAutoHyphens w:val="0"/>
              <w:rPr>
                <w:del w:id="12419" w:author="AbbVie_HU_03" w:date="2025-05-14T16:41:00Z"/>
                <w:bCs/>
                <w:szCs w:val="22"/>
                <w:lang w:val="de-DE"/>
              </w:rPr>
            </w:pPr>
            <w:del w:id="12420" w:author="AbbVie_HU_03" w:date="2025-05-14T16:41:00Z">
              <w:r w:rsidRPr="00BD646C">
                <w:rPr>
                  <w:bCs/>
                  <w:szCs w:val="22"/>
                  <w:lang w:val="de-DE"/>
                </w:rPr>
                <w:delText>Belgique/Belgien</w:delText>
              </w:r>
            </w:del>
          </w:p>
          <w:p w14:paraId="4472ACDA" w14:textId="688EDDE6" w:rsidR="008604D4" w:rsidRPr="00C70C5A" w:rsidRDefault="00943743" w:rsidP="00966731">
            <w:pPr>
              <w:suppressAutoHyphens w:val="0"/>
              <w:rPr>
                <w:del w:id="12421" w:author="AbbVie_HU_03" w:date="2025-05-14T16:41:00Z"/>
                <w:szCs w:val="22"/>
                <w:rPrChange w:id="12422" w:author="AbbVie_HU_04" w:date="2025-05-16T12:29:00Z">
                  <w:rPr>
                    <w:del w:id="12423" w:author="AbbVie_HU_03" w:date="2025-05-14T16:41:00Z"/>
                    <w:bCs/>
                    <w:szCs w:val="22"/>
                    <w:lang w:val="fr-FR"/>
                  </w:rPr>
                </w:rPrChange>
              </w:rPr>
            </w:pPr>
            <w:del w:id="12424" w:author="AbbVie_HU_03" w:date="2025-05-14T16:41:00Z">
              <w:r w:rsidRPr="00C70C5A">
                <w:rPr>
                  <w:szCs w:val="22"/>
                  <w:rPrChange w:id="12425" w:author="AbbVie_HU_04" w:date="2025-05-16T12:29:00Z">
                    <w:rPr>
                      <w:bCs/>
                      <w:szCs w:val="22"/>
                      <w:lang w:val="fr-FR"/>
                    </w:rPr>
                  </w:rPrChange>
                </w:rPr>
                <w:delText>Tél/Tel: +32 10 477811</w:delText>
              </w:r>
            </w:del>
          </w:p>
          <w:p w14:paraId="7E5E102B" w14:textId="4BE3BCEF" w:rsidR="008604D4" w:rsidRPr="00C70C5A" w:rsidRDefault="008604D4" w:rsidP="00966731">
            <w:pPr>
              <w:suppressAutoHyphens w:val="0"/>
              <w:rPr>
                <w:del w:id="12426" w:author="AbbVie_HU_03" w:date="2025-05-14T16:41:00Z"/>
                <w:szCs w:val="22"/>
                <w:rPrChange w:id="12427" w:author="AbbVie_HU_04" w:date="2025-05-16T12:29:00Z">
                  <w:rPr>
                    <w:del w:id="12428" w:author="AbbVie_HU_03" w:date="2025-05-14T16:41:00Z"/>
                    <w:bCs/>
                    <w:szCs w:val="22"/>
                    <w:lang w:val="fr-FR"/>
                  </w:rPr>
                </w:rPrChange>
              </w:rPr>
            </w:pPr>
          </w:p>
        </w:tc>
      </w:tr>
      <w:tr w:rsidR="00011D2F" w14:paraId="4C494668" w14:textId="3DE12C75" w:rsidTr="001F79B0">
        <w:trPr>
          <w:del w:id="12429" w:author="AbbVie_HU_03" w:date="2025-05-14T16:41:00Z"/>
        </w:trPr>
        <w:tc>
          <w:tcPr>
            <w:tcW w:w="4644" w:type="dxa"/>
            <w:gridSpan w:val="2"/>
          </w:tcPr>
          <w:p w14:paraId="6AAD8FDA" w14:textId="0FE99534" w:rsidR="008604D4" w:rsidRPr="00BD646C" w:rsidRDefault="00943743" w:rsidP="00966731">
            <w:pPr>
              <w:suppressAutoHyphens w:val="0"/>
              <w:rPr>
                <w:del w:id="12430" w:author="AbbVie_HU_03" w:date="2025-05-14T16:41:00Z"/>
                <w:b/>
                <w:bCs/>
                <w:szCs w:val="22"/>
                <w:lang w:val="sk-SK"/>
              </w:rPr>
            </w:pPr>
            <w:del w:id="12431" w:author="AbbVie_HU_03" w:date="2025-05-14T16:41:00Z">
              <w:r w:rsidRPr="00BD646C">
                <w:rPr>
                  <w:b/>
                  <w:bCs/>
                  <w:szCs w:val="22"/>
                  <w:lang w:val="sk-SK"/>
                </w:rPr>
                <w:delText>Česká republika</w:delText>
              </w:r>
            </w:del>
          </w:p>
          <w:p w14:paraId="1F7491D0" w14:textId="16CD6029" w:rsidR="008604D4" w:rsidRPr="00BD646C" w:rsidRDefault="00943743" w:rsidP="00966731">
            <w:pPr>
              <w:suppressAutoHyphens w:val="0"/>
              <w:rPr>
                <w:del w:id="12432" w:author="AbbVie_HU_03" w:date="2025-05-14T16:41:00Z"/>
                <w:bCs/>
                <w:szCs w:val="22"/>
                <w:lang w:val="sk-SK"/>
              </w:rPr>
            </w:pPr>
            <w:del w:id="12433" w:author="AbbVie_HU_03" w:date="2025-05-14T16:41:00Z">
              <w:r w:rsidRPr="00BD646C">
                <w:rPr>
                  <w:bCs/>
                  <w:szCs w:val="22"/>
                  <w:lang w:val="sk-SK"/>
                </w:rPr>
                <w:delText xml:space="preserve">AbbVie s.r.o. </w:delText>
              </w:r>
            </w:del>
          </w:p>
          <w:p w14:paraId="560A9674" w14:textId="683D16FA" w:rsidR="008604D4" w:rsidRPr="00BD646C" w:rsidRDefault="00943743" w:rsidP="00966731">
            <w:pPr>
              <w:suppressAutoHyphens w:val="0"/>
              <w:rPr>
                <w:del w:id="12434" w:author="AbbVie_HU_03" w:date="2025-05-14T16:41:00Z"/>
                <w:bCs/>
                <w:szCs w:val="22"/>
                <w:lang w:val="sk-SK"/>
              </w:rPr>
            </w:pPr>
            <w:del w:id="12435" w:author="AbbVie_HU_03" w:date="2025-05-14T16:41:00Z">
              <w:r w:rsidRPr="00BD646C">
                <w:rPr>
                  <w:bCs/>
                  <w:szCs w:val="22"/>
                  <w:lang w:val="sk-SK"/>
                </w:rPr>
                <w:delText>Tel: +420 233 098 111</w:delText>
              </w:r>
            </w:del>
          </w:p>
        </w:tc>
        <w:tc>
          <w:tcPr>
            <w:tcW w:w="4678" w:type="dxa"/>
            <w:gridSpan w:val="2"/>
          </w:tcPr>
          <w:p w14:paraId="6F3ABB53" w14:textId="53FC6777" w:rsidR="008604D4" w:rsidRPr="00BD646C" w:rsidRDefault="00943743" w:rsidP="00966731">
            <w:pPr>
              <w:suppressAutoHyphens w:val="0"/>
              <w:rPr>
                <w:del w:id="12436" w:author="AbbVie_HU_03" w:date="2025-05-14T16:41:00Z"/>
                <w:b/>
                <w:bCs/>
                <w:szCs w:val="22"/>
              </w:rPr>
            </w:pPr>
            <w:del w:id="12437" w:author="AbbVie_HU_03" w:date="2025-05-14T16:41:00Z">
              <w:r w:rsidRPr="00BD646C">
                <w:rPr>
                  <w:b/>
                  <w:bCs/>
                  <w:szCs w:val="22"/>
                </w:rPr>
                <w:delText>Magyarország</w:delText>
              </w:r>
            </w:del>
          </w:p>
          <w:p w14:paraId="3B316187" w14:textId="2621CDCE" w:rsidR="008604D4" w:rsidRPr="00BD646C" w:rsidRDefault="00943743" w:rsidP="00966731">
            <w:pPr>
              <w:suppressAutoHyphens w:val="0"/>
              <w:rPr>
                <w:del w:id="12438" w:author="AbbVie_HU_03" w:date="2025-05-14T16:41:00Z"/>
                <w:bCs/>
                <w:szCs w:val="22"/>
              </w:rPr>
            </w:pPr>
            <w:del w:id="12439" w:author="AbbVie_HU_03" w:date="2025-05-14T16:41:00Z">
              <w:r w:rsidRPr="00BD646C">
                <w:rPr>
                  <w:bCs/>
                  <w:szCs w:val="22"/>
                </w:rPr>
                <w:delText>AbbVie Kft.</w:delText>
              </w:r>
            </w:del>
          </w:p>
          <w:p w14:paraId="707753FA" w14:textId="4F442B22" w:rsidR="008604D4" w:rsidRPr="00BD646C" w:rsidRDefault="00943743" w:rsidP="00966731">
            <w:pPr>
              <w:suppressAutoHyphens w:val="0"/>
              <w:rPr>
                <w:del w:id="12440" w:author="AbbVie_HU_03" w:date="2025-05-14T16:41:00Z"/>
                <w:bCs/>
                <w:szCs w:val="22"/>
              </w:rPr>
            </w:pPr>
            <w:del w:id="12441" w:author="AbbVie_HU_03" w:date="2025-05-14T16:41:00Z">
              <w:r w:rsidRPr="00BD646C">
                <w:rPr>
                  <w:bCs/>
                  <w:szCs w:val="22"/>
                </w:rPr>
                <w:delText>Tel.:+36 1 455 8600</w:delText>
              </w:r>
            </w:del>
          </w:p>
          <w:p w14:paraId="2CDD9927" w14:textId="05378475" w:rsidR="008604D4" w:rsidRPr="00BD646C" w:rsidRDefault="008604D4" w:rsidP="00966731">
            <w:pPr>
              <w:suppressAutoHyphens w:val="0"/>
              <w:rPr>
                <w:del w:id="12442" w:author="AbbVie_HU_03" w:date="2025-05-14T16:41:00Z"/>
                <w:bCs/>
                <w:szCs w:val="22"/>
              </w:rPr>
            </w:pPr>
          </w:p>
        </w:tc>
      </w:tr>
      <w:tr w:rsidR="00011D2F" w14:paraId="66D4EE4C" w14:textId="0FF43E2C" w:rsidTr="001F79B0">
        <w:trPr>
          <w:trHeight w:val="737"/>
          <w:del w:id="12443" w:author="AbbVie_HU_03" w:date="2025-05-14T16:41:00Z"/>
        </w:trPr>
        <w:tc>
          <w:tcPr>
            <w:tcW w:w="4644" w:type="dxa"/>
            <w:gridSpan w:val="2"/>
          </w:tcPr>
          <w:p w14:paraId="321EEA6F" w14:textId="20671717" w:rsidR="008604D4" w:rsidRPr="00C70C5A" w:rsidRDefault="00943743" w:rsidP="00966731">
            <w:pPr>
              <w:suppressAutoHyphens w:val="0"/>
              <w:rPr>
                <w:del w:id="12444" w:author="AbbVie_HU_03" w:date="2025-05-14T16:41:00Z"/>
                <w:b/>
                <w:szCs w:val="22"/>
                <w:rPrChange w:id="12445" w:author="AbbVie_HU_04" w:date="2025-05-16T12:29:00Z">
                  <w:rPr>
                    <w:del w:id="12446" w:author="AbbVie_HU_03" w:date="2025-05-14T16:41:00Z"/>
                    <w:b/>
                    <w:bCs/>
                    <w:szCs w:val="22"/>
                    <w:lang w:val="en-US"/>
                  </w:rPr>
                </w:rPrChange>
              </w:rPr>
            </w:pPr>
            <w:del w:id="12447" w:author="AbbVie_HU_03" w:date="2025-05-14T16:41:00Z">
              <w:r w:rsidRPr="00C70C5A">
                <w:rPr>
                  <w:b/>
                  <w:szCs w:val="22"/>
                  <w:rPrChange w:id="12448" w:author="AbbVie_HU_04" w:date="2025-05-16T12:29:00Z">
                    <w:rPr>
                      <w:b/>
                      <w:bCs/>
                      <w:szCs w:val="22"/>
                      <w:lang w:val="en-US"/>
                    </w:rPr>
                  </w:rPrChange>
                </w:rPr>
                <w:delText>Danmark</w:delText>
              </w:r>
            </w:del>
          </w:p>
          <w:p w14:paraId="67147851" w14:textId="0CD30448" w:rsidR="008604D4" w:rsidRPr="00C70C5A" w:rsidRDefault="00943743" w:rsidP="00966731">
            <w:pPr>
              <w:suppressAutoHyphens w:val="0"/>
              <w:rPr>
                <w:del w:id="12449" w:author="AbbVie_HU_03" w:date="2025-05-14T16:41:00Z"/>
                <w:szCs w:val="22"/>
                <w:rPrChange w:id="12450" w:author="AbbVie_HU_04" w:date="2025-05-16T12:29:00Z">
                  <w:rPr>
                    <w:del w:id="12451" w:author="AbbVie_HU_03" w:date="2025-05-14T16:41:00Z"/>
                    <w:bCs/>
                    <w:szCs w:val="22"/>
                    <w:lang w:val="en-US"/>
                  </w:rPr>
                </w:rPrChange>
              </w:rPr>
            </w:pPr>
            <w:del w:id="12452" w:author="AbbVie_HU_03" w:date="2025-05-14T16:41:00Z">
              <w:r w:rsidRPr="00C70C5A">
                <w:rPr>
                  <w:szCs w:val="22"/>
                  <w:rPrChange w:id="12453" w:author="AbbVie_HU_04" w:date="2025-05-16T12:29:00Z">
                    <w:rPr>
                      <w:bCs/>
                      <w:szCs w:val="22"/>
                      <w:lang w:val="en-US"/>
                    </w:rPr>
                  </w:rPrChange>
                </w:rPr>
                <w:delText>AbbVie A/S</w:delText>
              </w:r>
            </w:del>
          </w:p>
          <w:p w14:paraId="1758AD05" w14:textId="44D55CEE" w:rsidR="008604D4" w:rsidRPr="00BD646C" w:rsidRDefault="00943743" w:rsidP="00966731">
            <w:pPr>
              <w:suppressAutoHyphens w:val="0"/>
              <w:rPr>
                <w:del w:id="12454" w:author="AbbVie_HU_03" w:date="2025-05-14T16:41:00Z"/>
                <w:bCs/>
                <w:szCs w:val="22"/>
                <w:lang w:val="sk-SK"/>
              </w:rPr>
            </w:pPr>
            <w:del w:id="12455" w:author="AbbVie_HU_03" w:date="2025-05-14T16:41:00Z">
              <w:r w:rsidRPr="00C70C5A">
                <w:rPr>
                  <w:szCs w:val="22"/>
                  <w:rPrChange w:id="12456" w:author="AbbVie_HU_04" w:date="2025-05-16T12:29:00Z">
                    <w:rPr>
                      <w:bCs/>
                      <w:szCs w:val="22"/>
                      <w:lang w:val="en-US"/>
                    </w:rPr>
                  </w:rPrChange>
                </w:rPr>
                <w:delText>Tlf: +45 72 30-20-28</w:delText>
              </w:r>
            </w:del>
          </w:p>
        </w:tc>
        <w:tc>
          <w:tcPr>
            <w:tcW w:w="4678" w:type="dxa"/>
            <w:gridSpan w:val="2"/>
          </w:tcPr>
          <w:p w14:paraId="3FF25A61" w14:textId="663CCF10" w:rsidR="008604D4" w:rsidRPr="00BD646C" w:rsidRDefault="00943743" w:rsidP="00966731">
            <w:pPr>
              <w:suppressAutoHyphens w:val="0"/>
              <w:rPr>
                <w:del w:id="12457" w:author="AbbVie_HU_03" w:date="2025-05-14T16:41:00Z"/>
                <w:b/>
                <w:bCs/>
                <w:szCs w:val="22"/>
                <w:lang w:val="mt-MT"/>
              </w:rPr>
            </w:pPr>
            <w:del w:id="12458" w:author="AbbVie_HU_03" w:date="2025-05-14T16:41:00Z">
              <w:r w:rsidRPr="00BD646C">
                <w:rPr>
                  <w:b/>
                  <w:bCs/>
                  <w:szCs w:val="22"/>
                  <w:lang w:val="mt-MT"/>
                </w:rPr>
                <w:delText>Malta</w:delText>
              </w:r>
            </w:del>
          </w:p>
          <w:p w14:paraId="4F82129B" w14:textId="500851EA" w:rsidR="008604D4" w:rsidRPr="00BD646C" w:rsidRDefault="00943743" w:rsidP="00966731">
            <w:pPr>
              <w:suppressAutoHyphens w:val="0"/>
              <w:rPr>
                <w:del w:id="12459" w:author="AbbVie_HU_03" w:date="2025-05-14T16:41:00Z"/>
                <w:bCs/>
                <w:szCs w:val="22"/>
                <w:lang w:val="sk-SK"/>
              </w:rPr>
            </w:pPr>
            <w:del w:id="12460" w:author="AbbVie_HU_03" w:date="2025-05-14T16:41:00Z">
              <w:r w:rsidRPr="00BD646C">
                <w:rPr>
                  <w:bCs/>
                  <w:szCs w:val="22"/>
                  <w:lang w:val="sk-SK"/>
                </w:rPr>
                <w:delText xml:space="preserve">V.J.Salomone Pharma Limited </w:delText>
              </w:r>
            </w:del>
          </w:p>
          <w:p w14:paraId="4C109634" w14:textId="14DDF1E7" w:rsidR="008604D4" w:rsidRPr="00BD646C" w:rsidRDefault="00943743" w:rsidP="00966731">
            <w:pPr>
              <w:suppressAutoHyphens w:val="0"/>
              <w:rPr>
                <w:del w:id="12461" w:author="AbbVie_HU_03" w:date="2025-05-14T16:41:00Z"/>
                <w:bCs/>
                <w:szCs w:val="22"/>
                <w:lang w:val="sk-SK"/>
              </w:rPr>
            </w:pPr>
            <w:del w:id="12462" w:author="AbbVie_HU_03" w:date="2025-05-14T16:41:00Z">
              <w:r w:rsidRPr="00BD646C">
                <w:rPr>
                  <w:bCs/>
                  <w:szCs w:val="22"/>
                  <w:lang w:val="sk-SK"/>
                </w:rPr>
                <w:delText xml:space="preserve">Tel: </w:delText>
              </w:r>
              <w:r w:rsidR="00460FCF">
                <w:rPr>
                  <w:bCs/>
                  <w:szCs w:val="22"/>
                </w:rPr>
                <w:delText>+356 21220174</w:delText>
              </w:r>
            </w:del>
          </w:p>
          <w:p w14:paraId="335F3730" w14:textId="2195EEBB" w:rsidR="008604D4" w:rsidRPr="00BD646C" w:rsidRDefault="008604D4" w:rsidP="00966731">
            <w:pPr>
              <w:suppressAutoHyphens w:val="0"/>
              <w:rPr>
                <w:del w:id="12463" w:author="AbbVie_HU_03" w:date="2025-05-14T16:41:00Z"/>
                <w:bCs/>
                <w:szCs w:val="22"/>
                <w:lang w:val="sk-SK"/>
              </w:rPr>
            </w:pPr>
          </w:p>
        </w:tc>
      </w:tr>
      <w:tr w:rsidR="00011D2F" w14:paraId="5669F536" w14:textId="74CB2118" w:rsidTr="001F79B0">
        <w:trPr>
          <w:del w:id="12464" w:author="AbbVie_HU_03" w:date="2025-05-14T16:41:00Z"/>
        </w:trPr>
        <w:tc>
          <w:tcPr>
            <w:tcW w:w="4644" w:type="dxa"/>
            <w:gridSpan w:val="2"/>
          </w:tcPr>
          <w:p w14:paraId="11C6CCDA" w14:textId="6C14C7C6" w:rsidR="008604D4" w:rsidRPr="00BD646C" w:rsidRDefault="00943743" w:rsidP="00966731">
            <w:pPr>
              <w:keepNext/>
              <w:suppressAutoHyphens w:val="0"/>
              <w:rPr>
                <w:del w:id="12465" w:author="AbbVie_HU_03" w:date="2025-05-14T16:41:00Z"/>
                <w:b/>
                <w:bCs/>
                <w:szCs w:val="22"/>
                <w:lang w:val="de-DE"/>
              </w:rPr>
            </w:pPr>
            <w:del w:id="12466" w:author="AbbVie_HU_03" w:date="2025-05-14T16:41:00Z">
              <w:r w:rsidRPr="00BD646C">
                <w:rPr>
                  <w:b/>
                  <w:bCs/>
                  <w:szCs w:val="22"/>
                  <w:lang w:val="de-DE"/>
                </w:rPr>
                <w:delText>Deutschland</w:delText>
              </w:r>
            </w:del>
          </w:p>
          <w:p w14:paraId="12AD889C" w14:textId="0E4F51BB" w:rsidR="008604D4" w:rsidRPr="00BD646C" w:rsidRDefault="00943743" w:rsidP="00966731">
            <w:pPr>
              <w:keepNext/>
              <w:suppressAutoHyphens w:val="0"/>
              <w:rPr>
                <w:del w:id="12467" w:author="AbbVie_HU_03" w:date="2025-05-14T16:41:00Z"/>
                <w:bCs/>
                <w:szCs w:val="22"/>
                <w:lang w:val="de-DE"/>
              </w:rPr>
            </w:pPr>
            <w:del w:id="12468" w:author="AbbVie_HU_03" w:date="2025-05-14T16:41:00Z">
              <w:r w:rsidRPr="00BD646C">
                <w:rPr>
                  <w:szCs w:val="22"/>
                  <w:lang w:val="de-DE"/>
                </w:rPr>
                <w:delText xml:space="preserve">AbbVie Deutschland </w:delText>
              </w:r>
              <w:r w:rsidRPr="00BD646C">
                <w:rPr>
                  <w:bCs/>
                  <w:szCs w:val="22"/>
                  <w:lang w:val="de-DE"/>
                </w:rPr>
                <w:delText>GmbH &amp; Co. KG</w:delText>
              </w:r>
            </w:del>
          </w:p>
          <w:p w14:paraId="265E921A" w14:textId="3DBF23D6" w:rsidR="008604D4" w:rsidRPr="00BD646C" w:rsidRDefault="00943743" w:rsidP="00966731">
            <w:pPr>
              <w:keepNext/>
              <w:suppressAutoHyphens w:val="0"/>
              <w:rPr>
                <w:del w:id="12469" w:author="AbbVie_HU_03" w:date="2025-05-14T16:41:00Z"/>
                <w:szCs w:val="22"/>
                <w:lang w:val="de-DE"/>
              </w:rPr>
            </w:pPr>
            <w:del w:id="12470" w:author="AbbVie_HU_03" w:date="2025-05-14T16:41:00Z">
              <w:r w:rsidRPr="00BD646C">
                <w:rPr>
                  <w:szCs w:val="22"/>
                  <w:lang w:val="de-DE"/>
                </w:rPr>
                <w:delText>Tel: 00800 222843 33 (gebührenfrei)</w:delText>
              </w:r>
            </w:del>
          </w:p>
          <w:p w14:paraId="1517C996" w14:textId="583A9714" w:rsidR="008604D4" w:rsidRPr="00BD646C" w:rsidRDefault="00943743" w:rsidP="00966731">
            <w:pPr>
              <w:keepNext/>
              <w:suppressAutoHyphens w:val="0"/>
              <w:rPr>
                <w:del w:id="12471" w:author="AbbVie_HU_03" w:date="2025-05-14T16:41:00Z"/>
                <w:szCs w:val="22"/>
                <w:lang w:val="de-DE"/>
              </w:rPr>
            </w:pPr>
            <w:del w:id="12472" w:author="AbbVie_HU_03" w:date="2025-05-14T16:41:00Z">
              <w:r w:rsidRPr="00BD646C">
                <w:rPr>
                  <w:szCs w:val="22"/>
                  <w:lang w:val="de-DE"/>
                </w:rPr>
                <w:delText>Tel: +49 (0) 611 / 1720-0</w:delText>
              </w:r>
            </w:del>
          </w:p>
          <w:p w14:paraId="4C9D46AC" w14:textId="5AC2C08B" w:rsidR="008604D4" w:rsidRPr="00BD646C" w:rsidRDefault="008604D4" w:rsidP="00966731">
            <w:pPr>
              <w:keepNext/>
              <w:suppressAutoHyphens w:val="0"/>
              <w:rPr>
                <w:del w:id="12473" w:author="AbbVie_HU_03" w:date="2025-05-14T16:41:00Z"/>
                <w:szCs w:val="22"/>
                <w:lang w:val="de-DE"/>
              </w:rPr>
            </w:pPr>
          </w:p>
        </w:tc>
        <w:tc>
          <w:tcPr>
            <w:tcW w:w="4678" w:type="dxa"/>
            <w:gridSpan w:val="2"/>
          </w:tcPr>
          <w:p w14:paraId="48AD23C1" w14:textId="40798EEC" w:rsidR="008604D4" w:rsidRPr="00BD646C" w:rsidRDefault="00943743" w:rsidP="00966731">
            <w:pPr>
              <w:keepNext/>
              <w:suppressAutoHyphens w:val="0"/>
              <w:rPr>
                <w:del w:id="12474" w:author="AbbVie_HU_03" w:date="2025-05-14T16:41:00Z"/>
                <w:b/>
                <w:bCs/>
                <w:szCs w:val="22"/>
                <w:lang w:val="nl-NL"/>
              </w:rPr>
            </w:pPr>
            <w:del w:id="12475" w:author="AbbVie_HU_03" w:date="2025-05-14T16:41:00Z">
              <w:r w:rsidRPr="00BD646C">
                <w:rPr>
                  <w:b/>
                  <w:bCs/>
                  <w:szCs w:val="22"/>
                  <w:lang w:val="nl-NL"/>
                </w:rPr>
                <w:delText>Nederland</w:delText>
              </w:r>
            </w:del>
          </w:p>
          <w:p w14:paraId="354172D7" w14:textId="74EEBCDD" w:rsidR="008604D4" w:rsidRPr="00BD646C" w:rsidRDefault="00943743" w:rsidP="00966731">
            <w:pPr>
              <w:keepNext/>
              <w:suppressAutoHyphens w:val="0"/>
              <w:rPr>
                <w:del w:id="12476" w:author="AbbVie_HU_03" w:date="2025-05-14T16:41:00Z"/>
                <w:bCs/>
                <w:szCs w:val="22"/>
                <w:lang w:val="de-DE"/>
              </w:rPr>
            </w:pPr>
            <w:del w:id="12477" w:author="AbbVie_HU_03" w:date="2025-05-14T16:41:00Z">
              <w:r w:rsidRPr="00BD646C">
                <w:rPr>
                  <w:bCs/>
                  <w:szCs w:val="22"/>
                  <w:lang w:val="de-DE"/>
                </w:rPr>
                <w:delText>AbbVie B.V.</w:delText>
              </w:r>
            </w:del>
          </w:p>
          <w:p w14:paraId="2ADF5FC6" w14:textId="23F478CD" w:rsidR="008604D4" w:rsidRPr="00BD646C" w:rsidRDefault="00943743" w:rsidP="00966731">
            <w:pPr>
              <w:keepNext/>
              <w:suppressAutoHyphens w:val="0"/>
              <w:rPr>
                <w:del w:id="12478" w:author="AbbVie_HU_03" w:date="2025-05-14T16:41:00Z"/>
                <w:bCs/>
                <w:szCs w:val="22"/>
                <w:lang w:val="de-DE"/>
              </w:rPr>
            </w:pPr>
            <w:del w:id="12479" w:author="AbbVie_HU_03" w:date="2025-05-14T16:41:00Z">
              <w:r w:rsidRPr="00BD646C">
                <w:rPr>
                  <w:bCs/>
                  <w:szCs w:val="22"/>
                  <w:lang w:val="de-DE"/>
                </w:rPr>
                <w:delText>Tel: +31 (0)88 322 2843</w:delText>
              </w:r>
            </w:del>
          </w:p>
        </w:tc>
      </w:tr>
      <w:tr w:rsidR="00011D2F" w14:paraId="58D45EA8" w14:textId="46C99AAF" w:rsidTr="001F79B0">
        <w:trPr>
          <w:del w:id="12480" w:author="AbbVie_HU_03" w:date="2025-05-14T16:41:00Z"/>
        </w:trPr>
        <w:tc>
          <w:tcPr>
            <w:tcW w:w="4644" w:type="dxa"/>
            <w:gridSpan w:val="2"/>
          </w:tcPr>
          <w:p w14:paraId="39F100FE" w14:textId="2D70F536" w:rsidR="008604D4" w:rsidRPr="00BD646C" w:rsidRDefault="00943743" w:rsidP="00966731">
            <w:pPr>
              <w:suppressAutoHyphens w:val="0"/>
              <w:rPr>
                <w:del w:id="12481" w:author="AbbVie_HU_03" w:date="2025-05-14T16:41:00Z"/>
                <w:b/>
                <w:bCs/>
                <w:szCs w:val="22"/>
                <w:lang w:val="et-EE"/>
              </w:rPr>
            </w:pPr>
            <w:del w:id="12482" w:author="AbbVie_HU_03" w:date="2025-05-14T16:41:00Z">
              <w:r w:rsidRPr="00BD646C">
                <w:rPr>
                  <w:b/>
                  <w:bCs/>
                  <w:szCs w:val="22"/>
                  <w:lang w:val="et-EE"/>
                </w:rPr>
                <w:delText>Eesti</w:delText>
              </w:r>
            </w:del>
          </w:p>
          <w:p w14:paraId="6DBFEB16" w14:textId="4543AE6E" w:rsidR="008604D4" w:rsidRPr="00BD646C" w:rsidRDefault="00943743" w:rsidP="00966731">
            <w:pPr>
              <w:suppressAutoHyphens w:val="0"/>
              <w:rPr>
                <w:del w:id="12483" w:author="AbbVie_HU_03" w:date="2025-05-14T16:41:00Z"/>
                <w:bCs/>
                <w:szCs w:val="22"/>
                <w:lang w:val="et-EE"/>
              </w:rPr>
            </w:pPr>
            <w:del w:id="12484" w:author="AbbVie_HU_03" w:date="2025-05-14T16:41:00Z">
              <w:r w:rsidRPr="00BD646C">
                <w:rPr>
                  <w:bCs/>
                  <w:szCs w:val="22"/>
                  <w:lang w:val="et-EE"/>
                </w:rPr>
                <w:delText xml:space="preserve">AbbVie </w:delText>
              </w:r>
              <w:r w:rsidRPr="00BD646C">
                <w:rPr>
                  <w:bCs/>
                  <w:szCs w:val="22"/>
                  <w:lang w:val="sk-SK"/>
                </w:rPr>
                <w:delText>OÜ</w:delText>
              </w:r>
              <w:r w:rsidRPr="00BD646C">
                <w:rPr>
                  <w:bCs/>
                  <w:szCs w:val="22"/>
                  <w:lang w:val="et-EE"/>
                </w:rPr>
                <w:delText xml:space="preserve"> </w:delText>
              </w:r>
            </w:del>
          </w:p>
          <w:p w14:paraId="76AA8A86" w14:textId="79C917A0" w:rsidR="008604D4" w:rsidRPr="00BD646C" w:rsidRDefault="00943743" w:rsidP="00966731">
            <w:pPr>
              <w:suppressAutoHyphens w:val="0"/>
              <w:rPr>
                <w:del w:id="12485" w:author="AbbVie_HU_03" w:date="2025-05-14T16:41:00Z"/>
                <w:bCs/>
                <w:szCs w:val="22"/>
                <w:lang w:val="lv-LV"/>
              </w:rPr>
            </w:pPr>
            <w:del w:id="12486" w:author="AbbVie_HU_03" w:date="2025-05-14T16:41:00Z">
              <w:r w:rsidRPr="00BD646C">
                <w:rPr>
                  <w:bCs/>
                  <w:szCs w:val="22"/>
                  <w:lang w:val="et-EE"/>
                </w:rPr>
                <w:delText>Tel: +372 623 1011</w:delText>
              </w:r>
            </w:del>
          </w:p>
        </w:tc>
        <w:tc>
          <w:tcPr>
            <w:tcW w:w="4678" w:type="dxa"/>
            <w:gridSpan w:val="2"/>
          </w:tcPr>
          <w:p w14:paraId="0791274D" w14:textId="329F07F8" w:rsidR="008604D4" w:rsidRPr="00BD646C" w:rsidRDefault="00943743" w:rsidP="00966731">
            <w:pPr>
              <w:suppressAutoHyphens w:val="0"/>
              <w:rPr>
                <w:del w:id="12487" w:author="AbbVie_HU_03" w:date="2025-05-14T16:41:00Z"/>
                <w:b/>
                <w:bCs/>
                <w:szCs w:val="22"/>
                <w:lang w:val="nb-NO"/>
              </w:rPr>
            </w:pPr>
            <w:del w:id="12488" w:author="AbbVie_HU_03" w:date="2025-05-14T16:41:00Z">
              <w:r w:rsidRPr="00BD646C">
                <w:rPr>
                  <w:b/>
                  <w:bCs/>
                  <w:szCs w:val="22"/>
                  <w:lang w:val="nb-NO"/>
                </w:rPr>
                <w:delText>Norge</w:delText>
              </w:r>
            </w:del>
          </w:p>
          <w:p w14:paraId="669D68BF" w14:textId="49621229" w:rsidR="008604D4" w:rsidRPr="00BD646C" w:rsidRDefault="00943743" w:rsidP="00966731">
            <w:pPr>
              <w:suppressAutoHyphens w:val="0"/>
              <w:rPr>
                <w:del w:id="12489" w:author="AbbVie_HU_03" w:date="2025-05-14T16:41:00Z"/>
                <w:bCs/>
                <w:szCs w:val="22"/>
                <w:lang w:val="sk-SK"/>
              </w:rPr>
            </w:pPr>
            <w:del w:id="12490" w:author="AbbVie_HU_03" w:date="2025-05-14T16:41:00Z">
              <w:r w:rsidRPr="00BD646C">
                <w:rPr>
                  <w:bCs/>
                  <w:szCs w:val="22"/>
                  <w:lang w:val="sk-SK"/>
                </w:rPr>
                <w:delText>AbbVie AS</w:delText>
              </w:r>
            </w:del>
          </w:p>
          <w:p w14:paraId="3FC854EF" w14:textId="34781834" w:rsidR="008604D4" w:rsidRPr="00BD646C" w:rsidRDefault="00943743" w:rsidP="00966731">
            <w:pPr>
              <w:suppressAutoHyphens w:val="0"/>
              <w:rPr>
                <w:del w:id="12491" w:author="AbbVie_HU_03" w:date="2025-05-14T16:41:00Z"/>
                <w:bCs/>
                <w:szCs w:val="22"/>
                <w:lang w:val="sk-SK"/>
              </w:rPr>
            </w:pPr>
            <w:del w:id="12492" w:author="AbbVie_HU_03" w:date="2025-05-14T16:41:00Z">
              <w:r w:rsidRPr="00BD646C">
                <w:rPr>
                  <w:bCs/>
                  <w:szCs w:val="22"/>
                  <w:lang w:val="sk-SK"/>
                </w:rPr>
                <w:delText>Tlf: +47 67 81 80 00</w:delText>
              </w:r>
            </w:del>
          </w:p>
          <w:p w14:paraId="036F1DBC" w14:textId="7E4561E5" w:rsidR="008604D4" w:rsidRPr="00BD646C" w:rsidRDefault="008604D4" w:rsidP="00966731">
            <w:pPr>
              <w:suppressAutoHyphens w:val="0"/>
              <w:rPr>
                <w:del w:id="12493" w:author="AbbVie_HU_03" w:date="2025-05-14T16:41:00Z"/>
                <w:bCs/>
                <w:szCs w:val="22"/>
                <w:lang w:val="sk-SK"/>
              </w:rPr>
            </w:pPr>
          </w:p>
        </w:tc>
      </w:tr>
      <w:tr w:rsidR="00011D2F" w14:paraId="11E08A3E" w14:textId="34645BBC" w:rsidTr="001F79B0">
        <w:trPr>
          <w:trHeight w:val="794"/>
          <w:del w:id="12494" w:author="AbbVie_HU_03" w:date="2025-05-14T16:41:00Z"/>
        </w:trPr>
        <w:tc>
          <w:tcPr>
            <w:tcW w:w="4644" w:type="dxa"/>
            <w:gridSpan w:val="2"/>
          </w:tcPr>
          <w:p w14:paraId="6640370F" w14:textId="13AFA11E" w:rsidR="008604D4" w:rsidRPr="00BD646C" w:rsidRDefault="00943743" w:rsidP="00966731">
            <w:pPr>
              <w:suppressAutoHyphens w:val="0"/>
              <w:rPr>
                <w:del w:id="12495" w:author="AbbVie_HU_03" w:date="2025-05-14T16:41:00Z"/>
                <w:b/>
                <w:bCs/>
                <w:szCs w:val="22"/>
                <w:lang w:val="el-GR"/>
              </w:rPr>
            </w:pPr>
            <w:del w:id="12496" w:author="AbbVie_HU_03" w:date="2025-05-14T16:41:00Z">
              <w:r w:rsidRPr="00BD646C">
                <w:rPr>
                  <w:b/>
                  <w:bCs/>
                  <w:szCs w:val="22"/>
                  <w:lang w:val="el-GR"/>
                </w:rPr>
                <w:delText>Ελλάδα</w:delText>
              </w:r>
            </w:del>
          </w:p>
          <w:p w14:paraId="488D2718" w14:textId="4050A889" w:rsidR="008604D4" w:rsidRPr="00BD646C" w:rsidRDefault="00943743" w:rsidP="00966731">
            <w:pPr>
              <w:suppressAutoHyphens w:val="0"/>
              <w:rPr>
                <w:del w:id="12497" w:author="AbbVie_HU_03" w:date="2025-05-14T16:41:00Z"/>
                <w:bCs/>
                <w:szCs w:val="22"/>
                <w:lang w:val="el-GR"/>
              </w:rPr>
            </w:pPr>
            <w:del w:id="12498" w:author="AbbVie_HU_03" w:date="2025-05-14T16:41:00Z">
              <w:r w:rsidRPr="00BD646C">
                <w:rPr>
                  <w:bCs/>
                  <w:szCs w:val="22"/>
                  <w:lang w:val="et-EE"/>
                </w:rPr>
                <w:delText xml:space="preserve">AbbVie </w:delText>
              </w:r>
              <w:r w:rsidRPr="00BD646C">
                <w:rPr>
                  <w:szCs w:val="22"/>
                  <w:lang w:val="el-GR"/>
                </w:rPr>
                <w:delText>ΦΑΡΜΑΚΕΥΤΙΚΗ Α.Ε.</w:delText>
              </w:r>
            </w:del>
          </w:p>
          <w:p w14:paraId="6A21AC17" w14:textId="25A26DCA" w:rsidR="008604D4" w:rsidRPr="00BD646C" w:rsidRDefault="00943743" w:rsidP="00966731">
            <w:pPr>
              <w:suppressAutoHyphens w:val="0"/>
              <w:rPr>
                <w:del w:id="12499" w:author="AbbVie_HU_03" w:date="2025-05-14T16:41:00Z"/>
                <w:bCs/>
                <w:szCs w:val="22"/>
                <w:lang w:val="sk-SK"/>
              </w:rPr>
            </w:pPr>
            <w:del w:id="12500" w:author="AbbVie_HU_03" w:date="2025-05-14T16:41:00Z">
              <w:r w:rsidRPr="00BD646C">
                <w:rPr>
                  <w:bCs/>
                  <w:szCs w:val="22"/>
                  <w:lang w:val="el-GR"/>
                </w:rPr>
                <w:delText xml:space="preserve">Τηλ: +30 </w:delText>
              </w:r>
              <w:r w:rsidRPr="00BD646C">
                <w:rPr>
                  <w:bCs/>
                  <w:szCs w:val="22"/>
                  <w:lang w:val="sk-SK"/>
                </w:rPr>
                <w:delText>214 4165 555</w:delText>
              </w:r>
            </w:del>
          </w:p>
        </w:tc>
        <w:tc>
          <w:tcPr>
            <w:tcW w:w="4678" w:type="dxa"/>
            <w:gridSpan w:val="2"/>
          </w:tcPr>
          <w:p w14:paraId="28D3EF89" w14:textId="2577CCA3" w:rsidR="008604D4" w:rsidRPr="00BD646C" w:rsidRDefault="00943743" w:rsidP="00966731">
            <w:pPr>
              <w:suppressAutoHyphens w:val="0"/>
              <w:rPr>
                <w:del w:id="12501" w:author="AbbVie_HU_03" w:date="2025-05-14T16:41:00Z"/>
                <w:b/>
                <w:bCs/>
                <w:szCs w:val="22"/>
                <w:lang w:val="de-DE"/>
              </w:rPr>
            </w:pPr>
            <w:del w:id="12502" w:author="AbbVie_HU_03" w:date="2025-05-14T16:41:00Z">
              <w:r w:rsidRPr="00BD646C">
                <w:rPr>
                  <w:b/>
                  <w:bCs/>
                  <w:szCs w:val="22"/>
                  <w:lang w:val="de-DE"/>
                </w:rPr>
                <w:delText>Österreich</w:delText>
              </w:r>
            </w:del>
          </w:p>
          <w:p w14:paraId="659913F0" w14:textId="0F2E1483" w:rsidR="008604D4" w:rsidRPr="00BD646C" w:rsidRDefault="00943743" w:rsidP="00966731">
            <w:pPr>
              <w:suppressAutoHyphens w:val="0"/>
              <w:rPr>
                <w:del w:id="12503" w:author="AbbVie_HU_03" w:date="2025-05-14T16:41:00Z"/>
                <w:bCs/>
                <w:szCs w:val="22"/>
                <w:lang w:val="de-DE"/>
              </w:rPr>
            </w:pPr>
            <w:del w:id="12504" w:author="AbbVie_HU_03" w:date="2025-05-14T16:41:00Z">
              <w:r w:rsidRPr="00BD646C">
                <w:rPr>
                  <w:bCs/>
                  <w:szCs w:val="22"/>
                  <w:lang w:val="de-DE"/>
                </w:rPr>
                <w:delText xml:space="preserve">AbbVie GmbH </w:delText>
              </w:r>
            </w:del>
          </w:p>
          <w:p w14:paraId="3C9ECEBB" w14:textId="219F8D58" w:rsidR="008604D4" w:rsidRPr="00BD646C" w:rsidRDefault="00943743" w:rsidP="00966731">
            <w:pPr>
              <w:suppressAutoHyphens w:val="0"/>
              <w:rPr>
                <w:del w:id="12505" w:author="AbbVie_HU_03" w:date="2025-05-14T16:41:00Z"/>
                <w:bCs/>
                <w:szCs w:val="22"/>
                <w:lang w:val="de-DE"/>
              </w:rPr>
            </w:pPr>
            <w:del w:id="12506" w:author="AbbVie_HU_03" w:date="2025-05-14T16:41:00Z">
              <w:r w:rsidRPr="00BD646C">
                <w:rPr>
                  <w:bCs/>
                  <w:szCs w:val="22"/>
                  <w:lang w:val="de-DE"/>
                </w:rPr>
                <w:delText>Tel: +43 1 20589-0</w:delText>
              </w:r>
            </w:del>
          </w:p>
          <w:p w14:paraId="336DAF08" w14:textId="00FE3C85" w:rsidR="008604D4" w:rsidRPr="00BD646C" w:rsidRDefault="008604D4" w:rsidP="00966731">
            <w:pPr>
              <w:suppressAutoHyphens w:val="0"/>
              <w:rPr>
                <w:del w:id="12507" w:author="AbbVie_HU_03" w:date="2025-05-14T16:41:00Z"/>
                <w:bCs/>
                <w:szCs w:val="22"/>
                <w:lang w:val="de-DE"/>
              </w:rPr>
            </w:pPr>
          </w:p>
        </w:tc>
      </w:tr>
      <w:tr w:rsidR="00011D2F" w14:paraId="24C720C1" w14:textId="7578460C" w:rsidTr="001F79B0">
        <w:trPr>
          <w:gridBefore w:val="1"/>
          <w:wBefore w:w="34" w:type="dxa"/>
          <w:del w:id="12508" w:author="AbbVie_HU_03" w:date="2025-05-14T16:41:00Z"/>
        </w:trPr>
        <w:tc>
          <w:tcPr>
            <w:tcW w:w="4644" w:type="dxa"/>
            <w:gridSpan w:val="2"/>
          </w:tcPr>
          <w:p w14:paraId="6E24392C" w14:textId="2EE8FC1D" w:rsidR="008604D4" w:rsidRPr="00BD646C" w:rsidRDefault="00943743" w:rsidP="00966731">
            <w:pPr>
              <w:suppressAutoHyphens w:val="0"/>
              <w:rPr>
                <w:del w:id="12509" w:author="AbbVie_HU_03" w:date="2025-05-14T16:41:00Z"/>
                <w:b/>
                <w:bCs/>
                <w:szCs w:val="22"/>
                <w:lang w:val="es-ES"/>
              </w:rPr>
            </w:pPr>
            <w:del w:id="12510" w:author="AbbVie_HU_03" w:date="2025-05-14T16:41:00Z">
              <w:r w:rsidRPr="00BD646C">
                <w:rPr>
                  <w:b/>
                  <w:bCs/>
                  <w:szCs w:val="22"/>
                  <w:lang w:val="es-ES"/>
                </w:rPr>
                <w:delText>España</w:delText>
              </w:r>
            </w:del>
          </w:p>
          <w:p w14:paraId="7EB24637" w14:textId="14FAF2C9" w:rsidR="008604D4" w:rsidRPr="00BD646C" w:rsidRDefault="00943743" w:rsidP="00966731">
            <w:pPr>
              <w:suppressAutoHyphens w:val="0"/>
              <w:rPr>
                <w:del w:id="12511" w:author="AbbVie_HU_03" w:date="2025-05-14T16:41:00Z"/>
                <w:szCs w:val="22"/>
                <w:lang w:val="es-ES"/>
              </w:rPr>
            </w:pPr>
            <w:del w:id="12512" w:author="AbbVie_HU_03" w:date="2025-05-14T16:41:00Z">
              <w:r w:rsidRPr="00BD646C">
                <w:rPr>
                  <w:szCs w:val="22"/>
                  <w:lang w:val="es-ES"/>
                </w:rPr>
                <w:delText xml:space="preserve">AbbVie </w:delText>
              </w:r>
              <w:r w:rsidRPr="00BD646C">
                <w:rPr>
                  <w:bCs/>
                  <w:szCs w:val="22"/>
                  <w:lang w:val="es-ES"/>
                </w:rPr>
                <w:delText>Spain</w:delText>
              </w:r>
              <w:r w:rsidRPr="00BD646C">
                <w:rPr>
                  <w:szCs w:val="22"/>
                  <w:lang w:val="es-ES"/>
                </w:rPr>
                <w:delText>, S.L.U</w:delText>
              </w:r>
              <w:r w:rsidRPr="00BD646C">
                <w:rPr>
                  <w:bCs/>
                  <w:szCs w:val="22"/>
                  <w:lang w:val="es-ES"/>
                </w:rPr>
                <w:delText>.</w:delText>
              </w:r>
            </w:del>
          </w:p>
          <w:p w14:paraId="183CA84A" w14:textId="23FBBE3D" w:rsidR="008604D4" w:rsidRPr="00BD646C" w:rsidRDefault="00943743" w:rsidP="00966731">
            <w:pPr>
              <w:suppressAutoHyphens w:val="0"/>
              <w:rPr>
                <w:del w:id="12513" w:author="AbbVie_HU_03" w:date="2025-05-14T16:41:00Z"/>
                <w:bCs/>
                <w:szCs w:val="22"/>
                <w:lang w:val="pl-PL"/>
              </w:rPr>
            </w:pPr>
            <w:del w:id="12514" w:author="AbbVie_HU_03" w:date="2025-05-14T16:41:00Z">
              <w:r w:rsidRPr="00BD646C">
                <w:rPr>
                  <w:bCs/>
                  <w:szCs w:val="22"/>
                  <w:lang w:val="pt-PT"/>
                </w:rPr>
                <w:delText>Tel: +34 91 384 09 10</w:delText>
              </w:r>
            </w:del>
          </w:p>
        </w:tc>
        <w:tc>
          <w:tcPr>
            <w:tcW w:w="4678" w:type="dxa"/>
          </w:tcPr>
          <w:p w14:paraId="6A10DF8B" w14:textId="0E990021" w:rsidR="008604D4" w:rsidRPr="00BD646C" w:rsidRDefault="00943743" w:rsidP="00966731">
            <w:pPr>
              <w:suppressAutoHyphens w:val="0"/>
              <w:rPr>
                <w:del w:id="12515" w:author="AbbVie_HU_03" w:date="2025-05-14T16:41:00Z"/>
                <w:b/>
                <w:bCs/>
                <w:iCs/>
                <w:szCs w:val="22"/>
                <w:lang w:val="pl-PL"/>
              </w:rPr>
            </w:pPr>
            <w:del w:id="12516" w:author="AbbVie_HU_03" w:date="2025-05-14T16:41:00Z">
              <w:r w:rsidRPr="00BD646C">
                <w:rPr>
                  <w:b/>
                  <w:bCs/>
                  <w:iCs/>
                  <w:szCs w:val="22"/>
                  <w:lang w:val="pl-PL"/>
                </w:rPr>
                <w:delText>Polska</w:delText>
              </w:r>
            </w:del>
          </w:p>
          <w:p w14:paraId="245CCE56" w14:textId="7D45B3F2" w:rsidR="008604D4" w:rsidRPr="00BD646C" w:rsidRDefault="00943743" w:rsidP="00966731">
            <w:pPr>
              <w:suppressAutoHyphens w:val="0"/>
              <w:rPr>
                <w:del w:id="12517" w:author="AbbVie_HU_03" w:date="2025-05-14T16:41:00Z"/>
                <w:bCs/>
                <w:szCs w:val="22"/>
                <w:lang w:val="pl-PL"/>
              </w:rPr>
            </w:pPr>
            <w:del w:id="12518" w:author="AbbVie_HU_03" w:date="2025-05-14T16:41:00Z">
              <w:r w:rsidRPr="00BD646C">
                <w:rPr>
                  <w:bCs/>
                  <w:szCs w:val="22"/>
                  <w:lang w:val="pl-PL"/>
                </w:rPr>
                <w:delText>AbbVie Sp. z o.o.</w:delText>
              </w:r>
            </w:del>
          </w:p>
          <w:p w14:paraId="17646FDE" w14:textId="78010660" w:rsidR="008604D4" w:rsidRPr="00BD646C" w:rsidRDefault="00943743" w:rsidP="00966731">
            <w:pPr>
              <w:suppressAutoHyphens w:val="0"/>
              <w:rPr>
                <w:del w:id="12519" w:author="AbbVie_HU_03" w:date="2025-05-14T16:41:00Z"/>
                <w:bCs/>
                <w:szCs w:val="22"/>
                <w:lang w:val="pl-PL"/>
              </w:rPr>
            </w:pPr>
            <w:del w:id="12520" w:author="AbbVie_HU_03" w:date="2025-05-14T16:41:00Z">
              <w:r w:rsidRPr="00BD646C">
                <w:rPr>
                  <w:szCs w:val="22"/>
                  <w:lang w:val="es-ES"/>
                </w:rPr>
                <w:delText xml:space="preserve">Tel.: +48 22 </w:delText>
              </w:r>
              <w:r w:rsidRPr="00BD646C">
                <w:rPr>
                  <w:bCs/>
                  <w:szCs w:val="22"/>
                  <w:lang w:val="pl-PL"/>
                </w:rPr>
                <w:delText xml:space="preserve">372 78 00 </w:delText>
              </w:r>
            </w:del>
          </w:p>
          <w:p w14:paraId="03245B17" w14:textId="5A5E79EC" w:rsidR="008604D4" w:rsidRPr="00BD646C" w:rsidRDefault="008604D4" w:rsidP="00966731">
            <w:pPr>
              <w:suppressAutoHyphens w:val="0"/>
              <w:rPr>
                <w:del w:id="12521" w:author="AbbVie_HU_03" w:date="2025-05-14T16:41:00Z"/>
                <w:bCs/>
                <w:szCs w:val="22"/>
                <w:lang w:val="pl-PL"/>
              </w:rPr>
            </w:pPr>
          </w:p>
        </w:tc>
      </w:tr>
      <w:tr w:rsidR="00011D2F" w14:paraId="659593FB" w14:textId="7410014E" w:rsidTr="001F79B0">
        <w:trPr>
          <w:trHeight w:val="734"/>
          <w:del w:id="12522" w:author="AbbVie_HU_03" w:date="2025-05-14T16:41:00Z"/>
        </w:trPr>
        <w:tc>
          <w:tcPr>
            <w:tcW w:w="4678" w:type="dxa"/>
            <w:gridSpan w:val="3"/>
          </w:tcPr>
          <w:p w14:paraId="064043B7" w14:textId="6049B644" w:rsidR="008604D4" w:rsidRPr="00C70C5A" w:rsidRDefault="00943743" w:rsidP="00966731">
            <w:pPr>
              <w:suppressAutoHyphens w:val="0"/>
              <w:rPr>
                <w:del w:id="12523" w:author="AbbVie_HU_03" w:date="2025-05-14T16:41:00Z"/>
                <w:b/>
                <w:szCs w:val="22"/>
                <w:rPrChange w:id="12524" w:author="AbbVie_HU_04" w:date="2025-05-16T12:29:00Z">
                  <w:rPr>
                    <w:del w:id="12525" w:author="AbbVie_HU_03" w:date="2025-05-14T16:41:00Z"/>
                    <w:b/>
                    <w:bCs/>
                    <w:szCs w:val="22"/>
                    <w:lang w:val="fr-FR"/>
                  </w:rPr>
                </w:rPrChange>
              </w:rPr>
            </w:pPr>
            <w:del w:id="12526" w:author="AbbVie_HU_03" w:date="2025-05-14T16:41:00Z">
              <w:r w:rsidRPr="00C70C5A">
                <w:rPr>
                  <w:b/>
                  <w:szCs w:val="22"/>
                  <w:rPrChange w:id="12527" w:author="AbbVie_HU_04" w:date="2025-05-16T12:29:00Z">
                    <w:rPr>
                      <w:b/>
                      <w:bCs/>
                      <w:szCs w:val="22"/>
                      <w:lang w:val="fr-FR"/>
                    </w:rPr>
                  </w:rPrChange>
                </w:rPr>
                <w:delText>France</w:delText>
              </w:r>
            </w:del>
          </w:p>
          <w:p w14:paraId="6A72856A" w14:textId="2F6AB4F3" w:rsidR="008604D4" w:rsidRPr="00C70C5A" w:rsidRDefault="00943743" w:rsidP="00966731">
            <w:pPr>
              <w:suppressAutoHyphens w:val="0"/>
              <w:rPr>
                <w:del w:id="12528" w:author="AbbVie_HU_03" w:date="2025-05-14T16:41:00Z"/>
                <w:szCs w:val="22"/>
                <w:rPrChange w:id="12529" w:author="AbbVie_HU_04" w:date="2025-05-16T12:29:00Z">
                  <w:rPr>
                    <w:del w:id="12530" w:author="AbbVie_HU_03" w:date="2025-05-14T16:41:00Z"/>
                    <w:bCs/>
                    <w:szCs w:val="22"/>
                    <w:lang w:val="fr-FR"/>
                  </w:rPr>
                </w:rPrChange>
              </w:rPr>
            </w:pPr>
            <w:del w:id="12531" w:author="AbbVie_HU_03" w:date="2025-05-14T16:41:00Z">
              <w:r w:rsidRPr="00C70C5A">
                <w:rPr>
                  <w:szCs w:val="22"/>
                  <w:rPrChange w:id="12532" w:author="AbbVie_HU_04" w:date="2025-05-16T12:29:00Z">
                    <w:rPr>
                      <w:bCs/>
                      <w:szCs w:val="22"/>
                      <w:lang w:val="fr-FR"/>
                    </w:rPr>
                  </w:rPrChange>
                </w:rPr>
                <w:delText>AbbVie</w:delText>
              </w:r>
            </w:del>
          </w:p>
          <w:p w14:paraId="46752DB7" w14:textId="19F6B5DB" w:rsidR="008604D4" w:rsidRPr="00C70C5A" w:rsidRDefault="00943743" w:rsidP="00966731">
            <w:pPr>
              <w:suppressAutoHyphens w:val="0"/>
              <w:rPr>
                <w:del w:id="12533" w:author="AbbVie_HU_03" w:date="2025-05-14T16:41:00Z"/>
                <w:szCs w:val="22"/>
                <w:rPrChange w:id="12534" w:author="AbbVie_HU_04" w:date="2025-05-16T12:29:00Z">
                  <w:rPr>
                    <w:del w:id="12535" w:author="AbbVie_HU_03" w:date="2025-05-14T16:41:00Z"/>
                    <w:bCs/>
                    <w:szCs w:val="22"/>
                    <w:lang w:val="fr-FR"/>
                  </w:rPr>
                </w:rPrChange>
              </w:rPr>
            </w:pPr>
            <w:del w:id="12536" w:author="AbbVie_HU_03" w:date="2025-05-14T16:41:00Z">
              <w:r w:rsidRPr="00C70C5A">
                <w:rPr>
                  <w:szCs w:val="22"/>
                  <w:rPrChange w:id="12537" w:author="AbbVie_HU_04" w:date="2025-05-16T12:29:00Z">
                    <w:rPr>
                      <w:bCs/>
                      <w:szCs w:val="22"/>
                      <w:lang w:val="fr-FR"/>
                    </w:rPr>
                  </w:rPrChange>
                </w:rPr>
                <w:delText>Tél: +33 (0) 1 45 60 13 00</w:delText>
              </w:r>
            </w:del>
          </w:p>
        </w:tc>
        <w:tc>
          <w:tcPr>
            <w:tcW w:w="4678" w:type="dxa"/>
          </w:tcPr>
          <w:p w14:paraId="1867A923" w14:textId="51E08872" w:rsidR="008604D4" w:rsidRPr="00BD646C" w:rsidRDefault="00943743" w:rsidP="00966731">
            <w:pPr>
              <w:suppressAutoHyphens w:val="0"/>
              <w:rPr>
                <w:del w:id="12538" w:author="AbbVie_HU_03" w:date="2025-05-14T16:41:00Z"/>
                <w:b/>
                <w:bCs/>
                <w:szCs w:val="22"/>
                <w:lang w:val="pt-PT"/>
              </w:rPr>
            </w:pPr>
            <w:del w:id="12539" w:author="AbbVie_HU_03" w:date="2025-05-14T16:41:00Z">
              <w:r w:rsidRPr="00BD646C">
                <w:rPr>
                  <w:b/>
                  <w:bCs/>
                  <w:szCs w:val="22"/>
                  <w:lang w:val="pt-PT"/>
                </w:rPr>
                <w:delText>Portugal</w:delText>
              </w:r>
            </w:del>
          </w:p>
          <w:p w14:paraId="5BD06D85" w14:textId="6A711DD0" w:rsidR="008604D4" w:rsidRPr="00C70C5A" w:rsidRDefault="00943743" w:rsidP="00966731">
            <w:pPr>
              <w:suppressAutoHyphens w:val="0"/>
              <w:rPr>
                <w:del w:id="12540" w:author="AbbVie_HU_03" w:date="2025-05-14T16:41:00Z"/>
                <w:szCs w:val="22"/>
                <w:rPrChange w:id="12541" w:author="AbbVie_HU_04" w:date="2025-05-16T12:29:00Z">
                  <w:rPr>
                    <w:del w:id="12542" w:author="AbbVie_HU_03" w:date="2025-05-14T16:41:00Z"/>
                    <w:bCs/>
                    <w:szCs w:val="22"/>
                    <w:lang w:val="fr-FR"/>
                  </w:rPr>
                </w:rPrChange>
              </w:rPr>
            </w:pPr>
            <w:del w:id="12543" w:author="AbbVie_HU_03" w:date="2025-05-14T16:41:00Z">
              <w:r w:rsidRPr="00C70C5A">
                <w:rPr>
                  <w:szCs w:val="22"/>
                  <w:rPrChange w:id="12544" w:author="AbbVie_HU_04" w:date="2025-05-16T12:29:00Z">
                    <w:rPr>
                      <w:bCs/>
                      <w:szCs w:val="22"/>
                      <w:lang w:val="fr-FR"/>
                    </w:rPr>
                  </w:rPrChange>
                </w:rPr>
                <w:delText xml:space="preserve">AbbVie, Lda. </w:delText>
              </w:r>
            </w:del>
          </w:p>
          <w:p w14:paraId="66065DEE" w14:textId="3C446941" w:rsidR="008604D4" w:rsidRPr="00C70C5A" w:rsidRDefault="00943743" w:rsidP="00966731">
            <w:pPr>
              <w:suppressAutoHyphens w:val="0"/>
              <w:rPr>
                <w:del w:id="12545" w:author="AbbVie_HU_03" w:date="2025-05-14T16:41:00Z"/>
                <w:szCs w:val="22"/>
                <w:rPrChange w:id="12546" w:author="AbbVie_HU_04" w:date="2025-05-16T12:29:00Z">
                  <w:rPr>
                    <w:del w:id="12547" w:author="AbbVie_HU_03" w:date="2025-05-14T16:41:00Z"/>
                    <w:szCs w:val="22"/>
                    <w:lang w:val="fr-FR"/>
                  </w:rPr>
                </w:rPrChange>
              </w:rPr>
            </w:pPr>
            <w:del w:id="12548" w:author="AbbVie_HU_03" w:date="2025-05-14T16:41:00Z">
              <w:r w:rsidRPr="00C70C5A">
                <w:rPr>
                  <w:szCs w:val="22"/>
                  <w:rPrChange w:id="12549" w:author="AbbVie_HU_04" w:date="2025-05-16T12:29:00Z">
                    <w:rPr>
                      <w:szCs w:val="22"/>
                      <w:lang w:val="fr-FR"/>
                    </w:rPr>
                  </w:rPrChange>
                </w:rPr>
                <w:delText>Tel: +351 (0)21 1908400</w:delText>
              </w:r>
            </w:del>
          </w:p>
          <w:p w14:paraId="1D4E72C4" w14:textId="2786A90C" w:rsidR="008604D4" w:rsidRPr="00C70C5A" w:rsidRDefault="008604D4" w:rsidP="00966731">
            <w:pPr>
              <w:suppressAutoHyphens w:val="0"/>
              <w:rPr>
                <w:del w:id="12550" w:author="AbbVie_HU_03" w:date="2025-05-14T16:41:00Z"/>
                <w:szCs w:val="22"/>
                <w:rPrChange w:id="12551" w:author="AbbVie_HU_04" w:date="2025-05-16T12:29:00Z">
                  <w:rPr>
                    <w:del w:id="12552" w:author="AbbVie_HU_03" w:date="2025-05-14T16:41:00Z"/>
                    <w:szCs w:val="22"/>
                    <w:lang w:val="fr-FR"/>
                  </w:rPr>
                </w:rPrChange>
              </w:rPr>
            </w:pPr>
          </w:p>
        </w:tc>
      </w:tr>
      <w:tr w:rsidR="00011D2F" w14:paraId="63E092DE" w14:textId="1F48749B" w:rsidTr="001F79B0">
        <w:trPr>
          <w:gridBefore w:val="1"/>
          <w:wBefore w:w="34" w:type="dxa"/>
          <w:del w:id="12553" w:author="AbbVie_HU_03" w:date="2025-05-14T16:41:00Z"/>
        </w:trPr>
        <w:tc>
          <w:tcPr>
            <w:tcW w:w="4644" w:type="dxa"/>
            <w:gridSpan w:val="2"/>
          </w:tcPr>
          <w:p w14:paraId="365AE8AA" w14:textId="4C706580" w:rsidR="008604D4" w:rsidRPr="0047544D" w:rsidRDefault="00943743" w:rsidP="00966731">
            <w:pPr>
              <w:suppressAutoHyphens w:val="0"/>
              <w:rPr>
                <w:del w:id="12554" w:author="AbbVie_HU_03" w:date="2025-05-14T16:41:00Z"/>
                <w:szCs w:val="22"/>
              </w:rPr>
            </w:pPr>
            <w:del w:id="12555" w:author="AbbVie_HU_03" w:date="2025-05-14T16:41:00Z">
              <w:r w:rsidRPr="0047544D">
                <w:rPr>
                  <w:b/>
                  <w:bCs/>
                  <w:szCs w:val="22"/>
                </w:rPr>
                <w:delText xml:space="preserve">Hrvatska </w:delText>
              </w:r>
            </w:del>
          </w:p>
          <w:p w14:paraId="589C8B7C" w14:textId="0F6CBF69" w:rsidR="008604D4" w:rsidRPr="00BD646C" w:rsidRDefault="00943743" w:rsidP="00966731">
            <w:pPr>
              <w:suppressAutoHyphens w:val="0"/>
              <w:rPr>
                <w:del w:id="12556" w:author="AbbVie_HU_03" w:date="2025-05-14T16:41:00Z"/>
                <w:szCs w:val="22"/>
                <w:lang w:val="hr-HR"/>
              </w:rPr>
            </w:pPr>
            <w:del w:id="12557" w:author="AbbVie_HU_03" w:date="2025-05-14T16:41:00Z">
              <w:r w:rsidRPr="00BD646C">
                <w:rPr>
                  <w:szCs w:val="22"/>
                  <w:lang w:val="hr-HR"/>
                </w:rPr>
                <w:delText>AbbVie d.o.o.</w:delText>
              </w:r>
            </w:del>
          </w:p>
          <w:p w14:paraId="08A00A10" w14:textId="73ED318D" w:rsidR="008604D4" w:rsidRPr="00BD646C" w:rsidRDefault="00943743" w:rsidP="00966731">
            <w:pPr>
              <w:suppressAutoHyphens w:val="0"/>
              <w:rPr>
                <w:del w:id="12558" w:author="AbbVie_HU_03" w:date="2025-05-14T16:41:00Z"/>
                <w:bCs/>
                <w:szCs w:val="22"/>
                <w:lang w:val="it-IT"/>
              </w:rPr>
            </w:pPr>
            <w:del w:id="12559" w:author="AbbVie_HU_03" w:date="2025-05-14T16:41:00Z">
              <w:r w:rsidRPr="00BD646C">
                <w:rPr>
                  <w:szCs w:val="22"/>
                  <w:lang w:val="hr-HR"/>
                </w:rPr>
                <w:delText xml:space="preserve">Tel + 385 (0)1 </w:delText>
              </w:r>
              <w:r w:rsidRPr="00C70C5A">
                <w:rPr>
                  <w:szCs w:val="22"/>
                  <w:rPrChange w:id="12560" w:author="AbbVie_HU_04" w:date="2025-05-16T12:29:00Z">
                    <w:rPr>
                      <w:szCs w:val="22"/>
                      <w:lang w:val="en-US"/>
                    </w:rPr>
                  </w:rPrChange>
                </w:rPr>
                <w:delText>5625 501</w:delText>
              </w:r>
            </w:del>
          </w:p>
        </w:tc>
        <w:tc>
          <w:tcPr>
            <w:tcW w:w="4678" w:type="dxa"/>
          </w:tcPr>
          <w:p w14:paraId="7EAEBE82" w14:textId="35D4FFBF" w:rsidR="008604D4" w:rsidRPr="00BD646C" w:rsidRDefault="00943743" w:rsidP="00966731">
            <w:pPr>
              <w:suppressAutoHyphens w:val="0"/>
              <w:rPr>
                <w:del w:id="12561" w:author="AbbVie_HU_03" w:date="2025-05-14T16:41:00Z"/>
                <w:b/>
                <w:bCs/>
                <w:szCs w:val="22"/>
                <w:lang w:val="it-IT"/>
              </w:rPr>
            </w:pPr>
            <w:del w:id="12562" w:author="AbbVie_HU_03" w:date="2025-05-14T16:41:00Z">
              <w:r w:rsidRPr="00BD646C">
                <w:rPr>
                  <w:b/>
                  <w:bCs/>
                  <w:szCs w:val="22"/>
                  <w:lang w:val="it-IT"/>
                </w:rPr>
                <w:delText>România</w:delText>
              </w:r>
            </w:del>
          </w:p>
          <w:p w14:paraId="10CF71FF" w14:textId="6525FF8D" w:rsidR="008604D4" w:rsidRPr="00BD646C" w:rsidRDefault="00943743" w:rsidP="00966731">
            <w:pPr>
              <w:suppressAutoHyphens w:val="0"/>
              <w:rPr>
                <w:del w:id="12563" w:author="AbbVie_HU_03" w:date="2025-05-14T16:41:00Z"/>
                <w:szCs w:val="22"/>
                <w:lang w:val="it-IT"/>
              </w:rPr>
            </w:pPr>
            <w:del w:id="12564" w:author="AbbVie_HU_03" w:date="2025-05-14T16:41:00Z">
              <w:r w:rsidRPr="00BD646C">
                <w:rPr>
                  <w:szCs w:val="22"/>
                  <w:lang w:val="it-IT"/>
                </w:rPr>
                <w:delText>AbbVie S.R.L.</w:delText>
              </w:r>
            </w:del>
          </w:p>
          <w:p w14:paraId="0155055A" w14:textId="403C5E60" w:rsidR="008604D4" w:rsidRPr="00BD646C" w:rsidRDefault="00943743" w:rsidP="00966731">
            <w:pPr>
              <w:suppressAutoHyphens w:val="0"/>
              <w:rPr>
                <w:del w:id="12565" w:author="AbbVie_HU_03" w:date="2025-05-14T16:41:00Z"/>
                <w:szCs w:val="22"/>
                <w:lang w:val="pl-PL"/>
              </w:rPr>
            </w:pPr>
            <w:del w:id="12566" w:author="AbbVie_HU_03" w:date="2025-05-14T16:41:00Z">
              <w:r w:rsidRPr="00BD646C">
                <w:rPr>
                  <w:szCs w:val="22"/>
                  <w:lang w:val="pl-PL"/>
                </w:rPr>
                <w:delText>Tel: +40 21 529 30 35</w:delText>
              </w:r>
            </w:del>
          </w:p>
          <w:p w14:paraId="35BB0CA3" w14:textId="66FD523A" w:rsidR="008604D4" w:rsidRPr="00BD646C" w:rsidRDefault="008604D4" w:rsidP="00966731">
            <w:pPr>
              <w:suppressAutoHyphens w:val="0"/>
              <w:rPr>
                <w:del w:id="12567" w:author="AbbVie_HU_03" w:date="2025-05-14T16:41:00Z"/>
                <w:szCs w:val="22"/>
                <w:lang w:val="pl-PL"/>
              </w:rPr>
            </w:pPr>
          </w:p>
        </w:tc>
      </w:tr>
      <w:tr w:rsidR="00011D2F" w14:paraId="01ACBCB5" w14:textId="6052AD91" w:rsidTr="001F79B0">
        <w:trPr>
          <w:gridBefore w:val="1"/>
          <w:wBefore w:w="34" w:type="dxa"/>
          <w:del w:id="12568" w:author="AbbVie_HU_03" w:date="2025-05-14T16:41:00Z"/>
        </w:trPr>
        <w:tc>
          <w:tcPr>
            <w:tcW w:w="4644" w:type="dxa"/>
            <w:gridSpan w:val="2"/>
          </w:tcPr>
          <w:p w14:paraId="396F4928" w14:textId="697F3490" w:rsidR="008604D4" w:rsidRPr="00BD646C" w:rsidRDefault="00943743" w:rsidP="00966731">
            <w:pPr>
              <w:suppressAutoHyphens w:val="0"/>
              <w:rPr>
                <w:del w:id="12569" w:author="AbbVie_HU_03" w:date="2025-05-14T16:41:00Z"/>
                <w:b/>
                <w:bCs/>
                <w:szCs w:val="22"/>
                <w:lang w:val="sk-SK"/>
              </w:rPr>
            </w:pPr>
            <w:del w:id="12570" w:author="AbbVie_HU_03" w:date="2025-05-14T16:41:00Z">
              <w:r w:rsidRPr="00BD646C">
                <w:rPr>
                  <w:b/>
                  <w:bCs/>
                  <w:szCs w:val="22"/>
                  <w:lang w:val="sk-SK"/>
                </w:rPr>
                <w:delText>Ireland</w:delText>
              </w:r>
            </w:del>
          </w:p>
          <w:p w14:paraId="7D565CB1" w14:textId="21EF3D02" w:rsidR="008604D4" w:rsidRPr="00BD646C" w:rsidRDefault="00943743" w:rsidP="00966731">
            <w:pPr>
              <w:suppressAutoHyphens w:val="0"/>
              <w:rPr>
                <w:del w:id="12571" w:author="AbbVie_HU_03" w:date="2025-05-14T16:41:00Z"/>
                <w:bCs/>
                <w:szCs w:val="22"/>
                <w:lang w:val="sk-SK"/>
              </w:rPr>
            </w:pPr>
            <w:del w:id="12572" w:author="AbbVie_HU_03" w:date="2025-05-14T16:41:00Z">
              <w:r w:rsidRPr="00BD646C">
                <w:rPr>
                  <w:bCs/>
                  <w:szCs w:val="22"/>
                  <w:lang w:val="sk-SK"/>
                </w:rPr>
                <w:delText xml:space="preserve">AbbVie Limited </w:delText>
              </w:r>
            </w:del>
          </w:p>
          <w:p w14:paraId="752EF858" w14:textId="0979C5FF" w:rsidR="008604D4" w:rsidRPr="00BD646C" w:rsidRDefault="00943743" w:rsidP="00966731">
            <w:pPr>
              <w:suppressAutoHyphens w:val="0"/>
              <w:rPr>
                <w:del w:id="12573" w:author="AbbVie_HU_03" w:date="2025-05-14T16:41:00Z"/>
                <w:bCs/>
                <w:szCs w:val="22"/>
                <w:lang w:val="sk-SK"/>
              </w:rPr>
            </w:pPr>
            <w:del w:id="12574" w:author="AbbVie_HU_03" w:date="2025-05-14T16:41:00Z">
              <w:r w:rsidRPr="00BD646C">
                <w:rPr>
                  <w:bCs/>
                  <w:szCs w:val="22"/>
                  <w:lang w:val="pt-PT"/>
                </w:rPr>
                <w:delText>Tel: +353 (0)1 428790</w:delText>
              </w:r>
              <w:r w:rsidR="001C51F1">
                <w:rPr>
                  <w:bCs/>
                  <w:szCs w:val="22"/>
                  <w:lang w:val="pt-PT"/>
                </w:rPr>
                <w:delText>0</w:delText>
              </w:r>
            </w:del>
          </w:p>
        </w:tc>
        <w:tc>
          <w:tcPr>
            <w:tcW w:w="4678" w:type="dxa"/>
          </w:tcPr>
          <w:p w14:paraId="25FA4686" w14:textId="5CCBFF8B" w:rsidR="008604D4" w:rsidRPr="00BD646C" w:rsidRDefault="00943743" w:rsidP="00966731">
            <w:pPr>
              <w:suppressAutoHyphens w:val="0"/>
              <w:rPr>
                <w:del w:id="12575" w:author="AbbVie_HU_03" w:date="2025-05-14T16:41:00Z"/>
                <w:b/>
                <w:bCs/>
                <w:szCs w:val="22"/>
                <w:lang w:val="sl-SI"/>
              </w:rPr>
            </w:pPr>
            <w:del w:id="12576" w:author="AbbVie_HU_03" w:date="2025-05-14T16:41:00Z">
              <w:r w:rsidRPr="00BD646C">
                <w:rPr>
                  <w:b/>
                  <w:bCs/>
                  <w:szCs w:val="22"/>
                  <w:lang w:val="sl-SI"/>
                </w:rPr>
                <w:delText>Slovenija</w:delText>
              </w:r>
            </w:del>
          </w:p>
          <w:p w14:paraId="0D705494" w14:textId="2ED5434B" w:rsidR="008604D4" w:rsidRPr="00BD646C" w:rsidRDefault="00943743" w:rsidP="00966731">
            <w:pPr>
              <w:suppressAutoHyphens w:val="0"/>
              <w:rPr>
                <w:del w:id="12577" w:author="AbbVie_HU_03" w:date="2025-05-14T16:41:00Z"/>
                <w:bCs/>
                <w:szCs w:val="22"/>
                <w:lang w:val="sl-SI"/>
              </w:rPr>
            </w:pPr>
            <w:del w:id="12578" w:author="AbbVie_HU_03" w:date="2025-05-14T16:41:00Z">
              <w:r w:rsidRPr="00BD646C">
                <w:rPr>
                  <w:bCs/>
                  <w:szCs w:val="22"/>
                  <w:lang w:val="sl-SI"/>
                </w:rPr>
                <w:delText xml:space="preserve">AbbVie </w:delText>
              </w:r>
              <w:r w:rsidRPr="00BD646C">
                <w:rPr>
                  <w:szCs w:val="22"/>
                  <w:lang w:val="sl-SI"/>
                </w:rPr>
                <w:delText>Biofarmacevtska družba d.o.o.</w:delText>
              </w:r>
            </w:del>
          </w:p>
          <w:p w14:paraId="296979B3" w14:textId="3AE3D683" w:rsidR="008604D4" w:rsidRPr="00BD646C" w:rsidRDefault="00943743" w:rsidP="00966731">
            <w:pPr>
              <w:suppressAutoHyphens w:val="0"/>
              <w:rPr>
                <w:del w:id="12579" w:author="AbbVie_HU_03" w:date="2025-05-14T16:41:00Z"/>
                <w:bCs/>
                <w:szCs w:val="22"/>
                <w:lang w:val="sl-SI"/>
              </w:rPr>
            </w:pPr>
            <w:del w:id="12580" w:author="AbbVie_HU_03" w:date="2025-05-14T16:41:00Z">
              <w:r w:rsidRPr="00BD646C">
                <w:rPr>
                  <w:bCs/>
                  <w:szCs w:val="22"/>
                  <w:lang w:val="sl-SI"/>
                </w:rPr>
                <w:delText>Tel: +386 (1)32 08 060</w:delText>
              </w:r>
            </w:del>
          </w:p>
          <w:p w14:paraId="4E6E89E4" w14:textId="51A9208D" w:rsidR="008604D4" w:rsidRPr="00BD646C" w:rsidRDefault="008604D4" w:rsidP="00966731">
            <w:pPr>
              <w:suppressAutoHyphens w:val="0"/>
              <w:rPr>
                <w:del w:id="12581" w:author="AbbVie_HU_03" w:date="2025-05-14T16:41:00Z"/>
                <w:bCs/>
                <w:szCs w:val="22"/>
                <w:lang w:val="sl-SI"/>
              </w:rPr>
            </w:pPr>
          </w:p>
        </w:tc>
      </w:tr>
      <w:tr w:rsidR="00011D2F" w14:paraId="006D80F6" w14:textId="0CD08436" w:rsidTr="001F79B0">
        <w:trPr>
          <w:gridBefore w:val="1"/>
          <w:wBefore w:w="34" w:type="dxa"/>
          <w:del w:id="12582" w:author="AbbVie_HU_03" w:date="2025-05-14T16:41:00Z"/>
        </w:trPr>
        <w:tc>
          <w:tcPr>
            <w:tcW w:w="4644" w:type="dxa"/>
            <w:gridSpan w:val="2"/>
          </w:tcPr>
          <w:p w14:paraId="5AD02D2A" w14:textId="5A0B476E" w:rsidR="008604D4" w:rsidRPr="00BD646C" w:rsidRDefault="00943743" w:rsidP="00966731">
            <w:pPr>
              <w:suppressAutoHyphens w:val="0"/>
              <w:rPr>
                <w:del w:id="12583" w:author="AbbVie_HU_03" w:date="2025-05-14T16:41:00Z"/>
                <w:b/>
                <w:bCs/>
                <w:szCs w:val="22"/>
                <w:lang w:val="is-IS"/>
              </w:rPr>
            </w:pPr>
            <w:del w:id="12584" w:author="AbbVie_HU_03" w:date="2025-05-14T16:41:00Z">
              <w:r w:rsidRPr="00BD646C">
                <w:rPr>
                  <w:b/>
                  <w:bCs/>
                  <w:szCs w:val="22"/>
                  <w:lang w:val="is-IS"/>
                </w:rPr>
                <w:delText>Ísland</w:delText>
              </w:r>
            </w:del>
          </w:p>
          <w:p w14:paraId="7F61940D" w14:textId="4F5822E7" w:rsidR="008604D4" w:rsidRPr="00BD646C" w:rsidRDefault="00943743" w:rsidP="00966731">
            <w:pPr>
              <w:suppressAutoHyphens w:val="0"/>
              <w:rPr>
                <w:del w:id="12585" w:author="AbbVie_HU_03" w:date="2025-05-14T16:41:00Z"/>
                <w:bCs/>
                <w:szCs w:val="22"/>
                <w:lang w:val="sk-SK"/>
              </w:rPr>
            </w:pPr>
            <w:del w:id="12586" w:author="AbbVie_HU_03" w:date="2025-05-14T16:41:00Z">
              <w:r w:rsidRPr="00BD646C">
                <w:rPr>
                  <w:bCs/>
                  <w:szCs w:val="22"/>
                  <w:lang w:val="sk-SK"/>
                </w:rPr>
                <w:delText>Vistor hf.</w:delText>
              </w:r>
            </w:del>
          </w:p>
          <w:p w14:paraId="5D79A7DD" w14:textId="423C52B3" w:rsidR="008604D4" w:rsidRPr="00BD646C" w:rsidRDefault="00943743" w:rsidP="00966731">
            <w:pPr>
              <w:suppressAutoHyphens w:val="0"/>
              <w:rPr>
                <w:del w:id="12587" w:author="AbbVie_HU_03" w:date="2025-05-14T16:41:00Z"/>
                <w:bCs/>
                <w:szCs w:val="22"/>
                <w:lang w:val="sk-SK"/>
              </w:rPr>
            </w:pPr>
            <w:del w:id="12588" w:author="AbbVie_HU_03" w:date="2025-05-14T16:41:00Z">
              <w:r w:rsidRPr="00BD646C">
                <w:rPr>
                  <w:bCs/>
                  <w:szCs w:val="22"/>
                  <w:lang w:val="sk-SK"/>
                </w:rPr>
                <w:delText>Tel: +354 535 7000</w:delText>
              </w:r>
            </w:del>
          </w:p>
        </w:tc>
        <w:tc>
          <w:tcPr>
            <w:tcW w:w="4678" w:type="dxa"/>
          </w:tcPr>
          <w:p w14:paraId="1F29ADEB" w14:textId="159E38F6" w:rsidR="008604D4" w:rsidRPr="00BD646C" w:rsidRDefault="00943743" w:rsidP="00966731">
            <w:pPr>
              <w:suppressAutoHyphens w:val="0"/>
              <w:rPr>
                <w:del w:id="12589" w:author="AbbVie_HU_03" w:date="2025-05-14T16:41:00Z"/>
                <w:b/>
                <w:bCs/>
                <w:szCs w:val="22"/>
                <w:lang w:val="sk-SK"/>
              </w:rPr>
            </w:pPr>
            <w:del w:id="12590" w:author="AbbVie_HU_03" w:date="2025-05-14T16:41:00Z">
              <w:r w:rsidRPr="00BD646C">
                <w:rPr>
                  <w:b/>
                  <w:bCs/>
                  <w:szCs w:val="22"/>
                  <w:lang w:val="sk-SK"/>
                </w:rPr>
                <w:delText>Slovenská republika</w:delText>
              </w:r>
            </w:del>
          </w:p>
          <w:p w14:paraId="1D01C1AD" w14:textId="6AFD7729" w:rsidR="008604D4" w:rsidRPr="00BD646C" w:rsidRDefault="00943743" w:rsidP="00966731">
            <w:pPr>
              <w:suppressAutoHyphens w:val="0"/>
              <w:rPr>
                <w:del w:id="12591" w:author="AbbVie_HU_03" w:date="2025-05-14T16:41:00Z"/>
                <w:bCs/>
                <w:szCs w:val="22"/>
                <w:lang w:val="sk-SK"/>
              </w:rPr>
            </w:pPr>
            <w:del w:id="12592" w:author="AbbVie_HU_03" w:date="2025-05-14T16:41:00Z">
              <w:r w:rsidRPr="00BD646C">
                <w:rPr>
                  <w:bCs/>
                  <w:szCs w:val="22"/>
                  <w:lang w:val="sk-SK"/>
                </w:rPr>
                <w:delText>AbbVie s.r.o.</w:delText>
              </w:r>
            </w:del>
          </w:p>
          <w:p w14:paraId="676FD141" w14:textId="31104B79" w:rsidR="008604D4" w:rsidRPr="00BD646C" w:rsidRDefault="00943743" w:rsidP="00966731">
            <w:pPr>
              <w:suppressAutoHyphens w:val="0"/>
              <w:rPr>
                <w:del w:id="12593" w:author="AbbVie_HU_03" w:date="2025-05-14T16:41:00Z"/>
                <w:bCs/>
                <w:szCs w:val="22"/>
                <w:lang w:val="sk-SK"/>
              </w:rPr>
            </w:pPr>
            <w:del w:id="12594" w:author="AbbVie_HU_03" w:date="2025-05-14T16:41:00Z">
              <w:r w:rsidRPr="00BD646C">
                <w:rPr>
                  <w:bCs/>
                  <w:szCs w:val="22"/>
                  <w:lang w:val="sk-SK"/>
                </w:rPr>
                <w:delText>Tel: +421 2 5050 0777</w:delText>
              </w:r>
            </w:del>
          </w:p>
          <w:p w14:paraId="47BB886C" w14:textId="592C1FE5" w:rsidR="008604D4" w:rsidRPr="00BD646C" w:rsidRDefault="008604D4" w:rsidP="00966731">
            <w:pPr>
              <w:suppressAutoHyphens w:val="0"/>
              <w:rPr>
                <w:del w:id="12595" w:author="AbbVie_HU_03" w:date="2025-05-14T16:41:00Z"/>
                <w:bCs/>
                <w:szCs w:val="22"/>
                <w:lang w:val="sk-SK"/>
              </w:rPr>
            </w:pPr>
          </w:p>
        </w:tc>
      </w:tr>
      <w:tr w:rsidR="00011D2F" w14:paraId="281E7BE0" w14:textId="2CF2A617" w:rsidTr="001F79B0">
        <w:trPr>
          <w:gridBefore w:val="1"/>
          <w:wBefore w:w="34" w:type="dxa"/>
          <w:del w:id="12596" w:author="AbbVie_HU_03" w:date="2025-05-14T16:41:00Z"/>
        </w:trPr>
        <w:tc>
          <w:tcPr>
            <w:tcW w:w="4644" w:type="dxa"/>
            <w:gridSpan w:val="2"/>
          </w:tcPr>
          <w:p w14:paraId="03F91C29" w14:textId="081948CC" w:rsidR="008604D4" w:rsidRPr="00BD646C" w:rsidRDefault="00943743" w:rsidP="00966731">
            <w:pPr>
              <w:suppressAutoHyphens w:val="0"/>
              <w:rPr>
                <w:del w:id="12597" w:author="AbbVie_HU_03" w:date="2025-05-14T16:41:00Z"/>
                <w:b/>
                <w:bCs/>
                <w:szCs w:val="22"/>
                <w:lang w:val="it-IT"/>
              </w:rPr>
            </w:pPr>
            <w:del w:id="12598" w:author="AbbVie_HU_03" w:date="2025-05-14T16:41:00Z">
              <w:r w:rsidRPr="00BD646C">
                <w:rPr>
                  <w:b/>
                  <w:bCs/>
                  <w:szCs w:val="22"/>
                  <w:lang w:val="it-IT"/>
                </w:rPr>
                <w:delText>Italia</w:delText>
              </w:r>
            </w:del>
          </w:p>
          <w:p w14:paraId="06BA0C9E" w14:textId="21BC6074" w:rsidR="008604D4" w:rsidRPr="00BD646C" w:rsidRDefault="00943743" w:rsidP="00966731">
            <w:pPr>
              <w:suppressAutoHyphens w:val="0"/>
              <w:rPr>
                <w:del w:id="12599" w:author="AbbVie_HU_03" w:date="2025-05-14T16:41:00Z"/>
                <w:bCs/>
                <w:szCs w:val="22"/>
                <w:lang w:val="pt-PT"/>
              </w:rPr>
            </w:pPr>
            <w:del w:id="12600" w:author="AbbVie_HU_03" w:date="2025-05-14T16:41:00Z">
              <w:r w:rsidRPr="00BD646C">
                <w:rPr>
                  <w:bCs/>
                  <w:szCs w:val="22"/>
                  <w:lang w:val="pt-PT"/>
                </w:rPr>
                <w:delText xml:space="preserve">AbbVie S.r.l. </w:delText>
              </w:r>
            </w:del>
          </w:p>
          <w:p w14:paraId="2A82BF75" w14:textId="1FBA74C0" w:rsidR="008604D4" w:rsidRPr="00BD646C" w:rsidRDefault="00943743" w:rsidP="00966731">
            <w:pPr>
              <w:suppressAutoHyphens w:val="0"/>
              <w:rPr>
                <w:del w:id="12601" w:author="AbbVie_HU_03" w:date="2025-05-14T16:41:00Z"/>
                <w:bCs/>
                <w:szCs w:val="22"/>
                <w:lang w:val="fi-FI"/>
              </w:rPr>
            </w:pPr>
            <w:del w:id="12602" w:author="AbbVie_HU_03" w:date="2025-05-14T16:41:00Z">
              <w:r w:rsidRPr="00C70C5A">
                <w:rPr>
                  <w:szCs w:val="22"/>
                  <w:rPrChange w:id="12603" w:author="AbbVie_HU_04" w:date="2025-05-16T12:29:00Z">
                    <w:rPr>
                      <w:bCs/>
                      <w:szCs w:val="22"/>
                      <w:lang w:val="fr-FR"/>
                    </w:rPr>
                  </w:rPrChange>
                </w:rPr>
                <w:delText>Tel: +39 06 928921</w:delText>
              </w:r>
            </w:del>
          </w:p>
        </w:tc>
        <w:tc>
          <w:tcPr>
            <w:tcW w:w="4678" w:type="dxa"/>
          </w:tcPr>
          <w:p w14:paraId="74F7AC98" w14:textId="3E286B9D" w:rsidR="008604D4" w:rsidRPr="00BD646C" w:rsidRDefault="00943743" w:rsidP="00966731">
            <w:pPr>
              <w:suppressAutoHyphens w:val="0"/>
              <w:rPr>
                <w:del w:id="12604" w:author="AbbVie_HU_03" w:date="2025-05-14T16:41:00Z"/>
                <w:b/>
                <w:bCs/>
                <w:szCs w:val="22"/>
                <w:lang w:val="fi-FI"/>
              </w:rPr>
            </w:pPr>
            <w:del w:id="12605" w:author="AbbVie_HU_03" w:date="2025-05-14T16:41:00Z">
              <w:r w:rsidRPr="00BD646C">
                <w:rPr>
                  <w:b/>
                  <w:bCs/>
                  <w:szCs w:val="22"/>
                  <w:lang w:val="fi-FI"/>
                </w:rPr>
                <w:delText>Suomi/Finland</w:delText>
              </w:r>
            </w:del>
          </w:p>
          <w:p w14:paraId="5CA5455E" w14:textId="56B0EDEF" w:rsidR="008604D4" w:rsidRPr="00BD646C" w:rsidRDefault="00943743" w:rsidP="00966731">
            <w:pPr>
              <w:suppressAutoHyphens w:val="0"/>
              <w:rPr>
                <w:del w:id="12606" w:author="AbbVie_HU_03" w:date="2025-05-14T16:41:00Z"/>
                <w:bCs/>
                <w:szCs w:val="22"/>
                <w:lang w:val="de-CH"/>
              </w:rPr>
            </w:pPr>
            <w:del w:id="12607" w:author="AbbVie_HU_03" w:date="2025-05-14T16:41:00Z">
              <w:r w:rsidRPr="00BD646C">
                <w:rPr>
                  <w:bCs/>
                  <w:szCs w:val="22"/>
                  <w:lang w:val="sk-SK"/>
                </w:rPr>
                <w:delText>AbbVie Oy</w:delText>
              </w:r>
            </w:del>
          </w:p>
          <w:p w14:paraId="4B63149E" w14:textId="3B0F5E9B" w:rsidR="008604D4" w:rsidRPr="00BD646C" w:rsidRDefault="00943743" w:rsidP="00966731">
            <w:pPr>
              <w:suppressAutoHyphens w:val="0"/>
              <w:rPr>
                <w:del w:id="12608" w:author="AbbVie_HU_03" w:date="2025-05-14T16:41:00Z"/>
                <w:bCs/>
                <w:szCs w:val="22"/>
                <w:lang w:val="sk-SK"/>
              </w:rPr>
            </w:pPr>
            <w:del w:id="12609" w:author="AbbVie_HU_03" w:date="2025-05-14T16:41:00Z">
              <w:r w:rsidRPr="00BD646C">
                <w:rPr>
                  <w:bCs/>
                  <w:szCs w:val="22"/>
                  <w:lang w:val="sk-SK"/>
                </w:rPr>
                <w:delText>Puh/Tel: +358 (0)10 2411 200</w:delText>
              </w:r>
            </w:del>
          </w:p>
          <w:p w14:paraId="331AD9B3" w14:textId="57AD4310" w:rsidR="008604D4" w:rsidRPr="00BD646C" w:rsidRDefault="008604D4" w:rsidP="00966731">
            <w:pPr>
              <w:suppressAutoHyphens w:val="0"/>
              <w:rPr>
                <w:del w:id="12610" w:author="AbbVie_HU_03" w:date="2025-05-14T16:41:00Z"/>
                <w:szCs w:val="22"/>
                <w:lang w:val="sk-SK"/>
              </w:rPr>
            </w:pPr>
          </w:p>
        </w:tc>
      </w:tr>
      <w:tr w:rsidR="00011D2F" w14:paraId="169E4CD9" w14:textId="2D884EB2" w:rsidTr="001F79B0">
        <w:trPr>
          <w:gridBefore w:val="1"/>
          <w:wBefore w:w="34" w:type="dxa"/>
          <w:cantSplit/>
          <w:trHeight w:val="887"/>
          <w:del w:id="12611" w:author="AbbVie_HU_03" w:date="2025-05-14T16:41:00Z"/>
        </w:trPr>
        <w:tc>
          <w:tcPr>
            <w:tcW w:w="4644" w:type="dxa"/>
            <w:gridSpan w:val="2"/>
          </w:tcPr>
          <w:p w14:paraId="3482FDAB" w14:textId="1FC85679" w:rsidR="008604D4" w:rsidRPr="00BD646C" w:rsidRDefault="00943743" w:rsidP="00966731">
            <w:pPr>
              <w:suppressAutoHyphens w:val="0"/>
              <w:rPr>
                <w:del w:id="12612" w:author="AbbVie_HU_03" w:date="2025-05-14T16:41:00Z"/>
                <w:b/>
                <w:bCs/>
                <w:szCs w:val="22"/>
                <w:lang w:val="el-GR"/>
              </w:rPr>
            </w:pPr>
            <w:del w:id="12613" w:author="AbbVie_HU_03" w:date="2025-05-14T16:41:00Z">
              <w:r w:rsidRPr="00BD646C">
                <w:rPr>
                  <w:b/>
                  <w:bCs/>
                  <w:szCs w:val="22"/>
                  <w:lang w:val="el-GR"/>
                </w:rPr>
                <w:delText>Κύπρος</w:delText>
              </w:r>
            </w:del>
          </w:p>
          <w:p w14:paraId="204A52ED" w14:textId="1DA6523B" w:rsidR="008604D4" w:rsidRPr="00BD646C" w:rsidRDefault="00943743" w:rsidP="00966731">
            <w:pPr>
              <w:suppressAutoHyphens w:val="0"/>
              <w:rPr>
                <w:del w:id="12614" w:author="AbbVie_HU_03" w:date="2025-05-14T16:41:00Z"/>
                <w:bCs/>
                <w:szCs w:val="22"/>
                <w:lang w:val="el-GR"/>
              </w:rPr>
            </w:pPr>
            <w:del w:id="12615" w:author="AbbVie_HU_03" w:date="2025-05-14T16:41:00Z">
              <w:r w:rsidRPr="00BD646C">
                <w:rPr>
                  <w:bCs/>
                  <w:szCs w:val="22"/>
                  <w:lang w:val="sk-SK"/>
                </w:rPr>
                <w:delText xml:space="preserve">Lifepharma (Z.A.M.) </w:delText>
              </w:r>
              <w:r w:rsidRPr="00BD646C">
                <w:rPr>
                  <w:bCs/>
                  <w:szCs w:val="22"/>
                  <w:lang w:val="it-IT"/>
                </w:rPr>
                <w:delText>Ltd</w:delText>
              </w:r>
            </w:del>
          </w:p>
          <w:p w14:paraId="5E5C24B7" w14:textId="66120FA2" w:rsidR="008604D4" w:rsidRPr="00BD646C" w:rsidRDefault="00943743" w:rsidP="00966731">
            <w:pPr>
              <w:suppressAutoHyphens w:val="0"/>
              <w:rPr>
                <w:del w:id="12616" w:author="AbbVie_HU_03" w:date="2025-05-14T16:41:00Z"/>
                <w:bCs/>
                <w:szCs w:val="22"/>
                <w:lang w:val="lv-LV"/>
              </w:rPr>
            </w:pPr>
            <w:del w:id="12617" w:author="AbbVie_HU_03" w:date="2025-05-14T16:41:00Z">
              <w:r w:rsidRPr="00BD646C">
                <w:rPr>
                  <w:bCs/>
                  <w:szCs w:val="22"/>
                  <w:lang w:val="el-GR"/>
                </w:rPr>
                <w:delText>Τηλ.: +357 22 34 74 40</w:delText>
              </w:r>
            </w:del>
          </w:p>
        </w:tc>
        <w:tc>
          <w:tcPr>
            <w:tcW w:w="4678" w:type="dxa"/>
          </w:tcPr>
          <w:p w14:paraId="0FF9596C" w14:textId="2565564F" w:rsidR="008604D4" w:rsidRPr="00BD646C" w:rsidRDefault="00943743" w:rsidP="00966731">
            <w:pPr>
              <w:suppressAutoHyphens w:val="0"/>
              <w:rPr>
                <w:del w:id="12618" w:author="AbbVie_HU_03" w:date="2025-05-14T16:41:00Z"/>
                <w:b/>
                <w:bCs/>
                <w:szCs w:val="22"/>
                <w:lang w:val="sk-SK"/>
              </w:rPr>
            </w:pPr>
            <w:del w:id="12619" w:author="AbbVie_HU_03" w:date="2025-05-14T16:41:00Z">
              <w:r w:rsidRPr="00BD646C">
                <w:rPr>
                  <w:b/>
                  <w:bCs/>
                  <w:szCs w:val="22"/>
                  <w:lang w:val="sk-SK"/>
                </w:rPr>
                <w:delText>Sverige</w:delText>
              </w:r>
            </w:del>
          </w:p>
          <w:p w14:paraId="6BE84F03" w14:textId="731463A4" w:rsidR="008604D4" w:rsidRPr="00BD646C" w:rsidRDefault="00943743" w:rsidP="00966731">
            <w:pPr>
              <w:suppressAutoHyphens w:val="0"/>
              <w:rPr>
                <w:del w:id="12620" w:author="AbbVie_HU_03" w:date="2025-05-14T16:41:00Z"/>
                <w:bCs/>
                <w:szCs w:val="22"/>
                <w:lang w:val="pt-PT"/>
              </w:rPr>
            </w:pPr>
            <w:del w:id="12621" w:author="AbbVie_HU_03" w:date="2025-05-14T16:41:00Z">
              <w:r w:rsidRPr="00BD646C">
                <w:rPr>
                  <w:bCs/>
                  <w:szCs w:val="22"/>
                  <w:lang w:val="pt-PT"/>
                </w:rPr>
                <w:delText>AbbVie AB</w:delText>
              </w:r>
            </w:del>
          </w:p>
          <w:p w14:paraId="4A2C0A92" w14:textId="4DC22EC0" w:rsidR="008604D4" w:rsidRPr="00BD646C" w:rsidRDefault="00943743" w:rsidP="00966731">
            <w:pPr>
              <w:suppressAutoHyphens w:val="0"/>
              <w:rPr>
                <w:del w:id="12622" w:author="AbbVie_HU_03" w:date="2025-05-14T16:41:00Z"/>
                <w:bCs/>
                <w:szCs w:val="22"/>
                <w:lang w:val="sk-SK"/>
              </w:rPr>
            </w:pPr>
            <w:del w:id="12623" w:author="AbbVie_HU_03" w:date="2025-05-14T16:41:00Z">
              <w:r w:rsidRPr="00BD646C">
                <w:rPr>
                  <w:bCs/>
                  <w:szCs w:val="22"/>
                  <w:lang w:val="da-DK"/>
                </w:rPr>
                <w:delText>Tel: +46 (0)8 684 44 600</w:delText>
              </w:r>
            </w:del>
          </w:p>
        </w:tc>
      </w:tr>
      <w:tr w:rsidR="00011D2F" w14:paraId="4DFCAD51" w14:textId="3EA93EEC" w:rsidTr="001F79B0">
        <w:trPr>
          <w:gridBefore w:val="1"/>
          <w:wBefore w:w="34" w:type="dxa"/>
          <w:cantSplit/>
          <w:trHeight w:val="761"/>
          <w:del w:id="12624" w:author="AbbVie_HU_03" w:date="2025-05-14T16:41:00Z"/>
        </w:trPr>
        <w:tc>
          <w:tcPr>
            <w:tcW w:w="4644" w:type="dxa"/>
            <w:gridSpan w:val="2"/>
          </w:tcPr>
          <w:p w14:paraId="51F6D116" w14:textId="6A6B2D7D" w:rsidR="008604D4" w:rsidRPr="00BD646C" w:rsidRDefault="00943743" w:rsidP="00966731">
            <w:pPr>
              <w:suppressAutoHyphens w:val="0"/>
              <w:rPr>
                <w:del w:id="12625" w:author="AbbVie_HU_03" w:date="2025-05-14T16:41:00Z"/>
                <w:b/>
                <w:bCs/>
                <w:szCs w:val="22"/>
                <w:lang w:val="lv-LV"/>
              </w:rPr>
            </w:pPr>
            <w:del w:id="12626" w:author="AbbVie_HU_03" w:date="2025-05-14T16:41:00Z">
              <w:r w:rsidRPr="00BD646C">
                <w:rPr>
                  <w:b/>
                  <w:bCs/>
                  <w:szCs w:val="22"/>
                  <w:lang w:val="lv-LV"/>
                </w:rPr>
                <w:delText>Latvija</w:delText>
              </w:r>
            </w:del>
          </w:p>
          <w:p w14:paraId="04C011F0" w14:textId="6BA48A06" w:rsidR="008604D4" w:rsidRPr="00BD646C" w:rsidRDefault="00943743" w:rsidP="00966731">
            <w:pPr>
              <w:suppressAutoHyphens w:val="0"/>
              <w:rPr>
                <w:del w:id="12627" w:author="AbbVie_HU_03" w:date="2025-05-14T16:41:00Z"/>
                <w:bCs/>
                <w:szCs w:val="22"/>
                <w:lang w:val="lv-LV"/>
              </w:rPr>
            </w:pPr>
            <w:del w:id="12628" w:author="AbbVie_HU_03" w:date="2025-05-14T16:41:00Z">
              <w:r w:rsidRPr="00BD646C">
                <w:rPr>
                  <w:bCs/>
                  <w:szCs w:val="22"/>
                  <w:lang w:val="lv-LV"/>
                </w:rPr>
                <w:delText xml:space="preserve">AbbVie SIA </w:delText>
              </w:r>
            </w:del>
          </w:p>
          <w:p w14:paraId="577CC89A" w14:textId="73AC05EE" w:rsidR="008604D4" w:rsidRPr="00BD646C" w:rsidRDefault="00943743" w:rsidP="00966731">
            <w:pPr>
              <w:suppressAutoHyphens w:val="0"/>
              <w:rPr>
                <w:del w:id="12629" w:author="AbbVie_HU_03" w:date="2025-05-14T16:41:00Z"/>
                <w:bCs/>
                <w:szCs w:val="22"/>
                <w:lang w:val="lv-LV"/>
              </w:rPr>
            </w:pPr>
            <w:del w:id="12630" w:author="AbbVie_HU_03" w:date="2025-05-14T16:41:00Z">
              <w:r w:rsidRPr="00BD646C">
                <w:rPr>
                  <w:bCs/>
                  <w:szCs w:val="22"/>
                  <w:lang w:val="lv-LV"/>
                </w:rPr>
                <w:delText>Tel: +371 67605000</w:delText>
              </w:r>
            </w:del>
          </w:p>
        </w:tc>
        <w:tc>
          <w:tcPr>
            <w:tcW w:w="4678" w:type="dxa"/>
          </w:tcPr>
          <w:p w14:paraId="364D492A" w14:textId="296C669C" w:rsidR="008604D4" w:rsidRPr="00BD646C" w:rsidRDefault="008604D4" w:rsidP="00966731">
            <w:pPr>
              <w:suppressAutoHyphens w:val="0"/>
              <w:rPr>
                <w:del w:id="12631" w:author="AbbVie_HU_03" w:date="2025-05-14T16:41:00Z"/>
                <w:b/>
                <w:bCs/>
                <w:szCs w:val="22"/>
                <w:lang w:val="sk-SK"/>
              </w:rPr>
            </w:pPr>
          </w:p>
        </w:tc>
      </w:tr>
    </w:tbl>
    <w:p w14:paraId="7191ED31" w14:textId="7DDFABD0" w:rsidR="00786E79" w:rsidRPr="00183B5F" w:rsidRDefault="00786E79" w:rsidP="00966731">
      <w:pPr>
        <w:spacing w:line="240" w:lineRule="auto"/>
        <w:ind w:right="-2"/>
        <w:rPr>
          <w:del w:id="12632" w:author="AbbVie_HU_03" w:date="2025-05-14T16:41:00Z"/>
          <w:b/>
          <w:szCs w:val="22"/>
        </w:rPr>
      </w:pPr>
    </w:p>
    <w:p w14:paraId="064558CE" w14:textId="78834025" w:rsidR="00FB6710" w:rsidRPr="00183B5F" w:rsidRDefault="00943743" w:rsidP="00966731">
      <w:pPr>
        <w:spacing w:line="240" w:lineRule="auto"/>
        <w:ind w:right="-2"/>
        <w:rPr>
          <w:del w:id="12633" w:author="AbbVie_HU_03" w:date="2025-05-14T16:41:00Z"/>
          <w:b/>
          <w:szCs w:val="22"/>
        </w:rPr>
      </w:pPr>
      <w:del w:id="12634" w:author="AbbVie_HU_03" w:date="2025-05-14T16:41:00Z">
        <w:r w:rsidRPr="00183B5F">
          <w:rPr>
            <w:b/>
            <w:szCs w:val="22"/>
          </w:rPr>
          <w:delText xml:space="preserve">A betegtájékoztató </w:delText>
        </w:r>
        <w:r w:rsidR="00A13868" w:rsidRPr="00183B5F">
          <w:rPr>
            <w:b/>
          </w:rPr>
          <w:delText xml:space="preserve">legutóbbi felülvizsgálatának </w:delText>
        </w:r>
        <w:r w:rsidRPr="00183B5F">
          <w:rPr>
            <w:b/>
            <w:szCs w:val="22"/>
          </w:rPr>
          <w:delText>dátuma:</w:delText>
        </w:r>
      </w:del>
    </w:p>
    <w:p w14:paraId="2D6C8ECF" w14:textId="5E40C978" w:rsidR="0095259B" w:rsidRPr="00183B5F" w:rsidRDefault="0095259B" w:rsidP="00966731">
      <w:pPr>
        <w:spacing w:line="240" w:lineRule="auto"/>
        <w:ind w:right="-2"/>
        <w:rPr>
          <w:del w:id="12635" w:author="AbbVie_HU_03" w:date="2025-05-14T16:41:00Z"/>
          <w:b/>
          <w:szCs w:val="22"/>
        </w:rPr>
      </w:pPr>
    </w:p>
    <w:p w14:paraId="38AF68FA" w14:textId="74615D18" w:rsidR="0095259B" w:rsidRPr="00183B5F" w:rsidRDefault="00943743" w:rsidP="00966731">
      <w:pPr>
        <w:spacing w:line="240" w:lineRule="auto"/>
        <w:ind w:right="-2"/>
        <w:rPr>
          <w:del w:id="12636" w:author="AbbVie_HU_03" w:date="2025-05-14T16:41:00Z"/>
          <w:i/>
          <w:iCs/>
          <w:snapToGrid w:val="0"/>
          <w:lang w:eastAsia="en-GB"/>
        </w:rPr>
      </w:pPr>
      <w:del w:id="12637" w:author="AbbVie_HU_03" w:date="2025-05-14T16:41:00Z">
        <w:r w:rsidRPr="00183B5F">
          <w:rPr>
            <w:snapToGrid w:val="0"/>
            <w:lang w:eastAsia="en-GB"/>
          </w:rPr>
          <w:delText>A gyógyszerről részletes információ az Európai Gyógyszerügynökség internetes honlapján (</w:delText>
        </w:r>
        <w:r w:rsidRPr="00183B5F">
          <w:rPr>
            <w:color w:val="0000FF"/>
          </w:rPr>
          <w:delText>http://www.ema.europa.eu/</w:delText>
        </w:r>
        <w:r w:rsidRPr="00183B5F">
          <w:rPr>
            <w:i/>
            <w:iCs/>
            <w:snapToGrid w:val="0"/>
            <w:lang w:eastAsia="en-GB"/>
          </w:rPr>
          <w:delText xml:space="preserve">) </w:delText>
        </w:r>
        <w:r w:rsidRPr="00183B5F">
          <w:rPr>
            <w:snapToGrid w:val="0"/>
            <w:lang w:eastAsia="en-GB"/>
          </w:rPr>
          <w:delText>található</w:delText>
        </w:r>
        <w:r w:rsidRPr="00183B5F">
          <w:rPr>
            <w:i/>
            <w:iCs/>
            <w:snapToGrid w:val="0"/>
            <w:lang w:eastAsia="en-GB"/>
          </w:rPr>
          <w:delText>.</w:delText>
        </w:r>
      </w:del>
    </w:p>
    <w:p w14:paraId="3C5B0720" w14:textId="563D6538" w:rsidR="0042302B" w:rsidRPr="00183B5F" w:rsidRDefault="0042302B" w:rsidP="00966731">
      <w:pPr>
        <w:spacing w:line="240" w:lineRule="auto"/>
        <w:ind w:right="-2"/>
        <w:rPr>
          <w:del w:id="12638" w:author="AbbVie_HU_03" w:date="2025-05-14T16:41:00Z"/>
          <w:i/>
          <w:iCs/>
          <w:snapToGrid w:val="0"/>
          <w:lang w:eastAsia="en-GB"/>
        </w:rPr>
      </w:pPr>
    </w:p>
    <w:p w14:paraId="0B2D3B55" w14:textId="3AB8239D" w:rsidR="0042302B" w:rsidRPr="00183B5F" w:rsidRDefault="00943743" w:rsidP="00966731">
      <w:pPr>
        <w:autoSpaceDE w:val="0"/>
        <w:autoSpaceDN w:val="0"/>
        <w:adjustRightInd w:val="0"/>
        <w:spacing w:line="240" w:lineRule="auto"/>
        <w:rPr>
          <w:del w:id="12639" w:author="AbbVie_HU_03" w:date="2025-05-14T16:41:00Z"/>
          <w:b/>
          <w:bCs/>
          <w:noProof/>
          <w:szCs w:val="22"/>
        </w:rPr>
      </w:pPr>
      <w:del w:id="12640" w:author="AbbVie_HU_03" w:date="2025-05-14T16:41:00Z">
        <w:r w:rsidRPr="00183B5F">
          <w:rPr>
            <w:b/>
            <w:bCs/>
            <w:noProof/>
            <w:szCs w:val="22"/>
          </w:rPr>
          <w:delText>A betegtájékoztató meghallgatásának</w:delText>
        </w:r>
        <w:r w:rsidRPr="00183B5F">
          <w:rPr>
            <w:b/>
            <w:bCs/>
            <w:noProof/>
            <w:szCs w:val="22"/>
            <w:highlight w:val="lightGray"/>
          </w:rPr>
          <w:delText>, &lt;Braille írással&gt;, &lt;nagyméretű betűkkel&gt; készült vagy &lt;audio&gt; változatának</w:delText>
        </w:r>
        <w:r w:rsidRPr="00183B5F">
          <w:rPr>
            <w:b/>
            <w:bCs/>
            <w:noProof/>
            <w:szCs w:val="22"/>
          </w:rPr>
          <w:delText xml:space="preserve"> igénylése érdekében forduljon a forgalomba hozatali engedély jogosultjának helyi képviselőjéhez.</w:delText>
        </w:r>
      </w:del>
    </w:p>
    <w:p w14:paraId="6149E426" w14:textId="453B0BE3" w:rsidR="0042302B" w:rsidRPr="00183B5F" w:rsidRDefault="0042302B" w:rsidP="00966731">
      <w:pPr>
        <w:spacing w:line="240" w:lineRule="auto"/>
        <w:ind w:right="-2"/>
        <w:rPr>
          <w:del w:id="12641" w:author="AbbVie_HU_03" w:date="2025-05-14T16:41:00Z"/>
          <w:b/>
          <w:szCs w:val="22"/>
        </w:rPr>
      </w:pPr>
    </w:p>
    <w:p w14:paraId="6AC26F74" w14:textId="78E99288" w:rsidR="00195015" w:rsidRPr="00183B5F" w:rsidRDefault="00943743">
      <w:pPr>
        <w:widowControl w:val="0"/>
        <w:spacing w:line="240" w:lineRule="auto"/>
        <w:ind w:right="-2"/>
        <w:jc w:val="center"/>
        <w:rPr>
          <w:del w:id="12642" w:author="AbbVie_HU_03" w:date="2025-05-14T16:41:00Z"/>
          <w:b/>
          <w:szCs w:val="22"/>
        </w:rPr>
        <w:pPrChange w:id="12643" w:author="AbbVie_HU_03" w:date="2025-05-14T16:41:00Z">
          <w:pPr>
            <w:spacing w:line="240" w:lineRule="auto"/>
          </w:pPr>
        </w:pPrChange>
      </w:pPr>
      <w:del w:id="12644" w:author="AbbVie_HU_03" w:date="2025-05-14T16:41:00Z">
        <w:r w:rsidRPr="00183B5F">
          <w:rPr>
            <w:b/>
            <w:szCs w:val="22"/>
          </w:rPr>
          <w:br w:type="page"/>
        </w:r>
        <w:r w:rsidR="000863CC" w:rsidRPr="00183B5F">
          <w:rPr>
            <w:b/>
            <w:noProof/>
            <w:szCs w:val="24"/>
          </w:rPr>
          <w:delText xml:space="preserve"> </w:delText>
        </w:r>
      </w:del>
    </w:p>
    <w:p w14:paraId="403A9353" w14:textId="6C692447" w:rsidR="004E5FCB" w:rsidRPr="00183B5F" w:rsidRDefault="00943743" w:rsidP="00966731">
      <w:pPr>
        <w:spacing w:line="240" w:lineRule="auto"/>
        <w:ind w:right="-449"/>
        <w:jc w:val="center"/>
        <w:rPr>
          <w:del w:id="12645" w:author="AbbVie_HU_03" w:date="2025-05-14T16:41:00Z"/>
          <w:b/>
          <w:noProof/>
          <w:szCs w:val="24"/>
        </w:rPr>
      </w:pPr>
      <w:del w:id="12646" w:author="AbbVie_HU_03" w:date="2025-05-14T16:41:00Z">
        <w:r w:rsidRPr="00183B5F">
          <w:rPr>
            <w:b/>
            <w:noProof/>
            <w:szCs w:val="24"/>
          </w:rPr>
          <w:delText>Betegtájékoztató: Információk a felhasználó számára</w:delText>
        </w:r>
      </w:del>
    </w:p>
    <w:p w14:paraId="2232BD5B" w14:textId="18A198FA" w:rsidR="00FB6710" w:rsidRPr="00183B5F" w:rsidRDefault="00FB6710" w:rsidP="00966731">
      <w:pPr>
        <w:spacing w:line="240" w:lineRule="auto"/>
        <w:ind w:right="-449"/>
        <w:jc w:val="center"/>
        <w:rPr>
          <w:del w:id="12647" w:author="AbbVie_HU_03" w:date="2025-05-14T16:41:00Z"/>
          <w:b/>
          <w:bCs/>
          <w:szCs w:val="22"/>
        </w:rPr>
      </w:pPr>
    </w:p>
    <w:p w14:paraId="0F971C9C" w14:textId="7E09E839" w:rsidR="00FB6710" w:rsidRPr="00183B5F" w:rsidRDefault="00943743" w:rsidP="00966731">
      <w:pPr>
        <w:spacing w:line="240" w:lineRule="auto"/>
        <w:ind w:right="-449"/>
        <w:jc w:val="center"/>
        <w:rPr>
          <w:del w:id="12648" w:author="AbbVie_HU_03" w:date="2025-05-14T16:41:00Z"/>
          <w:b/>
          <w:bCs/>
          <w:szCs w:val="22"/>
        </w:rPr>
      </w:pPr>
      <w:del w:id="12649" w:author="AbbVie_HU_03" w:date="2025-05-14T16:41:00Z">
        <w:r w:rsidRPr="00183B5F">
          <w:rPr>
            <w:b/>
            <w:bCs/>
            <w:szCs w:val="22"/>
          </w:rPr>
          <w:delText>Humira 40 mg oldatos injekció előretöltött injekciós tollban</w:delText>
        </w:r>
      </w:del>
    </w:p>
    <w:p w14:paraId="33314A44" w14:textId="7FF32464" w:rsidR="00FB6710" w:rsidRPr="00183B5F" w:rsidRDefault="00943743" w:rsidP="00966731">
      <w:pPr>
        <w:spacing w:line="240" w:lineRule="auto"/>
        <w:ind w:right="-449"/>
        <w:jc w:val="center"/>
        <w:rPr>
          <w:del w:id="12650" w:author="AbbVie_HU_03" w:date="2025-05-14T16:41:00Z"/>
          <w:szCs w:val="22"/>
        </w:rPr>
      </w:pPr>
      <w:del w:id="12651" w:author="AbbVie_HU_03" w:date="2025-05-14T16:41:00Z">
        <w:r w:rsidRPr="00183B5F">
          <w:rPr>
            <w:szCs w:val="22"/>
          </w:rPr>
          <w:delText>adalimumab</w:delText>
        </w:r>
      </w:del>
    </w:p>
    <w:p w14:paraId="04FAD205" w14:textId="2DC8140E" w:rsidR="00FB6710" w:rsidRPr="00183B5F" w:rsidRDefault="00FB6710" w:rsidP="00966731">
      <w:pPr>
        <w:spacing w:line="240" w:lineRule="auto"/>
        <w:ind w:right="-449"/>
        <w:rPr>
          <w:del w:id="12652" w:author="AbbVie_HU_03" w:date="2025-05-14T16:41:00Z"/>
          <w:szCs w:val="22"/>
        </w:rPr>
      </w:pPr>
    </w:p>
    <w:p w14:paraId="2557CFF4" w14:textId="64AA9A84" w:rsidR="00FB6710" w:rsidRPr="00183B5F" w:rsidRDefault="00943743" w:rsidP="00966731">
      <w:pPr>
        <w:spacing w:line="240" w:lineRule="auto"/>
        <w:rPr>
          <w:del w:id="12653" w:author="AbbVie_HU_03" w:date="2025-05-14T16:41:00Z"/>
          <w:b/>
          <w:szCs w:val="22"/>
        </w:rPr>
      </w:pPr>
      <w:del w:id="12654" w:author="AbbVie_HU_03" w:date="2025-05-14T16:41:00Z">
        <w:r w:rsidRPr="00183B5F">
          <w:rPr>
            <w:b/>
            <w:szCs w:val="22"/>
          </w:rPr>
          <w:delText xml:space="preserve">Mielőtt </w:delText>
        </w:r>
        <w:r w:rsidR="004E5FCB" w:rsidRPr="00183B5F">
          <w:rPr>
            <w:b/>
            <w:szCs w:val="22"/>
          </w:rPr>
          <w:delText xml:space="preserve">elkezdi </w:delText>
        </w:r>
        <w:r w:rsidRPr="00183B5F">
          <w:rPr>
            <w:b/>
            <w:szCs w:val="22"/>
          </w:rPr>
          <w:delText>alkalmazni ezt a gyógyszert, olvassa el figyelmesen az alábbi betegtájékoztatót</w:delText>
        </w:r>
        <w:r w:rsidR="009434A4" w:rsidRPr="00183B5F">
          <w:rPr>
            <w:b/>
            <w:noProof/>
            <w:szCs w:val="24"/>
          </w:rPr>
          <w:delText xml:space="preserve">, </w:delText>
        </w:r>
        <w:r w:rsidR="00FB29DF" w:rsidRPr="00183B5F">
          <w:rPr>
            <w:b/>
            <w:noProof/>
            <w:szCs w:val="24"/>
          </w:rPr>
          <w:delText xml:space="preserve">mert </w:delText>
        </w:r>
        <w:r w:rsidR="009434A4" w:rsidRPr="00183B5F">
          <w:rPr>
            <w:b/>
            <w:noProof/>
            <w:szCs w:val="24"/>
          </w:rPr>
          <w:delText>az Ön számára fontos információkat tartalmaz</w:delText>
        </w:r>
        <w:r w:rsidRPr="00183B5F">
          <w:rPr>
            <w:b/>
            <w:szCs w:val="22"/>
          </w:rPr>
          <w:delText>.</w:delText>
        </w:r>
      </w:del>
    </w:p>
    <w:p w14:paraId="34D177B8" w14:textId="261E7AFD" w:rsidR="00FB6710" w:rsidRPr="00183B5F" w:rsidRDefault="00943743" w:rsidP="00966731">
      <w:pPr>
        <w:numPr>
          <w:ilvl w:val="0"/>
          <w:numId w:val="1"/>
        </w:numPr>
        <w:tabs>
          <w:tab w:val="clear" w:pos="360"/>
        </w:tabs>
        <w:spacing w:line="240" w:lineRule="auto"/>
        <w:ind w:left="567" w:hanging="567"/>
        <w:rPr>
          <w:del w:id="12655" w:author="AbbVie_HU_03" w:date="2025-05-14T16:41:00Z"/>
          <w:szCs w:val="22"/>
        </w:rPr>
      </w:pPr>
      <w:del w:id="12656" w:author="AbbVie_HU_03" w:date="2025-05-14T16:41:00Z">
        <w:r w:rsidRPr="00183B5F">
          <w:rPr>
            <w:szCs w:val="22"/>
          </w:rPr>
          <w:delText>Tartsa meg a betegtájékoztatót, mert a benne szereplő információkra a későbbiekben is szüksége lehet.</w:delText>
        </w:r>
      </w:del>
    </w:p>
    <w:p w14:paraId="62EA8A89" w14:textId="624C7EA3" w:rsidR="00FB6710" w:rsidRPr="00183B5F" w:rsidRDefault="00943743" w:rsidP="00966731">
      <w:pPr>
        <w:numPr>
          <w:ilvl w:val="0"/>
          <w:numId w:val="1"/>
        </w:numPr>
        <w:tabs>
          <w:tab w:val="clear" w:pos="360"/>
        </w:tabs>
        <w:spacing w:line="240" w:lineRule="auto"/>
        <w:ind w:left="567" w:hanging="567"/>
        <w:rPr>
          <w:del w:id="12657" w:author="AbbVie_HU_03" w:date="2025-05-14T16:41:00Z"/>
          <w:szCs w:val="22"/>
        </w:rPr>
      </w:pPr>
      <w:del w:id="12658" w:author="AbbVie_HU_03" w:date="2025-05-14T16:41:00Z">
        <w:r w:rsidRPr="00183B5F">
          <w:rPr>
            <w:szCs w:val="22"/>
          </w:rPr>
          <w:delText xml:space="preserve">Orvosától </w:delText>
        </w:r>
        <w:r w:rsidR="00EC630A" w:rsidRPr="00183B5F">
          <w:rPr>
            <w:szCs w:val="22"/>
          </w:rPr>
          <w:delText xml:space="preserve">egy </w:delText>
        </w:r>
        <w:r w:rsidR="0048779F" w:rsidRPr="00183B5F">
          <w:rPr>
            <w:b/>
            <w:bCs/>
            <w:szCs w:val="22"/>
          </w:rPr>
          <w:delText>Betegemlékeztető</w:delText>
        </w:r>
        <w:r w:rsidRPr="00183B5F">
          <w:rPr>
            <w:b/>
            <w:bCs/>
            <w:szCs w:val="22"/>
          </w:rPr>
          <w:delText xml:space="preserve"> </w:delText>
        </w:r>
        <w:r w:rsidR="002E7D6F" w:rsidRPr="00183B5F">
          <w:rPr>
            <w:b/>
            <w:bCs/>
            <w:szCs w:val="22"/>
          </w:rPr>
          <w:delText>Kártyát</w:delText>
        </w:r>
        <w:r w:rsidRPr="00183B5F">
          <w:rPr>
            <w:szCs w:val="22"/>
          </w:rPr>
          <w:delText xml:space="preserve"> is </w:delText>
        </w:r>
        <w:r w:rsidR="00EC630A" w:rsidRPr="00183B5F">
          <w:rPr>
            <w:szCs w:val="22"/>
          </w:rPr>
          <w:delText xml:space="preserve">fog </w:delText>
        </w:r>
        <w:r w:rsidRPr="00183B5F">
          <w:rPr>
            <w:szCs w:val="22"/>
          </w:rPr>
          <w:delText>kapni fontos biztonsági információkkal, amit a Humira alkalmazása előtt és a Humira</w:delText>
        </w:r>
        <w:r w:rsidR="007E5F5B" w:rsidRPr="00183B5F">
          <w:rPr>
            <w:szCs w:val="22"/>
          </w:rPr>
          <w:noBreakHyphen/>
        </w:r>
        <w:r w:rsidRPr="00183B5F">
          <w:rPr>
            <w:szCs w:val="22"/>
          </w:rPr>
          <w:delText xml:space="preserve">val történő kezelés során is </w:delText>
        </w:r>
        <w:r w:rsidR="00440A81" w:rsidRPr="00183B5F">
          <w:rPr>
            <w:szCs w:val="22"/>
          </w:rPr>
          <w:delText>figyelembe kell venni</w:delText>
        </w:r>
        <w:r w:rsidRPr="00183B5F">
          <w:rPr>
            <w:szCs w:val="22"/>
          </w:rPr>
          <w:delText xml:space="preserve">. Tartsa magánál ezt a </w:delText>
        </w:r>
        <w:r w:rsidR="0048779F" w:rsidRPr="00183B5F">
          <w:rPr>
            <w:b/>
            <w:bCs/>
            <w:szCs w:val="22"/>
          </w:rPr>
          <w:delText>Betegemlékeztető</w:delText>
        </w:r>
        <w:r w:rsidRPr="00183B5F">
          <w:rPr>
            <w:b/>
            <w:bCs/>
            <w:szCs w:val="22"/>
          </w:rPr>
          <w:delText xml:space="preserve"> </w:delText>
        </w:r>
        <w:r w:rsidR="002E7D6F" w:rsidRPr="00183B5F">
          <w:rPr>
            <w:b/>
            <w:bCs/>
            <w:szCs w:val="22"/>
          </w:rPr>
          <w:delText>Kártyát</w:delText>
        </w:r>
        <w:r w:rsidRPr="00183B5F">
          <w:rPr>
            <w:szCs w:val="22"/>
          </w:rPr>
          <w:delText>.</w:delText>
        </w:r>
      </w:del>
    </w:p>
    <w:p w14:paraId="5AD1888D" w14:textId="2B9CE837" w:rsidR="009434A4" w:rsidRPr="00183B5F" w:rsidRDefault="00943743" w:rsidP="00966731">
      <w:pPr>
        <w:numPr>
          <w:ilvl w:val="0"/>
          <w:numId w:val="39"/>
        </w:numPr>
        <w:spacing w:line="240" w:lineRule="auto"/>
        <w:rPr>
          <w:del w:id="12659" w:author="AbbVie_HU_03" w:date="2025-05-14T16:41:00Z"/>
          <w:szCs w:val="22"/>
        </w:rPr>
      </w:pPr>
      <w:del w:id="12660" w:author="AbbVie_HU_03" w:date="2025-05-14T16:41:00Z">
        <w:r w:rsidRPr="00183B5F">
          <w:rPr>
            <w:szCs w:val="22"/>
          </w:rPr>
          <w:delText>További kérdéseivel forduljon kezelőorvosához vagy gyógyszerészéhez.</w:delText>
        </w:r>
      </w:del>
    </w:p>
    <w:p w14:paraId="337080CF" w14:textId="5745CAB9" w:rsidR="009434A4" w:rsidRPr="00183B5F" w:rsidRDefault="00943743" w:rsidP="00966731">
      <w:pPr>
        <w:numPr>
          <w:ilvl w:val="0"/>
          <w:numId w:val="40"/>
        </w:numPr>
        <w:spacing w:line="240" w:lineRule="auto"/>
        <w:rPr>
          <w:del w:id="12661" w:author="AbbVie_HU_03" w:date="2025-05-14T16:41:00Z"/>
          <w:szCs w:val="22"/>
        </w:rPr>
      </w:pPr>
      <w:del w:id="12662" w:author="AbbVie_HU_03" w:date="2025-05-14T16:41:00Z">
        <w:r w:rsidRPr="00183B5F">
          <w:rPr>
            <w:szCs w:val="22"/>
          </w:rPr>
          <w:delText>Ezt a gyógyszert az orvos kizárólag Önnek írta fel. Ne adja át a készítményt másnak, mert számára ártalmas lehet még abban az esetben is, ha a betegsége tünetei az Önéhez hasonlóak.</w:delText>
        </w:r>
      </w:del>
    </w:p>
    <w:p w14:paraId="7E0A5B23" w14:textId="7BA908E9" w:rsidR="00FB6710" w:rsidRPr="00183B5F" w:rsidRDefault="00943743" w:rsidP="00966731">
      <w:pPr>
        <w:numPr>
          <w:ilvl w:val="0"/>
          <w:numId w:val="3"/>
        </w:numPr>
        <w:tabs>
          <w:tab w:val="clear" w:pos="360"/>
        </w:tabs>
        <w:spacing w:line="240" w:lineRule="auto"/>
        <w:ind w:left="567" w:hanging="567"/>
        <w:rPr>
          <w:del w:id="12663" w:author="AbbVie_HU_03" w:date="2025-05-14T16:41:00Z"/>
          <w:szCs w:val="22"/>
        </w:rPr>
      </w:pPr>
      <w:del w:id="12664" w:author="AbbVie_HU_03" w:date="2025-05-14T16:41:00Z">
        <w:r w:rsidRPr="00183B5F">
          <w:rPr>
            <w:szCs w:val="24"/>
          </w:rPr>
          <w:delText xml:space="preserve">Ha </w:delText>
        </w:r>
        <w:r w:rsidRPr="00183B5F">
          <w:rPr>
            <w:noProof/>
            <w:szCs w:val="24"/>
          </w:rPr>
          <w:delText>Önnél bármilyen</w:delText>
        </w:r>
        <w:r w:rsidRPr="00183B5F">
          <w:rPr>
            <w:szCs w:val="24"/>
          </w:rPr>
          <w:delText xml:space="preserve"> mellékhatás </w:delText>
        </w:r>
        <w:r w:rsidRPr="00183B5F">
          <w:rPr>
            <w:noProof/>
            <w:szCs w:val="24"/>
          </w:rPr>
          <w:delText>jelentkezik, tájékoztassa erről kezelőorvosát vagy gyógyszerészét. Ez</w:delText>
        </w:r>
        <w:r w:rsidRPr="00183B5F">
          <w:rPr>
            <w:szCs w:val="24"/>
          </w:rPr>
          <w:delText xml:space="preserve"> a betegtájékoztatóban </w:delText>
        </w:r>
        <w:r w:rsidRPr="00183B5F">
          <w:rPr>
            <w:noProof/>
            <w:szCs w:val="24"/>
          </w:rPr>
          <w:delText>fel nem sorolt bármilyen lehetséges mellékhatásra is vonatkozik</w:delText>
        </w:r>
        <w:r w:rsidR="00F807EC" w:rsidRPr="00183B5F">
          <w:rPr>
            <w:noProof/>
            <w:szCs w:val="24"/>
          </w:rPr>
          <w:delText xml:space="preserve"> (lásd 4. pont)</w:delText>
        </w:r>
        <w:r w:rsidRPr="00183B5F">
          <w:rPr>
            <w:noProof/>
            <w:szCs w:val="24"/>
          </w:rPr>
          <w:delText>.</w:delText>
        </w:r>
      </w:del>
    </w:p>
    <w:p w14:paraId="6E575B07" w14:textId="1EC7CBF5" w:rsidR="00FB6710" w:rsidRPr="00183B5F" w:rsidRDefault="00FB6710" w:rsidP="00966731">
      <w:pPr>
        <w:spacing w:line="240" w:lineRule="auto"/>
        <w:ind w:right="-2"/>
        <w:rPr>
          <w:del w:id="12665" w:author="AbbVie_HU_03" w:date="2025-05-14T16:41:00Z"/>
          <w:szCs w:val="22"/>
        </w:rPr>
      </w:pPr>
    </w:p>
    <w:p w14:paraId="284C0B90" w14:textId="72FF202E" w:rsidR="00FB6710" w:rsidRPr="00183B5F" w:rsidRDefault="00943743" w:rsidP="00966731">
      <w:pPr>
        <w:spacing w:line="240" w:lineRule="auto"/>
        <w:ind w:right="-2"/>
        <w:rPr>
          <w:del w:id="12666" w:author="AbbVie_HU_03" w:date="2025-05-14T16:41:00Z"/>
          <w:b/>
          <w:szCs w:val="22"/>
        </w:rPr>
      </w:pPr>
      <w:del w:id="12667" w:author="AbbVie_HU_03" w:date="2025-05-14T16:41:00Z">
        <w:r w:rsidRPr="00183B5F">
          <w:rPr>
            <w:b/>
            <w:szCs w:val="22"/>
          </w:rPr>
          <w:delText>A betegtájékoztató tartalma:</w:delText>
        </w:r>
      </w:del>
    </w:p>
    <w:p w14:paraId="08645C12" w14:textId="62200387" w:rsidR="00FB6710" w:rsidRPr="00183B5F" w:rsidRDefault="00943743" w:rsidP="00966731">
      <w:pPr>
        <w:spacing w:line="240" w:lineRule="auto"/>
        <w:ind w:left="567" w:right="-29" w:hanging="567"/>
        <w:rPr>
          <w:del w:id="12668" w:author="AbbVie_HU_03" w:date="2025-05-14T16:41:00Z"/>
          <w:szCs w:val="22"/>
        </w:rPr>
      </w:pPr>
      <w:del w:id="12669" w:author="AbbVie_HU_03" w:date="2025-05-14T16:41:00Z">
        <w:r w:rsidRPr="00183B5F">
          <w:rPr>
            <w:szCs w:val="22"/>
          </w:rPr>
          <w:delText>1.</w:delText>
        </w:r>
        <w:r w:rsidRPr="00183B5F">
          <w:rPr>
            <w:szCs w:val="22"/>
          </w:rPr>
          <w:tab/>
          <w:delText>Milyen típusú gyógyszer a Humira és milyen betegségek esetén alkalmazható</w:delText>
        </w:r>
        <w:r w:rsidR="00A8355F" w:rsidRPr="00183B5F">
          <w:rPr>
            <w:szCs w:val="22"/>
          </w:rPr>
          <w:delText>?</w:delText>
        </w:r>
      </w:del>
    </w:p>
    <w:p w14:paraId="0D2CE054" w14:textId="49E60A60" w:rsidR="00FB6710" w:rsidRPr="00183B5F" w:rsidRDefault="00943743" w:rsidP="00966731">
      <w:pPr>
        <w:spacing w:line="240" w:lineRule="auto"/>
        <w:ind w:left="567" w:right="-29" w:hanging="567"/>
        <w:rPr>
          <w:del w:id="12670" w:author="AbbVie_HU_03" w:date="2025-05-14T16:41:00Z"/>
          <w:szCs w:val="22"/>
        </w:rPr>
      </w:pPr>
      <w:del w:id="12671" w:author="AbbVie_HU_03" w:date="2025-05-14T16:41:00Z">
        <w:r w:rsidRPr="00183B5F">
          <w:rPr>
            <w:szCs w:val="22"/>
          </w:rPr>
          <w:delText>2.</w:delText>
        </w:r>
        <w:r w:rsidRPr="00183B5F">
          <w:rPr>
            <w:szCs w:val="22"/>
          </w:rPr>
          <w:tab/>
          <w:delText>Tudnivalók a Humira alkalmazása előtt</w:delText>
        </w:r>
      </w:del>
    </w:p>
    <w:p w14:paraId="0DA6BC6D" w14:textId="55E78F5E" w:rsidR="00FB6710" w:rsidRPr="00183B5F" w:rsidRDefault="00943743" w:rsidP="00966731">
      <w:pPr>
        <w:spacing w:line="240" w:lineRule="auto"/>
        <w:ind w:left="567" w:right="-29" w:hanging="567"/>
        <w:rPr>
          <w:del w:id="12672" w:author="AbbVie_HU_03" w:date="2025-05-14T16:41:00Z"/>
          <w:szCs w:val="22"/>
        </w:rPr>
      </w:pPr>
      <w:del w:id="12673" w:author="AbbVie_HU_03" w:date="2025-05-14T16:41:00Z">
        <w:r w:rsidRPr="00183B5F">
          <w:rPr>
            <w:szCs w:val="22"/>
          </w:rPr>
          <w:delText>3.</w:delText>
        </w:r>
        <w:r w:rsidRPr="00183B5F">
          <w:rPr>
            <w:szCs w:val="22"/>
          </w:rPr>
          <w:tab/>
          <w:delText xml:space="preserve">Hogyan kell alkalmazni </w:delText>
        </w:r>
        <w:r w:rsidR="008F3ED6" w:rsidRPr="00183B5F">
          <w:rPr>
            <w:szCs w:val="22"/>
          </w:rPr>
          <w:delText xml:space="preserve">a </w:delText>
        </w:r>
        <w:r w:rsidRPr="00183B5F">
          <w:rPr>
            <w:szCs w:val="22"/>
          </w:rPr>
          <w:delText>Humira</w:delText>
        </w:r>
        <w:r w:rsidR="007E5F5B" w:rsidRPr="00183B5F">
          <w:rPr>
            <w:szCs w:val="22"/>
          </w:rPr>
          <w:noBreakHyphen/>
        </w:r>
        <w:r w:rsidRPr="00183B5F">
          <w:rPr>
            <w:szCs w:val="22"/>
          </w:rPr>
          <w:delText>t</w:delText>
        </w:r>
        <w:r w:rsidR="00A8355F" w:rsidRPr="00183B5F">
          <w:rPr>
            <w:szCs w:val="22"/>
          </w:rPr>
          <w:delText>?</w:delText>
        </w:r>
      </w:del>
    </w:p>
    <w:p w14:paraId="50976721" w14:textId="0E10FBFB" w:rsidR="00FB6710" w:rsidRPr="00183B5F" w:rsidRDefault="00943743" w:rsidP="00966731">
      <w:pPr>
        <w:spacing w:line="240" w:lineRule="auto"/>
        <w:ind w:left="567" w:right="-29" w:hanging="567"/>
        <w:rPr>
          <w:del w:id="12674" w:author="AbbVie_HU_03" w:date="2025-05-14T16:41:00Z"/>
          <w:szCs w:val="22"/>
        </w:rPr>
      </w:pPr>
      <w:del w:id="12675" w:author="AbbVie_HU_03" w:date="2025-05-14T16:41:00Z">
        <w:r w:rsidRPr="00183B5F">
          <w:rPr>
            <w:szCs w:val="22"/>
          </w:rPr>
          <w:delText>4.</w:delText>
        </w:r>
        <w:r w:rsidRPr="00183B5F">
          <w:rPr>
            <w:szCs w:val="22"/>
          </w:rPr>
          <w:tab/>
          <w:delText>Lehetséges mellékhatások</w:delText>
        </w:r>
      </w:del>
    </w:p>
    <w:p w14:paraId="5B5C4C68" w14:textId="320F6189" w:rsidR="00FB6710" w:rsidRPr="00183B5F" w:rsidRDefault="00943743" w:rsidP="00966731">
      <w:pPr>
        <w:spacing w:line="240" w:lineRule="auto"/>
        <w:ind w:left="567" w:right="-29" w:hanging="567"/>
        <w:rPr>
          <w:del w:id="12676" w:author="AbbVie_HU_03" w:date="2025-05-14T16:41:00Z"/>
          <w:szCs w:val="22"/>
        </w:rPr>
      </w:pPr>
      <w:del w:id="12677" w:author="AbbVie_HU_03" w:date="2025-05-14T16:41:00Z">
        <w:r w:rsidRPr="00183B5F">
          <w:rPr>
            <w:szCs w:val="22"/>
          </w:rPr>
          <w:delText>5.</w:delText>
        </w:r>
        <w:r w:rsidRPr="00183B5F">
          <w:rPr>
            <w:szCs w:val="22"/>
          </w:rPr>
          <w:tab/>
        </w:r>
        <w:r w:rsidRPr="00183B5F">
          <w:rPr>
            <w:szCs w:val="22"/>
          </w:rPr>
          <w:delText>Hogyan kell a Humira</w:delText>
        </w:r>
        <w:r w:rsidR="007E5F5B" w:rsidRPr="00183B5F">
          <w:rPr>
            <w:szCs w:val="22"/>
          </w:rPr>
          <w:noBreakHyphen/>
        </w:r>
        <w:r w:rsidRPr="00183B5F">
          <w:rPr>
            <w:szCs w:val="22"/>
          </w:rPr>
          <w:delText>t tárolni</w:delText>
        </w:r>
        <w:r w:rsidR="00A8355F" w:rsidRPr="00183B5F">
          <w:rPr>
            <w:szCs w:val="22"/>
          </w:rPr>
          <w:delText>?</w:delText>
        </w:r>
      </w:del>
    </w:p>
    <w:p w14:paraId="7EEC0F70" w14:textId="7240B981" w:rsidR="00FB6710" w:rsidRPr="00183B5F" w:rsidRDefault="00943743" w:rsidP="00966731">
      <w:pPr>
        <w:spacing w:line="240" w:lineRule="auto"/>
        <w:ind w:left="567" w:right="-29" w:hanging="567"/>
        <w:rPr>
          <w:del w:id="12678" w:author="AbbVie_HU_03" w:date="2025-05-14T16:41:00Z"/>
          <w:szCs w:val="22"/>
        </w:rPr>
      </w:pPr>
      <w:del w:id="12679" w:author="AbbVie_HU_03" w:date="2025-05-14T16:41:00Z">
        <w:r w:rsidRPr="00183B5F">
          <w:rPr>
            <w:szCs w:val="22"/>
          </w:rPr>
          <w:delText>6.</w:delText>
        </w:r>
        <w:r w:rsidRPr="00183B5F">
          <w:rPr>
            <w:szCs w:val="22"/>
          </w:rPr>
          <w:tab/>
          <w:delText>További információk</w:delText>
        </w:r>
      </w:del>
    </w:p>
    <w:p w14:paraId="41193DD7" w14:textId="38198858" w:rsidR="00FB6710" w:rsidRPr="00183B5F" w:rsidRDefault="00FB6710" w:rsidP="00966731">
      <w:pPr>
        <w:spacing w:line="240" w:lineRule="auto"/>
        <w:ind w:right="-2"/>
        <w:rPr>
          <w:del w:id="12680" w:author="AbbVie_HU_03" w:date="2025-05-14T16:41:00Z"/>
          <w:szCs w:val="22"/>
        </w:rPr>
      </w:pPr>
    </w:p>
    <w:p w14:paraId="00662837" w14:textId="469062D2" w:rsidR="00FB6710" w:rsidRPr="00183B5F" w:rsidRDefault="00FB6710" w:rsidP="00966731">
      <w:pPr>
        <w:spacing w:line="240" w:lineRule="auto"/>
        <w:ind w:right="-2"/>
        <w:rPr>
          <w:del w:id="12681" w:author="AbbVie_HU_03" w:date="2025-05-14T16:41:00Z"/>
          <w:szCs w:val="22"/>
        </w:rPr>
      </w:pPr>
    </w:p>
    <w:p w14:paraId="6A2187EA" w14:textId="7DE78416" w:rsidR="00DC4FF8" w:rsidRPr="00183B5F" w:rsidRDefault="00943743" w:rsidP="00966731">
      <w:pPr>
        <w:spacing w:line="240" w:lineRule="auto"/>
        <w:ind w:left="567" w:right="-2" w:hanging="567"/>
        <w:rPr>
          <w:del w:id="12682" w:author="AbbVie_HU_03" w:date="2025-05-14T16:41:00Z"/>
          <w:b/>
          <w:szCs w:val="22"/>
        </w:rPr>
      </w:pPr>
      <w:del w:id="12683" w:author="AbbVie_HU_03" w:date="2025-05-14T16:41:00Z">
        <w:r w:rsidRPr="00183B5F">
          <w:rPr>
            <w:b/>
            <w:szCs w:val="22"/>
          </w:rPr>
          <w:delText>1.</w:delText>
        </w:r>
        <w:r w:rsidRPr="00183B5F">
          <w:rPr>
            <w:b/>
            <w:szCs w:val="22"/>
          </w:rPr>
          <w:tab/>
          <w:delText>Milyen típusú gyógyszer a Humira és milyen betegségek esetén alkalmazható</w:delText>
        </w:r>
        <w:r w:rsidR="00B54E17" w:rsidRPr="00183B5F">
          <w:rPr>
            <w:b/>
            <w:szCs w:val="22"/>
          </w:rPr>
          <w:delText>?</w:delText>
        </w:r>
      </w:del>
    </w:p>
    <w:p w14:paraId="23681638" w14:textId="35C33FE5" w:rsidR="00DC4FF8" w:rsidRPr="00183B5F" w:rsidRDefault="00DC4FF8" w:rsidP="00966731">
      <w:pPr>
        <w:spacing w:line="240" w:lineRule="auto"/>
        <w:ind w:right="-2" w:firstLine="567"/>
        <w:rPr>
          <w:del w:id="12684" w:author="AbbVie_HU_03" w:date="2025-05-14T16:41:00Z"/>
          <w:szCs w:val="22"/>
        </w:rPr>
      </w:pPr>
    </w:p>
    <w:p w14:paraId="6B292E05" w14:textId="58BE1670" w:rsidR="00A8355F" w:rsidRPr="00183B5F" w:rsidRDefault="00943743" w:rsidP="00966731">
      <w:pPr>
        <w:spacing w:line="240" w:lineRule="auto"/>
        <w:ind w:right="-2"/>
        <w:rPr>
          <w:del w:id="12685" w:author="AbbVie_HU_03" w:date="2025-05-14T16:41:00Z"/>
          <w:szCs w:val="22"/>
        </w:rPr>
      </w:pPr>
      <w:del w:id="12686" w:author="AbbVie_HU_03" w:date="2025-05-14T16:41:00Z">
        <w:r w:rsidRPr="00183B5F">
          <w:rPr>
            <w:szCs w:val="22"/>
          </w:rPr>
          <w:delText>A Humira hatóanyaga az adalimumab.</w:delText>
        </w:r>
      </w:del>
    </w:p>
    <w:p w14:paraId="25D76131" w14:textId="0F6FB5A9" w:rsidR="00A8355F" w:rsidRPr="00183B5F" w:rsidRDefault="00A8355F" w:rsidP="00966731">
      <w:pPr>
        <w:spacing w:line="240" w:lineRule="auto"/>
        <w:ind w:right="-2"/>
        <w:rPr>
          <w:del w:id="12687" w:author="AbbVie_HU_03" w:date="2025-05-14T16:41:00Z"/>
          <w:szCs w:val="22"/>
        </w:rPr>
      </w:pPr>
    </w:p>
    <w:p w14:paraId="52B85384" w14:textId="3F46E70A" w:rsidR="00A8355F" w:rsidRPr="00183B5F" w:rsidRDefault="00943743" w:rsidP="00966731">
      <w:pPr>
        <w:spacing w:line="240" w:lineRule="auto"/>
        <w:ind w:right="-2"/>
        <w:rPr>
          <w:del w:id="12688" w:author="AbbVie_HU_03" w:date="2025-05-14T16:41:00Z"/>
          <w:szCs w:val="22"/>
        </w:rPr>
      </w:pPr>
      <w:del w:id="12689" w:author="AbbVie_HU_03" w:date="2025-05-14T16:41:00Z">
        <w:r w:rsidRPr="00183B5F">
          <w:rPr>
            <w:szCs w:val="22"/>
          </w:rPr>
          <w:delText>A Humira az alábbi gyulladásos betegségek kezelésére alkalmazható:</w:delText>
        </w:r>
      </w:del>
    </w:p>
    <w:p w14:paraId="0468CA12" w14:textId="6F2610FC" w:rsidR="00A8355F" w:rsidRPr="00183B5F" w:rsidRDefault="00943743" w:rsidP="00966731">
      <w:pPr>
        <w:pStyle w:val="ListParagraph"/>
        <w:numPr>
          <w:ilvl w:val="0"/>
          <w:numId w:val="76"/>
        </w:numPr>
        <w:spacing w:line="240" w:lineRule="auto"/>
        <w:ind w:right="-2"/>
        <w:rPr>
          <w:del w:id="12690" w:author="AbbVie_HU_03" w:date="2025-05-14T16:41:00Z"/>
          <w:szCs w:val="22"/>
        </w:rPr>
      </w:pPr>
      <w:del w:id="12691" w:author="AbbVie_HU_03" w:date="2025-05-14T16:41:00Z">
        <w:r w:rsidRPr="00183B5F">
          <w:rPr>
            <w:szCs w:val="22"/>
          </w:rPr>
          <w:delText>R</w:delText>
        </w:r>
        <w:r w:rsidR="0047052F" w:rsidRPr="00183B5F">
          <w:rPr>
            <w:szCs w:val="22"/>
          </w:rPr>
          <w:delText>eumás ízületi gyulladás (reumatoid artritisz)</w:delText>
        </w:r>
      </w:del>
    </w:p>
    <w:p w14:paraId="431CC338" w14:textId="5921DC66" w:rsidR="00A8355F" w:rsidRPr="00183B5F" w:rsidRDefault="00943743" w:rsidP="00966731">
      <w:pPr>
        <w:pStyle w:val="ListParagraph"/>
        <w:numPr>
          <w:ilvl w:val="0"/>
          <w:numId w:val="76"/>
        </w:numPr>
        <w:spacing w:line="240" w:lineRule="auto"/>
        <w:ind w:right="-2"/>
        <w:rPr>
          <w:del w:id="12692" w:author="AbbVie_HU_03" w:date="2025-05-14T16:41:00Z"/>
          <w:szCs w:val="22"/>
        </w:rPr>
      </w:pPr>
      <w:del w:id="12693" w:author="AbbVie_HU_03" w:date="2025-05-14T16:41:00Z">
        <w:r w:rsidRPr="00183B5F">
          <w:rPr>
            <w:szCs w:val="22"/>
          </w:rPr>
          <w:delText>G</w:delText>
        </w:r>
        <w:r w:rsidR="0047052F" w:rsidRPr="00183B5F">
          <w:rPr>
            <w:szCs w:val="22"/>
          </w:rPr>
          <w:delText>yermekkori ismeretlen eredetű sokízületi gyulladás (poliartikuláris juvenilis idiopátiás artritisz)</w:delText>
        </w:r>
      </w:del>
    </w:p>
    <w:p w14:paraId="417A1B67" w14:textId="65DB6BF9" w:rsidR="00A8355F" w:rsidRPr="00183B5F" w:rsidRDefault="00943743" w:rsidP="00966731">
      <w:pPr>
        <w:pStyle w:val="ListParagraph"/>
        <w:numPr>
          <w:ilvl w:val="0"/>
          <w:numId w:val="76"/>
        </w:numPr>
        <w:spacing w:line="240" w:lineRule="auto"/>
        <w:ind w:right="-2"/>
        <w:rPr>
          <w:del w:id="12694" w:author="AbbVie_HU_03" w:date="2025-05-14T16:41:00Z"/>
          <w:szCs w:val="22"/>
        </w:rPr>
      </w:pPr>
      <w:del w:id="12695" w:author="AbbVie_HU_03" w:date="2025-05-14T16:41:00Z">
        <w:r w:rsidRPr="00183B5F">
          <w:rPr>
            <w:szCs w:val="22"/>
          </w:rPr>
          <w:delText>A</w:delText>
        </w:r>
        <w:r w:rsidR="0047052F" w:rsidRPr="00183B5F">
          <w:rPr>
            <w:szCs w:val="22"/>
          </w:rPr>
          <w:delText xml:space="preserve">z </w:delText>
        </w:r>
        <w:r w:rsidR="00E3515C" w:rsidRPr="00183B5F">
          <w:rPr>
            <w:szCs w:val="22"/>
          </w:rPr>
          <w:delText>i</w:delText>
        </w:r>
        <w:r w:rsidR="0047052F" w:rsidRPr="00183B5F">
          <w:rPr>
            <w:szCs w:val="22"/>
          </w:rPr>
          <w:delText>nak tapadási hely</w:delText>
        </w:r>
        <w:r w:rsidR="00E3515C" w:rsidRPr="00183B5F">
          <w:rPr>
            <w:szCs w:val="22"/>
          </w:rPr>
          <w:delText>é</w:delText>
        </w:r>
        <w:r w:rsidR="0047052F" w:rsidRPr="00183B5F">
          <w:rPr>
            <w:szCs w:val="22"/>
          </w:rPr>
          <w:delText>nek gyulladásos elváltozásával társult reumás ízületi gyulladás (entezitisszel társult artritisz)</w:delText>
        </w:r>
      </w:del>
    </w:p>
    <w:p w14:paraId="047A1304" w14:textId="3FCC0117" w:rsidR="00A8355F" w:rsidRPr="00183B5F" w:rsidRDefault="00943743" w:rsidP="00966731">
      <w:pPr>
        <w:pStyle w:val="ListParagraph"/>
        <w:numPr>
          <w:ilvl w:val="0"/>
          <w:numId w:val="76"/>
        </w:numPr>
        <w:spacing w:line="240" w:lineRule="auto"/>
        <w:ind w:right="-2"/>
        <w:rPr>
          <w:del w:id="12696" w:author="AbbVie_HU_03" w:date="2025-05-14T16:41:00Z"/>
          <w:szCs w:val="22"/>
        </w:rPr>
      </w:pPr>
      <w:del w:id="12697" w:author="AbbVie_HU_03" w:date="2025-05-14T16:41:00Z">
        <w:r w:rsidRPr="00183B5F">
          <w:rPr>
            <w:szCs w:val="22"/>
          </w:rPr>
          <w:delText>A</w:delText>
        </w:r>
        <w:r w:rsidR="0047052F" w:rsidRPr="00183B5F">
          <w:rPr>
            <w:szCs w:val="22"/>
          </w:rPr>
          <w:delText xml:space="preserve"> csigolyák összecsontosodásával járó kisízületi gyulladás (spondilitisz ankilopoetika)</w:delText>
        </w:r>
      </w:del>
    </w:p>
    <w:p w14:paraId="5A3836B3" w14:textId="61AF13BF" w:rsidR="00A8355F" w:rsidRPr="00183B5F" w:rsidRDefault="00943743" w:rsidP="00966731">
      <w:pPr>
        <w:pStyle w:val="ListParagraph"/>
        <w:numPr>
          <w:ilvl w:val="0"/>
          <w:numId w:val="76"/>
        </w:numPr>
        <w:spacing w:line="240" w:lineRule="auto"/>
        <w:ind w:right="-2"/>
        <w:rPr>
          <w:del w:id="12698" w:author="AbbVie_HU_03" w:date="2025-05-14T16:41:00Z"/>
          <w:szCs w:val="22"/>
        </w:rPr>
      </w:pPr>
      <w:del w:id="12699" w:author="AbbVie_HU_03" w:date="2025-05-14T16:41:00Z">
        <w:r w:rsidRPr="00183B5F">
          <w:rPr>
            <w:szCs w:val="22"/>
          </w:rPr>
          <w:delText>S</w:delText>
        </w:r>
        <w:r w:rsidR="0047052F" w:rsidRPr="00183B5F">
          <w:rPr>
            <w:szCs w:val="22"/>
          </w:rPr>
          <w:delText>pondilitisz ankilopoetikára jellemző röntgeneltérést nem mutató gerincízületi gyulladás (axiális spondiloartritisz)</w:delText>
        </w:r>
      </w:del>
    </w:p>
    <w:p w14:paraId="39975E59" w14:textId="57A2DE6B" w:rsidR="00A8355F" w:rsidRPr="00183B5F" w:rsidRDefault="00943743" w:rsidP="00966731">
      <w:pPr>
        <w:pStyle w:val="ListParagraph"/>
        <w:numPr>
          <w:ilvl w:val="0"/>
          <w:numId w:val="76"/>
        </w:numPr>
        <w:spacing w:line="240" w:lineRule="auto"/>
        <w:ind w:right="-2"/>
        <w:rPr>
          <w:del w:id="12700" w:author="AbbVie_HU_03" w:date="2025-05-14T16:41:00Z"/>
          <w:szCs w:val="22"/>
        </w:rPr>
      </w:pPr>
      <w:del w:id="12701" w:author="AbbVie_HU_03" w:date="2025-05-14T16:41:00Z">
        <w:r w:rsidRPr="00183B5F">
          <w:rPr>
            <w:szCs w:val="22"/>
          </w:rPr>
          <w:delText>P</w:delText>
        </w:r>
        <w:r w:rsidR="0047052F" w:rsidRPr="00183B5F">
          <w:rPr>
            <w:szCs w:val="22"/>
          </w:rPr>
          <w:delText>ikkelysömörrel járó ízületi gyulladás (artritisz pszoriatika)</w:delText>
        </w:r>
      </w:del>
    </w:p>
    <w:p w14:paraId="7F0B56B1" w14:textId="72DE16B9" w:rsidR="00A8355F" w:rsidRPr="00183B5F" w:rsidRDefault="00943743" w:rsidP="00966731">
      <w:pPr>
        <w:pStyle w:val="ListParagraph"/>
        <w:numPr>
          <w:ilvl w:val="0"/>
          <w:numId w:val="76"/>
        </w:numPr>
        <w:spacing w:line="240" w:lineRule="auto"/>
        <w:ind w:right="-2"/>
        <w:rPr>
          <w:del w:id="12702" w:author="AbbVie_HU_03" w:date="2025-05-14T16:41:00Z"/>
          <w:szCs w:val="22"/>
        </w:rPr>
      </w:pPr>
      <w:del w:id="12703" w:author="AbbVie_HU_03" w:date="2025-05-14T16:41:00Z">
        <w:r w:rsidRPr="00183B5F">
          <w:rPr>
            <w:szCs w:val="22"/>
          </w:rPr>
          <w:delText>P</w:delText>
        </w:r>
        <w:r w:rsidR="0047052F" w:rsidRPr="00183B5F">
          <w:rPr>
            <w:szCs w:val="22"/>
          </w:rPr>
          <w:delText>ikkelysömör (pszoriázis), hidradenitisz szuppuratíva</w:delText>
        </w:r>
      </w:del>
    </w:p>
    <w:p w14:paraId="7109C6C0" w14:textId="6E59D2AC" w:rsidR="00A764E1" w:rsidRPr="00183B5F" w:rsidRDefault="00943743" w:rsidP="00966731">
      <w:pPr>
        <w:pStyle w:val="ListParagraph"/>
        <w:numPr>
          <w:ilvl w:val="0"/>
          <w:numId w:val="76"/>
        </w:numPr>
        <w:spacing w:line="240" w:lineRule="auto"/>
        <w:ind w:right="-2"/>
        <w:rPr>
          <w:del w:id="12704" w:author="AbbVie_HU_03" w:date="2025-05-14T16:41:00Z"/>
          <w:szCs w:val="22"/>
        </w:rPr>
      </w:pPr>
      <w:del w:id="12705" w:author="AbbVie_HU_03" w:date="2025-05-14T16:41:00Z">
        <w:r w:rsidRPr="00183B5F">
          <w:rPr>
            <w:szCs w:val="22"/>
          </w:rPr>
          <w:delText>A</w:delText>
        </w:r>
        <w:r w:rsidR="0047052F" w:rsidRPr="00183B5F">
          <w:rPr>
            <w:szCs w:val="22"/>
          </w:rPr>
          <w:delText xml:space="preserve"> bélfal minden rétegére kiterjedő, nem fertőzéses eredetű gyulladás (Crohn</w:delText>
        </w:r>
        <w:r w:rsidR="0047052F" w:rsidRPr="00183B5F">
          <w:rPr>
            <w:szCs w:val="22"/>
          </w:rPr>
          <w:noBreakHyphen/>
          <w:delText>betegség)</w:delText>
        </w:r>
      </w:del>
    </w:p>
    <w:p w14:paraId="1F1A96BC" w14:textId="1D55C1D1" w:rsidR="00A764E1" w:rsidRPr="00183B5F" w:rsidRDefault="00943743" w:rsidP="00966731">
      <w:pPr>
        <w:pStyle w:val="ListParagraph"/>
        <w:numPr>
          <w:ilvl w:val="0"/>
          <w:numId w:val="76"/>
        </w:numPr>
        <w:spacing w:line="240" w:lineRule="auto"/>
        <w:ind w:right="-2"/>
        <w:rPr>
          <w:del w:id="12706" w:author="AbbVie_HU_03" w:date="2025-05-14T16:41:00Z"/>
          <w:szCs w:val="22"/>
        </w:rPr>
      </w:pPr>
      <w:del w:id="12707" w:author="AbbVie_HU_03" w:date="2025-05-14T16:41:00Z">
        <w:r w:rsidRPr="00183B5F">
          <w:rPr>
            <w:szCs w:val="22"/>
          </w:rPr>
          <w:delText>N</w:delText>
        </w:r>
        <w:r w:rsidR="0047052F" w:rsidRPr="00183B5F">
          <w:rPr>
            <w:szCs w:val="22"/>
          </w:rPr>
          <w:delText xml:space="preserve">em fertőzéses eredetű, kifekélyesedő vastagbélgyulladás (kolitisz ulceróza), </w:delText>
        </w:r>
        <w:r w:rsidRPr="00183B5F">
          <w:rPr>
            <w:szCs w:val="22"/>
          </w:rPr>
          <w:delText>és</w:delText>
        </w:r>
      </w:del>
    </w:p>
    <w:p w14:paraId="5A155BD3" w14:textId="38C584F9" w:rsidR="00A764E1" w:rsidRPr="00183B5F" w:rsidRDefault="00943743" w:rsidP="00966731">
      <w:pPr>
        <w:pStyle w:val="ListParagraph"/>
        <w:numPr>
          <w:ilvl w:val="0"/>
          <w:numId w:val="76"/>
        </w:numPr>
        <w:spacing w:line="240" w:lineRule="auto"/>
        <w:ind w:right="-2"/>
        <w:rPr>
          <w:del w:id="12708" w:author="AbbVie_HU_03" w:date="2025-05-14T16:41:00Z"/>
          <w:szCs w:val="22"/>
        </w:rPr>
      </w:pPr>
      <w:del w:id="12709" w:author="AbbVie_HU_03" w:date="2025-05-14T16:41:00Z">
        <w:r w:rsidRPr="00183B5F">
          <w:rPr>
            <w:szCs w:val="22"/>
          </w:rPr>
          <w:delText>N</w:delText>
        </w:r>
        <w:r w:rsidR="0047052F" w:rsidRPr="00183B5F">
          <w:rPr>
            <w:szCs w:val="22"/>
          </w:rPr>
          <w:delText>em fertőzéses eredetű</w:delText>
        </w:r>
        <w:r w:rsidR="00195015" w:rsidRPr="00183B5F">
          <w:rPr>
            <w:szCs w:val="22"/>
          </w:rPr>
          <w:delText xml:space="preserve"> </w:delText>
        </w:r>
        <w:r w:rsidR="0047052F" w:rsidRPr="00183B5F">
          <w:rPr>
            <w:szCs w:val="22"/>
          </w:rPr>
          <w:delText xml:space="preserve">szemgyulladás (uveitisz) </w:delText>
        </w:r>
      </w:del>
    </w:p>
    <w:p w14:paraId="007089F8" w14:textId="0C8B226C" w:rsidR="00A764E1" w:rsidRPr="00183B5F" w:rsidRDefault="00A764E1" w:rsidP="00966731">
      <w:pPr>
        <w:spacing w:line="240" w:lineRule="auto"/>
        <w:ind w:left="360" w:right="-2"/>
        <w:rPr>
          <w:del w:id="12710" w:author="AbbVie_HU_03" w:date="2025-05-14T16:41:00Z"/>
          <w:szCs w:val="22"/>
        </w:rPr>
      </w:pPr>
    </w:p>
    <w:p w14:paraId="78699A2D" w14:textId="2C423289" w:rsidR="00A764E1" w:rsidRPr="00183B5F" w:rsidRDefault="00943743" w:rsidP="00966731">
      <w:pPr>
        <w:spacing w:line="240" w:lineRule="auto"/>
        <w:ind w:right="-2"/>
        <w:rPr>
          <w:del w:id="12711" w:author="AbbVie_HU_03" w:date="2025-05-14T16:41:00Z"/>
          <w:szCs w:val="22"/>
        </w:rPr>
      </w:pPr>
      <w:del w:id="12712" w:author="AbbVie_HU_03" w:date="2025-05-14T16:41:00Z">
        <w:r w:rsidRPr="00183B5F">
          <w:rPr>
            <w:szCs w:val="22"/>
          </w:rPr>
          <w:delText>A Humira hatóanyaga, az adalimumab egy emberi monoklonális antitest (ellenanyag). A monoklonális antitestek fehérjék, amelyek speciális célponthoz kötődnek.</w:delText>
        </w:r>
      </w:del>
    </w:p>
    <w:p w14:paraId="064C9B33" w14:textId="02996E3E" w:rsidR="00A764E1" w:rsidRPr="00183B5F" w:rsidRDefault="00A764E1" w:rsidP="00966731">
      <w:pPr>
        <w:pStyle w:val="ListParagraph"/>
        <w:spacing w:line="240" w:lineRule="auto"/>
        <w:ind w:right="-2"/>
        <w:rPr>
          <w:del w:id="12713" w:author="AbbVie_HU_03" w:date="2025-05-14T16:41:00Z"/>
          <w:szCs w:val="22"/>
        </w:rPr>
      </w:pPr>
    </w:p>
    <w:p w14:paraId="43EAB34B" w14:textId="10058D11" w:rsidR="00A764E1" w:rsidRPr="00183B5F" w:rsidRDefault="00943743" w:rsidP="00966731">
      <w:pPr>
        <w:spacing w:line="240" w:lineRule="auto"/>
        <w:ind w:right="-2"/>
        <w:rPr>
          <w:del w:id="12714" w:author="AbbVie_HU_03" w:date="2025-05-14T16:41:00Z"/>
          <w:szCs w:val="22"/>
        </w:rPr>
      </w:pPr>
      <w:del w:id="12715" w:author="AbbVie_HU_03" w:date="2025-05-14T16:41:00Z">
        <w:r w:rsidRPr="00183B5F">
          <w:rPr>
            <w:szCs w:val="22"/>
          </w:rPr>
          <w:delText>Az adalim</w:delText>
        </w:r>
        <w:r w:rsidR="0036605D" w:rsidRPr="00183B5F">
          <w:rPr>
            <w:szCs w:val="22"/>
          </w:rPr>
          <w:delText>um</w:delText>
        </w:r>
        <w:r w:rsidRPr="00183B5F">
          <w:rPr>
            <w:szCs w:val="22"/>
          </w:rPr>
          <w:delText>ab célpontja a tumor nekrózis faktor (TNF</w:delText>
        </w:r>
        <w:r w:rsidRPr="00183B5F">
          <w:rPr>
            <w:noProof/>
            <w:color w:val="000000"/>
            <w:szCs w:val="22"/>
          </w:rPr>
          <w:delText>α</w:delText>
        </w:r>
        <w:r w:rsidRPr="00183B5F">
          <w:rPr>
            <w:szCs w:val="22"/>
          </w:rPr>
          <w:delText>) nevű fehérje, mely az immun (védekező) rendszer működésében vesz részt, és a fent felsorolt gyulladásos betegségekben megnövekedett mennyiségben van jelen. A TNF</w:delText>
        </w:r>
        <w:r w:rsidRPr="00183B5F">
          <w:rPr>
            <w:noProof/>
            <w:color w:val="000000"/>
            <w:szCs w:val="22"/>
          </w:rPr>
          <w:delText>α</w:delText>
        </w:r>
        <w:r w:rsidRPr="00183B5F">
          <w:rPr>
            <w:szCs w:val="22"/>
          </w:rPr>
          <w:noBreakHyphen/>
          <w:delText>hoz való kötődéssel a Humira csökkenti ezen betegségek gyulladásos folyamatait.</w:delText>
        </w:r>
      </w:del>
    </w:p>
    <w:p w14:paraId="1DED0DD4" w14:textId="40018BE9" w:rsidR="0047052F" w:rsidRPr="00183B5F" w:rsidRDefault="0047052F" w:rsidP="00966731">
      <w:pPr>
        <w:spacing w:line="240" w:lineRule="auto"/>
        <w:ind w:right="-2"/>
        <w:rPr>
          <w:del w:id="12716" w:author="AbbVie_HU_03" w:date="2025-05-14T16:41:00Z"/>
          <w:szCs w:val="22"/>
          <w:u w:val="single"/>
        </w:rPr>
      </w:pPr>
    </w:p>
    <w:p w14:paraId="2A383FBB" w14:textId="2958E0E6" w:rsidR="00FB6710" w:rsidRPr="00183B5F" w:rsidRDefault="00943743" w:rsidP="00966731">
      <w:pPr>
        <w:spacing w:line="240" w:lineRule="auto"/>
        <w:ind w:right="-2"/>
        <w:rPr>
          <w:del w:id="12717" w:author="AbbVie_HU_03" w:date="2025-05-14T16:41:00Z"/>
          <w:szCs w:val="22"/>
          <w:u w:val="single"/>
        </w:rPr>
      </w:pPr>
      <w:del w:id="12718" w:author="AbbVie_HU_03" w:date="2025-05-14T16:41:00Z">
        <w:r w:rsidRPr="00183B5F">
          <w:rPr>
            <w:szCs w:val="22"/>
            <w:u w:val="single"/>
          </w:rPr>
          <w:delText>Reumatoid artritisz</w:delText>
        </w:r>
      </w:del>
    </w:p>
    <w:p w14:paraId="4AF1A7DF" w14:textId="51B892F9" w:rsidR="00FB6710" w:rsidRPr="00183B5F" w:rsidRDefault="00FB6710" w:rsidP="00966731">
      <w:pPr>
        <w:spacing w:line="240" w:lineRule="auto"/>
        <w:ind w:right="-2"/>
        <w:rPr>
          <w:del w:id="12719" w:author="AbbVie_HU_03" w:date="2025-05-14T16:41:00Z"/>
          <w:szCs w:val="22"/>
        </w:rPr>
      </w:pPr>
    </w:p>
    <w:p w14:paraId="33C20608" w14:textId="7097683F" w:rsidR="00E35892" w:rsidRPr="00183B5F" w:rsidRDefault="00943743" w:rsidP="00966731">
      <w:pPr>
        <w:spacing w:line="240" w:lineRule="auto"/>
        <w:ind w:right="-2"/>
        <w:rPr>
          <w:del w:id="12720" w:author="AbbVie_HU_03" w:date="2025-05-14T16:41:00Z"/>
          <w:szCs w:val="22"/>
        </w:rPr>
      </w:pPr>
      <w:del w:id="12721" w:author="AbbVie_HU_03" w:date="2025-05-14T16:41:00Z">
        <w:r w:rsidRPr="00183B5F">
          <w:rPr>
            <w:szCs w:val="22"/>
          </w:rPr>
          <w:delText>A reumatoid artritisz az ízületek gyulladásos betegsége.</w:delText>
        </w:r>
      </w:del>
    </w:p>
    <w:p w14:paraId="356E2996" w14:textId="7B873557" w:rsidR="00E35892" w:rsidRPr="00183B5F" w:rsidRDefault="00E35892" w:rsidP="00966731">
      <w:pPr>
        <w:spacing w:line="240" w:lineRule="auto"/>
        <w:ind w:right="-2"/>
        <w:rPr>
          <w:del w:id="12722" w:author="AbbVie_HU_03" w:date="2025-05-14T16:41:00Z"/>
          <w:szCs w:val="22"/>
        </w:rPr>
      </w:pPr>
    </w:p>
    <w:p w14:paraId="5E3E40AC" w14:textId="0FC67FDC" w:rsidR="00FB6710" w:rsidRPr="00183B5F" w:rsidRDefault="00943743" w:rsidP="00966731">
      <w:pPr>
        <w:spacing w:line="240" w:lineRule="auto"/>
        <w:ind w:right="-2"/>
        <w:rPr>
          <w:del w:id="12723" w:author="AbbVie_HU_03" w:date="2025-05-14T16:41:00Z"/>
          <w:szCs w:val="22"/>
        </w:rPr>
      </w:pPr>
      <w:del w:id="12724" w:author="AbbVie_HU_03" w:date="2025-05-14T16:41:00Z">
        <w:r w:rsidRPr="00183B5F">
          <w:rPr>
            <w:szCs w:val="22"/>
          </w:rPr>
          <w:delText>A Humira alkalmazható a felnőttkori rheumatoid arthritis kezelésére</w:delText>
        </w:r>
        <w:r w:rsidR="00E35892" w:rsidRPr="00183B5F">
          <w:rPr>
            <w:szCs w:val="22"/>
          </w:rPr>
          <w:delText>.</w:delText>
        </w:r>
        <w:r w:rsidRPr="00183B5F">
          <w:rPr>
            <w:szCs w:val="22"/>
          </w:rPr>
          <w:delText xml:space="preserve"> Ha Ön </w:delText>
        </w:r>
        <w:r w:rsidR="006E6466" w:rsidRPr="00183B5F">
          <w:rPr>
            <w:szCs w:val="22"/>
          </w:rPr>
          <w:delText>közepesen súlyos</w:delText>
        </w:r>
        <w:r w:rsidRPr="00183B5F">
          <w:rPr>
            <w:szCs w:val="22"/>
          </w:rPr>
          <w:delText xml:space="preserve"> vagy súlyos</w:delText>
        </w:r>
        <w:r w:rsidR="002C1F5C" w:rsidRPr="00183B5F">
          <w:rPr>
            <w:szCs w:val="22"/>
          </w:rPr>
          <w:delText>,</w:delText>
        </w:r>
        <w:r w:rsidRPr="00183B5F">
          <w:rPr>
            <w:szCs w:val="22"/>
          </w:rPr>
          <w:delText xml:space="preserve"> aktív reumatoid artritisben szenved, először más, betegséget befolyásoló reumaellenes szerrel, mint a metotrexát javasolt kezelni. Ha a kezelésre nem reagál megfelelő módon, abban az esetben javasolt a Humira alkalmazása a </w:delText>
        </w:r>
        <w:r w:rsidR="008A1853" w:rsidRPr="00183B5F">
          <w:rPr>
            <w:szCs w:val="22"/>
          </w:rPr>
          <w:delText>reumatoid artritisz kezelésére.</w:delText>
        </w:r>
      </w:del>
    </w:p>
    <w:p w14:paraId="1543F6E1" w14:textId="4D23DA3C" w:rsidR="00FB6710" w:rsidRPr="00183B5F" w:rsidRDefault="00FB6710" w:rsidP="00966731">
      <w:pPr>
        <w:spacing w:line="240" w:lineRule="auto"/>
        <w:ind w:right="-2"/>
        <w:rPr>
          <w:del w:id="12725" w:author="AbbVie_HU_03" w:date="2025-05-14T16:41:00Z"/>
          <w:szCs w:val="22"/>
        </w:rPr>
      </w:pPr>
    </w:p>
    <w:p w14:paraId="6B62DAE5" w14:textId="29A2A625" w:rsidR="00FB6710" w:rsidRPr="00183B5F" w:rsidRDefault="00943743" w:rsidP="00966731">
      <w:pPr>
        <w:spacing w:line="240" w:lineRule="auto"/>
        <w:ind w:right="-2"/>
        <w:rPr>
          <w:del w:id="12726" w:author="AbbVie_HU_03" w:date="2025-05-14T16:41:00Z"/>
          <w:szCs w:val="22"/>
        </w:rPr>
      </w:pPr>
      <w:del w:id="12727" w:author="AbbVie_HU_03" w:date="2025-05-14T16:41:00Z">
        <w:r w:rsidRPr="00183B5F">
          <w:rPr>
            <w:szCs w:val="22"/>
          </w:rPr>
          <w:delText xml:space="preserve">A Humira-t használni lehet súlyos, aktív és súlyosbodó reumatoid artritiszben előzetes </w:delText>
        </w:r>
        <w:r w:rsidR="001A6E66" w:rsidRPr="00183B5F">
          <w:rPr>
            <w:szCs w:val="22"/>
          </w:rPr>
          <w:delText>metotrexát-keze</w:delText>
        </w:r>
        <w:r w:rsidRPr="00183B5F">
          <w:rPr>
            <w:szCs w:val="22"/>
          </w:rPr>
          <w:delText>lés nélkül is.</w:delText>
        </w:r>
      </w:del>
    </w:p>
    <w:p w14:paraId="4A747622" w14:textId="5FCCA68A" w:rsidR="00FB6710" w:rsidRPr="00183B5F" w:rsidRDefault="00FB6710" w:rsidP="00966731">
      <w:pPr>
        <w:spacing w:line="240" w:lineRule="auto"/>
        <w:ind w:right="-2"/>
        <w:rPr>
          <w:del w:id="12728" w:author="AbbVie_HU_03" w:date="2025-05-14T16:41:00Z"/>
          <w:szCs w:val="22"/>
        </w:rPr>
      </w:pPr>
    </w:p>
    <w:p w14:paraId="70E4C267" w14:textId="18C59FC1" w:rsidR="00FB6710" w:rsidRPr="00183B5F" w:rsidRDefault="00943743" w:rsidP="00966731">
      <w:pPr>
        <w:spacing w:line="240" w:lineRule="auto"/>
        <w:ind w:right="-2"/>
        <w:rPr>
          <w:del w:id="12729" w:author="AbbVie_HU_03" w:date="2025-05-14T16:41:00Z"/>
          <w:szCs w:val="22"/>
        </w:rPr>
      </w:pPr>
      <w:del w:id="12730" w:author="AbbVie_HU_03" w:date="2025-05-14T16:41:00Z">
        <w:r w:rsidRPr="00183B5F">
          <w:rPr>
            <w:szCs w:val="22"/>
          </w:rPr>
          <w:delText>A Humira lelassítja a betegség okozta ízületi porc</w:delText>
        </w:r>
        <w:r w:rsidR="0029438F" w:rsidRPr="00183B5F">
          <w:rPr>
            <w:szCs w:val="22"/>
          </w:rPr>
          <w:delText>-</w:delText>
        </w:r>
        <w:r w:rsidRPr="00183B5F">
          <w:rPr>
            <w:szCs w:val="22"/>
          </w:rPr>
          <w:delText xml:space="preserve"> és csontkárosodást és javítja a fizikai funkciót.</w:delText>
        </w:r>
      </w:del>
    </w:p>
    <w:p w14:paraId="1302D146" w14:textId="43668AF2" w:rsidR="00FB6710" w:rsidRPr="00183B5F" w:rsidRDefault="00943743" w:rsidP="00966731">
      <w:pPr>
        <w:spacing w:line="240" w:lineRule="auto"/>
        <w:ind w:right="-2"/>
        <w:rPr>
          <w:del w:id="12731" w:author="AbbVie_HU_03" w:date="2025-05-14T16:41:00Z"/>
          <w:szCs w:val="22"/>
        </w:rPr>
      </w:pPr>
      <w:del w:id="12732" w:author="AbbVie_HU_03" w:date="2025-05-14T16:41:00Z">
        <w:r w:rsidRPr="00183B5F">
          <w:rPr>
            <w:szCs w:val="22"/>
          </w:rPr>
          <w:delText>A Humira</w:delText>
        </w:r>
        <w:r w:rsidR="009E26F9" w:rsidRPr="00183B5F">
          <w:rPr>
            <w:szCs w:val="22"/>
          </w:rPr>
          <w:noBreakHyphen/>
        </w:r>
        <w:r w:rsidRPr="00183B5F">
          <w:rPr>
            <w:szCs w:val="22"/>
          </w:rPr>
          <w:delText>t általában metotrexáttal használják. Amennyiben az Ön kezelőorvosa a metotrexát adását nem tartja megfelelőnek, abban az esetben a Humira önállóan alkalmazható.</w:delText>
        </w:r>
      </w:del>
    </w:p>
    <w:p w14:paraId="6E23149D" w14:textId="4FED3FE7" w:rsidR="00352607" w:rsidRPr="00183B5F" w:rsidRDefault="00352607" w:rsidP="00966731">
      <w:pPr>
        <w:spacing w:line="240" w:lineRule="auto"/>
        <w:ind w:right="-2"/>
        <w:rPr>
          <w:del w:id="12733" w:author="AbbVie_HU_03" w:date="2025-05-14T16:41:00Z"/>
          <w:szCs w:val="22"/>
          <w:u w:val="single"/>
        </w:rPr>
      </w:pPr>
    </w:p>
    <w:p w14:paraId="52DAAEFD" w14:textId="71B8EC30" w:rsidR="00DC4FF8" w:rsidRPr="00183B5F" w:rsidRDefault="00943743" w:rsidP="00966731">
      <w:pPr>
        <w:spacing w:line="240" w:lineRule="auto"/>
        <w:ind w:right="-2"/>
        <w:rPr>
          <w:del w:id="12734" w:author="AbbVie_HU_03" w:date="2025-05-14T16:41:00Z"/>
          <w:szCs w:val="22"/>
          <w:u w:val="single"/>
        </w:rPr>
      </w:pPr>
      <w:del w:id="12735" w:author="AbbVie_HU_03" w:date="2025-05-14T16:41:00Z">
        <w:r w:rsidRPr="00183B5F">
          <w:rPr>
            <w:szCs w:val="22"/>
            <w:u w:val="single"/>
          </w:rPr>
          <w:delText>Poliartikuláris juvenilis idiopátiás artritisz és entezitisszel társult artritisz</w:delText>
        </w:r>
      </w:del>
    </w:p>
    <w:p w14:paraId="2A7805BD" w14:textId="5E49E2C6" w:rsidR="00DC4FF8" w:rsidRPr="00183B5F" w:rsidRDefault="00DC4FF8" w:rsidP="00966731">
      <w:pPr>
        <w:spacing w:line="240" w:lineRule="auto"/>
        <w:ind w:right="-2"/>
        <w:rPr>
          <w:del w:id="12736" w:author="AbbVie_HU_03" w:date="2025-05-14T16:41:00Z"/>
          <w:szCs w:val="22"/>
          <w:u w:val="single"/>
        </w:rPr>
      </w:pPr>
    </w:p>
    <w:p w14:paraId="5980F7BA" w14:textId="687DF14C" w:rsidR="00E35892" w:rsidRPr="00183B5F" w:rsidRDefault="00943743" w:rsidP="00966731">
      <w:pPr>
        <w:spacing w:line="240" w:lineRule="auto"/>
        <w:ind w:right="-2"/>
        <w:rPr>
          <w:del w:id="12737" w:author="AbbVie_HU_03" w:date="2025-05-14T16:41:00Z"/>
          <w:szCs w:val="22"/>
        </w:rPr>
      </w:pPr>
      <w:del w:id="12738" w:author="AbbVie_HU_03" w:date="2025-05-14T16:41:00Z">
        <w:r w:rsidRPr="00183B5F">
          <w:rPr>
            <w:szCs w:val="22"/>
          </w:rPr>
          <w:delText xml:space="preserve">A gyermekkori ismeretlen eredetű sokízületi gyulladás és az </w:delText>
        </w:r>
        <w:r w:rsidR="00E3515C" w:rsidRPr="00183B5F">
          <w:rPr>
            <w:szCs w:val="22"/>
          </w:rPr>
          <w:delText>i</w:delText>
        </w:r>
        <w:r w:rsidRPr="00183B5F">
          <w:rPr>
            <w:szCs w:val="22"/>
          </w:rPr>
          <w:delText>nak tapadási hely</w:delText>
        </w:r>
        <w:r w:rsidR="00E3515C" w:rsidRPr="00183B5F">
          <w:rPr>
            <w:szCs w:val="22"/>
          </w:rPr>
          <w:delText>é</w:delText>
        </w:r>
        <w:r w:rsidRPr="00183B5F">
          <w:rPr>
            <w:szCs w:val="22"/>
          </w:rPr>
          <w:delText>nek gyulladásos elváltozásával társult reumás ízületi gyulladás</w:delText>
        </w:r>
        <w:r w:rsidR="00372AC6" w:rsidRPr="00183B5F">
          <w:rPr>
            <w:szCs w:val="22"/>
          </w:rPr>
          <w:delText>,</w:delText>
        </w:r>
        <w:r w:rsidRPr="00183B5F">
          <w:rPr>
            <w:szCs w:val="22"/>
          </w:rPr>
          <w:delText xml:space="preserve"> gyulladásos betegségek.</w:delText>
        </w:r>
      </w:del>
    </w:p>
    <w:p w14:paraId="43AC9321" w14:textId="429ED2B1" w:rsidR="00E35892" w:rsidRPr="00183B5F" w:rsidRDefault="00E35892" w:rsidP="00966731">
      <w:pPr>
        <w:spacing w:line="240" w:lineRule="auto"/>
        <w:ind w:right="-2"/>
        <w:rPr>
          <w:del w:id="12739" w:author="AbbVie_HU_03" w:date="2025-05-14T16:41:00Z"/>
          <w:szCs w:val="22"/>
          <w:u w:val="single"/>
        </w:rPr>
      </w:pPr>
    </w:p>
    <w:p w14:paraId="4E953CCB" w14:textId="1F45628A" w:rsidR="00DC4FF8" w:rsidRPr="00183B5F" w:rsidRDefault="00943743" w:rsidP="00966731">
      <w:pPr>
        <w:spacing w:line="240" w:lineRule="auto"/>
        <w:ind w:right="-2"/>
        <w:rPr>
          <w:del w:id="12740" w:author="AbbVie_HU_03" w:date="2025-05-14T16:41:00Z"/>
          <w:szCs w:val="22"/>
        </w:rPr>
      </w:pPr>
      <w:del w:id="12741" w:author="AbbVie_HU_03" w:date="2025-05-14T16:41:00Z">
        <w:r w:rsidRPr="00183B5F">
          <w:rPr>
            <w:szCs w:val="22"/>
          </w:rPr>
          <w:delText xml:space="preserve">A Humira alkalmazható </w:delText>
        </w:r>
        <w:r w:rsidR="00472E28" w:rsidRPr="00183B5F">
          <w:rPr>
            <w:szCs w:val="22"/>
          </w:rPr>
          <w:delText xml:space="preserve">2 – 17 éves korban </w:delText>
        </w:r>
        <w:r w:rsidRPr="00183B5F">
          <w:rPr>
            <w:szCs w:val="22"/>
          </w:rPr>
          <w:delText xml:space="preserve">a gyermekkori ismeretlen eredetű sokízületi gyulladás (poliartikuláris juvenilis idiopátiás artritisz) és </w:delText>
        </w:r>
        <w:r w:rsidR="00472E28" w:rsidRPr="00183B5F">
          <w:rPr>
            <w:szCs w:val="22"/>
          </w:rPr>
          <w:delText xml:space="preserve">6 – 17 éves </w:delText>
        </w:r>
        <w:r w:rsidRPr="00183B5F">
          <w:rPr>
            <w:szCs w:val="22"/>
          </w:rPr>
          <w:delText xml:space="preserve">az </w:delText>
        </w:r>
        <w:r w:rsidR="00E3515C" w:rsidRPr="00183B5F">
          <w:rPr>
            <w:szCs w:val="22"/>
          </w:rPr>
          <w:delText>i</w:delText>
        </w:r>
        <w:r w:rsidRPr="00183B5F">
          <w:rPr>
            <w:szCs w:val="22"/>
          </w:rPr>
          <w:delText>n</w:delText>
        </w:r>
        <w:r w:rsidR="009E26F9" w:rsidRPr="00183B5F">
          <w:rPr>
            <w:szCs w:val="22"/>
          </w:rPr>
          <w:delText xml:space="preserve">ak </w:delText>
        </w:r>
        <w:r w:rsidRPr="00183B5F">
          <w:rPr>
            <w:szCs w:val="22"/>
          </w:rPr>
          <w:delText>tapadási hely</w:delText>
        </w:r>
        <w:r w:rsidR="00E3515C" w:rsidRPr="00183B5F">
          <w:rPr>
            <w:szCs w:val="22"/>
          </w:rPr>
          <w:delText>é</w:delText>
        </w:r>
        <w:r w:rsidR="009E26F9" w:rsidRPr="00183B5F">
          <w:rPr>
            <w:szCs w:val="22"/>
          </w:rPr>
          <w:delText>ne</w:delText>
        </w:r>
        <w:r w:rsidRPr="00183B5F">
          <w:rPr>
            <w:szCs w:val="22"/>
          </w:rPr>
          <w:delText>k gyulladásos elváltozásával társult reumás ízületi gyulladás (entezitisszel társult artritisz) kezelésére</w:delText>
        </w:r>
        <w:r w:rsidR="00E35892" w:rsidRPr="00183B5F">
          <w:rPr>
            <w:szCs w:val="22"/>
          </w:rPr>
          <w:delText>.</w:delText>
        </w:r>
        <w:r w:rsidRPr="00183B5F">
          <w:rPr>
            <w:szCs w:val="22"/>
          </w:rPr>
          <w:delText xml:space="preserve"> Gyermeke először egyéb betegséget módosító gyógyszereket (</w:delText>
        </w:r>
        <w:r w:rsidR="00F15477" w:rsidRPr="00183B5F">
          <w:rPr>
            <w:bCs/>
            <w:szCs w:val="22"/>
          </w:rPr>
          <w:delText>például</w:delText>
        </w:r>
        <w:r w:rsidRPr="00183B5F">
          <w:rPr>
            <w:szCs w:val="22"/>
          </w:rPr>
          <w:delText xml:space="preserve"> metotrexátot) kaphat. Ha gyermeke nem reagál kellőképpen ezekre a gyógyszerekre, akkor a poliartikuláris juvenilis idiopátiás artritisz és az entezitisszel társult artritisz kezelésére Humira</w:delText>
        </w:r>
        <w:r w:rsidR="009E26F9" w:rsidRPr="00183B5F">
          <w:rPr>
            <w:szCs w:val="22"/>
          </w:rPr>
          <w:noBreakHyphen/>
        </w:r>
        <w:r w:rsidRPr="00183B5F">
          <w:rPr>
            <w:szCs w:val="22"/>
          </w:rPr>
          <w:delText>t ad</w:delText>
        </w:r>
        <w:r w:rsidRPr="00183B5F">
          <w:rPr>
            <w:szCs w:val="22"/>
          </w:rPr>
          <w:delText>nak.</w:delText>
        </w:r>
      </w:del>
    </w:p>
    <w:p w14:paraId="4E4A0F7D" w14:textId="43E20FC4" w:rsidR="009434A4" w:rsidRPr="00183B5F" w:rsidRDefault="009434A4" w:rsidP="00966731">
      <w:pPr>
        <w:spacing w:line="240" w:lineRule="auto"/>
        <w:ind w:right="-2"/>
        <w:rPr>
          <w:del w:id="12742" w:author="AbbVie_HU_03" w:date="2025-05-14T16:41:00Z"/>
          <w:szCs w:val="22"/>
        </w:rPr>
      </w:pPr>
    </w:p>
    <w:p w14:paraId="0A40FCCA" w14:textId="1E668AF3" w:rsidR="009434A4" w:rsidRPr="00183B5F" w:rsidRDefault="00943743" w:rsidP="00966731">
      <w:pPr>
        <w:spacing w:line="240" w:lineRule="auto"/>
        <w:ind w:right="-2"/>
        <w:rPr>
          <w:del w:id="12743" w:author="AbbVie_HU_03" w:date="2025-05-14T16:41:00Z"/>
          <w:szCs w:val="22"/>
          <w:u w:val="single"/>
        </w:rPr>
      </w:pPr>
      <w:del w:id="12744" w:author="AbbVie_HU_03" w:date="2025-05-14T16:41:00Z">
        <w:r w:rsidRPr="00183B5F">
          <w:rPr>
            <w:szCs w:val="22"/>
            <w:u w:val="single"/>
          </w:rPr>
          <w:delText>Spondilitisz ankilopoetika és spondilitisz ankilopoetikára jellemző röntgeneltérést nem mutató gerincízületi gyulladás (axiális spondiloartritisz)</w:delText>
        </w:r>
      </w:del>
    </w:p>
    <w:p w14:paraId="7A2E84B5" w14:textId="5EED4C31" w:rsidR="009434A4" w:rsidRPr="00183B5F" w:rsidRDefault="009434A4" w:rsidP="00966731">
      <w:pPr>
        <w:spacing w:line="240" w:lineRule="auto"/>
        <w:ind w:right="-2"/>
        <w:rPr>
          <w:del w:id="12745" w:author="AbbVie_HU_03" w:date="2025-05-14T16:41:00Z"/>
          <w:szCs w:val="22"/>
        </w:rPr>
      </w:pPr>
    </w:p>
    <w:p w14:paraId="65A5FDDA" w14:textId="5DD4C242" w:rsidR="00302233" w:rsidRPr="00183B5F" w:rsidRDefault="00943743" w:rsidP="00966731">
      <w:pPr>
        <w:spacing w:line="240" w:lineRule="auto"/>
        <w:ind w:right="-2"/>
        <w:rPr>
          <w:del w:id="12746" w:author="AbbVie_HU_03" w:date="2025-05-14T16:41:00Z"/>
          <w:szCs w:val="22"/>
        </w:rPr>
      </w:pPr>
      <w:del w:id="12747" w:author="AbbVie_HU_03" w:date="2025-05-14T16:41:00Z">
        <w:r w:rsidRPr="00183B5F">
          <w:rPr>
            <w:szCs w:val="22"/>
          </w:rPr>
          <w:delText>A spondilitisz ankilopoetika és a spondilitisz ankilopoetikára jellemző röntgeneltérést nem mutató gerincízületi gyulladás (axiális spondiloartritisz) a gerincoszlop gyulladással járó betegsége.</w:delText>
        </w:r>
      </w:del>
    </w:p>
    <w:p w14:paraId="2C0875D4" w14:textId="462D4407" w:rsidR="00302233" w:rsidRPr="00183B5F" w:rsidRDefault="00302233" w:rsidP="00966731">
      <w:pPr>
        <w:spacing w:line="240" w:lineRule="auto"/>
        <w:ind w:right="-2"/>
        <w:rPr>
          <w:del w:id="12748" w:author="AbbVie_HU_03" w:date="2025-05-14T16:41:00Z"/>
          <w:szCs w:val="22"/>
        </w:rPr>
      </w:pPr>
    </w:p>
    <w:p w14:paraId="5B9D137D" w14:textId="2D686493" w:rsidR="003B2614" w:rsidRPr="00183B5F" w:rsidRDefault="00943743" w:rsidP="00966731">
      <w:pPr>
        <w:spacing w:line="240" w:lineRule="auto"/>
        <w:ind w:right="-2"/>
        <w:rPr>
          <w:del w:id="12749" w:author="AbbVie_HU_03" w:date="2025-05-14T16:41:00Z"/>
          <w:szCs w:val="22"/>
        </w:rPr>
      </w:pPr>
      <w:del w:id="12750" w:author="AbbVie_HU_03" w:date="2025-05-14T16:41:00Z">
        <w:r w:rsidRPr="00183B5F">
          <w:rPr>
            <w:szCs w:val="22"/>
          </w:rPr>
          <w:delText>A Humira alkalmazható felnőttkori spondilitisz ankilopoetika és spondilitisz ankilopoetikára jellemző röntgeneltérést nem mutató gerincízületi gyulladás (axiális spondiloartritisz) kezelésére</w:delText>
        </w:r>
        <w:r w:rsidR="00302233" w:rsidRPr="00183B5F">
          <w:rPr>
            <w:szCs w:val="22"/>
          </w:rPr>
          <w:delText>.</w:delText>
        </w:r>
        <w:r w:rsidRPr="00183B5F">
          <w:rPr>
            <w:szCs w:val="22"/>
          </w:rPr>
          <w:delText xml:space="preserve"> Ha Ön spondilitisz ankilopoetikában vagy spondilitisz ankilopoetikára jellemző röntgeneltérést nem mutató gerincízületi gyulladásban (axiális spondiloartritiszben) szenved, először egyéb gyógyszereket kap. Ha nem reagál megfelelő módon ezekre a gyógyszerekre, abban az esetben a betegség jeleinek és tüneteinek csökkentése érdekében Humira</w:delText>
        </w:r>
        <w:r w:rsidR="009E26F9" w:rsidRPr="00183B5F">
          <w:rPr>
            <w:szCs w:val="22"/>
          </w:rPr>
          <w:noBreakHyphen/>
        </w:r>
        <w:r w:rsidRPr="00183B5F">
          <w:rPr>
            <w:szCs w:val="22"/>
          </w:rPr>
          <w:delText>t fog kapni.</w:delText>
        </w:r>
      </w:del>
    </w:p>
    <w:p w14:paraId="34019B92" w14:textId="18E72ECD" w:rsidR="003B2614" w:rsidRPr="00183B5F" w:rsidRDefault="003B2614" w:rsidP="00966731">
      <w:pPr>
        <w:spacing w:line="240" w:lineRule="auto"/>
        <w:ind w:right="-2"/>
        <w:rPr>
          <w:del w:id="12751" w:author="AbbVie_HU_03" w:date="2025-05-14T16:41:00Z"/>
          <w:szCs w:val="22"/>
        </w:rPr>
      </w:pPr>
    </w:p>
    <w:p w14:paraId="3CB9FEDD" w14:textId="79468DF4" w:rsidR="00FB6710" w:rsidRPr="00183B5F" w:rsidRDefault="00943743" w:rsidP="00966731">
      <w:pPr>
        <w:spacing w:line="240" w:lineRule="auto"/>
        <w:ind w:right="-2"/>
        <w:rPr>
          <w:del w:id="12752" w:author="AbbVie_HU_03" w:date="2025-05-14T16:41:00Z"/>
          <w:szCs w:val="22"/>
          <w:u w:val="single"/>
        </w:rPr>
      </w:pPr>
      <w:del w:id="12753" w:author="AbbVie_HU_03" w:date="2025-05-14T16:41:00Z">
        <w:r w:rsidRPr="00183B5F">
          <w:rPr>
            <w:szCs w:val="22"/>
            <w:u w:val="single"/>
          </w:rPr>
          <w:delText>Artritisz pszoriatika</w:delText>
        </w:r>
      </w:del>
    </w:p>
    <w:p w14:paraId="4673416C" w14:textId="22C0C473" w:rsidR="00FB6710" w:rsidRPr="00183B5F" w:rsidRDefault="00FB6710" w:rsidP="00966731">
      <w:pPr>
        <w:spacing w:line="240" w:lineRule="auto"/>
        <w:ind w:right="-2"/>
        <w:rPr>
          <w:del w:id="12754" w:author="AbbVie_HU_03" w:date="2025-05-14T16:41:00Z"/>
          <w:szCs w:val="22"/>
          <w:u w:val="single"/>
        </w:rPr>
      </w:pPr>
    </w:p>
    <w:p w14:paraId="4EA19D9B" w14:textId="40949736" w:rsidR="00302233" w:rsidRPr="00183B5F" w:rsidRDefault="00943743" w:rsidP="00966731">
      <w:pPr>
        <w:spacing w:line="240" w:lineRule="auto"/>
        <w:ind w:right="-2"/>
        <w:rPr>
          <w:del w:id="12755" w:author="AbbVie_HU_03" w:date="2025-05-14T16:41:00Z"/>
          <w:szCs w:val="22"/>
        </w:rPr>
      </w:pPr>
      <w:del w:id="12756" w:author="AbbVie_HU_03" w:date="2025-05-14T16:41:00Z">
        <w:r w:rsidRPr="00183B5F">
          <w:rPr>
            <w:szCs w:val="22"/>
          </w:rPr>
          <w:delText>Az artritisz pszoriatika az ízületek olyan gyulladásos betegsége, amely pikkelysömörrel társul.</w:delText>
        </w:r>
      </w:del>
    </w:p>
    <w:p w14:paraId="29282731" w14:textId="1F79C81D" w:rsidR="00302233" w:rsidRPr="00183B5F" w:rsidRDefault="00302233" w:rsidP="00966731">
      <w:pPr>
        <w:spacing w:line="240" w:lineRule="auto"/>
        <w:ind w:right="-2"/>
        <w:rPr>
          <w:del w:id="12757" w:author="AbbVie_HU_03" w:date="2025-05-14T16:41:00Z"/>
          <w:szCs w:val="22"/>
          <w:u w:val="single"/>
        </w:rPr>
      </w:pPr>
    </w:p>
    <w:p w14:paraId="04743B27" w14:textId="7AF8E076" w:rsidR="009434A4" w:rsidRPr="00183B5F" w:rsidRDefault="00943743" w:rsidP="00966731">
      <w:pPr>
        <w:spacing w:line="240" w:lineRule="auto"/>
        <w:ind w:right="-2"/>
        <w:rPr>
          <w:del w:id="12758" w:author="AbbVie_HU_03" w:date="2025-05-14T16:41:00Z"/>
          <w:szCs w:val="22"/>
        </w:rPr>
      </w:pPr>
      <w:del w:id="12759" w:author="AbbVie_HU_03" w:date="2025-05-14T16:41:00Z">
        <w:r w:rsidRPr="00183B5F">
          <w:rPr>
            <w:szCs w:val="22"/>
          </w:rPr>
          <w:delText>A Humira alkalmazható a felnőttkori artritisz pszoriatika kezelésére.</w:delText>
        </w:r>
        <w:r w:rsidR="00302233" w:rsidRPr="00183B5F">
          <w:rPr>
            <w:szCs w:val="22"/>
          </w:rPr>
          <w:delText xml:space="preserve"> </w:delText>
        </w:r>
        <w:r w:rsidRPr="00183B5F">
          <w:rPr>
            <w:szCs w:val="22"/>
          </w:rPr>
          <w:delText>Kimutatták, hogy a Humira lassítja az ízületekben a betegség által okozott porc</w:delText>
        </w:r>
        <w:r w:rsidR="0029438F" w:rsidRPr="00183B5F">
          <w:rPr>
            <w:szCs w:val="22"/>
          </w:rPr>
          <w:delText>-</w:delText>
        </w:r>
        <w:r w:rsidRPr="00183B5F">
          <w:rPr>
            <w:szCs w:val="22"/>
          </w:rPr>
          <w:delText xml:space="preserve"> és csontkárosodást, valamint javítja az ízületek működőképességét.</w:delText>
        </w:r>
      </w:del>
    </w:p>
    <w:p w14:paraId="7A0DEB0E" w14:textId="38C801BC" w:rsidR="009434A4" w:rsidRPr="00183B5F" w:rsidRDefault="009434A4" w:rsidP="00966731">
      <w:pPr>
        <w:spacing w:line="240" w:lineRule="auto"/>
        <w:ind w:right="-2"/>
        <w:rPr>
          <w:del w:id="12760" w:author="AbbVie_HU_03" w:date="2025-05-14T16:41:00Z"/>
          <w:szCs w:val="22"/>
        </w:rPr>
      </w:pPr>
    </w:p>
    <w:p w14:paraId="02FF7884" w14:textId="24E83CC0" w:rsidR="00A7207B" w:rsidRPr="00183B5F" w:rsidRDefault="00943743" w:rsidP="00966731">
      <w:pPr>
        <w:pStyle w:val="DefaultText"/>
        <w:rPr>
          <w:del w:id="12761" w:author="AbbVie_HU_03" w:date="2025-05-14T16:41:00Z"/>
          <w:rFonts w:ascii="Times New Roman" w:hAnsi="Times New Roman"/>
          <w:szCs w:val="22"/>
          <w:u w:val="single"/>
          <w:lang w:val="hu-HU"/>
        </w:rPr>
      </w:pPr>
      <w:del w:id="12762" w:author="AbbVie_HU_03" w:date="2025-05-14T16:41:00Z">
        <w:r w:rsidRPr="00183B5F">
          <w:rPr>
            <w:rFonts w:ascii="Times New Roman" w:hAnsi="Times New Roman"/>
            <w:szCs w:val="22"/>
            <w:u w:val="single"/>
            <w:lang w:val="hu-HU"/>
          </w:rPr>
          <w:delText>Pikkelysömör (pszoriázis) felnőtteknél és gyermekeknél</w:delText>
        </w:r>
      </w:del>
    </w:p>
    <w:p w14:paraId="1DBF2052" w14:textId="7C6F6AE9" w:rsidR="00A7207B" w:rsidRPr="00183B5F" w:rsidRDefault="00A7207B" w:rsidP="00966731">
      <w:pPr>
        <w:pStyle w:val="DefaultText"/>
        <w:rPr>
          <w:del w:id="12763" w:author="AbbVie_HU_03" w:date="2025-05-14T16:41:00Z"/>
          <w:rFonts w:ascii="Times New Roman" w:hAnsi="Times New Roman"/>
          <w:szCs w:val="22"/>
          <w:u w:val="single"/>
          <w:lang w:val="hu-HU"/>
        </w:rPr>
      </w:pPr>
    </w:p>
    <w:p w14:paraId="48479E64" w14:textId="7EE73247" w:rsidR="00FD6707" w:rsidRPr="00183B5F" w:rsidRDefault="00943743" w:rsidP="00966731">
      <w:pPr>
        <w:suppressAutoHyphens w:val="0"/>
        <w:autoSpaceDE w:val="0"/>
        <w:autoSpaceDN w:val="0"/>
        <w:adjustRightInd w:val="0"/>
        <w:spacing w:line="240" w:lineRule="auto"/>
        <w:rPr>
          <w:del w:id="12764" w:author="AbbVie_HU_03" w:date="2025-05-14T16:41:00Z"/>
          <w:bCs/>
          <w:szCs w:val="22"/>
        </w:rPr>
      </w:pPr>
      <w:del w:id="12765" w:author="AbbVie_HU_03" w:date="2025-05-14T16:41:00Z">
        <w:r w:rsidRPr="00183B5F">
          <w:rPr>
            <w:szCs w:val="22"/>
          </w:rPr>
          <w:delText>A plakkos</w:delText>
        </w:r>
        <w:r w:rsidRPr="00183B5F">
          <w:rPr>
            <w:szCs w:val="22"/>
            <w:u w:val="single"/>
          </w:rPr>
          <w:delText xml:space="preserve"> </w:delText>
        </w:r>
        <w:r w:rsidRPr="00183B5F">
          <w:rPr>
            <w:bCs/>
            <w:szCs w:val="22"/>
          </w:rPr>
          <w:delText xml:space="preserve">pszoriázis </w:delText>
        </w:r>
        <w:r w:rsidRPr="00183B5F">
          <w:rPr>
            <w:szCs w:val="22"/>
          </w:rPr>
          <w:delText xml:space="preserve">egy bőrbetegség, ami ezüstös pikkelyekkel borított piros, hámló, kérges foltokat okoz a bőrön. </w:delText>
        </w:r>
        <w:r w:rsidR="00A1688C" w:rsidRPr="00183B5F">
          <w:rPr>
            <w:bCs/>
            <w:szCs w:val="22"/>
          </w:rPr>
          <w:delText xml:space="preserve">A plakkos pszoriázis a körmöket is érintheti, a köröm töredezését, megvastagodását, a körömágytól való elválását okozva, ami fájdalmas lehet. </w:delText>
        </w:r>
        <w:r w:rsidR="000D3495" w:rsidRPr="00183B5F">
          <w:rPr>
            <w:bCs/>
            <w:szCs w:val="22"/>
          </w:rPr>
          <w:delText>A pszoriázist vélhetően a szervezet immunrendszerének hibája okozza, amely a bőrsejtek fokozott termelődéséhez vezet.</w:delText>
        </w:r>
      </w:del>
    </w:p>
    <w:p w14:paraId="7E94406F" w14:textId="0680D292" w:rsidR="00A7207B" w:rsidRPr="00183B5F" w:rsidRDefault="00A7207B" w:rsidP="00966731">
      <w:pPr>
        <w:pStyle w:val="DefaultText"/>
        <w:rPr>
          <w:del w:id="12766" w:author="AbbVie_HU_03" w:date="2025-05-14T16:41:00Z"/>
          <w:rFonts w:ascii="Times New Roman" w:hAnsi="Times New Roman"/>
          <w:szCs w:val="22"/>
          <w:u w:val="single"/>
          <w:lang w:val="hu-HU"/>
        </w:rPr>
      </w:pPr>
    </w:p>
    <w:p w14:paraId="1878E7ED" w14:textId="1DFC95F4" w:rsidR="004044FC" w:rsidRPr="00183B5F" w:rsidRDefault="00943743" w:rsidP="00966731">
      <w:pPr>
        <w:spacing w:line="240" w:lineRule="auto"/>
        <w:ind w:right="-2"/>
        <w:rPr>
          <w:del w:id="12767" w:author="AbbVie_HU_03" w:date="2025-05-14T16:41:00Z"/>
          <w:szCs w:val="22"/>
        </w:rPr>
      </w:pPr>
      <w:del w:id="12768" w:author="AbbVie_HU_03" w:date="2025-05-14T16:41:00Z">
        <w:r w:rsidRPr="00183B5F">
          <w:rPr>
            <w:szCs w:val="22"/>
          </w:rPr>
          <w:delText xml:space="preserve">A Humira alkalmazható a közepesen súlyos vagy súlyos felnőttkori pszoriázis kezelésére. </w:delText>
        </w:r>
        <w:r w:rsidRPr="00183B5F">
          <w:rPr>
            <w:bCs/>
            <w:szCs w:val="22"/>
          </w:rPr>
          <w:delText>A Humira  alkalmazható súlyos plakkos pszoriázisban szenvedő, 4</w:delText>
        </w:r>
        <w:r w:rsidRPr="00183B5F">
          <w:rPr>
            <w:bCs/>
            <w:szCs w:val="22"/>
          </w:rPr>
          <w:noBreakHyphen/>
          <w:delText>17 év közötti gyermekeknél és serdülőknél is, akiknél a helyi kezelés és a fényterápiák nem használtak, vagy nem alkalmazhatóak.</w:delText>
        </w:r>
      </w:del>
    </w:p>
    <w:p w14:paraId="71661D7A" w14:textId="7E116676" w:rsidR="006347E8" w:rsidRPr="00183B5F" w:rsidRDefault="006347E8" w:rsidP="00966731">
      <w:pPr>
        <w:spacing w:line="240" w:lineRule="auto"/>
        <w:ind w:right="-2"/>
        <w:rPr>
          <w:del w:id="12769" w:author="AbbVie_HU_03" w:date="2025-05-14T16:41:00Z"/>
          <w:bCs/>
          <w:szCs w:val="22"/>
          <w:u w:val="single"/>
        </w:rPr>
      </w:pPr>
    </w:p>
    <w:p w14:paraId="7585BBDE" w14:textId="71798975" w:rsidR="00F97095" w:rsidRPr="00183B5F" w:rsidRDefault="00943743" w:rsidP="00966731">
      <w:pPr>
        <w:keepNext/>
        <w:spacing w:line="240" w:lineRule="auto"/>
        <w:rPr>
          <w:del w:id="12770" w:author="AbbVie_HU_03" w:date="2025-05-14T16:41:00Z"/>
          <w:bCs/>
          <w:szCs w:val="22"/>
          <w:u w:val="single"/>
        </w:rPr>
      </w:pPr>
      <w:del w:id="12771" w:author="AbbVie_HU_03" w:date="2025-05-14T16:41:00Z">
        <w:r w:rsidRPr="00183B5F">
          <w:rPr>
            <w:szCs w:val="22"/>
            <w:u w:val="single"/>
          </w:rPr>
          <w:delText>Hidradenitisz szuppuratíva felnőtteknél és serdülőknél</w:delText>
        </w:r>
      </w:del>
    </w:p>
    <w:p w14:paraId="268518E1" w14:textId="5E9B48E9" w:rsidR="00F97095" w:rsidRPr="00183B5F" w:rsidRDefault="00F97095" w:rsidP="00966731">
      <w:pPr>
        <w:keepNext/>
        <w:spacing w:line="240" w:lineRule="auto"/>
        <w:rPr>
          <w:del w:id="12772" w:author="AbbVie_HU_03" w:date="2025-05-14T16:41:00Z"/>
          <w:bCs/>
          <w:szCs w:val="22"/>
          <w:u w:val="single"/>
        </w:rPr>
      </w:pPr>
    </w:p>
    <w:p w14:paraId="5B183280" w14:textId="365FE7F2" w:rsidR="00F97095" w:rsidRPr="00183B5F" w:rsidRDefault="00943743" w:rsidP="00966731">
      <w:pPr>
        <w:spacing w:line="240" w:lineRule="auto"/>
        <w:ind w:right="-2"/>
        <w:rPr>
          <w:del w:id="12773" w:author="AbbVie_HU_03" w:date="2025-05-14T16:41:00Z"/>
          <w:bCs/>
          <w:szCs w:val="22"/>
        </w:rPr>
      </w:pPr>
      <w:del w:id="12774" w:author="AbbVie_HU_03" w:date="2025-05-14T16:41:00Z">
        <w:r w:rsidRPr="00183B5F">
          <w:rPr>
            <w:bCs/>
            <w:szCs w:val="22"/>
          </w:rPr>
          <w:delText xml:space="preserve">A </w:delText>
        </w:r>
        <w:r w:rsidRPr="00183B5F">
          <w:rPr>
            <w:szCs w:val="22"/>
          </w:rPr>
          <w:delText>hidradenitisz szuppuratíva</w:delText>
        </w:r>
        <w:r w:rsidRPr="00183B5F">
          <w:rPr>
            <w:bCs/>
            <w:szCs w:val="22"/>
          </w:rPr>
          <w:delText xml:space="preserve"> (más néven inverz akne) egy krónikus és gyakran fájdalmas, gyulladásos bőrbetegség. A tünetek közé tartozhatnak a bőr alatti gócok (csomók) és tályogok (kelések), melyekből genny szivároghat. Ez leggyakrabban a bőr bizonyos területein jelenik meg, </w:delText>
        </w:r>
        <w:r w:rsidR="00F15477" w:rsidRPr="00183B5F">
          <w:rPr>
            <w:bCs/>
            <w:szCs w:val="22"/>
          </w:rPr>
          <w:delText>például</w:delText>
        </w:r>
        <w:r w:rsidRPr="00183B5F">
          <w:rPr>
            <w:bCs/>
            <w:szCs w:val="22"/>
          </w:rPr>
          <w:delText> a mellek alatt, hónaljban, a combok belső felszínén, lágyékon és fenéken. Hegesedés is előfordulhat az érintett területeken.</w:delText>
        </w:r>
      </w:del>
    </w:p>
    <w:p w14:paraId="4A562C45" w14:textId="1851ED55" w:rsidR="00F97095" w:rsidRPr="00183B5F" w:rsidRDefault="00F97095" w:rsidP="00966731">
      <w:pPr>
        <w:spacing w:line="240" w:lineRule="auto"/>
        <w:ind w:right="-2"/>
        <w:rPr>
          <w:del w:id="12775" w:author="AbbVie_HU_03" w:date="2025-05-14T16:41:00Z"/>
          <w:bCs/>
          <w:szCs w:val="22"/>
        </w:rPr>
      </w:pPr>
    </w:p>
    <w:p w14:paraId="66ED2FC0" w14:textId="137F3237" w:rsidR="00F97095" w:rsidRPr="00183B5F" w:rsidRDefault="00943743" w:rsidP="00966731">
      <w:pPr>
        <w:suppressAutoHyphens w:val="0"/>
        <w:autoSpaceDE w:val="0"/>
        <w:autoSpaceDN w:val="0"/>
        <w:adjustRightInd w:val="0"/>
        <w:spacing w:line="240" w:lineRule="auto"/>
        <w:rPr>
          <w:del w:id="12776" w:author="AbbVie_HU_03" w:date="2025-05-14T16:41:00Z"/>
          <w:bCs/>
          <w:szCs w:val="22"/>
        </w:rPr>
      </w:pPr>
      <w:del w:id="12777" w:author="AbbVie_HU_03" w:date="2025-05-14T16:41:00Z">
        <w:r w:rsidRPr="00183B5F">
          <w:rPr>
            <w:bCs/>
            <w:szCs w:val="22"/>
          </w:rPr>
          <w:delText xml:space="preserve">A Humira hidradenitisz szuppuratívában szenvedő felnőttek és 12 év feletti serdülők kezelésére alkalmazható. A Humira csökkenti a csomók és tályogok számát és a fájdalmat, </w:delText>
        </w:r>
        <w:r w:rsidR="00BD3F27" w:rsidRPr="00183B5F">
          <w:rPr>
            <w:bCs/>
            <w:szCs w:val="22"/>
          </w:rPr>
          <w:delText>ami</w:delText>
        </w:r>
        <w:r w:rsidRPr="00183B5F">
          <w:rPr>
            <w:bCs/>
            <w:szCs w:val="22"/>
          </w:rPr>
          <w:delText xml:space="preserve"> gyakran jár együtt a betegséggel. Önnek először más gyógyszereket adhatnak. Ha Ön nem reagál megfelelően ezekre a gyógyszerekre, Humira-t fog kapni.</w:delText>
        </w:r>
      </w:del>
    </w:p>
    <w:p w14:paraId="344DCD0A" w14:textId="11B62400" w:rsidR="006347E8" w:rsidRPr="00183B5F" w:rsidRDefault="006347E8" w:rsidP="00966731">
      <w:pPr>
        <w:suppressAutoHyphens w:val="0"/>
        <w:autoSpaceDE w:val="0"/>
        <w:autoSpaceDN w:val="0"/>
        <w:adjustRightInd w:val="0"/>
        <w:spacing w:line="240" w:lineRule="auto"/>
        <w:rPr>
          <w:del w:id="12778" w:author="AbbVie_HU_03" w:date="2025-05-14T16:41:00Z"/>
          <w:bCs/>
          <w:szCs w:val="22"/>
        </w:rPr>
      </w:pPr>
    </w:p>
    <w:p w14:paraId="27BFCEE1" w14:textId="1B2D17A8" w:rsidR="00FB6710" w:rsidRPr="00183B5F" w:rsidRDefault="00943743" w:rsidP="00966731">
      <w:pPr>
        <w:keepNext/>
        <w:spacing w:line="240" w:lineRule="auto"/>
        <w:rPr>
          <w:del w:id="12779" w:author="AbbVie_HU_03" w:date="2025-05-14T16:41:00Z"/>
          <w:szCs w:val="22"/>
          <w:u w:val="single"/>
        </w:rPr>
      </w:pPr>
      <w:del w:id="12780" w:author="AbbVie_HU_03" w:date="2025-05-14T16:41:00Z">
        <w:r w:rsidRPr="00183B5F">
          <w:rPr>
            <w:szCs w:val="22"/>
            <w:u w:val="single"/>
          </w:rPr>
          <w:delText>Crohn</w:delText>
        </w:r>
        <w:r w:rsidR="009E26F9" w:rsidRPr="00183B5F">
          <w:rPr>
            <w:szCs w:val="22"/>
            <w:u w:val="single"/>
          </w:rPr>
          <w:noBreakHyphen/>
        </w:r>
        <w:r w:rsidRPr="00183B5F">
          <w:rPr>
            <w:szCs w:val="22"/>
            <w:u w:val="single"/>
          </w:rPr>
          <w:delText>betegség</w:delText>
        </w:r>
        <w:r w:rsidR="00D126CF" w:rsidRPr="00183B5F">
          <w:rPr>
            <w:szCs w:val="22"/>
            <w:u w:val="single"/>
          </w:rPr>
          <w:delText xml:space="preserve"> felnőtteknél és gyermekeknél</w:delText>
        </w:r>
      </w:del>
    </w:p>
    <w:p w14:paraId="047043D7" w14:textId="2BF15848" w:rsidR="00FB6710" w:rsidRPr="00183B5F" w:rsidRDefault="00FB6710" w:rsidP="00966731">
      <w:pPr>
        <w:keepNext/>
        <w:spacing w:line="240" w:lineRule="auto"/>
        <w:rPr>
          <w:del w:id="12781" w:author="AbbVie_HU_03" w:date="2025-05-14T16:41:00Z"/>
          <w:szCs w:val="22"/>
        </w:rPr>
      </w:pPr>
    </w:p>
    <w:p w14:paraId="61E74820" w14:textId="48C815F5" w:rsidR="00302233" w:rsidRPr="00183B5F" w:rsidRDefault="00943743" w:rsidP="00966731">
      <w:pPr>
        <w:keepNext/>
        <w:spacing w:line="240" w:lineRule="auto"/>
        <w:rPr>
          <w:del w:id="12782" w:author="AbbVie_HU_03" w:date="2025-05-14T16:41:00Z"/>
          <w:szCs w:val="22"/>
        </w:rPr>
      </w:pPr>
      <w:del w:id="12783" w:author="AbbVie_HU_03" w:date="2025-05-14T16:41:00Z">
        <w:r w:rsidRPr="00183B5F">
          <w:rPr>
            <w:szCs w:val="22"/>
          </w:rPr>
          <w:delText>A Crohn</w:delText>
        </w:r>
        <w:r w:rsidRPr="00183B5F">
          <w:rPr>
            <w:szCs w:val="22"/>
          </w:rPr>
          <w:noBreakHyphen/>
        </w:r>
        <w:r w:rsidRPr="00183B5F">
          <w:rPr>
            <w:szCs w:val="22"/>
          </w:rPr>
          <w:delText>betegség az emésztőcsatorna gyulladásos kórfolyamata.</w:delText>
        </w:r>
      </w:del>
    </w:p>
    <w:p w14:paraId="00C6D63C" w14:textId="3EFF4300" w:rsidR="00302233" w:rsidRPr="00183B5F" w:rsidRDefault="00302233" w:rsidP="00966731">
      <w:pPr>
        <w:keepNext/>
        <w:spacing w:line="240" w:lineRule="auto"/>
        <w:rPr>
          <w:del w:id="12784" w:author="AbbVie_HU_03" w:date="2025-05-14T16:41:00Z"/>
          <w:szCs w:val="22"/>
        </w:rPr>
      </w:pPr>
    </w:p>
    <w:p w14:paraId="671570C5" w14:textId="31D2AC2D" w:rsidR="009434A4" w:rsidRPr="00183B5F" w:rsidRDefault="00943743" w:rsidP="00966731">
      <w:pPr>
        <w:keepNext/>
        <w:spacing w:line="240" w:lineRule="auto"/>
        <w:rPr>
          <w:del w:id="12785" w:author="AbbVie_HU_03" w:date="2025-05-14T16:41:00Z"/>
          <w:szCs w:val="22"/>
        </w:rPr>
      </w:pPr>
      <w:del w:id="12786" w:author="AbbVie_HU_03" w:date="2025-05-14T16:41:00Z">
        <w:r w:rsidRPr="00183B5F">
          <w:rPr>
            <w:bCs/>
            <w:szCs w:val="22"/>
          </w:rPr>
          <w:delText>A Humira alkalmazható Crohn</w:delText>
        </w:r>
        <w:r w:rsidR="009E26F9" w:rsidRPr="00183B5F">
          <w:rPr>
            <w:bCs/>
            <w:szCs w:val="22"/>
          </w:rPr>
          <w:noBreakHyphen/>
        </w:r>
        <w:r w:rsidRPr="00183B5F">
          <w:rPr>
            <w:bCs/>
            <w:szCs w:val="22"/>
          </w:rPr>
          <w:delText>betegségben szenvedő felnőttek és a 6 és 17 éves kor közötti gyermekek kezelésére.</w:delText>
        </w:r>
        <w:r w:rsidRPr="00183B5F">
          <w:rPr>
            <w:szCs w:val="22"/>
          </w:rPr>
          <w:delText xml:space="preserve"> Ha Ön Crohn</w:delText>
        </w:r>
        <w:r w:rsidR="009E26F9" w:rsidRPr="00183B5F">
          <w:rPr>
            <w:szCs w:val="22"/>
          </w:rPr>
          <w:noBreakHyphen/>
        </w:r>
        <w:r w:rsidRPr="00183B5F">
          <w:rPr>
            <w:szCs w:val="22"/>
          </w:rPr>
          <w:delText>betegségben szenved, akkor először Önt másfajta gyógyszerekkel kezdik el kezelni. Ha ezekre a gyógyszerekre nem reagál megfelelően, akkor Humira</w:delText>
        </w:r>
        <w:r w:rsidR="009E26F9" w:rsidRPr="00183B5F">
          <w:rPr>
            <w:szCs w:val="22"/>
          </w:rPr>
          <w:noBreakHyphen/>
        </w:r>
        <w:r w:rsidRPr="00183B5F">
          <w:rPr>
            <w:szCs w:val="22"/>
          </w:rPr>
          <w:delText>t kap a Crohn</w:delText>
        </w:r>
        <w:r w:rsidR="009E26F9" w:rsidRPr="00183B5F">
          <w:rPr>
            <w:szCs w:val="22"/>
          </w:rPr>
          <w:noBreakHyphen/>
        </w:r>
        <w:r w:rsidRPr="00183B5F">
          <w:rPr>
            <w:szCs w:val="22"/>
          </w:rPr>
          <w:delText xml:space="preserve">betegség okozta </w:delText>
        </w:r>
        <w:r w:rsidR="00D02F61" w:rsidRPr="00183B5F">
          <w:rPr>
            <w:szCs w:val="22"/>
          </w:rPr>
          <w:delText xml:space="preserve">jelek </w:delText>
        </w:r>
        <w:r w:rsidRPr="00183B5F">
          <w:rPr>
            <w:szCs w:val="22"/>
          </w:rPr>
          <w:delText>és tünetek enyhítése céljából.</w:delText>
        </w:r>
      </w:del>
    </w:p>
    <w:p w14:paraId="3C941F84" w14:textId="7A240067" w:rsidR="009434A4" w:rsidRPr="00183B5F" w:rsidRDefault="009434A4" w:rsidP="00966731">
      <w:pPr>
        <w:spacing w:line="240" w:lineRule="auto"/>
        <w:ind w:right="-2"/>
        <w:rPr>
          <w:del w:id="12787" w:author="AbbVie_HU_03" w:date="2025-05-14T16:41:00Z"/>
          <w:szCs w:val="22"/>
        </w:rPr>
      </w:pPr>
    </w:p>
    <w:p w14:paraId="1989EA1D" w14:textId="0096D442" w:rsidR="009434A4" w:rsidRPr="00183B5F" w:rsidRDefault="00943743" w:rsidP="00966731">
      <w:pPr>
        <w:keepNext/>
        <w:suppressAutoHyphens w:val="0"/>
        <w:autoSpaceDE w:val="0"/>
        <w:autoSpaceDN w:val="0"/>
        <w:adjustRightInd w:val="0"/>
        <w:spacing w:line="240" w:lineRule="auto"/>
        <w:rPr>
          <w:del w:id="12788" w:author="AbbVie_HU_03" w:date="2025-05-14T16:41:00Z"/>
          <w:szCs w:val="22"/>
          <w:u w:val="single"/>
        </w:rPr>
      </w:pPr>
      <w:del w:id="12789" w:author="AbbVie_HU_03" w:date="2025-05-14T16:41:00Z">
        <w:r w:rsidRPr="00183B5F">
          <w:rPr>
            <w:szCs w:val="22"/>
            <w:u w:val="single"/>
          </w:rPr>
          <w:delText>Kolitisz ulceróza</w:delText>
        </w:r>
        <w:r w:rsidR="00093084" w:rsidRPr="00183B5F">
          <w:rPr>
            <w:szCs w:val="22"/>
            <w:u w:val="single"/>
          </w:rPr>
          <w:delText xml:space="preserve"> </w:delText>
        </w:r>
        <w:r w:rsidR="00F71C2A" w:rsidRPr="00183B5F">
          <w:rPr>
            <w:szCs w:val="22"/>
            <w:u w:val="single"/>
          </w:rPr>
          <w:delText>felnőtteknél és gyermekeknél</w:delText>
        </w:r>
      </w:del>
    </w:p>
    <w:p w14:paraId="5AE7283C" w14:textId="3559868C" w:rsidR="009434A4" w:rsidRPr="00183B5F" w:rsidRDefault="009434A4" w:rsidP="00966731">
      <w:pPr>
        <w:keepNext/>
        <w:suppressAutoHyphens w:val="0"/>
        <w:autoSpaceDE w:val="0"/>
        <w:autoSpaceDN w:val="0"/>
        <w:adjustRightInd w:val="0"/>
        <w:spacing w:line="240" w:lineRule="auto"/>
        <w:rPr>
          <w:del w:id="12790" w:author="AbbVie_HU_03" w:date="2025-05-14T16:41:00Z"/>
          <w:szCs w:val="22"/>
          <w:u w:val="single"/>
        </w:rPr>
      </w:pPr>
    </w:p>
    <w:p w14:paraId="70FF6D7F" w14:textId="71C2E2F5" w:rsidR="00302233" w:rsidRPr="00183B5F" w:rsidRDefault="00943743" w:rsidP="00966731">
      <w:pPr>
        <w:keepNext/>
        <w:suppressAutoHyphens w:val="0"/>
        <w:autoSpaceDE w:val="0"/>
        <w:autoSpaceDN w:val="0"/>
        <w:adjustRightInd w:val="0"/>
        <w:spacing w:line="240" w:lineRule="auto"/>
        <w:rPr>
          <w:del w:id="12791" w:author="AbbVie_HU_03" w:date="2025-05-14T16:41:00Z"/>
          <w:szCs w:val="22"/>
        </w:rPr>
      </w:pPr>
      <w:del w:id="12792" w:author="AbbVie_HU_03" w:date="2025-05-14T16:41:00Z">
        <w:r w:rsidRPr="00183B5F">
          <w:rPr>
            <w:szCs w:val="22"/>
          </w:rPr>
          <w:delText>A kolitisz ulceróza a vastagbél gyulladásos betegsége.</w:delText>
        </w:r>
      </w:del>
    </w:p>
    <w:p w14:paraId="121889F7" w14:textId="5C89B867" w:rsidR="00302233" w:rsidRPr="00183B5F" w:rsidRDefault="00302233" w:rsidP="00966731">
      <w:pPr>
        <w:keepNext/>
        <w:suppressAutoHyphens w:val="0"/>
        <w:autoSpaceDE w:val="0"/>
        <w:autoSpaceDN w:val="0"/>
        <w:adjustRightInd w:val="0"/>
        <w:spacing w:line="240" w:lineRule="auto"/>
        <w:rPr>
          <w:del w:id="12793" w:author="AbbVie_HU_03" w:date="2025-05-14T16:41:00Z"/>
          <w:szCs w:val="22"/>
          <w:u w:val="single"/>
        </w:rPr>
      </w:pPr>
    </w:p>
    <w:p w14:paraId="527180B3" w14:textId="69D8B91E" w:rsidR="00274D31" w:rsidRPr="00183B5F" w:rsidRDefault="00943743" w:rsidP="00966731">
      <w:pPr>
        <w:keepNext/>
        <w:suppressAutoHyphens w:val="0"/>
        <w:autoSpaceDE w:val="0"/>
        <w:autoSpaceDN w:val="0"/>
        <w:adjustRightInd w:val="0"/>
        <w:spacing w:line="240" w:lineRule="auto"/>
        <w:rPr>
          <w:del w:id="12794" w:author="AbbVie_HU_03" w:date="2025-05-14T16:41:00Z"/>
          <w:szCs w:val="22"/>
        </w:rPr>
      </w:pPr>
      <w:del w:id="12795" w:author="AbbVie_HU_03" w:date="2025-05-14T16:41:00Z">
        <w:r w:rsidRPr="00183B5F">
          <w:rPr>
            <w:bCs/>
            <w:szCs w:val="22"/>
          </w:rPr>
          <w:delText xml:space="preserve">A Humira alkalmazható </w:delText>
        </w:r>
        <w:r w:rsidR="00135736" w:rsidRPr="00183B5F">
          <w:rPr>
            <w:bCs/>
            <w:szCs w:val="22"/>
          </w:rPr>
          <w:delText>köz</w:delText>
        </w:r>
        <w:r w:rsidR="004C08B8" w:rsidRPr="00183B5F">
          <w:rPr>
            <w:bCs/>
            <w:szCs w:val="22"/>
          </w:rPr>
          <w:delText xml:space="preserve">epesen </w:delText>
        </w:r>
        <w:r w:rsidR="00135736" w:rsidRPr="00183B5F">
          <w:rPr>
            <w:bCs/>
            <w:szCs w:val="22"/>
          </w:rPr>
          <w:delText>súlyos</w:delText>
        </w:r>
        <w:r w:rsidR="004C08B8" w:rsidRPr="00183B5F">
          <w:rPr>
            <w:bCs/>
            <w:szCs w:val="22"/>
          </w:rPr>
          <w:delText xml:space="preserve"> </w:delText>
        </w:r>
        <w:r w:rsidR="006242C8" w:rsidRPr="00183B5F">
          <w:rPr>
            <w:bCs/>
            <w:szCs w:val="22"/>
          </w:rPr>
          <w:delText>-</w:delText>
        </w:r>
        <w:r w:rsidR="004C08B8" w:rsidRPr="00183B5F">
          <w:rPr>
            <w:bCs/>
            <w:szCs w:val="22"/>
          </w:rPr>
          <w:delText xml:space="preserve"> </w:delText>
        </w:r>
        <w:r w:rsidR="00135736" w:rsidRPr="00183B5F">
          <w:rPr>
            <w:bCs/>
            <w:szCs w:val="22"/>
          </w:rPr>
          <w:delText>súlyos kolitisz ulcerózában szenvedő felnőttek és a 6 és 17 éves kor közötti gyermekek kezelésére</w:delText>
        </w:r>
        <w:r w:rsidRPr="00183B5F">
          <w:rPr>
            <w:szCs w:val="22"/>
          </w:rPr>
          <w:delText xml:space="preserve">. Ha kolitisz ulcerózában szenved, akkor Önt </w:delText>
        </w:r>
        <w:r w:rsidR="009D6D83" w:rsidRPr="00183B5F">
          <w:rPr>
            <w:szCs w:val="22"/>
          </w:rPr>
          <w:delText xml:space="preserve">először </w:delText>
        </w:r>
        <w:r w:rsidRPr="00183B5F">
          <w:rPr>
            <w:szCs w:val="22"/>
          </w:rPr>
          <w:delText>másfajta gyógyszerekkel kezd</w:delText>
        </w:r>
        <w:r w:rsidR="00182A2E" w:rsidRPr="00183B5F">
          <w:rPr>
            <w:szCs w:val="22"/>
          </w:rPr>
          <w:delText>het</w:delText>
        </w:r>
        <w:r w:rsidRPr="00183B5F">
          <w:rPr>
            <w:szCs w:val="22"/>
          </w:rPr>
          <w:delText xml:space="preserve">ik el kezelni. Ha ezekre a gyógyszerekre nem reagál megfelelően, akkor Humira-t kap a betegség okozta </w:delText>
        </w:r>
        <w:r w:rsidR="00D02F61" w:rsidRPr="00183B5F">
          <w:rPr>
            <w:szCs w:val="22"/>
          </w:rPr>
          <w:delText xml:space="preserve">jelek </w:delText>
        </w:r>
        <w:r w:rsidRPr="00183B5F">
          <w:rPr>
            <w:szCs w:val="22"/>
          </w:rPr>
          <w:delText>és tünetek enyhítése céljából.</w:delText>
        </w:r>
      </w:del>
    </w:p>
    <w:p w14:paraId="6763472A" w14:textId="3A42971B" w:rsidR="00A449FD" w:rsidRPr="00183B5F" w:rsidRDefault="00A449FD" w:rsidP="00966731">
      <w:pPr>
        <w:suppressAutoHyphens w:val="0"/>
        <w:autoSpaceDE w:val="0"/>
        <w:autoSpaceDN w:val="0"/>
        <w:adjustRightInd w:val="0"/>
        <w:spacing w:line="240" w:lineRule="auto"/>
        <w:rPr>
          <w:del w:id="12796" w:author="AbbVie_HU_03" w:date="2025-05-14T16:41:00Z"/>
          <w:szCs w:val="22"/>
          <w:u w:val="single"/>
        </w:rPr>
      </w:pPr>
    </w:p>
    <w:p w14:paraId="66AE04ED" w14:textId="001F139B" w:rsidR="00A449FD" w:rsidRPr="00183B5F" w:rsidRDefault="00943743" w:rsidP="00966731">
      <w:pPr>
        <w:suppressAutoHyphens w:val="0"/>
        <w:autoSpaceDE w:val="0"/>
        <w:autoSpaceDN w:val="0"/>
        <w:adjustRightInd w:val="0"/>
        <w:spacing w:line="240" w:lineRule="auto"/>
        <w:rPr>
          <w:del w:id="12797" w:author="AbbVie_HU_03" w:date="2025-05-14T16:41:00Z"/>
          <w:szCs w:val="22"/>
          <w:u w:val="single"/>
        </w:rPr>
      </w:pPr>
      <w:del w:id="12798" w:author="AbbVie_HU_03" w:date="2025-05-14T16:41:00Z">
        <w:r w:rsidRPr="00183B5F">
          <w:rPr>
            <w:szCs w:val="22"/>
            <w:u w:val="single"/>
          </w:rPr>
          <w:delText>Felnőtt- és gyermekkori, nem fertőzéses eredetű szemgyulladás (uveitisz)</w:delText>
        </w:r>
      </w:del>
    </w:p>
    <w:p w14:paraId="3CFFDCCD" w14:textId="433FD1A3" w:rsidR="00A449FD" w:rsidRPr="00183B5F" w:rsidRDefault="00A449FD" w:rsidP="00966731">
      <w:pPr>
        <w:suppressAutoHyphens w:val="0"/>
        <w:autoSpaceDE w:val="0"/>
        <w:autoSpaceDN w:val="0"/>
        <w:adjustRightInd w:val="0"/>
        <w:spacing w:line="240" w:lineRule="auto"/>
        <w:rPr>
          <w:del w:id="12799" w:author="AbbVie_HU_03" w:date="2025-05-14T16:41:00Z"/>
          <w:szCs w:val="22"/>
        </w:rPr>
      </w:pPr>
    </w:p>
    <w:p w14:paraId="3EC6831C" w14:textId="5A74B2AB" w:rsidR="00A449FD" w:rsidRPr="00183B5F" w:rsidRDefault="00943743" w:rsidP="00966731">
      <w:pPr>
        <w:suppressAutoHyphens w:val="0"/>
        <w:autoSpaceDE w:val="0"/>
        <w:autoSpaceDN w:val="0"/>
        <w:adjustRightInd w:val="0"/>
        <w:spacing w:line="240" w:lineRule="auto"/>
        <w:rPr>
          <w:del w:id="12800" w:author="AbbVie_HU_03" w:date="2025-05-14T16:41:00Z"/>
          <w:szCs w:val="22"/>
        </w:rPr>
      </w:pPr>
      <w:del w:id="12801" w:author="AbbVie_HU_03" w:date="2025-05-14T16:41:00Z">
        <w:r w:rsidRPr="00183B5F">
          <w:rPr>
            <w:szCs w:val="22"/>
          </w:rPr>
          <w:delText>A nem fertőzéses eredetű szemgyulladás egy gyulladásos betegség, mely a szem bizonyos részeit érinti.</w:delText>
        </w:r>
      </w:del>
    </w:p>
    <w:p w14:paraId="60A08C75" w14:textId="49F72A2E" w:rsidR="00A449FD" w:rsidRPr="00183B5F" w:rsidRDefault="00A449FD" w:rsidP="00966731">
      <w:pPr>
        <w:suppressAutoHyphens w:val="0"/>
        <w:autoSpaceDE w:val="0"/>
        <w:autoSpaceDN w:val="0"/>
        <w:adjustRightInd w:val="0"/>
        <w:spacing w:line="240" w:lineRule="auto"/>
        <w:rPr>
          <w:del w:id="12802" w:author="AbbVie_HU_03" w:date="2025-05-14T16:41:00Z"/>
          <w:szCs w:val="22"/>
        </w:rPr>
      </w:pPr>
    </w:p>
    <w:p w14:paraId="0A3942B1" w14:textId="453D343F" w:rsidR="00195015" w:rsidRPr="00183B5F" w:rsidRDefault="00943743" w:rsidP="00966731">
      <w:pPr>
        <w:suppressAutoHyphens w:val="0"/>
        <w:autoSpaceDE w:val="0"/>
        <w:autoSpaceDN w:val="0"/>
        <w:adjustRightInd w:val="0"/>
        <w:spacing w:line="240" w:lineRule="auto"/>
        <w:rPr>
          <w:del w:id="12803" w:author="AbbVie_HU_03" w:date="2025-05-14T16:41:00Z"/>
          <w:szCs w:val="22"/>
        </w:rPr>
      </w:pPr>
      <w:del w:id="12804" w:author="AbbVie_HU_03" w:date="2025-05-14T16:41:00Z">
        <w:r w:rsidRPr="00183B5F">
          <w:rPr>
            <w:szCs w:val="22"/>
          </w:rPr>
          <w:delText xml:space="preserve">A Humira alkalmazható </w:delText>
        </w:r>
      </w:del>
    </w:p>
    <w:p w14:paraId="51C04024" w14:textId="2AE1D330" w:rsidR="00195015" w:rsidRPr="00183B5F" w:rsidRDefault="00943743" w:rsidP="00966731">
      <w:pPr>
        <w:pStyle w:val="ListParagraph"/>
        <w:numPr>
          <w:ilvl w:val="0"/>
          <w:numId w:val="76"/>
        </w:numPr>
        <w:suppressAutoHyphens w:val="0"/>
        <w:autoSpaceDE w:val="0"/>
        <w:autoSpaceDN w:val="0"/>
        <w:adjustRightInd w:val="0"/>
        <w:spacing w:line="240" w:lineRule="auto"/>
        <w:rPr>
          <w:del w:id="12805" w:author="AbbVie_HU_03" w:date="2025-05-14T16:41:00Z"/>
          <w:szCs w:val="22"/>
        </w:rPr>
      </w:pPr>
      <w:del w:id="12806" w:author="AbbVie_HU_03" w:date="2025-05-14T16:41:00Z">
        <w:r w:rsidRPr="00183B5F">
          <w:rPr>
            <w:szCs w:val="22"/>
          </w:rPr>
          <w:delText>F</w:delText>
        </w:r>
        <w:r w:rsidR="00A449FD" w:rsidRPr="00183B5F">
          <w:rPr>
            <w:szCs w:val="22"/>
          </w:rPr>
          <w:delText>elnőttkori</w:delText>
        </w:r>
        <w:r w:rsidR="00C56D1B" w:rsidRPr="00183B5F">
          <w:rPr>
            <w:szCs w:val="22"/>
          </w:rPr>
          <w:delText>,</w:delText>
        </w:r>
        <w:r w:rsidR="00A449FD" w:rsidRPr="00183B5F">
          <w:rPr>
            <w:szCs w:val="22"/>
          </w:rPr>
          <w:delText xml:space="preserve"> nem fertőzéses eredetű szemgyulladás kezelésére, amikor a gyulladás a szem</w:delText>
        </w:r>
        <w:r w:rsidR="00875982" w:rsidRPr="00183B5F">
          <w:rPr>
            <w:szCs w:val="22"/>
          </w:rPr>
          <w:delText>feneket</w:delText>
        </w:r>
        <w:r w:rsidR="00A449FD" w:rsidRPr="00183B5F">
          <w:rPr>
            <w:szCs w:val="22"/>
          </w:rPr>
          <w:delText xml:space="preserve"> érinti</w:delText>
        </w:r>
      </w:del>
    </w:p>
    <w:p w14:paraId="576975A0" w14:textId="69805F93" w:rsidR="00195015" w:rsidRPr="00183B5F" w:rsidRDefault="00943743" w:rsidP="00966731">
      <w:pPr>
        <w:pStyle w:val="ListParagraph"/>
        <w:numPr>
          <w:ilvl w:val="0"/>
          <w:numId w:val="76"/>
        </w:numPr>
        <w:suppressAutoHyphens w:val="0"/>
        <w:autoSpaceDE w:val="0"/>
        <w:autoSpaceDN w:val="0"/>
        <w:adjustRightInd w:val="0"/>
        <w:spacing w:line="240" w:lineRule="auto"/>
        <w:rPr>
          <w:del w:id="12807" w:author="AbbVie_HU_03" w:date="2025-05-14T16:41:00Z"/>
          <w:szCs w:val="22"/>
        </w:rPr>
      </w:pPr>
      <w:del w:id="12808" w:author="AbbVie_HU_03" w:date="2025-05-14T16:41:00Z">
        <w:r w:rsidRPr="00183B5F">
          <w:rPr>
            <w:szCs w:val="22"/>
          </w:rPr>
          <w:delText xml:space="preserve">2 évnél idősebb gyermekeknél a </w:delText>
        </w:r>
        <w:r w:rsidR="005B638E" w:rsidRPr="00183B5F">
          <w:rPr>
            <w:szCs w:val="22"/>
          </w:rPr>
          <w:delText xml:space="preserve">krónikus, </w:delText>
        </w:r>
        <w:r w:rsidRPr="00183B5F">
          <w:rPr>
            <w:szCs w:val="22"/>
          </w:rPr>
          <w:delText>nem fertőzéses eredetű szemgyulladás kezelésére, amikor a gyulladás a szem elülső részét érinti.</w:delText>
        </w:r>
      </w:del>
    </w:p>
    <w:p w14:paraId="03D25F15" w14:textId="7CDF7B9E" w:rsidR="00195015" w:rsidRPr="00183B5F" w:rsidRDefault="00195015" w:rsidP="00966731">
      <w:pPr>
        <w:suppressAutoHyphens w:val="0"/>
        <w:autoSpaceDE w:val="0"/>
        <w:autoSpaceDN w:val="0"/>
        <w:adjustRightInd w:val="0"/>
        <w:spacing w:line="240" w:lineRule="auto"/>
        <w:rPr>
          <w:del w:id="12809" w:author="AbbVie_HU_03" w:date="2025-05-14T16:41:00Z"/>
          <w:szCs w:val="22"/>
        </w:rPr>
      </w:pPr>
    </w:p>
    <w:p w14:paraId="389667F2" w14:textId="2119CE51" w:rsidR="00A449FD" w:rsidRPr="00183B5F" w:rsidRDefault="00943743" w:rsidP="00966731">
      <w:pPr>
        <w:suppressAutoHyphens w:val="0"/>
        <w:autoSpaceDE w:val="0"/>
        <w:autoSpaceDN w:val="0"/>
        <w:adjustRightInd w:val="0"/>
        <w:spacing w:line="240" w:lineRule="auto"/>
        <w:rPr>
          <w:del w:id="12810" w:author="AbbVie_HU_03" w:date="2025-05-14T16:41:00Z"/>
          <w:szCs w:val="22"/>
        </w:rPr>
      </w:pPr>
      <w:del w:id="12811" w:author="AbbVie_HU_03" w:date="2025-05-14T16:41:00Z">
        <w:r w:rsidRPr="00183B5F">
          <w:rPr>
            <w:szCs w:val="22"/>
          </w:rPr>
          <w:delText xml:space="preserve">A gyulladás látáscsökkenéshez és/vagy </w:delText>
        </w:r>
        <w:r w:rsidR="008E0E60" w:rsidRPr="00183B5F">
          <w:rPr>
            <w:szCs w:val="22"/>
          </w:rPr>
          <w:delText xml:space="preserve">a szemben </w:delText>
        </w:r>
        <w:r w:rsidRPr="00183B5F">
          <w:rPr>
            <w:szCs w:val="22"/>
          </w:rPr>
          <w:delText>úszkáló homályok (fekete pontok vagy vékony csíkok, melyek a látótéren mozognak)</w:delText>
        </w:r>
        <w:r w:rsidR="008E0E60" w:rsidRPr="00183B5F">
          <w:rPr>
            <w:szCs w:val="22"/>
          </w:rPr>
          <w:delText xml:space="preserve"> jelenlétéhez vezet</w:delText>
        </w:r>
        <w:r w:rsidR="00195015" w:rsidRPr="00183B5F">
          <w:rPr>
            <w:szCs w:val="22"/>
          </w:rPr>
          <w:delText>het</w:delText>
        </w:r>
        <w:r w:rsidRPr="00183B5F">
          <w:rPr>
            <w:szCs w:val="22"/>
          </w:rPr>
          <w:delText>. A Humira ezt a gyulladást csökkenti.</w:delText>
        </w:r>
      </w:del>
    </w:p>
    <w:p w14:paraId="7D1E750B" w14:textId="760CB0A5" w:rsidR="00FB6710" w:rsidRPr="00183B5F" w:rsidRDefault="00FB6710" w:rsidP="00966731">
      <w:pPr>
        <w:suppressAutoHyphens w:val="0"/>
        <w:autoSpaceDE w:val="0"/>
        <w:autoSpaceDN w:val="0"/>
        <w:adjustRightInd w:val="0"/>
        <w:spacing w:line="240" w:lineRule="auto"/>
        <w:rPr>
          <w:del w:id="12812" w:author="AbbVie_HU_03" w:date="2025-05-14T16:41:00Z"/>
          <w:szCs w:val="22"/>
        </w:rPr>
      </w:pPr>
    </w:p>
    <w:p w14:paraId="147D27CD" w14:textId="5FE1A51F" w:rsidR="00FB6710" w:rsidRPr="00183B5F" w:rsidRDefault="00FB6710" w:rsidP="00966731">
      <w:pPr>
        <w:suppressAutoHyphens w:val="0"/>
        <w:autoSpaceDE w:val="0"/>
        <w:autoSpaceDN w:val="0"/>
        <w:adjustRightInd w:val="0"/>
        <w:spacing w:line="240" w:lineRule="auto"/>
        <w:rPr>
          <w:del w:id="12813" w:author="AbbVie_HU_03" w:date="2025-05-14T16:41:00Z"/>
          <w:szCs w:val="22"/>
        </w:rPr>
      </w:pPr>
    </w:p>
    <w:p w14:paraId="206CA03E" w14:textId="06CDBE41" w:rsidR="00080B50" w:rsidRPr="00183B5F" w:rsidRDefault="00943743" w:rsidP="00966731">
      <w:pPr>
        <w:keepNext/>
        <w:suppressAutoHyphens w:val="0"/>
        <w:autoSpaceDE w:val="0"/>
        <w:autoSpaceDN w:val="0"/>
        <w:adjustRightInd w:val="0"/>
        <w:spacing w:line="240" w:lineRule="auto"/>
        <w:rPr>
          <w:del w:id="12814" w:author="AbbVie_HU_03" w:date="2025-05-14T16:41:00Z"/>
          <w:b/>
          <w:szCs w:val="22"/>
        </w:rPr>
      </w:pPr>
      <w:del w:id="12815" w:author="AbbVie_HU_03" w:date="2025-05-14T16:41:00Z">
        <w:r w:rsidRPr="00183B5F">
          <w:rPr>
            <w:b/>
            <w:szCs w:val="22"/>
          </w:rPr>
          <w:delText>2.</w:delText>
        </w:r>
        <w:r w:rsidRPr="00183B5F">
          <w:rPr>
            <w:b/>
            <w:szCs w:val="22"/>
          </w:rPr>
          <w:tab/>
          <w:delText>Tudnivalók a Humira alkalmazása előtt</w:delText>
        </w:r>
      </w:del>
    </w:p>
    <w:p w14:paraId="024C29EB" w14:textId="1E0878E4" w:rsidR="00080B50" w:rsidRPr="00183B5F" w:rsidRDefault="00080B50" w:rsidP="00966731">
      <w:pPr>
        <w:keepNext/>
        <w:spacing w:line="240" w:lineRule="auto"/>
        <w:rPr>
          <w:del w:id="12816" w:author="AbbVie_HU_03" w:date="2025-05-14T16:41:00Z"/>
          <w:szCs w:val="22"/>
        </w:rPr>
      </w:pPr>
    </w:p>
    <w:p w14:paraId="3EF0C31C" w14:textId="74DF5F0D" w:rsidR="00080B50" w:rsidRPr="00183B5F" w:rsidRDefault="00943743" w:rsidP="00966731">
      <w:pPr>
        <w:keepNext/>
        <w:spacing w:line="240" w:lineRule="auto"/>
        <w:rPr>
          <w:del w:id="12817" w:author="AbbVie_HU_03" w:date="2025-05-14T16:41:00Z"/>
          <w:b/>
          <w:szCs w:val="22"/>
        </w:rPr>
      </w:pPr>
      <w:del w:id="12818" w:author="AbbVie_HU_03" w:date="2025-05-14T16:41:00Z">
        <w:r w:rsidRPr="00183B5F">
          <w:rPr>
            <w:b/>
            <w:szCs w:val="22"/>
          </w:rPr>
          <w:delText xml:space="preserve">Ne alkalmazza a </w:delText>
        </w:r>
        <w:r w:rsidRPr="00183B5F">
          <w:rPr>
            <w:b/>
            <w:bCs/>
            <w:szCs w:val="22"/>
          </w:rPr>
          <w:delText>Humira</w:delText>
        </w:r>
        <w:r w:rsidR="009E26F9" w:rsidRPr="00183B5F">
          <w:rPr>
            <w:b/>
            <w:bCs/>
            <w:szCs w:val="22"/>
          </w:rPr>
          <w:noBreakHyphen/>
        </w:r>
        <w:r w:rsidRPr="00183B5F">
          <w:rPr>
            <w:b/>
            <w:bCs/>
            <w:szCs w:val="22"/>
          </w:rPr>
          <w:delText>t</w:delText>
        </w:r>
      </w:del>
    </w:p>
    <w:p w14:paraId="3579DF7E" w14:textId="384E5D33" w:rsidR="00080B50" w:rsidRPr="00183B5F" w:rsidRDefault="00080B50" w:rsidP="00966731">
      <w:pPr>
        <w:keepNext/>
        <w:spacing w:line="240" w:lineRule="auto"/>
        <w:rPr>
          <w:del w:id="12819" w:author="AbbVie_HU_03" w:date="2025-05-14T16:41:00Z"/>
          <w:szCs w:val="22"/>
        </w:rPr>
      </w:pPr>
    </w:p>
    <w:p w14:paraId="1F7FB8D8" w14:textId="195B1638" w:rsidR="00080B50" w:rsidRPr="00183B5F" w:rsidRDefault="00943743" w:rsidP="00966731">
      <w:pPr>
        <w:keepNext/>
        <w:numPr>
          <w:ilvl w:val="0"/>
          <w:numId w:val="19"/>
        </w:numPr>
        <w:tabs>
          <w:tab w:val="clear" w:pos="720"/>
        </w:tabs>
        <w:spacing w:line="240" w:lineRule="auto"/>
        <w:ind w:left="567" w:hanging="567"/>
        <w:rPr>
          <w:del w:id="12820" w:author="AbbVie_HU_03" w:date="2025-05-14T16:41:00Z"/>
          <w:szCs w:val="22"/>
        </w:rPr>
      </w:pPr>
      <w:del w:id="12821" w:author="AbbVie_HU_03" w:date="2025-05-14T16:41:00Z">
        <w:r w:rsidRPr="00183B5F">
          <w:rPr>
            <w:szCs w:val="22"/>
          </w:rPr>
          <w:delText xml:space="preserve">Ha Ön allergiás (túlérzékeny) az adalimumabra vagy </w:delText>
        </w:r>
        <w:r w:rsidRPr="00183B5F">
          <w:rPr>
            <w:noProof/>
            <w:szCs w:val="24"/>
          </w:rPr>
          <w:delText>a gyógyszer (6.</w:delText>
        </w:r>
        <w:r w:rsidR="004E5FCB" w:rsidRPr="00183B5F">
          <w:rPr>
            <w:noProof/>
            <w:szCs w:val="24"/>
          </w:rPr>
          <w:delText> </w:delText>
        </w:r>
        <w:r w:rsidRPr="00183B5F">
          <w:rPr>
            <w:noProof/>
            <w:szCs w:val="24"/>
          </w:rPr>
          <w:delText xml:space="preserve">pontban felsorolt) </w:delText>
        </w:r>
        <w:r w:rsidRPr="00183B5F">
          <w:rPr>
            <w:szCs w:val="24"/>
          </w:rPr>
          <w:delText>egyéb összetevőjére.</w:delText>
        </w:r>
      </w:del>
    </w:p>
    <w:p w14:paraId="01E308AB" w14:textId="56702494" w:rsidR="00080B50" w:rsidRPr="00183B5F" w:rsidRDefault="00080B50" w:rsidP="00966731">
      <w:pPr>
        <w:spacing w:line="240" w:lineRule="auto"/>
        <w:rPr>
          <w:del w:id="12822" w:author="AbbVie_HU_03" w:date="2025-05-14T16:41:00Z"/>
          <w:szCs w:val="22"/>
        </w:rPr>
      </w:pPr>
    </w:p>
    <w:p w14:paraId="7DD0458F" w14:textId="1391A82F" w:rsidR="00080B50" w:rsidRPr="00183B5F" w:rsidRDefault="00943743" w:rsidP="00966731">
      <w:pPr>
        <w:numPr>
          <w:ilvl w:val="0"/>
          <w:numId w:val="19"/>
        </w:numPr>
        <w:tabs>
          <w:tab w:val="clear" w:pos="720"/>
        </w:tabs>
        <w:spacing w:line="240" w:lineRule="auto"/>
        <w:ind w:left="567" w:hanging="567"/>
        <w:rPr>
          <w:del w:id="12823" w:author="AbbVie_HU_03" w:date="2025-05-14T16:41:00Z"/>
          <w:szCs w:val="22"/>
        </w:rPr>
      </w:pPr>
      <w:del w:id="12824" w:author="AbbVie_HU_03" w:date="2025-05-14T16:41:00Z">
        <w:r w:rsidRPr="00183B5F">
          <w:rPr>
            <w:szCs w:val="22"/>
          </w:rPr>
          <w:delText xml:space="preserve">Ha Ön súlyos fertőzésben szenved, beleértve az aktív </w:delText>
        </w:r>
        <w:r w:rsidRPr="00183B5F">
          <w:rPr>
            <w:bCs/>
            <w:szCs w:val="22"/>
          </w:rPr>
          <w:delText>tuberkulózist</w:delText>
        </w:r>
        <w:r w:rsidRPr="00183B5F">
          <w:rPr>
            <w:szCs w:val="22"/>
          </w:rPr>
          <w:delText xml:space="preserve"> (lásd „Figyelmeztetések és óvintézkedések”). Kezelőorvosával feltétlenül közölje, ha bármilyen fertőzésre utaló tünete van, mint </w:delText>
        </w:r>
        <w:r w:rsidR="00F15477" w:rsidRPr="00183B5F">
          <w:rPr>
            <w:bCs/>
            <w:szCs w:val="22"/>
          </w:rPr>
          <w:delText>például</w:delText>
        </w:r>
        <w:r w:rsidRPr="00183B5F">
          <w:rPr>
            <w:szCs w:val="22"/>
          </w:rPr>
          <w:delText xml:space="preserve"> láz, sebek, fáradtságérzés, fogászati problémák. </w:delText>
        </w:r>
      </w:del>
    </w:p>
    <w:p w14:paraId="3A097D0E" w14:textId="55EDD77C" w:rsidR="00080B50" w:rsidRPr="00183B5F" w:rsidRDefault="00080B50" w:rsidP="00966731">
      <w:pPr>
        <w:spacing w:line="240" w:lineRule="auto"/>
        <w:rPr>
          <w:del w:id="12825" w:author="AbbVie_HU_03" w:date="2025-05-14T16:41:00Z"/>
          <w:szCs w:val="22"/>
        </w:rPr>
      </w:pPr>
    </w:p>
    <w:p w14:paraId="190F6777" w14:textId="1C744435" w:rsidR="00080B50" w:rsidRPr="00183B5F" w:rsidRDefault="00943743" w:rsidP="00966731">
      <w:pPr>
        <w:numPr>
          <w:ilvl w:val="0"/>
          <w:numId w:val="105"/>
        </w:numPr>
        <w:suppressAutoHyphens w:val="0"/>
        <w:autoSpaceDE w:val="0"/>
        <w:autoSpaceDN w:val="0"/>
        <w:adjustRightInd w:val="0"/>
        <w:spacing w:line="240" w:lineRule="auto"/>
        <w:ind w:left="540" w:hanging="540"/>
        <w:rPr>
          <w:del w:id="12826" w:author="AbbVie_HU_03" w:date="2025-05-14T16:41:00Z"/>
          <w:szCs w:val="22"/>
        </w:rPr>
      </w:pPr>
      <w:del w:id="12827" w:author="AbbVie_HU_03" w:date="2025-05-14T16:41:00Z">
        <w:r w:rsidRPr="00183B5F">
          <w:rPr>
            <w:szCs w:val="22"/>
          </w:rPr>
          <w:delText xml:space="preserve">Ha Ön </w:delText>
        </w:r>
        <w:r w:rsidR="006E6466" w:rsidRPr="00183B5F">
          <w:rPr>
            <w:szCs w:val="22"/>
          </w:rPr>
          <w:delText xml:space="preserve">közepesen súlyos </w:delText>
        </w:r>
        <w:r w:rsidRPr="00183B5F">
          <w:rPr>
            <w:szCs w:val="22"/>
          </w:rPr>
          <w:delText>vagy súlyos szívelégtelenségben szenved. Kezelőorvosával feltétlenül közölje, ha Önnek volt, vagy van súlyos szívproblémája (lásd „Figyelmeztetések és óvintézkedések”).</w:delText>
        </w:r>
      </w:del>
    </w:p>
    <w:p w14:paraId="7F0110DA" w14:textId="33696279" w:rsidR="00080B50" w:rsidRPr="00183B5F" w:rsidRDefault="00080B50" w:rsidP="00966731">
      <w:pPr>
        <w:spacing w:line="240" w:lineRule="auto"/>
        <w:rPr>
          <w:del w:id="12828" w:author="AbbVie_HU_03" w:date="2025-05-14T16:41:00Z"/>
          <w:szCs w:val="22"/>
        </w:rPr>
      </w:pPr>
    </w:p>
    <w:p w14:paraId="66F0661E" w14:textId="54540C7C" w:rsidR="00080B50" w:rsidRPr="00183B5F" w:rsidRDefault="00943743" w:rsidP="00966731">
      <w:pPr>
        <w:spacing w:line="240" w:lineRule="auto"/>
        <w:ind w:right="-2"/>
        <w:rPr>
          <w:del w:id="12829" w:author="AbbVie_HU_03" w:date="2025-05-14T16:41:00Z"/>
          <w:b/>
          <w:szCs w:val="22"/>
        </w:rPr>
      </w:pPr>
      <w:del w:id="12830" w:author="AbbVie_HU_03" w:date="2025-05-14T16:41:00Z">
        <w:r w:rsidRPr="00183B5F">
          <w:rPr>
            <w:b/>
          </w:rPr>
          <w:delText>Figyelmeztetések és óvintézkedések</w:delText>
        </w:r>
      </w:del>
    </w:p>
    <w:p w14:paraId="2F8A6E88" w14:textId="376FC9B0" w:rsidR="00080B50" w:rsidRPr="00183B5F" w:rsidRDefault="00080B50" w:rsidP="00966731">
      <w:pPr>
        <w:spacing w:line="240" w:lineRule="auto"/>
        <w:ind w:right="-2"/>
        <w:rPr>
          <w:del w:id="12831" w:author="AbbVie_HU_03" w:date="2025-05-14T16:41:00Z"/>
          <w:szCs w:val="22"/>
        </w:rPr>
      </w:pPr>
    </w:p>
    <w:p w14:paraId="6CBF24E1" w14:textId="4F5AD1DA" w:rsidR="00080B50" w:rsidRPr="00183B5F" w:rsidRDefault="00943743" w:rsidP="00966731">
      <w:pPr>
        <w:numPr>
          <w:ilvl w:val="0"/>
          <w:numId w:val="44"/>
        </w:numPr>
        <w:spacing w:line="240" w:lineRule="auto"/>
        <w:ind w:right="-2"/>
        <w:rPr>
          <w:del w:id="12832" w:author="AbbVie_HU_03" w:date="2025-05-14T16:41:00Z"/>
          <w:noProof/>
          <w:szCs w:val="24"/>
        </w:rPr>
      </w:pPr>
      <w:del w:id="12833" w:author="AbbVie_HU_03" w:date="2025-05-14T16:41:00Z">
        <w:r w:rsidRPr="00183B5F">
          <w:rPr>
            <w:noProof/>
            <w:szCs w:val="24"/>
          </w:rPr>
          <w:delText>A Humira alkalmazása előtt beszéljen kezelőorvosával vagy gyógyszerészével.</w:delText>
        </w:r>
      </w:del>
    </w:p>
    <w:p w14:paraId="7BF6C4E5" w14:textId="6A3186CA" w:rsidR="00080B50" w:rsidRPr="00183B5F" w:rsidRDefault="00080B50" w:rsidP="00966731">
      <w:pPr>
        <w:spacing w:line="240" w:lineRule="auto"/>
        <w:ind w:right="-2"/>
        <w:rPr>
          <w:del w:id="12834" w:author="AbbVie_HU_03" w:date="2025-05-14T16:41:00Z"/>
          <w:b/>
          <w:szCs w:val="22"/>
        </w:rPr>
      </w:pPr>
    </w:p>
    <w:p w14:paraId="44EC7A74" w14:textId="4F6F65E9" w:rsidR="00FB6710" w:rsidRPr="00183B5F" w:rsidRDefault="00943743" w:rsidP="00966731">
      <w:pPr>
        <w:numPr>
          <w:ilvl w:val="0"/>
          <w:numId w:val="105"/>
        </w:numPr>
        <w:spacing w:line="240" w:lineRule="auto"/>
        <w:ind w:left="540" w:right="-2" w:hanging="540"/>
        <w:rPr>
          <w:del w:id="12835" w:author="AbbVie_HU_03" w:date="2025-05-14T16:41:00Z"/>
          <w:szCs w:val="22"/>
        </w:rPr>
      </w:pPr>
      <w:del w:id="12836" w:author="AbbVie_HU_03" w:date="2025-05-14T16:41:00Z">
        <w:r w:rsidRPr="00183B5F">
          <w:rPr>
            <w:szCs w:val="22"/>
          </w:rPr>
          <w:delText>A Humira alkalmazása előtt, ha fertőzésben szenved, mint hosszantartó vagy helyi fertőzés (</w:delText>
        </w:r>
        <w:r w:rsidR="00F15477" w:rsidRPr="00183B5F">
          <w:rPr>
            <w:bCs/>
            <w:szCs w:val="22"/>
          </w:rPr>
          <w:delText>például</w:delText>
        </w:r>
        <w:r w:rsidRPr="00183B5F">
          <w:rPr>
            <w:szCs w:val="22"/>
          </w:rPr>
          <w:delText xml:space="preserve"> lábszárfekély) beszéljen orvosával. Ha kétségei vannak, forduljon orvosához</w:delText>
        </w:r>
        <w:r w:rsidR="00C1197A" w:rsidRPr="00183B5F">
          <w:rPr>
            <w:szCs w:val="22"/>
          </w:rPr>
          <w:delText>, mivel ritka esetekben ezek a reakciók életveszélyesek lehetnek</w:delText>
        </w:r>
        <w:r w:rsidRPr="00183B5F">
          <w:rPr>
            <w:szCs w:val="22"/>
          </w:rPr>
          <w:delText>.</w:delText>
        </w:r>
      </w:del>
    </w:p>
    <w:p w14:paraId="3F229852" w14:textId="7FA57657" w:rsidR="00FB6710" w:rsidRPr="00183B5F" w:rsidRDefault="00FB6710" w:rsidP="00966731">
      <w:pPr>
        <w:spacing w:line="240" w:lineRule="auto"/>
        <w:ind w:left="567" w:hanging="567"/>
        <w:rPr>
          <w:del w:id="12837" w:author="AbbVie_HU_03" w:date="2025-05-14T16:41:00Z"/>
          <w:szCs w:val="22"/>
        </w:rPr>
      </w:pPr>
    </w:p>
    <w:p w14:paraId="2D3A5603" w14:textId="5882B945" w:rsidR="00FB6710" w:rsidRPr="00183B5F" w:rsidRDefault="00943743" w:rsidP="00966731">
      <w:pPr>
        <w:pStyle w:val="EMEABullet2"/>
        <w:numPr>
          <w:ilvl w:val="0"/>
          <w:numId w:val="27"/>
        </w:numPr>
        <w:tabs>
          <w:tab w:val="clear" w:pos="720"/>
          <w:tab w:val="num" w:pos="567"/>
        </w:tabs>
        <w:ind w:left="567" w:hanging="567"/>
        <w:rPr>
          <w:del w:id="12838" w:author="AbbVie_HU_03" w:date="2025-05-14T16:41:00Z"/>
          <w:lang w:val="hu-HU"/>
        </w:rPr>
      </w:pPr>
      <w:del w:id="12839" w:author="AbbVie_HU_03" w:date="2025-05-14T16:41:00Z">
        <w:r w:rsidRPr="00183B5F">
          <w:rPr>
            <w:szCs w:val="22"/>
            <w:lang w:val="hu-HU"/>
          </w:rPr>
          <w:delText>Humira</w:delText>
        </w:r>
        <w:r w:rsidR="009E26F9" w:rsidRPr="00183B5F">
          <w:rPr>
            <w:szCs w:val="22"/>
            <w:lang w:val="hu-HU"/>
          </w:rPr>
          <w:noBreakHyphen/>
        </w:r>
        <w:r w:rsidRPr="00183B5F">
          <w:rPr>
            <w:szCs w:val="22"/>
            <w:lang w:val="hu-HU"/>
          </w:rPr>
          <w:delText xml:space="preserve">kezelés során könnyebben kaphat fertőzéseket. Ennek veszélye nagyobb lehet, ha a légzésfunkciója károsodott. Ezek a fertőzések súlyosak lehetnek és közéjük tartozik a tuberkulózis, a vírusok, gombák, élősködők vagy baktériumok okozta fertőzések vagy az egyéb opportunista fertőzések és a szepszis, melyek ritkán életveszélyesek lehetnek. Kezelőorvosával feltétlenül közölje, ha bármilyen fertőzésre utaló tünete van, mint láz, sebek, fáradtságérzés, fogászati problémák. </w:delText>
        </w:r>
        <w:r w:rsidRPr="00183B5F">
          <w:rPr>
            <w:lang w:val="hu-HU"/>
          </w:rPr>
          <w:delText>Orvosa a Humira</w:delText>
        </w:r>
        <w:r w:rsidR="009E26F9" w:rsidRPr="00183B5F">
          <w:rPr>
            <w:lang w:val="hu-HU"/>
          </w:rPr>
          <w:noBreakHyphen/>
        </w:r>
        <w:r w:rsidRPr="00183B5F">
          <w:rPr>
            <w:lang w:val="hu-HU"/>
          </w:rPr>
          <w:delText>kezelés átmeneti felfügge</w:delText>
        </w:r>
        <w:r w:rsidRPr="00183B5F">
          <w:rPr>
            <w:lang w:val="hu-HU"/>
          </w:rPr>
          <w:delText>sztését javasolhatja.</w:delText>
        </w:r>
      </w:del>
    </w:p>
    <w:p w14:paraId="32026ADC" w14:textId="2A0A708C" w:rsidR="00FB6710" w:rsidRPr="00183B5F" w:rsidRDefault="00FB6710" w:rsidP="00966731">
      <w:pPr>
        <w:spacing w:line="240" w:lineRule="auto"/>
        <w:rPr>
          <w:del w:id="12840" w:author="AbbVie_HU_03" w:date="2025-05-14T16:41:00Z"/>
          <w:szCs w:val="22"/>
        </w:rPr>
      </w:pPr>
    </w:p>
    <w:p w14:paraId="21CA557D" w14:textId="2D01F995" w:rsidR="00FB6710" w:rsidRPr="00183B5F" w:rsidRDefault="00943743" w:rsidP="00966731">
      <w:pPr>
        <w:numPr>
          <w:ilvl w:val="0"/>
          <w:numId w:val="27"/>
        </w:numPr>
        <w:tabs>
          <w:tab w:val="clear" w:pos="720"/>
          <w:tab w:val="num" w:pos="600"/>
        </w:tabs>
        <w:spacing w:line="240" w:lineRule="auto"/>
        <w:ind w:left="567" w:hanging="567"/>
        <w:rPr>
          <w:del w:id="12841" w:author="AbbVie_HU_03" w:date="2025-05-14T16:41:00Z"/>
          <w:szCs w:val="22"/>
        </w:rPr>
      </w:pPr>
      <w:del w:id="12842" w:author="AbbVie_HU_03" w:date="2025-05-14T16:41:00Z">
        <w:r w:rsidRPr="00183B5F">
          <w:rPr>
            <w:szCs w:val="22"/>
          </w:rPr>
          <w:delText>Humira</w:delText>
        </w:r>
        <w:r w:rsidR="009E26F9" w:rsidRPr="00183B5F">
          <w:rPr>
            <w:szCs w:val="22"/>
          </w:rPr>
          <w:noBreakHyphen/>
        </w:r>
        <w:r w:rsidRPr="00183B5F">
          <w:rPr>
            <w:szCs w:val="22"/>
          </w:rPr>
          <w:delText xml:space="preserve">val kezelt betegeken </w:delText>
        </w:r>
        <w:r w:rsidRPr="00183B5F">
          <w:rPr>
            <w:bCs/>
            <w:szCs w:val="22"/>
          </w:rPr>
          <w:delText>tuberkulózis</w:delText>
        </w:r>
        <w:r w:rsidRPr="00183B5F">
          <w:rPr>
            <w:szCs w:val="22"/>
          </w:rPr>
          <w:delText xml:space="preserve"> kialakulását észlelték, így a kezelés megkezdése előtt kezelőorvosa megvizsgálja a </w:delText>
        </w:r>
        <w:r w:rsidRPr="00183B5F">
          <w:rPr>
            <w:bCs/>
            <w:szCs w:val="22"/>
          </w:rPr>
          <w:delText>tuberkulózis</w:delText>
        </w:r>
        <w:r w:rsidRPr="00183B5F">
          <w:rPr>
            <w:szCs w:val="22"/>
          </w:rPr>
          <w:delText>ra utaló jeleket és tüneteket. Részletes orvosi kórelőzmény felvételére</w:delText>
        </w:r>
        <w:r w:rsidR="00352607" w:rsidRPr="00183B5F">
          <w:rPr>
            <w:szCs w:val="22"/>
          </w:rPr>
          <w:delText xml:space="preserve"> és megfelelő szűrővizsgálatokra (mint </w:delText>
        </w:r>
        <w:r w:rsidR="00F15477" w:rsidRPr="00183B5F">
          <w:rPr>
            <w:bCs/>
            <w:szCs w:val="22"/>
          </w:rPr>
          <w:delText>például</w:delText>
        </w:r>
        <w:r w:rsidRPr="00183B5F">
          <w:rPr>
            <w:szCs w:val="22"/>
          </w:rPr>
          <w:delText xml:space="preserve"> mellkasröntgen vizsgálatra és tuberkulin teszt végzésére</w:delText>
        </w:r>
        <w:r w:rsidR="00352607" w:rsidRPr="00183B5F">
          <w:rPr>
            <w:szCs w:val="22"/>
          </w:rPr>
          <w:delText>)</w:delText>
        </w:r>
        <w:r w:rsidRPr="00183B5F">
          <w:rPr>
            <w:szCs w:val="22"/>
          </w:rPr>
          <w:delText xml:space="preserve"> kerül sor. A </w:delText>
        </w:r>
        <w:r w:rsidR="0048779F" w:rsidRPr="00183B5F">
          <w:rPr>
            <w:b/>
            <w:bCs/>
            <w:szCs w:val="22"/>
          </w:rPr>
          <w:delText>Betegemlékeztető</w:delText>
        </w:r>
        <w:r w:rsidRPr="00183B5F">
          <w:rPr>
            <w:b/>
            <w:bCs/>
            <w:szCs w:val="22"/>
          </w:rPr>
          <w:delText xml:space="preserve"> </w:delText>
        </w:r>
        <w:r w:rsidR="002E7D6F" w:rsidRPr="00183B5F">
          <w:rPr>
            <w:b/>
            <w:bCs/>
            <w:szCs w:val="22"/>
          </w:rPr>
          <w:delText>Kártyán</w:delText>
        </w:r>
        <w:r w:rsidR="002E7D6F" w:rsidRPr="00183B5F">
          <w:rPr>
            <w:szCs w:val="22"/>
          </w:rPr>
          <w:delText xml:space="preserve"> </w:delText>
        </w:r>
        <w:r w:rsidRPr="00183B5F">
          <w:rPr>
            <w:szCs w:val="22"/>
          </w:rPr>
          <w:delText xml:space="preserve">a vizsgálatok </w:delText>
        </w:r>
        <w:r w:rsidR="00352607" w:rsidRPr="00183B5F">
          <w:rPr>
            <w:szCs w:val="22"/>
          </w:rPr>
          <w:delText xml:space="preserve">elvégzésének tényét és </w:delText>
        </w:r>
        <w:r w:rsidRPr="00183B5F">
          <w:rPr>
            <w:szCs w:val="22"/>
          </w:rPr>
          <w:delText xml:space="preserve">eredményét vezetni kell. Kezelőorvosával feltétlenül közölje, ha bármikor </w:delText>
        </w:r>
        <w:r w:rsidRPr="00183B5F">
          <w:rPr>
            <w:bCs/>
            <w:szCs w:val="22"/>
          </w:rPr>
          <w:delText>tuberkulózis</w:delText>
        </w:r>
        <w:r w:rsidRPr="00183B5F">
          <w:rPr>
            <w:szCs w:val="22"/>
          </w:rPr>
          <w:delText xml:space="preserve">ban szenvedett vagy közeli kapcsolatban volt bárkivel, akinek </w:delText>
        </w:r>
        <w:r w:rsidRPr="00183B5F">
          <w:rPr>
            <w:bCs/>
            <w:szCs w:val="22"/>
          </w:rPr>
          <w:delText>tuberkulózis</w:delText>
        </w:r>
        <w:r w:rsidRPr="00183B5F">
          <w:rPr>
            <w:szCs w:val="22"/>
          </w:rPr>
          <w:delText xml:space="preserve">a volt. </w:delText>
        </w:r>
        <w:r w:rsidR="00352607" w:rsidRPr="00183B5F">
          <w:rPr>
            <w:szCs w:val="22"/>
          </w:rPr>
          <w:delText xml:space="preserve">A tuberkulózis kialakulhat a kezelés során annak ellenére, hogy </w:delText>
        </w:r>
        <w:r w:rsidR="004E09A8" w:rsidRPr="00183B5F">
          <w:rPr>
            <w:szCs w:val="22"/>
          </w:rPr>
          <w:delText>Ön</w:delText>
        </w:r>
        <w:r w:rsidR="00352607" w:rsidRPr="00183B5F">
          <w:rPr>
            <w:szCs w:val="22"/>
          </w:rPr>
          <w:delText xml:space="preserve"> tuberkulózis elleni megelőző terápiát </w:delText>
        </w:r>
        <w:r w:rsidR="004E09A8" w:rsidRPr="00183B5F">
          <w:rPr>
            <w:szCs w:val="22"/>
          </w:rPr>
          <w:delText>kapott</w:delText>
        </w:r>
        <w:r w:rsidR="00352607" w:rsidRPr="00183B5F">
          <w:rPr>
            <w:szCs w:val="22"/>
          </w:rPr>
          <w:delText xml:space="preserve">. </w:delText>
        </w:r>
        <w:r w:rsidRPr="00183B5F">
          <w:rPr>
            <w:szCs w:val="22"/>
          </w:rPr>
          <w:delText xml:space="preserve">Ha a </w:delText>
        </w:r>
        <w:r w:rsidRPr="00183B5F">
          <w:rPr>
            <w:bCs/>
            <w:szCs w:val="22"/>
          </w:rPr>
          <w:delText>tuberkulózis</w:delText>
        </w:r>
        <w:r w:rsidRPr="00183B5F">
          <w:rPr>
            <w:szCs w:val="22"/>
          </w:rPr>
          <w:delText xml:space="preserve"> tünetei (hosszan tartó köhögés, testsúlycsökkenés, kedvetlenség, hőemelkedés), vagy más fertőzésre utaló tünetek jelentkeznek a kezelés alatt vagy a kezelést követően, azonnal közölje orvosával.</w:delText>
        </w:r>
      </w:del>
    </w:p>
    <w:p w14:paraId="6A3E4E89" w14:textId="3FD0916F" w:rsidR="00FB6710" w:rsidRPr="00183B5F" w:rsidRDefault="00FB6710" w:rsidP="00966731">
      <w:pPr>
        <w:spacing w:line="240" w:lineRule="auto"/>
        <w:rPr>
          <w:del w:id="12843" w:author="AbbVie_HU_03" w:date="2025-05-14T16:41:00Z"/>
          <w:szCs w:val="22"/>
        </w:rPr>
      </w:pPr>
    </w:p>
    <w:p w14:paraId="7357CB76" w14:textId="373646D3" w:rsidR="00FB6710" w:rsidRPr="00183B5F" w:rsidRDefault="00943743" w:rsidP="00966731">
      <w:pPr>
        <w:pStyle w:val="EMEABullet2"/>
        <w:numPr>
          <w:ilvl w:val="0"/>
          <w:numId w:val="64"/>
        </w:numPr>
        <w:rPr>
          <w:del w:id="12844" w:author="AbbVie_HU_03" w:date="2025-05-14T16:41:00Z"/>
          <w:szCs w:val="22"/>
          <w:lang w:val="hu-HU"/>
        </w:rPr>
      </w:pPr>
      <w:del w:id="12845" w:author="AbbVie_HU_03" w:date="2025-05-14T16:41:00Z">
        <w:r w:rsidRPr="00183B5F">
          <w:rPr>
            <w:szCs w:val="22"/>
            <w:lang w:val="hu-HU"/>
          </w:rPr>
          <w:delText>Tájékoztassa kezelőorvosát, ha olyan területen él vagy olyan területre utazik, ahol a gombák okozta fertőzések, mint például a hisztoplazmózis, kokcidioidomikózis vagy a blasztomikózis helyi, járványos betegségként előfordul</w:delText>
        </w:r>
        <w:r w:rsidR="0023653B" w:rsidRPr="00183B5F">
          <w:rPr>
            <w:szCs w:val="22"/>
            <w:lang w:val="hu-HU"/>
          </w:rPr>
          <w:delText>nak</w:delText>
        </w:r>
        <w:r w:rsidRPr="00183B5F">
          <w:rPr>
            <w:szCs w:val="22"/>
            <w:lang w:val="hu-HU"/>
          </w:rPr>
          <w:delText>.</w:delText>
        </w:r>
      </w:del>
    </w:p>
    <w:p w14:paraId="0A256B13" w14:textId="3847CC7F" w:rsidR="00FB6710" w:rsidRPr="00183B5F" w:rsidRDefault="00FB6710" w:rsidP="00966731">
      <w:pPr>
        <w:spacing w:line="240" w:lineRule="auto"/>
        <w:ind w:left="567" w:hanging="567"/>
        <w:rPr>
          <w:del w:id="12846" w:author="AbbVie_HU_03" w:date="2025-05-14T16:41:00Z"/>
          <w:szCs w:val="22"/>
        </w:rPr>
      </w:pPr>
    </w:p>
    <w:p w14:paraId="58897F75" w14:textId="13767C0B" w:rsidR="00FB6710" w:rsidRPr="00183B5F" w:rsidRDefault="00943743" w:rsidP="00966731">
      <w:pPr>
        <w:numPr>
          <w:ilvl w:val="0"/>
          <w:numId w:val="27"/>
        </w:numPr>
        <w:tabs>
          <w:tab w:val="clear" w:pos="720"/>
          <w:tab w:val="num" w:pos="600"/>
        </w:tabs>
        <w:spacing w:line="240" w:lineRule="auto"/>
        <w:ind w:left="567" w:hanging="567"/>
        <w:rPr>
          <w:del w:id="12847" w:author="AbbVie_HU_03" w:date="2025-05-14T16:41:00Z"/>
          <w:szCs w:val="22"/>
        </w:rPr>
      </w:pPr>
      <w:del w:id="12848" w:author="AbbVie_HU_03" w:date="2025-05-14T16:41:00Z">
        <w:r w:rsidRPr="00183B5F">
          <w:rPr>
            <w:szCs w:val="22"/>
          </w:rPr>
          <w:delText>Közölje orvosával visszatérő fertőzésre utaló kórelőzményét, vagy egyéb állapotot, ami a fertőzés lehetőségét fokozza.</w:delText>
        </w:r>
      </w:del>
    </w:p>
    <w:p w14:paraId="2DEB9741" w14:textId="43817223" w:rsidR="00FB6710" w:rsidRPr="00183B5F" w:rsidRDefault="00FB6710" w:rsidP="00966731">
      <w:pPr>
        <w:spacing w:line="240" w:lineRule="auto"/>
        <w:rPr>
          <w:del w:id="12849" w:author="AbbVie_HU_03" w:date="2025-05-14T16:41:00Z"/>
          <w:szCs w:val="22"/>
        </w:rPr>
      </w:pPr>
    </w:p>
    <w:p w14:paraId="421653BB" w14:textId="06693DC0" w:rsidR="00FB6710" w:rsidRPr="00183B5F" w:rsidRDefault="00943743" w:rsidP="00966731">
      <w:pPr>
        <w:numPr>
          <w:ilvl w:val="0"/>
          <w:numId w:val="20"/>
        </w:numPr>
        <w:tabs>
          <w:tab w:val="clear" w:pos="720"/>
        </w:tabs>
        <w:spacing w:line="240" w:lineRule="auto"/>
        <w:ind w:left="567" w:hanging="567"/>
        <w:rPr>
          <w:del w:id="12850" w:author="AbbVie_HU_03" w:date="2025-05-14T16:41:00Z"/>
          <w:szCs w:val="22"/>
        </w:rPr>
      </w:pPr>
      <w:del w:id="12851" w:author="AbbVie_HU_03" w:date="2025-05-14T16:41:00Z">
        <w:r w:rsidRPr="00183B5F">
          <w:rPr>
            <w:szCs w:val="22"/>
          </w:rPr>
          <w:delText xml:space="preserve">Figyelmeztesse orvosát arra, ha ön hepatitisz B vírus (HBV) -hordozó, netán aktív </w:delText>
        </w:r>
        <w:r w:rsidR="000A456B" w:rsidRPr="00183B5F">
          <w:rPr>
            <w:szCs w:val="22"/>
          </w:rPr>
          <w:delText>HBV</w:delText>
        </w:r>
        <w:r w:rsidR="000A456B" w:rsidRPr="00183B5F">
          <w:rPr>
            <w:szCs w:val="22"/>
          </w:rPr>
          <w:noBreakHyphen/>
          <w:delText>fertőz</w:delText>
        </w:r>
        <w:r w:rsidRPr="00183B5F">
          <w:rPr>
            <w:szCs w:val="22"/>
          </w:rPr>
          <w:delText xml:space="preserve">ésben szenved, vagy feltételezi, hogy hepatitisz B fertőzés veszélye fenyegetheti. </w:delText>
        </w:r>
        <w:r w:rsidR="00555673" w:rsidRPr="00183B5F">
          <w:rPr>
            <w:szCs w:val="22"/>
          </w:rPr>
          <w:delText>Orvosának HBV</w:delText>
        </w:r>
        <w:r w:rsidR="00ED18BA" w:rsidRPr="00183B5F">
          <w:rPr>
            <w:szCs w:val="22"/>
          </w:rPr>
          <w:delText>-</w:delText>
        </w:r>
        <w:r w:rsidR="00555673" w:rsidRPr="00183B5F">
          <w:rPr>
            <w:szCs w:val="22"/>
          </w:rPr>
          <w:delText xml:space="preserve">vizsgálatot kell végeznie Önnél. </w:delText>
        </w:r>
        <w:r w:rsidRPr="00183B5F">
          <w:rPr>
            <w:szCs w:val="22"/>
          </w:rPr>
          <w:delText>A Humira a vírushordozókban ismét aktiválhatja a HBV</w:delText>
        </w:r>
        <w:r w:rsidR="009E26F9" w:rsidRPr="00183B5F">
          <w:rPr>
            <w:szCs w:val="22"/>
          </w:rPr>
          <w:noBreakHyphen/>
        </w:r>
        <w:r w:rsidRPr="00183B5F">
          <w:rPr>
            <w:szCs w:val="22"/>
          </w:rPr>
          <w:delText>t. Egyes ritka esetekben – különösen ha más, az immunrendszer működését gátló szereket is szed – a HBV ismételt aktiválódása életveszélyes lehet.</w:delText>
        </w:r>
      </w:del>
    </w:p>
    <w:p w14:paraId="6D9712D5" w14:textId="0E729B43" w:rsidR="00FB6710" w:rsidRPr="00183B5F" w:rsidRDefault="00FB6710" w:rsidP="00966731">
      <w:pPr>
        <w:spacing w:line="240" w:lineRule="auto"/>
        <w:rPr>
          <w:del w:id="12852" w:author="AbbVie_HU_03" w:date="2025-05-14T16:41:00Z"/>
          <w:szCs w:val="22"/>
        </w:rPr>
      </w:pPr>
    </w:p>
    <w:p w14:paraId="57BA76C7" w14:textId="7701D8CE" w:rsidR="00FB6710" w:rsidRPr="00183B5F" w:rsidRDefault="00943743" w:rsidP="00966731">
      <w:pPr>
        <w:numPr>
          <w:ilvl w:val="0"/>
          <w:numId w:val="80"/>
        </w:numPr>
        <w:tabs>
          <w:tab w:val="clear" w:pos="720"/>
        </w:tabs>
        <w:spacing w:line="240" w:lineRule="auto"/>
        <w:ind w:left="567" w:hanging="567"/>
        <w:rPr>
          <w:del w:id="12853" w:author="AbbVie_HU_03" w:date="2025-05-14T16:41:00Z"/>
          <w:szCs w:val="22"/>
        </w:rPr>
      </w:pPr>
      <w:del w:id="12854" w:author="AbbVie_HU_03" w:date="2025-05-14T16:41:00Z">
        <w:r w:rsidRPr="00183B5F">
          <w:rPr>
            <w:szCs w:val="22"/>
          </w:rPr>
          <w:delText>Ha Ön 65</w:delText>
        </w:r>
        <w:r w:rsidR="009E26F9" w:rsidRPr="00183B5F">
          <w:rPr>
            <w:szCs w:val="22"/>
          </w:rPr>
          <w:delText> </w:delText>
        </w:r>
        <w:r w:rsidRPr="00183B5F">
          <w:rPr>
            <w:szCs w:val="22"/>
          </w:rPr>
          <w:delText>évnél idősebb, a Humira</w:delText>
        </w:r>
        <w:r w:rsidRPr="00183B5F">
          <w:rPr>
            <w:szCs w:val="22"/>
          </w:rPr>
          <w:noBreakHyphen/>
          <w:delText>kezelés ideje alatt fogékonyabb lehet a fertőzésekre. A Humira-kezelés ideje alatt Önnek és kezelőorvosának különös figyelmet kell fordítania a fertőzések tüneteire. Fontos, hogy mondja el kezelőorvosának, ha fertőzésre utaló tünetei vannak, mint például láz, sebek, fáradtságérzés vagy fogászati problémák.</w:delText>
        </w:r>
      </w:del>
    </w:p>
    <w:p w14:paraId="276BA4CF" w14:textId="1CE74E46" w:rsidR="00FB6710" w:rsidRPr="00183B5F" w:rsidRDefault="00FB6710" w:rsidP="00966731">
      <w:pPr>
        <w:spacing w:line="240" w:lineRule="auto"/>
        <w:rPr>
          <w:del w:id="12855" w:author="AbbVie_HU_03" w:date="2025-05-14T16:41:00Z"/>
          <w:szCs w:val="22"/>
        </w:rPr>
      </w:pPr>
    </w:p>
    <w:p w14:paraId="679E5DFB" w14:textId="71078E44" w:rsidR="00FB6710" w:rsidRPr="00183B5F" w:rsidRDefault="00943743" w:rsidP="00966731">
      <w:pPr>
        <w:numPr>
          <w:ilvl w:val="0"/>
          <w:numId w:val="27"/>
        </w:numPr>
        <w:tabs>
          <w:tab w:val="clear" w:pos="720"/>
          <w:tab w:val="num" w:pos="600"/>
        </w:tabs>
        <w:spacing w:line="240" w:lineRule="auto"/>
        <w:ind w:left="567" w:hanging="567"/>
        <w:rPr>
          <w:del w:id="12856" w:author="AbbVie_HU_03" w:date="2025-05-14T16:41:00Z"/>
          <w:szCs w:val="22"/>
        </w:rPr>
      </w:pPr>
      <w:del w:id="12857" w:author="AbbVie_HU_03" w:date="2025-05-14T16:41:00Z">
        <w:r w:rsidRPr="00183B5F">
          <w:rPr>
            <w:szCs w:val="22"/>
            <w:lang w:eastAsia="en-US"/>
          </w:rPr>
          <w:delText>Ha sebészeti vagy fogászati beavatkozás előtt áll</w:delText>
        </w:r>
        <w:r w:rsidR="00F14C68" w:rsidRPr="00183B5F">
          <w:rPr>
            <w:szCs w:val="22"/>
            <w:lang w:eastAsia="en-US"/>
          </w:rPr>
          <w:delText>,</w:delText>
        </w:r>
        <w:r w:rsidRPr="00183B5F">
          <w:rPr>
            <w:szCs w:val="22"/>
            <w:lang w:eastAsia="en-US"/>
          </w:rPr>
          <w:delText xml:space="preserve"> tájékoztassa orvosát, hogy Humira</w:delText>
        </w:r>
        <w:r w:rsidR="009E26F9" w:rsidRPr="00183B5F">
          <w:rPr>
            <w:szCs w:val="22"/>
            <w:lang w:eastAsia="en-US"/>
          </w:rPr>
          <w:noBreakHyphen/>
        </w:r>
        <w:r w:rsidRPr="00183B5F">
          <w:rPr>
            <w:szCs w:val="22"/>
            <w:lang w:eastAsia="en-US"/>
          </w:rPr>
          <w:delText xml:space="preserve">kezelésben részesül. </w:delText>
        </w:r>
        <w:r w:rsidRPr="00183B5F">
          <w:rPr>
            <w:szCs w:val="22"/>
          </w:rPr>
          <w:delText>Orvosa a kezelés átmeneti felfüggesztését javasolhatja.</w:delText>
        </w:r>
      </w:del>
    </w:p>
    <w:p w14:paraId="41885CA5" w14:textId="49E9CB1A" w:rsidR="00FB6710" w:rsidRPr="00183B5F" w:rsidRDefault="00FB6710" w:rsidP="00966731">
      <w:pPr>
        <w:pStyle w:val="EndnoteText"/>
        <w:tabs>
          <w:tab w:val="clear" w:pos="567"/>
          <w:tab w:val="left" w:pos="708"/>
        </w:tabs>
        <w:suppressAutoHyphens/>
        <w:rPr>
          <w:del w:id="12858" w:author="AbbVie_HU_03" w:date="2025-05-14T16:41:00Z"/>
          <w:sz w:val="22"/>
          <w:szCs w:val="22"/>
          <w:lang w:val="hu-HU" w:eastAsia="hu-HU"/>
        </w:rPr>
      </w:pPr>
    </w:p>
    <w:p w14:paraId="27570673" w14:textId="04BD0AC8" w:rsidR="00A449FD" w:rsidRPr="00183B5F" w:rsidRDefault="00943743" w:rsidP="00966731">
      <w:pPr>
        <w:numPr>
          <w:ilvl w:val="0"/>
          <w:numId w:val="101"/>
        </w:numPr>
        <w:spacing w:line="240" w:lineRule="auto"/>
        <w:ind w:left="567" w:hanging="567"/>
        <w:rPr>
          <w:del w:id="12859" w:author="AbbVie_HU_03" w:date="2025-05-14T16:41:00Z"/>
          <w:szCs w:val="22"/>
        </w:rPr>
      </w:pPr>
      <w:del w:id="12860" w:author="AbbVie_HU_03" w:date="2025-05-14T16:41:00Z">
        <w:r w:rsidRPr="00183B5F">
          <w:rPr>
            <w:szCs w:val="22"/>
          </w:rPr>
          <w:delText>Ha az idegrostok velőshüvelyének lebomlásával (demielinizációval) járó betegségben szenved, vagy ilyen típusú betegség alakul ki Önnél (mint amilyen a szklerózis multiplex), kezelőorvosa dönti el, hogy a Humira</w:delText>
        </w:r>
        <w:r w:rsidRPr="00183B5F">
          <w:rPr>
            <w:szCs w:val="22"/>
          </w:rPr>
          <w:noBreakHyphen/>
          <w:delText>kezelés alkalmazható</w:delText>
        </w:r>
        <w:r w:rsidRPr="00183B5F">
          <w:rPr>
            <w:szCs w:val="22"/>
          </w:rPr>
          <w:noBreakHyphen/>
          <w:delText>e, vagy folytatható</w:delText>
        </w:r>
        <w:r w:rsidRPr="00183B5F">
          <w:rPr>
            <w:szCs w:val="22"/>
          </w:rPr>
          <w:noBreakHyphen/>
          <w:delText>e az Ön esetében. Azonnal tájékoztassa kezelőorvosát, ha olyan tüneteket tapasztal, mint a megváltozott látás, kar</w:delText>
        </w:r>
        <w:r w:rsidRPr="00183B5F">
          <w:rPr>
            <w:szCs w:val="22"/>
          </w:rPr>
          <w:noBreakHyphen/>
          <w:delText xml:space="preserve"> vagy lábgyengeség, illetve zsibbadás vagy bizsergés a test bármelyik részén.</w:delText>
        </w:r>
      </w:del>
    </w:p>
    <w:p w14:paraId="509F41D1" w14:textId="63535360" w:rsidR="00FB6710" w:rsidRPr="00183B5F" w:rsidRDefault="00FB6710" w:rsidP="00966731">
      <w:pPr>
        <w:spacing w:line="240" w:lineRule="auto"/>
        <w:rPr>
          <w:del w:id="12861" w:author="AbbVie_HU_03" w:date="2025-05-14T16:41:00Z"/>
          <w:szCs w:val="22"/>
        </w:rPr>
      </w:pPr>
    </w:p>
    <w:p w14:paraId="08ACD92E" w14:textId="30478169" w:rsidR="00FB6710" w:rsidRPr="00183B5F" w:rsidRDefault="00943743" w:rsidP="00966731">
      <w:pPr>
        <w:numPr>
          <w:ilvl w:val="0"/>
          <w:numId w:val="27"/>
        </w:numPr>
        <w:tabs>
          <w:tab w:val="clear" w:pos="720"/>
          <w:tab w:val="num" w:pos="600"/>
        </w:tabs>
        <w:spacing w:line="240" w:lineRule="auto"/>
        <w:ind w:left="567" w:hanging="567"/>
        <w:rPr>
          <w:del w:id="12862" w:author="AbbVie_HU_03" w:date="2025-05-14T16:41:00Z"/>
          <w:szCs w:val="22"/>
        </w:rPr>
      </w:pPr>
      <w:del w:id="12863" w:author="AbbVie_HU_03" w:date="2025-05-14T16:41:00Z">
        <w:r w:rsidRPr="00183B5F">
          <w:rPr>
            <w:szCs w:val="22"/>
          </w:rPr>
          <w:delText xml:space="preserve">Humira alkalmazása során </w:delText>
        </w:r>
        <w:r w:rsidR="00555673" w:rsidRPr="00183B5F">
          <w:rPr>
            <w:szCs w:val="22"/>
          </w:rPr>
          <w:delText xml:space="preserve">bizonyos </w:delText>
        </w:r>
        <w:r w:rsidRPr="00183B5F">
          <w:rPr>
            <w:szCs w:val="22"/>
          </w:rPr>
          <w:delText>védőoltás</w:delText>
        </w:r>
        <w:r w:rsidR="00555673" w:rsidRPr="00183B5F">
          <w:rPr>
            <w:szCs w:val="22"/>
          </w:rPr>
          <w:delText>ok fertőzést okozhatnak, és ezért</w:delText>
        </w:r>
        <w:r w:rsidRPr="00183B5F">
          <w:rPr>
            <w:szCs w:val="22"/>
          </w:rPr>
          <w:delText xml:space="preserve"> nem adható</w:delText>
        </w:r>
        <w:r w:rsidR="00555673" w:rsidRPr="00183B5F">
          <w:rPr>
            <w:szCs w:val="22"/>
          </w:rPr>
          <w:delText>ak</w:delText>
        </w:r>
        <w:r w:rsidRPr="00183B5F">
          <w:rPr>
            <w:szCs w:val="22"/>
          </w:rPr>
          <w:delText xml:space="preserve">. Védőoltás adását megelőzően beszéljen orvosával. Ajánlott, hogy – ha lehetséges -, a </w:delText>
        </w:r>
        <w:r w:rsidR="0068490A" w:rsidRPr="00183B5F">
          <w:rPr>
            <w:szCs w:val="22"/>
          </w:rPr>
          <w:delText>gyermekeknek</w:delText>
        </w:r>
        <w:r w:rsidRPr="00183B5F">
          <w:rPr>
            <w:szCs w:val="22"/>
          </w:rPr>
          <w:delText xml:space="preserve"> a Humira</w:delText>
        </w:r>
        <w:r w:rsidR="009E26F9" w:rsidRPr="00183B5F">
          <w:rPr>
            <w:szCs w:val="22"/>
          </w:rPr>
          <w:noBreakHyphen/>
        </w:r>
        <w:r w:rsidRPr="00183B5F">
          <w:rPr>
            <w:szCs w:val="22"/>
          </w:rPr>
          <w:delText>kezelés megkezdése előtt adjanak be minden védőoltást a hatályos védőoltási irányelvek alapján.</w:delText>
        </w:r>
        <w:r w:rsidR="00555673" w:rsidRPr="00183B5F">
          <w:rPr>
            <w:szCs w:val="22"/>
          </w:rPr>
          <w:delText xml:space="preserve"> Ha a terhessége </w:delText>
        </w:r>
        <w:r w:rsidR="00ED18BA" w:rsidRPr="00183B5F">
          <w:rPr>
            <w:szCs w:val="22"/>
          </w:rPr>
          <w:delText>alatt</w:delText>
        </w:r>
        <w:r w:rsidR="00555673" w:rsidRPr="00183B5F">
          <w:rPr>
            <w:szCs w:val="22"/>
          </w:rPr>
          <w:delText xml:space="preserve"> </w:delText>
        </w:r>
        <w:r w:rsidR="00D31746" w:rsidRPr="00183B5F">
          <w:rPr>
            <w:szCs w:val="22"/>
          </w:rPr>
          <w:delText>Humir</w:delText>
        </w:r>
        <w:r w:rsidR="00537F1E" w:rsidRPr="00183B5F">
          <w:rPr>
            <w:szCs w:val="22"/>
          </w:rPr>
          <w:delText>a</w:delText>
        </w:r>
        <w:r w:rsidR="00D31746" w:rsidRPr="00183B5F">
          <w:rPr>
            <w:szCs w:val="22"/>
          </w:rPr>
          <w:delText>-t</w:delText>
        </w:r>
        <w:r w:rsidR="00555673" w:rsidRPr="00183B5F">
          <w:rPr>
            <w:szCs w:val="22"/>
          </w:rPr>
          <w:delText xml:space="preserve"> kapott, a kisbabája</w:delText>
        </w:r>
        <w:r w:rsidR="00ED18BA" w:rsidRPr="00183B5F">
          <w:rPr>
            <w:szCs w:val="22"/>
          </w:rPr>
          <w:delText xml:space="preserve"> a terhesség alatt kapott utolsó adago</w:delText>
        </w:r>
        <w:r w:rsidR="00C468E7" w:rsidRPr="00183B5F">
          <w:rPr>
            <w:szCs w:val="22"/>
          </w:rPr>
          <w:delText>t követően legfeljebb 5</w:delText>
        </w:r>
        <w:r w:rsidR="009E26F9" w:rsidRPr="00183B5F">
          <w:rPr>
            <w:szCs w:val="22"/>
          </w:rPr>
          <w:delText> </w:delText>
        </w:r>
        <w:r w:rsidR="00C468E7" w:rsidRPr="00183B5F">
          <w:rPr>
            <w:szCs w:val="22"/>
          </w:rPr>
          <w:delText xml:space="preserve">hónapig nagyobb eséllyel kaphat el valamilyen fertőzést. </w:delText>
        </w:r>
        <w:r w:rsidR="00555673" w:rsidRPr="00183B5F">
          <w:rPr>
            <w:szCs w:val="22"/>
          </w:rPr>
          <w:delText xml:space="preserve">Fontos, hogy elmondja kisbabája orvosának vagy az őt kezelő egészségügyi személyzetnek, hogy a terhessége </w:delText>
        </w:r>
        <w:r w:rsidR="00ED18BA" w:rsidRPr="00183B5F">
          <w:rPr>
            <w:szCs w:val="22"/>
          </w:rPr>
          <w:delText>alatt</w:delText>
        </w:r>
        <w:r w:rsidR="00555673" w:rsidRPr="00183B5F">
          <w:rPr>
            <w:szCs w:val="22"/>
          </w:rPr>
          <w:delText xml:space="preserve"> </w:delText>
        </w:r>
        <w:r w:rsidR="00D31746" w:rsidRPr="00183B5F">
          <w:rPr>
            <w:szCs w:val="22"/>
          </w:rPr>
          <w:delText>Humira</w:delText>
        </w:r>
        <w:r w:rsidR="009E26F9" w:rsidRPr="00183B5F">
          <w:rPr>
            <w:szCs w:val="22"/>
          </w:rPr>
          <w:noBreakHyphen/>
        </w:r>
        <w:r w:rsidR="00D31746" w:rsidRPr="00183B5F">
          <w:rPr>
            <w:szCs w:val="22"/>
          </w:rPr>
          <w:delText>t</w:delText>
        </w:r>
        <w:r w:rsidR="00555673" w:rsidRPr="00183B5F">
          <w:rPr>
            <w:szCs w:val="22"/>
          </w:rPr>
          <w:delText xml:space="preserve"> </w:delText>
        </w:r>
        <w:r w:rsidR="00ED18BA" w:rsidRPr="00183B5F">
          <w:rPr>
            <w:szCs w:val="22"/>
          </w:rPr>
          <w:delText>kapot</w:delText>
        </w:r>
        <w:r w:rsidR="00555673" w:rsidRPr="00183B5F">
          <w:rPr>
            <w:szCs w:val="22"/>
          </w:rPr>
          <w:delText>t, így ők el tudják dönteni, hogy kisbabáj</w:delText>
        </w:r>
        <w:r w:rsidR="00ED18BA" w:rsidRPr="00183B5F">
          <w:rPr>
            <w:szCs w:val="22"/>
          </w:rPr>
          <w:delText>ának</w:delText>
        </w:r>
        <w:r w:rsidR="00555673" w:rsidRPr="00183B5F">
          <w:rPr>
            <w:szCs w:val="22"/>
          </w:rPr>
          <w:delText xml:space="preserve"> mikor </w:delText>
        </w:r>
        <w:r w:rsidR="00ED18BA" w:rsidRPr="00183B5F">
          <w:rPr>
            <w:szCs w:val="22"/>
          </w:rPr>
          <w:delText xml:space="preserve">kell valamilyen </w:delText>
        </w:r>
        <w:r w:rsidR="00555673" w:rsidRPr="00183B5F">
          <w:rPr>
            <w:szCs w:val="22"/>
          </w:rPr>
          <w:delText>védőoltást kap</w:delText>
        </w:r>
        <w:r w:rsidR="00ED18BA" w:rsidRPr="00183B5F">
          <w:rPr>
            <w:szCs w:val="22"/>
          </w:rPr>
          <w:delText>nia</w:delText>
        </w:r>
        <w:r w:rsidR="00555673" w:rsidRPr="00183B5F">
          <w:rPr>
            <w:szCs w:val="22"/>
          </w:rPr>
          <w:delText>.</w:delText>
        </w:r>
      </w:del>
    </w:p>
    <w:p w14:paraId="6A145C8D" w14:textId="423C6246" w:rsidR="008233D0" w:rsidRPr="00183B5F" w:rsidRDefault="008233D0" w:rsidP="00966731">
      <w:pPr>
        <w:spacing w:line="240" w:lineRule="auto"/>
        <w:rPr>
          <w:del w:id="12864" w:author="AbbVie_HU_03" w:date="2025-05-14T16:41:00Z"/>
          <w:szCs w:val="22"/>
        </w:rPr>
      </w:pPr>
    </w:p>
    <w:p w14:paraId="2A2F78D2" w14:textId="4CA9CD06" w:rsidR="00FB6710" w:rsidRPr="00183B5F" w:rsidRDefault="00943743" w:rsidP="00966731">
      <w:pPr>
        <w:numPr>
          <w:ilvl w:val="0"/>
          <w:numId w:val="27"/>
        </w:numPr>
        <w:tabs>
          <w:tab w:val="clear" w:pos="720"/>
        </w:tabs>
        <w:spacing w:line="240" w:lineRule="auto"/>
        <w:ind w:left="567" w:hanging="567"/>
        <w:rPr>
          <w:del w:id="12865" w:author="AbbVie_HU_03" w:date="2025-05-14T16:41:00Z"/>
          <w:szCs w:val="22"/>
        </w:rPr>
      </w:pPr>
      <w:del w:id="12866" w:author="AbbVie_HU_03" w:date="2025-05-14T16:41:00Z">
        <w:r w:rsidRPr="00183B5F">
          <w:rPr>
            <w:szCs w:val="22"/>
          </w:rPr>
          <w:delText xml:space="preserve">Enyhe szívelégtelenség </w:delText>
        </w:r>
        <w:r w:rsidR="008233D0" w:rsidRPr="00183B5F">
          <w:rPr>
            <w:szCs w:val="22"/>
          </w:rPr>
          <w:delText>esetén, a</w:delText>
        </w:r>
        <w:r w:rsidRPr="00183B5F">
          <w:rPr>
            <w:szCs w:val="22"/>
          </w:rPr>
          <w:delText xml:space="preserve"> Humira</w:delText>
        </w:r>
        <w:r w:rsidR="009E26F9" w:rsidRPr="00183B5F">
          <w:rPr>
            <w:szCs w:val="22"/>
          </w:rPr>
          <w:noBreakHyphen/>
        </w:r>
        <w:r w:rsidRPr="00183B5F">
          <w:rPr>
            <w:szCs w:val="22"/>
          </w:rPr>
          <w:delText xml:space="preserve">kezelés </w:delText>
        </w:r>
        <w:r w:rsidR="008233D0" w:rsidRPr="00183B5F">
          <w:rPr>
            <w:szCs w:val="22"/>
          </w:rPr>
          <w:delText xml:space="preserve">során </w:delText>
        </w:r>
        <w:r w:rsidRPr="00183B5F">
          <w:rPr>
            <w:szCs w:val="22"/>
          </w:rPr>
          <w:delText>a szívelégtelenség állapotát orvosának szorosan követnie kell. Kezelőorvosával feltétlenül közölje, ha Önnek volt</w:delText>
        </w:r>
        <w:r w:rsidR="008233D0" w:rsidRPr="00183B5F">
          <w:rPr>
            <w:szCs w:val="22"/>
          </w:rPr>
          <w:delText xml:space="preserve">, </w:delText>
        </w:r>
        <w:r w:rsidRPr="00183B5F">
          <w:rPr>
            <w:szCs w:val="22"/>
          </w:rPr>
          <w:delText>vagy van súlyos szívproblémája. Ha új tünetek kialakulását vagy a szívelégtelenség tüneteinek rosszabbodását észleli (</w:delText>
        </w:r>
        <w:r w:rsidR="00F15477" w:rsidRPr="00183B5F">
          <w:rPr>
            <w:bCs/>
            <w:szCs w:val="22"/>
          </w:rPr>
          <w:delText>például</w:delText>
        </w:r>
        <w:r w:rsidRPr="00183B5F">
          <w:rPr>
            <w:szCs w:val="22"/>
          </w:rPr>
          <w:delText xml:space="preserve"> légszomj, vagy lábdagadás), azonnal közölje orvosával. Kezelőorvosa el fogja dönteni, hogy Ön kaphat-e Humira</w:delText>
        </w:r>
        <w:r w:rsidR="009E26F9" w:rsidRPr="00183B5F">
          <w:rPr>
            <w:szCs w:val="22"/>
          </w:rPr>
          <w:noBreakHyphen/>
        </w:r>
        <w:r w:rsidRPr="00183B5F">
          <w:rPr>
            <w:szCs w:val="22"/>
          </w:rPr>
          <w:delText>t.</w:delText>
        </w:r>
      </w:del>
    </w:p>
    <w:p w14:paraId="7A3AE3D5" w14:textId="292B4469" w:rsidR="00FB6710" w:rsidRPr="00183B5F" w:rsidRDefault="00FB6710" w:rsidP="00966731">
      <w:pPr>
        <w:spacing w:line="240" w:lineRule="auto"/>
        <w:rPr>
          <w:del w:id="12867" w:author="AbbVie_HU_03" w:date="2025-05-14T16:41:00Z"/>
          <w:szCs w:val="22"/>
        </w:rPr>
      </w:pPr>
    </w:p>
    <w:p w14:paraId="40435086" w14:textId="2F66E22F" w:rsidR="00FB6710" w:rsidRPr="00183B5F" w:rsidRDefault="00943743" w:rsidP="00966731">
      <w:pPr>
        <w:numPr>
          <w:ilvl w:val="0"/>
          <w:numId w:val="20"/>
        </w:numPr>
        <w:tabs>
          <w:tab w:val="clear" w:pos="720"/>
        </w:tabs>
        <w:spacing w:line="240" w:lineRule="auto"/>
        <w:ind w:left="567" w:hanging="567"/>
        <w:rPr>
          <w:del w:id="12868" w:author="AbbVie_HU_03" w:date="2025-05-14T16:41:00Z"/>
          <w:szCs w:val="22"/>
        </w:rPr>
      </w:pPr>
      <w:del w:id="12869" w:author="AbbVie_HU_03" w:date="2025-05-14T16:41:00Z">
        <w:r w:rsidRPr="00183B5F">
          <w:rPr>
            <w:szCs w:val="22"/>
          </w:rPr>
          <w:delText>Bizonyos betegségekben a szervezet nem termel elég olyan vérsejtet, melyek segítenék a szervezetet a fertőzés elleni küzdelemben, vagy megállítanák a vérzést. Ha csillapíthatatlan láza van, véraláfutása van, vagy könnyen vérzik és sápadtnak látszik, értesítse orvosát. Orvosa eldönti, hogy folytassák-e a kezelést.</w:delText>
        </w:r>
      </w:del>
    </w:p>
    <w:p w14:paraId="7174FF1E" w14:textId="18FFDF99" w:rsidR="00FB6710" w:rsidRPr="00183B5F" w:rsidRDefault="00FB6710" w:rsidP="007276E0">
      <w:pPr>
        <w:spacing w:line="240" w:lineRule="auto"/>
        <w:rPr>
          <w:del w:id="12870" w:author="AbbVie_HU_03" w:date="2025-05-14T16:41:00Z"/>
          <w:szCs w:val="22"/>
        </w:rPr>
      </w:pPr>
    </w:p>
    <w:p w14:paraId="306C04F4" w14:textId="4956AEA6" w:rsidR="00FB6710" w:rsidRPr="00183B5F" w:rsidRDefault="00943743" w:rsidP="007276E0">
      <w:pPr>
        <w:numPr>
          <w:ilvl w:val="0"/>
          <w:numId w:val="20"/>
        </w:numPr>
        <w:tabs>
          <w:tab w:val="clear" w:pos="720"/>
        </w:tabs>
        <w:spacing w:line="240" w:lineRule="auto"/>
        <w:ind w:left="567" w:hanging="567"/>
        <w:rPr>
          <w:del w:id="12871" w:author="AbbVie_HU_03" w:date="2025-05-14T16:41:00Z"/>
          <w:szCs w:val="22"/>
        </w:rPr>
      </w:pPr>
      <w:del w:id="12872" w:author="AbbVie_HU_03" w:date="2025-05-14T16:41:00Z">
        <w:r w:rsidRPr="00183B5F">
          <w:rPr>
            <w:szCs w:val="22"/>
          </w:rPr>
          <w:delText>Nagyon ritkán előfordul, hogy a Humira</w:delText>
        </w:r>
        <w:r w:rsidR="009E26F9" w:rsidRPr="00183B5F">
          <w:rPr>
            <w:szCs w:val="22"/>
          </w:rPr>
          <w:noBreakHyphen/>
        </w:r>
        <w:r w:rsidRPr="00183B5F">
          <w:rPr>
            <w:szCs w:val="22"/>
          </w:rPr>
          <w:delText>t vagy más TNF</w:delText>
        </w:r>
        <w:r w:rsidR="009E26F9" w:rsidRPr="00183B5F">
          <w:rPr>
            <w:szCs w:val="22"/>
          </w:rPr>
          <w:noBreakHyphen/>
        </w:r>
        <w:r w:rsidR="00332587" w:rsidRPr="00183B5F">
          <w:rPr>
            <w:szCs w:val="22"/>
          </w:rPr>
          <w:delText>antagonista</w:delText>
        </w:r>
        <w:r w:rsidRPr="00183B5F">
          <w:rPr>
            <w:szCs w:val="22"/>
          </w:rPr>
          <w:delText xml:space="preserve"> gyógyszert szedő betegeknél bizonyos daganatfajta jelentkezik. A hosszú ideje súlyos reumatoid artritiszben szenvedő betegeknek az átlagosnál nagyobb a kockázatuk, hogy limfóma </w:delText>
        </w:r>
        <w:r w:rsidR="008233D0" w:rsidRPr="00183B5F">
          <w:rPr>
            <w:szCs w:val="22"/>
          </w:rPr>
          <w:delText xml:space="preserve">(a nyirokrendszert érintő daganat) vagy leukémia (a csontvelőt, vérképzést érintő daganat) </w:delText>
        </w:r>
        <w:r w:rsidRPr="00183B5F">
          <w:rPr>
            <w:szCs w:val="22"/>
          </w:rPr>
          <w:delText>alakul ki. Amennyiben Humira</w:delText>
        </w:r>
        <w:r w:rsidR="009E26F9" w:rsidRPr="00183B5F">
          <w:rPr>
            <w:szCs w:val="22"/>
          </w:rPr>
          <w:noBreakHyphen/>
        </w:r>
        <w:r w:rsidRPr="00183B5F">
          <w:rPr>
            <w:szCs w:val="22"/>
          </w:rPr>
          <w:delText>t kap, kockázata fokozódhat. Ritkán a nyirokdaganat (limfóma) egy specifikus és súlyos típusát észlelték Humira</w:delText>
        </w:r>
        <w:r w:rsidR="009E26F9" w:rsidRPr="00183B5F">
          <w:rPr>
            <w:szCs w:val="22"/>
          </w:rPr>
          <w:noBreakHyphen/>
        </w:r>
        <w:r w:rsidRPr="00183B5F">
          <w:rPr>
            <w:szCs w:val="22"/>
          </w:rPr>
          <w:delText>val kezelt betegeknél. E betegek közül egyeseket egyidejűleg azatioprinnel,</w:delText>
        </w:r>
        <w:r w:rsidRPr="00183B5F">
          <w:rPr>
            <w:szCs w:val="22"/>
          </w:rPr>
          <w:delText xml:space="preserve"> illetve 6</w:delText>
        </w:r>
        <w:r w:rsidR="009E26F9" w:rsidRPr="00183B5F">
          <w:rPr>
            <w:szCs w:val="22"/>
          </w:rPr>
          <w:noBreakHyphen/>
        </w:r>
        <w:r w:rsidRPr="00183B5F">
          <w:rPr>
            <w:szCs w:val="22"/>
          </w:rPr>
          <w:delText xml:space="preserve">merkaptopurinnal is kezeltek. </w:delText>
        </w:r>
        <w:r w:rsidR="00555673" w:rsidRPr="00183B5F">
          <w:rPr>
            <w:szCs w:val="22"/>
          </w:rPr>
          <w:delText xml:space="preserve">Közölje orvosával, ha a </w:delText>
        </w:r>
        <w:r w:rsidR="00D93585" w:rsidRPr="00183B5F">
          <w:rPr>
            <w:szCs w:val="22"/>
          </w:rPr>
          <w:delText>Humira-val</w:delText>
        </w:r>
        <w:r w:rsidR="00555673" w:rsidRPr="00183B5F">
          <w:rPr>
            <w:szCs w:val="22"/>
          </w:rPr>
          <w:delText xml:space="preserve"> egyidejűleg azatioprint vagy 6</w:delText>
        </w:r>
        <w:r w:rsidR="009E26F9" w:rsidRPr="00183B5F">
          <w:rPr>
            <w:szCs w:val="22"/>
          </w:rPr>
          <w:noBreakHyphen/>
        </w:r>
        <w:r w:rsidR="00555673" w:rsidRPr="00183B5F">
          <w:rPr>
            <w:szCs w:val="22"/>
          </w:rPr>
          <w:delText xml:space="preserve">merkaptopurint szed. </w:delText>
        </w:r>
        <w:r w:rsidRPr="00183B5F">
          <w:rPr>
            <w:szCs w:val="22"/>
          </w:rPr>
          <w:delText>Ezen kívül, nem melanomás bőrrák kialakulását észlelték Humira-val kezelt betegeken. Ha új bőrelváltozások jelennek meg a kezelés alatt, vagy a meglévők külleme megváltozik, tájékoztassa orvosát.</w:delText>
        </w:r>
      </w:del>
    </w:p>
    <w:p w14:paraId="3B06E393" w14:textId="1D76E3DC" w:rsidR="00FB6710" w:rsidRPr="00183B5F" w:rsidRDefault="00FB6710" w:rsidP="007276E0">
      <w:pPr>
        <w:spacing w:line="240" w:lineRule="auto"/>
        <w:rPr>
          <w:del w:id="12873" w:author="AbbVie_HU_03" w:date="2025-05-14T16:41:00Z"/>
          <w:szCs w:val="22"/>
        </w:rPr>
      </w:pPr>
    </w:p>
    <w:p w14:paraId="12555D90" w14:textId="30473832" w:rsidR="00FB6710" w:rsidRPr="00183B5F" w:rsidRDefault="00943743" w:rsidP="007276E0">
      <w:pPr>
        <w:numPr>
          <w:ilvl w:val="0"/>
          <w:numId w:val="20"/>
        </w:numPr>
        <w:tabs>
          <w:tab w:val="clear" w:pos="720"/>
        </w:tabs>
        <w:spacing w:line="240" w:lineRule="auto"/>
        <w:ind w:left="567" w:hanging="567"/>
        <w:rPr>
          <w:del w:id="12874" w:author="AbbVie_HU_03" w:date="2025-05-14T16:41:00Z"/>
          <w:szCs w:val="22"/>
        </w:rPr>
      </w:pPr>
      <w:del w:id="12875" w:author="AbbVie_HU_03" w:date="2025-05-14T16:41:00Z">
        <w:r w:rsidRPr="00183B5F">
          <w:rPr>
            <w:szCs w:val="22"/>
          </w:rPr>
          <w:delText>Voltak esetek, amikor egy adott tüdőbetegségben (amelyet idült obstruktív tüdőbetegségnek (COPD-nek) neveznek) szenvedő, TNF</w:delText>
        </w:r>
        <w:r w:rsidR="009E26F9" w:rsidRPr="00183B5F">
          <w:rPr>
            <w:szCs w:val="22"/>
          </w:rPr>
          <w:noBreakHyphen/>
        </w:r>
        <w:r w:rsidR="00332587" w:rsidRPr="00183B5F">
          <w:rPr>
            <w:szCs w:val="22"/>
          </w:rPr>
          <w:delText>antagonistá</w:delText>
        </w:r>
        <w:r w:rsidRPr="00183B5F">
          <w:rPr>
            <w:szCs w:val="22"/>
          </w:rPr>
          <w:delText>val kezelt betegeken (nem limfóma természetű) rákos daganatok kialakulását észlelték</w:delText>
        </w:r>
        <w:r w:rsidR="0039225E" w:rsidRPr="00183B5F">
          <w:rPr>
            <w:szCs w:val="22"/>
          </w:rPr>
          <w:delText>.</w:delText>
        </w:r>
        <w:r w:rsidRPr="00183B5F">
          <w:rPr>
            <w:szCs w:val="22"/>
          </w:rPr>
          <w:delText xml:space="preserve"> Ha Ön COPD</w:delText>
        </w:r>
        <w:r w:rsidR="009E26F9" w:rsidRPr="00183B5F">
          <w:rPr>
            <w:szCs w:val="22"/>
          </w:rPr>
          <w:noBreakHyphen/>
        </w:r>
        <w:r w:rsidRPr="00183B5F">
          <w:rPr>
            <w:szCs w:val="22"/>
          </w:rPr>
          <w:delText>b</w:delText>
        </w:r>
        <w:r w:rsidR="007C581D" w:rsidRPr="00183B5F">
          <w:rPr>
            <w:szCs w:val="22"/>
          </w:rPr>
          <w:delText>e</w:delText>
        </w:r>
        <w:r w:rsidRPr="00183B5F">
          <w:rPr>
            <w:szCs w:val="22"/>
          </w:rPr>
          <w:delText>n szenved vagy erős dohányos, kérje orvosa tanácsát, hogy vajon a TNF</w:delText>
        </w:r>
        <w:r w:rsidR="009E26F9" w:rsidRPr="00183B5F">
          <w:rPr>
            <w:szCs w:val="22"/>
          </w:rPr>
          <w:noBreakHyphen/>
        </w:r>
        <w:r w:rsidR="00332587" w:rsidRPr="00183B5F">
          <w:rPr>
            <w:szCs w:val="22"/>
          </w:rPr>
          <w:delText>antagonistá</w:delText>
        </w:r>
        <w:r w:rsidRPr="00183B5F">
          <w:rPr>
            <w:szCs w:val="22"/>
          </w:rPr>
          <w:delText>val végzett kezelés megfelelő-e az Ön számára.</w:delText>
        </w:r>
      </w:del>
    </w:p>
    <w:p w14:paraId="6FF32B03" w14:textId="3743B64C" w:rsidR="00C6226B" w:rsidRPr="00183B5F" w:rsidRDefault="00C6226B" w:rsidP="007276E0">
      <w:pPr>
        <w:pStyle w:val="ListParagraph"/>
        <w:spacing w:line="240" w:lineRule="auto"/>
        <w:rPr>
          <w:del w:id="12876" w:author="AbbVie_HU_03" w:date="2025-05-14T16:41:00Z"/>
          <w:szCs w:val="22"/>
        </w:rPr>
      </w:pPr>
    </w:p>
    <w:p w14:paraId="5EC5F9CA" w14:textId="4BB6DEEF" w:rsidR="00C6226B" w:rsidRPr="00183B5F" w:rsidRDefault="00943743" w:rsidP="007276E0">
      <w:pPr>
        <w:numPr>
          <w:ilvl w:val="0"/>
          <w:numId w:val="20"/>
        </w:numPr>
        <w:tabs>
          <w:tab w:val="clear" w:pos="720"/>
        </w:tabs>
        <w:spacing w:line="240" w:lineRule="auto"/>
        <w:ind w:left="567" w:hanging="567"/>
        <w:rPr>
          <w:del w:id="12877" w:author="AbbVie_HU_03" w:date="2025-05-14T16:41:00Z"/>
          <w:szCs w:val="22"/>
        </w:rPr>
      </w:pPr>
      <w:del w:id="12878" w:author="AbbVie_HU_03" w:date="2025-05-14T16:41:00Z">
        <w:r w:rsidRPr="00183B5F">
          <w:rPr>
            <w:szCs w:val="22"/>
          </w:rPr>
          <w:delText>Ritka esetekben a Humira lupusz-szerű szindrómát okoz</w:delText>
        </w:r>
        <w:r w:rsidR="001147C9" w:rsidRPr="00183B5F">
          <w:rPr>
            <w:szCs w:val="22"/>
          </w:rPr>
          <w:delText>hat</w:delText>
        </w:r>
        <w:r w:rsidRPr="00183B5F">
          <w:rPr>
            <w:szCs w:val="22"/>
          </w:rPr>
          <w:delText xml:space="preserve">. </w:delText>
        </w:r>
        <w:r w:rsidR="001147C9" w:rsidRPr="00183B5F">
          <w:rPr>
            <w:szCs w:val="22"/>
          </w:rPr>
          <w:delText>Keresse fel</w:delText>
        </w:r>
        <w:r w:rsidRPr="00183B5F">
          <w:rPr>
            <w:szCs w:val="22"/>
          </w:rPr>
          <w:delText xml:space="preserve"> kezelőorvosá</w:delText>
        </w:r>
        <w:r w:rsidR="001147C9" w:rsidRPr="00183B5F">
          <w:rPr>
            <w:szCs w:val="22"/>
          </w:rPr>
          <w:delText>t</w:delText>
        </w:r>
        <w:r w:rsidRPr="00183B5F">
          <w:rPr>
            <w:szCs w:val="22"/>
          </w:rPr>
          <w:delText xml:space="preserve">, ha olyan </w:delText>
        </w:r>
        <w:r w:rsidR="0001217B" w:rsidRPr="00183B5F">
          <w:rPr>
            <w:szCs w:val="22"/>
          </w:rPr>
          <w:delText>tüneteket észlel</w:delText>
        </w:r>
        <w:r w:rsidRPr="00183B5F">
          <w:rPr>
            <w:szCs w:val="22"/>
          </w:rPr>
          <w:delText xml:space="preserve">, mint a tartós, tisztázatlan eredetű </w:delText>
        </w:r>
        <w:r w:rsidR="004C50B5" w:rsidRPr="00183B5F">
          <w:rPr>
            <w:szCs w:val="22"/>
          </w:rPr>
          <w:delText>bőr</w:delText>
        </w:r>
        <w:r w:rsidRPr="00183B5F">
          <w:rPr>
            <w:szCs w:val="22"/>
          </w:rPr>
          <w:delText>kiütés, láz, ízületi fájdalom vagy fáradtság.</w:delText>
        </w:r>
      </w:del>
    </w:p>
    <w:p w14:paraId="6C0CA335" w14:textId="41934EB8" w:rsidR="00FB6710" w:rsidRPr="00183B5F" w:rsidRDefault="00FB6710" w:rsidP="007276E0">
      <w:pPr>
        <w:spacing w:line="240" w:lineRule="auto"/>
        <w:rPr>
          <w:del w:id="12879" w:author="AbbVie_HU_03" w:date="2025-05-14T16:41:00Z"/>
          <w:szCs w:val="22"/>
        </w:rPr>
      </w:pPr>
    </w:p>
    <w:p w14:paraId="3BDE0684" w14:textId="662E1B7D" w:rsidR="00080B50" w:rsidRPr="00183B5F" w:rsidRDefault="00943743" w:rsidP="007276E0">
      <w:pPr>
        <w:keepNext/>
        <w:spacing w:line="240" w:lineRule="auto"/>
        <w:rPr>
          <w:del w:id="12880" w:author="AbbVie_HU_03" w:date="2025-05-14T16:41:00Z"/>
          <w:b/>
          <w:szCs w:val="22"/>
        </w:rPr>
      </w:pPr>
      <w:del w:id="12881" w:author="AbbVie_HU_03" w:date="2025-05-14T16:41:00Z">
        <w:r w:rsidRPr="00183B5F">
          <w:rPr>
            <w:b/>
          </w:rPr>
          <w:delText>Gyermekek és serdülők</w:delText>
        </w:r>
      </w:del>
    </w:p>
    <w:p w14:paraId="4FACBCE9" w14:textId="11E17616" w:rsidR="00080B50" w:rsidRPr="00183B5F" w:rsidRDefault="00080B50" w:rsidP="007276E0">
      <w:pPr>
        <w:keepNext/>
        <w:spacing w:line="240" w:lineRule="auto"/>
        <w:rPr>
          <w:del w:id="12882" w:author="AbbVie_HU_03" w:date="2025-05-14T16:41:00Z"/>
          <w:b/>
          <w:szCs w:val="22"/>
        </w:rPr>
      </w:pPr>
    </w:p>
    <w:p w14:paraId="30D81102" w14:textId="7798C11B" w:rsidR="00080B50" w:rsidRPr="00183B5F" w:rsidRDefault="00943743" w:rsidP="007276E0">
      <w:pPr>
        <w:keepNext/>
        <w:numPr>
          <w:ilvl w:val="0"/>
          <w:numId w:val="104"/>
        </w:numPr>
        <w:tabs>
          <w:tab w:val="clear" w:pos="720"/>
          <w:tab w:val="num" w:pos="630"/>
        </w:tabs>
        <w:spacing w:line="240" w:lineRule="auto"/>
        <w:ind w:left="630" w:hanging="630"/>
        <w:rPr>
          <w:del w:id="12883" w:author="AbbVie_HU_03" w:date="2025-05-14T16:41:00Z"/>
          <w:szCs w:val="22"/>
        </w:rPr>
      </w:pPr>
      <w:del w:id="12884" w:author="AbbVie_HU_03" w:date="2025-05-14T16:41:00Z">
        <w:r w:rsidRPr="00183B5F">
          <w:rPr>
            <w:szCs w:val="22"/>
          </w:rPr>
          <w:delText>Védőoltások: ha lehetséges, a gyermeknek meg kell kapnia az összes esedékes védőoltást a Humira alkalmazásának megkezdése előtt.</w:delText>
        </w:r>
      </w:del>
    </w:p>
    <w:p w14:paraId="6C1155D0" w14:textId="2336F811" w:rsidR="00080B50" w:rsidRPr="00183B5F" w:rsidRDefault="00943743" w:rsidP="007276E0">
      <w:pPr>
        <w:keepNext/>
        <w:numPr>
          <w:ilvl w:val="0"/>
          <w:numId w:val="104"/>
        </w:numPr>
        <w:tabs>
          <w:tab w:val="clear" w:pos="720"/>
          <w:tab w:val="num" w:pos="630"/>
        </w:tabs>
        <w:spacing w:line="240" w:lineRule="auto"/>
        <w:ind w:left="630" w:hanging="630"/>
        <w:rPr>
          <w:del w:id="12885" w:author="AbbVie_HU_03" w:date="2025-05-14T16:41:00Z"/>
          <w:szCs w:val="22"/>
        </w:rPr>
      </w:pPr>
      <w:del w:id="12886" w:author="AbbVie_HU_03" w:date="2025-05-14T16:41:00Z">
        <w:r w:rsidRPr="00183B5F">
          <w:rPr>
            <w:szCs w:val="22"/>
          </w:rPr>
          <w:delText>Ne adjon Humira</w:delText>
        </w:r>
        <w:r w:rsidRPr="00183B5F">
          <w:rPr>
            <w:szCs w:val="22"/>
          </w:rPr>
          <w:noBreakHyphen/>
          <w:delText>t 2 éves kor alatti, gyermekkori ismeretlen eredetű sokízületi gyulladásban szenvedő gyermekeknek.</w:delText>
        </w:r>
      </w:del>
    </w:p>
    <w:p w14:paraId="7015EF77" w14:textId="0ED75721" w:rsidR="00080B50" w:rsidRPr="00183B5F" w:rsidRDefault="00080B50" w:rsidP="007276E0">
      <w:pPr>
        <w:spacing w:line="240" w:lineRule="auto"/>
        <w:rPr>
          <w:del w:id="12887" w:author="AbbVie_HU_03" w:date="2025-05-14T16:41:00Z"/>
          <w:b/>
          <w:szCs w:val="22"/>
        </w:rPr>
      </w:pPr>
    </w:p>
    <w:p w14:paraId="14909F72" w14:textId="2466EB33" w:rsidR="00080B50" w:rsidRPr="00183B5F" w:rsidRDefault="00943743" w:rsidP="007276E0">
      <w:pPr>
        <w:keepNext/>
        <w:spacing w:line="240" w:lineRule="auto"/>
        <w:rPr>
          <w:del w:id="12888" w:author="AbbVie_HU_03" w:date="2025-05-14T16:41:00Z"/>
          <w:b/>
          <w:noProof/>
          <w:szCs w:val="24"/>
        </w:rPr>
      </w:pPr>
      <w:del w:id="12889" w:author="AbbVie_HU_03" w:date="2025-05-14T16:41:00Z">
        <w:r w:rsidRPr="00183B5F">
          <w:rPr>
            <w:b/>
            <w:noProof/>
            <w:szCs w:val="24"/>
          </w:rPr>
          <w:delText>Egyéb</w:delText>
        </w:r>
        <w:r w:rsidRPr="00183B5F">
          <w:rPr>
            <w:b/>
            <w:szCs w:val="24"/>
          </w:rPr>
          <w:delText xml:space="preserve"> gyógyszerek</w:delText>
        </w:r>
        <w:r w:rsidRPr="00183B5F">
          <w:rPr>
            <w:b/>
            <w:noProof/>
            <w:szCs w:val="24"/>
          </w:rPr>
          <w:delText xml:space="preserve"> és a Humira</w:delText>
        </w:r>
      </w:del>
    </w:p>
    <w:p w14:paraId="0B418B98" w14:textId="1B59BE0D" w:rsidR="00080B50" w:rsidRPr="00183B5F" w:rsidRDefault="00080B50" w:rsidP="007276E0">
      <w:pPr>
        <w:keepNext/>
        <w:spacing w:line="240" w:lineRule="auto"/>
        <w:rPr>
          <w:del w:id="12890" w:author="AbbVie_HU_03" w:date="2025-05-14T16:41:00Z"/>
          <w:b/>
          <w:noProof/>
          <w:szCs w:val="24"/>
        </w:rPr>
      </w:pPr>
    </w:p>
    <w:p w14:paraId="6C94FC04" w14:textId="4B09AE23" w:rsidR="00080B50" w:rsidRPr="00183B5F" w:rsidRDefault="00943743" w:rsidP="007276E0">
      <w:pPr>
        <w:keepNext/>
        <w:spacing w:line="240" w:lineRule="auto"/>
        <w:ind w:right="-2"/>
        <w:rPr>
          <w:del w:id="12891" w:author="AbbVie_HU_03" w:date="2025-05-14T16:41:00Z"/>
          <w:noProof/>
          <w:szCs w:val="24"/>
        </w:rPr>
      </w:pPr>
      <w:del w:id="12892" w:author="AbbVie_HU_03" w:date="2025-05-14T16:41:00Z">
        <w:r w:rsidRPr="00183B5F">
          <w:rPr>
            <w:szCs w:val="24"/>
          </w:rPr>
          <w:delText xml:space="preserve">Feltétlenül tájékoztassa kezelőorvosát vagy gyógyszerészét jelenleg vagy nemrégiben </w:delText>
        </w:r>
        <w:r w:rsidRPr="00183B5F">
          <w:rPr>
            <w:noProof/>
            <w:szCs w:val="24"/>
          </w:rPr>
          <w:delText>szedett, valamint szedni tervezett</w:delText>
        </w:r>
        <w:r w:rsidRPr="00183B5F">
          <w:rPr>
            <w:szCs w:val="24"/>
          </w:rPr>
          <w:delText xml:space="preserve"> egyéb gyógyszereiről</w:delText>
        </w:r>
        <w:r w:rsidRPr="00183B5F">
          <w:rPr>
            <w:noProof/>
            <w:szCs w:val="24"/>
          </w:rPr>
          <w:delText>.</w:delText>
        </w:r>
      </w:del>
    </w:p>
    <w:p w14:paraId="2A950F54" w14:textId="4D6A45DD" w:rsidR="00FB6710" w:rsidRPr="00183B5F" w:rsidRDefault="00FB6710" w:rsidP="007276E0">
      <w:pPr>
        <w:spacing w:line="240" w:lineRule="auto"/>
        <w:ind w:right="-2"/>
        <w:rPr>
          <w:del w:id="12893" w:author="AbbVie_HU_03" w:date="2025-05-14T16:41:00Z"/>
          <w:b/>
          <w:szCs w:val="22"/>
        </w:rPr>
      </w:pPr>
    </w:p>
    <w:p w14:paraId="3379D651" w14:textId="7EB4B4B4" w:rsidR="00FB6710" w:rsidRPr="00183B5F" w:rsidRDefault="00943743" w:rsidP="007276E0">
      <w:pPr>
        <w:spacing w:line="240" w:lineRule="auto"/>
        <w:ind w:right="-2"/>
        <w:rPr>
          <w:del w:id="12894" w:author="AbbVie_HU_03" w:date="2025-05-14T16:41:00Z"/>
          <w:szCs w:val="22"/>
        </w:rPr>
      </w:pPr>
      <w:del w:id="12895" w:author="AbbVie_HU_03" w:date="2025-05-14T16:41:00Z">
        <w:r w:rsidRPr="00183B5F">
          <w:rPr>
            <w:szCs w:val="22"/>
          </w:rPr>
          <w:delText>A Humira együtt alkalmazható metotrexáttal vagy más</w:delText>
        </w:r>
        <w:r w:rsidR="008233D0" w:rsidRPr="00183B5F">
          <w:rPr>
            <w:szCs w:val="22"/>
          </w:rPr>
          <w:delText>,</w:delText>
        </w:r>
        <w:r w:rsidRPr="00183B5F">
          <w:rPr>
            <w:szCs w:val="22"/>
          </w:rPr>
          <w:delText xml:space="preserve"> a betegséget befolyásoló reumaellenes szerrel (szulfaszalazin, hidroxiklorokin, leflunomid és arany injekció), szteroidok</w:delText>
        </w:r>
        <w:r w:rsidR="00536A8D" w:rsidRPr="00183B5F">
          <w:rPr>
            <w:szCs w:val="22"/>
          </w:rPr>
          <w:delText>kal</w:delText>
        </w:r>
        <w:r w:rsidRPr="00183B5F">
          <w:rPr>
            <w:szCs w:val="22"/>
          </w:rPr>
          <w:delText xml:space="preserve"> vagy fájdalomcsillapító készítményekkel</w:delText>
        </w:r>
        <w:r w:rsidR="00536A8D" w:rsidRPr="00183B5F">
          <w:rPr>
            <w:szCs w:val="22"/>
          </w:rPr>
          <w:delText>,</w:delText>
        </w:r>
        <w:r w:rsidRPr="00183B5F">
          <w:rPr>
            <w:szCs w:val="22"/>
          </w:rPr>
          <w:delText xml:space="preserve"> beleértve a nem</w:delText>
        </w:r>
        <w:r w:rsidR="00647E1C" w:rsidRPr="00183B5F">
          <w:rPr>
            <w:szCs w:val="22"/>
          </w:rPr>
          <w:delText>-</w:delText>
        </w:r>
        <w:r w:rsidRPr="00183B5F">
          <w:rPr>
            <w:szCs w:val="22"/>
          </w:rPr>
          <w:delText xml:space="preserve">szteroid </w:delText>
        </w:r>
        <w:r w:rsidR="008511AE" w:rsidRPr="00183B5F">
          <w:rPr>
            <w:szCs w:val="22"/>
          </w:rPr>
          <w:delText>gyulladásgátlóka</w:delText>
        </w:r>
        <w:r w:rsidRPr="00183B5F">
          <w:rPr>
            <w:szCs w:val="22"/>
          </w:rPr>
          <w:delText>t (NSAID-ket).</w:delText>
        </w:r>
      </w:del>
    </w:p>
    <w:p w14:paraId="641FC23B" w14:textId="75854EE7" w:rsidR="00FB6710" w:rsidRPr="00183B5F" w:rsidRDefault="00FB6710" w:rsidP="007276E0">
      <w:pPr>
        <w:spacing w:line="240" w:lineRule="auto"/>
        <w:ind w:right="-2"/>
        <w:rPr>
          <w:del w:id="12896" w:author="AbbVie_HU_03" w:date="2025-05-14T16:41:00Z"/>
          <w:szCs w:val="22"/>
        </w:rPr>
      </w:pPr>
    </w:p>
    <w:p w14:paraId="316B4559" w14:textId="31905BBF" w:rsidR="00FB6710" w:rsidRPr="00183B5F" w:rsidRDefault="00943743" w:rsidP="007276E0">
      <w:pPr>
        <w:spacing w:line="240" w:lineRule="auto"/>
        <w:ind w:right="-2"/>
        <w:rPr>
          <w:del w:id="12897" w:author="AbbVie_HU_03" w:date="2025-05-14T16:41:00Z"/>
          <w:szCs w:val="22"/>
        </w:rPr>
      </w:pPr>
      <w:del w:id="12898" w:author="AbbVie_HU_03" w:date="2025-05-14T16:41:00Z">
        <w:r w:rsidRPr="00183B5F">
          <w:rPr>
            <w:szCs w:val="22"/>
          </w:rPr>
          <w:delText>Humira</w:delText>
        </w:r>
        <w:r w:rsidR="009E26F9" w:rsidRPr="00183B5F">
          <w:rPr>
            <w:szCs w:val="22"/>
          </w:rPr>
          <w:noBreakHyphen/>
        </w:r>
        <w:r w:rsidRPr="00183B5F">
          <w:rPr>
            <w:szCs w:val="22"/>
          </w:rPr>
          <w:delText>val kezeltek nem kaphatnak anakinra vagy abatacept hatóanyagot tartalmazó gyógyszereket</w:delText>
        </w:r>
        <w:r w:rsidR="00C6226B" w:rsidRPr="00183B5F">
          <w:rPr>
            <w:szCs w:val="22"/>
          </w:rPr>
          <w:delText xml:space="preserve"> a súlyos fertőzések fokozott kockázata miatt</w:delText>
        </w:r>
        <w:r w:rsidRPr="00183B5F">
          <w:rPr>
            <w:szCs w:val="22"/>
          </w:rPr>
          <w:delText>. Ha kérdése van, kérdezze meg orvosát.</w:delText>
        </w:r>
      </w:del>
    </w:p>
    <w:p w14:paraId="7B504118" w14:textId="0A1C6B75" w:rsidR="00FB6710" w:rsidRPr="00183B5F" w:rsidRDefault="00FB6710" w:rsidP="007276E0">
      <w:pPr>
        <w:spacing w:line="240" w:lineRule="auto"/>
        <w:ind w:right="-2"/>
        <w:rPr>
          <w:del w:id="12899" w:author="AbbVie_HU_03" w:date="2025-05-14T16:41:00Z"/>
          <w:szCs w:val="22"/>
        </w:rPr>
      </w:pPr>
    </w:p>
    <w:p w14:paraId="50DE26C9" w14:textId="32757E66" w:rsidR="00AD737C" w:rsidRPr="00183B5F" w:rsidRDefault="00943743" w:rsidP="007276E0">
      <w:pPr>
        <w:spacing w:line="240" w:lineRule="auto"/>
        <w:ind w:left="567" w:right="-2" w:hanging="567"/>
        <w:rPr>
          <w:del w:id="12900" w:author="AbbVie_HU_03" w:date="2025-05-14T16:41:00Z"/>
          <w:b/>
          <w:szCs w:val="22"/>
        </w:rPr>
      </w:pPr>
      <w:del w:id="12901" w:author="AbbVie_HU_03" w:date="2025-05-14T16:41:00Z">
        <w:r w:rsidRPr="00183B5F">
          <w:rPr>
            <w:b/>
            <w:szCs w:val="22"/>
          </w:rPr>
          <w:delText>Terhesség és szoptatás</w:delText>
        </w:r>
      </w:del>
    </w:p>
    <w:p w14:paraId="7582CA9A" w14:textId="607EE6F2" w:rsidR="00AD737C" w:rsidRPr="00183B5F" w:rsidRDefault="00AD737C" w:rsidP="007276E0">
      <w:pPr>
        <w:spacing w:line="240" w:lineRule="auto"/>
        <w:ind w:left="567" w:right="-2" w:hanging="567"/>
        <w:rPr>
          <w:del w:id="12902" w:author="AbbVie_HU_03" w:date="2025-05-14T16:41:00Z"/>
          <w:b/>
          <w:szCs w:val="22"/>
        </w:rPr>
      </w:pPr>
    </w:p>
    <w:p w14:paraId="35A37121" w14:textId="74C13A8E" w:rsidR="00AD737C" w:rsidRPr="00183B5F" w:rsidRDefault="00943743" w:rsidP="007276E0">
      <w:pPr>
        <w:pStyle w:val="ListParagraph"/>
        <w:numPr>
          <w:ilvl w:val="0"/>
          <w:numId w:val="196"/>
        </w:numPr>
        <w:spacing w:line="240" w:lineRule="auto"/>
        <w:ind w:left="567" w:hanging="567"/>
        <w:rPr>
          <w:del w:id="12903" w:author="AbbVie_HU_03" w:date="2025-05-14T16:41:00Z"/>
          <w:szCs w:val="22"/>
        </w:rPr>
      </w:pPr>
      <w:del w:id="12904" w:author="AbbVie_HU_03" w:date="2025-05-14T16:41:00Z">
        <w:r w:rsidRPr="00183B5F">
          <w:rPr>
            <w:szCs w:val="22"/>
          </w:rPr>
          <w:delText>A terhesség megelőzése érdekében meg kell fontolnia a megfelelő fogamzásgátlás alkalmazását</w:delText>
        </w:r>
        <w:r w:rsidR="001056CE" w:rsidRPr="00183B5F">
          <w:rPr>
            <w:szCs w:val="22"/>
          </w:rPr>
          <w:delText xml:space="preserve"> </w:delText>
        </w:r>
        <w:r w:rsidR="006E6466" w:rsidRPr="00183B5F">
          <w:rPr>
            <w:szCs w:val="22"/>
          </w:rPr>
          <w:delText>é</w:delText>
        </w:r>
        <w:r w:rsidR="001056CE" w:rsidRPr="00183B5F">
          <w:rPr>
            <w:szCs w:val="22"/>
          </w:rPr>
          <w:delText>s az alkalmazás folytatását</w:delText>
        </w:r>
        <w:r w:rsidRPr="00183B5F">
          <w:rPr>
            <w:szCs w:val="22"/>
          </w:rPr>
          <w:delText xml:space="preserve"> a Humira</w:delText>
        </w:r>
        <w:r w:rsidRPr="00183B5F">
          <w:rPr>
            <w:szCs w:val="22"/>
          </w:rPr>
          <w:noBreakHyphen/>
          <w:delText>val történt utolsó kezelést követően legalább 5 hónapig.</w:delText>
        </w:r>
      </w:del>
    </w:p>
    <w:p w14:paraId="5A37CA24" w14:textId="27B70070" w:rsidR="00AD737C" w:rsidRPr="00183B5F" w:rsidRDefault="00943743" w:rsidP="007276E0">
      <w:pPr>
        <w:pStyle w:val="ListParagraph"/>
        <w:numPr>
          <w:ilvl w:val="0"/>
          <w:numId w:val="196"/>
        </w:numPr>
        <w:spacing w:line="240" w:lineRule="auto"/>
        <w:ind w:left="567" w:hanging="567"/>
        <w:rPr>
          <w:del w:id="12905" w:author="AbbVie_HU_03" w:date="2025-05-14T16:41:00Z"/>
          <w:szCs w:val="22"/>
        </w:rPr>
      </w:pPr>
      <w:del w:id="12906" w:author="AbbVie_HU_03" w:date="2025-05-14T16:41:00Z">
        <w:r w:rsidRPr="00183B5F">
          <w:rPr>
            <w:szCs w:val="22"/>
          </w:rPr>
          <w:delText>Amennyiben terhes, úgy gondolja, hogy terhes lehet, vagy gyermeket tervez, kérje kezelőorvosa tanácsát ennek a gyógyszernek az alkalmazásáról.</w:delText>
        </w:r>
      </w:del>
    </w:p>
    <w:p w14:paraId="2952A809" w14:textId="0FB6E43D" w:rsidR="00AD737C" w:rsidRPr="00183B5F" w:rsidRDefault="00943743" w:rsidP="007276E0">
      <w:pPr>
        <w:pStyle w:val="ListParagraph"/>
        <w:numPr>
          <w:ilvl w:val="0"/>
          <w:numId w:val="196"/>
        </w:numPr>
        <w:spacing w:line="240" w:lineRule="auto"/>
        <w:ind w:left="567" w:hanging="567"/>
        <w:rPr>
          <w:del w:id="12907" w:author="AbbVie_HU_03" w:date="2025-05-14T16:41:00Z"/>
          <w:szCs w:val="22"/>
        </w:rPr>
      </w:pPr>
      <w:del w:id="12908" w:author="AbbVie_HU_03" w:date="2025-05-14T16:41:00Z">
        <w:r w:rsidRPr="00183B5F">
          <w:rPr>
            <w:szCs w:val="22"/>
          </w:rPr>
          <w:delText xml:space="preserve">A Humira csak akkor alkalmazható terhesség alatt, ha </w:delText>
        </w:r>
        <w:r w:rsidR="004B37B2" w:rsidRPr="00183B5F">
          <w:rPr>
            <w:szCs w:val="22"/>
          </w:rPr>
          <w:delText>egyértelműen</w:delText>
        </w:r>
        <w:r w:rsidRPr="00183B5F">
          <w:rPr>
            <w:szCs w:val="22"/>
          </w:rPr>
          <w:delText xml:space="preserve"> szükséges.</w:delText>
        </w:r>
      </w:del>
    </w:p>
    <w:p w14:paraId="63053CC1" w14:textId="238E34D5" w:rsidR="00AD737C" w:rsidRPr="00183B5F" w:rsidRDefault="00943743" w:rsidP="007276E0">
      <w:pPr>
        <w:pStyle w:val="ListParagraph"/>
        <w:numPr>
          <w:ilvl w:val="0"/>
          <w:numId w:val="196"/>
        </w:numPr>
        <w:spacing w:line="240" w:lineRule="auto"/>
        <w:ind w:left="567" w:hanging="567"/>
        <w:rPr>
          <w:del w:id="12909" w:author="AbbVie_HU_03" w:date="2025-05-14T16:41:00Z"/>
          <w:szCs w:val="22"/>
        </w:rPr>
      </w:pPr>
      <w:del w:id="12910" w:author="AbbVie_HU_03" w:date="2025-05-14T16:41:00Z">
        <w:r w:rsidRPr="00183B5F">
          <w:rPr>
            <w:szCs w:val="22"/>
          </w:rPr>
          <w:delText>Egy terhes nők</w:delText>
        </w:r>
        <w:r w:rsidR="001056CE" w:rsidRPr="00183B5F">
          <w:rPr>
            <w:szCs w:val="22"/>
          </w:rPr>
          <w:delText>kel</w:delText>
        </w:r>
        <w:r w:rsidRPr="00183B5F">
          <w:rPr>
            <w:szCs w:val="22"/>
          </w:rPr>
          <w:delText xml:space="preserve"> végzett klinikai vizsgálat alapján nem volt magasabb a születési rendellenességek kockázata azokn</w:delText>
        </w:r>
        <w:r w:rsidR="001056CE" w:rsidRPr="00183B5F">
          <w:rPr>
            <w:szCs w:val="22"/>
          </w:rPr>
          <w:delText>ál</w:delText>
        </w:r>
        <w:r w:rsidRPr="00183B5F">
          <w:rPr>
            <w:szCs w:val="22"/>
          </w:rPr>
          <w:delText xml:space="preserve"> a nőkn</w:delText>
        </w:r>
        <w:r w:rsidR="001056CE" w:rsidRPr="00183B5F">
          <w:rPr>
            <w:szCs w:val="22"/>
          </w:rPr>
          <w:delText>él</w:delText>
        </w:r>
        <w:r w:rsidRPr="00183B5F">
          <w:rPr>
            <w:szCs w:val="22"/>
          </w:rPr>
          <w:delText xml:space="preserve">, akik a terhességük </w:delText>
        </w:r>
        <w:r w:rsidR="001056CE" w:rsidRPr="00183B5F">
          <w:rPr>
            <w:szCs w:val="22"/>
          </w:rPr>
          <w:delText>alatt</w:delText>
        </w:r>
        <w:r w:rsidRPr="00183B5F">
          <w:rPr>
            <w:szCs w:val="22"/>
          </w:rPr>
          <w:delText xml:space="preserve"> Humira</w:delText>
        </w:r>
        <w:r w:rsidRPr="00183B5F">
          <w:rPr>
            <w:szCs w:val="22"/>
          </w:rPr>
          <w:noBreakHyphen/>
          <w:delText xml:space="preserve">kezelésben részesültek, </w:delText>
        </w:r>
        <w:r w:rsidR="001056CE" w:rsidRPr="00183B5F">
          <w:rPr>
            <w:szCs w:val="22"/>
          </w:rPr>
          <w:delText>mint</w:delText>
        </w:r>
        <w:r w:rsidRPr="00183B5F">
          <w:rPr>
            <w:szCs w:val="22"/>
          </w:rPr>
          <w:delText xml:space="preserve"> az azonos betegségben szenvedő, Humira</w:delText>
        </w:r>
        <w:r w:rsidRPr="00183B5F">
          <w:rPr>
            <w:szCs w:val="22"/>
          </w:rPr>
          <w:noBreakHyphen/>
          <w:delText>kezelésben nem részesült nők</w:delText>
        </w:r>
        <w:r w:rsidR="001056CE" w:rsidRPr="00183B5F">
          <w:rPr>
            <w:szCs w:val="22"/>
          </w:rPr>
          <w:delText>nél</w:delText>
        </w:r>
        <w:r w:rsidRPr="00183B5F">
          <w:rPr>
            <w:szCs w:val="22"/>
          </w:rPr>
          <w:delText>.</w:delText>
        </w:r>
      </w:del>
    </w:p>
    <w:p w14:paraId="5AF8AFFF" w14:textId="51FDC263" w:rsidR="00AD737C" w:rsidRPr="00183B5F" w:rsidRDefault="00943743" w:rsidP="007276E0">
      <w:pPr>
        <w:pStyle w:val="ListParagraph"/>
        <w:numPr>
          <w:ilvl w:val="0"/>
          <w:numId w:val="196"/>
        </w:numPr>
        <w:spacing w:line="240" w:lineRule="auto"/>
        <w:ind w:left="567" w:hanging="567"/>
        <w:rPr>
          <w:del w:id="12911" w:author="AbbVie_HU_03" w:date="2025-05-14T16:41:00Z"/>
          <w:szCs w:val="22"/>
        </w:rPr>
      </w:pPr>
      <w:del w:id="12912" w:author="AbbVie_HU_03" w:date="2025-05-14T16:41:00Z">
        <w:r w:rsidRPr="00183B5F">
          <w:delText>Szoptatás alatt a Humira alkalmazható.</w:delText>
        </w:r>
      </w:del>
    </w:p>
    <w:p w14:paraId="1184BB75" w14:textId="074F6E24" w:rsidR="00AD737C" w:rsidRPr="00183B5F" w:rsidRDefault="00943743" w:rsidP="007276E0">
      <w:pPr>
        <w:pStyle w:val="ListParagraph"/>
        <w:numPr>
          <w:ilvl w:val="0"/>
          <w:numId w:val="196"/>
        </w:numPr>
        <w:spacing w:line="240" w:lineRule="auto"/>
        <w:ind w:left="567" w:hanging="567"/>
        <w:rPr>
          <w:del w:id="12913" w:author="AbbVie_HU_03" w:date="2025-05-14T16:41:00Z"/>
          <w:szCs w:val="22"/>
        </w:rPr>
      </w:pPr>
      <w:del w:id="12914" w:author="AbbVie_HU_03" w:date="2025-05-14T16:41:00Z">
        <w:r w:rsidRPr="00183B5F">
          <w:rPr>
            <w:szCs w:val="22"/>
          </w:rPr>
          <w:delText>Ha a terhessége alatt Humira</w:delText>
        </w:r>
        <w:r w:rsidRPr="00183B5F">
          <w:rPr>
            <w:szCs w:val="22"/>
          </w:rPr>
          <w:noBreakHyphen/>
          <w:delText>t kapott, a kisbabája nagyobb eséllyel kap el valamilyen fertőzést.</w:delText>
        </w:r>
      </w:del>
    </w:p>
    <w:p w14:paraId="2C18279C" w14:textId="3EB2462B" w:rsidR="00AD737C" w:rsidRPr="00183B5F" w:rsidRDefault="00943743" w:rsidP="007276E0">
      <w:pPr>
        <w:pStyle w:val="ListParagraph"/>
        <w:numPr>
          <w:ilvl w:val="0"/>
          <w:numId w:val="196"/>
        </w:numPr>
        <w:spacing w:line="240" w:lineRule="auto"/>
        <w:ind w:left="567" w:hanging="567"/>
        <w:rPr>
          <w:del w:id="12915" w:author="AbbVie_HU_03" w:date="2025-05-14T16:41:00Z"/>
          <w:szCs w:val="22"/>
        </w:rPr>
      </w:pPr>
      <w:del w:id="12916" w:author="AbbVie_HU_03" w:date="2025-05-14T16:41:00Z">
        <w:r w:rsidRPr="00183B5F">
          <w:rPr>
            <w:szCs w:val="22"/>
          </w:rPr>
          <w:delText>Fontos, hogy elmondja kisbabája orvosának vagy az őt kezelő egészségügyi személyzetnek, hogy a terhessége alatt Humira</w:delText>
        </w:r>
        <w:r w:rsidRPr="00183B5F">
          <w:rPr>
            <w:szCs w:val="22"/>
          </w:rPr>
          <w:noBreakHyphen/>
          <w:delText xml:space="preserve">t kapott, mielőtt a kisbaba bármilyen védőoltást kapna. </w:delText>
        </w:r>
        <w:r w:rsidRPr="00183B5F">
          <w:delText xml:space="preserve">A védőoltásokról további információt </w:delText>
        </w:r>
        <w:r w:rsidRPr="00183B5F">
          <w:rPr>
            <w:szCs w:val="22"/>
          </w:rPr>
          <w:delText>talál a „Figyelmeztetések és óvintézkedések” részben</w:delText>
        </w:r>
        <w:r w:rsidR="00675575" w:rsidRPr="00183B5F">
          <w:rPr>
            <w:szCs w:val="22"/>
          </w:rPr>
          <w:delText>.</w:delText>
        </w:r>
      </w:del>
    </w:p>
    <w:p w14:paraId="35B456AD" w14:textId="583AADEC" w:rsidR="00AD737C" w:rsidRPr="00183B5F" w:rsidRDefault="00AD737C" w:rsidP="007276E0">
      <w:pPr>
        <w:spacing w:line="240" w:lineRule="auto"/>
        <w:rPr>
          <w:del w:id="12917" w:author="AbbVie_HU_03" w:date="2025-05-14T16:41:00Z"/>
          <w:szCs w:val="22"/>
        </w:rPr>
      </w:pPr>
    </w:p>
    <w:p w14:paraId="626DFDDE" w14:textId="45E2A335" w:rsidR="00F807EC" w:rsidRPr="00183B5F" w:rsidRDefault="00943743" w:rsidP="007276E0">
      <w:pPr>
        <w:keepNext/>
        <w:spacing w:line="240" w:lineRule="auto"/>
        <w:ind w:right="-2"/>
        <w:rPr>
          <w:del w:id="12918" w:author="AbbVie_HU_03" w:date="2025-05-14T16:41:00Z"/>
          <w:b/>
          <w:bCs/>
          <w:szCs w:val="22"/>
        </w:rPr>
      </w:pPr>
      <w:del w:id="12919" w:author="AbbVie_HU_03" w:date="2025-05-14T16:41:00Z">
        <w:r w:rsidRPr="00183B5F">
          <w:rPr>
            <w:b/>
            <w:bCs/>
            <w:szCs w:val="22"/>
          </w:rPr>
          <w:delText xml:space="preserve">A készítmény hatásai a gépjárművezetéshez és </w:delText>
        </w:r>
        <w:r w:rsidR="00FB29DF" w:rsidRPr="00183B5F">
          <w:rPr>
            <w:b/>
            <w:bCs/>
            <w:szCs w:val="22"/>
          </w:rPr>
          <w:delText xml:space="preserve">a </w:delText>
        </w:r>
        <w:r w:rsidRPr="00183B5F">
          <w:rPr>
            <w:b/>
            <w:bCs/>
            <w:szCs w:val="22"/>
          </w:rPr>
          <w:delText>gépek kezeléséhez szükséges képességekre</w:delText>
        </w:r>
      </w:del>
    </w:p>
    <w:p w14:paraId="30B11161" w14:textId="229C0FA8" w:rsidR="00F807EC" w:rsidRPr="00183B5F" w:rsidRDefault="00F807EC" w:rsidP="007276E0">
      <w:pPr>
        <w:keepNext/>
        <w:spacing w:line="240" w:lineRule="auto"/>
        <w:ind w:right="-2"/>
        <w:rPr>
          <w:del w:id="12920" w:author="AbbVie_HU_03" w:date="2025-05-14T16:41:00Z"/>
          <w:szCs w:val="22"/>
        </w:rPr>
      </w:pPr>
    </w:p>
    <w:p w14:paraId="13F48704" w14:textId="0AE6988D" w:rsidR="00F807EC" w:rsidRPr="00183B5F" w:rsidRDefault="00943743" w:rsidP="007276E0">
      <w:pPr>
        <w:spacing w:line="240" w:lineRule="auto"/>
        <w:rPr>
          <w:del w:id="12921" w:author="AbbVie_HU_03" w:date="2025-05-14T16:41:00Z"/>
          <w:szCs w:val="22"/>
        </w:rPr>
      </w:pPr>
      <w:del w:id="12922" w:author="AbbVie_HU_03" w:date="2025-05-14T16:41:00Z">
        <w:r w:rsidRPr="00183B5F">
          <w:rPr>
            <w:szCs w:val="22"/>
          </w:rPr>
          <w:delText xml:space="preserve">A Humira csak csekély mértékben befolyásolhatja a gépjárművezetéshez, </w:delText>
        </w:r>
        <w:r w:rsidR="00FB29DF" w:rsidRPr="00183B5F">
          <w:rPr>
            <w:szCs w:val="22"/>
          </w:rPr>
          <w:delText xml:space="preserve">kerékpározáshoz </w:delText>
        </w:r>
        <w:r w:rsidRPr="00183B5F">
          <w:rPr>
            <w:szCs w:val="22"/>
          </w:rPr>
          <w:delText xml:space="preserve">vagy a gépek </w:delText>
        </w:r>
        <w:r w:rsidRPr="00183B5F">
          <w:rPr>
            <w:noProof/>
            <w:szCs w:val="22"/>
          </w:rPr>
          <w:delText>kezeléséhez</w:delText>
        </w:r>
        <w:r w:rsidRPr="00183B5F">
          <w:rPr>
            <w:szCs w:val="22"/>
          </w:rPr>
          <w:delText xml:space="preserve"> szükséges képességeket. A Humira alkalmazását követően előfordulhat olyan érzés, mintha forogna a szoba vagy a tér, továbbá látászavar is előfordulhat.</w:delText>
        </w:r>
      </w:del>
    </w:p>
    <w:p w14:paraId="26EC5096" w14:textId="4B770475" w:rsidR="00C6226B" w:rsidRPr="00183B5F" w:rsidRDefault="00C6226B" w:rsidP="007276E0">
      <w:pPr>
        <w:spacing w:line="240" w:lineRule="auto"/>
        <w:rPr>
          <w:del w:id="12923" w:author="AbbVie_HU_03" w:date="2025-05-14T16:41:00Z"/>
          <w:szCs w:val="22"/>
        </w:rPr>
      </w:pPr>
    </w:p>
    <w:p w14:paraId="52DC63CE" w14:textId="10F92C72" w:rsidR="00C6226B" w:rsidRPr="00183B5F" w:rsidRDefault="00943743" w:rsidP="007276E0">
      <w:pPr>
        <w:keepNext/>
        <w:spacing w:line="240" w:lineRule="auto"/>
        <w:ind w:right="-2"/>
        <w:rPr>
          <w:del w:id="12924" w:author="AbbVie_HU_03" w:date="2025-05-14T16:41:00Z"/>
          <w:b/>
          <w:szCs w:val="22"/>
        </w:rPr>
      </w:pPr>
      <w:del w:id="12925" w:author="AbbVie_HU_03" w:date="2025-05-14T16:41:00Z">
        <w:r w:rsidRPr="00183B5F">
          <w:rPr>
            <w:b/>
            <w:szCs w:val="22"/>
          </w:rPr>
          <w:delText>A Humira nátriumot tartalmaz.</w:delText>
        </w:r>
      </w:del>
    </w:p>
    <w:p w14:paraId="6BEDC374" w14:textId="422ADCCB" w:rsidR="00C6226B" w:rsidRPr="00183B5F" w:rsidRDefault="00C6226B" w:rsidP="007276E0">
      <w:pPr>
        <w:keepNext/>
        <w:spacing w:line="240" w:lineRule="auto"/>
        <w:ind w:right="-2"/>
        <w:rPr>
          <w:del w:id="12926" w:author="AbbVie_HU_03" w:date="2025-05-14T16:41:00Z"/>
          <w:szCs w:val="22"/>
        </w:rPr>
      </w:pPr>
    </w:p>
    <w:p w14:paraId="1B702F61" w14:textId="209F6B03" w:rsidR="00C6226B" w:rsidRPr="00183B5F" w:rsidRDefault="00943743" w:rsidP="007276E0">
      <w:pPr>
        <w:keepNext/>
        <w:spacing w:line="240" w:lineRule="auto"/>
        <w:rPr>
          <w:del w:id="12927" w:author="AbbVie_HU_03" w:date="2025-05-14T16:41:00Z"/>
          <w:szCs w:val="22"/>
        </w:rPr>
      </w:pPr>
      <w:del w:id="12928" w:author="AbbVie_HU_03" w:date="2025-05-14T16:41:00Z">
        <w:r w:rsidRPr="00183B5F">
          <w:rPr>
            <w:szCs w:val="22"/>
          </w:rPr>
          <w:delText>A készítmény kevesebb, mint 1 mmol (23 mg) per 0,8 ml adag nátriumot tartalmaz, azaz gyakorlatilag nátriummentes.</w:delText>
        </w:r>
      </w:del>
    </w:p>
    <w:p w14:paraId="39D667FE" w14:textId="1ED924BD" w:rsidR="00751C23" w:rsidRPr="00183B5F" w:rsidRDefault="00751C23" w:rsidP="007276E0">
      <w:pPr>
        <w:spacing w:line="240" w:lineRule="auto"/>
        <w:rPr>
          <w:del w:id="12929" w:author="AbbVie_HU_03" w:date="2025-05-14T16:41:00Z"/>
          <w:szCs w:val="22"/>
        </w:rPr>
      </w:pPr>
    </w:p>
    <w:p w14:paraId="7160473F" w14:textId="0B63330E" w:rsidR="00751C23" w:rsidRPr="00183B5F" w:rsidRDefault="00751C23" w:rsidP="007276E0">
      <w:pPr>
        <w:spacing w:line="240" w:lineRule="auto"/>
        <w:rPr>
          <w:del w:id="12930" w:author="AbbVie_HU_03" w:date="2025-05-14T16:41:00Z"/>
          <w:szCs w:val="22"/>
        </w:rPr>
      </w:pPr>
    </w:p>
    <w:p w14:paraId="159A4323" w14:textId="0589E467" w:rsidR="00080B50" w:rsidRPr="00183B5F" w:rsidRDefault="00943743" w:rsidP="007276E0">
      <w:pPr>
        <w:keepNext/>
        <w:spacing w:line="240" w:lineRule="auto"/>
        <w:ind w:left="567" w:right="-29" w:hanging="567"/>
        <w:rPr>
          <w:del w:id="12931" w:author="AbbVie_HU_03" w:date="2025-05-14T16:41:00Z"/>
          <w:b/>
          <w:szCs w:val="22"/>
        </w:rPr>
      </w:pPr>
      <w:del w:id="12932" w:author="AbbVie_HU_03" w:date="2025-05-14T16:41:00Z">
        <w:r w:rsidRPr="00183B5F">
          <w:rPr>
            <w:b/>
            <w:szCs w:val="22"/>
          </w:rPr>
          <w:delText>3.</w:delText>
        </w:r>
        <w:r w:rsidRPr="00183B5F">
          <w:rPr>
            <w:b/>
            <w:szCs w:val="22"/>
          </w:rPr>
          <w:tab/>
          <w:delText>Hogyan kell alkalmazni a Humira</w:delText>
        </w:r>
        <w:r w:rsidR="00141743" w:rsidRPr="00183B5F">
          <w:rPr>
            <w:b/>
            <w:szCs w:val="22"/>
          </w:rPr>
          <w:noBreakHyphen/>
        </w:r>
        <w:r w:rsidRPr="00183B5F">
          <w:rPr>
            <w:b/>
            <w:szCs w:val="22"/>
          </w:rPr>
          <w:delText>t?</w:delText>
        </w:r>
      </w:del>
    </w:p>
    <w:p w14:paraId="5A0E43F2" w14:textId="160BF6BF" w:rsidR="00080B50" w:rsidRPr="00183B5F" w:rsidRDefault="00080B50" w:rsidP="007276E0">
      <w:pPr>
        <w:keepNext/>
        <w:spacing w:line="240" w:lineRule="auto"/>
        <w:ind w:left="567" w:right="-29" w:hanging="567"/>
        <w:rPr>
          <w:del w:id="12933" w:author="AbbVie_HU_03" w:date="2025-05-14T16:41:00Z"/>
          <w:szCs w:val="22"/>
        </w:rPr>
      </w:pPr>
    </w:p>
    <w:p w14:paraId="70517786" w14:textId="77B3AB6E" w:rsidR="00217CE0" w:rsidRPr="00183B5F" w:rsidRDefault="00943743" w:rsidP="007276E0">
      <w:pPr>
        <w:tabs>
          <w:tab w:val="num" w:pos="630"/>
        </w:tabs>
        <w:spacing w:line="240" w:lineRule="auto"/>
        <w:ind w:right="-2"/>
        <w:rPr>
          <w:del w:id="12934" w:author="AbbVie_HU_03" w:date="2025-05-14T16:41:00Z"/>
          <w:szCs w:val="22"/>
        </w:rPr>
      </w:pPr>
      <w:del w:id="12935" w:author="AbbVie_HU_03" w:date="2025-05-14T16:41:00Z">
        <w:r w:rsidRPr="00183B5F">
          <w:rPr>
            <w:noProof/>
            <w:szCs w:val="24"/>
          </w:rPr>
          <w:delText>A gyógyszert</w:delText>
        </w:r>
        <w:r w:rsidRPr="00183B5F">
          <w:rPr>
            <w:szCs w:val="24"/>
          </w:rPr>
          <w:delText xml:space="preserve"> mindig </w:delText>
        </w:r>
        <w:r w:rsidR="004E5FCB" w:rsidRPr="00183B5F">
          <w:rPr>
            <w:szCs w:val="24"/>
          </w:rPr>
          <w:delText xml:space="preserve">a </w:delText>
        </w:r>
        <w:r w:rsidRPr="00183B5F">
          <w:rPr>
            <w:noProof/>
            <w:szCs w:val="24"/>
          </w:rPr>
          <w:delText>kezelőorvosa vagy gyógyszerésze</w:delText>
        </w:r>
        <w:r w:rsidRPr="00183B5F">
          <w:rPr>
            <w:szCs w:val="22"/>
          </w:rPr>
          <w:delText xml:space="preserve"> által elmondottaknak megfelelően alkalmazza. Amennyiben nem biztos az adagolást illetően, kérdezze meg kezelőorvosát vagy gyógyszerészét. </w:delText>
        </w:r>
        <w:r w:rsidRPr="00183B5F">
          <w:delText>Kezelőorvosa más hatáserősségű Humira</w:delText>
        </w:r>
        <w:r w:rsidRPr="00183B5F">
          <w:noBreakHyphen/>
          <w:delText xml:space="preserve">t is felírhat, ha gyermekének </w:delText>
        </w:r>
        <w:r w:rsidR="00524F71" w:rsidRPr="00183B5F">
          <w:delText>más</w:delText>
        </w:r>
        <w:r w:rsidRPr="00183B5F">
          <w:delText xml:space="preserve"> dózisra van szüksége.</w:delText>
        </w:r>
      </w:del>
    </w:p>
    <w:p w14:paraId="00633D01" w14:textId="42C48BF4" w:rsidR="00080B50" w:rsidRPr="00183B5F" w:rsidRDefault="00080B50" w:rsidP="007276E0">
      <w:pPr>
        <w:spacing w:line="240" w:lineRule="auto"/>
        <w:ind w:right="-2"/>
        <w:rPr>
          <w:del w:id="12936" w:author="AbbVie_HU_03" w:date="2025-05-14T16:41:00Z"/>
          <w:szCs w:val="22"/>
        </w:rPr>
      </w:pPr>
    </w:p>
    <w:p w14:paraId="7A28036F" w14:textId="0D406B0D" w:rsidR="00080B50" w:rsidRPr="00183B5F" w:rsidRDefault="00943743" w:rsidP="007276E0">
      <w:pPr>
        <w:keepNext/>
        <w:spacing w:line="240" w:lineRule="auto"/>
        <w:rPr>
          <w:del w:id="12937" w:author="AbbVie_HU_03" w:date="2025-05-14T16:41:00Z"/>
          <w:szCs w:val="22"/>
          <w:u w:val="single"/>
        </w:rPr>
      </w:pPr>
      <w:del w:id="12938" w:author="AbbVie_HU_03" w:date="2025-05-14T16:41:00Z">
        <w:r w:rsidRPr="00183B5F">
          <w:rPr>
            <w:szCs w:val="22"/>
            <w:u w:val="single"/>
          </w:rPr>
          <w:delText>Reumatoid artritiszben, spondilitisz ankilopoetikában, spondilitisz ankilopoetikára jellemző röntgeneltérést nem mutató gerincízületi gyulladásban (axiális spondiloartritiszben) és pszoriázisos artritiszben szenvedő felnőttek</w:delText>
        </w:r>
      </w:del>
    </w:p>
    <w:p w14:paraId="6C18C2BE" w14:textId="7B577A41" w:rsidR="00080B50" w:rsidRPr="00183B5F" w:rsidRDefault="00080B50" w:rsidP="007276E0">
      <w:pPr>
        <w:keepNext/>
        <w:spacing w:line="240" w:lineRule="auto"/>
        <w:rPr>
          <w:del w:id="12939" w:author="AbbVie_HU_03" w:date="2025-05-14T16:41:00Z"/>
          <w:szCs w:val="22"/>
        </w:rPr>
      </w:pPr>
    </w:p>
    <w:p w14:paraId="0CF3E033" w14:textId="7941E3AC" w:rsidR="00FB6710" w:rsidRPr="00183B5F" w:rsidRDefault="00943743" w:rsidP="007276E0">
      <w:pPr>
        <w:keepNext/>
        <w:spacing w:line="240" w:lineRule="auto"/>
        <w:rPr>
          <w:del w:id="12940" w:author="AbbVie_HU_03" w:date="2025-05-14T16:41:00Z"/>
          <w:szCs w:val="22"/>
        </w:rPr>
      </w:pPr>
      <w:del w:id="12941" w:author="AbbVie_HU_03" w:date="2025-05-14T16:41:00Z">
        <w:r w:rsidRPr="00183B5F">
          <w:rPr>
            <w:szCs w:val="22"/>
          </w:rPr>
          <w:delText xml:space="preserve">A </w:delText>
        </w:r>
        <w:r w:rsidR="00080B50" w:rsidRPr="00183B5F">
          <w:rPr>
            <w:szCs w:val="22"/>
          </w:rPr>
          <w:delText>Humira</w:delText>
        </w:r>
        <w:r w:rsidR="00141743" w:rsidRPr="00183B5F">
          <w:rPr>
            <w:szCs w:val="22"/>
          </w:rPr>
          <w:noBreakHyphen/>
        </w:r>
        <w:r w:rsidR="00080B50" w:rsidRPr="00183B5F">
          <w:rPr>
            <w:szCs w:val="22"/>
          </w:rPr>
          <w:delText>t a bőr alá (szubkután) kell beadni. A készítmény szokásos adagja reumatoid artritiszben, spondilitisz ankilopoetikában, spondilitisz ankilopoetikára jellemző röntgeneltérést nem mutató gerincízületi gyulladásban (axiális spondiloartritiszben) és pszoriázisos artritiszben szenvedő felnőttek részére 40 mg adalimumab kéthetenként egy adagban alkalmazva.</w:delText>
        </w:r>
      </w:del>
    </w:p>
    <w:p w14:paraId="02ECAAAB" w14:textId="6FC838D0" w:rsidR="00FB6710" w:rsidRPr="00183B5F" w:rsidRDefault="00FB6710" w:rsidP="007276E0">
      <w:pPr>
        <w:spacing w:line="240" w:lineRule="auto"/>
        <w:ind w:right="-2"/>
        <w:rPr>
          <w:del w:id="12942" w:author="AbbVie_HU_03" w:date="2025-05-14T16:41:00Z"/>
          <w:szCs w:val="22"/>
        </w:rPr>
      </w:pPr>
    </w:p>
    <w:p w14:paraId="4C5C270E" w14:textId="47ABB691" w:rsidR="00FB6710" w:rsidRPr="00183B5F" w:rsidRDefault="00943743" w:rsidP="007276E0">
      <w:pPr>
        <w:spacing w:line="240" w:lineRule="auto"/>
        <w:ind w:right="-2"/>
        <w:rPr>
          <w:del w:id="12943" w:author="AbbVie_HU_03" w:date="2025-05-14T16:41:00Z"/>
          <w:szCs w:val="22"/>
        </w:rPr>
      </w:pPr>
      <w:del w:id="12944" w:author="AbbVie_HU_03" w:date="2025-05-14T16:41:00Z">
        <w:r w:rsidRPr="00183B5F">
          <w:rPr>
            <w:szCs w:val="22"/>
          </w:rPr>
          <w:delText xml:space="preserve">Reumatoid artritiszben a Humira alkalmazása során a </w:delText>
        </w:r>
        <w:r w:rsidR="001A6E66" w:rsidRPr="00183B5F">
          <w:rPr>
            <w:szCs w:val="22"/>
          </w:rPr>
          <w:delText>metotrexát-keze</w:delText>
        </w:r>
        <w:r w:rsidRPr="00183B5F">
          <w:rPr>
            <w:szCs w:val="22"/>
          </w:rPr>
          <w:delText>lést folytatni kell. Amennyiben az Ön kezelőorvosa a metotrexát adását szükségtelennek tartja, abban az esetben a Humira önállóan alkalmazható.</w:delText>
        </w:r>
      </w:del>
    </w:p>
    <w:p w14:paraId="06532221" w14:textId="2187BCDB" w:rsidR="00FB6710" w:rsidRPr="00183B5F" w:rsidRDefault="00FB6710" w:rsidP="007276E0">
      <w:pPr>
        <w:spacing w:line="240" w:lineRule="auto"/>
        <w:ind w:right="-2"/>
        <w:rPr>
          <w:del w:id="12945" w:author="AbbVie_HU_03" w:date="2025-05-14T16:41:00Z"/>
          <w:szCs w:val="22"/>
        </w:rPr>
      </w:pPr>
    </w:p>
    <w:p w14:paraId="3E50EE88" w14:textId="2122E0CA" w:rsidR="00FB6710" w:rsidRPr="00183B5F" w:rsidRDefault="00943743" w:rsidP="007276E0">
      <w:pPr>
        <w:spacing w:line="240" w:lineRule="auto"/>
        <w:ind w:right="-2"/>
        <w:rPr>
          <w:del w:id="12946" w:author="AbbVie_HU_03" w:date="2025-05-14T16:41:00Z"/>
          <w:szCs w:val="22"/>
        </w:rPr>
      </w:pPr>
      <w:del w:id="12947" w:author="AbbVie_HU_03" w:date="2025-05-14T16:41:00Z">
        <w:r w:rsidRPr="00183B5F">
          <w:rPr>
            <w:szCs w:val="22"/>
          </w:rPr>
          <w:delText xml:space="preserve">Ha Önnek reumatoid artritisze van és a Humira alkalmazása során nem kap </w:delText>
        </w:r>
        <w:r w:rsidR="001A6E66" w:rsidRPr="00183B5F">
          <w:rPr>
            <w:szCs w:val="22"/>
          </w:rPr>
          <w:delText>metotrexát-keze</w:delText>
        </w:r>
        <w:r w:rsidRPr="00183B5F">
          <w:rPr>
            <w:szCs w:val="22"/>
          </w:rPr>
          <w:delText>lést, abban az esetben kezelőorvosa heten</w:delText>
        </w:r>
        <w:r w:rsidR="00800BE5" w:rsidRPr="00183B5F">
          <w:rPr>
            <w:szCs w:val="22"/>
          </w:rPr>
          <w:delText>te</w:delText>
        </w:r>
        <w:r w:rsidRPr="00183B5F">
          <w:rPr>
            <w:szCs w:val="22"/>
          </w:rPr>
          <w:delText xml:space="preserve"> 40 mg </w:delText>
        </w:r>
        <w:r w:rsidR="004D2BA8" w:rsidRPr="00183B5F">
          <w:rPr>
            <w:szCs w:val="22"/>
          </w:rPr>
          <w:delText>vagy kétheten</w:delText>
        </w:r>
        <w:r w:rsidR="00800BE5" w:rsidRPr="00183B5F">
          <w:rPr>
            <w:szCs w:val="22"/>
          </w:rPr>
          <w:delText>te</w:delText>
        </w:r>
        <w:r w:rsidR="004D2BA8" w:rsidRPr="00183B5F">
          <w:rPr>
            <w:szCs w:val="22"/>
          </w:rPr>
          <w:delText xml:space="preserve"> 80 mg </w:delText>
        </w:r>
        <w:r w:rsidRPr="00183B5F">
          <w:rPr>
            <w:szCs w:val="22"/>
          </w:rPr>
          <w:delText>adalimumab adása mellett dönthet.</w:delText>
        </w:r>
      </w:del>
    </w:p>
    <w:p w14:paraId="41DBA721" w14:textId="521677F4" w:rsidR="00FB6710" w:rsidRPr="00183B5F" w:rsidRDefault="00FB6710" w:rsidP="007276E0">
      <w:pPr>
        <w:spacing w:line="240" w:lineRule="auto"/>
        <w:ind w:right="-449"/>
        <w:rPr>
          <w:del w:id="12948" w:author="AbbVie_HU_03" w:date="2025-05-14T16:41:00Z"/>
          <w:szCs w:val="22"/>
        </w:rPr>
      </w:pPr>
    </w:p>
    <w:p w14:paraId="22A78105" w14:textId="4C12DC0B" w:rsidR="0068490A" w:rsidRPr="00183B5F" w:rsidRDefault="00943743" w:rsidP="007276E0">
      <w:pPr>
        <w:spacing w:line="240" w:lineRule="auto"/>
        <w:ind w:right="-449"/>
        <w:rPr>
          <w:del w:id="12949" w:author="AbbVie_HU_03" w:date="2025-05-14T16:41:00Z"/>
          <w:szCs w:val="22"/>
        </w:rPr>
      </w:pPr>
      <w:del w:id="12950" w:author="AbbVie_HU_03" w:date="2025-05-14T16:41:00Z">
        <w:r w:rsidRPr="00183B5F">
          <w:rPr>
            <w:szCs w:val="22"/>
            <w:u w:val="single"/>
          </w:rPr>
          <w:delText>Ismeretlen eredetű sokízületi gyulladásban szenvedő gyermekek</w:delText>
        </w:r>
        <w:r w:rsidR="00217CE0" w:rsidRPr="00183B5F">
          <w:rPr>
            <w:szCs w:val="22"/>
            <w:u w:val="single"/>
          </w:rPr>
          <w:delText>, serdülők és felnőttek</w:delText>
        </w:r>
      </w:del>
    </w:p>
    <w:p w14:paraId="0F0D631A" w14:textId="0A908072" w:rsidR="0068490A" w:rsidRPr="00183B5F" w:rsidRDefault="0068490A" w:rsidP="007276E0">
      <w:pPr>
        <w:spacing w:line="240" w:lineRule="auto"/>
        <w:ind w:right="-449"/>
        <w:rPr>
          <w:del w:id="12951" w:author="AbbVie_HU_03" w:date="2025-05-14T16:41:00Z"/>
          <w:szCs w:val="22"/>
        </w:rPr>
      </w:pPr>
    </w:p>
    <w:p w14:paraId="0F9F9E76" w14:textId="6C151BD1" w:rsidR="00217CE0" w:rsidRPr="00183B5F" w:rsidRDefault="00943743" w:rsidP="007276E0">
      <w:pPr>
        <w:keepNext/>
        <w:numPr>
          <w:ilvl w:val="12"/>
          <w:numId w:val="0"/>
        </w:numPr>
        <w:spacing w:line="240" w:lineRule="auto"/>
        <w:rPr>
          <w:del w:id="12952" w:author="AbbVie_HU_03" w:date="2025-05-14T16:41:00Z"/>
          <w:i/>
        </w:rPr>
      </w:pPr>
      <w:del w:id="12953" w:author="AbbVie_HU_03" w:date="2025-05-14T16:41:00Z">
        <w:r w:rsidRPr="00183B5F">
          <w:rPr>
            <w:i/>
          </w:rPr>
          <w:delText>2 évesnél idősebb, 10</w:delText>
        </w:r>
        <w:r w:rsidR="00127FA5" w:rsidRPr="00183B5F">
          <w:rPr>
            <w:i/>
          </w:rPr>
          <w:delText> kg</w:delText>
        </w:r>
        <w:r w:rsidR="00194670" w:rsidRPr="00183B5F">
          <w:rPr>
            <w:i/>
          </w:rPr>
          <w:noBreakHyphen/>
          <w:delText>nál nagyobb, de</w:delText>
        </w:r>
        <w:r w:rsidR="00127FA5" w:rsidRPr="00183B5F">
          <w:rPr>
            <w:i/>
          </w:rPr>
          <w:delText xml:space="preserve"> </w:delText>
        </w:r>
        <w:r w:rsidRPr="00183B5F">
          <w:rPr>
            <w:i/>
          </w:rPr>
          <w:delText>30 kg</w:delText>
        </w:r>
        <w:r w:rsidR="00194670" w:rsidRPr="00183B5F">
          <w:rPr>
            <w:i/>
          </w:rPr>
          <w:noBreakHyphen/>
          <w:delText>nál kisebb</w:delText>
        </w:r>
        <w:r w:rsidRPr="00183B5F">
          <w:rPr>
            <w:i/>
          </w:rPr>
          <w:delText xml:space="preserve"> testtömeg</w:delText>
        </w:r>
        <w:r w:rsidR="00194670" w:rsidRPr="00183B5F">
          <w:rPr>
            <w:i/>
          </w:rPr>
          <w:delText>ű</w:delText>
        </w:r>
        <w:r w:rsidRPr="00183B5F">
          <w:rPr>
            <w:i/>
          </w:rPr>
          <w:delText xml:space="preserve"> gyermekek és serdülők</w:delText>
        </w:r>
      </w:del>
    </w:p>
    <w:p w14:paraId="798EC950" w14:textId="00D9082E" w:rsidR="00217CE0" w:rsidRPr="00183B5F" w:rsidRDefault="00217CE0" w:rsidP="007276E0">
      <w:pPr>
        <w:keepNext/>
        <w:numPr>
          <w:ilvl w:val="12"/>
          <w:numId w:val="0"/>
        </w:numPr>
        <w:spacing w:line="240" w:lineRule="auto"/>
        <w:rPr>
          <w:del w:id="12954" w:author="AbbVie_HU_03" w:date="2025-05-14T16:41:00Z"/>
          <w:i/>
        </w:rPr>
      </w:pPr>
    </w:p>
    <w:p w14:paraId="75CE07F5" w14:textId="38D1EEF0" w:rsidR="00217CE0" w:rsidRPr="00183B5F" w:rsidRDefault="00943743" w:rsidP="007276E0">
      <w:pPr>
        <w:keepNext/>
        <w:numPr>
          <w:ilvl w:val="12"/>
          <w:numId w:val="0"/>
        </w:numPr>
        <w:spacing w:line="240" w:lineRule="auto"/>
        <w:rPr>
          <w:del w:id="12955" w:author="AbbVie_HU_03" w:date="2025-05-14T16:41:00Z"/>
        </w:rPr>
      </w:pPr>
      <w:del w:id="12956" w:author="AbbVie_HU_03" w:date="2025-05-14T16:41:00Z">
        <w:r w:rsidRPr="00183B5F">
          <w:delText>A Humira ajánlott adagja 20 mg minden második héten.</w:delText>
        </w:r>
      </w:del>
    </w:p>
    <w:p w14:paraId="7C14329E" w14:textId="68C83501" w:rsidR="00217CE0" w:rsidRPr="00183B5F" w:rsidRDefault="00217CE0" w:rsidP="007276E0">
      <w:pPr>
        <w:keepNext/>
        <w:numPr>
          <w:ilvl w:val="12"/>
          <w:numId w:val="0"/>
        </w:numPr>
        <w:spacing w:line="240" w:lineRule="auto"/>
        <w:rPr>
          <w:del w:id="12957" w:author="AbbVie_HU_03" w:date="2025-05-14T16:41:00Z"/>
        </w:rPr>
      </w:pPr>
    </w:p>
    <w:p w14:paraId="2DE6D7E7" w14:textId="7F987199" w:rsidR="00217CE0" w:rsidRPr="00183B5F" w:rsidRDefault="00943743" w:rsidP="007276E0">
      <w:pPr>
        <w:keepNext/>
        <w:numPr>
          <w:ilvl w:val="12"/>
          <w:numId w:val="0"/>
        </w:numPr>
        <w:spacing w:line="240" w:lineRule="auto"/>
        <w:rPr>
          <w:del w:id="12958" w:author="AbbVie_HU_03" w:date="2025-05-14T16:41:00Z"/>
          <w:i/>
        </w:rPr>
      </w:pPr>
      <w:del w:id="12959" w:author="AbbVie_HU_03" w:date="2025-05-14T16:41:00Z">
        <w:r w:rsidRPr="00183B5F">
          <w:rPr>
            <w:i/>
          </w:rPr>
          <w:delText>2 évesnél idősebb, 30 kg vagy annál nagyobb testtömegű gyermekek, serdülők és felnőttek</w:delText>
        </w:r>
      </w:del>
    </w:p>
    <w:p w14:paraId="0BF5802E" w14:textId="164AF2EB" w:rsidR="00217CE0" w:rsidRPr="00183B5F" w:rsidRDefault="00217CE0" w:rsidP="007276E0">
      <w:pPr>
        <w:keepNext/>
        <w:numPr>
          <w:ilvl w:val="12"/>
          <w:numId w:val="0"/>
        </w:numPr>
        <w:spacing w:line="240" w:lineRule="auto"/>
        <w:rPr>
          <w:del w:id="12960" w:author="AbbVie_HU_03" w:date="2025-05-14T16:41:00Z"/>
          <w:i/>
        </w:rPr>
      </w:pPr>
    </w:p>
    <w:p w14:paraId="64430E38" w14:textId="7FF52AE9" w:rsidR="00217CE0" w:rsidRPr="00183B5F" w:rsidRDefault="00943743" w:rsidP="007276E0">
      <w:pPr>
        <w:keepNext/>
        <w:numPr>
          <w:ilvl w:val="12"/>
          <w:numId w:val="0"/>
        </w:numPr>
        <w:spacing w:line="240" w:lineRule="auto"/>
        <w:rPr>
          <w:del w:id="12961" w:author="AbbVie_HU_03" w:date="2025-05-14T16:41:00Z"/>
          <w:i/>
        </w:rPr>
      </w:pPr>
      <w:del w:id="12962" w:author="AbbVie_HU_03" w:date="2025-05-14T16:41:00Z">
        <w:r w:rsidRPr="00183B5F">
          <w:delText>A Humira ajánlott adagja 40 mg minden második héten.</w:delText>
        </w:r>
      </w:del>
    </w:p>
    <w:p w14:paraId="7B856C4E" w14:textId="7B7C1803" w:rsidR="00D84252" w:rsidRPr="00183B5F" w:rsidRDefault="00D84252" w:rsidP="007276E0">
      <w:pPr>
        <w:spacing w:line="240" w:lineRule="auto"/>
        <w:ind w:right="-2"/>
        <w:rPr>
          <w:del w:id="12963" w:author="AbbVie_HU_03" w:date="2025-05-14T16:41:00Z"/>
          <w:szCs w:val="22"/>
        </w:rPr>
      </w:pPr>
    </w:p>
    <w:p w14:paraId="4898F71A" w14:textId="4B71B568" w:rsidR="00DC4FF8" w:rsidRPr="00183B5F" w:rsidRDefault="00943743" w:rsidP="007276E0">
      <w:pPr>
        <w:keepNext/>
        <w:numPr>
          <w:ilvl w:val="12"/>
          <w:numId w:val="0"/>
        </w:numPr>
        <w:spacing w:line="240" w:lineRule="auto"/>
        <w:rPr>
          <w:del w:id="12964" w:author="AbbVie_HU_03" w:date="2025-05-14T16:41:00Z"/>
          <w:szCs w:val="22"/>
          <w:u w:val="single"/>
        </w:rPr>
      </w:pPr>
      <w:del w:id="12965" w:author="AbbVie_HU_03" w:date="2025-05-14T16:41:00Z">
        <w:r w:rsidRPr="00183B5F">
          <w:rPr>
            <w:szCs w:val="22"/>
            <w:u w:val="single"/>
          </w:rPr>
          <w:delText xml:space="preserve">Az </w:delText>
        </w:r>
        <w:r w:rsidR="00E3515C" w:rsidRPr="00183B5F">
          <w:rPr>
            <w:szCs w:val="22"/>
            <w:u w:val="single"/>
          </w:rPr>
          <w:delText>i</w:delText>
        </w:r>
        <w:r w:rsidRPr="00183B5F">
          <w:rPr>
            <w:szCs w:val="22"/>
            <w:u w:val="single"/>
          </w:rPr>
          <w:delText>n</w:delText>
        </w:r>
        <w:r w:rsidR="00141743" w:rsidRPr="00183B5F">
          <w:rPr>
            <w:szCs w:val="22"/>
            <w:u w:val="single"/>
          </w:rPr>
          <w:delText xml:space="preserve">ak </w:delText>
        </w:r>
        <w:r w:rsidRPr="00183B5F">
          <w:rPr>
            <w:szCs w:val="22"/>
            <w:u w:val="single"/>
          </w:rPr>
          <w:delText>tapadási hely</w:delText>
        </w:r>
        <w:r w:rsidR="00E3515C" w:rsidRPr="00183B5F">
          <w:rPr>
            <w:szCs w:val="22"/>
            <w:u w:val="single"/>
          </w:rPr>
          <w:delText>é</w:delText>
        </w:r>
        <w:r w:rsidR="00141743" w:rsidRPr="00183B5F">
          <w:rPr>
            <w:szCs w:val="22"/>
            <w:u w:val="single"/>
          </w:rPr>
          <w:delText>ne</w:delText>
        </w:r>
        <w:r w:rsidRPr="00183B5F">
          <w:rPr>
            <w:szCs w:val="22"/>
            <w:u w:val="single"/>
          </w:rPr>
          <w:delText>k gyulladásos elváltozásával társult reumás ízületi gyulladásban szenvedő gyermekek</w:delText>
        </w:r>
        <w:r w:rsidR="00217CE0" w:rsidRPr="00183B5F">
          <w:rPr>
            <w:szCs w:val="22"/>
            <w:u w:val="single"/>
          </w:rPr>
          <w:delText>, serdülők és felnőttek</w:delText>
        </w:r>
      </w:del>
    </w:p>
    <w:p w14:paraId="2F4C8992" w14:textId="644930FE" w:rsidR="00DC4FF8" w:rsidRPr="00183B5F" w:rsidRDefault="00DC4FF8" w:rsidP="007276E0">
      <w:pPr>
        <w:keepNext/>
        <w:numPr>
          <w:ilvl w:val="12"/>
          <w:numId w:val="0"/>
        </w:numPr>
        <w:spacing w:line="240" w:lineRule="auto"/>
        <w:rPr>
          <w:del w:id="12966" w:author="AbbVie_HU_03" w:date="2025-05-14T16:41:00Z"/>
          <w:szCs w:val="22"/>
        </w:rPr>
      </w:pPr>
    </w:p>
    <w:p w14:paraId="264679D0" w14:textId="431978B1" w:rsidR="00217CE0" w:rsidRPr="00183B5F" w:rsidRDefault="00943743" w:rsidP="007276E0">
      <w:pPr>
        <w:spacing w:line="240" w:lineRule="auto"/>
        <w:ind w:right="-2"/>
        <w:rPr>
          <w:del w:id="12967" w:author="AbbVie_HU_03" w:date="2025-05-14T16:41:00Z"/>
          <w:i/>
        </w:rPr>
      </w:pPr>
      <w:del w:id="12968" w:author="AbbVie_HU_03" w:date="2025-05-14T16:41:00Z">
        <w:r w:rsidRPr="00183B5F">
          <w:rPr>
            <w:i/>
          </w:rPr>
          <w:delText>6 évesnél idősebb, 15</w:delText>
        </w:r>
        <w:r w:rsidR="00FB5CF5" w:rsidRPr="00183B5F">
          <w:rPr>
            <w:i/>
          </w:rPr>
          <w:delText> kg</w:delText>
        </w:r>
        <w:r w:rsidR="00194670" w:rsidRPr="00183B5F">
          <w:rPr>
            <w:i/>
          </w:rPr>
          <w:noBreakHyphen/>
          <w:delText>nál nagyobb, de</w:delText>
        </w:r>
        <w:r w:rsidR="00FB5CF5" w:rsidRPr="00183B5F">
          <w:rPr>
            <w:i/>
          </w:rPr>
          <w:delText xml:space="preserve"> </w:delText>
        </w:r>
        <w:r w:rsidRPr="00183B5F">
          <w:rPr>
            <w:i/>
          </w:rPr>
          <w:delText>30 kg</w:delText>
        </w:r>
        <w:r w:rsidR="00194670" w:rsidRPr="00183B5F">
          <w:rPr>
            <w:i/>
          </w:rPr>
          <w:noBreakHyphen/>
          <w:delText>nál kisebb</w:delText>
        </w:r>
        <w:r w:rsidRPr="00183B5F">
          <w:rPr>
            <w:i/>
          </w:rPr>
          <w:delText xml:space="preserve"> testtömegű gyermekek és serdülők</w:delText>
        </w:r>
      </w:del>
    </w:p>
    <w:p w14:paraId="78BBD6E2" w14:textId="4337E615" w:rsidR="00217CE0" w:rsidRPr="00183B5F" w:rsidRDefault="00217CE0" w:rsidP="007276E0">
      <w:pPr>
        <w:spacing w:line="240" w:lineRule="auto"/>
        <w:ind w:right="-2"/>
        <w:rPr>
          <w:del w:id="12969" w:author="AbbVie_HU_03" w:date="2025-05-14T16:41:00Z"/>
          <w:i/>
        </w:rPr>
      </w:pPr>
    </w:p>
    <w:p w14:paraId="592F9064" w14:textId="758B457D" w:rsidR="00217CE0" w:rsidRPr="00183B5F" w:rsidRDefault="00943743" w:rsidP="007276E0">
      <w:pPr>
        <w:keepNext/>
        <w:numPr>
          <w:ilvl w:val="12"/>
          <w:numId w:val="0"/>
        </w:numPr>
        <w:spacing w:line="240" w:lineRule="auto"/>
        <w:rPr>
          <w:del w:id="12970" w:author="AbbVie_HU_03" w:date="2025-05-14T16:41:00Z"/>
        </w:rPr>
      </w:pPr>
      <w:del w:id="12971" w:author="AbbVie_HU_03" w:date="2025-05-14T16:41:00Z">
        <w:r w:rsidRPr="00183B5F">
          <w:delText>A Humira ajánlott adagja 20 mg minden második héten.</w:delText>
        </w:r>
      </w:del>
    </w:p>
    <w:p w14:paraId="10C32293" w14:textId="7AF5B36F" w:rsidR="00217CE0" w:rsidRPr="00183B5F" w:rsidRDefault="00217CE0" w:rsidP="007276E0">
      <w:pPr>
        <w:spacing w:line="240" w:lineRule="auto"/>
        <w:ind w:right="-2"/>
        <w:rPr>
          <w:del w:id="12972" w:author="AbbVie_HU_03" w:date="2025-05-14T16:41:00Z"/>
          <w:i/>
        </w:rPr>
      </w:pPr>
    </w:p>
    <w:p w14:paraId="29121781" w14:textId="569D01D3" w:rsidR="00217CE0" w:rsidRPr="00183B5F" w:rsidRDefault="00943743" w:rsidP="007276E0">
      <w:pPr>
        <w:keepNext/>
        <w:numPr>
          <w:ilvl w:val="12"/>
          <w:numId w:val="0"/>
        </w:numPr>
        <w:spacing w:line="240" w:lineRule="auto"/>
        <w:rPr>
          <w:del w:id="12973" w:author="AbbVie_HU_03" w:date="2025-05-14T16:41:00Z"/>
          <w:i/>
        </w:rPr>
      </w:pPr>
      <w:del w:id="12974" w:author="AbbVie_HU_03" w:date="2025-05-14T16:41:00Z">
        <w:r w:rsidRPr="00183B5F">
          <w:rPr>
            <w:i/>
          </w:rPr>
          <w:delText>6 évesnél idősebb, 30 kg vagy annál nagyobb testtömegű gyermekek és serdülők</w:delText>
        </w:r>
      </w:del>
    </w:p>
    <w:p w14:paraId="361C68E2" w14:textId="605BE84C" w:rsidR="00217CE0" w:rsidRPr="00183B5F" w:rsidRDefault="00217CE0" w:rsidP="007276E0">
      <w:pPr>
        <w:spacing w:line="240" w:lineRule="auto"/>
        <w:ind w:right="-2"/>
        <w:rPr>
          <w:del w:id="12975" w:author="AbbVie_HU_03" w:date="2025-05-14T16:41:00Z"/>
          <w:i/>
        </w:rPr>
      </w:pPr>
    </w:p>
    <w:p w14:paraId="7AF088B4" w14:textId="2899055D" w:rsidR="00217CE0" w:rsidRPr="00183B5F" w:rsidRDefault="00943743" w:rsidP="007276E0">
      <w:pPr>
        <w:keepNext/>
        <w:numPr>
          <w:ilvl w:val="12"/>
          <w:numId w:val="0"/>
        </w:numPr>
        <w:spacing w:line="240" w:lineRule="auto"/>
        <w:rPr>
          <w:del w:id="12976" w:author="AbbVie_HU_03" w:date="2025-05-14T16:41:00Z"/>
          <w:i/>
        </w:rPr>
      </w:pPr>
      <w:del w:id="12977" w:author="AbbVie_HU_03" w:date="2025-05-14T16:41:00Z">
        <w:r w:rsidRPr="00183B5F">
          <w:delText>A Humira ajánlott adagja 40 mg minden második héten.</w:delText>
        </w:r>
      </w:del>
    </w:p>
    <w:p w14:paraId="78B96317" w14:textId="116F79F5" w:rsidR="00DC4FF8" w:rsidRPr="00183B5F" w:rsidRDefault="00DC4FF8" w:rsidP="007276E0">
      <w:pPr>
        <w:spacing w:line="240" w:lineRule="auto"/>
        <w:rPr>
          <w:del w:id="12978" w:author="AbbVie_HU_03" w:date="2025-05-14T16:41:00Z"/>
          <w:szCs w:val="22"/>
          <w:u w:val="single"/>
        </w:rPr>
      </w:pPr>
    </w:p>
    <w:p w14:paraId="7B1B5360" w14:textId="1910BC2C" w:rsidR="0068490A" w:rsidRPr="00183B5F" w:rsidRDefault="00943743" w:rsidP="007276E0">
      <w:pPr>
        <w:keepNext/>
        <w:spacing w:line="240" w:lineRule="auto"/>
        <w:rPr>
          <w:del w:id="12979" w:author="AbbVie_HU_03" w:date="2025-05-14T16:41:00Z"/>
          <w:szCs w:val="22"/>
          <w:u w:val="single"/>
        </w:rPr>
      </w:pPr>
      <w:del w:id="12980" w:author="AbbVie_HU_03" w:date="2025-05-14T16:41:00Z">
        <w:r w:rsidRPr="00183B5F">
          <w:rPr>
            <w:szCs w:val="22"/>
            <w:u w:val="single"/>
          </w:rPr>
          <w:delText>Pikkelysömörben szenvedő felnőttek</w:delText>
        </w:r>
      </w:del>
    </w:p>
    <w:p w14:paraId="625A8AFA" w14:textId="320FA865" w:rsidR="0068490A" w:rsidRPr="00183B5F" w:rsidRDefault="0068490A" w:rsidP="007276E0">
      <w:pPr>
        <w:keepNext/>
        <w:spacing w:line="240" w:lineRule="auto"/>
        <w:rPr>
          <w:del w:id="12981" w:author="AbbVie_HU_03" w:date="2025-05-14T16:41:00Z"/>
          <w:szCs w:val="22"/>
        </w:rPr>
      </w:pPr>
    </w:p>
    <w:p w14:paraId="46927176" w14:textId="236F5C90" w:rsidR="00FF0859" w:rsidRPr="00183B5F" w:rsidRDefault="00943743" w:rsidP="007276E0">
      <w:pPr>
        <w:keepNext/>
        <w:spacing w:line="240" w:lineRule="auto"/>
        <w:rPr>
          <w:del w:id="12982" w:author="AbbVie_HU_03" w:date="2025-05-14T16:41:00Z"/>
          <w:szCs w:val="22"/>
        </w:rPr>
      </w:pPr>
      <w:del w:id="12983" w:author="AbbVie_HU_03" w:date="2025-05-14T16:41:00Z">
        <w:r w:rsidRPr="00183B5F">
          <w:rPr>
            <w:szCs w:val="22"/>
          </w:rPr>
          <w:delText>A pikkelysömörben szenvedő felnőttek szokásos kezdő adagja 80 mg</w:delText>
        </w:r>
        <w:r w:rsidR="00217CE0" w:rsidRPr="00183B5F">
          <w:rPr>
            <w:szCs w:val="22"/>
          </w:rPr>
          <w:delText xml:space="preserve"> (két </w:delText>
        </w:r>
        <w:r w:rsidR="004D2BA8" w:rsidRPr="00183B5F">
          <w:rPr>
            <w:szCs w:val="22"/>
          </w:rPr>
          <w:delText>40 mg</w:delText>
        </w:r>
        <w:r w:rsidR="00E5381A" w:rsidRPr="00183B5F">
          <w:rPr>
            <w:szCs w:val="22"/>
          </w:rPr>
          <w:noBreakHyphen/>
        </w:r>
        <w:r w:rsidR="004D2BA8" w:rsidRPr="00183B5F">
          <w:rPr>
            <w:szCs w:val="22"/>
          </w:rPr>
          <w:delText xml:space="preserve">os </w:delText>
        </w:r>
        <w:r w:rsidR="00217CE0" w:rsidRPr="00183B5F">
          <w:rPr>
            <w:szCs w:val="22"/>
          </w:rPr>
          <w:delText>injekció egy napon)</w:delText>
        </w:r>
        <w:r w:rsidRPr="00183B5F">
          <w:rPr>
            <w:szCs w:val="22"/>
          </w:rPr>
          <w:delText xml:space="preserve">, amelyet minden második héten adott 40 mg követ, a </w:delText>
        </w:r>
        <w:r w:rsidR="00274D31" w:rsidRPr="00183B5F">
          <w:rPr>
            <w:szCs w:val="22"/>
          </w:rPr>
          <w:delText>kezdőadag</w:delText>
        </w:r>
        <w:r w:rsidRPr="00183B5F">
          <w:rPr>
            <w:szCs w:val="22"/>
          </w:rPr>
          <w:delText xml:space="preserve"> utáni első héttől kezdve. Humira injekciót az orvos által meghatározott ideig kell alkalmazni.</w:delText>
        </w:r>
        <w:r w:rsidR="00343E44" w:rsidRPr="00183B5F">
          <w:rPr>
            <w:szCs w:val="22"/>
          </w:rPr>
          <w:delText xml:space="preserve"> Attól függően, hogy Ön hogyan reagál a kezelésre, kezelőorvosa heti 40</w:delText>
        </w:r>
        <w:r w:rsidR="00061126" w:rsidRPr="00183B5F">
          <w:rPr>
            <w:szCs w:val="22"/>
          </w:rPr>
          <w:delText> </w:delText>
        </w:r>
        <w:r w:rsidR="00343E44" w:rsidRPr="00183B5F">
          <w:rPr>
            <w:szCs w:val="22"/>
          </w:rPr>
          <w:delText>mg ra</w:delText>
        </w:r>
        <w:r w:rsidR="00AF0C3A" w:rsidRPr="00183B5F">
          <w:rPr>
            <w:szCs w:val="22"/>
          </w:rPr>
          <w:delText xml:space="preserve"> vagy kéthetente</w:delText>
        </w:r>
        <w:r w:rsidR="004D2BA8" w:rsidRPr="00183B5F">
          <w:rPr>
            <w:szCs w:val="22"/>
          </w:rPr>
          <w:delText xml:space="preserve"> 80 mg</w:delText>
        </w:r>
        <w:r w:rsidR="00E5381A" w:rsidRPr="00183B5F">
          <w:rPr>
            <w:szCs w:val="22"/>
          </w:rPr>
          <w:noBreakHyphen/>
        </w:r>
        <w:r w:rsidR="004D2BA8" w:rsidRPr="00183B5F">
          <w:rPr>
            <w:szCs w:val="22"/>
          </w:rPr>
          <w:delText>ra</w:delText>
        </w:r>
        <w:r w:rsidR="00343E44" w:rsidRPr="00183B5F">
          <w:rPr>
            <w:szCs w:val="22"/>
          </w:rPr>
          <w:delText xml:space="preserve"> növelheti az adago</w:delText>
        </w:r>
        <w:r w:rsidR="004D2BA8" w:rsidRPr="00183B5F">
          <w:rPr>
            <w:szCs w:val="22"/>
          </w:rPr>
          <w:delText>t</w:delText>
        </w:r>
        <w:r w:rsidR="00343E44" w:rsidRPr="00183B5F">
          <w:rPr>
            <w:szCs w:val="22"/>
          </w:rPr>
          <w:delText>.</w:delText>
        </w:r>
      </w:del>
    </w:p>
    <w:p w14:paraId="7B179122" w14:textId="023EB42B" w:rsidR="001F37CD" w:rsidRPr="00183B5F" w:rsidRDefault="001F37CD" w:rsidP="007276E0">
      <w:pPr>
        <w:keepNext/>
        <w:spacing w:line="240" w:lineRule="auto"/>
        <w:rPr>
          <w:del w:id="12984" w:author="AbbVie_HU_03" w:date="2025-05-14T16:41:00Z"/>
          <w:szCs w:val="22"/>
        </w:rPr>
      </w:pPr>
    </w:p>
    <w:p w14:paraId="5227BA50" w14:textId="20E1E9EF" w:rsidR="00A7207B" w:rsidRPr="00183B5F" w:rsidRDefault="00943743" w:rsidP="007276E0">
      <w:pPr>
        <w:keepNext/>
        <w:numPr>
          <w:ilvl w:val="12"/>
          <w:numId w:val="0"/>
        </w:numPr>
        <w:spacing w:line="240" w:lineRule="auto"/>
        <w:ind w:right="-2"/>
        <w:rPr>
          <w:del w:id="12985" w:author="AbbVie_HU_03" w:date="2025-05-14T16:41:00Z"/>
          <w:szCs w:val="22"/>
          <w:u w:val="single"/>
        </w:rPr>
      </w:pPr>
      <w:del w:id="12986" w:author="AbbVie_HU_03" w:date="2025-05-14T16:41:00Z">
        <w:r w:rsidRPr="00183B5F">
          <w:rPr>
            <w:szCs w:val="22"/>
            <w:u w:val="single"/>
          </w:rPr>
          <w:delText>Pszoriázisban szenvedő gyermekek és serdülők</w:delText>
        </w:r>
      </w:del>
    </w:p>
    <w:p w14:paraId="59237DBB" w14:textId="15D83691" w:rsidR="00A7207B" w:rsidRPr="00183B5F" w:rsidRDefault="00A7207B" w:rsidP="007276E0">
      <w:pPr>
        <w:keepNext/>
        <w:numPr>
          <w:ilvl w:val="12"/>
          <w:numId w:val="0"/>
        </w:numPr>
        <w:spacing w:line="240" w:lineRule="auto"/>
        <w:ind w:right="-2"/>
        <w:rPr>
          <w:del w:id="12987" w:author="AbbVie_HU_03" w:date="2025-05-14T16:41:00Z"/>
          <w:szCs w:val="22"/>
        </w:rPr>
      </w:pPr>
    </w:p>
    <w:p w14:paraId="419B53A3" w14:textId="3AC0E31D" w:rsidR="00217CE0" w:rsidRPr="00183B5F" w:rsidRDefault="00943743" w:rsidP="007276E0">
      <w:pPr>
        <w:keepNext/>
        <w:numPr>
          <w:ilvl w:val="12"/>
          <w:numId w:val="0"/>
        </w:numPr>
        <w:spacing w:line="240" w:lineRule="auto"/>
        <w:rPr>
          <w:del w:id="12988" w:author="AbbVie_HU_03" w:date="2025-05-14T16:41:00Z"/>
          <w:i/>
        </w:rPr>
      </w:pPr>
      <w:del w:id="12989" w:author="AbbVie_HU_03" w:date="2025-05-14T16:41:00Z">
        <w:r w:rsidRPr="00183B5F">
          <w:rPr>
            <w:i/>
          </w:rPr>
          <w:delText>4-17 éves kor közötti, 15 </w:delText>
        </w:r>
        <w:r w:rsidR="00FB5CF5" w:rsidRPr="00183B5F">
          <w:rPr>
            <w:i/>
          </w:rPr>
          <w:delText>kg</w:delText>
        </w:r>
        <w:r w:rsidR="00194670" w:rsidRPr="00183B5F">
          <w:rPr>
            <w:i/>
          </w:rPr>
          <w:noBreakHyphen/>
          <w:delText>nál nagyobb, de</w:delText>
        </w:r>
        <w:r w:rsidRPr="00183B5F">
          <w:rPr>
            <w:i/>
          </w:rPr>
          <w:delText xml:space="preserve"> 30 kg</w:delText>
        </w:r>
        <w:r w:rsidR="00194670" w:rsidRPr="00183B5F">
          <w:rPr>
            <w:i/>
          </w:rPr>
          <w:noBreakHyphen/>
          <w:delText>nál kisebb</w:delText>
        </w:r>
        <w:r w:rsidRPr="00183B5F">
          <w:rPr>
            <w:i/>
          </w:rPr>
          <w:delText xml:space="preserve"> testtömegű gyermekek és serdülők</w:delText>
        </w:r>
      </w:del>
    </w:p>
    <w:p w14:paraId="7EE472D9" w14:textId="14D5AF12" w:rsidR="00217CE0" w:rsidRPr="00183B5F" w:rsidRDefault="00217CE0" w:rsidP="007276E0">
      <w:pPr>
        <w:keepNext/>
        <w:numPr>
          <w:ilvl w:val="12"/>
          <w:numId w:val="0"/>
        </w:numPr>
        <w:spacing w:line="240" w:lineRule="auto"/>
        <w:rPr>
          <w:del w:id="12990" w:author="AbbVie_HU_03" w:date="2025-05-14T16:41:00Z"/>
          <w:i/>
          <w:szCs w:val="22"/>
        </w:rPr>
      </w:pPr>
    </w:p>
    <w:p w14:paraId="1D16D87C" w14:textId="3F7459E3" w:rsidR="00217CE0" w:rsidRPr="00183B5F" w:rsidRDefault="00943743" w:rsidP="007276E0">
      <w:pPr>
        <w:keepNext/>
        <w:numPr>
          <w:ilvl w:val="12"/>
          <w:numId w:val="0"/>
        </w:numPr>
        <w:tabs>
          <w:tab w:val="left" w:pos="720"/>
        </w:tabs>
        <w:spacing w:line="240" w:lineRule="auto"/>
        <w:rPr>
          <w:del w:id="12991" w:author="AbbVie_HU_03" w:date="2025-05-14T16:41:00Z"/>
        </w:rPr>
      </w:pPr>
      <w:del w:id="12992" w:author="AbbVie_HU_03" w:date="2025-05-14T16:41:00Z">
        <w:r w:rsidRPr="00183B5F">
          <w:rPr>
            <w:szCs w:val="22"/>
          </w:rPr>
          <w:delText xml:space="preserve">A Humira ajánlott dózisa első alkalommal 20 mg, majd egy héttel később 20 mg. </w:delText>
        </w:r>
        <w:r w:rsidRPr="00183B5F">
          <w:delText>Ezt követően, a szokásos adag 20 mg minden második héten.</w:delText>
        </w:r>
      </w:del>
    </w:p>
    <w:p w14:paraId="107BC506" w14:textId="6DA9261D" w:rsidR="00217CE0" w:rsidRPr="00183B5F" w:rsidRDefault="00217CE0" w:rsidP="007276E0">
      <w:pPr>
        <w:numPr>
          <w:ilvl w:val="12"/>
          <w:numId w:val="0"/>
        </w:numPr>
        <w:tabs>
          <w:tab w:val="left" w:pos="720"/>
        </w:tabs>
        <w:spacing w:line="240" w:lineRule="auto"/>
        <w:rPr>
          <w:del w:id="12993" w:author="AbbVie_HU_03" w:date="2025-05-14T16:41:00Z"/>
          <w:szCs w:val="22"/>
        </w:rPr>
      </w:pPr>
    </w:p>
    <w:p w14:paraId="77421E97" w14:textId="57579E82" w:rsidR="00217CE0" w:rsidRPr="00183B5F" w:rsidRDefault="00943743" w:rsidP="007276E0">
      <w:pPr>
        <w:keepNext/>
        <w:numPr>
          <w:ilvl w:val="12"/>
          <w:numId w:val="0"/>
        </w:numPr>
        <w:tabs>
          <w:tab w:val="left" w:pos="720"/>
        </w:tabs>
        <w:spacing w:line="240" w:lineRule="auto"/>
        <w:rPr>
          <w:del w:id="12994" w:author="AbbVie_HU_03" w:date="2025-05-14T16:41:00Z"/>
          <w:i/>
        </w:rPr>
      </w:pPr>
      <w:del w:id="12995" w:author="AbbVie_HU_03" w:date="2025-05-14T16:41:00Z">
        <w:r w:rsidRPr="00183B5F">
          <w:rPr>
            <w:i/>
          </w:rPr>
          <w:delText>4-17 éves kor közötti, 30 kg vagy annál nagyobb testtömegű gyermekek és serdülők</w:delText>
        </w:r>
      </w:del>
    </w:p>
    <w:p w14:paraId="3E9C7586" w14:textId="5768C82D" w:rsidR="00217CE0" w:rsidRPr="00183B5F" w:rsidRDefault="00217CE0" w:rsidP="007276E0">
      <w:pPr>
        <w:keepNext/>
        <w:numPr>
          <w:ilvl w:val="12"/>
          <w:numId w:val="0"/>
        </w:numPr>
        <w:tabs>
          <w:tab w:val="left" w:pos="720"/>
        </w:tabs>
        <w:spacing w:line="240" w:lineRule="auto"/>
        <w:rPr>
          <w:del w:id="12996" w:author="AbbVie_HU_03" w:date="2025-05-14T16:41:00Z"/>
          <w:i/>
        </w:rPr>
      </w:pPr>
    </w:p>
    <w:p w14:paraId="13557A76" w14:textId="198BFE6B" w:rsidR="00217CE0" w:rsidRPr="00183B5F" w:rsidRDefault="00943743" w:rsidP="007276E0">
      <w:pPr>
        <w:keepNext/>
        <w:numPr>
          <w:ilvl w:val="12"/>
          <w:numId w:val="0"/>
        </w:numPr>
        <w:tabs>
          <w:tab w:val="left" w:pos="720"/>
        </w:tabs>
        <w:spacing w:line="240" w:lineRule="auto"/>
        <w:rPr>
          <w:del w:id="12997" w:author="AbbVie_HU_03" w:date="2025-05-14T16:41:00Z"/>
          <w:i/>
        </w:rPr>
      </w:pPr>
      <w:del w:id="12998" w:author="AbbVie_HU_03" w:date="2025-05-14T16:41:00Z">
        <w:r w:rsidRPr="00183B5F">
          <w:rPr>
            <w:szCs w:val="22"/>
          </w:rPr>
          <w:delText xml:space="preserve">A Humira ajánlott dózisa első alkalommal 40 mg, majd egy héttel később 40 mg. </w:delText>
        </w:r>
        <w:r w:rsidRPr="00183B5F">
          <w:delText>Ezt követően, a szokásos adag 40 mg minden második héten.</w:delText>
        </w:r>
      </w:del>
    </w:p>
    <w:p w14:paraId="5147C01B" w14:textId="2AAC1827" w:rsidR="006347E8" w:rsidRPr="00183B5F" w:rsidRDefault="006347E8" w:rsidP="007276E0">
      <w:pPr>
        <w:numPr>
          <w:ilvl w:val="12"/>
          <w:numId w:val="0"/>
        </w:numPr>
        <w:spacing w:line="240" w:lineRule="auto"/>
        <w:ind w:right="-2"/>
        <w:rPr>
          <w:del w:id="12999" w:author="AbbVie_HU_03" w:date="2025-05-14T16:41:00Z"/>
          <w:szCs w:val="22"/>
        </w:rPr>
      </w:pPr>
    </w:p>
    <w:p w14:paraId="48A1B156" w14:textId="15ECC07B" w:rsidR="006347E8" w:rsidRPr="00183B5F" w:rsidRDefault="00943743" w:rsidP="007276E0">
      <w:pPr>
        <w:keepNext/>
        <w:spacing w:line="240" w:lineRule="auto"/>
        <w:rPr>
          <w:del w:id="13000" w:author="AbbVie_HU_03" w:date="2025-05-14T16:41:00Z"/>
          <w:szCs w:val="22"/>
          <w:u w:val="single"/>
        </w:rPr>
      </w:pPr>
      <w:del w:id="13001" w:author="AbbVie_HU_03" w:date="2025-05-14T16:41:00Z">
        <w:r w:rsidRPr="00183B5F">
          <w:rPr>
            <w:szCs w:val="22"/>
            <w:u w:val="single"/>
          </w:rPr>
          <w:delText>Hidradenitis</w:delText>
        </w:r>
        <w:r w:rsidR="00A7753A" w:rsidRPr="00183B5F">
          <w:rPr>
            <w:szCs w:val="22"/>
            <w:u w:val="single"/>
          </w:rPr>
          <w:delText>z</w:delText>
        </w:r>
        <w:r w:rsidRPr="00183B5F">
          <w:rPr>
            <w:szCs w:val="22"/>
            <w:u w:val="single"/>
          </w:rPr>
          <w:delText xml:space="preserve"> s</w:delText>
        </w:r>
        <w:r w:rsidR="00A7753A" w:rsidRPr="00183B5F">
          <w:rPr>
            <w:szCs w:val="22"/>
            <w:u w:val="single"/>
          </w:rPr>
          <w:delText>z</w:delText>
        </w:r>
        <w:r w:rsidRPr="00183B5F">
          <w:rPr>
            <w:szCs w:val="22"/>
            <w:u w:val="single"/>
          </w:rPr>
          <w:delText>uppurat</w:delText>
        </w:r>
        <w:r w:rsidR="00BD3F27" w:rsidRPr="00183B5F">
          <w:rPr>
            <w:szCs w:val="22"/>
            <w:u w:val="single"/>
          </w:rPr>
          <w:delText>í</w:delText>
        </w:r>
        <w:r w:rsidRPr="00183B5F">
          <w:rPr>
            <w:szCs w:val="22"/>
            <w:u w:val="single"/>
          </w:rPr>
          <w:delText>vában szenvedő felnőttek</w:delText>
        </w:r>
      </w:del>
    </w:p>
    <w:p w14:paraId="7E1D0ECC" w14:textId="36A0E921" w:rsidR="006347E8" w:rsidRPr="00183B5F" w:rsidRDefault="006347E8" w:rsidP="007276E0">
      <w:pPr>
        <w:keepNext/>
        <w:spacing w:line="240" w:lineRule="auto"/>
        <w:rPr>
          <w:del w:id="13002" w:author="AbbVie_HU_03" w:date="2025-05-14T16:41:00Z"/>
          <w:szCs w:val="22"/>
        </w:rPr>
      </w:pPr>
    </w:p>
    <w:p w14:paraId="3BCDB127" w14:textId="7E62DCD4" w:rsidR="006347E8" w:rsidRPr="00183B5F" w:rsidRDefault="00943743" w:rsidP="007276E0">
      <w:pPr>
        <w:spacing w:line="240" w:lineRule="auto"/>
        <w:rPr>
          <w:del w:id="13003" w:author="AbbVie_HU_03" w:date="2025-05-14T16:41:00Z"/>
          <w:szCs w:val="22"/>
        </w:rPr>
      </w:pPr>
      <w:del w:id="13004" w:author="AbbVie_HU_03" w:date="2025-05-14T16:41:00Z">
        <w:r w:rsidRPr="00183B5F">
          <w:rPr>
            <w:szCs w:val="22"/>
          </w:rPr>
          <w:delText xml:space="preserve">A Humira javasolt adagolása hidradenitis suppurativában szenvedő felnőttek </w:delText>
        </w:r>
        <w:r w:rsidR="00324601" w:rsidRPr="00183B5F">
          <w:rPr>
            <w:szCs w:val="22"/>
          </w:rPr>
          <w:delText>kezdő</w:delText>
        </w:r>
        <w:r w:rsidRPr="00183B5F">
          <w:rPr>
            <w:szCs w:val="22"/>
          </w:rPr>
          <w:delText xml:space="preserve"> kezelésére 160 mg (</w:delText>
        </w:r>
        <w:r w:rsidR="00217CE0" w:rsidRPr="00183B5F">
          <w:rPr>
            <w:szCs w:val="22"/>
          </w:rPr>
          <w:delText>négy</w:delText>
        </w:r>
        <w:r w:rsidR="004D2BA8" w:rsidRPr="00183B5F">
          <w:rPr>
            <w:szCs w:val="22"/>
          </w:rPr>
          <w:delText xml:space="preserve"> 40 mg</w:delText>
        </w:r>
        <w:r w:rsidR="00E5381A" w:rsidRPr="00183B5F">
          <w:rPr>
            <w:szCs w:val="22"/>
          </w:rPr>
          <w:noBreakHyphen/>
        </w:r>
        <w:r w:rsidR="004D2BA8" w:rsidRPr="00183B5F">
          <w:rPr>
            <w:szCs w:val="22"/>
          </w:rPr>
          <w:delText>os</w:delText>
        </w:r>
        <w:r w:rsidRPr="00183B5F">
          <w:rPr>
            <w:szCs w:val="22"/>
          </w:rPr>
          <w:delText xml:space="preserve"> injekcióban egyetlen napon, vagy napi </w:delText>
        </w:r>
        <w:r w:rsidR="00217CE0" w:rsidRPr="00183B5F">
          <w:rPr>
            <w:szCs w:val="22"/>
          </w:rPr>
          <w:delText>két</w:delText>
        </w:r>
        <w:r w:rsidR="00003A4F" w:rsidRPr="00183B5F">
          <w:rPr>
            <w:szCs w:val="22"/>
          </w:rPr>
          <w:delText>-két</w:delText>
        </w:r>
        <w:r w:rsidR="004D2BA8" w:rsidRPr="00183B5F">
          <w:rPr>
            <w:szCs w:val="22"/>
          </w:rPr>
          <w:delText xml:space="preserve"> 40 mg</w:delText>
        </w:r>
        <w:r w:rsidR="00E5381A" w:rsidRPr="00183B5F">
          <w:rPr>
            <w:szCs w:val="22"/>
          </w:rPr>
          <w:noBreakHyphen/>
        </w:r>
        <w:r w:rsidR="004D2BA8" w:rsidRPr="00183B5F">
          <w:rPr>
            <w:szCs w:val="22"/>
          </w:rPr>
          <w:delText>os</w:delText>
        </w:r>
        <w:r w:rsidRPr="00183B5F">
          <w:rPr>
            <w:szCs w:val="22"/>
          </w:rPr>
          <w:delText xml:space="preserve"> injekcióban két egymást követő napon beadva), melyet </w:delText>
        </w:r>
        <w:r w:rsidR="00061126" w:rsidRPr="00183B5F">
          <w:rPr>
            <w:szCs w:val="22"/>
          </w:rPr>
          <w:delText xml:space="preserve">két </w:delText>
        </w:r>
        <w:r w:rsidRPr="00183B5F">
          <w:rPr>
            <w:szCs w:val="22"/>
          </w:rPr>
          <w:delText>héttel később 80 mg követ(</w:delText>
        </w:r>
        <w:r w:rsidR="00061126" w:rsidRPr="00183B5F">
          <w:rPr>
            <w:szCs w:val="22"/>
          </w:rPr>
          <w:delText xml:space="preserve">két </w:delText>
        </w:r>
        <w:r w:rsidR="004D2BA8" w:rsidRPr="00183B5F">
          <w:rPr>
            <w:szCs w:val="22"/>
          </w:rPr>
          <w:delText>40 mg</w:delText>
        </w:r>
        <w:r w:rsidR="00E5381A" w:rsidRPr="00183B5F">
          <w:rPr>
            <w:szCs w:val="22"/>
          </w:rPr>
          <w:noBreakHyphen/>
        </w:r>
        <w:r w:rsidR="004D2BA8" w:rsidRPr="00183B5F">
          <w:rPr>
            <w:szCs w:val="22"/>
          </w:rPr>
          <w:delText xml:space="preserve">os </w:delText>
        </w:r>
        <w:r w:rsidRPr="00183B5F">
          <w:rPr>
            <w:szCs w:val="22"/>
          </w:rPr>
          <w:delText xml:space="preserve">injekcióban beadva egyetlen napon). Két héttel később heti 40 mg </w:delText>
        </w:r>
        <w:r w:rsidR="004D2BA8" w:rsidRPr="00183B5F">
          <w:rPr>
            <w:szCs w:val="22"/>
          </w:rPr>
          <w:delText>vagy kétheten</w:delText>
        </w:r>
        <w:r w:rsidR="00003A4F" w:rsidRPr="00183B5F">
          <w:rPr>
            <w:szCs w:val="22"/>
          </w:rPr>
          <w:delText>te</w:delText>
        </w:r>
        <w:r w:rsidR="004D2BA8" w:rsidRPr="00183B5F">
          <w:rPr>
            <w:szCs w:val="22"/>
          </w:rPr>
          <w:delText xml:space="preserve"> 80 mg </w:delText>
        </w:r>
        <w:r w:rsidRPr="00183B5F">
          <w:rPr>
            <w:szCs w:val="22"/>
          </w:rPr>
          <w:delText>dózissal folytassa</w:delText>
        </w:r>
        <w:r w:rsidR="004D2BA8" w:rsidRPr="00183B5F">
          <w:rPr>
            <w:szCs w:val="22"/>
          </w:rPr>
          <w:delText xml:space="preserve">, </w:delText>
        </w:r>
        <w:r w:rsidR="00DA59DA" w:rsidRPr="00183B5F">
          <w:rPr>
            <w:szCs w:val="22"/>
          </w:rPr>
          <w:delText>kezelő</w:delText>
        </w:r>
        <w:r w:rsidR="003067C7" w:rsidRPr="00183B5F">
          <w:rPr>
            <w:szCs w:val="22"/>
          </w:rPr>
          <w:delText xml:space="preserve">orvosának </w:delText>
        </w:r>
        <w:r w:rsidR="00003A4F" w:rsidRPr="00183B5F">
          <w:rPr>
            <w:szCs w:val="22"/>
          </w:rPr>
          <w:delText>utasít</w:delText>
        </w:r>
        <w:r w:rsidR="003067C7" w:rsidRPr="00183B5F">
          <w:rPr>
            <w:szCs w:val="22"/>
          </w:rPr>
          <w:delText>ása szerint</w:delText>
        </w:r>
        <w:r w:rsidRPr="00183B5F">
          <w:rPr>
            <w:szCs w:val="22"/>
          </w:rPr>
          <w:delText>. Javasol</w:delText>
        </w:r>
        <w:r w:rsidR="000E11E5" w:rsidRPr="00183B5F">
          <w:rPr>
            <w:szCs w:val="22"/>
          </w:rPr>
          <w:delText>t</w:delText>
        </w:r>
        <w:r w:rsidR="00324601" w:rsidRPr="00183B5F">
          <w:rPr>
            <w:szCs w:val="22"/>
          </w:rPr>
          <w:delText>, hogy</w:delText>
        </w:r>
        <w:r w:rsidRPr="00183B5F">
          <w:rPr>
            <w:szCs w:val="22"/>
          </w:rPr>
          <w:delText xml:space="preserve"> naponta használjon fertőtlenítő lemosót az érintett területeken.</w:delText>
        </w:r>
      </w:del>
    </w:p>
    <w:p w14:paraId="5D12078C" w14:textId="31BEA0BC" w:rsidR="004B28FC" w:rsidRPr="00183B5F" w:rsidRDefault="004B28FC" w:rsidP="007276E0">
      <w:pPr>
        <w:keepNext/>
        <w:numPr>
          <w:ilvl w:val="12"/>
          <w:numId w:val="0"/>
        </w:numPr>
        <w:spacing w:line="240" w:lineRule="auto"/>
        <w:rPr>
          <w:del w:id="13005" w:author="AbbVie_HU_03" w:date="2025-05-14T16:41:00Z"/>
          <w:szCs w:val="22"/>
        </w:rPr>
      </w:pPr>
    </w:p>
    <w:p w14:paraId="17B872A8" w14:textId="6E7ECA89" w:rsidR="00DF61CC" w:rsidRPr="00183B5F" w:rsidRDefault="00943743" w:rsidP="007276E0">
      <w:pPr>
        <w:keepNext/>
        <w:numPr>
          <w:ilvl w:val="12"/>
          <w:numId w:val="0"/>
        </w:numPr>
        <w:spacing w:line="240" w:lineRule="auto"/>
        <w:rPr>
          <w:del w:id="13006" w:author="AbbVie_HU_03" w:date="2025-05-14T16:41:00Z"/>
          <w:szCs w:val="22"/>
          <w:u w:val="single"/>
        </w:rPr>
      </w:pPr>
      <w:del w:id="13007" w:author="AbbVie_HU_03" w:date="2025-05-14T16:41:00Z">
        <w:r w:rsidRPr="00183B5F">
          <w:rPr>
            <w:szCs w:val="22"/>
            <w:u w:val="single"/>
          </w:rPr>
          <w:delText>Hidradenitisz szuppuratívában szenvedő</w:delText>
        </w:r>
        <w:r w:rsidR="00A7753A" w:rsidRPr="00183B5F">
          <w:rPr>
            <w:szCs w:val="22"/>
            <w:u w:val="single"/>
          </w:rPr>
          <w:delText>,</w:delText>
        </w:r>
        <w:r w:rsidRPr="00183B5F">
          <w:rPr>
            <w:szCs w:val="22"/>
            <w:u w:val="single"/>
          </w:rPr>
          <w:delText xml:space="preserve"> </w:delText>
        </w:r>
        <w:r w:rsidR="00A7753A" w:rsidRPr="00183B5F">
          <w:rPr>
            <w:szCs w:val="22"/>
            <w:u w:val="single"/>
          </w:rPr>
          <w:delText>12</w:delText>
        </w:r>
        <w:r w:rsidR="00A7753A" w:rsidRPr="00183B5F">
          <w:rPr>
            <w:szCs w:val="22"/>
            <w:u w:val="single"/>
          </w:rPr>
          <w:noBreakHyphen/>
        </w:r>
        <w:r w:rsidRPr="00183B5F">
          <w:rPr>
            <w:szCs w:val="22"/>
            <w:u w:val="single"/>
          </w:rPr>
          <w:delText>17  éves kor között</w:delText>
        </w:r>
        <w:r w:rsidR="00A7753A" w:rsidRPr="00183B5F">
          <w:rPr>
            <w:szCs w:val="22"/>
            <w:u w:val="single"/>
          </w:rPr>
          <w:delText>i</w:delText>
        </w:r>
        <w:r w:rsidRPr="00183B5F">
          <w:rPr>
            <w:szCs w:val="22"/>
            <w:u w:val="single"/>
          </w:rPr>
          <w:delText xml:space="preserve">, 30 kg vagy annál nagyobb testtömegű </w:delText>
        </w:r>
        <w:r w:rsidR="00A7753A" w:rsidRPr="00183B5F">
          <w:rPr>
            <w:szCs w:val="22"/>
            <w:u w:val="single"/>
          </w:rPr>
          <w:delText>serdülők</w:delText>
        </w:r>
      </w:del>
    </w:p>
    <w:p w14:paraId="1A1366FB" w14:textId="112CCBDB" w:rsidR="004B28FC" w:rsidRPr="00183B5F" w:rsidRDefault="004B28FC" w:rsidP="007276E0">
      <w:pPr>
        <w:keepNext/>
        <w:numPr>
          <w:ilvl w:val="12"/>
          <w:numId w:val="0"/>
        </w:numPr>
        <w:spacing w:line="240" w:lineRule="auto"/>
        <w:rPr>
          <w:del w:id="13008" w:author="AbbVie_HU_03" w:date="2025-05-14T16:41:00Z"/>
          <w:szCs w:val="22"/>
        </w:rPr>
      </w:pPr>
    </w:p>
    <w:p w14:paraId="75627DC0" w14:textId="6EE446BC" w:rsidR="004B28FC" w:rsidRPr="00183B5F" w:rsidRDefault="00943743" w:rsidP="007276E0">
      <w:pPr>
        <w:keepNext/>
        <w:spacing w:line="240" w:lineRule="auto"/>
        <w:rPr>
          <w:del w:id="13009" w:author="AbbVie_HU_03" w:date="2025-05-14T16:41:00Z"/>
          <w:szCs w:val="22"/>
        </w:rPr>
      </w:pPr>
      <w:del w:id="13010" w:author="AbbVie_HU_03" w:date="2025-05-14T16:41:00Z">
        <w:r w:rsidRPr="00183B5F">
          <w:rPr>
            <w:szCs w:val="22"/>
          </w:rPr>
          <w:delText xml:space="preserve">A kezdő adag 80 mg (két </w:delText>
        </w:r>
        <w:r w:rsidR="004D2BA8" w:rsidRPr="00183B5F">
          <w:rPr>
            <w:szCs w:val="22"/>
          </w:rPr>
          <w:delText>40 mg</w:delText>
        </w:r>
        <w:r w:rsidR="00E5381A" w:rsidRPr="00183B5F">
          <w:rPr>
            <w:szCs w:val="22"/>
          </w:rPr>
          <w:noBreakHyphen/>
        </w:r>
        <w:r w:rsidR="004D2BA8" w:rsidRPr="00183B5F">
          <w:rPr>
            <w:szCs w:val="22"/>
          </w:rPr>
          <w:delText xml:space="preserve">os </w:delText>
        </w:r>
        <w:r w:rsidRPr="00183B5F">
          <w:rPr>
            <w:szCs w:val="22"/>
          </w:rPr>
          <w:delText xml:space="preserve">injekció </w:delText>
        </w:r>
        <w:r w:rsidR="00DF61CC" w:rsidRPr="00183B5F">
          <w:rPr>
            <w:szCs w:val="22"/>
          </w:rPr>
          <w:delText>egy</w:delText>
        </w:r>
        <w:r w:rsidRPr="00183B5F">
          <w:rPr>
            <w:szCs w:val="22"/>
          </w:rPr>
          <w:delText xml:space="preserve"> napon), amelyet egy héttel később minden második héten adott 40 mg követ. Ha Ön nem megfelelően reagál a </w:delText>
        </w:r>
        <w:r w:rsidR="004D2BA8" w:rsidRPr="00183B5F">
          <w:rPr>
            <w:szCs w:val="22"/>
          </w:rPr>
          <w:delText>kéthetente adott 40 mg Humira</w:delText>
        </w:r>
        <w:r w:rsidR="004D2BA8" w:rsidRPr="00183B5F">
          <w:rPr>
            <w:szCs w:val="22"/>
          </w:rPr>
          <w:noBreakHyphen/>
        </w:r>
        <w:r w:rsidRPr="00183B5F">
          <w:rPr>
            <w:szCs w:val="22"/>
          </w:rPr>
          <w:delText>kezelésre, kezelőorvosa megemelheti az adago</w:delText>
        </w:r>
        <w:r w:rsidR="004D2BA8" w:rsidRPr="00183B5F">
          <w:rPr>
            <w:szCs w:val="22"/>
          </w:rPr>
          <w:delText>t</w:delText>
        </w:r>
        <w:r w:rsidR="00003A4F" w:rsidRPr="00183B5F">
          <w:rPr>
            <w:szCs w:val="22"/>
          </w:rPr>
          <w:delText xml:space="preserve"> </w:delText>
        </w:r>
        <w:r w:rsidRPr="00183B5F">
          <w:rPr>
            <w:szCs w:val="22"/>
          </w:rPr>
          <w:delText>heti 40 mg</w:delText>
        </w:r>
        <w:r w:rsidRPr="00183B5F">
          <w:rPr>
            <w:szCs w:val="22"/>
          </w:rPr>
          <w:noBreakHyphen/>
          <w:delText>ra</w:delText>
        </w:r>
        <w:r w:rsidR="004D2BA8" w:rsidRPr="00183B5F">
          <w:rPr>
            <w:szCs w:val="22"/>
          </w:rPr>
          <w:delText xml:space="preserve"> vagy ké</w:delText>
        </w:r>
        <w:r w:rsidR="00003A4F" w:rsidRPr="00183B5F">
          <w:rPr>
            <w:szCs w:val="22"/>
          </w:rPr>
          <w:delText>t</w:delText>
        </w:r>
        <w:r w:rsidR="004D2BA8" w:rsidRPr="00183B5F">
          <w:rPr>
            <w:szCs w:val="22"/>
          </w:rPr>
          <w:delText>het</w:delText>
        </w:r>
        <w:r w:rsidR="00003A4F" w:rsidRPr="00183B5F">
          <w:rPr>
            <w:szCs w:val="22"/>
          </w:rPr>
          <w:delText>ente</w:delText>
        </w:r>
        <w:r w:rsidR="004D2BA8" w:rsidRPr="00183B5F">
          <w:rPr>
            <w:szCs w:val="22"/>
          </w:rPr>
          <w:delText xml:space="preserve"> 80 mg</w:delText>
        </w:r>
        <w:r w:rsidR="004D2BA8" w:rsidRPr="00183B5F">
          <w:rPr>
            <w:szCs w:val="22"/>
          </w:rPr>
          <w:noBreakHyphen/>
          <w:delText>ra</w:delText>
        </w:r>
        <w:r w:rsidRPr="00183B5F">
          <w:rPr>
            <w:szCs w:val="22"/>
          </w:rPr>
          <w:delText>.</w:delText>
        </w:r>
      </w:del>
    </w:p>
    <w:p w14:paraId="5E7F3565" w14:textId="467A7CAD" w:rsidR="004B28FC" w:rsidRPr="00183B5F" w:rsidRDefault="004B28FC" w:rsidP="007276E0">
      <w:pPr>
        <w:keepNext/>
        <w:spacing w:line="240" w:lineRule="auto"/>
        <w:rPr>
          <w:del w:id="13011" w:author="AbbVie_HU_03" w:date="2025-05-14T16:41:00Z"/>
          <w:szCs w:val="22"/>
        </w:rPr>
      </w:pPr>
    </w:p>
    <w:p w14:paraId="51304D44" w14:textId="04329AC4" w:rsidR="004B28FC" w:rsidRPr="00183B5F" w:rsidRDefault="00943743" w:rsidP="007276E0">
      <w:pPr>
        <w:numPr>
          <w:ilvl w:val="12"/>
          <w:numId w:val="0"/>
        </w:numPr>
        <w:spacing w:line="240" w:lineRule="auto"/>
        <w:ind w:right="-2"/>
        <w:rPr>
          <w:del w:id="13012" w:author="AbbVie_HU_03" w:date="2025-05-14T16:41:00Z"/>
          <w:szCs w:val="22"/>
        </w:rPr>
      </w:pPr>
      <w:del w:id="13013" w:author="AbbVie_HU_03" w:date="2025-05-14T16:41:00Z">
        <w:r w:rsidRPr="00183B5F">
          <w:rPr>
            <w:szCs w:val="22"/>
          </w:rPr>
          <w:delText>Javasolt, hogy naponta használjon fertőtlenítő lemosót az érintett területeken.</w:delText>
        </w:r>
      </w:del>
    </w:p>
    <w:p w14:paraId="451100EB" w14:textId="2467F94B" w:rsidR="004B28FC" w:rsidRPr="00183B5F" w:rsidRDefault="004B28FC" w:rsidP="007276E0">
      <w:pPr>
        <w:spacing w:line="240" w:lineRule="auto"/>
        <w:ind w:right="-2"/>
        <w:rPr>
          <w:del w:id="13014" w:author="AbbVie_HU_03" w:date="2025-05-14T16:41:00Z"/>
          <w:szCs w:val="22"/>
          <w:u w:val="single"/>
        </w:rPr>
      </w:pPr>
    </w:p>
    <w:p w14:paraId="385D21B2" w14:textId="006242AB" w:rsidR="0068490A" w:rsidRPr="00183B5F" w:rsidRDefault="00943743" w:rsidP="007276E0">
      <w:pPr>
        <w:spacing w:line="240" w:lineRule="auto"/>
        <w:ind w:right="-2"/>
        <w:rPr>
          <w:del w:id="13015" w:author="AbbVie_HU_03" w:date="2025-05-14T16:41:00Z"/>
          <w:szCs w:val="22"/>
        </w:rPr>
      </w:pPr>
      <w:del w:id="13016" w:author="AbbVie_HU_03" w:date="2025-05-14T16:41:00Z">
        <w:r w:rsidRPr="00183B5F">
          <w:rPr>
            <w:szCs w:val="22"/>
            <w:u w:val="single"/>
          </w:rPr>
          <w:delText>Crohn</w:delText>
        </w:r>
        <w:r w:rsidR="00141743" w:rsidRPr="00183B5F">
          <w:rPr>
            <w:szCs w:val="22"/>
            <w:u w:val="single"/>
          </w:rPr>
          <w:noBreakHyphen/>
        </w:r>
        <w:r w:rsidRPr="00183B5F">
          <w:rPr>
            <w:szCs w:val="22"/>
            <w:u w:val="single"/>
          </w:rPr>
          <w:delText>betegségben szenvedő felnőttek</w:delText>
        </w:r>
      </w:del>
    </w:p>
    <w:p w14:paraId="67E279D6" w14:textId="54A45850" w:rsidR="0068490A" w:rsidRPr="00183B5F" w:rsidRDefault="0068490A" w:rsidP="007276E0">
      <w:pPr>
        <w:spacing w:line="240" w:lineRule="auto"/>
        <w:ind w:right="-2"/>
        <w:rPr>
          <w:del w:id="13017" w:author="AbbVie_HU_03" w:date="2025-05-14T16:41:00Z"/>
          <w:szCs w:val="22"/>
        </w:rPr>
      </w:pPr>
    </w:p>
    <w:p w14:paraId="7668EE37" w14:textId="4EC14507" w:rsidR="00274D31" w:rsidRPr="00183B5F" w:rsidRDefault="00943743" w:rsidP="007276E0">
      <w:pPr>
        <w:spacing w:line="240" w:lineRule="auto"/>
        <w:ind w:right="-2"/>
        <w:rPr>
          <w:del w:id="13018" w:author="AbbVie_HU_03" w:date="2025-05-14T16:41:00Z"/>
          <w:szCs w:val="22"/>
        </w:rPr>
      </w:pPr>
      <w:del w:id="13019" w:author="AbbVie_HU_03" w:date="2025-05-14T16:41:00Z">
        <w:r w:rsidRPr="00183B5F">
          <w:rPr>
            <w:szCs w:val="22"/>
          </w:rPr>
          <w:delText>Crohn</w:delText>
        </w:r>
        <w:r w:rsidR="00141743" w:rsidRPr="00183B5F">
          <w:rPr>
            <w:szCs w:val="22"/>
          </w:rPr>
          <w:noBreakHyphen/>
        </w:r>
        <w:r w:rsidRPr="00183B5F">
          <w:rPr>
            <w:szCs w:val="22"/>
          </w:rPr>
          <w:delText>betegségben a szokásos adag</w:delText>
        </w:r>
        <w:r w:rsidR="0068490A" w:rsidRPr="00183B5F">
          <w:rPr>
            <w:szCs w:val="22"/>
          </w:rPr>
          <w:delText xml:space="preserve"> először</w:delText>
        </w:r>
        <w:r w:rsidRPr="00183B5F">
          <w:rPr>
            <w:szCs w:val="22"/>
          </w:rPr>
          <w:delText xml:space="preserve"> 80 mg</w:delText>
        </w:r>
        <w:r w:rsidR="00DF61CC" w:rsidRPr="00183B5F">
          <w:rPr>
            <w:szCs w:val="22"/>
          </w:rPr>
          <w:delText xml:space="preserve"> (két </w:delText>
        </w:r>
        <w:r w:rsidR="004D2BA8" w:rsidRPr="00183B5F">
          <w:rPr>
            <w:szCs w:val="22"/>
          </w:rPr>
          <w:delText>40 mg</w:delText>
        </w:r>
        <w:r w:rsidR="00E5381A" w:rsidRPr="00183B5F">
          <w:rPr>
            <w:szCs w:val="22"/>
          </w:rPr>
          <w:noBreakHyphen/>
        </w:r>
        <w:r w:rsidR="004D2BA8" w:rsidRPr="00183B5F">
          <w:rPr>
            <w:szCs w:val="22"/>
          </w:rPr>
          <w:delText xml:space="preserve">os </w:delText>
        </w:r>
        <w:r w:rsidR="00DF61CC" w:rsidRPr="00183B5F">
          <w:rPr>
            <w:szCs w:val="22"/>
          </w:rPr>
          <w:delText>injekció egy napon)</w:delText>
        </w:r>
        <w:r w:rsidRPr="00183B5F">
          <w:rPr>
            <w:szCs w:val="22"/>
          </w:rPr>
          <w:delText xml:space="preserve">, majd </w:delText>
        </w:r>
        <w:r w:rsidR="0068490A" w:rsidRPr="00183B5F">
          <w:rPr>
            <w:szCs w:val="22"/>
          </w:rPr>
          <w:delText>két héttel később</w:delText>
        </w:r>
        <w:r w:rsidRPr="00183B5F">
          <w:rPr>
            <w:szCs w:val="22"/>
          </w:rPr>
          <w:delText xml:space="preserve"> 40 mg minden második héten. Ha </w:delText>
        </w:r>
        <w:r w:rsidR="00661166" w:rsidRPr="00183B5F">
          <w:rPr>
            <w:szCs w:val="22"/>
          </w:rPr>
          <w:delText>gyorsabb hatás</w:delText>
        </w:r>
        <w:r w:rsidRPr="00183B5F">
          <w:rPr>
            <w:szCs w:val="22"/>
          </w:rPr>
          <w:delText xml:space="preserve"> szükséges, akkor orvosa 160 mg-ra növelheti a </w:delText>
        </w:r>
        <w:r w:rsidR="0068490A" w:rsidRPr="00183B5F">
          <w:rPr>
            <w:szCs w:val="22"/>
          </w:rPr>
          <w:delText>kezdő</w:delText>
        </w:r>
        <w:r w:rsidRPr="00183B5F">
          <w:rPr>
            <w:szCs w:val="22"/>
          </w:rPr>
          <w:delText xml:space="preserve">adagot (ez esetben egy nap alatt </w:delText>
        </w:r>
        <w:r w:rsidR="00DF61CC" w:rsidRPr="00183B5F">
          <w:rPr>
            <w:szCs w:val="22"/>
          </w:rPr>
          <w:delText xml:space="preserve">négy </w:delText>
        </w:r>
        <w:r w:rsidR="004D2BA8" w:rsidRPr="00183B5F">
          <w:rPr>
            <w:szCs w:val="22"/>
          </w:rPr>
          <w:delText>40 mg</w:delText>
        </w:r>
        <w:r w:rsidR="00E5381A" w:rsidRPr="00183B5F">
          <w:rPr>
            <w:szCs w:val="22"/>
          </w:rPr>
          <w:noBreakHyphen/>
        </w:r>
        <w:r w:rsidR="004D2BA8" w:rsidRPr="00183B5F">
          <w:rPr>
            <w:szCs w:val="22"/>
          </w:rPr>
          <w:delText xml:space="preserve">os </w:delText>
        </w:r>
        <w:r w:rsidRPr="00183B5F">
          <w:rPr>
            <w:szCs w:val="22"/>
          </w:rPr>
          <w:delText xml:space="preserve">injekciót kap, vagy két egymást követő napon adnak be Önnek </w:delText>
        </w:r>
        <w:r w:rsidR="00DF61CC" w:rsidRPr="00183B5F">
          <w:rPr>
            <w:szCs w:val="22"/>
          </w:rPr>
          <w:delText>két-két</w:delText>
        </w:r>
        <w:r w:rsidRPr="00183B5F">
          <w:rPr>
            <w:szCs w:val="22"/>
          </w:rPr>
          <w:delText xml:space="preserve"> </w:delText>
        </w:r>
        <w:r w:rsidR="004D2BA8" w:rsidRPr="00183B5F">
          <w:rPr>
            <w:szCs w:val="22"/>
          </w:rPr>
          <w:delText>40 mg</w:delText>
        </w:r>
        <w:r w:rsidR="00E5381A" w:rsidRPr="00183B5F">
          <w:rPr>
            <w:szCs w:val="22"/>
          </w:rPr>
          <w:noBreakHyphen/>
        </w:r>
        <w:r w:rsidR="004D2BA8" w:rsidRPr="00183B5F">
          <w:rPr>
            <w:szCs w:val="22"/>
          </w:rPr>
          <w:delText xml:space="preserve">os </w:delText>
        </w:r>
        <w:r w:rsidRPr="00183B5F">
          <w:rPr>
            <w:szCs w:val="22"/>
          </w:rPr>
          <w:delText>injekciót)</w:delText>
        </w:r>
        <w:r w:rsidR="0068490A" w:rsidRPr="00183B5F">
          <w:rPr>
            <w:szCs w:val="22"/>
          </w:rPr>
          <w:delText>, majd</w:delText>
        </w:r>
        <w:r w:rsidRPr="00183B5F">
          <w:rPr>
            <w:szCs w:val="22"/>
          </w:rPr>
          <w:delText xml:space="preserve"> 80</w:delText>
        </w:r>
        <w:r w:rsidR="009574FD" w:rsidRPr="00183B5F">
          <w:rPr>
            <w:szCs w:val="22"/>
          </w:rPr>
          <w:delText> </w:delText>
        </w:r>
        <w:r w:rsidRPr="00183B5F">
          <w:rPr>
            <w:szCs w:val="22"/>
          </w:rPr>
          <w:delText>mg</w:delText>
        </w:r>
        <w:r w:rsidR="00E5381A" w:rsidRPr="00183B5F">
          <w:rPr>
            <w:szCs w:val="22"/>
          </w:rPr>
          <w:noBreakHyphen/>
        </w:r>
        <w:r w:rsidRPr="00183B5F">
          <w:rPr>
            <w:szCs w:val="22"/>
          </w:rPr>
          <w:delText>ot</w:delText>
        </w:r>
        <w:r w:rsidR="0068490A" w:rsidRPr="00183B5F">
          <w:rPr>
            <w:szCs w:val="22"/>
          </w:rPr>
          <w:delText xml:space="preserve"> </w:delText>
        </w:r>
        <w:r w:rsidR="00DF61CC" w:rsidRPr="00183B5F">
          <w:rPr>
            <w:szCs w:val="22"/>
          </w:rPr>
          <w:delText xml:space="preserve">(két </w:delText>
        </w:r>
        <w:r w:rsidR="004D2BA8" w:rsidRPr="00183B5F">
          <w:rPr>
            <w:szCs w:val="22"/>
          </w:rPr>
          <w:delText>40 mg</w:delText>
        </w:r>
        <w:r w:rsidR="00E5381A" w:rsidRPr="00183B5F">
          <w:rPr>
            <w:szCs w:val="22"/>
          </w:rPr>
          <w:noBreakHyphen/>
        </w:r>
        <w:r w:rsidR="004D2BA8" w:rsidRPr="00183B5F">
          <w:rPr>
            <w:szCs w:val="22"/>
          </w:rPr>
          <w:delText xml:space="preserve">os </w:delText>
        </w:r>
        <w:r w:rsidR="00DF61CC" w:rsidRPr="00183B5F">
          <w:rPr>
            <w:szCs w:val="22"/>
          </w:rPr>
          <w:delText xml:space="preserve">injekció egy napon) </w:delText>
        </w:r>
        <w:r w:rsidR="0068490A" w:rsidRPr="00183B5F">
          <w:rPr>
            <w:szCs w:val="22"/>
          </w:rPr>
          <w:delText>adnak Önnek</w:delText>
        </w:r>
        <w:r w:rsidRPr="00183B5F">
          <w:rPr>
            <w:szCs w:val="22"/>
          </w:rPr>
          <w:delText>. A továbbiakban 40 mg Humira</w:delText>
        </w:r>
        <w:r w:rsidR="00141743" w:rsidRPr="00183B5F">
          <w:rPr>
            <w:szCs w:val="22"/>
          </w:rPr>
          <w:noBreakHyphen/>
        </w:r>
        <w:r w:rsidRPr="00183B5F">
          <w:rPr>
            <w:szCs w:val="22"/>
          </w:rPr>
          <w:delText>t kap minden második héten.</w:delText>
        </w:r>
        <w:r w:rsidR="0068490A" w:rsidRPr="00183B5F">
          <w:rPr>
            <w:szCs w:val="22"/>
          </w:rPr>
          <w:delText xml:space="preserve"> A terápiás hatástól függően orvosa heti 40 mg</w:delText>
        </w:r>
        <w:r w:rsidR="00E5381A" w:rsidRPr="00183B5F">
          <w:rPr>
            <w:szCs w:val="22"/>
          </w:rPr>
          <w:noBreakHyphen/>
        </w:r>
        <w:r w:rsidR="0068490A" w:rsidRPr="00183B5F">
          <w:rPr>
            <w:szCs w:val="22"/>
          </w:rPr>
          <w:delText>ra</w:delText>
        </w:r>
        <w:r w:rsidR="00AF0C3A" w:rsidRPr="00183B5F">
          <w:rPr>
            <w:szCs w:val="22"/>
          </w:rPr>
          <w:delText xml:space="preserve"> vagy kéthetente</w:delText>
        </w:r>
        <w:r w:rsidR="004D2BA8" w:rsidRPr="00183B5F">
          <w:rPr>
            <w:szCs w:val="22"/>
          </w:rPr>
          <w:delText xml:space="preserve"> 80 mg</w:delText>
        </w:r>
        <w:r w:rsidR="004D2BA8" w:rsidRPr="00183B5F">
          <w:rPr>
            <w:szCs w:val="22"/>
          </w:rPr>
          <w:noBreakHyphen/>
          <w:delText>ra</w:delText>
        </w:r>
        <w:r w:rsidR="0068490A" w:rsidRPr="00183B5F">
          <w:rPr>
            <w:szCs w:val="22"/>
          </w:rPr>
          <w:delText xml:space="preserve"> emelheti az adagot.</w:delText>
        </w:r>
      </w:del>
    </w:p>
    <w:p w14:paraId="3287AE44" w14:textId="6781FBE0" w:rsidR="0068490A" w:rsidRPr="00183B5F" w:rsidRDefault="0068490A" w:rsidP="007276E0">
      <w:pPr>
        <w:spacing w:line="240" w:lineRule="auto"/>
        <w:ind w:right="-2"/>
        <w:rPr>
          <w:del w:id="13020" w:author="AbbVie_HU_03" w:date="2025-05-14T16:41:00Z"/>
          <w:szCs w:val="22"/>
        </w:rPr>
      </w:pPr>
    </w:p>
    <w:p w14:paraId="1A352AF7" w14:textId="46EA394F" w:rsidR="0068490A" w:rsidRPr="00183B5F" w:rsidRDefault="00943743" w:rsidP="007276E0">
      <w:pPr>
        <w:keepNext/>
        <w:numPr>
          <w:ilvl w:val="12"/>
          <w:numId w:val="0"/>
        </w:numPr>
        <w:spacing w:line="240" w:lineRule="auto"/>
        <w:rPr>
          <w:del w:id="13021" w:author="AbbVie_HU_03" w:date="2025-05-14T16:41:00Z"/>
          <w:szCs w:val="22"/>
          <w:u w:val="single"/>
        </w:rPr>
      </w:pPr>
      <w:del w:id="13022" w:author="AbbVie_HU_03" w:date="2025-05-14T16:41:00Z">
        <w:r w:rsidRPr="00183B5F">
          <w:rPr>
            <w:szCs w:val="22"/>
            <w:u w:val="single"/>
          </w:rPr>
          <w:delText>Crohn</w:delText>
        </w:r>
        <w:r w:rsidR="00141743" w:rsidRPr="00183B5F">
          <w:rPr>
            <w:szCs w:val="22"/>
            <w:u w:val="single"/>
          </w:rPr>
          <w:noBreakHyphen/>
        </w:r>
        <w:r w:rsidRPr="00183B5F">
          <w:rPr>
            <w:szCs w:val="22"/>
            <w:u w:val="single"/>
          </w:rPr>
          <w:delText>betegségben szenvedő gyermekek és serdülők</w:delText>
        </w:r>
      </w:del>
    </w:p>
    <w:p w14:paraId="04BE0B6B" w14:textId="22A56D55" w:rsidR="0068490A" w:rsidRPr="00183B5F" w:rsidRDefault="0068490A" w:rsidP="007276E0">
      <w:pPr>
        <w:keepNext/>
        <w:numPr>
          <w:ilvl w:val="12"/>
          <w:numId w:val="0"/>
        </w:numPr>
        <w:spacing w:line="240" w:lineRule="auto"/>
        <w:rPr>
          <w:del w:id="13023" w:author="AbbVie_HU_03" w:date="2025-05-14T16:41:00Z"/>
          <w:szCs w:val="22"/>
          <w:u w:val="single"/>
        </w:rPr>
      </w:pPr>
    </w:p>
    <w:p w14:paraId="09C8B881" w14:textId="2E736B30" w:rsidR="0068490A" w:rsidRPr="00183B5F" w:rsidRDefault="00943743" w:rsidP="007276E0">
      <w:pPr>
        <w:keepNext/>
        <w:numPr>
          <w:ilvl w:val="12"/>
          <w:numId w:val="0"/>
        </w:numPr>
        <w:spacing w:line="240" w:lineRule="auto"/>
        <w:rPr>
          <w:del w:id="13024" w:author="AbbVie_HU_03" w:date="2025-05-14T16:41:00Z"/>
          <w:i/>
          <w:szCs w:val="22"/>
        </w:rPr>
      </w:pPr>
      <w:del w:id="13025" w:author="AbbVie_HU_03" w:date="2025-05-14T16:41:00Z">
        <w:r w:rsidRPr="00183B5F">
          <w:rPr>
            <w:i/>
          </w:rPr>
          <w:delText>6-17 éves kor közötti,</w:delText>
        </w:r>
        <w:r w:rsidRPr="00183B5F">
          <w:rPr>
            <w:i/>
            <w:szCs w:val="22"/>
          </w:rPr>
          <w:delText xml:space="preserve"> 40</w:delText>
        </w:r>
        <w:r w:rsidR="00911B74" w:rsidRPr="00183B5F">
          <w:rPr>
            <w:i/>
            <w:szCs w:val="22"/>
          </w:rPr>
          <w:delText> </w:delText>
        </w:r>
        <w:r w:rsidRPr="00183B5F">
          <w:rPr>
            <w:i/>
            <w:szCs w:val="22"/>
          </w:rPr>
          <w:delText>kg</w:delText>
        </w:r>
        <w:r w:rsidR="00141743" w:rsidRPr="00183B5F">
          <w:rPr>
            <w:i/>
            <w:szCs w:val="22"/>
          </w:rPr>
          <w:noBreakHyphen/>
        </w:r>
        <w:r w:rsidRPr="00183B5F">
          <w:rPr>
            <w:i/>
            <w:szCs w:val="22"/>
          </w:rPr>
          <w:delText>nál kisebb testtömegű gyermekek és serdülők</w:delText>
        </w:r>
      </w:del>
    </w:p>
    <w:p w14:paraId="745ADBEA" w14:textId="1CE3EA81" w:rsidR="0068490A" w:rsidRPr="00183B5F" w:rsidRDefault="0068490A" w:rsidP="007276E0">
      <w:pPr>
        <w:keepNext/>
        <w:numPr>
          <w:ilvl w:val="12"/>
          <w:numId w:val="0"/>
        </w:numPr>
        <w:spacing w:line="240" w:lineRule="auto"/>
        <w:rPr>
          <w:del w:id="13026" w:author="AbbVie_HU_03" w:date="2025-05-14T16:41:00Z"/>
          <w:szCs w:val="22"/>
        </w:rPr>
      </w:pPr>
    </w:p>
    <w:p w14:paraId="5CB3A2E8" w14:textId="1502D140" w:rsidR="0068490A" w:rsidRPr="00183B5F" w:rsidRDefault="00943743" w:rsidP="007276E0">
      <w:pPr>
        <w:keepNext/>
        <w:numPr>
          <w:ilvl w:val="12"/>
          <w:numId w:val="0"/>
        </w:numPr>
        <w:spacing w:line="240" w:lineRule="auto"/>
        <w:rPr>
          <w:del w:id="13027" w:author="AbbVie_HU_03" w:date="2025-05-14T16:41:00Z"/>
          <w:szCs w:val="22"/>
        </w:rPr>
      </w:pPr>
      <w:del w:id="13028" w:author="AbbVie_HU_03" w:date="2025-05-14T16:41:00Z">
        <w:r w:rsidRPr="00183B5F">
          <w:rPr>
            <w:szCs w:val="22"/>
          </w:rPr>
          <w:delText>El</w:delText>
        </w:r>
        <w:r w:rsidR="00306852" w:rsidRPr="00183B5F">
          <w:rPr>
            <w:szCs w:val="22"/>
          </w:rPr>
          <w:delText>s</w:delText>
        </w:r>
        <w:r w:rsidRPr="00183B5F">
          <w:rPr>
            <w:szCs w:val="22"/>
          </w:rPr>
          <w:delText>ő</w:delText>
        </w:r>
        <w:r w:rsidR="00306852" w:rsidRPr="00183B5F">
          <w:rPr>
            <w:szCs w:val="22"/>
          </w:rPr>
          <w:delText xml:space="preserve"> alkalommal</w:delText>
        </w:r>
        <w:r w:rsidRPr="00183B5F">
          <w:rPr>
            <w:szCs w:val="22"/>
          </w:rPr>
          <w:delText xml:space="preserve"> 40</w:delText>
        </w:r>
        <w:r w:rsidR="00911B74" w:rsidRPr="00183B5F">
          <w:rPr>
            <w:szCs w:val="22"/>
          </w:rPr>
          <w:delText> </w:delText>
        </w:r>
        <w:r w:rsidRPr="00183B5F">
          <w:rPr>
            <w:szCs w:val="22"/>
          </w:rPr>
          <w:delText xml:space="preserve">mg, majd </w:delText>
        </w:r>
        <w:r w:rsidR="00061126" w:rsidRPr="00183B5F">
          <w:rPr>
            <w:szCs w:val="22"/>
          </w:rPr>
          <w:delText xml:space="preserve">két </w:delText>
        </w:r>
        <w:r w:rsidRPr="00183B5F">
          <w:rPr>
            <w:szCs w:val="22"/>
          </w:rPr>
          <w:delText>héttel később 20</w:delText>
        </w:r>
        <w:r w:rsidR="00911B74" w:rsidRPr="00183B5F">
          <w:rPr>
            <w:szCs w:val="22"/>
          </w:rPr>
          <w:delText> </w:delText>
        </w:r>
        <w:r w:rsidRPr="00183B5F">
          <w:rPr>
            <w:szCs w:val="22"/>
          </w:rPr>
          <w:delText>mg a szokásos adag. Ha gyorsabb hatás</w:delText>
        </w:r>
        <w:r w:rsidR="0062721D" w:rsidRPr="00183B5F">
          <w:rPr>
            <w:szCs w:val="22"/>
          </w:rPr>
          <w:delText>ra van</w:delText>
        </w:r>
        <w:r w:rsidR="00A7453C" w:rsidRPr="00183B5F">
          <w:rPr>
            <w:szCs w:val="22"/>
          </w:rPr>
          <w:delText xml:space="preserve"> </w:delText>
        </w:r>
        <w:r w:rsidRPr="00183B5F">
          <w:rPr>
            <w:szCs w:val="22"/>
          </w:rPr>
          <w:delText xml:space="preserve">szükség, </w:delText>
        </w:r>
        <w:r w:rsidR="00F128CA" w:rsidRPr="00183B5F">
          <w:rPr>
            <w:szCs w:val="22"/>
          </w:rPr>
          <w:delText>úgy gyermeke kezelő</w:delText>
        </w:r>
        <w:r w:rsidRPr="00183B5F">
          <w:rPr>
            <w:szCs w:val="22"/>
          </w:rPr>
          <w:delText>orvosa 80</w:delText>
        </w:r>
        <w:r w:rsidR="00911B74" w:rsidRPr="00183B5F">
          <w:rPr>
            <w:szCs w:val="22"/>
          </w:rPr>
          <w:delText> </w:delText>
        </w:r>
        <w:r w:rsidRPr="00183B5F">
          <w:rPr>
            <w:szCs w:val="22"/>
          </w:rPr>
          <w:delText>mg kezdőadagot (</w:delText>
        </w:r>
        <w:r w:rsidR="00DF61CC" w:rsidRPr="00183B5F">
          <w:rPr>
            <w:szCs w:val="22"/>
          </w:rPr>
          <w:delText>egy</w:delText>
        </w:r>
        <w:r w:rsidRPr="00183B5F">
          <w:rPr>
            <w:szCs w:val="22"/>
          </w:rPr>
          <w:delText xml:space="preserve"> nap alatt </w:delText>
        </w:r>
        <w:r w:rsidR="00DF61CC" w:rsidRPr="00183B5F">
          <w:rPr>
            <w:szCs w:val="22"/>
          </w:rPr>
          <w:delText>két</w:delText>
        </w:r>
        <w:r w:rsidRPr="00183B5F">
          <w:rPr>
            <w:szCs w:val="22"/>
          </w:rPr>
          <w:delText xml:space="preserve"> </w:delText>
        </w:r>
        <w:r w:rsidR="004D2BA8" w:rsidRPr="00183B5F">
          <w:rPr>
            <w:szCs w:val="22"/>
          </w:rPr>
          <w:delText>40 mg</w:delText>
        </w:r>
        <w:r w:rsidR="00E5381A" w:rsidRPr="00183B5F">
          <w:rPr>
            <w:szCs w:val="22"/>
          </w:rPr>
          <w:noBreakHyphen/>
        </w:r>
        <w:r w:rsidR="004D2BA8" w:rsidRPr="00183B5F">
          <w:rPr>
            <w:szCs w:val="22"/>
          </w:rPr>
          <w:delText xml:space="preserve">os </w:delText>
        </w:r>
        <w:r w:rsidRPr="00183B5F">
          <w:rPr>
            <w:szCs w:val="22"/>
          </w:rPr>
          <w:delText xml:space="preserve">injekció), majd </w:delText>
        </w:r>
        <w:r w:rsidR="00061126" w:rsidRPr="00183B5F">
          <w:rPr>
            <w:szCs w:val="22"/>
          </w:rPr>
          <w:delText xml:space="preserve">két </w:delText>
        </w:r>
        <w:r w:rsidRPr="00183B5F">
          <w:rPr>
            <w:szCs w:val="22"/>
          </w:rPr>
          <w:delText>héttel később 40</w:delText>
        </w:r>
        <w:r w:rsidR="00911B74" w:rsidRPr="00183B5F">
          <w:rPr>
            <w:szCs w:val="22"/>
          </w:rPr>
          <w:delText> </w:delText>
        </w:r>
        <w:r w:rsidRPr="00183B5F">
          <w:rPr>
            <w:szCs w:val="22"/>
          </w:rPr>
          <w:delText>mg</w:delText>
        </w:r>
        <w:r w:rsidR="00E5381A" w:rsidRPr="00183B5F">
          <w:rPr>
            <w:szCs w:val="22"/>
          </w:rPr>
          <w:noBreakHyphen/>
        </w:r>
        <w:r w:rsidRPr="00183B5F">
          <w:rPr>
            <w:szCs w:val="22"/>
          </w:rPr>
          <w:delText>os adagot</w:delText>
        </w:r>
        <w:r w:rsidR="00F128CA" w:rsidRPr="00183B5F">
          <w:rPr>
            <w:szCs w:val="22"/>
          </w:rPr>
          <w:delText xml:space="preserve"> is felírhat</w:delText>
        </w:r>
        <w:r w:rsidRPr="00183B5F">
          <w:rPr>
            <w:szCs w:val="22"/>
          </w:rPr>
          <w:delText>.</w:delText>
        </w:r>
      </w:del>
    </w:p>
    <w:p w14:paraId="727D84B5" w14:textId="2822466A" w:rsidR="0068490A" w:rsidRPr="00183B5F" w:rsidRDefault="0068490A" w:rsidP="007276E0">
      <w:pPr>
        <w:numPr>
          <w:ilvl w:val="12"/>
          <w:numId w:val="0"/>
        </w:numPr>
        <w:spacing w:line="240" w:lineRule="auto"/>
        <w:ind w:right="-2"/>
        <w:rPr>
          <w:del w:id="13029" w:author="AbbVie_HU_03" w:date="2025-05-14T16:41:00Z"/>
          <w:szCs w:val="22"/>
        </w:rPr>
      </w:pPr>
    </w:p>
    <w:p w14:paraId="5458F935" w14:textId="1B715383" w:rsidR="0068490A" w:rsidRPr="00183B5F" w:rsidRDefault="00943743" w:rsidP="007276E0">
      <w:pPr>
        <w:numPr>
          <w:ilvl w:val="12"/>
          <w:numId w:val="0"/>
        </w:numPr>
        <w:spacing w:line="240" w:lineRule="auto"/>
        <w:ind w:right="-2"/>
        <w:rPr>
          <w:del w:id="13030" w:author="AbbVie_HU_03" w:date="2025-05-14T16:41:00Z"/>
          <w:szCs w:val="22"/>
        </w:rPr>
      </w:pPr>
      <w:del w:id="13031" w:author="AbbVie_HU_03" w:date="2025-05-14T16:41:00Z">
        <w:r w:rsidRPr="00183B5F">
          <w:rPr>
            <w:szCs w:val="22"/>
          </w:rPr>
          <w:delText xml:space="preserve">Ezután a szokásos adag </w:delText>
        </w:r>
        <w:r w:rsidR="00F128CA" w:rsidRPr="00183B5F">
          <w:rPr>
            <w:szCs w:val="22"/>
          </w:rPr>
          <w:delText>kéthetente</w:delText>
        </w:r>
        <w:r w:rsidRPr="00183B5F">
          <w:rPr>
            <w:szCs w:val="22"/>
          </w:rPr>
          <w:delText xml:space="preserve"> 20</w:delText>
        </w:r>
        <w:r w:rsidR="00911B74" w:rsidRPr="00183B5F">
          <w:rPr>
            <w:szCs w:val="22"/>
          </w:rPr>
          <w:delText> </w:delText>
        </w:r>
        <w:r w:rsidRPr="00183B5F">
          <w:rPr>
            <w:szCs w:val="22"/>
          </w:rPr>
          <w:delText>mg.</w:delText>
        </w:r>
        <w:r w:rsidR="0062721D" w:rsidRPr="00183B5F">
          <w:rPr>
            <w:szCs w:val="22"/>
          </w:rPr>
          <w:delText xml:space="preserve"> </w:delText>
        </w:r>
        <w:r w:rsidR="00625A37" w:rsidRPr="00183B5F">
          <w:rPr>
            <w:szCs w:val="22"/>
          </w:rPr>
          <w:delText>Attól f</w:delText>
        </w:r>
        <w:r w:rsidR="00F128CA" w:rsidRPr="00183B5F">
          <w:rPr>
            <w:szCs w:val="22"/>
          </w:rPr>
          <w:delText>üggően, hogy</w:delText>
        </w:r>
        <w:r w:rsidR="00625A37" w:rsidRPr="00183B5F">
          <w:rPr>
            <w:szCs w:val="22"/>
          </w:rPr>
          <w:delText xml:space="preserve"> gyermeke hogyan</w:delText>
        </w:r>
        <w:r w:rsidR="00F128CA" w:rsidRPr="00183B5F">
          <w:rPr>
            <w:szCs w:val="22"/>
          </w:rPr>
          <w:delText xml:space="preserve"> reagál</w:delText>
        </w:r>
        <w:r w:rsidR="00625A37" w:rsidRPr="00183B5F">
          <w:rPr>
            <w:szCs w:val="22"/>
          </w:rPr>
          <w:delText>, a</w:delText>
        </w:r>
        <w:r w:rsidR="0062721D" w:rsidRPr="00183B5F">
          <w:rPr>
            <w:szCs w:val="22"/>
          </w:rPr>
          <w:delText xml:space="preserve"> kezelő</w:delText>
        </w:r>
        <w:r w:rsidRPr="00183B5F">
          <w:rPr>
            <w:szCs w:val="22"/>
          </w:rPr>
          <w:delText>orvos heti 20</w:delText>
        </w:r>
        <w:r w:rsidR="00911B74" w:rsidRPr="00183B5F">
          <w:rPr>
            <w:szCs w:val="22"/>
          </w:rPr>
          <w:delText> </w:delText>
        </w:r>
        <w:r w:rsidRPr="00183B5F">
          <w:rPr>
            <w:szCs w:val="22"/>
          </w:rPr>
          <w:delText>mg</w:delText>
        </w:r>
        <w:r w:rsidR="00141743" w:rsidRPr="00183B5F">
          <w:rPr>
            <w:szCs w:val="22"/>
          </w:rPr>
          <w:noBreakHyphen/>
        </w:r>
        <w:r w:rsidRPr="00183B5F">
          <w:rPr>
            <w:szCs w:val="22"/>
          </w:rPr>
          <w:delText>ra is emelheti az adagot.</w:delText>
        </w:r>
      </w:del>
    </w:p>
    <w:p w14:paraId="745D3DFE" w14:textId="659D99E3" w:rsidR="0068490A" w:rsidRPr="00183B5F" w:rsidRDefault="0068490A" w:rsidP="007276E0">
      <w:pPr>
        <w:numPr>
          <w:ilvl w:val="12"/>
          <w:numId w:val="0"/>
        </w:numPr>
        <w:spacing w:line="240" w:lineRule="auto"/>
        <w:ind w:right="-2"/>
        <w:rPr>
          <w:del w:id="13032" w:author="AbbVie_HU_03" w:date="2025-05-14T16:41:00Z"/>
          <w:szCs w:val="22"/>
          <w:u w:val="single"/>
        </w:rPr>
      </w:pPr>
    </w:p>
    <w:p w14:paraId="38202E03" w14:textId="3D037132" w:rsidR="0068490A" w:rsidRPr="00183B5F" w:rsidRDefault="00943743" w:rsidP="007276E0">
      <w:pPr>
        <w:numPr>
          <w:ilvl w:val="12"/>
          <w:numId w:val="0"/>
        </w:numPr>
        <w:spacing w:line="240" w:lineRule="auto"/>
        <w:ind w:right="-2"/>
        <w:rPr>
          <w:del w:id="13033" w:author="AbbVie_HU_03" w:date="2025-05-14T16:41:00Z"/>
          <w:i/>
          <w:szCs w:val="22"/>
        </w:rPr>
      </w:pPr>
      <w:del w:id="13034" w:author="AbbVie_HU_03" w:date="2025-05-14T16:41:00Z">
        <w:r w:rsidRPr="00183B5F">
          <w:rPr>
            <w:i/>
          </w:rPr>
          <w:delText>6-17 éves kor közötti,</w:delText>
        </w:r>
        <w:r w:rsidRPr="00183B5F">
          <w:rPr>
            <w:i/>
            <w:szCs w:val="22"/>
          </w:rPr>
          <w:delText xml:space="preserve"> 40</w:delText>
        </w:r>
        <w:r w:rsidR="00911B74" w:rsidRPr="00183B5F">
          <w:rPr>
            <w:i/>
            <w:szCs w:val="22"/>
          </w:rPr>
          <w:delText> </w:delText>
        </w:r>
        <w:r w:rsidRPr="00183B5F">
          <w:rPr>
            <w:i/>
            <w:szCs w:val="22"/>
          </w:rPr>
          <w:delText>kg</w:delText>
        </w:r>
        <w:r w:rsidR="00141743" w:rsidRPr="00183B5F">
          <w:rPr>
            <w:i/>
            <w:szCs w:val="22"/>
          </w:rPr>
          <w:noBreakHyphen/>
        </w:r>
        <w:r w:rsidRPr="00183B5F">
          <w:rPr>
            <w:i/>
            <w:szCs w:val="22"/>
          </w:rPr>
          <w:delText>os vagy annál nagyobb testtömegű gyermekek és serdülők:</w:delText>
        </w:r>
      </w:del>
    </w:p>
    <w:p w14:paraId="459202EE" w14:textId="481A66A7" w:rsidR="0068490A" w:rsidRPr="00183B5F" w:rsidRDefault="0068490A" w:rsidP="007276E0">
      <w:pPr>
        <w:numPr>
          <w:ilvl w:val="12"/>
          <w:numId w:val="0"/>
        </w:numPr>
        <w:spacing w:line="240" w:lineRule="auto"/>
        <w:ind w:right="-2"/>
        <w:rPr>
          <w:del w:id="13035" w:author="AbbVie_HU_03" w:date="2025-05-14T16:41:00Z"/>
          <w:szCs w:val="22"/>
        </w:rPr>
      </w:pPr>
    </w:p>
    <w:p w14:paraId="0D873623" w14:textId="1B4D9E68" w:rsidR="0068490A" w:rsidRPr="00183B5F" w:rsidRDefault="00943743" w:rsidP="007276E0">
      <w:pPr>
        <w:numPr>
          <w:ilvl w:val="12"/>
          <w:numId w:val="0"/>
        </w:numPr>
        <w:spacing w:line="240" w:lineRule="auto"/>
        <w:ind w:right="-2"/>
        <w:rPr>
          <w:del w:id="13036" w:author="AbbVie_HU_03" w:date="2025-05-14T16:41:00Z"/>
          <w:szCs w:val="22"/>
        </w:rPr>
      </w:pPr>
      <w:del w:id="13037" w:author="AbbVie_HU_03" w:date="2025-05-14T16:41:00Z">
        <w:r w:rsidRPr="00183B5F">
          <w:rPr>
            <w:szCs w:val="22"/>
          </w:rPr>
          <w:delText>El</w:delText>
        </w:r>
        <w:r w:rsidR="0062721D" w:rsidRPr="00183B5F">
          <w:rPr>
            <w:szCs w:val="22"/>
          </w:rPr>
          <w:delText>s</w:delText>
        </w:r>
        <w:r w:rsidRPr="00183B5F">
          <w:rPr>
            <w:szCs w:val="22"/>
          </w:rPr>
          <w:delText xml:space="preserve">ő </w:delText>
        </w:r>
        <w:r w:rsidR="0062721D" w:rsidRPr="00183B5F">
          <w:rPr>
            <w:szCs w:val="22"/>
          </w:rPr>
          <w:delText xml:space="preserve">alkalommal </w:delText>
        </w:r>
        <w:r w:rsidRPr="00183B5F">
          <w:rPr>
            <w:szCs w:val="22"/>
          </w:rPr>
          <w:delText>80</w:delText>
        </w:r>
        <w:r w:rsidR="00911B74" w:rsidRPr="00183B5F">
          <w:rPr>
            <w:szCs w:val="22"/>
          </w:rPr>
          <w:delText> </w:delText>
        </w:r>
        <w:r w:rsidRPr="00183B5F">
          <w:rPr>
            <w:szCs w:val="22"/>
          </w:rPr>
          <w:delText>mg</w:delText>
        </w:r>
        <w:r w:rsidR="00DF61CC" w:rsidRPr="00183B5F">
          <w:rPr>
            <w:szCs w:val="22"/>
          </w:rPr>
          <w:delText xml:space="preserve"> (két </w:delText>
        </w:r>
        <w:r w:rsidR="004D2BA8" w:rsidRPr="00183B5F">
          <w:rPr>
            <w:szCs w:val="22"/>
          </w:rPr>
          <w:delText>40 mg</w:delText>
        </w:r>
        <w:r w:rsidR="00E5381A" w:rsidRPr="00183B5F">
          <w:rPr>
            <w:szCs w:val="22"/>
          </w:rPr>
          <w:noBreakHyphen/>
        </w:r>
        <w:r w:rsidR="004D2BA8" w:rsidRPr="00183B5F">
          <w:rPr>
            <w:szCs w:val="22"/>
          </w:rPr>
          <w:delText xml:space="preserve">os </w:delText>
        </w:r>
        <w:r w:rsidR="00DF61CC" w:rsidRPr="00183B5F">
          <w:rPr>
            <w:szCs w:val="22"/>
          </w:rPr>
          <w:delText>injekció egy napon),</w:delText>
        </w:r>
        <w:r w:rsidRPr="00183B5F">
          <w:rPr>
            <w:szCs w:val="22"/>
          </w:rPr>
          <w:delText xml:space="preserve"> majd </w:delText>
        </w:r>
        <w:r w:rsidR="008C298A" w:rsidRPr="00183B5F">
          <w:rPr>
            <w:szCs w:val="22"/>
          </w:rPr>
          <w:delText xml:space="preserve">két </w:delText>
        </w:r>
        <w:r w:rsidRPr="00183B5F">
          <w:rPr>
            <w:szCs w:val="22"/>
          </w:rPr>
          <w:delText>héttel később 40</w:delText>
        </w:r>
        <w:r w:rsidR="00911B74" w:rsidRPr="00183B5F">
          <w:rPr>
            <w:szCs w:val="22"/>
          </w:rPr>
          <w:delText> </w:delText>
        </w:r>
        <w:r w:rsidRPr="00183B5F">
          <w:rPr>
            <w:szCs w:val="22"/>
          </w:rPr>
          <w:delText xml:space="preserve">mg a szokásos adag. Ha gyorsabb hatásra van szükség, </w:delText>
        </w:r>
        <w:r w:rsidR="0062721D" w:rsidRPr="00183B5F">
          <w:rPr>
            <w:szCs w:val="22"/>
          </w:rPr>
          <w:delText xml:space="preserve">úgy </w:delText>
        </w:r>
        <w:r w:rsidR="007A1A04" w:rsidRPr="00183B5F">
          <w:rPr>
            <w:szCs w:val="22"/>
          </w:rPr>
          <w:delText>gyermeke kezelő</w:delText>
        </w:r>
        <w:r w:rsidRPr="00183B5F">
          <w:rPr>
            <w:szCs w:val="22"/>
          </w:rPr>
          <w:delText>orvosa 160</w:delText>
        </w:r>
        <w:r w:rsidR="00911B74" w:rsidRPr="00183B5F">
          <w:rPr>
            <w:szCs w:val="22"/>
          </w:rPr>
          <w:delText> </w:delText>
        </w:r>
        <w:r w:rsidRPr="00183B5F">
          <w:rPr>
            <w:szCs w:val="22"/>
          </w:rPr>
          <w:delText>mg kezdőadagot (</w:delText>
        </w:r>
        <w:r w:rsidR="00DF61CC" w:rsidRPr="00183B5F">
          <w:rPr>
            <w:szCs w:val="22"/>
          </w:rPr>
          <w:delText>egy</w:delText>
        </w:r>
        <w:r w:rsidRPr="00183B5F">
          <w:rPr>
            <w:szCs w:val="22"/>
          </w:rPr>
          <w:delText xml:space="preserve"> nap alatt </w:delText>
        </w:r>
        <w:r w:rsidR="00DF61CC" w:rsidRPr="00183B5F">
          <w:rPr>
            <w:szCs w:val="22"/>
          </w:rPr>
          <w:delText>négy</w:delText>
        </w:r>
        <w:r w:rsidR="004D2BA8" w:rsidRPr="00183B5F">
          <w:rPr>
            <w:szCs w:val="22"/>
          </w:rPr>
          <w:delText xml:space="preserve"> 40 mg</w:delText>
        </w:r>
        <w:r w:rsidR="00E5381A" w:rsidRPr="00183B5F">
          <w:rPr>
            <w:szCs w:val="22"/>
          </w:rPr>
          <w:noBreakHyphen/>
        </w:r>
        <w:r w:rsidR="004D2BA8" w:rsidRPr="00183B5F">
          <w:rPr>
            <w:szCs w:val="22"/>
          </w:rPr>
          <w:delText>os</w:delText>
        </w:r>
        <w:r w:rsidRPr="00183B5F">
          <w:rPr>
            <w:szCs w:val="22"/>
          </w:rPr>
          <w:delText xml:space="preserve"> injekció vagy </w:delText>
        </w:r>
        <w:r w:rsidR="00DF61CC" w:rsidRPr="00183B5F">
          <w:rPr>
            <w:szCs w:val="22"/>
          </w:rPr>
          <w:delText xml:space="preserve">két </w:delText>
        </w:r>
        <w:r w:rsidRPr="00183B5F">
          <w:rPr>
            <w:szCs w:val="22"/>
          </w:rPr>
          <w:delText xml:space="preserve">egymást követő napon </w:delText>
        </w:r>
        <w:r w:rsidR="00DF61CC" w:rsidRPr="00183B5F">
          <w:rPr>
            <w:szCs w:val="22"/>
          </w:rPr>
          <w:delText>két-két</w:delText>
        </w:r>
        <w:r w:rsidRPr="00183B5F">
          <w:rPr>
            <w:szCs w:val="22"/>
          </w:rPr>
          <w:delText xml:space="preserve"> </w:delText>
        </w:r>
        <w:r w:rsidR="004D2BA8" w:rsidRPr="00183B5F">
          <w:rPr>
            <w:szCs w:val="22"/>
          </w:rPr>
          <w:delText>40 mg</w:delText>
        </w:r>
        <w:r w:rsidR="00E5381A" w:rsidRPr="00183B5F">
          <w:rPr>
            <w:szCs w:val="22"/>
          </w:rPr>
          <w:noBreakHyphen/>
        </w:r>
        <w:r w:rsidR="004D2BA8" w:rsidRPr="00183B5F">
          <w:rPr>
            <w:szCs w:val="22"/>
          </w:rPr>
          <w:delText xml:space="preserve">os </w:delText>
        </w:r>
        <w:r w:rsidRPr="00183B5F">
          <w:rPr>
            <w:szCs w:val="22"/>
          </w:rPr>
          <w:delText xml:space="preserve">injekció), majd </w:delText>
        </w:r>
        <w:r w:rsidR="008C298A" w:rsidRPr="00183B5F">
          <w:rPr>
            <w:szCs w:val="22"/>
          </w:rPr>
          <w:delText xml:space="preserve">két </w:delText>
        </w:r>
        <w:r w:rsidRPr="00183B5F">
          <w:rPr>
            <w:szCs w:val="22"/>
          </w:rPr>
          <w:delText>héttel később 80</w:delText>
        </w:r>
        <w:r w:rsidR="00911B74" w:rsidRPr="00183B5F">
          <w:rPr>
            <w:szCs w:val="22"/>
          </w:rPr>
          <w:delText> </w:delText>
        </w:r>
        <w:r w:rsidRPr="00183B5F">
          <w:rPr>
            <w:szCs w:val="22"/>
          </w:rPr>
          <w:delText>mg</w:delText>
        </w:r>
        <w:r w:rsidR="00E5381A" w:rsidRPr="00183B5F">
          <w:rPr>
            <w:szCs w:val="22"/>
          </w:rPr>
          <w:noBreakHyphen/>
        </w:r>
        <w:r w:rsidRPr="00183B5F">
          <w:rPr>
            <w:szCs w:val="22"/>
          </w:rPr>
          <w:delText xml:space="preserve">os </w:delText>
        </w:r>
        <w:r w:rsidR="004D2BA8" w:rsidRPr="00183B5F">
          <w:rPr>
            <w:szCs w:val="22"/>
          </w:rPr>
          <w:delText>(két 40 mg</w:delText>
        </w:r>
        <w:r w:rsidR="00E5381A" w:rsidRPr="00183B5F">
          <w:rPr>
            <w:szCs w:val="22"/>
          </w:rPr>
          <w:noBreakHyphen/>
        </w:r>
        <w:r w:rsidR="004D2BA8" w:rsidRPr="00183B5F">
          <w:rPr>
            <w:szCs w:val="22"/>
          </w:rPr>
          <w:delText xml:space="preserve">os injekció egy napon) </w:delText>
        </w:r>
        <w:r w:rsidRPr="00183B5F">
          <w:rPr>
            <w:szCs w:val="22"/>
          </w:rPr>
          <w:delText>adagot</w:delText>
        </w:r>
        <w:r w:rsidR="007A1A04" w:rsidRPr="00183B5F">
          <w:rPr>
            <w:szCs w:val="22"/>
          </w:rPr>
          <w:delText xml:space="preserve"> is felírhat</w:delText>
        </w:r>
        <w:r w:rsidR="004D2BA8" w:rsidRPr="00183B5F">
          <w:rPr>
            <w:szCs w:val="22"/>
          </w:rPr>
          <w:delText>.</w:delText>
        </w:r>
      </w:del>
    </w:p>
    <w:p w14:paraId="17348FBE" w14:textId="0BC2BD59" w:rsidR="0068490A" w:rsidRPr="00183B5F" w:rsidRDefault="0068490A" w:rsidP="007276E0">
      <w:pPr>
        <w:numPr>
          <w:ilvl w:val="12"/>
          <w:numId w:val="0"/>
        </w:numPr>
        <w:spacing w:line="240" w:lineRule="auto"/>
        <w:ind w:right="-2"/>
        <w:rPr>
          <w:del w:id="13038" w:author="AbbVie_HU_03" w:date="2025-05-14T16:41:00Z"/>
          <w:szCs w:val="22"/>
        </w:rPr>
      </w:pPr>
    </w:p>
    <w:p w14:paraId="567B3A3F" w14:textId="782878E0" w:rsidR="0068490A" w:rsidRPr="00183B5F" w:rsidRDefault="00943743" w:rsidP="007276E0">
      <w:pPr>
        <w:numPr>
          <w:ilvl w:val="12"/>
          <w:numId w:val="0"/>
        </w:numPr>
        <w:spacing w:line="240" w:lineRule="auto"/>
        <w:ind w:right="-2"/>
        <w:rPr>
          <w:del w:id="13039" w:author="AbbVie_HU_03" w:date="2025-05-14T16:41:00Z"/>
          <w:szCs w:val="22"/>
        </w:rPr>
      </w:pPr>
      <w:del w:id="13040" w:author="AbbVie_HU_03" w:date="2025-05-14T16:41:00Z">
        <w:r w:rsidRPr="00183B5F">
          <w:rPr>
            <w:szCs w:val="22"/>
          </w:rPr>
          <w:delText xml:space="preserve">Ezután a szokásos adag </w:delText>
        </w:r>
        <w:r w:rsidR="007A1A04" w:rsidRPr="00183B5F">
          <w:rPr>
            <w:szCs w:val="22"/>
          </w:rPr>
          <w:delText>kéthetente</w:delText>
        </w:r>
        <w:r w:rsidRPr="00183B5F">
          <w:rPr>
            <w:szCs w:val="22"/>
          </w:rPr>
          <w:delText xml:space="preserve"> 40</w:delText>
        </w:r>
        <w:r w:rsidR="00911B74" w:rsidRPr="00183B5F">
          <w:rPr>
            <w:szCs w:val="22"/>
          </w:rPr>
          <w:delText> </w:delText>
        </w:r>
        <w:r w:rsidRPr="00183B5F">
          <w:rPr>
            <w:szCs w:val="22"/>
          </w:rPr>
          <w:delText xml:space="preserve">mg. </w:delText>
        </w:r>
        <w:r w:rsidR="00625A37" w:rsidRPr="00183B5F">
          <w:rPr>
            <w:szCs w:val="22"/>
          </w:rPr>
          <w:delText>Attól f</w:delText>
        </w:r>
        <w:r w:rsidR="007A1A04" w:rsidRPr="00183B5F">
          <w:rPr>
            <w:szCs w:val="22"/>
          </w:rPr>
          <w:delText xml:space="preserve">üggően, </w:delText>
        </w:r>
        <w:r w:rsidR="00625A37" w:rsidRPr="00183B5F">
          <w:rPr>
            <w:szCs w:val="22"/>
          </w:rPr>
          <w:delText xml:space="preserve">hogy gyermeke </w:delText>
        </w:r>
        <w:r w:rsidR="007A1A04" w:rsidRPr="00183B5F">
          <w:rPr>
            <w:szCs w:val="22"/>
          </w:rPr>
          <w:delText xml:space="preserve">hogyan </w:delText>
        </w:r>
        <w:r w:rsidR="00A3257A" w:rsidRPr="00183B5F">
          <w:rPr>
            <w:szCs w:val="22"/>
          </w:rPr>
          <w:delText>reagál</w:delText>
        </w:r>
        <w:r w:rsidR="00625A37" w:rsidRPr="00183B5F">
          <w:rPr>
            <w:szCs w:val="22"/>
          </w:rPr>
          <w:delText>, a</w:delText>
        </w:r>
        <w:r w:rsidR="007A1A04" w:rsidRPr="00183B5F">
          <w:rPr>
            <w:szCs w:val="22"/>
          </w:rPr>
          <w:delText xml:space="preserve"> kezelő</w:delText>
        </w:r>
        <w:r w:rsidRPr="00183B5F">
          <w:rPr>
            <w:szCs w:val="22"/>
          </w:rPr>
          <w:delText>orvos heti</w:delText>
        </w:r>
        <w:r w:rsidR="007013F0" w:rsidRPr="00183B5F">
          <w:rPr>
            <w:szCs w:val="22"/>
          </w:rPr>
          <w:delText xml:space="preserve"> </w:delText>
        </w:r>
        <w:r w:rsidRPr="00183B5F">
          <w:rPr>
            <w:szCs w:val="22"/>
          </w:rPr>
          <w:delText>40</w:delText>
        </w:r>
        <w:r w:rsidR="00911B74" w:rsidRPr="00183B5F">
          <w:rPr>
            <w:szCs w:val="22"/>
          </w:rPr>
          <w:delText> </w:delText>
        </w:r>
        <w:r w:rsidRPr="00183B5F">
          <w:rPr>
            <w:szCs w:val="22"/>
          </w:rPr>
          <w:delText>mg</w:delText>
        </w:r>
        <w:r w:rsidR="00141743" w:rsidRPr="00183B5F">
          <w:rPr>
            <w:szCs w:val="22"/>
          </w:rPr>
          <w:noBreakHyphen/>
        </w:r>
        <w:r w:rsidRPr="00183B5F">
          <w:rPr>
            <w:szCs w:val="22"/>
          </w:rPr>
          <w:delText>ra</w:delText>
        </w:r>
        <w:r w:rsidR="003067C7" w:rsidRPr="00183B5F">
          <w:rPr>
            <w:szCs w:val="22"/>
          </w:rPr>
          <w:delText xml:space="preserve"> vagy kéthet</w:delText>
        </w:r>
        <w:r w:rsidR="00AF0C3A" w:rsidRPr="00183B5F">
          <w:rPr>
            <w:szCs w:val="22"/>
          </w:rPr>
          <w:delText>ente</w:delText>
        </w:r>
        <w:r w:rsidR="003067C7" w:rsidRPr="00183B5F">
          <w:rPr>
            <w:szCs w:val="22"/>
          </w:rPr>
          <w:delText xml:space="preserve"> 80 mg</w:delText>
        </w:r>
        <w:r w:rsidR="003067C7" w:rsidRPr="00183B5F">
          <w:rPr>
            <w:szCs w:val="22"/>
          </w:rPr>
          <w:noBreakHyphen/>
          <w:delText>ra</w:delText>
        </w:r>
        <w:r w:rsidRPr="00183B5F">
          <w:rPr>
            <w:szCs w:val="22"/>
          </w:rPr>
          <w:delText xml:space="preserve"> is emelheti az adagot.</w:delText>
        </w:r>
      </w:del>
    </w:p>
    <w:p w14:paraId="50767500" w14:textId="43B21233" w:rsidR="0068490A" w:rsidRPr="00183B5F" w:rsidRDefault="0068490A" w:rsidP="007276E0">
      <w:pPr>
        <w:spacing w:line="240" w:lineRule="auto"/>
        <w:rPr>
          <w:del w:id="13041" w:author="AbbVie_HU_03" w:date="2025-05-14T16:41:00Z"/>
          <w:szCs w:val="22"/>
        </w:rPr>
      </w:pPr>
    </w:p>
    <w:p w14:paraId="6B737357" w14:textId="09074810" w:rsidR="0068490A" w:rsidRPr="00183B5F" w:rsidRDefault="00943743" w:rsidP="007276E0">
      <w:pPr>
        <w:keepNext/>
        <w:spacing w:line="240" w:lineRule="auto"/>
        <w:ind w:right="-2"/>
        <w:rPr>
          <w:del w:id="13042" w:author="AbbVie_HU_03" w:date="2025-05-14T16:41:00Z"/>
          <w:szCs w:val="22"/>
          <w:u w:val="single"/>
        </w:rPr>
      </w:pPr>
      <w:del w:id="13043" w:author="AbbVie_HU_03" w:date="2025-05-14T16:41:00Z">
        <w:r w:rsidRPr="00183B5F">
          <w:rPr>
            <w:szCs w:val="22"/>
            <w:u w:val="single"/>
          </w:rPr>
          <w:delText>Kolitisz ulcerózában szenvedő felnőttek</w:delText>
        </w:r>
      </w:del>
    </w:p>
    <w:p w14:paraId="471CB17D" w14:textId="7764561E" w:rsidR="0068490A" w:rsidRPr="00183B5F" w:rsidRDefault="0068490A" w:rsidP="007276E0">
      <w:pPr>
        <w:keepNext/>
        <w:spacing w:line="240" w:lineRule="auto"/>
        <w:ind w:right="-2"/>
        <w:rPr>
          <w:del w:id="13044" w:author="AbbVie_HU_03" w:date="2025-05-14T16:41:00Z"/>
          <w:szCs w:val="22"/>
        </w:rPr>
      </w:pPr>
    </w:p>
    <w:p w14:paraId="32D1DD01" w14:textId="1AB0D32A" w:rsidR="00274D31" w:rsidRPr="00183B5F" w:rsidRDefault="00943743" w:rsidP="007276E0">
      <w:pPr>
        <w:keepNext/>
        <w:spacing w:line="240" w:lineRule="auto"/>
        <w:rPr>
          <w:del w:id="13045" w:author="AbbVie_HU_03" w:date="2025-05-14T16:41:00Z"/>
          <w:szCs w:val="22"/>
        </w:rPr>
      </w:pPr>
      <w:del w:id="13046" w:author="AbbVie_HU_03" w:date="2025-05-14T16:41:00Z">
        <w:r w:rsidRPr="00183B5F">
          <w:rPr>
            <w:szCs w:val="22"/>
          </w:rPr>
          <w:delText>Felnőtteknél kolitisz ulcerózában a szokásos adagolás 160 mg</w:delText>
        </w:r>
        <w:r w:rsidR="00DF61CC" w:rsidRPr="00183B5F">
          <w:rPr>
            <w:szCs w:val="22"/>
          </w:rPr>
          <w:delText xml:space="preserve"> (egy nap alatt négy </w:delText>
        </w:r>
        <w:r w:rsidR="003067C7" w:rsidRPr="00183B5F">
          <w:rPr>
            <w:szCs w:val="22"/>
          </w:rPr>
          <w:delText>40 mg</w:delText>
        </w:r>
        <w:r w:rsidR="00E5381A" w:rsidRPr="00183B5F">
          <w:rPr>
            <w:szCs w:val="22"/>
          </w:rPr>
          <w:noBreakHyphen/>
        </w:r>
        <w:r w:rsidR="003067C7" w:rsidRPr="00183B5F">
          <w:rPr>
            <w:szCs w:val="22"/>
          </w:rPr>
          <w:delText xml:space="preserve">os </w:delText>
        </w:r>
        <w:r w:rsidR="00DF61CC" w:rsidRPr="00183B5F">
          <w:rPr>
            <w:szCs w:val="22"/>
          </w:rPr>
          <w:delText xml:space="preserve">injekció vagy két egymást követő napon két-két </w:delText>
        </w:r>
        <w:r w:rsidR="003067C7" w:rsidRPr="00183B5F">
          <w:rPr>
            <w:szCs w:val="22"/>
          </w:rPr>
          <w:delText>40 mg</w:delText>
        </w:r>
        <w:r w:rsidR="00E5381A" w:rsidRPr="00183B5F">
          <w:rPr>
            <w:szCs w:val="22"/>
          </w:rPr>
          <w:noBreakHyphen/>
        </w:r>
        <w:r w:rsidR="003067C7" w:rsidRPr="00183B5F">
          <w:rPr>
            <w:szCs w:val="22"/>
          </w:rPr>
          <w:delText xml:space="preserve">os </w:delText>
        </w:r>
        <w:r w:rsidR="00DF61CC" w:rsidRPr="00183B5F">
          <w:rPr>
            <w:szCs w:val="22"/>
          </w:rPr>
          <w:delText>injekció)</w:delText>
        </w:r>
        <w:r w:rsidRPr="00183B5F">
          <w:rPr>
            <w:szCs w:val="22"/>
          </w:rPr>
          <w:delText xml:space="preserve"> a 0.</w:delText>
        </w:r>
        <w:r w:rsidR="00A44DB6" w:rsidRPr="00183B5F">
          <w:rPr>
            <w:szCs w:val="22"/>
          </w:rPr>
          <w:delText> hét</w:delText>
        </w:r>
        <w:r w:rsidRPr="00183B5F">
          <w:rPr>
            <w:szCs w:val="22"/>
          </w:rPr>
          <w:delText>en 80</w:delText>
        </w:r>
        <w:r w:rsidR="009574FD" w:rsidRPr="00183B5F">
          <w:rPr>
            <w:szCs w:val="22"/>
          </w:rPr>
          <w:delText> </w:delText>
        </w:r>
        <w:r w:rsidRPr="00183B5F">
          <w:rPr>
            <w:szCs w:val="22"/>
          </w:rPr>
          <w:delText xml:space="preserve">mg a </w:delText>
        </w:r>
        <w:r w:rsidR="003067C7" w:rsidRPr="00183B5F">
          <w:rPr>
            <w:szCs w:val="22"/>
          </w:rPr>
          <w:delText xml:space="preserve">második </w:delText>
        </w:r>
        <w:r w:rsidR="00A44DB6" w:rsidRPr="00183B5F">
          <w:rPr>
            <w:szCs w:val="22"/>
          </w:rPr>
          <w:delText>hét</w:delText>
        </w:r>
        <w:r w:rsidRPr="00183B5F">
          <w:rPr>
            <w:szCs w:val="22"/>
          </w:rPr>
          <w:delText>en</w:delText>
        </w:r>
        <w:r w:rsidR="003067C7" w:rsidRPr="00183B5F">
          <w:rPr>
            <w:szCs w:val="22"/>
          </w:rPr>
          <w:delText xml:space="preserve"> (két 40 mg</w:delText>
        </w:r>
        <w:r w:rsidR="00E5381A" w:rsidRPr="00183B5F">
          <w:rPr>
            <w:szCs w:val="22"/>
          </w:rPr>
          <w:noBreakHyphen/>
        </w:r>
        <w:r w:rsidR="003067C7" w:rsidRPr="00183B5F">
          <w:rPr>
            <w:szCs w:val="22"/>
          </w:rPr>
          <w:delText>os injekció egy napon)</w:delText>
        </w:r>
        <w:r w:rsidRPr="00183B5F">
          <w:rPr>
            <w:szCs w:val="22"/>
          </w:rPr>
          <w:delText>, majd ezt követően 40 mg minden második héten. A terápiás hatástól függően orvosa heti 40</w:delText>
        </w:r>
        <w:r w:rsidR="009574FD" w:rsidRPr="00183B5F">
          <w:rPr>
            <w:szCs w:val="22"/>
          </w:rPr>
          <w:delText> </w:delText>
        </w:r>
        <w:r w:rsidRPr="00183B5F">
          <w:rPr>
            <w:szCs w:val="22"/>
          </w:rPr>
          <w:delText>mg</w:delText>
        </w:r>
        <w:r w:rsidR="00E5381A" w:rsidRPr="00183B5F">
          <w:rPr>
            <w:szCs w:val="22"/>
          </w:rPr>
          <w:noBreakHyphen/>
        </w:r>
        <w:r w:rsidRPr="00183B5F">
          <w:rPr>
            <w:szCs w:val="22"/>
          </w:rPr>
          <w:delText xml:space="preserve">ra </w:delText>
        </w:r>
        <w:r w:rsidR="00F13823" w:rsidRPr="00183B5F">
          <w:rPr>
            <w:szCs w:val="22"/>
          </w:rPr>
          <w:delText>vagy kéthetente</w:delText>
        </w:r>
        <w:r w:rsidR="003067C7" w:rsidRPr="00183B5F">
          <w:rPr>
            <w:szCs w:val="22"/>
          </w:rPr>
          <w:delText xml:space="preserve"> 80 mg</w:delText>
        </w:r>
        <w:r w:rsidR="003067C7" w:rsidRPr="00183B5F">
          <w:rPr>
            <w:szCs w:val="22"/>
          </w:rPr>
          <w:noBreakHyphen/>
          <w:delText xml:space="preserve">ra </w:delText>
        </w:r>
        <w:r w:rsidRPr="00183B5F">
          <w:rPr>
            <w:szCs w:val="22"/>
          </w:rPr>
          <w:delText>emelheti az adag</w:delText>
        </w:r>
        <w:r w:rsidR="00003A4F" w:rsidRPr="00183B5F">
          <w:rPr>
            <w:szCs w:val="22"/>
          </w:rPr>
          <w:delText>ot</w:delText>
        </w:r>
        <w:r w:rsidRPr="00183B5F">
          <w:rPr>
            <w:szCs w:val="22"/>
          </w:rPr>
          <w:delText>.</w:delText>
        </w:r>
      </w:del>
    </w:p>
    <w:p w14:paraId="38184BFA" w14:textId="0CA1B76C" w:rsidR="00A449FD" w:rsidRPr="00183B5F" w:rsidRDefault="00A449FD" w:rsidP="007276E0">
      <w:pPr>
        <w:spacing w:line="240" w:lineRule="auto"/>
        <w:ind w:right="-2"/>
        <w:rPr>
          <w:del w:id="13047" w:author="AbbVie_HU_03" w:date="2025-05-14T16:41:00Z"/>
          <w:szCs w:val="22"/>
          <w:u w:val="single"/>
        </w:rPr>
      </w:pPr>
    </w:p>
    <w:p w14:paraId="17277CC8" w14:textId="144917AF" w:rsidR="007C7BAD" w:rsidRPr="00183B5F" w:rsidRDefault="00943743" w:rsidP="007276E0">
      <w:pPr>
        <w:keepNext/>
        <w:numPr>
          <w:ilvl w:val="12"/>
          <w:numId w:val="0"/>
        </w:numPr>
        <w:spacing w:line="240" w:lineRule="auto"/>
        <w:rPr>
          <w:del w:id="13048" w:author="AbbVie_HU_03" w:date="2025-05-14T16:41:00Z"/>
          <w:u w:val="single"/>
        </w:rPr>
      </w:pPr>
      <w:del w:id="13049" w:author="AbbVie_HU_03" w:date="2025-05-14T16:41:00Z">
        <w:r w:rsidRPr="00183B5F">
          <w:rPr>
            <w:u w:val="single"/>
          </w:rPr>
          <w:delText>Kolitisz ulcerózában szenvedő gyermekek és serdülők</w:delText>
        </w:r>
      </w:del>
    </w:p>
    <w:p w14:paraId="60EAB8A8" w14:textId="531E4820" w:rsidR="007C7BAD" w:rsidRPr="00183B5F" w:rsidRDefault="007C7BAD" w:rsidP="007276E0">
      <w:pPr>
        <w:keepNext/>
        <w:numPr>
          <w:ilvl w:val="12"/>
          <w:numId w:val="0"/>
        </w:numPr>
        <w:spacing w:line="240" w:lineRule="auto"/>
        <w:rPr>
          <w:del w:id="13050" w:author="AbbVie_HU_03" w:date="2025-05-14T16:41:00Z"/>
        </w:rPr>
      </w:pPr>
    </w:p>
    <w:p w14:paraId="27BAE11F" w14:textId="20121C0F" w:rsidR="007C7BAD" w:rsidRPr="00183B5F" w:rsidRDefault="00943743" w:rsidP="007276E0">
      <w:pPr>
        <w:keepNext/>
        <w:numPr>
          <w:ilvl w:val="12"/>
          <w:numId w:val="0"/>
        </w:numPr>
        <w:spacing w:line="240" w:lineRule="auto"/>
        <w:rPr>
          <w:del w:id="13051" w:author="AbbVie_HU_03" w:date="2025-05-14T16:41:00Z"/>
          <w:i/>
          <w:iCs/>
        </w:rPr>
      </w:pPr>
      <w:del w:id="13052" w:author="AbbVie_HU_03" w:date="2025-05-14T16:41:00Z">
        <w:r w:rsidRPr="00183B5F">
          <w:rPr>
            <w:i/>
          </w:rPr>
          <w:delText>6 éves vagy annál idősebb, 40 kg-nál kisebb testtömegű gyermekek és serdülők</w:delText>
        </w:r>
      </w:del>
    </w:p>
    <w:p w14:paraId="475B1ECE" w14:textId="71CB33AD" w:rsidR="007C7BAD" w:rsidRPr="00183B5F" w:rsidRDefault="007C7BAD" w:rsidP="007276E0">
      <w:pPr>
        <w:numPr>
          <w:ilvl w:val="12"/>
          <w:numId w:val="0"/>
        </w:numPr>
        <w:spacing w:line="240" w:lineRule="auto"/>
        <w:ind w:right="-2"/>
        <w:rPr>
          <w:del w:id="13053" w:author="AbbVie_HU_03" w:date="2025-05-14T16:41:00Z"/>
        </w:rPr>
      </w:pPr>
    </w:p>
    <w:p w14:paraId="0DB995B0" w14:textId="72FF5F8A" w:rsidR="007C7BAD" w:rsidRPr="00183B5F" w:rsidRDefault="00943743" w:rsidP="007276E0">
      <w:pPr>
        <w:numPr>
          <w:ilvl w:val="12"/>
          <w:numId w:val="0"/>
        </w:numPr>
        <w:spacing w:line="240" w:lineRule="auto"/>
        <w:ind w:right="-2"/>
        <w:rPr>
          <w:del w:id="13054" w:author="AbbVie_HU_03" w:date="2025-05-14T16:41:00Z"/>
        </w:rPr>
      </w:pPr>
      <w:del w:id="13055" w:author="AbbVie_HU_03" w:date="2025-05-14T16:41:00Z">
        <w:r w:rsidRPr="00183B5F">
          <w:delText xml:space="preserve">A Humira szokásos adagja </w:delText>
        </w:r>
        <w:r w:rsidR="004C08B8" w:rsidRPr="00183B5F">
          <w:delText>első alkalommal</w:delText>
        </w:r>
        <w:r w:rsidRPr="00183B5F">
          <w:delText xml:space="preserve"> 80 mg (két 40 mg-os injekció formájában egy nap</w:delText>
        </w:r>
        <w:r w:rsidR="004C08B8" w:rsidRPr="00183B5F">
          <w:delText>on</w:delText>
        </w:r>
        <w:r w:rsidRPr="00183B5F">
          <w:delText>), amelyet két hét múlva 40 mg (egy 40 mg-os injekció formájában) követ. Ezt követően a szokásos adag 40 mg kéthetente.</w:delText>
        </w:r>
      </w:del>
    </w:p>
    <w:p w14:paraId="23B0340A" w14:textId="4A013887" w:rsidR="007C7BAD" w:rsidRPr="00183B5F" w:rsidRDefault="007C7BAD" w:rsidP="007276E0">
      <w:pPr>
        <w:numPr>
          <w:ilvl w:val="12"/>
          <w:numId w:val="0"/>
        </w:numPr>
        <w:spacing w:line="240" w:lineRule="auto"/>
        <w:ind w:right="-2"/>
        <w:rPr>
          <w:del w:id="13056" w:author="AbbVie_HU_03" w:date="2025-05-14T16:41:00Z"/>
        </w:rPr>
      </w:pPr>
    </w:p>
    <w:p w14:paraId="39C938D4" w14:textId="29C55CC6" w:rsidR="007C7BAD" w:rsidRPr="00183B5F" w:rsidRDefault="00943743" w:rsidP="007276E0">
      <w:pPr>
        <w:numPr>
          <w:ilvl w:val="12"/>
          <w:numId w:val="0"/>
        </w:numPr>
        <w:spacing w:line="240" w:lineRule="auto"/>
        <w:ind w:right="-2"/>
        <w:rPr>
          <w:del w:id="13057" w:author="AbbVie_HU_03" w:date="2025-05-14T16:41:00Z"/>
        </w:rPr>
      </w:pPr>
      <w:del w:id="13058" w:author="AbbVie_HU_03" w:date="2025-05-14T16:41:00Z">
        <w:r w:rsidRPr="00183B5F">
          <w:delText>Azoknak a betegeknek, akik a kéthetenkénti 40 mg-os dózis alkalmazása alatt töltik be 18 éves korukat, folytatniuk kell az előírt dózist.</w:delText>
        </w:r>
      </w:del>
    </w:p>
    <w:p w14:paraId="7795E4A5" w14:textId="1384DFA4" w:rsidR="007C7BAD" w:rsidRPr="00183B5F" w:rsidRDefault="007C7BAD" w:rsidP="007276E0">
      <w:pPr>
        <w:numPr>
          <w:ilvl w:val="12"/>
          <w:numId w:val="0"/>
        </w:numPr>
        <w:spacing w:line="240" w:lineRule="auto"/>
        <w:ind w:right="-2"/>
        <w:rPr>
          <w:del w:id="13059" w:author="AbbVie_HU_03" w:date="2025-05-14T16:41:00Z"/>
        </w:rPr>
      </w:pPr>
    </w:p>
    <w:p w14:paraId="4C7180A8" w14:textId="4C1FB802" w:rsidR="007C7BAD" w:rsidRPr="00183B5F" w:rsidRDefault="00943743" w:rsidP="007276E0">
      <w:pPr>
        <w:numPr>
          <w:ilvl w:val="12"/>
          <w:numId w:val="0"/>
        </w:numPr>
        <w:spacing w:line="240" w:lineRule="auto"/>
        <w:ind w:right="-2"/>
        <w:rPr>
          <w:del w:id="13060" w:author="AbbVie_HU_03" w:date="2025-05-14T16:41:00Z"/>
          <w:i/>
          <w:iCs/>
        </w:rPr>
      </w:pPr>
      <w:del w:id="13061" w:author="AbbVie_HU_03" w:date="2025-05-14T16:41:00Z">
        <w:r w:rsidRPr="00183B5F">
          <w:rPr>
            <w:i/>
          </w:rPr>
          <w:delText>6 éves vagy annál idősebb, 40 kg-os vagy annál nagyobb testtömegű gyermekek és serdülők</w:delText>
        </w:r>
      </w:del>
    </w:p>
    <w:p w14:paraId="39618A78" w14:textId="77E30B73" w:rsidR="007C7BAD" w:rsidRPr="00183B5F" w:rsidRDefault="007C7BAD" w:rsidP="007276E0">
      <w:pPr>
        <w:numPr>
          <w:ilvl w:val="12"/>
          <w:numId w:val="0"/>
        </w:numPr>
        <w:spacing w:line="240" w:lineRule="auto"/>
        <w:ind w:right="-2"/>
        <w:rPr>
          <w:del w:id="13062" w:author="AbbVie_HU_03" w:date="2025-05-14T16:41:00Z"/>
          <w:i/>
          <w:iCs/>
        </w:rPr>
      </w:pPr>
    </w:p>
    <w:p w14:paraId="6E09E479" w14:textId="3E941B27" w:rsidR="007C7BAD" w:rsidRPr="00183B5F" w:rsidRDefault="00943743" w:rsidP="007276E0">
      <w:pPr>
        <w:numPr>
          <w:ilvl w:val="12"/>
          <w:numId w:val="0"/>
        </w:numPr>
        <w:spacing w:line="240" w:lineRule="auto"/>
        <w:ind w:right="-2"/>
        <w:rPr>
          <w:del w:id="13063" w:author="AbbVie_HU_03" w:date="2025-05-14T16:41:00Z"/>
        </w:rPr>
      </w:pPr>
      <w:del w:id="13064" w:author="AbbVie_HU_03" w:date="2025-05-14T16:41:00Z">
        <w:r w:rsidRPr="00183B5F">
          <w:delText xml:space="preserve">A Humira szokásos adagja </w:delText>
        </w:r>
        <w:r w:rsidR="004C08B8" w:rsidRPr="00183B5F">
          <w:delText>első alkalommal</w:delText>
        </w:r>
        <w:r w:rsidRPr="00183B5F">
          <w:delText xml:space="preserve"> 160 mg (négy 40 mg-os injekció egy nap</w:delText>
        </w:r>
        <w:r w:rsidR="004C08B8" w:rsidRPr="00183B5F">
          <w:delText>on</w:delText>
        </w:r>
        <w:r w:rsidRPr="00183B5F">
          <w:delText xml:space="preserve"> vagy két 40 mg-os injekció két egymást követő napon), majd két hét múlva 80 mg (két 40 mg-os injekció formájában egy nap</w:delText>
        </w:r>
        <w:r w:rsidR="004C08B8" w:rsidRPr="00183B5F">
          <w:delText>on</w:delText>
        </w:r>
        <w:r w:rsidRPr="00183B5F">
          <w:delText>). Ezt követően a szokásos adag 80 mg kéthetente.</w:delText>
        </w:r>
      </w:del>
    </w:p>
    <w:p w14:paraId="0C8EEFB8" w14:textId="52E27518" w:rsidR="007C7BAD" w:rsidRPr="00183B5F" w:rsidRDefault="007C7BAD" w:rsidP="007276E0">
      <w:pPr>
        <w:numPr>
          <w:ilvl w:val="12"/>
          <w:numId w:val="0"/>
        </w:numPr>
        <w:spacing w:line="240" w:lineRule="auto"/>
        <w:ind w:right="-2"/>
        <w:rPr>
          <w:del w:id="13065" w:author="AbbVie_HU_03" w:date="2025-05-14T16:41:00Z"/>
        </w:rPr>
      </w:pPr>
    </w:p>
    <w:p w14:paraId="628F1FC3" w14:textId="6FAC8CD3" w:rsidR="007C7BAD" w:rsidRPr="00183B5F" w:rsidRDefault="00943743" w:rsidP="007276E0">
      <w:pPr>
        <w:spacing w:line="240" w:lineRule="auto"/>
        <w:rPr>
          <w:del w:id="13066" w:author="AbbVie_HU_03" w:date="2025-05-14T16:41:00Z"/>
        </w:rPr>
      </w:pPr>
      <w:del w:id="13067" w:author="AbbVie_HU_03" w:date="2025-05-14T16:41:00Z">
        <w:r w:rsidRPr="00183B5F">
          <w:delText>Azoknak a betegeknek, akik a kéthetenkénti 80 mg-os dózis alkalmazása alatt töltik be 18 éves korukat, folytatniuk kell az előírt dózist.</w:delText>
        </w:r>
      </w:del>
    </w:p>
    <w:p w14:paraId="27C26557" w14:textId="49A38066" w:rsidR="007C7BAD" w:rsidRPr="00183B5F" w:rsidRDefault="007C7BAD" w:rsidP="007276E0">
      <w:pPr>
        <w:spacing w:line="240" w:lineRule="auto"/>
        <w:ind w:right="-2"/>
        <w:rPr>
          <w:del w:id="13068" w:author="AbbVie_HU_03" w:date="2025-05-14T16:41:00Z"/>
          <w:szCs w:val="22"/>
          <w:u w:val="single"/>
        </w:rPr>
      </w:pPr>
    </w:p>
    <w:p w14:paraId="67B68ADA" w14:textId="29A62D9B" w:rsidR="00A449FD" w:rsidRPr="00183B5F" w:rsidRDefault="00943743" w:rsidP="007276E0">
      <w:pPr>
        <w:spacing w:line="240" w:lineRule="auto"/>
        <w:ind w:right="-2"/>
        <w:rPr>
          <w:del w:id="13069" w:author="AbbVie_HU_03" w:date="2025-05-14T16:41:00Z"/>
          <w:szCs w:val="22"/>
          <w:u w:val="single"/>
        </w:rPr>
      </w:pPr>
      <w:del w:id="13070" w:author="AbbVie_HU_03" w:date="2025-05-14T16:41:00Z">
        <w:r w:rsidRPr="00183B5F">
          <w:rPr>
            <w:szCs w:val="22"/>
            <w:u w:val="single"/>
          </w:rPr>
          <w:delText>Nem fertőzéses eredetű szemgyulladásban (uveitisz) szenvedő felnőttek</w:delText>
        </w:r>
      </w:del>
    </w:p>
    <w:p w14:paraId="60F9BBA3" w14:textId="673052C5" w:rsidR="00A449FD" w:rsidRPr="00183B5F" w:rsidRDefault="00A449FD" w:rsidP="007276E0">
      <w:pPr>
        <w:spacing w:line="240" w:lineRule="auto"/>
        <w:ind w:right="-2"/>
        <w:rPr>
          <w:del w:id="13071" w:author="AbbVie_HU_03" w:date="2025-05-14T16:41:00Z"/>
          <w:szCs w:val="22"/>
        </w:rPr>
      </w:pPr>
    </w:p>
    <w:p w14:paraId="67A05260" w14:textId="3910BF43" w:rsidR="00A449FD" w:rsidRPr="00183B5F" w:rsidRDefault="00943743" w:rsidP="007276E0">
      <w:pPr>
        <w:spacing w:line="240" w:lineRule="auto"/>
        <w:ind w:right="-2"/>
        <w:rPr>
          <w:del w:id="13072" w:author="AbbVie_HU_03" w:date="2025-05-14T16:41:00Z"/>
          <w:szCs w:val="22"/>
        </w:rPr>
      </w:pPr>
      <w:del w:id="13073" w:author="AbbVie_HU_03" w:date="2025-05-14T16:41:00Z">
        <w:r w:rsidRPr="00183B5F">
          <w:rPr>
            <w:szCs w:val="22"/>
          </w:rPr>
          <w:delText>Nem fertőzéses eredetű szemgyulladásban (uveitisz) szenvedő felnőtte</w:delText>
        </w:r>
        <w:r w:rsidR="00CB7B2B" w:rsidRPr="00183B5F">
          <w:rPr>
            <w:szCs w:val="22"/>
          </w:rPr>
          <w:delText>k</w:delText>
        </w:r>
        <w:r w:rsidRPr="00183B5F">
          <w:rPr>
            <w:szCs w:val="22"/>
          </w:rPr>
          <w:delText>nél a szokásos adag először 80 mg</w:delText>
        </w:r>
        <w:r w:rsidR="00065A5B" w:rsidRPr="00183B5F">
          <w:rPr>
            <w:szCs w:val="22"/>
          </w:rPr>
          <w:delText xml:space="preserve"> (két injekció egy napon)</w:delText>
        </w:r>
        <w:r w:rsidRPr="00183B5F">
          <w:rPr>
            <w:szCs w:val="22"/>
          </w:rPr>
          <w:delText xml:space="preserve">, majd </w:delText>
        </w:r>
        <w:r w:rsidR="00222C73" w:rsidRPr="00183B5F">
          <w:rPr>
            <w:szCs w:val="22"/>
          </w:rPr>
          <w:delText>egy</w:delText>
        </w:r>
        <w:r w:rsidR="00061126" w:rsidRPr="00183B5F">
          <w:rPr>
            <w:szCs w:val="22"/>
          </w:rPr>
          <w:delText xml:space="preserve"> </w:delText>
        </w:r>
        <w:r w:rsidRPr="00183B5F">
          <w:rPr>
            <w:szCs w:val="22"/>
          </w:rPr>
          <w:delText xml:space="preserve">héttel a kezdőadag után 40 mg minden második héten beadva. Addig kell folytatnia a Humira beadását, amíg </w:delText>
        </w:r>
        <w:r w:rsidR="00935902" w:rsidRPr="00183B5F">
          <w:rPr>
            <w:szCs w:val="22"/>
          </w:rPr>
          <w:delText>kezelőorvosa mondja Önnek.</w:delText>
        </w:r>
      </w:del>
    </w:p>
    <w:p w14:paraId="0C8517E0" w14:textId="52863C2A" w:rsidR="00A449FD" w:rsidRPr="00183B5F" w:rsidRDefault="00A449FD" w:rsidP="007276E0">
      <w:pPr>
        <w:spacing w:line="240" w:lineRule="auto"/>
        <w:ind w:right="-2"/>
        <w:rPr>
          <w:del w:id="13074" w:author="AbbVie_HU_03" w:date="2025-05-14T16:41:00Z"/>
          <w:szCs w:val="22"/>
        </w:rPr>
      </w:pPr>
    </w:p>
    <w:p w14:paraId="68F1AE89" w14:textId="04FC5904" w:rsidR="00A449FD" w:rsidRPr="00183B5F" w:rsidRDefault="00943743" w:rsidP="007276E0">
      <w:pPr>
        <w:spacing w:line="240" w:lineRule="auto"/>
        <w:ind w:right="-2"/>
        <w:rPr>
          <w:del w:id="13075" w:author="AbbVie_HU_03" w:date="2025-05-14T16:41:00Z"/>
          <w:szCs w:val="22"/>
        </w:rPr>
      </w:pPr>
      <w:del w:id="13076" w:author="AbbVie_HU_03" w:date="2025-05-14T16:41:00Z">
        <w:r w:rsidRPr="00183B5F">
          <w:rPr>
            <w:szCs w:val="22"/>
          </w:rPr>
          <w:delText>Nem fertőzéses eredetű szemgyulladásban kortikoszteroidok,</w:delText>
        </w:r>
        <w:r w:rsidR="00935902" w:rsidRPr="00183B5F">
          <w:rPr>
            <w:szCs w:val="22"/>
          </w:rPr>
          <w:delText>-</w:delText>
        </w:r>
        <w:r w:rsidRPr="00183B5F">
          <w:rPr>
            <w:szCs w:val="22"/>
          </w:rPr>
          <w:delText xml:space="preserve"> vagy egyéb, az immunrendszer működését befolyásoló gyógyszerek adhatók a Humira</w:delText>
        </w:r>
        <w:r w:rsidRPr="00183B5F">
          <w:rPr>
            <w:szCs w:val="22"/>
          </w:rPr>
          <w:noBreakHyphen/>
          <w:delText>val egyidejűleg. A Humira önmagában is alkalmazható.</w:delText>
        </w:r>
      </w:del>
    </w:p>
    <w:p w14:paraId="1AC1A686" w14:textId="5FEFAFA4" w:rsidR="00195015" w:rsidRPr="00183B5F" w:rsidRDefault="00195015" w:rsidP="007276E0">
      <w:pPr>
        <w:spacing w:line="240" w:lineRule="auto"/>
        <w:ind w:right="-2"/>
        <w:rPr>
          <w:del w:id="13077" w:author="AbbVie_HU_03" w:date="2025-05-14T16:41:00Z"/>
          <w:szCs w:val="22"/>
        </w:rPr>
      </w:pPr>
    </w:p>
    <w:p w14:paraId="121E139C" w14:textId="1ED83888" w:rsidR="00195015" w:rsidRPr="00183B5F" w:rsidRDefault="00943743" w:rsidP="007276E0">
      <w:pPr>
        <w:keepNext/>
        <w:numPr>
          <w:ilvl w:val="12"/>
          <w:numId w:val="0"/>
        </w:numPr>
        <w:spacing w:line="240" w:lineRule="auto"/>
        <w:rPr>
          <w:del w:id="13078" w:author="AbbVie_HU_03" w:date="2025-05-14T16:41:00Z"/>
          <w:szCs w:val="22"/>
          <w:u w:val="single"/>
        </w:rPr>
      </w:pPr>
      <w:del w:id="13079" w:author="AbbVie_HU_03" w:date="2025-05-14T16:41:00Z">
        <w:r w:rsidRPr="00183B5F">
          <w:rPr>
            <w:szCs w:val="22"/>
            <w:u w:val="single"/>
          </w:rPr>
          <w:delText>Krónikus, nem fertőzéses eredetű szemgyulladásban (uveitisz) szenvedő gyermekek</w:delText>
        </w:r>
        <w:r w:rsidR="00065A5B" w:rsidRPr="00183B5F">
          <w:rPr>
            <w:szCs w:val="22"/>
            <w:u w:val="single"/>
          </w:rPr>
          <w:delText xml:space="preserve"> és serdülők</w:delText>
        </w:r>
        <w:r w:rsidRPr="00183B5F">
          <w:rPr>
            <w:szCs w:val="22"/>
            <w:u w:val="single"/>
          </w:rPr>
          <w:delText xml:space="preserve"> 2 éves kortól</w:delText>
        </w:r>
      </w:del>
    </w:p>
    <w:p w14:paraId="26E3129A" w14:textId="67FD7A38" w:rsidR="00195015" w:rsidRPr="00183B5F" w:rsidRDefault="00195015" w:rsidP="007276E0">
      <w:pPr>
        <w:keepNext/>
        <w:numPr>
          <w:ilvl w:val="12"/>
          <w:numId w:val="0"/>
        </w:numPr>
        <w:spacing w:line="240" w:lineRule="auto"/>
        <w:rPr>
          <w:del w:id="13080" w:author="AbbVie_HU_03" w:date="2025-05-14T16:41:00Z"/>
          <w:szCs w:val="22"/>
          <w:u w:val="single"/>
        </w:rPr>
      </w:pPr>
    </w:p>
    <w:p w14:paraId="704D69FF" w14:textId="68C584DB" w:rsidR="00195015" w:rsidRPr="00183B5F" w:rsidRDefault="00943743" w:rsidP="007276E0">
      <w:pPr>
        <w:numPr>
          <w:ilvl w:val="12"/>
          <w:numId w:val="0"/>
        </w:numPr>
        <w:spacing w:line="240" w:lineRule="auto"/>
        <w:ind w:right="-2"/>
        <w:rPr>
          <w:del w:id="13081" w:author="AbbVie_HU_03" w:date="2025-05-14T16:41:00Z"/>
          <w:szCs w:val="22"/>
          <w:u w:val="single"/>
        </w:rPr>
      </w:pPr>
      <w:del w:id="13082" w:author="AbbVie_HU_03" w:date="2025-05-14T16:41:00Z">
        <w:r w:rsidRPr="00183B5F">
          <w:rPr>
            <w:i/>
          </w:rPr>
          <w:delText>2 éves kor feletti, 30 kg</w:delText>
        </w:r>
        <w:r w:rsidRPr="00183B5F">
          <w:rPr>
            <w:i/>
          </w:rPr>
          <w:noBreakHyphen/>
          <w:delText>nál kisebb testtömegű gyermekek és serdülők</w:delText>
        </w:r>
      </w:del>
    </w:p>
    <w:p w14:paraId="64E8437C" w14:textId="7C86B01B" w:rsidR="00195015" w:rsidRPr="00183B5F" w:rsidRDefault="00195015" w:rsidP="007276E0">
      <w:pPr>
        <w:numPr>
          <w:ilvl w:val="12"/>
          <w:numId w:val="0"/>
        </w:numPr>
        <w:spacing w:line="240" w:lineRule="auto"/>
        <w:ind w:right="-2"/>
        <w:rPr>
          <w:del w:id="13083" w:author="AbbVie_HU_03" w:date="2025-05-14T16:41:00Z"/>
          <w:szCs w:val="22"/>
        </w:rPr>
      </w:pPr>
    </w:p>
    <w:p w14:paraId="3D71E2F5" w14:textId="34BBEBB6" w:rsidR="00195015" w:rsidRPr="00183B5F" w:rsidRDefault="00943743" w:rsidP="007276E0">
      <w:pPr>
        <w:numPr>
          <w:ilvl w:val="12"/>
          <w:numId w:val="0"/>
        </w:numPr>
        <w:spacing w:line="240" w:lineRule="auto"/>
        <w:ind w:right="-2"/>
        <w:rPr>
          <w:del w:id="13084" w:author="AbbVie_HU_03" w:date="2025-05-14T16:41:00Z"/>
          <w:szCs w:val="22"/>
        </w:rPr>
      </w:pPr>
      <w:del w:id="13085" w:author="AbbVie_HU_03" w:date="2025-05-14T16:41:00Z">
        <w:r w:rsidRPr="00183B5F">
          <w:rPr>
            <w:szCs w:val="22"/>
          </w:rPr>
          <w:delText>A Humira szokásos adagja 20 mg minden második héten</w:delText>
        </w:r>
        <w:r w:rsidR="003C11FA" w:rsidRPr="00183B5F">
          <w:rPr>
            <w:szCs w:val="22"/>
          </w:rPr>
          <w:delText>,</w:delText>
        </w:r>
        <w:r w:rsidRPr="00183B5F">
          <w:rPr>
            <w:szCs w:val="22"/>
          </w:rPr>
          <w:delText xml:space="preserve"> metotrexáttal kombiná</w:delText>
        </w:r>
        <w:r w:rsidR="00DC6E72" w:rsidRPr="00183B5F">
          <w:rPr>
            <w:szCs w:val="22"/>
          </w:rPr>
          <w:delText>lva</w:delText>
        </w:r>
        <w:r w:rsidRPr="00183B5F">
          <w:rPr>
            <w:szCs w:val="22"/>
          </w:rPr>
          <w:delText>.</w:delText>
        </w:r>
      </w:del>
    </w:p>
    <w:p w14:paraId="551CB4F5" w14:textId="284E6C73" w:rsidR="00195015" w:rsidRPr="00183B5F" w:rsidRDefault="00195015" w:rsidP="007276E0">
      <w:pPr>
        <w:numPr>
          <w:ilvl w:val="12"/>
          <w:numId w:val="0"/>
        </w:numPr>
        <w:spacing w:line="240" w:lineRule="auto"/>
        <w:ind w:right="-2"/>
        <w:rPr>
          <w:del w:id="13086" w:author="AbbVie_HU_03" w:date="2025-05-14T16:41:00Z"/>
          <w:szCs w:val="22"/>
        </w:rPr>
      </w:pPr>
    </w:p>
    <w:p w14:paraId="495700AE" w14:textId="52E81805" w:rsidR="00195015" w:rsidRPr="00183B5F" w:rsidRDefault="00943743" w:rsidP="007276E0">
      <w:pPr>
        <w:numPr>
          <w:ilvl w:val="12"/>
          <w:numId w:val="0"/>
        </w:numPr>
        <w:spacing w:line="240" w:lineRule="auto"/>
        <w:ind w:right="-2"/>
        <w:rPr>
          <w:del w:id="13087" w:author="AbbVie_HU_03" w:date="2025-05-14T16:41:00Z"/>
          <w:szCs w:val="22"/>
        </w:rPr>
      </w:pPr>
      <w:del w:id="13088" w:author="AbbVie_HU_03" w:date="2025-05-14T16:41:00Z">
        <w:r w:rsidRPr="00183B5F">
          <w:rPr>
            <w:szCs w:val="22"/>
          </w:rPr>
          <w:delText xml:space="preserve">Kezelőorvosa </w:delText>
        </w:r>
        <w:r w:rsidR="009201C1" w:rsidRPr="00183B5F">
          <w:rPr>
            <w:szCs w:val="22"/>
          </w:rPr>
          <w:delText xml:space="preserve">egy </w:delText>
        </w:r>
        <w:r w:rsidRPr="00183B5F">
          <w:rPr>
            <w:szCs w:val="22"/>
          </w:rPr>
          <w:delText>40 mg</w:delText>
        </w:r>
        <w:r w:rsidR="009201C1" w:rsidRPr="00183B5F">
          <w:rPr>
            <w:szCs w:val="22"/>
          </w:rPr>
          <w:noBreakHyphen/>
          <w:delText>os</w:delText>
        </w:r>
        <w:r w:rsidRPr="00183B5F">
          <w:rPr>
            <w:szCs w:val="22"/>
          </w:rPr>
          <w:delText xml:space="preserve"> kezdő adagot is felírhat, melyet egy héttel a szokásos adagolás megkezdése előtt kell beadni.</w:delText>
        </w:r>
      </w:del>
    </w:p>
    <w:p w14:paraId="29C1FFB5" w14:textId="2CEE5AA6" w:rsidR="00195015" w:rsidRPr="00183B5F" w:rsidRDefault="00195015" w:rsidP="007276E0">
      <w:pPr>
        <w:numPr>
          <w:ilvl w:val="12"/>
          <w:numId w:val="0"/>
        </w:numPr>
        <w:spacing w:line="240" w:lineRule="auto"/>
        <w:ind w:right="-2"/>
        <w:rPr>
          <w:del w:id="13089" w:author="AbbVie_HU_03" w:date="2025-05-14T16:41:00Z"/>
          <w:szCs w:val="22"/>
        </w:rPr>
      </w:pPr>
    </w:p>
    <w:p w14:paraId="127B9D32" w14:textId="1FDDAC37" w:rsidR="00F41C32" w:rsidRPr="00183B5F" w:rsidRDefault="00943743" w:rsidP="007276E0">
      <w:pPr>
        <w:numPr>
          <w:ilvl w:val="12"/>
          <w:numId w:val="0"/>
        </w:numPr>
        <w:spacing w:line="240" w:lineRule="auto"/>
        <w:ind w:right="-2"/>
        <w:rPr>
          <w:del w:id="13090" w:author="AbbVie_HU_03" w:date="2025-05-14T16:41:00Z"/>
          <w:i/>
          <w:szCs w:val="22"/>
          <w:u w:val="single"/>
        </w:rPr>
      </w:pPr>
      <w:del w:id="13091" w:author="AbbVie_HU_03" w:date="2025-05-14T16:41:00Z">
        <w:r w:rsidRPr="00183B5F">
          <w:rPr>
            <w:i/>
          </w:rPr>
          <w:delText>2 éves kor feletti, 30 kg vagy annál nagyobb testtömegű gyermekek és serdülők</w:delText>
        </w:r>
        <w:r w:rsidRPr="00183B5F">
          <w:rPr>
            <w:i/>
            <w:szCs w:val="22"/>
            <w:u w:val="single"/>
          </w:rPr>
          <w:delText xml:space="preserve"> </w:delText>
        </w:r>
      </w:del>
    </w:p>
    <w:p w14:paraId="2B4A43DC" w14:textId="16248523" w:rsidR="00195015" w:rsidRPr="00183B5F" w:rsidRDefault="00195015" w:rsidP="007276E0">
      <w:pPr>
        <w:numPr>
          <w:ilvl w:val="12"/>
          <w:numId w:val="0"/>
        </w:numPr>
        <w:spacing w:line="240" w:lineRule="auto"/>
        <w:ind w:right="-2"/>
        <w:rPr>
          <w:del w:id="13092" w:author="AbbVie_HU_03" w:date="2025-05-14T16:41:00Z"/>
          <w:szCs w:val="22"/>
          <w:u w:val="single"/>
        </w:rPr>
      </w:pPr>
    </w:p>
    <w:p w14:paraId="5B1A0757" w14:textId="75B70743" w:rsidR="00195015" w:rsidRPr="00183B5F" w:rsidRDefault="00943743" w:rsidP="007276E0">
      <w:pPr>
        <w:numPr>
          <w:ilvl w:val="12"/>
          <w:numId w:val="0"/>
        </w:numPr>
        <w:spacing w:line="240" w:lineRule="auto"/>
        <w:ind w:right="-2"/>
        <w:rPr>
          <w:del w:id="13093" w:author="AbbVie_HU_03" w:date="2025-05-14T16:41:00Z"/>
          <w:szCs w:val="22"/>
          <w:u w:val="single"/>
        </w:rPr>
      </w:pPr>
      <w:del w:id="13094" w:author="AbbVie_HU_03" w:date="2025-05-14T16:41:00Z">
        <w:r w:rsidRPr="00183B5F">
          <w:rPr>
            <w:szCs w:val="22"/>
          </w:rPr>
          <w:delText>A Humira szokásos adagja 40 mg minden második héten</w:delText>
        </w:r>
        <w:r w:rsidR="00B219E8" w:rsidRPr="00183B5F">
          <w:rPr>
            <w:szCs w:val="22"/>
          </w:rPr>
          <w:delText>,</w:delText>
        </w:r>
        <w:r w:rsidRPr="00183B5F">
          <w:rPr>
            <w:szCs w:val="22"/>
          </w:rPr>
          <w:delText xml:space="preserve"> metotrexáttal kombiná</w:delText>
        </w:r>
        <w:r w:rsidR="00DC6E72" w:rsidRPr="00183B5F">
          <w:rPr>
            <w:szCs w:val="22"/>
          </w:rPr>
          <w:delText>lva</w:delText>
        </w:r>
        <w:r w:rsidRPr="00183B5F">
          <w:rPr>
            <w:szCs w:val="22"/>
          </w:rPr>
          <w:delText xml:space="preserve">. </w:delText>
        </w:r>
      </w:del>
    </w:p>
    <w:p w14:paraId="10988C32" w14:textId="099E9EE9" w:rsidR="00195015" w:rsidRPr="00183B5F" w:rsidRDefault="00195015" w:rsidP="007276E0">
      <w:pPr>
        <w:numPr>
          <w:ilvl w:val="12"/>
          <w:numId w:val="0"/>
        </w:numPr>
        <w:spacing w:line="240" w:lineRule="auto"/>
        <w:ind w:right="-2"/>
        <w:rPr>
          <w:del w:id="13095" w:author="AbbVie_HU_03" w:date="2025-05-14T16:41:00Z"/>
          <w:szCs w:val="22"/>
        </w:rPr>
      </w:pPr>
    </w:p>
    <w:p w14:paraId="474709BE" w14:textId="04296622" w:rsidR="00195015" w:rsidRPr="00183B5F" w:rsidRDefault="00943743" w:rsidP="007276E0">
      <w:pPr>
        <w:numPr>
          <w:ilvl w:val="12"/>
          <w:numId w:val="0"/>
        </w:numPr>
        <w:spacing w:line="240" w:lineRule="auto"/>
        <w:ind w:right="-2"/>
        <w:rPr>
          <w:del w:id="13096" w:author="AbbVie_HU_03" w:date="2025-05-14T16:41:00Z"/>
          <w:szCs w:val="22"/>
        </w:rPr>
      </w:pPr>
      <w:del w:id="13097" w:author="AbbVie_HU_03" w:date="2025-05-14T16:41:00Z">
        <w:r w:rsidRPr="00183B5F">
          <w:rPr>
            <w:szCs w:val="22"/>
          </w:rPr>
          <w:delText xml:space="preserve">Gyermeke kezelőorvosa </w:delText>
        </w:r>
        <w:r w:rsidR="009201C1" w:rsidRPr="00183B5F">
          <w:rPr>
            <w:szCs w:val="22"/>
          </w:rPr>
          <w:delText xml:space="preserve">egy </w:delText>
        </w:r>
        <w:r w:rsidRPr="00183B5F">
          <w:rPr>
            <w:szCs w:val="22"/>
          </w:rPr>
          <w:delText>80 mg</w:delText>
        </w:r>
        <w:r w:rsidR="009201C1" w:rsidRPr="00183B5F">
          <w:rPr>
            <w:szCs w:val="22"/>
          </w:rPr>
          <w:noBreakHyphen/>
          <w:delText>os</w:delText>
        </w:r>
        <w:r w:rsidRPr="00183B5F">
          <w:rPr>
            <w:szCs w:val="22"/>
          </w:rPr>
          <w:delText xml:space="preserve"> kezdő adagot is felírhat, melyet egy héttel a szokásos adagolás megkezdése előtt kell beadni.</w:delText>
        </w:r>
      </w:del>
    </w:p>
    <w:p w14:paraId="0B4DA4FA" w14:textId="433FC632" w:rsidR="00080B50" w:rsidRPr="00183B5F" w:rsidRDefault="00080B50" w:rsidP="007276E0">
      <w:pPr>
        <w:spacing w:line="240" w:lineRule="auto"/>
        <w:ind w:right="-2"/>
        <w:rPr>
          <w:del w:id="13098" w:author="AbbVie_HU_03" w:date="2025-05-14T16:41:00Z"/>
          <w:szCs w:val="22"/>
        </w:rPr>
      </w:pPr>
    </w:p>
    <w:p w14:paraId="3CBED453" w14:textId="13E3B8FA" w:rsidR="00080B50" w:rsidRPr="00183B5F" w:rsidRDefault="00943743" w:rsidP="007276E0">
      <w:pPr>
        <w:numPr>
          <w:ilvl w:val="12"/>
          <w:numId w:val="0"/>
        </w:numPr>
        <w:spacing w:line="240" w:lineRule="auto"/>
        <w:ind w:right="-2"/>
        <w:rPr>
          <w:del w:id="13099" w:author="AbbVie_HU_03" w:date="2025-05-14T16:41:00Z"/>
          <w:b/>
          <w:szCs w:val="22"/>
        </w:rPr>
      </w:pPr>
      <w:del w:id="13100" w:author="AbbVie_HU_03" w:date="2025-05-14T16:41:00Z">
        <w:r w:rsidRPr="00183B5F">
          <w:rPr>
            <w:b/>
            <w:szCs w:val="22"/>
          </w:rPr>
          <w:delText>Az alkalmazással kapcsolatos tudnivalók és az alkalmazás módja</w:delText>
        </w:r>
      </w:del>
    </w:p>
    <w:p w14:paraId="7FE45541" w14:textId="223C079F" w:rsidR="00080B50" w:rsidRPr="00183B5F" w:rsidRDefault="00080B50" w:rsidP="007276E0">
      <w:pPr>
        <w:numPr>
          <w:ilvl w:val="12"/>
          <w:numId w:val="0"/>
        </w:numPr>
        <w:spacing w:line="240" w:lineRule="auto"/>
        <w:ind w:right="-2"/>
        <w:rPr>
          <w:del w:id="13101" w:author="AbbVie_HU_03" w:date="2025-05-14T16:41:00Z"/>
          <w:b/>
          <w:szCs w:val="22"/>
        </w:rPr>
      </w:pPr>
    </w:p>
    <w:p w14:paraId="75A7AE66" w14:textId="54C192DF" w:rsidR="00080B50" w:rsidRPr="00183B5F" w:rsidRDefault="00943743" w:rsidP="007276E0">
      <w:pPr>
        <w:spacing w:line="240" w:lineRule="auto"/>
        <w:ind w:right="-2"/>
        <w:rPr>
          <w:del w:id="13102" w:author="AbbVie_HU_03" w:date="2025-05-14T16:41:00Z"/>
          <w:szCs w:val="22"/>
        </w:rPr>
      </w:pPr>
      <w:del w:id="13103" w:author="AbbVie_HU_03" w:date="2025-05-14T16:41:00Z">
        <w:r w:rsidRPr="00183B5F">
          <w:rPr>
            <w:szCs w:val="22"/>
          </w:rPr>
          <w:delText>A Humira</w:delText>
        </w:r>
        <w:r w:rsidR="00141743" w:rsidRPr="00183B5F">
          <w:rPr>
            <w:szCs w:val="22"/>
          </w:rPr>
          <w:noBreakHyphen/>
        </w:r>
        <w:r w:rsidRPr="00183B5F">
          <w:rPr>
            <w:szCs w:val="22"/>
          </w:rPr>
          <w:delText>t a bőr alá (szubkután</w:delText>
        </w:r>
        <w:r w:rsidR="004E5FCB" w:rsidRPr="00183B5F">
          <w:rPr>
            <w:szCs w:val="22"/>
          </w:rPr>
          <w:delText xml:space="preserve"> injekció formájában</w:delText>
        </w:r>
        <w:r w:rsidRPr="00183B5F">
          <w:rPr>
            <w:szCs w:val="22"/>
          </w:rPr>
          <w:delText>) kell beadni.</w:delText>
        </w:r>
      </w:del>
    </w:p>
    <w:p w14:paraId="3CDA6EC6" w14:textId="212C6A94" w:rsidR="00080B50" w:rsidRPr="00183B5F" w:rsidRDefault="00080B50" w:rsidP="007276E0">
      <w:pPr>
        <w:spacing w:line="240" w:lineRule="auto"/>
        <w:ind w:right="-2"/>
        <w:rPr>
          <w:del w:id="13104" w:author="AbbVie_HU_03" w:date="2025-05-14T16:41:00Z"/>
          <w:szCs w:val="22"/>
        </w:rPr>
      </w:pPr>
    </w:p>
    <w:p w14:paraId="22D8752D" w14:textId="10407396" w:rsidR="00FB6710" w:rsidRPr="00183B5F" w:rsidRDefault="00943743" w:rsidP="007276E0">
      <w:pPr>
        <w:spacing w:line="240" w:lineRule="auto"/>
        <w:ind w:right="-449"/>
        <w:rPr>
          <w:del w:id="13105" w:author="AbbVie_HU_03" w:date="2025-05-14T16:41:00Z"/>
          <w:b/>
          <w:bCs/>
          <w:szCs w:val="22"/>
        </w:rPr>
      </w:pPr>
      <w:del w:id="13106" w:author="AbbVie_HU_03" w:date="2025-05-14T16:41:00Z">
        <w:r w:rsidRPr="00183B5F">
          <w:rPr>
            <w:b/>
            <w:bCs/>
            <w:szCs w:val="22"/>
          </w:rPr>
          <w:delText>Öninjekciózás</w:delText>
        </w:r>
      </w:del>
    </w:p>
    <w:p w14:paraId="6514119E" w14:textId="139F00E2" w:rsidR="00FB6710" w:rsidRPr="00183B5F" w:rsidRDefault="00FB6710" w:rsidP="007276E0">
      <w:pPr>
        <w:spacing w:line="240" w:lineRule="auto"/>
        <w:ind w:right="-3"/>
        <w:rPr>
          <w:del w:id="13107" w:author="AbbVie_HU_03" w:date="2025-05-14T16:41:00Z"/>
          <w:szCs w:val="22"/>
        </w:rPr>
      </w:pPr>
    </w:p>
    <w:p w14:paraId="4DF4C52C" w14:textId="03FA2E6D" w:rsidR="00FB6710" w:rsidRPr="00183B5F" w:rsidRDefault="00943743" w:rsidP="007276E0">
      <w:pPr>
        <w:suppressAutoHyphens w:val="0"/>
        <w:spacing w:line="240" w:lineRule="auto"/>
        <w:ind w:right="-3"/>
        <w:rPr>
          <w:del w:id="13108" w:author="AbbVie_HU_03" w:date="2025-05-14T16:41:00Z"/>
          <w:szCs w:val="22"/>
        </w:rPr>
      </w:pPr>
      <w:del w:id="13109" w:author="AbbVie_HU_03" w:date="2025-05-14T16:41:00Z">
        <w:r w:rsidRPr="00183B5F">
          <w:rPr>
            <w:szCs w:val="22"/>
          </w:rPr>
          <w:delText xml:space="preserve">A következő útmutató azt ismerteti, </w:delText>
        </w:r>
        <w:r w:rsidR="00933077" w:rsidRPr="00183B5F">
          <w:rPr>
            <w:szCs w:val="22"/>
          </w:rPr>
          <w:delText>hogyan adhat be</w:delText>
        </w:r>
        <w:r w:rsidRPr="00183B5F">
          <w:rPr>
            <w:szCs w:val="22"/>
          </w:rPr>
          <w:delText xml:space="preserve"> magának Humira injekciót előretöltött injekciós toll</w:delText>
        </w:r>
        <w:r w:rsidR="00933077" w:rsidRPr="00183B5F">
          <w:rPr>
            <w:szCs w:val="22"/>
          </w:rPr>
          <w:delText>al.</w:delText>
        </w:r>
        <w:r w:rsidRPr="00183B5F">
          <w:rPr>
            <w:szCs w:val="22"/>
          </w:rPr>
          <w:delText xml:space="preserve"> Kérjük, figyelmesen olvassa el az útmutatót és </w:delText>
        </w:r>
        <w:r w:rsidR="00933077" w:rsidRPr="00183B5F">
          <w:rPr>
            <w:szCs w:val="22"/>
          </w:rPr>
          <w:delText xml:space="preserve">kövesse </w:delText>
        </w:r>
        <w:r w:rsidRPr="00183B5F">
          <w:rPr>
            <w:szCs w:val="22"/>
          </w:rPr>
          <w:delText>lépésről-lépésre</w:delText>
        </w:r>
        <w:r w:rsidR="00933077" w:rsidRPr="00183B5F">
          <w:rPr>
            <w:szCs w:val="22"/>
          </w:rPr>
          <w:delText>.</w:delText>
        </w:r>
        <w:r w:rsidRPr="00183B5F">
          <w:rPr>
            <w:szCs w:val="22"/>
          </w:rPr>
          <w:delText xml:space="preserve"> Az öninjekciózás technikájára orvosa vagy az asszisztens</w:delText>
        </w:r>
        <w:r w:rsidR="00933077" w:rsidRPr="00183B5F">
          <w:rPr>
            <w:szCs w:val="22"/>
          </w:rPr>
          <w:delText>e</w:delText>
        </w:r>
        <w:r w:rsidRPr="00183B5F">
          <w:rPr>
            <w:szCs w:val="22"/>
          </w:rPr>
          <w:delText xml:space="preserve"> </w:delText>
        </w:r>
        <w:r w:rsidR="00933077" w:rsidRPr="00183B5F">
          <w:rPr>
            <w:szCs w:val="22"/>
          </w:rPr>
          <w:delText>meg</w:delText>
        </w:r>
        <w:r w:rsidRPr="00183B5F">
          <w:rPr>
            <w:szCs w:val="22"/>
          </w:rPr>
          <w:delText>tanítja Önt. Csakis az után vállalkozzék öninjekciózásra, miután elsajátította az injekció előkészítésének és beadásának módját. Megfelelő gyakorlás után saját mag</w:delText>
        </w:r>
        <w:r w:rsidR="00933077" w:rsidRPr="00183B5F">
          <w:rPr>
            <w:szCs w:val="22"/>
          </w:rPr>
          <w:delText>a,</w:delText>
        </w:r>
        <w:r w:rsidRPr="00183B5F">
          <w:rPr>
            <w:szCs w:val="22"/>
          </w:rPr>
          <w:delText xml:space="preserve"> vagy más személy (</w:delText>
        </w:r>
        <w:r w:rsidR="00F15477" w:rsidRPr="00183B5F">
          <w:rPr>
            <w:bCs/>
            <w:szCs w:val="22"/>
          </w:rPr>
          <w:delText>például</w:delText>
        </w:r>
        <w:r w:rsidRPr="00183B5F">
          <w:rPr>
            <w:szCs w:val="22"/>
          </w:rPr>
          <w:delText xml:space="preserve"> családtag, ismerős) </w:delText>
        </w:r>
        <w:r w:rsidR="00933077" w:rsidRPr="00183B5F">
          <w:rPr>
            <w:szCs w:val="22"/>
          </w:rPr>
          <w:delText>adhatja be az injekciót</w:delText>
        </w:r>
        <w:r w:rsidRPr="00183B5F">
          <w:rPr>
            <w:szCs w:val="22"/>
          </w:rPr>
          <w:delText>.</w:delText>
        </w:r>
      </w:del>
    </w:p>
    <w:p w14:paraId="423CFC9B" w14:textId="2FD3BEC6" w:rsidR="00FB6710" w:rsidRPr="00183B5F" w:rsidRDefault="00FB6710" w:rsidP="007276E0">
      <w:pPr>
        <w:suppressAutoHyphens w:val="0"/>
        <w:spacing w:line="240" w:lineRule="auto"/>
        <w:ind w:right="-3"/>
        <w:rPr>
          <w:del w:id="13110" w:author="AbbVie_HU_03" w:date="2025-05-14T16:41:00Z"/>
          <w:szCs w:val="22"/>
        </w:rPr>
      </w:pPr>
    </w:p>
    <w:p w14:paraId="38B3950F" w14:textId="060E8E2A" w:rsidR="00FB6710" w:rsidRPr="00183B5F" w:rsidRDefault="00943743" w:rsidP="007276E0">
      <w:pPr>
        <w:suppressAutoHyphens w:val="0"/>
        <w:spacing w:line="240" w:lineRule="auto"/>
        <w:rPr>
          <w:del w:id="13111" w:author="AbbVie_HU_03" w:date="2025-05-14T16:41:00Z"/>
          <w:b/>
          <w:bCs/>
          <w:szCs w:val="22"/>
        </w:rPr>
      </w:pPr>
      <w:del w:id="13112" w:author="AbbVie_HU_03" w:date="2025-05-14T16:41:00Z">
        <w:r w:rsidRPr="00183B5F">
          <w:rPr>
            <w:b/>
            <w:bCs/>
            <w:szCs w:val="22"/>
          </w:rPr>
          <w:delText>Mit kell tennem</w:delText>
        </w:r>
        <w:r w:rsidR="00135BAE" w:rsidRPr="00183B5F">
          <w:rPr>
            <w:b/>
            <w:bCs/>
            <w:szCs w:val="22"/>
          </w:rPr>
          <w:delText>, mielőtt beadom magamnak a Humira szubkután injekciót?</w:delText>
        </w:r>
      </w:del>
    </w:p>
    <w:p w14:paraId="5C6A369E" w14:textId="777094BB" w:rsidR="00FB6710" w:rsidRPr="00183B5F" w:rsidRDefault="00FB6710" w:rsidP="007276E0">
      <w:pPr>
        <w:suppressAutoHyphens w:val="0"/>
        <w:spacing w:line="240" w:lineRule="auto"/>
        <w:rPr>
          <w:del w:id="13113" w:author="AbbVie_HU_03" w:date="2025-05-14T16:41:00Z"/>
          <w:b/>
          <w:bCs/>
          <w:szCs w:val="22"/>
        </w:rPr>
      </w:pPr>
    </w:p>
    <w:p w14:paraId="71BE20E4" w14:textId="5F4C20A2" w:rsidR="009A4E58" w:rsidRPr="00183B5F" w:rsidRDefault="00943743" w:rsidP="007276E0">
      <w:pPr>
        <w:suppressAutoHyphens w:val="0"/>
        <w:spacing w:line="240" w:lineRule="auto"/>
        <w:ind w:left="567" w:right="-3" w:hanging="567"/>
        <w:rPr>
          <w:del w:id="13114" w:author="AbbVie_HU_03" w:date="2025-05-14T16:41:00Z"/>
          <w:szCs w:val="22"/>
        </w:rPr>
      </w:pPr>
      <w:del w:id="13115" w:author="AbbVie_HU_03" w:date="2025-05-14T16:41:00Z">
        <w:r w:rsidRPr="00183B5F">
          <w:rPr>
            <w:szCs w:val="22"/>
          </w:rPr>
          <w:delText>1.</w:delText>
        </w:r>
        <w:r w:rsidRPr="00183B5F">
          <w:rPr>
            <w:szCs w:val="22"/>
          </w:rPr>
          <w:tab/>
          <w:delText>Alaposan mosson kezet.</w:delText>
        </w:r>
      </w:del>
    </w:p>
    <w:p w14:paraId="2600AE56" w14:textId="612233F6" w:rsidR="009A4E58" w:rsidRPr="00183B5F" w:rsidRDefault="00943743" w:rsidP="007276E0">
      <w:pPr>
        <w:suppressAutoHyphens w:val="0"/>
        <w:spacing w:line="240" w:lineRule="auto"/>
        <w:ind w:left="567" w:right="-3" w:hanging="567"/>
        <w:rPr>
          <w:del w:id="13116" w:author="AbbVie_HU_03" w:date="2025-05-14T16:41:00Z"/>
          <w:szCs w:val="22"/>
        </w:rPr>
      </w:pPr>
      <w:del w:id="13117" w:author="AbbVie_HU_03" w:date="2025-05-14T16:41:00Z">
        <w:r w:rsidRPr="00183B5F">
          <w:rPr>
            <w:szCs w:val="22"/>
          </w:rPr>
          <w:delText>2.</w:delText>
        </w:r>
        <w:r w:rsidRPr="00183B5F">
          <w:rPr>
            <w:szCs w:val="22"/>
          </w:rPr>
          <w:tab/>
          <w:delText>Vegye elő az injekciós tollba töltött Humira injekciót tartalmazó egyadagos tálcát a hűtőszekrényből.</w:delText>
        </w:r>
      </w:del>
    </w:p>
    <w:p w14:paraId="032CD51D" w14:textId="0CEE2596" w:rsidR="00FB6710" w:rsidRPr="00183B5F" w:rsidRDefault="00943743" w:rsidP="007276E0">
      <w:pPr>
        <w:spacing w:line="240" w:lineRule="auto"/>
        <w:ind w:left="567" w:right="-3" w:hanging="567"/>
        <w:rPr>
          <w:del w:id="13118" w:author="AbbVie_HU_03" w:date="2025-05-14T16:41:00Z"/>
          <w:szCs w:val="22"/>
        </w:rPr>
      </w:pPr>
      <w:del w:id="13119" w:author="AbbVie_HU_03" w:date="2025-05-14T16:41:00Z">
        <w:r w:rsidRPr="00183B5F">
          <w:rPr>
            <w:szCs w:val="22"/>
          </w:rPr>
          <w:delText>3.</w:delText>
        </w:r>
        <w:r w:rsidRPr="00183B5F">
          <w:rPr>
            <w:szCs w:val="22"/>
          </w:rPr>
          <w:tab/>
          <w:delText>Ne rázza fel és ne ejtse le a</w:delText>
        </w:r>
        <w:r w:rsidR="005E18D2" w:rsidRPr="00183B5F">
          <w:rPr>
            <w:szCs w:val="22"/>
          </w:rPr>
          <w:delText>z injekciós</w:delText>
        </w:r>
        <w:r w:rsidRPr="00183B5F">
          <w:rPr>
            <w:szCs w:val="22"/>
          </w:rPr>
          <w:delText xml:space="preserve"> tollat</w:delText>
        </w:r>
        <w:r w:rsidR="009A4E58" w:rsidRPr="00183B5F">
          <w:rPr>
            <w:szCs w:val="22"/>
          </w:rPr>
          <w:delText>!</w:delText>
        </w:r>
      </w:del>
    </w:p>
    <w:p w14:paraId="69F87207" w14:textId="40D41A35" w:rsidR="00FB6710" w:rsidRPr="00183B5F" w:rsidRDefault="00943743" w:rsidP="007276E0">
      <w:pPr>
        <w:spacing w:line="240" w:lineRule="auto"/>
        <w:ind w:left="567" w:right="-3" w:hanging="567"/>
        <w:rPr>
          <w:del w:id="13120" w:author="AbbVie_HU_03" w:date="2025-05-14T16:41:00Z"/>
          <w:szCs w:val="22"/>
        </w:rPr>
      </w:pPr>
      <w:del w:id="13121" w:author="AbbVie_HU_03" w:date="2025-05-14T16:41:00Z">
        <w:r w:rsidRPr="00183B5F">
          <w:rPr>
            <w:szCs w:val="22"/>
          </w:rPr>
          <w:delText>4.</w:delText>
        </w:r>
        <w:r w:rsidRPr="00183B5F">
          <w:rPr>
            <w:szCs w:val="22"/>
          </w:rPr>
          <w:tab/>
          <w:delText>Készítse elő a következőket egy tiszta felületre:</w:delText>
        </w:r>
      </w:del>
    </w:p>
    <w:p w14:paraId="7B3B7519" w14:textId="23FE4842" w:rsidR="00135BAE" w:rsidRPr="00183B5F" w:rsidRDefault="00135BAE" w:rsidP="007276E0">
      <w:pPr>
        <w:spacing w:line="240" w:lineRule="auto"/>
        <w:ind w:left="567" w:right="-3" w:hanging="567"/>
        <w:rPr>
          <w:del w:id="13122" w:author="AbbVie_HU_03" w:date="2025-05-14T16:41:00Z"/>
          <w:szCs w:val="22"/>
        </w:rPr>
      </w:pPr>
    </w:p>
    <w:p w14:paraId="330828E8" w14:textId="181BF104" w:rsidR="00FB6710" w:rsidRPr="00183B5F" w:rsidRDefault="00943743" w:rsidP="007276E0">
      <w:pPr>
        <w:numPr>
          <w:ilvl w:val="1"/>
          <w:numId w:val="15"/>
        </w:numPr>
        <w:tabs>
          <w:tab w:val="clear" w:pos="720"/>
        </w:tabs>
        <w:spacing w:line="240" w:lineRule="auto"/>
        <w:ind w:left="1134" w:right="-2" w:hanging="567"/>
        <w:rPr>
          <w:del w:id="13123" w:author="AbbVie_HU_03" w:date="2025-05-14T16:41:00Z"/>
          <w:szCs w:val="22"/>
        </w:rPr>
      </w:pPr>
      <w:del w:id="13124" w:author="AbbVie_HU_03" w:date="2025-05-14T16:41:00Z">
        <w:r w:rsidRPr="00183B5F">
          <w:rPr>
            <w:szCs w:val="22"/>
          </w:rPr>
          <w:delText xml:space="preserve">Egy Humira injekciót előretöltött </w:delText>
        </w:r>
        <w:r w:rsidR="006E5C06" w:rsidRPr="00183B5F">
          <w:rPr>
            <w:szCs w:val="22"/>
          </w:rPr>
          <w:delText xml:space="preserve">injekciós </w:delText>
        </w:r>
        <w:r w:rsidRPr="00183B5F">
          <w:rPr>
            <w:szCs w:val="22"/>
          </w:rPr>
          <w:delText xml:space="preserve">tollban </w:delText>
        </w:r>
      </w:del>
    </w:p>
    <w:p w14:paraId="5B162A9D" w14:textId="486EF702" w:rsidR="00FB6710" w:rsidRPr="00183B5F" w:rsidRDefault="00943743" w:rsidP="007276E0">
      <w:pPr>
        <w:numPr>
          <w:ilvl w:val="1"/>
          <w:numId w:val="15"/>
        </w:numPr>
        <w:tabs>
          <w:tab w:val="clear" w:pos="720"/>
        </w:tabs>
        <w:spacing w:line="240" w:lineRule="auto"/>
        <w:ind w:left="1134" w:right="-2" w:hanging="567"/>
        <w:rPr>
          <w:del w:id="13125" w:author="AbbVie_HU_03" w:date="2025-05-14T16:41:00Z"/>
          <w:szCs w:val="22"/>
        </w:rPr>
      </w:pPr>
      <w:del w:id="13126" w:author="AbbVie_HU_03" w:date="2025-05-14T16:41:00Z">
        <w:r w:rsidRPr="00183B5F">
          <w:rPr>
            <w:szCs w:val="22"/>
          </w:rPr>
          <w:delText>Egy alkoholos törlőkendőt.</w:delText>
        </w:r>
      </w:del>
    </w:p>
    <w:p w14:paraId="7C6DBD2C" w14:textId="34DD44BE" w:rsidR="00FB6710" w:rsidRPr="00183B5F" w:rsidRDefault="00943743" w:rsidP="007276E0">
      <w:pPr>
        <w:spacing w:line="240" w:lineRule="auto"/>
        <w:ind w:right="-2"/>
        <w:rPr>
          <w:del w:id="13127" w:author="AbbVie_HU_03" w:date="2025-05-14T16:41:00Z"/>
          <w:szCs w:val="22"/>
        </w:rPr>
      </w:pPr>
      <w:del w:id="13128" w:author="AbbVie_HU_03" w:date="2025-05-14T16:41:00Z">
        <w:r w:rsidRPr="005C4B06">
          <w:rPr>
            <w:noProof/>
            <w:lang w:val="en-GB"/>
          </w:rPr>
          <mc:AlternateContent>
            <mc:Choice Requires="wps">
              <w:drawing>
                <wp:anchor distT="0" distB="0" distL="114300" distR="114300" simplePos="0" relativeHeight="251662336" behindDoc="0" locked="0" layoutInCell="1" allowOverlap="1" wp14:anchorId="3F9E5704" wp14:editId="387D024E">
                  <wp:simplePos x="0" y="0"/>
                  <wp:positionH relativeFrom="column">
                    <wp:posOffset>3364865</wp:posOffset>
                  </wp:positionH>
                  <wp:positionV relativeFrom="paragraph">
                    <wp:posOffset>106680</wp:posOffset>
                  </wp:positionV>
                  <wp:extent cx="779780" cy="244475"/>
                  <wp:effectExtent l="0" t="0" r="0" b="3175"/>
                  <wp:wrapNone/>
                  <wp:docPr id="7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780" cy="24447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99058" w14:textId="77777777" w:rsidR="00117602" w:rsidRDefault="00117602" w:rsidP="002C3577">
                              <w:pPr>
                                <w:autoSpaceDE w:val="0"/>
                                <w:autoSpaceDN w:val="0"/>
                                <w:adjustRightInd w:val="0"/>
                                <w:rPr>
                                  <w:color w:val="000000"/>
                                </w:rPr>
                              </w:pPr>
                            </w:p>
                          </w:txbxContent>
                        </wps:txbx>
                        <wps:bodyPr rot="0" vert="horz" wrap="square" lIns="91440" tIns="45720" rIns="91440" bIns="45720" upright="1"/>
                      </wps:wsp>
                    </a:graphicData>
                  </a:graphic>
                  <wp14:sizeRelH relativeFrom="page">
                    <wp14:pctWidth>0</wp14:pctWidth>
                  </wp14:sizeRelH>
                  <wp14:sizeRelV relativeFrom="page">
                    <wp14:pctHeight>0</wp14:pctHeight>
                  </wp14:sizeRelV>
                </wp:anchor>
              </w:drawing>
            </mc:Choice>
            <mc:Fallback>
              <w:pict>
                <v:rect w14:anchorId="3F9E5704" id="Rectangle 21" o:spid="_x0000_s1032" style="position:absolute;margin-left:264.95pt;margin-top:8.4pt;width:61.4pt;height:1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" filled="f" fillcolor="#bbe0e3" stroked="f">
                  <v:textbox>
                    <w:txbxContent>
                      <w:p w14:paraId="55599058" w14:textId="77777777" w:rsidR="00117602" w:rsidRDefault="00117602" w:rsidP="002C3577">
                        <w:pPr>
                          <w:autoSpaceDE w:val="0"/>
                          <w:autoSpaceDN w:val="0"/>
                          <w:adjustRightInd w:val="0"/>
                          <w:rPr>
                            <w:color w:val="000000"/>
                          </w:rPr>
                        </w:pPr>
                      </w:p>
                    </w:txbxContent>
                  </v:textbox>
                </v:rect>
              </w:pict>
            </mc:Fallback>
          </mc:AlternateContent>
        </w:r>
        <w:r w:rsidRPr="005C4B06">
          <w:rPr>
            <w:noProof/>
            <w:lang w:val="en-GB"/>
          </w:rPr>
          <mc:AlternateContent>
            <mc:Choice Requires="wps">
              <w:drawing>
                <wp:anchor distT="0" distB="0" distL="114300" distR="114300" simplePos="0" relativeHeight="251658240" behindDoc="0" locked="0" layoutInCell="1" allowOverlap="1" wp14:anchorId="2ECE399D" wp14:editId="3884F641">
                  <wp:simplePos x="0" y="0"/>
                  <wp:positionH relativeFrom="column">
                    <wp:posOffset>3402965</wp:posOffset>
                  </wp:positionH>
                  <wp:positionV relativeFrom="paragraph">
                    <wp:posOffset>102235</wp:posOffset>
                  </wp:positionV>
                  <wp:extent cx="685800" cy="244475"/>
                  <wp:effectExtent l="0" t="0" r="0" b="3175"/>
                  <wp:wrapNone/>
                  <wp:docPr id="7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4447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CDEB7" w14:textId="77777777" w:rsidR="00117602" w:rsidRDefault="00117602" w:rsidP="002C3577">
                              <w:pPr>
                                <w:autoSpaceDE w:val="0"/>
                                <w:autoSpaceDN w:val="0"/>
                                <w:adjustRightInd w:val="0"/>
                                <w:rPr>
                                  <w:color w:val="000000"/>
                                  <w:lang w:val="de-DE"/>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2ECE399D" id="Rectangle 17" o:spid="_x0000_s1033" style="position:absolute;margin-left:267.95pt;margin-top:8.05pt;width:54pt;height:1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" filled="f" fillcolor="#bbe0e3" stroked="f">
                  <v:textbox>
                    <w:txbxContent>
                      <w:p w14:paraId="7E1CDEB7" w14:textId="77777777" w:rsidR="00117602" w:rsidRDefault="00117602" w:rsidP="002C3577">
                        <w:pPr>
                          <w:autoSpaceDE w:val="0"/>
                          <w:autoSpaceDN w:val="0"/>
                          <w:adjustRightInd w:val="0"/>
                          <w:rPr>
                            <w:color w:val="000000"/>
                            <w:lang w:val="de-DE"/>
                          </w:rPr>
                        </w:pPr>
                      </w:p>
                    </w:txbxContent>
                  </v:textbox>
                </v:rect>
              </w:pict>
            </mc:Fallback>
          </mc:AlternateContent>
        </w:r>
      </w:del>
    </w:p>
    <w:tbl>
      <w:tblPr>
        <w:tblW w:w="0" w:type="auto"/>
        <w:jc w:val="center"/>
        <w:tblLook w:val="01E0" w:firstRow="1" w:lastRow="1" w:firstColumn="1" w:lastColumn="1" w:noHBand="0" w:noVBand="0"/>
      </w:tblPr>
      <w:tblGrid>
        <w:gridCol w:w="4574"/>
        <w:gridCol w:w="4497"/>
      </w:tblGrid>
      <w:tr w:rsidR="00011D2F" w14:paraId="4242E015" w14:textId="4D6093D5" w:rsidTr="00E33337">
        <w:trPr>
          <w:trHeight w:val="3887"/>
          <w:jc w:val="center"/>
          <w:del w:id="13129" w:author="AbbVie_HU_03" w:date="2025-05-14T16:41:00Z"/>
        </w:trPr>
        <w:tc>
          <w:tcPr>
            <w:tcW w:w="4643" w:type="dxa"/>
          </w:tcPr>
          <w:p w14:paraId="18FF2FA8" w14:textId="00F12B77" w:rsidR="0068490A" w:rsidRPr="00183B5F" w:rsidRDefault="00943743" w:rsidP="007276E0">
            <w:pPr>
              <w:spacing w:line="240" w:lineRule="auto"/>
              <w:jc w:val="right"/>
              <w:rPr>
                <w:del w:id="13130" w:author="AbbVie_HU_03" w:date="2025-05-14T16:41:00Z"/>
                <w:i/>
              </w:rPr>
            </w:pPr>
            <w:del w:id="13131" w:author="AbbVie_HU_03" w:date="2025-05-14T16:41:00Z">
              <w:r w:rsidRPr="005C4B06">
                <w:rPr>
                  <w:noProof/>
                  <w:lang w:val="en-GB"/>
                </w:rPr>
                <w:drawing>
                  <wp:anchor distT="0" distB="0" distL="114300" distR="114300" simplePos="0" relativeHeight="251680768" behindDoc="0" locked="0" layoutInCell="1" allowOverlap="1" wp14:anchorId="5FE7FA9F" wp14:editId="61868BE3">
                    <wp:simplePos x="0" y="0"/>
                    <wp:positionH relativeFrom="column">
                      <wp:posOffset>669925</wp:posOffset>
                    </wp:positionH>
                    <wp:positionV relativeFrom="paragraph">
                      <wp:posOffset>210185</wp:posOffset>
                    </wp:positionV>
                    <wp:extent cx="2131695" cy="2239645"/>
                    <wp:effectExtent l="0" t="0" r="1905" b="8255"/>
                    <wp:wrapNone/>
                    <wp:docPr id="73" name="Kép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Kép 70"/>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2131695" cy="2239645"/>
                            </a:xfrm>
                            <a:prstGeom prst="rect">
                              <a:avLst/>
                            </a:prstGeom>
                            <a:noFill/>
                          </pic:spPr>
                        </pic:pic>
                      </a:graphicData>
                    </a:graphic>
                    <wp14:sizeRelH relativeFrom="page">
                      <wp14:pctWidth>0</wp14:pctWidth>
                    </wp14:sizeRelH>
                    <wp14:sizeRelV relativeFrom="page">
                      <wp14:pctHeight>0</wp14:pctHeight>
                    </wp14:sizeRelV>
                  </wp:anchor>
                </w:drawing>
              </w:r>
              <w:r w:rsidRPr="005C4B06">
                <w:rPr>
                  <w:noProof/>
                  <w:lang w:val="en-GB"/>
                </w:rPr>
                <mc:AlternateContent>
                  <mc:Choice Requires="wpc">
                    <w:drawing>
                      <wp:inline distT="0" distB="0" distL="0" distR="0" wp14:anchorId="01B17369" wp14:editId="0FA544DC">
                        <wp:extent cx="1673860" cy="2239645"/>
                        <wp:effectExtent l="0" t="0" r="2540" b="0"/>
                        <wp:docPr id="72" name="Vászon 68"/>
                        <wp:cNvGraphicFramePr/>
                        <a:graphic xmlns:a="http://schemas.openxmlformats.org/drawingml/2006/main">
                          <a:graphicData uri="http://schemas.microsoft.com/office/word/2010/wordprocessingCanvas">
                            <wpc:wpc>
                              <wpc:bg>
                                <a:noFill/>
                              </wpc:bg>
                              <wpc:whole/>
                              <wps:wsp>
                                <wps:cNvPr id="71" name="Rectangle 69"/>
                                <wps:cNvSpPr>
                                  <a:spLocks noChangeArrowheads="1"/>
                                </wps:cNvSpPr>
                                <wps:spPr bwMode="auto">
                                  <a:xfrm>
                                    <a:off x="0" y="6300"/>
                                    <a:ext cx="63502"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26ECB" w14:textId="77777777" w:rsidR="00117602" w:rsidRDefault="00117602">
                                      <w:pPr>
                                        <w:autoSpaceDE w:val="0"/>
                                        <w:autoSpaceDN w:val="0"/>
                                        <w:adjustRightInd w:val="0"/>
                                      </w:pPr>
                                    </w:p>
                                  </w:txbxContent>
                                </wps:txbx>
                                <wps:bodyPr rot="0" vert="horz" wrap="none" lIns="0" tIns="0" rIns="0" bIns="0" anchor="t" anchorCtr="0" upright="1">
                                  <a:spAutoFit/>
                                </wps:bodyPr>
                              </wps:wsp>
                            </wpc:wpc>
                          </a:graphicData>
                        </a:graphic>
                      </wp:inline>
                    </w:drawing>
                  </mc:Choice>
                  <mc:Fallback>
                    <w:pict>
                      <v:group w14:anchorId="01B17369" id="Vászon 68" o:spid="_x0000_s1034" editas="canvas" style="width:131.8pt;height:176.35pt;mso-position-horizontal-relative:char;mso-position-vertical-relative:line" coordsize="16738,22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">
                        <v:shape id="_x0000_s1035" type="#_x0000_t75" style="position:absolute;width:16738;height:22396;visibility:visible;mso-wrap-style:square">
                          <v:fill o:detectmouseclick="t"/>
                          <v:path o:connecttype="none"/>
                        </v:shape>
                        <v:rect id="Rectangle 69" o:spid="_x0000_s1036" style="position:absolute;top:63;width:63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14:paraId="06726ECB" w14:textId="77777777" w:rsidR="00117602" w:rsidRDefault="00117602">
                                <w:pPr>
                                  <w:autoSpaceDE w:val="0"/>
                                  <w:autoSpaceDN w:val="0"/>
                                  <w:adjustRightInd w:val="0"/>
                                </w:pPr>
                              </w:p>
                            </w:txbxContent>
                          </v:textbox>
                        </v:rect>
                        <w10:anchorlock/>
                      </v:group>
                    </w:pict>
                  </mc:Fallback>
                </mc:AlternateContent>
              </w:r>
            </w:del>
          </w:p>
        </w:tc>
        <w:tc>
          <w:tcPr>
            <w:tcW w:w="4644" w:type="dxa"/>
          </w:tcPr>
          <w:p w14:paraId="10D3FE73" w14:textId="3F1D2DA0" w:rsidR="0068490A" w:rsidRPr="00183B5F" w:rsidRDefault="0068490A" w:rsidP="007276E0">
            <w:pPr>
              <w:spacing w:line="240" w:lineRule="auto"/>
              <w:rPr>
                <w:del w:id="13132" w:author="AbbVie_HU_03" w:date="2025-05-14T16:41:00Z"/>
              </w:rPr>
            </w:pPr>
          </w:p>
          <w:p w14:paraId="2FD54105" w14:textId="5D6C3235" w:rsidR="0068490A" w:rsidRPr="00183B5F" w:rsidRDefault="0068490A" w:rsidP="007276E0">
            <w:pPr>
              <w:spacing w:line="240" w:lineRule="auto"/>
              <w:rPr>
                <w:del w:id="13133" w:author="AbbVie_HU_03" w:date="2025-05-14T16:41:00Z"/>
              </w:rPr>
            </w:pPr>
          </w:p>
          <w:p w14:paraId="232C1BFC" w14:textId="1ACF13D1" w:rsidR="00E33337" w:rsidRPr="00183B5F" w:rsidRDefault="00E33337" w:rsidP="007276E0">
            <w:pPr>
              <w:spacing w:line="240" w:lineRule="auto"/>
              <w:rPr>
                <w:del w:id="13134" w:author="AbbVie_HU_03" w:date="2025-05-14T16:41:00Z"/>
              </w:rPr>
            </w:pPr>
          </w:p>
          <w:p w14:paraId="6E3A4ABE" w14:textId="1537F65F" w:rsidR="00E33337" w:rsidRPr="00183B5F" w:rsidRDefault="00E33337" w:rsidP="007276E0">
            <w:pPr>
              <w:spacing w:line="240" w:lineRule="auto"/>
              <w:rPr>
                <w:del w:id="13135" w:author="AbbVie_HU_03" w:date="2025-05-14T16:41:00Z"/>
              </w:rPr>
            </w:pPr>
          </w:p>
          <w:p w14:paraId="4D523DB4" w14:textId="76B33833" w:rsidR="0068490A" w:rsidRPr="00183B5F" w:rsidRDefault="00943743" w:rsidP="007276E0">
            <w:pPr>
              <w:spacing w:line="240" w:lineRule="auto"/>
              <w:rPr>
                <w:del w:id="13136" w:author="AbbVie_HU_03" w:date="2025-05-14T16:41:00Z"/>
              </w:rPr>
            </w:pPr>
            <w:del w:id="13137" w:author="AbbVie_HU_03" w:date="2025-05-14T16:41:00Z">
              <w:r w:rsidRPr="00183B5F">
                <w:delText>Kupak</w:delText>
              </w:r>
            </w:del>
          </w:p>
          <w:p w14:paraId="671604C5" w14:textId="547FFC94" w:rsidR="0068490A" w:rsidRPr="00183B5F" w:rsidRDefault="0068490A" w:rsidP="007276E0">
            <w:pPr>
              <w:spacing w:line="240" w:lineRule="auto"/>
              <w:rPr>
                <w:del w:id="13138" w:author="AbbVie_HU_03" w:date="2025-05-14T16:41:00Z"/>
              </w:rPr>
            </w:pPr>
          </w:p>
          <w:p w14:paraId="52C1E65D" w14:textId="4D09A3F0" w:rsidR="0068490A" w:rsidRPr="00183B5F" w:rsidRDefault="0068490A" w:rsidP="007276E0">
            <w:pPr>
              <w:spacing w:line="240" w:lineRule="auto"/>
              <w:rPr>
                <w:del w:id="13139" w:author="AbbVie_HU_03" w:date="2025-05-14T16:41:00Z"/>
              </w:rPr>
            </w:pPr>
          </w:p>
          <w:p w14:paraId="73AF4DBB" w14:textId="05E316CB" w:rsidR="00E33337" w:rsidRPr="00183B5F" w:rsidRDefault="00E33337" w:rsidP="007276E0">
            <w:pPr>
              <w:spacing w:line="240" w:lineRule="auto"/>
              <w:rPr>
                <w:del w:id="13140" w:author="AbbVie_HU_03" w:date="2025-05-14T16:41:00Z"/>
              </w:rPr>
            </w:pPr>
          </w:p>
          <w:p w14:paraId="2745F7DF" w14:textId="0E6B81D5" w:rsidR="0068490A" w:rsidRPr="00183B5F" w:rsidRDefault="00943743" w:rsidP="007276E0">
            <w:pPr>
              <w:spacing w:line="240" w:lineRule="auto"/>
              <w:rPr>
                <w:del w:id="13141" w:author="AbbVie_HU_03" w:date="2025-05-14T16:41:00Z"/>
              </w:rPr>
            </w:pPr>
            <w:del w:id="13142" w:author="AbbVie_HU_03" w:date="2025-05-14T16:41:00Z">
              <w:r w:rsidRPr="00183B5F">
                <w:delText>Ablak</w:delText>
              </w:r>
            </w:del>
          </w:p>
        </w:tc>
      </w:tr>
    </w:tbl>
    <w:p w14:paraId="1A9B56B4" w14:textId="0D1428D9" w:rsidR="00FB6710" w:rsidRPr="00183B5F" w:rsidRDefault="00FB6710" w:rsidP="007276E0">
      <w:pPr>
        <w:spacing w:line="240" w:lineRule="auto"/>
        <w:ind w:right="-3"/>
        <w:jc w:val="center"/>
        <w:rPr>
          <w:del w:id="13143" w:author="AbbVie_HU_03" w:date="2025-05-14T16:41:00Z"/>
          <w:szCs w:val="22"/>
        </w:rPr>
      </w:pPr>
    </w:p>
    <w:p w14:paraId="5459FF65" w14:textId="087BB077" w:rsidR="00FB6710" w:rsidRPr="00183B5F" w:rsidRDefault="00943743" w:rsidP="007276E0">
      <w:pPr>
        <w:spacing w:line="240" w:lineRule="auto"/>
        <w:ind w:left="567" w:right="-3" w:hanging="567"/>
        <w:rPr>
          <w:del w:id="13144" w:author="AbbVie_HU_03" w:date="2025-05-14T16:41:00Z"/>
          <w:szCs w:val="22"/>
        </w:rPr>
      </w:pPr>
      <w:del w:id="13145" w:author="AbbVie_HU_03" w:date="2025-05-14T16:41:00Z">
        <w:r w:rsidRPr="00183B5F">
          <w:rPr>
            <w:szCs w:val="22"/>
          </w:rPr>
          <w:delText>5.</w:delText>
        </w:r>
        <w:r w:rsidRPr="00183B5F">
          <w:rPr>
            <w:szCs w:val="22"/>
          </w:rPr>
          <w:tab/>
        </w:r>
        <w:r w:rsidRPr="00183B5F">
          <w:rPr>
            <w:szCs w:val="22"/>
          </w:rPr>
          <w:delText xml:space="preserve">Ellenőrizze a készítmény </w:delText>
        </w:r>
        <w:r w:rsidR="00933077" w:rsidRPr="00183B5F">
          <w:rPr>
            <w:szCs w:val="22"/>
          </w:rPr>
          <w:delText>lejárati idejét</w:delText>
        </w:r>
        <w:r w:rsidRPr="00183B5F">
          <w:rPr>
            <w:szCs w:val="22"/>
          </w:rPr>
          <w:delText xml:space="preserve"> (Felhasználható:) az injekciós toll címkéjén. </w:delText>
        </w:r>
        <w:r w:rsidR="00933077" w:rsidRPr="00183B5F">
          <w:rPr>
            <w:szCs w:val="22"/>
          </w:rPr>
          <w:delText xml:space="preserve">Ne használja a készítményt ha </w:delText>
        </w:r>
        <w:r w:rsidRPr="00183B5F">
          <w:rPr>
            <w:szCs w:val="22"/>
          </w:rPr>
          <w:delText>az itt feltüntetett év és hónap már elmúlt</w:delText>
        </w:r>
        <w:r w:rsidR="00933077" w:rsidRPr="00183B5F">
          <w:rPr>
            <w:szCs w:val="22"/>
          </w:rPr>
          <w:delText>.</w:delText>
        </w:r>
      </w:del>
    </w:p>
    <w:p w14:paraId="1BA7B4E3" w14:textId="0C2D6EBF" w:rsidR="00FB6710" w:rsidRPr="00183B5F" w:rsidRDefault="00FB6710" w:rsidP="007276E0">
      <w:pPr>
        <w:spacing w:line="240" w:lineRule="auto"/>
        <w:ind w:right="-3"/>
        <w:rPr>
          <w:del w:id="13146" w:author="AbbVie_HU_03" w:date="2025-05-14T16:41:00Z"/>
          <w:szCs w:val="22"/>
        </w:rPr>
      </w:pPr>
    </w:p>
    <w:p w14:paraId="0BD33139" w14:textId="348DD9E8" w:rsidR="00FB6710" w:rsidRPr="00183B5F" w:rsidRDefault="00943743" w:rsidP="007276E0">
      <w:pPr>
        <w:spacing w:line="240" w:lineRule="auto"/>
        <w:ind w:left="567" w:right="-3" w:hanging="567"/>
        <w:rPr>
          <w:del w:id="13147" w:author="AbbVie_HU_03" w:date="2025-05-14T16:41:00Z"/>
          <w:szCs w:val="22"/>
        </w:rPr>
      </w:pPr>
      <w:del w:id="13148" w:author="AbbVie_HU_03" w:date="2025-05-14T16:41:00Z">
        <w:r w:rsidRPr="00183B5F">
          <w:rPr>
            <w:szCs w:val="22"/>
          </w:rPr>
          <w:delText>6.</w:delText>
        </w:r>
        <w:r w:rsidRPr="00183B5F">
          <w:rPr>
            <w:szCs w:val="22"/>
          </w:rPr>
          <w:tab/>
        </w:r>
        <w:r w:rsidR="00933077" w:rsidRPr="00183B5F">
          <w:rPr>
            <w:szCs w:val="22"/>
          </w:rPr>
          <w:delText>Tartsa az</w:delText>
        </w:r>
        <w:r w:rsidRPr="00183B5F">
          <w:rPr>
            <w:szCs w:val="22"/>
          </w:rPr>
          <w:delText xml:space="preserve"> injekciós tollat a szürke színű („1” jelölésű) kupakkal felfelé tartva</w:delText>
        </w:r>
        <w:r w:rsidR="00933077" w:rsidRPr="00183B5F">
          <w:rPr>
            <w:szCs w:val="22"/>
          </w:rPr>
          <w:delText>.</w:delText>
        </w:r>
        <w:r w:rsidRPr="00183B5F">
          <w:rPr>
            <w:szCs w:val="22"/>
          </w:rPr>
          <w:delText xml:space="preserve"> </w:delText>
        </w:r>
        <w:r w:rsidR="00933077" w:rsidRPr="00183B5F">
          <w:rPr>
            <w:szCs w:val="22"/>
          </w:rPr>
          <w:delText>E</w:delText>
        </w:r>
        <w:r w:rsidRPr="00183B5F">
          <w:rPr>
            <w:szCs w:val="22"/>
          </w:rPr>
          <w:delText xml:space="preserve">llenőrizze a Humira oldat küllemét a készülékházon elhelyezett ablakokon keresztül. Az oldatnak </w:delText>
        </w:r>
        <w:r w:rsidR="00933077" w:rsidRPr="00183B5F">
          <w:rPr>
            <w:szCs w:val="22"/>
          </w:rPr>
          <w:delText>tisztá</w:delText>
        </w:r>
        <w:r w:rsidRPr="00183B5F">
          <w:rPr>
            <w:szCs w:val="22"/>
          </w:rPr>
          <w:delText>nak és színtelennek kell lennie. Ha zavaros, elszíneződöt, netán pelyhes csapadékot vagy lebegő részecskéket tartalmaz, akkor tilos felhasználni</w:delText>
        </w:r>
        <w:r w:rsidR="00933077" w:rsidRPr="00183B5F">
          <w:rPr>
            <w:szCs w:val="22"/>
          </w:rPr>
          <w:delText>a</w:delText>
        </w:r>
        <w:r w:rsidRPr="00183B5F">
          <w:rPr>
            <w:szCs w:val="22"/>
          </w:rPr>
          <w:delText xml:space="preserve">. Ne használja az előretöltött injekciós tollat abban az esetben sem, ha </w:delText>
        </w:r>
        <w:r w:rsidR="00CF192D" w:rsidRPr="00183B5F">
          <w:rPr>
            <w:szCs w:val="22"/>
          </w:rPr>
          <w:delText>meg</w:delText>
        </w:r>
        <w:r w:rsidRPr="00183B5F">
          <w:rPr>
            <w:szCs w:val="22"/>
          </w:rPr>
          <w:delText>fagyott, illetve ha egy ideig közvetlen napsugárzásnak volt kitéve. A szürke és a szilvakék kupakot is cs</w:delText>
        </w:r>
        <w:r w:rsidRPr="00183B5F">
          <w:rPr>
            <w:szCs w:val="22"/>
          </w:rPr>
          <w:delText xml:space="preserve">ak </w:delText>
        </w:r>
        <w:r w:rsidRPr="00183B5F">
          <w:rPr>
            <w:b/>
            <w:szCs w:val="22"/>
          </w:rPr>
          <w:delText>közvetlenül</w:delText>
        </w:r>
        <w:r w:rsidRPr="00183B5F">
          <w:rPr>
            <w:szCs w:val="22"/>
          </w:rPr>
          <w:delText xml:space="preserve"> az injekció beadása előtt távolítsa el.</w:delText>
        </w:r>
      </w:del>
    </w:p>
    <w:p w14:paraId="4014197F" w14:textId="40ED5706" w:rsidR="00026695" w:rsidRPr="00183B5F" w:rsidRDefault="00026695" w:rsidP="007276E0">
      <w:pPr>
        <w:spacing w:line="240" w:lineRule="auto"/>
        <w:ind w:left="567" w:right="-3" w:hanging="567"/>
        <w:rPr>
          <w:del w:id="13149" w:author="AbbVie_HU_03" w:date="2025-05-14T16:41:00Z"/>
          <w:szCs w:val="22"/>
        </w:rPr>
      </w:pPr>
    </w:p>
    <w:tbl>
      <w:tblPr>
        <w:tblW w:w="0" w:type="auto"/>
        <w:tblLook w:val="01E0" w:firstRow="1" w:lastRow="1" w:firstColumn="1" w:lastColumn="1" w:noHBand="0" w:noVBand="0"/>
      </w:tblPr>
      <w:tblGrid>
        <w:gridCol w:w="4569"/>
        <w:gridCol w:w="4502"/>
      </w:tblGrid>
      <w:tr w:rsidR="00011D2F" w14:paraId="2B7AEE3A" w14:textId="66EBE810" w:rsidTr="00506094">
        <w:trPr>
          <w:trHeight w:val="3055"/>
          <w:del w:id="13150" w:author="AbbVie_HU_03" w:date="2025-05-14T16:41:00Z"/>
        </w:trPr>
        <w:tc>
          <w:tcPr>
            <w:tcW w:w="4643" w:type="dxa"/>
          </w:tcPr>
          <w:p w14:paraId="5E22E30B" w14:textId="0B94D1CA" w:rsidR="0068490A" w:rsidRPr="00183B5F" w:rsidRDefault="00943743" w:rsidP="007276E0">
            <w:pPr>
              <w:spacing w:line="240" w:lineRule="auto"/>
              <w:jc w:val="right"/>
              <w:rPr>
                <w:del w:id="13151" w:author="AbbVie_HU_03" w:date="2025-05-14T16:41:00Z"/>
              </w:rPr>
            </w:pPr>
            <w:del w:id="13152" w:author="AbbVie_HU_03" w:date="2025-05-14T16:41:00Z">
              <w:r w:rsidRPr="005C4B06">
                <w:rPr>
                  <w:noProof/>
                  <w:lang w:val="en-GB"/>
                </w:rPr>
                <w:drawing>
                  <wp:anchor distT="0" distB="0" distL="114300" distR="114300" simplePos="0" relativeHeight="251681792" behindDoc="0" locked="0" layoutInCell="1" allowOverlap="1" wp14:anchorId="524F6ADD" wp14:editId="4BC380F1">
                    <wp:simplePos x="0" y="0"/>
                    <wp:positionH relativeFrom="column">
                      <wp:posOffset>1197610</wp:posOffset>
                    </wp:positionH>
                    <wp:positionV relativeFrom="paragraph">
                      <wp:posOffset>106680</wp:posOffset>
                    </wp:positionV>
                    <wp:extent cx="1751330" cy="1793240"/>
                    <wp:effectExtent l="0" t="0" r="1270" b="0"/>
                    <wp:wrapNone/>
                    <wp:docPr id="70" name="Kép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Kép 79"/>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1751330" cy="1793240"/>
                            </a:xfrm>
                            <a:prstGeom prst="rect">
                              <a:avLst/>
                            </a:prstGeom>
                            <a:noFill/>
                          </pic:spPr>
                        </pic:pic>
                      </a:graphicData>
                    </a:graphic>
                    <wp14:sizeRelH relativeFrom="page">
                      <wp14:pctWidth>0</wp14:pctWidth>
                    </wp14:sizeRelH>
                    <wp14:sizeRelV relativeFrom="page">
                      <wp14:pctHeight>0</wp14:pctHeight>
                    </wp14:sizeRelV>
                  </wp:anchor>
                </w:drawing>
              </w:r>
              <w:r w:rsidRPr="005C4B06">
                <w:rPr>
                  <w:noProof/>
                  <w:lang w:val="en-GB"/>
                </w:rPr>
                <w:drawing>
                  <wp:inline distT="0" distB="0" distL="0" distR="0" wp14:anchorId="26368388" wp14:editId="1460B40D">
                    <wp:extent cx="1742440" cy="1785620"/>
                    <wp:effectExtent l="0" t="0" r="0" b="5080"/>
                    <wp:docPr id="51" name="Kép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Kép 21"/>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1742440" cy="1785620"/>
                            </a:xfrm>
                            <a:prstGeom prst="rect">
                              <a:avLst/>
                            </a:prstGeom>
                            <a:noFill/>
                            <a:ln>
                              <a:noFill/>
                            </a:ln>
                          </pic:spPr>
                        </pic:pic>
                      </a:graphicData>
                    </a:graphic>
                  </wp:inline>
                </w:drawing>
              </w:r>
              <w:r w:rsidRPr="005C4B06">
                <w:rPr>
                  <w:noProof/>
                  <w:lang w:val="en-GB"/>
                </w:rPr>
                <w:drawing>
                  <wp:inline distT="0" distB="0" distL="0" distR="0" wp14:anchorId="5CE820AD" wp14:editId="503A7167">
                    <wp:extent cx="1742440" cy="1785620"/>
                    <wp:effectExtent l="0" t="0" r="0" b="5080"/>
                    <wp:docPr id="52" name="Kép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Kép 22"/>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1742440" cy="1785620"/>
                            </a:xfrm>
                            <a:prstGeom prst="rect">
                              <a:avLst/>
                            </a:prstGeom>
                            <a:noFill/>
                            <a:ln>
                              <a:noFill/>
                            </a:ln>
                          </pic:spPr>
                        </pic:pic>
                      </a:graphicData>
                    </a:graphic>
                  </wp:inline>
                </w:drawing>
              </w:r>
            </w:del>
          </w:p>
        </w:tc>
        <w:tc>
          <w:tcPr>
            <w:tcW w:w="4644" w:type="dxa"/>
          </w:tcPr>
          <w:p w14:paraId="7B6D08E4" w14:textId="6740F6B7" w:rsidR="0068490A" w:rsidRPr="00183B5F" w:rsidRDefault="0068490A" w:rsidP="007276E0">
            <w:pPr>
              <w:spacing w:line="240" w:lineRule="auto"/>
              <w:rPr>
                <w:del w:id="13153" w:author="AbbVie_HU_03" w:date="2025-05-14T16:41:00Z"/>
              </w:rPr>
            </w:pPr>
          </w:p>
          <w:p w14:paraId="20FB0240" w14:textId="4245BD7F" w:rsidR="0068490A" w:rsidRPr="00183B5F" w:rsidRDefault="0068490A" w:rsidP="007276E0">
            <w:pPr>
              <w:spacing w:line="240" w:lineRule="auto"/>
              <w:rPr>
                <w:del w:id="13154" w:author="AbbVie_HU_03" w:date="2025-05-14T16:41:00Z"/>
              </w:rPr>
            </w:pPr>
          </w:p>
          <w:p w14:paraId="5892089F" w14:textId="08838403" w:rsidR="0068490A" w:rsidRPr="00183B5F" w:rsidRDefault="0068490A" w:rsidP="007276E0">
            <w:pPr>
              <w:spacing w:line="240" w:lineRule="auto"/>
              <w:rPr>
                <w:del w:id="13155" w:author="AbbVie_HU_03" w:date="2025-05-14T16:41:00Z"/>
              </w:rPr>
            </w:pPr>
          </w:p>
          <w:p w14:paraId="75619E84" w14:textId="386C1685" w:rsidR="00C231C6" w:rsidRPr="00183B5F" w:rsidRDefault="00C231C6" w:rsidP="007276E0">
            <w:pPr>
              <w:spacing w:line="240" w:lineRule="auto"/>
              <w:rPr>
                <w:del w:id="13156" w:author="AbbVie_HU_03" w:date="2025-05-14T16:41:00Z"/>
              </w:rPr>
            </w:pPr>
          </w:p>
          <w:p w14:paraId="3D0B173A" w14:textId="56A71FA0" w:rsidR="0068490A" w:rsidRPr="00183B5F" w:rsidRDefault="00943743" w:rsidP="007276E0">
            <w:pPr>
              <w:spacing w:line="240" w:lineRule="auto"/>
              <w:rPr>
                <w:del w:id="13157" w:author="AbbVie_HU_03" w:date="2025-05-14T16:41:00Z"/>
              </w:rPr>
            </w:pPr>
            <w:del w:id="13158" w:author="AbbVie_HU_03" w:date="2025-05-14T16:41:00Z">
              <w:r w:rsidRPr="00183B5F">
                <w:delText>Ablak</w:delText>
              </w:r>
            </w:del>
          </w:p>
          <w:p w14:paraId="6D86EDD9" w14:textId="64751D7B" w:rsidR="0068490A" w:rsidRPr="00183B5F" w:rsidRDefault="0068490A" w:rsidP="007276E0">
            <w:pPr>
              <w:spacing w:line="240" w:lineRule="auto"/>
              <w:rPr>
                <w:del w:id="13159" w:author="AbbVie_HU_03" w:date="2025-05-14T16:41:00Z"/>
              </w:rPr>
            </w:pPr>
          </w:p>
          <w:p w14:paraId="6C5F9F9B" w14:textId="16EEEC4C" w:rsidR="0068490A" w:rsidRPr="00183B5F" w:rsidRDefault="00943743" w:rsidP="007276E0">
            <w:pPr>
              <w:spacing w:line="240" w:lineRule="auto"/>
              <w:rPr>
                <w:del w:id="13160" w:author="AbbVie_HU_03" w:date="2025-05-14T16:41:00Z"/>
              </w:rPr>
            </w:pPr>
            <w:del w:id="13161" w:author="AbbVie_HU_03" w:date="2025-05-14T16:41:00Z">
              <w:r w:rsidRPr="00183B5F">
                <w:delText>Tiszta folyadék a fecskendőben</w:delText>
              </w:r>
            </w:del>
          </w:p>
        </w:tc>
      </w:tr>
    </w:tbl>
    <w:p w14:paraId="2611F6B9" w14:textId="0332A075" w:rsidR="00FB6710" w:rsidRPr="00183B5F" w:rsidRDefault="00FB6710" w:rsidP="007276E0">
      <w:pPr>
        <w:spacing w:line="240" w:lineRule="auto"/>
        <w:ind w:left="567" w:right="-3" w:hanging="567"/>
        <w:rPr>
          <w:del w:id="13162" w:author="AbbVie_HU_03" w:date="2025-05-14T16:41:00Z"/>
        </w:rPr>
      </w:pPr>
    </w:p>
    <w:p w14:paraId="1A32CDE8" w14:textId="467523FB" w:rsidR="00FB6710" w:rsidRPr="00183B5F" w:rsidRDefault="00943743" w:rsidP="007276E0">
      <w:pPr>
        <w:keepNext/>
        <w:spacing w:line="240" w:lineRule="auto"/>
        <w:ind w:left="567" w:right="-3" w:hanging="567"/>
        <w:rPr>
          <w:del w:id="13163" w:author="AbbVie_HU_03" w:date="2025-05-14T16:41:00Z"/>
          <w:b/>
          <w:bCs/>
          <w:szCs w:val="22"/>
        </w:rPr>
      </w:pPr>
      <w:del w:id="13164" w:author="AbbVie_HU_03" w:date="2025-05-14T16:41:00Z">
        <w:r w:rsidRPr="00183B5F">
          <w:rPr>
            <w:b/>
            <w:bCs/>
            <w:szCs w:val="22"/>
          </w:rPr>
          <w:delText>Az injekció beadási helyének kiválasztása</w:delText>
        </w:r>
      </w:del>
    </w:p>
    <w:p w14:paraId="2A1207B0" w14:textId="16F22E7A" w:rsidR="00FB6710" w:rsidRPr="00183B5F" w:rsidRDefault="00FB6710" w:rsidP="007276E0">
      <w:pPr>
        <w:keepNext/>
        <w:spacing w:line="240" w:lineRule="auto"/>
        <w:ind w:left="567" w:right="-3" w:hanging="567"/>
        <w:rPr>
          <w:del w:id="13165" w:author="AbbVie_HU_03" w:date="2025-05-14T16:41:00Z"/>
          <w:b/>
          <w:bCs/>
          <w:szCs w:val="22"/>
        </w:rPr>
      </w:pPr>
    </w:p>
    <w:p w14:paraId="10BDAC94" w14:textId="4278E7C2" w:rsidR="00FB6710" w:rsidRPr="00183B5F" w:rsidRDefault="00943743" w:rsidP="007276E0">
      <w:pPr>
        <w:keepNext/>
        <w:spacing w:line="240" w:lineRule="auto"/>
        <w:ind w:right="-3"/>
        <w:rPr>
          <w:del w:id="13166" w:author="AbbVie_HU_03" w:date="2025-05-14T16:41:00Z"/>
          <w:szCs w:val="22"/>
        </w:rPr>
      </w:pPr>
      <w:del w:id="13167" w:author="AbbVie_HU_03" w:date="2025-05-14T16:41:00Z">
        <w:r w:rsidRPr="00183B5F">
          <w:rPr>
            <w:szCs w:val="22"/>
          </w:rPr>
          <w:delText>1.</w:delText>
        </w:r>
        <w:r w:rsidRPr="00183B5F">
          <w:rPr>
            <w:szCs w:val="22"/>
          </w:rPr>
          <w:tab/>
          <w:delText xml:space="preserve">Válasszon </w:delText>
        </w:r>
        <w:r w:rsidR="00CF192D" w:rsidRPr="00183B5F">
          <w:rPr>
            <w:szCs w:val="22"/>
          </w:rPr>
          <w:delText xml:space="preserve">ki </w:delText>
        </w:r>
        <w:r w:rsidRPr="00183B5F">
          <w:rPr>
            <w:szCs w:val="22"/>
          </w:rPr>
          <w:delText>egy helyet a combján vagy a hasfalán (a köldököt övező terület</w:delText>
        </w:r>
        <w:r w:rsidR="00CF192D" w:rsidRPr="00183B5F">
          <w:rPr>
            <w:szCs w:val="22"/>
          </w:rPr>
          <w:delText xml:space="preserve"> kívételével</w:delText>
        </w:r>
        <w:r w:rsidRPr="00183B5F">
          <w:rPr>
            <w:szCs w:val="22"/>
          </w:rPr>
          <w:delText>).</w:delText>
        </w:r>
      </w:del>
    </w:p>
    <w:p w14:paraId="579261BC" w14:textId="335FDB83" w:rsidR="0050331D" w:rsidRPr="00183B5F" w:rsidRDefault="0050331D" w:rsidP="007276E0">
      <w:pPr>
        <w:keepNext/>
        <w:spacing w:line="240" w:lineRule="auto"/>
        <w:ind w:left="567" w:right="-3" w:hanging="567"/>
        <w:jc w:val="center"/>
        <w:rPr>
          <w:del w:id="13168" w:author="AbbVie_HU_03" w:date="2025-05-14T16:41:00Z"/>
          <w:szCs w:val="22"/>
        </w:rPr>
      </w:pPr>
    </w:p>
    <w:p w14:paraId="25BC5D70" w14:textId="680C3802" w:rsidR="0068490A" w:rsidRPr="00183B5F" w:rsidRDefault="00943743" w:rsidP="007276E0">
      <w:pPr>
        <w:pStyle w:val="EMEANormal"/>
        <w:ind w:left="550" w:hanging="550"/>
        <w:jc w:val="center"/>
        <w:rPr>
          <w:del w:id="13169" w:author="AbbVie_HU_03" w:date="2025-05-14T16:41:00Z"/>
          <w:lang w:val="hu-HU"/>
        </w:rPr>
      </w:pPr>
      <w:del w:id="13170" w:author="AbbVie_HU_03" w:date="2025-05-14T16:41:00Z">
        <w:r w:rsidRPr="005C4B06">
          <w:rPr>
            <w:noProof/>
            <w:lang w:val="en-GB"/>
          </w:rPr>
          <w:drawing>
            <wp:inline distT="0" distB="0" distL="0" distR="0" wp14:anchorId="6D1D4D1D" wp14:editId="1824436E">
              <wp:extent cx="1673225" cy="1673225"/>
              <wp:effectExtent l="0" t="0" r="3175" b="3175"/>
              <wp:docPr id="53" name="Kép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Kép 23"/>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1673225" cy="1673225"/>
                      </a:xfrm>
                      <a:prstGeom prst="rect">
                        <a:avLst/>
                      </a:prstGeom>
                      <a:noFill/>
                      <a:ln>
                        <a:noFill/>
                      </a:ln>
                    </pic:spPr>
                  </pic:pic>
                </a:graphicData>
              </a:graphic>
            </wp:inline>
          </w:drawing>
        </w:r>
      </w:del>
    </w:p>
    <w:p w14:paraId="465959FE" w14:textId="37CD8144" w:rsidR="00FB6710" w:rsidRPr="00183B5F" w:rsidRDefault="00FB6710" w:rsidP="007276E0">
      <w:pPr>
        <w:spacing w:line="240" w:lineRule="auto"/>
        <w:ind w:left="567" w:right="-3" w:hanging="567"/>
        <w:rPr>
          <w:del w:id="13171" w:author="AbbVie_HU_03" w:date="2025-05-14T16:41:00Z"/>
          <w:szCs w:val="22"/>
        </w:rPr>
      </w:pPr>
    </w:p>
    <w:p w14:paraId="6CDE49FA" w14:textId="7E43435B" w:rsidR="00FB6710" w:rsidRPr="00183B5F" w:rsidRDefault="00943743" w:rsidP="007276E0">
      <w:pPr>
        <w:spacing w:line="240" w:lineRule="auto"/>
        <w:ind w:left="567" w:right="-3" w:hanging="567"/>
        <w:rPr>
          <w:del w:id="13172" w:author="AbbVie_HU_03" w:date="2025-05-14T16:41:00Z"/>
          <w:szCs w:val="22"/>
        </w:rPr>
      </w:pPr>
      <w:del w:id="13173" w:author="AbbVie_HU_03" w:date="2025-05-14T16:41:00Z">
        <w:r w:rsidRPr="00183B5F">
          <w:rPr>
            <w:szCs w:val="22"/>
          </w:rPr>
          <w:delText>2.</w:delText>
        </w:r>
        <w:r w:rsidRPr="00183B5F">
          <w:rPr>
            <w:szCs w:val="22"/>
          </w:rPr>
          <w:tab/>
        </w:r>
        <w:r w:rsidR="00CF192D" w:rsidRPr="00183B5F">
          <w:rPr>
            <w:szCs w:val="22"/>
          </w:rPr>
          <w:delText xml:space="preserve">Változtassa a területet minden alkalommal, hogy ne alakuljon ki fájdalmas terület. Az új injekciót </w:delText>
        </w:r>
        <w:r w:rsidRPr="00183B5F">
          <w:rPr>
            <w:szCs w:val="22"/>
          </w:rPr>
          <w:delText>az előző injekció helyétől legalább 3 cm távolságra adja be.</w:delText>
        </w:r>
      </w:del>
    </w:p>
    <w:p w14:paraId="26C8DA75" w14:textId="757C05DF" w:rsidR="00FB6710" w:rsidRPr="00183B5F" w:rsidRDefault="00FB6710" w:rsidP="007276E0">
      <w:pPr>
        <w:spacing w:line="240" w:lineRule="auto"/>
        <w:ind w:left="567" w:right="-3" w:hanging="567"/>
        <w:rPr>
          <w:del w:id="13174" w:author="AbbVie_HU_03" w:date="2025-05-14T16:41:00Z"/>
          <w:szCs w:val="22"/>
        </w:rPr>
      </w:pPr>
    </w:p>
    <w:p w14:paraId="02717DDE" w14:textId="67945F59" w:rsidR="00FB6710" w:rsidRPr="00183B5F" w:rsidRDefault="00943743" w:rsidP="007276E0">
      <w:pPr>
        <w:spacing w:line="240" w:lineRule="auto"/>
        <w:ind w:left="567" w:right="-3" w:hanging="567"/>
        <w:rPr>
          <w:del w:id="13175" w:author="AbbVie_HU_03" w:date="2025-05-14T16:41:00Z"/>
          <w:szCs w:val="22"/>
        </w:rPr>
      </w:pPr>
      <w:del w:id="13176" w:author="AbbVie_HU_03" w:date="2025-05-14T16:41:00Z">
        <w:r w:rsidRPr="00183B5F">
          <w:rPr>
            <w:szCs w:val="22"/>
          </w:rPr>
          <w:delText>3.</w:delText>
        </w:r>
        <w:r w:rsidRPr="00183B5F">
          <w:rPr>
            <w:szCs w:val="22"/>
          </w:rPr>
          <w:tab/>
          <w:delText xml:space="preserve">Ne adja az injekciót olyan helyre, ahol a bőr bepirosodott, megsérült, vagy kemény. Ez fertőzésre utalhat. </w:delText>
        </w:r>
      </w:del>
    </w:p>
    <w:p w14:paraId="56F66C70" w14:textId="421AB9FD" w:rsidR="00FB6710" w:rsidRPr="00183B5F" w:rsidRDefault="00FB6710" w:rsidP="007276E0">
      <w:pPr>
        <w:spacing w:line="240" w:lineRule="auto"/>
        <w:ind w:left="567" w:right="-3" w:hanging="567"/>
        <w:rPr>
          <w:del w:id="13177" w:author="AbbVie_HU_03" w:date="2025-05-14T16:41:00Z"/>
          <w:szCs w:val="22"/>
        </w:rPr>
      </w:pPr>
    </w:p>
    <w:p w14:paraId="46AAE6C5" w14:textId="2FEE5A79" w:rsidR="00FB6710" w:rsidRPr="00183B5F" w:rsidRDefault="00943743" w:rsidP="007276E0">
      <w:pPr>
        <w:keepNext/>
        <w:spacing w:line="240" w:lineRule="auto"/>
        <w:ind w:left="567" w:right="-3" w:hanging="567"/>
        <w:rPr>
          <w:del w:id="13178" w:author="AbbVie_HU_03" w:date="2025-05-14T16:41:00Z"/>
          <w:b/>
          <w:bCs/>
          <w:szCs w:val="22"/>
        </w:rPr>
      </w:pPr>
      <w:del w:id="13179" w:author="AbbVie_HU_03" w:date="2025-05-14T16:41:00Z">
        <w:r w:rsidRPr="00183B5F">
          <w:rPr>
            <w:b/>
            <w:bCs/>
            <w:szCs w:val="22"/>
          </w:rPr>
          <w:delText>Hogyan kell beadni az injekciót?</w:delText>
        </w:r>
      </w:del>
    </w:p>
    <w:p w14:paraId="2563FB7E" w14:textId="66119DE9" w:rsidR="00FB6710" w:rsidRPr="00183B5F" w:rsidRDefault="00FB6710" w:rsidP="007276E0">
      <w:pPr>
        <w:keepNext/>
        <w:spacing w:line="240" w:lineRule="auto"/>
        <w:ind w:left="567" w:right="-3" w:hanging="567"/>
        <w:rPr>
          <w:del w:id="13180" w:author="AbbVie_HU_03" w:date="2025-05-14T16:41:00Z"/>
          <w:szCs w:val="22"/>
        </w:rPr>
      </w:pPr>
    </w:p>
    <w:p w14:paraId="07B3E825" w14:textId="5BE9ED39" w:rsidR="00FB6710" w:rsidRPr="00183B5F" w:rsidRDefault="00943743" w:rsidP="007276E0">
      <w:pPr>
        <w:keepNext/>
        <w:spacing w:line="240" w:lineRule="auto"/>
        <w:ind w:left="567" w:right="-3" w:hanging="567"/>
        <w:rPr>
          <w:del w:id="13181" w:author="AbbVie_HU_03" w:date="2025-05-14T16:41:00Z"/>
          <w:szCs w:val="22"/>
        </w:rPr>
      </w:pPr>
      <w:del w:id="13182" w:author="AbbVie_HU_03" w:date="2025-05-14T16:41:00Z">
        <w:r w:rsidRPr="00183B5F">
          <w:rPr>
            <w:szCs w:val="22"/>
          </w:rPr>
          <w:delText>1.</w:delText>
        </w:r>
        <w:r w:rsidRPr="00183B5F">
          <w:rPr>
            <w:szCs w:val="22"/>
          </w:rPr>
          <w:tab/>
          <w:delText>Körkörös mozdulattal törölje le az injekció beadásának helyét a mellékelt alkoholos törlővel. Az injekció beadásáig ezt a területet már ne érintse meg.</w:delText>
        </w:r>
      </w:del>
    </w:p>
    <w:p w14:paraId="1BDD7EFA" w14:textId="383E9599" w:rsidR="00FB6710" w:rsidRPr="00183B5F" w:rsidRDefault="00FB6710" w:rsidP="007276E0">
      <w:pPr>
        <w:spacing w:line="240" w:lineRule="auto"/>
        <w:ind w:left="567" w:right="-3" w:hanging="567"/>
        <w:rPr>
          <w:del w:id="13183" w:author="AbbVie_HU_03" w:date="2025-05-14T16:41:00Z"/>
          <w:szCs w:val="22"/>
        </w:rPr>
      </w:pPr>
    </w:p>
    <w:p w14:paraId="1B5D04C1" w14:textId="3F48A355" w:rsidR="00FB6710" w:rsidRPr="00183B5F" w:rsidRDefault="00943743" w:rsidP="007276E0">
      <w:pPr>
        <w:spacing w:line="240" w:lineRule="auto"/>
        <w:ind w:left="567" w:right="-3" w:hanging="567"/>
        <w:rPr>
          <w:del w:id="13184" w:author="AbbVie_HU_03" w:date="2025-05-14T16:41:00Z"/>
          <w:szCs w:val="22"/>
        </w:rPr>
      </w:pPr>
      <w:del w:id="13185" w:author="AbbVie_HU_03" w:date="2025-05-14T16:41:00Z">
        <w:r w:rsidRPr="00183B5F">
          <w:rPr>
            <w:szCs w:val="22"/>
          </w:rPr>
          <w:delText>2.</w:delText>
        </w:r>
        <w:r w:rsidRPr="00183B5F">
          <w:rPr>
            <w:szCs w:val="22"/>
          </w:rPr>
          <w:tab/>
          <w:delText xml:space="preserve">A szürke és a szilvakék kupakot is csak </w:delText>
        </w:r>
        <w:r w:rsidRPr="00183B5F">
          <w:rPr>
            <w:b/>
            <w:szCs w:val="22"/>
          </w:rPr>
          <w:delText>közvetlenül</w:delText>
        </w:r>
        <w:r w:rsidRPr="00183B5F">
          <w:rPr>
            <w:szCs w:val="22"/>
          </w:rPr>
          <w:delText xml:space="preserve"> az injekció beadása előtt távolítsa el. Tartsa egyik kezében az előretöltött injekciós tollat szürke színű testét. </w:delText>
        </w:r>
        <w:r w:rsidR="00CF192D" w:rsidRPr="00183B5F">
          <w:rPr>
            <w:szCs w:val="22"/>
          </w:rPr>
          <w:delText>Tegye a</w:delText>
        </w:r>
        <w:r w:rsidRPr="00183B5F">
          <w:rPr>
            <w:szCs w:val="22"/>
          </w:rPr>
          <w:delText xml:space="preserve"> kezét a</w:delText>
        </w:r>
        <w:r w:rsidR="005E18D2" w:rsidRPr="00183B5F">
          <w:rPr>
            <w:szCs w:val="22"/>
          </w:rPr>
          <w:delText>z injekciós</w:delText>
        </w:r>
        <w:r w:rsidRPr="00183B5F">
          <w:rPr>
            <w:szCs w:val="22"/>
          </w:rPr>
          <w:delText xml:space="preserve"> toll közepére, így sem a szürke színű kupakot (1), sem a szilvakék kupakot (2) nem takarja el. Tartsa az előretöltött injekciós tollat a szürke színű kupakkal (1) felfelé. Másik kezével az injekciós toll hossztengelye irányában húzza le a szürke színű kupakot (1)</w:delText>
        </w:r>
        <w:r w:rsidR="00E20AE3" w:rsidRPr="00183B5F">
          <w:rPr>
            <w:szCs w:val="22"/>
          </w:rPr>
          <w:delText>, ellenőrizze</w:delText>
        </w:r>
        <w:r w:rsidRPr="00183B5F">
          <w:rPr>
            <w:szCs w:val="22"/>
          </w:rPr>
          <w:delText>, hogy a kupakkal együtt a fecskendő végé</w:delText>
        </w:r>
        <w:r w:rsidRPr="00183B5F">
          <w:rPr>
            <w:szCs w:val="22"/>
          </w:rPr>
          <w:delText>n elhelyezett kisméretű, szürke színű tűvédőt is eltávolította-e</w:delText>
        </w:r>
        <w:r w:rsidR="005B6A48" w:rsidRPr="00183B5F">
          <w:rPr>
            <w:szCs w:val="22"/>
          </w:rPr>
          <w:delText>,</w:delText>
        </w:r>
        <w:r w:rsidR="00E20AE3" w:rsidRPr="00183B5F">
          <w:rPr>
            <w:szCs w:val="22"/>
          </w:rPr>
          <w:delText xml:space="preserve"> </w:delText>
        </w:r>
        <w:r w:rsidR="00A72217" w:rsidRPr="00183B5F">
          <w:rPr>
            <w:szCs w:val="22"/>
          </w:rPr>
          <w:delText>és dobja el</w:delText>
        </w:r>
        <w:r w:rsidR="00E20AE3" w:rsidRPr="00183B5F">
          <w:rPr>
            <w:szCs w:val="22"/>
          </w:rPr>
          <w:delText xml:space="preserve"> a tűvédőt</w:delText>
        </w:r>
        <w:r w:rsidRPr="00183B5F">
          <w:rPr>
            <w:szCs w:val="22"/>
          </w:rPr>
          <w:delText xml:space="preserve">. Ha néhány apró csepp folyadék kijön a tűből, az nem baj. </w:delText>
        </w:r>
        <w:r w:rsidR="00A72217" w:rsidRPr="00183B5F">
          <w:rPr>
            <w:szCs w:val="22"/>
          </w:rPr>
          <w:delText xml:space="preserve">Az </w:delText>
        </w:r>
        <w:r w:rsidRPr="00183B5F">
          <w:rPr>
            <w:szCs w:val="22"/>
          </w:rPr>
          <w:delText>injekciós tű fehér védőhüvelye</w:delText>
        </w:r>
        <w:r w:rsidR="00A72217" w:rsidRPr="00183B5F">
          <w:rPr>
            <w:szCs w:val="22"/>
          </w:rPr>
          <w:delText xml:space="preserve"> szabaddá válik. N</w:delText>
        </w:r>
        <w:r w:rsidRPr="00183B5F">
          <w:rPr>
            <w:szCs w:val="22"/>
          </w:rPr>
          <w:delText xml:space="preserve">e </w:delText>
        </w:r>
        <w:r w:rsidR="00A72217" w:rsidRPr="00183B5F">
          <w:rPr>
            <w:szCs w:val="22"/>
          </w:rPr>
          <w:delText>érintse</w:delText>
        </w:r>
        <w:r w:rsidRPr="00183B5F">
          <w:rPr>
            <w:szCs w:val="22"/>
          </w:rPr>
          <w:delText xml:space="preserve"> meg a benne </w:delText>
        </w:r>
        <w:r w:rsidR="00A72217" w:rsidRPr="00183B5F">
          <w:rPr>
            <w:szCs w:val="22"/>
          </w:rPr>
          <w:delText>lévő</w:delText>
        </w:r>
        <w:r w:rsidRPr="00183B5F">
          <w:rPr>
            <w:szCs w:val="22"/>
          </w:rPr>
          <w:delText xml:space="preserve"> injekciós tűt. </w:delText>
        </w:r>
        <w:r w:rsidRPr="00183B5F">
          <w:rPr>
            <w:b/>
            <w:bCs/>
            <w:szCs w:val="22"/>
          </w:rPr>
          <w:delText>NE HELYEZZE VISSZA A VÉDŐKUPAKOT</w:delText>
        </w:r>
        <w:r w:rsidRPr="00183B5F">
          <w:rPr>
            <w:szCs w:val="22"/>
          </w:rPr>
          <w:delText>, mert megsért</w:delText>
        </w:r>
        <w:r w:rsidR="00A72217" w:rsidRPr="00183B5F">
          <w:rPr>
            <w:szCs w:val="22"/>
          </w:rPr>
          <w:delText>heti</w:delText>
        </w:r>
        <w:r w:rsidRPr="00183B5F">
          <w:rPr>
            <w:szCs w:val="22"/>
          </w:rPr>
          <w:delText xml:space="preserve"> a </w:delText>
        </w:r>
        <w:r w:rsidR="00A72217" w:rsidRPr="00183B5F">
          <w:rPr>
            <w:szCs w:val="22"/>
          </w:rPr>
          <w:delText>benne lévő</w:delText>
        </w:r>
        <w:r w:rsidRPr="00183B5F">
          <w:rPr>
            <w:szCs w:val="22"/>
          </w:rPr>
          <w:delText xml:space="preserve"> injekciós tű</w:delText>
        </w:r>
        <w:r w:rsidR="00A72217" w:rsidRPr="00183B5F">
          <w:rPr>
            <w:szCs w:val="22"/>
          </w:rPr>
          <w:delText>t</w:delText>
        </w:r>
        <w:r w:rsidR="009A4E58" w:rsidRPr="00183B5F">
          <w:rPr>
            <w:szCs w:val="22"/>
          </w:rPr>
          <w:delText>!</w:delText>
        </w:r>
      </w:del>
    </w:p>
    <w:p w14:paraId="5A8C21F9" w14:textId="60AEC729" w:rsidR="00135BAE" w:rsidRPr="00183B5F" w:rsidRDefault="00135BAE" w:rsidP="007276E0">
      <w:pPr>
        <w:spacing w:line="240" w:lineRule="auto"/>
        <w:ind w:left="567" w:right="-3" w:hanging="567"/>
        <w:rPr>
          <w:del w:id="13186" w:author="AbbVie_HU_03" w:date="2025-05-14T16:41:00Z"/>
          <w:szCs w:val="22"/>
        </w:rPr>
      </w:pPr>
    </w:p>
    <w:p w14:paraId="4D0040B2" w14:textId="6ED7D03E" w:rsidR="00135BAE" w:rsidRPr="00183B5F" w:rsidRDefault="00943743" w:rsidP="007276E0">
      <w:pPr>
        <w:spacing w:line="240" w:lineRule="auto"/>
        <w:ind w:left="567" w:right="-3" w:hanging="567"/>
        <w:jc w:val="center"/>
        <w:rPr>
          <w:del w:id="13187" w:author="AbbVie_HU_03" w:date="2025-05-14T16:41:00Z"/>
          <w:szCs w:val="22"/>
        </w:rPr>
      </w:pPr>
      <w:del w:id="13188" w:author="AbbVie_HU_03" w:date="2025-05-14T16:41:00Z">
        <w:r w:rsidRPr="005C4B06">
          <w:rPr>
            <w:noProof/>
            <w:lang w:val="en-GB"/>
          </w:rPr>
          <w:drawing>
            <wp:inline distT="0" distB="0" distL="0" distR="0" wp14:anchorId="423B8A09" wp14:editId="012B4228">
              <wp:extent cx="1984375" cy="2018665"/>
              <wp:effectExtent l="0" t="0" r="0" b="635"/>
              <wp:docPr id="54" name="Kép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Kép 24"/>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1984375" cy="2018665"/>
                      </a:xfrm>
                      <a:prstGeom prst="rect">
                        <a:avLst/>
                      </a:prstGeom>
                      <a:noFill/>
                      <a:ln>
                        <a:noFill/>
                      </a:ln>
                    </pic:spPr>
                  </pic:pic>
                </a:graphicData>
              </a:graphic>
            </wp:inline>
          </w:drawing>
        </w:r>
      </w:del>
    </w:p>
    <w:p w14:paraId="1DBED471" w14:textId="685CDAA6" w:rsidR="0050331D" w:rsidRPr="00183B5F" w:rsidRDefault="0050331D" w:rsidP="007276E0">
      <w:pPr>
        <w:spacing w:line="240" w:lineRule="auto"/>
        <w:ind w:left="567" w:right="-3" w:hanging="567"/>
        <w:rPr>
          <w:del w:id="13189" w:author="AbbVie_HU_03" w:date="2025-05-14T16:41:00Z"/>
          <w:szCs w:val="22"/>
        </w:rPr>
      </w:pPr>
    </w:p>
    <w:p w14:paraId="3CE8BC7B" w14:textId="5F0C8C85" w:rsidR="00FB6710" w:rsidRPr="00183B5F" w:rsidRDefault="00943743" w:rsidP="007276E0">
      <w:pPr>
        <w:spacing w:line="240" w:lineRule="auto"/>
        <w:ind w:left="567" w:right="-3" w:hanging="567"/>
        <w:rPr>
          <w:del w:id="13190" w:author="AbbVie_HU_03" w:date="2025-05-14T16:41:00Z"/>
          <w:b/>
          <w:bCs/>
          <w:szCs w:val="22"/>
        </w:rPr>
      </w:pPr>
      <w:del w:id="13191" w:author="AbbVie_HU_03" w:date="2025-05-14T16:41:00Z">
        <w:r w:rsidRPr="00183B5F">
          <w:rPr>
            <w:szCs w:val="22"/>
          </w:rPr>
          <w:delText>3.</w:delText>
        </w:r>
        <w:r w:rsidRPr="00183B5F">
          <w:rPr>
            <w:szCs w:val="22"/>
          </w:rPr>
          <w:tab/>
          <w:delText>A szilvakék színű („2</w:delText>
        </w:r>
        <w:r w:rsidR="00141743" w:rsidRPr="00183B5F">
          <w:rPr>
            <w:szCs w:val="22"/>
          </w:rPr>
          <w:noBreakHyphen/>
        </w:r>
        <w:r w:rsidRPr="00183B5F">
          <w:rPr>
            <w:szCs w:val="22"/>
          </w:rPr>
          <w:delText>es” jelölésű) védőkupakot az injekciós toll hossztengelye irányában lehúzva tegye szabaddá a készülék szilvakék színű indítógombot. Az injekciós toll immár üzemkész. A szilvakék színű indítógombot csak azután nyomja meg, miután a</w:delText>
        </w:r>
        <w:r w:rsidR="005E18D2" w:rsidRPr="00183B5F">
          <w:rPr>
            <w:szCs w:val="22"/>
          </w:rPr>
          <w:delText>z injekciós</w:delText>
        </w:r>
        <w:r w:rsidRPr="00183B5F">
          <w:rPr>
            <w:szCs w:val="22"/>
          </w:rPr>
          <w:delText xml:space="preserve"> tollat megfelelő helyzetbe állította az injekció beadásának helyén, ugyanis </w:delText>
        </w:r>
        <w:r w:rsidR="0075590B" w:rsidRPr="00183B5F">
          <w:rPr>
            <w:szCs w:val="22"/>
          </w:rPr>
          <w:delText>ez a gyógyszer</w:delText>
        </w:r>
        <w:r w:rsidRPr="00183B5F">
          <w:rPr>
            <w:szCs w:val="22"/>
          </w:rPr>
          <w:delText xml:space="preserve"> kifecskendez</w:delText>
        </w:r>
        <w:r w:rsidR="0075590B" w:rsidRPr="00183B5F">
          <w:rPr>
            <w:szCs w:val="22"/>
          </w:rPr>
          <w:delText>ését okozza.</w:delText>
        </w:r>
        <w:r w:rsidRPr="00183B5F">
          <w:rPr>
            <w:szCs w:val="22"/>
          </w:rPr>
          <w:delText xml:space="preserve"> </w:delText>
        </w:r>
        <w:r w:rsidRPr="00183B5F">
          <w:rPr>
            <w:b/>
            <w:bCs/>
            <w:szCs w:val="22"/>
          </w:rPr>
          <w:delText>NE HELYEZZE VISSZA A VÉDŐKUPAKOT, mert ez</w:delText>
        </w:r>
        <w:r w:rsidR="0075590B" w:rsidRPr="00183B5F">
          <w:rPr>
            <w:b/>
            <w:bCs/>
            <w:szCs w:val="22"/>
          </w:rPr>
          <w:delText xml:space="preserve"> az injekciós tollat</w:delText>
        </w:r>
        <w:r w:rsidRPr="00183B5F">
          <w:rPr>
            <w:b/>
            <w:bCs/>
            <w:szCs w:val="22"/>
          </w:rPr>
          <w:delText xml:space="preserve"> működésbe </w:delText>
        </w:r>
        <w:r w:rsidR="0075590B" w:rsidRPr="00183B5F">
          <w:rPr>
            <w:b/>
            <w:bCs/>
            <w:szCs w:val="22"/>
          </w:rPr>
          <w:delText>hozhatja</w:delText>
        </w:r>
        <w:r w:rsidR="009A4E58" w:rsidRPr="00183B5F">
          <w:rPr>
            <w:b/>
            <w:bCs/>
            <w:szCs w:val="22"/>
          </w:rPr>
          <w:delText>!</w:delText>
        </w:r>
      </w:del>
    </w:p>
    <w:p w14:paraId="479394D2" w14:textId="7F77B4B6" w:rsidR="00FB6710" w:rsidRPr="00183B5F" w:rsidRDefault="00FB6710" w:rsidP="007276E0">
      <w:pPr>
        <w:spacing w:line="240" w:lineRule="auto"/>
        <w:ind w:left="567" w:right="-3" w:hanging="567"/>
        <w:rPr>
          <w:del w:id="13192" w:author="AbbVie_HU_03" w:date="2025-05-14T16:41:00Z"/>
          <w:szCs w:val="22"/>
        </w:rPr>
      </w:pPr>
    </w:p>
    <w:p w14:paraId="03C129D7" w14:textId="33976231" w:rsidR="00FB6710" w:rsidRPr="00183B5F" w:rsidRDefault="00943743" w:rsidP="007276E0">
      <w:pPr>
        <w:keepNext/>
        <w:spacing w:line="240" w:lineRule="auto"/>
        <w:ind w:left="567" w:right="-6" w:hanging="567"/>
        <w:rPr>
          <w:del w:id="13193" w:author="AbbVie_HU_03" w:date="2025-05-14T16:41:00Z"/>
          <w:b/>
          <w:bCs/>
          <w:szCs w:val="22"/>
        </w:rPr>
      </w:pPr>
      <w:del w:id="13194" w:author="AbbVie_HU_03" w:date="2025-05-14T16:41:00Z">
        <w:r w:rsidRPr="00183B5F">
          <w:rPr>
            <w:b/>
            <w:bCs/>
            <w:szCs w:val="22"/>
          </w:rPr>
          <w:delText>Az injekció beadása</w:delText>
        </w:r>
      </w:del>
    </w:p>
    <w:p w14:paraId="246EBFA6" w14:textId="519ECD10" w:rsidR="00FB6710" w:rsidRPr="00183B5F" w:rsidRDefault="00FB6710" w:rsidP="007276E0">
      <w:pPr>
        <w:keepNext/>
        <w:spacing w:line="240" w:lineRule="auto"/>
        <w:ind w:left="567" w:right="-6" w:hanging="567"/>
        <w:rPr>
          <w:del w:id="13195" w:author="AbbVie_HU_03" w:date="2025-05-14T16:41:00Z"/>
          <w:szCs w:val="22"/>
        </w:rPr>
      </w:pPr>
    </w:p>
    <w:p w14:paraId="47BB1307" w14:textId="36CED816" w:rsidR="009A4E58" w:rsidRPr="00183B5F" w:rsidRDefault="00943743" w:rsidP="007276E0">
      <w:pPr>
        <w:spacing w:line="240" w:lineRule="auto"/>
        <w:ind w:left="567" w:right="-3" w:hanging="567"/>
        <w:rPr>
          <w:del w:id="13196" w:author="AbbVie_HU_03" w:date="2025-05-14T16:41:00Z"/>
          <w:szCs w:val="22"/>
        </w:rPr>
      </w:pPr>
      <w:del w:id="13197" w:author="AbbVie_HU_03" w:date="2025-05-14T16:41:00Z">
        <w:r w:rsidRPr="00183B5F">
          <w:rPr>
            <w:szCs w:val="22"/>
          </w:rPr>
          <w:delText>1.</w:delText>
        </w:r>
        <w:r w:rsidRPr="00183B5F">
          <w:rPr>
            <w:szCs w:val="22"/>
          </w:rPr>
          <w:tab/>
          <w:delText xml:space="preserve">Szabad kezével kíméletesen markolja </w:delText>
        </w:r>
        <w:r w:rsidR="0075590B" w:rsidRPr="00183B5F">
          <w:rPr>
            <w:szCs w:val="22"/>
          </w:rPr>
          <w:delText>a tisztított bőrterületet</w:delText>
        </w:r>
        <w:r w:rsidRPr="00183B5F">
          <w:rPr>
            <w:szCs w:val="22"/>
          </w:rPr>
          <w:delText>, majd tartsa szilárdan (lásd</w:delText>
        </w:r>
        <w:r w:rsidRPr="00183B5F">
          <w:rPr>
            <w:i/>
            <w:iCs/>
            <w:szCs w:val="22"/>
          </w:rPr>
          <w:delText xml:space="preserve"> </w:delText>
        </w:r>
        <w:r w:rsidRPr="00183B5F">
          <w:rPr>
            <w:szCs w:val="22"/>
          </w:rPr>
          <w:delText>az ábrát).</w:delText>
        </w:r>
      </w:del>
    </w:p>
    <w:p w14:paraId="6ED5D792" w14:textId="3099FD96" w:rsidR="0068490A" w:rsidRPr="00183B5F" w:rsidRDefault="00943743" w:rsidP="007276E0">
      <w:pPr>
        <w:spacing w:line="240" w:lineRule="auto"/>
        <w:ind w:left="567" w:right="-3" w:hanging="567"/>
        <w:rPr>
          <w:del w:id="13198" w:author="AbbVie_HU_03" w:date="2025-05-14T16:41:00Z"/>
          <w:szCs w:val="22"/>
        </w:rPr>
      </w:pPr>
      <w:del w:id="13199" w:author="AbbVie_HU_03" w:date="2025-05-14T16:41:00Z">
        <w:r w:rsidRPr="00183B5F">
          <w:rPr>
            <w:szCs w:val="22"/>
          </w:rPr>
          <w:delText>2.</w:delText>
        </w:r>
        <w:r w:rsidRPr="00183B5F">
          <w:rPr>
            <w:szCs w:val="22"/>
          </w:rPr>
          <w:tab/>
        </w:r>
        <w:r w:rsidRPr="00183B5F">
          <w:rPr>
            <w:szCs w:val="22"/>
          </w:rPr>
          <w:delText>Támassza az előretöltött injekciós toll fehér színű végét merőlegesen a bőrfelületre, ügyelve arra, hogy lássa a készüléktesten elhelyezett ablakot. Egy vagy több buborék jelenléte az ablakban normális jelenség.</w:delText>
        </w:r>
      </w:del>
    </w:p>
    <w:p w14:paraId="1CBBE8B0" w14:textId="26BF0E19" w:rsidR="009A4E58" w:rsidRPr="00183B5F" w:rsidRDefault="00943743" w:rsidP="007276E0">
      <w:pPr>
        <w:spacing w:line="240" w:lineRule="auto"/>
        <w:ind w:left="567" w:right="-3" w:hanging="567"/>
        <w:rPr>
          <w:del w:id="13200" w:author="AbbVie_HU_03" w:date="2025-05-14T16:41:00Z"/>
          <w:szCs w:val="22"/>
        </w:rPr>
      </w:pPr>
      <w:del w:id="13201" w:author="AbbVie_HU_03" w:date="2025-05-14T16:41:00Z">
        <w:r w:rsidRPr="00183B5F">
          <w:rPr>
            <w:szCs w:val="22"/>
          </w:rPr>
          <w:delText>3.</w:delText>
        </w:r>
        <w:r w:rsidRPr="00183B5F">
          <w:rPr>
            <w:szCs w:val="22"/>
          </w:rPr>
          <w:tab/>
          <w:delText xml:space="preserve">A készüléktestnél fogva az előretöltött injekciós tollat </w:delText>
        </w:r>
        <w:r w:rsidR="009053F7" w:rsidRPr="00183B5F">
          <w:rPr>
            <w:szCs w:val="22"/>
          </w:rPr>
          <w:delText xml:space="preserve">kissé nyomja rá </w:delText>
        </w:r>
        <w:r w:rsidRPr="00183B5F">
          <w:rPr>
            <w:szCs w:val="22"/>
          </w:rPr>
          <w:delText>az injekció beadásának helyére (amit a másik kezével szilárdan rögzít).</w:delText>
        </w:r>
      </w:del>
    </w:p>
    <w:p w14:paraId="6FDA6A19" w14:textId="4CB8C39D" w:rsidR="009A4E58" w:rsidRPr="00183B5F" w:rsidRDefault="00943743" w:rsidP="007276E0">
      <w:pPr>
        <w:spacing w:line="240" w:lineRule="auto"/>
        <w:ind w:left="567" w:right="-3" w:hanging="567"/>
        <w:rPr>
          <w:del w:id="13202" w:author="AbbVie_HU_03" w:date="2025-05-14T16:41:00Z"/>
          <w:szCs w:val="22"/>
        </w:rPr>
      </w:pPr>
      <w:del w:id="13203" w:author="AbbVie_HU_03" w:date="2025-05-14T16:41:00Z">
        <w:r w:rsidRPr="00183B5F">
          <w:rPr>
            <w:szCs w:val="22"/>
          </w:rPr>
          <w:delText>4.</w:delText>
        </w:r>
        <w:r w:rsidRPr="00183B5F">
          <w:rPr>
            <w:szCs w:val="22"/>
          </w:rPr>
          <w:tab/>
          <w:delText>Ha készen áll az injekció beadására, akkor mutató- vagy hüvelykujjával nyomja le a szilvakék színű indítógombot (lásd az ábrát). A tű kioldását hangosan hallható kattanás jelzi; ezzel egyidejűleg enyhe szúrást érez.</w:delText>
        </w:r>
      </w:del>
    </w:p>
    <w:p w14:paraId="292529D5" w14:textId="378E4689" w:rsidR="00FB6710" w:rsidRPr="00183B5F" w:rsidRDefault="00943743" w:rsidP="007276E0">
      <w:pPr>
        <w:spacing w:line="240" w:lineRule="auto"/>
        <w:ind w:left="567" w:right="-3" w:hanging="567"/>
        <w:rPr>
          <w:del w:id="13204" w:author="AbbVie_HU_03" w:date="2025-05-14T16:41:00Z"/>
          <w:szCs w:val="22"/>
        </w:rPr>
      </w:pPr>
      <w:del w:id="13205" w:author="AbbVie_HU_03" w:date="2025-05-14T16:41:00Z">
        <w:r w:rsidRPr="00183B5F">
          <w:rPr>
            <w:szCs w:val="22"/>
          </w:rPr>
          <w:delText>5.</w:delText>
        </w:r>
        <w:r w:rsidRPr="00183B5F">
          <w:rPr>
            <w:szCs w:val="22"/>
          </w:rPr>
          <w:tab/>
        </w:r>
        <w:r w:rsidRPr="00183B5F">
          <w:rPr>
            <w:b/>
            <w:bCs/>
            <w:szCs w:val="22"/>
          </w:rPr>
          <w:delText xml:space="preserve">Az injekciós oldat maradéktalan befecskendezése érdekében kb. 10 másodpercig </w:delText>
        </w:r>
        <w:r w:rsidRPr="00183B5F">
          <w:rPr>
            <w:szCs w:val="22"/>
          </w:rPr>
          <w:delText>egyenletes nyomást kifejtve nyomja rá az injekciós tollat az injekció beadásának – másik kezével szilárdan rögzített – helyére. Az injekció beadásának ideje alatt ne távolítsa el a</w:delText>
        </w:r>
        <w:r w:rsidR="005E18D2" w:rsidRPr="00183B5F">
          <w:rPr>
            <w:szCs w:val="22"/>
          </w:rPr>
          <w:delText>z injekciós</w:delText>
        </w:r>
        <w:r w:rsidRPr="00183B5F">
          <w:rPr>
            <w:szCs w:val="22"/>
          </w:rPr>
          <w:delText xml:space="preserve"> tollat a bőréről.</w:delText>
        </w:r>
      </w:del>
    </w:p>
    <w:p w14:paraId="11C2A7D3" w14:textId="6834C27E" w:rsidR="0050331D" w:rsidRPr="00183B5F" w:rsidRDefault="0050331D" w:rsidP="007276E0">
      <w:pPr>
        <w:spacing w:line="240" w:lineRule="auto"/>
        <w:ind w:left="567" w:right="-3" w:hanging="567"/>
        <w:rPr>
          <w:del w:id="13206" w:author="AbbVie_HU_03" w:date="2025-05-14T16:41:00Z"/>
          <w:szCs w:val="22"/>
        </w:rPr>
      </w:pPr>
    </w:p>
    <w:tbl>
      <w:tblPr>
        <w:tblW w:w="0" w:type="auto"/>
        <w:jc w:val="center"/>
        <w:tblLook w:val="01E0" w:firstRow="1" w:lastRow="1" w:firstColumn="1" w:lastColumn="1" w:noHBand="0" w:noVBand="0"/>
      </w:tblPr>
      <w:tblGrid>
        <w:gridCol w:w="4490"/>
        <w:gridCol w:w="4581"/>
      </w:tblGrid>
      <w:tr w:rsidR="00011D2F" w14:paraId="46944848" w14:textId="5B6411CE" w:rsidTr="00E119E4">
        <w:trPr>
          <w:trHeight w:val="3370"/>
          <w:jc w:val="center"/>
          <w:del w:id="13207" w:author="AbbVie_HU_03" w:date="2025-05-14T16:41:00Z"/>
        </w:trPr>
        <w:tc>
          <w:tcPr>
            <w:tcW w:w="4643" w:type="dxa"/>
          </w:tcPr>
          <w:p w14:paraId="73ACFC27" w14:textId="4A86B373" w:rsidR="0068490A" w:rsidRPr="00183B5F" w:rsidRDefault="00943743" w:rsidP="007276E0">
            <w:pPr>
              <w:spacing w:line="240" w:lineRule="auto"/>
              <w:jc w:val="center"/>
              <w:rPr>
                <w:del w:id="13208" w:author="AbbVie_HU_03" w:date="2025-05-14T16:41:00Z"/>
                <w:szCs w:val="22"/>
              </w:rPr>
            </w:pPr>
            <w:del w:id="13209" w:author="AbbVie_HU_03" w:date="2025-05-14T16:41:00Z">
              <w:r w:rsidRPr="005C4B06">
                <w:rPr>
                  <w:noProof/>
                  <w:lang w:val="en-GB"/>
                </w:rPr>
                <w:drawing>
                  <wp:anchor distT="0" distB="0" distL="114300" distR="114300" simplePos="0" relativeHeight="251682816" behindDoc="0" locked="0" layoutInCell="1" allowOverlap="1" wp14:anchorId="7395A58F" wp14:editId="4EFD6585">
                    <wp:simplePos x="0" y="0"/>
                    <wp:positionH relativeFrom="column">
                      <wp:posOffset>855980</wp:posOffset>
                    </wp:positionH>
                    <wp:positionV relativeFrom="paragraph">
                      <wp:posOffset>206375</wp:posOffset>
                    </wp:positionV>
                    <wp:extent cx="2078990" cy="1900555"/>
                    <wp:effectExtent l="0" t="0" r="0" b="4445"/>
                    <wp:wrapNone/>
                    <wp:docPr id="69" name="Kép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Kép 55"/>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2078990" cy="1900555"/>
                            </a:xfrm>
                            <a:prstGeom prst="rect">
                              <a:avLst/>
                            </a:prstGeom>
                            <a:noFill/>
                          </pic:spPr>
                        </pic:pic>
                      </a:graphicData>
                    </a:graphic>
                    <wp14:sizeRelH relativeFrom="page">
                      <wp14:pctWidth>0</wp14:pctWidth>
                    </wp14:sizeRelH>
                    <wp14:sizeRelV relativeFrom="page">
                      <wp14:pctHeight>0</wp14:pctHeight>
                    </wp14:sizeRelV>
                  </wp:anchor>
                </w:drawing>
              </w:r>
            </w:del>
          </w:p>
        </w:tc>
        <w:tc>
          <w:tcPr>
            <w:tcW w:w="4644" w:type="dxa"/>
          </w:tcPr>
          <w:p w14:paraId="4E524E57" w14:textId="51CA5D24" w:rsidR="0068490A" w:rsidRPr="00183B5F" w:rsidRDefault="00943743" w:rsidP="007276E0">
            <w:pPr>
              <w:spacing w:line="240" w:lineRule="auto"/>
              <w:jc w:val="center"/>
              <w:rPr>
                <w:del w:id="13210" w:author="AbbVie_HU_03" w:date="2025-05-14T16:41:00Z"/>
              </w:rPr>
            </w:pPr>
            <w:del w:id="13211" w:author="AbbVie_HU_03" w:date="2025-05-14T16:41:00Z">
              <w:r w:rsidRPr="005C4B06">
                <w:rPr>
                  <w:noProof/>
                  <w:lang w:val="en-GB"/>
                </w:rPr>
                <w:drawing>
                  <wp:anchor distT="0" distB="0" distL="114300" distR="114300" simplePos="0" relativeHeight="251683840" behindDoc="0" locked="0" layoutInCell="1" allowOverlap="1" wp14:anchorId="6A2C8D62" wp14:editId="4A38E249">
                    <wp:simplePos x="0" y="0"/>
                    <wp:positionH relativeFrom="column">
                      <wp:posOffset>113665</wp:posOffset>
                    </wp:positionH>
                    <wp:positionV relativeFrom="paragraph">
                      <wp:posOffset>269240</wp:posOffset>
                    </wp:positionV>
                    <wp:extent cx="1758315" cy="1788795"/>
                    <wp:effectExtent l="0" t="0" r="0" b="1905"/>
                    <wp:wrapNone/>
                    <wp:docPr id="68" name="Kép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Kép 62"/>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1758315" cy="1788795"/>
                            </a:xfrm>
                            <a:prstGeom prst="rect">
                              <a:avLst/>
                            </a:prstGeom>
                            <a:noFill/>
                          </pic:spPr>
                        </pic:pic>
                      </a:graphicData>
                    </a:graphic>
                    <wp14:sizeRelH relativeFrom="page">
                      <wp14:pctWidth>0</wp14:pctWidth>
                    </wp14:sizeRelH>
                    <wp14:sizeRelV relativeFrom="page">
                      <wp14:pctHeight>0</wp14:pctHeight>
                    </wp14:sizeRelV>
                  </wp:anchor>
                </w:drawing>
              </w:r>
              <w:r w:rsidRPr="005C4B06">
                <w:rPr>
                  <w:noProof/>
                  <w:lang w:val="en-GB"/>
                </w:rPr>
                <mc:AlternateContent>
                  <mc:Choice Requires="wpc">
                    <w:drawing>
                      <wp:inline distT="0" distB="0" distL="0" distR="0" wp14:anchorId="034DE3C3" wp14:editId="5E277020">
                        <wp:extent cx="1668145" cy="1657985"/>
                        <wp:effectExtent l="0" t="0" r="0" b="0"/>
                        <wp:docPr id="67" name="Vászon 61"/>
                        <wp:cNvGraphicFramePr/>
                        <a:graphic xmlns:a="http://schemas.openxmlformats.org/drawingml/2006/main">
                          <a:graphicData uri="http://schemas.microsoft.com/office/word/2010/wordprocessingCanvas">
                            <wpc:wpc>
                              <wpc:bg>
                                <a:noFill/>
                              </wpc:bg>
                              <wpc:whole/>
                            </wpc:wpc>
                          </a:graphicData>
                        </a:graphic>
                      </wp:inline>
                    </w:drawing>
                  </mc:Choice>
                  <mc:Fallback>
                    <w:pict>
                      <v:group id="Vászon 61" o:spid="_x0000_i1043" editas="canvas" style="width:131.35pt;height:130.55pt;mso-position-horizontal-relative:char;mso-position-vertical-relative:line" coordsize="16681,16579">
                        <v:shape id="_x0000_s1044" type="#_x0000_t75" style="width:16681;height:16579;mso-wrap-style:square;position:absolute;visibility:visible">
                          <v:fill o:detectmouseclick="t"/>
                        </v:shape>
                        <w10:anchorlock/>
                      </v:group>
                    </w:pict>
                  </mc:Fallback>
                </mc:AlternateContent>
              </w:r>
            </w:del>
          </w:p>
        </w:tc>
      </w:tr>
    </w:tbl>
    <w:p w14:paraId="41A5C27B" w14:textId="290C02F9" w:rsidR="00FB6710" w:rsidRPr="00183B5F" w:rsidRDefault="00FB6710" w:rsidP="007276E0">
      <w:pPr>
        <w:spacing w:line="240" w:lineRule="auto"/>
        <w:ind w:left="567" w:right="-3" w:hanging="567"/>
        <w:rPr>
          <w:del w:id="13212" w:author="AbbVie_HU_03" w:date="2025-05-14T16:41:00Z"/>
          <w:szCs w:val="22"/>
        </w:rPr>
      </w:pPr>
    </w:p>
    <w:p w14:paraId="0F22B7BC" w14:textId="204AC7CE" w:rsidR="00FB6710" w:rsidRPr="00183B5F" w:rsidRDefault="00943743" w:rsidP="007276E0">
      <w:pPr>
        <w:spacing w:line="240" w:lineRule="auto"/>
        <w:ind w:left="567" w:right="-3" w:hanging="567"/>
        <w:rPr>
          <w:del w:id="13213" w:author="AbbVie_HU_03" w:date="2025-05-14T16:41:00Z"/>
          <w:szCs w:val="22"/>
        </w:rPr>
      </w:pPr>
      <w:del w:id="13214" w:author="AbbVie_HU_03" w:date="2025-05-14T16:41:00Z">
        <w:r w:rsidRPr="00183B5F">
          <w:rPr>
            <w:szCs w:val="22"/>
          </w:rPr>
          <w:delText>6.</w:delText>
        </w:r>
        <w:r w:rsidRPr="00183B5F">
          <w:rPr>
            <w:szCs w:val="22"/>
          </w:rPr>
          <w:tab/>
        </w:r>
        <w:r w:rsidR="009F4053" w:rsidRPr="00183B5F">
          <w:rPr>
            <w:szCs w:val="22"/>
          </w:rPr>
          <w:delText>Látni fog egy sárga jelzést, ami megjelenik az ablakban az injekció beadása alatt.</w:delText>
        </w:r>
        <w:r w:rsidR="009F4053" w:rsidRPr="00183B5F">
          <w:delText xml:space="preserve"> </w:delText>
        </w:r>
        <w:r w:rsidR="004B22B0" w:rsidRPr="00183B5F">
          <w:delText xml:space="preserve">Az injekció befecskendezése akkor fejeződik be, amikor a sárga színű indikátor megszűnik mozogni. </w:delText>
        </w:r>
        <w:r w:rsidR="004B22B0" w:rsidRPr="00183B5F">
          <w:rPr>
            <w:szCs w:val="22"/>
          </w:rPr>
          <w:delText xml:space="preserve">A sárga színű indikátor az előretöltött </w:delText>
        </w:r>
        <w:r w:rsidR="006E5C06" w:rsidRPr="00183B5F">
          <w:rPr>
            <w:szCs w:val="22"/>
          </w:rPr>
          <w:delText xml:space="preserve">injekciós </w:delText>
        </w:r>
        <w:r w:rsidR="004B22B0" w:rsidRPr="00183B5F">
          <w:rPr>
            <w:szCs w:val="22"/>
          </w:rPr>
          <w:delText xml:space="preserve">toll dugattyújának része. </w:delText>
        </w:r>
        <w:r w:rsidR="004B22B0" w:rsidRPr="00183B5F">
          <w:delText xml:space="preserve">Ha a sárga színű indikátor nem jelenik meg az ablakban, </w:delText>
        </w:r>
        <w:r w:rsidR="004B22B0" w:rsidRPr="00183B5F">
          <w:rPr>
            <w:szCs w:val="22"/>
          </w:rPr>
          <w:delText>a dugattyú nem mozgott megfelelően és</w:delText>
        </w:r>
        <w:r w:rsidR="004B22B0" w:rsidRPr="00183B5F">
          <w:delText xml:space="preserve"> </w:delText>
        </w:r>
        <w:r w:rsidR="004B22B0" w:rsidRPr="00183B5F">
          <w:rPr>
            <w:szCs w:val="22"/>
          </w:rPr>
          <w:delText xml:space="preserve">a teljes </w:delText>
        </w:r>
        <w:r w:rsidR="004B22B0" w:rsidRPr="00183B5F">
          <w:delText>befecskendezés</w:delText>
        </w:r>
        <w:r w:rsidR="004B22B0" w:rsidRPr="00183B5F">
          <w:rPr>
            <w:szCs w:val="22"/>
          </w:rPr>
          <w:delText xml:space="preserve"> nem történt meg</w:delText>
        </w:r>
        <w:r w:rsidR="004B22B0" w:rsidRPr="00183B5F">
          <w:delText>.</w:delText>
        </w:r>
      </w:del>
    </w:p>
    <w:p w14:paraId="41EF72FA" w14:textId="6FDFED6B" w:rsidR="00FB6710" w:rsidRPr="00183B5F" w:rsidRDefault="00FB6710" w:rsidP="007276E0">
      <w:pPr>
        <w:spacing w:line="240" w:lineRule="auto"/>
        <w:ind w:left="567" w:right="-3" w:hanging="567"/>
        <w:rPr>
          <w:del w:id="13215" w:author="AbbVie_HU_03" w:date="2025-05-14T16:41:00Z"/>
          <w:szCs w:val="22"/>
        </w:rPr>
      </w:pPr>
    </w:p>
    <w:p w14:paraId="1A1AA5D5" w14:textId="06E07556" w:rsidR="00FB6710" w:rsidRPr="00183B5F" w:rsidRDefault="00943743" w:rsidP="007276E0">
      <w:pPr>
        <w:spacing w:line="240" w:lineRule="auto"/>
        <w:ind w:right="-3"/>
        <w:rPr>
          <w:del w:id="13216" w:author="AbbVie_HU_03" w:date="2025-05-14T16:41:00Z"/>
          <w:szCs w:val="22"/>
        </w:rPr>
      </w:pPr>
      <w:del w:id="13217" w:author="AbbVie_HU_03" w:date="2025-05-14T16:41:00Z">
        <w:r w:rsidRPr="00183B5F">
          <w:rPr>
            <w:szCs w:val="22"/>
          </w:rPr>
          <w:delText>7.</w:delText>
        </w:r>
        <w:r w:rsidRPr="00183B5F">
          <w:rPr>
            <w:szCs w:val="22"/>
          </w:rPr>
          <w:tab/>
          <w:delText xml:space="preserve">Az </w:delText>
        </w:r>
        <w:r w:rsidR="009053F7" w:rsidRPr="00183B5F">
          <w:rPr>
            <w:szCs w:val="22"/>
          </w:rPr>
          <w:delText>előretöltött</w:delText>
        </w:r>
        <w:r w:rsidRPr="00183B5F">
          <w:rPr>
            <w:szCs w:val="22"/>
          </w:rPr>
          <w:delText xml:space="preserve"> </w:delText>
        </w:r>
        <w:r w:rsidR="002A0B34" w:rsidRPr="00183B5F">
          <w:rPr>
            <w:szCs w:val="22"/>
          </w:rPr>
          <w:delText xml:space="preserve">injekciós </w:delText>
        </w:r>
        <w:r w:rsidRPr="00183B5F">
          <w:rPr>
            <w:szCs w:val="22"/>
          </w:rPr>
          <w:delText>tollat a beszúrás tengelyében (merőlegesen) tartva emelje el a bőrről. Az injekciós tű fehér védőhüvelye ekkor előemelkedik a készüléktestből, majd rögzül a tű hegye felett. Ne próbálja megérinteni a tűt. A fehér színű védőhüvely</w:delText>
        </w:r>
        <w:r w:rsidR="009053F7" w:rsidRPr="00183B5F">
          <w:rPr>
            <w:szCs w:val="22"/>
          </w:rPr>
          <w:delText xml:space="preserve"> megakadályozza, hogy megérintse a tűt</w:delText>
        </w:r>
        <w:r w:rsidRPr="00183B5F">
          <w:rPr>
            <w:szCs w:val="22"/>
          </w:rPr>
          <w:delText>.</w:delText>
        </w:r>
      </w:del>
    </w:p>
    <w:p w14:paraId="0B589B06" w14:textId="6C020C07" w:rsidR="003937D1" w:rsidRPr="00183B5F" w:rsidRDefault="003937D1" w:rsidP="007276E0">
      <w:pPr>
        <w:spacing w:line="240" w:lineRule="auto"/>
        <w:ind w:right="-3"/>
        <w:rPr>
          <w:del w:id="13218" w:author="AbbVie_HU_03" w:date="2025-05-14T16:41:00Z"/>
          <w:szCs w:val="22"/>
        </w:rPr>
      </w:pPr>
    </w:p>
    <w:tbl>
      <w:tblPr>
        <w:tblW w:w="0" w:type="auto"/>
        <w:jc w:val="center"/>
        <w:tblLook w:val="01E0" w:firstRow="1" w:lastRow="1" w:firstColumn="1" w:lastColumn="1" w:noHBand="0" w:noVBand="0"/>
      </w:tblPr>
      <w:tblGrid>
        <w:gridCol w:w="2856"/>
        <w:gridCol w:w="1733"/>
        <w:gridCol w:w="2796"/>
        <w:gridCol w:w="1686"/>
      </w:tblGrid>
      <w:tr w:rsidR="00011D2F" w14:paraId="08C8D106" w14:textId="1001B5D1" w:rsidTr="008634A7">
        <w:trPr>
          <w:jc w:val="center"/>
          <w:del w:id="13219" w:author="AbbVie_HU_03" w:date="2025-05-14T16:41:00Z"/>
        </w:trPr>
        <w:tc>
          <w:tcPr>
            <w:tcW w:w="2321" w:type="dxa"/>
          </w:tcPr>
          <w:p w14:paraId="613FE2F6" w14:textId="6A816FDB" w:rsidR="0068490A" w:rsidRPr="00183B5F" w:rsidRDefault="00943743" w:rsidP="007276E0">
            <w:pPr>
              <w:pStyle w:val="EMEANormal"/>
              <w:rPr>
                <w:del w:id="13220" w:author="AbbVie_HU_03" w:date="2025-05-14T16:41:00Z"/>
                <w:lang w:val="hu-HU"/>
              </w:rPr>
            </w:pPr>
            <w:del w:id="13221" w:author="AbbVie_HU_03" w:date="2025-05-14T16:41:00Z">
              <w:r w:rsidRPr="005C4B06">
                <w:rPr>
                  <w:noProof/>
                  <w:lang w:val="en-GB"/>
                </w:rPr>
                <w:drawing>
                  <wp:inline distT="0" distB="0" distL="0" distR="0" wp14:anchorId="2A0575FD" wp14:editId="2E8C26C7">
                    <wp:extent cx="1673225" cy="1656080"/>
                    <wp:effectExtent l="0" t="0" r="3175" b="1270"/>
                    <wp:docPr id="56" name="Kép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Kép 26"/>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1673225" cy="1656080"/>
                            </a:xfrm>
                            <a:prstGeom prst="rect">
                              <a:avLst/>
                            </a:prstGeom>
                            <a:noFill/>
                            <a:ln>
                              <a:noFill/>
                            </a:ln>
                          </pic:spPr>
                        </pic:pic>
                      </a:graphicData>
                    </a:graphic>
                  </wp:inline>
                </w:drawing>
              </w:r>
            </w:del>
          </w:p>
        </w:tc>
        <w:tc>
          <w:tcPr>
            <w:tcW w:w="2322" w:type="dxa"/>
          </w:tcPr>
          <w:p w14:paraId="6AF2D088" w14:textId="02AD0D50" w:rsidR="0068490A" w:rsidRPr="00183B5F" w:rsidRDefault="0068490A" w:rsidP="007276E0">
            <w:pPr>
              <w:pStyle w:val="EMEANormal"/>
              <w:rPr>
                <w:del w:id="13222" w:author="AbbVie_HU_03" w:date="2025-05-14T16:41:00Z"/>
                <w:lang w:val="hu-HU"/>
              </w:rPr>
            </w:pPr>
          </w:p>
          <w:p w14:paraId="0036D118" w14:textId="2C4FE935" w:rsidR="0068490A" w:rsidRPr="00183B5F" w:rsidRDefault="00943743" w:rsidP="007276E0">
            <w:pPr>
              <w:tabs>
                <w:tab w:val="left" w:pos="3190"/>
              </w:tabs>
              <w:spacing w:line="240" w:lineRule="auto"/>
              <w:rPr>
                <w:del w:id="13223" w:author="AbbVie_HU_03" w:date="2025-05-14T16:41:00Z"/>
              </w:rPr>
            </w:pPr>
            <w:del w:id="13224" w:author="AbbVie_HU_03" w:date="2025-05-14T16:41:00Z">
              <w:r w:rsidRPr="00183B5F">
                <w:delText>Fehér</w:delText>
              </w:r>
            </w:del>
          </w:p>
          <w:p w14:paraId="5200378C" w14:textId="2424ECB3" w:rsidR="0068490A" w:rsidRPr="00183B5F" w:rsidRDefault="00943743" w:rsidP="007276E0">
            <w:pPr>
              <w:pStyle w:val="EMEANormal"/>
              <w:rPr>
                <w:del w:id="13225" w:author="AbbVie_HU_03" w:date="2025-05-14T16:41:00Z"/>
                <w:lang w:val="hu-HU"/>
              </w:rPr>
            </w:pPr>
            <w:del w:id="13226" w:author="AbbVie_HU_03" w:date="2025-05-14T16:41:00Z">
              <w:r w:rsidRPr="00183B5F">
                <w:rPr>
                  <w:lang w:val="hu-HU"/>
                </w:rPr>
                <w:delText>védőhüvely</w:delText>
              </w:r>
            </w:del>
          </w:p>
        </w:tc>
        <w:tc>
          <w:tcPr>
            <w:tcW w:w="2322" w:type="dxa"/>
          </w:tcPr>
          <w:p w14:paraId="6D5FC7AE" w14:textId="1E59044A" w:rsidR="0068490A" w:rsidRPr="00183B5F" w:rsidRDefault="00943743" w:rsidP="007276E0">
            <w:pPr>
              <w:pStyle w:val="EMEANormal"/>
              <w:rPr>
                <w:del w:id="13227" w:author="AbbVie_HU_03" w:date="2025-05-14T16:41:00Z"/>
                <w:lang w:val="hu-HU"/>
              </w:rPr>
            </w:pPr>
            <w:del w:id="13228" w:author="AbbVie_HU_03" w:date="2025-05-14T16:41:00Z">
              <w:r w:rsidRPr="005C4B06">
                <w:rPr>
                  <w:noProof/>
                  <w:lang w:val="en-GB"/>
                </w:rPr>
                <w:drawing>
                  <wp:inline distT="0" distB="0" distL="0" distR="0" wp14:anchorId="51B87F27" wp14:editId="2DF2D35C">
                    <wp:extent cx="1630680" cy="1656080"/>
                    <wp:effectExtent l="0" t="0" r="7620" b="1270"/>
                    <wp:docPr id="57" name="Kép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Kép 27"/>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1630680" cy="1656080"/>
                            </a:xfrm>
                            <a:prstGeom prst="rect">
                              <a:avLst/>
                            </a:prstGeom>
                            <a:noFill/>
                            <a:ln>
                              <a:noFill/>
                            </a:ln>
                          </pic:spPr>
                        </pic:pic>
                      </a:graphicData>
                    </a:graphic>
                  </wp:inline>
                </w:drawing>
              </w:r>
            </w:del>
          </w:p>
        </w:tc>
        <w:tc>
          <w:tcPr>
            <w:tcW w:w="2322" w:type="dxa"/>
          </w:tcPr>
          <w:p w14:paraId="0E7C53ED" w14:textId="58065429" w:rsidR="0068490A" w:rsidRPr="00183B5F" w:rsidRDefault="0068490A" w:rsidP="007276E0">
            <w:pPr>
              <w:pStyle w:val="EMEANormal"/>
              <w:rPr>
                <w:del w:id="13229" w:author="AbbVie_HU_03" w:date="2025-05-14T16:41:00Z"/>
                <w:lang w:val="hu-HU"/>
              </w:rPr>
            </w:pPr>
          </w:p>
          <w:p w14:paraId="52AC6C5C" w14:textId="05D79B77" w:rsidR="0068490A" w:rsidRPr="00183B5F" w:rsidRDefault="0068490A" w:rsidP="007276E0">
            <w:pPr>
              <w:pStyle w:val="EMEANormal"/>
              <w:rPr>
                <w:del w:id="13230" w:author="AbbVie_HU_03" w:date="2025-05-14T16:41:00Z"/>
                <w:lang w:val="hu-HU"/>
              </w:rPr>
            </w:pPr>
          </w:p>
          <w:p w14:paraId="3BC5E747" w14:textId="3B73CD4B" w:rsidR="0068490A" w:rsidRPr="00183B5F" w:rsidRDefault="0068490A" w:rsidP="007276E0">
            <w:pPr>
              <w:pStyle w:val="EMEANormal"/>
              <w:rPr>
                <w:del w:id="13231" w:author="AbbVie_HU_03" w:date="2025-05-14T16:41:00Z"/>
                <w:lang w:val="hu-HU"/>
              </w:rPr>
            </w:pPr>
          </w:p>
          <w:p w14:paraId="3246712D" w14:textId="22D90C30" w:rsidR="0068490A" w:rsidRPr="00183B5F" w:rsidRDefault="00943743" w:rsidP="007276E0">
            <w:pPr>
              <w:pStyle w:val="EMEANormal"/>
              <w:rPr>
                <w:del w:id="13232" w:author="AbbVie_HU_03" w:date="2025-05-14T16:41:00Z"/>
                <w:lang w:val="hu-HU"/>
              </w:rPr>
            </w:pPr>
            <w:del w:id="13233" w:author="AbbVie_HU_03" w:date="2025-05-14T16:41:00Z">
              <w:r w:rsidRPr="00183B5F">
                <w:rPr>
                  <w:lang w:val="hu-HU"/>
                </w:rPr>
                <w:delText>Ablak</w:delText>
              </w:r>
            </w:del>
          </w:p>
          <w:p w14:paraId="537091C8" w14:textId="7BB54DF3" w:rsidR="0068490A" w:rsidRPr="00183B5F" w:rsidRDefault="0068490A" w:rsidP="007276E0">
            <w:pPr>
              <w:pStyle w:val="EMEANormal"/>
              <w:rPr>
                <w:del w:id="13234" w:author="AbbVie_HU_03" w:date="2025-05-14T16:41:00Z"/>
                <w:lang w:val="hu-HU"/>
              </w:rPr>
            </w:pPr>
          </w:p>
          <w:p w14:paraId="2095759B" w14:textId="3C833F94" w:rsidR="0068490A" w:rsidRPr="00183B5F" w:rsidRDefault="00943743" w:rsidP="007276E0">
            <w:pPr>
              <w:tabs>
                <w:tab w:val="left" w:pos="7370"/>
              </w:tabs>
              <w:spacing w:line="240" w:lineRule="auto"/>
              <w:rPr>
                <w:del w:id="13235" w:author="AbbVie_HU_03" w:date="2025-05-14T16:41:00Z"/>
              </w:rPr>
            </w:pPr>
            <w:del w:id="13236" w:author="AbbVie_HU_03" w:date="2025-05-14T16:41:00Z">
              <w:r w:rsidRPr="00183B5F">
                <w:delText>Megjelenő sárga indikátor</w:delText>
              </w:r>
            </w:del>
          </w:p>
          <w:p w14:paraId="20CD8DE2" w14:textId="122AD388" w:rsidR="0068490A" w:rsidRPr="00183B5F" w:rsidRDefault="0068490A" w:rsidP="007276E0">
            <w:pPr>
              <w:pStyle w:val="EMEANormal"/>
              <w:rPr>
                <w:del w:id="13237" w:author="AbbVie_HU_03" w:date="2025-05-14T16:41:00Z"/>
                <w:lang w:val="hu-HU"/>
              </w:rPr>
            </w:pPr>
          </w:p>
        </w:tc>
      </w:tr>
    </w:tbl>
    <w:p w14:paraId="1B079651" w14:textId="2CA8C940" w:rsidR="003937D1" w:rsidRPr="00183B5F" w:rsidRDefault="003937D1" w:rsidP="007276E0">
      <w:pPr>
        <w:spacing w:line="240" w:lineRule="auto"/>
        <w:ind w:left="567" w:right="-3" w:hanging="567"/>
        <w:rPr>
          <w:del w:id="13238" w:author="AbbVie_HU_03" w:date="2025-05-14T16:41:00Z"/>
          <w:szCs w:val="22"/>
        </w:rPr>
      </w:pPr>
    </w:p>
    <w:p w14:paraId="0D1E71AD" w14:textId="68B27B51" w:rsidR="00FB6710" w:rsidRPr="00183B5F" w:rsidRDefault="00943743" w:rsidP="007276E0">
      <w:pPr>
        <w:spacing w:line="240" w:lineRule="auto"/>
        <w:ind w:left="567" w:right="-3" w:hanging="567"/>
        <w:rPr>
          <w:del w:id="13239" w:author="AbbVie_HU_03" w:date="2025-05-14T16:41:00Z"/>
          <w:szCs w:val="22"/>
        </w:rPr>
      </w:pPr>
      <w:del w:id="13240" w:author="AbbVie_HU_03" w:date="2025-05-14T16:41:00Z">
        <w:r w:rsidRPr="00183B5F">
          <w:rPr>
            <w:szCs w:val="22"/>
          </w:rPr>
          <w:delText>8.</w:delText>
        </w:r>
        <w:r w:rsidRPr="00183B5F">
          <w:rPr>
            <w:szCs w:val="22"/>
          </w:rPr>
          <w:tab/>
          <w:delText>Az injekció beadásának helyén vércsepp jelenhet meg. Ebben az esetben vattapamaccsal vagy gézdarabbal 10 másodpercen keresztül nyomást fejthet ki az injekció helyére – azt dörzsölni nem szabad. Ha kívánja, fedje sebtapasszal a beszúrás helyét.</w:delText>
        </w:r>
      </w:del>
    </w:p>
    <w:p w14:paraId="63FBC1ED" w14:textId="2231B1D0" w:rsidR="00FB6710" w:rsidRPr="00183B5F" w:rsidRDefault="00FB6710" w:rsidP="007276E0">
      <w:pPr>
        <w:spacing w:line="240" w:lineRule="auto"/>
        <w:ind w:left="567" w:right="-3" w:hanging="567"/>
        <w:rPr>
          <w:del w:id="13241" w:author="AbbVie_HU_03" w:date="2025-05-14T16:41:00Z"/>
          <w:szCs w:val="22"/>
        </w:rPr>
      </w:pPr>
    </w:p>
    <w:p w14:paraId="4C4B9742" w14:textId="16199E2D" w:rsidR="00FB6710" w:rsidRPr="00183B5F" w:rsidRDefault="00943743" w:rsidP="007276E0">
      <w:pPr>
        <w:spacing w:line="240" w:lineRule="auto"/>
        <w:ind w:left="567" w:right="-3" w:hanging="567"/>
        <w:rPr>
          <w:del w:id="13242" w:author="AbbVie_HU_03" w:date="2025-05-14T16:41:00Z"/>
          <w:b/>
          <w:bCs/>
          <w:szCs w:val="22"/>
        </w:rPr>
      </w:pPr>
      <w:del w:id="13243" w:author="AbbVie_HU_03" w:date="2025-05-14T16:41:00Z">
        <w:r w:rsidRPr="00183B5F">
          <w:rPr>
            <w:b/>
            <w:bCs/>
            <w:szCs w:val="22"/>
          </w:rPr>
          <w:delText>Az alkalmazott eszközök eldobása</w:delText>
        </w:r>
      </w:del>
    </w:p>
    <w:p w14:paraId="0AF6A9FA" w14:textId="6FD5E7EE" w:rsidR="00FB6710" w:rsidRPr="00183B5F" w:rsidRDefault="00FB6710" w:rsidP="007276E0">
      <w:pPr>
        <w:spacing w:line="240" w:lineRule="auto"/>
        <w:ind w:left="567" w:right="-3" w:hanging="567"/>
        <w:rPr>
          <w:del w:id="13244" w:author="AbbVie_HU_03" w:date="2025-05-14T16:41:00Z"/>
          <w:b/>
          <w:bCs/>
          <w:szCs w:val="22"/>
        </w:rPr>
      </w:pPr>
    </w:p>
    <w:p w14:paraId="33E39DFC" w14:textId="76B50887" w:rsidR="009A4E58" w:rsidRPr="00183B5F" w:rsidRDefault="00943743" w:rsidP="007276E0">
      <w:pPr>
        <w:numPr>
          <w:ilvl w:val="0"/>
          <w:numId w:val="75"/>
        </w:numPr>
        <w:spacing w:line="240" w:lineRule="auto"/>
        <w:ind w:left="567" w:right="-3" w:hanging="567"/>
        <w:rPr>
          <w:del w:id="13245" w:author="AbbVie_HU_03" w:date="2025-05-14T16:41:00Z"/>
          <w:szCs w:val="22"/>
        </w:rPr>
      </w:pPr>
      <w:del w:id="13246" w:author="AbbVie_HU_03" w:date="2025-05-14T16:41:00Z">
        <w:r w:rsidRPr="00183B5F">
          <w:rPr>
            <w:szCs w:val="22"/>
          </w:rPr>
          <w:delText xml:space="preserve">Az </w:delText>
        </w:r>
        <w:r w:rsidR="00FB6710" w:rsidRPr="00183B5F">
          <w:rPr>
            <w:szCs w:val="22"/>
          </w:rPr>
          <w:delText>előretöltött</w:delText>
        </w:r>
        <w:r w:rsidR="00640E67" w:rsidRPr="00183B5F">
          <w:rPr>
            <w:szCs w:val="22"/>
          </w:rPr>
          <w:delText xml:space="preserve"> inkekciós</w:delText>
        </w:r>
        <w:r w:rsidR="00FB6710" w:rsidRPr="00183B5F">
          <w:rPr>
            <w:szCs w:val="22"/>
          </w:rPr>
          <w:delText xml:space="preserve"> toll csak egy injekció beadására használ</w:delText>
        </w:r>
        <w:r w:rsidRPr="00183B5F">
          <w:rPr>
            <w:szCs w:val="22"/>
          </w:rPr>
          <w:delText>ható</w:delText>
        </w:r>
        <w:r w:rsidR="00FB6710" w:rsidRPr="00183B5F">
          <w:rPr>
            <w:szCs w:val="22"/>
          </w:rPr>
          <w:delText xml:space="preserve">. </w:delText>
        </w:r>
        <w:r w:rsidRPr="00183B5F">
          <w:rPr>
            <w:szCs w:val="22"/>
          </w:rPr>
          <w:delText>A</w:delText>
        </w:r>
        <w:r w:rsidR="00FB6710" w:rsidRPr="00183B5F">
          <w:rPr>
            <w:szCs w:val="22"/>
          </w:rPr>
          <w:delText xml:space="preserve"> kupakot </w:delText>
        </w:r>
        <w:r w:rsidRPr="00183B5F">
          <w:rPr>
            <w:szCs w:val="22"/>
          </w:rPr>
          <w:delText>n</w:delText>
        </w:r>
        <w:r w:rsidR="00FB6710" w:rsidRPr="00183B5F">
          <w:rPr>
            <w:szCs w:val="22"/>
          </w:rPr>
          <w:delText xml:space="preserve">e helyezze vissza az előretöltött </w:delText>
        </w:r>
        <w:r w:rsidR="00640E67" w:rsidRPr="00183B5F">
          <w:rPr>
            <w:szCs w:val="22"/>
          </w:rPr>
          <w:delText xml:space="preserve">injekciós </w:delText>
        </w:r>
        <w:r w:rsidR="00FB6710" w:rsidRPr="00183B5F">
          <w:rPr>
            <w:szCs w:val="22"/>
          </w:rPr>
          <w:delText xml:space="preserve">tollra. </w:delText>
        </w:r>
      </w:del>
    </w:p>
    <w:p w14:paraId="3E308EEF" w14:textId="13246D3C" w:rsidR="009A4E58" w:rsidRPr="00183B5F" w:rsidRDefault="00943743" w:rsidP="007276E0">
      <w:pPr>
        <w:numPr>
          <w:ilvl w:val="0"/>
          <w:numId w:val="75"/>
        </w:numPr>
        <w:spacing w:line="240" w:lineRule="auto"/>
        <w:ind w:left="567" w:right="-3" w:hanging="567"/>
        <w:rPr>
          <w:del w:id="13247" w:author="AbbVie_HU_03" w:date="2025-05-14T16:41:00Z"/>
          <w:szCs w:val="22"/>
        </w:rPr>
      </w:pPr>
      <w:del w:id="13248" w:author="AbbVie_HU_03" w:date="2025-05-14T16:41:00Z">
        <w:r w:rsidRPr="00183B5F">
          <w:rPr>
            <w:szCs w:val="22"/>
          </w:rPr>
          <w:delText>A Humira be</w:delText>
        </w:r>
        <w:r w:rsidR="009053F7" w:rsidRPr="00183B5F">
          <w:rPr>
            <w:szCs w:val="22"/>
          </w:rPr>
          <w:delText>adá</w:delText>
        </w:r>
        <w:r w:rsidRPr="00183B5F">
          <w:rPr>
            <w:szCs w:val="22"/>
          </w:rPr>
          <w:delText xml:space="preserve">sa után </w:delText>
        </w:r>
        <w:r w:rsidR="009053F7" w:rsidRPr="00183B5F">
          <w:rPr>
            <w:szCs w:val="22"/>
          </w:rPr>
          <w:delText xml:space="preserve">a használt injekciós tollat </w:delText>
        </w:r>
        <w:r w:rsidRPr="00183B5F">
          <w:rPr>
            <w:szCs w:val="22"/>
          </w:rPr>
          <w:delText>az orvos, a nővér vagy a gyógyszerész útmutatásának megfelelően haladéktalanul dobja egy speciális gyűjtőedénybe.</w:delText>
        </w:r>
      </w:del>
    </w:p>
    <w:p w14:paraId="67E83E1D" w14:textId="6A3726C1" w:rsidR="00FB6710" w:rsidRPr="00183B5F" w:rsidRDefault="00943743" w:rsidP="007276E0">
      <w:pPr>
        <w:numPr>
          <w:ilvl w:val="0"/>
          <w:numId w:val="75"/>
        </w:numPr>
        <w:spacing w:line="240" w:lineRule="auto"/>
        <w:ind w:left="567" w:right="-3" w:hanging="567"/>
        <w:rPr>
          <w:del w:id="13249" w:author="AbbVie_HU_03" w:date="2025-05-14T16:41:00Z"/>
          <w:szCs w:val="22"/>
        </w:rPr>
      </w:pPr>
      <w:del w:id="13250" w:author="AbbVie_HU_03" w:date="2025-05-14T16:41:00Z">
        <w:r w:rsidRPr="00183B5F">
          <w:rPr>
            <w:szCs w:val="22"/>
          </w:rPr>
          <w:delText>Ezt a gyűjtőedényt gyermekek elől elzárva kell tartani.</w:delText>
        </w:r>
      </w:del>
    </w:p>
    <w:p w14:paraId="53A3CFD3" w14:textId="60D6A33C" w:rsidR="00FB6710" w:rsidRPr="00183B5F" w:rsidRDefault="00FB6710" w:rsidP="007276E0">
      <w:pPr>
        <w:spacing w:line="240" w:lineRule="auto"/>
        <w:ind w:right="-3"/>
        <w:rPr>
          <w:del w:id="13251" w:author="AbbVie_HU_03" w:date="2025-05-14T16:41:00Z"/>
          <w:szCs w:val="22"/>
        </w:rPr>
      </w:pPr>
    </w:p>
    <w:p w14:paraId="4E68C411" w14:textId="61B068BC" w:rsidR="00FB6710" w:rsidRPr="00183B5F" w:rsidRDefault="00943743" w:rsidP="007276E0">
      <w:pPr>
        <w:keepNext/>
        <w:spacing w:line="240" w:lineRule="auto"/>
        <w:rPr>
          <w:del w:id="13252" w:author="AbbVie_HU_03" w:date="2025-05-14T16:41:00Z"/>
          <w:b/>
          <w:szCs w:val="22"/>
        </w:rPr>
      </w:pPr>
      <w:del w:id="13253" w:author="AbbVie_HU_03" w:date="2025-05-14T16:41:00Z">
        <w:r w:rsidRPr="00183B5F">
          <w:rPr>
            <w:b/>
            <w:szCs w:val="22"/>
          </w:rPr>
          <w:delText xml:space="preserve">Ha az előírtnál több </w:delText>
        </w:r>
        <w:r w:rsidRPr="00183B5F">
          <w:rPr>
            <w:b/>
            <w:bCs/>
            <w:szCs w:val="22"/>
          </w:rPr>
          <w:delText>Humira</w:delText>
        </w:r>
        <w:r w:rsidR="00141743" w:rsidRPr="00183B5F">
          <w:rPr>
            <w:b/>
            <w:bCs/>
            <w:szCs w:val="22"/>
          </w:rPr>
          <w:noBreakHyphen/>
        </w:r>
        <w:r w:rsidRPr="00183B5F">
          <w:rPr>
            <w:b/>
            <w:bCs/>
            <w:szCs w:val="22"/>
          </w:rPr>
          <w:delText>t</w:delText>
        </w:r>
        <w:r w:rsidRPr="00183B5F">
          <w:rPr>
            <w:b/>
            <w:szCs w:val="22"/>
          </w:rPr>
          <w:delText xml:space="preserve"> alkalmazott</w:delText>
        </w:r>
        <w:r w:rsidR="00135BAE" w:rsidRPr="00183B5F">
          <w:rPr>
            <w:b/>
            <w:szCs w:val="22"/>
          </w:rPr>
          <w:delText>:</w:delText>
        </w:r>
      </w:del>
    </w:p>
    <w:p w14:paraId="2436A807" w14:textId="47AECFA2" w:rsidR="00FB6710" w:rsidRPr="00183B5F" w:rsidRDefault="00FB6710" w:rsidP="007276E0">
      <w:pPr>
        <w:keepNext/>
        <w:spacing w:line="240" w:lineRule="auto"/>
        <w:rPr>
          <w:del w:id="13254" w:author="AbbVie_HU_03" w:date="2025-05-14T16:41:00Z"/>
          <w:b/>
          <w:szCs w:val="22"/>
        </w:rPr>
      </w:pPr>
    </w:p>
    <w:p w14:paraId="5FD8E4F0" w14:textId="1A71DE57" w:rsidR="00F265C6" w:rsidRPr="00183B5F" w:rsidRDefault="00943743" w:rsidP="007276E0">
      <w:pPr>
        <w:keepNext/>
        <w:spacing w:line="240" w:lineRule="auto"/>
        <w:rPr>
          <w:del w:id="13255" w:author="AbbVie_HU_03" w:date="2025-05-14T16:41:00Z"/>
          <w:szCs w:val="22"/>
        </w:rPr>
      </w:pPr>
      <w:del w:id="13256" w:author="AbbVie_HU_03" w:date="2025-05-14T16:41:00Z">
        <w:r w:rsidRPr="00183B5F">
          <w:rPr>
            <w:szCs w:val="22"/>
          </w:rPr>
          <w:delText>Ha véletlenül a kezelőorvosa vagy gyógyszerésze által előírtnál gyakrabban alkalmazta a Humira-t, azonnal közölje ezt kezelőorvosával vagy gyógyszerészével. Őrizze meg a külső csomagolást, abban az esetben is, ha üres.</w:delText>
        </w:r>
      </w:del>
    </w:p>
    <w:p w14:paraId="1ED3C792" w14:textId="1D6B81A8" w:rsidR="00FB6710" w:rsidRPr="00183B5F" w:rsidRDefault="00FB6710" w:rsidP="007276E0">
      <w:pPr>
        <w:spacing w:line="240" w:lineRule="auto"/>
        <w:ind w:right="-2"/>
        <w:rPr>
          <w:del w:id="13257" w:author="AbbVie_HU_03" w:date="2025-05-14T16:41:00Z"/>
          <w:szCs w:val="22"/>
        </w:rPr>
      </w:pPr>
    </w:p>
    <w:p w14:paraId="3D9BF399" w14:textId="2ACC0451" w:rsidR="00FB6710" w:rsidRPr="00183B5F" w:rsidRDefault="00943743" w:rsidP="007276E0">
      <w:pPr>
        <w:keepNext/>
        <w:spacing w:line="240" w:lineRule="auto"/>
        <w:rPr>
          <w:del w:id="13258" w:author="AbbVie_HU_03" w:date="2025-05-14T16:41:00Z"/>
          <w:b/>
          <w:szCs w:val="22"/>
        </w:rPr>
      </w:pPr>
      <w:del w:id="13259" w:author="AbbVie_HU_03" w:date="2025-05-14T16:41:00Z">
        <w:r w:rsidRPr="00183B5F">
          <w:rPr>
            <w:b/>
            <w:szCs w:val="22"/>
          </w:rPr>
          <w:delText>Ha elfelejtette alkalmazni a</w:delText>
        </w:r>
        <w:r w:rsidRPr="00183B5F">
          <w:rPr>
            <w:b/>
            <w:bCs/>
            <w:szCs w:val="22"/>
          </w:rPr>
          <w:delText xml:space="preserve"> Humira</w:delText>
        </w:r>
        <w:r w:rsidR="00141743" w:rsidRPr="00183B5F">
          <w:rPr>
            <w:b/>
            <w:bCs/>
            <w:szCs w:val="22"/>
          </w:rPr>
          <w:noBreakHyphen/>
        </w:r>
        <w:r w:rsidRPr="00183B5F">
          <w:rPr>
            <w:b/>
            <w:bCs/>
            <w:szCs w:val="22"/>
          </w:rPr>
          <w:delText>t</w:delText>
        </w:r>
        <w:r w:rsidR="00135BAE" w:rsidRPr="00183B5F">
          <w:rPr>
            <w:b/>
            <w:bCs/>
            <w:szCs w:val="22"/>
          </w:rPr>
          <w:delText>:</w:delText>
        </w:r>
      </w:del>
    </w:p>
    <w:p w14:paraId="22DCF9F8" w14:textId="6FCE61C1" w:rsidR="00950A14" w:rsidRPr="00183B5F" w:rsidRDefault="00950A14" w:rsidP="007276E0">
      <w:pPr>
        <w:keepNext/>
        <w:spacing w:line="240" w:lineRule="auto"/>
        <w:rPr>
          <w:del w:id="13260" w:author="AbbVie_HU_03" w:date="2025-05-14T16:41:00Z"/>
          <w:szCs w:val="22"/>
        </w:rPr>
      </w:pPr>
    </w:p>
    <w:p w14:paraId="126E5A37" w14:textId="33570FF9" w:rsidR="00FB6710" w:rsidRPr="00183B5F" w:rsidRDefault="00943743" w:rsidP="007276E0">
      <w:pPr>
        <w:keepNext/>
        <w:spacing w:line="240" w:lineRule="auto"/>
        <w:rPr>
          <w:del w:id="13261" w:author="AbbVie_HU_03" w:date="2025-05-14T16:41:00Z"/>
          <w:szCs w:val="22"/>
        </w:rPr>
      </w:pPr>
      <w:del w:id="13262" w:author="AbbVie_HU_03" w:date="2025-05-14T16:41:00Z">
        <w:r w:rsidRPr="00183B5F">
          <w:rPr>
            <w:szCs w:val="22"/>
          </w:rPr>
          <w:delText>Ha elfelejtette beadni az injekciót, adja be a következő Humira adagot rögtön, amikor eszébe jutott. A következő adagot az eredeti kezelési terv alapján meghatározott napon alkalmazza, úgy mintha az előző adagot az előírás szerinti időpontban adta volna be.</w:delText>
        </w:r>
      </w:del>
    </w:p>
    <w:p w14:paraId="2E87AF85" w14:textId="2E0C97D4" w:rsidR="00FB6710" w:rsidRPr="00183B5F" w:rsidRDefault="00FB6710" w:rsidP="007276E0">
      <w:pPr>
        <w:spacing w:line="240" w:lineRule="auto"/>
        <w:ind w:right="-2"/>
        <w:rPr>
          <w:del w:id="13263" w:author="AbbVie_HU_03" w:date="2025-05-14T16:41:00Z"/>
          <w:szCs w:val="22"/>
        </w:rPr>
      </w:pPr>
    </w:p>
    <w:p w14:paraId="26655C5B" w14:textId="5C30CF48" w:rsidR="00F265C6" w:rsidRPr="00183B5F" w:rsidRDefault="00943743" w:rsidP="007276E0">
      <w:pPr>
        <w:spacing w:line="240" w:lineRule="auto"/>
        <w:ind w:right="-2"/>
        <w:rPr>
          <w:del w:id="13264" w:author="AbbVie_HU_03" w:date="2025-05-14T16:41:00Z"/>
          <w:b/>
        </w:rPr>
      </w:pPr>
      <w:del w:id="13265" w:author="AbbVie_HU_03" w:date="2025-05-14T16:41:00Z">
        <w:r w:rsidRPr="00183B5F">
          <w:rPr>
            <w:b/>
          </w:rPr>
          <w:delText>Ha idő előtt abbahagyja a Humira alkalmazását</w:delText>
        </w:r>
        <w:r w:rsidR="00135BAE" w:rsidRPr="00183B5F">
          <w:rPr>
            <w:b/>
          </w:rPr>
          <w:delText>:</w:delText>
        </w:r>
      </w:del>
    </w:p>
    <w:p w14:paraId="1994DD23" w14:textId="578CE3CF" w:rsidR="00F265C6" w:rsidRPr="00183B5F" w:rsidRDefault="00F265C6" w:rsidP="007276E0">
      <w:pPr>
        <w:spacing w:line="240" w:lineRule="auto"/>
        <w:ind w:right="-2"/>
        <w:rPr>
          <w:del w:id="13266" w:author="AbbVie_HU_03" w:date="2025-05-14T16:41:00Z"/>
        </w:rPr>
      </w:pPr>
    </w:p>
    <w:p w14:paraId="7EF44587" w14:textId="700B3940" w:rsidR="00F265C6" w:rsidRPr="00183B5F" w:rsidRDefault="00943743" w:rsidP="007276E0">
      <w:pPr>
        <w:spacing w:line="240" w:lineRule="auto"/>
        <w:ind w:right="-2"/>
        <w:rPr>
          <w:del w:id="13267" w:author="AbbVie_HU_03" w:date="2025-05-14T16:41:00Z"/>
          <w:szCs w:val="22"/>
        </w:rPr>
      </w:pPr>
      <w:del w:id="13268" w:author="AbbVie_HU_03" w:date="2025-05-14T16:41:00Z">
        <w:r w:rsidRPr="00183B5F">
          <w:rPr>
            <w:szCs w:val="22"/>
          </w:rPr>
          <w:delText>A döntést, hogy abbahagyja a Humira alkalmazását, meg kell beszélni kezelőorvosával. Tünetei visszatérhetnek, ha abbahagyja a kezelést.</w:delText>
        </w:r>
      </w:del>
    </w:p>
    <w:p w14:paraId="7C1C469F" w14:textId="79A049FA" w:rsidR="00F265C6" w:rsidRPr="00183B5F" w:rsidRDefault="00F265C6" w:rsidP="007276E0">
      <w:pPr>
        <w:spacing w:line="240" w:lineRule="auto"/>
        <w:ind w:right="-2"/>
        <w:rPr>
          <w:del w:id="13269" w:author="AbbVie_HU_03" w:date="2025-05-14T16:41:00Z"/>
          <w:szCs w:val="22"/>
        </w:rPr>
      </w:pPr>
    </w:p>
    <w:p w14:paraId="63CE4842" w14:textId="2D98AC86" w:rsidR="00FB6710" w:rsidRPr="00183B5F" w:rsidRDefault="00943743" w:rsidP="007276E0">
      <w:pPr>
        <w:spacing w:line="240" w:lineRule="auto"/>
        <w:ind w:right="-2"/>
        <w:rPr>
          <w:del w:id="13270" w:author="AbbVie_HU_03" w:date="2025-05-14T16:41:00Z"/>
          <w:szCs w:val="22"/>
        </w:rPr>
      </w:pPr>
      <w:del w:id="13271" w:author="AbbVie_HU_03" w:date="2025-05-14T16:41:00Z">
        <w:r w:rsidRPr="00183B5F">
          <w:rPr>
            <w:szCs w:val="22"/>
          </w:rPr>
          <w:delText xml:space="preserve">Ha bármilyen további kérdése van a készítmény alkalmazásával kapcsolatban, kérdezze meg </w:delText>
        </w:r>
        <w:r w:rsidR="009053F7" w:rsidRPr="00183B5F">
          <w:rPr>
            <w:szCs w:val="22"/>
          </w:rPr>
          <w:delText>kezelő</w:delText>
        </w:r>
        <w:r w:rsidRPr="00183B5F">
          <w:rPr>
            <w:szCs w:val="22"/>
          </w:rPr>
          <w:delText>orvosát vagy gyógyszerészét.</w:delText>
        </w:r>
      </w:del>
    </w:p>
    <w:p w14:paraId="7BB6E79C" w14:textId="551F4B6C" w:rsidR="00FB6710" w:rsidRPr="00183B5F" w:rsidRDefault="00FB6710" w:rsidP="007276E0">
      <w:pPr>
        <w:spacing w:line="240" w:lineRule="auto"/>
        <w:ind w:right="-2"/>
        <w:rPr>
          <w:del w:id="13272" w:author="AbbVie_HU_03" w:date="2025-05-14T16:41:00Z"/>
          <w:szCs w:val="22"/>
        </w:rPr>
      </w:pPr>
    </w:p>
    <w:p w14:paraId="32E0517F" w14:textId="2C9D57A9" w:rsidR="00FB6710" w:rsidRPr="00183B5F" w:rsidRDefault="00FB6710" w:rsidP="007276E0">
      <w:pPr>
        <w:spacing w:line="240" w:lineRule="auto"/>
        <w:ind w:right="-2"/>
        <w:rPr>
          <w:del w:id="13273" w:author="AbbVie_HU_03" w:date="2025-05-14T16:41:00Z"/>
          <w:szCs w:val="22"/>
        </w:rPr>
      </w:pPr>
    </w:p>
    <w:p w14:paraId="62A3387F" w14:textId="39EB340D" w:rsidR="00F265C6" w:rsidRPr="00183B5F" w:rsidRDefault="00943743" w:rsidP="007276E0">
      <w:pPr>
        <w:spacing w:line="240" w:lineRule="auto"/>
        <w:ind w:right="-2"/>
        <w:rPr>
          <w:del w:id="13274" w:author="AbbVie_HU_03" w:date="2025-05-14T16:41:00Z"/>
          <w:b/>
          <w:szCs w:val="22"/>
        </w:rPr>
      </w:pPr>
      <w:del w:id="13275" w:author="AbbVie_HU_03" w:date="2025-05-14T16:41:00Z">
        <w:r w:rsidRPr="00183B5F">
          <w:rPr>
            <w:b/>
            <w:szCs w:val="22"/>
          </w:rPr>
          <w:delText>4.</w:delText>
        </w:r>
        <w:r w:rsidRPr="00183B5F">
          <w:rPr>
            <w:b/>
            <w:szCs w:val="22"/>
          </w:rPr>
          <w:tab/>
          <w:delText>Lehetséges mellékhatások</w:delText>
        </w:r>
      </w:del>
    </w:p>
    <w:p w14:paraId="2ABB454B" w14:textId="0F38A626" w:rsidR="00F265C6" w:rsidRPr="00183B5F" w:rsidRDefault="00F265C6" w:rsidP="007276E0">
      <w:pPr>
        <w:spacing w:line="240" w:lineRule="auto"/>
        <w:ind w:right="-29"/>
        <w:rPr>
          <w:del w:id="13276" w:author="AbbVie_HU_03" w:date="2025-05-14T16:41:00Z"/>
          <w:szCs w:val="22"/>
        </w:rPr>
      </w:pPr>
    </w:p>
    <w:p w14:paraId="6D5E09F6" w14:textId="4EE5FF22" w:rsidR="00FB6710" w:rsidRPr="00183B5F" w:rsidRDefault="00943743" w:rsidP="007276E0">
      <w:pPr>
        <w:spacing w:line="240" w:lineRule="auto"/>
        <w:ind w:right="-2"/>
        <w:rPr>
          <w:del w:id="13277" w:author="AbbVie_HU_03" w:date="2025-05-14T16:41:00Z"/>
          <w:szCs w:val="22"/>
        </w:rPr>
      </w:pPr>
      <w:del w:id="13278" w:author="AbbVie_HU_03" w:date="2025-05-14T16:41:00Z">
        <w:r w:rsidRPr="00183B5F">
          <w:rPr>
            <w:szCs w:val="22"/>
          </w:rPr>
          <w:delText>Mint minden gyógyszer, így ez a gyógyszer is okozhat mellékhatásokat, amelyek azonban nem mindenkinél jelentkeznek. A legtöbb mellékhatás enyhe vagy közepes fokú. Néhány esetben kezelést igénylő, súlyos mellékhatás is előfordulhat.</w:delText>
        </w:r>
      </w:del>
    </w:p>
    <w:p w14:paraId="4BB119A7" w14:textId="6879A23A" w:rsidR="009A4E58" w:rsidRPr="00183B5F" w:rsidRDefault="009A4E58" w:rsidP="007276E0">
      <w:pPr>
        <w:spacing w:line="240" w:lineRule="auto"/>
        <w:ind w:right="-29"/>
        <w:rPr>
          <w:del w:id="13279" w:author="AbbVie_HU_03" w:date="2025-05-14T16:41:00Z"/>
          <w:szCs w:val="22"/>
        </w:rPr>
      </w:pPr>
    </w:p>
    <w:p w14:paraId="6431FC19" w14:textId="6D4A8916" w:rsidR="00FB6710" w:rsidRPr="00183B5F" w:rsidRDefault="00943743" w:rsidP="007276E0">
      <w:pPr>
        <w:spacing w:line="240" w:lineRule="auto"/>
        <w:ind w:right="-29"/>
        <w:rPr>
          <w:del w:id="13280" w:author="AbbVie_HU_03" w:date="2025-05-14T16:41:00Z"/>
          <w:szCs w:val="22"/>
        </w:rPr>
      </w:pPr>
      <w:del w:id="13281" w:author="AbbVie_HU_03" w:date="2025-05-14T16:41:00Z">
        <w:r w:rsidRPr="00183B5F">
          <w:rPr>
            <w:szCs w:val="22"/>
          </w:rPr>
          <w:delText xml:space="preserve">A mellékhatások az utolsó Humira injekciót követően legalább </w:delText>
        </w:r>
        <w:r w:rsidR="00EC630A" w:rsidRPr="00183B5F">
          <w:rPr>
            <w:szCs w:val="22"/>
          </w:rPr>
          <w:delText>4</w:delText>
        </w:r>
        <w:r w:rsidR="00141743" w:rsidRPr="00183B5F">
          <w:rPr>
            <w:szCs w:val="22"/>
          </w:rPr>
          <w:delText> </w:delText>
        </w:r>
        <w:r w:rsidRPr="00183B5F">
          <w:rPr>
            <w:szCs w:val="22"/>
          </w:rPr>
          <w:delText>hónapig még bekövetkezhetnek.</w:delText>
        </w:r>
      </w:del>
    </w:p>
    <w:p w14:paraId="6CA14284" w14:textId="671B121E" w:rsidR="00FB6710" w:rsidRPr="00183B5F" w:rsidRDefault="00943743" w:rsidP="007276E0">
      <w:pPr>
        <w:spacing w:line="240" w:lineRule="auto"/>
        <w:ind w:right="-29"/>
        <w:rPr>
          <w:del w:id="13282" w:author="AbbVie_HU_03" w:date="2025-05-14T16:41:00Z"/>
          <w:szCs w:val="22"/>
        </w:rPr>
      </w:pPr>
      <w:del w:id="13283" w:author="AbbVie_HU_03" w:date="2025-05-14T16:41:00Z">
        <w:r w:rsidRPr="00183B5F">
          <w:rPr>
            <w:szCs w:val="22"/>
          </w:rPr>
          <w:delText>Közölje azonnal orvosával, ha az alábbiak közül bármit észlel:</w:delText>
        </w:r>
      </w:del>
    </w:p>
    <w:p w14:paraId="0181B054" w14:textId="62CC7FB4" w:rsidR="00FB6710" w:rsidRPr="00183B5F" w:rsidRDefault="00943743" w:rsidP="007276E0">
      <w:pPr>
        <w:numPr>
          <w:ilvl w:val="0"/>
          <w:numId w:val="52"/>
        </w:numPr>
        <w:spacing w:line="240" w:lineRule="auto"/>
        <w:ind w:right="-29"/>
        <w:rPr>
          <w:del w:id="13284" w:author="AbbVie_HU_03" w:date="2025-05-14T16:41:00Z"/>
          <w:szCs w:val="22"/>
        </w:rPr>
      </w:pPr>
      <w:del w:id="13285" w:author="AbbVie_HU_03" w:date="2025-05-14T16:41:00Z">
        <w:r w:rsidRPr="00183B5F">
          <w:rPr>
            <w:szCs w:val="22"/>
          </w:rPr>
          <w:delText xml:space="preserve">súlyos </w:delText>
        </w:r>
        <w:r w:rsidR="004C50B5" w:rsidRPr="00183B5F">
          <w:rPr>
            <w:szCs w:val="22"/>
          </w:rPr>
          <w:delText>bőr</w:delText>
        </w:r>
        <w:r w:rsidRPr="00183B5F">
          <w:rPr>
            <w:szCs w:val="22"/>
          </w:rPr>
          <w:delText>kiütés, csalánkiütés vagy más allergiára utaló tünet</w:delText>
        </w:r>
        <w:r w:rsidR="00135BAE" w:rsidRPr="00183B5F">
          <w:rPr>
            <w:szCs w:val="22"/>
          </w:rPr>
          <w:delText>;</w:delText>
        </w:r>
      </w:del>
    </w:p>
    <w:p w14:paraId="6756290E" w14:textId="519AD54A" w:rsidR="00FB6710" w:rsidRPr="00183B5F" w:rsidRDefault="00943743" w:rsidP="007276E0">
      <w:pPr>
        <w:numPr>
          <w:ilvl w:val="0"/>
          <w:numId w:val="52"/>
        </w:numPr>
        <w:spacing w:line="240" w:lineRule="auto"/>
        <w:ind w:right="-29"/>
        <w:rPr>
          <w:del w:id="13286" w:author="AbbVie_HU_03" w:date="2025-05-14T16:41:00Z"/>
          <w:szCs w:val="22"/>
        </w:rPr>
      </w:pPr>
      <w:del w:id="13287" w:author="AbbVie_HU_03" w:date="2025-05-14T16:41:00Z">
        <w:r w:rsidRPr="00183B5F">
          <w:rPr>
            <w:szCs w:val="22"/>
          </w:rPr>
          <w:delText>duzzanat az arcon, k</w:delText>
        </w:r>
        <w:r w:rsidR="004C50B5" w:rsidRPr="00183B5F">
          <w:rPr>
            <w:szCs w:val="22"/>
          </w:rPr>
          <w:delText>ézen</w:delText>
        </w:r>
        <w:r w:rsidRPr="00183B5F">
          <w:rPr>
            <w:szCs w:val="22"/>
          </w:rPr>
          <w:delText xml:space="preserve"> vagy lábon</w:delText>
        </w:r>
        <w:r w:rsidR="00135BAE" w:rsidRPr="00183B5F">
          <w:rPr>
            <w:szCs w:val="22"/>
          </w:rPr>
          <w:delText>;</w:delText>
        </w:r>
      </w:del>
    </w:p>
    <w:p w14:paraId="6F71F42C" w14:textId="69886DDD" w:rsidR="00FB6710" w:rsidRPr="00183B5F" w:rsidRDefault="00943743" w:rsidP="007276E0">
      <w:pPr>
        <w:numPr>
          <w:ilvl w:val="0"/>
          <w:numId w:val="52"/>
        </w:numPr>
        <w:spacing w:line="240" w:lineRule="auto"/>
        <w:ind w:right="-29"/>
        <w:rPr>
          <w:del w:id="13288" w:author="AbbVie_HU_03" w:date="2025-05-14T16:41:00Z"/>
          <w:szCs w:val="22"/>
        </w:rPr>
      </w:pPr>
      <w:del w:id="13289" w:author="AbbVie_HU_03" w:date="2025-05-14T16:41:00Z">
        <w:r w:rsidRPr="00183B5F">
          <w:rPr>
            <w:szCs w:val="22"/>
          </w:rPr>
          <w:delText>nehézlégzés vagy nehézség a nyelés során</w:delText>
        </w:r>
        <w:r w:rsidR="00135BAE" w:rsidRPr="00183B5F">
          <w:rPr>
            <w:szCs w:val="22"/>
          </w:rPr>
          <w:delText>;</w:delText>
        </w:r>
      </w:del>
    </w:p>
    <w:p w14:paraId="01B12B7B" w14:textId="13CEAAA1" w:rsidR="00FB6710" w:rsidRPr="00183B5F" w:rsidRDefault="00943743" w:rsidP="007276E0">
      <w:pPr>
        <w:numPr>
          <w:ilvl w:val="0"/>
          <w:numId w:val="52"/>
        </w:numPr>
        <w:spacing w:line="240" w:lineRule="auto"/>
        <w:ind w:right="-29"/>
        <w:rPr>
          <w:del w:id="13290" w:author="AbbVie_HU_03" w:date="2025-05-14T16:41:00Z"/>
          <w:szCs w:val="22"/>
        </w:rPr>
      </w:pPr>
      <w:del w:id="13291" w:author="AbbVie_HU_03" w:date="2025-05-14T16:41:00Z">
        <w:r w:rsidRPr="00183B5F">
          <w:rPr>
            <w:szCs w:val="22"/>
          </w:rPr>
          <w:delText>megerőltetéskor vagy lefekvéskor jelentkező nehézlégzés, vagy lábdagadás</w:delText>
        </w:r>
        <w:r w:rsidR="00135BAE" w:rsidRPr="00183B5F">
          <w:rPr>
            <w:szCs w:val="22"/>
          </w:rPr>
          <w:delText>.</w:delText>
        </w:r>
      </w:del>
    </w:p>
    <w:p w14:paraId="04DDCBF4" w14:textId="7A749955" w:rsidR="00F265C6" w:rsidRPr="00183B5F" w:rsidRDefault="00F265C6" w:rsidP="007276E0">
      <w:pPr>
        <w:spacing w:line="240" w:lineRule="auto"/>
        <w:ind w:left="567" w:right="-29"/>
        <w:rPr>
          <w:del w:id="13292" w:author="AbbVie_HU_03" w:date="2025-05-14T16:41:00Z"/>
          <w:szCs w:val="22"/>
        </w:rPr>
      </w:pPr>
    </w:p>
    <w:p w14:paraId="4BE600F2" w14:textId="26BF43F7" w:rsidR="00FB6710" w:rsidRPr="00183B5F" w:rsidRDefault="00943743" w:rsidP="007276E0">
      <w:pPr>
        <w:spacing w:line="240" w:lineRule="auto"/>
        <w:ind w:right="-2"/>
        <w:rPr>
          <w:del w:id="13293" w:author="AbbVie_HU_03" w:date="2025-05-14T16:41:00Z"/>
          <w:szCs w:val="22"/>
        </w:rPr>
      </w:pPr>
      <w:del w:id="13294" w:author="AbbVie_HU_03" w:date="2025-05-14T16:41:00Z">
        <w:r w:rsidRPr="00183B5F">
          <w:rPr>
            <w:szCs w:val="22"/>
          </w:rPr>
          <w:delText>Közölje orvosával amint lehetséges, ha az alábbiak közül bármit észlel:</w:delText>
        </w:r>
      </w:del>
    </w:p>
    <w:p w14:paraId="51BF2250" w14:textId="34A5D499" w:rsidR="00FB6710" w:rsidRPr="00183B5F" w:rsidRDefault="00943743" w:rsidP="007276E0">
      <w:pPr>
        <w:numPr>
          <w:ilvl w:val="0"/>
          <w:numId w:val="48"/>
        </w:numPr>
        <w:spacing w:line="240" w:lineRule="auto"/>
        <w:ind w:right="-2"/>
        <w:rPr>
          <w:del w:id="13295" w:author="AbbVie_HU_03" w:date="2025-05-14T16:41:00Z"/>
          <w:szCs w:val="22"/>
        </w:rPr>
      </w:pPr>
      <w:del w:id="13296" w:author="AbbVie_HU_03" w:date="2025-05-14T16:41:00Z">
        <w:r w:rsidRPr="00183B5F">
          <w:rPr>
            <w:szCs w:val="22"/>
          </w:rPr>
          <w:delText xml:space="preserve">fertőzésre utaló tünet, mint láz, </w:delText>
        </w:r>
        <w:r w:rsidR="009053F7" w:rsidRPr="00183B5F">
          <w:rPr>
            <w:szCs w:val="22"/>
          </w:rPr>
          <w:delText>rossz közérzet</w:delText>
        </w:r>
        <w:r w:rsidRPr="00183B5F">
          <w:rPr>
            <w:szCs w:val="22"/>
          </w:rPr>
          <w:delText>, sebek</w:delText>
        </w:r>
        <w:r w:rsidRPr="00183B5F">
          <w:rPr>
            <w:i/>
            <w:szCs w:val="22"/>
          </w:rPr>
          <w:delText xml:space="preserve">, </w:delText>
        </w:r>
        <w:r w:rsidRPr="00183B5F">
          <w:rPr>
            <w:szCs w:val="22"/>
          </w:rPr>
          <w:delText>fogászati problémák, vizeléskor jelentkező égő érzés</w:delText>
        </w:r>
        <w:r w:rsidR="00135BAE" w:rsidRPr="00183B5F">
          <w:rPr>
            <w:szCs w:val="22"/>
          </w:rPr>
          <w:delText>;</w:delText>
        </w:r>
      </w:del>
    </w:p>
    <w:p w14:paraId="2C9442E3" w14:textId="1C31EE0D" w:rsidR="00FB6710" w:rsidRPr="00183B5F" w:rsidRDefault="00943743" w:rsidP="007276E0">
      <w:pPr>
        <w:numPr>
          <w:ilvl w:val="0"/>
          <w:numId w:val="48"/>
        </w:numPr>
        <w:spacing w:line="240" w:lineRule="auto"/>
        <w:ind w:right="-2"/>
        <w:rPr>
          <w:del w:id="13297" w:author="AbbVie_HU_03" w:date="2025-05-14T16:41:00Z"/>
          <w:szCs w:val="22"/>
        </w:rPr>
      </w:pPr>
      <w:del w:id="13298" w:author="AbbVie_HU_03" w:date="2025-05-14T16:41:00Z">
        <w:r w:rsidRPr="00183B5F">
          <w:rPr>
            <w:szCs w:val="22"/>
          </w:rPr>
          <w:delText>gyengeség vagy fáradtságérzés</w:delText>
        </w:r>
        <w:r w:rsidR="00135BAE" w:rsidRPr="00183B5F">
          <w:rPr>
            <w:szCs w:val="22"/>
          </w:rPr>
          <w:delText>;</w:delText>
        </w:r>
      </w:del>
    </w:p>
    <w:p w14:paraId="4ED6C08D" w14:textId="095EDDBF" w:rsidR="00FB6710" w:rsidRPr="00183B5F" w:rsidRDefault="00943743" w:rsidP="007276E0">
      <w:pPr>
        <w:numPr>
          <w:ilvl w:val="0"/>
          <w:numId w:val="48"/>
        </w:numPr>
        <w:spacing w:line="240" w:lineRule="auto"/>
        <w:ind w:right="-2"/>
        <w:rPr>
          <w:del w:id="13299" w:author="AbbVie_HU_03" w:date="2025-05-14T16:41:00Z"/>
          <w:szCs w:val="22"/>
        </w:rPr>
      </w:pPr>
      <w:del w:id="13300" w:author="AbbVie_HU_03" w:date="2025-05-14T16:41:00Z">
        <w:r w:rsidRPr="00183B5F">
          <w:rPr>
            <w:szCs w:val="22"/>
          </w:rPr>
          <w:delText>köhögés</w:delText>
        </w:r>
        <w:r w:rsidR="00135BAE" w:rsidRPr="00183B5F">
          <w:rPr>
            <w:szCs w:val="22"/>
          </w:rPr>
          <w:delText>;</w:delText>
        </w:r>
      </w:del>
    </w:p>
    <w:p w14:paraId="1FA5C302" w14:textId="27E85E7F" w:rsidR="00FB6710" w:rsidRPr="00183B5F" w:rsidRDefault="00943743" w:rsidP="007276E0">
      <w:pPr>
        <w:numPr>
          <w:ilvl w:val="0"/>
          <w:numId w:val="48"/>
        </w:numPr>
        <w:spacing w:line="240" w:lineRule="auto"/>
        <w:ind w:right="-2"/>
        <w:rPr>
          <w:del w:id="13301" w:author="AbbVie_HU_03" w:date="2025-05-14T16:41:00Z"/>
          <w:szCs w:val="22"/>
        </w:rPr>
      </w:pPr>
      <w:del w:id="13302" w:author="AbbVie_HU_03" w:date="2025-05-14T16:41:00Z">
        <w:r w:rsidRPr="00183B5F">
          <w:rPr>
            <w:szCs w:val="22"/>
          </w:rPr>
          <w:delText>fülzúgás</w:delText>
        </w:r>
        <w:r w:rsidR="00135BAE" w:rsidRPr="00183B5F">
          <w:rPr>
            <w:szCs w:val="22"/>
          </w:rPr>
          <w:delText>;</w:delText>
        </w:r>
      </w:del>
    </w:p>
    <w:p w14:paraId="3536D8C7" w14:textId="12351D94" w:rsidR="00FB6710" w:rsidRPr="00183B5F" w:rsidRDefault="00943743" w:rsidP="007276E0">
      <w:pPr>
        <w:numPr>
          <w:ilvl w:val="0"/>
          <w:numId w:val="48"/>
        </w:numPr>
        <w:spacing w:line="240" w:lineRule="auto"/>
        <w:ind w:right="-2"/>
        <w:rPr>
          <w:del w:id="13303" w:author="AbbVie_HU_03" w:date="2025-05-14T16:41:00Z"/>
          <w:szCs w:val="22"/>
        </w:rPr>
      </w:pPr>
      <w:del w:id="13304" w:author="AbbVie_HU_03" w:date="2025-05-14T16:41:00Z">
        <w:r w:rsidRPr="00183B5F">
          <w:rPr>
            <w:szCs w:val="22"/>
          </w:rPr>
          <w:delText>zsibbadás</w:delText>
        </w:r>
        <w:r w:rsidR="00135BAE" w:rsidRPr="00183B5F">
          <w:rPr>
            <w:szCs w:val="22"/>
          </w:rPr>
          <w:delText>;</w:delText>
        </w:r>
      </w:del>
    </w:p>
    <w:p w14:paraId="142714DA" w14:textId="6A5CA19D" w:rsidR="00FB6710" w:rsidRPr="00183B5F" w:rsidRDefault="00943743" w:rsidP="007276E0">
      <w:pPr>
        <w:numPr>
          <w:ilvl w:val="0"/>
          <w:numId w:val="48"/>
        </w:numPr>
        <w:spacing w:line="240" w:lineRule="auto"/>
        <w:ind w:right="-2"/>
        <w:rPr>
          <w:del w:id="13305" w:author="AbbVie_HU_03" w:date="2025-05-14T16:41:00Z"/>
          <w:szCs w:val="22"/>
        </w:rPr>
      </w:pPr>
      <w:del w:id="13306" w:author="AbbVie_HU_03" w:date="2025-05-14T16:41:00Z">
        <w:r w:rsidRPr="00183B5F">
          <w:rPr>
            <w:szCs w:val="22"/>
          </w:rPr>
          <w:delText>kettőslátás</w:delText>
        </w:r>
        <w:r w:rsidR="00135BAE" w:rsidRPr="00183B5F">
          <w:rPr>
            <w:szCs w:val="22"/>
          </w:rPr>
          <w:delText>;</w:delText>
        </w:r>
      </w:del>
    </w:p>
    <w:p w14:paraId="3A579868" w14:textId="39A8C19D" w:rsidR="00FB6710" w:rsidRPr="00183B5F" w:rsidRDefault="00943743" w:rsidP="007276E0">
      <w:pPr>
        <w:numPr>
          <w:ilvl w:val="0"/>
          <w:numId w:val="48"/>
        </w:numPr>
        <w:spacing w:line="240" w:lineRule="auto"/>
        <w:ind w:right="-2"/>
        <w:rPr>
          <w:del w:id="13307" w:author="AbbVie_HU_03" w:date="2025-05-14T16:41:00Z"/>
          <w:szCs w:val="22"/>
        </w:rPr>
      </w:pPr>
      <w:del w:id="13308" w:author="AbbVie_HU_03" w:date="2025-05-14T16:41:00Z">
        <w:r w:rsidRPr="00183B5F">
          <w:rPr>
            <w:szCs w:val="22"/>
          </w:rPr>
          <w:delText>kar</w:delText>
        </w:r>
        <w:r w:rsidR="0029438F" w:rsidRPr="00183B5F">
          <w:rPr>
            <w:szCs w:val="22"/>
          </w:rPr>
          <w:delText>-</w:delText>
        </w:r>
        <w:r w:rsidRPr="00183B5F">
          <w:rPr>
            <w:szCs w:val="22"/>
          </w:rPr>
          <w:delText xml:space="preserve"> vagy lábgyengeség</w:delText>
        </w:r>
        <w:r w:rsidR="00135BAE" w:rsidRPr="00183B5F">
          <w:rPr>
            <w:szCs w:val="22"/>
          </w:rPr>
          <w:delText>;</w:delText>
        </w:r>
      </w:del>
    </w:p>
    <w:p w14:paraId="4D7EA3E0" w14:textId="2F4E17E4" w:rsidR="00FB6710" w:rsidRPr="00183B5F" w:rsidRDefault="00943743" w:rsidP="007276E0">
      <w:pPr>
        <w:numPr>
          <w:ilvl w:val="0"/>
          <w:numId w:val="48"/>
        </w:numPr>
        <w:spacing w:line="240" w:lineRule="auto"/>
        <w:ind w:right="-2"/>
        <w:rPr>
          <w:del w:id="13309" w:author="AbbVie_HU_03" w:date="2025-05-14T16:41:00Z"/>
          <w:szCs w:val="22"/>
        </w:rPr>
      </w:pPr>
      <w:del w:id="13310" w:author="AbbVie_HU_03" w:date="2025-05-14T16:41:00Z">
        <w:r w:rsidRPr="00183B5F">
          <w:rPr>
            <w:szCs w:val="22"/>
          </w:rPr>
          <w:delText>duzzanat vagy nyílt fekély, amelyik nem gyógyul</w:delText>
        </w:r>
        <w:r w:rsidR="00135BAE" w:rsidRPr="00183B5F">
          <w:rPr>
            <w:szCs w:val="22"/>
          </w:rPr>
          <w:delText>;</w:delText>
        </w:r>
      </w:del>
    </w:p>
    <w:p w14:paraId="0E6196E7" w14:textId="25885D75" w:rsidR="00F265C6" w:rsidRPr="00183B5F" w:rsidRDefault="00943743" w:rsidP="007276E0">
      <w:pPr>
        <w:numPr>
          <w:ilvl w:val="0"/>
          <w:numId w:val="48"/>
        </w:numPr>
        <w:spacing w:line="240" w:lineRule="auto"/>
        <w:ind w:right="-29"/>
        <w:rPr>
          <w:del w:id="13311" w:author="AbbVie_HU_03" w:date="2025-05-14T16:41:00Z"/>
          <w:szCs w:val="22"/>
        </w:rPr>
      </w:pPr>
      <w:del w:id="13312" w:author="AbbVie_HU_03" w:date="2025-05-14T16:41:00Z">
        <w:r w:rsidRPr="00183B5F">
          <w:rPr>
            <w:szCs w:val="22"/>
          </w:rPr>
          <w:delText xml:space="preserve">vérképzőszervi </w:delText>
        </w:r>
        <w:r w:rsidR="004E5FCB" w:rsidRPr="00183B5F">
          <w:rPr>
            <w:szCs w:val="22"/>
          </w:rPr>
          <w:delText>betegségre jellemző jelek és tünetek</w:delText>
        </w:r>
        <w:r w:rsidRPr="00183B5F">
          <w:rPr>
            <w:szCs w:val="22"/>
          </w:rPr>
          <w:delText>, mint állandó láz, véraláfutás, vérzés, sápadtság</w:delText>
        </w:r>
        <w:r w:rsidR="00135BAE" w:rsidRPr="00183B5F">
          <w:rPr>
            <w:szCs w:val="22"/>
          </w:rPr>
          <w:delText>.</w:delText>
        </w:r>
      </w:del>
    </w:p>
    <w:p w14:paraId="50E6DD2E" w14:textId="7B760CC5" w:rsidR="00FB6710" w:rsidRPr="00183B5F" w:rsidRDefault="00FB6710" w:rsidP="007276E0">
      <w:pPr>
        <w:spacing w:line="240" w:lineRule="auto"/>
        <w:ind w:right="-2"/>
        <w:rPr>
          <w:del w:id="13313" w:author="AbbVie_HU_03" w:date="2025-05-14T16:41:00Z"/>
          <w:szCs w:val="22"/>
        </w:rPr>
      </w:pPr>
    </w:p>
    <w:p w14:paraId="43C00F91" w14:textId="520BC9BA" w:rsidR="00FB6710" w:rsidRPr="00183B5F" w:rsidRDefault="00943743" w:rsidP="007276E0">
      <w:pPr>
        <w:spacing w:line="240" w:lineRule="auto"/>
        <w:ind w:right="-2"/>
        <w:rPr>
          <w:del w:id="13314" w:author="AbbVie_HU_03" w:date="2025-05-14T16:41:00Z"/>
          <w:szCs w:val="22"/>
        </w:rPr>
      </w:pPr>
      <w:del w:id="13315" w:author="AbbVie_HU_03" w:date="2025-05-14T16:41:00Z">
        <w:r w:rsidRPr="00183B5F">
          <w:rPr>
            <w:szCs w:val="22"/>
          </w:rPr>
          <w:delText>A fent leírt tünetek az alábbiakban felsorolt mellékhatások jelei is lehetnek, melyeket a Humira alkalmazása során észleltek:</w:delText>
        </w:r>
      </w:del>
    </w:p>
    <w:p w14:paraId="3A22100F" w14:textId="2946C168" w:rsidR="009A4E58" w:rsidRPr="00183B5F" w:rsidRDefault="009A4E58" w:rsidP="007276E0">
      <w:pPr>
        <w:spacing w:line="240" w:lineRule="auto"/>
        <w:ind w:right="-2"/>
        <w:rPr>
          <w:del w:id="13316" w:author="AbbVie_HU_03" w:date="2025-05-14T16:41:00Z"/>
          <w:szCs w:val="22"/>
        </w:rPr>
      </w:pPr>
    </w:p>
    <w:p w14:paraId="47CED5E2" w14:textId="3D9919DB" w:rsidR="00FB6710" w:rsidRPr="00183B5F" w:rsidRDefault="00943743" w:rsidP="007276E0">
      <w:pPr>
        <w:spacing w:line="240" w:lineRule="auto"/>
        <w:ind w:right="-2"/>
        <w:rPr>
          <w:del w:id="13317" w:author="AbbVie_HU_03" w:date="2025-05-14T16:41:00Z"/>
          <w:szCs w:val="22"/>
        </w:rPr>
      </w:pPr>
      <w:del w:id="13318" w:author="AbbVie_HU_03" w:date="2025-05-14T16:41:00Z">
        <w:r w:rsidRPr="00183B5F">
          <w:rPr>
            <w:szCs w:val="22"/>
          </w:rPr>
          <w:delText>Nagyon gyakori (10</w:delText>
        </w:r>
        <w:r w:rsidR="00141743" w:rsidRPr="00183B5F">
          <w:rPr>
            <w:szCs w:val="22"/>
          </w:rPr>
          <w:delText> </w:delText>
        </w:r>
        <w:r w:rsidR="00DA7A92" w:rsidRPr="00183B5F">
          <w:rPr>
            <w:szCs w:val="22"/>
          </w:rPr>
          <w:delText>beteg</w:delText>
        </w:r>
        <w:r w:rsidR="00573B90" w:rsidRPr="00183B5F">
          <w:rPr>
            <w:szCs w:val="22"/>
          </w:rPr>
          <w:delText xml:space="preserve"> </w:delText>
        </w:r>
        <w:r w:rsidRPr="00183B5F">
          <w:rPr>
            <w:szCs w:val="22"/>
          </w:rPr>
          <w:delText>közül több mint 1</w:delText>
        </w:r>
        <w:r w:rsidR="00141743" w:rsidRPr="00183B5F">
          <w:rPr>
            <w:szCs w:val="22"/>
          </w:rPr>
          <w:noBreakHyphen/>
        </w:r>
        <w:r w:rsidR="00573B90" w:rsidRPr="00183B5F">
          <w:rPr>
            <w:szCs w:val="22"/>
          </w:rPr>
          <w:delText>nél</w:delText>
        </w:r>
        <w:r w:rsidRPr="00183B5F">
          <w:rPr>
            <w:szCs w:val="22"/>
          </w:rPr>
          <w:delText xml:space="preserve"> kialakuló) mellékhatások</w:delText>
        </w:r>
      </w:del>
    </w:p>
    <w:p w14:paraId="64F00F0C" w14:textId="3581BFA6" w:rsidR="00135BAE" w:rsidRPr="00183B5F" w:rsidRDefault="00135BAE" w:rsidP="007276E0">
      <w:pPr>
        <w:spacing w:line="240" w:lineRule="auto"/>
        <w:ind w:right="-2"/>
        <w:rPr>
          <w:del w:id="13319" w:author="AbbVie_HU_03" w:date="2025-05-14T16:41:00Z"/>
          <w:szCs w:val="22"/>
        </w:rPr>
      </w:pPr>
    </w:p>
    <w:p w14:paraId="687E384B" w14:textId="7B1C8B90" w:rsidR="00FB6710" w:rsidRPr="00183B5F" w:rsidRDefault="00943743" w:rsidP="007276E0">
      <w:pPr>
        <w:numPr>
          <w:ilvl w:val="0"/>
          <w:numId w:val="53"/>
        </w:numPr>
        <w:spacing w:line="240" w:lineRule="auto"/>
        <w:ind w:right="-2"/>
        <w:rPr>
          <w:del w:id="13320" w:author="AbbVie_HU_03" w:date="2025-05-14T16:41:00Z"/>
          <w:szCs w:val="22"/>
        </w:rPr>
      </w:pPr>
      <w:del w:id="13321" w:author="AbbVie_HU_03" w:date="2025-05-14T16:41:00Z">
        <w:r w:rsidRPr="00183B5F">
          <w:rPr>
            <w:szCs w:val="22"/>
          </w:rPr>
          <w:delText>helyi reakció az injekció beadásának helyén, (beleértve fájdalom, duzzadás, vörösség vagy viszketés)</w:delText>
        </w:r>
        <w:r w:rsidR="00135BAE" w:rsidRPr="00183B5F">
          <w:rPr>
            <w:szCs w:val="22"/>
          </w:rPr>
          <w:delText>;</w:delText>
        </w:r>
      </w:del>
    </w:p>
    <w:p w14:paraId="4D427587" w14:textId="509E186F" w:rsidR="00FB6710" w:rsidRPr="00183B5F" w:rsidRDefault="00943743" w:rsidP="007276E0">
      <w:pPr>
        <w:numPr>
          <w:ilvl w:val="0"/>
          <w:numId w:val="53"/>
        </w:numPr>
        <w:suppressAutoHyphens w:val="0"/>
        <w:spacing w:line="240" w:lineRule="auto"/>
        <w:rPr>
          <w:del w:id="13322" w:author="AbbVie_HU_03" w:date="2025-05-14T16:41:00Z"/>
          <w:szCs w:val="22"/>
        </w:rPr>
      </w:pPr>
      <w:del w:id="13323" w:author="AbbVie_HU_03" w:date="2025-05-14T16:41:00Z">
        <w:r w:rsidRPr="00183B5F">
          <w:rPr>
            <w:szCs w:val="22"/>
          </w:rPr>
          <w:delText>légúti fertőzések (beleértve a megfázást, orrfolyást, melléküreg-gyulladást, tüdőgyulladást is)</w:delText>
        </w:r>
        <w:r w:rsidR="00135BAE" w:rsidRPr="00183B5F">
          <w:rPr>
            <w:szCs w:val="22"/>
          </w:rPr>
          <w:delText>;</w:delText>
        </w:r>
      </w:del>
    </w:p>
    <w:p w14:paraId="09A3A58C" w14:textId="5F70CF84" w:rsidR="00FB6710" w:rsidRPr="00183B5F" w:rsidRDefault="00943743" w:rsidP="007276E0">
      <w:pPr>
        <w:numPr>
          <w:ilvl w:val="0"/>
          <w:numId w:val="53"/>
        </w:numPr>
        <w:suppressAutoHyphens w:val="0"/>
        <w:spacing w:line="240" w:lineRule="auto"/>
        <w:rPr>
          <w:del w:id="13324" w:author="AbbVie_HU_03" w:date="2025-05-14T16:41:00Z"/>
        </w:rPr>
      </w:pPr>
      <w:del w:id="13325" w:author="AbbVie_HU_03" w:date="2025-05-14T16:41:00Z">
        <w:r w:rsidRPr="00183B5F">
          <w:delText>fejfájás</w:delText>
        </w:r>
        <w:r w:rsidR="00135BAE" w:rsidRPr="00183B5F">
          <w:delText>;</w:delText>
        </w:r>
      </w:del>
    </w:p>
    <w:p w14:paraId="661295BE" w14:textId="1E646C96" w:rsidR="00FB6710" w:rsidRPr="00183B5F" w:rsidRDefault="00943743" w:rsidP="007276E0">
      <w:pPr>
        <w:numPr>
          <w:ilvl w:val="0"/>
          <w:numId w:val="53"/>
        </w:numPr>
        <w:suppressAutoHyphens w:val="0"/>
        <w:spacing w:line="240" w:lineRule="auto"/>
        <w:rPr>
          <w:del w:id="13326" w:author="AbbVie_HU_03" w:date="2025-05-14T16:41:00Z"/>
        </w:rPr>
      </w:pPr>
      <w:del w:id="13327" w:author="AbbVie_HU_03" w:date="2025-05-14T16:41:00Z">
        <w:r w:rsidRPr="00183B5F">
          <w:delText>hasi fájdalom</w:delText>
        </w:r>
        <w:r w:rsidR="00135BAE" w:rsidRPr="00183B5F">
          <w:delText>;</w:delText>
        </w:r>
      </w:del>
    </w:p>
    <w:p w14:paraId="72078877" w14:textId="694F3800" w:rsidR="00FB6710" w:rsidRPr="00183B5F" w:rsidRDefault="00943743" w:rsidP="007276E0">
      <w:pPr>
        <w:numPr>
          <w:ilvl w:val="0"/>
          <w:numId w:val="53"/>
        </w:numPr>
        <w:suppressAutoHyphens w:val="0"/>
        <w:spacing w:line="240" w:lineRule="auto"/>
        <w:rPr>
          <w:del w:id="13328" w:author="AbbVie_HU_03" w:date="2025-05-14T16:41:00Z"/>
        </w:rPr>
      </w:pPr>
      <w:del w:id="13329" w:author="AbbVie_HU_03" w:date="2025-05-14T16:41:00Z">
        <w:r w:rsidRPr="00183B5F">
          <w:delText>hányinger és hányás</w:delText>
        </w:r>
        <w:r w:rsidR="00135BAE" w:rsidRPr="00183B5F">
          <w:delText>;</w:delText>
        </w:r>
      </w:del>
    </w:p>
    <w:p w14:paraId="260B3365" w14:textId="159529AC" w:rsidR="00FB6710" w:rsidRPr="00183B5F" w:rsidRDefault="00943743" w:rsidP="007276E0">
      <w:pPr>
        <w:numPr>
          <w:ilvl w:val="0"/>
          <w:numId w:val="53"/>
        </w:numPr>
        <w:suppressAutoHyphens w:val="0"/>
        <w:spacing w:line="240" w:lineRule="auto"/>
        <w:rPr>
          <w:del w:id="13330" w:author="AbbVie_HU_03" w:date="2025-05-14T16:41:00Z"/>
        </w:rPr>
      </w:pPr>
      <w:del w:id="13331" w:author="AbbVie_HU_03" w:date="2025-05-14T16:41:00Z">
        <w:r w:rsidRPr="00183B5F">
          <w:delText>bőrkiütés</w:delText>
        </w:r>
        <w:r w:rsidR="00135BAE" w:rsidRPr="00183B5F">
          <w:delText>;</w:delText>
        </w:r>
      </w:del>
    </w:p>
    <w:p w14:paraId="16BF6E67" w14:textId="57DCC585" w:rsidR="00FB6710" w:rsidRPr="00183B5F" w:rsidRDefault="00943743" w:rsidP="007276E0">
      <w:pPr>
        <w:numPr>
          <w:ilvl w:val="0"/>
          <w:numId w:val="53"/>
        </w:numPr>
        <w:suppressAutoHyphens w:val="0"/>
        <w:spacing w:line="240" w:lineRule="auto"/>
        <w:rPr>
          <w:del w:id="13332" w:author="AbbVie_HU_03" w:date="2025-05-14T16:41:00Z"/>
        </w:rPr>
      </w:pPr>
      <w:del w:id="13333" w:author="AbbVie_HU_03" w:date="2025-05-14T16:41:00Z">
        <w:r w:rsidRPr="00183B5F">
          <w:delText>mozgásszervi eredetű fájdalom.</w:delText>
        </w:r>
      </w:del>
    </w:p>
    <w:p w14:paraId="48FB2E8C" w14:textId="4B925CE7" w:rsidR="00FB6710" w:rsidRPr="00183B5F" w:rsidRDefault="00FB6710" w:rsidP="007276E0">
      <w:pPr>
        <w:spacing w:line="240" w:lineRule="auto"/>
        <w:ind w:right="-2"/>
        <w:rPr>
          <w:del w:id="13334" w:author="AbbVie_HU_03" w:date="2025-05-14T16:41:00Z"/>
          <w:szCs w:val="22"/>
        </w:rPr>
      </w:pPr>
    </w:p>
    <w:p w14:paraId="6735957C" w14:textId="33C38FFF" w:rsidR="00FB6710" w:rsidRPr="00183B5F" w:rsidRDefault="00943743" w:rsidP="007276E0">
      <w:pPr>
        <w:spacing w:line="240" w:lineRule="auto"/>
        <w:ind w:right="-2"/>
        <w:rPr>
          <w:del w:id="13335" w:author="AbbVie_HU_03" w:date="2025-05-14T16:41:00Z"/>
          <w:szCs w:val="22"/>
        </w:rPr>
      </w:pPr>
      <w:del w:id="13336" w:author="AbbVie_HU_03" w:date="2025-05-14T16:41:00Z">
        <w:r w:rsidRPr="00183B5F">
          <w:rPr>
            <w:szCs w:val="22"/>
          </w:rPr>
          <w:delText>Gyakori (10</w:delText>
        </w:r>
        <w:r w:rsidR="00141743" w:rsidRPr="00183B5F">
          <w:rPr>
            <w:szCs w:val="22"/>
          </w:rPr>
          <w:delText> </w:delText>
        </w:r>
        <w:r w:rsidR="00DA7A92" w:rsidRPr="00183B5F">
          <w:rPr>
            <w:szCs w:val="22"/>
          </w:rPr>
          <w:delText>beteg</w:delText>
        </w:r>
        <w:r w:rsidR="00573B90" w:rsidRPr="00183B5F">
          <w:rPr>
            <w:szCs w:val="22"/>
          </w:rPr>
          <w:delText xml:space="preserve"> </w:delText>
        </w:r>
        <w:r w:rsidRPr="00183B5F">
          <w:rPr>
            <w:szCs w:val="22"/>
          </w:rPr>
          <w:delText xml:space="preserve">közül </w:delText>
        </w:r>
        <w:r w:rsidR="00573B90" w:rsidRPr="00183B5F">
          <w:rPr>
            <w:szCs w:val="22"/>
          </w:rPr>
          <w:delText>legfeljebb</w:delText>
        </w:r>
        <w:r w:rsidRPr="00183B5F">
          <w:rPr>
            <w:szCs w:val="22"/>
          </w:rPr>
          <w:delText xml:space="preserve"> 1</w:delText>
        </w:r>
        <w:r w:rsidR="00141743" w:rsidRPr="00183B5F">
          <w:rPr>
            <w:szCs w:val="22"/>
          </w:rPr>
          <w:noBreakHyphen/>
        </w:r>
        <w:r w:rsidR="00573B90" w:rsidRPr="00183B5F">
          <w:rPr>
            <w:szCs w:val="22"/>
          </w:rPr>
          <w:delText>nél</w:delText>
        </w:r>
        <w:r w:rsidRPr="00183B5F">
          <w:rPr>
            <w:szCs w:val="22"/>
          </w:rPr>
          <w:delText xml:space="preserve"> kialakuló)</w:delText>
        </w:r>
      </w:del>
    </w:p>
    <w:p w14:paraId="0DB4B414" w14:textId="7077FC48" w:rsidR="00135BAE" w:rsidRPr="00183B5F" w:rsidRDefault="00135BAE" w:rsidP="007276E0">
      <w:pPr>
        <w:spacing w:line="240" w:lineRule="auto"/>
        <w:ind w:right="-2"/>
        <w:rPr>
          <w:del w:id="13337" w:author="AbbVie_HU_03" w:date="2025-05-14T16:41:00Z"/>
          <w:szCs w:val="22"/>
        </w:rPr>
      </w:pPr>
    </w:p>
    <w:p w14:paraId="686D2AAC" w14:textId="24324943" w:rsidR="00FB6710" w:rsidRPr="00183B5F" w:rsidRDefault="00943743" w:rsidP="007276E0">
      <w:pPr>
        <w:numPr>
          <w:ilvl w:val="0"/>
          <w:numId w:val="54"/>
        </w:numPr>
        <w:tabs>
          <w:tab w:val="clear" w:pos="567"/>
          <w:tab w:val="left" w:pos="562"/>
        </w:tabs>
        <w:spacing w:line="240" w:lineRule="auto"/>
        <w:ind w:right="-2"/>
        <w:rPr>
          <w:del w:id="13338" w:author="AbbVie_HU_03" w:date="2025-05-14T16:41:00Z"/>
          <w:szCs w:val="22"/>
        </w:rPr>
      </w:pPr>
      <w:del w:id="13339" w:author="AbbVie_HU_03" w:date="2025-05-14T16:41:00Z">
        <w:r w:rsidRPr="00183B5F">
          <w:rPr>
            <w:szCs w:val="22"/>
          </w:rPr>
          <w:delText>súlyos fertőzések (beleértve a vérmérgezést és az influenzát is)</w:delText>
        </w:r>
        <w:r w:rsidR="00135BAE" w:rsidRPr="00183B5F">
          <w:rPr>
            <w:szCs w:val="22"/>
          </w:rPr>
          <w:delText>;</w:delText>
        </w:r>
      </w:del>
    </w:p>
    <w:p w14:paraId="3F0AE64C" w14:textId="56304E56" w:rsidR="00F41C32" w:rsidRPr="00183B5F" w:rsidRDefault="00943743" w:rsidP="007276E0">
      <w:pPr>
        <w:numPr>
          <w:ilvl w:val="0"/>
          <w:numId w:val="54"/>
        </w:numPr>
        <w:tabs>
          <w:tab w:val="clear" w:pos="567"/>
          <w:tab w:val="left" w:pos="562"/>
        </w:tabs>
        <w:spacing w:line="240" w:lineRule="auto"/>
        <w:ind w:right="-2"/>
        <w:rPr>
          <w:del w:id="13340" w:author="AbbVie_HU_03" w:date="2025-05-14T16:41:00Z"/>
          <w:szCs w:val="22"/>
        </w:rPr>
      </w:pPr>
      <w:del w:id="13341" w:author="AbbVie_HU_03" w:date="2025-05-14T16:41:00Z">
        <w:r w:rsidRPr="00183B5F">
          <w:rPr>
            <w:szCs w:val="22"/>
          </w:rPr>
          <w:delText>bélfertőzések (beleértve a gyomor-bélgyulladást);</w:delText>
        </w:r>
      </w:del>
    </w:p>
    <w:p w14:paraId="2031B4F9" w14:textId="2D11F0E2" w:rsidR="00FB6710" w:rsidRPr="00183B5F" w:rsidRDefault="00943743" w:rsidP="007276E0">
      <w:pPr>
        <w:numPr>
          <w:ilvl w:val="0"/>
          <w:numId w:val="54"/>
        </w:numPr>
        <w:tabs>
          <w:tab w:val="clear" w:pos="567"/>
          <w:tab w:val="left" w:pos="562"/>
        </w:tabs>
        <w:spacing w:line="240" w:lineRule="auto"/>
        <w:ind w:right="-2"/>
        <w:rPr>
          <w:del w:id="13342" w:author="AbbVie_HU_03" w:date="2025-05-14T16:41:00Z"/>
          <w:szCs w:val="22"/>
        </w:rPr>
      </w:pPr>
      <w:del w:id="13343" w:author="AbbVie_HU_03" w:date="2025-05-14T16:41:00Z">
        <w:r w:rsidRPr="00183B5F">
          <w:rPr>
            <w:szCs w:val="22"/>
          </w:rPr>
          <w:delText>bőrfertőzések (beleértve a kötőszövet</w:delText>
        </w:r>
        <w:r w:rsidR="00CE5CC7" w:rsidRPr="00183B5F">
          <w:rPr>
            <w:szCs w:val="22"/>
          </w:rPr>
          <w:delText>-</w:delText>
        </w:r>
        <w:r w:rsidRPr="00183B5F">
          <w:rPr>
            <w:szCs w:val="22"/>
          </w:rPr>
          <w:delText>gyulladást és az övsömört is)</w:delText>
        </w:r>
        <w:r w:rsidR="00135BAE" w:rsidRPr="00183B5F">
          <w:rPr>
            <w:szCs w:val="22"/>
          </w:rPr>
          <w:delText>;</w:delText>
        </w:r>
      </w:del>
    </w:p>
    <w:p w14:paraId="2DF87340" w14:textId="69E34CD3" w:rsidR="00FB6710" w:rsidRPr="00183B5F" w:rsidRDefault="00943743" w:rsidP="007276E0">
      <w:pPr>
        <w:numPr>
          <w:ilvl w:val="0"/>
          <w:numId w:val="54"/>
        </w:numPr>
        <w:tabs>
          <w:tab w:val="clear" w:pos="567"/>
          <w:tab w:val="left" w:pos="562"/>
        </w:tabs>
        <w:spacing w:line="240" w:lineRule="auto"/>
        <w:ind w:right="-2"/>
        <w:rPr>
          <w:del w:id="13344" w:author="AbbVie_HU_03" w:date="2025-05-14T16:41:00Z"/>
        </w:rPr>
      </w:pPr>
      <w:del w:id="13345" w:author="AbbVie_HU_03" w:date="2025-05-14T16:41:00Z">
        <w:r w:rsidRPr="00183B5F">
          <w:delText>fülfertőzések</w:delText>
        </w:r>
        <w:r w:rsidR="00135BAE" w:rsidRPr="00183B5F">
          <w:delText>;</w:delText>
        </w:r>
      </w:del>
    </w:p>
    <w:p w14:paraId="2F6A19F8" w14:textId="7221AE6E" w:rsidR="00FB6710" w:rsidRPr="00183B5F" w:rsidRDefault="00943743" w:rsidP="007276E0">
      <w:pPr>
        <w:numPr>
          <w:ilvl w:val="0"/>
          <w:numId w:val="54"/>
        </w:numPr>
        <w:tabs>
          <w:tab w:val="clear" w:pos="567"/>
          <w:tab w:val="left" w:pos="562"/>
        </w:tabs>
        <w:spacing w:line="240" w:lineRule="auto"/>
        <w:ind w:right="-2"/>
        <w:rPr>
          <w:del w:id="13346" w:author="AbbVie_HU_03" w:date="2025-05-14T16:41:00Z"/>
        </w:rPr>
      </w:pPr>
      <w:del w:id="13347" w:author="AbbVie_HU_03" w:date="2025-05-14T16:41:00Z">
        <w:r w:rsidRPr="00183B5F">
          <w:delText>szájüregi fertőzések (beleértve a fogfertőzéseket és az ajakherpeszt is)</w:delText>
        </w:r>
        <w:r w:rsidR="00135BAE" w:rsidRPr="00183B5F">
          <w:delText>;</w:delText>
        </w:r>
      </w:del>
    </w:p>
    <w:p w14:paraId="14731005" w14:textId="0535FDD3" w:rsidR="00FB6710" w:rsidRPr="00183B5F" w:rsidRDefault="00943743" w:rsidP="007276E0">
      <w:pPr>
        <w:numPr>
          <w:ilvl w:val="0"/>
          <w:numId w:val="54"/>
        </w:numPr>
        <w:tabs>
          <w:tab w:val="clear" w:pos="567"/>
          <w:tab w:val="left" w:pos="562"/>
        </w:tabs>
        <w:spacing w:line="240" w:lineRule="auto"/>
        <w:ind w:right="-2"/>
        <w:rPr>
          <w:del w:id="13348" w:author="AbbVie_HU_03" w:date="2025-05-14T16:41:00Z"/>
        </w:rPr>
      </w:pPr>
      <w:del w:id="13349" w:author="AbbVie_HU_03" w:date="2025-05-14T16:41:00Z">
        <w:r w:rsidRPr="00183B5F">
          <w:delText>a nemi</w:delText>
        </w:r>
        <w:r w:rsidR="00CE5CC7" w:rsidRPr="00183B5F">
          <w:delText xml:space="preserve"> </w:delText>
        </w:r>
        <w:r w:rsidRPr="00183B5F">
          <w:delText>szervek fertőzései</w:delText>
        </w:r>
        <w:r w:rsidR="00135BAE" w:rsidRPr="00183B5F">
          <w:delText>;</w:delText>
        </w:r>
      </w:del>
    </w:p>
    <w:p w14:paraId="1D3A49E3" w14:textId="14F6C55C" w:rsidR="00FB6710" w:rsidRPr="00183B5F" w:rsidRDefault="00943743" w:rsidP="007276E0">
      <w:pPr>
        <w:numPr>
          <w:ilvl w:val="0"/>
          <w:numId w:val="54"/>
        </w:numPr>
        <w:spacing w:line="240" w:lineRule="auto"/>
        <w:ind w:right="-2"/>
        <w:rPr>
          <w:del w:id="13350" w:author="AbbVie_HU_03" w:date="2025-05-14T16:41:00Z"/>
        </w:rPr>
      </w:pPr>
      <w:del w:id="13351" w:author="AbbVie_HU_03" w:date="2025-05-14T16:41:00Z">
        <w:r w:rsidRPr="00183B5F">
          <w:delText>húgyúti fertőzések</w:delText>
        </w:r>
        <w:r w:rsidR="00135BAE" w:rsidRPr="00183B5F">
          <w:delText>;</w:delText>
        </w:r>
      </w:del>
    </w:p>
    <w:p w14:paraId="60315A89" w14:textId="1007E051" w:rsidR="00FB6710" w:rsidRPr="00183B5F" w:rsidRDefault="00943743" w:rsidP="007276E0">
      <w:pPr>
        <w:numPr>
          <w:ilvl w:val="0"/>
          <w:numId w:val="54"/>
        </w:numPr>
        <w:spacing w:line="240" w:lineRule="auto"/>
        <w:ind w:right="-2"/>
        <w:rPr>
          <w:del w:id="13352" w:author="AbbVie_HU_03" w:date="2025-05-14T16:41:00Z"/>
        </w:rPr>
      </w:pPr>
      <w:del w:id="13353" w:author="AbbVie_HU_03" w:date="2025-05-14T16:41:00Z">
        <w:r w:rsidRPr="00183B5F">
          <w:delText>gombás fertőzések</w:delText>
        </w:r>
        <w:r w:rsidR="00135BAE" w:rsidRPr="00183B5F">
          <w:delText>;</w:delText>
        </w:r>
      </w:del>
    </w:p>
    <w:p w14:paraId="606B2823" w14:textId="3D88916E" w:rsidR="00352607" w:rsidRPr="00183B5F" w:rsidRDefault="00943743" w:rsidP="007276E0">
      <w:pPr>
        <w:numPr>
          <w:ilvl w:val="0"/>
          <w:numId w:val="54"/>
        </w:numPr>
        <w:spacing w:line="240" w:lineRule="auto"/>
        <w:ind w:right="-2"/>
        <w:rPr>
          <w:del w:id="13354" w:author="AbbVie_HU_03" w:date="2025-05-14T16:41:00Z"/>
        </w:rPr>
      </w:pPr>
      <w:del w:id="13355" w:author="AbbVie_HU_03" w:date="2025-05-14T16:41:00Z">
        <w:r w:rsidRPr="00183B5F">
          <w:delText>ízületi fertőzések</w:delText>
        </w:r>
        <w:r w:rsidR="00135BAE" w:rsidRPr="00183B5F">
          <w:delText>;</w:delText>
        </w:r>
      </w:del>
    </w:p>
    <w:p w14:paraId="09EFB5E9" w14:textId="0C317AA3" w:rsidR="00FB6710" w:rsidRPr="00183B5F" w:rsidRDefault="00943743" w:rsidP="007276E0">
      <w:pPr>
        <w:numPr>
          <w:ilvl w:val="0"/>
          <w:numId w:val="54"/>
        </w:numPr>
        <w:tabs>
          <w:tab w:val="clear" w:pos="567"/>
          <w:tab w:val="left" w:pos="562"/>
        </w:tabs>
        <w:spacing w:line="240" w:lineRule="auto"/>
        <w:ind w:right="-2"/>
        <w:rPr>
          <w:del w:id="13356" w:author="AbbVie_HU_03" w:date="2025-05-14T16:41:00Z"/>
        </w:rPr>
      </w:pPr>
      <w:del w:id="13357" w:author="AbbVie_HU_03" w:date="2025-05-14T16:41:00Z">
        <w:r w:rsidRPr="00183B5F">
          <w:delText>jóindulatú daganatok</w:delText>
        </w:r>
        <w:r w:rsidR="00135BAE" w:rsidRPr="00183B5F">
          <w:delText>;</w:delText>
        </w:r>
      </w:del>
    </w:p>
    <w:p w14:paraId="4C227466" w14:textId="6FBD6ADE" w:rsidR="00FB6710" w:rsidRPr="00183B5F" w:rsidRDefault="00943743" w:rsidP="007276E0">
      <w:pPr>
        <w:numPr>
          <w:ilvl w:val="0"/>
          <w:numId w:val="54"/>
        </w:numPr>
        <w:tabs>
          <w:tab w:val="clear" w:pos="567"/>
          <w:tab w:val="left" w:pos="562"/>
        </w:tabs>
        <w:spacing w:line="240" w:lineRule="auto"/>
        <w:ind w:right="-2"/>
        <w:rPr>
          <w:del w:id="13358" w:author="AbbVie_HU_03" w:date="2025-05-14T16:41:00Z"/>
        </w:rPr>
      </w:pPr>
      <w:del w:id="13359" w:author="AbbVie_HU_03" w:date="2025-05-14T16:41:00Z">
        <w:r w:rsidRPr="00183B5F">
          <w:delText>bőrrák</w:delText>
        </w:r>
        <w:r w:rsidR="00135BAE" w:rsidRPr="00183B5F">
          <w:delText>;</w:delText>
        </w:r>
      </w:del>
    </w:p>
    <w:p w14:paraId="60D85534" w14:textId="0A4D86F0" w:rsidR="00FB6710" w:rsidRPr="00183B5F" w:rsidRDefault="00943743" w:rsidP="007276E0">
      <w:pPr>
        <w:numPr>
          <w:ilvl w:val="0"/>
          <w:numId w:val="54"/>
        </w:numPr>
        <w:tabs>
          <w:tab w:val="clear" w:pos="567"/>
          <w:tab w:val="left" w:pos="562"/>
        </w:tabs>
        <w:spacing w:line="240" w:lineRule="auto"/>
        <w:ind w:right="-2"/>
        <w:rPr>
          <w:del w:id="13360" w:author="AbbVie_HU_03" w:date="2025-05-14T16:41:00Z"/>
        </w:rPr>
      </w:pPr>
      <w:del w:id="13361" w:author="AbbVie_HU_03" w:date="2025-05-14T16:41:00Z">
        <w:r w:rsidRPr="00183B5F">
          <w:delText>allergiás reakciók (beleértve a szezonális allergiát is)</w:delText>
        </w:r>
        <w:r w:rsidR="00135BAE" w:rsidRPr="00183B5F">
          <w:delText>;</w:delText>
        </w:r>
      </w:del>
    </w:p>
    <w:p w14:paraId="66499829" w14:textId="5CD40DA1" w:rsidR="00274D31" w:rsidRPr="00183B5F" w:rsidRDefault="00943743" w:rsidP="007276E0">
      <w:pPr>
        <w:numPr>
          <w:ilvl w:val="0"/>
          <w:numId w:val="54"/>
        </w:numPr>
        <w:tabs>
          <w:tab w:val="clear" w:pos="567"/>
          <w:tab w:val="left" w:pos="562"/>
        </w:tabs>
        <w:spacing w:line="240" w:lineRule="auto"/>
        <w:ind w:right="-2"/>
        <w:rPr>
          <w:del w:id="13362" w:author="AbbVie_HU_03" w:date="2025-05-14T16:41:00Z"/>
        </w:rPr>
      </w:pPr>
      <w:del w:id="13363" w:author="AbbVie_HU_03" w:date="2025-05-14T16:41:00Z">
        <w:r w:rsidRPr="00183B5F">
          <w:rPr>
            <w:szCs w:val="22"/>
          </w:rPr>
          <w:delText>kiszáradás</w:delText>
        </w:r>
        <w:r w:rsidR="00135BAE" w:rsidRPr="00183B5F">
          <w:rPr>
            <w:szCs w:val="22"/>
          </w:rPr>
          <w:delText>;</w:delText>
        </w:r>
      </w:del>
    </w:p>
    <w:p w14:paraId="305F48CB" w14:textId="5EA6D9B0" w:rsidR="00FB6710" w:rsidRPr="00183B5F" w:rsidRDefault="00943743" w:rsidP="007276E0">
      <w:pPr>
        <w:numPr>
          <w:ilvl w:val="0"/>
          <w:numId w:val="54"/>
        </w:numPr>
        <w:tabs>
          <w:tab w:val="clear" w:pos="567"/>
          <w:tab w:val="left" w:pos="562"/>
        </w:tabs>
        <w:spacing w:line="240" w:lineRule="auto"/>
        <w:ind w:right="-2"/>
        <w:rPr>
          <w:del w:id="13364" w:author="AbbVie_HU_03" w:date="2025-05-14T16:41:00Z"/>
        </w:rPr>
      </w:pPr>
      <w:del w:id="13365" w:author="AbbVie_HU_03" w:date="2025-05-14T16:41:00Z">
        <w:r w:rsidRPr="00183B5F">
          <w:delText>hangulatváltozás (beleértve a depressziót is)</w:delText>
        </w:r>
        <w:r w:rsidR="00135BAE" w:rsidRPr="00183B5F">
          <w:delText>;</w:delText>
        </w:r>
      </w:del>
    </w:p>
    <w:p w14:paraId="52785CCD" w14:textId="5A305DAD" w:rsidR="00FB6710" w:rsidRPr="00183B5F" w:rsidRDefault="00943743" w:rsidP="007276E0">
      <w:pPr>
        <w:numPr>
          <w:ilvl w:val="0"/>
          <w:numId w:val="54"/>
        </w:numPr>
        <w:tabs>
          <w:tab w:val="clear" w:pos="567"/>
          <w:tab w:val="left" w:pos="562"/>
        </w:tabs>
        <w:spacing w:line="240" w:lineRule="auto"/>
        <w:ind w:right="-2"/>
        <w:rPr>
          <w:del w:id="13366" w:author="AbbVie_HU_03" w:date="2025-05-14T16:41:00Z"/>
        </w:rPr>
      </w:pPr>
      <w:del w:id="13367" w:author="AbbVie_HU_03" w:date="2025-05-14T16:41:00Z">
        <w:r w:rsidRPr="00183B5F">
          <w:delText>szorongás</w:delText>
        </w:r>
        <w:r w:rsidR="00135BAE" w:rsidRPr="00183B5F">
          <w:delText>;</w:delText>
        </w:r>
      </w:del>
    </w:p>
    <w:p w14:paraId="6E8D0221" w14:textId="3CCC1AC4" w:rsidR="00FB6710" w:rsidRPr="00183B5F" w:rsidRDefault="00943743" w:rsidP="007276E0">
      <w:pPr>
        <w:numPr>
          <w:ilvl w:val="0"/>
          <w:numId w:val="54"/>
        </w:numPr>
        <w:tabs>
          <w:tab w:val="clear" w:pos="567"/>
          <w:tab w:val="left" w:pos="562"/>
        </w:tabs>
        <w:spacing w:line="240" w:lineRule="auto"/>
        <w:ind w:right="-2"/>
        <w:rPr>
          <w:del w:id="13368" w:author="AbbVie_HU_03" w:date="2025-05-14T16:41:00Z"/>
        </w:rPr>
      </w:pPr>
      <w:del w:id="13369" w:author="AbbVie_HU_03" w:date="2025-05-14T16:41:00Z">
        <w:r w:rsidRPr="00183B5F">
          <w:delText>álmatlanság</w:delText>
        </w:r>
        <w:r w:rsidR="00135BAE" w:rsidRPr="00183B5F">
          <w:delText>;</w:delText>
        </w:r>
      </w:del>
    </w:p>
    <w:p w14:paraId="3297AE24" w14:textId="04422D79" w:rsidR="00FB6710" w:rsidRPr="00183B5F" w:rsidRDefault="00943743" w:rsidP="007276E0">
      <w:pPr>
        <w:numPr>
          <w:ilvl w:val="0"/>
          <w:numId w:val="54"/>
        </w:numPr>
        <w:tabs>
          <w:tab w:val="clear" w:pos="567"/>
          <w:tab w:val="left" w:pos="562"/>
        </w:tabs>
        <w:spacing w:line="240" w:lineRule="auto"/>
        <w:ind w:right="-2"/>
        <w:rPr>
          <w:del w:id="13370" w:author="AbbVie_HU_03" w:date="2025-05-14T16:41:00Z"/>
        </w:rPr>
      </w:pPr>
      <w:del w:id="13371" w:author="AbbVie_HU_03" w:date="2025-05-14T16:41:00Z">
        <w:r w:rsidRPr="00183B5F">
          <w:delText>érzészavarok, például bizsergés, szurkáló érzés vagy zsibbadás</w:delText>
        </w:r>
        <w:r w:rsidR="00135BAE" w:rsidRPr="00183B5F">
          <w:delText>;</w:delText>
        </w:r>
      </w:del>
    </w:p>
    <w:p w14:paraId="00006230" w14:textId="5054213F" w:rsidR="00FB6710" w:rsidRPr="00183B5F" w:rsidRDefault="00943743" w:rsidP="007276E0">
      <w:pPr>
        <w:numPr>
          <w:ilvl w:val="0"/>
          <w:numId w:val="54"/>
        </w:numPr>
        <w:tabs>
          <w:tab w:val="clear" w:pos="567"/>
          <w:tab w:val="left" w:pos="562"/>
        </w:tabs>
        <w:spacing w:line="240" w:lineRule="auto"/>
        <w:ind w:right="-2"/>
        <w:rPr>
          <w:del w:id="13372" w:author="AbbVie_HU_03" w:date="2025-05-14T16:41:00Z"/>
        </w:rPr>
      </w:pPr>
      <w:del w:id="13373" w:author="AbbVie_HU_03" w:date="2025-05-14T16:41:00Z">
        <w:r w:rsidRPr="00183B5F">
          <w:delText>migrén</w:delText>
        </w:r>
        <w:r w:rsidR="00135BAE" w:rsidRPr="00183B5F">
          <w:delText>;</w:delText>
        </w:r>
      </w:del>
    </w:p>
    <w:p w14:paraId="29C38D60" w14:textId="5D50EFF4" w:rsidR="00FB6710" w:rsidRPr="00183B5F" w:rsidRDefault="00943743" w:rsidP="007276E0">
      <w:pPr>
        <w:numPr>
          <w:ilvl w:val="0"/>
          <w:numId w:val="54"/>
        </w:numPr>
        <w:tabs>
          <w:tab w:val="clear" w:pos="567"/>
          <w:tab w:val="left" w:pos="562"/>
        </w:tabs>
        <w:spacing w:line="240" w:lineRule="auto"/>
        <w:ind w:right="-2"/>
        <w:rPr>
          <w:del w:id="13374" w:author="AbbVie_HU_03" w:date="2025-05-14T16:41:00Z"/>
        </w:rPr>
      </w:pPr>
      <w:del w:id="13375" w:author="AbbVie_HU_03" w:date="2025-05-14T16:41:00Z">
        <w:r w:rsidRPr="00183B5F">
          <w:delText>ideggyök nyomási tünetei (beleértve a derékfájdalmat és a lábfájást is)</w:delText>
        </w:r>
        <w:r w:rsidR="004C2FFA" w:rsidRPr="00183B5F">
          <w:delText>;</w:delText>
        </w:r>
      </w:del>
    </w:p>
    <w:p w14:paraId="4E136FB8" w14:textId="0269D4A4" w:rsidR="00FB6710" w:rsidRPr="00183B5F" w:rsidRDefault="00943743" w:rsidP="007276E0">
      <w:pPr>
        <w:numPr>
          <w:ilvl w:val="0"/>
          <w:numId w:val="54"/>
        </w:numPr>
        <w:tabs>
          <w:tab w:val="clear" w:pos="567"/>
          <w:tab w:val="left" w:pos="562"/>
        </w:tabs>
        <w:spacing w:line="240" w:lineRule="auto"/>
        <w:ind w:right="-2"/>
        <w:rPr>
          <w:del w:id="13376" w:author="AbbVie_HU_03" w:date="2025-05-14T16:41:00Z"/>
        </w:rPr>
      </w:pPr>
      <w:del w:id="13377" w:author="AbbVie_HU_03" w:date="2025-05-14T16:41:00Z">
        <w:r w:rsidRPr="00183B5F">
          <w:delText>látászavar</w:delText>
        </w:r>
        <w:r w:rsidR="004C2FFA" w:rsidRPr="00183B5F">
          <w:delText>;</w:delText>
        </w:r>
      </w:del>
    </w:p>
    <w:p w14:paraId="5AB1D749" w14:textId="6A92CAC3" w:rsidR="00FB6710" w:rsidRPr="00183B5F" w:rsidRDefault="00943743" w:rsidP="007276E0">
      <w:pPr>
        <w:numPr>
          <w:ilvl w:val="0"/>
          <w:numId w:val="54"/>
        </w:numPr>
        <w:tabs>
          <w:tab w:val="clear" w:pos="567"/>
          <w:tab w:val="left" w:pos="562"/>
        </w:tabs>
        <w:spacing w:line="240" w:lineRule="auto"/>
        <w:ind w:right="-2"/>
        <w:rPr>
          <w:del w:id="13378" w:author="AbbVie_HU_03" w:date="2025-05-14T16:41:00Z"/>
        </w:rPr>
      </w:pPr>
      <w:del w:id="13379" w:author="AbbVie_HU_03" w:date="2025-05-14T16:41:00Z">
        <w:r w:rsidRPr="00183B5F">
          <w:delText>szemgyulladás</w:delText>
        </w:r>
        <w:r w:rsidR="004C2FFA" w:rsidRPr="00183B5F">
          <w:delText>;</w:delText>
        </w:r>
      </w:del>
    </w:p>
    <w:p w14:paraId="739CE581" w14:textId="3CB9CD16" w:rsidR="00352607" w:rsidRPr="00183B5F" w:rsidRDefault="00943743" w:rsidP="007276E0">
      <w:pPr>
        <w:numPr>
          <w:ilvl w:val="0"/>
          <w:numId w:val="54"/>
        </w:numPr>
        <w:tabs>
          <w:tab w:val="clear" w:pos="567"/>
          <w:tab w:val="left" w:pos="562"/>
        </w:tabs>
        <w:spacing w:line="240" w:lineRule="auto"/>
        <w:ind w:right="-2"/>
        <w:rPr>
          <w:del w:id="13380" w:author="AbbVie_HU_03" w:date="2025-05-14T16:41:00Z"/>
        </w:rPr>
      </w:pPr>
      <w:del w:id="13381" w:author="AbbVie_HU_03" w:date="2025-05-14T16:41:00Z">
        <w:r w:rsidRPr="00183B5F">
          <w:delText xml:space="preserve">a szemhéj gyulladása és a szem </w:delText>
        </w:r>
        <w:r w:rsidR="00590938" w:rsidRPr="00183B5F">
          <w:delText>duzzanata</w:delText>
        </w:r>
        <w:r w:rsidR="004C2FFA" w:rsidRPr="00183B5F">
          <w:delText>;</w:delText>
        </w:r>
      </w:del>
    </w:p>
    <w:p w14:paraId="651D8BD5" w14:textId="6CBA9F1A" w:rsidR="00FB6710" w:rsidRPr="00183B5F" w:rsidRDefault="00943743" w:rsidP="007276E0">
      <w:pPr>
        <w:numPr>
          <w:ilvl w:val="0"/>
          <w:numId w:val="54"/>
        </w:numPr>
        <w:spacing w:line="240" w:lineRule="auto"/>
        <w:ind w:right="-2"/>
        <w:rPr>
          <w:del w:id="13382" w:author="AbbVie_HU_03" w:date="2025-05-14T16:41:00Z"/>
        </w:rPr>
      </w:pPr>
      <w:del w:id="13383" w:author="AbbVie_HU_03" w:date="2025-05-14T16:41:00Z">
        <w:r w:rsidRPr="00183B5F">
          <w:delText>forgó jellegű szédülés</w:delText>
        </w:r>
        <w:r w:rsidR="004C2FFA" w:rsidRPr="00183B5F">
          <w:delText>;</w:delText>
        </w:r>
      </w:del>
    </w:p>
    <w:p w14:paraId="398A61E4" w14:textId="124F8426" w:rsidR="00FB6710" w:rsidRPr="00183B5F" w:rsidRDefault="00943743" w:rsidP="007276E0">
      <w:pPr>
        <w:numPr>
          <w:ilvl w:val="0"/>
          <w:numId w:val="54"/>
        </w:numPr>
        <w:tabs>
          <w:tab w:val="clear" w:pos="567"/>
          <w:tab w:val="left" w:pos="562"/>
        </w:tabs>
        <w:spacing w:line="240" w:lineRule="auto"/>
        <w:ind w:right="-2"/>
        <w:rPr>
          <w:del w:id="13384" w:author="AbbVie_HU_03" w:date="2025-05-14T16:41:00Z"/>
        </w:rPr>
      </w:pPr>
      <w:del w:id="13385" w:author="AbbVie_HU_03" w:date="2025-05-14T16:41:00Z">
        <w:r w:rsidRPr="00183B5F">
          <w:delText>gyors szívverés érzés</w:delText>
        </w:r>
        <w:r w:rsidR="004C2FFA" w:rsidRPr="00183B5F">
          <w:delText>;</w:delText>
        </w:r>
      </w:del>
    </w:p>
    <w:p w14:paraId="0CDA36CE" w14:textId="2FB69423" w:rsidR="00FB6710" w:rsidRPr="00183B5F" w:rsidRDefault="00943743" w:rsidP="007276E0">
      <w:pPr>
        <w:numPr>
          <w:ilvl w:val="0"/>
          <w:numId w:val="54"/>
        </w:numPr>
        <w:tabs>
          <w:tab w:val="clear" w:pos="567"/>
          <w:tab w:val="left" w:pos="562"/>
        </w:tabs>
        <w:spacing w:line="240" w:lineRule="auto"/>
        <w:ind w:right="-2"/>
        <w:rPr>
          <w:del w:id="13386" w:author="AbbVie_HU_03" w:date="2025-05-14T16:41:00Z"/>
        </w:rPr>
      </w:pPr>
      <w:del w:id="13387" w:author="AbbVie_HU_03" w:date="2025-05-14T16:41:00Z">
        <w:r w:rsidRPr="00183B5F">
          <w:delText>magas vérnyomás</w:delText>
        </w:r>
        <w:r w:rsidR="004C2FFA" w:rsidRPr="00183B5F">
          <w:delText>;</w:delText>
        </w:r>
      </w:del>
    </w:p>
    <w:p w14:paraId="2A75418C" w14:textId="0387F5EB" w:rsidR="00FB6710" w:rsidRPr="00183B5F" w:rsidRDefault="00943743" w:rsidP="007276E0">
      <w:pPr>
        <w:numPr>
          <w:ilvl w:val="0"/>
          <w:numId w:val="54"/>
        </w:numPr>
        <w:tabs>
          <w:tab w:val="clear" w:pos="567"/>
          <w:tab w:val="left" w:pos="562"/>
        </w:tabs>
        <w:spacing w:line="240" w:lineRule="auto"/>
        <w:ind w:right="-2"/>
        <w:rPr>
          <w:del w:id="13388" w:author="AbbVie_HU_03" w:date="2025-05-14T16:41:00Z"/>
        </w:rPr>
      </w:pPr>
      <w:del w:id="13389" w:author="AbbVie_HU_03" w:date="2025-05-14T16:41:00Z">
        <w:r w:rsidRPr="00183B5F">
          <w:delText>kipirulás</w:delText>
        </w:r>
        <w:r w:rsidR="004C2FFA" w:rsidRPr="00183B5F">
          <w:delText>;</w:delText>
        </w:r>
      </w:del>
    </w:p>
    <w:p w14:paraId="6F6060FD" w14:textId="0A4ED7F3" w:rsidR="00FB6710" w:rsidRPr="00183B5F" w:rsidRDefault="00943743" w:rsidP="007276E0">
      <w:pPr>
        <w:numPr>
          <w:ilvl w:val="0"/>
          <w:numId w:val="54"/>
        </w:numPr>
        <w:tabs>
          <w:tab w:val="clear" w:pos="567"/>
          <w:tab w:val="left" w:pos="562"/>
        </w:tabs>
        <w:spacing w:line="240" w:lineRule="auto"/>
        <w:ind w:right="-2"/>
        <w:rPr>
          <w:del w:id="13390" w:author="AbbVie_HU_03" w:date="2025-05-14T16:41:00Z"/>
        </w:rPr>
      </w:pPr>
      <w:del w:id="13391" w:author="AbbVie_HU_03" w:date="2025-05-14T16:41:00Z">
        <w:r w:rsidRPr="00183B5F">
          <w:delText>vérömleny</w:delText>
        </w:r>
        <w:r w:rsidR="004C2FFA" w:rsidRPr="00183B5F">
          <w:delText>;</w:delText>
        </w:r>
      </w:del>
    </w:p>
    <w:p w14:paraId="5F75AE8A" w14:textId="21F13FCE" w:rsidR="00FB6710" w:rsidRPr="00183B5F" w:rsidRDefault="00943743" w:rsidP="007276E0">
      <w:pPr>
        <w:numPr>
          <w:ilvl w:val="0"/>
          <w:numId w:val="54"/>
        </w:numPr>
        <w:spacing w:line="240" w:lineRule="auto"/>
        <w:ind w:right="-2"/>
        <w:rPr>
          <w:del w:id="13392" w:author="AbbVie_HU_03" w:date="2025-05-14T16:41:00Z"/>
        </w:rPr>
      </w:pPr>
      <w:del w:id="13393" w:author="AbbVie_HU_03" w:date="2025-05-14T16:41:00Z">
        <w:r w:rsidRPr="00183B5F">
          <w:delText>köhögés</w:delText>
        </w:r>
        <w:r w:rsidR="004C2FFA" w:rsidRPr="00183B5F">
          <w:delText>;</w:delText>
        </w:r>
      </w:del>
    </w:p>
    <w:p w14:paraId="40B5BBE0" w14:textId="4AFAAF60" w:rsidR="00FB6710" w:rsidRPr="00183B5F" w:rsidRDefault="00943743" w:rsidP="007276E0">
      <w:pPr>
        <w:numPr>
          <w:ilvl w:val="0"/>
          <w:numId w:val="54"/>
        </w:numPr>
        <w:spacing w:line="240" w:lineRule="auto"/>
        <w:ind w:right="-2"/>
        <w:rPr>
          <w:del w:id="13394" w:author="AbbVie_HU_03" w:date="2025-05-14T16:41:00Z"/>
        </w:rPr>
      </w:pPr>
      <w:del w:id="13395" w:author="AbbVie_HU_03" w:date="2025-05-14T16:41:00Z">
        <w:r w:rsidRPr="00183B5F">
          <w:delText>asztma</w:delText>
        </w:r>
        <w:r w:rsidR="004C2FFA" w:rsidRPr="00183B5F">
          <w:delText>;</w:delText>
        </w:r>
      </w:del>
    </w:p>
    <w:p w14:paraId="16F54EC1" w14:textId="3A0F72F2" w:rsidR="00FB6710" w:rsidRPr="00183B5F" w:rsidRDefault="00943743" w:rsidP="007276E0">
      <w:pPr>
        <w:numPr>
          <w:ilvl w:val="0"/>
          <w:numId w:val="54"/>
        </w:numPr>
        <w:spacing w:line="240" w:lineRule="auto"/>
        <w:ind w:right="-2"/>
        <w:rPr>
          <w:del w:id="13396" w:author="AbbVie_HU_03" w:date="2025-05-14T16:41:00Z"/>
        </w:rPr>
      </w:pPr>
      <w:del w:id="13397" w:author="AbbVie_HU_03" w:date="2025-05-14T16:41:00Z">
        <w:r w:rsidRPr="00183B5F">
          <w:delText>légszomj</w:delText>
        </w:r>
        <w:r w:rsidR="004C2FFA" w:rsidRPr="00183B5F">
          <w:delText>;</w:delText>
        </w:r>
      </w:del>
    </w:p>
    <w:p w14:paraId="5BDAF570" w14:textId="40FB9D99" w:rsidR="00FB6710" w:rsidRPr="00183B5F" w:rsidRDefault="00943743" w:rsidP="007276E0">
      <w:pPr>
        <w:numPr>
          <w:ilvl w:val="0"/>
          <w:numId w:val="54"/>
        </w:numPr>
        <w:spacing w:line="240" w:lineRule="auto"/>
        <w:ind w:right="-2"/>
        <w:rPr>
          <w:del w:id="13398" w:author="AbbVie_HU_03" w:date="2025-05-14T16:41:00Z"/>
        </w:rPr>
      </w:pPr>
      <w:del w:id="13399" w:author="AbbVie_HU_03" w:date="2025-05-14T16:41:00Z">
        <w:r w:rsidRPr="00183B5F">
          <w:delText>tápcsatorna eredetű vérzés</w:delText>
        </w:r>
        <w:r w:rsidR="004C2FFA" w:rsidRPr="00183B5F">
          <w:delText>;</w:delText>
        </w:r>
      </w:del>
    </w:p>
    <w:p w14:paraId="7A06B3C8" w14:textId="62488F61" w:rsidR="00FB6710" w:rsidRPr="00183B5F" w:rsidRDefault="00943743" w:rsidP="007276E0">
      <w:pPr>
        <w:numPr>
          <w:ilvl w:val="0"/>
          <w:numId w:val="54"/>
        </w:numPr>
        <w:spacing w:line="240" w:lineRule="auto"/>
        <w:ind w:right="-2"/>
        <w:rPr>
          <w:del w:id="13400" w:author="AbbVie_HU_03" w:date="2025-05-14T16:41:00Z"/>
        </w:rPr>
      </w:pPr>
      <w:del w:id="13401" w:author="AbbVie_HU_03" w:date="2025-05-14T16:41:00Z">
        <w:r w:rsidRPr="00183B5F">
          <w:delText>diszpepszia (emésztési zavar, puffadás, gyomorégés)</w:delText>
        </w:r>
        <w:r w:rsidR="004C2FFA" w:rsidRPr="00183B5F">
          <w:delText>;</w:delText>
        </w:r>
      </w:del>
    </w:p>
    <w:p w14:paraId="6E2C07A6" w14:textId="37FE2A0D" w:rsidR="00FB6710" w:rsidRPr="00183B5F" w:rsidRDefault="00943743" w:rsidP="007276E0">
      <w:pPr>
        <w:numPr>
          <w:ilvl w:val="0"/>
          <w:numId w:val="54"/>
        </w:numPr>
        <w:spacing w:line="240" w:lineRule="auto"/>
        <w:ind w:right="-2"/>
        <w:rPr>
          <w:del w:id="13402" w:author="AbbVie_HU_03" w:date="2025-05-14T16:41:00Z"/>
        </w:rPr>
      </w:pPr>
      <w:del w:id="13403" w:author="AbbVie_HU_03" w:date="2025-05-14T16:41:00Z">
        <w:r w:rsidRPr="00183B5F">
          <w:delText>a gyomorsav visszafolyása a nyelőcsőbe</w:delText>
        </w:r>
        <w:r w:rsidR="004C2FFA" w:rsidRPr="00183B5F">
          <w:delText>;</w:delText>
        </w:r>
      </w:del>
    </w:p>
    <w:p w14:paraId="2A2E5F38" w14:textId="53C6221D" w:rsidR="00FB6710" w:rsidRPr="00183B5F" w:rsidRDefault="00943743" w:rsidP="007276E0">
      <w:pPr>
        <w:numPr>
          <w:ilvl w:val="0"/>
          <w:numId w:val="54"/>
        </w:numPr>
        <w:spacing w:line="240" w:lineRule="auto"/>
        <w:ind w:right="-2"/>
        <w:rPr>
          <w:del w:id="13404" w:author="AbbVie_HU_03" w:date="2025-05-14T16:41:00Z"/>
        </w:rPr>
      </w:pPr>
      <w:del w:id="13405" w:author="AbbVie_HU_03" w:date="2025-05-14T16:41:00Z">
        <w:r w:rsidRPr="00183B5F">
          <w:delText>szikka-szindróma (beleértve a száraz szemet és a száraz szájat is)</w:delText>
        </w:r>
        <w:r w:rsidR="004C2FFA" w:rsidRPr="00183B5F">
          <w:delText>;</w:delText>
        </w:r>
      </w:del>
    </w:p>
    <w:p w14:paraId="5007C12F" w14:textId="1FDB0E37" w:rsidR="00FB6710" w:rsidRPr="00183B5F" w:rsidRDefault="00943743" w:rsidP="007276E0">
      <w:pPr>
        <w:numPr>
          <w:ilvl w:val="0"/>
          <w:numId w:val="54"/>
        </w:numPr>
        <w:spacing w:line="240" w:lineRule="auto"/>
        <w:ind w:right="-2"/>
        <w:rPr>
          <w:del w:id="13406" w:author="AbbVie_HU_03" w:date="2025-05-14T16:41:00Z"/>
        </w:rPr>
      </w:pPr>
      <w:del w:id="13407" w:author="AbbVie_HU_03" w:date="2025-05-14T16:41:00Z">
        <w:r w:rsidRPr="00183B5F">
          <w:delText>bőrviszketés</w:delText>
        </w:r>
        <w:r w:rsidR="004C2FFA" w:rsidRPr="00183B5F">
          <w:delText>;</w:delText>
        </w:r>
      </w:del>
    </w:p>
    <w:p w14:paraId="548AF9BF" w14:textId="4A31FCFD" w:rsidR="00FB6710" w:rsidRPr="00183B5F" w:rsidRDefault="00943743" w:rsidP="007276E0">
      <w:pPr>
        <w:numPr>
          <w:ilvl w:val="0"/>
          <w:numId w:val="54"/>
        </w:numPr>
        <w:spacing w:line="240" w:lineRule="auto"/>
        <w:ind w:right="-2"/>
        <w:rPr>
          <w:del w:id="13408" w:author="AbbVie_HU_03" w:date="2025-05-14T16:41:00Z"/>
        </w:rPr>
      </w:pPr>
      <w:del w:id="13409" w:author="AbbVie_HU_03" w:date="2025-05-14T16:41:00Z">
        <w:r w:rsidRPr="00183B5F">
          <w:delText>viszkető bőrkiütés</w:delText>
        </w:r>
        <w:r w:rsidR="004C2FFA" w:rsidRPr="00183B5F">
          <w:delText>;</w:delText>
        </w:r>
      </w:del>
    </w:p>
    <w:p w14:paraId="729BEDC6" w14:textId="2F1CB2E7" w:rsidR="00FB6710" w:rsidRPr="00183B5F" w:rsidRDefault="00943743" w:rsidP="007276E0">
      <w:pPr>
        <w:numPr>
          <w:ilvl w:val="0"/>
          <w:numId w:val="54"/>
        </w:numPr>
        <w:spacing w:line="240" w:lineRule="auto"/>
        <w:ind w:right="-2"/>
        <w:rPr>
          <w:del w:id="13410" w:author="AbbVie_HU_03" w:date="2025-05-14T16:41:00Z"/>
        </w:rPr>
      </w:pPr>
      <w:del w:id="13411" w:author="AbbVie_HU_03" w:date="2025-05-14T16:41:00Z">
        <w:r w:rsidRPr="00183B5F">
          <w:delText>véraláfutás</w:delText>
        </w:r>
        <w:r w:rsidR="004C2FFA" w:rsidRPr="00183B5F">
          <w:delText>;</w:delText>
        </w:r>
      </w:del>
    </w:p>
    <w:p w14:paraId="62FDB984" w14:textId="4A993B80" w:rsidR="00FB6710" w:rsidRPr="00183B5F" w:rsidRDefault="00943743" w:rsidP="007276E0">
      <w:pPr>
        <w:numPr>
          <w:ilvl w:val="0"/>
          <w:numId w:val="54"/>
        </w:numPr>
        <w:spacing w:line="240" w:lineRule="auto"/>
        <w:ind w:right="-2"/>
        <w:rPr>
          <w:del w:id="13412" w:author="AbbVie_HU_03" w:date="2025-05-14T16:41:00Z"/>
        </w:rPr>
      </w:pPr>
      <w:del w:id="13413" w:author="AbbVie_HU_03" w:date="2025-05-14T16:41:00Z">
        <w:r w:rsidRPr="00183B5F">
          <w:delText>bőrgyulladás (mint például az ekcéma)</w:delText>
        </w:r>
        <w:r w:rsidR="004C2FFA" w:rsidRPr="00183B5F">
          <w:delText>;</w:delText>
        </w:r>
      </w:del>
    </w:p>
    <w:p w14:paraId="3AC2EF12" w14:textId="3D382A58" w:rsidR="00FB6710" w:rsidRPr="00183B5F" w:rsidRDefault="00943743" w:rsidP="007276E0">
      <w:pPr>
        <w:numPr>
          <w:ilvl w:val="0"/>
          <w:numId w:val="54"/>
        </w:numPr>
        <w:spacing w:line="240" w:lineRule="auto"/>
        <w:ind w:right="-2"/>
        <w:rPr>
          <w:del w:id="13414" w:author="AbbVie_HU_03" w:date="2025-05-14T16:41:00Z"/>
        </w:rPr>
      </w:pPr>
      <w:del w:id="13415" w:author="AbbVie_HU_03" w:date="2025-05-14T16:41:00Z">
        <w:r w:rsidRPr="00183B5F">
          <w:delText>a kéz- és lábujjkörmök töredezése</w:delText>
        </w:r>
        <w:r w:rsidR="004C2FFA" w:rsidRPr="00183B5F">
          <w:delText>;</w:delText>
        </w:r>
      </w:del>
    </w:p>
    <w:p w14:paraId="635A5184" w14:textId="40A8F366" w:rsidR="00FB6710" w:rsidRPr="00183B5F" w:rsidRDefault="00943743" w:rsidP="007276E0">
      <w:pPr>
        <w:numPr>
          <w:ilvl w:val="0"/>
          <w:numId w:val="54"/>
        </w:numPr>
        <w:spacing w:line="240" w:lineRule="auto"/>
        <w:ind w:right="-2"/>
        <w:rPr>
          <w:del w:id="13416" w:author="AbbVie_HU_03" w:date="2025-05-14T16:41:00Z"/>
        </w:rPr>
      </w:pPr>
      <w:del w:id="13417" w:author="AbbVie_HU_03" w:date="2025-05-14T16:41:00Z">
        <w:r w:rsidRPr="00183B5F">
          <w:delText>fokozott verejtékezés</w:delText>
        </w:r>
        <w:r w:rsidR="004C2FFA" w:rsidRPr="00183B5F">
          <w:delText>;</w:delText>
        </w:r>
      </w:del>
    </w:p>
    <w:p w14:paraId="1AF615D7" w14:textId="08D7B39F" w:rsidR="00722F59" w:rsidRPr="00183B5F" w:rsidRDefault="00943743" w:rsidP="007276E0">
      <w:pPr>
        <w:numPr>
          <w:ilvl w:val="0"/>
          <w:numId w:val="54"/>
        </w:numPr>
        <w:spacing w:line="240" w:lineRule="auto"/>
        <w:ind w:right="-2"/>
        <w:rPr>
          <w:del w:id="13418" w:author="AbbVie_HU_03" w:date="2025-05-14T16:41:00Z"/>
        </w:rPr>
      </w:pPr>
      <w:del w:id="13419" w:author="AbbVie_HU_03" w:date="2025-05-14T16:41:00Z">
        <w:r w:rsidRPr="00183B5F">
          <w:rPr>
            <w:szCs w:val="22"/>
          </w:rPr>
          <w:delText>hajhullás</w:delText>
        </w:r>
        <w:r w:rsidR="004C2FFA" w:rsidRPr="00183B5F">
          <w:rPr>
            <w:szCs w:val="22"/>
          </w:rPr>
          <w:delText>;</w:delText>
        </w:r>
      </w:del>
    </w:p>
    <w:p w14:paraId="6DB08742" w14:textId="251F0745" w:rsidR="00722F59" w:rsidRPr="00183B5F" w:rsidRDefault="00943743" w:rsidP="007276E0">
      <w:pPr>
        <w:numPr>
          <w:ilvl w:val="0"/>
          <w:numId w:val="54"/>
        </w:numPr>
        <w:spacing w:line="240" w:lineRule="auto"/>
        <w:ind w:right="-2"/>
        <w:rPr>
          <w:del w:id="13420" w:author="AbbVie_HU_03" w:date="2025-05-14T16:41:00Z"/>
        </w:rPr>
      </w:pPr>
      <w:del w:id="13421" w:author="AbbVie_HU_03" w:date="2025-05-14T16:41:00Z">
        <w:r w:rsidRPr="00183B5F">
          <w:rPr>
            <w:szCs w:val="22"/>
          </w:rPr>
          <w:delText>pikkelysömör megjelenése vagy rosszabbodása</w:delText>
        </w:r>
        <w:r w:rsidR="004C2FFA" w:rsidRPr="00183B5F">
          <w:rPr>
            <w:szCs w:val="22"/>
          </w:rPr>
          <w:delText>;</w:delText>
        </w:r>
      </w:del>
    </w:p>
    <w:p w14:paraId="2841EAFC" w14:textId="4AAC1279" w:rsidR="00FB6710" w:rsidRPr="00183B5F" w:rsidRDefault="00943743" w:rsidP="007276E0">
      <w:pPr>
        <w:numPr>
          <w:ilvl w:val="0"/>
          <w:numId w:val="54"/>
        </w:numPr>
        <w:spacing w:line="240" w:lineRule="auto"/>
        <w:ind w:right="-2"/>
        <w:rPr>
          <w:del w:id="13422" w:author="AbbVie_HU_03" w:date="2025-05-14T16:41:00Z"/>
        </w:rPr>
      </w:pPr>
      <w:del w:id="13423" w:author="AbbVie_HU_03" w:date="2025-05-14T16:41:00Z">
        <w:r w:rsidRPr="00183B5F">
          <w:delText>izomgörcsök</w:delText>
        </w:r>
        <w:r w:rsidR="004C2FFA" w:rsidRPr="00183B5F">
          <w:delText>;</w:delText>
        </w:r>
      </w:del>
    </w:p>
    <w:p w14:paraId="03E090B4" w14:textId="0251F743" w:rsidR="00FB6710" w:rsidRPr="00183B5F" w:rsidRDefault="00943743" w:rsidP="007276E0">
      <w:pPr>
        <w:numPr>
          <w:ilvl w:val="0"/>
          <w:numId w:val="54"/>
        </w:numPr>
        <w:spacing w:line="240" w:lineRule="auto"/>
        <w:ind w:right="-2"/>
        <w:rPr>
          <w:del w:id="13424" w:author="AbbVie_HU_03" w:date="2025-05-14T16:41:00Z"/>
        </w:rPr>
      </w:pPr>
      <w:del w:id="13425" w:author="AbbVie_HU_03" w:date="2025-05-14T16:41:00Z">
        <w:r w:rsidRPr="00183B5F">
          <w:delText>véres vizelet</w:delText>
        </w:r>
        <w:r w:rsidR="004C2FFA" w:rsidRPr="00183B5F">
          <w:delText>;</w:delText>
        </w:r>
      </w:del>
    </w:p>
    <w:p w14:paraId="591C03FC" w14:textId="408C0605" w:rsidR="00FB6710" w:rsidRPr="00183B5F" w:rsidRDefault="00943743" w:rsidP="007276E0">
      <w:pPr>
        <w:numPr>
          <w:ilvl w:val="0"/>
          <w:numId w:val="54"/>
        </w:numPr>
        <w:spacing w:line="240" w:lineRule="auto"/>
        <w:ind w:right="-2"/>
        <w:rPr>
          <w:del w:id="13426" w:author="AbbVie_HU_03" w:date="2025-05-14T16:41:00Z"/>
        </w:rPr>
      </w:pPr>
      <w:del w:id="13427" w:author="AbbVie_HU_03" w:date="2025-05-14T16:41:00Z">
        <w:r w:rsidRPr="00183B5F">
          <w:delText>veseproblémák</w:delText>
        </w:r>
        <w:r w:rsidR="004C2FFA" w:rsidRPr="00183B5F">
          <w:delText>;</w:delText>
        </w:r>
      </w:del>
    </w:p>
    <w:p w14:paraId="22D1B609" w14:textId="32007D15" w:rsidR="00FB6710" w:rsidRPr="00183B5F" w:rsidRDefault="00943743" w:rsidP="007276E0">
      <w:pPr>
        <w:numPr>
          <w:ilvl w:val="0"/>
          <w:numId w:val="54"/>
        </w:numPr>
        <w:spacing w:line="240" w:lineRule="auto"/>
        <w:ind w:right="-2"/>
        <w:rPr>
          <w:del w:id="13428" w:author="AbbVie_HU_03" w:date="2025-05-14T16:41:00Z"/>
        </w:rPr>
      </w:pPr>
      <w:del w:id="13429" w:author="AbbVie_HU_03" w:date="2025-05-14T16:41:00Z">
        <w:r w:rsidRPr="00183B5F">
          <w:delText>mellkasi fájdalom</w:delText>
        </w:r>
        <w:r w:rsidR="004C2FFA" w:rsidRPr="00183B5F">
          <w:delText>;</w:delText>
        </w:r>
      </w:del>
    </w:p>
    <w:p w14:paraId="624148CA" w14:textId="51BF8A80" w:rsidR="00FB6710" w:rsidRPr="00183B5F" w:rsidRDefault="00943743" w:rsidP="007276E0">
      <w:pPr>
        <w:numPr>
          <w:ilvl w:val="0"/>
          <w:numId w:val="54"/>
        </w:numPr>
        <w:spacing w:line="240" w:lineRule="auto"/>
        <w:ind w:right="-2"/>
        <w:rPr>
          <w:del w:id="13430" w:author="AbbVie_HU_03" w:date="2025-05-14T16:41:00Z"/>
        </w:rPr>
      </w:pPr>
      <w:del w:id="13431" w:author="AbbVie_HU_03" w:date="2025-05-14T16:41:00Z">
        <w:r w:rsidRPr="00183B5F">
          <w:delText>vizenyő</w:delText>
        </w:r>
        <w:r w:rsidR="004C2FFA" w:rsidRPr="00183B5F">
          <w:delText>;</w:delText>
        </w:r>
      </w:del>
    </w:p>
    <w:p w14:paraId="7D925F32" w14:textId="5FBAC62B" w:rsidR="00352607" w:rsidRPr="00183B5F" w:rsidRDefault="00943743" w:rsidP="007276E0">
      <w:pPr>
        <w:numPr>
          <w:ilvl w:val="0"/>
          <w:numId w:val="54"/>
        </w:numPr>
        <w:spacing w:line="240" w:lineRule="auto"/>
        <w:ind w:right="-2"/>
        <w:rPr>
          <w:del w:id="13432" w:author="AbbVie_HU_03" w:date="2025-05-14T16:41:00Z"/>
        </w:rPr>
      </w:pPr>
      <w:del w:id="13433" w:author="AbbVie_HU_03" w:date="2025-05-14T16:41:00Z">
        <w:r w:rsidRPr="00183B5F">
          <w:delText>láz</w:delText>
        </w:r>
        <w:r w:rsidR="004C2FFA" w:rsidRPr="00183B5F">
          <w:delText>;</w:delText>
        </w:r>
      </w:del>
    </w:p>
    <w:p w14:paraId="735AFDFE" w14:textId="1E126B67" w:rsidR="00FB6710" w:rsidRPr="00183B5F" w:rsidRDefault="00943743" w:rsidP="007276E0">
      <w:pPr>
        <w:numPr>
          <w:ilvl w:val="0"/>
          <w:numId w:val="54"/>
        </w:numPr>
        <w:spacing w:line="240" w:lineRule="auto"/>
        <w:ind w:right="-2"/>
        <w:rPr>
          <w:del w:id="13434" w:author="AbbVie_HU_03" w:date="2025-05-14T16:41:00Z"/>
        </w:rPr>
      </w:pPr>
      <w:del w:id="13435" w:author="AbbVie_HU_03" w:date="2025-05-14T16:41:00Z">
        <w:r w:rsidRPr="00183B5F">
          <w:delText>a vérlemezkék számának csökkenése, ami növeli a vérzés vagy a véraláfutás kialakulásának kockázatát</w:delText>
        </w:r>
        <w:r w:rsidR="004C2FFA" w:rsidRPr="00183B5F">
          <w:delText>;</w:delText>
        </w:r>
      </w:del>
    </w:p>
    <w:p w14:paraId="04CEEACB" w14:textId="41E42C05" w:rsidR="00FB6710" w:rsidRPr="00183B5F" w:rsidRDefault="00943743" w:rsidP="007276E0">
      <w:pPr>
        <w:numPr>
          <w:ilvl w:val="0"/>
          <w:numId w:val="54"/>
        </w:numPr>
        <w:spacing w:line="240" w:lineRule="auto"/>
        <w:ind w:right="-2"/>
        <w:rPr>
          <w:del w:id="13436" w:author="AbbVie_HU_03" w:date="2025-05-14T16:41:00Z"/>
        </w:rPr>
      </w:pPr>
      <w:del w:id="13437" w:author="AbbVie_HU_03" w:date="2025-05-14T16:41:00Z">
        <w:r w:rsidRPr="00183B5F">
          <w:delText>csökkent gyógyulási készség</w:delText>
        </w:r>
        <w:r w:rsidR="004C2FFA" w:rsidRPr="00183B5F">
          <w:delText>.</w:delText>
        </w:r>
      </w:del>
    </w:p>
    <w:p w14:paraId="1112286B" w14:textId="6979974D" w:rsidR="00FB6710" w:rsidRPr="00183B5F" w:rsidRDefault="00FB6710" w:rsidP="007276E0">
      <w:pPr>
        <w:spacing w:line="240" w:lineRule="auto"/>
        <w:ind w:right="-2"/>
        <w:rPr>
          <w:del w:id="13438" w:author="AbbVie_HU_03" w:date="2025-05-14T16:41:00Z"/>
          <w:szCs w:val="22"/>
        </w:rPr>
      </w:pPr>
    </w:p>
    <w:p w14:paraId="00A54CF8" w14:textId="3680B619" w:rsidR="00FB6710" w:rsidRPr="00183B5F" w:rsidRDefault="00943743" w:rsidP="007276E0">
      <w:pPr>
        <w:keepNext/>
        <w:spacing w:line="240" w:lineRule="auto"/>
        <w:rPr>
          <w:del w:id="13439" w:author="AbbVie_HU_03" w:date="2025-05-14T16:41:00Z"/>
          <w:szCs w:val="22"/>
        </w:rPr>
      </w:pPr>
      <w:del w:id="13440" w:author="AbbVie_HU_03" w:date="2025-05-14T16:41:00Z">
        <w:r w:rsidRPr="00183B5F">
          <w:rPr>
            <w:szCs w:val="22"/>
          </w:rPr>
          <w:delText>Nem gyakori (100</w:delText>
        </w:r>
        <w:r w:rsidR="00141743" w:rsidRPr="00183B5F">
          <w:rPr>
            <w:szCs w:val="22"/>
          </w:rPr>
          <w:delText> </w:delText>
        </w:r>
        <w:r w:rsidR="00DA7A92" w:rsidRPr="00183B5F">
          <w:rPr>
            <w:szCs w:val="22"/>
          </w:rPr>
          <w:delText>beteg</w:delText>
        </w:r>
        <w:r w:rsidR="00573B90" w:rsidRPr="00183B5F">
          <w:rPr>
            <w:szCs w:val="22"/>
          </w:rPr>
          <w:delText xml:space="preserve"> </w:delText>
        </w:r>
        <w:r w:rsidRPr="00183B5F">
          <w:rPr>
            <w:szCs w:val="22"/>
          </w:rPr>
          <w:delText xml:space="preserve">közül </w:delText>
        </w:r>
        <w:r w:rsidR="00573B90" w:rsidRPr="00183B5F">
          <w:rPr>
            <w:szCs w:val="22"/>
          </w:rPr>
          <w:delText>legfeljebb</w:delText>
        </w:r>
        <w:r w:rsidRPr="00183B5F">
          <w:rPr>
            <w:szCs w:val="22"/>
          </w:rPr>
          <w:delText xml:space="preserve"> 1</w:delText>
        </w:r>
        <w:r w:rsidR="00141743" w:rsidRPr="00183B5F">
          <w:rPr>
            <w:szCs w:val="22"/>
          </w:rPr>
          <w:noBreakHyphen/>
        </w:r>
        <w:r w:rsidR="00573B90" w:rsidRPr="00183B5F">
          <w:rPr>
            <w:szCs w:val="22"/>
          </w:rPr>
          <w:delText>nél</w:delText>
        </w:r>
        <w:r w:rsidRPr="00183B5F">
          <w:rPr>
            <w:szCs w:val="22"/>
          </w:rPr>
          <w:delText xml:space="preserve"> kialakuló)</w:delText>
        </w:r>
      </w:del>
    </w:p>
    <w:p w14:paraId="60866D21" w14:textId="02D6AF22" w:rsidR="004C2FFA" w:rsidRPr="00183B5F" w:rsidRDefault="004C2FFA" w:rsidP="007276E0">
      <w:pPr>
        <w:keepNext/>
        <w:spacing w:line="240" w:lineRule="auto"/>
        <w:rPr>
          <w:del w:id="13441" w:author="AbbVie_HU_03" w:date="2025-05-14T16:41:00Z"/>
          <w:szCs w:val="22"/>
        </w:rPr>
      </w:pPr>
    </w:p>
    <w:p w14:paraId="20157D2F" w14:textId="20CAB01F" w:rsidR="00FB6710" w:rsidRPr="00183B5F" w:rsidRDefault="00943743" w:rsidP="007276E0">
      <w:pPr>
        <w:numPr>
          <w:ilvl w:val="0"/>
          <w:numId w:val="55"/>
        </w:numPr>
        <w:tabs>
          <w:tab w:val="clear" w:pos="567"/>
          <w:tab w:val="left" w:pos="562"/>
        </w:tabs>
        <w:spacing w:line="240" w:lineRule="auto"/>
        <w:ind w:right="-2"/>
        <w:rPr>
          <w:del w:id="13442" w:author="AbbVie_HU_03" w:date="2025-05-14T16:41:00Z"/>
          <w:szCs w:val="22"/>
        </w:rPr>
      </w:pPr>
      <w:del w:id="13443" w:author="AbbVie_HU_03" w:date="2025-05-14T16:41:00Z">
        <w:r w:rsidRPr="00183B5F">
          <w:rPr>
            <w:szCs w:val="22"/>
          </w:rPr>
          <w:delText>opportunista fertőzések (ezek közé tartozik a tuberkulózis és más, olyan fertőzések, amelyek akkor alakulnak ki, amikor a betegségekkel szembeni ellenállóképesség lecsökken)</w:delText>
        </w:r>
        <w:r w:rsidR="004C2FFA" w:rsidRPr="00183B5F">
          <w:rPr>
            <w:szCs w:val="22"/>
          </w:rPr>
          <w:delText>;</w:delText>
        </w:r>
      </w:del>
    </w:p>
    <w:p w14:paraId="73702C1E" w14:textId="0F258158" w:rsidR="00FB6710" w:rsidRPr="00183B5F" w:rsidRDefault="00943743" w:rsidP="007276E0">
      <w:pPr>
        <w:numPr>
          <w:ilvl w:val="0"/>
          <w:numId w:val="55"/>
        </w:numPr>
        <w:tabs>
          <w:tab w:val="clear" w:pos="567"/>
          <w:tab w:val="left" w:pos="562"/>
        </w:tabs>
        <w:spacing w:line="240" w:lineRule="auto"/>
        <w:ind w:right="-2"/>
        <w:rPr>
          <w:del w:id="13444" w:author="AbbVie_HU_03" w:date="2025-05-14T16:41:00Z"/>
          <w:szCs w:val="22"/>
        </w:rPr>
      </w:pPr>
      <w:del w:id="13445" w:author="AbbVie_HU_03" w:date="2025-05-14T16:41:00Z">
        <w:r w:rsidRPr="00183B5F">
          <w:rPr>
            <w:szCs w:val="22"/>
          </w:rPr>
          <w:delText>ideggyógyászati eredetű fertőzések (beleértve a vírusos eredetű agyhártyagyulladást is)</w:delText>
        </w:r>
        <w:r w:rsidR="004C2FFA" w:rsidRPr="00183B5F">
          <w:rPr>
            <w:szCs w:val="22"/>
          </w:rPr>
          <w:delText>;</w:delText>
        </w:r>
      </w:del>
    </w:p>
    <w:p w14:paraId="31597602" w14:textId="44EAAEA5" w:rsidR="00FB6710" w:rsidRPr="00183B5F" w:rsidRDefault="00943743" w:rsidP="007276E0">
      <w:pPr>
        <w:numPr>
          <w:ilvl w:val="0"/>
          <w:numId w:val="55"/>
        </w:numPr>
        <w:spacing w:line="240" w:lineRule="auto"/>
        <w:ind w:right="-2"/>
        <w:rPr>
          <w:del w:id="13446" w:author="AbbVie_HU_03" w:date="2025-05-14T16:41:00Z"/>
        </w:rPr>
      </w:pPr>
      <w:del w:id="13447" w:author="AbbVie_HU_03" w:date="2025-05-14T16:41:00Z">
        <w:r w:rsidRPr="00183B5F">
          <w:delText>szemfertőzések</w:delText>
        </w:r>
        <w:r w:rsidR="004C2FFA" w:rsidRPr="00183B5F">
          <w:delText>;</w:delText>
        </w:r>
      </w:del>
    </w:p>
    <w:p w14:paraId="5010EEFC" w14:textId="6D1A2D5A" w:rsidR="00FB6710" w:rsidRPr="00183B5F" w:rsidRDefault="00943743" w:rsidP="007276E0">
      <w:pPr>
        <w:numPr>
          <w:ilvl w:val="0"/>
          <w:numId w:val="55"/>
        </w:numPr>
        <w:spacing w:line="240" w:lineRule="auto"/>
        <w:ind w:right="-2"/>
        <w:rPr>
          <w:del w:id="13448" w:author="AbbVie_HU_03" w:date="2025-05-14T16:41:00Z"/>
        </w:rPr>
      </w:pPr>
      <w:del w:id="13449" w:author="AbbVie_HU_03" w:date="2025-05-14T16:41:00Z">
        <w:r w:rsidRPr="00183B5F">
          <w:delText>baktériumok okozta fertőzések</w:delText>
        </w:r>
        <w:r w:rsidR="004C2FFA" w:rsidRPr="00183B5F">
          <w:delText>;</w:delText>
        </w:r>
      </w:del>
    </w:p>
    <w:p w14:paraId="34AD2598" w14:textId="541C8973" w:rsidR="00722F59" w:rsidRPr="00183B5F" w:rsidRDefault="00943743" w:rsidP="007276E0">
      <w:pPr>
        <w:numPr>
          <w:ilvl w:val="0"/>
          <w:numId w:val="55"/>
        </w:numPr>
        <w:spacing w:line="240" w:lineRule="auto"/>
        <w:ind w:right="-2"/>
        <w:rPr>
          <w:del w:id="13450" w:author="AbbVie_HU_03" w:date="2025-05-14T16:41:00Z"/>
        </w:rPr>
      </w:pPr>
      <w:del w:id="13451" w:author="AbbVie_HU_03" w:date="2025-05-14T16:41:00Z">
        <w:r w:rsidRPr="00183B5F">
          <w:delText>divertikulitisz (vastagbélgyulladás és -fertőzés)</w:delText>
        </w:r>
        <w:r w:rsidR="004C2FFA" w:rsidRPr="00183B5F">
          <w:delText>;</w:delText>
        </w:r>
      </w:del>
    </w:p>
    <w:p w14:paraId="71880F35" w14:textId="734B314F" w:rsidR="00FB6710" w:rsidRPr="00183B5F" w:rsidRDefault="00943743" w:rsidP="007276E0">
      <w:pPr>
        <w:numPr>
          <w:ilvl w:val="0"/>
          <w:numId w:val="55"/>
        </w:numPr>
        <w:spacing w:line="240" w:lineRule="auto"/>
        <w:ind w:right="-2"/>
        <w:rPr>
          <w:del w:id="13452" w:author="AbbVie_HU_03" w:date="2025-05-14T16:41:00Z"/>
        </w:rPr>
      </w:pPr>
      <w:del w:id="13453" w:author="AbbVie_HU_03" w:date="2025-05-14T16:41:00Z">
        <w:r w:rsidRPr="00183B5F">
          <w:delText>rák</w:delText>
        </w:r>
        <w:r w:rsidR="004C2FFA" w:rsidRPr="00183B5F">
          <w:delText>;</w:delText>
        </w:r>
      </w:del>
    </w:p>
    <w:p w14:paraId="0BBC600A" w14:textId="08DBD513" w:rsidR="00FB6710" w:rsidRPr="00183B5F" w:rsidRDefault="00943743" w:rsidP="007276E0">
      <w:pPr>
        <w:numPr>
          <w:ilvl w:val="0"/>
          <w:numId w:val="55"/>
        </w:numPr>
        <w:spacing w:line="240" w:lineRule="auto"/>
        <w:ind w:right="-2"/>
        <w:rPr>
          <w:del w:id="13454" w:author="AbbVie_HU_03" w:date="2025-05-14T16:41:00Z"/>
        </w:rPr>
      </w:pPr>
      <w:del w:id="13455" w:author="AbbVie_HU_03" w:date="2025-05-14T16:41:00Z">
        <w:r w:rsidRPr="00183B5F">
          <w:delText>rák, amely a nyirokrendszert támadja meg</w:delText>
        </w:r>
        <w:r w:rsidR="004C2FFA" w:rsidRPr="00183B5F">
          <w:delText>;</w:delText>
        </w:r>
      </w:del>
    </w:p>
    <w:p w14:paraId="54BD15CE" w14:textId="255D08F8" w:rsidR="00FB6710" w:rsidRPr="00183B5F" w:rsidRDefault="00943743" w:rsidP="007276E0">
      <w:pPr>
        <w:numPr>
          <w:ilvl w:val="0"/>
          <w:numId w:val="55"/>
        </w:numPr>
        <w:spacing w:line="240" w:lineRule="auto"/>
        <w:ind w:right="-2"/>
        <w:rPr>
          <w:del w:id="13456" w:author="AbbVie_HU_03" w:date="2025-05-14T16:41:00Z"/>
        </w:rPr>
      </w:pPr>
      <w:del w:id="13457" w:author="AbbVie_HU_03" w:date="2025-05-14T16:41:00Z">
        <w:r w:rsidRPr="00183B5F">
          <w:delText>melan</w:delText>
        </w:r>
        <w:r w:rsidR="00472E28" w:rsidRPr="00183B5F">
          <w:delText>ó</w:delText>
        </w:r>
        <w:r w:rsidRPr="00183B5F">
          <w:delText>ma</w:delText>
        </w:r>
        <w:r w:rsidR="004C2FFA" w:rsidRPr="00183B5F">
          <w:delText>;</w:delText>
        </w:r>
      </w:del>
    </w:p>
    <w:p w14:paraId="74FA662F" w14:textId="3CBAE633" w:rsidR="00722F59" w:rsidRPr="00183B5F" w:rsidRDefault="00943743" w:rsidP="007276E0">
      <w:pPr>
        <w:numPr>
          <w:ilvl w:val="0"/>
          <w:numId w:val="55"/>
        </w:numPr>
        <w:spacing w:line="240" w:lineRule="auto"/>
        <w:ind w:right="-2"/>
        <w:rPr>
          <w:del w:id="13458" w:author="AbbVie_HU_03" w:date="2025-05-14T16:41:00Z"/>
        </w:rPr>
      </w:pPr>
      <w:del w:id="13459" w:author="AbbVie_HU_03" w:date="2025-05-14T16:41:00Z">
        <w:r w:rsidRPr="00183B5F">
          <w:delText>a szervezet védekező rendszerének betegségei, amelyek érinthetik a tüdőt, a bőrt és a nyirokcsomókat (leggyakrabban szarkoidózisként jelentkezik)</w:delText>
        </w:r>
        <w:r w:rsidR="004C2FFA" w:rsidRPr="00183B5F">
          <w:delText>;</w:delText>
        </w:r>
      </w:del>
    </w:p>
    <w:p w14:paraId="452F1DEC" w14:textId="248724C2" w:rsidR="00274457" w:rsidRPr="00183B5F" w:rsidRDefault="00943743" w:rsidP="007276E0">
      <w:pPr>
        <w:numPr>
          <w:ilvl w:val="0"/>
          <w:numId w:val="55"/>
        </w:numPr>
        <w:spacing w:line="240" w:lineRule="auto"/>
        <w:ind w:right="-2"/>
        <w:rPr>
          <w:del w:id="13460" w:author="AbbVie_HU_03" w:date="2025-05-14T16:41:00Z"/>
        </w:rPr>
      </w:pPr>
      <w:del w:id="13461" w:author="AbbVie_HU_03" w:date="2025-05-14T16:41:00Z">
        <w:r w:rsidRPr="00183B5F">
          <w:delText>vaszkulitisz (</w:delText>
        </w:r>
        <w:r w:rsidR="00831942" w:rsidRPr="00183B5F">
          <w:delText>ér</w:delText>
        </w:r>
        <w:r w:rsidRPr="00183B5F">
          <w:delText>gyulladás)</w:delText>
        </w:r>
        <w:r w:rsidR="004C2FFA" w:rsidRPr="00183B5F">
          <w:delText>;</w:delText>
        </w:r>
      </w:del>
    </w:p>
    <w:p w14:paraId="3B9BC286" w14:textId="6C76B46B" w:rsidR="00FB6710" w:rsidRPr="00183B5F" w:rsidRDefault="00943743" w:rsidP="007276E0">
      <w:pPr>
        <w:numPr>
          <w:ilvl w:val="0"/>
          <w:numId w:val="55"/>
        </w:numPr>
        <w:spacing w:line="240" w:lineRule="auto"/>
        <w:ind w:right="-2"/>
        <w:rPr>
          <w:del w:id="13462" w:author="AbbVie_HU_03" w:date="2025-05-14T16:41:00Z"/>
        </w:rPr>
      </w:pPr>
      <w:del w:id="13463" w:author="AbbVie_HU_03" w:date="2025-05-14T16:41:00Z">
        <w:r w:rsidRPr="00183B5F">
          <w:delText>remegés</w:delText>
        </w:r>
        <w:r w:rsidR="004C2FFA" w:rsidRPr="00183B5F">
          <w:delText>;</w:delText>
        </w:r>
      </w:del>
    </w:p>
    <w:p w14:paraId="618255B6" w14:textId="163E82C8" w:rsidR="00722F59" w:rsidRPr="00183B5F" w:rsidRDefault="00943743" w:rsidP="007276E0">
      <w:pPr>
        <w:numPr>
          <w:ilvl w:val="0"/>
          <w:numId w:val="55"/>
        </w:numPr>
        <w:spacing w:line="240" w:lineRule="auto"/>
        <w:ind w:right="-2"/>
        <w:rPr>
          <w:del w:id="13464" w:author="AbbVie_HU_03" w:date="2025-05-14T16:41:00Z"/>
        </w:rPr>
      </w:pPr>
      <w:del w:id="13465" w:author="AbbVie_HU_03" w:date="2025-05-14T16:41:00Z">
        <w:r w:rsidRPr="00183B5F">
          <w:delText>szélütés</w:delText>
        </w:r>
        <w:r w:rsidR="004C2FFA" w:rsidRPr="00183B5F">
          <w:delText>;</w:delText>
        </w:r>
      </w:del>
    </w:p>
    <w:p w14:paraId="601F0873" w14:textId="3938EA2B" w:rsidR="00274D31" w:rsidRPr="00183B5F" w:rsidRDefault="00943743" w:rsidP="007276E0">
      <w:pPr>
        <w:numPr>
          <w:ilvl w:val="0"/>
          <w:numId w:val="55"/>
        </w:numPr>
        <w:spacing w:line="240" w:lineRule="auto"/>
        <w:ind w:right="-2"/>
        <w:rPr>
          <w:del w:id="13466" w:author="AbbVie_HU_03" w:date="2025-05-14T16:41:00Z"/>
        </w:rPr>
      </w:pPr>
      <w:del w:id="13467" w:author="AbbVie_HU_03" w:date="2025-05-14T16:41:00Z">
        <w:r w:rsidRPr="00183B5F">
          <w:rPr>
            <w:szCs w:val="22"/>
          </w:rPr>
          <w:delText>érzékzavar</w:delText>
        </w:r>
        <w:r w:rsidR="004C2FFA" w:rsidRPr="00183B5F">
          <w:rPr>
            <w:szCs w:val="22"/>
          </w:rPr>
          <w:delText>;</w:delText>
        </w:r>
      </w:del>
    </w:p>
    <w:p w14:paraId="2193FBBF" w14:textId="3BBDDE54" w:rsidR="00FB6710" w:rsidRPr="00183B5F" w:rsidRDefault="00943743" w:rsidP="007276E0">
      <w:pPr>
        <w:numPr>
          <w:ilvl w:val="0"/>
          <w:numId w:val="55"/>
        </w:numPr>
        <w:spacing w:line="240" w:lineRule="auto"/>
        <w:ind w:right="-2"/>
        <w:rPr>
          <w:del w:id="13468" w:author="AbbVie_HU_03" w:date="2025-05-14T16:41:00Z"/>
        </w:rPr>
      </w:pPr>
      <w:del w:id="13469" w:author="AbbVie_HU_03" w:date="2025-05-14T16:41:00Z">
        <w:r w:rsidRPr="00183B5F">
          <w:delText>halláscsökkenés, fülzúgás</w:delText>
        </w:r>
        <w:r w:rsidR="004C2FFA" w:rsidRPr="00183B5F">
          <w:delText>;</w:delText>
        </w:r>
      </w:del>
    </w:p>
    <w:p w14:paraId="452D8B4E" w14:textId="0240A568" w:rsidR="00FB6710" w:rsidRPr="00183B5F" w:rsidRDefault="00943743" w:rsidP="007276E0">
      <w:pPr>
        <w:numPr>
          <w:ilvl w:val="0"/>
          <w:numId w:val="55"/>
        </w:numPr>
        <w:spacing w:line="240" w:lineRule="auto"/>
        <w:ind w:right="-2"/>
        <w:rPr>
          <w:del w:id="13470" w:author="AbbVie_HU_03" w:date="2025-05-14T16:41:00Z"/>
        </w:rPr>
      </w:pPr>
      <w:del w:id="13471" w:author="AbbVie_HU_03" w:date="2025-05-14T16:41:00Z">
        <w:r w:rsidRPr="00183B5F">
          <w:delText>szabálytalan szívverés érzése, mint például kimaradó szívverés</w:delText>
        </w:r>
        <w:r w:rsidR="004C2FFA" w:rsidRPr="00183B5F">
          <w:delText>;</w:delText>
        </w:r>
      </w:del>
    </w:p>
    <w:p w14:paraId="7F45FCA9" w14:textId="08880470" w:rsidR="00FB6710" w:rsidRPr="00183B5F" w:rsidRDefault="00943743" w:rsidP="007276E0">
      <w:pPr>
        <w:numPr>
          <w:ilvl w:val="0"/>
          <w:numId w:val="55"/>
        </w:numPr>
        <w:spacing w:line="240" w:lineRule="auto"/>
        <w:ind w:right="-2"/>
        <w:rPr>
          <w:del w:id="13472" w:author="AbbVie_HU_03" w:date="2025-05-14T16:41:00Z"/>
        </w:rPr>
      </w:pPr>
      <w:del w:id="13473" w:author="AbbVie_HU_03" w:date="2025-05-14T16:41:00Z">
        <w:r w:rsidRPr="00183B5F">
          <w:delText>szívproblémák, amelyek például nehézlégzést vagy bokadagadást okozhatnak</w:delText>
        </w:r>
        <w:r w:rsidR="004C2FFA" w:rsidRPr="00183B5F">
          <w:delText>;</w:delText>
        </w:r>
      </w:del>
    </w:p>
    <w:p w14:paraId="3AFACA9E" w14:textId="1B5FB01C" w:rsidR="00902B1A" w:rsidRPr="00183B5F" w:rsidRDefault="00943743" w:rsidP="007276E0">
      <w:pPr>
        <w:numPr>
          <w:ilvl w:val="0"/>
          <w:numId w:val="55"/>
        </w:numPr>
        <w:spacing w:line="240" w:lineRule="auto"/>
        <w:ind w:right="-2"/>
        <w:rPr>
          <w:del w:id="13474" w:author="AbbVie_HU_03" w:date="2025-05-14T16:41:00Z"/>
        </w:rPr>
      </w:pPr>
      <w:del w:id="13475" w:author="AbbVie_HU_03" w:date="2025-05-14T16:41:00Z">
        <w:r w:rsidRPr="00183B5F">
          <w:delText>szívroham</w:delText>
        </w:r>
        <w:r w:rsidR="004C2FFA" w:rsidRPr="00183B5F">
          <w:delText>;</w:delText>
        </w:r>
      </w:del>
    </w:p>
    <w:p w14:paraId="423BE68A" w14:textId="41B7304E" w:rsidR="00274D31" w:rsidRPr="00183B5F" w:rsidRDefault="00943743" w:rsidP="007276E0">
      <w:pPr>
        <w:numPr>
          <w:ilvl w:val="0"/>
          <w:numId w:val="55"/>
        </w:numPr>
        <w:spacing w:line="240" w:lineRule="auto"/>
        <w:ind w:right="-2"/>
        <w:rPr>
          <w:del w:id="13476" w:author="AbbVie_HU_03" w:date="2025-05-14T16:41:00Z"/>
        </w:rPr>
      </w:pPr>
      <w:del w:id="13477" w:author="AbbVie_HU_03" w:date="2025-05-14T16:41:00Z">
        <w:r w:rsidRPr="00183B5F">
          <w:rPr>
            <w:szCs w:val="22"/>
          </w:rPr>
          <w:delText>kiöblösödés valamely nagy ütőérben, gyulladás és vérrögképződés valamelyik vénában, érelzáródás</w:delText>
        </w:r>
        <w:r w:rsidR="004C2FFA" w:rsidRPr="00183B5F">
          <w:rPr>
            <w:szCs w:val="22"/>
          </w:rPr>
          <w:delText>;</w:delText>
        </w:r>
      </w:del>
    </w:p>
    <w:p w14:paraId="0F081F7E" w14:textId="3264C4A2" w:rsidR="00FB6710" w:rsidRPr="00183B5F" w:rsidRDefault="00943743" w:rsidP="007276E0">
      <w:pPr>
        <w:numPr>
          <w:ilvl w:val="0"/>
          <w:numId w:val="55"/>
        </w:numPr>
        <w:spacing w:line="240" w:lineRule="auto"/>
        <w:ind w:right="-2"/>
        <w:rPr>
          <w:del w:id="13478" w:author="AbbVie_HU_03" w:date="2025-05-14T16:41:00Z"/>
        </w:rPr>
      </w:pPr>
      <w:del w:id="13479" w:author="AbbVie_HU_03" w:date="2025-05-14T16:41:00Z">
        <w:r w:rsidRPr="00183B5F">
          <w:delText>nehézlégzést okozó tüdőbetegségek (beleértve a gyulladást is)</w:delText>
        </w:r>
        <w:r w:rsidR="004C2FFA" w:rsidRPr="00183B5F">
          <w:delText>;</w:delText>
        </w:r>
      </w:del>
    </w:p>
    <w:p w14:paraId="45ACD2B4" w14:textId="07F6AAE9" w:rsidR="00902B1A" w:rsidRPr="00183B5F" w:rsidRDefault="00943743" w:rsidP="007276E0">
      <w:pPr>
        <w:numPr>
          <w:ilvl w:val="0"/>
          <w:numId w:val="55"/>
        </w:numPr>
        <w:spacing w:line="240" w:lineRule="auto"/>
        <w:ind w:right="-2"/>
        <w:rPr>
          <w:del w:id="13480" w:author="AbbVie_HU_03" w:date="2025-05-14T16:41:00Z"/>
        </w:rPr>
      </w:pPr>
      <w:del w:id="13481" w:author="AbbVie_HU_03" w:date="2025-05-14T16:41:00Z">
        <w:r w:rsidRPr="00183B5F">
          <w:delText>tüdőembólia (a tüdőt ellátó ér elzáródása)</w:delText>
        </w:r>
        <w:r w:rsidR="004C2FFA" w:rsidRPr="00183B5F">
          <w:delText>;</w:delText>
        </w:r>
      </w:del>
    </w:p>
    <w:p w14:paraId="121C2A7F" w14:textId="06624D7B" w:rsidR="00902B1A" w:rsidRPr="00183B5F" w:rsidRDefault="00943743" w:rsidP="007276E0">
      <w:pPr>
        <w:numPr>
          <w:ilvl w:val="0"/>
          <w:numId w:val="55"/>
        </w:numPr>
        <w:spacing w:line="240" w:lineRule="auto"/>
        <w:ind w:right="-2"/>
        <w:rPr>
          <w:del w:id="13482" w:author="AbbVie_HU_03" w:date="2025-05-14T16:41:00Z"/>
        </w:rPr>
      </w:pPr>
      <w:del w:id="13483" w:author="AbbVie_HU_03" w:date="2025-05-14T16:41:00Z">
        <w:r w:rsidRPr="00183B5F">
          <w:delText>pleurális folyadékgyülem (a mellhártyák között kóros folyadékgyülem)</w:delText>
        </w:r>
        <w:r w:rsidR="004C2FFA" w:rsidRPr="00183B5F">
          <w:delText>;</w:delText>
        </w:r>
      </w:del>
    </w:p>
    <w:p w14:paraId="5D96FB37" w14:textId="55660DDE" w:rsidR="00FB6710" w:rsidRPr="00183B5F" w:rsidRDefault="00943743" w:rsidP="007276E0">
      <w:pPr>
        <w:numPr>
          <w:ilvl w:val="0"/>
          <w:numId w:val="55"/>
        </w:numPr>
        <w:spacing w:line="240" w:lineRule="auto"/>
        <w:ind w:right="-2"/>
        <w:rPr>
          <w:del w:id="13484" w:author="AbbVie_HU_03" w:date="2025-05-14T16:41:00Z"/>
        </w:rPr>
      </w:pPr>
      <w:del w:id="13485" w:author="AbbVie_HU_03" w:date="2025-05-14T16:41:00Z">
        <w:r w:rsidRPr="00183B5F">
          <w:delText>hasnyálmirigy</w:delText>
        </w:r>
        <w:r w:rsidR="0023653B" w:rsidRPr="00183B5F">
          <w:noBreakHyphen/>
        </w:r>
        <w:r w:rsidRPr="00183B5F">
          <w:delText>gyulladás ami erős hasi fájdalmat és hátfájást okoz</w:delText>
        </w:r>
        <w:r w:rsidR="004C2FFA" w:rsidRPr="00183B5F">
          <w:delText>;</w:delText>
        </w:r>
      </w:del>
    </w:p>
    <w:p w14:paraId="043045D9" w14:textId="3AA654EB" w:rsidR="00FB6710" w:rsidRPr="00183B5F" w:rsidRDefault="00943743" w:rsidP="007276E0">
      <w:pPr>
        <w:numPr>
          <w:ilvl w:val="0"/>
          <w:numId w:val="55"/>
        </w:numPr>
        <w:spacing w:line="240" w:lineRule="auto"/>
        <w:ind w:right="-2"/>
        <w:rPr>
          <w:del w:id="13486" w:author="AbbVie_HU_03" w:date="2025-05-14T16:41:00Z"/>
        </w:rPr>
      </w:pPr>
      <w:del w:id="13487" w:author="AbbVie_HU_03" w:date="2025-05-14T16:41:00Z">
        <w:r w:rsidRPr="00183B5F">
          <w:delText>nyelészavar</w:delText>
        </w:r>
        <w:r w:rsidR="004C2FFA" w:rsidRPr="00183B5F">
          <w:delText>;</w:delText>
        </w:r>
      </w:del>
    </w:p>
    <w:p w14:paraId="4AF459A4" w14:textId="69253E76" w:rsidR="00FB6710" w:rsidRPr="00183B5F" w:rsidRDefault="00943743" w:rsidP="007276E0">
      <w:pPr>
        <w:numPr>
          <w:ilvl w:val="0"/>
          <w:numId w:val="55"/>
        </w:numPr>
        <w:spacing w:line="240" w:lineRule="auto"/>
        <w:ind w:right="-2"/>
        <w:rPr>
          <w:del w:id="13488" w:author="AbbVie_HU_03" w:date="2025-05-14T16:41:00Z"/>
        </w:rPr>
      </w:pPr>
      <w:del w:id="13489" w:author="AbbVie_HU_03" w:date="2025-05-14T16:41:00Z">
        <w:r w:rsidRPr="00183B5F">
          <w:delText>az arc feldagadása</w:delText>
        </w:r>
        <w:r w:rsidR="004C2FFA" w:rsidRPr="00183B5F">
          <w:delText>;</w:delText>
        </w:r>
      </w:del>
    </w:p>
    <w:p w14:paraId="1B1FD12E" w14:textId="4BD5F9E4" w:rsidR="00FB6710" w:rsidRPr="00183B5F" w:rsidRDefault="00943743" w:rsidP="007276E0">
      <w:pPr>
        <w:numPr>
          <w:ilvl w:val="0"/>
          <w:numId w:val="55"/>
        </w:numPr>
        <w:spacing w:line="240" w:lineRule="auto"/>
        <w:ind w:right="-2"/>
        <w:rPr>
          <w:del w:id="13490" w:author="AbbVie_HU_03" w:date="2025-05-14T16:41:00Z"/>
        </w:rPr>
      </w:pPr>
      <w:del w:id="13491" w:author="AbbVie_HU_03" w:date="2025-05-14T16:41:00Z">
        <w:r w:rsidRPr="00183B5F">
          <w:delText>epehólyaggyulladás, epekövesség</w:delText>
        </w:r>
        <w:r w:rsidR="004C2FFA" w:rsidRPr="00183B5F">
          <w:delText>;</w:delText>
        </w:r>
      </w:del>
    </w:p>
    <w:p w14:paraId="2EA89B11" w14:textId="63D91D8D" w:rsidR="00FB6710" w:rsidRPr="00183B5F" w:rsidRDefault="00943743" w:rsidP="007276E0">
      <w:pPr>
        <w:numPr>
          <w:ilvl w:val="0"/>
          <w:numId w:val="55"/>
        </w:numPr>
        <w:spacing w:line="240" w:lineRule="auto"/>
        <w:ind w:right="-2"/>
        <w:rPr>
          <w:del w:id="13492" w:author="AbbVie_HU_03" w:date="2025-05-14T16:41:00Z"/>
        </w:rPr>
      </w:pPr>
      <w:del w:id="13493" w:author="AbbVie_HU_03" w:date="2025-05-14T16:41:00Z">
        <w:r w:rsidRPr="00183B5F">
          <w:delText>zsírmáj</w:delText>
        </w:r>
        <w:r w:rsidR="004C2FFA" w:rsidRPr="00183B5F">
          <w:delText>;</w:delText>
        </w:r>
      </w:del>
    </w:p>
    <w:p w14:paraId="1551AE59" w14:textId="38B9FD84" w:rsidR="00FB6710" w:rsidRPr="00183B5F" w:rsidRDefault="00943743" w:rsidP="007276E0">
      <w:pPr>
        <w:numPr>
          <w:ilvl w:val="0"/>
          <w:numId w:val="55"/>
        </w:numPr>
        <w:spacing w:line="240" w:lineRule="auto"/>
        <w:ind w:right="-2"/>
        <w:rPr>
          <w:del w:id="13494" w:author="AbbVie_HU_03" w:date="2025-05-14T16:41:00Z"/>
        </w:rPr>
      </w:pPr>
      <w:del w:id="13495" w:author="AbbVie_HU_03" w:date="2025-05-14T16:41:00Z">
        <w:r w:rsidRPr="00183B5F">
          <w:delText xml:space="preserve">éjszakai </w:delText>
        </w:r>
        <w:r w:rsidR="00794706" w:rsidRPr="00183B5F">
          <w:delText>i</w:delText>
        </w:r>
        <w:r w:rsidRPr="00183B5F">
          <w:delText>zzadás</w:delText>
        </w:r>
        <w:r w:rsidR="004C2FFA" w:rsidRPr="00183B5F">
          <w:delText>;</w:delText>
        </w:r>
      </w:del>
    </w:p>
    <w:p w14:paraId="799A57A2" w14:textId="073C9882" w:rsidR="00FB6710" w:rsidRPr="00183B5F" w:rsidRDefault="00943743" w:rsidP="007276E0">
      <w:pPr>
        <w:numPr>
          <w:ilvl w:val="0"/>
          <w:numId w:val="55"/>
        </w:numPr>
        <w:spacing w:line="240" w:lineRule="auto"/>
        <w:ind w:right="-2"/>
        <w:rPr>
          <w:del w:id="13496" w:author="AbbVie_HU_03" w:date="2025-05-14T16:41:00Z"/>
        </w:rPr>
      </w:pPr>
      <w:del w:id="13497" w:author="AbbVie_HU_03" w:date="2025-05-14T16:41:00Z">
        <w:r w:rsidRPr="00183B5F">
          <w:delText>hegképződés</w:delText>
        </w:r>
        <w:r w:rsidR="004C2FFA" w:rsidRPr="00183B5F">
          <w:delText>;</w:delText>
        </w:r>
      </w:del>
    </w:p>
    <w:p w14:paraId="3120D0BF" w14:textId="46C88768" w:rsidR="00FB6710" w:rsidRPr="00183B5F" w:rsidRDefault="00943743" w:rsidP="007276E0">
      <w:pPr>
        <w:numPr>
          <w:ilvl w:val="0"/>
          <w:numId w:val="55"/>
        </w:numPr>
        <w:spacing w:line="240" w:lineRule="auto"/>
        <w:ind w:right="-2"/>
        <w:rPr>
          <w:del w:id="13498" w:author="AbbVie_HU_03" w:date="2025-05-14T16:41:00Z"/>
        </w:rPr>
      </w:pPr>
      <w:del w:id="13499" w:author="AbbVie_HU_03" w:date="2025-05-14T16:41:00Z">
        <w:r w:rsidRPr="00183B5F">
          <w:delText>az izomszövet kóros szétesése</w:delText>
        </w:r>
        <w:r w:rsidR="004C2FFA" w:rsidRPr="00183B5F">
          <w:delText>;</w:delText>
        </w:r>
      </w:del>
    </w:p>
    <w:p w14:paraId="52F502A2" w14:textId="2C6A0E21" w:rsidR="00274D31" w:rsidRPr="00183B5F" w:rsidRDefault="00943743" w:rsidP="007276E0">
      <w:pPr>
        <w:numPr>
          <w:ilvl w:val="0"/>
          <w:numId w:val="55"/>
        </w:numPr>
        <w:spacing w:line="240" w:lineRule="auto"/>
        <w:ind w:right="-2"/>
        <w:rPr>
          <w:del w:id="13500" w:author="AbbVie_HU_03" w:date="2025-05-14T16:41:00Z"/>
        </w:rPr>
      </w:pPr>
      <w:del w:id="13501" w:author="AbbVie_HU_03" w:date="2025-05-14T16:41:00Z">
        <w:r w:rsidRPr="00183B5F">
          <w:rPr>
            <w:szCs w:val="22"/>
          </w:rPr>
          <w:delText>szisztémás lupusz eritematózusz (beleértve a bőr, a szív, a tüdő, az ízületek és más szervrendszerek gyulladását)</w:delText>
        </w:r>
        <w:r w:rsidR="004C2FFA" w:rsidRPr="00183B5F">
          <w:rPr>
            <w:szCs w:val="22"/>
          </w:rPr>
          <w:delText>;</w:delText>
        </w:r>
      </w:del>
    </w:p>
    <w:p w14:paraId="1C72D320" w14:textId="156D8DD9" w:rsidR="00FB6710" w:rsidRPr="00183B5F" w:rsidRDefault="00943743" w:rsidP="007276E0">
      <w:pPr>
        <w:numPr>
          <w:ilvl w:val="0"/>
          <w:numId w:val="55"/>
        </w:numPr>
        <w:spacing w:line="240" w:lineRule="auto"/>
        <w:ind w:right="-2"/>
        <w:rPr>
          <w:del w:id="13502" w:author="AbbVie_HU_03" w:date="2025-05-14T16:41:00Z"/>
        </w:rPr>
      </w:pPr>
      <w:del w:id="13503" w:author="AbbVie_HU_03" w:date="2025-05-14T16:41:00Z">
        <w:r w:rsidRPr="00183B5F">
          <w:delText>az alvás megszakadása</w:delText>
        </w:r>
        <w:r w:rsidR="004C2FFA" w:rsidRPr="00183B5F">
          <w:delText>;</w:delText>
        </w:r>
      </w:del>
    </w:p>
    <w:p w14:paraId="7C1A3708" w14:textId="2B616CF5" w:rsidR="00FB6710" w:rsidRPr="00183B5F" w:rsidRDefault="00943743" w:rsidP="007276E0">
      <w:pPr>
        <w:numPr>
          <w:ilvl w:val="0"/>
          <w:numId w:val="55"/>
        </w:numPr>
        <w:spacing w:line="240" w:lineRule="auto"/>
        <w:ind w:right="-2"/>
        <w:rPr>
          <w:del w:id="13504" w:author="AbbVie_HU_03" w:date="2025-05-14T16:41:00Z"/>
        </w:rPr>
      </w:pPr>
      <w:del w:id="13505" w:author="AbbVie_HU_03" w:date="2025-05-14T16:41:00Z">
        <w:r w:rsidRPr="00183B5F">
          <w:delText>merevedési zavar</w:delText>
        </w:r>
        <w:r w:rsidR="004C2FFA" w:rsidRPr="00183B5F">
          <w:delText>;</w:delText>
        </w:r>
      </w:del>
    </w:p>
    <w:p w14:paraId="14BE27E4" w14:textId="66D6D700" w:rsidR="00FB6710" w:rsidRPr="00183B5F" w:rsidRDefault="00943743" w:rsidP="007276E0">
      <w:pPr>
        <w:numPr>
          <w:ilvl w:val="0"/>
          <w:numId w:val="55"/>
        </w:numPr>
        <w:tabs>
          <w:tab w:val="num" w:pos="1820"/>
        </w:tabs>
        <w:spacing w:line="240" w:lineRule="auto"/>
        <w:ind w:right="-2"/>
        <w:rPr>
          <w:del w:id="13506" w:author="AbbVie_HU_03" w:date="2025-05-14T16:41:00Z"/>
          <w:szCs w:val="22"/>
        </w:rPr>
      </w:pPr>
      <w:del w:id="13507" w:author="AbbVie_HU_03" w:date="2025-05-14T16:41:00Z">
        <w:r w:rsidRPr="00183B5F">
          <w:delText>gyulladások.</w:delText>
        </w:r>
      </w:del>
    </w:p>
    <w:p w14:paraId="5E0D2494" w14:textId="5B031BA7" w:rsidR="00EF793E" w:rsidRPr="00183B5F" w:rsidRDefault="00EF793E" w:rsidP="007276E0">
      <w:pPr>
        <w:spacing w:line="240" w:lineRule="auto"/>
        <w:ind w:right="-2"/>
        <w:rPr>
          <w:del w:id="13508" w:author="AbbVie_HU_03" w:date="2025-05-14T16:41:00Z"/>
          <w:szCs w:val="22"/>
        </w:rPr>
      </w:pPr>
    </w:p>
    <w:p w14:paraId="394117EF" w14:textId="10CCDFC6" w:rsidR="00FB6710" w:rsidRPr="00183B5F" w:rsidRDefault="00943743" w:rsidP="007276E0">
      <w:pPr>
        <w:spacing w:line="240" w:lineRule="auto"/>
        <w:ind w:right="-2"/>
        <w:rPr>
          <w:del w:id="13509" w:author="AbbVie_HU_03" w:date="2025-05-14T16:41:00Z"/>
          <w:szCs w:val="22"/>
        </w:rPr>
      </w:pPr>
      <w:del w:id="13510" w:author="AbbVie_HU_03" w:date="2025-05-14T16:41:00Z">
        <w:r w:rsidRPr="00183B5F">
          <w:rPr>
            <w:szCs w:val="22"/>
          </w:rPr>
          <w:delText>Ritka (1000</w:delText>
        </w:r>
        <w:r w:rsidR="00141743" w:rsidRPr="00183B5F">
          <w:rPr>
            <w:szCs w:val="22"/>
          </w:rPr>
          <w:delText> </w:delText>
        </w:r>
        <w:r w:rsidR="00DA7A92" w:rsidRPr="00183B5F">
          <w:rPr>
            <w:szCs w:val="22"/>
          </w:rPr>
          <w:delText>beteg</w:delText>
        </w:r>
        <w:r w:rsidR="00573B90" w:rsidRPr="00183B5F">
          <w:rPr>
            <w:szCs w:val="22"/>
          </w:rPr>
          <w:delText xml:space="preserve"> </w:delText>
        </w:r>
        <w:r w:rsidRPr="00183B5F">
          <w:rPr>
            <w:szCs w:val="22"/>
          </w:rPr>
          <w:delText xml:space="preserve">közül </w:delText>
        </w:r>
        <w:r w:rsidR="00573B90" w:rsidRPr="00183B5F">
          <w:rPr>
            <w:szCs w:val="22"/>
          </w:rPr>
          <w:delText>legfeljebb</w:delText>
        </w:r>
        <w:r w:rsidRPr="00183B5F">
          <w:rPr>
            <w:szCs w:val="22"/>
          </w:rPr>
          <w:delText xml:space="preserve"> 1</w:delText>
        </w:r>
        <w:r w:rsidR="00141743" w:rsidRPr="00183B5F">
          <w:rPr>
            <w:szCs w:val="22"/>
          </w:rPr>
          <w:noBreakHyphen/>
        </w:r>
        <w:r w:rsidR="00573B90" w:rsidRPr="00183B5F">
          <w:rPr>
            <w:szCs w:val="22"/>
          </w:rPr>
          <w:delText>nél</w:delText>
        </w:r>
        <w:r w:rsidRPr="00183B5F">
          <w:rPr>
            <w:szCs w:val="22"/>
          </w:rPr>
          <w:delText xml:space="preserve"> kialakuló)</w:delText>
        </w:r>
      </w:del>
    </w:p>
    <w:p w14:paraId="11400152" w14:textId="1EB16CAC" w:rsidR="004C2FFA" w:rsidRPr="00183B5F" w:rsidRDefault="004C2FFA" w:rsidP="007276E0">
      <w:pPr>
        <w:spacing w:line="240" w:lineRule="auto"/>
        <w:ind w:right="-2"/>
        <w:rPr>
          <w:del w:id="13511" w:author="AbbVie_HU_03" w:date="2025-05-14T16:41:00Z"/>
          <w:szCs w:val="22"/>
        </w:rPr>
      </w:pPr>
    </w:p>
    <w:p w14:paraId="5F7F63EE" w14:textId="293CF990" w:rsidR="00902B1A" w:rsidRPr="00183B5F" w:rsidRDefault="00943743" w:rsidP="007276E0">
      <w:pPr>
        <w:numPr>
          <w:ilvl w:val="0"/>
          <w:numId w:val="51"/>
        </w:numPr>
        <w:spacing w:line="240" w:lineRule="auto"/>
        <w:ind w:right="-2"/>
        <w:rPr>
          <w:del w:id="13512" w:author="AbbVie_HU_03" w:date="2025-05-14T16:41:00Z"/>
          <w:szCs w:val="22"/>
        </w:rPr>
      </w:pPr>
      <w:del w:id="13513" w:author="AbbVie_HU_03" w:date="2025-05-14T16:41:00Z">
        <w:r w:rsidRPr="00183B5F">
          <w:rPr>
            <w:szCs w:val="22"/>
          </w:rPr>
          <w:delText>leukémia (</w:delText>
        </w:r>
        <w:r w:rsidR="00275926" w:rsidRPr="00183B5F">
          <w:rPr>
            <w:szCs w:val="22"/>
          </w:rPr>
          <w:delText xml:space="preserve">fehérvérűség, </w:delText>
        </w:r>
        <w:r w:rsidRPr="00183B5F">
          <w:rPr>
            <w:szCs w:val="22"/>
          </w:rPr>
          <w:delText>a vérképző rendszer daganata, ami a csontvelőt érinti)</w:delText>
        </w:r>
        <w:r w:rsidR="004C2FFA" w:rsidRPr="00183B5F">
          <w:rPr>
            <w:szCs w:val="22"/>
          </w:rPr>
          <w:delText>;</w:delText>
        </w:r>
      </w:del>
    </w:p>
    <w:p w14:paraId="352983B1" w14:textId="5E418E96" w:rsidR="00902B1A" w:rsidRPr="00183B5F" w:rsidRDefault="00943743" w:rsidP="007276E0">
      <w:pPr>
        <w:numPr>
          <w:ilvl w:val="0"/>
          <w:numId w:val="51"/>
        </w:numPr>
        <w:spacing w:line="240" w:lineRule="auto"/>
        <w:ind w:right="-2"/>
        <w:rPr>
          <w:del w:id="13514" w:author="AbbVie_HU_03" w:date="2025-05-14T16:41:00Z"/>
          <w:szCs w:val="22"/>
        </w:rPr>
      </w:pPr>
      <w:del w:id="13515" w:author="AbbVie_HU_03" w:date="2025-05-14T16:41:00Z">
        <w:r w:rsidRPr="00183B5F">
          <w:rPr>
            <w:szCs w:val="22"/>
          </w:rPr>
          <w:delText>súlyos, sokkot okozó allergiás reakció</w:delText>
        </w:r>
        <w:r w:rsidR="004C2FFA" w:rsidRPr="00183B5F">
          <w:rPr>
            <w:szCs w:val="22"/>
          </w:rPr>
          <w:delText>;</w:delText>
        </w:r>
      </w:del>
    </w:p>
    <w:p w14:paraId="14ADFC2A" w14:textId="24E8470C" w:rsidR="00FB6710" w:rsidRPr="00183B5F" w:rsidRDefault="00943743" w:rsidP="007276E0">
      <w:pPr>
        <w:numPr>
          <w:ilvl w:val="0"/>
          <w:numId w:val="51"/>
        </w:numPr>
        <w:spacing w:line="240" w:lineRule="auto"/>
        <w:ind w:right="-2"/>
        <w:rPr>
          <w:del w:id="13516" w:author="AbbVie_HU_03" w:date="2025-05-14T16:41:00Z"/>
          <w:szCs w:val="22"/>
        </w:rPr>
      </w:pPr>
      <w:del w:id="13517" w:author="AbbVie_HU_03" w:date="2025-05-14T16:41:00Z">
        <w:r w:rsidRPr="00183B5F">
          <w:rPr>
            <w:szCs w:val="22"/>
          </w:rPr>
          <w:delText>szklerózis multiplex</w:delText>
        </w:r>
        <w:r w:rsidR="004C2FFA" w:rsidRPr="00183B5F">
          <w:rPr>
            <w:szCs w:val="22"/>
          </w:rPr>
          <w:delText>;</w:delText>
        </w:r>
      </w:del>
    </w:p>
    <w:p w14:paraId="71AF8915" w14:textId="3F436201" w:rsidR="00902B1A" w:rsidRPr="00183B5F" w:rsidRDefault="00943743" w:rsidP="007276E0">
      <w:pPr>
        <w:numPr>
          <w:ilvl w:val="0"/>
          <w:numId w:val="51"/>
        </w:numPr>
        <w:spacing w:line="240" w:lineRule="auto"/>
        <w:ind w:right="-2"/>
        <w:rPr>
          <w:del w:id="13518" w:author="AbbVie_HU_03" w:date="2025-05-14T16:41:00Z"/>
          <w:szCs w:val="22"/>
        </w:rPr>
      </w:pPr>
      <w:del w:id="13519" w:author="AbbVie_HU_03" w:date="2025-05-14T16:41:00Z">
        <w:r w:rsidRPr="00183B5F">
          <w:rPr>
            <w:szCs w:val="22"/>
          </w:rPr>
          <w:delText>ideggyógyászati betegségek (</w:delText>
        </w:r>
        <w:r w:rsidR="00F15477" w:rsidRPr="00183B5F">
          <w:rPr>
            <w:bCs/>
            <w:szCs w:val="22"/>
          </w:rPr>
          <w:delText>például</w:delText>
        </w:r>
        <w:r w:rsidRPr="00183B5F">
          <w:rPr>
            <w:szCs w:val="22"/>
          </w:rPr>
          <w:delText xml:space="preserve"> a látóideg gyulladása vagy Guilla</w:delText>
        </w:r>
        <w:r w:rsidR="00160F0A" w:rsidRPr="00183B5F">
          <w:rPr>
            <w:szCs w:val="22"/>
          </w:rPr>
          <w:delText>i</w:delText>
        </w:r>
        <w:r w:rsidRPr="00183B5F">
          <w:rPr>
            <w:szCs w:val="22"/>
          </w:rPr>
          <w:delText>n</w:delText>
        </w:r>
        <w:r w:rsidR="00F12F0A" w:rsidRPr="00183B5F">
          <w:rPr>
            <w:szCs w:val="22"/>
          </w:rPr>
          <w:delText>–</w:delText>
        </w:r>
        <w:r w:rsidRPr="00183B5F">
          <w:rPr>
            <w:szCs w:val="22"/>
          </w:rPr>
          <w:delText>Barré-szindróma, ami izomgyengeséget, érzészavart, a karok és a felsőtest zsibbadását okozhatja)</w:delText>
        </w:r>
        <w:r w:rsidR="004C2FFA" w:rsidRPr="00183B5F">
          <w:rPr>
            <w:szCs w:val="22"/>
          </w:rPr>
          <w:delText>;</w:delText>
        </w:r>
      </w:del>
    </w:p>
    <w:p w14:paraId="762AE2D0" w14:textId="58FF67D9" w:rsidR="00FB6710" w:rsidRPr="00183B5F" w:rsidRDefault="00943743" w:rsidP="007276E0">
      <w:pPr>
        <w:numPr>
          <w:ilvl w:val="0"/>
          <w:numId w:val="51"/>
        </w:numPr>
        <w:spacing w:line="240" w:lineRule="auto"/>
        <w:ind w:right="-2"/>
        <w:rPr>
          <w:del w:id="13520" w:author="AbbVie_HU_03" w:date="2025-05-14T16:41:00Z"/>
          <w:szCs w:val="22"/>
        </w:rPr>
      </w:pPr>
      <w:del w:id="13521" w:author="AbbVie_HU_03" w:date="2025-05-14T16:41:00Z">
        <w:r w:rsidRPr="00183B5F">
          <w:rPr>
            <w:szCs w:val="22"/>
          </w:rPr>
          <w:delText>szívleállás</w:delText>
        </w:r>
        <w:r w:rsidR="004C2FFA" w:rsidRPr="00183B5F">
          <w:rPr>
            <w:szCs w:val="22"/>
          </w:rPr>
          <w:delText>;</w:delText>
        </w:r>
      </w:del>
    </w:p>
    <w:p w14:paraId="664C2CE3" w14:textId="7DA710A6" w:rsidR="00902B1A" w:rsidRPr="00183B5F" w:rsidRDefault="00943743" w:rsidP="007276E0">
      <w:pPr>
        <w:pStyle w:val="EMEABullet2"/>
        <w:tabs>
          <w:tab w:val="clear" w:pos="720"/>
          <w:tab w:val="num" w:pos="690"/>
        </w:tabs>
        <w:ind w:left="550" w:hanging="550"/>
        <w:rPr>
          <w:del w:id="13522" w:author="AbbVie_HU_03" w:date="2025-05-14T16:41:00Z"/>
          <w:lang w:val="hu-HU"/>
        </w:rPr>
      </w:pPr>
      <w:del w:id="13523" w:author="AbbVie_HU_03" w:date="2025-05-14T16:41:00Z">
        <w:r w:rsidRPr="00183B5F">
          <w:rPr>
            <w:lang w:val="hu-HU"/>
          </w:rPr>
          <w:delText>tüdőfibrózis (tüdőhegesedés)</w:delText>
        </w:r>
        <w:r w:rsidR="004C2FFA" w:rsidRPr="00183B5F">
          <w:rPr>
            <w:lang w:val="hu-HU"/>
          </w:rPr>
          <w:delText>;</w:delText>
        </w:r>
      </w:del>
    </w:p>
    <w:p w14:paraId="1362ECE4" w14:textId="68E1966F" w:rsidR="00902B1A" w:rsidRPr="00183B5F" w:rsidRDefault="00943743" w:rsidP="007276E0">
      <w:pPr>
        <w:pStyle w:val="EMEABullet2"/>
        <w:tabs>
          <w:tab w:val="clear" w:pos="720"/>
          <w:tab w:val="num" w:pos="690"/>
        </w:tabs>
        <w:ind w:left="550" w:hanging="550"/>
        <w:rPr>
          <w:del w:id="13524" w:author="AbbVie_HU_03" w:date="2025-05-14T16:41:00Z"/>
          <w:lang w:val="hu-HU"/>
        </w:rPr>
      </w:pPr>
      <w:del w:id="13525" w:author="AbbVie_HU_03" w:date="2025-05-14T16:41:00Z">
        <w:r w:rsidRPr="00183B5F">
          <w:rPr>
            <w:lang w:val="hu-HU"/>
          </w:rPr>
          <w:delText>bél átlyukadása</w:delText>
        </w:r>
        <w:r w:rsidR="004C2FFA" w:rsidRPr="00183B5F">
          <w:rPr>
            <w:lang w:val="hu-HU"/>
          </w:rPr>
          <w:delText>;</w:delText>
        </w:r>
      </w:del>
    </w:p>
    <w:p w14:paraId="552693EF" w14:textId="6072ACF5" w:rsidR="00573B90" w:rsidRPr="00183B5F" w:rsidRDefault="00943743" w:rsidP="007276E0">
      <w:pPr>
        <w:pStyle w:val="EMEABullet2"/>
        <w:tabs>
          <w:tab w:val="clear" w:pos="720"/>
          <w:tab w:val="num" w:pos="690"/>
        </w:tabs>
        <w:ind w:left="550" w:hanging="550"/>
        <w:rPr>
          <w:del w:id="13526" w:author="AbbVie_HU_03" w:date="2025-05-14T16:41:00Z"/>
          <w:lang w:val="hu-HU"/>
        </w:rPr>
      </w:pPr>
      <w:del w:id="13527" w:author="AbbVie_HU_03" w:date="2025-05-14T16:41:00Z">
        <w:r w:rsidRPr="00183B5F">
          <w:rPr>
            <w:lang w:val="hu-HU"/>
          </w:rPr>
          <w:delText>májgyulladás</w:delText>
        </w:r>
        <w:r w:rsidR="004C2FFA" w:rsidRPr="00183B5F">
          <w:rPr>
            <w:lang w:val="hu-HU"/>
          </w:rPr>
          <w:delText>;</w:delText>
        </w:r>
      </w:del>
    </w:p>
    <w:p w14:paraId="44061F00" w14:textId="68B024E5" w:rsidR="00902B1A" w:rsidRPr="00183B5F" w:rsidRDefault="00943743" w:rsidP="007276E0">
      <w:pPr>
        <w:pStyle w:val="EMEABullet2"/>
        <w:tabs>
          <w:tab w:val="clear" w:pos="720"/>
          <w:tab w:val="num" w:pos="690"/>
        </w:tabs>
        <w:ind w:left="550" w:hanging="550"/>
        <w:rPr>
          <w:del w:id="13528" w:author="AbbVie_HU_03" w:date="2025-05-14T16:41:00Z"/>
          <w:lang w:val="hu-HU"/>
        </w:rPr>
      </w:pPr>
      <w:del w:id="13529" w:author="AbbVie_HU_03" w:date="2025-05-14T16:41:00Z">
        <w:r w:rsidRPr="00183B5F">
          <w:rPr>
            <w:lang w:val="hu-HU"/>
          </w:rPr>
          <w:delText>B típusú fertőző májgyulladás kiújulása</w:delText>
        </w:r>
        <w:r w:rsidR="004C2FFA" w:rsidRPr="00183B5F">
          <w:rPr>
            <w:lang w:val="hu-HU"/>
          </w:rPr>
          <w:delText>;</w:delText>
        </w:r>
      </w:del>
    </w:p>
    <w:p w14:paraId="39E02169" w14:textId="4DE1413A" w:rsidR="00C02DD9" w:rsidRPr="00183B5F" w:rsidRDefault="00943743" w:rsidP="007276E0">
      <w:pPr>
        <w:pStyle w:val="EMEABullet2"/>
        <w:ind w:left="550" w:hanging="550"/>
        <w:rPr>
          <w:del w:id="13530" w:author="AbbVie_HU_03" w:date="2025-05-14T16:41:00Z"/>
          <w:szCs w:val="22"/>
          <w:lang w:val="hu-HU"/>
        </w:rPr>
      </w:pPr>
      <w:del w:id="13531" w:author="AbbVie_HU_03" w:date="2025-05-14T16:41:00Z">
        <w:r w:rsidRPr="00183B5F">
          <w:rPr>
            <w:lang w:val="hu-HU"/>
          </w:rPr>
          <w:delText>autoimmun májgyulladás (a máj gyulladása, melyet a saját immunrendszer vált ki)</w:delText>
        </w:r>
        <w:r w:rsidR="004C2FFA" w:rsidRPr="00183B5F">
          <w:rPr>
            <w:lang w:val="hu-HU"/>
          </w:rPr>
          <w:delText>;</w:delText>
        </w:r>
      </w:del>
    </w:p>
    <w:p w14:paraId="666E8DE3" w14:textId="7897C614" w:rsidR="00902B1A" w:rsidRPr="00183B5F" w:rsidRDefault="00943743" w:rsidP="007276E0">
      <w:pPr>
        <w:pStyle w:val="EMEABullet2"/>
        <w:tabs>
          <w:tab w:val="clear" w:pos="720"/>
          <w:tab w:val="num" w:pos="690"/>
        </w:tabs>
        <w:ind w:left="550" w:hanging="550"/>
        <w:rPr>
          <w:del w:id="13532" w:author="AbbVie_HU_03" w:date="2025-05-14T16:41:00Z"/>
          <w:szCs w:val="22"/>
          <w:lang w:val="hu-HU"/>
        </w:rPr>
      </w:pPr>
      <w:del w:id="13533" w:author="AbbVie_HU_03" w:date="2025-05-14T16:41:00Z">
        <w:r w:rsidRPr="00183B5F">
          <w:rPr>
            <w:szCs w:val="22"/>
            <w:lang w:val="hu-HU"/>
          </w:rPr>
          <w:delText>kután vaszkulitisz (a bőrben található erek gyulladása)</w:delText>
        </w:r>
        <w:r w:rsidR="004C2FFA" w:rsidRPr="00183B5F">
          <w:rPr>
            <w:szCs w:val="22"/>
            <w:lang w:val="hu-HU"/>
          </w:rPr>
          <w:delText>;</w:delText>
        </w:r>
      </w:del>
    </w:p>
    <w:p w14:paraId="3A462803" w14:textId="22C3BC9D" w:rsidR="00902B1A" w:rsidRPr="00183B5F" w:rsidRDefault="00943743" w:rsidP="007276E0">
      <w:pPr>
        <w:pStyle w:val="EMEABullet2"/>
        <w:tabs>
          <w:tab w:val="clear" w:pos="720"/>
          <w:tab w:val="num" w:pos="690"/>
        </w:tabs>
        <w:ind w:left="550" w:hanging="550"/>
        <w:rPr>
          <w:del w:id="13534" w:author="AbbVie_HU_03" w:date="2025-05-14T16:41:00Z"/>
          <w:szCs w:val="22"/>
          <w:lang w:val="hu-HU"/>
        </w:rPr>
      </w:pPr>
      <w:del w:id="13535" w:author="AbbVie_HU_03" w:date="2025-05-14T16:41:00Z">
        <w:r w:rsidRPr="00183B5F">
          <w:rPr>
            <w:szCs w:val="22"/>
            <w:lang w:val="hu-HU"/>
          </w:rPr>
          <w:delText>Stevens</w:delText>
        </w:r>
        <w:r w:rsidR="00004B4F" w:rsidRPr="00183B5F">
          <w:rPr>
            <w:szCs w:val="22"/>
            <w:lang w:val="hu-HU"/>
          </w:rPr>
          <w:delText>–</w:delText>
        </w:r>
        <w:r w:rsidRPr="00183B5F">
          <w:rPr>
            <w:szCs w:val="22"/>
            <w:lang w:val="hu-HU"/>
          </w:rPr>
          <w:delText>Johnson-szindróma (korai tünetei a rossz közérzet, láz, fejfájás és bőrkiütés)</w:delText>
        </w:r>
        <w:r w:rsidR="004C2FFA" w:rsidRPr="00183B5F">
          <w:rPr>
            <w:szCs w:val="22"/>
            <w:lang w:val="hu-HU"/>
          </w:rPr>
          <w:delText>;</w:delText>
        </w:r>
      </w:del>
    </w:p>
    <w:p w14:paraId="3079E02B" w14:textId="56A64839" w:rsidR="00902B1A" w:rsidRPr="00183B5F" w:rsidRDefault="00943743" w:rsidP="007276E0">
      <w:pPr>
        <w:pStyle w:val="EMEABullet2"/>
        <w:tabs>
          <w:tab w:val="clear" w:pos="720"/>
          <w:tab w:val="num" w:pos="690"/>
        </w:tabs>
        <w:ind w:left="550" w:hanging="550"/>
        <w:rPr>
          <w:del w:id="13536" w:author="AbbVie_HU_03" w:date="2025-05-14T16:41:00Z"/>
          <w:szCs w:val="22"/>
          <w:lang w:val="hu-HU"/>
        </w:rPr>
      </w:pPr>
      <w:del w:id="13537" w:author="AbbVie_HU_03" w:date="2025-05-14T16:41:00Z">
        <w:r w:rsidRPr="00183B5F">
          <w:rPr>
            <w:szCs w:val="22"/>
            <w:lang w:val="hu-HU"/>
          </w:rPr>
          <w:delText>arcduzzanat, amit allergiás reakció kísér</w:delText>
        </w:r>
        <w:r w:rsidR="004C2FFA" w:rsidRPr="00183B5F">
          <w:rPr>
            <w:szCs w:val="22"/>
            <w:lang w:val="hu-HU"/>
          </w:rPr>
          <w:delText>;</w:delText>
        </w:r>
      </w:del>
    </w:p>
    <w:p w14:paraId="4E99ACBC" w14:textId="22389B2E" w:rsidR="00902B1A" w:rsidRPr="00183B5F" w:rsidRDefault="00943743" w:rsidP="007276E0">
      <w:pPr>
        <w:numPr>
          <w:ilvl w:val="0"/>
          <w:numId w:val="56"/>
        </w:numPr>
        <w:spacing w:line="240" w:lineRule="auto"/>
        <w:ind w:right="-2"/>
        <w:rPr>
          <w:del w:id="13538" w:author="AbbVie_HU_03" w:date="2025-05-14T16:41:00Z"/>
          <w:szCs w:val="22"/>
        </w:rPr>
      </w:pPr>
      <w:del w:id="13539" w:author="AbbVie_HU_03" w:date="2025-05-14T16:41:00Z">
        <w:r w:rsidRPr="00183B5F">
          <w:rPr>
            <w:szCs w:val="22"/>
          </w:rPr>
          <w:delText>eritéma multiforme (gyulladásos bőrkiütés)</w:delText>
        </w:r>
        <w:r w:rsidR="004C2FFA" w:rsidRPr="00183B5F">
          <w:rPr>
            <w:szCs w:val="22"/>
          </w:rPr>
          <w:delText>;</w:delText>
        </w:r>
      </w:del>
    </w:p>
    <w:p w14:paraId="78847D56" w14:textId="2C4618B3" w:rsidR="00F41C32" w:rsidRPr="00183B5F" w:rsidRDefault="00943743" w:rsidP="007276E0">
      <w:pPr>
        <w:numPr>
          <w:ilvl w:val="0"/>
          <w:numId w:val="56"/>
        </w:numPr>
        <w:spacing w:line="240" w:lineRule="auto"/>
        <w:ind w:right="-2"/>
        <w:rPr>
          <w:del w:id="13540" w:author="AbbVie_HU_03" w:date="2025-05-14T16:41:00Z"/>
          <w:szCs w:val="22"/>
        </w:rPr>
      </w:pPr>
      <w:del w:id="13541" w:author="AbbVie_HU_03" w:date="2025-05-14T16:41:00Z">
        <w:r w:rsidRPr="00183B5F">
          <w:rPr>
            <w:szCs w:val="22"/>
          </w:rPr>
          <w:delText>lupusz-szerű szindróma;</w:delText>
        </w:r>
      </w:del>
    </w:p>
    <w:p w14:paraId="0DC952AB" w14:textId="758C3A2B" w:rsidR="004900E4" w:rsidRPr="00183B5F" w:rsidRDefault="00943743" w:rsidP="007276E0">
      <w:pPr>
        <w:numPr>
          <w:ilvl w:val="0"/>
          <w:numId w:val="56"/>
        </w:numPr>
        <w:spacing w:line="240" w:lineRule="auto"/>
        <w:ind w:right="-2"/>
        <w:rPr>
          <w:del w:id="13542" w:author="AbbVie_HU_03" w:date="2025-05-14T16:41:00Z"/>
          <w:szCs w:val="22"/>
        </w:rPr>
      </w:pPr>
      <w:del w:id="13543" w:author="AbbVie_HU_03" w:date="2025-05-14T16:41:00Z">
        <w:r w:rsidRPr="00183B5F">
          <w:rPr>
            <w:szCs w:val="22"/>
          </w:rPr>
          <w:delText>angioödéma (helyi bőrduzzanat);</w:delText>
        </w:r>
      </w:del>
    </w:p>
    <w:p w14:paraId="7F751880" w14:textId="5264DE82" w:rsidR="00FB6710" w:rsidRPr="00183B5F" w:rsidRDefault="00943743" w:rsidP="007276E0">
      <w:pPr>
        <w:numPr>
          <w:ilvl w:val="0"/>
          <w:numId w:val="56"/>
        </w:numPr>
        <w:spacing w:line="240" w:lineRule="auto"/>
        <w:ind w:right="-2"/>
        <w:rPr>
          <w:del w:id="13544" w:author="AbbVie_HU_03" w:date="2025-05-14T16:41:00Z"/>
          <w:szCs w:val="22"/>
          <w:lang w:eastAsia="de-DE"/>
        </w:rPr>
      </w:pPr>
      <w:del w:id="13545" w:author="AbbVie_HU_03" w:date="2025-05-14T16:41:00Z">
        <w:r w:rsidRPr="00183B5F">
          <w:rPr>
            <w:szCs w:val="22"/>
          </w:rPr>
          <w:delText>lichenoid bőrreakció (viszkető</w:delText>
        </w:r>
        <w:r w:rsidR="00464295" w:rsidRPr="00183B5F">
          <w:rPr>
            <w:szCs w:val="22"/>
          </w:rPr>
          <w:delText>,</w:delText>
        </w:r>
        <w:r w:rsidRPr="00183B5F">
          <w:rPr>
            <w:szCs w:val="22"/>
          </w:rPr>
          <w:delText xml:space="preserve"> </w:delText>
        </w:r>
        <w:r w:rsidR="007865CD" w:rsidRPr="00183B5F">
          <w:rPr>
            <w:szCs w:val="22"/>
          </w:rPr>
          <w:delText>vöröses</w:delText>
        </w:r>
        <w:r w:rsidRPr="00183B5F">
          <w:rPr>
            <w:szCs w:val="22"/>
          </w:rPr>
          <w:delText>-lilás bőrkiütés).</w:delText>
        </w:r>
      </w:del>
    </w:p>
    <w:p w14:paraId="4A39D10C" w14:textId="02B91418" w:rsidR="004900E4" w:rsidRPr="00183B5F" w:rsidRDefault="004900E4" w:rsidP="007276E0">
      <w:pPr>
        <w:spacing w:line="240" w:lineRule="auto"/>
        <w:ind w:right="-2"/>
        <w:rPr>
          <w:del w:id="13546" w:author="AbbVie_HU_03" w:date="2025-05-14T16:41:00Z"/>
          <w:szCs w:val="22"/>
        </w:rPr>
      </w:pPr>
    </w:p>
    <w:p w14:paraId="27159E97" w14:textId="7248941E" w:rsidR="009E2229" w:rsidRPr="00183B5F" w:rsidRDefault="00943743" w:rsidP="007276E0">
      <w:pPr>
        <w:spacing w:line="240" w:lineRule="auto"/>
        <w:ind w:right="-2"/>
        <w:rPr>
          <w:del w:id="13547" w:author="AbbVie_HU_03" w:date="2025-05-14T16:41:00Z"/>
          <w:szCs w:val="22"/>
        </w:rPr>
      </w:pPr>
      <w:del w:id="13548" w:author="AbbVie_HU_03" w:date="2025-05-14T16:41:00Z">
        <w:r w:rsidRPr="00183B5F">
          <w:rPr>
            <w:szCs w:val="22"/>
          </w:rPr>
          <w:delText xml:space="preserve">Nem ismert (a </w:delText>
        </w:r>
        <w:r w:rsidR="00004B4F" w:rsidRPr="00183B5F">
          <w:rPr>
            <w:szCs w:val="22"/>
          </w:rPr>
          <w:delText xml:space="preserve">gyakoriság a </w:delText>
        </w:r>
        <w:r w:rsidRPr="00183B5F">
          <w:rPr>
            <w:szCs w:val="22"/>
          </w:rPr>
          <w:delText>rendelkezésre álló adatokból nem állapítható meg)</w:delText>
        </w:r>
      </w:del>
    </w:p>
    <w:p w14:paraId="0371C98C" w14:textId="656726ED" w:rsidR="004C2FFA" w:rsidRPr="00183B5F" w:rsidRDefault="004C2FFA" w:rsidP="007276E0">
      <w:pPr>
        <w:spacing w:line="240" w:lineRule="auto"/>
        <w:ind w:right="-2"/>
        <w:rPr>
          <w:del w:id="13549" w:author="AbbVie_HU_03" w:date="2025-05-14T16:41:00Z"/>
          <w:szCs w:val="22"/>
        </w:rPr>
      </w:pPr>
    </w:p>
    <w:p w14:paraId="3F4DA64C" w14:textId="1A3C78C3" w:rsidR="009E2229" w:rsidRPr="00183B5F" w:rsidRDefault="00943743" w:rsidP="007276E0">
      <w:pPr>
        <w:numPr>
          <w:ilvl w:val="0"/>
          <w:numId w:val="106"/>
        </w:numPr>
        <w:spacing w:line="240" w:lineRule="auto"/>
        <w:ind w:left="567" w:right="-2" w:hanging="567"/>
        <w:rPr>
          <w:del w:id="13550" w:author="AbbVie_HU_03" w:date="2025-05-14T16:41:00Z"/>
          <w:szCs w:val="22"/>
        </w:rPr>
      </w:pPr>
      <w:del w:id="13551" w:author="AbbVie_HU_03" w:date="2025-05-14T16:41:00Z">
        <w:r w:rsidRPr="00183B5F">
          <w:rPr>
            <w:szCs w:val="22"/>
          </w:rPr>
          <w:delText>hepatoszplénikus T-sejtes limfóma (ritka vérrák, ami gyakran halálos kimenetelű)</w:delText>
        </w:r>
        <w:r w:rsidR="004C2FFA" w:rsidRPr="00183B5F">
          <w:rPr>
            <w:szCs w:val="22"/>
          </w:rPr>
          <w:delText>;</w:delText>
        </w:r>
      </w:del>
    </w:p>
    <w:p w14:paraId="20F1926B" w14:textId="0FDBBE9E" w:rsidR="009E2229" w:rsidRPr="00183B5F" w:rsidRDefault="00943743" w:rsidP="007276E0">
      <w:pPr>
        <w:numPr>
          <w:ilvl w:val="0"/>
          <w:numId w:val="106"/>
        </w:numPr>
        <w:spacing w:line="240" w:lineRule="auto"/>
        <w:ind w:left="567" w:right="-2" w:hanging="567"/>
        <w:rPr>
          <w:del w:id="13552" w:author="AbbVie_HU_03" w:date="2025-05-14T16:41:00Z"/>
          <w:szCs w:val="22"/>
        </w:rPr>
      </w:pPr>
      <w:del w:id="13553" w:author="AbbVie_HU_03" w:date="2025-05-14T16:41:00Z">
        <w:r w:rsidRPr="00183B5F">
          <w:rPr>
            <w:szCs w:val="22"/>
          </w:rPr>
          <w:delText>Merkel</w:delText>
        </w:r>
        <w:r w:rsidRPr="00183B5F">
          <w:rPr>
            <w:szCs w:val="22"/>
          </w:rPr>
          <w:noBreakHyphen/>
          <w:delText>sejtes karcinóma (bőrrák egyik típusa)</w:delText>
        </w:r>
        <w:r w:rsidR="004C2FFA" w:rsidRPr="00183B5F">
          <w:rPr>
            <w:szCs w:val="22"/>
          </w:rPr>
          <w:delText>;</w:delText>
        </w:r>
      </w:del>
    </w:p>
    <w:p w14:paraId="6E8AE06B" w14:textId="5147D075" w:rsidR="00886BBE" w:rsidRPr="00183B5F" w:rsidRDefault="00943743" w:rsidP="007276E0">
      <w:pPr>
        <w:numPr>
          <w:ilvl w:val="0"/>
          <w:numId w:val="106"/>
        </w:numPr>
        <w:spacing w:line="240" w:lineRule="auto"/>
        <w:ind w:left="567" w:hanging="567"/>
        <w:rPr>
          <w:del w:id="13554" w:author="AbbVie_HU_03" w:date="2025-05-14T16:41:00Z"/>
          <w:szCs w:val="22"/>
        </w:rPr>
      </w:pPr>
      <w:del w:id="13555" w:author="AbbVie_HU_03" w:date="2025-05-14T16:41:00Z">
        <w:r w:rsidRPr="00183B5F">
          <w:rPr>
            <w:szCs w:val="22"/>
          </w:rPr>
          <w:delText>Kaposi-szarkóma, a 8-as típusú humán herpeszvírus fertőzéssel járó ritka daganatos megbetegedés. A Kaposi-szarkóma leggyakrabban a bőrön jelenik meg lila elváltozások formájában;</w:delText>
        </w:r>
      </w:del>
    </w:p>
    <w:p w14:paraId="60D068FF" w14:textId="0CD94058" w:rsidR="009E2229" w:rsidRPr="00183B5F" w:rsidRDefault="00943743" w:rsidP="007276E0">
      <w:pPr>
        <w:numPr>
          <w:ilvl w:val="0"/>
          <w:numId w:val="106"/>
        </w:numPr>
        <w:spacing w:line="240" w:lineRule="auto"/>
        <w:ind w:left="567" w:hanging="567"/>
        <w:rPr>
          <w:del w:id="13556" w:author="AbbVie_HU_03" w:date="2025-05-14T16:41:00Z"/>
          <w:szCs w:val="22"/>
        </w:rPr>
      </w:pPr>
      <w:del w:id="13557" w:author="AbbVie_HU_03" w:date="2025-05-14T16:41:00Z">
        <w:r w:rsidRPr="00183B5F">
          <w:rPr>
            <w:szCs w:val="22"/>
          </w:rPr>
          <w:delText>májelégtelenség</w:delText>
        </w:r>
        <w:r w:rsidR="004C2FFA" w:rsidRPr="00183B5F">
          <w:rPr>
            <w:szCs w:val="22"/>
          </w:rPr>
          <w:delText>;</w:delText>
        </w:r>
      </w:del>
    </w:p>
    <w:p w14:paraId="3658EFDB" w14:textId="07D0C9A8" w:rsidR="004025F9" w:rsidRPr="00183B5F" w:rsidRDefault="00943743" w:rsidP="007276E0">
      <w:pPr>
        <w:numPr>
          <w:ilvl w:val="0"/>
          <w:numId w:val="106"/>
        </w:numPr>
        <w:spacing w:line="240" w:lineRule="auto"/>
        <w:ind w:left="567" w:hanging="567"/>
        <w:rPr>
          <w:del w:id="13558" w:author="AbbVie_HU_03" w:date="2025-05-14T16:41:00Z"/>
          <w:szCs w:val="22"/>
        </w:rPr>
      </w:pPr>
      <w:del w:id="13559" w:author="AbbVie_HU_03" w:date="2025-05-14T16:41:00Z">
        <w:r w:rsidRPr="00183B5F">
          <w:rPr>
            <w:szCs w:val="22"/>
          </w:rPr>
          <w:delText>dermatomiozitisz nevű betegség (izomgyengeséghez társult bőrkiütés formájában jelentkezik) súlyosbodása;</w:delText>
        </w:r>
      </w:del>
    </w:p>
    <w:p w14:paraId="0CF669A5" w14:textId="099F0939" w:rsidR="009E2229" w:rsidRPr="00183B5F" w:rsidRDefault="00943743" w:rsidP="007276E0">
      <w:pPr>
        <w:numPr>
          <w:ilvl w:val="0"/>
          <w:numId w:val="106"/>
        </w:numPr>
        <w:spacing w:line="240" w:lineRule="auto"/>
        <w:ind w:left="567" w:hanging="567"/>
        <w:rPr>
          <w:del w:id="13560" w:author="AbbVie_HU_03" w:date="2025-05-14T16:41:00Z"/>
          <w:szCs w:val="22"/>
        </w:rPr>
      </w:pPr>
      <w:del w:id="13561" w:author="AbbVie_HU_03" w:date="2025-05-14T16:41:00Z">
        <w:r w:rsidRPr="00183B5F">
          <w:delText>t</w:delText>
        </w:r>
        <w:r w:rsidR="004025F9" w:rsidRPr="00183B5F">
          <w:delText>estsúlynövekedés (a legtöbb betegnél ez kismértékű volt)</w:delText>
        </w:r>
      </w:del>
    </w:p>
    <w:p w14:paraId="643FA48C" w14:textId="35318881" w:rsidR="009E2229" w:rsidRPr="00183B5F" w:rsidRDefault="009E2229" w:rsidP="007276E0">
      <w:pPr>
        <w:spacing w:line="240" w:lineRule="auto"/>
        <w:ind w:right="-2"/>
        <w:rPr>
          <w:del w:id="13562" w:author="AbbVie_HU_03" w:date="2025-05-14T16:41:00Z"/>
          <w:szCs w:val="22"/>
          <w:lang w:eastAsia="de-DE"/>
        </w:rPr>
      </w:pPr>
    </w:p>
    <w:p w14:paraId="7898853E" w14:textId="4C88C1EA" w:rsidR="00FB6710" w:rsidRPr="00183B5F" w:rsidRDefault="00943743" w:rsidP="007276E0">
      <w:pPr>
        <w:suppressAutoHyphens w:val="0"/>
        <w:autoSpaceDE w:val="0"/>
        <w:autoSpaceDN w:val="0"/>
        <w:adjustRightInd w:val="0"/>
        <w:spacing w:line="240" w:lineRule="auto"/>
        <w:rPr>
          <w:del w:id="13563" w:author="AbbVie_HU_03" w:date="2025-05-14T16:41:00Z"/>
          <w:szCs w:val="22"/>
          <w:lang w:eastAsia="de-DE"/>
        </w:rPr>
      </w:pPr>
      <w:del w:id="13564" w:author="AbbVie_HU_03" w:date="2025-05-14T16:41:00Z">
        <w:r w:rsidRPr="00183B5F">
          <w:rPr>
            <w:szCs w:val="22"/>
            <w:lang w:eastAsia="de-DE"/>
          </w:rPr>
          <w:delText>A Humira alkalmazása során észlelt némelyik mellékhatás nem okoz tüneteket, és lehet, hogy csak vérvizsgálattal deríthető ki.</w:delText>
        </w:r>
      </w:del>
    </w:p>
    <w:p w14:paraId="0E3C9B6E" w14:textId="25D779E0" w:rsidR="00FB6710" w:rsidRPr="00183B5F" w:rsidRDefault="00943743" w:rsidP="007276E0">
      <w:pPr>
        <w:suppressAutoHyphens w:val="0"/>
        <w:autoSpaceDE w:val="0"/>
        <w:autoSpaceDN w:val="0"/>
        <w:adjustRightInd w:val="0"/>
        <w:spacing w:line="240" w:lineRule="auto"/>
        <w:rPr>
          <w:del w:id="13565" w:author="AbbVie_HU_03" w:date="2025-05-14T16:41:00Z"/>
          <w:szCs w:val="22"/>
          <w:lang w:eastAsia="de-DE"/>
        </w:rPr>
      </w:pPr>
      <w:del w:id="13566" w:author="AbbVie_HU_03" w:date="2025-05-14T16:41:00Z">
        <w:r w:rsidRPr="00183B5F">
          <w:rPr>
            <w:szCs w:val="22"/>
            <w:lang w:eastAsia="de-DE"/>
          </w:rPr>
          <w:delText>Ezek közé tartozik:</w:delText>
        </w:r>
      </w:del>
    </w:p>
    <w:p w14:paraId="462380D6" w14:textId="566B52CD" w:rsidR="00FB6710" w:rsidRPr="00183B5F" w:rsidRDefault="00FB6710" w:rsidP="007276E0">
      <w:pPr>
        <w:suppressAutoHyphens w:val="0"/>
        <w:autoSpaceDE w:val="0"/>
        <w:autoSpaceDN w:val="0"/>
        <w:adjustRightInd w:val="0"/>
        <w:spacing w:line="240" w:lineRule="auto"/>
        <w:rPr>
          <w:del w:id="13567" w:author="AbbVie_HU_03" w:date="2025-05-14T16:41:00Z"/>
          <w:szCs w:val="22"/>
          <w:lang w:eastAsia="de-DE"/>
        </w:rPr>
      </w:pPr>
    </w:p>
    <w:p w14:paraId="5B125C38" w14:textId="1D052D7B" w:rsidR="00FB6710" w:rsidRPr="00183B5F" w:rsidRDefault="00943743" w:rsidP="007276E0">
      <w:pPr>
        <w:suppressAutoHyphens w:val="0"/>
        <w:spacing w:line="240" w:lineRule="auto"/>
        <w:rPr>
          <w:del w:id="13568" w:author="AbbVie_HU_03" w:date="2025-05-14T16:41:00Z"/>
          <w:szCs w:val="22"/>
        </w:rPr>
      </w:pPr>
      <w:del w:id="13569" w:author="AbbVie_HU_03" w:date="2025-05-14T16:41:00Z">
        <w:r w:rsidRPr="00183B5F">
          <w:rPr>
            <w:szCs w:val="22"/>
          </w:rPr>
          <w:delText>Nagyon gyakori (10</w:delText>
        </w:r>
        <w:r w:rsidR="00141743" w:rsidRPr="00183B5F">
          <w:rPr>
            <w:szCs w:val="22"/>
          </w:rPr>
          <w:delText> </w:delText>
        </w:r>
        <w:r w:rsidR="00DA7A92" w:rsidRPr="00183B5F">
          <w:rPr>
            <w:szCs w:val="22"/>
          </w:rPr>
          <w:delText>beteg</w:delText>
        </w:r>
        <w:r w:rsidR="00573B90" w:rsidRPr="00183B5F">
          <w:rPr>
            <w:szCs w:val="22"/>
          </w:rPr>
          <w:delText xml:space="preserve"> </w:delText>
        </w:r>
        <w:r w:rsidRPr="00183B5F">
          <w:rPr>
            <w:szCs w:val="22"/>
          </w:rPr>
          <w:delText>közül több mint 1</w:delText>
        </w:r>
        <w:r w:rsidR="00141743" w:rsidRPr="00183B5F">
          <w:rPr>
            <w:szCs w:val="22"/>
          </w:rPr>
          <w:noBreakHyphen/>
        </w:r>
        <w:r w:rsidR="00573B90" w:rsidRPr="00183B5F">
          <w:rPr>
            <w:szCs w:val="22"/>
          </w:rPr>
          <w:delText>nél alakul ki</w:delText>
        </w:r>
        <w:r w:rsidRPr="00183B5F">
          <w:rPr>
            <w:szCs w:val="22"/>
          </w:rPr>
          <w:delText>)</w:delText>
        </w:r>
      </w:del>
    </w:p>
    <w:p w14:paraId="6A68BF4F" w14:textId="6AAE99F4" w:rsidR="004C2FFA" w:rsidRPr="00183B5F" w:rsidRDefault="004C2FFA" w:rsidP="007276E0">
      <w:pPr>
        <w:suppressAutoHyphens w:val="0"/>
        <w:spacing w:line="240" w:lineRule="auto"/>
        <w:rPr>
          <w:del w:id="13570" w:author="AbbVie_HU_03" w:date="2025-05-14T16:41:00Z"/>
          <w:szCs w:val="22"/>
        </w:rPr>
      </w:pPr>
    </w:p>
    <w:p w14:paraId="4F803A47" w14:textId="761D6EBC" w:rsidR="00FB6710" w:rsidRPr="00183B5F" w:rsidRDefault="00943743" w:rsidP="007276E0">
      <w:pPr>
        <w:numPr>
          <w:ilvl w:val="0"/>
          <w:numId w:val="76"/>
        </w:numPr>
        <w:tabs>
          <w:tab w:val="clear" w:pos="720"/>
          <w:tab w:val="num" w:pos="550"/>
        </w:tabs>
        <w:suppressAutoHyphens w:val="0"/>
        <w:spacing w:line="240" w:lineRule="auto"/>
        <w:ind w:left="550" w:hanging="550"/>
        <w:rPr>
          <w:del w:id="13571" w:author="AbbVie_HU_03" w:date="2025-05-14T16:41:00Z"/>
        </w:rPr>
      </w:pPr>
      <w:del w:id="13572" w:author="AbbVie_HU_03" w:date="2025-05-14T16:41:00Z">
        <w:r w:rsidRPr="00183B5F">
          <w:delText>alacsony fehérvérsejtszám</w:delText>
        </w:r>
        <w:r w:rsidR="004C2FFA" w:rsidRPr="00183B5F">
          <w:delText>;</w:delText>
        </w:r>
      </w:del>
    </w:p>
    <w:p w14:paraId="054883F2" w14:textId="1D919E7A" w:rsidR="00FB6710" w:rsidRPr="00183B5F" w:rsidRDefault="00943743" w:rsidP="007276E0">
      <w:pPr>
        <w:numPr>
          <w:ilvl w:val="0"/>
          <w:numId w:val="76"/>
        </w:numPr>
        <w:tabs>
          <w:tab w:val="clear" w:pos="720"/>
          <w:tab w:val="num" w:pos="550"/>
        </w:tabs>
        <w:suppressAutoHyphens w:val="0"/>
        <w:spacing w:line="240" w:lineRule="auto"/>
        <w:ind w:left="550" w:hanging="550"/>
        <w:rPr>
          <w:del w:id="13573" w:author="AbbVie_HU_03" w:date="2025-05-14T16:41:00Z"/>
        </w:rPr>
      </w:pPr>
      <w:del w:id="13574" w:author="AbbVie_HU_03" w:date="2025-05-14T16:41:00Z">
        <w:r w:rsidRPr="00183B5F">
          <w:rPr>
            <w:szCs w:val="22"/>
          </w:rPr>
          <w:delText>alacsony vörösvértestszám</w:delText>
        </w:r>
        <w:r w:rsidR="004C2FFA" w:rsidRPr="00183B5F">
          <w:rPr>
            <w:szCs w:val="22"/>
          </w:rPr>
          <w:delText>;</w:delText>
        </w:r>
      </w:del>
    </w:p>
    <w:p w14:paraId="49FA9FB3" w14:textId="4816C5D4" w:rsidR="00FB6710" w:rsidRPr="00183B5F" w:rsidRDefault="00943743" w:rsidP="007276E0">
      <w:pPr>
        <w:numPr>
          <w:ilvl w:val="0"/>
          <w:numId w:val="76"/>
        </w:numPr>
        <w:tabs>
          <w:tab w:val="clear" w:pos="720"/>
          <w:tab w:val="num" w:pos="550"/>
        </w:tabs>
        <w:suppressAutoHyphens w:val="0"/>
        <w:spacing w:line="240" w:lineRule="auto"/>
        <w:ind w:left="550" w:hanging="550"/>
        <w:rPr>
          <w:del w:id="13575" w:author="AbbVie_HU_03" w:date="2025-05-14T16:41:00Z"/>
        </w:rPr>
      </w:pPr>
      <w:del w:id="13576" w:author="AbbVie_HU_03" w:date="2025-05-14T16:41:00Z">
        <w:r w:rsidRPr="00183B5F">
          <w:rPr>
            <w:szCs w:val="22"/>
          </w:rPr>
          <w:delText>a vérzsírszint emelkedése</w:delText>
        </w:r>
        <w:r w:rsidR="004C2FFA" w:rsidRPr="00183B5F">
          <w:rPr>
            <w:szCs w:val="22"/>
          </w:rPr>
          <w:delText>;</w:delText>
        </w:r>
      </w:del>
    </w:p>
    <w:p w14:paraId="2ECD6621" w14:textId="7C87E8FB" w:rsidR="00FB6710" w:rsidRPr="00183B5F" w:rsidRDefault="00943743" w:rsidP="007276E0">
      <w:pPr>
        <w:numPr>
          <w:ilvl w:val="0"/>
          <w:numId w:val="76"/>
        </w:numPr>
        <w:tabs>
          <w:tab w:val="clear" w:pos="720"/>
          <w:tab w:val="num" w:pos="550"/>
        </w:tabs>
        <w:suppressAutoHyphens w:val="0"/>
        <w:spacing w:line="240" w:lineRule="auto"/>
        <w:ind w:left="550" w:hanging="550"/>
        <w:rPr>
          <w:del w:id="13577" w:author="AbbVie_HU_03" w:date="2025-05-14T16:41:00Z"/>
        </w:rPr>
      </w:pPr>
      <w:del w:id="13578" w:author="AbbVie_HU_03" w:date="2025-05-14T16:41:00Z">
        <w:r w:rsidRPr="00183B5F">
          <w:rPr>
            <w:szCs w:val="22"/>
          </w:rPr>
          <w:delText>emelkedett májenzimszint.</w:delText>
        </w:r>
      </w:del>
    </w:p>
    <w:p w14:paraId="18D3BA23" w14:textId="0501D4AE" w:rsidR="00FB6710" w:rsidRPr="00183B5F" w:rsidRDefault="00FB6710" w:rsidP="007276E0">
      <w:pPr>
        <w:suppressAutoHyphens w:val="0"/>
        <w:spacing w:line="240" w:lineRule="auto"/>
        <w:rPr>
          <w:del w:id="13579" w:author="AbbVie_HU_03" w:date="2025-05-14T16:41:00Z"/>
          <w:szCs w:val="22"/>
        </w:rPr>
      </w:pPr>
    </w:p>
    <w:p w14:paraId="0D988265" w14:textId="4F846537" w:rsidR="004C2FFA" w:rsidRPr="00183B5F" w:rsidRDefault="00943743" w:rsidP="007276E0">
      <w:pPr>
        <w:suppressAutoHyphens w:val="0"/>
        <w:spacing w:line="240" w:lineRule="auto"/>
        <w:rPr>
          <w:del w:id="13580" w:author="AbbVie_HU_03" w:date="2025-05-14T16:41:00Z"/>
          <w:szCs w:val="22"/>
        </w:rPr>
      </w:pPr>
      <w:del w:id="13581" w:author="AbbVie_HU_03" w:date="2025-05-14T16:41:00Z">
        <w:r w:rsidRPr="00183B5F">
          <w:rPr>
            <w:szCs w:val="22"/>
          </w:rPr>
          <w:delText>Gyakori (10</w:delText>
        </w:r>
        <w:r w:rsidR="00141743" w:rsidRPr="00183B5F">
          <w:rPr>
            <w:szCs w:val="22"/>
          </w:rPr>
          <w:delText> </w:delText>
        </w:r>
        <w:r w:rsidR="00E60726" w:rsidRPr="00183B5F">
          <w:rPr>
            <w:szCs w:val="22"/>
          </w:rPr>
          <w:delText xml:space="preserve">beteg </w:delText>
        </w:r>
        <w:r w:rsidRPr="00183B5F">
          <w:rPr>
            <w:szCs w:val="22"/>
          </w:rPr>
          <w:delText xml:space="preserve">közül </w:delText>
        </w:r>
        <w:r w:rsidR="00573B90" w:rsidRPr="00183B5F">
          <w:rPr>
            <w:szCs w:val="22"/>
          </w:rPr>
          <w:delText>legfeljebb</w:delText>
        </w:r>
        <w:r w:rsidRPr="00183B5F">
          <w:rPr>
            <w:szCs w:val="22"/>
          </w:rPr>
          <w:delText xml:space="preserve"> 1</w:delText>
        </w:r>
        <w:r w:rsidR="00141743" w:rsidRPr="00183B5F">
          <w:rPr>
            <w:szCs w:val="22"/>
          </w:rPr>
          <w:noBreakHyphen/>
        </w:r>
        <w:r w:rsidR="00573B90" w:rsidRPr="00183B5F">
          <w:rPr>
            <w:szCs w:val="22"/>
          </w:rPr>
          <w:delText>nél</w:delText>
        </w:r>
        <w:r w:rsidRPr="00183B5F">
          <w:rPr>
            <w:szCs w:val="22"/>
          </w:rPr>
          <w:delText xml:space="preserve"> </w:delText>
        </w:r>
        <w:r w:rsidR="00573B90" w:rsidRPr="00183B5F">
          <w:rPr>
            <w:szCs w:val="22"/>
          </w:rPr>
          <w:delText>alakul</w:delText>
        </w:r>
        <w:r w:rsidR="00B92547" w:rsidRPr="00183B5F">
          <w:rPr>
            <w:szCs w:val="22"/>
          </w:rPr>
          <w:delText xml:space="preserve"> ki</w:delText>
        </w:r>
        <w:r w:rsidRPr="00183B5F">
          <w:rPr>
            <w:szCs w:val="22"/>
          </w:rPr>
          <w:delText>)</w:delText>
        </w:r>
      </w:del>
    </w:p>
    <w:p w14:paraId="2ECF2094" w14:textId="257ADE7F" w:rsidR="00FB6710" w:rsidRPr="00183B5F" w:rsidRDefault="00943743" w:rsidP="007276E0">
      <w:pPr>
        <w:numPr>
          <w:ilvl w:val="0"/>
          <w:numId w:val="76"/>
        </w:numPr>
        <w:tabs>
          <w:tab w:val="clear" w:pos="720"/>
          <w:tab w:val="num" w:pos="550"/>
        </w:tabs>
        <w:suppressAutoHyphens w:val="0"/>
        <w:spacing w:line="240" w:lineRule="auto"/>
        <w:ind w:left="550" w:hanging="550"/>
        <w:rPr>
          <w:del w:id="13582" w:author="AbbVie_HU_03" w:date="2025-05-14T16:41:00Z"/>
        </w:rPr>
      </w:pPr>
      <w:del w:id="13583" w:author="AbbVie_HU_03" w:date="2025-05-14T16:41:00Z">
        <w:r w:rsidRPr="00183B5F">
          <w:delText>magas fehérvérsejtszám</w:delText>
        </w:r>
        <w:r w:rsidR="004C2FFA" w:rsidRPr="00183B5F">
          <w:delText>;</w:delText>
        </w:r>
      </w:del>
    </w:p>
    <w:p w14:paraId="5B2196F8" w14:textId="604002EE" w:rsidR="00FB6710" w:rsidRPr="00183B5F" w:rsidRDefault="00943743" w:rsidP="007276E0">
      <w:pPr>
        <w:numPr>
          <w:ilvl w:val="0"/>
          <w:numId w:val="76"/>
        </w:numPr>
        <w:tabs>
          <w:tab w:val="clear" w:pos="720"/>
          <w:tab w:val="num" w:pos="550"/>
        </w:tabs>
        <w:suppressAutoHyphens w:val="0"/>
        <w:spacing w:line="240" w:lineRule="auto"/>
        <w:ind w:left="550" w:hanging="550"/>
        <w:rPr>
          <w:del w:id="13584" w:author="AbbVie_HU_03" w:date="2025-05-14T16:41:00Z"/>
        </w:rPr>
      </w:pPr>
      <w:del w:id="13585" w:author="AbbVie_HU_03" w:date="2025-05-14T16:41:00Z">
        <w:r w:rsidRPr="00183B5F">
          <w:rPr>
            <w:szCs w:val="22"/>
          </w:rPr>
          <w:delText>alacsony vérlemezkeszám</w:delText>
        </w:r>
        <w:r w:rsidR="004C2FFA" w:rsidRPr="00183B5F">
          <w:rPr>
            <w:szCs w:val="22"/>
          </w:rPr>
          <w:delText>;</w:delText>
        </w:r>
      </w:del>
    </w:p>
    <w:p w14:paraId="32A993B1" w14:textId="4146BFF8" w:rsidR="00FB6710" w:rsidRPr="00183B5F" w:rsidRDefault="00943743" w:rsidP="007276E0">
      <w:pPr>
        <w:numPr>
          <w:ilvl w:val="0"/>
          <w:numId w:val="76"/>
        </w:numPr>
        <w:tabs>
          <w:tab w:val="clear" w:pos="720"/>
          <w:tab w:val="num" w:pos="550"/>
        </w:tabs>
        <w:suppressAutoHyphens w:val="0"/>
        <w:spacing w:line="240" w:lineRule="auto"/>
        <w:ind w:left="550" w:hanging="550"/>
        <w:rPr>
          <w:del w:id="13586" w:author="AbbVie_HU_03" w:date="2025-05-14T16:41:00Z"/>
        </w:rPr>
      </w:pPr>
      <w:del w:id="13587" w:author="AbbVie_HU_03" w:date="2025-05-14T16:41:00Z">
        <w:r w:rsidRPr="00183B5F">
          <w:rPr>
            <w:szCs w:val="22"/>
          </w:rPr>
          <w:delText>emelkedett húgysavszint a vérben</w:delText>
        </w:r>
        <w:r w:rsidR="004C2FFA" w:rsidRPr="00183B5F">
          <w:rPr>
            <w:szCs w:val="22"/>
          </w:rPr>
          <w:delText>;</w:delText>
        </w:r>
      </w:del>
    </w:p>
    <w:p w14:paraId="2E93C0D9" w14:textId="4BE28A99" w:rsidR="00FB6710" w:rsidRPr="00183B5F" w:rsidRDefault="00943743" w:rsidP="007276E0">
      <w:pPr>
        <w:numPr>
          <w:ilvl w:val="0"/>
          <w:numId w:val="76"/>
        </w:numPr>
        <w:tabs>
          <w:tab w:val="clear" w:pos="720"/>
          <w:tab w:val="num" w:pos="550"/>
        </w:tabs>
        <w:suppressAutoHyphens w:val="0"/>
        <w:spacing w:line="240" w:lineRule="auto"/>
        <w:ind w:left="550" w:hanging="550"/>
        <w:rPr>
          <w:del w:id="13588" w:author="AbbVie_HU_03" w:date="2025-05-14T16:41:00Z"/>
        </w:rPr>
      </w:pPr>
      <w:del w:id="13589" w:author="AbbVie_HU_03" w:date="2025-05-14T16:41:00Z">
        <w:r w:rsidRPr="00183B5F">
          <w:delText>kóros nátriumszint a vérben</w:delText>
        </w:r>
        <w:r w:rsidR="004C2FFA" w:rsidRPr="00183B5F">
          <w:delText>;</w:delText>
        </w:r>
      </w:del>
    </w:p>
    <w:p w14:paraId="755A0C9C" w14:textId="0ACE9F03" w:rsidR="00FB6710" w:rsidRPr="00183B5F" w:rsidRDefault="00943743" w:rsidP="007276E0">
      <w:pPr>
        <w:numPr>
          <w:ilvl w:val="0"/>
          <w:numId w:val="76"/>
        </w:numPr>
        <w:tabs>
          <w:tab w:val="clear" w:pos="720"/>
          <w:tab w:val="num" w:pos="550"/>
        </w:tabs>
        <w:suppressAutoHyphens w:val="0"/>
        <w:spacing w:line="240" w:lineRule="auto"/>
        <w:ind w:left="550" w:hanging="550"/>
        <w:rPr>
          <w:del w:id="13590" w:author="AbbVie_HU_03" w:date="2025-05-14T16:41:00Z"/>
        </w:rPr>
      </w:pPr>
      <w:del w:id="13591" w:author="AbbVie_HU_03" w:date="2025-05-14T16:41:00Z">
        <w:r w:rsidRPr="00183B5F">
          <w:rPr>
            <w:szCs w:val="22"/>
          </w:rPr>
          <w:delText>alacsony kalciumszint a vérben</w:delText>
        </w:r>
        <w:r w:rsidR="004C2FFA" w:rsidRPr="00183B5F">
          <w:rPr>
            <w:szCs w:val="22"/>
          </w:rPr>
          <w:delText>;</w:delText>
        </w:r>
      </w:del>
    </w:p>
    <w:p w14:paraId="1AA2BD54" w14:textId="4C49C164" w:rsidR="00FB6710" w:rsidRPr="00183B5F" w:rsidRDefault="00943743" w:rsidP="007276E0">
      <w:pPr>
        <w:numPr>
          <w:ilvl w:val="0"/>
          <w:numId w:val="76"/>
        </w:numPr>
        <w:tabs>
          <w:tab w:val="clear" w:pos="720"/>
          <w:tab w:val="num" w:pos="550"/>
        </w:tabs>
        <w:suppressAutoHyphens w:val="0"/>
        <w:spacing w:line="240" w:lineRule="auto"/>
        <w:ind w:left="550" w:hanging="550"/>
        <w:rPr>
          <w:del w:id="13592" w:author="AbbVie_HU_03" w:date="2025-05-14T16:41:00Z"/>
        </w:rPr>
      </w:pPr>
      <w:del w:id="13593" w:author="AbbVie_HU_03" w:date="2025-05-14T16:41:00Z">
        <w:r w:rsidRPr="00183B5F">
          <w:rPr>
            <w:szCs w:val="22"/>
          </w:rPr>
          <w:delText>alacsony foszfátszint a vérben</w:delText>
        </w:r>
        <w:r w:rsidR="004C2FFA" w:rsidRPr="00183B5F">
          <w:rPr>
            <w:szCs w:val="22"/>
          </w:rPr>
          <w:delText>;</w:delText>
        </w:r>
      </w:del>
    </w:p>
    <w:p w14:paraId="7045EE58" w14:textId="6268BAF3" w:rsidR="00FB6710" w:rsidRPr="00183B5F" w:rsidRDefault="00943743" w:rsidP="007276E0">
      <w:pPr>
        <w:numPr>
          <w:ilvl w:val="0"/>
          <w:numId w:val="76"/>
        </w:numPr>
        <w:tabs>
          <w:tab w:val="clear" w:pos="720"/>
          <w:tab w:val="num" w:pos="550"/>
        </w:tabs>
        <w:suppressAutoHyphens w:val="0"/>
        <w:spacing w:line="240" w:lineRule="auto"/>
        <w:ind w:left="550" w:hanging="550"/>
        <w:rPr>
          <w:del w:id="13594" w:author="AbbVie_HU_03" w:date="2025-05-14T16:41:00Z"/>
        </w:rPr>
      </w:pPr>
      <w:del w:id="13595" w:author="AbbVie_HU_03" w:date="2025-05-14T16:41:00Z">
        <w:r w:rsidRPr="00183B5F">
          <w:delText>magas vércukorszint</w:delText>
        </w:r>
        <w:r w:rsidR="004C2FFA" w:rsidRPr="00183B5F">
          <w:delText>;</w:delText>
        </w:r>
      </w:del>
    </w:p>
    <w:p w14:paraId="45D593F7" w14:textId="00040FAF" w:rsidR="00FB6710" w:rsidRPr="00183B5F" w:rsidRDefault="00943743" w:rsidP="007276E0">
      <w:pPr>
        <w:numPr>
          <w:ilvl w:val="0"/>
          <w:numId w:val="76"/>
        </w:numPr>
        <w:tabs>
          <w:tab w:val="clear" w:pos="720"/>
          <w:tab w:val="num" w:pos="550"/>
        </w:tabs>
        <w:suppressAutoHyphens w:val="0"/>
        <w:spacing w:line="240" w:lineRule="auto"/>
        <w:ind w:left="550" w:hanging="550"/>
        <w:rPr>
          <w:del w:id="13596" w:author="AbbVie_HU_03" w:date="2025-05-14T16:41:00Z"/>
        </w:rPr>
      </w:pPr>
      <w:del w:id="13597" w:author="AbbVie_HU_03" w:date="2025-05-14T16:41:00Z">
        <w:r w:rsidRPr="00183B5F">
          <w:rPr>
            <w:szCs w:val="22"/>
          </w:rPr>
          <w:delText xml:space="preserve">emelkedett </w:delText>
        </w:r>
        <w:r w:rsidRPr="00183B5F">
          <w:delText>laktát-dehidrogenáz-szint a vérben</w:delText>
        </w:r>
        <w:r w:rsidR="004C2FFA" w:rsidRPr="00183B5F">
          <w:delText>;</w:delText>
        </w:r>
      </w:del>
    </w:p>
    <w:p w14:paraId="2D9A3715" w14:textId="7213EADC" w:rsidR="003829C8" w:rsidRPr="00183B5F" w:rsidRDefault="00943743" w:rsidP="007276E0">
      <w:pPr>
        <w:numPr>
          <w:ilvl w:val="0"/>
          <w:numId w:val="76"/>
        </w:numPr>
        <w:tabs>
          <w:tab w:val="clear" w:pos="720"/>
          <w:tab w:val="num" w:pos="550"/>
        </w:tabs>
        <w:suppressAutoHyphens w:val="0"/>
        <w:spacing w:line="240" w:lineRule="auto"/>
        <w:ind w:left="550" w:hanging="550"/>
        <w:rPr>
          <w:del w:id="13598" w:author="AbbVie_HU_03" w:date="2025-05-14T16:41:00Z"/>
        </w:rPr>
      </w:pPr>
      <w:del w:id="13599" w:author="AbbVie_HU_03" w:date="2025-05-14T16:41:00Z">
        <w:r w:rsidRPr="00183B5F">
          <w:rPr>
            <w:szCs w:val="22"/>
          </w:rPr>
          <w:delText>autoantitestek megjelenése a vérben;</w:delText>
        </w:r>
      </w:del>
    </w:p>
    <w:p w14:paraId="103FFDFE" w14:textId="58135CBB" w:rsidR="003829C8" w:rsidRPr="00183B5F" w:rsidRDefault="00943743" w:rsidP="007276E0">
      <w:pPr>
        <w:numPr>
          <w:ilvl w:val="0"/>
          <w:numId w:val="76"/>
        </w:numPr>
        <w:tabs>
          <w:tab w:val="clear" w:pos="720"/>
          <w:tab w:val="num" w:pos="550"/>
        </w:tabs>
        <w:suppressAutoHyphens w:val="0"/>
        <w:spacing w:line="240" w:lineRule="auto"/>
        <w:ind w:left="550" w:hanging="550"/>
        <w:rPr>
          <w:del w:id="13600" w:author="AbbVie_HU_03" w:date="2025-05-14T16:41:00Z"/>
        </w:rPr>
      </w:pPr>
      <w:del w:id="13601" w:author="AbbVie_HU_03" w:date="2025-05-14T16:41:00Z">
        <w:r w:rsidRPr="00183B5F">
          <w:delText>alacsony káliumszint</w:delText>
        </w:r>
        <w:r w:rsidR="001147C9" w:rsidRPr="00183B5F">
          <w:delText xml:space="preserve"> a vérben</w:delText>
        </w:r>
        <w:r w:rsidRPr="00183B5F">
          <w:delText>.</w:delText>
        </w:r>
      </w:del>
    </w:p>
    <w:p w14:paraId="01FFB931" w14:textId="79D95150" w:rsidR="003829C8" w:rsidRPr="00183B5F" w:rsidRDefault="003829C8" w:rsidP="007276E0">
      <w:pPr>
        <w:suppressAutoHyphens w:val="0"/>
        <w:spacing w:line="240" w:lineRule="auto"/>
        <w:rPr>
          <w:del w:id="13602" w:author="AbbVie_HU_03" w:date="2025-05-14T16:41:00Z"/>
        </w:rPr>
      </w:pPr>
    </w:p>
    <w:p w14:paraId="4A703DF4" w14:textId="5E7616A7" w:rsidR="003829C8" w:rsidRPr="00183B5F" w:rsidRDefault="00943743" w:rsidP="007276E0">
      <w:pPr>
        <w:suppressAutoHyphens w:val="0"/>
        <w:spacing w:line="240" w:lineRule="auto"/>
        <w:rPr>
          <w:del w:id="13603" w:author="AbbVie_HU_03" w:date="2025-05-14T16:41:00Z"/>
          <w:szCs w:val="22"/>
        </w:rPr>
      </w:pPr>
      <w:del w:id="13604" w:author="AbbVie_HU_03" w:date="2025-05-14T16:41:00Z">
        <w:r w:rsidRPr="00183B5F">
          <w:rPr>
            <w:bCs/>
          </w:rPr>
          <w:delText>Nem gyakori</w:delText>
        </w:r>
        <w:r w:rsidRPr="00183B5F">
          <w:rPr>
            <w:b/>
          </w:rPr>
          <w:delText xml:space="preserve"> (</w:delText>
        </w:r>
        <w:r w:rsidRPr="00183B5F">
          <w:rPr>
            <w:szCs w:val="22"/>
          </w:rPr>
          <w:delText>100 beteg közül legfeljebb 1</w:delText>
        </w:r>
        <w:r w:rsidRPr="00183B5F">
          <w:rPr>
            <w:szCs w:val="22"/>
          </w:rPr>
          <w:noBreakHyphen/>
          <w:delText>nél alakul ki)</w:delText>
        </w:r>
      </w:del>
    </w:p>
    <w:p w14:paraId="4F05997A" w14:textId="734FDA62" w:rsidR="003829C8" w:rsidRPr="00183B5F" w:rsidRDefault="003829C8" w:rsidP="007276E0">
      <w:pPr>
        <w:suppressAutoHyphens w:val="0"/>
        <w:spacing w:line="240" w:lineRule="auto"/>
        <w:rPr>
          <w:del w:id="13605" w:author="AbbVie_HU_03" w:date="2025-05-14T16:41:00Z"/>
          <w:szCs w:val="22"/>
        </w:rPr>
      </w:pPr>
    </w:p>
    <w:p w14:paraId="24DDB404" w14:textId="32AD7B09" w:rsidR="00FB6710" w:rsidRPr="00183B5F" w:rsidRDefault="00943743" w:rsidP="007276E0">
      <w:pPr>
        <w:pStyle w:val="ListParagraph"/>
        <w:numPr>
          <w:ilvl w:val="0"/>
          <w:numId w:val="147"/>
        </w:numPr>
        <w:suppressAutoHyphens w:val="0"/>
        <w:spacing w:line="240" w:lineRule="auto"/>
        <w:ind w:left="567" w:hanging="567"/>
        <w:contextualSpacing/>
        <w:rPr>
          <w:del w:id="13606" w:author="AbbVie_HU_03" w:date="2025-05-14T16:41:00Z"/>
        </w:rPr>
      </w:pPr>
      <w:del w:id="13607" w:author="AbbVie_HU_03" w:date="2025-05-14T16:41:00Z">
        <w:r w:rsidRPr="00183B5F">
          <w:delText>emelkedett bilirubin</w:delText>
        </w:r>
        <w:r w:rsidRPr="00183B5F">
          <w:noBreakHyphen/>
          <w:delText>szint (májfunkciós vizsgálati eredmény).</w:delText>
        </w:r>
      </w:del>
    </w:p>
    <w:p w14:paraId="684FB6FF" w14:textId="4455C8DC" w:rsidR="00113F29" w:rsidRPr="00183B5F" w:rsidRDefault="00113F29" w:rsidP="007276E0">
      <w:pPr>
        <w:suppressAutoHyphens w:val="0"/>
        <w:spacing w:line="240" w:lineRule="auto"/>
        <w:rPr>
          <w:del w:id="13608" w:author="AbbVie_HU_03" w:date="2025-05-14T16:41:00Z"/>
        </w:rPr>
      </w:pPr>
    </w:p>
    <w:p w14:paraId="552C41A8" w14:textId="4C663667" w:rsidR="00FB6710" w:rsidRPr="00183B5F" w:rsidRDefault="00943743" w:rsidP="007276E0">
      <w:pPr>
        <w:suppressAutoHyphens w:val="0"/>
        <w:spacing w:line="240" w:lineRule="auto"/>
        <w:rPr>
          <w:del w:id="13609" w:author="AbbVie_HU_03" w:date="2025-05-14T16:41:00Z"/>
          <w:szCs w:val="22"/>
        </w:rPr>
      </w:pPr>
      <w:del w:id="13610" w:author="AbbVie_HU_03" w:date="2025-05-14T16:41:00Z">
        <w:r w:rsidRPr="00183B5F">
          <w:rPr>
            <w:szCs w:val="22"/>
          </w:rPr>
          <w:delText>Ritka (1000</w:delText>
        </w:r>
        <w:r w:rsidR="00141743" w:rsidRPr="00183B5F">
          <w:rPr>
            <w:szCs w:val="22"/>
          </w:rPr>
          <w:delText> </w:delText>
        </w:r>
        <w:r w:rsidR="00DA7A92" w:rsidRPr="00183B5F">
          <w:rPr>
            <w:szCs w:val="22"/>
          </w:rPr>
          <w:delText>beteg</w:delText>
        </w:r>
        <w:r w:rsidR="00573B90" w:rsidRPr="00183B5F">
          <w:rPr>
            <w:szCs w:val="22"/>
          </w:rPr>
          <w:delText xml:space="preserve"> </w:delText>
        </w:r>
        <w:r w:rsidRPr="00183B5F">
          <w:rPr>
            <w:szCs w:val="22"/>
          </w:rPr>
          <w:delText xml:space="preserve">közül </w:delText>
        </w:r>
        <w:r w:rsidR="00573B90" w:rsidRPr="00183B5F">
          <w:rPr>
            <w:szCs w:val="22"/>
          </w:rPr>
          <w:delText>legfeljebb</w:delText>
        </w:r>
        <w:r w:rsidRPr="00183B5F">
          <w:rPr>
            <w:szCs w:val="22"/>
          </w:rPr>
          <w:delText xml:space="preserve"> 1</w:delText>
        </w:r>
        <w:r w:rsidR="00141743" w:rsidRPr="00183B5F">
          <w:rPr>
            <w:szCs w:val="22"/>
          </w:rPr>
          <w:noBreakHyphen/>
        </w:r>
        <w:r w:rsidR="00573B90" w:rsidRPr="00183B5F">
          <w:rPr>
            <w:szCs w:val="22"/>
          </w:rPr>
          <w:delText>nél alakul ki</w:delText>
        </w:r>
        <w:r w:rsidRPr="00183B5F">
          <w:rPr>
            <w:szCs w:val="22"/>
          </w:rPr>
          <w:delText>)</w:delText>
        </w:r>
      </w:del>
    </w:p>
    <w:p w14:paraId="1DDFAEE3" w14:textId="0841DC2C" w:rsidR="004C2FFA" w:rsidRPr="00183B5F" w:rsidRDefault="004C2FFA" w:rsidP="007276E0">
      <w:pPr>
        <w:suppressAutoHyphens w:val="0"/>
        <w:spacing w:line="240" w:lineRule="auto"/>
        <w:rPr>
          <w:del w:id="13611" w:author="AbbVie_HU_03" w:date="2025-05-14T16:41:00Z"/>
          <w:szCs w:val="22"/>
        </w:rPr>
      </w:pPr>
    </w:p>
    <w:p w14:paraId="294500AD" w14:textId="0CD7A1E1" w:rsidR="00FB6710" w:rsidRPr="00183B5F" w:rsidRDefault="00943743" w:rsidP="007276E0">
      <w:pPr>
        <w:numPr>
          <w:ilvl w:val="0"/>
          <w:numId w:val="76"/>
        </w:numPr>
        <w:tabs>
          <w:tab w:val="clear" w:pos="720"/>
          <w:tab w:val="num" w:pos="550"/>
        </w:tabs>
        <w:suppressAutoHyphens w:val="0"/>
        <w:spacing w:line="240" w:lineRule="auto"/>
        <w:ind w:left="550" w:hanging="550"/>
        <w:rPr>
          <w:del w:id="13612" w:author="AbbVie_HU_03" w:date="2025-05-14T16:41:00Z"/>
          <w:szCs w:val="22"/>
        </w:rPr>
      </w:pPr>
      <w:del w:id="13613" w:author="AbbVie_HU_03" w:date="2025-05-14T16:41:00Z">
        <w:r w:rsidRPr="00183B5F">
          <w:rPr>
            <w:szCs w:val="22"/>
          </w:rPr>
          <w:delText>alacsony fehérvérsejtszám, vörösvértestszám és vérlemezkeszám.</w:delText>
        </w:r>
      </w:del>
    </w:p>
    <w:p w14:paraId="5737A7E4" w14:textId="4769F1E1" w:rsidR="00C27CB0" w:rsidRPr="00183B5F" w:rsidRDefault="00C27CB0" w:rsidP="007276E0">
      <w:pPr>
        <w:suppressAutoHyphens w:val="0"/>
        <w:spacing w:line="240" w:lineRule="auto"/>
        <w:rPr>
          <w:del w:id="13614" w:author="AbbVie_HU_03" w:date="2025-05-14T16:41:00Z"/>
          <w:szCs w:val="22"/>
        </w:rPr>
      </w:pPr>
    </w:p>
    <w:p w14:paraId="0D30B4C4" w14:textId="7DF0D6F3" w:rsidR="00E01988" w:rsidRPr="00183B5F" w:rsidRDefault="00943743" w:rsidP="007276E0">
      <w:pPr>
        <w:keepNext/>
        <w:spacing w:line="240" w:lineRule="auto"/>
        <w:ind w:right="-29"/>
        <w:rPr>
          <w:del w:id="13615" w:author="AbbVie_HU_03" w:date="2025-05-14T16:41:00Z"/>
          <w:b/>
          <w:u w:val="single"/>
        </w:rPr>
      </w:pPr>
      <w:del w:id="13616" w:author="AbbVie_HU_03" w:date="2025-05-14T16:41:00Z">
        <w:r w:rsidRPr="00183B5F">
          <w:rPr>
            <w:b/>
            <w:u w:val="single"/>
          </w:rPr>
          <w:delText>Mellékhatások bejelentése</w:delText>
        </w:r>
      </w:del>
    </w:p>
    <w:p w14:paraId="20937C00" w14:textId="0F778C94" w:rsidR="00E01988" w:rsidRPr="00183B5F" w:rsidRDefault="00943743" w:rsidP="007276E0">
      <w:pPr>
        <w:spacing w:line="240" w:lineRule="auto"/>
        <w:ind w:right="-2"/>
        <w:rPr>
          <w:del w:id="13617" w:author="AbbVie_HU_03" w:date="2025-05-14T16:41:00Z"/>
        </w:rPr>
      </w:pPr>
      <w:del w:id="13618" w:author="AbbVie_HU_03" w:date="2025-05-14T16:41:00Z">
        <w:r w:rsidRPr="00183B5F">
          <w:rPr>
            <w:szCs w:val="24"/>
          </w:rPr>
          <w:delText xml:space="preserve">Ha </w:delText>
        </w:r>
        <w:r w:rsidRPr="00183B5F">
          <w:rPr>
            <w:noProof/>
            <w:szCs w:val="24"/>
          </w:rPr>
          <w:delText>Önnél bármilyen</w:delText>
        </w:r>
        <w:r w:rsidRPr="00183B5F">
          <w:rPr>
            <w:szCs w:val="24"/>
          </w:rPr>
          <w:delText xml:space="preserve"> mellékhatás </w:delText>
        </w:r>
        <w:r w:rsidRPr="00183B5F">
          <w:rPr>
            <w:noProof/>
            <w:szCs w:val="24"/>
          </w:rPr>
          <w:delText xml:space="preserve">jelentkezik, tájékoztassa kezelőorvosát </w:delText>
        </w:r>
        <w:r w:rsidRPr="00183B5F">
          <w:rPr>
            <w:szCs w:val="24"/>
          </w:rPr>
          <w:delText xml:space="preserve">vagy </w:delText>
        </w:r>
        <w:r w:rsidRPr="00183B5F">
          <w:rPr>
            <w:noProof/>
            <w:szCs w:val="24"/>
          </w:rPr>
          <w:delText>gyógyszerészét. Ez</w:delText>
        </w:r>
        <w:r w:rsidRPr="00183B5F">
          <w:rPr>
            <w:szCs w:val="24"/>
          </w:rPr>
          <w:delText xml:space="preserve"> a betegtájékoztatóban </w:delText>
        </w:r>
        <w:r w:rsidRPr="00183B5F">
          <w:rPr>
            <w:noProof/>
            <w:szCs w:val="24"/>
          </w:rPr>
          <w:delText>fel nem sorolt bármilyen lehetséges mellékhatásra is vonatkozik.</w:delText>
        </w:r>
        <w:r w:rsidRPr="00183B5F">
          <w:delText xml:space="preserve">A mellékhatásokat közvetlenül a hatóság részére is bejelentheti az </w:delText>
        </w:r>
        <w:r w:rsidR="00FB29DF">
          <w:fldChar w:fldCharType="begin"/>
        </w:r>
        <w:r w:rsidR="00FB29DF">
          <w:delInstrText>HYPERLINK "http://www.ema.europa.eu/docs/en_GB/document_library/Template_or_form/2013/03/WC500139752.doc"</w:delInstrText>
        </w:r>
        <w:r w:rsidR="00FB29DF">
          <w:fldChar w:fldCharType="separate"/>
        </w:r>
        <w:r w:rsidR="00FB29DF" w:rsidRPr="00183B5F">
          <w:rPr>
            <w:rStyle w:val="Hyperlink"/>
            <w:highlight w:val="lightGray"/>
          </w:rPr>
          <w:delText>V. függelékben</w:delText>
        </w:r>
        <w:r w:rsidR="00FB29DF">
          <w:fldChar w:fldCharType="end"/>
        </w:r>
        <w:r w:rsidR="00FB29DF" w:rsidRPr="00183B5F">
          <w:rPr>
            <w:highlight w:val="lightGray"/>
          </w:rPr>
          <w:delText xml:space="preserve"> található elérhetőségeken keresztül</w:delText>
        </w:r>
        <w:r w:rsidRPr="00183B5F">
          <w:delText>. A mellékhatások bejelentésével Ön is hozzájárulhat ahhoz, hogy minél több információ álljon rendelkezésre a gyógyszer biztonságos alkalmazásával kapcsolatban.</w:delText>
        </w:r>
      </w:del>
    </w:p>
    <w:p w14:paraId="5508D9B3" w14:textId="7858CABA" w:rsidR="00FB6710" w:rsidRPr="00183B5F" w:rsidRDefault="00FB6710" w:rsidP="007276E0">
      <w:pPr>
        <w:spacing w:line="240" w:lineRule="auto"/>
        <w:ind w:right="-2"/>
        <w:rPr>
          <w:del w:id="13619" w:author="AbbVie_HU_03" w:date="2025-05-14T16:41:00Z"/>
          <w:szCs w:val="22"/>
        </w:rPr>
      </w:pPr>
    </w:p>
    <w:p w14:paraId="4F948FBA" w14:textId="01662DEC" w:rsidR="00FB6710" w:rsidRPr="00183B5F" w:rsidRDefault="00FB6710" w:rsidP="007276E0">
      <w:pPr>
        <w:spacing w:line="240" w:lineRule="auto"/>
        <w:ind w:right="-2"/>
        <w:rPr>
          <w:del w:id="13620" w:author="AbbVie_HU_03" w:date="2025-05-14T16:41:00Z"/>
          <w:szCs w:val="22"/>
        </w:rPr>
      </w:pPr>
    </w:p>
    <w:p w14:paraId="115ABB66" w14:textId="314F0DFB" w:rsidR="00F265C6" w:rsidRPr="00183B5F" w:rsidRDefault="00943743" w:rsidP="007276E0">
      <w:pPr>
        <w:keepNext/>
        <w:spacing w:line="240" w:lineRule="auto"/>
        <w:ind w:right="-2"/>
        <w:rPr>
          <w:del w:id="13621" w:author="AbbVie_HU_03" w:date="2025-05-14T16:41:00Z"/>
          <w:b/>
          <w:szCs w:val="22"/>
        </w:rPr>
      </w:pPr>
      <w:del w:id="13622" w:author="AbbVie_HU_03" w:date="2025-05-14T16:41:00Z">
        <w:r w:rsidRPr="00183B5F">
          <w:rPr>
            <w:b/>
            <w:bCs/>
            <w:szCs w:val="22"/>
          </w:rPr>
          <w:delText>5.</w:delText>
        </w:r>
        <w:r w:rsidRPr="00183B5F">
          <w:rPr>
            <w:b/>
            <w:bCs/>
            <w:szCs w:val="22"/>
          </w:rPr>
          <w:tab/>
        </w:r>
        <w:r w:rsidRPr="00183B5F">
          <w:rPr>
            <w:b/>
            <w:szCs w:val="22"/>
          </w:rPr>
          <w:delText>Hogyan kell a Humira</w:delText>
        </w:r>
        <w:r w:rsidRPr="00183B5F">
          <w:rPr>
            <w:b/>
            <w:szCs w:val="22"/>
          </w:rPr>
          <w:noBreakHyphen/>
          <w:delText>t tárolni?</w:delText>
        </w:r>
      </w:del>
    </w:p>
    <w:p w14:paraId="60D3EFF3" w14:textId="40D8272E" w:rsidR="00F265C6" w:rsidRPr="00183B5F" w:rsidRDefault="00F265C6" w:rsidP="007276E0">
      <w:pPr>
        <w:keepNext/>
        <w:spacing w:line="240" w:lineRule="auto"/>
        <w:ind w:right="-2"/>
        <w:rPr>
          <w:del w:id="13623" w:author="AbbVie_HU_03" w:date="2025-05-14T16:41:00Z"/>
          <w:b/>
          <w:szCs w:val="22"/>
        </w:rPr>
      </w:pPr>
    </w:p>
    <w:p w14:paraId="3DA92A73" w14:textId="73BBBB56" w:rsidR="00FB6710" w:rsidRPr="00183B5F" w:rsidRDefault="00943743" w:rsidP="007276E0">
      <w:pPr>
        <w:keepNext/>
        <w:spacing w:line="240" w:lineRule="auto"/>
        <w:ind w:right="-2"/>
        <w:rPr>
          <w:del w:id="13624" w:author="AbbVie_HU_03" w:date="2025-05-14T16:41:00Z"/>
          <w:szCs w:val="22"/>
        </w:rPr>
      </w:pPr>
      <w:del w:id="13625" w:author="AbbVie_HU_03" w:date="2025-05-14T16:41:00Z">
        <w:r w:rsidRPr="00183B5F">
          <w:rPr>
            <w:szCs w:val="22"/>
          </w:rPr>
          <w:delText>A gyógyszer gyermek</w:delText>
        </w:r>
        <w:r w:rsidR="00085084" w:rsidRPr="00183B5F">
          <w:rPr>
            <w:szCs w:val="22"/>
          </w:rPr>
          <w:delText>ek</w:delText>
        </w:r>
        <w:r w:rsidRPr="00183B5F">
          <w:rPr>
            <w:szCs w:val="22"/>
          </w:rPr>
          <w:delText>től elzárva tartandó</w:delText>
        </w:r>
        <w:r w:rsidR="00501D6D" w:rsidRPr="00183B5F">
          <w:rPr>
            <w:szCs w:val="22"/>
          </w:rPr>
          <w:delText>.</w:delText>
        </w:r>
      </w:del>
    </w:p>
    <w:p w14:paraId="1DCE4A35" w14:textId="040EDA64" w:rsidR="00FB6710" w:rsidRPr="00183B5F" w:rsidRDefault="00FB6710" w:rsidP="007276E0">
      <w:pPr>
        <w:keepNext/>
        <w:spacing w:line="240" w:lineRule="auto"/>
        <w:rPr>
          <w:del w:id="13626" w:author="AbbVie_HU_03" w:date="2025-05-14T16:41:00Z"/>
          <w:szCs w:val="22"/>
        </w:rPr>
      </w:pPr>
    </w:p>
    <w:p w14:paraId="0E019139" w14:textId="2A145688" w:rsidR="00FB6710" w:rsidRPr="00183B5F" w:rsidRDefault="00943743" w:rsidP="007276E0">
      <w:pPr>
        <w:keepNext/>
        <w:spacing w:line="240" w:lineRule="auto"/>
        <w:rPr>
          <w:del w:id="13627" w:author="AbbVie_HU_03" w:date="2025-05-14T16:41:00Z"/>
          <w:szCs w:val="22"/>
        </w:rPr>
      </w:pPr>
      <w:del w:id="13628" w:author="AbbVie_HU_03" w:date="2025-05-14T16:41:00Z">
        <w:r w:rsidRPr="00183B5F">
          <w:rPr>
            <w:szCs w:val="22"/>
          </w:rPr>
          <w:delText>A címkén/</w:delText>
        </w:r>
        <w:r w:rsidR="009F5334" w:rsidRPr="00183B5F">
          <w:rPr>
            <w:szCs w:val="22"/>
          </w:rPr>
          <w:delText>buborékcsomagoláson</w:delText>
        </w:r>
        <w:r w:rsidRPr="00183B5F">
          <w:rPr>
            <w:szCs w:val="22"/>
          </w:rPr>
          <w:delText>/dobozon feltüntetett lejárati idő (</w:delText>
        </w:r>
        <w:r w:rsidR="00C63E72" w:rsidRPr="00183B5F">
          <w:rPr>
            <w:szCs w:val="22"/>
          </w:rPr>
          <w:delText>EXP</w:delText>
        </w:r>
        <w:r w:rsidRPr="00183B5F">
          <w:rPr>
            <w:szCs w:val="22"/>
          </w:rPr>
          <w:delText xml:space="preserve">) után ne alkalmazza </w:delText>
        </w:r>
        <w:r w:rsidR="00FB29DF" w:rsidRPr="00183B5F">
          <w:rPr>
            <w:szCs w:val="22"/>
          </w:rPr>
          <w:delText xml:space="preserve">ezt </w:delText>
        </w:r>
        <w:r w:rsidR="00F265C6" w:rsidRPr="00183B5F">
          <w:rPr>
            <w:noProof/>
            <w:szCs w:val="24"/>
          </w:rPr>
          <w:delText>a gyógyszert</w:delText>
        </w:r>
        <w:r w:rsidRPr="00183B5F">
          <w:rPr>
            <w:szCs w:val="22"/>
          </w:rPr>
          <w:delText>.</w:delText>
        </w:r>
      </w:del>
    </w:p>
    <w:p w14:paraId="6D2CF37F" w14:textId="694878B8" w:rsidR="00FB6710" w:rsidRPr="00183B5F" w:rsidRDefault="00FB6710" w:rsidP="007276E0">
      <w:pPr>
        <w:spacing w:line="240" w:lineRule="auto"/>
        <w:rPr>
          <w:del w:id="13629" w:author="AbbVie_HU_03" w:date="2025-05-14T16:41:00Z"/>
          <w:szCs w:val="22"/>
        </w:rPr>
      </w:pPr>
    </w:p>
    <w:p w14:paraId="70864D63" w14:textId="2BFE2CE4" w:rsidR="00501D6D" w:rsidRPr="00183B5F" w:rsidRDefault="00943743" w:rsidP="007276E0">
      <w:pPr>
        <w:spacing w:line="240" w:lineRule="auto"/>
        <w:rPr>
          <w:del w:id="13630" w:author="AbbVie_HU_03" w:date="2025-05-14T16:41:00Z"/>
          <w:szCs w:val="22"/>
        </w:rPr>
      </w:pPr>
      <w:del w:id="13631" w:author="AbbVie_HU_03" w:date="2025-05-14T16:41:00Z">
        <w:r w:rsidRPr="00183B5F">
          <w:rPr>
            <w:szCs w:val="22"/>
          </w:rPr>
          <w:delText xml:space="preserve">Hűtőszekrényben </w:delText>
        </w:r>
        <w:r w:rsidR="00E07ED0" w:rsidRPr="00183B5F">
          <w:rPr>
            <w:szCs w:val="22"/>
          </w:rPr>
          <w:delText>(2°C</w:delText>
        </w:r>
        <w:r w:rsidR="001B213F" w:rsidRPr="00183B5F">
          <w:rPr>
            <w:szCs w:val="22"/>
          </w:rPr>
          <w:noBreakHyphen/>
        </w:r>
        <w:r w:rsidR="00E07ED0" w:rsidRPr="00183B5F">
          <w:rPr>
            <w:szCs w:val="22"/>
          </w:rPr>
          <w:delText>8</w:delText>
        </w:r>
        <w:r w:rsidR="00E3529F" w:rsidRPr="00183B5F">
          <w:rPr>
            <w:rFonts w:ascii="Symbol" w:hAnsi="Symbol"/>
            <w:szCs w:val="22"/>
          </w:rPr>
          <w:sym w:font="Symbol" w:char="F0B0"/>
        </w:r>
        <w:r w:rsidR="00E07ED0" w:rsidRPr="00183B5F">
          <w:rPr>
            <w:szCs w:val="22"/>
          </w:rPr>
          <w:delText xml:space="preserve">C) </w:delText>
        </w:r>
        <w:r w:rsidRPr="00183B5F">
          <w:rPr>
            <w:szCs w:val="22"/>
          </w:rPr>
          <w:delText>tárolandó. Nem fagyasztható</w:delText>
        </w:r>
        <w:r w:rsidR="006B2BB7" w:rsidRPr="00183B5F">
          <w:rPr>
            <w:szCs w:val="22"/>
          </w:rPr>
          <w:delText>!</w:delText>
        </w:r>
      </w:del>
    </w:p>
    <w:p w14:paraId="6B53D1B6" w14:textId="510D040A" w:rsidR="00501D6D" w:rsidRPr="00183B5F" w:rsidRDefault="00501D6D" w:rsidP="007276E0">
      <w:pPr>
        <w:spacing w:line="240" w:lineRule="auto"/>
        <w:rPr>
          <w:del w:id="13632" w:author="AbbVie_HU_03" w:date="2025-05-14T16:41:00Z"/>
          <w:szCs w:val="22"/>
        </w:rPr>
      </w:pPr>
    </w:p>
    <w:p w14:paraId="09A131F9" w14:textId="6CB8704C" w:rsidR="008D16D6" w:rsidRPr="00183B5F" w:rsidRDefault="00943743" w:rsidP="007276E0">
      <w:pPr>
        <w:spacing w:line="240" w:lineRule="auto"/>
        <w:rPr>
          <w:del w:id="13633" w:author="AbbVie_HU_03" w:date="2025-05-14T16:41:00Z"/>
          <w:szCs w:val="22"/>
        </w:rPr>
      </w:pPr>
      <w:del w:id="13634" w:author="AbbVie_HU_03" w:date="2025-05-14T16:41:00Z">
        <w:r w:rsidRPr="00183B5F">
          <w:rPr>
            <w:szCs w:val="22"/>
          </w:rPr>
          <w:delText>A fénytől való védelem érdekében a</w:delText>
        </w:r>
        <w:r w:rsidR="00FB6710" w:rsidRPr="00183B5F">
          <w:rPr>
            <w:szCs w:val="22"/>
          </w:rPr>
          <w:delText>z előretöltött injekciós toll a</w:delText>
        </w:r>
        <w:r w:rsidR="00E07ED0" w:rsidRPr="00183B5F">
          <w:rPr>
            <w:szCs w:val="22"/>
          </w:rPr>
          <w:delText>z eredeti dobozban tárolandó</w:delText>
        </w:r>
        <w:r w:rsidRPr="00183B5F">
          <w:rPr>
            <w:szCs w:val="22"/>
          </w:rPr>
          <w:delText>.</w:delText>
        </w:r>
      </w:del>
    </w:p>
    <w:p w14:paraId="0806E4DE" w14:textId="7AB914B5" w:rsidR="008D16D6" w:rsidRPr="00183B5F" w:rsidRDefault="008D16D6" w:rsidP="007276E0">
      <w:pPr>
        <w:spacing w:line="240" w:lineRule="auto"/>
        <w:rPr>
          <w:del w:id="13635" w:author="AbbVie_HU_03" w:date="2025-05-14T16:41:00Z"/>
          <w:szCs w:val="22"/>
        </w:rPr>
      </w:pPr>
    </w:p>
    <w:p w14:paraId="0B86D019" w14:textId="584581D2" w:rsidR="006D2BD0" w:rsidRPr="00183B5F" w:rsidRDefault="00943743" w:rsidP="007276E0">
      <w:pPr>
        <w:spacing w:line="240" w:lineRule="auto"/>
        <w:rPr>
          <w:del w:id="13636" w:author="AbbVie_HU_03" w:date="2025-05-14T16:41:00Z"/>
          <w:szCs w:val="22"/>
        </w:rPr>
      </w:pPr>
      <w:del w:id="13637" w:author="AbbVie_HU_03" w:date="2025-05-14T16:41:00Z">
        <w:r w:rsidRPr="00183B5F">
          <w:rPr>
            <w:szCs w:val="22"/>
          </w:rPr>
          <w:delText>További tárolási lehetőség:</w:delText>
        </w:r>
      </w:del>
    </w:p>
    <w:p w14:paraId="4DEA1271" w14:textId="7D922ADB" w:rsidR="006D2BD0" w:rsidRPr="00183B5F" w:rsidRDefault="006D2BD0" w:rsidP="007276E0">
      <w:pPr>
        <w:spacing w:line="240" w:lineRule="auto"/>
        <w:rPr>
          <w:del w:id="13638" w:author="AbbVie_HU_03" w:date="2025-05-14T16:41:00Z"/>
          <w:szCs w:val="22"/>
        </w:rPr>
      </w:pPr>
    </w:p>
    <w:p w14:paraId="27D25E35" w14:textId="004DC21A" w:rsidR="006D2BD0" w:rsidRPr="00183B5F" w:rsidRDefault="00943743" w:rsidP="007276E0">
      <w:pPr>
        <w:spacing w:line="240" w:lineRule="auto"/>
        <w:rPr>
          <w:del w:id="13639" w:author="AbbVie_HU_03" w:date="2025-05-14T16:41:00Z"/>
          <w:szCs w:val="22"/>
        </w:rPr>
      </w:pPr>
      <w:del w:id="13640" w:author="AbbVie_HU_03" w:date="2025-05-14T16:41:00Z">
        <w:r w:rsidRPr="00183B5F">
          <w:rPr>
            <w:szCs w:val="22"/>
          </w:rPr>
          <w:delText>Amennyiben szükséges (</w:delText>
        </w:r>
        <w:r w:rsidR="00F15477" w:rsidRPr="00183B5F">
          <w:rPr>
            <w:bCs/>
            <w:szCs w:val="22"/>
          </w:rPr>
          <w:delText>például</w:delText>
        </w:r>
        <w:r w:rsidRPr="00183B5F">
          <w:rPr>
            <w:szCs w:val="22"/>
          </w:rPr>
          <w:delText xml:space="preserve"> utazás alatt), úgy önmagában a Humira előretöltött </w:delText>
        </w:r>
        <w:r w:rsidR="00934A66" w:rsidRPr="00183B5F">
          <w:rPr>
            <w:szCs w:val="22"/>
          </w:rPr>
          <w:delText xml:space="preserve">injekciós </w:delText>
        </w:r>
        <w:r w:rsidRPr="00183B5F">
          <w:rPr>
            <w:szCs w:val="22"/>
          </w:rPr>
          <w:delText>toll legfeljebb 25</w:delText>
        </w:r>
        <w:r w:rsidR="00E3529F" w:rsidRPr="00183B5F">
          <w:rPr>
            <w:rFonts w:ascii="Symbol" w:hAnsi="Symbol"/>
            <w:szCs w:val="22"/>
          </w:rPr>
          <w:sym w:font="Symbol" w:char="F0B0"/>
        </w:r>
        <w:r w:rsidRPr="00183B5F">
          <w:rPr>
            <w:szCs w:val="22"/>
          </w:rPr>
          <w:delText>C</w:delText>
        </w:r>
        <w:r w:rsidRPr="00183B5F">
          <w:rPr>
            <w:szCs w:val="22"/>
          </w:rPr>
          <w:noBreakHyphen/>
          <w:delText>on, maximum 14</w:delText>
        </w:r>
        <w:r w:rsidR="00934A66" w:rsidRPr="00183B5F">
          <w:rPr>
            <w:szCs w:val="22"/>
          </w:rPr>
          <w:delText> </w:delText>
        </w:r>
        <w:r w:rsidRPr="00183B5F">
          <w:rPr>
            <w:szCs w:val="22"/>
          </w:rPr>
          <w:delText>napig tárolható. A fénytől való védelmet biztosítani kell. Ha a hűtőgépből kivette, hogy szobahőmérsékleten tartsa, úgy a</w:delText>
        </w:r>
        <w:r w:rsidR="00934A66" w:rsidRPr="00183B5F">
          <w:rPr>
            <w:szCs w:val="22"/>
          </w:rPr>
          <w:delText>z</w:delText>
        </w:r>
        <w:r w:rsidRPr="00183B5F">
          <w:rPr>
            <w:szCs w:val="22"/>
          </w:rPr>
          <w:delText xml:space="preserve"> </w:delText>
        </w:r>
        <w:r w:rsidR="00934A66" w:rsidRPr="00183B5F">
          <w:rPr>
            <w:szCs w:val="22"/>
          </w:rPr>
          <w:delText>injekciós tollat</w:delText>
        </w:r>
        <w:r w:rsidRPr="00183B5F">
          <w:rPr>
            <w:szCs w:val="22"/>
          </w:rPr>
          <w:delText xml:space="preserve"> </w:delText>
        </w:r>
        <w:r w:rsidRPr="00183B5F">
          <w:rPr>
            <w:b/>
            <w:szCs w:val="22"/>
          </w:rPr>
          <w:delText>14</w:delText>
        </w:r>
        <w:r w:rsidR="00141743" w:rsidRPr="00183B5F">
          <w:rPr>
            <w:b/>
            <w:szCs w:val="22"/>
          </w:rPr>
          <w:delText> </w:delText>
        </w:r>
        <w:r w:rsidRPr="00183B5F">
          <w:rPr>
            <w:b/>
            <w:szCs w:val="22"/>
          </w:rPr>
          <w:delText>napon belül fel kell használni, vagy meg kell semmisíteni</w:delText>
        </w:r>
        <w:r w:rsidRPr="00183B5F">
          <w:rPr>
            <w:szCs w:val="22"/>
          </w:rPr>
          <w:delText>, még akkor is, ha visszatette a hűtőszekrénybe.</w:delText>
        </w:r>
      </w:del>
    </w:p>
    <w:p w14:paraId="4C74D2F9" w14:textId="421C1325" w:rsidR="006D2BD0" w:rsidRPr="00183B5F" w:rsidRDefault="006D2BD0" w:rsidP="007276E0">
      <w:pPr>
        <w:spacing w:line="240" w:lineRule="auto"/>
        <w:rPr>
          <w:del w:id="13641" w:author="AbbVie_HU_03" w:date="2025-05-14T16:41:00Z"/>
          <w:szCs w:val="22"/>
        </w:rPr>
      </w:pPr>
    </w:p>
    <w:p w14:paraId="38CE6B61" w14:textId="210EA690" w:rsidR="00FB6710" w:rsidRPr="00183B5F" w:rsidRDefault="00943743" w:rsidP="007276E0">
      <w:pPr>
        <w:spacing w:line="240" w:lineRule="auto"/>
        <w:rPr>
          <w:del w:id="13642" w:author="AbbVie_HU_03" w:date="2025-05-14T16:41:00Z"/>
          <w:szCs w:val="22"/>
        </w:rPr>
      </w:pPr>
      <w:del w:id="13643" w:author="AbbVie_HU_03" w:date="2025-05-14T16:41:00Z">
        <w:r w:rsidRPr="00183B5F">
          <w:rPr>
            <w:szCs w:val="22"/>
          </w:rPr>
          <w:delText>Jegyezze fel, hogy mikor vette ki először a</w:delText>
        </w:r>
        <w:r w:rsidR="00934A66" w:rsidRPr="00183B5F">
          <w:rPr>
            <w:szCs w:val="22"/>
          </w:rPr>
          <w:delText>z injekciós tollat</w:delText>
        </w:r>
        <w:r w:rsidRPr="00183B5F">
          <w:rPr>
            <w:szCs w:val="22"/>
          </w:rPr>
          <w:delText xml:space="preserve"> a hűtőszekrényből, és azt a dátumot is, ami után azt meg kell semmisíteni.</w:delText>
        </w:r>
      </w:del>
    </w:p>
    <w:p w14:paraId="61FA48AB" w14:textId="4A189903" w:rsidR="00FB6710" w:rsidRPr="00183B5F" w:rsidRDefault="00FB6710" w:rsidP="007276E0">
      <w:pPr>
        <w:spacing w:line="240" w:lineRule="auto"/>
        <w:rPr>
          <w:del w:id="13644" w:author="AbbVie_HU_03" w:date="2025-05-14T16:41:00Z"/>
          <w:szCs w:val="22"/>
        </w:rPr>
      </w:pPr>
    </w:p>
    <w:p w14:paraId="59C2BF8E" w14:textId="6D50A22C" w:rsidR="00F265C6" w:rsidRPr="00183B5F" w:rsidRDefault="00943743" w:rsidP="007276E0">
      <w:pPr>
        <w:spacing w:line="240" w:lineRule="auto"/>
        <w:ind w:right="-2"/>
        <w:rPr>
          <w:del w:id="13645" w:author="AbbVie_HU_03" w:date="2025-05-14T16:41:00Z"/>
          <w:szCs w:val="22"/>
        </w:rPr>
      </w:pPr>
      <w:del w:id="13646" w:author="AbbVie_HU_03" w:date="2025-05-14T16:41:00Z">
        <w:r w:rsidRPr="00183B5F">
          <w:rPr>
            <w:noProof/>
            <w:szCs w:val="24"/>
          </w:rPr>
          <w:delText xml:space="preserve">Semmilyen gyógyszert ne dobjon a szennyvízbe </w:delText>
        </w:r>
        <w:r w:rsidRPr="00183B5F">
          <w:rPr>
            <w:szCs w:val="24"/>
          </w:rPr>
          <w:delText xml:space="preserve">vagy a háztartási </w:delText>
        </w:r>
        <w:r w:rsidRPr="00183B5F">
          <w:rPr>
            <w:noProof/>
            <w:szCs w:val="24"/>
          </w:rPr>
          <w:delText>hulladékba.</w:delText>
        </w:r>
        <w:r w:rsidRPr="00183B5F">
          <w:rPr>
            <w:szCs w:val="24"/>
          </w:rPr>
          <w:delText xml:space="preserve"> Kérdezze meg gyógyszerészét, hogy mit tegyen </w:delText>
        </w:r>
        <w:r w:rsidRPr="00183B5F">
          <w:rPr>
            <w:noProof/>
            <w:szCs w:val="24"/>
          </w:rPr>
          <w:delText>a már nem használt</w:delText>
        </w:r>
        <w:r w:rsidRPr="00183B5F">
          <w:rPr>
            <w:szCs w:val="24"/>
          </w:rPr>
          <w:delText xml:space="preserve"> gyógyszereivel. </w:delText>
        </w:r>
        <w:r w:rsidRPr="00183B5F">
          <w:rPr>
            <w:noProof/>
            <w:szCs w:val="24"/>
          </w:rPr>
          <w:delText>Ezek az intézkedések elősegítik a környezet védelmét.</w:delText>
        </w:r>
      </w:del>
    </w:p>
    <w:p w14:paraId="1F3B98F5" w14:textId="496A6F7D" w:rsidR="00F265C6" w:rsidRPr="00183B5F" w:rsidRDefault="00F265C6" w:rsidP="007276E0">
      <w:pPr>
        <w:spacing w:line="240" w:lineRule="auto"/>
        <w:ind w:right="-2"/>
        <w:rPr>
          <w:del w:id="13647" w:author="AbbVie_HU_03" w:date="2025-05-14T16:41:00Z"/>
          <w:szCs w:val="22"/>
        </w:rPr>
      </w:pPr>
    </w:p>
    <w:p w14:paraId="4C67B7D5" w14:textId="1343F1D8" w:rsidR="00F265C6" w:rsidRPr="00183B5F" w:rsidRDefault="00F265C6" w:rsidP="007276E0">
      <w:pPr>
        <w:spacing w:line="240" w:lineRule="auto"/>
        <w:ind w:right="-2"/>
        <w:rPr>
          <w:del w:id="13648" w:author="AbbVie_HU_03" w:date="2025-05-14T16:41:00Z"/>
          <w:szCs w:val="22"/>
        </w:rPr>
      </w:pPr>
    </w:p>
    <w:p w14:paraId="4204557F" w14:textId="56DADECE" w:rsidR="00F265C6" w:rsidRPr="00183B5F" w:rsidRDefault="00943743" w:rsidP="007276E0">
      <w:pPr>
        <w:spacing w:line="240" w:lineRule="auto"/>
        <w:ind w:right="-2"/>
        <w:rPr>
          <w:del w:id="13649" w:author="AbbVie_HU_03" w:date="2025-05-14T16:41:00Z"/>
          <w:b/>
          <w:noProof/>
          <w:szCs w:val="24"/>
        </w:rPr>
      </w:pPr>
      <w:del w:id="13650" w:author="AbbVie_HU_03" w:date="2025-05-14T16:41:00Z">
        <w:r w:rsidRPr="00183B5F">
          <w:rPr>
            <w:b/>
            <w:szCs w:val="22"/>
          </w:rPr>
          <w:delText>6.</w:delText>
        </w:r>
        <w:r w:rsidRPr="00183B5F">
          <w:rPr>
            <w:b/>
            <w:szCs w:val="22"/>
          </w:rPr>
          <w:tab/>
        </w:r>
        <w:r w:rsidRPr="00183B5F">
          <w:rPr>
            <w:b/>
            <w:noProof/>
            <w:szCs w:val="24"/>
          </w:rPr>
          <w:delText>A csomagolás tartalma és egyéb információk</w:delText>
        </w:r>
      </w:del>
    </w:p>
    <w:p w14:paraId="3B50D14A" w14:textId="25A25A2E" w:rsidR="00FB6710" w:rsidRPr="00183B5F" w:rsidRDefault="00FB6710" w:rsidP="007276E0">
      <w:pPr>
        <w:spacing w:line="240" w:lineRule="auto"/>
        <w:rPr>
          <w:del w:id="13651" w:author="AbbVie_HU_03" w:date="2025-05-14T16:41:00Z"/>
          <w:szCs w:val="22"/>
        </w:rPr>
      </w:pPr>
    </w:p>
    <w:p w14:paraId="2679C9CB" w14:textId="6DC8CA43" w:rsidR="00FB6710" w:rsidRPr="00183B5F" w:rsidRDefault="00943743" w:rsidP="007276E0">
      <w:pPr>
        <w:spacing w:line="240" w:lineRule="auto"/>
        <w:rPr>
          <w:del w:id="13652" w:author="AbbVie_HU_03" w:date="2025-05-14T16:41:00Z"/>
          <w:b/>
          <w:bCs/>
          <w:szCs w:val="22"/>
        </w:rPr>
      </w:pPr>
      <w:del w:id="13653" w:author="AbbVie_HU_03" w:date="2025-05-14T16:41:00Z">
        <w:r w:rsidRPr="00183B5F">
          <w:rPr>
            <w:b/>
            <w:bCs/>
            <w:szCs w:val="22"/>
          </w:rPr>
          <w:delText>Mit tartalmaz a Humira</w:delText>
        </w:r>
      </w:del>
    </w:p>
    <w:p w14:paraId="293F3648" w14:textId="4B0470D0" w:rsidR="00F265C6" w:rsidRPr="00183B5F" w:rsidRDefault="00F265C6" w:rsidP="007276E0">
      <w:pPr>
        <w:spacing w:line="240" w:lineRule="auto"/>
        <w:rPr>
          <w:del w:id="13654" w:author="AbbVie_HU_03" w:date="2025-05-14T16:41:00Z"/>
          <w:szCs w:val="22"/>
        </w:rPr>
      </w:pPr>
    </w:p>
    <w:p w14:paraId="79123135" w14:textId="40D2F8C7" w:rsidR="00FB6710" w:rsidRPr="00183B5F" w:rsidRDefault="00943743" w:rsidP="007276E0">
      <w:pPr>
        <w:spacing w:line="240" w:lineRule="auto"/>
        <w:rPr>
          <w:del w:id="13655" w:author="AbbVie_HU_03" w:date="2025-05-14T16:41:00Z"/>
          <w:szCs w:val="22"/>
        </w:rPr>
      </w:pPr>
      <w:del w:id="13656" w:author="AbbVie_HU_03" w:date="2025-05-14T16:41:00Z">
        <w:r w:rsidRPr="00183B5F">
          <w:rPr>
            <w:szCs w:val="22"/>
          </w:rPr>
          <w:delText>A készítmény hatóanyaga: adalimumab.</w:delText>
        </w:r>
      </w:del>
    </w:p>
    <w:p w14:paraId="49F6C247" w14:textId="65136991" w:rsidR="00FB6710" w:rsidRPr="00183B5F" w:rsidRDefault="00943743" w:rsidP="007276E0">
      <w:pPr>
        <w:spacing w:line="240" w:lineRule="auto"/>
        <w:rPr>
          <w:del w:id="13657" w:author="AbbVie_HU_03" w:date="2025-05-14T16:41:00Z"/>
          <w:szCs w:val="22"/>
        </w:rPr>
      </w:pPr>
      <w:del w:id="13658" w:author="AbbVie_HU_03" w:date="2025-05-14T16:41:00Z">
        <w:r w:rsidRPr="00183B5F">
          <w:rPr>
            <w:szCs w:val="22"/>
          </w:rPr>
          <w:delText xml:space="preserve">Egyéb összetevők: mannit, citromsav-monohidrát, </w:delText>
        </w:r>
        <w:r w:rsidR="0018172E" w:rsidRPr="00183B5F">
          <w:rPr>
            <w:szCs w:val="22"/>
          </w:rPr>
          <w:delText>tri</w:delText>
        </w:r>
        <w:r w:rsidRPr="00183B5F">
          <w:rPr>
            <w:szCs w:val="22"/>
          </w:rPr>
          <w:delText>nátrium-citrát, nátrium-dihidrogén-foszfát-dihidrát, dinátrium-</w:delText>
        </w:r>
        <w:r w:rsidR="0018172E" w:rsidRPr="00183B5F">
          <w:rPr>
            <w:szCs w:val="22"/>
          </w:rPr>
          <w:delText>hidrogén-</w:delText>
        </w:r>
        <w:r w:rsidRPr="00183B5F">
          <w:rPr>
            <w:szCs w:val="22"/>
          </w:rPr>
          <w:delText xml:space="preserve">foszfát-dihidrát, nátrium-klorid, poliszorbát 80, nátrium-hidroxid és </w:delText>
        </w:r>
        <w:r w:rsidR="0018172E" w:rsidRPr="00183B5F">
          <w:rPr>
            <w:szCs w:val="22"/>
          </w:rPr>
          <w:delText xml:space="preserve">injekcióhoz való </w:delText>
        </w:r>
        <w:r w:rsidRPr="00183B5F">
          <w:rPr>
            <w:szCs w:val="22"/>
          </w:rPr>
          <w:delText>víz.</w:delText>
        </w:r>
      </w:del>
    </w:p>
    <w:p w14:paraId="1A87F9BC" w14:textId="34C5C282" w:rsidR="00FB6710" w:rsidRPr="00183B5F" w:rsidRDefault="00FB6710" w:rsidP="007276E0">
      <w:pPr>
        <w:spacing w:line="240" w:lineRule="auto"/>
        <w:ind w:right="-2"/>
        <w:rPr>
          <w:del w:id="13659" w:author="AbbVie_HU_03" w:date="2025-05-14T16:41:00Z"/>
          <w:bCs/>
          <w:szCs w:val="22"/>
        </w:rPr>
      </w:pPr>
    </w:p>
    <w:p w14:paraId="6D844FE6" w14:textId="6D874C64" w:rsidR="00FB6710" w:rsidRPr="00183B5F" w:rsidRDefault="00943743" w:rsidP="007276E0">
      <w:pPr>
        <w:keepNext/>
        <w:spacing w:line="240" w:lineRule="auto"/>
        <w:ind w:right="-2"/>
        <w:rPr>
          <w:del w:id="13660" w:author="AbbVie_HU_03" w:date="2025-05-14T16:41:00Z"/>
          <w:b/>
          <w:bCs/>
          <w:szCs w:val="22"/>
        </w:rPr>
      </w:pPr>
      <w:del w:id="13661" w:author="AbbVie_HU_03" w:date="2025-05-14T16:41:00Z">
        <w:r w:rsidRPr="00183B5F">
          <w:rPr>
            <w:b/>
            <w:bCs/>
            <w:szCs w:val="22"/>
          </w:rPr>
          <w:delText>Milyen a Humira külleme és mit tartalmaz a csomagolás</w:delText>
        </w:r>
      </w:del>
    </w:p>
    <w:p w14:paraId="07FA2A03" w14:textId="7A8A9382" w:rsidR="00FB6710" w:rsidRPr="00183B5F" w:rsidRDefault="00FB6710" w:rsidP="007276E0">
      <w:pPr>
        <w:keepNext/>
        <w:spacing w:line="240" w:lineRule="auto"/>
        <w:ind w:right="-2"/>
        <w:rPr>
          <w:del w:id="13662" w:author="AbbVie_HU_03" w:date="2025-05-14T16:41:00Z"/>
          <w:szCs w:val="22"/>
        </w:rPr>
      </w:pPr>
    </w:p>
    <w:p w14:paraId="232A6785" w14:textId="5CAD981F" w:rsidR="00FB6710" w:rsidRPr="00183B5F" w:rsidRDefault="00943743" w:rsidP="007276E0">
      <w:pPr>
        <w:keepNext/>
        <w:spacing w:line="240" w:lineRule="auto"/>
        <w:rPr>
          <w:del w:id="13663" w:author="AbbVie_HU_03" w:date="2025-05-14T16:41:00Z"/>
          <w:szCs w:val="22"/>
        </w:rPr>
      </w:pPr>
      <w:del w:id="13664" w:author="AbbVie_HU_03" w:date="2025-05-14T16:41:00Z">
        <w:r w:rsidRPr="00183B5F">
          <w:rPr>
            <w:szCs w:val="22"/>
          </w:rPr>
          <w:delText xml:space="preserve">A Humira 40 mg oldatos injekció előretöltött </w:delText>
        </w:r>
        <w:r w:rsidR="007060F6" w:rsidRPr="00183B5F">
          <w:rPr>
            <w:szCs w:val="22"/>
          </w:rPr>
          <w:delText xml:space="preserve">injekciós </w:delText>
        </w:r>
        <w:r w:rsidR="004D3C69" w:rsidRPr="00183B5F">
          <w:rPr>
            <w:szCs w:val="22"/>
          </w:rPr>
          <w:delText xml:space="preserve">tollban </w:delText>
        </w:r>
        <w:r w:rsidRPr="00183B5F">
          <w:rPr>
            <w:szCs w:val="22"/>
          </w:rPr>
          <w:delText>40 mg adalimumabot tartalmazó 0,8 ml steril oldat formájában kerül forgalomba.</w:delText>
        </w:r>
      </w:del>
    </w:p>
    <w:p w14:paraId="2CD21629" w14:textId="0AB1CE55" w:rsidR="00FB6710" w:rsidRPr="00183B5F" w:rsidRDefault="00FB6710" w:rsidP="007276E0">
      <w:pPr>
        <w:spacing w:line="240" w:lineRule="auto"/>
        <w:ind w:right="-2"/>
        <w:rPr>
          <w:del w:id="13665" w:author="AbbVie_HU_03" w:date="2025-05-14T16:41:00Z"/>
          <w:szCs w:val="22"/>
        </w:rPr>
      </w:pPr>
    </w:p>
    <w:p w14:paraId="12A8E941" w14:textId="2E009EC7" w:rsidR="00FB6710" w:rsidRPr="00183B5F" w:rsidRDefault="00943743" w:rsidP="007276E0">
      <w:pPr>
        <w:spacing w:line="240" w:lineRule="auto"/>
        <w:ind w:right="-2"/>
        <w:rPr>
          <w:del w:id="13666" w:author="AbbVie_HU_03" w:date="2025-05-14T16:41:00Z"/>
          <w:szCs w:val="22"/>
        </w:rPr>
      </w:pPr>
      <w:del w:id="13667" w:author="AbbVie_HU_03" w:date="2025-05-14T16:41:00Z">
        <w:r w:rsidRPr="00183B5F">
          <w:rPr>
            <w:szCs w:val="22"/>
          </w:rPr>
          <w:delText>A Humira előretöltött injekciós toll egyszer használatos, szürke</w:delText>
        </w:r>
        <w:r w:rsidR="0058256E" w:rsidRPr="00183B5F">
          <w:rPr>
            <w:szCs w:val="22"/>
          </w:rPr>
          <w:delText xml:space="preserve">- és </w:delText>
        </w:r>
        <w:r w:rsidRPr="00183B5F">
          <w:rPr>
            <w:szCs w:val="22"/>
          </w:rPr>
          <w:delText>szilvakék színű injekciós eszköz, amely Humira oldattal töltött üveg fecskendőt tartalmaz. Két védőkupakja közül a szürke színű „1” a szilvakék színű „2” jelzés</w:delText>
        </w:r>
        <w:r w:rsidR="0058256E" w:rsidRPr="00183B5F">
          <w:rPr>
            <w:szCs w:val="22"/>
          </w:rPr>
          <w:delText>ű</w:delText>
        </w:r>
        <w:r w:rsidRPr="00183B5F">
          <w:rPr>
            <w:szCs w:val="22"/>
          </w:rPr>
          <w:delText>. Az injekciós toll mindkét oldalán elhelyezett ablakon keresztül ellenőrizhető a fecskendőben található Humira oldat mennyisége.</w:delText>
        </w:r>
      </w:del>
    </w:p>
    <w:p w14:paraId="75092B97" w14:textId="68D8010C" w:rsidR="0058256E" w:rsidRPr="00183B5F" w:rsidRDefault="0058256E" w:rsidP="007276E0">
      <w:pPr>
        <w:spacing w:line="240" w:lineRule="auto"/>
        <w:ind w:right="-2"/>
        <w:rPr>
          <w:del w:id="13668" w:author="AbbVie_HU_03" w:date="2025-05-14T16:41:00Z"/>
          <w:szCs w:val="22"/>
        </w:rPr>
      </w:pPr>
    </w:p>
    <w:p w14:paraId="7BDA3CE8" w14:textId="594B4E52" w:rsidR="00A157AA" w:rsidRPr="00183B5F" w:rsidRDefault="00943743" w:rsidP="007276E0">
      <w:pPr>
        <w:spacing w:line="240" w:lineRule="auto"/>
        <w:ind w:right="-2"/>
        <w:rPr>
          <w:del w:id="13669" w:author="AbbVie_HU_03" w:date="2025-05-14T16:41:00Z"/>
          <w:szCs w:val="22"/>
        </w:rPr>
      </w:pPr>
      <w:del w:id="13670" w:author="AbbVie_HU_03" w:date="2025-05-14T16:41:00Z">
        <w:r w:rsidRPr="00183B5F">
          <w:rPr>
            <w:szCs w:val="22"/>
          </w:rPr>
          <w:delText xml:space="preserve">Csomagolási egységek: 1, 2, 4, vagy 6 előretöltött injekciós toll. Az </w:delText>
        </w:r>
        <w:r w:rsidR="00E20AE3" w:rsidRPr="00183B5F">
          <w:rPr>
            <w:szCs w:val="22"/>
          </w:rPr>
          <w:delText xml:space="preserve">1 db </w:delText>
        </w:r>
        <w:r w:rsidRPr="00183B5F">
          <w:rPr>
            <w:szCs w:val="22"/>
          </w:rPr>
          <w:delText>injekciós toll</w:delText>
        </w:r>
        <w:r w:rsidR="00E20AE3" w:rsidRPr="00183B5F">
          <w:rPr>
            <w:szCs w:val="22"/>
          </w:rPr>
          <w:delText>at tartalmazó csomagban 2 db</w:delText>
        </w:r>
        <w:r w:rsidRPr="00183B5F">
          <w:rPr>
            <w:szCs w:val="22"/>
          </w:rPr>
          <w:delText xml:space="preserve"> alkoholos törlőkendő </w:delText>
        </w:r>
        <w:r w:rsidR="00E20AE3" w:rsidRPr="00183B5F">
          <w:rPr>
            <w:szCs w:val="22"/>
          </w:rPr>
          <w:delText>található (1 pótkendő)</w:delText>
        </w:r>
        <w:r w:rsidRPr="00183B5F">
          <w:rPr>
            <w:szCs w:val="22"/>
          </w:rPr>
          <w:delText xml:space="preserve">. </w:delText>
        </w:r>
        <w:r w:rsidR="00E20AE3" w:rsidRPr="00183B5F">
          <w:rPr>
            <w:szCs w:val="22"/>
          </w:rPr>
          <w:delText>A 2, 4 és 6 db injekciós tollat tartalmazó csomagban 1</w:delText>
        </w:r>
        <w:r w:rsidR="00E20AE3" w:rsidRPr="00183B5F">
          <w:rPr>
            <w:szCs w:val="22"/>
          </w:rPr>
          <w:noBreakHyphen/>
          <w:delText>1 db alkoholos törlőkendő található</w:delText>
        </w:r>
        <w:r w:rsidRPr="00183B5F">
          <w:rPr>
            <w:szCs w:val="22"/>
          </w:rPr>
          <w:delText>. Nem feltétlenül mindegyik kiszerelés kerül</w:delText>
        </w:r>
        <w:r w:rsidR="00CE50C3" w:rsidRPr="00183B5F">
          <w:rPr>
            <w:szCs w:val="22"/>
          </w:rPr>
          <w:delText xml:space="preserve"> </w:delText>
        </w:r>
        <w:r w:rsidRPr="00183B5F">
          <w:rPr>
            <w:szCs w:val="22"/>
          </w:rPr>
          <w:delText xml:space="preserve">kereskedelmi forgalomba. </w:delText>
        </w:r>
      </w:del>
    </w:p>
    <w:p w14:paraId="7E5F96A0" w14:textId="390876DB" w:rsidR="00A157AA" w:rsidRPr="00183B5F" w:rsidRDefault="00A157AA" w:rsidP="007276E0">
      <w:pPr>
        <w:spacing w:line="240" w:lineRule="auto"/>
        <w:ind w:right="-2"/>
        <w:rPr>
          <w:del w:id="13671" w:author="AbbVie_HU_03" w:date="2025-05-14T16:41:00Z"/>
          <w:szCs w:val="22"/>
        </w:rPr>
      </w:pPr>
    </w:p>
    <w:p w14:paraId="34226C31" w14:textId="358AE429" w:rsidR="00FB6710" w:rsidRPr="00183B5F" w:rsidRDefault="00943743" w:rsidP="007276E0">
      <w:pPr>
        <w:spacing w:line="240" w:lineRule="auto"/>
        <w:ind w:right="-2"/>
        <w:rPr>
          <w:del w:id="13672" w:author="AbbVie_HU_03" w:date="2025-05-14T16:41:00Z"/>
          <w:szCs w:val="22"/>
        </w:rPr>
      </w:pPr>
      <w:del w:id="13673" w:author="AbbVie_HU_03" w:date="2025-05-14T16:41:00Z">
        <w:r w:rsidRPr="00183B5F">
          <w:rPr>
            <w:szCs w:val="22"/>
          </w:rPr>
          <w:delText>A Humira injekciós üvegben</w:delText>
        </w:r>
        <w:r w:rsidR="004D3C69" w:rsidRPr="00183B5F">
          <w:rPr>
            <w:szCs w:val="22"/>
          </w:rPr>
          <w:delText>,</w:delText>
        </w:r>
        <w:r w:rsidRPr="00183B5F">
          <w:rPr>
            <w:szCs w:val="22"/>
          </w:rPr>
          <w:delText xml:space="preserve"> előretöltött fecskendőben </w:delText>
        </w:r>
        <w:r w:rsidR="004D3C69" w:rsidRPr="00183B5F">
          <w:rPr>
            <w:szCs w:val="22"/>
          </w:rPr>
          <w:delText>és</w:delText>
        </w:r>
        <w:r w:rsidR="005815CD" w:rsidRPr="00183B5F">
          <w:rPr>
            <w:szCs w:val="22"/>
          </w:rPr>
          <w:delText>/vagy</w:delText>
        </w:r>
        <w:r w:rsidR="004D3C69" w:rsidRPr="00183B5F">
          <w:rPr>
            <w:szCs w:val="22"/>
          </w:rPr>
          <w:delText xml:space="preserve"> előretöltött injekciós tollban</w:delText>
        </w:r>
        <w:r w:rsidRPr="00183B5F">
          <w:rPr>
            <w:szCs w:val="22"/>
          </w:rPr>
          <w:delText xml:space="preserve"> kapható.</w:delText>
        </w:r>
      </w:del>
    </w:p>
    <w:p w14:paraId="279D5537" w14:textId="2C5FC2B3" w:rsidR="00FB6710" w:rsidRPr="00183B5F" w:rsidRDefault="00FB6710" w:rsidP="007276E0">
      <w:pPr>
        <w:spacing w:line="240" w:lineRule="auto"/>
        <w:ind w:right="-2"/>
        <w:rPr>
          <w:del w:id="13674" w:author="AbbVie_HU_03" w:date="2025-05-14T16:41:00Z"/>
          <w:szCs w:val="22"/>
        </w:rPr>
      </w:pPr>
    </w:p>
    <w:p w14:paraId="59DAE869" w14:textId="230D49E2" w:rsidR="00FB6710" w:rsidRPr="00183B5F" w:rsidRDefault="00943743" w:rsidP="007276E0">
      <w:pPr>
        <w:keepNext/>
        <w:spacing w:line="240" w:lineRule="auto"/>
        <w:rPr>
          <w:del w:id="13675" w:author="AbbVie_HU_03" w:date="2025-05-14T16:41:00Z"/>
          <w:b/>
          <w:bCs/>
          <w:szCs w:val="22"/>
        </w:rPr>
      </w:pPr>
      <w:del w:id="13676" w:author="AbbVie_HU_03" w:date="2025-05-14T16:41:00Z">
        <w:r w:rsidRPr="00183B5F">
          <w:rPr>
            <w:b/>
            <w:bCs/>
            <w:szCs w:val="22"/>
          </w:rPr>
          <w:delText>A forgalomba hozatali engedély jogosultja</w:delText>
        </w:r>
      </w:del>
    </w:p>
    <w:p w14:paraId="3E12DE49" w14:textId="4FD82DF4" w:rsidR="00FB6710" w:rsidRPr="00183B5F" w:rsidRDefault="00FB6710" w:rsidP="007276E0">
      <w:pPr>
        <w:keepNext/>
        <w:spacing w:line="240" w:lineRule="auto"/>
        <w:rPr>
          <w:del w:id="13677" w:author="AbbVie_HU_03" w:date="2025-05-14T16:41:00Z"/>
          <w:szCs w:val="22"/>
        </w:rPr>
      </w:pPr>
    </w:p>
    <w:p w14:paraId="74E65DB3" w14:textId="316698F7" w:rsidR="00CE3F71" w:rsidRPr="00183B5F" w:rsidRDefault="00943743" w:rsidP="007276E0">
      <w:pPr>
        <w:keepNext/>
        <w:suppressAutoHyphens w:val="0"/>
        <w:autoSpaceDE w:val="0"/>
        <w:autoSpaceDN w:val="0"/>
        <w:adjustRightInd w:val="0"/>
        <w:spacing w:line="240" w:lineRule="atLeast"/>
        <w:rPr>
          <w:del w:id="13678" w:author="AbbVie_HU_03" w:date="2025-05-14T16:41:00Z"/>
          <w:szCs w:val="22"/>
          <w:lang w:eastAsia="en-GB"/>
        </w:rPr>
      </w:pPr>
      <w:del w:id="13679" w:author="AbbVie_HU_03" w:date="2025-05-14T16:41:00Z">
        <w:r w:rsidRPr="00183B5F">
          <w:rPr>
            <w:szCs w:val="22"/>
            <w:lang w:eastAsia="en-GB"/>
          </w:rPr>
          <w:delText>AbbVie Deutschland GmbH &amp; Co. KG</w:delText>
        </w:r>
      </w:del>
    </w:p>
    <w:p w14:paraId="44A58B4C" w14:textId="515AC4A7" w:rsidR="00CE3F71" w:rsidRPr="00183B5F" w:rsidRDefault="00943743" w:rsidP="007276E0">
      <w:pPr>
        <w:keepNext/>
        <w:suppressAutoHyphens w:val="0"/>
        <w:autoSpaceDE w:val="0"/>
        <w:autoSpaceDN w:val="0"/>
        <w:adjustRightInd w:val="0"/>
        <w:spacing w:line="240" w:lineRule="atLeast"/>
        <w:rPr>
          <w:del w:id="13680" w:author="AbbVie_HU_03" w:date="2025-05-14T16:41:00Z"/>
          <w:szCs w:val="22"/>
          <w:lang w:eastAsia="en-GB"/>
        </w:rPr>
      </w:pPr>
      <w:del w:id="13681" w:author="AbbVie_HU_03" w:date="2025-05-14T16:41:00Z">
        <w:r w:rsidRPr="00183B5F">
          <w:rPr>
            <w:szCs w:val="22"/>
            <w:lang w:eastAsia="en-GB"/>
          </w:rPr>
          <w:delText>Knollstrasse</w:delText>
        </w:r>
      </w:del>
    </w:p>
    <w:p w14:paraId="1DDDB269" w14:textId="3673ACE4" w:rsidR="00CE3F71" w:rsidRPr="00183B5F" w:rsidRDefault="00943743" w:rsidP="007276E0">
      <w:pPr>
        <w:keepNext/>
        <w:suppressAutoHyphens w:val="0"/>
        <w:autoSpaceDE w:val="0"/>
        <w:autoSpaceDN w:val="0"/>
        <w:adjustRightInd w:val="0"/>
        <w:spacing w:line="240" w:lineRule="atLeast"/>
        <w:rPr>
          <w:del w:id="13682" w:author="AbbVie_HU_03" w:date="2025-05-14T16:41:00Z"/>
          <w:szCs w:val="22"/>
          <w:lang w:eastAsia="en-GB"/>
        </w:rPr>
      </w:pPr>
      <w:del w:id="13683" w:author="AbbVie_HU_03" w:date="2025-05-14T16:41:00Z">
        <w:r w:rsidRPr="00183B5F">
          <w:rPr>
            <w:szCs w:val="22"/>
            <w:lang w:eastAsia="en-GB"/>
          </w:rPr>
          <w:delText>67061 Ludwigshafen</w:delText>
        </w:r>
      </w:del>
    </w:p>
    <w:p w14:paraId="5D122AC7" w14:textId="6EA9E86C" w:rsidR="00CE3F71" w:rsidRPr="00183B5F" w:rsidRDefault="00943743" w:rsidP="007276E0">
      <w:pPr>
        <w:keepNext/>
        <w:suppressAutoHyphens w:val="0"/>
        <w:autoSpaceDE w:val="0"/>
        <w:autoSpaceDN w:val="0"/>
        <w:adjustRightInd w:val="0"/>
        <w:spacing w:line="240" w:lineRule="atLeast"/>
        <w:rPr>
          <w:del w:id="13684" w:author="AbbVie_HU_03" w:date="2025-05-14T16:41:00Z"/>
          <w:szCs w:val="22"/>
          <w:lang w:eastAsia="en-GB"/>
        </w:rPr>
      </w:pPr>
      <w:del w:id="13685" w:author="AbbVie_HU_03" w:date="2025-05-14T16:41:00Z">
        <w:r w:rsidRPr="00183B5F">
          <w:rPr>
            <w:szCs w:val="22"/>
            <w:lang w:eastAsia="en-GB"/>
          </w:rPr>
          <w:delText xml:space="preserve">Németország </w:delText>
        </w:r>
      </w:del>
    </w:p>
    <w:p w14:paraId="1CFFFCD2" w14:textId="07466F46" w:rsidR="004B6AB9" w:rsidRPr="00183B5F" w:rsidRDefault="004B6AB9" w:rsidP="007276E0">
      <w:pPr>
        <w:tabs>
          <w:tab w:val="left" w:pos="562"/>
        </w:tabs>
        <w:spacing w:line="240" w:lineRule="auto"/>
        <w:rPr>
          <w:del w:id="13686" w:author="AbbVie_HU_03" w:date="2025-05-14T16:41:00Z"/>
          <w:szCs w:val="22"/>
          <w:lang w:eastAsia="en-US"/>
        </w:rPr>
      </w:pPr>
    </w:p>
    <w:p w14:paraId="2392C6AD" w14:textId="6AF0AD78" w:rsidR="00FB6710" w:rsidRPr="00183B5F" w:rsidRDefault="00943743" w:rsidP="007276E0">
      <w:pPr>
        <w:spacing w:line="240" w:lineRule="auto"/>
        <w:rPr>
          <w:del w:id="13687" w:author="AbbVie_HU_03" w:date="2025-05-14T16:41:00Z"/>
          <w:b/>
          <w:bCs/>
          <w:szCs w:val="22"/>
        </w:rPr>
      </w:pPr>
      <w:del w:id="13688" w:author="AbbVie_HU_03" w:date="2025-05-14T16:41:00Z">
        <w:r w:rsidRPr="00183B5F">
          <w:rPr>
            <w:b/>
            <w:bCs/>
            <w:szCs w:val="22"/>
          </w:rPr>
          <w:delText>Gyártó</w:delText>
        </w:r>
      </w:del>
    </w:p>
    <w:p w14:paraId="50DCB223" w14:textId="2E3BBE78" w:rsidR="00FB6710" w:rsidRPr="00183B5F" w:rsidRDefault="00FB6710" w:rsidP="007276E0">
      <w:pPr>
        <w:spacing w:line="240" w:lineRule="auto"/>
        <w:rPr>
          <w:del w:id="13689" w:author="AbbVie_HU_03" w:date="2025-05-14T16:41:00Z"/>
          <w:szCs w:val="22"/>
        </w:rPr>
      </w:pPr>
    </w:p>
    <w:p w14:paraId="3DAADA02" w14:textId="4506CE65" w:rsidR="007C40A0" w:rsidRPr="00183B5F" w:rsidRDefault="007C40A0" w:rsidP="007276E0">
      <w:pPr>
        <w:spacing w:line="240" w:lineRule="auto"/>
        <w:rPr>
          <w:del w:id="13690" w:author="AbbVie_HU_03" w:date="2025-05-14T16:41:00Z"/>
          <w:szCs w:val="22"/>
        </w:rPr>
      </w:pPr>
    </w:p>
    <w:p w14:paraId="5E7A4AC7" w14:textId="072CD10E" w:rsidR="007C40A0" w:rsidRPr="00183B5F" w:rsidRDefault="00943743" w:rsidP="007276E0">
      <w:pPr>
        <w:spacing w:line="240" w:lineRule="auto"/>
        <w:rPr>
          <w:del w:id="13691" w:author="AbbVie_HU_03" w:date="2025-05-14T16:41:00Z"/>
        </w:rPr>
      </w:pPr>
      <w:del w:id="13692" w:author="AbbVie_HU_03" w:date="2025-05-14T16:41:00Z">
        <w:r w:rsidRPr="00183B5F">
          <w:delText>AbbVie Biotechnology GmbH</w:delText>
        </w:r>
      </w:del>
    </w:p>
    <w:p w14:paraId="14939C26" w14:textId="4944BB1D" w:rsidR="007C40A0" w:rsidRPr="00183B5F" w:rsidRDefault="00943743" w:rsidP="007276E0">
      <w:pPr>
        <w:numPr>
          <w:ilvl w:val="12"/>
          <w:numId w:val="0"/>
        </w:numPr>
        <w:tabs>
          <w:tab w:val="left" w:pos="720"/>
        </w:tabs>
        <w:spacing w:line="240" w:lineRule="auto"/>
        <w:rPr>
          <w:del w:id="13693" w:author="AbbVie_HU_03" w:date="2025-05-14T16:41:00Z"/>
        </w:rPr>
      </w:pPr>
      <w:del w:id="13694" w:author="AbbVie_HU_03" w:date="2025-05-14T16:41:00Z">
        <w:r w:rsidRPr="00183B5F">
          <w:delText>Knollstrasse</w:delText>
        </w:r>
      </w:del>
    </w:p>
    <w:p w14:paraId="7DDA07D6" w14:textId="48590B36" w:rsidR="007C40A0" w:rsidRPr="00183B5F" w:rsidRDefault="00943743" w:rsidP="007276E0">
      <w:pPr>
        <w:numPr>
          <w:ilvl w:val="12"/>
          <w:numId w:val="0"/>
        </w:numPr>
        <w:tabs>
          <w:tab w:val="left" w:pos="720"/>
        </w:tabs>
        <w:spacing w:line="240" w:lineRule="auto"/>
        <w:rPr>
          <w:del w:id="13695" w:author="AbbVie_HU_03" w:date="2025-05-14T16:41:00Z"/>
        </w:rPr>
      </w:pPr>
      <w:del w:id="13696" w:author="AbbVie_HU_03" w:date="2025-05-14T16:41:00Z">
        <w:r w:rsidRPr="00183B5F">
          <w:delText>67061 Ludwigshafen</w:delText>
        </w:r>
      </w:del>
    </w:p>
    <w:p w14:paraId="306B9920" w14:textId="4BF61C48" w:rsidR="007C40A0" w:rsidRPr="00183B5F" w:rsidRDefault="00943743" w:rsidP="007276E0">
      <w:pPr>
        <w:spacing w:line="240" w:lineRule="auto"/>
        <w:rPr>
          <w:del w:id="13697" w:author="AbbVie_HU_03" w:date="2025-05-14T16:41:00Z"/>
          <w:szCs w:val="22"/>
        </w:rPr>
      </w:pPr>
      <w:del w:id="13698" w:author="AbbVie_HU_03" w:date="2025-05-14T16:41:00Z">
        <w:r w:rsidRPr="00183B5F">
          <w:delText>Németország</w:delText>
        </w:r>
      </w:del>
    </w:p>
    <w:p w14:paraId="2ADE282F" w14:textId="3BA7D10B" w:rsidR="007C40A0" w:rsidRPr="00183B5F" w:rsidRDefault="007C40A0" w:rsidP="007276E0">
      <w:pPr>
        <w:spacing w:line="240" w:lineRule="auto"/>
        <w:rPr>
          <w:del w:id="13699" w:author="AbbVie_HU_03" w:date="2025-05-14T16:41:00Z"/>
          <w:szCs w:val="22"/>
        </w:rPr>
      </w:pPr>
    </w:p>
    <w:p w14:paraId="27B85876" w14:textId="1D307E0D" w:rsidR="00FB6710" w:rsidRPr="00183B5F" w:rsidRDefault="00943743" w:rsidP="007276E0">
      <w:pPr>
        <w:spacing w:line="240" w:lineRule="auto"/>
        <w:rPr>
          <w:del w:id="13700" w:author="AbbVie_HU_03" w:date="2025-05-14T16:41:00Z"/>
          <w:szCs w:val="22"/>
        </w:rPr>
      </w:pPr>
      <w:del w:id="13701" w:author="AbbVie_HU_03" w:date="2025-05-14T16:41:00Z">
        <w:r w:rsidRPr="00183B5F">
          <w:rPr>
            <w:szCs w:val="22"/>
          </w:rPr>
          <w:delText>A készítményhez kapcsolódó további kérdéseivel forduljon a forgalomba</w:delText>
        </w:r>
        <w:r w:rsidR="00CE50C3" w:rsidRPr="00183B5F">
          <w:rPr>
            <w:szCs w:val="22"/>
          </w:rPr>
          <w:delText xml:space="preserve"> </w:delText>
        </w:r>
        <w:r w:rsidRPr="00183B5F">
          <w:rPr>
            <w:szCs w:val="22"/>
          </w:rPr>
          <w:delText>hozatali engedély jogosultjának helyi képviseletéhez:</w:delText>
        </w:r>
      </w:del>
    </w:p>
    <w:p w14:paraId="662661FC" w14:textId="686070C4" w:rsidR="00DC4FF8" w:rsidRPr="00183B5F" w:rsidRDefault="00DC4FF8" w:rsidP="007276E0">
      <w:pPr>
        <w:spacing w:line="240" w:lineRule="auto"/>
        <w:rPr>
          <w:del w:id="13702" w:author="AbbVie_HU_03" w:date="2025-05-14T16:41:00Z"/>
          <w:szCs w:val="22"/>
        </w:rPr>
      </w:pPr>
    </w:p>
    <w:tbl>
      <w:tblPr>
        <w:tblW w:w="9356" w:type="dxa"/>
        <w:tblInd w:w="-34" w:type="dxa"/>
        <w:tblLayout w:type="fixed"/>
        <w:tblLook w:val="0000" w:firstRow="0" w:lastRow="0" w:firstColumn="0" w:lastColumn="0" w:noHBand="0" w:noVBand="0"/>
      </w:tblPr>
      <w:tblGrid>
        <w:gridCol w:w="34"/>
        <w:gridCol w:w="4610"/>
        <w:gridCol w:w="34"/>
        <w:gridCol w:w="4678"/>
      </w:tblGrid>
      <w:tr w:rsidR="00011D2F" w14:paraId="4DFF6525" w14:textId="06F9532B" w:rsidTr="001F79B0">
        <w:trPr>
          <w:del w:id="13703" w:author="AbbVie_HU_03" w:date="2025-05-14T16:41:00Z"/>
        </w:trPr>
        <w:tc>
          <w:tcPr>
            <w:tcW w:w="4644" w:type="dxa"/>
            <w:gridSpan w:val="2"/>
          </w:tcPr>
          <w:p w14:paraId="6989E672" w14:textId="793F633E" w:rsidR="008604D4" w:rsidRPr="00C70C5A" w:rsidRDefault="00943743" w:rsidP="007276E0">
            <w:pPr>
              <w:suppressAutoHyphens w:val="0"/>
              <w:rPr>
                <w:del w:id="13704" w:author="AbbVie_HU_03" w:date="2025-05-14T16:41:00Z"/>
                <w:b/>
                <w:szCs w:val="22"/>
                <w:rPrChange w:id="13705" w:author="AbbVie_HU_04" w:date="2025-05-16T12:29:00Z">
                  <w:rPr>
                    <w:del w:id="13706" w:author="AbbVie_HU_03" w:date="2025-05-14T16:41:00Z"/>
                    <w:b/>
                    <w:bCs/>
                    <w:szCs w:val="22"/>
                    <w:lang w:val="fr-BE"/>
                  </w:rPr>
                </w:rPrChange>
              </w:rPr>
            </w:pPr>
            <w:del w:id="13707" w:author="AbbVie_HU_03" w:date="2025-05-14T16:41:00Z">
              <w:r w:rsidRPr="00C70C5A">
                <w:rPr>
                  <w:b/>
                  <w:szCs w:val="22"/>
                  <w:rPrChange w:id="13708" w:author="AbbVie_HU_04" w:date="2025-05-16T12:29:00Z">
                    <w:rPr>
                      <w:b/>
                      <w:bCs/>
                      <w:szCs w:val="22"/>
                      <w:lang w:val="fr-BE"/>
                    </w:rPr>
                  </w:rPrChange>
                </w:rPr>
                <w:delText>België/Belgique/Belgien</w:delText>
              </w:r>
            </w:del>
          </w:p>
          <w:p w14:paraId="6A5AA4D0" w14:textId="1EC87AEC" w:rsidR="008604D4" w:rsidRPr="00C70C5A" w:rsidRDefault="00943743" w:rsidP="007276E0">
            <w:pPr>
              <w:suppressAutoHyphens w:val="0"/>
              <w:rPr>
                <w:del w:id="13709" w:author="AbbVie_HU_03" w:date="2025-05-14T16:41:00Z"/>
                <w:szCs w:val="22"/>
                <w:rPrChange w:id="13710" w:author="AbbVie_HU_04" w:date="2025-05-16T12:29:00Z">
                  <w:rPr>
                    <w:del w:id="13711" w:author="AbbVie_HU_03" w:date="2025-05-14T16:41:00Z"/>
                    <w:bCs/>
                    <w:szCs w:val="22"/>
                    <w:lang w:val="fr-FR"/>
                  </w:rPr>
                </w:rPrChange>
              </w:rPr>
            </w:pPr>
            <w:del w:id="13712" w:author="AbbVie_HU_03" w:date="2025-05-14T16:41:00Z">
              <w:r w:rsidRPr="00C70C5A">
                <w:rPr>
                  <w:szCs w:val="22"/>
                  <w:rPrChange w:id="13713" w:author="AbbVie_HU_04" w:date="2025-05-16T12:29:00Z">
                    <w:rPr>
                      <w:bCs/>
                      <w:szCs w:val="22"/>
                      <w:lang w:val="fr-FR"/>
                    </w:rPr>
                  </w:rPrChange>
                </w:rPr>
                <w:delText>AbbVie SA</w:delText>
              </w:r>
            </w:del>
          </w:p>
          <w:p w14:paraId="3271B401" w14:textId="55C54F1A" w:rsidR="008604D4" w:rsidRPr="00C70C5A" w:rsidRDefault="00943743" w:rsidP="007276E0">
            <w:pPr>
              <w:suppressAutoHyphens w:val="0"/>
              <w:rPr>
                <w:del w:id="13714" w:author="AbbVie_HU_03" w:date="2025-05-14T16:41:00Z"/>
                <w:szCs w:val="22"/>
                <w:rPrChange w:id="13715" w:author="AbbVie_HU_04" w:date="2025-05-16T12:29:00Z">
                  <w:rPr>
                    <w:del w:id="13716" w:author="AbbVie_HU_03" w:date="2025-05-14T16:41:00Z"/>
                    <w:szCs w:val="22"/>
                    <w:lang w:val="fr-FR"/>
                  </w:rPr>
                </w:rPrChange>
              </w:rPr>
            </w:pPr>
            <w:del w:id="13717" w:author="AbbVie_HU_03" w:date="2025-05-14T16:41:00Z">
              <w:r w:rsidRPr="00C70C5A">
                <w:rPr>
                  <w:szCs w:val="22"/>
                  <w:rPrChange w:id="13718" w:author="AbbVie_HU_04" w:date="2025-05-16T12:29:00Z">
                    <w:rPr>
                      <w:bCs/>
                      <w:szCs w:val="22"/>
                      <w:lang w:val="fr-FR"/>
                    </w:rPr>
                  </w:rPrChange>
                </w:rPr>
                <w:delText xml:space="preserve">Tél/Tel: +32 10 </w:delText>
              </w:r>
              <w:r w:rsidRPr="00C70C5A">
                <w:rPr>
                  <w:szCs w:val="22"/>
                  <w:rPrChange w:id="13719" w:author="AbbVie_HU_04" w:date="2025-05-16T12:29:00Z">
                    <w:rPr>
                      <w:szCs w:val="22"/>
                      <w:lang w:val="fr-FR"/>
                    </w:rPr>
                  </w:rPrChange>
                </w:rPr>
                <w:delText>477811</w:delText>
              </w:r>
            </w:del>
          </w:p>
          <w:p w14:paraId="4F13482E" w14:textId="0D78718A" w:rsidR="008604D4" w:rsidRPr="00C70C5A" w:rsidRDefault="008604D4" w:rsidP="007276E0">
            <w:pPr>
              <w:suppressAutoHyphens w:val="0"/>
              <w:rPr>
                <w:del w:id="13720" w:author="AbbVie_HU_03" w:date="2025-05-14T16:41:00Z"/>
                <w:szCs w:val="22"/>
                <w:rPrChange w:id="13721" w:author="AbbVie_HU_04" w:date="2025-05-16T12:29:00Z">
                  <w:rPr>
                    <w:del w:id="13722" w:author="AbbVie_HU_03" w:date="2025-05-14T16:41:00Z"/>
                    <w:bCs/>
                    <w:szCs w:val="22"/>
                    <w:lang w:val="fr-FR"/>
                  </w:rPr>
                </w:rPrChange>
              </w:rPr>
            </w:pPr>
          </w:p>
        </w:tc>
        <w:tc>
          <w:tcPr>
            <w:tcW w:w="4678" w:type="dxa"/>
            <w:gridSpan w:val="2"/>
          </w:tcPr>
          <w:p w14:paraId="31C4E0EE" w14:textId="387D0A49" w:rsidR="008604D4" w:rsidRPr="00BD646C" w:rsidRDefault="00943743" w:rsidP="007276E0">
            <w:pPr>
              <w:suppressAutoHyphens w:val="0"/>
              <w:rPr>
                <w:del w:id="13723" w:author="AbbVie_HU_03" w:date="2025-05-14T16:41:00Z"/>
                <w:b/>
                <w:bCs/>
                <w:szCs w:val="22"/>
                <w:lang w:val="lt-LT"/>
              </w:rPr>
            </w:pPr>
            <w:del w:id="13724" w:author="AbbVie_HU_03" w:date="2025-05-14T16:41:00Z">
              <w:r w:rsidRPr="00BD646C">
                <w:rPr>
                  <w:b/>
                  <w:bCs/>
                  <w:szCs w:val="22"/>
                  <w:lang w:val="lt-LT"/>
                </w:rPr>
                <w:delText>Lietuva</w:delText>
              </w:r>
            </w:del>
          </w:p>
          <w:p w14:paraId="68F5EA97" w14:textId="18FC919C" w:rsidR="008604D4" w:rsidRPr="00BD646C" w:rsidRDefault="00943743" w:rsidP="007276E0">
            <w:pPr>
              <w:suppressAutoHyphens w:val="0"/>
              <w:rPr>
                <w:del w:id="13725" w:author="AbbVie_HU_03" w:date="2025-05-14T16:41:00Z"/>
                <w:bCs/>
                <w:szCs w:val="22"/>
                <w:lang w:val="lv-LV"/>
              </w:rPr>
            </w:pPr>
            <w:del w:id="13726" w:author="AbbVie_HU_03" w:date="2025-05-14T16:41:00Z">
              <w:r w:rsidRPr="00BD646C">
                <w:rPr>
                  <w:bCs/>
                  <w:szCs w:val="22"/>
                  <w:lang w:val="lv-LV"/>
                </w:rPr>
                <w:delText xml:space="preserve">AbbVie UAB </w:delText>
              </w:r>
            </w:del>
          </w:p>
          <w:p w14:paraId="3D35A4C8" w14:textId="168EFFD5" w:rsidR="008604D4" w:rsidRPr="00BD646C" w:rsidRDefault="00943743" w:rsidP="007276E0">
            <w:pPr>
              <w:suppressAutoHyphens w:val="0"/>
              <w:rPr>
                <w:del w:id="13727" w:author="AbbVie_HU_03" w:date="2025-05-14T16:41:00Z"/>
                <w:bCs/>
                <w:szCs w:val="22"/>
                <w:lang w:val="lv-LV"/>
              </w:rPr>
            </w:pPr>
            <w:del w:id="13728" w:author="AbbVie_HU_03" w:date="2025-05-14T16:41:00Z">
              <w:r w:rsidRPr="00BD646C">
                <w:rPr>
                  <w:bCs/>
                  <w:szCs w:val="22"/>
                  <w:lang w:val="lv-LV"/>
                </w:rPr>
                <w:delText>Tel: +370 5 205 3023</w:delText>
              </w:r>
            </w:del>
          </w:p>
        </w:tc>
      </w:tr>
      <w:tr w:rsidR="00011D2F" w14:paraId="5F35D205" w14:textId="7DF6B237" w:rsidTr="001F79B0">
        <w:trPr>
          <w:del w:id="13729" w:author="AbbVie_HU_03" w:date="2025-05-14T16:41:00Z"/>
        </w:trPr>
        <w:tc>
          <w:tcPr>
            <w:tcW w:w="4644" w:type="dxa"/>
            <w:gridSpan w:val="2"/>
          </w:tcPr>
          <w:p w14:paraId="59D82A23" w14:textId="40167D91" w:rsidR="008604D4" w:rsidRPr="00BD646C" w:rsidRDefault="00943743" w:rsidP="007276E0">
            <w:pPr>
              <w:suppressAutoHyphens w:val="0"/>
              <w:rPr>
                <w:del w:id="13730" w:author="AbbVie_HU_03" w:date="2025-05-14T16:41:00Z"/>
                <w:b/>
                <w:bCs/>
                <w:szCs w:val="22"/>
                <w:lang w:val="bg-BG"/>
              </w:rPr>
            </w:pPr>
            <w:del w:id="13731" w:author="AbbVie_HU_03" w:date="2025-05-14T16:41:00Z">
              <w:r w:rsidRPr="00BD646C">
                <w:rPr>
                  <w:b/>
                  <w:bCs/>
                  <w:szCs w:val="22"/>
                  <w:lang w:val="bg-BG"/>
                </w:rPr>
                <w:delText>България</w:delText>
              </w:r>
            </w:del>
          </w:p>
          <w:p w14:paraId="54D5578E" w14:textId="475485BB" w:rsidR="008604D4" w:rsidRPr="00BD646C" w:rsidRDefault="00943743" w:rsidP="007276E0">
            <w:pPr>
              <w:suppressAutoHyphens w:val="0"/>
              <w:rPr>
                <w:del w:id="13732" w:author="AbbVie_HU_03" w:date="2025-05-14T16:41:00Z"/>
                <w:szCs w:val="22"/>
                <w:lang w:val="da-DK"/>
              </w:rPr>
            </w:pPr>
            <w:del w:id="13733" w:author="AbbVie_HU_03" w:date="2025-05-14T16:41:00Z">
              <w:r w:rsidRPr="00BD646C">
                <w:rPr>
                  <w:szCs w:val="22"/>
                  <w:lang w:val="sk-SK"/>
                </w:rPr>
                <w:delText>АбВи ЕООД</w:delText>
              </w:r>
            </w:del>
          </w:p>
          <w:p w14:paraId="178CD06F" w14:textId="135A329C" w:rsidR="008604D4" w:rsidRPr="00BD646C" w:rsidRDefault="00943743" w:rsidP="007276E0">
            <w:pPr>
              <w:suppressAutoHyphens w:val="0"/>
              <w:rPr>
                <w:del w:id="13734" w:author="AbbVie_HU_03" w:date="2025-05-14T16:41:00Z"/>
                <w:bCs/>
                <w:szCs w:val="22"/>
                <w:lang w:val="da-DK"/>
              </w:rPr>
            </w:pPr>
            <w:del w:id="13735" w:author="AbbVie_HU_03" w:date="2025-05-14T16:41:00Z">
              <w:r w:rsidRPr="00BD646C">
                <w:rPr>
                  <w:szCs w:val="22"/>
                  <w:lang w:val="sk-SK"/>
                </w:rPr>
                <w:delText>Тел</w:delText>
              </w:r>
              <w:r w:rsidRPr="00BD646C">
                <w:rPr>
                  <w:szCs w:val="22"/>
                  <w:lang w:val="it-IT"/>
                </w:rPr>
                <w:delText>.:+359 2 90 30 430</w:delText>
              </w:r>
            </w:del>
          </w:p>
        </w:tc>
        <w:tc>
          <w:tcPr>
            <w:tcW w:w="4678" w:type="dxa"/>
            <w:gridSpan w:val="2"/>
          </w:tcPr>
          <w:p w14:paraId="1024F0BE" w14:textId="6BEC066D" w:rsidR="008604D4" w:rsidRPr="00BD646C" w:rsidRDefault="00943743" w:rsidP="007276E0">
            <w:pPr>
              <w:suppressAutoHyphens w:val="0"/>
              <w:rPr>
                <w:del w:id="13736" w:author="AbbVie_HU_03" w:date="2025-05-14T16:41:00Z"/>
                <w:b/>
                <w:bCs/>
                <w:szCs w:val="22"/>
                <w:lang w:val="de-DE"/>
              </w:rPr>
            </w:pPr>
            <w:del w:id="13737" w:author="AbbVie_HU_03" w:date="2025-05-14T16:41:00Z">
              <w:r w:rsidRPr="00BD646C">
                <w:rPr>
                  <w:b/>
                  <w:bCs/>
                  <w:szCs w:val="22"/>
                  <w:lang w:val="de-DE"/>
                </w:rPr>
                <w:delText>Luxembourg/Luxemburg</w:delText>
              </w:r>
            </w:del>
          </w:p>
          <w:p w14:paraId="74346843" w14:textId="457B094B" w:rsidR="008604D4" w:rsidRPr="00BD646C" w:rsidRDefault="00943743" w:rsidP="007276E0">
            <w:pPr>
              <w:suppressAutoHyphens w:val="0"/>
              <w:rPr>
                <w:del w:id="13738" w:author="AbbVie_HU_03" w:date="2025-05-14T16:41:00Z"/>
                <w:bCs/>
                <w:szCs w:val="22"/>
                <w:lang w:val="de-DE"/>
              </w:rPr>
            </w:pPr>
            <w:del w:id="13739" w:author="AbbVie_HU_03" w:date="2025-05-14T16:41:00Z">
              <w:r w:rsidRPr="00BD646C">
                <w:rPr>
                  <w:bCs/>
                  <w:szCs w:val="22"/>
                  <w:lang w:val="de-DE"/>
                </w:rPr>
                <w:delText>AbbVie SA</w:delText>
              </w:r>
            </w:del>
          </w:p>
          <w:p w14:paraId="1990B7DF" w14:textId="1F1239D5" w:rsidR="008604D4" w:rsidRPr="00BD646C" w:rsidRDefault="00943743" w:rsidP="007276E0">
            <w:pPr>
              <w:suppressAutoHyphens w:val="0"/>
              <w:rPr>
                <w:del w:id="13740" w:author="AbbVie_HU_03" w:date="2025-05-14T16:41:00Z"/>
                <w:bCs/>
                <w:szCs w:val="22"/>
                <w:lang w:val="de-DE"/>
              </w:rPr>
            </w:pPr>
            <w:del w:id="13741" w:author="AbbVie_HU_03" w:date="2025-05-14T16:41:00Z">
              <w:r w:rsidRPr="00BD646C">
                <w:rPr>
                  <w:bCs/>
                  <w:szCs w:val="22"/>
                  <w:lang w:val="de-DE"/>
                </w:rPr>
                <w:delText>Belgique/Belgien</w:delText>
              </w:r>
            </w:del>
          </w:p>
          <w:p w14:paraId="5FEA9E48" w14:textId="7C9F0EAE" w:rsidR="008604D4" w:rsidRPr="00C70C5A" w:rsidRDefault="00943743" w:rsidP="007276E0">
            <w:pPr>
              <w:suppressAutoHyphens w:val="0"/>
              <w:rPr>
                <w:del w:id="13742" w:author="AbbVie_HU_03" w:date="2025-05-14T16:41:00Z"/>
                <w:szCs w:val="22"/>
                <w:rPrChange w:id="13743" w:author="AbbVie_HU_04" w:date="2025-05-16T12:29:00Z">
                  <w:rPr>
                    <w:del w:id="13744" w:author="AbbVie_HU_03" w:date="2025-05-14T16:41:00Z"/>
                    <w:bCs/>
                    <w:szCs w:val="22"/>
                    <w:lang w:val="fr-FR"/>
                  </w:rPr>
                </w:rPrChange>
              </w:rPr>
            </w:pPr>
            <w:del w:id="13745" w:author="AbbVie_HU_03" w:date="2025-05-14T16:41:00Z">
              <w:r w:rsidRPr="00C70C5A">
                <w:rPr>
                  <w:szCs w:val="22"/>
                  <w:rPrChange w:id="13746" w:author="AbbVie_HU_04" w:date="2025-05-16T12:29:00Z">
                    <w:rPr>
                      <w:bCs/>
                      <w:szCs w:val="22"/>
                      <w:lang w:val="fr-FR"/>
                    </w:rPr>
                  </w:rPrChange>
                </w:rPr>
                <w:delText>Tél/Tel: +32 10 477811</w:delText>
              </w:r>
            </w:del>
          </w:p>
          <w:p w14:paraId="46C719CE" w14:textId="7D032D88" w:rsidR="008604D4" w:rsidRPr="00C70C5A" w:rsidRDefault="008604D4" w:rsidP="007276E0">
            <w:pPr>
              <w:suppressAutoHyphens w:val="0"/>
              <w:rPr>
                <w:del w:id="13747" w:author="AbbVie_HU_03" w:date="2025-05-14T16:41:00Z"/>
                <w:szCs w:val="22"/>
                <w:rPrChange w:id="13748" w:author="AbbVie_HU_04" w:date="2025-05-16T12:29:00Z">
                  <w:rPr>
                    <w:del w:id="13749" w:author="AbbVie_HU_03" w:date="2025-05-14T16:41:00Z"/>
                    <w:bCs/>
                    <w:szCs w:val="22"/>
                    <w:lang w:val="fr-FR"/>
                  </w:rPr>
                </w:rPrChange>
              </w:rPr>
            </w:pPr>
          </w:p>
        </w:tc>
      </w:tr>
      <w:tr w:rsidR="00011D2F" w14:paraId="2D9C2680" w14:textId="538C46A3" w:rsidTr="001F79B0">
        <w:trPr>
          <w:del w:id="13750" w:author="AbbVie_HU_03" w:date="2025-05-14T16:41:00Z"/>
        </w:trPr>
        <w:tc>
          <w:tcPr>
            <w:tcW w:w="4644" w:type="dxa"/>
            <w:gridSpan w:val="2"/>
          </w:tcPr>
          <w:p w14:paraId="2EC6F005" w14:textId="6BEAC98C" w:rsidR="008604D4" w:rsidRPr="00BD646C" w:rsidRDefault="00943743" w:rsidP="007276E0">
            <w:pPr>
              <w:suppressAutoHyphens w:val="0"/>
              <w:rPr>
                <w:del w:id="13751" w:author="AbbVie_HU_03" w:date="2025-05-14T16:41:00Z"/>
                <w:b/>
                <w:bCs/>
                <w:szCs w:val="22"/>
                <w:lang w:val="sk-SK"/>
              </w:rPr>
            </w:pPr>
            <w:del w:id="13752" w:author="AbbVie_HU_03" w:date="2025-05-14T16:41:00Z">
              <w:r w:rsidRPr="00BD646C">
                <w:rPr>
                  <w:b/>
                  <w:bCs/>
                  <w:szCs w:val="22"/>
                  <w:lang w:val="sk-SK"/>
                </w:rPr>
                <w:delText>Česká republika</w:delText>
              </w:r>
            </w:del>
          </w:p>
          <w:p w14:paraId="20F2C05E" w14:textId="088ECCC6" w:rsidR="008604D4" w:rsidRPr="00BD646C" w:rsidRDefault="00943743" w:rsidP="007276E0">
            <w:pPr>
              <w:suppressAutoHyphens w:val="0"/>
              <w:rPr>
                <w:del w:id="13753" w:author="AbbVie_HU_03" w:date="2025-05-14T16:41:00Z"/>
                <w:bCs/>
                <w:szCs w:val="22"/>
                <w:lang w:val="sk-SK"/>
              </w:rPr>
            </w:pPr>
            <w:del w:id="13754" w:author="AbbVie_HU_03" w:date="2025-05-14T16:41:00Z">
              <w:r w:rsidRPr="00BD646C">
                <w:rPr>
                  <w:bCs/>
                  <w:szCs w:val="22"/>
                  <w:lang w:val="sk-SK"/>
                </w:rPr>
                <w:delText xml:space="preserve">AbbVie s.r.o. </w:delText>
              </w:r>
            </w:del>
          </w:p>
          <w:p w14:paraId="1BCA93BE" w14:textId="1B1BC48D" w:rsidR="008604D4" w:rsidRPr="00BD646C" w:rsidRDefault="00943743" w:rsidP="007276E0">
            <w:pPr>
              <w:suppressAutoHyphens w:val="0"/>
              <w:rPr>
                <w:del w:id="13755" w:author="AbbVie_HU_03" w:date="2025-05-14T16:41:00Z"/>
                <w:bCs/>
                <w:szCs w:val="22"/>
                <w:lang w:val="sk-SK"/>
              </w:rPr>
            </w:pPr>
            <w:del w:id="13756" w:author="AbbVie_HU_03" w:date="2025-05-14T16:41:00Z">
              <w:r w:rsidRPr="00BD646C">
                <w:rPr>
                  <w:bCs/>
                  <w:szCs w:val="22"/>
                  <w:lang w:val="sk-SK"/>
                </w:rPr>
                <w:delText>Tel: +420 233 098 111</w:delText>
              </w:r>
            </w:del>
          </w:p>
        </w:tc>
        <w:tc>
          <w:tcPr>
            <w:tcW w:w="4678" w:type="dxa"/>
            <w:gridSpan w:val="2"/>
          </w:tcPr>
          <w:p w14:paraId="45929F56" w14:textId="046CBE89" w:rsidR="008604D4" w:rsidRPr="00BD646C" w:rsidRDefault="00943743" w:rsidP="007276E0">
            <w:pPr>
              <w:suppressAutoHyphens w:val="0"/>
              <w:rPr>
                <w:del w:id="13757" w:author="AbbVie_HU_03" w:date="2025-05-14T16:41:00Z"/>
                <w:b/>
                <w:bCs/>
                <w:szCs w:val="22"/>
              </w:rPr>
            </w:pPr>
            <w:del w:id="13758" w:author="AbbVie_HU_03" w:date="2025-05-14T16:41:00Z">
              <w:r w:rsidRPr="00BD646C">
                <w:rPr>
                  <w:b/>
                  <w:bCs/>
                  <w:szCs w:val="22"/>
                </w:rPr>
                <w:delText>Magyarország</w:delText>
              </w:r>
            </w:del>
          </w:p>
          <w:p w14:paraId="24F792BE" w14:textId="667E177B" w:rsidR="008604D4" w:rsidRPr="00BD646C" w:rsidRDefault="00943743" w:rsidP="007276E0">
            <w:pPr>
              <w:suppressAutoHyphens w:val="0"/>
              <w:rPr>
                <w:del w:id="13759" w:author="AbbVie_HU_03" w:date="2025-05-14T16:41:00Z"/>
                <w:bCs/>
                <w:szCs w:val="22"/>
              </w:rPr>
            </w:pPr>
            <w:del w:id="13760" w:author="AbbVie_HU_03" w:date="2025-05-14T16:41:00Z">
              <w:r w:rsidRPr="00BD646C">
                <w:rPr>
                  <w:bCs/>
                  <w:szCs w:val="22"/>
                </w:rPr>
                <w:delText>AbbVie Kft.</w:delText>
              </w:r>
            </w:del>
          </w:p>
          <w:p w14:paraId="48C53719" w14:textId="581CC451" w:rsidR="008604D4" w:rsidRPr="00BD646C" w:rsidRDefault="00943743" w:rsidP="007276E0">
            <w:pPr>
              <w:suppressAutoHyphens w:val="0"/>
              <w:rPr>
                <w:del w:id="13761" w:author="AbbVie_HU_03" w:date="2025-05-14T16:41:00Z"/>
                <w:bCs/>
                <w:szCs w:val="22"/>
              </w:rPr>
            </w:pPr>
            <w:del w:id="13762" w:author="AbbVie_HU_03" w:date="2025-05-14T16:41:00Z">
              <w:r w:rsidRPr="00BD646C">
                <w:rPr>
                  <w:bCs/>
                  <w:szCs w:val="22"/>
                </w:rPr>
                <w:delText>Tel.:+36 1 455 8600</w:delText>
              </w:r>
            </w:del>
          </w:p>
          <w:p w14:paraId="50DF9D23" w14:textId="62A448DE" w:rsidR="008604D4" w:rsidRPr="00BD646C" w:rsidRDefault="008604D4" w:rsidP="007276E0">
            <w:pPr>
              <w:suppressAutoHyphens w:val="0"/>
              <w:rPr>
                <w:del w:id="13763" w:author="AbbVie_HU_03" w:date="2025-05-14T16:41:00Z"/>
                <w:bCs/>
                <w:szCs w:val="22"/>
              </w:rPr>
            </w:pPr>
          </w:p>
        </w:tc>
      </w:tr>
      <w:tr w:rsidR="00011D2F" w14:paraId="7DDCED62" w14:textId="7562F06F" w:rsidTr="001F79B0">
        <w:trPr>
          <w:trHeight w:val="737"/>
          <w:del w:id="13764" w:author="AbbVie_HU_03" w:date="2025-05-14T16:41:00Z"/>
        </w:trPr>
        <w:tc>
          <w:tcPr>
            <w:tcW w:w="4644" w:type="dxa"/>
            <w:gridSpan w:val="2"/>
          </w:tcPr>
          <w:p w14:paraId="5A7DCDB9" w14:textId="63D201CC" w:rsidR="008604D4" w:rsidRPr="00C70C5A" w:rsidRDefault="00943743" w:rsidP="007276E0">
            <w:pPr>
              <w:suppressAutoHyphens w:val="0"/>
              <w:rPr>
                <w:del w:id="13765" w:author="AbbVie_HU_03" w:date="2025-05-14T16:41:00Z"/>
                <w:b/>
                <w:szCs w:val="22"/>
                <w:rPrChange w:id="13766" w:author="AbbVie_HU_04" w:date="2025-05-16T12:29:00Z">
                  <w:rPr>
                    <w:del w:id="13767" w:author="AbbVie_HU_03" w:date="2025-05-14T16:41:00Z"/>
                    <w:b/>
                    <w:bCs/>
                    <w:szCs w:val="22"/>
                    <w:lang w:val="en-US"/>
                  </w:rPr>
                </w:rPrChange>
              </w:rPr>
            </w:pPr>
            <w:del w:id="13768" w:author="AbbVie_HU_03" w:date="2025-05-14T16:41:00Z">
              <w:r w:rsidRPr="00C70C5A">
                <w:rPr>
                  <w:b/>
                  <w:szCs w:val="22"/>
                  <w:rPrChange w:id="13769" w:author="AbbVie_HU_04" w:date="2025-05-16T12:29:00Z">
                    <w:rPr>
                      <w:b/>
                      <w:bCs/>
                      <w:szCs w:val="22"/>
                      <w:lang w:val="en-US"/>
                    </w:rPr>
                  </w:rPrChange>
                </w:rPr>
                <w:delText>Danmark</w:delText>
              </w:r>
            </w:del>
          </w:p>
          <w:p w14:paraId="274A0827" w14:textId="1997D47D" w:rsidR="008604D4" w:rsidRPr="00C70C5A" w:rsidRDefault="00943743" w:rsidP="007276E0">
            <w:pPr>
              <w:suppressAutoHyphens w:val="0"/>
              <w:rPr>
                <w:del w:id="13770" w:author="AbbVie_HU_03" w:date="2025-05-14T16:41:00Z"/>
                <w:szCs w:val="22"/>
                <w:rPrChange w:id="13771" w:author="AbbVie_HU_04" w:date="2025-05-16T12:29:00Z">
                  <w:rPr>
                    <w:del w:id="13772" w:author="AbbVie_HU_03" w:date="2025-05-14T16:41:00Z"/>
                    <w:bCs/>
                    <w:szCs w:val="22"/>
                    <w:lang w:val="en-US"/>
                  </w:rPr>
                </w:rPrChange>
              </w:rPr>
            </w:pPr>
            <w:del w:id="13773" w:author="AbbVie_HU_03" w:date="2025-05-14T16:41:00Z">
              <w:r w:rsidRPr="00C70C5A">
                <w:rPr>
                  <w:szCs w:val="22"/>
                  <w:rPrChange w:id="13774" w:author="AbbVie_HU_04" w:date="2025-05-16T12:29:00Z">
                    <w:rPr>
                      <w:bCs/>
                      <w:szCs w:val="22"/>
                      <w:lang w:val="en-US"/>
                    </w:rPr>
                  </w:rPrChange>
                </w:rPr>
                <w:delText>AbbVie A/S</w:delText>
              </w:r>
            </w:del>
          </w:p>
          <w:p w14:paraId="5E2780C1" w14:textId="7EE5FAC2" w:rsidR="008604D4" w:rsidRPr="00BD646C" w:rsidRDefault="00943743" w:rsidP="007276E0">
            <w:pPr>
              <w:suppressAutoHyphens w:val="0"/>
              <w:rPr>
                <w:del w:id="13775" w:author="AbbVie_HU_03" w:date="2025-05-14T16:41:00Z"/>
                <w:bCs/>
                <w:szCs w:val="22"/>
                <w:lang w:val="sk-SK"/>
              </w:rPr>
            </w:pPr>
            <w:del w:id="13776" w:author="AbbVie_HU_03" w:date="2025-05-14T16:41:00Z">
              <w:r w:rsidRPr="00C70C5A">
                <w:rPr>
                  <w:szCs w:val="22"/>
                  <w:rPrChange w:id="13777" w:author="AbbVie_HU_04" w:date="2025-05-16T12:29:00Z">
                    <w:rPr>
                      <w:bCs/>
                      <w:szCs w:val="22"/>
                      <w:lang w:val="en-US"/>
                    </w:rPr>
                  </w:rPrChange>
                </w:rPr>
                <w:delText>Tlf: +45 72 30-20-28</w:delText>
              </w:r>
            </w:del>
          </w:p>
        </w:tc>
        <w:tc>
          <w:tcPr>
            <w:tcW w:w="4678" w:type="dxa"/>
            <w:gridSpan w:val="2"/>
          </w:tcPr>
          <w:p w14:paraId="2C835BFC" w14:textId="29EE3C95" w:rsidR="008604D4" w:rsidRPr="00BD646C" w:rsidRDefault="00943743" w:rsidP="007276E0">
            <w:pPr>
              <w:suppressAutoHyphens w:val="0"/>
              <w:rPr>
                <w:del w:id="13778" w:author="AbbVie_HU_03" w:date="2025-05-14T16:41:00Z"/>
                <w:b/>
                <w:bCs/>
                <w:szCs w:val="22"/>
                <w:lang w:val="mt-MT"/>
              </w:rPr>
            </w:pPr>
            <w:del w:id="13779" w:author="AbbVie_HU_03" w:date="2025-05-14T16:41:00Z">
              <w:r w:rsidRPr="00BD646C">
                <w:rPr>
                  <w:b/>
                  <w:bCs/>
                  <w:szCs w:val="22"/>
                  <w:lang w:val="mt-MT"/>
                </w:rPr>
                <w:delText>Malta</w:delText>
              </w:r>
            </w:del>
          </w:p>
          <w:p w14:paraId="466C8D4A" w14:textId="3D464736" w:rsidR="008604D4" w:rsidRPr="00BD646C" w:rsidRDefault="00943743" w:rsidP="007276E0">
            <w:pPr>
              <w:suppressAutoHyphens w:val="0"/>
              <w:rPr>
                <w:del w:id="13780" w:author="AbbVie_HU_03" w:date="2025-05-14T16:41:00Z"/>
                <w:bCs/>
                <w:szCs w:val="22"/>
                <w:lang w:val="sk-SK"/>
              </w:rPr>
            </w:pPr>
            <w:del w:id="13781" w:author="AbbVie_HU_03" w:date="2025-05-14T16:41:00Z">
              <w:r w:rsidRPr="00BD646C">
                <w:rPr>
                  <w:bCs/>
                  <w:szCs w:val="22"/>
                  <w:lang w:val="sk-SK"/>
                </w:rPr>
                <w:delText xml:space="preserve">V.J.Salomone Pharma Limited </w:delText>
              </w:r>
            </w:del>
          </w:p>
          <w:p w14:paraId="4D75394E" w14:textId="11A6FBD3" w:rsidR="008604D4" w:rsidRPr="00BD646C" w:rsidRDefault="00943743" w:rsidP="007276E0">
            <w:pPr>
              <w:suppressAutoHyphens w:val="0"/>
              <w:rPr>
                <w:del w:id="13782" w:author="AbbVie_HU_03" w:date="2025-05-14T16:41:00Z"/>
                <w:bCs/>
                <w:szCs w:val="22"/>
                <w:lang w:val="sk-SK"/>
              </w:rPr>
            </w:pPr>
            <w:del w:id="13783" w:author="AbbVie_HU_03" w:date="2025-05-14T16:41:00Z">
              <w:r w:rsidRPr="00BD646C">
                <w:rPr>
                  <w:bCs/>
                  <w:szCs w:val="22"/>
                  <w:lang w:val="sk-SK"/>
                </w:rPr>
                <w:delText xml:space="preserve">Tel: </w:delText>
              </w:r>
              <w:r w:rsidR="0047544D">
                <w:rPr>
                  <w:bCs/>
                  <w:szCs w:val="22"/>
                </w:rPr>
                <w:delText>+356 21220174</w:delText>
              </w:r>
            </w:del>
          </w:p>
          <w:p w14:paraId="252454FB" w14:textId="4E1777FC" w:rsidR="008604D4" w:rsidRPr="00BD646C" w:rsidRDefault="008604D4" w:rsidP="007276E0">
            <w:pPr>
              <w:suppressAutoHyphens w:val="0"/>
              <w:rPr>
                <w:del w:id="13784" w:author="AbbVie_HU_03" w:date="2025-05-14T16:41:00Z"/>
                <w:bCs/>
                <w:szCs w:val="22"/>
                <w:lang w:val="sk-SK"/>
              </w:rPr>
            </w:pPr>
          </w:p>
        </w:tc>
      </w:tr>
      <w:tr w:rsidR="00011D2F" w14:paraId="3D8F1828" w14:textId="021AA634" w:rsidTr="001F79B0">
        <w:trPr>
          <w:del w:id="13785" w:author="AbbVie_HU_03" w:date="2025-05-14T16:41:00Z"/>
        </w:trPr>
        <w:tc>
          <w:tcPr>
            <w:tcW w:w="4644" w:type="dxa"/>
            <w:gridSpan w:val="2"/>
          </w:tcPr>
          <w:p w14:paraId="1F8BBE64" w14:textId="21595096" w:rsidR="008604D4" w:rsidRPr="00BD646C" w:rsidRDefault="00943743" w:rsidP="007276E0">
            <w:pPr>
              <w:suppressAutoHyphens w:val="0"/>
              <w:rPr>
                <w:del w:id="13786" w:author="AbbVie_HU_03" w:date="2025-05-14T16:41:00Z"/>
                <w:b/>
                <w:bCs/>
                <w:szCs w:val="22"/>
                <w:lang w:val="de-DE"/>
              </w:rPr>
            </w:pPr>
            <w:del w:id="13787" w:author="AbbVie_HU_03" w:date="2025-05-14T16:41:00Z">
              <w:r w:rsidRPr="00BD646C">
                <w:rPr>
                  <w:b/>
                  <w:bCs/>
                  <w:szCs w:val="22"/>
                  <w:lang w:val="de-DE"/>
                </w:rPr>
                <w:delText>Deutschland</w:delText>
              </w:r>
            </w:del>
          </w:p>
          <w:p w14:paraId="4F13CA7C" w14:textId="10DD9BDF" w:rsidR="008604D4" w:rsidRPr="00BD646C" w:rsidRDefault="00943743" w:rsidP="007276E0">
            <w:pPr>
              <w:suppressAutoHyphens w:val="0"/>
              <w:rPr>
                <w:del w:id="13788" w:author="AbbVie_HU_03" w:date="2025-05-14T16:41:00Z"/>
                <w:bCs/>
                <w:szCs w:val="22"/>
                <w:lang w:val="de-DE"/>
              </w:rPr>
            </w:pPr>
            <w:del w:id="13789" w:author="AbbVie_HU_03" w:date="2025-05-14T16:41:00Z">
              <w:r w:rsidRPr="00BD646C">
                <w:rPr>
                  <w:szCs w:val="22"/>
                  <w:lang w:val="de-DE"/>
                </w:rPr>
                <w:delText xml:space="preserve">AbbVie Deutschland </w:delText>
              </w:r>
              <w:r w:rsidRPr="00BD646C">
                <w:rPr>
                  <w:bCs/>
                  <w:szCs w:val="22"/>
                  <w:lang w:val="de-DE"/>
                </w:rPr>
                <w:delText>GmbH &amp; Co. KG</w:delText>
              </w:r>
            </w:del>
          </w:p>
          <w:p w14:paraId="454BCDD0" w14:textId="24099526" w:rsidR="008604D4" w:rsidRPr="00BD646C" w:rsidRDefault="00943743" w:rsidP="007276E0">
            <w:pPr>
              <w:suppressAutoHyphens w:val="0"/>
              <w:rPr>
                <w:del w:id="13790" w:author="AbbVie_HU_03" w:date="2025-05-14T16:41:00Z"/>
                <w:szCs w:val="22"/>
                <w:lang w:val="de-DE"/>
              </w:rPr>
            </w:pPr>
            <w:del w:id="13791" w:author="AbbVie_HU_03" w:date="2025-05-14T16:41:00Z">
              <w:r w:rsidRPr="00BD646C">
                <w:rPr>
                  <w:szCs w:val="22"/>
                  <w:lang w:val="de-DE"/>
                </w:rPr>
                <w:delText>Tel: 00800 222843 33 (gebührenfrei)</w:delText>
              </w:r>
            </w:del>
          </w:p>
          <w:p w14:paraId="08238B71" w14:textId="37988F51" w:rsidR="008604D4" w:rsidRPr="00BD646C" w:rsidRDefault="00943743" w:rsidP="007276E0">
            <w:pPr>
              <w:suppressAutoHyphens w:val="0"/>
              <w:rPr>
                <w:del w:id="13792" w:author="AbbVie_HU_03" w:date="2025-05-14T16:41:00Z"/>
                <w:szCs w:val="22"/>
                <w:lang w:val="de-DE"/>
              </w:rPr>
            </w:pPr>
            <w:del w:id="13793" w:author="AbbVie_HU_03" w:date="2025-05-14T16:41:00Z">
              <w:r w:rsidRPr="00BD646C">
                <w:rPr>
                  <w:szCs w:val="22"/>
                  <w:lang w:val="de-DE"/>
                </w:rPr>
                <w:delText>Tel: +49 (0) 611 / 1720-0</w:delText>
              </w:r>
            </w:del>
          </w:p>
          <w:p w14:paraId="56A93096" w14:textId="72BEEEFD" w:rsidR="008604D4" w:rsidRPr="00BD646C" w:rsidRDefault="008604D4" w:rsidP="007276E0">
            <w:pPr>
              <w:suppressAutoHyphens w:val="0"/>
              <w:rPr>
                <w:del w:id="13794" w:author="AbbVie_HU_03" w:date="2025-05-14T16:41:00Z"/>
                <w:szCs w:val="22"/>
                <w:lang w:val="de-DE"/>
              </w:rPr>
            </w:pPr>
          </w:p>
        </w:tc>
        <w:tc>
          <w:tcPr>
            <w:tcW w:w="4678" w:type="dxa"/>
            <w:gridSpan w:val="2"/>
          </w:tcPr>
          <w:p w14:paraId="33B9CFB9" w14:textId="29305E33" w:rsidR="008604D4" w:rsidRPr="00BD646C" w:rsidRDefault="00943743" w:rsidP="007276E0">
            <w:pPr>
              <w:suppressAutoHyphens w:val="0"/>
              <w:rPr>
                <w:del w:id="13795" w:author="AbbVie_HU_03" w:date="2025-05-14T16:41:00Z"/>
                <w:b/>
                <w:bCs/>
                <w:szCs w:val="22"/>
                <w:lang w:val="nl-NL"/>
              </w:rPr>
            </w:pPr>
            <w:del w:id="13796" w:author="AbbVie_HU_03" w:date="2025-05-14T16:41:00Z">
              <w:r w:rsidRPr="00BD646C">
                <w:rPr>
                  <w:b/>
                  <w:bCs/>
                  <w:szCs w:val="22"/>
                  <w:lang w:val="nl-NL"/>
                </w:rPr>
                <w:delText>Nederland</w:delText>
              </w:r>
            </w:del>
          </w:p>
          <w:p w14:paraId="7A62AEE4" w14:textId="28F9EED5" w:rsidR="008604D4" w:rsidRPr="00BD646C" w:rsidRDefault="00943743" w:rsidP="007276E0">
            <w:pPr>
              <w:suppressAutoHyphens w:val="0"/>
              <w:rPr>
                <w:del w:id="13797" w:author="AbbVie_HU_03" w:date="2025-05-14T16:41:00Z"/>
                <w:bCs/>
                <w:szCs w:val="22"/>
                <w:lang w:val="de-DE"/>
              </w:rPr>
            </w:pPr>
            <w:del w:id="13798" w:author="AbbVie_HU_03" w:date="2025-05-14T16:41:00Z">
              <w:r w:rsidRPr="00BD646C">
                <w:rPr>
                  <w:bCs/>
                  <w:szCs w:val="22"/>
                  <w:lang w:val="de-DE"/>
                </w:rPr>
                <w:delText>AbbVie B.V.</w:delText>
              </w:r>
            </w:del>
          </w:p>
          <w:p w14:paraId="36DC53FE" w14:textId="6143D3A1" w:rsidR="008604D4" w:rsidRPr="00BD646C" w:rsidRDefault="00943743" w:rsidP="007276E0">
            <w:pPr>
              <w:suppressAutoHyphens w:val="0"/>
              <w:rPr>
                <w:del w:id="13799" w:author="AbbVie_HU_03" w:date="2025-05-14T16:41:00Z"/>
                <w:bCs/>
                <w:szCs w:val="22"/>
                <w:lang w:val="de-DE"/>
              </w:rPr>
            </w:pPr>
            <w:del w:id="13800" w:author="AbbVie_HU_03" w:date="2025-05-14T16:41:00Z">
              <w:r w:rsidRPr="00BD646C">
                <w:rPr>
                  <w:bCs/>
                  <w:szCs w:val="22"/>
                  <w:lang w:val="de-DE"/>
                </w:rPr>
                <w:delText>Tel: +31 (0)88 322 2843</w:delText>
              </w:r>
            </w:del>
          </w:p>
        </w:tc>
      </w:tr>
      <w:tr w:rsidR="00011D2F" w14:paraId="46F2B0DC" w14:textId="6F585B64" w:rsidTr="001F79B0">
        <w:trPr>
          <w:del w:id="13801" w:author="AbbVie_HU_03" w:date="2025-05-14T16:41:00Z"/>
        </w:trPr>
        <w:tc>
          <w:tcPr>
            <w:tcW w:w="4644" w:type="dxa"/>
            <w:gridSpan w:val="2"/>
          </w:tcPr>
          <w:p w14:paraId="359E8B0D" w14:textId="27651EB9" w:rsidR="008604D4" w:rsidRPr="00BD646C" w:rsidRDefault="00943743" w:rsidP="007276E0">
            <w:pPr>
              <w:suppressAutoHyphens w:val="0"/>
              <w:rPr>
                <w:del w:id="13802" w:author="AbbVie_HU_03" w:date="2025-05-14T16:41:00Z"/>
                <w:b/>
                <w:bCs/>
                <w:szCs w:val="22"/>
                <w:lang w:val="et-EE"/>
              </w:rPr>
            </w:pPr>
            <w:del w:id="13803" w:author="AbbVie_HU_03" w:date="2025-05-14T16:41:00Z">
              <w:r w:rsidRPr="00BD646C">
                <w:rPr>
                  <w:b/>
                  <w:bCs/>
                  <w:szCs w:val="22"/>
                  <w:lang w:val="et-EE"/>
                </w:rPr>
                <w:delText>Eesti</w:delText>
              </w:r>
            </w:del>
          </w:p>
          <w:p w14:paraId="1E49475E" w14:textId="78F0E1AE" w:rsidR="008604D4" w:rsidRPr="00BD646C" w:rsidRDefault="00943743" w:rsidP="007276E0">
            <w:pPr>
              <w:suppressAutoHyphens w:val="0"/>
              <w:rPr>
                <w:del w:id="13804" w:author="AbbVie_HU_03" w:date="2025-05-14T16:41:00Z"/>
                <w:bCs/>
                <w:szCs w:val="22"/>
                <w:lang w:val="et-EE"/>
              </w:rPr>
            </w:pPr>
            <w:del w:id="13805" w:author="AbbVie_HU_03" w:date="2025-05-14T16:41:00Z">
              <w:r w:rsidRPr="00BD646C">
                <w:rPr>
                  <w:bCs/>
                  <w:szCs w:val="22"/>
                  <w:lang w:val="et-EE"/>
                </w:rPr>
                <w:delText xml:space="preserve">AbbVie </w:delText>
              </w:r>
              <w:r w:rsidRPr="00BD646C">
                <w:rPr>
                  <w:bCs/>
                  <w:szCs w:val="22"/>
                  <w:lang w:val="sk-SK"/>
                </w:rPr>
                <w:delText>OÜ</w:delText>
              </w:r>
              <w:r w:rsidRPr="00BD646C">
                <w:rPr>
                  <w:bCs/>
                  <w:szCs w:val="22"/>
                  <w:lang w:val="et-EE"/>
                </w:rPr>
                <w:delText xml:space="preserve"> </w:delText>
              </w:r>
            </w:del>
          </w:p>
          <w:p w14:paraId="7C43AC39" w14:textId="6EEB496D" w:rsidR="008604D4" w:rsidRPr="00BD646C" w:rsidRDefault="00943743" w:rsidP="007276E0">
            <w:pPr>
              <w:suppressAutoHyphens w:val="0"/>
              <w:rPr>
                <w:del w:id="13806" w:author="AbbVie_HU_03" w:date="2025-05-14T16:41:00Z"/>
                <w:bCs/>
                <w:szCs w:val="22"/>
                <w:lang w:val="lv-LV"/>
              </w:rPr>
            </w:pPr>
            <w:del w:id="13807" w:author="AbbVie_HU_03" w:date="2025-05-14T16:41:00Z">
              <w:r w:rsidRPr="00BD646C">
                <w:rPr>
                  <w:bCs/>
                  <w:szCs w:val="22"/>
                  <w:lang w:val="et-EE"/>
                </w:rPr>
                <w:delText>Tel: +372 623 1011</w:delText>
              </w:r>
            </w:del>
          </w:p>
        </w:tc>
        <w:tc>
          <w:tcPr>
            <w:tcW w:w="4678" w:type="dxa"/>
            <w:gridSpan w:val="2"/>
          </w:tcPr>
          <w:p w14:paraId="4B33070F" w14:textId="0F01FF9B" w:rsidR="008604D4" w:rsidRPr="00BD646C" w:rsidRDefault="00943743" w:rsidP="007276E0">
            <w:pPr>
              <w:suppressAutoHyphens w:val="0"/>
              <w:rPr>
                <w:del w:id="13808" w:author="AbbVie_HU_03" w:date="2025-05-14T16:41:00Z"/>
                <w:b/>
                <w:bCs/>
                <w:szCs w:val="22"/>
                <w:lang w:val="nb-NO"/>
              </w:rPr>
            </w:pPr>
            <w:del w:id="13809" w:author="AbbVie_HU_03" w:date="2025-05-14T16:41:00Z">
              <w:r w:rsidRPr="00BD646C">
                <w:rPr>
                  <w:b/>
                  <w:bCs/>
                  <w:szCs w:val="22"/>
                  <w:lang w:val="nb-NO"/>
                </w:rPr>
                <w:delText>Norge</w:delText>
              </w:r>
            </w:del>
          </w:p>
          <w:p w14:paraId="7FA2AA21" w14:textId="4D5FF608" w:rsidR="008604D4" w:rsidRPr="00BD646C" w:rsidRDefault="00943743" w:rsidP="007276E0">
            <w:pPr>
              <w:suppressAutoHyphens w:val="0"/>
              <w:rPr>
                <w:del w:id="13810" w:author="AbbVie_HU_03" w:date="2025-05-14T16:41:00Z"/>
                <w:bCs/>
                <w:szCs w:val="22"/>
                <w:lang w:val="sk-SK"/>
              </w:rPr>
            </w:pPr>
            <w:del w:id="13811" w:author="AbbVie_HU_03" w:date="2025-05-14T16:41:00Z">
              <w:r w:rsidRPr="00BD646C">
                <w:rPr>
                  <w:bCs/>
                  <w:szCs w:val="22"/>
                  <w:lang w:val="sk-SK"/>
                </w:rPr>
                <w:delText>AbbVie AS</w:delText>
              </w:r>
            </w:del>
          </w:p>
          <w:p w14:paraId="1E65B278" w14:textId="265B6612" w:rsidR="008604D4" w:rsidRPr="00BD646C" w:rsidRDefault="00943743" w:rsidP="007276E0">
            <w:pPr>
              <w:suppressAutoHyphens w:val="0"/>
              <w:rPr>
                <w:del w:id="13812" w:author="AbbVie_HU_03" w:date="2025-05-14T16:41:00Z"/>
                <w:bCs/>
                <w:szCs w:val="22"/>
                <w:lang w:val="sk-SK"/>
              </w:rPr>
            </w:pPr>
            <w:del w:id="13813" w:author="AbbVie_HU_03" w:date="2025-05-14T16:41:00Z">
              <w:r w:rsidRPr="00BD646C">
                <w:rPr>
                  <w:bCs/>
                  <w:szCs w:val="22"/>
                  <w:lang w:val="sk-SK"/>
                </w:rPr>
                <w:delText>Tlf: +47 67 81 80 00</w:delText>
              </w:r>
            </w:del>
          </w:p>
          <w:p w14:paraId="3E7C7073" w14:textId="1B6791FD" w:rsidR="008604D4" w:rsidRPr="00BD646C" w:rsidRDefault="008604D4" w:rsidP="007276E0">
            <w:pPr>
              <w:suppressAutoHyphens w:val="0"/>
              <w:rPr>
                <w:del w:id="13814" w:author="AbbVie_HU_03" w:date="2025-05-14T16:41:00Z"/>
                <w:bCs/>
                <w:szCs w:val="22"/>
                <w:lang w:val="sk-SK"/>
              </w:rPr>
            </w:pPr>
          </w:p>
        </w:tc>
      </w:tr>
      <w:tr w:rsidR="00011D2F" w14:paraId="63836E08" w14:textId="7FB5F991" w:rsidTr="001F79B0">
        <w:trPr>
          <w:trHeight w:val="794"/>
          <w:del w:id="13815" w:author="AbbVie_HU_03" w:date="2025-05-14T16:41:00Z"/>
        </w:trPr>
        <w:tc>
          <w:tcPr>
            <w:tcW w:w="4644" w:type="dxa"/>
            <w:gridSpan w:val="2"/>
          </w:tcPr>
          <w:p w14:paraId="6777D3E4" w14:textId="285EF0DD" w:rsidR="008604D4" w:rsidRPr="00BD646C" w:rsidRDefault="00943743" w:rsidP="007276E0">
            <w:pPr>
              <w:suppressAutoHyphens w:val="0"/>
              <w:rPr>
                <w:del w:id="13816" w:author="AbbVie_HU_03" w:date="2025-05-14T16:41:00Z"/>
                <w:b/>
                <w:bCs/>
                <w:szCs w:val="22"/>
                <w:lang w:val="el-GR"/>
              </w:rPr>
            </w:pPr>
            <w:del w:id="13817" w:author="AbbVie_HU_03" w:date="2025-05-14T16:41:00Z">
              <w:r w:rsidRPr="00BD646C">
                <w:rPr>
                  <w:b/>
                  <w:bCs/>
                  <w:szCs w:val="22"/>
                  <w:lang w:val="el-GR"/>
                </w:rPr>
                <w:delText>Ελλάδα</w:delText>
              </w:r>
            </w:del>
          </w:p>
          <w:p w14:paraId="7B08C836" w14:textId="30FD2A9F" w:rsidR="008604D4" w:rsidRPr="00BD646C" w:rsidRDefault="00943743" w:rsidP="007276E0">
            <w:pPr>
              <w:suppressAutoHyphens w:val="0"/>
              <w:rPr>
                <w:del w:id="13818" w:author="AbbVie_HU_03" w:date="2025-05-14T16:41:00Z"/>
                <w:bCs/>
                <w:szCs w:val="22"/>
                <w:lang w:val="el-GR"/>
              </w:rPr>
            </w:pPr>
            <w:del w:id="13819" w:author="AbbVie_HU_03" w:date="2025-05-14T16:41:00Z">
              <w:r w:rsidRPr="00BD646C">
                <w:rPr>
                  <w:bCs/>
                  <w:szCs w:val="22"/>
                  <w:lang w:val="et-EE"/>
                </w:rPr>
                <w:delText xml:space="preserve">AbbVie </w:delText>
              </w:r>
              <w:r w:rsidRPr="00BD646C">
                <w:rPr>
                  <w:szCs w:val="22"/>
                  <w:lang w:val="el-GR"/>
                </w:rPr>
                <w:delText>ΦΑΡΜΑΚΕΥΤΙΚΗ Α.Ε.</w:delText>
              </w:r>
            </w:del>
          </w:p>
          <w:p w14:paraId="1AF5BF86" w14:textId="623498F2" w:rsidR="008604D4" w:rsidRPr="00BD646C" w:rsidRDefault="00943743" w:rsidP="007276E0">
            <w:pPr>
              <w:suppressAutoHyphens w:val="0"/>
              <w:rPr>
                <w:del w:id="13820" w:author="AbbVie_HU_03" w:date="2025-05-14T16:41:00Z"/>
                <w:bCs/>
                <w:szCs w:val="22"/>
                <w:lang w:val="sk-SK"/>
              </w:rPr>
            </w:pPr>
            <w:del w:id="13821" w:author="AbbVie_HU_03" w:date="2025-05-14T16:41:00Z">
              <w:r w:rsidRPr="00BD646C">
                <w:rPr>
                  <w:bCs/>
                  <w:szCs w:val="22"/>
                  <w:lang w:val="el-GR"/>
                </w:rPr>
                <w:delText xml:space="preserve">Τηλ: +30 </w:delText>
              </w:r>
              <w:r w:rsidRPr="00BD646C">
                <w:rPr>
                  <w:bCs/>
                  <w:szCs w:val="22"/>
                  <w:lang w:val="sk-SK"/>
                </w:rPr>
                <w:delText>214 4165 555</w:delText>
              </w:r>
            </w:del>
          </w:p>
        </w:tc>
        <w:tc>
          <w:tcPr>
            <w:tcW w:w="4678" w:type="dxa"/>
            <w:gridSpan w:val="2"/>
          </w:tcPr>
          <w:p w14:paraId="60C12D8D" w14:textId="212298A3" w:rsidR="008604D4" w:rsidRPr="00BD646C" w:rsidRDefault="00943743" w:rsidP="007276E0">
            <w:pPr>
              <w:suppressAutoHyphens w:val="0"/>
              <w:rPr>
                <w:del w:id="13822" w:author="AbbVie_HU_03" w:date="2025-05-14T16:41:00Z"/>
                <w:b/>
                <w:bCs/>
                <w:szCs w:val="22"/>
                <w:lang w:val="de-DE"/>
              </w:rPr>
            </w:pPr>
            <w:del w:id="13823" w:author="AbbVie_HU_03" w:date="2025-05-14T16:41:00Z">
              <w:r w:rsidRPr="00BD646C">
                <w:rPr>
                  <w:b/>
                  <w:bCs/>
                  <w:szCs w:val="22"/>
                  <w:lang w:val="de-DE"/>
                </w:rPr>
                <w:delText>Österreich</w:delText>
              </w:r>
            </w:del>
          </w:p>
          <w:p w14:paraId="6DFD6B10" w14:textId="727D1C2F" w:rsidR="008604D4" w:rsidRPr="00BD646C" w:rsidRDefault="00943743" w:rsidP="007276E0">
            <w:pPr>
              <w:suppressAutoHyphens w:val="0"/>
              <w:rPr>
                <w:del w:id="13824" w:author="AbbVie_HU_03" w:date="2025-05-14T16:41:00Z"/>
                <w:bCs/>
                <w:szCs w:val="22"/>
                <w:lang w:val="de-DE"/>
              </w:rPr>
            </w:pPr>
            <w:del w:id="13825" w:author="AbbVie_HU_03" w:date="2025-05-14T16:41:00Z">
              <w:r w:rsidRPr="00BD646C">
                <w:rPr>
                  <w:bCs/>
                  <w:szCs w:val="22"/>
                  <w:lang w:val="de-DE"/>
                </w:rPr>
                <w:delText xml:space="preserve">AbbVie GmbH </w:delText>
              </w:r>
            </w:del>
          </w:p>
          <w:p w14:paraId="2E0133C8" w14:textId="1B386567" w:rsidR="008604D4" w:rsidRPr="00BD646C" w:rsidRDefault="00943743" w:rsidP="007276E0">
            <w:pPr>
              <w:suppressAutoHyphens w:val="0"/>
              <w:rPr>
                <w:del w:id="13826" w:author="AbbVie_HU_03" w:date="2025-05-14T16:41:00Z"/>
                <w:bCs/>
                <w:szCs w:val="22"/>
                <w:lang w:val="de-DE"/>
              </w:rPr>
            </w:pPr>
            <w:del w:id="13827" w:author="AbbVie_HU_03" w:date="2025-05-14T16:41:00Z">
              <w:r w:rsidRPr="00BD646C">
                <w:rPr>
                  <w:bCs/>
                  <w:szCs w:val="22"/>
                  <w:lang w:val="de-DE"/>
                </w:rPr>
                <w:delText>Tel: +43 1 20589-0</w:delText>
              </w:r>
            </w:del>
          </w:p>
          <w:p w14:paraId="7F2C59F1" w14:textId="5D96DD55" w:rsidR="008604D4" w:rsidRPr="00BD646C" w:rsidRDefault="008604D4" w:rsidP="007276E0">
            <w:pPr>
              <w:suppressAutoHyphens w:val="0"/>
              <w:rPr>
                <w:del w:id="13828" w:author="AbbVie_HU_03" w:date="2025-05-14T16:41:00Z"/>
                <w:bCs/>
                <w:szCs w:val="22"/>
                <w:lang w:val="de-DE"/>
              </w:rPr>
            </w:pPr>
          </w:p>
        </w:tc>
      </w:tr>
      <w:tr w:rsidR="00011D2F" w14:paraId="200BA46F" w14:textId="1EC3A396" w:rsidTr="001F79B0">
        <w:trPr>
          <w:gridBefore w:val="1"/>
          <w:wBefore w:w="34" w:type="dxa"/>
          <w:del w:id="13829" w:author="AbbVie_HU_03" w:date="2025-05-14T16:41:00Z"/>
        </w:trPr>
        <w:tc>
          <w:tcPr>
            <w:tcW w:w="4644" w:type="dxa"/>
            <w:gridSpan w:val="2"/>
          </w:tcPr>
          <w:p w14:paraId="44210FEF" w14:textId="00F8C0B3" w:rsidR="008604D4" w:rsidRPr="00BD646C" w:rsidRDefault="00943743" w:rsidP="007276E0">
            <w:pPr>
              <w:suppressAutoHyphens w:val="0"/>
              <w:rPr>
                <w:del w:id="13830" w:author="AbbVie_HU_03" w:date="2025-05-14T16:41:00Z"/>
                <w:b/>
                <w:bCs/>
                <w:szCs w:val="22"/>
                <w:lang w:val="es-ES"/>
              </w:rPr>
            </w:pPr>
            <w:del w:id="13831" w:author="AbbVie_HU_03" w:date="2025-05-14T16:41:00Z">
              <w:r w:rsidRPr="00BD646C">
                <w:rPr>
                  <w:b/>
                  <w:bCs/>
                  <w:szCs w:val="22"/>
                  <w:lang w:val="es-ES"/>
                </w:rPr>
                <w:delText>España</w:delText>
              </w:r>
            </w:del>
          </w:p>
          <w:p w14:paraId="436D144C" w14:textId="47F8947D" w:rsidR="008604D4" w:rsidRPr="00BD646C" w:rsidRDefault="00943743" w:rsidP="007276E0">
            <w:pPr>
              <w:suppressAutoHyphens w:val="0"/>
              <w:rPr>
                <w:del w:id="13832" w:author="AbbVie_HU_03" w:date="2025-05-14T16:41:00Z"/>
                <w:szCs w:val="22"/>
                <w:lang w:val="es-ES"/>
              </w:rPr>
            </w:pPr>
            <w:del w:id="13833" w:author="AbbVie_HU_03" w:date="2025-05-14T16:41:00Z">
              <w:r w:rsidRPr="00BD646C">
                <w:rPr>
                  <w:szCs w:val="22"/>
                  <w:lang w:val="es-ES"/>
                </w:rPr>
                <w:delText xml:space="preserve">AbbVie </w:delText>
              </w:r>
              <w:r w:rsidRPr="00BD646C">
                <w:rPr>
                  <w:bCs/>
                  <w:szCs w:val="22"/>
                  <w:lang w:val="es-ES"/>
                </w:rPr>
                <w:delText>Spain</w:delText>
              </w:r>
              <w:r w:rsidRPr="00BD646C">
                <w:rPr>
                  <w:szCs w:val="22"/>
                  <w:lang w:val="es-ES"/>
                </w:rPr>
                <w:delText>, S.L.U</w:delText>
              </w:r>
              <w:r w:rsidRPr="00BD646C">
                <w:rPr>
                  <w:bCs/>
                  <w:szCs w:val="22"/>
                  <w:lang w:val="es-ES"/>
                </w:rPr>
                <w:delText>.</w:delText>
              </w:r>
            </w:del>
          </w:p>
          <w:p w14:paraId="4AB08498" w14:textId="19E41500" w:rsidR="008604D4" w:rsidRPr="00BD646C" w:rsidRDefault="00943743" w:rsidP="007276E0">
            <w:pPr>
              <w:suppressAutoHyphens w:val="0"/>
              <w:rPr>
                <w:del w:id="13834" w:author="AbbVie_HU_03" w:date="2025-05-14T16:41:00Z"/>
                <w:bCs/>
                <w:szCs w:val="22"/>
                <w:lang w:val="pl-PL"/>
              </w:rPr>
            </w:pPr>
            <w:del w:id="13835" w:author="AbbVie_HU_03" w:date="2025-05-14T16:41:00Z">
              <w:r w:rsidRPr="00BD646C">
                <w:rPr>
                  <w:bCs/>
                  <w:szCs w:val="22"/>
                  <w:lang w:val="pt-PT"/>
                </w:rPr>
                <w:delText>Tel: +34 91 384 09 10</w:delText>
              </w:r>
            </w:del>
          </w:p>
        </w:tc>
        <w:tc>
          <w:tcPr>
            <w:tcW w:w="4678" w:type="dxa"/>
          </w:tcPr>
          <w:p w14:paraId="70DBA504" w14:textId="373397D8" w:rsidR="008604D4" w:rsidRPr="00BD646C" w:rsidRDefault="00943743" w:rsidP="007276E0">
            <w:pPr>
              <w:suppressAutoHyphens w:val="0"/>
              <w:rPr>
                <w:del w:id="13836" w:author="AbbVie_HU_03" w:date="2025-05-14T16:41:00Z"/>
                <w:b/>
                <w:bCs/>
                <w:iCs/>
                <w:szCs w:val="22"/>
                <w:lang w:val="pl-PL"/>
              </w:rPr>
            </w:pPr>
            <w:del w:id="13837" w:author="AbbVie_HU_03" w:date="2025-05-14T16:41:00Z">
              <w:r w:rsidRPr="00BD646C">
                <w:rPr>
                  <w:b/>
                  <w:bCs/>
                  <w:iCs/>
                  <w:szCs w:val="22"/>
                  <w:lang w:val="pl-PL"/>
                </w:rPr>
                <w:delText>Polska</w:delText>
              </w:r>
            </w:del>
          </w:p>
          <w:p w14:paraId="35567693" w14:textId="43CA9DCD" w:rsidR="008604D4" w:rsidRPr="00BD646C" w:rsidRDefault="00943743" w:rsidP="007276E0">
            <w:pPr>
              <w:suppressAutoHyphens w:val="0"/>
              <w:rPr>
                <w:del w:id="13838" w:author="AbbVie_HU_03" w:date="2025-05-14T16:41:00Z"/>
                <w:bCs/>
                <w:szCs w:val="22"/>
                <w:lang w:val="pl-PL"/>
              </w:rPr>
            </w:pPr>
            <w:del w:id="13839" w:author="AbbVie_HU_03" w:date="2025-05-14T16:41:00Z">
              <w:r w:rsidRPr="00BD646C">
                <w:rPr>
                  <w:bCs/>
                  <w:szCs w:val="22"/>
                  <w:lang w:val="pl-PL"/>
                </w:rPr>
                <w:delText>AbbVie Sp. z o.o.</w:delText>
              </w:r>
            </w:del>
          </w:p>
          <w:p w14:paraId="510FC370" w14:textId="6F5FD5B9" w:rsidR="008604D4" w:rsidRPr="00BD646C" w:rsidRDefault="00943743" w:rsidP="007276E0">
            <w:pPr>
              <w:suppressAutoHyphens w:val="0"/>
              <w:rPr>
                <w:del w:id="13840" w:author="AbbVie_HU_03" w:date="2025-05-14T16:41:00Z"/>
                <w:bCs/>
                <w:szCs w:val="22"/>
                <w:lang w:val="pl-PL"/>
              </w:rPr>
            </w:pPr>
            <w:del w:id="13841" w:author="AbbVie_HU_03" w:date="2025-05-14T16:41:00Z">
              <w:r w:rsidRPr="00BD646C">
                <w:rPr>
                  <w:szCs w:val="22"/>
                  <w:lang w:val="es-ES"/>
                </w:rPr>
                <w:delText xml:space="preserve">Tel.: +48 22 </w:delText>
              </w:r>
              <w:r w:rsidRPr="00BD646C">
                <w:rPr>
                  <w:bCs/>
                  <w:szCs w:val="22"/>
                  <w:lang w:val="pl-PL"/>
                </w:rPr>
                <w:delText xml:space="preserve">372 78 00 </w:delText>
              </w:r>
            </w:del>
          </w:p>
          <w:p w14:paraId="64C977F3" w14:textId="4A9705BB" w:rsidR="008604D4" w:rsidRPr="00BD646C" w:rsidRDefault="008604D4" w:rsidP="007276E0">
            <w:pPr>
              <w:suppressAutoHyphens w:val="0"/>
              <w:rPr>
                <w:del w:id="13842" w:author="AbbVie_HU_03" w:date="2025-05-14T16:41:00Z"/>
                <w:bCs/>
                <w:szCs w:val="22"/>
                <w:lang w:val="pl-PL"/>
              </w:rPr>
            </w:pPr>
          </w:p>
        </w:tc>
      </w:tr>
      <w:tr w:rsidR="00011D2F" w14:paraId="4FB327E3" w14:textId="5EFCF3DB" w:rsidTr="001F79B0">
        <w:trPr>
          <w:trHeight w:val="734"/>
          <w:del w:id="13843" w:author="AbbVie_HU_03" w:date="2025-05-14T16:41:00Z"/>
        </w:trPr>
        <w:tc>
          <w:tcPr>
            <w:tcW w:w="4678" w:type="dxa"/>
            <w:gridSpan w:val="3"/>
          </w:tcPr>
          <w:p w14:paraId="79AFF32A" w14:textId="684DB993" w:rsidR="008604D4" w:rsidRPr="00C70C5A" w:rsidRDefault="00943743" w:rsidP="007276E0">
            <w:pPr>
              <w:suppressAutoHyphens w:val="0"/>
              <w:rPr>
                <w:del w:id="13844" w:author="AbbVie_HU_03" w:date="2025-05-14T16:41:00Z"/>
                <w:b/>
                <w:szCs w:val="22"/>
                <w:rPrChange w:id="13845" w:author="AbbVie_HU_04" w:date="2025-05-16T12:29:00Z">
                  <w:rPr>
                    <w:del w:id="13846" w:author="AbbVie_HU_03" w:date="2025-05-14T16:41:00Z"/>
                    <w:b/>
                    <w:bCs/>
                    <w:szCs w:val="22"/>
                    <w:lang w:val="fr-FR"/>
                  </w:rPr>
                </w:rPrChange>
              </w:rPr>
            </w:pPr>
            <w:del w:id="13847" w:author="AbbVie_HU_03" w:date="2025-05-14T16:41:00Z">
              <w:r w:rsidRPr="00C70C5A">
                <w:rPr>
                  <w:b/>
                  <w:szCs w:val="22"/>
                  <w:rPrChange w:id="13848" w:author="AbbVie_HU_04" w:date="2025-05-16T12:29:00Z">
                    <w:rPr>
                      <w:b/>
                      <w:bCs/>
                      <w:szCs w:val="22"/>
                      <w:lang w:val="fr-FR"/>
                    </w:rPr>
                  </w:rPrChange>
                </w:rPr>
                <w:delText>France</w:delText>
              </w:r>
            </w:del>
          </w:p>
          <w:p w14:paraId="6E107EFA" w14:textId="77633966" w:rsidR="008604D4" w:rsidRPr="00C70C5A" w:rsidRDefault="00943743" w:rsidP="007276E0">
            <w:pPr>
              <w:suppressAutoHyphens w:val="0"/>
              <w:rPr>
                <w:del w:id="13849" w:author="AbbVie_HU_03" w:date="2025-05-14T16:41:00Z"/>
                <w:szCs w:val="22"/>
                <w:rPrChange w:id="13850" w:author="AbbVie_HU_04" w:date="2025-05-16T12:29:00Z">
                  <w:rPr>
                    <w:del w:id="13851" w:author="AbbVie_HU_03" w:date="2025-05-14T16:41:00Z"/>
                    <w:bCs/>
                    <w:szCs w:val="22"/>
                    <w:lang w:val="fr-FR"/>
                  </w:rPr>
                </w:rPrChange>
              </w:rPr>
            </w:pPr>
            <w:del w:id="13852" w:author="AbbVie_HU_03" w:date="2025-05-14T16:41:00Z">
              <w:r w:rsidRPr="00C70C5A">
                <w:rPr>
                  <w:szCs w:val="22"/>
                  <w:rPrChange w:id="13853" w:author="AbbVie_HU_04" w:date="2025-05-16T12:29:00Z">
                    <w:rPr>
                      <w:bCs/>
                      <w:szCs w:val="22"/>
                      <w:lang w:val="fr-FR"/>
                    </w:rPr>
                  </w:rPrChange>
                </w:rPr>
                <w:delText>AbbVie</w:delText>
              </w:r>
            </w:del>
          </w:p>
          <w:p w14:paraId="09E42C3E" w14:textId="2D2A108C" w:rsidR="008604D4" w:rsidRPr="00C70C5A" w:rsidRDefault="00943743" w:rsidP="007276E0">
            <w:pPr>
              <w:suppressAutoHyphens w:val="0"/>
              <w:rPr>
                <w:del w:id="13854" w:author="AbbVie_HU_03" w:date="2025-05-14T16:41:00Z"/>
                <w:szCs w:val="22"/>
                <w:rPrChange w:id="13855" w:author="AbbVie_HU_04" w:date="2025-05-16T12:29:00Z">
                  <w:rPr>
                    <w:del w:id="13856" w:author="AbbVie_HU_03" w:date="2025-05-14T16:41:00Z"/>
                    <w:bCs/>
                    <w:szCs w:val="22"/>
                    <w:lang w:val="fr-FR"/>
                  </w:rPr>
                </w:rPrChange>
              </w:rPr>
            </w:pPr>
            <w:del w:id="13857" w:author="AbbVie_HU_03" w:date="2025-05-14T16:41:00Z">
              <w:r w:rsidRPr="00C70C5A">
                <w:rPr>
                  <w:szCs w:val="22"/>
                  <w:rPrChange w:id="13858" w:author="AbbVie_HU_04" w:date="2025-05-16T12:29:00Z">
                    <w:rPr>
                      <w:bCs/>
                      <w:szCs w:val="22"/>
                      <w:lang w:val="fr-FR"/>
                    </w:rPr>
                  </w:rPrChange>
                </w:rPr>
                <w:delText>Tél: +33 (0) 1 45 60 13 00</w:delText>
              </w:r>
            </w:del>
          </w:p>
        </w:tc>
        <w:tc>
          <w:tcPr>
            <w:tcW w:w="4678" w:type="dxa"/>
          </w:tcPr>
          <w:p w14:paraId="1181FDE6" w14:textId="6FC8D84F" w:rsidR="008604D4" w:rsidRPr="00BD646C" w:rsidRDefault="00943743" w:rsidP="007276E0">
            <w:pPr>
              <w:suppressAutoHyphens w:val="0"/>
              <w:rPr>
                <w:del w:id="13859" w:author="AbbVie_HU_03" w:date="2025-05-14T16:41:00Z"/>
                <w:b/>
                <w:bCs/>
                <w:szCs w:val="22"/>
                <w:lang w:val="pt-PT"/>
              </w:rPr>
            </w:pPr>
            <w:del w:id="13860" w:author="AbbVie_HU_03" w:date="2025-05-14T16:41:00Z">
              <w:r w:rsidRPr="00BD646C">
                <w:rPr>
                  <w:b/>
                  <w:bCs/>
                  <w:szCs w:val="22"/>
                  <w:lang w:val="pt-PT"/>
                </w:rPr>
                <w:delText>Portugal</w:delText>
              </w:r>
            </w:del>
          </w:p>
          <w:p w14:paraId="42F61CF2" w14:textId="55373BB4" w:rsidR="008604D4" w:rsidRPr="00C70C5A" w:rsidRDefault="00943743" w:rsidP="007276E0">
            <w:pPr>
              <w:suppressAutoHyphens w:val="0"/>
              <w:rPr>
                <w:del w:id="13861" w:author="AbbVie_HU_03" w:date="2025-05-14T16:41:00Z"/>
                <w:szCs w:val="22"/>
                <w:rPrChange w:id="13862" w:author="AbbVie_HU_04" w:date="2025-05-16T12:29:00Z">
                  <w:rPr>
                    <w:del w:id="13863" w:author="AbbVie_HU_03" w:date="2025-05-14T16:41:00Z"/>
                    <w:bCs/>
                    <w:szCs w:val="22"/>
                    <w:lang w:val="fr-FR"/>
                  </w:rPr>
                </w:rPrChange>
              </w:rPr>
            </w:pPr>
            <w:del w:id="13864" w:author="AbbVie_HU_03" w:date="2025-05-14T16:41:00Z">
              <w:r w:rsidRPr="00C70C5A">
                <w:rPr>
                  <w:szCs w:val="22"/>
                  <w:rPrChange w:id="13865" w:author="AbbVie_HU_04" w:date="2025-05-16T12:29:00Z">
                    <w:rPr>
                      <w:bCs/>
                      <w:szCs w:val="22"/>
                      <w:lang w:val="fr-FR"/>
                    </w:rPr>
                  </w:rPrChange>
                </w:rPr>
                <w:delText xml:space="preserve">AbbVie, Lda. </w:delText>
              </w:r>
            </w:del>
          </w:p>
          <w:p w14:paraId="76C1592F" w14:textId="17D9AB71" w:rsidR="008604D4" w:rsidRPr="00C70C5A" w:rsidRDefault="00943743" w:rsidP="007276E0">
            <w:pPr>
              <w:suppressAutoHyphens w:val="0"/>
              <w:rPr>
                <w:del w:id="13866" w:author="AbbVie_HU_03" w:date="2025-05-14T16:41:00Z"/>
                <w:szCs w:val="22"/>
                <w:rPrChange w:id="13867" w:author="AbbVie_HU_04" w:date="2025-05-16T12:29:00Z">
                  <w:rPr>
                    <w:del w:id="13868" w:author="AbbVie_HU_03" w:date="2025-05-14T16:41:00Z"/>
                    <w:szCs w:val="22"/>
                    <w:lang w:val="fr-FR"/>
                  </w:rPr>
                </w:rPrChange>
              </w:rPr>
            </w:pPr>
            <w:del w:id="13869" w:author="AbbVie_HU_03" w:date="2025-05-14T16:41:00Z">
              <w:r w:rsidRPr="00C70C5A">
                <w:rPr>
                  <w:szCs w:val="22"/>
                  <w:rPrChange w:id="13870" w:author="AbbVie_HU_04" w:date="2025-05-16T12:29:00Z">
                    <w:rPr>
                      <w:szCs w:val="22"/>
                      <w:lang w:val="fr-FR"/>
                    </w:rPr>
                  </w:rPrChange>
                </w:rPr>
                <w:delText>Tel: +351 (0)21 1908400</w:delText>
              </w:r>
            </w:del>
          </w:p>
          <w:p w14:paraId="72876824" w14:textId="1492CE31" w:rsidR="008604D4" w:rsidRPr="00C70C5A" w:rsidRDefault="008604D4" w:rsidP="007276E0">
            <w:pPr>
              <w:suppressAutoHyphens w:val="0"/>
              <w:rPr>
                <w:del w:id="13871" w:author="AbbVie_HU_03" w:date="2025-05-14T16:41:00Z"/>
                <w:szCs w:val="22"/>
                <w:rPrChange w:id="13872" w:author="AbbVie_HU_04" w:date="2025-05-16T12:29:00Z">
                  <w:rPr>
                    <w:del w:id="13873" w:author="AbbVie_HU_03" w:date="2025-05-14T16:41:00Z"/>
                    <w:szCs w:val="22"/>
                    <w:lang w:val="fr-FR"/>
                  </w:rPr>
                </w:rPrChange>
              </w:rPr>
            </w:pPr>
          </w:p>
        </w:tc>
      </w:tr>
      <w:tr w:rsidR="00011D2F" w14:paraId="112F53F3" w14:textId="7005B97E" w:rsidTr="001F79B0">
        <w:trPr>
          <w:gridBefore w:val="1"/>
          <w:wBefore w:w="34" w:type="dxa"/>
          <w:del w:id="13874" w:author="AbbVie_HU_03" w:date="2025-05-14T16:41:00Z"/>
        </w:trPr>
        <w:tc>
          <w:tcPr>
            <w:tcW w:w="4644" w:type="dxa"/>
            <w:gridSpan w:val="2"/>
          </w:tcPr>
          <w:p w14:paraId="270DFE37" w14:textId="67E26D81" w:rsidR="008604D4" w:rsidRPr="0047544D" w:rsidRDefault="00943743" w:rsidP="007276E0">
            <w:pPr>
              <w:suppressAutoHyphens w:val="0"/>
              <w:rPr>
                <w:del w:id="13875" w:author="AbbVie_HU_03" w:date="2025-05-14T16:41:00Z"/>
                <w:szCs w:val="22"/>
              </w:rPr>
            </w:pPr>
            <w:del w:id="13876" w:author="AbbVie_HU_03" w:date="2025-05-14T16:41:00Z">
              <w:r w:rsidRPr="0047544D">
                <w:rPr>
                  <w:b/>
                  <w:bCs/>
                  <w:szCs w:val="22"/>
                </w:rPr>
                <w:delText xml:space="preserve">Hrvatska </w:delText>
              </w:r>
            </w:del>
          </w:p>
          <w:p w14:paraId="5EDE5A25" w14:textId="4B9C6E2C" w:rsidR="008604D4" w:rsidRPr="00BD646C" w:rsidRDefault="00943743" w:rsidP="007276E0">
            <w:pPr>
              <w:suppressAutoHyphens w:val="0"/>
              <w:rPr>
                <w:del w:id="13877" w:author="AbbVie_HU_03" w:date="2025-05-14T16:41:00Z"/>
                <w:szCs w:val="22"/>
                <w:lang w:val="hr-HR"/>
              </w:rPr>
            </w:pPr>
            <w:del w:id="13878" w:author="AbbVie_HU_03" w:date="2025-05-14T16:41:00Z">
              <w:r w:rsidRPr="00BD646C">
                <w:rPr>
                  <w:szCs w:val="22"/>
                  <w:lang w:val="hr-HR"/>
                </w:rPr>
                <w:delText>AbbVie d.o.o.</w:delText>
              </w:r>
            </w:del>
          </w:p>
          <w:p w14:paraId="1335394D" w14:textId="5629800D" w:rsidR="008604D4" w:rsidRPr="00BD646C" w:rsidRDefault="00943743" w:rsidP="007276E0">
            <w:pPr>
              <w:suppressAutoHyphens w:val="0"/>
              <w:rPr>
                <w:del w:id="13879" w:author="AbbVie_HU_03" w:date="2025-05-14T16:41:00Z"/>
                <w:bCs/>
                <w:szCs w:val="22"/>
                <w:lang w:val="it-IT"/>
              </w:rPr>
            </w:pPr>
            <w:del w:id="13880" w:author="AbbVie_HU_03" w:date="2025-05-14T16:41:00Z">
              <w:r w:rsidRPr="00BD646C">
                <w:rPr>
                  <w:szCs w:val="22"/>
                  <w:lang w:val="hr-HR"/>
                </w:rPr>
                <w:delText xml:space="preserve">Tel + 385 (0)1 </w:delText>
              </w:r>
              <w:r w:rsidRPr="00C70C5A">
                <w:rPr>
                  <w:szCs w:val="22"/>
                  <w:rPrChange w:id="13881" w:author="AbbVie_HU_04" w:date="2025-05-16T12:29:00Z">
                    <w:rPr>
                      <w:szCs w:val="22"/>
                      <w:lang w:val="en-US"/>
                    </w:rPr>
                  </w:rPrChange>
                </w:rPr>
                <w:delText>5625 501</w:delText>
              </w:r>
            </w:del>
          </w:p>
        </w:tc>
        <w:tc>
          <w:tcPr>
            <w:tcW w:w="4678" w:type="dxa"/>
          </w:tcPr>
          <w:p w14:paraId="7BE3FC1C" w14:textId="6B36699D" w:rsidR="008604D4" w:rsidRPr="00BD646C" w:rsidRDefault="00943743" w:rsidP="007276E0">
            <w:pPr>
              <w:suppressAutoHyphens w:val="0"/>
              <w:rPr>
                <w:del w:id="13882" w:author="AbbVie_HU_03" w:date="2025-05-14T16:41:00Z"/>
                <w:b/>
                <w:bCs/>
                <w:szCs w:val="22"/>
                <w:lang w:val="it-IT"/>
              </w:rPr>
            </w:pPr>
            <w:del w:id="13883" w:author="AbbVie_HU_03" w:date="2025-05-14T16:41:00Z">
              <w:r w:rsidRPr="00BD646C">
                <w:rPr>
                  <w:b/>
                  <w:bCs/>
                  <w:szCs w:val="22"/>
                  <w:lang w:val="it-IT"/>
                </w:rPr>
                <w:delText>România</w:delText>
              </w:r>
            </w:del>
          </w:p>
          <w:p w14:paraId="744BC6C3" w14:textId="0FC2BE9A" w:rsidR="008604D4" w:rsidRPr="00BD646C" w:rsidRDefault="00943743" w:rsidP="007276E0">
            <w:pPr>
              <w:suppressAutoHyphens w:val="0"/>
              <w:rPr>
                <w:del w:id="13884" w:author="AbbVie_HU_03" w:date="2025-05-14T16:41:00Z"/>
                <w:szCs w:val="22"/>
                <w:lang w:val="it-IT"/>
              </w:rPr>
            </w:pPr>
            <w:del w:id="13885" w:author="AbbVie_HU_03" w:date="2025-05-14T16:41:00Z">
              <w:r w:rsidRPr="00BD646C">
                <w:rPr>
                  <w:szCs w:val="22"/>
                  <w:lang w:val="it-IT"/>
                </w:rPr>
                <w:delText>AbbVie S.R.L.</w:delText>
              </w:r>
            </w:del>
          </w:p>
          <w:p w14:paraId="1A152C24" w14:textId="3131FE9F" w:rsidR="008604D4" w:rsidRPr="00BD646C" w:rsidRDefault="00943743" w:rsidP="007276E0">
            <w:pPr>
              <w:suppressAutoHyphens w:val="0"/>
              <w:rPr>
                <w:del w:id="13886" w:author="AbbVie_HU_03" w:date="2025-05-14T16:41:00Z"/>
                <w:szCs w:val="22"/>
                <w:lang w:val="pl-PL"/>
              </w:rPr>
            </w:pPr>
            <w:del w:id="13887" w:author="AbbVie_HU_03" w:date="2025-05-14T16:41:00Z">
              <w:r w:rsidRPr="00BD646C">
                <w:rPr>
                  <w:szCs w:val="22"/>
                  <w:lang w:val="pl-PL"/>
                </w:rPr>
                <w:delText>Tel: +40 21 529 30 35</w:delText>
              </w:r>
            </w:del>
          </w:p>
          <w:p w14:paraId="394B19F3" w14:textId="6601D999" w:rsidR="008604D4" w:rsidRPr="00BD646C" w:rsidRDefault="008604D4" w:rsidP="007276E0">
            <w:pPr>
              <w:suppressAutoHyphens w:val="0"/>
              <w:rPr>
                <w:del w:id="13888" w:author="AbbVie_HU_03" w:date="2025-05-14T16:41:00Z"/>
                <w:szCs w:val="22"/>
                <w:lang w:val="pl-PL"/>
              </w:rPr>
            </w:pPr>
          </w:p>
        </w:tc>
      </w:tr>
      <w:tr w:rsidR="00011D2F" w14:paraId="2AAD9A22" w14:textId="723C7950" w:rsidTr="001F79B0">
        <w:trPr>
          <w:gridBefore w:val="1"/>
          <w:wBefore w:w="34" w:type="dxa"/>
          <w:del w:id="13889" w:author="AbbVie_HU_03" w:date="2025-05-14T16:41:00Z"/>
        </w:trPr>
        <w:tc>
          <w:tcPr>
            <w:tcW w:w="4644" w:type="dxa"/>
            <w:gridSpan w:val="2"/>
          </w:tcPr>
          <w:p w14:paraId="5FB44E7E" w14:textId="62049765" w:rsidR="008604D4" w:rsidRPr="00BD646C" w:rsidRDefault="00943743" w:rsidP="007276E0">
            <w:pPr>
              <w:suppressAutoHyphens w:val="0"/>
              <w:rPr>
                <w:del w:id="13890" w:author="AbbVie_HU_03" w:date="2025-05-14T16:41:00Z"/>
                <w:b/>
                <w:bCs/>
                <w:szCs w:val="22"/>
                <w:lang w:val="sk-SK"/>
              </w:rPr>
            </w:pPr>
            <w:del w:id="13891" w:author="AbbVie_HU_03" w:date="2025-05-14T16:41:00Z">
              <w:r w:rsidRPr="00BD646C">
                <w:rPr>
                  <w:b/>
                  <w:bCs/>
                  <w:szCs w:val="22"/>
                  <w:lang w:val="sk-SK"/>
                </w:rPr>
                <w:delText>Ireland</w:delText>
              </w:r>
            </w:del>
          </w:p>
          <w:p w14:paraId="233420FA" w14:textId="22ABB5D3" w:rsidR="008604D4" w:rsidRPr="00BD646C" w:rsidRDefault="00943743" w:rsidP="007276E0">
            <w:pPr>
              <w:suppressAutoHyphens w:val="0"/>
              <w:rPr>
                <w:del w:id="13892" w:author="AbbVie_HU_03" w:date="2025-05-14T16:41:00Z"/>
                <w:bCs/>
                <w:szCs w:val="22"/>
                <w:lang w:val="sk-SK"/>
              </w:rPr>
            </w:pPr>
            <w:del w:id="13893" w:author="AbbVie_HU_03" w:date="2025-05-14T16:41:00Z">
              <w:r w:rsidRPr="00BD646C">
                <w:rPr>
                  <w:bCs/>
                  <w:szCs w:val="22"/>
                  <w:lang w:val="sk-SK"/>
                </w:rPr>
                <w:delText xml:space="preserve">AbbVie Limited </w:delText>
              </w:r>
            </w:del>
          </w:p>
          <w:p w14:paraId="21E1CB33" w14:textId="1C39F23F" w:rsidR="008604D4" w:rsidRPr="00BD646C" w:rsidRDefault="00943743" w:rsidP="007276E0">
            <w:pPr>
              <w:suppressAutoHyphens w:val="0"/>
              <w:rPr>
                <w:del w:id="13894" w:author="AbbVie_HU_03" w:date="2025-05-14T16:41:00Z"/>
                <w:bCs/>
                <w:szCs w:val="22"/>
                <w:lang w:val="sk-SK"/>
              </w:rPr>
            </w:pPr>
            <w:del w:id="13895" w:author="AbbVie_HU_03" w:date="2025-05-14T16:41:00Z">
              <w:r w:rsidRPr="00BD646C">
                <w:rPr>
                  <w:bCs/>
                  <w:szCs w:val="22"/>
                  <w:lang w:val="pt-PT"/>
                </w:rPr>
                <w:delText>Tel: +353 (0)1 428790</w:delText>
              </w:r>
              <w:r w:rsidR="001C51F1">
                <w:rPr>
                  <w:bCs/>
                  <w:szCs w:val="22"/>
                  <w:lang w:val="pt-PT"/>
                </w:rPr>
                <w:delText>0</w:delText>
              </w:r>
            </w:del>
          </w:p>
        </w:tc>
        <w:tc>
          <w:tcPr>
            <w:tcW w:w="4678" w:type="dxa"/>
          </w:tcPr>
          <w:p w14:paraId="6E3D15BA" w14:textId="3AA117B7" w:rsidR="008604D4" w:rsidRPr="00BD646C" w:rsidRDefault="00943743" w:rsidP="007276E0">
            <w:pPr>
              <w:suppressAutoHyphens w:val="0"/>
              <w:rPr>
                <w:del w:id="13896" w:author="AbbVie_HU_03" w:date="2025-05-14T16:41:00Z"/>
                <w:b/>
                <w:bCs/>
                <w:szCs w:val="22"/>
                <w:lang w:val="sl-SI"/>
              </w:rPr>
            </w:pPr>
            <w:del w:id="13897" w:author="AbbVie_HU_03" w:date="2025-05-14T16:41:00Z">
              <w:r w:rsidRPr="00BD646C">
                <w:rPr>
                  <w:b/>
                  <w:bCs/>
                  <w:szCs w:val="22"/>
                  <w:lang w:val="sl-SI"/>
                </w:rPr>
                <w:delText>Slovenija</w:delText>
              </w:r>
            </w:del>
          </w:p>
          <w:p w14:paraId="3877753C" w14:textId="3644C4E3" w:rsidR="008604D4" w:rsidRPr="00BD646C" w:rsidRDefault="00943743" w:rsidP="007276E0">
            <w:pPr>
              <w:suppressAutoHyphens w:val="0"/>
              <w:rPr>
                <w:del w:id="13898" w:author="AbbVie_HU_03" w:date="2025-05-14T16:41:00Z"/>
                <w:bCs/>
                <w:szCs w:val="22"/>
                <w:lang w:val="sl-SI"/>
              </w:rPr>
            </w:pPr>
            <w:del w:id="13899" w:author="AbbVie_HU_03" w:date="2025-05-14T16:41:00Z">
              <w:r w:rsidRPr="00BD646C">
                <w:rPr>
                  <w:bCs/>
                  <w:szCs w:val="22"/>
                  <w:lang w:val="sl-SI"/>
                </w:rPr>
                <w:delText xml:space="preserve">AbbVie </w:delText>
              </w:r>
              <w:r w:rsidRPr="00BD646C">
                <w:rPr>
                  <w:szCs w:val="22"/>
                  <w:lang w:val="sl-SI"/>
                </w:rPr>
                <w:delText>Biofarmacevtska družba d.o.o.</w:delText>
              </w:r>
            </w:del>
          </w:p>
          <w:p w14:paraId="59D95197" w14:textId="0B1E7F06" w:rsidR="008604D4" w:rsidRPr="00BD646C" w:rsidRDefault="00943743" w:rsidP="007276E0">
            <w:pPr>
              <w:suppressAutoHyphens w:val="0"/>
              <w:rPr>
                <w:del w:id="13900" w:author="AbbVie_HU_03" w:date="2025-05-14T16:41:00Z"/>
                <w:bCs/>
                <w:szCs w:val="22"/>
                <w:lang w:val="sl-SI"/>
              </w:rPr>
            </w:pPr>
            <w:del w:id="13901" w:author="AbbVie_HU_03" w:date="2025-05-14T16:41:00Z">
              <w:r w:rsidRPr="00BD646C">
                <w:rPr>
                  <w:bCs/>
                  <w:szCs w:val="22"/>
                  <w:lang w:val="sl-SI"/>
                </w:rPr>
                <w:delText>Tel: +386 (1)32 08 060</w:delText>
              </w:r>
            </w:del>
          </w:p>
          <w:p w14:paraId="011C030C" w14:textId="2BFBB431" w:rsidR="008604D4" w:rsidRPr="00BD646C" w:rsidRDefault="008604D4" w:rsidP="007276E0">
            <w:pPr>
              <w:suppressAutoHyphens w:val="0"/>
              <w:rPr>
                <w:del w:id="13902" w:author="AbbVie_HU_03" w:date="2025-05-14T16:41:00Z"/>
                <w:bCs/>
                <w:szCs w:val="22"/>
                <w:lang w:val="sl-SI"/>
              </w:rPr>
            </w:pPr>
          </w:p>
        </w:tc>
      </w:tr>
      <w:tr w:rsidR="00011D2F" w14:paraId="37FD0947" w14:textId="62F46B50" w:rsidTr="001F79B0">
        <w:trPr>
          <w:gridBefore w:val="1"/>
          <w:wBefore w:w="34" w:type="dxa"/>
          <w:del w:id="13903" w:author="AbbVie_HU_03" w:date="2025-05-14T16:41:00Z"/>
        </w:trPr>
        <w:tc>
          <w:tcPr>
            <w:tcW w:w="4644" w:type="dxa"/>
            <w:gridSpan w:val="2"/>
          </w:tcPr>
          <w:p w14:paraId="60FEDBB9" w14:textId="4743C3F8" w:rsidR="008604D4" w:rsidRPr="00BD646C" w:rsidRDefault="00943743" w:rsidP="007276E0">
            <w:pPr>
              <w:suppressAutoHyphens w:val="0"/>
              <w:rPr>
                <w:del w:id="13904" w:author="AbbVie_HU_03" w:date="2025-05-14T16:41:00Z"/>
                <w:b/>
                <w:bCs/>
                <w:szCs w:val="22"/>
                <w:lang w:val="is-IS"/>
              </w:rPr>
            </w:pPr>
            <w:del w:id="13905" w:author="AbbVie_HU_03" w:date="2025-05-14T16:41:00Z">
              <w:r w:rsidRPr="00BD646C">
                <w:rPr>
                  <w:b/>
                  <w:bCs/>
                  <w:szCs w:val="22"/>
                  <w:lang w:val="is-IS"/>
                </w:rPr>
                <w:delText>Ísland</w:delText>
              </w:r>
            </w:del>
          </w:p>
          <w:p w14:paraId="2C403797" w14:textId="6101741B" w:rsidR="008604D4" w:rsidRPr="00BD646C" w:rsidRDefault="00943743" w:rsidP="007276E0">
            <w:pPr>
              <w:suppressAutoHyphens w:val="0"/>
              <w:rPr>
                <w:del w:id="13906" w:author="AbbVie_HU_03" w:date="2025-05-14T16:41:00Z"/>
                <w:bCs/>
                <w:szCs w:val="22"/>
                <w:lang w:val="sk-SK"/>
              </w:rPr>
            </w:pPr>
            <w:del w:id="13907" w:author="AbbVie_HU_03" w:date="2025-05-14T16:41:00Z">
              <w:r w:rsidRPr="00BD646C">
                <w:rPr>
                  <w:bCs/>
                  <w:szCs w:val="22"/>
                  <w:lang w:val="sk-SK"/>
                </w:rPr>
                <w:delText>Vistor hf.</w:delText>
              </w:r>
            </w:del>
          </w:p>
          <w:p w14:paraId="36A162E3" w14:textId="3EE32AE0" w:rsidR="008604D4" w:rsidRPr="00BD646C" w:rsidRDefault="00943743" w:rsidP="007276E0">
            <w:pPr>
              <w:suppressAutoHyphens w:val="0"/>
              <w:rPr>
                <w:del w:id="13908" w:author="AbbVie_HU_03" w:date="2025-05-14T16:41:00Z"/>
                <w:bCs/>
                <w:szCs w:val="22"/>
                <w:lang w:val="sk-SK"/>
              </w:rPr>
            </w:pPr>
            <w:del w:id="13909" w:author="AbbVie_HU_03" w:date="2025-05-14T16:41:00Z">
              <w:r w:rsidRPr="00BD646C">
                <w:rPr>
                  <w:bCs/>
                  <w:szCs w:val="22"/>
                  <w:lang w:val="sk-SK"/>
                </w:rPr>
                <w:delText>Tel: +354 535 7000</w:delText>
              </w:r>
            </w:del>
          </w:p>
        </w:tc>
        <w:tc>
          <w:tcPr>
            <w:tcW w:w="4678" w:type="dxa"/>
          </w:tcPr>
          <w:p w14:paraId="685B7FCB" w14:textId="4D3FF0FC" w:rsidR="008604D4" w:rsidRPr="00BD646C" w:rsidRDefault="00943743" w:rsidP="007276E0">
            <w:pPr>
              <w:suppressAutoHyphens w:val="0"/>
              <w:rPr>
                <w:del w:id="13910" w:author="AbbVie_HU_03" w:date="2025-05-14T16:41:00Z"/>
                <w:b/>
                <w:bCs/>
                <w:szCs w:val="22"/>
                <w:lang w:val="sk-SK"/>
              </w:rPr>
            </w:pPr>
            <w:del w:id="13911" w:author="AbbVie_HU_03" w:date="2025-05-14T16:41:00Z">
              <w:r w:rsidRPr="00BD646C">
                <w:rPr>
                  <w:b/>
                  <w:bCs/>
                  <w:szCs w:val="22"/>
                  <w:lang w:val="sk-SK"/>
                </w:rPr>
                <w:delText>Slovenská republika</w:delText>
              </w:r>
            </w:del>
          </w:p>
          <w:p w14:paraId="19428D14" w14:textId="6D15EAC7" w:rsidR="008604D4" w:rsidRPr="00BD646C" w:rsidRDefault="00943743" w:rsidP="007276E0">
            <w:pPr>
              <w:suppressAutoHyphens w:val="0"/>
              <w:rPr>
                <w:del w:id="13912" w:author="AbbVie_HU_03" w:date="2025-05-14T16:41:00Z"/>
                <w:bCs/>
                <w:szCs w:val="22"/>
                <w:lang w:val="sk-SK"/>
              </w:rPr>
            </w:pPr>
            <w:del w:id="13913" w:author="AbbVie_HU_03" w:date="2025-05-14T16:41:00Z">
              <w:r w:rsidRPr="00BD646C">
                <w:rPr>
                  <w:bCs/>
                  <w:szCs w:val="22"/>
                  <w:lang w:val="sk-SK"/>
                </w:rPr>
                <w:delText>AbbVie s.r.o.</w:delText>
              </w:r>
            </w:del>
          </w:p>
          <w:p w14:paraId="292AF52F" w14:textId="507EBEB3" w:rsidR="008604D4" w:rsidRPr="00BD646C" w:rsidRDefault="00943743" w:rsidP="007276E0">
            <w:pPr>
              <w:suppressAutoHyphens w:val="0"/>
              <w:rPr>
                <w:del w:id="13914" w:author="AbbVie_HU_03" w:date="2025-05-14T16:41:00Z"/>
                <w:bCs/>
                <w:szCs w:val="22"/>
                <w:lang w:val="sk-SK"/>
              </w:rPr>
            </w:pPr>
            <w:del w:id="13915" w:author="AbbVie_HU_03" w:date="2025-05-14T16:41:00Z">
              <w:r w:rsidRPr="00BD646C">
                <w:rPr>
                  <w:bCs/>
                  <w:szCs w:val="22"/>
                  <w:lang w:val="sk-SK"/>
                </w:rPr>
                <w:delText>Tel: +421 2 5050 0777</w:delText>
              </w:r>
            </w:del>
          </w:p>
          <w:p w14:paraId="700CD966" w14:textId="2966AC80" w:rsidR="008604D4" w:rsidRPr="00BD646C" w:rsidRDefault="008604D4" w:rsidP="007276E0">
            <w:pPr>
              <w:suppressAutoHyphens w:val="0"/>
              <w:rPr>
                <w:del w:id="13916" w:author="AbbVie_HU_03" w:date="2025-05-14T16:41:00Z"/>
                <w:bCs/>
                <w:szCs w:val="22"/>
                <w:lang w:val="sk-SK"/>
              </w:rPr>
            </w:pPr>
          </w:p>
        </w:tc>
      </w:tr>
      <w:tr w:rsidR="00011D2F" w14:paraId="618B37A8" w14:textId="4506B9A4" w:rsidTr="001F79B0">
        <w:trPr>
          <w:gridBefore w:val="1"/>
          <w:wBefore w:w="34" w:type="dxa"/>
          <w:del w:id="13917" w:author="AbbVie_HU_03" w:date="2025-05-14T16:41:00Z"/>
        </w:trPr>
        <w:tc>
          <w:tcPr>
            <w:tcW w:w="4644" w:type="dxa"/>
            <w:gridSpan w:val="2"/>
          </w:tcPr>
          <w:p w14:paraId="0159BFF0" w14:textId="1D8F88B4" w:rsidR="008604D4" w:rsidRPr="00BD646C" w:rsidRDefault="00943743" w:rsidP="007276E0">
            <w:pPr>
              <w:suppressAutoHyphens w:val="0"/>
              <w:rPr>
                <w:del w:id="13918" w:author="AbbVie_HU_03" w:date="2025-05-14T16:41:00Z"/>
                <w:b/>
                <w:bCs/>
                <w:szCs w:val="22"/>
                <w:lang w:val="it-IT"/>
              </w:rPr>
            </w:pPr>
            <w:del w:id="13919" w:author="AbbVie_HU_03" w:date="2025-05-14T16:41:00Z">
              <w:r w:rsidRPr="00BD646C">
                <w:rPr>
                  <w:b/>
                  <w:bCs/>
                  <w:szCs w:val="22"/>
                  <w:lang w:val="it-IT"/>
                </w:rPr>
                <w:delText>Italia</w:delText>
              </w:r>
            </w:del>
          </w:p>
          <w:p w14:paraId="6B25172D" w14:textId="03BA5D7C" w:rsidR="008604D4" w:rsidRPr="00BD646C" w:rsidRDefault="00943743" w:rsidP="007276E0">
            <w:pPr>
              <w:suppressAutoHyphens w:val="0"/>
              <w:rPr>
                <w:del w:id="13920" w:author="AbbVie_HU_03" w:date="2025-05-14T16:41:00Z"/>
                <w:bCs/>
                <w:szCs w:val="22"/>
                <w:lang w:val="pt-PT"/>
              </w:rPr>
            </w:pPr>
            <w:del w:id="13921" w:author="AbbVie_HU_03" w:date="2025-05-14T16:41:00Z">
              <w:r w:rsidRPr="00BD646C">
                <w:rPr>
                  <w:bCs/>
                  <w:szCs w:val="22"/>
                  <w:lang w:val="pt-PT"/>
                </w:rPr>
                <w:delText xml:space="preserve">AbbVie S.r.l. </w:delText>
              </w:r>
            </w:del>
          </w:p>
          <w:p w14:paraId="08F71403" w14:textId="015AF128" w:rsidR="008604D4" w:rsidRPr="00BD646C" w:rsidRDefault="00943743" w:rsidP="007276E0">
            <w:pPr>
              <w:suppressAutoHyphens w:val="0"/>
              <w:rPr>
                <w:del w:id="13922" w:author="AbbVie_HU_03" w:date="2025-05-14T16:41:00Z"/>
                <w:bCs/>
                <w:szCs w:val="22"/>
                <w:lang w:val="fi-FI"/>
              </w:rPr>
            </w:pPr>
            <w:del w:id="13923" w:author="AbbVie_HU_03" w:date="2025-05-14T16:41:00Z">
              <w:r w:rsidRPr="00C70C5A">
                <w:rPr>
                  <w:szCs w:val="22"/>
                  <w:rPrChange w:id="13924" w:author="AbbVie_HU_04" w:date="2025-05-16T12:29:00Z">
                    <w:rPr>
                      <w:bCs/>
                      <w:szCs w:val="22"/>
                      <w:lang w:val="fr-FR"/>
                    </w:rPr>
                  </w:rPrChange>
                </w:rPr>
                <w:delText>Tel: +39 06 928921</w:delText>
              </w:r>
            </w:del>
          </w:p>
        </w:tc>
        <w:tc>
          <w:tcPr>
            <w:tcW w:w="4678" w:type="dxa"/>
          </w:tcPr>
          <w:p w14:paraId="09C75D15" w14:textId="3B8696AB" w:rsidR="008604D4" w:rsidRPr="00BD646C" w:rsidRDefault="00943743" w:rsidP="007276E0">
            <w:pPr>
              <w:suppressAutoHyphens w:val="0"/>
              <w:rPr>
                <w:del w:id="13925" w:author="AbbVie_HU_03" w:date="2025-05-14T16:41:00Z"/>
                <w:b/>
                <w:bCs/>
                <w:szCs w:val="22"/>
                <w:lang w:val="fi-FI"/>
              </w:rPr>
            </w:pPr>
            <w:del w:id="13926" w:author="AbbVie_HU_03" w:date="2025-05-14T16:41:00Z">
              <w:r w:rsidRPr="00BD646C">
                <w:rPr>
                  <w:b/>
                  <w:bCs/>
                  <w:szCs w:val="22"/>
                  <w:lang w:val="fi-FI"/>
                </w:rPr>
                <w:delText>Suomi/Finland</w:delText>
              </w:r>
            </w:del>
          </w:p>
          <w:p w14:paraId="404AA5A0" w14:textId="2DEF4395" w:rsidR="008604D4" w:rsidRPr="00BD646C" w:rsidRDefault="00943743" w:rsidP="007276E0">
            <w:pPr>
              <w:suppressAutoHyphens w:val="0"/>
              <w:rPr>
                <w:del w:id="13927" w:author="AbbVie_HU_03" w:date="2025-05-14T16:41:00Z"/>
                <w:bCs/>
                <w:szCs w:val="22"/>
                <w:lang w:val="de-CH"/>
              </w:rPr>
            </w:pPr>
            <w:del w:id="13928" w:author="AbbVie_HU_03" w:date="2025-05-14T16:41:00Z">
              <w:r w:rsidRPr="00BD646C">
                <w:rPr>
                  <w:bCs/>
                  <w:szCs w:val="22"/>
                  <w:lang w:val="sk-SK"/>
                </w:rPr>
                <w:delText>AbbVie Oy</w:delText>
              </w:r>
            </w:del>
          </w:p>
          <w:p w14:paraId="0AC0D168" w14:textId="5EB85545" w:rsidR="008604D4" w:rsidRPr="00BD646C" w:rsidRDefault="00943743" w:rsidP="007276E0">
            <w:pPr>
              <w:suppressAutoHyphens w:val="0"/>
              <w:rPr>
                <w:del w:id="13929" w:author="AbbVie_HU_03" w:date="2025-05-14T16:41:00Z"/>
                <w:bCs/>
                <w:szCs w:val="22"/>
                <w:lang w:val="sk-SK"/>
              </w:rPr>
            </w:pPr>
            <w:del w:id="13930" w:author="AbbVie_HU_03" w:date="2025-05-14T16:41:00Z">
              <w:r w:rsidRPr="00BD646C">
                <w:rPr>
                  <w:bCs/>
                  <w:szCs w:val="22"/>
                  <w:lang w:val="sk-SK"/>
                </w:rPr>
                <w:delText>Puh/Tel: +358 (0)10 2411 200</w:delText>
              </w:r>
            </w:del>
          </w:p>
          <w:p w14:paraId="222E33F0" w14:textId="60AC174C" w:rsidR="008604D4" w:rsidRPr="00BD646C" w:rsidRDefault="008604D4" w:rsidP="007276E0">
            <w:pPr>
              <w:suppressAutoHyphens w:val="0"/>
              <w:rPr>
                <w:del w:id="13931" w:author="AbbVie_HU_03" w:date="2025-05-14T16:41:00Z"/>
                <w:szCs w:val="22"/>
                <w:lang w:val="sk-SK"/>
              </w:rPr>
            </w:pPr>
          </w:p>
        </w:tc>
      </w:tr>
      <w:tr w:rsidR="00011D2F" w14:paraId="40DB2A3D" w14:textId="10E8D74C" w:rsidTr="001F79B0">
        <w:trPr>
          <w:gridBefore w:val="1"/>
          <w:wBefore w:w="34" w:type="dxa"/>
          <w:cantSplit/>
          <w:trHeight w:val="887"/>
          <w:del w:id="13932" w:author="AbbVie_HU_03" w:date="2025-05-14T16:41:00Z"/>
        </w:trPr>
        <w:tc>
          <w:tcPr>
            <w:tcW w:w="4644" w:type="dxa"/>
            <w:gridSpan w:val="2"/>
          </w:tcPr>
          <w:p w14:paraId="34E30E16" w14:textId="373563BB" w:rsidR="008604D4" w:rsidRPr="00BD646C" w:rsidRDefault="00943743" w:rsidP="007276E0">
            <w:pPr>
              <w:suppressAutoHyphens w:val="0"/>
              <w:rPr>
                <w:del w:id="13933" w:author="AbbVie_HU_03" w:date="2025-05-14T16:41:00Z"/>
                <w:b/>
                <w:bCs/>
                <w:szCs w:val="22"/>
                <w:lang w:val="el-GR"/>
              </w:rPr>
            </w:pPr>
            <w:del w:id="13934" w:author="AbbVie_HU_03" w:date="2025-05-14T16:41:00Z">
              <w:r w:rsidRPr="00BD646C">
                <w:rPr>
                  <w:b/>
                  <w:bCs/>
                  <w:szCs w:val="22"/>
                  <w:lang w:val="el-GR"/>
                </w:rPr>
                <w:delText>Κύπρος</w:delText>
              </w:r>
            </w:del>
          </w:p>
          <w:p w14:paraId="05A0249B" w14:textId="368B5306" w:rsidR="008604D4" w:rsidRPr="00BD646C" w:rsidRDefault="00943743" w:rsidP="007276E0">
            <w:pPr>
              <w:suppressAutoHyphens w:val="0"/>
              <w:rPr>
                <w:del w:id="13935" w:author="AbbVie_HU_03" w:date="2025-05-14T16:41:00Z"/>
                <w:bCs/>
                <w:szCs w:val="22"/>
                <w:lang w:val="el-GR"/>
              </w:rPr>
            </w:pPr>
            <w:del w:id="13936" w:author="AbbVie_HU_03" w:date="2025-05-14T16:41:00Z">
              <w:r w:rsidRPr="00BD646C">
                <w:rPr>
                  <w:bCs/>
                  <w:szCs w:val="22"/>
                  <w:lang w:val="sk-SK"/>
                </w:rPr>
                <w:delText xml:space="preserve">Lifepharma (Z.A.M.) </w:delText>
              </w:r>
              <w:r w:rsidRPr="00BD646C">
                <w:rPr>
                  <w:bCs/>
                  <w:szCs w:val="22"/>
                  <w:lang w:val="it-IT"/>
                </w:rPr>
                <w:delText>Ltd</w:delText>
              </w:r>
            </w:del>
          </w:p>
          <w:p w14:paraId="6BA91424" w14:textId="152668C7" w:rsidR="008604D4" w:rsidRPr="00BD646C" w:rsidRDefault="00943743" w:rsidP="007276E0">
            <w:pPr>
              <w:suppressAutoHyphens w:val="0"/>
              <w:rPr>
                <w:del w:id="13937" w:author="AbbVie_HU_03" w:date="2025-05-14T16:41:00Z"/>
                <w:bCs/>
                <w:szCs w:val="22"/>
                <w:lang w:val="lv-LV"/>
              </w:rPr>
            </w:pPr>
            <w:del w:id="13938" w:author="AbbVie_HU_03" w:date="2025-05-14T16:41:00Z">
              <w:r w:rsidRPr="00BD646C">
                <w:rPr>
                  <w:bCs/>
                  <w:szCs w:val="22"/>
                  <w:lang w:val="el-GR"/>
                </w:rPr>
                <w:delText>Τηλ.: +357 22 34 74 40</w:delText>
              </w:r>
            </w:del>
          </w:p>
        </w:tc>
        <w:tc>
          <w:tcPr>
            <w:tcW w:w="4678" w:type="dxa"/>
          </w:tcPr>
          <w:p w14:paraId="50768E02" w14:textId="5866E36F" w:rsidR="008604D4" w:rsidRPr="00BD646C" w:rsidRDefault="00943743" w:rsidP="007276E0">
            <w:pPr>
              <w:suppressAutoHyphens w:val="0"/>
              <w:rPr>
                <w:del w:id="13939" w:author="AbbVie_HU_03" w:date="2025-05-14T16:41:00Z"/>
                <w:b/>
                <w:bCs/>
                <w:szCs w:val="22"/>
                <w:lang w:val="sk-SK"/>
              </w:rPr>
            </w:pPr>
            <w:del w:id="13940" w:author="AbbVie_HU_03" w:date="2025-05-14T16:41:00Z">
              <w:r w:rsidRPr="00BD646C">
                <w:rPr>
                  <w:b/>
                  <w:bCs/>
                  <w:szCs w:val="22"/>
                  <w:lang w:val="sk-SK"/>
                </w:rPr>
                <w:delText>Sverige</w:delText>
              </w:r>
            </w:del>
          </w:p>
          <w:p w14:paraId="6F32AFFA" w14:textId="129B8C65" w:rsidR="008604D4" w:rsidRPr="00BD646C" w:rsidRDefault="00943743" w:rsidP="007276E0">
            <w:pPr>
              <w:suppressAutoHyphens w:val="0"/>
              <w:rPr>
                <w:del w:id="13941" w:author="AbbVie_HU_03" w:date="2025-05-14T16:41:00Z"/>
                <w:bCs/>
                <w:szCs w:val="22"/>
                <w:lang w:val="pt-PT"/>
              </w:rPr>
            </w:pPr>
            <w:del w:id="13942" w:author="AbbVie_HU_03" w:date="2025-05-14T16:41:00Z">
              <w:r w:rsidRPr="00BD646C">
                <w:rPr>
                  <w:bCs/>
                  <w:szCs w:val="22"/>
                  <w:lang w:val="pt-PT"/>
                </w:rPr>
                <w:delText>AbbVie AB</w:delText>
              </w:r>
            </w:del>
          </w:p>
          <w:p w14:paraId="0695EE14" w14:textId="7EF4D052" w:rsidR="008604D4" w:rsidRPr="00BD646C" w:rsidRDefault="00943743" w:rsidP="007276E0">
            <w:pPr>
              <w:suppressAutoHyphens w:val="0"/>
              <w:rPr>
                <w:del w:id="13943" w:author="AbbVie_HU_03" w:date="2025-05-14T16:41:00Z"/>
                <w:bCs/>
                <w:szCs w:val="22"/>
                <w:lang w:val="sk-SK"/>
              </w:rPr>
            </w:pPr>
            <w:del w:id="13944" w:author="AbbVie_HU_03" w:date="2025-05-14T16:41:00Z">
              <w:r w:rsidRPr="00BD646C">
                <w:rPr>
                  <w:bCs/>
                  <w:szCs w:val="22"/>
                  <w:lang w:val="da-DK"/>
                </w:rPr>
                <w:delText>Tel: +46 (0)8 684 44 600</w:delText>
              </w:r>
            </w:del>
          </w:p>
        </w:tc>
      </w:tr>
      <w:tr w:rsidR="00011D2F" w14:paraId="77B6A987" w14:textId="71B7895D" w:rsidTr="001F79B0">
        <w:trPr>
          <w:gridBefore w:val="1"/>
          <w:wBefore w:w="34" w:type="dxa"/>
          <w:cantSplit/>
          <w:trHeight w:val="761"/>
          <w:del w:id="13945" w:author="AbbVie_HU_03" w:date="2025-05-14T16:41:00Z"/>
        </w:trPr>
        <w:tc>
          <w:tcPr>
            <w:tcW w:w="4644" w:type="dxa"/>
            <w:gridSpan w:val="2"/>
          </w:tcPr>
          <w:p w14:paraId="32F0501C" w14:textId="1E36371D" w:rsidR="008604D4" w:rsidRPr="00BD646C" w:rsidRDefault="00943743" w:rsidP="007276E0">
            <w:pPr>
              <w:suppressAutoHyphens w:val="0"/>
              <w:rPr>
                <w:del w:id="13946" w:author="AbbVie_HU_03" w:date="2025-05-14T16:41:00Z"/>
                <w:b/>
                <w:bCs/>
                <w:szCs w:val="22"/>
                <w:lang w:val="lv-LV"/>
              </w:rPr>
            </w:pPr>
            <w:del w:id="13947" w:author="AbbVie_HU_03" w:date="2025-05-14T16:41:00Z">
              <w:r w:rsidRPr="00BD646C">
                <w:rPr>
                  <w:b/>
                  <w:bCs/>
                  <w:szCs w:val="22"/>
                  <w:lang w:val="lv-LV"/>
                </w:rPr>
                <w:delText>Latvija</w:delText>
              </w:r>
            </w:del>
          </w:p>
          <w:p w14:paraId="483E15DE" w14:textId="41917FFC" w:rsidR="008604D4" w:rsidRPr="00BD646C" w:rsidRDefault="00943743" w:rsidP="007276E0">
            <w:pPr>
              <w:suppressAutoHyphens w:val="0"/>
              <w:rPr>
                <w:del w:id="13948" w:author="AbbVie_HU_03" w:date="2025-05-14T16:41:00Z"/>
                <w:bCs/>
                <w:szCs w:val="22"/>
                <w:lang w:val="lv-LV"/>
              </w:rPr>
            </w:pPr>
            <w:del w:id="13949" w:author="AbbVie_HU_03" w:date="2025-05-14T16:41:00Z">
              <w:r w:rsidRPr="00BD646C">
                <w:rPr>
                  <w:bCs/>
                  <w:szCs w:val="22"/>
                  <w:lang w:val="lv-LV"/>
                </w:rPr>
                <w:delText xml:space="preserve">AbbVie SIA </w:delText>
              </w:r>
            </w:del>
          </w:p>
          <w:p w14:paraId="10D9BB5F" w14:textId="261FEF66" w:rsidR="008604D4" w:rsidRPr="00BD646C" w:rsidRDefault="00943743" w:rsidP="007276E0">
            <w:pPr>
              <w:suppressAutoHyphens w:val="0"/>
              <w:rPr>
                <w:del w:id="13950" w:author="AbbVie_HU_03" w:date="2025-05-14T16:41:00Z"/>
                <w:bCs/>
                <w:szCs w:val="22"/>
                <w:lang w:val="lv-LV"/>
              </w:rPr>
            </w:pPr>
            <w:del w:id="13951" w:author="AbbVie_HU_03" w:date="2025-05-14T16:41:00Z">
              <w:r w:rsidRPr="00BD646C">
                <w:rPr>
                  <w:bCs/>
                  <w:szCs w:val="22"/>
                  <w:lang w:val="lv-LV"/>
                </w:rPr>
                <w:delText>Tel: +371 67605000</w:delText>
              </w:r>
            </w:del>
          </w:p>
        </w:tc>
        <w:tc>
          <w:tcPr>
            <w:tcW w:w="4678" w:type="dxa"/>
          </w:tcPr>
          <w:p w14:paraId="42A965E4" w14:textId="322FE02A" w:rsidR="008604D4" w:rsidRPr="00BD646C" w:rsidRDefault="008604D4" w:rsidP="007276E0">
            <w:pPr>
              <w:suppressAutoHyphens w:val="0"/>
              <w:rPr>
                <w:del w:id="13952" w:author="AbbVie_HU_03" w:date="2025-05-14T16:41:00Z"/>
                <w:b/>
                <w:bCs/>
                <w:szCs w:val="22"/>
                <w:lang w:val="sk-SK"/>
              </w:rPr>
            </w:pPr>
          </w:p>
        </w:tc>
      </w:tr>
    </w:tbl>
    <w:p w14:paraId="359287BF" w14:textId="291DBA62" w:rsidR="00DC4FF8" w:rsidRPr="00183B5F" w:rsidRDefault="00DC4FF8" w:rsidP="007276E0">
      <w:pPr>
        <w:spacing w:line="240" w:lineRule="auto"/>
        <w:ind w:right="-2"/>
        <w:rPr>
          <w:del w:id="13953" w:author="AbbVie_HU_03" w:date="2025-05-14T16:41:00Z"/>
          <w:b/>
          <w:szCs w:val="22"/>
        </w:rPr>
      </w:pPr>
    </w:p>
    <w:p w14:paraId="516E6CD9" w14:textId="3FACCBA4" w:rsidR="00FB6710" w:rsidRPr="00183B5F" w:rsidRDefault="00943743" w:rsidP="007276E0">
      <w:pPr>
        <w:keepNext/>
        <w:spacing w:line="240" w:lineRule="auto"/>
        <w:ind w:right="-2"/>
        <w:rPr>
          <w:del w:id="13954" w:author="AbbVie_HU_03" w:date="2025-05-14T16:41:00Z"/>
          <w:b/>
          <w:szCs w:val="22"/>
        </w:rPr>
      </w:pPr>
      <w:del w:id="13955" w:author="AbbVie_HU_03" w:date="2025-05-14T16:41:00Z">
        <w:r w:rsidRPr="00183B5F">
          <w:rPr>
            <w:b/>
            <w:szCs w:val="22"/>
          </w:rPr>
          <w:delText xml:space="preserve">A betegtájékoztató </w:delText>
        </w:r>
        <w:r w:rsidR="00F265C6" w:rsidRPr="00183B5F">
          <w:rPr>
            <w:b/>
            <w:noProof/>
            <w:szCs w:val="24"/>
          </w:rPr>
          <w:delText>legutóbbi felülvizsgálatának</w:delText>
        </w:r>
        <w:r w:rsidR="00F265C6" w:rsidRPr="00183B5F">
          <w:rPr>
            <w:b/>
            <w:szCs w:val="24"/>
          </w:rPr>
          <w:delText xml:space="preserve"> </w:delText>
        </w:r>
        <w:r w:rsidRPr="00183B5F">
          <w:rPr>
            <w:b/>
            <w:szCs w:val="22"/>
          </w:rPr>
          <w:delText>dátuma:</w:delText>
        </w:r>
      </w:del>
    </w:p>
    <w:p w14:paraId="14529F18" w14:textId="630D3362" w:rsidR="00FB6710" w:rsidRPr="00183B5F" w:rsidRDefault="00FB6710" w:rsidP="007276E0">
      <w:pPr>
        <w:keepNext/>
        <w:spacing w:line="240" w:lineRule="auto"/>
        <w:ind w:right="-3"/>
        <w:rPr>
          <w:del w:id="13956" w:author="AbbVie_HU_03" w:date="2025-05-14T16:41:00Z"/>
          <w:szCs w:val="22"/>
        </w:rPr>
      </w:pPr>
    </w:p>
    <w:p w14:paraId="40AE2287" w14:textId="1A541D23" w:rsidR="00C507DB" w:rsidRPr="00183B5F" w:rsidRDefault="00943743" w:rsidP="007276E0">
      <w:pPr>
        <w:keepNext/>
        <w:spacing w:line="240" w:lineRule="auto"/>
        <w:ind w:right="-3"/>
        <w:rPr>
          <w:del w:id="13957" w:author="AbbVie_HU_03" w:date="2025-05-14T16:41:00Z"/>
          <w:i/>
          <w:iCs/>
          <w:snapToGrid w:val="0"/>
          <w:lang w:eastAsia="en-GB"/>
        </w:rPr>
      </w:pPr>
      <w:del w:id="13958" w:author="AbbVie_HU_03" w:date="2025-05-14T16:41:00Z">
        <w:r w:rsidRPr="00183B5F">
          <w:rPr>
            <w:snapToGrid w:val="0"/>
            <w:lang w:eastAsia="en-GB"/>
          </w:rPr>
          <w:delText>A gyógyszerről részletes információ az Európai Gyógyszerügynökség internetes honlapján (</w:delText>
        </w:r>
        <w:r w:rsidRPr="00183B5F">
          <w:rPr>
            <w:color w:val="0000FF"/>
          </w:rPr>
          <w:delText>http://www.ema.europa.eu/</w:delText>
        </w:r>
        <w:r w:rsidRPr="00183B5F">
          <w:rPr>
            <w:i/>
            <w:iCs/>
            <w:snapToGrid w:val="0"/>
            <w:lang w:eastAsia="en-GB"/>
          </w:rPr>
          <w:delText xml:space="preserve">) </w:delText>
        </w:r>
        <w:r w:rsidRPr="00183B5F">
          <w:rPr>
            <w:snapToGrid w:val="0"/>
            <w:lang w:eastAsia="en-GB"/>
          </w:rPr>
          <w:delText>található</w:delText>
        </w:r>
        <w:r w:rsidRPr="00183B5F">
          <w:rPr>
            <w:i/>
            <w:iCs/>
            <w:snapToGrid w:val="0"/>
            <w:lang w:eastAsia="en-GB"/>
          </w:rPr>
          <w:delText>.</w:delText>
        </w:r>
      </w:del>
    </w:p>
    <w:p w14:paraId="736F6178" w14:textId="27EE88E7" w:rsidR="00195015" w:rsidRPr="00183B5F" w:rsidRDefault="00195015" w:rsidP="007276E0">
      <w:pPr>
        <w:keepNext/>
        <w:spacing w:line="240" w:lineRule="auto"/>
        <w:ind w:right="-3"/>
        <w:rPr>
          <w:del w:id="13959" w:author="AbbVie_HU_03" w:date="2025-05-14T16:41:00Z"/>
          <w:i/>
          <w:iCs/>
          <w:snapToGrid w:val="0"/>
          <w:lang w:eastAsia="en-GB"/>
        </w:rPr>
      </w:pPr>
    </w:p>
    <w:p w14:paraId="12FB1CED" w14:textId="6506B11E" w:rsidR="00195015" w:rsidRPr="00183B5F" w:rsidRDefault="00943743" w:rsidP="007276E0">
      <w:pPr>
        <w:autoSpaceDE w:val="0"/>
        <w:autoSpaceDN w:val="0"/>
        <w:adjustRightInd w:val="0"/>
        <w:spacing w:line="240" w:lineRule="auto"/>
        <w:rPr>
          <w:del w:id="13960" w:author="AbbVie_HU_03" w:date="2025-05-14T16:41:00Z"/>
          <w:b/>
          <w:bCs/>
          <w:noProof/>
          <w:szCs w:val="22"/>
        </w:rPr>
      </w:pPr>
      <w:del w:id="13961" w:author="AbbVie_HU_03" w:date="2025-05-14T16:41:00Z">
        <w:r w:rsidRPr="00183B5F">
          <w:rPr>
            <w:b/>
            <w:bCs/>
            <w:noProof/>
            <w:szCs w:val="22"/>
          </w:rPr>
          <w:delText>A betegtájékoztató meghallgatásának</w:delText>
        </w:r>
        <w:r w:rsidRPr="00183B5F">
          <w:rPr>
            <w:b/>
            <w:bCs/>
            <w:noProof/>
            <w:szCs w:val="22"/>
            <w:highlight w:val="lightGray"/>
          </w:rPr>
          <w:delText>, &lt;Braille írással&gt;, &lt;nagyméretű betűkkel&gt; készült vagy &lt;audio&gt; változatának</w:delText>
        </w:r>
        <w:r w:rsidRPr="00183B5F">
          <w:rPr>
            <w:b/>
            <w:bCs/>
            <w:noProof/>
            <w:szCs w:val="22"/>
          </w:rPr>
          <w:delText xml:space="preserve"> igénylése érdekében forduljon a forgalomba hozatali engedély jogosultjának helyi képviselőjéhez.</w:delText>
        </w:r>
      </w:del>
    </w:p>
    <w:p w14:paraId="46916BF7" w14:textId="22E42B5D" w:rsidR="00195015" w:rsidRPr="00183B5F" w:rsidRDefault="00195015" w:rsidP="004062FE">
      <w:pPr>
        <w:keepNext/>
        <w:spacing w:line="240" w:lineRule="auto"/>
        <w:ind w:right="-3"/>
        <w:rPr>
          <w:del w:id="13962" w:author="AbbVie_HU_03" w:date="2025-05-15T11:47:00Z"/>
          <w:i/>
          <w:iCs/>
          <w:snapToGrid w:val="0"/>
          <w:lang w:eastAsia="en-GB"/>
        </w:rPr>
      </w:pPr>
    </w:p>
    <w:p w14:paraId="53E7C197" w14:textId="77777777" w:rsidR="00713AC9" w:rsidRPr="00183B5F" w:rsidRDefault="00943743" w:rsidP="00713AC9">
      <w:pPr>
        <w:pageBreakBefore/>
        <w:widowControl w:val="0"/>
        <w:spacing w:line="240" w:lineRule="auto"/>
        <w:jc w:val="center"/>
        <w:rPr>
          <w:szCs w:val="22"/>
        </w:rPr>
      </w:pPr>
      <w:r w:rsidRPr="00183B5F">
        <w:rPr>
          <w:b/>
          <w:noProof/>
          <w:szCs w:val="24"/>
        </w:rPr>
        <w:t>Betegtájékoztató: Információk a felhasználó számára</w:t>
      </w:r>
    </w:p>
    <w:p w14:paraId="7CFA960B" w14:textId="77777777" w:rsidR="00713AC9" w:rsidRPr="00183B5F" w:rsidRDefault="00713AC9" w:rsidP="00713AC9">
      <w:pPr>
        <w:spacing w:line="240" w:lineRule="auto"/>
        <w:jc w:val="center"/>
        <w:rPr>
          <w:szCs w:val="22"/>
        </w:rPr>
      </w:pPr>
    </w:p>
    <w:p w14:paraId="345B1C2F" w14:textId="77777777" w:rsidR="00713AC9" w:rsidRPr="00183B5F" w:rsidRDefault="00943743" w:rsidP="00713AC9">
      <w:pPr>
        <w:spacing w:line="240" w:lineRule="auto"/>
        <w:jc w:val="center"/>
        <w:rPr>
          <w:szCs w:val="22"/>
        </w:rPr>
      </w:pPr>
      <w:r w:rsidRPr="00183B5F">
        <w:rPr>
          <w:b/>
          <w:szCs w:val="22"/>
        </w:rPr>
        <w:t>Humira 40 mg oldatos injekció előretöltött fecskendőben</w:t>
      </w:r>
    </w:p>
    <w:p w14:paraId="2654F80A" w14:textId="77777777" w:rsidR="00713AC9" w:rsidRPr="00183B5F" w:rsidRDefault="00943743" w:rsidP="00713AC9">
      <w:pPr>
        <w:spacing w:line="240" w:lineRule="auto"/>
        <w:jc w:val="center"/>
        <w:rPr>
          <w:bCs/>
          <w:szCs w:val="22"/>
        </w:rPr>
      </w:pPr>
      <w:r w:rsidRPr="00183B5F">
        <w:rPr>
          <w:bCs/>
          <w:szCs w:val="22"/>
        </w:rPr>
        <w:t>adalimumab</w:t>
      </w:r>
    </w:p>
    <w:p w14:paraId="24BC5D9E" w14:textId="77777777" w:rsidR="00713AC9" w:rsidRPr="00183B5F" w:rsidRDefault="00713AC9" w:rsidP="00713AC9">
      <w:pPr>
        <w:spacing w:line="240" w:lineRule="auto"/>
        <w:jc w:val="center"/>
        <w:rPr>
          <w:szCs w:val="22"/>
        </w:rPr>
      </w:pPr>
    </w:p>
    <w:p w14:paraId="696042E6" w14:textId="77777777" w:rsidR="00713AC9" w:rsidRPr="00183B5F" w:rsidRDefault="00943743" w:rsidP="00713AC9">
      <w:pPr>
        <w:spacing w:line="240" w:lineRule="auto"/>
        <w:rPr>
          <w:b/>
          <w:szCs w:val="22"/>
        </w:rPr>
      </w:pPr>
      <w:r w:rsidRPr="00183B5F">
        <w:rPr>
          <w:b/>
          <w:szCs w:val="22"/>
        </w:rPr>
        <w:t>Mielőtt elkezdi alkalmazni ezt a gyógyszert, olvassa el figyelmesen az alábbi betegtájékoztatót</w:t>
      </w:r>
      <w:r w:rsidRPr="00183B5F">
        <w:rPr>
          <w:b/>
          <w:noProof/>
          <w:szCs w:val="24"/>
        </w:rPr>
        <w:t>, mert az Ön számára fontos információkat tartalmaz</w:t>
      </w:r>
      <w:r w:rsidRPr="00183B5F">
        <w:rPr>
          <w:b/>
          <w:szCs w:val="22"/>
        </w:rPr>
        <w:t>.</w:t>
      </w:r>
    </w:p>
    <w:p w14:paraId="2CF35CDA" w14:textId="77777777" w:rsidR="00713AC9" w:rsidRPr="00183B5F" w:rsidRDefault="00943743" w:rsidP="00713AC9">
      <w:pPr>
        <w:numPr>
          <w:ilvl w:val="0"/>
          <w:numId w:val="37"/>
        </w:numPr>
        <w:spacing w:line="240" w:lineRule="auto"/>
        <w:rPr>
          <w:szCs w:val="22"/>
        </w:rPr>
      </w:pPr>
      <w:r w:rsidRPr="00183B5F">
        <w:rPr>
          <w:szCs w:val="22"/>
        </w:rPr>
        <w:t>Tartsa meg a betegtájékoztatót, mert a benne szereplő információkra a későbbiekben is szüksége lehet.</w:t>
      </w:r>
    </w:p>
    <w:p w14:paraId="0F3DF53C" w14:textId="77777777" w:rsidR="00713AC9" w:rsidRPr="00183B5F" w:rsidRDefault="00943743" w:rsidP="00713AC9">
      <w:pPr>
        <w:numPr>
          <w:ilvl w:val="0"/>
          <w:numId w:val="37"/>
        </w:numPr>
        <w:spacing w:line="240" w:lineRule="auto"/>
        <w:rPr>
          <w:szCs w:val="22"/>
        </w:rPr>
      </w:pPr>
      <w:r w:rsidRPr="00183B5F">
        <w:rPr>
          <w:szCs w:val="22"/>
        </w:rPr>
        <w:t xml:space="preserve">Orvosától egy </w:t>
      </w:r>
      <w:r w:rsidR="0048779F" w:rsidRPr="00183B5F">
        <w:rPr>
          <w:b/>
          <w:szCs w:val="22"/>
        </w:rPr>
        <w:t>Betegemlékeztető</w:t>
      </w:r>
      <w:r w:rsidRPr="00183B5F">
        <w:rPr>
          <w:b/>
          <w:szCs w:val="22"/>
        </w:rPr>
        <w:t xml:space="preserve"> Kártyát</w:t>
      </w:r>
      <w:r w:rsidRPr="00183B5F">
        <w:rPr>
          <w:szCs w:val="22"/>
        </w:rPr>
        <w:t xml:space="preserve"> is fog kapni fontos biztonsági információkkal, amit a Humira alkalmazása előtt és a Humira</w:t>
      </w:r>
      <w:r w:rsidRPr="00183B5F">
        <w:rPr>
          <w:szCs w:val="22"/>
        </w:rPr>
        <w:noBreakHyphen/>
        <w:t xml:space="preserve">val történő kezelés során is figyelembe kell venni. Tartsa magánál ezt a </w:t>
      </w:r>
      <w:r w:rsidR="0048779F" w:rsidRPr="00183B5F">
        <w:rPr>
          <w:b/>
          <w:szCs w:val="22"/>
        </w:rPr>
        <w:t>Betegemlékeztető</w:t>
      </w:r>
      <w:r w:rsidRPr="00183B5F">
        <w:rPr>
          <w:b/>
          <w:szCs w:val="22"/>
        </w:rPr>
        <w:t xml:space="preserve"> Kártyát</w:t>
      </w:r>
      <w:r w:rsidRPr="00183B5F">
        <w:rPr>
          <w:szCs w:val="22"/>
        </w:rPr>
        <w:t>.</w:t>
      </w:r>
    </w:p>
    <w:p w14:paraId="56F5B0B3" w14:textId="77777777" w:rsidR="00713AC9" w:rsidRPr="00183B5F" w:rsidRDefault="00943743" w:rsidP="00713AC9">
      <w:pPr>
        <w:numPr>
          <w:ilvl w:val="0"/>
          <w:numId w:val="37"/>
        </w:numPr>
        <w:spacing w:line="240" w:lineRule="auto"/>
        <w:rPr>
          <w:szCs w:val="22"/>
        </w:rPr>
      </w:pPr>
      <w:r w:rsidRPr="00183B5F">
        <w:rPr>
          <w:szCs w:val="22"/>
        </w:rPr>
        <w:t>Kérdéseivel forduljon kezelőorvosához vagy gyógyszerészéhez.</w:t>
      </w:r>
    </w:p>
    <w:p w14:paraId="2A889BD2" w14:textId="77777777" w:rsidR="00713AC9" w:rsidRPr="00183B5F" w:rsidRDefault="00943743" w:rsidP="00713AC9">
      <w:pPr>
        <w:numPr>
          <w:ilvl w:val="0"/>
          <w:numId w:val="37"/>
        </w:numPr>
        <w:spacing w:line="240" w:lineRule="auto"/>
        <w:rPr>
          <w:szCs w:val="22"/>
        </w:rPr>
      </w:pPr>
      <w:r w:rsidRPr="00183B5F">
        <w:rPr>
          <w:szCs w:val="22"/>
        </w:rPr>
        <w:t>Ezt a gyógyszert az orvos kizárólag Önnek írta fel. Ne adja át a készítményt másnak, mert számára ártalmas lehet még abban az esetben is, ha a betegsége tünetei az Önéhez hasonlóak.</w:t>
      </w:r>
    </w:p>
    <w:p w14:paraId="55CE8421" w14:textId="77777777" w:rsidR="00713AC9" w:rsidRPr="00183B5F" w:rsidRDefault="00943743" w:rsidP="00713AC9">
      <w:pPr>
        <w:numPr>
          <w:ilvl w:val="0"/>
          <w:numId w:val="37"/>
        </w:numPr>
        <w:spacing w:line="240" w:lineRule="auto"/>
        <w:rPr>
          <w:szCs w:val="22"/>
        </w:rPr>
      </w:pPr>
      <w:r w:rsidRPr="00183B5F">
        <w:rPr>
          <w:szCs w:val="24"/>
        </w:rPr>
        <w:t xml:space="preserve">Ha </w:t>
      </w:r>
      <w:r w:rsidRPr="00183B5F">
        <w:rPr>
          <w:noProof/>
          <w:szCs w:val="24"/>
        </w:rPr>
        <w:t>Önnél bármilyen</w:t>
      </w:r>
      <w:r w:rsidRPr="00183B5F">
        <w:rPr>
          <w:szCs w:val="24"/>
        </w:rPr>
        <w:t xml:space="preserve"> mellékhatás </w:t>
      </w:r>
      <w:r w:rsidRPr="00183B5F">
        <w:rPr>
          <w:noProof/>
          <w:szCs w:val="24"/>
        </w:rPr>
        <w:t>jelentkezik, tájékoztassa erről kezelőorvosát vagy gyógyszerészét. Ez</w:t>
      </w:r>
      <w:r w:rsidRPr="00183B5F">
        <w:rPr>
          <w:szCs w:val="24"/>
        </w:rPr>
        <w:t xml:space="preserve"> a betegtájékoztatóban </w:t>
      </w:r>
      <w:r w:rsidRPr="00183B5F">
        <w:rPr>
          <w:noProof/>
          <w:szCs w:val="24"/>
        </w:rPr>
        <w:t>fel nem sorolt bármilyen lehetséges mellékhatásra is vonatkozik. Lásd 4. pont.</w:t>
      </w:r>
    </w:p>
    <w:p w14:paraId="6EAFD2B5" w14:textId="77777777" w:rsidR="00713AC9" w:rsidRPr="00183B5F" w:rsidRDefault="00713AC9" w:rsidP="00713AC9">
      <w:pPr>
        <w:spacing w:line="240" w:lineRule="auto"/>
        <w:ind w:right="-2"/>
        <w:rPr>
          <w:szCs w:val="22"/>
        </w:rPr>
      </w:pPr>
    </w:p>
    <w:p w14:paraId="6A335918" w14:textId="77777777" w:rsidR="00713AC9" w:rsidRPr="00183B5F" w:rsidRDefault="00943743" w:rsidP="00713AC9">
      <w:pPr>
        <w:spacing w:line="240" w:lineRule="auto"/>
        <w:ind w:right="-2"/>
        <w:rPr>
          <w:b/>
          <w:szCs w:val="22"/>
        </w:rPr>
      </w:pPr>
      <w:r w:rsidRPr="00183B5F">
        <w:rPr>
          <w:b/>
          <w:szCs w:val="22"/>
        </w:rPr>
        <w:t>A betegtájékoztató tartalma:</w:t>
      </w:r>
    </w:p>
    <w:p w14:paraId="4EEDEAEC" w14:textId="77777777" w:rsidR="00713AC9" w:rsidRPr="00183B5F" w:rsidRDefault="00943743" w:rsidP="00713AC9">
      <w:pPr>
        <w:spacing w:line="240" w:lineRule="auto"/>
        <w:ind w:left="567" w:right="-29" w:hanging="567"/>
        <w:rPr>
          <w:szCs w:val="22"/>
        </w:rPr>
      </w:pPr>
      <w:r w:rsidRPr="00183B5F">
        <w:rPr>
          <w:szCs w:val="22"/>
        </w:rPr>
        <w:t>1.</w:t>
      </w:r>
      <w:r w:rsidRPr="00183B5F">
        <w:rPr>
          <w:szCs w:val="22"/>
        </w:rPr>
        <w:tab/>
        <w:t>Milyen típusú gyógyszer a Humira és milyen betegségek esetén alkalmazható?</w:t>
      </w:r>
    </w:p>
    <w:p w14:paraId="185A4D95" w14:textId="77777777" w:rsidR="00713AC9" w:rsidRPr="00183B5F" w:rsidRDefault="00943743" w:rsidP="00713AC9">
      <w:pPr>
        <w:spacing w:line="240" w:lineRule="auto"/>
        <w:ind w:left="567" w:right="-29" w:hanging="567"/>
        <w:rPr>
          <w:szCs w:val="22"/>
        </w:rPr>
      </w:pPr>
      <w:r w:rsidRPr="00183B5F">
        <w:rPr>
          <w:szCs w:val="22"/>
        </w:rPr>
        <w:t>2.</w:t>
      </w:r>
      <w:r w:rsidRPr="00183B5F">
        <w:rPr>
          <w:szCs w:val="22"/>
        </w:rPr>
        <w:tab/>
        <w:t>Tudnivalók a Humira alkalmazása előtt</w:t>
      </w:r>
    </w:p>
    <w:p w14:paraId="5B5F0B8B" w14:textId="77777777" w:rsidR="00713AC9" w:rsidRPr="00183B5F" w:rsidRDefault="00943743" w:rsidP="00713AC9">
      <w:pPr>
        <w:spacing w:line="240" w:lineRule="auto"/>
        <w:ind w:left="567" w:right="-29" w:hanging="567"/>
        <w:rPr>
          <w:szCs w:val="22"/>
        </w:rPr>
      </w:pPr>
      <w:r w:rsidRPr="00183B5F">
        <w:rPr>
          <w:szCs w:val="22"/>
        </w:rPr>
        <w:t>3.</w:t>
      </w:r>
      <w:r w:rsidRPr="00183B5F">
        <w:rPr>
          <w:szCs w:val="22"/>
        </w:rPr>
        <w:tab/>
        <w:t>Hogyan kell alkalmazni a Humira-t?</w:t>
      </w:r>
    </w:p>
    <w:p w14:paraId="684AB919" w14:textId="77777777" w:rsidR="00713AC9" w:rsidRPr="00183B5F" w:rsidRDefault="00943743" w:rsidP="00713AC9">
      <w:pPr>
        <w:spacing w:line="240" w:lineRule="auto"/>
        <w:ind w:left="567" w:right="-29" w:hanging="567"/>
        <w:rPr>
          <w:szCs w:val="22"/>
        </w:rPr>
      </w:pPr>
      <w:r w:rsidRPr="00183B5F">
        <w:rPr>
          <w:szCs w:val="22"/>
        </w:rPr>
        <w:t>4.</w:t>
      </w:r>
      <w:r w:rsidRPr="00183B5F">
        <w:rPr>
          <w:szCs w:val="22"/>
        </w:rPr>
        <w:tab/>
        <w:t>Lehetséges mellékhatások</w:t>
      </w:r>
    </w:p>
    <w:p w14:paraId="15ABD99D" w14:textId="77777777" w:rsidR="00713AC9" w:rsidRPr="00183B5F" w:rsidRDefault="00943743" w:rsidP="00713AC9">
      <w:pPr>
        <w:spacing w:line="240" w:lineRule="auto"/>
        <w:ind w:left="567" w:right="-29" w:hanging="567"/>
        <w:rPr>
          <w:szCs w:val="22"/>
        </w:rPr>
      </w:pPr>
      <w:r w:rsidRPr="00183B5F">
        <w:rPr>
          <w:szCs w:val="22"/>
        </w:rPr>
        <w:t>5.</w:t>
      </w:r>
      <w:r w:rsidRPr="00183B5F">
        <w:rPr>
          <w:szCs w:val="22"/>
        </w:rPr>
        <w:tab/>
        <w:t>Hogyan kell a Humira</w:t>
      </w:r>
      <w:r w:rsidRPr="00183B5F">
        <w:rPr>
          <w:szCs w:val="22"/>
        </w:rPr>
        <w:noBreakHyphen/>
        <w:t>t tárolni?</w:t>
      </w:r>
    </w:p>
    <w:p w14:paraId="7CC8143A" w14:textId="77777777" w:rsidR="00713AC9" w:rsidRPr="00183B5F" w:rsidRDefault="00943743" w:rsidP="00713AC9">
      <w:pPr>
        <w:spacing w:line="240" w:lineRule="auto"/>
        <w:ind w:left="567" w:right="-29" w:hanging="567"/>
        <w:rPr>
          <w:szCs w:val="22"/>
        </w:rPr>
      </w:pPr>
      <w:r w:rsidRPr="00183B5F">
        <w:rPr>
          <w:szCs w:val="22"/>
        </w:rPr>
        <w:t>6.</w:t>
      </w:r>
      <w:r w:rsidRPr="00183B5F">
        <w:rPr>
          <w:szCs w:val="22"/>
        </w:rPr>
        <w:tab/>
      </w:r>
      <w:r w:rsidRPr="00183B5F">
        <w:rPr>
          <w:noProof/>
          <w:szCs w:val="24"/>
        </w:rPr>
        <w:t>A csomagolás tartalma és egyéb</w:t>
      </w:r>
      <w:r w:rsidRPr="00183B5F">
        <w:rPr>
          <w:szCs w:val="22"/>
        </w:rPr>
        <w:t xml:space="preserve"> információk</w:t>
      </w:r>
    </w:p>
    <w:p w14:paraId="22BCFE1E" w14:textId="77777777" w:rsidR="00713AC9" w:rsidRPr="00183B5F" w:rsidRDefault="00943743" w:rsidP="00713AC9">
      <w:pPr>
        <w:spacing w:line="240" w:lineRule="auto"/>
        <w:ind w:left="567" w:right="-29" w:hanging="567"/>
        <w:rPr>
          <w:szCs w:val="22"/>
        </w:rPr>
      </w:pPr>
      <w:r w:rsidRPr="00183B5F">
        <w:rPr>
          <w:szCs w:val="22"/>
        </w:rPr>
        <w:t>7.</w:t>
      </w:r>
      <w:r w:rsidRPr="00183B5F">
        <w:rPr>
          <w:szCs w:val="22"/>
        </w:rPr>
        <w:tab/>
        <w:t>A Humira beadása</w:t>
      </w:r>
    </w:p>
    <w:p w14:paraId="476D80EA" w14:textId="77777777" w:rsidR="00713AC9" w:rsidRPr="00183B5F" w:rsidRDefault="00713AC9" w:rsidP="00713AC9">
      <w:pPr>
        <w:spacing w:line="240" w:lineRule="auto"/>
        <w:ind w:right="-2"/>
        <w:rPr>
          <w:szCs w:val="22"/>
        </w:rPr>
      </w:pPr>
    </w:p>
    <w:p w14:paraId="4EF77DCE" w14:textId="77777777" w:rsidR="00713AC9" w:rsidRPr="00183B5F" w:rsidRDefault="00713AC9" w:rsidP="00713AC9">
      <w:pPr>
        <w:spacing w:line="240" w:lineRule="auto"/>
        <w:ind w:right="-2"/>
        <w:rPr>
          <w:szCs w:val="22"/>
        </w:rPr>
      </w:pPr>
    </w:p>
    <w:p w14:paraId="07A217CA" w14:textId="77777777" w:rsidR="00713AC9" w:rsidRPr="00183B5F" w:rsidRDefault="00943743" w:rsidP="00713AC9">
      <w:pPr>
        <w:spacing w:line="240" w:lineRule="auto"/>
        <w:ind w:left="567" w:right="-2" w:hanging="567"/>
        <w:rPr>
          <w:b/>
          <w:szCs w:val="22"/>
        </w:rPr>
      </w:pPr>
      <w:r w:rsidRPr="00183B5F">
        <w:rPr>
          <w:b/>
          <w:szCs w:val="22"/>
        </w:rPr>
        <w:t>1.</w:t>
      </w:r>
      <w:r w:rsidRPr="00183B5F">
        <w:rPr>
          <w:b/>
          <w:szCs w:val="22"/>
        </w:rPr>
        <w:tab/>
        <w:t>Milyen típusú gyógyszer a Humira és milyen betegségek esetén alkalmazható?</w:t>
      </w:r>
    </w:p>
    <w:p w14:paraId="70774C96" w14:textId="77777777" w:rsidR="00713AC9" w:rsidRPr="00183B5F" w:rsidRDefault="00713AC9" w:rsidP="00713AC9">
      <w:pPr>
        <w:spacing w:line="240" w:lineRule="auto"/>
        <w:ind w:right="-2"/>
        <w:rPr>
          <w:szCs w:val="22"/>
        </w:rPr>
      </w:pPr>
    </w:p>
    <w:p w14:paraId="2BC21D24" w14:textId="77777777" w:rsidR="00713AC9" w:rsidRPr="00183B5F" w:rsidRDefault="00943743" w:rsidP="00713AC9">
      <w:pPr>
        <w:spacing w:line="240" w:lineRule="auto"/>
        <w:ind w:right="-2"/>
        <w:rPr>
          <w:szCs w:val="22"/>
        </w:rPr>
      </w:pPr>
      <w:r w:rsidRPr="00183B5F">
        <w:rPr>
          <w:szCs w:val="22"/>
        </w:rPr>
        <w:t>A Humira hatóanyaga az adalimumab.</w:t>
      </w:r>
    </w:p>
    <w:p w14:paraId="50E4B14A" w14:textId="77777777" w:rsidR="00713AC9" w:rsidRPr="00183B5F" w:rsidRDefault="00713AC9" w:rsidP="00713AC9">
      <w:pPr>
        <w:spacing w:line="240" w:lineRule="auto"/>
        <w:ind w:right="-2"/>
        <w:rPr>
          <w:szCs w:val="22"/>
        </w:rPr>
      </w:pPr>
    </w:p>
    <w:p w14:paraId="70723B19" w14:textId="77777777" w:rsidR="00713AC9" w:rsidRPr="00183B5F" w:rsidRDefault="00943743" w:rsidP="00713AC9">
      <w:pPr>
        <w:spacing w:line="240" w:lineRule="auto"/>
        <w:ind w:right="-2"/>
        <w:rPr>
          <w:szCs w:val="22"/>
        </w:rPr>
      </w:pPr>
      <w:r w:rsidRPr="00183B5F">
        <w:rPr>
          <w:szCs w:val="22"/>
        </w:rPr>
        <w:t>A Humira az alábbi betegségek kezelésére alkalmazható:</w:t>
      </w:r>
    </w:p>
    <w:p w14:paraId="69521867" w14:textId="77777777" w:rsidR="00713AC9" w:rsidRPr="00183B5F" w:rsidRDefault="00943743" w:rsidP="00713AC9">
      <w:pPr>
        <w:pStyle w:val="ListParagraph"/>
        <w:numPr>
          <w:ilvl w:val="0"/>
          <w:numId w:val="76"/>
        </w:numPr>
        <w:spacing w:line="240" w:lineRule="auto"/>
        <w:ind w:right="-2"/>
        <w:rPr>
          <w:szCs w:val="22"/>
        </w:rPr>
      </w:pPr>
      <w:r w:rsidRPr="00183B5F">
        <w:rPr>
          <w:szCs w:val="22"/>
        </w:rPr>
        <w:t>Reumás ízületi gyulladás (reumatoid artritisz)</w:t>
      </w:r>
    </w:p>
    <w:p w14:paraId="0D7F1E08" w14:textId="77777777" w:rsidR="00713AC9" w:rsidRPr="00183B5F" w:rsidRDefault="00943743" w:rsidP="00713AC9">
      <w:pPr>
        <w:pStyle w:val="ListParagraph"/>
        <w:numPr>
          <w:ilvl w:val="0"/>
          <w:numId w:val="76"/>
        </w:numPr>
        <w:spacing w:line="240" w:lineRule="auto"/>
        <w:ind w:right="-2"/>
        <w:rPr>
          <w:szCs w:val="22"/>
        </w:rPr>
      </w:pPr>
      <w:r w:rsidRPr="00183B5F">
        <w:rPr>
          <w:szCs w:val="22"/>
        </w:rPr>
        <w:t>Gyermekkori ismeretlen eredetű sokízületi gyulladás (poliartikuláris juvenilis idiopátiás artritisz)</w:t>
      </w:r>
    </w:p>
    <w:p w14:paraId="60AFE0FC" w14:textId="77777777" w:rsidR="00713AC9" w:rsidRPr="00183B5F" w:rsidRDefault="00943743" w:rsidP="00713AC9">
      <w:pPr>
        <w:pStyle w:val="ListParagraph"/>
        <w:numPr>
          <w:ilvl w:val="0"/>
          <w:numId w:val="76"/>
        </w:numPr>
        <w:spacing w:line="240" w:lineRule="auto"/>
        <w:ind w:right="-2"/>
        <w:rPr>
          <w:szCs w:val="22"/>
        </w:rPr>
      </w:pPr>
      <w:r w:rsidRPr="00183B5F">
        <w:rPr>
          <w:szCs w:val="22"/>
        </w:rPr>
        <w:t>Az inak tapadási helyének gyulladásos elváltozásával társult reumás ízületi gyulladás (entezitisszel társult artritisz)</w:t>
      </w:r>
    </w:p>
    <w:p w14:paraId="565719B5" w14:textId="77777777" w:rsidR="00713AC9" w:rsidRPr="00183B5F" w:rsidRDefault="00943743" w:rsidP="00713AC9">
      <w:pPr>
        <w:pStyle w:val="ListParagraph"/>
        <w:numPr>
          <w:ilvl w:val="0"/>
          <w:numId w:val="76"/>
        </w:numPr>
        <w:spacing w:line="240" w:lineRule="auto"/>
        <w:ind w:right="-2"/>
        <w:rPr>
          <w:szCs w:val="22"/>
        </w:rPr>
      </w:pPr>
      <w:r w:rsidRPr="00183B5F">
        <w:rPr>
          <w:szCs w:val="22"/>
        </w:rPr>
        <w:t>A csigolyák összecsontosodásával járó kisízületi gyulladás (spondilitisz ankilopoetika)</w:t>
      </w:r>
    </w:p>
    <w:p w14:paraId="66821FC0" w14:textId="77777777" w:rsidR="00713AC9" w:rsidRPr="00183B5F" w:rsidRDefault="00943743" w:rsidP="00713AC9">
      <w:pPr>
        <w:pStyle w:val="ListParagraph"/>
        <w:numPr>
          <w:ilvl w:val="0"/>
          <w:numId w:val="76"/>
        </w:numPr>
        <w:spacing w:line="240" w:lineRule="auto"/>
        <w:ind w:right="-2"/>
        <w:rPr>
          <w:szCs w:val="22"/>
        </w:rPr>
      </w:pPr>
      <w:r w:rsidRPr="00183B5F">
        <w:rPr>
          <w:szCs w:val="22"/>
        </w:rPr>
        <w:t>Spondilitisz ankilopoetikára jellemző röntgeneltérést nem mutató gerincízületi gyulladás (axiális spondiloartritisz)</w:t>
      </w:r>
    </w:p>
    <w:p w14:paraId="2908F147" w14:textId="77777777" w:rsidR="00713AC9" w:rsidRPr="00183B5F" w:rsidRDefault="00943743" w:rsidP="00713AC9">
      <w:pPr>
        <w:pStyle w:val="ListParagraph"/>
        <w:numPr>
          <w:ilvl w:val="0"/>
          <w:numId w:val="76"/>
        </w:numPr>
        <w:spacing w:line="240" w:lineRule="auto"/>
        <w:ind w:right="-2"/>
        <w:rPr>
          <w:szCs w:val="22"/>
        </w:rPr>
      </w:pPr>
      <w:r w:rsidRPr="00183B5F">
        <w:rPr>
          <w:szCs w:val="22"/>
        </w:rPr>
        <w:t>Pikkelysömörrel járó ízületi gyulladás (artritisz pszoriatika)</w:t>
      </w:r>
    </w:p>
    <w:p w14:paraId="571CF32E" w14:textId="77777777" w:rsidR="00713AC9" w:rsidRPr="00183B5F" w:rsidRDefault="00943743" w:rsidP="00713AC9">
      <w:pPr>
        <w:pStyle w:val="ListParagraph"/>
        <w:numPr>
          <w:ilvl w:val="0"/>
          <w:numId w:val="76"/>
        </w:numPr>
        <w:spacing w:line="240" w:lineRule="auto"/>
        <w:ind w:right="-2"/>
        <w:rPr>
          <w:szCs w:val="22"/>
        </w:rPr>
      </w:pPr>
      <w:r w:rsidRPr="00183B5F">
        <w:rPr>
          <w:szCs w:val="22"/>
        </w:rPr>
        <w:t>Pikkelysömör (plakkos pszoriázis)</w:t>
      </w:r>
    </w:p>
    <w:p w14:paraId="0CAA0301" w14:textId="77777777" w:rsidR="00713AC9" w:rsidRPr="00183B5F" w:rsidRDefault="00943743" w:rsidP="00713AC9">
      <w:pPr>
        <w:pStyle w:val="ListParagraph"/>
        <w:numPr>
          <w:ilvl w:val="0"/>
          <w:numId w:val="76"/>
        </w:numPr>
        <w:spacing w:line="240" w:lineRule="auto"/>
        <w:ind w:right="-2"/>
        <w:rPr>
          <w:szCs w:val="22"/>
        </w:rPr>
      </w:pPr>
      <w:r w:rsidRPr="00183B5F">
        <w:rPr>
          <w:szCs w:val="22"/>
        </w:rPr>
        <w:t>Hidradenitisz szuppuratíva</w:t>
      </w:r>
    </w:p>
    <w:p w14:paraId="7142084A" w14:textId="77777777" w:rsidR="00713AC9" w:rsidRPr="00183B5F" w:rsidRDefault="00943743" w:rsidP="00713AC9">
      <w:pPr>
        <w:pStyle w:val="ListParagraph"/>
        <w:numPr>
          <w:ilvl w:val="0"/>
          <w:numId w:val="76"/>
        </w:numPr>
        <w:spacing w:line="240" w:lineRule="auto"/>
        <w:ind w:right="-2"/>
        <w:rPr>
          <w:szCs w:val="22"/>
        </w:rPr>
      </w:pPr>
      <w:r w:rsidRPr="00183B5F">
        <w:rPr>
          <w:szCs w:val="22"/>
        </w:rPr>
        <w:t>A bélfal minden rétegére kiterjedő, nem fertőzéses eredetű gyulladás (Crohn</w:t>
      </w:r>
      <w:r w:rsidRPr="00183B5F">
        <w:rPr>
          <w:szCs w:val="22"/>
        </w:rPr>
        <w:noBreakHyphen/>
        <w:t>betegség)</w:t>
      </w:r>
    </w:p>
    <w:p w14:paraId="0D44F14D" w14:textId="77777777" w:rsidR="00713AC9" w:rsidRPr="00183B5F" w:rsidRDefault="00943743" w:rsidP="00713AC9">
      <w:pPr>
        <w:pStyle w:val="ListParagraph"/>
        <w:numPr>
          <w:ilvl w:val="0"/>
          <w:numId w:val="76"/>
        </w:numPr>
        <w:spacing w:line="240" w:lineRule="auto"/>
        <w:ind w:right="-2"/>
        <w:rPr>
          <w:szCs w:val="22"/>
        </w:rPr>
      </w:pPr>
      <w:r w:rsidRPr="00183B5F">
        <w:rPr>
          <w:szCs w:val="22"/>
        </w:rPr>
        <w:t>Nem fertőzéses eredetű, kifekélyesedő vastagbélgyulladás (kolitisz ulceróza),</w:t>
      </w:r>
    </w:p>
    <w:p w14:paraId="28E9D889" w14:textId="77777777" w:rsidR="00713AC9" w:rsidRPr="00183B5F" w:rsidRDefault="00943743" w:rsidP="00713AC9">
      <w:pPr>
        <w:pStyle w:val="ListParagraph"/>
        <w:numPr>
          <w:ilvl w:val="0"/>
          <w:numId w:val="76"/>
        </w:numPr>
        <w:spacing w:line="240" w:lineRule="auto"/>
        <w:ind w:right="-2"/>
        <w:rPr>
          <w:szCs w:val="22"/>
        </w:rPr>
      </w:pPr>
      <w:r w:rsidRPr="00183B5F">
        <w:rPr>
          <w:szCs w:val="22"/>
        </w:rPr>
        <w:t>Nem fertőzéses eredetű szemgyulladás (uveitisz)</w:t>
      </w:r>
    </w:p>
    <w:p w14:paraId="2E24D723" w14:textId="77777777" w:rsidR="00713AC9" w:rsidRPr="00183B5F" w:rsidRDefault="00713AC9" w:rsidP="00713AC9">
      <w:pPr>
        <w:spacing w:line="240" w:lineRule="auto"/>
        <w:ind w:left="360" w:right="-2"/>
        <w:rPr>
          <w:szCs w:val="22"/>
        </w:rPr>
      </w:pPr>
    </w:p>
    <w:p w14:paraId="565E2B9C" w14:textId="77777777" w:rsidR="00713AC9" w:rsidRPr="00183B5F" w:rsidRDefault="00943743" w:rsidP="00713AC9">
      <w:pPr>
        <w:spacing w:line="240" w:lineRule="auto"/>
        <w:ind w:right="-2"/>
        <w:rPr>
          <w:szCs w:val="22"/>
        </w:rPr>
      </w:pPr>
      <w:r w:rsidRPr="00183B5F">
        <w:rPr>
          <w:szCs w:val="22"/>
        </w:rPr>
        <w:t>A Humira hatóanyaga, az adalimumab egy emberi monoklonális antitest (ellenanyag). A monoklonális antitestek fehérjék, amelyek speciális célponthoz kötődnek.</w:t>
      </w:r>
    </w:p>
    <w:p w14:paraId="75BBEDF7" w14:textId="77777777" w:rsidR="00713AC9" w:rsidRPr="00183B5F" w:rsidRDefault="00713AC9" w:rsidP="00713AC9">
      <w:pPr>
        <w:pStyle w:val="ListParagraph"/>
        <w:spacing w:line="240" w:lineRule="auto"/>
        <w:ind w:right="-2"/>
        <w:rPr>
          <w:szCs w:val="22"/>
        </w:rPr>
      </w:pPr>
    </w:p>
    <w:p w14:paraId="45A504F5" w14:textId="77777777" w:rsidR="00713AC9" w:rsidRPr="00183B5F" w:rsidRDefault="00943743" w:rsidP="00713AC9">
      <w:pPr>
        <w:spacing w:line="240" w:lineRule="auto"/>
        <w:ind w:right="-2"/>
        <w:rPr>
          <w:szCs w:val="22"/>
        </w:rPr>
      </w:pPr>
      <w:r w:rsidRPr="00183B5F">
        <w:rPr>
          <w:szCs w:val="22"/>
        </w:rPr>
        <w:t>Az adalimumab célpontja a tumor nekrózis faktor (TNF</w:t>
      </w:r>
      <w:r w:rsidRPr="00183B5F">
        <w:rPr>
          <w:noProof/>
          <w:color w:val="000000"/>
          <w:szCs w:val="22"/>
        </w:rPr>
        <w:t>α</w:t>
      </w:r>
      <w:r w:rsidRPr="00183B5F">
        <w:rPr>
          <w:szCs w:val="22"/>
        </w:rPr>
        <w:t>) nevű fehérje, mely az immun (védekező) rendszer működésében vesz részt, és a fent felsorolt gyulladásos betegségekben megnövekedett mennyiségben van jelen. A TNF</w:t>
      </w:r>
      <w:r w:rsidRPr="00183B5F">
        <w:rPr>
          <w:noProof/>
          <w:color w:val="000000"/>
          <w:szCs w:val="22"/>
        </w:rPr>
        <w:t>α</w:t>
      </w:r>
      <w:r w:rsidRPr="00183B5F">
        <w:rPr>
          <w:szCs w:val="22"/>
        </w:rPr>
        <w:noBreakHyphen/>
      </w:r>
      <w:r w:rsidRPr="00183B5F">
        <w:rPr>
          <w:szCs w:val="22"/>
        </w:rPr>
        <w:t>hoz való kötődéssel a Humira csökkenti ezen betegségek gyulladásos folyamatait.</w:t>
      </w:r>
    </w:p>
    <w:p w14:paraId="66BBF7F4" w14:textId="77777777" w:rsidR="00713AC9" w:rsidRPr="00183B5F" w:rsidRDefault="00713AC9" w:rsidP="00713AC9">
      <w:pPr>
        <w:spacing w:line="240" w:lineRule="auto"/>
        <w:ind w:right="-2"/>
        <w:rPr>
          <w:szCs w:val="22"/>
        </w:rPr>
      </w:pPr>
    </w:p>
    <w:p w14:paraId="54243A62" w14:textId="77777777" w:rsidR="00713AC9" w:rsidRPr="00183B5F" w:rsidRDefault="00943743" w:rsidP="00713AC9">
      <w:pPr>
        <w:spacing w:line="240" w:lineRule="auto"/>
        <w:ind w:right="-2"/>
        <w:rPr>
          <w:b/>
          <w:szCs w:val="22"/>
        </w:rPr>
      </w:pPr>
      <w:r w:rsidRPr="00183B5F">
        <w:rPr>
          <w:b/>
          <w:szCs w:val="22"/>
        </w:rPr>
        <w:t>Reumatoid artritisz</w:t>
      </w:r>
    </w:p>
    <w:p w14:paraId="0CE0AD47" w14:textId="77777777" w:rsidR="00713AC9" w:rsidRPr="00183B5F" w:rsidRDefault="00713AC9" w:rsidP="00713AC9">
      <w:pPr>
        <w:spacing w:line="240" w:lineRule="auto"/>
        <w:ind w:right="-2"/>
        <w:rPr>
          <w:szCs w:val="22"/>
        </w:rPr>
      </w:pPr>
    </w:p>
    <w:p w14:paraId="226430F2" w14:textId="77777777" w:rsidR="00713AC9" w:rsidRPr="00183B5F" w:rsidRDefault="00943743" w:rsidP="00713AC9">
      <w:pPr>
        <w:spacing w:line="240" w:lineRule="auto"/>
        <w:ind w:right="-2"/>
        <w:rPr>
          <w:szCs w:val="22"/>
        </w:rPr>
      </w:pPr>
      <w:r w:rsidRPr="00183B5F">
        <w:rPr>
          <w:szCs w:val="22"/>
        </w:rPr>
        <w:t>A reumatoid artritisz az ízületek gyulladásos betegsége.</w:t>
      </w:r>
    </w:p>
    <w:p w14:paraId="78B67792" w14:textId="77777777" w:rsidR="00713AC9" w:rsidRPr="00183B5F" w:rsidRDefault="00713AC9" w:rsidP="00713AC9">
      <w:pPr>
        <w:spacing w:line="240" w:lineRule="auto"/>
        <w:ind w:right="-2"/>
        <w:rPr>
          <w:szCs w:val="22"/>
        </w:rPr>
      </w:pPr>
    </w:p>
    <w:p w14:paraId="0B161D12" w14:textId="77777777" w:rsidR="00713AC9" w:rsidRPr="00183B5F" w:rsidRDefault="00943743" w:rsidP="00713AC9">
      <w:pPr>
        <w:spacing w:line="240" w:lineRule="auto"/>
        <w:ind w:right="-2"/>
        <w:rPr>
          <w:szCs w:val="22"/>
        </w:rPr>
      </w:pPr>
      <w:r w:rsidRPr="00183B5F">
        <w:rPr>
          <w:szCs w:val="22"/>
        </w:rPr>
        <w:t xml:space="preserve">A Humira alkalmazható a felnőttkori közepesen súlyos - súlyos reumatoid artritisz kezelésére. Ön először egyéb, betegséget módosító gyógyszereket, </w:t>
      </w:r>
      <w:r w:rsidR="00F15477" w:rsidRPr="00183B5F">
        <w:rPr>
          <w:bCs/>
          <w:szCs w:val="22"/>
        </w:rPr>
        <w:t>például</w:t>
      </w:r>
      <w:r w:rsidRPr="00183B5F">
        <w:rPr>
          <w:szCs w:val="22"/>
        </w:rPr>
        <w:t xml:space="preserve"> metotrexátot kaphat. Ha a kezelésre nem reagál megfelelő módon, akkor Humira</w:t>
      </w:r>
      <w:r w:rsidR="00CE0694" w:rsidRPr="00183B5F">
        <w:rPr>
          <w:szCs w:val="22"/>
        </w:rPr>
        <w:noBreakHyphen/>
      </w:r>
      <w:r w:rsidRPr="00183B5F">
        <w:rPr>
          <w:szCs w:val="22"/>
        </w:rPr>
        <w:t>t fog kapni.</w:t>
      </w:r>
    </w:p>
    <w:p w14:paraId="6A65E6EC" w14:textId="77777777" w:rsidR="00713AC9" w:rsidRPr="00183B5F" w:rsidRDefault="00713AC9" w:rsidP="00713AC9">
      <w:pPr>
        <w:spacing w:line="240" w:lineRule="auto"/>
        <w:ind w:right="-2"/>
        <w:rPr>
          <w:szCs w:val="22"/>
        </w:rPr>
      </w:pPr>
    </w:p>
    <w:p w14:paraId="6258CC17" w14:textId="77777777" w:rsidR="00713AC9" w:rsidRPr="00183B5F" w:rsidRDefault="00943743" w:rsidP="00713AC9">
      <w:pPr>
        <w:spacing w:line="240" w:lineRule="auto"/>
        <w:ind w:right="-2"/>
        <w:rPr>
          <w:szCs w:val="22"/>
        </w:rPr>
      </w:pPr>
      <w:r w:rsidRPr="00183B5F">
        <w:rPr>
          <w:szCs w:val="22"/>
        </w:rPr>
        <w:t xml:space="preserve">A Humira-t használni lehet súlyos, aktív és súlyosbodó reumatoid artritiszben előzetes </w:t>
      </w:r>
      <w:r w:rsidR="001A6E66" w:rsidRPr="00183B5F">
        <w:rPr>
          <w:szCs w:val="22"/>
        </w:rPr>
        <w:t>metotrexát-keze</w:t>
      </w:r>
      <w:r w:rsidRPr="00183B5F">
        <w:rPr>
          <w:szCs w:val="22"/>
        </w:rPr>
        <w:t>lés nélkül is.</w:t>
      </w:r>
    </w:p>
    <w:p w14:paraId="039A7ED4" w14:textId="77777777" w:rsidR="00713AC9" w:rsidRPr="00183B5F" w:rsidRDefault="00713AC9" w:rsidP="00713AC9">
      <w:pPr>
        <w:spacing w:line="240" w:lineRule="auto"/>
        <w:ind w:right="-2"/>
        <w:rPr>
          <w:szCs w:val="22"/>
        </w:rPr>
      </w:pPr>
    </w:p>
    <w:p w14:paraId="590030C7" w14:textId="77777777" w:rsidR="00713AC9" w:rsidRPr="00183B5F" w:rsidRDefault="00943743" w:rsidP="00713AC9">
      <w:pPr>
        <w:spacing w:line="240" w:lineRule="auto"/>
        <w:ind w:right="-2"/>
        <w:rPr>
          <w:szCs w:val="22"/>
        </w:rPr>
      </w:pPr>
      <w:r w:rsidRPr="00183B5F">
        <w:rPr>
          <w:szCs w:val="22"/>
        </w:rPr>
        <w:t>A Humira képes lassítani a betegség okozta ízületi károsodást és segíti a szabadabb mozgást.</w:t>
      </w:r>
    </w:p>
    <w:p w14:paraId="775C311C" w14:textId="77777777" w:rsidR="00713AC9" w:rsidRPr="00183B5F" w:rsidRDefault="00713AC9" w:rsidP="00713AC9">
      <w:pPr>
        <w:spacing w:line="240" w:lineRule="auto"/>
        <w:ind w:right="-2"/>
        <w:rPr>
          <w:szCs w:val="22"/>
        </w:rPr>
      </w:pPr>
    </w:p>
    <w:p w14:paraId="26D4F1D0" w14:textId="77777777" w:rsidR="00713AC9" w:rsidRPr="00183B5F" w:rsidRDefault="00943743" w:rsidP="00713AC9">
      <w:pPr>
        <w:spacing w:line="240" w:lineRule="auto"/>
        <w:ind w:right="-2"/>
        <w:rPr>
          <w:szCs w:val="22"/>
          <w:u w:val="single"/>
        </w:rPr>
      </w:pPr>
      <w:r w:rsidRPr="00183B5F">
        <w:rPr>
          <w:szCs w:val="22"/>
        </w:rPr>
        <w:t>Az Ön kezelőorvosa fogja eldönteni, hogy a Humira</w:t>
      </w:r>
      <w:r w:rsidRPr="00183B5F">
        <w:rPr>
          <w:szCs w:val="22"/>
        </w:rPr>
        <w:noBreakHyphen/>
        <w:t>t metotrexáttal együtt, vagy önmagában alkalmazza.</w:t>
      </w:r>
    </w:p>
    <w:p w14:paraId="524D8F1B" w14:textId="77777777" w:rsidR="00713AC9" w:rsidRPr="00183B5F" w:rsidRDefault="00713AC9" w:rsidP="00713AC9">
      <w:pPr>
        <w:spacing w:line="240" w:lineRule="auto"/>
        <w:ind w:right="-2"/>
        <w:rPr>
          <w:szCs w:val="22"/>
          <w:u w:val="single"/>
        </w:rPr>
      </w:pPr>
    </w:p>
    <w:p w14:paraId="0477D0C9" w14:textId="77777777" w:rsidR="00713AC9" w:rsidRPr="00183B5F" w:rsidRDefault="00943743" w:rsidP="00713AC9">
      <w:pPr>
        <w:spacing w:line="240" w:lineRule="auto"/>
        <w:ind w:right="-2"/>
        <w:rPr>
          <w:szCs w:val="22"/>
        </w:rPr>
      </w:pPr>
      <w:r w:rsidRPr="00183B5F">
        <w:rPr>
          <w:b/>
          <w:szCs w:val="22"/>
        </w:rPr>
        <w:t>Poliartikuláris juvenilis idiopátiás artritisz</w:t>
      </w:r>
    </w:p>
    <w:p w14:paraId="0391578F" w14:textId="77777777" w:rsidR="00713AC9" w:rsidRPr="00183B5F" w:rsidRDefault="00713AC9" w:rsidP="00713AC9">
      <w:pPr>
        <w:spacing w:line="240" w:lineRule="auto"/>
        <w:ind w:right="-2"/>
        <w:rPr>
          <w:szCs w:val="22"/>
        </w:rPr>
      </w:pPr>
    </w:p>
    <w:p w14:paraId="79D8C6B0" w14:textId="77777777" w:rsidR="00713AC9" w:rsidRPr="00183B5F" w:rsidRDefault="00943743" w:rsidP="00713AC9">
      <w:pPr>
        <w:spacing w:line="240" w:lineRule="auto"/>
        <w:ind w:right="-2"/>
        <w:rPr>
          <w:szCs w:val="22"/>
        </w:rPr>
      </w:pPr>
      <w:r w:rsidRPr="00183B5F">
        <w:rPr>
          <w:szCs w:val="22"/>
        </w:rPr>
        <w:t>A gyermekkori ismeretlen eredetű sokízületi gyulladás az ízületek gyulladásos betegsége.</w:t>
      </w:r>
    </w:p>
    <w:p w14:paraId="0C4B418E" w14:textId="77777777" w:rsidR="00713AC9" w:rsidRPr="00183B5F" w:rsidRDefault="00713AC9" w:rsidP="00713AC9">
      <w:pPr>
        <w:spacing w:line="240" w:lineRule="auto"/>
        <w:ind w:right="-2"/>
        <w:rPr>
          <w:szCs w:val="22"/>
          <w:u w:val="single"/>
        </w:rPr>
      </w:pPr>
    </w:p>
    <w:p w14:paraId="3E1EA28D" w14:textId="77777777" w:rsidR="00713AC9" w:rsidRPr="00183B5F" w:rsidRDefault="00943743" w:rsidP="00713AC9">
      <w:pPr>
        <w:spacing w:line="240" w:lineRule="auto"/>
        <w:ind w:right="-2"/>
        <w:rPr>
          <w:szCs w:val="22"/>
        </w:rPr>
      </w:pPr>
      <w:r w:rsidRPr="00183B5F">
        <w:rPr>
          <w:szCs w:val="22"/>
        </w:rPr>
        <w:t>A Humira 2 éves kortól alkalmazható</w:t>
      </w:r>
      <w:r w:rsidR="00316EC0" w:rsidRPr="00183B5F">
        <w:rPr>
          <w:szCs w:val="22"/>
        </w:rPr>
        <w:t xml:space="preserve"> </w:t>
      </w:r>
      <w:r w:rsidRPr="00183B5F">
        <w:rPr>
          <w:szCs w:val="22"/>
        </w:rPr>
        <w:t xml:space="preserve">a gyermekkori ismeretlen eredetű sokízületi gyulladás (poliartikuláris juvenilis idiopátiás artritisz) kezelésére. Ön először egyéb, betegséget módosító gyógyszereket </w:t>
      </w:r>
      <w:r w:rsidR="00F15477" w:rsidRPr="00183B5F">
        <w:rPr>
          <w:bCs/>
          <w:szCs w:val="22"/>
        </w:rPr>
        <w:t>például</w:t>
      </w:r>
      <w:r w:rsidRPr="00183B5F">
        <w:rPr>
          <w:szCs w:val="22"/>
        </w:rPr>
        <w:t xml:space="preserve"> metotrexátot kaphat. Ha</w:t>
      </w:r>
      <w:r w:rsidR="00316EC0" w:rsidRPr="00183B5F">
        <w:rPr>
          <w:szCs w:val="22"/>
        </w:rPr>
        <w:t xml:space="preserve"> </w:t>
      </w:r>
      <w:r w:rsidRPr="00183B5F">
        <w:rPr>
          <w:szCs w:val="22"/>
        </w:rPr>
        <w:t>Ön nem reagál kellőképpen ezekre a gyógyszerekre, akkor Humira</w:t>
      </w:r>
      <w:r w:rsidRPr="00183B5F">
        <w:rPr>
          <w:szCs w:val="22"/>
        </w:rPr>
        <w:noBreakHyphen/>
        <w:t>t fog kapni.</w:t>
      </w:r>
    </w:p>
    <w:p w14:paraId="384EDD61" w14:textId="77777777" w:rsidR="00713AC9" w:rsidRPr="00183B5F" w:rsidRDefault="00713AC9" w:rsidP="00713AC9">
      <w:pPr>
        <w:spacing w:line="240" w:lineRule="auto"/>
        <w:ind w:right="-2"/>
        <w:rPr>
          <w:szCs w:val="22"/>
        </w:rPr>
      </w:pPr>
    </w:p>
    <w:p w14:paraId="448FAA21" w14:textId="77777777" w:rsidR="00713AC9" w:rsidRPr="00183B5F" w:rsidRDefault="00943743" w:rsidP="00713AC9">
      <w:pPr>
        <w:spacing w:line="240" w:lineRule="auto"/>
        <w:ind w:right="-2"/>
        <w:rPr>
          <w:szCs w:val="22"/>
        </w:rPr>
      </w:pPr>
      <w:r w:rsidRPr="00183B5F">
        <w:rPr>
          <w:szCs w:val="22"/>
        </w:rPr>
        <w:t>Az Ön kezelőorvosa fogja eldönteni, hogy a Humira-t metotrexáttal együtt, vagy önmagában alkalmazza.</w:t>
      </w:r>
    </w:p>
    <w:p w14:paraId="567E904D" w14:textId="77777777" w:rsidR="00713AC9" w:rsidRPr="00183B5F" w:rsidRDefault="00713AC9" w:rsidP="00713AC9">
      <w:pPr>
        <w:spacing w:line="240" w:lineRule="auto"/>
        <w:ind w:right="-2"/>
        <w:rPr>
          <w:szCs w:val="22"/>
        </w:rPr>
      </w:pPr>
    </w:p>
    <w:p w14:paraId="5072AB6B" w14:textId="77777777" w:rsidR="00713AC9" w:rsidRPr="00183B5F" w:rsidRDefault="00943743" w:rsidP="00713AC9">
      <w:pPr>
        <w:spacing w:line="240" w:lineRule="auto"/>
        <w:ind w:right="-2"/>
        <w:rPr>
          <w:b/>
          <w:szCs w:val="22"/>
        </w:rPr>
      </w:pPr>
      <w:r w:rsidRPr="00183B5F">
        <w:rPr>
          <w:b/>
          <w:szCs w:val="22"/>
        </w:rPr>
        <w:t>Entezitisszel társult artritisz</w:t>
      </w:r>
    </w:p>
    <w:p w14:paraId="5A2712B8" w14:textId="77777777" w:rsidR="00713AC9" w:rsidRPr="00183B5F" w:rsidRDefault="00713AC9" w:rsidP="00713AC9">
      <w:pPr>
        <w:spacing w:line="240" w:lineRule="auto"/>
        <w:ind w:right="-2"/>
        <w:rPr>
          <w:szCs w:val="22"/>
        </w:rPr>
      </w:pPr>
    </w:p>
    <w:p w14:paraId="2805F76F" w14:textId="77777777" w:rsidR="00713AC9" w:rsidRPr="00183B5F" w:rsidRDefault="00943743" w:rsidP="00713AC9">
      <w:pPr>
        <w:spacing w:line="240" w:lineRule="auto"/>
        <w:ind w:right="-2"/>
        <w:rPr>
          <w:szCs w:val="22"/>
        </w:rPr>
      </w:pPr>
      <w:r w:rsidRPr="00183B5F">
        <w:rPr>
          <w:szCs w:val="22"/>
        </w:rPr>
        <w:t>Az entezitisszel társult artritisz az inak tapadási helyének gyulladásos elváltozásával társult reumás ízületi gyulladás.</w:t>
      </w:r>
    </w:p>
    <w:p w14:paraId="07F227F5" w14:textId="77777777" w:rsidR="00713AC9" w:rsidRPr="00183B5F" w:rsidRDefault="00713AC9" w:rsidP="00713AC9">
      <w:pPr>
        <w:spacing w:line="240" w:lineRule="auto"/>
        <w:ind w:right="-2"/>
        <w:rPr>
          <w:szCs w:val="22"/>
        </w:rPr>
      </w:pPr>
    </w:p>
    <w:p w14:paraId="6FF3922E" w14:textId="77777777" w:rsidR="00713AC9" w:rsidRPr="00183B5F" w:rsidRDefault="00943743" w:rsidP="00713AC9">
      <w:pPr>
        <w:spacing w:line="240" w:lineRule="auto"/>
        <w:ind w:right="-2"/>
        <w:rPr>
          <w:szCs w:val="22"/>
        </w:rPr>
      </w:pPr>
      <w:r w:rsidRPr="00183B5F">
        <w:rPr>
          <w:szCs w:val="22"/>
        </w:rPr>
        <w:t xml:space="preserve">A Humira 6 éves kortól alkalmazható az entezitisszel társult artritisz kezelésére. Ön először egyéb, betegséget módosító gyógyszereket </w:t>
      </w:r>
      <w:r w:rsidR="00F15477" w:rsidRPr="00183B5F">
        <w:rPr>
          <w:bCs/>
          <w:szCs w:val="22"/>
        </w:rPr>
        <w:t>például</w:t>
      </w:r>
      <w:r w:rsidRPr="00183B5F">
        <w:rPr>
          <w:szCs w:val="22"/>
        </w:rPr>
        <w:t xml:space="preserve"> metotrexátot kaphat. Ha Ön nem reagál kellőképpen ezekre a gyógyszerekre, akkor Humira</w:t>
      </w:r>
      <w:r w:rsidRPr="00183B5F">
        <w:rPr>
          <w:szCs w:val="22"/>
        </w:rPr>
        <w:noBreakHyphen/>
        <w:t>t fog kapni.</w:t>
      </w:r>
    </w:p>
    <w:p w14:paraId="6E3BE70B" w14:textId="77777777" w:rsidR="00713AC9" w:rsidRPr="00183B5F" w:rsidRDefault="00713AC9" w:rsidP="00713AC9">
      <w:pPr>
        <w:spacing w:line="240" w:lineRule="auto"/>
        <w:ind w:right="-2"/>
        <w:rPr>
          <w:szCs w:val="22"/>
        </w:rPr>
      </w:pPr>
    </w:p>
    <w:p w14:paraId="0B1B866A" w14:textId="77777777" w:rsidR="00713AC9" w:rsidRPr="00183B5F" w:rsidRDefault="00943743" w:rsidP="00713AC9">
      <w:pPr>
        <w:spacing w:line="240" w:lineRule="auto"/>
        <w:ind w:right="-2"/>
        <w:rPr>
          <w:b/>
          <w:szCs w:val="22"/>
        </w:rPr>
      </w:pPr>
      <w:r w:rsidRPr="00183B5F">
        <w:rPr>
          <w:b/>
          <w:szCs w:val="22"/>
        </w:rPr>
        <w:t>Spondilitisz ankilopoetika és spondilitisz ankilopoetikára jellemző röntgeneltérést nem mutató gerincízületi gyulladás (axiális spondiloartritisz)</w:t>
      </w:r>
    </w:p>
    <w:p w14:paraId="3A0035E6" w14:textId="77777777" w:rsidR="00713AC9" w:rsidRPr="00183B5F" w:rsidRDefault="00713AC9" w:rsidP="00713AC9">
      <w:pPr>
        <w:spacing w:line="240" w:lineRule="auto"/>
        <w:ind w:right="-2"/>
        <w:rPr>
          <w:szCs w:val="22"/>
        </w:rPr>
      </w:pPr>
    </w:p>
    <w:p w14:paraId="35208488" w14:textId="77777777" w:rsidR="00713AC9" w:rsidRPr="00183B5F" w:rsidRDefault="00943743" w:rsidP="00713AC9">
      <w:pPr>
        <w:spacing w:line="240" w:lineRule="auto"/>
        <w:ind w:right="-2"/>
        <w:rPr>
          <w:szCs w:val="22"/>
        </w:rPr>
      </w:pPr>
      <w:r w:rsidRPr="00183B5F">
        <w:rPr>
          <w:szCs w:val="22"/>
        </w:rPr>
        <w:t>A spondilitisz ankilopoetika és a spondilitisz ankilopoetikára jellemző röntgeneltérést nem mutató gerincízületi gyulladás (axiális spondiloartritisz) a gerincoszlop gyulladással járó betegsége.</w:t>
      </w:r>
    </w:p>
    <w:p w14:paraId="3B89364A" w14:textId="77777777" w:rsidR="00713AC9" w:rsidRPr="00183B5F" w:rsidRDefault="00713AC9" w:rsidP="00713AC9">
      <w:pPr>
        <w:spacing w:line="240" w:lineRule="auto"/>
        <w:ind w:right="-2"/>
        <w:rPr>
          <w:szCs w:val="22"/>
        </w:rPr>
      </w:pPr>
    </w:p>
    <w:p w14:paraId="19F48968" w14:textId="77777777" w:rsidR="00713AC9" w:rsidRPr="00183B5F" w:rsidRDefault="00943743" w:rsidP="00713AC9">
      <w:pPr>
        <w:spacing w:line="240" w:lineRule="auto"/>
        <w:ind w:right="-2"/>
        <w:rPr>
          <w:szCs w:val="22"/>
        </w:rPr>
      </w:pPr>
      <w:r w:rsidRPr="00183B5F">
        <w:rPr>
          <w:szCs w:val="22"/>
        </w:rPr>
        <w:t>A Humira alkalmazható felnőttkori súlyos spondilitisz ankilopoetika és spondilitisz ankilopoetikára jellemző röntgeneltérést nem mutató gerincízületi gyulladás (axiális spondiloartritisz) kezelésére. Ön először egyéb gyógyszereket kaphat. Ha nem reagál megfelelő módon ezekre a gyógyszerekre, akkor Humira</w:t>
      </w:r>
      <w:r w:rsidRPr="00183B5F">
        <w:rPr>
          <w:szCs w:val="22"/>
        </w:rPr>
        <w:noBreakHyphen/>
        <w:t>t fog kapni.</w:t>
      </w:r>
    </w:p>
    <w:p w14:paraId="55480A0F" w14:textId="77777777" w:rsidR="00713AC9" w:rsidRPr="00183B5F" w:rsidRDefault="00713AC9" w:rsidP="00713AC9">
      <w:pPr>
        <w:spacing w:line="240" w:lineRule="auto"/>
        <w:ind w:right="-2"/>
        <w:rPr>
          <w:szCs w:val="22"/>
        </w:rPr>
      </w:pPr>
    </w:p>
    <w:p w14:paraId="47B6D2E4" w14:textId="77777777" w:rsidR="00713AC9" w:rsidRPr="00183B5F" w:rsidRDefault="00943743" w:rsidP="00713AC9">
      <w:pPr>
        <w:spacing w:line="240" w:lineRule="auto"/>
        <w:rPr>
          <w:b/>
          <w:szCs w:val="22"/>
        </w:rPr>
      </w:pPr>
      <w:r w:rsidRPr="00183B5F">
        <w:rPr>
          <w:b/>
          <w:szCs w:val="22"/>
        </w:rPr>
        <w:t>Artritisz pszoriatika</w:t>
      </w:r>
    </w:p>
    <w:p w14:paraId="4BC54ED1" w14:textId="77777777" w:rsidR="00713AC9" w:rsidRPr="00183B5F" w:rsidRDefault="00713AC9" w:rsidP="00713AC9">
      <w:pPr>
        <w:spacing w:line="240" w:lineRule="auto"/>
        <w:ind w:right="-2"/>
        <w:rPr>
          <w:szCs w:val="22"/>
        </w:rPr>
      </w:pPr>
    </w:p>
    <w:p w14:paraId="6B6D8788" w14:textId="77777777" w:rsidR="00713AC9" w:rsidRPr="00183B5F" w:rsidRDefault="00943743" w:rsidP="00713AC9">
      <w:pPr>
        <w:spacing w:line="240" w:lineRule="auto"/>
        <w:ind w:right="-2"/>
        <w:rPr>
          <w:szCs w:val="22"/>
        </w:rPr>
      </w:pPr>
      <w:r w:rsidRPr="00183B5F">
        <w:rPr>
          <w:szCs w:val="22"/>
        </w:rPr>
        <w:t>Az artritisz pszoriatika az ízületek olyan gyulladásos betegsége, amely általában pikkelysömörrel társul.</w:t>
      </w:r>
    </w:p>
    <w:p w14:paraId="63F563EA" w14:textId="77777777" w:rsidR="00713AC9" w:rsidRPr="00183B5F" w:rsidRDefault="00713AC9" w:rsidP="00713AC9">
      <w:pPr>
        <w:spacing w:line="240" w:lineRule="auto"/>
        <w:ind w:right="-2"/>
        <w:rPr>
          <w:szCs w:val="22"/>
        </w:rPr>
      </w:pPr>
    </w:p>
    <w:p w14:paraId="5806FD6B" w14:textId="77777777" w:rsidR="00713AC9" w:rsidRPr="00183B5F" w:rsidRDefault="00943743" w:rsidP="00713AC9">
      <w:pPr>
        <w:spacing w:line="240" w:lineRule="auto"/>
        <w:ind w:right="-2"/>
        <w:rPr>
          <w:szCs w:val="22"/>
        </w:rPr>
      </w:pPr>
      <w:r w:rsidRPr="00183B5F">
        <w:rPr>
          <w:szCs w:val="22"/>
        </w:rPr>
        <w:t>A Humira alkalmazható a felnőttkori artritisz pszoriatika kezelésére. A Humira képes lassítani az ízületekben a betegség által okozott károsodást, valamint segíti a szabadabb mozgást. Ön először egyéb gyógyszereket kaphat. Ha Ön nem reagál kellőképpen ezekre a gyógyszerekre, akkor Humira</w:t>
      </w:r>
      <w:r w:rsidRPr="00183B5F">
        <w:rPr>
          <w:szCs w:val="22"/>
        </w:rPr>
        <w:noBreakHyphen/>
        <w:t>t fog kapni.</w:t>
      </w:r>
    </w:p>
    <w:p w14:paraId="1F34E3EA" w14:textId="77777777" w:rsidR="00713AC9" w:rsidRPr="00183B5F" w:rsidRDefault="00713AC9" w:rsidP="00713AC9">
      <w:pPr>
        <w:spacing w:line="240" w:lineRule="auto"/>
        <w:ind w:right="-2"/>
        <w:rPr>
          <w:szCs w:val="22"/>
        </w:rPr>
      </w:pPr>
    </w:p>
    <w:p w14:paraId="4B184D04" w14:textId="77777777" w:rsidR="00713AC9" w:rsidRPr="00183B5F" w:rsidRDefault="00943743" w:rsidP="00713AC9">
      <w:pPr>
        <w:pStyle w:val="DefaultText"/>
        <w:rPr>
          <w:rFonts w:ascii="Times New Roman" w:hAnsi="Times New Roman"/>
          <w:b/>
          <w:szCs w:val="22"/>
          <w:lang w:val="hu-HU"/>
        </w:rPr>
      </w:pPr>
      <w:r w:rsidRPr="00183B5F">
        <w:rPr>
          <w:rFonts w:ascii="Times New Roman" w:hAnsi="Times New Roman"/>
          <w:b/>
          <w:szCs w:val="22"/>
          <w:lang w:val="hu-HU"/>
        </w:rPr>
        <w:t xml:space="preserve">Pikkelysömör (plakkos pszoriázis) </w:t>
      </w:r>
    </w:p>
    <w:p w14:paraId="7E4F7774" w14:textId="77777777" w:rsidR="00713AC9" w:rsidRPr="00183B5F" w:rsidRDefault="00713AC9" w:rsidP="00713AC9">
      <w:pPr>
        <w:pStyle w:val="DefaultText"/>
        <w:rPr>
          <w:rFonts w:ascii="Times New Roman" w:hAnsi="Times New Roman"/>
          <w:szCs w:val="22"/>
          <w:lang w:val="hu-HU"/>
        </w:rPr>
      </w:pPr>
    </w:p>
    <w:p w14:paraId="49A697A6" w14:textId="77777777" w:rsidR="00713AC9" w:rsidRPr="00183B5F" w:rsidRDefault="00943743" w:rsidP="00713AC9">
      <w:pPr>
        <w:suppressAutoHyphens w:val="0"/>
        <w:autoSpaceDE w:val="0"/>
        <w:autoSpaceDN w:val="0"/>
        <w:adjustRightInd w:val="0"/>
        <w:spacing w:line="240" w:lineRule="auto"/>
        <w:rPr>
          <w:bCs/>
          <w:szCs w:val="22"/>
        </w:rPr>
      </w:pPr>
      <w:r w:rsidRPr="00183B5F">
        <w:rPr>
          <w:bCs/>
          <w:szCs w:val="22"/>
        </w:rPr>
        <w:t>A plakkos pszoriázis egy bőrbetegség, amely ezüstös pikkelyekkel borított piros, hámló, kérges foltokat okoz a bőrön. A plakkos pszoriázis a körmöket is érintheti, a köröm töredezését, megvastagodását, a körömágytól való elválását okozva, ami fájdalmas lehet.</w:t>
      </w:r>
    </w:p>
    <w:p w14:paraId="1714948C" w14:textId="77777777" w:rsidR="00713AC9" w:rsidRPr="00183B5F" w:rsidRDefault="00713AC9" w:rsidP="00713AC9">
      <w:pPr>
        <w:pStyle w:val="DefaultText"/>
        <w:rPr>
          <w:rFonts w:ascii="Times New Roman" w:hAnsi="Times New Roman"/>
          <w:szCs w:val="22"/>
          <w:u w:val="single"/>
          <w:lang w:val="hu-HU"/>
        </w:rPr>
      </w:pPr>
    </w:p>
    <w:p w14:paraId="0B937F27" w14:textId="77777777" w:rsidR="00713AC9" w:rsidRPr="00183B5F" w:rsidRDefault="00943743" w:rsidP="00713AC9">
      <w:pPr>
        <w:spacing w:line="240" w:lineRule="auto"/>
        <w:ind w:right="-2"/>
        <w:rPr>
          <w:szCs w:val="22"/>
        </w:rPr>
      </w:pPr>
      <w:r w:rsidRPr="00183B5F">
        <w:rPr>
          <w:szCs w:val="22"/>
        </w:rPr>
        <w:t>A Humira alkalmazható</w:t>
      </w:r>
    </w:p>
    <w:p w14:paraId="3481A8CD" w14:textId="77777777" w:rsidR="00713AC9" w:rsidRPr="00183B5F" w:rsidRDefault="00943743" w:rsidP="00713AC9">
      <w:pPr>
        <w:pStyle w:val="ListParagraph"/>
        <w:numPr>
          <w:ilvl w:val="0"/>
          <w:numId w:val="188"/>
        </w:numPr>
        <w:spacing w:line="240" w:lineRule="auto"/>
        <w:ind w:right="-2"/>
        <w:rPr>
          <w:szCs w:val="22"/>
        </w:rPr>
      </w:pPr>
      <w:r w:rsidRPr="00183B5F">
        <w:rPr>
          <w:szCs w:val="22"/>
        </w:rPr>
        <w:t>a közepesen súlyos - súlyos idült felnőttkori pszoriázis kezelésére és</w:t>
      </w:r>
    </w:p>
    <w:p w14:paraId="6D358BB3" w14:textId="77777777" w:rsidR="00713AC9" w:rsidRPr="00183B5F" w:rsidRDefault="00943743" w:rsidP="00713AC9">
      <w:pPr>
        <w:pStyle w:val="ListParagraph"/>
        <w:numPr>
          <w:ilvl w:val="0"/>
          <w:numId w:val="188"/>
        </w:numPr>
        <w:spacing w:line="240" w:lineRule="auto"/>
        <w:ind w:right="-2"/>
        <w:rPr>
          <w:szCs w:val="22"/>
        </w:rPr>
      </w:pPr>
      <w:r w:rsidRPr="00183B5F">
        <w:rPr>
          <w:bCs/>
          <w:szCs w:val="22"/>
        </w:rPr>
        <w:t>súlyos, idült plakkos pszoriázisban szenvedő, 4</w:t>
      </w:r>
      <w:r w:rsidRPr="00183B5F">
        <w:rPr>
          <w:bCs/>
          <w:szCs w:val="22"/>
        </w:rPr>
        <w:noBreakHyphen/>
        <w:t>17 év közötti gyermekeknél és serdülőknél is, akiknél a helyi kezelés és a fényterápiák nem használtak, vagy nem alkalmazhatóak.</w:t>
      </w:r>
    </w:p>
    <w:p w14:paraId="3A3D39F4" w14:textId="77777777" w:rsidR="00713AC9" w:rsidRPr="00183B5F" w:rsidRDefault="00713AC9" w:rsidP="00713AC9">
      <w:pPr>
        <w:spacing w:line="240" w:lineRule="auto"/>
        <w:ind w:right="-2"/>
        <w:rPr>
          <w:bCs/>
          <w:szCs w:val="22"/>
        </w:rPr>
      </w:pPr>
    </w:p>
    <w:p w14:paraId="59E51D15" w14:textId="77777777" w:rsidR="00713AC9" w:rsidRPr="00183B5F" w:rsidRDefault="00943743" w:rsidP="00713AC9">
      <w:pPr>
        <w:keepNext/>
        <w:spacing w:line="240" w:lineRule="auto"/>
        <w:rPr>
          <w:b/>
          <w:bCs/>
          <w:szCs w:val="22"/>
        </w:rPr>
      </w:pPr>
      <w:r w:rsidRPr="00183B5F">
        <w:rPr>
          <w:b/>
          <w:szCs w:val="22"/>
        </w:rPr>
        <w:t>Hidradenitisz szuppuratíva</w:t>
      </w:r>
    </w:p>
    <w:p w14:paraId="4599877E" w14:textId="77777777" w:rsidR="00713AC9" w:rsidRPr="00183B5F" w:rsidRDefault="00713AC9" w:rsidP="00713AC9">
      <w:pPr>
        <w:keepNext/>
        <w:spacing w:line="240" w:lineRule="auto"/>
        <w:rPr>
          <w:bCs/>
          <w:szCs w:val="22"/>
          <w:u w:val="single"/>
        </w:rPr>
      </w:pPr>
    </w:p>
    <w:p w14:paraId="2DEFD6F3" w14:textId="77777777" w:rsidR="00713AC9" w:rsidRPr="00183B5F" w:rsidRDefault="00943743" w:rsidP="00713AC9">
      <w:pPr>
        <w:spacing w:line="240" w:lineRule="auto"/>
        <w:ind w:right="-2"/>
        <w:rPr>
          <w:bCs/>
          <w:szCs w:val="22"/>
        </w:rPr>
      </w:pPr>
      <w:r w:rsidRPr="00183B5F">
        <w:rPr>
          <w:bCs/>
          <w:szCs w:val="22"/>
        </w:rPr>
        <w:t xml:space="preserve">A </w:t>
      </w:r>
      <w:r w:rsidRPr="00183B5F">
        <w:rPr>
          <w:szCs w:val="22"/>
        </w:rPr>
        <w:t>hidradenitisz szuppuratíva</w:t>
      </w:r>
      <w:r w:rsidRPr="00183B5F">
        <w:rPr>
          <w:bCs/>
          <w:szCs w:val="22"/>
        </w:rPr>
        <w:t xml:space="preserve"> (más néven inverz akne) egy krónikus és gyakran fájdalmas, gyulladásos bőrbetegség. A tünetek közé tartozhatnak a bőr alatti gócok (csomók) és tályogok (kelések), melyekből genny szivároghat. Ez leggyakrabban a bőr bizonyos területein jelenik meg, </w:t>
      </w:r>
      <w:r w:rsidR="00F15477" w:rsidRPr="00183B5F">
        <w:rPr>
          <w:bCs/>
          <w:szCs w:val="22"/>
        </w:rPr>
        <w:t>például</w:t>
      </w:r>
      <w:r w:rsidRPr="00183B5F">
        <w:rPr>
          <w:bCs/>
          <w:szCs w:val="22"/>
        </w:rPr>
        <w:t> a mellek alatt, hónaljban, a combok belső felszínén, lágyékon és fenéken. Hegesedés is előfordulhat az érintett területeken.</w:t>
      </w:r>
    </w:p>
    <w:p w14:paraId="6515EA83" w14:textId="77777777" w:rsidR="00713AC9" w:rsidRPr="00183B5F" w:rsidRDefault="00713AC9" w:rsidP="00713AC9">
      <w:pPr>
        <w:spacing w:line="240" w:lineRule="auto"/>
        <w:ind w:right="-2"/>
        <w:rPr>
          <w:bCs/>
          <w:szCs w:val="22"/>
        </w:rPr>
      </w:pPr>
    </w:p>
    <w:p w14:paraId="14D29350" w14:textId="77777777" w:rsidR="00713AC9" w:rsidRPr="00183B5F" w:rsidRDefault="00943743" w:rsidP="00713AC9">
      <w:pPr>
        <w:suppressAutoHyphens w:val="0"/>
        <w:autoSpaceDE w:val="0"/>
        <w:autoSpaceDN w:val="0"/>
        <w:adjustRightInd w:val="0"/>
        <w:spacing w:line="240" w:lineRule="auto"/>
        <w:rPr>
          <w:bCs/>
          <w:szCs w:val="22"/>
        </w:rPr>
      </w:pPr>
      <w:r w:rsidRPr="00183B5F">
        <w:rPr>
          <w:bCs/>
          <w:szCs w:val="22"/>
        </w:rPr>
        <w:t>A Humira alkalmazható</w:t>
      </w:r>
    </w:p>
    <w:p w14:paraId="6D6A10DE" w14:textId="77777777" w:rsidR="00713AC9" w:rsidRPr="00183B5F" w:rsidRDefault="00943743" w:rsidP="00713AC9">
      <w:pPr>
        <w:pStyle w:val="ListParagraph"/>
        <w:numPr>
          <w:ilvl w:val="0"/>
          <w:numId w:val="189"/>
        </w:numPr>
        <w:suppressAutoHyphens w:val="0"/>
        <w:autoSpaceDE w:val="0"/>
        <w:autoSpaceDN w:val="0"/>
        <w:adjustRightInd w:val="0"/>
        <w:spacing w:line="240" w:lineRule="auto"/>
        <w:rPr>
          <w:bCs/>
          <w:szCs w:val="22"/>
        </w:rPr>
      </w:pPr>
      <w:r w:rsidRPr="00183B5F">
        <w:rPr>
          <w:bCs/>
          <w:szCs w:val="22"/>
        </w:rPr>
        <w:t>közepesen súlyos – súlyos hidradenitisz szuppuratívában szenvedő felnőttek és</w:t>
      </w:r>
    </w:p>
    <w:p w14:paraId="19160651" w14:textId="77777777" w:rsidR="00713AC9" w:rsidRPr="00183B5F" w:rsidRDefault="00943743" w:rsidP="00713AC9">
      <w:pPr>
        <w:pStyle w:val="ListParagraph"/>
        <w:numPr>
          <w:ilvl w:val="0"/>
          <w:numId w:val="189"/>
        </w:numPr>
        <w:suppressAutoHyphens w:val="0"/>
        <w:autoSpaceDE w:val="0"/>
        <w:autoSpaceDN w:val="0"/>
        <w:adjustRightInd w:val="0"/>
        <w:spacing w:line="240" w:lineRule="auto"/>
        <w:rPr>
          <w:bCs/>
          <w:szCs w:val="22"/>
        </w:rPr>
      </w:pPr>
      <w:r w:rsidRPr="00183B5F">
        <w:rPr>
          <w:bCs/>
          <w:szCs w:val="22"/>
        </w:rPr>
        <w:t>közepesen súlyos – súlyos hidradenitisz szuppuratívában szenvedő 12-17 év közötti serdülők kezelésére.</w:t>
      </w:r>
    </w:p>
    <w:p w14:paraId="7CFD1A07" w14:textId="77777777" w:rsidR="00713AC9" w:rsidRPr="00183B5F" w:rsidRDefault="00713AC9" w:rsidP="00713AC9">
      <w:pPr>
        <w:suppressAutoHyphens w:val="0"/>
        <w:autoSpaceDE w:val="0"/>
        <w:autoSpaceDN w:val="0"/>
        <w:adjustRightInd w:val="0"/>
        <w:spacing w:line="240" w:lineRule="auto"/>
        <w:rPr>
          <w:bCs/>
          <w:szCs w:val="22"/>
        </w:rPr>
      </w:pPr>
    </w:p>
    <w:p w14:paraId="14DC7F1F" w14:textId="77777777" w:rsidR="00713AC9" w:rsidRPr="00183B5F" w:rsidRDefault="00943743" w:rsidP="00713AC9">
      <w:pPr>
        <w:suppressAutoHyphens w:val="0"/>
        <w:autoSpaceDE w:val="0"/>
        <w:autoSpaceDN w:val="0"/>
        <w:adjustRightInd w:val="0"/>
        <w:spacing w:line="240" w:lineRule="auto"/>
        <w:rPr>
          <w:bCs/>
          <w:szCs w:val="22"/>
        </w:rPr>
      </w:pPr>
      <w:r w:rsidRPr="00183B5F">
        <w:rPr>
          <w:bCs/>
          <w:szCs w:val="22"/>
        </w:rPr>
        <w:t>A Humira csökkenti a betegség okozta csomók és tályogok számát és a fájdalmat, ami gyakran jár együtt a betegséggel. Ön először egyéb gyógyszereket kaphat. Ha Ön nem reagál megfelelően ezekre a gyógyszerekre, Humira-t fog kapni.</w:t>
      </w:r>
    </w:p>
    <w:p w14:paraId="6A059669" w14:textId="77777777" w:rsidR="00713AC9" w:rsidRPr="00183B5F" w:rsidRDefault="00713AC9" w:rsidP="00713AC9">
      <w:pPr>
        <w:spacing w:line="240" w:lineRule="auto"/>
        <w:ind w:right="-2"/>
        <w:rPr>
          <w:bCs/>
          <w:szCs w:val="22"/>
        </w:rPr>
      </w:pPr>
    </w:p>
    <w:p w14:paraId="7368254A" w14:textId="77777777" w:rsidR="00713AC9" w:rsidRPr="00183B5F" w:rsidRDefault="00943743" w:rsidP="00713AC9">
      <w:pPr>
        <w:keepNext/>
        <w:spacing w:line="240" w:lineRule="auto"/>
        <w:rPr>
          <w:b/>
          <w:szCs w:val="22"/>
        </w:rPr>
      </w:pPr>
      <w:r w:rsidRPr="00183B5F">
        <w:rPr>
          <w:b/>
          <w:szCs w:val="22"/>
        </w:rPr>
        <w:t>Crohn</w:t>
      </w:r>
      <w:r w:rsidRPr="00183B5F">
        <w:rPr>
          <w:b/>
          <w:szCs w:val="22"/>
        </w:rPr>
        <w:noBreakHyphen/>
        <w:t xml:space="preserve">betegség </w:t>
      </w:r>
    </w:p>
    <w:p w14:paraId="7D6B7E57" w14:textId="77777777" w:rsidR="00713AC9" w:rsidRPr="00183B5F" w:rsidRDefault="00713AC9" w:rsidP="00713AC9">
      <w:pPr>
        <w:keepNext/>
        <w:spacing w:line="240" w:lineRule="auto"/>
        <w:rPr>
          <w:szCs w:val="22"/>
        </w:rPr>
      </w:pPr>
    </w:p>
    <w:p w14:paraId="1FDAD68E" w14:textId="77777777" w:rsidR="00713AC9" w:rsidRPr="00183B5F" w:rsidRDefault="00943743" w:rsidP="00713AC9">
      <w:pPr>
        <w:keepNext/>
        <w:spacing w:line="240" w:lineRule="auto"/>
        <w:rPr>
          <w:szCs w:val="22"/>
        </w:rPr>
      </w:pPr>
      <w:r w:rsidRPr="00183B5F">
        <w:rPr>
          <w:szCs w:val="22"/>
        </w:rPr>
        <w:t>A Crohn</w:t>
      </w:r>
      <w:r w:rsidRPr="00183B5F">
        <w:rPr>
          <w:szCs w:val="22"/>
        </w:rPr>
        <w:noBreakHyphen/>
        <w:t>betegség az emésztőcsatorna gyulladásos kórfolyamata.</w:t>
      </w:r>
    </w:p>
    <w:p w14:paraId="2965BE4F" w14:textId="77777777" w:rsidR="00713AC9" w:rsidRPr="00183B5F" w:rsidRDefault="00713AC9" w:rsidP="00713AC9">
      <w:pPr>
        <w:keepNext/>
        <w:spacing w:line="240" w:lineRule="auto"/>
        <w:rPr>
          <w:szCs w:val="22"/>
        </w:rPr>
      </w:pPr>
    </w:p>
    <w:p w14:paraId="3F42A36F" w14:textId="77777777" w:rsidR="00713AC9" w:rsidRPr="00183B5F" w:rsidRDefault="00943743" w:rsidP="00713AC9">
      <w:pPr>
        <w:keepNext/>
        <w:spacing w:line="240" w:lineRule="auto"/>
        <w:rPr>
          <w:bCs/>
          <w:szCs w:val="22"/>
        </w:rPr>
      </w:pPr>
      <w:r w:rsidRPr="00183B5F">
        <w:rPr>
          <w:bCs/>
          <w:szCs w:val="22"/>
        </w:rPr>
        <w:t xml:space="preserve">A Humira alkalmazható </w:t>
      </w:r>
    </w:p>
    <w:p w14:paraId="7A849EC8" w14:textId="77777777" w:rsidR="00713AC9" w:rsidRPr="00183B5F" w:rsidRDefault="00943743" w:rsidP="00713AC9">
      <w:pPr>
        <w:pStyle w:val="ListParagraph"/>
        <w:keepNext/>
        <w:numPr>
          <w:ilvl w:val="0"/>
          <w:numId w:val="190"/>
        </w:numPr>
        <w:spacing w:line="240" w:lineRule="auto"/>
        <w:rPr>
          <w:szCs w:val="22"/>
        </w:rPr>
      </w:pPr>
      <w:r w:rsidRPr="00183B5F">
        <w:rPr>
          <w:bCs/>
          <w:szCs w:val="22"/>
        </w:rPr>
        <w:t xml:space="preserve">közepesen súlyos </w:t>
      </w:r>
      <w:r w:rsidRPr="00183B5F">
        <w:rPr>
          <w:bCs/>
          <w:szCs w:val="22"/>
        </w:rPr>
        <w:noBreakHyphen/>
        <w:t xml:space="preserve"> súlyos Crohn</w:t>
      </w:r>
      <w:r w:rsidRPr="00183B5F">
        <w:rPr>
          <w:bCs/>
          <w:szCs w:val="22"/>
        </w:rPr>
        <w:noBreakHyphen/>
        <w:t xml:space="preserve">betegségben szenvedő felnőttek és </w:t>
      </w:r>
    </w:p>
    <w:p w14:paraId="4CCC471B" w14:textId="77777777" w:rsidR="00713AC9" w:rsidRPr="00183B5F" w:rsidRDefault="00943743" w:rsidP="00713AC9">
      <w:pPr>
        <w:pStyle w:val="ListParagraph"/>
        <w:keepNext/>
        <w:numPr>
          <w:ilvl w:val="0"/>
          <w:numId w:val="190"/>
        </w:numPr>
        <w:spacing w:line="240" w:lineRule="auto"/>
        <w:rPr>
          <w:szCs w:val="22"/>
        </w:rPr>
      </w:pPr>
      <w:r w:rsidRPr="00183B5F">
        <w:rPr>
          <w:bCs/>
          <w:szCs w:val="22"/>
        </w:rPr>
        <w:t xml:space="preserve">közepesen súlyos </w:t>
      </w:r>
      <w:r w:rsidRPr="00183B5F">
        <w:rPr>
          <w:bCs/>
          <w:szCs w:val="22"/>
        </w:rPr>
        <w:noBreakHyphen/>
        <w:t xml:space="preserve"> súlyos Crohn</w:t>
      </w:r>
      <w:r w:rsidRPr="00183B5F">
        <w:rPr>
          <w:bCs/>
          <w:szCs w:val="22"/>
        </w:rPr>
        <w:noBreakHyphen/>
        <w:t>betegségben szenvedő, 6 és 17 éves kor közötti gyermekek és serdülők kezelésére.</w:t>
      </w:r>
    </w:p>
    <w:p w14:paraId="53D0B8BD" w14:textId="77777777" w:rsidR="00713AC9" w:rsidRPr="00183B5F" w:rsidRDefault="00713AC9" w:rsidP="00713AC9">
      <w:pPr>
        <w:keepNext/>
        <w:spacing w:line="240" w:lineRule="auto"/>
        <w:rPr>
          <w:szCs w:val="22"/>
        </w:rPr>
      </w:pPr>
    </w:p>
    <w:p w14:paraId="094C1403" w14:textId="77777777" w:rsidR="00713AC9" w:rsidRPr="00183B5F" w:rsidRDefault="00943743" w:rsidP="00713AC9">
      <w:pPr>
        <w:keepNext/>
        <w:spacing w:line="240" w:lineRule="auto"/>
        <w:rPr>
          <w:szCs w:val="22"/>
        </w:rPr>
      </w:pPr>
      <w:r w:rsidRPr="00183B5F">
        <w:rPr>
          <w:szCs w:val="22"/>
        </w:rPr>
        <w:t>Ön először egyéb gyógyszereket kaphat. Ha ezekre a gyógyszerekre nem reagál megfelelően, akkor Humira</w:t>
      </w:r>
      <w:r w:rsidRPr="00183B5F">
        <w:rPr>
          <w:szCs w:val="22"/>
        </w:rPr>
        <w:noBreakHyphen/>
        <w:t>t fog kapni.</w:t>
      </w:r>
    </w:p>
    <w:p w14:paraId="46A87967" w14:textId="77777777" w:rsidR="00713AC9" w:rsidRPr="00183B5F" w:rsidRDefault="00713AC9" w:rsidP="00713AC9">
      <w:pPr>
        <w:spacing w:line="240" w:lineRule="auto"/>
        <w:rPr>
          <w:szCs w:val="22"/>
        </w:rPr>
      </w:pPr>
    </w:p>
    <w:p w14:paraId="484634BE" w14:textId="77777777" w:rsidR="00713AC9" w:rsidRPr="00183B5F" w:rsidRDefault="00943743" w:rsidP="00713AC9">
      <w:pPr>
        <w:keepNext/>
        <w:suppressAutoHyphens w:val="0"/>
        <w:autoSpaceDE w:val="0"/>
        <w:autoSpaceDN w:val="0"/>
        <w:adjustRightInd w:val="0"/>
        <w:spacing w:line="240" w:lineRule="auto"/>
        <w:rPr>
          <w:b/>
          <w:szCs w:val="22"/>
          <w:u w:val="single"/>
        </w:rPr>
      </w:pPr>
      <w:r w:rsidRPr="00183B5F">
        <w:rPr>
          <w:b/>
          <w:szCs w:val="22"/>
          <w:u w:val="single"/>
        </w:rPr>
        <w:t>Kolitisz ulceróza</w:t>
      </w:r>
    </w:p>
    <w:p w14:paraId="48622C13" w14:textId="77777777" w:rsidR="00713AC9" w:rsidRPr="00183B5F" w:rsidRDefault="00713AC9" w:rsidP="00713AC9">
      <w:pPr>
        <w:keepNext/>
        <w:suppressAutoHyphens w:val="0"/>
        <w:autoSpaceDE w:val="0"/>
        <w:autoSpaceDN w:val="0"/>
        <w:adjustRightInd w:val="0"/>
        <w:spacing w:line="240" w:lineRule="auto"/>
        <w:rPr>
          <w:szCs w:val="22"/>
          <w:u w:val="single"/>
        </w:rPr>
      </w:pPr>
    </w:p>
    <w:p w14:paraId="7941A094" w14:textId="77777777" w:rsidR="00713AC9" w:rsidRPr="00183B5F" w:rsidRDefault="00943743" w:rsidP="00713AC9">
      <w:pPr>
        <w:keepNext/>
        <w:suppressAutoHyphens w:val="0"/>
        <w:autoSpaceDE w:val="0"/>
        <w:autoSpaceDN w:val="0"/>
        <w:adjustRightInd w:val="0"/>
        <w:spacing w:line="240" w:lineRule="auto"/>
        <w:rPr>
          <w:szCs w:val="22"/>
        </w:rPr>
      </w:pPr>
      <w:r w:rsidRPr="00183B5F">
        <w:rPr>
          <w:szCs w:val="22"/>
        </w:rPr>
        <w:t>A kolitisz ulceróza a vastagbél gyulladásos betegsége.</w:t>
      </w:r>
    </w:p>
    <w:p w14:paraId="65BA3923" w14:textId="77777777" w:rsidR="00713AC9" w:rsidRPr="00183B5F" w:rsidRDefault="00713AC9" w:rsidP="00713AC9">
      <w:pPr>
        <w:keepNext/>
        <w:suppressAutoHyphens w:val="0"/>
        <w:autoSpaceDE w:val="0"/>
        <w:autoSpaceDN w:val="0"/>
        <w:adjustRightInd w:val="0"/>
        <w:spacing w:line="240" w:lineRule="auto"/>
        <w:rPr>
          <w:szCs w:val="22"/>
          <w:u w:val="single"/>
        </w:rPr>
      </w:pPr>
    </w:p>
    <w:p w14:paraId="342ED8CB" w14:textId="77777777" w:rsidR="006242C8" w:rsidRPr="00183B5F" w:rsidRDefault="00943743" w:rsidP="00713AC9">
      <w:pPr>
        <w:keepNext/>
        <w:suppressAutoHyphens w:val="0"/>
        <w:autoSpaceDE w:val="0"/>
        <w:autoSpaceDN w:val="0"/>
        <w:adjustRightInd w:val="0"/>
        <w:spacing w:line="240" w:lineRule="auto"/>
        <w:rPr>
          <w:bCs/>
          <w:szCs w:val="22"/>
        </w:rPr>
      </w:pPr>
      <w:r w:rsidRPr="00183B5F">
        <w:rPr>
          <w:bCs/>
          <w:szCs w:val="22"/>
        </w:rPr>
        <w:t>A Humira alkalmazható</w:t>
      </w:r>
    </w:p>
    <w:p w14:paraId="043FBEDD" w14:textId="77777777" w:rsidR="006242C8" w:rsidRPr="00183B5F" w:rsidRDefault="00943743" w:rsidP="006242C8">
      <w:pPr>
        <w:pStyle w:val="ListParagraph"/>
        <w:keepNext/>
        <w:numPr>
          <w:ilvl w:val="0"/>
          <w:numId w:val="234"/>
        </w:numPr>
        <w:suppressAutoHyphens w:val="0"/>
        <w:autoSpaceDE w:val="0"/>
        <w:autoSpaceDN w:val="0"/>
        <w:adjustRightInd w:val="0"/>
        <w:spacing w:line="240" w:lineRule="auto"/>
        <w:rPr>
          <w:szCs w:val="22"/>
        </w:rPr>
      </w:pPr>
      <w:r w:rsidRPr="00183B5F">
        <w:rPr>
          <w:bCs/>
          <w:szCs w:val="22"/>
        </w:rPr>
        <w:t>közepesen súlyos</w:t>
      </w:r>
      <w:r w:rsidRPr="00183B5F">
        <w:rPr>
          <w:bCs/>
          <w:szCs w:val="22"/>
        </w:rPr>
        <w:noBreakHyphen/>
        <w:t>súlyos felnőttkori kolitisz ulceróza kezelésére</w:t>
      </w:r>
      <w:r w:rsidR="00A712C6" w:rsidRPr="00183B5F">
        <w:rPr>
          <w:bCs/>
          <w:szCs w:val="22"/>
        </w:rPr>
        <w:t xml:space="preserve"> és</w:t>
      </w:r>
    </w:p>
    <w:p w14:paraId="1C89D2F8" w14:textId="77777777" w:rsidR="006242C8" w:rsidRPr="00183B5F" w:rsidRDefault="00943743" w:rsidP="006242C8">
      <w:pPr>
        <w:pStyle w:val="ListParagraph"/>
        <w:keepNext/>
        <w:numPr>
          <w:ilvl w:val="0"/>
          <w:numId w:val="234"/>
        </w:numPr>
        <w:suppressAutoHyphens w:val="0"/>
        <w:autoSpaceDE w:val="0"/>
        <w:autoSpaceDN w:val="0"/>
        <w:adjustRightInd w:val="0"/>
        <w:spacing w:line="240" w:lineRule="auto"/>
        <w:rPr>
          <w:bCs/>
          <w:szCs w:val="22"/>
        </w:rPr>
      </w:pPr>
      <w:bookmarkStart w:id="13963" w:name="_Hlk53391384"/>
      <w:r w:rsidRPr="00183B5F">
        <w:rPr>
          <w:bCs/>
          <w:szCs w:val="22"/>
        </w:rPr>
        <w:t>közepesen súlyos</w:t>
      </w:r>
      <w:r w:rsidRPr="00183B5F">
        <w:rPr>
          <w:bCs/>
          <w:szCs w:val="22"/>
        </w:rPr>
        <w:noBreakHyphen/>
        <w:t>súlyos kolitisz ulceróza kezelésére 6 és 17 éves kor közötti gyermekeknél és serdülőknél.</w:t>
      </w:r>
    </w:p>
    <w:p w14:paraId="6E6F2DC9" w14:textId="77777777" w:rsidR="006242C8" w:rsidRPr="00183B5F" w:rsidRDefault="006242C8" w:rsidP="00FC288C">
      <w:pPr>
        <w:keepNext/>
        <w:suppressAutoHyphens w:val="0"/>
        <w:autoSpaceDE w:val="0"/>
        <w:autoSpaceDN w:val="0"/>
        <w:adjustRightInd w:val="0"/>
        <w:spacing w:line="240" w:lineRule="auto"/>
        <w:rPr>
          <w:bCs/>
          <w:szCs w:val="22"/>
        </w:rPr>
      </w:pPr>
    </w:p>
    <w:bookmarkEnd w:id="13963"/>
    <w:p w14:paraId="3A3C72FA" w14:textId="77777777" w:rsidR="00713AC9" w:rsidRPr="00183B5F" w:rsidRDefault="00943743" w:rsidP="006242C8">
      <w:pPr>
        <w:keepNext/>
        <w:suppressAutoHyphens w:val="0"/>
        <w:autoSpaceDE w:val="0"/>
        <w:autoSpaceDN w:val="0"/>
        <w:adjustRightInd w:val="0"/>
        <w:spacing w:line="240" w:lineRule="auto"/>
        <w:rPr>
          <w:szCs w:val="22"/>
        </w:rPr>
      </w:pPr>
      <w:r w:rsidRPr="00183B5F">
        <w:rPr>
          <w:szCs w:val="22"/>
        </w:rPr>
        <w:t>Ön először egyéb gyógyszereket kaphat. Ha ezekre a gyógyszerekre nem reagál megfelelően, akkor Humira-t fog kapni.</w:t>
      </w:r>
    </w:p>
    <w:p w14:paraId="3C13BD82" w14:textId="77777777" w:rsidR="00713AC9" w:rsidRPr="00183B5F" w:rsidRDefault="00713AC9" w:rsidP="00713AC9">
      <w:pPr>
        <w:suppressAutoHyphens w:val="0"/>
        <w:autoSpaceDE w:val="0"/>
        <w:autoSpaceDN w:val="0"/>
        <w:adjustRightInd w:val="0"/>
        <w:spacing w:line="240" w:lineRule="auto"/>
        <w:rPr>
          <w:szCs w:val="22"/>
        </w:rPr>
      </w:pPr>
    </w:p>
    <w:p w14:paraId="5C59F227" w14:textId="77777777" w:rsidR="00713AC9" w:rsidRPr="00183B5F" w:rsidRDefault="00943743" w:rsidP="00FC288C">
      <w:pPr>
        <w:keepNext/>
        <w:suppressAutoHyphens w:val="0"/>
        <w:autoSpaceDE w:val="0"/>
        <w:autoSpaceDN w:val="0"/>
        <w:adjustRightInd w:val="0"/>
        <w:spacing w:line="240" w:lineRule="auto"/>
        <w:rPr>
          <w:b/>
          <w:szCs w:val="22"/>
        </w:rPr>
      </w:pPr>
      <w:r w:rsidRPr="00183B5F">
        <w:rPr>
          <w:b/>
          <w:szCs w:val="22"/>
        </w:rPr>
        <w:t>Nem fertőzéses eredetű szemgyulladás (uveitisz)</w:t>
      </w:r>
    </w:p>
    <w:p w14:paraId="01AB986A" w14:textId="77777777" w:rsidR="00713AC9" w:rsidRPr="00183B5F" w:rsidRDefault="00713AC9" w:rsidP="00FC288C">
      <w:pPr>
        <w:keepNext/>
        <w:suppressAutoHyphens w:val="0"/>
        <w:autoSpaceDE w:val="0"/>
        <w:autoSpaceDN w:val="0"/>
        <w:adjustRightInd w:val="0"/>
        <w:spacing w:line="240" w:lineRule="auto"/>
        <w:rPr>
          <w:szCs w:val="22"/>
        </w:rPr>
      </w:pPr>
    </w:p>
    <w:p w14:paraId="2F02D09B" w14:textId="77777777" w:rsidR="00713AC9" w:rsidRPr="00183B5F" w:rsidRDefault="00943743" w:rsidP="00FC288C">
      <w:pPr>
        <w:keepNext/>
        <w:suppressAutoHyphens w:val="0"/>
        <w:autoSpaceDE w:val="0"/>
        <w:autoSpaceDN w:val="0"/>
        <w:adjustRightInd w:val="0"/>
        <w:spacing w:line="240" w:lineRule="auto"/>
        <w:rPr>
          <w:szCs w:val="22"/>
        </w:rPr>
      </w:pPr>
      <w:r w:rsidRPr="00183B5F">
        <w:rPr>
          <w:szCs w:val="22"/>
        </w:rPr>
        <w:t>A nem fertőzéses eredetű szemgyulladás egy gyulladásos betegség, mely a szem bizonyos részeit érinti.</w:t>
      </w:r>
    </w:p>
    <w:p w14:paraId="1A09A9B3" w14:textId="77777777" w:rsidR="00713AC9" w:rsidRPr="00183B5F" w:rsidRDefault="00713AC9" w:rsidP="00713AC9">
      <w:pPr>
        <w:suppressAutoHyphens w:val="0"/>
        <w:autoSpaceDE w:val="0"/>
        <w:autoSpaceDN w:val="0"/>
        <w:adjustRightInd w:val="0"/>
        <w:spacing w:line="240" w:lineRule="auto"/>
        <w:rPr>
          <w:szCs w:val="22"/>
        </w:rPr>
      </w:pPr>
    </w:p>
    <w:p w14:paraId="7FBFE4E8" w14:textId="77777777" w:rsidR="00713AC9" w:rsidRPr="00183B5F" w:rsidRDefault="00943743" w:rsidP="00713AC9">
      <w:pPr>
        <w:keepNext/>
        <w:suppressAutoHyphens w:val="0"/>
        <w:autoSpaceDE w:val="0"/>
        <w:autoSpaceDN w:val="0"/>
        <w:adjustRightInd w:val="0"/>
        <w:spacing w:line="240" w:lineRule="auto"/>
        <w:rPr>
          <w:szCs w:val="22"/>
        </w:rPr>
      </w:pPr>
      <w:r w:rsidRPr="00183B5F">
        <w:rPr>
          <w:szCs w:val="22"/>
        </w:rPr>
        <w:t>A Humira alkalmazható</w:t>
      </w:r>
    </w:p>
    <w:p w14:paraId="7FBD90EA" w14:textId="77777777" w:rsidR="00713AC9" w:rsidRPr="00183B5F" w:rsidRDefault="00943743" w:rsidP="00713AC9">
      <w:pPr>
        <w:pStyle w:val="ListParagraph"/>
        <w:keepNext/>
        <w:numPr>
          <w:ilvl w:val="0"/>
          <w:numId w:val="76"/>
        </w:numPr>
        <w:suppressAutoHyphens w:val="0"/>
        <w:autoSpaceDE w:val="0"/>
        <w:autoSpaceDN w:val="0"/>
        <w:adjustRightInd w:val="0"/>
        <w:spacing w:line="240" w:lineRule="auto"/>
        <w:rPr>
          <w:szCs w:val="22"/>
        </w:rPr>
      </w:pPr>
      <w:r w:rsidRPr="00183B5F">
        <w:rPr>
          <w:szCs w:val="22"/>
        </w:rPr>
        <w:t>felnőttkori, nem fertőzéses eredetű szemgyulladás kezelésére, amikor a gyulladás a szemfeneket érinti</w:t>
      </w:r>
    </w:p>
    <w:p w14:paraId="266D4BEF" w14:textId="77777777" w:rsidR="00713AC9" w:rsidRPr="00183B5F" w:rsidRDefault="00943743" w:rsidP="00713AC9">
      <w:pPr>
        <w:pStyle w:val="ListParagraph"/>
        <w:numPr>
          <w:ilvl w:val="0"/>
          <w:numId w:val="76"/>
        </w:numPr>
        <w:suppressAutoHyphens w:val="0"/>
        <w:autoSpaceDE w:val="0"/>
        <w:autoSpaceDN w:val="0"/>
        <w:adjustRightInd w:val="0"/>
        <w:spacing w:line="240" w:lineRule="auto"/>
        <w:rPr>
          <w:szCs w:val="22"/>
        </w:rPr>
      </w:pPr>
      <w:r w:rsidRPr="00183B5F">
        <w:rPr>
          <w:szCs w:val="22"/>
        </w:rPr>
        <w:t>2 évnél idősebb gyermekeknél a krónikus, nem fertőzéses eredetű szemgyulladás kezelésére, amikor a gyulladás a szem elülső részét érinti.</w:t>
      </w:r>
    </w:p>
    <w:p w14:paraId="4A06CB18" w14:textId="77777777" w:rsidR="00713AC9" w:rsidRPr="00183B5F" w:rsidRDefault="00713AC9" w:rsidP="00713AC9">
      <w:pPr>
        <w:suppressAutoHyphens w:val="0"/>
        <w:autoSpaceDE w:val="0"/>
        <w:autoSpaceDN w:val="0"/>
        <w:adjustRightInd w:val="0"/>
        <w:spacing w:line="240" w:lineRule="auto"/>
        <w:rPr>
          <w:szCs w:val="22"/>
        </w:rPr>
      </w:pPr>
    </w:p>
    <w:p w14:paraId="01AA2533" w14:textId="77777777" w:rsidR="00713AC9" w:rsidRPr="00183B5F" w:rsidRDefault="00943743" w:rsidP="00713AC9">
      <w:pPr>
        <w:suppressAutoHyphens w:val="0"/>
        <w:autoSpaceDE w:val="0"/>
        <w:autoSpaceDN w:val="0"/>
        <w:adjustRightInd w:val="0"/>
        <w:spacing w:line="240" w:lineRule="auto"/>
        <w:rPr>
          <w:szCs w:val="22"/>
        </w:rPr>
      </w:pPr>
      <w:r w:rsidRPr="00183B5F">
        <w:rPr>
          <w:szCs w:val="22"/>
        </w:rPr>
        <w:t>A gyulladás látáscsökkenéshez és/vagy a szemben úszkáló homályok (fekete pontok vagy vékony csíkok, melyek a látótéren mozognak) jelenlétéhez vezethet. A Humira ezt a gyulladást csökkenti.</w:t>
      </w:r>
    </w:p>
    <w:p w14:paraId="7761C1F5" w14:textId="77777777" w:rsidR="00713AC9" w:rsidRPr="00183B5F" w:rsidRDefault="00713AC9" w:rsidP="00713AC9">
      <w:pPr>
        <w:suppressAutoHyphens w:val="0"/>
        <w:autoSpaceDE w:val="0"/>
        <w:autoSpaceDN w:val="0"/>
        <w:adjustRightInd w:val="0"/>
        <w:spacing w:line="240" w:lineRule="auto"/>
        <w:rPr>
          <w:szCs w:val="22"/>
        </w:rPr>
      </w:pPr>
    </w:p>
    <w:p w14:paraId="7C5AC931" w14:textId="77777777" w:rsidR="00713AC9" w:rsidRPr="00183B5F" w:rsidRDefault="00943743" w:rsidP="00713AC9">
      <w:pPr>
        <w:suppressAutoHyphens w:val="0"/>
        <w:autoSpaceDE w:val="0"/>
        <w:autoSpaceDN w:val="0"/>
        <w:adjustRightInd w:val="0"/>
        <w:spacing w:line="240" w:lineRule="auto"/>
        <w:rPr>
          <w:szCs w:val="22"/>
        </w:rPr>
      </w:pPr>
      <w:r w:rsidRPr="00183B5F">
        <w:rPr>
          <w:szCs w:val="22"/>
        </w:rPr>
        <w:t>Ön először egyéb gyógyszereket kaphat. Ha ezekre a gyógyszerekre nem reagál megfelelően, akkor Humira</w:t>
      </w:r>
      <w:r w:rsidRPr="00183B5F">
        <w:rPr>
          <w:szCs w:val="22"/>
        </w:rPr>
        <w:noBreakHyphen/>
        <w:t>t fog kapni.</w:t>
      </w:r>
    </w:p>
    <w:p w14:paraId="41E5457A" w14:textId="77777777" w:rsidR="00713AC9" w:rsidRPr="00183B5F" w:rsidRDefault="00713AC9" w:rsidP="00713AC9">
      <w:pPr>
        <w:suppressAutoHyphens w:val="0"/>
        <w:autoSpaceDE w:val="0"/>
        <w:autoSpaceDN w:val="0"/>
        <w:adjustRightInd w:val="0"/>
        <w:spacing w:line="240" w:lineRule="auto"/>
        <w:rPr>
          <w:szCs w:val="22"/>
        </w:rPr>
      </w:pPr>
    </w:p>
    <w:p w14:paraId="13A729B9" w14:textId="77777777" w:rsidR="00713AC9" w:rsidRPr="00183B5F" w:rsidRDefault="00713AC9" w:rsidP="00713AC9">
      <w:pPr>
        <w:suppressAutoHyphens w:val="0"/>
        <w:autoSpaceDE w:val="0"/>
        <w:autoSpaceDN w:val="0"/>
        <w:adjustRightInd w:val="0"/>
        <w:spacing w:line="240" w:lineRule="auto"/>
        <w:rPr>
          <w:szCs w:val="22"/>
        </w:rPr>
      </w:pPr>
    </w:p>
    <w:p w14:paraId="0EF84DDD" w14:textId="77777777" w:rsidR="00713AC9" w:rsidRPr="00183B5F" w:rsidRDefault="00943743" w:rsidP="00713AC9">
      <w:pPr>
        <w:keepNext/>
        <w:suppressAutoHyphens w:val="0"/>
        <w:autoSpaceDE w:val="0"/>
        <w:autoSpaceDN w:val="0"/>
        <w:adjustRightInd w:val="0"/>
        <w:spacing w:line="240" w:lineRule="auto"/>
        <w:rPr>
          <w:b/>
          <w:szCs w:val="22"/>
        </w:rPr>
      </w:pPr>
      <w:r w:rsidRPr="00183B5F">
        <w:rPr>
          <w:b/>
          <w:szCs w:val="22"/>
        </w:rPr>
        <w:t>2.</w:t>
      </w:r>
      <w:r w:rsidRPr="00183B5F">
        <w:rPr>
          <w:b/>
          <w:szCs w:val="22"/>
        </w:rPr>
        <w:tab/>
        <w:t>Tudnivalók a Humira alkalmazása előtt</w:t>
      </w:r>
    </w:p>
    <w:p w14:paraId="66CFDED7" w14:textId="77777777" w:rsidR="00713AC9" w:rsidRPr="00183B5F" w:rsidRDefault="00713AC9" w:rsidP="00713AC9">
      <w:pPr>
        <w:keepNext/>
        <w:spacing w:line="240" w:lineRule="auto"/>
        <w:rPr>
          <w:szCs w:val="22"/>
        </w:rPr>
      </w:pPr>
    </w:p>
    <w:p w14:paraId="4FA4C9DA" w14:textId="77777777" w:rsidR="00713AC9" w:rsidRPr="00183B5F" w:rsidRDefault="00943743" w:rsidP="00713AC9">
      <w:pPr>
        <w:keepNext/>
        <w:spacing w:line="240" w:lineRule="auto"/>
        <w:rPr>
          <w:b/>
          <w:bCs/>
          <w:szCs w:val="22"/>
        </w:rPr>
      </w:pPr>
      <w:r w:rsidRPr="00183B5F">
        <w:rPr>
          <w:b/>
          <w:szCs w:val="22"/>
        </w:rPr>
        <w:t xml:space="preserve">Ne alkalmazza a </w:t>
      </w:r>
      <w:r w:rsidRPr="00183B5F">
        <w:rPr>
          <w:b/>
          <w:bCs/>
          <w:szCs w:val="22"/>
        </w:rPr>
        <w:t>Humira-t:</w:t>
      </w:r>
    </w:p>
    <w:p w14:paraId="7FE091AC" w14:textId="77777777" w:rsidR="00713AC9" w:rsidRPr="00183B5F" w:rsidRDefault="00713AC9" w:rsidP="00713AC9">
      <w:pPr>
        <w:keepNext/>
        <w:spacing w:line="240" w:lineRule="auto"/>
        <w:rPr>
          <w:szCs w:val="22"/>
        </w:rPr>
      </w:pPr>
    </w:p>
    <w:p w14:paraId="65417FC0" w14:textId="77777777" w:rsidR="00713AC9" w:rsidRPr="00183B5F" w:rsidRDefault="00943743" w:rsidP="00713AC9">
      <w:pPr>
        <w:keepNext/>
        <w:numPr>
          <w:ilvl w:val="0"/>
          <w:numId w:val="19"/>
        </w:numPr>
        <w:tabs>
          <w:tab w:val="clear" w:pos="720"/>
        </w:tabs>
        <w:spacing w:line="240" w:lineRule="auto"/>
        <w:ind w:left="567" w:hanging="567"/>
        <w:rPr>
          <w:szCs w:val="22"/>
        </w:rPr>
      </w:pPr>
      <w:r w:rsidRPr="00183B5F">
        <w:rPr>
          <w:szCs w:val="22"/>
        </w:rPr>
        <w:t xml:space="preserve">Ha Ön allergiás (túlérzékeny) az adalimumabra vagy </w:t>
      </w:r>
      <w:r w:rsidRPr="00183B5F">
        <w:rPr>
          <w:noProof/>
          <w:szCs w:val="24"/>
        </w:rPr>
        <w:t xml:space="preserve">a gyógyszer (6. pontban felsorolt) </w:t>
      </w:r>
      <w:r w:rsidRPr="00183B5F">
        <w:rPr>
          <w:szCs w:val="24"/>
        </w:rPr>
        <w:t>egyéb összetevőjére.</w:t>
      </w:r>
    </w:p>
    <w:p w14:paraId="1CCEC3CA" w14:textId="77777777" w:rsidR="00713AC9" w:rsidRPr="00183B5F" w:rsidRDefault="00713AC9" w:rsidP="00713AC9">
      <w:pPr>
        <w:spacing w:line="240" w:lineRule="auto"/>
        <w:rPr>
          <w:szCs w:val="22"/>
        </w:rPr>
      </w:pPr>
    </w:p>
    <w:p w14:paraId="4339EA75" w14:textId="77777777" w:rsidR="00713AC9" w:rsidRPr="00183B5F" w:rsidRDefault="00943743" w:rsidP="00713AC9">
      <w:pPr>
        <w:numPr>
          <w:ilvl w:val="0"/>
          <w:numId w:val="19"/>
        </w:numPr>
        <w:tabs>
          <w:tab w:val="clear" w:pos="720"/>
        </w:tabs>
        <w:spacing w:line="240" w:lineRule="auto"/>
        <w:ind w:left="567" w:hanging="567"/>
        <w:rPr>
          <w:szCs w:val="22"/>
        </w:rPr>
      </w:pPr>
      <w:r w:rsidRPr="00183B5F">
        <w:rPr>
          <w:szCs w:val="22"/>
        </w:rPr>
        <w:t xml:space="preserve">Ha Ön aktív </w:t>
      </w:r>
      <w:r w:rsidRPr="00183B5F">
        <w:rPr>
          <w:bCs/>
          <w:szCs w:val="22"/>
        </w:rPr>
        <w:t>tuberkulózisban vagy más súlyos fertőzésben szenved</w:t>
      </w:r>
      <w:r w:rsidRPr="00183B5F">
        <w:rPr>
          <w:szCs w:val="22"/>
        </w:rPr>
        <w:t xml:space="preserve"> (lásd „Figyelmeztetések és óvintézkedések”). Kezelőorvosával feltétlenül közölje, ha bármilyen fertőzésre utaló tünete van, mint például láz, sebek, fáradtságérzés, fogászati problémák.</w:t>
      </w:r>
    </w:p>
    <w:p w14:paraId="1FE46EAF" w14:textId="77777777" w:rsidR="00713AC9" w:rsidRPr="00183B5F" w:rsidRDefault="00713AC9" w:rsidP="00713AC9">
      <w:pPr>
        <w:spacing w:line="240" w:lineRule="auto"/>
        <w:rPr>
          <w:szCs w:val="22"/>
        </w:rPr>
      </w:pPr>
    </w:p>
    <w:p w14:paraId="197703CC" w14:textId="77777777" w:rsidR="00713AC9" w:rsidRPr="00183B5F" w:rsidRDefault="00943743" w:rsidP="00713AC9">
      <w:pPr>
        <w:numPr>
          <w:ilvl w:val="0"/>
          <w:numId w:val="19"/>
        </w:numPr>
        <w:tabs>
          <w:tab w:val="clear" w:pos="720"/>
        </w:tabs>
        <w:spacing w:line="240" w:lineRule="auto"/>
        <w:ind w:left="567" w:hanging="567"/>
        <w:rPr>
          <w:szCs w:val="22"/>
        </w:rPr>
      </w:pPr>
      <w:r w:rsidRPr="00183B5F">
        <w:rPr>
          <w:szCs w:val="22"/>
        </w:rPr>
        <w:t xml:space="preserve">Ha Ön </w:t>
      </w:r>
      <w:r w:rsidR="006E6466" w:rsidRPr="00183B5F">
        <w:rPr>
          <w:szCs w:val="22"/>
        </w:rPr>
        <w:t>közepesen súlyos</w:t>
      </w:r>
      <w:r w:rsidRPr="00183B5F">
        <w:rPr>
          <w:szCs w:val="22"/>
        </w:rPr>
        <w:t xml:space="preserve"> vagy súlyos szívelégtelenségben szenved. Kezelőorvosával feltétlenül közölje, ha Önnek volt, vagy van súlyos szívproblémája (lásd „Figyelmeztetések és óvintézkedések”).</w:t>
      </w:r>
    </w:p>
    <w:p w14:paraId="05D962E2" w14:textId="77777777" w:rsidR="00713AC9" w:rsidRPr="00183B5F" w:rsidRDefault="00713AC9" w:rsidP="00713AC9">
      <w:pPr>
        <w:spacing w:line="240" w:lineRule="auto"/>
        <w:ind w:left="567" w:hanging="567"/>
        <w:rPr>
          <w:szCs w:val="22"/>
        </w:rPr>
      </w:pPr>
    </w:p>
    <w:p w14:paraId="7FB32D4C" w14:textId="77777777" w:rsidR="00713AC9" w:rsidRPr="00183B5F" w:rsidRDefault="00943743" w:rsidP="00713AC9">
      <w:pPr>
        <w:keepNext/>
        <w:spacing w:line="240" w:lineRule="auto"/>
        <w:ind w:right="-2"/>
        <w:rPr>
          <w:b/>
          <w:szCs w:val="22"/>
        </w:rPr>
      </w:pPr>
      <w:r w:rsidRPr="00183B5F">
        <w:rPr>
          <w:b/>
          <w:noProof/>
          <w:szCs w:val="24"/>
        </w:rPr>
        <w:t>Figyelmeztetések és óvintézkedések</w:t>
      </w:r>
    </w:p>
    <w:p w14:paraId="17DDBB77" w14:textId="77777777" w:rsidR="00713AC9" w:rsidRPr="00183B5F" w:rsidRDefault="00713AC9" w:rsidP="00713AC9">
      <w:pPr>
        <w:keepNext/>
        <w:spacing w:line="240" w:lineRule="auto"/>
        <w:ind w:right="-2"/>
        <w:rPr>
          <w:szCs w:val="22"/>
        </w:rPr>
      </w:pPr>
    </w:p>
    <w:p w14:paraId="306D8BA3" w14:textId="77777777" w:rsidR="00713AC9" w:rsidRPr="00183B5F" w:rsidRDefault="00943743" w:rsidP="00713AC9">
      <w:pPr>
        <w:keepNext/>
        <w:spacing w:line="240" w:lineRule="auto"/>
        <w:ind w:left="567" w:right="-2" w:hanging="567"/>
        <w:rPr>
          <w:noProof/>
          <w:szCs w:val="24"/>
        </w:rPr>
      </w:pPr>
      <w:r w:rsidRPr="00183B5F">
        <w:rPr>
          <w:noProof/>
          <w:szCs w:val="24"/>
        </w:rPr>
        <w:t>A Humira alkalmazása előtt beszéljen kezelőorvosával vagy gyógyszerészével.</w:t>
      </w:r>
    </w:p>
    <w:p w14:paraId="7592CA06" w14:textId="77777777" w:rsidR="00713AC9" w:rsidRPr="00183B5F" w:rsidRDefault="00713AC9" w:rsidP="00713AC9">
      <w:pPr>
        <w:keepNext/>
        <w:spacing w:line="240" w:lineRule="auto"/>
        <w:rPr>
          <w:szCs w:val="22"/>
          <w:u w:val="single"/>
        </w:rPr>
      </w:pPr>
    </w:p>
    <w:p w14:paraId="1B5D31E8" w14:textId="77777777" w:rsidR="00713AC9" w:rsidRPr="00183B5F" w:rsidRDefault="00943743" w:rsidP="00713AC9">
      <w:pPr>
        <w:keepNext/>
        <w:spacing w:line="240" w:lineRule="auto"/>
        <w:rPr>
          <w:szCs w:val="22"/>
          <w:u w:val="single"/>
        </w:rPr>
      </w:pPr>
      <w:r w:rsidRPr="00183B5F">
        <w:rPr>
          <w:szCs w:val="22"/>
          <w:u w:val="single"/>
        </w:rPr>
        <w:t>Allergiás reakciók</w:t>
      </w:r>
    </w:p>
    <w:p w14:paraId="61505025" w14:textId="77777777" w:rsidR="00713AC9" w:rsidRPr="00183B5F" w:rsidRDefault="00713AC9" w:rsidP="00713AC9">
      <w:pPr>
        <w:spacing w:line="240" w:lineRule="auto"/>
        <w:ind w:left="567" w:right="-2" w:hanging="567"/>
        <w:rPr>
          <w:b/>
          <w:szCs w:val="22"/>
        </w:rPr>
      </w:pPr>
    </w:p>
    <w:p w14:paraId="611F847D" w14:textId="77777777" w:rsidR="00713AC9" w:rsidRPr="00183B5F" w:rsidRDefault="00943743" w:rsidP="00713AC9">
      <w:pPr>
        <w:numPr>
          <w:ilvl w:val="0"/>
          <w:numId w:val="38"/>
        </w:numPr>
        <w:spacing w:line="240" w:lineRule="auto"/>
        <w:rPr>
          <w:szCs w:val="22"/>
        </w:rPr>
      </w:pPr>
      <w:r w:rsidRPr="00183B5F">
        <w:rPr>
          <w:szCs w:val="22"/>
        </w:rPr>
        <w:t xml:space="preserve">Ha allergiás reakciót észlel olyan tünetekkel, mint a mellkasi szorítás, asztmás légzés, szédülés, duzzanat vagy </w:t>
      </w:r>
      <w:r w:rsidR="004C50B5" w:rsidRPr="00183B5F">
        <w:rPr>
          <w:szCs w:val="22"/>
        </w:rPr>
        <w:t>bőr</w:t>
      </w:r>
      <w:r w:rsidRPr="00183B5F">
        <w:rPr>
          <w:szCs w:val="22"/>
        </w:rPr>
        <w:t>kiütés, ne alkalmazza a Humira-t és azonnal forduljon orvosához, mivel ritka esetekben ezek a reakciók életveszélyesek lehetnek.</w:t>
      </w:r>
    </w:p>
    <w:p w14:paraId="112AA294" w14:textId="77777777" w:rsidR="00713AC9" w:rsidRPr="00183B5F" w:rsidRDefault="00713AC9" w:rsidP="00713AC9">
      <w:pPr>
        <w:keepNext/>
        <w:spacing w:line="240" w:lineRule="auto"/>
        <w:rPr>
          <w:szCs w:val="22"/>
          <w:u w:val="single"/>
        </w:rPr>
      </w:pPr>
    </w:p>
    <w:p w14:paraId="2BABC236" w14:textId="77777777" w:rsidR="00713AC9" w:rsidRPr="00183B5F" w:rsidRDefault="00943743" w:rsidP="00713AC9">
      <w:pPr>
        <w:keepNext/>
        <w:spacing w:line="240" w:lineRule="auto"/>
        <w:rPr>
          <w:szCs w:val="22"/>
          <w:u w:val="single"/>
        </w:rPr>
      </w:pPr>
      <w:r w:rsidRPr="00183B5F">
        <w:rPr>
          <w:szCs w:val="22"/>
          <w:u w:val="single"/>
        </w:rPr>
        <w:t>Fertőzések</w:t>
      </w:r>
    </w:p>
    <w:p w14:paraId="77465F2A" w14:textId="77777777" w:rsidR="00713AC9" w:rsidRPr="00183B5F" w:rsidRDefault="00713AC9" w:rsidP="00713AC9">
      <w:pPr>
        <w:spacing w:line="240" w:lineRule="auto"/>
        <w:rPr>
          <w:szCs w:val="22"/>
        </w:rPr>
      </w:pPr>
    </w:p>
    <w:p w14:paraId="61BDCE62" w14:textId="77777777" w:rsidR="00713AC9" w:rsidRPr="00183B5F" w:rsidRDefault="00943743" w:rsidP="00713AC9">
      <w:pPr>
        <w:numPr>
          <w:ilvl w:val="0"/>
          <w:numId w:val="20"/>
        </w:numPr>
        <w:tabs>
          <w:tab w:val="clear" w:pos="720"/>
        </w:tabs>
        <w:spacing w:line="240" w:lineRule="auto"/>
        <w:ind w:left="567" w:hanging="567"/>
        <w:rPr>
          <w:szCs w:val="22"/>
        </w:rPr>
      </w:pPr>
      <w:r w:rsidRPr="00183B5F">
        <w:rPr>
          <w:szCs w:val="22"/>
        </w:rPr>
        <w:t>Ha fertőzésben szenved, ideértve a hosszantartó vagy a test egy részét érintő fertőzést (</w:t>
      </w:r>
      <w:r w:rsidR="00F15477" w:rsidRPr="00183B5F">
        <w:rPr>
          <w:bCs/>
          <w:szCs w:val="22"/>
        </w:rPr>
        <w:t>például</w:t>
      </w:r>
      <w:r w:rsidRPr="00183B5F">
        <w:rPr>
          <w:szCs w:val="22"/>
        </w:rPr>
        <w:t xml:space="preserve"> lábszárfekély) beszéljen kezelőorvosával. Ha kétségei vannak, forduljon kezelőorvosához.</w:t>
      </w:r>
    </w:p>
    <w:p w14:paraId="49A376D1" w14:textId="77777777" w:rsidR="00713AC9" w:rsidRPr="00183B5F" w:rsidRDefault="00713AC9" w:rsidP="00713AC9">
      <w:pPr>
        <w:spacing w:line="240" w:lineRule="auto"/>
        <w:ind w:left="567" w:hanging="567"/>
        <w:rPr>
          <w:szCs w:val="22"/>
        </w:rPr>
      </w:pPr>
    </w:p>
    <w:p w14:paraId="1F121B60" w14:textId="77777777" w:rsidR="00713AC9" w:rsidRPr="00183B5F" w:rsidRDefault="00943743" w:rsidP="00713AC9">
      <w:pPr>
        <w:pStyle w:val="EMEABullet2"/>
        <w:numPr>
          <w:ilvl w:val="0"/>
          <w:numId w:val="20"/>
        </w:numPr>
        <w:tabs>
          <w:tab w:val="clear" w:pos="720"/>
          <w:tab w:val="num" w:pos="567"/>
        </w:tabs>
        <w:ind w:left="567" w:hanging="567"/>
        <w:rPr>
          <w:szCs w:val="22"/>
          <w:lang w:val="hu-HU"/>
        </w:rPr>
      </w:pPr>
      <w:r w:rsidRPr="00183B5F">
        <w:rPr>
          <w:szCs w:val="22"/>
          <w:lang w:val="hu-HU"/>
        </w:rPr>
        <w:t>Humira</w:t>
      </w:r>
      <w:r w:rsidRPr="00183B5F">
        <w:rPr>
          <w:szCs w:val="22"/>
          <w:lang w:val="hu-HU"/>
        </w:rPr>
        <w:noBreakHyphen/>
        <w:t>kezelés során könnyebben kaphat fertőzéseket. Ennek veszélye nagyobb lehet, ha tüdőbetegsége van. Ezek a fertőzések súlyosak lehetnek és közéjük tartozik:</w:t>
      </w:r>
    </w:p>
    <w:p w14:paraId="14B0F77D" w14:textId="77777777" w:rsidR="00713AC9" w:rsidRPr="00183B5F" w:rsidRDefault="00943743" w:rsidP="00713AC9">
      <w:pPr>
        <w:pStyle w:val="EMEABullet2"/>
        <w:numPr>
          <w:ilvl w:val="0"/>
          <w:numId w:val="20"/>
        </w:numPr>
        <w:tabs>
          <w:tab w:val="clear" w:pos="567"/>
        </w:tabs>
        <w:ind w:left="284" w:firstLine="357"/>
        <w:rPr>
          <w:szCs w:val="22"/>
          <w:lang w:val="hu-HU"/>
        </w:rPr>
      </w:pPr>
      <w:r w:rsidRPr="00183B5F">
        <w:rPr>
          <w:szCs w:val="22"/>
          <w:lang w:val="hu-HU"/>
        </w:rPr>
        <w:t xml:space="preserve">tuberkulózis, </w:t>
      </w:r>
    </w:p>
    <w:p w14:paraId="64132012" w14:textId="77777777" w:rsidR="00713AC9" w:rsidRPr="00183B5F" w:rsidRDefault="00943743" w:rsidP="00713AC9">
      <w:pPr>
        <w:pStyle w:val="EMEABullet2"/>
        <w:numPr>
          <w:ilvl w:val="0"/>
          <w:numId w:val="20"/>
        </w:numPr>
        <w:tabs>
          <w:tab w:val="clear" w:pos="567"/>
        </w:tabs>
        <w:ind w:left="284" w:firstLine="357"/>
        <w:rPr>
          <w:szCs w:val="22"/>
          <w:lang w:val="hu-HU"/>
        </w:rPr>
      </w:pPr>
      <w:r w:rsidRPr="00183B5F">
        <w:rPr>
          <w:szCs w:val="22"/>
          <w:lang w:val="hu-HU"/>
        </w:rPr>
        <w:t>vírusok, gombák, élősködők vagy baktériumok okozta fertőzések</w:t>
      </w:r>
    </w:p>
    <w:p w14:paraId="4CC22C14" w14:textId="77777777" w:rsidR="00713AC9" w:rsidRPr="00183B5F" w:rsidRDefault="00943743" w:rsidP="00713AC9">
      <w:pPr>
        <w:pStyle w:val="EMEABullet2"/>
        <w:numPr>
          <w:ilvl w:val="0"/>
          <w:numId w:val="20"/>
        </w:numPr>
        <w:tabs>
          <w:tab w:val="clear" w:pos="567"/>
        </w:tabs>
        <w:ind w:left="284" w:firstLine="357"/>
        <w:rPr>
          <w:szCs w:val="22"/>
          <w:lang w:val="hu-HU"/>
        </w:rPr>
      </w:pPr>
      <w:r w:rsidRPr="00183B5F">
        <w:rPr>
          <w:szCs w:val="22"/>
          <w:lang w:val="hu-HU"/>
        </w:rPr>
        <w:t>súlyos fertőzés a vérben (szepszis)</w:t>
      </w:r>
    </w:p>
    <w:p w14:paraId="5021D76D" w14:textId="77777777" w:rsidR="00713AC9" w:rsidRPr="00183B5F" w:rsidRDefault="00713AC9" w:rsidP="00713AC9">
      <w:pPr>
        <w:pStyle w:val="EMEABullet2"/>
        <w:numPr>
          <w:ilvl w:val="0"/>
          <w:numId w:val="0"/>
        </w:numPr>
        <w:tabs>
          <w:tab w:val="clear" w:pos="567"/>
        </w:tabs>
        <w:ind w:left="720" w:hanging="360"/>
        <w:rPr>
          <w:szCs w:val="22"/>
          <w:lang w:val="hu-HU"/>
        </w:rPr>
      </w:pPr>
    </w:p>
    <w:p w14:paraId="3D525A79" w14:textId="77777777" w:rsidR="00713AC9" w:rsidRPr="00183B5F" w:rsidRDefault="00943743" w:rsidP="00713AC9">
      <w:pPr>
        <w:pStyle w:val="EMEABullet2"/>
        <w:numPr>
          <w:ilvl w:val="0"/>
          <w:numId w:val="0"/>
        </w:numPr>
        <w:tabs>
          <w:tab w:val="clear" w:pos="567"/>
        </w:tabs>
        <w:ind w:left="567"/>
        <w:rPr>
          <w:szCs w:val="22"/>
          <w:lang w:val="hu-HU"/>
        </w:rPr>
      </w:pPr>
      <w:r w:rsidRPr="00183B5F">
        <w:rPr>
          <w:szCs w:val="22"/>
          <w:lang w:val="hu-HU"/>
        </w:rPr>
        <w:t>Ritkán ezek a fertőzések életveszélyesek lehetnek. Kezelőorvosával feltétlenül közölje, ha bármilyen fertőzésre utaló tünete van, mint láz, sebek, fáradtságérzés, fogászati problémák. Kezelőorvosa a Humira</w:t>
      </w:r>
      <w:r w:rsidRPr="00183B5F">
        <w:rPr>
          <w:szCs w:val="22"/>
          <w:lang w:val="hu-HU"/>
        </w:rPr>
        <w:noBreakHyphen/>
        <w:t>kezelés átmeneti felfüggesztését javasolhatja.</w:t>
      </w:r>
    </w:p>
    <w:p w14:paraId="1B65A0B0" w14:textId="77777777" w:rsidR="00713AC9" w:rsidRPr="00183B5F" w:rsidRDefault="00713AC9" w:rsidP="00713AC9">
      <w:pPr>
        <w:pStyle w:val="EMEANormal"/>
        <w:rPr>
          <w:lang w:val="hu-HU"/>
        </w:rPr>
      </w:pPr>
    </w:p>
    <w:p w14:paraId="24D2336A" w14:textId="77777777" w:rsidR="00713AC9" w:rsidRPr="00183B5F" w:rsidRDefault="00943743" w:rsidP="00713AC9">
      <w:pPr>
        <w:pStyle w:val="EMEABullet2"/>
        <w:numPr>
          <w:ilvl w:val="0"/>
          <w:numId w:val="64"/>
        </w:numPr>
        <w:rPr>
          <w:szCs w:val="22"/>
          <w:lang w:val="hu-HU"/>
        </w:rPr>
      </w:pPr>
      <w:r w:rsidRPr="00183B5F">
        <w:rPr>
          <w:szCs w:val="22"/>
          <w:lang w:val="hu-HU"/>
        </w:rPr>
        <w:t>Tájékoztassa kezelőorvosát, ha olyan területen él vagy olyan területre utazik, ahol nagyon gyakoriak a gombák okozta fertőzések (</w:t>
      </w:r>
      <w:r w:rsidR="00F15477" w:rsidRPr="00183B5F">
        <w:rPr>
          <w:bCs/>
          <w:szCs w:val="22"/>
          <w:lang w:val="hu-HU"/>
        </w:rPr>
        <w:t>például</w:t>
      </w:r>
      <w:r w:rsidRPr="00183B5F">
        <w:rPr>
          <w:szCs w:val="22"/>
          <w:lang w:val="hu-HU"/>
        </w:rPr>
        <w:t>  a hisztoplazmózis, kokcidioidomikózis vagy a blasztomikózis).</w:t>
      </w:r>
    </w:p>
    <w:p w14:paraId="2F0B3B2E" w14:textId="77777777" w:rsidR="00713AC9" w:rsidRPr="00183B5F" w:rsidRDefault="00713AC9" w:rsidP="00713AC9">
      <w:pPr>
        <w:pStyle w:val="EMEANormal"/>
        <w:rPr>
          <w:lang w:val="hu-HU"/>
        </w:rPr>
      </w:pPr>
    </w:p>
    <w:p w14:paraId="5CEA2D19" w14:textId="77777777" w:rsidR="00713AC9" w:rsidRPr="00183B5F" w:rsidRDefault="00943743" w:rsidP="00713AC9">
      <w:pPr>
        <w:numPr>
          <w:ilvl w:val="0"/>
          <w:numId w:val="64"/>
        </w:numPr>
        <w:spacing w:line="240" w:lineRule="auto"/>
        <w:rPr>
          <w:szCs w:val="22"/>
        </w:rPr>
      </w:pPr>
      <w:r w:rsidRPr="00183B5F">
        <w:rPr>
          <w:szCs w:val="22"/>
        </w:rPr>
        <w:t>Tájékoztassa kezelőorvosát, ha visszatérő fertőzései, vagy egyéb olyan betegségei vannak, amelyek fokozzák a fertőzés lehetőségét.</w:t>
      </w:r>
    </w:p>
    <w:p w14:paraId="1ED10CAC" w14:textId="77777777" w:rsidR="00713AC9" w:rsidRPr="00183B5F" w:rsidRDefault="00713AC9" w:rsidP="00713AC9">
      <w:pPr>
        <w:pStyle w:val="ListParagraph"/>
        <w:rPr>
          <w:szCs w:val="22"/>
        </w:rPr>
      </w:pPr>
    </w:p>
    <w:p w14:paraId="54DFEE3C" w14:textId="77777777" w:rsidR="00713AC9" w:rsidRPr="00183B5F" w:rsidRDefault="00943743" w:rsidP="00713AC9">
      <w:pPr>
        <w:numPr>
          <w:ilvl w:val="0"/>
          <w:numId w:val="80"/>
        </w:numPr>
        <w:tabs>
          <w:tab w:val="clear" w:pos="720"/>
          <w:tab w:val="num" w:pos="4122"/>
        </w:tabs>
        <w:spacing w:line="240" w:lineRule="auto"/>
        <w:ind w:left="567" w:hanging="567"/>
        <w:rPr>
          <w:szCs w:val="22"/>
        </w:rPr>
      </w:pPr>
      <w:r w:rsidRPr="00183B5F">
        <w:rPr>
          <w:szCs w:val="22"/>
        </w:rPr>
        <w:t>Ha Ön 65 évnél idősebb, a Humira</w:t>
      </w:r>
      <w:r w:rsidRPr="00183B5F">
        <w:rPr>
          <w:szCs w:val="22"/>
        </w:rPr>
        <w:noBreakHyphen/>
        <w:t>kezelés ideje alatt fogékonyabb lehet a fertőzésekre. A Humira-kezelés ideje alatt Önnek és kezelőorvosának különös figyelmet kell fordítania a fertőzések tüneteire. Feltétlenül tájékoztassa kezelőorvosát, ha fertőzésre utaló tünetei vannak, mint például láz, sebek, fáradtságérzés vagy fogászati problémák.</w:t>
      </w:r>
    </w:p>
    <w:p w14:paraId="2DC36624" w14:textId="77777777" w:rsidR="00713AC9" w:rsidRPr="00183B5F" w:rsidRDefault="00713AC9" w:rsidP="00713AC9">
      <w:pPr>
        <w:spacing w:line="240" w:lineRule="auto"/>
        <w:rPr>
          <w:szCs w:val="22"/>
          <w:u w:val="single"/>
        </w:rPr>
      </w:pPr>
    </w:p>
    <w:p w14:paraId="3C322D99" w14:textId="77777777" w:rsidR="00713AC9" w:rsidRPr="00183B5F" w:rsidRDefault="00943743" w:rsidP="00713AC9">
      <w:pPr>
        <w:spacing w:line="240" w:lineRule="auto"/>
        <w:rPr>
          <w:szCs w:val="22"/>
          <w:u w:val="single"/>
        </w:rPr>
      </w:pPr>
      <w:r w:rsidRPr="00183B5F">
        <w:rPr>
          <w:szCs w:val="22"/>
          <w:u w:val="single"/>
        </w:rPr>
        <w:t>Tuberkulózis</w:t>
      </w:r>
    </w:p>
    <w:p w14:paraId="6C0C1B19" w14:textId="77777777" w:rsidR="00713AC9" w:rsidRPr="00183B5F" w:rsidRDefault="00713AC9" w:rsidP="00713AC9">
      <w:pPr>
        <w:spacing w:line="240" w:lineRule="auto"/>
        <w:rPr>
          <w:szCs w:val="22"/>
          <w:u w:val="single"/>
        </w:rPr>
      </w:pPr>
    </w:p>
    <w:p w14:paraId="27788A17" w14:textId="77777777" w:rsidR="00713AC9" w:rsidRPr="00183B5F" w:rsidRDefault="00943743" w:rsidP="00713AC9">
      <w:pPr>
        <w:numPr>
          <w:ilvl w:val="0"/>
          <w:numId w:val="27"/>
        </w:numPr>
        <w:tabs>
          <w:tab w:val="clear" w:pos="720"/>
          <w:tab w:val="num" w:pos="4122"/>
        </w:tabs>
        <w:spacing w:line="240" w:lineRule="auto"/>
        <w:ind w:left="567" w:hanging="567"/>
        <w:rPr>
          <w:szCs w:val="22"/>
        </w:rPr>
      </w:pPr>
      <w:r w:rsidRPr="00183B5F">
        <w:rPr>
          <w:szCs w:val="22"/>
        </w:rPr>
        <w:t xml:space="preserve">Feltétlenül tájékoztassa kezelőorvosát, ha bármikor </w:t>
      </w:r>
      <w:r w:rsidRPr="00183B5F">
        <w:rPr>
          <w:bCs/>
          <w:szCs w:val="22"/>
        </w:rPr>
        <w:t>tuberkulózis</w:t>
      </w:r>
      <w:r w:rsidRPr="00183B5F">
        <w:rPr>
          <w:szCs w:val="22"/>
        </w:rPr>
        <w:t xml:space="preserve">ban szenvedett vagy közeli kapcsolatban volt valakivel, akinek </w:t>
      </w:r>
      <w:r w:rsidRPr="00183B5F">
        <w:rPr>
          <w:bCs/>
          <w:szCs w:val="22"/>
        </w:rPr>
        <w:t>tuberkulózis</w:t>
      </w:r>
      <w:r w:rsidRPr="00183B5F">
        <w:rPr>
          <w:szCs w:val="22"/>
        </w:rPr>
        <w:t>a volt. Ha aktív tuberkulózisa van, ne alkalmazza a Humira</w:t>
      </w:r>
      <w:r w:rsidRPr="00183B5F">
        <w:rPr>
          <w:szCs w:val="22"/>
        </w:rPr>
        <w:noBreakHyphen/>
        <w:t>t!</w:t>
      </w:r>
    </w:p>
    <w:p w14:paraId="56565F82" w14:textId="77777777" w:rsidR="00713AC9" w:rsidRPr="00183B5F" w:rsidRDefault="00713AC9" w:rsidP="00713AC9">
      <w:pPr>
        <w:spacing w:line="240" w:lineRule="auto"/>
        <w:ind w:left="567" w:hanging="567"/>
        <w:rPr>
          <w:szCs w:val="22"/>
        </w:rPr>
      </w:pPr>
    </w:p>
    <w:p w14:paraId="4A9ADF2F" w14:textId="77777777" w:rsidR="00713AC9" w:rsidRPr="00183B5F" w:rsidRDefault="00943743" w:rsidP="00713AC9">
      <w:pPr>
        <w:numPr>
          <w:ilvl w:val="0"/>
          <w:numId w:val="20"/>
        </w:numPr>
        <w:tabs>
          <w:tab w:val="clear" w:pos="720"/>
        </w:tabs>
        <w:spacing w:line="240" w:lineRule="auto"/>
        <w:ind w:left="1134" w:hanging="567"/>
        <w:rPr>
          <w:szCs w:val="22"/>
        </w:rPr>
      </w:pPr>
      <w:r w:rsidRPr="00183B5F">
        <w:rPr>
          <w:szCs w:val="22"/>
        </w:rPr>
        <w:t>Humira</w:t>
      </w:r>
      <w:r w:rsidRPr="00183B5F">
        <w:rPr>
          <w:szCs w:val="22"/>
        </w:rPr>
        <w:noBreakHyphen/>
        <w:t xml:space="preserve">val kezelt betegeken </w:t>
      </w:r>
      <w:r w:rsidRPr="00183B5F">
        <w:rPr>
          <w:bCs/>
          <w:szCs w:val="22"/>
        </w:rPr>
        <w:t>tuberkulózis</w:t>
      </w:r>
      <w:r w:rsidRPr="00183B5F">
        <w:rPr>
          <w:szCs w:val="22"/>
        </w:rPr>
        <w:t xml:space="preserve"> kialakulását észlelték, így a kezelés megkezdése előtt kezelőorvosa megvizsgálja a </w:t>
      </w:r>
      <w:r w:rsidRPr="00183B5F">
        <w:rPr>
          <w:bCs/>
          <w:szCs w:val="22"/>
        </w:rPr>
        <w:t>tuberkulózis</w:t>
      </w:r>
      <w:r w:rsidRPr="00183B5F">
        <w:rPr>
          <w:szCs w:val="22"/>
        </w:rPr>
        <w:t xml:space="preserve">ra utaló jeleket és tüneteket. Részletes orvosi kórelőzmény felvételére és megfelelő szűrővizsgálatokra (mint </w:t>
      </w:r>
      <w:r w:rsidR="00F15477" w:rsidRPr="00183B5F">
        <w:rPr>
          <w:bCs/>
          <w:szCs w:val="22"/>
        </w:rPr>
        <w:t>például</w:t>
      </w:r>
      <w:r w:rsidRPr="00183B5F">
        <w:rPr>
          <w:szCs w:val="22"/>
        </w:rPr>
        <w:t xml:space="preserve"> mellkasröntgen vizsgálatra és tuberkulin teszt végzésére) kerül sor. A </w:t>
      </w:r>
      <w:r w:rsidR="0048779F" w:rsidRPr="00183B5F">
        <w:rPr>
          <w:b/>
          <w:szCs w:val="22"/>
        </w:rPr>
        <w:t>Betegemlékeztető</w:t>
      </w:r>
      <w:r w:rsidRPr="00183B5F">
        <w:rPr>
          <w:b/>
          <w:szCs w:val="22"/>
        </w:rPr>
        <w:t xml:space="preserve"> Kártyán</w:t>
      </w:r>
      <w:r w:rsidRPr="00183B5F">
        <w:rPr>
          <w:szCs w:val="22"/>
        </w:rPr>
        <w:t xml:space="preserve"> a vizsgálatok elvégzésének tényét és eredményét vezetni kell.</w:t>
      </w:r>
    </w:p>
    <w:p w14:paraId="3270E990" w14:textId="77777777" w:rsidR="00713AC9" w:rsidRPr="00183B5F" w:rsidRDefault="00943743" w:rsidP="00713AC9">
      <w:pPr>
        <w:numPr>
          <w:ilvl w:val="0"/>
          <w:numId w:val="20"/>
        </w:numPr>
        <w:tabs>
          <w:tab w:val="clear" w:pos="720"/>
        </w:tabs>
        <w:spacing w:line="240" w:lineRule="auto"/>
        <w:ind w:left="1134" w:hanging="567"/>
        <w:rPr>
          <w:szCs w:val="22"/>
        </w:rPr>
      </w:pPr>
      <w:r w:rsidRPr="00183B5F">
        <w:rPr>
          <w:szCs w:val="22"/>
        </w:rPr>
        <w:t>A tuberkulózis kialakulhat a kezelés során annak ellenére, hogy Ön tuberkulózis elleni megelőző terápiát kapott.</w:t>
      </w:r>
    </w:p>
    <w:p w14:paraId="30BD0AD6" w14:textId="77777777" w:rsidR="00713AC9" w:rsidRPr="00183B5F" w:rsidRDefault="00943743" w:rsidP="00713AC9">
      <w:pPr>
        <w:numPr>
          <w:ilvl w:val="0"/>
          <w:numId w:val="20"/>
        </w:numPr>
        <w:tabs>
          <w:tab w:val="clear" w:pos="720"/>
        </w:tabs>
        <w:spacing w:line="240" w:lineRule="auto"/>
        <w:ind w:left="1134" w:hanging="567"/>
        <w:rPr>
          <w:szCs w:val="22"/>
        </w:rPr>
      </w:pPr>
      <w:r w:rsidRPr="00183B5F">
        <w:rPr>
          <w:szCs w:val="22"/>
        </w:rPr>
        <w:t xml:space="preserve">Ha a </w:t>
      </w:r>
      <w:r w:rsidRPr="00183B5F">
        <w:rPr>
          <w:bCs/>
          <w:szCs w:val="22"/>
        </w:rPr>
        <w:t>tuberkulózis</w:t>
      </w:r>
      <w:r w:rsidRPr="00183B5F">
        <w:rPr>
          <w:szCs w:val="22"/>
        </w:rPr>
        <w:t xml:space="preserve"> tünetei (</w:t>
      </w:r>
      <w:r w:rsidR="00F15477" w:rsidRPr="00183B5F">
        <w:rPr>
          <w:bCs/>
          <w:szCs w:val="22"/>
        </w:rPr>
        <w:t>például</w:t>
      </w:r>
      <w:r w:rsidRPr="00183B5F">
        <w:rPr>
          <w:szCs w:val="22"/>
        </w:rPr>
        <w:t xml:space="preserve"> nem múló köhögés, testsúlycsökkenés, levertség, enyhe hőemelkedés), vagy más fertőzésre utaló tünetek jelentkeznek a kezelés alatt vagy a kezelést követően, azonnal közölje kezelőorvosával.</w:t>
      </w:r>
    </w:p>
    <w:p w14:paraId="5F557F32" w14:textId="77777777" w:rsidR="00713AC9" w:rsidRPr="00183B5F" w:rsidRDefault="00713AC9" w:rsidP="00713AC9">
      <w:pPr>
        <w:spacing w:line="240" w:lineRule="auto"/>
        <w:rPr>
          <w:szCs w:val="22"/>
        </w:rPr>
      </w:pPr>
    </w:p>
    <w:p w14:paraId="6DFD77A1" w14:textId="77777777" w:rsidR="00713AC9" w:rsidRPr="00183B5F" w:rsidRDefault="00943743" w:rsidP="00713AC9">
      <w:pPr>
        <w:rPr>
          <w:u w:val="single"/>
        </w:rPr>
      </w:pPr>
      <w:r w:rsidRPr="00183B5F">
        <w:rPr>
          <w:u w:val="single"/>
        </w:rPr>
        <w:t>Hepatitisz B</w:t>
      </w:r>
    </w:p>
    <w:p w14:paraId="2FE34CDB" w14:textId="77777777" w:rsidR="00713AC9" w:rsidRPr="00183B5F" w:rsidRDefault="00713AC9" w:rsidP="00713AC9">
      <w:pPr>
        <w:spacing w:line="240" w:lineRule="auto"/>
        <w:rPr>
          <w:szCs w:val="22"/>
        </w:rPr>
      </w:pPr>
    </w:p>
    <w:p w14:paraId="3E0840A8" w14:textId="77777777" w:rsidR="00713AC9" w:rsidRPr="00183B5F" w:rsidRDefault="00943743" w:rsidP="00713AC9">
      <w:pPr>
        <w:numPr>
          <w:ilvl w:val="0"/>
          <w:numId w:val="20"/>
        </w:numPr>
        <w:tabs>
          <w:tab w:val="clear" w:pos="720"/>
        </w:tabs>
        <w:spacing w:line="240" w:lineRule="auto"/>
        <w:ind w:left="567" w:hanging="567"/>
        <w:rPr>
          <w:szCs w:val="22"/>
        </w:rPr>
      </w:pPr>
      <w:r w:rsidRPr="00183B5F">
        <w:rPr>
          <w:szCs w:val="22"/>
        </w:rPr>
        <w:t>Tájékoztassa kezelőorvosát, ha Ön hepatitisz B vírus (HBV)</w:t>
      </w:r>
      <w:r w:rsidRPr="00183B5F">
        <w:rPr>
          <w:szCs w:val="22"/>
        </w:rPr>
        <w:noBreakHyphen/>
        <w:t xml:space="preserve">hordozó, netán aktív </w:t>
      </w:r>
      <w:r w:rsidR="000A456B" w:rsidRPr="00183B5F">
        <w:rPr>
          <w:szCs w:val="22"/>
        </w:rPr>
        <w:t>HBV</w:t>
      </w:r>
      <w:r w:rsidR="000A456B" w:rsidRPr="00183B5F">
        <w:rPr>
          <w:szCs w:val="22"/>
        </w:rPr>
        <w:noBreakHyphen/>
        <w:t>fertőz</w:t>
      </w:r>
      <w:r w:rsidRPr="00183B5F">
        <w:rPr>
          <w:szCs w:val="22"/>
        </w:rPr>
        <w:t>ésben szenved, vagy feltételezi, hogy hepatitisz B fertőzés veszélye fenyegetheti.</w:t>
      </w:r>
    </w:p>
    <w:p w14:paraId="5DA5315D" w14:textId="77777777" w:rsidR="00713AC9" w:rsidRPr="00183B5F" w:rsidRDefault="00943743" w:rsidP="00713AC9">
      <w:pPr>
        <w:numPr>
          <w:ilvl w:val="1"/>
          <w:numId w:val="20"/>
        </w:numPr>
        <w:spacing w:line="240" w:lineRule="auto"/>
        <w:ind w:left="924" w:hanging="357"/>
        <w:rPr>
          <w:szCs w:val="22"/>
        </w:rPr>
      </w:pPr>
      <w:r w:rsidRPr="00183B5F">
        <w:rPr>
          <w:szCs w:val="22"/>
        </w:rPr>
        <w:t>Orvosának HBV</w:t>
      </w:r>
      <w:r w:rsidRPr="00183B5F">
        <w:rPr>
          <w:szCs w:val="22"/>
        </w:rPr>
        <w:noBreakHyphen/>
        <w:t>vizsgálatot kell végeznie Önnél. A HBV</w:t>
      </w:r>
      <w:r w:rsidRPr="00183B5F">
        <w:rPr>
          <w:szCs w:val="22"/>
        </w:rPr>
        <w:noBreakHyphen/>
        <w:t>t hordozó embereknél a Humira ismét aktiválhatja a vírust.</w:t>
      </w:r>
    </w:p>
    <w:p w14:paraId="2563AFCD" w14:textId="77777777" w:rsidR="00713AC9" w:rsidRPr="00183B5F" w:rsidRDefault="00943743" w:rsidP="00713AC9">
      <w:pPr>
        <w:numPr>
          <w:ilvl w:val="1"/>
          <w:numId w:val="20"/>
        </w:numPr>
        <w:spacing w:line="240" w:lineRule="auto"/>
        <w:ind w:left="924" w:hanging="357"/>
        <w:rPr>
          <w:szCs w:val="22"/>
        </w:rPr>
      </w:pPr>
      <w:r w:rsidRPr="00183B5F">
        <w:rPr>
          <w:szCs w:val="22"/>
        </w:rPr>
        <w:t>Egyes ritka esetekben – különösen ha más, az immunrendszer működését gátló szereket is szed – a HBV ismételt aktiválódása életveszélyes lehet.</w:t>
      </w:r>
    </w:p>
    <w:p w14:paraId="7C5C1E57" w14:textId="77777777" w:rsidR="00713AC9" w:rsidRPr="00183B5F" w:rsidRDefault="00713AC9" w:rsidP="00713AC9">
      <w:pPr>
        <w:rPr>
          <w:u w:val="single"/>
        </w:rPr>
      </w:pPr>
    </w:p>
    <w:p w14:paraId="7504EBC2" w14:textId="77777777" w:rsidR="00713AC9" w:rsidRPr="00183B5F" w:rsidRDefault="00943743" w:rsidP="00713AC9">
      <w:pPr>
        <w:rPr>
          <w:u w:val="single"/>
        </w:rPr>
      </w:pPr>
      <w:r w:rsidRPr="00183B5F">
        <w:rPr>
          <w:u w:val="single"/>
        </w:rPr>
        <w:t>Sebészeti vagy fogászati beavatkozás</w:t>
      </w:r>
    </w:p>
    <w:p w14:paraId="58D570EE" w14:textId="77777777" w:rsidR="00713AC9" w:rsidRPr="00183B5F" w:rsidRDefault="00713AC9" w:rsidP="00713AC9">
      <w:pPr>
        <w:spacing w:line="240" w:lineRule="auto"/>
        <w:rPr>
          <w:szCs w:val="22"/>
        </w:rPr>
      </w:pPr>
    </w:p>
    <w:p w14:paraId="0F5A3341" w14:textId="77777777" w:rsidR="00713AC9" w:rsidRPr="00183B5F" w:rsidRDefault="00943743" w:rsidP="00713AC9">
      <w:pPr>
        <w:numPr>
          <w:ilvl w:val="0"/>
          <w:numId w:val="20"/>
        </w:numPr>
        <w:tabs>
          <w:tab w:val="clear" w:pos="720"/>
        </w:tabs>
        <w:spacing w:line="240" w:lineRule="auto"/>
        <w:ind w:left="567" w:hanging="567"/>
        <w:rPr>
          <w:szCs w:val="22"/>
        </w:rPr>
      </w:pPr>
      <w:r w:rsidRPr="00183B5F">
        <w:rPr>
          <w:szCs w:val="22"/>
          <w:lang w:eastAsia="en-US"/>
        </w:rPr>
        <w:t>Ha sebészeti vagy fogászati beavatkozás előtt áll, tájékoztassa orvosát, hogy Humira</w:t>
      </w:r>
      <w:r w:rsidRPr="00183B5F">
        <w:rPr>
          <w:szCs w:val="22"/>
          <w:lang w:eastAsia="en-US"/>
        </w:rPr>
        <w:noBreakHyphen/>
        <w:t xml:space="preserve">kezelésben részesül. </w:t>
      </w:r>
      <w:r w:rsidRPr="00183B5F">
        <w:rPr>
          <w:szCs w:val="22"/>
        </w:rPr>
        <w:t>Orvosa a kezelés átmeneti felfüggesztését javasolhatja.</w:t>
      </w:r>
    </w:p>
    <w:p w14:paraId="126D0175" w14:textId="77777777" w:rsidR="00713AC9" w:rsidRPr="00183B5F" w:rsidRDefault="00713AC9" w:rsidP="00713AC9">
      <w:pPr>
        <w:pStyle w:val="EndnoteText"/>
        <w:tabs>
          <w:tab w:val="clear" w:pos="567"/>
        </w:tabs>
        <w:suppressAutoHyphens/>
        <w:rPr>
          <w:sz w:val="22"/>
          <w:szCs w:val="22"/>
          <w:lang w:val="hu-HU" w:eastAsia="hu-HU"/>
        </w:rPr>
      </w:pPr>
    </w:p>
    <w:p w14:paraId="7ADDABDC" w14:textId="77777777" w:rsidR="00713AC9" w:rsidRPr="00183B5F" w:rsidRDefault="00943743" w:rsidP="00713AC9">
      <w:pPr>
        <w:rPr>
          <w:u w:val="single"/>
        </w:rPr>
      </w:pPr>
      <w:r w:rsidRPr="00183B5F">
        <w:rPr>
          <w:u w:val="single"/>
        </w:rPr>
        <w:t>Demielinizációval járó betegségek</w:t>
      </w:r>
    </w:p>
    <w:p w14:paraId="25170644" w14:textId="77777777" w:rsidR="00713AC9" w:rsidRPr="00183B5F" w:rsidRDefault="00713AC9" w:rsidP="00713AC9"/>
    <w:p w14:paraId="7F58358B" w14:textId="77777777" w:rsidR="00713AC9" w:rsidRPr="00183B5F" w:rsidRDefault="00943743" w:rsidP="00713AC9">
      <w:pPr>
        <w:numPr>
          <w:ilvl w:val="0"/>
          <w:numId w:val="101"/>
        </w:numPr>
        <w:spacing w:line="240" w:lineRule="auto"/>
        <w:ind w:left="567" w:hanging="567"/>
        <w:rPr>
          <w:szCs w:val="22"/>
        </w:rPr>
      </w:pPr>
      <w:r w:rsidRPr="00183B5F">
        <w:rPr>
          <w:szCs w:val="22"/>
        </w:rPr>
        <w:t>Ha demielinizációval (az idegrostok velőshüvelyét érintő betegség, mint például szklerózis multiplex) szenved, vagy ilyen típusú betegség alakul ki Önnél, kezelőorvosa dönti el, hogy a Humira</w:t>
      </w:r>
      <w:r w:rsidRPr="00183B5F">
        <w:rPr>
          <w:szCs w:val="22"/>
        </w:rPr>
        <w:noBreakHyphen/>
        <w:t>kezelés alkalmazható</w:t>
      </w:r>
      <w:r w:rsidRPr="00183B5F">
        <w:rPr>
          <w:szCs w:val="22"/>
        </w:rPr>
        <w:noBreakHyphen/>
        <w:t>e, vagy folytatható</w:t>
      </w:r>
      <w:r w:rsidRPr="00183B5F">
        <w:rPr>
          <w:szCs w:val="22"/>
        </w:rPr>
        <w:noBreakHyphen/>
        <w:t>e az Ön esetében. Azonnal tájékoztassa kezelőorvosát, ha olyan tüneteket tapasztal, mint a megváltozott látás, kar</w:t>
      </w:r>
      <w:r w:rsidRPr="00183B5F">
        <w:rPr>
          <w:szCs w:val="22"/>
        </w:rPr>
        <w:noBreakHyphen/>
        <w:t xml:space="preserve"> vagy lábgyengeség, illetve zsibbadás vagy bizsergés a test bármelyik részén.</w:t>
      </w:r>
    </w:p>
    <w:p w14:paraId="760B0357" w14:textId="77777777" w:rsidR="00713AC9" w:rsidRPr="00183B5F" w:rsidRDefault="00713AC9" w:rsidP="00713AC9">
      <w:pPr>
        <w:keepNext/>
        <w:spacing w:line="240" w:lineRule="auto"/>
        <w:ind w:left="567"/>
        <w:rPr>
          <w:szCs w:val="22"/>
          <w:u w:val="single"/>
        </w:rPr>
      </w:pPr>
    </w:p>
    <w:p w14:paraId="1F8C0589" w14:textId="77777777" w:rsidR="00713AC9" w:rsidRPr="00183B5F" w:rsidRDefault="00943743" w:rsidP="00713AC9">
      <w:pPr>
        <w:keepNext/>
        <w:spacing w:line="240" w:lineRule="auto"/>
        <w:rPr>
          <w:szCs w:val="22"/>
          <w:u w:val="single"/>
        </w:rPr>
      </w:pPr>
      <w:r w:rsidRPr="00183B5F">
        <w:rPr>
          <w:szCs w:val="22"/>
          <w:u w:val="single"/>
        </w:rPr>
        <w:t>Védőoltások</w:t>
      </w:r>
    </w:p>
    <w:p w14:paraId="59BD2605" w14:textId="77777777" w:rsidR="00713AC9" w:rsidRPr="00183B5F" w:rsidRDefault="00713AC9" w:rsidP="00713AC9">
      <w:pPr>
        <w:spacing w:line="240" w:lineRule="auto"/>
        <w:rPr>
          <w:szCs w:val="22"/>
        </w:rPr>
      </w:pPr>
    </w:p>
    <w:p w14:paraId="48687212" w14:textId="77777777" w:rsidR="00713AC9" w:rsidRPr="00183B5F" w:rsidRDefault="00943743" w:rsidP="00713AC9">
      <w:pPr>
        <w:numPr>
          <w:ilvl w:val="0"/>
          <w:numId w:val="101"/>
        </w:numPr>
        <w:spacing w:line="240" w:lineRule="auto"/>
        <w:ind w:left="567" w:hanging="567"/>
        <w:rPr>
          <w:szCs w:val="22"/>
        </w:rPr>
      </w:pPr>
      <w:r w:rsidRPr="00183B5F">
        <w:rPr>
          <w:szCs w:val="22"/>
        </w:rPr>
        <w:t>Humira alkalmazása során bizonyos védőoltások fertőzést okozhatnak, és ezért nem adhatóak.</w:t>
      </w:r>
    </w:p>
    <w:p w14:paraId="69ECF7B9" w14:textId="77777777" w:rsidR="00713AC9" w:rsidRPr="00183B5F" w:rsidRDefault="00713AC9" w:rsidP="006E6466">
      <w:pPr>
        <w:spacing w:line="240" w:lineRule="auto"/>
        <w:ind w:left="567"/>
        <w:rPr>
          <w:szCs w:val="22"/>
        </w:rPr>
      </w:pPr>
    </w:p>
    <w:p w14:paraId="42E87695" w14:textId="77777777" w:rsidR="00713AC9" w:rsidRPr="00183B5F" w:rsidRDefault="00943743" w:rsidP="00713AC9">
      <w:pPr>
        <w:numPr>
          <w:ilvl w:val="0"/>
          <w:numId w:val="101"/>
        </w:numPr>
        <w:spacing w:line="240" w:lineRule="auto"/>
        <w:rPr>
          <w:szCs w:val="22"/>
        </w:rPr>
      </w:pPr>
      <w:r w:rsidRPr="00183B5F">
        <w:rPr>
          <w:szCs w:val="22"/>
        </w:rPr>
        <w:t xml:space="preserve">Védőoltás adását megelőzően beszéljen kezelőorvosával. </w:t>
      </w:r>
    </w:p>
    <w:p w14:paraId="6B1A0E10" w14:textId="77777777" w:rsidR="00713AC9" w:rsidRPr="00183B5F" w:rsidRDefault="00943743" w:rsidP="00713AC9">
      <w:pPr>
        <w:numPr>
          <w:ilvl w:val="0"/>
          <w:numId w:val="101"/>
        </w:numPr>
        <w:spacing w:line="240" w:lineRule="auto"/>
        <w:rPr>
          <w:szCs w:val="22"/>
        </w:rPr>
      </w:pPr>
      <w:r w:rsidRPr="00183B5F">
        <w:rPr>
          <w:szCs w:val="22"/>
        </w:rPr>
        <w:t>Ajánlott, hogy a gyermekek – ha lehetséges -, a Humira</w:t>
      </w:r>
      <w:r w:rsidRPr="00183B5F">
        <w:rPr>
          <w:szCs w:val="22"/>
        </w:rPr>
        <w:noBreakHyphen/>
        <w:t>kezelés megkezdése előtt minden, az életkoruknak megfelelően ütemezett védőoltást kapjanak meg.</w:t>
      </w:r>
    </w:p>
    <w:p w14:paraId="619A7725" w14:textId="77777777" w:rsidR="00713AC9" w:rsidRPr="00183B5F" w:rsidRDefault="00943743" w:rsidP="00713AC9">
      <w:pPr>
        <w:numPr>
          <w:ilvl w:val="0"/>
          <w:numId w:val="101"/>
        </w:numPr>
        <w:spacing w:line="240" w:lineRule="auto"/>
        <w:rPr>
          <w:szCs w:val="22"/>
        </w:rPr>
      </w:pPr>
      <w:r w:rsidRPr="00183B5F">
        <w:rPr>
          <w:szCs w:val="22"/>
        </w:rPr>
        <w:t>Ha a terhessége alatt Humira</w:t>
      </w:r>
      <w:r w:rsidRPr="00183B5F">
        <w:rPr>
          <w:szCs w:val="22"/>
        </w:rPr>
        <w:noBreakHyphen/>
        <w:t>t kapott, a kisbabája a terhesség alatt kapott utolsó adag Humira</w:t>
      </w:r>
      <w:r w:rsidRPr="00183B5F">
        <w:rPr>
          <w:szCs w:val="22"/>
        </w:rPr>
        <w:noBreakHyphen/>
        <w:t>t követően legfeljebb 5 hónapig nagyobb eséllyel kaphat el valamilyen fertőzést. Fontos, hogy elmondja kisbabája orvosának vagy az őt kezelő egészségügyi személyzetnek, hogy a terhessége alatt Humira</w:t>
      </w:r>
      <w:r w:rsidRPr="00183B5F">
        <w:rPr>
          <w:szCs w:val="22"/>
        </w:rPr>
        <w:noBreakHyphen/>
        <w:t>t kapott, így ők el tudják dönteni, hogy kisbabájának mikor kell valamilyen védőoltást kapnia.</w:t>
      </w:r>
    </w:p>
    <w:p w14:paraId="7DD99FAD" w14:textId="77777777" w:rsidR="00713AC9" w:rsidRPr="00183B5F" w:rsidRDefault="00713AC9" w:rsidP="00713AC9">
      <w:pPr>
        <w:spacing w:line="240" w:lineRule="auto"/>
        <w:rPr>
          <w:szCs w:val="22"/>
        </w:rPr>
      </w:pPr>
    </w:p>
    <w:p w14:paraId="20CFBCDD" w14:textId="77777777" w:rsidR="00713AC9" w:rsidRPr="00183B5F" w:rsidRDefault="00943743" w:rsidP="00713AC9">
      <w:pPr>
        <w:keepNext/>
        <w:spacing w:line="240" w:lineRule="auto"/>
        <w:rPr>
          <w:szCs w:val="22"/>
          <w:u w:val="single"/>
        </w:rPr>
      </w:pPr>
      <w:r w:rsidRPr="00183B5F">
        <w:rPr>
          <w:szCs w:val="22"/>
          <w:u w:val="single"/>
        </w:rPr>
        <w:t>Szívelégtelenség</w:t>
      </w:r>
    </w:p>
    <w:p w14:paraId="5C8D3E6E" w14:textId="77777777" w:rsidR="00713AC9" w:rsidRPr="00183B5F" w:rsidRDefault="00713AC9" w:rsidP="00713AC9">
      <w:pPr>
        <w:keepNext/>
        <w:spacing w:line="240" w:lineRule="auto"/>
        <w:rPr>
          <w:szCs w:val="22"/>
          <w:u w:val="single"/>
        </w:rPr>
      </w:pPr>
    </w:p>
    <w:p w14:paraId="31A0DB20" w14:textId="77777777" w:rsidR="00713AC9" w:rsidRPr="00183B5F" w:rsidRDefault="00943743" w:rsidP="00713AC9">
      <w:pPr>
        <w:keepNext/>
        <w:numPr>
          <w:ilvl w:val="0"/>
          <w:numId w:val="20"/>
        </w:numPr>
        <w:tabs>
          <w:tab w:val="clear" w:pos="720"/>
        </w:tabs>
        <w:spacing w:line="240" w:lineRule="auto"/>
        <w:ind w:left="567" w:hanging="567"/>
        <w:rPr>
          <w:szCs w:val="22"/>
        </w:rPr>
      </w:pPr>
      <w:r w:rsidRPr="00183B5F">
        <w:rPr>
          <w:szCs w:val="22"/>
        </w:rPr>
        <w:t>Ha Önnek enyhe szívelégtelensége van és Humira</w:t>
      </w:r>
      <w:r w:rsidRPr="00183B5F">
        <w:rPr>
          <w:szCs w:val="22"/>
        </w:rPr>
        <w:noBreakHyphen/>
        <w:t>kezelést kap, a szívelégtelenség állapotát orvosának szorosan követnie kell. Kezelőorvosával feltétlenül közölje, ha Önnek volt, vagy van súlyos szívproblémája. Ha új tünetek kialakulását vagy a szívelégtelenség tüneteinek rosszabbodását észleli (</w:t>
      </w:r>
      <w:r w:rsidR="00F15477" w:rsidRPr="00183B5F">
        <w:rPr>
          <w:bCs/>
          <w:szCs w:val="22"/>
        </w:rPr>
        <w:t>például</w:t>
      </w:r>
      <w:r w:rsidRPr="00183B5F">
        <w:rPr>
          <w:szCs w:val="22"/>
        </w:rPr>
        <w:t xml:space="preserve"> légszomj, vagy lábdagadás), azonnal közölje orvosával. Kezelőorvosa el fogja dönteni, hogy Ön kaphat-e Humira</w:t>
      </w:r>
      <w:r w:rsidRPr="00183B5F">
        <w:rPr>
          <w:szCs w:val="22"/>
        </w:rPr>
        <w:noBreakHyphen/>
        <w:t>t.</w:t>
      </w:r>
    </w:p>
    <w:p w14:paraId="03033A50" w14:textId="77777777" w:rsidR="00713AC9" w:rsidRPr="00183B5F" w:rsidRDefault="00713AC9" w:rsidP="00713AC9">
      <w:pPr>
        <w:spacing w:line="240" w:lineRule="auto"/>
        <w:rPr>
          <w:szCs w:val="22"/>
        </w:rPr>
      </w:pPr>
    </w:p>
    <w:p w14:paraId="2DE0C0D1" w14:textId="77777777" w:rsidR="00713AC9" w:rsidRPr="00183B5F" w:rsidRDefault="00943743" w:rsidP="00713AC9">
      <w:pPr>
        <w:pStyle w:val="EMEANormal"/>
        <w:rPr>
          <w:u w:val="single"/>
          <w:lang w:val="hu-HU"/>
        </w:rPr>
      </w:pPr>
      <w:r w:rsidRPr="00183B5F">
        <w:rPr>
          <w:u w:val="single"/>
          <w:lang w:val="hu-HU"/>
        </w:rPr>
        <w:t>Láz, véraláfutás, vérzés vagy sápadtság</w:t>
      </w:r>
    </w:p>
    <w:p w14:paraId="2251DCC9" w14:textId="77777777" w:rsidR="00713AC9" w:rsidRPr="00183B5F" w:rsidRDefault="00713AC9" w:rsidP="00713AC9">
      <w:pPr>
        <w:spacing w:line="240" w:lineRule="auto"/>
        <w:rPr>
          <w:szCs w:val="22"/>
        </w:rPr>
      </w:pPr>
    </w:p>
    <w:p w14:paraId="398FC0BE" w14:textId="77777777" w:rsidR="00713AC9" w:rsidRPr="00183B5F" w:rsidRDefault="00943743" w:rsidP="00713AC9">
      <w:pPr>
        <w:numPr>
          <w:ilvl w:val="0"/>
          <w:numId w:val="20"/>
        </w:numPr>
        <w:tabs>
          <w:tab w:val="clear" w:pos="720"/>
        </w:tabs>
        <w:spacing w:line="240" w:lineRule="auto"/>
        <w:ind w:left="567" w:hanging="567"/>
        <w:rPr>
          <w:szCs w:val="22"/>
        </w:rPr>
      </w:pPr>
      <w:r w:rsidRPr="00183B5F">
        <w:rPr>
          <w:szCs w:val="22"/>
        </w:rPr>
        <w:t>Egyes betegek esetében a szervezet nem termel elég olyan vérsejtet, melyek leküzdenék a fertőzést vagy segítenék megállítani a vérzést. Kezelőorvosa dönti el, hogy folytassák</w:t>
      </w:r>
      <w:r w:rsidRPr="00183B5F">
        <w:rPr>
          <w:szCs w:val="22"/>
        </w:rPr>
        <w:noBreakHyphen/>
        <w:t>e a kezelét. Ha nem múló láza van, véraláfutása alakul ki, vagy könnyen vérzik és sápadtnak látszik, azonnal értesítse kezelőorvosát.</w:t>
      </w:r>
    </w:p>
    <w:p w14:paraId="5AE21BED" w14:textId="77777777" w:rsidR="00713AC9" w:rsidRPr="00183B5F" w:rsidRDefault="00713AC9" w:rsidP="00713AC9">
      <w:pPr>
        <w:spacing w:line="240" w:lineRule="auto"/>
        <w:rPr>
          <w:szCs w:val="22"/>
          <w:u w:val="single"/>
        </w:rPr>
      </w:pPr>
    </w:p>
    <w:p w14:paraId="2F564A4F" w14:textId="77777777" w:rsidR="00713AC9" w:rsidRPr="00183B5F" w:rsidRDefault="00943743" w:rsidP="00713AC9">
      <w:pPr>
        <w:spacing w:line="240" w:lineRule="auto"/>
        <w:rPr>
          <w:szCs w:val="22"/>
          <w:u w:val="single"/>
        </w:rPr>
      </w:pPr>
      <w:r w:rsidRPr="00183B5F">
        <w:rPr>
          <w:szCs w:val="22"/>
          <w:u w:val="single"/>
        </w:rPr>
        <w:t>Daganatos betegség</w:t>
      </w:r>
    </w:p>
    <w:p w14:paraId="1C6D922B" w14:textId="77777777" w:rsidR="00713AC9" w:rsidRPr="00183B5F" w:rsidRDefault="00713AC9" w:rsidP="00713AC9">
      <w:pPr>
        <w:spacing w:line="240" w:lineRule="auto"/>
        <w:rPr>
          <w:szCs w:val="22"/>
        </w:rPr>
      </w:pPr>
    </w:p>
    <w:p w14:paraId="328D2A74" w14:textId="77777777" w:rsidR="00713AC9" w:rsidRPr="00183B5F" w:rsidRDefault="00943743" w:rsidP="00713AC9">
      <w:pPr>
        <w:numPr>
          <w:ilvl w:val="0"/>
          <w:numId w:val="20"/>
        </w:numPr>
        <w:tabs>
          <w:tab w:val="clear" w:pos="720"/>
        </w:tabs>
        <w:spacing w:line="240" w:lineRule="auto"/>
        <w:ind w:left="567" w:hanging="567"/>
        <w:rPr>
          <w:szCs w:val="22"/>
        </w:rPr>
      </w:pPr>
      <w:r w:rsidRPr="00183B5F">
        <w:rPr>
          <w:szCs w:val="22"/>
        </w:rPr>
        <w:t>Nagyon ritkán előfordul, hogy a Humira</w:t>
      </w:r>
      <w:r w:rsidRPr="00183B5F">
        <w:rPr>
          <w:szCs w:val="22"/>
        </w:rPr>
        <w:noBreakHyphen/>
        <w:t>t vagy más TNF</w:t>
      </w:r>
      <w:r w:rsidRPr="00183B5F">
        <w:rPr>
          <w:szCs w:val="22"/>
        </w:rPr>
        <w:noBreakHyphen/>
        <w:t>antagonista gyógyszert szedő betegeknél bizonyos daganatfajta jelentkezik.</w:t>
      </w:r>
    </w:p>
    <w:p w14:paraId="6CA26BC5" w14:textId="77777777" w:rsidR="00713AC9" w:rsidRPr="00183B5F" w:rsidRDefault="00713AC9" w:rsidP="00713AC9">
      <w:pPr>
        <w:spacing w:line="240" w:lineRule="auto"/>
        <w:ind w:left="567"/>
        <w:rPr>
          <w:szCs w:val="22"/>
        </w:rPr>
      </w:pPr>
    </w:p>
    <w:p w14:paraId="2E0D5748" w14:textId="77777777" w:rsidR="00713AC9" w:rsidRPr="00183B5F" w:rsidRDefault="00943743" w:rsidP="00713AC9">
      <w:pPr>
        <w:numPr>
          <w:ilvl w:val="0"/>
          <w:numId w:val="20"/>
        </w:numPr>
        <w:spacing w:line="240" w:lineRule="auto"/>
        <w:rPr>
          <w:szCs w:val="22"/>
        </w:rPr>
      </w:pPr>
      <w:r w:rsidRPr="00183B5F">
        <w:rPr>
          <w:szCs w:val="22"/>
        </w:rPr>
        <w:t>A hosszú ideje súlyos reumatoid artritiszben szenvedő betegeknek az átlagosnál nagyobb a kockázatuk, hogy limfóma (a nyirokrendszert érintő daganat) vagy leukémia (a csontvelőt, vérképzést érintő daganat) alakul ki.</w:t>
      </w:r>
    </w:p>
    <w:p w14:paraId="50DA4297" w14:textId="77777777" w:rsidR="00713AC9" w:rsidRPr="00183B5F" w:rsidRDefault="00943743" w:rsidP="00713AC9">
      <w:pPr>
        <w:numPr>
          <w:ilvl w:val="0"/>
          <w:numId w:val="20"/>
        </w:numPr>
        <w:spacing w:line="240" w:lineRule="auto"/>
        <w:rPr>
          <w:szCs w:val="22"/>
        </w:rPr>
      </w:pPr>
      <w:r w:rsidRPr="00183B5F">
        <w:rPr>
          <w:szCs w:val="22"/>
        </w:rPr>
        <w:t>Amennyiben Humira</w:t>
      </w:r>
      <w:r w:rsidRPr="00183B5F">
        <w:rPr>
          <w:szCs w:val="22"/>
        </w:rPr>
        <w:noBreakHyphen/>
        <w:t>t kap, a limfóma, leukémia vagy daganat kialakulásának kockázata fokozódhat. Ritkán a nyirokdaganat (limfóma) egy specifikus és súlyos típusát észlelték Humira</w:t>
      </w:r>
      <w:r w:rsidRPr="00183B5F">
        <w:rPr>
          <w:szCs w:val="22"/>
        </w:rPr>
        <w:noBreakHyphen/>
        <w:t>val kezelt betegeknél. E betegek közül egyeseket egyidejűleg azatioprinnel, illetve 6</w:t>
      </w:r>
      <w:r w:rsidRPr="00183B5F">
        <w:rPr>
          <w:szCs w:val="22"/>
        </w:rPr>
        <w:noBreakHyphen/>
        <w:t>merkaptopurinnal is kezeltek.</w:t>
      </w:r>
    </w:p>
    <w:p w14:paraId="60398819" w14:textId="77777777" w:rsidR="00713AC9" w:rsidRPr="00183B5F" w:rsidRDefault="00943743" w:rsidP="00713AC9">
      <w:pPr>
        <w:numPr>
          <w:ilvl w:val="0"/>
          <w:numId w:val="20"/>
        </w:numPr>
        <w:spacing w:line="240" w:lineRule="auto"/>
        <w:rPr>
          <w:szCs w:val="22"/>
        </w:rPr>
      </w:pPr>
      <w:r w:rsidRPr="00183B5F">
        <w:rPr>
          <w:szCs w:val="22"/>
        </w:rPr>
        <w:t>Közölje kezelőorvosával, ha a Humira</w:t>
      </w:r>
      <w:r w:rsidRPr="00183B5F">
        <w:rPr>
          <w:szCs w:val="22"/>
        </w:rPr>
        <w:noBreakHyphen/>
        <w:t>val egyidejűleg azatioprint vagy 6</w:t>
      </w:r>
      <w:r w:rsidRPr="00183B5F">
        <w:rPr>
          <w:szCs w:val="22"/>
        </w:rPr>
        <w:noBreakHyphen/>
        <w:t>merkaptopurint szed.</w:t>
      </w:r>
    </w:p>
    <w:p w14:paraId="1A2720D8" w14:textId="77777777" w:rsidR="00713AC9" w:rsidRPr="00183B5F" w:rsidRDefault="00943743" w:rsidP="00DA71A8">
      <w:pPr>
        <w:numPr>
          <w:ilvl w:val="0"/>
          <w:numId w:val="20"/>
        </w:numPr>
        <w:spacing w:line="240" w:lineRule="auto"/>
        <w:rPr>
          <w:szCs w:val="22"/>
        </w:rPr>
      </w:pPr>
      <w:r w:rsidRPr="00183B5F">
        <w:rPr>
          <w:szCs w:val="22"/>
        </w:rPr>
        <w:t>Nem melanomás bőrrák kialakulását észlelték Humira</w:t>
      </w:r>
      <w:r w:rsidRPr="00183B5F">
        <w:rPr>
          <w:szCs w:val="22"/>
        </w:rPr>
        <w:noBreakHyphen/>
        <w:t xml:space="preserve">val kezelt betegeken. </w:t>
      </w:r>
    </w:p>
    <w:p w14:paraId="6A23B850" w14:textId="77777777" w:rsidR="00713AC9" w:rsidRPr="00183B5F" w:rsidRDefault="00943743" w:rsidP="00713AC9">
      <w:pPr>
        <w:numPr>
          <w:ilvl w:val="0"/>
          <w:numId w:val="20"/>
        </w:numPr>
        <w:spacing w:line="240" w:lineRule="auto"/>
        <w:rPr>
          <w:szCs w:val="22"/>
        </w:rPr>
      </w:pPr>
      <w:r w:rsidRPr="00183B5F">
        <w:rPr>
          <w:szCs w:val="22"/>
        </w:rPr>
        <w:t>Ha új bőrelváltozások jelennek meg a kezelés alatt, vagy a meglévők külleme megváltozik, tájékoztassa kezelőorvosát.</w:t>
      </w:r>
    </w:p>
    <w:p w14:paraId="7762B797" w14:textId="77777777" w:rsidR="00713AC9" w:rsidRPr="00183B5F" w:rsidRDefault="00713AC9" w:rsidP="00713AC9">
      <w:pPr>
        <w:spacing w:line="240" w:lineRule="auto"/>
        <w:rPr>
          <w:szCs w:val="22"/>
        </w:rPr>
      </w:pPr>
    </w:p>
    <w:p w14:paraId="212A1697" w14:textId="77777777" w:rsidR="00713AC9" w:rsidRPr="00183B5F" w:rsidRDefault="00943743" w:rsidP="00713AC9">
      <w:pPr>
        <w:numPr>
          <w:ilvl w:val="0"/>
          <w:numId w:val="20"/>
        </w:numPr>
        <w:tabs>
          <w:tab w:val="clear" w:pos="720"/>
        </w:tabs>
        <w:spacing w:line="240" w:lineRule="auto"/>
        <w:ind w:left="567" w:hanging="567"/>
        <w:rPr>
          <w:szCs w:val="22"/>
        </w:rPr>
      </w:pPr>
      <w:r w:rsidRPr="00183B5F">
        <w:rPr>
          <w:szCs w:val="22"/>
        </w:rPr>
        <w:t>Voltak esetek, amikor egy adott tüdőbetegségben (amelyet idült obstruktív tüdőbetegségnek (COPD-nek) neveznek) szenvedő, TNF</w:t>
      </w:r>
      <w:r w:rsidRPr="00183B5F">
        <w:rPr>
          <w:szCs w:val="22"/>
        </w:rPr>
        <w:noBreakHyphen/>
        <w:t>antagonistával kezelt betegeken nem limfóma természetű rákos daganatok kialakulását észlelték. Ha Ön COPD</w:t>
      </w:r>
      <w:r w:rsidRPr="00183B5F">
        <w:rPr>
          <w:szCs w:val="22"/>
        </w:rPr>
        <w:noBreakHyphen/>
        <w:t>ben szenved vagy erős dohányos, kérje orvosa tanácsát, hogy vajon a TNF</w:t>
      </w:r>
      <w:r w:rsidRPr="00183B5F">
        <w:rPr>
          <w:szCs w:val="22"/>
        </w:rPr>
        <w:noBreakHyphen/>
        <w:t>antagonistával végzett kezelés megfelelő-e az Ön számára.</w:t>
      </w:r>
    </w:p>
    <w:p w14:paraId="66B166B6" w14:textId="77777777" w:rsidR="00713AC9" w:rsidRPr="00183B5F" w:rsidRDefault="00713AC9" w:rsidP="00713AC9">
      <w:pPr>
        <w:spacing w:line="240" w:lineRule="auto"/>
        <w:rPr>
          <w:szCs w:val="22"/>
        </w:rPr>
      </w:pPr>
    </w:p>
    <w:p w14:paraId="3EBE3560" w14:textId="77777777" w:rsidR="00713AC9" w:rsidRPr="00183B5F" w:rsidRDefault="00943743" w:rsidP="002D49EE">
      <w:pPr>
        <w:keepNext/>
        <w:spacing w:line="240" w:lineRule="auto"/>
        <w:rPr>
          <w:szCs w:val="22"/>
          <w:u w:val="single"/>
        </w:rPr>
      </w:pPr>
      <w:r w:rsidRPr="00183B5F">
        <w:rPr>
          <w:szCs w:val="22"/>
          <w:u w:val="single"/>
        </w:rPr>
        <w:t>Autoimmun betegség</w:t>
      </w:r>
    </w:p>
    <w:p w14:paraId="221274E0" w14:textId="77777777" w:rsidR="00713AC9" w:rsidRPr="00183B5F" w:rsidRDefault="00713AC9" w:rsidP="002D49EE">
      <w:pPr>
        <w:keepNext/>
        <w:spacing w:line="240" w:lineRule="auto"/>
        <w:rPr>
          <w:szCs w:val="22"/>
        </w:rPr>
      </w:pPr>
    </w:p>
    <w:p w14:paraId="391A766A" w14:textId="77777777" w:rsidR="00713AC9" w:rsidRPr="00183B5F" w:rsidRDefault="00943743" w:rsidP="00713AC9">
      <w:pPr>
        <w:numPr>
          <w:ilvl w:val="0"/>
          <w:numId w:val="20"/>
        </w:numPr>
        <w:tabs>
          <w:tab w:val="clear" w:pos="720"/>
        </w:tabs>
        <w:spacing w:line="240" w:lineRule="auto"/>
        <w:ind w:left="567" w:hanging="567"/>
        <w:rPr>
          <w:szCs w:val="22"/>
        </w:rPr>
      </w:pPr>
      <w:r w:rsidRPr="00183B5F">
        <w:rPr>
          <w:szCs w:val="22"/>
        </w:rPr>
        <w:t xml:space="preserve">Ritka esetekben a Humira lupusz-szerű szindrómát okozhat. Keresse fel kezelőorvosát, ha olyan tüneteket észlel, mint a tartós, tisztázatlan eredetű </w:t>
      </w:r>
      <w:r w:rsidR="004C50B5" w:rsidRPr="00183B5F">
        <w:rPr>
          <w:szCs w:val="22"/>
        </w:rPr>
        <w:t>bőr</w:t>
      </w:r>
      <w:r w:rsidRPr="00183B5F">
        <w:rPr>
          <w:szCs w:val="22"/>
        </w:rPr>
        <w:t>kiütés, láz, ízületi fájdalom vagy fáradtság.</w:t>
      </w:r>
    </w:p>
    <w:p w14:paraId="473D8D76" w14:textId="77777777" w:rsidR="00713AC9" w:rsidRPr="00183B5F" w:rsidRDefault="00713AC9" w:rsidP="00713AC9">
      <w:pPr>
        <w:spacing w:line="240" w:lineRule="auto"/>
        <w:rPr>
          <w:szCs w:val="22"/>
        </w:rPr>
      </w:pPr>
    </w:p>
    <w:p w14:paraId="1F68B040" w14:textId="77777777" w:rsidR="00713AC9" w:rsidRPr="00183B5F" w:rsidRDefault="00943743" w:rsidP="00713AC9">
      <w:pPr>
        <w:keepNext/>
        <w:spacing w:line="240" w:lineRule="auto"/>
        <w:rPr>
          <w:b/>
          <w:szCs w:val="22"/>
        </w:rPr>
      </w:pPr>
      <w:r w:rsidRPr="00183B5F">
        <w:rPr>
          <w:b/>
        </w:rPr>
        <w:t>Gyermekek és serdülők</w:t>
      </w:r>
    </w:p>
    <w:p w14:paraId="0E3E4C90" w14:textId="77777777" w:rsidR="00713AC9" w:rsidRPr="00183B5F" w:rsidRDefault="00713AC9" w:rsidP="00713AC9">
      <w:pPr>
        <w:keepNext/>
        <w:spacing w:line="240" w:lineRule="auto"/>
        <w:rPr>
          <w:szCs w:val="22"/>
        </w:rPr>
      </w:pPr>
    </w:p>
    <w:p w14:paraId="070BE477" w14:textId="77777777" w:rsidR="00713AC9" w:rsidRPr="00183B5F" w:rsidRDefault="00943743" w:rsidP="00713AC9">
      <w:pPr>
        <w:keepNext/>
        <w:numPr>
          <w:ilvl w:val="0"/>
          <w:numId w:val="104"/>
        </w:numPr>
        <w:tabs>
          <w:tab w:val="clear" w:pos="720"/>
          <w:tab w:val="num" w:pos="630"/>
        </w:tabs>
        <w:spacing w:line="240" w:lineRule="auto"/>
        <w:ind w:left="630" w:hanging="630"/>
        <w:rPr>
          <w:szCs w:val="22"/>
        </w:rPr>
      </w:pPr>
      <w:r w:rsidRPr="00183B5F">
        <w:rPr>
          <w:szCs w:val="22"/>
        </w:rPr>
        <w:t>Védőoltások: ha lehetséges, a gyermeknek meg kell kapnia az összes esedékes védőoltást a Humira alkalmazásának megkezdése előtt.</w:t>
      </w:r>
    </w:p>
    <w:p w14:paraId="6E486CE3" w14:textId="77777777" w:rsidR="00713AC9" w:rsidRPr="00183B5F" w:rsidRDefault="00713AC9" w:rsidP="00713AC9">
      <w:pPr>
        <w:spacing w:line="240" w:lineRule="auto"/>
        <w:rPr>
          <w:b/>
          <w:szCs w:val="22"/>
        </w:rPr>
      </w:pPr>
    </w:p>
    <w:p w14:paraId="6B86417D" w14:textId="77777777" w:rsidR="00713AC9" w:rsidRPr="00183B5F" w:rsidRDefault="00943743" w:rsidP="00713AC9">
      <w:pPr>
        <w:keepNext/>
        <w:spacing w:line="240" w:lineRule="auto"/>
        <w:rPr>
          <w:b/>
          <w:noProof/>
          <w:szCs w:val="24"/>
        </w:rPr>
      </w:pPr>
      <w:r w:rsidRPr="00183B5F">
        <w:rPr>
          <w:b/>
          <w:noProof/>
          <w:szCs w:val="24"/>
        </w:rPr>
        <w:t>Egyéb</w:t>
      </w:r>
      <w:r w:rsidRPr="00183B5F">
        <w:rPr>
          <w:b/>
          <w:szCs w:val="24"/>
        </w:rPr>
        <w:t xml:space="preserve"> gyógyszerek</w:t>
      </w:r>
      <w:r w:rsidRPr="00183B5F">
        <w:rPr>
          <w:b/>
          <w:noProof/>
          <w:szCs w:val="24"/>
        </w:rPr>
        <w:t xml:space="preserve"> és a Humira</w:t>
      </w:r>
    </w:p>
    <w:p w14:paraId="188B5086" w14:textId="77777777" w:rsidR="00713AC9" w:rsidRPr="00183B5F" w:rsidRDefault="00713AC9" w:rsidP="00713AC9">
      <w:pPr>
        <w:keepNext/>
        <w:spacing w:line="240" w:lineRule="auto"/>
        <w:rPr>
          <w:noProof/>
          <w:szCs w:val="24"/>
        </w:rPr>
      </w:pPr>
    </w:p>
    <w:p w14:paraId="339CDEC0" w14:textId="77777777" w:rsidR="00713AC9" w:rsidRPr="00183B5F" w:rsidRDefault="00943743" w:rsidP="00713AC9">
      <w:pPr>
        <w:keepNext/>
        <w:spacing w:line="240" w:lineRule="auto"/>
        <w:ind w:right="-2"/>
        <w:rPr>
          <w:b/>
          <w:szCs w:val="22"/>
        </w:rPr>
      </w:pPr>
      <w:r w:rsidRPr="00183B5F">
        <w:rPr>
          <w:szCs w:val="24"/>
        </w:rPr>
        <w:t xml:space="preserve">Feltétlenül tájékoztassa kezelőorvosát vagy gyógyszerészét jelenleg vagy nemrégiben </w:t>
      </w:r>
      <w:r w:rsidRPr="00183B5F">
        <w:rPr>
          <w:noProof/>
          <w:szCs w:val="24"/>
        </w:rPr>
        <w:t>szedett, valamint szedni tervezett</w:t>
      </w:r>
      <w:r w:rsidRPr="00183B5F">
        <w:rPr>
          <w:szCs w:val="24"/>
        </w:rPr>
        <w:t xml:space="preserve"> egyéb gyógyszereiről</w:t>
      </w:r>
      <w:r w:rsidRPr="00183B5F">
        <w:rPr>
          <w:noProof/>
          <w:szCs w:val="24"/>
        </w:rPr>
        <w:t>.</w:t>
      </w:r>
    </w:p>
    <w:p w14:paraId="241A3CD3" w14:textId="77777777" w:rsidR="00713AC9" w:rsidRPr="00183B5F" w:rsidRDefault="00713AC9" w:rsidP="00713AC9">
      <w:pPr>
        <w:spacing w:line="240" w:lineRule="auto"/>
        <w:ind w:right="-2"/>
        <w:rPr>
          <w:szCs w:val="22"/>
        </w:rPr>
      </w:pPr>
    </w:p>
    <w:p w14:paraId="1D9C32A9" w14:textId="77777777" w:rsidR="00713AC9" w:rsidRPr="00183B5F" w:rsidRDefault="00943743" w:rsidP="00713AC9">
      <w:pPr>
        <w:spacing w:line="240" w:lineRule="auto"/>
        <w:ind w:right="-2"/>
        <w:rPr>
          <w:szCs w:val="22"/>
        </w:rPr>
      </w:pPr>
      <w:r w:rsidRPr="00183B5F">
        <w:rPr>
          <w:szCs w:val="22"/>
        </w:rPr>
        <w:t>Nem alkalmazhatja a Humira</w:t>
      </w:r>
      <w:r w:rsidRPr="00183B5F">
        <w:rPr>
          <w:szCs w:val="22"/>
        </w:rPr>
        <w:noBreakHyphen/>
        <w:t>t, a következő hatóanyagokat tartalmazó gyógyszerekkel a súlyos fertőzések fokozott kockázata miatt:</w:t>
      </w:r>
    </w:p>
    <w:p w14:paraId="0C50463A" w14:textId="77777777" w:rsidR="00713AC9" w:rsidRPr="00183B5F" w:rsidRDefault="00943743" w:rsidP="00713AC9">
      <w:pPr>
        <w:numPr>
          <w:ilvl w:val="0"/>
          <w:numId w:val="105"/>
        </w:numPr>
        <w:spacing w:line="240" w:lineRule="auto"/>
        <w:ind w:left="993" w:right="-2" w:hanging="426"/>
        <w:rPr>
          <w:szCs w:val="22"/>
        </w:rPr>
      </w:pPr>
      <w:r w:rsidRPr="00183B5F">
        <w:rPr>
          <w:szCs w:val="22"/>
        </w:rPr>
        <w:t>anakinra</w:t>
      </w:r>
    </w:p>
    <w:p w14:paraId="7EA2E7D2" w14:textId="77777777" w:rsidR="00713AC9" w:rsidRPr="00183B5F" w:rsidRDefault="00943743" w:rsidP="00713AC9">
      <w:pPr>
        <w:numPr>
          <w:ilvl w:val="0"/>
          <w:numId w:val="105"/>
        </w:numPr>
        <w:spacing w:line="240" w:lineRule="auto"/>
        <w:ind w:left="993" w:right="-2" w:hanging="426"/>
        <w:rPr>
          <w:szCs w:val="22"/>
        </w:rPr>
      </w:pPr>
      <w:r w:rsidRPr="00183B5F">
        <w:rPr>
          <w:szCs w:val="22"/>
        </w:rPr>
        <w:t>abatacept.</w:t>
      </w:r>
    </w:p>
    <w:p w14:paraId="4AA471CD" w14:textId="77777777" w:rsidR="00713AC9" w:rsidRPr="00183B5F" w:rsidRDefault="00713AC9" w:rsidP="00713AC9">
      <w:pPr>
        <w:keepNext/>
        <w:spacing w:line="240" w:lineRule="auto"/>
        <w:rPr>
          <w:szCs w:val="22"/>
        </w:rPr>
      </w:pPr>
    </w:p>
    <w:p w14:paraId="21AEB1E5" w14:textId="77777777" w:rsidR="00713AC9" w:rsidRPr="00183B5F" w:rsidRDefault="00943743" w:rsidP="00713AC9">
      <w:pPr>
        <w:keepNext/>
        <w:spacing w:line="240" w:lineRule="auto"/>
        <w:rPr>
          <w:szCs w:val="22"/>
        </w:rPr>
      </w:pPr>
      <w:r w:rsidRPr="00183B5F">
        <w:rPr>
          <w:szCs w:val="22"/>
        </w:rPr>
        <w:t>A Humira együtt alkalmazható:</w:t>
      </w:r>
    </w:p>
    <w:p w14:paraId="45EB71A9" w14:textId="77777777" w:rsidR="00713AC9" w:rsidRPr="00183B5F" w:rsidRDefault="00943743" w:rsidP="00713AC9">
      <w:pPr>
        <w:numPr>
          <w:ilvl w:val="0"/>
          <w:numId w:val="130"/>
        </w:numPr>
        <w:spacing w:line="240" w:lineRule="auto"/>
        <w:ind w:left="993" w:right="-2" w:hanging="426"/>
        <w:rPr>
          <w:szCs w:val="22"/>
        </w:rPr>
      </w:pPr>
      <w:r w:rsidRPr="00183B5F">
        <w:rPr>
          <w:szCs w:val="22"/>
        </w:rPr>
        <w:t>metotrexáttal</w:t>
      </w:r>
    </w:p>
    <w:p w14:paraId="74744791" w14:textId="77777777" w:rsidR="00713AC9" w:rsidRPr="00183B5F" w:rsidRDefault="00943743" w:rsidP="00713AC9">
      <w:pPr>
        <w:numPr>
          <w:ilvl w:val="0"/>
          <w:numId w:val="118"/>
        </w:numPr>
        <w:spacing w:line="240" w:lineRule="auto"/>
        <w:ind w:left="993" w:right="-2" w:hanging="426"/>
        <w:rPr>
          <w:szCs w:val="22"/>
        </w:rPr>
      </w:pPr>
      <w:r w:rsidRPr="00183B5F">
        <w:rPr>
          <w:szCs w:val="22"/>
        </w:rPr>
        <w:t>egyéb, a betegséget befolyásoló reumaellenes szerrel (például szulfaszalazin, hidroxiklorokin, leflunomid és arany injekció)</w:t>
      </w:r>
    </w:p>
    <w:p w14:paraId="2BEA8A73" w14:textId="77777777" w:rsidR="00713AC9" w:rsidRPr="00183B5F" w:rsidRDefault="00943743" w:rsidP="00713AC9">
      <w:pPr>
        <w:numPr>
          <w:ilvl w:val="0"/>
          <w:numId w:val="118"/>
        </w:numPr>
        <w:spacing w:line="240" w:lineRule="auto"/>
        <w:ind w:left="993" w:right="-2" w:hanging="426"/>
        <w:rPr>
          <w:szCs w:val="22"/>
        </w:rPr>
      </w:pPr>
      <w:r w:rsidRPr="00183B5F">
        <w:rPr>
          <w:szCs w:val="22"/>
        </w:rPr>
        <w:t>szteroidokkal vagy fájdalomcsillapító készítményekkel, beleértve a nem</w:t>
      </w:r>
      <w:r w:rsidR="00647E1C" w:rsidRPr="00183B5F">
        <w:rPr>
          <w:szCs w:val="22"/>
        </w:rPr>
        <w:t>-</w:t>
      </w:r>
      <w:r w:rsidRPr="00183B5F">
        <w:rPr>
          <w:szCs w:val="22"/>
        </w:rPr>
        <w:t xml:space="preserve">szteroid </w:t>
      </w:r>
      <w:r w:rsidR="008511AE" w:rsidRPr="00183B5F">
        <w:rPr>
          <w:szCs w:val="22"/>
        </w:rPr>
        <w:t>gyulladásgátlóka</w:t>
      </w:r>
      <w:r w:rsidRPr="00183B5F">
        <w:rPr>
          <w:szCs w:val="22"/>
        </w:rPr>
        <w:t>t (NSAID-ket).</w:t>
      </w:r>
    </w:p>
    <w:p w14:paraId="5FCE3285" w14:textId="77777777" w:rsidR="00713AC9" w:rsidRPr="00183B5F" w:rsidRDefault="00713AC9" w:rsidP="00713AC9">
      <w:pPr>
        <w:spacing w:line="240" w:lineRule="auto"/>
        <w:ind w:right="-2"/>
        <w:rPr>
          <w:szCs w:val="22"/>
        </w:rPr>
      </w:pPr>
    </w:p>
    <w:p w14:paraId="047502DE" w14:textId="77777777" w:rsidR="00713AC9" w:rsidRPr="00183B5F" w:rsidRDefault="00943743" w:rsidP="00713AC9">
      <w:pPr>
        <w:spacing w:line="240" w:lineRule="auto"/>
        <w:ind w:right="-2"/>
        <w:rPr>
          <w:szCs w:val="22"/>
        </w:rPr>
      </w:pPr>
      <w:r w:rsidRPr="00183B5F">
        <w:rPr>
          <w:szCs w:val="22"/>
        </w:rPr>
        <w:t>Ha kérdése van, kérdezze meg kezelőorvosát.</w:t>
      </w:r>
    </w:p>
    <w:p w14:paraId="17FBBD5E" w14:textId="77777777" w:rsidR="00713AC9" w:rsidRPr="00183B5F" w:rsidRDefault="00713AC9" w:rsidP="00713AC9">
      <w:pPr>
        <w:spacing w:line="240" w:lineRule="auto"/>
        <w:ind w:right="-2"/>
        <w:rPr>
          <w:szCs w:val="22"/>
        </w:rPr>
      </w:pPr>
    </w:p>
    <w:p w14:paraId="2F9C73E6" w14:textId="77777777" w:rsidR="00AD737C" w:rsidRPr="00183B5F" w:rsidRDefault="00943743" w:rsidP="00AD737C">
      <w:pPr>
        <w:spacing w:line="240" w:lineRule="auto"/>
        <w:ind w:left="567" w:right="-2" w:hanging="567"/>
        <w:rPr>
          <w:b/>
          <w:szCs w:val="22"/>
        </w:rPr>
      </w:pPr>
      <w:r w:rsidRPr="00183B5F">
        <w:rPr>
          <w:b/>
          <w:szCs w:val="22"/>
        </w:rPr>
        <w:t>Terhesség és szoptatás</w:t>
      </w:r>
    </w:p>
    <w:p w14:paraId="2017139A" w14:textId="77777777" w:rsidR="00AD737C" w:rsidRPr="00183B5F" w:rsidRDefault="00AD737C" w:rsidP="00AD737C">
      <w:pPr>
        <w:spacing w:line="240" w:lineRule="auto"/>
        <w:ind w:left="567" w:right="-2" w:hanging="567"/>
        <w:rPr>
          <w:b/>
          <w:szCs w:val="22"/>
        </w:rPr>
      </w:pPr>
    </w:p>
    <w:p w14:paraId="3057B4A4" w14:textId="77777777" w:rsidR="00AD737C" w:rsidRPr="00183B5F" w:rsidRDefault="00943743" w:rsidP="00E87C31">
      <w:pPr>
        <w:pStyle w:val="ListParagraph"/>
        <w:numPr>
          <w:ilvl w:val="0"/>
          <w:numId w:val="196"/>
        </w:numPr>
        <w:spacing w:line="240" w:lineRule="auto"/>
        <w:ind w:left="567" w:hanging="567"/>
        <w:rPr>
          <w:szCs w:val="22"/>
        </w:rPr>
      </w:pPr>
      <w:r w:rsidRPr="00183B5F">
        <w:rPr>
          <w:szCs w:val="22"/>
        </w:rPr>
        <w:t>A terhesség megelőzése érdekében meg kell fontolnia a megfelelő fogamzásgátlás alkalmazását</w:t>
      </w:r>
      <w:r w:rsidR="001056CE" w:rsidRPr="00183B5F">
        <w:rPr>
          <w:szCs w:val="22"/>
        </w:rPr>
        <w:t xml:space="preserve"> és az alkalmazás folytatását </w:t>
      </w:r>
      <w:r w:rsidRPr="00183B5F">
        <w:rPr>
          <w:szCs w:val="22"/>
        </w:rPr>
        <w:t>a Humira</w:t>
      </w:r>
      <w:r w:rsidRPr="00183B5F">
        <w:rPr>
          <w:szCs w:val="22"/>
        </w:rPr>
        <w:noBreakHyphen/>
        <w:t>val történt utolsó kezelést követően legalább 5 hónapig.</w:t>
      </w:r>
    </w:p>
    <w:p w14:paraId="2FB9CC2C" w14:textId="77777777" w:rsidR="00AD737C" w:rsidRPr="00183B5F" w:rsidRDefault="00943743" w:rsidP="00AD737C">
      <w:pPr>
        <w:pStyle w:val="ListParagraph"/>
        <w:numPr>
          <w:ilvl w:val="0"/>
          <w:numId w:val="196"/>
        </w:numPr>
        <w:spacing w:line="240" w:lineRule="auto"/>
        <w:ind w:left="567" w:hanging="567"/>
        <w:rPr>
          <w:szCs w:val="22"/>
        </w:rPr>
      </w:pPr>
      <w:r w:rsidRPr="00183B5F">
        <w:rPr>
          <w:szCs w:val="22"/>
        </w:rPr>
        <w:t>Amennyiben terhes, úgy gondolja, hogy terhes lehet, vagy gyermeket tervez, kérje kezelőorvosa tanácsát ennek a gyógyszernek az alkalmazásáról.</w:t>
      </w:r>
    </w:p>
    <w:p w14:paraId="05DA909A" w14:textId="77777777" w:rsidR="00AD737C" w:rsidRPr="00183B5F" w:rsidRDefault="00943743" w:rsidP="00AD737C">
      <w:pPr>
        <w:pStyle w:val="ListParagraph"/>
        <w:numPr>
          <w:ilvl w:val="0"/>
          <w:numId w:val="196"/>
        </w:numPr>
        <w:spacing w:line="240" w:lineRule="auto"/>
        <w:ind w:left="567" w:hanging="567"/>
        <w:rPr>
          <w:szCs w:val="22"/>
        </w:rPr>
      </w:pPr>
      <w:r w:rsidRPr="00183B5F">
        <w:rPr>
          <w:szCs w:val="22"/>
        </w:rPr>
        <w:t xml:space="preserve">A Humira csak akkor alkalmazható terhesség alatt, ha </w:t>
      </w:r>
      <w:r w:rsidR="004B37B2" w:rsidRPr="00183B5F">
        <w:rPr>
          <w:szCs w:val="22"/>
        </w:rPr>
        <w:t>egyértelműen</w:t>
      </w:r>
      <w:r w:rsidRPr="00183B5F">
        <w:rPr>
          <w:szCs w:val="22"/>
        </w:rPr>
        <w:t xml:space="preserve"> szükséges.</w:t>
      </w:r>
    </w:p>
    <w:p w14:paraId="2CEA048A" w14:textId="77777777" w:rsidR="00AD737C" w:rsidRPr="00183B5F" w:rsidRDefault="00943743" w:rsidP="001056CE">
      <w:pPr>
        <w:pStyle w:val="ListParagraph"/>
        <w:numPr>
          <w:ilvl w:val="0"/>
          <w:numId w:val="196"/>
        </w:numPr>
        <w:spacing w:line="240" w:lineRule="auto"/>
        <w:ind w:left="567" w:hanging="567"/>
        <w:rPr>
          <w:szCs w:val="22"/>
        </w:rPr>
      </w:pPr>
      <w:r w:rsidRPr="00183B5F">
        <w:rPr>
          <w:szCs w:val="22"/>
        </w:rPr>
        <w:t>Egy terhes nők</w:t>
      </w:r>
      <w:r w:rsidR="001056CE" w:rsidRPr="00183B5F">
        <w:rPr>
          <w:szCs w:val="22"/>
        </w:rPr>
        <w:t>kel</w:t>
      </w:r>
      <w:r w:rsidRPr="00183B5F">
        <w:rPr>
          <w:szCs w:val="22"/>
        </w:rPr>
        <w:t xml:space="preserve"> végzett klinikai vizsgálat alapján nem volt magasabb a születési rendellenességek kockázata azok</w:t>
      </w:r>
      <w:r w:rsidR="001056CE" w:rsidRPr="00183B5F">
        <w:rPr>
          <w:szCs w:val="22"/>
        </w:rPr>
        <w:t>nál</w:t>
      </w:r>
      <w:r w:rsidRPr="00183B5F">
        <w:rPr>
          <w:szCs w:val="22"/>
        </w:rPr>
        <w:t xml:space="preserve"> a nők</w:t>
      </w:r>
      <w:r w:rsidR="001056CE" w:rsidRPr="00183B5F">
        <w:rPr>
          <w:szCs w:val="22"/>
        </w:rPr>
        <w:t>nél</w:t>
      </w:r>
      <w:r w:rsidRPr="00183B5F">
        <w:rPr>
          <w:szCs w:val="22"/>
        </w:rPr>
        <w:t xml:space="preserve">, akik a terhességük </w:t>
      </w:r>
      <w:r w:rsidR="001056CE" w:rsidRPr="00183B5F">
        <w:rPr>
          <w:szCs w:val="22"/>
        </w:rPr>
        <w:t>alatt</w:t>
      </w:r>
      <w:r w:rsidRPr="00183B5F">
        <w:rPr>
          <w:szCs w:val="22"/>
        </w:rPr>
        <w:t xml:space="preserve"> Humira</w:t>
      </w:r>
      <w:r w:rsidRPr="00183B5F">
        <w:rPr>
          <w:szCs w:val="22"/>
        </w:rPr>
        <w:noBreakHyphen/>
        <w:t xml:space="preserve">kezelésben részesültek, </w:t>
      </w:r>
      <w:r w:rsidR="001056CE" w:rsidRPr="00183B5F">
        <w:rPr>
          <w:szCs w:val="22"/>
        </w:rPr>
        <w:t>mint</w:t>
      </w:r>
      <w:r w:rsidRPr="00183B5F">
        <w:rPr>
          <w:szCs w:val="22"/>
        </w:rPr>
        <w:t xml:space="preserve"> az azonos betegségben szenvedő, Humira</w:t>
      </w:r>
      <w:r w:rsidRPr="00183B5F">
        <w:rPr>
          <w:szCs w:val="22"/>
        </w:rPr>
        <w:noBreakHyphen/>
        <w:t>kezelésben nem részesült nők</w:t>
      </w:r>
      <w:r w:rsidR="001056CE" w:rsidRPr="00183B5F">
        <w:rPr>
          <w:szCs w:val="22"/>
        </w:rPr>
        <w:t>nél</w:t>
      </w:r>
      <w:r w:rsidRPr="00183B5F">
        <w:rPr>
          <w:szCs w:val="22"/>
        </w:rPr>
        <w:t>.</w:t>
      </w:r>
    </w:p>
    <w:p w14:paraId="28BCFC80" w14:textId="77777777" w:rsidR="00AD737C" w:rsidRPr="00183B5F" w:rsidRDefault="00943743" w:rsidP="00AD737C">
      <w:pPr>
        <w:pStyle w:val="ListParagraph"/>
        <w:numPr>
          <w:ilvl w:val="0"/>
          <w:numId w:val="196"/>
        </w:numPr>
        <w:spacing w:line="240" w:lineRule="auto"/>
        <w:ind w:left="567" w:hanging="567"/>
        <w:rPr>
          <w:szCs w:val="22"/>
        </w:rPr>
      </w:pPr>
      <w:r w:rsidRPr="00183B5F">
        <w:t>Szoptatás alatt a Humira alkalmazható.</w:t>
      </w:r>
    </w:p>
    <w:p w14:paraId="752F7038" w14:textId="77777777" w:rsidR="00AD737C" w:rsidRPr="00183B5F" w:rsidRDefault="00943743" w:rsidP="00E87C31">
      <w:pPr>
        <w:pStyle w:val="ListParagraph"/>
        <w:numPr>
          <w:ilvl w:val="0"/>
          <w:numId w:val="196"/>
        </w:numPr>
        <w:spacing w:line="240" w:lineRule="auto"/>
        <w:ind w:left="567" w:hanging="567"/>
        <w:rPr>
          <w:szCs w:val="22"/>
        </w:rPr>
      </w:pPr>
      <w:r w:rsidRPr="00183B5F">
        <w:rPr>
          <w:szCs w:val="22"/>
        </w:rPr>
        <w:t>Ha a terhessége alatt Humira</w:t>
      </w:r>
      <w:r w:rsidRPr="00183B5F">
        <w:rPr>
          <w:szCs w:val="22"/>
        </w:rPr>
        <w:noBreakHyphen/>
        <w:t>t kapott, a kisbabája nagyobb eséllyel kap el valamilyen fertőzést.</w:t>
      </w:r>
    </w:p>
    <w:p w14:paraId="37F11D9D" w14:textId="77777777" w:rsidR="00AD737C" w:rsidRPr="00183B5F" w:rsidRDefault="00943743" w:rsidP="00E87C31">
      <w:pPr>
        <w:pStyle w:val="ListParagraph"/>
        <w:numPr>
          <w:ilvl w:val="0"/>
          <w:numId w:val="196"/>
        </w:numPr>
        <w:spacing w:line="240" w:lineRule="auto"/>
        <w:ind w:left="567" w:hanging="567"/>
        <w:rPr>
          <w:szCs w:val="22"/>
        </w:rPr>
      </w:pPr>
      <w:r w:rsidRPr="00183B5F">
        <w:rPr>
          <w:szCs w:val="22"/>
        </w:rPr>
        <w:t>Fontos, hogy elmondja kisbabája orvosának vagy az őt kezelő egészségügyi személyzetnek, hogy a terhessége alatt Humira</w:t>
      </w:r>
      <w:r w:rsidRPr="00183B5F">
        <w:rPr>
          <w:szCs w:val="22"/>
        </w:rPr>
        <w:noBreakHyphen/>
        <w:t xml:space="preserve">t kapott, mielőtt a kisbaba bármilyen védőoltást kapna. </w:t>
      </w:r>
      <w:r w:rsidRPr="00183B5F">
        <w:t xml:space="preserve">A védőoltásokról további információt </w:t>
      </w:r>
      <w:r w:rsidRPr="00183B5F">
        <w:rPr>
          <w:szCs w:val="22"/>
        </w:rPr>
        <w:t>talál a „Figyelmeztetések és óvintézkedések” részben</w:t>
      </w:r>
      <w:r w:rsidR="00675575" w:rsidRPr="00183B5F">
        <w:rPr>
          <w:szCs w:val="22"/>
        </w:rPr>
        <w:t>.</w:t>
      </w:r>
    </w:p>
    <w:p w14:paraId="3809E0E2" w14:textId="77777777" w:rsidR="00AD737C" w:rsidRPr="00183B5F" w:rsidRDefault="00AD737C" w:rsidP="00AD737C">
      <w:pPr>
        <w:spacing w:line="240" w:lineRule="auto"/>
        <w:rPr>
          <w:szCs w:val="22"/>
        </w:rPr>
      </w:pPr>
    </w:p>
    <w:p w14:paraId="6E051790" w14:textId="77777777" w:rsidR="00713AC9" w:rsidRPr="00183B5F" w:rsidRDefault="00943743" w:rsidP="00713AC9">
      <w:pPr>
        <w:spacing w:line="240" w:lineRule="auto"/>
        <w:ind w:right="-2"/>
        <w:rPr>
          <w:b/>
          <w:bCs/>
          <w:szCs w:val="22"/>
        </w:rPr>
      </w:pPr>
      <w:r w:rsidRPr="00183B5F">
        <w:rPr>
          <w:b/>
          <w:bCs/>
          <w:szCs w:val="22"/>
        </w:rPr>
        <w:t>A készítmény hatásai a gépjárművezetéshez és a gépek kezeléséhez szükséges képességekre</w:t>
      </w:r>
    </w:p>
    <w:p w14:paraId="5465EADE" w14:textId="77777777" w:rsidR="00713AC9" w:rsidRPr="00183B5F" w:rsidRDefault="00713AC9" w:rsidP="00713AC9">
      <w:pPr>
        <w:spacing w:line="240" w:lineRule="auto"/>
        <w:ind w:right="-2"/>
        <w:rPr>
          <w:szCs w:val="22"/>
        </w:rPr>
      </w:pPr>
    </w:p>
    <w:p w14:paraId="64F034B7" w14:textId="77777777" w:rsidR="00713AC9" w:rsidRPr="00183B5F" w:rsidRDefault="00943743" w:rsidP="00713AC9">
      <w:pPr>
        <w:spacing w:line="240" w:lineRule="auto"/>
        <w:rPr>
          <w:szCs w:val="22"/>
        </w:rPr>
      </w:pPr>
      <w:r w:rsidRPr="00183B5F">
        <w:rPr>
          <w:szCs w:val="22"/>
        </w:rPr>
        <w:t xml:space="preserve">A Humira csak csekély mértékben befolyásolhatja a gépjárművezetéshez, kerékpározáshoz vagy a gépek </w:t>
      </w:r>
      <w:r w:rsidRPr="00183B5F">
        <w:rPr>
          <w:noProof/>
          <w:szCs w:val="22"/>
        </w:rPr>
        <w:t>kezeléséhez</w:t>
      </w:r>
      <w:r w:rsidRPr="00183B5F">
        <w:rPr>
          <w:szCs w:val="22"/>
        </w:rPr>
        <w:t xml:space="preserve"> szükséges képességeket. A Humira alkalmazását követően előfordulhat olyan érzés, mintha forogna a szoba vagy a tér, továbbá látászavar is előfordulhat.</w:t>
      </w:r>
    </w:p>
    <w:p w14:paraId="6E234A29" w14:textId="77777777" w:rsidR="00713AC9" w:rsidRPr="00183B5F" w:rsidRDefault="00713AC9" w:rsidP="00713AC9">
      <w:pPr>
        <w:spacing w:line="240" w:lineRule="auto"/>
        <w:rPr>
          <w:szCs w:val="22"/>
        </w:rPr>
      </w:pPr>
    </w:p>
    <w:p w14:paraId="39E7714C" w14:textId="77777777" w:rsidR="00940F88" w:rsidRPr="007276E0" w:rsidRDefault="00943743" w:rsidP="00940F88">
      <w:pPr>
        <w:spacing w:line="240" w:lineRule="auto"/>
        <w:rPr>
          <w:ins w:id="13964" w:author="AbbVie_HU_03" w:date="2025-05-14T16:42:00Z"/>
          <w:b/>
          <w:bCs/>
          <w:szCs w:val="22"/>
          <w:rPrChange w:id="13965" w:author="AbbVie_HU_03" w:date="2025-05-14T17:32:00Z">
            <w:rPr>
              <w:ins w:id="13966" w:author="AbbVie_HU_03" w:date="2025-05-14T16:42:00Z"/>
              <w:szCs w:val="22"/>
            </w:rPr>
          </w:rPrChange>
        </w:rPr>
      </w:pPr>
      <w:ins w:id="13967" w:author="AbbVie_HU_03" w:date="2025-05-14T16:42:00Z">
        <w:r w:rsidRPr="007276E0">
          <w:rPr>
            <w:b/>
            <w:bCs/>
            <w:szCs w:val="22"/>
            <w:rPrChange w:id="13968" w:author="AbbVie_HU_03" w:date="2025-05-14T17:32:00Z">
              <w:rPr>
                <w:szCs w:val="22"/>
              </w:rPr>
            </w:rPrChange>
          </w:rPr>
          <w:t>A Humira poliszorbátot tartalmaz</w:t>
        </w:r>
      </w:ins>
    </w:p>
    <w:p w14:paraId="7EF250AA" w14:textId="77777777" w:rsidR="00940F88" w:rsidRDefault="00940F88" w:rsidP="00940F88">
      <w:pPr>
        <w:spacing w:line="240" w:lineRule="auto"/>
        <w:rPr>
          <w:ins w:id="13969" w:author="AbbVie_HU_03" w:date="2025-05-14T16:42:00Z"/>
          <w:szCs w:val="22"/>
        </w:rPr>
      </w:pPr>
    </w:p>
    <w:p w14:paraId="5AE1067F" w14:textId="6A34E5E5" w:rsidR="00713AC9" w:rsidRDefault="00943743" w:rsidP="00940F88">
      <w:pPr>
        <w:spacing w:line="240" w:lineRule="auto"/>
        <w:rPr>
          <w:ins w:id="13970" w:author="AbbVie_HU_03" w:date="2025-05-14T16:43:00Z"/>
          <w:szCs w:val="22"/>
        </w:rPr>
      </w:pPr>
      <w:ins w:id="13971" w:author="AbbVie_HU_03" w:date="2025-05-14T16:42:00Z">
        <w:r>
          <w:rPr>
            <w:szCs w:val="22"/>
          </w:rPr>
          <w:t>A gyógyszer 0,4</w:t>
        </w:r>
      </w:ins>
      <w:ins w:id="13972" w:author="AbbVie_HU_03" w:date="2025-05-14T17:32:00Z">
        <w:r w:rsidR="007276E0">
          <w:rPr>
            <w:szCs w:val="22"/>
          </w:rPr>
          <w:t> </w:t>
        </w:r>
      </w:ins>
      <w:ins w:id="13973" w:author="AbbVie_HU_03" w:date="2025-05-14T16:42:00Z">
        <w:r>
          <w:rPr>
            <w:szCs w:val="22"/>
          </w:rPr>
          <w:t>mg poliszorbát 80-at tartalmaz 40</w:t>
        </w:r>
      </w:ins>
      <w:ins w:id="13974" w:author="AbbVie_HU_03" w:date="2025-05-14T17:32:00Z">
        <w:r w:rsidR="007276E0">
          <w:rPr>
            <w:szCs w:val="22"/>
          </w:rPr>
          <w:t> </w:t>
        </w:r>
      </w:ins>
      <w:ins w:id="13975" w:author="AbbVie_HU_03" w:date="2025-05-14T16:42:00Z">
        <w:r>
          <w:rPr>
            <w:szCs w:val="22"/>
          </w:rPr>
          <w:t>mg-os adagonként. A poliszorbát</w:t>
        </w:r>
      </w:ins>
      <w:ins w:id="13976" w:author="AbbVie_HU_03" w:date="2025-09-05T15:45:00Z">
        <w:r w:rsidR="000612E2">
          <w:rPr>
            <w:szCs w:val="22"/>
          </w:rPr>
          <w:t>ok</w:t>
        </w:r>
      </w:ins>
      <w:ins w:id="13977" w:author="AbbVie_HU_03" w:date="2025-05-14T16:42:00Z">
        <w:r>
          <w:rPr>
            <w:szCs w:val="22"/>
          </w:rPr>
          <w:t xml:space="preserve"> allergiás reakció</w:t>
        </w:r>
      </w:ins>
      <w:ins w:id="13978" w:author="AbbVie_HU_03" w:date="2025-09-05T15:45:00Z">
        <w:r w:rsidR="000612E2">
          <w:rPr>
            <w:szCs w:val="22"/>
          </w:rPr>
          <w:t>ka</w:t>
        </w:r>
      </w:ins>
      <w:ins w:id="13979" w:author="AbbVie_HU_03" w:date="2025-05-14T16:42:00Z">
        <w:r>
          <w:rPr>
            <w:szCs w:val="22"/>
          </w:rPr>
          <w:t>t okozhat</w:t>
        </w:r>
      </w:ins>
      <w:ins w:id="13980" w:author="AbbVie_HU_03" w:date="2025-09-05T15:45:00Z">
        <w:r w:rsidR="000612E2">
          <w:rPr>
            <w:szCs w:val="22"/>
          </w:rPr>
          <w:t>nak</w:t>
        </w:r>
      </w:ins>
      <w:ins w:id="13981" w:author="AbbVie_HU_03" w:date="2025-05-14T16:42:00Z">
        <w:r>
          <w:rPr>
            <w:szCs w:val="22"/>
          </w:rPr>
          <w:t>. Tájékoztassa kezelőorvosát, ha bármilyen ismert allergiája van.</w:t>
        </w:r>
      </w:ins>
    </w:p>
    <w:p w14:paraId="5EA77191" w14:textId="77777777" w:rsidR="00940F88" w:rsidRDefault="00940F88" w:rsidP="00940F88">
      <w:pPr>
        <w:spacing w:line="240" w:lineRule="auto"/>
        <w:rPr>
          <w:ins w:id="13982" w:author="AbbVie_HU_03" w:date="2025-05-14T16:43:00Z"/>
          <w:szCs w:val="22"/>
        </w:rPr>
      </w:pPr>
    </w:p>
    <w:p w14:paraId="591F93AA" w14:textId="77777777" w:rsidR="00940F88" w:rsidRPr="00183B5F" w:rsidRDefault="00940F88" w:rsidP="00940F88">
      <w:pPr>
        <w:spacing w:line="240" w:lineRule="auto"/>
        <w:rPr>
          <w:szCs w:val="22"/>
        </w:rPr>
      </w:pPr>
    </w:p>
    <w:p w14:paraId="05C31CDE" w14:textId="77777777" w:rsidR="00713AC9" w:rsidRPr="00183B5F" w:rsidRDefault="00943743" w:rsidP="00713AC9">
      <w:pPr>
        <w:keepNext/>
        <w:spacing w:line="240" w:lineRule="auto"/>
        <w:ind w:left="567" w:right="-29" w:hanging="567"/>
        <w:rPr>
          <w:b/>
          <w:szCs w:val="22"/>
        </w:rPr>
      </w:pPr>
      <w:r w:rsidRPr="00183B5F">
        <w:rPr>
          <w:b/>
          <w:szCs w:val="22"/>
        </w:rPr>
        <w:t>3.</w:t>
      </w:r>
      <w:r w:rsidRPr="00183B5F">
        <w:rPr>
          <w:b/>
          <w:szCs w:val="22"/>
        </w:rPr>
        <w:tab/>
        <w:t>Hogyan kell alkalmazni a Humira</w:t>
      </w:r>
      <w:r w:rsidRPr="00183B5F">
        <w:rPr>
          <w:b/>
          <w:szCs w:val="22"/>
        </w:rPr>
        <w:noBreakHyphen/>
        <w:t>t?</w:t>
      </w:r>
    </w:p>
    <w:p w14:paraId="29372540" w14:textId="77777777" w:rsidR="00713AC9" w:rsidRPr="00183B5F" w:rsidRDefault="00713AC9" w:rsidP="00713AC9">
      <w:pPr>
        <w:keepNext/>
        <w:spacing w:line="240" w:lineRule="auto"/>
        <w:ind w:left="567" w:right="-29" w:hanging="567"/>
        <w:rPr>
          <w:szCs w:val="22"/>
        </w:rPr>
      </w:pPr>
    </w:p>
    <w:p w14:paraId="439CCF5B" w14:textId="77777777" w:rsidR="00713AC9" w:rsidRPr="00183B5F" w:rsidRDefault="00943743" w:rsidP="00713AC9">
      <w:pPr>
        <w:tabs>
          <w:tab w:val="num" w:pos="630"/>
        </w:tabs>
        <w:spacing w:line="240" w:lineRule="auto"/>
        <w:ind w:right="-2"/>
        <w:rPr>
          <w:szCs w:val="22"/>
        </w:rPr>
      </w:pPr>
      <w:r w:rsidRPr="00183B5F">
        <w:rPr>
          <w:noProof/>
          <w:szCs w:val="24"/>
        </w:rPr>
        <w:t>A gyógyszert</w:t>
      </w:r>
      <w:r w:rsidRPr="00183B5F">
        <w:rPr>
          <w:szCs w:val="24"/>
        </w:rPr>
        <w:t xml:space="preserve"> mindig a </w:t>
      </w:r>
      <w:r w:rsidRPr="00183B5F">
        <w:rPr>
          <w:noProof/>
          <w:szCs w:val="24"/>
        </w:rPr>
        <w:t>kezelőorvosa vagy gyógyszerésze</w:t>
      </w:r>
      <w:r w:rsidRPr="00183B5F">
        <w:rPr>
          <w:szCs w:val="22"/>
        </w:rPr>
        <w:t xml:space="preserve"> által elmondottaknak megfelelően alkalmazza. Amennyiben nem biztos az adagolást illetően, kérdezze meg kezelőorvosát vagy gyógyszerészét.</w:t>
      </w:r>
    </w:p>
    <w:p w14:paraId="71CBBE5B" w14:textId="77777777" w:rsidR="00713AC9" w:rsidRPr="00183B5F" w:rsidRDefault="00713AC9" w:rsidP="00713AC9">
      <w:pPr>
        <w:tabs>
          <w:tab w:val="num" w:pos="630"/>
        </w:tabs>
        <w:spacing w:line="240" w:lineRule="auto"/>
        <w:ind w:right="-2"/>
      </w:pPr>
    </w:p>
    <w:p w14:paraId="3052A345" w14:textId="77777777" w:rsidR="00713AC9" w:rsidRPr="00183B5F" w:rsidRDefault="00943743" w:rsidP="00713AC9">
      <w:pPr>
        <w:tabs>
          <w:tab w:val="num" w:pos="630"/>
        </w:tabs>
        <w:spacing w:line="240" w:lineRule="auto"/>
        <w:ind w:right="-2"/>
        <w:rPr>
          <w:szCs w:val="22"/>
        </w:rPr>
      </w:pPr>
      <w:r w:rsidRPr="00183B5F">
        <w:t>A Humira javasolt adagját az alábbi táblázat mutatja, alkalmazási terület szerint. Kezelőorvosa más hatáserősségű Humira</w:t>
      </w:r>
      <w:r w:rsidRPr="00183B5F">
        <w:noBreakHyphen/>
        <w:t>t is felírhat, ha Önnek más dózisra van szüksége.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8"/>
        <w:gridCol w:w="3020"/>
        <w:gridCol w:w="3033"/>
      </w:tblGrid>
      <w:tr w:rsidR="00011D2F" w14:paraId="6FB0B218" w14:textId="77777777" w:rsidTr="00E745E9">
        <w:tc>
          <w:tcPr>
            <w:tcW w:w="9287" w:type="dxa"/>
            <w:gridSpan w:val="3"/>
          </w:tcPr>
          <w:p w14:paraId="6D4E4B6E" w14:textId="77777777" w:rsidR="00713AC9" w:rsidRPr="00183B5F" w:rsidRDefault="00943743" w:rsidP="00E745E9">
            <w:pPr>
              <w:keepNext/>
              <w:numPr>
                <w:ilvl w:val="12"/>
                <w:numId w:val="0"/>
              </w:numPr>
              <w:spacing w:line="240" w:lineRule="auto"/>
              <w:ind w:right="-2"/>
              <w:rPr>
                <w:b/>
              </w:rPr>
            </w:pPr>
            <w:r w:rsidRPr="00183B5F">
              <w:rPr>
                <w:b/>
                <w:szCs w:val="22"/>
              </w:rPr>
              <w:t>Reumatoid artritisz, artritisz pszoriatika, spondilitisz ankilopoetika, spondilitisz ankilopoetikára jellemző röntgeneltérést nem mutató gerincízületi gyulladás</w:t>
            </w:r>
          </w:p>
        </w:tc>
      </w:tr>
      <w:tr w:rsidR="00011D2F" w14:paraId="280440A3" w14:textId="77777777" w:rsidTr="00E745E9">
        <w:tc>
          <w:tcPr>
            <w:tcW w:w="3095" w:type="dxa"/>
          </w:tcPr>
          <w:p w14:paraId="68AD3BBA" w14:textId="77777777" w:rsidR="00713AC9" w:rsidRPr="00183B5F" w:rsidRDefault="00943743" w:rsidP="00E745E9">
            <w:pPr>
              <w:keepNext/>
              <w:numPr>
                <w:ilvl w:val="12"/>
                <w:numId w:val="0"/>
              </w:numPr>
              <w:spacing w:line="240" w:lineRule="auto"/>
              <w:ind w:right="-2"/>
            </w:pPr>
            <w:r w:rsidRPr="00183B5F">
              <w:rPr>
                <w:b/>
              </w:rPr>
              <w:t>Kor vagy testtömeg</w:t>
            </w:r>
          </w:p>
        </w:tc>
        <w:tc>
          <w:tcPr>
            <w:tcW w:w="3096" w:type="dxa"/>
          </w:tcPr>
          <w:p w14:paraId="58D935E5" w14:textId="77777777" w:rsidR="00713AC9" w:rsidRPr="00183B5F" w:rsidRDefault="00943743" w:rsidP="00E745E9">
            <w:pPr>
              <w:keepNext/>
              <w:numPr>
                <w:ilvl w:val="12"/>
                <w:numId w:val="0"/>
              </w:numPr>
              <w:spacing w:line="240" w:lineRule="auto"/>
              <w:ind w:right="-2"/>
            </w:pPr>
            <w:r w:rsidRPr="00183B5F">
              <w:rPr>
                <w:b/>
              </w:rPr>
              <w:t>Milyen adagot és milyen gyakran kell alkalmazni?</w:t>
            </w:r>
          </w:p>
        </w:tc>
        <w:tc>
          <w:tcPr>
            <w:tcW w:w="3096" w:type="dxa"/>
          </w:tcPr>
          <w:p w14:paraId="1FF57E8A" w14:textId="77777777" w:rsidR="00713AC9" w:rsidRPr="00183B5F" w:rsidRDefault="00943743" w:rsidP="00E745E9">
            <w:pPr>
              <w:keepNext/>
              <w:numPr>
                <w:ilvl w:val="12"/>
                <w:numId w:val="0"/>
              </w:numPr>
              <w:spacing w:line="240" w:lineRule="auto"/>
              <w:ind w:right="-2"/>
            </w:pPr>
            <w:r w:rsidRPr="00183B5F">
              <w:rPr>
                <w:b/>
              </w:rPr>
              <w:t>Megjegyzések</w:t>
            </w:r>
          </w:p>
        </w:tc>
      </w:tr>
      <w:tr w:rsidR="00011D2F" w14:paraId="6D885A11" w14:textId="77777777" w:rsidTr="00E745E9">
        <w:tc>
          <w:tcPr>
            <w:tcW w:w="3095" w:type="dxa"/>
          </w:tcPr>
          <w:p w14:paraId="46307226" w14:textId="77777777" w:rsidR="00713AC9" w:rsidRPr="00183B5F" w:rsidRDefault="00943743" w:rsidP="00E745E9">
            <w:pPr>
              <w:keepNext/>
              <w:numPr>
                <w:ilvl w:val="12"/>
                <w:numId w:val="0"/>
              </w:numPr>
              <w:spacing w:line="240" w:lineRule="auto"/>
              <w:ind w:right="-2"/>
            </w:pPr>
            <w:r w:rsidRPr="00183B5F">
              <w:t>Felnőttek</w:t>
            </w:r>
          </w:p>
        </w:tc>
        <w:tc>
          <w:tcPr>
            <w:tcW w:w="3096" w:type="dxa"/>
          </w:tcPr>
          <w:p w14:paraId="4B97F9D7" w14:textId="77777777" w:rsidR="00713AC9" w:rsidRPr="00183B5F" w:rsidRDefault="00943743" w:rsidP="00E745E9">
            <w:pPr>
              <w:keepNext/>
              <w:numPr>
                <w:ilvl w:val="12"/>
                <w:numId w:val="0"/>
              </w:numPr>
              <w:spacing w:line="240" w:lineRule="auto"/>
              <w:ind w:right="-2"/>
            </w:pPr>
            <w:r w:rsidRPr="00183B5F">
              <w:t>40 mg kéthetente</w:t>
            </w:r>
          </w:p>
        </w:tc>
        <w:tc>
          <w:tcPr>
            <w:tcW w:w="3096" w:type="dxa"/>
          </w:tcPr>
          <w:p w14:paraId="20588560" w14:textId="77777777" w:rsidR="00713AC9" w:rsidRPr="00183B5F" w:rsidRDefault="00943743" w:rsidP="00E745E9">
            <w:pPr>
              <w:keepNext/>
              <w:spacing w:line="240" w:lineRule="auto"/>
              <w:ind w:right="-2"/>
              <w:rPr>
                <w:szCs w:val="22"/>
              </w:rPr>
            </w:pPr>
            <w:r w:rsidRPr="00183B5F">
              <w:rPr>
                <w:szCs w:val="22"/>
              </w:rPr>
              <w:t xml:space="preserve">Reumatoid artritiszben a Humira alkalmazása során a </w:t>
            </w:r>
            <w:r w:rsidR="001A6E66" w:rsidRPr="00183B5F">
              <w:rPr>
                <w:szCs w:val="22"/>
              </w:rPr>
              <w:t>metotrexát-keze</w:t>
            </w:r>
            <w:r w:rsidRPr="00183B5F">
              <w:rPr>
                <w:szCs w:val="22"/>
              </w:rPr>
              <w:t>lést folytatni kell. Amennyiben az Ön kezelőorvosa a metotrexát adását szükségtelennek tartja, abban az esetben a Humira önállóan alkalmazható.</w:t>
            </w:r>
          </w:p>
          <w:p w14:paraId="7F01664C" w14:textId="77777777" w:rsidR="00713AC9" w:rsidRPr="00183B5F" w:rsidRDefault="00713AC9" w:rsidP="00E745E9">
            <w:pPr>
              <w:keepNext/>
              <w:spacing w:line="240" w:lineRule="auto"/>
              <w:ind w:right="-2"/>
              <w:rPr>
                <w:szCs w:val="22"/>
              </w:rPr>
            </w:pPr>
          </w:p>
          <w:p w14:paraId="73BE7B2D" w14:textId="77777777" w:rsidR="00713AC9" w:rsidRPr="00183B5F" w:rsidRDefault="00943743" w:rsidP="00E745E9">
            <w:pPr>
              <w:keepNext/>
              <w:numPr>
                <w:ilvl w:val="12"/>
                <w:numId w:val="0"/>
              </w:numPr>
              <w:spacing w:line="240" w:lineRule="auto"/>
              <w:ind w:right="-2"/>
            </w:pPr>
            <w:r w:rsidRPr="00183B5F">
              <w:rPr>
                <w:szCs w:val="22"/>
              </w:rPr>
              <w:t xml:space="preserve">Ha Önnek reumatoid artritisze van és a Humira alkalmazása során nem kap </w:t>
            </w:r>
            <w:r w:rsidR="001A6E66" w:rsidRPr="00183B5F">
              <w:rPr>
                <w:szCs w:val="22"/>
              </w:rPr>
              <w:t>metotrexát-keze</w:t>
            </w:r>
            <w:r w:rsidRPr="00183B5F">
              <w:rPr>
                <w:szCs w:val="22"/>
              </w:rPr>
              <w:t xml:space="preserve">lést, abban az esetben kezelőorvosa </w:t>
            </w:r>
            <w:r w:rsidR="00800BE5" w:rsidRPr="00183B5F">
              <w:rPr>
                <w:szCs w:val="22"/>
              </w:rPr>
              <w:t xml:space="preserve">hetente 40 mg vagy kéthetente 80 mg </w:t>
            </w:r>
            <w:r w:rsidRPr="00183B5F">
              <w:rPr>
                <w:szCs w:val="22"/>
              </w:rPr>
              <w:t>adalimumab adása mellett dönthet.</w:t>
            </w:r>
          </w:p>
        </w:tc>
      </w:tr>
    </w:tbl>
    <w:p w14:paraId="22F42D99" w14:textId="77777777" w:rsidR="00713AC9" w:rsidRPr="00183B5F" w:rsidRDefault="00713AC9" w:rsidP="00713AC9">
      <w:pPr>
        <w:numPr>
          <w:ilvl w:val="12"/>
          <w:numId w:val="0"/>
        </w:numPr>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3020"/>
        <w:gridCol w:w="3027"/>
      </w:tblGrid>
      <w:tr w:rsidR="00011D2F" w14:paraId="0B6C5C66" w14:textId="77777777" w:rsidTr="00E745E9">
        <w:tc>
          <w:tcPr>
            <w:tcW w:w="9287" w:type="dxa"/>
            <w:gridSpan w:val="3"/>
          </w:tcPr>
          <w:p w14:paraId="0C85FDF5" w14:textId="77777777" w:rsidR="00713AC9" w:rsidRPr="00183B5F" w:rsidRDefault="00943743" w:rsidP="00E745E9">
            <w:pPr>
              <w:numPr>
                <w:ilvl w:val="12"/>
                <w:numId w:val="0"/>
              </w:numPr>
              <w:spacing w:line="240" w:lineRule="auto"/>
              <w:ind w:right="-2"/>
              <w:rPr>
                <w:b/>
              </w:rPr>
            </w:pPr>
            <w:r w:rsidRPr="00183B5F">
              <w:rPr>
                <w:b/>
                <w:szCs w:val="22"/>
              </w:rPr>
              <w:t>Poliartikuláris juvenilis idiopátiás artritisz</w:t>
            </w:r>
          </w:p>
        </w:tc>
      </w:tr>
      <w:tr w:rsidR="00011D2F" w14:paraId="52FF1007" w14:textId="77777777" w:rsidTr="00E745E9">
        <w:tc>
          <w:tcPr>
            <w:tcW w:w="3095" w:type="dxa"/>
          </w:tcPr>
          <w:p w14:paraId="572177F7" w14:textId="77777777" w:rsidR="00713AC9" w:rsidRPr="00183B5F" w:rsidRDefault="00943743" w:rsidP="00E745E9">
            <w:pPr>
              <w:numPr>
                <w:ilvl w:val="12"/>
                <w:numId w:val="0"/>
              </w:numPr>
              <w:spacing w:line="240" w:lineRule="auto"/>
              <w:ind w:right="-2"/>
            </w:pPr>
            <w:r w:rsidRPr="00183B5F">
              <w:rPr>
                <w:b/>
              </w:rPr>
              <w:t>Kor vagy testtömeg</w:t>
            </w:r>
          </w:p>
        </w:tc>
        <w:tc>
          <w:tcPr>
            <w:tcW w:w="3096" w:type="dxa"/>
          </w:tcPr>
          <w:p w14:paraId="3A042070" w14:textId="77777777" w:rsidR="00713AC9" w:rsidRPr="00183B5F" w:rsidRDefault="00943743" w:rsidP="00E745E9">
            <w:pPr>
              <w:numPr>
                <w:ilvl w:val="12"/>
                <w:numId w:val="0"/>
              </w:numPr>
              <w:spacing w:line="240" w:lineRule="auto"/>
              <w:ind w:right="-2"/>
            </w:pPr>
            <w:r w:rsidRPr="00183B5F">
              <w:rPr>
                <w:b/>
              </w:rPr>
              <w:t>Milyen adagot és milyen gyakran kell alkalmazni?</w:t>
            </w:r>
          </w:p>
        </w:tc>
        <w:tc>
          <w:tcPr>
            <w:tcW w:w="3096" w:type="dxa"/>
          </w:tcPr>
          <w:p w14:paraId="4B5D3D22" w14:textId="77777777" w:rsidR="00713AC9" w:rsidRPr="00183B5F" w:rsidRDefault="00943743" w:rsidP="00E745E9">
            <w:pPr>
              <w:numPr>
                <w:ilvl w:val="12"/>
                <w:numId w:val="0"/>
              </w:numPr>
              <w:spacing w:line="240" w:lineRule="auto"/>
              <w:ind w:right="-2"/>
            </w:pPr>
            <w:r w:rsidRPr="00183B5F">
              <w:rPr>
                <w:b/>
              </w:rPr>
              <w:t>Megjegyzések</w:t>
            </w:r>
          </w:p>
        </w:tc>
      </w:tr>
      <w:tr w:rsidR="00011D2F" w14:paraId="418CDEB9" w14:textId="77777777" w:rsidTr="00E745E9">
        <w:tc>
          <w:tcPr>
            <w:tcW w:w="3095" w:type="dxa"/>
          </w:tcPr>
          <w:p w14:paraId="1E16ABBF" w14:textId="77777777" w:rsidR="00713AC9" w:rsidRPr="00183B5F" w:rsidRDefault="00943743" w:rsidP="00E745E9">
            <w:pPr>
              <w:numPr>
                <w:ilvl w:val="12"/>
                <w:numId w:val="0"/>
              </w:numPr>
              <w:spacing w:line="240" w:lineRule="auto"/>
              <w:ind w:right="-2"/>
            </w:pPr>
            <w:r w:rsidRPr="00183B5F">
              <w:t>2 évesnél idősebb, 30 kg vagy annál nagyobb testtömegű gyermekek, serdülők és felnőttek</w:t>
            </w:r>
          </w:p>
        </w:tc>
        <w:tc>
          <w:tcPr>
            <w:tcW w:w="3096" w:type="dxa"/>
          </w:tcPr>
          <w:p w14:paraId="66C771A3" w14:textId="77777777" w:rsidR="00713AC9" w:rsidRPr="00183B5F" w:rsidRDefault="00943743" w:rsidP="00E745E9">
            <w:pPr>
              <w:numPr>
                <w:ilvl w:val="12"/>
                <w:numId w:val="0"/>
              </w:numPr>
              <w:spacing w:line="240" w:lineRule="auto"/>
              <w:ind w:right="-2"/>
            </w:pPr>
            <w:r w:rsidRPr="00183B5F">
              <w:t>40 mg kéthetente</w:t>
            </w:r>
          </w:p>
        </w:tc>
        <w:tc>
          <w:tcPr>
            <w:tcW w:w="3096" w:type="dxa"/>
          </w:tcPr>
          <w:p w14:paraId="0C5F5D59" w14:textId="77777777" w:rsidR="00713AC9" w:rsidRPr="00183B5F" w:rsidRDefault="00943743" w:rsidP="00E745E9">
            <w:pPr>
              <w:numPr>
                <w:ilvl w:val="12"/>
                <w:numId w:val="0"/>
              </w:numPr>
              <w:spacing w:line="240" w:lineRule="auto"/>
              <w:ind w:right="-2"/>
            </w:pPr>
            <w:r w:rsidRPr="00183B5F">
              <w:t>Nincs</w:t>
            </w:r>
          </w:p>
        </w:tc>
      </w:tr>
      <w:tr w:rsidR="00011D2F" w14:paraId="1463765E" w14:textId="77777777" w:rsidTr="00E745E9">
        <w:tc>
          <w:tcPr>
            <w:tcW w:w="3095" w:type="dxa"/>
          </w:tcPr>
          <w:p w14:paraId="54492C4F" w14:textId="77777777" w:rsidR="00713AC9" w:rsidRPr="00183B5F" w:rsidRDefault="00943743" w:rsidP="00E745E9">
            <w:pPr>
              <w:numPr>
                <w:ilvl w:val="12"/>
                <w:numId w:val="0"/>
              </w:numPr>
              <w:spacing w:line="240" w:lineRule="auto"/>
              <w:ind w:right="-2"/>
            </w:pPr>
            <w:r w:rsidRPr="00183B5F">
              <w:t>2 évesnél idősebb, 10 kg</w:t>
            </w:r>
            <w:r w:rsidRPr="00183B5F">
              <w:noBreakHyphen/>
              <w:t>nál nagyobb, de 30 kg</w:t>
            </w:r>
            <w:r w:rsidRPr="00183B5F">
              <w:noBreakHyphen/>
              <w:t>nál kisebb testtömegű gyermekek és serdülők</w:t>
            </w:r>
          </w:p>
        </w:tc>
        <w:tc>
          <w:tcPr>
            <w:tcW w:w="3096" w:type="dxa"/>
          </w:tcPr>
          <w:p w14:paraId="1635A905" w14:textId="77777777" w:rsidR="00713AC9" w:rsidRPr="00183B5F" w:rsidRDefault="00943743" w:rsidP="00E745E9">
            <w:pPr>
              <w:keepNext/>
              <w:numPr>
                <w:ilvl w:val="12"/>
                <w:numId w:val="0"/>
              </w:numPr>
              <w:spacing w:line="240" w:lineRule="auto"/>
              <w:rPr>
                <w:szCs w:val="22"/>
              </w:rPr>
            </w:pPr>
            <w:r w:rsidRPr="00183B5F">
              <w:t>20 mg kéthetente</w:t>
            </w:r>
          </w:p>
        </w:tc>
        <w:tc>
          <w:tcPr>
            <w:tcW w:w="3096" w:type="dxa"/>
          </w:tcPr>
          <w:p w14:paraId="23A1E1E3" w14:textId="77777777" w:rsidR="00713AC9" w:rsidRPr="00183B5F" w:rsidRDefault="00943743" w:rsidP="00E745E9">
            <w:pPr>
              <w:numPr>
                <w:ilvl w:val="12"/>
                <w:numId w:val="0"/>
              </w:numPr>
              <w:spacing w:line="240" w:lineRule="auto"/>
              <w:ind w:right="-2"/>
            </w:pPr>
            <w:r w:rsidRPr="00183B5F">
              <w:t>Nincs</w:t>
            </w:r>
          </w:p>
        </w:tc>
      </w:tr>
    </w:tbl>
    <w:p w14:paraId="46C0B0C4" w14:textId="77777777" w:rsidR="00713AC9" w:rsidRPr="00183B5F" w:rsidRDefault="00713AC9" w:rsidP="00713AC9">
      <w:pPr>
        <w:numPr>
          <w:ilvl w:val="12"/>
          <w:numId w:val="0"/>
        </w:numPr>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3020"/>
        <w:gridCol w:w="3027"/>
      </w:tblGrid>
      <w:tr w:rsidR="00011D2F" w14:paraId="5CC7C029" w14:textId="77777777" w:rsidTr="00E745E9">
        <w:tc>
          <w:tcPr>
            <w:tcW w:w="9287" w:type="dxa"/>
            <w:gridSpan w:val="3"/>
          </w:tcPr>
          <w:p w14:paraId="694A2704" w14:textId="77777777" w:rsidR="00713AC9" w:rsidRPr="00183B5F" w:rsidRDefault="00943743" w:rsidP="00E745E9">
            <w:pPr>
              <w:numPr>
                <w:ilvl w:val="12"/>
                <w:numId w:val="0"/>
              </w:numPr>
              <w:spacing w:line="240" w:lineRule="auto"/>
              <w:ind w:right="-2"/>
              <w:rPr>
                <w:b/>
              </w:rPr>
            </w:pPr>
            <w:r w:rsidRPr="00183B5F">
              <w:rPr>
                <w:b/>
                <w:szCs w:val="22"/>
              </w:rPr>
              <w:t>Entezitisszel társult artritisz</w:t>
            </w:r>
          </w:p>
        </w:tc>
      </w:tr>
      <w:tr w:rsidR="00011D2F" w14:paraId="5ADBD995" w14:textId="77777777" w:rsidTr="00E745E9">
        <w:tc>
          <w:tcPr>
            <w:tcW w:w="3095" w:type="dxa"/>
          </w:tcPr>
          <w:p w14:paraId="7623BA76" w14:textId="77777777" w:rsidR="00713AC9" w:rsidRPr="00183B5F" w:rsidRDefault="00943743" w:rsidP="00E745E9">
            <w:pPr>
              <w:numPr>
                <w:ilvl w:val="12"/>
                <w:numId w:val="0"/>
              </w:numPr>
              <w:spacing w:line="240" w:lineRule="auto"/>
              <w:ind w:right="-2"/>
            </w:pPr>
            <w:r w:rsidRPr="00183B5F">
              <w:rPr>
                <w:b/>
              </w:rPr>
              <w:t>Kor vagy testtömeg</w:t>
            </w:r>
          </w:p>
        </w:tc>
        <w:tc>
          <w:tcPr>
            <w:tcW w:w="3096" w:type="dxa"/>
          </w:tcPr>
          <w:p w14:paraId="53B52B57" w14:textId="77777777" w:rsidR="00713AC9" w:rsidRPr="00183B5F" w:rsidRDefault="00943743" w:rsidP="00E745E9">
            <w:pPr>
              <w:numPr>
                <w:ilvl w:val="12"/>
                <w:numId w:val="0"/>
              </w:numPr>
              <w:spacing w:line="240" w:lineRule="auto"/>
              <w:ind w:right="-2"/>
            </w:pPr>
            <w:r w:rsidRPr="00183B5F">
              <w:rPr>
                <w:b/>
              </w:rPr>
              <w:t>Milyen adagot és milyen gyakran kell alkalmazni?</w:t>
            </w:r>
          </w:p>
        </w:tc>
        <w:tc>
          <w:tcPr>
            <w:tcW w:w="3096" w:type="dxa"/>
          </w:tcPr>
          <w:p w14:paraId="684C86CA" w14:textId="77777777" w:rsidR="00713AC9" w:rsidRPr="00183B5F" w:rsidRDefault="00943743" w:rsidP="00E745E9">
            <w:pPr>
              <w:numPr>
                <w:ilvl w:val="12"/>
                <w:numId w:val="0"/>
              </w:numPr>
              <w:spacing w:line="240" w:lineRule="auto"/>
              <w:ind w:right="-2"/>
            </w:pPr>
            <w:r w:rsidRPr="00183B5F">
              <w:rPr>
                <w:b/>
              </w:rPr>
              <w:t>Megjegyzések</w:t>
            </w:r>
          </w:p>
        </w:tc>
      </w:tr>
      <w:tr w:rsidR="00011D2F" w14:paraId="1EA3991F" w14:textId="77777777" w:rsidTr="00E745E9">
        <w:tc>
          <w:tcPr>
            <w:tcW w:w="3095" w:type="dxa"/>
          </w:tcPr>
          <w:p w14:paraId="3F37200A" w14:textId="77777777" w:rsidR="00713AC9" w:rsidRPr="00183B5F" w:rsidRDefault="00943743" w:rsidP="00E745E9">
            <w:pPr>
              <w:numPr>
                <w:ilvl w:val="12"/>
                <w:numId w:val="0"/>
              </w:numPr>
              <w:spacing w:line="240" w:lineRule="auto"/>
              <w:ind w:right="-2"/>
            </w:pPr>
            <w:r w:rsidRPr="00183B5F">
              <w:t>6 éves kor feletti, 30 kg vagy annál nagyobb testtömegű gyermekek, serdülők és felnőttek</w:t>
            </w:r>
          </w:p>
        </w:tc>
        <w:tc>
          <w:tcPr>
            <w:tcW w:w="3096" w:type="dxa"/>
          </w:tcPr>
          <w:p w14:paraId="40D50396" w14:textId="77777777" w:rsidR="00713AC9" w:rsidRPr="00183B5F" w:rsidRDefault="00943743" w:rsidP="00E745E9">
            <w:pPr>
              <w:numPr>
                <w:ilvl w:val="12"/>
                <w:numId w:val="0"/>
              </w:numPr>
              <w:spacing w:line="240" w:lineRule="auto"/>
              <w:ind w:right="-2"/>
            </w:pPr>
            <w:r w:rsidRPr="00183B5F">
              <w:t>40 mg minden második héten</w:t>
            </w:r>
          </w:p>
        </w:tc>
        <w:tc>
          <w:tcPr>
            <w:tcW w:w="3096" w:type="dxa"/>
          </w:tcPr>
          <w:p w14:paraId="46F7772B" w14:textId="77777777" w:rsidR="00713AC9" w:rsidRPr="00183B5F" w:rsidRDefault="00943743" w:rsidP="00E745E9">
            <w:pPr>
              <w:numPr>
                <w:ilvl w:val="12"/>
                <w:numId w:val="0"/>
              </w:numPr>
              <w:spacing w:line="240" w:lineRule="auto"/>
              <w:ind w:right="-2"/>
            </w:pPr>
            <w:r w:rsidRPr="00183B5F">
              <w:t>Nincs</w:t>
            </w:r>
          </w:p>
        </w:tc>
      </w:tr>
      <w:tr w:rsidR="00011D2F" w14:paraId="7B2009E9" w14:textId="77777777" w:rsidTr="00E745E9">
        <w:tc>
          <w:tcPr>
            <w:tcW w:w="3095" w:type="dxa"/>
          </w:tcPr>
          <w:p w14:paraId="0535EE57" w14:textId="77777777" w:rsidR="00713AC9" w:rsidRPr="00183B5F" w:rsidRDefault="00943743" w:rsidP="00E745E9">
            <w:pPr>
              <w:numPr>
                <w:ilvl w:val="12"/>
                <w:numId w:val="0"/>
              </w:numPr>
              <w:spacing w:line="240" w:lineRule="auto"/>
              <w:ind w:right="-2"/>
            </w:pPr>
            <w:r w:rsidRPr="00183B5F">
              <w:t>6 évesnél idősebb, 15 kg</w:t>
            </w:r>
            <w:r w:rsidRPr="00183B5F">
              <w:noBreakHyphen/>
              <w:t>nál nagyobb, de</w:t>
            </w:r>
            <w:r w:rsidR="00E60726" w:rsidRPr="00183B5F">
              <w:t xml:space="preserve"> </w:t>
            </w:r>
            <w:r w:rsidRPr="00183B5F">
              <w:t>30 kg</w:t>
            </w:r>
            <w:r w:rsidRPr="00183B5F">
              <w:noBreakHyphen/>
              <w:t>nál kisebb testtömegű gyermekek és serdülők</w:t>
            </w:r>
          </w:p>
        </w:tc>
        <w:tc>
          <w:tcPr>
            <w:tcW w:w="3096" w:type="dxa"/>
          </w:tcPr>
          <w:p w14:paraId="01053C4D" w14:textId="77777777" w:rsidR="00713AC9" w:rsidRPr="00183B5F" w:rsidRDefault="00943743" w:rsidP="00E745E9">
            <w:pPr>
              <w:numPr>
                <w:ilvl w:val="12"/>
                <w:numId w:val="0"/>
              </w:numPr>
              <w:spacing w:line="240" w:lineRule="auto"/>
              <w:ind w:right="-2"/>
            </w:pPr>
            <w:r w:rsidRPr="00183B5F">
              <w:t>20 mg minden második héten</w:t>
            </w:r>
          </w:p>
        </w:tc>
        <w:tc>
          <w:tcPr>
            <w:tcW w:w="3096" w:type="dxa"/>
          </w:tcPr>
          <w:p w14:paraId="40E70E65" w14:textId="77777777" w:rsidR="00713AC9" w:rsidRPr="00183B5F" w:rsidRDefault="00943743" w:rsidP="00E745E9">
            <w:pPr>
              <w:numPr>
                <w:ilvl w:val="12"/>
                <w:numId w:val="0"/>
              </w:numPr>
              <w:spacing w:line="240" w:lineRule="auto"/>
              <w:ind w:right="-2"/>
            </w:pPr>
            <w:r w:rsidRPr="00183B5F">
              <w:t>Nincs</w:t>
            </w:r>
          </w:p>
        </w:tc>
      </w:tr>
    </w:tbl>
    <w:p w14:paraId="1729376B" w14:textId="77777777" w:rsidR="00713AC9" w:rsidRPr="00183B5F" w:rsidRDefault="00713AC9" w:rsidP="00713AC9">
      <w:pPr>
        <w:numPr>
          <w:ilvl w:val="12"/>
          <w:numId w:val="0"/>
        </w:numPr>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3021"/>
        <w:gridCol w:w="3028"/>
      </w:tblGrid>
      <w:tr w:rsidR="00011D2F" w14:paraId="5F2D1A35" w14:textId="77777777" w:rsidTr="00E745E9">
        <w:tc>
          <w:tcPr>
            <w:tcW w:w="9287" w:type="dxa"/>
            <w:gridSpan w:val="3"/>
          </w:tcPr>
          <w:p w14:paraId="233FBC72" w14:textId="77777777" w:rsidR="00713AC9" w:rsidRPr="00183B5F" w:rsidRDefault="00943743" w:rsidP="002D49EE">
            <w:pPr>
              <w:keepNext/>
              <w:numPr>
                <w:ilvl w:val="12"/>
                <w:numId w:val="0"/>
              </w:numPr>
              <w:spacing w:line="240" w:lineRule="auto"/>
              <w:ind w:right="-2"/>
            </w:pPr>
            <w:r w:rsidRPr="00183B5F">
              <w:rPr>
                <w:b/>
              </w:rPr>
              <w:t>Pikkelysömör</w:t>
            </w:r>
          </w:p>
        </w:tc>
      </w:tr>
      <w:tr w:rsidR="00011D2F" w14:paraId="3CA5D41D" w14:textId="77777777" w:rsidTr="00E745E9">
        <w:tc>
          <w:tcPr>
            <w:tcW w:w="3095" w:type="dxa"/>
          </w:tcPr>
          <w:p w14:paraId="60535751" w14:textId="77777777" w:rsidR="00713AC9" w:rsidRPr="00183B5F" w:rsidRDefault="00943743" w:rsidP="002D49EE">
            <w:pPr>
              <w:keepNext/>
              <w:numPr>
                <w:ilvl w:val="12"/>
                <w:numId w:val="0"/>
              </w:numPr>
              <w:spacing w:line="240" w:lineRule="auto"/>
              <w:ind w:right="-2"/>
            </w:pPr>
            <w:r w:rsidRPr="00183B5F">
              <w:rPr>
                <w:b/>
              </w:rPr>
              <w:t>Kor vagy testtömeg</w:t>
            </w:r>
          </w:p>
        </w:tc>
        <w:tc>
          <w:tcPr>
            <w:tcW w:w="3096" w:type="dxa"/>
          </w:tcPr>
          <w:p w14:paraId="7849A620" w14:textId="77777777" w:rsidR="00713AC9" w:rsidRPr="00183B5F" w:rsidRDefault="00943743" w:rsidP="002D49EE">
            <w:pPr>
              <w:keepNext/>
              <w:numPr>
                <w:ilvl w:val="12"/>
                <w:numId w:val="0"/>
              </w:numPr>
              <w:spacing w:line="240" w:lineRule="auto"/>
              <w:ind w:right="-2"/>
            </w:pPr>
            <w:r w:rsidRPr="00183B5F">
              <w:rPr>
                <w:b/>
              </w:rPr>
              <w:t>Milyen adagot és milyen gyakran kell alkalmazni?</w:t>
            </w:r>
          </w:p>
        </w:tc>
        <w:tc>
          <w:tcPr>
            <w:tcW w:w="3096" w:type="dxa"/>
          </w:tcPr>
          <w:p w14:paraId="3C770273" w14:textId="77777777" w:rsidR="00713AC9" w:rsidRPr="00183B5F" w:rsidRDefault="00943743" w:rsidP="002D49EE">
            <w:pPr>
              <w:keepNext/>
              <w:numPr>
                <w:ilvl w:val="12"/>
                <w:numId w:val="0"/>
              </w:numPr>
              <w:spacing w:line="240" w:lineRule="auto"/>
              <w:ind w:right="-2"/>
            </w:pPr>
            <w:r w:rsidRPr="00183B5F">
              <w:rPr>
                <w:b/>
              </w:rPr>
              <w:t>Megjegyzések</w:t>
            </w:r>
          </w:p>
        </w:tc>
      </w:tr>
      <w:tr w:rsidR="00011D2F" w14:paraId="7AB0E0A9" w14:textId="77777777" w:rsidTr="00E745E9">
        <w:tc>
          <w:tcPr>
            <w:tcW w:w="3095" w:type="dxa"/>
          </w:tcPr>
          <w:p w14:paraId="40C72A50" w14:textId="77777777" w:rsidR="00713AC9" w:rsidRPr="00183B5F" w:rsidRDefault="00943743" w:rsidP="002D49EE">
            <w:pPr>
              <w:keepNext/>
              <w:numPr>
                <w:ilvl w:val="12"/>
                <w:numId w:val="0"/>
              </w:numPr>
              <w:spacing w:line="240" w:lineRule="auto"/>
              <w:ind w:right="-2"/>
            </w:pPr>
            <w:r w:rsidRPr="00183B5F">
              <w:t>Felnőttek</w:t>
            </w:r>
          </w:p>
          <w:p w14:paraId="33AF075F" w14:textId="77777777" w:rsidR="00713AC9" w:rsidRPr="00183B5F" w:rsidRDefault="00713AC9" w:rsidP="002D49EE">
            <w:pPr>
              <w:keepNext/>
              <w:numPr>
                <w:ilvl w:val="12"/>
                <w:numId w:val="0"/>
              </w:numPr>
              <w:spacing w:line="240" w:lineRule="auto"/>
              <w:ind w:right="-2"/>
            </w:pPr>
          </w:p>
        </w:tc>
        <w:tc>
          <w:tcPr>
            <w:tcW w:w="3096" w:type="dxa"/>
          </w:tcPr>
          <w:p w14:paraId="5CBA85DA" w14:textId="77777777" w:rsidR="00713AC9" w:rsidRPr="00183B5F" w:rsidRDefault="00943743" w:rsidP="002D49EE">
            <w:pPr>
              <w:keepNext/>
              <w:numPr>
                <w:ilvl w:val="12"/>
                <w:numId w:val="0"/>
              </w:numPr>
              <w:spacing w:line="240" w:lineRule="auto"/>
              <w:ind w:right="-2"/>
            </w:pPr>
            <w:r w:rsidRPr="00183B5F">
              <w:rPr>
                <w:szCs w:val="22"/>
              </w:rPr>
              <w:t>A kezdő adag 80 mg (két 40 mg</w:t>
            </w:r>
            <w:r w:rsidRPr="00183B5F">
              <w:rPr>
                <w:szCs w:val="22"/>
              </w:rPr>
              <w:noBreakHyphen/>
            </w:r>
            <w:r w:rsidRPr="00183B5F">
              <w:rPr>
                <w:szCs w:val="22"/>
              </w:rPr>
              <w:t>os injekció egyetlen napon), amelyet minden második héten adott 40 mg követ, a kezdő adag utáni első héttől kezdve.</w:t>
            </w:r>
          </w:p>
        </w:tc>
        <w:tc>
          <w:tcPr>
            <w:tcW w:w="3096" w:type="dxa"/>
          </w:tcPr>
          <w:p w14:paraId="7AADDAD4" w14:textId="77777777" w:rsidR="00713AC9" w:rsidRPr="00183B5F" w:rsidRDefault="00943743" w:rsidP="002D49EE">
            <w:pPr>
              <w:keepNext/>
              <w:spacing w:line="240" w:lineRule="auto"/>
            </w:pPr>
            <w:r w:rsidRPr="00183B5F">
              <w:t>Ha Ön nem megfelelően reagál a kezelésre, a kezelőorvosa heti 40 mg</w:t>
            </w:r>
            <w:r w:rsidRPr="00183B5F">
              <w:noBreakHyphen/>
              <w:t xml:space="preserve">ra </w:t>
            </w:r>
            <w:r w:rsidR="003067C7" w:rsidRPr="00183B5F">
              <w:t>vagy kéthet</w:t>
            </w:r>
            <w:r w:rsidR="00F13823" w:rsidRPr="00183B5F">
              <w:t>ente</w:t>
            </w:r>
            <w:r w:rsidR="003067C7" w:rsidRPr="00183B5F">
              <w:t xml:space="preserve"> 80 mg</w:t>
            </w:r>
            <w:r w:rsidR="003067C7" w:rsidRPr="00183B5F">
              <w:noBreakHyphen/>
              <w:t xml:space="preserve">ra </w:t>
            </w:r>
            <w:r w:rsidRPr="00183B5F">
              <w:t>emelheti az adag</w:t>
            </w:r>
            <w:r w:rsidR="00003A4F" w:rsidRPr="00183B5F">
              <w:t>ot</w:t>
            </w:r>
            <w:r w:rsidRPr="00183B5F">
              <w:t>.</w:t>
            </w:r>
          </w:p>
        </w:tc>
      </w:tr>
      <w:tr w:rsidR="00011D2F" w14:paraId="63646BAE" w14:textId="77777777" w:rsidTr="00E745E9">
        <w:tc>
          <w:tcPr>
            <w:tcW w:w="3095" w:type="dxa"/>
          </w:tcPr>
          <w:p w14:paraId="6EA7B817" w14:textId="77777777" w:rsidR="00713AC9" w:rsidRPr="00183B5F" w:rsidRDefault="00943743" w:rsidP="002D49EE">
            <w:pPr>
              <w:keepNext/>
              <w:numPr>
                <w:ilvl w:val="12"/>
                <w:numId w:val="0"/>
              </w:numPr>
              <w:spacing w:line="240" w:lineRule="auto"/>
              <w:ind w:right="-2"/>
            </w:pPr>
            <w:r w:rsidRPr="00183B5F">
              <w:t>4-17 éves kor közötti, 30 kg vagy annál nagyobb testtömegű gyermekek és serdülők</w:t>
            </w:r>
          </w:p>
        </w:tc>
        <w:tc>
          <w:tcPr>
            <w:tcW w:w="3096" w:type="dxa"/>
          </w:tcPr>
          <w:p w14:paraId="334E3E92" w14:textId="77777777" w:rsidR="00713AC9" w:rsidRPr="00183B5F" w:rsidRDefault="00943743" w:rsidP="002D49EE">
            <w:pPr>
              <w:keepNext/>
              <w:numPr>
                <w:ilvl w:val="12"/>
                <w:numId w:val="0"/>
              </w:numPr>
              <w:tabs>
                <w:tab w:val="left" w:pos="720"/>
              </w:tabs>
              <w:spacing w:line="240" w:lineRule="auto"/>
              <w:rPr>
                <w:szCs w:val="22"/>
              </w:rPr>
            </w:pPr>
            <w:r w:rsidRPr="00183B5F">
              <w:rPr>
                <w:szCs w:val="22"/>
              </w:rPr>
              <w:t>Első alkalommal 40 mg, majd egy héttel később 40 mg.</w:t>
            </w:r>
          </w:p>
          <w:p w14:paraId="5BC33663" w14:textId="77777777" w:rsidR="00713AC9" w:rsidRPr="00183B5F" w:rsidRDefault="00713AC9" w:rsidP="002D49EE">
            <w:pPr>
              <w:keepNext/>
              <w:numPr>
                <w:ilvl w:val="12"/>
                <w:numId w:val="0"/>
              </w:numPr>
              <w:tabs>
                <w:tab w:val="left" w:pos="720"/>
              </w:tabs>
              <w:spacing w:line="240" w:lineRule="auto"/>
            </w:pPr>
          </w:p>
          <w:p w14:paraId="6B0A5B83" w14:textId="77777777" w:rsidR="00713AC9" w:rsidRPr="00183B5F" w:rsidRDefault="00943743" w:rsidP="002D49EE">
            <w:pPr>
              <w:keepNext/>
              <w:numPr>
                <w:ilvl w:val="12"/>
                <w:numId w:val="0"/>
              </w:numPr>
              <w:spacing w:line="240" w:lineRule="auto"/>
              <w:ind w:right="-2"/>
            </w:pPr>
            <w:r w:rsidRPr="00183B5F">
              <w:t>Ezt követően, a szokásos adag 40 mg minden második héten.</w:t>
            </w:r>
          </w:p>
        </w:tc>
        <w:tc>
          <w:tcPr>
            <w:tcW w:w="3096" w:type="dxa"/>
          </w:tcPr>
          <w:p w14:paraId="0765B1D8" w14:textId="77777777" w:rsidR="00713AC9" w:rsidRPr="00183B5F" w:rsidRDefault="00943743" w:rsidP="002D49EE">
            <w:pPr>
              <w:keepNext/>
              <w:numPr>
                <w:ilvl w:val="12"/>
                <w:numId w:val="0"/>
              </w:numPr>
              <w:spacing w:line="240" w:lineRule="auto"/>
              <w:ind w:right="-2"/>
            </w:pPr>
            <w:r w:rsidRPr="00183B5F">
              <w:t>Nincs</w:t>
            </w:r>
          </w:p>
        </w:tc>
      </w:tr>
      <w:tr w:rsidR="00011D2F" w14:paraId="55496801" w14:textId="77777777" w:rsidTr="00E745E9">
        <w:tc>
          <w:tcPr>
            <w:tcW w:w="3095" w:type="dxa"/>
          </w:tcPr>
          <w:p w14:paraId="1E83E59A" w14:textId="77777777" w:rsidR="00713AC9" w:rsidRPr="00183B5F" w:rsidRDefault="00943743" w:rsidP="002D49EE">
            <w:pPr>
              <w:keepNext/>
              <w:numPr>
                <w:ilvl w:val="12"/>
                <w:numId w:val="0"/>
              </w:numPr>
              <w:spacing w:line="240" w:lineRule="auto"/>
              <w:ind w:right="-2"/>
            </w:pPr>
            <w:r w:rsidRPr="00183B5F">
              <w:t>4-17 éves kor közötti, 15 kg</w:t>
            </w:r>
            <w:r w:rsidRPr="00183B5F">
              <w:noBreakHyphen/>
              <w:t>nál nagyobb, de 30 kg</w:t>
            </w:r>
            <w:r w:rsidRPr="00183B5F">
              <w:noBreakHyphen/>
              <w:t>nál kisebb testtömegű gyermekek és serdülők</w:t>
            </w:r>
          </w:p>
        </w:tc>
        <w:tc>
          <w:tcPr>
            <w:tcW w:w="3096" w:type="dxa"/>
          </w:tcPr>
          <w:p w14:paraId="450C144B" w14:textId="77777777" w:rsidR="00713AC9" w:rsidRPr="00183B5F" w:rsidRDefault="00943743" w:rsidP="002D49EE">
            <w:pPr>
              <w:keepNext/>
              <w:numPr>
                <w:ilvl w:val="12"/>
                <w:numId w:val="0"/>
              </w:numPr>
              <w:tabs>
                <w:tab w:val="left" w:pos="720"/>
              </w:tabs>
              <w:spacing w:line="240" w:lineRule="auto"/>
              <w:rPr>
                <w:szCs w:val="22"/>
              </w:rPr>
            </w:pPr>
            <w:r w:rsidRPr="00183B5F">
              <w:rPr>
                <w:szCs w:val="22"/>
              </w:rPr>
              <w:t>Első alkalommal 20 mg, majd egy héttel később 20 mg.</w:t>
            </w:r>
          </w:p>
          <w:p w14:paraId="7B7368CB" w14:textId="77777777" w:rsidR="00713AC9" w:rsidRPr="00183B5F" w:rsidRDefault="00713AC9" w:rsidP="002D49EE">
            <w:pPr>
              <w:keepNext/>
              <w:numPr>
                <w:ilvl w:val="12"/>
                <w:numId w:val="0"/>
              </w:numPr>
              <w:tabs>
                <w:tab w:val="left" w:pos="720"/>
              </w:tabs>
              <w:spacing w:line="240" w:lineRule="auto"/>
            </w:pPr>
          </w:p>
          <w:p w14:paraId="15883500" w14:textId="77777777" w:rsidR="00713AC9" w:rsidRPr="00183B5F" w:rsidRDefault="00943743" w:rsidP="002D49EE">
            <w:pPr>
              <w:keepNext/>
              <w:numPr>
                <w:ilvl w:val="12"/>
                <w:numId w:val="0"/>
              </w:numPr>
              <w:tabs>
                <w:tab w:val="left" w:pos="720"/>
              </w:tabs>
              <w:spacing w:line="240" w:lineRule="auto"/>
              <w:rPr>
                <w:szCs w:val="22"/>
              </w:rPr>
            </w:pPr>
            <w:r w:rsidRPr="00183B5F">
              <w:t>Ezt követően, a szokásos adag 20 mg minden második héten.</w:t>
            </w:r>
          </w:p>
        </w:tc>
        <w:tc>
          <w:tcPr>
            <w:tcW w:w="3096" w:type="dxa"/>
          </w:tcPr>
          <w:p w14:paraId="25660137" w14:textId="77777777" w:rsidR="00713AC9" w:rsidRPr="00183B5F" w:rsidRDefault="00943743" w:rsidP="002D49EE">
            <w:pPr>
              <w:keepNext/>
              <w:numPr>
                <w:ilvl w:val="12"/>
                <w:numId w:val="0"/>
              </w:numPr>
              <w:spacing w:line="240" w:lineRule="auto"/>
              <w:ind w:right="-2"/>
            </w:pPr>
            <w:r w:rsidRPr="00183B5F">
              <w:t>Nincs</w:t>
            </w:r>
          </w:p>
        </w:tc>
      </w:tr>
    </w:tbl>
    <w:p w14:paraId="7C27E413" w14:textId="77777777" w:rsidR="00713AC9" w:rsidRPr="00183B5F" w:rsidRDefault="00713AC9" w:rsidP="00713AC9">
      <w:pPr>
        <w:numPr>
          <w:ilvl w:val="12"/>
          <w:numId w:val="0"/>
        </w:numPr>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7"/>
        <w:gridCol w:w="3030"/>
        <w:gridCol w:w="3034"/>
      </w:tblGrid>
      <w:tr w:rsidR="00011D2F" w14:paraId="50FD012E" w14:textId="77777777" w:rsidTr="00E745E9">
        <w:tc>
          <w:tcPr>
            <w:tcW w:w="9287" w:type="dxa"/>
            <w:gridSpan w:val="3"/>
          </w:tcPr>
          <w:p w14:paraId="21659475" w14:textId="77777777" w:rsidR="00713AC9" w:rsidRPr="00183B5F" w:rsidRDefault="00943743" w:rsidP="00E745E9">
            <w:pPr>
              <w:numPr>
                <w:ilvl w:val="12"/>
                <w:numId w:val="0"/>
              </w:numPr>
              <w:spacing w:line="240" w:lineRule="auto"/>
              <w:ind w:right="-2"/>
              <w:rPr>
                <w:b/>
              </w:rPr>
            </w:pPr>
            <w:r w:rsidRPr="00183B5F">
              <w:rPr>
                <w:b/>
              </w:rPr>
              <w:t>Hidradenitisz szuppuratíva</w:t>
            </w:r>
          </w:p>
        </w:tc>
      </w:tr>
      <w:tr w:rsidR="00011D2F" w14:paraId="78CCBD84" w14:textId="77777777" w:rsidTr="00E745E9">
        <w:tc>
          <w:tcPr>
            <w:tcW w:w="3095" w:type="dxa"/>
          </w:tcPr>
          <w:p w14:paraId="15230FCA" w14:textId="77777777" w:rsidR="00713AC9" w:rsidRPr="00183B5F" w:rsidRDefault="00943743" w:rsidP="00E745E9">
            <w:pPr>
              <w:numPr>
                <w:ilvl w:val="12"/>
                <w:numId w:val="0"/>
              </w:numPr>
              <w:spacing w:line="240" w:lineRule="auto"/>
              <w:ind w:right="-2"/>
            </w:pPr>
            <w:r w:rsidRPr="00183B5F">
              <w:rPr>
                <w:b/>
              </w:rPr>
              <w:t>Kor vagy testtömeg</w:t>
            </w:r>
          </w:p>
        </w:tc>
        <w:tc>
          <w:tcPr>
            <w:tcW w:w="3096" w:type="dxa"/>
          </w:tcPr>
          <w:p w14:paraId="7D217632" w14:textId="77777777" w:rsidR="00713AC9" w:rsidRPr="00183B5F" w:rsidRDefault="00943743" w:rsidP="00E745E9">
            <w:pPr>
              <w:numPr>
                <w:ilvl w:val="12"/>
                <w:numId w:val="0"/>
              </w:numPr>
              <w:spacing w:line="240" w:lineRule="auto"/>
              <w:ind w:right="-2"/>
            </w:pPr>
            <w:r w:rsidRPr="00183B5F">
              <w:rPr>
                <w:b/>
              </w:rPr>
              <w:t>Milyen adagot és milyen gyakran kell alkalmazni?</w:t>
            </w:r>
          </w:p>
        </w:tc>
        <w:tc>
          <w:tcPr>
            <w:tcW w:w="3096" w:type="dxa"/>
          </w:tcPr>
          <w:p w14:paraId="07C056C0" w14:textId="77777777" w:rsidR="00713AC9" w:rsidRPr="00183B5F" w:rsidRDefault="00943743" w:rsidP="00E745E9">
            <w:pPr>
              <w:numPr>
                <w:ilvl w:val="12"/>
                <w:numId w:val="0"/>
              </w:numPr>
              <w:spacing w:line="240" w:lineRule="auto"/>
              <w:ind w:right="-2"/>
            </w:pPr>
            <w:r w:rsidRPr="00183B5F">
              <w:rPr>
                <w:b/>
              </w:rPr>
              <w:t>Megjegyzések</w:t>
            </w:r>
          </w:p>
        </w:tc>
      </w:tr>
      <w:tr w:rsidR="00011D2F" w14:paraId="1AC1B9D4" w14:textId="77777777" w:rsidTr="00E745E9">
        <w:tc>
          <w:tcPr>
            <w:tcW w:w="3095" w:type="dxa"/>
          </w:tcPr>
          <w:p w14:paraId="618F72E1" w14:textId="77777777" w:rsidR="00713AC9" w:rsidRPr="00183B5F" w:rsidRDefault="00943743" w:rsidP="00E745E9">
            <w:pPr>
              <w:numPr>
                <w:ilvl w:val="12"/>
                <w:numId w:val="0"/>
              </w:numPr>
              <w:spacing w:line="240" w:lineRule="auto"/>
              <w:ind w:right="-2"/>
            </w:pPr>
            <w:r w:rsidRPr="00183B5F">
              <w:t>Felnőttek</w:t>
            </w:r>
          </w:p>
        </w:tc>
        <w:tc>
          <w:tcPr>
            <w:tcW w:w="3096" w:type="dxa"/>
          </w:tcPr>
          <w:p w14:paraId="5736FA61" w14:textId="77777777" w:rsidR="00713AC9" w:rsidRPr="00183B5F" w:rsidRDefault="00943743" w:rsidP="00E745E9">
            <w:pPr>
              <w:numPr>
                <w:ilvl w:val="12"/>
                <w:numId w:val="0"/>
              </w:numPr>
              <w:spacing w:line="240" w:lineRule="auto"/>
              <w:ind w:right="-2"/>
            </w:pPr>
            <w:r w:rsidRPr="00183B5F">
              <w:rPr>
                <w:szCs w:val="22"/>
              </w:rPr>
              <w:t>A kezdő adag 160 mg (négy 40 mg</w:t>
            </w:r>
            <w:r w:rsidRPr="00183B5F">
              <w:rPr>
                <w:szCs w:val="22"/>
              </w:rPr>
              <w:noBreakHyphen/>
              <w:t>os injekció egyetlen napon vagy napi két 40 mg</w:t>
            </w:r>
            <w:r w:rsidRPr="00183B5F">
              <w:rPr>
                <w:szCs w:val="22"/>
              </w:rPr>
              <w:noBreakHyphen/>
              <w:t>os injekció két egymást követő napon), melyet 2 héttel később 80 mg követ (két 40 mg</w:t>
            </w:r>
            <w:r w:rsidRPr="00183B5F">
              <w:rPr>
                <w:szCs w:val="22"/>
              </w:rPr>
              <w:noBreakHyphen/>
              <w:t>os injekció egyetlen napon). További két héttel később heti 40 mg</w:t>
            </w:r>
            <w:r w:rsidRPr="00183B5F">
              <w:rPr>
                <w:szCs w:val="22"/>
              </w:rPr>
              <w:noBreakHyphen/>
              <w:t xml:space="preserve">os </w:t>
            </w:r>
            <w:r w:rsidR="00F13823" w:rsidRPr="00183B5F">
              <w:rPr>
                <w:szCs w:val="22"/>
              </w:rPr>
              <w:t>vagy kéthetente</w:t>
            </w:r>
            <w:r w:rsidR="003067C7" w:rsidRPr="00183B5F">
              <w:rPr>
                <w:szCs w:val="22"/>
              </w:rPr>
              <w:t xml:space="preserve"> 80 mg</w:t>
            </w:r>
            <w:r w:rsidR="00E5381A" w:rsidRPr="00183B5F">
              <w:rPr>
                <w:szCs w:val="22"/>
              </w:rPr>
              <w:noBreakHyphen/>
            </w:r>
            <w:r w:rsidR="003067C7" w:rsidRPr="00183B5F">
              <w:rPr>
                <w:szCs w:val="22"/>
              </w:rPr>
              <w:t xml:space="preserve">os </w:t>
            </w:r>
            <w:r w:rsidRPr="00183B5F">
              <w:rPr>
                <w:szCs w:val="22"/>
              </w:rPr>
              <w:t>dózissal folytassa</w:t>
            </w:r>
            <w:r w:rsidR="003067C7" w:rsidRPr="00183B5F">
              <w:rPr>
                <w:szCs w:val="22"/>
              </w:rPr>
              <w:t xml:space="preserve">, </w:t>
            </w:r>
            <w:r w:rsidR="00DA59DA" w:rsidRPr="00183B5F">
              <w:rPr>
                <w:szCs w:val="22"/>
              </w:rPr>
              <w:t>kezelő</w:t>
            </w:r>
            <w:r w:rsidR="003067C7" w:rsidRPr="00183B5F">
              <w:rPr>
                <w:szCs w:val="22"/>
              </w:rPr>
              <w:t>orvosának előírása szerint</w:t>
            </w:r>
            <w:r w:rsidRPr="00183B5F">
              <w:rPr>
                <w:szCs w:val="22"/>
              </w:rPr>
              <w:t>.</w:t>
            </w:r>
          </w:p>
        </w:tc>
        <w:tc>
          <w:tcPr>
            <w:tcW w:w="3096" w:type="dxa"/>
          </w:tcPr>
          <w:p w14:paraId="73303081" w14:textId="77777777" w:rsidR="00713AC9" w:rsidRPr="00183B5F" w:rsidRDefault="00943743" w:rsidP="00E745E9">
            <w:pPr>
              <w:spacing w:line="240" w:lineRule="auto"/>
              <w:ind w:left="46"/>
            </w:pPr>
            <w:r w:rsidRPr="00183B5F">
              <w:rPr>
                <w:szCs w:val="22"/>
              </w:rPr>
              <w:t>Javasolt, hogy naponta használjon fertőtlenítő lemosót az érintett területeken.</w:t>
            </w:r>
          </w:p>
        </w:tc>
      </w:tr>
      <w:tr w:rsidR="00011D2F" w14:paraId="527E276E" w14:textId="77777777" w:rsidTr="00E745E9">
        <w:trPr>
          <w:trHeight w:val="1259"/>
        </w:trPr>
        <w:tc>
          <w:tcPr>
            <w:tcW w:w="3095" w:type="dxa"/>
          </w:tcPr>
          <w:p w14:paraId="1502C253" w14:textId="77777777" w:rsidR="00713AC9" w:rsidRPr="00183B5F" w:rsidRDefault="00943743" w:rsidP="00E745E9">
            <w:pPr>
              <w:numPr>
                <w:ilvl w:val="12"/>
                <w:numId w:val="0"/>
              </w:numPr>
              <w:spacing w:line="240" w:lineRule="auto"/>
              <w:ind w:right="-2"/>
            </w:pPr>
            <w:r w:rsidRPr="00183B5F">
              <w:t>12</w:t>
            </w:r>
            <w:r w:rsidRPr="00183B5F">
              <w:noBreakHyphen/>
              <w:t>17  év közötti, 30 kg vagy annál nagyobb testtömegű serdülők</w:t>
            </w:r>
          </w:p>
        </w:tc>
        <w:tc>
          <w:tcPr>
            <w:tcW w:w="3096" w:type="dxa"/>
          </w:tcPr>
          <w:p w14:paraId="25E5A87F" w14:textId="77777777" w:rsidR="00713AC9" w:rsidRPr="00183B5F" w:rsidRDefault="00943743" w:rsidP="00E745E9">
            <w:pPr>
              <w:keepNext/>
              <w:spacing w:line="240" w:lineRule="auto"/>
              <w:rPr>
                <w:szCs w:val="22"/>
              </w:rPr>
            </w:pPr>
            <w:r w:rsidRPr="00183B5F">
              <w:rPr>
                <w:szCs w:val="22"/>
              </w:rPr>
              <w:t>A kezdő adag 80 mg (két 40 mg</w:t>
            </w:r>
            <w:r w:rsidRPr="00183B5F">
              <w:rPr>
                <w:szCs w:val="22"/>
              </w:rPr>
              <w:noBreakHyphen/>
              <w:t>os injekció ugyanazon a napon), amelyet egy héttel később minden második héten adott 40 mg követ.</w:t>
            </w:r>
          </w:p>
        </w:tc>
        <w:tc>
          <w:tcPr>
            <w:tcW w:w="3096" w:type="dxa"/>
          </w:tcPr>
          <w:p w14:paraId="767DC868" w14:textId="77777777" w:rsidR="00713AC9" w:rsidRPr="00183B5F" w:rsidRDefault="00943743">
            <w:pPr>
              <w:spacing w:line="240" w:lineRule="auto"/>
              <w:ind w:left="46"/>
              <w:rPr>
                <w:szCs w:val="22"/>
              </w:rPr>
            </w:pPr>
            <w:r w:rsidRPr="00183B5F">
              <w:t xml:space="preserve">Ha Ön nem megfelelően reagál a </w:t>
            </w:r>
            <w:r w:rsidR="003067C7" w:rsidRPr="00183B5F">
              <w:t>kéthetente 40 mg Humira</w:t>
            </w:r>
            <w:r w:rsidR="003067C7" w:rsidRPr="00183B5F">
              <w:noBreakHyphen/>
            </w:r>
            <w:r w:rsidRPr="00183B5F">
              <w:t>kezelésre, a kezelőorvosa heti 40 mg</w:t>
            </w:r>
            <w:r w:rsidRPr="00183B5F">
              <w:noBreakHyphen/>
              <w:t xml:space="preserve">ra </w:t>
            </w:r>
            <w:r w:rsidR="00F523EA" w:rsidRPr="00183B5F">
              <w:t>vagy kéthetente</w:t>
            </w:r>
            <w:r w:rsidR="003067C7" w:rsidRPr="00183B5F">
              <w:t xml:space="preserve"> 80 mg</w:t>
            </w:r>
            <w:r w:rsidR="003067C7" w:rsidRPr="00183B5F">
              <w:noBreakHyphen/>
              <w:t xml:space="preserve">ra </w:t>
            </w:r>
            <w:r w:rsidRPr="00183B5F">
              <w:t>emelheti az adag</w:t>
            </w:r>
            <w:r w:rsidR="00003A4F" w:rsidRPr="00183B5F">
              <w:t>ot</w:t>
            </w:r>
            <w:r w:rsidR="003067C7" w:rsidRPr="00183B5F">
              <w:t>.</w:t>
            </w:r>
            <w:r w:rsidRPr="00183B5F">
              <w:rPr>
                <w:szCs w:val="22"/>
              </w:rPr>
              <w:t xml:space="preserve"> Javasolt, hogy naponta használjon fertőtlenítő lemosót az érintett területeken.</w:t>
            </w:r>
          </w:p>
        </w:tc>
      </w:tr>
    </w:tbl>
    <w:p w14:paraId="4CBB854C" w14:textId="77777777" w:rsidR="00713AC9" w:rsidRPr="00183B5F" w:rsidRDefault="00713AC9" w:rsidP="00713AC9">
      <w:pPr>
        <w:numPr>
          <w:ilvl w:val="12"/>
          <w:numId w:val="0"/>
        </w:numPr>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3020"/>
        <w:gridCol w:w="3027"/>
      </w:tblGrid>
      <w:tr w:rsidR="00011D2F" w14:paraId="7597D845" w14:textId="77777777" w:rsidTr="00E745E9">
        <w:tc>
          <w:tcPr>
            <w:tcW w:w="9287" w:type="dxa"/>
            <w:gridSpan w:val="3"/>
          </w:tcPr>
          <w:p w14:paraId="50F58262" w14:textId="77777777" w:rsidR="00713AC9" w:rsidRPr="00183B5F" w:rsidRDefault="00943743" w:rsidP="00E745E9">
            <w:pPr>
              <w:keepNext/>
              <w:numPr>
                <w:ilvl w:val="12"/>
                <w:numId w:val="0"/>
              </w:numPr>
              <w:spacing w:line="240" w:lineRule="auto"/>
              <w:ind w:right="-2"/>
            </w:pPr>
            <w:r w:rsidRPr="00183B5F">
              <w:rPr>
                <w:b/>
              </w:rPr>
              <w:t>Crohn</w:t>
            </w:r>
            <w:r w:rsidRPr="00183B5F">
              <w:rPr>
                <w:b/>
              </w:rPr>
              <w:noBreakHyphen/>
              <w:t>betegség</w:t>
            </w:r>
          </w:p>
        </w:tc>
      </w:tr>
      <w:tr w:rsidR="00011D2F" w14:paraId="222735AF" w14:textId="77777777" w:rsidTr="00E745E9">
        <w:tc>
          <w:tcPr>
            <w:tcW w:w="3095" w:type="dxa"/>
          </w:tcPr>
          <w:p w14:paraId="5D50B3C5" w14:textId="77777777" w:rsidR="00713AC9" w:rsidRPr="00183B5F" w:rsidRDefault="00943743" w:rsidP="00E745E9">
            <w:pPr>
              <w:keepNext/>
              <w:numPr>
                <w:ilvl w:val="12"/>
                <w:numId w:val="0"/>
              </w:numPr>
              <w:spacing w:line="240" w:lineRule="auto"/>
              <w:ind w:right="-2"/>
            </w:pPr>
            <w:r w:rsidRPr="00183B5F">
              <w:rPr>
                <w:b/>
              </w:rPr>
              <w:t>Kor vagy testtömeg</w:t>
            </w:r>
          </w:p>
        </w:tc>
        <w:tc>
          <w:tcPr>
            <w:tcW w:w="3096" w:type="dxa"/>
          </w:tcPr>
          <w:p w14:paraId="7C0D6B33" w14:textId="77777777" w:rsidR="00713AC9" w:rsidRPr="00183B5F" w:rsidRDefault="00943743" w:rsidP="00E745E9">
            <w:pPr>
              <w:keepNext/>
              <w:numPr>
                <w:ilvl w:val="12"/>
                <w:numId w:val="0"/>
              </w:numPr>
              <w:spacing w:line="240" w:lineRule="auto"/>
              <w:ind w:right="-2"/>
            </w:pPr>
            <w:r w:rsidRPr="00183B5F">
              <w:rPr>
                <w:b/>
              </w:rPr>
              <w:t>Milyen adagot és milyen gyakran kell alkalmazni?</w:t>
            </w:r>
          </w:p>
        </w:tc>
        <w:tc>
          <w:tcPr>
            <w:tcW w:w="3096" w:type="dxa"/>
          </w:tcPr>
          <w:p w14:paraId="29D66D2E" w14:textId="77777777" w:rsidR="00713AC9" w:rsidRPr="00183B5F" w:rsidRDefault="00943743" w:rsidP="00E745E9">
            <w:pPr>
              <w:numPr>
                <w:ilvl w:val="12"/>
                <w:numId w:val="0"/>
              </w:numPr>
              <w:spacing w:line="240" w:lineRule="auto"/>
              <w:ind w:right="-2"/>
            </w:pPr>
            <w:r w:rsidRPr="00183B5F">
              <w:rPr>
                <w:b/>
              </w:rPr>
              <w:t>Megjegyzések</w:t>
            </w:r>
          </w:p>
        </w:tc>
      </w:tr>
      <w:tr w:rsidR="00011D2F" w14:paraId="19A70F7C" w14:textId="77777777" w:rsidTr="00E745E9">
        <w:tc>
          <w:tcPr>
            <w:tcW w:w="3095" w:type="dxa"/>
          </w:tcPr>
          <w:p w14:paraId="55434859" w14:textId="77777777" w:rsidR="00713AC9" w:rsidRPr="00183B5F" w:rsidRDefault="00943743" w:rsidP="00E745E9">
            <w:pPr>
              <w:numPr>
                <w:ilvl w:val="12"/>
                <w:numId w:val="0"/>
              </w:numPr>
              <w:spacing w:line="240" w:lineRule="auto"/>
              <w:ind w:right="-2"/>
            </w:pPr>
            <w:r w:rsidRPr="00183B5F">
              <w:t>6 éves kor feletti, 40 kg</w:t>
            </w:r>
            <w:r w:rsidRPr="00183B5F">
              <w:noBreakHyphen/>
            </w:r>
            <w:r w:rsidRPr="00183B5F">
              <w:t>os vagy annál nagyobb testtömegű gyermekek, serdülők és felnőttek</w:t>
            </w:r>
          </w:p>
        </w:tc>
        <w:tc>
          <w:tcPr>
            <w:tcW w:w="3096" w:type="dxa"/>
          </w:tcPr>
          <w:p w14:paraId="113B6D01" w14:textId="77777777" w:rsidR="00713AC9" w:rsidRPr="00183B5F" w:rsidRDefault="00943743" w:rsidP="00E745E9">
            <w:pPr>
              <w:spacing w:line="240" w:lineRule="auto"/>
              <w:rPr>
                <w:szCs w:val="22"/>
              </w:rPr>
            </w:pPr>
            <w:r w:rsidRPr="00183B5F">
              <w:rPr>
                <w:szCs w:val="22"/>
              </w:rPr>
              <w:t>A kezdő adag 80 mg (két 40 mg</w:t>
            </w:r>
            <w:r w:rsidRPr="00183B5F">
              <w:rPr>
                <w:szCs w:val="22"/>
              </w:rPr>
              <w:noBreakHyphen/>
              <w:t>os injekció egyetlen napon), amelyet két héttel később 40 mg követ.</w:t>
            </w:r>
          </w:p>
          <w:p w14:paraId="2FD17DB4" w14:textId="77777777" w:rsidR="00713AC9" w:rsidRPr="00183B5F" w:rsidRDefault="00713AC9" w:rsidP="00E745E9">
            <w:pPr>
              <w:spacing w:line="240" w:lineRule="auto"/>
              <w:rPr>
                <w:szCs w:val="22"/>
              </w:rPr>
            </w:pPr>
          </w:p>
          <w:p w14:paraId="12D04107" w14:textId="77777777" w:rsidR="00713AC9" w:rsidRPr="00183B5F" w:rsidRDefault="00943743" w:rsidP="00E745E9">
            <w:pPr>
              <w:numPr>
                <w:ilvl w:val="12"/>
                <w:numId w:val="0"/>
              </w:numPr>
              <w:spacing w:line="240" w:lineRule="auto"/>
              <w:ind w:right="-2"/>
              <w:rPr>
                <w:szCs w:val="22"/>
              </w:rPr>
            </w:pPr>
            <w:r w:rsidRPr="00183B5F">
              <w:rPr>
                <w:szCs w:val="22"/>
              </w:rPr>
              <w:t>Ha gyorsabb hatásra van szükség, a kezelőorvos rendelhet 160 mg</w:t>
            </w:r>
            <w:r w:rsidRPr="00183B5F">
              <w:rPr>
                <w:szCs w:val="22"/>
              </w:rPr>
              <w:noBreakHyphen/>
              <w:t>os kezdő adagot (négy 40 mg</w:t>
            </w:r>
            <w:r w:rsidRPr="00183B5F">
              <w:rPr>
                <w:szCs w:val="22"/>
              </w:rPr>
              <w:noBreakHyphen/>
              <w:t>os injekció egyetlen napon, vagy 2</w:t>
            </w:r>
            <w:r w:rsidRPr="00183B5F">
              <w:rPr>
                <w:szCs w:val="22"/>
              </w:rPr>
              <w:noBreakHyphen/>
              <w:t>2 40 mg</w:t>
            </w:r>
            <w:r w:rsidRPr="00183B5F">
              <w:rPr>
                <w:szCs w:val="22"/>
              </w:rPr>
              <w:noBreakHyphen/>
              <w:t>os injekció két egymást követő napon), melyet két héttel később 80 mg követ (két 40 mg</w:t>
            </w:r>
            <w:r w:rsidRPr="00183B5F">
              <w:rPr>
                <w:szCs w:val="22"/>
              </w:rPr>
              <w:noBreakHyphen/>
              <w:t>os injekció egyetlen napon).</w:t>
            </w:r>
          </w:p>
          <w:p w14:paraId="5A5B6CD4" w14:textId="77777777" w:rsidR="00713AC9" w:rsidRPr="00183B5F" w:rsidRDefault="00713AC9" w:rsidP="00E745E9">
            <w:pPr>
              <w:numPr>
                <w:ilvl w:val="12"/>
                <w:numId w:val="0"/>
              </w:numPr>
              <w:spacing w:line="240" w:lineRule="auto"/>
              <w:ind w:right="-2"/>
              <w:rPr>
                <w:szCs w:val="22"/>
              </w:rPr>
            </w:pPr>
          </w:p>
          <w:p w14:paraId="006ADF34" w14:textId="77777777" w:rsidR="00713AC9" w:rsidRPr="00183B5F" w:rsidRDefault="00943743" w:rsidP="00E745E9">
            <w:pPr>
              <w:spacing w:line="240" w:lineRule="auto"/>
              <w:rPr>
                <w:szCs w:val="22"/>
              </w:rPr>
            </w:pPr>
            <w:r w:rsidRPr="00183B5F">
              <w:rPr>
                <w:szCs w:val="22"/>
              </w:rPr>
              <w:t xml:space="preserve">Ezután a szokásos adag kéthetente 40 mg. </w:t>
            </w:r>
          </w:p>
        </w:tc>
        <w:tc>
          <w:tcPr>
            <w:tcW w:w="3096" w:type="dxa"/>
          </w:tcPr>
          <w:p w14:paraId="1F018DBB" w14:textId="77777777" w:rsidR="00713AC9" w:rsidRPr="00183B5F" w:rsidRDefault="00943743">
            <w:pPr>
              <w:spacing w:line="240" w:lineRule="auto"/>
            </w:pPr>
            <w:r w:rsidRPr="00183B5F">
              <w:rPr>
                <w:szCs w:val="22"/>
              </w:rPr>
              <w:t>Kezelőorvosa heti 40 mg</w:t>
            </w:r>
            <w:r w:rsidRPr="00183B5F">
              <w:rPr>
                <w:szCs w:val="22"/>
              </w:rPr>
              <w:noBreakHyphen/>
              <w:t>ra</w:t>
            </w:r>
            <w:r w:rsidR="00F523EA" w:rsidRPr="00183B5F">
              <w:rPr>
                <w:szCs w:val="22"/>
              </w:rPr>
              <w:t xml:space="preserve"> vagy kéthetente</w:t>
            </w:r>
            <w:r w:rsidR="00203341" w:rsidRPr="00183B5F">
              <w:rPr>
                <w:szCs w:val="22"/>
              </w:rPr>
              <w:t xml:space="preserve"> 80 mg</w:t>
            </w:r>
            <w:r w:rsidR="00E5381A" w:rsidRPr="00183B5F">
              <w:rPr>
                <w:szCs w:val="22"/>
              </w:rPr>
              <w:noBreakHyphen/>
            </w:r>
            <w:r w:rsidR="00203341" w:rsidRPr="00183B5F">
              <w:rPr>
                <w:szCs w:val="22"/>
              </w:rPr>
              <w:t>ra</w:t>
            </w:r>
            <w:r w:rsidRPr="00183B5F">
              <w:rPr>
                <w:szCs w:val="22"/>
              </w:rPr>
              <w:t xml:space="preserve"> emelheti az adag</w:t>
            </w:r>
            <w:r w:rsidR="00003A4F" w:rsidRPr="00183B5F">
              <w:rPr>
                <w:szCs w:val="22"/>
              </w:rPr>
              <w:t>ot</w:t>
            </w:r>
          </w:p>
        </w:tc>
      </w:tr>
      <w:tr w:rsidR="00011D2F" w14:paraId="3CF86B2B" w14:textId="77777777" w:rsidTr="00E745E9">
        <w:tc>
          <w:tcPr>
            <w:tcW w:w="3095" w:type="dxa"/>
          </w:tcPr>
          <w:p w14:paraId="3909D124" w14:textId="77777777" w:rsidR="00713AC9" w:rsidRPr="00183B5F" w:rsidRDefault="00943743" w:rsidP="00E745E9">
            <w:pPr>
              <w:numPr>
                <w:ilvl w:val="12"/>
                <w:numId w:val="0"/>
              </w:numPr>
              <w:spacing w:line="240" w:lineRule="auto"/>
              <w:ind w:right="-2"/>
            </w:pPr>
            <w:r w:rsidRPr="00183B5F">
              <w:t>6</w:t>
            </w:r>
            <w:r w:rsidRPr="00183B5F">
              <w:noBreakHyphen/>
              <w:t>17 év közötti, 40 kg</w:t>
            </w:r>
            <w:r w:rsidRPr="00183B5F">
              <w:noBreakHyphen/>
              <w:t>nál kisebb testtömegű gyermekek vagy serdülők</w:t>
            </w:r>
          </w:p>
        </w:tc>
        <w:tc>
          <w:tcPr>
            <w:tcW w:w="3096" w:type="dxa"/>
          </w:tcPr>
          <w:p w14:paraId="48A9200A" w14:textId="77777777" w:rsidR="00713AC9" w:rsidRPr="00183B5F" w:rsidRDefault="00943743" w:rsidP="00E745E9">
            <w:pPr>
              <w:spacing w:line="240" w:lineRule="auto"/>
            </w:pPr>
            <w:r w:rsidRPr="00183B5F">
              <w:t xml:space="preserve">A kezdő adag 40 mg, melyet két héttel később 20 mg követ. </w:t>
            </w:r>
          </w:p>
          <w:p w14:paraId="1B3F0C95" w14:textId="77777777" w:rsidR="00713AC9" w:rsidRPr="00183B5F" w:rsidRDefault="00713AC9" w:rsidP="00E745E9">
            <w:pPr>
              <w:numPr>
                <w:ilvl w:val="12"/>
                <w:numId w:val="0"/>
              </w:numPr>
              <w:spacing w:line="240" w:lineRule="auto"/>
              <w:ind w:right="-2"/>
              <w:rPr>
                <w:szCs w:val="22"/>
              </w:rPr>
            </w:pPr>
          </w:p>
          <w:p w14:paraId="5CD267A6" w14:textId="77777777" w:rsidR="00713AC9" w:rsidRPr="00183B5F" w:rsidRDefault="00943743" w:rsidP="00E745E9">
            <w:pPr>
              <w:numPr>
                <w:ilvl w:val="12"/>
                <w:numId w:val="0"/>
              </w:numPr>
              <w:spacing w:line="240" w:lineRule="auto"/>
              <w:ind w:right="-2"/>
              <w:rPr>
                <w:szCs w:val="22"/>
              </w:rPr>
            </w:pPr>
            <w:r w:rsidRPr="00183B5F">
              <w:rPr>
                <w:szCs w:val="22"/>
              </w:rPr>
              <w:t>Ha gyorsabb hatásra van szükség, a kezelőorvos rendelhet 80 mg</w:t>
            </w:r>
            <w:r w:rsidRPr="00183B5F">
              <w:rPr>
                <w:szCs w:val="22"/>
              </w:rPr>
              <w:noBreakHyphen/>
              <w:t>os kezdő adagot (két 40 mg</w:t>
            </w:r>
            <w:r w:rsidRPr="00183B5F">
              <w:rPr>
                <w:szCs w:val="22"/>
              </w:rPr>
              <w:noBreakHyphen/>
              <w:t>os injekció egyetlen napon), melyet 2 héttel később 40 mg követ.</w:t>
            </w:r>
          </w:p>
          <w:p w14:paraId="0EDF3C00" w14:textId="77777777" w:rsidR="00713AC9" w:rsidRPr="00183B5F" w:rsidRDefault="00713AC9" w:rsidP="00E745E9">
            <w:pPr>
              <w:spacing w:line="240" w:lineRule="auto"/>
              <w:rPr>
                <w:szCs w:val="22"/>
              </w:rPr>
            </w:pPr>
          </w:p>
          <w:p w14:paraId="250D86AC" w14:textId="77777777" w:rsidR="00713AC9" w:rsidRPr="00183B5F" w:rsidRDefault="00943743" w:rsidP="00E745E9">
            <w:pPr>
              <w:spacing w:line="240" w:lineRule="auto"/>
            </w:pPr>
            <w:r w:rsidRPr="00183B5F">
              <w:rPr>
                <w:szCs w:val="22"/>
              </w:rPr>
              <w:t>Ezután a szokásos adag kéthetente 20 mg.</w:t>
            </w:r>
          </w:p>
        </w:tc>
        <w:tc>
          <w:tcPr>
            <w:tcW w:w="3096" w:type="dxa"/>
          </w:tcPr>
          <w:p w14:paraId="12F43094" w14:textId="77777777" w:rsidR="00713AC9" w:rsidRPr="00183B5F" w:rsidRDefault="00943743" w:rsidP="00E745E9">
            <w:pPr>
              <w:numPr>
                <w:ilvl w:val="12"/>
                <w:numId w:val="0"/>
              </w:numPr>
              <w:spacing w:line="240" w:lineRule="auto"/>
              <w:ind w:right="-2"/>
            </w:pPr>
            <w:r w:rsidRPr="00183B5F">
              <w:rPr>
                <w:szCs w:val="22"/>
              </w:rPr>
              <w:t>Kezelőorvosa heti 20 mg</w:t>
            </w:r>
            <w:r w:rsidRPr="00183B5F">
              <w:rPr>
                <w:szCs w:val="22"/>
              </w:rPr>
              <w:noBreakHyphen/>
              <w:t>ra emelheti az adagolás gyakoriságát</w:t>
            </w:r>
            <w:r w:rsidRPr="00183B5F">
              <w:t>.</w:t>
            </w:r>
          </w:p>
        </w:tc>
      </w:tr>
    </w:tbl>
    <w:p w14:paraId="21341C73" w14:textId="77777777" w:rsidR="00713AC9" w:rsidRPr="00183B5F" w:rsidRDefault="00713AC9" w:rsidP="00713AC9">
      <w:pPr>
        <w:numPr>
          <w:ilvl w:val="12"/>
          <w:numId w:val="0"/>
        </w:numPr>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3036"/>
        <w:gridCol w:w="3023"/>
      </w:tblGrid>
      <w:tr w:rsidR="00011D2F" w14:paraId="59BDA7F8" w14:textId="77777777" w:rsidTr="006242C8">
        <w:tc>
          <w:tcPr>
            <w:tcW w:w="9061" w:type="dxa"/>
            <w:gridSpan w:val="3"/>
          </w:tcPr>
          <w:p w14:paraId="67343AB9" w14:textId="77777777" w:rsidR="00713AC9" w:rsidRPr="00183B5F" w:rsidRDefault="00943743" w:rsidP="00E745E9">
            <w:pPr>
              <w:numPr>
                <w:ilvl w:val="12"/>
                <w:numId w:val="0"/>
              </w:numPr>
              <w:spacing w:line="240" w:lineRule="auto"/>
              <w:ind w:right="-2"/>
              <w:rPr>
                <w:b/>
              </w:rPr>
            </w:pPr>
            <w:r w:rsidRPr="00183B5F">
              <w:rPr>
                <w:b/>
                <w:szCs w:val="22"/>
              </w:rPr>
              <w:t>Kolitisz ulceróza</w:t>
            </w:r>
          </w:p>
        </w:tc>
      </w:tr>
      <w:tr w:rsidR="00011D2F" w14:paraId="7B90B0F5" w14:textId="77777777" w:rsidTr="006242C8">
        <w:tc>
          <w:tcPr>
            <w:tcW w:w="3002" w:type="dxa"/>
          </w:tcPr>
          <w:p w14:paraId="5BE1A9FC" w14:textId="77777777" w:rsidR="00713AC9" w:rsidRPr="00183B5F" w:rsidRDefault="00943743" w:rsidP="00E745E9">
            <w:pPr>
              <w:numPr>
                <w:ilvl w:val="12"/>
                <w:numId w:val="0"/>
              </w:numPr>
              <w:spacing w:line="240" w:lineRule="auto"/>
              <w:ind w:right="-2"/>
            </w:pPr>
            <w:r w:rsidRPr="00183B5F">
              <w:rPr>
                <w:b/>
              </w:rPr>
              <w:t>Kor vagy testtömeg</w:t>
            </w:r>
          </w:p>
        </w:tc>
        <w:tc>
          <w:tcPr>
            <w:tcW w:w="3036" w:type="dxa"/>
          </w:tcPr>
          <w:p w14:paraId="7B432107" w14:textId="77777777" w:rsidR="00713AC9" w:rsidRPr="00183B5F" w:rsidRDefault="00943743" w:rsidP="00E745E9">
            <w:pPr>
              <w:numPr>
                <w:ilvl w:val="12"/>
                <w:numId w:val="0"/>
              </w:numPr>
              <w:spacing w:line="240" w:lineRule="auto"/>
              <w:ind w:right="-2"/>
            </w:pPr>
            <w:r w:rsidRPr="00183B5F">
              <w:rPr>
                <w:b/>
              </w:rPr>
              <w:t>Milyen adagot és milyen gyakran kell alkalmazni?</w:t>
            </w:r>
          </w:p>
        </w:tc>
        <w:tc>
          <w:tcPr>
            <w:tcW w:w="3023" w:type="dxa"/>
          </w:tcPr>
          <w:p w14:paraId="59570CBE" w14:textId="77777777" w:rsidR="00713AC9" w:rsidRPr="00183B5F" w:rsidRDefault="00943743" w:rsidP="00E745E9">
            <w:pPr>
              <w:numPr>
                <w:ilvl w:val="12"/>
                <w:numId w:val="0"/>
              </w:numPr>
              <w:spacing w:line="240" w:lineRule="auto"/>
              <w:ind w:right="-2"/>
            </w:pPr>
            <w:r w:rsidRPr="00183B5F">
              <w:rPr>
                <w:b/>
              </w:rPr>
              <w:t>Megjegyzések</w:t>
            </w:r>
          </w:p>
        </w:tc>
      </w:tr>
      <w:tr w:rsidR="00011D2F" w14:paraId="4A1E2764" w14:textId="77777777" w:rsidTr="006242C8">
        <w:tc>
          <w:tcPr>
            <w:tcW w:w="3002" w:type="dxa"/>
          </w:tcPr>
          <w:p w14:paraId="78E1A255" w14:textId="77777777" w:rsidR="00713AC9" w:rsidRPr="00183B5F" w:rsidRDefault="00943743" w:rsidP="00E745E9">
            <w:pPr>
              <w:numPr>
                <w:ilvl w:val="12"/>
                <w:numId w:val="0"/>
              </w:numPr>
              <w:spacing w:line="240" w:lineRule="auto"/>
              <w:ind w:right="-2"/>
            </w:pPr>
            <w:r w:rsidRPr="00183B5F">
              <w:t>Felnőttek</w:t>
            </w:r>
          </w:p>
        </w:tc>
        <w:tc>
          <w:tcPr>
            <w:tcW w:w="3036" w:type="dxa"/>
          </w:tcPr>
          <w:p w14:paraId="031D967C" w14:textId="77777777" w:rsidR="00713AC9" w:rsidRPr="00183B5F" w:rsidRDefault="00943743" w:rsidP="00E745E9">
            <w:pPr>
              <w:numPr>
                <w:ilvl w:val="12"/>
                <w:numId w:val="0"/>
              </w:numPr>
              <w:spacing w:line="240" w:lineRule="auto"/>
              <w:rPr>
                <w:szCs w:val="22"/>
              </w:rPr>
            </w:pPr>
            <w:r w:rsidRPr="00183B5F">
              <w:rPr>
                <w:szCs w:val="22"/>
              </w:rPr>
              <w:t>A kezdő adag 160 mg (négy 40 mg</w:t>
            </w:r>
            <w:r w:rsidRPr="00183B5F">
              <w:rPr>
                <w:szCs w:val="22"/>
              </w:rPr>
              <w:noBreakHyphen/>
              <w:t>os injekció egyetlen napon, vagy napi két 40 mg</w:t>
            </w:r>
            <w:r w:rsidRPr="00183B5F">
              <w:rPr>
                <w:szCs w:val="22"/>
              </w:rPr>
              <w:noBreakHyphen/>
            </w:r>
            <w:r w:rsidRPr="00183B5F">
              <w:rPr>
                <w:szCs w:val="22"/>
              </w:rPr>
              <w:t>os injekció két egymást követő napon), melyet 2 héttel később 80 mg követ (két 40 mg</w:t>
            </w:r>
            <w:r w:rsidRPr="00183B5F">
              <w:rPr>
                <w:szCs w:val="22"/>
              </w:rPr>
              <w:noBreakHyphen/>
              <w:t xml:space="preserve">os injekció egyetlen napon). </w:t>
            </w:r>
          </w:p>
          <w:p w14:paraId="2122D36A" w14:textId="77777777" w:rsidR="00713AC9" w:rsidRPr="00183B5F" w:rsidRDefault="00713AC9" w:rsidP="00E745E9">
            <w:pPr>
              <w:numPr>
                <w:ilvl w:val="12"/>
                <w:numId w:val="0"/>
              </w:numPr>
              <w:spacing w:line="240" w:lineRule="auto"/>
              <w:rPr>
                <w:szCs w:val="22"/>
              </w:rPr>
            </w:pPr>
          </w:p>
          <w:p w14:paraId="50153E1C" w14:textId="77777777" w:rsidR="00713AC9" w:rsidRPr="00183B5F" w:rsidRDefault="00943743" w:rsidP="00E745E9">
            <w:pPr>
              <w:numPr>
                <w:ilvl w:val="12"/>
                <w:numId w:val="0"/>
              </w:numPr>
              <w:spacing w:line="240" w:lineRule="auto"/>
            </w:pPr>
            <w:r w:rsidRPr="00183B5F">
              <w:rPr>
                <w:szCs w:val="22"/>
              </w:rPr>
              <w:t>Ezután a szokásos adag kéthetente 40 mg.</w:t>
            </w:r>
            <w:r w:rsidRPr="00183B5F">
              <w:t xml:space="preserve"> </w:t>
            </w:r>
          </w:p>
        </w:tc>
        <w:tc>
          <w:tcPr>
            <w:tcW w:w="3023" w:type="dxa"/>
          </w:tcPr>
          <w:p w14:paraId="59FC9648" w14:textId="77777777" w:rsidR="00713AC9" w:rsidRPr="00183B5F" w:rsidRDefault="00943743">
            <w:pPr>
              <w:numPr>
                <w:ilvl w:val="12"/>
                <w:numId w:val="0"/>
              </w:numPr>
              <w:spacing w:line="240" w:lineRule="auto"/>
              <w:ind w:right="-2"/>
            </w:pPr>
            <w:r w:rsidRPr="00183B5F">
              <w:rPr>
                <w:szCs w:val="22"/>
              </w:rPr>
              <w:t>Kezelőorvosa heti 40 mg</w:t>
            </w:r>
            <w:r w:rsidRPr="00183B5F">
              <w:rPr>
                <w:szCs w:val="22"/>
              </w:rPr>
              <w:noBreakHyphen/>
              <w:t>ra</w:t>
            </w:r>
            <w:r w:rsidR="00F523EA" w:rsidRPr="00183B5F">
              <w:rPr>
                <w:szCs w:val="22"/>
              </w:rPr>
              <w:t xml:space="preserve"> vagy kéthetente</w:t>
            </w:r>
            <w:r w:rsidR="00203341" w:rsidRPr="00183B5F">
              <w:rPr>
                <w:szCs w:val="22"/>
              </w:rPr>
              <w:t xml:space="preserve"> 80 mg</w:t>
            </w:r>
            <w:r w:rsidR="00203341" w:rsidRPr="00183B5F">
              <w:rPr>
                <w:szCs w:val="22"/>
              </w:rPr>
              <w:noBreakHyphen/>
              <w:t>ra</w:t>
            </w:r>
            <w:r w:rsidRPr="00183B5F">
              <w:rPr>
                <w:szCs w:val="22"/>
              </w:rPr>
              <w:t xml:space="preserve"> emelheti az adag</w:t>
            </w:r>
            <w:r w:rsidR="006E6466" w:rsidRPr="00183B5F">
              <w:rPr>
                <w:szCs w:val="22"/>
              </w:rPr>
              <w:t>ot</w:t>
            </w:r>
            <w:r w:rsidR="00203341" w:rsidRPr="00183B5F">
              <w:rPr>
                <w:szCs w:val="22"/>
              </w:rPr>
              <w:t>.</w:t>
            </w:r>
          </w:p>
        </w:tc>
      </w:tr>
      <w:tr w:rsidR="00011D2F" w14:paraId="1E2591B4" w14:textId="77777777" w:rsidTr="006242C8">
        <w:tc>
          <w:tcPr>
            <w:tcW w:w="3002" w:type="dxa"/>
            <w:tcBorders>
              <w:top w:val="single" w:sz="4" w:space="0" w:color="auto"/>
              <w:left w:val="single" w:sz="4" w:space="0" w:color="auto"/>
              <w:bottom w:val="single" w:sz="4" w:space="0" w:color="auto"/>
              <w:right w:val="single" w:sz="4" w:space="0" w:color="auto"/>
            </w:tcBorders>
          </w:tcPr>
          <w:p w14:paraId="01D9FC00" w14:textId="77777777" w:rsidR="006242C8" w:rsidRPr="00183B5F" w:rsidRDefault="00943743" w:rsidP="006242C8">
            <w:pPr>
              <w:numPr>
                <w:ilvl w:val="12"/>
                <w:numId w:val="0"/>
              </w:numPr>
              <w:spacing w:line="240" w:lineRule="auto"/>
              <w:ind w:right="-2"/>
            </w:pPr>
            <w:bookmarkStart w:id="13983" w:name="_Hlk53391674"/>
            <w:r w:rsidRPr="00183B5F">
              <w:t>6 éves kor feletti, 40 kg</w:t>
            </w:r>
            <w:r w:rsidRPr="00183B5F">
              <w:noBreakHyphen/>
              <w:t>nál kisebb testtömegű gyermekek és serdülők</w:t>
            </w:r>
          </w:p>
        </w:tc>
        <w:tc>
          <w:tcPr>
            <w:tcW w:w="3036" w:type="dxa"/>
            <w:tcBorders>
              <w:top w:val="single" w:sz="4" w:space="0" w:color="auto"/>
              <w:left w:val="single" w:sz="4" w:space="0" w:color="auto"/>
              <w:bottom w:val="single" w:sz="4" w:space="0" w:color="auto"/>
              <w:right w:val="single" w:sz="4" w:space="0" w:color="auto"/>
            </w:tcBorders>
          </w:tcPr>
          <w:p w14:paraId="22A54938" w14:textId="77777777" w:rsidR="006242C8" w:rsidRPr="00183B5F" w:rsidRDefault="00943743" w:rsidP="006242C8">
            <w:pPr>
              <w:numPr>
                <w:ilvl w:val="12"/>
                <w:numId w:val="0"/>
              </w:numPr>
              <w:spacing w:line="240" w:lineRule="auto"/>
              <w:rPr>
                <w:szCs w:val="22"/>
              </w:rPr>
            </w:pPr>
            <w:r w:rsidRPr="00183B5F">
              <w:rPr>
                <w:szCs w:val="22"/>
              </w:rPr>
              <w:t>A kezdő adag 80 mg (két 40 mg-os injekció formájában egyetlen napon), melyet két héttel később 40 mg (egy 40 mg-os injekció formájában) követ.</w:t>
            </w:r>
          </w:p>
          <w:p w14:paraId="39F6AC2F" w14:textId="77777777" w:rsidR="006242C8" w:rsidRPr="00183B5F" w:rsidRDefault="006242C8" w:rsidP="006242C8">
            <w:pPr>
              <w:numPr>
                <w:ilvl w:val="12"/>
                <w:numId w:val="0"/>
              </w:numPr>
              <w:spacing w:line="240" w:lineRule="auto"/>
              <w:rPr>
                <w:szCs w:val="22"/>
              </w:rPr>
            </w:pPr>
          </w:p>
          <w:p w14:paraId="47385274" w14:textId="77777777" w:rsidR="006242C8" w:rsidRPr="00183B5F" w:rsidRDefault="00943743" w:rsidP="006242C8">
            <w:pPr>
              <w:numPr>
                <w:ilvl w:val="12"/>
                <w:numId w:val="0"/>
              </w:numPr>
              <w:spacing w:line="240" w:lineRule="auto"/>
              <w:rPr>
                <w:szCs w:val="22"/>
              </w:rPr>
            </w:pPr>
            <w:r w:rsidRPr="00183B5F">
              <w:rPr>
                <w:szCs w:val="22"/>
              </w:rPr>
              <w:t>Ezt követően a szokásos adag 40 mg kéthetente.</w:t>
            </w:r>
          </w:p>
        </w:tc>
        <w:tc>
          <w:tcPr>
            <w:tcW w:w="3023" w:type="dxa"/>
            <w:tcBorders>
              <w:top w:val="single" w:sz="4" w:space="0" w:color="auto"/>
              <w:left w:val="single" w:sz="4" w:space="0" w:color="auto"/>
              <w:bottom w:val="single" w:sz="4" w:space="0" w:color="auto"/>
              <w:right w:val="single" w:sz="4" w:space="0" w:color="auto"/>
            </w:tcBorders>
          </w:tcPr>
          <w:p w14:paraId="56BFFBA3" w14:textId="77777777" w:rsidR="006242C8" w:rsidRPr="00183B5F" w:rsidRDefault="00943743" w:rsidP="006242C8">
            <w:pPr>
              <w:numPr>
                <w:ilvl w:val="12"/>
                <w:numId w:val="0"/>
              </w:numPr>
              <w:spacing w:line="240" w:lineRule="auto"/>
              <w:ind w:right="-2"/>
              <w:rPr>
                <w:szCs w:val="22"/>
              </w:rPr>
            </w:pPr>
            <w:r w:rsidRPr="00183B5F">
              <w:rPr>
                <w:szCs w:val="22"/>
              </w:rPr>
              <w:t>A Humira alkalmazását a szokásos adagban kell folytatnia, a 18 éves kor betöltése után is.</w:t>
            </w:r>
          </w:p>
        </w:tc>
      </w:tr>
      <w:tr w:rsidR="00011D2F" w14:paraId="61DC527F" w14:textId="77777777" w:rsidTr="006242C8">
        <w:tc>
          <w:tcPr>
            <w:tcW w:w="3002" w:type="dxa"/>
            <w:tcBorders>
              <w:top w:val="single" w:sz="4" w:space="0" w:color="auto"/>
              <w:left w:val="single" w:sz="4" w:space="0" w:color="auto"/>
              <w:bottom w:val="single" w:sz="4" w:space="0" w:color="auto"/>
              <w:right w:val="single" w:sz="4" w:space="0" w:color="auto"/>
            </w:tcBorders>
          </w:tcPr>
          <w:p w14:paraId="2253790A" w14:textId="77777777" w:rsidR="006242C8" w:rsidRPr="00183B5F" w:rsidRDefault="00943743" w:rsidP="006242C8">
            <w:pPr>
              <w:numPr>
                <w:ilvl w:val="12"/>
                <w:numId w:val="0"/>
              </w:numPr>
              <w:spacing w:line="240" w:lineRule="auto"/>
              <w:ind w:right="-2"/>
            </w:pPr>
            <w:r w:rsidRPr="00183B5F">
              <w:t>6 éves kor feletti, 40 kg</w:t>
            </w:r>
            <w:r w:rsidRPr="00183B5F">
              <w:noBreakHyphen/>
              <w:t>os vagy annál nagyobb testtömegű gyermekek és serdülők</w:t>
            </w:r>
          </w:p>
        </w:tc>
        <w:tc>
          <w:tcPr>
            <w:tcW w:w="3036" w:type="dxa"/>
            <w:tcBorders>
              <w:top w:val="single" w:sz="4" w:space="0" w:color="auto"/>
              <w:left w:val="single" w:sz="4" w:space="0" w:color="auto"/>
              <w:bottom w:val="single" w:sz="4" w:space="0" w:color="auto"/>
              <w:right w:val="single" w:sz="4" w:space="0" w:color="auto"/>
            </w:tcBorders>
          </w:tcPr>
          <w:p w14:paraId="77573585" w14:textId="77777777" w:rsidR="006242C8" w:rsidRPr="00183B5F" w:rsidRDefault="00943743" w:rsidP="006242C8">
            <w:pPr>
              <w:numPr>
                <w:ilvl w:val="12"/>
                <w:numId w:val="0"/>
              </w:numPr>
              <w:spacing w:line="240" w:lineRule="auto"/>
              <w:rPr>
                <w:szCs w:val="22"/>
              </w:rPr>
            </w:pPr>
            <w:r w:rsidRPr="00183B5F">
              <w:rPr>
                <w:szCs w:val="22"/>
              </w:rPr>
              <w:t>A kezdő adag 160 mg (négy 40 mg-os injekció egyetlen napon vagy két 40 mg-os injekció két egymást követő napon), majd két hét múlva 80 mg (két 40 mg-os injekció egyetlen napon).</w:t>
            </w:r>
          </w:p>
          <w:p w14:paraId="67AD14B1" w14:textId="77777777" w:rsidR="006242C8" w:rsidRPr="00183B5F" w:rsidRDefault="006242C8" w:rsidP="006242C8">
            <w:pPr>
              <w:numPr>
                <w:ilvl w:val="12"/>
                <w:numId w:val="0"/>
              </w:numPr>
              <w:spacing w:line="240" w:lineRule="auto"/>
              <w:rPr>
                <w:szCs w:val="22"/>
              </w:rPr>
            </w:pPr>
          </w:p>
          <w:p w14:paraId="75FFC15C" w14:textId="77777777" w:rsidR="006242C8" w:rsidRPr="00183B5F" w:rsidRDefault="00943743" w:rsidP="006242C8">
            <w:pPr>
              <w:numPr>
                <w:ilvl w:val="12"/>
                <w:numId w:val="0"/>
              </w:numPr>
              <w:spacing w:line="240" w:lineRule="auto"/>
              <w:rPr>
                <w:szCs w:val="22"/>
              </w:rPr>
            </w:pPr>
            <w:r w:rsidRPr="00183B5F">
              <w:rPr>
                <w:szCs w:val="22"/>
              </w:rPr>
              <w:t>Ezt követően a szokásos adag 80 mg kéthetente.</w:t>
            </w:r>
          </w:p>
        </w:tc>
        <w:tc>
          <w:tcPr>
            <w:tcW w:w="3023" w:type="dxa"/>
            <w:tcBorders>
              <w:top w:val="single" w:sz="4" w:space="0" w:color="auto"/>
              <w:left w:val="single" w:sz="4" w:space="0" w:color="auto"/>
              <w:bottom w:val="single" w:sz="4" w:space="0" w:color="auto"/>
              <w:right w:val="single" w:sz="4" w:space="0" w:color="auto"/>
            </w:tcBorders>
          </w:tcPr>
          <w:p w14:paraId="6FA9D84F" w14:textId="77777777" w:rsidR="006242C8" w:rsidRPr="00183B5F" w:rsidRDefault="00943743" w:rsidP="006242C8">
            <w:pPr>
              <w:numPr>
                <w:ilvl w:val="12"/>
                <w:numId w:val="0"/>
              </w:numPr>
              <w:spacing w:line="240" w:lineRule="auto"/>
              <w:ind w:right="-2"/>
              <w:rPr>
                <w:szCs w:val="22"/>
              </w:rPr>
            </w:pPr>
            <w:r w:rsidRPr="00183B5F">
              <w:rPr>
                <w:szCs w:val="22"/>
              </w:rPr>
              <w:t>A Humira alkalmazását a szokásos adagban kell folytatnia, a 18 éves kor betöltése után is.</w:t>
            </w:r>
          </w:p>
        </w:tc>
      </w:tr>
      <w:bookmarkEnd w:id="13983"/>
    </w:tbl>
    <w:p w14:paraId="5C55BF75" w14:textId="77777777" w:rsidR="00713AC9" w:rsidRPr="00183B5F" w:rsidRDefault="00713AC9" w:rsidP="00713AC9">
      <w:pPr>
        <w:spacing w:line="240" w:lineRule="auto"/>
        <w:ind w:right="-2"/>
        <w:rPr>
          <w:szCs w:val="22"/>
        </w:rPr>
      </w:pPr>
    </w:p>
    <w:p w14:paraId="609EC5DE" w14:textId="77777777" w:rsidR="006242C8" w:rsidRPr="00183B5F" w:rsidRDefault="006242C8" w:rsidP="00713AC9">
      <w:pPr>
        <w:spacing w:line="240" w:lineRule="auto"/>
        <w:ind w:right="-2"/>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9"/>
        <w:gridCol w:w="3017"/>
        <w:gridCol w:w="3035"/>
      </w:tblGrid>
      <w:tr w:rsidR="00011D2F" w14:paraId="62C45C33" w14:textId="77777777" w:rsidTr="00E745E9">
        <w:tc>
          <w:tcPr>
            <w:tcW w:w="9287" w:type="dxa"/>
            <w:gridSpan w:val="3"/>
          </w:tcPr>
          <w:p w14:paraId="4619B1BC" w14:textId="77777777" w:rsidR="00713AC9" w:rsidRPr="00183B5F" w:rsidRDefault="00943743" w:rsidP="00E745E9">
            <w:pPr>
              <w:keepNext/>
              <w:numPr>
                <w:ilvl w:val="12"/>
                <w:numId w:val="0"/>
              </w:numPr>
              <w:tabs>
                <w:tab w:val="left" w:pos="4950"/>
              </w:tabs>
              <w:spacing w:line="240" w:lineRule="auto"/>
              <w:ind w:right="-2"/>
              <w:rPr>
                <w:b/>
              </w:rPr>
            </w:pPr>
            <w:r w:rsidRPr="00183B5F">
              <w:rPr>
                <w:b/>
                <w:szCs w:val="22"/>
              </w:rPr>
              <w:t>Nem fertőzéses eredetű szemgyulladás (uveitisz)</w:t>
            </w:r>
            <w:r w:rsidRPr="00183B5F">
              <w:rPr>
                <w:b/>
                <w:szCs w:val="22"/>
              </w:rPr>
              <w:tab/>
            </w:r>
          </w:p>
        </w:tc>
      </w:tr>
      <w:tr w:rsidR="00011D2F" w14:paraId="1FF50EEC" w14:textId="77777777" w:rsidTr="00E745E9">
        <w:tc>
          <w:tcPr>
            <w:tcW w:w="3095" w:type="dxa"/>
          </w:tcPr>
          <w:p w14:paraId="221207BE" w14:textId="77777777" w:rsidR="00713AC9" w:rsidRPr="00183B5F" w:rsidRDefault="00943743" w:rsidP="00E745E9">
            <w:pPr>
              <w:numPr>
                <w:ilvl w:val="12"/>
                <w:numId w:val="0"/>
              </w:numPr>
              <w:spacing w:line="240" w:lineRule="auto"/>
              <w:ind w:right="-2"/>
            </w:pPr>
            <w:r w:rsidRPr="00183B5F">
              <w:rPr>
                <w:b/>
              </w:rPr>
              <w:t>Kor vagy testtömeg</w:t>
            </w:r>
          </w:p>
        </w:tc>
        <w:tc>
          <w:tcPr>
            <w:tcW w:w="3096" w:type="dxa"/>
          </w:tcPr>
          <w:p w14:paraId="28BFB720" w14:textId="77777777" w:rsidR="00713AC9" w:rsidRPr="00183B5F" w:rsidRDefault="00943743" w:rsidP="00E745E9">
            <w:pPr>
              <w:keepNext/>
              <w:tabs>
                <w:tab w:val="left" w:pos="0"/>
              </w:tabs>
              <w:spacing w:line="240" w:lineRule="auto"/>
            </w:pPr>
            <w:r w:rsidRPr="00183B5F">
              <w:rPr>
                <w:b/>
                <w:szCs w:val="22"/>
              </w:rPr>
              <w:t>Milyen adagot és milyen gyakran kell alkalmazni?</w:t>
            </w:r>
          </w:p>
        </w:tc>
        <w:tc>
          <w:tcPr>
            <w:tcW w:w="3096" w:type="dxa"/>
          </w:tcPr>
          <w:p w14:paraId="5DE11BD1" w14:textId="77777777" w:rsidR="00713AC9" w:rsidRPr="00183B5F" w:rsidRDefault="00943743" w:rsidP="00E745E9">
            <w:pPr>
              <w:keepNext/>
              <w:numPr>
                <w:ilvl w:val="12"/>
                <w:numId w:val="0"/>
              </w:numPr>
              <w:spacing w:line="240" w:lineRule="auto"/>
            </w:pPr>
            <w:r w:rsidRPr="00183B5F">
              <w:rPr>
                <w:b/>
                <w:szCs w:val="22"/>
              </w:rPr>
              <w:t>Megjegyzések</w:t>
            </w:r>
          </w:p>
        </w:tc>
      </w:tr>
      <w:tr w:rsidR="00011D2F" w14:paraId="59BC32F9" w14:textId="77777777" w:rsidTr="00E745E9">
        <w:tc>
          <w:tcPr>
            <w:tcW w:w="3095" w:type="dxa"/>
          </w:tcPr>
          <w:p w14:paraId="174A4017" w14:textId="77777777" w:rsidR="00713AC9" w:rsidRPr="00183B5F" w:rsidRDefault="00943743" w:rsidP="00E745E9">
            <w:pPr>
              <w:numPr>
                <w:ilvl w:val="12"/>
                <w:numId w:val="0"/>
              </w:numPr>
              <w:spacing w:line="240" w:lineRule="auto"/>
              <w:ind w:right="-2"/>
            </w:pPr>
            <w:r w:rsidRPr="00183B5F">
              <w:t>Felnőttek</w:t>
            </w:r>
          </w:p>
        </w:tc>
        <w:tc>
          <w:tcPr>
            <w:tcW w:w="3096" w:type="dxa"/>
          </w:tcPr>
          <w:p w14:paraId="1689695B" w14:textId="77777777" w:rsidR="00713AC9" w:rsidRPr="00183B5F" w:rsidRDefault="00943743" w:rsidP="00E745E9">
            <w:pPr>
              <w:keepNext/>
              <w:tabs>
                <w:tab w:val="left" w:pos="0"/>
              </w:tabs>
              <w:spacing w:line="240" w:lineRule="auto"/>
            </w:pPr>
            <w:r w:rsidRPr="00183B5F">
              <w:t>A kezdő adag 80 mg (két 40 mg</w:t>
            </w:r>
            <w:r w:rsidRPr="00183B5F">
              <w:noBreakHyphen/>
              <w:t>os injekció egyetlen napon), melyet egy</w:t>
            </w:r>
            <w:r w:rsidRPr="00183B5F">
              <w:rPr>
                <w:szCs w:val="22"/>
              </w:rPr>
              <w:t xml:space="preserve"> héttel később minden második héten adott 40 mg követ.</w:t>
            </w:r>
          </w:p>
        </w:tc>
        <w:tc>
          <w:tcPr>
            <w:tcW w:w="3096" w:type="dxa"/>
          </w:tcPr>
          <w:p w14:paraId="309B87F9" w14:textId="77777777" w:rsidR="00713AC9" w:rsidRPr="00183B5F" w:rsidRDefault="00943743" w:rsidP="00E745E9">
            <w:pPr>
              <w:keepNext/>
              <w:tabs>
                <w:tab w:val="left" w:pos="0"/>
              </w:tabs>
              <w:spacing w:line="240" w:lineRule="auto"/>
              <w:ind w:right="-2"/>
              <w:rPr>
                <w:szCs w:val="22"/>
              </w:rPr>
            </w:pPr>
            <w:r w:rsidRPr="00183B5F">
              <w:rPr>
                <w:szCs w:val="22"/>
              </w:rPr>
              <w:t>A Humira alkalmazásával egyidejűleg kortikoszteroidok vagy egyéb, az immunrendszer működését befolyásoló gyógyszerek alkalmazása folytatható. A Humira önmagában is alkalmazható.</w:t>
            </w:r>
          </w:p>
        </w:tc>
      </w:tr>
      <w:tr w:rsidR="00011D2F" w14:paraId="3E73514E" w14:textId="77777777" w:rsidTr="00E745E9">
        <w:tc>
          <w:tcPr>
            <w:tcW w:w="3095" w:type="dxa"/>
          </w:tcPr>
          <w:p w14:paraId="23FC5A4B" w14:textId="77777777" w:rsidR="00713AC9" w:rsidRPr="00183B5F" w:rsidRDefault="00943743" w:rsidP="00E745E9">
            <w:pPr>
              <w:numPr>
                <w:ilvl w:val="12"/>
                <w:numId w:val="0"/>
              </w:numPr>
              <w:spacing w:line="240" w:lineRule="auto"/>
              <w:ind w:right="-2"/>
            </w:pPr>
            <w:r w:rsidRPr="00183B5F">
              <w:t>2 éves kor feletti, 30 kg</w:t>
            </w:r>
            <w:r w:rsidRPr="00183B5F">
              <w:noBreakHyphen/>
              <w:t>nál kisebb testtömegű gyermekek és serdülők</w:t>
            </w:r>
          </w:p>
        </w:tc>
        <w:tc>
          <w:tcPr>
            <w:tcW w:w="3096" w:type="dxa"/>
          </w:tcPr>
          <w:p w14:paraId="2320AEF0" w14:textId="77777777" w:rsidR="00713AC9" w:rsidRPr="00183B5F" w:rsidRDefault="00943743" w:rsidP="00E745E9">
            <w:pPr>
              <w:keepNext/>
              <w:tabs>
                <w:tab w:val="left" w:pos="0"/>
              </w:tabs>
              <w:spacing w:line="240" w:lineRule="auto"/>
            </w:pPr>
            <w:r w:rsidRPr="00183B5F">
              <w:t>20 mg minden második héten</w:t>
            </w:r>
          </w:p>
        </w:tc>
        <w:tc>
          <w:tcPr>
            <w:tcW w:w="3096" w:type="dxa"/>
          </w:tcPr>
          <w:p w14:paraId="37E3EFCD" w14:textId="77777777" w:rsidR="00713AC9" w:rsidRPr="00183B5F" w:rsidRDefault="00943743" w:rsidP="00E745E9">
            <w:pPr>
              <w:keepNext/>
              <w:tabs>
                <w:tab w:val="left" w:pos="0"/>
              </w:tabs>
              <w:spacing w:line="240" w:lineRule="auto"/>
              <w:ind w:right="-2"/>
              <w:rPr>
                <w:szCs w:val="22"/>
              </w:rPr>
            </w:pPr>
            <w:r w:rsidRPr="00183B5F">
              <w:rPr>
                <w:szCs w:val="22"/>
              </w:rPr>
              <w:t>Kezelőorvosa egy 40 mg</w:t>
            </w:r>
            <w:r w:rsidRPr="00183B5F">
              <w:rPr>
                <w:szCs w:val="22"/>
              </w:rPr>
              <w:noBreakHyphen/>
              <w:t>os kezdő dózist is felírhat, melyet egy héttel a szokásos, kéthetente 20 mg</w:t>
            </w:r>
            <w:r w:rsidRPr="00183B5F">
              <w:rPr>
                <w:szCs w:val="22"/>
              </w:rPr>
              <w:noBreakHyphen/>
              <w:t>os adagolás megkezdése előtt kell beadni. A Humira</w:t>
            </w:r>
            <w:r w:rsidRPr="00183B5F">
              <w:rPr>
                <w:szCs w:val="22"/>
              </w:rPr>
              <w:noBreakHyphen/>
              <w:t>t metotrexáttal kombinálva javasolt alkalmazni.</w:t>
            </w:r>
          </w:p>
        </w:tc>
      </w:tr>
      <w:tr w:rsidR="00011D2F" w14:paraId="728C957C" w14:textId="77777777" w:rsidTr="00E745E9">
        <w:tc>
          <w:tcPr>
            <w:tcW w:w="3095" w:type="dxa"/>
          </w:tcPr>
          <w:p w14:paraId="69030243" w14:textId="77777777" w:rsidR="00713AC9" w:rsidRPr="00183B5F" w:rsidRDefault="00943743" w:rsidP="00E745E9">
            <w:pPr>
              <w:numPr>
                <w:ilvl w:val="12"/>
                <w:numId w:val="0"/>
              </w:numPr>
              <w:spacing w:line="240" w:lineRule="auto"/>
              <w:ind w:right="-2"/>
            </w:pPr>
            <w:r w:rsidRPr="00183B5F">
              <w:t>2 éves kor feletti, legalább 30 kg testtömegű gyermekek és serdülők</w:t>
            </w:r>
          </w:p>
        </w:tc>
        <w:tc>
          <w:tcPr>
            <w:tcW w:w="3096" w:type="dxa"/>
          </w:tcPr>
          <w:p w14:paraId="337AB7E1" w14:textId="77777777" w:rsidR="00713AC9" w:rsidRPr="00183B5F" w:rsidRDefault="00943743" w:rsidP="00E745E9">
            <w:pPr>
              <w:keepNext/>
              <w:tabs>
                <w:tab w:val="left" w:pos="0"/>
              </w:tabs>
              <w:spacing w:line="240" w:lineRule="auto"/>
            </w:pPr>
            <w:r w:rsidRPr="00183B5F">
              <w:t>40 mg minden második héten</w:t>
            </w:r>
          </w:p>
        </w:tc>
        <w:tc>
          <w:tcPr>
            <w:tcW w:w="3096" w:type="dxa"/>
          </w:tcPr>
          <w:p w14:paraId="05ED1007" w14:textId="77777777" w:rsidR="00713AC9" w:rsidRPr="00183B5F" w:rsidRDefault="00943743" w:rsidP="00E745E9">
            <w:pPr>
              <w:keepNext/>
              <w:tabs>
                <w:tab w:val="left" w:pos="0"/>
              </w:tabs>
              <w:spacing w:line="240" w:lineRule="auto"/>
              <w:ind w:right="-2"/>
              <w:rPr>
                <w:szCs w:val="22"/>
              </w:rPr>
            </w:pPr>
            <w:r w:rsidRPr="00183B5F">
              <w:rPr>
                <w:szCs w:val="22"/>
              </w:rPr>
              <w:t>Kezelőorvosa egy 80 mg</w:t>
            </w:r>
            <w:r w:rsidRPr="00183B5F">
              <w:rPr>
                <w:szCs w:val="22"/>
              </w:rPr>
              <w:noBreakHyphen/>
            </w:r>
            <w:r w:rsidRPr="00183B5F">
              <w:rPr>
                <w:szCs w:val="22"/>
              </w:rPr>
              <w:t>os kezdő dózist is felírhat, melyet egy héttel a szokásos, kéthetente 40 mg</w:t>
            </w:r>
            <w:r w:rsidRPr="00183B5F">
              <w:rPr>
                <w:szCs w:val="22"/>
              </w:rPr>
              <w:noBreakHyphen/>
              <w:t>os adagolás megkezdése előtt kell beadni. A Humira</w:t>
            </w:r>
            <w:r w:rsidRPr="00183B5F">
              <w:rPr>
                <w:szCs w:val="22"/>
              </w:rPr>
              <w:noBreakHyphen/>
              <w:t>t metotrexáttal kombinálva javasolt alkalmazni.</w:t>
            </w:r>
          </w:p>
        </w:tc>
      </w:tr>
    </w:tbl>
    <w:p w14:paraId="164FB80D" w14:textId="77777777" w:rsidR="00713AC9" w:rsidRPr="00183B5F" w:rsidRDefault="00713AC9" w:rsidP="00713AC9">
      <w:pPr>
        <w:spacing w:line="240" w:lineRule="auto"/>
        <w:ind w:right="-2"/>
        <w:rPr>
          <w:szCs w:val="22"/>
        </w:rPr>
      </w:pPr>
    </w:p>
    <w:p w14:paraId="0B5483E6" w14:textId="77777777" w:rsidR="00713AC9" w:rsidRPr="00183B5F" w:rsidRDefault="00943743" w:rsidP="00713AC9">
      <w:pPr>
        <w:keepNext/>
        <w:numPr>
          <w:ilvl w:val="12"/>
          <w:numId w:val="0"/>
        </w:numPr>
        <w:spacing w:line="240" w:lineRule="auto"/>
        <w:ind w:right="-2"/>
        <w:rPr>
          <w:b/>
          <w:szCs w:val="22"/>
        </w:rPr>
      </w:pPr>
      <w:r w:rsidRPr="00183B5F">
        <w:rPr>
          <w:b/>
          <w:szCs w:val="22"/>
        </w:rPr>
        <w:t>Az alkalmazással kapcsolatos tudnivalók és az alkalmazás módja</w:t>
      </w:r>
    </w:p>
    <w:p w14:paraId="4454B25F" w14:textId="77777777" w:rsidR="00713AC9" w:rsidRPr="00183B5F" w:rsidRDefault="00713AC9" w:rsidP="00713AC9">
      <w:pPr>
        <w:keepNext/>
        <w:numPr>
          <w:ilvl w:val="12"/>
          <w:numId w:val="0"/>
        </w:numPr>
        <w:spacing w:line="240" w:lineRule="auto"/>
        <w:ind w:right="-2"/>
        <w:rPr>
          <w:szCs w:val="22"/>
        </w:rPr>
      </w:pPr>
    </w:p>
    <w:p w14:paraId="004BB99D" w14:textId="77777777" w:rsidR="00713AC9" w:rsidRPr="00183B5F" w:rsidRDefault="00943743" w:rsidP="00713AC9">
      <w:pPr>
        <w:keepNext/>
        <w:spacing w:line="240" w:lineRule="auto"/>
        <w:ind w:right="-2"/>
        <w:rPr>
          <w:szCs w:val="22"/>
        </w:rPr>
      </w:pPr>
      <w:r w:rsidRPr="00183B5F">
        <w:rPr>
          <w:szCs w:val="22"/>
        </w:rPr>
        <w:t>A Humira</w:t>
      </w:r>
      <w:r w:rsidRPr="00183B5F">
        <w:rPr>
          <w:szCs w:val="22"/>
        </w:rPr>
        <w:noBreakHyphen/>
        <w:t>t a bőr alá (szubkután injekció formájában) kell beadni.</w:t>
      </w:r>
    </w:p>
    <w:p w14:paraId="741C5A01" w14:textId="77777777" w:rsidR="00713AC9" w:rsidRPr="00183B5F" w:rsidRDefault="00713AC9" w:rsidP="00713AC9">
      <w:pPr>
        <w:spacing w:line="240" w:lineRule="auto"/>
        <w:ind w:right="-2"/>
        <w:rPr>
          <w:szCs w:val="22"/>
        </w:rPr>
      </w:pPr>
    </w:p>
    <w:p w14:paraId="7EB5CB60" w14:textId="77777777" w:rsidR="00713AC9" w:rsidRPr="00183B5F" w:rsidRDefault="00943743" w:rsidP="00DA71A8">
      <w:pPr>
        <w:spacing w:line="240" w:lineRule="auto"/>
        <w:ind w:right="-2"/>
        <w:rPr>
          <w:b/>
          <w:szCs w:val="22"/>
        </w:rPr>
      </w:pPr>
      <w:r w:rsidRPr="00183B5F">
        <w:rPr>
          <w:b/>
          <w:szCs w:val="22"/>
        </w:rPr>
        <w:t>A Humira injekció beadásával kapcsolatos részletes útmutatás a „7. </w:t>
      </w:r>
      <w:r w:rsidR="004900E4" w:rsidRPr="00183B5F">
        <w:rPr>
          <w:b/>
          <w:szCs w:val="22"/>
        </w:rPr>
        <w:t>A Humira beadása</w:t>
      </w:r>
      <w:r w:rsidRPr="00183B5F">
        <w:rPr>
          <w:b/>
          <w:szCs w:val="22"/>
        </w:rPr>
        <w:t>” című pontban található.</w:t>
      </w:r>
    </w:p>
    <w:p w14:paraId="1F482993" w14:textId="77777777" w:rsidR="00713AC9" w:rsidRPr="00183B5F" w:rsidRDefault="00713AC9" w:rsidP="00713AC9">
      <w:pPr>
        <w:spacing w:line="240" w:lineRule="auto"/>
        <w:ind w:right="-2"/>
        <w:rPr>
          <w:szCs w:val="22"/>
        </w:rPr>
      </w:pPr>
    </w:p>
    <w:p w14:paraId="2E6F9E15" w14:textId="77777777" w:rsidR="00713AC9" w:rsidRPr="00183B5F" w:rsidRDefault="00943743" w:rsidP="00713AC9">
      <w:pPr>
        <w:keepNext/>
        <w:spacing w:line="240" w:lineRule="auto"/>
        <w:ind w:right="-2"/>
        <w:rPr>
          <w:b/>
          <w:szCs w:val="22"/>
        </w:rPr>
      </w:pPr>
      <w:r w:rsidRPr="00183B5F">
        <w:rPr>
          <w:b/>
          <w:szCs w:val="22"/>
        </w:rPr>
        <w:t xml:space="preserve">Ha az előírtnál több </w:t>
      </w:r>
      <w:r w:rsidRPr="00183B5F">
        <w:rPr>
          <w:b/>
          <w:bCs/>
          <w:szCs w:val="22"/>
        </w:rPr>
        <w:t>Humira</w:t>
      </w:r>
      <w:r w:rsidRPr="00183B5F">
        <w:rPr>
          <w:b/>
          <w:bCs/>
          <w:szCs w:val="22"/>
        </w:rPr>
        <w:noBreakHyphen/>
        <w:t>t</w:t>
      </w:r>
      <w:r w:rsidRPr="00183B5F">
        <w:rPr>
          <w:b/>
          <w:szCs w:val="22"/>
        </w:rPr>
        <w:t xml:space="preserve"> alkalmazott</w:t>
      </w:r>
    </w:p>
    <w:p w14:paraId="0B104F84" w14:textId="77777777" w:rsidR="00713AC9" w:rsidRPr="00183B5F" w:rsidRDefault="00713AC9" w:rsidP="00713AC9">
      <w:pPr>
        <w:keepNext/>
        <w:spacing w:line="240" w:lineRule="auto"/>
        <w:ind w:right="-2"/>
        <w:rPr>
          <w:szCs w:val="22"/>
        </w:rPr>
      </w:pPr>
    </w:p>
    <w:p w14:paraId="0BC74429" w14:textId="77777777" w:rsidR="00713AC9" w:rsidRPr="00183B5F" w:rsidRDefault="00943743" w:rsidP="00713AC9">
      <w:pPr>
        <w:keepNext/>
        <w:spacing w:line="240" w:lineRule="auto"/>
        <w:ind w:right="-2"/>
        <w:rPr>
          <w:szCs w:val="22"/>
        </w:rPr>
      </w:pPr>
      <w:r w:rsidRPr="00183B5F">
        <w:rPr>
          <w:szCs w:val="22"/>
        </w:rPr>
        <w:t>Ha véletlenül a kezelőorvosa vagy gyógyszerésze által előírtnál gyakrabban alkalmazta a Humira</w:t>
      </w:r>
      <w:r w:rsidRPr="00183B5F">
        <w:rPr>
          <w:szCs w:val="22"/>
        </w:rPr>
        <w:noBreakHyphen/>
        <w:t>t, hívja fel kezelőorvosát vagy gyógyszerészét, és mondja el nekik, hogy több Humira</w:t>
      </w:r>
      <w:r w:rsidRPr="00183B5F">
        <w:rPr>
          <w:szCs w:val="22"/>
        </w:rPr>
        <w:noBreakHyphen/>
        <w:t>t alkalmazott. Mindig tartsa magánál a gyógyszer külső dobozát, abban az esetben is, ha üres.</w:t>
      </w:r>
    </w:p>
    <w:p w14:paraId="768E9E20" w14:textId="77777777" w:rsidR="00713AC9" w:rsidRPr="00183B5F" w:rsidRDefault="00713AC9" w:rsidP="00713AC9">
      <w:pPr>
        <w:spacing w:line="240" w:lineRule="auto"/>
        <w:ind w:right="-2"/>
        <w:rPr>
          <w:szCs w:val="22"/>
        </w:rPr>
      </w:pPr>
    </w:p>
    <w:p w14:paraId="58552B88" w14:textId="77777777" w:rsidR="00713AC9" w:rsidRPr="00183B5F" w:rsidRDefault="00943743" w:rsidP="00713AC9">
      <w:pPr>
        <w:keepNext/>
        <w:spacing w:line="240" w:lineRule="auto"/>
        <w:rPr>
          <w:b/>
          <w:szCs w:val="22"/>
        </w:rPr>
      </w:pPr>
      <w:r w:rsidRPr="00183B5F">
        <w:rPr>
          <w:b/>
          <w:szCs w:val="22"/>
        </w:rPr>
        <w:t>Ha elfelejtette alkalmazni a</w:t>
      </w:r>
      <w:r w:rsidRPr="00183B5F">
        <w:rPr>
          <w:b/>
          <w:bCs/>
          <w:szCs w:val="22"/>
        </w:rPr>
        <w:t xml:space="preserve"> Humira</w:t>
      </w:r>
      <w:r w:rsidRPr="00183B5F">
        <w:rPr>
          <w:b/>
          <w:bCs/>
          <w:szCs w:val="22"/>
        </w:rPr>
        <w:noBreakHyphen/>
        <w:t>t</w:t>
      </w:r>
    </w:p>
    <w:p w14:paraId="5673EEA0" w14:textId="77777777" w:rsidR="00713AC9" w:rsidRPr="00183B5F" w:rsidRDefault="00713AC9" w:rsidP="00713AC9">
      <w:pPr>
        <w:keepNext/>
        <w:spacing w:line="240" w:lineRule="auto"/>
        <w:rPr>
          <w:szCs w:val="22"/>
        </w:rPr>
      </w:pPr>
    </w:p>
    <w:p w14:paraId="38965162" w14:textId="77777777" w:rsidR="00713AC9" w:rsidRPr="00183B5F" w:rsidRDefault="00943743" w:rsidP="00713AC9">
      <w:pPr>
        <w:keepNext/>
        <w:spacing w:line="240" w:lineRule="auto"/>
        <w:rPr>
          <w:szCs w:val="22"/>
        </w:rPr>
      </w:pPr>
      <w:r w:rsidRPr="00183B5F">
        <w:rPr>
          <w:szCs w:val="22"/>
        </w:rPr>
        <w:t>Ha elfelejtette beadni az injekciót, adja be a következő Humira adagot rögtön, amikor eszébe jutott. A következő adagot az eredeti kezelési terv alapján meghatározott napon alkalmazza, úgy mintha az előző adagot az előírás szerinti időpontban adta volna be.</w:t>
      </w:r>
    </w:p>
    <w:p w14:paraId="79BCED99" w14:textId="77777777" w:rsidR="00713AC9" w:rsidRPr="00183B5F" w:rsidRDefault="00713AC9" w:rsidP="00713AC9">
      <w:pPr>
        <w:spacing w:line="240" w:lineRule="auto"/>
        <w:ind w:right="-2"/>
        <w:rPr>
          <w:szCs w:val="22"/>
        </w:rPr>
      </w:pPr>
    </w:p>
    <w:p w14:paraId="5FF3EDFB" w14:textId="77777777" w:rsidR="00713AC9" w:rsidRPr="00183B5F" w:rsidRDefault="00943743" w:rsidP="00713AC9">
      <w:pPr>
        <w:spacing w:line="240" w:lineRule="auto"/>
        <w:ind w:right="-2"/>
        <w:rPr>
          <w:b/>
        </w:rPr>
      </w:pPr>
      <w:r w:rsidRPr="00183B5F">
        <w:rPr>
          <w:b/>
        </w:rPr>
        <w:t>Ha idő előtt abbahagyja a Humira alkalmazását</w:t>
      </w:r>
    </w:p>
    <w:p w14:paraId="2BFDA980" w14:textId="77777777" w:rsidR="00713AC9" w:rsidRPr="00183B5F" w:rsidRDefault="00713AC9" w:rsidP="00713AC9">
      <w:pPr>
        <w:spacing w:line="240" w:lineRule="auto"/>
        <w:ind w:right="-2"/>
      </w:pPr>
    </w:p>
    <w:p w14:paraId="3D5C5BE2" w14:textId="77777777" w:rsidR="00713AC9" w:rsidRPr="00183B5F" w:rsidRDefault="00943743" w:rsidP="00713AC9">
      <w:pPr>
        <w:spacing w:line="240" w:lineRule="auto"/>
        <w:ind w:right="-2"/>
        <w:rPr>
          <w:szCs w:val="22"/>
        </w:rPr>
      </w:pPr>
      <w:r w:rsidRPr="00183B5F">
        <w:rPr>
          <w:szCs w:val="22"/>
        </w:rPr>
        <w:t>A döntést, hogy abbahagyja a Humira alkalmazását, meg kell beszélni kezelőorvosával. Tünetei visszatérhetnek, ha abbahagyja a</w:t>
      </w:r>
      <w:r w:rsidR="00316EC0" w:rsidRPr="00183B5F">
        <w:rPr>
          <w:szCs w:val="22"/>
        </w:rPr>
        <w:t xml:space="preserve"> </w:t>
      </w:r>
      <w:r w:rsidRPr="00183B5F">
        <w:rPr>
          <w:szCs w:val="22"/>
        </w:rPr>
        <w:t>Humira alkalmazását.</w:t>
      </w:r>
    </w:p>
    <w:p w14:paraId="1B3DB26A" w14:textId="77777777" w:rsidR="00713AC9" w:rsidRPr="00183B5F" w:rsidRDefault="00713AC9" w:rsidP="00713AC9">
      <w:pPr>
        <w:spacing w:line="240" w:lineRule="auto"/>
        <w:ind w:right="-2"/>
        <w:rPr>
          <w:szCs w:val="22"/>
        </w:rPr>
      </w:pPr>
    </w:p>
    <w:p w14:paraId="28F240A9" w14:textId="77777777" w:rsidR="00713AC9" w:rsidRPr="00183B5F" w:rsidRDefault="00943743" w:rsidP="00713AC9">
      <w:pPr>
        <w:spacing w:line="240" w:lineRule="auto"/>
        <w:ind w:right="-2"/>
        <w:rPr>
          <w:szCs w:val="22"/>
        </w:rPr>
      </w:pPr>
      <w:r w:rsidRPr="00183B5F">
        <w:rPr>
          <w:szCs w:val="22"/>
        </w:rPr>
        <w:t>Ha bármilyen további kérdése van a gyógyszer alkalmazásával kapcsolatban, kérdezze meg kezelőorvosát vagy gyógyszerészét.</w:t>
      </w:r>
    </w:p>
    <w:p w14:paraId="70A7570D" w14:textId="77777777" w:rsidR="00713AC9" w:rsidRPr="00183B5F" w:rsidRDefault="00713AC9" w:rsidP="00713AC9">
      <w:pPr>
        <w:spacing w:line="240" w:lineRule="auto"/>
        <w:ind w:right="-2"/>
        <w:rPr>
          <w:szCs w:val="22"/>
        </w:rPr>
      </w:pPr>
    </w:p>
    <w:p w14:paraId="5EC38EBF" w14:textId="77777777" w:rsidR="00713AC9" w:rsidRPr="00183B5F" w:rsidRDefault="00713AC9" w:rsidP="00713AC9">
      <w:pPr>
        <w:spacing w:line="240" w:lineRule="auto"/>
        <w:ind w:right="-2"/>
        <w:rPr>
          <w:szCs w:val="22"/>
        </w:rPr>
      </w:pPr>
    </w:p>
    <w:p w14:paraId="0F482D80" w14:textId="77777777" w:rsidR="00713AC9" w:rsidRPr="00183B5F" w:rsidRDefault="00943743" w:rsidP="00713AC9">
      <w:pPr>
        <w:keepNext/>
        <w:spacing w:line="240" w:lineRule="auto"/>
        <w:ind w:right="-2"/>
        <w:rPr>
          <w:b/>
          <w:szCs w:val="22"/>
        </w:rPr>
      </w:pPr>
      <w:r w:rsidRPr="00183B5F">
        <w:rPr>
          <w:b/>
          <w:szCs w:val="22"/>
        </w:rPr>
        <w:t>4.</w:t>
      </w:r>
      <w:r w:rsidRPr="00183B5F">
        <w:rPr>
          <w:b/>
          <w:szCs w:val="22"/>
        </w:rPr>
        <w:tab/>
        <w:t>Lehetséges mellékhatások</w:t>
      </w:r>
    </w:p>
    <w:p w14:paraId="5F06417E" w14:textId="77777777" w:rsidR="00713AC9" w:rsidRPr="00183B5F" w:rsidRDefault="00713AC9" w:rsidP="00713AC9">
      <w:pPr>
        <w:keepNext/>
        <w:spacing w:line="240" w:lineRule="auto"/>
        <w:ind w:right="-29"/>
        <w:rPr>
          <w:szCs w:val="22"/>
        </w:rPr>
      </w:pPr>
    </w:p>
    <w:p w14:paraId="0E0B6F3F" w14:textId="77777777" w:rsidR="00713AC9" w:rsidRPr="00183B5F" w:rsidRDefault="00943743" w:rsidP="00713AC9">
      <w:pPr>
        <w:keepNext/>
        <w:spacing w:line="240" w:lineRule="auto"/>
        <w:ind w:right="-29"/>
        <w:rPr>
          <w:szCs w:val="22"/>
        </w:rPr>
      </w:pPr>
      <w:r w:rsidRPr="00183B5F">
        <w:rPr>
          <w:szCs w:val="22"/>
        </w:rPr>
        <w:t>Mint minden gyógyszer, így ez a gyógyszer is okozhat mellékhatásokat, amelyek azonban nem mindenkinél jelentkeznek. A legtöbb mellékhatás enyhe vagy közepes fokú. Néhány esetben kezelést igénylő, súlyos mellékhatás is előfordulhat.</w:t>
      </w:r>
    </w:p>
    <w:p w14:paraId="67B769A6" w14:textId="77777777" w:rsidR="00713AC9" w:rsidRPr="00183B5F" w:rsidRDefault="00943743" w:rsidP="00713AC9">
      <w:pPr>
        <w:keepNext/>
        <w:spacing w:line="240" w:lineRule="auto"/>
        <w:ind w:right="-29"/>
        <w:rPr>
          <w:szCs w:val="22"/>
        </w:rPr>
      </w:pPr>
      <w:r w:rsidRPr="00183B5F">
        <w:rPr>
          <w:szCs w:val="22"/>
        </w:rPr>
        <w:t>A mellékhatások az utolsó Humira injekciót követően legalább 4 hónapig még bekövetkezhetnek.</w:t>
      </w:r>
    </w:p>
    <w:p w14:paraId="025CF421" w14:textId="77777777" w:rsidR="00713AC9" w:rsidRPr="00183B5F" w:rsidRDefault="00713AC9" w:rsidP="00713AC9">
      <w:pPr>
        <w:spacing w:line="240" w:lineRule="auto"/>
        <w:ind w:right="-29"/>
        <w:rPr>
          <w:szCs w:val="22"/>
        </w:rPr>
      </w:pPr>
    </w:p>
    <w:p w14:paraId="430E3BE7" w14:textId="77777777" w:rsidR="00713AC9" w:rsidRPr="00183B5F" w:rsidRDefault="00943743" w:rsidP="00713AC9">
      <w:pPr>
        <w:spacing w:line="240" w:lineRule="auto"/>
        <w:ind w:right="-29"/>
        <w:rPr>
          <w:b/>
          <w:szCs w:val="22"/>
        </w:rPr>
      </w:pPr>
      <w:r w:rsidRPr="00183B5F">
        <w:rPr>
          <w:b/>
          <w:szCs w:val="22"/>
        </w:rPr>
        <w:t>Közölje azonnal orvosával, ha az alábbiak közül bármit észlel:</w:t>
      </w:r>
    </w:p>
    <w:p w14:paraId="141CE351" w14:textId="77777777" w:rsidR="00713AC9" w:rsidRPr="00183B5F" w:rsidRDefault="00713AC9" w:rsidP="00713AC9">
      <w:pPr>
        <w:spacing w:line="240" w:lineRule="auto"/>
        <w:ind w:right="-29"/>
        <w:rPr>
          <w:szCs w:val="22"/>
        </w:rPr>
      </w:pPr>
    </w:p>
    <w:p w14:paraId="33494F1A" w14:textId="77777777" w:rsidR="00713AC9" w:rsidRPr="00183B5F" w:rsidRDefault="00943743" w:rsidP="00713AC9">
      <w:pPr>
        <w:numPr>
          <w:ilvl w:val="0"/>
          <w:numId w:val="8"/>
        </w:numPr>
        <w:tabs>
          <w:tab w:val="clear" w:pos="780"/>
        </w:tabs>
        <w:spacing w:line="240" w:lineRule="auto"/>
        <w:ind w:left="567" w:right="-29" w:hanging="567"/>
        <w:rPr>
          <w:szCs w:val="22"/>
        </w:rPr>
      </w:pPr>
      <w:r w:rsidRPr="00183B5F">
        <w:rPr>
          <w:szCs w:val="22"/>
        </w:rPr>
        <w:t xml:space="preserve">súlyos </w:t>
      </w:r>
      <w:r w:rsidR="004C50B5" w:rsidRPr="00183B5F">
        <w:rPr>
          <w:szCs w:val="22"/>
        </w:rPr>
        <w:t>bőr</w:t>
      </w:r>
      <w:r w:rsidRPr="00183B5F">
        <w:rPr>
          <w:szCs w:val="22"/>
        </w:rPr>
        <w:t>kiütés, csalánkiütés vagy más allergiára utaló tünet</w:t>
      </w:r>
    </w:p>
    <w:p w14:paraId="1E6C6686" w14:textId="77777777" w:rsidR="00713AC9" w:rsidRPr="00183B5F" w:rsidRDefault="00943743" w:rsidP="00713AC9">
      <w:pPr>
        <w:numPr>
          <w:ilvl w:val="0"/>
          <w:numId w:val="8"/>
        </w:numPr>
        <w:tabs>
          <w:tab w:val="clear" w:pos="780"/>
        </w:tabs>
        <w:spacing w:line="240" w:lineRule="auto"/>
        <w:ind w:left="567" w:right="-29" w:hanging="567"/>
        <w:rPr>
          <w:szCs w:val="22"/>
        </w:rPr>
      </w:pPr>
      <w:r w:rsidRPr="00183B5F">
        <w:rPr>
          <w:szCs w:val="22"/>
        </w:rPr>
        <w:t>duzzanat az arcon, k</w:t>
      </w:r>
      <w:r w:rsidR="004C50B5" w:rsidRPr="00183B5F">
        <w:rPr>
          <w:szCs w:val="22"/>
        </w:rPr>
        <w:t>ézen</w:t>
      </w:r>
      <w:r w:rsidRPr="00183B5F">
        <w:rPr>
          <w:szCs w:val="22"/>
        </w:rPr>
        <w:t xml:space="preserve"> vagy lábon</w:t>
      </w:r>
    </w:p>
    <w:p w14:paraId="3FA5E07F" w14:textId="77777777" w:rsidR="00713AC9" w:rsidRPr="00183B5F" w:rsidRDefault="00943743" w:rsidP="00713AC9">
      <w:pPr>
        <w:numPr>
          <w:ilvl w:val="0"/>
          <w:numId w:val="8"/>
        </w:numPr>
        <w:tabs>
          <w:tab w:val="clear" w:pos="780"/>
        </w:tabs>
        <w:spacing w:line="240" w:lineRule="auto"/>
        <w:ind w:left="567" w:right="-29" w:hanging="567"/>
        <w:rPr>
          <w:szCs w:val="22"/>
        </w:rPr>
      </w:pPr>
      <w:r w:rsidRPr="00183B5F">
        <w:rPr>
          <w:szCs w:val="22"/>
        </w:rPr>
        <w:t>nehézlégzés vagy nehézség a nyelés során</w:t>
      </w:r>
    </w:p>
    <w:p w14:paraId="59A23C5B" w14:textId="77777777" w:rsidR="00713AC9" w:rsidRPr="00183B5F" w:rsidRDefault="00943743" w:rsidP="00713AC9">
      <w:pPr>
        <w:numPr>
          <w:ilvl w:val="0"/>
          <w:numId w:val="8"/>
        </w:numPr>
        <w:tabs>
          <w:tab w:val="clear" w:pos="780"/>
        </w:tabs>
        <w:spacing w:line="240" w:lineRule="auto"/>
        <w:ind w:left="567" w:right="-29" w:hanging="567"/>
        <w:rPr>
          <w:szCs w:val="22"/>
        </w:rPr>
      </w:pPr>
      <w:r w:rsidRPr="00183B5F">
        <w:rPr>
          <w:szCs w:val="22"/>
        </w:rPr>
        <w:t>testmozgáskor vagy lefekvéskor jelentkező nehézlégzés, vagy lábdagadás</w:t>
      </w:r>
    </w:p>
    <w:p w14:paraId="3FF24F31" w14:textId="77777777" w:rsidR="00713AC9" w:rsidRPr="00183B5F" w:rsidRDefault="00713AC9" w:rsidP="00713AC9">
      <w:pPr>
        <w:spacing w:line="240" w:lineRule="auto"/>
        <w:ind w:right="-29"/>
        <w:rPr>
          <w:szCs w:val="22"/>
        </w:rPr>
      </w:pPr>
    </w:p>
    <w:p w14:paraId="4DD4E65D" w14:textId="77777777" w:rsidR="00713AC9" w:rsidRPr="00183B5F" w:rsidRDefault="00943743" w:rsidP="00713AC9">
      <w:pPr>
        <w:spacing w:line="240" w:lineRule="auto"/>
        <w:ind w:right="-2"/>
        <w:rPr>
          <w:b/>
          <w:szCs w:val="22"/>
        </w:rPr>
      </w:pPr>
      <w:r w:rsidRPr="00183B5F">
        <w:rPr>
          <w:b/>
          <w:szCs w:val="22"/>
        </w:rPr>
        <w:t>Közölje orvosával amint lehetséges, ha az alábbiak közül bármit észlel:</w:t>
      </w:r>
    </w:p>
    <w:p w14:paraId="7B965646" w14:textId="77777777" w:rsidR="00713AC9" w:rsidRPr="00183B5F" w:rsidRDefault="00943743" w:rsidP="00713AC9">
      <w:pPr>
        <w:numPr>
          <w:ilvl w:val="0"/>
          <w:numId w:val="9"/>
        </w:numPr>
        <w:tabs>
          <w:tab w:val="clear" w:pos="720"/>
        </w:tabs>
        <w:spacing w:line="240" w:lineRule="auto"/>
        <w:ind w:left="567" w:right="-2" w:hanging="567"/>
        <w:rPr>
          <w:szCs w:val="22"/>
        </w:rPr>
      </w:pPr>
      <w:r w:rsidRPr="00183B5F">
        <w:rPr>
          <w:szCs w:val="22"/>
        </w:rPr>
        <w:t>fertőzésre utaló tünet, mint láz, rossz közérzet, sebek</w:t>
      </w:r>
      <w:r w:rsidRPr="00183B5F">
        <w:rPr>
          <w:i/>
          <w:szCs w:val="22"/>
        </w:rPr>
        <w:t xml:space="preserve">, </w:t>
      </w:r>
      <w:r w:rsidRPr="00183B5F">
        <w:rPr>
          <w:szCs w:val="22"/>
        </w:rPr>
        <w:t>fogászati problémák, vizeléskor jelentkező égő érzés</w:t>
      </w:r>
    </w:p>
    <w:p w14:paraId="5178A920" w14:textId="77777777" w:rsidR="00713AC9" w:rsidRPr="00183B5F" w:rsidRDefault="00943743" w:rsidP="00713AC9">
      <w:pPr>
        <w:numPr>
          <w:ilvl w:val="0"/>
          <w:numId w:val="9"/>
        </w:numPr>
        <w:tabs>
          <w:tab w:val="clear" w:pos="720"/>
        </w:tabs>
        <w:spacing w:line="240" w:lineRule="auto"/>
        <w:ind w:left="567" w:right="-2" w:hanging="567"/>
        <w:rPr>
          <w:szCs w:val="22"/>
        </w:rPr>
      </w:pPr>
      <w:r w:rsidRPr="00183B5F">
        <w:rPr>
          <w:szCs w:val="22"/>
        </w:rPr>
        <w:t>gyengeség vagy fáradtságérzés</w:t>
      </w:r>
    </w:p>
    <w:p w14:paraId="1CFD0778" w14:textId="77777777" w:rsidR="00713AC9" w:rsidRPr="00183B5F" w:rsidRDefault="00943743" w:rsidP="00713AC9">
      <w:pPr>
        <w:numPr>
          <w:ilvl w:val="0"/>
          <w:numId w:val="9"/>
        </w:numPr>
        <w:tabs>
          <w:tab w:val="clear" w:pos="720"/>
        </w:tabs>
        <w:spacing w:line="240" w:lineRule="auto"/>
        <w:ind w:left="567" w:right="-2" w:hanging="567"/>
        <w:rPr>
          <w:szCs w:val="22"/>
        </w:rPr>
      </w:pPr>
      <w:r w:rsidRPr="00183B5F">
        <w:rPr>
          <w:szCs w:val="22"/>
        </w:rPr>
        <w:t>köhögés</w:t>
      </w:r>
    </w:p>
    <w:p w14:paraId="32144E14" w14:textId="77777777" w:rsidR="00713AC9" w:rsidRPr="00183B5F" w:rsidRDefault="00943743" w:rsidP="00713AC9">
      <w:pPr>
        <w:numPr>
          <w:ilvl w:val="0"/>
          <w:numId w:val="9"/>
        </w:numPr>
        <w:tabs>
          <w:tab w:val="clear" w:pos="720"/>
        </w:tabs>
        <w:spacing w:line="240" w:lineRule="auto"/>
        <w:ind w:left="567" w:right="-2" w:hanging="567"/>
        <w:rPr>
          <w:szCs w:val="22"/>
        </w:rPr>
      </w:pPr>
      <w:r w:rsidRPr="00183B5F">
        <w:rPr>
          <w:szCs w:val="22"/>
        </w:rPr>
        <w:t>fülzúgás</w:t>
      </w:r>
    </w:p>
    <w:p w14:paraId="500413AE" w14:textId="77777777" w:rsidR="00713AC9" w:rsidRPr="00183B5F" w:rsidRDefault="00943743" w:rsidP="00713AC9">
      <w:pPr>
        <w:numPr>
          <w:ilvl w:val="0"/>
          <w:numId w:val="9"/>
        </w:numPr>
        <w:tabs>
          <w:tab w:val="clear" w:pos="720"/>
        </w:tabs>
        <w:spacing w:line="240" w:lineRule="auto"/>
        <w:ind w:left="567" w:right="-2" w:hanging="567"/>
        <w:rPr>
          <w:szCs w:val="22"/>
        </w:rPr>
      </w:pPr>
      <w:r w:rsidRPr="00183B5F">
        <w:rPr>
          <w:szCs w:val="22"/>
        </w:rPr>
        <w:t>zsibbadás</w:t>
      </w:r>
    </w:p>
    <w:p w14:paraId="4773DFD0" w14:textId="77777777" w:rsidR="00713AC9" w:rsidRPr="00183B5F" w:rsidRDefault="00943743" w:rsidP="00713AC9">
      <w:pPr>
        <w:numPr>
          <w:ilvl w:val="0"/>
          <w:numId w:val="9"/>
        </w:numPr>
        <w:tabs>
          <w:tab w:val="clear" w:pos="720"/>
        </w:tabs>
        <w:spacing w:line="240" w:lineRule="auto"/>
        <w:ind w:left="567" w:right="-2" w:hanging="567"/>
        <w:rPr>
          <w:szCs w:val="22"/>
        </w:rPr>
      </w:pPr>
      <w:r w:rsidRPr="00183B5F">
        <w:rPr>
          <w:szCs w:val="22"/>
        </w:rPr>
        <w:t>kettőslátás</w:t>
      </w:r>
    </w:p>
    <w:p w14:paraId="435E1417" w14:textId="77777777" w:rsidR="00713AC9" w:rsidRPr="00183B5F" w:rsidRDefault="00943743" w:rsidP="00713AC9">
      <w:pPr>
        <w:numPr>
          <w:ilvl w:val="0"/>
          <w:numId w:val="9"/>
        </w:numPr>
        <w:tabs>
          <w:tab w:val="clear" w:pos="720"/>
        </w:tabs>
        <w:spacing w:line="240" w:lineRule="auto"/>
        <w:ind w:left="567" w:right="-2" w:hanging="567"/>
        <w:rPr>
          <w:szCs w:val="22"/>
        </w:rPr>
      </w:pPr>
      <w:r w:rsidRPr="00183B5F">
        <w:rPr>
          <w:szCs w:val="22"/>
        </w:rPr>
        <w:t>kar</w:t>
      </w:r>
      <w:r w:rsidR="0029438F" w:rsidRPr="00183B5F">
        <w:rPr>
          <w:szCs w:val="22"/>
        </w:rPr>
        <w:t>-</w:t>
      </w:r>
      <w:r w:rsidRPr="00183B5F">
        <w:rPr>
          <w:szCs w:val="22"/>
        </w:rPr>
        <w:t xml:space="preserve"> vagy lábgyengeség</w:t>
      </w:r>
    </w:p>
    <w:p w14:paraId="0B3594EB" w14:textId="77777777" w:rsidR="00713AC9" w:rsidRPr="00183B5F" w:rsidRDefault="00943743" w:rsidP="00713AC9">
      <w:pPr>
        <w:numPr>
          <w:ilvl w:val="0"/>
          <w:numId w:val="9"/>
        </w:numPr>
        <w:tabs>
          <w:tab w:val="clear" w:pos="720"/>
        </w:tabs>
        <w:spacing w:line="240" w:lineRule="auto"/>
        <w:ind w:left="567" w:right="-2" w:hanging="567"/>
        <w:rPr>
          <w:szCs w:val="22"/>
        </w:rPr>
      </w:pPr>
      <w:r w:rsidRPr="00183B5F">
        <w:rPr>
          <w:szCs w:val="22"/>
        </w:rPr>
        <w:t>duzzanat vagy nyílt fekély, amelyik nem gyógyul</w:t>
      </w:r>
    </w:p>
    <w:p w14:paraId="219EB7B1" w14:textId="77777777" w:rsidR="00713AC9" w:rsidRPr="00183B5F" w:rsidRDefault="00943743" w:rsidP="00713AC9">
      <w:pPr>
        <w:numPr>
          <w:ilvl w:val="0"/>
          <w:numId w:val="9"/>
        </w:numPr>
        <w:tabs>
          <w:tab w:val="clear" w:pos="720"/>
        </w:tabs>
        <w:spacing w:line="240" w:lineRule="auto"/>
        <w:ind w:left="567" w:right="-2" w:hanging="567"/>
        <w:rPr>
          <w:szCs w:val="22"/>
        </w:rPr>
      </w:pPr>
      <w:r w:rsidRPr="00183B5F">
        <w:rPr>
          <w:szCs w:val="22"/>
        </w:rPr>
        <w:t>vérképzőszervi betegségre jellemző jelek és tünetek, mint állandó láz, véraláfutás, vérzés, sápadtság</w:t>
      </w:r>
    </w:p>
    <w:p w14:paraId="60F9BD3E" w14:textId="77777777" w:rsidR="00713AC9" w:rsidRPr="00183B5F" w:rsidRDefault="00713AC9" w:rsidP="00713AC9">
      <w:pPr>
        <w:spacing w:line="240" w:lineRule="auto"/>
        <w:ind w:right="-2"/>
        <w:rPr>
          <w:szCs w:val="22"/>
        </w:rPr>
      </w:pPr>
    </w:p>
    <w:p w14:paraId="67DDD959" w14:textId="77777777" w:rsidR="00713AC9" w:rsidRPr="00183B5F" w:rsidRDefault="00943743" w:rsidP="00713AC9">
      <w:pPr>
        <w:suppressAutoHyphens w:val="0"/>
        <w:spacing w:line="240" w:lineRule="auto"/>
        <w:rPr>
          <w:szCs w:val="22"/>
        </w:rPr>
      </w:pPr>
      <w:r w:rsidRPr="00183B5F">
        <w:rPr>
          <w:szCs w:val="22"/>
        </w:rPr>
        <w:t>A fent leírt tünetek az alábbiakban felsorolt mellékhatások jelei is lehetnek, melyeket a Humira alkalmazása során észleltek</w:t>
      </w:r>
      <w:r w:rsidR="006E6466" w:rsidRPr="00183B5F">
        <w:rPr>
          <w:szCs w:val="22"/>
        </w:rPr>
        <w:t>.</w:t>
      </w:r>
    </w:p>
    <w:p w14:paraId="44E825C4" w14:textId="77777777" w:rsidR="00713AC9" w:rsidRPr="00183B5F" w:rsidRDefault="00713AC9" w:rsidP="00713AC9">
      <w:pPr>
        <w:suppressAutoHyphens w:val="0"/>
        <w:spacing w:line="240" w:lineRule="auto"/>
        <w:rPr>
          <w:szCs w:val="22"/>
        </w:rPr>
      </w:pPr>
    </w:p>
    <w:p w14:paraId="18FDA267" w14:textId="77777777" w:rsidR="00713AC9" w:rsidRPr="00183B5F" w:rsidRDefault="00943743" w:rsidP="00713AC9">
      <w:pPr>
        <w:keepNext/>
        <w:suppressAutoHyphens w:val="0"/>
        <w:spacing w:line="240" w:lineRule="auto"/>
        <w:rPr>
          <w:szCs w:val="22"/>
        </w:rPr>
      </w:pPr>
      <w:r w:rsidRPr="00183B5F">
        <w:rPr>
          <w:b/>
          <w:szCs w:val="22"/>
        </w:rPr>
        <w:t>Nagyon gyakori</w:t>
      </w:r>
      <w:r w:rsidRPr="00183B5F">
        <w:rPr>
          <w:szCs w:val="22"/>
        </w:rPr>
        <w:t xml:space="preserve"> (10 beteg közül több mint 1-nél kialakuló)</w:t>
      </w:r>
    </w:p>
    <w:p w14:paraId="554C06DC" w14:textId="77777777" w:rsidR="00713AC9" w:rsidRPr="00183B5F" w:rsidRDefault="00713AC9" w:rsidP="00713AC9">
      <w:pPr>
        <w:keepNext/>
        <w:suppressAutoHyphens w:val="0"/>
        <w:spacing w:line="240" w:lineRule="auto"/>
        <w:rPr>
          <w:szCs w:val="22"/>
        </w:rPr>
      </w:pPr>
    </w:p>
    <w:p w14:paraId="60AFFDA9" w14:textId="77777777" w:rsidR="00713AC9" w:rsidRPr="00183B5F" w:rsidRDefault="00943743" w:rsidP="00713AC9">
      <w:pPr>
        <w:keepNext/>
        <w:numPr>
          <w:ilvl w:val="0"/>
          <w:numId w:val="57"/>
        </w:numPr>
        <w:suppressAutoHyphens w:val="0"/>
        <w:spacing w:line="240" w:lineRule="auto"/>
        <w:rPr>
          <w:szCs w:val="22"/>
        </w:rPr>
      </w:pPr>
      <w:r w:rsidRPr="00183B5F">
        <w:rPr>
          <w:szCs w:val="22"/>
        </w:rPr>
        <w:t>helyi reakció az injekció beadásának helyén (beleértve fájdalom, duzzadás, vörösség vagy viszketés)</w:t>
      </w:r>
    </w:p>
    <w:p w14:paraId="5AA33122" w14:textId="77777777" w:rsidR="00713AC9" w:rsidRPr="00183B5F" w:rsidRDefault="00943743" w:rsidP="00713AC9">
      <w:pPr>
        <w:numPr>
          <w:ilvl w:val="0"/>
          <w:numId w:val="57"/>
        </w:numPr>
        <w:suppressAutoHyphens w:val="0"/>
        <w:spacing w:line="240" w:lineRule="auto"/>
        <w:rPr>
          <w:szCs w:val="22"/>
        </w:rPr>
      </w:pPr>
      <w:r w:rsidRPr="00183B5F">
        <w:rPr>
          <w:szCs w:val="22"/>
        </w:rPr>
        <w:t>légúti fertőzések (beleértve a megfázást, orrfolyást, melléküreg-gyulladást, tüdőgyulladást is)</w:t>
      </w:r>
    </w:p>
    <w:p w14:paraId="41A0BF0A" w14:textId="77777777" w:rsidR="00713AC9" w:rsidRPr="00183B5F" w:rsidRDefault="00943743" w:rsidP="00713AC9">
      <w:pPr>
        <w:numPr>
          <w:ilvl w:val="0"/>
          <w:numId w:val="57"/>
        </w:numPr>
        <w:suppressAutoHyphens w:val="0"/>
        <w:spacing w:line="240" w:lineRule="auto"/>
      </w:pPr>
      <w:r w:rsidRPr="00183B5F">
        <w:t>fejfájás</w:t>
      </w:r>
    </w:p>
    <w:p w14:paraId="4ECDCCBB" w14:textId="77777777" w:rsidR="00713AC9" w:rsidRPr="00183B5F" w:rsidRDefault="00943743" w:rsidP="00713AC9">
      <w:pPr>
        <w:numPr>
          <w:ilvl w:val="0"/>
          <w:numId w:val="57"/>
        </w:numPr>
        <w:suppressAutoHyphens w:val="0"/>
        <w:spacing w:line="240" w:lineRule="auto"/>
      </w:pPr>
      <w:r w:rsidRPr="00183B5F">
        <w:t>hasi fájdalom</w:t>
      </w:r>
    </w:p>
    <w:p w14:paraId="48340391" w14:textId="77777777" w:rsidR="00713AC9" w:rsidRPr="00183B5F" w:rsidRDefault="00943743" w:rsidP="00713AC9">
      <w:pPr>
        <w:numPr>
          <w:ilvl w:val="0"/>
          <w:numId w:val="57"/>
        </w:numPr>
        <w:suppressAutoHyphens w:val="0"/>
        <w:spacing w:line="240" w:lineRule="auto"/>
      </w:pPr>
      <w:r w:rsidRPr="00183B5F">
        <w:t>hányinger és hányás</w:t>
      </w:r>
    </w:p>
    <w:p w14:paraId="0E799F28" w14:textId="77777777" w:rsidR="00713AC9" w:rsidRPr="00183B5F" w:rsidRDefault="00943743" w:rsidP="00713AC9">
      <w:pPr>
        <w:numPr>
          <w:ilvl w:val="0"/>
          <w:numId w:val="57"/>
        </w:numPr>
        <w:suppressAutoHyphens w:val="0"/>
        <w:spacing w:line="240" w:lineRule="auto"/>
      </w:pPr>
      <w:r w:rsidRPr="00183B5F">
        <w:t>bőrkiütés</w:t>
      </w:r>
    </w:p>
    <w:p w14:paraId="6ADB6DF6" w14:textId="77777777" w:rsidR="00713AC9" w:rsidRPr="00183B5F" w:rsidRDefault="00943743" w:rsidP="00713AC9">
      <w:pPr>
        <w:numPr>
          <w:ilvl w:val="0"/>
          <w:numId w:val="57"/>
        </w:numPr>
        <w:suppressAutoHyphens w:val="0"/>
        <w:spacing w:line="240" w:lineRule="auto"/>
      </w:pPr>
      <w:r w:rsidRPr="00183B5F">
        <w:t>mozgásszervi eredetű fájdalom</w:t>
      </w:r>
    </w:p>
    <w:p w14:paraId="7F166B8D" w14:textId="77777777" w:rsidR="00713AC9" w:rsidRPr="00183B5F" w:rsidRDefault="00713AC9" w:rsidP="00713AC9">
      <w:pPr>
        <w:suppressAutoHyphens w:val="0"/>
        <w:spacing w:line="240" w:lineRule="auto"/>
        <w:ind w:right="-2"/>
        <w:rPr>
          <w:szCs w:val="22"/>
        </w:rPr>
      </w:pPr>
    </w:p>
    <w:p w14:paraId="1A2903B9" w14:textId="77777777" w:rsidR="00713AC9" w:rsidRPr="00183B5F" w:rsidRDefault="00943743" w:rsidP="00713AC9">
      <w:pPr>
        <w:spacing w:line="240" w:lineRule="auto"/>
        <w:ind w:right="-2"/>
        <w:rPr>
          <w:szCs w:val="22"/>
        </w:rPr>
      </w:pPr>
      <w:r w:rsidRPr="00183B5F">
        <w:rPr>
          <w:b/>
          <w:szCs w:val="22"/>
        </w:rPr>
        <w:t>Gyakori</w:t>
      </w:r>
      <w:r w:rsidRPr="00183B5F">
        <w:rPr>
          <w:szCs w:val="22"/>
        </w:rPr>
        <w:t xml:space="preserve"> (10 beteg közül legfeljebb 1-nél kialakuló)</w:t>
      </w:r>
    </w:p>
    <w:p w14:paraId="3280A1A8" w14:textId="77777777" w:rsidR="00713AC9" w:rsidRPr="00183B5F" w:rsidRDefault="00713AC9" w:rsidP="00713AC9">
      <w:pPr>
        <w:spacing w:line="240" w:lineRule="auto"/>
        <w:ind w:right="-2"/>
        <w:rPr>
          <w:szCs w:val="22"/>
        </w:rPr>
      </w:pPr>
    </w:p>
    <w:p w14:paraId="0BC66E85" w14:textId="77777777" w:rsidR="00713AC9" w:rsidRPr="00183B5F" w:rsidRDefault="00943743" w:rsidP="00713AC9">
      <w:pPr>
        <w:numPr>
          <w:ilvl w:val="0"/>
          <w:numId w:val="54"/>
        </w:numPr>
        <w:tabs>
          <w:tab w:val="clear" w:pos="567"/>
          <w:tab w:val="left" w:pos="562"/>
        </w:tabs>
        <w:spacing w:line="240" w:lineRule="auto"/>
        <w:ind w:right="-2"/>
        <w:rPr>
          <w:szCs w:val="22"/>
        </w:rPr>
      </w:pPr>
      <w:r w:rsidRPr="00183B5F">
        <w:rPr>
          <w:szCs w:val="22"/>
        </w:rPr>
        <w:t>súlyos fertőzések (beleértve a vérmérgezést és az influenzát is)</w:t>
      </w:r>
    </w:p>
    <w:p w14:paraId="568A988A" w14:textId="77777777" w:rsidR="00713AC9" w:rsidRPr="00183B5F" w:rsidRDefault="00943743" w:rsidP="00713AC9">
      <w:pPr>
        <w:numPr>
          <w:ilvl w:val="0"/>
          <w:numId w:val="54"/>
        </w:numPr>
        <w:tabs>
          <w:tab w:val="clear" w:pos="567"/>
          <w:tab w:val="left" w:pos="562"/>
        </w:tabs>
        <w:spacing w:line="240" w:lineRule="auto"/>
        <w:ind w:right="-2"/>
        <w:rPr>
          <w:szCs w:val="22"/>
        </w:rPr>
      </w:pPr>
      <w:r w:rsidRPr="00183B5F">
        <w:rPr>
          <w:szCs w:val="22"/>
        </w:rPr>
        <w:t>bélfertőzések (beleértve a gyomor-bélgyulladást)</w:t>
      </w:r>
    </w:p>
    <w:p w14:paraId="1E0AD721" w14:textId="77777777" w:rsidR="00713AC9" w:rsidRPr="00183B5F" w:rsidRDefault="00943743" w:rsidP="00713AC9">
      <w:pPr>
        <w:numPr>
          <w:ilvl w:val="0"/>
          <w:numId w:val="54"/>
        </w:numPr>
        <w:tabs>
          <w:tab w:val="clear" w:pos="567"/>
          <w:tab w:val="left" w:pos="562"/>
        </w:tabs>
        <w:spacing w:line="240" w:lineRule="auto"/>
        <w:ind w:right="-2"/>
        <w:rPr>
          <w:szCs w:val="22"/>
        </w:rPr>
      </w:pPr>
      <w:r w:rsidRPr="00183B5F">
        <w:rPr>
          <w:szCs w:val="22"/>
        </w:rPr>
        <w:t>bőrfertőzések (beleértve a kötőszövet</w:t>
      </w:r>
      <w:r w:rsidR="00CE5CC7" w:rsidRPr="00183B5F">
        <w:rPr>
          <w:szCs w:val="22"/>
        </w:rPr>
        <w:t>-</w:t>
      </w:r>
      <w:r w:rsidRPr="00183B5F">
        <w:rPr>
          <w:szCs w:val="22"/>
        </w:rPr>
        <w:t>gyulladást és az övsömört is)</w:t>
      </w:r>
    </w:p>
    <w:p w14:paraId="20EBBD2B" w14:textId="77777777" w:rsidR="00713AC9" w:rsidRPr="00183B5F" w:rsidRDefault="00943743" w:rsidP="00713AC9">
      <w:pPr>
        <w:numPr>
          <w:ilvl w:val="0"/>
          <w:numId w:val="54"/>
        </w:numPr>
        <w:tabs>
          <w:tab w:val="clear" w:pos="567"/>
          <w:tab w:val="left" w:pos="562"/>
        </w:tabs>
        <w:spacing w:line="240" w:lineRule="auto"/>
        <w:ind w:right="-2"/>
      </w:pPr>
      <w:r w:rsidRPr="00183B5F">
        <w:t>fülfertőzések</w:t>
      </w:r>
    </w:p>
    <w:p w14:paraId="0EC4EC99" w14:textId="77777777" w:rsidR="00713AC9" w:rsidRPr="00183B5F" w:rsidRDefault="00943743" w:rsidP="00713AC9">
      <w:pPr>
        <w:numPr>
          <w:ilvl w:val="0"/>
          <w:numId w:val="54"/>
        </w:numPr>
        <w:tabs>
          <w:tab w:val="clear" w:pos="567"/>
          <w:tab w:val="left" w:pos="562"/>
        </w:tabs>
        <w:spacing w:line="240" w:lineRule="auto"/>
        <w:ind w:right="-2"/>
      </w:pPr>
      <w:r w:rsidRPr="00183B5F">
        <w:t>szájüregi fertőzések (beleértve a fogfertőzéseket és az ajakherpeszt is)</w:t>
      </w:r>
    </w:p>
    <w:p w14:paraId="33B5521F" w14:textId="77777777" w:rsidR="00713AC9" w:rsidRPr="00183B5F" w:rsidRDefault="00943743" w:rsidP="00713AC9">
      <w:pPr>
        <w:numPr>
          <w:ilvl w:val="0"/>
          <w:numId w:val="54"/>
        </w:numPr>
        <w:tabs>
          <w:tab w:val="clear" w:pos="567"/>
          <w:tab w:val="left" w:pos="562"/>
        </w:tabs>
        <w:spacing w:line="240" w:lineRule="auto"/>
        <w:ind w:right="-2"/>
      </w:pPr>
      <w:r w:rsidRPr="00183B5F">
        <w:t>a nemi</w:t>
      </w:r>
      <w:r w:rsidR="00CE5CC7" w:rsidRPr="00183B5F">
        <w:t xml:space="preserve"> </w:t>
      </w:r>
      <w:r w:rsidRPr="00183B5F">
        <w:t>szervek fertőzései</w:t>
      </w:r>
    </w:p>
    <w:p w14:paraId="4E1C2D01" w14:textId="77777777" w:rsidR="00713AC9" w:rsidRPr="00183B5F" w:rsidRDefault="00943743" w:rsidP="00713AC9">
      <w:pPr>
        <w:numPr>
          <w:ilvl w:val="0"/>
          <w:numId w:val="54"/>
        </w:numPr>
        <w:spacing w:line="240" w:lineRule="auto"/>
        <w:ind w:right="-2"/>
      </w:pPr>
      <w:r w:rsidRPr="00183B5F">
        <w:t>húgyúti fertőzések</w:t>
      </w:r>
    </w:p>
    <w:p w14:paraId="29F74C9E" w14:textId="77777777" w:rsidR="00713AC9" w:rsidRPr="00183B5F" w:rsidRDefault="00943743" w:rsidP="00713AC9">
      <w:pPr>
        <w:numPr>
          <w:ilvl w:val="0"/>
          <w:numId w:val="54"/>
        </w:numPr>
        <w:spacing w:line="240" w:lineRule="auto"/>
        <w:ind w:right="-2"/>
      </w:pPr>
      <w:r w:rsidRPr="00183B5F">
        <w:t>gombás fertőzések</w:t>
      </w:r>
    </w:p>
    <w:p w14:paraId="0F43074B" w14:textId="77777777" w:rsidR="00713AC9" w:rsidRPr="00183B5F" w:rsidRDefault="00943743" w:rsidP="00713AC9">
      <w:pPr>
        <w:numPr>
          <w:ilvl w:val="0"/>
          <w:numId w:val="54"/>
        </w:numPr>
        <w:spacing w:line="240" w:lineRule="auto"/>
        <w:ind w:right="-2"/>
      </w:pPr>
      <w:r w:rsidRPr="00183B5F">
        <w:t>ízületi fertőzések</w:t>
      </w:r>
    </w:p>
    <w:p w14:paraId="197B7D13" w14:textId="77777777" w:rsidR="00713AC9" w:rsidRPr="00183B5F" w:rsidRDefault="00943743" w:rsidP="00713AC9">
      <w:pPr>
        <w:numPr>
          <w:ilvl w:val="0"/>
          <w:numId w:val="54"/>
        </w:numPr>
        <w:tabs>
          <w:tab w:val="clear" w:pos="567"/>
          <w:tab w:val="left" w:pos="562"/>
        </w:tabs>
        <w:spacing w:line="240" w:lineRule="auto"/>
        <w:ind w:right="-2"/>
      </w:pPr>
      <w:r w:rsidRPr="00183B5F">
        <w:t>jóindulatú daganatok</w:t>
      </w:r>
    </w:p>
    <w:p w14:paraId="3179F78D" w14:textId="77777777" w:rsidR="00713AC9" w:rsidRPr="00183B5F" w:rsidRDefault="00943743" w:rsidP="00713AC9">
      <w:pPr>
        <w:numPr>
          <w:ilvl w:val="0"/>
          <w:numId w:val="54"/>
        </w:numPr>
        <w:tabs>
          <w:tab w:val="clear" w:pos="567"/>
          <w:tab w:val="left" w:pos="562"/>
        </w:tabs>
        <w:spacing w:line="240" w:lineRule="auto"/>
        <w:ind w:right="-2"/>
      </w:pPr>
      <w:r w:rsidRPr="00183B5F">
        <w:t>bőrrák</w:t>
      </w:r>
    </w:p>
    <w:p w14:paraId="2F1AB829" w14:textId="77777777" w:rsidR="00713AC9" w:rsidRPr="00183B5F" w:rsidRDefault="00943743" w:rsidP="00713AC9">
      <w:pPr>
        <w:numPr>
          <w:ilvl w:val="0"/>
          <w:numId w:val="54"/>
        </w:numPr>
        <w:tabs>
          <w:tab w:val="clear" w:pos="567"/>
          <w:tab w:val="left" w:pos="562"/>
        </w:tabs>
        <w:spacing w:line="240" w:lineRule="auto"/>
        <w:ind w:right="-2"/>
      </w:pPr>
      <w:r w:rsidRPr="00183B5F">
        <w:t>allergiás reakciók (beleértve a szezonális allergiát is)</w:t>
      </w:r>
    </w:p>
    <w:p w14:paraId="2F17D1DD" w14:textId="77777777" w:rsidR="00713AC9" w:rsidRPr="00183B5F" w:rsidRDefault="00943743" w:rsidP="00713AC9">
      <w:pPr>
        <w:numPr>
          <w:ilvl w:val="0"/>
          <w:numId w:val="54"/>
        </w:numPr>
        <w:tabs>
          <w:tab w:val="clear" w:pos="567"/>
          <w:tab w:val="left" w:pos="562"/>
        </w:tabs>
        <w:spacing w:line="240" w:lineRule="auto"/>
        <w:ind w:right="-2"/>
      </w:pPr>
      <w:r w:rsidRPr="00183B5F">
        <w:rPr>
          <w:szCs w:val="22"/>
        </w:rPr>
        <w:t>kiszáradás</w:t>
      </w:r>
    </w:p>
    <w:p w14:paraId="3FDAE460" w14:textId="77777777" w:rsidR="00713AC9" w:rsidRPr="00183B5F" w:rsidRDefault="00943743" w:rsidP="00713AC9">
      <w:pPr>
        <w:numPr>
          <w:ilvl w:val="0"/>
          <w:numId w:val="54"/>
        </w:numPr>
        <w:tabs>
          <w:tab w:val="clear" w:pos="567"/>
          <w:tab w:val="left" w:pos="562"/>
        </w:tabs>
        <w:spacing w:line="240" w:lineRule="auto"/>
        <w:ind w:right="-2"/>
      </w:pPr>
      <w:r w:rsidRPr="00183B5F">
        <w:t>hangulatváltozás (beleértve a depressziót is)</w:t>
      </w:r>
    </w:p>
    <w:p w14:paraId="4B780F97" w14:textId="77777777" w:rsidR="00713AC9" w:rsidRPr="00183B5F" w:rsidRDefault="00943743" w:rsidP="00713AC9">
      <w:pPr>
        <w:numPr>
          <w:ilvl w:val="0"/>
          <w:numId w:val="54"/>
        </w:numPr>
        <w:tabs>
          <w:tab w:val="clear" w:pos="567"/>
          <w:tab w:val="left" w:pos="562"/>
        </w:tabs>
        <w:spacing w:line="240" w:lineRule="auto"/>
        <w:ind w:right="-2"/>
      </w:pPr>
      <w:r w:rsidRPr="00183B5F">
        <w:t>szorongás</w:t>
      </w:r>
    </w:p>
    <w:p w14:paraId="57FAF017" w14:textId="77777777" w:rsidR="00713AC9" w:rsidRPr="00183B5F" w:rsidRDefault="00943743" w:rsidP="00713AC9">
      <w:pPr>
        <w:numPr>
          <w:ilvl w:val="0"/>
          <w:numId w:val="54"/>
        </w:numPr>
        <w:tabs>
          <w:tab w:val="clear" w:pos="567"/>
          <w:tab w:val="left" w:pos="562"/>
        </w:tabs>
        <w:spacing w:line="240" w:lineRule="auto"/>
        <w:ind w:right="-2"/>
      </w:pPr>
      <w:r w:rsidRPr="00183B5F">
        <w:t>álmatlanság</w:t>
      </w:r>
    </w:p>
    <w:p w14:paraId="50D99332" w14:textId="77777777" w:rsidR="00713AC9" w:rsidRPr="00183B5F" w:rsidRDefault="00943743" w:rsidP="00713AC9">
      <w:pPr>
        <w:numPr>
          <w:ilvl w:val="0"/>
          <w:numId w:val="54"/>
        </w:numPr>
        <w:tabs>
          <w:tab w:val="clear" w:pos="567"/>
          <w:tab w:val="left" w:pos="562"/>
        </w:tabs>
        <w:spacing w:line="240" w:lineRule="auto"/>
        <w:ind w:right="-2"/>
      </w:pPr>
      <w:r w:rsidRPr="00183B5F">
        <w:t>érzészavarok, például bizsergés, szurkáló érzés vagy zsibbadás</w:t>
      </w:r>
    </w:p>
    <w:p w14:paraId="45F0D422" w14:textId="77777777" w:rsidR="00713AC9" w:rsidRPr="00183B5F" w:rsidRDefault="00943743" w:rsidP="00713AC9">
      <w:pPr>
        <w:numPr>
          <w:ilvl w:val="0"/>
          <w:numId w:val="54"/>
        </w:numPr>
        <w:tabs>
          <w:tab w:val="clear" w:pos="567"/>
          <w:tab w:val="left" w:pos="562"/>
        </w:tabs>
        <w:spacing w:line="240" w:lineRule="auto"/>
        <w:ind w:right="-2"/>
      </w:pPr>
      <w:r w:rsidRPr="00183B5F">
        <w:t>migrén</w:t>
      </w:r>
    </w:p>
    <w:p w14:paraId="4306F691" w14:textId="77777777" w:rsidR="00713AC9" w:rsidRPr="00183B5F" w:rsidRDefault="00943743" w:rsidP="00713AC9">
      <w:pPr>
        <w:numPr>
          <w:ilvl w:val="0"/>
          <w:numId w:val="54"/>
        </w:numPr>
        <w:tabs>
          <w:tab w:val="clear" w:pos="567"/>
          <w:tab w:val="left" w:pos="562"/>
        </w:tabs>
        <w:spacing w:line="240" w:lineRule="auto"/>
        <w:ind w:right="-2"/>
      </w:pPr>
      <w:r w:rsidRPr="00183B5F">
        <w:t>ideggyök nyomási tünetei (beleértve a derékfájdalmat és a lábfájást is)</w:t>
      </w:r>
    </w:p>
    <w:p w14:paraId="7D2DE6D3" w14:textId="77777777" w:rsidR="00713AC9" w:rsidRPr="00183B5F" w:rsidRDefault="00943743" w:rsidP="00713AC9">
      <w:pPr>
        <w:numPr>
          <w:ilvl w:val="0"/>
          <w:numId w:val="54"/>
        </w:numPr>
        <w:tabs>
          <w:tab w:val="clear" w:pos="567"/>
          <w:tab w:val="left" w:pos="562"/>
        </w:tabs>
        <w:spacing w:line="240" w:lineRule="auto"/>
        <w:ind w:right="-2"/>
      </w:pPr>
      <w:r w:rsidRPr="00183B5F">
        <w:t>látászavar</w:t>
      </w:r>
    </w:p>
    <w:p w14:paraId="64FD17CC" w14:textId="77777777" w:rsidR="00713AC9" w:rsidRPr="00183B5F" w:rsidRDefault="00943743" w:rsidP="00713AC9">
      <w:pPr>
        <w:numPr>
          <w:ilvl w:val="0"/>
          <w:numId w:val="54"/>
        </w:numPr>
        <w:tabs>
          <w:tab w:val="clear" w:pos="567"/>
          <w:tab w:val="left" w:pos="562"/>
        </w:tabs>
        <w:spacing w:line="240" w:lineRule="auto"/>
        <w:ind w:right="-2"/>
      </w:pPr>
      <w:r w:rsidRPr="00183B5F">
        <w:t>szemgyulladás</w:t>
      </w:r>
    </w:p>
    <w:p w14:paraId="5C86E3B8" w14:textId="77777777" w:rsidR="00713AC9" w:rsidRPr="00183B5F" w:rsidRDefault="00943743" w:rsidP="00713AC9">
      <w:pPr>
        <w:numPr>
          <w:ilvl w:val="0"/>
          <w:numId w:val="54"/>
        </w:numPr>
        <w:tabs>
          <w:tab w:val="clear" w:pos="567"/>
          <w:tab w:val="left" w:pos="562"/>
        </w:tabs>
        <w:spacing w:line="240" w:lineRule="auto"/>
        <w:ind w:right="-2"/>
      </w:pPr>
      <w:r w:rsidRPr="00183B5F">
        <w:t>a szemhéj gyulladása és a szem duzzanata</w:t>
      </w:r>
    </w:p>
    <w:p w14:paraId="3DDAF84A" w14:textId="77777777" w:rsidR="00713AC9" w:rsidRPr="00183B5F" w:rsidRDefault="00943743" w:rsidP="00713AC9">
      <w:pPr>
        <w:numPr>
          <w:ilvl w:val="0"/>
          <w:numId w:val="54"/>
        </w:numPr>
        <w:spacing w:line="240" w:lineRule="auto"/>
        <w:ind w:right="-2"/>
      </w:pPr>
      <w:r w:rsidRPr="00183B5F">
        <w:t>vertigo (forgás vagy szédülés érzés)</w:t>
      </w:r>
    </w:p>
    <w:p w14:paraId="1473FEAF" w14:textId="77777777" w:rsidR="00713AC9" w:rsidRPr="00183B5F" w:rsidRDefault="00943743" w:rsidP="00713AC9">
      <w:pPr>
        <w:numPr>
          <w:ilvl w:val="0"/>
          <w:numId w:val="54"/>
        </w:numPr>
        <w:tabs>
          <w:tab w:val="clear" w:pos="567"/>
          <w:tab w:val="left" w:pos="562"/>
        </w:tabs>
        <w:spacing w:line="240" w:lineRule="auto"/>
        <w:ind w:right="-2"/>
      </w:pPr>
      <w:r w:rsidRPr="00183B5F">
        <w:t>gyors szívverés érzés</w:t>
      </w:r>
    </w:p>
    <w:p w14:paraId="40FE4435" w14:textId="77777777" w:rsidR="00713AC9" w:rsidRPr="00183B5F" w:rsidRDefault="00943743" w:rsidP="00713AC9">
      <w:pPr>
        <w:numPr>
          <w:ilvl w:val="0"/>
          <w:numId w:val="54"/>
        </w:numPr>
        <w:tabs>
          <w:tab w:val="clear" w:pos="567"/>
          <w:tab w:val="left" w:pos="562"/>
        </w:tabs>
        <w:spacing w:line="240" w:lineRule="auto"/>
        <w:ind w:right="-2"/>
      </w:pPr>
      <w:r w:rsidRPr="00183B5F">
        <w:t>magas vérnyomás</w:t>
      </w:r>
    </w:p>
    <w:p w14:paraId="758B8DC7" w14:textId="77777777" w:rsidR="00713AC9" w:rsidRPr="00183B5F" w:rsidRDefault="00943743" w:rsidP="00713AC9">
      <w:pPr>
        <w:numPr>
          <w:ilvl w:val="0"/>
          <w:numId w:val="54"/>
        </w:numPr>
        <w:tabs>
          <w:tab w:val="clear" w:pos="567"/>
          <w:tab w:val="left" w:pos="562"/>
        </w:tabs>
        <w:spacing w:line="240" w:lineRule="auto"/>
        <w:ind w:right="-2"/>
      </w:pPr>
      <w:r w:rsidRPr="00183B5F">
        <w:t>kipirulás</w:t>
      </w:r>
    </w:p>
    <w:p w14:paraId="05CAF40C" w14:textId="77777777" w:rsidR="00713AC9" w:rsidRPr="00183B5F" w:rsidRDefault="00943743" w:rsidP="00713AC9">
      <w:pPr>
        <w:numPr>
          <w:ilvl w:val="0"/>
          <w:numId w:val="54"/>
        </w:numPr>
        <w:tabs>
          <w:tab w:val="clear" w:pos="567"/>
          <w:tab w:val="left" w:pos="562"/>
        </w:tabs>
        <w:spacing w:line="240" w:lineRule="auto"/>
        <w:ind w:right="-2"/>
      </w:pPr>
      <w:r w:rsidRPr="00183B5F">
        <w:t>vérömleny (</w:t>
      </w:r>
      <w:r w:rsidRPr="00183B5F">
        <w:rPr>
          <w:szCs w:val="22"/>
        </w:rPr>
        <w:t>vérgyülem az ereken kívül)</w:t>
      </w:r>
    </w:p>
    <w:p w14:paraId="56012170" w14:textId="77777777" w:rsidR="00713AC9" w:rsidRPr="00183B5F" w:rsidRDefault="00943743" w:rsidP="00713AC9">
      <w:pPr>
        <w:numPr>
          <w:ilvl w:val="0"/>
          <w:numId w:val="54"/>
        </w:numPr>
        <w:spacing w:line="240" w:lineRule="auto"/>
        <w:ind w:right="-2"/>
      </w:pPr>
      <w:r w:rsidRPr="00183B5F">
        <w:t>köhögés</w:t>
      </w:r>
    </w:p>
    <w:p w14:paraId="046C9E8E" w14:textId="77777777" w:rsidR="00713AC9" w:rsidRPr="00183B5F" w:rsidRDefault="00943743" w:rsidP="00713AC9">
      <w:pPr>
        <w:numPr>
          <w:ilvl w:val="0"/>
          <w:numId w:val="54"/>
        </w:numPr>
        <w:spacing w:line="240" w:lineRule="auto"/>
        <w:ind w:right="-2"/>
      </w:pPr>
      <w:r w:rsidRPr="00183B5F">
        <w:t>asztma</w:t>
      </w:r>
    </w:p>
    <w:p w14:paraId="560B7165" w14:textId="77777777" w:rsidR="00713AC9" w:rsidRPr="00183B5F" w:rsidRDefault="00943743" w:rsidP="00713AC9">
      <w:pPr>
        <w:numPr>
          <w:ilvl w:val="0"/>
          <w:numId w:val="54"/>
        </w:numPr>
        <w:spacing w:line="240" w:lineRule="auto"/>
        <w:ind w:right="-2"/>
      </w:pPr>
      <w:r w:rsidRPr="00183B5F">
        <w:t>légszomj</w:t>
      </w:r>
    </w:p>
    <w:p w14:paraId="100A184B" w14:textId="77777777" w:rsidR="00713AC9" w:rsidRPr="00183B5F" w:rsidRDefault="00943743" w:rsidP="00713AC9">
      <w:pPr>
        <w:numPr>
          <w:ilvl w:val="0"/>
          <w:numId w:val="54"/>
        </w:numPr>
        <w:spacing w:line="240" w:lineRule="auto"/>
        <w:ind w:right="-2"/>
      </w:pPr>
      <w:r w:rsidRPr="00183B5F">
        <w:t>tápcsatorna eredetű vérzés</w:t>
      </w:r>
    </w:p>
    <w:p w14:paraId="6E52BE99" w14:textId="77777777" w:rsidR="00713AC9" w:rsidRPr="00183B5F" w:rsidRDefault="00943743" w:rsidP="00713AC9">
      <w:pPr>
        <w:numPr>
          <w:ilvl w:val="0"/>
          <w:numId w:val="54"/>
        </w:numPr>
        <w:spacing w:line="240" w:lineRule="auto"/>
        <w:ind w:right="-2"/>
      </w:pPr>
      <w:r w:rsidRPr="00183B5F">
        <w:t>diszpepszia (emésztési zavar, puffadás, gyomorégés)</w:t>
      </w:r>
    </w:p>
    <w:p w14:paraId="7766ED1D" w14:textId="77777777" w:rsidR="00713AC9" w:rsidRPr="00183B5F" w:rsidRDefault="00943743" w:rsidP="00713AC9">
      <w:pPr>
        <w:numPr>
          <w:ilvl w:val="0"/>
          <w:numId w:val="54"/>
        </w:numPr>
        <w:spacing w:line="240" w:lineRule="auto"/>
        <w:ind w:right="-2"/>
      </w:pPr>
      <w:r w:rsidRPr="00183B5F">
        <w:t>a gyomorsav visszafolyása a nyelőcsőbe</w:t>
      </w:r>
    </w:p>
    <w:p w14:paraId="42A3635A" w14:textId="77777777" w:rsidR="00713AC9" w:rsidRPr="00183B5F" w:rsidRDefault="00943743" w:rsidP="00713AC9">
      <w:pPr>
        <w:numPr>
          <w:ilvl w:val="0"/>
          <w:numId w:val="54"/>
        </w:numPr>
        <w:spacing w:line="240" w:lineRule="auto"/>
        <w:ind w:right="-2"/>
      </w:pPr>
      <w:r w:rsidRPr="00183B5F">
        <w:t>szikka-szindróma (beleértve a száraz szemet és a száraz szájat is)</w:t>
      </w:r>
    </w:p>
    <w:p w14:paraId="11274A3E" w14:textId="77777777" w:rsidR="00713AC9" w:rsidRPr="00183B5F" w:rsidRDefault="00943743" w:rsidP="00713AC9">
      <w:pPr>
        <w:numPr>
          <w:ilvl w:val="0"/>
          <w:numId w:val="54"/>
        </w:numPr>
        <w:spacing w:line="240" w:lineRule="auto"/>
        <w:ind w:right="-2"/>
      </w:pPr>
      <w:r w:rsidRPr="00183B5F">
        <w:t>bőrviszketés</w:t>
      </w:r>
    </w:p>
    <w:p w14:paraId="2B57D822" w14:textId="77777777" w:rsidR="00713AC9" w:rsidRPr="00183B5F" w:rsidRDefault="00943743" w:rsidP="00713AC9">
      <w:pPr>
        <w:numPr>
          <w:ilvl w:val="0"/>
          <w:numId w:val="54"/>
        </w:numPr>
        <w:spacing w:line="240" w:lineRule="auto"/>
        <w:ind w:right="-2"/>
      </w:pPr>
      <w:r w:rsidRPr="00183B5F">
        <w:t>viszkető bőrkiütés</w:t>
      </w:r>
    </w:p>
    <w:p w14:paraId="640B5F40" w14:textId="77777777" w:rsidR="00713AC9" w:rsidRPr="00183B5F" w:rsidRDefault="00943743" w:rsidP="00713AC9">
      <w:pPr>
        <w:numPr>
          <w:ilvl w:val="0"/>
          <w:numId w:val="54"/>
        </w:numPr>
        <w:spacing w:line="240" w:lineRule="auto"/>
        <w:ind w:right="-2"/>
      </w:pPr>
      <w:r w:rsidRPr="00183B5F">
        <w:t>véraláfutás</w:t>
      </w:r>
    </w:p>
    <w:p w14:paraId="2351FE5B" w14:textId="77777777" w:rsidR="00713AC9" w:rsidRPr="00183B5F" w:rsidRDefault="00943743" w:rsidP="00713AC9">
      <w:pPr>
        <w:numPr>
          <w:ilvl w:val="0"/>
          <w:numId w:val="54"/>
        </w:numPr>
        <w:spacing w:line="240" w:lineRule="auto"/>
        <w:ind w:right="-2"/>
      </w:pPr>
      <w:r w:rsidRPr="00183B5F">
        <w:t>bőrgyulladás (mint például az ekcéma)</w:t>
      </w:r>
    </w:p>
    <w:p w14:paraId="1B97B650" w14:textId="77777777" w:rsidR="00713AC9" w:rsidRPr="00183B5F" w:rsidRDefault="00943743" w:rsidP="00713AC9">
      <w:pPr>
        <w:numPr>
          <w:ilvl w:val="0"/>
          <w:numId w:val="54"/>
        </w:numPr>
        <w:spacing w:line="240" w:lineRule="auto"/>
        <w:ind w:right="-2"/>
      </w:pPr>
      <w:r w:rsidRPr="00183B5F">
        <w:t>a kéz- és lábujjkörmök töredezése</w:t>
      </w:r>
    </w:p>
    <w:p w14:paraId="2639D8F5" w14:textId="77777777" w:rsidR="00713AC9" w:rsidRPr="00183B5F" w:rsidRDefault="00943743" w:rsidP="00713AC9">
      <w:pPr>
        <w:numPr>
          <w:ilvl w:val="0"/>
          <w:numId w:val="54"/>
        </w:numPr>
        <w:spacing w:line="240" w:lineRule="auto"/>
        <w:ind w:right="-2"/>
      </w:pPr>
      <w:r w:rsidRPr="00183B5F">
        <w:t>fokozott verejtékezés</w:t>
      </w:r>
    </w:p>
    <w:p w14:paraId="1444E3D5" w14:textId="77777777" w:rsidR="00713AC9" w:rsidRPr="00183B5F" w:rsidRDefault="00943743" w:rsidP="00713AC9">
      <w:pPr>
        <w:numPr>
          <w:ilvl w:val="0"/>
          <w:numId w:val="54"/>
        </w:numPr>
        <w:spacing w:line="240" w:lineRule="auto"/>
        <w:ind w:right="-2"/>
      </w:pPr>
      <w:r w:rsidRPr="00183B5F">
        <w:rPr>
          <w:szCs w:val="22"/>
        </w:rPr>
        <w:t>hajhullás</w:t>
      </w:r>
    </w:p>
    <w:p w14:paraId="31E51807" w14:textId="77777777" w:rsidR="00713AC9" w:rsidRPr="00183B5F" w:rsidRDefault="00943743" w:rsidP="00713AC9">
      <w:pPr>
        <w:numPr>
          <w:ilvl w:val="0"/>
          <w:numId w:val="54"/>
        </w:numPr>
        <w:spacing w:line="240" w:lineRule="auto"/>
        <w:ind w:right="-2"/>
      </w:pPr>
      <w:r w:rsidRPr="00183B5F">
        <w:rPr>
          <w:szCs w:val="22"/>
        </w:rPr>
        <w:t>pikkelysömör megjelenése vagy rosszabbodása</w:t>
      </w:r>
    </w:p>
    <w:p w14:paraId="3CD7A07B" w14:textId="77777777" w:rsidR="00713AC9" w:rsidRPr="00183B5F" w:rsidRDefault="00943743" w:rsidP="00713AC9">
      <w:pPr>
        <w:numPr>
          <w:ilvl w:val="0"/>
          <w:numId w:val="54"/>
        </w:numPr>
        <w:spacing w:line="240" w:lineRule="auto"/>
        <w:ind w:right="-2"/>
      </w:pPr>
      <w:r w:rsidRPr="00183B5F">
        <w:t>izomgörcsök</w:t>
      </w:r>
    </w:p>
    <w:p w14:paraId="373463A7" w14:textId="77777777" w:rsidR="00713AC9" w:rsidRPr="00183B5F" w:rsidRDefault="00943743" w:rsidP="00713AC9">
      <w:pPr>
        <w:numPr>
          <w:ilvl w:val="0"/>
          <w:numId w:val="54"/>
        </w:numPr>
        <w:spacing w:line="240" w:lineRule="auto"/>
        <w:ind w:right="-2"/>
      </w:pPr>
      <w:r w:rsidRPr="00183B5F">
        <w:t>véres vizelet</w:t>
      </w:r>
    </w:p>
    <w:p w14:paraId="6FDFD6C1" w14:textId="77777777" w:rsidR="00713AC9" w:rsidRPr="00183B5F" w:rsidRDefault="00943743" w:rsidP="00713AC9">
      <w:pPr>
        <w:numPr>
          <w:ilvl w:val="0"/>
          <w:numId w:val="54"/>
        </w:numPr>
        <w:spacing w:line="240" w:lineRule="auto"/>
        <w:ind w:right="-2"/>
      </w:pPr>
      <w:r w:rsidRPr="00183B5F">
        <w:t>veseproblémák</w:t>
      </w:r>
    </w:p>
    <w:p w14:paraId="793EA930" w14:textId="77777777" w:rsidR="00713AC9" w:rsidRPr="00183B5F" w:rsidRDefault="00943743" w:rsidP="00713AC9">
      <w:pPr>
        <w:numPr>
          <w:ilvl w:val="0"/>
          <w:numId w:val="54"/>
        </w:numPr>
        <w:spacing w:line="240" w:lineRule="auto"/>
        <w:ind w:right="-2"/>
      </w:pPr>
      <w:r w:rsidRPr="00183B5F">
        <w:t>mellkasi fájdalom</w:t>
      </w:r>
    </w:p>
    <w:p w14:paraId="73ED9909" w14:textId="77777777" w:rsidR="00713AC9" w:rsidRPr="00183B5F" w:rsidRDefault="00943743" w:rsidP="00713AC9">
      <w:pPr>
        <w:numPr>
          <w:ilvl w:val="0"/>
          <w:numId w:val="54"/>
        </w:numPr>
        <w:spacing w:line="240" w:lineRule="auto"/>
        <w:ind w:right="-2"/>
      </w:pPr>
      <w:r w:rsidRPr="00183B5F">
        <w:t>vizenyő</w:t>
      </w:r>
      <w:r w:rsidRPr="00183B5F">
        <w:rPr>
          <w:szCs w:val="22"/>
        </w:rPr>
        <w:t xml:space="preserve"> (duzzanat)</w:t>
      </w:r>
    </w:p>
    <w:p w14:paraId="7D14DF2F" w14:textId="77777777" w:rsidR="00713AC9" w:rsidRPr="00183B5F" w:rsidRDefault="00943743" w:rsidP="00713AC9">
      <w:pPr>
        <w:numPr>
          <w:ilvl w:val="0"/>
          <w:numId w:val="54"/>
        </w:numPr>
        <w:spacing w:line="240" w:lineRule="auto"/>
        <w:ind w:right="-2"/>
      </w:pPr>
      <w:r w:rsidRPr="00183B5F">
        <w:t>láz</w:t>
      </w:r>
    </w:p>
    <w:p w14:paraId="24C30417" w14:textId="77777777" w:rsidR="00713AC9" w:rsidRPr="00183B5F" w:rsidRDefault="00943743" w:rsidP="00713AC9">
      <w:pPr>
        <w:numPr>
          <w:ilvl w:val="0"/>
          <w:numId w:val="54"/>
        </w:numPr>
        <w:spacing w:line="240" w:lineRule="auto"/>
        <w:ind w:right="-2"/>
      </w:pPr>
      <w:r w:rsidRPr="00183B5F">
        <w:t>a vérlemezkék számának csökkenése, ami növeli a vérzés vagy a véraláfutás kialakulásának kockázatát</w:t>
      </w:r>
    </w:p>
    <w:p w14:paraId="68809D20" w14:textId="77777777" w:rsidR="00713AC9" w:rsidRPr="00183B5F" w:rsidRDefault="00943743" w:rsidP="00713AC9">
      <w:pPr>
        <w:numPr>
          <w:ilvl w:val="0"/>
          <w:numId w:val="54"/>
        </w:numPr>
        <w:spacing w:line="240" w:lineRule="auto"/>
        <w:ind w:right="-2"/>
      </w:pPr>
      <w:r w:rsidRPr="00183B5F">
        <w:t>csökkent gyógyulási készség</w:t>
      </w:r>
    </w:p>
    <w:p w14:paraId="2918CC5D" w14:textId="77777777" w:rsidR="00713AC9" w:rsidRPr="00183B5F" w:rsidRDefault="00713AC9" w:rsidP="00713AC9">
      <w:pPr>
        <w:spacing w:line="240" w:lineRule="auto"/>
        <w:ind w:right="-2"/>
        <w:rPr>
          <w:szCs w:val="22"/>
        </w:rPr>
      </w:pPr>
    </w:p>
    <w:p w14:paraId="3764C94D" w14:textId="77777777" w:rsidR="00713AC9" w:rsidRPr="00183B5F" w:rsidRDefault="00943743" w:rsidP="00713AC9">
      <w:pPr>
        <w:spacing w:line="240" w:lineRule="auto"/>
        <w:ind w:right="-2"/>
        <w:rPr>
          <w:szCs w:val="22"/>
        </w:rPr>
      </w:pPr>
      <w:r w:rsidRPr="00183B5F">
        <w:rPr>
          <w:b/>
          <w:szCs w:val="22"/>
        </w:rPr>
        <w:t>Nem gyakori</w:t>
      </w:r>
      <w:r w:rsidRPr="00183B5F">
        <w:rPr>
          <w:szCs w:val="22"/>
        </w:rPr>
        <w:t xml:space="preserve"> (100 beteg közül legfeljebb 1</w:t>
      </w:r>
      <w:r w:rsidRPr="00183B5F">
        <w:rPr>
          <w:szCs w:val="22"/>
        </w:rPr>
        <w:noBreakHyphen/>
        <w:t>nél kialakuló)</w:t>
      </w:r>
    </w:p>
    <w:p w14:paraId="308B6DAF" w14:textId="77777777" w:rsidR="00713AC9" w:rsidRPr="00183B5F" w:rsidRDefault="00713AC9" w:rsidP="00713AC9">
      <w:pPr>
        <w:spacing w:line="240" w:lineRule="auto"/>
        <w:ind w:right="-2"/>
        <w:rPr>
          <w:szCs w:val="22"/>
        </w:rPr>
      </w:pPr>
    </w:p>
    <w:p w14:paraId="6FFB9CD3" w14:textId="77777777" w:rsidR="00713AC9" w:rsidRPr="00183B5F" w:rsidRDefault="00943743" w:rsidP="00713AC9">
      <w:pPr>
        <w:numPr>
          <w:ilvl w:val="0"/>
          <w:numId w:val="55"/>
        </w:numPr>
        <w:tabs>
          <w:tab w:val="clear" w:pos="567"/>
          <w:tab w:val="left" w:pos="562"/>
        </w:tabs>
        <w:spacing w:line="240" w:lineRule="auto"/>
        <w:ind w:right="-2"/>
        <w:rPr>
          <w:szCs w:val="22"/>
        </w:rPr>
      </w:pPr>
      <w:r w:rsidRPr="00183B5F">
        <w:rPr>
          <w:szCs w:val="22"/>
        </w:rPr>
        <w:t>opportunista fertőzések (ezek közé tartozik a tuberkulózis és más, olyan fertőzések, amelyek akkor alakulnak ki, amikor a betegségekkel szembeni ellenállóképesség lecsökken)</w:t>
      </w:r>
    </w:p>
    <w:p w14:paraId="22BC4B15" w14:textId="77777777" w:rsidR="00713AC9" w:rsidRPr="00183B5F" w:rsidRDefault="00943743" w:rsidP="00713AC9">
      <w:pPr>
        <w:numPr>
          <w:ilvl w:val="0"/>
          <w:numId w:val="55"/>
        </w:numPr>
        <w:tabs>
          <w:tab w:val="clear" w:pos="567"/>
          <w:tab w:val="left" w:pos="562"/>
        </w:tabs>
        <w:spacing w:line="240" w:lineRule="auto"/>
        <w:ind w:right="-2"/>
        <w:rPr>
          <w:szCs w:val="22"/>
        </w:rPr>
      </w:pPr>
      <w:r w:rsidRPr="00183B5F">
        <w:rPr>
          <w:szCs w:val="22"/>
        </w:rPr>
        <w:t>ideggyógyászati eredetű fertőzések (beleértve a vírusos eredetű agyhártyagyulladást is)</w:t>
      </w:r>
    </w:p>
    <w:p w14:paraId="2C9924FE" w14:textId="77777777" w:rsidR="00713AC9" w:rsidRPr="00183B5F" w:rsidRDefault="00943743" w:rsidP="00713AC9">
      <w:pPr>
        <w:numPr>
          <w:ilvl w:val="0"/>
          <w:numId w:val="55"/>
        </w:numPr>
        <w:spacing w:line="240" w:lineRule="auto"/>
        <w:ind w:right="-2"/>
      </w:pPr>
      <w:r w:rsidRPr="00183B5F">
        <w:t>szemfertőzések</w:t>
      </w:r>
    </w:p>
    <w:p w14:paraId="0A2CFF3D" w14:textId="77777777" w:rsidR="00713AC9" w:rsidRPr="00183B5F" w:rsidRDefault="00943743" w:rsidP="00713AC9">
      <w:pPr>
        <w:numPr>
          <w:ilvl w:val="0"/>
          <w:numId w:val="55"/>
        </w:numPr>
        <w:spacing w:line="240" w:lineRule="auto"/>
        <w:ind w:right="-2"/>
      </w:pPr>
      <w:r w:rsidRPr="00183B5F">
        <w:t>baktériumok okozta fertőzések</w:t>
      </w:r>
    </w:p>
    <w:p w14:paraId="7B488E44" w14:textId="77777777" w:rsidR="00713AC9" w:rsidRPr="00183B5F" w:rsidRDefault="00943743" w:rsidP="00713AC9">
      <w:pPr>
        <w:numPr>
          <w:ilvl w:val="0"/>
          <w:numId w:val="55"/>
        </w:numPr>
        <w:spacing w:line="240" w:lineRule="auto"/>
        <w:ind w:right="-2"/>
      </w:pPr>
      <w:r w:rsidRPr="00183B5F">
        <w:t>divertikulitisz (vastagbélgyulladás és -fertőzés)</w:t>
      </w:r>
    </w:p>
    <w:p w14:paraId="2986AF01" w14:textId="77777777" w:rsidR="00713AC9" w:rsidRPr="00183B5F" w:rsidRDefault="00943743" w:rsidP="00713AC9">
      <w:pPr>
        <w:numPr>
          <w:ilvl w:val="0"/>
          <w:numId w:val="55"/>
        </w:numPr>
        <w:spacing w:line="240" w:lineRule="auto"/>
        <w:ind w:right="-2"/>
      </w:pPr>
      <w:r w:rsidRPr="00183B5F">
        <w:t>rák</w:t>
      </w:r>
    </w:p>
    <w:p w14:paraId="2EF48D36" w14:textId="77777777" w:rsidR="00713AC9" w:rsidRPr="00183B5F" w:rsidRDefault="00943743" w:rsidP="00713AC9">
      <w:pPr>
        <w:numPr>
          <w:ilvl w:val="0"/>
          <w:numId w:val="55"/>
        </w:numPr>
        <w:spacing w:line="240" w:lineRule="auto"/>
        <w:ind w:right="-2"/>
      </w:pPr>
      <w:r w:rsidRPr="00183B5F">
        <w:t>rák, amely a nyirokrendszert támadja meg</w:t>
      </w:r>
    </w:p>
    <w:p w14:paraId="76DA0DE8" w14:textId="77777777" w:rsidR="00713AC9" w:rsidRPr="00183B5F" w:rsidRDefault="00943743" w:rsidP="00713AC9">
      <w:pPr>
        <w:numPr>
          <w:ilvl w:val="0"/>
          <w:numId w:val="55"/>
        </w:numPr>
        <w:spacing w:line="240" w:lineRule="auto"/>
        <w:ind w:right="-2"/>
      </w:pPr>
      <w:r w:rsidRPr="00183B5F">
        <w:t>melanoma</w:t>
      </w:r>
    </w:p>
    <w:p w14:paraId="26546D73" w14:textId="77777777" w:rsidR="00713AC9" w:rsidRPr="00183B5F" w:rsidRDefault="00943743" w:rsidP="00713AC9">
      <w:pPr>
        <w:numPr>
          <w:ilvl w:val="0"/>
          <w:numId w:val="55"/>
        </w:numPr>
        <w:spacing w:line="240" w:lineRule="auto"/>
        <w:ind w:right="-2"/>
      </w:pPr>
      <w:r w:rsidRPr="00183B5F">
        <w:t>a szervezet védekező rendszerének betegségei, amelyek érinthetik a tüdőt, a bőrt és a nyirokcsomókat (leggyakrabban szarkoidózisként jelentkezik)</w:t>
      </w:r>
    </w:p>
    <w:p w14:paraId="0FF7AB79" w14:textId="77777777" w:rsidR="00713AC9" w:rsidRPr="00183B5F" w:rsidRDefault="00943743" w:rsidP="00713AC9">
      <w:pPr>
        <w:numPr>
          <w:ilvl w:val="0"/>
          <w:numId w:val="55"/>
        </w:numPr>
        <w:spacing w:line="240" w:lineRule="auto"/>
        <w:ind w:right="-2"/>
      </w:pPr>
      <w:r w:rsidRPr="00183B5F">
        <w:t>vaszkulitisz (érgyulladás)</w:t>
      </w:r>
    </w:p>
    <w:p w14:paraId="2B79FA81" w14:textId="77777777" w:rsidR="00713AC9" w:rsidRPr="00183B5F" w:rsidRDefault="00943743" w:rsidP="00713AC9">
      <w:pPr>
        <w:numPr>
          <w:ilvl w:val="0"/>
          <w:numId w:val="55"/>
        </w:numPr>
        <w:spacing w:line="240" w:lineRule="auto"/>
        <w:ind w:right="-2"/>
      </w:pPr>
      <w:r w:rsidRPr="00183B5F">
        <w:t>remegés</w:t>
      </w:r>
    </w:p>
    <w:p w14:paraId="018BED86" w14:textId="77777777" w:rsidR="00713AC9" w:rsidRPr="00183B5F" w:rsidRDefault="00943743" w:rsidP="00713AC9">
      <w:pPr>
        <w:numPr>
          <w:ilvl w:val="0"/>
          <w:numId w:val="55"/>
        </w:numPr>
        <w:spacing w:line="240" w:lineRule="auto"/>
        <w:ind w:right="-2"/>
      </w:pPr>
      <w:r w:rsidRPr="00183B5F">
        <w:t xml:space="preserve">neuropátia (idegbántalom) </w:t>
      </w:r>
    </w:p>
    <w:p w14:paraId="7023EC2B" w14:textId="77777777" w:rsidR="00713AC9" w:rsidRPr="00183B5F" w:rsidRDefault="00943743" w:rsidP="00713AC9">
      <w:pPr>
        <w:numPr>
          <w:ilvl w:val="0"/>
          <w:numId w:val="55"/>
        </w:numPr>
        <w:spacing w:line="240" w:lineRule="auto"/>
        <w:ind w:right="-2"/>
      </w:pPr>
      <w:r w:rsidRPr="00183B5F">
        <w:t>szélütés</w:t>
      </w:r>
    </w:p>
    <w:p w14:paraId="2D281A32" w14:textId="77777777" w:rsidR="00713AC9" w:rsidRPr="00183B5F" w:rsidRDefault="00943743" w:rsidP="00713AC9">
      <w:pPr>
        <w:numPr>
          <w:ilvl w:val="0"/>
          <w:numId w:val="55"/>
        </w:numPr>
        <w:spacing w:line="240" w:lineRule="auto"/>
        <w:ind w:right="-2"/>
      </w:pPr>
      <w:r w:rsidRPr="00183B5F">
        <w:t>halláscsökkenés, fülzúgás</w:t>
      </w:r>
    </w:p>
    <w:p w14:paraId="7681B6D2" w14:textId="77777777" w:rsidR="00713AC9" w:rsidRPr="00183B5F" w:rsidRDefault="00943743" w:rsidP="00713AC9">
      <w:pPr>
        <w:numPr>
          <w:ilvl w:val="0"/>
          <w:numId w:val="55"/>
        </w:numPr>
        <w:spacing w:line="240" w:lineRule="auto"/>
        <w:ind w:right="-2"/>
      </w:pPr>
      <w:r w:rsidRPr="00183B5F">
        <w:t>szabálytalan szívverés érzése, mint például kimaradó szívverés</w:t>
      </w:r>
    </w:p>
    <w:p w14:paraId="694F7B24" w14:textId="77777777" w:rsidR="00713AC9" w:rsidRPr="00183B5F" w:rsidRDefault="00943743" w:rsidP="00713AC9">
      <w:pPr>
        <w:numPr>
          <w:ilvl w:val="0"/>
          <w:numId w:val="55"/>
        </w:numPr>
        <w:spacing w:line="240" w:lineRule="auto"/>
        <w:ind w:right="-2"/>
      </w:pPr>
      <w:r w:rsidRPr="00183B5F">
        <w:t>szívproblémák, amelyek például nehézlégzést vagy bokadagadást okozhatnak</w:t>
      </w:r>
    </w:p>
    <w:p w14:paraId="293400CD" w14:textId="77777777" w:rsidR="00713AC9" w:rsidRPr="00183B5F" w:rsidRDefault="00943743" w:rsidP="00713AC9">
      <w:pPr>
        <w:numPr>
          <w:ilvl w:val="0"/>
          <w:numId w:val="55"/>
        </w:numPr>
        <w:spacing w:line="240" w:lineRule="auto"/>
        <w:ind w:right="-2"/>
      </w:pPr>
      <w:r w:rsidRPr="00183B5F">
        <w:t>szívroham</w:t>
      </w:r>
    </w:p>
    <w:p w14:paraId="4B0F8174" w14:textId="77777777" w:rsidR="00713AC9" w:rsidRPr="00183B5F" w:rsidRDefault="00943743" w:rsidP="00713AC9">
      <w:pPr>
        <w:numPr>
          <w:ilvl w:val="0"/>
          <w:numId w:val="55"/>
        </w:numPr>
        <w:spacing w:line="240" w:lineRule="auto"/>
        <w:ind w:right="-2"/>
      </w:pPr>
      <w:r w:rsidRPr="00183B5F">
        <w:rPr>
          <w:szCs w:val="22"/>
        </w:rPr>
        <w:t>zsákszerű kiöblösödés valamely nagy ütőér falán, gyulladás és vérrögképződés valamelyik vénában, érelzáródás</w:t>
      </w:r>
    </w:p>
    <w:p w14:paraId="2CE615D6" w14:textId="77777777" w:rsidR="007F37D3" w:rsidRPr="00183B5F" w:rsidRDefault="00943743" w:rsidP="007F37D3">
      <w:pPr>
        <w:numPr>
          <w:ilvl w:val="0"/>
          <w:numId w:val="55"/>
        </w:numPr>
        <w:spacing w:line="240" w:lineRule="auto"/>
        <w:ind w:right="-2"/>
      </w:pPr>
      <w:r w:rsidRPr="00183B5F">
        <w:t>nehézlégzést okozó tüdőbetegségek (beleértve a gyulladást is)</w:t>
      </w:r>
    </w:p>
    <w:p w14:paraId="11E06C4A" w14:textId="77777777" w:rsidR="00713AC9" w:rsidRPr="00183B5F" w:rsidRDefault="00943743" w:rsidP="00713AC9">
      <w:pPr>
        <w:numPr>
          <w:ilvl w:val="0"/>
          <w:numId w:val="55"/>
        </w:numPr>
        <w:spacing w:line="240" w:lineRule="auto"/>
        <w:ind w:right="-2"/>
      </w:pPr>
      <w:r w:rsidRPr="00183B5F">
        <w:t>tüdőembólia (a tüdőt ellátó ér elzáródása)</w:t>
      </w:r>
    </w:p>
    <w:p w14:paraId="69A7198A" w14:textId="77777777" w:rsidR="00713AC9" w:rsidRPr="00183B5F" w:rsidRDefault="00943743" w:rsidP="00713AC9">
      <w:pPr>
        <w:numPr>
          <w:ilvl w:val="0"/>
          <w:numId w:val="55"/>
        </w:numPr>
        <w:spacing w:line="240" w:lineRule="auto"/>
        <w:ind w:right="-2"/>
      </w:pPr>
      <w:r w:rsidRPr="00183B5F">
        <w:t>pleurális folyadékgyülem (a mellhártyák között kóros folyadékgyülem)</w:t>
      </w:r>
    </w:p>
    <w:p w14:paraId="4A8BA7FC" w14:textId="77777777" w:rsidR="00713AC9" w:rsidRPr="00183B5F" w:rsidRDefault="00943743" w:rsidP="00713AC9">
      <w:pPr>
        <w:numPr>
          <w:ilvl w:val="0"/>
          <w:numId w:val="55"/>
        </w:numPr>
        <w:spacing w:line="240" w:lineRule="auto"/>
        <w:ind w:right="-2"/>
      </w:pPr>
      <w:r w:rsidRPr="00183B5F">
        <w:t>hasnyálmirigy</w:t>
      </w:r>
      <w:r w:rsidRPr="00183B5F">
        <w:noBreakHyphen/>
        <w:t>gyulladás ami erős hasi fájdalmat és hátfájást okoz</w:t>
      </w:r>
    </w:p>
    <w:p w14:paraId="6AB85B1E" w14:textId="77777777" w:rsidR="00713AC9" w:rsidRPr="00183B5F" w:rsidRDefault="00943743" w:rsidP="00713AC9">
      <w:pPr>
        <w:numPr>
          <w:ilvl w:val="0"/>
          <w:numId w:val="55"/>
        </w:numPr>
        <w:spacing w:line="240" w:lineRule="auto"/>
        <w:ind w:right="-2"/>
      </w:pPr>
      <w:r w:rsidRPr="00183B5F">
        <w:t>nyelészavar</w:t>
      </w:r>
    </w:p>
    <w:p w14:paraId="3D8C6F4E" w14:textId="77777777" w:rsidR="00713AC9" w:rsidRPr="00183B5F" w:rsidRDefault="00943743" w:rsidP="00713AC9">
      <w:pPr>
        <w:numPr>
          <w:ilvl w:val="0"/>
          <w:numId w:val="55"/>
        </w:numPr>
        <w:spacing w:line="240" w:lineRule="auto"/>
        <w:ind w:right="-2"/>
      </w:pPr>
      <w:r w:rsidRPr="00183B5F">
        <w:t xml:space="preserve">arcvizenyő (az arc feldagadása) </w:t>
      </w:r>
    </w:p>
    <w:p w14:paraId="4F96E245" w14:textId="77777777" w:rsidR="00713AC9" w:rsidRPr="00183B5F" w:rsidRDefault="00943743" w:rsidP="00713AC9">
      <w:pPr>
        <w:numPr>
          <w:ilvl w:val="0"/>
          <w:numId w:val="55"/>
        </w:numPr>
        <w:spacing w:line="240" w:lineRule="auto"/>
        <w:ind w:right="-2"/>
      </w:pPr>
      <w:r w:rsidRPr="00183B5F">
        <w:t>epehólyag</w:t>
      </w:r>
      <w:r w:rsidR="007F37D3" w:rsidRPr="00183B5F">
        <w:t>-</w:t>
      </w:r>
      <w:r w:rsidRPr="00183B5F">
        <w:t>gyulladás, epekövesség</w:t>
      </w:r>
    </w:p>
    <w:p w14:paraId="6A735039" w14:textId="77777777" w:rsidR="00713AC9" w:rsidRPr="00183B5F" w:rsidRDefault="00943743" w:rsidP="00713AC9">
      <w:pPr>
        <w:numPr>
          <w:ilvl w:val="0"/>
          <w:numId w:val="55"/>
        </w:numPr>
        <w:spacing w:line="240" w:lineRule="auto"/>
        <w:ind w:right="-2"/>
      </w:pPr>
      <w:r w:rsidRPr="00183B5F">
        <w:t>zsírmáj</w:t>
      </w:r>
    </w:p>
    <w:p w14:paraId="64D98EC5" w14:textId="77777777" w:rsidR="00713AC9" w:rsidRPr="00183B5F" w:rsidRDefault="00943743" w:rsidP="00713AC9">
      <w:pPr>
        <w:numPr>
          <w:ilvl w:val="0"/>
          <w:numId w:val="55"/>
        </w:numPr>
        <w:spacing w:line="240" w:lineRule="auto"/>
        <w:ind w:right="-2"/>
      </w:pPr>
      <w:r w:rsidRPr="00183B5F">
        <w:t>éjszakai izzadás</w:t>
      </w:r>
    </w:p>
    <w:p w14:paraId="09470345" w14:textId="77777777" w:rsidR="00713AC9" w:rsidRPr="00183B5F" w:rsidRDefault="00943743" w:rsidP="00713AC9">
      <w:pPr>
        <w:numPr>
          <w:ilvl w:val="0"/>
          <w:numId w:val="55"/>
        </w:numPr>
        <w:spacing w:line="240" w:lineRule="auto"/>
        <w:ind w:right="-2"/>
      </w:pPr>
      <w:r w:rsidRPr="00183B5F">
        <w:t>hegképződés</w:t>
      </w:r>
    </w:p>
    <w:p w14:paraId="04553088" w14:textId="77777777" w:rsidR="00713AC9" w:rsidRPr="00183B5F" w:rsidRDefault="00943743" w:rsidP="00713AC9">
      <w:pPr>
        <w:numPr>
          <w:ilvl w:val="0"/>
          <w:numId w:val="55"/>
        </w:numPr>
        <w:spacing w:line="240" w:lineRule="auto"/>
        <w:ind w:right="-2"/>
      </w:pPr>
      <w:r w:rsidRPr="00183B5F">
        <w:t>az izomszövet kóros szétesése</w:t>
      </w:r>
    </w:p>
    <w:p w14:paraId="5333894D" w14:textId="77777777" w:rsidR="00713AC9" w:rsidRPr="00183B5F" w:rsidRDefault="00943743" w:rsidP="00713AC9">
      <w:pPr>
        <w:numPr>
          <w:ilvl w:val="0"/>
          <w:numId w:val="55"/>
        </w:numPr>
        <w:spacing w:line="240" w:lineRule="auto"/>
        <w:ind w:right="-2"/>
      </w:pPr>
      <w:r w:rsidRPr="00183B5F">
        <w:rPr>
          <w:szCs w:val="22"/>
        </w:rPr>
        <w:t>szisztémás lupusz eritematózusz (beleértve a bőr, a szív, a tüdő, az ízületek és más szervrendszerek gyulladását)</w:t>
      </w:r>
    </w:p>
    <w:p w14:paraId="7B273C24" w14:textId="77777777" w:rsidR="00713AC9" w:rsidRPr="00183B5F" w:rsidRDefault="00943743" w:rsidP="00713AC9">
      <w:pPr>
        <w:numPr>
          <w:ilvl w:val="0"/>
          <w:numId w:val="55"/>
        </w:numPr>
        <w:spacing w:line="240" w:lineRule="auto"/>
        <w:ind w:right="-2"/>
      </w:pPr>
      <w:r w:rsidRPr="00183B5F">
        <w:t>az alvás megszakadása</w:t>
      </w:r>
    </w:p>
    <w:p w14:paraId="2B3B23DF" w14:textId="77777777" w:rsidR="00713AC9" w:rsidRPr="00183B5F" w:rsidRDefault="00943743" w:rsidP="00713AC9">
      <w:pPr>
        <w:numPr>
          <w:ilvl w:val="0"/>
          <w:numId w:val="55"/>
        </w:numPr>
        <w:spacing w:line="240" w:lineRule="auto"/>
        <w:ind w:right="-2"/>
      </w:pPr>
      <w:r w:rsidRPr="00183B5F">
        <w:t>merevedési zavar</w:t>
      </w:r>
    </w:p>
    <w:p w14:paraId="16DBDFFB" w14:textId="77777777" w:rsidR="00713AC9" w:rsidRPr="00183B5F" w:rsidRDefault="00943743" w:rsidP="00713AC9">
      <w:pPr>
        <w:numPr>
          <w:ilvl w:val="0"/>
          <w:numId w:val="55"/>
        </w:numPr>
        <w:tabs>
          <w:tab w:val="num" w:pos="1820"/>
        </w:tabs>
        <w:spacing w:line="240" w:lineRule="auto"/>
        <w:ind w:right="-2"/>
      </w:pPr>
      <w:r w:rsidRPr="00183B5F">
        <w:t>gyulladások</w:t>
      </w:r>
    </w:p>
    <w:p w14:paraId="0C2C5BFB" w14:textId="77777777" w:rsidR="00713AC9" w:rsidRPr="00183B5F" w:rsidRDefault="00713AC9" w:rsidP="00713AC9">
      <w:pPr>
        <w:spacing w:line="240" w:lineRule="auto"/>
        <w:ind w:right="-2"/>
        <w:rPr>
          <w:szCs w:val="22"/>
        </w:rPr>
      </w:pPr>
    </w:p>
    <w:p w14:paraId="1CD15DB7" w14:textId="77777777" w:rsidR="00713AC9" w:rsidRPr="00183B5F" w:rsidRDefault="00943743" w:rsidP="00713AC9">
      <w:pPr>
        <w:spacing w:line="240" w:lineRule="auto"/>
        <w:ind w:right="-2"/>
        <w:rPr>
          <w:szCs w:val="22"/>
        </w:rPr>
      </w:pPr>
      <w:r w:rsidRPr="00183B5F">
        <w:rPr>
          <w:b/>
          <w:szCs w:val="22"/>
        </w:rPr>
        <w:t>Ritka</w:t>
      </w:r>
      <w:r w:rsidRPr="00183B5F">
        <w:rPr>
          <w:szCs w:val="22"/>
        </w:rPr>
        <w:t xml:space="preserve"> (1000 beteg közül legfeljebb 1</w:t>
      </w:r>
      <w:r w:rsidRPr="00183B5F">
        <w:rPr>
          <w:szCs w:val="22"/>
        </w:rPr>
        <w:noBreakHyphen/>
        <w:t>nél kialakuló)</w:t>
      </w:r>
    </w:p>
    <w:p w14:paraId="2704EB6E" w14:textId="77777777" w:rsidR="00713AC9" w:rsidRPr="00183B5F" w:rsidRDefault="00713AC9" w:rsidP="00713AC9">
      <w:pPr>
        <w:spacing w:line="240" w:lineRule="auto"/>
        <w:ind w:right="-2"/>
        <w:rPr>
          <w:szCs w:val="22"/>
        </w:rPr>
      </w:pPr>
    </w:p>
    <w:p w14:paraId="02C8AC69" w14:textId="77777777" w:rsidR="00713AC9" w:rsidRPr="00183B5F" w:rsidRDefault="00943743" w:rsidP="00713AC9">
      <w:pPr>
        <w:numPr>
          <w:ilvl w:val="0"/>
          <w:numId w:val="55"/>
        </w:numPr>
        <w:spacing w:line="240" w:lineRule="auto"/>
        <w:ind w:right="-2"/>
        <w:rPr>
          <w:szCs w:val="22"/>
        </w:rPr>
      </w:pPr>
      <w:r w:rsidRPr="00183B5F">
        <w:rPr>
          <w:szCs w:val="22"/>
        </w:rPr>
        <w:t>leukémia (fehérvérűség, a vérképző rendszer daganata, ami a csontvelőt érinti)</w:t>
      </w:r>
    </w:p>
    <w:p w14:paraId="678AFCA0" w14:textId="77777777" w:rsidR="00713AC9" w:rsidRPr="00183B5F" w:rsidRDefault="00943743" w:rsidP="00713AC9">
      <w:pPr>
        <w:numPr>
          <w:ilvl w:val="0"/>
          <w:numId w:val="58"/>
        </w:numPr>
        <w:spacing w:line="240" w:lineRule="auto"/>
        <w:ind w:right="-2"/>
        <w:rPr>
          <w:szCs w:val="22"/>
        </w:rPr>
      </w:pPr>
      <w:r w:rsidRPr="00183B5F">
        <w:rPr>
          <w:szCs w:val="22"/>
        </w:rPr>
        <w:t>súlyos, sokkot okozó allergiás reakció</w:t>
      </w:r>
    </w:p>
    <w:p w14:paraId="5A0A8714" w14:textId="77777777" w:rsidR="00713AC9" w:rsidRPr="00183B5F" w:rsidRDefault="00943743" w:rsidP="00713AC9">
      <w:pPr>
        <w:numPr>
          <w:ilvl w:val="0"/>
          <w:numId w:val="58"/>
        </w:numPr>
        <w:spacing w:line="240" w:lineRule="auto"/>
        <w:ind w:right="-2"/>
        <w:rPr>
          <w:szCs w:val="22"/>
        </w:rPr>
      </w:pPr>
      <w:r w:rsidRPr="00183B5F">
        <w:rPr>
          <w:szCs w:val="22"/>
        </w:rPr>
        <w:t>szklerózis multiplex</w:t>
      </w:r>
    </w:p>
    <w:p w14:paraId="60ECEBE5" w14:textId="77777777" w:rsidR="00713AC9" w:rsidRPr="00183B5F" w:rsidRDefault="00943743" w:rsidP="00713AC9">
      <w:pPr>
        <w:numPr>
          <w:ilvl w:val="0"/>
          <w:numId w:val="58"/>
        </w:numPr>
        <w:spacing w:line="240" w:lineRule="auto"/>
        <w:ind w:right="-2"/>
        <w:rPr>
          <w:szCs w:val="22"/>
        </w:rPr>
      </w:pPr>
      <w:r w:rsidRPr="00183B5F">
        <w:rPr>
          <w:szCs w:val="22"/>
        </w:rPr>
        <w:t>ideggyógyászati betegségek (</w:t>
      </w:r>
      <w:r w:rsidR="0064540A" w:rsidRPr="00183B5F">
        <w:rPr>
          <w:bCs/>
          <w:szCs w:val="22"/>
        </w:rPr>
        <w:t>például</w:t>
      </w:r>
      <w:r w:rsidRPr="00183B5F">
        <w:rPr>
          <w:szCs w:val="22"/>
        </w:rPr>
        <w:t xml:space="preserve"> a látóideg gyulladása vagy Guillain</w:t>
      </w:r>
      <w:r w:rsidR="00F12F0A" w:rsidRPr="00183B5F">
        <w:rPr>
          <w:szCs w:val="22"/>
        </w:rPr>
        <w:t>–</w:t>
      </w:r>
      <w:r w:rsidRPr="00183B5F">
        <w:rPr>
          <w:szCs w:val="22"/>
        </w:rPr>
        <w:t>Barré-szindróma, ami izomgyengeséget, érzészavart, a karok és a felsőtest zsibbadását okozhatja)</w:t>
      </w:r>
    </w:p>
    <w:p w14:paraId="7C22A407" w14:textId="77777777" w:rsidR="00713AC9" w:rsidRPr="00183B5F" w:rsidRDefault="00943743" w:rsidP="00713AC9">
      <w:pPr>
        <w:numPr>
          <w:ilvl w:val="0"/>
          <w:numId w:val="58"/>
        </w:numPr>
        <w:spacing w:line="240" w:lineRule="auto"/>
        <w:ind w:right="-2"/>
        <w:rPr>
          <w:szCs w:val="22"/>
        </w:rPr>
      </w:pPr>
      <w:r w:rsidRPr="00183B5F">
        <w:rPr>
          <w:szCs w:val="22"/>
        </w:rPr>
        <w:t>szívleállás</w:t>
      </w:r>
    </w:p>
    <w:p w14:paraId="57FB99B3" w14:textId="77777777" w:rsidR="00713AC9" w:rsidRPr="00183B5F" w:rsidRDefault="00943743" w:rsidP="00713AC9">
      <w:pPr>
        <w:pStyle w:val="EMEABullet2"/>
        <w:tabs>
          <w:tab w:val="clear" w:pos="720"/>
          <w:tab w:val="num" w:pos="690"/>
        </w:tabs>
        <w:ind w:left="550" w:hanging="550"/>
        <w:rPr>
          <w:lang w:val="hu-HU"/>
        </w:rPr>
      </w:pPr>
      <w:r w:rsidRPr="00183B5F">
        <w:rPr>
          <w:lang w:val="hu-HU"/>
        </w:rPr>
        <w:t>tüdőfibrózis (tüdőhegesedés)</w:t>
      </w:r>
    </w:p>
    <w:p w14:paraId="6A445D4A" w14:textId="77777777" w:rsidR="00713AC9" w:rsidRPr="00183B5F" w:rsidRDefault="00943743" w:rsidP="00713AC9">
      <w:pPr>
        <w:pStyle w:val="EMEABullet2"/>
        <w:tabs>
          <w:tab w:val="clear" w:pos="720"/>
          <w:tab w:val="num" w:pos="690"/>
        </w:tabs>
        <w:ind w:left="550" w:hanging="550"/>
        <w:rPr>
          <w:lang w:val="hu-HU"/>
        </w:rPr>
      </w:pPr>
      <w:r w:rsidRPr="00183B5F">
        <w:rPr>
          <w:lang w:val="hu-HU"/>
        </w:rPr>
        <w:t xml:space="preserve">bélperforáció (a bél átlyukadása) </w:t>
      </w:r>
    </w:p>
    <w:p w14:paraId="5BBBC3FC" w14:textId="77777777" w:rsidR="00713AC9" w:rsidRPr="00183B5F" w:rsidRDefault="00943743" w:rsidP="00713AC9">
      <w:pPr>
        <w:pStyle w:val="EMEABullet2"/>
        <w:tabs>
          <w:tab w:val="clear" w:pos="720"/>
          <w:tab w:val="num" w:pos="690"/>
        </w:tabs>
        <w:ind w:left="550" w:hanging="550"/>
        <w:rPr>
          <w:lang w:val="hu-HU"/>
        </w:rPr>
      </w:pPr>
      <w:r w:rsidRPr="00183B5F">
        <w:rPr>
          <w:lang w:val="hu-HU"/>
        </w:rPr>
        <w:t>májgyulladás</w:t>
      </w:r>
    </w:p>
    <w:p w14:paraId="4D5A8E29" w14:textId="77777777" w:rsidR="00713AC9" w:rsidRPr="00183B5F" w:rsidRDefault="00943743" w:rsidP="00713AC9">
      <w:pPr>
        <w:pStyle w:val="EMEABullet2"/>
        <w:tabs>
          <w:tab w:val="clear" w:pos="720"/>
          <w:tab w:val="num" w:pos="690"/>
        </w:tabs>
        <w:ind w:left="550" w:hanging="550"/>
        <w:rPr>
          <w:lang w:val="hu-HU"/>
        </w:rPr>
      </w:pPr>
      <w:r w:rsidRPr="00183B5F">
        <w:rPr>
          <w:lang w:val="hu-HU"/>
        </w:rPr>
        <w:t>B típusú fertőző májgyulladás kiújulása</w:t>
      </w:r>
    </w:p>
    <w:p w14:paraId="260C9F27" w14:textId="77777777" w:rsidR="00713AC9" w:rsidRPr="00183B5F" w:rsidRDefault="00943743" w:rsidP="00713AC9">
      <w:pPr>
        <w:pStyle w:val="EMEABullet2"/>
        <w:ind w:left="550" w:hanging="550"/>
        <w:rPr>
          <w:szCs w:val="22"/>
          <w:lang w:val="hu-HU"/>
        </w:rPr>
      </w:pPr>
      <w:r w:rsidRPr="00183B5F">
        <w:rPr>
          <w:lang w:val="hu-HU"/>
        </w:rPr>
        <w:t>autoimmun májgyulladás (a máj gyulladása, melyet a saját immunrendszer vált ki)</w:t>
      </w:r>
    </w:p>
    <w:p w14:paraId="4D424FFE" w14:textId="77777777" w:rsidR="00713AC9" w:rsidRPr="00183B5F" w:rsidRDefault="00943743" w:rsidP="00713AC9">
      <w:pPr>
        <w:pStyle w:val="EMEABullet2"/>
        <w:tabs>
          <w:tab w:val="clear" w:pos="720"/>
          <w:tab w:val="num" w:pos="690"/>
        </w:tabs>
        <w:ind w:left="550" w:hanging="550"/>
        <w:rPr>
          <w:szCs w:val="22"/>
          <w:lang w:val="hu-HU"/>
        </w:rPr>
      </w:pPr>
      <w:r w:rsidRPr="00183B5F">
        <w:rPr>
          <w:szCs w:val="22"/>
          <w:lang w:val="hu-HU"/>
        </w:rPr>
        <w:t>kután vaszkulitisz (a bőrben található erek gyulladása)</w:t>
      </w:r>
    </w:p>
    <w:p w14:paraId="04039F4A" w14:textId="77777777" w:rsidR="00713AC9" w:rsidRPr="00183B5F" w:rsidRDefault="00943743" w:rsidP="00713AC9">
      <w:pPr>
        <w:pStyle w:val="EMEABullet2"/>
        <w:tabs>
          <w:tab w:val="clear" w:pos="720"/>
          <w:tab w:val="num" w:pos="690"/>
        </w:tabs>
        <w:ind w:left="550" w:hanging="550"/>
        <w:rPr>
          <w:szCs w:val="22"/>
          <w:lang w:val="hu-HU"/>
        </w:rPr>
      </w:pPr>
      <w:r w:rsidRPr="00183B5F">
        <w:rPr>
          <w:szCs w:val="22"/>
          <w:lang w:val="hu-HU"/>
        </w:rPr>
        <w:t>Stevens</w:t>
      </w:r>
      <w:r w:rsidR="00004B4F" w:rsidRPr="00183B5F">
        <w:rPr>
          <w:szCs w:val="22"/>
          <w:lang w:val="hu-HU"/>
        </w:rPr>
        <w:t>–</w:t>
      </w:r>
      <w:r w:rsidRPr="00183B5F">
        <w:rPr>
          <w:szCs w:val="22"/>
          <w:lang w:val="hu-HU"/>
        </w:rPr>
        <w:t>Johnson-szindróma (korai tünetei a rossz közérzet, láz, fejfájás és bőrkiütés)</w:t>
      </w:r>
    </w:p>
    <w:p w14:paraId="1A028F76" w14:textId="77777777" w:rsidR="00713AC9" w:rsidRPr="00183B5F" w:rsidRDefault="00943743" w:rsidP="00713AC9">
      <w:pPr>
        <w:pStyle w:val="EMEABullet2"/>
        <w:tabs>
          <w:tab w:val="clear" w:pos="720"/>
          <w:tab w:val="num" w:pos="690"/>
        </w:tabs>
        <w:ind w:left="550" w:hanging="550"/>
        <w:rPr>
          <w:szCs w:val="22"/>
          <w:lang w:val="hu-HU"/>
        </w:rPr>
      </w:pPr>
      <w:r w:rsidRPr="00183B5F">
        <w:rPr>
          <w:szCs w:val="22"/>
          <w:lang w:val="hu-HU"/>
        </w:rPr>
        <w:t>arcvizenyő (az arc duzzanata,) amit allergiás reakció kísér</w:t>
      </w:r>
    </w:p>
    <w:p w14:paraId="6F465078" w14:textId="77777777" w:rsidR="00713AC9" w:rsidRPr="00183B5F" w:rsidRDefault="00943743" w:rsidP="00713AC9">
      <w:pPr>
        <w:numPr>
          <w:ilvl w:val="0"/>
          <w:numId w:val="68"/>
        </w:numPr>
        <w:suppressAutoHyphens w:val="0"/>
        <w:autoSpaceDE w:val="0"/>
        <w:autoSpaceDN w:val="0"/>
        <w:adjustRightInd w:val="0"/>
        <w:spacing w:line="240" w:lineRule="auto"/>
        <w:rPr>
          <w:szCs w:val="22"/>
          <w:lang w:eastAsia="de-DE"/>
        </w:rPr>
      </w:pPr>
      <w:r w:rsidRPr="00183B5F">
        <w:rPr>
          <w:szCs w:val="22"/>
        </w:rPr>
        <w:t>eritéma multiforme (gyulladásos bőrkiütés)</w:t>
      </w:r>
    </w:p>
    <w:p w14:paraId="778A0B0B" w14:textId="77777777" w:rsidR="00713AC9" w:rsidRPr="00183B5F" w:rsidRDefault="00943743" w:rsidP="00713AC9">
      <w:pPr>
        <w:numPr>
          <w:ilvl w:val="0"/>
          <w:numId w:val="68"/>
        </w:numPr>
        <w:spacing w:line="240" w:lineRule="auto"/>
        <w:ind w:right="-2"/>
        <w:rPr>
          <w:szCs w:val="22"/>
        </w:rPr>
      </w:pPr>
      <w:r w:rsidRPr="00183B5F">
        <w:rPr>
          <w:szCs w:val="22"/>
        </w:rPr>
        <w:t>lupusz-szerű szindróma</w:t>
      </w:r>
    </w:p>
    <w:p w14:paraId="05D6A427" w14:textId="77777777" w:rsidR="00713AC9" w:rsidRPr="00183B5F" w:rsidRDefault="00943743" w:rsidP="00713AC9">
      <w:pPr>
        <w:numPr>
          <w:ilvl w:val="0"/>
          <w:numId w:val="68"/>
        </w:numPr>
        <w:spacing w:line="240" w:lineRule="auto"/>
        <w:ind w:right="-2"/>
        <w:rPr>
          <w:szCs w:val="22"/>
        </w:rPr>
      </w:pPr>
      <w:r w:rsidRPr="00183B5F">
        <w:rPr>
          <w:szCs w:val="22"/>
        </w:rPr>
        <w:t>angioödéma (helyi bőrduzzanat)</w:t>
      </w:r>
    </w:p>
    <w:p w14:paraId="16642916" w14:textId="77777777" w:rsidR="004900E4" w:rsidRPr="00183B5F" w:rsidRDefault="00943743">
      <w:pPr>
        <w:numPr>
          <w:ilvl w:val="0"/>
          <w:numId w:val="68"/>
        </w:numPr>
        <w:spacing w:line="240" w:lineRule="auto"/>
        <w:ind w:right="-2"/>
        <w:rPr>
          <w:szCs w:val="22"/>
        </w:rPr>
      </w:pPr>
      <w:r w:rsidRPr="00183B5F">
        <w:rPr>
          <w:szCs w:val="22"/>
        </w:rPr>
        <w:t>lichenoid bőrreakció (viszkető</w:t>
      </w:r>
      <w:r w:rsidR="00464295" w:rsidRPr="00183B5F">
        <w:rPr>
          <w:szCs w:val="22"/>
        </w:rPr>
        <w:t>,</w:t>
      </w:r>
      <w:r w:rsidRPr="00183B5F">
        <w:rPr>
          <w:szCs w:val="22"/>
        </w:rPr>
        <w:t xml:space="preserve"> </w:t>
      </w:r>
      <w:r w:rsidR="007865CD" w:rsidRPr="00183B5F">
        <w:rPr>
          <w:szCs w:val="22"/>
        </w:rPr>
        <w:t>vöröses</w:t>
      </w:r>
      <w:r w:rsidRPr="00183B5F">
        <w:rPr>
          <w:szCs w:val="22"/>
        </w:rPr>
        <w:t xml:space="preserve">-lilás bőrkiütés). </w:t>
      </w:r>
    </w:p>
    <w:p w14:paraId="1B88FE52" w14:textId="77777777" w:rsidR="00713AC9" w:rsidRPr="00183B5F" w:rsidRDefault="00713AC9" w:rsidP="00713AC9">
      <w:pPr>
        <w:suppressAutoHyphens w:val="0"/>
        <w:autoSpaceDE w:val="0"/>
        <w:autoSpaceDN w:val="0"/>
        <w:adjustRightInd w:val="0"/>
        <w:spacing w:line="240" w:lineRule="auto"/>
        <w:rPr>
          <w:szCs w:val="22"/>
          <w:lang w:eastAsia="de-DE"/>
        </w:rPr>
      </w:pPr>
    </w:p>
    <w:p w14:paraId="719154A5" w14:textId="77777777" w:rsidR="00713AC9" w:rsidRPr="00183B5F" w:rsidRDefault="00943743" w:rsidP="002D49EE">
      <w:pPr>
        <w:keepNext/>
        <w:spacing w:line="240" w:lineRule="auto"/>
        <w:ind w:right="-2"/>
        <w:rPr>
          <w:szCs w:val="22"/>
        </w:rPr>
      </w:pPr>
      <w:r w:rsidRPr="00183B5F">
        <w:rPr>
          <w:b/>
          <w:szCs w:val="22"/>
        </w:rPr>
        <w:t>Nem ismert</w:t>
      </w:r>
      <w:r w:rsidRPr="00183B5F">
        <w:rPr>
          <w:szCs w:val="22"/>
        </w:rPr>
        <w:t xml:space="preserve"> (a</w:t>
      </w:r>
      <w:r w:rsidR="00004B4F" w:rsidRPr="00183B5F">
        <w:rPr>
          <w:szCs w:val="22"/>
        </w:rPr>
        <w:t xml:space="preserve"> gyakoriság a</w:t>
      </w:r>
      <w:r w:rsidRPr="00183B5F">
        <w:rPr>
          <w:szCs w:val="22"/>
        </w:rPr>
        <w:t xml:space="preserve"> rendelkezésre álló adatokból nem állapítható meg)</w:t>
      </w:r>
    </w:p>
    <w:p w14:paraId="6F693B5E" w14:textId="77777777" w:rsidR="00713AC9" w:rsidRPr="00183B5F" w:rsidRDefault="00713AC9" w:rsidP="002D49EE">
      <w:pPr>
        <w:keepNext/>
        <w:spacing w:line="240" w:lineRule="auto"/>
        <w:ind w:right="-2"/>
        <w:rPr>
          <w:szCs w:val="22"/>
        </w:rPr>
      </w:pPr>
    </w:p>
    <w:p w14:paraId="3317880D" w14:textId="77777777" w:rsidR="00713AC9" w:rsidRPr="00183B5F" w:rsidRDefault="00943743" w:rsidP="002D49EE">
      <w:pPr>
        <w:keepNext/>
        <w:numPr>
          <w:ilvl w:val="0"/>
          <w:numId w:val="106"/>
        </w:numPr>
        <w:spacing w:line="240" w:lineRule="auto"/>
        <w:ind w:left="567" w:right="-2" w:hanging="567"/>
        <w:rPr>
          <w:szCs w:val="22"/>
        </w:rPr>
      </w:pPr>
      <w:r w:rsidRPr="00183B5F">
        <w:rPr>
          <w:szCs w:val="22"/>
        </w:rPr>
        <w:t>hepatoszplénikus T</w:t>
      </w:r>
      <w:r w:rsidRPr="00183B5F">
        <w:rPr>
          <w:szCs w:val="22"/>
        </w:rPr>
        <w:noBreakHyphen/>
        <w:t>sejtes limfóma (ritka vérrák, ami gyakran halálos kimenetelű)</w:t>
      </w:r>
    </w:p>
    <w:p w14:paraId="28CB1ACA" w14:textId="77777777" w:rsidR="00713AC9" w:rsidRPr="00183B5F" w:rsidRDefault="00943743" w:rsidP="002D49EE">
      <w:pPr>
        <w:keepNext/>
        <w:numPr>
          <w:ilvl w:val="0"/>
          <w:numId w:val="106"/>
        </w:numPr>
        <w:spacing w:line="240" w:lineRule="auto"/>
        <w:ind w:left="567" w:right="-2" w:hanging="567"/>
        <w:rPr>
          <w:szCs w:val="22"/>
        </w:rPr>
      </w:pPr>
      <w:r w:rsidRPr="00183B5F">
        <w:rPr>
          <w:szCs w:val="22"/>
        </w:rPr>
        <w:t>Merkel</w:t>
      </w:r>
      <w:r w:rsidRPr="00183B5F">
        <w:rPr>
          <w:szCs w:val="22"/>
        </w:rPr>
        <w:noBreakHyphen/>
        <w:t>sejtes karcinóma (bőrrák egyik típusa)</w:t>
      </w:r>
    </w:p>
    <w:p w14:paraId="12CF767A" w14:textId="77777777" w:rsidR="00886BBE" w:rsidRPr="00183B5F" w:rsidRDefault="00943743" w:rsidP="002D49EE">
      <w:pPr>
        <w:keepNext/>
        <w:numPr>
          <w:ilvl w:val="0"/>
          <w:numId w:val="106"/>
        </w:numPr>
        <w:spacing w:line="240" w:lineRule="auto"/>
        <w:ind w:left="567" w:right="-2" w:hanging="567"/>
        <w:rPr>
          <w:szCs w:val="22"/>
        </w:rPr>
      </w:pPr>
      <w:r w:rsidRPr="00183B5F">
        <w:rPr>
          <w:szCs w:val="22"/>
        </w:rPr>
        <w:t>Kaposi-szarkóma, a 8-as típusú humán herpeszvírus fertőzéssel járó ritka daganatos megbetegedés. A Kaposi-szarkóma leggyakrabban a bőrön jelenik meg lila elváltozások formájában;</w:t>
      </w:r>
    </w:p>
    <w:p w14:paraId="3C00D78C" w14:textId="77777777" w:rsidR="00713AC9" w:rsidRPr="00183B5F" w:rsidRDefault="00943743">
      <w:pPr>
        <w:numPr>
          <w:ilvl w:val="0"/>
          <w:numId w:val="106"/>
        </w:numPr>
        <w:spacing w:line="240" w:lineRule="auto"/>
        <w:ind w:left="567" w:right="-2" w:hanging="567"/>
        <w:rPr>
          <w:szCs w:val="22"/>
        </w:rPr>
      </w:pPr>
      <w:r w:rsidRPr="00183B5F">
        <w:rPr>
          <w:szCs w:val="22"/>
        </w:rPr>
        <w:t>májelégtelenség</w:t>
      </w:r>
    </w:p>
    <w:p w14:paraId="0759FCAA" w14:textId="77777777" w:rsidR="00713AC9" w:rsidRPr="00183B5F" w:rsidRDefault="00943743" w:rsidP="00812C41">
      <w:pPr>
        <w:numPr>
          <w:ilvl w:val="0"/>
          <w:numId w:val="106"/>
        </w:numPr>
        <w:spacing w:line="240" w:lineRule="auto"/>
        <w:ind w:left="567" w:right="-2" w:hanging="540"/>
        <w:rPr>
          <w:szCs w:val="22"/>
        </w:rPr>
      </w:pPr>
      <w:r w:rsidRPr="00183B5F">
        <w:rPr>
          <w:szCs w:val="22"/>
        </w:rPr>
        <w:t>dermatomiozitisz nevű betegség (izomgyengeséghez társult bőrkiütés formájában jelentkezik) súlyosbodása</w:t>
      </w:r>
    </w:p>
    <w:p w14:paraId="223EC154" w14:textId="77777777" w:rsidR="004025F9" w:rsidRPr="00183B5F" w:rsidRDefault="00943743" w:rsidP="004025F9">
      <w:pPr>
        <w:numPr>
          <w:ilvl w:val="0"/>
          <w:numId w:val="106"/>
        </w:numPr>
        <w:spacing w:line="240" w:lineRule="auto"/>
        <w:ind w:left="567" w:right="-2" w:hanging="540"/>
        <w:rPr>
          <w:szCs w:val="22"/>
        </w:rPr>
      </w:pPr>
      <w:r w:rsidRPr="00183B5F">
        <w:t>testsúlynövekedés (a legtöbb betegnél ez kismértékű volt)</w:t>
      </w:r>
    </w:p>
    <w:p w14:paraId="5C8B7680" w14:textId="77777777" w:rsidR="00713AC9" w:rsidRPr="00183B5F" w:rsidRDefault="00713AC9" w:rsidP="00713AC9">
      <w:pPr>
        <w:spacing w:line="240" w:lineRule="auto"/>
        <w:ind w:right="-2"/>
        <w:rPr>
          <w:szCs w:val="22"/>
          <w:lang w:eastAsia="de-DE"/>
        </w:rPr>
      </w:pPr>
    </w:p>
    <w:p w14:paraId="6D4DF52C" w14:textId="77777777" w:rsidR="00713AC9" w:rsidRPr="00183B5F" w:rsidRDefault="00943743" w:rsidP="00713AC9">
      <w:pPr>
        <w:suppressAutoHyphens w:val="0"/>
        <w:autoSpaceDE w:val="0"/>
        <w:autoSpaceDN w:val="0"/>
        <w:adjustRightInd w:val="0"/>
        <w:spacing w:line="240" w:lineRule="auto"/>
        <w:rPr>
          <w:szCs w:val="22"/>
          <w:lang w:eastAsia="de-DE"/>
        </w:rPr>
      </w:pPr>
      <w:r w:rsidRPr="00183B5F">
        <w:rPr>
          <w:szCs w:val="22"/>
          <w:lang w:eastAsia="de-DE"/>
        </w:rPr>
        <w:t>A Humira alkalmazása során észlelt némelyik mellékhatás nem okoz tüneteket, és lehet, hogy csak vérvizsgálattal deríthető ki.</w:t>
      </w:r>
    </w:p>
    <w:p w14:paraId="62C38FAB" w14:textId="77777777" w:rsidR="00713AC9" w:rsidRPr="00183B5F" w:rsidRDefault="00943743" w:rsidP="00713AC9">
      <w:pPr>
        <w:suppressAutoHyphens w:val="0"/>
        <w:autoSpaceDE w:val="0"/>
        <w:autoSpaceDN w:val="0"/>
        <w:adjustRightInd w:val="0"/>
        <w:spacing w:line="240" w:lineRule="auto"/>
        <w:rPr>
          <w:szCs w:val="22"/>
          <w:lang w:eastAsia="de-DE"/>
        </w:rPr>
      </w:pPr>
      <w:r w:rsidRPr="00183B5F">
        <w:rPr>
          <w:szCs w:val="22"/>
          <w:lang w:eastAsia="de-DE"/>
        </w:rPr>
        <w:t>Ezek közé tartozik:</w:t>
      </w:r>
    </w:p>
    <w:p w14:paraId="036B888A" w14:textId="77777777" w:rsidR="00713AC9" w:rsidRPr="00183B5F" w:rsidRDefault="00713AC9" w:rsidP="00713AC9">
      <w:pPr>
        <w:suppressAutoHyphens w:val="0"/>
        <w:autoSpaceDE w:val="0"/>
        <w:autoSpaceDN w:val="0"/>
        <w:adjustRightInd w:val="0"/>
        <w:spacing w:line="240" w:lineRule="auto"/>
        <w:rPr>
          <w:szCs w:val="22"/>
          <w:lang w:eastAsia="de-DE"/>
        </w:rPr>
      </w:pPr>
    </w:p>
    <w:p w14:paraId="4F61BB72" w14:textId="77777777" w:rsidR="00713AC9" w:rsidRPr="00183B5F" w:rsidRDefault="00943743" w:rsidP="00713AC9">
      <w:pPr>
        <w:suppressAutoHyphens w:val="0"/>
        <w:spacing w:line="240" w:lineRule="auto"/>
        <w:rPr>
          <w:szCs w:val="22"/>
        </w:rPr>
      </w:pPr>
      <w:r w:rsidRPr="00183B5F">
        <w:rPr>
          <w:b/>
          <w:szCs w:val="22"/>
        </w:rPr>
        <w:t>Nagyon gyakori</w:t>
      </w:r>
      <w:r w:rsidRPr="00183B5F">
        <w:rPr>
          <w:szCs w:val="22"/>
        </w:rPr>
        <w:t xml:space="preserve"> (10 beteg közül több mint 1</w:t>
      </w:r>
      <w:r w:rsidRPr="00183B5F">
        <w:rPr>
          <w:szCs w:val="22"/>
        </w:rPr>
        <w:noBreakHyphen/>
        <w:t>nél alakul ki)</w:t>
      </w:r>
    </w:p>
    <w:p w14:paraId="7360EFC9" w14:textId="77777777" w:rsidR="00713AC9" w:rsidRPr="00183B5F" w:rsidRDefault="00713AC9" w:rsidP="00713AC9">
      <w:pPr>
        <w:suppressAutoHyphens w:val="0"/>
        <w:spacing w:line="240" w:lineRule="auto"/>
        <w:rPr>
          <w:szCs w:val="22"/>
        </w:rPr>
      </w:pPr>
    </w:p>
    <w:p w14:paraId="68DBD705" w14:textId="77777777" w:rsidR="00713AC9" w:rsidRPr="00183B5F" w:rsidRDefault="00943743" w:rsidP="00713AC9">
      <w:pPr>
        <w:numPr>
          <w:ilvl w:val="0"/>
          <w:numId w:val="76"/>
        </w:numPr>
        <w:tabs>
          <w:tab w:val="clear" w:pos="720"/>
          <w:tab w:val="num" w:pos="550"/>
        </w:tabs>
        <w:suppressAutoHyphens w:val="0"/>
        <w:spacing w:line="240" w:lineRule="auto"/>
        <w:ind w:left="550" w:hanging="550"/>
      </w:pPr>
      <w:r w:rsidRPr="00183B5F">
        <w:t>alacsony fehérvérsejtszám</w:t>
      </w:r>
    </w:p>
    <w:p w14:paraId="54D4D553" w14:textId="77777777" w:rsidR="00713AC9" w:rsidRPr="00183B5F" w:rsidRDefault="00943743" w:rsidP="00713AC9">
      <w:pPr>
        <w:numPr>
          <w:ilvl w:val="0"/>
          <w:numId w:val="76"/>
        </w:numPr>
        <w:tabs>
          <w:tab w:val="clear" w:pos="720"/>
          <w:tab w:val="num" w:pos="550"/>
        </w:tabs>
        <w:suppressAutoHyphens w:val="0"/>
        <w:spacing w:line="240" w:lineRule="auto"/>
        <w:ind w:left="550" w:hanging="550"/>
      </w:pPr>
      <w:r w:rsidRPr="00183B5F">
        <w:rPr>
          <w:szCs w:val="22"/>
        </w:rPr>
        <w:t>alacsony vörösvértestszám</w:t>
      </w:r>
    </w:p>
    <w:p w14:paraId="0408AA52" w14:textId="77777777" w:rsidR="00713AC9" w:rsidRPr="00183B5F" w:rsidRDefault="00943743" w:rsidP="00713AC9">
      <w:pPr>
        <w:numPr>
          <w:ilvl w:val="0"/>
          <w:numId w:val="76"/>
        </w:numPr>
        <w:tabs>
          <w:tab w:val="clear" w:pos="720"/>
          <w:tab w:val="num" w:pos="550"/>
        </w:tabs>
        <w:suppressAutoHyphens w:val="0"/>
        <w:spacing w:line="240" w:lineRule="auto"/>
        <w:ind w:left="550" w:hanging="550"/>
      </w:pPr>
      <w:r w:rsidRPr="00183B5F">
        <w:rPr>
          <w:szCs w:val="22"/>
        </w:rPr>
        <w:t>a vérzsírszint emelkedése</w:t>
      </w:r>
    </w:p>
    <w:p w14:paraId="5B7AC51C" w14:textId="77777777" w:rsidR="00713AC9" w:rsidRPr="00183B5F" w:rsidRDefault="00943743" w:rsidP="00713AC9">
      <w:pPr>
        <w:numPr>
          <w:ilvl w:val="0"/>
          <w:numId w:val="76"/>
        </w:numPr>
        <w:tabs>
          <w:tab w:val="clear" w:pos="720"/>
          <w:tab w:val="num" w:pos="550"/>
        </w:tabs>
        <w:suppressAutoHyphens w:val="0"/>
        <w:spacing w:line="240" w:lineRule="auto"/>
        <w:ind w:left="550" w:hanging="550"/>
      </w:pPr>
      <w:r w:rsidRPr="00183B5F">
        <w:rPr>
          <w:szCs w:val="22"/>
        </w:rPr>
        <w:t>emelkedett májenzimszint</w:t>
      </w:r>
    </w:p>
    <w:p w14:paraId="0FE89B4A" w14:textId="77777777" w:rsidR="00713AC9" w:rsidRPr="00183B5F" w:rsidRDefault="00713AC9" w:rsidP="00713AC9">
      <w:pPr>
        <w:suppressAutoHyphens w:val="0"/>
        <w:spacing w:line="240" w:lineRule="auto"/>
        <w:rPr>
          <w:szCs w:val="22"/>
        </w:rPr>
      </w:pPr>
    </w:p>
    <w:p w14:paraId="699A30BC" w14:textId="77777777" w:rsidR="00713AC9" w:rsidRPr="00183B5F" w:rsidRDefault="00943743" w:rsidP="00713AC9">
      <w:pPr>
        <w:suppressAutoHyphens w:val="0"/>
        <w:spacing w:line="240" w:lineRule="auto"/>
        <w:rPr>
          <w:szCs w:val="22"/>
        </w:rPr>
      </w:pPr>
      <w:r w:rsidRPr="00183B5F">
        <w:rPr>
          <w:b/>
          <w:szCs w:val="22"/>
        </w:rPr>
        <w:t>Gyakori</w:t>
      </w:r>
      <w:r w:rsidRPr="00183B5F">
        <w:rPr>
          <w:szCs w:val="22"/>
        </w:rPr>
        <w:t xml:space="preserve"> (10 beteg közül legfeljebb 1</w:t>
      </w:r>
      <w:r w:rsidRPr="00183B5F">
        <w:rPr>
          <w:szCs w:val="22"/>
        </w:rPr>
        <w:noBreakHyphen/>
        <w:t>nél alakul ki)</w:t>
      </w:r>
    </w:p>
    <w:p w14:paraId="5B4C87BE" w14:textId="77777777" w:rsidR="00713AC9" w:rsidRPr="00183B5F" w:rsidRDefault="00713AC9" w:rsidP="00713AC9">
      <w:pPr>
        <w:suppressAutoHyphens w:val="0"/>
        <w:spacing w:line="240" w:lineRule="auto"/>
        <w:rPr>
          <w:szCs w:val="22"/>
        </w:rPr>
      </w:pPr>
    </w:p>
    <w:p w14:paraId="22006FFF" w14:textId="77777777" w:rsidR="00713AC9" w:rsidRPr="00183B5F" w:rsidRDefault="00943743" w:rsidP="00713AC9">
      <w:pPr>
        <w:numPr>
          <w:ilvl w:val="0"/>
          <w:numId w:val="76"/>
        </w:numPr>
        <w:tabs>
          <w:tab w:val="clear" w:pos="720"/>
          <w:tab w:val="num" w:pos="550"/>
        </w:tabs>
        <w:suppressAutoHyphens w:val="0"/>
        <w:spacing w:line="240" w:lineRule="auto"/>
        <w:ind w:left="550" w:hanging="550"/>
      </w:pPr>
      <w:r w:rsidRPr="00183B5F">
        <w:t>magas fehérvérsejtszám</w:t>
      </w:r>
    </w:p>
    <w:p w14:paraId="05D559AA" w14:textId="77777777" w:rsidR="00713AC9" w:rsidRPr="00183B5F" w:rsidRDefault="00943743" w:rsidP="00713AC9">
      <w:pPr>
        <w:numPr>
          <w:ilvl w:val="0"/>
          <w:numId w:val="76"/>
        </w:numPr>
        <w:tabs>
          <w:tab w:val="clear" w:pos="720"/>
          <w:tab w:val="num" w:pos="550"/>
        </w:tabs>
        <w:suppressAutoHyphens w:val="0"/>
        <w:spacing w:line="240" w:lineRule="auto"/>
        <w:ind w:left="550" w:hanging="550"/>
      </w:pPr>
      <w:r w:rsidRPr="00183B5F">
        <w:rPr>
          <w:szCs w:val="22"/>
        </w:rPr>
        <w:t>alacsony vérlemezkeszám</w:t>
      </w:r>
    </w:p>
    <w:p w14:paraId="64DD81EF" w14:textId="77777777" w:rsidR="00713AC9" w:rsidRPr="00183B5F" w:rsidRDefault="00943743" w:rsidP="00713AC9">
      <w:pPr>
        <w:numPr>
          <w:ilvl w:val="0"/>
          <w:numId w:val="76"/>
        </w:numPr>
        <w:tabs>
          <w:tab w:val="clear" w:pos="720"/>
          <w:tab w:val="num" w:pos="550"/>
        </w:tabs>
        <w:suppressAutoHyphens w:val="0"/>
        <w:spacing w:line="240" w:lineRule="auto"/>
        <w:ind w:left="550" w:hanging="550"/>
      </w:pPr>
      <w:r w:rsidRPr="00183B5F">
        <w:rPr>
          <w:szCs w:val="22"/>
        </w:rPr>
        <w:t>emelkedett húgysavszint a vérben</w:t>
      </w:r>
    </w:p>
    <w:p w14:paraId="20CE89FD" w14:textId="77777777" w:rsidR="00713AC9" w:rsidRPr="00183B5F" w:rsidRDefault="00943743" w:rsidP="00713AC9">
      <w:pPr>
        <w:numPr>
          <w:ilvl w:val="0"/>
          <w:numId w:val="76"/>
        </w:numPr>
        <w:tabs>
          <w:tab w:val="clear" w:pos="720"/>
          <w:tab w:val="num" w:pos="550"/>
        </w:tabs>
        <w:suppressAutoHyphens w:val="0"/>
        <w:spacing w:line="240" w:lineRule="auto"/>
        <w:ind w:left="550" w:hanging="550"/>
      </w:pPr>
      <w:r w:rsidRPr="00183B5F">
        <w:t>kóros nátriumszint a vérben</w:t>
      </w:r>
    </w:p>
    <w:p w14:paraId="2E90726C" w14:textId="77777777" w:rsidR="00713AC9" w:rsidRPr="00183B5F" w:rsidRDefault="00943743" w:rsidP="00713AC9">
      <w:pPr>
        <w:numPr>
          <w:ilvl w:val="0"/>
          <w:numId w:val="76"/>
        </w:numPr>
        <w:tabs>
          <w:tab w:val="clear" w:pos="720"/>
          <w:tab w:val="num" w:pos="550"/>
        </w:tabs>
        <w:suppressAutoHyphens w:val="0"/>
        <w:spacing w:line="240" w:lineRule="auto"/>
        <w:ind w:left="550" w:hanging="550"/>
      </w:pPr>
      <w:r w:rsidRPr="00183B5F">
        <w:rPr>
          <w:szCs w:val="22"/>
        </w:rPr>
        <w:t>alacsony kalciumszint a vérben</w:t>
      </w:r>
    </w:p>
    <w:p w14:paraId="768265F5" w14:textId="77777777" w:rsidR="00713AC9" w:rsidRPr="00183B5F" w:rsidRDefault="00943743" w:rsidP="00713AC9">
      <w:pPr>
        <w:numPr>
          <w:ilvl w:val="0"/>
          <w:numId w:val="76"/>
        </w:numPr>
        <w:tabs>
          <w:tab w:val="clear" w:pos="720"/>
          <w:tab w:val="num" w:pos="550"/>
        </w:tabs>
        <w:suppressAutoHyphens w:val="0"/>
        <w:spacing w:line="240" w:lineRule="auto"/>
        <w:ind w:left="550" w:hanging="550"/>
      </w:pPr>
      <w:r w:rsidRPr="00183B5F">
        <w:rPr>
          <w:szCs w:val="22"/>
        </w:rPr>
        <w:t>alacsony foszfátszint a vérben</w:t>
      </w:r>
    </w:p>
    <w:p w14:paraId="038E6836" w14:textId="77777777" w:rsidR="00713AC9" w:rsidRPr="00183B5F" w:rsidRDefault="00943743" w:rsidP="00713AC9">
      <w:pPr>
        <w:numPr>
          <w:ilvl w:val="0"/>
          <w:numId w:val="76"/>
        </w:numPr>
        <w:tabs>
          <w:tab w:val="clear" w:pos="720"/>
          <w:tab w:val="num" w:pos="550"/>
        </w:tabs>
        <w:suppressAutoHyphens w:val="0"/>
        <w:spacing w:line="240" w:lineRule="auto"/>
        <w:ind w:left="550" w:hanging="550"/>
      </w:pPr>
      <w:r w:rsidRPr="00183B5F">
        <w:t>magas vércukorszint</w:t>
      </w:r>
    </w:p>
    <w:p w14:paraId="09408B01" w14:textId="77777777" w:rsidR="00713AC9" w:rsidRPr="00183B5F" w:rsidRDefault="00943743" w:rsidP="00713AC9">
      <w:pPr>
        <w:numPr>
          <w:ilvl w:val="0"/>
          <w:numId w:val="76"/>
        </w:numPr>
        <w:tabs>
          <w:tab w:val="clear" w:pos="720"/>
          <w:tab w:val="num" w:pos="550"/>
        </w:tabs>
        <w:suppressAutoHyphens w:val="0"/>
        <w:spacing w:line="240" w:lineRule="auto"/>
        <w:ind w:left="550" w:hanging="550"/>
      </w:pPr>
      <w:r w:rsidRPr="00183B5F">
        <w:rPr>
          <w:szCs w:val="22"/>
        </w:rPr>
        <w:t xml:space="preserve">emelkedett </w:t>
      </w:r>
      <w:r w:rsidRPr="00183B5F">
        <w:t>laktát-dehidrogenáz-szint a vérben</w:t>
      </w:r>
    </w:p>
    <w:p w14:paraId="0C215F5C" w14:textId="77777777" w:rsidR="00713AC9" w:rsidRPr="00183B5F" w:rsidRDefault="00943743" w:rsidP="00713AC9">
      <w:pPr>
        <w:numPr>
          <w:ilvl w:val="0"/>
          <w:numId w:val="76"/>
        </w:numPr>
        <w:tabs>
          <w:tab w:val="clear" w:pos="720"/>
          <w:tab w:val="num" w:pos="550"/>
        </w:tabs>
        <w:suppressAutoHyphens w:val="0"/>
        <w:spacing w:line="240" w:lineRule="auto"/>
        <w:ind w:left="550" w:hanging="550"/>
      </w:pPr>
      <w:r w:rsidRPr="00183B5F">
        <w:rPr>
          <w:szCs w:val="22"/>
        </w:rPr>
        <w:t>autoantitestek megjelenése a vérben</w:t>
      </w:r>
    </w:p>
    <w:p w14:paraId="77541686" w14:textId="77777777" w:rsidR="00713AC9" w:rsidRPr="00183B5F" w:rsidRDefault="00943743" w:rsidP="00713AC9">
      <w:pPr>
        <w:numPr>
          <w:ilvl w:val="0"/>
          <w:numId w:val="76"/>
        </w:numPr>
        <w:tabs>
          <w:tab w:val="clear" w:pos="720"/>
          <w:tab w:val="num" w:pos="550"/>
        </w:tabs>
        <w:suppressAutoHyphens w:val="0"/>
        <w:spacing w:line="240" w:lineRule="auto"/>
        <w:ind w:left="550" w:hanging="550"/>
      </w:pPr>
      <w:r w:rsidRPr="00183B5F">
        <w:t>alacsony káliumszint a vérben</w:t>
      </w:r>
    </w:p>
    <w:p w14:paraId="6FF1052B" w14:textId="77777777" w:rsidR="00713AC9" w:rsidRPr="00183B5F" w:rsidRDefault="00713AC9" w:rsidP="00713AC9">
      <w:pPr>
        <w:suppressAutoHyphens w:val="0"/>
        <w:spacing w:line="240" w:lineRule="auto"/>
      </w:pPr>
    </w:p>
    <w:p w14:paraId="0C603172" w14:textId="77777777" w:rsidR="00713AC9" w:rsidRPr="00183B5F" w:rsidRDefault="00943743" w:rsidP="00713AC9">
      <w:pPr>
        <w:suppressAutoHyphens w:val="0"/>
        <w:spacing w:line="240" w:lineRule="auto"/>
        <w:rPr>
          <w:szCs w:val="22"/>
        </w:rPr>
      </w:pPr>
      <w:r w:rsidRPr="00183B5F">
        <w:rPr>
          <w:b/>
        </w:rPr>
        <w:t>Nem gyakori (</w:t>
      </w:r>
      <w:r w:rsidRPr="00183B5F">
        <w:rPr>
          <w:szCs w:val="22"/>
        </w:rPr>
        <w:t>100 beteg közül legfeljebb 1</w:t>
      </w:r>
      <w:r w:rsidRPr="00183B5F">
        <w:rPr>
          <w:szCs w:val="22"/>
        </w:rPr>
        <w:noBreakHyphen/>
        <w:t>nél alakul ki)</w:t>
      </w:r>
    </w:p>
    <w:p w14:paraId="61558867" w14:textId="77777777" w:rsidR="00713AC9" w:rsidRPr="00183B5F" w:rsidRDefault="00713AC9" w:rsidP="00713AC9">
      <w:pPr>
        <w:suppressAutoHyphens w:val="0"/>
        <w:spacing w:line="240" w:lineRule="auto"/>
        <w:rPr>
          <w:szCs w:val="22"/>
        </w:rPr>
      </w:pPr>
    </w:p>
    <w:p w14:paraId="295EB4C8" w14:textId="77777777" w:rsidR="00713AC9" w:rsidRPr="00183B5F" w:rsidRDefault="00943743" w:rsidP="00713AC9">
      <w:pPr>
        <w:pStyle w:val="ListParagraph"/>
        <w:numPr>
          <w:ilvl w:val="0"/>
          <w:numId w:val="147"/>
        </w:numPr>
        <w:suppressAutoHyphens w:val="0"/>
        <w:spacing w:line="240" w:lineRule="auto"/>
        <w:contextualSpacing/>
      </w:pPr>
      <w:r w:rsidRPr="00183B5F">
        <w:t>emelkedett bilirubin</w:t>
      </w:r>
      <w:r w:rsidRPr="00183B5F">
        <w:noBreakHyphen/>
        <w:t>szint (májfunkciós vizsgálati eredmény)</w:t>
      </w:r>
    </w:p>
    <w:p w14:paraId="314A1C92" w14:textId="77777777" w:rsidR="00713AC9" w:rsidRPr="00183B5F" w:rsidRDefault="00713AC9" w:rsidP="00713AC9">
      <w:pPr>
        <w:suppressAutoHyphens w:val="0"/>
        <w:spacing w:line="240" w:lineRule="auto"/>
      </w:pPr>
    </w:p>
    <w:p w14:paraId="0336E48F" w14:textId="77777777" w:rsidR="00713AC9" w:rsidRPr="00183B5F" w:rsidRDefault="00943743" w:rsidP="00713AC9">
      <w:pPr>
        <w:keepNext/>
        <w:suppressAutoHyphens w:val="0"/>
        <w:spacing w:line="240" w:lineRule="auto"/>
        <w:rPr>
          <w:szCs w:val="22"/>
        </w:rPr>
      </w:pPr>
      <w:r w:rsidRPr="00183B5F">
        <w:rPr>
          <w:b/>
          <w:szCs w:val="22"/>
        </w:rPr>
        <w:t>Ritka</w:t>
      </w:r>
      <w:r w:rsidRPr="00183B5F">
        <w:rPr>
          <w:szCs w:val="22"/>
        </w:rPr>
        <w:t xml:space="preserve"> (1000 beteg közül legfeljebb 1</w:t>
      </w:r>
      <w:r w:rsidRPr="00183B5F">
        <w:rPr>
          <w:szCs w:val="22"/>
        </w:rPr>
        <w:noBreakHyphen/>
        <w:t>nél alakul ki):</w:t>
      </w:r>
    </w:p>
    <w:p w14:paraId="6BEAFB6B" w14:textId="77777777" w:rsidR="00713AC9" w:rsidRPr="00183B5F" w:rsidRDefault="00713AC9" w:rsidP="00713AC9">
      <w:pPr>
        <w:keepNext/>
        <w:suppressAutoHyphens w:val="0"/>
        <w:spacing w:line="240" w:lineRule="auto"/>
        <w:rPr>
          <w:szCs w:val="22"/>
        </w:rPr>
      </w:pPr>
    </w:p>
    <w:p w14:paraId="30BC1DED" w14:textId="77777777" w:rsidR="00713AC9" w:rsidRPr="00183B5F" w:rsidRDefault="00943743" w:rsidP="00713AC9">
      <w:pPr>
        <w:keepNext/>
        <w:numPr>
          <w:ilvl w:val="0"/>
          <w:numId w:val="76"/>
        </w:numPr>
        <w:tabs>
          <w:tab w:val="clear" w:pos="720"/>
          <w:tab w:val="num" w:pos="550"/>
        </w:tabs>
        <w:suppressAutoHyphens w:val="0"/>
        <w:spacing w:line="240" w:lineRule="auto"/>
        <w:ind w:left="550" w:hanging="550"/>
        <w:rPr>
          <w:szCs w:val="22"/>
        </w:rPr>
      </w:pPr>
      <w:r w:rsidRPr="00183B5F">
        <w:rPr>
          <w:szCs w:val="22"/>
        </w:rPr>
        <w:t>alacsony fehérvérsejtszám, vörösvértestszám és vérlemezkeszám</w:t>
      </w:r>
    </w:p>
    <w:p w14:paraId="3BD4E6CA" w14:textId="77777777" w:rsidR="00713AC9" w:rsidRPr="00183B5F" w:rsidRDefault="00713AC9" w:rsidP="00713AC9">
      <w:pPr>
        <w:suppressAutoHyphens w:val="0"/>
        <w:spacing w:line="240" w:lineRule="auto"/>
        <w:rPr>
          <w:szCs w:val="22"/>
        </w:rPr>
      </w:pPr>
    </w:p>
    <w:p w14:paraId="71A6971E" w14:textId="77777777" w:rsidR="00713AC9" w:rsidRPr="00183B5F" w:rsidRDefault="00943743" w:rsidP="00713AC9">
      <w:pPr>
        <w:keepNext/>
        <w:spacing w:line="240" w:lineRule="auto"/>
        <w:ind w:right="-29"/>
        <w:rPr>
          <w:b/>
          <w:bCs/>
        </w:rPr>
      </w:pPr>
      <w:r w:rsidRPr="00183B5F">
        <w:rPr>
          <w:b/>
          <w:bCs/>
        </w:rPr>
        <w:t>Mellékhatások bejelentése</w:t>
      </w:r>
    </w:p>
    <w:p w14:paraId="1F003B88" w14:textId="77777777" w:rsidR="00713AC9" w:rsidRPr="00183B5F" w:rsidRDefault="00943743" w:rsidP="00713AC9">
      <w:pPr>
        <w:spacing w:line="240" w:lineRule="auto"/>
        <w:ind w:right="-2"/>
      </w:pPr>
      <w:r w:rsidRPr="00183B5F">
        <w:rPr>
          <w:szCs w:val="24"/>
        </w:rPr>
        <w:t xml:space="preserve">Ha </w:t>
      </w:r>
      <w:r w:rsidRPr="00183B5F">
        <w:rPr>
          <w:noProof/>
          <w:szCs w:val="24"/>
        </w:rPr>
        <w:t>Önnél bármilyen</w:t>
      </w:r>
      <w:r w:rsidRPr="00183B5F">
        <w:rPr>
          <w:szCs w:val="24"/>
        </w:rPr>
        <w:t xml:space="preserve"> mellékhatás </w:t>
      </w:r>
      <w:r w:rsidRPr="00183B5F">
        <w:rPr>
          <w:noProof/>
          <w:szCs w:val="24"/>
        </w:rPr>
        <w:t xml:space="preserve">jelentkezik, tájékoztassa kezelőorvosát </w:t>
      </w:r>
      <w:r w:rsidRPr="00183B5F">
        <w:rPr>
          <w:szCs w:val="24"/>
        </w:rPr>
        <w:t xml:space="preserve">vagy </w:t>
      </w:r>
      <w:r w:rsidRPr="00183B5F">
        <w:rPr>
          <w:noProof/>
          <w:szCs w:val="24"/>
        </w:rPr>
        <w:t>gyógyszerészét. Ez</w:t>
      </w:r>
      <w:r w:rsidRPr="00183B5F">
        <w:rPr>
          <w:szCs w:val="24"/>
        </w:rPr>
        <w:t xml:space="preserve"> a betegtájékoztatóban </w:t>
      </w:r>
      <w:r w:rsidRPr="00183B5F">
        <w:rPr>
          <w:noProof/>
          <w:szCs w:val="24"/>
        </w:rPr>
        <w:t>fel nem sorolt bármilyen lehetséges mellékhatásra is vonatkozik.</w:t>
      </w:r>
      <w:r w:rsidRPr="00183B5F">
        <w:t xml:space="preserve">A mellékhatásokat közvetlenül a hatóság részére is bejelentheti az </w:t>
      </w:r>
      <w:hyperlink r:id="rId66" w:history="1">
        <w:r w:rsidR="00713AC9" w:rsidRPr="00183B5F">
          <w:rPr>
            <w:rStyle w:val="Hyperlink"/>
            <w:highlight w:val="lightGray"/>
          </w:rPr>
          <w:t>V. függelékben</w:t>
        </w:r>
      </w:hyperlink>
      <w:r w:rsidRPr="00183B5F">
        <w:rPr>
          <w:highlight w:val="lightGray"/>
        </w:rPr>
        <w:t xml:space="preserve"> található elérhetőségeken keresztül</w:t>
      </w:r>
      <w:r w:rsidRPr="00183B5F">
        <w:t>. A mellékhatások bejelentésével Ön is hozzájárulhat ahhoz, hogy minél több információ álljon rendelkezésre a gyógyszer biztonságos alkalmazásával kapcsolatban.</w:t>
      </w:r>
    </w:p>
    <w:p w14:paraId="66F89DF4" w14:textId="77777777" w:rsidR="00713AC9" w:rsidRPr="00183B5F" w:rsidRDefault="00713AC9" w:rsidP="00713AC9">
      <w:pPr>
        <w:spacing w:line="240" w:lineRule="auto"/>
        <w:ind w:right="-2"/>
        <w:rPr>
          <w:szCs w:val="22"/>
        </w:rPr>
      </w:pPr>
    </w:p>
    <w:p w14:paraId="6AD099C4" w14:textId="77777777" w:rsidR="00713AC9" w:rsidRPr="00183B5F" w:rsidRDefault="00713AC9" w:rsidP="00713AC9">
      <w:pPr>
        <w:tabs>
          <w:tab w:val="left" w:pos="7980"/>
        </w:tabs>
        <w:spacing w:line="240" w:lineRule="auto"/>
        <w:ind w:right="-2"/>
        <w:rPr>
          <w:szCs w:val="22"/>
        </w:rPr>
      </w:pPr>
    </w:p>
    <w:p w14:paraId="5FA7E545" w14:textId="77777777" w:rsidR="00713AC9" w:rsidRPr="00183B5F" w:rsidRDefault="00943743" w:rsidP="00713AC9">
      <w:pPr>
        <w:keepNext/>
        <w:spacing w:line="240" w:lineRule="auto"/>
        <w:ind w:left="567" w:hanging="567"/>
        <w:rPr>
          <w:b/>
          <w:szCs w:val="22"/>
        </w:rPr>
      </w:pPr>
      <w:r w:rsidRPr="00183B5F">
        <w:rPr>
          <w:b/>
          <w:szCs w:val="22"/>
        </w:rPr>
        <w:t>5.</w:t>
      </w:r>
      <w:r w:rsidRPr="00183B5F">
        <w:rPr>
          <w:b/>
          <w:szCs w:val="22"/>
        </w:rPr>
        <w:tab/>
        <w:t>Hogyan kell a Humira</w:t>
      </w:r>
      <w:r w:rsidRPr="00183B5F">
        <w:rPr>
          <w:b/>
          <w:szCs w:val="22"/>
        </w:rPr>
        <w:noBreakHyphen/>
        <w:t>t tárolni?</w:t>
      </w:r>
    </w:p>
    <w:p w14:paraId="471365A7" w14:textId="77777777" w:rsidR="00713AC9" w:rsidRPr="00183B5F" w:rsidRDefault="00713AC9" w:rsidP="00713AC9">
      <w:pPr>
        <w:keepNext/>
        <w:spacing w:line="240" w:lineRule="auto"/>
        <w:rPr>
          <w:szCs w:val="22"/>
        </w:rPr>
      </w:pPr>
    </w:p>
    <w:p w14:paraId="4E2F8C7C" w14:textId="77777777" w:rsidR="00713AC9" w:rsidRPr="00183B5F" w:rsidRDefault="00943743" w:rsidP="00713AC9">
      <w:pPr>
        <w:keepNext/>
        <w:spacing w:line="240" w:lineRule="auto"/>
        <w:rPr>
          <w:szCs w:val="22"/>
        </w:rPr>
      </w:pPr>
      <w:r w:rsidRPr="00183B5F">
        <w:rPr>
          <w:szCs w:val="22"/>
        </w:rPr>
        <w:t>A gyógyszer gyermekektől elzárva tartandó.</w:t>
      </w:r>
    </w:p>
    <w:p w14:paraId="112D6291" w14:textId="77777777" w:rsidR="00713AC9" w:rsidRPr="00183B5F" w:rsidRDefault="00713AC9" w:rsidP="00713AC9">
      <w:pPr>
        <w:spacing w:line="240" w:lineRule="auto"/>
        <w:rPr>
          <w:szCs w:val="22"/>
        </w:rPr>
      </w:pPr>
    </w:p>
    <w:p w14:paraId="152B0F46" w14:textId="77777777" w:rsidR="00713AC9" w:rsidRPr="00183B5F" w:rsidRDefault="00943743" w:rsidP="00713AC9">
      <w:pPr>
        <w:spacing w:line="240" w:lineRule="auto"/>
        <w:rPr>
          <w:szCs w:val="22"/>
        </w:rPr>
      </w:pPr>
      <w:r w:rsidRPr="00183B5F">
        <w:rPr>
          <w:szCs w:val="22"/>
        </w:rPr>
        <w:t xml:space="preserve">A címkén/buborékcsomagoláson/dobozon feltüntetett lejárati idő (EXP) után ne alkalmazza ezt </w:t>
      </w:r>
      <w:r w:rsidRPr="00183B5F">
        <w:rPr>
          <w:noProof/>
          <w:szCs w:val="24"/>
        </w:rPr>
        <w:t>a gyógyszert</w:t>
      </w:r>
      <w:r w:rsidRPr="00183B5F">
        <w:rPr>
          <w:szCs w:val="22"/>
        </w:rPr>
        <w:t>.</w:t>
      </w:r>
    </w:p>
    <w:p w14:paraId="2FF5A58E" w14:textId="77777777" w:rsidR="00713AC9" w:rsidRPr="00183B5F" w:rsidRDefault="00713AC9" w:rsidP="00713AC9">
      <w:pPr>
        <w:spacing w:line="240" w:lineRule="auto"/>
        <w:rPr>
          <w:szCs w:val="22"/>
        </w:rPr>
      </w:pPr>
    </w:p>
    <w:p w14:paraId="7DDD0A1B" w14:textId="77777777" w:rsidR="00713AC9" w:rsidRPr="00183B5F" w:rsidRDefault="00943743" w:rsidP="00713AC9">
      <w:pPr>
        <w:spacing w:line="240" w:lineRule="auto"/>
        <w:rPr>
          <w:szCs w:val="22"/>
        </w:rPr>
      </w:pPr>
      <w:r w:rsidRPr="00183B5F">
        <w:rPr>
          <w:szCs w:val="22"/>
        </w:rPr>
        <w:t>Hűtőszekrényben (2°C</w:t>
      </w:r>
      <w:r w:rsidRPr="00183B5F">
        <w:rPr>
          <w:szCs w:val="22"/>
        </w:rPr>
        <w:noBreakHyphen/>
        <w:t>8</w:t>
      </w:r>
      <w:r w:rsidRPr="00183B5F">
        <w:rPr>
          <w:rFonts w:ascii="Symbol" w:hAnsi="Symbol"/>
          <w:szCs w:val="22"/>
        </w:rPr>
        <w:sym w:font="Symbol" w:char="F0B0"/>
      </w:r>
      <w:r w:rsidRPr="00183B5F">
        <w:rPr>
          <w:szCs w:val="22"/>
        </w:rPr>
        <w:t>C) tárolandó. Nem fagyasztható!</w:t>
      </w:r>
    </w:p>
    <w:p w14:paraId="23D99FA0" w14:textId="77777777" w:rsidR="00713AC9" w:rsidRPr="00183B5F" w:rsidRDefault="00713AC9" w:rsidP="00713AC9">
      <w:pPr>
        <w:spacing w:line="240" w:lineRule="auto"/>
        <w:rPr>
          <w:szCs w:val="22"/>
        </w:rPr>
      </w:pPr>
    </w:p>
    <w:p w14:paraId="6ECD93AA" w14:textId="77777777" w:rsidR="00713AC9" w:rsidRPr="00183B5F" w:rsidRDefault="00943743" w:rsidP="00713AC9">
      <w:pPr>
        <w:spacing w:line="240" w:lineRule="auto"/>
        <w:rPr>
          <w:szCs w:val="22"/>
        </w:rPr>
      </w:pPr>
      <w:r w:rsidRPr="00183B5F">
        <w:rPr>
          <w:szCs w:val="22"/>
        </w:rPr>
        <w:t>A fénytől való védelem érdekében az előretöltött fecskendő az eredeti dobozban tárolandó.</w:t>
      </w:r>
    </w:p>
    <w:p w14:paraId="5FA6D917" w14:textId="77777777" w:rsidR="00713AC9" w:rsidRPr="00183B5F" w:rsidRDefault="00713AC9" w:rsidP="00713AC9">
      <w:pPr>
        <w:spacing w:line="240" w:lineRule="auto"/>
        <w:rPr>
          <w:szCs w:val="22"/>
        </w:rPr>
      </w:pPr>
    </w:p>
    <w:p w14:paraId="1EE33CC5" w14:textId="77777777" w:rsidR="00713AC9" w:rsidRPr="00183B5F" w:rsidRDefault="00943743" w:rsidP="00713AC9">
      <w:pPr>
        <w:keepNext/>
        <w:spacing w:line="240" w:lineRule="auto"/>
        <w:rPr>
          <w:szCs w:val="22"/>
        </w:rPr>
      </w:pPr>
      <w:r w:rsidRPr="00183B5F">
        <w:rPr>
          <w:szCs w:val="22"/>
        </w:rPr>
        <w:t>További tárolási lehetőség:</w:t>
      </w:r>
    </w:p>
    <w:p w14:paraId="0E9F1D3F" w14:textId="77777777" w:rsidR="00713AC9" w:rsidRPr="00183B5F" w:rsidRDefault="00713AC9" w:rsidP="00713AC9">
      <w:pPr>
        <w:keepNext/>
        <w:spacing w:line="240" w:lineRule="auto"/>
        <w:rPr>
          <w:szCs w:val="22"/>
        </w:rPr>
      </w:pPr>
    </w:p>
    <w:p w14:paraId="0931BEE6" w14:textId="77777777" w:rsidR="00713AC9" w:rsidRPr="00183B5F" w:rsidRDefault="00943743" w:rsidP="00713AC9">
      <w:pPr>
        <w:spacing w:line="240" w:lineRule="auto"/>
        <w:rPr>
          <w:szCs w:val="22"/>
        </w:rPr>
      </w:pPr>
      <w:r w:rsidRPr="00183B5F">
        <w:rPr>
          <w:szCs w:val="22"/>
        </w:rPr>
        <w:t>Amennyiben szükséges (</w:t>
      </w:r>
      <w:r w:rsidR="0064540A" w:rsidRPr="00183B5F">
        <w:rPr>
          <w:bCs/>
          <w:szCs w:val="22"/>
        </w:rPr>
        <w:t>például</w:t>
      </w:r>
      <w:r w:rsidRPr="00183B5F">
        <w:rPr>
          <w:szCs w:val="22"/>
        </w:rPr>
        <w:t> utazás alatt), úgy önmagában a Humira előretöltött fecskendő legfeljebb 25</w:t>
      </w:r>
      <w:r w:rsidRPr="00183B5F">
        <w:rPr>
          <w:rFonts w:ascii="Symbol" w:hAnsi="Symbol"/>
          <w:szCs w:val="22"/>
        </w:rPr>
        <w:sym w:font="Symbol" w:char="F0B0"/>
      </w:r>
      <w:r w:rsidRPr="00183B5F">
        <w:rPr>
          <w:szCs w:val="22"/>
        </w:rPr>
        <w:t>C</w:t>
      </w:r>
      <w:r w:rsidRPr="00183B5F">
        <w:rPr>
          <w:szCs w:val="22"/>
        </w:rPr>
        <w:noBreakHyphen/>
        <w:t xml:space="preserve">on, maximum 14 napig tárolható. A fénytől való védelmet biztosítani kell. Ha a hűtőgépből kivette, hogy szobahőmérsékleten tartsa, úgy a fecskendőt </w:t>
      </w:r>
      <w:r w:rsidRPr="00183B5F">
        <w:rPr>
          <w:b/>
          <w:szCs w:val="22"/>
        </w:rPr>
        <w:t>14 napon belül fel kell használni, vagy meg kell semmisíteni</w:t>
      </w:r>
      <w:r w:rsidRPr="00183B5F">
        <w:rPr>
          <w:szCs w:val="22"/>
        </w:rPr>
        <w:t>, még akkor is, ha visszatette a hűtőszekrénybe.</w:t>
      </w:r>
    </w:p>
    <w:p w14:paraId="54753C32" w14:textId="77777777" w:rsidR="00713AC9" w:rsidRPr="00183B5F" w:rsidRDefault="00713AC9" w:rsidP="00713AC9">
      <w:pPr>
        <w:spacing w:line="240" w:lineRule="auto"/>
        <w:rPr>
          <w:szCs w:val="22"/>
        </w:rPr>
      </w:pPr>
    </w:p>
    <w:p w14:paraId="30931E4F" w14:textId="77777777" w:rsidR="00713AC9" w:rsidRPr="00183B5F" w:rsidRDefault="00943743" w:rsidP="00713AC9">
      <w:pPr>
        <w:spacing w:line="240" w:lineRule="auto"/>
        <w:rPr>
          <w:szCs w:val="22"/>
        </w:rPr>
      </w:pPr>
      <w:r w:rsidRPr="00183B5F">
        <w:rPr>
          <w:szCs w:val="22"/>
        </w:rPr>
        <w:t>Jegyezze fel, hogy mikor vette ki először a fecskendőt a hűtőszekrényből, és azt a dátumot is, ami után azt meg kell semmisíteni.</w:t>
      </w:r>
    </w:p>
    <w:p w14:paraId="16FE95DE" w14:textId="77777777" w:rsidR="00713AC9" w:rsidRPr="00183B5F" w:rsidRDefault="00713AC9" w:rsidP="00713AC9">
      <w:pPr>
        <w:spacing w:line="240" w:lineRule="auto"/>
        <w:ind w:right="-2"/>
        <w:rPr>
          <w:szCs w:val="22"/>
        </w:rPr>
      </w:pPr>
    </w:p>
    <w:p w14:paraId="3FC81EF8" w14:textId="77777777" w:rsidR="00713AC9" w:rsidRPr="00183B5F" w:rsidRDefault="00943743" w:rsidP="00713AC9">
      <w:pPr>
        <w:spacing w:line="240" w:lineRule="auto"/>
        <w:ind w:right="-2"/>
        <w:rPr>
          <w:szCs w:val="22"/>
        </w:rPr>
      </w:pPr>
      <w:r w:rsidRPr="00183B5F">
        <w:rPr>
          <w:noProof/>
          <w:szCs w:val="24"/>
        </w:rPr>
        <w:t xml:space="preserve">Semmilyen gyógyszert ne dobjon a szennyvízbe </w:t>
      </w:r>
      <w:r w:rsidRPr="00183B5F">
        <w:rPr>
          <w:szCs w:val="24"/>
        </w:rPr>
        <w:t xml:space="preserve">vagy a háztartási </w:t>
      </w:r>
      <w:r w:rsidRPr="00183B5F">
        <w:rPr>
          <w:noProof/>
          <w:szCs w:val="24"/>
        </w:rPr>
        <w:t>hulladékba.</w:t>
      </w:r>
      <w:r w:rsidRPr="00183B5F">
        <w:rPr>
          <w:szCs w:val="24"/>
        </w:rPr>
        <w:t xml:space="preserve"> Kérdezze meg gyógyszerészét, hogy mit tegyen </w:t>
      </w:r>
      <w:r w:rsidRPr="00183B5F">
        <w:rPr>
          <w:noProof/>
          <w:szCs w:val="24"/>
        </w:rPr>
        <w:t>a már nem használt</w:t>
      </w:r>
      <w:r w:rsidRPr="00183B5F">
        <w:rPr>
          <w:szCs w:val="24"/>
        </w:rPr>
        <w:t xml:space="preserve"> gyógyszereivel. </w:t>
      </w:r>
      <w:r w:rsidRPr="00183B5F">
        <w:rPr>
          <w:noProof/>
          <w:szCs w:val="24"/>
        </w:rPr>
        <w:t>Ezek az intézkedések elősegítik a környezet védelmét.</w:t>
      </w:r>
    </w:p>
    <w:p w14:paraId="7B58E835" w14:textId="77777777" w:rsidR="00713AC9" w:rsidRPr="00183B5F" w:rsidRDefault="00713AC9" w:rsidP="00713AC9">
      <w:pPr>
        <w:spacing w:line="240" w:lineRule="auto"/>
        <w:ind w:right="-2"/>
        <w:rPr>
          <w:szCs w:val="22"/>
        </w:rPr>
      </w:pPr>
    </w:p>
    <w:p w14:paraId="1CD12A79" w14:textId="77777777" w:rsidR="00713AC9" w:rsidRPr="00183B5F" w:rsidRDefault="00713AC9" w:rsidP="00713AC9">
      <w:pPr>
        <w:spacing w:line="240" w:lineRule="auto"/>
        <w:ind w:right="-2"/>
        <w:rPr>
          <w:szCs w:val="22"/>
        </w:rPr>
      </w:pPr>
    </w:p>
    <w:p w14:paraId="1F57291E" w14:textId="77777777" w:rsidR="00713AC9" w:rsidRPr="00183B5F" w:rsidRDefault="00943743" w:rsidP="00713AC9">
      <w:pPr>
        <w:keepNext/>
        <w:spacing w:line="240" w:lineRule="auto"/>
        <w:ind w:right="-2"/>
        <w:rPr>
          <w:b/>
          <w:szCs w:val="22"/>
        </w:rPr>
      </w:pPr>
      <w:r w:rsidRPr="00183B5F">
        <w:rPr>
          <w:b/>
          <w:szCs w:val="22"/>
        </w:rPr>
        <w:t>6.</w:t>
      </w:r>
      <w:r w:rsidRPr="00183B5F">
        <w:rPr>
          <w:b/>
          <w:szCs w:val="22"/>
        </w:rPr>
        <w:tab/>
      </w:r>
      <w:r w:rsidRPr="00183B5F">
        <w:rPr>
          <w:b/>
          <w:noProof/>
          <w:szCs w:val="24"/>
        </w:rPr>
        <w:t>A csomagolás tartalma és egyéb információk</w:t>
      </w:r>
    </w:p>
    <w:p w14:paraId="6DD13079" w14:textId="77777777" w:rsidR="00713AC9" w:rsidRPr="00183B5F" w:rsidRDefault="00713AC9" w:rsidP="00713AC9">
      <w:pPr>
        <w:keepNext/>
        <w:spacing w:line="240" w:lineRule="auto"/>
        <w:rPr>
          <w:szCs w:val="22"/>
        </w:rPr>
      </w:pPr>
    </w:p>
    <w:p w14:paraId="0D3D843A" w14:textId="77777777" w:rsidR="00713AC9" w:rsidRPr="00183B5F" w:rsidRDefault="00943743" w:rsidP="00713AC9">
      <w:pPr>
        <w:keepNext/>
        <w:spacing w:line="240" w:lineRule="auto"/>
        <w:rPr>
          <w:b/>
          <w:bCs/>
          <w:szCs w:val="22"/>
        </w:rPr>
      </w:pPr>
      <w:r w:rsidRPr="00183B5F">
        <w:rPr>
          <w:b/>
          <w:bCs/>
          <w:szCs w:val="22"/>
        </w:rPr>
        <w:t>Mit tartalmaz a Humira?</w:t>
      </w:r>
    </w:p>
    <w:p w14:paraId="0C0658B3" w14:textId="77777777" w:rsidR="00713AC9" w:rsidRPr="00183B5F" w:rsidRDefault="00713AC9" w:rsidP="00713AC9">
      <w:pPr>
        <w:keepNext/>
        <w:spacing w:line="240" w:lineRule="auto"/>
        <w:rPr>
          <w:bCs/>
          <w:szCs w:val="22"/>
        </w:rPr>
      </w:pPr>
    </w:p>
    <w:p w14:paraId="6A858445" w14:textId="77777777" w:rsidR="00713AC9" w:rsidRPr="00183B5F" w:rsidRDefault="00943743" w:rsidP="00713AC9">
      <w:pPr>
        <w:keepNext/>
        <w:spacing w:line="240" w:lineRule="auto"/>
        <w:rPr>
          <w:szCs w:val="22"/>
        </w:rPr>
      </w:pPr>
      <w:r w:rsidRPr="00183B5F">
        <w:rPr>
          <w:szCs w:val="22"/>
        </w:rPr>
        <w:t>A készítmény hatóanyaga: adalimumab.</w:t>
      </w:r>
    </w:p>
    <w:p w14:paraId="1F304294" w14:textId="77777777" w:rsidR="00713AC9" w:rsidRPr="00183B5F" w:rsidRDefault="00943743" w:rsidP="00713AC9">
      <w:pPr>
        <w:spacing w:line="240" w:lineRule="auto"/>
        <w:rPr>
          <w:szCs w:val="22"/>
        </w:rPr>
      </w:pPr>
      <w:r w:rsidRPr="00183B5F">
        <w:rPr>
          <w:szCs w:val="22"/>
        </w:rPr>
        <w:t>Egyéb összetevők: mannit, poliszorbát 80, és injekcióhoz való víz.</w:t>
      </w:r>
    </w:p>
    <w:p w14:paraId="1976F6BE" w14:textId="77777777" w:rsidR="00713AC9" w:rsidRPr="00183B5F" w:rsidRDefault="00713AC9" w:rsidP="00713AC9">
      <w:pPr>
        <w:spacing w:line="240" w:lineRule="auto"/>
        <w:rPr>
          <w:szCs w:val="22"/>
        </w:rPr>
      </w:pPr>
    </w:p>
    <w:p w14:paraId="03E49BBD" w14:textId="77777777" w:rsidR="00713AC9" w:rsidRPr="00183B5F" w:rsidRDefault="00943743" w:rsidP="00713AC9">
      <w:pPr>
        <w:keepNext/>
        <w:spacing w:line="240" w:lineRule="auto"/>
        <w:rPr>
          <w:b/>
          <w:bCs/>
          <w:szCs w:val="22"/>
        </w:rPr>
      </w:pPr>
      <w:r w:rsidRPr="00183B5F">
        <w:rPr>
          <w:b/>
          <w:bCs/>
          <w:szCs w:val="22"/>
        </w:rPr>
        <w:t>Milyen a Humira külleme és mit tartalmaz a csomagolás?</w:t>
      </w:r>
    </w:p>
    <w:p w14:paraId="7437446D" w14:textId="77777777" w:rsidR="00713AC9" w:rsidRPr="00183B5F" w:rsidRDefault="00713AC9" w:rsidP="00713AC9">
      <w:pPr>
        <w:keepNext/>
        <w:spacing w:line="240" w:lineRule="auto"/>
        <w:rPr>
          <w:szCs w:val="22"/>
        </w:rPr>
      </w:pPr>
    </w:p>
    <w:p w14:paraId="0748EE3B" w14:textId="77777777" w:rsidR="00713AC9" w:rsidRPr="00183B5F" w:rsidRDefault="00943743" w:rsidP="00713AC9">
      <w:pPr>
        <w:keepNext/>
        <w:spacing w:line="240" w:lineRule="auto"/>
        <w:rPr>
          <w:szCs w:val="22"/>
        </w:rPr>
      </w:pPr>
      <w:r w:rsidRPr="00183B5F">
        <w:rPr>
          <w:szCs w:val="22"/>
        </w:rPr>
        <w:t>A Humira 40 mg oldatos injekció előretöltött fecskendőben 40 mg adalimumabot tartalmazó 0,4 ml steril oldat formájában kerül forgalomba.</w:t>
      </w:r>
    </w:p>
    <w:p w14:paraId="13E7FED0" w14:textId="77777777" w:rsidR="00713AC9" w:rsidRPr="00183B5F" w:rsidRDefault="00713AC9" w:rsidP="00713AC9">
      <w:pPr>
        <w:spacing w:line="240" w:lineRule="auto"/>
        <w:rPr>
          <w:szCs w:val="22"/>
        </w:rPr>
      </w:pPr>
    </w:p>
    <w:p w14:paraId="46273FF0" w14:textId="77777777" w:rsidR="00713AC9" w:rsidRPr="00183B5F" w:rsidRDefault="00943743" w:rsidP="00713AC9">
      <w:pPr>
        <w:spacing w:line="240" w:lineRule="auto"/>
        <w:rPr>
          <w:szCs w:val="22"/>
        </w:rPr>
      </w:pPr>
      <w:r w:rsidRPr="00183B5F">
        <w:rPr>
          <w:szCs w:val="22"/>
        </w:rPr>
        <w:t>A Humira előretöltött fecskendő üvegből készült és adalimumab oldatot tartalmaz.</w:t>
      </w:r>
    </w:p>
    <w:p w14:paraId="6ACCB3E0" w14:textId="77777777" w:rsidR="00713AC9" w:rsidRPr="00183B5F" w:rsidRDefault="00943743" w:rsidP="00713AC9">
      <w:pPr>
        <w:spacing w:line="240" w:lineRule="auto"/>
        <w:rPr>
          <w:szCs w:val="22"/>
        </w:rPr>
      </w:pPr>
      <w:r w:rsidRPr="00183B5F">
        <w:rPr>
          <w:szCs w:val="22"/>
        </w:rPr>
        <w:t>Csomagolási egységek: 1, 2, 4 vagy 6 előretöltött fecskendő, 1, 2, 4 vagy 6 alkoholos törlőkendővel.</w:t>
      </w:r>
    </w:p>
    <w:p w14:paraId="4A1D8279" w14:textId="77777777" w:rsidR="00713AC9" w:rsidRPr="00183B5F" w:rsidRDefault="00713AC9" w:rsidP="00713AC9">
      <w:pPr>
        <w:spacing w:line="240" w:lineRule="auto"/>
        <w:rPr>
          <w:szCs w:val="22"/>
        </w:rPr>
      </w:pPr>
    </w:p>
    <w:p w14:paraId="69233D96" w14:textId="77777777" w:rsidR="00713AC9" w:rsidRPr="00183B5F" w:rsidRDefault="00943743" w:rsidP="00713AC9">
      <w:pPr>
        <w:spacing w:line="240" w:lineRule="auto"/>
        <w:rPr>
          <w:szCs w:val="22"/>
        </w:rPr>
      </w:pPr>
      <w:r w:rsidRPr="00183B5F">
        <w:rPr>
          <w:szCs w:val="22"/>
        </w:rPr>
        <w:t>Nem feltétlenül mindegyik kiszerelés kerül kereskedelmi forgalomba.</w:t>
      </w:r>
    </w:p>
    <w:p w14:paraId="07FE9756" w14:textId="77777777" w:rsidR="00713AC9" w:rsidRPr="00183B5F" w:rsidRDefault="00713AC9" w:rsidP="00713AC9">
      <w:pPr>
        <w:spacing w:line="240" w:lineRule="auto"/>
        <w:rPr>
          <w:szCs w:val="22"/>
        </w:rPr>
      </w:pPr>
    </w:p>
    <w:p w14:paraId="4D006AAD" w14:textId="77777777" w:rsidR="00713AC9" w:rsidRPr="00183B5F" w:rsidRDefault="00943743" w:rsidP="00713AC9">
      <w:pPr>
        <w:spacing w:line="240" w:lineRule="auto"/>
        <w:rPr>
          <w:szCs w:val="22"/>
        </w:rPr>
      </w:pPr>
      <w:r w:rsidRPr="00183B5F">
        <w:rPr>
          <w:szCs w:val="22"/>
        </w:rPr>
        <w:t>A Humira injekciós üvegben, előretöltött injekciós fecskendőben és/vagy előretöltött injekciós tollban is kapható.</w:t>
      </w:r>
    </w:p>
    <w:p w14:paraId="24093DAD" w14:textId="77777777" w:rsidR="00713AC9" w:rsidRPr="00183B5F" w:rsidRDefault="00713AC9" w:rsidP="00713AC9">
      <w:pPr>
        <w:spacing w:line="240" w:lineRule="auto"/>
        <w:rPr>
          <w:szCs w:val="22"/>
        </w:rPr>
      </w:pPr>
    </w:p>
    <w:p w14:paraId="118FCCA0" w14:textId="77777777" w:rsidR="00713AC9" w:rsidRPr="00183B5F" w:rsidRDefault="00943743" w:rsidP="00713AC9">
      <w:pPr>
        <w:keepNext/>
        <w:spacing w:line="240" w:lineRule="auto"/>
        <w:rPr>
          <w:b/>
          <w:bCs/>
          <w:szCs w:val="22"/>
        </w:rPr>
      </w:pPr>
      <w:r w:rsidRPr="00183B5F">
        <w:rPr>
          <w:b/>
          <w:bCs/>
          <w:szCs w:val="22"/>
        </w:rPr>
        <w:t>A forgalomba hozatali engedély jogosultja</w:t>
      </w:r>
    </w:p>
    <w:p w14:paraId="54A9C122" w14:textId="77777777" w:rsidR="00713AC9" w:rsidRPr="00183B5F" w:rsidRDefault="00713AC9" w:rsidP="00713AC9">
      <w:pPr>
        <w:keepNext/>
        <w:spacing w:line="240" w:lineRule="auto"/>
        <w:rPr>
          <w:szCs w:val="22"/>
        </w:rPr>
      </w:pPr>
    </w:p>
    <w:p w14:paraId="0F63193C" w14:textId="77777777" w:rsidR="00713AC9" w:rsidRPr="00183B5F" w:rsidRDefault="00943743" w:rsidP="00713AC9">
      <w:pPr>
        <w:keepNext/>
        <w:suppressAutoHyphens w:val="0"/>
        <w:autoSpaceDE w:val="0"/>
        <w:autoSpaceDN w:val="0"/>
        <w:adjustRightInd w:val="0"/>
        <w:spacing w:line="240" w:lineRule="atLeast"/>
        <w:rPr>
          <w:szCs w:val="22"/>
          <w:lang w:eastAsia="en-GB"/>
        </w:rPr>
      </w:pPr>
      <w:r w:rsidRPr="00183B5F">
        <w:rPr>
          <w:szCs w:val="22"/>
          <w:lang w:eastAsia="en-GB"/>
        </w:rPr>
        <w:t>AbbVie Deutschland GmbH &amp; Co. KG</w:t>
      </w:r>
    </w:p>
    <w:p w14:paraId="67CBCB24" w14:textId="77777777" w:rsidR="00713AC9" w:rsidRPr="00183B5F" w:rsidRDefault="00943743" w:rsidP="00713AC9">
      <w:pPr>
        <w:keepNext/>
        <w:suppressAutoHyphens w:val="0"/>
        <w:autoSpaceDE w:val="0"/>
        <w:autoSpaceDN w:val="0"/>
        <w:adjustRightInd w:val="0"/>
        <w:spacing w:line="240" w:lineRule="atLeast"/>
        <w:rPr>
          <w:szCs w:val="22"/>
          <w:lang w:eastAsia="en-GB"/>
        </w:rPr>
      </w:pPr>
      <w:r w:rsidRPr="00183B5F">
        <w:rPr>
          <w:szCs w:val="22"/>
          <w:lang w:eastAsia="en-GB"/>
        </w:rPr>
        <w:t>Knollstrasse</w:t>
      </w:r>
    </w:p>
    <w:p w14:paraId="103D14B3" w14:textId="77777777" w:rsidR="00713AC9" w:rsidRPr="00183B5F" w:rsidRDefault="00943743" w:rsidP="00713AC9">
      <w:pPr>
        <w:keepNext/>
        <w:suppressAutoHyphens w:val="0"/>
        <w:autoSpaceDE w:val="0"/>
        <w:autoSpaceDN w:val="0"/>
        <w:adjustRightInd w:val="0"/>
        <w:spacing w:line="240" w:lineRule="atLeast"/>
        <w:rPr>
          <w:szCs w:val="22"/>
          <w:lang w:eastAsia="en-GB"/>
        </w:rPr>
      </w:pPr>
      <w:r w:rsidRPr="00183B5F">
        <w:rPr>
          <w:szCs w:val="22"/>
          <w:lang w:eastAsia="en-GB"/>
        </w:rPr>
        <w:t>67061 Ludwigshafen</w:t>
      </w:r>
    </w:p>
    <w:p w14:paraId="124FCABB" w14:textId="77777777" w:rsidR="00713AC9" w:rsidRPr="00183B5F" w:rsidRDefault="00943743" w:rsidP="00713AC9">
      <w:pPr>
        <w:keepNext/>
        <w:suppressAutoHyphens w:val="0"/>
        <w:autoSpaceDE w:val="0"/>
        <w:autoSpaceDN w:val="0"/>
        <w:adjustRightInd w:val="0"/>
        <w:spacing w:line="240" w:lineRule="atLeast"/>
        <w:rPr>
          <w:szCs w:val="22"/>
          <w:lang w:eastAsia="en-GB"/>
        </w:rPr>
      </w:pPr>
      <w:r w:rsidRPr="00183B5F">
        <w:rPr>
          <w:szCs w:val="22"/>
          <w:lang w:eastAsia="en-GB"/>
        </w:rPr>
        <w:t xml:space="preserve">Németország </w:t>
      </w:r>
    </w:p>
    <w:p w14:paraId="1A212826" w14:textId="77777777" w:rsidR="00713AC9" w:rsidRPr="00183B5F" w:rsidRDefault="00713AC9" w:rsidP="00713AC9">
      <w:pPr>
        <w:spacing w:line="240" w:lineRule="auto"/>
        <w:rPr>
          <w:szCs w:val="22"/>
        </w:rPr>
      </w:pPr>
    </w:p>
    <w:p w14:paraId="050E06D6" w14:textId="77777777" w:rsidR="00713AC9" w:rsidRPr="00183B5F" w:rsidRDefault="00943743" w:rsidP="00713AC9">
      <w:pPr>
        <w:spacing w:line="240" w:lineRule="auto"/>
        <w:rPr>
          <w:b/>
          <w:bCs/>
          <w:szCs w:val="22"/>
        </w:rPr>
      </w:pPr>
      <w:r w:rsidRPr="00183B5F">
        <w:rPr>
          <w:b/>
          <w:bCs/>
          <w:szCs w:val="22"/>
        </w:rPr>
        <w:t>Gyártó</w:t>
      </w:r>
    </w:p>
    <w:p w14:paraId="0628E8BB" w14:textId="77777777" w:rsidR="00713AC9" w:rsidRPr="00183B5F" w:rsidRDefault="00713AC9" w:rsidP="00713AC9">
      <w:pPr>
        <w:spacing w:line="240" w:lineRule="auto"/>
        <w:rPr>
          <w:szCs w:val="22"/>
        </w:rPr>
      </w:pPr>
    </w:p>
    <w:p w14:paraId="6A750F1E" w14:textId="77777777" w:rsidR="00713AC9" w:rsidRPr="00183B5F" w:rsidRDefault="00943743" w:rsidP="00713AC9">
      <w:pPr>
        <w:spacing w:line="240" w:lineRule="auto"/>
        <w:rPr>
          <w:szCs w:val="22"/>
        </w:rPr>
      </w:pPr>
      <w:r w:rsidRPr="00183B5F">
        <w:rPr>
          <w:szCs w:val="22"/>
        </w:rPr>
        <w:t>AbbVie Biotechnology GmbH</w:t>
      </w:r>
    </w:p>
    <w:p w14:paraId="27D1F327" w14:textId="77777777" w:rsidR="00713AC9" w:rsidRPr="00183B5F" w:rsidRDefault="00943743" w:rsidP="00713AC9">
      <w:pPr>
        <w:numPr>
          <w:ilvl w:val="12"/>
          <w:numId w:val="0"/>
        </w:numPr>
        <w:tabs>
          <w:tab w:val="left" w:pos="720"/>
        </w:tabs>
        <w:spacing w:line="240" w:lineRule="auto"/>
      </w:pPr>
      <w:r w:rsidRPr="00183B5F">
        <w:t>Knollstrasse</w:t>
      </w:r>
    </w:p>
    <w:p w14:paraId="3C69DF4F" w14:textId="77777777" w:rsidR="00713AC9" w:rsidRPr="00183B5F" w:rsidRDefault="00943743" w:rsidP="00713AC9">
      <w:pPr>
        <w:numPr>
          <w:ilvl w:val="12"/>
          <w:numId w:val="0"/>
        </w:numPr>
        <w:tabs>
          <w:tab w:val="left" w:pos="720"/>
        </w:tabs>
        <w:spacing w:line="240" w:lineRule="auto"/>
      </w:pPr>
      <w:r w:rsidRPr="00183B5F">
        <w:t>67061 Ludwigshafen</w:t>
      </w:r>
    </w:p>
    <w:p w14:paraId="44A89FC2" w14:textId="77777777" w:rsidR="00713AC9" w:rsidRPr="00183B5F" w:rsidRDefault="00943743" w:rsidP="00713AC9">
      <w:pPr>
        <w:spacing w:line="240" w:lineRule="auto"/>
        <w:rPr>
          <w:szCs w:val="22"/>
        </w:rPr>
      </w:pPr>
      <w:r w:rsidRPr="00183B5F">
        <w:rPr>
          <w:szCs w:val="22"/>
        </w:rPr>
        <w:t>Németország</w:t>
      </w:r>
    </w:p>
    <w:p w14:paraId="1405A8F3" w14:textId="77777777" w:rsidR="00713AC9" w:rsidRPr="00183B5F" w:rsidRDefault="00713AC9" w:rsidP="00713AC9">
      <w:pPr>
        <w:numPr>
          <w:ilvl w:val="12"/>
          <w:numId w:val="0"/>
        </w:numPr>
        <w:tabs>
          <w:tab w:val="left" w:pos="720"/>
        </w:tabs>
        <w:spacing w:line="240" w:lineRule="auto"/>
      </w:pPr>
    </w:p>
    <w:p w14:paraId="382F3317" w14:textId="77777777" w:rsidR="00713AC9" w:rsidRPr="00183B5F" w:rsidRDefault="00943743" w:rsidP="00713AC9">
      <w:pPr>
        <w:spacing w:line="240" w:lineRule="auto"/>
        <w:rPr>
          <w:szCs w:val="22"/>
        </w:rPr>
      </w:pPr>
      <w:r w:rsidRPr="00183B5F">
        <w:rPr>
          <w:szCs w:val="22"/>
        </w:rPr>
        <w:t>A készítményhez kapcsolódó további kérdéseivel forduljon a forgalomba hozatali engedély jogosultjának helyi képviseletéhez:</w:t>
      </w:r>
    </w:p>
    <w:p w14:paraId="05C7D7C5" w14:textId="77777777" w:rsidR="00713AC9" w:rsidRPr="00183B5F" w:rsidRDefault="00713AC9" w:rsidP="00713AC9">
      <w:pPr>
        <w:spacing w:line="240" w:lineRule="auto"/>
        <w:rPr>
          <w:szCs w:val="22"/>
        </w:rPr>
      </w:pPr>
    </w:p>
    <w:tbl>
      <w:tblPr>
        <w:tblW w:w="9356" w:type="dxa"/>
        <w:tblInd w:w="-34" w:type="dxa"/>
        <w:tblLayout w:type="fixed"/>
        <w:tblLook w:val="0000" w:firstRow="0" w:lastRow="0" w:firstColumn="0" w:lastColumn="0" w:noHBand="0" w:noVBand="0"/>
      </w:tblPr>
      <w:tblGrid>
        <w:gridCol w:w="34"/>
        <w:gridCol w:w="4610"/>
        <w:gridCol w:w="34"/>
        <w:gridCol w:w="4678"/>
      </w:tblGrid>
      <w:tr w:rsidR="00011D2F" w14:paraId="76E2E0C7" w14:textId="77777777" w:rsidTr="001F79B0">
        <w:tc>
          <w:tcPr>
            <w:tcW w:w="4644" w:type="dxa"/>
            <w:gridSpan w:val="2"/>
          </w:tcPr>
          <w:p w14:paraId="5EAD4EF2" w14:textId="77777777" w:rsidR="008604D4" w:rsidRPr="00BD646C" w:rsidRDefault="00943743" w:rsidP="001F79B0">
            <w:pPr>
              <w:suppressAutoHyphens w:val="0"/>
              <w:rPr>
                <w:b/>
                <w:bCs/>
                <w:szCs w:val="22"/>
                <w:lang w:val="fr-BE"/>
              </w:rPr>
            </w:pPr>
            <w:r w:rsidRPr="00BD646C">
              <w:rPr>
                <w:b/>
                <w:bCs/>
                <w:szCs w:val="22"/>
                <w:lang w:val="fr-BE"/>
              </w:rPr>
              <w:t>België/Belgique/Belgien</w:t>
            </w:r>
          </w:p>
          <w:p w14:paraId="39BA8476" w14:textId="77777777" w:rsidR="008604D4" w:rsidRPr="00BD646C" w:rsidRDefault="00943743" w:rsidP="001F79B0">
            <w:pPr>
              <w:suppressAutoHyphens w:val="0"/>
              <w:rPr>
                <w:bCs/>
                <w:szCs w:val="22"/>
                <w:lang w:val="fr-FR"/>
              </w:rPr>
            </w:pPr>
            <w:r w:rsidRPr="00BD646C">
              <w:rPr>
                <w:bCs/>
                <w:szCs w:val="22"/>
                <w:lang w:val="fr-FR"/>
              </w:rPr>
              <w:t>AbbVie SA</w:t>
            </w:r>
          </w:p>
          <w:p w14:paraId="437887F2" w14:textId="77777777" w:rsidR="008604D4" w:rsidRPr="00BD646C" w:rsidRDefault="00943743" w:rsidP="001F79B0">
            <w:pPr>
              <w:suppressAutoHyphens w:val="0"/>
              <w:rPr>
                <w:szCs w:val="22"/>
                <w:lang w:val="fr-FR"/>
              </w:rPr>
            </w:pPr>
            <w:r w:rsidRPr="00BD646C">
              <w:rPr>
                <w:bCs/>
                <w:szCs w:val="22"/>
                <w:lang w:val="fr-FR"/>
              </w:rPr>
              <w:t xml:space="preserve">Tél/Tel: +32 10 </w:t>
            </w:r>
            <w:r w:rsidRPr="00BD646C">
              <w:rPr>
                <w:szCs w:val="22"/>
                <w:lang w:val="fr-FR"/>
              </w:rPr>
              <w:t>477811</w:t>
            </w:r>
          </w:p>
          <w:p w14:paraId="02042A08" w14:textId="77777777" w:rsidR="008604D4" w:rsidRPr="00BD646C" w:rsidRDefault="008604D4" w:rsidP="001F79B0">
            <w:pPr>
              <w:suppressAutoHyphens w:val="0"/>
              <w:rPr>
                <w:bCs/>
                <w:szCs w:val="22"/>
                <w:lang w:val="fr-FR"/>
              </w:rPr>
            </w:pPr>
          </w:p>
        </w:tc>
        <w:tc>
          <w:tcPr>
            <w:tcW w:w="4678" w:type="dxa"/>
            <w:gridSpan w:val="2"/>
          </w:tcPr>
          <w:p w14:paraId="74CD2395" w14:textId="77777777" w:rsidR="008604D4" w:rsidRPr="00BD646C" w:rsidRDefault="00943743" w:rsidP="001F79B0">
            <w:pPr>
              <w:suppressAutoHyphens w:val="0"/>
              <w:rPr>
                <w:b/>
                <w:bCs/>
                <w:szCs w:val="22"/>
                <w:lang w:val="lt-LT"/>
              </w:rPr>
            </w:pPr>
            <w:r w:rsidRPr="00BD646C">
              <w:rPr>
                <w:b/>
                <w:bCs/>
                <w:szCs w:val="22"/>
                <w:lang w:val="lt-LT"/>
              </w:rPr>
              <w:t>Lietuva</w:t>
            </w:r>
          </w:p>
          <w:p w14:paraId="7CDB118D" w14:textId="77777777" w:rsidR="008604D4" w:rsidRPr="00BD646C" w:rsidRDefault="00943743" w:rsidP="001F79B0">
            <w:pPr>
              <w:suppressAutoHyphens w:val="0"/>
              <w:rPr>
                <w:bCs/>
                <w:szCs w:val="22"/>
                <w:lang w:val="lv-LV"/>
              </w:rPr>
            </w:pPr>
            <w:r w:rsidRPr="00BD646C">
              <w:rPr>
                <w:bCs/>
                <w:szCs w:val="22"/>
                <w:lang w:val="lv-LV"/>
              </w:rPr>
              <w:t xml:space="preserve">AbbVie UAB </w:t>
            </w:r>
          </w:p>
          <w:p w14:paraId="7B3D39E4" w14:textId="77777777" w:rsidR="008604D4" w:rsidRPr="00BD646C" w:rsidRDefault="00943743" w:rsidP="001F79B0">
            <w:pPr>
              <w:suppressAutoHyphens w:val="0"/>
              <w:rPr>
                <w:bCs/>
                <w:szCs w:val="22"/>
                <w:lang w:val="lv-LV"/>
              </w:rPr>
            </w:pPr>
            <w:r w:rsidRPr="00BD646C">
              <w:rPr>
                <w:bCs/>
                <w:szCs w:val="22"/>
                <w:lang w:val="lv-LV"/>
              </w:rPr>
              <w:t>Tel: +370 5 205 3023</w:t>
            </w:r>
          </w:p>
        </w:tc>
      </w:tr>
      <w:tr w:rsidR="00011D2F" w14:paraId="26A62F6B" w14:textId="77777777" w:rsidTr="001F79B0">
        <w:tc>
          <w:tcPr>
            <w:tcW w:w="4644" w:type="dxa"/>
            <w:gridSpan w:val="2"/>
          </w:tcPr>
          <w:p w14:paraId="78D6235B" w14:textId="77777777" w:rsidR="008604D4" w:rsidRPr="00BD646C" w:rsidRDefault="00943743" w:rsidP="001F79B0">
            <w:pPr>
              <w:suppressAutoHyphens w:val="0"/>
              <w:rPr>
                <w:b/>
                <w:bCs/>
                <w:szCs w:val="22"/>
                <w:lang w:val="bg-BG"/>
              </w:rPr>
            </w:pPr>
            <w:r w:rsidRPr="00BD646C">
              <w:rPr>
                <w:b/>
                <w:bCs/>
                <w:szCs w:val="22"/>
                <w:lang w:val="bg-BG"/>
              </w:rPr>
              <w:t>България</w:t>
            </w:r>
          </w:p>
          <w:p w14:paraId="4A175E02" w14:textId="77777777" w:rsidR="008604D4" w:rsidRPr="00BD646C" w:rsidRDefault="00943743" w:rsidP="001F79B0">
            <w:pPr>
              <w:suppressAutoHyphens w:val="0"/>
              <w:rPr>
                <w:szCs w:val="22"/>
                <w:lang w:val="da-DK"/>
              </w:rPr>
            </w:pPr>
            <w:r w:rsidRPr="00BD646C">
              <w:rPr>
                <w:szCs w:val="22"/>
                <w:lang w:val="sk-SK"/>
              </w:rPr>
              <w:t>АбВи ЕООД</w:t>
            </w:r>
          </w:p>
          <w:p w14:paraId="7D7E479E" w14:textId="77777777" w:rsidR="008604D4" w:rsidRPr="00BD646C" w:rsidRDefault="00943743" w:rsidP="001F79B0">
            <w:pPr>
              <w:suppressAutoHyphens w:val="0"/>
              <w:rPr>
                <w:bCs/>
                <w:szCs w:val="22"/>
                <w:lang w:val="da-DK"/>
              </w:rPr>
            </w:pPr>
            <w:r w:rsidRPr="00BD646C">
              <w:rPr>
                <w:szCs w:val="22"/>
                <w:lang w:val="sk-SK"/>
              </w:rPr>
              <w:t>Тел</w:t>
            </w:r>
            <w:r w:rsidRPr="00BD646C">
              <w:rPr>
                <w:szCs w:val="22"/>
                <w:lang w:val="it-IT"/>
              </w:rPr>
              <w:t>.:+359 2 90 30 430</w:t>
            </w:r>
          </w:p>
        </w:tc>
        <w:tc>
          <w:tcPr>
            <w:tcW w:w="4678" w:type="dxa"/>
            <w:gridSpan w:val="2"/>
          </w:tcPr>
          <w:p w14:paraId="708E70E1" w14:textId="77777777" w:rsidR="008604D4" w:rsidRPr="00BD646C" w:rsidRDefault="00943743" w:rsidP="001F79B0">
            <w:pPr>
              <w:suppressAutoHyphens w:val="0"/>
              <w:rPr>
                <w:b/>
                <w:bCs/>
                <w:szCs w:val="22"/>
                <w:lang w:val="de-DE"/>
              </w:rPr>
            </w:pPr>
            <w:r w:rsidRPr="00BD646C">
              <w:rPr>
                <w:b/>
                <w:bCs/>
                <w:szCs w:val="22"/>
                <w:lang w:val="de-DE"/>
              </w:rPr>
              <w:t>Luxembourg/Luxemburg</w:t>
            </w:r>
          </w:p>
          <w:p w14:paraId="238D6AF1" w14:textId="77777777" w:rsidR="008604D4" w:rsidRPr="00BD646C" w:rsidRDefault="00943743" w:rsidP="001F79B0">
            <w:pPr>
              <w:suppressAutoHyphens w:val="0"/>
              <w:rPr>
                <w:bCs/>
                <w:szCs w:val="22"/>
                <w:lang w:val="de-DE"/>
              </w:rPr>
            </w:pPr>
            <w:r w:rsidRPr="00BD646C">
              <w:rPr>
                <w:bCs/>
                <w:szCs w:val="22"/>
                <w:lang w:val="de-DE"/>
              </w:rPr>
              <w:t>AbbVie SA</w:t>
            </w:r>
          </w:p>
          <w:p w14:paraId="034C5521" w14:textId="77777777" w:rsidR="008604D4" w:rsidRPr="00BD646C" w:rsidRDefault="00943743" w:rsidP="001F79B0">
            <w:pPr>
              <w:suppressAutoHyphens w:val="0"/>
              <w:rPr>
                <w:bCs/>
                <w:szCs w:val="22"/>
                <w:lang w:val="de-DE"/>
              </w:rPr>
            </w:pPr>
            <w:r w:rsidRPr="00BD646C">
              <w:rPr>
                <w:bCs/>
                <w:szCs w:val="22"/>
                <w:lang w:val="de-DE"/>
              </w:rPr>
              <w:t>Belgique/Belgien</w:t>
            </w:r>
          </w:p>
          <w:p w14:paraId="226A8199" w14:textId="77777777" w:rsidR="008604D4" w:rsidRPr="00BD646C" w:rsidRDefault="00943743" w:rsidP="001F79B0">
            <w:pPr>
              <w:suppressAutoHyphens w:val="0"/>
              <w:rPr>
                <w:bCs/>
                <w:szCs w:val="22"/>
                <w:lang w:val="fr-FR"/>
              </w:rPr>
            </w:pPr>
            <w:r w:rsidRPr="00BD646C">
              <w:rPr>
                <w:bCs/>
                <w:szCs w:val="22"/>
                <w:lang w:val="fr-FR"/>
              </w:rPr>
              <w:t>Tél/Tel: +32 10 477811</w:t>
            </w:r>
          </w:p>
          <w:p w14:paraId="6AFA7D4F" w14:textId="77777777" w:rsidR="008604D4" w:rsidRPr="00BD646C" w:rsidRDefault="008604D4" w:rsidP="001F79B0">
            <w:pPr>
              <w:suppressAutoHyphens w:val="0"/>
              <w:rPr>
                <w:bCs/>
                <w:szCs w:val="22"/>
                <w:lang w:val="fr-FR"/>
              </w:rPr>
            </w:pPr>
          </w:p>
        </w:tc>
      </w:tr>
      <w:tr w:rsidR="00011D2F" w14:paraId="7C5377FD" w14:textId="77777777" w:rsidTr="001F79B0">
        <w:tc>
          <w:tcPr>
            <w:tcW w:w="4644" w:type="dxa"/>
            <w:gridSpan w:val="2"/>
          </w:tcPr>
          <w:p w14:paraId="5075EF1E" w14:textId="77777777" w:rsidR="008604D4" w:rsidRPr="00BD646C" w:rsidRDefault="00943743" w:rsidP="001F79B0">
            <w:pPr>
              <w:suppressAutoHyphens w:val="0"/>
              <w:rPr>
                <w:b/>
                <w:bCs/>
                <w:szCs w:val="22"/>
                <w:lang w:val="sk-SK"/>
              </w:rPr>
            </w:pPr>
            <w:r w:rsidRPr="00BD646C">
              <w:rPr>
                <w:b/>
                <w:bCs/>
                <w:szCs w:val="22"/>
                <w:lang w:val="sk-SK"/>
              </w:rPr>
              <w:t>Česká republika</w:t>
            </w:r>
          </w:p>
          <w:p w14:paraId="5763242B" w14:textId="77777777" w:rsidR="008604D4" w:rsidRPr="00BD646C" w:rsidRDefault="00943743" w:rsidP="001F79B0">
            <w:pPr>
              <w:suppressAutoHyphens w:val="0"/>
              <w:rPr>
                <w:bCs/>
                <w:szCs w:val="22"/>
                <w:lang w:val="sk-SK"/>
              </w:rPr>
            </w:pPr>
            <w:r w:rsidRPr="00BD646C">
              <w:rPr>
                <w:bCs/>
                <w:szCs w:val="22"/>
                <w:lang w:val="sk-SK"/>
              </w:rPr>
              <w:t xml:space="preserve">AbbVie s.r.o. </w:t>
            </w:r>
          </w:p>
          <w:p w14:paraId="116F7066" w14:textId="77777777" w:rsidR="008604D4" w:rsidRPr="00BD646C" w:rsidRDefault="00943743" w:rsidP="001F79B0">
            <w:pPr>
              <w:suppressAutoHyphens w:val="0"/>
              <w:rPr>
                <w:bCs/>
                <w:szCs w:val="22"/>
                <w:lang w:val="sk-SK"/>
              </w:rPr>
            </w:pPr>
            <w:r w:rsidRPr="00BD646C">
              <w:rPr>
                <w:bCs/>
                <w:szCs w:val="22"/>
                <w:lang w:val="sk-SK"/>
              </w:rPr>
              <w:t>Tel: +420 233 098 111</w:t>
            </w:r>
          </w:p>
        </w:tc>
        <w:tc>
          <w:tcPr>
            <w:tcW w:w="4678" w:type="dxa"/>
            <w:gridSpan w:val="2"/>
          </w:tcPr>
          <w:p w14:paraId="7B37A64F" w14:textId="77777777" w:rsidR="008604D4" w:rsidRPr="00BD646C" w:rsidRDefault="00943743" w:rsidP="001F79B0">
            <w:pPr>
              <w:suppressAutoHyphens w:val="0"/>
              <w:rPr>
                <w:b/>
                <w:bCs/>
                <w:szCs w:val="22"/>
              </w:rPr>
            </w:pPr>
            <w:r w:rsidRPr="00BD646C">
              <w:rPr>
                <w:b/>
                <w:bCs/>
                <w:szCs w:val="22"/>
              </w:rPr>
              <w:t>Magyarország</w:t>
            </w:r>
          </w:p>
          <w:p w14:paraId="20F419D0" w14:textId="77777777" w:rsidR="008604D4" w:rsidRPr="00BD646C" w:rsidRDefault="00943743" w:rsidP="001F79B0">
            <w:pPr>
              <w:suppressAutoHyphens w:val="0"/>
              <w:rPr>
                <w:bCs/>
                <w:szCs w:val="22"/>
              </w:rPr>
            </w:pPr>
            <w:r w:rsidRPr="00BD646C">
              <w:rPr>
                <w:bCs/>
                <w:szCs w:val="22"/>
              </w:rPr>
              <w:t>AbbVie Kft.</w:t>
            </w:r>
          </w:p>
          <w:p w14:paraId="4F8F16CE" w14:textId="77777777" w:rsidR="008604D4" w:rsidRPr="00BD646C" w:rsidRDefault="00943743" w:rsidP="001F79B0">
            <w:pPr>
              <w:suppressAutoHyphens w:val="0"/>
              <w:rPr>
                <w:bCs/>
                <w:szCs w:val="22"/>
              </w:rPr>
            </w:pPr>
            <w:r w:rsidRPr="00BD646C">
              <w:rPr>
                <w:bCs/>
                <w:szCs w:val="22"/>
              </w:rPr>
              <w:t>Tel.:+36 1 455 8600</w:t>
            </w:r>
          </w:p>
          <w:p w14:paraId="3F6AB94C" w14:textId="77777777" w:rsidR="008604D4" w:rsidRPr="00BD646C" w:rsidRDefault="008604D4" w:rsidP="001F79B0">
            <w:pPr>
              <w:suppressAutoHyphens w:val="0"/>
              <w:rPr>
                <w:bCs/>
                <w:szCs w:val="22"/>
              </w:rPr>
            </w:pPr>
          </w:p>
        </w:tc>
      </w:tr>
      <w:tr w:rsidR="00011D2F" w14:paraId="48EC33CA" w14:textId="77777777" w:rsidTr="001F79B0">
        <w:trPr>
          <w:trHeight w:val="737"/>
        </w:trPr>
        <w:tc>
          <w:tcPr>
            <w:tcW w:w="4644" w:type="dxa"/>
            <w:gridSpan w:val="2"/>
          </w:tcPr>
          <w:p w14:paraId="292F2DE1" w14:textId="77777777" w:rsidR="008604D4" w:rsidRPr="00BD646C" w:rsidRDefault="00943743" w:rsidP="001F79B0">
            <w:pPr>
              <w:suppressAutoHyphens w:val="0"/>
              <w:rPr>
                <w:b/>
                <w:bCs/>
                <w:szCs w:val="22"/>
                <w:lang w:val="en-US"/>
              </w:rPr>
            </w:pPr>
            <w:r w:rsidRPr="00BD646C">
              <w:rPr>
                <w:b/>
                <w:bCs/>
                <w:szCs w:val="22"/>
                <w:lang w:val="en-US"/>
              </w:rPr>
              <w:t>Danmark</w:t>
            </w:r>
          </w:p>
          <w:p w14:paraId="11FFEC14" w14:textId="77777777" w:rsidR="008604D4" w:rsidRPr="00BD646C" w:rsidRDefault="00943743" w:rsidP="001F79B0">
            <w:pPr>
              <w:suppressAutoHyphens w:val="0"/>
              <w:rPr>
                <w:bCs/>
                <w:szCs w:val="22"/>
                <w:lang w:val="en-US"/>
              </w:rPr>
            </w:pPr>
            <w:r w:rsidRPr="00BD646C">
              <w:rPr>
                <w:bCs/>
                <w:szCs w:val="22"/>
                <w:lang w:val="en-US"/>
              </w:rPr>
              <w:t>AbbVie A/S</w:t>
            </w:r>
          </w:p>
          <w:p w14:paraId="22107EDA" w14:textId="3BA0324C" w:rsidR="008604D4" w:rsidRPr="00BD646C" w:rsidRDefault="00943743" w:rsidP="001F79B0">
            <w:pPr>
              <w:suppressAutoHyphens w:val="0"/>
              <w:rPr>
                <w:bCs/>
                <w:szCs w:val="22"/>
                <w:lang w:val="sk-SK"/>
              </w:rPr>
            </w:pPr>
            <w:r w:rsidRPr="00BD646C">
              <w:rPr>
                <w:bCs/>
                <w:szCs w:val="22"/>
                <w:lang w:val="en-US"/>
              </w:rPr>
              <w:t>Tlf</w:t>
            </w:r>
            <w:ins w:id="13984" w:author="AbbVie_HU_03" w:date="2025-05-14T16:44:00Z">
              <w:r w:rsidR="00940F88">
                <w:rPr>
                  <w:bCs/>
                  <w:szCs w:val="22"/>
                  <w:lang w:val="en-US"/>
                </w:rPr>
                <w:t>.</w:t>
              </w:r>
            </w:ins>
            <w:r w:rsidRPr="00BD646C">
              <w:rPr>
                <w:bCs/>
                <w:szCs w:val="22"/>
                <w:lang w:val="en-US"/>
              </w:rPr>
              <w:t>: +45 72 30-20-28</w:t>
            </w:r>
          </w:p>
        </w:tc>
        <w:tc>
          <w:tcPr>
            <w:tcW w:w="4678" w:type="dxa"/>
            <w:gridSpan w:val="2"/>
          </w:tcPr>
          <w:p w14:paraId="6DDF44E3" w14:textId="77777777" w:rsidR="008604D4" w:rsidRPr="00BD646C" w:rsidRDefault="00943743" w:rsidP="001F79B0">
            <w:pPr>
              <w:suppressAutoHyphens w:val="0"/>
              <w:rPr>
                <w:b/>
                <w:bCs/>
                <w:szCs w:val="22"/>
                <w:lang w:val="mt-MT"/>
              </w:rPr>
            </w:pPr>
            <w:r w:rsidRPr="00BD646C">
              <w:rPr>
                <w:b/>
                <w:bCs/>
                <w:szCs w:val="22"/>
                <w:lang w:val="mt-MT"/>
              </w:rPr>
              <w:t>Malta</w:t>
            </w:r>
          </w:p>
          <w:p w14:paraId="2962B48C" w14:textId="77777777" w:rsidR="008604D4" w:rsidRPr="00BD646C" w:rsidRDefault="00943743" w:rsidP="001F79B0">
            <w:pPr>
              <w:suppressAutoHyphens w:val="0"/>
              <w:rPr>
                <w:bCs/>
                <w:szCs w:val="22"/>
                <w:lang w:val="sk-SK"/>
              </w:rPr>
            </w:pPr>
            <w:r w:rsidRPr="00BD646C">
              <w:rPr>
                <w:bCs/>
                <w:szCs w:val="22"/>
                <w:lang w:val="sk-SK"/>
              </w:rPr>
              <w:t xml:space="preserve">V.J.Salomone Pharma Limited </w:t>
            </w:r>
          </w:p>
          <w:p w14:paraId="4AB530E8" w14:textId="79C9EE4E" w:rsidR="008604D4" w:rsidRPr="00BD646C" w:rsidRDefault="00943743" w:rsidP="001F79B0">
            <w:pPr>
              <w:suppressAutoHyphens w:val="0"/>
              <w:rPr>
                <w:bCs/>
                <w:szCs w:val="22"/>
                <w:lang w:val="sk-SK"/>
              </w:rPr>
            </w:pPr>
            <w:r w:rsidRPr="00BD646C">
              <w:rPr>
                <w:bCs/>
                <w:szCs w:val="22"/>
                <w:lang w:val="sk-SK"/>
              </w:rPr>
              <w:t xml:space="preserve">Tel: </w:t>
            </w:r>
            <w:r w:rsidR="0047544D">
              <w:rPr>
                <w:bCs/>
                <w:szCs w:val="22"/>
              </w:rPr>
              <w:t>+356 21220174</w:t>
            </w:r>
          </w:p>
          <w:p w14:paraId="24220A27" w14:textId="77777777" w:rsidR="008604D4" w:rsidRPr="00BD646C" w:rsidRDefault="008604D4" w:rsidP="001F79B0">
            <w:pPr>
              <w:suppressAutoHyphens w:val="0"/>
              <w:rPr>
                <w:bCs/>
                <w:szCs w:val="22"/>
                <w:lang w:val="sk-SK"/>
              </w:rPr>
            </w:pPr>
          </w:p>
        </w:tc>
      </w:tr>
      <w:tr w:rsidR="00011D2F" w14:paraId="5E0F7F1E" w14:textId="77777777" w:rsidTr="001F79B0">
        <w:tc>
          <w:tcPr>
            <w:tcW w:w="4644" w:type="dxa"/>
            <w:gridSpan w:val="2"/>
          </w:tcPr>
          <w:p w14:paraId="288B9A03" w14:textId="77777777" w:rsidR="008604D4" w:rsidRPr="00BD646C" w:rsidRDefault="00943743" w:rsidP="001F79B0">
            <w:pPr>
              <w:suppressAutoHyphens w:val="0"/>
              <w:rPr>
                <w:b/>
                <w:bCs/>
                <w:szCs w:val="22"/>
                <w:lang w:val="de-DE"/>
              </w:rPr>
            </w:pPr>
            <w:r w:rsidRPr="00BD646C">
              <w:rPr>
                <w:b/>
                <w:bCs/>
                <w:szCs w:val="22"/>
                <w:lang w:val="de-DE"/>
              </w:rPr>
              <w:t>Deutschland</w:t>
            </w:r>
          </w:p>
          <w:p w14:paraId="0EA01F76" w14:textId="77777777" w:rsidR="008604D4" w:rsidRPr="00BD646C" w:rsidRDefault="00943743" w:rsidP="001F79B0">
            <w:pPr>
              <w:suppressAutoHyphens w:val="0"/>
              <w:rPr>
                <w:bCs/>
                <w:szCs w:val="22"/>
                <w:lang w:val="de-DE"/>
              </w:rPr>
            </w:pPr>
            <w:r w:rsidRPr="00BD646C">
              <w:rPr>
                <w:szCs w:val="22"/>
                <w:lang w:val="de-DE"/>
              </w:rPr>
              <w:t xml:space="preserve">AbbVie Deutschland </w:t>
            </w:r>
            <w:r w:rsidRPr="00BD646C">
              <w:rPr>
                <w:bCs/>
                <w:szCs w:val="22"/>
                <w:lang w:val="de-DE"/>
              </w:rPr>
              <w:t>GmbH &amp; Co. KG</w:t>
            </w:r>
          </w:p>
          <w:p w14:paraId="2FE3B873" w14:textId="77777777" w:rsidR="008604D4" w:rsidRPr="00BD646C" w:rsidRDefault="00943743" w:rsidP="001F79B0">
            <w:pPr>
              <w:suppressAutoHyphens w:val="0"/>
              <w:rPr>
                <w:szCs w:val="22"/>
                <w:lang w:val="de-DE"/>
              </w:rPr>
            </w:pPr>
            <w:r w:rsidRPr="00BD646C">
              <w:rPr>
                <w:szCs w:val="22"/>
                <w:lang w:val="de-DE"/>
              </w:rPr>
              <w:t>Tel: 00800 222843 33 (gebührenfrei)</w:t>
            </w:r>
          </w:p>
          <w:p w14:paraId="4E27F1A9" w14:textId="77777777" w:rsidR="008604D4" w:rsidRPr="00BD646C" w:rsidRDefault="00943743" w:rsidP="001F79B0">
            <w:pPr>
              <w:suppressAutoHyphens w:val="0"/>
              <w:rPr>
                <w:szCs w:val="22"/>
                <w:lang w:val="de-DE"/>
              </w:rPr>
            </w:pPr>
            <w:r w:rsidRPr="00BD646C">
              <w:rPr>
                <w:szCs w:val="22"/>
                <w:lang w:val="de-DE"/>
              </w:rPr>
              <w:t>Tel: +49 (0) 611 / 1720-0</w:t>
            </w:r>
          </w:p>
          <w:p w14:paraId="6D6ED116" w14:textId="77777777" w:rsidR="008604D4" w:rsidRPr="00BD646C" w:rsidRDefault="008604D4" w:rsidP="001F79B0">
            <w:pPr>
              <w:suppressAutoHyphens w:val="0"/>
              <w:rPr>
                <w:szCs w:val="22"/>
                <w:lang w:val="de-DE"/>
              </w:rPr>
            </w:pPr>
          </w:p>
        </w:tc>
        <w:tc>
          <w:tcPr>
            <w:tcW w:w="4678" w:type="dxa"/>
            <w:gridSpan w:val="2"/>
          </w:tcPr>
          <w:p w14:paraId="4F581A06" w14:textId="77777777" w:rsidR="008604D4" w:rsidRPr="00BD646C" w:rsidRDefault="00943743" w:rsidP="001F79B0">
            <w:pPr>
              <w:suppressAutoHyphens w:val="0"/>
              <w:rPr>
                <w:b/>
                <w:bCs/>
                <w:szCs w:val="22"/>
                <w:lang w:val="nl-NL"/>
              </w:rPr>
            </w:pPr>
            <w:r w:rsidRPr="00BD646C">
              <w:rPr>
                <w:b/>
                <w:bCs/>
                <w:szCs w:val="22"/>
                <w:lang w:val="nl-NL"/>
              </w:rPr>
              <w:t>Nederland</w:t>
            </w:r>
          </w:p>
          <w:p w14:paraId="01EB3AB7" w14:textId="77777777" w:rsidR="008604D4" w:rsidRPr="00BD646C" w:rsidRDefault="00943743" w:rsidP="001F79B0">
            <w:pPr>
              <w:suppressAutoHyphens w:val="0"/>
              <w:rPr>
                <w:bCs/>
                <w:szCs w:val="22"/>
                <w:lang w:val="de-DE"/>
              </w:rPr>
            </w:pPr>
            <w:r w:rsidRPr="00BD646C">
              <w:rPr>
                <w:bCs/>
                <w:szCs w:val="22"/>
                <w:lang w:val="de-DE"/>
              </w:rPr>
              <w:t>AbbVie B.V.</w:t>
            </w:r>
          </w:p>
          <w:p w14:paraId="38382C7D" w14:textId="77777777" w:rsidR="008604D4" w:rsidRPr="00BD646C" w:rsidRDefault="00943743" w:rsidP="001F79B0">
            <w:pPr>
              <w:suppressAutoHyphens w:val="0"/>
              <w:rPr>
                <w:bCs/>
                <w:szCs w:val="22"/>
                <w:lang w:val="de-DE"/>
              </w:rPr>
            </w:pPr>
            <w:r w:rsidRPr="00BD646C">
              <w:rPr>
                <w:bCs/>
                <w:szCs w:val="22"/>
                <w:lang w:val="de-DE"/>
              </w:rPr>
              <w:t>Tel: +31 (0)88 322 2843</w:t>
            </w:r>
          </w:p>
        </w:tc>
      </w:tr>
      <w:tr w:rsidR="00011D2F" w14:paraId="739E4211" w14:textId="77777777" w:rsidTr="001F79B0">
        <w:tc>
          <w:tcPr>
            <w:tcW w:w="4644" w:type="dxa"/>
            <w:gridSpan w:val="2"/>
          </w:tcPr>
          <w:p w14:paraId="138C8C3A" w14:textId="77777777" w:rsidR="008604D4" w:rsidRPr="00BD646C" w:rsidRDefault="00943743" w:rsidP="001F79B0">
            <w:pPr>
              <w:suppressAutoHyphens w:val="0"/>
              <w:rPr>
                <w:b/>
                <w:bCs/>
                <w:szCs w:val="22"/>
                <w:lang w:val="et-EE"/>
              </w:rPr>
            </w:pPr>
            <w:r w:rsidRPr="00BD646C">
              <w:rPr>
                <w:b/>
                <w:bCs/>
                <w:szCs w:val="22"/>
                <w:lang w:val="et-EE"/>
              </w:rPr>
              <w:t>Eesti</w:t>
            </w:r>
          </w:p>
          <w:p w14:paraId="11EC36E2" w14:textId="77777777" w:rsidR="008604D4" w:rsidRPr="00BD646C" w:rsidRDefault="00943743" w:rsidP="001F79B0">
            <w:pPr>
              <w:suppressAutoHyphens w:val="0"/>
              <w:rPr>
                <w:bCs/>
                <w:szCs w:val="22"/>
                <w:lang w:val="et-EE"/>
              </w:rPr>
            </w:pPr>
            <w:r w:rsidRPr="00BD646C">
              <w:rPr>
                <w:bCs/>
                <w:szCs w:val="22"/>
                <w:lang w:val="et-EE"/>
              </w:rPr>
              <w:t xml:space="preserve">AbbVie </w:t>
            </w:r>
            <w:r w:rsidRPr="00BD646C">
              <w:rPr>
                <w:bCs/>
                <w:szCs w:val="22"/>
                <w:lang w:val="sk-SK"/>
              </w:rPr>
              <w:t>OÜ</w:t>
            </w:r>
            <w:r w:rsidRPr="00BD646C">
              <w:rPr>
                <w:bCs/>
                <w:szCs w:val="22"/>
                <w:lang w:val="et-EE"/>
              </w:rPr>
              <w:t xml:space="preserve"> </w:t>
            </w:r>
          </w:p>
          <w:p w14:paraId="2E023D37" w14:textId="77777777" w:rsidR="008604D4" w:rsidRPr="00BD646C" w:rsidRDefault="00943743" w:rsidP="001F79B0">
            <w:pPr>
              <w:suppressAutoHyphens w:val="0"/>
              <w:rPr>
                <w:bCs/>
                <w:szCs w:val="22"/>
                <w:lang w:val="lv-LV"/>
              </w:rPr>
            </w:pPr>
            <w:r w:rsidRPr="00BD646C">
              <w:rPr>
                <w:bCs/>
                <w:szCs w:val="22"/>
                <w:lang w:val="et-EE"/>
              </w:rPr>
              <w:t>Tel: +372 623 1011</w:t>
            </w:r>
          </w:p>
        </w:tc>
        <w:tc>
          <w:tcPr>
            <w:tcW w:w="4678" w:type="dxa"/>
            <w:gridSpan w:val="2"/>
          </w:tcPr>
          <w:p w14:paraId="26F33AE7" w14:textId="77777777" w:rsidR="008604D4" w:rsidRPr="00BD646C" w:rsidRDefault="00943743" w:rsidP="001F79B0">
            <w:pPr>
              <w:suppressAutoHyphens w:val="0"/>
              <w:rPr>
                <w:b/>
                <w:bCs/>
                <w:szCs w:val="22"/>
                <w:lang w:val="nb-NO"/>
              </w:rPr>
            </w:pPr>
            <w:r w:rsidRPr="00BD646C">
              <w:rPr>
                <w:b/>
                <w:bCs/>
                <w:szCs w:val="22"/>
                <w:lang w:val="nb-NO"/>
              </w:rPr>
              <w:t>Norge</w:t>
            </w:r>
          </w:p>
          <w:p w14:paraId="5C27742D" w14:textId="77777777" w:rsidR="008604D4" w:rsidRPr="00BD646C" w:rsidRDefault="00943743" w:rsidP="001F79B0">
            <w:pPr>
              <w:suppressAutoHyphens w:val="0"/>
              <w:rPr>
                <w:bCs/>
                <w:szCs w:val="22"/>
                <w:lang w:val="sk-SK"/>
              </w:rPr>
            </w:pPr>
            <w:r w:rsidRPr="00BD646C">
              <w:rPr>
                <w:bCs/>
                <w:szCs w:val="22"/>
                <w:lang w:val="sk-SK"/>
              </w:rPr>
              <w:t>AbbVie AS</w:t>
            </w:r>
          </w:p>
          <w:p w14:paraId="70A0CE64" w14:textId="77777777" w:rsidR="008604D4" w:rsidRPr="00BD646C" w:rsidRDefault="00943743" w:rsidP="001F79B0">
            <w:pPr>
              <w:suppressAutoHyphens w:val="0"/>
              <w:rPr>
                <w:bCs/>
                <w:szCs w:val="22"/>
                <w:lang w:val="sk-SK"/>
              </w:rPr>
            </w:pPr>
            <w:r w:rsidRPr="00BD646C">
              <w:rPr>
                <w:bCs/>
                <w:szCs w:val="22"/>
                <w:lang w:val="sk-SK"/>
              </w:rPr>
              <w:t>Tlf: +47 67 81 80 00</w:t>
            </w:r>
          </w:p>
          <w:p w14:paraId="641ACFAE" w14:textId="77777777" w:rsidR="008604D4" w:rsidRPr="00BD646C" w:rsidRDefault="008604D4" w:rsidP="001F79B0">
            <w:pPr>
              <w:suppressAutoHyphens w:val="0"/>
              <w:rPr>
                <w:bCs/>
                <w:szCs w:val="22"/>
                <w:lang w:val="sk-SK"/>
              </w:rPr>
            </w:pPr>
          </w:p>
        </w:tc>
      </w:tr>
      <w:tr w:rsidR="00011D2F" w14:paraId="1B04F689" w14:textId="77777777" w:rsidTr="001F79B0">
        <w:trPr>
          <w:trHeight w:val="794"/>
        </w:trPr>
        <w:tc>
          <w:tcPr>
            <w:tcW w:w="4644" w:type="dxa"/>
            <w:gridSpan w:val="2"/>
          </w:tcPr>
          <w:p w14:paraId="195969AF" w14:textId="77777777" w:rsidR="008604D4" w:rsidRPr="00BD646C" w:rsidRDefault="00943743" w:rsidP="001F79B0">
            <w:pPr>
              <w:suppressAutoHyphens w:val="0"/>
              <w:rPr>
                <w:b/>
                <w:bCs/>
                <w:szCs w:val="22"/>
                <w:lang w:val="el-GR"/>
              </w:rPr>
            </w:pPr>
            <w:r w:rsidRPr="00BD646C">
              <w:rPr>
                <w:b/>
                <w:bCs/>
                <w:szCs w:val="22"/>
                <w:lang w:val="el-GR"/>
              </w:rPr>
              <w:t>Ελλάδα</w:t>
            </w:r>
          </w:p>
          <w:p w14:paraId="16381A72" w14:textId="77777777" w:rsidR="008604D4" w:rsidRPr="00BD646C" w:rsidRDefault="00943743" w:rsidP="001F79B0">
            <w:pPr>
              <w:suppressAutoHyphens w:val="0"/>
              <w:rPr>
                <w:bCs/>
                <w:szCs w:val="22"/>
                <w:lang w:val="el-GR"/>
              </w:rPr>
            </w:pPr>
            <w:r w:rsidRPr="00BD646C">
              <w:rPr>
                <w:bCs/>
                <w:szCs w:val="22"/>
                <w:lang w:val="et-EE"/>
              </w:rPr>
              <w:t xml:space="preserve">AbbVie </w:t>
            </w:r>
            <w:r w:rsidRPr="00BD646C">
              <w:rPr>
                <w:szCs w:val="22"/>
                <w:lang w:val="el-GR"/>
              </w:rPr>
              <w:t>ΦΑΡΜΑΚΕΥΤΙΚΗ Α.Ε.</w:t>
            </w:r>
          </w:p>
          <w:p w14:paraId="015B3FEA" w14:textId="77777777" w:rsidR="008604D4" w:rsidRPr="00BD646C" w:rsidRDefault="00943743" w:rsidP="001F79B0">
            <w:pPr>
              <w:suppressAutoHyphens w:val="0"/>
              <w:rPr>
                <w:bCs/>
                <w:szCs w:val="22"/>
                <w:lang w:val="sk-SK"/>
              </w:rPr>
            </w:pPr>
            <w:r w:rsidRPr="00BD646C">
              <w:rPr>
                <w:bCs/>
                <w:szCs w:val="22"/>
                <w:lang w:val="el-GR"/>
              </w:rPr>
              <w:t xml:space="preserve">Τηλ: +30 </w:t>
            </w:r>
            <w:r w:rsidRPr="00BD646C">
              <w:rPr>
                <w:bCs/>
                <w:szCs w:val="22"/>
                <w:lang w:val="sk-SK"/>
              </w:rPr>
              <w:t>214 4165 555</w:t>
            </w:r>
          </w:p>
        </w:tc>
        <w:tc>
          <w:tcPr>
            <w:tcW w:w="4678" w:type="dxa"/>
            <w:gridSpan w:val="2"/>
          </w:tcPr>
          <w:p w14:paraId="24AFA5D6" w14:textId="77777777" w:rsidR="008604D4" w:rsidRPr="00BD646C" w:rsidRDefault="00943743" w:rsidP="001F79B0">
            <w:pPr>
              <w:suppressAutoHyphens w:val="0"/>
              <w:rPr>
                <w:b/>
                <w:bCs/>
                <w:szCs w:val="22"/>
                <w:lang w:val="de-DE"/>
              </w:rPr>
            </w:pPr>
            <w:r w:rsidRPr="00BD646C">
              <w:rPr>
                <w:b/>
                <w:bCs/>
                <w:szCs w:val="22"/>
                <w:lang w:val="de-DE"/>
              </w:rPr>
              <w:t>Österreich</w:t>
            </w:r>
          </w:p>
          <w:p w14:paraId="0179D492" w14:textId="77777777" w:rsidR="008604D4" w:rsidRPr="00BD646C" w:rsidRDefault="00943743" w:rsidP="001F79B0">
            <w:pPr>
              <w:suppressAutoHyphens w:val="0"/>
              <w:rPr>
                <w:bCs/>
                <w:szCs w:val="22"/>
                <w:lang w:val="de-DE"/>
              </w:rPr>
            </w:pPr>
            <w:r w:rsidRPr="00BD646C">
              <w:rPr>
                <w:bCs/>
                <w:szCs w:val="22"/>
                <w:lang w:val="de-DE"/>
              </w:rPr>
              <w:t xml:space="preserve">AbbVie GmbH </w:t>
            </w:r>
          </w:p>
          <w:p w14:paraId="39DC8B24" w14:textId="77777777" w:rsidR="008604D4" w:rsidRPr="00BD646C" w:rsidRDefault="00943743" w:rsidP="001F79B0">
            <w:pPr>
              <w:suppressAutoHyphens w:val="0"/>
              <w:rPr>
                <w:bCs/>
                <w:szCs w:val="22"/>
                <w:lang w:val="de-DE"/>
              </w:rPr>
            </w:pPr>
            <w:r w:rsidRPr="00BD646C">
              <w:rPr>
                <w:bCs/>
                <w:szCs w:val="22"/>
                <w:lang w:val="de-DE"/>
              </w:rPr>
              <w:t>Tel: +43 1 20589-0</w:t>
            </w:r>
          </w:p>
          <w:p w14:paraId="5CD2B8B6" w14:textId="77777777" w:rsidR="008604D4" w:rsidRPr="00BD646C" w:rsidRDefault="008604D4" w:rsidP="001F79B0">
            <w:pPr>
              <w:suppressAutoHyphens w:val="0"/>
              <w:rPr>
                <w:bCs/>
                <w:szCs w:val="22"/>
                <w:lang w:val="de-DE"/>
              </w:rPr>
            </w:pPr>
          </w:p>
        </w:tc>
      </w:tr>
      <w:tr w:rsidR="00011D2F" w14:paraId="2DA95F59" w14:textId="77777777" w:rsidTr="001F79B0">
        <w:trPr>
          <w:gridBefore w:val="1"/>
          <w:wBefore w:w="34" w:type="dxa"/>
        </w:trPr>
        <w:tc>
          <w:tcPr>
            <w:tcW w:w="4644" w:type="dxa"/>
            <w:gridSpan w:val="2"/>
          </w:tcPr>
          <w:p w14:paraId="2872A622" w14:textId="77777777" w:rsidR="008604D4" w:rsidRPr="00BD646C" w:rsidRDefault="00943743" w:rsidP="001F79B0">
            <w:pPr>
              <w:suppressAutoHyphens w:val="0"/>
              <w:rPr>
                <w:b/>
                <w:bCs/>
                <w:szCs w:val="22"/>
                <w:lang w:val="es-ES"/>
              </w:rPr>
            </w:pPr>
            <w:r w:rsidRPr="00BD646C">
              <w:rPr>
                <w:b/>
                <w:bCs/>
                <w:szCs w:val="22"/>
                <w:lang w:val="es-ES"/>
              </w:rPr>
              <w:t>España</w:t>
            </w:r>
          </w:p>
          <w:p w14:paraId="515C4150" w14:textId="77777777" w:rsidR="008604D4" w:rsidRPr="00BD646C" w:rsidRDefault="00943743" w:rsidP="001F79B0">
            <w:pPr>
              <w:suppressAutoHyphens w:val="0"/>
              <w:rPr>
                <w:szCs w:val="22"/>
                <w:lang w:val="es-ES"/>
              </w:rPr>
            </w:pPr>
            <w:r w:rsidRPr="00BD646C">
              <w:rPr>
                <w:szCs w:val="22"/>
                <w:lang w:val="es-ES"/>
              </w:rPr>
              <w:t xml:space="preserve">AbbVie </w:t>
            </w:r>
            <w:r w:rsidRPr="00BD646C">
              <w:rPr>
                <w:bCs/>
                <w:szCs w:val="22"/>
                <w:lang w:val="es-ES"/>
              </w:rPr>
              <w:t>Spain</w:t>
            </w:r>
            <w:r w:rsidRPr="00BD646C">
              <w:rPr>
                <w:szCs w:val="22"/>
                <w:lang w:val="es-ES"/>
              </w:rPr>
              <w:t>, S.L.U</w:t>
            </w:r>
            <w:r w:rsidRPr="00BD646C">
              <w:rPr>
                <w:bCs/>
                <w:szCs w:val="22"/>
                <w:lang w:val="es-ES"/>
              </w:rPr>
              <w:t>.</w:t>
            </w:r>
          </w:p>
          <w:p w14:paraId="5B428788" w14:textId="77777777" w:rsidR="008604D4" w:rsidRPr="00BD646C" w:rsidRDefault="00943743" w:rsidP="001F79B0">
            <w:pPr>
              <w:suppressAutoHyphens w:val="0"/>
              <w:rPr>
                <w:bCs/>
                <w:szCs w:val="22"/>
                <w:lang w:val="pl-PL"/>
              </w:rPr>
            </w:pPr>
            <w:r w:rsidRPr="00BD646C">
              <w:rPr>
                <w:bCs/>
                <w:szCs w:val="22"/>
                <w:lang w:val="pt-PT"/>
              </w:rPr>
              <w:t>Tel: +34 91 384 09 10</w:t>
            </w:r>
          </w:p>
        </w:tc>
        <w:tc>
          <w:tcPr>
            <w:tcW w:w="4678" w:type="dxa"/>
          </w:tcPr>
          <w:p w14:paraId="225654B5" w14:textId="77777777" w:rsidR="008604D4" w:rsidRPr="00BD646C" w:rsidRDefault="00943743" w:rsidP="001F79B0">
            <w:pPr>
              <w:suppressAutoHyphens w:val="0"/>
              <w:rPr>
                <w:b/>
                <w:bCs/>
                <w:iCs/>
                <w:szCs w:val="22"/>
                <w:lang w:val="pl-PL"/>
              </w:rPr>
            </w:pPr>
            <w:r w:rsidRPr="00BD646C">
              <w:rPr>
                <w:b/>
                <w:bCs/>
                <w:iCs/>
                <w:szCs w:val="22"/>
                <w:lang w:val="pl-PL"/>
              </w:rPr>
              <w:t>Polska</w:t>
            </w:r>
          </w:p>
          <w:p w14:paraId="64FC7799" w14:textId="77777777" w:rsidR="008604D4" w:rsidRPr="00BD646C" w:rsidRDefault="00943743" w:rsidP="001F79B0">
            <w:pPr>
              <w:suppressAutoHyphens w:val="0"/>
              <w:rPr>
                <w:bCs/>
                <w:szCs w:val="22"/>
                <w:lang w:val="pl-PL"/>
              </w:rPr>
            </w:pPr>
            <w:r w:rsidRPr="00BD646C">
              <w:rPr>
                <w:bCs/>
                <w:szCs w:val="22"/>
                <w:lang w:val="pl-PL"/>
              </w:rPr>
              <w:t>AbbVie Sp. z o.o.</w:t>
            </w:r>
          </w:p>
          <w:p w14:paraId="44850C3D" w14:textId="77777777" w:rsidR="008604D4" w:rsidRPr="00BD646C" w:rsidRDefault="00943743" w:rsidP="001F79B0">
            <w:pPr>
              <w:suppressAutoHyphens w:val="0"/>
              <w:rPr>
                <w:bCs/>
                <w:szCs w:val="22"/>
                <w:lang w:val="pl-PL"/>
              </w:rPr>
            </w:pPr>
            <w:r w:rsidRPr="00BD646C">
              <w:rPr>
                <w:szCs w:val="22"/>
                <w:lang w:val="es-ES"/>
              </w:rPr>
              <w:t xml:space="preserve">Tel.: +48 22 </w:t>
            </w:r>
            <w:r w:rsidRPr="00BD646C">
              <w:rPr>
                <w:bCs/>
                <w:szCs w:val="22"/>
                <w:lang w:val="pl-PL"/>
              </w:rPr>
              <w:t xml:space="preserve">372 78 00 </w:t>
            </w:r>
          </w:p>
          <w:p w14:paraId="3F3349F7" w14:textId="77777777" w:rsidR="008604D4" w:rsidRPr="00BD646C" w:rsidRDefault="008604D4" w:rsidP="001F79B0">
            <w:pPr>
              <w:suppressAutoHyphens w:val="0"/>
              <w:rPr>
                <w:bCs/>
                <w:szCs w:val="22"/>
                <w:lang w:val="pl-PL"/>
              </w:rPr>
            </w:pPr>
          </w:p>
        </w:tc>
      </w:tr>
      <w:tr w:rsidR="00011D2F" w14:paraId="6BEA18AD" w14:textId="77777777" w:rsidTr="001F79B0">
        <w:trPr>
          <w:trHeight w:val="734"/>
        </w:trPr>
        <w:tc>
          <w:tcPr>
            <w:tcW w:w="4678" w:type="dxa"/>
            <w:gridSpan w:val="3"/>
          </w:tcPr>
          <w:p w14:paraId="55BBB245" w14:textId="77777777" w:rsidR="008604D4" w:rsidRPr="00BD646C" w:rsidRDefault="00943743" w:rsidP="001F79B0">
            <w:pPr>
              <w:suppressAutoHyphens w:val="0"/>
              <w:rPr>
                <w:b/>
                <w:bCs/>
                <w:szCs w:val="22"/>
                <w:lang w:val="fr-FR"/>
              </w:rPr>
            </w:pPr>
            <w:r w:rsidRPr="00BD646C">
              <w:rPr>
                <w:b/>
                <w:bCs/>
                <w:szCs w:val="22"/>
                <w:lang w:val="fr-FR"/>
              </w:rPr>
              <w:t>France</w:t>
            </w:r>
          </w:p>
          <w:p w14:paraId="1CB2F236" w14:textId="77777777" w:rsidR="008604D4" w:rsidRPr="00BD646C" w:rsidRDefault="00943743" w:rsidP="001F79B0">
            <w:pPr>
              <w:suppressAutoHyphens w:val="0"/>
              <w:rPr>
                <w:bCs/>
                <w:szCs w:val="22"/>
                <w:lang w:val="fr-FR"/>
              </w:rPr>
            </w:pPr>
            <w:r w:rsidRPr="00BD646C">
              <w:rPr>
                <w:bCs/>
                <w:szCs w:val="22"/>
                <w:lang w:val="fr-FR"/>
              </w:rPr>
              <w:t>AbbVie</w:t>
            </w:r>
          </w:p>
          <w:p w14:paraId="1802BFBC" w14:textId="77777777" w:rsidR="008604D4" w:rsidRPr="00BD646C" w:rsidRDefault="00943743" w:rsidP="001F79B0">
            <w:pPr>
              <w:suppressAutoHyphens w:val="0"/>
              <w:rPr>
                <w:bCs/>
                <w:szCs w:val="22"/>
                <w:lang w:val="fr-FR"/>
              </w:rPr>
            </w:pPr>
            <w:r w:rsidRPr="00BD646C">
              <w:rPr>
                <w:bCs/>
                <w:szCs w:val="22"/>
                <w:lang w:val="fr-FR"/>
              </w:rPr>
              <w:t>Tél: +33 (0) 1 45 60 13 00</w:t>
            </w:r>
          </w:p>
        </w:tc>
        <w:tc>
          <w:tcPr>
            <w:tcW w:w="4678" w:type="dxa"/>
          </w:tcPr>
          <w:p w14:paraId="3C825907" w14:textId="77777777" w:rsidR="008604D4" w:rsidRPr="00BD646C" w:rsidRDefault="00943743" w:rsidP="001F79B0">
            <w:pPr>
              <w:suppressAutoHyphens w:val="0"/>
              <w:rPr>
                <w:b/>
                <w:bCs/>
                <w:szCs w:val="22"/>
                <w:lang w:val="pt-PT"/>
              </w:rPr>
            </w:pPr>
            <w:r w:rsidRPr="00BD646C">
              <w:rPr>
                <w:b/>
                <w:bCs/>
                <w:szCs w:val="22"/>
                <w:lang w:val="pt-PT"/>
              </w:rPr>
              <w:t>Portugal</w:t>
            </w:r>
          </w:p>
          <w:p w14:paraId="6F9E3130" w14:textId="77777777" w:rsidR="008604D4" w:rsidRPr="00BD646C" w:rsidRDefault="00943743" w:rsidP="001F79B0">
            <w:pPr>
              <w:suppressAutoHyphens w:val="0"/>
              <w:rPr>
                <w:bCs/>
                <w:szCs w:val="22"/>
                <w:lang w:val="fr-FR"/>
              </w:rPr>
            </w:pPr>
            <w:r w:rsidRPr="00BD646C">
              <w:rPr>
                <w:bCs/>
                <w:szCs w:val="22"/>
                <w:lang w:val="fr-FR"/>
              </w:rPr>
              <w:t xml:space="preserve">AbbVie, Lda. </w:t>
            </w:r>
          </w:p>
          <w:p w14:paraId="22D201DD" w14:textId="77777777" w:rsidR="008604D4" w:rsidRPr="00BD646C" w:rsidRDefault="00943743" w:rsidP="001F79B0">
            <w:pPr>
              <w:suppressAutoHyphens w:val="0"/>
              <w:rPr>
                <w:szCs w:val="22"/>
                <w:lang w:val="fr-FR"/>
              </w:rPr>
            </w:pPr>
            <w:r w:rsidRPr="00BD646C">
              <w:rPr>
                <w:szCs w:val="22"/>
                <w:lang w:val="fr-FR"/>
              </w:rPr>
              <w:t>Tel: +351 (0)21 1908400</w:t>
            </w:r>
          </w:p>
          <w:p w14:paraId="6D9E45D6" w14:textId="77777777" w:rsidR="008604D4" w:rsidRPr="00BD646C" w:rsidRDefault="008604D4" w:rsidP="001F79B0">
            <w:pPr>
              <w:suppressAutoHyphens w:val="0"/>
              <w:rPr>
                <w:szCs w:val="22"/>
                <w:lang w:val="fr-FR"/>
              </w:rPr>
            </w:pPr>
          </w:p>
        </w:tc>
      </w:tr>
      <w:tr w:rsidR="00011D2F" w14:paraId="55660E51" w14:textId="77777777" w:rsidTr="001F79B0">
        <w:trPr>
          <w:gridBefore w:val="1"/>
          <w:wBefore w:w="34" w:type="dxa"/>
        </w:trPr>
        <w:tc>
          <w:tcPr>
            <w:tcW w:w="4644" w:type="dxa"/>
            <w:gridSpan w:val="2"/>
          </w:tcPr>
          <w:p w14:paraId="0EC1A175" w14:textId="77777777" w:rsidR="008604D4" w:rsidRPr="0047544D" w:rsidRDefault="00943743" w:rsidP="001F79B0">
            <w:pPr>
              <w:suppressAutoHyphens w:val="0"/>
              <w:rPr>
                <w:szCs w:val="22"/>
              </w:rPr>
            </w:pPr>
            <w:r w:rsidRPr="0047544D">
              <w:rPr>
                <w:b/>
                <w:bCs/>
                <w:szCs w:val="22"/>
              </w:rPr>
              <w:t xml:space="preserve">Hrvatska </w:t>
            </w:r>
          </w:p>
          <w:p w14:paraId="355BBBAE" w14:textId="77777777" w:rsidR="008604D4" w:rsidRPr="00BD646C" w:rsidRDefault="00943743" w:rsidP="001F79B0">
            <w:pPr>
              <w:suppressAutoHyphens w:val="0"/>
              <w:rPr>
                <w:szCs w:val="22"/>
                <w:lang w:val="hr-HR"/>
              </w:rPr>
            </w:pPr>
            <w:r w:rsidRPr="00BD646C">
              <w:rPr>
                <w:szCs w:val="22"/>
                <w:lang w:val="hr-HR"/>
              </w:rPr>
              <w:t>AbbVie d.o.o.</w:t>
            </w:r>
          </w:p>
          <w:p w14:paraId="1B3BC234" w14:textId="77777777" w:rsidR="008604D4" w:rsidRPr="00BD646C" w:rsidRDefault="00943743" w:rsidP="001F79B0">
            <w:pPr>
              <w:suppressAutoHyphens w:val="0"/>
              <w:rPr>
                <w:bCs/>
                <w:szCs w:val="22"/>
                <w:lang w:val="it-IT"/>
              </w:rPr>
            </w:pPr>
            <w:r w:rsidRPr="00BD646C">
              <w:rPr>
                <w:szCs w:val="22"/>
                <w:lang w:val="hr-HR"/>
              </w:rPr>
              <w:t xml:space="preserve">Tel + 385 (0)1 </w:t>
            </w:r>
            <w:r w:rsidRPr="00BD646C">
              <w:rPr>
                <w:szCs w:val="22"/>
                <w:lang w:val="en-US"/>
              </w:rPr>
              <w:t>5625 501</w:t>
            </w:r>
          </w:p>
        </w:tc>
        <w:tc>
          <w:tcPr>
            <w:tcW w:w="4678" w:type="dxa"/>
          </w:tcPr>
          <w:p w14:paraId="5E95FD03" w14:textId="77777777" w:rsidR="008604D4" w:rsidRPr="00BD646C" w:rsidRDefault="00943743" w:rsidP="001F79B0">
            <w:pPr>
              <w:suppressAutoHyphens w:val="0"/>
              <w:rPr>
                <w:b/>
                <w:bCs/>
                <w:szCs w:val="22"/>
                <w:lang w:val="it-IT"/>
              </w:rPr>
            </w:pPr>
            <w:r w:rsidRPr="00BD646C">
              <w:rPr>
                <w:b/>
                <w:bCs/>
                <w:szCs w:val="22"/>
                <w:lang w:val="it-IT"/>
              </w:rPr>
              <w:t>România</w:t>
            </w:r>
          </w:p>
          <w:p w14:paraId="3B1837CD" w14:textId="77777777" w:rsidR="008604D4" w:rsidRPr="00BD646C" w:rsidRDefault="00943743" w:rsidP="001F79B0">
            <w:pPr>
              <w:suppressAutoHyphens w:val="0"/>
              <w:rPr>
                <w:szCs w:val="22"/>
                <w:lang w:val="it-IT"/>
              </w:rPr>
            </w:pPr>
            <w:r w:rsidRPr="00BD646C">
              <w:rPr>
                <w:szCs w:val="22"/>
                <w:lang w:val="it-IT"/>
              </w:rPr>
              <w:t>AbbVie S.R.L.</w:t>
            </w:r>
          </w:p>
          <w:p w14:paraId="2B2199E7" w14:textId="77777777" w:rsidR="008604D4" w:rsidRPr="00BD646C" w:rsidRDefault="00943743" w:rsidP="001F79B0">
            <w:pPr>
              <w:suppressAutoHyphens w:val="0"/>
              <w:rPr>
                <w:szCs w:val="22"/>
                <w:lang w:val="pl-PL"/>
              </w:rPr>
            </w:pPr>
            <w:r w:rsidRPr="00BD646C">
              <w:rPr>
                <w:szCs w:val="22"/>
                <w:lang w:val="pl-PL"/>
              </w:rPr>
              <w:t>Tel: +40 21 529 30 35</w:t>
            </w:r>
          </w:p>
          <w:p w14:paraId="4319F202" w14:textId="77777777" w:rsidR="008604D4" w:rsidRPr="00BD646C" w:rsidRDefault="008604D4" w:rsidP="001F79B0">
            <w:pPr>
              <w:suppressAutoHyphens w:val="0"/>
              <w:rPr>
                <w:szCs w:val="22"/>
                <w:lang w:val="pl-PL"/>
              </w:rPr>
            </w:pPr>
          </w:p>
        </w:tc>
      </w:tr>
      <w:tr w:rsidR="00011D2F" w14:paraId="2C4587AC" w14:textId="77777777" w:rsidTr="001F79B0">
        <w:trPr>
          <w:gridBefore w:val="1"/>
          <w:wBefore w:w="34" w:type="dxa"/>
        </w:trPr>
        <w:tc>
          <w:tcPr>
            <w:tcW w:w="4644" w:type="dxa"/>
            <w:gridSpan w:val="2"/>
          </w:tcPr>
          <w:p w14:paraId="4740203A" w14:textId="77777777" w:rsidR="008604D4" w:rsidRPr="00BD646C" w:rsidRDefault="00943743" w:rsidP="001F79B0">
            <w:pPr>
              <w:suppressAutoHyphens w:val="0"/>
              <w:rPr>
                <w:b/>
                <w:bCs/>
                <w:szCs w:val="22"/>
                <w:lang w:val="sk-SK"/>
              </w:rPr>
            </w:pPr>
            <w:r w:rsidRPr="00BD646C">
              <w:rPr>
                <w:b/>
                <w:bCs/>
                <w:szCs w:val="22"/>
                <w:lang w:val="sk-SK"/>
              </w:rPr>
              <w:t>Ireland</w:t>
            </w:r>
          </w:p>
          <w:p w14:paraId="02213301" w14:textId="77777777" w:rsidR="008604D4" w:rsidRPr="00BD646C" w:rsidRDefault="00943743" w:rsidP="001F79B0">
            <w:pPr>
              <w:suppressAutoHyphens w:val="0"/>
              <w:rPr>
                <w:bCs/>
                <w:szCs w:val="22"/>
                <w:lang w:val="sk-SK"/>
              </w:rPr>
            </w:pPr>
            <w:r w:rsidRPr="00BD646C">
              <w:rPr>
                <w:bCs/>
                <w:szCs w:val="22"/>
                <w:lang w:val="sk-SK"/>
              </w:rPr>
              <w:t xml:space="preserve">AbbVie Limited </w:t>
            </w:r>
          </w:p>
          <w:p w14:paraId="4EAE7059" w14:textId="77777777" w:rsidR="008604D4" w:rsidRPr="00BD646C" w:rsidRDefault="00943743" w:rsidP="001F79B0">
            <w:pPr>
              <w:suppressAutoHyphens w:val="0"/>
              <w:rPr>
                <w:bCs/>
                <w:szCs w:val="22"/>
                <w:lang w:val="sk-SK"/>
              </w:rPr>
            </w:pPr>
            <w:r w:rsidRPr="00BD646C">
              <w:rPr>
                <w:bCs/>
                <w:szCs w:val="22"/>
                <w:lang w:val="pt-PT"/>
              </w:rPr>
              <w:t>Tel: +353 (0)1 42879</w:t>
            </w:r>
            <w:r w:rsidR="001C51F1">
              <w:rPr>
                <w:bCs/>
                <w:szCs w:val="22"/>
                <w:lang w:val="pt-PT"/>
              </w:rPr>
              <w:t>0</w:t>
            </w:r>
            <w:r w:rsidRPr="00BD646C">
              <w:rPr>
                <w:bCs/>
                <w:szCs w:val="22"/>
                <w:lang w:val="pt-PT"/>
              </w:rPr>
              <w:t>0</w:t>
            </w:r>
          </w:p>
        </w:tc>
        <w:tc>
          <w:tcPr>
            <w:tcW w:w="4678" w:type="dxa"/>
          </w:tcPr>
          <w:p w14:paraId="1518EF03" w14:textId="77777777" w:rsidR="008604D4" w:rsidRPr="00BD646C" w:rsidRDefault="00943743" w:rsidP="001F79B0">
            <w:pPr>
              <w:suppressAutoHyphens w:val="0"/>
              <w:rPr>
                <w:b/>
                <w:bCs/>
                <w:szCs w:val="22"/>
                <w:lang w:val="sl-SI"/>
              </w:rPr>
            </w:pPr>
            <w:r w:rsidRPr="00BD646C">
              <w:rPr>
                <w:b/>
                <w:bCs/>
                <w:szCs w:val="22"/>
                <w:lang w:val="sl-SI"/>
              </w:rPr>
              <w:t>Slovenija</w:t>
            </w:r>
          </w:p>
          <w:p w14:paraId="7896070D" w14:textId="77777777" w:rsidR="008604D4" w:rsidRPr="00BD646C" w:rsidRDefault="00943743" w:rsidP="001F79B0">
            <w:pPr>
              <w:suppressAutoHyphens w:val="0"/>
              <w:rPr>
                <w:bCs/>
                <w:szCs w:val="22"/>
                <w:lang w:val="sl-SI"/>
              </w:rPr>
            </w:pPr>
            <w:r w:rsidRPr="00BD646C">
              <w:rPr>
                <w:bCs/>
                <w:szCs w:val="22"/>
                <w:lang w:val="sl-SI"/>
              </w:rPr>
              <w:t xml:space="preserve">AbbVie </w:t>
            </w:r>
            <w:r w:rsidRPr="00BD646C">
              <w:rPr>
                <w:szCs w:val="22"/>
                <w:lang w:val="sl-SI"/>
              </w:rPr>
              <w:t>Biofarmacevtska družba d.o.o.</w:t>
            </w:r>
          </w:p>
          <w:p w14:paraId="2E996A12" w14:textId="77777777" w:rsidR="008604D4" w:rsidRPr="00BD646C" w:rsidRDefault="00943743" w:rsidP="001F79B0">
            <w:pPr>
              <w:suppressAutoHyphens w:val="0"/>
              <w:rPr>
                <w:bCs/>
                <w:szCs w:val="22"/>
                <w:lang w:val="sl-SI"/>
              </w:rPr>
            </w:pPr>
            <w:r w:rsidRPr="00BD646C">
              <w:rPr>
                <w:bCs/>
                <w:szCs w:val="22"/>
                <w:lang w:val="sl-SI"/>
              </w:rPr>
              <w:t>Tel: +386 (1)32 08 060</w:t>
            </w:r>
          </w:p>
          <w:p w14:paraId="4E870131" w14:textId="77777777" w:rsidR="008604D4" w:rsidRPr="00BD646C" w:rsidRDefault="008604D4" w:rsidP="001F79B0">
            <w:pPr>
              <w:suppressAutoHyphens w:val="0"/>
              <w:rPr>
                <w:bCs/>
                <w:szCs w:val="22"/>
                <w:lang w:val="sl-SI"/>
              </w:rPr>
            </w:pPr>
          </w:p>
        </w:tc>
      </w:tr>
      <w:tr w:rsidR="00011D2F" w14:paraId="290348B3" w14:textId="77777777" w:rsidTr="001F79B0">
        <w:trPr>
          <w:gridBefore w:val="1"/>
          <w:wBefore w:w="34" w:type="dxa"/>
        </w:trPr>
        <w:tc>
          <w:tcPr>
            <w:tcW w:w="4644" w:type="dxa"/>
            <w:gridSpan w:val="2"/>
          </w:tcPr>
          <w:p w14:paraId="0272A748" w14:textId="77777777" w:rsidR="008604D4" w:rsidRPr="00BD646C" w:rsidRDefault="00943743" w:rsidP="001F79B0">
            <w:pPr>
              <w:suppressAutoHyphens w:val="0"/>
              <w:rPr>
                <w:b/>
                <w:bCs/>
                <w:szCs w:val="22"/>
                <w:lang w:val="is-IS"/>
              </w:rPr>
            </w:pPr>
            <w:r w:rsidRPr="00BD646C">
              <w:rPr>
                <w:b/>
                <w:bCs/>
                <w:szCs w:val="22"/>
                <w:lang w:val="is-IS"/>
              </w:rPr>
              <w:t>Ísland</w:t>
            </w:r>
          </w:p>
          <w:p w14:paraId="038827D0" w14:textId="77777777" w:rsidR="008604D4" w:rsidRPr="00BD646C" w:rsidRDefault="00943743" w:rsidP="001F79B0">
            <w:pPr>
              <w:suppressAutoHyphens w:val="0"/>
              <w:rPr>
                <w:bCs/>
                <w:szCs w:val="22"/>
                <w:lang w:val="sk-SK"/>
              </w:rPr>
            </w:pPr>
            <w:r w:rsidRPr="00BD646C">
              <w:rPr>
                <w:bCs/>
                <w:szCs w:val="22"/>
                <w:lang w:val="sk-SK"/>
              </w:rPr>
              <w:t>Vistor</w:t>
            </w:r>
            <w:del w:id="13985" w:author="AbbVie_HU_03" w:date="2025-05-14T16:44:00Z">
              <w:r w:rsidRPr="00BD646C">
                <w:rPr>
                  <w:bCs/>
                  <w:szCs w:val="22"/>
                  <w:lang w:val="sk-SK"/>
                </w:rPr>
                <w:delText xml:space="preserve"> hf.</w:delText>
              </w:r>
            </w:del>
          </w:p>
          <w:p w14:paraId="196C01F3" w14:textId="77777777" w:rsidR="008604D4" w:rsidRPr="00BD646C" w:rsidRDefault="00943743" w:rsidP="001F79B0">
            <w:pPr>
              <w:suppressAutoHyphens w:val="0"/>
              <w:rPr>
                <w:bCs/>
                <w:szCs w:val="22"/>
                <w:lang w:val="sk-SK"/>
              </w:rPr>
            </w:pPr>
            <w:r w:rsidRPr="00BD646C">
              <w:rPr>
                <w:bCs/>
                <w:szCs w:val="22"/>
                <w:lang w:val="sk-SK"/>
              </w:rPr>
              <w:t>Tel: +354 535 7000</w:t>
            </w:r>
          </w:p>
        </w:tc>
        <w:tc>
          <w:tcPr>
            <w:tcW w:w="4678" w:type="dxa"/>
          </w:tcPr>
          <w:p w14:paraId="5F939844" w14:textId="77777777" w:rsidR="008604D4" w:rsidRPr="00BD646C" w:rsidRDefault="00943743" w:rsidP="001F79B0">
            <w:pPr>
              <w:suppressAutoHyphens w:val="0"/>
              <w:rPr>
                <w:b/>
                <w:bCs/>
                <w:szCs w:val="22"/>
                <w:lang w:val="sk-SK"/>
              </w:rPr>
            </w:pPr>
            <w:r w:rsidRPr="00BD646C">
              <w:rPr>
                <w:b/>
                <w:bCs/>
                <w:szCs w:val="22"/>
                <w:lang w:val="sk-SK"/>
              </w:rPr>
              <w:t>Slovenská republika</w:t>
            </w:r>
          </w:p>
          <w:p w14:paraId="3C4540DB" w14:textId="77777777" w:rsidR="008604D4" w:rsidRPr="00BD646C" w:rsidRDefault="00943743" w:rsidP="001F79B0">
            <w:pPr>
              <w:suppressAutoHyphens w:val="0"/>
              <w:rPr>
                <w:bCs/>
                <w:szCs w:val="22"/>
                <w:lang w:val="sk-SK"/>
              </w:rPr>
            </w:pPr>
            <w:r w:rsidRPr="00BD646C">
              <w:rPr>
                <w:bCs/>
                <w:szCs w:val="22"/>
                <w:lang w:val="sk-SK"/>
              </w:rPr>
              <w:t>AbbVie s.r.o.</w:t>
            </w:r>
          </w:p>
          <w:p w14:paraId="47D5F31D" w14:textId="77777777" w:rsidR="008604D4" w:rsidRPr="00BD646C" w:rsidRDefault="00943743" w:rsidP="001F79B0">
            <w:pPr>
              <w:suppressAutoHyphens w:val="0"/>
              <w:rPr>
                <w:bCs/>
                <w:szCs w:val="22"/>
                <w:lang w:val="sk-SK"/>
              </w:rPr>
            </w:pPr>
            <w:r w:rsidRPr="00BD646C">
              <w:rPr>
                <w:bCs/>
                <w:szCs w:val="22"/>
                <w:lang w:val="sk-SK"/>
              </w:rPr>
              <w:t>Tel: +421 2 5050 0777</w:t>
            </w:r>
          </w:p>
          <w:p w14:paraId="75DC8C67" w14:textId="77777777" w:rsidR="008604D4" w:rsidRPr="00BD646C" w:rsidRDefault="008604D4" w:rsidP="001F79B0">
            <w:pPr>
              <w:suppressAutoHyphens w:val="0"/>
              <w:rPr>
                <w:bCs/>
                <w:szCs w:val="22"/>
                <w:lang w:val="sk-SK"/>
              </w:rPr>
            </w:pPr>
          </w:p>
        </w:tc>
      </w:tr>
      <w:tr w:rsidR="00011D2F" w14:paraId="6D709F85" w14:textId="77777777" w:rsidTr="001F79B0">
        <w:trPr>
          <w:gridBefore w:val="1"/>
          <w:wBefore w:w="34" w:type="dxa"/>
        </w:trPr>
        <w:tc>
          <w:tcPr>
            <w:tcW w:w="4644" w:type="dxa"/>
            <w:gridSpan w:val="2"/>
          </w:tcPr>
          <w:p w14:paraId="7E08C979" w14:textId="77777777" w:rsidR="008604D4" w:rsidRPr="00BD646C" w:rsidRDefault="00943743" w:rsidP="001F79B0">
            <w:pPr>
              <w:suppressAutoHyphens w:val="0"/>
              <w:rPr>
                <w:b/>
                <w:bCs/>
                <w:szCs w:val="22"/>
                <w:lang w:val="it-IT"/>
              </w:rPr>
            </w:pPr>
            <w:r w:rsidRPr="00BD646C">
              <w:rPr>
                <w:b/>
                <w:bCs/>
                <w:szCs w:val="22"/>
                <w:lang w:val="it-IT"/>
              </w:rPr>
              <w:t>Italia</w:t>
            </w:r>
          </w:p>
          <w:p w14:paraId="32262DFB" w14:textId="77777777" w:rsidR="008604D4" w:rsidRPr="00BD646C" w:rsidRDefault="00943743" w:rsidP="001F79B0">
            <w:pPr>
              <w:suppressAutoHyphens w:val="0"/>
              <w:rPr>
                <w:bCs/>
                <w:szCs w:val="22"/>
                <w:lang w:val="pt-PT"/>
              </w:rPr>
            </w:pPr>
            <w:r w:rsidRPr="00BD646C">
              <w:rPr>
                <w:bCs/>
                <w:szCs w:val="22"/>
                <w:lang w:val="pt-PT"/>
              </w:rPr>
              <w:t xml:space="preserve">AbbVie S.r.l. </w:t>
            </w:r>
          </w:p>
          <w:p w14:paraId="7DBEB5F2" w14:textId="77777777" w:rsidR="008604D4" w:rsidRPr="00BD646C" w:rsidRDefault="00943743" w:rsidP="001F79B0">
            <w:pPr>
              <w:suppressAutoHyphens w:val="0"/>
              <w:rPr>
                <w:bCs/>
                <w:szCs w:val="22"/>
                <w:lang w:val="fi-FI"/>
              </w:rPr>
            </w:pPr>
            <w:r w:rsidRPr="00BD646C">
              <w:rPr>
                <w:bCs/>
                <w:szCs w:val="22"/>
                <w:lang w:val="fr-FR"/>
              </w:rPr>
              <w:t>Tel: +39 06 928921</w:t>
            </w:r>
          </w:p>
        </w:tc>
        <w:tc>
          <w:tcPr>
            <w:tcW w:w="4678" w:type="dxa"/>
          </w:tcPr>
          <w:p w14:paraId="1856F4DC" w14:textId="77777777" w:rsidR="008604D4" w:rsidRPr="00BD646C" w:rsidRDefault="00943743" w:rsidP="001F79B0">
            <w:pPr>
              <w:suppressAutoHyphens w:val="0"/>
              <w:rPr>
                <w:b/>
                <w:bCs/>
                <w:szCs w:val="22"/>
                <w:lang w:val="fi-FI"/>
              </w:rPr>
            </w:pPr>
            <w:r w:rsidRPr="00BD646C">
              <w:rPr>
                <w:b/>
                <w:bCs/>
                <w:szCs w:val="22"/>
                <w:lang w:val="fi-FI"/>
              </w:rPr>
              <w:t>Suomi/Finland</w:t>
            </w:r>
          </w:p>
          <w:p w14:paraId="5AFC5DC8" w14:textId="77777777" w:rsidR="008604D4" w:rsidRPr="00BD646C" w:rsidRDefault="00943743" w:rsidP="001F79B0">
            <w:pPr>
              <w:suppressAutoHyphens w:val="0"/>
              <w:rPr>
                <w:bCs/>
                <w:szCs w:val="22"/>
                <w:lang w:val="de-CH"/>
              </w:rPr>
            </w:pPr>
            <w:r w:rsidRPr="00BD646C">
              <w:rPr>
                <w:bCs/>
                <w:szCs w:val="22"/>
                <w:lang w:val="sk-SK"/>
              </w:rPr>
              <w:t>AbbVie Oy</w:t>
            </w:r>
          </w:p>
          <w:p w14:paraId="1EA6B4E6" w14:textId="77777777" w:rsidR="008604D4" w:rsidRPr="00BD646C" w:rsidRDefault="00943743" w:rsidP="001F79B0">
            <w:pPr>
              <w:suppressAutoHyphens w:val="0"/>
              <w:rPr>
                <w:bCs/>
                <w:szCs w:val="22"/>
                <w:lang w:val="sk-SK"/>
              </w:rPr>
            </w:pPr>
            <w:r w:rsidRPr="00BD646C">
              <w:rPr>
                <w:bCs/>
                <w:szCs w:val="22"/>
                <w:lang w:val="sk-SK"/>
              </w:rPr>
              <w:t>Puh/Tel: +358 (0)10 2411 200</w:t>
            </w:r>
          </w:p>
          <w:p w14:paraId="7C769CF7" w14:textId="77777777" w:rsidR="008604D4" w:rsidRPr="00BD646C" w:rsidRDefault="008604D4" w:rsidP="001F79B0">
            <w:pPr>
              <w:suppressAutoHyphens w:val="0"/>
              <w:rPr>
                <w:szCs w:val="22"/>
                <w:lang w:val="sk-SK"/>
              </w:rPr>
            </w:pPr>
          </w:p>
        </w:tc>
      </w:tr>
      <w:tr w:rsidR="00011D2F" w14:paraId="6AF6B1C1" w14:textId="77777777" w:rsidTr="001F79B0">
        <w:trPr>
          <w:gridBefore w:val="1"/>
          <w:wBefore w:w="34" w:type="dxa"/>
          <w:cantSplit/>
          <w:trHeight w:val="887"/>
        </w:trPr>
        <w:tc>
          <w:tcPr>
            <w:tcW w:w="4644" w:type="dxa"/>
            <w:gridSpan w:val="2"/>
          </w:tcPr>
          <w:p w14:paraId="14A4B1D2" w14:textId="77777777" w:rsidR="008604D4" w:rsidRPr="00BD646C" w:rsidRDefault="00943743" w:rsidP="001F79B0">
            <w:pPr>
              <w:suppressAutoHyphens w:val="0"/>
              <w:rPr>
                <w:b/>
                <w:bCs/>
                <w:szCs w:val="22"/>
                <w:lang w:val="el-GR"/>
              </w:rPr>
            </w:pPr>
            <w:r w:rsidRPr="00BD646C">
              <w:rPr>
                <w:b/>
                <w:bCs/>
                <w:szCs w:val="22"/>
                <w:lang w:val="el-GR"/>
              </w:rPr>
              <w:t>Κύπρος</w:t>
            </w:r>
          </w:p>
          <w:p w14:paraId="0D468C8D" w14:textId="77777777" w:rsidR="008604D4" w:rsidRPr="00BD646C" w:rsidRDefault="00943743" w:rsidP="001F79B0">
            <w:pPr>
              <w:suppressAutoHyphens w:val="0"/>
              <w:rPr>
                <w:bCs/>
                <w:szCs w:val="22"/>
                <w:lang w:val="el-GR"/>
              </w:rPr>
            </w:pPr>
            <w:r w:rsidRPr="00BD646C">
              <w:rPr>
                <w:bCs/>
                <w:szCs w:val="22"/>
                <w:lang w:val="sk-SK"/>
              </w:rPr>
              <w:t xml:space="preserve">Lifepharma (Z.A.M.) </w:t>
            </w:r>
            <w:r w:rsidRPr="00BD646C">
              <w:rPr>
                <w:bCs/>
                <w:szCs w:val="22"/>
                <w:lang w:val="it-IT"/>
              </w:rPr>
              <w:t>Ltd</w:t>
            </w:r>
          </w:p>
          <w:p w14:paraId="668AA6BB" w14:textId="77777777" w:rsidR="008604D4" w:rsidRPr="00BD646C" w:rsidRDefault="00943743" w:rsidP="001F79B0">
            <w:pPr>
              <w:suppressAutoHyphens w:val="0"/>
              <w:rPr>
                <w:bCs/>
                <w:szCs w:val="22"/>
                <w:lang w:val="lv-LV"/>
              </w:rPr>
            </w:pPr>
            <w:r w:rsidRPr="00BD646C">
              <w:rPr>
                <w:bCs/>
                <w:szCs w:val="22"/>
                <w:lang w:val="el-GR"/>
              </w:rPr>
              <w:t>Τηλ.: +357 22 34 74 40</w:t>
            </w:r>
          </w:p>
        </w:tc>
        <w:tc>
          <w:tcPr>
            <w:tcW w:w="4678" w:type="dxa"/>
          </w:tcPr>
          <w:p w14:paraId="702B45E6" w14:textId="77777777" w:rsidR="008604D4" w:rsidRPr="00BD646C" w:rsidRDefault="00943743" w:rsidP="001F79B0">
            <w:pPr>
              <w:suppressAutoHyphens w:val="0"/>
              <w:rPr>
                <w:b/>
                <w:bCs/>
                <w:szCs w:val="22"/>
                <w:lang w:val="sk-SK"/>
              </w:rPr>
            </w:pPr>
            <w:r w:rsidRPr="00BD646C">
              <w:rPr>
                <w:b/>
                <w:bCs/>
                <w:szCs w:val="22"/>
                <w:lang w:val="sk-SK"/>
              </w:rPr>
              <w:t>Sverige</w:t>
            </w:r>
          </w:p>
          <w:p w14:paraId="47256CF5" w14:textId="77777777" w:rsidR="008604D4" w:rsidRPr="00BD646C" w:rsidRDefault="00943743" w:rsidP="001F79B0">
            <w:pPr>
              <w:suppressAutoHyphens w:val="0"/>
              <w:rPr>
                <w:bCs/>
                <w:szCs w:val="22"/>
                <w:lang w:val="pt-PT"/>
              </w:rPr>
            </w:pPr>
            <w:r w:rsidRPr="00BD646C">
              <w:rPr>
                <w:bCs/>
                <w:szCs w:val="22"/>
                <w:lang w:val="pt-PT"/>
              </w:rPr>
              <w:t>AbbVie AB</w:t>
            </w:r>
          </w:p>
          <w:p w14:paraId="01D1DC22" w14:textId="77777777" w:rsidR="008604D4" w:rsidRPr="00BD646C" w:rsidRDefault="00943743" w:rsidP="001F79B0">
            <w:pPr>
              <w:suppressAutoHyphens w:val="0"/>
              <w:rPr>
                <w:bCs/>
                <w:szCs w:val="22"/>
                <w:lang w:val="sk-SK"/>
              </w:rPr>
            </w:pPr>
            <w:r w:rsidRPr="00BD646C">
              <w:rPr>
                <w:bCs/>
                <w:szCs w:val="22"/>
                <w:lang w:val="da-DK"/>
              </w:rPr>
              <w:t>Tel: +46 (0)8 684 44 600</w:t>
            </w:r>
          </w:p>
        </w:tc>
      </w:tr>
      <w:tr w:rsidR="00011D2F" w14:paraId="3394334E" w14:textId="77777777" w:rsidTr="001F79B0">
        <w:trPr>
          <w:gridBefore w:val="1"/>
          <w:wBefore w:w="34" w:type="dxa"/>
          <w:cantSplit/>
          <w:trHeight w:val="761"/>
        </w:trPr>
        <w:tc>
          <w:tcPr>
            <w:tcW w:w="4644" w:type="dxa"/>
            <w:gridSpan w:val="2"/>
          </w:tcPr>
          <w:p w14:paraId="150E3C2B" w14:textId="77777777" w:rsidR="008604D4" w:rsidRPr="00BD646C" w:rsidRDefault="00943743" w:rsidP="001F79B0">
            <w:pPr>
              <w:suppressAutoHyphens w:val="0"/>
              <w:rPr>
                <w:b/>
                <w:bCs/>
                <w:szCs w:val="22"/>
                <w:lang w:val="lv-LV"/>
              </w:rPr>
            </w:pPr>
            <w:r w:rsidRPr="00BD646C">
              <w:rPr>
                <w:b/>
                <w:bCs/>
                <w:szCs w:val="22"/>
                <w:lang w:val="lv-LV"/>
              </w:rPr>
              <w:t>Latvija</w:t>
            </w:r>
          </w:p>
          <w:p w14:paraId="5E26FC2F" w14:textId="77777777" w:rsidR="008604D4" w:rsidRPr="00BD646C" w:rsidRDefault="00943743" w:rsidP="001F79B0">
            <w:pPr>
              <w:suppressAutoHyphens w:val="0"/>
              <w:rPr>
                <w:bCs/>
                <w:szCs w:val="22"/>
                <w:lang w:val="lv-LV"/>
              </w:rPr>
            </w:pPr>
            <w:r w:rsidRPr="00BD646C">
              <w:rPr>
                <w:bCs/>
                <w:szCs w:val="22"/>
                <w:lang w:val="lv-LV"/>
              </w:rPr>
              <w:t xml:space="preserve">AbbVie SIA </w:t>
            </w:r>
          </w:p>
          <w:p w14:paraId="18A58A9E" w14:textId="77777777" w:rsidR="008604D4" w:rsidRPr="00BD646C" w:rsidRDefault="00943743" w:rsidP="001F79B0">
            <w:pPr>
              <w:suppressAutoHyphens w:val="0"/>
              <w:rPr>
                <w:bCs/>
                <w:szCs w:val="22"/>
                <w:lang w:val="lv-LV"/>
              </w:rPr>
            </w:pPr>
            <w:r w:rsidRPr="00BD646C">
              <w:rPr>
                <w:bCs/>
                <w:szCs w:val="22"/>
                <w:lang w:val="lv-LV"/>
              </w:rPr>
              <w:t>Tel: +371 67605000</w:t>
            </w:r>
          </w:p>
        </w:tc>
        <w:tc>
          <w:tcPr>
            <w:tcW w:w="4678" w:type="dxa"/>
          </w:tcPr>
          <w:p w14:paraId="05BCB5B9" w14:textId="2B7A8047" w:rsidR="008604D4" w:rsidRPr="00BD646C" w:rsidRDefault="008604D4" w:rsidP="001F79B0">
            <w:pPr>
              <w:suppressAutoHyphens w:val="0"/>
              <w:rPr>
                <w:b/>
                <w:bCs/>
                <w:szCs w:val="22"/>
                <w:lang w:val="sk-SK"/>
              </w:rPr>
            </w:pPr>
          </w:p>
        </w:tc>
      </w:tr>
    </w:tbl>
    <w:p w14:paraId="5780FA8C" w14:textId="77777777" w:rsidR="00713AC9" w:rsidRPr="00183B5F" w:rsidRDefault="00713AC9" w:rsidP="00713AC9">
      <w:pPr>
        <w:spacing w:line="240" w:lineRule="auto"/>
        <w:ind w:right="-2"/>
        <w:rPr>
          <w:szCs w:val="22"/>
        </w:rPr>
      </w:pPr>
    </w:p>
    <w:p w14:paraId="0A18A414" w14:textId="77777777" w:rsidR="00713AC9" w:rsidRPr="00183B5F" w:rsidRDefault="00943743" w:rsidP="00713AC9">
      <w:pPr>
        <w:spacing w:line="240" w:lineRule="auto"/>
        <w:ind w:right="-2"/>
        <w:rPr>
          <w:b/>
          <w:szCs w:val="22"/>
        </w:rPr>
      </w:pPr>
      <w:r w:rsidRPr="00183B5F">
        <w:rPr>
          <w:b/>
          <w:szCs w:val="22"/>
        </w:rPr>
        <w:t xml:space="preserve">A betegtájékoztató </w:t>
      </w:r>
      <w:r w:rsidRPr="00183B5F">
        <w:rPr>
          <w:b/>
          <w:noProof/>
          <w:szCs w:val="24"/>
        </w:rPr>
        <w:t>legutóbbi felülvizsgálatának</w:t>
      </w:r>
      <w:r w:rsidRPr="00183B5F">
        <w:rPr>
          <w:b/>
          <w:szCs w:val="24"/>
        </w:rPr>
        <w:t xml:space="preserve"> </w:t>
      </w:r>
      <w:r w:rsidRPr="00183B5F">
        <w:rPr>
          <w:b/>
          <w:szCs w:val="22"/>
        </w:rPr>
        <w:t>dátuma:</w:t>
      </w:r>
    </w:p>
    <w:p w14:paraId="6E5B5739" w14:textId="77777777" w:rsidR="00713AC9" w:rsidRPr="00183B5F" w:rsidRDefault="00713AC9" w:rsidP="00713AC9">
      <w:pPr>
        <w:spacing w:line="240" w:lineRule="auto"/>
        <w:ind w:right="-2"/>
        <w:rPr>
          <w:szCs w:val="22"/>
        </w:rPr>
      </w:pPr>
    </w:p>
    <w:p w14:paraId="412E1C3E" w14:textId="79111FA5" w:rsidR="00713AC9" w:rsidRPr="00183B5F" w:rsidRDefault="00943743" w:rsidP="00713AC9">
      <w:pPr>
        <w:spacing w:line="240" w:lineRule="auto"/>
        <w:ind w:right="-2"/>
        <w:rPr>
          <w:i/>
          <w:iCs/>
          <w:snapToGrid w:val="0"/>
          <w:lang w:eastAsia="en-GB"/>
        </w:rPr>
      </w:pPr>
      <w:r w:rsidRPr="00183B5F">
        <w:rPr>
          <w:snapToGrid w:val="0"/>
          <w:lang w:eastAsia="en-GB"/>
        </w:rPr>
        <w:t>A gyógyszerről részletes információ az Európai Gyógyszerügynökség internetes honlapján (</w:t>
      </w:r>
      <w:r w:rsidRPr="00183B5F">
        <w:rPr>
          <w:color w:val="0000FF"/>
          <w:lang w:eastAsia="en-GB"/>
        </w:rPr>
        <w:t>http</w:t>
      </w:r>
      <w:ins w:id="13986" w:author="AbbVie_HU_03" w:date="2025-05-14T16:44:00Z">
        <w:r w:rsidR="00940F88">
          <w:rPr>
            <w:color w:val="0000FF"/>
            <w:lang w:eastAsia="en-GB"/>
          </w:rPr>
          <w:t>s</w:t>
        </w:r>
      </w:ins>
      <w:r w:rsidRPr="00183B5F">
        <w:rPr>
          <w:color w:val="0000FF"/>
          <w:lang w:eastAsia="en-GB"/>
        </w:rPr>
        <w:t>://www.ema.europa.eu</w:t>
      </w:r>
      <w:r w:rsidRPr="00183B5F">
        <w:rPr>
          <w:snapToGrid w:val="0"/>
          <w:color w:val="0000FF"/>
          <w:lang w:eastAsia="en-GB"/>
        </w:rPr>
        <w:t>/</w:t>
      </w:r>
      <w:r w:rsidRPr="00183B5F">
        <w:rPr>
          <w:i/>
          <w:iCs/>
          <w:snapToGrid w:val="0"/>
          <w:lang w:eastAsia="en-GB"/>
        </w:rPr>
        <w:t xml:space="preserve">) </w:t>
      </w:r>
      <w:r w:rsidRPr="00183B5F">
        <w:rPr>
          <w:snapToGrid w:val="0"/>
          <w:lang w:eastAsia="en-GB"/>
        </w:rPr>
        <w:t>található</w:t>
      </w:r>
      <w:r w:rsidRPr="00183B5F">
        <w:rPr>
          <w:i/>
          <w:iCs/>
          <w:snapToGrid w:val="0"/>
          <w:lang w:eastAsia="en-GB"/>
        </w:rPr>
        <w:t>.</w:t>
      </w:r>
    </w:p>
    <w:p w14:paraId="20FE5E27" w14:textId="77777777" w:rsidR="00713AC9" w:rsidRPr="00183B5F" w:rsidRDefault="00713AC9" w:rsidP="00713AC9">
      <w:pPr>
        <w:spacing w:line="240" w:lineRule="auto"/>
        <w:ind w:right="-2"/>
        <w:rPr>
          <w:i/>
          <w:iCs/>
          <w:snapToGrid w:val="0"/>
          <w:lang w:eastAsia="en-GB"/>
        </w:rPr>
      </w:pPr>
    </w:p>
    <w:p w14:paraId="596EB9A9" w14:textId="77777777" w:rsidR="00713AC9" w:rsidRPr="00183B5F" w:rsidRDefault="00943743" w:rsidP="00713AC9">
      <w:pPr>
        <w:autoSpaceDE w:val="0"/>
        <w:autoSpaceDN w:val="0"/>
        <w:adjustRightInd w:val="0"/>
        <w:spacing w:line="240" w:lineRule="auto"/>
        <w:rPr>
          <w:b/>
          <w:bCs/>
          <w:noProof/>
          <w:szCs w:val="22"/>
        </w:rPr>
      </w:pPr>
      <w:r w:rsidRPr="00183B5F">
        <w:rPr>
          <w:b/>
          <w:bCs/>
          <w:noProof/>
          <w:szCs w:val="22"/>
        </w:rPr>
        <w:t>A betegtájékoztató meghallgatásának</w:t>
      </w:r>
      <w:r w:rsidRPr="00183B5F">
        <w:rPr>
          <w:b/>
          <w:bCs/>
          <w:noProof/>
          <w:szCs w:val="22"/>
          <w:highlight w:val="lightGray"/>
        </w:rPr>
        <w:t>, &lt;Braille írással&gt;, &lt;nagyméretű betűkkel&gt; készült vagy &lt;audio&gt; változatának</w:t>
      </w:r>
      <w:r w:rsidRPr="00183B5F">
        <w:rPr>
          <w:b/>
          <w:bCs/>
          <w:noProof/>
          <w:szCs w:val="22"/>
        </w:rPr>
        <w:t xml:space="preserve"> igénylése érdekében forduljon a forgalomba hozatali engedély jogosultjának helyi képviselőjéhez.</w:t>
      </w:r>
    </w:p>
    <w:p w14:paraId="07D56AC7" w14:textId="77777777" w:rsidR="00713AC9" w:rsidRPr="00183B5F" w:rsidRDefault="00713AC9" w:rsidP="00713AC9">
      <w:pPr>
        <w:spacing w:line="240" w:lineRule="auto"/>
        <w:ind w:right="-2"/>
        <w:rPr>
          <w:szCs w:val="22"/>
        </w:rPr>
      </w:pPr>
    </w:p>
    <w:p w14:paraId="216E1ABA" w14:textId="77777777" w:rsidR="00713AC9" w:rsidRPr="00183B5F" w:rsidRDefault="00713AC9" w:rsidP="00713AC9">
      <w:pPr>
        <w:spacing w:line="240" w:lineRule="auto"/>
        <w:ind w:right="-2"/>
        <w:rPr>
          <w:szCs w:val="22"/>
        </w:rPr>
      </w:pPr>
    </w:p>
    <w:p w14:paraId="18042186" w14:textId="77777777" w:rsidR="00713AC9" w:rsidRPr="00183B5F" w:rsidRDefault="00943743" w:rsidP="00DA71A8">
      <w:pPr>
        <w:pStyle w:val="No-numheading3Agency"/>
        <w:spacing w:before="0" w:after="0"/>
        <w:rPr>
          <w:rFonts w:ascii="Times New Roman" w:hAnsi="Times New Roman"/>
          <w:szCs w:val="24"/>
          <w:lang w:val="hu-HU"/>
        </w:rPr>
      </w:pPr>
      <w:r w:rsidRPr="00183B5F">
        <w:rPr>
          <w:rFonts w:ascii="Times New Roman" w:hAnsi="Times New Roman"/>
          <w:szCs w:val="24"/>
          <w:lang w:val="hu-HU"/>
        </w:rPr>
        <w:t>7.</w:t>
      </w:r>
      <w:r w:rsidRPr="00183B5F">
        <w:rPr>
          <w:rFonts w:ascii="Times New Roman" w:hAnsi="Times New Roman"/>
          <w:szCs w:val="24"/>
          <w:lang w:val="hu-HU"/>
        </w:rPr>
        <w:tab/>
      </w:r>
      <w:r w:rsidR="004900E4" w:rsidRPr="00183B5F">
        <w:rPr>
          <w:rFonts w:ascii="Times New Roman" w:hAnsi="Times New Roman"/>
          <w:szCs w:val="24"/>
          <w:lang w:val="hu-HU"/>
        </w:rPr>
        <w:t>A Humira beadása</w:t>
      </w:r>
    </w:p>
    <w:p w14:paraId="7186BDE2" w14:textId="77777777" w:rsidR="00713AC9" w:rsidRPr="00183B5F" w:rsidRDefault="00713AC9" w:rsidP="00713AC9">
      <w:pPr>
        <w:pStyle w:val="No-numheading3Agency"/>
        <w:spacing w:before="0" w:after="0"/>
        <w:rPr>
          <w:rFonts w:ascii="Times New Roman" w:hAnsi="Times New Roman"/>
          <w:b w:val="0"/>
          <w:szCs w:val="24"/>
          <w:lang w:val="hu-HU"/>
        </w:rPr>
      </w:pPr>
    </w:p>
    <w:p w14:paraId="592F8DBF" w14:textId="77777777" w:rsidR="00713AC9" w:rsidRPr="00183B5F" w:rsidRDefault="00943743" w:rsidP="00713AC9">
      <w:pPr>
        <w:numPr>
          <w:ilvl w:val="0"/>
          <w:numId w:val="76"/>
        </w:numPr>
        <w:suppressAutoHyphens w:val="0"/>
        <w:spacing w:line="240" w:lineRule="auto"/>
        <w:ind w:right="-3"/>
        <w:rPr>
          <w:szCs w:val="22"/>
        </w:rPr>
      </w:pPr>
      <w:r w:rsidRPr="00183B5F">
        <w:rPr>
          <w:szCs w:val="22"/>
        </w:rPr>
        <w:t xml:space="preserve">A következő útmutató azt magyarázza el, hogyan adja be a bőre alá a Humira injekciót előretöltött fecskendővel. Kérjük, figyelmesen olvassa el az útmutatót, és kövesse lépésről-lépésre. </w:t>
      </w:r>
    </w:p>
    <w:p w14:paraId="105DC1F7" w14:textId="77777777" w:rsidR="00713AC9" w:rsidRPr="00183B5F" w:rsidRDefault="00713AC9" w:rsidP="00713AC9">
      <w:pPr>
        <w:suppressAutoHyphens w:val="0"/>
        <w:spacing w:line="240" w:lineRule="auto"/>
        <w:ind w:right="-3"/>
        <w:rPr>
          <w:szCs w:val="22"/>
        </w:rPr>
      </w:pPr>
    </w:p>
    <w:p w14:paraId="77E6D195" w14:textId="77777777" w:rsidR="00713AC9" w:rsidRPr="00183B5F" w:rsidRDefault="00943743" w:rsidP="00713AC9">
      <w:pPr>
        <w:numPr>
          <w:ilvl w:val="0"/>
          <w:numId w:val="76"/>
        </w:numPr>
        <w:suppressAutoHyphens w:val="0"/>
        <w:spacing w:line="240" w:lineRule="auto"/>
        <w:ind w:right="-3"/>
        <w:rPr>
          <w:szCs w:val="22"/>
        </w:rPr>
      </w:pPr>
      <w:r w:rsidRPr="00183B5F">
        <w:rPr>
          <w:szCs w:val="22"/>
        </w:rPr>
        <w:t xml:space="preserve">Az </w:t>
      </w:r>
      <w:r w:rsidR="007F37D3" w:rsidRPr="00183B5F">
        <w:rPr>
          <w:szCs w:val="22"/>
        </w:rPr>
        <w:t>ön</w:t>
      </w:r>
      <w:r w:rsidRPr="00183B5F">
        <w:rPr>
          <w:szCs w:val="22"/>
        </w:rPr>
        <w:t xml:space="preserve">injekciózás technikájára kezelőorvosa, a nővér, vagy gyógyszerésze tanítja meg Önt. </w:t>
      </w:r>
    </w:p>
    <w:p w14:paraId="6D032B73" w14:textId="77777777" w:rsidR="00713AC9" w:rsidRPr="00183B5F" w:rsidRDefault="00713AC9" w:rsidP="00713AC9">
      <w:pPr>
        <w:suppressAutoHyphens w:val="0"/>
        <w:spacing w:line="240" w:lineRule="auto"/>
        <w:ind w:right="-3"/>
        <w:rPr>
          <w:szCs w:val="22"/>
        </w:rPr>
      </w:pPr>
    </w:p>
    <w:p w14:paraId="2DA6D164" w14:textId="77777777" w:rsidR="00713AC9" w:rsidRPr="00183B5F" w:rsidRDefault="00943743" w:rsidP="00713AC9">
      <w:pPr>
        <w:numPr>
          <w:ilvl w:val="0"/>
          <w:numId w:val="76"/>
        </w:numPr>
        <w:suppressAutoHyphens w:val="0"/>
        <w:spacing w:line="240" w:lineRule="auto"/>
        <w:ind w:right="-3"/>
        <w:rPr>
          <w:szCs w:val="22"/>
        </w:rPr>
      </w:pPr>
      <w:r w:rsidRPr="00183B5F">
        <w:rPr>
          <w:szCs w:val="22"/>
        </w:rPr>
        <w:t xml:space="preserve">Ne próbálkozzon az </w:t>
      </w:r>
      <w:r w:rsidR="007F37D3" w:rsidRPr="00183B5F">
        <w:rPr>
          <w:szCs w:val="22"/>
        </w:rPr>
        <w:t>ön</w:t>
      </w:r>
      <w:r w:rsidRPr="00183B5F">
        <w:rPr>
          <w:szCs w:val="22"/>
        </w:rPr>
        <w:t>injekciózás</w:t>
      </w:r>
      <w:r w:rsidR="007F37D3" w:rsidRPr="00183B5F">
        <w:rPr>
          <w:szCs w:val="22"/>
        </w:rPr>
        <w:t>sal</w:t>
      </w:r>
      <w:r w:rsidRPr="00183B5F">
        <w:rPr>
          <w:szCs w:val="22"/>
        </w:rPr>
        <w:t xml:space="preserve">, amíg nem biztos abban, hogyan kell elkészíteni és beadni az injekciót. </w:t>
      </w:r>
    </w:p>
    <w:p w14:paraId="73BBB17B" w14:textId="77777777" w:rsidR="00713AC9" w:rsidRPr="00183B5F" w:rsidRDefault="00713AC9" w:rsidP="00713AC9">
      <w:pPr>
        <w:suppressAutoHyphens w:val="0"/>
        <w:spacing w:line="240" w:lineRule="auto"/>
        <w:ind w:right="-3"/>
        <w:rPr>
          <w:szCs w:val="22"/>
        </w:rPr>
      </w:pPr>
    </w:p>
    <w:p w14:paraId="0294B8D1" w14:textId="77777777" w:rsidR="00713AC9" w:rsidRPr="00183B5F" w:rsidRDefault="00943743" w:rsidP="00713AC9">
      <w:pPr>
        <w:numPr>
          <w:ilvl w:val="0"/>
          <w:numId w:val="76"/>
        </w:numPr>
        <w:suppressAutoHyphens w:val="0"/>
        <w:spacing w:line="240" w:lineRule="auto"/>
        <w:ind w:right="-3"/>
        <w:rPr>
          <w:szCs w:val="22"/>
        </w:rPr>
      </w:pPr>
      <w:r w:rsidRPr="00183B5F">
        <w:rPr>
          <w:szCs w:val="22"/>
        </w:rPr>
        <w:t xml:space="preserve">Megfelelő gyakorlás után </w:t>
      </w:r>
      <w:r w:rsidR="007F37D3" w:rsidRPr="00183B5F">
        <w:rPr>
          <w:szCs w:val="22"/>
        </w:rPr>
        <w:t>saját maga</w:t>
      </w:r>
      <w:r w:rsidRPr="00183B5F">
        <w:rPr>
          <w:szCs w:val="22"/>
        </w:rPr>
        <w:t xml:space="preserve"> vagy más személy (</w:t>
      </w:r>
      <w:r w:rsidR="0064540A" w:rsidRPr="00183B5F">
        <w:rPr>
          <w:bCs/>
          <w:szCs w:val="22"/>
        </w:rPr>
        <w:t>például</w:t>
      </w:r>
      <w:r w:rsidRPr="00183B5F">
        <w:rPr>
          <w:szCs w:val="22"/>
        </w:rPr>
        <w:t xml:space="preserve"> családtag, ismerős) is beadhatja </w:t>
      </w:r>
      <w:r w:rsidR="007F37D3" w:rsidRPr="00183B5F">
        <w:rPr>
          <w:szCs w:val="22"/>
        </w:rPr>
        <w:t>a</w:t>
      </w:r>
      <w:r w:rsidRPr="00183B5F">
        <w:rPr>
          <w:szCs w:val="22"/>
        </w:rPr>
        <w:t>z injekciót.</w:t>
      </w:r>
    </w:p>
    <w:p w14:paraId="1E82EA97" w14:textId="77777777" w:rsidR="00713AC9" w:rsidRPr="00183B5F" w:rsidRDefault="00713AC9" w:rsidP="00713AC9">
      <w:pPr>
        <w:suppressAutoHyphens w:val="0"/>
        <w:spacing w:line="240" w:lineRule="auto"/>
        <w:ind w:left="720" w:right="-3"/>
        <w:rPr>
          <w:szCs w:val="22"/>
        </w:rPr>
      </w:pPr>
    </w:p>
    <w:p w14:paraId="1F6E7355" w14:textId="77777777" w:rsidR="00713AC9" w:rsidRPr="00183B5F" w:rsidRDefault="00943743" w:rsidP="00713AC9">
      <w:pPr>
        <w:numPr>
          <w:ilvl w:val="0"/>
          <w:numId w:val="76"/>
        </w:numPr>
        <w:suppressAutoHyphens w:val="0"/>
        <w:spacing w:line="240" w:lineRule="auto"/>
        <w:ind w:right="-3"/>
        <w:rPr>
          <w:szCs w:val="22"/>
        </w:rPr>
      </w:pPr>
      <w:r w:rsidRPr="00183B5F">
        <w:rPr>
          <w:szCs w:val="22"/>
        </w:rPr>
        <w:t>Minden egyes előretöltött fecskendőt csak egyszeri beadásra használja!</w:t>
      </w:r>
    </w:p>
    <w:p w14:paraId="6B4B5181" w14:textId="77777777" w:rsidR="00713AC9" w:rsidRPr="00183B5F" w:rsidRDefault="00713AC9" w:rsidP="00713AC9">
      <w:pPr>
        <w:suppressAutoHyphens w:val="0"/>
        <w:spacing w:line="240" w:lineRule="auto"/>
        <w:ind w:right="-3"/>
        <w:rPr>
          <w:szCs w:val="22"/>
        </w:rPr>
      </w:pPr>
    </w:p>
    <w:p w14:paraId="4382A299" w14:textId="77777777" w:rsidR="00713AC9" w:rsidRPr="00183B5F" w:rsidRDefault="00943743" w:rsidP="00713AC9">
      <w:pPr>
        <w:keepNext/>
        <w:suppressAutoHyphens w:val="0"/>
        <w:spacing w:line="240" w:lineRule="auto"/>
        <w:rPr>
          <w:bCs/>
          <w:szCs w:val="22"/>
        </w:rPr>
      </w:pPr>
      <w:r w:rsidRPr="00183B5F">
        <w:rPr>
          <w:b/>
          <w:bCs/>
          <w:szCs w:val="22"/>
        </w:rPr>
        <w:t>Humira előretöltött fecskendő</w:t>
      </w:r>
    </w:p>
    <w:p w14:paraId="05A48E3E" w14:textId="77777777" w:rsidR="00713AC9" w:rsidRPr="00183B5F" w:rsidRDefault="00713AC9" w:rsidP="00713AC9">
      <w:pPr>
        <w:keepNext/>
        <w:suppressAutoHyphens w:val="0"/>
        <w:spacing w:line="240" w:lineRule="auto"/>
        <w:rPr>
          <w:bCs/>
          <w:szCs w:val="22"/>
        </w:rPr>
      </w:pPr>
    </w:p>
    <w:p w14:paraId="14F19F04" w14:textId="77777777" w:rsidR="00713AC9" w:rsidRPr="00183B5F" w:rsidRDefault="00943743" w:rsidP="00713AC9">
      <w:pPr>
        <w:keepNext/>
        <w:tabs>
          <w:tab w:val="left" w:pos="4253"/>
          <w:tab w:val="left" w:pos="5954"/>
        </w:tabs>
        <w:suppressAutoHyphens w:val="0"/>
        <w:spacing w:line="240" w:lineRule="auto"/>
        <w:ind w:left="1134" w:firstLine="567"/>
        <w:rPr>
          <w:b/>
          <w:bCs/>
          <w:szCs w:val="22"/>
        </w:rPr>
      </w:pPr>
      <w:r w:rsidRPr="00183B5F">
        <w:rPr>
          <w:b/>
          <w:bCs/>
          <w:szCs w:val="22"/>
        </w:rPr>
        <w:t xml:space="preserve">dugattyú </w:t>
      </w:r>
      <w:r w:rsidRPr="00183B5F">
        <w:rPr>
          <w:b/>
          <w:bCs/>
          <w:szCs w:val="22"/>
        </w:rPr>
        <w:tab/>
        <w:t>ujjtámasz</w:t>
      </w:r>
      <w:r w:rsidRPr="00183B5F">
        <w:rPr>
          <w:b/>
          <w:bCs/>
          <w:szCs w:val="22"/>
        </w:rPr>
        <w:tab/>
        <w:t>tűvédő tok</w:t>
      </w:r>
    </w:p>
    <w:p w14:paraId="146E22AA" w14:textId="77777777" w:rsidR="00713AC9" w:rsidRPr="00183B5F" w:rsidRDefault="00943743" w:rsidP="00713AC9">
      <w:pPr>
        <w:keepNext/>
        <w:suppressAutoHyphens w:val="0"/>
        <w:spacing w:line="240" w:lineRule="auto"/>
        <w:jc w:val="center"/>
        <w:rPr>
          <w:b/>
          <w:bCs/>
          <w:szCs w:val="22"/>
        </w:rPr>
      </w:pPr>
      <w:r w:rsidRPr="00FB267A">
        <w:rPr>
          <w:noProof/>
          <w:lang w:val="en-GB"/>
        </w:rPr>
        <w:drawing>
          <wp:inline distT="0" distB="0" distL="0" distR="0" wp14:anchorId="57A3423E" wp14:editId="2D312BDA">
            <wp:extent cx="3364992" cy="1478124"/>
            <wp:effectExtent l="0" t="0" r="6985" b="825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Humira_Exploded_Syringe_Only_new grey.jpg"/>
                    <pic:cNvPicPr/>
                  </pic:nvPicPr>
                  <pic:blipFill>
                    <a:blip r:embed="rId24">
                      <a:extLst>
                        <a:ext uri="{28A0092B-C50C-407E-A947-70E740481C1C}">
                          <a14:useLocalDpi xmlns:a14="http://schemas.microsoft.com/office/drawing/2010/main" val="0"/>
                        </a:ext>
                      </a:extLst>
                    </a:blip>
                    <a:stretch>
                      <a:fillRect/>
                    </a:stretch>
                  </pic:blipFill>
                  <pic:spPr>
                    <a:xfrm>
                      <a:off x="0" y="0"/>
                      <a:ext cx="3364992" cy="1478124"/>
                    </a:xfrm>
                    <a:prstGeom prst="rect">
                      <a:avLst/>
                    </a:prstGeom>
                  </pic:spPr>
                </pic:pic>
              </a:graphicData>
            </a:graphic>
          </wp:inline>
        </w:drawing>
      </w:r>
    </w:p>
    <w:p w14:paraId="60348ECD" w14:textId="77777777" w:rsidR="00713AC9" w:rsidRPr="00183B5F" w:rsidRDefault="00713AC9" w:rsidP="00713AC9">
      <w:pPr>
        <w:pStyle w:val="EMEAHeadingLeaflet"/>
        <w:keepNext/>
        <w:spacing w:beforeLines="0" w:before="0" w:afterLines="0" w:after="0"/>
        <w:rPr>
          <w:rFonts w:ascii="Times New Roman" w:hAnsi="Times New Roman"/>
          <w:b w:val="0"/>
          <w:lang w:val="hu-HU"/>
        </w:rPr>
      </w:pPr>
    </w:p>
    <w:p w14:paraId="5B572D68" w14:textId="77777777" w:rsidR="00713AC9" w:rsidRPr="00183B5F" w:rsidRDefault="00943743" w:rsidP="00713AC9">
      <w:pPr>
        <w:pStyle w:val="EMEAHeadingLeaflet"/>
        <w:keepNext/>
        <w:spacing w:beforeLines="0" w:before="0" w:afterLines="0" w:after="0"/>
        <w:rPr>
          <w:rFonts w:ascii="Times New Roman" w:hAnsi="Times New Roman"/>
          <w:lang w:val="hu-HU"/>
        </w:rPr>
      </w:pPr>
      <w:r w:rsidRPr="00183B5F">
        <w:rPr>
          <w:rFonts w:ascii="Times New Roman" w:hAnsi="Times New Roman"/>
          <w:lang w:val="hu-HU"/>
        </w:rPr>
        <w:t>Ne használja az előretöltött fecskendőt és hívja kezelőorvosát vagy gyógyszerészét, ha:</w:t>
      </w:r>
    </w:p>
    <w:p w14:paraId="3A75CDF1" w14:textId="77777777" w:rsidR="00713AC9" w:rsidRPr="00183B5F" w:rsidRDefault="00713AC9" w:rsidP="00713AC9">
      <w:pPr>
        <w:pStyle w:val="EMEANormal"/>
        <w:keepNext/>
        <w:rPr>
          <w:lang w:val="hu-HU"/>
        </w:rPr>
      </w:pPr>
    </w:p>
    <w:p w14:paraId="546A6440" w14:textId="77777777" w:rsidR="00713AC9" w:rsidRPr="00183B5F" w:rsidRDefault="00943743" w:rsidP="00713AC9">
      <w:pPr>
        <w:pStyle w:val="EMEAHeadingLeaflet"/>
        <w:keepNext/>
        <w:numPr>
          <w:ilvl w:val="0"/>
          <w:numId w:val="119"/>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b w:val="0"/>
          <w:lang w:val="hu-HU"/>
        </w:rPr>
        <w:t>a folyadék zavaros, elszíneződött vagy pelyhes csapadékot vagy lebegő részecskéket tartalmaz</w:t>
      </w:r>
    </w:p>
    <w:p w14:paraId="1094D2F4" w14:textId="77777777" w:rsidR="00713AC9" w:rsidRPr="00183B5F" w:rsidRDefault="00943743" w:rsidP="00713AC9">
      <w:pPr>
        <w:pStyle w:val="EMEAHeadingLeaflet"/>
        <w:keepNext/>
        <w:numPr>
          <w:ilvl w:val="0"/>
          <w:numId w:val="119"/>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b w:val="0"/>
          <w:lang w:val="hu-HU"/>
        </w:rPr>
        <w:t>a lejárati idő (EXP) elmúlt</w:t>
      </w:r>
    </w:p>
    <w:p w14:paraId="386D9D1A" w14:textId="77777777" w:rsidR="00713AC9" w:rsidRPr="00183B5F" w:rsidRDefault="00943743" w:rsidP="00713AC9">
      <w:pPr>
        <w:pStyle w:val="EMEAHeadingLeaflet"/>
        <w:keepNext/>
        <w:numPr>
          <w:ilvl w:val="0"/>
          <w:numId w:val="119"/>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b w:val="0"/>
          <w:lang w:val="hu-HU"/>
        </w:rPr>
        <w:t>a folyadék megfagyott vagy közvetlen napfénynek volt kitéve</w:t>
      </w:r>
    </w:p>
    <w:p w14:paraId="6030CCB4" w14:textId="77777777" w:rsidR="00713AC9" w:rsidRPr="00183B5F" w:rsidRDefault="00943743" w:rsidP="00713AC9">
      <w:pPr>
        <w:pStyle w:val="EMEAHeadingLeaflet"/>
        <w:keepNext/>
        <w:numPr>
          <w:ilvl w:val="0"/>
          <w:numId w:val="119"/>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b w:val="0"/>
          <w:lang w:val="hu-HU"/>
        </w:rPr>
        <w:t>az előretöltött fecskendő leesett vagy eltörött</w:t>
      </w:r>
    </w:p>
    <w:p w14:paraId="4B2A0290" w14:textId="77777777" w:rsidR="00713AC9" w:rsidRPr="00183B5F" w:rsidRDefault="00713AC9" w:rsidP="00713AC9">
      <w:pPr>
        <w:pStyle w:val="EMEANormal"/>
        <w:rPr>
          <w:lang w:val="hu-HU"/>
        </w:rPr>
      </w:pPr>
    </w:p>
    <w:p w14:paraId="25B11ABE" w14:textId="77777777" w:rsidR="00713AC9" w:rsidRPr="00183B5F" w:rsidRDefault="00943743" w:rsidP="00713AC9">
      <w:pPr>
        <w:pStyle w:val="EMEAHeadingLeaflet"/>
        <w:keepNext/>
        <w:tabs>
          <w:tab w:val="left" w:pos="0"/>
        </w:tabs>
        <w:spacing w:beforeLines="0" w:before="0" w:afterLines="0" w:after="0"/>
        <w:rPr>
          <w:rFonts w:ascii="Times New Roman" w:hAnsi="Times New Roman"/>
          <w:b w:val="0"/>
          <w:lang w:val="hu-HU"/>
        </w:rPr>
      </w:pPr>
      <w:r w:rsidRPr="00183B5F">
        <w:rPr>
          <w:szCs w:val="22"/>
          <w:lang w:val="hu-HU"/>
        </w:rPr>
        <w:t>A tűvédő tokot ne távolítsa el, csak közvetlenül az injekció beadása előtt.</w:t>
      </w:r>
      <w:r w:rsidRPr="00183B5F">
        <w:rPr>
          <w:rFonts w:ascii="Times New Roman" w:hAnsi="Times New Roman"/>
          <w:lang w:val="hu-HU"/>
        </w:rPr>
        <w:t xml:space="preserve"> A Humira gyermekektől elzárva tartandó!</w:t>
      </w:r>
    </w:p>
    <w:p w14:paraId="165BA8FE" w14:textId="77777777" w:rsidR="00713AC9" w:rsidRPr="00183B5F" w:rsidRDefault="00713AC9" w:rsidP="00713AC9">
      <w:pPr>
        <w:pStyle w:val="EMEANormal"/>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011D2F" w14:paraId="5148EBE1" w14:textId="77777777" w:rsidTr="00E745E9">
        <w:tc>
          <w:tcPr>
            <w:tcW w:w="9287" w:type="dxa"/>
            <w:gridSpan w:val="2"/>
            <w:tcBorders>
              <w:top w:val="single" w:sz="4" w:space="0" w:color="auto"/>
              <w:left w:val="single" w:sz="4" w:space="0" w:color="auto"/>
              <w:bottom w:val="single" w:sz="4" w:space="0" w:color="auto"/>
              <w:right w:val="single" w:sz="4" w:space="0" w:color="auto"/>
            </w:tcBorders>
          </w:tcPr>
          <w:p w14:paraId="556ED411" w14:textId="77777777" w:rsidR="00713AC9" w:rsidRPr="00183B5F" w:rsidRDefault="00943743" w:rsidP="00E745E9">
            <w:pPr>
              <w:pStyle w:val="EMEAHeadingLeaflet"/>
              <w:spacing w:beforeLines="0" w:before="0" w:afterLines="0" w:after="0"/>
              <w:rPr>
                <w:rFonts w:ascii="Times New Roman" w:hAnsi="Times New Roman"/>
                <w:b w:val="0"/>
                <w:lang w:val="hu-HU"/>
              </w:rPr>
            </w:pPr>
            <w:r w:rsidRPr="00183B5F">
              <w:rPr>
                <w:rFonts w:ascii="Times New Roman" w:hAnsi="Times New Roman"/>
                <w:lang w:val="hu-HU"/>
              </w:rPr>
              <w:t>1. lépés</w:t>
            </w:r>
          </w:p>
          <w:p w14:paraId="17CA6812" w14:textId="77777777" w:rsidR="00713AC9" w:rsidRPr="00183B5F" w:rsidRDefault="00713AC9" w:rsidP="00E745E9">
            <w:pPr>
              <w:pStyle w:val="EMEANormal"/>
              <w:rPr>
                <w:lang w:val="hu-HU"/>
              </w:rPr>
            </w:pPr>
          </w:p>
          <w:p w14:paraId="4B07307D" w14:textId="77777777" w:rsidR="00713AC9" w:rsidRPr="00183B5F" w:rsidRDefault="00943743" w:rsidP="00E745E9">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Vegye ki a Humira</w:t>
            </w:r>
            <w:r w:rsidRPr="00183B5F">
              <w:rPr>
                <w:rFonts w:ascii="Times New Roman" w:hAnsi="Times New Roman"/>
                <w:b w:val="0"/>
                <w:lang w:val="hu-HU"/>
              </w:rPr>
              <w:noBreakHyphen/>
              <w:t>t a hűtőszekrényből.</w:t>
            </w:r>
          </w:p>
          <w:p w14:paraId="6DDBFCDB" w14:textId="77777777" w:rsidR="00713AC9" w:rsidRPr="00183B5F" w:rsidRDefault="00713AC9" w:rsidP="00E745E9">
            <w:pPr>
              <w:pStyle w:val="EMEANormal"/>
              <w:rPr>
                <w:lang w:val="hu-HU"/>
              </w:rPr>
            </w:pPr>
          </w:p>
          <w:p w14:paraId="2B804868" w14:textId="77777777" w:rsidR="00713AC9" w:rsidRPr="00183B5F" w:rsidRDefault="00943743" w:rsidP="00E745E9">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 xml:space="preserve">A beadás előtt </w:t>
            </w:r>
            <w:r w:rsidRPr="00183B5F">
              <w:rPr>
                <w:rFonts w:ascii="Times New Roman" w:hAnsi="Times New Roman"/>
                <w:lang w:val="hu-HU"/>
              </w:rPr>
              <w:t>15</w:t>
            </w:r>
            <w:r w:rsidRPr="00183B5F">
              <w:rPr>
                <w:rFonts w:ascii="Times New Roman" w:hAnsi="Times New Roman"/>
                <w:lang w:val="hu-HU"/>
              </w:rPr>
              <w:noBreakHyphen/>
              <w:t>30 percig</w:t>
            </w:r>
            <w:r w:rsidRPr="00183B5F">
              <w:rPr>
                <w:rFonts w:ascii="Times New Roman" w:hAnsi="Times New Roman"/>
                <w:b w:val="0"/>
                <w:lang w:val="hu-HU"/>
              </w:rPr>
              <w:t xml:space="preserve"> hagyja a Humira</w:t>
            </w:r>
            <w:r w:rsidRPr="00183B5F">
              <w:rPr>
                <w:rFonts w:ascii="Times New Roman" w:hAnsi="Times New Roman"/>
                <w:b w:val="0"/>
                <w:lang w:val="hu-HU"/>
              </w:rPr>
              <w:noBreakHyphen/>
              <w:t>t szobahőmérsékleten.</w:t>
            </w:r>
          </w:p>
          <w:p w14:paraId="73669884" w14:textId="77777777" w:rsidR="00713AC9" w:rsidRPr="00183B5F" w:rsidRDefault="00713AC9" w:rsidP="00E745E9">
            <w:pPr>
              <w:pStyle w:val="EMEANormal"/>
              <w:rPr>
                <w:lang w:val="hu-HU"/>
              </w:rPr>
            </w:pPr>
          </w:p>
          <w:p w14:paraId="41F5FEE2" w14:textId="77777777" w:rsidR="00713AC9" w:rsidRPr="00183B5F" w:rsidRDefault="00943743" w:rsidP="00E745E9">
            <w:pPr>
              <w:pStyle w:val="EMEAHeadingLeaflet"/>
              <w:numPr>
                <w:ilvl w:val="0"/>
                <w:numId w:val="120"/>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lang w:val="hu-HU"/>
              </w:rPr>
              <w:t>Ne távolítsa el</w:t>
            </w:r>
            <w:r w:rsidRPr="00183B5F">
              <w:rPr>
                <w:rFonts w:ascii="Times New Roman" w:hAnsi="Times New Roman"/>
                <w:b w:val="0"/>
                <w:lang w:val="hu-HU"/>
              </w:rPr>
              <w:t xml:space="preserve"> a tűvédő tokot, amíg a Humira hőmérséklete eléri a szobahőmérsékletet.</w:t>
            </w:r>
          </w:p>
          <w:p w14:paraId="153FF28E" w14:textId="77777777" w:rsidR="00713AC9" w:rsidRPr="00183B5F" w:rsidRDefault="00943743" w:rsidP="00E745E9">
            <w:pPr>
              <w:pStyle w:val="EMEANormal"/>
              <w:numPr>
                <w:ilvl w:val="0"/>
                <w:numId w:val="120"/>
              </w:numPr>
              <w:tabs>
                <w:tab w:val="clear" w:pos="562"/>
                <w:tab w:val="left" w:pos="720"/>
              </w:tabs>
              <w:rPr>
                <w:lang w:val="hu-HU"/>
              </w:rPr>
            </w:pPr>
            <w:r w:rsidRPr="00183B5F">
              <w:rPr>
                <w:b/>
                <w:lang w:val="hu-HU"/>
              </w:rPr>
              <w:t xml:space="preserve">Ne melegítse </w:t>
            </w:r>
            <w:r w:rsidRPr="00183B5F">
              <w:rPr>
                <w:lang w:val="hu-HU"/>
              </w:rPr>
              <w:t>a Humira</w:t>
            </w:r>
            <w:r w:rsidRPr="00183B5F">
              <w:rPr>
                <w:lang w:val="hu-HU"/>
              </w:rPr>
              <w:noBreakHyphen/>
              <w:t xml:space="preserve">t semmilyen egyéb módon. Például </w:t>
            </w:r>
            <w:r w:rsidRPr="00183B5F">
              <w:rPr>
                <w:b/>
                <w:lang w:val="hu-HU"/>
              </w:rPr>
              <w:t>ne melegítse</w:t>
            </w:r>
            <w:r w:rsidRPr="00183B5F">
              <w:rPr>
                <w:lang w:val="hu-HU"/>
              </w:rPr>
              <w:t xml:space="preserve"> mikrohullámú sütőben vagy forró vízben.</w:t>
            </w:r>
          </w:p>
        </w:tc>
      </w:tr>
      <w:tr w:rsidR="00011D2F" w14:paraId="52D7CAD8" w14:textId="77777777" w:rsidTr="00E745E9">
        <w:tc>
          <w:tcPr>
            <w:tcW w:w="3708" w:type="dxa"/>
            <w:tcBorders>
              <w:top w:val="single" w:sz="4" w:space="0" w:color="auto"/>
              <w:left w:val="single" w:sz="4" w:space="0" w:color="auto"/>
              <w:bottom w:val="single" w:sz="4" w:space="0" w:color="auto"/>
              <w:right w:val="nil"/>
            </w:tcBorders>
          </w:tcPr>
          <w:p w14:paraId="758DFCB6" w14:textId="77777777" w:rsidR="00713AC9" w:rsidRPr="00183B5F" w:rsidRDefault="00943743" w:rsidP="002D49EE">
            <w:pPr>
              <w:pStyle w:val="EMEANormal"/>
              <w:keepNext/>
              <w:rPr>
                <w:noProof/>
                <w:lang w:val="hu-HU"/>
              </w:rPr>
            </w:pPr>
            <w:r w:rsidRPr="00183B5F">
              <w:rPr>
                <w:b/>
                <w:noProof/>
                <w:lang w:val="hu-HU"/>
              </w:rPr>
              <w:t>2. lépés</w:t>
            </w:r>
          </w:p>
          <w:p w14:paraId="6324DA7C" w14:textId="77777777" w:rsidR="00713AC9" w:rsidRPr="00183B5F" w:rsidRDefault="00713AC9" w:rsidP="002D49EE">
            <w:pPr>
              <w:pStyle w:val="EMEANormal"/>
              <w:keepNext/>
              <w:rPr>
                <w:noProof/>
                <w:lang w:val="hu-HU"/>
              </w:rPr>
            </w:pPr>
          </w:p>
          <w:p w14:paraId="17DEB75E" w14:textId="77777777" w:rsidR="00713AC9" w:rsidRPr="00183B5F" w:rsidRDefault="00943743" w:rsidP="002D49EE">
            <w:pPr>
              <w:pStyle w:val="EMEANormal"/>
              <w:keepNext/>
              <w:rPr>
                <w:b/>
                <w:noProof/>
                <w:lang w:val="hu-HU"/>
              </w:rPr>
            </w:pPr>
            <w:r w:rsidRPr="00183B5F">
              <w:rPr>
                <w:noProof/>
                <w:lang w:val="hu-HU"/>
              </w:rPr>
              <w:t xml:space="preserve">      </w:t>
            </w:r>
            <w:r w:rsidRPr="00183B5F">
              <w:rPr>
                <w:b/>
                <w:noProof/>
                <w:lang w:val="hu-HU"/>
              </w:rPr>
              <w:t>Előretöltött fecskendő</w:t>
            </w:r>
          </w:p>
          <w:p w14:paraId="562D4F57" w14:textId="77777777" w:rsidR="00713AC9" w:rsidRPr="00183B5F" w:rsidRDefault="00943743" w:rsidP="002D49EE">
            <w:pPr>
              <w:pStyle w:val="EMEANormal"/>
              <w:keepNext/>
              <w:rPr>
                <w:noProof/>
                <w:lang w:val="hu-HU"/>
              </w:rPr>
            </w:pPr>
            <w:r w:rsidRPr="00FB267A">
              <w:rPr>
                <w:noProof/>
                <w:lang w:val="en-GB"/>
              </w:rPr>
              <w:drawing>
                <wp:inline distT="0" distB="0" distL="0" distR="0" wp14:anchorId="526C102D" wp14:editId="16B58137">
                  <wp:extent cx="2139696" cy="1980383"/>
                  <wp:effectExtent l="0" t="0" r="0" b="127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STEP_2_SYRINGE_IFU_SETUP_new grey.jpg"/>
                          <pic:cNvPicPr/>
                        </pic:nvPicPr>
                        <pic:blipFill>
                          <a:blip r:embed="rId25">
                            <a:extLst>
                              <a:ext uri="{28A0092B-C50C-407E-A947-70E740481C1C}">
                                <a14:useLocalDpi xmlns:a14="http://schemas.microsoft.com/office/drawing/2010/main" val="0"/>
                              </a:ext>
                            </a:extLst>
                          </a:blip>
                          <a:stretch>
                            <a:fillRect/>
                          </a:stretch>
                        </pic:blipFill>
                        <pic:spPr>
                          <a:xfrm>
                            <a:off x="0" y="0"/>
                            <a:ext cx="2139696" cy="1980383"/>
                          </a:xfrm>
                          <a:prstGeom prst="rect">
                            <a:avLst/>
                          </a:prstGeom>
                        </pic:spPr>
                      </pic:pic>
                    </a:graphicData>
                  </a:graphic>
                </wp:inline>
              </w:drawing>
            </w:r>
          </w:p>
          <w:p w14:paraId="23498D4E" w14:textId="77777777" w:rsidR="00713AC9" w:rsidRPr="00183B5F" w:rsidRDefault="00943743" w:rsidP="002D49EE">
            <w:pPr>
              <w:pStyle w:val="EMEANormal"/>
              <w:keepNext/>
              <w:rPr>
                <w:b/>
                <w:noProof/>
                <w:lang w:val="hu-HU"/>
              </w:rPr>
            </w:pPr>
            <w:r w:rsidRPr="00183B5F">
              <w:rPr>
                <w:b/>
                <w:noProof/>
                <w:lang w:val="hu-HU"/>
              </w:rPr>
              <w:t xml:space="preserve">            Törlőkendő</w:t>
            </w:r>
          </w:p>
        </w:tc>
        <w:tc>
          <w:tcPr>
            <w:tcW w:w="5579" w:type="dxa"/>
            <w:tcBorders>
              <w:top w:val="single" w:sz="4" w:space="0" w:color="auto"/>
              <w:left w:val="nil"/>
              <w:bottom w:val="single" w:sz="4" w:space="0" w:color="auto"/>
              <w:right w:val="single" w:sz="4" w:space="0" w:color="auto"/>
            </w:tcBorders>
          </w:tcPr>
          <w:p w14:paraId="57BEB4DD" w14:textId="77777777" w:rsidR="00713AC9" w:rsidRPr="00183B5F" w:rsidRDefault="00713AC9" w:rsidP="002D49EE">
            <w:pPr>
              <w:pStyle w:val="EMEAHeadingLeaflet"/>
              <w:keepNext/>
              <w:spacing w:beforeLines="0" w:before="0" w:afterLines="0" w:after="0"/>
              <w:rPr>
                <w:rFonts w:ascii="Times New Roman" w:hAnsi="Times New Roman"/>
                <w:b w:val="0"/>
                <w:lang w:val="hu-HU"/>
              </w:rPr>
            </w:pPr>
          </w:p>
          <w:p w14:paraId="4A2D5FB8" w14:textId="77777777" w:rsidR="00713AC9" w:rsidRPr="00183B5F" w:rsidRDefault="00943743" w:rsidP="002D49EE">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 xml:space="preserve">Ellenőrizze a lejárat dátumát (EXP). </w:t>
            </w:r>
            <w:r w:rsidRPr="00183B5F">
              <w:rPr>
                <w:rFonts w:ascii="Times New Roman" w:hAnsi="Times New Roman"/>
                <w:lang w:val="hu-HU"/>
              </w:rPr>
              <w:t>Ne</w:t>
            </w:r>
            <w:r w:rsidRPr="00183B5F">
              <w:rPr>
                <w:rFonts w:ascii="Times New Roman" w:hAnsi="Times New Roman"/>
                <w:b w:val="0"/>
                <w:lang w:val="hu-HU"/>
              </w:rPr>
              <w:t xml:space="preserve"> használja az előretöltött fecskendőt, ha a lejárati idő (EXP) elmúlt.</w:t>
            </w:r>
          </w:p>
          <w:p w14:paraId="49BE0317" w14:textId="77777777" w:rsidR="00713AC9" w:rsidRPr="00183B5F" w:rsidRDefault="00713AC9" w:rsidP="002D49EE">
            <w:pPr>
              <w:pStyle w:val="EMEANormal"/>
              <w:keepNext/>
              <w:rPr>
                <w:lang w:val="hu-HU"/>
              </w:rPr>
            </w:pPr>
          </w:p>
          <w:p w14:paraId="19895CC1" w14:textId="77777777" w:rsidR="00713AC9" w:rsidRPr="00183B5F" w:rsidRDefault="00943743" w:rsidP="002D49EE">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Helyezze a következőket egy tiszta, sima felületre:</w:t>
            </w:r>
          </w:p>
          <w:p w14:paraId="45B811F5" w14:textId="77777777" w:rsidR="00713AC9" w:rsidRPr="00183B5F" w:rsidRDefault="00713AC9" w:rsidP="002D49EE">
            <w:pPr>
              <w:pStyle w:val="EMEANormal"/>
              <w:keepNext/>
              <w:rPr>
                <w:lang w:val="hu-HU"/>
              </w:rPr>
            </w:pPr>
          </w:p>
          <w:p w14:paraId="4195C689" w14:textId="77777777" w:rsidR="00713AC9" w:rsidRPr="00183B5F" w:rsidRDefault="00943743" w:rsidP="002D49EE">
            <w:pPr>
              <w:pStyle w:val="EMEAHeadingLeaflet"/>
              <w:keepNext/>
              <w:numPr>
                <w:ilvl w:val="0"/>
                <w:numId w:val="121"/>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 xml:space="preserve">1 egyszer használatos előretöltött fecskendőt és </w:t>
            </w:r>
          </w:p>
          <w:p w14:paraId="29EE4A24" w14:textId="77777777" w:rsidR="00713AC9" w:rsidRPr="00183B5F" w:rsidRDefault="00943743" w:rsidP="002D49EE">
            <w:pPr>
              <w:pStyle w:val="EMEAHeadingLeaflet"/>
              <w:keepNext/>
              <w:numPr>
                <w:ilvl w:val="0"/>
                <w:numId w:val="121"/>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1 alkoholos törlőt</w:t>
            </w:r>
          </w:p>
          <w:p w14:paraId="359F0EC9" w14:textId="77777777" w:rsidR="00713AC9" w:rsidRPr="00183B5F" w:rsidRDefault="00713AC9" w:rsidP="002D49EE">
            <w:pPr>
              <w:pStyle w:val="EMEANormal"/>
              <w:keepNext/>
              <w:rPr>
                <w:lang w:val="hu-HU"/>
              </w:rPr>
            </w:pPr>
          </w:p>
          <w:p w14:paraId="32070857" w14:textId="77777777" w:rsidR="00713AC9" w:rsidRPr="00183B5F" w:rsidRDefault="00943743" w:rsidP="002D49EE">
            <w:pPr>
              <w:pStyle w:val="EMEANormal"/>
              <w:keepNext/>
              <w:rPr>
                <w:lang w:val="hu-HU"/>
              </w:rPr>
            </w:pPr>
            <w:r w:rsidRPr="00183B5F">
              <w:rPr>
                <w:lang w:val="hu-HU"/>
              </w:rPr>
              <w:t>Mossa meg és szárítsa meg a kezét.</w:t>
            </w:r>
          </w:p>
        </w:tc>
      </w:tr>
      <w:tr w:rsidR="00011D2F" w14:paraId="495D070E" w14:textId="77777777" w:rsidTr="00E745E9">
        <w:tc>
          <w:tcPr>
            <w:tcW w:w="3708" w:type="dxa"/>
            <w:tcBorders>
              <w:top w:val="single" w:sz="4" w:space="0" w:color="auto"/>
              <w:left w:val="single" w:sz="4" w:space="0" w:color="auto"/>
              <w:bottom w:val="single" w:sz="4" w:space="0" w:color="auto"/>
              <w:right w:val="nil"/>
            </w:tcBorders>
          </w:tcPr>
          <w:p w14:paraId="3B8DA71F" w14:textId="77777777" w:rsidR="00713AC9" w:rsidRPr="00183B5F" w:rsidRDefault="00943743" w:rsidP="0073731A">
            <w:pPr>
              <w:pStyle w:val="EMEANormal"/>
              <w:rPr>
                <w:noProof/>
                <w:lang w:val="hu-HU"/>
              </w:rPr>
            </w:pPr>
            <w:r w:rsidRPr="00183B5F">
              <w:rPr>
                <w:b/>
                <w:noProof/>
                <w:lang w:val="hu-HU"/>
              </w:rPr>
              <w:t>3. lépés</w:t>
            </w:r>
          </w:p>
          <w:p w14:paraId="44512442" w14:textId="77777777" w:rsidR="00713AC9" w:rsidRPr="00183B5F" w:rsidRDefault="00713AC9" w:rsidP="0073731A">
            <w:pPr>
              <w:pStyle w:val="EMEANormal"/>
              <w:rPr>
                <w:noProof/>
                <w:lang w:val="hu-HU"/>
              </w:rPr>
            </w:pPr>
          </w:p>
          <w:p w14:paraId="77E8C334" w14:textId="77777777" w:rsidR="00713AC9" w:rsidRPr="00183B5F" w:rsidRDefault="00943743" w:rsidP="0073731A">
            <w:pPr>
              <w:pStyle w:val="EMEANormal"/>
              <w:rPr>
                <w:b/>
                <w:noProof/>
                <w:lang w:val="hu-HU"/>
              </w:rPr>
            </w:pPr>
            <w:r w:rsidRPr="00183B5F">
              <w:rPr>
                <w:b/>
                <w:noProof/>
                <w:lang w:val="hu-HU"/>
              </w:rPr>
              <w:t>Beadási helyek</w:t>
            </w:r>
          </w:p>
          <w:p w14:paraId="379589D1" w14:textId="77777777" w:rsidR="00713AC9" w:rsidRPr="00183B5F" w:rsidRDefault="00943743" w:rsidP="0073731A">
            <w:pPr>
              <w:pStyle w:val="EMEANormal"/>
              <w:rPr>
                <w:noProof/>
                <w:lang w:val="hu-HU"/>
              </w:rPr>
            </w:pPr>
            <w:r w:rsidRPr="00FB267A">
              <w:rPr>
                <w:noProof/>
                <w:lang w:val="en-GB"/>
              </w:rPr>
              <w:drawing>
                <wp:inline distT="0" distB="0" distL="0" distR="0" wp14:anchorId="4C2ADFEA" wp14:editId="23DCF20B">
                  <wp:extent cx="2276475" cy="2381250"/>
                  <wp:effectExtent l="0" t="0" r="9525" b="0"/>
                  <wp:docPr id="86" name="Picture 86"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93" descr="STEP3_grey"/>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276475" cy="2381250"/>
                          </a:xfrm>
                          <a:prstGeom prst="rect">
                            <a:avLst/>
                          </a:prstGeom>
                          <a:noFill/>
                          <a:ln>
                            <a:noFill/>
                          </a:ln>
                        </pic:spPr>
                      </pic:pic>
                    </a:graphicData>
                  </a:graphic>
                </wp:inline>
              </w:drawing>
            </w:r>
          </w:p>
          <w:p w14:paraId="7ED4EE5D" w14:textId="77777777" w:rsidR="00713AC9" w:rsidRPr="00183B5F" w:rsidRDefault="00943743" w:rsidP="0073731A">
            <w:pPr>
              <w:pStyle w:val="EMEANormal"/>
              <w:rPr>
                <w:b/>
                <w:lang w:val="hu-HU"/>
              </w:rPr>
            </w:pPr>
            <w:r w:rsidRPr="00183B5F">
              <w:rPr>
                <w:noProof/>
                <w:lang w:val="hu-HU"/>
              </w:rPr>
              <w:t xml:space="preserve">     </w:t>
            </w:r>
            <w:r w:rsidRPr="00183B5F">
              <w:rPr>
                <w:b/>
                <w:noProof/>
                <w:lang w:val="hu-HU"/>
              </w:rPr>
              <w:t>Beadási helyek</w:t>
            </w:r>
          </w:p>
        </w:tc>
        <w:tc>
          <w:tcPr>
            <w:tcW w:w="5579" w:type="dxa"/>
            <w:tcBorders>
              <w:top w:val="single" w:sz="4" w:space="0" w:color="auto"/>
              <w:left w:val="nil"/>
              <w:bottom w:val="single" w:sz="4" w:space="0" w:color="auto"/>
              <w:right w:val="single" w:sz="4" w:space="0" w:color="auto"/>
            </w:tcBorders>
          </w:tcPr>
          <w:p w14:paraId="49C96503" w14:textId="77777777" w:rsidR="00713AC9" w:rsidRPr="00183B5F" w:rsidRDefault="00713AC9" w:rsidP="0073731A">
            <w:pPr>
              <w:pStyle w:val="EMEAHeadingLeaflet"/>
              <w:spacing w:beforeLines="0" w:before="0" w:afterLines="0" w:after="0"/>
              <w:rPr>
                <w:rFonts w:ascii="Times New Roman" w:hAnsi="Times New Roman"/>
                <w:b w:val="0"/>
                <w:lang w:val="hu-HU"/>
              </w:rPr>
            </w:pPr>
          </w:p>
          <w:p w14:paraId="4E350E6A" w14:textId="77777777" w:rsidR="00713AC9" w:rsidRPr="00183B5F" w:rsidRDefault="00943743" w:rsidP="0073731A">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Válassza ki a beadási helyet:</w:t>
            </w:r>
          </w:p>
          <w:p w14:paraId="6476C8AE" w14:textId="77777777" w:rsidR="00713AC9" w:rsidRPr="00183B5F" w:rsidRDefault="00713AC9" w:rsidP="0073731A">
            <w:pPr>
              <w:pStyle w:val="EMEANormal"/>
              <w:rPr>
                <w:lang w:val="hu-HU"/>
              </w:rPr>
            </w:pPr>
          </w:p>
          <w:p w14:paraId="3BFDA2B0" w14:textId="77777777" w:rsidR="00713AC9" w:rsidRPr="00183B5F" w:rsidRDefault="00943743" w:rsidP="0073731A">
            <w:pPr>
              <w:pStyle w:val="EMEAHeadingLeaflet"/>
              <w:numPr>
                <w:ilvl w:val="0"/>
                <w:numId w:val="122"/>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Combja elülső részén vagy</w:t>
            </w:r>
          </w:p>
          <w:p w14:paraId="0C570DDC" w14:textId="77777777" w:rsidR="00713AC9" w:rsidRPr="00183B5F" w:rsidRDefault="00943743" w:rsidP="0073731A">
            <w:pPr>
              <w:pStyle w:val="EMEAHeadingLeaflet"/>
              <w:numPr>
                <w:ilvl w:val="0"/>
                <w:numId w:val="122"/>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Hasfalán, legalább 5 cm távolságra a köldökétől</w:t>
            </w:r>
          </w:p>
          <w:p w14:paraId="02BB7530" w14:textId="77777777" w:rsidR="00713AC9" w:rsidRPr="00183B5F" w:rsidRDefault="00943743" w:rsidP="0073731A">
            <w:pPr>
              <w:pStyle w:val="EMEAHeadingLeaflet"/>
              <w:numPr>
                <w:ilvl w:val="0"/>
                <w:numId w:val="122"/>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Az előző beadási helytől legalább 3 cm távolságra</w:t>
            </w:r>
          </w:p>
          <w:p w14:paraId="6C8B51C1" w14:textId="77777777" w:rsidR="00713AC9" w:rsidRPr="00183B5F" w:rsidRDefault="00713AC9" w:rsidP="0073731A">
            <w:pPr>
              <w:pStyle w:val="EMEANormal"/>
              <w:rPr>
                <w:lang w:val="hu-HU"/>
              </w:rPr>
            </w:pPr>
          </w:p>
          <w:p w14:paraId="37CC5679" w14:textId="77777777" w:rsidR="00713AC9" w:rsidRPr="00183B5F" w:rsidRDefault="00943743" w:rsidP="0073731A">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Körkörös mozdulattal törölje le az injekció beadásának helyét az alkoholos törlővel.</w:t>
            </w:r>
          </w:p>
          <w:p w14:paraId="351E2604" w14:textId="77777777" w:rsidR="00713AC9" w:rsidRPr="00183B5F" w:rsidRDefault="00713AC9" w:rsidP="0073731A">
            <w:pPr>
              <w:pStyle w:val="EMEANormal"/>
              <w:rPr>
                <w:lang w:val="hu-HU"/>
              </w:rPr>
            </w:pPr>
          </w:p>
          <w:p w14:paraId="60A53AEC" w14:textId="77777777" w:rsidR="00713AC9" w:rsidRPr="00183B5F" w:rsidRDefault="00943743" w:rsidP="0073731A">
            <w:pPr>
              <w:pStyle w:val="EMEAHeadingLeaflet"/>
              <w:numPr>
                <w:ilvl w:val="0"/>
                <w:numId w:val="123"/>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lang w:val="hu-HU"/>
              </w:rPr>
              <w:t xml:space="preserve">Ne </w:t>
            </w:r>
            <w:r w:rsidRPr="00183B5F">
              <w:rPr>
                <w:rFonts w:ascii="Times New Roman" w:hAnsi="Times New Roman"/>
                <w:b w:val="0"/>
                <w:lang w:val="hu-HU"/>
              </w:rPr>
              <w:t>ruhán keresztül adja be az injekciót</w:t>
            </w:r>
          </w:p>
          <w:p w14:paraId="3DD256E9" w14:textId="77777777" w:rsidR="00713AC9" w:rsidRPr="00183B5F" w:rsidRDefault="00943743" w:rsidP="0073731A">
            <w:pPr>
              <w:pStyle w:val="EMEANormal"/>
              <w:numPr>
                <w:ilvl w:val="0"/>
                <w:numId w:val="123"/>
              </w:numPr>
              <w:tabs>
                <w:tab w:val="clear" w:pos="562"/>
                <w:tab w:val="left" w:pos="757"/>
              </w:tabs>
              <w:ind w:left="757"/>
              <w:rPr>
                <w:lang w:val="hu-HU"/>
              </w:rPr>
            </w:pPr>
            <w:r w:rsidRPr="00183B5F">
              <w:rPr>
                <w:b/>
                <w:szCs w:val="22"/>
                <w:lang w:val="hu-HU"/>
              </w:rPr>
              <w:t xml:space="preserve">Ne </w:t>
            </w:r>
            <w:r w:rsidRPr="00183B5F">
              <w:rPr>
                <w:szCs w:val="22"/>
                <w:lang w:val="hu-HU"/>
              </w:rPr>
              <w:t>adja az injekciót olyan helyre, ahol a bőr sebes, véraláfutásos, bepirosodott, kemény, heges, a bőr megnyúlását jelző világos csíkok (striák) területén, illetve a pikkelysömörös területeken</w:t>
            </w:r>
          </w:p>
        </w:tc>
      </w:tr>
      <w:tr w:rsidR="00011D2F" w14:paraId="119822EF" w14:textId="77777777" w:rsidTr="00E745E9">
        <w:tc>
          <w:tcPr>
            <w:tcW w:w="3708" w:type="dxa"/>
            <w:tcBorders>
              <w:top w:val="single" w:sz="4" w:space="0" w:color="auto"/>
              <w:left w:val="single" w:sz="4" w:space="0" w:color="auto"/>
              <w:bottom w:val="single" w:sz="4" w:space="0" w:color="auto"/>
              <w:right w:val="nil"/>
            </w:tcBorders>
          </w:tcPr>
          <w:p w14:paraId="10E478D5" w14:textId="77777777" w:rsidR="00713AC9" w:rsidRPr="00183B5F" w:rsidRDefault="00943743" w:rsidP="002D49EE">
            <w:pPr>
              <w:pStyle w:val="EMEANormal"/>
              <w:rPr>
                <w:noProof/>
                <w:lang w:val="hu-HU"/>
              </w:rPr>
            </w:pPr>
            <w:r w:rsidRPr="00183B5F">
              <w:rPr>
                <w:b/>
                <w:noProof/>
                <w:lang w:val="hu-HU"/>
              </w:rPr>
              <w:t>4.lépés</w:t>
            </w:r>
          </w:p>
          <w:p w14:paraId="27FC4791" w14:textId="77777777" w:rsidR="00713AC9" w:rsidRPr="00183B5F" w:rsidRDefault="00713AC9" w:rsidP="002D49EE">
            <w:pPr>
              <w:pStyle w:val="EMEANormal"/>
              <w:rPr>
                <w:noProof/>
                <w:lang w:val="hu-HU"/>
              </w:rPr>
            </w:pPr>
          </w:p>
          <w:p w14:paraId="14524465" w14:textId="77777777" w:rsidR="00713AC9" w:rsidRPr="00183B5F" w:rsidRDefault="00943743" w:rsidP="002D49EE">
            <w:pPr>
              <w:pStyle w:val="EMEANormal"/>
              <w:rPr>
                <w:lang w:val="hu-HU"/>
              </w:rPr>
            </w:pPr>
            <w:r w:rsidRPr="00FB267A">
              <w:rPr>
                <w:b/>
                <w:noProof/>
                <w:lang w:val="en-GB"/>
              </w:rPr>
              <w:drawing>
                <wp:inline distT="0" distB="0" distL="0" distR="0" wp14:anchorId="6E3E6842" wp14:editId="6B32AB21">
                  <wp:extent cx="2011855" cy="1563624"/>
                  <wp:effectExtent l="0" t="0" r="762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STEP_4_SYRINGE_IFU_UNCAP_new grey.jpg"/>
                          <pic:cNvPicPr/>
                        </pic:nvPicPr>
                        <pic:blipFill>
                          <a:blip r:embed="rId27">
                            <a:extLst>
                              <a:ext uri="{28A0092B-C50C-407E-A947-70E740481C1C}">
                                <a14:useLocalDpi xmlns:a14="http://schemas.microsoft.com/office/drawing/2010/main" val="0"/>
                              </a:ext>
                            </a:extLst>
                          </a:blip>
                          <a:stretch>
                            <a:fillRect/>
                          </a:stretch>
                        </pic:blipFill>
                        <pic:spPr>
                          <a:xfrm>
                            <a:off x="0" y="0"/>
                            <a:ext cx="2011855" cy="1563624"/>
                          </a:xfrm>
                          <a:prstGeom prst="rect">
                            <a:avLst/>
                          </a:prstGeom>
                        </pic:spPr>
                      </pic:pic>
                    </a:graphicData>
                  </a:graphic>
                </wp:inline>
              </w:drawing>
            </w:r>
          </w:p>
        </w:tc>
        <w:tc>
          <w:tcPr>
            <w:tcW w:w="5579" w:type="dxa"/>
            <w:tcBorders>
              <w:top w:val="single" w:sz="4" w:space="0" w:color="auto"/>
              <w:left w:val="nil"/>
              <w:bottom w:val="single" w:sz="4" w:space="0" w:color="auto"/>
              <w:right w:val="single" w:sz="4" w:space="0" w:color="auto"/>
            </w:tcBorders>
          </w:tcPr>
          <w:p w14:paraId="33168B71" w14:textId="77777777" w:rsidR="00713AC9" w:rsidRPr="00183B5F" w:rsidRDefault="00713AC9" w:rsidP="002D49EE">
            <w:pPr>
              <w:pStyle w:val="EMEAHeadingLeaflet"/>
              <w:spacing w:beforeLines="0" w:before="0" w:afterLines="0" w:after="0"/>
              <w:rPr>
                <w:rFonts w:ascii="Times New Roman" w:hAnsi="Times New Roman"/>
                <w:b w:val="0"/>
                <w:lang w:val="hu-HU"/>
              </w:rPr>
            </w:pPr>
          </w:p>
          <w:p w14:paraId="02F04319" w14:textId="77777777" w:rsidR="00713AC9" w:rsidRPr="00183B5F" w:rsidRDefault="00943743" w:rsidP="002D49EE">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 xml:space="preserve">Tartsa az előretöltött fecskendőt az egyik kezében. </w:t>
            </w:r>
          </w:p>
          <w:p w14:paraId="564ACFC7" w14:textId="77777777" w:rsidR="00713AC9" w:rsidRPr="00183B5F" w:rsidRDefault="00713AC9" w:rsidP="002D49EE">
            <w:pPr>
              <w:pStyle w:val="EMEANormal"/>
              <w:rPr>
                <w:lang w:val="hu-HU"/>
              </w:rPr>
            </w:pPr>
          </w:p>
          <w:p w14:paraId="0F11D9E5" w14:textId="77777777" w:rsidR="00713AC9" w:rsidRPr="00183B5F" w:rsidRDefault="00943743" w:rsidP="002D49EE">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Ellenőrizze a folyadékot az előretöltött fecskendőben.</w:t>
            </w:r>
          </w:p>
          <w:p w14:paraId="3AE0CD14" w14:textId="77777777" w:rsidR="00713AC9" w:rsidRPr="00183B5F" w:rsidRDefault="00713AC9" w:rsidP="002D49EE">
            <w:pPr>
              <w:pStyle w:val="EMEANormal"/>
              <w:rPr>
                <w:lang w:val="hu-HU"/>
              </w:rPr>
            </w:pPr>
          </w:p>
          <w:p w14:paraId="5D285C85" w14:textId="77777777" w:rsidR="00713AC9" w:rsidRPr="00183B5F" w:rsidRDefault="00943743" w:rsidP="002D49EE">
            <w:pPr>
              <w:pStyle w:val="EMEAHeadingLeaflet"/>
              <w:numPr>
                <w:ilvl w:val="0"/>
                <w:numId w:val="124"/>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Bizonyosodjon meg róla, hogy a folyadék tiszta és színtelen</w:t>
            </w:r>
          </w:p>
          <w:p w14:paraId="70723580" w14:textId="77777777" w:rsidR="00713AC9" w:rsidRPr="00183B5F" w:rsidRDefault="00943743" w:rsidP="002D49EE">
            <w:pPr>
              <w:pStyle w:val="EMEAHeadingLeaflet"/>
              <w:numPr>
                <w:ilvl w:val="0"/>
                <w:numId w:val="124"/>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lang w:val="hu-HU"/>
              </w:rPr>
              <w:t xml:space="preserve">Ne </w:t>
            </w:r>
            <w:r w:rsidRPr="00183B5F">
              <w:rPr>
                <w:rFonts w:ascii="Times New Roman" w:hAnsi="Times New Roman"/>
                <w:b w:val="0"/>
                <w:lang w:val="hu-HU"/>
              </w:rPr>
              <w:t>használja az előretöltött fecskendőt, ha a folyadék zavaros vagy részecskéket tartalmaz</w:t>
            </w:r>
          </w:p>
          <w:p w14:paraId="687B71E0" w14:textId="77777777" w:rsidR="00713AC9" w:rsidRPr="00183B5F" w:rsidRDefault="00943743" w:rsidP="002D49EE">
            <w:pPr>
              <w:pStyle w:val="EMEANormal"/>
              <w:numPr>
                <w:ilvl w:val="0"/>
                <w:numId w:val="124"/>
              </w:numPr>
              <w:tabs>
                <w:tab w:val="clear" w:pos="562"/>
                <w:tab w:val="left" w:pos="757"/>
              </w:tabs>
              <w:ind w:left="757"/>
              <w:rPr>
                <w:lang w:val="hu-HU"/>
              </w:rPr>
            </w:pPr>
            <w:r w:rsidRPr="00183B5F">
              <w:rPr>
                <w:b/>
                <w:lang w:val="hu-HU"/>
              </w:rPr>
              <w:t xml:space="preserve">Ne </w:t>
            </w:r>
            <w:r w:rsidRPr="00183B5F">
              <w:rPr>
                <w:lang w:val="hu-HU"/>
              </w:rPr>
              <w:t>használja az előretöltött fecskendőt, ha az leesett vagy eltörött</w:t>
            </w:r>
          </w:p>
          <w:p w14:paraId="62CC7A4F" w14:textId="77777777" w:rsidR="00713AC9" w:rsidRPr="00183B5F" w:rsidRDefault="00713AC9" w:rsidP="002D49EE">
            <w:pPr>
              <w:pStyle w:val="EMEANormal"/>
              <w:tabs>
                <w:tab w:val="clear" w:pos="562"/>
                <w:tab w:val="left" w:pos="757"/>
              </w:tabs>
              <w:ind w:left="397"/>
              <w:rPr>
                <w:b/>
                <w:lang w:val="hu-HU"/>
              </w:rPr>
            </w:pPr>
          </w:p>
          <w:p w14:paraId="597D2408" w14:textId="77777777" w:rsidR="00713AC9" w:rsidRPr="00183B5F" w:rsidRDefault="00943743" w:rsidP="002D49EE">
            <w:pPr>
              <w:pStyle w:val="EMEANormal"/>
              <w:tabs>
                <w:tab w:val="clear" w:pos="562"/>
                <w:tab w:val="left" w:pos="757"/>
              </w:tabs>
              <w:ind w:left="397"/>
              <w:rPr>
                <w:bCs/>
                <w:lang w:val="hu-HU"/>
              </w:rPr>
            </w:pPr>
            <w:r w:rsidRPr="00183B5F">
              <w:rPr>
                <w:bCs/>
                <w:lang w:val="hu-HU"/>
              </w:rPr>
              <w:t>Óvatosan húzza le a tűvédő tokot a másik kezével. Dobja ki a tokot. Ne rakja vissza.</w:t>
            </w:r>
          </w:p>
          <w:p w14:paraId="30DC1FFF" w14:textId="77777777" w:rsidR="00713AC9" w:rsidRPr="00183B5F" w:rsidRDefault="00713AC9" w:rsidP="002D49EE">
            <w:pPr>
              <w:pStyle w:val="EMEANormal"/>
              <w:tabs>
                <w:tab w:val="clear" w:pos="562"/>
                <w:tab w:val="left" w:pos="757"/>
              </w:tabs>
              <w:ind w:left="397"/>
              <w:rPr>
                <w:bCs/>
                <w:lang w:val="hu-HU"/>
              </w:rPr>
            </w:pPr>
          </w:p>
          <w:p w14:paraId="07C4525B" w14:textId="77777777" w:rsidR="00713AC9" w:rsidRPr="00183B5F" w:rsidRDefault="00943743" w:rsidP="002D49EE">
            <w:pPr>
              <w:pStyle w:val="EMEANormal"/>
              <w:numPr>
                <w:ilvl w:val="0"/>
                <w:numId w:val="132"/>
              </w:numPr>
              <w:tabs>
                <w:tab w:val="clear" w:pos="562"/>
                <w:tab w:val="left" w:pos="708"/>
              </w:tabs>
              <w:ind w:left="828" w:hanging="425"/>
              <w:rPr>
                <w:bCs/>
                <w:lang w:val="hu-HU"/>
              </w:rPr>
            </w:pPr>
            <w:r w:rsidRPr="00183B5F">
              <w:rPr>
                <w:b/>
                <w:lang w:val="hu-HU"/>
              </w:rPr>
              <w:t xml:space="preserve">Ne </w:t>
            </w:r>
            <w:r w:rsidRPr="00183B5F">
              <w:rPr>
                <w:bCs/>
                <w:lang w:val="hu-HU"/>
              </w:rPr>
              <w:t>érintse meg a kezével a tűt, illetve ne hagyja, hogy a tű bármihez hozzáérjen.</w:t>
            </w:r>
          </w:p>
        </w:tc>
      </w:tr>
      <w:tr w:rsidR="00011D2F" w14:paraId="77D4E8E1" w14:textId="77777777" w:rsidTr="00E745E9">
        <w:tc>
          <w:tcPr>
            <w:tcW w:w="3708" w:type="dxa"/>
            <w:tcBorders>
              <w:top w:val="single" w:sz="4" w:space="0" w:color="auto"/>
              <w:left w:val="single" w:sz="4" w:space="0" w:color="auto"/>
              <w:bottom w:val="single" w:sz="4" w:space="0" w:color="auto"/>
              <w:right w:val="nil"/>
            </w:tcBorders>
          </w:tcPr>
          <w:p w14:paraId="1480F54E" w14:textId="77777777" w:rsidR="00713AC9" w:rsidRPr="00183B5F" w:rsidRDefault="00943743" w:rsidP="00E745E9">
            <w:pPr>
              <w:pStyle w:val="EMEANormal"/>
              <w:keepNext/>
              <w:rPr>
                <w:noProof/>
                <w:lang w:val="hu-HU"/>
              </w:rPr>
            </w:pPr>
            <w:r w:rsidRPr="00183B5F">
              <w:rPr>
                <w:b/>
                <w:noProof/>
                <w:lang w:val="hu-HU"/>
              </w:rPr>
              <w:t>5.lépés</w:t>
            </w:r>
          </w:p>
          <w:p w14:paraId="324F79F1" w14:textId="77777777" w:rsidR="00713AC9" w:rsidRPr="00183B5F" w:rsidRDefault="00713AC9" w:rsidP="00E745E9">
            <w:pPr>
              <w:pStyle w:val="EMEANormal"/>
              <w:keepNext/>
              <w:rPr>
                <w:noProof/>
                <w:lang w:val="hu-HU"/>
              </w:rPr>
            </w:pPr>
          </w:p>
          <w:p w14:paraId="2E05ECC4" w14:textId="77777777" w:rsidR="00713AC9" w:rsidRPr="00183B5F" w:rsidRDefault="00943743" w:rsidP="00E745E9">
            <w:pPr>
              <w:pStyle w:val="EMEANormal"/>
              <w:keepNext/>
              <w:rPr>
                <w:noProof/>
                <w:lang w:val="hu-HU"/>
              </w:rPr>
            </w:pPr>
            <w:r w:rsidRPr="00FB267A">
              <w:rPr>
                <w:noProof/>
                <w:lang w:val="en-GB"/>
              </w:rPr>
              <w:drawing>
                <wp:inline distT="0" distB="0" distL="0" distR="0" wp14:anchorId="11DBF445" wp14:editId="3E36C878">
                  <wp:extent cx="1990725" cy="1971675"/>
                  <wp:effectExtent l="0" t="0" r="9525" b="9525"/>
                  <wp:docPr id="125" name="Picture 125" descr="STEP_5_SYRINGE_IFU_FILLING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95" descr="STEP_5_SYRINGE_IFU_FILLING_grey"/>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990725" cy="1971675"/>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tcPr>
          <w:p w14:paraId="3458E95B" w14:textId="77777777" w:rsidR="00713AC9" w:rsidRPr="00183B5F" w:rsidRDefault="00943743" w:rsidP="00E745E9">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Tartsa az előretöltött fecskendőt a tűvel felfelé.</w:t>
            </w:r>
          </w:p>
          <w:p w14:paraId="51FD0CD8" w14:textId="77777777" w:rsidR="00713AC9" w:rsidRPr="00183B5F" w:rsidRDefault="00713AC9" w:rsidP="00E745E9">
            <w:pPr>
              <w:pStyle w:val="EMEAHeadingLeaflet"/>
              <w:keepNext/>
              <w:spacing w:beforeLines="0" w:before="0" w:afterLines="0" w:after="0"/>
              <w:rPr>
                <w:rFonts w:ascii="Times New Roman" w:hAnsi="Times New Roman"/>
                <w:b w:val="0"/>
                <w:lang w:val="hu-HU"/>
              </w:rPr>
            </w:pPr>
          </w:p>
          <w:p w14:paraId="73E28A90" w14:textId="77777777" w:rsidR="00713AC9" w:rsidRPr="00183B5F" w:rsidRDefault="00943743" w:rsidP="00E745E9">
            <w:pPr>
              <w:pStyle w:val="EMEAHeadingLeaflet"/>
              <w:keepNext/>
              <w:numPr>
                <w:ilvl w:val="0"/>
                <w:numId w:val="132"/>
              </w:numPr>
              <w:tabs>
                <w:tab w:val="clear" w:pos="562"/>
                <w:tab w:val="left" w:pos="708"/>
              </w:tabs>
              <w:spacing w:beforeLines="0" w:before="0" w:afterLines="0" w:after="0"/>
              <w:ind w:left="828" w:hanging="425"/>
              <w:rPr>
                <w:rFonts w:ascii="Times New Roman" w:hAnsi="Times New Roman"/>
                <w:b w:val="0"/>
                <w:lang w:val="hu-HU"/>
              </w:rPr>
            </w:pPr>
            <w:r w:rsidRPr="00183B5F">
              <w:rPr>
                <w:rFonts w:ascii="Times New Roman" w:hAnsi="Times New Roman"/>
                <w:b w:val="0"/>
                <w:lang w:val="hu-HU"/>
              </w:rPr>
              <w:t xml:space="preserve">Tartsa egyik kezében, szemmagasságban az előretöltött fecskendőt, hogy lássa a levegőt az előretöltött fecskendőben. </w:t>
            </w:r>
          </w:p>
          <w:p w14:paraId="54EABD2F" w14:textId="77777777" w:rsidR="00713AC9" w:rsidRPr="00183B5F" w:rsidRDefault="00713AC9" w:rsidP="00E745E9">
            <w:pPr>
              <w:pStyle w:val="EMEAHeadingLeaflet"/>
              <w:keepNext/>
              <w:tabs>
                <w:tab w:val="clear" w:pos="562"/>
                <w:tab w:val="left" w:pos="708"/>
              </w:tabs>
              <w:spacing w:beforeLines="0" w:before="0" w:afterLines="0" w:after="0"/>
              <w:ind w:left="828"/>
              <w:rPr>
                <w:rFonts w:ascii="Times New Roman" w:hAnsi="Times New Roman"/>
                <w:b w:val="0"/>
                <w:lang w:val="hu-HU"/>
              </w:rPr>
            </w:pPr>
          </w:p>
          <w:p w14:paraId="4C688C1D" w14:textId="77777777" w:rsidR="00713AC9" w:rsidRPr="00183B5F" w:rsidRDefault="00943743" w:rsidP="00E745E9">
            <w:pPr>
              <w:pStyle w:val="EMEANormal"/>
              <w:keepNext/>
              <w:rPr>
                <w:lang w:val="hu-HU"/>
              </w:rPr>
            </w:pPr>
            <w:r w:rsidRPr="00183B5F">
              <w:rPr>
                <w:lang w:val="hu-HU"/>
              </w:rPr>
              <w:t xml:space="preserve">Lassan nyomja be a dugattyút, hogy a levegőt kijöjjön a tűből. </w:t>
            </w:r>
          </w:p>
          <w:p w14:paraId="61D41EC8" w14:textId="77777777" w:rsidR="00713AC9" w:rsidRPr="00183B5F" w:rsidRDefault="00713AC9" w:rsidP="00E745E9">
            <w:pPr>
              <w:pStyle w:val="EMEANormal"/>
              <w:keepNext/>
              <w:rPr>
                <w:lang w:val="hu-HU"/>
              </w:rPr>
            </w:pPr>
          </w:p>
          <w:p w14:paraId="21ADCE3A" w14:textId="77777777" w:rsidR="00713AC9" w:rsidRPr="00183B5F" w:rsidRDefault="00943743" w:rsidP="00E745E9">
            <w:pPr>
              <w:pStyle w:val="EMEAHeadingLeaflet"/>
              <w:keepNext/>
              <w:numPr>
                <w:ilvl w:val="0"/>
                <w:numId w:val="125"/>
              </w:numPr>
              <w:tabs>
                <w:tab w:val="clear" w:pos="562"/>
                <w:tab w:val="left" w:pos="708"/>
              </w:tabs>
              <w:spacing w:beforeLines="0" w:before="0" w:afterLines="0" w:after="0"/>
              <w:ind w:left="828" w:hanging="425"/>
              <w:rPr>
                <w:rFonts w:ascii="Times New Roman" w:hAnsi="Times New Roman"/>
                <w:b w:val="0"/>
                <w:lang w:val="hu-HU"/>
              </w:rPr>
            </w:pPr>
            <w:r w:rsidRPr="00183B5F">
              <w:rPr>
                <w:rFonts w:ascii="Times New Roman" w:hAnsi="Times New Roman"/>
                <w:b w:val="0"/>
                <w:lang w:val="hu-HU"/>
              </w:rPr>
              <w:t>Normális, ha lát néhány csepp folyadékot kijönni a tűből</w:t>
            </w:r>
          </w:p>
          <w:p w14:paraId="23CD4C4E" w14:textId="77777777" w:rsidR="00713AC9" w:rsidRPr="00183B5F" w:rsidRDefault="00713AC9" w:rsidP="00E745E9">
            <w:pPr>
              <w:pStyle w:val="EMEANormal"/>
              <w:keepNext/>
              <w:rPr>
                <w:lang w:val="hu-HU"/>
              </w:rPr>
            </w:pPr>
          </w:p>
          <w:p w14:paraId="15F51FE2" w14:textId="77777777" w:rsidR="00713AC9" w:rsidRPr="00183B5F" w:rsidRDefault="00713AC9" w:rsidP="00E745E9">
            <w:pPr>
              <w:pStyle w:val="EMEANormal"/>
              <w:keepNext/>
              <w:rPr>
                <w:lang w:val="hu-HU"/>
              </w:rPr>
            </w:pPr>
          </w:p>
        </w:tc>
      </w:tr>
      <w:tr w:rsidR="00011D2F" w14:paraId="244F1627" w14:textId="77777777" w:rsidTr="00E745E9">
        <w:tc>
          <w:tcPr>
            <w:tcW w:w="3708" w:type="dxa"/>
            <w:tcBorders>
              <w:top w:val="single" w:sz="4" w:space="0" w:color="auto"/>
              <w:left w:val="single" w:sz="4" w:space="0" w:color="auto"/>
              <w:bottom w:val="single" w:sz="4" w:space="0" w:color="auto"/>
              <w:right w:val="nil"/>
            </w:tcBorders>
            <w:hideMark/>
          </w:tcPr>
          <w:p w14:paraId="3DF70064" w14:textId="77777777" w:rsidR="00713AC9" w:rsidRPr="00183B5F" w:rsidRDefault="00943743" w:rsidP="0073731A">
            <w:pPr>
              <w:pStyle w:val="EMEANormal"/>
              <w:rPr>
                <w:noProof/>
                <w:lang w:val="hu-HU"/>
              </w:rPr>
            </w:pPr>
            <w:r w:rsidRPr="00183B5F">
              <w:rPr>
                <w:b/>
                <w:noProof/>
                <w:lang w:val="hu-HU"/>
              </w:rPr>
              <w:t>6.lépés</w:t>
            </w:r>
          </w:p>
          <w:p w14:paraId="47D6D185" w14:textId="77777777" w:rsidR="00713AC9" w:rsidRPr="00183B5F" w:rsidRDefault="00713AC9" w:rsidP="0073731A">
            <w:pPr>
              <w:pStyle w:val="EMEANormal"/>
              <w:rPr>
                <w:noProof/>
                <w:lang w:val="hu-HU"/>
              </w:rPr>
            </w:pPr>
          </w:p>
          <w:p w14:paraId="1730C950" w14:textId="77777777" w:rsidR="00713AC9" w:rsidRPr="00183B5F" w:rsidRDefault="00943743" w:rsidP="0073731A">
            <w:pPr>
              <w:pStyle w:val="EMEANormal"/>
              <w:rPr>
                <w:lang w:val="hu-HU"/>
              </w:rPr>
            </w:pPr>
            <w:r w:rsidRPr="00FB267A">
              <w:rPr>
                <w:noProof/>
                <w:lang w:val="en-GB"/>
              </w:rPr>
              <w:drawing>
                <wp:inline distT="0" distB="0" distL="0" distR="0" wp14:anchorId="56B56F6C" wp14:editId="0980552F">
                  <wp:extent cx="2247900" cy="2143125"/>
                  <wp:effectExtent l="0" t="0" r="0" b="9525"/>
                  <wp:docPr id="126" name="Picture 126"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96" descr="STEP_6_SYRINGE_IFU_PRE-INJECTION_grey"/>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2247900" cy="2143125"/>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tcPr>
          <w:p w14:paraId="45A7CE6A" w14:textId="77777777" w:rsidR="00713AC9" w:rsidRPr="00183B5F" w:rsidRDefault="00713AC9" w:rsidP="0073731A">
            <w:pPr>
              <w:pStyle w:val="EMEAHeadingLeaflet"/>
              <w:spacing w:beforeLines="0" w:before="0" w:afterLines="0" w:after="0"/>
              <w:rPr>
                <w:rFonts w:ascii="Times New Roman" w:hAnsi="Times New Roman"/>
                <w:b w:val="0"/>
                <w:lang w:val="hu-HU"/>
              </w:rPr>
            </w:pPr>
          </w:p>
          <w:p w14:paraId="51A695DE" w14:textId="77777777" w:rsidR="00713AC9" w:rsidRPr="00183B5F" w:rsidRDefault="00943743" w:rsidP="0073731A">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 xml:space="preserve">Tartsa egy kézzel az előretöltött fecskendőt a közepénél, a hüvelyk- és mutatóujja között, mintha egy ceruzát fogna. </w:t>
            </w:r>
          </w:p>
          <w:p w14:paraId="7ED04BEC" w14:textId="77777777" w:rsidR="00713AC9" w:rsidRPr="00183B5F" w:rsidRDefault="00713AC9" w:rsidP="0073731A">
            <w:pPr>
              <w:pStyle w:val="EMEAHeadingLeaflet"/>
              <w:spacing w:beforeLines="0" w:before="0" w:afterLines="0" w:after="0"/>
              <w:rPr>
                <w:rFonts w:ascii="Times New Roman" w:hAnsi="Times New Roman"/>
                <w:b w:val="0"/>
                <w:lang w:val="hu-HU"/>
              </w:rPr>
            </w:pPr>
          </w:p>
          <w:p w14:paraId="17FD9A9E" w14:textId="77777777" w:rsidR="00713AC9" w:rsidRPr="00183B5F" w:rsidRDefault="00943743" w:rsidP="0073731A">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A beadás helyén szorítsa össze a bőrét egy kiemelkedő redőbe, és tartsa mozdulatlanul.</w:t>
            </w:r>
          </w:p>
          <w:p w14:paraId="772158DE" w14:textId="77777777" w:rsidR="00713AC9" w:rsidRPr="00183B5F" w:rsidRDefault="00713AC9" w:rsidP="0073731A">
            <w:pPr>
              <w:pStyle w:val="EMEANormal"/>
              <w:rPr>
                <w:lang w:val="hu-HU"/>
              </w:rPr>
            </w:pPr>
          </w:p>
          <w:p w14:paraId="555B22B3" w14:textId="77777777" w:rsidR="00713AC9" w:rsidRPr="00183B5F" w:rsidRDefault="00713AC9" w:rsidP="0073731A">
            <w:pPr>
              <w:pStyle w:val="EMEANormal"/>
              <w:rPr>
                <w:lang w:val="hu-HU"/>
              </w:rPr>
            </w:pPr>
          </w:p>
        </w:tc>
      </w:tr>
      <w:tr w:rsidR="00011D2F" w14:paraId="51EC5772" w14:textId="77777777" w:rsidTr="00E745E9">
        <w:tc>
          <w:tcPr>
            <w:tcW w:w="3708" w:type="dxa"/>
            <w:tcBorders>
              <w:top w:val="single" w:sz="4" w:space="0" w:color="auto"/>
              <w:left w:val="single" w:sz="4" w:space="0" w:color="auto"/>
              <w:bottom w:val="single" w:sz="4" w:space="0" w:color="auto"/>
              <w:right w:val="nil"/>
            </w:tcBorders>
            <w:hideMark/>
          </w:tcPr>
          <w:p w14:paraId="0911A9F1" w14:textId="77777777" w:rsidR="00713AC9" w:rsidRPr="00183B5F" w:rsidRDefault="00943743" w:rsidP="002D49EE">
            <w:pPr>
              <w:pStyle w:val="EMEANormal"/>
              <w:jc w:val="both"/>
              <w:rPr>
                <w:noProof/>
                <w:lang w:val="hu-HU"/>
              </w:rPr>
            </w:pPr>
            <w:r w:rsidRPr="00183B5F">
              <w:rPr>
                <w:b/>
                <w:noProof/>
                <w:lang w:val="hu-HU"/>
              </w:rPr>
              <w:t>7. lépés</w:t>
            </w:r>
          </w:p>
          <w:p w14:paraId="05B138E1" w14:textId="77777777" w:rsidR="00713AC9" w:rsidRPr="00183B5F" w:rsidRDefault="00943743" w:rsidP="002D49EE">
            <w:pPr>
              <w:pStyle w:val="EMEANormal"/>
              <w:rPr>
                <w:noProof/>
                <w:lang w:val="hu-HU"/>
              </w:rPr>
            </w:pPr>
            <w:r w:rsidRPr="00FB267A">
              <w:rPr>
                <w:noProof/>
                <w:lang w:val="en-GB"/>
              </w:rPr>
              <w:drawing>
                <wp:inline distT="0" distB="0" distL="0" distR="0" wp14:anchorId="1B50A27A" wp14:editId="7F75D0D9">
                  <wp:extent cx="2181225" cy="2676525"/>
                  <wp:effectExtent l="0" t="0" r="9525" b="9525"/>
                  <wp:docPr id="127" name="Picture 127"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97" descr="STEP_7_SYRINGE_IFU_ABDOMEN-THIGH_grey"/>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2181225" cy="2676525"/>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tcPr>
          <w:p w14:paraId="7ADFB74C" w14:textId="77777777" w:rsidR="00713AC9" w:rsidRPr="00183B5F" w:rsidRDefault="00943743" w:rsidP="002D49EE">
            <w:pPr>
              <w:pStyle w:val="EMEANormal"/>
              <w:rPr>
                <w:lang w:val="hu-HU"/>
              </w:rPr>
            </w:pPr>
            <w:r w:rsidRPr="00183B5F">
              <w:rPr>
                <w:szCs w:val="22"/>
                <w:lang w:val="hu-HU"/>
              </w:rPr>
              <w:t>Szúrja be a tűt a bőrébe körülbelül 45 fokos szögben, egy gyors, rövid mozdulattal.</w:t>
            </w:r>
          </w:p>
          <w:p w14:paraId="7387DB36" w14:textId="77777777" w:rsidR="00713AC9" w:rsidRPr="00183B5F" w:rsidRDefault="00713AC9" w:rsidP="002D49EE">
            <w:pPr>
              <w:pStyle w:val="EMEANormal"/>
              <w:rPr>
                <w:lang w:val="hu-HU"/>
              </w:rPr>
            </w:pPr>
          </w:p>
          <w:p w14:paraId="3DF1A984" w14:textId="77777777" w:rsidR="00713AC9" w:rsidRPr="00183B5F" w:rsidRDefault="00943743" w:rsidP="002D49EE">
            <w:pPr>
              <w:pStyle w:val="EMEANormal"/>
              <w:numPr>
                <w:ilvl w:val="0"/>
                <w:numId w:val="132"/>
              </w:numPr>
              <w:tabs>
                <w:tab w:val="clear" w:pos="562"/>
                <w:tab w:val="left" w:pos="708"/>
              </w:tabs>
              <w:ind w:left="828"/>
              <w:rPr>
                <w:lang w:val="hu-HU"/>
              </w:rPr>
            </w:pPr>
            <w:r w:rsidRPr="00183B5F">
              <w:rPr>
                <w:lang w:val="hu-HU"/>
              </w:rPr>
              <w:t xml:space="preserve">Miután beszúrta a tűt, engedje el a bőrt, amit összeszorított. </w:t>
            </w:r>
          </w:p>
          <w:p w14:paraId="7B011360" w14:textId="77777777" w:rsidR="00713AC9" w:rsidRPr="00183B5F" w:rsidRDefault="00713AC9" w:rsidP="002D49EE">
            <w:pPr>
              <w:pStyle w:val="EMEANormal"/>
              <w:tabs>
                <w:tab w:val="clear" w:pos="562"/>
                <w:tab w:val="left" w:pos="708"/>
              </w:tabs>
              <w:rPr>
                <w:lang w:val="hu-HU"/>
              </w:rPr>
            </w:pPr>
          </w:p>
          <w:p w14:paraId="735155B0" w14:textId="77777777" w:rsidR="00713AC9" w:rsidRPr="00183B5F" w:rsidRDefault="00943743" w:rsidP="002D49EE">
            <w:pPr>
              <w:pStyle w:val="EMEANormal"/>
              <w:tabs>
                <w:tab w:val="clear" w:pos="562"/>
                <w:tab w:val="left" w:pos="708"/>
              </w:tabs>
              <w:rPr>
                <w:lang w:val="hu-HU"/>
              </w:rPr>
            </w:pPr>
            <w:r w:rsidRPr="00183B5F">
              <w:rPr>
                <w:lang w:val="hu-HU"/>
              </w:rPr>
              <w:t>Lassan nyomja be a dugattyút, egészen addig, amíg a folyadékot befecskendezte és az előretöltött fecskendő kiürült.</w:t>
            </w:r>
          </w:p>
          <w:p w14:paraId="12513F0C" w14:textId="77777777" w:rsidR="00713AC9" w:rsidRPr="00183B5F" w:rsidRDefault="00713AC9" w:rsidP="002D49EE">
            <w:pPr>
              <w:pStyle w:val="EMEANormal"/>
              <w:tabs>
                <w:tab w:val="clear" w:pos="562"/>
                <w:tab w:val="left" w:pos="708"/>
              </w:tabs>
              <w:rPr>
                <w:lang w:val="hu-HU"/>
              </w:rPr>
            </w:pPr>
          </w:p>
        </w:tc>
      </w:tr>
      <w:tr w:rsidR="00011D2F" w14:paraId="61136FFB" w14:textId="77777777" w:rsidTr="00E745E9">
        <w:tc>
          <w:tcPr>
            <w:tcW w:w="3708" w:type="dxa"/>
            <w:tcBorders>
              <w:top w:val="single" w:sz="4" w:space="0" w:color="auto"/>
              <w:left w:val="single" w:sz="4" w:space="0" w:color="auto"/>
              <w:bottom w:val="single" w:sz="4" w:space="0" w:color="auto"/>
              <w:right w:val="nil"/>
            </w:tcBorders>
            <w:hideMark/>
          </w:tcPr>
          <w:p w14:paraId="72E39112" w14:textId="77777777" w:rsidR="00713AC9" w:rsidRPr="00183B5F" w:rsidRDefault="00943743" w:rsidP="00E745E9">
            <w:pPr>
              <w:pStyle w:val="EMEANormal"/>
              <w:keepNext/>
              <w:rPr>
                <w:noProof/>
                <w:lang w:val="hu-HU"/>
              </w:rPr>
            </w:pPr>
            <w:r w:rsidRPr="00183B5F">
              <w:rPr>
                <w:b/>
                <w:noProof/>
                <w:lang w:val="hu-HU"/>
              </w:rPr>
              <w:t>8. lépés</w:t>
            </w:r>
          </w:p>
          <w:p w14:paraId="1F414585" w14:textId="77777777" w:rsidR="00713AC9" w:rsidRPr="00183B5F" w:rsidRDefault="00713AC9" w:rsidP="00E745E9">
            <w:pPr>
              <w:pStyle w:val="EMEANormal"/>
              <w:keepNext/>
              <w:rPr>
                <w:noProof/>
                <w:lang w:val="hu-HU"/>
              </w:rPr>
            </w:pPr>
          </w:p>
          <w:p w14:paraId="2614BB09" w14:textId="77777777" w:rsidR="00713AC9" w:rsidRPr="00183B5F" w:rsidRDefault="00943743" w:rsidP="00E745E9">
            <w:pPr>
              <w:pStyle w:val="EMEANormal"/>
              <w:keepNext/>
              <w:rPr>
                <w:lang w:val="hu-HU"/>
              </w:rPr>
            </w:pPr>
            <w:r w:rsidRPr="00FB267A">
              <w:rPr>
                <w:b/>
                <w:noProof/>
                <w:lang w:val="en-GB"/>
              </w:rPr>
              <w:drawing>
                <wp:inline distT="0" distB="0" distL="0" distR="0" wp14:anchorId="65DA0D51" wp14:editId="793DB942">
                  <wp:extent cx="1985089" cy="2093976"/>
                  <wp:effectExtent l="0" t="0" r="0" b="190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STEP_8_SYRINGE_IFU_WITHDRAW_grey.REV 06Sep18.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85089" cy="2093976"/>
                          </a:xfrm>
                          <a:prstGeom prst="rect">
                            <a:avLst/>
                          </a:prstGeom>
                        </pic:spPr>
                      </pic:pic>
                    </a:graphicData>
                  </a:graphic>
                </wp:inline>
              </w:drawing>
            </w:r>
          </w:p>
          <w:p w14:paraId="04581932" w14:textId="77777777" w:rsidR="004F641E" w:rsidRPr="00183B5F" w:rsidRDefault="00943743" w:rsidP="00244852">
            <w:pPr>
              <w:pStyle w:val="EMEANormal"/>
              <w:keepNext/>
              <w:tabs>
                <w:tab w:val="clear" w:pos="562"/>
                <w:tab w:val="left" w:pos="851"/>
              </w:tabs>
              <w:rPr>
                <w:b/>
                <w:lang w:val="hu-HU"/>
              </w:rPr>
            </w:pPr>
            <w:r w:rsidRPr="00183B5F">
              <w:rPr>
                <w:lang w:val="hu-HU"/>
              </w:rPr>
              <w:tab/>
            </w:r>
            <w:r w:rsidRPr="00183B5F">
              <w:rPr>
                <w:b/>
                <w:lang w:val="hu-HU"/>
              </w:rPr>
              <w:t>Vattapamacs</w:t>
            </w:r>
          </w:p>
        </w:tc>
        <w:tc>
          <w:tcPr>
            <w:tcW w:w="5579" w:type="dxa"/>
            <w:tcBorders>
              <w:top w:val="single" w:sz="4" w:space="0" w:color="auto"/>
              <w:left w:val="nil"/>
              <w:bottom w:val="single" w:sz="4" w:space="0" w:color="auto"/>
              <w:right w:val="single" w:sz="4" w:space="0" w:color="auto"/>
            </w:tcBorders>
          </w:tcPr>
          <w:p w14:paraId="42CB4D3C" w14:textId="77777777" w:rsidR="00713AC9" w:rsidRPr="00183B5F" w:rsidRDefault="00713AC9" w:rsidP="00E745E9">
            <w:pPr>
              <w:pStyle w:val="EMEAHeadingLeaflet"/>
              <w:keepNext/>
              <w:spacing w:beforeLines="0" w:before="0" w:afterLines="0" w:after="0"/>
              <w:rPr>
                <w:rFonts w:ascii="Times New Roman" w:hAnsi="Times New Roman"/>
                <w:b w:val="0"/>
                <w:lang w:val="hu-HU"/>
              </w:rPr>
            </w:pPr>
          </w:p>
          <w:p w14:paraId="0C5EC7DF" w14:textId="77777777" w:rsidR="00713AC9" w:rsidRPr="00183B5F" w:rsidRDefault="00943743" w:rsidP="00E745E9">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 xml:space="preserve">Amikor a beadás befejeződött, lassan húzza ki a bőrből a tűt, az előretöltött fecskendőt ugyanolyan szögben tartva. </w:t>
            </w:r>
          </w:p>
          <w:p w14:paraId="2B267E05" w14:textId="77777777" w:rsidR="00713AC9" w:rsidRPr="00183B5F" w:rsidRDefault="00713AC9" w:rsidP="00E745E9">
            <w:pPr>
              <w:pStyle w:val="EMEANormal"/>
              <w:keepNext/>
              <w:rPr>
                <w:lang w:val="hu-HU"/>
              </w:rPr>
            </w:pPr>
          </w:p>
          <w:p w14:paraId="7EBD4EA5" w14:textId="77777777" w:rsidR="00713AC9" w:rsidRPr="00183B5F" w:rsidRDefault="00943743" w:rsidP="00E745E9">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Az injekció beadása után helyezzen egy vattapamacsot vagy gézdarabot a beadás helyére.</w:t>
            </w:r>
          </w:p>
          <w:p w14:paraId="3F7EFF0F" w14:textId="77777777" w:rsidR="00713AC9" w:rsidRPr="00183B5F" w:rsidRDefault="00713AC9" w:rsidP="00E745E9">
            <w:pPr>
              <w:pStyle w:val="EMEANormal"/>
              <w:keepNext/>
              <w:rPr>
                <w:lang w:val="hu-HU"/>
              </w:rPr>
            </w:pPr>
          </w:p>
          <w:p w14:paraId="060BCAAE" w14:textId="77777777" w:rsidR="00713AC9" w:rsidRPr="00183B5F" w:rsidRDefault="00943743" w:rsidP="00E745E9">
            <w:pPr>
              <w:pStyle w:val="EMEAHeadingLeaflet"/>
              <w:keepNext/>
              <w:numPr>
                <w:ilvl w:val="0"/>
                <w:numId w:val="127"/>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lang w:val="hu-HU"/>
              </w:rPr>
              <w:t>Ne</w:t>
            </w:r>
            <w:r w:rsidRPr="00183B5F">
              <w:rPr>
                <w:rFonts w:ascii="Times New Roman" w:hAnsi="Times New Roman"/>
                <w:b w:val="0"/>
                <w:lang w:val="hu-HU"/>
              </w:rPr>
              <w:t xml:space="preserve"> dörzsölje</w:t>
            </w:r>
          </w:p>
          <w:p w14:paraId="0D6B1BBA" w14:textId="77777777" w:rsidR="00713AC9" w:rsidRPr="00183B5F" w:rsidRDefault="00943743" w:rsidP="00E745E9">
            <w:pPr>
              <w:pStyle w:val="EMEANormal"/>
              <w:keepNext/>
              <w:numPr>
                <w:ilvl w:val="0"/>
                <w:numId w:val="127"/>
              </w:numPr>
              <w:tabs>
                <w:tab w:val="clear" w:pos="562"/>
                <w:tab w:val="left" w:pos="757"/>
              </w:tabs>
              <w:ind w:left="757"/>
              <w:rPr>
                <w:lang w:val="hu-HU"/>
              </w:rPr>
            </w:pPr>
            <w:r w:rsidRPr="00183B5F">
              <w:rPr>
                <w:lang w:val="hu-HU"/>
              </w:rPr>
              <w:t>Enyhe vérzés az injekció beadásának helyén normális</w:t>
            </w:r>
          </w:p>
        </w:tc>
      </w:tr>
      <w:tr w:rsidR="00011D2F" w14:paraId="1002E4F7" w14:textId="77777777" w:rsidTr="00E745E9">
        <w:tc>
          <w:tcPr>
            <w:tcW w:w="9287" w:type="dxa"/>
            <w:gridSpan w:val="2"/>
            <w:tcBorders>
              <w:top w:val="single" w:sz="4" w:space="0" w:color="auto"/>
              <w:left w:val="single" w:sz="4" w:space="0" w:color="auto"/>
              <w:bottom w:val="single" w:sz="4" w:space="0" w:color="auto"/>
              <w:right w:val="single" w:sz="4" w:space="0" w:color="auto"/>
            </w:tcBorders>
          </w:tcPr>
          <w:p w14:paraId="41BBDFFA" w14:textId="77777777" w:rsidR="00713AC9" w:rsidRPr="00183B5F" w:rsidRDefault="00943743" w:rsidP="00E745E9">
            <w:pPr>
              <w:keepNext/>
              <w:spacing w:line="240" w:lineRule="auto"/>
              <w:rPr>
                <w:lang w:eastAsia="en-US"/>
              </w:rPr>
            </w:pPr>
            <w:r w:rsidRPr="00183B5F">
              <w:rPr>
                <w:b/>
                <w:lang w:eastAsia="en-US"/>
              </w:rPr>
              <w:t>9. lépés</w:t>
            </w:r>
          </w:p>
          <w:p w14:paraId="5F8C53F5" w14:textId="77777777" w:rsidR="00713AC9" w:rsidRPr="00183B5F" w:rsidRDefault="00713AC9" w:rsidP="00E745E9">
            <w:pPr>
              <w:keepNext/>
              <w:spacing w:line="240" w:lineRule="auto"/>
              <w:rPr>
                <w:lang w:eastAsia="en-US"/>
              </w:rPr>
            </w:pPr>
          </w:p>
          <w:p w14:paraId="257DCB8D" w14:textId="77777777" w:rsidR="00713AC9" w:rsidRPr="00183B5F" w:rsidRDefault="00943743" w:rsidP="00E745E9">
            <w:pPr>
              <w:pStyle w:val="EMEANormal"/>
              <w:keepNext/>
              <w:rPr>
                <w:szCs w:val="22"/>
                <w:lang w:val="hu-HU"/>
              </w:rPr>
            </w:pPr>
            <w:r w:rsidRPr="00183B5F">
              <w:rPr>
                <w:szCs w:val="22"/>
                <w:lang w:val="hu-HU"/>
              </w:rPr>
              <w:t xml:space="preserve">Az előretöltött fecskendőt dobja egy speciális gyűjtőedénybe a kezelőorvosa, a nővér vagy a gyógyszerésze útmutatásának megfelelően. </w:t>
            </w:r>
            <w:r w:rsidRPr="00183B5F">
              <w:rPr>
                <w:b/>
                <w:bCs/>
                <w:szCs w:val="22"/>
                <w:lang w:val="hu-HU"/>
              </w:rPr>
              <w:t xml:space="preserve">Soha </w:t>
            </w:r>
            <w:r w:rsidRPr="00183B5F">
              <w:rPr>
                <w:szCs w:val="22"/>
                <w:lang w:val="hu-HU"/>
              </w:rPr>
              <w:t>ne rakja vissza a tokot a tűre.</w:t>
            </w:r>
          </w:p>
          <w:p w14:paraId="65F6A920" w14:textId="77777777" w:rsidR="00713AC9" w:rsidRPr="00183B5F" w:rsidRDefault="00713AC9" w:rsidP="00E745E9">
            <w:pPr>
              <w:pStyle w:val="EMEANormal"/>
              <w:keepNext/>
              <w:rPr>
                <w:lang w:val="hu-HU"/>
              </w:rPr>
            </w:pPr>
          </w:p>
          <w:p w14:paraId="42C326B6" w14:textId="77777777" w:rsidR="00713AC9" w:rsidRPr="00183B5F" w:rsidRDefault="00943743" w:rsidP="00E745E9">
            <w:pPr>
              <w:pStyle w:val="EMEAHeadingLeaflet"/>
              <w:keepNext/>
              <w:numPr>
                <w:ilvl w:val="0"/>
                <w:numId w:val="128"/>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lang w:val="hu-HU"/>
              </w:rPr>
              <w:t xml:space="preserve">Ne </w:t>
            </w:r>
            <w:r w:rsidRPr="00183B5F">
              <w:rPr>
                <w:rFonts w:ascii="Times New Roman" w:hAnsi="Times New Roman"/>
                <w:b w:val="0"/>
                <w:lang w:val="hu-HU"/>
              </w:rPr>
              <w:t>dobja a szelektív vagy a háztartási hulladékba az előretöltött fecskendőt.</w:t>
            </w:r>
          </w:p>
          <w:p w14:paraId="53B0F825" w14:textId="77777777" w:rsidR="00713AC9" w:rsidRPr="00183B5F" w:rsidRDefault="00943743" w:rsidP="00E745E9">
            <w:pPr>
              <w:pStyle w:val="EMEANormal"/>
              <w:keepNext/>
              <w:numPr>
                <w:ilvl w:val="0"/>
                <w:numId w:val="128"/>
              </w:numPr>
              <w:tabs>
                <w:tab w:val="clear" w:pos="562"/>
                <w:tab w:val="left" w:pos="720"/>
              </w:tabs>
              <w:rPr>
                <w:lang w:val="hu-HU"/>
              </w:rPr>
            </w:pPr>
            <w:r w:rsidRPr="00183B5F">
              <w:rPr>
                <w:lang w:val="hu-HU"/>
              </w:rPr>
              <w:t xml:space="preserve">Az </w:t>
            </w:r>
            <w:r w:rsidRPr="00183B5F">
              <w:rPr>
                <w:bCs/>
                <w:lang w:val="hu-HU"/>
              </w:rPr>
              <w:t>előretöltött fecskendőt</w:t>
            </w:r>
            <w:r w:rsidRPr="00183B5F">
              <w:rPr>
                <w:lang w:val="hu-HU"/>
              </w:rPr>
              <w:t xml:space="preserve"> és a speciális gyűjtőedényt </w:t>
            </w:r>
            <w:r w:rsidRPr="00183B5F">
              <w:rPr>
                <w:b/>
                <w:lang w:val="hu-HU"/>
              </w:rPr>
              <w:t>mindig</w:t>
            </w:r>
            <w:r w:rsidRPr="00183B5F">
              <w:rPr>
                <w:lang w:val="hu-HU"/>
              </w:rPr>
              <w:t xml:space="preserve"> a gyermekektől elzárva kell tartani!</w:t>
            </w:r>
          </w:p>
          <w:p w14:paraId="472C9016" w14:textId="77777777" w:rsidR="00713AC9" w:rsidRPr="00183B5F" w:rsidRDefault="00713AC9" w:rsidP="00E745E9">
            <w:pPr>
              <w:pStyle w:val="EMEANormal"/>
              <w:keepNext/>
              <w:tabs>
                <w:tab w:val="clear" w:pos="562"/>
                <w:tab w:val="left" w:pos="720"/>
              </w:tabs>
              <w:ind w:left="720"/>
              <w:rPr>
                <w:lang w:val="hu-HU"/>
              </w:rPr>
            </w:pPr>
          </w:p>
          <w:p w14:paraId="13A0845F" w14:textId="77777777" w:rsidR="00713AC9" w:rsidRPr="00183B5F" w:rsidRDefault="00943743" w:rsidP="00E745E9">
            <w:pPr>
              <w:pStyle w:val="EMEANormal"/>
              <w:keepNext/>
              <w:rPr>
                <w:lang w:val="hu-HU"/>
              </w:rPr>
            </w:pPr>
            <w:r w:rsidRPr="00183B5F">
              <w:rPr>
                <w:szCs w:val="22"/>
                <w:lang w:val="hu-HU"/>
              </w:rPr>
              <w:t>A tűvédő tokot, az alkoholos törlőt, a vattapamacsot vagy gézdarabot, a buborékcsomagolást és a csomagolást ki lehet dobni a háztartási hulladékba.</w:t>
            </w:r>
          </w:p>
        </w:tc>
      </w:tr>
    </w:tbl>
    <w:p w14:paraId="5A1690E6" w14:textId="77777777" w:rsidR="00713AC9" w:rsidRPr="00183B5F" w:rsidRDefault="00713AC9" w:rsidP="00713AC9">
      <w:pPr>
        <w:tabs>
          <w:tab w:val="num" w:pos="630"/>
        </w:tabs>
        <w:spacing w:line="240" w:lineRule="auto"/>
        <w:ind w:right="-2"/>
      </w:pPr>
    </w:p>
    <w:p w14:paraId="2EC1B819" w14:textId="77777777" w:rsidR="00713AC9" w:rsidRPr="00183B5F" w:rsidRDefault="00713AC9" w:rsidP="00713AC9">
      <w:pPr>
        <w:spacing w:line="240" w:lineRule="auto"/>
        <w:ind w:right="-2"/>
        <w:rPr>
          <w:b/>
          <w:szCs w:val="22"/>
        </w:rPr>
      </w:pPr>
    </w:p>
    <w:p w14:paraId="58C06A2D" w14:textId="77777777" w:rsidR="00127616" w:rsidRPr="00183B5F" w:rsidRDefault="00943743">
      <w:pPr>
        <w:suppressAutoHyphens w:val="0"/>
        <w:spacing w:line="240" w:lineRule="auto"/>
        <w:rPr>
          <w:b/>
          <w:noProof/>
          <w:szCs w:val="22"/>
        </w:rPr>
      </w:pPr>
      <w:r w:rsidRPr="00183B5F">
        <w:rPr>
          <w:b/>
          <w:noProof/>
          <w:szCs w:val="22"/>
        </w:rPr>
        <w:br w:type="page"/>
      </w:r>
    </w:p>
    <w:p w14:paraId="68B62B0B" w14:textId="77777777" w:rsidR="002942B5" w:rsidRPr="00183B5F" w:rsidRDefault="00943743" w:rsidP="00713AC9">
      <w:pPr>
        <w:spacing w:line="240" w:lineRule="auto"/>
        <w:ind w:right="-449"/>
        <w:jc w:val="center"/>
        <w:rPr>
          <w:b/>
          <w:noProof/>
          <w:szCs w:val="24"/>
        </w:rPr>
      </w:pPr>
      <w:r w:rsidRPr="00183B5F">
        <w:rPr>
          <w:b/>
          <w:noProof/>
          <w:szCs w:val="24"/>
        </w:rPr>
        <w:t>Betegtájékoztató: Információk a beteg számára</w:t>
      </w:r>
    </w:p>
    <w:p w14:paraId="2F9E3803" w14:textId="77777777" w:rsidR="002942B5" w:rsidRPr="00183B5F" w:rsidRDefault="002942B5" w:rsidP="004062FE">
      <w:pPr>
        <w:spacing w:line="240" w:lineRule="auto"/>
        <w:ind w:right="-449"/>
        <w:jc w:val="center"/>
        <w:rPr>
          <w:b/>
          <w:bCs/>
          <w:szCs w:val="22"/>
        </w:rPr>
      </w:pPr>
    </w:p>
    <w:p w14:paraId="63D79DF5" w14:textId="77777777" w:rsidR="002942B5" w:rsidRPr="00183B5F" w:rsidRDefault="00943743" w:rsidP="004062FE">
      <w:pPr>
        <w:spacing w:line="240" w:lineRule="auto"/>
        <w:ind w:right="-449"/>
        <w:jc w:val="center"/>
        <w:rPr>
          <w:b/>
          <w:bCs/>
          <w:szCs w:val="22"/>
        </w:rPr>
      </w:pPr>
      <w:r w:rsidRPr="00183B5F">
        <w:rPr>
          <w:b/>
          <w:bCs/>
          <w:szCs w:val="22"/>
        </w:rPr>
        <w:t>Humira 40 mg oldatos injekció előretöltött injekciós tollban</w:t>
      </w:r>
    </w:p>
    <w:p w14:paraId="61D3BC29" w14:textId="77777777" w:rsidR="002942B5" w:rsidRPr="00183B5F" w:rsidRDefault="00943743" w:rsidP="004062FE">
      <w:pPr>
        <w:spacing w:line="240" w:lineRule="auto"/>
        <w:ind w:right="-449"/>
        <w:jc w:val="center"/>
        <w:rPr>
          <w:szCs w:val="22"/>
        </w:rPr>
      </w:pPr>
      <w:r w:rsidRPr="00183B5F">
        <w:rPr>
          <w:szCs w:val="22"/>
        </w:rPr>
        <w:t>adalimumab</w:t>
      </w:r>
    </w:p>
    <w:p w14:paraId="12E649EA" w14:textId="77777777" w:rsidR="002942B5" w:rsidRPr="00183B5F" w:rsidRDefault="002942B5" w:rsidP="004062FE">
      <w:pPr>
        <w:spacing w:line="240" w:lineRule="auto"/>
        <w:ind w:right="-449"/>
        <w:rPr>
          <w:szCs w:val="22"/>
        </w:rPr>
      </w:pPr>
    </w:p>
    <w:p w14:paraId="27AE4165" w14:textId="77777777" w:rsidR="002942B5" w:rsidRPr="00183B5F" w:rsidRDefault="00943743" w:rsidP="004062FE">
      <w:pPr>
        <w:spacing w:line="240" w:lineRule="auto"/>
        <w:rPr>
          <w:b/>
          <w:szCs w:val="22"/>
        </w:rPr>
      </w:pPr>
      <w:r w:rsidRPr="00183B5F">
        <w:rPr>
          <w:b/>
          <w:szCs w:val="22"/>
        </w:rPr>
        <w:t>Mielőtt elkezdi alkalmazni ezt a gyógyszert, olvassa el figyelmesen az alábbi betegtájékoztatót</w:t>
      </w:r>
      <w:r w:rsidRPr="00183B5F">
        <w:rPr>
          <w:b/>
          <w:noProof/>
          <w:szCs w:val="24"/>
        </w:rPr>
        <w:t>, mert az Ön számára fontos információkat tartalmaz</w:t>
      </w:r>
      <w:r w:rsidRPr="00183B5F">
        <w:rPr>
          <w:b/>
          <w:szCs w:val="22"/>
        </w:rPr>
        <w:t>.</w:t>
      </w:r>
    </w:p>
    <w:p w14:paraId="630F79AF" w14:textId="77777777" w:rsidR="002942B5" w:rsidRPr="00183B5F" w:rsidRDefault="00943743" w:rsidP="004062FE">
      <w:pPr>
        <w:numPr>
          <w:ilvl w:val="0"/>
          <w:numId w:val="129"/>
        </w:numPr>
        <w:spacing w:line="240" w:lineRule="auto"/>
        <w:ind w:left="567" w:hanging="567"/>
        <w:rPr>
          <w:szCs w:val="22"/>
        </w:rPr>
      </w:pPr>
      <w:r w:rsidRPr="00183B5F">
        <w:rPr>
          <w:szCs w:val="22"/>
        </w:rPr>
        <w:t>Tartsa meg a betegtájékoztatót, mert a benne szereplő információkra a későbbiekben is szüksége lehet.</w:t>
      </w:r>
    </w:p>
    <w:p w14:paraId="63BC1F0A" w14:textId="77777777" w:rsidR="002942B5" w:rsidRPr="00183B5F" w:rsidRDefault="00943743" w:rsidP="004062FE">
      <w:pPr>
        <w:numPr>
          <w:ilvl w:val="0"/>
          <w:numId w:val="129"/>
        </w:numPr>
        <w:spacing w:line="240" w:lineRule="auto"/>
        <w:ind w:left="567" w:hanging="567"/>
        <w:rPr>
          <w:szCs w:val="22"/>
        </w:rPr>
      </w:pPr>
      <w:r w:rsidRPr="00183B5F">
        <w:rPr>
          <w:szCs w:val="22"/>
        </w:rPr>
        <w:t xml:space="preserve">Kezelőorvosától egy </w:t>
      </w:r>
      <w:r w:rsidR="0048779F" w:rsidRPr="00183B5F">
        <w:rPr>
          <w:b/>
          <w:szCs w:val="22"/>
        </w:rPr>
        <w:t>Betegemlékeztető</w:t>
      </w:r>
      <w:r w:rsidRPr="00183B5F">
        <w:rPr>
          <w:b/>
          <w:szCs w:val="22"/>
        </w:rPr>
        <w:t xml:space="preserve"> Kártyát</w:t>
      </w:r>
      <w:r w:rsidRPr="00183B5F">
        <w:rPr>
          <w:szCs w:val="22"/>
        </w:rPr>
        <w:t xml:space="preserve"> is fog kapni fontos biztonsági információkkal, amit a Humira alkalmazása előtt és a Humira</w:t>
      </w:r>
      <w:r w:rsidRPr="00183B5F">
        <w:rPr>
          <w:szCs w:val="22"/>
        </w:rPr>
        <w:noBreakHyphen/>
        <w:t xml:space="preserve">val történő kezelés során is figyelembe kell venni. Tartsa magánál ezt a </w:t>
      </w:r>
      <w:r w:rsidR="0048779F" w:rsidRPr="00183B5F">
        <w:rPr>
          <w:b/>
          <w:szCs w:val="22"/>
        </w:rPr>
        <w:t>Betegemlékeztető</w:t>
      </w:r>
      <w:r w:rsidRPr="00183B5F">
        <w:rPr>
          <w:b/>
          <w:szCs w:val="22"/>
        </w:rPr>
        <w:t xml:space="preserve"> Kártyát</w:t>
      </w:r>
      <w:r w:rsidRPr="00183B5F">
        <w:rPr>
          <w:szCs w:val="22"/>
        </w:rPr>
        <w:t>.</w:t>
      </w:r>
    </w:p>
    <w:p w14:paraId="42FFB520" w14:textId="77777777" w:rsidR="002942B5" w:rsidRPr="00183B5F" w:rsidRDefault="00943743" w:rsidP="004062FE">
      <w:pPr>
        <w:numPr>
          <w:ilvl w:val="0"/>
          <w:numId w:val="129"/>
        </w:numPr>
        <w:spacing w:line="240" w:lineRule="auto"/>
        <w:ind w:left="567" w:hanging="567"/>
        <w:rPr>
          <w:szCs w:val="22"/>
        </w:rPr>
      </w:pPr>
      <w:r w:rsidRPr="00183B5F">
        <w:rPr>
          <w:szCs w:val="22"/>
        </w:rPr>
        <w:t>Kérdéseivel forduljon kezelőorvosához vagy gyógyszerészéhez.</w:t>
      </w:r>
    </w:p>
    <w:p w14:paraId="66D45514" w14:textId="77777777" w:rsidR="002942B5" w:rsidRPr="00183B5F" w:rsidRDefault="00943743" w:rsidP="004062FE">
      <w:pPr>
        <w:numPr>
          <w:ilvl w:val="0"/>
          <w:numId w:val="129"/>
        </w:numPr>
        <w:spacing w:line="240" w:lineRule="auto"/>
        <w:ind w:left="567" w:hanging="567"/>
        <w:rPr>
          <w:szCs w:val="22"/>
        </w:rPr>
      </w:pPr>
      <w:r w:rsidRPr="00183B5F">
        <w:rPr>
          <w:szCs w:val="22"/>
        </w:rPr>
        <w:t>Ezt a gyógyszert az orvos kizárólag Önnek írta fel. Ne adja át a készítményt másnak, mert számára ártalmas lehet még abban az esetben is, ha a betegsége tünetei az Önéhez hasonlóak.</w:t>
      </w:r>
    </w:p>
    <w:p w14:paraId="7AD0D2E7" w14:textId="77777777" w:rsidR="002942B5" w:rsidRPr="00183B5F" w:rsidRDefault="00943743" w:rsidP="004062FE">
      <w:pPr>
        <w:numPr>
          <w:ilvl w:val="0"/>
          <w:numId w:val="129"/>
        </w:numPr>
        <w:spacing w:line="240" w:lineRule="auto"/>
        <w:ind w:left="567" w:hanging="567"/>
        <w:rPr>
          <w:szCs w:val="22"/>
        </w:rPr>
      </w:pPr>
      <w:r w:rsidRPr="00183B5F">
        <w:rPr>
          <w:szCs w:val="24"/>
        </w:rPr>
        <w:t xml:space="preserve">Ha </w:t>
      </w:r>
      <w:r w:rsidRPr="00183B5F">
        <w:rPr>
          <w:noProof/>
          <w:szCs w:val="24"/>
        </w:rPr>
        <w:t>Önnél bármilyen</w:t>
      </w:r>
      <w:r w:rsidRPr="00183B5F">
        <w:rPr>
          <w:szCs w:val="24"/>
        </w:rPr>
        <w:t xml:space="preserve"> mellékhatás </w:t>
      </w:r>
      <w:r w:rsidRPr="00183B5F">
        <w:rPr>
          <w:noProof/>
          <w:szCs w:val="24"/>
        </w:rPr>
        <w:t>jelentkezik, tájékoztassa erről kezelőorvosát vagy gyógyszerészét. Ez</w:t>
      </w:r>
      <w:r w:rsidRPr="00183B5F">
        <w:rPr>
          <w:szCs w:val="24"/>
        </w:rPr>
        <w:t xml:space="preserve"> a betegtájékoztatóban </w:t>
      </w:r>
      <w:r w:rsidRPr="00183B5F">
        <w:rPr>
          <w:noProof/>
          <w:szCs w:val="24"/>
        </w:rPr>
        <w:t>fel nem sorolt bármilyen lehetséges mellékhatásra is vonatkozik. Lásd 4. pont.</w:t>
      </w:r>
    </w:p>
    <w:p w14:paraId="3837E4AD" w14:textId="77777777" w:rsidR="002942B5" w:rsidRPr="00183B5F" w:rsidRDefault="002942B5" w:rsidP="004062FE">
      <w:pPr>
        <w:spacing w:line="240" w:lineRule="auto"/>
        <w:ind w:right="-2"/>
        <w:rPr>
          <w:szCs w:val="22"/>
        </w:rPr>
      </w:pPr>
    </w:p>
    <w:p w14:paraId="534C84F5" w14:textId="77777777" w:rsidR="002942B5" w:rsidRPr="00183B5F" w:rsidRDefault="00943743" w:rsidP="004062FE">
      <w:pPr>
        <w:spacing w:line="240" w:lineRule="auto"/>
        <w:ind w:right="-2"/>
        <w:rPr>
          <w:b/>
          <w:szCs w:val="22"/>
        </w:rPr>
      </w:pPr>
      <w:r w:rsidRPr="00183B5F">
        <w:rPr>
          <w:b/>
          <w:szCs w:val="22"/>
        </w:rPr>
        <w:t>A betegtájékoztató tartalma:</w:t>
      </w:r>
    </w:p>
    <w:p w14:paraId="3995891D" w14:textId="77777777" w:rsidR="002942B5" w:rsidRPr="00183B5F" w:rsidRDefault="00943743" w:rsidP="004062FE">
      <w:pPr>
        <w:spacing w:line="240" w:lineRule="auto"/>
        <w:ind w:left="567" w:right="-29" w:hanging="567"/>
        <w:rPr>
          <w:szCs w:val="22"/>
        </w:rPr>
      </w:pPr>
      <w:r w:rsidRPr="00183B5F">
        <w:rPr>
          <w:szCs w:val="22"/>
        </w:rPr>
        <w:t>1.</w:t>
      </w:r>
      <w:r w:rsidRPr="00183B5F">
        <w:rPr>
          <w:szCs w:val="22"/>
        </w:rPr>
        <w:tab/>
        <w:t>Milyen típusú gyógyszer a Humira és milyen betegségek esetén alkalmazható</w:t>
      </w:r>
      <w:r w:rsidR="009A43BB" w:rsidRPr="00183B5F">
        <w:rPr>
          <w:szCs w:val="22"/>
        </w:rPr>
        <w:t>?</w:t>
      </w:r>
    </w:p>
    <w:p w14:paraId="38B9FCC5" w14:textId="77777777" w:rsidR="002942B5" w:rsidRPr="00183B5F" w:rsidRDefault="00943743" w:rsidP="004062FE">
      <w:pPr>
        <w:spacing w:line="240" w:lineRule="auto"/>
        <w:ind w:left="567" w:right="-29" w:hanging="567"/>
        <w:rPr>
          <w:szCs w:val="22"/>
        </w:rPr>
      </w:pPr>
      <w:r w:rsidRPr="00183B5F">
        <w:rPr>
          <w:szCs w:val="22"/>
        </w:rPr>
        <w:t>2.</w:t>
      </w:r>
      <w:r w:rsidRPr="00183B5F">
        <w:rPr>
          <w:szCs w:val="22"/>
        </w:rPr>
        <w:tab/>
        <w:t>Tudnivalók a Humira alkalmazása előtt</w:t>
      </w:r>
    </w:p>
    <w:p w14:paraId="5222E63C" w14:textId="77777777" w:rsidR="002942B5" w:rsidRPr="00183B5F" w:rsidRDefault="00943743" w:rsidP="004062FE">
      <w:pPr>
        <w:spacing w:line="240" w:lineRule="auto"/>
        <w:ind w:left="567" w:right="-29" w:hanging="567"/>
        <w:rPr>
          <w:szCs w:val="22"/>
        </w:rPr>
      </w:pPr>
      <w:r w:rsidRPr="00183B5F">
        <w:rPr>
          <w:szCs w:val="22"/>
        </w:rPr>
        <w:t>3.</w:t>
      </w:r>
      <w:r w:rsidRPr="00183B5F">
        <w:rPr>
          <w:szCs w:val="22"/>
        </w:rPr>
        <w:tab/>
        <w:t>Hogyan kell alkalmazni a Humira</w:t>
      </w:r>
      <w:r w:rsidRPr="00183B5F">
        <w:rPr>
          <w:szCs w:val="22"/>
        </w:rPr>
        <w:noBreakHyphen/>
        <w:t>t</w:t>
      </w:r>
      <w:r w:rsidR="009A43BB" w:rsidRPr="00183B5F">
        <w:rPr>
          <w:szCs w:val="22"/>
        </w:rPr>
        <w:t>?</w:t>
      </w:r>
    </w:p>
    <w:p w14:paraId="1FE76F61" w14:textId="77777777" w:rsidR="002942B5" w:rsidRPr="00183B5F" w:rsidRDefault="00943743" w:rsidP="004062FE">
      <w:pPr>
        <w:spacing w:line="240" w:lineRule="auto"/>
        <w:ind w:left="567" w:right="-29" w:hanging="567"/>
        <w:rPr>
          <w:szCs w:val="22"/>
        </w:rPr>
      </w:pPr>
      <w:r w:rsidRPr="00183B5F">
        <w:rPr>
          <w:szCs w:val="22"/>
        </w:rPr>
        <w:t>4.</w:t>
      </w:r>
      <w:r w:rsidRPr="00183B5F">
        <w:rPr>
          <w:szCs w:val="22"/>
        </w:rPr>
        <w:tab/>
        <w:t>Lehetséges mellékhatások</w:t>
      </w:r>
    </w:p>
    <w:p w14:paraId="0CA89F14" w14:textId="77777777" w:rsidR="002942B5" w:rsidRPr="00183B5F" w:rsidRDefault="00943743" w:rsidP="004062FE">
      <w:pPr>
        <w:spacing w:line="240" w:lineRule="auto"/>
        <w:ind w:left="567" w:right="-29" w:hanging="567"/>
        <w:rPr>
          <w:szCs w:val="22"/>
        </w:rPr>
      </w:pPr>
      <w:r w:rsidRPr="00183B5F">
        <w:rPr>
          <w:szCs w:val="22"/>
        </w:rPr>
        <w:t>5.</w:t>
      </w:r>
      <w:r w:rsidRPr="00183B5F">
        <w:rPr>
          <w:szCs w:val="22"/>
        </w:rPr>
        <w:tab/>
        <w:t>Hogyan kell a Humira</w:t>
      </w:r>
      <w:r w:rsidRPr="00183B5F">
        <w:rPr>
          <w:szCs w:val="22"/>
        </w:rPr>
        <w:noBreakHyphen/>
        <w:t>t tárolni</w:t>
      </w:r>
      <w:r w:rsidR="009A43BB" w:rsidRPr="00183B5F">
        <w:rPr>
          <w:szCs w:val="22"/>
        </w:rPr>
        <w:t>?</w:t>
      </w:r>
    </w:p>
    <w:p w14:paraId="3BEB76A4" w14:textId="77777777" w:rsidR="002942B5" w:rsidRPr="00183B5F" w:rsidRDefault="00943743" w:rsidP="004062FE">
      <w:pPr>
        <w:spacing w:line="240" w:lineRule="auto"/>
        <w:ind w:left="567" w:right="-29" w:hanging="567"/>
        <w:rPr>
          <w:szCs w:val="22"/>
        </w:rPr>
      </w:pPr>
      <w:r w:rsidRPr="00183B5F">
        <w:rPr>
          <w:szCs w:val="22"/>
        </w:rPr>
        <w:t>6.</w:t>
      </w:r>
      <w:r w:rsidRPr="00183B5F">
        <w:rPr>
          <w:szCs w:val="22"/>
        </w:rPr>
        <w:tab/>
        <w:t>További információk</w:t>
      </w:r>
    </w:p>
    <w:p w14:paraId="53334A24" w14:textId="77777777" w:rsidR="002942B5" w:rsidRPr="00183B5F" w:rsidRDefault="00943743" w:rsidP="004062FE">
      <w:pPr>
        <w:spacing w:line="240" w:lineRule="auto"/>
        <w:ind w:left="567" w:right="-29" w:hanging="567"/>
        <w:rPr>
          <w:szCs w:val="22"/>
        </w:rPr>
      </w:pPr>
      <w:r w:rsidRPr="00183B5F">
        <w:rPr>
          <w:szCs w:val="22"/>
        </w:rPr>
        <w:t>7.</w:t>
      </w:r>
      <w:r w:rsidRPr="00183B5F">
        <w:rPr>
          <w:szCs w:val="22"/>
        </w:rPr>
        <w:tab/>
        <w:t>A Humira beadása</w:t>
      </w:r>
    </w:p>
    <w:p w14:paraId="71B03BBD" w14:textId="77777777" w:rsidR="002942B5" w:rsidRPr="00183B5F" w:rsidRDefault="002942B5" w:rsidP="004062FE">
      <w:pPr>
        <w:spacing w:line="240" w:lineRule="auto"/>
        <w:ind w:right="-2"/>
        <w:rPr>
          <w:szCs w:val="22"/>
        </w:rPr>
      </w:pPr>
    </w:p>
    <w:p w14:paraId="10F0BABF" w14:textId="77777777" w:rsidR="002942B5" w:rsidRPr="00183B5F" w:rsidRDefault="002942B5" w:rsidP="004062FE">
      <w:pPr>
        <w:spacing w:line="240" w:lineRule="auto"/>
        <w:ind w:right="-2"/>
        <w:rPr>
          <w:szCs w:val="22"/>
        </w:rPr>
      </w:pPr>
    </w:p>
    <w:p w14:paraId="7E38F93D" w14:textId="77777777" w:rsidR="002942B5" w:rsidRPr="00183B5F" w:rsidRDefault="00943743" w:rsidP="004062FE">
      <w:pPr>
        <w:spacing w:line="240" w:lineRule="auto"/>
        <w:ind w:left="567" w:right="-2" w:hanging="567"/>
        <w:rPr>
          <w:b/>
          <w:szCs w:val="22"/>
        </w:rPr>
      </w:pPr>
      <w:r w:rsidRPr="00183B5F">
        <w:rPr>
          <w:b/>
          <w:szCs w:val="22"/>
        </w:rPr>
        <w:t>1.</w:t>
      </w:r>
      <w:r w:rsidRPr="00183B5F">
        <w:rPr>
          <w:b/>
          <w:szCs w:val="22"/>
        </w:rPr>
        <w:tab/>
        <w:t>Milyen típusú gyógyszer a Humira és milyen betegségek esetén alkalmazható</w:t>
      </w:r>
      <w:r w:rsidR="00B54E17" w:rsidRPr="00183B5F">
        <w:rPr>
          <w:b/>
          <w:szCs w:val="22"/>
        </w:rPr>
        <w:t>?</w:t>
      </w:r>
    </w:p>
    <w:p w14:paraId="6ABEA0C7" w14:textId="77777777" w:rsidR="002942B5" w:rsidRPr="00183B5F" w:rsidRDefault="002942B5" w:rsidP="004062FE">
      <w:pPr>
        <w:spacing w:line="240" w:lineRule="auto"/>
        <w:ind w:right="-2" w:firstLine="567"/>
        <w:rPr>
          <w:szCs w:val="22"/>
        </w:rPr>
      </w:pPr>
    </w:p>
    <w:p w14:paraId="2E2AE9CE" w14:textId="77777777" w:rsidR="002942B5" w:rsidRPr="00183B5F" w:rsidRDefault="00943743" w:rsidP="004062FE">
      <w:pPr>
        <w:spacing w:line="240" w:lineRule="auto"/>
        <w:ind w:right="-2"/>
        <w:rPr>
          <w:szCs w:val="22"/>
        </w:rPr>
      </w:pPr>
      <w:r w:rsidRPr="00183B5F">
        <w:rPr>
          <w:szCs w:val="22"/>
        </w:rPr>
        <w:t>A Humira hatóanyaga az adalimumab</w:t>
      </w:r>
      <w:r w:rsidR="009A43BB" w:rsidRPr="00183B5F">
        <w:rPr>
          <w:szCs w:val="22"/>
        </w:rPr>
        <w:t>.</w:t>
      </w:r>
    </w:p>
    <w:p w14:paraId="3F5852D0" w14:textId="77777777" w:rsidR="002942B5" w:rsidRPr="00183B5F" w:rsidRDefault="002942B5" w:rsidP="004062FE">
      <w:pPr>
        <w:spacing w:line="240" w:lineRule="auto"/>
        <w:ind w:right="-2"/>
        <w:rPr>
          <w:szCs w:val="22"/>
        </w:rPr>
      </w:pPr>
    </w:p>
    <w:p w14:paraId="3A6DBA46" w14:textId="77777777" w:rsidR="002942B5" w:rsidRPr="00183B5F" w:rsidRDefault="00943743" w:rsidP="004062FE">
      <w:pPr>
        <w:spacing w:line="240" w:lineRule="auto"/>
        <w:ind w:right="-2"/>
        <w:rPr>
          <w:szCs w:val="22"/>
        </w:rPr>
      </w:pPr>
      <w:r w:rsidRPr="00183B5F">
        <w:rPr>
          <w:szCs w:val="22"/>
        </w:rPr>
        <w:t>A Humira az alábbi betegségek kezelésére alkalmazható:</w:t>
      </w:r>
    </w:p>
    <w:p w14:paraId="1E8FD890" w14:textId="77777777" w:rsidR="002942B5" w:rsidRPr="00183B5F" w:rsidRDefault="00943743" w:rsidP="004062FE">
      <w:pPr>
        <w:numPr>
          <w:ilvl w:val="0"/>
          <w:numId w:val="76"/>
        </w:numPr>
        <w:spacing w:line="240" w:lineRule="auto"/>
        <w:ind w:right="-2"/>
        <w:rPr>
          <w:szCs w:val="22"/>
        </w:rPr>
      </w:pPr>
      <w:r w:rsidRPr="00183B5F">
        <w:rPr>
          <w:szCs w:val="22"/>
        </w:rPr>
        <w:t>Reumás ízületi gyulladás (reumatoid artritisz)</w:t>
      </w:r>
    </w:p>
    <w:p w14:paraId="0F73CA95" w14:textId="77777777" w:rsidR="002942B5" w:rsidRPr="00183B5F" w:rsidRDefault="00943743" w:rsidP="004062FE">
      <w:pPr>
        <w:numPr>
          <w:ilvl w:val="0"/>
          <w:numId w:val="76"/>
        </w:numPr>
        <w:spacing w:line="240" w:lineRule="auto"/>
        <w:ind w:right="-2"/>
        <w:rPr>
          <w:szCs w:val="22"/>
        </w:rPr>
      </w:pPr>
      <w:r w:rsidRPr="00183B5F">
        <w:rPr>
          <w:szCs w:val="22"/>
        </w:rPr>
        <w:t>Gyermekkori ismeretlen eredetű sokízületi gyulladás (poliartikuláris juvenilis idiopátiás artritisz)</w:t>
      </w:r>
    </w:p>
    <w:p w14:paraId="682F676E" w14:textId="77777777" w:rsidR="002942B5" w:rsidRPr="00183B5F" w:rsidRDefault="00943743" w:rsidP="004062FE">
      <w:pPr>
        <w:numPr>
          <w:ilvl w:val="0"/>
          <w:numId w:val="76"/>
        </w:numPr>
        <w:spacing w:line="240" w:lineRule="auto"/>
        <w:ind w:right="-2"/>
        <w:rPr>
          <w:szCs w:val="22"/>
        </w:rPr>
      </w:pPr>
      <w:r w:rsidRPr="00183B5F">
        <w:rPr>
          <w:szCs w:val="22"/>
        </w:rPr>
        <w:t xml:space="preserve">Az </w:t>
      </w:r>
      <w:r w:rsidR="00E16C16" w:rsidRPr="00183B5F">
        <w:rPr>
          <w:szCs w:val="22"/>
        </w:rPr>
        <w:t>i</w:t>
      </w:r>
      <w:r w:rsidRPr="00183B5F">
        <w:rPr>
          <w:szCs w:val="22"/>
        </w:rPr>
        <w:t>nak tapadási hely</w:t>
      </w:r>
      <w:r w:rsidR="00E16C16" w:rsidRPr="00183B5F">
        <w:rPr>
          <w:szCs w:val="22"/>
        </w:rPr>
        <w:t>é</w:t>
      </w:r>
      <w:r w:rsidRPr="00183B5F">
        <w:rPr>
          <w:szCs w:val="22"/>
        </w:rPr>
        <w:t>nek gyulladásos elváltozásával társult reumás ízületi gyulladás (entezitisszel társult artritisz)</w:t>
      </w:r>
    </w:p>
    <w:p w14:paraId="7D9FD4BA" w14:textId="77777777" w:rsidR="002942B5" w:rsidRPr="00183B5F" w:rsidRDefault="00943743" w:rsidP="004062FE">
      <w:pPr>
        <w:numPr>
          <w:ilvl w:val="0"/>
          <w:numId w:val="76"/>
        </w:numPr>
        <w:spacing w:line="240" w:lineRule="auto"/>
        <w:ind w:right="-2"/>
        <w:rPr>
          <w:szCs w:val="22"/>
        </w:rPr>
      </w:pPr>
      <w:r w:rsidRPr="00183B5F">
        <w:rPr>
          <w:szCs w:val="22"/>
        </w:rPr>
        <w:t>A csigolyák összecsontosodásával járó kisízületi gyulladás (spondilitisz ankilopoetika)</w:t>
      </w:r>
    </w:p>
    <w:p w14:paraId="77B0E7BE" w14:textId="77777777" w:rsidR="002942B5" w:rsidRPr="00183B5F" w:rsidRDefault="00943743" w:rsidP="004062FE">
      <w:pPr>
        <w:numPr>
          <w:ilvl w:val="0"/>
          <w:numId w:val="76"/>
        </w:numPr>
        <w:spacing w:line="240" w:lineRule="auto"/>
        <w:ind w:right="-2"/>
        <w:rPr>
          <w:szCs w:val="22"/>
        </w:rPr>
      </w:pPr>
      <w:r w:rsidRPr="00183B5F">
        <w:rPr>
          <w:szCs w:val="22"/>
        </w:rPr>
        <w:t>Spondilitisz ankilopoetikára jellemző röntgeneltérést nem mutató gerincízületi gyulladás (axiális spondiloartritisz)</w:t>
      </w:r>
    </w:p>
    <w:p w14:paraId="58B74DBF" w14:textId="77777777" w:rsidR="002942B5" w:rsidRPr="00183B5F" w:rsidRDefault="00943743" w:rsidP="004062FE">
      <w:pPr>
        <w:numPr>
          <w:ilvl w:val="0"/>
          <w:numId w:val="76"/>
        </w:numPr>
        <w:spacing w:line="240" w:lineRule="auto"/>
        <w:ind w:right="-2"/>
        <w:rPr>
          <w:szCs w:val="22"/>
        </w:rPr>
      </w:pPr>
      <w:r w:rsidRPr="00183B5F">
        <w:rPr>
          <w:szCs w:val="22"/>
        </w:rPr>
        <w:t>Pikkelysömörrel járó ízületi gyulladás (artritisz pszoriatika)</w:t>
      </w:r>
    </w:p>
    <w:p w14:paraId="0B2E7D9E" w14:textId="77777777" w:rsidR="002942B5" w:rsidRPr="00183B5F" w:rsidRDefault="00943743" w:rsidP="004062FE">
      <w:pPr>
        <w:numPr>
          <w:ilvl w:val="0"/>
          <w:numId w:val="76"/>
        </w:numPr>
        <w:spacing w:line="240" w:lineRule="auto"/>
        <w:ind w:right="-2"/>
        <w:rPr>
          <w:szCs w:val="22"/>
        </w:rPr>
      </w:pPr>
      <w:r w:rsidRPr="00183B5F">
        <w:rPr>
          <w:szCs w:val="22"/>
        </w:rPr>
        <w:t>Pikkelysömör (pszoriázis)</w:t>
      </w:r>
    </w:p>
    <w:p w14:paraId="1195D916" w14:textId="77777777" w:rsidR="002942B5" w:rsidRPr="00183B5F" w:rsidRDefault="00943743" w:rsidP="004062FE">
      <w:pPr>
        <w:keepNext/>
        <w:numPr>
          <w:ilvl w:val="0"/>
          <w:numId w:val="76"/>
        </w:numPr>
        <w:spacing w:line="240" w:lineRule="auto"/>
        <w:rPr>
          <w:bCs/>
          <w:szCs w:val="22"/>
        </w:rPr>
      </w:pPr>
      <w:r w:rsidRPr="00183B5F">
        <w:rPr>
          <w:szCs w:val="22"/>
        </w:rPr>
        <w:t>Gennyes verejtékmirigy-gyulladás (hidradenitisz szuppuratíva)</w:t>
      </w:r>
    </w:p>
    <w:p w14:paraId="3CB5EDCB" w14:textId="77777777" w:rsidR="002942B5" w:rsidRPr="00183B5F" w:rsidRDefault="00943743" w:rsidP="004062FE">
      <w:pPr>
        <w:numPr>
          <w:ilvl w:val="0"/>
          <w:numId w:val="76"/>
        </w:numPr>
        <w:spacing w:line="240" w:lineRule="auto"/>
        <w:ind w:right="-2"/>
        <w:rPr>
          <w:szCs w:val="22"/>
        </w:rPr>
      </w:pPr>
      <w:r w:rsidRPr="00183B5F">
        <w:rPr>
          <w:szCs w:val="22"/>
        </w:rPr>
        <w:t>A bélfal minden rétegére kiterjedő, nem fertőzéses eredetű gyulladás (Crohn</w:t>
      </w:r>
      <w:r w:rsidRPr="00183B5F">
        <w:rPr>
          <w:szCs w:val="22"/>
        </w:rPr>
        <w:noBreakHyphen/>
        <w:t>betegség)</w:t>
      </w:r>
    </w:p>
    <w:p w14:paraId="2A70658E" w14:textId="77777777" w:rsidR="002942B5" w:rsidRPr="00183B5F" w:rsidRDefault="00943743" w:rsidP="004062FE">
      <w:pPr>
        <w:keepNext/>
        <w:numPr>
          <w:ilvl w:val="0"/>
          <w:numId w:val="76"/>
        </w:numPr>
        <w:suppressAutoHyphens w:val="0"/>
        <w:autoSpaceDE w:val="0"/>
        <w:autoSpaceDN w:val="0"/>
        <w:adjustRightInd w:val="0"/>
        <w:spacing w:line="240" w:lineRule="auto"/>
        <w:rPr>
          <w:szCs w:val="22"/>
        </w:rPr>
      </w:pPr>
      <w:r w:rsidRPr="00183B5F">
        <w:rPr>
          <w:szCs w:val="22"/>
        </w:rPr>
        <w:t>Nem fertőzéses eredetű, kifekélyesedő vastagbélgyulladás (kolitisz ulceróza)</w:t>
      </w:r>
    </w:p>
    <w:p w14:paraId="34F4C623" w14:textId="77777777" w:rsidR="00CE7A31" w:rsidRPr="00183B5F" w:rsidRDefault="00943743" w:rsidP="004062FE">
      <w:pPr>
        <w:keepNext/>
        <w:numPr>
          <w:ilvl w:val="0"/>
          <w:numId w:val="76"/>
        </w:numPr>
        <w:suppressAutoHyphens w:val="0"/>
        <w:autoSpaceDE w:val="0"/>
        <w:autoSpaceDN w:val="0"/>
        <w:adjustRightInd w:val="0"/>
        <w:spacing w:line="240" w:lineRule="auto"/>
        <w:rPr>
          <w:szCs w:val="22"/>
        </w:rPr>
      </w:pPr>
      <w:r w:rsidRPr="00183B5F">
        <w:rPr>
          <w:szCs w:val="22"/>
        </w:rPr>
        <w:t>Nem fertőzéses eredetű szemgyulladás (uveitisz)</w:t>
      </w:r>
    </w:p>
    <w:p w14:paraId="2D62067B" w14:textId="77777777" w:rsidR="00CE7A31" w:rsidRPr="00183B5F" w:rsidRDefault="00CE7A31" w:rsidP="004062FE">
      <w:pPr>
        <w:keepNext/>
        <w:suppressAutoHyphens w:val="0"/>
        <w:autoSpaceDE w:val="0"/>
        <w:autoSpaceDN w:val="0"/>
        <w:adjustRightInd w:val="0"/>
        <w:spacing w:line="240" w:lineRule="auto"/>
        <w:ind w:left="720"/>
        <w:rPr>
          <w:szCs w:val="22"/>
        </w:rPr>
      </w:pPr>
    </w:p>
    <w:p w14:paraId="249F6764" w14:textId="77777777" w:rsidR="00CE7A31" w:rsidRPr="00183B5F" w:rsidRDefault="00943743" w:rsidP="004062FE">
      <w:pPr>
        <w:keepNext/>
        <w:suppressAutoHyphens w:val="0"/>
        <w:autoSpaceDE w:val="0"/>
        <w:autoSpaceDN w:val="0"/>
        <w:adjustRightInd w:val="0"/>
        <w:spacing w:line="240" w:lineRule="auto"/>
        <w:rPr>
          <w:szCs w:val="22"/>
        </w:rPr>
      </w:pPr>
      <w:r w:rsidRPr="00183B5F">
        <w:rPr>
          <w:szCs w:val="22"/>
        </w:rPr>
        <w:t>A Humira hatóanyaga, az adalimumab egy emberi monoklonális antitest (ellenanyag). A monoklonális antitestek fehérjék, amelyek speciális célponthoz kötődnek.</w:t>
      </w:r>
    </w:p>
    <w:p w14:paraId="124E1E7A" w14:textId="77777777" w:rsidR="00CE7A31" w:rsidRPr="00183B5F" w:rsidRDefault="00CE7A31" w:rsidP="004062FE">
      <w:pPr>
        <w:pStyle w:val="ListParagraph"/>
        <w:spacing w:line="240" w:lineRule="auto"/>
        <w:ind w:right="-2"/>
        <w:rPr>
          <w:szCs w:val="22"/>
        </w:rPr>
      </w:pPr>
    </w:p>
    <w:p w14:paraId="59F3FC2B" w14:textId="77777777" w:rsidR="00CE7A31" w:rsidRPr="00183B5F" w:rsidRDefault="00943743" w:rsidP="004062FE">
      <w:pPr>
        <w:spacing w:line="240" w:lineRule="auto"/>
        <w:ind w:right="-2"/>
        <w:rPr>
          <w:szCs w:val="22"/>
        </w:rPr>
      </w:pPr>
      <w:r w:rsidRPr="00183B5F">
        <w:rPr>
          <w:szCs w:val="22"/>
        </w:rPr>
        <w:t>Az adalim</w:t>
      </w:r>
      <w:r w:rsidR="0036605D" w:rsidRPr="00183B5F">
        <w:rPr>
          <w:szCs w:val="22"/>
        </w:rPr>
        <w:t>um</w:t>
      </w:r>
      <w:r w:rsidRPr="00183B5F">
        <w:rPr>
          <w:szCs w:val="22"/>
        </w:rPr>
        <w:t>ab célpontja a tumor nekrózis faktor (TNF</w:t>
      </w:r>
      <w:r w:rsidRPr="00183B5F">
        <w:rPr>
          <w:noProof/>
          <w:color w:val="000000"/>
          <w:szCs w:val="22"/>
        </w:rPr>
        <w:t>α</w:t>
      </w:r>
      <w:r w:rsidRPr="00183B5F">
        <w:rPr>
          <w:szCs w:val="22"/>
        </w:rPr>
        <w:t>) nevű fehérje, mely az immun (védekező) rendszer működésében vesz részt, és a fent felsorolt gyulladásos betegségekben megnövekedett mennyiségben van jelen. A TNF</w:t>
      </w:r>
      <w:r w:rsidRPr="00183B5F">
        <w:rPr>
          <w:noProof/>
          <w:color w:val="000000"/>
          <w:szCs w:val="22"/>
        </w:rPr>
        <w:t>α</w:t>
      </w:r>
      <w:r w:rsidRPr="00183B5F">
        <w:rPr>
          <w:szCs w:val="22"/>
        </w:rPr>
        <w:noBreakHyphen/>
        <w:t>hoz való kötődéssel a Humira csökkenti ezen betegségek gyulladásos folyamatait.</w:t>
      </w:r>
    </w:p>
    <w:p w14:paraId="001DF343" w14:textId="77777777" w:rsidR="002942B5" w:rsidRPr="00183B5F" w:rsidRDefault="002942B5" w:rsidP="004062FE">
      <w:pPr>
        <w:spacing w:line="240" w:lineRule="auto"/>
        <w:ind w:right="-2"/>
        <w:rPr>
          <w:szCs w:val="22"/>
          <w:u w:val="single"/>
        </w:rPr>
      </w:pPr>
    </w:p>
    <w:p w14:paraId="180A0B90" w14:textId="77777777" w:rsidR="002942B5" w:rsidRPr="00183B5F" w:rsidRDefault="00943743" w:rsidP="004062FE">
      <w:pPr>
        <w:keepNext/>
        <w:spacing w:line="240" w:lineRule="auto"/>
        <w:rPr>
          <w:b/>
          <w:szCs w:val="22"/>
        </w:rPr>
      </w:pPr>
      <w:r w:rsidRPr="00183B5F">
        <w:rPr>
          <w:b/>
          <w:szCs w:val="22"/>
        </w:rPr>
        <w:t>Reumatoid artritisz</w:t>
      </w:r>
    </w:p>
    <w:p w14:paraId="546A4BF5" w14:textId="77777777" w:rsidR="002942B5" w:rsidRPr="00183B5F" w:rsidRDefault="002942B5" w:rsidP="004062FE">
      <w:pPr>
        <w:keepNext/>
        <w:spacing w:line="240" w:lineRule="auto"/>
        <w:rPr>
          <w:szCs w:val="22"/>
        </w:rPr>
      </w:pPr>
    </w:p>
    <w:p w14:paraId="0CF0EA81" w14:textId="77777777" w:rsidR="002942B5" w:rsidRPr="00183B5F" w:rsidRDefault="00943743" w:rsidP="004062FE">
      <w:pPr>
        <w:keepNext/>
        <w:spacing w:line="240" w:lineRule="auto"/>
        <w:rPr>
          <w:szCs w:val="22"/>
        </w:rPr>
      </w:pPr>
      <w:r w:rsidRPr="00183B5F">
        <w:rPr>
          <w:szCs w:val="22"/>
        </w:rPr>
        <w:t>A reumatoid artritisz az ízületek gyulladásos betegsége.</w:t>
      </w:r>
    </w:p>
    <w:p w14:paraId="1160FD28" w14:textId="77777777" w:rsidR="002942B5" w:rsidRPr="00183B5F" w:rsidRDefault="002942B5" w:rsidP="004062FE">
      <w:pPr>
        <w:spacing w:line="240" w:lineRule="auto"/>
        <w:ind w:right="-2"/>
        <w:rPr>
          <w:szCs w:val="22"/>
        </w:rPr>
      </w:pPr>
    </w:p>
    <w:p w14:paraId="50DC940A" w14:textId="77777777" w:rsidR="002942B5" w:rsidRPr="00183B5F" w:rsidRDefault="00943743" w:rsidP="004062FE">
      <w:pPr>
        <w:spacing w:line="240" w:lineRule="auto"/>
        <w:ind w:right="-2"/>
        <w:rPr>
          <w:szCs w:val="22"/>
        </w:rPr>
      </w:pPr>
      <w:r w:rsidRPr="00183B5F">
        <w:rPr>
          <w:szCs w:val="22"/>
        </w:rPr>
        <w:t>A Humira alkalmazható közepesen súlyos - súlyos felnőttkori reumatoid arthritisz kezelésére. Ön először egyéb betegséget módosító gyógyszereket (</w:t>
      </w:r>
      <w:r w:rsidR="0064540A" w:rsidRPr="00183B5F">
        <w:rPr>
          <w:bCs/>
          <w:szCs w:val="22"/>
        </w:rPr>
        <w:t>például</w:t>
      </w:r>
      <w:r w:rsidR="0064540A" w:rsidRPr="00183B5F">
        <w:rPr>
          <w:szCs w:val="22"/>
        </w:rPr>
        <w:t xml:space="preserve"> </w:t>
      </w:r>
      <w:r w:rsidRPr="00183B5F">
        <w:rPr>
          <w:szCs w:val="22"/>
        </w:rPr>
        <w:t>metotrexátot) kaphat. Ha Ön nem reagál kellőképpen ezekre a gyógyszerekre, akkor Humira</w:t>
      </w:r>
      <w:r w:rsidRPr="00183B5F">
        <w:rPr>
          <w:szCs w:val="22"/>
        </w:rPr>
        <w:noBreakHyphen/>
        <w:t>t fog kapni.</w:t>
      </w:r>
    </w:p>
    <w:p w14:paraId="3928196D" w14:textId="77777777" w:rsidR="002942B5" w:rsidRPr="00183B5F" w:rsidRDefault="002942B5" w:rsidP="004062FE">
      <w:pPr>
        <w:spacing w:line="240" w:lineRule="auto"/>
        <w:ind w:right="-2"/>
        <w:rPr>
          <w:szCs w:val="22"/>
        </w:rPr>
      </w:pPr>
    </w:p>
    <w:p w14:paraId="5264439D" w14:textId="77777777" w:rsidR="002942B5" w:rsidRPr="00183B5F" w:rsidRDefault="00943743" w:rsidP="004062FE">
      <w:pPr>
        <w:spacing w:line="240" w:lineRule="auto"/>
        <w:ind w:right="-2"/>
        <w:rPr>
          <w:szCs w:val="22"/>
        </w:rPr>
      </w:pPr>
      <w:r w:rsidRPr="00183B5F">
        <w:rPr>
          <w:szCs w:val="22"/>
        </w:rPr>
        <w:t xml:space="preserve">A Humira-t használni lehet súlyos, aktív és súlyosbodó reumatoid artritiszben előzetes </w:t>
      </w:r>
      <w:r w:rsidR="001A6E66" w:rsidRPr="00183B5F">
        <w:rPr>
          <w:szCs w:val="22"/>
        </w:rPr>
        <w:t>metotrexát-keze</w:t>
      </w:r>
      <w:r w:rsidRPr="00183B5F">
        <w:rPr>
          <w:szCs w:val="22"/>
        </w:rPr>
        <w:t>lés nélkül is.</w:t>
      </w:r>
    </w:p>
    <w:p w14:paraId="6B82AFC8" w14:textId="77777777" w:rsidR="002942B5" w:rsidRPr="00183B5F" w:rsidRDefault="002942B5" w:rsidP="004062FE">
      <w:pPr>
        <w:spacing w:line="240" w:lineRule="auto"/>
        <w:ind w:right="-2"/>
        <w:rPr>
          <w:szCs w:val="22"/>
        </w:rPr>
      </w:pPr>
    </w:p>
    <w:p w14:paraId="0F9E6C04" w14:textId="77777777" w:rsidR="002942B5" w:rsidRPr="00183B5F" w:rsidRDefault="00943743" w:rsidP="004062FE">
      <w:pPr>
        <w:spacing w:line="240" w:lineRule="auto"/>
        <w:ind w:right="-2"/>
        <w:rPr>
          <w:szCs w:val="22"/>
        </w:rPr>
      </w:pPr>
      <w:r w:rsidRPr="00183B5F">
        <w:rPr>
          <w:szCs w:val="22"/>
        </w:rPr>
        <w:t>A Humira lelassítja a gyulladásos betegség okozta ízületi</w:t>
      </w:r>
      <w:r w:rsidR="00EF71A4" w:rsidRPr="00183B5F">
        <w:rPr>
          <w:szCs w:val="22"/>
        </w:rPr>
        <w:t xml:space="preserve"> </w:t>
      </w:r>
      <w:r w:rsidRPr="00183B5F">
        <w:rPr>
          <w:szCs w:val="22"/>
        </w:rPr>
        <w:t>károsodást és segíti a szabadabb mozgást.</w:t>
      </w:r>
    </w:p>
    <w:p w14:paraId="4BA29FB5" w14:textId="77777777" w:rsidR="002942B5" w:rsidRPr="00183B5F" w:rsidRDefault="002942B5" w:rsidP="004062FE">
      <w:pPr>
        <w:spacing w:line="240" w:lineRule="auto"/>
        <w:ind w:right="-2"/>
        <w:rPr>
          <w:szCs w:val="22"/>
        </w:rPr>
      </w:pPr>
    </w:p>
    <w:p w14:paraId="38D5BCD2" w14:textId="77777777" w:rsidR="002942B5" w:rsidRPr="00183B5F" w:rsidRDefault="00943743" w:rsidP="004062FE">
      <w:pPr>
        <w:spacing w:line="240" w:lineRule="auto"/>
        <w:ind w:right="-2"/>
        <w:rPr>
          <w:szCs w:val="22"/>
        </w:rPr>
      </w:pPr>
      <w:r w:rsidRPr="00183B5F">
        <w:rPr>
          <w:szCs w:val="22"/>
        </w:rPr>
        <w:t>Az Ön kezelőorvosa fogja eldönteni, hogy a Humira-t metotrexáttal együtt, vagy önmagában alkalmazza.</w:t>
      </w:r>
    </w:p>
    <w:p w14:paraId="7AB98480" w14:textId="77777777" w:rsidR="002942B5" w:rsidRPr="00183B5F" w:rsidRDefault="002942B5" w:rsidP="004062FE">
      <w:pPr>
        <w:spacing w:line="240" w:lineRule="auto"/>
        <w:ind w:right="-2"/>
        <w:rPr>
          <w:szCs w:val="22"/>
          <w:u w:val="single"/>
        </w:rPr>
      </w:pPr>
    </w:p>
    <w:p w14:paraId="3A1D15E4" w14:textId="77777777" w:rsidR="002942B5" w:rsidRPr="00183B5F" w:rsidRDefault="00943743" w:rsidP="004062FE">
      <w:pPr>
        <w:spacing w:line="240" w:lineRule="auto"/>
        <w:ind w:right="-2"/>
        <w:rPr>
          <w:b/>
          <w:szCs w:val="22"/>
        </w:rPr>
      </w:pPr>
      <w:r w:rsidRPr="00183B5F">
        <w:rPr>
          <w:b/>
          <w:szCs w:val="22"/>
        </w:rPr>
        <w:t>Poliartikuláris juvenilis idiopátiás artritisz</w:t>
      </w:r>
    </w:p>
    <w:p w14:paraId="08DD9B2E" w14:textId="77777777" w:rsidR="002942B5" w:rsidRPr="00183B5F" w:rsidRDefault="002942B5" w:rsidP="004062FE">
      <w:pPr>
        <w:spacing w:line="240" w:lineRule="auto"/>
        <w:ind w:right="-2"/>
        <w:rPr>
          <w:szCs w:val="22"/>
          <w:u w:val="single"/>
        </w:rPr>
      </w:pPr>
    </w:p>
    <w:p w14:paraId="3896F4E6" w14:textId="77777777" w:rsidR="002942B5" w:rsidRPr="00183B5F" w:rsidRDefault="00943743" w:rsidP="004062FE">
      <w:pPr>
        <w:spacing w:line="240" w:lineRule="auto"/>
        <w:ind w:right="-2"/>
        <w:rPr>
          <w:szCs w:val="22"/>
        </w:rPr>
      </w:pPr>
      <w:r w:rsidRPr="00183B5F">
        <w:rPr>
          <w:szCs w:val="22"/>
        </w:rPr>
        <w:t>A gyermekkori ismeretlen eredetű sokízületi gyulladás az ízületek gyulladásos betegsége.</w:t>
      </w:r>
    </w:p>
    <w:p w14:paraId="123DF672" w14:textId="77777777" w:rsidR="002942B5" w:rsidRPr="00183B5F" w:rsidRDefault="002942B5" w:rsidP="004062FE">
      <w:pPr>
        <w:spacing w:line="240" w:lineRule="auto"/>
        <w:ind w:right="-2"/>
        <w:rPr>
          <w:szCs w:val="22"/>
          <w:u w:val="single"/>
        </w:rPr>
      </w:pPr>
    </w:p>
    <w:p w14:paraId="6E24338D" w14:textId="77777777" w:rsidR="002942B5" w:rsidRPr="00183B5F" w:rsidRDefault="00943743" w:rsidP="004062FE">
      <w:pPr>
        <w:spacing w:line="240" w:lineRule="auto"/>
        <w:ind w:right="-2"/>
        <w:rPr>
          <w:szCs w:val="22"/>
        </w:rPr>
      </w:pPr>
      <w:r w:rsidRPr="00183B5F">
        <w:rPr>
          <w:szCs w:val="22"/>
        </w:rPr>
        <w:t>A Humira 2 éves kortól alkalmazható a gyermekkori ismeretlen eredetű sokízületi gyulladás (poliartikuláris juvenilis idiopátiás artritisz) kezelésére. Ön először egyéb betegséget módosító gyógyszereket (</w:t>
      </w:r>
      <w:r w:rsidR="0064540A" w:rsidRPr="00183B5F">
        <w:rPr>
          <w:bCs/>
          <w:szCs w:val="22"/>
        </w:rPr>
        <w:t>például</w:t>
      </w:r>
      <w:r w:rsidRPr="00183B5F">
        <w:rPr>
          <w:szCs w:val="22"/>
        </w:rPr>
        <w:t xml:space="preserve"> metotrexátot) kaphat. Ha Ön nem reagál kellőképpen ezekre a gyógyszerekre, akkor Humira</w:t>
      </w:r>
      <w:r w:rsidRPr="00183B5F">
        <w:rPr>
          <w:szCs w:val="22"/>
        </w:rPr>
        <w:noBreakHyphen/>
        <w:t xml:space="preserve">t fog kapni. </w:t>
      </w:r>
    </w:p>
    <w:p w14:paraId="7DDA94A4" w14:textId="77777777" w:rsidR="002942B5" w:rsidRPr="00183B5F" w:rsidRDefault="002942B5" w:rsidP="004062FE">
      <w:pPr>
        <w:spacing w:line="240" w:lineRule="auto"/>
        <w:ind w:right="-2"/>
        <w:rPr>
          <w:szCs w:val="22"/>
        </w:rPr>
      </w:pPr>
    </w:p>
    <w:p w14:paraId="4585517D" w14:textId="77777777" w:rsidR="002942B5" w:rsidRPr="00183B5F" w:rsidRDefault="00943743" w:rsidP="004062FE">
      <w:pPr>
        <w:spacing w:line="240" w:lineRule="auto"/>
        <w:ind w:right="-2"/>
        <w:rPr>
          <w:szCs w:val="22"/>
        </w:rPr>
      </w:pPr>
      <w:r w:rsidRPr="00183B5F">
        <w:rPr>
          <w:szCs w:val="22"/>
        </w:rPr>
        <w:t>Az Ön kezelőorvosa fogja eldönteni, hogy a Humira-t metotrexáttal együtt, vagy önmagában alkalmazza.</w:t>
      </w:r>
    </w:p>
    <w:p w14:paraId="2693F045" w14:textId="77777777" w:rsidR="002942B5" w:rsidRPr="00183B5F" w:rsidRDefault="002942B5" w:rsidP="004062FE">
      <w:pPr>
        <w:spacing w:line="240" w:lineRule="auto"/>
        <w:ind w:right="-2"/>
        <w:rPr>
          <w:szCs w:val="22"/>
        </w:rPr>
      </w:pPr>
    </w:p>
    <w:p w14:paraId="147541F7" w14:textId="77777777" w:rsidR="002942B5" w:rsidRPr="00183B5F" w:rsidRDefault="00943743" w:rsidP="004062FE">
      <w:pPr>
        <w:spacing w:line="240" w:lineRule="auto"/>
        <w:ind w:right="-2"/>
        <w:rPr>
          <w:b/>
          <w:szCs w:val="22"/>
        </w:rPr>
      </w:pPr>
      <w:r w:rsidRPr="00183B5F">
        <w:rPr>
          <w:b/>
          <w:szCs w:val="22"/>
        </w:rPr>
        <w:t>Entezitisszel társult artritisz</w:t>
      </w:r>
    </w:p>
    <w:p w14:paraId="71704B5D" w14:textId="77777777" w:rsidR="002942B5" w:rsidRPr="00183B5F" w:rsidRDefault="002942B5" w:rsidP="004062FE">
      <w:pPr>
        <w:spacing w:line="240" w:lineRule="auto"/>
        <w:ind w:right="-2"/>
        <w:rPr>
          <w:szCs w:val="22"/>
        </w:rPr>
      </w:pPr>
    </w:p>
    <w:p w14:paraId="7C08162F" w14:textId="77777777" w:rsidR="002942B5" w:rsidRPr="00183B5F" w:rsidRDefault="00943743" w:rsidP="004062FE">
      <w:pPr>
        <w:spacing w:line="240" w:lineRule="auto"/>
        <w:ind w:right="-2"/>
        <w:rPr>
          <w:szCs w:val="22"/>
        </w:rPr>
      </w:pPr>
      <w:r w:rsidRPr="00183B5F">
        <w:rPr>
          <w:szCs w:val="22"/>
        </w:rPr>
        <w:t xml:space="preserve">Az entezitisszel társult artritisz az </w:t>
      </w:r>
      <w:r w:rsidR="00E16C16" w:rsidRPr="00183B5F">
        <w:rPr>
          <w:szCs w:val="22"/>
        </w:rPr>
        <w:t>i</w:t>
      </w:r>
      <w:r w:rsidRPr="00183B5F">
        <w:rPr>
          <w:szCs w:val="22"/>
        </w:rPr>
        <w:t>nak tapadási hely</w:t>
      </w:r>
      <w:r w:rsidR="00E16C16" w:rsidRPr="00183B5F">
        <w:rPr>
          <w:szCs w:val="22"/>
        </w:rPr>
        <w:t>é</w:t>
      </w:r>
      <w:r w:rsidRPr="00183B5F">
        <w:rPr>
          <w:szCs w:val="22"/>
        </w:rPr>
        <w:t>nek gyulladásos elváltozásával társult reumás ízületi gyulladás.</w:t>
      </w:r>
    </w:p>
    <w:p w14:paraId="5D47FC63" w14:textId="77777777" w:rsidR="002942B5" w:rsidRPr="00183B5F" w:rsidRDefault="002942B5" w:rsidP="004062FE">
      <w:pPr>
        <w:spacing w:line="240" w:lineRule="auto"/>
        <w:ind w:right="-2"/>
        <w:rPr>
          <w:szCs w:val="22"/>
        </w:rPr>
      </w:pPr>
    </w:p>
    <w:p w14:paraId="2DAA50C9" w14:textId="77777777" w:rsidR="002942B5" w:rsidRPr="00183B5F" w:rsidRDefault="00943743" w:rsidP="004062FE">
      <w:pPr>
        <w:spacing w:line="240" w:lineRule="auto"/>
        <w:ind w:right="-2"/>
        <w:rPr>
          <w:szCs w:val="22"/>
        </w:rPr>
      </w:pPr>
      <w:r w:rsidRPr="00183B5F">
        <w:rPr>
          <w:szCs w:val="22"/>
        </w:rPr>
        <w:t>A Humira 6 éves kortól alkalmazható az entezitisszel társult artritisz kezelésére. Ön először egyéb betegséget módosító gyógyszereket (</w:t>
      </w:r>
      <w:r w:rsidR="0064540A" w:rsidRPr="00183B5F">
        <w:rPr>
          <w:bCs/>
          <w:szCs w:val="22"/>
        </w:rPr>
        <w:t>például</w:t>
      </w:r>
      <w:r w:rsidRPr="00183B5F">
        <w:rPr>
          <w:szCs w:val="22"/>
        </w:rPr>
        <w:t xml:space="preserve"> metotrexátot) kaphat. Ha Ön nem reagál kellőképpen ezekre a gyógyszerekre, akkor Humira</w:t>
      </w:r>
      <w:r w:rsidRPr="00183B5F">
        <w:rPr>
          <w:szCs w:val="22"/>
        </w:rPr>
        <w:noBreakHyphen/>
        <w:t xml:space="preserve">t fog kapni. </w:t>
      </w:r>
    </w:p>
    <w:p w14:paraId="79E9FB4B" w14:textId="77777777" w:rsidR="002942B5" w:rsidRPr="00183B5F" w:rsidRDefault="002942B5" w:rsidP="004062FE">
      <w:pPr>
        <w:spacing w:line="240" w:lineRule="auto"/>
        <w:ind w:right="-2"/>
        <w:rPr>
          <w:szCs w:val="22"/>
        </w:rPr>
      </w:pPr>
    </w:p>
    <w:p w14:paraId="205A6901" w14:textId="77777777" w:rsidR="002942B5" w:rsidRPr="00183B5F" w:rsidRDefault="00943743" w:rsidP="004062FE">
      <w:pPr>
        <w:spacing w:line="240" w:lineRule="auto"/>
        <w:ind w:right="-2"/>
        <w:rPr>
          <w:b/>
          <w:szCs w:val="22"/>
        </w:rPr>
      </w:pPr>
      <w:r w:rsidRPr="00183B5F">
        <w:rPr>
          <w:b/>
          <w:szCs w:val="22"/>
        </w:rPr>
        <w:t>Spondilitisz ankilopoetika és spondilitisz ankilopoetikára jellemző röntgeneltérést nem mutató gerincízületi gyulladás (axiális spondiloartritisz)</w:t>
      </w:r>
    </w:p>
    <w:p w14:paraId="477B0F79" w14:textId="77777777" w:rsidR="002942B5" w:rsidRPr="00183B5F" w:rsidRDefault="002942B5" w:rsidP="004062FE">
      <w:pPr>
        <w:spacing w:line="240" w:lineRule="auto"/>
        <w:ind w:right="-2"/>
        <w:rPr>
          <w:szCs w:val="22"/>
        </w:rPr>
      </w:pPr>
    </w:p>
    <w:p w14:paraId="570D7311" w14:textId="77777777" w:rsidR="002942B5" w:rsidRPr="00183B5F" w:rsidRDefault="00943743" w:rsidP="004062FE">
      <w:pPr>
        <w:spacing w:line="240" w:lineRule="auto"/>
        <w:ind w:right="-2"/>
        <w:rPr>
          <w:szCs w:val="22"/>
        </w:rPr>
      </w:pPr>
      <w:r w:rsidRPr="00183B5F">
        <w:rPr>
          <w:szCs w:val="22"/>
        </w:rPr>
        <w:t>A spondilitisz ankilopoetika és a spondilitisz ankilopoetikára jellemző röntgeneltérést nem mutató gerincízületi gyulladás (axiális spondiloartritisz) a gerincoszlop gyulladással járó betegsége.</w:t>
      </w:r>
    </w:p>
    <w:p w14:paraId="3A043269" w14:textId="77777777" w:rsidR="002942B5" w:rsidRPr="00183B5F" w:rsidRDefault="002942B5" w:rsidP="004062FE">
      <w:pPr>
        <w:spacing w:line="240" w:lineRule="auto"/>
        <w:ind w:right="-2"/>
        <w:rPr>
          <w:szCs w:val="22"/>
        </w:rPr>
      </w:pPr>
    </w:p>
    <w:p w14:paraId="4E0EBAD0" w14:textId="77777777" w:rsidR="002942B5" w:rsidRPr="00183B5F" w:rsidRDefault="00943743" w:rsidP="004062FE">
      <w:pPr>
        <w:spacing w:line="240" w:lineRule="auto"/>
        <w:ind w:right="-2"/>
        <w:rPr>
          <w:szCs w:val="22"/>
        </w:rPr>
      </w:pPr>
      <w:r w:rsidRPr="00183B5F">
        <w:rPr>
          <w:szCs w:val="22"/>
        </w:rPr>
        <w:t>A Humira alkalmazható felnőttkori súlyos spondilitisz ankilopoetika és spondilitisz ankilopoetikára jellemző röntgeneltérést nem mutató gerincízületi gyulladás (axiális spondiloartritisz) kezelésére. Ön először egyéb gyógyszereket kaphat. Ha Ön nem reagál kellőképpen ezekre a gyógyszerekre, akkor Humira</w:t>
      </w:r>
      <w:r w:rsidRPr="00183B5F">
        <w:rPr>
          <w:szCs w:val="22"/>
        </w:rPr>
        <w:noBreakHyphen/>
        <w:t>t fog kapni.</w:t>
      </w:r>
    </w:p>
    <w:p w14:paraId="2621A125" w14:textId="77777777" w:rsidR="002942B5" w:rsidRPr="00183B5F" w:rsidRDefault="002942B5" w:rsidP="004062FE">
      <w:pPr>
        <w:spacing w:line="240" w:lineRule="auto"/>
        <w:ind w:right="-2"/>
        <w:rPr>
          <w:szCs w:val="22"/>
        </w:rPr>
      </w:pPr>
    </w:p>
    <w:p w14:paraId="732FCB46" w14:textId="77777777" w:rsidR="002942B5" w:rsidRPr="00183B5F" w:rsidRDefault="00943743" w:rsidP="004062FE">
      <w:pPr>
        <w:spacing w:line="240" w:lineRule="auto"/>
        <w:ind w:right="-2"/>
        <w:rPr>
          <w:b/>
          <w:szCs w:val="22"/>
        </w:rPr>
      </w:pPr>
      <w:r w:rsidRPr="00183B5F">
        <w:rPr>
          <w:b/>
          <w:szCs w:val="22"/>
        </w:rPr>
        <w:t>Artritisz pszoriatika</w:t>
      </w:r>
    </w:p>
    <w:p w14:paraId="0B963D89" w14:textId="77777777" w:rsidR="002942B5" w:rsidRPr="00183B5F" w:rsidRDefault="002942B5" w:rsidP="004062FE">
      <w:pPr>
        <w:spacing w:line="240" w:lineRule="auto"/>
        <w:ind w:right="-2"/>
        <w:rPr>
          <w:szCs w:val="22"/>
          <w:u w:val="single"/>
        </w:rPr>
      </w:pPr>
    </w:p>
    <w:p w14:paraId="1DC3630D" w14:textId="77777777" w:rsidR="002942B5" w:rsidRPr="00183B5F" w:rsidRDefault="00943743" w:rsidP="004062FE">
      <w:pPr>
        <w:spacing w:line="240" w:lineRule="auto"/>
        <w:ind w:right="-2"/>
        <w:rPr>
          <w:szCs w:val="22"/>
        </w:rPr>
      </w:pPr>
      <w:r w:rsidRPr="00183B5F">
        <w:rPr>
          <w:szCs w:val="22"/>
        </w:rPr>
        <w:t>Az artritisz pszoriatika az ízületek olyan gyulladásos betegsége, amely általában pikkelysömörrel társul.</w:t>
      </w:r>
    </w:p>
    <w:p w14:paraId="6BBB98A0" w14:textId="77777777" w:rsidR="002942B5" w:rsidRPr="00183B5F" w:rsidRDefault="002942B5" w:rsidP="004062FE">
      <w:pPr>
        <w:spacing w:line="240" w:lineRule="auto"/>
        <w:ind w:right="-2"/>
        <w:rPr>
          <w:szCs w:val="22"/>
          <w:u w:val="single"/>
        </w:rPr>
      </w:pPr>
    </w:p>
    <w:p w14:paraId="16DB2717" w14:textId="77777777" w:rsidR="002942B5" w:rsidRPr="00183B5F" w:rsidRDefault="00943743" w:rsidP="004062FE">
      <w:pPr>
        <w:spacing w:line="240" w:lineRule="auto"/>
        <w:ind w:right="-2"/>
        <w:rPr>
          <w:szCs w:val="22"/>
        </w:rPr>
      </w:pPr>
      <w:r w:rsidRPr="00183B5F">
        <w:rPr>
          <w:szCs w:val="22"/>
        </w:rPr>
        <w:t>A Humira alkalmazható a felnőttkori artritisz pszoriatika kezelésére. A Humira képes lassítani az ízületekben a betegség által okozott károsodást, valamint segíti a szabadabb mozgást. Ön először egyéb gyógyszereket kaphat. Ha Ön nem reagál kellőképpen ezekre a gyógyszerekre, akkor Humira</w:t>
      </w:r>
      <w:r w:rsidRPr="00183B5F">
        <w:rPr>
          <w:szCs w:val="22"/>
        </w:rPr>
        <w:noBreakHyphen/>
        <w:t>t fog kapni.</w:t>
      </w:r>
    </w:p>
    <w:p w14:paraId="707765A9" w14:textId="77777777" w:rsidR="002942B5" w:rsidRPr="00183B5F" w:rsidRDefault="002942B5" w:rsidP="004062FE">
      <w:pPr>
        <w:spacing w:line="240" w:lineRule="auto"/>
        <w:ind w:right="-2"/>
        <w:rPr>
          <w:szCs w:val="22"/>
        </w:rPr>
      </w:pPr>
    </w:p>
    <w:p w14:paraId="2F83E919" w14:textId="77777777" w:rsidR="002942B5" w:rsidRPr="00183B5F" w:rsidRDefault="00943743">
      <w:pPr>
        <w:pStyle w:val="DefaultText"/>
        <w:rPr>
          <w:rFonts w:ascii="Times New Roman" w:hAnsi="Times New Roman"/>
          <w:szCs w:val="22"/>
          <w:u w:val="single"/>
          <w:lang w:val="hu-HU"/>
        </w:rPr>
      </w:pPr>
      <w:r w:rsidRPr="00183B5F">
        <w:rPr>
          <w:rFonts w:ascii="Times New Roman" w:hAnsi="Times New Roman"/>
          <w:b/>
          <w:szCs w:val="22"/>
          <w:lang w:val="hu-HU"/>
        </w:rPr>
        <w:t>Pikkelysömör (pszoriázis)</w:t>
      </w:r>
    </w:p>
    <w:p w14:paraId="729242B7" w14:textId="77777777" w:rsidR="002942B5" w:rsidRPr="00183B5F" w:rsidRDefault="002942B5">
      <w:pPr>
        <w:pStyle w:val="DefaultText"/>
        <w:rPr>
          <w:rFonts w:ascii="Times New Roman" w:hAnsi="Times New Roman"/>
          <w:szCs w:val="22"/>
          <w:u w:val="single"/>
          <w:lang w:val="hu-HU"/>
        </w:rPr>
      </w:pPr>
    </w:p>
    <w:p w14:paraId="70165020" w14:textId="77777777" w:rsidR="002942B5" w:rsidRPr="00183B5F" w:rsidRDefault="00943743">
      <w:pPr>
        <w:pStyle w:val="DefaultText"/>
        <w:rPr>
          <w:rFonts w:ascii="Times New Roman" w:hAnsi="Times New Roman"/>
          <w:bCs w:val="0"/>
          <w:szCs w:val="22"/>
          <w:lang w:val="hu-HU"/>
        </w:rPr>
      </w:pPr>
      <w:r w:rsidRPr="00183B5F">
        <w:rPr>
          <w:rFonts w:ascii="Times New Roman" w:hAnsi="Times New Roman"/>
          <w:szCs w:val="22"/>
          <w:lang w:val="hu-HU"/>
        </w:rPr>
        <w:t xml:space="preserve">A plakkos </w:t>
      </w:r>
      <w:r w:rsidRPr="00183B5F">
        <w:rPr>
          <w:rFonts w:ascii="Times New Roman" w:hAnsi="Times New Roman"/>
          <w:bCs w:val="0"/>
          <w:szCs w:val="22"/>
          <w:lang w:val="hu-HU"/>
        </w:rPr>
        <w:t>pszoriázis</w:t>
      </w:r>
      <w:r w:rsidRPr="00183B5F">
        <w:rPr>
          <w:bCs w:val="0"/>
          <w:szCs w:val="22"/>
          <w:lang w:val="hu-HU"/>
        </w:rPr>
        <w:t xml:space="preserve"> </w:t>
      </w:r>
      <w:r w:rsidRPr="00183B5F">
        <w:rPr>
          <w:rFonts w:ascii="Times New Roman" w:hAnsi="Times New Roman"/>
          <w:szCs w:val="22"/>
          <w:lang w:val="hu-HU"/>
        </w:rPr>
        <w:t>egy bőrbetegség, ami ezüstös pikkelyekkel borított piros, hámló, kérges foltokat okoz a bőrön.</w:t>
      </w:r>
      <w:r w:rsidRPr="00183B5F">
        <w:rPr>
          <w:lang w:val="hu-HU"/>
        </w:rPr>
        <w:t xml:space="preserve"> </w:t>
      </w:r>
      <w:r w:rsidR="00A1688C" w:rsidRPr="00183B5F">
        <w:rPr>
          <w:rFonts w:ascii="Times New Roman" w:hAnsi="Times New Roman"/>
          <w:bCs w:val="0"/>
          <w:szCs w:val="22"/>
          <w:lang w:val="hu-HU"/>
        </w:rPr>
        <w:t>A plakkos pszoriázis a körmöket is érintheti, a köröm töredezését, megvastagodását, a körömágytól való elválását okozva, ami fájdalmas lehet.</w:t>
      </w:r>
    </w:p>
    <w:p w14:paraId="230CE053" w14:textId="77777777" w:rsidR="002942B5" w:rsidRPr="00183B5F" w:rsidRDefault="002942B5">
      <w:pPr>
        <w:pStyle w:val="DefaultText"/>
        <w:rPr>
          <w:rFonts w:ascii="Times New Roman" w:hAnsi="Times New Roman"/>
          <w:szCs w:val="22"/>
          <w:u w:val="single"/>
          <w:lang w:val="hu-HU"/>
        </w:rPr>
      </w:pPr>
    </w:p>
    <w:p w14:paraId="40069E01" w14:textId="77777777" w:rsidR="002942B5" w:rsidRPr="00183B5F" w:rsidRDefault="00943743" w:rsidP="004062FE">
      <w:pPr>
        <w:spacing w:line="240" w:lineRule="auto"/>
        <w:ind w:right="-2"/>
        <w:rPr>
          <w:szCs w:val="22"/>
        </w:rPr>
      </w:pPr>
      <w:r w:rsidRPr="00183B5F">
        <w:rPr>
          <w:szCs w:val="22"/>
        </w:rPr>
        <w:t xml:space="preserve">A Humira alkalmazható </w:t>
      </w:r>
    </w:p>
    <w:p w14:paraId="58E85BA3" w14:textId="77777777" w:rsidR="002942B5" w:rsidRPr="00183B5F" w:rsidRDefault="00943743" w:rsidP="004062FE">
      <w:pPr>
        <w:numPr>
          <w:ilvl w:val="0"/>
          <w:numId w:val="116"/>
        </w:numPr>
        <w:tabs>
          <w:tab w:val="left" w:pos="709"/>
        </w:tabs>
        <w:spacing w:line="240" w:lineRule="auto"/>
        <w:ind w:right="-2"/>
        <w:rPr>
          <w:szCs w:val="22"/>
        </w:rPr>
      </w:pPr>
      <w:r w:rsidRPr="00183B5F">
        <w:rPr>
          <w:szCs w:val="22"/>
        </w:rPr>
        <w:t>a közepesen súlyos - súlyos, idült felnőttkori pszoriázis kezelésére és</w:t>
      </w:r>
    </w:p>
    <w:p w14:paraId="65105CCC" w14:textId="77777777" w:rsidR="002942B5" w:rsidRPr="00183B5F" w:rsidRDefault="00943743" w:rsidP="004062FE">
      <w:pPr>
        <w:numPr>
          <w:ilvl w:val="0"/>
          <w:numId w:val="116"/>
        </w:numPr>
        <w:tabs>
          <w:tab w:val="left" w:pos="709"/>
        </w:tabs>
        <w:spacing w:line="240" w:lineRule="auto"/>
        <w:ind w:right="-2"/>
        <w:rPr>
          <w:szCs w:val="22"/>
        </w:rPr>
      </w:pPr>
      <w:r w:rsidRPr="00183B5F">
        <w:rPr>
          <w:bCs/>
          <w:szCs w:val="22"/>
        </w:rPr>
        <w:t>súlyos, idült plakkos pszoriázisban szenvedő, 4</w:t>
      </w:r>
      <w:r w:rsidRPr="00183B5F">
        <w:rPr>
          <w:bCs/>
          <w:szCs w:val="22"/>
        </w:rPr>
        <w:noBreakHyphen/>
      </w:r>
      <w:r w:rsidRPr="00183B5F">
        <w:rPr>
          <w:bCs/>
          <w:szCs w:val="22"/>
        </w:rPr>
        <w:t>17 év közötti gyermekeknél és serdülőknél is, akiknél a helyi kezelés, és a fényterápiák nem használtak, vagy nem alkalmazhatóak.</w:t>
      </w:r>
    </w:p>
    <w:p w14:paraId="3FC4DD1E" w14:textId="77777777" w:rsidR="002942B5" w:rsidRPr="00183B5F" w:rsidRDefault="002942B5" w:rsidP="004062FE">
      <w:pPr>
        <w:spacing w:line="240" w:lineRule="auto"/>
        <w:ind w:right="-2"/>
        <w:rPr>
          <w:bCs/>
          <w:szCs w:val="22"/>
          <w:u w:val="single"/>
        </w:rPr>
      </w:pPr>
    </w:p>
    <w:p w14:paraId="7E63AE06" w14:textId="77777777" w:rsidR="002942B5" w:rsidRPr="00183B5F" w:rsidRDefault="00943743" w:rsidP="004062FE">
      <w:pPr>
        <w:keepNext/>
        <w:spacing w:line="240" w:lineRule="auto"/>
        <w:rPr>
          <w:b/>
          <w:bCs/>
          <w:szCs w:val="22"/>
        </w:rPr>
      </w:pPr>
      <w:r w:rsidRPr="00183B5F">
        <w:rPr>
          <w:b/>
          <w:szCs w:val="22"/>
        </w:rPr>
        <w:t>Hidradenitisz szuppuratíva</w:t>
      </w:r>
    </w:p>
    <w:p w14:paraId="51180C1F" w14:textId="77777777" w:rsidR="002942B5" w:rsidRPr="00183B5F" w:rsidRDefault="002942B5" w:rsidP="004062FE">
      <w:pPr>
        <w:keepNext/>
        <w:spacing w:line="240" w:lineRule="auto"/>
        <w:rPr>
          <w:bCs/>
          <w:szCs w:val="22"/>
          <w:u w:val="single"/>
        </w:rPr>
      </w:pPr>
    </w:p>
    <w:p w14:paraId="2295E97D" w14:textId="77777777" w:rsidR="002942B5" w:rsidRPr="00183B5F" w:rsidRDefault="00943743" w:rsidP="004062FE">
      <w:pPr>
        <w:spacing w:line="240" w:lineRule="auto"/>
        <w:ind w:right="-2"/>
        <w:rPr>
          <w:bCs/>
          <w:szCs w:val="22"/>
        </w:rPr>
      </w:pPr>
      <w:r w:rsidRPr="00183B5F">
        <w:rPr>
          <w:bCs/>
          <w:szCs w:val="22"/>
        </w:rPr>
        <w:t xml:space="preserve">A </w:t>
      </w:r>
      <w:r w:rsidRPr="00183B5F">
        <w:rPr>
          <w:szCs w:val="22"/>
        </w:rPr>
        <w:t>hidradenitisz szuppuratíva</w:t>
      </w:r>
      <w:r w:rsidRPr="00183B5F">
        <w:rPr>
          <w:bCs/>
          <w:szCs w:val="22"/>
        </w:rPr>
        <w:t xml:space="preserve"> (más néven inverz akne) egy krónikus és gyakran fájdalmas, gyulladásos bőrbetegség. A tünetek közé tartozhatnak a bőr alatti gócok (csomók) és tályogok (kelések), melyekből genny szivároghat. Ez leggyakrabban a bőr bizonyos területein jelenik meg, </w:t>
      </w:r>
      <w:r w:rsidR="0064540A" w:rsidRPr="00183B5F">
        <w:rPr>
          <w:bCs/>
          <w:szCs w:val="22"/>
        </w:rPr>
        <w:t>például</w:t>
      </w:r>
      <w:r w:rsidRPr="00183B5F">
        <w:rPr>
          <w:bCs/>
          <w:szCs w:val="22"/>
        </w:rPr>
        <w:t> a mellek alatt, hónaljban, a combok belső felszínén, lágyékon és fenéken. Hegesedés is előfordulhat az érintett területeken.</w:t>
      </w:r>
    </w:p>
    <w:p w14:paraId="6C2B2D49" w14:textId="77777777" w:rsidR="002942B5" w:rsidRPr="00183B5F" w:rsidRDefault="002942B5" w:rsidP="004062FE">
      <w:pPr>
        <w:spacing w:line="240" w:lineRule="auto"/>
        <w:ind w:right="-2"/>
        <w:rPr>
          <w:bCs/>
          <w:szCs w:val="22"/>
        </w:rPr>
      </w:pPr>
    </w:p>
    <w:p w14:paraId="4F75314B" w14:textId="77777777" w:rsidR="004D1838" w:rsidRPr="00183B5F" w:rsidRDefault="00943743" w:rsidP="004062FE">
      <w:pPr>
        <w:spacing w:line="240" w:lineRule="auto"/>
        <w:ind w:right="-2"/>
        <w:rPr>
          <w:bCs/>
          <w:szCs w:val="22"/>
        </w:rPr>
      </w:pPr>
      <w:r w:rsidRPr="00183B5F">
        <w:rPr>
          <w:bCs/>
          <w:szCs w:val="22"/>
        </w:rPr>
        <w:t xml:space="preserve">A Humira </w:t>
      </w:r>
      <w:r w:rsidR="004745FF" w:rsidRPr="00183B5F">
        <w:rPr>
          <w:bCs/>
          <w:szCs w:val="22"/>
        </w:rPr>
        <w:t>a</w:t>
      </w:r>
      <w:r w:rsidRPr="00183B5F">
        <w:rPr>
          <w:bCs/>
          <w:szCs w:val="22"/>
        </w:rPr>
        <w:t>lkalmazható</w:t>
      </w:r>
    </w:p>
    <w:p w14:paraId="5DF0FA1D" w14:textId="77777777" w:rsidR="004D1838" w:rsidRPr="00183B5F" w:rsidRDefault="00943743" w:rsidP="004062FE">
      <w:pPr>
        <w:pStyle w:val="ListParagraph"/>
        <w:numPr>
          <w:ilvl w:val="0"/>
          <w:numId w:val="131"/>
        </w:numPr>
        <w:spacing w:line="240" w:lineRule="auto"/>
        <w:ind w:right="-2"/>
        <w:rPr>
          <w:bCs/>
          <w:szCs w:val="22"/>
        </w:rPr>
      </w:pPr>
      <w:r w:rsidRPr="00183B5F">
        <w:rPr>
          <w:bCs/>
          <w:szCs w:val="22"/>
        </w:rPr>
        <w:t>közepesen súlyos – súlyos hidradenitisz szuppuratívában szenvedő fe</w:t>
      </w:r>
      <w:r w:rsidR="004745FF" w:rsidRPr="00183B5F">
        <w:rPr>
          <w:bCs/>
          <w:szCs w:val="22"/>
        </w:rPr>
        <w:t>lnőttek</w:t>
      </w:r>
      <w:r w:rsidRPr="00183B5F">
        <w:rPr>
          <w:bCs/>
          <w:szCs w:val="22"/>
        </w:rPr>
        <w:t xml:space="preserve"> és</w:t>
      </w:r>
    </w:p>
    <w:p w14:paraId="00B80BA5" w14:textId="77777777" w:rsidR="00300C94" w:rsidRPr="00183B5F" w:rsidRDefault="00943743" w:rsidP="004062FE">
      <w:pPr>
        <w:pStyle w:val="ListParagraph"/>
        <w:numPr>
          <w:ilvl w:val="0"/>
          <w:numId w:val="131"/>
        </w:numPr>
        <w:spacing w:line="240" w:lineRule="auto"/>
        <w:ind w:right="-2"/>
        <w:rPr>
          <w:bCs/>
          <w:szCs w:val="22"/>
        </w:rPr>
      </w:pPr>
      <w:r w:rsidRPr="00183B5F">
        <w:rPr>
          <w:bCs/>
          <w:szCs w:val="22"/>
        </w:rPr>
        <w:t>közepesen súlyos – súlyos hidradenitisz szuppuratívában szenvedő serdülők kezelésére 12</w:t>
      </w:r>
      <w:r w:rsidR="00CE7A31" w:rsidRPr="00183B5F">
        <w:rPr>
          <w:bCs/>
          <w:szCs w:val="22"/>
        </w:rPr>
        <w:noBreakHyphen/>
        <w:t>17 éves kor között</w:t>
      </w:r>
      <w:r w:rsidRPr="00183B5F">
        <w:rPr>
          <w:bCs/>
          <w:szCs w:val="22"/>
        </w:rPr>
        <w:t>.</w:t>
      </w:r>
    </w:p>
    <w:p w14:paraId="2FA37C01" w14:textId="77777777" w:rsidR="004D1838" w:rsidRPr="00183B5F" w:rsidRDefault="004D1838" w:rsidP="004062FE">
      <w:pPr>
        <w:spacing w:line="240" w:lineRule="auto"/>
        <w:ind w:right="-2"/>
        <w:rPr>
          <w:bCs/>
          <w:szCs w:val="22"/>
        </w:rPr>
      </w:pPr>
    </w:p>
    <w:p w14:paraId="2DD8FBA5" w14:textId="77777777" w:rsidR="002942B5" w:rsidRPr="00183B5F" w:rsidRDefault="00943743" w:rsidP="004062FE">
      <w:pPr>
        <w:spacing w:line="240" w:lineRule="auto"/>
        <w:ind w:right="-2"/>
        <w:rPr>
          <w:bCs/>
          <w:szCs w:val="22"/>
        </w:rPr>
      </w:pPr>
      <w:r w:rsidRPr="00183B5F">
        <w:rPr>
          <w:bCs/>
          <w:szCs w:val="22"/>
        </w:rPr>
        <w:t>A Humira csökkenti a betegség okozta csomók és tályogok számát és a fájdalmat, mely gyakran jár együtt a betegséggel.</w:t>
      </w:r>
      <w:r w:rsidRPr="00183B5F">
        <w:rPr>
          <w:szCs w:val="22"/>
        </w:rPr>
        <w:t xml:space="preserve"> Ön először egyéb gyógyszereket kaphat. Ha nem reagál megfelelő módon ezekre a gyógyszerekre, </w:t>
      </w:r>
      <w:r w:rsidR="00EF71A4" w:rsidRPr="00183B5F">
        <w:rPr>
          <w:szCs w:val="22"/>
        </w:rPr>
        <w:t>akkor</w:t>
      </w:r>
      <w:r w:rsidRPr="00183B5F">
        <w:rPr>
          <w:szCs w:val="22"/>
        </w:rPr>
        <w:t xml:space="preserve"> Humira</w:t>
      </w:r>
      <w:r w:rsidRPr="00183B5F">
        <w:rPr>
          <w:szCs w:val="22"/>
        </w:rPr>
        <w:noBreakHyphen/>
        <w:t>t fog kapni.</w:t>
      </w:r>
    </w:p>
    <w:p w14:paraId="783AC0A4" w14:textId="77777777" w:rsidR="002942B5" w:rsidRPr="00183B5F" w:rsidRDefault="002942B5">
      <w:pPr>
        <w:suppressAutoHyphens w:val="0"/>
        <w:autoSpaceDE w:val="0"/>
        <w:autoSpaceDN w:val="0"/>
        <w:adjustRightInd w:val="0"/>
        <w:spacing w:line="240" w:lineRule="auto"/>
        <w:rPr>
          <w:bCs/>
          <w:szCs w:val="22"/>
        </w:rPr>
      </w:pPr>
    </w:p>
    <w:p w14:paraId="00FD5805" w14:textId="77777777" w:rsidR="002942B5" w:rsidRPr="00183B5F" w:rsidRDefault="00943743" w:rsidP="004062FE">
      <w:pPr>
        <w:keepNext/>
        <w:spacing w:line="240" w:lineRule="auto"/>
        <w:rPr>
          <w:szCs w:val="22"/>
        </w:rPr>
      </w:pPr>
      <w:r w:rsidRPr="00183B5F">
        <w:rPr>
          <w:b/>
          <w:szCs w:val="22"/>
        </w:rPr>
        <w:t>Crohn</w:t>
      </w:r>
      <w:r w:rsidRPr="00183B5F">
        <w:rPr>
          <w:b/>
          <w:szCs w:val="22"/>
        </w:rPr>
        <w:noBreakHyphen/>
        <w:t>betegség</w:t>
      </w:r>
      <w:r w:rsidRPr="00183B5F">
        <w:rPr>
          <w:szCs w:val="22"/>
        </w:rPr>
        <w:t xml:space="preserve"> </w:t>
      </w:r>
    </w:p>
    <w:p w14:paraId="12265A10" w14:textId="77777777" w:rsidR="002942B5" w:rsidRPr="00183B5F" w:rsidRDefault="002942B5" w:rsidP="004062FE">
      <w:pPr>
        <w:keepNext/>
        <w:spacing w:line="240" w:lineRule="auto"/>
        <w:rPr>
          <w:szCs w:val="22"/>
        </w:rPr>
      </w:pPr>
    </w:p>
    <w:p w14:paraId="6459CBAA" w14:textId="77777777" w:rsidR="002942B5" w:rsidRPr="00183B5F" w:rsidRDefault="00943743" w:rsidP="004062FE">
      <w:pPr>
        <w:keepNext/>
        <w:spacing w:line="240" w:lineRule="auto"/>
        <w:rPr>
          <w:szCs w:val="22"/>
        </w:rPr>
      </w:pPr>
      <w:r w:rsidRPr="00183B5F">
        <w:rPr>
          <w:szCs w:val="22"/>
        </w:rPr>
        <w:t>A Crohn</w:t>
      </w:r>
      <w:r w:rsidRPr="00183B5F">
        <w:rPr>
          <w:szCs w:val="22"/>
        </w:rPr>
        <w:noBreakHyphen/>
        <w:t>betegség az emésztőcsatorna gyulladásos kórfolyamata.</w:t>
      </w:r>
    </w:p>
    <w:p w14:paraId="63E71268" w14:textId="77777777" w:rsidR="002942B5" w:rsidRPr="00183B5F" w:rsidRDefault="002942B5" w:rsidP="004062FE">
      <w:pPr>
        <w:spacing w:line="240" w:lineRule="auto"/>
        <w:rPr>
          <w:szCs w:val="22"/>
        </w:rPr>
      </w:pPr>
    </w:p>
    <w:p w14:paraId="32BA199E" w14:textId="77777777" w:rsidR="002942B5" w:rsidRPr="00183B5F" w:rsidRDefault="00943743" w:rsidP="004062FE">
      <w:pPr>
        <w:spacing w:line="240" w:lineRule="auto"/>
        <w:rPr>
          <w:bCs/>
          <w:szCs w:val="22"/>
        </w:rPr>
      </w:pPr>
      <w:r w:rsidRPr="00183B5F">
        <w:rPr>
          <w:bCs/>
          <w:szCs w:val="22"/>
        </w:rPr>
        <w:t xml:space="preserve">A Humira alkalmazható </w:t>
      </w:r>
    </w:p>
    <w:p w14:paraId="28758337" w14:textId="77777777" w:rsidR="002942B5" w:rsidRPr="00183B5F" w:rsidRDefault="00943743" w:rsidP="004062FE">
      <w:pPr>
        <w:numPr>
          <w:ilvl w:val="0"/>
          <w:numId w:val="117"/>
        </w:numPr>
        <w:tabs>
          <w:tab w:val="left" w:pos="709"/>
        </w:tabs>
        <w:spacing w:line="240" w:lineRule="auto"/>
        <w:rPr>
          <w:szCs w:val="22"/>
        </w:rPr>
      </w:pPr>
      <w:r w:rsidRPr="00183B5F">
        <w:rPr>
          <w:bCs/>
          <w:szCs w:val="22"/>
        </w:rPr>
        <w:t xml:space="preserve">közepesen súlyos </w:t>
      </w:r>
      <w:r w:rsidRPr="00183B5F">
        <w:rPr>
          <w:bCs/>
          <w:szCs w:val="22"/>
        </w:rPr>
        <w:noBreakHyphen/>
        <w:t xml:space="preserve"> súlyos Crohn</w:t>
      </w:r>
      <w:r w:rsidRPr="00183B5F">
        <w:rPr>
          <w:bCs/>
          <w:szCs w:val="22"/>
        </w:rPr>
        <w:noBreakHyphen/>
        <w:t xml:space="preserve">betegségben szenvedő felnőttek és </w:t>
      </w:r>
    </w:p>
    <w:p w14:paraId="3F378D07" w14:textId="77777777" w:rsidR="002942B5" w:rsidRPr="00183B5F" w:rsidRDefault="00943743" w:rsidP="004062FE">
      <w:pPr>
        <w:numPr>
          <w:ilvl w:val="0"/>
          <w:numId w:val="117"/>
        </w:numPr>
        <w:tabs>
          <w:tab w:val="left" w:pos="709"/>
        </w:tabs>
        <w:spacing w:line="240" w:lineRule="auto"/>
        <w:rPr>
          <w:szCs w:val="22"/>
        </w:rPr>
      </w:pPr>
      <w:r w:rsidRPr="00183B5F">
        <w:rPr>
          <w:bCs/>
          <w:szCs w:val="22"/>
        </w:rPr>
        <w:t xml:space="preserve">közepesen súlyos </w:t>
      </w:r>
      <w:r w:rsidRPr="00183B5F">
        <w:rPr>
          <w:bCs/>
          <w:szCs w:val="22"/>
        </w:rPr>
        <w:noBreakHyphen/>
        <w:t xml:space="preserve"> súlyos Crohn</w:t>
      </w:r>
      <w:r w:rsidRPr="00183B5F">
        <w:rPr>
          <w:bCs/>
          <w:szCs w:val="22"/>
        </w:rPr>
        <w:noBreakHyphen/>
        <w:t xml:space="preserve">betegségben szenvedő </w:t>
      </w:r>
      <w:r w:rsidR="00937B49" w:rsidRPr="00183B5F">
        <w:rPr>
          <w:bCs/>
          <w:szCs w:val="22"/>
        </w:rPr>
        <w:t xml:space="preserve">6-17 éves korú </w:t>
      </w:r>
      <w:r w:rsidRPr="00183B5F">
        <w:rPr>
          <w:bCs/>
          <w:szCs w:val="22"/>
        </w:rPr>
        <w:t>gyermekek és se</w:t>
      </w:r>
      <w:r w:rsidR="0039225E" w:rsidRPr="00183B5F">
        <w:rPr>
          <w:bCs/>
          <w:szCs w:val="22"/>
        </w:rPr>
        <w:t>r</w:t>
      </w:r>
      <w:r w:rsidRPr="00183B5F">
        <w:rPr>
          <w:bCs/>
          <w:szCs w:val="22"/>
        </w:rPr>
        <w:t>dülők kezelésére</w:t>
      </w:r>
      <w:r w:rsidR="00937B49" w:rsidRPr="00183B5F">
        <w:rPr>
          <w:bCs/>
          <w:szCs w:val="22"/>
        </w:rPr>
        <w:t>.</w:t>
      </w:r>
    </w:p>
    <w:p w14:paraId="512A1A49" w14:textId="77777777" w:rsidR="002942B5" w:rsidRPr="00183B5F" w:rsidRDefault="002942B5" w:rsidP="004062FE">
      <w:pPr>
        <w:spacing w:line="240" w:lineRule="auto"/>
        <w:ind w:left="720"/>
        <w:rPr>
          <w:szCs w:val="22"/>
        </w:rPr>
      </w:pPr>
    </w:p>
    <w:p w14:paraId="573F4D11" w14:textId="77777777" w:rsidR="002942B5" w:rsidRPr="00183B5F" w:rsidRDefault="00943743" w:rsidP="004062FE">
      <w:pPr>
        <w:spacing w:line="240" w:lineRule="auto"/>
        <w:rPr>
          <w:szCs w:val="22"/>
        </w:rPr>
      </w:pPr>
      <w:r w:rsidRPr="00183B5F">
        <w:rPr>
          <w:szCs w:val="22"/>
        </w:rPr>
        <w:t>Ön először egyéb gyógyszereket kaphat. Ha ezekre a gyógyszerekre nem reagál megfelelően, akkor Humira</w:t>
      </w:r>
      <w:r w:rsidRPr="00183B5F">
        <w:rPr>
          <w:szCs w:val="22"/>
        </w:rPr>
        <w:noBreakHyphen/>
        <w:t>t fog kapni</w:t>
      </w:r>
      <w:r w:rsidR="00787790" w:rsidRPr="00183B5F">
        <w:rPr>
          <w:szCs w:val="22"/>
        </w:rPr>
        <w:t>.</w:t>
      </w:r>
      <w:r w:rsidRPr="00183B5F">
        <w:rPr>
          <w:szCs w:val="22"/>
        </w:rPr>
        <w:t xml:space="preserve"> </w:t>
      </w:r>
    </w:p>
    <w:p w14:paraId="327C6A41" w14:textId="77777777" w:rsidR="002942B5" w:rsidRPr="00183B5F" w:rsidRDefault="002942B5" w:rsidP="004062FE">
      <w:pPr>
        <w:spacing w:line="240" w:lineRule="auto"/>
        <w:ind w:right="-2"/>
        <w:rPr>
          <w:szCs w:val="22"/>
        </w:rPr>
      </w:pPr>
    </w:p>
    <w:p w14:paraId="6A051AB9" w14:textId="77777777" w:rsidR="002942B5" w:rsidRPr="00183B5F" w:rsidRDefault="00943743" w:rsidP="004062FE">
      <w:pPr>
        <w:keepNext/>
        <w:suppressAutoHyphens w:val="0"/>
        <w:autoSpaceDE w:val="0"/>
        <w:autoSpaceDN w:val="0"/>
        <w:adjustRightInd w:val="0"/>
        <w:spacing w:line="240" w:lineRule="auto"/>
        <w:rPr>
          <w:b/>
          <w:szCs w:val="22"/>
        </w:rPr>
      </w:pPr>
      <w:r w:rsidRPr="00183B5F">
        <w:rPr>
          <w:b/>
          <w:szCs w:val="22"/>
        </w:rPr>
        <w:t>Kolitisz ulceróza</w:t>
      </w:r>
    </w:p>
    <w:p w14:paraId="60DF269D" w14:textId="77777777" w:rsidR="002942B5" w:rsidRPr="00183B5F" w:rsidRDefault="002942B5" w:rsidP="004062FE">
      <w:pPr>
        <w:keepNext/>
        <w:suppressAutoHyphens w:val="0"/>
        <w:autoSpaceDE w:val="0"/>
        <w:autoSpaceDN w:val="0"/>
        <w:adjustRightInd w:val="0"/>
        <w:spacing w:line="240" w:lineRule="auto"/>
        <w:rPr>
          <w:szCs w:val="22"/>
          <w:u w:val="single"/>
        </w:rPr>
      </w:pPr>
    </w:p>
    <w:p w14:paraId="6BD93517" w14:textId="77777777" w:rsidR="002942B5" w:rsidRPr="00183B5F" w:rsidRDefault="00943743" w:rsidP="004062FE">
      <w:pPr>
        <w:keepNext/>
        <w:suppressAutoHyphens w:val="0"/>
        <w:autoSpaceDE w:val="0"/>
        <w:autoSpaceDN w:val="0"/>
        <w:adjustRightInd w:val="0"/>
        <w:spacing w:line="240" w:lineRule="auto"/>
        <w:rPr>
          <w:szCs w:val="22"/>
        </w:rPr>
      </w:pPr>
      <w:r w:rsidRPr="00183B5F">
        <w:rPr>
          <w:szCs w:val="22"/>
        </w:rPr>
        <w:t>A kolitisz ulceróza a vastagbél gyulladásos betegsége.</w:t>
      </w:r>
    </w:p>
    <w:p w14:paraId="06D6AE51" w14:textId="77777777" w:rsidR="002942B5" w:rsidRPr="00183B5F" w:rsidRDefault="002942B5" w:rsidP="004062FE">
      <w:pPr>
        <w:suppressAutoHyphens w:val="0"/>
        <w:autoSpaceDE w:val="0"/>
        <w:autoSpaceDN w:val="0"/>
        <w:adjustRightInd w:val="0"/>
        <w:spacing w:line="240" w:lineRule="auto"/>
        <w:rPr>
          <w:szCs w:val="22"/>
          <w:u w:val="single"/>
        </w:rPr>
      </w:pPr>
    </w:p>
    <w:p w14:paraId="74EA0FBF" w14:textId="77777777" w:rsidR="00CE7A10" w:rsidRPr="00183B5F" w:rsidRDefault="00943743" w:rsidP="00CE7A10">
      <w:pPr>
        <w:keepNext/>
        <w:suppressAutoHyphens w:val="0"/>
        <w:autoSpaceDE w:val="0"/>
        <w:autoSpaceDN w:val="0"/>
        <w:adjustRightInd w:val="0"/>
        <w:spacing w:line="240" w:lineRule="auto"/>
        <w:rPr>
          <w:bCs/>
          <w:szCs w:val="22"/>
        </w:rPr>
      </w:pPr>
      <w:r w:rsidRPr="00183B5F">
        <w:rPr>
          <w:bCs/>
          <w:szCs w:val="22"/>
        </w:rPr>
        <w:t>A Humira alkalmazható</w:t>
      </w:r>
    </w:p>
    <w:p w14:paraId="526B06AD" w14:textId="77777777" w:rsidR="00CE7A10" w:rsidRPr="00183B5F" w:rsidRDefault="00943743" w:rsidP="00CE7A10">
      <w:pPr>
        <w:pStyle w:val="ListParagraph"/>
        <w:keepNext/>
        <w:numPr>
          <w:ilvl w:val="0"/>
          <w:numId w:val="234"/>
        </w:numPr>
        <w:suppressAutoHyphens w:val="0"/>
        <w:autoSpaceDE w:val="0"/>
        <w:autoSpaceDN w:val="0"/>
        <w:adjustRightInd w:val="0"/>
        <w:spacing w:line="240" w:lineRule="auto"/>
        <w:rPr>
          <w:szCs w:val="22"/>
        </w:rPr>
      </w:pPr>
      <w:r w:rsidRPr="00183B5F">
        <w:rPr>
          <w:bCs/>
          <w:szCs w:val="22"/>
        </w:rPr>
        <w:t>közepesen súlyos</w:t>
      </w:r>
      <w:r w:rsidRPr="00183B5F">
        <w:rPr>
          <w:bCs/>
          <w:szCs w:val="22"/>
        </w:rPr>
        <w:noBreakHyphen/>
        <w:t>súlyos felnőttkori kolitisz ulceróza kezelésére</w:t>
      </w:r>
      <w:r w:rsidR="00A712C6" w:rsidRPr="00183B5F">
        <w:rPr>
          <w:bCs/>
          <w:szCs w:val="22"/>
        </w:rPr>
        <w:t xml:space="preserve"> és</w:t>
      </w:r>
    </w:p>
    <w:p w14:paraId="6EEBF116" w14:textId="77777777" w:rsidR="00CE7A10" w:rsidRPr="00183B5F" w:rsidRDefault="00943743" w:rsidP="00CE7A10">
      <w:pPr>
        <w:pStyle w:val="ListParagraph"/>
        <w:keepNext/>
        <w:numPr>
          <w:ilvl w:val="0"/>
          <w:numId w:val="234"/>
        </w:numPr>
        <w:suppressAutoHyphens w:val="0"/>
        <w:autoSpaceDE w:val="0"/>
        <w:autoSpaceDN w:val="0"/>
        <w:adjustRightInd w:val="0"/>
        <w:spacing w:line="240" w:lineRule="auto"/>
        <w:rPr>
          <w:bCs/>
          <w:szCs w:val="22"/>
        </w:rPr>
      </w:pPr>
      <w:bookmarkStart w:id="13987" w:name="_Hlk53391766"/>
      <w:r w:rsidRPr="00183B5F">
        <w:rPr>
          <w:bCs/>
        </w:rPr>
        <w:t>közepesen súlyos</w:t>
      </w:r>
      <w:r w:rsidRPr="00183B5F">
        <w:rPr>
          <w:bCs/>
        </w:rPr>
        <w:noBreakHyphen/>
        <w:t>súlyos kolitisz ulceróza kezelésére 6 és 17 éves kor közötti gyermekeknél és serdülőknél</w:t>
      </w:r>
      <w:bookmarkEnd w:id="13987"/>
      <w:r w:rsidRPr="00183B5F">
        <w:rPr>
          <w:bCs/>
          <w:szCs w:val="22"/>
        </w:rPr>
        <w:t>.</w:t>
      </w:r>
    </w:p>
    <w:p w14:paraId="6C8CDBD1" w14:textId="77777777" w:rsidR="00CE7A10" w:rsidRPr="00183B5F" w:rsidRDefault="00CE7A10" w:rsidP="00CE7A10">
      <w:pPr>
        <w:keepNext/>
        <w:suppressAutoHyphens w:val="0"/>
        <w:autoSpaceDE w:val="0"/>
        <w:autoSpaceDN w:val="0"/>
        <w:adjustRightInd w:val="0"/>
        <w:spacing w:line="240" w:lineRule="auto"/>
        <w:rPr>
          <w:bCs/>
          <w:szCs w:val="22"/>
        </w:rPr>
      </w:pPr>
    </w:p>
    <w:p w14:paraId="72D9C075" w14:textId="77777777" w:rsidR="002942B5" w:rsidRPr="00183B5F" w:rsidRDefault="00943743" w:rsidP="004062FE">
      <w:pPr>
        <w:spacing w:line="240" w:lineRule="auto"/>
        <w:ind w:right="-2"/>
        <w:rPr>
          <w:bCs/>
          <w:szCs w:val="22"/>
        </w:rPr>
      </w:pPr>
      <w:r w:rsidRPr="00183B5F">
        <w:rPr>
          <w:szCs w:val="22"/>
        </w:rPr>
        <w:t>Ön először egyéb gyógyszereket kaphat. Ha nem reagál kellőképpen ezekre a gyógyszerekre, akkor Humira</w:t>
      </w:r>
      <w:r w:rsidRPr="00183B5F">
        <w:rPr>
          <w:szCs w:val="22"/>
        </w:rPr>
        <w:noBreakHyphen/>
        <w:t>t fog kapni.</w:t>
      </w:r>
    </w:p>
    <w:p w14:paraId="26B9391F" w14:textId="77777777" w:rsidR="002942B5" w:rsidRPr="00183B5F" w:rsidRDefault="002942B5" w:rsidP="004062FE">
      <w:pPr>
        <w:suppressAutoHyphens w:val="0"/>
        <w:autoSpaceDE w:val="0"/>
        <w:autoSpaceDN w:val="0"/>
        <w:adjustRightInd w:val="0"/>
        <w:spacing w:line="240" w:lineRule="auto"/>
        <w:rPr>
          <w:szCs w:val="22"/>
        </w:rPr>
      </w:pPr>
    </w:p>
    <w:p w14:paraId="2AD13467" w14:textId="77777777" w:rsidR="002942B5" w:rsidRPr="00183B5F" w:rsidRDefault="00943743" w:rsidP="004062FE">
      <w:pPr>
        <w:keepNext/>
        <w:suppressAutoHyphens w:val="0"/>
        <w:autoSpaceDE w:val="0"/>
        <w:autoSpaceDN w:val="0"/>
        <w:adjustRightInd w:val="0"/>
        <w:spacing w:line="240" w:lineRule="auto"/>
        <w:rPr>
          <w:b/>
          <w:szCs w:val="22"/>
        </w:rPr>
      </w:pPr>
      <w:r w:rsidRPr="00183B5F">
        <w:rPr>
          <w:b/>
          <w:szCs w:val="22"/>
        </w:rPr>
        <w:t>Nem fertőzéses eredetű szemgyulladás (uveitisz)</w:t>
      </w:r>
    </w:p>
    <w:p w14:paraId="36D41A9A" w14:textId="77777777" w:rsidR="002942B5" w:rsidRPr="00183B5F" w:rsidRDefault="002942B5" w:rsidP="004062FE">
      <w:pPr>
        <w:keepNext/>
        <w:suppressAutoHyphens w:val="0"/>
        <w:autoSpaceDE w:val="0"/>
        <w:autoSpaceDN w:val="0"/>
        <w:adjustRightInd w:val="0"/>
        <w:spacing w:line="240" w:lineRule="auto"/>
        <w:rPr>
          <w:b/>
          <w:szCs w:val="22"/>
        </w:rPr>
      </w:pPr>
    </w:p>
    <w:p w14:paraId="020D4EDB" w14:textId="77777777" w:rsidR="002942B5" w:rsidRPr="00183B5F" w:rsidRDefault="00943743" w:rsidP="004062FE">
      <w:pPr>
        <w:keepNext/>
        <w:suppressAutoHyphens w:val="0"/>
        <w:autoSpaceDE w:val="0"/>
        <w:autoSpaceDN w:val="0"/>
        <w:adjustRightInd w:val="0"/>
        <w:spacing w:line="240" w:lineRule="auto"/>
        <w:rPr>
          <w:szCs w:val="22"/>
        </w:rPr>
      </w:pPr>
      <w:r w:rsidRPr="00183B5F">
        <w:rPr>
          <w:szCs w:val="22"/>
        </w:rPr>
        <w:t>A nem fertőzéses eredetű szemgyulladás egy gyulladásos betegség, mely a szem bizonyos részeit érinti.</w:t>
      </w:r>
    </w:p>
    <w:p w14:paraId="5396D0EB" w14:textId="77777777" w:rsidR="002942B5" w:rsidRPr="00183B5F" w:rsidRDefault="002942B5" w:rsidP="004062FE">
      <w:pPr>
        <w:suppressAutoHyphens w:val="0"/>
        <w:autoSpaceDE w:val="0"/>
        <w:autoSpaceDN w:val="0"/>
        <w:adjustRightInd w:val="0"/>
        <w:spacing w:line="240" w:lineRule="auto"/>
        <w:rPr>
          <w:szCs w:val="22"/>
        </w:rPr>
      </w:pPr>
    </w:p>
    <w:p w14:paraId="5BD9AB67" w14:textId="77777777" w:rsidR="00787790" w:rsidRPr="00183B5F" w:rsidRDefault="00943743" w:rsidP="004062FE">
      <w:pPr>
        <w:suppressAutoHyphens w:val="0"/>
        <w:autoSpaceDE w:val="0"/>
        <w:autoSpaceDN w:val="0"/>
        <w:adjustRightInd w:val="0"/>
        <w:spacing w:line="240" w:lineRule="auto"/>
        <w:rPr>
          <w:szCs w:val="22"/>
        </w:rPr>
      </w:pPr>
      <w:r w:rsidRPr="00183B5F">
        <w:rPr>
          <w:szCs w:val="22"/>
        </w:rPr>
        <w:t xml:space="preserve">A Humira alkalmazható </w:t>
      </w:r>
    </w:p>
    <w:p w14:paraId="48916BB4" w14:textId="77777777" w:rsidR="00787790" w:rsidRPr="00183B5F" w:rsidRDefault="00943743" w:rsidP="004062FE">
      <w:pPr>
        <w:pStyle w:val="ListParagraph"/>
        <w:numPr>
          <w:ilvl w:val="0"/>
          <w:numId w:val="140"/>
        </w:numPr>
        <w:suppressAutoHyphens w:val="0"/>
        <w:autoSpaceDE w:val="0"/>
        <w:autoSpaceDN w:val="0"/>
        <w:adjustRightInd w:val="0"/>
        <w:spacing w:line="240" w:lineRule="auto"/>
        <w:rPr>
          <w:szCs w:val="22"/>
        </w:rPr>
      </w:pPr>
      <w:r w:rsidRPr="00183B5F">
        <w:rPr>
          <w:szCs w:val="22"/>
        </w:rPr>
        <w:t>felnőttkori, nem fertőzéses eredetű szemgyulladás kezelésére, amikor a gyulladás a szemfeneket érinti</w:t>
      </w:r>
    </w:p>
    <w:p w14:paraId="0DDDB7B4" w14:textId="77777777" w:rsidR="00787790" w:rsidRPr="00183B5F" w:rsidRDefault="00943743" w:rsidP="004062FE">
      <w:pPr>
        <w:pStyle w:val="ListParagraph"/>
        <w:numPr>
          <w:ilvl w:val="0"/>
          <w:numId w:val="140"/>
        </w:numPr>
        <w:suppressAutoHyphens w:val="0"/>
        <w:autoSpaceDE w:val="0"/>
        <w:autoSpaceDN w:val="0"/>
        <w:adjustRightInd w:val="0"/>
        <w:spacing w:line="240" w:lineRule="auto"/>
        <w:rPr>
          <w:szCs w:val="22"/>
        </w:rPr>
      </w:pPr>
      <w:r w:rsidRPr="00183B5F">
        <w:rPr>
          <w:szCs w:val="22"/>
        </w:rPr>
        <w:t xml:space="preserve">2 évnél idősebb gyermekeknél a </w:t>
      </w:r>
      <w:r w:rsidR="005B638E" w:rsidRPr="00183B5F">
        <w:rPr>
          <w:szCs w:val="22"/>
        </w:rPr>
        <w:t xml:space="preserve">krónikus, </w:t>
      </w:r>
      <w:r w:rsidRPr="00183B5F">
        <w:rPr>
          <w:szCs w:val="22"/>
        </w:rPr>
        <w:t>nem fertőzéses eredetű szemgyulladás kezelésére, amikor a gyulladás a szem elülső részét érinti.</w:t>
      </w:r>
    </w:p>
    <w:p w14:paraId="0DDD29AB" w14:textId="77777777" w:rsidR="00787790" w:rsidRPr="00183B5F" w:rsidRDefault="00787790" w:rsidP="004062FE">
      <w:pPr>
        <w:suppressAutoHyphens w:val="0"/>
        <w:autoSpaceDE w:val="0"/>
        <w:autoSpaceDN w:val="0"/>
        <w:adjustRightInd w:val="0"/>
        <w:spacing w:line="240" w:lineRule="auto"/>
        <w:rPr>
          <w:szCs w:val="22"/>
        </w:rPr>
      </w:pPr>
    </w:p>
    <w:p w14:paraId="78943E37" w14:textId="77777777" w:rsidR="002942B5" w:rsidRPr="00183B5F" w:rsidRDefault="00943743" w:rsidP="004062FE">
      <w:pPr>
        <w:suppressAutoHyphens w:val="0"/>
        <w:autoSpaceDE w:val="0"/>
        <w:autoSpaceDN w:val="0"/>
        <w:adjustRightInd w:val="0"/>
        <w:spacing w:line="240" w:lineRule="auto"/>
        <w:rPr>
          <w:szCs w:val="22"/>
        </w:rPr>
      </w:pPr>
      <w:r w:rsidRPr="00183B5F">
        <w:rPr>
          <w:szCs w:val="22"/>
        </w:rPr>
        <w:t>A gyulladás látáscsökkenéshez és/vagy a szemben úszkáló homályok (fekete pontok vagy vékony csíkok, melyek a látótéren mozognak) jelenlétéhez vezet</w:t>
      </w:r>
      <w:r w:rsidR="00787790" w:rsidRPr="00183B5F">
        <w:rPr>
          <w:szCs w:val="22"/>
        </w:rPr>
        <w:t>het</w:t>
      </w:r>
      <w:r w:rsidRPr="00183B5F">
        <w:rPr>
          <w:szCs w:val="22"/>
        </w:rPr>
        <w:t>. A Humira ezt a gyulladást csökkenti.</w:t>
      </w:r>
      <w:r w:rsidR="00787790" w:rsidRPr="00183B5F">
        <w:rPr>
          <w:szCs w:val="22"/>
        </w:rPr>
        <w:t xml:space="preserve"> Ön először egyéb gyógyszereket kaphat. Ha ezekre a gyógyszerekre nem reagál megfelelően, akkor Humira</w:t>
      </w:r>
      <w:r w:rsidR="00787790" w:rsidRPr="00183B5F">
        <w:rPr>
          <w:szCs w:val="22"/>
        </w:rPr>
        <w:noBreakHyphen/>
        <w:t>t fog kapni.</w:t>
      </w:r>
    </w:p>
    <w:p w14:paraId="6A23AD8D" w14:textId="77777777" w:rsidR="002942B5" w:rsidRPr="00183B5F" w:rsidRDefault="002942B5" w:rsidP="004062FE">
      <w:pPr>
        <w:suppressAutoHyphens w:val="0"/>
        <w:autoSpaceDE w:val="0"/>
        <w:autoSpaceDN w:val="0"/>
        <w:adjustRightInd w:val="0"/>
        <w:spacing w:line="240" w:lineRule="auto"/>
        <w:rPr>
          <w:szCs w:val="22"/>
        </w:rPr>
      </w:pPr>
    </w:p>
    <w:p w14:paraId="75C5F7E0" w14:textId="77777777" w:rsidR="002942B5" w:rsidRPr="00183B5F" w:rsidRDefault="002942B5" w:rsidP="004062FE">
      <w:pPr>
        <w:tabs>
          <w:tab w:val="left" w:pos="1305"/>
        </w:tabs>
        <w:suppressAutoHyphens w:val="0"/>
        <w:autoSpaceDE w:val="0"/>
        <w:autoSpaceDN w:val="0"/>
        <w:adjustRightInd w:val="0"/>
        <w:spacing w:line="240" w:lineRule="auto"/>
        <w:rPr>
          <w:szCs w:val="22"/>
        </w:rPr>
      </w:pPr>
    </w:p>
    <w:p w14:paraId="46C33DAB" w14:textId="77777777" w:rsidR="002942B5" w:rsidRPr="00183B5F" w:rsidRDefault="00943743" w:rsidP="004062FE">
      <w:pPr>
        <w:keepNext/>
        <w:suppressAutoHyphens w:val="0"/>
        <w:autoSpaceDE w:val="0"/>
        <w:autoSpaceDN w:val="0"/>
        <w:adjustRightInd w:val="0"/>
        <w:spacing w:line="240" w:lineRule="auto"/>
        <w:rPr>
          <w:b/>
          <w:szCs w:val="22"/>
        </w:rPr>
      </w:pPr>
      <w:r w:rsidRPr="00183B5F">
        <w:rPr>
          <w:b/>
          <w:szCs w:val="22"/>
        </w:rPr>
        <w:t>2.</w:t>
      </w:r>
      <w:r w:rsidRPr="00183B5F">
        <w:rPr>
          <w:b/>
          <w:szCs w:val="22"/>
        </w:rPr>
        <w:tab/>
        <w:t>Tudnivalók a Humira alkalmazása előtt</w:t>
      </w:r>
    </w:p>
    <w:p w14:paraId="4B21952C" w14:textId="77777777" w:rsidR="002942B5" w:rsidRPr="00183B5F" w:rsidRDefault="002942B5" w:rsidP="004062FE">
      <w:pPr>
        <w:keepNext/>
        <w:spacing w:line="240" w:lineRule="auto"/>
        <w:rPr>
          <w:szCs w:val="22"/>
        </w:rPr>
      </w:pPr>
    </w:p>
    <w:p w14:paraId="6264A0D5" w14:textId="77777777" w:rsidR="002942B5" w:rsidRPr="00183B5F" w:rsidRDefault="00943743" w:rsidP="004062FE">
      <w:pPr>
        <w:keepNext/>
        <w:spacing w:line="240" w:lineRule="auto"/>
        <w:rPr>
          <w:b/>
          <w:szCs w:val="22"/>
        </w:rPr>
      </w:pPr>
      <w:r w:rsidRPr="00183B5F">
        <w:rPr>
          <w:b/>
          <w:szCs w:val="22"/>
        </w:rPr>
        <w:t xml:space="preserve">Ne alkalmazza a </w:t>
      </w:r>
      <w:r w:rsidRPr="00183B5F">
        <w:rPr>
          <w:b/>
          <w:bCs/>
          <w:szCs w:val="22"/>
        </w:rPr>
        <w:t>Humira</w:t>
      </w:r>
      <w:r w:rsidRPr="00183B5F">
        <w:rPr>
          <w:b/>
          <w:bCs/>
          <w:szCs w:val="22"/>
        </w:rPr>
        <w:noBreakHyphen/>
        <w:t>t</w:t>
      </w:r>
    </w:p>
    <w:p w14:paraId="497B0224" w14:textId="77777777" w:rsidR="002942B5" w:rsidRPr="00183B5F" w:rsidRDefault="002942B5" w:rsidP="004062FE">
      <w:pPr>
        <w:keepNext/>
        <w:spacing w:line="240" w:lineRule="auto"/>
        <w:rPr>
          <w:szCs w:val="22"/>
        </w:rPr>
      </w:pPr>
    </w:p>
    <w:p w14:paraId="0F0DF519" w14:textId="77777777" w:rsidR="002942B5" w:rsidRPr="00183B5F" w:rsidRDefault="00943743" w:rsidP="004062FE">
      <w:pPr>
        <w:keepNext/>
        <w:numPr>
          <w:ilvl w:val="0"/>
          <w:numId w:val="19"/>
        </w:numPr>
        <w:tabs>
          <w:tab w:val="clear" w:pos="720"/>
        </w:tabs>
        <w:spacing w:line="240" w:lineRule="auto"/>
        <w:ind w:left="567" w:hanging="567"/>
        <w:rPr>
          <w:szCs w:val="22"/>
        </w:rPr>
      </w:pPr>
      <w:r w:rsidRPr="00183B5F">
        <w:rPr>
          <w:szCs w:val="22"/>
        </w:rPr>
        <w:t xml:space="preserve">ha Ön allergiás (túlérzékeny) az adalimumabra vagy </w:t>
      </w:r>
      <w:r w:rsidRPr="00183B5F">
        <w:rPr>
          <w:noProof/>
          <w:szCs w:val="24"/>
        </w:rPr>
        <w:t xml:space="preserve">a gyógyszer (6. pontban felsorolt) </w:t>
      </w:r>
      <w:r w:rsidRPr="00183B5F">
        <w:rPr>
          <w:szCs w:val="24"/>
        </w:rPr>
        <w:t>egyéb összetevőjére.</w:t>
      </w:r>
    </w:p>
    <w:p w14:paraId="258087A4" w14:textId="77777777" w:rsidR="002942B5" w:rsidRPr="00183B5F" w:rsidRDefault="002942B5" w:rsidP="004062FE">
      <w:pPr>
        <w:spacing w:line="240" w:lineRule="auto"/>
        <w:rPr>
          <w:szCs w:val="22"/>
        </w:rPr>
      </w:pPr>
    </w:p>
    <w:p w14:paraId="4EE063F6" w14:textId="77777777" w:rsidR="002942B5" w:rsidRPr="00183B5F" w:rsidRDefault="00943743" w:rsidP="004062FE">
      <w:pPr>
        <w:numPr>
          <w:ilvl w:val="0"/>
          <w:numId w:val="19"/>
        </w:numPr>
        <w:tabs>
          <w:tab w:val="clear" w:pos="720"/>
        </w:tabs>
        <w:spacing w:line="240" w:lineRule="auto"/>
        <w:ind w:left="567" w:hanging="567"/>
        <w:rPr>
          <w:szCs w:val="22"/>
        </w:rPr>
      </w:pPr>
      <w:r w:rsidRPr="00183B5F">
        <w:rPr>
          <w:szCs w:val="22"/>
        </w:rPr>
        <w:t xml:space="preserve">ha Ön aktív tuberkulózisban vagy más súlyos fertőzésben szenved, (lásd „Figyelmeztetések és óvintézkedések”). Kezelőorvosával feltétlenül közölje, ha bármilyen fertőzésre utaló tünete van, mint pl. láz, sebek, fáradtságérzés, fogászati problémák. </w:t>
      </w:r>
    </w:p>
    <w:p w14:paraId="1167B5DA" w14:textId="77777777" w:rsidR="002942B5" w:rsidRPr="00183B5F" w:rsidRDefault="002942B5" w:rsidP="004062FE">
      <w:pPr>
        <w:spacing w:line="240" w:lineRule="auto"/>
        <w:rPr>
          <w:szCs w:val="22"/>
        </w:rPr>
      </w:pPr>
    </w:p>
    <w:p w14:paraId="52B82BBC" w14:textId="77777777" w:rsidR="002942B5" w:rsidRPr="00183B5F" w:rsidRDefault="00943743" w:rsidP="004062FE">
      <w:pPr>
        <w:numPr>
          <w:ilvl w:val="0"/>
          <w:numId w:val="105"/>
        </w:numPr>
        <w:suppressAutoHyphens w:val="0"/>
        <w:autoSpaceDE w:val="0"/>
        <w:autoSpaceDN w:val="0"/>
        <w:adjustRightInd w:val="0"/>
        <w:spacing w:line="240" w:lineRule="auto"/>
        <w:ind w:left="540" w:hanging="540"/>
        <w:rPr>
          <w:szCs w:val="22"/>
        </w:rPr>
      </w:pPr>
      <w:r w:rsidRPr="00183B5F">
        <w:rPr>
          <w:szCs w:val="22"/>
        </w:rPr>
        <w:t xml:space="preserve">ha Ön </w:t>
      </w:r>
      <w:r w:rsidR="007F37D3" w:rsidRPr="00183B5F">
        <w:rPr>
          <w:szCs w:val="22"/>
        </w:rPr>
        <w:t xml:space="preserve">közepesen súlyos </w:t>
      </w:r>
      <w:r w:rsidRPr="00183B5F">
        <w:rPr>
          <w:szCs w:val="22"/>
        </w:rPr>
        <w:t>vagy súlyos szívelégtelenségben szenved. Kezelőorvosával feltétlenül közölje, ha Ö</w:t>
      </w:r>
      <w:r w:rsidR="00EF71A4" w:rsidRPr="00183B5F">
        <w:rPr>
          <w:szCs w:val="22"/>
        </w:rPr>
        <w:t>nnek volt, vagy van súlyos szív</w:t>
      </w:r>
      <w:r w:rsidRPr="00183B5F">
        <w:rPr>
          <w:szCs w:val="22"/>
        </w:rPr>
        <w:t>problémája (lásd „Figyelmeztetések és óvintézkedések”).</w:t>
      </w:r>
    </w:p>
    <w:p w14:paraId="7E72A655" w14:textId="77777777" w:rsidR="002942B5" w:rsidRPr="00183B5F" w:rsidRDefault="002942B5" w:rsidP="004062FE">
      <w:pPr>
        <w:spacing w:line="240" w:lineRule="auto"/>
        <w:rPr>
          <w:szCs w:val="22"/>
        </w:rPr>
      </w:pPr>
    </w:p>
    <w:p w14:paraId="0F63FF52" w14:textId="77777777" w:rsidR="002942B5" w:rsidRPr="00183B5F" w:rsidRDefault="00943743" w:rsidP="004062FE">
      <w:pPr>
        <w:spacing w:line="240" w:lineRule="auto"/>
        <w:ind w:right="-2"/>
        <w:rPr>
          <w:b/>
          <w:noProof/>
          <w:szCs w:val="24"/>
        </w:rPr>
      </w:pPr>
      <w:r w:rsidRPr="00183B5F">
        <w:rPr>
          <w:b/>
          <w:noProof/>
          <w:szCs w:val="24"/>
        </w:rPr>
        <w:t>Figyelmeztetések és óvintézkedések</w:t>
      </w:r>
    </w:p>
    <w:p w14:paraId="0A46AAC2" w14:textId="77777777" w:rsidR="002942B5" w:rsidRPr="00183B5F" w:rsidRDefault="002942B5" w:rsidP="004062FE">
      <w:pPr>
        <w:spacing w:line="240" w:lineRule="auto"/>
        <w:ind w:right="-2"/>
        <w:rPr>
          <w:b/>
          <w:szCs w:val="22"/>
        </w:rPr>
      </w:pPr>
    </w:p>
    <w:p w14:paraId="54119045" w14:textId="77777777" w:rsidR="002942B5" w:rsidRPr="00183B5F" w:rsidRDefault="00943743" w:rsidP="004062FE">
      <w:pPr>
        <w:spacing w:line="240" w:lineRule="auto"/>
        <w:ind w:right="-2"/>
        <w:rPr>
          <w:noProof/>
          <w:szCs w:val="24"/>
        </w:rPr>
      </w:pPr>
      <w:r w:rsidRPr="00183B5F">
        <w:rPr>
          <w:noProof/>
          <w:szCs w:val="24"/>
        </w:rPr>
        <w:t>A Humira alkalmazása előtt beszéljen kezelőorvosával vagy gyógyszerészével.</w:t>
      </w:r>
    </w:p>
    <w:p w14:paraId="40D87EF5" w14:textId="77777777" w:rsidR="002942B5" w:rsidRPr="00183B5F" w:rsidRDefault="00943743" w:rsidP="004062FE">
      <w:pPr>
        <w:spacing w:line="240" w:lineRule="auto"/>
        <w:ind w:right="-2"/>
        <w:rPr>
          <w:b/>
          <w:szCs w:val="22"/>
        </w:rPr>
      </w:pPr>
      <w:r w:rsidRPr="00183B5F">
        <w:rPr>
          <w:b/>
          <w:szCs w:val="22"/>
        </w:rPr>
        <w:t xml:space="preserve"> </w:t>
      </w:r>
    </w:p>
    <w:p w14:paraId="4C8B5951" w14:textId="77777777" w:rsidR="002942B5" w:rsidRPr="00183B5F" w:rsidRDefault="00943743" w:rsidP="004062FE">
      <w:pPr>
        <w:keepNext/>
        <w:spacing w:line="240" w:lineRule="auto"/>
        <w:rPr>
          <w:szCs w:val="22"/>
          <w:u w:val="single"/>
        </w:rPr>
      </w:pPr>
      <w:r w:rsidRPr="00183B5F">
        <w:rPr>
          <w:szCs w:val="22"/>
          <w:u w:val="single"/>
        </w:rPr>
        <w:t>Allergiás reakciók</w:t>
      </w:r>
    </w:p>
    <w:p w14:paraId="18EE49E0" w14:textId="77777777" w:rsidR="002942B5" w:rsidRPr="00183B5F" w:rsidRDefault="002942B5" w:rsidP="004062FE">
      <w:pPr>
        <w:keepNext/>
        <w:spacing w:line="240" w:lineRule="auto"/>
        <w:rPr>
          <w:szCs w:val="22"/>
          <w:u w:val="single"/>
        </w:rPr>
      </w:pPr>
    </w:p>
    <w:p w14:paraId="0894DADD" w14:textId="77777777" w:rsidR="002942B5" w:rsidRPr="00183B5F" w:rsidRDefault="00943743" w:rsidP="004062FE">
      <w:pPr>
        <w:keepNext/>
        <w:numPr>
          <w:ilvl w:val="0"/>
          <w:numId w:val="105"/>
        </w:numPr>
        <w:spacing w:line="240" w:lineRule="auto"/>
        <w:ind w:left="567" w:hanging="567"/>
        <w:rPr>
          <w:szCs w:val="22"/>
        </w:rPr>
      </w:pPr>
      <w:r w:rsidRPr="00183B5F">
        <w:rPr>
          <w:szCs w:val="22"/>
        </w:rPr>
        <w:t>Ha olyan allergiás reakciókat észlel, mint mellkasi szorítás, sípoló légzés, szédülés, duzzanat vagy viszketés, ne használja tovább a Humira</w:t>
      </w:r>
      <w:r w:rsidRPr="00183B5F">
        <w:rPr>
          <w:szCs w:val="22"/>
        </w:rPr>
        <w:noBreakHyphen/>
        <w:t>t, és azonnal forduljon kezelőorvosához</w:t>
      </w:r>
      <w:r w:rsidR="00C1197A" w:rsidRPr="00183B5F">
        <w:rPr>
          <w:szCs w:val="22"/>
        </w:rPr>
        <w:t>, mivel ritka esetekben ezek a reakciók életveszélyesek lehetnek</w:t>
      </w:r>
      <w:r w:rsidRPr="00183B5F">
        <w:rPr>
          <w:szCs w:val="22"/>
        </w:rPr>
        <w:t>.</w:t>
      </w:r>
    </w:p>
    <w:p w14:paraId="519D0482" w14:textId="77777777" w:rsidR="002942B5" w:rsidRPr="00183B5F" w:rsidRDefault="002942B5" w:rsidP="004062FE">
      <w:pPr>
        <w:spacing w:line="240" w:lineRule="auto"/>
        <w:ind w:left="567" w:right="-2"/>
        <w:rPr>
          <w:szCs w:val="22"/>
          <w:u w:val="single"/>
        </w:rPr>
      </w:pPr>
    </w:p>
    <w:p w14:paraId="0FC2E039" w14:textId="77777777" w:rsidR="002942B5" w:rsidRPr="00183B5F" w:rsidRDefault="00943743" w:rsidP="004062FE">
      <w:pPr>
        <w:keepNext/>
        <w:spacing w:line="240" w:lineRule="auto"/>
        <w:ind w:left="567" w:hanging="567"/>
        <w:rPr>
          <w:szCs w:val="22"/>
          <w:u w:val="single"/>
        </w:rPr>
      </w:pPr>
      <w:r w:rsidRPr="00183B5F">
        <w:rPr>
          <w:szCs w:val="22"/>
          <w:u w:val="single"/>
        </w:rPr>
        <w:t>Fertőzések</w:t>
      </w:r>
    </w:p>
    <w:p w14:paraId="42209AE3" w14:textId="77777777" w:rsidR="002942B5" w:rsidRPr="00183B5F" w:rsidRDefault="002942B5" w:rsidP="004062FE">
      <w:pPr>
        <w:keepNext/>
        <w:spacing w:line="240" w:lineRule="auto"/>
        <w:ind w:left="567" w:hanging="567"/>
        <w:rPr>
          <w:szCs w:val="22"/>
          <w:u w:val="single"/>
        </w:rPr>
      </w:pPr>
    </w:p>
    <w:p w14:paraId="77E2C86F" w14:textId="77777777" w:rsidR="002942B5" w:rsidRPr="00183B5F" w:rsidRDefault="00943743" w:rsidP="004062FE">
      <w:pPr>
        <w:keepNext/>
        <w:numPr>
          <w:ilvl w:val="0"/>
          <w:numId w:val="105"/>
        </w:numPr>
        <w:spacing w:line="240" w:lineRule="auto"/>
        <w:ind w:left="540" w:hanging="540"/>
        <w:rPr>
          <w:szCs w:val="22"/>
        </w:rPr>
      </w:pPr>
      <w:r w:rsidRPr="00183B5F">
        <w:rPr>
          <w:szCs w:val="22"/>
        </w:rPr>
        <w:t>Ha fertőzésben szenved, ideértve a hosszantartó vagy a test egy részét érintő fertőzést (</w:t>
      </w:r>
      <w:r w:rsidR="00E05701" w:rsidRPr="00183B5F">
        <w:rPr>
          <w:bCs/>
          <w:szCs w:val="22"/>
        </w:rPr>
        <w:t>például</w:t>
      </w:r>
      <w:r w:rsidR="00E05701" w:rsidRPr="00183B5F">
        <w:rPr>
          <w:szCs w:val="22"/>
        </w:rPr>
        <w:t xml:space="preserve"> </w:t>
      </w:r>
      <w:r w:rsidRPr="00183B5F">
        <w:rPr>
          <w:szCs w:val="22"/>
        </w:rPr>
        <w:t>lábszárfekély), beszéljen kezelőorvosával a Humira alkalmazása előtt. Ha kétségei vannak, forduljon kezelőorvosához.</w:t>
      </w:r>
    </w:p>
    <w:p w14:paraId="52303F96" w14:textId="77777777" w:rsidR="002942B5" w:rsidRPr="00183B5F" w:rsidRDefault="002942B5" w:rsidP="004062FE">
      <w:pPr>
        <w:spacing w:line="240" w:lineRule="auto"/>
        <w:ind w:left="567" w:hanging="567"/>
        <w:rPr>
          <w:szCs w:val="22"/>
        </w:rPr>
      </w:pPr>
    </w:p>
    <w:p w14:paraId="200441AC" w14:textId="77777777" w:rsidR="002942B5" w:rsidRPr="00183B5F" w:rsidRDefault="00943743">
      <w:pPr>
        <w:pStyle w:val="EMEABullet2"/>
        <w:numPr>
          <w:ilvl w:val="0"/>
          <w:numId w:val="27"/>
        </w:numPr>
        <w:tabs>
          <w:tab w:val="clear" w:pos="720"/>
          <w:tab w:val="num" w:pos="567"/>
        </w:tabs>
        <w:ind w:left="567" w:hanging="567"/>
        <w:rPr>
          <w:szCs w:val="22"/>
          <w:lang w:val="hu-HU"/>
        </w:rPr>
      </w:pPr>
      <w:r w:rsidRPr="00183B5F">
        <w:rPr>
          <w:szCs w:val="22"/>
          <w:lang w:val="hu-HU"/>
        </w:rPr>
        <w:t>Humira</w:t>
      </w:r>
      <w:r w:rsidRPr="00183B5F">
        <w:rPr>
          <w:szCs w:val="22"/>
          <w:lang w:val="hu-HU"/>
        </w:rPr>
        <w:noBreakHyphen/>
        <w:t>kezelés során könnyebben kaphat fertőzéseket. Ennek veszélye nagyobb lehet, ha tüdőbetegsége van. Ezek a fertőzések súlyosak lehetnek és közéjük tartozik:</w:t>
      </w:r>
    </w:p>
    <w:p w14:paraId="5E5837B4" w14:textId="77777777" w:rsidR="002942B5" w:rsidRPr="00183B5F" w:rsidRDefault="00943743">
      <w:pPr>
        <w:pStyle w:val="EMEABullet2"/>
        <w:numPr>
          <w:ilvl w:val="0"/>
          <w:numId w:val="27"/>
        </w:numPr>
        <w:tabs>
          <w:tab w:val="clear" w:pos="567"/>
          <w:tab w:val="clear" w:pos="720"/>
        </w:tabs>
        <w:ind w:left="993" w:hanging="426"/>
        <w:rPr>
          <w:szCs w:val="22"/>
          <w:lang w:val="hu-HU"/>
        </w:rPr>
      </w:pPr>
      <w:r w:rsidRPr="00183B5F">
        <w:rPr>
          <w:szCs w:val="22"/>
          <w:lang w:val="hu-HU"/>
        </w:rPr>
        <w:t>tuberkulózis</w:t>
      </w:r>
    </w:p>
    <w:p w14:paraId="795DD485" w14:textId="77777777" w:rsidR="002942B5" w:rsidRPr="00183B5F" w:rsidRDefault="00943743">
      <w:pPr>
        <w:pStyle w:val="EMEABullet2"/>
        <w:numPr>
          <w:ilvl w:val="0"/>
          <w:numId w:val="27"/>
        </w:numPr>
        <w:tabs>
          <w:tab w:val="clear" w:pos="567"/>
          <w:tab w:val="clear" w:pos="720"/>
        </w:tabs>
        <w:ind w:left="993" w:hanging="426"/>
        <w:rPr>
          <w:szCs w:val="22"/>
          <w:lang w:val="hu-HU"/>
        </w:rPr>
      </w:pPr>
      <w:r w:rsidRPr="00183B5F">
        <w:rPr>
          <w:szCs w:val="22"/>
          <w:lang w:val="hu-HU"/>
        </w:rPr>
        <w:t>vírusok, gombák, élősködők vagy baktériumok okozta fertőzések</w:t>
      </w:r>
    </w:p>
    <w:p w14:paraId="1FAEF43F" w14:textId="77777777" w:rsidR="002942B5" w:rsidRPr="00183B5F" w:rsidRDefault="00943743">
      <w:pPr>
        <w:pStyle w:val="EMEABullet2"/>
        <w:numPr>
          <w:ilvl w:val="0"/>
          <w:numId w:val="27"/>
        </w:numPr>
        <w:tabs>
          <w:tab w:val="clear" w:pos="567"/>
          <w:tab w:val="clear" w:pos="720"/>
        </w:tabs>
        <w:ind w:left="993" w:hanging="426"/>
        <w:rPr>
          <w:szCs w:val="22"/>
          <w:lang w:val="hu-HU"/>
        </w:rPr>
      </w:pPr>
      <w:r w:rsidRPr="00183B5F">
        <w:rPr>
          <w:szCs w:val="22"/>
          <w:lang w:val="hu-HU"/>
        </w:rPr>
        <w:t>súlyos fertőzés (szepszis)</w:t>
      </w:r>
    </w:p>
    <w:p w14:paraId="15DCC72B" w14:textId="77777777" w:rsidR="002942B5" w:rsidRPr="00183B5F" w:rsidRDefault="002942B5">
      <w:pPr>
        <w:pStyle w:val="EMEABullet2"/>
        <w:numPr>
          <w:ilvl w:val="0"/>
          <w:numId w:val="0"/>
        </w:numPr>
        <w:tabs>
          <w:tab w:val="clear" w:pos="567"/>
        </w:tabs>
        <w:ind w:left="567"/>
        <w:rPr>
          <w:szCs w:val="22"/>
          <w:lang w:val="hu-HU"/>
        </w:rPr>
      </w:pPr>
    </w:p>
    <w:p w14:paraId="51D16B87" w14:textId="77777777" w:rsidR="002942B5" w:rsidRPr="00183B5F" w:rsidRDefault="00943743">
      <w:pPr>
        <w:pStyle w:val="EMEABullet2"/>
        <w:numPr>
          <w:ilvl w:val="0"/>
          <w:numId w:val="0"/>
        </w:numPr>
        <w:tabs>
          <w:tab w:val="clear" w:pos="567"/>
        </w:tabs>
        <w:ind w:left="567"/>
        <w:rPr>
          <w:szCs w:val="22"/>
          <w:lang w:val="hu-HU"/>
        </w:rPr>
      </w:pPr>
      <w:r w:rsidRPr="00183B5F">
        <w:rPr>
          <w:szCs w:val="22"/>
          <w:lang w:val="hu-HU"/>
        </w:rPr>
        <w:t>Ritkán ezek a fertőzések életveszélyesek lehetnek. Feltétlenül tájékoztassa kezelőorvosát, ha bármilyen fertőzésre utaló tünete van, mint láz, sebek, fáradtságérzés, fogászati problémák. Kezelőorvosa a Humira</w:t>
      </w:r>
      <w:r w:rsidRPr="00183B5F">
        <w:rPr>
          <w:szCs w:val="22"/>
          <w:lang w:val="hu-HU"/>
        </w:rPr>
        <w:noBreakHyphen/>
        <w:t>kezelés átmeneti felfüggesztését javasolhatja.</w:t>
      </w:r>
    </w:p>
    <w:p w14:paraId="6A16E8A4" w14:textId="77777777" w:rsidR="002942B5" w:rsidRPr="00183B5F" w:rsidRDefault="002942B5">
      <w:pPr>
        <w:pStyle w:val="EMEANormal"/>
        <w:rPr>
          <w:lang w:val="hu-HU"/>
        </w:rPr>
      </w:pPr>
    </w:p>
    <w:p w14:paraId="0BE7CA2D" w14:textId="77777777" w:rsidR="002942B5" w:rsidRPr="00183B5F" w:rsidRDefault="00943743">
      <w:pPr>
        <w:pStyle w:val="EMEABullet2"/>
        <w:numPr>
          <w:ilvl w:val="0"/>
          <w:numId w:val="64"/>
        </w:numPr>
        <w:rPr>
          <w:szCs w:val="22"/>
          <w:lang w:val="hu-HU"/>
        </w:rPr>
      </w:pPr>
      <w:r w:rsidRPr="00183B5F">
        <w:rPr>
          <w:szCs w:val="22"/>
          <w:lang w:val="hu-HU"/>
        </w:rPr>
        <w:t>Tájékoztassa kezelőorvosát, ha olyan területen él vagy olyan területre utazik, ahol nagyon gyakoriak a gombák okozta fertőzések (</w:t>
      </w:r>
      <w:r w:rsidR="00E05701" w:rsidRPr="00183B5F">
        <w:rPr>
          <w:bCs/>
          <w:szCs w:val="22"/>
          <w:lang w:val="hu-HU"/>
        </w:rPr>
        <w:t>például</w:t>
      </w:r>
      <w:r w:rsidR="00E05701" w:rsidRPr="00183B5F">
        <w:rPr>
          <w:szCs w:val="22"/>
          <w:lang w:val="hu-HU"/>
        </w:rPr>
        <w:t xml:space="preserve"> </w:t>
      </w:r>
      <w:r w:rsidRPr="00183B5F">
        <w:rPr>
          <w:szCs w:val="22"/>
          <w:lang w:val="hu-HU"/>
        </w:rPr>
        <w:t>a hisztoplazmózis, kokcidioidomikózis vagy a blasztomikózis).</w:t>
      </w:r>
    </w:p>
    <w:p w14:paraId="5643D7B8" w14:textId="77777777" w:rsidR="002942B5" w:rsidRPr="00183B5F" w:rsidRDefault="002942B5" w:rsidP="004062FE">
      <w:pPr>
        <w:spacing w:line="240" w:lineRule="auto"/>
        <w:rPr>
          <w:szCs w:val="22"/>
        </w:rPr>
      </w:pPr>
    </w:p>
    <w:p w14:paraId="03B7909A" w14:textId="77777777" w:rsidR="002942B5" w:rsidRPr="00183B5F" w:rsidRDefault="00943743" w:rsidP="004062FE">
      <w:pPr>
        <w:numPr>
          <w:ilvl w:val="0"/>
          <w:numId w:val="27"/>
        </w:numPr>
        <w:tabs>
          <w:tab w:val="clear" w:pos="720"/>
        </w:tabs>
        <w:spacing w:line="240" w:lineRule="auto"/>
        <w:ind w:left="567" w:hanging="567"/>
        <w:rPr>
          <w:szCs w:val="22"/>
        </w:rPr>
      </w:pPr>
      <w:r w:rsidRPr="00183B5F">
        <w:rPr>
          <w:szCs w:val="22"/>
        </w:rPr>
        <w:t>Tájékoztassa kezelőorvosát, ha visszatérő fertőzései, vagy egyéb olyan betegségei vannak, amelyek fokozzák a fertőzés lehetőségét.</w:t>
      </w:r>
    </w:p>
    <w:p w14:paraId="343326DB" w14:textId="77777777" w:rsidR="002942B5" w:rsidRPr="00183B5F" w:rsidRDefault="002942B5" w:rsidP="004062FE">
      <w:pPr>
        <w:spacing w:line="240" w:lineRule="auto"/>
        <w:rPr>
          <w:szCs w:val="22"/>
        </w:rPr>
      </w:pPr>
    </w:p>
    <w:p w14:paraId="29668144" w14:textId="77777777" w:rsidR="002942B5" w:rsidRPr="00183B5F" w:rsidRDefault="00943743" w:rsidP="004062FE">
      <w:pPr>
        <w:numPr>
          <w:ilvl w:val="0"/>
          <w:numId w:val="80"/>
        </w:numPr>
        <w:tabs>
          <w:tab w:val="clear" w:pos="720"/>
        </w:tabs>
        <w:spacing w:line="240" w:lineRule="auto"/>
        <w:ind w:left="567" w:hanging="567"/>
        <w:rPr>
          <w:szCs w:val="22"/>
        </w:rPr>
      </w:pPr>
      <w:r w:rsidRPr="00183B5F">
        <w:rPr>
          <w:szCs w:val="22"/>
        </w:rPr>
        <w:t>Ha Ön 65 évnél idősebb, a Humira</w:t>
      </w:r>
      <w:r w:rsidRPr="00183B5F">
        <w:rPr>
          <w:szCs w:val="22"/>
        </w:rPr>
        <w:noBreakHyphen/>
      </w:r>
      <w:r w:rsidRPr="00183B5F">
        <w:rPr>
          <w:szCs w:val="22"/>
        </w:rPr>
        <w:t>kezelés ideje alatt fogékonyabb lehet a fertőzésekre. A Humira-kezelés ideje alatt Önnek és kezelőorvosának különös figyelmet kell fordítania a fertőzések tüneteire. Feltétlenül tájékoztassa kezelőorvosát, ha fertőzésre utaló tünetei vannak, mint például láz, sebek, fáradtságérzés vagy fogászati problémák.</w:t>
      </w:r>
    </w:p>
    <w:p w14:paraId="5C79E225" w14:textId="77777777" w:rsidR="002942B5" w:rsidRPr="00183B5F" w:rsidRDefault="002942B5" w:rsidP="004062FE">
      <w:pPr>
        <w:spacing w:line="240" w:lineRule="auto"/>
        <w:rPr>
          <w:szCs w:val="22"/>
        </w:rPr>
      </w:pPr>
    </w:p>
    <w:p w14:paraId="4AE59A7B" w14:textId="77777777" w:rsidR="002942B5" w:rsidRPr="00183B5F" w:rsidRDefault="00943743" w:rsidP="004062FE">
      <w:pPr>
        <w:spacing w:line="240" w:lineRule="auto"/>
        <w:rPr>
          <w:szCs w:val="22"/>
          <w:u w:val="single"/>
        </w:rPr>
      </w:pPr>
      <w:r w:rsidRPr="00183B5F">
        <w:rPr>
          <w:szCs w:val="22"/>
          <w:u w:val="single"/>
        </w:rPr>
        <w:t>Tuberkulózis</w:t>
      </w:r>
    </w:p>
    <w:p w14:paraId="65642FE1" w14:textId="77777777" w:rsidR="002942B5" w:rsidRPr="00183B5F" w:rsidRDefault="002942B5" w:rsidP="004062FE">
      <w:pPr>
        <w:spacing w:line="240" w:lineRule="auto"/>
        <w:rPr>
          <w:szCs w:val="22"/>
        </w:rPr>
      </w:pPr>
    </w:p>
    <w:p w14:paraId="4F8DCAB7" w14:textId="77777777" w:rsidR="002942B5" w:rsidRPr="00183B5F" w:rsidRDefault="00943743" w:rsidP="004062FE">
      <w:pPr>
        <w:numPr>
          <w:ilvl w:val="0"/>
          <w:numId w:val="27"/>
        </w:numPr>
        <w:tabs>
          <w:tab w:val="clear" w:pos="720"/>
        </w:tabs>
        <w:spacing w:line="240" w:lineRule="auto"/>
        <w:ind w:left="567" w:hanging="567"/>
        <w:rPr>
          <w:szCs w:val="22"/>
        </w:rPr>
      </w:pPr>
      <w:r w:rsidRPr="00183B5F">
        <w:rPr>
          <w:szCs w:val="22"/>
        </w:rPr>
        <w:t xml:space="preserve">Feltétlenül tájékoztassa kezelőorvosát, ha bármikor </w:t>
      </w:r>
      <w:r w:rsidRPr="00183B5F">
        <w:rPr>
          <w:bCs/>
          <w:szCs w:val="22"/>
        </w:rPr>
        <w:t>tuberkulózis</w:t>
      </w:r>
      <w:r w:rsidRPr="00183B5F">
        <w:rPr>
          <w:szCs w:val="22"/>
        </w:rPr>
        <w:t xml:space="preserve">ban szenvedett vagy közeli kapcsolatban volt valakivel, akinek </w:t>
      </w:r>
      <w:r w:rsidRPr="00183B5F">
        <w:rPr>
          <w:bCs/>
          <w:szCs w:val="22"/>
        </w:rPr>
        <w:t>tuberkulózis</w:t>
      </w:r>
      <w:r w:rsidRPr="00183B5F">
        <w:rPr>
          <w:szCs w:val="22"/>
        </w:rPr>
        <w:t>a volt. Ha aktív tuberkulózisa van, ne alkalmazza a Humira</w:t>
      </w:r>
      <w:r w:rsidRPr="00183B5F">
        <w:rPr>
          <w:szCs w:val="22"/>
        </w:rPr>
        <w:noBreakHyphen/>
        <w:t>t!</w:t>
      </w:r>
    </w:p>
    <w:p w14:paraId="0DA6B19D" w14:textId="77777777" w:rsidR="002942B5" w:rsidRPr="00183B5F" w:rsidRDefault="002942B5" w:rsidP="004062FE">
      <w:pPr>
        <w:spacing w:line="240" w:lineRule="auto"/>
        <w:rPr>
          <w:szCs w:val="22"/>
        </w:rPr>
      </w:pPr>
    </w:p>
    <w:p w14:paraId="4EF8936D" w14:textId="77777777" w:rsidR="002942B5" w:rsidRPr="00183B5F" w:rsidRDefault="00943743" w:rsidP="004062FE">
      <w:pPr>
        <w:numPr>
          <w:ilvl w:val="0"/>
          <w:numId w:val="27"/>
        </w:numPr>
        <w:tabs>
          <w:tab w:val="clear" w:pos="720"/>
        </w:tabs>
        <w:spacing w:line="240" w:lineRule="auto"/>
        <w:ind w:left="993" w:hanging="426"/>
        <w:rPr>
          <w:szCs w:val="22"/>
        </w:rPr>
      </w:pPr>
      <w:r w:rsidRPr="00183B5F">
        <w:rPr>
          <w:szCs w:val="22"/>
        </w:rPr>
        <w:t>Humira</w:t>
      </w:r>
      <w:r w:rsidRPr="00183B5F">
        <w:rPr>
          <w:szCs w:val="22"/>
        </w:rPr>
        <w:noBreakHyphen/>
        <w:t xml:space="preserve">val kezelt betegeken </w:t>
      </w:r>
      <w:r w:rsidRPr="00183B5F">
        <w:rPr>
          <w:bCs/>
          <w:szCs w:val="22"/>
        </w:rPr>
        <w:t>tuberkulózis</w:t>
      </w:r>
      <w:r w:rsidRPr="00183B5F">
        <w:rPr>
          <w:szCs w:val="22"/>
        </w:rPr>
        <w:t xml:space="preserve"> kialakulását észlelték, így a Humira</w:t>
      </w:r>
      <w:r w:rsidRPr="00183B5F">
        <w:rPr>
          <w:szCs w:val="22"/>
        </w:rPr>
        <w:noBreakHyphen/>
        <w:t xml:space="preserve">kezelés megkezdése előtt kezelőorvosa megvizsgálja a </w:t>
      </w:r>
      <w:r w:rsidRPr="00183B5F">
        <w:rPr>
          <w:bCs/>
          <w:szCs w:val="22"/>
        </w:rPr>
        <w:t>tuberkulózis</w:t>
      </w:r>
      <w:r w:rsidRPr="00183B5F">
        <w:rPr>
          <w:szCs w:val="22"/>
        </w:rPr>
        <w:t xml:space="preserve">ra utaló jeleket és tüneteket. Részletes orvosi kórelőzmény felvételére és megfelelő szűrővizsgálatokra (mint </w:t>
      </w:r>
      <w:r w:rsidR="00E05701" w:rsidRPr="00183B5F">
        <w:rPr>
          <w:bCs/>
          <w:szCs w:val="22"/>
        </w:rPr>
        <w:t>például</w:t>
      </w:r>
      <w:r w:rsidR="00E05701" w:rsidRPr="00183B5F">
        <w:rPr>
          <w:szCs w:val="22"/>
        </w:rPr>
        <w:t xml:space="preserve"> </w:t>
      </w:r>
      <w:r w:rsidRPr="00183B5F">
        <w:rPr>
          <w:szCs w:val="22"/>
        </w:rPr>
        <w:t xml:space="preserve">mellkasröntgen vizsgálatra és tuberkulin teszt végzésére) kerül sor. A </w:t>
      </w:r>
      <w:r w:rsidR="0048779F" w:rsidRPr="00183B5F">
        <w:rPr>
          <w:b/>
          <w:szCs w:val="22"/>
        </w:rPr>
        <w:t>Betegemlékeztető</w:t>
      </w:r>
      <w:r w:rsidRPr="00183B5F">
        <w:rPr>
          <w:b/>
          <w:szCs w:val="22"/>
        </w:rPr>
        <w:t xml:space="preserve"> Kártyán</w:t>
      </w:r>
      <w:r w:rsidRPr="00183B5F">
        <w:rPr>
          <w:szCs w:val="22"/>
        </w:rPr>
        <w:t xml:space="preserve"> a vizsgálatok elvégzésének tényét és eredményét vezetni kell. </w:t>
      </w:r>
    </w:p>
    <w:p w14:paraId="313C89B3" w14:textId="77777777" w:rsidR="002942B5" w:rsidRPr="00183B5F" w:rsidRDefault="00943743" w:rsidP="004062FE">
      <w:pPr>
        <w:numPr>
          <w:ilvl w:val="0"/>
          <w:numId w:val="27"/>
        </w:numPr>
        <w:tabs>
          <w:tab w:val="clear" w:pos="720"/>
        </w:tabs>
        <w:spacing w:line="240" w:lineRule="auto"/>
        <w:ind w:left="993" w:hanging="426"/>
        <w:rPr>
          <w:szCs w:val="22"/>
        </w:rPr>
      </w:pPr>
      <w:r w:rsidRPr="00183B5F">
        <w:rPr>
          <w:szCs w:val="22"/>
        </w:rPr>
        <w:t xml:space="preserve">A tuberkulózis kialakulhat a kezelés során annak ellenére, hogy Ön tuberkulózis elleni megelőző terápiát kapott. </w:t>
      </w:r>
    </w:p>
    <w:p w14:paraId="7A7B6E57" w14:textId="77777777" w:rsidR="002942B5" w:rsidRPr="00183B5F" w:rsidRDefault="00943743" w:rsidP="004062FE">
      <w:pPr>
        <w:numPr>
          <w:ilvl w:val="0"/>
          <w:numId w:val="27"/>
        </w:numPr>
        <w:tabs>
          <w:tab w:val="clear" w:pos="720"/>
        </w:tabs>
        <w:spacing w:line="240" w:lineRule="auto"/>
        <w:ind w:left="993" w:hanging="426"/>
        <w:rPr>
          <w:szCs w:val="22"/>
        </w:rPr>
      </w:pPr>
      <w:r w:rsidRPr="00183B5F">
        <w:rPr>
          <w:szCs w:val="22"/>
        </w:rPr>
        <w:t xml:space="preserve">Ha a </w:t>
      </w:r>
      <w:r w:rsidRPr="00183B5F">
        <w:rPr>
          <w:bCs/>
          <w:szCs w:val="22"/>
        </w:rPr>
        <w:t>tuberkulózis</w:t>
      </w:r>
      <w:r w:rsidRPr="00183B5F">
        <w:rPr>
          <w:szCs w:val="22"/>
        </w:rPr>
        <w:t xml:space="preserve"> tünetei (</w:t>
      </w:r>
      <w:r w:rsidR="00E05701" w:rsidRPr="00183B5F">
        <w:rPr>
          <w:bCs/>
          <w:szCs w:val="22"/>
        </w:rPr>
        <w:t>például</w:t>
      </w:r>
      <w:r w:rsidR="00E05701" w:rsidRPr="00183B5F">
        <w:rPr>
          <w:szCs w:val="22"/>
        </w:rPr>
        <w:t xml:space="preserve"> </w:t>
      </w:r>
      <w:r w:rsidRPr="00183B5F">
        <w:rPr>
          <w:szCs w:val="22"/>
        </w:rPr>
        <w:t>hosszan tartó köhögés, testsúlycsökkenés, levertség, hőemelkedés), vagy más fertőzésre utaló tünetek jelentkeznek a kezelés alatt vagy a kezelést követően, azonnal tájékoztassa kezelőorvosát.</w:t>
      </w:r>
    </w:p>
    <w:p w14:paraId="6C450965" w14:textId="77777777" w:rsidR="002942B5" w:rsidRPr="00183B5F" w:rsidRDefault="002942B5" w:rsidP="004062FE">
      <w:pPr>
        <w:spacing w:line="240" w:lineRule="auto"/>
        <w:rPr>
          <w:szCs w:val="22"/>
        </w:rPr>
      </w:pPr>
    </w:p>
    <w:p w14:paraId="2F866965" w14:textId="77777777" w:rsidR="002942B5" w:rsidRPr="00183B5F" w:rsidRDefault="00943743" w:rsidP="004062FE">
      <w:pPr>
        <w:spacing w:line="240" w:lineRule="auto"/>
        <w:ind w:left="567" w:hanging="567"/>
        <w:rPr>
          <w:szCs w:val="22"/>
          <w:u w:val="single"/>
        </w:rPr>
      </w:pPr>
      <w:r w:rsidRPr="00183B5F">
        <w:rPr>
          <w:szCs w:val="22"/>
          <w:u w:val="single"/>
        </w:rPr>
        <w:t>Hepatitisz B</w:t>
      </w:r>
    </w:p>
    <w:p w14:paraId="52860B5A" w14:textId="77777777" w:rsidR="002942B5" w:rsidRPr="00183B5F" w:rsidRDefault="002942B5" w:rsidP="004062FE">
      <w:pPr>
        <w:spacing w:line="240" w:lineRule="auto"/>
        <w:rPr>
          <w:szCs w:val="22"/>
        </w:rPr>
      </w:pPr>
    </w:p>
    <w:p w14:paraId="7B6E565B" w14:textId="77777777" w:rsidR="002942B5" w:rsidRPr="00183B5F" w:rsidRDefault="00943743" w:rsidP="004062FE">
      <w:pPr>
        <w:numPr>
          <w:ilvl w:val="0"/>
          <w:numId w:val="20"/>
        </w:numPr>
        <w:tabs>
          <w:tab w:val="clear" w:pos="720"/>
        </w:tabs>
        <w:spacing w:line="240" w:lineRule="auto"/>
        <w:ind w:left="567" w:hanging="567"/>
        <w:rPr>
          <w:szCs w:val="22"/>
        </w:rPr>
      </w:pPr>
      <w:r w:rsidRPr="00183B5F">
        <w:rPr>
          <w:szCs w:val="22"/>
        </w:rPr>
        <w:t xml:space="preserve">Tájékoztassa kezelőorvosát, ha Ön hepatitisz B vírus (HBV) -hordozó, netán aktív </w:t>
      </w:r>
      <w:r w:rsidR="000A456B" w:rsidRPr="00183B5F">
        <w:rPr>
          <w:szCs w:val="22"/>
        </w:rPr>
        <w:t>HBV</w:t>
      </w:r>
      <w:r w:rsidR="000A456B" w:rsidRPr="00183B5F">
        <w:rPr>
          <w:szCs w:val="22"/>
        </w:rPr>
        <w:noBreakHyphen/>
        <w:t>fertőz</w:t>
      </w:r>
      <w:r w:rsidRPr="00183B5F">
        <w:rPr>
          <w:szCs w:val="22"/>
        </w:rPr>
        <w:t xml:space="preserve">ésben szenved, vagy feltételezi, hogy hepatitisz B fertőzés veszélye fenyegetheti. </w:t>
      </w:r>
    </w:p>
    <w:p w14:paraId="52F3D905" w14:textId="77777777" w:rsidR="002942B5" w:rsidRPr="00183B5F" w:rsidRDefault="00943743" w:rsidP="004062FE">
      <w:pPr>
        <w:numPr>
          <w:ilvl w:val="0"/>
          <w:numId w:val="20"/>
        </w:numPr>
        <w:tabs>
          <w:tab w:val="clear" w:pos="720"/>
        </w:tabs>
        <w:spacing w:line="240" w:lineRule="auto"/>
        <w:ind w:left="993" w:hanging="426"/>
        <w:rPr>
          <w:szCs w:val="22"/>
        </w:rPr>
      </w:pPr>
      <w:r w:rsidRPr="00183B5F">
        <w:rPr>
          <w:szCs w:val="22"/>
        </w:rPr>
        <w:t xml:space="preserve">Kezelőorvosának HBV-vizsgálatot kell végeznie Önnél. A HBV-t hordozó embereknél a Humira ismét aktiválhatja a vírust. </w:t>
      </w:r>
    </w:p>
    <w:p w14:paraId="6FD9674F" w14:textId="77777777" w:rsidR="002942B5" w:rsidRPr="00183B5F" w:rsidRDefault="00943743" w:rsidP="004062FE">
      <w:pPr>
        <w:numPr>
          <w:ilvl w:val="0"/>
          <w:numId w:val="20"/>
        </w:numPr>
        <w:tabs>
          <w:tab w:val="clear" w:pos="720"/>
        </w:tabs>
        <w:spacing w:line="240" w:lineRule="auto"/>
        <w:ind w:left="993" w:hanging="426"/>
        <w:rPr>
          <w:szCs w:val="22"/>
        </w:rPr>
      </w:pPr>
      <w:r w:rsidRPr="00183B5F">
        <w:rPr>
          <w:szCs w:val="22"/>
        </w:rPr>
        <w:t>Egyes ritka esetekben – különösen ha más, az immunrendszer működését gátló szereket is szed – a HBV ismételt aktiválódása életveszélyes lehet.</w:t>
      </w:r>
    </w:p>
    <w:p w14:paraId="025D4162" w14:textId="77777777" w:rsidR="002942B5" w:rsidRPr="00183B5F" w:rsidRDefault="002942B5" w:rsidP="004062FE">
      <w:pPr>
        <w:spacing w:line="240" w:lineRule="auto"/>
        <w:rPr>
          <w:szCs w:val="22"/>
        </w:rPr>
      </w:pPr>
    </w:p>
    <w:p w14:paraId="4EA1ED7F" w14:textId="77777777" w:rsidR="002942B5" w:rsidRPr="00183B5F" w:rsidRDefault="00943743" w:rsidP="004062FE">
      <w:pPr>
        <w:spacing w:line="240" w:lineRule="auto"/>
        <w:rPr>
          <w:szCs w:val="22"/>
          <w:u w:val="single"/>
        </w:rPr>
      </w:pPr>
      <w:r w:rsidRPr="00183B5F">
        <w:rPr>
          <w:szCs w:val="22"/>
          <w:u w:val="single"/>
        </w:rPr>
        <w:t xml:space="preserve">Sebészeti </w:t>
      </w:r>
      <w:r w:rsidR="004C45BD" w:rsidRPr="00183B5F">
        <w:rPr>
          <w:szCs w:val="22"/>
          <w:u w:val="single"/>
        </w:rPr>
        <w:t>vagy</w:t>
      </w:r>
      <w:r w:rsidR="00CE7A31" w:rsidRPr="00183B5F">
        <w:rPr>
          <w:szCs w:val="22"/>
          <w:u w:val="single"/>
        </w:rPr>
        <w:t xml:space="preserve"> fogászati </w:t>
      </w:r>
      <w:r w:rsidRPr="00183B5F">
        <w:rPr>
          <w:szCs w:val="22"/>
          <w:u w:val="single"/>
        </w:rPr>
        <w:t>beavatkozás</w:t>
      </w:r>
    </w:p>
    <w:p w14:paraId="3520F103" w14:textId="77777777" w:rsidR="002942B5" w:rsidRPr="00183B5F" w:rsidRDefault="002942B5" w:rsidP="004062FE">
      <w:pPr>
        <w:spacing w:line="240" w:lineRule="auto"/>
        <w:rPr>
          <w:szCs w:val="22"/>
        </w:rPr>
      </w:pPr>
    </w:p>
    <w:p w14:paraId="4BCAE2B2" w14:textId="77777777" w:rsidR="002942B5" w:rsidRPr="00183B5F" w:rsidRDefault="00943743" w:rsidP="004062FE">
      <w:pPr>
        <w:numPr>
          <w:ilvl w:val="0"/>
          <w:numId w:val="27"/>
        </w:numPr>
        <w:tabs>
          <w:tab w:val="clear" w:pos="720"/>
          <w:tab w:val="num" w:pos="600"/>
        </w:tabs>
        <w:spacing w:line="240" w:lineRule="auto"/>
        <w:ind w:left="567" w:hanging="567"/>
        <w:rPr>
          <w:szCs w:val="22"/>
        </w:rPr>
      </w:pPr>
      <w:r w:rsidRPr="00183B5F">
        <w:rPr>
          <w:szCs w:val="22"/>
          <w:lang w:eastAsia="en-US"/>
        </w:rPr>
        <w:t>Ha sebészeti vagy fogászati beavatkozás előtt áll</w:t>
      </w:r>
      <w:r w:rsidR="00F14C68" w:rsidRPr="00183B5F">
        <w:rPr>
          <w:szCs w:val="22"/>
          <w:lang w:eastAsia="en-US"/>
        </w:rPr>
        <w:t>,</w:t>
      </w:r>
      <w:r w:rsidRPr="00183B5F">
        <w:rPr>
          <w:szCs w:val="22"/>
          <w:lang w:eastAsia="en-US"/>
        </w:rPr>
        <w:t xml:space="preserve"> tájékoztassa kezelőorvosát, hogy Humira</w:t>
      </w:r>
      <w:r w:rsidRPr="00183B5F">
        <w:rPr>
          <w:szCs w:val="22"/>
          <w:lang w:eastAsia="en-US"/>
        </w:rPr>
        <w:noBreakHyphen/>
        <w:t>kezelésben részesül. Kezelő</w:t>
      </w:r>
      <w:r w:rsidRPr="00183B5F">
        <w:rPr>
          <w:szCs w:val="22"/>
        </w:rPr>
        <w:t>orvosa a kezelés átmeneti felfüggesztését javasolhatja.</w:t>
      </w:r>
    </w:p>
    <w:p w14:paraId="4167A200" w14:textId="77777777" w:rsidR="002942B5" w:rsidRPr="00183B5F" w:rsidRDefault="002942B5" w:rsidP="004062FE">
      <w:pPr>
        <w:pStyle w:val="EndnoteText"/>
        <w:tabs>
          <w:tab w:val="clear" w:pos="567"/>
          <w:tab w:val="left" w:pos="708"/>
        </w:tabs>
        <w:suppressAutoHyphens/>
        <w:rPr>
          <w:sz w:val="22"/>
          <w:szCs w:val="22"/>
          <w:lang w:val="hu-HU" w:eastAsia="hu-HU"/>
        </w:rPr>
      </w:pPr>
    </w:p>
    <w:p w14:paraId="3FBEC3F3" w14:textId="77777777" w:rsidR="002942B5" w:rsidRPr="00183B5F" w:rsidRDefault="00943743" w:rsidP="004062FE">
      <w:pPr>
        <w:spacing w:line="240" w:lineRule="auto"/>
        <w:rPr>
          <w:u w:val="single"/>
        </w:rPr>
      </w:pPr>
      <w:r w:rsidRPr="00183B5F">
        <w:rPr>
          <w:u w:val="single"/>
        </w:rPr>
        <w:t>Demielinizációval járó betegségek</w:t>
      </w:r>
    </w:p>
    <w:p w14:paraId="147014FA" w14:textId="77777777" w:rsidR="002942B5" w:rsidRPr="00183B5F" w:rsidRDefault="002942B5" w:rsidP="004062FE">
      <w:pPr>
        <w:spacing w:line="240" w:lineRule="auto"/>
      </w:pPr>
    </w:p>
    <w:p w14:paraId="2AE16A2D" w14:textId="77777777" w:rsidR="002942B5" w:rsidRPr="00183B5F" w:rsidRDefault="00943743" w:rsidP="004062FE">
      <w:pPr>
        <w:numPr>
          <w:ilvl w:val="0"/>
          <w:numId w:val="27"/>
        </w:numPr>
        <w:tabs>
          <w:tab w:val="clear" w:pos="720"/>
          <w:tab w:val="num" w:pos="600"/>
        </w:tabs>
        <w:spacing w:line="240" w:lineRule="auto"/>
        <w:ind w:left="567" w:hanging="567"/>
        <w:rPr>
          <w:szCs w:val="22"/>
        </w:rPr>
      </w:pPr>
      <w:r w:rsidRPr="00183B5F">
        <w:rPr>
          <w:szCs w:val="22"/>
        </w:rPr>
        <w:t>Ha demielinizációval (az idegrostok velőshüvelyét érintő betegség, mint például szklerózis multiplex) járó betegségben szenved, vagy ilyen típusú betegség alakul ki Önnél, kezelőorvosa dönti el, hogy kaphat-e Humira</w:t>
      </w:r>
      <w:r w:rsidRPr="00183B5F">
        <w:rPr>
          <w:szCs w:val="22"/>
        </w:rPr>
        <w:noBreakHyphen/>
        <w:t>kezelést, vagy folytatható</w:t>
      </w:r>
      <w:r w:rsidRPr="00183B5F">
        <w:rPr>
          <w:szCs w:val="22"/>
        </w:rPr>
        <w:noBreakHyphen/>
        <w:t>e az Ön esetében. Azonnal tájékoztassa kezelőorvosát, ha olyan tüneteket tapasztal, mint a megváltozott látás, kar</w:t>
      </w:r>
      <w:r w:rsidRPr="00183B5F">
        <w:rPr>
          <w:szCs w:val="22"/>
        </w:rPr>
        <w:noBreakHyphen/>
        <w:t xml:space="preserve"> vagy lábgyengeség, illetve zsibbadás vagy bizsergés a test bármelyik részén.</w:t>
      </w:r>
    </w:p>
    <w:p w14:paraId="24B31265" w14:textId="77777777" w:rsidR="002942B5" w:rsidRPr="00183B5F" w:rsidRDefault="002942B5" w:rsidP="004062FE">
      <w:pPr>
        <w:spacing w:line="240" w:lineRule="auto"/>
        <w:rPr>
          <w:szCs w:val="22"/>
        </w:rPr>
      </w:pPr>
    </w:p>
    <w:p w14:paraId="04D58290" w14:textId="77777777" w:rsidR="002942B5" w:rsidRPr="00183B5F" w:rsidRDefault="00943743" w:rsidP="004062FE">
      <w:pPr>
        <w:keepNext/>
        <w:spacing w:line="240" w:lineRule="auto"/>
        <w:rPr>
          <w:szCs w:val="22"/>
          <w:u w:val="single"/>
        </w:rPr>
      </w:pPr>
      <w:r w:rsidRPr="00183B5F">
        <w:rPr>
          <w:szCs w:val="22"/>
          <w:u w:val="single"/>
        </w:rPr>
        <w:t>Védőoltások</w:t>
      </w:r>
    </w:p>
    <w:p w14:paraId="0DFE87F0" w14:textId="77777777" w:rsidR="002942B5" w:rsidRPr="00183B5F" w:rsidRDefault="002942B5" w:rsidP="004062FE">
      <w:pPr>
        <w:keepNext/>
        <w:spacing w:line="240" w:lineRule="auto"/>
        <w:rPr>
          <w:szCs w:val="22"/>
        </w:rPr>
      </w:pPr>
    </w:p>
    <w:p w14:paraId="78B1A972" w14:textId="77777777" w:rsidR="002942B5" w:rsidRPr="00183B5F" w:rsidRDefault="00943743" w:rsidP="004062FE">
      <w:pPr>
        <w:keepNext/>
        <w:numPr>
          <w:ilvl w:val="0"/>
          <w:numId w:val="27"/>
        </w:numPr>
        <w:tabs>
          <w:tab w:val="clear" w:pos="720"/>
        </w:tabs>
        <w:spacing w:line="240" w:lineRule="auto"/>
        <w:ind w:left="567" w:hanging="567"/>
        <w:rPr>
          <w:szCs w:val="22"/>
        </w:rPr>
      </w:pPr>
      <w:r w:rsidRPr="00183B5F">
        <w:rPr>
          <w:szCs w:val="22"/>
        </w:rPr>
        <w:t xml:space="preserve">Humira alkalmazása során bizonyos védőoltások fertőzést okozhatnak, és ezért nem adhatóak. </w:t>
      </w:r>
    </w:p>
    <w:p w14:paraId="52BE8182" w14:textId="77777777" w:rsidR="002942B5" w:rsidRPr="00183B5F" w:rsidRDefault="002942B5" w:rsidP="004062FE">
      <w:pPr>
        <w:spacing w:line="240" w:lineRule="auto"/>
        <w:ind w:left="567"/>
        <w:rPr>
          <w:szCs w:val="22"/>
        </w:rPr>
      </w:pPr>
    </w:p>
    <w:p w14:paraId="717B453F" w14:textId="77777777" w:rsidR="002942B5" w:rsidRPr="00183B5F" w:rsidRDefault="00943743" w:rsidP="004062FE">
      <w:pPr>
        <w:numPr>
          <w:ilvl w:val="0"/>
          <w:numId w:val="27"/>
        </w:numPr>
        <w:tabs>
          <w:tab w:val="clear" w:pos="720"/>
        </w:tabs>
        <w:spacing w:line="240" w:lineRule="auto"/>
        <w:ind w:left="993" w:hanging="426"/>
        <w:rPr>
          <w:szCs w:val="22"/>
        </w:rPr>
      </w:pPr>
      <w:r w:rsidRPr="00183B5F">
        <w:rPr>
          <w:szCs w:val="22"/>
        </w:rPr>
        <w:t xml:space="preserve">Védőoltás adását megelőzően beszéljen kezelőorvosával. </w:t>
      </w:r>
    </w:p>
    <w:p w14:paraId="211C66BE" w14:textId="77777777" w:rsidR="00CE7A31" w:rsidRPr="00183B5F" w:rsidRDefault="00943743" w:rsidP="004062FE">
      <w:pPr>
        <w:numPr>
          <w:ilvl w:val="0"/>
          <w:numId w:val="27"/>
        </w:numPr>
        <w:tabs>
          <w:tab w:val="clear" w:pos="720"/>
        </w:tabs>
        <w:spacing w:line="240" w:lineRule="auto"/>
        <w:ind w:left="993" w:hanging="426"/>
        <w:rPr>
          <w:szCs w:val="22"/>
        </w:rPr>
      </w:pPr>
      <w:r w:rsidRPr="00183B5F">
        <w:rPr>
          <w:szCs w:val="22"/>
        </w:rPr>
        <w:t>Ajánlott, a gyermekek</w:t>
      </w:r>
      <w:r w:rsidR="00296043" w:rsidRPr="00183B5F">
        <w:rPr>
          <w:szCs w:val="22"/>
        </w:rPr>
        <w:t xml:space="preserve"> </w:t>
      </w:r>
      <w:r w:rsidRPr="00183B5F">
        <w:rPr>
          <w:szCs w:val="22"/>
        </w:rPr>
        <w:t>– ha lehetséges</w:t>
      </w:r>
      <w:r w:rsidRPr="00183B5F">
        <w:rPr>
          <w:szCs w:val="22"/>
        </w:rPr>
        <w:noBreakHyphen/>
      </w:r>
      <w:r w:rsidR="00F9482C" w:rsidRPr="00183B5F">
        <w:rPr>
          <w:szCs w:val="22"/>
        </w:rPr>
        <w:t xml:space="preserve">, </w:t>
      </w:r>
      <w:r w:rsidRPr="00183B5F">
        <w:rPr>
          <w:szCs w:val="22"/>
        </w:rPr>
        <w:t>a Humira</w:t>
      </w:r>
      <w:r w:rsidR="00C674B9" w:rsidRPr="00183B5F">
        <w:rPr>
          <w:szCs w:val="22"/>
        </w:rPr>
        <w:noBreakHyphen/>
      </w:r>
      <w:r w:rsidRPr="00183B5F">
        <w:rPr>
          <w:szCs w:val="22"/>
        </w:rPr>
        <w:t xml:space="preserve">kezelés megkezdése előtt minden, az életkoruknak megfelelően ütemezett védőoltást kapjanak meg. </w:t>
      </w:r>
    </w:p>
    <w:p w14:paraId="599E4D61" w14:textId="77777777" w:rsidR="002942B5" w:rsidRPr="00183B5F" w:rsidRDefault="00943743" w:rsidP="004062FE">
      <w:pPr>
        <w:numPr>
          <w:ilvl w:val="0"/>
          <w:numId w:val="27"/>
        </w:numPr>
        <w:tabs>
          <w:tab w:val="clear" w:pos="720"/>
        </w:tabs>
        <w:spacing w:line="240" w:lineRule="auto"/>
        <w:ind w:left="993" w:hanging="426"/>
        <w:rPr>
          <w:szCs w:val="22"/>
        </w:rPr>
      </w:pPr>
      <w:r w:rsidRPr="00183B5F">
        <w:rPr>
          <w:szCs w:val="22"/>
        </w:rPr>
        <w:t>Ha a terhessége alatt Humira-t kapott, a kisbabája a terhesség alatt kapott utolsó adag Humira</w:t>
      </w:r>
      <w:r w:rsidRPr="00183B5F">
        <w:rPr>
          <w:szCs w:val="22"/>
        </w:rPr>
        <w:noBreakHyphen/>
        <w:t>t követően legfeljebb 5 hónapig nagyobb eséllyel kaphat el valamilyen fertőzést. Fontos, hogy elmondja kisbabája kezelőorvosának vagy az őt kezelő egészségügyi személyzetnek, hogy a terhessége alatt Humira</w:t>
      </w:r>
      <w:r w:rsidRPr="00183B5F">
        <w:rPr>
          <w:szCs w:val="22"/>
        </w:rPr>
        <w:noBreakHyphen/>
        <w:t>t kapott, így ők el tudják dönteni, hogy kisbabájának mikor kell valamilyen védőoltást kapnia.</w:t>
      </w:r>
    </w:p>
    <w:p w14:paraId="290B7195" w14:textId="77777777" w:rsidR="002942B5" w:rsidRPr="00183B5F" w:rsidRDefault="002942B5" w:rsidP="004062FE">
      <w:pPr>
        <w:spacing w:line="240" w:lineRule="auto"/>
        <w:rPr>
          <w:szCs w:val="22"/>
        </w:rPr>
      </w:pPr>
    </w:p>
    <w:p w14:paraId="371137D2" w14:textId="77777777" w:rsidR="002942B5" w:rsidRPr="00183B5F" w:rsidRDefault="00943743" w:rsidP="004062FE">
      <w:pPr>
        <w:spacing w:line="240" w:lineRule="auto"/>
        <w:rPr>
          <w:szCs w:val="22"/>
          <w:u w:val="single"/>
        </w:rPr>
      </w:pPr>
      <w:r w:rsidRPr="00183B5F">
        <w:rPr>
          <w:szCs w:val="22"/>
          <w:u w:val="single"/>
        </w:rPr>
        <w:t>Szív</w:t>
      </w:r>
      <w:r w:rsidR="00CE7A31" w:rsidRPr="00183B5F">
        <w:rPr>
          <w:szCs w:val="22"/>
          <w:u w:val="single"/>
        </w:rPr>
        <w:t>elégtelenség</w:t>
      </w:r>
    </w:p>
    <w:p w14:paraId="2A975333" w14:textId="77777777" w:rsidR="00CE7A31" w:rsidRPr="00183B5F" w:rsidRDefault="00CE7A31" w:rsidP="004062FE">
      <w:pPr>
        <w:spacing w:line="240" w:lineRule="auto"/>
        <w:rPr>
          <w:szCs w:val="22"/>
          <w:u w:val="single"/>
        </w:rPr>
      </w:pPr>
    </w:p>
    <w:p w14:paraId="0A5F9230" w14:textId="77777777" w:rsidR="00CE7A31" w:rsidRPr="00183B5F" w:rsidRDefault="00943743" w:rsidP="004062FE">
      <w:pPr>
        <w:pStyle w:val="ListParagraph"/>
        <w:numPr>
          <w:ilvl w:val="0"/>
          <w:numId w:val="105"/>
        </w:numPr>
        <w:spacing w:line="240" w:lineRule="auto"/>
        <w:rPr>
          <w:szCs w:val="22"/>
          <w:u w:val="single"/>
        </w:rPr>
      </w:pPr>
      <w:r w:rsidRPr="00183B5F">
        <w:rPr>
          <w:szCs w:val="22"/>
        </w:rPr>
        <w:t xml:space="preserve">Ha </w:t>
      </w:r>
      <w:r w:rsidR="00FA26CE" w:rsidRPr="00183B5F">
        <w:rPr>
          <w:szCs w:val="22"/>
        </w:rPr>
        <w:t>Önnek</w:t>
      </w:r>
      <w:r w:rsidRPr="00183B5F">
        <w:rPr>
          <w:szCs w:val="22"/>
        </w:rPr>
        <w:t xml:space="preserve"> enyhe szívelégtelensége van és Humira</w:t>
      </w:r>
      <w:r w:rsidRPr="00183B5F">
        <w:rPr>
          <w:szCs w:val="22"/>
        </w:rPr>
        <w:noBreakHyphen/>
        <w:t xml:space="preserve">kezelést kap, </w:t>
      </w:r>
      <w:r w:rsidR="003909BC" w:rsidRPr="00183B5F">
        <w:rPr>
          <w:szCs w:val="22"/>
        </w:rPr>
        <w:t xml:space="preserve">a </w:t>
      </w:r>
      <w:r w:rsidRPr="00183B5F">
        <w:rPr>
          <w:bCs/>
          <w:szCs w:val="22"/>
        </w:rPr>
        <w:t>szívelégtelenség állapotát</w:t>
      </w:r>
      <w:r w:rsidRPr="00183B5F">
        <w:rPr>
          <w:szCs w:val="22"/>
        </w:rPr>
        <w:t xml:space="preserve"> orvosának szorosan követnie kell. Fontos, hogy közölje kezelőorvosával, ha súlyos szívbetegsége volt, vagy jelenleg is van. Ha új tünetek kialakulását vagy a szívelégtelenség tüneteinek rosszabbodását észleli (</w:t>
      </w:r>
      <w:r w:rsidR="00E05701" w:rsidRPr="00183B5F">
        <w:rPr>
          <w:bCs/>
          <w:szCs w:val="22"/>
        </w:rPr>
        <w:t>például</w:t>
      </w:r>
      <w:r w:rsidR="00E05701" w:rsidRPr="00183B5F">
        <w:rPr>
          <w:szCs w:val="22"/>
        </w:rPr>
        <w:t xml:space="preserve"> </w:t>
      </w:r>
      <w:r w:rsidRPr="00183B5F">
        <w:rPr>
          <w:szCs w:val="22"/>
        </w:rPr>
        <w:t>légszomj, vagy lábdagadás), azonnal közölje orvosával. A kezelőorvos el fogja dönteni, hogy kaphat-e Humira</w:t>
      </w:r>
      <w:r w:rsidRPr="00183B5F">
        <w:rPr>
          <w:szCs w:val="22"/>
        </w:rPr>
        <w:noBreakHyphen/>
        <w:t>t.</w:t>
      </w:r>
    </w:p>
    <w:p w14:paraId="0F77F9EE" w14:textId="77777777" w:rsidR="002942B5" w:rsidRPr="00183B5F" w:rsidRDefault="002942B5" w:rsidP="004062FE">
      <w:pPr>
        <w:spacing w:line="240" w:lineRule="auto"/>
        <w:rPr>
          <w:szCs w:val="22"/>
        </w:rPr>
      </w:pPr>
    </w:p>
    <w:p w14:paraId="08BBE5AC" w14:textId="77777777" w:rsidR="00CE7A31" w:rsidRPr="00183B5F" w:rsidRDefault="00943743" w:rsidP="004062FE">
      <w:pPr>
        <w:pStyle w:val="EMEANormal"/>
        <w:rPr>
          <w:u w:val="single"/>
          <w:lang w:val="hu-HU"/>
        </w:rPr>
      </w:pPr>
      <w:r w:rsidRPr="00183B5F">
        <w:rPr>
          <w:u w:val="single"/>
          <w:lang w:val="hu-HU"/>
        </w:rPr>
        <w:t>Láz, véraláfutás, vérzés vagy sápadtság</w:t>
      </w:r>
    </w:p>
    <w:p w14:paraId="2B66B288" w14:textId="77777777" w:rsidR="00CE7A31" w:rsidRPr="00183B5F" w:rsidRDefault="00CE7A31" w:rsidP="004062FE">
      <w:pPr>
        <w:pStyle w:val="EMEANormal"/>
        <w:rPr>
          <w:u w:val="single"/>
          <w:lang w:val="hu-HU"/>
        </w:rPr>
      </w:pPr>
    </w:p>
    <w:p w14:paraId="1DDBC3FB" w14:textId="77777777" w:rsidR="002942B5" w:rsidRPr="00183B5F" w:rsidRDefault="00943743" w:rsidP="004062FE">
      <w:pPr>
        <w:numPr>
          <w:ilvl w:val="0"/>
          <w:numId w:val="20"/>
        </w:numPr>
        <w:tabs>
          <w:tab w:val="clear" w:pos="720"/>
        </w:tabs>
        <w:spacing w:line="240" w:lineRule="auto"/>
        <w:ind w:left="567" w:hanging="567"/>
        <w:rPr>
          <w:szCs w:val="22"/>
        </w:rPr>
      </w:pPr>
      <w:r w:rsidRPr="00183B5F">
        <w:rPr>
          <w:szCs w:val="22"/>
        </w:rPr>
        <w:t>Egyes betegek esetében a szervezet nem termel elég olyan vérsejtet, melyek leküzdenék a fertőzést, vagy segítenének megállítani a vérzést</w:t>
      </w:r>
      <w:r w:rsidR="00CE7A31" w:rsidRPr="00183B5F">
        <w:rPr>
          <w:szCs w:val="22"/>
        </w:rPr>
        <w:t xml:space="preserve">. Kezelőorvosa eldönti, hogy folytassák-e a kezelést. </w:t>
      </w:r>
      <w:r w:rsidRPr="00183B5F">
        <w:rPr>
          <w:szCs w:val="22"/>
        </w:rPr>
        <w:t>Ha nem múló láza van, vagy könnyen alakul ki véraláfutása vagy vérzik, vagy nagyon sápadtnak látszik, azonnal értesítse kezelőorvosát.</w:t>
      </w:r>
    </w:p>
    <w:p w14:paraId="12FA2CFB" w14:textId="77777777" w:rsidR="002942B5" w:rsidRPr="00183B5F" w:rsidRDefault="002942B5" w:rsidP="004062FE">
      <w:pPr>
        <w:spacing w:line="240" w:lineRule="auto"/>
        <w:rPr>
          <w:szCs w:val="22"/>
        </w:rPr>
      </w:pPr>
    </w:p>
    <w:p w14:paraId="229C66E3" w14:textId="77777777" w:rsidR="002942B5" w:rsidRPr="00183B5F" w:rsidRDefault="00943743" w:rsidP="004062FE">
      <w:pPr>
        <w:spacing w:line="240" w:lineRule="auto"/>
        <w:rPr>
          <w:szCs w:val="22"/>
          <w:u w:val="single"/>
        </w:rPr>
      </w:pPr>
      <w:r w:rsidRPr="00183B5F">
        <w:rPr>
          <w:szCs w:val="22"/>
          <w:u w:val="single"/>
        </w:rPr>
        <w:t>Daganatos betegség</w:t>
      </w:r>
    </w:p>
    <w:p w14:paraId="6523D3CD" w14:textId="77777777" w:rsidR="002942B5" w:rsidRPr="00183B5F" w:rsidRDefault="002942B5" w:rsidP="004062FE">
      <w:pPr>
        <w:spacing w:line="240" w:lineRule="auto"/>
        <w:rPr>
          <w:szCs w:val="22"/>
        </w:rPr>
      </w:pPr>
    </w:p>
    <w:p w14:paraId="2A81484D" w14:textId="77777777" w:rsidR="002942B5" w:rsidRPr="00183B5F" w:rsidRDefault="00943743" w:rsidP="004062FE">
      <w:pPr>
        <w:numPr>
          <w:ilvl w:val="0"/>
          <w:numId w:val="20"/>
        </w:numPr>
        <w:tabs>
          <w:tab w:val="clear" w:pos="720"/>
        </w:tabs>
        <w:spacing w:line="240" w:lineRule="auto"/>
        <w:ind w:left="567" w:hanging="567"/>
        <w:rPr>
          <w:szCs w:val="22"/>
        </w:rPr>
      </w:pPr>
      <w:r w:rsidRPr="00183B5F">
        <w:rPr>
          <w:szCs w:val="22"/>
        </w:rPr>
        <w:t>Nagyon ritkán előfordul, hogy a Humira</w:t>
      </w:r>
      <w:r w:rsidRPr="00183B5F">
        <w:rPr>
          <w:szCs w:val="22"/>
        </w:rPr>
        <w:noBreakHyphen/>
        <w:t>t vagy más TNF</w:t>
      </w:r>
      <w:r w:rsidRPr="00183B5F">
        <w:rPr>
          <w:szCs w:val="22"/>
        </w:rPr>
        <w:noBreakHyphen/>
        <w:t xml:space="preserve">antagonista gyógyszert szedő betegeknél bizonyos daganatfajta jelentkezik. </w:t>
      </w:r>
    </w:p>
    <w:p w14:paraId="3CBF69DF" w14:textId="77777777" w:rsidR="002942B5" w:rsidRPr="00183B5F" w:rsidRDefault="002942B5" w:rsidP="004062FE">
      <w:pPr>
        <w:spacing w:line="240" w:lineRule="auto"/>
        <w:ind w:left="567"/>
        <w:rPr>
          <w:szCs w:val="22"/>
        </w:rPr>
      </w:pPr>
    </w:p>
    <w:p w14:paraId="164D56D2" w14:textId="77777777" w:rsidR="002942B5" w:rsidRPr="00183B5F" w:rsidRDefault="00943743" w:rsidP="004062FE">
      <w:pPr>
        <w:numPr>
          <w:ilvl w:val="0"/>
          <w:numId w:val="20"/>
        </w:numPr>
        <w:tabs>
          <w:tab w:val="clear" w:pos="720"/>
        </w:tabs>
        <w:spacing w:line="240" w:lineRule="auto"/>
        <w:ind w:left="993" w:hanging="426"/>
        <w:rPr>
          <w:szCs w:val="22"/>
        </w:rPr>
      </w:pPr>
      <w:r w:rsidRPr="00183B5F">
        <w:rPr>
          <w:szCs w:val="22"/>
        </w:rPr>
        <w:t>A hosszú ideje súlyos reumatoid artritiszben szenvedő betegeknek az átlagosnál nagyobb a kockázatuk, hogy limfóma (a nyirokrendszert érintő daganat) vagy leukémia (a csontvelőt, vérképzést érintő daganat) alakul ki.</w:t>
      </w:r>
    </w:p>
    <w:p w14:paraId="300882B8" w14:textId="77777777" w:rsidR="002942B5" w:rsidRPr="00183B5F" w:rsidRDefault="00943743" w:rsidP="004062FE">
      <w:pPr>
        <w:numPr>
          <w:ilvl w:val="0"/>
          <w:numId w:val="20"/>
        </w:numPr>
        <w:tabs>
          <w:tab w:val="clear" w:pos="720"/>
        </w:tabs>
        <w:spacing w:line="240" w:lineRule="auto"/>
        <w:ind w:left="993" w:hanging="426"/>
        <w:rPr>
          <w:szCs w:val="22"/>
        </w:rPr>
      </w:pPr>
      <w:r w:rsidRPr="00183B5F">
        <w:rPr>
          <w:szCs w:val="22"/>
        </w:rPr>
        <w:t>Amennyiben Humira</w:t>
      </w:r>
      <w:r w:rsidRPr="00183B5F">
        <w:rPr>
          <w:szCs w:val="22"/>
        </w:rPr>
        <w:noBreakHyphen/>
      </w:r>
      <w:r w:rsidRPr="00183B5F">
        <w:rPr>
          <w:szCs w:val="22"/>
        </w:rPr>
        <w:t>t kap, kockázata fokozódhat. Ritkán a nyirokdaganat (limfóma) egy nem gyakori és súlyos típusát észlelték Humira</w:t>
      </w:r>
      <w:r w:rsidRPr="00183B5F">
        <w:rPr>
          <w:szCs w:val="22"/>
        </w:rPr>
        <w:noBreakHyphen/>
        <w:t>val kezelt betegeknél. E betegek közül egyeseket egyidejűleg azatioprinnel, illetve 6</w:t>
      </w:r>
      <w:r w:rsidRPr="00183B5F">
        <w:rPr>
          <w:szCs w:val="22"/>
        </w:rPr>
        <w:noBreakHyphen/>
        <w:t>merkaptopurinnal is kezeltek.</w:t>
      </w:r>
    </w:p>
    <w:p w14:paraId="518B8ACF" w14:textId="77777777" w:rsidR="00937B49" w:rsidRPr="00183B5F" w:rsidRDefault="00943743" w:rsidP="004062FE">
      <w:pPr>
        <w:numPr>
          <w:ilvl w:val="0"/>
          <w:numId w:val="20"/>
        </w:numPr>
        <w:tabs>
          <w:tab w:val="clear" w:pos="720"/>
        </w:tabs>
        <w:spacing w:line="240" w:lineRule="auto"/>
        <w:ind w:left="993" w:hanging="426"/>
        <w:rPr>
          <w:szCs w:val="22"/>
        </w:rPr>
      </w:pPr>
      <w:r w:rsidRPr="00183B5F">
        <w:rPr>
          <w:szCs w:val="22"/>
        </w:rPr>
        <w:t>Tájékoztassa kezelőorvosát, ha a Humira-val egyidejűleg azatioprint vagy 6</w:t>
      </w:r>
      <w:r w:rsidRPr="00183B5F">
        <w:rPr>
          <w:szCs w:val="22"/>
        </w:rPr>
        <w:noBreakHyphen/>
        <w:t>merkaptopurint szed.</w:t>
      </w:r>
    </w:p>
    <w:p w14:paraId="7159095A" w14:textId="77777777" w:rsidR="002942B5" w:rsidRPr="00183B5F" w:rsidRDefault="00943743" w:rsidP="0036300F">
      <w:pPr>
        <w:numPr>
          <w:ilvl w:val="0"/>
          <w:numId w:val="20"/>
        </w:numPr>
        <w:tabs>
          <w:tab w:val="clear" w:pos="720"/>
        </w:tabs>
        <w:spacing w:line="240" w:lineRule="auto"/>
        <w:ind w:left="993" w:hanging="426"/>
        <w:rPr>
          <w:szCs w:val="22"/>
        </w:rPr>
      </w:pPr>
      <w:r w:rsidRPr="00183B5F">
        <w:rPr>
          <w:szCs w:val="22"/>
        </w:rPr>
        <w:t>E</w:t>
      </w:r>
      <w:r w:rsidR="00937B49" w:rsidRPr="00183B5F">
        <w:rPr>
          <w:szCs w:val="22"/>
        </w:rPr>
        <w:t xml:space="preserve">setenként </w:t>
      </w:r>
      <w:r w:rsidRPr="00183B5F">
        <w:rPr>
          <w:szCs w:val="22"/>
        </w:rPr>
        <w:t>nem melanomás bőrrák kialakulását észlelték Humira</w:t>
      </w:r>
      <w:r w:rsidRPr="00183B5F">
        <w:rPr>
          <w:szCs w:val="22"/>
        </w:rPr>
        <w:noBreakHyphen/>
        <w:t xml:space="preserve">val kezelt betegeken. </w:t>
      </w:r>
    </w:p>
    <w:p w14:paraId="7FC8BFF2" w14:textId="77777777" w:rsidR="002942B5" w:rsidRPr="00183B5F" w:rsidRDefault="00943743" w:rsidP="004062FE">
      <w:pPr>
        <w:numPr>
          <w:ilvl w:val="0"/>
          <w:numId w:val="20"/>
        </w:numPr>
        <w:tabs>
          <w:tab w:val="clear" w:pos="720"/>
        </w:tabs>
        <w:spacing w:line="240" w:lineRule="auto"/>
        <w:ind w:left="993" w:hanging="426"/>
        <w:rPr>
          <w:szCs w:val="22"/>
        </w:rPr>
      </w:pPr>
      <w:r w:rsidRPr="00183B5F">
        <w:rPr>
          <w:szCs w:val="22"/>
        </w:rPr>
        <w:t>Ha új bőrelváltozások jelennek meg a kezelés alatt, vagy a meglévők külleme megváltozik, tájékoztassa kezelőorvosát.</w:t>
      </w:r>
    </w:p>
    <w:p w14:paraId="5378A9AA" w14:textId="77777777" w:rsidR="002942B5" w:rsidRPr="00183B5F" w:rsidRDefault="002942B5" w:rsidP="004062FE">
      <w:pPr>
        <w:spacing w:line="240" w:lineRule="auto"/>
        <w:rPr>
          <w:szCs w:val="22"/>
        </w:rPr>
      </w:pPr>
    </w:p>
    <w:p w14:paraId="5711B73F" w14:textId="77777777" w:rsidR="002942B5" w:rsidRPr="00183B5F" w:rsidRDefault="00943743" w:rsidP="004062FE">
      <w:pPr>
        <w:numPr>
          <w:ilvl w:val="0"/>
          <w:numId w:val="20"/>
        </w:numPr>
        <w:tabs>
          <w:tab w:val="clear" w:pos="720"/>
        </w:tabs>
        <w:spacing w:line="240" w:lineRule="auto"/>
        <w:ind w:left="567" w:hanging="567"/>
        <w:rPr>
          <w:szCs w:val="22"/>
        </w:rPr>
      </w:pPr>
      <w:r w:rsidRPr="00183B5F">
        <w:rPr>
          <w:szCs w:val="22"/>
        </w:rPr>
        <w:t>Voltak esetek, amikor egy adott tüdőbetegségben (amelyet idült obstruktív tüdőbetegségnek (COPD-nek) neveznek) szenvedő, TNF</w:t>
      </w:r>
      <w:r w:rsidRPr="00183B5F">
        <w:rPr>
          <w:szCs w:val="22"/>
        </w:rPr>
        <w:noBreakHyphen/>
        <w:t>antagonistával kezelt betegeken (nem limfóma természetű) rákos daganatok kialakulását észlelték</w:t>
      </w:r>
      <w:r w:rsidR="0039225E" w:rsidRPr="00183B5F">
        <w:rPr>
          <w:szCs w:val="22"/>
        </w:rPr>
        <w:t>.</w:t>
      </w:r>
      <w:r w:rsidRPr="00183B5F">
        <w:rPr>
          <w:szCs w:val="22"/>
        </w:rPr>
        <w:t xml:space="preserve"> Ha Ön COPD</w:t>
      </w:r>
      <w:r w:rsidRPr="00183B5F">
        <w:rPr>
          <w:szCs w:val="22"/>
        </w:rPr>
        <w:noBreakHyphen/>
        <w:t>ben szenved vagy erős dohányos, kérje kezelőorvosa tanácsát, hogy vajon a TNF</w:t>
      </w:r>
      <w:r w:rsidRPr="00183B5F">
        <w:rPr>
          <w:szCs w:val="22"/>
        </w:rPr>
        <w:noBreakHyphen/>
        <w:t>antagonistával végzett kezelés megfelelő-e az Ön számára.</w:t>
      </w:r>
    </w:p>
    <w:p w14:paraId="5DAFD995" w14:textId="77777777" w:rsidR="00CE7A31" w:rsidRPr="00183B5F" w:rsidRDefault="00CE7A31" w:rsidP="004062FE">
      <w:pPr>
        <w:pStyle w:val="ListParagraph"/>
        <w:spacing w:line="240" w:lineRule="auto"/>
        <w:rPr>
          <w:szCs w:val="22"/>
        </w:rPr>
      </w:pPr>
    </w:p>
    <w:p w14:paraId="3E3AFFF9" w14:textId="77777777" w:rsidR="00CE7A31" w:rsidRPr="00183B5F" w:rsidRDefault="00943743" w:rsidP="004062FE">
      <w:pPr>
        <w:spacing w:line="240" w:lineRule="auto"/>
        <w:rPr>
          <w:szCs w:val="22"/>
          <w:u w:val="single"/>
        </w:rPr>
      </w:pPr>
      <w:r w:rsidRPr="00183B5F">
        <w:rPr>
          <w:szCs w:val="22"/>
          <w:u w:val="single"/>
        </w:rPr>
        <w:t>Autoimmun betegség</w:t>
      </w:r>
    </w:p>
    <w:p w14:paraId="787ABAEF" w14:textId="77777777" w:rsidR="00CE7A31" w:rsidRPr="00183B5F" w:rsidRDefault="00CE7A31" w:rsidP="004062FE">
      <w:pPr>
        <w:spacing w:line="240" w:lineRule="auto"/>
        <w:rPr>
          <w:szCs w:val="22"/>
          <w:u w:val="single"/>
        </w:rPr>
      </w:pPr>
    </w:p>
    <w:p w14:paraId="17626DF8" w14:textId="77777777" w:rsidR="00CE7A31" w:rsidRPr="00183B5F" w:rsidRDefault="00943743" w:rsidP="004062FE">
      <w:pPr>
        <w:pStyle w:val="ListParagraph"/>
        <w:numPr>
          <w:ilvl w:val="0"/>
          <w:numId w:val="148"/>
        </w:numPr>
        <w:spacing w:line="240" w:lineRule="auto"/>
        <w:contextualSpacing/>
        <w:rPr>
          <w:szCs w:val="22"/>
        </w:rPr>
      </w:pPr>
      <w:r w:rsidRPr="00183B5F">
        <w:rPr>
          <w:szCs w:val="22"/>
        </w:rPr>
        <w:t>Ritka esetekben a Humira lupusz-szerű szindrómát okoz</w:t>
      </w:r>
      <w:r w:rsidR="001147C9" w:rsidRPr="00183B5F">
        <w:rPr>
          <w:szCs w:val="22"/>
        </w:rPr>
        <w:t>hat</w:t>
      </w:r>
      <w:r w:rsidRPr="00183B5F">
        <w:rPr>
          <w:szCs w:val="22"/>
        </w:rPr>
        <w:t xml:space="preserve">. </w:t>
      </w:r>
      <w:r w:rsidR="001147C9" w:rsidRPr="00183B5F">
        <w:rPr>
          <w:szCs w:val="22"/>
        </w:rPr>
        <w:t>Keresse fel</w:t>
      </w:r>
      <w:r w:rsidRPr="00183B5F">
        <w:rPr>
          <w:szCs w:val="22"/>
        </w:rPr>
        <w:t xml:space="preserve"> kezelőorvosá</w:t>
      </w:r>
      <w:r w:rsidR="001147C9" w:rsidRPr="00183B5F">
        <w:rPr>
          <w:szCs w:val="22"/>
        </w:rPr>
        <w:t>t</w:t>
      </w:r>
      <w:r w:rsidRPr="00183B5F">
        <w:rPr>
          <w:szCs w:val="22"/>
        </w:rPr>
        <w:t xml:space="preserve">, ha olyan </w:t>
      </w:r>
      <w:r w:rsidR="0001217B" w:rsidRPr="00183B5F">
        <w:rPr>
          <w:szCs w:val="22"/>
        </w:rPr>
        <w:t>tüneteket észlel</w:t>
      </w:r>
      <w:r w:rsidRPr="00183B5F">
        <w:rPr>
          <w:szCs w:val="22"/>
        </w:rPr>
        <w:t xml:space="preserve">, mint a tartós, tisztázatlan eredetű </w:t>
      </w:r>
      <w:r w:rsidR="004C50B5" w:rsidRPr="00183B5F">
        <w:rPr>
          <w:szCs w:val="22"/>
        </w:rPr>
        <w:t>bőr</w:t>
      </w:r>
      <w:r w:rsidRPr="00183B5F">
        <w:rPr>
          <w:szCs w:val="22"/>
        </w:rPr>
        <w:t>kiütés, láz, ízületi fájdalom vagy fáradtság.</w:t>
      </w:r>
    </w:p>
    <w:p w14:paraId="36218269" w14:textId="77777777" w:rsidR="00CE7A31" w:rsidRPr="00183B5F" w:rsidRDefault="00CE7A31" w:rsidP="004062FE">
      <w:pPr>
        <w:spacing w:line="240" w:lineRule="auto"/>
        <w:rPr>
          <w:szCs w:val="22"/>
        </w:rPr>
      </w:pPr>
    </w:p>
    <w:p w14:paraId="3E94BC47" w14:textId="77777777" w:rsidR="002942B5" w:rsidRPr="00183B5F" w:rsidRDefault="002942B5" w:rsidP="004062FE">
      <w:pPr>
        <w:spacing w:line="240" w:lineRule="auto"/>
        <w:rPr>
          <w:szCs w:val="22"/>
        </w:rPr>
      </w:pPr>
    </w:p>
    <w:p w14:paraId="6B07CA3B" w14:textId="77777777" w:rsidR="002942B5" w:rsidRPr="00183B5F" w:rsidRDefault="00943743" w:rsidP="004062FE">
      <w:pPr>
        <w:keepNext/>
        <w:spacing w:line="240" w:lineRule="auto"/>
        <w:rPr>
          <w:b/>
          <w:szCs w:val="22"/>
        </w:rPr>
      </w:pPr>
      <w:r w:rsidRPr="00183B5F">
        <w:rPr>
          <w:b/>
          <w:noProof/>
          <w:szCs w:val="24"/>
        </w:rPr>
        <w:t>Gyermekek és serdülők</w:t>
      </w:r>
    </w:p>
    <w:p w14:paraId="24E61C7E" w14:textId="77777777" w:rsidR="002942B5" w:rsidRPr="00183B5F" w:rsidRDefault="002942B5" w:rsidP="004062FE">
      <w:pPr>
        <w:keepNext/>
        <w:spacing w:line="240" w:lineRule="auto"/>
        <w:rPr>
          <w:b/>
          <w:szCs w:val="22"/>
        </w:rPr>
      </w:pPr>
    </w:p>
    <w:p w14:paraId="2ADFC659" w14:textId="77777777" w:rsidR="002942B5" w:rsidRPr="00183B5F" w:rsidRDefault="00943743" w:rsidP="004062FE">
      <w:pPr>
        <w:keepNext/>
        <w:numPr>
          <w:ilvl w:val="0"/>
          <w:numId w:val="104"/>
        </w:numPr>
        <w:tabs>
          <w:tab w:val="clear" w:pos="720"/>
          <w:tab w:val="num" w:pos="630"/>
        </w:tabs>
        <w:spacing w:line="240" w:lineRule="auto"/>
        <w:ind w:left="630" w:hanging="630"/>
        <w:rPr>
          <w:szCs w:val="22"/>
        </w:rPr>
      </w:pPr>
      <w:r w:rsidRPr="00183B5F">
        <w:rPr>
          <w:szCs w:val="22"/>
        </w:rPr>
        <w:t>Védőoltások: ha lehetséges, a gyermeknek meg kell kapnia az összes esedékes védőoltást a Humira alkalmazásának megkezdése előtt.</w:t>
      </w:r>
    </w:p>
    <w:p w14:paraId="65C8FD20" w14:textId="77777777" w:rsidR="002942B5" w:rsidRPr="00183B5F" w:rsidRDefault="002942B5" w:rsidP="004062FE">
      <w:pPr>
        <w:spacing w:line="240" w:lineRule="auto"/>
        <w:rPr>
          <w:b/>
          <w:szCs w:val="22"/>
        </w:rPr>
      </w:pPr>
    </w:p>
    <w:p w14:paraId="6AA3A8B0" w14:textId="77777777" w:rsidR="002942B5" w:rsidRPr="00183B5F" w:rsidRDefault="00943743" w:rsidP="004062FE">
      <w:pPr>
        <w:keepNext/>
        <w:spacing w:line="240" w:lineRule="auto"/>
        <w:rPr>
          <w:b/>
          <w:noProof/>
          <w:szCs w:val="24"/>
        </w:rPr>
      </w:pPr>
      <w:r w:rsidRPr="00183B5F">
        <w:rPr>
          <w:b/>
          <w:noProof/>
          <w:szCs w:val="24"/>
        </w:rPr>
        <w:t>Egyéb</w:t>
      </w:r>
      <w:r w:rsidRPr="00183B5F">
        <w:rPr>
          <w:b/>
          <w:szCs w:val="24"/>
        </w:rPr>
        <w:t xml:space="preserve"> gyógyszerek</w:t>
      </w:r>
      <w:r w:rsidRPr="00183B5F">
        <w:rPr>
          <w:b/>
          <w:noProof/>
          <w:szCs w:val="24"/>
        </w:rPr>
        <w:t xml:space="preserve"> és a Humira</w:t>
      </w:r>
    </w:p>
    <w:p w14:paraId="238B4FA4" w14:textId="77777777" w:rsidR="002942B5" w:rsidRPr="00183B5F" w:rsidRDefault="002942B5" w:rsidP="004062FE">
      <w:pPr>
        <w:keepNext/>
        <w:spacing w:line="240" w:lineRule="auto"/>
        <w:rPr>
          <w:b/>
          <w:noProof/>
          <w:szCs w:val="24"/>
        </w:rPr>
      </w:pPr>
    </w:p>
    <w:p w14:paraId="327B090A" w14:textId="77777777" w:rsidR="002942B5" w:rsidRPr="00183B5F" w:rsidRDefault="00943743" w:rsidP="004062FE">
      <w:pPr>
        <w:keepNext/>
        <w:spacing w:line="240" w:lineRule="auto"/>
        <w:ind w:right="-2"/>
        <w:rPr>
          <w:noProof/>
          <w:szCs w:val="24"/>
        </w:rPr>
      </w:pPr>
      <w:r w:rsidRPr="00183B5F">
        <w:rPr>
          <w:szCs w:val="24"/>
        </w:rPr>
        <w:t xml:space="preserve">Feltétlenül tájékoztassa kezelőorvosát vagy gyógyszerészét jelenleg vagy nemrégiben </w:t>
      </w:r>
      <w:r w:rsidRPr="00183B5F">
        <w:rPr>
          <w:noProof/>
          <w:szCs w:val="24"/>
        </w:rPr>
        <w:t>szedett, valamint szedni tervezett</w:t>
      </w:r>
      <w:r w:rsidRPr="00183B5F">
        <w:rPr>
          <w:szCs w:val="24"/>
        </w:rPr>
        <w:t xml:space="preserve"> egyéb gyógyszereiről</w:t>
      </w:r>
      <w:r w:rsidRPr="00183B5F">
        <w:rPr>
          <w:noProof/>
          <w:szCs w:val="24"/>
        </w:rPr>
        <w:t>.</w:t>
      </w:r>
    </w:p>
    <w:p w14:paraId="3516A2E5" w14:textId="77777777" w:rsidR="002942B5" w:rsidRPr="00183B5F" w:rsidRDefault="002942B5" w:rsidP="004062FE">
      <w:pPr>
        <w:spacing w:line="240" w:lineRule="auto"/>
        <w:ind w:right="-2"/>
        <w:rPr>
          <w:b/>
          <w:szCs w:val="22"/>
        </w:rPr>
      </w:pPr>
    </w:p>
    <w:p w14:paraId="4073F200" w14:textId="77777777" w:rsidR="002942B5" w:rsidRPr="00183B5F" w:rsidRDefault="00943743" w:rsidP="004062FE">
      <w:pPr>
        <w:spacing w:line="240" w:lineRule="auto"/>
        <w:ind w:right="-2"/>
        <w:rPr>
          <w:szCs w:val="22"/>
        </w:rPr>
      </w:pPr>
      <w:r w:rsidRPr="00183B5F">
        <w:rPr>
          <w:szCs w:val="22"/>
        </w:rPr>
        <w:t>Nem alkalmazhatja a Humira</w:t>
      </w:r>
      <w:r w:rsidRPr="00183B5F">
        <w:rPr>
          <w:szCs w:val="22"/>
        </w:rPr>
        <w:noBreakHyphen/>
        <w:t>t, a következő hatóanyagokat tartalmazó gyógyszerekkel</w:t>
      </w:r>
      <w:r w:rsidR="00EF4D55" w:rsidRPr="00183B5F">
        <w:rPr>
          <w:szCs w:val="22"/>
        </w:rPr>
        <w:t xml:space="preserve"> a súlyos fertőzések fokozott kockázata miatt</w:t>
      </w:r>
      <w:r w:rsidRPr="00183B5F">
        <w:rPr>
          <w:szCs w:val="22"/>
        </w:rPr>
        <w:t>:</w:t>
      </w:r>
    </w:p>
    <w:p w14:paraId="3B17B66D" w14:textId="77777777" w:rsidR="002942B5" w:rsidRPr="00183B5F" w:rsidRDefault="00943743" w:rsidP="004062FE">
      <w:pPr>
        <w:numPr>
          <w:ilvl w:val="0"/>
          <w:numId w:val="105"/>
        </w:numPr>
        <w:spacing w:line="240" w:lineRule="auto"/>
        <w:ind w:left="993" w:right="-2" w:hanging="426"/>
        <w:rPr>
          <w:szCs w:val="22"/>
        </w:rPr>
      </w:pPr>
      <w:r w:rsidRPr="00183B5F">
        <w:rPr>
          <w:szCs w:val="22"/>
        </w:rPr>
        <w:t>anakinra</w:t>
      </w:r>
    </w:p>
    <w:p w14:paraId="17BE57EE" w14:textId="77777777" w:rsidR="002942B5" w:rsidRPr="00183B5F" w:rsidRDefault="00943743" w:rsidP="004062FE">
      <w:pPr>
        <w:numPr>
          <w:ilvl w:val="0"/>
          <w:numId w:val="105"/>
        </w:numPr>
        <w:spacing w:line="240" w:lineRule="auto"/>
        <w:ind w:left="993" w:right="-2" w:hanging="426"/>
        <w:rPr>
          <w:szCs w:val="22"/>
        </w:rPr>
      </w:pPr>
      <w:r w:rsidRPr="00183B5F">
        <w:rPr>
          <w:szCs w:val="22"/>
        </w:rPr>
        <w:t>abatacept.</w:t>
      </w:r>
    </w:p>
    <w:p w14:paraId="7C400140" w14:textId="77777777" w:rsidR="002942B5" w:rsidRPr="00183B5F" w:rsidRDefault="002942B5" w:rsidP="004062FE">
      <w:pPr>
        <w:spacing w:line="240" w:lineRule="auto"/>
        <w:ind w:right="-2"/>
        <w:rPr>
          <w:b/>
          <w:szCs w:val="22"/>
        </w:rPr>
      </w:pPr>
    </w:p>
    <w:p w14:paraId="3E7CF281" w14:textId="77777777" w:rsidR="002942B5" w:rsidRPr="00183B5F" w:rsidRDefault="00943743" w:rsidP="004062FE">
      <w:pPr>
        <w:keepNext/>
        <w:spacing w:line="240" w:lineRule="auto"/>
        <w:rPr>
          <w:szCs w:val="22"/>
        </w:rPr>
      </w:pPr>
      <w:r w:rsidRPr="00183B5F">
        <w:rPr>
          <w:szCs w:val="22"/>
        </w:rPr>
        <w:t>A Humira együtt alkalmazható:</w:t>
      </w:r>
    </w:p>
    <w:p w14:paraId="5A701B40" w14:textId="77777777" w:rsidR="002942B5" w:rsidRPr="00183B5F" w:rsidRDefault="00943743" w:rsidP="004062FE">
      <w:pPr>
        <w:numPr>
          <w:ilvl w:val="0"/>
          <w:numId w:val="130"/>
        </w:numPr>
        <w:spacing w:line="240" w:lineRule="auto"/>
        <w:ind w:left="993" w:right="-2" w:hanging="426"/>
        <w:rPr>
          <w:szCs w:val="22"/>
        </w:rPr>
      </w:pPr>
      <w:r w:rsidRPr="00183B5F">
        <w:rPr>
          <w:szCs w:val="22"/>
        </w:rPr>
        <w:t>metotrexáttal</w:t>
      </w:r>
    </w:p>
    <w:p w14:paraId="19D23EAB" w14:textId="77777777" w:rsidR="002942B5" w:rsidRPr="00183B5F" w:rsidRDefault="00943743" w:rsidP="004062FE">
      <w:pPr>
        <w:numPr>
          <w:ilvl w:val="0"/>
          <w:numId w:val="118"/>
        </w:numPr>
        <w:spacing w:line="240" w:lineRule="auto"/>
        <w:ind w:left="993" w:right="-2" w:hanging="426"/>
        <w:rPr>
          <w:szCs w:val="22"/>
        </w:rPr>
      </w:pPr>
      <w:r w:rsidRPr="00183B5F">
        <w:rPr>
          <w:szCs w:val="22"/>
        </w:rPr>
        <w:t>egyéb, a betegséget befolyásoló reumaellenes szerrel (szulfaszalazin, hidroxiklorokin, leflunomid és arany injekció)</w:t>
      </w:r>
    </w:p>
    <w:p w14:paraId="31BAE67C" w14:textId="77777777" w:rsidR="002942B5" w:rsidRPr="00183B5F" w:rsidRDefault="00943743" w:rsidP="004062FE">
      <w:pPr>
        <w:numPr>
          <w:ilvl w:val="0"/>
          <w:numId w:val="118"/>
        </w:numPr>
        <w:spacing w:line="240" w:lineRule="auto"/>
        <w:ind w:left="993" w:right="-2" w:hanging="426"/>
        <w:rPr>
          <w:szCs w:val="22"/>
        </w:rPr>
      </w:pPr>
      <w:r w:rsidRPr="00183B5F">
        <w:rPr>
          <w:szCs w:val="22"/>
        </w:rPr>
        <w:t xml:space="preserve">szteroidokkal vagy fájdalomcsillapító készítményekkel, beleértve a nem szteroid </w:t>
      </w:r>
      <w:r w:rsidR="008511AE" w:rsidRPr="00183B5F">
        <w:rPr>
          <w:szCs w:val="22"/>
        </w:rPr>
        <w:t>gyulladásgátlóka</w:t>
      </w:r>
      <w:r w:rsidRPr="00183B5F">
        <w:rPr>
          <w:szCs w:val="22"/>
        </w:rPr>
        <w:t>t (NSAID-ket).</w:t>
      </w:r>
    </w:p>
    <w:p w14:paraId="6A28FE02" w14:textId="77777777" w:rsidR="002942B5" w:rsidRPr="00183B5F" w:rsidRDefault="002942B5" w:rsidP="004062FE">
      <w:pPr>
        <w:spacing w:line="240" w:lineRule="auto"/>
        <w:ind w:right="-2"/>
        <w:rPr>
          <w:szCs w:val="22"/>
        </w:rPr>
      </w:pPr>
    </w:p>
    <w:p w14:paraId="41A58032" w14:textId="77777777" w:rsidR="002942B5" w:rsidRPr="00183B5F" w:rsidRDefault="00943743" w:rsidP="004062FE">
      <w:pPr>
        <w:spacing w:line="240" w:lineRule="auto"/>
        <w:ind w:right="-2"/>
        <w:rPr>
          <w:szCs w:val="22"/>
        </w:rPr>
      </w:pPr>
      <w:r w:rsidRPr="00183B5F">
        <w:rPr>
          <w:szCs w:val="22"/>
        </w:rPr>
        <w:t>Ha kérdése van, kérdezze meg kezelőorvosát.</w:t>
      </w:r>
    </w:p>
    <w:p w14:paraId="0533E678" w14:textId="77777777" w:rsidR="002942B5" w:rsidRPr="00183B5F" w:rsidRDefault="002942B5" w:rsidP="004062FE">
      <w:pPr>
        <w:spacing w:line="240" w:lineRule="auto"/>
        <w:rPr>
          <w:szCs w:val="22"/>
        </w:rPr>
      </w:pPr>
    </w:p>
    <w:p w14:paraId="331D3714" w14:textId="77777777" w:rsidR="007A75D8" w:rsidRPr="00183B5F" w:rsidRDefault="00943743" w:rsidP="007A75D8">
      <w:pPr>
        <w:spacing w:line="240" w:lineRule="auto"/>
        <w:ind w:left="567" w:right="-2" w:hanging="567"/>
        <w:rPr>
          <w:b/>
          <w:szCs w:val="22"/>
        </w:rPr>
      </w:pPr>
      <w:r w:rsidRPr="00183B5F">
        <w:rPr>
          <w:b/>
          <w:szCs w:val="22"/>
        </w:rPr>
        <w:t>Terhesség és szoptatás</w:t>
      </w:r>
    </w:p>
    <w:p w14:paraId="02D6B790" w14:textId="77777777" w:rsidR="007A75D8" w:rsidRPr="00183B5F" w:rsidRDefault="007A75D8" w:rsidP="007A75D8">
      <w:pPr>
        <w:spacing w:line="240" w:lineRule="auto"/>
        <w:ind w:left="567" w:right="-2" w:hanging="567"/>
        <w:rPr>
          <w:b/>
          <w:szCs w:val="22"/>
        </w:rPr>
      </w:pPr>
    </w:p>
    <w:p w14:paraId="024CB2C2" w14:textId="77777777" w:rsidR="007A75D8" w:rsidRPr="00183B5F" w:rsidRDefault="00943743" w:rsidP="00E87C31">
      <w:pPr>
        <w:pStyle w:val="ListParagraph"/>
        <w:numPr>
          <w:ilvl w:val="0"/>
          <w:numId w:val="196"/>
        </w:numPr>
        <w:spacing w:line="240" w:lineRule="auto"/>
        <w:ind w:left="567" w:hanging="567"/>
        <w:rPr>
          <w:szCs w:val="22"/>
        </w:rPr>
      </w:pPr>
      <w:r w:rsidRPr="00183B5F">
        <w:rPr>
          <w:szCs w:val="22"/>
        </w:rPr>
        <w:t>A terhesség megelőzése érdekében meg kell fontolnia a megfelelő fogamzásgátlás alkalmazását</w:t>
      </w:r>
      <w:r w:rsidR="001056CE" w:rsidRPr="00183B5F">
        <w:rPr>
          <w:szCs w:val="22"/>
        </w:rPr>
        <w:t xml:space="preserve"> és az alkalmazás folytatását </w:t>
      </w:r>
      <w:r w:rsidRPr="00183B5F">
        <w:rPr>
          <w:szCs w:val="22"/>
        </w:rPr>
        <w:t>a Humira</w:t>
      </w:r>
      <w:r w:rsidRPr="00183B5F">
        <w:rPr>
          <w:szCs w:val="22"/>
        </w:rPr>
        <w:noBreakHyphen/>
        <w:t>val történt utolsó kezelést követően legalább 5 hónapig.</w:t>
      </w:r>
    </w:p>
    <w:p w14:paraId="53726CBB" w14:textId="77777777" w:rsidR="007A75D8" w:rsidRPr="00183B5F" w:rsidRDefault="00943743" w:rsidP="007A75D8">
      <w:pPr>
        <w:pStyle w:val="ListParagraph"/>
        <w:numPr>
          <w:ilvl w:val="0"/>
          <w:numId w:val="196"/>
        </w:numPr>
        <w:spacing w:line="240" w:lineRule="auto"/>
        <w:ind w:left="567" w:hanging="567"/>
        <w:rPr>
          <w:szCs w:val="22"/>
        </w:rPr>
      </w:pPr>
      <w:r w:rsidRPr="00183B5F">
        <w:rPr>
          <w:szCs w:val="22"/>
        </w:rPr>
        <w:t>Amennyiben terhes, úgy gondolja, hogy terhes lehet, vagy gyermeket tervez, kérje kezelőorvosa tanácsát ennek a gyógyszernek az alkalmazásáról.</w:t>
      </w:r>
    </w:p>
    <w:p w14:paraId="67C231DF" w14:textId="77777777" w:rsidR="007A75D8" w:rsidRPr="00183B5F" w:rsidRDefault="00943743" w:rsidP="007A75D8">
      <w:pPr>
        <w:pStyle w:val="ListParagraph"/>
        <w:numPr>
          <w:ilvl w:val="0"/>
          <w:numId w:val="196"/>
        </w:numPr>
        <w:spacing w:line="240" w:lineRule="auto"/>
        <w:ind w:left="567" w:hanging="567"/>
        <w:rPr>
          <w:szCs w:val="22"/>
        </w:rPr>
      </w:pPr>
      <w:r w:rsidRPr="00183B5F">
        <w:rPr>
          <w:szCs w:val="22"/>
        </w:rPr>
        <w:t xml:space="preserve">A Humira csak akkor alkalmazható terhesség alatt, ha </w:t>
      </w:r>
      <w:r w:rsidR="004B37B2" w:rsidRPr="00183B5F">
        <w:rPr>
          <w:szCs w:val="22"/>
        </w:rPr>
        <w:t>egyértelműen</w:t>
      </w:r>
      <w:r w:rsidRPr="00183B5F">
        <w:rPr>
          <w:szCs w:val="22"/>
        </w:rPr>
        <w:t xml:space="preserve"> szükséges.</w:t>
      </w:r>
    </w:p>
    <w:p w14:paraId="20001872" w14:textId="77777777" w:rsidR="007A75D8" w:rsidRPr="00183B5F" w:rsidRDefault="00943743" w:rsidP="001056CE">
      <w:pPr>
        <w:pStyle w:val="ListParagraph"/>
        <w:numPr>
          <w:ilvl w:val="0"/>
          <w:numId w:val="196"/>
        </w:numPr>
        <w:spacing w:line="240" w:lineRule="auto"/>
        <w:ind w:left="567" w:hanging="567"/>
        <w:rPr>
          <w:szCs w:val="22"/>
        </w:rPr>
      </w:pPr>
      <w:r w:rsidRPr="00183B5F">
        <w:rPr>
          <w:szCs w:val="22"/>
        </w:rPr>
        <w:t>Egy terhes nők</w:t>
      </w:r>
      <w:r w:rsidR="001056CE" w:rsidRPr="00183B5F">
        <w:rPr>
          <w:szCs w:val="22"/>
        </w:rPr>
        <w:t>kel</w:t>
      </w:r>
      <w:r w:rsidRPr="00183B5F">
        <w:rPr>
          <w:szCs w:val="22"/>
        </w:rPr>
        <w:t xml:space="preserve"> végzett klinikai vizsgálat alapján nem volt magasabb a születési rendellenességek kockázata azokn</w:t>
      </w:r>
      <w:r w:rsidR="001056CE" w:rsidRPr="00183B5F">
        <w:rPr>
          <w:szCs w:val="22"/>
        </w:rPr>
        <w:t>ál</w:t>
      </w:r>
      <w:r w:rsidRPr="00183B5F">
        <w:rPr>
          <w:szCs w:val="22"/>
        </w:rPr>
        <w:t xml:space="preserve"> a nőkn</w:t>
      </w:r>
      <w:r w:rsidR="001056CE" w:rsidRPr="00183B5F">
        <w:rPr>
          <w:szCs w:val="22"/>
        </w:rPr>
        <w:t>él</w:t>
      </w:r>
      <w:r w:rsidRPr="00183B5F">
        <w:rPr>
          <w:szCs w:val="22"/>
        </w:rPr>
        <w:t xml:space="preserve">, akik a terhességük </w:t>
      </w:r>
      <w:r w:rsidR="001056CE" w:rsidRPr="00183B5F">
        <w:rPr>
          <w:szCs w:val="22"/>
        </w:rPr>
        <w:t>alatt</w:t>
      </w:r>
      <w:r w:rsidRPr="00183B5F">
        <w:rPr>
          <w:szCs w:val="22"/>
        </w:rPr>
        <w:t xml:space="preserve"> Humira</w:t>
      </w:r>
      <w:r w:rsidRPr="00183B5F">
        <w:rPr>
          <w:szCs w:val="22"/>
        </w:rPr>
        <w:noBreakHyphen/>
        <w:t xml:space="preserve">kezelésben részesültek, </w:t>
      </w:r>
      <w:r w:rsidR="001056CE" w:rsidRPr="00183B5F">
        <w:rPr>
          <w:szCs w:val="22"/>
        </w:rPr>
        <w:t>mint</w:t>
      </w:r>
      <w:r w:rsidRPr="00183B5F">
        <w:rPr>
          <w:szCs w:val="22"/>
        </w:rPr>
        <w:t xml:space="preserve"> az azonos betegségben szenvedő, Humira</w:t>
      </w:r>
      <w:r w:rsidRPr="00183B5F">
        <w:rPr>
          <w:szCs w:val="22"/>
        </w:rPr>
        <w:noBreakHyphen/>
        <w:t>kezelésben nem részesült nők</w:t>
      </w:r>
      <w:r w:rsidR="001056CE" w:rsidRPr="00183B5F">
        <w:rPr>
          <w:szCs w:val="22"/>
        </w:rPr>
        <w:t>nél</w:t>
      </w:r>
      <w:r w:rsidRPr="00183B5F">
        <w:rPr>
          <w:szCs w:val="22"/>
        </w:rPr>
        <w:t>.</w:t>
      </w:r>
    </w:p>
    <w:p w14:paraId="3EB69E7D" w14:textId="77777777" w:rsidR="007A75D8" w:rsidRPr="00183B5F" w:rsidRDefault="00943743" w:rsidP="007A75D8">
      <w:pPr>
        <w:pStyle w:val="ListParagraph"/>
        <w:numPr>
          <w:ilvl w:val="0"/>
          <w:numId w:val="196"/>
        </w:numPr>
        <w:spacing w:line="240" w:lineRule="auto"/>
        <w:ind w:left="567" w:hanging="567"/>
        <w:rPr>
          <w:szCs w:val="22"/>
        </w:rPr>
      </w:pPr>
      <w:r w:rsidRPr="00183B5F">
        <w:t>Szoptatás alatt a Humira alkalmazható.</w:t>
      </w:r>
    </w:p>
    <w:p w14:paraId="7EEAE96A" w14:textId="77777777" w:rsidR="007A75D8" w:rsidRPr="00183B5F" w:rsidRDefault="00943743" w:rsidP="00E87C31">
      <w:pPr>
        <w:pStyle w:val="ListParagraph"/>
        <w:numPr>
          <w:ilvl w:val="0"/>
          <w:numId w:val="196"/>
        </w:numPr>
        <w:spacing w:line="240" w:lineRule="auto"/>
        <w:ind w:left="567" w:hanging="567"/>
        <w:rPr>
          <w:szCs w:val="22"/>
        </w:rPr>
      </w:pPr>
      <w:r w:rsidRPr="00183B5F">
        <w:rPr>
          <w:szCs w:val="22"/>
        </w:rPr>
        <w:t>Ha a terhessége alatt Humira</w:t>
      </w:r>
      <w:r w:rsidRPr="00183B5F">
        <w:rPr>
          <w:szCs w:val="22"/>
        </w:rPr>
        <w:noBreakHyphen/>
        <w:t>t kapott, a kisbabája nagyobb eséllyel kap el valamilyen fertőzést.</w:t>
      </w:r>
    </w:p>
    <w:p w14:paraId="150976B4" w14:textId="77777777" w:rsidR="007A75D8" w:rsidRPr="00183B5F" w:rsidRDefault="00943743" w:rsidP="00E87C31">
      <w:pPr>
        <w:pStyle w:val="ListParagraph"/>
        <w:numPr>
          <w:ilvl w:val="0"/>
          <w:numId w:val="196"/>
        </w:numPr>
        <w:spacing w:line="240" w:lineRule="auto"/>
        <w:ind w:left="567" w:hanging="567"/>
        <w:rPr>
          <w:szCs w:val="22"/>
        </w:rPr>
      </w:pPr>
      <w:r w:rsidRPr="00183B5F">
        <w:rPr>
          <w:szCs w:val="22"/>
        </w:rPr>
        <w:t>Fontos, hogy elmondja kisbabája orvosának vagy az őt kezelő egészségügyi személyzetnek, hogy a terhessége alatt Humira</w:t>
      </w:r>
      <w:r w:rsidRPr="00183B5F">
        <w:rPr>
          <w:szCs w:val="22"/>
        </w:rPr>
        <w:noBreakHyphen/>
        <w:t xml:space="preserve">t kapott, mielőtt a kisbaba bármilyen védőoltást kapna. </w:t>
      </w:r>
      <w:r w:rsidRPr="00183B5F">
        <w:t xml:space="preserve">A védőoltásokról további információt </w:t>
      </w:r>
      <w:r w:rsidRPr="00183B5F">
        <w:rPr>
          <w:szCs w:val="22"/>
        </w:rPr>
        <w:t>talál a „Figyelmeztetések és óvintézkedések” részben</w:t>
      </w:r>
      <w:r w:rsidR="00563502" w:rsidRPr="00183B5F">
        <w:rPr>
          <w:szCs w:val="22"/>
        </w:rPr>
        <w:t>.</w:t>
      </w:r>
    </w:p>
    <w:p w14:paraId="271BA026" w14:textId="77777777" w:rsidR="007A75D8" w:rsidRPr="00183B5F" w:rsidRDefault="007A75D8" w:rsidP="007A75D8">
      <w:pPr>
        <w:spacing w:line="240" w:lineRule="auto"/>
        <w:rPr>
          <w:szCs w:val="22"/>
        </w:rPr>
      </w:pPr>
    </w:p>
    <w:p w14:paraId="69DB9397" w14:textId="77777777" w:rsidR="002942B5" w:rsidRPr="00183B5F" w:rsidRDefault="00943743" w:rsidP="004062FE">
      <w:pPr>
        <w:keepNext/>
        <w:spacing w:line="240" w:lineRule="auto"/>
        <w:ind w:right="-2"/>
        <w:rPr>
          <w:b/>
          <w:bCs/>
          <w:szCs w:val="22"/>
        </w:rPr>
      </w:pPr>
      <w:r w:rsidRPr="00183B5F">
        <w:rPr>
          <w:b/>
          <w:bCs/>
          <w:szCs w:val="22"/>
        </w:rPr>
        <w:t>A készítmény hatásai a gépjárművezetéshez és a gépek kezeléséhez szükséges képességekre</w:t>
      </w:r>
    </w:p>
    <w:p w14:paraId="27B9F421" w14:textId="77777777" w:rsidR="002942B5" w:rsidRPr="00183B5F" w:rsidRDefault="002942B5" w:rsidP="004062FE">
      <w:pPr>
        <w:keepNext/>
        <w:spacing w:line="240" w:lineRule="auto"/>
        <w:ind w:right="-2"/>
        <w:rPr>
          <w:szCs w:val="22"/>
        </w:rPr>
      </w:pPr>
    </w:p>
    <w:p w14:paraId="23D75B86" w14:textId="77777777" w:rsidR="002942B5" w:rsidRPr="00183B5F" w:rsidRDefault="00943743" w:rsidP="004062FE">
      <w:pPr>
        <w:keepNext/>
        <w:spacing w:line="240" w:lineRule="auto"/>
        <w:rPr>
          <w:szCs w:val="22"/>
        </w:rPr>
      </w:pPr>
      <w:r w:rsidRPr="00183B5F">
        <w:rPr>
          <w:szCs w:val="22"/>
        </w:rPr>
        <w:t xml:space="preserve">A Humira csak csekély mértékben befolyásolhatja a gépjárművezetéshez, kerékpározáshoz vagy a gépek </w:t>
      </w:r>
      <w:r w:rsidRPr="00183B5F">
        <w:rPr>
          <w:noProof/>
          <w:szCs w:val="22"/>
        </w:rPr>
        <w:t>kezeléséhez</w:t>
      </w:r>
      <w:r w:rsidRPr="00183B5F">
        <w:rPr>
          <w:szCs w:val="22"/>
        </w:rPr>
        <w:t xml:space="preserve"> szükséges képességeket. A Humira alkalmazását követően előfordulhat olyan érzés, mintha forogna a szoba vagy a tér, továbbá látászavar is előfordulhat.</w:t>
      </w:r>
    </w:p>
    <w:p w14:paraId="17DEECBD" w14:textId="77777777" w:rsidR="002942B5" w:rsidRDefault="002942B5" w:rsidP="004062FE">
      <w:pPr>
        <w:spacing w:line="240" w:lineRule="auto"/>
        <w:rPr>
          <w:ins w:id="13988" w:author="AbbVie_HU_03" w:date="2025-05-14T16:45:00Z"/>
          <w:szCs w:val="22"/>
        </w:rPr>
      </w:pPr>
    </w:p>
    <w:p w14:paraId="5C36418D" w14:textId="77777777" w:rsidR="00940F88" w:rsidRPr="007276E0" w:rsidRDefault="00943743" w:rsidP="00940F88">
      <w:pPr>
        <w:spacing w:line="240" w:lineRule="auto"/>
        <w:rPr>
          <w:ins w:id="13989" w:author="AbbVie_HU_03" w:date="2025-05-14T16:45:00Z"/>
          <w:b/>
          <w:bCs/>
          <w:szCs w:val="22"/>
          <w:rPrChange w:id="13990" w:author="AbbVie_HU_03" w:date="2025-05-14T17:33:00Z">
            <w:rPr>
              <w:ins w:id="13991" w:author="AbbVie_HU_03" w:date="2025-05-14T16:45:00Z"/>
              <w:szCs w:val="22"/>
            </w:rPr>
          </w:rPrChange>
        </w:rPr>
      </w:pPr>
      <w:ins w:id="13992" w:author="AbbVie_HU_03" w:date="2025-05-14T16:45:00Z">
        <w:r w:rsidRPr="007276E0">
          <w:rPr>
            <w:b/>
            <w:bCs/>
            <w:szCs w:val="22"/>
            <w:rPrChange w:id="13993" w:author="AbbVie_HU_03" w:date="2025-05-14T17:33:00Z">
              <w:rPr>
                <w:szCs w:val="22"/>
              </w:rPr>
            </w:rPrChange>
          </w:rPr>
          <w:t>A Humira poliszorbátot tartalmaz</w:t>
        </w:r>
      </w:ins>
    </w:p>
    <w:p w14:paraId="287DAD58" w14:textId="77777777" w:rsidR="00940F88" w:rsidRDefault="00940F88" w:rsidP="00940F88">
      <w:pPr>
        <w:spacing w:line="240" w:lineRule="auto"/>
        <w:rPr>
          <w:ins w:id="13994" w:author="AbbVie_HU_03" w:date="2025-05-14T16:45:00Z"/>
          <w:szCs w:val="22"/>
        </w:rPr>
      </w:pPr>
    </w:p>
    <w:p w14:paraId="3E1E72E1" w14:textId="5B0278AE" w:rsidR="00940F88" w:rsidRDefault="00943743" w:rsidP="00940F88">
      <w:pPr>
        <w:spacing w:line="240" w:lineRule="auto"/>
        <w:rPr>
          <w:ins w:id="13995" w:author="AbbVie_HU_03" w:date="2025-05-14T16:45:00Z"/>
          <w:szCs w:val="22"/>
        </w:rPr>
      </w:pPr>
      <w:ins w:id="13996" w:author="AbbVie_HU_03" w:date="2025-05-14T16:45:00Z">
        <w:r>
          <w:rPr>
            <w:szCs w:val="22"/>
          </w:rPr>
          <w:t>A gyógyszer 0,4</w:t>
        </w:r>
      </w:ins>
      <w:ins w:id="13997" w:author="AbbVie_HU_03" w:date="2025-05-14T17:33:00Z">
        <w:r w:rsidR="007276E0">
          <w:rPr>
            <w:szCs w:val="22"/>
          </w:rPr>
          <w:t> </w:t>
        </w:r>
      </w:ins>
      <w:ins w:id="13998" w:author="AbbVie_HU_03" w:date="2025-05-14T16:45:00Z">
        <w:r>
          <w:rPr>
            <w:szCs w:val="22"/>
          </w:rPr>
          <w:t>mg poliszorbát 80-at tartalmaz 40</w:t>
        </w:r>
      </w:ins>
      <w:ins w:id="13999" w:author="AbbVie_HU_03" w:date="2025-05-14T17:33:00Z">
        <w:r w:rsidR="007276E0">
          <w:rPr>
            <w:szCs w:val="22"/>
          </w:rPr>
          <w:t> </w:t>
        </w:r>
      </w:ins>
      <w:ins w:id="14000" w:author="AbbVie_HU_03" w:date="2025-05-14T16:45:00Z">
        <w:r>
          <w:rPr>
            <w:szCs w:val="22"/>
          </w:rPr>
          <w:t>mg-os adagonként. A poliszorbát</w:t>
        </w:r>
      </w:ins>
      <w:ins w:id="14001" w:author="AbbVie_HU_03" w:date="2025-09-05T15:46:00Z">
        <w:r w:rsidR="000612E2">
          <w:rPr>
            <w:szCs w:val="22"/>
          </w:rPr>
          <w:t>ok</w:t>
        </w:r>
      </w:ins>
      <w:ins w:id="14002" w:author="AbbVie_HU_03" w:date="2025-05-14T16:45:00Z">
        <w:r>
          <w:rPr>
            <w:szCs w:val="22"/>
          </w:rPr>
          <w:t xml:space="preserve"> allergiás reakció</w:t>
        </w:r>
      </w:ins>
      <w:ins w:id="14003" w:author="AbbVie_HU_03" w:date="2025-09-05T15:46:00Z">
        <w:r w:rsidR="000612E2">
          <w:rPr>
            <w:szCs w:val="22"/>
          </w:rPr>
          <w:t>ka</w:t>
        </w:r>
      </w:ins>
      <w:ins w:id="14004" w:author="AbbVie_HU_03" w:date="2025-05-14T16:45:00Z">
        <w:r>
          <w:rPr>
            <w:szCs w:val="22"/>
          </w:rPr>
          <w:t>t okozhat</w:t>
        </w:r>
      </w:ins>
      <w:ins w:id="14005" w:author="AbbVie_HU_03" w:date="2025-09-05T15:46:00Z">
        <w:r w:rsidR="000612E2">
          <w:rPr>
            <w:szCs w:val="22"/>
          </w:rPr>
          <w:t>nak</w:t>
        </w:r>
      </w:ins>
      <w:ins w:id="14006" w:author="AbbVie_HU_03" w:date="2025-05-14T16:45:00Z">
        <w:r>
          <w:rPr>
            <w:szCs w:val="22"/>
          </w:rPr>
          <w:t>. Tájékoztassa kezelőorvosát, ha bármilyen ismert allergiája van.</w:t>
        </w:r>
      </w:ins>
    </w:p>
    <w:p w14:paraId="1B31F1F1" w14:textId="77777777" w:rsidR="00940F88" w:rsidRPr="00183B5F" w:rsidRDefault="00940F88" w:rsidP="00940F88">
      <w:pPr>
        <w:spacing w:line="240" w:lineRule="auto"/>
        <w:rPr>
          <w:szCs w:val="22"/>
        </w:rPr>
      </w:pPr>
    </w:p>
    <w:p w14:paraId="5E2CC5F5" w14:textId="77777777" w:rsidR="002942B5" w:rsidRPr="00183B5F" w:rsidRDefault="002942B5" w:rsidP="004062FE">
      <w:pPr>
        <w:spacing w:line="240" w:lineRule="auto"/>
        <w:rPr>
          <w:szCs w:val="22"/>
        </w:rPr>
      </w:pPr>
    </w:p>
    <w:p w14:paraId="76B323CA" w14:textId="77777777" w:rsidR="002942B5" w:rsidRPr="00183B5F" w:rsidRDefault="00943743" w:rsidP="004062FE">
      <w:pPr>
        <w:keepNext/>
        <w:spacing w:line="240" w:lineRule="auto"/>
        <w:ind w:left="567" w:right="-29" w:hanging="567"/>
        <w:rPr>
          <w:b/>
          <w:szCs w:val="22"/>
        </w:rPr>
      </w:pPr>
      <w:r w:rsidRPr="00183B5F">
        <w:rPr>
          <w:b/>
          <w:szCs w:val="22"/>
        </w:rPr>
        <w:t>3.</w:t>
      </w:r>
      <w:r w:rsidRPr="00183B5F">
        <w:rPr>
          <w:b/>
          <w:szCs w:val="22"/>
        </w:rPr>
        <w:tab/>
        <w:t>Hogyan kell alkalmazni a Humira</w:t>
      </w:r>
      <w:r w:rsidRPr="00183B5F">
        <w:rPr>
          <w:b/>
          <w:szCs w:val="22"/>
        </w:rPr>
        <w:noBreakHyphen/>
        <w:t>t?</w:t>
      </w:r>
    </w:p>
    <w:p w14:paraId="5170E9C7" w14:textId="77777777" w:rsidR="002942B5" w:rsidRPr="00183B5F" w:rsidRDefault="002942B5" w:rsidP="004062FE">
      <w:pPr>
        <w:keepNext/>
        <w:spacing w:line="240" w:lineRule="auto"/>
        <w:ind w:left="567" w:right="-29" w:hanging="567"/>
        <w:rPr>
          <w:szCs w:val="22"/>
        </w:rPr>
      </w:pPr>
    </w:p>
    <w:p w14:paraId="73C5589F" w14:textId="77777777" w:rsidR="002942B5" w:rsidRPr="00183B5F" w:rsidRDefault="00943743" w:rsidP="004062FE">
      <w:pPr>
        <w:keepNext/>
        <w:spacing w:line="240" w:lineRule="auto"/>
        <w:ind w:right="-29"/>
        <w:rPr>
          <w:szCs w:val="22"/>
        </w:rPr>
      </w:pPr>
      <w:r w:rsidRPr="00183B5F">
        <w:rPr>
          <w:noProof/>
          <w:szCs w:val="24"/>
        </w:rPr>
        <w:t>A gyógyszert</w:t>
      </w:r>
      <w:r w:rsidRPr="00183B5F">
        <w:rPr>
          <w:szCs w:val="24"/>
        </w:rPr>
        <w:t xml:space="preserve"> mindig a </w:t>
      </w:r>
      <w:r w:rsidRPr="00183B5F">
        <w:rPr>
          <w:noProof/>
          <w:szCs w:val="24"/>
        </w:rPr>
        <w:t>kezelőorvosa vagy gyógyszerésze</w:t>
      </w:r>
      <w:r w:rsidRPr="00183B5F">
        <w:rPr>
          <w:szCs w:val="22"/>
        </w:rPr>
        <w:t xml:space="preserve"> által elmondottaknak megfelelően alkalmazza. Amennyiben nem biztos az adagolást illetően, kérdezze meg kezelőorvosát vagy gyógyszerészét.</w:t>
      </w:r>
    </w:p>
    <w:p w14:paraId="74E5CA17" w14:textId="77777777" w:rsidR="002942B5" w:rsidRPr="00183B5F" w:rsidRDefault="002942B5" w:rsidP="004062FE">
      <w:pPr>
        <w:numPr>
          <w:ilvl w:val="12"/>
          <w:numId w:val="0"/>
        </w:numPr>
        <w:spacing w:line="240" w:lineRule="auto"/>
        <w:ind w:right="-2"/>
      </w:pPr>
    </w:p>
    <w:p w14:paraId="2E86B7C9" w14:textId="77777777" w:rsidR="002942B5" w:rsidRPr="00183B5F" w:rsidRDefault="00943743" w:rsidP="004062FE">
      <w:pPr>
        <w:numPr>
          <w:ilvl w:val="12"/>
          <w:numId w:val="0"/>
        </w:numPr>
        <w:spacing w:line="240" w:lineRule="auto"/>
        <w:ind w:right="-2"/>
      </w:pPr>
      <w:r w:rsidRPr="00183B5F">
        <w:t>A Humira javasolt adagját az alábbi táblázat mutatja, alkalmazási terület szerint:</w:t>
      </w:r>
    </w:p>
    <w:p w14:paraId="0145755C" w14:textId="77777777" w:rsidR="00EF4D55" w:rsidRPr="00183B5F" w:rsidRDefault="00943743" w:rsidP="004062FE">
      <w:pPr>
        <w:tabs>
          <w:tab w:val="num" w:pos="630"/>
        </w:tabs>
        <w:spacing w:line="240" w:lineRule="auto"/>
        <w:ind w:right="-2"/>
      </w:pPr>
      <w:r w:rsidRPr="00183B5F">
        <w:t>Kezelőorvosa más hatáserősségű Humira</w:t>
      </w:r>
      <w:r w:rsidRPr="00183B5F">
        <w:noBreakHyphen/>
        <w:t xml:space="preserve">t is felírhat, ha gyermekének </w:t>
      </w:r>
      <w:r w:rsidR="00524F71" w:rsidRPr="00183B5F">
        <w:t>más</w:t>
      </w:r>
      <w:r w:rsidRPr="00183B5F">
        <w:t xml:space="preserve"> dózisra van szüksége.</w:t>
      </w:r>
    </w:p>
    <w:p w14:paraId="60B40E01" w14:textId="77777777" w:rsidR="002942B5" w:rsidRPr="00183B5F" w:rsidRDefault="002942B5" w:rsidP="004062FE">
      <w:pPr>
        <w:numPr>
          <w:ilvl w:val="12"/>
          <w:numId w:val="0"/>
        </w:numPr>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8"/>
        <w:gridCol w:w="3020"/>
        <w:gridCol w:w="3033"/>
      </w:tblGrid>
      <w:tr w:rsidR="00011D2F" w14:paraId="2F56AE6B" w14:textId="77777777" w:rsidTr="002942B5">
        <w:tc>
          <w:tcPr>
            <w:tcW w:w="9287" w:type="dxa"/>
            <w:gridSpan w:val="3"/>
          </w:tcPr>
          <w:p w14:paraId="768A366B" w14:textId="77777777" w:rsidR="002942B5" w:rsidRPr="00183B5F" w:rsidRDefault="00943743" w:rsidP="004062FE">
            <w:pPr>
              <w:keepNext/>
              <w:numPr>
                <w:ilvl w:val="12"/>
                <w:numId w:val="0"/>
              </w:numPr>
              <w:spacing w:line="240" w:lineRule="auto"/>
              <w:ind w:right="-2"/>
              <w:rPr>
                <w:b/>
              </w:rPr>
            </w:pPr>
            <w:r w:rsidRPr="00183B5F">
              <w:rPr>
                <w:b/>
                <w:szCs w:val="22"/>
              </w:rPr>
              <w:t>Reumatoid artritisz, artritisz pszoriatika, spondilitisz ankilopoetika, spondilitisz ankilopoetikára jellemző röntgeneltérést nem mutató gerincízületi gyulladás</w:t>
            </w:r>
          </w:p>
        </w:tc>
      </w:tr>
      <w:tr w:rsidR="00011D2F" w14:paraId="640A1C92" w14:textId="77777777" w:rsidTr="002942B5">
        <w:tc>
          <w:tcPr>
            <w:tcW w:w="3095" w:type="dxa"/>
          </w:tcPr>
          <w:p w14:paraId="2B6E08FA" w14:textId="77777777" w:rsidR="002942B5" w:rsidRPr="00183B5F" w:rsidRDefault="00943743" w:rsidP="004062FE">
            <w:pPr>
              <w:keepNext/>
              <w:numPr>
                <w:ilvl w:val="12"/>
                <w:numId w:val="0"/>
              </w:numPr>
              <w:spacing w:line="240" w:lineRule="auto"/>
              <w:ind w:right="-2"/>
            </w:pPr>
            <w:r w:rsidRPr="00183B5F">
              <w:rPr>
                <w:b/>
              </w:rPr>
              <w:t>Kor vagy testtömeg</w:t>
            </w:r>
          </w:p>
        </w:tc>
        <w:tc>
          <w:tcPr>
            <w:tcW w:w="3096" w:type="dxa"/>
          </w:tcPr>
          <w:p w14:paraId="375B2AF3" w14:textId="77777777" w:rsidR="002942B5" w:rsidRPr="00183B5F" w:rsidRDefault="00943743" w:rsidP="004062FE">
            <w:pPr>
              <w:keepNext/>
              <w:numPr>
                <w:ilvl w:val="12"/>
                <w:numId w:val="0"/>
              </w:numPr>
              <w:spacing w:line="240" w:lineRule="auto"/>
              <w:ind w:right="-2"/>
            </w:pPr>
            <w:r w:rsidRPr="00183B5F">
              <w:rPr>
                <w:b/>
              </w:rPr>
              <w:t>Milyen adagot és milyen gyakran kell alkalmazni?</w:t>
            </w:r>
          </w:p>
        </w:tc>
        <w:tc>
          <w:tcPr>
            <w:tcW w:w="3096" w:type="dxa"/>
          </w:tcPr>
          <w:p w14:paraId="3F8B74BC" w14:textId="77777777" w:rsidR="002942B5" w:rsidRPr="00183B5F" w:rsidRDefault="00943743" w:rsidP="004062FE">
            <w:pPr>
              <w:keepNext/>
              <w:numPr>
                <w:ilvl w:val="12"/>
                <w:numId w:val="0"/>
              </w:numPr>
              <w:spacing w:line="240" w:lineRule="auto"/>
              <w:ind w:right="-2"/>
            </w:pPr>
            <w:r w:rsidRPr="00183B5F">
              <w:rPr>
                <w:b/>
              </w:rPr>
              <w:t>Megjegyzések</w:t>
            </w:r>
          </w:p>
        </w:tc>
      </w:tr>
      <w:tr w:rsidR="00011D2F" w14:paraId="7590B9B4" w14:textId="77777777" w:rsidTr="002942B5">
        <w:tc>
          <w:tcPr>
            <w:tcW w:w="3095" w:type="dxa"/>
          </w:tcPr>
          <w:p w14:paraId="72F709CB" w14:textId="77777777" w:rsidR="002942B5" w:rsidRPr="00183B5F" w:rsidRDefault="00943743" w:rsidP="004062FE">
            <w:pPr>
              <w:keepNext/>
              <w:numPr>
                <w:ilvl w:val="12"/>
                <w:numId w:val="0"/>
              </w:numPr>
              <w:spacing w:line="240" w:lineRule="auto"/>
              <w:ind w:right="-2"/>
            </w:pPr>
            <w:r w:rsidRPr="00183B5F">
              <w:t>Felnőttek</w:t>
            </w:r>
          </w:p>
        </w:tc>
        <w:tc>
          <w:tcPr>
            <w:tcW w:w="3096" w:type="dxa"/>
          </w:tcPr>
          <w:p w14:paraId="0A3F9B26" w14:textId="77777777" w:rsidR="002942B5" w:rsidRPr="00183B5F" w:rsidRDefault="00943743" w:rsidP="004062FE">
            <w:pPr>
              <w:keepNext/>
              <w:numPr>
                <w:ilvl w:val="12"/>
                <w:numId w:val="0"/>
              </w:numPr>
              <w:spacing w:line="240" w:lineRule="auto"/>
              <w:ind w:right="-2"/>
            </w:pPr>
            <w:r w:rsidRPr="00183B5F">
              <w:t>40 mg kéthetente</w:t>
            </w:r>
          </w:p>
        </w:tc>
        <w:tc>
          <w:tcPr>
            <w:tcW w:w="3096" w:type="dxa"/>
          </w:tcPr>
          <w:p w14:paraId="452FB195" w14:textId="77777777" w:rsidR="002942B5" w:rsidRPr="00183B5F" w:rsidRDefault="00943743" w:rsidP="004062FE">
            <w:pPr>
              <w:keepNext/>
              <w:spacing w:line="240" w:lineRule="auto"/>
              <w:ind w:right="-2"/>
              <w:rPr>
                <w:szCs w:val="22"/>
              </w:rPr>
            </w:pPr>
            <w:r w:rsidRPr="00183B5F">
              <w:rPr>
                <w:szCs w:val="22"/>
              </w:rPr>
              <w:t xml:space="preserve">Reumatoid artritiszben a Humira alkalmazása során a </w:t>
            </w:r>
            <w:r w:rsidR="001A6E66" w:rsidRPr="00183B5F">
              <w:rPr>
                <w:szCs w:val="22"/>
              </w:rPr>
              <w:t>metotrexát-keze</w:t>
            </w:r>
            <w:r w:rsidRPr="00183B5F">
              <w:rPr>
                <w:szCs w:val="22"/>
              </w:rPr>
              <w:t>lést folytatni kell. Amennyiben az Ön kezelőorvosa a metotrexát adását szükségtelennek tartja, abban az esetben a Humira önállóan alkalmazható.</w:t>
            </w:r>
          </w:p>
          <w:p w14:paraId="51BC847C" w14:textId="77777777" w:rsidR="00EF4D55" w:rsidRPr="00183B5F" w:rsidRDefault="00EF4D55" w:rsidP="004062FE">
            <w:pPr>
              <w:keepNext/>
              <w:spacing w:line="240" w:lineRule="auto"/>
              <w:ind w:right="-2"/>
              <w:rPr>
                <w:szCs w:val="22"/>
              </w:rPr>
            </w:pPr>
          </w:p>
          <w:p w14:paraId="48335D57" w14:textId="77777777" w:rsidR="002942B5" w:rsidRPr="00183B5F" w:rsidRDefault="00943743" w:rsidP="004062FE">
            <w:pPr>
              <w:keepNext/>
              <w:numPr>
                <w:ilvl w:val="12"/>
                <w:numId w:val="0"/>
              </w:numPr>
              <w:spacing w:line="240" w:lineRule="auto"/>
              <w:ind w:right="-2"/>
            </w:pPr>
            <w:r w:rsidRPr="00183B5F">
              <w:rPr>
                <w:szCs w:val="22"/>
              </w:rPr>
              <w:t xml:space="preserve">Ha Önnek reumatoid artritisze van és a Humira alkalmazása során nem kap </w:t>
            </w:r>
            <w:r w:rsidR="001A6E66" w:rsidRPr="00183B5F">
              <w:rPr>
                <w:szCs w:val="22"/>
              </w:rPr>
              <w:t>metotrexát-keze</w:t>
            </w:r>
            <w:r w:rsidRPr="00183B5F">
              <w:rPr>
                <w:szCs w:val="22"/>
              </w:rPr>
              <w:t xml:space="preserve">lést, abban az esetben kezelőorvosa </w:t>
            </w:r>
            <w:r w:rsidR="00800BE5" w:rsidRPr="00183B5F">
              <w:rPr>
                <w:szCs w:val="22"/>
              </w:rPr>
              <w:t xml:space="preserve">hetente 40 mg vagy kéthetente 80 mg </w:t>
            </w:r>
            <w:r w:rsidRPr="00183B5F">
              <w:rPr>
                <w:szCs w:val="22"/>
              </w:rPr>
              <w:t>adalimumab adása mellett dönthet.</w:t>
            </w:r>
          </w:p>
        </w:tc>
      </w:tr>
    </w:tbl>
    <w:p w14:paraId="4C312C32" w14:textId="77777777" w:rsidR="002942B5" w:rsidRPr="00183B5F" w:rsidRDefault="002942B5" w:rsidP="004062FE">
      <w:pPr>
        <w:numPr>
          <w:ilvl w:val="12"/>
          <w:numId w:val="0"/>
        </w:numPr>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3020"/>
        <w:gridCol w:w="3027"/>
      </w:tblGrid>
      <w:tr w:rsidR="00011D2F" w14:paraId="6A75FD96" w14:textId="77777777" w:rsidTr="002942B5">
        <w:tc>
          <w:tcPr>
            <w:tcW w:w="9287" w:type="dxa"/>
            <w:gridSpan w:val="3"/>
          </w:tcPr>
          <w:p w14:paraId="1579531B" w14:textId="77777777" w:rsidR="002942B5" w:rsidRPr="00183B5F" w:rsidRDefault="00943743" w:rsidP="004062FE">
            <w:pPr>
              <w:numPr>
                <w:ilvl w:val="12"/>
                <w:numId w:val="0"/>
              </w:numPr>
              <w:spacing w:line="240" w:lineRule="auto"/>
              <w:ind w:right="-2"/>
              <w:rPr>
                <w:b/>
              </w:rPr>
            </w:pPr>
            <w:r w:rsidRPr="00183B5F">
              <w:rPr>
                <w:b/>
                <w:szCs w:val="22"/>
              </w:rPr>
              <w:t>Poliartikuláris juvenilis idiopátiás artritisz</w:t>
            </w:r>
          </w:p>
        </w:tc>
      </w:tr>
      <w:tr w:rsidR="00011D2F" w14:paraId="4D42530D" w14:textId="77777777" w:rsidTr="002942B5">
        <w:tc>
          <w:tcPr>
            <w:tcW w:w="3095" w:type="dxa"/>
          </w:tcPr>
          <w:p w14:paraId="4B8E47F8" w14:textId="77777777" w:rsidR="002942B5" w:rsidRPr="00183B5F" w:rsidRDefault="00943743" w:rsidP="004062FE">
            <w:pPr>
              <w:numPr>
                <w:ilvl w:val="12"/>
                <w:numId w:val="0"/>
              </w:numPr>
              <w:spacing w:line="240" w:lineRule="auto"/>
              <w:ind w:right="-2"/>
            </w:pPr>
            <w:r w:rsidRPr="00183B5F">
              <w:rPr>
                <w:b/>
              </w:rPr>
              <w:t>Kor vagy testtömeg</w:t>
            </w:r>
          </w:p>
        </w:tc>
        <w:tc>
          <w:tcPr>
            <w:tcW w:w="3096" w:type="dxa"/>
          </w:tcPr>
          <w:p w14:paraId="2C6BE530" w14:textId="77777777" w:rsidR="002942B5" w:rsidRPr="00183B5F" w:rsidRDefault="00943743" w:rsidP="004062FE">
            <w:pPr>
              <w:numPr>
                <w:ilvl w:val="12"/>
                <w:numId w:val="0"/>
              </w:numPr>
              <w:spacing w:line="240" w:lineRule="auto"/>
              <w:ind w:right="-2"/>
            </w:pPr>
            <w:r w:rsidRPr="00183B5F">
              <w:rPr>
                <w:b/>
              </w:rPr>
              <w:t>Milyen adagot és milyen gyakran kell alkalmazni?</w:t>
            </w:r>
          </w:p>
        </w:tc>
        <w:tc>
          <w:tcPr>
            <w:tcW w:w="3096" w:type="dxa"/>
          </w:tcPr>
          <w:p w14:paraId="42443216" w14:textId="77777777" w:rsidR="002942B5" w:rsidRPr="00183B5F" w:rsidRDefault="00943743" w:rsidP="004062FE">
            <w:pPr>
              <w:numPr>
                <w:ilvl w:val="12"/>
                <w:numId w:val="0"/>
              </w:numPr>
              <w:spacing w:line="240" w:lineRule="auto"/>
              <w:ind w:right="-2"/>
            </w:pPr>
            <w:r w:rsidRPr="00183B5F">
              <w:rPr>
                <w:b/>
              </w:rPr>
              <w:t>Megjegyzések</w:t>
            </w:r>
          </w:p>
        </w:tc>
      </w:tr>
      <w:tr w:rsidR="00011D2F" w14:paraId="5BBA5B75" w14:textId="77777777" w:rsidTr="002942B5">
        <w:tc>
          <w:tcPr>
            <w:tcW w:w="3095" w:type="dxa"/>
          </w:tcPr>
          <w:p w14:paraId="04790A7E" w14:textId="77777777" w:rsidR="002942B5" w:rsidRPr="00183B5F" w:rsidRDefault="00943743" w:rsidP="004062FE">
            <w:pPr>
              <w:numPr>
                <w:ilvl w:val="12"/>
                <w:numId w:val="0"/>
              </w:numPr>
              <w:spacing w:line="240" w:lineRule="auto"/>
              <w:ind w:right="-2"/>
            </w:pPr>
            <w:r w:rsidRPr="00183B5F">
              <w:t>2 évesnél idősebb, 30 kg vagy annál nagyobb testtömegű gyermekek, serdülők és felnőttek</w:t>
            </w:r>
          </w:p>
        </w:tc>
        <w:tc>
          <w:tcPr>
            <w:tcW w:w="3096" w:type="dxa"/>
          </w:tcPr>
          <w:p w14:paraId="32944569" w14:textId="77777777" w:rsidR="002942B5" w:rsidRPr="00183B5F" w:rsidRDefault="00943743" w:rsidP="004062FE">
            <w:pPr>
              <w:numPr>
                <w:ilvl w:val="12"/>
                <w:numId w:val="0"/>
              </w:numPr>
              <w:spacing w:line="240" w:lineRule="auto"/>
              <w:ind w:right="-2"/>
            </w:pPr>
            <w:r w:rsidRPr="00183B5F">
              <w:t>40 mg kéthetente</w:t>
            </w:r>
          </w:p>
        </w:tc>
        <w:tc>
          <w:tcPr>
            <w:tcW w:w="3096" w:type="dxa"/>
          </w:tcPr>
          <w:p w14:paraId="7D37AB7A" w14:textId="77777777" w:rsidR="002942B5" w:rsidRPr="00183B5F" w:rsidRDefault="00943743" w:rsidP="004062FE">
            <w:pPr>
              <w:numPr>
                <w:ilvl w:val="12"/>
                <w:numId w:val="0"/>
              </w:numPr>
              <w:spacing w:line="240" w:lineRule="auto"/>
              <w:ind w:right="-2"/>
            </w:pPr>
            <w:r w:rsidRPr="00183B5F">
              <w:t>N</w:t>
            </w:r>
            <w:r w:rsidR="00FB5CF5" w:rsidRPr="00183B5F">
              <w:t>incs</w:t>
            </w:r>
          </w:p>
        </w:tc>
      </w:tr>
      <w:tr w:rsidR="00011D2F" w14:paraId="225AEB2C" w14:textId="77777777" w:rsidTr="002942B5">
        <w:tc>
          <w:tcPr>
            <w:tcW w:w="3095" w:type="dxa"/>
          </w:tcPr>
          <w:p w14:paraId="17538653" w14:textId="77777777" w:rsidR="002942B5" w:rsidRPr="00183B5F" w:rsidRDefault="00943743" w:rsidP="004062FE">
            <w:pPr>
              <w:numPr>
                <w:ilvl w:val="12"/>
                <w:numId w:val="0"/>
              </w:numPr>
              <w:spacing w:line="240" w:lineRule="auto"/>
              <w:ind w:right="-2"/>
            </w:pPr>
            <w:r w:rsidRPr="00183B5F">
              <w:t>2 évesnél idősebb, 10</w:t>
            </w:r>
            <w:r w:rsidR="00FB5CF5" w:rsidRPr="00183B5F">
              <w:t> </w:t>
            </w:r>
            <w:r w:rsidR="00524F71" w:rsidRPr="00183B5F">
              <w:t>kg</w:t>
            </w:r>
            <w:r w:rsidR="00194670" w:rsidRPr="00183B5F">
              <w:noBreakHyphen/>
              <w:t xml:space="preserve">nál nagyobb, de </w:t>
            </w:r>
            <w:r w:rsidRPr="00183B5F">
              <w:t>30 kg</w:t>
            </w:r>
            <w:r w:rsidR="00194670" w:rsidRPr="00183B5F">
              <w:noBreakHyphen/>
              <w:t>nál kisebb</w:t>
            </w:r>
            <w:r w:rsidRPr="00183B5F">
              <w:t xml:space="preserve"> testtömegű gyermekek és serdülők</w:t>
            </w:r>
          </w:p>
        </w:tc>
        <w:tc>
          <w:tcPr>
            <w:tcW w:w="3096" w:type="dxa"/>
          </w:tcPr>
          <w:p w14:paraId="7A54EA6D" w14:textId="77777777" w:rsidR="002942B5" w:rsidRPr="00183B5F" w:rsidRDefault="00943743" w:rsidP="004062FE">
            <w:pPr>
              <w:keepNext/>
              <w:numPr>
                <w:ilvl w:val="12"/>
                <w:numId w:val="0"/>
              </w:numPr>
              <w:spacing w:line="240" w:lineRule="auto"/>
              <w:rPr>
                <w:szCs w:val="22"/>
              </w:rPr>
            </w:pPr>
            <w:r w:rsidRPr="00183B5F">
              <w:t>20 mg kéthetente</w:t>
            </w:r>
          </w:p>
        </w:tc>
        <w:tc>
          <w:tcPr>
            <w:tcW w:w="3096" w:type="dxa"/>
          </w:tcPr>
          <w:p w14:paraId="26B2545B" w14:textId="77777777" w:rsidR="002942B5" w:rsidRPr="00183B5F" w:rsidRDefault="00943743" w:rsidP="004062FE">
            <w:pPr>
              <w:numPr>
                <w:ilvl w:val="12"/>
                <w:numId w:val="0"/>
              </w:numPr>
              <w:spacing w:line="240" w:lineRule="auto"/>
              <w:ind w:right="-2"/>
            </w:pPr>
            <w:r w:rsidRPr="00183B5F">
              <w:t>N</w:t>
            </w:r>
            <w:r w:rsidR="00FB5CF5" w:rsidRPr="00183B5F">
              <w:t>incs</w:t>
            </w:r>
          </w:p>
        </w:tc>
      </w:tr>
    </w:tbl>
    <w:p w14:paraId="14FCAEBC" w14:textId="77777777" w:rsidR="002942B5" w:rsidRPr="00183B5F" w:rsidRDefault="002942B5" w:rsidP="004062FE">
      <w:pPr>
        <w:numPr>
          <w:ilvl w:val="12"/>
          <w:numId w:val="0"/>
        </w:numPr>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3020"/>
        <w:gridCol w:w="3027"/>
      </w:tblGrid>
      <w:tr w:rsidR="00011D2F" w14:paraId="63C7154A" w14:textId="77777777" w:rsidTr="002942B5">
        <w:tc>
          <w:tcPr>
            <w:tcW w:w="9287" w:type="dxa"/>
            <w:gridSpan w:val="3"/>
          </w:tcPr>
          <w:p w14:paraId="3CC81B2B" w14:textId="77777777" w:rsidR="002942B5" w:rsidRPr="00183B5F" w:rsidRDefault="00943743" w:rsidP="004062FE">
            <w:pPr>
              <w:numPr>
                <w:ilvl w:val="12"/>
                <w:numId w:val="0"/>
              </w:numPr>
              <w:spacing w:line="240" w:lineRule="auto"/>
              <w:ind w:right="-2"/>
              <w:rPr>
                <w:b/>
              </w:rPr>
            </w:pPr>
            <w:r w:rsidRPr="00183B5F">
              <w:rPr>
                <w:b/>
                <w:szCs w:val="22"/>
              </w:rPr>
              <w:t>Entezitisszel társult artritisz</w:t>
            </w:r>
          </w:p>
        </w:tc>
      </w:tr>
      <w:tr w:rsidR="00011D2F" w14:paraId="01EC56A7" w14:textId="77777777" w:rsidTr="002942B5">
        <w:tc>
          <w:tcPr>
            <w:tcW w:w="3095" w:type="dxa"/>
          </w:tcPr>
          <w:p w14:paraId="67889B76" w14:textId="77777777" w:rsidR="002942B5" w:rsidRPr="00183B5F" w:rsidRDefault="00943743" w:rsidP="004062FE">
            <w:pPr>
              <w:numPr>
                <w:ilvl w:val="12"/>
                <w:numId w:val="0"/>
              </w:numPr>
              <w:spacing w:line="240" w:lineRule="auto"/>
              <w:ind w:right="-2"/>
            </w:pPr>
            <w:r w:rsidRPr="00183B5F">
              <w:rPr>
                <w:b/>
              </w:rPr>
              <w:t>Kor vagy testtömeg</w:t>
            </w:r>
          </w:p>
        </w:tc>
        <w:tc>
          <w:tcPr>
            <w:tcW w:w="3096" w:type="dxa"/>
          </w:tcPr>
          <w:p w14:paraId="7EC0E710" w14:textId="77777777" w:rsidR="002942B5" w:rsidRPr="00183B5F" w:rsidRDefault="00943743" w:rsidP="004062FE">
            <w:pPr>
              <w:numPr>
                <w:ilvl w:val="12"/>
                <w:numId w:val="0"/>
              </w:numPr>
              <w:spacing w:line="240" w:lineRule="auto"/>
              <w:ind w:right="-2"/>
            </w:pPr>
            <w:r w:rsidRPr="00183B5F">
              <w:rPr>
                <w:b/>
              </w:rPr>
              <w:t>Milyen adagot és milyen gyakran kell alkalmazni?</w:t>
            </w:r>
          </w:p>
        </w:tc>
        <w:tc>
          <w:tcPr>
            <w:tcW w:w="3096" w:type="dxa"/>
          </w:tcPr>
          <w:p w14:paraId="496D51EA" w14:textId="77777777" w:rsidR="002942B5" w:rsidRPr="00183B5F" w:rsidRDefault="00943743" w:rsidP="004062FE">
            <w:pPr>
              <w:numPr>
                <w:ilvl w:val="12"/>
                <w:numId w:val="0"/>
              </w:numPr>
              <w:spacing w:line="240" w:lineRule="auto"/>
              <w:ind w:right="-2"/>
            </w:pPr>
            <w:r w:rsidRPr="00183B5F">
              <w:rPr>
                <w:b/>
              </w:rPr>
              <w:t>Megjegyzések</w:t>
            </w:r>
          </w:p>
        </w:tc>
      </w:tr>
      <w:tr w:rsidR="00011D2F" w14:paraId="22A55841" w14:textId="77777777" w:rsidTr="002942B5">
        <w:tc>
          <w:tcPr>
            <w:tcW w:w="3095" w:type="dxa"/>
          </w:tcPr>
          <w:p w14:paraId="62C4F392" w14:textId="77777777" w:rsidR="002942B5" w:rsidRPr="00183B5F" w:rsidRDefault="00943743" w:rsidP="004062FE">
            <w:pPr>
              <w:numPr>
                <w:ilvl w:val="12"/>
                <w:numId w:val="0"/>
              </w:numPr>
              <w:spacing w:line="240" w:lineRule="auto"/>
              <w:ind w:right="-2"/>
            </w:pPr>
            <w:r w:rsidRPr="00183B5F">
              <w:t>6 éves kor feletti</w:t>
            </w:r>
            <w:r w:rsidR="00747D3E" w:rsidRPr="00183B5F">
              <w:t>, 30 kg vagy annál nagyobb testtömegű</w:t>
            </w:r>
            <w:r w:rsidRPr="00183B5F">
              <w:t xml:space="preserve"> gyermekek, serdülők és felnőttek</w:t>
            </w:r>
          </w:p>
        </w:tc>
        <w:tc>
          <w:tcPr>
            <w:tcW w:w="3096" w:type="dxa"/>
          </w:tcPr>
          <w:p w14:paraId="38C11D01" w14:textId="77777777" w:rsidR="002942B5" w:rsidRPr="00183B5F" w:rsidRDefault="00943743" w:rsidP="004062FE">
            <w:pPr>
              <w:numPr>
                <w:ilvl w:val="12"/>
                <w:numId w:val="0"/>
              </w:numPr>
              <w:spacing w:line="240" w:lineRule="auto"/>
              <w:ind w:right="-2"/>
            </w:pPr>
            <w:r w:rsidRPr="00183B5F">
              <w:t>40 mg minden második héten</w:t>
            </w:r>
          </w:p>
        </w:tc>
        <w:tc>
          <w:tcPr>
            <w:tcW w:w="3096" w:type="dxa"/>
          </w:tcPr>
          <w:p w14:paraId="63828E98" w14:textId="77777777" w:rsidR="002942B5" w:rsidRPr="00183B5F" w:rsidRDefault="00943743" w:rsidP="004062FE">
            <w:pPr>
              <w:numPr>
                <w:ilvl w:val="12"/>
                <w:numId w:val="0"/>
              </w:numPr>
              <w:spacing w:line="240" w:lineRule="auto"/>
              <w:ind w:right="-2"/>
            </w:pPr>
            <w:r w:rsidRPr="00183B5F">
              <w:t>N</w:t>
            </w:r>
            <w:r w:rsidR="00FB5CF5" w:rsidRPr="00183B5F">
              <w:t>incs</w:t>
            </w:r>
          </w:p>
        </w:tc>
      </w:tr>
      <w:tr w:rsidR="00011D2F" w14:paraId="2C11FB69" w14:textId="77777777" w:rsidTr="002942B5">
        <w:tc>
          <w:tcPr>
            <w:tcW w:w="3095" w:type="dxa"/>
          </w:tcPr>
          <w:p w14:paraId="3C3772D5" w14:textId="77777777" w:rsidR="00747D3E" w:rsidRPr="00183B5F" w:rsidRDefault="00943743" w:rsidP="004062FE">
            <w:pPr>
              <w:numPr>
                <w:ilvl w:val="12"/>
                <w:numId w:val="0"/>
              </w:numPr>
              <w:spacing w:line="240" w:lineRule="auto"/>
              <w:ind w:right="-2"/>
            </w:pPr>
            <w:r w:rsidRPr="00183B5F">
              <w:t>6 évesnél idősebb, 15</w:t>
            </w:r>
            <w:r w:rsidR="00FB5CF5" w:rsidRPr="00183B5F">
              <w:t> kg</w:t>
            </w:r>
            <w:r w:rsidR="00194670" w:rsidRPr="00183B5F">
              <w:noBreakHyphen/>
              <w:t>nál nagyobb, de</w:t>
            </w:r>
            <w:r w:rsidR="00E60726" w:rsidRPr="00183B5F">
              <w:t xml:space="preserve"> </w:t>
            </w:r>
            <w:r w:rsidRPr="00183B5F">
              <w:t>30 kg</w:t>
            </w:r>
            <w:r w:rsidR="00194670" w:rsidRPr="00183B5F">
              <w:noBreakHyphen/>
              <w:t>nál kisebb</w:t>
            </w:r>
            <w:r w:rsidRPr="00183B5F">
              <w:t xml:space="preserve"> testtömegű gyermekek és serdülők</w:t>
            </w:r>
          </w:p>
        </w:tc>
        <w:tc>
          <w:tcPr>
            <w:tcW w:w="3096" w:type="dxa"/>
          </w:tcPr>
          <w:p w14:paraId="363D1837" w14:textId="77777777" w:rsidR="00747D3E" w:rsidRPr="00183B5F" w:rsidRDefault="00943743" w:rsidP="004062FE">
            <w:pPr>
              <w:numPr>
                <w:ilvl w:val="12"/>
                <w:numId w:val="0"/>
              </w:numPr>
              <w:spacing w:line="240" w:lineRule="auto"/>
              <w:ind w:right="-2"/>
            </w:pPr>
            <w:r w:rsidRPr="00183B5F">
              <w:t>20 mg minden második héten</w:t>
            </w:r>
          </w:p>
        </w:tc>
        <w:tc>
          <w:tcPr>
            <w:tcW w:w="3096" w:type="dxa"/>
          </w:tcPr>
          <w:p w14:paraId="60D6D0B8" w14:textId="77777777" w:rsidR="00747D3E" w:rsidRPr="00183B5F" w:rsidRDefault="00943743" w:rsidP="004062FE">
            <w:pPr>
              <w:numPr>
                <w:ilvl w:val="12"/>
                <w:numId w:val="0"/>
              </w:numPr>
              <w:spacing w:line="240" w:lineRule="auto"/>
              <w:ind w:right="-2"/>
            </w:pPr>
            <w:r w:rsidRPr="00183B5F">
              <w:t>Nincs</w:t>
            </w:r>
          </w:p>
        </w:tc>
      </w:tr>
    </w:tbl>
    <w:p w14:paraId="48E6B972" w14:textId="77777777" w:rsidR="002942B5" w:rsidRPr="00183B5F" w:rsidRDefault="002942B5" w:rsidP="004062FE">
      <w:pPr>
        <w:numPr>
          <w:ilvl w:val="12"/>
          <w:numId w:val="0"/>
        </w:numPr>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3021"/>
        <w:gridCol w:w="3028"/>
      </w:tblGrid>
      <w:tr w:rsidR="00011D2F" w14:paraId="001B8F93" w14:textId="77777777" w:rsidTr="002942B5">
        <w:tc>
          <w:tcPr>
            <w:tcW w:w="9287" w:type="dxa"/>
            <w:gridSpan w:val="3"/>
          </w:tcPr>
          <w:p w14:paraId="56651D22" w14:textId="77777777" w:rsidR="002942B5" w:rsidRPr="00183B5F" w:rsidRDefault="00943743" w:rsidP="004062FE">
            <w:pPr>
              <w:keepNext/>
              <w:numPr>
                <w:ilvl w:val="12"/>
                <w:numId w:val="0"/>
              </w:numPr>
              <w:spacing w:line="240" w:lineRule="auto"/>
              <w:ind w:right="-2"/>
            </w:pPr>
            <w:r w:rsidRPr="00183B5F">
              <w:rPr>
                <w:b/>
              </w:rPr>
              <w:t>Pikkelysömör</w:t>
            </w:r>
          </w:p>
        </w:tc>
      </w:tr>
      <w:tr w:rsidR="00011D2F" w14:paraId="6901543C" w14:textId="77777777" w:rsidTr="002942B5">
        <w:tc>
          <w:tcPr>
            <w:tcW w:w="3095" w:type="dxa"/>
          </w:tcPr>
          <w:p w14:paraId="3C5FB54C" w14:textId="77777777" w:rsidR="002942B5" w:rsidRPr="00183B5F" w:rsidRDefault="00943743" w:rsidP="004062FE">
            <w:pPr>
              <w:keepNext/>
              <w:numPr>
                <w:ilvl w:val="12"/>
                <w:numId w:val="0"/>
              </w:numPr>
              <w:spacing w:line="240" w:lineRule="auto"/>
              <w:ind w:right="-2"/>
            </w:pPr>
            <w:r w:rsidRPr="00183B5F">
              <w:rPr>
                <w:b/>
              </w:rPr>
              <w:t>Kor vagy testtömeg</w:t>
            </w:r>
          </w:p>
        </w:tc>
        <w:tc>
          <w:tcPr>
            <w:tcW w:w="3096" w:type="dxa"/>
          </w:tcPr>
          <w:p w14:paraId="3EBAF59C" w14:textId="77777777" w:rsidR="002942B5" w:rsidRPr="00183B5F" w:rsidRDefault="00943743" w:rsidP="004062FE">
            <w:pPr>
              <w:keepNext/>
              <w:numPr>
                <w:ilvl w:val="12"/>
                <w:numId w:val="0"/>
              </w:numPr>
              <w:spacing w:line="240" w:lineRule="auto"/>
              <w:ind w:right="-2"/>
            </w:pPr>
            <w:r w:rsidRPr="00183B5F">
              <w:rPr>
                <w:b/>
              </w:rPr>
              <w:t>Milyen adagot és milyen gyakran kell alkalmazni?</w:t>
            </w:r>
          </w:p>
        </w:tc>
        <w:tc>
          <w:tcPr>
            <w:tcW w:w="3096" w:type="dxa"/>
          </w:tcPr>
          <w:p w14:paraId="256D3119" w14:textId="77777777" w:rsidR="002942B5" w:rsidRPr="00183B5F" w:rsidRDefault="00943743" w:rsidP="004062FE">
            <w:pPr>
              <w:keepNext/>
              <w:numPr>
                <w:ilvl w:val="12"/>
                <w:numId w:val="0"/>
              </w:numPr>
              <w:spacing w:line="240" w:lineRule="auto"/>
              <w:ind w:right="-2"/>
            </w:pPr>
            <w:r w:rsidRPr="00183B5F">
              <w:rPr>
                <w:b/>
              </w:rPr>
              <w:t>Megjegyzések</w:t>
            </w:r>
          </w:p>
        </w:tc>
      </w:tr>
      <w:tr w:rsidR="00011D2F" w14:paraId="7CE95C75" w14:textId="77777777" w:rsidTr="002942B5">
        <w:tc>
          <w:tcPr>
            <w:tcW w:w="3095" w:type="dxa"/>
          </w:tcPr>
          <w:p w14:paraId="73097EED" w14:textId="77777777" w:rsidR="002942B5" w:rsidRPr="00183B5F" w:rsidRDefault="00943743" w:rsidP="004062FE">
            <w:pPr>
              <w:keepNext/>
              <w:numPr>
                <w:ilvl w:val="12"/>
                <w:numId w:val="0"/>
              </w:numPr>
              <w:spacing w:line="240" w:lineRule="auto"/>
              <w:ind w:right="-2"/>
            </w:pPr>
            <w:r w:rsidRPr="00183B5F">
              <w:t>Felnőttek</w:t>
            </w:r>
          </w:p>
          <w:p w14:paraId="4E5730F9" w14:textId="77777777" w:rsidR="002942B5" w:rsidRPr="00183B5F" w:rsidRDefault="002942B5" w:rsidP="004062FE">
            <w:pPr>
              <w:keepNext/>
              <w:numPr>
                <w:ilvl w:val="12"/>
                <w:numId w:val="0"/>
              </w:numPr>
              <w:spacing w:line="240" w:lineRule="auto"/>
              <w:ind w:right="-2"/>
            </w:pPr>
          </w:p>
        </w:tc>
        <w:tc>
          <w:tcPr>
            <w:tcW w:w="3096" w:type="dxa"/>
          </w:tcPr>
          <w:p w14:paraId="01FEA970" w14:textId="77777777" w:rsidR="002942B5" w:rsidRPr="00183B5F" w:rsidRDefault="00943743" w:rsidP="004062FE">
            <w:pPr>
              <w:keepNext/>
              <w:numPr>
                <w:ilvl w:val="12"/>
                <w:numId w:val="0"/>
              </w:numPr>
              <w:spacing w:line="240" w:lineRule="auto"/>
              <w:ind w:right="-2"/>
            </w:pPr>
            <w:r w:rsidRPr="00183B5F">
              <w:rPr>
                <w:szCs w:val="22"/>
              </w:rPr>
              <w:t>A kezdő adag 80 mg (két 40 mg</w:t>
            </w:r>
            <w:r w:rsidRPr="00183B5F">
              <w:rPr>
                <w:szCs w:val="22"/>
              </w:rPr>
              <w:noBreakHyphen/>
              <w:t>os injekció egyetlen napon), amelyet minden második héten adott 40 mg követ, a kezdő adag utáni első héttől kezdve.</w:t>
            </w:r>
          </w:p>
        </w:tc>
        <w:tc>
          <w:tcPr>
            <w:tcW w:w="3096" w:type="dxa"/>
          </w:tcPr>
          <w:p w14:paraId="21B6CD29" w14:textId="77777777" w:rsidR="002942B5" w:rsidRPr="00183B5F" w:rsidRDefault="00943743">
            <w:pPr>
              <w:keepNext/>
              <w:spacing w:line="240" w:lineRule="auto"/>
            </w:pPr>
            <w:r w:rsidRPr="00183B5F">
              <w:t>Ha Ön nem megfelelően reagál a kezelésre, a kezelőorvosa heti 40 mg</w:t>
            </w:r>
            <w:r w:rsidRPr="00183B5F">
              <w:noBreakHyphen/>
              <w:t xml:space="preserve">ra </w:t>
            </w:r>
            <w:r w:rsidR="00DA59DA" w:rsidRPr="00183B5F">
              <w:t>vag</w:t>
            </w:r>
            <w:r w:rsidR="00F523EA" w:rsidRPr="00183B5F">
              <w:t>y kéthetente</w:t>
            </w:r>
            <w:r w:rsidR="00DA59DA" w:rsidRPr="00183B5F">
              <w:t xml:space="preserve"> 80 mg</w:t>
            </w:r>
            <w:r w:rsidR="00E5381A" w:rsidRPr="00183B5F">
              <w:noBreakHyphen/>
            </w:r>
            <w:r w:rsidR="00DA59DA" w:rsidRPr="00183B5F">
              <w:t xml:space="preserve">ra </w:t>
            </w:r>
            <w:r w:rsidRPr="00183B5F">
              <w:t>emelheti az adag</w:t>
            </w:r>
            <w:r w:rsidR="006D4587" w:rsidRPr="00183B5F">
              <w:t>ot</w:t>
            </w:r>
            <w:r w:rsidRPr="00183B5F">
              <w:t>.</w:t>
            </w:r>
          </w:p>
        </w:tc>
      </w:tr>
      <w:tr w:rsidR="00011D2F" w14:paraId="6C56552D" w14:textId="77777777" w:rsidTr="002942B5">
        <w:tc>
          <w:tcPr>
            <w:tcW w:w="3095" w:type="dxa"/>
          </w:tcPr>
          <w:p w14:paraId="1F8CFF0C" w14:textId="77777777" w:rsidR="002942B5" w:rsidRPr="00183B5F" w:rsidRDefault="00943743" w:rsidP="004062FE">
            <w:pPr>
              <w:keepNext/>
              <w:numPr>
                <w:ilvl w:val="12"/>
                <w:numId w:val="0"/>
              </w:numPr>
              <w:spacing w:line="240" w:lineRule="auto"/>
              <w:ind w:right="-2"/>
            </w:pPr>
            <w:r w:rsidRPr="00183B5F">
              <w:t>4-17 éves kor közötti, 30 kg vagy annál nagyobb testtömegű gyermekek és serdülők</w:t>
            </w:r>
          </w:p>
        </w:tc>
        <w:tc>
          <w:tcPr>
            <w:tcW w:w="3096" w:type="dxa"/>
          </w:tcPr>
          <w:p w14:paraId="7F2143A6" w14:textId="77777777" w:rsidR="00747D3E" w:rsidRPr="00183B5F" w:rsidRDefault="00943743" w:rsidP="004062FE">
            <w:pPr>
              <w:numPr>
                <w:ilvl w:val="12"/>
                <w:numId w:val="0"/>
              </w:numPr>
              <w:tabs>
                <w:tab w:val="left" w:pos="720"/>
              </w:tabs>
              <w:spacing w:line="240" w:lineRule="auto"/>
              <w:rPr>
                <w:szCs w:val="22"/>
              </w:rPr>
            </w:pPr>
            <w:r w:rsidRPr="00183B5F">
              <w:rPr>
                <w:szCs w:val="22"/>
              </w:rPr>
              <w:t>Első alkalommal 40 mg, majd egy héttel később 40 mg.</w:t>
            </w:r>
          </w:p>
          <w:p w14:paraId="3A2D44C5" w14:textId="77777777" w:rsidR="00747D3E" w:rsidRPr="00183B5F" w:rsidRDefault="00747D3E" w:rsidP="004062FE">
            <w:pPr>
              <w:numPr>
                <w:ilvl w:val="12"/>
                <w:numId w:val="0"/>
              </w:numPr>
              <w:tabs>
                <w:tab w:val="left" w:pos="720"/>
              </w:tabs>
              <w:spacing w:line="240" w:lineRule="auto"/>
            </w:pPr>
          </w:p>
          <w:p w14:paraId="75B41101" w14:textId="77777777" w:rsidR="002942B5" w:rsidRPr="00183B5F" w:rsidRDefault="00943743" w:rsidP="004062FE">
            <w:pPr>
              <w:keepNext/>
              <w:numPr>
                <w:ilvl w:val="12"/>
                <w:numId w:val="0"/>
              </w:numPr>
              <w:spacing w:line="240" w:lineRule="auto"/>
              <w:ind w:right="-2"/>
            </w:pPr>
            <w:r w:rsidRPr="00183B5F">
              <w:t>Ezt követően, a szokásos adag 40 mg minden második héten.</w:t>
            </w:r>
          </w:p>
        </w:tc>
        <w:tc>
          <w:tcPr>
            <w:tcW w:w="3096" w:type="dxa"/>
          </w:tcPr>
          <w:p w14:paraId="17FD5298" w14:textId="77777777" w:rsidR="002942B5" w:rsidRPr="00183B5F" w:rsidRDefault="00943743" w:rsidP="004062FE">
            <w:pPr>
              <w:keepNext/>
              <w:numPr>
                <w:ilvl w:val="12"/>
                <w:numId w:val="0"/>
              </w:numPr>
              <w:spacing w:line="240" w:lineRule="auto"/>
              <w:ind w:right="-2"/>
            </w:pPr>
            <w:r w:rsidRPr="00183B5F">
              <w:t>N</w:t>
            </w:r>
            <w:r w:rsidR="00FB5CF5" w:rsidRPr="00183B5F">
              <w:t>incs</w:t>
            </w:r>
          </w:p>
        </w:tc>
      </w:tr>
      <w:tr w:rsidR="00011D2F" w14:paraId="33A12E59" w14:textId="77777777" w:rsidTr="002942B5">
        <w:tc>
          <w:tcPr>
            <w:tcW w:w="3095" w:type="dxa"/>
          </w:tcPr>
          <w:p w14:paraId="470E95E2" w14:textId="77777777" w:rsidR="00747D3E" w:rsidRPr="00183B5F" w:rsidRDefault="00943743" w:rsidP="004062FE">
            <w:pPr>
              <w:keepNext/>
              <w:numPr>
                <w:ilvl w:val="12"/>
                <w:numId w:val="0"/>
              </w:numPr>
              <w:spacing w:line="240" w:lineRule="auto"/>
              <w:ind w:right="-2"/>
            </w:pPr>
            <w:r w:rsidRPr="00183B5F">
              <w:t>4-17 éves kor közötti, 15 </w:t>
            </w:r>
            <w:r w:rsidR="00FB5CF5" w:rsidRPr="00183B5F">
              <w:t>kg</w:t>
            </w:r>
            <w:r w:rsidR="00194670" w:rsidRPr="00183B5F">
              <w:noBreakHyphen/>
              <w:t>nál nagyobb, de</w:t>
            </w:r>
            <w:r w:rsidRPr="00183B5F">
              <w:t xml:space="preserve"> 30 kg</w:t>
            </w:r>
            <w:r w:rsidR="00194670" w:rsidRPr="00183B5F">
              <w:noBreakHyphen/>
              <w:t>nál kisebb</w:t>
            </w:r>
            <w:r w:rsidRPr="00183B5F">
              <w:t xml:space="preserve"> testtömeg</w:t>
            </w:r>
            <w:r w:rsidR="00194670" w:rsidRPr="00183B5F">
              <w:t>ű</w:t>
            </w:r>
            <w:r w:rsidRPr="00183B5F">
              <w:t xml:space="preserve"> gyermekek és serdülők</w:t>
            </w:r>
          </w:p>
        </w:tc>
        <w:tc>
          <w:tcPr>
            <w:tcW w:w="3096" w:type="dxa"/>
          </w:tcPr>
          <w:p w14:paraId="1598E6BB" w14:textId="77777777" w:rsidR="00747D3E" w:rsidRPr="00183B5F" w:rsidRDefault="00943743" w:rsidP="004062FE">
            <w:pPr>
              <w:numPr>
                <w:ilvl w:val="12"/>
                <w:numId w:val="0"/>
              </w:numPr>
              <w:tabs>
                <w:tab w:val="left" w:pos="720"/>
              </w:tabs>
              <w:spacing w:line="240" w:lineRule="auto"/>
              <w:rPr>
                <w:szCs w:val="22"/>
              </w:rPr>
            </w:pPr>
            <w:r w:rsidRPr="00183B5F">
              <w:rPr>
                <w:szCs w:val="22"/>
              </w:rPr>
              <w:t>Első alkalommal 20 mg, majd egy héttel később 20 mg.</w:t>
            </w:r>
          </w:p>
          <w:p w14:paraId="25D84F6E" w14:textId="77777777" w:rsidR="00747D3E" w:rsidRPr="00183B5F" w:rsidRDefault="00747D3E" w:rsidP="004062FE">
            <w:pPr>
              <w:keepNext/>
              <w:numPr>
                <w:ilvl w:val="12"/>
                <w:numId w:val="0"/>
              </w:numPr>
              <w:tabs>
                <w:tab w:val="left" w:pos="720"/>
              </w:tabs>
              <w:spacing w:line="240" w:lineRule="auto"/>
            </w:pPr>
          </w:p>
          <w:p w14:paraId="766BEAFA" w14:textId="77777777" w:rsidR="00747D3E" w:rsidRPr="00183B5F" w:rsidRDefault="00943743" w:rsidP="004062FE">
            <w:pPr>
              <w:numPr>
                <w:ilvl w:val="12"/>
                <w:numId w:val="0"/>
              </w:numPr>
              <w:tabs>
                <w:tab w:val="left" w:pos="720"/>
              </w:tabs>
              <w:spacing w:line="240" w:lineRule="auto"/>
              <w:rPr>
                <w:szCs w:val="22"/>
              </w:rPr>
            </w:pPr>
            <w:r w:rsidRPr="00183B5F">
              <w:t>Ezt követően, a szokásos adag 20 mg minden második héten.</w:t>
            </w:r>
          </w:p>
        </w:tc>
        <w:tc>
          <w:tcPr>
            <w:tcW w:w="3096" w:type="dxa"/>
          </w:tcPr>
          <w:p w14:paraId="2522659E" w14:textId="77777777" w:rsidR="00747D3E" w:rsidRPr="00183B5F" w:rsidRDefault="00943743" w:rsidP="004062FE">
            <w:pPr>
              <w:keepNext/>
              <w:numPr>
                <w:ilvl w:val="12"/>
                <w:numId w:val="0"/>
              </w:numPr>
              <w:spacing w:line="240" w:lineRule="auto"/>
              <w:ind w:right="-2"/>
            </w:pPr>
            <w:r w:rsidRPr="00183B5F">
              <w:t>N</w:t>
            </w:r>
            <w:r w:rsidR="00FB5CF5" w:rsidRPr="00183B5F">
              <w:t>incs</w:t>
            </w:r>
          </w:p>
        </w:tc>
      </w:tr>
    </w:tbl>
    <w:p w14:paraId="497BDEE7" w14:textId="77777777" w:rsidR="002942B5" w:rsidRPr="00183B5F" w:rsidRDefault="002942B5" w:rsidP="004062FE">
      <w:pPr>
        <w:numPr>
          <w:ilvl w:val="12"/>
          <w:numId w:val="0"/>
        </w:numPr>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7"/>
        <w:gridCol w:w="3030"/>
        <w:gridCol w:w="3034"/>
      </w:tblGrid>
      <w:tr w:rsidR="00011D2F" w14:paraId="4F30A207" w14:textId="77777777" w:rsidTr="002942B5">
        <w:tc>
          <w:tcPr>
            <w:tcW w:w="9287" w:type="dxa"/>
            <w:gridSpan w:val="3"/>
          </w:tcPr>
          <w:p w14:paraId="30232434" w14:textId="77777777" w:rsidR="002942B5" w:rsidRPr="00183B5F" w:rsidRDefault="00943743" w:rsidP="004062FE">
            <w:pPr>
              <w:numPr>
                <w:ilvl w:val="12"/>
                <w:numId w:val="0"/>
              </w:numPr>
              <w:spacing w:line="240" w:lineRule="auto"/>
              <w:ind w:right="-2"/>
              <w:rPr>
                <w:b/>
              </w:rPr>
            </w:pPr>
            <w:r w:rsidRPr="00183B5F">
              <w:rPr>
                <w:b/>
              </w:rPr>
              <w:t>Hidradenitisz szuppuratíva</w:t>
            </w:r>
          </w:p>
        </w:tc>
      </w:tr>
      <w:tr w:rsidR="00011D2F" w14:paraId="05EF73A4" w14:textId="77777777" w:rsidTr="002942B5">
        <w:tc>
          <w:tcPr>
            <w:tcW w:w="3095" w:type="dxa"/>
          </w:tcPr>
          <w:p w14:paraId="17C4B6CB" w14:textId="77777777" w:rsidR="002942B5" w:rsidRPr="00183B5F" w:rsidRDefault="00943743" w:rsidP="004062FE">
            <w:pPr>
              <w:numPr>
                <w:ilvl w:val="12"/>
                <w:numId w:val="0"/>
              </w:numPr>
              <w:spacing w:line="240" w:lineRule="auto"/>
              <w:ind w:right="-2"/>
            </w:pPr>
            <w:r w:rsidRPr="00183B5F">
              <w:rPr>
                <w:b/>
              </w:rPr>
              <w:t>Kor vagy testtömeg</w:t>
            </w:r>
          </w:p>
        </w:tc>
        <w:tc>
          <w:tcPr>
            <w:tcW w:w="3096" w:type="dxa"/>
          </w:tcPr>
          <w:p w14:paraId="70A551D3" w14:textId="77777777" w:rsidR="002942B5" w:rsidRPr="00183B5F" w:rsidRDefault="00943743" w:rsidP="004062FE">
            <w:pPr>
              <w:numPr>
                <w:ilvl w:val="12"/>
                <w:numId w:val="0"/>
              </w:numPr>
              <w:spacing w:line="240" w:lineRule="auto"/>
              <w:ind w:right="-2"/>
            </w:pPr>
            <w:r w:rsidRPr="00183B5F">
              <w:rPr>
                <w:b/>
              </w:rPr>
              <w:t>Milyen adagot és milyen gyakran kell alkalmazni?</w:t>
            </w:r>
          </w:p>
        </w:tc>
        <w:tc>
          <w:tcPr>
            <w:tcW w:w="3096" w:type="dxa"/>
          </w:tcPr>
          <w:p w14:paraId="114101D1" w14:textId="77777777" w:rsidR="002942B5" w:rsidRPr="00183B5F" w:rsidRDefault="00943743" w:rsidP="004062FE">
            <w:pPr>
              <w:numPr>
                <w:ilvl w:val="12"/>
                <w:numId w:val="0"/>
              </w:numPr>
              <w:spacing w:line="240" w:lineRule="auto"/>
              <w:ind w:right="-2"/>
            </w:pPr>
            <w:r w:rsidRPr="00183B5F">
              <w:rPr>
                <w:b/>
              </w:rPr>
              <w:t>Megjegyzések</w:t>
            </w:r>
          </w:p>
        </w:tc>
      </w:tr>
      <w:tr w:rsidR="00011D2F" w14:paraId="663C94A8" w14:textId="77777777" w:rsidTr="002942B5">
        <w:tc>
          <w:tcPr>
            <w:tcW w:w="3095" w:type="dxa"/>
          </w:tcPr>
          <w:p w14:paraId="4E33FD58" w14:textId="77777777" w:rsidR="002942B5" w:rsidRPr="00183B5F" w:rsidRDefault="00943743" w:rsidP="004062FE">
            <w:pPr>
              <w:numPr>
                <w:ilvl w:val="12"/>
                <w:numId w:val="0"/>
              </w:numPr>
              <w:spacing w:line="240" w:lineRule="auto"/>
              <w:ind w:right="-2"/>
            </w:pPr>
            <w:r w:rsidRPr="00183B5F">
              <w:t>Felnőttek</w:t>
            </w:r>
          </w:p>
        </w:tc>
        <w:tc>
          <w:tcPr>
            <w:tcW w:w="3096" w:type="dxa"/>
          </w:tcPr>
          <w:p w14:paraId="3B8AFD99" w14:textId="77777777" w:rsidR="002942B5" w:rsidRPr="00183B5F" w:rsidRDefault="00943743">
            <w:pPr>
              <w:numPr>
                <w:ilvl w:val="12"/>
                <w:numId w:val="0"/>
              </w:numPr>
              <w:spacing w:line="240" w:lineRule="auto"/>
              <w:ind w:right="-2"/>
            </w:pPr>
            <w:r w:rsidRPr="00183B5F">
              <w:rPr>
                <w:szCs w:val="22"/>
              </w:rPr>
              <w:t>A kezdő adag 160 mg (négy 40 mg</w:t>
            </w:r>
            <w:r w:rsidRPr="00183B5F">
              <w:rPr>
                <w:szCs w:val="22"/>
              </w:rPr>
              <w:noBreakHyphen/>
            </w:r>
            <w:r w:rsidRPr="00183B5F">
              <w:rPr>
                <w:szCs w:val="22"/>
              </w:rPr>
              <w:t>os injekció egyetlen napon vagy napi két 40 mg</w:t>
            </w:r>
            <w:r w:rsidRPr="00183B5F">
              <w:rPr>
                <w:szCs w:val="22"/>
              </w:rPr>
              <w:noBreakHyphen/>
              <w:t>os injekció két egymást követő napon), melyet 2 héttel később 80 mg követ (két 40 mg</w:t>
            </w:r>
            <w:r w:rsidRPr="00183B5F">
              <w:rPr>
                <w:szCs w:val="22"/>
              </w:rPr>
              <w:noBreakHyphen/>
              <w:t>os injekció egyetlen napon). További két héttel később heti 40 mg</w:t>
            </w:r>
            <w:r w:rsidRPr="00183B5F">
              <w:rPr>
                <w:szCs w:val="22"/>
              </w:rPr>
              <w:noBreakHyphen/>
              <w:t>os</w:t>
            </w:r>
            <w:r w:rsidR="00F523EA" w:rsidRPr="00183B5F">
              <w:rPr>
                <w:szCs w:val="22"/>
              </w:rPr>
              <w:t xml:space="preserve"> vagy kéthetente</w:t>
            </w:r>
            <w:r w:rsidR="00DA59DA" w:rsidRPr="00183B5F">
              <w:rPr>
                <w:szCs w:val="22"/>
              </w:rPr>
              <w:t xml:space="preserve"> 80 mg</w:t>
            </w:r>
            <w:r w:rsidR="00E5381A" w:rsidRPr="00183B5F">
              <w:rPr>
                <w:szCs w:val="22"/>
              </w:rPr>
              <w:noBreakHyphen/>
            </w:r>
            <w:r w:rsidR="00DA59DA" w:rsidRPr="00183B5F">
              <w:rPr>
                <w:szCs w:val="22"/>
              </w:rPr>
              <w:t>os</w:t>
            </w:r>
            <w:r w:rsidRPr="00183B5F">
              <w:rPr>
                <w:szCs w:val="22"/>
              </w:rPr>
              <w:t xml:space="preserve"> dózissal folytassa</w:t>
            </w:r>
            <w:r w:rsidR="00DA59DA" w:rsidRPr="00183B5F">
              <w:rPr>
                <w:szCs w:val="22"/>
              </w:rPr>
              <w:t xml:space="preserve">, kezelőorvosának előírása szerint. </w:t>
            </w:r>
          </w:p>
        </w:tc>
        <w:tc>
          <w:tcPr>
            <w:tcW w:w="3096" w:type="dxa"/>
          </w:tcPr>
          <w:p w14:paraId="5E2FAE3F" w14:textId="77777777" w:rsidR="002942B5" w:rsidRPr="00183B5F" w:rsidRDefault="00943743" w:rsidP="004062FE">
            <w:pPr>
              <w:spacing w:line="240" w:lineRule="auto"/>
              <w:ind w:left="46"/>
            </w:pPr>
            <w:r w:rsidRPr="00183B5F">
              <w:rPr>
                <w:szCs w:val="22"/>
              </w:rPr>
              <w:t>Javasolt, hogy naponta használjon fertőtlenítő lemosót az érintett területeken.</w:t>
            </w:r>
          </w:p>
        </w:tc>
      </w:tr>
      <w:tr w:rsidR="00011D2F" w14:paraId="36E404B4" w14:textId="77777777" w:rsidTr="004C777E">
        <w:trPr>
          <w:trHeight w:val="1259"/>
        </w:trPr>
        <w:tc>
          <w:tcPr>
            <w:tcW w:w="3095" w:type="dxa"/>
          </w:tcPr>
          <w:p w14:paraId="3D1FCED8" w14:textId="77777777" w:rsidR="00300C94" w:rsidRPr="00183B5F" w:rsidRDefault="00943743" w:rsidP="004062FE">
            <w:pPr>
              <w:numPr>
                <w:ilvl w:val="12"/>
                <w:numId w:val="0"/>
              </w:numPr>
              <w:spacing w:line="240" w:lineRule="auto"/>
              <w:ind w:right="-2"/>
            </w:pPr>
            <w:r w:rsidRPr="00183B5F">
              <w:t>12</w:t>
            </w:r>
            <w:r w:rsidR="00747D3E" w:rsidRPr="00183B5F">
              <w:noBreakHyphen/>
              <w:t>17 </w:t>
            </w:r>
            <w:r w:rsidRPr="00183B5F">
              <w:t xml:space="preserve"> év </w:t>
            </w:r>
            <w:r w:rsidR="00747D3E" w:rsidRPr="00183B5F">
              <w:t>közötti</w:t>
            </w:r>
            <w:r w:rsidRPr="00183B5F">
              <w:t xml:space="preserve">, </w:t>
            </w:r>
            <w:r w:rsidR="00747D3E" w:rsidRPr="00183B5F">
              <w:t>30 kg vagy annál nagyobb testtömegű serdülők</w:t>
            </w:r>
          </w:p>
        </w:tc>
        <w:tc>
          <w:tcPr>
            <w:tcW w:w="3096" w:type="dxa"/>
          </w:tcPr>
          <w:p w14:paraId="084EF7D5" w14:textId="77777777" w:rsidR="00300C94" w:rsidRPr="00183B5F" w:rsidRDefault="00943743" w:rsidP="004062FE">
            <w:pPr>
              <w:keepNext/>
              <w:spacing w:line="240" w:lineRule="auto"/>
              <w:rPr>
                <w:szCs w:val="22"/>
              </w:rPr>
            </w:pPr>
            <w:r w:rsidRPr="00183B5F">
              <w:rPr>
                <w:szCs w:val="22"/>
              </w:rPr>
              <w:t>A kezdő adag 80 mg (két 40 mg</w:t>
            </w:r>
            <w:r w:rsidRPr="00183B5F">
              <w:rPr>
                <w:szCs w:val="22"/>
              </w:rPr>
              <w:noBreakHyphen/>
              <w:t>os injekció ugyanazon a napon), amelyet egy héttel később minden második héten adott 40 mg követ.</w:t>
            </w:r>
          </w:p>
        </w:tc>
        <w:tc>
          <w:tcPr>
            <w:tcW w:w="3096" w:type="dxa"/>
          </w:tcPr>
          <w:p w14:paraId="5886652B" w14:textId="77777777" w:rsidR="00300C94" w:rsidRPr="00183B5F" w:rsidRDefault="00943743">
            <w:pPr>
              <w:spacing w:line="240" w:lineRule="auto"/>
              <w:ind w:left="46"/>
              <w:rPr>
                <w:szCs w:val="22"/>
              </w:rPr>
            </w:pPr>
            <w:r w:rsidRPr="00183B5F">
              <w:t xml:space="preserve">Ha Ön nem megfelelően reagál a </w:t>
            </w:r>
            <w:r w:rsidR="00F523EA" w:rsidRPr="00183B5F">
              <w:t>kéthetente alkalmazott</w:t>
            </w:r>
            <w:r w:rsidR="00DA59DA" w:rsidRPr="00183B5F">
              <w:t xml:space="preserve"> 40 mg Humira</w:t>
            </w:r>
            <w:r w:rsidR="00DA59DA" w:rsidRPr="00183B5F">
              <w:noBreakHyphen/>
            </w:r>
            <w:r w:rsidRPr="00183B5F">
              <w:t>kezelésre, a kezelőorvosa heti 40 mg</w:t>
            </w:r>
            <w:r w:rsidRPr="00183B5F">
              <w:noBreakHyphen/>
              <w:t xml:space="preserve">ra </w:t>
            </w:r>
            <w:r w:rsidR="00DA59DA" w:rsidRPr="00183B5F">
              <w:t xml:space="preserve">vagy </w:t>
            </w:r>
            <w:r w:rsidR="00F523EA" w:rsidRPr="00183B5F">
              <w:rPr>
                <w:szCs w:val="22"/>
              </w:rPr>
              <w:t>kéthetente</w:t>
            </w:r>
            <w:r w:rsidR="00DA59DA" w:rsidRPr="00183B5F">
              <w:t xml:space="preserve"> 80 mg</w:t>
            </w:r>
            <w:r w:rsidR="00DA59DA" w:rsidRPr="00183B5F">
              <w:noBreakHyphen/>
              <w:t xml:space="preserve">ra </w:t>
            </w:r>
            <w:r w:rsidRPr="00183B5F">
              <w:t>emelheti az adag</w:t>
            </w:r>
            <w:r w:rsidR="006D4587" w:rsidRPr="00183B5F">
              <w:t>ot</w:t>
            </w:r>
            <w:r w:rsidR="00DA59DA" w:rsidRPr="00183B5F">
              <w:t>.</w:t>
            </w:r>
            <w:r w:rsidRPr="00183B5F">
              <w:t xml:space="preserve"> </w:t>
            </w:r>
            <w:r w:rsidRPr="00183B5F">
              <w:rPr>
                <w:szCs w:val="22"/>
              </w:rPr>
              <w:t>Javasolt, hogy naponta használjon fertőtlenítő lemosót az érintett területeken.</w:t>
            </w:r>
          </w:p>
        </w:tc>
      </w:tr>
    </w:tbl>
    <w:p w14:paraId="64953E50" w14:textId="77777777" w:rsidR="002942B5" w:rsidRPr="00183B5F" w:rsidRDefault="002942B5" w:rsidP="004062FE">
      <w:pPr>
        <w:numPr>
          <w:ilvl w:val="12"/>
          <w:numId w:val="0"/>
        </w:numPr>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3020"/>
        <w:gridCol w:w="3027"/>
      </w:tblGrid>
      <w:tr w:rsidR="00011D2F" w14:paraId="0DE9D036" w14:textId="77777777" w:rsidTr="002942B5">
        <w:tc>
          <w:tcPr>
            <w:tcW w:w="9287" w:type="dxa"/>
            <w:gridSpan w:val="3"/>
          </w:tcPr>
          <w:p w14:paraId="4C84637F" w14:textId="77777777" w:rsidR="002942B5" w:rsidRPr="00183B5F" w:rsidRDefault="00943743" w:rsidP="004062FE">
            <w:pPr>
              <w:keepNext/>
              <w:numPr>
                <w:ilvl w:val="12"/>
                <w:numId w:val="0"/>
              </w:numPr>
              <w:spacing w:line="240" w:lineRule="auto"/>
              <w:ind w:right="-2"/>
            </w:pPr>
            <w:r w:rsidRPr="00183B5F">
              <w:rPr>
                <w:b/>
              </w:rPr>
              <w:t>Crohn</w:t>
            </w:r>
            <w:r w:rsidRPr="00183B5F">
              <w:rPr>
                <w:b/>
              </w:rPr>
              <w:noBreakHyphen/>
              <w:t>betegség</w:t>
            </w:r>
          </w:p>
        </w:tc>
      </w:tr>
      <w:tr w:rsidR="00011D2F" w14:paraId="17489AA1" w14:textId="77777777" w:rsidTr="002942B5">
        <w:tc>
          <w:tcPr>
            <w:tcW w:w="3095" w:type="dxa"/>
          </w:tcPr>
          <w:p w14:paraId="5DE56F9F" w14:textId="77777777" w:rsidR="002942B5" w:rsidRPr="00183B5F" w:rsidRDefault="00943743" w:rsidP="004062FE">
            <w:pPr>
              <w:keepNext/>
              <w:numPr>
                <w:ilvl w:val="12"/>
                <w:numId w:val="0"/>
              </w:numPr>
              <w:spacing w:line="240" w:lineRule="auto"/>
              <w:ind w:right="-2"/>
            </w:pPr>
            <w:r w:rsidRPr="00183B5F">
              <w:rPr>
                <w:b/>
              </w:rPr>
              <w:t>Kor vagy testtömeg</w:t>
            </w:r>
          </w:p>
        </w:tc>
        <w:tc>
          <w:tcPr>
            <w:tcW w:w="3096" w:type="dxa"/>
          </w:tcPr>
          <w:p w14:paraId="45F815F5" w14:textId="77777777" w:rsidR="002942B5" w:rsidRPr="00183B5F" w:rsidRDefault="00943743" w:rsidP="004062FE">
            <w:pPr>
              <w:keepNext/>
              <w:numPr>
                <w:ilvl w:val="12"/>
                <w:numId w:val="0"/>
              </w:numPr>
              <w:spacing w:line="240" w:lineRule="auto"/>
              <w:ind w:right="-2"/>
            </w:pPr>
            <w:r w:rsidRPr="00183B5F">
              <w:rPr>
                <w:b/>
              </w:rPr>
              <w:t>Milyen adagot és milyen gyakran kell alkalmazni?</w:t>
            </w:r>
          </w:p>
        </w:tc>
        <w:tc>
          <w:tcPr>
            <w:tcW w:w="3096" w:type="dxa"/>
          </w:tcPr>
          <w:p w14:paraId="596F20C2" w14:textId="77777777" w:rsidR="002942B5" w:rsidRPr="00183B5F" w:rsidRDefault="00943743" w:rsidP="004062FE">
            <w:pPr>
              <w:numPr>
                <w:ilvl w:val="12"/>
                <w:numId w:val="0"/>
              </w:numPr>
              <w:spacing w:line="240" w:lineRule="auto"/>
              <w:ind w:right="-2"/>
            </w:pPr>
            <w:r w:rsidRPr="00183B5F">
              <w:rPr>
                <w:b/>
              </w:rPr>
              <w:t>Megjegyzések</w:t>
            </w:r>
          </w:p>
        </w:tc>
      </w:tr>
      <w:tr w:rsidR="00011D2F" w14:paraId="0D87CEC1" w14:textId="77777777" w:rsidTr="002942B5">
        <w:tc>
          <w:tcPr>
            <w:tcW w:w="3095" w:type="dxa"/>
          </w:tcPr>
          <w:p w14:paraId="5760D865" w14:textId="77777777" w:rsidR="002942B5" w:rsidRPr="00183B5F" w:rsidRDefault="00943743" w:rsidP="004062FE">
            <w:pPr>
              <w:numPr>
                <w:ilvl w:val="12"/>
                <w:numId w:val="0"/>
              </w:numPr>
              <w:spacing w:line="240" w:lineRule="auto"/>
              <w:ind w:right="-2"/>
            </w:pPr>
            <w:r w:rsidRPr="00183B5F">
              <w:t>6 éves kor feletti, 40 kg</w:t>
            </w:r>
            <w:r w:rsidRPr="00183B5F">
              <w:noBreakHyphen/>
            </w:r>
            <w:r w:rsidRPr="00183B5F">
              <w:t>os vagy annál nagyobb testtömegű gyermekek</w:t>
            </w:r>
            <w:r w:rsidR="00747D3E" w:rsidRPr="00183B5F">
              <w:t>,</w:t>
            </w:r>
            <w:r w:rsidRPr="00183B5F">
              <w:t xml:space="preserve"> serdülők</w:t>
            </w:r>
            <w:r w:rsidR="00747D3E" w:rsidRPr="00183B5F">
              <w:t xml:space="preserve"> és felnőttek</w:t>
            </w:r>
          </w:p>
        </w:tc>
        <w:tc>
          <w:tcPr>
            <w:tcW w:w="3096" w:type="dxa"/>
          </w:tcPr>
          <w:p w14:paraId="395A8697" w14:textId="77777777" w:rsidR="002942B5" w:rsidRPr="00183B5F" w:rsidRDefault="00943743">
            <w:pPr>
              <w:spacing w:line="240" w:lineRule="auto"/>
              <w:rPr>
                <w:szCs w:val="22"/>
              </w:rPr>
            </w:pPr>
            <w:r w:rsidRPr="00183B5F">
              <w:rPr>
                <w:szCs w:val="22"/>
              </w:rPr>
              <w:t>A kezdő adag 80 mg (két 40 mg</w:t>
            </w:r>
            <w:r w:rsidRPr="00183B5F">
              <w:rPr>
                <w:szCs w:val="22"/>
              </w:rPr>
              <w:noBreakHyphen/>
              <w:t>os injekció egyetlen napon), amelyet két héttel később 40 mg követ.</w:t>
            </w:r>
          </w:p>
          <w:p w14:paraId="60EA17E9" w14:textId="77777777" w:rsidR="00747D3E" w:rsidRPr="00183B5F" w:rsidRDefault="00747D3E">
            <w:pPr>
              <w:spacing w:line="240" w:lineRule="auto"/>
              <w:rPr>
                <w:szCs w:val="22"/>
              </w:rPr>
            </w:pPr>
          </w:p>
          <w:p w14:paraId="0FA4234F" w14:textId="77777777" w:rsidR="002942B5" w:rsidRPr="00183B5F" w:rsidRDefault="00943743">
            <w:pPr>
              <w:numPr>
                <w:ilvl w:val="12"/>
                <w:numId w:val="0"/>
              </w:numPr>
              <w:spacing w:line="240" w:lineRule="auto"/>
              <w:ind w:right="-2"/>
              <w:rPr>
                <w:szCs w:val="22"/>
              </w:rPr>
            </w:pPr>
            <w:r w:rsidRPr="00183B5F">
              <w:rPr>
                <w:szCs w:val="22"/>
              </w:rPr>
              <w:t>Ha gyorsabb hatásra van szükség, a kezelőorvos rendelhet 160 mg</w:t>
            </w:r>
            <w:r w:rsidRPr="00183B5F">
              <w:rPr>
                <w:szCs w:val="22"/>
              </w:rPr>
              <w:noBreakHyphen/>
              <w:t>os kezdő adagot (négy 40 mg</w:t>
            </w:r>
            <w:r w:rsidRPr="00183B5F">
              <w:rPr>
                <w:szCs w:val="22"/>
              </w:rPr>
              <w:noBreakHyphen/>
              <w:t>os injekció egyetlen napon, vagy 2</w:t>
            </w:r>
            <w:r w:rsidRPr="00183B5F">
              <w:rPr>
                <w:szCs w:val="22"/>
              </w:rPr>
              <w:noBreakHyphen/>
              <w:t>2 40 mg</w:t>
            </w:r>
            <w:r w:rsidRPr="00183B5F">
              <w:rPr>
                <w:szCs w:val="22"/>
              </w:rPr>
              <w:noBreakHyphen/>
              <w:t>os injekció két egymást követő napon), melyet két héttel később 80 mg követ (két 40 mg</w:t>
            </w:r>
            <w:r w:rsidRPr="00183B5F">
              <w:rPr>
                <w:szCs w:val="22"/>
              </w:rPr>
              <w:noBreakHyphen/>
              <w:t>os injekció egyetlen napon).</w:t>
            </w:r>
          </w:p>
          <w:p w14:paraId="26EB4320" w14:textId="77777777" w:rsidR="00747D3E" w:rsidRPr="00183B5F" w:rsidRDefault="00747D3E">
            <w:pPr>
              <w:numPr>
                <w:ilvl w:val="12"/>
                <w:numId w:val="0"/>
              </w:numPr>
              <w:spacing w:line="240" w:lineRule="auto"/>
              <w:ind w:right="-2"/>
              <w:rPr>
                <w:szCs w:val="22"/>
              </w:rPr>
            </w:pPr>
          </w:p>
          <w:p w14:paraId="2A7AE9A9" w14:textId="77777777" w:rsidR="002942B5" w:rsidRPr="00183B5F" w:rsidRDefault="00943743">
            <w:pPr>
              <w:spacing w:line="240" w:lineRule="auto"/>
              <w:rPr>
                <w:szCs w:val="22"/>
              </w:rPr>
            </w:pPr>
            <w:r w:rsidRPr="00183B5F">
              <w:rPr>
                <w:szCs w:val="22"/>
              </w:rPr>
              <w:t xml:space="preserve">Ezután a szokásos adag kéthetente 40 mg. </w:t>
            </w:r>
          </w:p>
        </w:tc>
        <w:tc>
          <w:tcPr>
            <w:tcW w:w="3096" w:type="dxa"/>
          </w:tcPr>
          <w:p w14:paraId="4862B35D" w14:textId="77777777" w:rsidR="002942B5" w:rsidRPr="00183B5F" w:rsidRDefault="00943743">
            <w:pPr>
              <w:spacing w:line="240" w:lineRule="auto"/>
            </w:pPr>
            <w:r w:rsidRPr="00183B5F">
              <w:rPr>
                <w:szCs w:val="22"/>
              </w:rPr>
              <w:t>Kezelőorvosa heti 40 mg</w:t>
            </w:r>
            <w:r w:rsidRPr="00183B5F">
              <w:rPr>
                <w:szCs w:val="22"/>
              </w:rPr>
              <w:noBreakHyphen/>
              <w:t xml:space="preserve">ra </w:t>
            </w:r>
            <w:r w:rsidR="00DA59DA" w:rsidRPr="00183B5F">
              <w:rPr>
                <w:szCs w:val="22"/>
              </w:rPr>
              <w:t>vagy kéthet</w:t>
            </w:r>
            <w:r w:rsidR="00F523EA" w:rsidRPr="00183B5F">
              <w:rPr>
                <w:szCs w:val="22"/>
              </w:rPr>
              <w:t>ente</w:t>
            </w:r>
            <w:r w:rsidR="00DA59DA" w:rsidRPr="00183B5F">
              <w:rPr>
                <w:szCs w:val="22"/>
              </w:rPr>
              <w:t xml:space="preserve"> 80 mg</w:t>
            </w:r>
            <w:r w:rsidR="00CE0694" w:rsidRPr="00183B5F">
              <w:rPr>
                <w:szCs w:val="22"/>
              </w:rPr>
              <w:noBreakHyphen/>
            </w:r>
            <w:r w:rsidR="00DA59DA" w:rsidRPr="00183B5F">
              <w:rPr>
                <w:szCs w:val="22"/>
              </w:rPr>
              <w:t xml:space="preserve">ra </w:t>
            </w:r>
            <w:r w:rsidRPr="00183B5F">
              <w:rPr>
                <w:szCs w:val="22"/>
              </w:rPr>
              <w:t>emelheti az adag</w:t>
            </w:r>
            <w:r w:rsidR="00C674B9" w:rsidRPr="00183B5F">
              <w:rPr>
                <w:szCs w:val="22"/>
              </w:rPr>
              <w:t>ot</w:t>
            </w:r>
            <w:r w:rsidRPr="00183B5F">
              <w:t>.</w:t>
            </w:r>
          </w:p>
        </w:tc>
      </w:tr>
      <w:tr w:rsidR="00011D2F" w14:paraId="0F09881B" w14:textId="77777777" w:rsidTr="002942B5">
        <w:tc>
          <w:tcPr>
            <w:tcW w:w="3095" w:type="dxa"/>
          </w:tcPr>
          <w:p w14:paraId="2E137F08" w14:textId="77777777" w:rsidR="002942B5" w:rsidRPr="00183B5F" w:rsidRDefault="00943743" w:rsidP="004062FE">
            <w:pPr>
              <w:numPr>
                <w:ilvl w:val="12"/>
                <w:numId w:val="0"/>
              </w:numPr>
              <w:spacing w:line="240" w:lineRule="auto"/>
              <w:ind w:right="-2"/>
            </w:pPr>
            <w:r w:rsidRPr="00183B5F">
              <w:t>6</w:t>
            </w:r>
            <w:r w:rsidR="00747D3E" w:rsidRPr="00183B5F">
              <w:noBreakHyphen/>
              <w:t>17</w:t>
            </w:r>
            <w:r w:rsidRPr="00183B5F">
              <w:t xml:space="preserve"> év </w:t>
            </w:r>
            <w:r w:rsidR="00747D3E" w:rsidRPr="00183B5F">
              <w:t>közötti</w:t>
            </w:r>
            <w:r w:rsidRPr="00183B5F">
              <w:t>, 40 kg</w:t>
            </w:r>
            <w:r w:rsidRPr="00183B5F">
              <w:noBreakHyphen/>
              <w:t>nál kisebb testtömegű gyermekek vagy serdülők</w:t>
            </w:r>
          </w:p>
        </w:tc>
        <w:tc>
          <w:tcPr>
            <w:tcW w:w="3096" w:type="dxa"/>
          </w:tcPr>
          <w:p w14:paraId="3CFD233C" w14:textId="77777777" w:rsidR="002942B5" w:rsidRPr="00183B5F" w:rsidRDefault="00943743" w:rsidP="004062FE">
            <w:pPr>
              <w:spacing w:line="240" w:lineRule="auto"/>
            </w:pPr>
            <w:r w:rsidRPr="00183B5F">
              <w:t xml:space="preserve">A kezdő adag 40 mg, melyet két héttel később 20 mg követ. </w:t>
            </w:r>
          </w:p>
          <w:p w14:paraId="563D79A8" w14:textId="77777777" w:rsidR="00264FE9" w:rsidRPr="00183B5F" w:rsidRDefault="00264FE9" w:rsidP="004062FE">
            <w:pPr>
              <w:numPr>
                <w:ilvl w:val="12"/>
                <w:numId w:val="0"/>
              </w:numPr>
              <w:spacing w:line="240" w:lineRule="auto"/>
              <w:ind w:right="-2"/>
              <w:rPr>
                <w:szCs w:val="22"/>
              </w:rPr>
            </w:pPr>
          </w:p>
          <w:p w14:paraId="0F70F91A" w14:textId="77777777" w:rsidR="002942B5" w:rsidRPr="00183B5F" w:rsidRDefault="00943743" w:rsidP="004062FE">
            <w:pPr>
              <w:numPr>
                <w:ilvl w:val="12"/>
                <w:numId w:val="0"/>
              </w:numPr>
              <w:spacing w:line="240" w:lineRule="auto"/>
              <w:ind w:right="-2"/>
              <w:rPr>
                <w:szCs w:val="22"/>
              </w:rPr>
            </w:pPr>
            <w:r w:rsidRPr="00183B5F">
              <w:rPr>
                <w:szCs w:val="22"/>
              </w:rPr>
              <w:t>Ha gyorsabb hatásra van szükség, a kezelőorvos rendelhet 80 mg</w:t>
            </w:r>
            <w:r w:rsidRPr="00183B5F">
              <w:rPr>
                <w:szCs w:val="22"/>
              </w:rPr>
              <w:noBreakHyphen/>
              <w:t>os kezdő adagot (két 40 mg</w:t>
            </w:r>
            <w:r w:rsidRPr="00183B5F">
              <w:rPr>
                <w:szCs w:val="22"/>
              </w:rPr>
              <w:noBreakHyphen/>
              <w:t>os injekció egyetlen napon), melyet 2 héttel később 40 mg követ.</w:t>
            </w:r>
          </w:p>
          <w:p w14:paraId="7C111077" w14:textId="77777777" w:rsidR="00264FE9" w:rsidRPr="00183B5F" w:rsidRDefault="00264FE9" w:rsidP="004062FE">
            <w:pPr>
              <w:spacing w:line="240" w:lineRule="auto"/>
              <w:rPr>
                <w:szCs w:val="22"/>
              </w:rPr>
            </w:pPr>
          </w:p>
          <w:p w14:paraId="35B1A403" w14:textId="77777777" w:rsidR="002942B5" w:rsidRPr="00183B5F" w:rsidRDefault="00943743" w:rsidP="004062FE">
            <w:pPr>
              <w:spacing w:line="240" w:lineRule="auto"/>
            </w:pPr>
            <w:r w:rsidRPr="00183B5F">
              <w:rPr>
                <w:szCs w:val="22"/>
              </w:rPr>
              <w:t>Ezután a szokásos adag kéthetente 20 mg.</w:t>
            </w:r>
          </w:p>
        </w:tc>
        <w:tc>
          <w:tcPr>
            <w:tcW w:w="3096" w:type="dxa"/>
          </w:tcPr>
          <w:p w14:paraId="7AEDC773" w14:textId="77777777" w:rsidR="002942B5" w:rsidRPr="00183B5F" w:rsidRDefault="00943743" w:rsidP="004062FE">
            <w:pPr>
              <w:numPr>
                <w:ilvl w:val="12"/>
                <w:numId w:val="0"/>
              </w:numPr>
              <w:spacing w:line="240" w:lineRule="auto"/>
              <w:ind w:right="-2"/>
            </w:pPr>
            <w:r w:rsidRPr="00183B5F">
              <w:rPr>
                <w:szCs w:val="22"/>
              </w:rPr>
              <w:t>Kezelőorvosa heti 20 mg</w:t>
            </w:r>
            <w:r w:rsidRPr="00183B5F">
              <w:rPr>
                <w:szCs w:val="22"/>
              </w:rPr>
              <w:noBreakHyphen/>
              <w:t>ra emelheti az adagolás gyakoriságát</w:t>
            </w:r>
            <w:r w:rsidRPr="00183B5F">
              <w:t>.</w:t>
            </w:r>
          </w:p>
        </w:tc>
      </w:tr>
    </w:tbl>
    <w:p w14:paraId="7BB73B10" w14:textId="77777777" w:rsidR="002942B5" w:rsidRPr="00183B5F" w:rsidRDefault="002942B5" w:rsidP="004062FE">
      <w:pPr>
        <w:numPr>
          <w:ilvl w:val="12"/>
          <w:numId w:val="0"/>
        </w:numPr>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3036"/>
        <w:gridCol w:w="3023"/>
      </w:tblGrid>
      <w:tr w:rsidR="00011D2F" w14:paraId="25B77D7A" w14:textId="77777777" w:rsidTr="00CE7A10">
        <w:tc>
          <w:tcPr>
            <w:tcW w:w="9061" w:type="dxa"/>
            <w:gridSpan w:val="3"/>
          </w:tcPr>
          <w:p w14:paraId="3F61CB0D" w14:textId="77777777" w:rsidR="002942B5" w:rsidRPr="00183B5F" w:rsidRDefault="00943743" w:rsidP="004062FE">
            <w:pPr>
              <w:numPr>
                <w:ilvl w:val="12"/>
                <w:numId w:val="0"/>
              </w:numPr>
              <w:spacing w:line="240" w:lineRule="auto"/>
              <w:ind w:right="-2"/>
              <w:rPr>
                <w:b/>
              </w:rPr>
            </w:pPr>
            <w:r w:rsidRPr="00183B5F">
              <w:rPr>
                <w:b/>
                <w:szCs w:val="22"/>
              </w:rPr>
              <w:t>Kolitisz ulceróza</w:t>
            </w:r>
          </w:p>
        </w:tc>
      </w:tr>
      <w:tr w:rsidR="00011D2F" w14:paraId="203605E4" w14:textId="77777777" w:rsidTr="00CE7A10">
        <w:tc>
          <w:tcPr>
            <w:tcW w:w="3002" w:type="dxa"/>
          </w:tcPr>
          <w:p w14:paraId="0B557D4D" w14:textId="77777777" w:rsidR="002942B5" w:rsidRPr="00183B5F" w:rsidRDefault="00943743" w:rsidP="004062FE">
            <w:pPr>
              <w:numPr>
                <w:ilvl w:val="12"/>
                <w:numId w:val="0"/>
              </w:numPr>
              <w:spacing w:line="240" w:lineRule="auto"/>
              <w:ind w:right="-2"/>
            </w:pPr>
            <w:r w:rsidRPr="00183B5F">
              <w:rPr>
                <w:b/>
              </w:rPr>
              <w:t>Kor vagy testtömeg</w:t>
            </w:r>
          </w:p>
        </w:tc>
        <w:tc>
          <w:tcPr>
            <w:tcW w:w="3036" w:type="dxa"/>
          </w:tcPr>
          <w:p w14:paraId="69B4AD7D" w14:textId="77777777" w:rsidR="002942B5" w:rsidRPr="00183B5F" w:rsidRDefault="00943743" w:rsidP="004062FE">
            <w:pPr>
              <w:numPr>
                <w:ilvl w:val="12"/>
                <w:numId w:val="0"/>
              </w:numPr>
              <w:spacing w:line="240" w:lineRule="auto"/>
              <w:ind w:right="-2"/>
            </w:pPr>
            <w:r w:rsidRPr="00183B5F">
              <w:rPr>
                <w:b/>
              </w:rPr>
              <w:t>Milyen adagot és milyen gyakran kell alkalmazni?</w:t>
            </w:r>
          </w:p>
        </w:tc>
        <w:tc>
          <w:tcPr>
            <w:tcW w:w="3023" w:type="dxa"/>
          </w:tcPr>
          <w:p w14:paraId="53708F4B" w14:textId="77777777" w:rsidR="002942B5" w:rsidRPr="00183B5F" w:rsidRDefault="00943743" w:rsidP="004062FE">
            <w:pPr>
              <w:numPr>
                <w:ilvl w:val="12"/>
                <w:numId w:val="0"/>
              </w:numPr>
              <w:spacing w:line="240" w:lineRule="auto"/>
              <w:ind w:right="-2"/>
            </w:pPr>
            <w:r w:rsidRPr="00183B5F">
              <w:rPr>
                <w:b/>
              </w:rPr>
              <w:t>Megjegyzések</w:t>
            </w:r>
          </w:p>
        </w:tc>
      </w:tr>
      <w:tr w:rsidR="00011D2F" w14:paraId="122FDBBF" w14:textId="77777777" w:rsidTr="00CE7A10">
        <w:tc>
          <w:tcPr>
            <w:tcW w:w="3002" w:type="dxa"/>
          </w:tcPr>
          <w:p w14:paraId="538CC6E8" w14:textId="77777777" w:rsidR="002942B5" w:rsidRPr="00183B5F" w:rsidRDefault="00943743" w:rsidP="004062FE">
            <w:pPr>
              <w:numPr>
                <w:ilvl w:val="12"/>
                <w:numId w:val="0"/>
              </w:numPr>
              <w:spacing w:line="240" w:lineRule="auto"/>
              <w:ind w:right="-2"/>
            </w:pPr>
            <w:r w:rsidRPr="00183B5F">
              <w:t>Felnőttek</w:t>
            </w:r>
          </w:p>
        </w:tc>
        <w:tc>
          <w:tcPr>
            <w:tcW w:w="3036" w:type="dxa"/>
          </w:tcPr>
          <w:p w14:paraId="5AB78C45" w14:textId="77777777" w:rsidR="002942B5" w:rsidRPr="00183B5F" w:rsidRDefault="00943743" w:rsidP="004062FE">
            <w:pPr>
              <w:numPr>
                <w:ilvl w:val="12"/>
                <w:numId w:val="0"/>
              </w:numPr>
              <w:spacing w:line="240" w:lineRule="auto"/>
              <w:rPr>
                <w:szCs w:val="22"/>
              </w:rPr>
            </w:pPr>
            <w:r w:rsidRPr="00183B5F">
              <w:rPr>
                <w:szCs w:val="22"/>
              </w:rPr>
              <w:t>A kezdő adag 160 mg (négy 40 mg</w:t>
            </w:r>
            <w:r w:rsidRPr="00183B5F">
              <w:rPr>
                <w:szCs w:val="22"/>
              </w:rPr>
              <w:noBreakHyphen/>
              <w:t>os injekció egyetlen napon, vagy napi két 40 mg</w:t>
            </w:r>
            <w:r w:rsidRPr="00183B5F">
              <w:rPr>
                <w:szCs w:val="22"/>
              </w:rPr>
              <w:noBreakHyphen/>
            </w:r>
            <w:r w:rsidRPr="00183B5F">
              <w:rPr>
                <w:szCs w:val="22"/>
              </w:rPr>
              <w:t>os injekció két egymást követő napon), melyet 2 héttel később 80 mg követ (két 40 mg</w:t>
            </w:r>
            <w:r w:rsidRPr="00183B5F">
              <w:rPr>
                <w:szCs w:val="22"/>
              </w:rPr>
              <w:noBreakHyphen/>
              <w:t xml:space="preserve">os injekció egyetlen napon). </w:t>
            </w:r>
          </w:p>
          <w:p w14:paraId="4E8D12AD" w14:textId="77777777" w:rsidR="00747D3E" w:rsidRPr="00183B5F" w:rsidRDefault="00747D3E" w:rsidP="004062FE">
            <w:pPr>
              <w:numPr>
                <w:ilvl w:val="12"/>
                <w:numId w:val="0"/>
              </w:numPr>
              <w:spacing w:line="240" w:lineRule="auto"/>
              <w:rPr>
                <w:szCs w:val="22"/>
              </w:rPr>
            </w:pPr>
          </w:p>
          <w:p w14:paraId="151247FF" w14:textId="77777777" w:rsidR="002942B5" w:rsidRPr="00183B5F" w:rsidRDefault="00943743" w:rsidP="004062FE">
            <w:pPr>
              <w:numPr>
                <w:ilvl w:val="12"/>
                <w:numId w:val="0"/>
              </w:numPr>
              <w:spacing w:line="240" w:lineRule="auto"/>
            </w:pPr>
            <w:r w:rsidRPr="00183B5F">
              <w:rPr>
                <w:szCs w:val="22"/>
              </w:rPr>
              <w:t>Ezután a szokásos adag kéthetente 40 mg.</w:t>
            </w:r>
            <w:r w:rsidRPr="00183B5F">
              <w:t xml:space="preserve"> </w:t>
            </w:r>
          </w:p>
        </w:tc>
        <w:tc>
          <w:tcPr>
            <w:tcW w:w="3023" w:type="dxa"/>
          </w:tcPr>
          <w:p w14:paraId="7960D09C" w14:textId="77777777" w:rsidR="002942B5" w:rsidRPr="00183B5F" w:rsidRDefault="00943743">
            <w:pPr>
              <w:numPr>
                <w:ilvl w:val="12"/>
                <w:numId w:val="0"/>
              </w:numPr>
              <w:spacing w:line="240" w:lineRule="auto"/>
              <w:ind w:right="-2"/>
            </w:pPr>
            <w:r w:rsidRPr="00183B5F">
              <w:rPr>
                <w:szCs w:val="22"/>
              </w:rPr>
              <w:t>Kezelőorvosa heti 40 mg</w:t>
            </w:r>
            <w:r w:rsidRPr="00183B5F">
              <w:rPr>
                <w:szCs w:val="22"/>
              </w:rPr>
              <w:noBreakHyphen/>
              <w:t xml:space="preserve">ra </w:t>
            </w:r>
            <w:r w:rsidR="00DA59DA" w:rsidRPr="00183B5F">
              <w:rPr>
                <w:szCs w:val="22"/>
              </w:rPr>
              <w:t>vagy ké</w:t>
            </w:r>
            <w:r w:rsidR="00F523EA" w:rsidRPr="00183B5F">
              <w:rPr>
                <w:szCs w:val="22"/>
              </w:rPr>
              <w:t>thetente</w:t>
            </w:r>
            <w:r w:rsidR="00DA59DA" w:rsidRPr="00183B5F">
              <w:rPr>
                <w:szCs w:val="22"/>
              </w:rPr>
              <w:t xml:space="preserve"> 80 mg</w:t>
            </w:r>
            <w:r w:rsidR="00DA59DA" w:rsidRPr="00183B5F">
              <w:rPr>
                <w:szCs w:val="22"/>
              </w:rPr>
              <w:noBreakHyphen/>
              <w:t xml:space="preserve">ra </w:t>
            </w:r>
            <w:r w:rsidRPr="00183B5F">
              <w:rPr>
                <w:szCs w:val="22"/>
              </w:rPr>
              <w:t>emelheti az adago</w:t>
            </w:r>
            <w:r w:rsidR="006D4587" w:rsidRPr="00183B5F">
              <w:rPr>
                <w:szCs w:val="22"/>
              </w:rPr>
              <w:t>t</w:t>
            </w:r>
            <w:r w:rsidRPr="00183B5F">
              <w:t>.</w:t>
            </w:r>
          </w:p>
        </w:tc>
      </w:tr>
      <w:tr w:rsidR="00011D2F" w14:paraId="3E27E536" w14:textId="77777777" w:rsidTr="00CE7A10">
        <w:tc>
          <w:tcPr>
            <w:tcW w:w="3002" w:type="dxa"/>
            <w:tcBorders>
              <w:top w:val="single" w:sz="4" w:space="0" w:color="auto"/>
              <w:left w:val="single" w:sz="4" w:space="0" w:color="auto"/>
              <w:bottom w:val="single" w:sz="4" w:space="0" w:color="auto"/>
              <w:right w:val="single" w:sz="4" w:space="0" w:color="auto"/>
            </w:tcBorders>
          </w:tcPr>
          <w:p w14:paraId="510DF797" w14:textId="77777777" w:rsidR="00CE7A10" w:rsidRPr="00183B5F" w:rsidRDefault="00943743" w:rsidP="00653D7A">
            <w:pPr>
              <w:numPr>
                <w:ilvl w:val="12"/>
                <w:numId w:val="0"/>
              </w:numPr>
              <w:spacing w:line="240" w:lineRule="auto"/>
              <w:ind w:right="-2"/>
            </w:pPr>
            <w:r w:rsidRPr="00183B5F">
              <w:t>6 éves kor feletti, 40 kg</w:t>
            </w:r>
            <w:r w:rsidRPr="00183B5F">
              <w:noBreakHyphen/>
              <w:t>nál kisebb testtömegű gyermekek és serdülők</w:t>
            </w:r>
          </w:p>
        </w:tc>
        <w:tc>
          <w:tcPr>
            <w:tcW w:w="3036" w:type="dxa"/>
            <w:tcBorders>
              <w:top w:val="single" w:sz="4" w:space="0" w:color="auto"/>
              <w:left w:val="single" w:sz="4" w:space="0" w:color="auto"/>
              <w:bottom w:val="single" w:sz="4" w:space="0" w:color="auto"/>
              <w:right w:val="single" w:sz="4" w:space="0" w:color="auto"/>
            </w:tcBorders>
          </w:tcPr>
          <w:p w14:paraId="1FE04774" w14:textId="77777777" w:rsidR="00CE7A10" w:rsidRPr="00183B5F" w:rsidRDefault="00943743" w:rsidP="00653D7A">
            <w:pPr>
              <w:numPr>
                <w:ilvl w:val="12"/>
                <w:numId w:val="0"/>
              </w:numPr>
              <w:spacing w:line="240" w:lineRule="auto"/>
              <w:rPr>
                <w:szCs w:val="22"/>
              </w:rPr>
            </w:pPr>
            <w:r w:rsidRPr="00183B5F">
              <w:t>A kezdő adag 80 mg (két 40 mg-os injekció formájában egyetlen napon), melyet két héttel később 40 mg (egy 40 mg-os injekció formájában) követ</w:t>
            </w:r>
            <w:r w:rsidRPr="00183B5F">
              <w:rPr>
                <w:szCs w:val="22"/>
              </w:rPr>
              <w:t>.</w:t>
            </w:r>
          </w:p>
          <w:p w14:paraId="7A2200AF" w14:textId="77777777" w:rsidR="00CE7A10" w:rsidRPr="00183B5F" w:rsidRDefault="00CE7A10" w:rsidP="00653D7A">
            <w:pPr>
              <w:numPr>
                <w:ilvl w:val="12"/>
                <w:numId w:val="0"/>
              </w:numPr>
              <w:spacing w:line="240" w:lineRule="auto"/>
              <w:rPr>
                <w:szCs w:val="22"/>
              </w:rPr>
            </w:pPr>
          </w:p>
          <w:p w14:paraId="058127B9" w14:textId="77777777" w:rsidR="00CE7A10" w:rsidRPr="00183B5F" w:rsidRDefault="00943743" w:rsidP="00653D7A">
            <w:pPr>
              <w:numPr>
                <w:ilvl w:val="12"/>
                <w:numId w:val="0"/>
              </w:numPr>
              <w:spacing w:line="240" w:lineRule="auto"/>
              <w:rPr>
                <w:szCs w:val="22"/>
              </w:rPr>
            </w:pPr>
            <w:r w:rsidRPr="00183B5F">
              <w:rPr>
                <w:szCs w:val="22"/>
              </w:rPr>
              <w:t>Ezt követően a szokásos adag 40 mg kéthetente.</w:t>
            </w:r>
          </w:p>
        </w:tc>
        <w:tc>
          <w:tcPr>
            <w:tcW w:w="3023" w:type="dxa"/>
            <w:tcBorders>
              <w:top w:val="single" w:sz="4" w:space="0" w:color="auto"/>
              <w:left w:val="single" w:sz="4" w:space="0" w:color="auto"/>
              <w:bottom w:val="single" w:sz="4" w:space="0" w:color="auto"/>
              <w:right w:val="single" w:sz="4" w:space="0" w:color="auto"/>
            </w:tcBorders>
          </w:tcPr>
          <w:p w14:paraId="46DD9848" w14:textId="77777777" w:rsidR="00CE7A10" w:rsidRPr="00183B5F" w:rsidRDefault="00943743" w:rsidP="00653D7A">
            <w:pPr>
              <w:numPr>
                <w:ilvl w:val="12"/>
                <w:numId w:val="0"/>
              </w:numPr>
              <w:spacing w:line="240" w:lineRule="auto"/>
              <w:ind w:right="-2"/>
              <w:rPr>
                <w:szCs w:val="22"/>
              </w:rPr>
            </w:pPr>
            <w:r w:rsidRPr="00183B5F">
              <w:rPr>
                <w:szCs w:val="22"/>
              </w:rPr>
              <w:t>A Humira alkalmazását a szokásos adagban kell folytatnia, a 18 éves kor betöltése után is.</w:t>
            </w:r>
          </w:p>
        </w:tc>
      </w:tr>
      <w:tr w:rsidR="00011D2F" w14:paraId="42EA0739" w14:textId="77777777" w:rsidTr="00CE7A10">
        <w:tc>
          <w:tcPr>
            <w:tcW w:w="3002" w:type="dxa"/>
            <w:tcBorders>
              <w:top w:val="single" w:sz="4" w:space="0" w:color="auto"/>
              <w:left w:val="single" w:sz="4" w:space="0" w:color="auto"/>
              <w:bottom w:val="single" w:sz="4" w:space="0" w:color="auto"/>
              <w:right w:val="single" w:sz="4" w:space="0" w:color="auto"/>
            </w:tcBorders>
          </w:tcPr>
          <w:p w14:paraId="1B912767" w14:textId="77777777" w:rsidR="00CE7A10" w:rsidRPr="00183B5F" w:rsidRDefault="00943743" w:rsidP="00653D7A">
            <w:pPr>
              <w:numPr>
                <w:ilvl w:val="12"/>
                <w:numId w:val="0"/>
              </w:numPr>
              <w:spacing w:line="240" w:lineRule="auto"/>
              <w:ind w:right="-2"/>
            </w:pPr>
            <w:r w:rsidRPr="00183B5F">
              <w:t>6 éves kor feletti, 40 kg</w:t>
            </w:r>
            <w:r w:rsidRPr="00183B5F">
              <w:noBreakHyphen/>
              <w:t>os vagy annál nagyobb testtömegű gyermekek és serdülők</w:t>
            </w:r>
          </w:p>
        </w:tc>
        <w:tc>
          <w:tcPr>
            <w:tcW w:w="3036" w:type="dxa"/>
            <w:tcBorders>
              <w:top w:val="single" w:sz="4" w:space="0" w:color="auto"/>
              <w:left w:val="single" w:sz="4" w:space="0" w:color="auto"/>
              <w:bottom w:val="single" w:sz="4" w:space="0" w:color="auto"/>
              <w:right w:val="single" w:sz="4" w:space="0" w:color="auto"/>
            </w:tcBorders>
          </w:tcPr>
          <w:p w14:paraId="2AA16BA4" w14:textId="77777777" w:rsidR="00CE7A10" w:rsidRPr="00183B5F" w:rsidRDefault="00943743" w:rsidP="00653D7A">
            <w:pPr>
              <w:numPr>
                <w:ilvl w:val="12"/>
                <w:numId w:val="0"/>
              </w:numPr>
              <w:spacing w:line="240" w:lineRule="auto"/>
              <w:rPr>
                <w:szCs w:val="22"/>
              </w:rPr>
            </w:pPr>
            <w:r w:rsidRPr="00183B5F">
              <w:t>A kezdő adag 160 mg (négy 40 mg-os injekció egyetlen napon vagy két 40 mg-os injekció két egymást követő napon), majd két hét múlva 80 mg (két 40 mg-os injekció egyetlen napon)</w:t>
            </w:r>
            <w:r w:rsidRPr="00183B5F">
              <w:rPr>
                <w:szCs w:val="22"/>
              </w:rPr>
              <w:t>.</w:t>
            </w:r>
          </w:p>
          <w:p w14:paraId="0DAB4886" w14:textId="77777777" w:rsidR="00CE7A10" w:rsidRPr="00183B5F" w:rsidRDefault="00CE7A10" w:rsidP="00653D7A">
            <w:pPr>
              <w:numPr>
                <w:ilvl w:val="12"/>
                <w:numId w:val="0"/>
              </w:numPr>
              <w:spacing w:line="240" w:lineRule="auto"/>
              <w:rPr>
                <w:szCs w:val="22"/>
              </w:rPr>
            </w:pPr>
          </w:p>
          <w:p w14:paraId="7F09FD44" w14:textId="77777777" w:rsidR="00CE7A10" w:rsidRPr="00183B5F" w:rsidRDefault="00943743" w:rsidP="00653D7A">
            <w:pPr>
              <w:numPr>
                <w:ilvl w:val="12"/>
                <w:numId w:val="0"/>
              </w:numPr>
              <w:spacing w:line="240" w:lineRule="auto"/>
              <w:rPr>
                <w:szCs w:val="22"/>
              </w:rPr>
            </w:pPr>
            <w:r w:rsidRPr="00183B5F">
              <w:rPr>
                <w:szCs w:val="22"/>
              </w:rPr>
              <w:t>Ezt követően a szokásos adag 80 mg kéthetente.</w:t>
            </w:r>
          </w:p>
        </w:tc>
        <w:tc>
          <w:tcPr>
            <w:tcW w:w="3023" w:type="dxa"/>
            <w:tcBorders>
              <w:top w:val="single" w:sz="4" w:space="0" w:color="auto"/>
              <w:left w:val="single" w:sz="4" w:space="0" w:color="auto"/>
              <w:bottom w:val="single" w:sz="4" w:space="0" w:color="auto"/>
              <w:right w:val="single" w:sz="4" w:space="0" w:color="auto"/>
            </w:tcBorders>
          </w:tcPr>
          <w:p w14:paraId="3D460992" w14:textId="77777777" w:rsidR="00CE7A10" w:rsidRPr="00183B5F" w:rsidRDefault="00943743" w:rsidP="00653D7A">
            <w:pPr>
              <w:numPr>
                <w:ilvl w:val="12"/>
                <w:numId w:val="0"/>
              </w:numPr>
              <w:spacing w:line="240" w:lineRule="auto"/>
              <w:ind w:right="-2"/>
              <w:rPr>
                <w:szCs w:val="22"/>
              </w:rPr>
            </w:pPr>
            <w:r w:rsidRPr="00183B5F">
              <w:rPr>
                <w:szCs w:val="22"/>
              </w:rPr>
              <w:t>A Humira alkalmazását a szokásos adagban kell folytatnia, a 18 éves kor betöltése után is.</w:t>
            </w:r>
          </w:p>
        </w:tc>
      </w:tr>
    </w:tbl>
    <w:p w14:paraId="2723DFBD" w14:textId="77777777" w:rsidR="002942B5" w:rsidRPr="00183B5F" w:rsidRDefault="002942B5" w:rsidP="004062FE">
      <w:pPr>
        <w:spacing w:line="240" w:lineRule="auto"/>
        <w:ind w:right="-2"/>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9"/>
        <w:gridCol w:w="3017"/>
        <w:gridCol w:w="3035"/>
      </w:tblGrid>
      <w:tr w:rsidR="00011D2F" w14:paraId="2A50B6DE" w14:textId="77777777" w:rsidTr="002942B5">
        <w:tc>
          <w:tcPr>
            <w:tcW w:w="9287" w:type="dxa"/>
            <w:gridSpan w:val="3"/>
          </w:tcPr>
          <w:p w14:paraId="264B1AD2" w14:textId="77777777" w:rsidR="002942B5" w:rsidRPr="00183B5F" w:rsidRDefault="00943743" w:rsidP="004062FE">
            <w:pPr>
              <w:keepNext/>
              <w:numPr>
                <w:ilvl w:val="12"/>
                <w:numId w:val="0"/>
              </w:numPr>
              <w:tabs>
                <w:tab w:val="left" w:pos="4950"/>
              </w:tabs>
              <w:spacing w:line="240" w:lineRule="auto"/>
              <w:ind w:right="-2"/>
              <w:rPr>
                <w:b/>
              </w:rPr>
            </w:pPr>
            <w:r w:rsidRPr="00183B5F">
              <w:rPr>
                <w:b/>
                <w:szCs w:val="22"/>
              </w:rPr>
              <w:t>Nem fertőzéses eredetű szemgyulladás (uveitisz)</w:t>
            </w:r>
            <w:r w:rsidRPr="00183B5F">
              <w:rPr>
                <w:b/>
                <w:szCs w:val="22"/>
              </w:rPr>
              <w:tab/>
            </w:r>
          </w:p>
        </w:tc>
      </w:tr>
      <w:tr w:rsidR="00011D2F" w14:paraId="4298CC67" w14:textId="77777777" w:rsidTr="002942B5">
        <w:tc>
          <w:tcPr>
            <w:tcW w:w="3095" w:type="dxa"/>
          </w:tcPr>
          <w:p w14:paraId="75842E8C" w14:textId="77777777" w:rsidR="002942B5" w:rsidRPr="00183B5F" w:rsidRDefault="00943743" w:rsidP="004062FE">
            <w:pPr>
              <w:numPr>
                <w:ilvl w:val="12"/>
                <w:numId w:val="0"/>
              </w:numPr>
              <w:spacing w:line="240" w:lineRule="auto"/>
              <w:ind w:right="-2"/>
            </w:pPr>
            <w:r w:rsidRPr="00183B5F">
              <w:rPr>
                <w:b/>
              </w:rPr>
              <w:t>Kor vagy testtömeg</w:t>
            </w:r>
          </w:p>
        </w:tc>
        <w:tc>
          <w:tcPr>
            <w:tcW w:w="3096" w:type="dxa"/>
          </w:tcPr>
          <w:p w14:paraId="6AFAB122" w14:textId="77777777" w:rsidR="002942B5" w:rsidRPr="00183B5F" w:rsidRDefault="00943743" w:rsidP="004062FE">
            <w:pPr>
              <w:keepNext/>
              <w:tabs>
                <w:tab w:val="left" w:pos="0"/>
              </w:tabs>
              <w:spacing w:line="240" w:lineRule="auto"/>
            </w:pPr>
            <w:r w:rsidRPr="00183B5F">
              <w:rPr>
                <w:b/>
                <w:szCs w:val="22"/>
              </w:rPr>
              <w:t>Milyen adagot és milyen gyakran kell alkalmazni?</w:t>
            </w:r>
          </w:p>
        </w:tc>
        <w:tc>
          <w:tcPr>
            <w:tcW w:w="3096" w:type="dxa"/>
          </w:tcPr>
          <w:p w14:paraId="2E6A645B" w14:textId="77777777" w:rsidR="002942B5" w:rsidRPr="00183B5F" w:rsidRDefault="00943743" w:rsidP="004062FE">
            <w:pPr>
              <w:keepNext/>
              <w:numPr>
                <w:ilvl w:val="12"/>
                <w:numId w:val="0"/>
              </w:numPr>
              <w:spacing w:line="240" w:lineRule="auto"/>
            </w:pPr>
            <w:r w:rsidRPr="00183B5F">
              <w:rPr>
                <w:b/>
                <w:szCs w:val="22"/>
              </w:rPr>
              <w:t>Megjegyzések</w:t>
            </w:r>
          </w:p>
        </w:tc>
      </w:tr>
      <w:tr w:rsidR="00011D2F" w14:paraId="0D33CA48" w14:textId="77777777" w:rsidTr="002942B5">
        <w:tc>
          <w:tcPr>
            <w:tcW w:w="3095" w:type="dxa"/>
          </w:tcPr>
          <w:p w14:paraId="7AE660FC" w14:textId="77777777" w:rsidR="002942B5" w:rsidRPr="00183B5F" w:rsidRDefault="00943743" w:rsidP="004062FE">
            <w:pPr>
              <w:numPr>
                <w:ilvl w:val="12"/>
                <w:numId w:val="0"/>
              </w:numPr>
              <w:spacing w:line="240" w:lineRule="auto"/>
              <w:ind w:right="-2"/>
            </w:pPr>
            <w:r w:rsidRPr="00183B5F">
              <w:t>Felnőttek</w:t>
            </w:r>
          </w:p>
        </w:tc>
        <w:tc>
          <w:tcPr>
            <w:tcW w:w="3096" w:type="dxa"/>
          </w:tcPr>
          <w:p w14:paraId="73238E04" w14:textId="77777777" w:rsidR="002942B5" w:rsidRPr="00183B5F" w:rsidRDefault="00943743" w:rsidP="004062FE">
            <w:pPr>
              <w:keepNext/>
              <w:tabs>
                <w:tab w:val="left" w:pos="0"/>
              </w:tabs>
              <w:spacing w:line="240" w:lineRule="auto"/>
            </w:pPr>
            <w:r w:rsidRPr="00183B5F">
              <w:t>A kezdő adag 80 mg (két 40 mg</w:t>
            </w:r>
            <w:r w:rsidRPr="00183B5F">
              <w:noBreakHyphen/>
              <w:t>os injekció egyetlen napon), melyet egy</w:t>
            </w:r>
            <w:r w:rsidRPr="00183B5F">
              <w:rPr>
                <w:szCs w:val="22"/>
              </w:rPr>
              <w:t xml:space="preserve"> héttel később minden második héten adott 40 mg követ.</w:t>
            </w:r>
          </w:p>
        </w:tc>
        <w:tc>
          <w:tcPr>
            <w:tcW w:w="3096" w:type="dxa"/>
          </w:tcPr>
          <w:p w14:paraId="360C3401" w14:textId="77777777" w:rsidR="002942B5" w:rsidRPr="00183B5F" w:rsidRDefault="00943743" w:rsidP="004062FE">
            <w:pPr>
              <w:keepNext/>
              <w:tabs>
                <w:tab w:val="left" w:pos="0"/>
              </w:tabs>
              <w:spacing w:line="240" w:lineRule="auto"/>
              <w:ind w:right="-2"/>
              <w:rPr>
                <w:szCs w:val="22"/>
              </w:rPr>
            </w:pPr>
            <w:r w:rsidRPr="00183B5F">
              <w:rPr>
                <w:szCs w:val="22"/>
              </w:rPr>
              <w:t>A Humira alkalmazásával egyidejűleg kortikoszteroidok vagy egyéb, az immunrendszer működését befolyásoló gyógyszerek alkalmazása folytatható. A Humira önmagában is alkalmazható.</w:t>
            </w:r>
          </w:p>
        </w:tc>
      </w:tr>
      <w:tr w:rsidR="00011D2F" w14:paraId="539F737A" w14:textId="77777777" w:rsidTr="002942B5">
        <w:tc>
          <w:tcPr>
            <w:tcW w:w="3095" w:type="dxa"/>
          </w:tcPr>
          <w:p w14:paraId="16E3DD50" w14:textId="77777777" w:rsidR="00653A16" w:rsidRPr="00183B5F" w:rsidRDefault="00943743" w:rsidP="004062FE">
            <w:pPr>
              <w:numPr>
                <w:ilvl w:val="12"/>
                <w:numId w:val="0"/>
              </w:numPr>
              <w:spacing w:line="240" w:lineRule="auto"/>
              <w:ind w:right="-2"/>
            </w:pPr>
            <w:r w:rsidRPr="00183B5F">
              <w:t>2 éves kor feletti, 30 kg</w:t>
            </w:r>
            <w:r w:rsidRPr="00183B5F">
              <w:noBreakHyphen/>
              <w:t>nál kisebb testtömegű gyermekek</w:t>
            </w:r>
            <w:r w:rsidR="00747D3E" w:rsidRPr="00183B5F">
              <w:t xml:space="preserve"> és serdülők</w:t>
            </w:r>
          </w:p>
        </w:tc>
        <w:tc>
          <w:tcPr>
            <w:tcW w:w="3096" w:type="dxa"/>
          </w:tcPr>
          <w:p w14:paraId="3EADFF88" w14:textId="77777777" w:rsidR="00653A16" w:rsidRPr="00183B5F" w:rsidRDefault="00943743" w:rsidP="004062FE">
            <w:pPr>
              <w:keepNext/>
              <w:tabs>
                <w:tab w:val="left" w:pos="0"/>
              </w:tabs>
              <w:spacing w:line="240" w:lineRule="auto"/>
            </w:pPr>
            <w:r w:rsidRPr="00183B5F">
              <w:t>20 mg minden második héten</w:t>
            </w:r>
          </w:p>
        </w:tc>
        <w:tc>
          <w:tcPr>
            <w:tcW w:w="3096" w:type="dxa"/>
          </w:tcPr>
          <w:p w14:paraId="3430EA76" w14:textId="77777777" w:rsidR="00653A16" w:rsidRPr="00183B5F" w:rsidRDefault="00943743" w:rsidP="004062FE">
            <w:pPr>
              <w:keepNext/>
              <w:tabs>
                <w:tab w:val="left" w:pos="0"/>
              </w:tabs>
              <w:spacing w:line="240" w:lineRule="auto"/>
              <w:ind w:right="-2"/>
              <w:rPr>
                <w:szCs w:val="22"/>
              </w:rPr>
            </w:pPr>
            <w:r w:rsidRPr="00183B5F">
              <w:rPr>
                <w:szCs w:val="22"/>
              </w:rPr>
              <w:t xml:space="preserve">Kezelőorvosa </w:t>
            </w:r>
            <w:r w:rsidR="00937B49" w:rsidRPr="00183B5F">
              <w:rPr>
                <w:szCs w:val="22"/>
              </w:rPr>
              <w:t>egy 40 mg</w:t>
            </w:r>
            <w:r w:rsidR="00937B49" w:rsidRPr="00183B5F">
              <w:rPr>
                <w:szCs w:val="22"/>
              </w:rPr>
              <w:noBreakHyphen/>
            </w:r>
            <w:r w:rsidRPr="00183B5F">
              <w:rPr>
                <w:szCs w:val="22"/>
              </w:rPr>
              <w:t>os kezdő dózist is felírhat</w:t>
            </w:r>
            <w:r w:rsidR="00937B49" w:rsidRPr="00183B5F">
              <w:rPr>
                <w:szCs w:val="22"/>
              </w:rPr>
              <w:t>, melyet</w:t>
            </w:r>
            <w:r w:rsidRPr="00183B5F">
              <w:rPr>
                <w:szCs w:val="22"/>
              </w:rPr>
              <w:t xml:space="preserve"> egy héttel a szokásos, kéthetente</w:t>
            </w:r>
            <w:r w:rsidR="00937B49" w:rsidRPr="00183B5F">
              <w:rPr>
                <w:szCs w:val="22"/>
              </w:rPr>
              <w:t xml:space="preserve"> 20 mg</w:t>
            </w:r>
            <w:r w:rsidR="00937B49" w:rsidRPr="00183B5F">
              <w:rPr>
                <w:szCs w:val="22"/>
              </w:rPr>
              <w:noBreakHyphen/>
            </w:r>
            <w:r w:rsidRPr="00183B5F">
              <w:rPr>
                <w:szCs w:val="22"/>
              </w:rPr>
              <w:t>os adagolás megkezdése előtt</w:t>
            </w:r>
            <w:r w:rsidR="00937B49" w:rsidRPr="00183B5F">
              <w:rPr>
                <w:szCs w:val="22"/>
              </w:rPr>
              <w:t xml:space="preserve"> kell beadni</w:t>
            </w:r>
            <w:r w:rsidRPr="00183B5F">
              <w:rPr>
                <w:szCs w:val="22"/>
              </w:rPr>
              <w:t>. A Humir</w:t>
            </w:r>
            <w:r w:rsidR="00ED45A7" w:rsidRPr="00183B5F">
              <w:rPr>
                <w:szCs w:val="22"/>
              </w:rPr>
              <w:t>a</w:t>
            </w:r>
            <w:r w:rsidR="00ED45A7" w:rsidRPr="00183B5F">
              <w:rPr>
                <w:szCs w:val="22"/>
              </w:rPr>
              <w:noBreakHyphen/>
              <w:t>t</w:t>
            </w:r>
            <w:r w:rsidRPr="00183B5F">
              <w:rPr>
                <w:szCs w:val="22"/>
              </w:rPr>
              <w:t xml:space="preserve"> metotrexáttal kombiná</w:t>
            </w:r>
            <w:r w:rsidR="00DC6E72" w:rsidRPr="00183B5F">
              <w:rPr>
                <w:szCs w:val="22"/>
              </w:rPr>
              <w:t>lva</w:t>
            </w:r>
            <w:r w:rsidRPr="00183B5F">
              <w:rPr>
                <w:szCs w:val="22"/>
              </w:rPr>
              <w:t xml:space="preserve"> javasolt alkalmazni.</w:t>
            </w:r>
          </w:p>
        </w:tc>
      </w:tr>
      <w:tr w:rsidR="00011D2F" w14:paraId="38BE9314" w14:textId="77777777" w:rsidTr="002942B5">
        <w:tc>
          <w:tcPr>
            <w:tcW w:w="3095" w:type="dxa"/>
          </w:tcPr>
          <w:p w14:paraId="271DFB85" w14:textId="77777777" w:rsidR="00653A16" w:rsidRPr="00183B5F" w:rsidRDefault="00943743" w:rsidP="004062FE">
            <w:pPr>
              <w:numPr>
                <w:ilvl w:val="12"/>
                <w:numId w:val="0"/>
              </w:numPr>
              <w:spacing w:line="240" w:lineRule="auto"/>
              <w:ind w:right="-2"/>
            </w:pPr>
            <w:r w:rsidRPr="00183B5F">
              <w:t>2 éves kor feletti, legalább 30 kg testtömegű gyermekek</w:t>
            </w:r>
            <w:r w:rsidR="00747D3E" w:rsidRPr="00183B5F">
              <w:t xml:space="preserve"> és serdülők</w:t>
            </w:r>
          </w:p>
        </w:tc>
        <w:tc>
          <w:tcPr>
            <w:tcW w:w="3096" w:type="dxa"/>
          </w:tcPr>
          <w:p w14:paraId="4446DBE2" w14:textId="77777777" w:rsidR="00653A16" w:rsidRPr="00183B5F" w:rsidRDefault="00943743" w:rsidP="004062FE">
            <w:pPr>
              <w:keepNext/>
              <w:tabs>
                <w:tab w:val="left" w:pos="0"/>
              </w:tabs>
              <w:spacing w:line="240" w:lineRule="auto"/>
            </w:pPr>
            <w:r w:rsidRPr="00183B5F">
              <w:t>40 mg minden második héten</w:t>
            </w:r>
          </w:p>
        </w:tc>
        <w:tc>
          <w:tcPr>
            <w:tcW w:w="3096" w:type="dxa"/>
          </w:tcPr>
          <w:p w14:paraId="6D6E3A46" w14:textId="77777777" w:rsidR="00653A16" w:rsidRPr="00183B5F" w:rsidRDefault="00943743" w:rsidP="004062FE">
            <w:pPr>
              <w:keepNext/>
              <w:tabs>
                <w:tab w:val="left" w:pos="0"/>
              </w:tabs>
              <w:spacing w:line="240" w:lineRule="auto"/>
              <w:ind w:right="-2"/>
              <w:rPr>
                <w:szCs w:val="22"/>
              </w:rPr>
            </w:pPr>
            <w:r w:rsidRPr="00183B5F">
              <w:rPr>
                <w:szCs w:val="22"/>
              </w:rPr>
              <w:t>Kezelőorvosa egy 80 mg</w:t>
            </w:r>
            <w:r w:rsidRPr="00183B5F">
              <w:rPr>
                <w:szCs w:val="22"/>
              </w:rPr>
              <w:noBreakHyphen/>
              <w:t>os kezdő dózist is felírhat, melyet egy héttel a szokásos, kéthetente 40 mg</w:t>
            </w:r>
            <w:r w:rsidRPr="00183B5F">
              <w:rPr>
                <w:szCs w:val="22"/>
              </w:rPr>
              <w:noBreakHyphen/>
              <w:t>os adagolás megkezdése előtt kell beadni.</w:t>
            </w:r>
            <w:r w:rsidR="00986C88" w:rsidRPr="00183B5F">
              <w:rPr>
                <w:szCs w:val="22"/>
              </w:rPr>
              <w:t xml:space="preserve"> A Humir</w:t>
            </w:r>
            <w:r w:rsidR="00ED45A7" w:rsidRPr="00183B5F">
              <w:rPr>
                <w:szCs w:val="22"/>
              </w:rPr>
              <w:t>a</w:t>
            </w:r>
            <w:r w:rsidR="00ED45A7" w:rsidRPr="00183B5F">
              <w:rPr>
                <w:szCs w:val="22"/>
              </w:rPr>
              <w:noBreakHyphen/>
              <w:t xml:space="preserve">t </w:t>
            </w:r>
            <w:r w:rsidR="00986C88" w:rsidRPr="00183B5F">
              <w:rPr>
                <w:szCs w:val="22"/>
              </w:rPr>
              <w:t>metotrexáttal kombiná</w:t>
            </w:r>
            <w:r w:rsidR="00DC6E72" w:rsidRPr="00183B5F">
              <w:rPr>
                <w:szCs w:val="22"/>
              </w:rPr>
              <w:t>lva</w:t>
            </w:r>
            <w:r w:rsidR="00986C88" w:rsidRPr="00183B5F">
              <w:rPr>
                <w:szCs w:val="22"/>
              </w:rPr>
              <w:t xml:space="preserve"> javasolt alkalmazni.</w:t>
            </w:r>
          </w:p>
        </w:tc>
      </w:tr>
    </w:tbl>
    <w:p w14:paraId="021D45A7" w14:textId="77777777" w:rsidR="002942B5" w:rsidRPr="00183B5F" w:rsidRDefault="002942B5" w:rsidP="004062FE">
      <w:pPr>
        <w:spacing w:line="240" w:lineRule="auto"/>
        <w:ind w:right="-2"/>
        <w:rPr>
          <w:szCs w:val="22"/>
        </w:rPr>
      </w:pPr>
    </w:p>
    <w:p w14:paraId="3805D3E9" w14:textId="77777777" w:rsidR="002942B5" w:rsidRPr="00183B5F" w:rsidRDefault="00943743" w:rsidP="004062FE">
      <w:pPr>
        <w:keepNext/>
        <w:numPr>
          <w:ilvl w:val="12"/>
          <w:numId w:val="0"/>
        </w:numPr>
        <w:spacing w:line="240" w:lineRule="auto"/>
        <w:ind w:right="-2"/>
        <w:rPr>
          <w:b/>
          <w:szCs w:val="22"/>
        </w:rPr>
      </w:pPr>
      <w:r w:rsidRPr="00183B5F">
        <w:rPr>
          <w:b/>
          <w:szCs w:val="22"/>
        </w:rPr>
        <w:t>Az alkalmazással kapcsolatos tudnivalók és az alkalmazás módja</w:t>
      </w:r>
    </w:p>
    <w:p w14:paraId="529F6CFC" w14:textId="77777777" w:rsidR="002942B5" w:rsidRPr="00183B5F" w:rsidRDefault="002942B5" w:rsidP="004062FE">
      <w:pPr>
        <w:keepNext/>
        <w:numPr>
          <w:ilvl w:val="12"/>
          <w:numId w:val="0"/>
        </w:numPr>
        <w:spacing w:line="240" w:lineRule="auto"/>
        <w:ind w:right="-2"/>
        <w:rPr>
          <w:b/>
          <w:szCs w:val="22"/>
        </w:rPr>
      </w:pPr>
    </w:p>
    <w:p w14:paraId="4924DA23" w14:textId="77777777" w:rsidR="002942B5" w:rsidRPr="00183B5F" w:rsidRDefault="00943743" w:rsidP="004062FE">
      <w:pPr>
        <w:keepNext/>
        <w:spacing w:line="240" w:lineRule="auto"/>
        <w:ind w:right="-2"/>
        <w:rPr>
          <w:szCs w:val="22"/>
        </w:rPr>
      </w:pPr>
      <w:r w:rsidRPr="00183B5F">
        <w:rPr>
          <w:szCs w:val="22"/>
        </w:rPr>
        <w:t>A Humira</w:t>
      </w:r>
      <w:r w:rsidRPr="00183B5F">
        <w:rPr>
          <w:szCs w:val="22"/>
        </w:rPr>
        <w:noBreakHyphen/>
      </w:r>
      <w:r w:rsidRPr="00183B5F">
        <w:rPr>
          <w:szCs w:val="22"/>
        </w:rPr>
        <w:t>t a bőr alá (szubkután injekció formájában) kell beadni.</w:t>
      </w:r>
    </w:p>
    <w:p w14:paraId="25D13B58" w14:textId="77777777" w:rsidR="002942B5" w:rsidRPr="00183B5F" w:rsidRDefault="002942B5" w:rsidP="004062FE">
      <w:pPr>
        <w:spacing w:line="240" w:lineRule="auto"/>
        <w:ind w:right="-2"/>
        <w:rPr>
          <w:szCs w:val="22"/>
        </w:rPr>
      </w:pPr>
    </w:p>
    <w:p w14:paraId="66DE7582" w14:textId="77777777" w:rsidR="002942B5" w:rsidRPr="00183B5F" w:rsidRDefault="00943743">
      <w:pPr>
        <w:spacing w:line="240" w:lineRule="auto"/>
        <w:ind w:right="-2"/>
        <w:rPr>
          <w:b/>
          <w:szCs w:val="22"/>
        </w:rPr>
      </w:pPr>
      <w:r w:rsidRPr="00183B5F">
        <w:rPr>
          <w:b/>
          <w:szCs w:val="22"/>
        </w:rPr>
        <w:t>A Humira injekció beadásával kapcsolatos részletes útmutatás a „7. </w:t>
      </w:r>
      <w:r w:rsidR="007B1AD3" w:rsidRPr="00183B5F">
        <w:rPr>
          <w:b/>
          <w:szCs w:val="22"/>
        </w:rPr>
        <w:t>A Humira beadása</w:t>
      </w:r>
      <w:r w:rsidRPr="00183B5F">
        <w:rPr>
          <w:b/>
          <w:szCs w:val="22"/>
        </w:rPr>
        <w:t>” című pontban található</w:t>
      </w:r>
    </w:p>
    <w:p w14:paraId="7F4EF48F" w14:textId="77777777" w:rsidR="002942B5" w:rsidRPr="00183B5F" w:rsidRDefault="002942B5" w:rsidP="004062FE">
      <w:pPr>
        <w:spacing w:line="240" w:lineRule="auto"/>
        <w:ind w:right="-3"/>
        <w:rPr>
          <w:szCs w:val="22"/>
        </w:rPr>
      </w:pPr>
    </w:p>
    <w:p w14:paraId="13090737" w14:textId="77777777" w:rsidR="002942B5" w:rsidRPr="00183B5F" w:rsidRDefault="00943743" w:rsidP="004062FE">
      <w:pPr>
        <w:keepNext/>
        <w:spacing w:line="240" w:lineRule="auto"/>
        <w:rPr>
          <w:b/>
          <w:szCs w:val="22"/>
        </w:rPr>
      </w:pPr>
      <w:r w:rsidRPr="00183B5F">
        <w:rPr>
          <w:b/>
          <w:szCs w:val="22"/>
        </w:rPr>
        <w:t xml:space="preserve">Ha az előírtnál több </w:t>
      </w:r>
      <w:r w:rsidRPr="00183B5F">
        <w:rPr>
          <w:b/>
          <w:bCs/>
          <w:szCs w:val="22"/>
        </w:rPr>
        <w:t>Humira</w:t>
      </w:r>
      <w:r w:rsidRPr="00183B5F">
        <w:rPr>
          <w:b/>
          <w:bCs/>
          <w:szCs w:val="22"/>
        </w:rPr>
        <w:noBreakHyphen/>
        <w:t>t</w:t>
      </w:r>
      <w:r w:rsidRPr="00183B5F">
        <w:rPr>
          <w:b/>
          <w:szCs w:val="22"/>
        </w:rPr>
        <w:t xml:space="preserve"> alkalmazott</w:t>
      </w:r>
    </w:p>
    <w:p w14:paraId="5C6686CB" w14:textId="77777777" w:rsidR="002942B5" w:rsidRPr="00183B5F" w:rsidRDefault="002942B5" w:rsidP="004062FE">
      <w:pPr>
        <w:keepNext/>
        <w:spacing w:line="240" w:lineRule="auto"/>
        <w:rPr>
          <w:b/>
          <w:szCs w:val="22"/>
        </w:rPr>
      </w:pPr>
    </w:p>
    <w:p w14:paraId="644E1454" w14:textId="77777777" w:rsidR="002942B5" w:rsidRPr="00183B5F" w:rsidRDefault="00943743" w:rsidP="004062FE">
      <w:pPr>
        <w:keepNext/>
        <w:spacing w:line="240" w:lineRule="auto"/>
        <w:rPr>
          <w:szCs w:val="22"/>
        </w:rPr>
      </w:pPr>
      <w:r w:rsidRPr="00183B5F">
        <w:rPr>
          <w:szCs w:val="22"/>
        </w:rPr>
        <w:t>Ha véletlenül a kezelőorvosa vagy gyógyszerésze által előírtnál gyakrabban alkalmazta a Humira-t, azonnal beszéljen kezelőorvosával vagy gyógyszerészével. Őrizze meg a külső csomagolást, abban az esetben is, ha üres.</w:t>
      </w:r>
    </w:p>
    <w:p w14:paraId="226EBAA7" w14:textId="77777777" w:rsidR="002942B5" w:rsidRPr="00183B5F" w:rsidRDefault="002942B5" w:rsidP="004062FE">
      <w:pPr>
        <w:spacing w:line="240" w:lineRule="auto"/>
        <w:ind w:right="-2"/>
        <w:rPr>
          <w:szCs w:val="22"/>
        </w:rPr>
      </w:pPr>
    </w:p>
    <w:p w14:paraId="0CFB4DDF" w14:textId="77777777" w:rsidR="002942B5" w:rsidRPr="00183B5F" w:rsidRDefault="00943743" w:rsidP="004062FE">
      <w:pPr>
        <w:spacing w:line="240" w:lineRule="auto"/>
        <w:ind w:right="-2"/>
        <w:rPr>
          <w:b/>
          <w:szCs w:val="22"/>
        </w:rPr>
      </w:pPr>
      <w:r w:rsidRPr="00183B5F">
        <w:rPr>
          <w:b/>
          <w:szCs w:val="22"/>
        </w:rPr>
        <w:t>Ha elfelejtette alkalmazni a</w:t>
      </w:r>
      <w:r w:rsidRPr="00183B5F">
        <w:rPr>
          <w:b/>
          <w:bCs/>
          <w:szCs w:val="22"/>
        </w:rPr>
        <w:t xml:space="preserve"> Humira</w:t>
      </w:r>
      <w:r w:rsidRPr="00183B5F">
        <w:rPr>
          <w:b/>
          <w:bCs/>
          <w:szCs w:val="22"/>
        </w:rPr>
        <w:noBreakHyphen/>
        <w:t>t</w:t>
      </w:r>
    </w:p>
    <w:p w14:paraId="1FE71624" w14:textId="77777777" w:rsidR="002942B5" w:rsidRPr="00183B5F" w:rsidRDefault="002942B5" w:rsidP="004062FE">
      <w:pPr>
        <w:spacing w:line="240" w:lineRule="auto"/>
        <w:ind w:right="-2"/>
        <w:rPr>
          <w:szCs w:val="22"/>
        </w:rPr>
      </w:pPr>
    </w:p>
    <w:p w14:paraId="7F492A68" w14:textId="77777777" w:rsidR="002942B5" w:rsidRPr="00183B5F" w:rsidRDefault="00943743" w:rsidP="004062FE">
      <w:pPr>
        <w:spacing w:line="240" w:lineRule="auto"/>
        <w:ind w:right="-2"/>
        <w:rPr>
          <w:szCs w:val="22"/>
        </w:rPr>
      </w:pPr>
      <w:r w:rsidRPr="00183B5F">
        <w:rPr>
          <w:szCs w:val="22"/>
        </w:rPr>
        <w:t>Ha elfelejtette beadni az injekciót, adja be a következő Humira adagot rögtön, amikor eszébe jutott. A következő adagot az eredeti kezelési terv alapján meghatározott napon alkalmazza, úgy mintha az előző adagot az előírás szerinti időpontban adta volna be.</w:t>
      </w:r>
    </w:p>
    <w:p w14:paraId="34ECD4FD" w14:textId="77777777" w:rsidR="002942B5" w:rsidRPr="00183B5F" w:rsidRDefault="002942B5" w:rsidP="004062FE">
      <w:pPr>
        <w:spacing w:line="240" w:lineRule="auto"/>
        <w:ind w:right="-2"/>
        <w:rPr>
          <w:szCs w:val="22"/>
        </w:rPr>
      </w:pPr>
    </w:p>
    <w:p w14:paraId="7CB3B577" w14:textId="77777777" w:rsidR="002942B5" w:rsidRPr="00183B5F" w:rsidRDefault="00943743" w:rsidP="004062FE">
      <w:pPr>
        <w:spacing w:line="240" w:lineRule="auto"/>
        <w:ind w:right="-2"/>
        <w:rPr>
          <w:b/>
          <w:szCs w:val="24"/>
        </w:rPr>
      </w:pPr>
      <w:r w:rsidRPr="00183B5F">
        <w:rPr>
          <w:b/>
          <w:szCs w:val="24"/>
        </w:rPr>
        <w:t>Ha idő előtt abbahagyja a Humira alkalmazását</w:t>
      </w:r>
    </w:p>
    <w:p w14:paraId="154581FB" w14:textId="77777777" w:rsidR="002942B5" w:rsidRPr="00183B5F" w:rsidRDefault="002942B5" w:rsidP="004062FE">
      <w:pPr>
        <w:spacing w:line="240" w:lineRule="auto"/>
        <w:ind w:right="-2"/>
        <w:rPr>
          <w:szCs w:val="24"/>
        </w:rPr>
      </w:pPr>
    </w:p>
    <w:p w14:paraId="26983574" w14:textId="77777777" w:rsidR="002942B5" w:rsidRPr="00183B5F" w:rsidRDefault="00943743" w:rsidP="004062FE">
      <w:pPr>
        <w:spacing w:line="240" w:lineRule="auto"/>
        <w:ind w:right="-2"/>
        <w:rPr>
          <w:szCs w:val="22"/>
        </w:rPr>
      </w:pPr>
      <w:r w:rsidRPr="00183B5F">
        <w:rPr>
          <w:szCs w:val="22"/>
        </w:rPr>
        <w:t>A döntést, hogy abbahagyja a Humira alkalmazását, meg kell beszélni kezelőorvosával. Tünetei visszatérhetnek, ha abbahagyja a kezelést.</w:t>
      </w:r>
    </w:p>
    <w:p w14:paraId="3847709E" w14:textId="77777777" w:rsidR="002942B5" w:rsidRPr="00183B5F" w:rsidRDefault="002942B5" w:rsidP="004062FE">
      <w:pPr>
        <w:spacing w:line="240" w:lineRule="auto"/>
        <w:ind w:right="-2"/>
        <w:rPr>
          <w:szCs w:val="22"/>
        </w:rPr>
      </w:pPr>
    </w:p>
    <w:p w14:paraId="27B83032" w14:textId="77777777" w:rsidR="002942B5" w:rsidRPr="00183B5F" w:rsidRDefault="00943743" w:rsidP="004062FE">
      <w:pPr>
        <w:spacing w:line="240" w:lineRule="auto"/>
        <w:ind w:right="-2"/>
        <w:rPr>
          <w:szCs w:val="22"/>
        </w:rPr>
      </w:pPr>
      <w:r w:rsidRPr="00183B5F">
        <w:rPr>
          <w:szCs w:val="22"/>
        </w:rPr>
        <w:t>Ha bármilyen további kérdése van a gyógyszer alkalmazásával kapcsolatban, kérdezze meg kezelőorvosát vagy gyógyszerészét.</w:t>
      </w:r>
    </w:p>
    <w:p w14:paraId="601DBCFD" w14:textId="77777777" w:rsidR="002942B5" w:rsidRPr="00183B5F" w:rsidRDefault="002942B5" w:rsidP="004062FE">
      <w:pPr>
        <w:spacing w:line="240" w:lineRule="auto"/>
        <w:ind w:right="-2"/>
        <w:rPr>
          <w:szCs w:val="22"/>
        </w:rPr>
      </w:pPr>
    </w:p>
    <w:p w14:paraId="6FE8130B" w14:textId="77777777" w:rsidR="002942B5" w:rsidRPr="00183B5F" w:rsidRDefault="002942B5" w:rsidP="004062FE">
      <w:pPr>
        <w:spacing w:line="240" w:lineRule="auto"/>
        <w:ind w:right="-2"/>
        <w:rPr>
          <w:szCs w:val="22"/>
        </w:rPr>
      </w:pPr>
    </w:p>
    <w:p w14:paraId="352F84BC" w14:textId="77777777" w:rsidR="002942B5" w:rsidRPr="00183B5F" w:rsidRDefault="00943743" w:rsidP="00FC288C">
      <w:pPr>
        <w:keepNext/>
        <w:spacing w:line="240" w:lineRule="auto"/>
        <w:ind w:right="-2"/>
        <w:rPr>
          <w:b/>
          <w:szCs w:val="22"/>
        </w:rPr>
      </w:pPr>
      <w:r w:rsidRPr="00183B5F">
        <w:rPr>
          <w:b/>
          <w:szCs w:val="22"/>
        </w:rPr>
        <w:t>4.</w:t>
      </w:r>
      <w:r w:rsidRPr="00183B5F">
        <w:rPr>
          <w:b/>
          <w:szCs w:val="22"/>
        </w:rPr>
        <w:tab/>
        <w:t>Lehetséges mellékhatások</w:t>
      </w:r>
    </w:p>
    <w:p w14:paraId="7B03DDF6" w14:textId="77777777" w:rsidR="002942B5" w:rsidRPr="00183B5F" w:rsidRDefault="002942B5" w:rsidP="00FC288C">
      <w:pPr>
        <w:keepNext/>
        <w:spacing w:line="240" w:lineRule="auto"/>
        <w:ind w:right="-29"/>
        <w:rPr>
          <w:szCs w:val="22"/>
        </w:rPr>
      </w:pPr>
    </w:p>
    <w:p w14:paraId="5E671303" w14:textId="77777777" w:rsidR="002942B5" w:rsidRPr="00183B5F" w:rsidRDefault="00943743" w:rsidP="004062FE">
      <w:pPr>
        <w:spacing w:line="240" w:lineRule="auto"/>
        <w:ind w:right="-29"/>
        <w:rPr>
          <w:szCs w:val="22"/>
        </w:rPr>
      </w:pPr>
      <w:r w:rsidRPr="00183B5F">
        <w:rPr>
          <w:szCs w:val="22"/>
        </w:rPr>
        <w:t>Mint minden gyógyszer, így ez a gyógyszer is okozhat mellékhatásokat, amelyek azonban nem mindenkinél jelentkeznek. A legtöbb mellékhatás enyhe vagy közepes fokú. Néhány esetben kezelést igénylő, súlyos mellékhatás is előfordulhat. A mellékhatások az utolsó Humira injekciót követően legalább 4 hónapig még bekövetkezhetnek.</w:t>
      </w:r>
    </w:p>
    <w:p w14:paraId="3351429E" w14:textId="77777777" w:rsidR="002942B5" w:rsidRPr="00183B5F" w:rsidRDefault="002942B5" w:rsidP="004062FE">
      <w:pPr>
        <w:spacing w:line="240" w:lineRule="auto"/>
        <w:ind w:right="-29"/>
        <w:rPr>
          <w:szCs w:val="22"/>
        </w:rPr>
      </w:pPr>
    </w:p>
    <w:p w14:paraId="4F7569C9" w14:textId="77777777" w:rsidR="002942B5" w:rsidRPr="00183B5F" w:rsidRDefault="00943743" w:rsidP="004062FE">
      <w:pPr>
        <w:spacing w:line="240" w:lineRule="auto"/>
        <w:ind w:right="-29"/>
        <w:rPr>
          <w:b/>
          <w:szCs w:val="22"/>
        </w:rPr>
      </w:pPr>
      <w:r w:rsidRPr="00183B5F">
        <w:rPr>
          <w:b/>
          <w:szCs w:val="22"/>
        </w:rPr>
        <w:t>Közölje azonnal kezelőorvosával, ha az alábbiak közül bármit észlel</w:t>
      </w:r>
    </w:p>
    <w:p w14:paraId="66681B4F" w14:textId="77777777" w:rsidR="002942B5" w:rsidRPr="00183B5F" w:rsidRDefault="00943743" w:rsidP="004062FE">
      <w:pPr>
        <w:numPr>
          <w:ilvl w:val="0"/>
          <w:numId w:val="52"/>
        </w:numPr>
        <w:spacing w:line="240" w:lineRule="auto"/>
        <w:ind w:right="-29"/>
        <w:rPr>
          <w:szCs w:val="22"/>
        </w:rPr>
      </w:pPr>
      <w:r w:rsidRPr="00183B5F">
        <w:rPr>
          <w:szCs w:val="22"/>
        </w:rPr>
        <w:t xml:space="preserve">súlyos </w:t>
      </w:r>
      <w:r w:rsidR="004C50B5" w:rsidRPr="00183B5F">
        <w:rPr>
          <w:szCs w:val="22"/>
        </w:rPr>
        <w:t>bőr</w:t>
      </w:r>
      <w:r w:rsidRPr="00183B5F">
        <w:rPr>
          <w:szCs w:val="22"/>
        </w:rPr>
        <w:t>kiütés, csalánkiütés vagy más allergiára utaló tünet</w:t>
      </w:r>
    </w:p>
    <w:p w14:paraId="42EC96FE" w14:textId="77777777" w:rsidR="002942B5" w:rsidRPr="00183B5F" w:rsidRDefault="00943743" w:rsidP="004062FE">
      <w:pPr>
        <w:numPr>
          <w:ilvl w:val="0"/>
          <w:numId w:val="52"/>
        </w:numPr>
        <w:spacing w:line="240" w:lineRule="auto"/>
        <w:ind w:right="-29"/>
        <w:rPr>
          <w:szCs w:val="22"/>
        </w:rPr>
      </w:pPr>
      <w:r w:rsidRPr="00183B5F">
        <w:rPr>
          <w:szCs w:val="22"/>
        </w:rPr>
        <w:t>duzzanat az arcon, k</w:t>
      </w:r>
      <w:r w:rsidR="00647E1C" w:rsidRPr="00183B5F">
        <w:rPr>
          <w:szCs w:val="22"/>
        </w:rPr>
        <w:t>ézen</w:t>
      </w:r>
      <w:r w:rsidRPr="00183B5F">
        <w:rPr>
          <w:szCs w:val="22"/>
        </w:rPr>
        <w:t xml:space="preserve"> vagy lábon</w:t>
      </w:r>
    </w:p>
    <w:p w14:paraId="09695A54" w14:textId="77777777" w:rsidR="002942B5" w:rsidRPr="00183B5F" w:rsidRDefault="00943743" w:rsidP="004062FE">
      <w:pPr>
        <w:numPr>
          <w:ilvl w:val="0"/>
          <w:numId w:val="52"/>
        </w:numPr>
        <w:spacing w:line="240" w:lineRule="auto"/>
        <w:ind w:right="-29"/>
        <w:rPr>
          <w:szCs w:val="22"/>
        </w:rPr>
      </w:pPr>
      <w:r w:rsidRPr="00183B5F">
        <w:rPr>
          <w:szCs w:val="22"/>
        </w:rPr>
        <w:t>nehézlégzés vagy nehézség a nyelés során</w:t>
      </w:r>
    </w:p>
    <w:p w14:paraId="29BB0A01" w14:textId="77777777" w:rsidR="002942B5" w:rsidRPr="00183B5F" w:rsidRDefault="00943743" w:rsidP="004062FE">
      <w:pPr>
        <w:numPr>
          <w:ilvl w:val="0"/>
          <w:numId w:val="52"/>
        </w:numPr>
        <w:spacing w:line="240" w:lineRule="auto"/>
        <w:ind w:right="-29"/>
        <w:rPr>
          <w:szCs w:val="22"/>
        </w:rPr>
      </w:pPr>
      <w:r w:rsidRPr="00183B5F">
        <w:rPr>
          <w:szCs w:val="22"/>
        </w:rPr>
        <w:t>megerőltetéskor vagy lefekvéskor jelentkező nehézlégzés, vagy lábdagadás</w:t>
      </w:r>
    </w:p>
    <w:p w14:paraId="077B98C4" w14:textId="77777777" w:rsidR="002942B5" w:rsidRPr="00183B5F" w:rsidRDefault="002942B5" w:rsidP="004062FE">
      <w:pPr>
        <w:spacing w:line="240" w:lineRule="auto"/>
        <w:ind w:left="567" w:right="-29"/>
        <w:rPr>
          <w:szCs w:val="22"/>
        </w:rPr>
      </w:pPr>
    </w:p>
    <w:p w14:paraId="2BA046DC" w14:textId="77777777" w:rsidR="002942B5" w:rsidRPr="00183B5F" w:rsidRDefault="00943743" w:rsidP="004062FE">
      <w:pPr>
        <w:spacing w:line="240" w:lineRule="auto"/>
        <w:ind w:right="-2"/>
        <w:rPr>
          <w:b/>
          <w:szCs w:val="22"/>
        </w:rPr>
      </w:pPr>
      <w:r w:rsidRPr="00183B5F">
        <w:rPr>
          <w:b/>
          <w:szCs w:val="22"/>
        </w:rPr>
        <w:t>Közölje kezelőorvosával amint lehetséges, ha az alábbiak közül bármit észlel</w:t>
      </w:r>
    </w:p>
    <w:p w14:paraId="3ECB2D7B" w14:textId="77777777" w:rsidR="002942B5" w:rsidRPr="00183B5F" w:rsidRDefault="00943743" w:rsidP="004062FE">
      <w:pPr>
        <w:numPr>
          <w:ilvl w:val="0"/>
          <w:numId w:val="48"/>
        </w:numPr>
        <w:spacing w:line="240" w:lineRule="auto"/>
        <w:ind w:right="-2"/>
        <w:rPr>
          <w:szCs w:val="22"/>
        </w:rPr>
      </w:pPr>
      <w:r w:rsidRPr="00183B5F">
        <w:rPr>
          <w:szCs w:val="22"/>
        </w:rPr>
        <w:t>fertőzésre utaló tünet, mint láz, rossz közérzet, sebek</w:t>
      </w:r>
      <w:r w:rsidRPr="00183B5F">
        <w:rPr>
          <w:i/>
          <w:szCs w:val="22"/>
        </w:rPr>
        <w:t xml:space="preserve">, </w:t>
      </w:r>
      <w:r w:rsidRPr="00183B5F">
        <w:rPr>
          <w:szCs w:val="22"/>
        </w:rPr>
        <w:t>fogászati problémák, vizeléskor jelentkező égő érzés</w:t>
      </w:r>
    </w:p>
    <w:p w14:paraId="139C8D12" w14:textId="77777777" w:rsidR="002942B5" w:rsidRPr="00183B5F" w:rsidRDefault="00943743" w:rsidP="004062FE">
      <w:pPr>
        <w:numPr>
          <w:ilvl w:val="0"/>
          <w:numId w:val="48"/>
        </w:numPr>
        <w:spacing w:line="240" w:lineRule="auto"/>
        <w:ind w:right="-2"/>
        <w:rPr>
          <w:szCs w:val="22"/>
        </w:rPr>
      </w:pPr>
      <w:r w:rsidRPr="00183B5F">
        <w:rPr>
          <w:szCs w:val="22"/>
        </w:rPr>
        <w:t>gyengeség vagy fáradtságérzés</w:t>
      </w:r>
    </w:p>
    <w:p w14:paraId="77DCA6A8" w14:textId="77777777" w:rsidR="002942B5" w:rsidRPr="00183B5F" w:rsidRDefault="00943743" w:rsidP="004062FE">
      <w:pPr>
        <w:numPr>
          <w:ilvl w:val="0"/>
          <w:numId w:val="48"/>
        </w:numPr>
        <w:spacing w:line="240" w:lineRule="auto"/>
        <w:ind w:right="-2"/>
        <w:rPr>
          <w:szCs w:val="22"/>
        </w:rPr>
      </w:pPr>
      <w:r w:rsidRPr="00183B5F">
        <w:rPr>
          <w:szCs w:val="22"/>
        </w:rPr>
        <w:t>köhögés</w:t>
      </w:r>
    </w:p>
    <w:p w14:paraId="66F260EF" w14:textId="77777777" w:rsidR="002942B5" w:rsidRPr="00183B5F" w:rsidRDefault="00943743" w:rsidP="004062FE">
      <w:pPr>
        <w:numPr>
          <w:ilvl w:val="0"/>
          <w:numId w:val="48"/>
        </w:numPr>
        <w:spacing w:line="240" w:lineRule="auto"/>
        <w:ind w:right="-2"/>
        <w:rPr>
          <w:szCs w:val="22"/>
        </w:rPr>
      </w:pPr>
      <w:r w:rsidRPr="00183B5F">
        <w:rPr>
          <w:szCs w:val="22"/>
        </w:rPr>
        <w:t>fülzúgás</w:t>
      </w:r>
    </w:p>
    <w:p w14:paraId="7B7D8BDC" w14:textId="77777777" w:rsidR="002942B5" w:rsidRPr="00183B5F" w:rsidRDefault="00943743" w:rsidP="004062FE">
      <w:pPr>
        <w:numPr>
          <w:ilvl w:val="0"/>
          <w:numId w:val="48"/>
        </w:numPr>
        <w:spacing w:line="240" w:lineRule="auto"/>
        <w:ind w:right="-2"/>
        <w:rPr>
          <w:szCs w:val="22"/>
        </w:rPr>
      </w:pPr>
      <w:r w:rsidRPr="00183B5F">
        <w:rPr>
          <w:szCs w:val="22"/>
        </w:rPr>
        <w:t>zsibbadás</w:t>
      </w:r>
    </w:p>
    <w:p w14:paraId="1A6B6B5D" w14:textId="77777777" w:rsidR="002942B5" w:rsidRPr="00183B5F" w:rsidRDefault="00943743" w:rsidP="004062FE">
      <w:pPr>
        <w:numPr>
          <w:ilvl w:val="0"/>
          <w:numId w:val="48"/>
        </w:numPr>
        <w:spacing w:line="240" w:lineRule="auto"/>
        <w:ind w:right="-2"/>
        <w:rPr>
          <w:szCs w:val="22"/>
        </w:rPr>
      </w:pPr>
      <w:r w:rsidRPr="00183B5F">
        <w:rPr>
          <w:szCs w:val="22"/>
        </w:rPr>
        <w:t>kettőslátás</w:t>
      </w:r>
    </w:p>
    <w:p w14:paraId="26028CC1" w14:textId="77777777" w:rsidR="002942B5" w:rsidRPr="00183B5F" w:rsidRDefault="00943743" w:rsidP="004062FE">
      <w:pPr>
        <w:numPr>
          <w:ilvl w:val="0"/>
          <w:numId w:val="48"/>
        </w:numPr>
        <w:spacing w:line="240" w:lineRule="auto"/>
        <w:ind w:right="-2"/>
        <w:rPr>
          <w:szCs w:val="22"/>
        </w:rPr>
      </w:pPr>
      <w:r w:rsidRPr="00183B5F">
        <w:rPr>
          <w:szCs w:val="22"/>
        </w:rPr>
        <w:t>kar</w:t>
      </w:r>
      <w:r w:rsidR="0029438F" w:rsidRPr="00183B5F">
        <w:rPr>
          <w:szCs w:val="22"/>
        </w:rPr>
        <w:t>-</w:t>
      </w:r>
      <w:r w:rsidRPr="00183B5F">
        <w:rPr>
          <w:szCs w:val="22"/>
        </w:rPr>
        <w:t xml:space="preserve"> vagy lábgyengeség</w:t>
      </w:r>
    </w:p>
    <w:p w14:paraId="4ADE83E8" w14:textId="77777777" w:rsidR="002942B5" w:rsidRPr="00183B5F" w:rsidRDefault="00943743" w:rsidP="004062FE">
      <w:pPr>
        <w:numPr>
          <w:ilvl w:val="0"/>
          <w:numId w:val="48"/>
        </w:numPr>
        <w:spacing w:line="240" w:lineRule="auto"/>
        <w:ind w:right="-2"/>
        <w:rPr>
          <w:szCs w:val="22"/>
        </w:rPr>
      </w:pPr>
      <w:r w:rsidRPr="00183B5F">
        <w:rPr>
          <w:szCs w:val="22"/>
        </w:rPr>
        <w:t>duzzanat vagy nyílt fekély, amelyik nem gyógyul</w:t>
      </w:r>
    </w:p>
    <w:p w14:paraId="5577332C" w14:textId="77777777" w:rsidR="002942B5" w:rsidRPr="00183B5F" w:rsidRDefault="00943743" w:rsidP="004062FE">
      <w:pPr>
        <w:numPr>
          <w:ilvl w:val="0"/>
          <w:numId w:val="48"/>
        </w:numPr>
        <w:spacing w:line="240" w:lineRule="auto"/>
        <w:ind w:right="-29"/>
        <w:rPr>
          <w:szCs w:val="22"/>
        </w:rPr>
      </w:pPr>
      <w:r w:rsidRPr="00183B5F">
        <w:rPr>
          <w:szCs w:val="22"/>
        </w:rPr>
        <w:t>vérképzőszervi betegségre jellemző jelek és tünetek, mint állandó láz, véraláfutás, vérzés, sápadtság</w:t>
      </w:r>
    </w:p>
    <w:p w14:paraId="58F2FB4B" w14:textId="77777777" w:rsidR="002942B5" w:rsidRPr="00183B5F" w:rsidRDefault="002942B5" w:rsidP="004062FE">
      <w:pPr>
        <w:spacing w:line="240" w:lineRule="auto"/>
        <w:ind w:right="-2"/>
        <w:rPr>
          <w:szCs w:val="22"/>
        </w:rPr>
      </w:pPr>
    </w:p>
    <w:p w14:paraId="7C9F640E" w14:textId="77777777" w:rsidR="002942B5" w:rsidRPr="00183B5F" w:rsidRDefault="00943743" w:rsidP="004062FE">
      <w:pPr>
        <w:spacing w:line="240" w:lineRule="auto"/>
        <w:ind w:right="-2"/>
        <w:rPr>
          <w:szCs w:val="22"/>
        </w:rPr>
      </w:pPr>
      <w:r w:rsidRPr="00183B5F">
        <w:rPr>
          <w:szCs w:val="22"/>
        </w:rPr>
        <w:t>A fent leírt tünetek az alábbiakban felsorolt mellékhatások jelei is lehetnek, melyeket a Humira alkalmazása során észleltek:</w:t>
      </w:r>
    </w:p>
    <w:p w14:paraId="09CE57F0" w14:textId="77777777" w:rsidR="002942B5" w:rsidRPr="00183B5F" w:rsidRDefault="002942B5" w:rsidP="004062FE">
      <w:pPr>
        <w:spacing w:line="240" w:lineRule="auto"/>
        <w:ind w:right="-2"/>
        <w:rPr>
          <w:szCs w:val="22"/>
        </w:rPr>
      </w:pPr>
    </w:p>
    <w:p w14:paraId="4C104690" w14:textId="77777777" w:rsidR="002942B5" w:rsidRPr="00183B5F" w:rsidRDefault="00943743" w:rsidP="004062FE">
      <w:pPr>
        <w:keepNext/>
        <w:spacing w:line="240" w:lineRule="auto"/>
        <w:rPr>
          <w:szCs w:val="22"/>
        </w:rPr>
      </w:pPr>
      <w:r w:rsidRPr="00183B5F">
        <w:rPr>
          <w:b/>
          <w:szCs w:val="22"/>
        </w:rPr>
        <w:t>Nagyon gyakori</w:t>
      </w:r>
      <w:r w:rsidRPr="00183B5F">
        <w:rPr>
          <w:szCs w:val="22"/>
        </w:rPr>
        <w:t xml:space="preserve"> (10 beteg közül több mint 1</w:t>
      </w:r>
      <w:r w:rsidRPr="00183B5F">
        <w:rPr>
          <w:szCs w:val="22"/>
        </w:rPr>
        <w:noBreakHyphen/>
        <w:t>nél kialakuló)</w:t>
      </w:r>
    </w:p>
    <w:p w14:paraId="276FDAE1" w14:textId="77777777" w:rsidR="002942B5" w:rsidRPr="00183B5F" w:rsidRDefault="002942B5" w:rsidP="004062FE">
      <w:pPr>
        <w:keepNext/>
        <w:spacing w:line="240" w:lineRule="auto"/>
        <w:rPr>
          <w:szCs w:val="22"/>
        </w:rPr>
      </w:pPr>
    </w:p>
    <w:p w14:paraId="092CB80B" w14:textId="77777777" w:rsidR="002942B5" w:rsidRPr="00183B5F" w:rsidRDefault="00943743" w:rsidP="004062FE">
      <w:pPr>
        <w:keepNext/>
        <w:numPr>
          <w:ilvl w:val="0"/>
          <w:numId w:val="53"/>
        </w:numPr>
        <w:spacing w:line="240" w:lineRule="auto"/>
        <w:rPr>
          <w:szCs w:val="22"/>
        </w:rPr>
      </w:pPr>
      <w:r w:rsidRPr="00183B5F">
        <w:rPr>
          <w:szCs w:val="22"/>
        </w:rPr>
        <w:t>helyi reakció az injekció beadásának helyén, (beleértve fájdalom, duzzadás, vörösség vagy viszketés)</w:t>
      </w:r>
    </w:p>
    <w:p w14:paraId="139D2A5B" w14:textId="77777777" w:rsidR="002942B5" w:rsidRPr="00183B5F" w:rsidRDefault="00943743">
      <w:pPr>
        <w:numPr>
          <w:ilvl w:val="0"/>
          <w:numId w:val="53"/>
        </w:numPr>
        <w:suppressAutoHyphens w:val="0"/>
        <w:spacing w:line="240" w:lineRule="auto"/>
        <w:rPr>
          <w:szCs w:val="22"/>
        </w:rPr>
      </w:pPr>
      <w:r w:rsidRPr="00183B5F">
        <w:rPr>
          <w:szCs w:val="22"/>
        </w:rPr>
        <w:t>légúti fertőzések (beleértve a megfázást, orrfolyást, melléküreg-gyulladást, tüdőgyulladást is)</w:t>
      </w:r>
    </w:p>
    <w:p w14:paraId="0F6EACEB" w14:textId="77777777" w:rsidR="002942B5" w:rsidRPr="00183B5F" w:rsidRDefault="00943743">
      <w:pPr>
        <w:numPr>
          <w:ilvl w:val="0"/>
          <w:numId w:val="53"/>
        </w:numPr>
        <w:suppressAutoHyphens w:val="0"/>
        <w:spacing w:line="240" w:lineRule="auto"/>
        <w:rPr>
          <w:szCs w:val="22"/>
        </w:rPr>
      </w:pPr>
      <w:r w:rsidRPr="00183B5F">
        <w:rPr>
          <w:szCs w:val="22"/>
        </w:rPr>
        <w:t>fejfájás</w:t>
      </w:r>
    </w:p>
    <w:p w14:paraId="23EC6E44" w14:textId="77777777" w:rsidR="002942B5" w:rsidRPr="00183B5F" w:rsidRDefault="00943743">
      <w:pPr>
        <w:numPr>
          <w:ilvl w:val="0"/>
          <w:numId w:val="53"/>
        </w:numPr>
        <w:suppressAutoHyphens w:val="0"/>
        <w:spacing w:line="240" w:lineRule="auto"/>
        <w:rPr>
          <w:szCs w:val="22"/>
        </w:rPr>
      </w:pPr>
      <w:r w:rsidRPr="00183B5F">
        <w:rPr>
          <w:szCs w:val="22"/>
        </w:rPr>
        <w:t>hasi fájdalom</w:t>
      </w:r>
    </w:p>
    <w:p w14:paraId="404EF7B3" w14:textId="77777777" w:rsidR="002942B5" w:rsidRPr="00183B5F" w:rsidRDefault="00943743">
      <w:pPr>
        <w:numPr>
          <w:ilvl w:val="0"/>
          <w:numId w:val="53"/>
        </w:numPr>
        <w:suppressAutoHyphens w:val="0"/>
        <w:spacing w:line="240" w:lineRule="auto"/>
        <w:rPr>
          <w:szCs w:val="22"/>
        </w:rPr>
      </w:pPr>
      <w:r w:rsidRPr="00183B5F">
        <w:rPr>
          <w:szCs w:val="22"/>
        </w:rPr>
        <w:t>hányinger és hányás</w:t>
      </w:r>
    </w:p>
    <w:p w14:paraId="3081756E" w14:textId="77777777" w:rsidR="002942B5" w:rsidRPr="00183B5F" w:rsidRDefault="00943743">
      <w:pPr>
        <w:numPr>
          <w:ilvl w:val="0"/>
          <w:numId w:val="53"/>
        </w:numPr>
        <w:suppressAutoHyphens w:val="0"/>
        <w:spacing w:line="240" w:lineRule="auto"/>
        <w:rPr>
          <w:szCs w:val="22"/>
        </w:rPr>
      </w:pPr>
      <w:r w:rsidRPr="00183B5F">
        <w:rPr>
          <w:szCs w:val="22"/>
        </w:rPr>
        <w:t>bőrkiütés</w:t>
      </w:r>
    </w:p>
    <w:p w14:paraId="7182C9E9" w14:textId="77777777" w:rsidR="002942B5" w:rsidRPr="00183B5F" w:rsidRDefault="00943743">
      <w:pPr>
        <w:numPr>
          <w:ilvl w:val="0"/>
          <w:numId w:val="53"/>
        </w:numPr>
        <w:suppressAutoHyphens w:val="0"/>
        <w:spacing w:line="240" w:lineRule="auto"/>
        <w:rPr>
          <w:szCs w:val="22"/>
        </w:rPr>
      </w:pPr>
      <w:r w:rsidRPr="00183B5F">
        <w:rPr>
          <w:szCs w:val="22"/>
        </w:rPr>
        <w:t>mozgásszervi eredetű fájdalom</w:t>
      </w:r>
    </w:p>
    <w:p w14:paraId="4188DE64" w14:textId="77777777" w:rsidR="002942B5" w:rsidRPr="00183B5F" w:rsidRDefault="002942B5" w:rsidP="004062FE">
      <w:pPr>
        <w:spacing w:line="240" w:lineRule="auto"/>
        <w:ind w:right="-2"/>
        <w:rPr>
          <w:szCs w:val="22"/>
        </w:rPr>
      </w:pPr>
    </w:p>
    <w:p w14:paraId="3AC867CA" w14:textId="77777777" w:rsidR="002942B5" w:rsidRPr="00183B5F" w:rsidRDefault="00943743" w:rsidP="004062FE">
      <w:pPr>
        <w:spacing w:line="240" w:lineRule="auto"/>
        <w:ind w:right="-2"/>
        <w:rPr>
          <w:szCs w:val="22"/>
        </w:rPr>
      </w:pPr>
      <w:r w:rsidRPr="00183B5F">
        <w:rPr>
          <w:b/>
          <w:szCs w:val="22"/>
        </w:rPr>
        <w:t>Gyakori</w:t>
      </w:r>
      <w:r w:rsidRPr="00183B5F">
        <w:rPr>
          <w:szCs w:val="22"/>
        </w:rPr>
        <w:t xml:space="preserve"> (10 beteg közül legfeljebb 1</w:t>
      </w:r>
      <w:r w:rsidRPr="00183B5F">
        <w:rPr>
          <w:szCs w:val="22"/>
        </w:rPr>
        <w:noBreakHyphen/>
        <w:t>nél kialakuló)</w:t>
      </w:r>
    </w:p>
    <w:p w14:paraId="35427278" w14:textId="77777777" w:rsidR="002942B5" w:rsidRPr="00183B5F" w:rsidRDefault="002942B5" w:rsidP="004062FE">
      <w:pPr>
        <w:spacing w:line="240" w:lineRule="auto"/>
        <w:ind w:right="-2"/>
        <w:rPr>
          <w:szCs w:val="22"/>
        </w:rPr>
      </w:pPr>
    </w:p>
    <w:p w14:paraId="512E4760" w14:textId="77777777" w:rsidR="002942B5" w:rsidRPr="00183B5F" w:rsidRDefault="00943743" w:rsidP="004062FE">
      <w:pPr>
        <w:numPr>
          <w:ilvl w:val="0"/>
          <w:numId w:val="54"/>
        </w:numPr>
        <w:tabs>
          <w:tab w:val="clear" w:pos="567"/>
          <w:tab w:val="left" w:pos="562"/>
        </w:tabs>
        <w:spacing w:line="240" w:lineRule="auto"/>
        <w:ind w:right="-2"/>
        <w:rPr>
          <w:szCs w:val="22"/>
        </w:rPr>
      </w:pPr>
      <w:r w:rsidRPr="00183B5F">
        <w:rPr>
          <w:szCs w:val="22"/>
        </w:rPr>
        <w:t>súlyos fertőzések (beleértve a vérmérgezést és az influenzát is)</w:t>
      </w:r>
    </w:p>
    <w:p w14:paraId="77750949" w14:textId="77777777" w:rsidR="00747D3E" w:rsidRPr="00183B5F" w:rsidRDefault="00943743" w:rsidP="004062FE">
      <w:pPr>
        <w:numPr>
          <w:ilvl w:val="0"/>
          <w:numId w:val="54"/>
        </w:numPr>
        <w:tabs>
          <w:tab w:val="clear" w:pos="567"/>
          <w:tab w:val="left" w:pos="562"/>
        </w:tabs>
        <w:spacing w:line="240" w:lineRule="auto"/>
        <w:ind w:right="-2"/>
        <w:rPr>
          <w:szCs w:val="22"/>
        </w:rPr>
      </w:pPr>
      <w:r w:rsidRPr="00183B5F">
        <w:rPr>
          <w:szCs w:val="22"/>
        </w:rPr>
        <w:t>bélfertőzések (beleértve a gyomor-bélgyulladást)</w:t>
      </w:r>
    </w:p>
    <w:p w14:paraId="5FF2266F" w14:textId="77777777" w:rsidR="002942B5" w:rsidRPr="00183B5F" w:rsidRDefault="00943743" w:rsidP="004062FE">
      <w:pPr>
        <w:numPr>
          <w:ilvl w:val="0"/>
          <w:numId w:val="54"/>
        </w:numPr>
        <w:tabs>
          <w:tab w:val="clear" w:pos="567"/>
          <w:tab w:val="left" w:pos="562"/>
        </w:tabs>
        <w:spacing w:line="240" w:lineRule="auto"/>
        <w:ind w:right="-2"/>
        <w:rPr>
          <w:szCs w:val="22"/>
        </w:rPr>
      </w:pPr>
      <w:r w:rsidRPr="00183B5F">
        <w:rPr>
          <w:szCs w:val="22"/>
        </w:rPr>
        <w:t>bőrfertőzések (beleértve a kötőszövet</w:t>
      </w:r>
      <w:r w:rsidR="00CE5CC7" w:rsidRPr="00183B5F">
        <w:rPr>
          <w:szCs w:val="22"/>
        </w:rPr>
        <w:t>-</w:t>
      </w:r>
      <w:r w:rsidRPr="00183B5F">
        <w:rPr>
          <w:szCs w:val="22"/>
        </w:rPr>
        <w:t>gyulladást és az övsömört is)</w:t>
      </w:r>
    </w:p>
    <w:p w14:paraId="67B96656" w14:textId="77777777" w:rsidR="002942B5" w:rsidRPr="00183B5F" w:rsidRDefault="00943743" w:rsidP="004062FE">
      <w:pPr>
        <w:numPr>
          <w:ilvl w:val="0"/>
          <w:numId w:val="54"/>
        </w:numPr>
        <w:tabs>
          <w:tab w:val="clear" w:pos="567"/>
          <w:tab w:val="left" w:pos="562"/>
        </w:tabs>
        <w:spacing w:line="240" w:lineRule="auto"/>
        <w:ind w:right="-2"/>
        <w:rPr>
          <w:szCs w:val="22"/>
        </w:rPr>
      </w:pPr>
      <w:r w:rsidRPr="00183B5F">
        <w:rPr>
          <w:szCs w:val="22"/>
        </w:rPr>
        <w:t>fülfertőzések</w:t>
      </w:r>
    </w:p>
    <w:p w14:paraId="4E97CE4D" w14:textId="77777777" w:rsidR="002942B5" w:rsidRPr="00183B5F" w:rsidRDefault="00943743" w:rsidP="004062FE">
      <w:pPr>
        <w:numPr>
          <w:ilvl w:val="0"/>
          <w:numId w:val="54"/>
        </w:numPr>
        <w:tabs>
          <w:tab w:val="clear" w:pos="567"/>
          <w:tab w:val="left" w:pos="562"/>
        </w:tabs>
        <w:spacing w:line="240" w:lineRule="auto"/>
        <w:ind w:right="-2"/>
        <w:rPr>
          <w:szCs w:val="22"/>
        </w:rPr>
      </w:pPr>
      <w:r w:rsidRPr="00183B5F">
        <w:rPr>
          <w:szCs w:val="22"/>
        </w:rPr>
        <w:t>szájüregi fertőzések (beleértve a fogfertőzéseket és az ajakherpeszt is)</w:t>
      </w:r>
    </w:p>
    <w:p w14:paraId="30D250BE" w14:textId="77777777" w:rsidR="002942B5" w:rsidRPr="00183B5F" w:rsidRDefault="00943743" w:rsidP="004062FE">
      <w:pPr>
        <w:numPr>
          <w:ilvl w:val="0"/>
          <w:numId w:val="54"/>
        </w:numPr>
        <w:tabs>
          <w:tab w:val="clear" w:pos="567"/>
          <w:tab w:val="left" w:pos="562"/>
        </w:tabs>
        <w:spacing w:line="240" w:lineRule="auto"/>
        <w:ind w:right="-2"/>
        <w:rPr>
          <w:szCs w:val="22"/>
        </w:rPr>
      </w:pPr>
      <w:r w:rsidRPr="00183B5F">
        <w:rPr>
          <w:szCs w:val="22"/>
        </w:rPr>
        <w:t>a nemi</w:t>
      </w:r>
      <w:r w:rsidR="00CE5CC7" w:rsidRPr="00183B5F">
        <w:rPr>
          <w:szCs w:val="22"/>
        </w:rPr>
        <w:t xml:space="preserve"> </w:t>
      </w:r>
      <w:r w:rsidRPr="00183B5F">
        <w:rPr>
          <w:szCs w:val="22"/>
        </w:rPr>
        <w:t>szervek fertőzései</w:t>
      </w:r>
    </w:p>
    <w:p w14:paraId="0F704AAA" w14:textId="77777777" w:rsidR="002942B5" w:rsidRPr="00183B5F" w:rsidRDefault="00943743" w:rsidP="004062FE">
      <w:pPr>
        <w:numPr>
          <w:ilvl w:val="0"/>
          <w:numId w:val="54"/>
        </w:numPr>
        <w:spacing w:line="240" w:lineRule="auto"/>
        <w:ind w:right="-2"/>
        <w:rPr>
          <w:szCs w:val="22"/>
        </w:rPr>
      </w:pPr>
      <w:r w:rsidRPr="00183B5F">
        <w:rPr>
          <w:szCs w:val="22"/>
        </w:rPr>
        <w:t>húgyúti fertőzések</w:t>
      </w:r>
    </w:p>
    <w:p w14:paraId="61ED13BA" w14:textId="77777777" w:rsidR="002942B5" w:rsidRPr="00183B5F" w:rsidRDefault="00943743" w:rsidP="004062FE">
      <w:pPr>
        <w:numPr>
          <w:ilvl w:val="0"/>
          <w:numId w:val="54"/>
        </w:numPr>
        <w:spacing w:line="240" w:lineRule="auto"/>
        <w:ind w:right="-2"/>
        <w:rPr>
          <w:szCs w:val="22"/>
        </w:rPr>
      </w:pPr>
      <w:r w:rsidRPr="00183B5F">
        <w:rPr>
          <w:szCs w:val="22"/>
        </w:rPr>
        <w:t>gombás fertőzések</w:t>
      </w:r>
    </w:p>
    <w:p w14:paraId="5F1ABAB5" w14:textId="77777777" w:rsidR="002942B5" w:rsidRPr="00183B5F" w:rsidRDefault="00943743" w:rsidP="004062FE">
      <w:pPr>
        <w:numPr>
          <w:ilvl w:val="0"/>
          <w:numId w:val="54"/>
        </w:numPr>
        <w:spacing w:line="240" w:lineRule="auto"/>
        <w:ind w:right="-2"/>
        <w:rPr>
          <w:szCs w:val="22"/>
        </w:rPr>
      </w:pPr>
      <w:r w:rsidRPr="00183B5F">
        <w:rPr>
          <w:szCs w:val="22"/>
        </w:rPr>
        <w:t>ízületi fertőzések</w:t>
      </w:r>
    </w:p>
    <w:p w14:paraId="1F79A06D" w14:textId="77777777" w:rsidR="002942B5" w:rsidRPr="00183B5F" w:rsidRDefault="00943743" w:rsidP="004062FE">
      <w:pPr>
        <w:numPr>
          <w:ilvl w:val="0"/>
          <w:numId w:val="54"/>
        </w:numPr>
        <w:tabs>
          <w:tab w:val="clear" w:pos="567"/>
          <w:tab w:val="left" w:pos="562"/>
        </w:tabs>
        <w:spacing w:line="240" w:lineRule="auto"/>
        <w:ind w:right="-2"/>
        <w:rPr>
          <w:szCs w:val="22"/>
        </w:rPr>
      </w:pPr>
      <w:r w:rsidRPr="00183B5F">
        <w:rPr>
          <w:szCs w:val="22"/>
        </w:rPr>
        <w:t>jóindulatú daganatok</w:t>
      </w:r>
    </w:p>
    <w:p w14:paraId="180C33F1" w14:textId="77777777" w:rsidR="002942B5" w:rsidRPr="00183B5F" w:rsidRDefault="00943743" w:rsidP="004062FE">
      <w:pPr>
        <w:numPr>
          <w:ilvl w:val="0"/>
          <w:numId w:val="54"/>
        </w:numPr>
        <w:tabs>
          <w:tab w:val="clear" w:pos="567"/>
          <w:tab w:val="left" w:pos="562"/>
        </w:tabs>
        <w:spacing w:line="240" w:lineRule="auto"/>
        <w:ind w:right="-2"/>
        <w:rPr>
          <w:szCs w:val="22"/>
        </w:rPr>
      </w:pPr>
      <w:r w:rsidRPr="00183B5F">
        <w:rPr>
          <w:szCs w:val="22"/>
        </w:rPr>
        <w:t>bőrrák</w:t>
      </w:r>
    </w:p>
    <w:p w14:paraId="27315CD3" w14:textId="77777777" w:rsidR="002942B5" w:rsidRPr="00183B5F" w:rsidRDefault="00943743" w:rsidP="004062FE">
      <w:pPr>
        <w:numPr>
          <w:ilvl w:val="0"/>
          <w:numId w:val="54"/>
        </w:numPr>
        <w:tabs>
          <w:tab w:val="clear" w:pos="567"/>
          <w:tab w:val="left" w:pos="562"/>
        </w:tabs>
        <w:spacing w:line="240" w:lineRule="auto"/>
        <w:ind w:right="-2"/>
        <w:rPr>
          <w:szCs w:val="22"/>
        </w:rPr>
      </w:pPr>
      <w:r w:rsidRPr="00183B5F">
        <w:rPr>
          <w:szCs w:val="22"/>
        </w:rPr>
        <w:t>allergiás reakciók (beleértve a szezonális allergiát is)</w:t>
      </w:r>
    </w:p>
    <w:p w14:paraId="2BC2CDF1" w14:textId="77777777" w:rsidR="002942B5" w:rsidRPr="00183B5F" w:rsidRDefault="00943743" w:rsidP="004062FE">
      <w:pPr>
        <w:numPr>
          <w:ilvl w:val="0"/>
          <w:numId w:val="54"/>
        </w:numPr>
        <w:tabs>
          <w:tab w:val="clear" w:pos="567"/>
          <w:tab w:val="left" w:pos="562"/>
        </w:tabs>
        <w:spacing w:line="240" w:lineRule="auto"/>
        <w:ind w:right="-2"/>
        <w:rPr>
          <w:szCs w:val="22"/>
        </w:rPr>
      </w:pPr>
      <w:r w:rsidRPr="00183B5F">
        <w:rPr>
          <w:szCs w:val="22"/>
        </w:rPr>
        <w:t>kiszáradás</w:t>
      </w:r>
    </w:p>
    <w:p w14:paraId="6B634E5F" w14:textId="77777777" w:rsidR="002942B5" w:rsidRPr="00183B5F" w:rsidRDefault="00943743" w:rsidP="004062FE">
      <w:pPr>
        <w:numPr>
          <w:ilvl w:val="0"/>
          <w:numId w:val="54"/>
        </w:numPr>
        <w:tabs>
          <w:tab w:val="clear" w:pos="567"/>
          <w:tab w:val="left" w:pos="562"/>
        </w:tabs>
        <w:spacing w:line="240" w:lineRule="auto"/>
        <w:ind w:right="-2"/>
        <w:rPr>
          <w:szCs w:val="22"/>
        </w:rPr>
      </w:pPr>
      <w:r w:rsidRPr="00183B5F">
        <w:rPr>
          <w:szCs w:val="22"/>
        </w:rPr>
        <w:t>hangulatváltozás (beleértve a depressziót is)</w:t>
      </w:r>
    </w:p>
    <w:p w14:paraId="5BC278B6" w14:textId="77777777" w:rsidR="002942B5" w:rsidRPr="00183B5F" w:rsidRDefault="00943743" w:rsidP="004062FE">
      <w:pPr>
        <w:numPr>
          <w:ilvl w:val="0"/>
          <w:numId w:val="54"/>
        </w:numPr>
        <w:tabs>
          <w:tab w:val="clear" w:pos="567"/>
          <w:tab w:val="left" w:pos="562"/>
        </w:tabs>
        <w:spacing w:line="240" w:lineRule="auto"/>
        <w:ind w:right="-2"/>
        <w:rPr>
          <w:szCs w:val="22"/>
        </w:rPr>
      </w:pPr>
      <w:r w:rsidRPr="00183B5F">
        <w:rPr>
          <w:szCs w:val="22"/>
        </w:rPr>
        <w:t>szorongás</w:t>
      </w:r>
    </w:p>
    <w:p w14:paraId="4E9DD507" w14:textId="77777777" w:rsidR="002942B5" w:rsidRPr="00183B5F" w:rsidRDefault="00943743" w:rsidP="004062FE">
      <w:pPr>
        <w:numPr>
          <w:ilvl w:val="0"/>
          <w:numId w:val="54"/>
        </w:numPr>
        <w:tabs>
          <w:tab w:val="clear" w:pos="567"/>
          <w:tab w:val="left" w:pos="562"/>
        </w:tabs>
        <w:spacing w:line="240" w:lineRule="auto"/>
        <w:ind w:right="-2"/>
        <w:rPr>
          <w:szCs w:val="22"/>
        </w:rPr>
      </w:pPr>
      <w:r w:rsidRPr="00183B5F">
        <w:rPr>
          <w:szCs w:val="22"/>
        </w:rPr>
        <w:t>álmatlanság</w:t>
      </w:r>
    </w:p>
    <w:p w14:paraId="18025180" w14:textId="77777777" w:rsidR="002942B5" w:rsidRPr="00183B5F" w:rsidRDefault="00943743" w:rsidP="004062FE">
      <w:pPr>
        <w:numPr>
          <w:ilvl w:val="0"/>
          <w:numId w:val="54"/>
        </w:numPr>
        <w:tabs>
          <w:tab w:val="clear" w:pos="567"/>
          <w:tab w:val="left" w:pos="562"/>
        </w:tabs>
        <w:spacing w:line="240" w:lineRule="auto"/>
        <w:ind w:right="-2"/>
        <w:rPr>
          <w:szCs w:val="22"/>
        </w:rPr>
      </w:pPr>
      <w:r w:rsidRPr="00183B5F">
        <w:rPr>
          <w:szCs w:val="22"/>
        </w:rPr>
        <w:t>érzészavarok, például bizsergés, szurkáló érzés vagy zsibbadás</w:t>
      </w:r>
    </w:p>
    <w:p w14:paraId="2BFD5AD1" w14:textId="77777777" w:rsidR="002942B5" w:rsidRPr="00183B5F" w:rsidRDefault="00943743" w:rsidP="004062FE">
      <w:pPr>
        <w:numPr>
          <w:ilvl w:val="0"/>
          <w:numId w:val="54"/>
        </w:numPr>
        <w:tabs>
          <w:tab w:val="clear" w:pos="567"/>
          <w:tab w:val="left" w:pos="562"/>
        </w:tabs>
        <w:spacing w:line="240" w:lineRule="auto"/>
        <w:ind w:right="-2"/>
        <w:rPr>
          <w:szCs w:val="22"/>
        </w:rPr>
      </w:pPr>
      <w:r w:rsidRPr="00183B5F">
        <w:rPr>
          <w:szCs w:val="22"/>
        </w:rPr>
        <w:t>migrén</w:t>
      </w:r>
    </w:p>
    <w:p w14:paraId="3191CA0F" w14:textId="77777777" w:rsidR="002942B5" w:rsidRPr="00183B5F" w:rsidRDefault="00943743" w:rsidP="004062FE">
      <w:pPr>
        <w:numPr>
          <w:ilvl w:val="0"/>
          <w:numId w:val="54"/>
        </w:numPr>
        <w:tabs>
          <w:tab w:val="clear" w:pos="567"/>
          <w:tab w:val="left" w:pos="562"/>
        </w:tabs>
        <w:spacing w:line="240" w:lineRule="auto"/>
        <w:ind w:right="-2"/>
        <w:rPr>
          <w:szCs w:val="22"/>
        </w:rPr>
      </w:pPr>
      <w:r w:rsidRPr="00183B5F">
        <w:rPr>
          <w:szCs w:val="22"/>
        </w:rPr>
        <w:t>ideggyök nyomási tünetei (beleértve a derékfájdalmat és a lábfájást is)</w:t>
      </w:r>
    </w:p>
    <w:p w14:paraId="41017BE3" w14:textId="77777777" w:rsidR="002942B5" w:rsidRPr="00183B5F" w:rsidRDefault="00943743" w:rsidP="004062FE">
      <w:pPr>
        <w:numPr>
          <w:ilvl w:val="0"/>
          <w:numId w:val="54"/>
        </w:numPr>
        <w:tabs>
          <w:tab w:val="clear" w:pos="567"/>
          <w:tab w:val="left" w:pos="562"/>
        </w:tabs>
        <w:spacing w:line="240" w:lineRule="auto"/>
        <w:ind w:right="-2"/>
        <w:rPr>
          <w:szCs w:val="22"/>
        </w:rPr>
      </w:pPr>
      <w:r w:rsidRPr="00183B5F">
        <w:rPr>
          <w:szCs w:val="22"/>
        </w:rPr>
        <w:t>látászavar</w:t>
      </w:r>
    </w:p>
    <w:p w14:paraId="70FA9684" w14:textId="77777777" w:rsidR="002942B5" w:rsidRPr="00183B5F" w:rsidRDefault="00943743" w:rsidP="004062FE">
      <w:pPr>
        <w:numPr>
          <w:ilvl w:val="0"/>
          <w:numId w:val="54"/>
        </w:numPr>
        <w:tabs>
          <w:tab w:val="clear" w:pos="567"/>
          <w:tab w:val="left" w:pos="562"/>
        </w:tabs>
        <w:spacing w:line="240" w:lineRule="auto"/>
        <w:ind w:right="-2"/>
        <w:rPr>
          <w:szCs w:val="22"/>
        </w:rPr>
      </w:pPr>
      <w:r w:rsidRPr="00183B5F">
        <w:rPr>
          <w:szCs w:val="22"/>
        </w:rPr>
        <w:t>szemgyulladás</w:t>
      </w:r>
    </w:p>
    <w:p w14:paraId="586D4B19" w14:textId="77777777" w:rsidR="002942B5" w:rsidRPr="00183B5F" w:rsidRDefault="00943743" w:rsidP="004062FE">
      <w:pPr>
        <w:numPr>
          <w:ilvl w:val="0"/>
          <w:numId w:val="54"/>
        </w:numPr>
        <w:tabs>
          <w:tab w:val="clear" w:pos="567"/>
          <w:tab w:val="left" w:pos="562"/>
        </w:tabs>
        <w:spacing w:line="240" w:lineRule="auto"/>
        <w:ind w:right="-2"/>
        <w:rPr>
          <w:szCs w:val="22"/>
        </w:rPr>
      </w:pPr>
      <w:r w:rsidRPr="00183B5F">
        <w:rPr>
          <w:szCs w:val="22"/>
        </w:rPr>
        <w:t>a szemhéj gyulladása és a szem duzzanata</w:t>
      </w:r>
    </w:p>
    <w:p w14:paraId="73E6F5BD" w14:textId="77777777" w:rsidR="002942B5" w:rsidRPr="00183B5F" w:rsidRDefault="00943743" w:rsidP="004062FE">
      <w:pPr>
        <w:numPr>
          <w:ilvl w:val="0"/>
          <w:numId w:val="54"/>
        </w:numPr>
        <w:spacing w:line="240" w:lineRule="auto"/>
        <w:ind w:right="-2"/>
        <w:rPr>
          <w:szCs w:val="22"/>
        </w:rPr>
      </w:pPr>
      <w:r w:rsidRPr="00183B5F">
        <w:rPr>
          <w:szCs w:val="22"/>
        </w:rPr>
        <w:t>forgó jellegű szédülés</w:t>
      </w:r>
    </w:p>
    <w:p w14:paraId="7E6E56EE" w14:textId="77777777" w:rsidR="002942B5" w:rsidRPr="00183B5F" w:rsidRDefault="00943743" w:rsidP="004062FE">
      <w:pPr>
        <w:numPr>
          <w:ilvl w:val="0"/>
          <w:numId w:val="54"/>
        </w:numPr>
        <w:tabs>
          <w:tab w:val="clear" w:pos="567"/>
          <w:tab w:val="left" w:pos="562"/>
        </w:tabs>
        <w:spacing w:line="240" w:lineRule="auto"/>
        <w:ind w:right="-2"/>
        <w:rPr>
          <w:szCs w:val="22"/>
        </w:rPr>
      </w:pPr>
      <w:r w:rsidRPr="00183B5F">
        <w:rPr>
          <w:szCs w:val="22"/>
        </w:rPr>
        <w:t>gyors szívverés érzés</w:t>
      </w:r>
    </w:p>
    <w:p w14:paraId="6A09F1A7" w14:textId="77777777" w:rsidR="002942B5" w:rsidRPr="00183B5F" w:rsidRDefault="00943743" w:rsidP="004062FE">
      <w:pPr>
        <w:numPr>
          <w:ilvl w:val="0"/>
          <w:numId w:val="54"/>
        </w:numPr>
        <w:tabs>
          <w:tab w:val="clear" w:pos="567"/>
          <w:tab w:val="left" w:pos="562"/>
        </w:tabs>
        <w:spacing w:line="240" w:lineRule="auto"/>
        <w:ind w:right="-2"/>
        <w:rPr>
          <w:szCs w:val="22"/>
        </w:rPr>
      </w:pPr>
      <w:r w:rsidRPr="00183B5F">
        <w:rPr>
          <w:szCs w:val="22"/>
        </w:rPr>
        <w:t>magas vérnyomás</w:t>
      </w:r>
    </w:p>
    <w:p w14:paraId="1A8883FD" w14:textId="77777777" w:rsidR="002942B5" w:rsidRPr="00183B5F" w:rsidRDefault="00943743" w:rsidP="004062FE">
      <w:pPr>
        <w:numPr>
          <w:ilvl w:val="0"/>
          <w:numId w:val="54"/>
        </w:numPr>
        <w:tabs>
          <w:tab w:val="clear" w:pos="567"/>
          <w:tab w:val="left" w:pos="562"/>
        </w:tabs>
        <w:spacing w:line="240" w:lineRule="auto"/>
        <w:ind w:right="-2"/>
        <w:rPr>
          <w:szCs w:val="22"/>
        </w:rPr>
      </w:pPr>
      <w:r w:rsidRPr="00183B5F">
        <w:rPr>
          <w:szCs w:val="22"/>
        </w:rPr>
        <w:t>kipirulás</w:t>
      </w:r>
    </w:p>
    <w:p w14:paraId="023C3F1B" w14:textId="77777777" w:rsidR="002942B5" w:rsidRPr="00183B5F" w:rsidRDefault="00943743" w:rsidP="004062FE">
      <w:pPr>
        <w:numPr>
          <w:ilvl w:val="0"/>
          <w:numId w:val="54"/>
        </w:numPr>
        <w:tabs>
          <w:tab w:val="clear" w:pos="567"/>
          <w:tab w:val="left" w:pos="562"/>
        </w:tabs>
        <w:spacing w:line="240" w:lineRule="auto"/>
        <w:ind w:right="-2"/>
        <w:rPr>
          <w:szCs w:val="22"/>
        </w:rPr>
      </w:pPr>
      <w:r w:rsidRPr="00183B5F">
        <w:rPr>
          <w:szCs w:val="22"/>
        </w:rPr>
        <w:t>vérömleny (vérgyülem az</w:t>
      </w:r>
      <w:r w:rsidR="00CB7B2B" w:rsidRPr="00183B5F">
        <w:rPr>
          <w:szCs w:val="22"/>
        </w:rPr>
        <w:t xml:space="preserve"> </w:t>
      </w:r>
      <w:r w:rsidRPr="00183B5F">
        <w:rPr>
          <w:szCs w:val="22"/>
        </w:rPr>
        <w:t>ereken kívül)</w:t>
      </w:r>
    </w:p>
    <w:p w14:paraId="5C4D9924" w14:textId="77777777" w:rsidR="002942B5" w:rsidRPr="00183B5F" w:rsidRDefault="00943743" w:rsidP="004062FE">
      <w:pPr>
        <w:numPr>
          <w:ilvl w:val="0"/>
          <w:numId w:val="54"/>
        </w:numPr>
        <w:spacing w:line="240" w:lineRule="auto"/>
        <w:ind w:right="-2"/>
        <w:rPr>
          <w:szCs w:val="22"/>
        </w:rPr>
      </w:pPr>
      <w:r w:rsidRPr="00183B5F">
        <w:rPr>
          <w:szCs w:val="22"/>
        </w:rPr>
        <w:t>köhögés</w:t>
      </w:r>
    </w:p>
    <w:p w14:paraId="27F8EBF9" w14:textId="77777777" w:rsidR="002942B5" w:rsidRPr="00183B5F" w:rsidRDefault="00943743" w:rsidP="004062FE">
      <w:pPr>
        <w:numPr>
          <w:ilvl w:val="0"/>
          <w:numId w:val="54"/>
        </w:numPr>
        <w:spacing w:line="240" w:lineRule="auto"/>
        <w:ind w:right="-2"/>
        <w:rPr>
          <w:szCs w:val="22"/>
        </w:rPr>
      </w:pPr>
      <w:r w:rsidRPr="00183B5F">
        <w:rPr>
          <w:szCs w:val="22"/>
        </w:rPr>
        <w:t>asztma</w:t>
      </w:r>
    </w:p>
    <w:p w14:paraId="13817D89" w14:textId="77777777" w:rsidR="002942B5" w:rsidRPr="00183B5F" w:rsidRDefault="00943743" w:rsidP="004062FE">
      <w:pPr>
        <w:numPr>
          <w:ilvl w:val="0"/>
          <w:numId w:val="54"/>
        </w:numPr>
        <w:spacing w:line="240" w:lineRule="auto"/>
        <w:ind w:right="-2"/>
        <w:rPr>
          <w:szCs w:val="22"/>
        </w:rPr>
      </w:pPr>
      <w:r w:rsidRPr="00183B5F">
        <w:rPr>
          <w:szCs w:val="22"/>
        </w:rPr>
        <w:t>légszomj</w:t>
      </w:r>
    </w:p>
    <w:p w14:paraId="69B9AE95" w14:textId="77777777" w:rsidR="002942B5" w:rsidRPr="00183B5F" w:rsidRDefault="00943743" w:rsidP="004062FE">
      <w:pPr>
        <w:numPr>
          <w:ilvl w:val="0"/>
          <w:numId w:val="54"/>
        </w:numPr>
        <w:spacing w:line="240" w:lineRule="auto"/>
        <w:ind w:right="-2"/>
        <w:rPr>
          <w:szCs w:val="22"/>
        </w:rPr>
      </w:pPr>
      <w:r w:rsidRPr="00183B5F">
        <w:rPr>
          <w:szCs w:val="22"/>
        </w:rPr>
        <w:t>tápcsatorna eredetű vérzés</w:t>
      </w:r>
    </w:p>
    <w:p w14:paraId="136B84B7" w14:textId="77777777" w:rsidR="002942B5" w:rsidRPr="00183B5F" w:rsidRDefault="00943743" w:rsidP="004062FE">
      <w:pPr>
        <w:numPr>
          <w:ilvl w:val="0"/>
          <w:numId w:val="54"/>
        </w:numPr>
        <w:spacing w:line="240" w:lineRule="auto"/>
        <w:ind w:right="-2"/>
        <w:rPr>
          <w:szCs w:val="22"/>
        </w:rPr>
      </w:pPr>
      <w:r w:rsidRPr="00183B5F">
        <w:rPr>
          <w:szCs w:val="22"/>
        </w:rPr>
        <w:t>diszpepszia (emésztési zavar, puffadás, gyomorégés)</w:t>
      </w:r>
    </w:p>
    <w:p w14:paraId="1ECF1A41" w14:textId="77777777" w:rsidR="002942B5" w:rsidRPr="00183B5F" w:rsidRDefault="00943743" w:rsidP="004062FE">
      <w:pPr>
        <w:numPr>
          <w:ilvl w:val="0"/>
          <w:numId w:val="54"/>
        </w:numPr>
        <w:spacing w:line="240" w:lineRule="auto"/>
        <w:ind w:right="-2"/>
        <w:rPr>
          <w:szCs w:val="22"/>
        </w:rPr>
      </w:pPr>
      <w:r w:rsidRPr="00183B5F">
        <w:rPr>
          <w:szCs w:val="22"/>
        </w:rPr>
        <w:t>a gyomorsav visszafolyása a nyelőcsőbe;</w:t>
      </w:r>
    </w:p>
    <w:p w14:paraId="0A2EE4D1" w14:textId="77777777" w:rsidR="002942B5" w:rsidRPr="00183B5F" w:rsidRDefault="00943743" w:rsidP="004062FE">
      <w:pPr>
        <w:numPr>
          <w:ilvl w:val="0"/>
          <w:numId w:val="54"/>
        </w:numPr>
        <w:spacing w:line="240" w:lineRule="auto"/>
        <w:ind w:right="-2"/>
        <w:rPr>
          <w:szCs w:val="22"/>
        </w:rPr>
      </w:pPr>
      <w:r w:rsidRPr="00183B5F">
        <w:rPr>
          <w:szCs w:val="22"/>
        </w:rPr>
        <w:t>szikka-szindróma (beleértve a száraz szemet és a száraz szájat is)</w:t>
      </w:r>
    </w:p>
    <w:p w14:paraId="440CD80E" w14:textId="77777777" w:rsidR="002942B5" w:rsidRPr="00183B5F" w:rsidRDefault="00943743" w:rsidP="004062FE">
      <w:pPr>
        <w:numPr>
          <w:ilvl w:val="0"/>
          <w:numId w:val="54"/>
        </w:numPr>
        <w:spacing w:line="240" w:lineRule="auto"/>
        <w:ind w:right="-2"/>
        <w:rPr>
          <w:szCs w:val="22"/>
        </w:rPr>
      </w:pPr>
      <w:r w:rsidRPr="00183B5F">
        <w:rPr>
          <w:szCs w:val="22"/>
        </w:rPr>
        <w:t>bőrviszketés</w:t>
      </w:r>
    </w:p>
    <w:p w14:paraId="3BC9586B" w14:textId="77777777" w:rsidR="002942B5" w:rsidRPr="00183B5F" w:rsidRDefault="00943743" w:rsidP="004062FE">
      <w:pPr>
        <w:numPr>
          <w:ilvl w:val="0"/>
          <w:numId w:val="54"/>
        </w:numPr>
        <w:spacing w:line="240" w:lineRule="auto"/>
        <w:ind w:right="-2"/>
        <w:rPr>
          <w:szCs w:val="22"/>
        </w:rPr>
      </w:pPr>
      <w:r w:rsidRPr="00183B5F">
        <w:rPr>
          <w:szCs w:val="22"/>
        </w:rPr>
        <w:t>viszkető bőrkiütés</w:t>
      </w:r>
    </w:p>
    <w:p w14:paraId="3651D7B7" w14:textId="77777777" w:rsidR="002942B5" w:rsidRPr="00183B5F" w:rsidRDefault="00943743" w:rsidP="004062FE">
      <w:pPr>
        <w:numPr>
          <w:ilvl w:val="0"/>
          <w:numId w:val="54"/>
        </w:numPr>
        <w:spacing w:line="240" w:lineRule="auto"/>
        <w:ind w:right="-2"/>
        <w:rPr>
          <w:szCs w:val="22"/>
        </w:rPr>
      </w:pPr>
      <w:r w:rsidRPr="00183B5F">
        <w:rPr>
          <w:szCs w:val="22"/>
        </w:rPr>
        <w:t>véraláfutás</w:t>
      </w:r>
    </w:p>
    <w:p w14:paraId="7CCD4EF5" w14:textId="77777777" w:rsidR="002942B5" w:rsidRPr="00183B5F" w:rsidRDefault="00943743" w:rsidP="004062FE">
      <w:pPr>
        <w:numPr>
          <w:ilvl w:val="0"/>
          <w:numId w:val="54"/>
        </w:numPr>
        <w:spacing w:line="240" w:lineRule="auto"/>
        <w:ind w:right="-2"/>
        <w:rPr>
          <w:szCs w:val="22"/>
        </w:rPr>
      </w:pPr>
      <w:r w:rsidRPr="00183B5F">
        <w:rPr>
          <w:szCs w:val="22"/>
        </w:rPr>
        <w:t>bőrgyulladás (mint például az ekcéma)</w:t>
      </w:r>
    </w:p>
    <w:p w14:paraId="6B5B1825" w14:textId="77777777" w:rsidR="002942B5" w:rsidRPr="00183B5F" w:rsidRDefault="00943743" w:rsidP="004062FE">
      <w:pPr>
        <w:numPr>
          <w:ilvl w:val="0"/>
          <w:numId w:val="54"/>
        </w:numPr>
        <w:spacing w:line="240" w:lineRule="auto"/>
        <w:ind w:right="-2"/>
        <w:rPr>
          <w:szCs w:val="22"/>
        </w:rPr>
      </w:pPr>
      <w:r w:rsidRPr="00183B5F">
        <w:rPr>
          <w:szCs w:val="22"/>
        </w:rPr>
        <w:t>a kéz- és lábujjkörmök töredezése</w:t>
      </w:r>
    </w:p>
    <w:p w14:paraId="20BA291F" w14:textId="77777777" w:rsidR="002942B5" w:rsidRPr="00183B5F" w:rsidRDefault="00943743" w:rsidP="004062FE">
      <w:pPr>
        <w:numPr>
          <w:ilvl w:val="0"/>
          <w:numId w:val="54"/>
        </w:numPr>
        <w:spacing w:line="240" w:lineRule="auto"/>
        <w:ind w:right="-2"/>
        <w:rPr>
          <w:szCs w:val="22"/>
        </w:rPr>
      </w:pPr>
      <w:r w:rsidRPr="00183B5F">
        <w:rPr>
          <w:szCs w:val="22"/>
        </w:rPr>
        <w:t>fokozott verejtékezés</w:t>
      </w:r>
    </w:p>
    <w:p w14:paraId="20C85079" w14:textId="77777777" w:rsidR="002942B5" w:rsidRPr="00183B5F" w:rsidRDefault="00943743" w:rsidP="004062FE">
      <w:pPr>
        <w:numPr>
          <w:ilvl w:val="0"/>
          <w:numId w:val="54"/>
        </w:numPr>
        <w:spacing w:line="240" w:lineRule="auto"/>
        <w:ind w:right="-2"/>
        <w:rPr>
          <w:szCs w:val="22"/>
        </w:rPr>
      </w:pPr>
      <w:r w:rsidRPr="00183B5F">
        <w:rPr>
          <w:szCs w:val="22"/>
        </w:rPr>
        <w:t>hajhullás</w:t>
      </w:r>
    </w:p>
    <w:p w14:paraId="3FC3ED00" w14:textId="77777777" w:rsidR="002942B5" w:rsidRPr="00183B5F" w:rsidRDefault="00943743" w:rsidP="004062FE">
      <w:pPr>
        <w:numPr>
          <w:ilvl w:val="0"/>
          <w:numId w:val="54"/>
        </w:numPr>
        <w:spacing w:line="240" w:lineRule="auto"/>
        <w:ind w:right="-2"/>
        <w:rPr>
          <w:szCs w:val="22"/>
        </w:rPr>
      </w:pPr>
      <w:r w:rsidRPr="00183B5F">
        <w:rPr>
          <w:szCs w:val="22"/>
        </w:rPr>
        <w:t>pikkelysömör megjelenése vagy rosszabbodása</w:t>
      </w:r>
    </w:p>
    <w:p w14:paraId="5A67F7EF" w14:textId="77777777" w:rsidR="002942B5" w:rsidRPr="00183B5F" w:rsidRDefault="00943743" w:rsidP="004062FE">
      <w:pPr>
        <w:numPr>
          <w:ilvl w:val="0"/>
          <w:numId w:val="54"/>
        </w:numPr>
        <w:spacing w:line="240" w:lineRule="auto"/>
        <w:ind w:right="-2"/>
        <w:rPr>
          <w:szCs w:val="22"/>
        </w:rPr>
      </w:pPr>
      <w:r w:rsidRPr="00183B5F">
        <w:rPr>
          <w:szCs w:val="22"/>
        </w:rPr>
        <w:t>izomgörcsök</w:t>
      </w:r>
    </w:p>
    <w:p w14:paraId="619F6AFB" w14:textId="77777777" w:rsidR="002942B5" w:rsidRPr="00183B5F" w:rsidRDefault="00943743" w:rsidP="004062FE">
      <w:pPr>
        <w:numPr>
          <w:ilvl w:val="0"/>
          <w:numId w:val="54"/>
        </w:numPr>
        <w:spacing w:line="240" w:lineRule="auto"/>
        <w:ind w:right="-2"/>
        <w:rPr>
          <w:szCs w:val="22"/>
        </w:rPr>
      </w:pPr>
      <w:r w:rsidRPr="00183B5F">
        <w:rPr>
          <w:szCs w:val="22"/>
        </w:rPr>
        <w:t>véres vizelet</w:t>
      </w:r>
    </w:p>
    <w:p w14:paraId="3BD81340" w14:textId="77777777" w:rsidR="002942B5" w:rsidRPr="00183B5F" w:rsidRDefault="00943743" w:rsidP="004062FE">
      <w:pPr>
        <w:numPr>
          <w:ilvl w:val="0"/>
          <w:numId w:val="54"/>
        </w:numPr>
        <w:spacing w:line="240" w:lineRule="auto"/>
        <w:ind w:right="-2"/>
        <w:rPr>
          <w:szCs w:val="22"/>
        </w:rPr>
      </w:pPr>
      <w:r w:rsidRPr="00183B5F">
        <w:rPr>
          <w:szCs w:val="22"/>
        </w:rPr>
        <w:t>veseproblémák</w:t>
      </w:r>
    </w:p>
    <w:p w14:paraId="6B673F96" w14:textId="77777777" w:rsidR="002942B5" w:rsidRPr="00183B5F" w:rsidRDefault="00943743" w:rsidP="004062FE">
      <w:pPr>
        <w:numPr>
          <w:ilvl w:val="0"/>
          <w:numId w:val="54"/>
        </w:numPr>
        <w:spacing w:line="240" w:lineRule="auto"/>
        <w:ind w:right="-2"/>
        <w:rPr>
          <w:szCs w:val="22"/>
        </w:rPr>
      </w:pPr>
      <w:r w:rsidRPr="00183B5F">
        <w:rPr>
          <w:szCs w:val="22"/>
        </w:rPr>
        <w:t>mellkasi fájdalom</w:t>
      </w:r>
    </w:p>
    <w:p w14:paraId="72FF4650" w14:textId="77777777" w:rsidR="002942B5" w:rsidRPr="00183B5F" w:rsidRDefault="00943743" w:rsidP="004062FE">
      <w:pPr>
        <w:numPr>
          <w:ilvl w:val="0"/>
          <w:numId w:val="54"/>
        </w:numPr>
        <w:spacing w:line="240" w:lineRule="auto"/>
        <w:ind w:right="-2"/>
        <w:rPr>
          <w:szCs w:val="22"/>
        </w:rPr>
      </w:pPr>
      <w:r w:rsidRPr="00183B5F">
        <w:rPr>
          <w:szCs w:val="22"/>
        </w:rPr>
        <w:t>vizenyő (duzzanat)</w:t>
      </w:r>
    </w:p>
    <w:p w14:paraId="46396FC3" w14:textId="77777777" w:rsidR="002942B5" w:rsidRPr="00183B5F" w:rsidRDefault="00943743" w:rsidP="004062FE">
      <w:pPr>
        <w:numPr>
          <w:ilvl w:val="0"/>
          <w:numId w:val="54"/>
        </w:numPr>
        <w:spacing w:line="240" w:lineRule="auto"/>
        <w:ind w:right="-2"/>
        <w:rPr>
          <w:szCs w:val="22"/>
        </w:rPr>
      </w:pPr>
      <w:r w:rsidRPr="00183B5F">
        <w:rPr>
          <w:szCs w:val="22"/>
        </w:rPr>
        <w:t>láz</w:t>
      </w:r>
    </w:p>
    <w:p w14:paraId="248159B1" w14:textId="77777777" w:rsidR="002942B5" w:rsidRPr="00183B5F" w:rsidRDefault="00943743" w:rsidP="004062FE">
      <w:pPr>
        <w:numPr>
          <w:ilvl w:val="0"/>
          <w:numId w:val="54"/>
        </w:numPr>
        <w:spacing w:line="240" w:lineRule="auto"/>
        <w:ind w:right="-2"/>
        <w:rPr>
          <w:szCs w:val="22"/>
        </w:rPr>
      </w:pPr>
      <w:r w:rsidRPr="00183B5F">
        <w:rPr>
          <w:szCs w:val="22"/>
        </w:rPr>
        <w:t>a vérlemezkék számának csökkenése, ami növeli a vérzés vagy a véraláfutás kialakulásának kockázatát</w:t>
      </w:r>
    </w:p>
    <w:p w14:paraId="115AAA94" w14:textId="77777777" w:rsidR="002942B5" w:rsidRPr="00183B5F" w:rsidRDefault="00943743" w:rsidP="004062FE">
      <w:pPr>
        <w:numPr>
          <w:ilvl w:val="0"/>
          <w:numId w:val="54"/>
        </w:numPr>
        <w:spacing w:line="240" w:lineRule="auto"/>
        <w:ind w:right="-2"/>
        <w:rPr>
          <w:szCs w:val="22"/>
        </w:rPr>
      </w:pPr>
      <w:r w:rsidRPr="00183B5F">
        <w:rPr>
          <w:szCs w:val="22"/>
        </w:rPr>
        <w:t>csökkent gyógyulási készség</w:t>
      </w:r>
    </w:p>
    <w:p w14:paraId="5E4EA9FC" w14:textId="77777777" w:rsidR="002942B5" w:rsidRPr="00183B5F" w:rsidRDefault="002942B5" w:rsidP="004062FE">
      <w:pPr>
        <w:spacing w:line="240" w:lineRule="auto"/>
        <w:ind w:right="-2"/>
        <w:rPr>
          <w:szCs w:val="22"/>
        </w:rPr>
      </w:pPr>
    </w:p>
    <w:p w14:paraId="0ADC078F" w14:textId="77777777" w:rsidR="002942B5" w:rsidRPr="00183B5F" w:rsidRDefault="00943743" w:rsidP="004062FE">
      <w:pPr>
        <w:spacing w:line="240" w:lineRule="auto"/>
        <w:ind w:right="-2"/>
        <w:rPr>
          <w:szCs w:val="22"/>
        </w:rPr>
      </w:pPr>
      <w:r w:rsidRPr="00183B5F">
        <w:rPr>
          <w:b/>
          <w:szCs w:val="22"/>
        </w:rPr>
        <w:t>Nem gyakori</w:t>
      </w:r>
      <w:r w:rsidRPr="00183B5F">
        <w:rPr>
          <w:szCs w:val="22"/>
        </w:rPr>
        <w:t xml:space="preserve"> (100 beteg közül legfeljebb 1</w:t>
      </w:r>
      <w:r w:rsidRPr="00183B5F">
        <w:rPr>
          <w:szCs w:val="22"/>
        </w:rPr>
        <w:noBreakHyphen/>
        <w:t>nél kialakuló)</w:t>
      </w:r>
    </w:p>
    <w:p w14:paraId="361AB8B7" w14:textId="77777777" w:rsidR="002942B5" w:rsidRPr="00183B5F" w:rsidRDefault="002942B5" w:rsidP="004062FE">
      <w:pPr>
        <w:spacing w:line="240" w:lineRule="auto"/>
        <w:ind w:right="-2"/>
        <w:rPr>
          <w:szCs w:val="22"/>
        </w:rPr>
      </w:pPr>
    </w:p>
    <w:p w14:paraId="3A2D0E10" w14:textId="77777777" w:rsidR="002942B5" w:rsidRPr="00183B5F" w:rsidRDefault="00943743" w:rsidP="004062FE">
      <w:pPr>
        <w:numPr>
          <w:ilvl w:val="0"/>
          <w:numId w:val="55"/>
        </w:numPr>
        <w:tabs>
          <w:tab w:val="clear" w:pos="567"/>
          <w:tab w:val="left" w:pos="562"/>
        </w:tabs>
        <w:spacing w:line="240" w:lineRule="auto"/>
        <w:ind w:right="-2"/>
        <w:rPr>
          <w:szCs w:val="22"/>
        </w:rPr>
      </w:pPr>
      <w:r w:rsidRPr="00183B5F">
        <w:rPr>
          <w:szCs w:val="22"/>
        </w:rPr>
        <w:t>opportunista fertőzések (ezek közé tartozik a tuberkulózis és más, olyan fertőzések, amelyek akkor alakulnak ki, amikor a betegségekkel szembeni ellenállóképesség lecsökken)</w:t>
      </w:r>
    </w:p>
    <w:p w14:paraId="6D813D86" w14:textId="77777777" w:rsidR="002942B5" w:rsidRPr="00183B5F" w:rsidRDefault="00943743" w:rsidP="004062FE">
      <w:pPr>
        <w:numPr>
          <w:ilvl w:val="0"/>
          <w:numId w:val="55"/>
        </w:numPr>
        <w:tabs>
          <w:tab w:val="clear" w:pos="567"/>
          <w:tab w:val="left" w:pos="562"/>
        </w:tabs>
        <w:spacing w:line="240" w:lineRule="auto"/>
        <w:ind w:right="-2"/>
        <w:rPr>
          <w:szCs w:val="22"/>
        </w:rPr>
      </w:pPr>
      <w:r w:rsidRPr="00183B5F">
        <w:rPr>
          <w:szCs w:val="22"/>
        </w:rPr>
        <w:t>ideggyógyászati eredetű fertőzések (beleértve a vírusos eredetű agyhártyagyulladást is)</w:t>
      </w:r>
    </w:p>
    <w:p w14:paraId="122222FC" w14:textId="77777777" w:rsidR="002942B5" w:rsidRPr="00183B5F" w:rsidRDefault="00943743" w:rsidP="004062FE">
      <w:pPr>
        <w:numPr>
          <w:ilvl w:val="0"/>
          <w:numId w:val="55"/>
        </w:numPr>
        <w:spacing w:line="240" w:lineRule="auto"/>
        <w:ind w:right="-2"/>
        <w:rPr>
          <w:szCs w:val="22"/>
        </w:rPr>
      </w:pPr>
      <w:r w:rsidRPr="00183B5F">
        <w:rPr>
          <w:szCs w:val="22"/>
        </w:rPr>
        <w:t>szemfertőzések</w:t>
      </w:r>
    </w:p>
    <w:p w14:paraId="42A4E734" w14:textId="77777777" w:rsidR="002942B5" w:rsidRPr="00183B5F" w:rsidRDefault="00943743" w:rsidP="004062FE">
      <w:pPr>
        <w:numPr>
          <w:ilvl w:val="0"/>
          <w:numId w:val="55"/>
        </w:numPr>
        <w:spacing w:line="240" w:lineRule="auto"/>
        <w:ind w:right="-2"/>
        <w:rPr>
          <w:szCs w:val="22"/>
        </w:rPr>
      </w:pPr>
      <w:r w:rsidRPr="00183B5F">
        <w:rPr>
          <w:szCs w:val="22"/>
        </w:rPr>
        <w:t>baktériumok okozta fertőzések</w:t>
      </w:r>
    </w:p>
    <w:p w14:paraId="4B467E92" w14:textId="77777777" w:rsidR="002942B5" w:rsidRPr="00183B5F" w:rsidRDefault="00943743" w:rsidP="004062FE">
      <w:pPr>
        <w:numPr>
          <w:ilvl w:val="0"/>
          <w:numId w:val="55"/>
        </w:numPr>
        <w:spacing w:line="240" w:lineRule="auto"/>
        <w:ind w:right="-2"/>
        <w:rPr>
          <w:szCs w:val="22"/>
        </w:rPr>
      </w:pPr>
      <w:r w:rsidRPr="00183B5F">
        <w:rPr>
          <w:szCs w:val="22"/>
        </w:rPr>
        <w:t>divertikulitisz (vastagbélgyulladás és -fertőzés)</w:t>
      </w:r>
    </w:p>
    <w:p w14:paraId="6A728838" w14:textId="77777777" w:rsidR="002942B5" w:rsidRPr="00183B5F" w:rsidRDefault="00943743" w:rsidP="004062FE">
      <w:pPr>
        <w:numPr>
          <w:ilvl w:val="0"/>
          <w:numId w:val="55"/>
        </w:numPr>
        <w:spacing w:line="240" w:lineRule="auto"/>
        <w:ind w:right="-2"/>
        <w:rPr>
          <w:szCs w:val="22"/>
        </w:rPr>
      </w:pPr>
      <w:r w:rsidRPr="00183B5F">
        <w:rPr>
          <w:szCs w:val="22"/>
        </w:rPr>
        <w:t>rák</w:t>
      </w:r>
    </w:p>
    <w:p w14:paraId="46E0BCBC" w14:textId="77777777" w:rsidR="002942B5" w:rsidRPr="00183B5F" w:rsidRDefault="00943743" w:rsidP="004062FE">
      <w:pPr>
        <w:numPr>
          <w:ilvl w:val="0"/>
          <w:numId w:val="55"/>
        </w:numPr>
        <w:spacing w:line="240" w:lineRule="auto"/>
        <w:ind w:right="-2"/>
        <w:rPr>
          <w:szCs w:val="22"/>
        </w:rPr>
      </w:pPr>
      <w:r w:rsidRPr="00183B5F">
        <w:rPr>
          <w:szCs w:val="22"/>
        </w:rPr>
        <w:t>rák, amely a nyirokrendszert támadja meg</w:t>
      </w:r>
    </w:p>
    <w:p w14:paraId="36B563D2" w14:textId="77777777" w:rsidR="002942B5" w:rsidRPr="00183B5F" w:rsidRDefault="00943743" w:rsidP="004062FE">
      <w:pPr>
        <w:numPr>
          <w:ilvl w:val="0"/>
          <w:numId w:val="55"/>
        </w:numPr>
        <w:spacing w:line="240" w:lineRule="auto"/>
        <w:ind w:right="-2"/>
        <w:rPr>
          <w:szCs w:val="22"/>
        </w:rPr>
      </w:pPr>
      <w:r w:rsidRPr="00183B5F">
        <w:rPr>
          <w:szCs w:val="22"/>
        </w:rPr>
        <w:t>melanóma</w:t>
      </w:r>
    </w:p>
    <w:p w14:paraId="67C33BDD" w14:textId="77777777" w:rsidR="002942B5" w:rsidRPr="00183B5F" w:rsidRDefault="00943743" w:rsidP="004062FE">
      <w:pPr>
        <w:numPr>
          <w:ilvl w:val="0"/>
          <w:numId w:val="55"/>
        </w:numPr>
        <w:spacing w:line="240" w:lineRule="auto"/>
        <w:ind w:right="-2"/>
        <w:rPr>
          <w:szCs w:val="22"/>
        </w:rPr>
      </w:pPr>
      <w:r w:rsidRPr="00183B5F">
        <w:rPr>
          <w:szCs w:val="22"/>
        </w:rPr>
        <w:t>a szervezet védekező rendszerének betegségei, amelyek érinthetik a tüdőt, a bőrt és a nyirokcsomókat (leggyakrabban szarkoidózisként jelentkezik)</w:t>
      </w:r>
    </w:p>
    <w:p w14:paraId="47DC7F8D" w14:textId="77777777" w:rsidR="002942B5" w:rsidRPr="00183B5F" w:rsidRDefault="00943743" w:rsidP="004062FE">
      <w:pPr>
        <w:numPr>
          <w:ilvl w:val="0"/>
          <w:numId w:val="55"/>
        </w:numPr>
        <w:spacing w:line="240" w:lineRule="auto"/>
        <w:ind w:right="-2"/>
        <w:rPr>
          <w:szCs w:val="22"/>
        </w:rPr>
      </w:pPr>
      <w:r w:rsidRPr="00183B5F">
        <w:rPr>
          <w:szCs w:val="22"/>
        </w:rPr>
        <w:t>vaszkulitisz (érgyulladás)</w:t>
      </w:r>
    </w:p>
    <w:p w14:paraId="71161E22" w14:textId="77777777" w:rsidR="002942B5" w:rsidRPr="00183B5F" w:rsidRDefault="00943743" w:rsidP="004062FE">
      <w:pPr>
        <w:numPr>
          <w:ilvl w:val="0"/>
          <w:numId w:val="55"/>
        </w:numPr>
        <w:spacing w:line="240" w:lineRule="auto"/>
        <w:ind w:right="-2"/>
        <w:rPr>
          <w:szCs w:val="22"/>
        </w:rPr>
      </w:pPr>
      <w:r w:rsidRPr="00183B5F">
        <w:rPr>
          <w:szCs w:val="22"/>
        </w:rPr>
        <w:t>remegés</w:t>
      </w:r>
    </w:p>
    <w:p w14:paraId="788EFD5A" w14:textId="77777777" w:rsidR="002942B5" w:rsidRPr="00183B5F" w:rsidRDefault="00943743" w:rsidP="004062FE">
      <w:pPr>
        <w:numPr>
          <w:ilvl w:val="0"/>
          <w:numId w:val="55"/>
        </w:numPr>
        <w:spacing w:line="240" w:lineRule="auto"/>
        <w:ind w:right="-2"/>
        <w:rPr>
          <w:szCs w:val="22"/>
        </w:rPr>
      </w:pPr>
      <w:r w:rsidRPr="00183B5F">
        <w:rPr>
          <w:szCs w:val="22"/>
        </w:rPr>
        <w:t>neuropátia (idegbántalom)</w:t>
      </w:r>
    </w:p>
    <w:p w14:paraId="209A6167" w14:textId="77777777" w:rsidR="002942B5" w:rsidRPr="00183B5F" w:rsidRDefault="00943743" w:rsidP="004062FE">
      <w:pPr>
        <w:numPr>
          <w:ilvl w:val="0"/>
          <w:numId w:val="55"/>
        </w:numPr>
        <w:spacing w:line="240" w:lineRule="auto"/>
        <w:ind w:right="-2"/>
        <w:rPr>
          <w:szCs w:val="22"/>
        </w:rPr>
      </w:pPr>
      <w:r w:rsidRPr="00183B5F">
        <w:rPr>
          <w:szCs w:val="22"/>
        </w:rPr>
        <w:t>szélütés</w:t>
      </w:r>
    </w:p>
    <w:p w14:paraId="5D97820F" w14:textId="77777777" w:rsidR="002942B5" w:rsidRPr="00183B5F" w:rsidRDefault="00943743" w:rsidP="004062FE">
      <w:pPr>
        <w:numPr>
          <w:ilvl w:val="0"/>
          <w:numId w:val="55"/>
        </w:numPr>
        <w:spacing w:line="240" w:lineRule="auto"/>
        <w:ind w:right="-2"/>
        <w:rPr>
          <w:szCs w:val="22"/>
        </w:rPr>
      </w:pPr>
      <w:r w:rsidRPr="00183B5F">
        <w:rPr>
          <w:szCs w:val="22"/>
        </w:rPr>
        <w:t>halláscsökkenés, fülzúgás</w:t>
      </w:r>
    </w:p>
    <w:p w14:paraId="18656AE5" w14:textId="77777777" w:rsidR="002942B5" w:rsidRPr="00183B5F" w:rsidRDefault="00943743" w:rsidP="004062FE">
      <w:pPr>
        <w:numPr>
          <w:ilvl w:val="0"/>
          <w:numId w:val="55"/>
        </w:numPr>
        <w:spacing w:line="240" w:lineRule="auto"/>
        <w:ind w:right="-2"/>
        <w:rPr>
          <w:szCs w:val="22"/>
        </w:rPr>
      </w:pPr>
      <w:r w:rsidRPr="00183B5F">
        <w:rPr>
          <w:szCs w:val="22"/>
        </w:rPr>
        <w:t>szabálytalan szívverés érzése, mint például kimaradó szívverés</w:t>
      </w:r>
    </w:p>
    <w:p w14:paraId="05C286D2" w14:textId="77777777" w:rsidR="002942B5" w:rsidRPr="00183B5F" w:rsidRDefault="00943743" w:rsidP="004062FE">
      <w:pPr>
        <w:numPr>
          <w:ilvl w:val="0"/>
          <w:numId w:val="55"/>
        </w:numPr>
        <w:spacing w:line="240" w:lineRule="auto"/>
        <w:ind w:right="-2"/>
        <w:rPr>
          <w:szCs w:val="22"/>
        </w:rPr>
      </w:pPr>
      <w:r w:rsidRPr="00183B5F">
        <w:rPr>
          <w:szCs w:val="22"/>
        </w:rPr>
        <w:t>szívproblémák, amelyek például nehézlégzést vagy bokadagadást okozhatnak</w:t>
      </w:r>
    </w:p>
    <w:p w14:paraId="12BADF8A" w14:textId="77777777" w:rsidR="002942B5" w:rsidRPr="00183B5F" w:rsidRDefault="00943743" w:rsidP="004062FE">
      <w:pPr>
        <w:numPr>
          <w:ilvl w:val="0"/>
          <w:numId w:val="55"/>
        </w:numPr>
        <w:spacing w:line="240" w:lineRule="auto"/>
        <w:ind w:right="-2"/>
        <w:rPr>
          <w:szCs w:val="22"/>
        </w:rPr>
      </w:pPr>
      <w:r w:rsidRPr="00183B5F">
        <w:rPr>
          <w:szCs w:val="22"/>
        </w:rPr>
        <w:t>szívroham</w:t>
      </w:r>
    </w:p>
    <w:p w14:paraId="261E5BEB" w14:textId="77777777" w:rsidR="002942B5" w:rsidRPr="00183B5F" w:rsidRDefault="00943743" w:rsidP="004062FE">
      <w:pPr>
        <w:numPr>
          <w:ilvl w:val="0"/>
          <w:numId w:val="55"/>
        </w:numPr>
        <w:spacing w:line="240" w:lineRule="auto"/>
        <w:ind w:right="-2"/>
        <w:rPr>
          <w:szCs w:val="22"/>
        </w:rPr>
      </w:pPr>
      <w:r w:rsidRPr="00183B5F">
        <w:rPr>
          <w:szCs w:val="22"/>
        </w:rPr>
        <w:t>kiöblösödés valamely nagy ütőérben, gyulladás és vérrögképződés valamelyik vénában, érelzáródás</w:t>
      </w:r>
    </w:p>
    <w:p w14:paraId="75B91558" w14:textId="77777777" w:rsidR="002942B5" w:rsidRPr="00183B5F" w:rsidRDefault="00943743" w:rsidP="004062FE">
      <w:pPr>
        <w:numPr>
          <w:ilvl w:val="0"/>
          <w:numId w:val="55"/>
        </w:numPr>
        <w:spacing w:line="240" w:lineRule="auto"/>
        <w:ind w:right="-2"/>
        <w:rPr>
          <w:szCs w:val="22"/>
        </w:rPr>
      </w:pPr>
      <w:r w:rsidRPr="00183B5F">
        <w:rPr>
          <w:szCs w:val="22"/>
        </w:rPr>
        <w:t>nehézlégzést okozó tüdőbetegségek (beleértve a gyulladást is)</w:t>
      </w:r>
    </w:p>
    <w:p w14:paraId="5874BC0A" w14:textId="77777777" w:rsidR="002942B5" w:rsidRPr="00183B5F" w:rsidRDefault="00943743" w:rsidP="004062FE">
      <w:pPr>
        <w:numPr>
          <w:ilvl w:val="0"/>
          <w:numId w:val="55"/>
        </w:numPr>
        <w:spacing w:line="240" w:lineRule="auto"/>
        <w:ind w:right="-2"/>
        <w:rPr>
          <w:szCs w:val="22"/>
        </w:rPr>
      </w:pPr>
      <w:r w:rsidRPr="00183B5F">
        <w:rPr>
          <w:szCs w:val="22"/>
        </w:rPr>
        <w:t>tüdőembólia (a tüdőt ellátó ér elzáródása)</w:t>
      </w:r>
    </w:p>
    <w:p w14:paraId="115EBB34" w14:textId="77777777" w:rsidR="002942B5" w:rsidRPr="00183B5F" w:rsidRDefault="00943743" w:rsidP="004062FE">
      <w:pPr>
        <w:numPr>
          <w:ilvl w:val="0"/>
          <w:numId w:val="55"/>
        </w:numPr>
        <w:spacing w:line="240" w:lineRule="auto"/>
        <w:ind w:right="-2"/>
        <w:rPr>
          <w:szCs w:val="22"/>
        </w:rPr>
      </w:pPr>
      <w:r w:rsidRPr="00183B5F">
        <w:rPr>
          <w:szCs w:val="22"/>
        </w:rPr>
        <w:t>pleurális folyadékgyülem (a mellhártyák között kóros folyadékgyülem)</w:t>
      </w:r>
    </w:p>
    <w:p w14:paraId="7A407F1F" w14:textId="77777777" w:rsidR="002942B5" w:rsidRPr="00183B5F" w:rsidRDefault="00943743" w:rsidP="004062FE">
      <w:pPr>
        <w:numPr>
          <w:ilvl w:val="0"/>
          <w:numId w:val="55"/>
        </w:numPr>
        <w:spacing w:line="240" w:lineRule="auto"/>
        <w:ind w:right="-2"/>
        <w:rPr>
          <w:szCs w:val="22"/>
        </w:rPr>
      </w:pPr>
      <w:r w:rsidRPr="00183B5F">
        <w:rPr>
          <w:szCs w:val="22"/>
        </w:rPr>
        <w:t>hasnyálmirigy</w:t>
      </w:r>
      <w:r w:rsidRPr="00183B5F">
        <w:rPr>
          <w:szCs w:val="22"/>
        </w:rPr>
        <w:noBreakHyphen/>
        <w:t>gyulladás ami erős hasi fájdalmat és hátfájást okoz</w:t>
      </w:r>
    </w:p>
    <w:p w14:paraId="1759C22C" w14:textId="77777777" w:rsidR="002942B5" w:rsidRPr="00183B5F" w:rsidRDefault="00943743" w:rsidP="004062FE">
      <w:pPr>
        <w:numPr>
          <w:ilvl w:val="0"/>
          <w:numId w:val="55"/>
        </w:numPr>
        <w:spacing w:line="240" w:lineRule="auto"/>
        <w:ind w:right="-2"/>
        <w:rPr>
          <w:szCs w:val="22"/>
        </w:rPr>
      </w:pPr>
      <w:r w:rsidRPr="00183B5F">
        <w:rPr>
          <w:szCs w:val="22"/>
        </w:rPr>
        <w:t>nyelészavar</w:t>
      </w:r>
    </w:p>
    <w:p w14:paraId="697AD9D7" w14:textId="77777777" w:rsidR="002942B5" w:rsidRPr="00183B5F" w:rsidRDefault="00943743" w:rsidP="004062FE">
      <w:pPr>
        <w:numPr>
          <w:ilvl w:val="0"/>
          <w:numId w:val="55"/>
        </w:numPr>
        <w:spacing w:line="240" w:lineRule="auto"/>
        <w:ind w:right="-2"/>
        <w:rPr>
          <w:szCs w:val="22"/>
        </w:rPr>
      </w:pPr>
      <w:r w:rsidRPr="00183B5F">
        <w:rPr>
          <w:szCs w:val="22"/>
        </w:rPr>
        <w:t>az arc feldagadása</w:t>
      </w:r>
    </w:p>
    <w:p w14:paraId="2903EE5D" w14:textId="77777777" w:rsidR="002942B5" w:rsidRPr="00183B5F" w:rsidRDefault="00943743" w:rsidP="004062FE">
      <w:pPr>
        <w:numPr>
          <w:ilvl w:val="0"/>
          <w:numId w:val="55"/>
        </w:numPr>
        <w:spacing w:line="240" w:lineRule="auto"/>
        <w:ind w:right="-2"/>
        <w:rPr>
          <w:szCs w:val="22"/>
        </w:rPr>
      </w:pPr>
      <w:r w:rsidRPr="00183B5F">
        <w:rPr>
          <w:szCs w:val="22"/>
        </w:rPr>
        <w:t>epehólyaggyulladás, epekövesség</w:t>
      </w:r>
    </w:p>
    <w:p w14:paraId="16DC36C9" w14:textId="77777777" w:rsidR="002942B5" w:rsidRPr="00183B5F" w:rsidRDefault="00943743" w:rsidP="004062FE">
      <w:pPr>
        <w:numPr>
          <w:ilvl w:val="0"/>
          <w:numId w:val="55"/>
        </w:numPr>
        <w:spacing w:line="240" w:lineRule="auto"/>
        <w:ind w:right="-2"/>
        <w:rPr>
          <w:szCs w:val="22"/>
        </w:rPr>
      </w:pPr>
      <w:r w:rsidRPr="00183B5F">
        <w:rPr>
          <w:szCs w:val="22"/>
        </w:rPr>
        <w:t>zsírmáj</w:t>
      </w:r>
    </w:p>
    <w:p w14:paraId="192E7E0F" w14:textId="77777777" w:rsidR="002942B5" w:rsidRPr="00183B5F" w:rsidRDefault="00943743" w:rsidP="004062FE">
      <w:pPr>
        <w:numPr>
          <w:ilvl w:val="0"/>
          <w:numId w:val="55"/>
        </w:numPr>
        <w:spacing w:line="240" w:lineRule="auto"/>
        <w:ind w:right="-2"/>
        <w:rPr>
          <w:szCs w:val="22"/>
        </w:rPr>
      </w:pPr>
      <w:r w:rsidRPr="00183B5F">
        <w:rPr>
          <w:szCs w:val="22"/>
        </w:rPr>
        <w:t>éjszakai izzadás</w:t>
      </w:r>
    </w:p>
    <w:p w14:paraId="27A6D267" w14:textId="77777777" w:rsidR="002942B5" w:rsidRPr="00183B5F" w:rsidRDefault="00943743" w:rsidP="004062FE">
      <w:pPr>
        <w:numPr>
          <w:ilvl w:val="0"/>
          <w:numId w:val="55"/>
        </w:numPr>
        <w:spacing w:line="240" w:lineRule="auto"/>
        <w:ind w:right="-2"/>
        <w:rPr>
          <w:szCs w:val="22"/>
        </w:rPr>
      </w:pPr>
      <w:r w:rsidRPr="00183B5F">
        <w:rPr>
          <w:szCs w:val="22"/>
        </w:rPr>
        <w:t>hegképződés</w:t>
      </w:r>
    </w:p>
    <w:p w14:paraId="45E281CC" w14:textId="77777777" w:rsidR="002942B5" w:rsidRPr="00183B5F" w:rsidRDefault="00943743" w:rsidP="004062FE">
      <w:pPr>
        <w:numPr>
          <w:ilvl w:val="0"/>
          <w:numId w:val="55"/>
        </w:numPr>
        <w:spacing w:line="240" w:lineRule="auto"/>
        <w:ind w:right="-2"/>
        <w:rPr>
          <w:szCs w:val="22"/>
        </w:rPr>
      </w:pPr>
      <w:r w:rsidRPr="00183B5F">
        <w:rPr>
          <w:szCs w:val="22"/>
        </w:rPr>
        <w:t>az izomszövet kóros szétesése</w:t>
      </w:r>
    </w:p>
    <w:p w14:paraId="1D9A5AC9" w14:textId="77777777" w:rsidR="002942B5" w:rsidRPr="00183B5F" w:rsidRDefault="00943743" w:rsidP="004062FE">
      <w:pPr>
        <w:numPr>
          <w:ilvl w:val="0"/>
          <w:numId w:val="55"/>
        </w:numPr>
        <w:spacing w:line="240" w:lineRule="auto"/>
        <w:ind w:right="-2"/>
        <w:rPr>
          <w:szCs w:val="22"/>
        </w:rPr>
      </w:pPr>
      <w:r w:rsidRPr="00183B5F">
        <w:rPr>
          <w:szCs w:val="22"/>
        </w:rPr>
        <w:t>szisztémás lupusz eritematózusz (beleértve a bőr, a szív, a tüdő, az ízületek és más szervrendszerek gyulladását)</w:t>
      </w:r>
    </w:p>
    <w:p w14:paraId="4599852B" w14:textId="77777777" w:rsidR="002942B5" w:rsidRPr="00183B5F" w:rsidRDefault="00943743" w:rsidP="004062FE">
      <w:pPr>
        <w:numPr>
          <w:ilvl w:val="0"/>
          <w:numId w:val="55"/>
        </w:numPr>
        <w:spacing w:line="240" w:lineRule="auto"/>
        <w:ind w:right="-2"/>
        <w:rPr>
          <w:szCs w:val="22"/>
        </w:rPr>
      </w:pPr>
      <w:r w:rsidRPr="00183B5F">
        <w:rPr>
          <w:szCs w:val="22"/>
        </w:rPr>
        <w:t>az alvás megszakadása</w:t>
      </w:r>
    </w:p>
    <w:p w14:paraId="2D96ACA5" w14:textId="77777777" w:rsidR="002942B5" w:rsidRPr="00183B5F" w:rsidRDefault="00943743" w:rsidP="004062FE">
      <w:pPr>
        <w:numPr>
          <w:ilvl w:val="0"/>
          <w:numId w:val="55"/>
        </w:numPr>
        <w:spacing w:line="240" w:lineRule="auto"/>
        <w:ind w:right="-2"/>
        <w:rPr>
          <w:szCs w:val="22"/>
        </w:rPr>
      </w:pPr>
      <w:r w:rsidRPr="00183B5F">
        <w:rPr>
          <w:szCs w:val="22"/>
        </w:rPr>
        <w:t>merevedési zavar</w:t>
      </w:r>
    </w:p>
    <w:p w14:paraId="086A109C" w14:textId="77777777" w:rsidR="002942B5" w:rsidRPr="00183B5F" w:rsidRDefault="00943743" w:rsidP="004062FE">
      <w:pPr>
        <w:numPr>
          <w:ilvl w:val="0"/>
          <w:numId w:val="55"/>
        </w:numPr>
        <w:tabs>
          <w:tab w:val="num" w:pos="1820"/>
        </w:tabs>
        <w:spacing w:line="240" w:lineRule="auto"/>
        <w:ind w:right="-2"/>
        <w:rPr>
          <w:szCs w:val="22"/>
        </w:rPr>
      </w:pPr>
      <w:r w:rsidRPr="00183B5F">
        <w:rPr>
          <w:szCs w:val="22"/>
        </w:rPr>
        <w:t>gyulladások</w:t>
      </w:r>
    </w:p>
    <w:p w14:paraId="680BDBE7" w14:textId="77777777" w:rsidR="002942B5" w:rsidRPr="00183B5F" w:rsidRDefault="002942B5" w:rsidP="004062FE">
      <w:pPr>
        <w:spacing w:line="240" w:lineRule="auto"/>
        <w:ind w:right="-2"/>
        <w:rPr>
          <w:szCs w:val="22"/>
        </w:rPr>
      </w:pPr>
    </w:p>
    <w:p w14:paraId="2A0025B4" w14:textId="77777777" w:rsidR="002942B5" w:rsidRPr="00183B5F" w:rsidRDefault="00943743" w:rsidP="004062FE">
      <w:pPr>
        <w:spacing w:line="240" w:lineRule="auto"/>
        <w:ind w:right="-2"/>
        <w:rPr>
          <w:szCs w:val="22"/>
        </w:rPr>
      </w:pPr>
      <w:r w:rsidRPr="00183B5F">
        <w:rPr>
          <w:b/>
          <w:szCs w:val="22"/>
        </w:rPr>
        <w:t>Ritka</w:t>
      </w:r>
      <w:r w:rsidRPr="00183B5F">
        <w:rPr>
          <w:szCs w:val="22"/>
        </w:rPr>
        <w:t xml:space="preserve"> (1000 beteg közül legfeljebb 1</w:t>
      </w:r>
      <w:r w:rsidRPr="00183B5F">
        <w:rPr>
          <w:szCs w:val="22"/>
        </w:rPr>
        <w:noBreakHyphen/>
        <w:t>nél kialakuló)</w:t>
      </w:r>
    </w:p>
    <w:p w14:paraId="62B33CBC" w14:textId="77777777" w:rsidR="002942B5" w:rsidRPr="00183B5F" w:rsidRDefault="002942B5" w:rsidP="004062FE">
      <w:pPr>
        <w:spacing w:line="240" w:lineRule="auto"/>
        <w:ind w:right="-2"/>
        <w:rPr>
          <w:szCs w:val="22"/>
        </w:rPr>
      </w:pPr>
    </w:p>
    <w:p w14:paraId="112DEA0B" w14:textId="77777777" w:rsidR="002942B5" w:rsidRPr="00183B5F" w:rsidRDefault="00943743" w:rsidP="004062FE">
      <w:pPr>
        <w:numPr>
          <w:ilvl w:val="0"/>
          <w:numId w:val="51"/>
        </w:numPr>
        <w:spacing w:line="240" w:lineRule="auto"/>
        <w:ind w:right="-2"/>
        <w:rPr>
          <w:szCs w:val="22"/>
        </w:rPr>
      </w:pPr>
      <w:r w:rsidRPr="00183B5F">
        <w:rPr>
          <w:szCs w:val="22"/>
        </w:rPr>
        <w:t>leukémia (fehérvérűség, a vérképző rendszer daganata, ami a csontvelőt érinti)</w:t>
      </w:r>
    </w:p>
    <w:p w14:paraId="29785122" w14:textId="77777777" w:rsidR="002942B5" w:rsidRPr="00183B5F" w:rsidRDefault="00943743" w:rsidP="004062FE">
      <w:pPr>
        <w:numPr>
          <w:ilvl w:val="0"/>
          <w:numId w:val="51"/>
        </w:numPr>
        <w:spacing w:line="240" w:lineRule="auto"/>
        <w:ind w:right="-2"/>
        <w:rPr>
          <w:szCs w:val="22"/>
        </w:rPr>
      </w:pPr>
      <w:r w:rsidRPr="00183B5F">
        <w:rPr>
          <w:szCs w:val="22"/>
        </w:rPr>
        <w:t>súlyos, sokkot okozó allergiás reakció</w:t>
      </w:r>
    </w:p>
    <w:p w14:paraId="07CD547B" w14:textId="77777777" w:rsidR="002942B5" w:rsidRPr="00183B5F" w:rsidRDefault="00943743" w:rsidP="004062FE">
      <w:pPr>
        <w:numPr>
          <w:ilvl w:val="0"/>
          <w:numId w:val="51"/>
        </w:numPr>
        <w:spacing w:line="240" w:lineRule="auto"/>
        <w:ind w:right="-2"/>
        <w:rPr>
          <w:szCs w:val="22"/>
        </w:rPr>
      </w:pPr>
      <w:r w:rsidRPr="00183B5F">
        <w:rPr>
          <w:szCs w:val="22"/>
        </w:rPr>
        <w:t>szklerózis multiplex</w:t>
      </w:r>
    </w:p>
    <w:p w14:paraId="6B2E9EF7" w14:textId="77777777" w:rsidR="002942B5" w:rsidRPr="00183B5F" w:rsidRDefault="00943743" w:rsidP="004062FE">
      <w:pPr>
        <w:numPr>
          <w:ilvl w:val="0"/>
          <w:numId w:val="51"/>
        </w:numPr>
        <w:spacing w:line="240" w:lineRule="auto"/>
        <w:ind w:right="-2"/>
        <w:rPr>
          <w:szCs w:val="22"/>
        </w:rPr>
      </w:pPr>
      <w:r w:rsidRPr="00183B5F">
        <w:rPr>
          <w:szCs w:val="22"/>
        </w:rPr>
        <w:t>ideggyógyászati betegségek (</w:t>
      </w:r>
      <w:r w:rsidR="00E05701" w:rsidRPr="00183B5F">
        <w:rPr>
          <w:bCs/>
          <w:szCs w:val="22"/>
        </w:rPr>
        <w:t>például</w:t>
      </w:r>
      <w:r w:rsidR="00E05701" w:rsidRPr="00183B5F">
        <w:rPr>
          <w:szCs w:val="22"/>
        </w:rPr>
        <w:t xml:space="preserve"> </w:t>
      </w:r>
      <w:r w:rsidRPr="00183B5F">
        <w:rPr>
          <w:szCs w:val="22"/>
        </w:rPr>
        <w:t>a látóideg gyulladása vagy Guillain</w:t>
      </w:r>
      <w:r w:rsidR="00F12F0A" w:rsidRPr="00183B5F">
        <w:rPr>
          <w:szCs w:val="22"/>
        </w:rPr>
        <w:t>–</w:t>
      </w:r>
      <w:r w:rsidRPr="00183B5F">
        <w:rPr>
          <w:szCs w:val="22"/>
        </w:rPr>
        <w:t>Barré-szindróma, ami izomgyengeséget, érzészavart, a karok és a felsőtest zsibbadását okozhatja)</w:t>
      </w:r>
    </w:p>
    <w:p w14:paraId="769550FB" w14:textId="77777777" w:rsidR="002942B5" w:rsidRPr="00183B5F" w:rsidRDefault="00943743" w:rsidP="004062FE">
      <w:pPr>
        <w:numPr>
          <w:ilvl w:val="0"/>
          <w:numId w:val="51"/>
        </w:numPr>
        <w:spacing w:line="240" w:lineRule="auto"/>
        <w:ind w:right="-2"/>
        <w:rPr>
          <w:szCs w:val="22"/>
        </w:rPr>
      </w:pPr>
      <w:r w:rsidRPr="00183B5F">
        <w:rPr>
          <w:szCs w:val="22"/>
        </w:rPr>
        <w:t>szívleállás</w:t>
      </w:r>
    </w:p>
    <w:p w14:paraId="595092B6" w14:textId="77777777" w:rsidR="002942B5" w:rsidRPr="00183B5F" w:rsidRDefault="00943743">
      <w:pPr>
        <w:pStyle w:val="EMEABullet2"/>
        <w:tabs>
          <w:tab w:val="clear" w:pos="720"/>
          <w:tab w:val="num" w:pos="690"/>
        </w:tabs>
        <w:ind w:left="550" w:hanging="550"/>
        <w:rPr>
          <w:szCs w:val="22"/>
          <w:lang w:val="hu-HU"/>
        </w:rPr>
      </w:pPr>
      <w:r w:rsidRPr="00183B5F">
        <w:rPr>
          <w:szCs w:val="22"/>
          <w:lang w:val="hu-HU"/>
        </w:rPr>
        <w:t>tüdőfibrózis (tüdőhegesedés)</w:t>
      </w:r>
    </w:p>
    <w:p w14:paraId="03192EC1" w14:textId="77777777" w:rsidR="002942B5" w:rsidRPr="00183B5F" w:rsidRDefault="00943743">
      <w:pPr>
        <w:pStyle w:val="EMEABullet2"/>
        <w:tabs>
          <w:tab w:val="clear" w:pos="720"/>
          <w:tab w:val="num" w:pos="690"/>
        </w:tabs>
        <w:ind w:left="550" w:hanging="550"/>
        <w:rPr>
          <w:szCs w:val="22"/>
          <w:lang w:val="hu-HU"/>
        </w:rPr>
      </w:pPr>
      <w:r w:rsidRPr="00183B5F">
        <w:rPr>
          <w:szCs w:val="22"/>
          <w:lang w:val="hu-HU"/>
        </w:rPr>
        <w:t>bél átlyukadása</w:t>
      </w:r>
    </w:p>
    <w:p w14:paraId="78236565" w14:textId="77777777" w:rsidR="002942B5" w:rsidRPr="00183B5F" w:rsidRDefault="00943743">
      <w:pPr>
        <w:pStyle w:val="EMEABullet2"/>
        <w:tabs>
          <w:tab w:val="clear" w:pos="720"/>
          <w:tab w:val="num" w:pos="690"/>
        </w:tabs>
        <w:ind w:left="550" w:hanging="550"/>
        <w:rPr>
          <w:szCs w:val="22"/>
          <w:lang w:val="hu-HU"/>
        </w:rPr>
      </w:pPr>
      <w:r w:rsidRPr="00183B5F">
        <w:rPr>
          <w:szCs w:val="22"/>
          <w:lang w:val="hu-HU"/>
        </w:rPr>
        <w:t>májgyulladás</w:t>
      </w:r>
    </w:p>
    <w:p w14:paraId="00F5D83F" w14:textId="77777777" w:rsidR="002942B5" w:rsidRPr="00183B5F" w:rsidRDefault="00943743">
      <w:pPr>
        <w:pStyle w:val="EMEABullet2"/>
        <w:tabs>
          <w:tab w:val="clear" w:pos="720"/>
          <w:tab w:val="num" w:pos="690"/>
        </w:tabs>
        <w:ind w:left="550" w:hanging="550"/>
        <w:rPr>
          <w:szCs w:val="22"/>
          <w:lang w:val="hu-HU"/>
        </w:rPr>
      </w:pPr>
      <w:r w:rsidRPr="00183B5F">
        <w:rPr>
          <w:szCs w:val="22"/>
          <w:lang w:val="hu-HU"/>
        </w:rPr>
        <w:t>B típusú fertőző májgyulladás kiújulása</w:t>
      </w:r>
    </w:p>
    <w:p w14:paraId="7275995D" w14:textId="77777777" w:rsidR="002942B5" w:rsidRPr="00183B5F" w:rsidRDefault="00943743">
      <w:pPr>
        <w:pStyle w:val="EMEABullet2"/>
        <w:ind w:left="550" w:hanging="550"/>
        <w:rPr>
          <w:szCs w:val="22"/>
          <w:lang w:val="hu-HU"/>
        </w:rPr>
      </w:pPr>
      <w:r w:rsidRPr="00183B5F">
        <w:rPr>
          <w:szCs w:val="22"/>
          <w:lang w:val="hu-HU"/>
        </w:rPr>
        <w:t>autoimmun májgyulladás (a máj gyulladása, melyet a saját immunrendszer vált ki)</w:t>
      </w:r>
    </w:p>
    <w:p w14:paraId="248972A2" w14:textId="77777777" w:rsidR="002942B5" w:rsidRPr="00183B5F" w:rsidRDefault="00943743">
      <w:pPr>
        <w:pStyle w:val="EMEABullet2"/>
        <w:tabs>
          <w:tab w:val="clear" w:pos="720"/>
          <w:tab w:val="num" w:pos="690"/>
        </w:tabs>
        <w:ind w:left="550" w:hanging="550"/>
        <w:rPr>
          <w:szCs w:val="22"/>
          <w:lang w:val="hu-HU"/>
        </w:rPr>
      </w:pPr>
      <w:r w:rsidRPr="00183B5F">
        <w:rPr>
          <w:szCs w:val="22"/>
          <w:lang w:val="hu-HU"/>
        </w:rPr>
        <w:t>kután vaszkulitisz (a bőrben található erek gyulladása)</w:t>
      </w:r>
    </w:p>
    <w:p w14:paraId="47FF7ACE" w14:textId="77777777" w:rsidR="002942B5" w:rsidRPr="00183B5F" w:rsidRDefault="00943743">
      <w:pPr>
        <w:pStyle w:val="EMEABullet2"/>
        <w:tabs>
          <w:tab w:val="clear" w:pos="720"/>
          <w:tab w:val="num" w:pos="690"/>
        </w:tabs>
        <w:ind w:left="550" w:hanging="550"/>
        <w:rPr>
          <w:szCs w:val="22"/>
          <w:lang w:val="hu-HU"/>
        </w:rPr>
      </w:pPr>
      <w:r w:rsidRPr="00183B5F">
        <w:rPr>
          <w:szCs w:val="22"/>
          <w:lang w:val="hu-HU"/>
        </w:rPr>
        <w:t>Stevens</w:t>
      </w:r>
      <w:r w:rsidR="00004B4F" w:rsidRPr="00183B5F">
        <w:rPr>
          <w:szCs w:val="22"/>
          <w:lang w:val="hu-HU"/>
        </w:rPr>
        <w:t>–</w:t>
      </w:r>
      <w:r w:rsidRPr="00183B5F">
        <w:rPr>
          <w:szCs w:val="22"/>
          <w:lang w:val="hu-HU"/>
        </w:rPr>
        <w:t>Johnson-szindróma (korai tünetei a rossz közérzet, láz, fejfájás és bőrkiütés)</w:t>
      </w:r>
    </w:p>
    <w:p w14:paraId="2F171564" w14:textId="77777777" w:rsidR="002942B5" w:rsidRPr="00183B5F" w:rsidRDefault="00943743">
      <w:pPr>
        <w:pStyle w:val="EMEABullet2"/>
        <w:tabs>
          <w:tab w:val="clear" w:pos="720"/>
          <w:tab w:val="num" w:pos="690"/>
        </w:tabs>
        <w:ind w:left="550" w:hanging="550"/>
        <w:rPr>
          <w:szCs w:val="22"/>
          <w:lang w:val="hu-HU"/>
        </w:rPr>
      </w:pPr>
      <w:r w:rsidRPr="00183B5F">
        <w:rPr>
          <w:szCs w:val="22"/>
          <w:lang w:val="hu-HU"/>
        </w:rPr>
        <w:t>arcduzzanat, amit allergiás reakció kísér</w:t>
      </w:r>
    </w:p>
    <w:p w14:paraId="239C6E07" w14:textId="77777777" w:rsidR="002942B5" w:rsidRPr="00183B5F" w:rsidRDefault="00943743" w:rsidP="004062FE">
      <w:pPr>
        <w:numPr>
          <w:ilvl w:val="0"/>
          <w:numId w:val="56"/>
        </w:numPr>
        <w:spacing w:line="240" w:lineRule="auto"/>
        <w:ind w:right="-2"/>
        <w:rPr>
          <w:szCs w:val="22"/>
        </w:rPr>
      </w:pPr>
      <w:r w:rsidRPr="00183B5F">
        <w:rPr>
          <w:szCs w:val="22"/>
        </w:rPr>
        <w:t>eritéma multiforme (gyulladásos bőrkiütés)</w:t>
      </w:r>
    </w:p>
    <w:p w14:paraId="4335CE12" w14:textId="77777777" w:rsidR="002942B5" w:rsidRPr="00183B5F" w:rsidRDefault="00943743" w:rsidP="004062FE">
      <w:pPr>
        <w:numPr>
          <w:ilvl w:val="0"/>
          <w:numId w:val="56"/>
        </w:numPr>
        <w:spacing w:line="240" w:lineRule="auto"/>
        <w:ind w:right="-2"/>
        <w:rPr>
          <w:szCs w:val="22"/>
        </w:rPr>
      </w:pPr>
      <w:r w:rsidRPr="00183B5F">
        <w:rPr>
          <w:szCs w:val="22"/>
        </w:rPr>
        <w:t>lupusz-szerű szindróma</w:t>
      </w:r>
    </w:p>
    <w:p w14:paraId="022F65FB" w14:textId="77777777" w:rsidR="00747D3E" w:rsidRPr="00183B5F" w:rsidRDefault="00943743" w:rsidP="004062FE">
      <w:pPr>
        <w:numPr>
          <w:ilvl w:val="0"/>
          <w:numId w:val="56"/>
        </w:numPr>
        <w:spacing w:line="240" w:lineRule="auto"/>
        <w:ind w:right="-2"/>
        <w:rPr>
          <w:szCs w:val="22"/>
        </w:rPr>
      </w:pPr>
      <w:r w:rsidRPr="00183B5F">
        <w:rPr>
          <w:szCs w:val="22"/>
        </w:rPr>
        <w:t>angioödéma (helyi bőrduzzanat)</w:t>
      </w:r>
    </w:p>
    <w:p w14:paraId="6F67EEB3" w14:textId="77777777" w:rsidR="007B1AD3" w:rsidRPr="00183B5F" w:rsidRDefault="00943743">
      <w:pPr>
        <w:numPr>
          <w:ilvl w:val="0"/>
          <w:numId w:val="56"/>
        </w:numPr>
        <w:spacing w:line="240" w:lineRule="auto"/>
        <w:ind w:right="-2"/>
        <w:rPr>
          <w:szCs w:val="22"/>
        </w:rPr>
      </w:pPr>
      <w:r w:rsidRPr="00183B5F">
        <w:rPr>
          <w:szCs w:val="22"/>
        </w:rPr>
        <w:t>lichenoid bőrreakció (viszkető</w:t>
      </w:r>
      <w:r w:rsidR="00264FE9" w:rsidRPr="00183B5F">
        <w:rPr>
          <w:szCs w:val="22"/>
        </w:rPr>
        <w:t>,</w:t>
      </w:r>
      <w:r w:rsidRPr="00183B5F">
        <w:rPr>
          <w:szCs w:val="22"/>
        </w:rPr>
        <w:t xml:space="preserve"> </w:t>
      </w:r>
      <w:r w:rsidR="007865CD" w:rsidRPr="00183B5F">
        <w:rPr>
          <w:szCs w:val="22"/>
        </w:rPr>
        <w:t>vöröses</w:t>
      </w:r>
      <w:r w:rsidRPr="00183B5F">
        <w:rPr>
          <w:szCs w:val="22"/>
        </w:rPr>
        <w:t>-lilás bőrkiütés).</w:t>
      </w:r>
    </w:p>
    <w:p w14:paraId="013D42CB" w14:textId="77777777" w:rsidR="002942B5" w:rsidRPr="00183B5F" w:rsidRDefault="002942B5" w:rsidP="004062FE">
      <w:pPr>
        <w:spacing w:line="240" w:lineRule="auto"/>
        <w:ind w:right="-2"/>
        <w:rPr>
          <w:szCs w:val="22"/>
          <w:lang w:eastAsia="de-DE"/>
        </w:rPr>
      </w:pPr>
    </w:p>
    <w:p w14:paraId="2638103B" w14:textId="77777777" w:rsidR="002942B5" w:rsidRPr="00183B5F" w:rsidRDefault="00943743" w:rsidP="004062FE">
      <w:pPr>
        <w:spacing w:line="240" w:lineRule="auto"/>
        <w:ind w:right="-2"/>
        <w:rPr>
          <w:szCs w:val="22"/>
        </w:rPr>
      </w:pPr>
      <w:r w:rsidRPr="00183B5F">
        <w:rPr>
          <w:b/>
          <w:szCs w:val="22"/>
        </w:rPr>
        <w:t>Nem ismert</w:t>
      </w:r>
      <w:r w:rsidRPr="00183B5F">
        <w:rPr>
          <w:szCs w:val="22"/>
        </w:rPr>
        <w:t xml:space="preserve"> (a</w:t>
      </w:r>
      <w:r w:rsidR="00004B4F" w:rsidRPr="00183B5F">
        <w:rPr>
          <w:szCs w:val="22"/>
        </w:rPr>
        <w:t xml:space="preserve"> gyakoriság a</w:t>
      </w:r>
      <w:r w:rsidRPr="00183B5F">
        <w:rPr>
          <w:szCs w:val="22"/>
        </w:rPr>
        <w:t xml:space="preserve"> rendelkezésre álló adatokból nem állapítható meg)</w:t>
      </w:r>
    </w:p>
    <w:p w14:paraId="4FD380E6" w14:textId="77777777" w:rsidR="002942B5" w:rsidRPr="00183B5F" w:rsidRDefault="002942B5" w:rsidP="004062FE">
      <w:pPr>
        <w:spacing w:line="240" w:lineRule="auto"/>
        <w:ind w:right="-2"/>
        <w:rPr>
          <w:szCs w:val="22"/>
        </w:rPr>
      </w:pPr>
    </w:p>
    <w:p w14:paraId="0004D841" w14:textId="77777777" w:rsidR="002942B5" w:rsidRPr="00183B5F" w:rsidRDefault="00943743" w:rsidP="00874034">
      <w:pPr>
        <w:numPr>
          <w:ilvl w:val="0"/>
          <w:numId w:val="106"/>
        </w:numPr>
        <w:spacing w:line="240" w:lineRule="auto"/>
        <w:ind w:left="567" w:right="-2" w:hanging="567"/>
        <w:rPr>
          <w:szCs w:val="22"/>
        </w:rPr>
      </w:pPr>
      <w:r w:rsidRPr="00183B5F">
        <w:rPr>
          <w:szCs w:val="22"/>
        </w:rPr>
        <w:t>hepatoszplénikus T-sejtes limfóma (ritka vérrák, ami gyakran halálos kimenetelű)</w:t>
      </w:r>
    </w:p>
    <w:p w14:paraId="54E8E591" w14:textId="77777777" w:rsidR="002942B5" w:rsidRPr="00183B5F" w:rsidRDefault="00943743" w:rsidP="00874034">
      <w:pPr>
        <w:numPr>
          <w:ilvl w:val="0"/>
          <w:numId w:val="106"/>
        </w:numPr>
        <w:spacing w:line="240" w:lineRule="auto"/>
        <w:ind w:left="567" w:right="-2" w:hanging="567"/>
        <w:rPr>
          <w:szCs w:val="22"/>
        </w:rPr>
      </w:pPr>
      <w:r w:rsidRPr="00183B5F">
        <w:rPr>
          <w:szCs w:val="22"/>
        </w:rPr>
        <w:t>Merkel</w:t>
      </w:r>
      <w:r w:rsidRPr="00183B5F">
        <w:rPr>
          <w:szCs w:val="22"/>
        </w:rPr>
        <w:noBreakHyphen/>
        <w:t>sejtes karcinóma (bőrrák egyik típusa)</w:t>
      </w:r>
    </w:p>
    <w:p w14:paraId="05BBCF1C" w14:textId="77777777" w:rsidR="00874034" w:rsidRPr="00183B5F" w:rsidRDefault="00943743" w:rsidP="00874034">
      <w:pPr>
        <w:numPr>
          <w:ilvl w:val="0"/>
          <w:numId w:val="106"/>
        </w:numPr>
        <w:spacing w:line="240" w:lineRule="auto"/>
        <w:ind w:left="567" w:right="-2" w:hanging="567"/>
        <w:rPr>
          <w:szCs w:val="22"/>
        </w:rPr>
      </w:pPr>
      <w:r w:rsidRPr="00183B5F">
        <w:rPr>
          <w:szCs w:val="22"/>
        </w:rPr>
        <w:t>Kaposi-szarkóma, a 8-as típusú humán herpeszvírus fertőzéssel járó ritka daganatos megbetegedés. A Kaposi-szarkóma leggyakrabban a bőrön jelenik meg lila elváltozások formájában</w:t>
      </w:r>
    </w:p>
    <w:p w14:paraId="110527F0" w14:textId="77777777" w:rsidR="002942B5" w:rsidRPr="00183B5F" w:rsidRDefault="00943743" w:rsidP="00874034">
      <w:pPr>
        <w:numPr>
          <w:ilvl w:val="0"/>
          <w:numId w:val="106"/>
        </w:numPr>
        <w:spacing w:line="240" w:lineRule="auto"/>
        <w:ind w:left="567" w:right="-2" w:hanging="567"/>
        <w:rPr>
          <w:szCs w:val="22"/>
        </w:rPr>
      </w:pPr>
      <w:r w:rsidRPr="00183B5F">
        <w:rPr>
          <w:szCs w:val="22"/>
        </w:rPr>
        <w:t>májelégtelenség</w:t>
      </w:r>
    </w:p>
    <w:p w14:paraId="0DD9CF99" w14:textId="77777777" w:rsidR="002942B5" w:rsidRPr="00183B5F" w:rsidRDefault="00943743" w:rsidP="004062FE">
      <w:pPr>
        <w:numPr>
          <w:ilvl w:val="0"/>
          <w:numId w:val="106"/>
        </w:numPr>
        <w:spacing w:line="240" w:lineRule="auto"/>
        <w:ind w:left="540" w:right="-2" w:hanging="540"/>
        <w:rPr>
          <w:szCs w:val="22"/>
        </w:rPr>
      </w:pPr>
      <w:r w:rsidRPr="00183B5F">
        <w:rPr>
          <w:szCs w:val="22"/>
        </w:rPr>
        <w:t>dermatomiozitisz nevű betegség (izomgyengeséghez társult bőrkiütés formájában jelentkezik) súlyosbodása</w:t>
      </w:r>
    </w:p>
    <w:p w14:paraId="77FDD6E7" w14:textId="77777777" w:rsidR="004025F9" w:rsidRPr="00183B5F" w:rsidRDefault="00943743" w:rsidP="004025F9">
      <w:pPr>
        <w:numPr>
          <w:ilvl w:val="0"/>
          <w:numId w:val="106"/>
        </w:numPr>
        <w:spacing w:line="240" w:lineRule="auto"/>
        <w:ind w:left="540" w:right="-2" w:hanging="540"/>
        <w:rPr>
          <w:szCs w:val="22"/>
        </w:rPr>
      </w:pPr>
      <w:r w:rsidRPr="00183B5F">
        <w:t>testsúlynövekedés (a legtöbb betegnél ez kismértékű volt)</w:t>
      </w:r>
    </w:p>
    <w:p w14:paraId="602A5034" w14:textId="77777777" w:rsidR="002942B5" w:rsidRPr="00183B5F" w:rsidRDefault="002942B5" w:rsidP="004062FE">
      <w:pPr>
        <w:spacing w:line="240" w:lineRule="auto"/>
        <w:ind w:right="-2"/>
        <w:rPr>
          <w:szCs w:val="22"/>
          <w:lang w:eastAsia="de-DE"/>
        </w:rPr>
      </w:pPr>
    </w:p>
    <w:p w14:paraId="5253D77F" w14:textId="77777777" w:rsidR="002942B5" w:rsidRPr="00183B5F" w:rsidRDefault="00943743" w:rsidP="004062FE">
      <w:pPr>
        <w:suppressAutoHyphens w:val="0"/>
        <w:autoSpaceDE w:val="0"/>
        <w:autoSpaceDN w:val="0"/>
        <w:adjustRightInd w:val="0"/>
        <w:spacing w:line="240" w:lineRule="auto"/>
        <w:rPr>
          <w:szCs w:val="22"/>
          <w:lang w:eastAsia="de-DE"/>
        </w:rPr>
      </w:pPr>
      <w:r w:rsidRPr="00183B5F">
        <w:rPr>
          <w:szCs w:val="22"/>
          <w:lang w:eastAsia="de-DE"/>
        </w:rPr>
        <w:t>A Humira alkalmazása során észlelt némelyik mellékhatás nem okoz tüneteket, és lehet, hogy csak vérvizsgálattal deríthető ki. Ezek közé tartozik:</w:t>
      </w:r>
    </w:p>
    <w:p w14:paraId="757EFF98" w14:textId="77777777" w:rsidR="002942B5" w:rsidRPr="00183B5F" w:rsidRDefault="002942B5" w:rsidP="004062FE">
      <w:pPr>
        <w:suppressAutoHyphens w:val="0"/>
        <w:autoSpaceDE w:val="0"/>
        <w:autoSpaceDN w:val="0"/>
        <w:adjustRightInd w:val="0"/>
        <w:spacing w:line="240" w:lineRule="auto"/>
        <w:rPr>
          <w:szCs w:val="22"/>
          <w:lang w:eastAsia="de-DE"/>
        </w:rPr>
      </w:pPr>
    </w:p>
    <w:p w14:paraId="24206FF8" w14:textId="77777777" w:rsidR="002942B5" w:rsidRPr="00183B5F" w:rsidRDefault="00943743" w:rsidP="004062FE">
      <w:pPr>
        <w:suppressAutoHyphens w:val="0"/>
        <w:spacing w:line="240" w:lineRule="auto"/>
        <w:rPr>
          <w:szCs w:val="22"/>
        </w:rPr>
      </w:pPr>
      <w:r w:rsidRPr="00183B5F">
        <w:rPr>
          <w:b/>
          <w:szCs w:val="22"/>
        </w:rPr>
        <w:t>Nagyon gyakori</w:t>
      </w:r>
      <w:r w:rsidRPr="00183B5F">
        <w:rPr>
          <w:szCs w:val="22"/>
        </w:rPr>
        <w:t xml:space="preserve"> (10 beteg közül több mint 1</w:t>
      </w:r>
      <w:r w:rsidRPr="00183B5F">
        <w:rPr>
          <w:szCs w:val="22"/>
        </w:rPr>
        <w:noBreakHyphen/>
        <w:t>nél alakul ki)</w:t>
      </w:r>
    </w:p>
    <w:p w14:paraId="0B74396A" w14:textId="77777777" w:rsidR="002942B5" w:rsidRPr="00183B5F" w:rsidRDefault="002942B5" w:rsidP="004062FE">
      <w:pPr>
        <w:suppressAutoHyphens w:val="0"/>
        <w:spacing w:line="240" w:lineRule="auto"/>
        <w:rPr>
          <w:szCs w:val="22"/>
        </w:rPr>
      </w:pPr>
    </w:p>
    <w:p w14:paraId="04CB5374" w14:textId="77777777" w:rsidR="002942B5"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alacsony fehérvérsejtszám</w:t>
      </w:r>
    </w:p>
    <w:p w14:paraId="074D489C" w14:textId="77777777" w:rsidR="002942B5"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alacsony vörösvértestszám</w:t>
      </w:r>
    </w:p>
    <w:p w14:paraId="3AE73661" w14:textId="77777777" w:rsidR="002942B5"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a vérzsírszint emelkedése</w:t>
      </w:r>
    </w:p>
    <w:p w14:paraId="531DF96F" w14:textId="77777777" w:rsidR="002942B5"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emelkedett májenzimszint</w:t>
      </w:r>
    </w:p>
    <w:p w14:paraId="3FF6FB21" w14:textId="77777777" w:rsidR="002942B5" w:rsidRPr="00183B5F" w:rsidRDefault="002942B5" w:rsidP="004062FE">
      <w:pPr>
        <w:suppressAutoHyphens w:val="0"/>
        <w:spacing w:line="240" w:lineRule="auto"/>
        <w:rPr>
          <w:szCs w:val="22"/>
        </w:rPr>
      </w:pPr>
    </w:p>
    <w:p w14:paraId="010CF8BC" w14:textId="77777777" w:rsidR="002942B5" w:rsidRPr="00183B5F" w:rsidRDefault="00943743" w:rsidP="004062FE">
      <w:pPr>
        <w:suppressAutoHyphens w:val="0"/>
        <w:spacing w:line="240" w:lineRule="auto"/>
        <w:rPr>
          <w:szCs w:val="22"/>
        </w:rPr>
      </w:pPr>
      <w:r w:rsidRPr="00183B5F">
        <w:rPr>
          <w:b/>
          <w:szCs w:val="22"/>
        </w:rPr>
        <w:t xml:space="preserve">Gyakori </w:t>
      </w:r>
      <w:r w:rsidRPr="00183B5F">
        <w:rPr>
          <w:szCs w:val="22"/>
        </w:rPr>
        <w:t>(10 </w:t>
      </w:r>
      <w:r w:rsidR="00E60726" w:rsidRPr="00183B5F">
        <w:rPr>
          <w:szCs w:val="22"/>
        </w:rPr>
        <w:t xml:space="preserve">beteg </w:t>
      </w:r>
      <w:r w:rsidRPr="00183B5F">
        <w:rPr>
          <w:szCs w:val="22"/>
        </w:rPr>
        <w:t>közül legfeljebb 1</w:t>
      </w:r>
      <w:r w:rsidRPr="00183B5F">
        <w:rPr>
          <w:szCs w:val="22"/>
        </w:rPr>
        <w:noBreakHyphen/>
        <w:t>nél alakul ki)</w:t>
      </w:r>
    </w:p>
    <w:p w14:paraId="69AEEC4E" w14:textId="77777777" w:rsidR="002942B5" w:rsidRPr="00183B5F" w:rsidRDefault="002942B5" w:rsidP="004062FE">
      <w:pPr>
        <w:suppressAutoHyphens w:val="0"/>
        <w:spacing w:line="240" w:lineRule="auto"/>
        <w:rPr>
          <w:szCs w:val="22"/>
        </w:rPr>
      </w:pPr>
    </w:p>
    <w:p w14:paraId="76AC6C63" w14:textId="77777777" w:rsidR="002942B5"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magas fehérvérsejtszám</w:t>
      </w:r>
    </w:p>
    <w:p w14:paraId="4FC70787" w14:textId="77777777" w:rsidR="002942B5"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alacsony vérlemezkeszám</w:t>
      </w:r>
    </w:p>
    <w:p w14:paraId="21789FBC" w14:textId="77777777" w:rsidR="002942B5"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emelkedett húgysavszint a vérben</w:t>
      </w:r>
    </w:p>
    <w:p w14:paraId="2B94B309" w14:textId="77777777" w:rsidR="002942B5"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kóros nátriumszint a vérben</w:t>
      </w:r>
    </w:p>
    <w:p w14:paraId="02A51B8B" w14:textId="77777777" w:rsidR="002942B5"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alacsony kalciumszint a vérben</w:t>
      </w:r>
    </w:p>
    <w:p w14:paraId="131E4A9D" w14:textId="77777777" w:rsidR="002942B5"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alacsony foszfátszint a vérben</w:t>
      </w:r>
    </w:p>
    <w:p w14:paraId="0C211579" w14:textId="77777777" w:rsidR="002942B5"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magas vércukorszint</w:t>
      </w:r>
    </w:p>
    <w:p w14:paraId="6C41826B" w14:textId="77777777" w:rsidR="002942B5"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emelkedett laktát-dehidrogenáz-szint a vérben</w:t>
      </w:r>
    </w:p>
    <w:p w14:paraId="28353D4E" w14:textId="77777777" w:rsidR="002942B5"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autoantitestek megjelenése a vérben</w:t>
      </w:r>
    </w:p>
    <w:p w14:paraId="1D7DABAF" w14:textId="77777777" w:rsidR="00747D3E"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t>alacsony káliumszint</w:t>
      </w:r>
      <w:r w:rsidR="001147C9" w:rsidRPr="00183B5F">
        <w:t xml:space="preserve"> a vérben.</w:t>
      </w:r>
    </w:p>
    <w:p w14:paraId="793023F3" w14:textId="77777777" w:rsidR="00747D3E" w:rsidRPr="00183B5F" w:rsidRDefault="00747D3E" w:rsidP="004062FE">
      <w:pPr>
        <w:numPr>
          <w:ilvl w:val="0"/>
          <w:numId w:val="76"/>
        </w:numPr>
        <w:tabs>
          <w:tab w:val="clear" w:pos="720"/>
          <w:tab w:val="num" w:pos="550"/>
        </w:tabs>
        <w:suppressAutoHyphens w:val="0"/>
        <w:spacing w:line="240" w:lineRule="auto"/>
        <w:ind w:left="550" w:hanging="550"/>
        <w:rPr>
          <w:szCs w:val="22"/>
        </w:rPr>
      </w:pPr>
    </w:p>
    <w:p w14:paraId="46E01724" w14:textId="77777777" w:rsidR="00747D3E" w:rsidRPr="00183B5F" w:rsidRDefault="00943743">
      <w:pPr>
        <w:suppressAutoHyphens w:val="0"/>
        <w:spacing w:line="240" w:lineRule="auto"/>
        <w:rPr>
          <w:szCs w:val="22"/>
        </w:rPr>
      </w:pPr>
      <w:r w:rsidRPr="00183B5F">
        <w:rPr>
          <w:b/>
        </w:rPr>
        <w:t>Nem gyakori (</w:t>
      </w:r>
      <w:r w:rsidRPr="00183B5F">
        <w:rPr>
          <w:szCs w:val="22"/>
        </w:rPr>
        <w:t>100 beteg közül legfeljebb 1</w:t>
      </w:r>
      <w:r w:rsidRPr="00183B5F">
        <w:rPr>
          <w:szCs w:val="22"/>
        </w:rPr>
        <w:noBreakHyphen/>
        <w:t>nél alakul ki)</w:t>
      </w:r>
    </w:p>
    <w:p w14:paraId="1DE48F48" w14:textId="77777777" w:rsidR="00747D3E" w:rsidRPr="00183B5F" w:rsidRDefault="00747D3E">
      <w:pPr>
        <w:suppressAutoHyphens w:val="0"/>
        <w:spacing w:line="240" w:lineRule="auto"/>
        <w:rPr>
          <w:szCs w:val="22"/>
        </w:rPr>
      </w:pPr>
    </w:p>
    <w:p w14:paraId="64597068" w14:textId="77777777" w:rsidR="00747D3E" w:rsidRPr="00183B5F" w:rsidRDefault="00943743" w:rsidP="004062FE">
      <w:pPr>
        <w:pStyle w:val="ListParagraph"/>
        <w:numPr>
          <w:ilvl w:val="0"/>
          <w:numId w:val="147"/>
        </w:numPr>
        <w:suppressAutoHyphens w:val="0"/>
        <w:spacing w:line="240" w:lineRule="auto"/>
        <w:contextualSpacing/>
      </w:pPr>
      <w:r w:rsidRPr="00183B5F">
        <w:t>emelkedett bilirubin</w:t>
      </w:r>
      <w:r w:rsidRPr="00183B5F">
        <w:noBreakHyphen/>
        <w:t>szint (májfunkciós vizsgálati eredmény)</w:t>
      </w:r>
    </w:p>
    <w:p w14:paraId="563A28E9" w14:textId="77777777" w:rsidR="002942B5" w:rsidRPr="00183B5F" w:rsidRDefault="002942B5">
      <w:pPr>
        <w:suppressAutoHyphens w:val="0"/>
        <w:spacing w:line="240" w:lineRule="auto"/>
        <w:rPr>
          <w:szCs w:val="22"/>
        </w:rPr>
      </w:pPr>
    </w:p>
    <w:p w14:paraId="10405866" w14:textId="77777777" w:rsidR="002942B5" w:rsidRPr="00183B5F" w:rsidRDefault="00943743" w:rsidP="004062FE">
      <w:pPr>
        <w:suppressAutoHyphens w:val="0"/>
        <w:spacing w:line="240" w:lineRule="auto"/>
        <w:rPr>
          <w:szCs w:val="22"/>
        </w:rPr>
      </w:pPr>
      <w:r w:rsidRPr="00183B5F">
        <w:rPr>
          <w:b/>
          <w:szCs w:val="22"/>
        </w:rPr>
        <w:t xml:space="preserve">Ritka </w:t>
      </w:r>
      <w:r w:rsidRPr="00183B5F">
        <w:rPr>
          <w:szCs w:val="22"/>
        </w:rPr>
        <w:t>(1000 beteg közül legfeljebb 1</w:t>
      </w:r>
      <w:r w:rsidRPr="00183B5F">
        <w:rPr>
          <w:szCs w:val="22"/>
        </w:rPr>
        <w:noBreakHyphen/>
        <w:t>nél alakul ki)</w:t>
      </w:r>
    </w:p>
    <w:p w14:paraId="0F8C0E29" w14:textId="77777777" w:rsidR="002942B5" w:rsidRPr="00183B5F" w:rsidRDefault="002942B5" w:rsidP="004062FE">
      <w:pPr>
        <w:suppressAutoHyphens w:val="0"/>
        <w:spacing w:line="240" w:lineRule="auto"/>
        <w:rPr>
          <w:szCs w:val="22"/>
        </w:rPr>
      </w:pPr>
    </w:p>
    <w:p w14:paraId="0B07EADA" w14:textId="77777777" w:rsidR="002942B5"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alacsony fehérvérsejtszám, vörösvértestszám és vérlemezkeszám</w:t>
      </w:r>
    </w:p>
    <w:p w14:paraId="49C96A43" w14:textId="77777777" w:rsidR="002942B5" w:rsidRPr="00183B5F" w:rsidRDefault="002942B5">
      <w:pPr>
        <w:suppressAutoHyphens w:val="0"/>
        <w:spacing w:line="240" w:lineRule="auto"/>
        <w:rPr>
          <w:szCs w:val="22"/>
        </w:rPr>
      </w:pPr>
    </w:p>
    <w:p w14:paraId="4EFE679A" w14:textId="77777777" w:rsidR="002942B5" w:rsidRPr="00183B5F" w:rsidRDefault="00943743">
      <w:pPr>
        <w:keepNext/>
        <w:spacing w:line="240" w:lineRule="auto"/>
        <w:ind w:right="-29"/>
        <w:rPr>
          <w:b/>
          <w:bCs/>
        </w:rPr>
      </w:pPr>
      <w:r w:rsidRPr="00183B5F">
        <w:rPr>
          <w:b/>
          <w:bCs/>
        </w:rPr>
        <w:t>Mellékhatások bejelentése</w:t>
      </w:r>
    </w:p>
    <w:p w14:paraId="10D961EE" w14:textId="77777777" w:rsidR="002942B5" w:rsidRPr="00183B5F" w:rsidRDefault="00943743">
      <w:pPr>
        <w:spacing w:line="240" w:lineRule="auto"/>
        <w:ind w:right="-2"/>
      </w:pPr>
      <w:r w:rsidRPr="00183B5F">
        <w:rPr>
          <w:szCs w:val="24"/>
        </w:rPr>
        <w:t xml:space="preserve">Ha </w:t>
      </w:r>
      <w:r w:rsidRPr="00183B5F">
        <w:rPr>
          <w:noProof/>
          <w:szCs w:val="24"/>
        </w:rPr>
        <w:t>Önnél bármilyen</w:t>
      </w:r>
      <w:r w:rsidRPr="00183B5F">
        <w:rPr>
          <w:szCs w:val="24"/>
        </w:rPr>
        <w:t xml:space="preserve"> mellékhatás </w:t>
      </w:r>
      <w:r w:rsidRPr="00183B5F">
        <w:rPr>
          <w:noProof/>
          <w:szCs w:val="24"/>
        </w:rPr>
        <w:t xml:space="preserve">jelentkezik, tájékoztassa kezelőorvosát </w:t>
      </w:r>
      <w:r w:rsidRPr="00183B5F">
        <w:rPr>
          <w:szCs w:val="24"/>
        </w:rPr>
        <w:t xml:space="preserve">vagy </w:t>
      </w:r>
      <w:r w:rsidRPr="00183B5F">
        <w:rPr>
          <w:noProof/>
          <w:szCs w:val="24"/>
        </w:rPr>
        <w:t>gyógyszerészét. Ez</w:t>
      </w:r>
      <w:r w:rsidRPr="00183B5F">
        <w:rPr>
          <w:szCs w:val="24"/>
        </w:rPr>
        <w:t xml:space="preserve"> a betegtájékoztatóban </w:t>
      </w:r>
      <w:r w:rsidRPr="00183B5F">
        <w:rPr>
          <w:noProof/>
          <w:szCs w:val="24"/>
        </w:rPr>
        <w:t>fel nem sorolt bármilyen lehetséges mellékhatásra is vonatkozik.</w:t>
      </w:r>
      <w:r w:rsidR="00296043" w:rsidRPr="00183B5F">
        <w:rPr>
          <w:noProof/>
          <w:szCs w:val="24"/>
        </w:rPr>
        <w:t xml:space="preserve"> </w:t>
      </w:r>
      <w:r w:rsidRPr="00183B5F">
        <w:t xml:space="preserve">A mellékhatásokat közvetlenül a hatóság részére is bejelentheti az </w:t>
      </w:r>
      <w:hyperlink r:id="rId67" w:history="1">
        <w:r w:rsidR="002942B5" w:rsidRPr="00183B5F">
          <w:rPr>
            <w:rStyle w:val="Hyperlink"/>
            <w:highlight w:val="lightGray"/>
          </w:rPr>
          <w:t>V. függelékben</w:t>
        </w:r>
      </w:hyperlink>
      <w:r w:rsidRPr="00183B5F">
        <w:rPr>
          <w:highlight w:val="lightGray"/>
        </w:rPr>
        <w:t xml:space="preserve"> található elérhetőségeken keresztül</w:t>
      </w:r>
      <w:r w:rsidRPr="00183B5F">
        <w:t>. A mellékhatások bejelentésével Ön is hozzájárulhat ahhoz, hogy minél több információ álljon rendelkezésre a gyógyszer biztonságos alkalmazásával kapcsolatban.</w:t>
      </w:r>
    </w:p>
    <w:p w14:paraId="7E8E98E9" w14:textId="77777777" w:rsidR="002942B5" w:rsidRPr="00183B5F" w:rsidRDefault="002942B5" w:rsidP="004062FE">
      <w:pPr>
        <w:spacing w:line="240" w:lineRule="auto"/>
        <w:ind w:right="-2"/>
        <w:rPr>
          <w:szCs w:val="22"/>
        </w:rPr>
      </w:pPr>
    </w:p>
    <w:p w14:paraId="3F8D1E5A" w14:textId="77777777" w:rsidR="002942B5" w:rsidRPr="00183B5F" w:rsidRDefault="002942B5" w:rsidP="004062FE">
      <w:pPr>
        <w:spacing w:line="240" w:lineRule="auto"/>
        <w:ind w:right="-2"/>
        <w:rPr>
          <w:szCs w:val="22"/>
        </w:rPr>
      </w:pPr>
    </w:p>
    <w:p w14:paraId="23D23857" w14:textId="77777777" w:rsidR="002942B5" w:rsidRPr="00183B5F" w:rsidRDefault="00943743" w:rsidP="004062FE">
      <w:pPr>
        <w:keepNext/>
        <w:spacing w:line="240" w:lineRule="auto"/>
        <w:ind w:right="-2"/>
        <w:rPr>
          <w:b/>
          <w:szCs w:val="22"/>
        </w:rPr>
      </w:pPr>
      <w:r w:rsidRPr="00183B5F">
        <w:rPr>
          <w:b/>
          <w:bCs/>
          <w:szCs w:val="22"/>
        </w:rPr>
        <w:t>5.</w:t>
      </w:r>
      <w:r w:rsidRPr="00183B5F">
        <w:rPr>
          <w:b/>
          <w:bCs/>
          <w:szCs w:val="22"/>
        </w:rPr>
        <w:tab/>
      </w:r>
      <w:r w:rsidRPr="00183B5F">
        <w:rPr>
          <w:b/>
          <w:szCs w:val="22"/>
        </w:rPr>
        <w:t>Hogyan kell a Humira</w:t>
      </w:r>
      <w:r w:rsidRPr="00183B5F">
        <w:rPr>
          <w:b/>
          <w:szCs w:val="22"/>
        </w:rPr>
        <w:noBreakHyphen/>
      </w:r>
      <w:r w:rsidRPr="00183B5F">
        <w:rPr>
          <w:b/>
          <w:szCs w:val="22"/>
        </w:rPr>
        <w:t>t tárolni?</w:t>
      </w:r>
    </w:p>
    <w:p w14:paraId="52C82CAF" w14:textId="77777777" w:rsidR="002942B5" w:rsidRPr="00183B5F" w:rsidRDefault="002942B5" w:rsidP="004062FE">
      <w:pPr>
        <w:keepNext/>
        <w:spacing w:line="240" w:lineRule="auto"/>
        <w:ind w:right="-2"/>
        <w:rPr>
          <w:b/>
          <w:szCs w:val="22"/>
        </w:rPr>
      </w:pPr>
    </w:p>
    <w:p w14:paraId="64670F90" w14:textId="77777777" w:rsidR="002942B5" w:rsidRPr="00183B5F" w:rsidRDefault="00943743" w:rsidP="004062FE">
      <w:pPr>
        <w:keepNext/>
        <w:spacing w:line="240" w:lineRule="auto"/>
        <w:ind w:right="-2"/>
        <w:rPr>
          <w:szCs w:val="22"/>
        </w:rPr>
      </w:pPr>
      <w:r w:rsidRPr="00183B5F">
        <w:rPr>
          <w:szCs w:val="22"/>
        </w:rPr>
        <w:t>A gyógyszer gyermekektől elzárva tartandó.</w:t>
      </w:r>
    </w:p>
    <w:p w14:paraId="60CCE6EB" w14:textId="77777777" w:rsidR="002942B5" w:rsidRPr="00183B5F" w:rsidRDefault="002942B5" w:rsidP="004062FE">
      <w:pPr>
        <w:keepNext/>
        <w:spacing w:line="240" w:lineRule="auto"/>
        <w:rPr>
          <w:szCs w:val="22"/>
        </w:rPr>
      </w:pPr>
    </w:p>
    <w:p w14:paraId="2FC3BCE2" w14:textId="77777777" w:rsidR="002942B5" w:rsidRPr="00183B5F" w:rsidRDefault="00943743" w:rsidP="004062FE">
      <w:pPr>
        <w:keepNext/>
        <w:spacing w:line="240" w:lineRule="auto"/>
        <w:rPr>
          <w:szCs w:val="22"/>
        </w:rPr>
      </w:pPr>
      <w:r w:rsidRPr="00183B5F">
        <w:rPr>
          <w:szCs w:val="22"/>
        </w:rPr>
        <w:t xml:space="preserve">A címkén/buborékcsomagoláson/dobozon feltüntetett lejárati idő (EXP) után ne alkalmazza ezt </w:t>
      </w:r>
      <w:r w:rsidRPr="00183B5F">
        <w:rPr>
          <w:noProof/>
          <w:szCs w:val="24"/>
        </w:rPr>
        <w:t>a gyógyszert</w:t>
      </w:r>
      <w:r w:rsidRPr="00183B5F">
        <w:rPr>
          <w:szCs w:val="22"/>
        </w:rPr>
        <w:t>.</w:t>
      </w:r>
    </w:p>
    <w:p w14:paraId="0331F914" w14:textId="77777777" w:rsidR="002942B5" w:rsidRPr="00183B5F" w:rsidRDefault="002942B5" w:rsidP="004062FE">
      <w:pPr>
        <w:spacing w:line="240" w:lineRule="auto"/>
        <w:rPr>
          <w:szCs w:val="22"/>
        </w:rPr>
      </w:pPr>
    </w:p>
    <w:p w14:paraId="2F2D38FA" w14:textId="77777777" w:rsidR="002942B5" w:rsidRPr="00183B5F" w:rsidRDefault="00943743" w:rsidP="004062FE">
      <w:pPr>
        <w:spacing w:line="240" w:lineRule="auto"/>
        <w:rPr>
          <w:szCs w:val="22"/>
        </w:rPr>
      </w:pPr>
      <w:r w:rsidRPr="00183B5F">
        <w:rPr>
          <w:szCs w:val="22"/>
        </w:rPr>
        <w:t>Hűtőszekrényben (2°C</w:t>
      </w:r>
      <w:r w:rsidRPr="00183B5F">
        <w:rPr>
          <w:szCs w:val="22"/>
        </w:rPr>
        <w:noBreakHyphen/>
        <w:t>8</w:t>
      </w:r>
      <w:r w:rsidRPr="00183B5F">
        <w:rPr>
          <w:rFonts w:ascii="Symbol" w:hAnsi="Symbol"/>
          <w:szCs w:val="22"/>
        </w:rPr>
        <w:sym w:font="Symbol" w:char="F0B0"/>
      </w:r>
      <w:r w:rsidRPr="00183B5F">
        <w:rPr>
          <w:szCs w:val="22"/>
        </w:rPr>
        <w:t>C) tárolandó. Nem fagyasztható!</w:t>
      </w:r>
    </w:p>
    <w:p w14:paraId="74EF97F3" w14:textId="77777777" w:rsidR="002942B5" w:rsidRPr="00183B5F" w:rsidRDefault="002942B5" w:rsidP="004062FE">
      <w:pPr>
        <w:spacing w:line="240" w:lineRule="auto"/>
        <w:rPr>
          <w:szCs w:val="22"/>
        </w:rPr>
      </w:pPr>
    </w:p>
    <w:p w14:paraId="26A540E9" w14:textId="77777777" w:rsidR="002942B5" w:rsidRPr="00183B5F" w:rsidRDefault="00943743" w:rsidP="004062FE">
      <w:pPr>
        <w:spacing w:line="240" w:lineRule="auto"/>
        <w:rPr>
          <w:szCs w:val="22"/>
        </w:rPr>
      </w:pPr>
      <w:r w:rsidRPr="00183B5F">
        <w:rPr>
          <w:szCs w:val="22"/>
        </w:rPr>
        <w:t>A fénytől való védelem érdekében az előretöltött injekciós toll az eredeti dobozban tárolandó.</w:t>
      </w:r>
    </w:p>
    <w:p w14:paraId="2CB7F965" w14:textId="77777777" w:rsidR="002942B5" w:rsidRPr="00183B5F" w:rsidRDefault="002942B5" w:rsidP="004062FE">
      <w:pPr>
        <w:spacing w:line="240" w:lineRule="auto"/>
        <w:rPr>
          <w:szCs w:val="22"/>
        </w:rPr>
      </w:pPr>
    </w:p>
    <w:p w14:paraId="28E76DDC" w14:textId="77777777" w:rsidR="002942B5" w:rsidRPr="00183B5F" w:rsidRDefault="00943743" w:rsidP="002D49EE">
      <w:pPr>
        <w:keepNext/>
        <w:spacing w:line="240" w:lineRule="auto"/>
        <w:rPr>
          <w:szCs w:val="22"/>
        </w:rPr>
      </w:pPr>
      <w:r w:rsidRPr="00183B5F">
        <w:rPr>
          <w:szCs w:val="22"/>
        </w:rPr>
        <w:t>További tárolási lehetőség:</w:t>
      </w:r>
    </w:p>
    <w:p w14:paraId="516E666A" w14:textId="77777777" w:rsidR="002942B5" w:rsidRPr="00183B5F" w:rsidRDefault="002942B5" w:rsidP="002D49EE">
      <w:pPr>
        <w:keepNext/>
        <w:spacing w:line="240" w:lineRule="auto"/>
        <w:rPr>
          <w:szCs w:val="22"/>
        </w:rPr>
      </w:pPr>
    </w:p>
    <w:p w14:paraId="135BD404" w14:textId="77777777" w:rsidR="002942B5" w:rsidRPr="00183B5F" w:rsidRDefault="00943743" w:rsidP="004062FE">
      <w:pPr>
        <w:spacing w:line="240" w:lineRule="auto"/>
        <w:rPr>
          <w:szCs w:val="22"/>
        </w:rPr>
      </w:pPr>
      <w:r w:rsidRPr="00183B5F">
        <w:rPr>
          <w:szCs w:val="22"/>
        </w:rPr>
        <w:t>Amennyiben szükséges (</w:t>
      </w:r>
      <w:r w:rsidR="00E05701" w:rsidRPr="00183B5F">
        <w:rPr>
          <w:bCs/>
          <w:szCs w:val="22"/>
        </w:rPr>
        <w:t>például</w:t>
      </w:r>
      <w:r w:rsidR="00E05701" w:rsidRPr="00183B5F">
        <w:rPr>
          <w:szCs w:val="22"/>
        </w:rPr>
        <w:t xml:space="preserve"> </w:t>
      </w:r>
      <w:r w:rsidRPr="00183B5F">
        <w:rPr>
          <w:szCs w:val="22"/>
        </w:rPr>
        <w:t xml:space="preserve">utazás alatt), úgy önmagában a Humira előretöltött </w:t>
      </w:r>
      <w:r w:rsidR="00A157AA" w:rsidRPr="00183B5F">
        <w:rPr>
          <w:szCs w:val="22"/>
        </w:rPr>
        <w:t xml:space="preserve">injekciós </w:t>
      </w:r>
      <w:r w:rsidRPr="00183B5F">
        <w:rPr>
          <w:szCs w:val="22"/>
        </w:rPr>
        <w:t>toll legfeljebb 25</w:t>
      </w:r>
      <w:r w:rsidRPr="00183B5F">
        <w:rPr>
          <w:rFonts w:ascii="Symbol" w:hAnsi="Symbol"/>
          <w:szCs w:val="22"/>
        </w:rPr>
        <w:sym w:font="Symbol" w:char="F0B0"/>
      </w:r>
      <w:r w:rsidRPr="00183B5F">
        <w:rPr>
          <w:szCs w:val="22"/>
        </w:rPr>
        <w:t>C</w:t>
      </w:r>
      <w:r w:rsidRPr="00183B5F">
        <w:rPr>
          <w:szCs w:val="22"/>
        </w:rPr>
        <w:noBreakHyphen/>
        <w:t>on, maximum 14</w:t>
      </w:r>
      <w:r w:rsidR="00EF71A4" w:rsidRPr="00183B5F">
        <w:rPr>
          <w:szCs w:val="22"/>
        </w:rPr>
        <w:t> </w:t>
      </w:r>
      <w:r w:rsidRPr="00183B5F">
        <w:rPr>
          <w:szCs w:val="22"/>
        </w:rPr>
        <w:t>napig tárolható. A fénytől való védelmet biztosítani kell. Ha a hűtőgépből kivette, hogy szobahőmérsékleten tartsa, úgy a</w:t>
      </w:r>
      <w:r w:rsidR="00A157AA" w:rsidRPr="00183B5F">
        <w:rPr>
          <w:szCs w:val="22"/>
        </w:rPr>
        <w:t>z injekciós tollat</w:t>
      </w:r>
      <w:r w:rsidRPr="00183B5F">
        <w:rPr>
          <w:szCs w:val="22"/>
        </w:rPr>
        <w:t xml:space="preserve"> </w:t>
      </w:r>
      <w:r w:rsidRPr="00183B5F">
        <w:rPr>
          <w:b/>
          <w:szCs w:val="22"/>
        </w:rPr>
        <w:t>14 napon belül fel kell használni, vagy meg kell semmisíteni</w:t>
      </w:r>
      <w:r w:rsidRPr="00183B5F">
        <w:rPr>
          <w:szCs w:val="22"/>
        </w:rPr>
        <w:t>, még akkor is, ha visszatette a hűtőszekrénybe.</w:t>
      </w:r>
    </w:p>
    <w:p w14:paraId="44E15952" w14:textId="77777777" w:rsidR="002942B5" w:rsidRPr="00183B5F" w:rsidRDefault="002942B5" w:rsidP="004062FE">
      <w:pPr>
        <w:spacing w:line="240" w:lineRule="auto"/>
        <w:rPr>
          <w:szCs w:val="22"/>
        </w:rPr>
      </w:pPr>
    </w:p>
    <w:p w14:paraId="142C7DA7" w14:textId="77777777" w:rsidR="002942B5" w:rsidRPr="00183B5F" w:rsidRDefault="00943743" w:rsidP="004062FE">
      <w:pPr>
        <w:spacing w:line="240" w:lineRule="auto"/>
        <w:rPr>
          <w:szCs w:val="22"/>
        </w:rPr>
      </w:pPr>
      <w:r w:rsidRPr="00183B5F">
        <w:rPr>
          <w:szCs w:val="22"/>
        </w:rPr>
        <w:t>Jegyezze fel, hogy mikor vette ki először a</w:t>
      </w:r>
      <w:r w:rsidR="00A157AA" w:rsidRPr="00183B5F">
        <w:rPr>
          <w:szCs w:val="22"/>
        </w:rPr>
        <w:t>z injekciós tollat</w:t>
      </w:r>
      <w:r w:rsidRPr="00183B5F">
        <w:rPr>
          <w:szCs w:val="22"/>
        </w:rPr>
        <w:t xml:space="preserve"> a hűtőszekrényből, és azt a dátumot is, ami után azt meg kell semmisíteni.</w:t>
      </w:r>
    </w:p>
    <w:p w14:paraId="09DD2180" w14:textId="77777777" w:rsidR="002942B5" w:rsidRPr="00183B5F" w:rsidRDefault="002942B5" w:rsidP="004062FE">
      <w:pPr>
        <w:spacing w:line="240" w:lineRule="auto"/>
        <w:rPr>
          <w:szCs w:val="22"/>
        </w:rPr>
      </w:pPr>
    </w:p>
    <w:p w14:paraId="035AD6F6" w14:textId="77777777" w:rsidR="002942B5" w:rsidRPr="00183B5F" w:rsidRDefault="00943743" w:rsidP="004062FE">
      <w:pPr>
        <w:spacing w:line="240" w:lineRule="auto"/>
        <w:ind w:right="-2"/>
        <w:rPr>
          <w:szCs w:val="22"/>
        </w:rPr>
      </w:pPr>
      <w:r w:rsidRPr="00183B5F">
        <w:rPr>
          <w:noProof/>
          <w:szCs w:val="24"/>
        </w:rPr>
        <w:t xml:space="preserve">Semmilyen gyógyszert ne dobjon a szennyvízbe </w:t>
      </w:r>
      <w:r w:rsidRPr="00183B5F">
        <w:rPr>
          <w:szCs w:val="24"/>
        </w:rPr>
        <w:t xml:space="preserve">vagy a háztartási </w:t>
      </w:r>
      <w:r w:rsidRPr="00183B5F">
        <w:rPr>
          <w:noProof/>
          <w:szCs w:val="24"/>
        </w:rPr>
        <w:t>hulladékba.</w:t>
      </w:r>
      <w:r w:rsidRPr="00183B5F">
        <w:rPr>
          <w:szCs w:val="24"/>
        </w:rPr>
        <w:t xml:space="preserve"> Kérdezze meg gyógyszerészét, hogy mit tegyen </w:t>
      </w:r>
      <w:r w:rsidRPr="00183B5F">
        <w:rPr>
          <w:noProof/>
          <w:szCs w:val="24"/>
        </w:rPr>
        <w:t>a már nem használt</w:t>
      </w:r>
      <w:r w:rsidRPr="00183B5F">
        <w:rPr>
          <w:szCs w:val="24"/>
        </w:rPr>
        <w:t xml:space="preserve"> gyógyszereivel. </w:t>
      </w:r>
      <w:r w:rsidRPr="00183B5F">
        <w:rPr>
          <w:noProof/>
          <w:szCs w:val="24"/>
        </w:rPr>
        <w:t>Ezek az intézkedések elősegítik a környezet védelmét.</w:t>
      </w:r>
    </w:p>
    <w:p w14:paraId="4EF55C54" w14:textId="77777777" w:rsidR="002942B5" w:rsidRPr="00183B5F" w:rsidRDefault="002942B5" w:rsidP="004062FE">
      <w:pPr>
        <w:spacing w:line="240" w:lineRule="auto"/>
        <w:ind w:right="-2"/>
        <w:rPr>
          <w:szCs w:val="22"/>
        </w:rPr>
      </w:pPr>
    </w:p>
    <w:p w14:paraId="35E3EEDD" w14:textId="77777777" w:rsidR="002942B5" w:rsidRPr="00183B5F" w:rsidRDefault="002942B5" w:rsidP="004062FE">
      <w:pPr>
        <w:spacing w:line="240" w:lineRule="auto"/>
        <w:ind w:right="-2"/>
        <w:rPr>
          <w:szCs w:val="22"/>
        </w:rPr>
      </w:pPr>
    </w:p>
    <w:p w14:paraId="044F60CA" w14:textId="77777777" w:rsidR="002942B5" w:rsidRPr="00183B5F" w:rsidRDefault="00943743" w:rsidP="004062FE">
      <w:pPr>
        <w:keepNext/>
        <w:spacing w:line="240" w:lineRule="auto"/>
        <w:ind w:right="-2"/>
        <w:rPr>
          <w:b/>
          <w:noProof/>
          <w:szCs w:val="24"/>
        </w:rPr>
      </w:pPr>
      <w:r w:rsidRPr="00183B5F">
        <w:rPr>
          <w:b/>
          <w:szCs w:val="22"/>
        </w:rPr>
        <w:t>6.</w:t>
      </w:r>
      <w:r w:rsidRPr="00183B5F">
        <w:rPr>
          <w:b/>
          <w:szCs w:val="22"/>
        </w:rPr>
        <w:tab/>
      </w:r>
      <w:r w:rsidRPr="00183B5F">
        <w:rPr>
          <w:b/>
          <w:noProof/>
          <w:szCs w:val="24"/>
        </w:rPr>
        <w:t>A csomagolás tartalma és egyéb információk</w:t>
      </w:r>
    </w:p>
    <w:p w14:paraId="7440EA50" w14:textId="77777777" w:rsidR="002942B5" w:rsidRPr="00183B5F" w:rsidRDefault="002942B5" w:rsidP="004062FE">
      <w:pPr>
        <w:keepNext/>
        <w:spacing w:line="240" w:lineRule="auto"/>
        <w:rPr>
          <w:szCs w:val="22"/>
        </w:rPr>
      </w:pPr>
    </w:p>
    <w:p w14:paraId="796A0375" w14:textId="77777777" w:rsidR="002942B5" w:rsidRPr="00183B5F" w:rsidRDefault="00943743" w:rsidP="004062FE">
      <w:pPr>
        <w:keepNext/>
        <w:spacing w:line="240" w:lineRule="auto"/>
        <w:rPr>
          <w:b/>
          <w:bCs/>
          <w:szCs w:val="22"/>
        </w:rPr>
      </w:pPr>
      <w:r w:rsidRPr="00183B5F">
        <w:rPr>
          <w:b/>
          <w:bCs/>
          <w:szCs w:val="22"/>
        </w:rPr>
        <w:t>Mit tartalmaz a Humira?</w:t>
      </w:r>
    </w:p>
    <w:p w14:paraId="73139E34" w14:textId="77777777" w:rsidR="002942B5" w:rsidRPr="00183B5F" w:rsidRDefault="002942B5" w:rsidP="004062FE">
      <w:pPr>
        <w:keepNext/>
        <w:spacing w:line="240" w:lineRule="auto"/>
        <w:rPr>
          <w:szCs w:val="22"/>
        </w:rPr>
      </w:pPr>
    </w:p>
    <w:p w14:paraId="52A93716" w14:textId="77777777" w:rsidR="002942B5" w:rsidRPr="00183B5F" w:rsidRDefault="00943743" w:rsidP="004062FE">
      <w:pPr>
        <w:numPr>
          <w:ilvl w:val="0"/>
          <w:numId w:val="76"/>
        </w:numPr>
        <w:tabs>
          <w:tab w:val="clear" w:pos="720"/>
        </w:tabs>
        <w:spacing w:line="240" w:lineRule="auto"/>
        <w:ind w:left="567" w:hanging="567"/>
        <w:rPr>
          <w:szCs w:val="22"/>
        </w:rPr>
      </w:pPr>
      <w:r w:rsidRPr="00183B5F">
        <w:rPr>
          <w:szCs w:val="22"/>
        </w:rPr>
        <w:t>A készítmény hatóanyaga: adalimumab.</w:t>
      </w:r>
    </w:p>
    <w:p w14:paraId="40B32D1F" w14:textId="77777777" w:rsidR="002942B5" w:rsidRPr="00183B5F" w:rsidRDefault="00943743" w:rsidP="004062FE">
      <w:pPr>
        <w:numPr>
          <w:ilvl w:val="0"/>
          <w:numId w:val="76"/>
        </w:numPr>
        <w:tabs>
          <w:tab w:val="clear" w:pos="720"/>
        </w:tabs>
        <w:spacing w:line="240" w:lineRule="auto"/>
        <w:ind w:left="567" w:hanging="567"/>
        <w:rPr>
          <w:szCs w:val="22"/>
        </w:rPr>
      </w:pPr>
      <w:r w:rsidRPr="00183B5F">
        <w:rPr>
          <w:szCs w:val="22"/>
        </w:rPr>
        <w:t>Egyéb összetevők: mannit, poliszorbát 80 és injekcióhoz való víz.</w:t>
      </w:r>
    </w:p>
    <w:p w14:paraId="34D6C7D8" w14:textId="77777777" w:rsidR="002942B5" w:rsidRPr="00183B5F" w:rsidRDefault="002942B5" w:rsidP="004062FE">
      <w:pPr>
        <w:spacing w:line="240" w:lineRule="auto"/>
        <w:ind w:right="-2"/>
        <w:rPr>
          <w:bCs/>
          <w:szCs w:val="22"/>
        </w:rPr>
      </w:pPr>
    </w:p>
    <w:p w14:paraId="2EBD6B2F" w14:textId="77777777" w:rsidR="002942B5" w:rsidRPr="00183B5F" w:rsidRDefault="00943743" w:rsidP="004062FE">
      <w:pPr>
        <w:keepNext/>
        <w:spacing w:line="240" w:lineRule="auto"/>
        <w:ind w:right="-2"/>
        <w:rPr>
          <w:b/>
          <w:bCs/>
          <w:szCs w:val="22"/>
        </w:rPr>
      </w:pPr>
      <w:r w:rsidRPr="00183B5F">
        <w:rPr>
          <w:b/>
          <w:bCs/>
          <w:szCs w:val="22"/>
        </w:rPr>
        <w:t>Milyen a Humira külleme és mit tartalmaz a csomagolás?</w:t>
      </w:r>
    </w:p>
    <w:p w14:paraId="33C5A904" w14:textId="77777777" w:rsidR="002942B5" w:rsidRPr="00183B5F" w:rsidRDefault="002942B5" w:rsidP="004062FE">
      <w:pPr>
        <w:keepNext/>
        <w:spacing w:line="240" w:lineRule="auto"/>
        <w:ind w:right="-2"/>
        <w:rPr>
          <w:szCs w:val="22"/>
        </w:rPr>
      </w:pPr>
    </w:p>
    <w:p w14:paraId="40F1C81C" w14:textId="77777777" w:rsidR="002942B5" w:rsidRPr="00183B5F" w:rsidRDefault="00943743" w:rsidP="004062FE">
      <w:pPr>
        <w:keepNext/>
        <w:spacing w:line="240" w:lineRule="auto"/>
        <w:rPr>
          <w:szCs w:val="22"/>
        </w:rPr>
      </w:pPr>
      <w:r w:rsidRPr="00183B5F">
        <w:rPr>
          <w:szCs w:val="22"/>
        </w:rPr>
        <w:t>A Humira 40 mg oldatos injekció előretöltött injekciós tollban 40 mg adalimumabot tartalmazó 0,4 ml steril oldat formájában kerül forgalomba.</w:t>
      </w:r>
    </w:p>
    <w:p w14:paraId="1696A2DB" w14:textId="77777777" w:rsidR="002942B5" w:rsidRPr="00183B5F" w:rsidRDefault="002942B5" w:rsidP="004062FE">
      <w:pPr>
        <w:spacing w:line="240" w:lineRule="auto"/>
        <w:ind w:right="-2"/>
        <w:rPr>
          <w:szCs w:val="22"/>
        </w:rPr>
      </w:pPr>
    </w:p>
    <w:p w14:paraId="2BF26661" w14:textId="77777777" w:rsidR="002942B5" w:rsidRPr="00183B5F" w:rsidRDefault="00943743" w:rsidP="004062FE">
      <w:pPr>
        <w:spacing w:line="240" w:lineRule="auto"/>
        <w:ind w:right="-2"/>
        <w:rPr>
          <w:szCs w:val="22"/>
        </w:rPr>
      </w:pPr>
      <w:r w:rsidRPr="00183B5F">
        <w:rPr>
          <w:szCs w:val="22"/>
        </w:rPr>
        <w:t>A Humira előretöltött injekciós toll egyszer használatos, szürke- és szilvakék színű injekciós eszköz, amely Humira oldattal töltött üveg fecskendőt tartalmaz. Két védőkupakja közül a szürke színű „1” a szilvakék színű „2” jelzésű. Az injekciós toll mindkét oldalán elhelyezett ablakon keresztül ellenőrizhető a fecskendőben található Humira oldat mennyisége.</w:t>
      </w:r>
    </w:p>
    <w:p w14:paraId="0D4E6145" w14:textId="77777777" w:rsidR="002942B5" w:rsidRPr="00183B5F" w:rsidRDefault="002942B5" w:rsidP="004062FE">
      <w:pPr>
        <w:spacing w:line="240" w:lineRule="auto"/>
        <w:ind w:right="-2"/>
        <w:rPr>
          <w:szCs w:val="22"/>
        </w:rPr>
      </w:pPr>
    </w:p>
    <w:p w14:paraId="12F6593A" w14:textId="77777777" w:rsidR="003358ED" w:rsidRPr="00183B5F" w:rsidRDefault="00943743" w:rsidP="004062FE">
      <w:pPr>
        <w:spacing w:line="240" w:lineRule="auto"/>
        <w:ind w:right="-2"/>
        <w:rPr>
          <w:szCs w:val="22"/>
        </w:rPr>
      </w:pPr>
      <w:r w:rsidRPr="00183B5F">
        <w:rPr>
          <w:szCs w:val="22"/>
        </w:rPr>
        <w:t>Csomagolási egységek: 1, 2, 4 vagy 6 előretöltött injekciós toll. Az 1 db injekciós tollat tartalmazó csomagban 2 db alkoholos törlőkendő található (1 pótkendő). A 2, 4 és 6 db injekciós tollat tartalmazó csomagban 1</w:t>
      </w:r>
      <w:r w:rsidRPr="00183B5F">
        <w:rPr>
          <w:szCs w:val="22"/>
        </w:rPr>
        <w:noBreakHyphen/>
        <w:t xml:space="preserve">1 db alkoholos törlőkendő található. </w:t>
      </w:r>
    </w:p>
    <w:p w14:paraId="0FC9D2A6" w14:textId="77777777" w:rsidR="003358ED" w:rsidRPr="00183B5F" w:rsidRDefault="003358ED" w:rsidP="004062FE">
      <w:pPr>
        <w:spacing w:line="240" w:lineRule="auto"/>
        <w:ind w:right="-2"/>
        <w:rPr>
          <w:szCs w:val="22"/>
        </w:rPr>
      </w:pPr>
    </w:p>
    <w:p w14:paraId="4CA2F635" w14:textId="77777777" w:rsidR="002942B5" w:rsidRPr="00183B5F" w:rsidRDefault="00943743" w:rsidP="004062FE">
      <w:pPr>
        <w:spacing w:line="240" w:lineRule="auto"/>
        <w:ind w:right="-2"/>
        <w:rPr>
          <w:szCs w:val="22"/>
        </w:rPr>
      </w:pPr>
      <w:r w:rsidRPr="00183B5F">
        <w:rPr>
          <w:szCs w:val="22"/>
        </w:rPr>
        <w:t xml:space="preserve">Nem feltétlenül mindegyik kiszerelés kerül kereskedelmi forgalomba. </w:t>
      </w:r>
    </w:p>
    <w:p w14:paraId="22CC292C" w14:textId="77777777" w:rsidR="002942B5" w:rsidRPr="00183B5F" w:rsidRDefault="002942B5" w:rsidP="004062FE">
      <w:pPr>
        <w:spacing w:line="240" w:lineRule="auto"/>
        <w:ind w:right="-2"/>
        <w:rPr>
          <w:szCs w:val="22"/>
        </w:rPr>
      </w:pPr>
    </w:p>
    <w:p w14:paraId="0D542F44" w14:textId="77777777" w:rsidR="002942B5" w:rsidRPr="00183B5F" w:rsidRDefault="00943743" w:rsidP="004062FE">
      <w:pPr>
        <w:spacing w:line="240" w:lineRule="auto"/>
        <w:ind w:right="-2"/>
        <w:rPr>
          <w:szCs w:val="22"/>
        </w:rPr>
      </w:pPr>
      <w:r w:rsidRPr="00183B5F">
        <w:rPr>
          <w:szCs w:val="22"/>
        </w:rPr>
        <w:t>A Humira injekciós üvegben, előretöltött fecskendőben és</w:t>
      </w:r>
      <w:r w:rsidR="00747D3E" w:rsidRPr="00183B5F">
        <w:rPr>
          <w:szCs w:val="22"/>
        </w:rPr>
        <w:t>/vagy</w:t>
      </w:r>
      <w:r w:rsidRPr="00183B5F">
        <w:rPr>
          <w:szCs w:val="22"/>
        </w:rPr>
        <w:t xml:space="preserve"> előretöltött injekciós tollban kapható.</w:t>
      </w:r>
    </w:p>
    <w:p w14:paraId="71A5F29B" w14:textId="77777777" w:rsidR="002942B5" w:rsidRPr="00183B5F" w:rsidRDefault="002942B5" w:rsidP="004062FE">
      <w:pPr>
        <w:spacing w:line="240" w:lineRule="auto"/>
        <w:ind w:right="-2"/>
        <w:rPr>
          <w:szCs w:val="22"/>
        </w:rPr>
      </w:pPr>
    </w:p>
    <w:p w14:paraId="06591947" w14:textId="77777777" w:rsidR="002942B5" w:rsidRPr="00183B5F" w:rsidRDefault="00943743" w:rsidP="004062FE">
      <w:pPr>
        <w:keepNext/>
        <w:spacing w:line="240" w:lineRule="auto"/>
        <w:rPr>
          <w:b/>
          <w:bCs/>
          <w:szCs w:val="22"/>
        </w:rPr>
      </w:pPr>
      <w:r w:rsidRPr="00183B5F">
        <w:rPr>
          <w:b/>
          <w:bCs/>
          <w:szCs w:val="22"/>
        </w:rPr>
        <w:t>A forgalomba hozatali engedély jogosultja</w:t>
      </w:r>
    </w:p>
    <w:p w14:paraId="232B5ABD" w14:textId="77777777" w:rsidR="002942B5" w:rsidRPr="00183B5F" w:rsidRDefault="002942B5" w:rsidP="004062FE">
      <w:pPr>
        <w:keepNext/>
        <w:spacing w:line="240" w:lineRule="auto"/>
        <w:rPr>
          <w:szCs w:val="22"/>
        </w:rPr>
      </w:pPr>
    </w:p>
    <w:p w14:paraId="5144C300"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AbbVie Deutschland GmbH &amp; Co. KG</w:t>
      </w:r>
    </w:p>
    <w:p w14:paraId="55F9B5A2"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Knollstrasse</w:t>
      </w:r>
    </w:p>
    <w:p w14:paraId="67B9F180"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67061 Ludwigshafen</w:t>
      </w:r>
    </w:p>
    <w:p w14:paraId="637299AF"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 xml:space="preserve">Németország </w:t>
      </w:r>
    </w:p>
    <w:p w14:paraId="3E7EB4C7" w14:textId="77777777" w:rsidR="002942B5" w:rsidRPr="00183B5F" w:rsidRDefault="002942B5" w:rsidP="004062FE">
      <w:pPr>
        <w:tabs>
          <w:tab w:val="left" w:pos="562"/>
        </w:tabs>
        <w:spacing w:line="240" w:lineRule="auto"/>
        <w:rPr>
          <w:szCs w:val="22"/>
          <w:lang w:eastAsia="en-US"/>
        </w:rPr>
      </w:pPr>
    </w:p>
    <w:p w14:paraId="1DEA06D8" w14:textId="77777777" w:rsidR="002942B5" w:rsidRPr="00183B5F" w:rsidRDefault="00943743" w:rsidP="004062FE">
      <w:pPr>
        <w:spacing w:line="240" w:lineRule="auto"/>
        <w:rPr>
          <w:b/>
          <w:bCs/>
          <w:szCs w:val="22"/>
        </w:rPr>
      </w:pPr>
      <w:r w:rsidRPr="00183B5F">
        <w:rPr>
          <w:b/>
          <w:bCs/>
          <w:szCs w:val="22"/>
        </w:rPr>
        <w:t>Gyártó</w:t>
      </w:r>
    </w:p>
    <w:p w14:paraId="36154A10" w14:textId="77777777" w:rsidR="002942B5" w:rsidRPr="00183B5F" w:rsidRDefault="002942B5" w:rsidP="004062FE">
      <w:pPr>
        <w:spacing w:line="240" w:lineRule="auto"/>
        <w:rPr>
          <w:szCs w:val="22"/>
        </w:rPr>
      </w:pPr>
    </w:p>
    <w:p w14:paraId="69C70720" w14:textId="77777777" w:rsidR="002942B5" w:rsidRPr="00183B5F" w:rsidRDefault="00943743" w:rsidP="004062FE">
      <w:pPr>
        <w:spacing w:line="240" w:lineRule="auto"/>
      </w:pPr>
      <w:r w:rsidRPr="00183B5F">
        <w:t>AbbVie Biotechnology GmbH</w:t>
      </w:r>
    </w:p>
    <w:p w14:paraId="13694320" w14:textId="77777777" w:rsidR="002942B5" w:rsidRPr="00183B5F" w:rsidRDefault="00943743" w:rsidP="004062FE">
      <w:pPr>
        <w:numPr>
          <w:ilvl w:val="12"/>
          <w:numId w:val="0"/>
        </w:numPr>
        <w:tabs>
          <w:tab w:val="left" w:pos="720"/>
        </w:tabs>
        <w:spacing w:line="240" w:lineRule="auto"/>
      </w:pPr>
      <w:r w:rsidRPr="00183B5F">
        <w:t>Knollstrasse</w:t>
      </w:r>
    </w:p>
    <w:p w14:paraId="4840D6B3" w14:textId="77777777" w:rsidR="002942B5" w:rsidRPr="00183B5F" w:rsidRDefault="00943743" w:rsidP="004062FE">
      <w:pPr>
        <w:numPr>
          <w:ilvl w:val="12"/>
          <w:numId w:val="0"/>
        </w:numPr>
        <w:tabs>
          <w:tab w:val="left" w:pos="720"/>
        </w:tabs>
        <w:spacing w:line="240" w:lineRule="auto"/>
      </w:pPr>
      <w:r w:rsidRPr="00183B5F">
        <w:t>67061 Ludwigshafen</w:t>
      </w:r>
    </w:p>
    <w:p w14:paraId="7A797414" w14:textId="77777777" w:rsidR="002942B5" w:rsidRPr="00183B5F" w:rsidRDefault="00943743" w:rsidP="004062FE">
      <w:pPr>
        <w:spacing w:line="240" w:lineRule="auto"/>
        <w:rPr>
          <w:szCs w:val="22"/>
        </w:rPr>
      </w:pPr>
      <w:r w:rsidRPr="00183B5F">
        <w:t>Németország</w:t>
      </w:r>
    </w:p>
    <w:p w14:paraId="2067286A" w14:textId="77777777" w:rsidR="002942B5" w:rsidRPr="00183B5F" w:rsidRDefault="002942B5" w:rsidP="004062FE">
      <w:pPr>
        <w:spacing w:line="240" w:lineRule="auto"/>
        <w:rPr>
          <w:szCs w:val="22"/>
        </w:rPr>
      </w:pPr>
    </w:p>
    <w:p w14:paraId="30863BCE" w14:textId="77777777" w:rsidR="002942B5" w:rsidRPr="00183B5F" w:rsidRDefault="00943743" w:rsidP="004062FE">
      <w:pPr>
        <w:spacing w:line="240" w:lineRule="auto"/>
        <w:rPr>
          <w:szCs w:val="22"/>
        </w:rPr>
      </w:pPr>
      <w:r w:rsidRPr="00183B5F">
        <w:rPr>
          <w:szCs w:val="22"/>
        </w:rPr>
        <w:t>A készítményhez kapcsolódó további kérdéseivel forduljon a forgalomba hozatali engedély jogosultjának helyi képviseletéhez:</w:t>
      </w:r>
    </w:p>
    <w:p w14:paraId="28B12AC0" w14:textId="77777777" w:rsidR="002942B5" w:rsidRPr="00183B5F" w:rsidRDefault="002942B5" w:rsidP="004062FE">
      <w:pPr>
        <w:spacing w:line="240" w:lineRule="auto"/>
        <w:rPr>
          <w:szCs w:val="22"/>
        </w:rPr>
      </w:pPr>
    </w:p>
    <w:tbl>
      <w:tblPr>
        <w:tblW w:w="9356" w:type="dxa"/>
        <w:tblInd w:w="-34" w:type="dxa"/>
        <w:tblLayout w:type="fixed"/>
        <w:tblLook w:val="0000" w:firstRow="0" w:lastRow="0" w:firstColumn="0" w:lastColumn="0" w:noHBand="0" w:noVBand="0"/>
      </w:tblPr>
      <w:tblGrid>
        <w:gridCol w:w="34"/>
        <w:gridCol w:w="4610"/>
        <w:gridCol w:w="34"/>
        <w:gridCol w:w="4678"/>
      </w:tblGrid>
      <w:tr w:rsidR="00011D2F" w14:paraId="23F47DF0" w14:textId="77777777" w:rsidTr="001F79B0">
        <w:tc>
          <w:tcPr>
            <w:tcW w:w="4644" w:type="dxa"/>
            <w:gridSpan w:val="2"/>
          </w:tcPr>
          <w:p w14:paraId="2FC1C438" w14:textId="77777777" w:rsidR="008604D4" w:rsidRPr="00BD646C" w:rsidRDefault="00943743" w:rsidP="001F79B0">
            <w:pPr>
              <w:suppressAutoHyphens w:val="0"/>
              <w:rPr>
                <w:b/>
                <w:bCs/>
                <w:szCs w:val="22"/>
                <w:lang w:val="fr-BE"/>
              </w:rPr>
            </w:pPr>
            <w:r w:rsidRPr="00BD646C">
              <w:rPr>
                <w:b/>
                <w:bCs/>
                <w:szCs w:val="22"/>
                <w:lang w:val="fr-BE"/>
              </w:rPr>
              <w:t>België/Belgique/Belgien</w:t>
            </w:r>
          </w:p>
          <w:p w14:paraId="37916239" w14:textId="77777777" w:rsidR="008604D4" w:rsidRPr="00BD646C" w:rsidRDefault="00943743" w:rsidP="001F79B0">
            <w:pPr>
              <w:suppressAutoHyphens w:val="0"/>
              <w:rPr>
                <w:bCs/>
                <w:szCs w:val="22"/>
                <w:lang w:val="fr-FR"/>
              </w:rPr>
            </w:pPr>
            <w:r w:rsidRPr="00BD646C">
              <w:rPr>
                <w:bCs/>
                <w:szCs w:val="22"/>
                <w:lang w:val="fr-FR"/>
              </w:rPr>
              <w:t>AbbVie SA</w:t>
            </w:r>
          </w:p>
          <w:p w14:paraId="5F72024A" w14:textId="77777777" w:rsidR="008604D4" w:rsidRPr="00BD646C" w:rsidRDefault="00943743" w:rsidP="001F79B0">
            <w:pPr>
              <w:suppressAutoHyphens w:val="0"/>
              <w:rPr>
                <w:szCs w:val="22"/>
                <w:lang w:val="fr-FR"/>
              </w:rPr>
            </w:pPr>
            <w:r w:rsidRPr="00BD646C">
              <w:rPr>
                <w:bCs/>
                <w:szCs w:val="22"/>
                <w:lang w:val="fr-FR"/>
              </w:rPr>
              <w:t xml:space="preserve">Tél/Tel: +32 10 </w:t>
            </w:r>
            <w:r w:rsidRPr="00BD646C">
              <w:rPr>
                <w:szCs w:val="22"/>
                <w:lang w:val="fr-FR"/>
              </w:rPr>
              <w:t>477811</w:t>
            </w:r>
          </w:p>
          <w:p w14:paraId="33CECC11" w14:textId="77777777" w:rsidR="008604D4" w:rsidRPr="00BD646C" w:rsidRDefault="008604D4" w:rsidP="001F79B0">
            <w:pPr>
              <w:suppressAutoHyphens w:val="0"/>
              <w:rPr>
                <w:bCs/>
                <w:szCs w:val="22"/>
                <w:lang w:val="fr-FR"/>
              </w:rPr>
            </w:pPr>
          </w:p>
        </w:tc>
        <w:tc>
          <w:tcPr>
            <w:tcW w:w="4678" w:type="dxa"/>
            <w:gridSpan w:val="2"/>
          </w:tcPr>
          <w:p w14:paraId="1F777355" w14:textId="77777777" w:rsidR="008604D4" w:rsidRPr="00BD646C" w:rsidRDefault="00943743" w:rsidP="001F79B0">
            <w:pPr>
              <w:suppressAutoHyphens w:val="0"/>
              <w:rPr>
                <w:b/>
                <w:bCs/>
                <w:szCs w:val="22"/>
                <w:lang w:val="lt-LT"/>
              </w:rPr>
            </w:pPr>
            <w:r w:rsidRPr="00BD646C">
              <w:rPr>
                <w:b/>
                <w:bCs/>
                <w:szCs w:val="22"/>
                <w:lang w:val="lt-LT"/>
              </w:rPr>
              <w:t>Lietuva</w:t>
            </w:r>
          </w:p>
          <w:p w14:paraId="44903E79" w14:textId="77777777" w:rsidR="008604D4" w:rsidRPr="00BD646C" w:rsidRDefault="00943743" w:rsidP="001F79B0">
            <w:pPr>
              <w:suppressAutoHyphens w:val="0"/>
              <w:rPr>
                <w:bCs/>
                <w:szCs w:val="22"/>
                <w:lang w:val="lv-LV"/>
              </w:rPr>
            </w:pPr>
            <w:r w:rsidRPr="00BD646C">
              <w:rPr>
                <w:bCs/>
                <w:szCs w:val="22"/>
                <w:lang w:val="lv-LV"/>
              </w:rPr>
              <w:t xml:space="preserve">AbbVie UAB </w:t>
            </w:r>
          </w:p>
          <w:p w14:paraId="6CB98371" w14:textId="77777777" w:rsidR="008604D4" w:rsidRPr="00BD646C" w:rsidRDefault="00943743" w:rsidP="001F79B0">
            <w:pPr>
              <w:suppressAutoHyphens w:val="0"/>
              <w:rPr>
                <w:bCs/>
                <w:szCs w:val="22"/>
                <w:lang w:val="lv-LV"/>
              </w:rPr>
            </w:pPr>
            <w:r w:rsidRPr="00BD646C">
              <w:rPr>
                <w:bCs/>
                <w:szCs w:val="22"/>
                <w:lang w:val="lv-LV"/>
              </w:rPr>
              <w:t>Tel: +370 5 205 3023</w:t>
            </w:r>
          </w:p>
        </w:tc>
      </w:tr>
      <w:tr w:rsidR="00011D2F" w14:paraId="36340C0C" w14:textId="77777777" w:rsidTr="001F79B0">
        <w:tc>
          <w:tcPr>
            <w:tcW w:w="4644" w:type="dxa"/>
            <w:gridSpan w:val="2"/>
          </w:tcPr>
          <w:p w14:paraId="75902BA3" w14:textId="77777777" w:rsidR="008604D4" w:rsidRPr="00BD646C" w:rsidRDefault="00943743" w:rsidP="001F79B0">
            <w:pPr>
              <w:suppressAutoHyphens w:val="0"/>
              <w:rPr>
                <w:b/>
                <w:bCs/>
                <w:szCs w:val="22"/>
                <w:lang w:val="bg-BG"/>
              </w:rPr>
            </w:pPr>
            <w:r w:rsidRPr="00BD646C">
              <w:rPr>
                <w:b/>
                <w:bCs/>
                <w:szCs w:val="22"/>
                <w:lang w:val="bg-BG"/>
              </w:rPr>
              <w:t>България</w:t>
            </w:r>
          </w:p>
          <w:p w14:paraId="36E7090C" w14:textId="77777777" w:rsidR="008604D4" w:rsidRPr="00BD646C" w:rsidRDefault="00943743" w:rsidP="001F79B0">
            <w:pPr>
              <w:suppressAutoHyphens w:val="0"/>
              <w:rPr>
                <w:szCs w:val="22"/>
                <w:lang w:val="da-DK"/>
              </w:rPr>
            </w:pPr>
            <w:r w:rsidRPr="00BD646C">
              <w:rPr>
                <w:szCs w:val="22"/>
                <w:lang w:val="sk-SK"/>
              </w:rPr>
              <w:t>АбВи ЕООД</w:t>
            </w:r>
          </w:p>
          <w:p w14:paraId="5852DC83" w14:textId="77777777" w:rsidR="008604D4" w:rsidRPr="00BD646C" w:rsidRDefault="00943743" w:rsidP="001F79B0">
            <w:pPr>
              <w:suppressAutoHyphens w:val="0"/>
              <w:rPr>
                <w:bCs/>
                <w:szCs w:val="22"/>
                <w:lang w:val="da-DK"/>
              </w:rPr>
            </w:pPr>
            <w:r w:rsidRPr="00BD646C">
              <w:rPr>
                <w:szCs w:val="22"/>
                <w:lang w:val="sk-SK"/>
              </w:rPr>
              <w:t>Тел</w:t>
            </w:r>
            <w:r w:rsidRPr="00BD646C">
              <w:rPr>
                <w:szCs w:val="22"/>
                <w:lang w:val="it-IT"/>
              </w:rPr>
              <w:t>.:+359 2 90 30 430</w:t>
            </w:r>
          </w:p>
        </w:tc>
        <w:tc>
          <w:tcPr>
            <w:tcW w:w="4678" w:type="dxa"/>
            <w:gridSpan w:val="2"/>
          </w:tcPr>
          <w:p w14:paraId="7DE26E8B" w14:textId="77777777" w:rsidR="008604D4" w:rsidRPr="00BD646C" w:rsidRDefault="00943743" w:rsidP="001F79B0">
            <w:pPr>
              <w:suppressAutoHyphens w:val="0"/>
              <w:rPr>
                <w:b/>
                <w:bCs/>
                <w:szCs w:val="22"/>
                <w:lang w:val="de-DE"/>
              </w:rPr>
            </w:pPr>
            <w:r w:rsidRPr="00BD646C">
              <w:rPr>
                <w:b/>
                <w:bCs/>
                <w:szCs w:val="22"/>
                <w:lang w:val="de-DE"/>
              </w:rPr>
              <w:t>Luxembourg/Luxemburg</w:t>
            </w:r>
          </w:p>
          <w:p w14:paraId="72B7CC58" w14:textId="77777777" w:rsidR="008604D4" w:rsidRPr="00BD646C" w:rsidRDefault="00943743" w:rsidP="001F79B0">
            <w:pPr>
              <w:suppressAutoHyphens w:val="0"/>
              <w:rPr>
                <w:bCs/>
                <w:szCs w:val="22"/>
                <w:lang w:val="de-DE"/>
              </w:rPr>
            </w:pPr>
            <w:r w:rsidRPr="00BD646C">
              <w:rPr>
                <w:bCs/>
                <w:szCs w:val="22"/>
                <w:lang w:val="de-DE"/>
              </w:rPr>
              <w:t>AbbVie SA</w:t>
            </w:r>
          </w:p>
          <w:p w14:paraId="102743EF" w14:textId="77777777" w:rsidR="008604D4" w:rsidRPr="00BD646C" w:rsidRDefault="00943743" w:rsidP="001F79B0">
            <w:pPr>
              <w:suppressAutoHyphens w:val="0"/>
              <w:rPr>
                <w:bCs/>
                <w:szCs w:val="22"/>
                <w:lang w:val="de-DE"/>
              </w:rPr>
            </w:pPr>
            <w:r w:rsidRPr="00BD646C">
              <w:rPr>
                <w:bCs/>
                <w:szCs w:val="22"/>
                <w:lang w:val="de-DE"/>
              </w:rPr>
              <w:t>Belgique/Belgien</w:t>
            </w:r>
          </w:p>
          <w:p w14:paraId="4D65D3F5" w14:textId="77777777" w:rsidR="008604D4" w:rsidRPr="00BD646C" w:rsidRDefault="00943743" w:rsidP="001F79B0">
            <w:pPr>
              <w:suppressAutoHyphens w:val="0"/>
              <w:rPr>
                <w:bCs/>
                <w:szCs w:val="22"/>
                <w:lang w:val="fr-FR"/>
              </w:rPr>
            </w:pPr>
            <w:r w:rsidRPr="00BD646C">
              <w:rPr>
                <w:bCs/>
                <w:szCs w:val="22"/>
                <w:lang w:val="fr-FR"/>
              </w:rPr>
              <w:t>Tél/Tel: +32 10 477811</w:t>
            </w:r>
          </w:p>
          <w:p w14:paraId="56813751" w14:textId="77777777" w:rsidR="008604D4" w:rsidRPr="00BD646C" w:rsidRDefault="008604D4" w:rsidP="001F79B0">
            <w:pPr>
              <w:suppressAutoHyphens w:val="0"/>
              <w:rPr>
                <w:bCs/>
                <w:szCs w:val="22"/>
                <w:lang w:val="fr-FR"/>
              </w:rPr>
            </w:pPr>
          </w:p>
        </w:tc>
      </w:tr>
      <w:tr w:rsidR="00011D2F" w14:paraId="09A441D2" w14:textId="77777777" w:rsidTr="001F79B0">
        <w:tc>
          <w:tcPr>
            <w:tcW w:w="4644" w:type="dxa"/>
            <w:gridSpan w:val="2"/>
          </w:tcPr>
          <w:p w14:paraId="05BEF83D" w14:textId="77777777" w:rsidR="008604D4" w:rsidRPr="00BD646C" w:rsidRDefault="00943743" w:rsidP="001F79B0">
            <w:pPr>
              <w:suppressAutoHyphens w:val="0"/>
              <w:rPr>
                <w:b/>
                <w:bCs/>
                <w:szCs w:val="22"/>
                <w:lang w:val="sk-SK"/>
              </w:rPr>
            </w:pPr>
            <w:r w:rsidRPr="00BD646C">
              <w:rPr>
                <w:b/>
                <w:bCs/>
                <w:szCs w:val="22"/>
                <w:lang w:val="sk-SK"/>
              </w:rPr>
              <w:t>Česká republika</w:t>
            </w:r>
          </w:p>
          <w:p w14:paraId="0A45E167" w14:textId="77777777" w:rsidR="008604D4" w:rsidRPr="00BD646C" w:rsidRDefault="00943743" w:rsidP="001F79B0">
            <w:pPr>
              <w:suppressAutoHyphens w:val="0"/>
              <w:rPr>
                <w:bCs/>
                <w:szCs w:val="22"/>
                <w:lang w:val="sk-SK"/>
              </w:rPr>
            </w:pPr>
            <w:r w:rsidRPr="00BD646C">
              <w:rPr>
                <w:bCs/>
                <w:szCs w:val="22"/>
                <w:lang w:val="sk-SK"/>
              </w:rPr>
              <w:t xml:space="preserve">AbbVie s.r.o. </w:t>
            </w:r>
          </w:p>
          <w:p w14:paraId="35E4EA76" w14:textId="77777777" w:rsidR="008604D4" w:rsidRPr="00BD646C" w:rsidRDefault="00943743" w:rsidP="001F79B0">
            <w:pPr>
              <w:suppressAutoHyphens w:val="0"/>
              <w:rPr>
                <w:bCs/>
                <w:szCs w:val="22"/>
                <w:lang w:val="sk-SK"/>
              </w:rPr>
            </w:pPr>
            <w:r w:rsidRPr="00BD646C">
              <w:rPr>
                <w:bCs/>
                <w:szCs w:val="22"/>
                <w:lang w:val="sk-SK"/>
              </w:rPr>
              <w:t>Tel: +420 233 098 111</w:t>
            </w:r>
          </w:p>
        </w:tc>
        <w:tc>
          <w:tcPr>
            <w:tcW w:w="4678" w:type="dxa"/>
            <w:gridSpan w:val="2"/>
          </w:tcPr>
          <w:p w14:paraId="2A0373A1" w14:textId="77777777" w:rsidR="008604D4" w:rsidRPr="00BD646C" w:rsidRDefault="00943743" w:rsidP="001F79B0">
            <w:pPr>
              <w:suppressAutoHyphens w:val="0"/>
              <w:rPr>
                <w:b/>
                <w:bCs/>
                <w:szCs w:val="22"/>
              </w:rPr>
            </w:pPr>
            <w:r w:rsidRPr="00BD646C">
              <w:rPr>
                <w:b/>
                <w:bCs/>
                <w:szCs w:val="22"/>
              </w:rPr>
              <w:t>Magyarország</w:t>
            </w:r>
          </w:p>
          <w:p w14:paraId="6177BB42" w14:textId="77777777" w:rsidR="008604D4" w:rsidRPr="00BD646C" w:rsidRDefault="00943743" w:rsidP="001F79B0">
            <w:pPr>
              <w:suppressAutoHyphens w:val="0"/>
              <w:rPr>
                <w:bCs/>
                <w:szCs w:val="22"/>
              </w:rPr>
            </w:pPr>
            <w:r w:rsidRPr="00BD646C">
              <w:rPr>
                <w:bCs/>
                <w:szCs w:val="22"/>
              </w:rPr>
              <w:t>AbbVie Kft.</w:t>
            </w:r>
          </w:p>
          <w:p w14:paraId="4957AFAA" w14:textId="77777777" w:rsidR="008604D4" w:rsidRPr="00BD646C" w:rsidRDefault="00943743" w:rsidP="001F79B0">
            <w:pPr>
              <w:suppressAutoHyphens w:val="0"/>
              <w:rPr>
                <w:bCs/>
                <w:szCs w:val="22"/>
              </w:rPr>
            </w:pPr>
            <w:r w:rsidRPr="00BD646C">
              <w:rPr>
                <w:bCs/>
                <w:szCs w:val="22"/>
              </w:rPr>
              <w:t>Tel.:+36 1 455 8600</w:t>
            </w:r>
          </w:p>
          <w:p w14:paraId="43FADAAF" w14:textId="77777777" w:rsidR="008604D4" w:rsidRPr="00BD646C" w:rsidRDefault="008604D4" w:rsidP="001F79B0">
            <w:pPr>
              <w:suppressAutoHyphens w:val="0"/>
              <w:rPr>
                <w:bCs/>
                <w:szCs w:val="22"/>
              </w:rPr>
            </w:pPr>
          </w:p>
        </w:tc>
      </w:tr>
      <w:tr w:rsidR="00011D2F" w14:paraId="47C108B3" w14:textId="77777777" w:rsidTr="001F79B0">
        <w:trPr>
          <w:trHeight w:val="737"/>
        </w:trPr>
        <w:tc>
          <w:tcPr>
            <w:tcW w:w="4644" w:type="dxa"/>
            <w:gridSpan w:val="2"/>
          </w:tcPr>
          <w:p w14:paraId="7D7DCB62" w14:textId="77777777" w:rsidR="008604D4" w:rsidRPr="00BD646C" w:rsidRDefault="00943743" w:rsidP="001F79B0">
            <w:pPr>
              <w:suppressAutoHyphens w:val="0"/>
              <w:rPr>
                <w:b/>
                <w:bCs/>
                <w:szCs w:val="22"/>
                <w:lang w:val="en-US"/>
              </w:rPr>
            </w:pPr>
            <w:r w:rsidRPr="00BD646C">
              <w:rPr>
                <w:b/>
                <w:bCs/>
                <w:szCs w:val="22"/>
                <w:lang w:val="en-US"/>
              </w:rPr>
              <w:t>Danmark</w:t>
            </w:r>
          </w:p>
          <w:p w14:paraId="5DF07459" w14:textId="77777777" w:rsidR="008604D4" w:rsidRPr="00BD646C" w:rsidRDefault="00943743" w:rsidP="001F79B0">
            <w:pPr>
              <w:suppressAutoHyphens w:val="0"/>
              <w:rPr>
                <w:bCs/>
                <w:szCs w:val="22"/>
                <w:lang w:val="en-US"/>
              </w:rPr>
            </w:pPr>
            <w:r w:rsidRPr="00BD646C">
              <w:rPr>
                <w:bCs/>
                <w:szCs w:val="22"/>
                <w:lang w:val="en-US"/>
              </w:rPr>
              <w:t>AbbVie A/S</w:t>
            </w:r>
          </w:p>
          <w:p w14:paraId="6CAC5D03" w14:textId="2DA46210" w:rsidR="008604D4" w:rsidRPr="00BD646C" w:rsidRDefault="00943743" w:rsidP="001F79B0">
            <w:pPr>
              <w:suppressAutoHyphens w:val="0"/>
              <w:rPr>
                <w:bCs/>
                <w:szCs w:val="22"/>
                <w:lang w:val="sk-SK"/>
              </w:rPr>
            </w:pPr>
            <w:r w:rsidRPr="00BD646C">
              <w:rPr>
                <w:bCs/>
                <w:szCs w:val="22"/>
                <w:lang w:val="en-US"/>
              </w:rPr>
              <w:t>Tlf</w:t>
            </w:r>
            <w:ins w:id="14007" w:author="AbbVie_HU_03" w:date="2025-05-14T16:46:00Z">
              <w:r w:rsidR="005F356A">
                <w:rPr>
                  <w:bCs/>
                  <w:szCs w:val="22"/>
                  <w:lang w:val="en-US"/>
                </w:rPr>
                <w:t>.</w:t>
              </w:r>
            </w:ins>
            <w:r w:rsidRPr="00BD646C">
              <w:rPr>
                <w:bCs/>
                <w:szCs w:val="22"/>
                <w:lang w:val="en-US"/>
              </w:rPr>
              <w:t>: +45 72 30-20-28</w:t>
            </w:r>
          </w:p>
        </w:tc>
        <w:tc>
          <w:tcPr>
            <w:tcW w:w="4678" w:type="dxa"/>
            <w:gridSpan w:val="2"/>
          </w:tcPr>
          <w:p w14:paraId="2B791E66" w14:textId="77777777" w:rsidR="008604D4" w:rsidRPr="00BD646C" w:rsidRDefault="00943743" w:rsidP="001F79B0">
            <w:pPr>
              <w:suppressAutoHyphens w:val="0"/>
              <w:rPr>
                <w:b/>
                <w:bCs/>
                <w:szCs w:val="22"/>
                <w:lang w:val="mt-MT"/>
              </w:rPr>
            </w:pPr>
            <w:r w:rsidRPr="00BD646C">
              <w:rPr>
                <w:b/>
                <w:bCs/>
                <w:szCs w:val="22"/>
                <w:lang w:val="mt-MT"/>
              </w:rPr>
              <w:t>Malta</w:t>
            </w:r>
          </w:p>
          <w:p w14:paraId="608FEE84" w14:textId="77777777" w:rsidR="008604D4" w:rsidRPr="00BD646C" w:rsidRDefault="00943743" w:rsidP="001F79B0">
            <w:pPr>
              <w:suppressAutoHyphens w:val="0"/>
              <w:rPr>
                <w:bCs/>
                <w:szCs w:val="22"/>
                <w:lang w:val="sk-SK"/>
              </w:rPr>
            </w:pPr>
            <w:r w:rsidRPr="00BD646C">
              <w:rPr>
                <w:bCs/>
                <w:szCs w:val="22"/>
                <w:lang w:val="sk-SK"/>
              </w:rPr>
              <w:t xml:space="preserve">V.J.Salomone Pharma Limited </w:t>
            </w:r>
          </w:p>
          <w:p w14:paraId="0CBE3864" w14:textId="1597E5F5" w:rsidR="008604D4" w:rsidRPr="00BD646C" w:rsidRDefault="00943743" w:rsidP="001F79B0">
            <w:pPr>
              <w:suppressAutoHyphens w:val="0"/>
              <w:rPr>
                <w:bCs/>
                <w:szCs w:val="22"/>
                <w:lang w:val="sk-SK"/>
              </w:rPr>
            </w:pPr>
            <w:r w:rsidRPr="00BD646C">
              <w:rPr>
                <w:bCs/>
                <w:szCs w:val="22"/>
                <w:lang w:val="sk-SK"/>
              </w:rPr>
              <w:t xml:space="preserve">Tel: </w:t>
            </w:r>
            <w:r w:rsidR="0047544D">
              <w:rPr>
                <w:bCs/>
                <w:szCs w:val="22"/>
              </w:rPr>
              <w:t>+356 21220174</w:t>
            </w:r>
          </w:p>
          <w:p w14:paraId="78860028" w14:textId="77777777" w:rsidR="008604D4" w:rsidRPr="00BD646C" w:rsidRDefault="008604D4" w:rsidP="001F79B0">
            <w:pPr>
              <w:suppressAutoHyphens w:val="0"/>
              <w:rPr>
                <w:bCs/>
                <w:szCs w:val="22"/>
                <w:lang w:val="sk-SK"/>
              </w:rPr>
            </w:pPr>
          </w:p>
        </w:tc>
      </w:tr>
      <w:tr w:rsidR="00011D2F" w14:paraId="4E520A00" w14:textId="77777777" w:rsidTr="001F79B0">
        <w:tc>
          <w:tcPr>
            <w:tcW w:w="4644" w:type="dxa"/>
            <w:gridSpan w:val="2"/>
          </w:tcPr>
          <w:p w14:paraId="537792C4" w14:textId="77777777" w:rsidR="008604D4" w:rsidRPr="00BD646C" w:rsidRDefault="00943743" w:rsidP="001F79B0">
            <w:pPr>
              <w:suppressAutoHyphens w:val="0"/>
              <w:rPr>
                <w:b/>
                <w:bCs/>
                <w:szCs w:val="22"/>
                <w:lang w:val="de-DE"/>
              </w:rPr>
            </w:pPr>
            <w:r w:rsidRPr="00BD646C">
              <w:rPr>
                <w:b/>
                <w:bCs/>
                <w:szCs w:val="22"/>
                <w:lang w:val="de-DE"/>
              </w:rPr>
              <w:t>Deutschland</w:t>
            </w:r>
          </w:p>
          <w:p w14:paraId="2D465DF1" w14:textId="77777777" w:rsidR="008604D4" w:rsidRPr="00BD646C" w:rsidRDefault="00943743" w:rsidP="001F79B0">
            <w:pPr>
              <w:suppressAutoHyphens w:val="0"/>
              <w:rPr>
                <w:bCs/>
                <w:szCs w:val="22"/>
                <w:lang w:val="de-DE"/>
              </w:rPr>
            </w:pPr>
            <w:r w:rsidRPr="00BD646C">
              <w:rPr>
                <w:szCs w:val="22"/>
                <w:lang w:val="de-DE"/>
              </w:rPr>
              <w:t xml:space="preserve">AbbVie Deutschland </w:t>
            </w:r>
            <w:r w:rsidRPr="00BD646C">
              <w:rPr>
                <w:bCs/>
                <w:szCs w:val="22"/>
                <w:lang w:val="de-DE"/>
              </w:rPr>
              <w:t>GmbH &amp; Co. KG</w:t>
            </w:r>
          </w:p>
          <w:p w14:paraId="7F8EC03D" w14:textId="77777777" w:rsidR="008604D4" w:rsidRPr="00BD646C" w:rsidRDefault="00943743" w:rsidP="001F79B0">
            <w:pPr>
              <w:suppressAutoHyphens w:val="0"/>
              <w:rPr>
                <w:szCs w:val="22"/>
                <w:lang w:val="de-DE"/>
              </w:rPr>
            </w:pPr>
            <w:r w:rsidRPr="00BD646C">
              <w:rPr>
                <w:szCs w:val="22"/>
                <w:lang w:val="de-DE"/>
              </w:rPr>
              <w:t>Tel: 00800 222843 33 (gebührenfrei)</w:t>
            </w:r>
          </w:p>
          <w:p w14:paraId="2271CE43" w14:textId="77777777" w:rsidR="008604D4" w:rsidRPr="00BD646C" w:rsidRDefault="00943743" w:rsidP="001F79B0">
            <w:pPr>
              <w:suppressAutoHyphens w:val="0"/>
              <w:rPr>
                <w:szCs w:val="22"/>
                <w:lang w:val="de-DE"/>
              </w:rPr>
            </w:pPr>
            <w:r w:rsidRPr="00BD646C">
              <w:rPr>
                <w:szCs w:val="22"/>
                <w:lang w:val="de-DE"/>
              </w:rPr>
              <w:t>Tel: +49 (0) 611 / 1720-0</w:t>
            </w:r>
          </w:p>
          <w:p w14:paraId="03029B9D" w14:textId="77777777" w:rsidR="008604D4" w:rsidRPr="00BD646C" w:rsidRDefault="008604D4" w:rsidP="001F79B0">
            <w:pPr>
              <w:suppressAutoHyphens w:val="0"/>
              <w:rPr>
                <w:szCs w:val="22"/>
                <w:lang w:val="de-DE"/>
              </w:rPr>
            </w:pPr>
          </w:p>
        </w:tc>
        <w:tc>
          <w:tcPr>
            <w:tcW w:w="4678" w:type="dxa"/>
            <w:gridSpan w:val="2"/>
          </w:tcPr>
          <w:p w14:paraId="16187D27" w14:textId="77777777" w:rsidR="008604D4" w:rsidRPr="00BD646C" w:rsidRDefault="00943743" w:rsidP="001F79B0">
            <w:pPr>
              <w:suppressAutoHyphens w:val="0"/>
              <w:rPr>
                <w:b/>
                <w:bCs/>
                <w:szCs w:val="22"/>
                <w:lang w:val="nl-NL"/>
              </w:rPr>
            </w:pPr>
            <w:r w:rsidRPr="00BD646C">
              <w:rPr>
                <w:b/>
                <w:bCs/>
                <w:szCs w:val="22"/>
                <w:lang w:val="nl-NL"/>
              </w:rPr>
              <w:t>Nederland</w:t>
            </w:r>
          </w:p>
          <w:p w14:paraId="4485ED9A" w14:textId="77777777" w:rsidR="008604D4" w:rsidRPr="00BD646C" w:rsidRDefault="00943743" w:rsidP="001F79B0">
            <w:pPr>
              <w:suppressAutoHyphens w:val="0"/>
              <w:rPr>
                <w:bCs/>
                <w:szCs w:val="22"/>
                <w:lang w:val="de-DE"/>
              </w:rPr>
            </w:pPr>
            <w:r w:rsidRPr="00BD646C">
              <w:rPr>
                <w:bCs/>
                <w:szCs w:val="22"/>
                <w:lang w:val="de-DE"/>
              </w:rPr>
              <w:t>AbbVie B.V.</w:t>
            </w:r>
          </w:p>
          <w:p w14:paraId="60F912C5" w14:textId="77777777" w:rsidR="008604D4" w:rsidRPr="00BD646C" w:rsidRDefault="00943743" w:rsidP="001F79B0">
            <w:pPr>
              <w:suppressAutoHyphens w:val="0"/>
              <w:rPr>
                <w:bCs/>
                <w:szCs w:val="22"/>
                <w:lang w:val="de-DE"/>
              </w:rPr>
            </w:pPr>
            <w:r w:rsidRPr="00BD646C">
              <w:rPr>
                <w:bCs/>
                <w:szCs w:val="22"/>
                <w:lang w:val="de-DE"/>
              </w:rPr>
              <w:t>Tel: +31 (0)88 322 2843</w:t>
            </w:r>
          </w:p>
        </w:tc>
      </w:tr>
      <w:tr w:rsidR="00011D2F" w14:paraId="6F80C8E2" w14:textId="77777777" w:rsidTr="001F79B0">
        <w:tc>
          <w:tcPr>
            <w:tcW w:w="4644" w:type="dxa"/>
            <w:gridSpan w:val="2"/>
          </w:tcPr>
          <w:p w14:paraId="3C567432" w14:textId="77777777" w:rsidR="008604D4" w:rsidRPr="00BD646C" w:rsidRDefault="00943743" w:rsidP="001F79B0">
            <w:pPr>
              <w:suppressAutoHyphens w:val="0"/>
              <w:rPr>
                <w:b/>
                <w:bCs/>
                <w:szCs w:val="22"/>
                <w:lang w:val="et-EE"/>
              </w:rPr>
            </w:pPr>
            <w:r w:rsidRPr="00BD646C">
              <w:rPr>
                <w:b/>
                <w:bCs/>
                <w:szCs w:val="22"/>
                <w:lang w:val="et-EE"/>
              </w:rPr>
              <w:t>Eesti</w:t>
            </w:r>
          </w:p>
          <w:p w14:paraId="5BB485F8" w14:textId="77777777" w:rsidR="008604D4" w:rsidRPr="00BD646C" w:rsidRDefault="00943743" w:rsidP="001F79B0">
            <w:pPr>
              <w:suppressAutoHyphens w:val="0"/>
              <w:rPr>
                <w:bCs/>
                <w:szCs w:val="22"/>
                <w:lang w:val="et-EE"/>
              </w:rPr>
            </w:pPr>
            <w:r w:rsidRPr="00BD646C">
              <w:rPr>
                <w:bCs/>
                <w:szCs w:val="22"/>
                <w:lang w:val="et-EE"/>
              </w:rPr>
              <w:t xml:space="preserve">AbbVie </w:t>
            </w:r>
            <w:r w:rsidRPr="00BD646C">
              <w:rPr>
                <w:bCs/>
                <w:szCs w:val="22"/>
                <w:lang w:val="sk-SK"/>
              </w:rPr>
              <w:t>OÜ</w:t>
            </w:r>
            <w:r w:rsidRPr="00BD646C">
              <w:rPr>
                <w:bCs/>
                <w:szCs w:val="22"/>
                <w:lang w:val="et-EE"/>
              </w:rPr>
              <w:t xml:space="preserve"> </w:t>
            </w:r>
          </w:p>
          <w:p w14:paraId="378452D6" w14:textId="77777777" w:rsidR="008604D4" w:rsidRPr="00BD646C" w:rsidRDefault="00943743" w:rsidP="001F79B0">
            <w:pPr>
              <w:suppressAutoHyphens w:val="0"/>
              <w:rPr>
                <w:bCs/>
                <w:szCs w:val="22"/>
                <w:lang w:val="lv-LV"/>
              </w:rPr>
            </w:pPr>
            <w:r w:rsidRPr="00BD646C">
              <w:rPr>
                <w:bCs/>
                <w:szCs w:val="22"/>
                <w:lang w:val="et-EE"/>
              </w:rPr>
              <w:t>Tel: +372 623 1011</w:t>
            </w:r>
          </w:p>
        </w:tc>
        <w:tc>
          <w:tcPr>
            <w:tcW w:w="4678" w:type="dxa"/>
            <w:gridSpan w:val="2"/>
          </w:tcPr>
          <w:p w14:paraId="6A6AAA1D" w14:textId="77777777" w:rsidR="008604D4" w:rsidRPr="00BD646C" w:rsidRDefault="00943743" w:rsidP="001F79B0">
            <w:pPr>
              <w:suppressAutoHyphens w:val="0"/>
              <w:rPr>
                <w:b/>
                <w:bCs/>
                <w:szCs w:val="22"/>
                <w:lang w:val="nb-NO"/>
              </w:rPr>
            </w:pPr>
            <w:r w:rsidRPr="00BD646C">
              <w:rPr>
                <w:b/>
                <w:bCs/>
                <w:szCs w:val="22"/>
                <w:lang w:val="nb-NO"/>
              </w:rPr>
              <w:t>Norge</w:t>
            </w:r>
          </w:p>
          <w:p w14:paraId="190D1A97" w14:textId="77777777" w:rsidR="008604D4" w:rsidRPr="00BD646C" w:rsidRDefault="00943743" w:rsidP="001F79B0">
            <w:pPr>
              <w:suppressAutoHyphens w:val="0"/>
              <w:rPr>
                <w:bCs/>
                <w:szCs w:val="22"/>
                <w:lang w:val="sk-SK"/>
              </w:rPr>
            </w:pPr>
            <w:r w:rsidRPr="00BD646C">
              <w:rPr>
                <w:bCs/>
                <w:szCs w:val="22"/>
                <w:lang w:val="sk-SK"/>
              </w:rPr>
              <w:t>AbbVie AS</w:t>
            </w:r>
          </w:p>
          <w:p w14:paraId="26C1D698" w14:textId="77777777" w:rsidR="008604D4" w:rsidRPr="00BD646C" w:rsidRDefault="00943743" w:rsidP="001F79B0">
            <w:pPr>
              <w:suppressAutoHyphens w:val="0"/>
              <w:rPr>
                <w:bCs/>
                <w:szCs w:val="22"/>
                <w:lang w:val="sk-SK"/>
              </w:rPr>
            </w:pPr>
            <w:r w:rsidRPr="00BD646C">
              <w:rPr>
                <w:bCs/>
                <w:szCs w:val="22"/>
                <w:lang w:val="sk-SK"/>
              </w:rPr>
              <w:t>Tlf: +47 67 81 80 00</w:t>
            </w:r>
          </w:p>
          <w:p w14:paraId="7552407C" w14:textId="77777777" w:rsidR="008604D4" w:rsidRPr="00BD646C" w:rsidRDefault="008604D4" w:rsidP="001F79B0">
            <w:pPr>
              <w:suppressAutoHyphens w:val="0"/>
              <w:rPr>
                <w:bCs/>
                <w:szCs w:val="22"/>
                <w:lang w:val="sk-SK"/>
              </w:rPr>
            </w:pPr>
          </w:p>
        </w:tc>
      </w:tr>
      <w:tr w:rsidR="00011D2F" w14:paraId="0292DF0A" w14:textId="77777777" w:rsidTr="001F79B0">
        <w:trPr>
          <w:trHeight w:val="794"/>
        </w:trPr>
        <w:tc>
          <w:tcPr>
            <w:tcW w:w="4644" w:type="dxa"/>
            <w:gridSpan w:val="2"/>
          </w:tcPr>
          <w:p w14:paraId="3AA77F69" w14:textId="77777777" w:rsidR="008604D4" w:rsidRPr="00BD646C" w:rsidRDefault="00943743" w:rsidP="001F79B0">
            <w:pPr>
              <w:suppressAutoHyphens w:val="0"/>
              <w:rPr>
                <w:b/>
                <w:bCs/>
                <w:szCs w:val="22"/>
                <w:lang w:val="el-GR"/>
              </w:rPr>
            </w:pPr>
            <w:r w:rsidRPr="00BD646C">
              <w:rPr>
                <w:b/>
                <w:bCs/>
                <w:szCs w:val="22"/>
                <w:lang w:val="el-GR"/>
              </w:rPr>
              <w:t>Ελλάδα</w:t>
            </w:r>
          </w:p>
          <w:p w14:paraId="46CFBBFB" w14:textId="77777777" w:rsidR="008604D4" w:rsidRPr="00BD646C" w:rsidRDefault="00943743" w:rsidP="001F79B0">
            <w:pPr>
              <w:suppressAutoHyphens w:val="0"/>
              <w:rPr>
                <w:bCs/>
                <w:szCs w:val="22"/>
                <w:lang w:val="el-GR"/>
              </w:rPr>
            </w:pPr>
            <w:r w:rsidRPr="00BD646C">
              <w:rPr>
                <w:bCs/>
                <w:szCs w:val="22"/>
                <w:lang w:val="et-EE"/>
              </w:rPr>
              <w:t xml:space="preserve">AbbVie </w:t>
            </w:r>
            <w:r w:rsidRPr="00BD646C">
              <w:rPr>
                <w:szCs w:val="22"/>
                <w:lang w:val="el-GR"/>
              </w:rPr>
              <w:t>ΦΑΡΜΑΚΕΥΤΙΚΗ Α.Ε.</w:t>
            </w:r>
          </w:p>
          <w:p w14:paraId="2A6B680C" w14:textId="77777777" w:rsidR="008604D4" w:rsidRPr="00BD646C" w:rsidRDefault="00943743" w:rsidP="001F79B0">
            <w:pPr>
              <w:suppressAutoHyphens w:val="0"/>
              <w:rPr>
                <w:bCs/>
                <w:szCs w:val="22"/>
                <w:lang w:val="sk-SK"/>
              </w:rPr>
            </w:pPr>
            <w:r w:rsidRPr="00BD646C">
              <w:rPr>
                <w:bCs/>
                <w:szCs w:val="22"/>
                <w:lang w:val="el-GR"/>
              </w:rPr>
              <w:t xml:space="preserve">Τηλ: +30 </w:t>
            </w:r>
            <w:r w:rsidRPr="00BD646C">
              <w:rPr>
                <w:bCs/>
                <w:szCs w:val="22"/>
                <w:lang w:val="sk-SK"/>
              </w:rPr>
              <w:t>214 4165 555</w:t>
            </w:r>
          </w:p>
        </w:tc>
        <w:tc>
          <w:tcPr>
            <w:tcW w:w="4678" w:type="dxa"/>
            <w:gridSpan w:val="2"/>
          </w:tcPr>
          <w:p w14:paraId="7583625B" w14:textId="77777777" w:rsidR="008604D4" w:rsidRPr="00BD646C" w:rsidRDefault="00943743" w:rsidP="001F79B0">
            <w:pPr>
              <w:suppressAutoHyphens w:val="0"/>
              <w:rPr>
                <w:b/>
                <w:bCs/>
                <w:szCs w:val="22"/>
                <w:lang w:val="de-DE"/>
              </w:rPr>
            </w:pPr>
            <w:r w:rsidRPr="00BD646C">
              <w:rPr>
                <w:b/>
                <w:bCs/>
                <w:szCs w:val="22"/>
                <w:lang w:val="de-DE"/>
              </w:rPr>
              <w:t>Österreich</w:t>
            </w:r>
          </w:p>
          <w:p w14:paraId="4C6140A2" w14:textId="77777777" w:rsidR="008604D4" w:rsidRPr="00BD646C" w:rsidRDefault="00943743" w:rsidP="001F79B0">
            <w:pPr>
              <w:suppressAutoHyphens w:val="0"/>
              <w:rPr>
                <w:bCs/>
                <w:szCs w:val="22"/>
                <w:lang w:val="de-DE"/>
              </w:rPr>
            </w:pPr>
            <w:r w:rsidRPr="00BD646C">
              <w:rPr>
                <w:bCs/>
                <w:szCs w:val="22"/>
                <w:lang w:val="de-DE"/>
              </w:rPr>
              <w:t xml:space="preserve">AbbVie GmbH </w:t>
            </w:r>
          </w:p>
          <w:p w14:paraId="49F95F31" w14:textId="77777777" w:rsidR="008604D4" w:rsidRPr="00BD646C" w:rsidRDefault="00943743" w:rsidP="001F79B0">
            <w:pPr>
              <w:suppressAutoHyphens w:val="0"/>
              <w:rPr>
                <w:bCs/>
                <w:szCs w:val="22"/>
                <w:lang w:val="de-DE"/>
              </w:rPr>
            </w:pPr>
            <w:r w:rsidRPr="00BD646C">
              <w:rPr>
                <w:bCs/>
                <w:szCs w:val="22"/>
                <w:lang w:val="de-DE"/>
              </w:rPr>
              <w:t>Tel: +43 1 20589-0</w:t>
            </w:r>
          </w:p>
          <w:p w14:paraId="7EC5BA8E" w14:textId="77777777" w:rsidR="008604D4" w:rsidRPr="00BD646C" w:rsidRDefault="008604D4" w:rsidP="001F79B0">
            <w:pPr>
              <w:suppressAutoHyphens w:val="0"/>
              <w:rPr>
                <w:bCs/>
                <w:szCs w:val="22"/>
                <w:lang w:val="de-DE"/>
              </w:rPr>
            </w:pPr>
          </w:p>
        </w:tc>
      </w:tr>
      <w:tr w:rsidR="00011D2F" w14:paraId="6BC73BB6" w14:textId="77777777" w:rsidTr="001F79B0">
        <w:trPr>
          <w:gridBefore w:val="1"/>
          <w:wBefore w:w="34" w:type="dxa"/>
        </w:trPr>
        <w:tc>
          <w:tcPr>
            <w:tcW w:w="4644" w:type="dxa"/>
            <w:gridSpan w:val="2"/>
          </w:tcPr>
          <w:p w14:paraId="57832313" w14:textId="77777777" w:rsidR="008604D4" w:rsidRPr="00BD646C" w:rsidRDefault="00943743" w:rsidP="001F79B0">
            <w:pPr>
              <w:suppressAutoHyphens w:val="0"/>
              <w:rPr>
                <w:b/>
                <w:bCs/>
                <w:szCs w:val="22"/>
                <w:lang w:val="es-ES"/>
              </w:rPr>
            </w:pPr>
            <w:r w:rsidRPr="00BD646C">
              <w:rPr>
                <w:b/>
                <w:bCs/>
                <w:szCs w:val="22"/>
                <w:lang w:val="es-ES"/>
              </w:rPr>
              <w:t>España</w:t>
            </w:r>
          </w:p>
          <w:p w14:paraId="5CE582B2" w14:textId="77777777" w:rsidR="008604D4" w:rsidRPr="00BD646C" w:rsidRDefault="00943743" w:rsidP="001F79B0">
            <w:pPr>
              <w:suppressAutoHyphens w:val="0"/>
              <w:rPr>
                <w:szCs w:val="22"/>
                <w:lang w:val="es-ES"/>
              </w:rPr>
            </w:pPr>
            <w:r w:rsidRPr="00BD646C">
              <w:rPr>
                <w:szCs w:val="22"/>
                <w:lang w:val="es-ES"/>
              </w:rPr>
              <w:t xml:space="preserve">AbbVie </w:t>
            </w:r>
            <w:r w:rsidRPr="00BD646C">
              <w:rPr>
                <w:bCs/>
                <w:szCs w:val="22"/>
                <w:lang w:val="es-ES"/>
              </w:rPr>
              <w:t>Spain</w:t>
            </w:r>
            <w:r w:rsidRPr="00BD646C">
              <w:rPr>
                <w:szCs w:val="22"/>
                <w:lang w:val="es-ES"/>
              </w:rPr>
              <w:t>, S.L.U</w:t>
            </w:r>
            <w:r w:rsidRPr="00BD646C">
              <w:rPr>
                <w:bCs/>
                <w:szCs w:val="22"/>
                <w:lang w:val="es-ES"/>
              </w:rPr>
              <w:t>.</w:t>
            </w:r>
          </w:p>
          <w:p w14:paraId="6BD3BBA1" w14:textId="77777777" w:rsidR="008604D4" w:rsidRPr="00BD646C" w:rsidRDefault="00943743" w:rsidP="001F79B0">
            <w:pPr>
              <w:suppressAutoHyphens w:val="0"/>
              <w:rPr>
                <w:bCs/>
                <w:szCs w:val="22"/>
                <w:lang w:val="pl-PL"/>
              </w:rPr>
            </w:pPr>
            <w:r w:rsidRPr="00BD646C">
              <w:rPr>
                <w:bCs/>
                <w:szCs w:val="22"/>
                <w:lang w:val="pt-PT"/>
              </w:rPr>
              <w:t>Tel: +34 91 384 09 10</w:t>
            </w:r>
          </w:p>
        </w:tc>
        <w:tc>
          <w:tcPr>
            <w:tcW w:w="4678" w:type="dxa"/>
          </w:tcPr>
          <w:p w14:paraId="34D20EF1" w14:textId="77777777" w:rsidR="008604D4" w:rsidRPr="00BD646C" w:rsidRDefault="00943743" w:rsidP="001F79B0">
            <w:pPr>
              <w:suppressAutoHyphens w:val="0"/>
              <w:rPr>
                <w:b/>
                <w:bCs/>
                <w:iCs/>
                <w:szCs w:val="22"/>
                <w:lang w:val="pl-PL"/>
              </w:rPr>
            </w:pPr>
            <w:r w:rsidRPr="00BD646C">
              <w:rPr>
                <w:b/>
                <w:bCs/>
                <w:iCs/>
                <w:szCs w:val="22"/>
                <w:lang w:val="pl-PL"/>
              </w:rPr>
              <w:t>Polska</w:t>
            </w:r>
          </w:p>
          <w:p w14:paraId="79940C56" w14:textId="77777777" w:rsidR="008604D4" w:rsidRPr="00BD646C" w:rsidRDefault="00943743" w:rsidP="001F79B0">
            <w:pPr>
              <w:suppressAutoHyphens w:val="0"/>
              <w:rPr>
                <w:bCs/>
                <w:szCs w:val="22"/>
                <w:lang w:val="pl-PL"/>
              </w:rPr>
            </w:pPr>
            <w:r w:rsidRPr="00BD646C">
              <w:rPr>
                <w:bCs/>
                <w:szCs w:val="22"/>
                <w:lang w:val="pl-PL"/>
              </w:rPr>
              <w:t>AbbVie Sp. z o.o.</w:t>
            </w:r>
          </w:p>
          <w:p w14:paraId="3FAA48D0" w14:textId="77777777" w:rsidR="008604D4" w:rsidRPr="00BD646C" w:rsidRDefault="00943743" w:rsidP="001F79B0">
            <w:pPr>
              <w:suppressAutoHyphens w:val="0"/>
              <w:rPr>
                <w:bCs/>
                <w:szCs w:val="22"/>
                <w:lang w:val="pl-PL"/>
              </w:rPr>
            </w:pPr>
            <w:r w:rsidRPr="00BD646C">
              <w:rPr>
                <w:szCs w:val="22"/>
                <w:lang w:val="es-ES"/>
              </w:rPr>
              <w:t xml:space="preserve">Tel.: +48 22 </w:t>
            </w:r>
            <w:r w:rsidRPr="00BD646C">
              <w:rPr>
                <w:bCs/>
                <w:szCs w:val="22"/>
                <w:lang w:val="pl-PL"/>
              </w:rPr>
              <w:t xml:space="preserve">372 78 00 </w:t>
            </w:r>
          </w:p>
          <w:p w14:paraId="02B819ED" w14:textId="77777777" w:rsidR="008604D4" w:rsidRPr="00BD646C" w:rsidRDefault="008604D4" w:rsidP="001F79B0">
            <w:pPr>
              <w:suppressAutoHyphens w:val="0"/>
              <w:rPr>
                <w:bCs/>
                <w:szCs w:val="22"/>
                <w:lang w:val="pl-PL"/>
              </w:rPr>
            </w:pPr>
          </w:p>
        </w:tc>
      </w:tr>
      <w:tr w:rsidR="00011D2F" w14:paraId="7B556BC7" w14:textId="77777777" w:rsidTr="001F79B0">
        <w:trPr>
          <w:trHeight w:val="734"/>
        </w:trPr>
        <w:tc>
          <w:tcPr>
            <w:tcW w:w="4678" w:type="dxa"/>
            <w:gridSpan w:val="3"/>
          </w:tcPr>
          <w:p w14:paraId="554AB22D" w14:textId="77777777" w:rsidR="008604D4" w:rsidRPr="00BD646C" w:rsidRDefault="00943743" w:rsidP="001F79B0">
            <w:pPr>
              <w:suppressAutoHyphens w:val="0"/>
              <w:rPr>
                <w:b/>
                <w:bCs/>
                <w:szCs w:val="22"/>
                <w:lang w:val="fr-FR"/>
              </w:rPr>
            </w:pPr>
            <w:r w:rsidRPr="00BD646C">
              <w:rPr>
                <w:b/>
                <w:bCs/>
                <w:szCs w:val="22"/>
                <w:lang w:val="fr-FR"/>
              </w:rPr>
              <w:t>France</w:t>
            </w:r>
          </w:p>
          <w:p w14:paraId="2DA238E6" w14:textId="77777777" w:rsidR="008604D4" w:rsidRPr="00BD646C" w:rsidRDefault="00943743" w:rsidP="001F79B0">
            <w:pPr>
              <w:suppressAutoHyphens w:val="0"/>
              <w:rPr>
                <w:bCs/>
                <w:szCs w:val="22"/>
                <w:lang w:val="fr-FR"/>
              </w:rPr>
            </w:pPr>
            <w:r w:rsidRPr="00BD646C">
              <w:rPr>
                <w:bCs/>
                <w:szCs w:val="22"/>
                <w:lang w:val="fr-FR"/>
              </w:rPr>
              <w:t>AbbVie</w:t>
            </w:r>
          </w:p>
          <w:p w14:paraId="436D8D25" w14:textId="77777777" w:rsidR="008604D4" w:rsidRPr="00BD646C" w:rsidRDefault="00943743" w:rsidP="001F79B0">
            <w:pPr>
              <w:suppressAutoHyphens w:val="0"/>
              <w:rPr>
                <w:bCs/>
                <w:szCs w:val="22"/>
                <w:lang w:val="fr-FR"/>
              </w:rPr>
            </w:pPr>
            <w:r w:rsidRPr="00BD646C">
              <w:rPr>
                <w:bCs/>
                <w:szCs w:val="22"/>
                <w:lang w:val="fr-FR"/>
              </w:rPr>
              <w:t>Tél: +33 (0) 1 45 60 13 00</w:t>
            </w:r>
          </w:p>
        </w:tc>
        <w:tc>
          <w:tcPr>
            <w:tcW w:w="4678" w:type="dxa"/>
          </w:tcPr>
          <w:p w14:paraId="5CCCAA1E" w14:textId="77777777" w:rsidR="008604D4" w:rsidRPr="00BD646C" w:rsidRDefault="00943743" w:rsidP="001F79B0">
            <w:pPr>
              <w:suppressAutoHyphens w:val="0"/>
              <w:rPr>
                <w:b/>
                <w:bCs/>
                <w:szCs w:val="22"/>
                <w:lang w:val="pt-PT"/>
              </w:rPr>
            </w:pPr>
            <w:r w:rsidRPr="00BD646C">
              <w:rPr>
                <w:b/>
                <w:bCs/>
                <w:szCs w:val="22"/>
                <w:lang w:val="pt-PT"/>
              </w:rPr>
              <w:t>Portugal</w:t>
            </w:r>
          </w:p>
          <w:p w14:paraId="32A72D65" w14:textId="77777777" w:rsidR="008604D4" w:rsidRPr="00BD646C" w:rsidRDefault="00943743" w:rsidP="001F79B0">
            <w:pPr>
              <w:suppressAutoHyphens w:val="0"/>
              <w:rPr>
                <w:bCs/>
                <w:szCs w:val="22"/>
                <w:lang w:val="fr-FR"/>
              </w:rPr>
            </w:pPr>
            <w:r w:rsidRPr="00BD646C">
              <w:rPr>
                <w:bCs/>
                <w:szCs w:val="22"/>
                <w:lang w:val="fr-FR"/>
              </w:rPr>
              <w:t xml:space="preserve">AbbVie, Lda. </w:t>
            </w:r>
          </w:p>
          <w:p w14:paraId="52855621" w14:textId="77777777" w:rsidR="008604D4" w:rsidRPr="00BD646C" w:rsidRDefault="00943743" w:rsidP="001F79B0">
            <w:pPr>
              <w:suppressAutoHyphens w:val="0"/>
              <w:rPr>
                <w:szCs w:val="22"/>
                <w:lang w:val="fr-FR"/>
              </w:rPr>
            </w:pPr>
            <w:r w:rsidRPr="00BD646C">
              <w:rPr>
                <w:szCs w:val="22"/>
                <w:lang w:val="fr-FR"/>
              </w:rPr>
              <w:t>Tel: +351 (0)21 1908400</w:t>
            </w:r>
          </w:p>
          <w:p w14:paraId="6046130B" w14:textId="77777777" w:rsidR="008604D4" w:rsidRPr="00BD646C" w:rsidRDefault="008604D4" w:rsidP="001F79B0">
            <w:pPr>
              <w:suppressAutoHyphens w:val="0"/>
              <w:rPr>
                <w:szCs w:val="22"/>
                <w:lang w:val="fr-FR"/>
              </w:rPr>
            </w:pPr>
          </w:p>
        </w:tc>
      </w:tr>
      <w:tr w:rsidR="00011D2F" w14:paraId="7FDE3FAA" w14:textId="77777777" w:rsidTr="001F79B0">
        <w:trPr>
          <w:gridBefore w:val="1"/>
          <w:wBefore w:w="34" w:type="dxa"/>
        </w:trPr>
        <w:tc>
          <w:tcPr>
            <w:tcW w:w="4644" w:type="dxa"/>
            <w:gridSpan w:val="2"/>
          </w:tcPr>
          <w:p w14:paraId="1714A8E2" w14:textId="77777777" w:rsidR="008604D4" w:rsidRPr="0047544D" w:rsidRDefault="00943743" w:rsidP="001F79B0">
            <w:pPr>
              <w:suppressAutoHyphens w:val="0"/>
              <w:rPr>
                <w:szCs w:val="22"/>
              </w:rPr>
            </w:pPr>
            <w:r w:rsidRPr="0047544D">
              <w:rPr>
                <w:b/>
                <w:bCs/>
                <w:szCs w:val="22"/>
              </w:rPr>
              <w:t xml:space="preserve">Hrvatska </w:t>
            </w:r>
          </w:p>
          <w:p w14:paraId="0E9F95AF" w14:textId="77777777" w:rsidR="008604D4" w:rsidRPr="00BD646C" w:rsidRDefault="00943743" w:rsidP="001F79B0">
            <w:pPr>
              <w:suppressAutoHyphens w:val="0"/>
              <w:rPr>
                <w:szCs w:val="22"/>
                <w:lang w:val="hr-HR"/>
              </w:rPr>
            </w:pPr>
            <w:r w:rsidRPr="00BD646C">
              <w:rPr>
                <w:szCs w:val="22"/>
                <w:lang w:val="hr-HR"/>
              </w:rPr>
              <w:t>AbbVie d.o.o.</w:t>
            </w:r>
          </w:p>
          <w:p w14:paraId="1B3E1B2A" w14:textId="77777777" w:rsidR="008604D4" w:rsidRPr="00BD646C" w:rsidRDefault="00943743" w:rsidP="001F79B0">
            <w:pPr>
              <w:suppressAutoHyphens w:val="0"/>
              <w:rPr>
                <w:bCs/>
                <w:szCs w:val="22"/>
                <w:lang w:val="it-IT"/>
              </w:rPr>
            </w:pPr>
            <w:r w:rsidRPr="00BD646C">
              <w:rPr>
                <w:szCs w:val="22"/>
                <w:lang w:val="hr-HR"/>
              </w:rPr>
              <w:t xml:space="preserve">Tel + 385 (0)1 </w:t>
            </w:r>
            <w:r w:rsidRPr="00BD646C">
              <w:rPr>
                <w:szCs w:val="22"/>
                <w:lang w:val="en-US"/>
              </w:rPr>
              <w:t>5625 501</w:t>
            </w:r>
          </w:p>
        </w:tc>
        <w:tc>
          <w:tcPr>
            <w:tcW w:w="4678" w:type="dxa"/>
          </w:tcPr>
          <w:p w14:paraId="38A4E3C3" w14:textId="77777777" w:rsidR="008604D4" w:rsidRPr="00BD646C" w:rsidRDefault="00943743" w:rsidP="001F79B0">
            <w:pPr>
              <w:suppressAutoHyphens w:val="0"/>
              <w:rPr>
                <w:b/>
                <w:bCs/>
                <w:szCs w:val="22"/>
                <w:lang w:val="it-IT"/>
              </w:rPr>
            </w:pPr>
            <w:r w:rsidRPr="00BD646C">
              <w:rPr>
                <w:b/>
                <w:bCs/>
                <w:szCs w:val="22"/>
                <w:lang w:val="it-IT"/>
              </w:rPr>
              <w:t>România</w:t>
            </w:r>
          </w:p>
          <w:p w14:paraId="28C290F3" w14:textId="77777777" w:rsidR="008604D4" w:rsidRPr="00BD646C" w:rsidRDefault="00943743" w:rsidP="001F79B0">
            <w:pPr>
              <w:suppressAutoHyphens w:val="0"/>
              <w:rPr>
                <w:szCs w:val="22"/>
                <w:lang w:val="it-IT"/>
              </w:rPr>
            </w:pPr>
            <w:r w:rsidRPr="00BD646C">
              <w:rPr>
                <w:szCs w:val="22"/>
                <w:lang w:val="it-IT"/>
              </w:rPr>
              <w:t>AbbVie S.R.L.</w:t>
            </w:r>
          </w:p>
          <w:p w14:paraId="4B3F7D56" w14:textId="77777777" w:rsidR="008604D4" w:rsidRPr="00BD646C" w:rsidRDefault="00943743" w:rsidP="001F79B0">
            <w:pPr>
              <w:suppressAutoHyphens w:val="0"/>
              <w:rPr>
                <w:szCs w:val="22"/>
                <w:lang w:val="pl-PL"/>
              </w:rPr>
            </w:pPr>
            <w:r w:rsidRPr="00BD646C">
              <w:rPr>
                <w:szCs w:val="22"/>
                <w:lang w:val="pl-PL"/>
              </w:rPr>
              <w:t>Tel: +40 21 529 30 35</w:t>
            </w:r>
          </w:p>
          <w:p w14:paraId="5DB83BE2" w14:textId="77777777" w:rsidR="008604D4" w:rsidRPr="00BD646C" w:rsidRDefault="008604D4" w:rsidP="001F79B0">
            <w:pPr>
              <w:suppressAutoHyphens w:val="0"/>
              <w:rPr>
                <w:szCs w:val="22"/>
                <w:lang w:val="pl-PL"/>
              </w:rPr>
            </w:pPr>
          </w:p>
        </w:tc>
      </w:tr>
      <w:tr w:rsidR="00011D2F" w14:paraId="6A25D346" w14:textId="77777777" w:rsidTr="001F79B0">
        <w:trPr>
          <w:gridBefore w:val="1"/>
          <w:wBefore w:w="34" w:type="dxa"/>
        </w:trPr>
        <w:tc>
          <w:tcPr>
            <w:tcW w:w="4644" w:type="dxa"/>
            <w:gridSpan w:val="2"/>
          </w:tcPr>
          <w:p w14:paraId="0C3D528C" w14:textId="77777777" w:rsidR="008604D4" w:rsidRPr="00BD646C" w:rsidRDefault="00943743" w:rsidP="001F79B0">
            <w:pPr>
              <w:suppressAutoHyphens w:val="0"/>
              <w:rPr>
                <w:b/>
                <w:bCs/>
                <w:szCs w:val="22"/>
                <w:lang w:val="sk-SK"/>
              </w:rPr>
            </w:pPr>
            <w:r w:rsidRPr="00BD646C">
              <w:rPr>
                <w:b/>
                <w:bCs/>
                <w:szCs w:val="22"/>
                <w:lang w:val="sk-SK"/>
              </w:rPr>
              <w:t>Ireland</w:t>
            </w:r>
          </w:p>
          <w:p w14:paraId="27948D04" w14:textId="77777777" w:rsidR="008604D4" w:rsidRPr="00BD646C" w:rsidRDefault="00943743" w:rsidP="001F79B0">
            <w:pPr>
              <w:suppressAutoHyphens w:val="0"/>
              <w:rPr>
                <w:bCs/>
                <w:szCs w:val="22"/>
                <w:lang w:val="sk-SK"/>
              </w:rPr>
            </w:pPr>
            <w:r w:rsidRPr="00BD646C">
              <w:rPr>
                <w:bCs/>
                <w:szCs w:val="22"/>
                <w:lang w:val="sk-SK"/>
              </w:rPr>
              <w:t xml:space="preserve">AbbVie Limited </w:t>
            </w:r>
          </w:p>
          <w:p w14:paraId="08F2A939" w14:textId="77777777" w:rsidR="008604D4" w:rsidRPr="00BD646C" w:rsidRDefault="00943743" w:rsidP="001F79B0">
            <w:pPr>
              <w:suppressAutoHyphens w:val="0"/>
              <w:rPr>
                <w:bCs/>
                <w:szCs w:val="22"/>
                <w:lang w:val="sk-SK"/>
              </w:rPr>
            </w:pPr>
            <w:r w:rsidRPr="00BD646C">
              <w:rPr>
                <w:bCs/>
                <w:szCs w:val="22"/>
                <w:lang w:val="pt-PT"/>
              </w:rPr>
              <w:t>Tel: +353 (0)1 42879</w:t>
            </w:r>
            <w:r w:rsidR="001C51F1">
              <w:rPr>
                <w:bCs/>
                <w:szCs w:val="22"/>
                <w:lang w:val="pt-PT"/>
              </w:rPr>
              <w:t>0</w:t>
            </w:r>
            <w:r w:rsidRPr="00BD646C">
              <w:rPr>
                <w:bCs/>
                <w:szCs w:val="22"/>
                <w:lang w:val="pt-PT"/>
              </w:rPr>
              <w:t>0</w:t>
            </w:r>
          </w:p>
        </w:tc>
        <w:tc>
          <w:tcPr>
            <w:tcW w:w="4678" w:type="dxa"/>
          </w:tcPr>
          <w:p w14:paraId="6052B038" w14:textId="77777777" w:rsidR="008604D4" w:rsidRPr="00BD646C" w:rsidRDefault="00943743" w:rsidP="001F79B0">
            <w:pPr>
              <w:suppressAutoHyphens w:val="0"/>
              <w:rPr>
                <w:b/>
                <w:bCs/>
                <w:szCs w:val="22"/>
                <w:lang w:val="sl-SI"/>
              </w:rPr>
            </w:pPr>
            <w:r w:rsidRPr="00BD646C">
              <w:rPr>
                <w:b/>
                <w:bCs/>
                <w:szCs w:val="22"/>
                <w:lang w:val="sl-SI"/>
              </w:rPr>
              <w:t>Slovenija</w:t>
            </w:r>
          </w:p>
          <w:p w14:paraId="5F3F3D3E" w14:textId="77777777" w:rsidR="008604D4" w:rsidRPr="00BD646C" w:rsidRDefault="00943743" w:rsidP="001F79B0">
            <w:pPr>
              <w:suppressAutoHyphens w:val="0"/>
              <w:rPr>
                <w:bCs/>
                <w:szCs w:val="22"/>
                <w:lang w:val="sl-SI"/>
              </w:rPr>
            </w:pPr>
            <w:r w:rsidRPr="00BD646C">
              <w:rPr>
                <w:bCs/>
                <w:szCs w:val="22"/>
                <w:lang w:val="sl-SI"/>
              </w:rPr>
              <w:t xml:space="preserve">AbbVie </w:t>
            </w:r>
            <w:r w:rsidRPr="00BD646C">
              <w:rPr>
                <w:szCs w:val="22"/>
                <w:lang w:val="sl-SI"/>
              </w:rPr>
              <w:t>Biofarmacevtska družba d.o.o.</w:t>
            </w:r>
          </w:p>
          <w:p w14:paraId="181D58C1" w14:textId="77777777" w:rsidR="008604D4" w:rsidRPr="00BD646C" w:rsidRDefault="00943743" w:rsidP="001F79B0">
            <w:pPr>
              <w:suppressAutoHyphens w:val="0"/>
              <w:rPr>
                <w:bCs/>
                <w:szCs w:val="22"/>
                <w:lang w:val="sl-SI"/>
              </w:rPr>
            </w:pPr>
            <w:r w:rsidRPr="00BD646C">
              <w:rPr>
                <w:bCs/>
                <w:szCs w:val="22"/>
                <w:lang w:val="sl-SI"/>
              </w:rPr>
              <w:t>Tel: +386 (1)32 08 060</w:t>
            </w:r>
          </w:p>
          <w:p w14:paraId="38E2A6CD" w14:textId="77777777" w:rsidR="008604D4" w:rsidRPr="00BD646C" w:rsidRDefault="008604D4" w:rsidP="001F79B0">
            <w:pPr>
              <w:suppressAutoHyphens w:val="0"/>
              <w:rPr>
                <w:bCs/>
                <w:szCs w:val="22"/>
                <w:lang w:val="sl-SI"/>
              </w:rPr>
            </w:pPr>
          </w:p>
        </w:tc>
      </w:tr>
      <w:tr w:rsidR="00011D2F" w14:paraId="41CC2611" w14:textId="77777777" w:rsidTr="001F79B0">
        <w:trPr>
          <w:gridBefore w:val="1"/>
          <w:wBefore w:w="34" w:type="dxa"/>
        </w:trPr>
        <w:tc>
          <w:tcPr>
            <w:tcW w:w="4644" w:type="dxa"/>
            <w:gridSpan w:val="2"/>
          </w:tcPr>
          <w:p w14:paraId="4827053D" w14:textId="77777777" w:rsidR="008604D4" w:rsidRPr="00BD646C" w:rsidRDefault="00943743" w:rsidP="001F79B0">
            <w:pPr>
              <w:suppressAutoHyphens w:val="0"/>
              <w:rPr>
                <w:b/>
                <w:bCs/>
                <w:szCs w:val="22"/>
                <w:lang w:val="is-IS"/>
              </w:rPr>
            </w:pPr>
            <w:r w:rsidRPr="00BD646C">
              <w:rPr>
                <w:b/>
                <w:bCs/>
                <w:szCs w:val="22"/>
                <w:lang w:val="is-IS"/>
              </w:rPr>
              <w:t>Ísland</w:t>
            </w:r>
          </w:p>
          <w:p w14:paraId="1C00C2B7" w14:textId="77777777" w:rsidR="008604D4" w:rsidRPr="00BD646C" w:rsidRDefault="00943743" w:rsidP="001F79B0">
            <w:pPr>
              <w:suppressAutoHyphens w:val="0"/>
              <w:rPr>
                <w:bCs/>
                <w:szCs w:val="22"/>
                <w:lang w:val="sk-SK"/>
              </w:rPr>
            </w:pPr>
            <w:r w:rsidRPr="00BD646C">
              <w:rPr>
                <w:bCs/>
                <w:szCs w:val="22"/>
                <w:lang w:val="sk-SK"/>
              </w:rPr>
              <w:t>Vistor</w:t>
            </w:r>
            <w:del w:id="14008" w:author="AbbVie_HU_03" w:date="2025-05-14T16:46:00Z">
              <w:r w:rsidRPr="00BD646C">
                <w:rPr>
                  <w:bCs/>
                  <w:szCs w:val="22"/>
                  <w:lang w:val="sk-SK"/>
                </w:rPr>
                <w:delText xml:space="preserve"> hf.</w:delText>
              </w:r>
            </w:del>
          </w:p>
          <w:p w14:paraId="643A99E1" w14:textId="77777777" w:rsidR="008604D4" w:rsidRPr="00BD646C" w:rsidRDefault="00943743" w:rsidP="001F79B0">
            <w:pPr>
              <w:suppressAutoHyphens w:val="0"/>
              <w:rPr>
                <w:bCs/>
                <w:szCs w:val="22"/>
                <w:lang w:val="sk-SK"/>
              </w:rPr>
            </w:pPr>
            <w:r w:rsidRPr="00BD646C">
              <w:rPr>
                <w:bCs/>
                <w:szCs w:val="22"/>
                <w:lang w:val="sk-SK"/>
              </w:rPr>
              <w:t>Tel: +354 535 7000</w:t>
            </w:r>
          </w:p>
        </w:tc>
        <w:tc>
          <w:tcPr>
            <w:tcW w:w="4678" w:type="dxa"/>
          </w:tcPr>
          <w:p w14:paraId="372E3DCE" w14:textId="77777777" w:rsidR="008604D4" w:rsidRPr="00BD646C" w:rsidRDefault="00943743" w:rsidP="001F79B0">
            <w:pPr>
              <w:suppressAutoHyphens w:val="0"/>
              <w:rPr>
                <w:b/>
                <w:bCs/>
                <w:szCs w:val="22"/>
                <w:lang w:val="sk-SK"/>
              </w:rPr>
            </w:pPr>
            <w:r w:rsidRPr="00BD646C">
              <w:rPr>
                <w:b/>
                <w:bCs/>
                <w:szCs w:val="22"/>
                <w:lang w:val="sk-SK"/>
              </w:rPr>
              <w:t>Slovenská republika</w:t>
            </w:r>
          </w:p>
          <w:p w14:paraId="0405E55A" w14:textId="77777777" w:rsidR="008604D4" w:rsidRPr="00BD646C" w:rsidRDefault="00943743" w:rsidP="001F79B0">
            <w:pPr>
              <w:suppressAutoHyphens w:val="0"/>
              <w:rPr>
                <w:bCs/>
                <w:szCs w:val="22"/>
                <w:lang w:val="sk-SK"/>
              </w:rPr>
            </w:pPr>
            <w:r w:rsidRPr="00BD646C">
              <w:rPr>
                <w:bCs/>
                <w:szCs w:val="22"/>
                <w:lang w:val="sk-SK"/>
              </w:rPr>
              <w:t>AbbVie s.r.o.</w:t>
            </w:r>
          </w:p>
          <w:p w14:paraId="713C552E" w14:textId="77777777" w:rsidR="008604D4" w:rsidRPr="00BD646C" w:rsidRDefault="00943743" w:rsidP="001F79B0">
            <w:pPr>
              <w:suppressAutoHyphens w:val="0"/>
              <w:rPr>
                <w:bCs/>
                <w:szCs w:val="22"/>
                <w:lang w:val="sk-SK"/>
              </w:rPr>
            </w:pPr>
            <w:r w:rsidRPr="00BD646C">
              <w:rPr>
                <w:bCs/>
                <w:szCs w:val="22"/>
                <w:lang w:val="sk-SK"/>
              </w:rPr>
              <w:t>Tel: +421 2 5050 0777</w:t>
            </w:r>
          </w:p>
          <w:p w14:paraId="329CBB59" w14:textId="77777777" w:rsidR="008604D4" w:rsidRPr="00BD646C" w:rsidRDefault="008604D4" w:rsidP="001F79B0">
            <w:pPr>
              <w:suppressAutoHyphens w:val="0"/>
              <w:rPr>
                <w:bCs/>
                <w:szCs w:val="22"/>
                <w:lang w:val="sk-SK"/>
              </w:rPr>
            </w:pPr>
          </w:p>
        </w:tc>
      </w:tr>
      <w:tr w:rsidR="00011D2F" w14:paraId="51F2E86D" w14:textId="77777777" w:rsidTr="001F79B0">
        <w:trPr>
          <w:gridBefore w:val="1"/>
          <w:wBefore w:w="34" w:type="dxa"/>
        </w:trPr>
        <w:tc>
          <w:tcPr>
            <w:tcW w:w="4644" w:type="dxa"/>
            <w:gridSpan w:val="2"/>
          </w:tcPr>
          <w:p w14:paraId="4FDD20C2" w14:textId="77777777" w:rsidR="008604D4" w:rsidRPr="00BD646C" w:rsidRDefault="00943743" w:rsidP="001F79B0">
            <w:pPr>
              <w:suppressAutoHyphens w:val="0"/>
              <w:rPr>
                <w:b/>
                <w:bCs/>
                <w:szCs w:val="22"/>
                <w:lang w:val="it-IT"/>
              </w:rPr>
            </w:pPr>
            <w:r w:rsidRPr="00BD646C">
              <w:rPr>
                <w:b/>
                <w:bCs/>
                <w:szCs w:val="22"/>
                <w:lang w:val="it-IT"/>
              </w:rPr>
              <w:t>Italia</w:t>
            </w:r>
          </w:p>
          <w:p w14:paraId="713E905C" w14:textId="77777777" w:rsidR="008604D4" w:rsidRPr="00BD646C" w:rsidRDefault="00943743" w:rsidP="001F79B0">
            <w:pPr>
              <w:suppressAutoHyphens w:val="0"/>
              <w:rPr>
                <w:bCs/>
                <w:szCs w:val="22"/>
                <w:lang w:val="pt-PT"/>
              </w:rPr>
            </w:pPr>
            <w:r w:rsidRPr="00BD646C">
              <w:rPr>
                <w:bCs/>
                <w:szCs w:val="22"/>
                <w:lang w:val="pt-PT"/>
              </w:rPr>
              <w:t xml:space="preserve">AbbVie S.r.l. </w:t>
            </w:r>
          </w:p>
          <w:p w14:paraId="08350A1E" w14:textId="77777777" w:rsidR="008604D4" w:rsidRPr="00BD646C" w:rsidRDefault="00943743" w:rsidP="001F79B0">
            <w:pPr>
              <w:suppressAutoHyphens w:val="0"/>
              <w:rPr>
                <w:bCs/>
                <w:szCs w:val="22"/>
                <w:lang w:val="fi-FI"/>
              </w:rPr>
            </w:pPr>
            <w:r w:rsidRPr="00BD646C">
              <w:rPr>
                <w:bCs/>
                <w:szCs w:val="22"/>
                <w:lang w:val="fr-FR"/>
              </w:rPr>
              <w:t>Tel: +39 06 928921</w:t>
            </w:r>
          </w:p>
        </w:tc>
        <w:tc>
          <w:tcPr>
            <w:tcW w:w="4678" w:type="dxa"/>
          </w:tcPr>
          <w:p w14:paraId="75D1DB90" w14:textId="77777777" w:rsidR="008604D4" w:rsidRPr="00BD646C" w:rsidRDefault="00943743" w:rsidP="001F79B0">
            <w:pPr>
              <w:suppressAutoHyphens w:val="0"/>
              <w:rPr>
                <w:b/>
                <w:bCs/>
                <w:szCs w:val="22"/>
                <w:lang w:val="fi-FI"/>
              </w:rPr>
            </w:pPr>
            <w:r w:rsidRPr="00BD646C">
              <w:rPr>
                <w:b/>
                <w:bCs/>
                <w:szCs w:val="22"/>
                <w:lang w:val="fi-FI"/>
              </w:rPr>
              <w:t>Suomi/Finland</w:t>
            </w:r>
          </w:p>
          <w:p w14:paraId="0EE12C23" w14:textId="77777777" w:rsidR="008604D4" w:rsidRPr="00BD646C" w:rsidRDefault="00943743" w:rsidP="001F79B0">
            <w:pPr>
              <w:suppressAutoHyphens w:val="0"/>
              <w:rPr>
                <w:bCs/>
                <w:szCs w:val="22"/>
                <w:lang w:val="de-CH"/>
              </w:rPr>
            </w:pPr>
            <w:r w:rsidRPr="00BD646C">
              <w:rPr>
                <w:bCs/>
                <w:szCs w:val="22"/>
                <w:lang w:val="sk-SK"/>
              </w:rPr>
              <w:t>AbbVie Oy</w:t>
            </w:r>
          </w:p>
          <w:p w14:paraId="6F66E1E6" w14:textId="77777777" w:rsidR="008604D4" w:rsidRPr="00BD646C" w:rsidRDefault="00943743" w:rsidP="001F79B0">
            <w:pPr>
              <w:suppressAutoHyphens w:val="0"/>
              <w:rPr>
                <w:bCs/>
                <w:szCs w:val="22"/>
                <w:lang w:val="sk-SK"/>
              </w:rPr>
            </w:pPr>
            <w:r w:rsidRPr="00BD646C">
              <w:rPr>
                <w:bCs/>
                <w:szCs w:val="22"/>
                <w:lang w:val="sk-SK"/>
              </w:rPr>
              <w:t>Puh/Tel: +358 (0)10 2411 200</w:t>
            </w:r>
          </w:p>
          <w:p w14:paraId="58F534AE" w14:textId="77777777" w:rsidR="008604D4" w:rsidRPr="00BD646C" w:rsidRDefault="008604D4" w:rsidP="001F79B0">
            <w:pPr>
              <w:suppressAutoHyphens w:val="0"/>
              <w:rPr>
                <w:szCs w:val="22"/>
                <w:lang w:val="sk-SK"/>
              </w:rPr>
            </w:pPr>
          </w:p>
        </w:tc>
      </w:tr>
      <w:tr w:rsidR="00011D2F" w14:paraId="1E99EDDA" w14:textId="77777777" w:rsidTr="001F79B0">
        <w:trPr>
          <w:gridBefore w:val="1"/>
          <w:wBefore w:w="34" w:type="dxa"/>
          <w:cantSplit/>
          <w:trHeight w:val="887"/>
        </w:trPr>
        <w:tc>
          <w:tcPr>
            <w:tcW w:w="4644" w:type="dxa"/>
            <w:gridSpan w:val="2"/>
          </w:tcPr>
          <w:p w14:paraId="6ECB890B" w14:textId="77777777" w:rsidR="008604D4" w:rsidRPr="00BD646C" w:rsidRDefault="00943743" w:rsidP="001F79B0">
            <w:pPr>
              <w:suppressAutoHyphens w:val="0"/>
              <w:rPr>
                <w:b/>
                <w:bCs/>
                <w:szCs w:val="22"/>
                <w:lang w:val="el-GR"/>
              </w:rPr>
            </w:pPr>
            <w:r w:rsidRPr="00BD646C">
              <w:rPr>
                <w:b/>
                <w:bCs/>
                <w:szCs w:val="22"/>
                <w:lang w:val="el-GR"/>
              </w:rPr>
              <w:t>Κύπρος</w:t>
            </w:r>
          </w:p>
          <w:p w14:paraId="115556F9" w14:textId="77777777" w:rsidR="008604D4" w:rsidRPr="00BD646C" w:rsidRDefault="00943743" w:rsidP="001F79B0">
            <w:pPr>
              <w:suppressAutoHyphens w:val="0"/>
              <w:rPr>
                <w:bCs/>
                <w:szCs w:val="22"/>
                <w:lang w:val="el-GR"/>
              </w:rPr>
            </w:pPr>
            <w:r w:rsidRPr="00BD646C">
              <w:rPr>
                <w:bCs/>
                <w:szCs w:val="22"/>
                <w:lang w:val="sk-SK"/>
              </w:rPr>
              <w:t xml:space="preserve">Lifepharma (Z.A.M.) </w:t>
            </w:r>
            <w:r w:rsidRPr="00BD646C">
              <w:rPr>
                <w:bCs/>
                <w:szCs w:val="22"/>
                <w:lang w:val="it-IT"/>
              </w:rPr>
              <w:t>Ltd</w:t>
            </w:r>
          </w:p>
          <w:p w14:paraId="11F63832" w14:textId="77777777" w:rsidR="008604D4" w:rsidRPr="00BD646C" w:rsidRDefault="00943743" w:rsidP="001F79B0">
            <w:pPr>
              <w:suppressAutoHyphens w:val="0"/>
              <w:rPr>
                <w:bCs/>
                <w:szCs w:val="22"/>
                <w:lang w:val="lv-LV"/>
              </w:rPr>
            </w:pPr>
            <w:r w:rsidRPr="00BD646C">
              <w:rPr>
                <w:bCs/>
                <w:szCs w:val="22"/>
                <w:lang w:val="el-GR"/>
              </w:rPr>
              <w:t>Τηλ.: +357 22 34 74 40</w:t>
            </w:r>
          </w:p>
        </w:tc>
        <w:tc>
          <w:tcPr>
            <w:tcW w:w="4678" w:type="dxa"/>
          </w:tcPr>
          <w:p w14:paraId="2DD6904F" w14:textId="77777777" w:rsidR="008604D4" w:rsidRPr="00BD646C" w:rsidRDefault="00943743" w:rsidP="001F79B0">
            <w:pPr>
              <w:suppressAutoHyphens w:val="0"/>
              <w:rPr>
                <w:b/>
                <w:bCs/>
                <w:szCs w:val="22"/>
                <w:lang w:val="sk-SK"/>
              </w:rPr>
            </w:pPr>
            <w:r w:rsidRPr="00BD646C">
              <w:rPr>
                <w:b/>
                <w:bCs/>
                <w:szCs w:val="22"/>
                <w:lang w:val="sk-SK"/>
              </w:rPr>
              <w:t>Sverige</w:t>
            </w:r>
          </w:p>
          <w:p w14:paraId="1B6AFEBE" w14:textId="77777777" w:rsidR="008604D4" w:rsidRPr="00BD646C" w:rsidRDefault="00943743" w:rsidP="001F79B0">
            <w:pPr>
              <w:suppressAutoHyphens w:val="0"/>
              <w:rPr>
                <w:bCs/>
                <w:szCs w:val="22"/>
                <w:lang w:val="pt-PT"/>
              </w:rPr>
            </w:pPr>
            <w:r w:rsidRPr="00BD646C">
              <w:rPr>
                <w:bCs/>
                <w:szCs w:val="22"/>
                <w:lang w:val="pt-PT"/>
              </w:rPr>
              <w:t>AbbVie AB</w:t>
            </w:r>
          </w:p>
          <w:p w14:paraId="72BB82E8" w14:textId="77777777" w:rsidR="008604D4" w:rsidRPr="00BD646C" w:rsidRDefault="00943743" w:rsidP="001F79B0">
            <w:pPr>
              <w:suppressAutoHyphens w:val="0"/>
              <w:rPr>
                <w:bCs/>
                <w:szCs w:val="22"/>
                <w:lang w:val="sk-SK"/>
              </w:rPr>
            </w:pPr>
            <w:r w:rsidRPr="00BD646C">
              <w:rPr>
                <w:bCs/>
                <w:szCs w:val="22"/>
                <w:lang w:val="da-DK"/>
              </w:rPr>
              <w:t>Tel: +46 (0)8 684 44 600</w:t>
            </w:r>
          </w:p>
        </w:tc>
      </w:tr>
      <w:tr w:rsidR="00011D2F" w14:paraId="5F9733E1" w14:textId="77777777" w:rsidTr="001F79B0">
        <w:trPr>
          <w:gridBefore w:val="1"/>
          <w:wBefore w:w="34" w:type="dxa"/>
          <w:cantSplit/>
          <w:trHeight w:val="761"/>
        </w:trPr>
        <w:tc>
          <w:tcPr>
            <w:tcW w:w="4644" w:type="dxa"/>
            <w:gridSpan w:val="2"/>
          </w:tcPr>
          <w:p w14:paraId="12468982" w14:textId="77777777" w:rsidR="008604D4" w:rsidRPr="00BD646C" w:rsidRDefault="00943743" w:rsidP="001F79B0">
            <w:pPr>
              <w:suppressAutoHyphens w:val="0"/>
              <w:rPr>
                <w:b/>
                <w:bCs/>
                <w:szCs w:val="22"/>
                <w:lang w:val="lv-LV"/>
              </w:rPr>
            </w:pPr>
            <w:r w:rsidRPr="00BD646C">
              <w:rPr>
                <w:b/>
                <w:bCs/>
                <w:szCs w:val="22"/>
                <w:lang w:val="lv-LV"/>
              </w:rPr>
              <w:t>Latvija</w:t>
            </w:r>
          </w:p>
          <w:p w14:paraId="3715F461" w14:textId="77777777" w:rsidR="008604D4" w:rsidRPr="00BD646C" w:rsidRDefault="00943743" w:rsidP="001F79B0">
            <w:pPr>
              <w:suppressAutoHyphens w:val="0"/>
              <w:rPr>
                <w:bCs/>
                <w:szCs w:val="22"/>
                <w:lang w:val="lv-LV"/>
              </w:rPr>
            </w:pPr>
            <w:r w:rsidRPr="00BD646C">
              <w:rPr>
                <w:bCs/>
                <w:szCs w:val="22"/>
                <w:lang w:val="lv-LV"/>
              </w:rPr>
              <w:t xml:space="preserve">AbbVie SIA </w:t>
            </w:r>
          </w:p>
          <w:p w14:paraId="604CF0E6" w14:textId="77777777" w:rsidR="008604D4" w:rsidRPr="00BD646C" w:rsidRDefault="00943743" w:rsidP="001F79B0">
            <w:pPr>
              <w:suppressAutoHyphens w:val="0"/>
              <w:rPr>
                <w:bCs/>
                <w:szCs w:val="22"/>
                <w:lang w:val="lv-LV"/>
              </w:rPr>
            </w:pPr>
            <w:r w:rsidRPr="00BD646C">
              <w:rPr>
                <w:bCs/>
                <w:szCs w:val="22"/>
                <w:lang w:val="lv-LV"/>
              </w:rPr>
              <w:t>Tel: +371 67605000</w:t>
            </w:r>
          </w:p>
        </w:tc>
        <w:tc>
          <w:tcPr>
            <w:tcW w:w="4678" w:type="dxa"/>
          </w:tcPr>
          <w:p w14:paraId="5A7542F9" w14:textId="647406E7" w:rsidR="008604D4" w:rsidRPr="00BD646C" w:rsidRDefault="008604D4" w:rsidP="001F79B0">
            <w:pPr>
              <w:suppressAutoHyphens w:val="0"/>
              <w:rPr>
                <w:b/>
                <w:bCs/>
                <w:szCs w:val="22"/>
                <w:lang w:val="sk-SK"/>
              </w:rPr>
            </w:pPr>
          </w:p>
        </w:tc>
      </w:tr>
    </w:tbl>
    <w:p w14:paraId="46AE2E62" w14:textId="77777777" w:rsidR="002942B5" w:rsidRPr="00183B5F" w:rsidRDefault="002942B5" w:rsidP="004062FE">
      <w:pPr>
        <w:spacing w:line="240" w:lineRule="auto"/>
        <w:ind w:right="-2"/>
        <w:rPr>
          <w:b/>
          <w:szCs w:val="22"/>
        </w:rPr>
      </w:pPr>
    </w:p>
    <w:p w14:paraId="233631CE" w14:textId="77777777" w:rsidR="002942B5" w:rsidRPr="00183B5F" w:rsidRDefault="00943743" w:rsidP="004062FE">
      <w:pPr>
        <w:spacing w:line="240" w:lineRule="auto"/>
        <w:ind w:right="-2"/>
        <w:rPr>
          <w:b/>
          <w:szCs w:val="22"/>
        </w:rPr>
      </w:pPr>
      <w:r w:rsidRPr="00183B5F">
        <w:rPr>
          <w:b/>
          <w:szCs w:val="22"/>
        </w:rPr>
        <w:t xml:space="preserve">A betegtájékoztató </w:t>
      </w:r>
      <w:r w:rsidRPr="00183B5F">
        <w:rPr>
          <w:b/>
        </w:rPr>
        <w:t xml:space="preserve">legutóbbi felülvizsgálatának </w:t>
      </w:r>
      <w:r w:rsidRPr="00183B5F">
        <w:rPr>
          <w:b/>
          <w:szCs w:val="22"/>
        </w:rPr>
        <w:t>dátuma:</w:t>
      </w:r>
    </w:p>
    <w:p w14:paraId="71217B42" w14:textId="77777777" w:rsidR="002942B5" w:rsidRPr="00183B5F" w:rsidRDefault="002942B5" w:rsidP="004062FE">
      <w:pPr>
        <w:spacing w:line="240" w:lineRule="auto"/>
        <w:ind w:right="-3"/>
      </w:pPr>
    </w:p>
    <w:p w14:paraId="2C82817F" w14:textId="70B3F434" w:rsidR="002942B5" w:rsidRPr="00183B5F" w:rsidRDefault="00943743" w:rsidP="004062FE">
      <w:pPr>
        <w:spacing w:line="240" w:lineRule="auto"/>
        <w:ind w:right="-3"/>
        <w:rPr>
          <w:i/>
        </w:rPr>
      </w:pPr>
      <w:r w:rsidRPr="00183B5F">
        <w:rPr>
          <w:snapToGrid w:val="0"/>
          <w:lang w:eastAsia="en-GB"/>
        </w:rPr>
        <w:t>A gyógyszerről részletes információ az Európai Gyógyszerügynökség internetes honlapján (</w:t>
      </w:r>
      <w:r w:rsidRPr="00183B5F">
        <w:rPr>
          <w:color w:val="0000FF"/>
        </w:rPr>
        <w:t>http</w:t>
      </w:r>
      <w:ins w:id="14009" w:author="AbbVie_HU_03" w:date="2025-05-14T16:47:00Z">
        <w:r w:rsidR="005F356A">
          <w:rPr>
            <w:color w:val="0000FF"/>
          </w:rPr>
          <w:t>s</w:t>
        </w:r>
      </w:ins>
      <w:r w:rsidRPr="00183B5F">
        <w:rPr>
          <w:color w:val="0000FF"/>
        </w:rPr>
        <w:t>://www.ema.europa.eu/</w:t>
      </w:r>
      <w:r w:rsidRPr="00183B5F">
        <w:rPr>
          <w:i/>
          <w:iCs/>
          <w:snapToGrid w:val="0"/>
          <w:lang w:eastAsia="en-GB"/>
        </w:rPr>
        <w:t xml:space="preserve">) </w:t>
      </w:r>
      <w:r w:rsidRPr="00183B5F">
        <w:rPr>
          <w:snapToGrid w:val="0"/>
          <w:lang w:eastAsia="en-GB"/>
        </w:rPr>
        <w:t>található</w:t>
      </w:r>
      <w:r w:rsidRPr="00183B5F">
        <w:rPr>
          <w:i/>
          <w:iCs/>
          <w:snapToGrid w:val="0"/>
          <w:lang w:eastAsia="en-GB"/>
        </w:rPr>
        <w:t>.</w:t>
      </w:r>
    </w:p>
    <w:p w14:paraId="25AEBBFB" w14:textId="77777777" w:rsidR="002942B5" w:rsidRPr="00183B5F" w:rsidRDefault="002942B5">
      <w:pPr>
        <w:pStyle w:val="No-numheading3Agency"/>
        <w:spacing w:before="0" w:after="0"/>
        <w:rPr>
          <w:rFonts w:ascii="Times New Roman" w:hAnsi="Times New Roman"/>
          <w:b w:val="0"/>
          <w:bCs/>
          <w:szCs w:val="24"/>
          <w:lang w:val="hu-HU"/>
        </w:rPr>
      </w:pPr>
    </w:p>
    <w:p w14:paraId="3B6E53AA" w14:textId="77777777" w:rsidR="00582D6B" w:rsidRPr="00183B5F" w:rsidRDefault="00943743">
      <w:pPr>
        <w:numPr>
          <w:ilvl w:val="12"/>
          <w:numId w:val="0"/>
        </w:numPr>
        <w:spacing w:line="240" w:lineRule="auto"/>
        <w:ind w:right="-2"/>
        <w:rPr>
          <w:bCs/>
          <w:color w:val="000000" w:themeColor="text1"/>
          <w:szCs w:val="22"/>
        </w:rPr>
      </w:pPr>
      <w:r w:rsidRPr="00183B5F">
        <w:rPr>
          <w:bCs/>
          <w:color w:val="000000" w:themeColor="text1"/>
          <w:szCs w:val="22"/>
        </w:rPr>
        <w:t xml:space="preserve">A betegtájékoztató meghallgatásának, </w:t>
      </w:r>
      <w:r w:rsidRPr="00183B5F">
        <w:rPr>
          <w:bCs/>
          <w:color w:val="000000" w:themeColor="text1"/>
          <w:szCs w:val="22"/>
          <w:highlight w:val="lightGray"/>
          <w:shd w:val="clear" w:color="auto" w:fill="A6A6A6" w:themeFill="background1" w:themeFillShade="A6"/>
        </w:rPr>
        <w:t>&lt;</w:t>
      </w:r>
      <w:r w:rsidRPr="00183B5F">
        <w:rPr>
          <w:bCs/>
          <w:color w:val="000000" w:themeColor="text1"/>
          <w:szCs w:val="22"/>
          <w:highlight w:val="lightGray"/>
          <w:shd w:val="clear" w:color="auto" w:fill="A6A6A6" w:themeFill="background1" w:themeFillShade="A6"/>
        </w:rPr>
        <w:t>Braille írással</w:t>
      </w:r>
      <w:r w:rsidRPr="00183B5F">
        <w:rPr>
          <w:bCs/>
          <w:color w:val="000000" w:themeColor="text1"/>
          <w:szCs w:val="22"/>
          <w:highlight w:val="lightGray"/>
          <w:shd w:val="clear" w:color="auto" w:fill="A6A6A6" w:themeFill="background1" w:themeFillShade="A6"/>
        </w:rPr>
        <w:t>&gt;,</w:t>
      </w:r>
      <w:r w:rsidRPr="00183B5F">
        <w:rPr>
          <w:bCs/>
          <w:color w:val="000000" w:themeColor="text1"/>
          <w:szCs w:val="22"/>
          <w:highlight w:val="lightGray"/>
          <w:shd w:val="clear" w:color="auto" w:fill="A6A6A6" w:themeFill="background1" w:themeFillShade="A6"/>
        </w:rPr>
        <w:t xml:space="preserve"> </w:t>
      </w:r>
      <w:r w:rsidRPr="00183B5F">
        <w:rPr>
          <w:bCs/>
          <w:color w:val="000000" w:themeColor="text1"/>
          <w:szCs w:val="22"/>
          <w:highlight w:val="lightGray"/>
          <w:shd w:val="clear" w:color="auto" w:fill="A6A6A6" w:themeFill="background1" w:themeFillShade="A6"/>
        </w:rPr>
        <w:t>&lt;nagyméretű betűkkel&gt; készült vagy &lt;audio&gt;</w:t>
      </w:r>
      <w:r w:rsidRPr="00183B5F">
        <w:rPr>
          <w:bCs/>
          <w:color w:val="000000" w:themeColor="text1"/>
          <w:szCs w:val="22"/>
          <w:highlight w:val="lightGray"/>
          <w:shd w:val="clear" w:color="auto" w:fill="A6A6A6" w:themeFill="background1" w:themeFillShade="A6"/>
        </w:rPr>
        <w:t xml:space="preserve"> változatának</w:t>
      </w:r>
      <w:r w:rsidRPr="00183B5F">
        <w:rPr>
          <w:bCs/>
          <w:color w:val="000000" w:themeColor="text1"/>
          <w:szCs w:val="22"/>
        </w:rPr>
        <w:t xml:space="preserve"> igénylése érdekében forduljon a forgalomba hozatali engedély jogosultjának helyi képviselőjéhez.</w:t>
      </w:r>
    </w:p>
    <w:p w14:paraId="128C858A" w14:textId="77777777" w:rsidR="002942B5" w:rsidRPr="00183B5F" w:rsidRDefault="002942B5">
      <w:pPr>
        <w:pStyle w:val="No-numheading3Agency"/>
        <w:spacing w:before="0" w:after="0"/>
        <w:rPr>
          <w:rFonts w:ascii="Times New Roman" w:hAnsi="Times New Roman"/>
          <w:szCs w:val="24"/>
          <w:lang w:val="hu-HU"/>
        </w:rPr>
      </w:pPr>
    </w:p>
    <w:p w14:paraId="33EBBE60" w14:textId="77777777" w:rsidR="002942B5" w:rsidRPr="00183B5F" w:rsidRDefault="00943743" w:rsidP="007B1AD3">
      <w:pPr>
        <w:pStyle w:val="No-numheading3Agency"/>
        <w:spacing w:before="0" w:after="0"/>
        <w:rPr>
          <w:rFonts w:ascii="Times New Roman" w:hAnsi="Times New Roman"/>
          <w:szCs w:val="24"/>
          <w:lang w:val="hu-HU"/>
        </w:rPr>
      </w:pPr>
      <w:r w:rsidRPr="00183B5F">
        <w:rPr>
          <w:rFonts w:ascii="Times New Roman" w:hAnsi="Times New Roman"/>
          <w:szCs w:val="24"/>
          <w:lang w:val="hu-HU"/>
        </w:rPr>
        <w:t>7.</w:t>
      </w:r>
      <w:r w:rsidRPr="00183B5F">
        <w:rPr>
          <w:rFonts w:ascii="Times New Roman" w:hAnsi="Times New Roman"/>
          <w:szCs w:val="24"/>
          <w:lang w:val="hu-HU"/>
        </w:rPr>
        <w:tab/>
      </w:r>
      <w:r w:rsidR="007B1AD3" w:rsidRPr="00183B5F">
        <w:rPr>
          <w:rFonts w:ascii="Times New Roman" w:hAnsi="Times New Roman"/>
          <w:szCs w:val="24"/>
          <w:lang w:val="hu-HU"/>
        </w:rPr>
        <w:t>A Humira beadása</w:t>
      </w:r>
    </w:p>
    <w:p w14:paraId="75F32809" w14:textId="77777777" w:rsidR="002942B5" w:rsidRPr="00183B5F" w:rsidRDefault="002942B5">
      <w:pPr>
        <w:pStyle w:val="No-numheading3Agency"/>
        <w:spacing w:before="0" w:after="0"/>
        <w:rPr>
          <w:rFonts w:ascii="Times New Roman" w:hAnsi="Times New Roman"/>
          <w:szCs w:val="24"/>
          <w:lang w:val="hu-HU"/>
        </w:rPr>
      </w:pPr>
    </w:p>
    <w:p w14:paraId="0C53E632" w14:textId="77777777" w:rsidR="002942B5" w:rsidRPr="00183B5F" w:rsidRDefault="00943743" w:rsidP="004062FE">
      <w:pPr>
        <w:numPr>
          <w:ilvl w:val="0"/>
          <w:numId w:val="76"/>
        </w:numPr>
        <w:suppressAutoHyphens w:val="0"/>
        <w:spacing w:line="240" w:lineRule="auto"/>
        <w:ind w:right="-3"/>
        <w:rPr>
          <w:szCs w:val="22"/>
        </w:rPr>
      </w:pPr>
      <w:r w:rsidRPr="00183B5F">
        <w:rPr>
          <w:szCs w:val="22"/>
        </w:rPr>
        <w:t xml:space="preserve">A következő útmutató azt magyarázza el, hogyan adja be magának a Humira </w:t>
      </w:r>
      <w:r w:rsidR="003358ED" w:rsidRPr="00183B5F">
        <w:rPr>
          <w:szCs w:val="22"/>
        </w:rPr>
        <w:t xml:space="preserve">szubkután </w:t>
      </w:r>
      <w:r w:rsidRPr="00183B5F">
        <w:rPr>
          <w:szCs w:val="22"/>
        </w:rPr>
        <w:t xml:space="preserve">injekciót előretöltött injekciós tollal. Kérjük, figyelmesen olvassa el az útmutatót, és kövesse lépésről-lépésre. </w:t>
      </w:r>
    </w:p>
    <w:p w14:paraId="09B2C8A3" w14:textId="77777777" w:rsidR="002942B5" w:rsidRPr="00183B5F" w:rsidRDefault="002942B5" w:rsidP="004062FE">
      <w:pPr>
        <w:suppressAutoHyphens w:val="0"/>
        <w:spacing w:line="240" w:lineRule="auto"/>
        <w:ind w:right="-3"/>
        <w:rPr>
          <w:szCs w:val="22"/>
        </w:rPr>
      </w:pPr>
    </w:p>
    <w:p w14:paraId="2AC7B8BC" w14:textId="77777777" w:rsidR="002942B5" w:rsidRPr="00183B5F" w:rsidRDefault="00943743" w:rsidP="004062FE">
      <w:pPr>
        <w:numPr>
          <w:ilvl w:val="0"/>
          <w:numId w:val="76"/>
        </w:numPr>
        <w:suppressAutoHyphens w:val="0"/>
        <w:spacing w:line="240" w:lineRule="auto"/>
        <w:ind w:right="-3"/>
        <w:rPr>
          <w:szCs w:val="22"/>
        </w:rPr>
      </w:pPr>
      <w:r w:rsidRPr="00183B5F">
        <w:rPr>
          <w:szCs w:val="22"/>
        </w:rPr>
        <w:t xml:space="preserve">Az öninjekciózás technikájára kezelőorvosa, a nővér, vagy gyógyszerésze tanítja meg Önt. </w:t>
      </w:r>
    </w:p>
    <w:p w14:paraId="4B06BB85" w14:textId="77777777" w:rsidR="002942B5" w:rsidRPr="00183B5F" w:rsidRDefault="002942B5" w:rsidP="004062FE">
      <w:pPr>
        <w:suppressAutoHyphens w:val="0"/>
        <w:spacing w:line="240" w:lineRule="auto"/>
        <w:ind w:right="-3"/>
        <w:rPr>
          <w:szCs w:val="22"/>
        </w:rPr>
      </w:pPr>
    </w:p>
    <w:p w14:paraId="5C54B222" w14:textId="77777777" w:rsidR="002942B5" w:rsidRPr="00183B5F" w:rsidRDefault="00943743" w:rsidP="004062FE">
      <w:pPr>
        <w:numPr>
          <w:ilvl w:val="0"/>
          <w:numId w:val="76"/>
        </w:numPr>
        <w:suppressAutoHyphens w:val="0"/>
        <w:spacing w:line="240" w:lineRule="auto"/>
        <w:ind w:right="-3"/>
        <w:rPr>
          <w:szCs w:val="22"/>
        </w:rPr>
      </w:pPr>
      <w:r w:rsidRPr="00183B5F">
        <w:rPr>
          <w:szCs w:val="22"/>
        </w:rPr>
        <w:t xml:space="preserve">Ne próbálkozzon az öninjekciózással, amíg nem biztos abban, hogyan kell elkészíteni és beadni az injekciót. </w:t>
      </w:r>
    </w:p>
    <w:p w14:paraId="3842B3DE" w14:textId="77777777" w:rsidR="002942B5" w:rsidRPr="00183B5F" w:rsidRDefault="002942B5" w:rsidP="004062FE">
      <w:pPr>
        <w:suppressAutoHyphens w:val="0"/>
        <w:spacing w:line="240" w:lineRule="auto"/>
        <w:ind w:right="-3"/>
        <w:rPr>
          <w:szCs w:val="22"/>
        </w:rPr>
      </w:pPr>
    </w:p>
    <w:p w14:paraId="71FB2C9A" w14:textId="77777777" w:rsidR="002942B5" w:rsidRPr="00183B5F" w:rsidRDefault="00943743" w:rsidP="004062FE">
      <w:pPr>
        <w:numPr>
          <w:ilvl w:val="0"/>
          <w:numId w:val="76"/>
        </w:numPr>
        <w:suppressAutoHyphens w:val="0"/>
        <w:spacing w:line="240" w:lineRule="auto"/>
        <w:ind w:right="-3"/>
        <w:rPr>
          <w:szCs w:val="22"/>
        </w:rPr>
      </w:pPr>
      <w:r w:rsidRPr="00183B5F">
        <w:rPr>
          <w:szCs w:val="22"/>
        </w:rPr>
        <w:t>Megfelelő gyakorlás után saját maga vagy más személy (</w:t>
      </w:r>
      <w:r w:rsidR="00E05701" w:rsidRPr="00183B5F">
        <w:rPr>
          <w:bCs/>
          <w:szCs w:val="22"/>
        </w:rPr>
        <w:t>például</w:t>
      </w:r>
      <w:r w:rsidRPr="00183B5F">
        <w:rPr>
          <w:szCs w:val="22"/>
        </w:rPr>
        <w:t xml:space="preserve"> családtag, ismerős) is beadhatja az injekciót.</w:t>
      </w:r>
    </w:p>
    <w:p w14:paraId="4BEB11CC" w14:textId="77777777" w:rsidR="002942B5" w:rsidRPr="00183B5F" w:rsidRDefault="002942B5" w:rsidP="004062FE">
      <w:pPr>
        <w:suppressAutoHyphens w:val="0"/>
        <w:spacing w:line="240" w:lineRule="auto"/>
        <w:ind w:left="720" w:right="-3"/>
        <w:rPr>
          <w:szCs w:val="22"/>
        </w:rPr>
      </w:pPr>
    </w:p>
    <w:p w14:paraId="141690B6" w14:textId="77777777" w:rsidR="002942B5" w:rsidRPr="00183B5F" w:rsidRDefault="00943743" w:rsidP="004062FE">
      <w:pPr>
        <w:numPr>
          <w:ilvl w:val="0"/>
          <w:numId w:val="76"/>
        </w:numPr>
        <w:suppressAutoHyphens w:val="0"/>
        <w:spacing w:line="240" w:lineRule="auto"/>
        <w:ind w:right="-3"/>
        <w:rPr>
          <w:szCs w:val="22"/>
        </w:rPr>
      </w:pPr>
      <w:r w:rsidRPr="00183B5F">
        <w:rPr>
          <w:szCs w:val="22"/>
        </w:rPr>
        <w:t xml:space="preserve">Minden egyes előretöltött </w:t>
      </w:r>
      <w:r w:rsidR="00612462" w:rsidRPr="00183B5F">
        <w:rPr>
          <w:szCs w:val="22"/>
        </w:rPr>
        <w:t>injekciós tollat</w:t>
      </w:r>
      <w:r w:rsidRPr="00183B5F">
        <w:rPr>
          <w:szCs w:val="22"/>
        </w:rPr>
        <w:t xml:space="preserve"> csak egyszeri beadásra használja!</w:t>
      </w:r>
    </w:p>
    <w:p w14:paraId="40BA422D" w14:textId="77777777" w:rsidR="002942B5" w:rsidRPr="00183B5F" w:rsidRDefault="002942B5" w:rsidP="004062FE">
      <w:pPr>
        <w:suppressAutoHyphens w:val="0"/>
        <w:spacing w:line="240" w:lineRule="auto"/>
        <w:ind w:right="-3"/>
        <w:rPr>
          <w:szCs w:val="22"/>
        </w:rPr>
      </w:pPr>
    </w:p>
    <w:p w14:paraId="44898AB2" w14:textId="77777777" w:rsidR="002942B5" w:rsidRPr="00183B5F" w:rsidRDefault="00943743" w:rsidP="004062FE">
      <w:pPr>
        <w:keepNext/>
        <w:suppressAutoHyphens w:val="0"/>
        <w:spacing w:line="240" w:lineRule="auto"/>
        <w:rPr>
          <w:b/>
          <w:bCs/>
          <w:szCs w:val="22"/>
        </w:rPr>
      </w:pPr>
      <w:r w:rsidRPr="00183B5F">
        <w:rPr>
          <w:b/>
          <w:bCs/>
          <w:szCs w:val="22"/>
        </w:rPr>
        <w:t>Humira előretöltött injekciós toll</w:t>
      </w:r>
    </w:p>
    <w:p w14:paraId="6B9A9A0A" w14:textId="77777777" w:rsidR="002942B5" w:rsidRPr="00183B5F" w:rsidRDefault="002942B5" w:rsidP="004062FE">
      <w:pPr>
        <w:keepNext/>
        <w:suppressAutoHyphens w:val="0"/>
        <w:spacing w:line="240" w:lineRule="auto"/>
        <w:rPr>
          <w:b/>
          <w:bCs/>
          <w:szCs w:val="22"/>
        </w:rPr>
      </w:pPr>
    </w:p>
    <w:p w14:paraId="2514677F" w14:textId="77777777" w:rsidR="002942B5" w:rsidRPr="00183B5F" w:rsidRDefault="00943743">
      <w:pPr>
        <w:pStyle w:val="EMEANormal"/>
        <w:keepNext/>
        <w:rPr>
          <w:b/>
          <w:lang w:val="hu-HU"/>
        </w:rPr>
      </w:pPr>
      <w:r w:rsidRPr="00183B5F">
        <w:rPr>
          <w:b/>
          <w:lang w:val="hu-HU"/>
        </w:rPr>
        <w:t>Szürke kupak (1)     Fehér tűvédő hüvely      Fehér nyíl                                Szilvakék színű kupak (2)</w:t>
      </w:r>
    </w:p>
    <w:p w14:paraId="1AD34257" w14:textId="77777777" w:rsidR="002942B5" w:rsidRPr="00183B5F" w:rsidRDefault="00943743">
      <w:pPr>
        <w:pStyle w:val="EMEANormal"/>
        <w:keepNext/>
        <w:rPr>
          <w:lang w:val="hu-HU"/>
        </w:rPr>
      </w:pPr>
      <w:r w:rsidRPr="00FB267A">
        <w:rPr>
          <w:noProof/>
          <w:lang w:val="en-GB"/>
        </w:rPr>
        <w:drawing>
          <wp:inline distT="0" distB="0" distL="0" distR="0" wp14:anchorId="4FF91B34" wp14:editId="2295680B">
            <wp:extent cx="5883910" cy="1431290"/>
            <wp:effectExtent l="0" t="0" r="2540" b="0"/>
            <wp:docPr id="1" name="Picture 1" descr="HUMIRAPE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0" descr="HUMIRAPEN_grey"/>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5883910" cy="1431290"/>
                    </a:xfrm>
                    <a:prstGeom prst="rect">
                      <a:avLst/>
                    </a:prstGeom>
                    <a:noFill/>
                    <a:ln>
                      <a:noFill/>
                    </a:ln>
                  </pic:spPr>
                </pic:pic>
              </a:graphicData>
            </a:graphic>
          </wp:inline>
        </w:drawing>
      </w:r>
    </w:p>
    <w:p w14:paraId="35A4B6DB" w14:textId="77777777" w:rsidR="002942B5" w:rsidRPr="00183B5F" w:rsidRDefault="00943743">
      <w:pPr>
        <w:pStyle w:val="EMEANormal"/>
        <w:rPr>
          <w:b/>
          <w:lang w:val="hu-HU"/>
        </w:rPr>
      </w:pPr>
      <w:r w:rsidRPr="00183B5F">
        <w:rPr>
          <w:b/>
          <w:lang w:val="hu-HU"/>
        </w:rPr>
        <w:t xml:space="preserve">                                 Tű                       Ablak                                 Szilvakék indítógomb     </w:t>
      </w:r>
    </w:p>
    <w:p w14:paraId="0B07D2B1" w14:textId="77777777" w:rsidR="002942B5" w:rsidRPr="00183B5F" w:rsidRDefault="00943743">
      <w:pPr>
        <w:pStyle w:val="EMEANormal"/>
        <w:rPr>
          <w:b/>
          <w:lang w:val="hu-HU"/>
        </w:rPr>
      </w:pPr>
      <w:r w:rsidRPr="00183B5F">
        <w:rPr>
          <w:b/>
          <w:lang w:val="hu-HU"/>
        </w:rPr>
        <w:t xml:space="preserve">           </w:t>
      </w:r>
    </w:p>
    <w:p w14:paraId="462A8FB1" w14:textId="77777777" w:rsidR="002942B5" w:rsidRPr="00183B5F" w:rsidRDefault="00943743">
      <w:pPr>
        <w:pStyle w:val="EMEAHeadingLeaflet"/>
        <w:keepNext/>
        <w:spacing w:beforeLines="0" w:before="0" w:afterLines="0" w:after="0"/>
        <w:rPr>
          <w:rFonts w:ascii="Times New Roman" w:hAnsi="Times New Roman"/>
          <w:lang w:val="hu-HU"/>
        </w:rPr>
      </w:pPr>
      <w:r w:rsidRPr="00183B5F">
        <w:rPr>
          <w:rFonts w:ascii="Times New Roman" w:hAnsi="Times New Roman"/>
          <w:lang w:val="hu-HU"/>
        </w:rPr>
        <w:t>Ne használja az előretöltött injekciós tollat és hívja kezelőorvosát vagy gyógyszerészét, ha:</w:t>
      </w:r>
    </w:p>
    <w:p w14:paraId="69D74666" w14:textId="77777777" w:rsidR="00D44B2D" w:rsidRPr="00183B5F" w:rsidRDefault="00D44B2D">
      <w:pPr>
        <w:pStyle w:val="EMEANormal"/>
        <w:keepNext/>
        <w:rPr>
          <w:lang w:val="hu-HU"/>
        </w:rPr>
      </w:pPr>
    </w:p>
    <w:p w14:paraId="02B4B3BD" w14:textId="77777777" w:rsidR="002942B5" w:rsidRPr="00183B5F" w:rsidRDefault="00943743">
      <w:pPr>
        <w:pStyle w:val="EMEAHeadingLeaflet"/>
        <w:keepNext/>
        <w:numPr>
          <w:ilvl w:val="0"/>
          <w:numId w:val="119"/>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b w:val="0"/>
          <w:lang w:val="hu-HU"/>
        </w:rPr>
        <w:t>a folyadék zavaros, elszíneződött vagy pelyhes csapadékot vagy lebegő részecskéket tartalmaz</w:t>
      </w:r>
    </w:p>
    <w:p w14:paraId="696016B9" w14:textId="77777777" w:rsidR="002942B5" w:rsidRPr="00183B5F" w:rsidRDefault="00943743">
      <w:pPr>
        <w:pStyle w:val="EMEAHeadingLeaflet"/>
        <w:keepNext/>
        <w:numPr>
          <w:ilvl w:val="0"/>
          <w:numId w:val="119"/>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b w:val="0"/>
          <w:lang w:val="hu-HU"/>
        </w:rPr>
        <w:t>a lejárati idő (EXP) elmúlt</w:t>
      </w:r>
    </w:p>
    <w:p w14:paraId="2654B8D6" w14:textId="77777777" w:rsidR="002942B5" w:rsidRPr="00183B5F" w:rsidRDefault="00943743">
      <w:pPr>
        <w:pStyle w:val="EMEAHeadingLeaflet"/>
        <w:keepNext/>
        <w:numPr>
          <w:ilvl w:val="0"/>
          <w:numId w:val="119"/>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b w:val="0"/>
          <w:lang w:val="hu-HU"/>
        </w:rPr>
        <w:t>a folyadék megfagyott vagy közvetlen napfénynek volt kitéve</w:t>
      </w:r>
    </w:p>
    <w:p w14:paraId="1B43BD5D" w14:textId="77777777" w:rsidR="002942B5" w:rsidRPr="00183B5F" w:rsidRDefault="00943743">
      <w:pPr>
        <w:pStyle w:val="EMEAHeadingLeaflet"/>
        <w:keepNext/>
        <w:numPr>
          <w:ilvl w:val="0"/>
          <w:numId w:val="119"/>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b w:val="0"/>
          <w:lang w:val="hu-HU"/>
        </w:rPr>
        <w:t>az előretöltött injekciós toll leesett vagy eltörött</w:t>
      </w:r>
    </w:p>
    <w:p w14:paraId="10C4678A" w14:textId="77777777" w:rsidR="002942B5" w:rsidRPr="00183B5F" w:rsidRDefault="002942B5">
      <w:pPr>
        <w:pStyle w:val="EMEANormal"/>
        <w:rPr>
          <w:lang w:val="hu-HU"/>
        </w:rPr>
      </w:pPr>
    </w:p>
    <w:p w14:paraId="59C4C8F0" w14:textId="77777777" w:rsidR="002942B5" w:rsidRPr="00183B5F" w:rsidRDefault="00943743" w:rsidP="004062FE">
      <w:pPr>
        <w:pStyle w:val="EMEAHeadingLeaflet"/>
        <w:keepNext/>
        <w:tabs>
          <w:tab w:val="clear" w:pos="562"/>
          <w:tab w:val="left" w:pos="0"/>
        </w:tabs>
        <w:spacing w:beforeLines="0" w:before="0" w:afterLines="0" w:after="0"/>
        <w:rPr>
          <w:rFonts w:ascii="Times New Roman" w:hAnsi="Times New Roman"/>
          <w:lang w:val="hu-HU"/>
        </w:rPr>
      </w:pPr>
      <w:r w:rsidRPr="00183B5F">
        <w:rPr>
          <w:szCs w:val="22"/>
          <w:lang w:val="hu-HU"/>
        </w:rPr>
        <w:t>A kupakokat ne távolítsa el, csak közvetlenül az injekció beadása előtt.</w:t>
      </w:r>
      <w:r w:rsidRPr="00183B5F">
        <w:rPr>
          <w:rFonts w:ascii="Times New Roman" w:hAnsi="Times New Roman"/>
          <w:lang w:val="hu-HU"/>
        </w:rPr>
        <w:t xml:space="preserve"> A </w:t>
      </w:r>
      <w:r w:rsidR="00986C88" w:rsidRPr="00183B5F">
        <w:rPr>
          <w:rFonts w:ascii="Times New Roman" w:hAnsi="Times New Roman"/>
          <w:lang w:val="hu-HU"/>
        </w:rPr>
        <w:t xml:space="preserve">Humira </w:t>
      </w:r>
      <w:r w:rsidRPr="00183B5F">
        <w:rPr>
          <w:rFonts w:ascii="Times New Roman" w:hAnsi="Times New Roman"/>
          <w:lang w:val="hu-HU"/>
        </w:rPr>
        <w:t>gyermekektől elzárva tartandó!</w:t>
      </w:r>
    </w:p>
    <w:p w14:paraId="6D5D74AE" w14:textId="77777777" w:rsidR="002942B5" w:rsidRPr="00183B5F" w:rsidRDefault="002942B5">
      <w:pPr>
        <w:pStyle w:val="EMEANormal"/>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011D2F" w14:paraId="7C5F4184" w14:textId="77777777" w:rsidTr="002942B5">
        <w:tc>
          <w:tcPr>
            <w:tcW w:w="9287" w:type="dxa"/>
            <w:gridSpan w:val="2"/>
            <w:tcBorders>
              <w:bottom w:val="single" w:sz="4" w:space="0" w:color="auto"/>
            </w:tcBorders>
          </w:tcPr>
          <w:p w14:paraId="35521AB7" w14:textId="77777777" w:rsidR="002942B5" w:rsidRPr="00183B5F" w:rsidRDefault="00943743">
            <w:pPr>
              <w:pStyle w:val="EMEAHeadingLeaflet"/>
              <w:spacing w:beforeLines="0" w:before="0" w:afterLines="0" w:after="0"/>
              <w:rPr>
                <w:rFonts w:ascii="Times New Roman" w:hAnsi="Times New Roman"/>
                <w:lang w:val="hu-HU"/>
              </w:rPr>
            </w:pPr>
            <w:r w:rsidRPr="00183B5F">
              <w:rPr>
                <w:rFonts w:ascii="Times New Roman" w:hAnsi="Times New Roman"/>
                <w:lang w:val="hu-HU"/>
              </w:rPr>
              <w:t>1. lépés</w:t>
            </w:r>
          </w:p>
          <w:p w14:paraId="29D7C0B7" w14:textId="77777777" w:rsidR="002942B5" w:rsidRPr="00183B5F" w:rsidRDefault="002942B5">
            <w:pPr>
              <w:pStyle w:val="EMEANormal"/>
              <w:rPr>
                <w:lang w:val="hu-HU"/>
              </w:rPr>
            </w:pPr>
          </w:p>
          <w:p w14:paraId="5508E4FA" w14:textId="77777777" w:rsidR="002942B5" w:rsidRPr="00183B5F" w:rsidRDefault="00943743">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Vegye ki a Humira</w:t>
            </w:r>
            <w:r w:rsidRPr="00183B5F">
              <w:rPr>
                <w:rFonts w:ascii="Times New Roman" w:hAnsi="Times New Roman"/>
                <w:b w:val="0"/>
                <w:lang w:val="hu-HU"/>
              </w:rPr>
              <w:noBreakHyphen/>
              <w:t>t a hűtőszekrényből.</w:t>
            </w:r>
          </w:p>
          <w:p w14:paraId="51452303" w14:textId="77777777" w:rsidR="002942B5" w:rsidRPr="00183B5F" w:rsidRDefault="002942B5">
            <w:pPr>
              <w:pStyle w:val="EMEANormal"/>
              <w:rPr>
                <w:lang w:val="hu-HU"/>
              </w:rPr>
            </w:pPr>
          </w:p>
          <w:p w14:paraId="645CFBE9" w14:textId="77777777" w:rsidR="002942B5" w:rsidRPr="00183B5F" w:rsidRDefault="00943743">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 xml:space="preserve">A beadás előtt </w:t>
            </w:r>
            <w:r w:rsidRPr="00183B5F">
              <w:rPr>
                <w:rFonts w:ascii="Times New Roman" w:hAnsi="Times New Roman"/>
                <w:lang w:val="hu-HU"/>
              </w:rPr>
              <w:t>15</w:t>
            </w:r>
            <w:r w:rsidRPr="00183B5F">
              <w:rPr>
                <w:rFonts w:ascii="Times New Roman" w:hAnsi="Times New Roman"/>
                <w:lang w:val="hu-HU"/>
              </w:rPr>
              <w:noBreakHyphen/>
              <w:t>30 percig</w:t>
            </w:r>
            <w:r w:rsidRPr="00183B5F">
              <w:rPr>
                <w:rFonts w:ascii="Times New Roman" w:hAnsi="Times New Roman"/>
                <w:b w:val="0"/>
                <w:lang w:val="hu-HU"/>
              </w:rPr>
              <w:t xml:space="preserve"> hagyja a Humira</w:t>
            </w:r>
            <w:r w:rsidRPr="00183B5F">
              <w:rPr>
                <w:rFonts w:ascii="Times New Roman" w:hAnsi="Times New Roman"/>
                <w:b w:val="0"/>
                <w:lang w:val="hu-HU"/>
              </w:rPr>
              <w:noBreakHyphen/>
              <w:t>t szobahőmérsékleten.</w:t>
            </w:r>
          </w:p>
          <w:p w14:paraId="5E3900F8" w14:textId="77777777" w:rsidR="002942B5" w:rsidRPr="00183B5F" w:rsidRDefault="002942B5">
            <w:pPr>
              <w:pStyle w:val="EMEANormal"/>
              <w:rPr>
                <w:lang w:val="hu-HU"/>
              </w:rPr>
            </w:pPr>
          </w:p>
          <w:p w14:paraId="4BE71671" w14:textId="77777777" w:rsidR="002942B5" w:rsidRPr="00183B5F" w:rsidRDefault="00943743">
            <w:pPr>
              <w:pStyle w:val="EMEAHeadingLeaflet"/>
              <w:numPr>
                <w:ilvl w:val="0"/>
                <w:numId w:val="120"/>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lang w:val="hu-HU"/>
              </w:rPr>
              <w:t>Ne távolítsa el</w:t>
            </w:r>
            <w:r w:rsidRPr="00183B5F">
              <w:rPr>
                <w:rFonts w:ascii="Times New Roman" w:hAnsi="Times New Roman"/>
                <w:b w:val="0"/>
                <w:lang w:val="hu-HU"/>
              </w:rPr>
              <w:t xml:space="preserve"> a szürke vagy a szilvakék színű kupakot, amíg a Humira hőmérséklete eléri a szobahőmérsékletet.</w:t>
            </w:r>
          </w:p>
          <w:p w14:paraId="7B54B98D" w14:textId="77777777" w:rsidR="002942B5" w:rsidRPr="00183B5F" w:rsidRDefault="00943743">
            <w:pPr>
              <w:pStyle w:val="EMEANormal"/>
              <w:numPr>
                <w:ilvl w:val="0"/>
                <w:numId w:val="120"/>
              </w:numPr>
              <w:tabs>
                <w:tab w:val="clear" w:pos="562"/>
                <w:tab w:val="left" w:pos="720"/>
              </w:tabs>
              <w:rPr>
                <w:lang w:val="hu-HU"/>
              </w:rPr>
            </w:pPr>
            <w:r w:rsidRPr="00183B5F">
              <w:rPr>
                <w:b/>
                <w:lang w:val="hu-HU"/>
              </w:rPr>
              <w:t xml:space="preserve">Ne melegítse </w:t>
            </w:r>
            <w:r w:rsidRPr="00183B5F">
              <w:rPr>
                <w:lang w:val="hu-HU"/>
              </w:rPr>
              <w:t>a Humira</w:t>
            </w:r>
            <w:r w:rsidRPr="00183B5F">
              <w:rPr>
                <w:lang w:val="hu-HU"/>
              </w:rPr>
              <w:noBreakHyphen/>
              <w:t xml:space="preserve">t semmilyen egyéb módon. Például </w:t>
            </w:r>
            <w:r w:rsidRPr="00183B5F">
              <w:rPr>
                <w:b/>
                <w:lang w:val="hu-HU"/>
              </w:rPr>
              <w:t>ne melegítse</w:t>
            </w:r>
            <w:r w:rsidRPr="00183B5F">
              <w:rPr>
                <w:lang w:val="hu-HU"/>
              </w:rPr>
              <w:t xml:space="preserve"> mikrohullámú sütőben vagy forró vízben.</w:t>
            </w:r>
          </w:p>
        </w:tc>
      </w:tr>
      <w:tr w:rsidR="00011D2F" w14:paraId="737BB594" w14:textId="77777777" w:rsidTr="002942B5">
        <w:tc>
          <w:tcPr>
            <w:tcW w:w="3708" w:type="dxa"/>
            <w:tcBorders>
              <w:right w:val="nil"/>
            </w:tcBorders>
          </w:tcPr>
          <w:p w14:paraId="6D616959" w14:textId="77777777" w:rsidR="002942B5" w:rsidRPr="00183B5F" w:rsidRDefault="00943743">
            <w:pPr>
              <w:pStyle w:val="EMEANormal"/>
              <w:rPr>
                <w:b/>
                <w:noProof/>
                <w:lang w:val="hu-HU"/>
              </w:rPr>
            </w:pPr>
            <w:r w:rsidRPr="00183B5F">
              <w:rPr>
                <w:b/>
                <w:noProof/>
                <w:lang w:val="hu-HU"/>
              </w:rPr>
              <w:t xml:space="preserve">2. lépés </w:t>
            </w:r>
          </w:p>
          <w:p w14:paraId="4D137A09" w14:textId="77777777" w:rsidR="002942B5" w:rsidRPr="00183B5F" w:rsidRDefault="002942B5">
            <w:pPr>
              <w:pStyle w:val="EMEANormal"/>
              <w:keepNext/>
              <w:rPr>
                <w:b/>
                <w:noProof/>
                <w:lang w:val="hu-HU"/>
              </w:rPr>
            </w:pPr>
          </w:p>
          <w:p w14:paraId="7F3D8B19" w14:textId="77777777" w:rsidR="002942B5" w:rsidRPr="00183B5F" w:rsidRDefault="00943743">
            <w:pPr>
              <w:pStyle w:val="EMEANormal"/>
              <w:keepNext/>
              <w:rPr>
                <w:b/>
                <w:noProof/>
                <w:lang w:val="hu-HU"/>
              </w:rPr>
            </w:pPr>
            <w:r w:rsidRPr="00183B5F">
              <w:rPr>
                <w:noProof/>
                <w:lang w:val="hu-HU"/>
              </w:rPr>
              <w:t xml:space="preserve">      </w:t>
            </w:r>
            <w:r w:rsidRPr="00183B5F">
              <w:rPr>
                <w:b/>
                <w:noProof/>
                <w:lang w:val="hu-HU"/>
              </w:rPr>
              <w:t>Injekciós toll</w:t>
            </w:r>
          </w:p>
          <w:p w14:paraId="770E4A7F" w14:textId="77777777" w:rsidR="002942B5" w:rsidRPr="00183B5F" w:rsidRDefault="00943743">
            <w:pPr>
              <w:pStyle w:val="EMEANormal"/>
              <w:keepNext/>
              <w:rPr>
                <w:noProof/>
                <w:lang w:val="hu-HU"/>
              </w:rPr>
            </w:pPr>
            <w:r w:rsidRPr="00FB267A">
              <w:rPr>
                <w:noProof/>
                <w:lang w:val="en-GB"/>
              </w:rPr>
              <w:drawing>
                <wp:inline distT="0" distB="0" distL="0" distR="0" wp14:anchorId="58C532C7" wp14:editId="2039F2C2">
                  <wp:extent cx="2162810" cy="2289810"/>
                  <wp:effectExtent l="0" t="0" r="8890" b="0"/>
                  <wp:docPr id="7" name="Picture 7" descr="STEP2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2" descr="STEP2_grey"/>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2162810" cy="2289810"/>
                          </a:xfrm>
                          <a:prstGeom prst="rect">
                            <a:avLst/>
                          </a:prstGeom>
                          <a:noFill/>
                          <a:ln>
                            <a:noFill/>
                          </a:ln>
                        </pic:spPr>
                      </pic:pic>
                    </a:graphicData>
                  </a:graphic>
                </wp:inline>
              </w:drawing>
            </w:r>
          </w:p>
          <w:p w14:paraId="7A4CD342" w14:textId="77777777" w:rsidR="002942B5" w:rsidRPr="00183B5F" w:rsidRDefault="00943743">
            <w:pPr>
              <w:pStyle w:val="EMEANormal"/>
              <w:keepNext/>
              <w:rPr>
                <w:b/>
                <w:lang w:val="hu-HU"/>
              </w:rPr>
            </w:pPr>
            <w:r w:rsidRPr="00183B5F">
              <w:rPr>
                <w:b/>
                <w:noProof/>
                <w:lang w:val="hu-HU"/>
              </w:rPr>
              <w:t xml:space="preserve">            Törlőkendő</w:t>
            </w:r>
          </w:p>
        </w:tc>
        <w:tc>
          <w:tcPr>
            <w:tcW w:w="5579" w:type="dxa"/>
            <w:tcBorders>
              <w:left w:val="nil"/>
            </w:tcBorders>
          </w:tcPr>
          <w:p w14:paraId="7051852F" w14:textId="77777777" w:rsidR="002942B5" w:rsidRPr="00183B5F" w:rsidRDefault="002942B5">
            <w:pPr>
              <w:pStyle w:val="EMEAHeadingLeaflet"/>
              <w:keepNext/>
              <w:spacing w:beforeLines="0" w:before="0" w:afterLines="0" w:after="0"/>
              <w:rPr>
                <w:rFonts w:ascii="Times New Roman" w:hAnsi="Times New Roman"/>
                <w:b w:val="0"/>
                <w:lang w:val="hu-HU"/>
              </w:rPr>
            </w:pPr>
          </w:p>
          <w:p w14:paraId="026F3FCF" w14:textId="77777777" w:rsidR="002942B5" w:rsidRPr="00183B5F" w:rsidRDefault="00943743">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 xml:space="preserve">Ellenőrizze a lejárat dátumát (EXP). </w:t>
            </w:r>
            <w:r w:rsidRPr="00183B5F">
              <w:rPr>
                <w:rFonts w:ascii="Times New Roman" w:hAnsi="Times New Roman"/>
                <w:lang w:val="hu-HU"/>
              </w:rPr>
              <w:t>Ne</w:t>
            </w:r>
            <w:r w:rsidRPr="00183B5F">
              <w:rPr>
                <w:rFonts w:ascii="Times New Roman" w:hAnsi="Times New Roman"/>
                <w:b w:val="0"/>
                <w:lang w:val="hu-HU"/>
              </w:rPr>
              <w:t xml:space="preserve"> használja az injekciós tollat, ha a lejárati idő (EXP) elmúlt.</w:t>
            </w:r>
          </w:p>
          <w:p w14:paraId="00EF92B0" w14:textId="77777777" w:rsidR="002942B5" w:rsidRPr="00183B5F" w:rsidRDefault="002942B5">
            <w:pPr>
              <w:pStyle w:val="EMEANormal"/>
              <w:keepNext/>
              <w:rPr>
                <w:lang w:val="hu-HU"/>
              </w:rPr>
            </w:pPr>
          </w:p>
          <w:p w14:paraId="01DB1D0C" w14:textId="77777777" w:rsidR="002942B5" w:rsidRPr="00183B5F" w:rsidRDefault="00943743">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Helyezze a következőket egy tiszta, sima felületre:</w:t>
            </w:r>
          </w:p>
          <w:p w14:paraId="4DF5F4D3" w14:textId="77777777" w:rsidR="002942B5" w:rsidRPr="00183B5F" w:rsidRDefault="002942B5">
            <w:pPr>
              <w:pStyle w:val="EMEANormal"/>
              <w:keepNext/>
              <w:rPr>
                <w:lang w:val="hu-HU"/>
              </w:rPr>
            </w:pPr>
          </w:p>
          <w:p w14:paraId="6FBE1474" w14:textId="77777777" w:rsidR="002942B5" w:rsidRPr="00183B5F" w:rsidRDefault="00943743">
            <w:pPr>
              <w:pStyle w:val="EMEAHeadingLeaflet"/>
              <w:keepNext/>
              <w:numPr>
                <w:ilvl w:val="0"/>
                <w:numId w:val="121"/>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 xml:space="preserve">1 egyszer használatos előretöltött injekciós tollat és </w:t>
            </w:r>
          </w:p>
          <w:p w14:paraId="6A23AC56" w14:textId="77777777" w:rsidR="002942B5" w:rsidRPr="00183B5F" w:rsidRDefault="00943743">
            <w:pPr>
              <w:pStyle w:val="EMEAHeadingLeaflet"/>
              <w:keepNext/>
              <w:numPr>
                <w:ilvl w:val="0"/>
                <w:numId w:val="121"/>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1 alkoholos törlőt</w:t>
            </w:r>
          </w:p>
          <w:p w14:paraId="7597455E" w14:textId="77777777" w:rsidR="002942B5" w:rsidRPr="00183B5F" w:rsidRDefault="002942B5">
            <w:pPr>
              <w:pStyle w:val="EMEANormal"/>
              <w:keepNext/>
              <w:rPr>
                <w:lang w:val="hu-HU"/>
              </w:rPr>
            </w:pPr>
          </w:p>
          <w:p w14:paraId="474D1717" w14:textId="77777777" w:rsidR="002942B5" w:rsidRPr="00183B5F" w:rsidRDefault="00943743">
            <w:pPr>
              <w:pStyle w:val="EMEANormal"/>
              <w:keepNext/>
              <w:rPr>
                <w:lang w:val="hu-HU"/>
              </w:rPr>
            </w:pPr>
            <w:r w:rsidRPr="00183B5F">
              <w:rPr>
                <w:lang w:val="hu-HU"/>
              </w:rPr>
              <w:t>Mossa meg és szárítsa meg a kezét.</w:t>
            </w:r>
          </w:p>
        </w:tc>
      </w:tr>
      <w:tr w:rsidR="00011D2F" w14:paraId="518AF1BB" w14:textId="77777777" w:rsidTr="002942B5">
        <w:tc>
          <w:tcPr>
            <w:tcW w:w="3708" w:type="dxa"/>
            <w:tcBorders>
              <w:right w:val="nil"/>
            </w:tcBorders>
          </w:tcPr>
          <w:p w14:paraId="6BF1E201" w14:textId="77777777" w:rsidR="002942B5" w:rsidRPr="00183B5F" w:rsidRDefault="00943743">
            <w:pPr>
              <w:pStyle w:val="EMEANormal"/>
              <w:keepNext/>
              <w:rPr>
                <w:b/>
                <w:noProof/>
                <w:lang w:val="hu-HU"/>
              </w:rPr>
            </w:pPr>
            <w:r w:rsidRPr="00183B5F">
              <w:rPr>
                <w:b/>
                <w:noProof/>
                <w:lang w:val="hu-HU"/>
              </w:rPr>
              <w:t>3. lépés</w:t>
            </w:r>
          </w:p>
          <w:p w14:paraId="3978284A" w14:textId="77777777" w:rsidR="002942B5" w:rsidRPr="00183B5F" w:rsidRDefault="002942B5">
            <w:pPr>
              <w:pStyle w:val="EMEANormal"/>
              <w:keepNext/>
              <w:rPr>
                <w:b/>
                <w:noProof/>
                <w:lang w:val="hu-HU"/>
              </w:rPr>
            </w:pPr>
          </w:p>
          <w:p w14:paraId="51AE7653" w14:textId="77777777" w:rsidR="002942B5" w:rsidRPr="00183B5F" w:rsidRDefault="00943743">
            <w:pPr>
              <w:pStyle w:val="EMEANormal"/>
              <w:keepNext/>
              <w:rPr>
                <w:b/>
                <w:noProof/>
                <w:lang w:val="hu-HU"/>
              </w:rPr>
            </w:pPr>
            <w:r w:rsidRPr="00183B5F">
              <w:rPr>
                <w:b/>
                <w:noProof/>
                <w:lang w:val="hu-HU"/>
              </w:rPr>
              <w:t>Beadási helyek</w:t>
            </w:r>
          </w:p>
          <w:p w14:paraId="2CFE2705" w14:textId="77777777" w:rsidR="002942B5" w:rsidRPr="00183B5F" w:rsidRDefault="00943743">
            <w:pPr>
              <w:pStyle w:val="EMEANormal"/>
              <w:keepNext/>
              <w:rPr>
                <w:noProof/>
                <w:lang w:val="hu-HU"/>
              </w:rPr>
            </w:pPr>
            <w:r w:rsidRPr="00FB267A">
              <w:rPr>
                <w:noProof/>
                <w:lang w:val="en-GB"/>
              </w:rPr>
              <w:drawing>
                <wp:inline distT="0" distB="0" distL="0" distR="0" wp14:anchorId="6A22B69E" wp14:editId="50C4C9CD">
                  <wp:extent cx="2273935" cy="2385695"/>
                  <wp:effectExtent l="0" t="0" r="0" b="0"/>
                  <wp:docPr id="19" name="Picture 19"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43" descr="STEP3_grey"/>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273935" cy="2385695"/>
                          </a:xfrm>
                          <a:prstGeom prst="rect">
                            <a:avLst/>
                          </a:prstGeom>
                          <a:noFill/>
                          <a:ln>
                            <a:noFill/>
                          </a:ln>
                        </pic:spPr>
                      </pic:pic>
                    </a:graphicData>
                  </a:graphic>
                </wp:inline>
              </w:drawing>
            </w:r>
          </w:p>
          <w:p w14:paraId="2D2BAEA1" w14:textId="77777777" w:rsidR="002942B5" w:rsidRPr="00183B5F" w:rsidRDefault="00943743">
            <w:pPr>
              <w:pStyle w:val="EMEANormal"/>
              <w:keepNext/>
              <w:rPr>
                <w:b/>
                <w:lang w:val="hu-HU"/>
              </w:rPr>
            </w:pPr>
            <w:r w:rsidRPr="00183B5F">
              <w:rPr>
                <w:noProof/>
                <w:lang w:val="hu-HU"/>
              </w:rPr>
              <w:t xml:space="preserve">     </w:t>
            </w:r>
            <w:r w:rsidRPr="00183B5F">
              <w:rPr>
                <w:b/>
                <w:noProof/>
                <w:lang w:val="hu-HU"/>
              </w:rPr>
              <w:t>Beadási helyek</w:t>
            </w:r>
          </w:p>
        </w:tc>
        <w:tc>
          <w:tcPr>
            <w:tcW w:w="5579" w:type="dxa"/>
            <w:tcBorders>
              <w:left w:val="nil"/>
            </w:tcBorders>
          </w:tcPr>
          <w:p w14:paraId="7FD718B9" w14:textId="77777777" w:rsidR="002942B5" w:rsidRPr="00183B5F" w:rsidRDefault="002942B5">
            <w:pPr>
              <w:pStyle w:val="EMEAHeadingLeaflet"/>
              <w:keepNext/>
              <w:spacing w:beforeLines="0" w:before="0" w:afterLines="0" w:after="0"/>
              <w:rPr>
                <w:rFonts w:ascii="Times New Roman" w:hAnsi="Times New Roman"/>
                <w:b w:val="0"/>
                <w:lang w:val="hu-HU"/>
              </w:rPr>
            </w:pPr>
          </w:p>
          <w:p w14:paraId="79DC60EC" w14:textId="77777777" w:rsidR="002942B5" w:rsidRPr="00183B5F" w:rsidRDefault="00943743">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Válassza ki a beadási helyet:</w:t>
            </w:r>
          </w:p>
          <w:p w14:paraId="167F3759" w14:textId="77777777" w:rsidR="002942B5" w:rsidRPr="00183B5F" w:rsidRDefault="002942B5">
            <w:pPr>
              <w:pStyle w:val="EMEANormal"/>
              <w:keepNext/>
              <w:rPr>
                <w:lang w:val="hu-HU"/>
              </w:rPr>
            </w:pPr>
          </w:p>
          <w:p w14:paraId="297AFD51" w14:textId="77777777" w:rsidR="002942B5" w:rsidRPr="00183B5F" w:rsidRDefault="00943743">
            <w:pPr>
              <w:pStyle w:val="EMEAHeadingLeaflet"/>
              <w:keepNext/>
              <w:numPr>
                <w:ilvl w:val="0"/>
                <w:numId w:val="122"/>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Combja elülső részén vagy</w:t>
            </w:r>
          </w:p>
          <w:p w14:paraId="6E54D7CD" w14:textId="77777777" w:rsidR="002942B5" w:rsidRPr="00183B5F" w:rsidRDefault="00943743">
            <w:pPr>
              <w:pStyle w:val="EMEAHeadingLeaflet"/>
              <w:keepNext/>
              <w:numPr>
                <w:ilvl w:val="0"/>
                <w:numId w:val="122"/>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Hasfalán, legalább 5 cm távolságra a köldökétől</w:t>
            </w:r>
          </w:p>
          <w:p w14:paraId="47E7C956" w14:textId="77777777" w:rsidR="002942B5" w:rsidRPr="00183B5F" w:rsidRDefault="00943743">
            <w:pPr>
              <w:pStyle w:val="EMEAHeadingLeaflet"/>
              <w:keepNext/>
              <w:numPr>
                <w:ilvl w:val="0"/>
                <w:numId w:val="122"/>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Az előző beadási helytől legalább 3 cm távolságra</w:t>
            </w:r>
          </w:p>
          <w:p w14:paraId="2223B772" w14:textId="77777777" w:rsidR="002942B5" w:rsidRPr="00183B5F" w:rsidRDefault="002942B5">
            <w:pPr>
              <w:pStyle w:val="EMEANormal"/>
              <w:keepNext/>
              <w:rPr>
                <w:lang w:val="hu-HU"/>
              </w:rPr>
            </w:pPr>
          </w:p>
          <w:p w14:paraId="4F4143AA" w14:textId="77777777" w:rsidR="002942B5" w:rsidRPr="00183B5F" w:rsidRDefault="00943743">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Körkörös mozdulattal törölje le az injekció beadásának helyét az alkoholos törlővel.</w:t>
            </w:r>
          </w:p>
          <w:p w14:paraId="15CDB3E4" w14:textId="77777777" w:rsidR="002942B5" w:rsidRPr="00183B5F" w:rsidRDefault="002942B5">
            <w:pPr>
              <w:pStyle w:val="EMEANormal"/>
              <w:keepNext/>
              <w:rPr>
                <w:lang w:val="hu-HU"/>
              </w:rPr>
            </w:pPr>
          </w:p>
          <w:p w14:paraId="0F7AF139" w14:textId="77777777" w:rsidR="002942B5" w:rsidRPr="00183B5F" w:rsidRDefault="00943743">
            <w:pPr>
              <w:pStyle w:val="EMEAHeadingLeaflet"/>
              <w:keepNext/>
              <w:numPr>
                <w:ilvl w:val="0"/>
                <w:numId w:val="123"/>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lang w:val="hu-HU"/>
              </w:rPr>
              <w:t xml:space="preserve">Ne </w:t>
            </w:r>
            <w:r w:rsidRPr="00183B5F">
              <w:rPr>
                <w:rFonts w:ascii="Times New Roman" w:hAnsi="Times New Roman"/>
                <w:b w:val="0"/>
                <w:lang w:val="hu-HU"/>
              </w:rPr>
              <w:t>ruhán keresztül adja be az injekciót</w:t>
            </w:r>
          </w:p>
          <w:p w14:paraId="7A84BE71" w14:textId="77777777" w:rsidR="002942B5" w:rsidRPr="00183B5F" w:rsidRDefault="00943743">
            <w:pPr>
              <w:pStyle w:val="EMEANormal"/>
              <w:keepNext/>
              <w:numPr>
                <w:ilvl w:val="0"/>
                <w:numId w:val="123"/>
              </w:numPr>
              <w:tabs>
                <w:tab w:val="clear" w:pos="562"/>
                <w:tab w:val="left" w:pos="757"/>
              </w:tabs>
              <w:ind w:left="757"/>
              <w:rPr>
                <w:lang w:val="hu-HU"/>
              </w:rPr>
            </w:pPr>
            <w:r w:rsidRPr="00183B5F">
              <w:rPr>
                <w:b/>
                <w:szCs w:val="22"/>
                <w:lang w:val="hu-HU"/>
              </w:rPr>
              <w:t xml:space="preserve">Ne </w:t>
            </w:r>
            <w:r w:rsidRPr="00183B5F">
              <w:rPr>
                <w:szCs w:val="22"/>
                <w:lang w:val="hu-HU"/>
              </w:rPr>
              <w:t>adja az injekciót olyan helyre, ahol a bőr sebes, véraláfutásos, bepirosodott, kemény, heges, a bőr megnyúlását jelző világos csíkok (striák) területén, illetve a pikkelysömörös területeken</w:t>
            </w:r>
          </w:p>
        </w:tc>
      </w:tr>
      <w:tr w:rsidR="00011D2F" w14:paraId="630C82FA" w14:textId="77777777" w:rsidTr="002942B5">
        <w:tc>
          <w:tcPr>
            <w:tcW w:w="3708" w:type="dxa"/>
            <w:tcBorders>
              <w:right w:val="nil"/>
            </w:tcBorders>
          </w:tcPr>
          <w:p w14:paraId="5A68765D" w14:textId="77777777" w:rsidR="002942B5" w:rsidRPr="00183B5F" w:rsidRDefault="00943743">
            <w:pPr>
              <w:pStyle w:val="EMEANormal"/>
              <w:rPr>
                <w:b/>
                <w:noProof/>
                <w:lang w:val="hu-HU"/>
              </w:rPr>
            </w:pPr>
            <w:r w:rsidRPr="00183B5F">
              <w:rPr>
                <w:b/>
                <w:noProof/>
                <w:lang w:val="hu-HU"/>
              </w:rPr>
              <w:t>4. lépés</w:t>
            </w:r>
          </w:p>
          <w:p w14:paraId="7491A90C" w14:textId="77777777" w:rsidR="002942B5" w:rsidRPr="00183B5F" w:rsidRDefault="002942B5">
            <w:pPr>
              <w:pStyle w:val="EMEANormal"/>
              <w:rPr>
                <w:b/>
                <w:noProof/>
                <w:lang w:val="hu-HU"/>
              </w:rPr>
            </w:pPr>
          </w:p>
          <w:p w14:paraId="130F1458" w14:textId="77777777" w:rsidR="002942B5" w:rsidRPr="00183B5F" w:rsidRDefault="00943743">
            <w:pPr>
              <w:pStyle w:val="EMEANormal"/>
              <w:rPr>
                <w:lang w:val="hu-HU"/>
              </w:rPr>
            </w:pPr>
            <w:r w:rsidRPr="00FB267A">
              <w:rPr>
                <w:noProof/>
                <w:lang w:val="en-GB"/>
              </w:rPr>
              <w:drawing>
                <wp:inline distT="0" distB="0" distL="0" distR="0" wp14:anchorId="287EA7B9" wp14:editId="1DF52D6A">
                  <wp:extent cx="2210435" cy="2051685"/>
                  <wp:effectExtent l="0" t="0" r="0" b="5715"/>
                  <wp:docPr id="25" name="Picture 25" descr="STEP4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44" descr="STEP4_grey"/>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2210435" cy="2051685"/>
                          </a:xfrm>
                          <a:prstGeom prst="rect">
                            <a:avLst/>
                          </a:prstGeom>
                          <a:noFill/>
                          <a:ln>
                            <a:noFill/>
                          </a:ln>
                        </pic:spPr>
                      </pic:pic>
                    </a:graphicData>
                  </a:graphic>
                </wp:inline>
              </w:drawing>
            </w:r>
          </w:p>
        </w:tc>
        <w:tc>
          <w:tcPr>
            <w:tcW w:w="5579" w:type="dxa"/>
            <w:tcBorders>
              <w:left w:val="nil"/>
            </w:tcBorders>
          </w:tcPr>
          <w:p w14:paraId="448C257F" w14:textId="77777777" w:rsidR="002942B5" w:rsidRPr="00183B5F" w:rsidRDefault="002942B5">
            <w:pPr>
              <w:pStyle w:val="EMEAHeadingLeaflet"/>
              <w:keepNext/>
              <w:spacing w:beforeLines="0" w:before="0" w:afterLines="0" w:after="0"/>
              <w:rPr>
                <w:rFonts w:ascii="Times New Roman" w:hAnsi="Times New Roman"/>
                <w:b w:val="0"/>
                <w:lang w:val="hu-HU"/>
              </w:rPr>
            </w:pPr>
          </w:p>
          <w:p w14:paraId="4F875573" w14:textId="77777777" w:rsidR="002942B5" w:rsidRPr="00183B5F" w:rsidRDefault="00943743">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 xml:space="preserve">Tartsa az injekciós tollat a szürke kupakkal (1) felfelé. </w:t>
            </w:r>
          </w:p>
          <w:p w14:paraId="15E5EE3A" w14:textId="77777777" w:rsidR="002942B5" w:rsidRPr="00183B5F" w:rsidRDefault="002942B5">
            <w:pPr>
              <w:pStyle w:val="EMEANormal"/>
              <w:rPr>
                <w:lang w:val="hu-HU"/>
              </w:rPr>
            </w:pPr>
          </w:p>
          <w:p w14:paraId="30F0EB8E" w14:textId="77777777" w:rsidR="002942B5" w:rsidRPr="00183B5F" w:rsidRDefault="00943743">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Ellenőrizze az ablakot.</w:t>
            </w:r>
          </w:p>
          <w:p w14:paraId="2589812D" w14:textId="77777777" w:rsidR="002942B5" w:rsidRPr="00183B5F" w:rsidRDefault="002942B5">
            <w:pPr>
              <w:pStyle w:val="EMEANormal"/>
              <w:rPr>
                <w:lang w:val="hu-HU"/>
              </w:rPr>
            </w:pPr>
          </w:p>
          <w:p w14:paraId="272D65FA" w14:textId="77777777" w:rsidR="002942B5" w:rsidRPr="00183B5F" w:rsidRDefault="00943743">
            <w:pPr>
              <w:pStyle w:val="EMEAHeadingLeaflet"/>
              <w:keepNext/>
              <w:numPr>
                <w:ilvl w:val="0"/>
                <w:numId w:val="124"/>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Normális, ha egy vagy több buborékot lát az ablakban</w:t>
            </w:r>
          </w:p>
          <w:p w14:paraId="13ADFE5E" w14:textId="77777777" w:rsidR="002942B5" w:rsidRPr="00183B5F" w:rsidRDefault="00943743">
            <w:pPr>
              <w:pStyle w:val="EMEAHeadingLeaflet"/>
              <w:keepNext/>
              <w:numPr>
                <w:ilvl w:val="0"/>
                <w:numId w:val="124"/>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Bizonyosodjon meg róla, hogy a folyadék tiszta és színtelen</w:t>
            </w:r>
          </w:p>
          <w:p w14:paraId="150407C2" w14:textId="77777777" w:rsidR="002942B5" w:rsidRPr="00183B5F" w:rsidRDefault="00943743">
            <w:pPr>
              <w:pStyle w:val="EMEAHeadingLeaflet"/>
              <w:keepNext/>
              <w:numPr>
                <w:ilvl w:val="0"/>
                <w:numId w:val="124"/>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lang w:val="hu-HU"/>
              </w:rPr>
              <w:t xml:space="preserve">Ne </w:t>
            </w:r>
            <w:r w:rsidRPr="00183B5F">
              <w:rPr>
                <w:rFonts w:ascii="Times New Roman" w:hAnsi="Times New Roman"/>
                <w:b w:val="0"/>
                <w:lang w:val="hu-HU"/>
              </w:rPr>
              <w:t>használja az</w:t>
            </w:r>
            <w:r w:rsidRPr="00183B5F">
              <w:rPr>
                <w:rFonts w:ascii="Times New Roman" w:hAnsi="Times New Roman"/>
                <w:lang w:val="hu-HU"/>
              </w:rPr>
              <w:t xml:space="preserve"> </w:t>
            </w:r>
            <w:r w:rsidRPr="00183B5F">
              <w:rPr>
                <w:rFonts w:ascii="Times New Roman" w:hAnsi="Times New Roman"/>
                <w:b w:val="0"/>
                <w:lang w:val="hu-HU"/>
              </w:rPr>
              <w:t>injekciós tollat, ha a folyadék zavaros vagy részecskéket tartalmaz</w:t>
            </w:r>
          </w:p>
          <w:p w14:paraId="56AA6C60" w14:textId="77777777" w:rsidR="002942B5" w:rsidRPr="00183B5F" w:rsidRDefault="00943743">
            <w:pPr>
              <w:pStyle w:val="EMEANormal"/>
              <w:numPr>
                <w:ilvl w:val="0"/>
                <w:numId w:val="124"/>
              </w:numPr>
              <w:tabs>
                <w:tab w:val="clear" w:pos="562"/>
                <w:tab w:val="left" w:pos="757"/>
              </w:tabs>
              <w:ind w:left="757"/>
              <w:rPr>
                <w:lang w:val="hu-HU"/>
              </w:rPr>
            </w:pPr>
            <w:r w:rsidRPr="00183B5F">
              <w:rPr>
                <w:b/>
                <w:lang w:val="hu-HU"/>
              </w:rPr>
              <w:t xml:space="preserve">Ne </w:t>
            </w:r>
            <w:r w:rsidRPr="00183B5F">
              <w:rPr>
                <w:lang w:val="hu-HU"/>
              </w:rPr>
              <w:t>használja az injekciós tollat, ha az leesett vagy eltörött</w:t>
            </w:r>
          </w:p>
        </w:tc>
      </w:tr>
      <w:tr w:rsidR="00011D2F" w14:paraId="0318F4BA" w14:textId="77777777" w:rsidTr="002942B5">
        <w:tc>
          <w:tcPr>
            <w:tcW w:w="3708" w:type="dxa"/>
            <w:tcBorders>
              <w:right w:val="nil"/>
            </w:tcBorders>
          </w:tcPr>
          <w:p w14:paraId="7209A46F" w14:textId="77777777" w:rsidR="002942B5" w:rsidRPr="00183B5F" w:rsidRDefault="00943743">
            <w:pPr>
              <w:pStyle w:val="EMEANormal"/>
              <w:rPr>
                <w:noProof/>
                <w:lang w:val="hu-HU"/>
              </w:rPr>
            </w:pPr>
            <w:r w:rsidRPr="00183B5F">
              <w:rPr>
                <w:b/>
                <w:noProof/>
                <w:lang w:val="hu-HU"/>
              </w:rPr>
              <w:t>5. lépés</w:t>
            </w:r>
            <w:r w:rsidRPr="00183B5F">
              <w:rPr>
                <w:noProof/>
                <w:lang w:val="hu-HU"/>
              </w:rPr>
              <w:t xml:space="preserve"> </w:t>
            </w:r>
          </w:p>
          <w:p w14:paraId="76F61A93" w14:textId="77777777" w:rsidR="002942B5" w:rsidRPr="00183B5F" w:rsidRDefault="002942B5">
            <w:pPr>
              <w:pStyle w:val="EMEANormal"/>
              <w:keepNext/>
              <w:rPr>
                <w:noProof/>
                <w:lang w:val="hu-HU"/>
              </w:rPr>
            </w:pPr>
          </w:p>
          <w:p w14:paraId="5A667B1A" w14:textId="77777777" w:rsidR="002942B5" w:rsidRPr="00183B5F" w:rsidRDefault="00943743" w:rsidP="004062FE">
            <w:pPr>
              <w:pStyle w:val="EMEANormal"/>
              <w:keepNext/>
              <w:rPr>
                <w:b/>
                <w:noProof/>
                <w:lang w:val="hu-HU"/>
              </w:rPr>
            </w:pPr>
            <w:r w:rsidRPr="00183B5F">
              <w:rPr>
                <w:b/>
                <w:noProof/>
                <w:lang w:val="hu-HU"/>
              </w:rPr>
              <w:t xml:space="preserve">1 Kupak </w:t>
            </w:r>
          </w:p>
          <w:p w14:paraId="288D7E78" w14:textId="77777777" w:rsidR="002942B5" w:rsidRPr="00183B5F" w:rsidRDefault="00943743">
            <w:pPr>
              <w:pStyle w:val="EMEANormal"/>
              <w:keepNext/>
              <w:rPr>
                <w:noProof/>
                <w:lang w:val="hu-HU"/>
              </w:rPr>
            </w:pPr>
            <w:r w:rsidRPr="00FB267A">
              <w:rPr>
                <w:noProof/>
                <w:lang w:val="en-GB"/>
              </w:rPr>
              <w:drawing>
                <wp:inline distT="0" distB="0" distL="0" distR="0" wp14:anchorId="61DC00BD" wp14:editId="50154C91">
                  <wp:extent cx="2027555" cy="1844675"/>
                  <wp:effectExtent l="0" t="0" r="0" b="3175"/>
                  <wp:docPr id="48" name="Picture 48" descr="EU_IFU_STEP5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5" descr="EU_IFU_STEP5_grey"/>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2027555" cy="1844675"/>
                          </a:xfrm>
                          <a:prstGeom prst="rect">
                            <a:avLst/>
                          </a:prstGeom>
                          <a:noFill/>
                          <a:ln>
                            <a:noFill/>
                          </a:ln>
                        </pic:spPr>
                      </pic:pic>
                    </a:graphicData>
                  </a:graphic>
                </wp:inline>
              </w:drawing>
            </w:r>
          </w:p>
          <w:p w14:paraId="57399C42" w14:textId="77777777" w:rsidR="002942B5" w:rsidRPr="00183B5F" w:rsidRDefault="00943743">
            <w:pPr>
              <w:pStyle w:val="EMEANormal"/>
              <w:keepNext/>
              <w:rPr>
                <w:b/>
                <w:lang w:val="hu-HU"/>
              </w:rPr>
            </w:pPr>
            <w:r w:rsidRPr="00183B5F">
              <w:rPr>
                <w:b/>
                <w:noProof/>
                <w:lang w:val="hu-HU"/>
              </w:rPr>
              <w:t xml:space="preserve">                                            2 Kupak</w:t>
            </w:r>
          </w:p>
        </w:tc>
        <w:tc>
          <w:tcPr>
            <w:tcW w:w="5579" w:type="dxa"/>
            <w:tcBorders>
              <w:left w:val="nil"/>
            </w:tcBorders>
          </w:tcPr>
          <w:p w14:paraId="582C6193" w14:textId="77777777" w:rsidR="002942B5" w:rsidRPr="00183B5F" w:rsidRDefault="002942B5">
            <w:pPr>
              <w:pStyle w:val="EMEAHeadingLeaflet"/>
              <w:keepNext/>
              <w:spacing w:beforeLines="0" w:before="0" w:afterLines="0" w:after="0"/>
              <w:rPr>
                <w:rFonts w:ascii="Times New Roman" w:hAnsi="Times New Roman"/>
                <w:b w:val="0"/>
                <w:lang w:val="hu-HU"/>
              </w:rPr>
            </w:pPr>
          </w:p>
          <w:p w14:paraId="39A816D3" w14:textId="77777777" w:rsidR="002942B5" w:rsidRPr="00183B5F" w:rsidRDefault="00943743">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Vegye le a szürke kupakot (1). Dobja ki a kupakot. Ne rakja vissza.</w:t>
            </w:r>
          </w:p>
          <w:p w14:paraId="00806F01" w14:textId="77777777" w:rsidR="002942B5" w:rsidRPr="00183B5F" w:rsidRDefault="002942B5">
            <w:pPr>
              <w:pStyle w:val="EMEANormal"/>
              <w:keepNext/>
              <w:rPr>
                <w:lang w:val="hu-HU"/>
              </w:rPr>
            </w:pPr>
          </w:p>
          <w:p w14:paraId="5A2F1E60" w14:textId="77777777" w:rsidR="002942B5" w:rsidRPr="00183B5F" w:rsidRDefault="00943743">
            <w:pPr>
              <w:pStyle w:val="EMEAHeadingLeaflet"/>
              <w:keepNext/>
              <w:numPr>
                <w:ilvl w:val="0"/>
                <w:numId w:val="125"/>
              </w:numPr>
              <w:tabs>
                <w:tab w:val="clear" w:pos="562"/>
                <w:tab w:val="left" w:pos="757"/>
              </w:tabs>
              <w:spacing w:beforeLines="0" w:before="0" w:afterLines="0" w:after="0"/>
              <w:ind w:left="763"/>
              <w:rPr>
                <w:rFonts w:ascii="Times New Roman" w:hAnsi="Times New Roman"/>
                <w:b w:val="0"/>
                <w:lang w:val="hu-HU"/>
              </w:rPr>
            </w:pPr>
            <w:r w:rsidRPr="00183B5F">
              <w:rPr>
                <w:rFonts w:ascii="Times New Roman" w:hAnsi="Times New Roman"/>
                <w:b w:val="0"/>
                <w:lang w:val="hu-HU"/>
              </w:rPr>
              <w:t>Ellenőrizze, hogy a kis fekete tűvédőt eltávolította-e a kupakkal együtt</w:t>
            </w:r>
          </w:p>
          <w:p w14:paraId="5CAD3EBD" w14:textId="77777777" w:rsidR="002942B5" w:rsidRPr="00183B5F" w:rsidRDefault="00943743">
            <w:pPr>
              <w:pStyle w:val="EMEAHeadingLeaflet"/>
              <w:keepNext/>
              <w:numPr>
                <w:ilvl w:val="0"/>
                <w:numId w:val="125"/>
              </w:numPr>
              <w:tabs>
                <w:tab w:val="clear" w:pos="562"/>
                <w:tab w:val="left" w:pos="757"/>
              </w:tabs>
              <w:spacing w:beforeLines="0" w:before="0" w:afterLines="0" w:after="0"/>
              <w:ind w:left="763"/>
              <w:rPr>
                <w:rFonts w:ascii="Times New Roman" w:hAnsi="Times New Roman"/>
                <w:b w:val="0"/>
                <w:lang w:val="hu-HU"/>
              </w:rPr>
            </w:pPr>
            <w:r w:rsidRPr="00183B5F">
              <w:rPr>
                <w:rFonts w:ascii="Times New Roman" w:hAnsi="Times New Roman"/>
                <w:b w:val="0"/>
                <w:lang w:val="hu-HU"/>
              </w:rPr>
              <w:t>Normális, ha lát néhány csepp folyadékot kijönni a tűből</w:t>
            </w:r>
          </w:p>
          <w:p w14:paraId="7D4CB33F" w14:textId="77777777" w:rsidR="002942B5" w:rsidRPr="00183B5F" w:rsidRDefault="002942B5">
            <w:pPr>
              <w:pStyle w:val="EMEANormal"/>
              <w:keepNext/>
              <w:rPr>
                <w:lang w:val="hu-HU"/>
              </w:rPr>
            </w:pPr>
          </w:p>
          <w:p w14:paraId="028568E2" w14:textId="77777777" w:rsidR="002942B5" w:rsidRPr="00183B5F" w:rsidRDefault="00943743">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Vegye le a szilvakék színű kupakot (2). Dobja ki a kupakot. Ne rakja vissza.</w:t>
            </w:r>
          </w:p>
          <w:p w14:paraId="53155648" w14:textId="77777777" w:rsidR="002942B5" w:rsidRPr="00183B5F" w:rsidRDefault="002942B5">
            <w:pPr>
              <w:pStyle w:val="EMEANormal"/>
              <w:keepNext/>
              <w:rPr>
                <w:lang w:val="hu-HU"/>
              </w:rPr>
            </w:pPr>
          </w:p>
          <w:p w14:paraId="749BDA21" w14:textId="77777777" w:rsidR="002942B5" w:rsidRPr="00183B5F" w:rsidRDefault="00943743">
            <w:pPr>
              <w:pStyle w:val="EMEANormal"/>
              <w:keepNext/>
              <w:rPr>
                <w:lang w:val="hu-HU"/>
              </w:rPr>
            </w:pPr>
            <w:r w:rsidRPr="00183B5F">
              <w:rPr>
                <w:lang w:val="hu-HU"/>
              </w:rPr>
              <w:t>Az injekciós toll most használatra kész.</w:t>
            </w:r>
          </w:p>
          <w:p w14:paraId="1A0C09E5" w14:textId="77777777" w:rsidR="002942B5" w:rsidRPr="00183B5F" w:rsidRDefault="002942B5">
            <w:pPr>
              <w:pStyle w:val="EMEANormal"/>
              <w:keepNext/>
              <w:rPr>
                <w:lang w:val="hu-HU"/>
              </w:rPr>
            </w:pPr>
          </w:p>
          <w:p w14:paraId="5AE44ADD" w14:textId="77777777" w:rsidR="002942B5" w:rsidRPr="00183B5F" w:rsidRDefault="00943743">
            <w:pPr>
              <w:pStyle w:val="EMEANormal"/>
              <w:keepNext/>
              <w:rPr>
                <w:lang w:val="hu-HU"/>
              </w:rPr>
            </w:pPr>
            <w:r w:rsidRPr="00183B5F">
              <w:rPr>
                <w:lang w:val="hu-HU"/>
              </w:rPr>
              <w:t>Úgy fordítsa az injekciós tollat, hogy a fehér nyíl a beadás helyére mutasson.</w:t>
            </w:r>
          </w:p>
        </w:tc>
      </w:tr>
      <w:tr w:rsidR="00011D2F" w14:paraId="05102A6D" w14:textId="77777777" w:rsidTr="002942B5">
        <w:tc>
          <w:tcPr>
            <w:tcW w:w="3708" w:type="dxa"/>
            <w:tcBorders>
              <w:right w:val="nil"/>
            </w:tcBorders>
          </w:tcPr>
          <w:p w14:paraId="6F714162" w14:textId="77777777" w:rsidR="002942B5" w:rsidRPr="00183B5F" w:rsidRDefault="00943743">
            <w:pPr>
              <w:pStyle w:val="EMEANormal"/>
              <w:keepNext/>
              <w:rPr>
                <w:b/>
                <w:noProof/>
                <w:lang w:val="hu-HU"/>
              </w:rPr>
            </w:pPr>
            <w:r w:rsidRPr="00183B5F">
              <w:rPr>
                <w:b/>
                <w:noProof/>
                <w:lang w:val="hu-HU"/>
              </w:rPr>
              <w:t>6. lépés</w:t>
            </w:r>
          </w:p>
          <w:p w14:paraId="66E6472F" w14:textId="77777777" w:rsidR="002942B5" w:rsidRPr="00183B5F" w:rsidRDefault="00943743">
            <w:pPr>
              <w:pStyle w:val="EMEANormal"/>
              <w:keepNext/>
              <w:rPr>
                <w:lang w:val="hu-HU"/>
              </w:rPr>
            </w:pPr>
            <w:r w:rsidRPr="00FB267A">
              <w:rPr>
                <w:noProof/>
                <w:lang w:val="en-GB"/>
              </w:rPr>
              <w:drawing>
                <wp:inline distT="0" distB="0" distL="0" distR="0" wp14:anchorId="5C2744D2" wp14:editId="69880693">
                  <wp:extent cx="2258060" cy="2146935"/>
                  <wp:effectExtent l="0" t="0" r="8890" b="5715"/>
                  <wp:docPr id="49" name="Picture 49" descr="STEP6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6" descr="STEP6_grey"/>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2258060" cy="2146935"/>
                          </a:xfrm>
                          <a:prstGeom prst="rect">
                            <a:avLst/>
                          </a:prstGeom>
                          <a:noFill/>
                          <a:ln>
                            <a:noFill/>
                          </a:ln>
                        </pic:spPr>
                      </pic:pic>
                    </a:graphicData>
                  </a:graphic>
                </wp:inline>
              </w:drawing>
            </w:r>
          </w:p>
        </w:tc>
        <w:tc>
          <w:tcPr>
            <w:tcW w:w="5579" w:type="dxa"/>
            <w:tcBorders>
              <w:left w:val="nil"/>
            </w:tcBorders>
          </w:tcPr>
          <w:p w14:paraId="2B45CD49" w14:textId="77777777" w:rsidR="002942B5" w:rsidRPr="00183B5F" w:rsidRDefault="002942B5">
            <w:pPr>
              <w:pStyle w:val="EMEAHeadingLeaflet"/>
              <w:keepNext/>
              <w:spacing w:beforeLines="0" w:before="0" w:afterLines="0" w:after="0"/>
              <w:rPr>
                <w:rFonts w:ascii="Times New Roman" w:hAnsi="Times New Roman"/>
                <w:b w:val="0"/>
                <w:lang w:val="hu-HU"/>
              </w:rPr>
            </w:pPr>
          </w:p>
          <w:p w14:paraId="2FE142FC" w14:textId="77777777" w:rsidR="002942B5" w:rsidRPr="00183B5F" w:rsidRDefault="00943743">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A beadás helyén szorítsa össze a bőrt</w:t>
            </w:r>
            <w:r w:rsidR="00986C88" w:rsidRPr="00183B5F">
              <w:rPr>
                <w:rFonts w:ascii="Times New Roman" w:hAnsi="Times New Roman"/>
                <w:b w:val="0"/>
                <w:lang w:val="hu-HU"/>
              </w:rPr>
              <w:t xml:space="preserve"> a másik kezével</w:t>
            </w:r>
            <w:r w:rsidRPr="00183B5F">
              <w:rPr>
                <w:rFonts w:ascii="Times New Roman" w:hAnsi="Times New Roman"/>
                <w:b w:val="0"/>
                <w:lang w:val="hu-HU"/>
              </w:rPr>
              <w:t xml:space="preserve"> egy kiemelkedő redőbe, és tartsa mozdulatlanul</w:t>
            </w:r>
            <w:r w:rsidR="00C35A66" w:rsidRPr="00183B5F">
              <w:rPr>
                <w:rFonts w:ascii="Times New Roman" w:hAnsi="Times New Roman"/>
                <w:b w:val="0"/>
                <w:lang w:val="hu-HU"/>
              </w:rPr>
              <w:t xml:space="preserve"> a beadás végéig</w:t>
            </w:r>
            <w:r w:rsidRPr="00183B5F">
              <w:rPr>
                <w:rFonts w:ascii="Times New Roman" w:hAnsi="Times New Roman"/>
                <w:b w:val="0"/>
                <w:lang w:val="hu-HU"/>
              </w:rPr>
              <w:t>.</w:t>
            </w:r>
          </w:p>
          <w:p w14:paraId="6FD392BD" w14:textId="77777777" w:rsidR="002942B5" w:rsidRPr="00183B5F" w:rsidRDefault="002942B5">
            <w:pPr>
              <w:pStyle w:val="EMEANormal"/>
              <w:keepNext/>
              <w:rPr>
                <w:lang w:val="hu-HU"/>
              </w:rPr>
            </w:pPr>
          </w:p>
          <w:p w14:paraId="22B14AA8" w14:textId="77777777" w:rsidR="002942B5" w:rsidRPr="00183B5F" w:rsidRDefault="00943743">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A fehér nyíl a beadás helyére mutasson (comb vagy hasfal).</w:t>
            </w:r>
          </w:p>
          <w:p w14:paraId="0689DB63" w14:textId="77777777" w:rsidR="002942B5" w:rsidRPr="00183B5F" w:rsidRDefault="002942B5">
            <w:pPr>
              <w:pStyle w:val="EMEANormal"/>
              <w:keepNext/>
              <w:rPr>
                <w:lang w:val="hu-HU"/>
              </w:rPr>
            </w:pPr>
          </w:p>
          <w:p w14:paraId="71B21BF6" w14:textId="77777777" w:rsidR="002942B5" w:rsidRPr="00183B5F" w:rsidRDefault="00943743">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Helyezze a fehér tűvédő hüvelyt merőlegesen (</w:t>
            </w:r>
            <w:r w:rsidRPr="00183B5F">
              <w:rPr>
                <w:rFonts w:ascii="Times New Roman" w:hAnsi="Times New Roman"/>
                <w:lang w:val="hu-HU"/>
              </w:rPr>
              <w:t>90 fokos szögben</w:t>
            </w:r>
            <w:r w:rsidRPr="00183B5F">
              <w:rPr>
                <w:rFonts w:ascii="Times New Roman" w:hAnsi="Times New Roman"/>
                <w:b w:val="0"/>
                <w:lang w:val="hu-HU"/>
              </w:rPr>
              <w:t>) a beadás helyére.</w:t>
            </w:r>
          </w:p>
          <w:p w14:paraId="58E792A5" w14:textId="77777777" w:rsidR="002942B5" w:rsidRPr="00183B5F" w:rsidRDefault="002942B5">
            <w:pPr>
              <w:pStyle w:val="EMEANormal"/>
              <w:keepNext/>
              <w:rPr>
                <w:lang w:val="hu-HU"/>
              </w:rPr>
            </w:pPr>
          </w:p>
          <w:p w14:paraId="46F19B88" w14:textId="77777777" w:rsidR="002942B5" w:rsidRPr="00183B5F" w:rsidRDefault="00943743">
            <w:pPr>
              <w:pStyle w:val="EMEANormal"/>
              <w:keepNext/>
              <w:rPr>
                <w:lang w:val="hu-HU"/>
              </w:rPr>
            </w:pPr>
            <w:r w:rsidRPr="00183B5F">
              <w:rPr>
                <w:lang w:val="hu-HU"/>
              </w:rPr>
              <w:t>Úgy tar</w:t>
            </w:r>
            <w:r w:rsidR="00C674B9" w:rsidRPr="00183B5F">
              <w:rPr>
                <w:lang w:val="hu-HU"/>
              </w:rPr>
              <w:t>t</w:t>
            </w:r>
            <w:r w:rsidRPr="00183B5F">
              <w:rPr>
                <w:lang w:val="hu-HU"/>
              </w:rPr>
              <w:t>sa az injekciós tollat, hogy lássa az ablakot.</w:t>
            </w:r>
          </w:p>
          <w:p w14:paraId="3DE89735" w14:textId="77777777" w:rsidR="00C35A66" w:rsidRPr="00183B5F" w:rsidRDefault="00C35A66">
            <w:pPr>
              <w:pStyle w:val="EMEANormal"/>
              <w:keepNext/>
              <w:rPr>
                <w:lang w:val="hu-HU"/>
              </w:rPr>
            </w:pPr>
          </w:p>
          <w:p w14:paraId="1EFDAE30" w14:textId="77777777" w:rsidR="00C35A66" w:rsidRPr="00183B5F" w:rsidRDefault="00943743">
            <w:pPr>
              <w:pStyle w:val="EMEANormal"/>
              <w:keepNext/>
              <w:rPr>
                <w:lang w:val="hu-HU"/>
              </w:rPr>
            </w:pPr>
            <w:r w:rsidRPr="00183B5F">
              <w:rPr>
                <w:b/>
                <w:bCs/>
                <w:lang w:val="hu-HU"/>
              </w:rPr>
              <w:t>Ne</w:t>
            </w:r>
            <w:r w:rsidRPr="00183B5F">
              <w:rPr>
                <w:lang w:val="hu-HU"/>
              </w:rPr>
              <w:t xml:space="preserve"> nyomja meg a szilvakék indítógombot, amíg nem áll készen a beadásra.</w:t>
            </w:r>
          </w:p>
        </w:tc>
      </w:tr>
      <w:tr w:rsidR="00011D2F" w14:paraId="340A910A" w14:textId="77777777" w:rsidTr="002942B5">
        <w:tc>
          <w:tcPr>
            <w:tcW w:w="3708" w:type="dxa"/>
            <w:tcBorders>
              <w:right w:val="nil"/>
            </w:tcBorders>
          </w:tcPr>
          <w:p w14:paraId="583859E8" w14:textId="77777777" w:rsidR="002942B5" w:rsidRPr="00183B5F" w:rsidRDefault="00943743">
            <w:pPr>
              <w:pStyle w:val="EMEANormal"/>
              <w:jc w:val="both"/>
              <w:rPr>
                <w:b/>
                <w:noProof/>
                <w:lang w:val="hu-HU"/>
              </w:rPr>
            </w:pPr>
            <w:r w:rsidRPr="00183B5F">
              <w:rPr>
                <w:b/>
                <w:noProof/>
                <w:lang w:val="hu-HU"/>
              </w:rPr>
              <w:t>7. lépés</w:t>
            </w:r>
          </w:p>
          <w:p w14:paraId="04DE0FF9" w14:textId="77777777" w:rsidR="002942B5" w:rsidRPr="00183B5F" w:rsidRDefault="002942B5">
            <w:pPr>
              <w:pStyle w:val="EMEANormal"/>
              <w:jc w:val="both"/>
              <w:rPr>
                <w:b/>
                <w:noProof/>
                <w:lang w:val="hu-HU"/>
              </w:rPr>
            </w:pPr>
          </w:p>
          <w:p w14:paraId="56176C24" w14:textId="77777777" w:rsidR="002942B5" w:rsidRPr="00183B5F" w:rsidRDefault="00943743">
            <w:pPr>
              <w:pStyle w:val="EMEANormal"/>
              <w:rPr>
                <w:b/>
                <w:noProof/>
                <w:lang w:val="hu-HU"/>
              </w:rPr>
            </w:pPr>
            <w:r w:rsidRPr="00183B5F">
              <w:rPr>
                <w:b/>
                <w:noProof/>
                <w:lang w:val="hu-HU"/>
              </w:rPr>
              <w:t xml:space="preserve">                             10 másodperc                             </w:t>
            </w:r>
          </w:p>
          <w:p w14:paraId="5B9C931E" w14:textId="77777777" w:rsidR="002942B5" w:rsidRPr="00183B5F" w:rsidRDefault="00943743">
            <w:pPr>
              <w:pStyle w:val="EMEANormal"/>
              <w:rPr>
                <w:noProof/>
                <w:lang w:val="hu-HU"/>
              </w:rPr>
            </w:pPr>
            <w:r w:rsidRPr="00FB267A">
              <w:rPr>
                <w:noProof/>
                <w:lang w:val="en-GB"/>
              </w:rPr>
              <w:drawing>
                <wp:inline distT="0" distB="0" distL="0" distR="0" wp14:anchorId="227130E3" wp14:editId="6B6D3520">
                  <wp:extent cx="2218690" cy="2783205"/>
                  <wp:effectExtent l="0" t="0" r="0" b="0"/>
                  <wp:docPr id="50" name="Picture 50" descr="STEP7a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7" descr="STEP7a_grey"/>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2218690" cy="2783205"/>
                          </a:xfrm>
                          <a:prstGeom prst="rect">
                            <a:avLst/>
                          </a:prstGeom>
                          <a:noFill/>
                          <a:ln>
                            <a:noFill/>
                          </a:ln>
                        </pic:spPr>
                      </pic:pic>
                    </a:graphicData>
                  </a:graphic>
                </wp:inline>
              </w:drawing>
            </w:r>
          </w:p>
        </w:tc>
        <w:tc>
          <w:tcPr>
            <w:tcW w:w="5579" w:type="dxa"/>
            <w:tcBorders>
              <w:left w:val="nil"/>
            </w:tcBorders>
          </w:tcPr>
          <w:p w14:paraId="20C4D146" w14:textId="77777777" w:rsidR="002942B5" w:rsidRPr="00183B5F" w:rsidRDefault="002942B5">
            <w:pPr>
              <w:pStyle w:val="EMEAHeadingLeaflet"/>
              <w:keepNext/>
              <w:spacing w:beforeLines="0" w:before="0" w:afterLines="0" w:after="0"/>
              <w:rPr>
                <w:rFonts w:ascii="Times New Roman" w:hAnsi="Times New Roman"/>
                <w:lang w:val="hu-HU"/>
              </w:rPr>
            </w:pPr>
          </w:p>
          <w:p w14:paraId="399D2912" w14:textId="77777777" w:rsidR="002942B5" w:rsidRPr="00183B5F" w:rsidRDefault="00943743">
            <w:pPr>
              <w:pStyle w:val="EMEAHeadingLeaflet"/>
              <w:keepNext/>
              <w:spacing w:beforeLines="0" w:before="0" w:afterLines="0" w:after="0"/>
              <w:rPr>
                <w:rFonts w:ascii="Times New Roman" w:hAnsi="Times New Roman"/>
                <w:b w:val="0"/>
                <w:lang w:val="hu-HU"/>
              </w:rPr>
            </w:pPr>
            <w:r w:rsidRPr="00183B5F">
              <w:rPr>
                <w:rFonts w:ascii="Times New Roman" w:hAnsi="Times New Roman"/>
                <w:lang w:val="hu-HU"/>
              </w:rPr>
              <w:t xml:space="preserve">Erősen nyomja rá </w:t>
            </w:r>
            <w:r w:rsidRPr="00183B5F">
              <w:rPr>
                <w:rFonts w:ascii="Times New Roman" w:hAnsi="Times New Roman"/>
                <w:bCs/>
                <w:lang w:val="hu-HU"/>
              </w:rPr>
              <w:t>az injekciós tollat</w:t>
            </w:r>
            <w:r w:rsidRPr="00183B5F">
              <w:rPr>
                <w:rFonts w:ascii="Times New Roman" w:hAnsi="Times New Roman"/>
                <w:b w:val="0"/>
                <w:lang w:val="hu-HU"/>
              </w:rPr>
              <w:t xml:space="preserve"> a beadás hely</w:t>
            </w:r>
            <w:r w:rsidR="009235EC" w:rsidRPr="00183B5F">
              <w:rPr>
                <w:rFonts w:ascii="Times New Roman" w:hAnsi="Times New Roman"/>
                <w:b w:val="0"/>
                <w:lang w:val="hu-HU"/>
              </w:rPr>
              <w:t>ére</w:t>
            </w:r>
            <w:r w:rsidR="00C50949" w:rsidRPr="00183B5F">
              <w:rPr>
                <w:rFonts w:ascii="Times New Roman" w:hAnsi="Times New Roman"/>
                <w:b w:val="0"/>
                <w:lang w:val="hu-HU"/>
              </w:rPr>
              <w:t>,</w:t>
            </w:r>
            <w:r w:rsidRPr="00183B5F">
              <w:rPr>
                <w:rFonts w:ascii="Times New Roman" w:hAnsi="Times New Roman"/>
                <w:b w:val="0"/>
                <w:lang w:val="hu-HU"/>
              </w:rPr>
              <w:t xml:space="preserve"> a beadás megkezdése előtt.</w:t>
            </w:r>
          </w:p>
          <w:p w14:paraId="5D3D6BAF" w14:textId="77777777" w:rsidR="00C35A66" w:rsidRPr="00183B5F" w:rsidRDefault="00943743" w:rsidP="00BA2353">
            <w:pPr>
              <w:pStyle w:val="EMEANormal"/>
              <w:rPr>
                <w:lang w:val="hu-HU"/>
              </w:rPr>
            </w:pPr>
            <w:r w:rsidRPr="00183B5F">
              <w:rPr>
                <w:b/>
                <w:bCs/>
                <w:lang w:val="hu-HU"/>
              </w:rPr>
              <w:t>Tartsa a bőrre nyomva</w:t>
            </w:r>
            <w:r w:rsidRPr="00183B5F">
              <w:rPr>
                <w:lang w:val="hu-HU"/>
              </w:rPr>
              <w:t xml:space="preserve"> az előretöltött tollat, nehogy az elmozduljon a</w:t>
            </w:r>
            <w:r w:rsidR="00877ABD" w:rsidRPr="00183B5F">
              <w:rPr>
                <w:lang w:val="hu-HU"/>
              </w:rPr>
              <w:t xml:space="preserve"> bőrről a</w:t>
            </w:r>
            <w:r w:rsidRPr="00183B5F">
              <w:rPr>
                <w:lang w:val="hu-HU"/>
              </w:rPr>
              <w:t xml:space="preserve"> beadás alatt.</w:t>
            </w:r>
          </w:p>
          <w:p w14:paraId="1858F1BE" w14:textId="77777777" w:rsidR="002942B5" w:rsidRPr="00183B5F" w:rsidRDefault="002942B5">
            <w:pPr>
              <w:pStyle w:val="EMEANormal"/>
              <w:rPr>
                <w:lang w:val="hu-HU"/>
              </w:rPr>
            </w:pPr>
          </w:p>
          <w:p w14:paraId="273EBF58" w14:textId="77777777" w:rsidR="002942B5" w:rsidRPr="00183B5F" w:rsidRDefault="00943743">
            <w:pPr>
              <w:pStyle w:val="EMEAHeadingLeaflet"/>
              <w:keepNext/>
              <w:spacing w:beforeLines="0" w:before="0" w:afterLines="0" w:after="0"/>
              <w:rPr>
                <w:rFonts w:ascii="Times New Roman" w:hAnsi="Times New Roman"/>
                <w:b w:val="0"/>
                <w:lang w:val="hu-HU"/>
              </w:rPr>
            </w:pPr>
            <w:r w:rsidRPr="00183B5F">
              <w:rPr>
                <w:rFonts w:ascii="Times New Roman" w:hAnsi="Times New Roman"/>
                <w:lang w:val="hu-HU"/>
              </w:rPr>
              <w:t>Nyomja le</w:t>
            </w:r>
            <w:r w:rsidRPr="00183B5F">
              <w:rPr>
                <w:rFonts w:ascii="Times New Roman" w:hAnsi="Times New Roman"/>
                <w:b w:val="0"/>
                <w:lang w:val="hu-HU"/>
              </w:rPr>
              <w:t xml:space="preserve"> a szilvakék indítógombot és lassan számoljon </w:t>
            </w:r>
            <w:r w:rsidRPr="00183B5F">
              <w:rPr>
                <w:rFonts w:ascii="Times New Roman" w:hAnsi="Times New Roman"/>
                <w:lang w:val="hu-HU"/>
              </w:rPr>
              <w:t>10</w:t>
            </w:r>
            <w:r w:rsidRPr="00183B5F">
              <w:rPr>
                <w:rFonts w:ascii="Times New Roman" w:hAnsi="Times New Roman"/>
                <w:b w:val="0"/>
                <w:lang w:val="hu-HU"/>
              </w:rPr>
              <w:t> másodpercig.</w:t>
            </w:r>
          </w:p>
          <w:p w14:paraId="2D3F6B16" w14:textId="77777777" w:rsidR="002942B5" w:rsidRPr="00183B5F" w:rsidRDefault="002942B5">
            <w:pPr>
              <w:pStyle w:val="EMEANormal"/>
              <w:rPr>
                <w:lang w:val="hu-HU"/>
              </w:rPr>
            </w:pPr>
          </w:p>
          <w:p w14:paraId="74FBF5D8" w14:textId="77777777" w:rsidR="002942B5" w:rsidRPr="00183B5F" w:rsidRDefault="00943743">
            <w:pPr>
              <w:pStyle w:val="EMEAHeadingLeaflet"/>
              <w:keepNext/>
              <w:numPr>
                <w:ilvl w:val="0"/>
                <w:numId w:val="126"/>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Egy hangos kattanás jelzi a beadás kezdetét</w:t>
            </w:r>
          </w:p>
          <w:p w14:paraId="01134AEC" w14:textId="77777777" w:rsidR="002942B5" w:rsidRPr="00183B5F" w:rsidRDefault="00943743">
            <w:pPr>
              <w:pStyle w:val="EMEAHeadingLeaflet"/>
              <w:keepNext/>
              <w:numPr>
                <w:ilvl w:val="0"/>
                <w:numId w:val="126"/>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lang w:val="hu-HU"/>
              </w:rPr>
              <w:t xml:space="preserve">Tartsa </w:t>
            </w:r>
            <w:r w:rsidR="00C35A66" w:rsidRPr="00183B5F">
              <w:rPr>
                <w:rFonts w:ascii="Times New Roman" w:hAnsi="Times New Roman"/>
                <w:lang w:val="hu-HU"/>
              </w:rPr>
              <w:t xml:space="preserve">erősen </w:t>
            </w:r>
            <w:r w:rsidR="001D5CE4" w:rsidRPr="00183B5F">
              <w:rPr>
                <w:rFonts w:ascii="Times New Roman" w:hAnsi="Times New Roman"/>
                <w:lang w:val="hu-HU"/>
              </w:rPr>
              <w:t>rá</w:t>
            </w:r>
            <w:r w:rsidRPr="00183B5F">
              <w:rPr>
                <w:rFonts w:ascii="Times New Roman" w:hAnsi="Times New Roman"/>
                <w:lang w:val="hu-HU"/>
              </w:rPr>
              <w:t>nyomva</w:t>
            </w:r>
            <w:r w:rsidRPr="00183B5F">
              <w:rPr>
                <w:rFonts w:ascii="Times New Roman" w:hAnsi="Times New Roman"/>
                <w:b w:val="0"/>
                <w:lang w:val="hu-HU"/>
              </w:rPr>
              <w:t xml:space="preserve"> az injekciós tollat a beadás helyére</w:t>
            </w:r>
            <w:r w:rsidR="00C50949" w:rsidRPr="00183B5F">
              <w:rPr>
                <w:rFonts w:ascii="Times New Roman" w:hAnsi="Times New Roman"/>
                <w:b w:val="0"/>
                <w:lang w:val="hu-HU"/>
              </w:rPr>
              <w:t>,</w:t>
            </w:r>
            <w:r w:rsidR="00C35A66" w:rsidRPr="00183B5F">
              <w:rPr>
                <w:rFonts w:ascii="Times New Roman" w:hAnsi="Times New Roman"/>
                <w:b w:val="0"/>
                <w:lang w:val="hu-HU"/>
              </w:rPr>
              <w:t xml:space="preserve"> a beadás végéig</w:t>
            </w:r>
            <w:r w:rsidR="00877ABD" w:rsidRPr="00183B5F">
              <w:rPr>
                <w:rFonts w:ascii="Times New Roman" w:hAnsi="Times New Roman"/>
                <w:b w:val="0"/>
                <w:lang w:val="hu-HU"/>
              </w:rPr>
              <w:t>.</w:t>
            </w:r>
          </w:p>
          <w:p w14:paraId="5C2DDF21" w14:textId="77777777" w:rsidR="002942B5" w:rsidRPr="00183B5F" w:rsidRDefault="002942B5">
            <w:pPr>
              <w:pStyle w:val="EMEANormal"/>
              <w:rPr>
                <w:lang w:val="hu-HU"/>
              </w:rPr>
            </w:pPr>
          </w:p>
          <w:p w14:paraId="66D5D2F3" w14:textId="77777777" w:rsidR="002942B5" w:rsidRPr="00183B5F" w:rsidRDefault="00943743">
            <w:pPr>
              <w:pStyle w:val="EMEANormal"/>
              <w:rPr>
                <w:lang w:val="hu-HU"/>
              </w:rPr>
            </w:pPr>
            <w:r w:rsidRPr="00183B5F">
              <w:rPr>
                <w:lang w:val="hu-HU"/>
              </w:rPr>
              <w:t>Akkor fejeződik be a beadás, amikor a sárga jelzés már nem mozog.</w:t>
            </w:r>
          </w:p>
        </w:tc>
      </w:tr>
      <w:tr w:rsidR="00011D2F" w14:paraId="306EF352" w14:textId="77777777" w:rsidTr="002942B5">
        <w:tc>
          <w:tcPr>
            <w:tcW w:w="3708" w:type="dxa"/>
            <w:tcBorders>
              <w:right w:val="nil"/>
            </w:tcBorders>
          </w:tcPr>
          <w:p w14:paraId="146B0188" w14:textId="77777777" w:rsidR="002942B5" w:rsidRPr="00183B5F" w:rsidRDefault="00943743" w:rsidP="002D49EE">
            <w:pPr>
              <w:pStyle w:val="EMEANormal"/>
              <w:keepNext/>
              <w:rPr>
                <w:b/>
                <w:noProof/>
                <w:lang w:val="hu-HU"/>
              </w:rPr>
            </w:pPr>
            <w:r w:rsidRPr="00183B5F">
              <w:rPr>
                <w:b/>
                <w:noProof/>
                <w:lang w:val="hu-HU"/>
              </w:rPr>
              <w:t>8. lépés</w:t>
            </w:r>
          </w:p>
          <w:p w14:paraId="68266A2A" w14:textId="77777777" w:rsidR="002942B5" w:rsidRPr="00183B5F" w:rsidRDefault="002942B5" w:rsidP="002D49EE">
            <w:pPr>
              <w:pStyle w:val="EMEANormal"/>
              <w:keepNext/>
              <w:rPr>
                <w:b/>
                <w:noProof/>
                <w:lang w:val="hu-HU"/>
              </w:rPr>
            </w:pPr>
          </w:p>
          <w:p w14:paraId="24C3AA19" w14:textId="77777777" w:rsidR="002942B5" w:rsidRPr="00183B5F" w:rsidRDefault="00943743" w:rsidP="002D49EE">
            <w:pPr>
              <w:pStyle w:val="EMEANormal"/>
              <w:keepNext/>
              <w:rPr>
                <w:lang w:val="hu-HU"/>
              </w:rPr>
            </w:pPr>
            <w:r w:rsidRPr="00FB267A">
              <w:rPr>
                <w:noProof/>
                <w:lang w:val="en-GB"/>
              </w:rPr>
              <w:drawing>
                <wp:inline distT="0" distB="0" distL="0" distR="0" wp14:anchorId="579C0376" wp14:editId="173DA302">
                  <wp:extent cx="2027555" cy="1804670"/>
                  <wp:effectExtent l="0" t="0" r="0" b="5080"/>
                  <wp:docPr id="55" name="Picture 55" descr="STEP8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48" descr="STEP8_grey"/>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2027555" cy="1804670"/>
                          </a:xfrm>
                          <a:prstGeom prst="rect">
                            <a:avLst/>
                          </a:prstGeom>
                          <a:noFill/>
                          <a:ln>
                            <a:noFill/>
                          </a:ln>
                        </pic:spPr>
                      </pic:pic>
                    </a:graphicData>
                  </a:graphic>
                </wp:inline>
              </w:drawing>
            </w:r>
            <w:r w:rsidRPr="00183B5F">
              <w:rPr>
                <w:noProof/>
                <w:lang w:val="hu-HU"/>
              </w:rPr>
              <w:t xml:space="preserve"> </w:t>
            </w:r>
          </w:p>
        </w:tc>
        <w:tc>
          <w:tcPr>
            <w:tcW w:w="5579" w:type="dxa"/>
            <w:tcBorders>
              <w:left w:val="nil"/>
            </w:tcBorders>
          </w:tcPr>
          <w:p w14:paraId="01613696" w14:textId="77777777" w:rsidR="002942B5" w:rsidRPr="00183B5F" w:rsidRDefault="002942B5" w:rsidP="002D49EE">
            <w:pPr>
              <w:pStyle w:val="EMEAHeadingLeaflet"/>
              <w:keepNext/>
              <w:spacing w:beforeLines="0" w:before="0" w:afterLines="0" w:after="0"/>
              <w:rPr>
                <w:rFonts w:ascii="Times New Roman" w:hAnsi="Times New Roman"/>
                <w:b w:val="0"/>
                <w:lang w:val="hu-HU"/>
              </w:rPr>
            </w:pPr>
          </w:p>
          <w:p w14:paraId="0977C022" w14:textId="77777777" w:rsidR="002942B5" w:rsidRPr="00183B5F" w:rsidRDefault="00943743" w:rsidP="002D49EE">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Amikor a beadás befejeződött, lassan emelje el az injekciós tollat a bőrről. A fehér tűvédő hüvely befedi a tű hegyét.</w:t>
            </w:r>
          </w:p>
          <w:p w14:paraId="52128F33" w14:textId="77777777" w:rsidR="001441E0" w:rsidRPr="00183B5F" w:rsidRDefault="00943743" w:rsidP="002D49EE">
            <w:pPr>
              <w:pStyle w:val="EMEAHeadingLeaflet"/>
              <w:keepNext/>
              <w:numPr>
                <w:ilvl w:val="0"/>
                <w:numId w:val="127"/>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Kis mennyiségű folyadék megjelenése az injekció beadásának helyén normális</w:t>
            </w:r>
            <w:r w:rsidR="00C50949" w:rsidRPr="00183B5F">
              <w:rPr>
                <w:rFonts w:ascii="Times New Roman" w:hAnsi="Times New Roman"/>
                <w:b w:val="0"/>
                <w:lang w:val="hu-HU"/>
              </w:rPr>
              <w:t>.</w:t>
            </w:r>
          </w:p>
          <w:p w14:paraId="2D0C7B5F" w14:textId="77777777" w:rsidR="002942B5" w:rsidRPr="00183B5F" w:rsidRDefault="002942B5" w:rsidP="002D49EE">
            <w:pPr>
              <w:pStyle w:val="EMEANormal"/>
              <w:keepNext/>
              <w:rPr>
                <w:lang w:val="hu-HU"/>
              </w:rPr>
            </w:pPr>
          </w:p>
          <w:p w14:paraId="52E5B398" w14:textId="77777777" w:rsidR="002942B5" w:rsidRPr="00183B5F" w:rsidRDefault="00943743" w:rsidP="002D49EE">
            <w:pPr>
              <w:pStyle w:val="EMEANormal"/>
              <w:keepNext/>
              <w:rPr>
                <w:lang w:val="hu-HU"/>
              </w:rPr>
            </w:pPr>
            <w:r w:rsidRPr="00183B5F">
              <w:rPr>
                <w:lang w:val="hu-HU"/>
              </w:rPr>
              <w:t>Ha néhány cseppnél nagyobb mennyiségű folyadék van a beadás helyén, beszéljen kezelőorvosával, a nővérrel vagy a gyógyszerészével.</w:t>
            </w:r>
          </w:p>
          <w:p w14:paraId="51279E04" w14:textId="77777777" w:rsidR="002942B5" w:rsidRPr="00183B5F" w:rsidRDefault="002942B5" w:rsidP="002D49EE">
            <w:pPr>
              <w:pStyle w:val="EMEANormal"/>
              <w:keepNext/>
              <w:rPr>
                <w:lang w:val="hu-HU"/>
              </w:rPr>
            </w:pPr>
          </w:p>
          <w:p w14:paraId="77E5EA73" w14:textId="77777777" w:rsidR="002942B5" w:rsidRPr="00183B5F" w:rsidRDefault="00943743" w:rsidP="002D49EE">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Az injekció beadása után helyezzen egy vattapamacsot vagy gézdarabot a beadás helyére.</w:t>
            </w:r>
          </w:p>
          <w:p w14:paraId="4A60264D" w14:textId="77777777" w:rsidR="002942B5" w:rsidRPr="00183B5F" w:rsidRDefault="002942B5" w:rsidP="002D49EE">
            <w:pPr>
              <w:pStyle w:val="EMEANormal"/>
              <w:keepNext/>
              <w:rPr>
                <w:lang w:val="hu-HU"/>
              </w:rPr>
            </w:pPr>
          </w:p>
          <w:p w14:paraId="65AA40CC" w14:textId="77777777" w:rsidR="002942B5" w:rsidRPr="00183B5F" w:rsidRDefault="00943743" w:rsidP="002D49EE">
            <w:pPr>
              <w:pStyle w:val="EMEAHeadingLeaflet"/>
              <w:keepNext/>
              <w:numPr>
                <w:ilvl w:val="0"/>
                <w:numId w:val="127"/>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lang w:val="hu-HU"/>
              </w:rPr>
              <w:t>Ne</w:t>
            </w:r>
            <w:r w:rsidRPr="00183B5F">
              <w:rPr>
                <w:rFonts w:ascii="Times New Roman" w:hAnsi="Times New Roman"/>
                <w:b w:val="0"/>
                <w:lang w:val="hu-HU"/>
              </w:rPr>
              <w:t xml:space="preserve"> dörzsölje</w:t>
            </w:r>
          </w:p>
          <w:p w14:paraId="4F84B05E" w14:textId="77777777" w:rsidR="002942B5" w:rsidRPr="00183B5F" w:rsidRDefault="00943743" w:rsidP="002D49EE">
            <w:pPr>
              <w:pStyle w:val="EMEANormal"/>
              <w:keepNext/>
              <w:numPr>
                <w:ilvl w:val="0"/>
                <w:numId w:val="127"/>
              </w:numPr>
              <w:tabs>
                <w:tab w:val="clear" w:pos="562"/>
                <w:tab w:val="left" w:pos="757"/>
              </w:tabs>
              <w:ind w:left="757"/>
              <w:rPr>
                <w:lang w:val="hu-HU"/>
              </w:rPr>
            </w:pPr>
            <w:r w:rsidRPr="00183B5F">
              <w:rPr>
                <w:lang w:val="hu-HU"/>
              </w:rPr>
              <w:t>Enyhe vérzés az injekció beadásának helyén normális</w:t>
            </w:r>
          </w:p>
        </w:tc>
      </w:tr>
      <w:tr w:rsidR="00011D2F" w14:paraId="3F6314DF" w14:textId="77777777" w:rsidTr="002942B5">
        <w:tc>
          <w:tcPr>
            <w:tcW w:w="9287" w:type="dxa"/>
            <w:gridSpan w:val="2"/>
          </w:tcPr>
          <w:p w14:paraId="2B795D38" w14:textId="77777777" w:rsidR="002942B5" w:rsidRPr="00183B5F" w:rsidRDefault="00943743" w:rsidP="004062FE">
            <w:pPr>
              <w:keepNext/>
              <w:spacing w:line="240" w:lineRule="auto"/>
              <w:rPr>
                <w:b/>
              </w:rPr>
            </w:pPr>
            <w:r w:rsidRPr="00183B5F">
              <w:rPr>
                <w:b/>
              </w:rPr>
              <w:t>9. lépés</w:t>
            </w:r>
          </w:p>
          <w:p w14:paraId="69F9EB4F" w14:textId="77777777" w:rsidR="002942B5" w:rsidRPr="00183B5F" w:rsidRDefault="002942B5" w:rsidP="004062FE">
            <w:pPr>
              <w:keepNext/>
              <w:spacing w:line="240" w:lineRule="auto"/>
              <w:rPr>
                <w:b/>
              </w:rPr>
            </w:pPr>
          </w:p>
          <w:p w14:paraId="33C517DB" w14:textId="77777777" w:rsidR="002942B5" w:rsidRPr="00183B5F" w:rsidRDefault="00943743">
            <w:pPr>
              <w:pStyle w:val="EMEANormal"/>
              <w:keepNext/>
              <w:rPr>
                <w:szCs w:val="22"/>
                <w:lang w:val="hu-HU"/>
              </w:rPr>
            </w:pPr>
            <w:r w:rsidRPr="00183B5F">
              <w:rPr>
                <w:szCs w:val="22"/>
                <w:lang w:val="hu-HU"/>
              </w:rPr>
              <w:t>Az injekciós tollat dobja egy speciális gyűjtőedénybe a kezelőorvosa, a nővér vagy a gyógyszerésze útmutatásának megfelelően.</w:t>
            </w:r>
          </w:p>
          <w:p w14:paraId="2B310473" w14:textId="77777777" w:rsidR="002942B5" w:rsidRPr="00183B5F" w:rsidRDefault="002942B5">
            <w:pPr>
              <w:pStyle w:val="EMEANormal"/>
              <w:keepNext/>
              <w:rPr>
                <w:lang w:val="hu-HU"/>
              </w:rPr>
            </w:pPr>
          </w:p>
          <w:p w14:paraId="12848C18" w14:textId="77777777" w:rsidR="002942B5" w:rsidRPr="00183B5F" w:rsidRDefault="00943743">
            <w:pPr>
              <w:pStyle w:val="EMEAHeadingLeaflet"/>
              <w:keepNext/>
              <w:numPr>
                <w:ilvl w:val="0"/>
                <w:numId w:val="128"/>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lang w:val="hu-HU"/>
              </w:rPr>
              <w:t xml:space="preserve">Ne </w:t>
            </w:r>
            <w:r w:rsidRPr="00183B5F">
              <w:rPr>
                <w:rFonts w:ascii="Times New Roman" w:hAnsi="Times New Roman"/>
                <w:b w:val="0"/>
                <w:lang w:val="hu-HU"/>
              </w:rPr>
              <w:t>dobja a szelektív vagy a háztartási hulladékba az előretöltött injekciós tollat.</w:t>
            </w:r>
          </w:p>
          <w:p w14:paraId="01FF1FCE" w14:textId="77777777" w:rsidR="002942B5" w:rsidRPr="00183B5F" w:rsidRDefault="00943743">
            <w:pPr>
              <w:pStyle w:val="EMEANormal"/>
              <w:keepNext/>
              <w:numPr>
                <w:ilvl w:val="0"/>
                <w:numId w:val="128"/>
              </w:numPr>
              <w:tabs>
                <w:tab w:val="clear" w:pos="562"/>
                <w:tab w:val="left" w:pos="720"/>
              </w:tabs>
              <w:rPr>
                <w:lang w:val="hu-HU"/>
              </w:rPr>
            </w:pPr>
            <w:r w:rsidRPr="00183B5F">
              <w:rPr>
                <w:lang w:val="hu-HU"/>
              </w:rPr>
              <w:t xml:space="preserve">Az injekciós tollat és a speciális gyűjtőedényt </w:t>
            </w:r>
            <w:r w:rsidRPr="00183B5F">
              <w:rPr>
                <w:b/>
                <w:lang w:val="hu-HU"/>
              </w:rPr>
              <w:t>mindig</w:t>
            </w:r>
            <w:r w:rsidRPr="00183B5F">
              <w:rPr>
                <w:lang w:val="hu-HU"/>
              </w:rPr>
              <w:t xml:space="preserve"> a gyermekektől elzárva kell tartan</w:t>
            </w:r>
            <w:r w:rsidR="00743EDE" w:rsidRPr="00183B5F">
              <w:rPr>
                <w:lang w:val="hu-HU"/>
              </w:rPr>
              <w:t>i</w:t>
            </w:r>
            <w:r w:rsidRPr="00183B5F">
              <w:rPr>
                <w:lang w:val="hu-HU"/>
              </w:rPr>
              <w:t>!</w:t>
            </w:r>
          </w:p>
          <w:p w14:paraId="3373E652" w14:textId="77777777" w:rsidR="003358ED" w:rsidRPr="00183B5F" w:rsidRDefault="003358ED" w:rsidP="004062FE">
            <w:pPr>
              <w:pStyle w:val="EMEANormal"/>
              <w:keepNext/>
              <w:tabs>
                <w:tab w:val="clear" w:pos="562"/>
                <w:tab w:val="left" w:pos="720"/>
              </w:tabs>
              <w:rPr>
                <w:lang w:val="hu-HU"/>
              </w:rPr>
            </w:pPr>
          </w:p>
          <w:p w14:paraId="0057B262" w14:textId="77777777" w:rsidR="002942B5" w:rsidRPr="00183B5F" w:rsidRDefault="00943743">
            <w:pPr>
              <w:pStyle w:val="EMEANormal"/>
              <w:keepNext/>
              <w:rPr>
                <w:lang w:val="hu-HU"/>
              </w:rPr>
            </w:pPr>
            <w:r w:rsidRPr="00183B5F">
              <w:rPr>
                <w:szCs w:val="22"/>
                <w:lang w:val="hu-HU"/>
              </w:rPr>
              <w:t>A kupakokat, az alkoholos törlőt, a vattapamacsot vagy gézdarabot, a buborékcsomagolást és a csomagolást ki lehet dobni a háztartási hulladékba.</w:t>
            </w:r>
          </w:p>
        </w:tc>
      </w:tr>
    </w:tbl>
    <w:p w14:paraId="57247C7D" w14:textId="77777777" w:rsidR="002942B5" w:rsidRPr="00183B5F" w:rsidRDefault="002942B5" w:rsidP="004062FE">
      <w:pPr>
        <w:suppressAutoHyphens w:val="0"/>
        <w:spacing w:line="240" w:lineRule="auto"/>
        <w:rPr>
          <w:szCs w:val="24"/>
        </w:rPr>
      </w:pPr>
    </w:p>
    <w:p w14:paraId="2DC8A898" w14:textId="77777777" w:rsidR="00743EDE" w:rsidRPr="00183B5F" w:rsidRDefault="00943743">
      <w:pPr>
        <w:suppressAutoHyphens w:val="0"/>
        <w:spacing w:line="240" w:lineRule="auto"/>
        <w:rPr>
          <w:szCs w:val="24"/>
        </w:rPr>
      </w:pPr>
      <w:r w:rsidRPr="00183B5F">
        <w:rPr>
          <w:szCs w:val="24"/>
        </w:rPr>
        <w:br w:type="page"/>
      </w:r>
    </w:p>
    <w:p w14:paraId="05F89940" w14:textId="77777777" w:rsidR="00743EDE" w:rsidRPr="00183B5F" w:rsidRDefault="00943743" w:rsidP="004062FE">
      <w:pPr>
        <w:spacing w:line="240" w:lineRule="auto"/>
        <w:ind w:right="-449"/>
        <w:jc w:val="center"/>
        <w:rPr>
          <w:b/>
          <w:noProof/>
          <w:szCs w:val="24"/>
        </w:rPr>
      </w:pPr>
      <w:r w:rsidRPr="00183B5F">
        <w:rPr>
          <w:b/>
          <w:noProof/>
          <w:szCs w:val="24"/>
        </w:rPr>
        <w:t>Betegtájékoztató: Információk a beteg számára</w:t>
      </w:r>
    </w:p>
    <w:p w14:paraId="2D1BF169" w14:textId="77777777" w:rsidR="00743EDE" w:rsidRPr="00183B5F" w:rsidRDefault="00743EDE" w:rsidP="004062FE">
      <w:pPr>
        <w:spacing w:line="240" w:lineRule="auto"/>
        <w:ind w:right="-449"/>
        <w:jc w:val="center"/>
        <w:rPr>
          <w:b/>
          <w:bCs/>
          <w:szCs w:val="22"/>
        </w:rPr>
      </w:pPr>
    </w:p>
    <w:p w14:paraId="240915B9" w14:textId="77777777" w:rsidR="00743EDE" w:rsidRPr="00183B5F" w:rsidRDefault="00943743" w:rsidP="004062FE">
      <w:pPr>
        <w:spacing w:line="240" w:lineRule="auto"/>
        <w:ind w:right="-449"/>
        <w:jc w:val="center"/>
        <w:rPr>
          <w:b/>
          <w:bCs/>
          <w:szCs w:val="22"/>
        </w:rPr>
      </w:pPr>
      <w:r w:rsidRPr="00183B5F">
        <w:rPr>
          <w:b/>
          <w:bCs/>
          <w:szCs w:val="22"/>
        </w:rPr>
        <w:t>Humira 80 mg oldatos injekció előretöltött fecskendőben</w:t>
      </w:r>
    </w:p>
    <w:p w14:paraId="0B93261D" w14:textId="77777777" w:rsidR="00743EDE" w:rsidRPr="00183B5F" w:rsidRDefault="00943743" w:rsidP="004062FE">
      <w:pPr>
        <w:spacing w:line="240" w:lineRule="auto"/>
        <w:ind w:right="-449"/>
        <w:jc w:val="center"/>
        <w:rPr>
          <w:szCs w:val="22"/>
        </w:rPr>
      </w:pPr>
      <w:r w:rsidRPr="00183B5F">
        <w:rPr>
          <w:szCs w:val="22"/>
        </w:rPr>
        <w:t>adalimumab</w:t>
      </w:r>
    </w:p>
    <w:p w14:paraId="2729DA16" w14:textId="77777777" w:rsidR="00743EDE" w:rsidRPr="00183B5F" w:rsidRDefault="00743EDE" w:rsidP="004062FE">
      <w:pPr>
        <w:spacing w:line="240" w:lineRule="auto"/>
        <w:ind w:right="-449"/>
        <w:rPr>
          <w:szCs w:val="22"/>
        </w:rPr>
      </w:pPr>
    </w:p>
    <w:p w14:paraId="0BA056A3" w14:textId="77777777" w:rsidR="00743EDE" w:rsidRPr="00183B5F" w:rsidRDefault="00943743" w:rsidP="004062FE">
      <w:pPr>
        <w:spacing w:line="240" w:lineRule="auto"/>
        <w:rPr>
          <w:b/>
          <w:szCs w:val="22"/>
        </w:rPr>
      </w:pPr>
      <w:r w:rsidRPr="00183B5F">
        <w:rPr>
          <w:b/>
          <w:szCs w:val="22"/>
        </w:rPr>
        <w:t>Mielőtt elkezdi alkalmazni ezt a gyógyszert, olvassa el figyelmesen az alábbi betegtájékoztatót</w:t>
      </w:r>
      <w:r w:rsidRPr="00183B5F">
        <w:rPr>
          <w:b/>
          <w:noProof/>
          <w:szCs w:val="24"/>
        </w:rPr>
        <w:t>, mert az Ön számára fontos információkat tartalmaz</w:t>
      </w:r>
      <w:r w:rsidRPr="00183B5F">
        <w:rPr>
          <w:b/>
          <w:szCs w:val="22"/>
        </w:rPr>
        <w:t>.</w:t>
      </w:r>
    </w:p>
    <w:p w14:paraId="21285A1F" w14:textId="77777777" w:rsidR="00743EDE" w:rsidRPr="00183B5F" w:rsidRDefault="00943743" w:rsidP="004062FE">
      <w:pPr>
        <w:numPr>
          <w:ilvl w:val="0"/>
          <w:numId w:val="129"/>
        </w:numPr>
        <w:spacing w:line="240" w:lineRule="auto"/>
        <w:ind w:left="567" w:hanging="567"/>
        <w:rPr>
          <w:szCs w:val="22"/>
        </w:rPr>
      </w:pPr>
      <w:r w:rsidRPr="00183B5F">
        <w:rPr>
          <w:szCs w:val="22"/>
        </w:rPr>
        <w:t>Tartsa meg a betegtájékoztatót, mert a benne szereplő információkra a későbbiekben is szüksége lehet.</w:t>
      </w:r>
    </w:p>
    <w:p w14:paraId="241625DD" w14:textId="77777777" w:rsidR="00743EDE" w:rsidRPr="00183B5F" w:rsidRDefault="00943743" w:rsidP="004062FE">
      <w:pPr>
        <w:numPr>
          <w:ilvl w:val="0"/>
          <w:numId w:val="129"/>
        </w:numPr>
        <w:spacing w:line="240" w:lineRule="auto"/>
        <w:ind w:left="567" w:hanging="567"/>
        <w:rPr>
          <w:szCs w:val="22"/>
        </w:rPr>
      </w:pPr>
      <w:r w:rsidRPr="00183B5F">
        <w:rPr>
          <w:szCs w:val="22"/>
        </w:rPr>
        <w:t xml:space="preserve">Kezelőorvosától egy </w:t>
      </w:r>
      <w:r w:rsidR="0048779F" w:rsidRPr="00183B5F">
        <w:rPr>
          <w:b/>
          <w:szCs w:val="22"/>
        </w:rPr>
        <w:t>Betegemlékeztető</w:t>
      </w:r>
      <w:r w:rsidRPr="00183B5F">
        <w:rPr>
          <w:b/>
          <w:szCs w:val="22"/>
        </w:rPr>
        <w:t xml:space="preserve"> Kártyát</w:t>
      </w:r>
      <w:r w:rsidRPr="00183B5F">
        <w:rPr>
          <w:szCs w:val="22"/>
        </w:rPr>
        <w:t xml:space="preserve"> is fog kapni fontos biztonsági információkkal, amit a Humira alkalmazása előtt és a Humira</w:t>
      </w:r>
      <w:r w:rsidRPr="00183B5F">
        <w:rPr>
          <w:szCs w:val="22"/>
        </w:rPr>
        <w:noBreakHyphen/>
        <w:t xml:space="preserve">val történő kezelés során is figyelembe kell venni. Tartsa magánál ezt a </w:t>
      </w:r>
      <w:r w:rsidR="0048779F" w:rsidRPr="00183B5F">
        <w:rPr>
          <w:b/>
          <w:szCs w:val="22"/>
        </w:rPr>
        <w:t>Betegemlékeztető</w:t>
      </w:r>
      <w:r w:rsidRPr="00183B5F">
        <w:rPr>
          <w:b/>
          <w:szCs w:val="22"/>
        </w:rPr>
        <w:t xml:space="preserve"> Kártyát</w:t>
      </w:r>
      <w:r w:rsidRPr="00183B5F">
        <w:rPr>
          <w:szCs w:val="22"/>
        </w:rPr>
        <w:t>.</w:t>
      </w:r>
    </w:p>
    <w:p w14:paraId="00B75785" w14:textId="77777777" w:rsidR="00743EDE" w:rsidRPr="00183B5F" w:rsidRDefault="00943743" w:rsidP="004062FE">
      <w:pPr>
        <w:numPr>
          <w:ilvl w:val="0"/>
          <w:numId w:val="129"/>
        </w:numPr>
        <w:spacing w:line="240" w:lineRule="auto"/>
        <w:ind w:left="567" w:hanging="567"/>
        <w:rPr>
          <w:szCs w:val="22"/>
        </w:rPr>
      </w:pPr>
      <w:r w:rsidRPr="00183B5F">
        <w:rPr>
          <w:szCs w:val="22"/>
        </w:rPr>
        <w:t>Kérdéseivel forduljon kezelőorvosához vagy gyógyszerészéhez.</w:t>
      </w:r>
    </w:p>
    <w:p w14:paraId="14A540B1" w14:textId="77777777" w:rsidR="00743EDE" w:rsidRPr="00183B5F" w:rsidRDefault="00943743" w:rsidP="004062FE">
      <w:pPr>
        <w:numPr>
          <w:ilvl w:val="0"/>
          <w:numId w:val="129"/>
        </w:numPr>
        <w:spacing w:line="240" w:lineRule="auto"/>
        <w:ind w:left="567" w:hanging="567"/>
        <w:rPr>
          <w:szCs w:val="22"/>
        </w:rPr>
      </w:pPr>
      <w:r w:rsidRPr="00183B5F">
        <w:rPr>
          <w:szCs w:val="22"/>
        </w:rPr>
        <w:t>Ezt a gyógyszert az orvos kizárólag Önnek írta fel. Ne adja át a készítményt másnak, mert számára ártalmas lehet még abban az esetben is, ha a betegsége tünetei az Önéhez hasonlóak.</w:t>
      </w:r>
    </w:p>
    <w:p w14:paraId="22AF82B2" w14:textId="77777777" w:rsidR="00743EDE" w:rsidRPr="00183B5F" w:rsidRDefault="00943743" w:rsidP="004062FE">
      <w:pPr>
        <w:numPr>
          <w:ilvl w:val="0"/>
          <w:numId w:val="129"/>
        </w:numPr>
        <w:spacing w:line="240" w:lineRule="auto"/>
        <w:ind w:left="567" w:hanging="567"/>
        <w:rPr>
          <w:szCs w:val="22"/>
        </w:rPr>
      </w:pPr>
      <w:r w:rsidRPr="00183B5F">
        <w:rPr>
          <w:szCs w:val="24"/>
        </w:rPr>
        <w:t xml:space="preserve">Ha </w:t>
      </w:r>
      <w:r w:rsidRPr="00183B5F">
        <w:rPr>
          <w:noProof/>
          <w:szCs w:val="24"/>
        </w:rPr>
        <w:t>Önnél bármilyen</w:t>
      </w:r>
      <w:r w:rsidRPr="00183B5F">
        <w:rPr>
          <w:szCs w:val="24"/>
        </w:rPr>
        <w:t xml:space="preserve"> mellékhatás </w:t>
      </w:r>
      <w:r w:rsidRPr="00183B5F">
        <w:rPr>
          <w:noProof/>
          <w:szCs w:val="24"/>
        </w:rPr>
        <w:t>jelentkezik, tájékoztassa erről kezelőorvosát vagy gyógyszerészét. Ez</w:t>
      </w:r>
      <w:r w:rsidRPr="00183B5F">
        <w:rPr>
          <w:szCs w:val="24"/>
        </w:rPr>
        <w:t xml:space="preserve"> a betegtájékoztatóban </w:t>
      </w:r>
      <w:r w:rsidRPr="00183B5F">
        <w:rPr>
          <w:noProof/>
          <w:szCs w:val="24"/>
        </w:rPr>
        <w:t>fel nem sorolt bármilyen lehetséges mellékhatásra is vonatkozik. Lásd 4. pont.</w:t>
      </w:r>
    </w:p>
    <w:p w14:paraId="4235B514" w14:textId="77777777" w:rsidR="00743EDE" w:rsidRPr="00183B5F" w:rsidRDefault="00743EDE" w:rsidP="004062FE">
      <w:pPr>
        <w:spacing w:line="240" w:lineRule="auto"/>
        <w:ind w:right="-2"/>
        <w:rPr>
          <w:szCs w:val="22"/>
        </w:rPr>
      </w:pPr>
    </w:p>
    <w:p w14:paraId="21708A42" w14:textId="77777777" w:rsidR="00743EDE" w:rsidRPr="00183B5F" w:rsidRDefault="00943743" w:rsidP="004062FE">
      <w:pPr>
        <w:spacing w:line="240" w:lineRule="auto"/>
        <w:ind w:right="-2"/>
        <w:rPr>
          <w:b/>
          <w:szCs w:val="22"/>
        </w:rPr>
      </w:pPr>
      <w:r w:rsidRPr="00183B5F">
        <w:rPr>
          <w:b/>
          <w:szCs w:val="22"/>
        </w:rPr>
        <w:t>A betegtájékoztató tartalma:</w:t>
      </w:r>
    </w:p>
    <w:p w14:paraId="7574DACB" w14:textId="77777777" w:rsidR="00743EDE" w:rsidRPr="00183B5F" w:rsidRDefault="00943743" w:rsidP="004062FE">
      <w:pPr>
        <w:spacing w:line="240" w:lineRule="auto"/>
        <w:ind w:left="567" w:right="-29" w:hanging="567"/>
        <w:rPr>
          <w:szCs w:val="22"/>
        </w:rPr>
      </w:pPr>
      <w:r w:rsidRPr="00183B5F">
        <w:rPr>
          <w:szCs w:val="22"/>
        </w:rPr>
        <w:t>1.</w:t>
      </w:r>
      <w:r w:rsidRPr="00183B5F">
        <w:rPr>
          <w:szCs w:val="22"/>
        </w:rPr>
        <w:tab/>
        <w:t>Milyen típusú gyógyszer a Humira és milyen betegségek esetén alkalmazható</w:t>
      </w:r>
      <w:r w:rsidR="00061126" w:rsidRPr="00183B5F">
        <w:rPr>
          <w:szCs w:val="22"/>
        </w:rPr>
        <w:t>?</w:t>
      </w:r>
    </w:p>
    <w:p w14:paraId="1EFA8F44" w14:textId="77777777" w:rsidR="00743EDE" w:rsidRPr="00183B5F" w:rsidRDefault="00943743" w:rsidP="004062FE">
      <w:pPr>
        <w:spacing w:line="240" w:lineRule="auto"/>
        <w:ind w:left="567" w:right="-29" w:hanging="567"/>
        <w:rPr>
          <w:szCs w:val="22"/>
        </w:rPr>
      </w:pPr>
      <w:r w:rsidRPr="00183B5F">
        <w:rPr>
          <w:szCs w:val="22"/>
        </w:rPr>
        <w:t>2.</w:t>
      </w:r>
      <w:r w:rsidRPr="00183B5F">
        <w:rPr>
          <w:szCs w:val="22"/>
        </w:rPr>
        <w:tab/>
        <w:t>Tudnivalók a Humira alkalmazása előtt</w:t>
      </w:r>
    </w:p>
    <w:p w14:paraId="0D56DE60" w14:textId="77777777" w:rsidR="00743EDE" w:rsidRPr="00183B5F" w:rsidRDefault="00943743" w:rsidP="004062FE">
      <w:pPr>
        <w:spacing w:line="240" w:lineRule="auto"/>
        <w:ind w:left="567" w:right="-29" w:hanging="567"/>
        <w:rPr>
          <w:szCs w:val="22"/>
        </w:rPr>
      </w:pPr>
      <w:r w:rsidRPr="00183B5F">
        <w:rPr>
          <w:szCs w:val="22"/>
        </w:rPr>
        <w:t>3.</w:t>
      </w:r>
      <w:r w:rsidRPr="00183B5F">
        <w:rPr>
          <w:szCs w:val="22"/>
        </w:rPr>
        <w:tab/>
        <w:t>Hogyan kell alkalmazni a Humira</w:t>
      </w:r>
      <w:r w:rsidRPr="00183B5F">
        <w:rPr>
          <w:szCs w:val="22"/>
        </w:rPr>
        <w:noBreakHyphen/>
        <w:t>t</w:t>
      </w:r>
      <w:r w:rsidR="00061126" w:rsidRPr="00183B5F">
        <w:rPr>
          <w:szCs w:val="22"/>
        </w:rPr>
        <w:t>?</w:t>
      </w:r>
    </w:p>
    <w:p w14:paraId="589DC4F7" w14:textId="77777777" w:rsidR="00743EDE" w:rsidRPr="00183B5F" w:rsidRDefault="00943743" w:rsidP="004062FE">
      <w:pPr>
        <w:spacing w:line="240" w:lineRule="auto"/>
        <w:ind w:left="567" w:right="-29" w:hanging="567"/>
        <w:rPr>
          <w:szCs w:val="22"/>
        </w:rPr>
      </w:pPr>
      <w:r w:rsidRPr="00183B5F">
        <w:rPr>
          <w:szCs w:val="22"/>
        </w:rPr>
        <w:t>4.</w:t>
      </w:r>
      <w:r w:rsidRPr="00183B5F">
        <w:rPr>
          <w:szCs w:val="22"/>
        </w:rPr>
        <w:tab/>
        <w:t>Lehetséges mellékhatások</w:t>
      </w:r>
    </w:p>
    <w:p w14:paraId="379A2B7F" w14:textId="77777777" w:rsidR="00743EDE" w:rsidRPr="00183B5F" w:rsidRDefault="00943743" w:rsidP="004062FE">
      <w:pPr>
        <w:spacing w:line="240" w:lineRule="auto"/>
        <w:ind w:left="567" w:right="-29" w:hanging="567"/>
        <w:rPr>
          <w:szCs w:val="22"/>
        </w:rPr>
      </w:pPr>
      <w:r w:rsidRPr="00183B5F">
        <w:rPr>
          <w:szCs w:val="22"/>
        </w:rPr>
        <w:t>5.</w:t>
      </w:r>
      <w:r w:rsidRPr="00183B5F">
        <w:rPr>
          <w:szCs w:val="22"/>
        </w:rPr>
        <w:tab/>
        <w:t>Hogyan kell a Humira</w:t>
      </w:r>
      <w:r w:rsidRPr="00183B5F">
        <w:rPr>
          <w:szCs w:val="22"/>
        </w:rPr>
        <w:noBreakHyphen/>
        <w:t>t tárolni</w:t>
      </w:r>
      <w:r w:rsidR="00061126" w:rsidRPr="00183B5F">
        <w:rPr>
          <w:szCs w:val="22"/>
        </w:rPr>
        <w:t>?</w:t>
      </w:r>
    </w:p>
    <w:p w14:paraId="308372F7" w14:textId="77777777" w:rsidR="00743EDE" w:rsidRPr="00183B5F" w:rsidRDefault="00943743" w:rsidP="004062FE">
      <w:pPr>
        <w:spacing w:line="240" w:lineRule="auto"/>
        <w:ind w:left="567" w:right="-29" w:hanging="567"/>
        <w:rPr>
          <w:szCs w:val="22"/>
        </w:rPr>
      </w:pPr>
      <w:r w:rsidRPr="00183B5F">
        <w:rPr>
          <w:szCs w:val="22"/>
        </w:rPr>
        <w:t>6.</w:t>
      </w:r>
      <w:r w:rsidRPr="00183B5F">
        <w:rPr>
          <w:szCs w:val="22"/>
        </w:rPr>
        <w:tab/>
        <w:t>További információk</w:t>
      </w:r>
    </w:p>
    <w:p w14:paraId="3DDE40AD" w14:textId="77777777" w:rsidR="00743EDE" w:rsidRPr="00183B5F" w:rsidRDefault="00943743">
      <w:pPr>
        <w:spacing w:line="240" w:lineRule="auto"/>
        <w:ind w:left="567" w:right="-29" w:hanging="567"/>
        <w:rPr>
          <w:szCs w:val="22"/>
        </w:rPr>
      </w:pPr>
      <w:r w:rsidRPr="00183B5F">
        <w:rPr>
          <w:szCs w:val="22"/>
        </w:rPr>
        <w:t>7.</w:t>
      </w:r>
      <w:r w:rsidRPr="00183B5F">
        <w:rPr>
          <w:szCs w:val="22"/>
        </w:rPr>
        <w:tab/>
      </w:r>
      <w:r w:rsidR="007B1AD3" w:rsidRPr="00183B5F">
        <w:rPr>
          <w:szCs w:val="22"/>
        </w:rPr>
        <w:t>A Humira beadása</w:t>
      </w:r>
    </w:p>
    <w:p w14:paraId="1264099D" w14:textId="77777777" w:rsidR="00743EDE" w:rsidRPr="00183B5F" w:rsidRDefault="00743EDE" w:rsidP="004062FE">
      <w:pPr>
        <w:spacing w:line="240" w:lineRule="auto"/>
        <w:ind w:right="-2"/>
        <w:rPr>
          <w:szCs w:val="22"/>
        </w:rPr>
      </w:pPr>
    </w:p>
    <w:p w14:paraId="22D17A91" w14:textId="77777777" w:rsidR="00743EDE" w:rsidRPr="00183B5F" w:rsidRDefault="00743EDE" w:rsidP="004062FE">
      <w:pPr>
        <w:spacing w:line="240" w:lineRule="auto"/>
        <w:ind w:right="-2"/>
        <w:rPr>
          <w:szCs w:val="22"/>
        </w:rPr>
      </w:pPr>
    </w:p>
    <w:p w14:paraId="5957DECC" w14:textId="77777777" w:rsidR="00743EDE" w:rsidRPr="00183B5F" w:rsidRDefault="00943743" w:rsidP="004062FE">
      <w:pPr>
        <w:spacing w:line="240" w:lineRule="auto"/>
        <w:ind w:left="567" w:right="-2" w:hanging="567"/>
        <w:rPr>
          <w:b/>
          <w:szCs w:val="22"/>
        </w:rPr>
      </w:pPr>
      <w:r w:rsidRPr="00183B5F">
        <w:rPr>
          <w:b/>
          <w:szCs w:val="22"/>
        </w:rPr>
        <w:t>1.</w:t>
      </w:r>
      <w:r w:rsidRPr="00183B5F">
        <w:rPr>
          <w:b/>
          <w:szCs w:val="22"/>
        </w:rPr>
        <w:tab/>
      </w:r>
      <w:r w:rsidRPr="00183B5F">
        <w:rPr>
          <w:b/>
          <w:szCs w:val="22"/>
        </w:rPr>
        <w:t>Milyen típusú gyógyszer a Humira és milyen betegségek esetén alkalmazható</w:t>
      </w:r>
      <w:r w:rsidR="00061126" w:rsidRPr="00183B5F">
        <w:rPr>
          <w:b/>
          <w:szCs w:val="22"/>
        </w:rPr>
        <w:t>?</w:t>
      </w:r>
    </w:p>
    <w:p w14:paraId="1B0B14F3" w14:textId="77777777" w:rsidR="00743EDE" w:rsidRPr="00183B5F" w:rsidRDefault="00743EDE" w:rsidP="004062FE">
      <w:pPr>
        <w:spacing w:line="240" w:lineRule="auto"/>
        <w:ind w:right="-2" w:firstLine="567"/>
        <w:rPr>
          <w:szCs w:val="22"/>
        </w:rPr>
      </w:pPr>
    </w:p>
    <w:p w14:paraId="132F63C7" w14:textId="77777777" w:rsidR="003358ED" w:rsidRPr="00183B5F" w:rsidRDefault="00943743" w:rsidP="004062FE">
      <w:pPr>
        <w:spacing w:line="240" w:lineRule="auto"/>
        <w:ind w:right="-2"/>
        <w:rPr>
          <w:szCs w:val="22"/>
        </w:rPr>
      </w:pPr>
      <w:r w:rsidRPr="00183B5F">
        <w:rPr>
          <w:szCs w:val="22"/>
        </w:rPr>
        <w:t>A Humira hatóanyaga az adalimumab.</w:t>
      </w:r>
    </w:p>
    <w:p w14:paraId="1C13974C" w14:textId="77777777" w:rsidR="00743EDE" w:rsidRPr="00183B5F" w:rsidRDefault="00743EDE" w:rsidP="004062FE">
      <w:pPr>
        <w:spacing w:line="240" w:lineRule="auto"/>
        <w:ind w:right="-2"/>
        <w:rPr>
          <w:szCs w:val="22"/>
        </w:rPr>
      </w:pPr>
    </w:p>
    <w:p w14:paraId="369FF575" w14:textId="77777777" w:rsidR="00743EDE" w:rsidRPr="00183B5F" w:rsidRDefault="00943743" w:rsidP="004062FE">
      <w:pPr>
        <w:spacing w:line="240" w:lineRule="auto"/>
        <w:ind w:right="-2"/>
        <w:rPr>
          <w:szCs w:val="22"/>
        </w:rPr>
      </w:pPr>
      <w:r w:rsidRPr="00183B5F">
        <w:rPr>
          <w:szCs w:val="22"/>
        </w:rPr>
        <w:t>A Humira az alábbi betegségek kezelésére alkalmazható:</w:t>
      </w:r>
    </w:p>
    <w:p w14:paraId="319861D8" w14:textId="77777777" w:rsidR="00DA59DA" w:rsidRPr="00183B5F" w:rsidRDefault="00943743" w:rsidP="0009469D">
      <w:pPr>
        <w:numPr>
          <w:ilvl w:val="0"/>
          <w:numId w:val="191"/>
        </w:numPr>
        <w:spacing w:line="240" w:lineRule="auto"/>
        <w:ind w:right="-2"/>
        <w:rPr>
          <w:szCs w:val="22"/>
        </w:rPr>
      </w:pPr>
      <w:r w:rsidRPr="00183B5F">
        <w:rPr>
          <w:szCs w:val="22"/>
        </w:rPr>
        <w:t>Reumás ízületi gyulladás (reumatoid artritisz)</w:t>
      </w:r>
    </w:p>
    <w:p w14:paraId="3DEE7B3A" w14:textId="77777777" w:rsidR="00743EDE" w:rsidRPr="00183B5F" w:rsidRDefault="00943743" w:rsidP="004062FE">
      <w:pPr>
        <w:numPr>
          <w:ilvl w:val="0"/>
          <w:numId w:val="76"/>
        </w:numPr>
        <w:spacing w:line="240" w:lineRule="auto"/>
        <w:ind w:right="-2"/>
        <w:rPr>
          <w:szCs w:val="22"/>
        </w:rPr>
      </w:pPr>
      <w:r w:rsidRPr="00183B5F">
        <w:rPr>
          <w:szCs w:val="22"/>
        </w:rPr>
        <w:t>Pikkelysömör (pszoriázis)</w:t>
      </w:r>
    </w:p>
    <w:p w14:paraId="00FA3F29" w14:textId="77777777" w:rsidR="00743EDE" w:rsidRPr="00183B5F" w:rsidRDefault="00943743" w:rsidP="004062FE">
      <w:pPr>
        <w:keepNext/>
        <w:numPr>
          <w:ilvl w:val="0"/>
          <w:numId w:val="76"/>
        </w:numPr>
        <w:spacing w:line="240" w:lineRule="auto"/>
        <w:rPr>
          <w:bCs/>
          <w:szCs w:val="22"/>
        </w:rPr>
      </w:pPr>
      <w:r w:rsidRPr="00183B5F">
        <w:rPr>
          <w:szCs w:val="22"/>
        </w:rPr>
        <w:t>Gennyes verejtékmirigy-gyulladás (hidradenitisz szuppuratíva)</w:t>
      </w:r>
    </w:p>
    <w:p w14:paraId="1B55A844" w14:textId="77777777" w:rsidR="00743EDE" w:rsidRPr="00183B5F" w:rsidRDefault="00943743" w:rsidP="004062FE">
      <w:pPr>
        <w:numPr>
          <w:ilvl w:val="0"/>
          <w:numId w:val="76"/>
        </w:numPr>
        <w:spacing w:line="240" w:lineRule="auto"/>
        <w:ind w:right="-2"/>
        <w:rPr>
          <w:szCs w:val="22"/>
        </w:rPr>
      </w:pPr>
      <w:r w:rsidRPr="00183B5F">
        <w:rPr>
          <w:szCs w:val="22"/>
        </w:rPr>
        <w:t>A bélfal minden rétegére kiterjedő, nem fertőzéses eredetű gyulladás (Crohn</w:t>
      </w:r>
      <w:r w:rsidRPr="00183B5F">
        <w:rPr>
          <w:szCs w:val="22"/>
        </w:rPr>
        <w:noBreakHyphen/>
        <w:t>betegség)</w:t>
      </w:r>
    </w:p>
    <w:p w14:paraId="4024FE2A" w14:textId="77777777" w:rsidR="00743EDE" w:rsidRPr="00183B5F" w:rsidRDefault="00943743" w:rsidP="004062FE">
      <w:pPr>
        <w:keepNext/>
        <w:numPr>
          <w:ilvl w:val="0"/>
          <w:numId w:val="76"/>
        </w:numPr>
        <w:suppressAutoHyphens w:val="0"/>
        <w:autoSpaceDE w:val="0"/>
        <w:autoSpaceDN w:val="0"/>
        <w:adjustRightInd w:val="0"/>
        <w:spacing w:line="240" w:lineRule="auto"/>
        <w:rPr>
          <w:szCs w:val="22"/>
        </w:rPr>
      </w:pPr>
      <w:r w:rsidRPr="00183B5F">
        <w:rPr>
          <w:szCs w:val="22"/>
        </w:rPr>
        <w:t>Nem fertőzéses eredetű, kifekélyesedő vastagbélgyulladás (kolitisz ulceróza)</w:t>
      </w:r>
    </w:p>
    <w:p w14:paraId="66375ED8" w14:textId="77777777" w:rsidR="00743EDE" w:rsidRPr="00183B5F" w:rsidRDefault="00943743" w:rsidP="004062FE">
      <w:pPr>
        <w:keepNext/>
        <w:numPr>
          <w:ilvl w:val="0"/>
          <w:numId w:val="76"/>
        </w:numPr>
        <w:suppressAutoHyphens w:val="0"/>
        <w:autoSpaceDE w:val="0"/>
        <w:autoSpaceDN w:val="0"/>
        <w:adjustRightInd w:val="0"/>
        <w:spacing w:line="240" w:lineRule="auto"/>
        <w:rPr>
          <w:szCs w:val="22"/>
        </w:rPr>
      </w:pPr>
      <w:r w:rsidRPr="00183B5F">
        <w:rPr>
          <w:szCs w:val="22"/>
        </w:rPr>
        <w:t>Nem fertőzéses eredetű szemgyulladás (uveitisz)</w:t>
      </w:r>
    </w:p>
    <w:p w14:paraId="753E74DC" w14:textId="77777777" w:rsidR="00743EDE" w:rsidRPr="00183B5F" w:rsidRDefault="00743EDE" w:rsidP="004062FE">
      <w:pPr>
        <w:spacing w:line="240" w:lineRule="auto"/>
        <w:ind w:right="-2"/>
        <w:rPr>
          <w:szCs w:val="22"/>
          <w:u w:val="single"/>
        </w:rPr>
      </w:pPr>
    </w:p>
    <w:p w14:paraId="78160771" w14:textId="77777777" w:rsidR="003358ED" w:rsidRPr="00183B5F" w:rsidRDefault="00943743" w:rsidP="004062FE">
      <w:pPr>
        <w:spacing w:line="240" w:lineRule="auto"/>
        <w:ind w:right="-2"/>
        <w:rPr>
          <w:szCs w:val="22"/>
        </w:rPr>
      </w:pPr>
      <w:r w:rsidRPr="00183B5F">
        <w:rPr>
          <w:szCs w:val="22"/>
        </w:rPr>
        <w:t>A Humira hatóanyaga, az adalimumab egy emberi monoklonális antitest (ellenanyag). A monoklonális antitestek fehérjék, amelyek speciális célponthoz kötődnek.</w:t>
      </w:r>
    </w:p>
    <w:p w14:paraId="00286D12" w14:textId="77777777" w:rsidR="003358ED" w:rsidRPr="00183B5F" w:rsidRDefault="003358ED" w:rsidP="004062FE">
      <w:pPr>
        <w:spacing w:line="240" w:lineRule="auto"/>
        <w:ind w:right="-2"/>
        <w:rPr>
          <w:szCs w:val="22"/>
        </w:rPr>
      </w:pPr>
    </w:p>
    <w:p w14:paraId="29ECF820" w14:textId="77777777" w:rsidR="003358ED" w:rsidRPr="00183B5F" w:rsidRDefault="00943743" w:rsidP="004062FE">
      <w:pPr>
        <w:spacing w:line="240" w:lineRule="auto"/>
        <w:ind w:right="-2"/>
        <w:rPr>
          <w:szCs w:val="22"/>
        </w:rPr>
      </w:pPr>
      <w:r w:rsidRPr="00183B5F">
        <w:rPr>
          <w:szCs w:val="22"/>
        </w:rPr>
        <w:t>Az adalim</w:t>
      </w:r>
      <w:r w:rsidR="0036605D" w:rsidRPr="00183B5F">
        <w:rPr>
          <w:szCs w:val="22"/>
        </w:rPr>
        <w:t>um</w:t>
      </w:r>
      <w:r w:rsidRPr="00183B5F">
        <w:rPr>
          <w:szCs w:val="22"/>
        </w:rPr>
        <w:t>ab célpontja a tumor nekrózis faktor (TNF</w:t>
      </w:r>
      <w:r w:rsidRPr="00183B5F">
        <w:rPr>
          <w:noProof/>
          <w:color w:val="000000"/>
          <w:szCs w:val="22"/>
        </w:rPr>
        <w:t>α</w:t>
      </w:r>
      <w:r w:rsidRPr="00183B5F">
        <w:rPr>
          <w:szCs w:val="22"/>
        </w:rPr>
        <w:t xml:space="preserve">) nevű fehérje, mely az immun (védekező) rendszer működésében vesz részt, és a fent felsorolt gyulladásos betegségekben </w:t>
      </w:r>
      <w:r w:rsidR="006D0725" w:rsidRPr="00183B5F">
        <w:rPr>
          <w:szCs w:val="22"/>
        </w:rPr>
        <w:t>megnövekedett</w:t>
      </w:r>
      <w:r w:rsidRPr="00183B5F">
        <w:rPr>
          <w:szCs w:val="22"/>
        </w:rPr>
        <w:t xml:space="preserve"> mennyiségben van jelen. A TNF</w:t>
      </w:r>
      <w:r w:rsidRPr="00183B5F">
        <w:rPr>
          <w:noProof/>
          <w:color w:val="000000"/>
          <w:szCs w:val="22"/>
        </w:rPr>
        <w:t>α</w:t>
      </w:r>
      <w:r w:rsidRPr="00183B5F">
        <w:rPr>
          <w:szCs w:val="22"/>
        </w:rPr>
        <w:noBreakHyphen/>
        <w:t>hoz való kötődéssel a Humira csökkenti ezen betegségek gyulladásos folyamatait.</w:t>
      </w:r>
    </w:p>
    <w:p w14:paraId="02F79A07" w14:textId="77777777" w:rsidR="00DA59DA" w:rsidRPr="00183B5F" w:rsidRDefault="00DA59DA" w:rsidP="00DA59DA">
      <w:pPr>
        <w:spacing w:line="240" w:lineRule="auto"/>
        <w:ind w:right="-2"/>
        <w:rPr>
          <w:szCs w:val="22"/>
          <w:u w:val="single"/>
        </w:rPr>
      </w:pPr>
    </w:p>
    <w:p w14:paraId="6FDCBB75" w14:textId="77777777" w:rsidR="00DA59DA" w:rsidRPr="00183B5F" w:rsidRDefault="00943743" w:rsidP="00DA59DA">
      <w:pPr>
        <w:keepNext/>
        <w:spacing w:line="240" w:lineRule="auto"/>
        <w:rPr>
          <w:b/>
          <w:szCs w:val="22"/>
        </w:rPr>
      </w:pPr>
      <w:r w:rsidRPr="00183B5F">
        <w:rPr>
          <w:b/>
          <w:szCs w:val="22"/>
        </w:rPr>
        <w:t>Reumatoid artritisz</w:t>
      </w:r>
    </w:p>
    <w:p w14:paraId="02106B33" w14:textId="77777777" w:rsidR="00DA59DA" w:rsidRPr="00183B5F" w:rsidRDefault="00DA59DA" w:rsidP="00DA59DA">
      <w:pPr>
        <w:keepNext/>
        <w:spacing w:line="240" w:lineRule="auto"/>
        <w:rPr>
          <w:szCs w:val="22"/>
        </w:rPr>
      </w:pPr>
    </w:p>
    <w:p w14:paraId="4AED391A" w14:textId="77777777" w:rsidR="00DA59DA" w:rsidRPr="00183B5F" w:rsidRDefault="00943743" w:rsidP="00DA59DA">
      <w:pPr>
        <w:keepNext/>
        <w:spacing w:line="240" w:lineRule="auto"/>
        <w:rPr>
          <w:szCs w:val="22"/>
        </w:rPr>
      </w:pPr>
      <w:r w:rsidRPr="00183B5F">
        <w:rPr>
          <w:szCs w:val="22"/>
        </w:rPr>
        <w:t>A reumatoid artritisz az ízületek gyulladásos betegsége.</w:t>
      </w:r>
    </w:p>
    <w:p w14:paraId="09B46F6C" w14:textId="77777777" w:rsidR="00DA59DA" w:rsidRPr="00183B5F" w:rsidRDefault="00DA59DA" w:rsidP="00DA59DA">
      <w:pPr>
        <w:spacing w:line="240" w:lineRule="auto"/>
        <w:ind w:right="-2"/>
        <w:rPr>
          <w:szCs w:val="22"/>
        </w:rPr>
      </w:pPr>
    </w:p>
    <w:p w14:paraId="6A232599" w14:textId="77777777" w:rsidR="00DA59DA" w:rsidRPr="00183B5F" w:rsidRDefault="00943743" w:rsidP="00DA59DA">
      <w:pPr>
        <w:spacing w:line="240" w:lineRule="auto"/>
        <w:ind w:right="-2"/>
        <w:rPr>
          <w:szCs w:val="22"/>
        </w:rPr>
      </w:pPr>
      <w:r w:rsidRPr="00183B5F">
        <w:rPr>
          <w:szCs w:val="22"/>
        </w:rPr>
        <w:t>A Humira alkalmazható közepesen súlyos - súlyos felnőttkori reumatoid arthritisz kezelésére. Ön először egyéb betegséget módosító gyógyszereket (</w:t>
      </w:r>
      <w:r w:rsidR="00E05701" w:rsidRPr="00183B5F">
        <w:rPr>
          <w:bCs/>
          <w:szCs w:val="22"/>
        </w:rPr>
        <w:t>például</w:t>
      </w:r>
      <w:r w:rsidRPr="00183B5F">
        <w:rPr>
          <w:szCs w:val="22"/>
        </w:rPr>
        <w:t xml:space="preserve"> metotrexátot) kaphat. Ha Ön nem reagál kellőképpen ezekre a gyógyszerekre, akkor Humira</w:t>
      </w:r>
      <w:r w:rsidRPr="00183B5F">
        <w:rPr>
          <w:szCs w:val="22"/>
        </w:rPr>
        <w:noBreakHyphen/>
        <w:t>t fog kapni.</w:t>
      </w:r>
    </w:p>
    <w:p w14:paraId="61665498" w14:textId="77777777" w:rsidR="00DA59DA" w:rsidRPr="00183B5F" w:rsidRDefault="00DA59DA" w:rsidP="00DA59DA">
      <w:pPr>
        <w:spacing w:line="240" w:lineRule="auto"/>
        <w:ind w:right="-2"/>
        <w:rPr>
          <w:szCs w:val="22"/>
        </w:rPr>
      </w:pPr>
    </w:p>
    <w:p w14:paraId="2DC82848" w14:textId="77777777" w:rsidR="00DA59DA" w:rsidRPr="00183B5F" w:rsidRDefault="00943743" w:rsidP="00DA59DA">
      <w:pPr>
        <w:spacing w:line="240" w:lineRule="auto"/>
        <w:ind w:right="-2"/>
        <w:rPr>
          <w:szCs w:val="22"/>
        </w:rPr>
      </w:pPr>
      <w:r w:rsidRPr="00183B5F">
        <w:rPr>
          <w:szCs w:val="22"/>
        </w:rPr>
        <w:t xml:space="preserve">A Humira-t használni lehet súlyos, aktív és súlyosbodó reumatoid artritiszben előzetes </w:t>
      </w:r>
      <w:r w:rsidR="001A6E66" w:rsidRPr="00183B5F">
        <w:rPr>
          <w:szCs w:val="22"/>
        </w:rPr>
        <w:t>metotrexát-keze</w:t>
      </w:r>
      <w:r w:rsidRPr="00183B5F">
        <w:rPr>
          <w:szCs w:val="22"/>
        </w:rPr>
        <w:t>lés nélkül is.</w:t>
      </w:r>
    </w:p>
    <w:p w14:paraId="72BE1C8F" w14:textId="77777777" w:rsidR="00DA59DA" w:rsidRPr="00183B5F" w:rsidRDefault="00DA59DA" w:rsidP="00DA59DA">
      <w:pPr>
        <w:spacing w:line="240" w:lineRule="auto"/>
        <w:ind w:right="-2"/>
        <w:rPr>
          <w:szCs w:val="22"/>
        </w:rPr>
      </w:pPr>
    </w:p>
    <w:p w14:paraId="025A81F4" w14:textId="77777777" w:rsidR="00DA59DA" w:rsidRPr="00183B5F" w:rsidRDefault="00943743" w:rsidP="00DA59DA">
      <w:pPr>
        <w:spacing w:line="240" w:lineRule="auto"/>
        <w:ind w:right="-2"/>
        <w:rPr>
          <w:szCs w:val="22"/>
        </w:rPr>
      </w:pPr>
      <w:r w:rsidRPr="00183B5F">
        <w:rPr>
          <w:szCs w:val="22"/>
        </w:rPr>
        <w:t>A Humira lelassítja a gyulladásos betegség okozta ízületi károsodást és segíti a szabadabb mozgást.</w:t>
      </w:r>
    </w:p>
    <w:p w14:paraId="6538259C" w14:textId="77777777" w:rsidR="00DA59DA" w:rsidRPr="00183B5F" w:rsidRDefault="00DA59DA" w:rsidP="00DA59DA">
      <w:pPr>
        <w:spacing w:line="240" w:lineRule="auto"/>
        <w:ind w:right="-2"/>
        <w:rPr>
          <w:szCs w:val="22"/>
        </w:rPr>
      </w:pPr>
    </w:p>
    <w:p w14:paraId="3607C5D0" w14:textId="77777777" w:rsidR="00DA59DA" w:rsidRPr="00183B5F" w:rsidRDefault="00943743" w:rsidP="004062FE">
      <w:pPr>
        <w:spacing w:line="240" w:lineRule="auto"/>
        <w:ind w:right="-2"/>
        <w:rPr>
          <w:szCs w:val="22"/>
        </w:rPr>
      </w:pPr>
      <w:r w:rsidRPr="00183B5F">
        <w:rPr>
          <w:szCs w:val="22"/>
        </w:rPr>
        <w:t>Az Ön kezelőorvosa fogja eldönteni, hogy a Humira-t metotrexáttal együtt, vagy önmagában alkalmazza.</w:t>
      </w:r>
    </w:p>
    <w:p w14:paraId="633C9BDF" w14:textId="77777777" w:rsidR="00743EDE" w:rsidRPr="00183B5F" w:rsidRDefault="00743EDE" w:rsidP="004062FE">
      <w:pPr>
        <w:spacing w:line="240" w:lineRule="auto"/>
        <w:ind w:right="-2"/>
        <w:rPr>
          <w:szCs w:val="22"/>
          <w:u w:val="single"/>
        </w:rPr>
      </w:pPr>
    </w:p>
    <w:p w14:paraId="273495A7" w14:textId="77777777" w:rsidR="00743EDE" w:rsidRPr="00183B5F" w:rsidRDefault="00943743">
      <w:pPr>
        <w:pStyle w:val="DefaultText"/>
        <w:rPr>
          <w:rFonts w:ascii="Times New Roman" w:hAnsi="Times New Roman"/>
          <w:szCs w:val="22"/>
          <w:u w:val="single"/>
          <w:lang w:val="hu-HU"/>
        </w:rPr>
      </w:pPr>
      <w:r w:rsidRPr="00183B5F">
        <w:rPr>
          <w:rFonts w:ascii="Times New Roman" w:hAnsi="Times New Roman"/>
          <w:b/>
          <w:szCs w:val="22"/>
          <w:lang w:val="hu-HU"/>
        </w:rPr>
        <w:t>Pikkelysömör (pszoriázis)</w:t>
      </w:r>
    </w:p>
    <w:p w14:paraId="275DE0C4" w14:textId="77777777" w:rsidR="00743EDE" w:rsidRPr="00183B5F" w:rsidRDefault="00743EDE">
      <w:pPr>
        <w:pStyle w:val="DefaultText"/>
        <w:rPr>
          <w:rFonts w:ascii="Times New Roman" w:hAnsi="Times New Roman"/>
          <w:szCs w:val="22"/>
          <w:u w:val="single"/>
          <w:lang w:val="hu-HU"/>
        </w:rPr>
      </w:pPr>
    </w:p>
    <w:p w14:paraId="5784826A" w14:textId="77777777" w:rsidR="00743EDE" w:rsidRPr="00183B5F" w:rsidRDefault="00943743">
      <w:pPr>
        <w:pStyle w:val="DefaultText"/>
        <w:rPr>
          <w:rFonts w:ascii="Times New Roman" w:hAnsi="Times New Roman"/>
          <w:szCs w:val="22"/>
          <w:lang w:val="hu-HU"/>
        </w:rPr>
      </w:pPr>
      <w:r w:rsidRPr="00183B5F">
        <w:rPr>
          <w:rFonts w:ascii="Times New Roman" w:hAnsi="Times New Roman"/>
          <w:szCs w:val="22"/>
          <w:lang w:val="hu-HU"/>
        </w:rPr>
        <w:t xml:space="preserve">A plakkos </w:t>
      </w:r>
      <w:r w:rsidRPr="00183B5F">
        <w:rPr>
          <w:rFonts w:ascii="Times New Roman" w:hAnsi="Times New Roman"/>
          <w:bCs w:val="0"/>
          <w:szCs w:val="22"/>
          <w:lang w:val="hu-HU"/>
        </w:rPr>
        <w:t>pszoriázis</w:t>
      </w:r>
      <w:r w:rsidRPr="00183B5F">
        <w:rPr>
          <w:bCs w:val="0"/>
          <w:szCs w:val="22"/>
          <w:lang w:val="hu-HU"/>
        </w:rPr>
        <w:t xml:space="preserve"> </w:t>
      </w:r>
      <w:r w:rsidRPr="00183B5F">
        <w:rPr>
          <w:rFonts w:ascii="Times New Roman" w:hAnsi="Times New Roman"/>
          <w:szCs w:val="22"/>
          <w:lang w:val="hu-HU"/>
        </w:rPr>
        <w:t>egy bőrbetegség, ami ezüstös pikkelyekkel borított piros, hámló, kérges foltokat okoz a bőrön. A plakkos pszoriázis a körmöket is érintheti, a köröm töredezését, megvastagodását, a körömágytól való elválását okozva, ami fájdalmas lehet.</w:t>
      </w:r>
    </w:p>
    <w:p w14:paraId="118BF3BA" w14:textId="77777777" w:rsidR="00743EDE" w:rsidRPr="00183B5F" w:rsidRDefault="00743EDE">
      <w:pPr>
        <w:pStyle w:val="DefaultText"/>
        <w:rPr>
          <w:rFonts w:ascii="Times New Roman" w:hAnsi="Times New Roman"/>
          <w:szCs w:val="22"/>
          <w:u w:val="single"/>
          <w:lang w:val="hu-HU"/>
        </w:rPr>
      </w:pPr>
    </w:p>
    <w:p w14:paraId="4111EA88" w14:textId="77777777" w:rsidR="00743EDE" w:rsidRPr="00183B5F" w:rsidRDefault="00943743" w:rsidP="004062FE">
      <w:pPr>
        <w:spacing w:line="240" w:lineRule="auto"/>
        <w:ind w:right="-2"/>
        <w:rPr>
          <w:szCs w:val="22"/>
        </w:rPr>
      </w:pPr>
      <w:r w:rsidRPr="00183B5F">
        <w:rPr>
          <w:szCs w:val="22"/>
        </w:rPr>
        <w:t>A Humira alkalmazható a közepesen súlyos - súlyos, idült felnőttkori pszoriázis</w:t>
      </w:r>
      <w:r w:rsidR="002E55DE" w:rsidRPr="00183B5F">
        <w:rPr>
          <w:szCs w:val="22"/>
        </w:rPr>
        <w:t xml:space="preserve"> kezelésére</w:t>
      </w:r>
      <w:r w:rsidRPr="00183B5F">
        <w:rPr>
          <w:bCs/>
          <w:szCs w:val="22"/>
        </w:rPr>
        <w:t>.</w:t>
      </w:r>
    </w:p>
    <w:p w14:paraId="675F3394" w14:textId="77777777" w:rsidR="00743EDE" w:rsidRPr="00183B5F" w:rsidRDefault="00743EDE" w:rsidP="004062FE">
      <w:pPr>
        <w:spacing w:line="240" w:lineRule="auto"/>
        <w:ind w:right="-2"/>
        <w:rPr>
          <w:bCs/>
          <w:szCs w:val="22"/>
          <w:u w:val="single"/>
        </w:rPr>
      </w:pPr>
    </w:p>
    <w:p w14:paraId="4A4A9C3E" w14:textId="77777777" w:rsidR="00743EDE" w:rsidRPr="00183B5F" w:rsidRDefault="00943743" w:rsidP="004062FE">
      <w:pPr>
        <w:keepNext/>
        <w:spacing w:line="240" w:lineRule="auto"/>
        <w:rPr>
          <w:b/>
          <w:bCs/>
          <w:szCs w:val="22"/>
        </w:rPr>
      </w:pPr>
      <w:r w:rsidRPr="00183B5F">
        <w:rPr>
          <w:b/>
          <w:szCs w:val="22"/>
        </w:rPr>
        <w:t>Hidradenitisz szuppuratíva</w:t>
      </w:r>
    </w:p>
    <w:p w14:paraId="2B58CA72" w14:textId="77777777" w:rsidR="00743EDE" w:rsidRPr="00183B5F" w:rsidRDefault="00743EDE" w:rsidP="004062FE">
      <w:pPr>
        <w:keepNext/>
        <w:spacing w:line="240" w:lineRule="auto"/>
        <w:rPr>
          <w:bCs/>
          <w:szCs w:val="22"/>
          <w:u w:val="single"/>
        </w:rPr>
      </w:pPr>
    </w:p>
    <w:p w14:paraId="085B3BAD" w14:textId="77777777" w:rsidR="00743EDE" w:rsidRPr="00183B5F" w:rsidRDefault="00943743" w:rsidP="004062FE">
      <w:pPr>
        <w:spacing w:line="240" w:lineRule="auto"/>
        <w:ind w:right="-2"/>
        <w:rPr>
          <w:bCs/>
          <w:szCs w:val="22"/>
        </w:rPr>
      </w:pPr>
      <w:r w:rsidRPr="00183B5F">
        <w:rPr>
          <w:bCs/>
          <w:szCs w:val="22"/>
        </w:rPr>
        <w:t xml:space="preserve">A </w:t>
      </w:r>
      <w:r w:rsidRPr="00183B5F">
        <w:rPr>
          <w:szCs w:val="22"/>
        </w:rPr>
        <w:t>hidradenitisz szuppuratíva</w:t>
      </w:r>
      <w:r w:rsidRPr="00183B5F">
        <w:rPr>
          <w:bCs/>
          <w:szCs w:val="22"/>
        </w:rPr>
        <w:t xml:space="preserve"> (más néven inverz akne) egy krónikus és gyakran fájdalmas, gyulladásos bőrbetegség. A tünetek közé tartozhatnak a bőr alatti gócok (csomók) és tályogok (kelések), melyekből genny szivároghat. Ez leggyakrabban a bőr bizonyos területein jelenik meg, </w:t>
      </w:r>
      <w:r w:rsidR="00E05701" w:rsidRPr="00183B5F">
        <w:rPr>
          <w:bCs/>
          <w:szCs w:val="22"/>
        </w:rPr>
        <w:t>például</w:t>
      </w:r>
      <w:r w:rsidRPr="00183B5F">
        <w:rPr>
          <w:bCs/>
          <w:szCs w:val="22"/>
        </w:rPr>
        <w:t> a mellek alatt, hónaljban, a combok belső felszínén, lágyékon és fenéken. Hegesedés is előfordulhat az érintett területeken.</w:t>
      </w:r>
    </w:p>
    <w:p w14:paraId="2F0D2188" w14:textId="77777777" w:rsidR="00743EDE" w:rsidRPr="00183B5F" w:rsidRDefault="00743EDE" w:rsidP="004062FE">
      <w:pPr>
        <w:spacing w:line="240" w:lineRule="auto"/>
        <w:ind w:right="-2"/>
        <w:rPr>
          <w:bCs/>
          <w:szCs w:val="22"/>
        </w:rPr>
      </w:pPr>
    </w:p>
    <w:p w14:paraId="25CC3566" w14:textId="77777777" w:rsidR="00743EDE" w:rsidRPr="00183B5F" w:rsidRDefault="00943743" w:rsidP="004062FE">
      <w:pPr>
        <w:spacing w:line="240" w:lineRule="auto"/>
        <w:ind w:right="-2"/>
        <w:rPr>
          <w:bCs/>
          <w:szCs w:val="22"/>
        </w:rPr>
      </w:pPr>
      <w:r w:rsidRPr="00183B5F">
        <w:rPr>
          <w:bCs/>
          <w:szCs w:val="22"/>
        </w:rPr>
        <w:t>A Humira alkalmazható</w:t>
      </w:r>
    </w:p>
    <w:p w14:paraId="26295F7A" w14:textId="77777777" w:rsidR="00743EDE" w:rsidRPr="00183B5F" w:rsidRDefault="00943743" w:rsidP="004062FE">
      <w:pPr>
        <w:pStyle w:val="ListParagraph"/>
        <w:numPr>
          <w:ilvl w:val="0"/>
          <w:numId w:val="131"/>
        </w:numPr>
        <w:spacing w:line="240" w:lineRule="auto"/>
        <w:ind w:right="-2"/>
        <w:rPr>
          <w:bCs/>
          <w:szCs w:val="22"/>
        </w:rPr>
      </w:pPr>
      <w:r w:rsidRPr="00183B5F">
        <w:rPr>
          <w:bCs/>
          <w:szCs w:val="22"/>
        </w:rPr>
        <w:t>közepesen súlyos – súlyos hidradenitisz szuppuratívában szenvedő felnőttek és</w:t>
      </w:r>
    </w:p>
    <w:p w14:paraId="1C40817F" w14:textId="77777777" w:rsidR="00743EDE" w:rsidRPr="00183B5F" w:rsidRDefault="00943743" w:rsidP="004062FE">
      <w:pPr>
        <w:pStyle w:val="ListParagraph"/>
        <w:numPr>
          <w:ilvl w:val="0"/>
          <w:numId w:val="131"/>
        </w:numPr>
        <w:spacing w:line="240" w:lineRule="auto"/>
        <w:ind w:right="-2"/>
        <w:rPr>
          <w:bCs/>
          <w:szCs w:val="22"/>
        </w:rPr>
      </w:pPr>
      <w:r w:rsidRPr="00183B5F">
        <w:rPr>
          <w:bCs/>
          <w:szCs w:val="22"/>
        </w:rPr>
        <w:t>közepesen súlyos – súlyos hidradenitisz szuppuratívában szenvedő serdülők kezelésére 12</w:t>
      </w:r>
      <w:r w:rsidR="00A7753A" w:rsidRPr="00183B5F">
        <w:rPr>
          <w:bCs/>
          <w:szCs w:val="22"/>
        </w:rPr>
        <w:noBreakHyphen/>
      </w:r>
      <w:r w:rsidR="004B3EC9" w:rsidRPr="00183B5F">
        <w:rPr>
          <w:bCs/>
          <w:szCs w:val="22"/>
        </w:rPr>
        <w:t>17</w:t>
      </w:r>
      <w:r w:rsidRPr="00183B5F">
        <w:rPr>
          <w:bCs/>
          <w:szCs w:val="22"/>
        </w:rPr>
        <w:t> éves kor</w:t>
      </w:r>
      <w:r w:rsidR="004B3EC9" w:rsidRPr="00183B5F">
        <w:rPr>
          <w:bCs/>
          <w:szCs w:val="22"/>
        </w:rPr>
        <w:t xml:space="preserve"> között</w:t>
      </w:r>
      <w:r w:rsidRPr="00183B5F">
        <w:rPr>
          <w:bCs/>
          <w:szCs w:val="22"/>
        </w:rPr>
        <w:t>.</w:t>
      </w:r>
    </w:p>
    <w:p w14:paraId="71B4A51F" w14:textId="77777777" w:rsidR="00743EDE" w:rsidRPr="00183B5F" w:rsidRDefault="00743EDE" w:rsidP="004062FE">
      <w:pPr>
        <w:spacing w:line="240" w:lineRule="auto"/>
        <w:ind w:right="-2"/>
        <w:rPr>
          <w:bCs/>
          <w:szCs w:val="22"/>
        </w:rPr>
      </w:pPr>
    </w:p>
    <w:p w14:paraId="3A2F9B1C" w14:textId="77777777" w:rsidR="00743EDE" w:rsidRPr="00183B5F" w:rsidRDefault="00943743" w:rsidP="004062FE">
      <w:pPr>
        <w:spacing w:line="240" w:lineRule="auto"/>
        <w:ind w:right="-2"/>
        <w:rPr>
          <w:bCs/>
          <w:szCs w:val="22"/>
        </w:rPr>
      </w:pPr>
      <w:r w:rsidRPr="00183B5F">
        <w:rPr>
          <w:bCs/>
          <w:szCs w:val="22"/>
        </w:rPr>
        <w:t>A Humira csökkenti a betegség okozta csomók és tályogok számát és a fájdalmat, mely gyakran jár együtt a betegséggel.</w:t>
      </w:r>
      <w:r w:rsidRPr="00183B5F">
        <w:rPr>
          <w:szCs w:val="22"/>
        </w:rPr>
        <w:t xml:space="preserve"> Ön először egyéb gyógyszereket kaphat. Ha nem reagál megfelelő módon ezekre a gyógyszerekre, </w:t>
      </w:r>
      <w:r w:rsidR="00EF71A4" w:rsidRPr="00183B5F">
        <w:rPr>
          <w:szCs w:val="22"/>
        </w:rPr>
        <w:t>akkor</w:t>
      </w:r>
      <w:r w:rsidRPr="00183B5F">
        <w:rPr>
          <w:szCs w:val="22"/>
        </w:rPr>
        <w:t xml:space="preserve"> Humira</w:t>
      </w:r>
      <w:r w:rsidRPr="00183B5F">
        <w:rPr>
          <w:szCs w:val="22"/>
        </w:rPr>
        <w:noBreakHyphen/>
        <w:t>t fog kapni.</w:t>
      </w:r>
    </w:p>
    <w:p w14:paraId="4F5E5CF5" w14:textId="77777777" w:rsidR="00743EDE" w:rsidRPr="00183B5F" w:rsidRDefault="00743EDE">
      <w:pPr>
        <w:suppressAutoHyphens w:val="0"/>
        <w:autoSpaceDE w:val="0"/>
        <w:autoSpaceDN w:val="0"/>
        <w:adjustRightInd w:val="0"/>
        <w:spacing w:line="240" w:lineRule="auto"/>
        <w:rPr>
          <w:bCs/>
          <w:szCs w:val="22"/>
        </w:rPr>
      </w:pPr>
    </w:p>
    <w:p w14:paraId="72211065" w14:textId="77777777" w:rsidR="00743EDE" w:rsidRPr="00183B5F" w:rsidRDefault="00943743" w:rsidP="004062FE">
      <w:pPr>
        <w:keepNext/>
        <w:spacing w:line="240" w:lineRule="auto"/>
        <w:rPr>
          <w:szCs w:val="22"/>
        </w:rPr>
      </w:pPr>
      <w:r w:rsidRPr="00183B5F">
        <w:rPr>
          <w:b/>
          <w:szCs w:val="22"/>
        </w:rPr>
        <w:t>Crohn</w:t>
      </w:r>
      <w:r w:rsidRPr="00183B5F">
        <w:rPr>
          <w:b/>
          <w:szCs w:val="22"/>
        </w:rPr>
        <w:noBreakHyphen/>
        <w:t>betegség</w:t>
      </w:r>
      <w:r w:rsidRPr="00183B5F">
        <w:rPr>
          <w:szCs w:val="22"/>
        </w:rPr>
        <w:t xml:space="preserve"> </w:t>
      </w:r>
    </w:p>
    <w:p w14:paraId="797EFA62" w14:textId="77777777" w:rsidR="00743EDE" w:rsidRPr="00183B5F" w:rsidRDefault="00743EDE" w:rsidP="004062FE">
      <w:pPr>
        <w:keepNext/>
        <w:spacing w:line="240" w:lineRule="auto"/>
        <w:rPr>
          <w:szCs w:val="22"/>
        </w:rPr>
      </w:pPr>
    </w:p>
    <w:p w14:paraId="17588002" w14:textId="77777777" w:rsidR="00743EDE" w:rsidRPr="00183B5F" w:rsidRDefault="00943743" w:rsidP="004062FE">
      <w:pPr>
        <w:keepNext/>
        <w:spacing w:line="240" w:lineRule="auto"/>
        <w:rPr>
          <w:szCs w:val="22"/>
        </w:rPr>
      </w:pPr>
      <w:r w:rsidRPr="00183B5F">
        <w:rPr>
          <w:szCs w:val="22"/>
        </w:rPr>
        <w:t>A Crohn</w:t>
      </w:r>
      <w:r w:rsidRPr="00183B5F">
        <w:rPr>
          <w:szCs w:val="22"/>
        </w:rPr>
        <w:noBreakHyphen/>
        <w:t>betegség az emésztőcsatorna gyulladásos kórfolyamata.</w:t>
      </w:r>
    </w:p>
    <w:p w14:paraId="393390B0" w14:textId="77777777" w:rsidR="00743EDE" w:rsidRPr="00183B5F" w:rsidRDefault="00743EDE" w:rsidP="004062FE">
      <w:pPr>
        <w:spacing w:line="240" w:lineRule="auto"/>
        <w:rPr>
          <w:szCs w:val="22"/>
        </w:rPr>
      </w:pPr>
    </w:p>
    <w:p w14:paraId="0A42801D" w14:textId="77777777" w:rsidR="00743EDE" w:rsidRPr="00183B5F" w:rsidRDefault="00943743" w:rsidP="004062FE">
      <w:pPr>
        <w:spacing w:line="240" w:lineRule="auto"/>
        <w:rPr>
          <w:bCs/>
          <w:szCs w:val="22"/>
        </w:rPr>
      </w:pPr>
      <w:r w:rsidRPr="00183B5F">
        <w:rPr>
          <w:bCs/>
          <w:szCs w:val="22"/>
        </w:rPr>
        <w:t xml:space="preserve">A Humira alkalmazható </w:t>
      </w:r>
    </w:p>
    <w:p w14:paraId="343999A6" w14:textId="77777777" w:rsidR="00743EDE" w:rsidRPr="00183B5F" w:rsidRDefault="00943743" w:rsidP="004062FE">
      <w:pPr>
        <w:numPr>
          <w:ilvl w:val="0"/>
          <w:numId w:val="117"/>
        </w:numPr>
        <w:tabs>
          <w:tab w:val="left" w:pos="709"/>
        </w:tabs>
        <w:spacing w:line="240" w:lineRule="auto"/>
        <w:rPr>
          <w:szCs w:val="22"/>
        </w:rPr>
      </w:pPr>
      <w:r w:rsidRPr="00183B5F">
        <w:rPr>
          <w:bCs/>
          <w:szCs w:val="22"/>
        </w:rPr>
        <w:t>közepesen súlyos – súlyos Crohn</w:t>
      </w:r>
      <w:r w:rsidRPr="00183B5F">
        <w:rPr>
          <w:bCs/>
          <w:szCs w:val="22"/>
        </w:rPr>
        <w:noBreakHyphen/>
        <w:t xml:space="preserve">betegségben szenvedő felnőttek és </w:t>
      </w:r>
    </w:p>
    <w:p w14:paraId="20C8493A" w14:textId="77777777" w:rsidR="00743EDE" w:rsidRPr="00183B5F" w:rsidRDefault="00943743" w:rsidP="004062FE">
      <w:pPr>
        <w:numPr>
          <w:ilvl w:val="0"/>
          <w:numId w:val="117"/>
        </w:numPr>
        <w:tabs>
          <w:tab w:val="left" w:pos="709"/>
        </w:tabs>
        <w:spacing w:line="240" w:lineRule="auto"/>
        <w:rPr>
          <w:szCs w:val="22"/>
        </w:rPr>
      </w:pPr>
      <w:r w:rsidRPr="00183B5F">
        <w:rPr>
          <w:bCs/>
          <w:szCs w:val="22"/>
        </w:rPr>
        <w:t>közepesen súlyos – súlyos Crohn</w:t>
      </w:r>
      <w:r w:rsidRPr="00183B5F">
        <w:rPr>
          <w:bCs/>
          <w:szCs w:val="22"/>
        </w:rPr>
        <w:noBreakHyphen/>
        <w:t>betegségben szenvedő, 6-17 éves korú gyermekek és se</w:t>
      </w:r>
      <w:r w:rsidR="0039225E" w:rsidRPr="00183B5F">
        <w:rPr>
          <w:bCs/>
          <w:szCs w:val="22"/>
        </w:rPr>
        <w:t>r</w:t>
      </w:r>
      <w:r w:rsidRPr="00183B5F">
        <w:rPr>
          <w:bCs/>
          <w:szCs w:val="22"/>
        </w:rPr>
        <w:t>dülők kezelésére.</w:t>
      </w:r>
    </w:p>
    <w:p w14:paraId="3EADFA55" w14:textId="77777777" w:rsidR="00743EDE" w:rsidRPr="00183B5F" w:rsidRDefault="00743EDE" w:rsidP="004062FE">
      <w:pPr>
        <w:spacing w:line="240" w:lineRule="auto"/>
        <w:ind w:left="720"/>
        <w:rPr>
          <w:szCs w:val="22"/>
        </w:rPr>
      </w:pPr>
    </w:p>
    <w:p w14:paraId="33695490" w14:textId="77777777" w:rsidR="00743EDE" w:rsidRPr="00183B5F" w:rsidRDefault="00943743" w:rsidP="004062FE">
      <w:pPr>
        <w:spacing w:line="240" w:lineRule="auto"/>
        <w:rPr>
          <w:szCs w:val="22"/>
        </w:rPr>
      </w:pPr>
      <w:r w:rsidRPr="00183B5F">
        <w:rPr>
          <w:szCs w:val="22"/>
        </w:rPr>
        <w:t>Ön először egyéb gyógyszereket kaphat. Ha ezekre a gyógyszerekre nem reagál megfelelően, akkor Humira</w:t>
      </w:r>
      <w:r w:rsidRPr="00183B5F">
        <w:rPr>
          <w:szCs w:val="22"/>
        </w:rPr>
        <w:noBreakHyphen/>
        <w:t>t fog kapni.</w:t>
      </w:r>
    </w:p>
    <w:p w14:paraId="6ADDEF4D" w14:textId="77777777" w:rsidR="00743EDE" w:rsidRPr="00183B5F" w:rsidRDefault="00743EDE" w:rsidP="004062FE">
      <w:pPr>
        <w:spacing w:line="240" w:lineRule="auto"/>
        <w:ind w:right="-2"/>
        <w:rPr>
          <w:szCs w:val="22"/>
        </w:rPr>
      </w:pPr>
    </w:p>
    <w:p w14:paraId="5F3258C1" w14:textId="77777777" w:rsidR="00743EDE" w:rsidRPr="00183B5F" w:rsidRDefault="00943743" w:rsidP="004062FE">
      <w:pPr>
        <w:keepNext/>
        <w:suppressAutoHyphens w:val="0"/>
        <w:autoSpaceDE w:val="0"/>
        <w:autoSpaceDN w:val="0"/>
        <w:adjustRightInd w:val="0"/>
        <w:spacing w:line="240" w:lineRule="auto"/>
        <w:rPr>
          <w:b/>
          <w:szCs w:val="22"/>
        </w:rPr>
      </w:pPr>
      <w:r w:rsidRPr="00183B5F">
        <w:rPr>
          <w:b/>
          <w:szCs w:val="22"/>
        </w:rPr>
        <w:t>Kolitisz ulceróza</w:t>
      </w:r>
    </w:p>
    <w:p w14:paraId="2983C0A7" w14:textId="77777777" w:rsidR="00743EDE" w:rsidRPr="00183B5F" w:rsidRDefault="00743EDE" w:rsidP="004062FE">
      <w:pPr>
        <w:keepNext/>
        <w:suppressAutoHyphens w:val="0"/>
        <w:autoSpaceDE w:val="0"/>
        <w:autoSpaceDN w:val="0"/>
        <w:adjustRightInd w:val="0"/>
        <w:spacing w:line="240" w:lineRule="auto"/>
        <w:rPr>
          <w:szCs w:val="22"/>
          <w:u w:val="single"/>
        </w:rPr>
      </w:pPr>
    </w:p>
    <w:p w14:paraId="3E8286A8" w14:textId="77777777" w:rsidR="00743EDE" w:rsidRPr="00183B5F" w:rsidRDefault="00943743" w:rsidP="004062FE">
      <w:pPr>
        <w:keepNext/>
        <w:suppressAutoHyphens w:val="0"/>
        <w:autoSpaceDE w:val="0"/>
        <w:autoSpaceDN w:val="0"/>
        <w:adjustRightInd w:val="0"/>
        <w:spacing w:line="240" w:lineRule="auto"/>
        <w:rPr>
          <w:szCs w:val="22"/>
        </w:rPr>
      </w:pPr>
      <w:r w:rsidRPr="00183B5F">
        <w:rPr>
          <w:szCs w:val="22"/>
        </w:rPr>
        <w:t>A kolitisz ulceróza a vastagbél gyulladásos betegsége.</w:t>
      </w:r>
    </w:p>
    <w:p w14:paraId="3074B984" w14:textId="77777777" w:rsidR="00743EDE" w:rsidRPr="00183B5F" w:rsidRDefault="00743EDE" w:rsidP="004062FE">
      <w:pPr>
        <w:suppressAutoHyphens w:val="0"/>
        <w:autoSpaceDE w:val="0"/>
        <w:autoSpaceDN w:val="0"/>
        <w:adjustRightInd w:val="0"/>
        <w:spacing w:line="240" w:lineRule="auto"/>
        <w:rPr>
          <w:szCs w:val="22"/>
          <w:u w:val="single"/>
        </w:rPr>
      </w:pPr>
    </w:p>
    <w:p w14:paraId="08FDD8AB" w14:textId="77777777" w:rsidR="00CE7A10" w:rsidRPr="00183B5F" w:rsidRDefault="00943743" w:rsidP="00CE7A10">
      <w:pPr>
        <w:keepNext/>
        <w:suppressAutoHyphens w:val="0"/>
        <w:autoSpaceDE w:val="0"/>
        <w:autoSpaceDN w:val="0"/>
        <w:adjustRightInd w:val="0"/>
        <w:spacing w:line="240" w:lineRule="auto"/>
        <w:rPr>
          <w:bCs/>
          <w:szCs w:val="22"/>
        </w:rPr>
      </w:pPr>
      <w:r w:rsidRPr="00183B5F">
        <w:rPr>
          <w:bCs/>
          <w:szCs w:val="22"/>
        </w:rPr>
        <w:t>A Humira alkalmazható</w:t>
      </w:r>
    </w:p>
    <w:p w14:paraId="0D6DD830" w14:textId="77777777" w:rsidR="00CE7A10" w:rsidRPr="00183B5F" w:rsidRDefault="00943743" w:rsidP="00CE7A10">
      <w:pPr>
        <w:pStyle w:val="ListParagraph"/>
        <w:keepNext/>
        <w:numPr>
          <w:ilvl w:val="0"/>
          <w:numId w:val="234"/>
        </w:numPr>
        <w:suppressAutoHyphens w:val="0"/>
        <w:autoSpaceDE w:val="0"/>
        <w:autoSpaceDN w:val="0"/>
        <w:adjustRightInd w:val="0"/>
        <w:spacing w:line="240" w:lineRule="auto"/>
        <w:rPr>
          <w:szCs w:val="22"/>
        </w:rPr>
      </w:pPr>
      <w:r w:rsidRPr="00183B5F">
        <w:rPr>
          <w:bCs/>
          <w:szCs w:val="22"/>
        </w:rPr>
        <w:t>közepesen súlyos</w:t>
      </w:r>
      <w:r w:rsidRPr="00183B5F">
        <w:rPr>
          <w:bCs/>
          <w:szCs w:val="22"/>
        </w:rPr>
        <w:noBreakHyphen/>
      </w:r>
      <w:r w:rsidRPr="00183B5F">
        <w:rPr>
          <w:bCs/>
          <w:szCs w:val="22"/>
        </w:rPr>
        <w:t>súlyos felnőttkori kolitisz ulceróza kezelésére</w:t>
      </w:r>
      <w:r w:rsidR="00A712C6" w:rsidRPr="00183B5F">
        <w:rPr>
          <w:bCs/>
          <w:szCs w:val="22"/>
        </w:rPr>
        <w:t xml:space="preserve"> és</w:t>
      </w:r>
    </w:p>
    <w:p w14:paraId="4A0B6887" w14:textId="77777777" w:rsidR="00CE7A10" w:rsidRPr="00183B5F" w:rsidRDefault="00943743" w:rsidP="00CE7A10">
      <w:pPr>
        <w:pStyle w:val="ListParagraph"/>
        <w:keepNext/>
        <w:numPr>
          <w:ilvl w:val="0"/>
          <w:numId w:val="234"/>
        </w:numPr>
        <w:suppressAutoHyphens w:val="0"/>
        <w:autoSpaceDE w:val="0"/>
        <w:autoSpaceDN w:val="0"/>
        <w:adjustRightInd w:val="0"/>
        <w:spacing w:line="240" w:lineRule="auto"/>
        <w:rPr>
          <w:bCs/>
          <w:szCs w:val="22"/>
        </w:rPr>
      </w:pPr>
      <w:r w:rsidRPr="00183B5F">
        <w:rPr>
          <w:bCs/>
        </w:rPr>
        <w:t>közepesen súlyos</w:t>
      </w:r>
      <w:r w:rsidRPr="00183B5F">
        <w:rPr>
          <w:bCs/>
        </w:rPr>
        <w:noBreakHyphen/>
        <w:t>súlyos kolitisz ulceróza kezelésére 6 és 17 éves kor közötti gyermekeknél és serdülőknél</w:t>
      </w:r>
      <w:r w:rsidRPr="00183B5F">
        <w:rPr>
          <w:bCs/>
          <w:szCs w:val="22"/>
        </w:rPr>
        <w:t>.</w:t>
      </w:r>
    </w:p>
    <w:p w14:paraId="32B5DAA3" w14:textId="77777777" w:rsidR="00CE7A10" w:rsidRPr="00183B5F" w:rsidRDefault="00CE7A10" w:rsidP="00CE7A10">
      <w:pPr>
        <w:keepNext/>
        <w:suppressAutoHyphens w:val="0"/>
        <w:autoSpaceDE w:val="0"/>
        <w:autoSpaceDN w:val="0"/>
        <w:adjustRightInd w:val="0"/>
        <w:spacing w:line="240" w:lineRule="auto"/>
        <w:rPr>
          <w:bCs/>
          <w:szCs w:val="22"/>
        </w:rPr>
      </w:pPr>
    </w:p>
    <w:p w14:paraId="05915FA8" w14:textId="77777777" w:rsidR="00743EDE" w:rsidRPr="00183B5F" w:rsidRDefault="00943743" w:rsidP="004062FE">
      <w:pPr>
        <w:spacing w:line="240" w:lineRule="auto"/>
        <w:ind w:right="-2"/>
        <w:rPr>
          <w:bCs/>
          <w:szCs w:val="22"/>
        </w:rPr>
      </w:pPr>
      <w:r w:rsidRPr="00183B5F">
        <w:rPr>
          <w:szCs w:val="22"/>
        </w:rPr>
        <w:t>Ön először egyéb gyógyszereket kaphat. Ha nem reagál kellőképpen ezekre a gyógyszerekre, akkor Humira</w:t>
      </w:r>
      <w:r w:rsidRPr="00183B5F">
        <w:rPr>
          <w:szCs w:val="22"/>
        </w:rPr>
        <w:noBreakHyphen/>
        <w:t>t fog kapni.</w:t>
      </w:r>
    </w:p>
    <w:p w14:paraId="350F6B9A" w14:textId="77777777" w:rsidR="00743EDE" w:rsidRPr="00183B5F" w:rsidRDefault="00743EDE" w:rsidP="004062FE">
      <w:pPr>
        <w:suppressAutoHyphens w:val="0"/>
        <w:autoSpaceDE w:val="0"/>
        <w:autoSpaceDN w:val="0"/>
        <w:adjustRightInd w:val="0"/>
        <w:spacing w:line="240" w:lineRule="auto"/>
        <w:rPr>
          <w:szCs w:val="22"/>
        </w:rPr>
      </w:pPr>
    </w:p>
    <w:p w14:paraId="2B9FB5EF" w14:textId="77777777" w:rsidR="00743EDE" w:rsidRPr="00183B5F" w:rsidRDefault="00943743" w:rsidP="004062FE">
      <w:pPr>
        <w:suppressAutoHyphens w:val="0"/>
        <w:autoSpaceDE w:val="0"/>
        <w:autoSpaceDN w:val="0"/>
        <w:adjustRightInd w:val="0"/>
        <w:spacing w:line="240" w:lineRule="auto"/>
        <w:rPr>
          <w:b/>
          <w:szCs w:val="22"/>
        </w:rPr>
      </w:pPr>
      <w:r w:rsidRPr="00183B5F">
        <w:rPr>
          <w:b/>
          <w:szCs w:val="22"/>
        </w:rPr>
        <w:t>Nem fertőzéses eredetű szemgyulladás (uveitisz)</w:t>
      </w:r>
    </w:p>
    <w:p w14:paraId="29135423" w14:textId="77777777" w:rsidR="00743EDE" w:rsidRPr="00183B5F" w:rsidRDefault="00743EDE" w:rsidP="004062FE">
      <w:pPr>
        <w:suppressAutoHyphens w:val="0"/>
        <w:autoSpaceDE w:val="0"/>
        <w:autoSpaceDN w:val="0"/>
        <w:adjustRightInd w:val="0"/>
        <w:spacing w:line="240" w:lineRule="auto"/>
        <w:rPr>
          <w:b/>
          <w:szCs w:val="22"/>
        </w:rPr>
      </w:pPr>
    </w:p>
    <w:p w14:paraId="658F9309" w14:textId="77777777" w:rsidR="00743EDE" w:rsidRPr="00183B5F" w:rsidRDefault="00943743" w:rsidP="004062FE">
      <w:pPr>
        <w:suppressAutoHyphens w:val="0"/>
        <w:autoSpaceDE w:val="0"/>
        <w:autoSpaceDN w:val="0"/>
        <w:adjustRightInd w:val="0"/>
        <w:spacing w:line="240" w:lineRule="auto"/>
        <w:rPr>
          <w:szCs w:val="22"/>
        </w:rPr>
      </w:pPr>
      <w:r w:rsidRPr="00183B5F">
        <w:rPr>
          <w:szCs w:val="22"/>
        </w:rPr>
        <w:t>A nem fertőzéses eredetű szemgyulladás egy gyulladásos betegség, mely a szem bizonyos részeit érinti.</w:t>
      </w:r>
    </w:p>
    <w:p w14:paraId="5008B5AE" w14:textId="77777777" w:rsidR="00743EDE" w:rsidRPr="00183B5F" w:rsidRDefault="00743EDE" w:rsidP="004062FE">
      <w:pPr>
        <w:suppressAutoHyphens w:val="0"/>
        <w:autoSpaceDE w:val="0"/>
        <w:autoSpaceDN w:val="0"/>
        <w:adjustRightInd w:val="0"/>
        <w:spacing w:line="240" w:lineRule="auto"/>
        <w:rPr>
          <w:szCs w:val="22"/>
        </w:rPr>
      </w:pPr>
    </w:p>
    <w:p w14:paraId="792EC640" w14:textId="77777777" w:rsidR="00986C88" w:rsidRPr="00183B5F" w:rsidRDefault="00943743" w:rsidP="004062FE">
      <w:pPr>
        <w:suppressAutoHyphens w:val="0"/>
        <w:autoSpaceDE w:val="0"/>
        <w:autoSpaceDN w:val="0"/>
        <w:adjustRightInd w:val="0"/>
        <w:spacing w:line="240" w:lineRule="auto"/>
        <w:rPr>
          <w:szCs w:val="22"/>
        </w:rPr>
      </w:pPr>
      <w:r w:rsidRPr="00183B5F">
        <w:rPr>
          <w:szCs w:val="22"/>
        </w:rPr>
        <w:t xml:space="preserve">A Humira alkalmazható </w:t>
      </w:r>
    </w:p>
    <w:p w14:paraId="127870A0" w14:textId="77777777" w:rsidR="00986C88" w:rsidRPr="00183B5F" w:rsidRDefault="00943743" w:rsidP="004062FE">
      <w:pPr>
        <w:pStyle w:val="ListParagraph"/>
        <w:numPr>
          <w:ilvl w:val="0"/>
          <w:numId w:val="141"/>
        </w:numPr>
        <w:suppressAutoHyphens w:val="0"/>
        <w:autoSpaceDE w:val="0"/>
        <w:autoSpaceDN w:val="0"/>
        <w:adjustRightInd w:val="0"/>
        <w:spacing w:line="240" w:lineRule="auto"/>
        <w:rPr>
          <w:szCs w:val="22"/>
        </w:rPr>
      </w:pPr>
      <w:r w:rsidRPr="00183B5F">
        <w:rPr>
          <w:szCs w:val="22"/>
        </w:rPr>
        <w:t>felnőttkori, nem fertőzéses eredetű szemgyulladás kezelésére, amikor a gyulladás a szemfeneket érinti</w:t>
      </w:r>
    </w:p>
    <w:p w14:paraId="318568D7" w14:textId="77777777" w:rsidR="00986C88" w:rsidRPr="00183B5F" w:rsidRDefault="00943743" w:rsidP="004062FE">
      <w:pPr>
        <w:pStyle w:val="ListParagraph"/>
        <w:numPr>
          <w:ilvl w:val="0"/>
          <w:numId w:val="141"/>
        </w:numPr>
        <w:suppressAutoHyphens w:val="0"/>
        <w:autoSpaceDE w:val="0"/>
        <w:autoSpaceDN w:val="0"/>
        <w:adjustRightInd w:val="0"/>
        <w:spacing w:line="240" w:lineRule="auto"/>
        <w:rPr>
          <w:szCs w:val="22"/>
        </w:rPr>
      </w:pPr>
      <w:r w:rsidRPr="00183B5F">
        <w:rPr>
          <w:szCs w:val="22"/>
        </w:rPr>
        <w:t>2 évnél idősebb gyermekeknél a</w:t>
      </w:r>
      <w:r w:rsidR="005B638E" w:rsidRPr="00183B5F">
        <w:rPr>
          <w:szCs w:val="22"/>
        </w:rPr>
        <w:t xml:space="preserve"> krónikus,</w:t>
      </w:r>
      <w:r w:rsidRPr="00183B5F">
        <w:rPr>
          <w:szCs w:val="22"/>
        </w:rPr>
        <w:t xml:space="preserve"> nem fertőzéses eredetű szemgyulladás kezelésére, amikor a gyulladás a szem elülső részét érinti</w:t>
      </w:r>
      <w:r w:rsidR="00937B49" w:rsidRPr="00183B5F">
        <w:rPr>
          <w:szCs w:val="22"/>
        </w:rPr>
        <w:t>.</w:t>
      </w:r>
    </w:p>
    <w:p w14:paraId="6613DB37" w14:textId="77777777" w:rsidR="00986C88" w:rsidRPr="00183B5F" w:rsidRDefault="00986C88" w:rsidP="004062FE">
      <w:pPr>
        <w:suppressAutoHyphens w:val="0"/>
        <w:autoSpaceDE w:val="0"/>
        <w:autoSpaceDN w:val="0"/>
        <w:adjustRightInd w:val="0"/>
        <w:spacing w:line="240" w:lineRule="auto"/>
        <w:rPr>
          <w:szCs w:val="22"/>
        </w:rPr>
      </w:pPr>
    </w:p>
    <w:p w14:paraId="22CDC864" w14:textId="77777777" w:rsidR="00743EDE" w:rsidRPr="00183B5F" w:rsidRDefault="00943743" w:rsidP="004062FE">
      <w:pPr>
        <w:suppressAutoHyphens w:val="0"/>
        <w:autoSpaceDE w:val="0"/>
        <w:autoSpaceDN w:val="0"/>
        <w:adjustRightInd w:val="0"/>
        <w:spacing w:line="240" w:lineRule="auto"/>
        <w:rPr>
          <w:szCs w:val="22"/>
        </w:rPr>
      </w:pPr>
      <w:r w:rsidRPr="00183B5F">
        <w:rPr>
          <w:szCs w:val="22"/>
        </w:rPr>
        <w:t>A gyulladás látáscsökkenéshez és/vagy a szemben úszkáló homályok (fekete pontok vagy vékony csíkok, melyek a látótéren mozognak) jelenlétéhez vezet</w:t>
      </w:r>
      <w:r w:rsidR="00986C88" w:rsidRPr="00183B5F">
        <w:rPr>
          <w:szCs w:val="22"/>
        </w:rPr>
        <w:t>het</w:t>
      </w:r>
      <w:r w:rsidRPr="00183B5F">
        <w:rPr>
          <w:szCs w:val="22"/>
        </w:rPr>
        <w:t>. A Humira ezt a gyulladást csökkenti.</w:t>
      </w:r>
    </w:p>
    <w:p w14:paraId="4B8D5E06" w14:textId="77777777" w:rsidR="00743EDE" w:rsidRPr="00183B5F" w:rsidRDefault="00943743" w:rsidP="004062FE">
      <w:pPr>
        <w:suppressAutoHyphens w:val="0"/>
        <w:autoSpaceDE w:val="0"/>
        <w:autoSpaceDN w:val="0"/>
        <w:adjustRightInd w:val="0"/>
        <w:spacing w:line="240" w:lineRule="auto"/>
        <w:rPr>
          <w:szCs w:val="22"/>
        </w:rPr>
      </w:pPr>
      <w:r w:rsidRPr="00183B5F">
        <w:rPr>
          <w:szCs w:val="22"/>
        </w:rPr>
        <w:t>Ön először egyéb gyógyszereket kaphat. Ha ezekre a gyógyszerekre nem reagál megfelelően, akkor Humira</w:t>
      </w:r>
      <w:r w:rsidRPr="00183B5F">
        <w:rPr>
          <w:szCs w:val="22"/>
        </w:rPr>
        <w:noBreakHyphen/>
        <w:t>t fog kapni.</w:t>
      </w:r>
    </w:p>
    <w:p w14:paraId="095CE0C7" w14:textId="77777777" w:rsidR="00743EDE" w:rsidRPr="00183B5F" w:rsidRDefault="00743EDE" w:rsidP="004062FE">
      <w:pPr>
        <w:suppressAutoHyphens w:val="0"/>
        <w:autoSpaceDE w:val="0"/>
        <w:autoSpaceDN w:val="0"/>
        <w:adjustRightInd w:val="0"/>
        <w:spacing w:line="240" w:lineRule="auto"/>
        <w:rPr>
          <w:szCs w:val="22"/>
        </w:rPr>
      </w:pPr>
    </w:p>
    <w:p w14:paraId="4B27E88A" w14:textId="77777777" w:rsidR="00743EDE" w:rsidRPr="00183B5F" w:rsidRDefault="00743EDE" w:rsidP="004062FE">
      <w:pPr>
        <w:tabs>
          <w:tab w:val="left" w:pos="1305"/>
        </w:tabs>
        <w:suppressAutoHyphens w:val="0"/>
        <w:autoSpaceDE w:val="0"/>
        <w:autoSpaceDN w:val="0"/>
        <w:adjustRightInd w:val="0"/>
        <w:spacing w:line="240" w:lineRule="auto"/>
        <w:rPr>
          <w:szCs w:val="22"/>
        </w:rPr>
      </w:pPr>
    </w:p>
    <w:p w14:paraId="5510E374" w14:textId="77777777" w:rsidR="00743EDE" w:rsidRPr="00183B5F" w:rsidRDefault="00943743" w:rsidP="004062FE">
      <w:pPr>
        <w:keepNext/>
        <w:suppressAutoHyphens w:val="0"/>
        <w:autoSpaceDE w:val="0"/>
        <w:autoSpaceDN w:val="0"/>
        <w:adjustRightInd w:val="0"/>
        <w:spacing w:line="240" w:lineRule="auto"/>
        <w:rPr>
          <w:b/>
          <w:szCs w:val="22"/>
        </w:rPr>
      </w:pPr>
      <w:r w:rsidRPr="00183B5F">
        <w:rPr>
          <w:b/>
          <w:szCs w:val="22"/>
        </w:rPr>
        <w:t>2.</w:t>
      </w:r>
      <w:r w:rsidRPr="00183B5F">
        <w:rPr>
          <w:b/>
          <w:szCs w:val="22"/>
        </w:rPr>
        <w:tab/>
        <w:t>Tudnivalók a Humira alkalmazása előtt</w:t>
      </w:r>
    </w:p>
    <w:p w14:paraId="03F2B382" w14:textId="77777777" w:rsidR="00743EDE" w:rsidRPr="00183B5F" w:rsidRDefault="00743EDE" w:rsidP="004062FE">
      <w:pPr>
        <w:keepNext/>
        <w:spacing w:line="240" w:lineRule="auto"/>
        <w:rPr>
          <w:szCs w:val="22"/>
        </w:rPr>
      </w:pPr>
    </w:p>
    <w:p w14:paraId="10DD37F4" w14:textId="77777777" w:rsidR="00743EDE" w:rsidRPr="00183B5F" w:rsidRDefault="00943743" w:rsidP="004062FE">
      <w:pPr>
        <w:keepNext/>
        <w:spacing w:line="240" w:lineRule="auto"/>
        <w:rPr>
          <w:b/>
          <w:szCs w:val="22"/>
        </w:rPr>
      </w:pPr>
      <w:r w:rsidRPr="00183B5F">
        <w:rPr>
          <w:b/>
          <w:szCs w:val="22"/>
        </w:rPr>
        <w:t xml:space="preserve">Ne alkalmazza a </w:t>
      </w:r>
      <w:r w:rsidRPr="00183B5F">
        <w:rPr>
          <w:b/>
          <w:bCs/>
          <w:szCs w:val="22"/>
        </w:rPr>
        <w:t>Humira</w:t>
      </w:r>
      <w:r w:rsidRPr="00183B5F">
        <w:rPr>
          <w:b/>
          <w:bCs/>
          <w:szCs w:val="22"/>
        </w:rPr>
        <w:noBreakHyphen/>
        <w:t>t</w:t>
      </w:r>
    </w:p>
    <w:p w14:paraId="11B84830" w14:textId="77777777" w:rsidR="00743EDE" w:rsidRPr="00183B5F" w:rsidRDefault="00743EDE" w:rsidP="004062FE">
      <w:pPr>
        <w:keepNext/>
        <w:spacing w:line="240" w:lineRule="auto"/>
        <w:rPr>
          <w:szCs w:val="22"/>
        </w:rPr>
      </w:pPr>
    </w:p>
    <w:p w14:paraId="65B603EB" w14:textId="77777777" w:rsidR="00743EDE" w:rsidRPr="00183B5F" w:rsidRDefault="00943743" w:rsidP="004062FE">
      <w:pPr>
        <w:keepNext/>
        <w:numPr>
          <w:ilvl w:val="0"/>
          <w:numId w:val="19"/>
        </w:numPr>
        <w:tabs>
          <w:tab w:val="clear" w:pos="720"/>
        </w:tabs>
        <w:spacing w:line="240" w:lineRule="auto"/>
        <w:ind w:left="567" w:hanging="567"/>
        <w:rPr>
          <w:szCs w:val="22"/>
        </w:rPr>
      </w:pPr>
      <w:r w:rsidRPr="00183B5F">
        <w:rPr>
          <w:szCs w:val="22"/>
        </w:rPr>
        <w:t xml:space="preserve">Ha Ön allergiás (túlérzékeny) az adalimumabra vagy </w:t>
      </w:r>
      <w:r w:rsidRPr="00183B5F">
        <w:rPr>
          <w:noProof/>
          <w:szCs w:val="24"/>
        </w:rPr>
        <w:t xml:space="preserve">a gyógyszer (6. pontban felsorolt) </w:t>
      </w:r>
      <w:r w:rsidRPr="00183B5F">
        <w:rPr>
          <w:szCs w:val="24"/>
        </w:rPr>
        <w:t>egyéb összetevőjére.</w:t>
      </w:r>
    </w:p>
    <w:p w14:paraId="12C14E34" w14:textId="77777777" w:rsidR="00743EDE" w:rsidRPr="00183B5F" w:rsidRDefault="00743EDE" w:rsidP="004062FE">
      <w:pPr>
        <w:spacing w:line="240" w:lineRule="auto"/>
        <w:rPr>
          <w:szCs w:val="22"/>
        </w:rPr>
      </w:pPr>
    </w:p>
    <w:p w14:paraId="1CE1CFB9" w14:textId="77777777" w:rsidR="00743EDE" w:rsidRPr="00183B5F" w:rsidRDefault="00943743" w:rsidP="004062FE">
      <w:pPr>
        <w:numPr>
          <w:ilvl w:val="0"/>
          <w:numId w:val="19"/>
        </w:numPr>
        <w:tabs>
          <w:tab w:val="clear" w:pos="720"/>
        </w:tabs>
        <w:spacing w:line="240" w:lineRule="auto"/>
        <w:ind w:left="567" w:hanging="567"/>
        <w:rPr>
          <w:szCs w:val="22"/>
        </w:rPr>
      </w:pPr>
      <w:r w:rsidRPr="00183B5F">
        <w:rPr>
          <w:szCs w:val="22"/>
        </w:rPr>
        <w:t xml:space="preserve">Ha Ön aktív tuberkulózisban vagy más súlyos fertőzésben szenved, (lásd „Figyelmeztetések és óvintézkedések”). Kezelőorvosával feltétlenül közölje, ha bármilyen fertőzésre utaló tünete van, mint </w:t>
      </w:r>
      <w:r w:rsidR="00E05701" w:rsidRPr="00183B5F">
        <w:rPr>
          <w:bCs/>
          <w:szCs w:val="22"/>
        </w:rPr>
        <w:t>például</w:t>
      </w:r>
      <w:r w:rsidRPr="00183B5F">
        <w:rPr>
          <w:szCs w:val="22"/>
        </w:rPr>
        <w:t xml:space="preserve"> láz, sebek, fáradtságérzés, fogászati problémák. </w:t>
      </w:r>
    </w:p>
    <w:p w14:paraId="1DEAB3D7" w14:textId="77777777" w:rsidR="00743EDE" w:rsidRPr="00183B5F" w:rsidRDefault="00743EDE" w:rsidP="004062FE">
      <w:pPr>
        <w:spacing w:line="240" w:lineRule="auto"/>
        <w:rPr>
          <w:szCs w:val="22"/>
        </w:rPr>
      </w:pPr>
    </w:p>
    <w:p w14:paraId="50020B75" w14:textId="77777777" w:rsidR="00743EDE" w:rsidRPr="00183B5F" w:rsidRDefault="00943743" w:rsidP="004062FE">
      <w:pPr>
        <w:numPr>
          <w:ilvl w:val="0"/>
          <w:numId w:val="105"/>
        </w:numPr>
        <w:suppressAutoHyphens w:val="0"/>
        <w:autoSpaceDE w:val="0"/>
        <w:autoSpaceDN w:val="0"/>
        <w:adjustRightInd w:val="0"/>
        <w:spacing w:line="240" w:lineRule="auto"/>
        <w:ind w:left="540" w:hanging="540"/>
        <w:rPr>
          <w:szCs w:val="22"/>
        </w:rPr>
      </w:pPr>
      <w:r w:rsidRPr="00183B5F">
        <w:rPr>
          <w:szCs w:val="22"/>
        </w:rPr>
        <w:t xml:space="preserve">Ha Ön </w:t>
      </w:r>
      <w:r w:rsidR="007F37D3" w:rsidRPr="00183B5F">
        <w:rPr>
          <w:szCs w:val="22"/>
        </w:rPr>
        <w:t>közepesen súlyos</w:t>
      </w:r>
      <w:r w:rsidRPr="00183B5F">
        <w:rPr>
          <w:szCs w:val="22"/>
        </w:rPr>
        <w:t xml:space="preserve"> vagy súlyos szívelégtelenségben szenved. Kezelőorvosával feltétlenül közölje, ha Önnek volt, vagy van súlyos szívproblémája (lásd „Figyelmeztetések és óvintézkedések”).</w:t>
      </w:r>
    </w:p>
    <w:p w14:paraId="797E64DD" w14:textId="77777777" w:rsidR="00743EDE" w:rsidRPr="00183B5F" w:rsidRDefault="00743EDE" w:rsidP="004062FE">
      <w:pPr>
        <w:spacing w:line="240" w:lineRule="auto"/>
        <w:rPr>
          <w:szCs w:val="22"/>
        </w:rPr>
      </w:pPr>
    </w:p>
    <w:p w14:paraId="00F05891" w14:textId="77777777" w:rsidR="00743EDE" w:rsidRPr="00183B5F" w:rsidRDefault="00943743" w:rsidP="004062FE">
      <w:pPr>
        <w:spacing w:line="240" w:lineRule="auto"/>
        <w:ind w:right="-2"/>
        <w:rPr>
          <w:b/>
          <w:noProof/>
          <w:szCs w:val="24"/>
        </w:rPr>
      </w:pPr>
      <w:r w:rsidRPr="00183B5F">
        <w:rPr>
          <w:b/>
          <w:noProof/>
          <w:szCs w:val="24"/>
        </w:rPr>
        <w:t>Figyelmeztetések és óvintézkedések</w:t>
      </w:r>
    </w:p>
    <w:p w14:paraId="1F8263E8" w14:textId="77777777" w:rsidR="00743EDE" w:rsidRPr="00183B5F" w:rsidRDefault="00743EDE" w:rsidP="004062FE">
      <w:pPr>
        <w:spacing w:line="240" w:lineRule="auto"/>
        <w:ind w:right="-2"/>
        <w:rPr>
          <w:b/>
          <w:szCs w:val="22"/>
        </w:rPr>
      </w:pPr>
    </w:p>
    <w:p w14:paraId="683F7BB8" w14:textId="77777777" w:rsidR="00743EDE" w:rsidRPr="00183B5F" w:rsidRDefault="00943743" w:rsidP="004062FE">
      <w:pPr>
        <w:spacing w:line="240" w:lineRule="auto"/>
        <w:ind w:right="-2"/>
        <w:rPr>
          <w:noProof/>
          <w:szCs w:val="24"/>
        </w:rPr>
      </w:pPr>
      <w:r w:rsidRPr="00183B5F">
        <w:rPr>
          <w:noProof/>
          <w:szCs w:val="24"/>
        </w:rPr>
        <w:t>A Humira alkalmazása előtt beszéljen kezelőorvosával vagy gyógyszerészével.</w:t>
      </w:r>
    </w:p>
    <w:p w14:paraId="667A2F46" w14:textId="77777777" w:rsidR="00743EDE" w:rsidRPr="00183B5F" w:rsidRDefault="00943743" w:rsidP="004062FE">
      <w:pPr>
        <w:spacing w:line="240" w:lineRule="auto"/>
        <w:ind w:right="-2"/>
        <w:rPr>
          <w:b/>
          <w:szCs w:val="22"/>
        </w:rPr>
      </w:pPr>
      <w:r w:rsidRPr="00183B5F">
        <w:rPr>
          <w:b/>
          <w:szCs w:val="22"/>
        </w:rPr>
        <w:t xml:space="preserve"> </w:t>
      </w:r>
    </w:p>
    <w:p w14:paraId="78748876" w14:textId="77777777" w:rsidR="00743EDE" w:rsidRPr="00183B5F" w:rsidRDefault="00943743" w:rsidP="004062FE">
      <w:pPr>
        <w:keepNext/>
        <w:spacing w:line="240" w:lineRule="auto"/>
        <w:rPr>
          <w:szCs w:val="22"/>
          <w:u w:val="single"/>
        </w:rPr>
      </w:pPr>
      <w:r w:rsidRPr="00183B5F">
        <w:rPr>
          <w:szCs w:val="22"/>
          <w:u w:val="single"/>
        </w:rPr>
        <w:t>Allergiás reakciók</w:t>
      </w:r>
    </w:p>
    <w:p w14:paraId="29A4169F" w14:textId="77777777" w:rsidR="00743EDE" w:rsidRPr="00183B5F" w:rsidRDefault="00743EDE" w:rsidP="004062FE">
      <w:pPr>
        <w:keepNext/>
        <w:spacing w:line="240" w:lineRule="auto"/>
        <w:rPr>
          <w:szCs w:val="22"/>
          <w:u w:val="single"/>
        </w:rPr>
      </w:pPr>
    </w:p>
    <w:p w14:paraId="1704A011" w14:textId="77777777" w:rsidR="00743EDE" w:rsidRPr="00183B5F" w:rsidRDefault="00943743" w:rsidP="004062FE">
      <w:pPr>
        <w:keepNext/>
        <w:numPr>
          <w:ilvl w:val="0"/>
          <w:numId w:val="105"/>
        </w:numPr>
        <w:spacing w:line="240" w:lineRule="auto"/>
        <w:ind w:left="567" w:hanging="567"/>
        <w:rPr>
          <w:szCs w:val="22"/>
        </w:rPr>
      </w:pPr>
      <w:r w:rsidRPr="00183B5F">
        <w:rPr>
          <w:szCs w:val="22"/>
        </w:rPr>
        <w:t>Ha olyan allergiás reakciókat észlel, mint mellkasi szorítás, sípoló légzés, szédülés, duzzanat vagy viszketés, ne használja tovább a Humira</w:t>
      </w:r>
      <w:r w:rsidRPr="00183B5F">
        <w:rPr>
          <w:szCs w:val="22"/>
        </w:rPr>
        <w:noBreakHyphen/>
        <w:t>t, és azonnal forduljon kezelőorvosához</w:t>
      </w:r>
      <w:r w:rsidR="00C1197A" w:rsidRPr="00183B5F">
        <w:rPr>
          <w:szCs w:val="22"/>
        </w:rPr>
        <w:t>, mivel ritka esetekben ezek a reakciók életveszélyesek lehetnek</w:t>
      </w:r>
      <w:r w:rsidRPr="00183B5F">
        <w:rPr>
          <w:szCs w:val="22"/>
        </w:rPr>
        <w:t>.</w:t>
      </w:r>
    </w:p>
    <w:p w14:paraId="277D5889" w14:textId="77777777" w:rsidR="00743EDE" w:rsidRPr="00183B5F" w:rsidRDefault="00743EDE" w:rsidP="004062FE">
      <w:pPr>
        <w:spacing w:line="240" w:lineRule="auto"/>
        <w:ind w:left="567" w:right="-2"/>
        <w:rPr>
          <w:szCs w:val="22"/>
          <w:u w:val="single"/>
        </w:rPr>
      </w:pPr>
    </w:p>
    <w:p w14:paraId="0EBA47A1" w14:textId="77777777" w:rsidR="00743EDE" w:rsidRPr="00183B5F" w:rsidRDefault="00943743" w:rsidP="004062FE">
      <w:pPr>
        <w:keepNext/>
        <w:spacing w:line="240" w:lineRule="auto"/>
        <w:ind w:left="567" w:hanging="567"/>
        <w:rPr>
          <w:szCs w:val="22"/>
          <w:u w:val="single"/>
        </w:rPr>
      </w:pPr>
      <w:r w:rsidRPr="00183B5F">
        <w:rPr>
          <w:szCs w:val="22"/>
          <w:u w:val="single"/>
        </w:rPr>
        <w:t>Fertőzések</w:t>
      </w:r>
    </w:p>
    <w:p w14:paraId="1B5AA662" w14:textId="77777777" w:rsidR="00743EDE" w:rsidRPr="00183B5F" w:rsidRDefault="00743EDE" w:rsidP="004062FE">
      <w:pPr>
        <w:keepNext/>
        <w:spacing w:line="240" w:lineRule="auto"/>
        <w:ind w:left="567" w:hanging="567"/>
        <w:rPr>
          <w:szCs w:val="22"/>
          <w:u w:val="single"/>
        </w:rPr>
      </w:pPr>
    </w:p>
    <w:p w14:paraId="7FADCE98" w14:textId="77777777" w:rsidR="00743EDE" w:rsidRPr="00183B5F" w:rsidRDefault="00943743" w:rsidP="004062FE">
      <w:pPr>
        <w:keepNext/>
        <w:numPr>
          <w:ilvl w:val="0"/>
          <w:numId w:val="105"/>
        </w:numPr>
        <w:spacing w:line="240" w:lineRule="auto"/>
        <w:ind w:left="540" w:hanging="540"/>
        <w:rPr>
          <w:szCs w:val="22"/>
        </w:rPr>
      </w:pPr>
      <w:r w:rsidRPr="00183B5F">
        <w:rPr>
          <w:szCs w:val="22"/>
        </w:rPr>
        <w:t>Ha fertőzésben szenved, ideértve a hosszantartó vagy a test egy részét érintő fertőzést (</w:t>
      </w:r>
      <w:r w:rsidR="00E05701" w:rsidRPr="00183B5F">
        <w:rPr>
          <w:bCs/>
          <w:szCs w:val="22"/>
        </w:rPr>
        <w:t>például</w:t>
      </w:r>
      <w:r w:rsidRPr="00183B5F">
        <w:rPr>
          <w:szCs w:val="22"/>
        </w:rPr>
        <w:t> lábszárfekély), beszéljen kezelőorvosával a Humira alkalmazása előtt. Ha kétségei vannak, forduljon kezelőorvosához.</w:t>
      </w:r>
    </w:p>
    <w:p w14:paraId="49DBAAFC" w14:textId="77777777" w:rsidR="00743EDE" w:rsidRPr="00183B5F" w:rsidRDefault="00743EDE" w:rsidP="004062FE">
      <w:pPr>
        <w:spacing w:line="240" w:lineRule="auto"/>
        <w:ind w:left="567" w:hanging="567"/>
        <w:rPr>
          <w:szCs w:val="22"/>
        </w:rPr>
      </w:pPr>
    </w:p>
    <w:p w14:paraId="0B3B5280" w14:textId="77777777" w:rsidR="00743EDE" w:rsidRPr="00183B5F" w:rsidRDefault="00943743">
      <w:pPr>
        <w:pStyle w:val="EMEABullet2"/>
        <w:numPr>
          <w:ilvl w:val="0"/>
          <w:numId w:val="27"/>
        </w:numPr>
        <w:tabs>
          <w:tab w:val="clear" w:pos="720"/>
          <w:tab w:val="num" w:pos="567"/>
        </w:tabs>
        <w:ind w:left="567" w:hanging="567"/>
        <w:rPr>
          <w:szCs w:val="22"/>
          <w:lang w:val="hu-HU"/>
        </w:rPr>
      </w:pPr>
      <w:r w:rsidRPr="00183B5F">
        <w:rPr>
          <w:szCs w:val="22"/>
          <w:lang w:val="hu-HU"/>
        </w:rPr>
        <w:t>Humira</w:t>
      </w:r>
      <w:r w:rsidRPr="00183B5F">
        <w:rPr>
          <w:szCs w:val="22"/>
          <w:lang w:val="hu-HU"/>
        </w:rPr>
        <w:noBreakHyphen/>
      </w:r>
      <w:r w:rsidRPr="00183B5F">
        <w:rPr>
          <w:szCs w:val="22"/>
          <w:lang w:val="hu-HU"/>
        </w:rPr>
        <w:t>kezelés során könnyebben kaphat fertőzéseket. Ennek veszélye nagyobb lehet, ha tüdőbetegsége van. Ezek a fertőzések súlyosak lehetnek és közéjük tartozik:</w:t>
      </w:r>
    </w:p>
    <w:p w14:paraId="7DD8C0E1" w14:textId="77777777" w:rsidR="00743EDE" w:rsidRPr="00183B5F" w:rsidRDefault="00943743" w:rsidP="004062FE">
      <w:pPr>
        <w:pStyle w:val="EMEABullet2"/>
        <w:numPr>
          <w:ilvl w:val="0"/>
          <w:numId w:val="27"/>
        </w:numPr>
        <w:tabs>
          <w:tab w:val="clear" w:pos="567"/>
          <w:tab w:val="clear" w:pos="720"/>
        </w:tabs>
        <w:ind w:left="993" w:hanging="426"/>
        <w:rPr>
          <w:lang w:val="hu-HU"/>
        </w:rPr>
      </w:pPr>
      <w:r w:rsidRPr="00183B5F">
        <w:rPr>
          <w:szCs w:val="22"/>
          <w:lang w:val="hu-HU"/>
        </w:rPr>
        <w:t>tuberkulózis</w:t>
      </w:r>
    </w:p>
    <w:p w14:paraId="7F6C6368" w14:textId="77777777" w:rsidR="00743EDE" w:rsidRPr="00183B5F" w:rsidRDefault="00943743" w:rsidP="004062FE">
      <w:pPr>
        <w:pStyle w:val="EMEABullet2"/>
        <w:numPr>
          <w:ilvl w:val="0"/>
          <w:numId w:val="27"/>
        </w:numPr>
        <w:tabs>
          <w:tab w:val="clear" w:pos="567"/>
          <w:tab w:val="clear" w:pos="720"/>
        </w:tabs>
        <w:ind w:left="993" w:hanging="426"/>
        <w:rPr>
          <w:lang w:val="hu-HU"/>
        </w:rPr>
      </w:pPr>
      <w:r w:rsidRPr="00183B5F">
        <w:rPr>
          <w:szCs w:val="22"/>
          <w:lang w:val="hu-HU"/>
        </w:rPr>
        <w:t>vírusok, gombák, élősködők vagy baktériumok okozta fertőzések</w:t>
      </w:r>
    </w:p>
    <w:p w14:paraId="7C2E8DBB" w14:textId="77777777" w:rsidR="00743EDE" w:rsidRPr="00183B5F" w:rsidRDefault="00943743">
      <w:pPr>
        <w:pStyle w:val="EMEABullet2"/>
        <w:numPr>
          <w:ilvl w:val="0"/>
          <w:numId w:val="27"/>
        </w:numPr>
        <w:tabs>
          <w:tab w:val="clear" w:pos="567"/>
          <w:tab w:val="clear" w:pos="720"/>
        </w:tabs>
        <w:ind w:left="993" w:hanging="426"/>
        <w:rPr>
          <w:szCs w:val="22"/>
          <w:lang w:val="hu-HU"/>
        </w:rPr>
      </w:pPr>
      <w:r w:rsidRPr="00183B5F">
        <w:rPr>
          <w:szCs w:val="22"/>
          <w:lang w:val="hu-HU"/>
        </w:rPr>
        <w:t>súlyos fertőzés (szepszis)</w:t>
      </w:r>
    </w:p>
    <w:p w14:paraId="21003001" w14:textId="77777777" w:rsidR="00743EDE" w:rsidRPr="00183B5F" w:rsidRDefault="00743EDE">
      <w:pPr>
        <w:pStyle w:val="EMEABullet2"/>
        <w:numPr>
          <w:ilvl w:val="0"/>
          <w:numId w:val="0"/>
        </w:numPr>
        <w:tabs>
          <w:tab w:val="clear" w:pos="567"/>
        </w:tabs>
        <w:ind w:left="567"/>
        <w:rPr>
          <w:szCs w:val="22"/>
          <w:lang w:val="hu-HU"/>
        </w:rPr>
      </w:pPr>
    </w:p>
    <w:p w14:paraId="1F3E4D96" w14:textId="77777777" w:rsidR="00743EDE" w:rsidRPr="00183B5F" w:rsidRDefault="00943743">
      <w:pPr>
        <w:pStyle w:val="EMEABullet2"/>
        <w:numPr>
          <w:ilvl w:val="0"/>
          <w:numId w:val="0"/>
        </w:numPr>
        <w:tabs>
          <w:tab w:val="clear" w:pos="567"/>
        </w:tabs>
        <w:ind w:left="567"/>
        <w:rPr>
          <w:szCs w:val="22"/>
          <w:lang w:val="hu-HU"/>
        </w:rPr>
      </w:pPr>
      <w:r w:rsidRPr="00183B5F">
        <w:rPr>
          <w:szCs w:val="22"/>
          <w:lang w:val="hu-HU"/>
        </w:rPr>
        <w:t>Ritkán ezek a fertőzések életveszélyesek lehetnek. Feltétlenül tájékoztassa kezelőorvosát, ha bármilyen fertőzésre utaló tünete van, mint láz, sebek, fáradtságérzés, fogászati problémák. Kezelőorvosa a Humira</w:t>
      </w:r>
      <w:r w:rsidRPr="00183B5F">
        <w:rPr>
          <w:szCs w:val="22"/>
          <w:lang w:val="hu-HU"/>
        </w:rPr>
        <w:noBreakHyphen/>
        <w:t>kezelés átmeneti felfüggesztését javasolhatja.</w:t>
      </w:r>
    </w:p>
    <w:p w14:paraId="34334850" w14:textId="77777777" w:rsidR="00743EDE" w:rsidRPr="00183B5F" w:rsidRDefault="00743EDE">
      <w:pPr>
        <w:pStyle w:val="EMEANormal"/>
        <w:rPr>
          <w:lang w:val="hu-HU"/>
        </w:rPr>
      </w:pPr>
    </w:p>
    <w:p w14:paraId="2E69F038" w14:textId="77777777" w:rsidR="00743EDE" w:rsidRPr="00183B5F" w:rsidRDefault="00943743">
      <w:pPr>
        <w:pStyle w:val="EMEABullet2"/>
        <w:numPr>
          <w:ilvl w:val="0"/>
          <w:numId w:val="64"/>
        </w:numPr>
        <w:rPr>
          <w:szCs w:val="22"/>
          <w:lang w:val="hu-HU"/>
        </w:rPr>
      </w:pPr>
      <w:r w:rsidRPr="00183B5F">
        <w:rPr>
          <w:szCs w:val="22"/>
          <w:lang w:val="hu-HU"/>
        </w:rPr>
        <w:t>Tájékoztassa kezelőorvosát, ha olyan területen él vagy olyan területre utazik, ahol nagyon gyakoriak a gombák okozta fertőzések (</w:t>
      </w:r>
      <w:r w:rsidR="00E05701" w:rsidRPr="00183B5F">
        <w:rPr>
          <w:bCs/>
          <w:szCs w:val="22"/>
          <w:lang w:val="hu-HU"/>
        </w:rPr>
        <w:t>például</w:t>
      </w:r>
      <w:r w:rsidR="00E05701" w:rsidRPr="00183B5F">
        <w:rPr>
          <w:szCs w:val="22"/>
          <w:lang w:val="hu-HU"/>
        </w:rPr>
        <w:t xml:space="preserve"> </w:t>
      </w:r>
      <w:r w:rsidRPr="00183B5F">
        <w:rPr>
          <w:szCs w:val="22"/>
          <w:lang w:val="hu-HU"/>
        </w:rPr>
        <w:t>a hisztoplazmózis, kokcidioidomikózis vagy a blasztomikózis).</w:t>
      </w:r>
    </w:p>
    <w:p w14:paraId="31314EF0" w14:textId="77777777" w:rsidR="00743EDE" w:rsidRPr="00183B5F" w:rsidRDefault="00743EDE" w:rsidP="004062FE">
      <w:pPr>
        <w:spacing w:line="240" w:lineRule="auto"/>
        <w:rPr>
          <w:szCs w:val="22"/>
        </w:rPr>
      </w:pPr>
    </w:p>
    <w:p w14:paraId="4BAE28AD" w14:textId="77777777" w:rsidR="00743EDE" w:rsidRPr="00183B5F" w:rsidRDefault="00943743" w:rsidP="004062FE">
      <w:pPr>
        <w:numPr>
          <w:ilvl w:val="0"/>
          <w:numId w:val="27"/>
        </w:numPr>
        <w:tabs>
          <w:tab w:val="clear" w:pos="720"/>
        </w:tabs>
        <w:spacing w:line="240" w:lineRule="auto"/>
        <w:ind w:left="567" w:hanging="567"/>
        <w:rPr>
          <w:szCs w:val="22"/>
        </w:rPr>
      </w:pPr>
      <w:r w:rsidRPr="00183B5F">
        <w:rPr>
          <w:szCs w:val="22"/>
        </w:rPr>
        <w:t>Tájékoztassa kezelőorvosát, ha visszatérő fertőzései, vagy egyéb olyan betegségei vannak, amelyek fokozzák a fertőzés lehetőségét.</w:t>
      </w:r>
    </w:p>
    <w:p w14:paraId="735B465E" w14:textId="77777777" w:rsidR="00743EDE" w:rsidRPr="00183B5F" w:rsidRDefault="00743EDE" w:rsidP="004062FE">
      <w:pPr>
        <w:spacing w:line="240" w:lineRule="auto"/>
        <w:rPr>
          <w:szCs w:val="22"/>
        </w:rPr>
      </w:pPr>
    </w:p>
    <w:p w14:paraId="0FA775F8" w14:textId="77777777" w:rsidR="00743EDE" w:rsidRPr="00183B5F" w:rsidRDefault="00943743" w:rsidP="004062FE">
      <w:pPr>
        <w:numPr>
          <w:ilvl w:val="0"/>
          <w:numId w:val="80"/>
        </w:numPr>
        <w:tabs>
          <w:tab w:val="clear" w:pos="720"/>
        </w:tabs>
        <w:spacing w:line="240" w:lineRule="auto"/>
        <w:ind w:left="567" w:hanging="567"/>
        <w:rPr>
          <w:szCs w:val="22"/>
        </w:rPr>
      </w:pPr>
      <w:r w:rsidRPr="00183B5F">
        <w:rPr>
          <w:szCs w:val="22"/>
        </w:rPr>
        <w:t>Ha Ön 65 évnél idősebb, a Humira</w:t>
      </w:r>
      <w:r w:rsidRPr="00183B5F">
        <w:rPr>
          <w:szCs w:val="22"/>
        </w:rPr>
        <w:noBreakHyphen/>
        <w:t>kezelés ideje alatt fogékonyabb lehet a fertőzésekre. A Humira-kezelés ideje alatt Önnek és kezelőorvosának különös figyelmet kell fordítania a fertőzések tüneteire. Feltétlenül tájékoztassa kezelőorvosát, ha fertőzésre utaló tünetei vannak, mint például láz, sebek, fáradtságérzés vagy fogászati problémák.</w:t>
      </w:r>
    </w:p>
    <w:p w14:paraId="26655B46" w14:textId="77777777" w:rsidR="00743EDE" w:rsidRPr="00183B5F" w:rsidRDefault="00743EDE" w:rsidP="004062FE">
      <w:pPr>
        <w:spacing w:line="240" w:lineRule="auto"/>
        <w:rPr>
          <w:szCs w:val="22"/>
        </w:rPr>
      </w:pPr>
    </w:p>
    <w:p w14:paraId="196B5E67" w14:textId="77777777" w:rsidR="00743EDE" w:rsidRPr="00183B5F" w:rsidRDefault="00943743" w:rsidP="004062FE">
      <w:pPr>
        <w:keepNext/>
        <w:spacing w:line="240" w:lineRule="auto"/>
        <w:rPr>
          <w:szCs w:val="22"/>
          <w:u w:val="single"/>
        </w:rPr>
      </w:pPr>
      <w:r w:rsidRPr="00183B5F">
        <w:rPr>
          <w:szCs w:val="22"/>
          <w:u w:val="single"/>
        </w:rPr>
        <w:t>Tuberkulózis</w:t>
      </w:r>
    </w:p>
    <w:p w14:paraId="47116451" w14:textId="77777777" w:rsidR="00743EDE" w:rsidRPr="00183B5F" w:rsidRDefault="00743EDE" w:rsidP="004062FE">
      <w:pPr>
        <w:keepNext/>
        <w:spacing w:line="240" w:lineRule="auto"/>
        <w:rPr>
          <w:szCs w:val="22"/>
        </w:rPr>
      </w:pPr>
    </w:p>
    <w:p w14:paraId="01425B89" w14:textId="77777777" w:rsidR="00743EDE" w:rsidRPr="00183B5F" w:rsidRDefault="00943743" w:rsidP="004062FE">
      <w:pPr>
        <w:numPr>
          <w:ilvl w:val="0"/>
          <w:numId w:val="27"/>
        </w:numPr>
        <w:tabs>
          <w:tab w:val="clear" w:pos="720"/>
        </w:tabs>
        <w:spacing w:line="240" w:lineRule="auto"/>
        <w:ind w:left="567" w:hanging="567"/>
        <w:rPr>
          <w:szCs w:val="22"/>
        </w:rPr>
      </w:pPr>
      <w:r w:rsidRPr="00183B5F">
        <w:rPr>
          <w:szCs w:val="22"/>
        </w:rPr>
        <w:t xml:space="preserve">Feltétlenül tájékoztassa kezelőorvosát, ha bármikor </w:t>
      </w:r>
      <w:r w:rsidRPr="00183B5F">
        <w:rPr>
          <w:bCs/>
          <w:szCs w:val="22"/>
        </w:rPr>
        <w:t>tuberkulózis</w:t>
      </w:r>
      <w:r w:rsidRPr="00183B5F">
        <w:rPr>
          <w:szCs w:val="22"/>
        </w:rPr>
        <w:t xml:space="preserve">ban szenvedett vagy közeli kapcsolatban volt valakivel, akinek </w:t>
      </w:r>
      <w:r w:rsidRPr="00183B5F">
        <w:rPr>
          <w:bCs/>
          <w:szCs w:val="22"/>
        </w:rPr>
        <w:t>tuberkulózis</w:t>
      </w:r>
      <w:r w:rsidRPr="00183B5F">
        <w:rPr>
          <w:szCs w:val="22"/>
        </w:rPr>
        <w:t>a volt. Ha aktív tuberkulózisa van, ne alkalmazza a Humira</w:t>
      </w:r>
      <w:r w:rsidRPr="00183B5F">
        <w:rPr>
          <w:szCs w:val="22"/>
        </w:rPr>
        <w:noBreakHyphen/>
        <w:t>t!</w:t>
      </w:r>
    </w:p>
    <w:p w14:paraId="69BE3DA8" w14:textId="77777777" w:rsidR="00743EDE" w:rsidRPr="00183B5F" w:rsidRDefault="00743EDE" w:rsidP="004062FE">
      <w:pPr>
        <w:spacing w:line="240" w:lineRule="auto"/>
        <w:rPr>
          <w:szCs w:val="22"/>
        </w:rPr>
      </w:pPr>
    </w:p>
    <w:p w14:paraId="42503A49" w14:textId="77777777" w:rsidR="00743EDE" w:rsidRPr="00183B5F" w:rsidRDefault="00943743" w:rsidP="004062FE">
      <w:pPr>
        <w:numPr>
          <w:ilvl w:val="0"/>
          <w:numId w:val="27"/>
        </w:numPr>
        <w:tabs>
          <w:tab w:val="clear" w:pos="720"/>
        </w:tabs>
        <w:spacing w:line="240" w:lineRule="auto"/>
        <w:ind w:left="993" w:hanging="426"/>
        <w:rPr>
          <w:szCs w:val="22"/>
        </w:rPr>
      </w:pPr>
      <w:r w:rsidRPr="00183B5F">
        <w:rPr>
          <w:szCs w:val="22"/>
        </w:rPr>
        <w:t>Humira</w:t>
      </w:r>
      <w:r w:rsidRPr="00183B5F">
        <w:rPr>
          <w:szCs w:val="22"/>
        </w:rPr>
        <w:noBreakHyphen/>
        <w:t xml:space="preserve">val kezelt betegeken </w:t>
      </w:r>
      <w:r w:rsidRPr="00183B5F">
        <w:rPr>
          <w:bCs/>
          <w:szCs w:val="22"/>
        </w:rPr>
        <w:t>tuberkulózis</w:t>
      </w:r>
      <w:r w:rsidRPr="00183B5F">
        <w:rPr>
          <w:szCs w:val="22"/>
        </w:rPr>
        <w:t xml:space="preserve"> kialakulását észlelték, így a Humira</w:t>
      </w:r>
      <w:r w:rsidRPr="00183B5F">
        <w:rPr>
          <w:szCs w:val="22"/>
        </w:rPr>
        <w:noBreakHyphen/>
        <w:t xml:space="preserve">kezelés megkezdése előtt kezelőorvosa megvizsgálja a </w:t>
      </w:r>
      <w:r w:rsidRPr="00183B5F">
        <w:rPr>
          <w:bCs/>
          <w:szCs w:val="22"/>
        </w:rPr>
        <w:t>tuberkulózis</w:t>
      </w:r>
      <w:r w:rsidRPr="00183B5F">
        <w:rPr>
          <w:szCs w:val="22"/>
        </w:rPr>
        <w:t xml:space="preserve">ra utaló jeleket és tüneteket. Részletes orvosi kórelőzmény felvételére és megfelelő szűrővizsgálatokra (mint pl. mellkasröntgen vizsgálatra és tuberkulin teszt végzésére) kerül sor. A </w:t>
      </w:r>
      <w:r w:rsidR="0048779F" w:rsidRPr="00183B5F">
        <w:rPr>
          <w:b/>
          <w:szCs w:val="22"/>
        </w:rPr>
        <w:t>Betegemlékeztető</w:t>
      </w:r>
      <w:r w:rsidRPr="00183B5F">
        <w:rPr>
          <w:b/>
          <w:szCs w:val="22"/>
        </w:rPr>
        <w:t xml:space="preserve"> Kártyán</w:t>
      </w:r>
      <w:r w:rsidRPr="00183B5F">
        <w:rPr>
          <w:szCs w:val="22"/>
        </w:rPr>
        <w:t xml:space="preserve"> a vizsgálatok elvégzésének tényét és eredményét vezetni kell. </w:t>
      </w:r>
    </w:p>
    <w:p w14:paraId="1AD8E92D" w14:textId="77777777" w:rsidR="00743EDE" w:rsidRPr="00183B5F" w:rsidRDefault="00743EDE" w:rsidP="004062FE">
      <w:pPr>
        <w:spacing w:line="240" w:lineRule="auto"/>
        <w:ind w:left="993"/>
        <w:rPr>
          <w:szCs w:val="22"/>
        </w:rPr>
      </w:pPr>
    </w:p>
    <w:p w14:paraId="0E7610FB" w14:textId="77777777" w:rsidR="00743EDE" w:rsidRPr="00183B5F" w:rsidRDefault="00943743" w:rsidP="004062FE">
      <w:pPr>
        <w:numPr>
          <w:ilvl w:val="0"/>
          <w:numId w:val="27"/>
        </w:numPr>
        <w:tabs>
          <w:tab w:val="clear" w:pos="720"/>
        </w:tabs>
        <w:spacing w:line="240" w:lineRule="auto"/>
        <w:ind w:left="993" w:hanging="426"/>
        <w:rPr>
          <w:szCs w:val="22"/>
        </w:rPr>
      </w:pPr>
      <w:r w:rsidRPr="00183B5F">
        <w:rPr>
          <w:szCs w:val="22"/>
        </w:rPr>
        <w:t xml:space="preserve">A tuberkulózis kialakulhat a kezelés során annak ellenére, hogy Ön tuberkulózis elleni megelőző terápiát kapott. </w:t>
      </w:r>
    </w:p>
    <w:p w14:paraId="62763869" w14:textId="77777777" w:rsidR="00743EDE" w:rsidRPr="00183B5F" w:rsidRDefault="00743EDE" w:rsidP="004062FE">
      <w:pPr>
        <w:spacing w:line="240" w:lineRule="auto"/>
        <w:ind w:left="993"/>
        <w:rPr>
          <w:szCs w:val="22"/>
        </w:rPr>
      </w:pPr>
    </w:p>
    <w:p w14:paraId="6C5EFC11" w14:textId="77777777" w:rsidR="00743EDE" w:rsidRPr="00183B5F" w:rsidRDefault="00943743" w:rsidP="004062FE">
      <w:pPr>
        <w:numPr>
          <w:ilvl w:val="0"/>
          <w:numId w:val="27"/>
        </w:numPr>
        <w:tabs>
          <w:tab w:val="clear" w:pos="720"/>
        </w:tabs>
        <w:spacing w:line="240" w:lineRule="auto"/>
        <w:ind w:left="993" w:hanging="426"/>
        <w:rPr>
          <w:szCs w:val="22"/>
        </w:rPr>
      </w:pPr>
      <w:r w:rsidRPr="00183B5F">
        <w:rPr>
          <w:szCs w:val="22"/>
        </w:rPr>
        <w:t xml:space="preserve">Ha a </w:t>
      </w:r>
      <w:r w:rsidRPr="00183B5F">
        <w:rPr>
          <w:bCs/>
          <w:szCs w:val="22"/>
        </w:rPr>
        <w:t>tuberkulózis</w:t>
      </w:r>
      <w:r w:rsidRPr="00183B5F">
        <w:rPr>
          <w:szCs w:val="22"/>
        </w:rPr>
        <w:t xml:space="preserve"> tünetei (</w:t>
      </w:r>
      <w:r w:rsidR="00E05701" w:rsidRPr="00183B5F">
        <w:rPr>
          <w:bCs/>
          <w:szCs w:val="22"/>
        </w:rPr>
        <w:t>például</w:t>
      </w:r>
      <w:r w:rsidR="00E05701" w:rsidRPr="00183B5F">
        <w:rPr>
          <w:szCs w:val="22"/>
        </w:rPr>
        <w:t xml:space="preserve"> </w:t>
      </w:r>
      <w:r w:rsidRPr="00183B5F">
        <w:rPr>
          <w:szCs w:val="22"/>
        </w:rPr>
        <w:t>hosszan tartó köhögés, testsúlycsökkenés, levertség, hőemelkedés), vagy más fertőzésre utaló tünetek jelentkeznek a kezelés alatt vagy a kezelést követően, azonnal tájékoztassa kezelőorvosát.</w:t>
      </w:r>
    </w:p>
    <w:p w14:paraId="12F915E9" w14:textId="77777777" w:rsidR="00743EDE" w:rsidRPr="00183B5F" w:rsidRDefault="00743EDE" w:rsidP="004062FE">
      <w:pPr>
        <w:spacing w:line="240" w:lineRule="auto"/>
        <w:rPr>
          <w:szCs w:val="22"/>
        </w:rPr>
      </w:pPr>
    </w:p>
    <w:p w14:paraId="78CA3753" w14:textId="77777777" w:rsidR="00743EDE" w:rsidRPr="00183B5F" w:rsidRDefault="00943743" w:rsidP="004062FE">
      <w:pPr>
        <w:spacing w:line="240" w:lineRule="auto"/>
        <w:ind w:left="567" w:hanging="567"/>
        <w:rPr>
          <w:szCs w:val="22"/>
          <w:u w:val="single"/>
        </w:rPr>
      </w:pPr>
      <w:r w:rsidRPr="00183B5F">
        <w:rPr>
          <w:szCs w:val="22"/>
          <w:u w:val="single"/>
        </w:rPr>
        <w:t>Hepatitisz B</w:t>
      </w:r>
    </w:p>
    <w:p w14:paraId="00B96763" w14:textId="77777777" w:rsidR="00743EDE" w:rsidRPr="00183B5F" w:rsidRDefault="00743EDE" w:rsidP="004062FE">
      <w:pPr>
        <w:spacing w:line="240" w:lineRule="auto"/>
        <w:rPr>
          <w:szCs w:val="22"/>
        </w:rPr>
      </w:pPr>
    </w:p>
    <w:p w14:paraId="63BFFABC" w14:textId="77777777" w:rsidR="00743EDE" w:rsidRPr="00183B5F" w:rsidRDefault="00943743" w:rsidP="004062FE">
      <w:pPr>
        <w:numPr>
          <w:ilvl w:val="0"/>
          <w:numId w:val="20"/>
        </w:numPr>
        <w:tabs>
          <w:tab w:val="clear" w:pos="720"/>
        </w:tabs>
        <w:spacing w:line="240" w:lineRule="auto"/>
        <w:ind w:left="567" w:hanging="567"/>
        <w:rPr>
          <w:szCs w:val="22"/>
        </w:rPr>
      </w:pPr>
      <w:r w:rsidRPr="00183B5F">
        <w:rPr>
          <w:szCs w:val="22"/>
        </w:rPr>
        <w:t xml:space="preserve">Tájékoztassa kezelőorvosát, ha Ön hepatitisz B vírus (HBV) -hordozó, netán aktív </w:t>
      </w:r>
      <w:r w:rsidR="000A456B" w:rsidRPr="00183B5F">
        <w:rPr>
          <w:szCs w:val="22"/>
        </w:rPr>
        <w:t>HBV</w:t>
      </w:r>
      <w:r w:rsidR="000A456B" w:rsidRPr="00183B5F">
        <w:rPr>
          <w:szCs w:val="22"/>
        </w:rPr>
        <w:noBreakHyphen/>
        <w:t>fertőz</w:t>
      </w:r>
      <w:r w:rsidRPr="00183B5F">
        <w:rPr>
          <w:szCs w:val="22"/>
        </w:rPr>
        <w:t xml:space="preserve">ésben szenved, vagy feltételezi, hogy hepatitisz B fertőzés veszélye fenyegetheti. </w:t>
      </w:r>
    </w:p>
    <w:p w14:paraId="5702D9DC" w14:textId="77777777" w:rsidR="00743EDE" w:rsidRPr="00183B5F" w:rsidRDefault="00743EDE" w:rsidP="004062FE">
      <w:pPr>
        <w:spacing w:line="240" w:lineRule="auto"/>
        <w:ind w:left="567"/>
        <w:rPr>
          <w:szCs w:val="22"/>
        </w:rPr>
      </w:pPr>
    </w:p>
    <w:p w14:paraId="236CB0E1" w14:textId="77777777" w:rsidR="00743EDE" w:rsidRPr="00183B5F" w:rsidRDefault="00943743" w:rsidP="004062FE">
      <w:pPr>
        <w:numPr>
          <w:ilvl w:val="0"/>
          <w:numId w:val="20"/>
        </w:numPr>
        <w:tabs>
          <w:tab w:val="clear" w:pos="720"/>
        </w:tabs>
        <w:spacing w:line="240" w:lineRule="auto"/>
        <w:ind w:left="993" w:hanging="426"/>
        <w:rPr>
          <w:szCs w:val="22"/>
        </w:rPr>
      </w:pPr>
      <w:r w:rsidRPr="00183B5F">
        <w:rPr>
          <w:szCs w:val="22"/>
        </w:rPr>
        <w:t xml:space="preserve">Kezelőorvosának HBV-vizsgálatot kell végeznie Önnél. A HBV-t hordozó embereknél a Humira ismét aktiválhatja a vírust. </w:t>
      </w:r>
    </w:p>
    <w:p w14:paraId="1BCA670E" w14:textId="77777777" w:rsidR="00743EDE" w:rsidRPr="00183B5F" w:rsidRDefault="00743EDE" w:rsidP="004062FE">
      <w:pPr>
        <w:spacing w:line="240" w:lineRule="auto"/>
        <w:ind w:left="993"/>
        <w:rPr>
          <w:szCs w:val="22"/>
        </w:rPr>
      </w:pPr>
    </w:p>
    <w:p w14:paraId="3EE04A38" w14:textId="77777777" w:rsidR="00743EDE" w:rsidRPr="00183B5F" w:rsidRDefault="00943743" w:rsidP="004062FE">
      <w:pPr>
        <w:numPr>
          <w:ilvl w:val="0"/>
          <w:numId w:val="20"/>
        </w:numPr>
        <w:tabs>
          <w:tab w:val="clear" w:pos="720"/>
        </w:tabs>
        <w:spacing w:line="240" w:lineRule="auto"/>
        <w:ind w:left="993" w:hanging="426"/>
        <w:rPr>
          <w:szCs w:val="22"/>
        </w:rPr>
      </w:pPr>
      <w:r w:rsidRPr="00183B5F">
        <w:rPr>
          <w:szCs w:val="22"/>
        </w:rPr>
        <w:t>Egyes ritka esetekben – különösen ha más, az immunrendszer működését gátló szereket is szed – a HBV ismételt aktiválódása életveszélyes lehet.</w:t>
      </w:r>
    </w:p>
    <w:p w14:paraId="3D8C20C8" w14:textId="77777777" w:rsidR="00743EDE" w:rsidRPr="00183B5F" w:rsidRDefault="00743EDE" w:rsidP="004062FE">
      <w:pPr>
        <w:spacing w:line="240" w:lineRule="auto"/>
        <w:rPr>
          <w:szCs w:val="22"/>
        </w:rPr>
      </w:pPr>
    </w:p>
    <w:p w14:paraId="43D27BB6" w14:textId="77777777" w:rsidR="00743EDE" w:rsidRPr="00183B5F" w:rsidRDefault="00943743" w:rsidP="004062FE">
      <w:pPr>
        <w:spacing w:line="240" w:lineRule="auto"/>
        <w:rPr>
          <w:szCs w:val="22"/>
          <w:u w:val="single"/>
        </w:rPr>
      </w:pPr>
      <w:r w:rsidRPr="00183B5F">
        <w:rPr>
          <w:szCs w:val="22"/>
          <w:u w:val="single"/>
        </w:rPr>
        <w:t xml:space="preserve">Sebészeti </w:t>
      </w:r>
      <w:r w:rsidR="004C45BD" w:rsidRPr="00183B5F">
        <w:rPr>
          <w:szCs w:val="22"/>
          <w:u w:val="single"/>
        </w:rPr>
        <w:t xml:space="preserve">vagy fogászati </w:t>
      </w:r>
      <w:r w:rsidRPr="00183B5F">
        <w:rPr>
          <w:szCs w:val="22"/>
          <w:u w:val="single"/>
        </w:rPr>
        <w:t>beavatkozás</w:t>
      </w:r>
    </w:p>
    <w:p w14:paraId="7CE0D3E6" w14:textId="77777777" w:rsidR="00743EDE" w:rsidRPr="00183B5F" w:rsidRDefault="00743EDE" w:rsidP="004062FE">
      <w:pPr>
        <w:spacing w:line="240" w:lineRule="auto"/>
        <w:rPr>
          <w:szCs w:val="22"/>
        </w:rPr>
      </w:pPr>
    </w:p>
    <w:p w14:paraId="582E1624" w14:textId="77777777" w:rsidR="00743EDE" w:rsidRPr="00183B5F" w:rsidRDefault="00943743" w:rsidP="004062FE">
      <w:pPr>
        <w:numPr>
          <w:ilvl w:val="0"/>
          <w:numId w:val="27"/>
        </w:numPr>
        <w:tabs>
          <w:tab w:val="clear" w:pos="720"/>
          <w:tab w:val="num" w:pos="600"/>
        </w:tabs>
        <w:spacing w:line="240" w:lineRule="auto"/>
        <w:ind w:left="567" w:hanging="567"/>
        <w:rPr>
          <w:szCs w:val="22"/>
        </w:rPr>
      </w:pPr>
      <w:r w:rsidRPr="00183B5F">
        <w:rPr>
          <w:szCs w:val="22"/>
          <w:lang w:eastAsia="en-US"/>
        </w:rPr>
        <w:t>Ha sebészeti vagy fogászati beavatkozás előtt áll</w:t>
      </w:r>
      <w:r w:rsidR="00F14C68" w:rsidRPr="00183B5F">
        <w:rPr>
          <w:szCs w:val="22"/>
          <w:lang w:eastAsia="en-US"/>
        </w:rPr>
        <w:t>,</w:t>
      </w:r>
      <w:r w:rsidRPr="00183B5F">
        <w:rPr>
          <w:szCs w:val="22"/>
          <w:lang w:eastAsia="en-US"/>
        </w:rPr>
        <w:t xml:space="preserve"> tájékoztassa kezelőorvosát, hogy Humira</w:t>
      </w:r>
      <w:r w:rsidRPr="00183B5F">
        <w:rPr>
          <w:szCs w:val="22"/>
          <w:lang w:eastAsia="en-US"/>
        </w:rPr>
        <w:noBreakHyphen/>
        <w:t>kezelésben részesül. Kezelő</w:t>
      </w:r>
      <w:r w:rsidRPr="00183B5F">
        <w:rPr>
          <w:szCs w:val="22"/>
        </w:rPr>
        <w:t>orvosa a kezelés átmeneti felfüggesztését javasolhatja.</w:t>
      </w:r>
    </w:p>
    <w:p w14:paraId="7B143905" w14:textId="77777777" w:rsidR="00743EDE" w:rsidRPr="00183B5F" w:rsidRDefault="00743EDE" w:rsidP="004062FE">
      <w:pPr>
        <w:pStyle w:val="EndnoteText"/>
        <w:tabs>
          <w:tab w:val="clear" w:pos="567"/>
          <w:tab w:val="left" w:pos="708"/>
        </w:tabs>
        <w:suppressAutoHyphens/>
        <w:rPr>
          <w:sz w:val="22"/>
          <w:szCs w:val="22"/>
          <w:lang w:val="hu-HU" w:eastAsia="hu-HU"/>
        </w:rPr>
      </w:pPr>
    </w:p>
    <w:p w14:paraId="51DC5BC4" w14:textId="77777777" w:rsidR="00743EDE" w:rsidRPr="00183B5F" w:rsidRDefault="00943743" w:rsidP="004062FE">
      <w:pPr>
        <w:spacing w:line="240" w:lineRule="auto"/>
        <w:rPr>
          <w:u w:val="single"/>
        </w:rPr>
      </w:pPr>
      <w:r w:rsidRPr="00183B5F">
        <w:rPr>
          <w:u w:val="single"/>
        </w:rPr>
        <w:t>Demielinizációval járó betegségek</w:t>
      </w:r>
    </w:p>
    <w:p w14:paraId="0DB95E39" w14:textId="77777777" w:rsidR="00743EDE" w:rsidRPr="00183B5F" w:rsidRDefault="00743EDE" w:rsidP="004062FE">
      <w:pPr>
        <w:spacing w:line="240" w:lineRule="auto"/>
      </w:pPr>
    </w:p>
    <w:p w14:paraId="1B607964" w14:textId="77777777" w:rsidR="00743EDE" w:rsidRPr="00183B5F" w:rsidRDefault="00943743" w:rsidP="004062FE">
      <w:pPr>
        <w:numPr>
          <w:ilvl w:val="0"/>
          <w:numId w:val="27"/>
        </w:numPr>
        <w:tabs>
          <w:tab w:val="clear" w:pos="720"/>
          <w:tab w:val="num" w:pos="600"/>
        </w:tabs>
        <w:spacing w:line="240" w:lineRule="auto"/>
        <w:ind w:left="567" w:hanging="567"/>
        <w:rPr>
          <w:szCs w:val="22"/>
        </w:rPr>
      </w:pPr>
      <w:r w:rsidRPr="00183B5F">
        <w:rPr>
          <w:szCs w:val="22"/>
        </w:rPr>
        <w:t>Ha szklerózis multiplexben, vagy egyéb, az idegrostok velőshüvelyének lebomlásával (demielinizációval) járó betegségben szenved, vagy ilyen típusú betegség alakul ki Önnél, kezelőorvosa dönti el, hogy kaphat-e Humira</w:t>
      </w:r>
      <w:r w:rsidRPr="00183B5F">
        <w:rPr>
          <w:szCs w:val="22"/>
        </w:rPr>
        <w:noBreakHyphen/>
        <w:t>kezelést, vagy folytatható</w:t>
      </w:r>
      <w:r w:rsidRPr="00183B5F">
        <w:rPr>
          <w:szCs w:val="22"/>
        </w:rPr>
        <w:noBreakHyphen/>
        <w:t>e az Ön esetében. Azonnal tájékoztassa kezelőorvosát, ha olyan tüneteket tapasztal, mint a megváltozott látás, kar</w:t>
      </w:r>
      <w:r w:rsidRPr="00183B5F">
        <w:rPr>
          <w:szCs w:val="22"/>
        </w:rPr>
        <w:noBreakHyphen/>
        <w:t xml:space="preserve"> vagy lábgyengeség, illetve zsibbadás vagy bizsergés a test bármelyik részén.</w:t>
      </w:r>
    </w:p>
    <w:p w14:paraId="5F1DAC25" w14:textId="77777777" w:rsidR="00743EDE" w:rsidRPr="00183B5F" w:rsidRDefault="00743EDE" w:rsidP="004062FE">
      <w:pPr>
        <w:spacing w:line="240" w:lineRule="auto"/>
        <w:rPr>
          <w:szCs w:val="22"/>
        </w:rPr>
      </w:pPr>
    </w:p>
    <w:p w14:paraId="1061F7D6" w14:textId="77777777" w:rsidR="00743EDE" w:rsidRPr="00183B5F" w:rsidRDefault="00943743" w:rsidP="0036300F">
      <w:pPr>
        <w:keepNext/>
        <w:spacing w:line="240" w:lineRule="auto"/>
        <w:rPr>
          <w:szCs w:val="22"/>
          <w:u w:val="single"/>
        </w:rPr>
      </w:pPr>
      <w:r w:rsidRPr="00183B5F">
        <w:rPr>
          <w:szCs w:val="22"/>
          <w:u w:val="single"/>
        </w:rPr>
        <w:t>Védőoltások</w:t>
      </w:r>
    </w:p>
    <w:p w14:paraId="196D91E7" w14:textId="77777777" w:rsidR="00743EDE" w:rsidRPr="00183B5F" w:rsidRDefault="00743EDE" w:rsidP="0036300F">
      <w:pPr>
        <w:keepNext/>
        <w:spacing w:line="240" w:lineRule="auto"/>
        <w:rPr>
          <w:szCs w:val="22"/>
        </w:rPr>
      </w:pPr>
    </w:p>
    <w:p w14:paraId="1B83177F" w14:textId="77777777" w:rsidR="00743EDE" w:rsidRPr="00183B5F" w:rsidRDefault="00943743" w:rsidP="004062FE">
      <w:pPr>
        <w:numPr>
          <w:ilvl w:val="0"/>
          <w:numId w:val="27"/>
        </w:numPr>
        <w:tabs>
          <w:tab w:val="clear" w:pos="720"/>
        </w:tabs>
        <w:spacing w:line="240" w:lineRule="auto"/>
        <w:ind w:left="567" w:hanging="567"/>
        <w:rPr>
          <w:szCs w:val="22"/>
        </w:rPr>
      </w:pPr>
      <w:r w:rsidRPr="00183B5F">
        <w:rPr>
          <w:szCs w:val="22"/>
        </w:rPr>
        <w:t xml:space="preserve">Humira alkalmazása során bizonyos védőoltások fertőzést okozhatnak, és ezért nem adhatóak. </w:t>
      </w:r>
    </w:p>
    <w:p w14:paraId="0F292F0B" w14:textId="77777777" w:rsidR="00743EDE" w:rsidRPr="00183B5F" w:rsidRDefault="00743EDE" w:rsidP="004062FE">
      <w:pPr>
        <w:spacing w:line="240" w:lineRule="auto"/>
        <w:ind w:left="567"/>
        <w:rPr>
          <w:szCs w:val="22"/>
        </w:rPr>
      </w:pPr>
    </w:p>
    <w:p w14:paraId="39FE6C8C" w14:textId="77777777" w:rsidR="00743EDE" w:rsidRPr="00183B5F" w:rsidRDefault="00943743" w:rsidP="004062FE">
      <w:pPr>
        <w:numPr>
          <w:ilvl w:val="0"/>
          <w:numId w:val="27"/>
        </w:numPr>
        <w:tabs>
          <w:tab w:val="clear" w:pos="720"/>
        </w:tabs>
        <w:spacing w:line="240" w:lineRule="auto"/>
        <w:ind w:left="993" w:hanging="426"/>
        <w:rPr>
          <w:szCs w:val="22"/>
        </w:rPr>
      </w:pPr>
      <w:r w:rsidRPr="00183B5F">
        <w:rPr>
          <w:szCs w:val="22"/>
        </w:rPr>
        <w:t xml:space="preserve">Védőoltás adását megelőzően beszéljen kezelőorvosával. </w:t>
      </w:r>
    </w:p>
    <w:p w14:paraId="70970F7F" w14:textId="77777777" w:rsidR="00743EDE" w:rsidRPr="00183B5F" w:rsidRDefault="00743EDE" w:rsidP="004062FE">
      <w:pPr>
        <w:spacing w:line="240" w:lineRule="auto"/>
        <w:ind w:left="993"/>
        <w:rPr>
          <w:szCs w:val="22"/>
        </w:rPr>
      </w:pPr>
    </w:p>
    <w:p w14:paraId="6E3A76C4" w14:textId="77777777" w:rsidR="00743EDE" w:rsidRPr="00183B5F" w:rsidRDefault="00943743" w:rsidP="004062FE">
      <w:pPr>
        <w:numPr>
          <w:ilvl w:val="0"/>
          <w:numId w:val="27"/>
        </w:numPr>
        <w:tabs>
          <w:tab w:val="clear" w:pos="720"/>
        </w:tabs>
        <w:spacing w:line="240" w:lineRule="auto"/>
        <w:ind w:left="993" w:hanging="426"/>
        <w:rPr>
          <w:szCs w:val="22"/>
        </w:rPr>
      </w:pPr>
      <w:r w:rsidRPr="00183B5F">
        <w:rPr>
          <w:szCs w:val="22"/>
        </w:rPr>
        <w:t xml:space="preserve">Ajánlott, </w:t>
      </w:r>
      <w:r w:rsidR="004C45BD" w:rsidRPr="00183B5F">
        <w:rPr>
          <w:szCs w:val="22"/>
        </w:rPr>
        <w:t>a gyermekek– ha lehetséges</w:t>
      </w:r>
      <w:r w:rsidR="004C45BD" w:rsidRPr="00183B5F">
        <w:rPr>
          <w:szCs w:val="22"/>
        </w:rPr>
        <w:noBreakHyphen/>
      </w:r>
      <w:r w:rsidR="00F9482C" w:rsidRPr="00183B5F">
        <w:rPr>
          <w:szCs w:val="22"/>
        </w:rPr>
        <w:t xml:space="preserve">, </w:t>
      </w:r>
      <w:r w:rsidR="004C45BD" w:rsidRPr="00183B5F">
        <w:rPr>
          <w:szCs w:val="22"/>
        </w:rPr>
        <w:t>a Humira kezelés megkezdése előtt minden, az életkoruknak megfelelően ütemezett védőoltást kapjanak meg.</w:t>
      </w:r>
      <w:r w:rsidRPr="00183B5F">
        <w:rPr>
          <w:szCs w:val="22"/>
        </w:rPr>
        <w:t xml:space="preserve"> </w:t>
      </w:r>
    </w:p>
    <w:p w14:paraId="53EB3251" w14:textId="77777777" w:rsidR="00743EDE" w:rsidRPr="00183B5F" w:rsidRDefault="00743EDE" w:rsidP="004062FE">
      <w:pPr>
        <w:spacing w:line="240" w:lineRule="auto"/>
        <w:ind w:left="993"/>
        <w:rPr>
          <w:szCs w:val="22"/>
        </w:rPr>
      </w:pPr>
    </w:p>
    <w:p w14:paraId="00F623AC" w14:textId="77777777" w:rsidR="00743EDE" w:rsidRPr="00183B5F" w:rsidRDefault="00943743" w:rsidP="004062FE">
      <w:pPr>
        <w:numPr>
          <w:ilvl w:val="0"/>
          <w:numId w:val="27"/>
        </w:numPr>
        <w:tabs>
          <w:tab w:val="clear" w:pos="720"/>
        </w:tabs>
        <w:spacing w:line="240" w:lineRule="auto"/>
        <w:ind w:left="993" w:hanging="426"/>
        <w:rPr>
          <w:szCs w:val="22"/>
        </w:rPr>
      </w:pPr>
      <w:r w:rsidRPr="00183B5F">
        <w:rPr>
          <w:szCs w:val="22"/>
        </w:rPr>
        <w:t>Ha a terhessége alatt Humira-t kapott, a kisbabája a terhesség alatt kapott utolsó adag Humira</w:t>
      </w:r>
      <w:r w:rsidRPr="00183B5F">
        <w:rPr>
          <w:szCs w:val="22"/>
        </w:rPr>
        <w:noBreakHyphen/>
        <w:t>t követően legfeljebb 5 hónapig nagyobb eséllyel kaphat el valamilyen fertőzést. Fontos, hogy elmondja kisbabája kezelőorvosának vagy az őt kezelő egészségügyi személyzetnek, hogy a terhessége alatt Humira</w:t>
      </w:r>
      <w:r w:rsidRPr="00183B5F">
        <w:rPr>
          <w:szCs w:val="22"/>
        </w:rPr>
        <w:noBreakHyphen/>
        <w:t>t kapott, így ők el tudják dönteni, hogy kisbabájának mikor kell valamilyen védőoltást kapnia.</w:t>
      </w:r>
    </w:p>
    <w:p w14:paraId="7DC33394" w14:textId="77777777" w:rsidR="00743EDE" w:rsidRPr="00183B5F" w:rsidRDefault="00743EDE" w:rsidP="004062FE">
      <w:pPr>
        <w:spacing w:line="240" w:lineRule="auto"/>
        <w:rPr>
          <w:szCs w:val="22"/>
        </w:rPr>
      </w:pPr>
    </w:p>
    <w:p w14:paraId="449EBA84" w14:textId="77777777" w:rsidR="00743EDE" w:rsidRPr="00183B5F" w:rsidRDefault="00943743" w:rsidP="004062FE">
      <w:pPr>
        <w:spacing w:line="240" w:lineRule="auto"/>
        <w:rPr>
          <w:szCs w:val="22"/>
          <w:u w:val="single"/>
        </w:rPr>
      </w:pPr>
      <w:r w:rsidRPr="00183B5F">
        <w:rPr>
          <w:szCs w:val="22"/>
          <w:u w:val="single"/>
        </w:rPr>
        <w:t>Szív</w:t>
      </w:r>
      <w:r w:rsidR="004C45BD" w:rsidRPr="00183B5F">
        <w:rPr>
          <w:szCs w:val="22"/>
          <w:u w:val="single"/>
        </w:rPr>
        <w:t>elégtelenség</w:t>
      </w:r>
    </w:p>
    <w:p w14:paraId="186621D0" w14:textId="77777777" w:rsidR="00743EDE" w:rsidRPr="00183B5F" w:rsidRDefault="00743EDE" w:rsidP="004062FE">
      <w:pPr>
        <w:spacing w:line="240" w:lineRule="auto"/>
        <w:rPr>
          <w:szCs w:val="22"/>
        </w:rPr>
      </w:pPr>
    </w:p>
    <w:p w14:paraId="212BE375" w14:textId="77777777" w:rsidR="004C45BD" w:rsidRPr="00183B5F" w:rsidRDefault="00943743" w:rsidP="004062FE">
      <w:pPr>
        <w:pStyle w:val="ListParagraph"/>
        <w:spacing w:line="240" w:lineRule="auto"/>
      </w:pPr>
      <w:r w:rsidRPr="00183B5F">
        <w:rPr>
          <w:szCs w:val="22"/>
        </w:rPr>
        <w:t xml:space="preserve">Ha </w:t>
      </w:r>
      <w:r w:rsidR="00FA26CE" w:rsidRPr="00183B5F">
        <w:rPr>
          <w:szCs w:val="22"/>
        </w:rPr>
        <w:t>Önnek</w:t>
      </w:r>
      <w:r w:rsidRPr="00183B5F">
        <w:rPr>
          <w:szCs w:val="22"/>
        </w:rPr>
        <w:t xml:space="preserve"> enyhe szívelégtelensége van és Humira</w:t>
      </w:r>
      <w:r w:rsidRPr="00183B5F">
        <w:rPr>
          <w:szCs w:val="22"/>
        </w:rPr>
        <w:noBreakHyphen/>
        <w:t xml:space="preserve">kezelést kap, </w:t>
      </w:r>
      <w:r w:rsidR="003909BC" w:rsidRPr="00183B5F">
        <w:rPr>
          <w:szCs w:val="22"/>
        </w:rPr>
        <w:t xml:space="preserve">a </w:t>
      </w:r>
      <w:r w:rsidRPr="00183B5F">
        <w:rPr>
          <w:bCs/>
          <w:szCs w:val="22"/>
        </w:rPr>
        <w:t>szívelégtelenség állapotát</w:t>
      </w:r>
      <w:r w:rsidRPr="00183B5F">
        <w:rPr>
          <w:szCs w:val="22"/>
        </w:rPr>
        <w:t xml:space="preserve"> orvosának szorosan követnie kell. Fontos, hogy közölje kezelőorvosával, ha súlyos szívbetegsége volt, vagy jelenleg is van. Ha új tünetek kialakulását vagy a szívelégtelenség tüneteinek rosszabbodását észleli (</w:t>
      </w:r>
      <w:r w:rsidR="00E05701" w:rsidRPr="00183B5F">
        <w:rPr>
          <w:bCs/>
          <w:szCs w:val="22"/>
        </w:rPr>
        <w:t>például</w:t>
      </w:r>
      <w:r w:rsidR="00E05701" w:rsidRPr="00183B5F">
        <w:rPr>
          <w:szCs w:val="22"/>
        </w:rPr>
        <w:t xml:space="preserve"> </w:t>
      </w:r>
      <w:r w:rsidRPr="00183B5F">
        <w:rPr>
          <w:szCs w:val="22"/>
        </w:rPr>
        <w:t>légszomj, vagy lábdagadás), azonnal tájékoztassa kezelőorvosát. Kezelőorvosa el fogja dönteni, hogy Ön kaphat-e Humira</w:t>
      </w:r>
      <w:r w:rsidRPr="00183B5F">
        <w:rPr>
          <w:szCs w:val="22"/>
        </w:rPr>
        <w:noBreakHyphen/>
        <w:t>t.</w:t>
      </w:r>
    </w:p>
    <w:p w14:paraId="2BC1D081" w14:textId="77777777" w:rsidR="00743EDE" w:rsidRPr="00183B5F" w:rsidRDefault="00743EDE" w:rsidP="004062FE">
      <w:pPr>
        <w:spacing w:line="240" w:lineRule="auto"/>
        <w:ind w:left="993"/>
        <w:rPr>
          <w:szCs w:val="22"/>
        </w:rPr>
      </w:pPr>
    </w:p>
    <w:p w14:paraId="4568A5E7" w14:textId="77777777" w:rsidR="004C45BD" w:rsidRPr="00183B5F" w:rsidRDefault="00943743" w:rsidP="004062FE">
      <w:pPr>
        <w:spacing w:line="240" w:lineRule="auto"/>
        <w:rPr>
          <w:u w:val="single"/>
        </w:rPr>
      </w:pPr>
      <w:r w:rsidRPr="00183B5F">
        <w:rPr>
          <w:u w:val="single"/>
        </w:rPr>
        <w:t>Láz, véraláfutás, vérzés vagy sápadtság</w:t>
      </w:r>
    </w:p>
    <w:p w14:paraId="5AB15BDE" w14:textId="77777777" w:rsidR="00743EDE" w:rsidRPr="00183B5F" w:rsidRDefault="00743EDE" w:rsidP="004062FE">
      <w:pPr>
        <w:spacing w:line="240" w:lineRule="auto"/>
        <w:rPr>
          <w:szCs w:val="22"/>
        </w:rPr>
      </w:pPr>
    </w:p>
    <w:p w14:paraId="611E4264" w14:textId="77777777" w:rsidR="00743EDE" w:rsidRPr="00183B5F" w:rsidRDefault="00943743" w:rsidP="004062FE">
      <w:pPr>
        <w:numPr>
          <w:ilvl w:val="0"/>
          <w:numId w:val="20"/>
        </w:numPr>
        <w:tabs>
          <w:tab w:val="clear" w:pos="720"/>
        </w:tabs>
        <w:spacing w:line="240" w:lineRule="auto"/>
        <w:ind w:left="567" w:hanging="567"/>
        <w:rPr>
          <w:szCs w:val="22"/>
        </w:rPr>
      </w:pPr>
      <w:r w:rsidRPr="00183B5F">
        <w:rPr>
          <w:szCs w:val="22"/>
        </w:rPr>
        <w:t>Egyes betegek esetében a szervezet nem termel elég olyan vérsejtet, melyek leküzdenék a fertőzést, vagy segítenének megállítani a vérzést.</w:t>
      </w:r>
      <w:r w:rsidR="004C45BD" w:rsidRPr="00183B5F">
        <w:rPr>
          <w:szCs w:val="22"/>
        </w:rPr>
        <w:t xml:space="preserve"> Kezelőorvosa eldönti, hogy folytassák-e a kezelést. </w:t>
      </w:r>
      <w:r w:rsidRPr="00183B5F">
        <w:rPr>
          <w:szCs w:val="22"/>
        </w:rPr>
        <w:t xml:space="preserve">Ha nem múló láza van, vagy könnyen alakul ki véraláfutása vagy vérzik, vagy nagyon sápadtnak látszik, azonnal értesítse kezelőorvosát. </w:t>
      </w:r>
    </w:p>
    <w:p w14:paraId="60E5E200" w14:textId="77777777" w:rsidR="00743EDE" w:rsidRPr="00183B5F" w:rsidRDefault="00743EDE" w:rsidP="004062FE">
      <w:pPr>
        <w:spacing w:line="240" w:lineRule="auto"/>
        <w:rPr>
          <w:szCs w:val="22"/>
        </w:rPr>
      </w:pPr>
    </w:p>
    <w:p w14:paraId="6E1BF483" w14:textId="77777777" w:rsidR="00743EDE" w:rsidRPr="00183B5F" w:rsidRDefault="00943743" w:rsidP="004062FE">
      <w:pPr>
        <w:spacing w:line="240" w:lineRule="auto"/>
        <w:rPr>
          <w:szCs w:val="22"/>
          <w:u w:val="single"/>
        </w:rPr>
      </w:pPr>
      <w:r w:rsidRPr="00183B5F">
        <w:rPr>
          <w:szCs w:val="22"/>
          <w:u w:val="single"/>
        </w:rPr>
        <w:t>Daganatos betegség</w:t>
      </w:r>
    </w:p>
    <w:p w14:paraId="41802F9D" w14:textId="77777777" w:rsidR="00743EDE" w:rsidRPr="00183B5F" w:rsidRDefault="00743EDE" w:rsidP="004062FE">
      <w:pPr>
        <w:spacing w:line="240" w:lineRule="auto"/>
        <w:rPr>
          <w:szCs w:val="22"/>
        </w:rPr>
      </w:pPr>
    </w:p>
    <w:p w14:paraId="6DAF74C5" w14:textId="77777777" w:rsidR="00743EDE" w:rsidRPr="00183B5F" w:rsidRDefault="00943743" w:rsidP="004062FE">
      <w:pPr>
        <w:numPr>
          <w:ilvl w:val="0"/>
          <w:numId w:val="20"/>
        </w:numPr>
        <w:tabs>
          <w:tab w:val="clear" w:pos="720"/>
        </w:tabs>
        <w:spacing w:line="240" w:lineRule="auto"/>
        <w:ind w:left="567" w:hanging="567"/>
        <w:rPr>
          <w:szCs w:val="22"/>
        </w:rPr>
      </w:pPr>
      <w:r w:rsidRPr="00183B5F">
        <w:rPr>
          <w:szCs w:val="22"/>
        </w:rPr>
        <w:t>Nagyon ritkán előfordul, hogy a Humira</w:t>
      </w:r>
      <w:r w:rsidRPr="00183B5F">
        <w:rPr>
          <w:szCs w:val="22"/>
        </w:rPr>
        <w:noBreakHyphen/>
        <w:t>t vagy más TNF</w:t>
      </w:r>
      <w:r w:rsidRPr="00183B5F">
        <w:rPr>
          <w:szCs w:val="22"/>
        </w:rPr>
        <w:noBreakHyphen/>
        <w:t xml:space="preserve">antagonista gyógyszert szedő betegeknél bizonyos daganatfajta jelentkezik. </w:t>
      </w:r>
    </w:p>
    <w:p w14:paraId="7F1FA87E" w14:textId="77777777" w:rsidR="00743EDE" w:rsidRPr="00183B5F" w:rsidRDefault="00743EDE" w:rsidP="004062FE">
      <w:pPr>
        <w:spacing w:line="240" w:lineRule="auto"/>
        <w:ind w:left="567"/>
        <w:rPr>
          <w:szCs w:val="22"/>
        </w:rPr>
      </w:pPr>
    </w:p>
    <w:p w14:paraId="7C8FDE95" w14:textId="77777777" w:rsidR="00743EDE" w:rsidRPr="00183B5F" w:rsidRDefault="00943743" w:rsidP="004062FE">
      <w:pPr>
        <w:numPr>
          <w:ilvl w:val="0"/>
          <w:numId w:val="20"/>
        </w:numPr>
        <w:tabs>
          <w:tab w:val="clear" w:pos="720"/>
        </w:tabs>
        <w:spacing w:line="240" w:lineRule="auto"/>
        <w:ind w:left="993" w:hanging="426"/>
        <w:rPr>
          <w:szCs w:val="22"/>
        </w:rPr>
      </w:pPr>
      <w:r w:rsidRPr="00183B5F">
        <w:rPr>
          <w:szCs w:val="22"/>
        </w:rPr>
        <w:t xml:space="preserve">A hosszú ideje súlyos reumatoid artritiszben szenvedő betegeknek az átlagosnál nagyobb a kockázatuk, hogy limfóma (a nyirokrendszert érintő daganat) vagy leukémia (a csontvelőt, vérképzést érintő daganat) alakul ki. </w:t>
      </w:r>
    </w:p>
    <w:p w14:paraId="365B013A" w14:textId="77777777" w:rsidR="00743EDE" w:rsidRPr="00183B5F" w:rsidRDefault="00943743" w:rsidP="004062FE">
      <w:pPr>
        <w:numPr>
          <w:ilvl w:val="0"/>
          <w:numId w:val="20"/>
        </w:numPr>
        <w:tabs>
          <w:tab w:val="clear" w:pos="720"/>
        </w:tabs>
        <w:spacing w:line="240" w:lineRule="auto"/>
        <w:ind w:left="993" w:hanging="426"/>
        <w:rPr>
          <w:szCs w:val="22"/>
        </w:rPr>
      </w:pPr>
      <w:r w:rsidRPr="00183B5F">
        <w:rPr>
          <w:szCs w:val="22"/>
        </w:rPr>
        <w:t>Amennyiben Humira</w:t>
      </w:r>
      <w:r w:rsidRPr="00183B5F">
        <w:rPr>
          <w:szCs w:val="22"/>
        </w:rPr>
        <w:noBreakHyphen/>
        <w:t>t kap, kockázata fokozódhat. Ritkán a nyirokdaganat (limfóma) egy nem gyakori és súlyos típusát észlelték Humira</w:t>
      </w:r>
      <w:r w:rsidRPr="00183B5F">
        <w:rPr>
          <w:szCs w:val="22"/>
        </w:rPr>
        <w:noBreakHyphen/>
        <w:t>val kezelt betegeknél. E betegek közül egyeseket egyidejűleg azatioprinnel, illetve 6</w:t>
      </w:r>
      <w:r w:rsidRPr="00183B5F">
        <w:rPr>
          <w:szCs w:val="22"/>
        </w:rPr>
        <w:noBreakHyphen/>
        <w:t xml:space="preserve">merkaptopurinnal is kezeltek. </w:t>
      </w:r>
    </w:p>
    <w:p w14:paraId="5C4AD4BA" w14:textId="77777777" w:rsidR="00743EDE" w:rsidRPr="00183B5F" w:rsidRDefault="00943743" w:rsidP="004062FE">
      <w:pPr>
        <w:numPr>
          <w:ilvl w:val="0"/>
          <w:numId w:val="20"/>
        </w:numPr>
        <w:tabs>
          <w:tab w:val="clear" w:pos="720"/>
        </w:tabs>
        <w:spacing w:line="240" w:lineRule="auto"/>
        <w:ind w:left="993" w:hanging="426"/>
        <w:rPr>
          <w:szCs w:val="22"/>
        </w:rPr>
      </w:pPr>
      <w:r w:rsidRPr="00183B5F">
        <w:rPr>
          <w:szCs w:val="22"/>
        </w:rPr>
        <w:t>Tájékoztassa kezelőorvosát, ha a Humira-val egyidejűleg azatioprint vagy 6</w:t>
      </w:r>
      <w:r w:rsidRPr="00183B5F">
        <w:rPr>
          <w:szCs w:val="22"/>
        </w:rPr>
        <w:noBreakHyphen/>
        <w:t xml:space="preserve">merkaptopurint szed. </w:t>
      </w:r>
    </w:p>
    <w:p w14:paraId="3DCFC86D" w14:textId="77777777" w:rsidR="00743EDE" w:rsidRPr="00183B5F" w:rsidRDefault="00943743" w:rsidP="0036300F">
      <w:pPr>
        <w:numPr>
          <w:ilvl w:val="0"/>
          <w:numId w:val="20"/>
        </w:numPr>
        <w:tabs>
          <w:tab w:val="clear" w:pos="720"/>
        </w:tabs>
        <w:spacing w:line="240" w:lineRule="auto"/>
        <w:ind w:left="993" w:hanging="426"/>
        <w:rPr>
          <w:szCs w:val="22"/>
        </w:rPr>
      </w:pPr>
      <w:r w:rsidRPr="00183B5F">
        <w:rPr>
          <w:szCs w:val="22"/>
        </w:rPr>
        <w:t>Esetenként nem melanomás bőrrák kialakulását észlelték Humira</w:t>
      </w:r>
      <w:r w:rsidRPr="00183B5F">
        <w:rPr>
          <w:szCs w:val="22"/>
        </w:rPr>
        <w:noBreakHyphen/>
        <w:t xml:space="preserve">val kezelt betegeken. </w:t>
      </w:r>
    </w:p>
    <w:p w14:paraId="6748C3CE" w14:textId="77777777" w:rsidR="00743EDE" w:rsidRPr="00183B5F" w:rsidRDefault="00943743" w:rsidP="004062FE">
      <w:pPr>
        <w:numPr>
          <w:ilvl w:val="0"/>
          <w:numId w:val="20"/>
        </w:numPr>
        <w:tabs>
          <w:tab w:val="clear" w:pos="720"/>
        </w:tabs>
        <w:spacing w:line="240" w:lineRule="auto"/>
        <w:ind w:left="993" w:hanging="426"/>
        <w:rPr>
          <w:szCs w:val="22"/>
        </w:rPr>
      </w:pPr>
      <w:r w:rsidRPr="00183B5F">
        <w:rPr>
          <w:szCs w:val="22"/>
        </w:rPr>
        <w:t>Ha új bőrelváltozások jelennek meg a kezelés alatt, vagy a meglévők külleme megváltozik, tájékoztassa kezelőorvosát.</w:t>
      </w:r>
    </w:p>
    <w:p w14:paraId="6D8C973E" w14:textId="77777777" w:rsidR="00743EDE" w:rsidRPr="00183B5F" w:rsidRDefault="00743EDE" w:rsidP="004062FE">
      <w:pPr>
        <w:spacing w:line="240" w:lineRule="auto"/>
        <w:rPr>
          <w:szCs w:val="22"/>
        </w:rPr>
      </w:pPr>
    </w:p>
    <w:p w14:paraId="45930475" w14:textId="77777777" w:rsidR="00743EDE" w:rsidRPr="00183B5F" w:rsidRDefault="00943743" w:rsidP="004062FE">
      <w:pPr>
        <w:numPr>
          <w:ilvl w:val="0"/>
          <w:numId w:val="20"/>
        </w:numPr>
        <w:tabs>
          <w:tab w:val="clear" w:pos="720"/>
        </w:tabs>
        <w:spacing w:line="240" w:lineRule="auto"/>
        <w:ind w:left="567" w:hanging="567"/>
        <w:rPr>
          <w:szCs w:val="22"/>
        </w:rPr>
      </w:pPr>
      <w:r w:rsidRPr="00183B5F">
        <w:rPr>
          <w:szCs w:val="22"/>
        </w:rPr>
        <w:t>Voltak esetek, amikor egy adott tüdőbetegségben (amelyet idült obstruktív tüdőbetegségnek (COPD-nek) neveznek) szenvedő, TNF</w:t>
      </w:r>
      <w:r w:rsidRPr="00183B5F">
        <w:rPr>
          <w:szCs w:val="22"/>
        </w:rPr>
        <w:noBreakHyphen/>
        <w:t>antagonistával kezelt betegeken (nem limfóma természetű) rákos daganatok kialakulását észlelték</w:t>
      </w:r>
      <w:r w:rsidR="0039225E" w:rsidRPr="00183B5F">
        <w:rPr>
          <w:szCs w:val="22"/>
        </w:rPr>
        <w:t>.</w:t>
      </w:r>
      <w:r w:rsidRPr="00183B5F">
        <w:rPr>
          <w:szCs w:val="22"/>
        </w:rPr>
        <w:t xml:space="preserve"> Ha Ön COPD</w:t>
      </w:r>
      <w:r w:rsidRPr="00183B5F">
        <w:rPr>
          <w:szCs w:val="22"/>
        </w:rPr>
        <w:noBreakHyphen/>
      </w:r>
      <w:r w:rsidRPr="00183B5F">
        <w:rPr>
          <w:szCs w:val="22"/>
        </w:rPr>
        <w:t>ben szenved vagy erős dohányos, kérje kezelőorvosa tanácsát, hogy vajon a TNF</w:t>
      </w:r>
      <w:r w:rsidRPr="00183B5F">
        <w:rPr>
          <w:szCs w:val="22"/>
        </w:rPr>
        <w:noBreakHyphen/>
        <w:t>antagonistával végzett kezelés megfelelő-e az Ön számára.</w:t>
      </w:r>
    </w:p>
    <w:p w14:paraId="341EDBBD" w14:textId="77777777" w:rsidR="004C45BD" w:rsidRPr="00183B5F" w:rsidRDefault="004C45BD" w:rsidP="004062FE">
      <w:pPr>
        <w:pStyle w:val="ListParagraph"/>
        <w:spacing w:line="240" w:lineRule="auto"/>
        <w:rPr>
          <w:szCs w:val="22"/>
        </w:rPr>
      </w:pPr>
    </w:p>
    <w:p w14:paraId="1EE0B655" w14:textId="77777777" w:rsidR="004C45BD" w:rsidRPr="00183B5F" w:rsidRDefault="00943743" w:rsidP="00121C13">
      <w:pPr>
        <w:keepNext/>
        <w:spacing w:line="240" w:lineRule="auto"/>
        <w:rPr>
          <w:szCs w:val="22"/>
          <w:u w:val="single"/>
        </w:rPr>
      </w:pPr>
      <w:r w:rsidRPr="00183B5F">
        <w:rPr>
          <w:szCs w:val="22"/>
          <w:u w:val="single"/>
        </w:rPr>
        <w:t>Autoimmun betegség</w:t>
      </w:r>
    </w:p>
    <w:p w14:paraId="2DBF9819" w14:textId="77777777" w:rsidR="004C45BD" w:rsidRPr="00183B5F" w:rsidRDefault="004C45BD" w:rsidP="00121C13">
      <w:pPr>
        <w:keepNext/>
        <w:spacing w:line="240" w:lineRule="auto"/>
        <w:rPr>
          <w:szCs w:val="22"/>
          <w:u w:val="single"/>
        </w:rPr>
      </w:pPr>
    </w:p>
    <w:p w14:paraId="2A3AB9EB" w14:textId="77777777" w:rsidR="004C45BD" w:rsidRPr="00183B5F" w:rsidRDefault="00943743" w:rsidP="004062FE">
      <w:pPr>
        <w:pStyle w:val="ListParagraph"/>
        <w:numPr>
          <w:ilvl w:val="0"/>
          <w:numId w:val="148"/>
        </w:numPr>
        <w:spacing w:line="240" w:lineRule="auto"/>
        <w:contextualSpacing/>
        <w:rPr>
          <w:szCs w:val="22"/>
        </w:rPr>
      </w:pPr>
      <w:r w:rsidRPr="00183B5F">
        <w:rPr>
          <w:szCs w:val="22"/>
        </w:rPr>
        <w:t>Ritka esetekben a Humira lupusz-szerű szindrómát okoz</w:t>
      </w:r>
      <w:r w:rsidR="001147C9" w:rsidRPr="00183B5F">
        <w:rPr>
          <w:szCs w:val="22"/>
        </w:rPr>
        <w:t>hat</w:t>
      </w:r>
      <w:r w:rsidRPr="00183B5F">
        <w:rPr>
          <w:szCs w:val="22"/>
        </w:rPr>
        <w:t xml:space="preserve">. </w:t>
      </w:r>
      <w:r w:rsidR="001147C9" w:rsidRPr="00183B5F">
        <w:rPr>
          <w:szCs w:val="22"/>
        </w:rPr>
        <w:t>Keresse fel</w:t>
      </w:r>
      <w:r w:rsidRPr="00183B5F">
        <w:rPr>
          <w:szCs w:val="22"/>
        </w:rPr>
        <w:t xml:space="preserve"> kezelőorvosá</w:t>
      </w:r>
      <w:r w:rsidR="001147C9" w:rsidRPr="00183B5F">
        <w:rPr>
          <w:szCs w:val="22"/>
        </w:rPr>
        <w:t>t</w:t>
      </w:r>
      <w:r w:rsidRPr="00183B5F">
        <w:rPr>
          <w:szCs w:val="22"/>
        </w:rPr>
        <w:t xml:space="preserve">, ha olyan </w:t>
      </w:r>
      <w:r w:rsidR="0001217B" w:rsidRPr="00183B5F">
        <w:rPr>
          <w:szCs w:val="22"/>
        </w:rPr>
        <w:t>tüneteket észlel</w:t>
      </w:r>
      <w:r w:rsidRPr="00183B5F">
        <w:rPr>
          <w:szCs w:val="22"/>
        </w:rPr>
        <w:t xml:space="preserve">, mint a tartós, tisztázatlan eredetű </w:t>
      </w:r>
      <w:r w:rsidR="004C50B5" w:rsidRPr="00183B5F">
        <w:rPr>
          <w:szCs w:val="22"/>
        </w:rPr>
        <w:t>bőr</w:t>
      </w:r>
      <w:r w:rsidRPr="00183B5F">
        <w:rPr>
          <w:szCs w:val="22"/>
        </w:rPr>
        <w:t>kiütés, láz, ízületi fájdalom vagy fáradtság.</w:t>
      </w:r>
    </w:p>
    <w:p w14:paraId="29FB471C" w14:textId="77777777" w:rsidR="00743EDE" w:rsidRPr="00183B5F" w:rsidRDefault="00743EDE" w:rsidP="004062FE">
      <w:pPr>
        <w:spacing w:line="240" w:lineRule="auto"/>
        <w:rPr>
          <w:szCs w:val="22"/>
        </w:rPr>
      </w:pPr>
    </w:p>
    <w:p w14:paraId="27E3D5BD" w14:textId="77777777" w:rsidR="00743EDE" w:rsidRPr="00183B5F" w:rsidRDefault="00943743" w:rsidP="004062FE">
      <w:pPr>
        <w:keepNext/>
        <w:spacing w:line="240" w:lineRule="auto"/>
        <w:rPr>
          <w:b/>
          <w:szCs w:val="22"/>
        </w:rPr>
      </w:pPr>
      <w:r w:rsidRPr="00183B5F">
        <w:rPr>
          <w:b/>
          <w:noProof/>
          <w:szCs w:val="24"/>
        </w:rPr>
        <w:t>Gyermekek és serdülők</w:t>
      </w:r>
    </w:p>
    <w:p w14:paraId="6A8B81F5" w14:textId="77777777" w:rsidR="00743EDE" w:rsidRPr="00183B5F" w:rsidRDefault="00743EDE" w:rsidP="004062FE">
      <w:pPr>
        <w:keepNext/>
        <w:spacing w:line="240" w:lineRule="auto"/>
        <w:rPr>
          <w:b/>
          <w:szCs w:val="22"/>
        </w:rPr>
      </w:pPr>
    </w:p>
    <w:p w14:paraId="05058D18" w14:textId="77777777" w:rsidR="00743EDE" w:rsidRPr="00183B5F" w:rsidRDefault="00943743" w:rsidP="004062FE">
      <w:pPr>
        <w:keepNext/>
        <w:numPr>
          <w:ilvl w:val="0"/>
          <w:numId w:val="104"/>
        </w:numPr>
        <w:tabs>
          <w:tab w:val="clear" w:pos="720"/>
          <w:tab w:val="num" w:pos="630"/>
        </w:tabs>
        <w:spacing w:line="240" w:lineRule="auto"/>
        <w:ind w:left="630" w:hanging="630"/>
        <w:rPr>
          <w:szCs w:val="22"/>
        </w:rPr>
      </w:pPr>
      <w:r w:rsidRPr="00183B5F">
        <w:rPr>
          <w:szCs w:val="22"/>
        </w:rPr>
        <w:t>Védőoltások: ha lehetséges, a gyermeknek meg kell kapnia az összes esedékes védőoltást a Humira alkalmazásának megkezdése előtt.</w:t>
      </w:r>
    </w:p>
    <w:p w14:paraId="41027336" w14:textId="77777777" w:rsidR="00743EDE" w:rsidRPr="00183B5F" w:rsidRDefault="00743EDE" w:rsidP="004062FE">
      <w:pPr>
        <w:spacing w:line="240" w:lineRule="auto"/>
        <w:rPr>
          <w:b/>
          <w:szCs w:val="22"/>
        </w:rPr>
      </w:pPr>
    </w:p>
    <w:p w14:paraId="160ABFE1" w14:textId="77777777" w:rsidR="00743EDE" w:rsidRPr="00183B5F" w:rsidRDefault="00943743" w:rsidP="004062FE">
      <w:pPr>
        <w:keepNext/>
        <w:spacing w:line="240" w:lineRule="auto"/>
        <w:rPr>
          <w:b/>
          <w:noProof/>
          <w:szCs w:val="24"/>
        </w:rPr>
      </w:pPr>
      <w:r w:rsidRPr="00183B5F">
        <w:rPr>
          <w:b/>
          <w:noProof/>
          <w:szCs w:val="24"/>
        </w:rPr>
        <w:t>Egyéb</w:t>
      </w:r>
      <w:r w:rsidRPr="00183B5F">
        <w:rPr>
          <w:b/>
          <w:szCs w:val="24"/>
        </w:rPr>
        <w:t xml:space="preserve"> gyógyszerek</w:t>
      </w:r>
      <w:r w:rsidRPr="00183B5F">
        <w:rPr>
          <w:b/>
          <w:noProof/>
          <w:szCs w:val="24"/>
        </w:rPr>
        <w:t xml:space="preserve"> és a Humira</w:t>
      </w:r>
    </w:p>
    <w:p w14:paraId="356FC560" w14:textId="77777777" w:rsidR="00743EDE" w:rsidRPr="00183B5F" w:rsidRDefault="00743EDE" w:rsidP="004062FE">
      <w:pPr>
        <w:keepNext/>
        <w:spacing w:line="240" w:lineRule="auto"/>
        <w:rPr>
          <w:b/>
          <w:noProof/>
          <w:szCs w:val="24"/>
        </w:rPr>
      </w:pPr>
    </w:p>
    <w:p w14:paraId="1BF3B4EA" w14:textId="77777777" w:rsidR="00743EDE" w:rsidRPr="00183B5F" w:rsidRDefault="00943743" w:rsidP="004062FE">
      <w:pPr>
        <w:keepNext/>
        <w:spacing w:line="240" w:lineRule="auto"/>
        <w:ind w:right="-2"/>
        <w:rPr>
          <w:noProof/>
          <w:szCs w:val="24"/>
        </w:rPr>
      </w:pPr>
      <w:r w:rsidRPr="00183B5F">
        <w:rPr>
          <w:szCs w:val="24"/>
        </w:rPr>
        <w:t xml:space="preserve">Feltétlenül tájékoztassa kezelőorvosát vagy gyógyszerészét jelenleg vagy nemrégiben </w:t>
      </w:r>
      <w:r w:rsidRPr="00183B5F">
        <w:rPr>
          <w:noProof/>
          <w:szCs w:val="24"/>
        </w:rPr>
        <w:t>szedett, valamint szedni tervezett</w:t>
      </w:r>
      <w:r w:rsidRPr="00183B5F">
        <w:rPr>
          <w:szCs w:val="24"/>
        </w:rPr>
        <w:t xml:space="preserve"> egyéb gyógyszereiről</w:t>
      </w:r>
      <w:r w:rsidRPr="00183B5F">
        <w:rPr>
          <w:noProof/>
          <w:szCs w:val="24"/>
        </w:rPr>
        <w:t>.</w:t>
      </w:r>
    </w:p>
    <w:p w14:paraId="6F7041F5" w14:textId="77777777" w:rsidR="00743EDE" w:rsidRPr="00183B5F" w:rsidRDefault="00743EDE" w:rsidP="004062FE">
      <w:pPr>
        <w:spacing w:line="240" w:lineRule="auto"/>
        <w:ind w:right="-2"/>
        <w:rPr>
          <w:b/>
          <w:szCs w:val="22"/>
        </w:rPr>
      </w:pPr>
    </w:p>
    <w:p w14:paraId="409F42C0" w14:textId="77777777" w:rsidR="00743EDE" w:rsidRPr="00183B5F" w:rsidRDefault="00943743" w:rsidP="004062FE">
      <w:pPr>
        <w:spacing w:line="240" w:lineRule="auto"/>
        <w:ind w:right="-2"/>
        <w:rPr>
          <w:szCs w:val="22"/>
        </w:rPr>
      </w:pPr>
      <w:r w:rsidRPr="00183B5F">
        <w:rPr>
          <w:szCs w:val="22"/>
        </w:rPr>
        <w:t>Nem alkalmazhatja a Humira</w:t>
      </w:r>
      <w:r w:rsidRPr="00183B5F">
        <w:rPr>
          <w:szCs w:val="22"/>
        </w:rPr>
        <w:noBreakHyphen/>
        <w:t>t, a következő hatóanyagokat tartalmazó gyógyszerekkel</w:t>
      </w:r>
      <w:r w:rsidR="003909BC" w:rsidRPr="00183B5F">
        <w:rPr>
          <w:szCs w:val="22"/>
        </w:rPr>
        <w:t>,</w:t>
      </w:r>
      <w:r w:rsidR="007D1777" w:rsidRPr="00183B5F">
        <w:rPr>
          <w:szCs w:val="22"/>
        </w:rPr>
        <w:t xml:space="preserve"> mert fokozódik a súlyos fertőzések kockázata</w:t>
      </w:r>
      <w:r w:rsidRPr="00183B5F">
        <w:rPr>
          <w:szCs w:val="22"/>
        </w:rPr>
        <w:t>:</w:t>
      </w:r>
    </w:p>
    <w:p w14:paraId="38D08536" w14:textId="77777777" w:rsidR="00743EDE" w:rsidRPr="00183B5F" w:rsidRDefault="00943743" w:rsidP="004062FE">
      <w:pPr>
        <w:numPr>
          <w:ilvl w:val="0"/>
          <w:numId w:val="105"/>
        </w:numPr>
        <w:spacing w:line="240" w:lineRule="auto"/>
        <w:ind w:left="993" w:right="-2" w:hanging="426"/>
        <w:rPr>
          <w:szCs w:val="22"/>
        </w:rPr>
      </w:pPr>
      <w:r w:rsidRPr="00183B5F">
        <w:rPr>
          <w:szCs w:val="22"/>
        </w:rPr>
        <w:t>anakinra</w:t>
      </w:r>
    </w:p>
    <w:p w14:paraId="32932AB5" w14:textId="77777777" w:rsidR="00743EDE" w:rsidRPr="00183B5F" w:rsidRDefault="00943743" w:rsidP="004062FE">
      <w:pPr>
        <w:numPr>
          <w:ilvl w:val="0"/>
          <w:numId w:val="105"/>
        </w:numPr>
        <w:spacing w:line="240" w:lineRule="auto"/>
        <w:ind w:left="993" w:right="-2" w:hanging="426"/>
        <w:rPr>
          <w:szCs w:val="22"/>
        </w:rPr>
      </w:pPr>
      <w:r w:rsidRPr="00183B5F">
        <w:rPr>
          <w:szCs w:val="22"/>
        </w:rPr>
        <w:t>abatacept.</w:t>
      </w:r>
    </w:p>
    <w:p w14:paraId="52DA1D2C" w14:textId="77777777" w:rsidR="00743EDE" w:rsidRPr="00183B5F" w:rsidRDefault="00743EDE" w:rsidP="004062FE">
      <w:pPr>
        <w:spacing w:line="240" w:lineRule="auto"/>
        <w:ind w:right="-2"/>
        <w:rPr>
          <w:b/>
          <w:szCs w:val="22"/>
        </w:rPr>
      </w:pPr>
    </w:p>
    <w:p w14:paraId="149DFC66" w14:textId="77777777" w:rsidR="00743EDE" w:rsidRPr="00183B5F" w:rsidRDefault="00943743" w:rsidP="004062FE">
      <w:pPr>
        <w:spacing w:line="240" w:lineRule="auto"/>
        <w:ind w:right="-2"/>
        <w:rPr>
          <w:szCs w:val="22"/>
        </w:rPr>
      </w:pPr>
      <w:r w:rsidRPr="00183B5F">
        <w:rPr>
          <w:szCs w:val="22"/>
        </w:rPr>
        <w:t>A Humira együtt alkalmazható:</w:t>
      </w:r>
    </w:p>
    <w:p w14:paraId="0BE89F9D" w14:textId="77777777" w:rsidR="00743EDE" w:rsidRPr="00183B5F" w:rsidRDefault="00943743" w:rsidP="004062FE">
      <w:pPr>
        <w:numPr>
          <w:ilvl w:val="0"/>
          <w:numId w:val="130"/>
        </w:numPr>
        <w:spacing w:line="240" w:lineRule="auto"/>
        <w:ind w:left="993" w:right="-2" w:hanging="426"/>
        <w:rPr>
          <w:szCs w:val="22"/>
        </w:rPr>
      </w:pPr>
      <w:r w:rsidRPr="00183B5F">
        <w:rPr>
          <w:szCs w:val="22"/>
        </w:rPr>
        <w:t>metotrexáttal</w:t>
      </w:r>
    </w:p>
    <w:p w14:paraId="763FF33E" w14:textId="77777777" w:rsidR="00743EDE" w:rsidRPr="00183B5F" w:rsidRDefault="00943743" w:rsidP="004062FE">
      <w:pPr>
        <w:numPr>
          <w:ilvl w:val="0"/>
          <w:numId w:val="118"/>
        </w:numPr>
        <w:spacing w:line="240" w:lineRule="auto"/>
        <w:ind w:left="993" w:right="-2" w:hanging="426"/>
        <w:rPr>
          <w:szCs w:val="22"/>
        </w:rPr>
      </w:pPr>
      <w:r w:rsidRPr="00183B5F">
        <w:rPr>
          <w:szCs w:val="22"/>
        </w:rPr>
        <w:t>egyéb, a betegséget befolyásoló reumaellenes szerrel (szulfaszalazin, hidroxiklorokin, leflunomid és arany injekció)</w:t>
      </w:r>
    </w:p>
    <w:p w14:paraId="0E638DFC" w14:textId="77777777" w:rsidR="00743EDE" w:rsidRPr="00183B5F" w:rsidRDefault="00943743" w:rsidP="004062FE">
      <w:pPr>
        <w:numPr>
          <w:ilvl w:val="0"/>
          <w:numId w:val="118"/>
        </w:numPr>
        <w:spacing w:line="240" w:lineRule="auto"/>
        <w:ind w:left="993" w:right="-2" w:hanging="426"/>
        <w:rPr>
          <w:szCs w:val="22"/>
        </w:rPr>
      </w:pPr>
      <w:r w:rsidRPr="00183B5F">
        <w:rPr>
          <w:szCs w:val="22"/>
        </w:rPr>
        <w:t>szteroidokkal vagy fájdalomcsillapító készítményekkel, beleértve a nem</w:t>
      </w:r>
      <w:r w:rsidR="00647E1C" w:rsidRPr="00183B5F">
        <w:rPr>
          <w:szCs w:val="22"/>
        </w:rPr>
        <w:t>-</w:t>
      </w:r>
      <w:r w:rsidRPr="00183B5F">
        <w:rPr>
          <w:szCs w:val="22"/>
        </w:rPr>
        <w:t xml:space="preserve">szteroid </w:t>
      </w:r>
      <w:r w:rsidR="008511AE" w:rsidRPr="00183B5F">
        <w:rPr>
          <w:szCs w:val="22"/>
        </w:rPr>
        <w:t>gyulladásgátlóka</w:t>
      </w:r>
      <w:r w:rsidRPr="00183B5F">
        <w:rPr>
          <w:szCs w:val="22"/>
        </w:rPr>
        <w:t>t (NSAID-ket).</w:t>
      </w:r>
    </w:p>
    <w:p w14:paraId="1C4AA4C9" w14:textId="77777777" w:rsidR="00743EDE" w:rsidRPr="00183B5F" w:rsidRDefault="00743EDE" w:rsidP="004062FE">
      <w:pPr>
        <w:spacing w:line="240" w:lineRule="auto"/>
        <w:ind w:right="-2"/>
        <w:rPr>
          <w:szCs w:val="22"/>
        </w:rPr>
      </w:pPr>
    </w:p>
    <w:p w14:paraId="76A07B3F" w14:textId="77777777" w:rsidR="00743EDE" w:rsidRPr="00183B5F" w:rsidRDefault="00943743" w:rsidP="004062FE">
      <w:pPr>
        <w:spacing w:line="240" w:lineRule="auto"/>
        <w:ind w:right="-2"/>
        <w:rPr>
          <w:szCs w:val="22"/>
        </w:rPr>
      </w:pPr>
      <w:r w:rsidRPr="00183B5F">
        <w:rPr>
          <w:szCs w:val="22"/>
        </w:rPr>
        <w:t>Ha kérdése van, kérdezze meg kezelőorvosát.</w:t>
      </w:r>
    </w:p>
    <w:p w14:paraId="05A523FD" w14:textId="77777777" w:rsidR="00743EDE" w:rsidRPr="00183B5F" w:rsidRDefault="00743EDE" w:rsidP="004062FE">
      <w:pPr>
        <w:spacing w:line="240" w:lineRule="auto"/>
        <w:rPr>
          <w:szCs w:val="22"/>
        </w:rPr>
      </w:pPr>
    </w:p>
    <w:p w14:paraId="2B625D61" w14:textId="77777777" w:rsidR="007A75D8" w:rsidRPr="00183B5F" w:rsidRDefault="00943743" w:rsidP="007A75D8">
      <w:pPr>
        <w:spacing w:line="240" w:lineRule="auto"/>
        <w:ind w:left="567" w:right="-2" w:hanging="567"/>
        <w:rPr>
          <w:b/>
          <w:szCs w:val="22"/>
        </w:rPr>
      </w:pPr>
      <w:r w:rsidRPr="00183B5F">
        <w:rPr>
          <w:b/>
          <w:szCs w:val="22"/>
        </w:rPr>
        <w:t>Terhesség és szoptatás</w:t>
      </w:r>
    </w:p>
    <w:p w14:paraId="77A51C1D" w14:textId="77777777" w:rsidR="007A75D8" w:rsidRPr="00183B5F" w:rsidRDefault="007A75D8" w:rsidP="007A75D8">
      <w:pPr>
        <w:spacing w:line="240" w:lineRule="auto"/>
        <w:ind w:left="567" w:right="-2" w:hanging="567"/>
        <w:rPr>
          <w:b/>
          <w:szCs w:val="22"/>
        </w:rPr>
      </w:pPr>
    </w:p>
    <w:p w14:paraId="1434887D" w14:textId="77777777" w:rsidR="007A75D8" w:rsidRPr="00183B5F" w:rsidRDefault="00943743" w:rsidP="00E87C31">
      <w:pPr>
        <w:pStyle w:val="ListParagraph"/>
        <w:numPr>
          <w:ilvl w:val="0"/>
          <w:numId w:val="196"/>
        </w:numPr>
        <w:spacing w:line="240" w:lineRule="auto"/>
        <w:ind w:left="567" w:hanging="567"/>
        <w:rPr>
          <w:szCs w:val="22"/>
        </w:rPr>
      </w:pPr>
      <w:r w:rsidRPr="00183B5F">
        <w:rPr>
          <w:szCs w:val="22"/>
        </w:rPr>
        <w:t>A terhesség megelőzése érdekében meg kell fontolnia a megfelelő fogamzásgátlás alkalmazását</w:t>
      </w:r>
      <w:r w:rsidR="001056CE" w:rsidRPr="00183B5F">
        <w:rPr>
          <w:szCs w:val="22"/>
        </w:rPr>
        <w:t xml:space="preserve"> és az alkalmazás folytatását </w:t>
      </w:r>
      <w:r w:rsidRPr="00183B5F">
        <w:rPr>
          <w:szCs w:val="22"/>
        </w:rPr>
        <w:t>a Humira</w:t>
      </w:r>
      <w:r w:rsidRPr="00183B5F">
        <w:rPr>
          <w:szCs w:val="22"/>
        </w:rPr>
        <w:noBreakHyphen/>
        <w:t>val történt utolsó kezelést követően legalább 5 hónapig.</w:t>
      </w:r>
    </w:p>
    <w:p w14:paraId="3E64D1F1" w14:textId="77777777" w:rsidR="007A75D8" w:rsidRPr="00183B5F" w:rsidRDefault="00943743" w:rsidP="007A75D8">
      <w:pPr>
        <w:pStyle w:val="ListParagraph"/>
        <w:numPr>
          <w:ilvl w:val="0"/>
          <w:numId w:val="196"/>
        </w:numPr>
        <w:spacing w:line="240" w:lineRule="auto"/>
        <w:ind w:left="567" w:hanging="567"/>
        <w:rPr>
          <w:szCs w:val="22"/>
        </w:rPr>
      </w:pPr>
      <w:r w:rsidRPr="00183B5F">
        <w:rPr>
          <w:szCs w:val="22"/>
        </w:rPr>
        <w:t>Amennyiben terhes, úgy gondolja, hogy terhes lehet, vagy gyermeket tervez, kérje kezelőorvosa tanácsát ennek a gyógyszernek az alkalmazásáról.</w:t>
      </w:r>
    </w:p>
    <w:p w14:paraId="3CD6DCAC" w14:textId="77777777" w:rsidR="007A75D8" w:rsidRPr="00183B5F" w:rsidRDefault="00943743" w:rsidP="007A75D8">
      <w:pPr>
        <w:pStyle w:val="ListParagraph"/>
        <w:numPr>
          <w:ilvl w:val="0"/>
          <w:numId w:val="196"/>
        </w:numPr>
        <w:spacing w:line="240" w:lineRule="auto"/>
        <w:ind w:left="567" w:hanging="567"/>
        <w:rPr>
          <w:szCs w:val="22"/>
        </w:rPr>
      </w:pPr>
      <w:r w:rsidRPr="00183B5F">
        <w:rPr>
          <w:szCs w:val="22"/>
        </w:rPr>
        <w:t xml:space="preserve">A Humira csak akkor alkalmazható terhesség alatt, ha </w:t>
      </w:r>
      <w:r w:rsidR="004B37B2" w:rsidRPr="00183B5F">
        <w:rPr>
          <w:szCs w:val="22"/>
        </w:rPr>
        <w:t>egyértelműen</w:t>
      </w:r>
      <w:r w:rsidRPr="00183B5F">
        <w:rPr>
          <w:szCs w:val="22"/>
        </w:rPr>
        <w:t xml:space="preserve"> szükséges.</w:t>
      </w:r>
    </w:p>
    <w:p w14:paraId="19DC8F53" w14:textId="77777777" w:rsidR="007A75D8" w:rsidRPr="00183B5F" w:rsidRDefault="00943743" w:rsidP="001056CE">
      <w:pPr>
        <w:pStyle w:val="ListParagraph"/>
        <w:numPr>
          <w:ilvl w:val="0"/>
          <w:numId w:val="196"/>
        </w:numPr>
        <w:spacing w:line="240" w:lineRule="auto"/>
        <w:ind w:left="567" w:hanging="567"/>
        <w:rPr>
          <w:szCs w:val="22"/>
        </w:rPr>
      </w:pPr>
      <w:r w:rsidRPr="00183B5F">
        <w:rPr>
          <w:szCs w:val="22"/>
        </w:rPr>
        <w:t>Egy terhes nők</w:t>
      </w:r>
      <w:r w:rsidR="001056CE" w:rsidRPr="00183B5F">
        <w:rPr>
          <w:szCs w:val="22"/>
        </w:rPr>
        <w:t>ke</w:t>
      </w:r>
      <w:r w:rsidRPr="00183B5F">
        <w:rPr>
          <w:szCs w:val="22"/>
        </w:rPr>
        <w:t>l végzett klinikai vizsgálat alapján nem volt magasabb a születési rendellenességek kockázata azokn</w:t>
      </w:r>
      <w:r w:rsidR="001056CE" w:rsidRPr="00183B5F">
        <w:rPr>
          <w:szCs w:val="22"/>
        </w:rPr>
        <w:t>ál</w:t>
      </w:r>
      <w:r w:rsidRPr="00183B5F">
        <w:rPr>
          <w:szCs w:val="22"/>
        </w:rPr>
        <w:t xml:space="preserve"> a nőkn</w:t>
      </w:r>
      <w:r w:rsidR="001056CE" w:rsidRPr="00183B5F">
        <w:rPr>
          <w:szCs w:val="22"/>
        </w:rPr>
        <w:t>él,</w:t>
      </w:r>
      <w:r w:rsidRPr="00183B5F">
        <w:rPr>
          <w:szCs w:val="22"/>
        </w:rPr>
        <w:t xml:space="preserve"> akik a terhességük </w:t>
      </w:r>
      <w:r w:rsidR="001056CE" w:rsidRPr="00183B5F">
        <w:rPr>
          <w:szCs w:val="22"/>
        </w:rPr>
        <w:t>alatt</w:t>
      </w:r>
      <w:r w:rsidRPr="00183B5F">
        <w:rPr>
          <w:szCs w:val="22"/>
        </w:rPr>
        <w:t xml:space="preserve"> Humira</w:t>
      </w:r>
      <w:r w:rsidRPr="00183B5F">
        <w:rPr>
          <w:szCs w:val="22"/>
        </w:rPr>
        <w:noBreakHyphen/>
        <w:t xml:space="preserve">kezelésben részesültek, </w:t>
      </w:r>
      <w:r w:rsidR="001056CE" w:rsidRPr="00183B5F">
        <w:rPr>
          <w:szCs w:val="22"/>
        </w:rPr>
        <w:t>mint</w:t>
      </w:r>
      <w:r w:rsidRPr="00183B5F">
        <w:rPr>
          <w:szCs w:val="22"/>
        </w:rPr>
        <w:t xml:space="preserve"> az azonos betegségben szenvedő, Humira</w:t>
      </w:r>
      <w:r w:rsidRPr="00183B5F">
        <w:rPr>
          <w:szCs w:val="22"/>
        </w:rPr>
        <w:noBreakHyphen/>
        <w:t>kezelésben nem részesült nők</w:t>
      </w:r>
      <w:r w:rsidR="001056CE" w:rsidRPr="00183B5F">
        <w:rPr>
          <w:szCs w:val="22"/>
        </w:rPr>
        <w:t>né</w:t>
      </w:r>
      <w:r w:rsidRPr="00183B5F">
        <w:rPr>
          <w:szCs w:val="22"/>
        </w:rPr>
        <w:t>l.</w:t>
      </w:r>
    </w:p>
    <w:p w14:paraId="3D7318A7" w14:textId="77777777" w:rsidR="007A75D8" w:rsidRPr="00183B5F" w:rsidRDefault="00943743" w:rsidP="007A75D8">
      <w:pPr>
        <w:pStyle w:val="ListParagraph"/>
        <w:numPr>
          <w:ilvl w:val="0"/>
          <w:numId w:val="196"/>
        </w:numPr>
        <w:spacing w:line="240" w:lineRule="auto"/>
        <w:ind w:left="567" w:hanging="567"/>
        <w:rPr>
          <w:szCs w:val="22"/>
        </w:rPr>
      </w:pPr>
      <w:r w:rsidRPr="00183B5F">
        <w:t>Szoptatás alatt a Humira alkalmazható.</w:t>
      </w:r>
    </w:p>
    <w:p w14:paraId="03858CAC" w14:textId="77777777" w:rsidR="007A75D8" w:rsidRPr="00183B5F" w:rsidRDefault="00943743" w:rsidP="00E87C31">
      <w:pPr>
        <w:pStyle w:val="ListParagraph"/>
        <w:numPr>
          <w:ilvl w:val="0"/>
          <w:numId w:val="196"/>
        </w:numPr>
        <w:spacing w:line="240" w:lineRule="auto"/>
        <w:ind w:left="567" w:hanging="567"/>
        <w:rPr>
          <w:szCs w:val="22"/>
        </w:rPr>
      </w:pPr>
      <w:r w:rsidRPr="00183B5F">
        <w:rPr>
          <w:szCs w:val="22"/>
        </w:rPr>
        <w:t>Ha a terhessége alatt Humira</w:t>
      </w:r>
      <w:r w:rsidRPr="00183B5F">
        <w:rPr>
          <w:szCs w:val="22"/>
        </w:rPr>
        <w:noBreakHyphen/>
        <w:t>t kapott, a kisbabája nagyobb eséllyel kap el valamilyen fertőzést.</w:t>
      </w:r>
    </w:p>
    <w:p w14:paraId="35725955" w14:textId="77777777" w:rsidR="007A75D8" w:rsidRPr="00183B5F" w:rsidRDefault="00943743" w:rsidP="00E87C31">
      <w:pPr>
        <w:pStyle w:val="ListParagraph"/>
        <w:numPr>
          <w:ilvl w:val="0"/>
          <w:numId w:val="196"/>
        </w:numPr>
        <w:spacing w:line="240" w:lineRule="auto"/>
        <w:ind w:left="567" w:hanging="567"/>
        <w:rPr>
          <w:szCs w:val="22"/>
        </w:rPr>
      </w:pPr>
      <w:r w:rsidRPr="00183B5F">
        <w:rPr>
          <w:szCs w:val="22"/>
        </w:rPr>
        <w:t>Fontos, hogy elmondja kisbabája orvosának vagy az őt kezelő egészségügyi személyzetnek, hogy a terhessége alatt Humira</w:t>
      </w:r>
      <w:r w:rsidRPr="00183B5F">
        <w:rPr>
          <w:szCs w:val="22"/>
        </w:rPr>
        <w:noBreakHyphen/>
        <w:t xml:space="preserve">t kapott, mielőtt a kisbaba bármilyen védőoltást kapna. </w:t>
      </w:r>
      <w:r w:rsidRPr="00183B5F">
        <w:t xml:space="preserve">A védőoltásokról további információt </w:t>
      </w:r>
      <w:r w:rsidRPr="00183B5F">
        <w:rPr>
          <w:szCs w:val="22"/>
        </w:rPr>
        <w:t>talál a „Figyelmeztetések és óvintézkedések” részben</w:t>
      </w:r>
      <w:r w:rsidR="00563502" w:rsidRPr="00183B5F">
        <w:rPr>
          <w:szCs w:val="22"/>
        </w:rPr>
        <w:t>.</w:t>
      </w:r>
    </w:p>
    <w:p w14:paraId="7ED9EA37" w14:textId="77777777" w:rsidR="007A75D8" w:rsidRPr="00183B5F" w:rsidRDefault="007A75D8" w:rsidP="007A75D8">
      <w:pPr>
        <w:spacing w:line="240" w:lineRule="auto"/>
        <w:rPr>
          <w:szCs w:val="22"/>
        </w:rPr>
      </w:pPr>
    </w:p>
    <w:p w14:paraId="08FB461B" w14:textId="77777777" w:rsidR="00743EDE" w:rsidRPr="00183B5F" w:rsidRDefault="00943743" w:rsidP="004062FE">
      <w:pPr>
        <w:keepNext/>
        <w:spacing w:line="240" w:lineRule="auto"/>
        <w:ind w:right="-2"/>
        <w:rPr>
          <w:b/>
          <w:bCs/>
          <w:szCs w:val="22"/>
        </w:rPr>
      </w:pPr>
      <w:r w:rsidRPr="00183B5F">
        <w:rPr>
          <w:b/>
          <w:bCs/>
          <w:szCs w:val="22"/>
        </w:rPr>
        <w:t>A készítmény hatásai a gépjárművezetéshez és a gépek kezeléséhez szükséges képességekre</w:t>
      </w:r>
    </w:p>
    <w:p w14:paraId="2ABD32AE" w14:textId="77777777" w:rsidR="00743EDE" w:rsidRPr="00183B5F" w:rsidRDefault="00743EDE" w:rsidP="004062FE">
      <w:pPr>
        <w:keepNext/>
        <w:spacing w:line="240" w:lineRule="auto"/>
        <w:ind w:right="-2"/>
        <w:rPr>
          <w:szCs w:val="22"/>
        </w:rPr>
      </w:pPr>
    </w:p>
    <w:p w14:paraId="374E11E1" w14:textId="77777777" w:rsidR="00743EDE" w:rsidRPr="00183B5F" w:rsidRDefault="00943743" w:rsidP="004062FE">
      <w:pPr>
        <w:keepNext/>
        <w:spacing w:line="240" w:lineRule="auto"/>
        <w:rPr>
          <w:szCs w:val="22"/>
        </w:rPr>
      </w:pPr>
      <w:r w:rsidRPr="00183B5F">
        <w:rPr>
          <w:szCs w:val="22"/>
        </w:rPr>
        <w:t xml:space="preserve">A Humira csak csekély mértékben befolyásolhatja a gépjárművezetéshez, kerékpározáshoz vagy a gépek </w:t>
      </w:r>
      <w:r w:rsidRPr="00183B5F">
        <w:rPr>
          <w:noProof/>
          <w:szCs w:val="22"/>
        </w:rPr>
        <w:t>kezeléséhez</w:t>
      </w:r>
      <w:r w:rsidRPr="00183B5F">
        <w:rPr>
          <w:szCs w:val="22"/>
        </w:rPr>
        <w:t xml:space="preserve"> szükséges képességeket. A Humira alkalmazását követően előfordulhat olyan érzés, mintha forogna a szoba vagy a tér, továbbá látászavar is előfordulhat.</w:t>
      </w:r>
    </w:p>
    <w:p w14:paraId="4910C851" w14:textId="77777777" w:rsidR="00743EDE" w:rsidRDefault="00743EDE" w:rsidP="004062FE">
      <w:pPr>
        <w:spacing w:line="240" w:lineRule="auto"/>
        <w:rPr>
          <w:ins w:id="14010" w:author="AbbVie_HU_03" w:date="2025-05-14T16:47:00Z"/>
          <w:szCs w:val="22"/>
        </w:rPr>
      </w:pPr>
    </w:p>
    <w:p w14:paraId="556BCACB" w14:textId="77777777" w:rsidR="005F356A" w:rsidRPr="007276E0" w:rsidRDefault="00943743" w:rsidP="005F356A">
      <w:pPr>
        <w:spacing w:line="240" w:lineRule="auto"/>
        <w:rPr>
          <w:ins w:id="14011" w:author="AbbVie_HU_03" w:date="2025-05-14T16:47:00Z"/>
          <w:b/>
          <w:bCs/>
          <w:szCs w:val="22"/>
          <w:rPrChange w:id="14012" w:author="AbbVie_HU_03" w:date="2025-05-14T17:33:00Z">
            <w:rPr>
              <w:ins w:id="14013" w:author="AbbVie_HU_03" w:date="2025-05-14T16:47:00Z"/>
              <w:szCs w:val="22"/>
            </w:rPr>
          </w:rPrChange>
        </w:rPr>
      </w:pPr>
      <w:ins w:id="14014" w:author="AbbVie_HU_03" w:date="2025-05-14T16:47:00Z">
        <w:r w:rsidRPr="007276E0">
          <w:rPr>
            <w:b/>
            <w:bCs/>
            <w:szCs w:val="22"/>
            <w:rPrChange w:id="14015" w:author="AbbVie_HU_03" w:date="2025-05-14T17:33:00Z">
              <w:rPr>
                <w:szCs w:val="22"/>
              </w:rPr>
            </w:rPrChange>
          </w:rPr>
          <w:t>A Humira poliszorbátot tartalmaz</w:t>
        </w:r>
      </w:ins>
    </w:p>
    <w:p w14:paraId="234FC209" w14:textId="77777777" w:rsidR="005F356A" w:rsidRDefault="005F356A" w:rsidP="005F356A">
      <w:pPr>
        <w:spacing w:line="240" w:lineRule="auto"/>
        <w:rPr>
          <w:ins w:id="14016" w:author="AbbVie_HU_03" w:date="2025-05-14T16:47:00Z"/>
          <w:szCs w:val="22"/>
        </w:rPr>
      </w:pPr>
    </w:p>
    <w:p w14:paraId="751BB088" w14:textId="2408098A" w:rsidR="005F356A" w:rsidRPr="00183B5F" w:rsidRDefault="00943743" w:rsidP="005F356A">
      <w:pPr>
        <w:spacing w:line="240" w:lineRule="auto"/>
        <w:rPr>
          <w:szCs w:val="22"/>
        </w:rPr>
      </w:pPr>
      <w:ins w:id="14017" w:author="AbbVie_HU_03" w:date="2025-05-14T16:47:00Z">
        <w:r>
          <w:rPr>
            <w:szCs w:val="22"/>
          </w:rPr>
          <w:t>A gyógyszer 0,</w:t>
        </w:r>
      </w:ins>
      <w:ins w:id="14018" w:author="AbbVie_HU_03" w:date="2025-05-14T16:48:00Z">
        <w:r>
          <w:rPr>
            <w:szCs w:val="22"/>
          </w:rPr>
          <w:t>8 </w:t>
        </w:r>
      </w:ins>
      <w:ins w:id="14019" w:author="AbbVie_HU_03" w:date="2025-05-14T16:47:00Z">
        <w:r>
          <w:rPr>
            <w:szCs w:val="22"/>
          </w:rPr>
          <w:t xml:space="preserve">mg poliszorbát 80-at tartalmaz </w:t>
        </w:r>
      </w:ins>
      <w:ins w:id="14020" w:author="AbbVie_HU_03" w:date="2025-05-14T16:48:00Z">
        <w:r>
          <w:rPr>
            <w:szCs w:val="22"/>
          </w:rPr>
          <w:t>8</w:t>
        </w:r>
      </w:ins>
      <w:ins w:id="14021" w:author="AbbVie_HU_03" w:date="2025-05-14T16:47:00Z">
        <w:r>
          <w:rPr>
            <w:szCs w:val="22"/>
          </w:rPr>
          <w:t>0</w:t>
        </w:r>
      </w:ins>
      <w:ins w:id="14022" w:author="AbbVie_HU_03" w:date="2025-05-14T16:48:00Z">
        <w:r>
          <w:rPr>
            <w:szCs w:val="22"/>
          </w:rPr>
          <w:t> </w:t>
        </w:r>
      </w:ins>
      <w:ins w:id="14023" w:author="AbbVie_HU_03" w:date="2025-05-14T16:47:00Z">
        <w:r>
          <w:rPr>
            <w:szCs w:val="22"/>
          </w:rPr>
          <w:t>mg-os adagonként. A poliszorbát</w:t>
        </w:r>
      </w:ins>
      <w:ins w:id="14024" w:author="AbbVie_HU_03" w:date="2025-09-05T15:57:00Z">
        <w:r w:rsidR="004E03E2">
          <w:rPr>
            <w:szCs w:val="22"/>
          </w:rPr>
          <w:t>ok</w:t>
        </w:r>
      </w:ins>
      <w:ins w:id="14025" w:author="AbbVie_HU_03" w:date="2025-05-14T16:47:00Z">
        <w:r>
          <w:rPr>
            <w:szCs w:val="22"/>
          </w:rPr>
          <w:t xml:space="preserve"> allergiás reakció</w:t>
        </w:r>
      </w:ins>
      <w:ins w:id="14026" w:author="AbbVie_HU_03" w:date="2025-09-05T15:57:00Z">
        <w:r w:rsidR="004E03E2">
          <w:rPr>
            <w:szCs w:val="22"/>
          </w:rPr>
          <w:t>ka</w:t>
        </w:r>
      </w:ins>
      <w:ins w:id="14027" w:author="AbbVie_HU_03" w:date="2025-05-14T16:47:00Z">
        <w:r>
          <w:rPr>
            <w:szCs w:val="22"/>
          </w:rPr>
          <w:t>t okozhat</w:t>
        </w:r>
      </w:ins>
      <w:ins w:id="14028" w:author="AbbVie_HU_03" w:date="2025-09-05T15:57:00Z">
        <w:r w:rsidR="004E03E2">
          <w:rPr>
            <w:szCs w:val="22"/>
          </w:rPr>
          <w:t>nak</w:t>
        </w:r>
      </w:ins>
      <w:ins w:id="14029" w:author="AbbVie_HU_03" w:date="2025-05-14T16:47:00Z">
        <w:r>
          <w:rPr>
            <w:szCs w:val="22"/>
          </w:rPr>
          <w:t>. Tájékoztassa kezelőorvosát, ha bármilyen ismert allergiája van.</w:t>
        </w:r>
      </w:ins>
    </w:p>
    <w:p w14:paraId="23E1B4A1" w14:textId="77777777" w:rsidR="00743EDE" w:rsidRPr="00183B5F" w:rsidRDefault="00743EDE" w:rsidP="004062FE">
      <w:pPr>
        <w:spacing w:line="240" w:lineRule="auto"/>
        <w:rPr>
          <w:szCs w:val="22"/>
        </w:rPr>
      </w:pPr>
    </w:p>
    <w:p w14:paraId="24DB38DD" w14:textId="77777777" w:rsidR="00743EDE" w:rsidRPr="00183B5F" w:rsidRDefault="00943743" w:rsidP="004062FE">
      <w:pPr>
        <w:keepNext/>
        <w:spacing w:line="240" w:lineRule="auto"/>
        <w:ind w:left="567" w:right="-29" w:hanging="567"/>
        <w:rPr>
          <w:b/>
          <w:szCs w:val="22"/>
        </w:rPr>
      </w:pPr>
      <w:r w:rsidRPr="00183B5F">
        <w:rPr>
          <w:b/>
          <w:szCs w:val="22"/>
        </w:rPr>
        <w:t>3.</w:t>
      </w:r>
      <w:r w:rsidRPr="00183B5F">
        <w:rPr>
          <w:b/>
          <w:szCs w:val="22"/>
        </w:rPr>
        <w:tab/>
        <w:t>Hogyan kell alkalmazni a Humira</w:t>
      </w:r>
      <w:r w:rsidRPr="00183B5F">
        <w:rPr>
          <w:b/>
          <w:szCs w:val="22"/>
        </w:rPr>
        <w:noBreakHyphen/>
        <w:t>t?</w:t>
      </w:r>
    </w:p>
    <w:p w14:paraId="09214EDB" w14:textId="77777777" w:rsidR="00743EDE" w:rsidRPr="00183B5F" w:rsidRDefault="00743EDE" w:rsidP="004062FE">
      <w:pPr>
        <w:keepNext/>
        <w:spacing w:line="240" w:lineRule="auto"/>
        <w:ind w:left="567" w:right="-29" w:hanging="567"/>
        <w:rPr>
          <w:szCs w:val="22"/>
        </w:rPr>
      </w:pPr>
    </w:p>
    <w:p w14:paraId="5DDACF7E" w14:textId="77777777" w:rsidR="00743EDE" w:rsidRPr="00183B5F" w:rsidRDefault="00943743" w:rsidP="004062FE">
      <w:pPr>
        <w:keepNext/>
        <w:spacing w:line="240" w:lineRule="auto"/>
        <w:ind w:right="-29"/>
        <w:rPr>
          <w:szCs w:val="22"/>
        </w:rPr>
      </w:pPr>
      <w:r w:rsidRPr="00183B5F">
        <w:rPr>
          <w:noProof/>
          <w:szCs w:val="24"/>
        </w:rPr>
        <w:t>A gyógyszert</w:t>
      </w:r>
      <w:r w:rsidRPr="00183B5F">
        <w:rPr>
          <w:szCs w:val="24"/>
        </w:rPr>
        <w:t xml:space="preserve"> mindig a </w:t>
      </w:r>
      <w:r w:rsidRPr="00183B5F">
        <w:rPr>
          <w:noProof/>
          <w:szCs w:val="24"/>
        </w:rPr>
        <w:t>kezelőorvosa vagy gyógyszerésze</w:t>
      </w:r>
      <w:r w:rsidRPr="00183B5F">
        <w:rPr>
          <w:szCs w:val="22"/>
        </w:rPr>
        <w:t xml:space="preserve"> által elmondottaknak megfelelően alkalmazza. Amennyiben nem biztos az adagolást illetően, kérdezze meg kezelőorvosát vagy gyógyszerészét.</w:t>
      </w:r>
    </w:p>
    <w:p w14:paraId="2E570DDC" w14:textId="77777777" w:rsidR="00743EDE" w:rsidRPr="00183B5F" w:rsidRDefault="00743EDE" w:rsidP="004062FE">
      <w:pPr>
        <w:numPr>
          <w:ilvl w:val="12"/>
          <w:numId w:val="0"/>
        </w:numPr>
        <w:spacing w:line="240" w:lineRule="auto"/>
        <w:ind w:right="-2"/>
      </w:pPr>
    </w:p>
    <w:p w14:paraId="5CBB78C7" w14:textId="77777777" w:rsidR="00743EDE" w:rsidRPr="00183B5F" w:rsidRDefault="00943743" w:rsidP="004062FE">
      <w:pPr>
        <w:numPr>
          <w:ilvl w:val="12"/>
          <w:numId w:val="0"/>
        </w:numPr>
        <w:spacing w:line="240" w:lineRule="auto"/>
        <w:ind w:right="-2"/>
      </w:pPr>
      <w:r w:rsidRPr="00183B5F">
        <w:t>A Humira javasolt adagját az alábbi táblázat mutatja, alkalmazási terület szerint. Orvosa a Humira egyéb hatáserősségét is felírhatja Önnek, ha más dózisra van szüksége.</w:t>
      </w:r>
    </w:p>
    <w:p w14:paraId="1F154B8D" w14:textId="77777777" w:rsidR="00DA59DA" w:rsidRPr="00183B5F" w:rsidRDefault="00DA59DA" w:rsidP="004062FE">
      <w:pPr>
        <w:numPr>
          <w:ilvl w:val="12"/>
          <w:numId w:val="0"/>
        </w:numPr>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8"/>
        <w:gridCol w:w="3020"/>
        <w:gridCol w:w="3033"/>
      </w:tblGrid>
      <w:tr w:rsidR="00011D2F" w14:paraId="156D18BF" w14:textId="77777777" w:rsidTr="00DD5107">
        <w:tc>
          <w:tcPr>
            <w:tcW w:w="9287" w:type="dxa"/>
            <w:gridSpan w:val="3"/>
          </w:tcPr>
          <w:p w14:paraId="0F003139" w14:textId="77777777" w:rsidR="00DA59DA" w:rsidRPr="00183B5F" w:rsidRDefault="00943743">
            <w:pPr>
              <w:keepNext/>
              <w:numPr>
                <w:ilvl w:val="12"/>
                <w:numId w:val="0"/>
              </w:numPr>
              <w:spacing w:line="240" w:lineRule="auto"/>
              <w:ind w:right="-2"/>
              <w:rPr>
                <w:b/>
              </w:rPr>
            </w:pPr>
            <w:r w:rsidRPr="00183B5F">
              <w:rPr>
                <w:b/>
                <w:szCs w:val="22"/>
              </w:rPr>
              <w:t>Reumatoid artritisz</w:t>
            </w:r>
          </w:p>
        </w:tc>
      </w:tr>
      <w:tr w:rsidR="00011D2F" w14:paraId="12F29EDC" w14:textId="77777777" w:rsidTr="00DD5107">
        <w:tc>
          <w:tcPr>
            <w:tcW w:w="3095" w:type="dxa"/>
          </w:tcPr>
          <w:p w14:paraId="155B2457" w14:textId="77777777" w:rsidR="00DA59DA" w:rsidRPr="00183B5F" w:rsidRDefault="00943743" w:rsidP="00DD5107">
            <w:pPr>
              <w:keepNext/>
              <w:numPr>
                <w:ilvl w:val="12"/>
                <w:numId w:val="0"/>
              </w:numPr>
              <w:spacing w:line="240" w:lineRule="auto"/>
              <w:ind w:right="-2"/>
            </w:pPr>
            <w:r w:rsidRPr="00183B5F">
              <w:rPr>
                <w:b/>
              </w:rPr>
              <w:t>Kor vagy testtömeg</w:t>
            </w:r>
          </w:p>
        </w:tc>
        <w:tc>
          <w:tcPr>
            <w:tcW w:w="3096" w:type="dxa"/>
          </w:tcPr>
          <w:p w14:paraId="648DE5FC" w14:textId="77777777" w:rsidR="00DA59DA" w:rsidRPr="00183B5F" w:rsidRDefault="00943743" w:rsidP="00DD5107">
            <w:pPr>
              <w:keepNext/>
              <w:numPr>
                <w:ilvl w:val="12"/>
                <w:numId w:val="0"/>
              </w:numPr>
              <w:spacing w:line="240" w:lineRule="auto"/>
              <w:ind w:right="-2"/>
            </w:pPr>
            <w:r w:rsidRPr="00183B5F">
              <w:rPr>
                <w:b/>
              </w:rPr>
              <w:t>Milyen adagot és milyen gyakran kell alkalmazni?</w:t>
            </w:r>
          </w:p>
        </w:tc>
        <w:tc>
          <w:tcPr>
            <w:tcW w:w="3096" w:type="dxa"/>
          </w:tcPr>
          <w:p w14:paraId="32BCE038" w14:textId="77777777" w:rsidR="00DA59DA" w:rsidRPr="00183B5F" w:rsidRDefault="00943743" w:rsidP="00DD5107">
            <w:pPr>
              <w:keepNext/>
              <w:numPr>
                <w:ilvl w:val="12"/>
                <w:numId w:val="0"/>
              </w:numPr>
              <w:spacing w:line="240" w:lineRule="auto"/>
              <w:ind w:right="-2"/>
            </w:pPr>
            <w:r w:rsidRPr="00183B5F">
              <w:rPr>
                <w:b/>
              </w:rPr>
              <w:t>Megjegyzések</w:t>
            </w:r>
          </w:p>
        </w:tc>
      </w:tr>
      <w:tr w:rsidR="00011D2F" w14:paraId="3B6A5A61" w14:textId="77777777" w:rsidTr="00DD5107">
        <w:tc>
          <w:tcPr>
            <w:tcW w:w="3095" w:type="dxa"/>
          </w:tcPr>
          <w:p w14:paraId="00C52196" w14:textId="77777777" w:rsidR="00DA59DA" w:rsidRPr="00183B5F" w:rsidRDefault="00943743" w:rsidP="00DD5107">
            <w:pPr>
              <w:keepNext/>
              <w:numPr>
                <w:ilvl w:val="12"/>
                <w:numId w:val="0"/>
              </w:numPr>
              <w:spacing w:line="240" w:lineRule="auto"/>
              <w:ind w:right="-2"/>
            </w:pPr>
            <w:r w:rsidRPr="00183B5F">
              <w:t>Felnőttek</w:t>
            </w:r>
          </w:p>
        </w:tc>
        <w:tc>
          <w:tcPr>
            <w:tcW w:w="3096" w:type="dxa"/>
          </w:tcPr>
          <w:p w14:paraId="25A62BCB" w14:textId="77777777" w:rsidR="00DA59DA" w:rsidRPr="00183B5F" w:rsidRDefault="00943743" w:rsidP="00DD5107">
            <w:pPr>
              <w:keepNext/>
              <w:numPr>
                <w:ilvl w:val="12"/>
                <w:numId w:val="0"/>
              </w:numPr>
              <w:spacing w:line="240" w:lineRule="auto"/>
              <w:ind w:right="-2"/>
            </w:pPr>
            <w:r w:rsidRPr="00183B5F">
              <w:t>40 mg kéthetente</w:t>
            </w:r>
          </w:p>
        </w:tc>
        <w:tc>
          <w:tcPr>
            <w:tcW w:w="3096" w:type="dxa"/>
          </w:tcPr>
          <w:p w14:paraId="72EADC57" w14:textId="77777777" w:rsidR="00DA59DA" w:rsidRPr="00183B5F" w:rsidRDefault="00943743" w:rsidP="00DD5107">
            <w:pPr>
              <w:keepNext/>
              <w:spacing w:line="240" w:lineRule="auto"/>
              <w:ind w:right="-2"/>
              <w:rPr>
                <w:szCs w:val="22"/>
              </w:rPr>
            </w:pPr>
            <w:r w:rsidRPr="00183B5F">
              <w:rPr>
                <w:szCs w:val="22"/>
              </w:rPr>
              <w:t xml:space="preserve">Reumatoid artritiszben a Humira alkalmazása során a </w:t>
            </w:r>
            <w:r w:rsidR="001A6E66" w:rsidRPr="00183B5F">
              <w:rPr>
                <w:szCs w:val="22"/>
              </w:rPr>
              <w:t>metotrexát-keze</w:t>
            </w:r>
            <w:r w:rsidRPr="00183B5F">
              <w:rPr>
                <w:szCs w:val="22"/>
              </w:rPr>
              <w:t>lést folytatni kell. Amennyiben az Ön kezelőorvosa a metotrexát adását szükségtelennek tartja, abban az esetben a Humira önállóan alkalmazható.</w:t>
            </w:r>
          </w:p>
          <w:p w14:paraId="3713F9E4" w14:textId="77777777" w:rsidR="00DA59DA" w:rsidRPr="00183B5F" w:rsidRDefault="00DA59DA" w:rsidP="00DD5107">
            <w:pPr>
              <w:keepNext/>
              <w:spacing w:line="240" w:lineRule="auto"/>
              <w:ind w:right="-2"/>
              <w:rPr>
                <w:szCs w:val="22"/>
              </w:rPr>
            </w:pPr>
          </w:p>
          <w:p w14:paraId="146680DD" w14:textId="77777777" w:rsidR="00DA59DA" w:rsidRPr="00183B5F" w:rsidRDefault="00943743" w:rsidP="00DD5107">
            <w:pPr>
              <w:keepNext/>
              <w:numPr>
                <w:ilvl w:val="12"/>
                <w:numId w:val="0"/>
              </w:numPr>
              <w:spacing w:line="240" w:lineRule="auto"/>
              <w:ind w:right="-2"/>
            </w:pPr>
            <w:r w:rsidRPr="00183B5F">
              <w:rPr>
                <w:szCs w:val="22"/>
              </w:rPr>
              <w:t xml:space="preserve">Ha Önnek reumatoid artritisze van és a Humira alkalmazása során nem kap </w:t>
            </w:r>
            <w:r w:rsidR="001A6E66" w:rsidRPr="00183B5F">
              <w:rPr>
                <w:szCs w:val="22"/>
              </w:rPr>
              <w:t>metotrexát-keze</w:t>
            </w:r>
            <w:r w:rsidRPr="00183B5F">
              <w:rPr>
                <w:szCs w:val="22"/>
              </w:rPr>
              <w:t xml:space="preserve">lést, abban az esetben kezelőorvosa </w:t>
            </w:r>
            <w:r w:rsidR="00800BE5" w:rsidRPr="00183B5F">
              <w:rPr>
                <w:szCs w:val="22"/>
              </w:rPr>
              <w:t xml:space="preserve">hetente 40 mg vagy kéthetente 80 mg </w:t>
            </w:r>
            <w:r w:rsidRPr="00183B5F">
              <w:rPr>
                <w:szCs w:val="22"/>
              </w:rPr>
              <w:t>adalimumab adása mellett dönthet.</w:t>
            </w:r>
          </w:p>
        </w:tc>
      </w:tr>
    </w:tbl>
    <w:p w14:paraId="7A1A08A3" w14:textId="77777777" w:rsidR="00DA59DA" w:rsidRPr="00183B5F" w:rsidRDefault="00DA59DA" w:rsidP="004062FE">
      <w:pPr>
        <w:numPr>
          <w:ilvl w:val="12"/>
          <w:numId w:val="0"/>
        </w:numPr>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3022"/>
        <w:gridCol w:w="3029"/>
      </w:tblGrid>
      <w:tr w:rsidR="00011D2F" w14:paraId="122233BB" w14:textId="77777777" w:rsidTr="00743EDE">
        <w:tc>
          <w:tcPr>
            <w:tcW w:w="9287" w:type="dxa"/>
            <w:gridSpan w:val="3"/>
          </w:tcPr>
          <w:p w14:paraId="53CA4768" w14:textId="77777777" w:rsidR="00743EDE" w:rsidRPr="00183B5F" w:rsidRDefault="00943743" w:rsidP="004062FE">
            <w:pPr>
              <w:keepNext/>
              <w:numPr>
                <w:ilvl w:val="12"/>
                <w:numId w:val="0"/>
              </w:numPr>
              <w:spacing w:line="240" w:lineRule="auto"/>
              <w:ind w:right="-2"/>
            </w:pPr>
            <w:r w:rsidRPr="00183B5F">
              <w:rPr>
                <w:b/>
              </w:rPr>
              <w:t>Pikkelysömör</w:t>
            </w:r>
          </w:p>
        </w:tc>
      </w:tr>
      <w:tr w:rsidR="00011D2F" w14:paraId="5D6EBD8F" w14:textId="77777777" w:rsidTr="00743EDE">
        <w:tc>
          <w:tcPr>
            <w:tcW w:w="3095" w:type="dxa"/>
          </w:tcPr>
          <w:p w14:paraId="45274355" w14:textId="77777777" w:rsidR="00743EDE" w:rsidRPr="00183B5F" w:rsidRDefault="00943743" w:rsidP="004062FE">
            <w:pPr>
              <w:keepNext/>
              <w:numPr>
                <w:ilvl w:val="12"/>
                <w:numId w:val="0"/>
              </w:numPr>
              <w:spacing w:line="240" w:lineRule="auto"/>
              <w:ind w:right="-2"/>
            </w:pPr>
            <w:r w:rsidRPr="00183B5F">
              <w:rPr>
                <w:b/>
              </w:rPr>
              <w:t>Kor vagy testtömeg</w:t>
            </w:r>
          </w:p>
        </w:tc>
        <w:tc>
          <w:tcPr>
            <w:tcW w:w="3096" w:type="dxa"/>
          </w:tcPr>
          <w:p w14:paraId="0E4EE8C7" w14:textId="77777777" w:rsidR="00743EDE" w:rsidRPr="00183B5F" w:rsidRDefault="00943743" w:rsidP="004062FE">
            <w:pPr>
              <w:keepNext/>
              <w:numPr>
                <w:ilvl w:val="12"/>
                <w:numId w:val="0"/>
              </w:numPr>
              <w:spacing w:line="240" w:lineRule="auto"/>
              <w:ind w:right="-2"/>
            </w:pPr>
            <w:r w:rsidRPr="00183B5F">
              <w:rPr>
                <w:b/>
              </w:rPr>
              <w:t>Milyen adagot és milyen gyakran kell alkalmazni?</w:t>
            </w:r>
          </w:p>
        </w:tc>
        <w:tc>
          <w:tcPr>
            <w:tcW w:w="3096" w:type="dxa"/>
          </w:tcPr>
          <w:p w14:paraId="0444C60E" w14:textId="77777777" w:rsidR="00743EDE" w:rsidRPr="00183B5F" w:rsidRDefault="00943743" w:rsidP="004062FE">
            <w:pPr>
              <w:keepNext/>
              <w:numPr>
                <w:ilvl w:val="12"/>
                <w:numId w:val="0"/>
              </w:numPr>
              <w:spacing w:line="240" w:lineRule="auto"/>
              <w:ind w:right="-2"/>
            </w:pPr>
            <w:r w:rsidRPr="00183B5F">
              <w:rPr>
                <w:b/>
              </w:rPr>
              <w:t>Megjegyzések</w:t>
            </w:r>
          </w:p>
        </w:tc>
      </w:tr>
      <w:tr w:rsidR="00011D2F" w14:paraId="4A014A77" w14:textId="77777777" w:rsidTr="00743EDE">
        <w:tc>
          <w:tcPr>
            <w:tcW w:w="3095" w:type="dxa"/>
          </w:tcPr>
          <w:p w14:paraId="7C6AF2CF" w14:textId="77777777" w:rsidR="00743EDE" w:rsidRPr="00183B5F" w:rsidRDefault="00943743" w:rsidP="004062FE">
            <w:pPr>
              <w:keepNext/>
              <w:numPr>
                <w:ilvl w:val="12"/>
                <w:numId w:val="0"/>
              </w:numPr>
              <w:spacing w:line="240" w:lineRule="auto"/>
              <w:ind w:right="-2"/>
            </w:pPr>
            <w:r w:rsidRPr="00183B5F">
              <w:t>Felnőttek</w:t>
            </w:r>
          </w:p>
          <w:p w14:paraId="2DF1E390" w14:textId="77777777" w:rsidR="00743EDE" w:rsidRPr="00183B5F" w:rsidRDefault="00743EDE" w:rsidP="004062FE">
            <w:pPr>
              <w:keepNext/>
              <w:numPr>
                <w:ilvl w:val="12"/>
                <w:numId w:val="0"/>
              </w:numPr>
              <w:spacing w:line="240" w:lineRule="auto"/>
              <w:ind w:right="-2"/>
            </w:pPr>
          </w:p>
        </w:tc>
        <w:tc>
          <w:tcPr>
            <w:tcW w:w="3096" w:type="dxa"/>
          </w:tcPr>
          <w:p w14:paraId="33B3E899" w14:textId="77777777" w:rsidR="00743EDE" w:rsidRPr="00183B5F" w:rsidRDefault="00943743" w:rsidP="004062FE">
            <w:pPr>
              <w:keepNext/>
              <w:numPr>
                <w:ilvl w:val="12"/>
                <w:numId w:val="0"/>
              </w:numPr>
              <w:spacing w:line="240" w:lineRule="auto"/>
              <w:ind w:right="-2"/>
            </w:pPr>
            <w:r w:rsidRPr="00183B5F">
              <w:rPr>
                <w:szCs w:val="22"/>
              </w:rPr>
              <w:t>A kezdő adag 80 mg (egy 80 mg</w:t>
            </w:r>
            <w:r w:rsidRPr="00183B5F">
              <w:rPr>
                <w:szCs w:val="22"/>
              </w:rPr>
              <w:noBreakHyphen/>
              <w:t>os injekció), amelyet minden második héten adott 40 mg követ, a kezdő adag utáni első héttől kezdve.</w:t>
            </w:r>
          </w:p>
        </w:tc>
        <w:tc>
          <w:tcPr>
            <w:tcW w:w="3096" w:type="dxa"/>
          </w:tcPr>
          <w:p w14:paraId="17EF14E5" w14:textId="77777777" w:rsidR="00743EDE" w:rsidRPr="00183B5F" w:rsidRDefault="00943743">
            <w:pPr>
              <w:keepNext/>
              <w:spacing w:line="240" w:lineRule="auto"/>
            </w:pPr>
            <w:r w:rsidRPr="00183B5F">
              <w:t>Ha Ön nem megfelelően reagál a kezelésre, a kezelőorvosa heti 40 mg</w:t>
            </w:r>
            <w:r w:rsidRPr="00183B5F">
              <w:noBreakHyphen/>
              <w:t xml:space="preserve">ra </w:t>
            </w:r>
            <w:r w:rsidR="00DA59DA" w:rsidRPr="00183B5F">
              <w:t>vagy kéthetente 80 mg</w:t>
            </w:r>
            <w:r w:rsidR="00DA59DA" w:rsidRPr="00183B5F">
              <w:noBreakHyphen/>
              <w:t xml:space="preserve">ra </w:t>
            </w:r>
            <w:r w:rsidRPr="00183B5F">
              <w:t>emelheti az adag</w:t>
            </w:r>
            <w:r w:rsidR="006D4587" w:rsidRPr="00183B5F">
              <w:t>ot</w:t>
            </w:r>
            <w:r w:rsidR="00DA59DA" w:rsidRPr="00183B5F">
              <w:t>.</w:t>
            </w:r>
          </w:p>
        </w:tc>
      </w:tr>
    </w:tbl>
    <w:p w14:paraId="2E9296B1" w14:textId="77777777" w:rsidR="00743EDE" w:rsidRPr="00183B5F" w:rsidRDefault="00743EDE" w:rsidP="004062FE">
      <w:pPr>
        <w:numPr>
          <w:ilvl w:val="12"/>
          <w:numId w:val="0"/>
        </w:numPr>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3035"/>
        <w:gridCol w:w="3022"/>
      </w:tblGrid>
      <w:tr w:rsidR="00011D2F" w14:paraId="0111C3CF" w14:textId="77777777" w:rsidTr="00743EDE">
        <w:tc>
          <w:tcPr>
            <w:tcW w:w="9287" w:type="dxa"/>
            <w:gridSpan w:val="3"/>
          </w:tcPr>
          <w:p w14:paraId="48ABC783" w14:textId="77777777" w:rsidR="00743EDE" w:rsidRPr="00183B5F" w:rsidRDefault="00943743" w:rsidP="004062FE">
            <w:pPr>
              <w:numPr>
                <w:ilvl w:val="12"/>
                <w:numId w:val="0"/>
              </w:numPr>
              <w:spacing w:line="240" w:lineRule="auto"/>
              <w:ind w:right="-2"/>
              <w:rPr>
                <w:b/>
              </w:rPr>
            </w:pPr>
            <w:r w:rsidRPr="00183B5F">
              <w:rPr>
                <w:b/>
              </w:rPr>
              <w:t>Hidradenitisz szuppuratíva</w:t>
            </w:r>
          </w:p>
        </w:tc>
      </w:tr>
      <w:tr w:rsidR="00011D2F" w14:paraId="15295AC7" w14:textId="77777777" w:rsidTr="00743EDE">
        <w:tc>
          <w:tcPr>
            <w:tcW w:w="3095" w:type="dxa"/>
          </w:tcPr>
          <w:p w14:paraId="2191A029" w14:textId="77777777" w:rsidR="00743EDE" w:rsidRPr="00183B5F" w:rsidRDefault="00943743" w:rsidP="004062FE">
            <w:pPr>
              <w:numPr>
                <w:ilvl w:val="12"/>
                <w:numId w:val="0"/>
              </w:numPr>
              <w:spacing w:line="240" w:lineRule="auto"/>
              <w:ind w:right="-2"/>
            </w:pPr>
            <w:r w:rsidRPr="00183B5F">
              <w:rPr>
                <w:b/>
              </w:rPr>
              <w:t>Kor vagy testtömeg</w:t>
            </w:r>
          </w:p>
        </w:tc>
        <w:tc>
          <w:tcPr>
            <w:tcW w:w="3096" w:type="dxa"/>
          </w:tcPr>
          <w:p w14:paraId="6ABA1511" w14:textId="77777777" w:rsidR="00743EDE" w:rsidRPr="00183B5F" w:rsidRDefault="00943743" w:rsidP="004062FE">
            <w:pPr>
              <w:numPr>
                <w:ilvl w:val="12"/>
                <w:numId w:val="0"/>
              </w:numPr>
              <w:spacing w:line="240" w:lineRule="auto"/>
              <w:ind w:right="-2"/>
            </w:pPr>
            <w:r w:rsidRPr="00183B5F">
              <w:rPr>
                <w:b/>
              </w:rPr>
              <w:t>Milyen adagot és milyen gyakran kell alkalmazni?</w:t>
            </w:r>
          </w:p>
        </w:tc>
        <w:tc>
          <w:tcPr>
            <w:tcW w:w="3096" w:type="dxa"/>
          </w:tcPr>
          <w:p w14:paraId="7FC72026" w14:textId="77777777" w:rsidR="00743EDE" w:rsidRPr="00183B5F" w:rsidRDefault="00943743" w:rsidP="004062FE">
            <w:pPr>
              <w:numPr>
                <w:ilvl w:val="12"/>
                <w:numId w:val="0"/>
              </w:numPr>
              <w:spacing w:line="240" w:lineRule="auto"/>
              <w:ind w:right="-2"/>
            </w:pPr>
            <w:r w:rsidRPr="00183B5F">
              <w:rPr>
                <w:b/>
              </w:rPr>
              <w:t>Megjegyzések</w:t>
            </w:r>
          </w:p>
        </w:tc>
      </w:tr>
      <w:tr w:rsidR="00011D2F" w14:paraId="7FD73E3E" w14:textId="77777777" w:rsidTr="00743EDE">
        <w:tc>
          <w:tcPr>
            <w:tcW w:w="3095" w:type="dxa"/>
          </w:tcPr>
          <w:p w14:paraId="6E8C3944" w14:textId="77777777" w:rsidR="00743EDE" w:rsidRPr="00183B5F" w:rsidRDefault="00943743" w:rsidP="004062FE">
            <w:pPr>
              <w:numPr>
                <w:ilvl w:val="12"/>
                <w:numId w:val="0"/>
              </w:numPr>
              <w:spacing w:line="240" w:lineRule="auto"/>
              <w:ind w:right="-2"/>
            </w:pPr>
            <w:r w:rsidRPr="00183B5F">
              <w:t>Felnőttek</w:t>
            </w:r>
          </w:p>
        </w:tc>
        <w:tc>
          <w:tcPr>
            <w:tcW w:w="3096" w:type="dxa"/>
          </w:tcPr>
          <w:p w14:paraId="147DCFA8" w14:textId="77777777" w:rsidR="00743EDE" w:rsidRPr="00183B5F" w:rsidRDefault="00943743" w:rsidP="004062FE">
            <w:pPr>
              <w:numPr>
                <w:ilvl w:val="12"/>
                <w:numId w:val="0"/>
              </w:numPr>
              <w:spacing w:line="240" w:lineRule="auto"/>
              <w:ind w:right="-2"/>
            </w:pPr>
            <w:r w:rsidRPr="00183B5F">
              <w:rPr>
                <w:szCs w:val="22"/>
              </w:rPr>
              <w:t>A kezdő adag 160 mg (két 80 mg</w:t>
            </w:r>
            <w:r w:rsidRPr="00183B5F">
              <w:rPr>
                <w:szCs w:val="22"/>
              </w:rPr>
              <w:noBreakHyphen/>
            </w:r>
            <w:r w:rsidRPr="00183B5F">
              <w:rPr>
                <w:szCs w:val="22"/>
              </w:rPr>
              <w:t>os injekció egyetlen napon vagy napi egy 80 mg</w:t>
            </w:r>
            <w:r w:rsidRPr="00183B5F">
              <w:rPr>
                <w:szCs w:val="22"/>
              </w:rPr>
              <w:noBreakHyphen/>
              <w:t>os injekció két egymást követő napon), melyet 2 héttel később 80 mg követ (egy 80 mg</w:t>
            </w:r>
            <w:r w:rsidRPr="00183B5F">
              <w:rPr>
                <w:szCs w:val="22"/>
              </w:rPr>
              <w:noBreakHyphen/>
              <w:t>os injekció). További két héttel később heti 40 mg</w:t>
            </w:r>
            <w:r w:rsidRPr="00183B5F">
              <w:rPr>
                <w:szCs w:val="22"/>
              </w:rPr>
              <w:noBreakHyphen/>
              <w:t xml:space="preserve">os </w:t>
            </w:r>
            <w:r w:rsidR="00DA59DA" w:rsidRPr="00183B5F">
              <w:rPr>
                <w:szCs w:val="22"/>
              </w:rPr>
              <w:t>vagy kéthetente 80 mg</w:t>
            </w:r>
            <w:r w:rsidR="00DA59DA" w:rsidRPr="00183B5F">
              <w:rPr>
                <w:szCs w:val="22"/>
              </w:rPr>
              <w:noBreakHyphen/>
              <w:t xml:space="preserve">os </w:t>
            </w:r>
            <w:r w:rsidRPr="00183B5F">
              <w:rPr>
                <w:szCs w:val="22"/>
              </w:rPr>
              <w:t>dózissal folytassa</w:t>
            </w:r>
            <w:r w:rsidR="00DA59DA" w:rsidRPr="00183B5F">
              <w:rPr>
                <w:szCs w:val="22"/>
              </w:rPr>
              <w:t>, kezelőorvosának előírása szerint</w:t>
            </w:r>
            <w:r w:rsidRPr="00183B5F">
              <w:rPr>
                <w:szCs w:val="22"/>
              </w:rPr>
              <w:t>.</w:t>
            </w:r>
          </w:p>
        </w:tc>
        <w:tc>
          <w:tcPr>
            <w:tcW w:w="3096" w:type="dxa"/>
          </w:tcPr>
          <w:p w14:paraId="39940D83" w14:textId="77777777" w:rsidR="00743EDE" w:rsidRPr="00183B5F" w:rsidRDefault="00943743" w:rsidP="004062FE">
            <w:pPr>
              <w:spacing w:line="240" w:lineRule="auto"/>
              <w:ind w:left="46"/>
            </w:pPr>
            <w:r w:rsidRPr="00183B5F">
              <w:rPr>
                <w:szCs w:val="22"/>
              </w:rPr>
              <w:t>Javasolt, hogy naponta használjon fertőtlenítő lemosót az érintett területeken.</w:t>
            </w:r>
          </w:p>
        </w:tc>
      </w:tr>
      <w:tr w:rsidR="00011D2F" w14:paraId="4CD4E380" w14:textId="77777777" w:rsidTr="00743EDE">
        <w:trPr>
          <w:trHeight w:val="1259"/>
        </w:trPr>
        <w:tc>
          <w:tcPr>
            <w:tcW w:w="3095" w:type="dxa"/>
          </w:tcPr>
          <w:p w14:paraId="7F7BC0B0" w14:textId="77777777" w:rsidR="00743EDE" w:rsidRPr="00183B5F" w:rsidRDefault="00943743" w:rsidP="004062FE">
            <w:pPr>
              <w:numPr>
                <w:ilvl w:val="12"/>
                <w:numId w:val="0"/>
              </w:numPr>
              <w:spacing w:line="240" w:lineRule="auto"/>
              <w:ind w:right="-2"/>
            </w:pPr>
            <w:r w:rsidRPr="00183B5F">
              <w:t>12</w:t>
            </w:r>
            <w:r w:rsidR="007D1777" w:rsidRPr="00183B5F">
              <w:t>-17 </w:t>
            </w:r>
            <w:r w:rsidRPr="00183B5F">
              <w:t xml:space="preserve">év </w:t>
            </w:r>
            <w:r w:rsidR="007D1777" w:rsidRPr="00183B5F">
              <w:t>közötti</w:t>
            </w:r>
            <w:r w:rsidRPr="00183B5F">
              <w:t xml:space="preserve">, </w:t>
            </w:r>
            <w:r w:rsidR="007D1777" w:rsidRPr="00183B5F">
              <w:t>30 kg vagy annál nagyobb testtömegű</w:t>
            </w:r>
            <w:r w:rsidRPr="00183B5F">
              <w:t xml:space="preserve"> serdülők</w:t>
            </w:r>
          </w:p>
        </w:tc>
        <w:tc>
          <w:tcPr>
            <w:tcW w:w="3096" w:type="dxa"/>
          </w:tcPr>
          <w:p w14:paraId="499C1CFE" w14:textId="77777777" w:rsidR="00743EDE" w:rsidRPr="00183B5F" w:rsidRDefault="00943743" w:rsidP="004062FE">
            <w:pPr>
              <w:keepNext/>
              <w:spacing w:line="240" w:lineRule="auto"/>
              <w:rPr>
                <w:szCs w:val="22"/>
              </w:rPr>
            </w:pPr>
            <w:r w:rsidRPr="00183B5F">
              <w:rPr>
                <w:szCs w:val="22"/>
              </w:rPr>
              <w:t>A kezdő adag 80 mg (</w:t>
            </w:r>
            <w:r w:rsidR="00B867EE" w:rsidRPr="00183B5F">
              <w:rPr>
                <w:szCs w:val="22"/>
              </w:rPr>
              <w:t>egy</w:t>
            </w:r>
            <w:r w:rsidRPr="00183B5F">
              <w:rPr>
                <w:szCs w:val="22"/>
              </w:rPr>
              <w:t xml:space="preserve"> </w:t>
            </w:r>
            <w:r w:rsidR="00B867EE" w:rsidRPr="00183B5F">
              <w:rPr>
                <w:szCs w:val="22"/>
              </w:rPr>
              <w:t>8</w:t>
            </w:r>
            <w:r w:rsidRPr="00183B5F">
              <w:rPr>
                <w:szCs w:val="22"/>
              </w:rPr>
              <w:t>0 mg</w:t>
            </w:r>
            <w:r w:rsidRPr="00183B5F">
              <w:rPr>
                <w:szCs w:val="22"/>
              </w:rPr>
              <w:noBreakHyphen/>
              <w:t>os injekció), amelyet egy héttel később minden második héten adott 40 mg követ.</w:t>
            </w:r>
          </w:p>
          <w:p w14:paraId="05111C43" w14:textId="77777777" w:rsidR="00743EDE" w:rsidRPr="00183B5F" w:rsidRDefault="00743EDE" w:rsidP="004062FE">
            <w:pPr>
              <w:numPr>
                <w:ilvl w:val="12"/>
                <w:numId w:val="0"/>
              </w:numPr>
              <w:spacing w:line="240" w:lineRule="auto"/>
              <w:ind w:right="-2"/>
              <w:rPr>
                <w:szCs w:val="22"/>
              </w:rPr>
            </w:pPr>
          </w:p>
        </w:tc>
        <w:tc>
          <w:tcPr>
            <w:tcW w:w="3096" w:type="dxa"/>
          </w:tcPr>
          <w:p w14:paraId="7C75DD99" w14:textId="77777777" w:rsidR="00743EDE" w:rsidRPr="00183B5F" w:rsidRDefault="00943743" w:rsidP="004062FE">
            <w:pPr>
              <w:spacing w:line="240" w:lineRule="auto"/>
              <w:ind w:left="46"/>
              <w:rPr>
                <w:szCs w:val="22"/>
              </w:rPr>
            </w:pPr>
            <w:r w:rsidRPr="00183B5F">
              <w:t>Ha Ön nem megfelelően reagál a kezelésre, a kezelőorvosa heti 40 mg</w:t>
            </w:r>
            <w:r w:rsidRPr="00183B5F">
              <w:noBreakHyphen/>
              <w:t xml:space="preserve">ra </w:t>
            </w:r>
            <w:r w:rsidR="00DD5107" w:rsidRPr="00183B5F">
              <w:t>vagy kéthetente 80 mg</w:t>
            </w:r>
            <w:r w:rsidR="00DD5107" w:rsidRPr="00183B5F">
              <w:noBreakHyphen/>
              <w:t xml:space="preserve">ra </w:t>
            </w:r>
            <w:r w:rsidRPr="00183B5F">
              <w:t>emelheti az adag</w:t>
            </w:r>
            <w:r w:rsidR="006D4587" w:rsidRPr="00183B5F">
              <w:t>ot</w:t>
            </w:r>
            <w:r w:rsidR="00DD5107" w:rsidRPr="00183B5F">
              <w:t>.</w:t>
            </w:r>
          </w:p>
          <w:p w14:paraId="50C33DAD" w14:textId="77777777" w:rsidR="00743EDE" w:rsidRPr="00183B5F" w:rsidRDefault="00743EDE" w:rsidP="004062FE">
            <w:pPr>
              <w:spacing w:line="240" w:lineRule="auto"/>
              <w:ind w:left="46"/>
              <w:rPr>
                <w:szCs w:val="22"/>
              </w:rPr>
            </w:pPr>
          </w:p>
          <w:p w14:paraId="6D2202DE" w14:textId="77777777" w:rsidR="00743EDE" w:rsidRPr="00183B5F" w:rsidRDefault="00943743" w:rsidP="004062FE">
            <w:pPr>
              <w:spacing w:line="240" w:lineRule="auto"/>
              <w:ind w:left="46"/>
              <w:rPr>
                <w:szCs w:val="22"/>
              </w:rPr>
            </w:pPr>
            <w:r w:rsidRPr="00183B5F">
              <w:rPr>
                <w:szCs w:val="22"/>
              </w:rPr>
              <w:t>Javasolt, hogy naponta használjon fertőtlenítő lemosót az érintett területeken.</w:t>
            </w:r>
          </w:p>
        </w:tc>
      </w:tr>
    </w:tbl>
    <w:p w14:paraId="1E289239" w14:textId="77777777" w:rsidR="00743EDE" w:rsidRPr="00183B5F" w:rsidRDefault="00743EDE" w:rsidP="004062FE">
      <w:pPr>
        <w:numPr>
          <w:ilvl w:val="12"/>
          <w:numId w:val="0"/>
        </w:numPr>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9"/>
        <w:gridCol w:w="3007"/>
        <w:gridCol w:w="3015"/>
      </w:tblGrid>
      <w:tr w:rsidR="00011D2F" w14:paraId="2BDCFFA2" w14:textId="77777777" w:rsidTr="00743EDE">
        <w:tc>
          <w:tcPr>
            <w:tcW w:w="9287" w:type="dxa"/>
            <w:gridSpan w:val="3"/>
          </w:tcPr>
          <w:p w14:paraId="157E5DB1" w14:textId="77777777" w:rsidR="00743EDE" w:rsidRPr="00183B5F" w:rsidRDefault="00943743" w:rsidP="004062FE">
            <w:pPr>
              <w:keepNext/>
              <w:numPr>
                <w:ilvl w:val="12"/>
                <w:numId w:val="0"/>
              </w:numPr>
              <w:spacing w:line="240" w:lineRule="auto"/>
              <w:ind w:right="-2"/>
            </w:pPr>
            <w:r w:rsidRPr="00183B5F">
              <w:rPr>
                <w:b/>
              </w:rPr>
              <w:t>Crohn</w:t>
            </w:r>
            <w:r w:rsidRPr="00183B5F">
              <w:rPr>
                <w:b/>
              </w:rPr>
              <w:noBreakHyphen/>
              <w:t>betegség</w:t>
            </w:r>
          </w:p>
        </w:tc>
      </w:tr>
      <w:tr w:rsidR="00011D2F" w14:paraId="29DE4EAB" w14:textId="77777777" w:rsidTr="00743EDE">
        <w:tc>
          <w:tcPr>
            <w:tcW w:w="3095" w:type="dxa"/>
          </w:tcPr>
          <w:p w14:paraId="5847A365" w14:textId="77777777" w:rsidR="00743EDE" w:rsidRPr="00183B5F" w:rsidRDefault="00943743" w:rsidP="004062FE">
            <w:pPr>
              <w:keepNext/>
              <w:numPr>
                <w:ilvl w:val="12"/>
                <w:numId w:val="0"/>
              </w:numPr>
              <w:spacing w:line="240" w:lineRule="auto"/>
              <w:ind w:right="-2"/>
            </w:pPr>
            <w:r w:rsidRPr="00183B5F">
              <w:rPr>
                <w:b/>
              </w:rPr>
              <w:t>Kor vagy testtömeg</w:t>
            </w:r>
          </w:p>
        </w:tc>
        <w:tc>
          <w:tcPr>
            <w:tcW w:w="3096" w:type="dxa"/>
          </w:tcPr>
          <w:p w14:paraId="4F5446B6" w14:textId="77777777" w:rsidR="00743EDE" w:rsidRPr="00183B5F" w:rsidRDefault="00943743" w:rsidP="004062FE">
            <w:pPr>
              <w:keepNext/>
              <w:numPr>
                <w:ilvl w:val="12"/>
                <w:numId w:val="0"/>
              </w:numPr>
              <w:spacing w:line="240" w:lineRule="auto"/>
              <w:ind w:right="-2"/>
            </w:pPr>
            <w:r w:rsidRPr="00183B5F">
              <w:rPr>
                <w:b/>
              </w:rPr>
              <w:t>Milyen adagot és milyen gyakran kell alkalmazni?</w:t>
            </w:r>
          </w:p>
        </w:tc>
        <w:tc>
          <w:tcPr>
            <w:tcW w:w="3096" w:type="dxa"/>
          </w:tcPr>
          <w:p w14:paraId="6F2998F8" w14:textId="77777777" w:rsidR="00743EDE" w:rsidRPr="00183B5F" w:rsidRDefault="00943743" w:rsidP="004062FE">
            <w:pPr>
              <w:numPr>
                <w:ilvl w:val="12"/>
                <w:numId w:val="0"/>
              </w:numPr>
              <w:spacing w:line="240" w:lineRule="auto"/>
              <w:ind w:right="-2"/>
            </w:pPr>
            <w:r w:rsidRPr="00183B5F">
              <w:rPr>
                <w:b/>
              </w:rPr>
              <w:t>Megjegyzések</w:t>
            </w:r>
          </w:p>
        </w:tc>
      </w:tr>
      <w:tr w:rsidR="00011D2F" w14:paraId="223F341E" w14:textId="77777777" w:rsidTr="00743EDE">
        <w:tc>
          <w:tcPr>
            <w:tcW w:w="3095" w:type="dxa"/>
          </w:tcPr>
          <w:p w14:paraId="507CB13D" w14:textId="77777777" w:rsidR="00743EDE" w:rsidRPr="00183B5F" w:rsidRDefault="00943743" w:rsidP="004062FE">
            <w:pPr>
              <w:numPr>
                <w:ilvl w:val="12"/>
                <w:numId w:val="0"/>
              </w:numPr>
              <w:spacing w:line="240" w:lineRule="auto"/>
              <w:ind w:right="-2"/>
            </w:pPr>
            <w:r w:rsidRPr="00183B5F">
              <w:t>6 éves kor feletti, 40 kg</w:t>
            </w:r>
            <w:r w:rsidRPr="00183B5F">
              <w:noBreakHyphen/>
              <w:t>os vagy annál nagyobb testtömegű gyermekek</w:t>
            </w:r>
            <w:r w:rsidR="007D1777" w:rsidRPr="00183B5F">
              <w:t>,</w:t>
            </w:r>
            <w:r w:rsidRPr="00183B5F">
              <w:t>serdülők</w:t>
            </w:r>
            <w:r w:rsidR="007D1777" w:rsidRPr="00183B5F">
              <w:t xml:space="preserve"> és felnőttek</w:t>
            </w:r>
          </w:p>
        </w:tc>
        <w:tc>
          <w:tcPr>
            <w:tcW w:w="3096" w:type="dxa"/>
          </w:tcPr>
          <w:p w14:paraId="5AA85710" w14:textId="77777777" w:rsidR="00743EDE" w:rsidRPr="00183B5F" w:rsidRDefault="00943743">
            <w:pPr>
              <w:spacing w:line="240" w:lineRule="auto"/>
              <w:rPr>
                <w:szCs w:val="22"/>
              </w:rPr>
            </w:pPr>
            <w:r w:rsidRPr="00183B5F">
              <w:rPr>
                <w:szCs w:val="22"/>
              </w:rPr>
              <w:t>A kezdő adag 80 mg (egy 80 mg</w:t>
            </w:r>
            <w:r w:rsidRPr="00183B5F">
              <w:rPr>
                <w:szCs w:val="22"/>
              </w:rPr>
              <w:noBreakHyphen/>
            </w:r>
            <w:r w:rsidRPr="00183B5F">
              <w:rPr>
                <w:szCs w:val="22"/>
              </w:rPr>
              <w:t>os injekció), amelyet két héttel később 40 mg követ.</w:t>
            </w:r>
          </w:p>
          <w:p w14:paraId="0720DBDB" w14:textId="77777777" w:rsidR="00743EDE" w:rsidRPr="00183B5F" w:rsidRDefault="00743EDE">
            <w:pPr>
              <w:spacing w:line="240" w:lineRule="auto"/>
              <w:rPr>
                <w:szCs w:val="22"/>
              </w:rPr>
            </w:pPr>
          </w:p>
          <w:p w14:paraId="129F0846" w14:textId="77777777" w:rsidR="00743EDE" w:rsidRPr="00183B5F" w:rsidRDefault="00943743">
            <w:pPr>
              <w:numPr>
                <w:ilvl w:val="12"/>
                <w:numId w:val="0"/>
              </w:numPr>
              <w:spacing w:line="240" w:lineRule="auto"/>
              <w:ind w:right="-2"/>
              <w:rPr>
                <w:szCs w:val="22"/>
              </w:rPr>
            </w:pPr>
            <w:r w:rsidRPr="00183B5F">
              <w:rPr>
                <w:szCs w:val="22"/>
              </w:rPr>
              <w:t>Ha gyorsabb hatásra van szükség, a kezelőorvos rendelhet 160 mg</w:t>
            </w:r>
            <w:r w:rsidRPr="00183B5F">
              <w:rPr>
                <w:szCs w:val="22"/>
              </w:rPr>
              <w:noBreakHyphen/>
              <w:t>os kezdő adagot (két 40 mg</w:t>
            </w:r>
            <w:r w:rsidRPr="00183B5F">
              <w:rPr>
                <w:szCs w:val="22"/>
              </w:rPr>
              <w:noBreakHyphen/>
              <w:t>os injekció egyetlen napon, vagy napi egy 80 mg</w:t>
            </w:r>
            <w:r w:rsidRPr="00183B5F">
              <w:rPr>
                <w:szCs w:val="22"/>
              </w:rPr>
              <w:noBreakHyphen/>
              <w:t>os injekció két egymást követő napon), melyet két héttel később 80 mg követ (egy 80 mg</w:t>
            </w:r>
            <w:r w:rsidRPr="00183B5F">
              <w:rPr>
                <w:szCs w:val="22"/>
              </w:rPr>
              <w:noBreakHyphen/>
              <w:t>os injekció).</w:t>
            </w:r>
          </w:p>
          <w:p w14:paraId="7A0D233E" w14:textId="77777777" w:rsidR="00743EDE" w:rsidRPr="00183B5F" w:rsidRDefault="00743EDE">
            <w:pPr>
              <w:numPr>
                <w:ilvl w:val="12"/>
                <w:numId w:val="0"/>
              </w:numPr>
              <w:spacing w:line="240" w:lineRule="auto"/>
              <w:ind w:right="-2"/>
              <w:rPr>
                <w:szCs w:val="22"/>
              </w:rPr>
            </w:pPr>
          </w:p>
          <w:p w14:paraId="650DFC1B" w14:textId="77777777" w:rsidR="00743EDE" w:rsidRPr="00183B5F" w:rsidRDefault="00943743">
            <w:pPr>
              <w:spacing w:line="240" w:lineRule="auto"/>
              <w:rPr>
                <w:szCs w:val="22"/>
              </w:rPr>
            </w:pPr>
            <w:r w:rsidRPr="00183B5F">
              <w:rPr>
                <w:szCs w:val="22"/>
              </w:rPr>
              <w:t xml:space="preserve">Ezután a szokásos adag kéthetente 40 mg. </w:t>
            </w:r>
          </w:p>
        </w:tc>
        <w:tc>
          <w:tcPr>
            <w:tcW w:w="3096" w:type="dxa"/>
          </w:tcPr>
          <w:p w14:paraId="648D77F1" w14:textId="77777777" w:rsidR="00743EDE" w:rsidRPr="00183B5F" w:rsidRDefault="00943743">
            <w:pPr>
              <w:spacing w:line="240" w:lineRule="auto"/>
            </w:pPr>
            <w:r w:rsidRPr="00183B5F">
              <w:rPr>
                <w:szCs w:val="22"/>
              </w:rPr>
              <w:t>Kezelőorvosa heti 40 mg</w:t>
            </w:r>
            <w:r w:rsidRPr="00183B5F">
              <w:rPr>
                <w:szCs w:val="22"/>
              </w:rPr>
              <w:noBreakHyphen/>
              <w:t>ra</w:t>
            </w:r>
            <w:r w:rsidR="00DD5107" w:rsidRPr="00183B5F">
              <w:rPr>
                <w:szCs w:val="22"/>
              </w:rPr>
              <w:t xml:space="preserve"> vagy kéthetente 80 mg</w:t>
            </w:r>
            <w:r w:rsidR="00DD5107" w:rsidRPr="00183B5F">
              <w:rPr>
                <w:szCs w:val="22"/>
              </w:rPr>
              <w:noBreakHyphen/>
              <w:t xml:space="preserve">ra </w:t>
            </w:r>
            <w:r w:rsidRPr="00183B5F">
              <w:rPr>
                <w:szCs w:val="22"/>
              </w:rPr>
              <w:t xml:space="preserve"> emelheti az adag</w:t>
            </w:r>
            <w:r w:rsidR="006D4587" w:rsidRPr="00183B5F">
              <w:rPr>
                <w:szCs w:val="22"/>
              </w:rPr>
              <w:t>ot</w:t>
            </w:r>
            <w:r w:rsidR="00DD5107" w:rsidRPr="00183B5F">
              <w:rPr>
                <w:szCs w:val="22"/>
              </w:rPr>
              <w:t>.</w:t>
            </w:r>
          </w:p>
        </w:tc>
      </w:tr>
      <w:tr w:rsidR="00011D2F" w14:paraId="09B0E48F" w14:textId="77777777" w:rsidTr="00743EDE">
        <w:tc>
          <w:tcPr>
            <w:tcW w:w="3095" w:type="dxa"/>
          </w:tcPr>
          <w:p w14:paraId="6DBF1506" w14:textId="77777777" w:rsidR="00743EDE" w:rsidRPr="00183B5F" w:rsidRDefault="00943743" w:rsidP="004062FE">
            <w:pPr>
              <w:numPr>
                <w:ilvl w:val="12"/>
                <w:numId w:val="0"/>
              </w:numPr>
              <w:spacing w:line="240" w:lineRule="auto"/>
              <w:ind w:right="-2"/>
            </w:pPr>
            <w:r w:rsidRPr="00183B5F">
              <w:t>6</w:t>
            </w:r>
            <w:r w:rsidR="007D1777" w:rsidRPr="00183B5F">
              <w:t>-17</w:t>
            </w:r>
            <w:r w:rsidRPr="00183B5F">
              <w:t xml:space="preserve"> éves kor </w:t>
            </w:r>
            <w:r w:rsidR="007D1777" w:rsidRPr="00183B5F">
              <w:t>közötti</w:t>
            </w:r>
            <w:r w:rsidRPr="00183B5F">
              <w:t>, 40 kg</w:t>
            </w:r>
            <w:r w:rsidRPr="00183B5F">
              <w:noBreakHyphen/>
            </w:r>
            <w:r w:rsidRPr="00183B5F">
              <w:t>nál kisebb testtömegű gyermekek vagy serdülők</w:t>
            </w:r>
          </w:p>
        </w:tc>
        <w:tc>
          <w:tcPr>
            <w:tcW w:w="3096" w:type="dxa"/>
          </w:tcPr>
          <w:p w14:paraId="569674E0" w14:textId="77777777" w:rsidR="00743EDE" w:rsidRPr="00183B5F" w:rsidRDefault="00943743" w:rsidP="004062FE">
            <w:pPr>
              <w:spacing w:line="240" w:lineRule="auto"/>
            </w:pPr>
            <w:r w:rsidRPr="00183B5F">
              <w:t xml:space="preserve">A kezdő adag 40 mg, melyet két héttel később 20 mg követ. </w:t>
            </w:r>
          </w:p>
          <w:p w14:paraId="650E8C37" w14:textId="77777777" w:rsidR="00743EDE" w:rsidRPr="00183B5F" w:rsidRDefault="00743EDE" w:rsidP="004062FE">
            <w:pPr>
              <w:spacing w:line="240" w:lineRule="auto"/>
            </w:pPr>
          </w:p>
          <w:p w14:paraId="7A2607D2" w14:textId="77777777" w:rsidR="00743EDE" w:rsidRPr="00183B5F" w:rsidRDefault="00943743" w:rsidP="004062FE">
            <w:pPr>
              <w:numPr>
                <w:ilvl w:val="12"/>
                <w:numId w:val="0"/>
              </w:numPr>
              <w:spacing w:line="240" w:lineRule="auto"/>
              <w:ind w:right="-2"/>
              <w:rPr>
                <w:szCs w:val="22"/>
              </w:rPr>
            </w:pPr>
            <w:r w:rsidRPr="00183B5F">
              <w:rPr>
                <w:szCs w:val="22"/>
              </w:rPr>
              <w:t>Ha gyorsabb hatásra van szükség, a kezelőorvos rendelhet 80 mg</w:t>
            </w:r>
            <w:r w:rsidRPr="00183B5F">
              <w:rPr>
                <w:szCs w:val="22"/>
              </w:rPr>
              <w:noBreakHyphen/>
              <w:t>os kezdő adagot (egy 80 mg</w:t>
            </w:r>
            <w:r w:rsidRPr="00183B5F">
              <w:rPr>
                <w:szCs w:val="22"/>
              </w:rPr>
              <w:noBreakHyphen/>
            </w:r>
            <w:r w:rsidRPr="00183B5F">
              <w:rPr>
                <w:szCs w:val="22"/>
              </w:rPr>
              <w:t>os injekció), melyet 2 héttel később 40 mg követ.</w:t>
            </w:r>
          </w:p>
          <w:p w14:paraId="20070E6F" w14:textId="77777777" w:rsidR="00743EDE" w:rsidRPr="00183B5F" w:rsidRDefault="00743EDE" w:rsidP="004062FE">
            <w:pPr>
              <w:numPr>
                <w:ilvl w:val="12"/>
                <w:numId w:val="0"/>
              </w:numPr>
              <w:spacing w:line="240" w:lineRule="auto"/>
              <w:ind w:right="-2"/>
              <w:rPr>
                <w:szCs w:val="22"/>
              </w:rPr>
            </w:pPr>
          </w:p>
          <w:p w14:paraId="49C177A3" w14:textId="77777777" w:rsidR="00743EDE" w:rsidRPr="00183B5F" w:rsidRDefault="00943743" w:rsidP="004062FE">
            <w:pPr>
              <w:spacing w:line="240" w:lineRule="auto"/>
            </w:pPr>
            <w:r w:rsidRPr="00183B5F">
              <w:rPr>
                <w:szCs w:val="22"/>
              </w:rPr>
              <w:t>Ezután a szokásos adag kéthetente 20 mg.</w:t>
            </w:r>
          </w:p>
        </w:tc>
        <w:tc>
          <w:tcPr>
            <w:tcW w:w="3096" w:type="dxa"/>
          </w:tcPr>
          <w:p w14:paraId="1E1794B7" w14:textId="77777777" w:rsidR="00743EDE" w:rsidRPr="00183B5F" w:rsidRDefault="00943743" w:rsidP="004062FE">
            <w:pPr>
              <w:numPr>
                <w:ilvl w:val="12"/>
                <w:numId w:val="0"/>
              </w:numPr>
              <w:spacing w:line="240" w:lineRule="auto"/>
              <w:ind w:right="-2"/>
            </w:pPr>
            <w:r w:rsidRPr="00183B5F">
              <w:rPr>
                <w:szCs w:val="22"/>
              </w:rPr>
              <w:t>Kezelőorvosa heti 20 mg</w:t>
            </w:r>
            <w:r w:rsidRPr="00183B5F">
              <w:rPr>
                <w:szCs w:val="22"/>
              </w:rPr>
              <w:noBreakHyphen/>
              <w:t>ra emelheti az adagolás gyakoriságát</w:t>
            </w:r>
            <w:r w:rsidRPr="00183B5F">
              <w:t>.</w:t>
            </w:r>
          </w:p>
        </w:tc>
      </w:tr>
    </w:tbl>
    <w:p w14:paraId="623CFEA4" w14:textId="77777777" w:rsidR="00743EDE" w:rsidRPr="00183B5F" w:rsidRDefault="00743EDE" w:rsidP="004062FE">
      <w:pPr>
        <w:numPr>
          <w:ilvl w:val="12"/>
          <w:numId w:val="0"/>
        </w:numPr>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3036"/>
        <w:gridCol w:w="3023"/>
      </w:tblGrid>
      <w:tr w:rsidR="00011D2F" w14:paraId="320A9902" w14:textId="77777777" w:rsidTr="005D5254">
        <w:tc>
          <w:tcPr>
            <w:tcW w:w="9061" w:type="dxa"/>
            <w:gridSpan w:val="3"/>
          </w:tcPr>
          <w:p w14:paraId="5901B85C" w14:textId="77777777" w:rsidR="00743EDE" w:rsidRPr="00183B5F" w:rsidRDefault="00943743" w:rsidP="004062FE">
            <w:pPr>
              <w:numPr>
                <w:ilvl w:val="12"/>
                <w:numId w:val="0"/>
              </w:numPr>
              <w:spacing w:line="240" w:lineRule="auto"/>
              <w:ind w:right="-2"/>
              <w:rPr>
                <w:b/>
              </w:rPr>
            </w:pPr>
            <w:r w:rsidRPr="00183B5F">
              <w:rPr>
                <w:b/>
                <w:szCs w:val="22"/>
              </w:rPr>
              <w:t>Kolitisz ulceróza</w:t>
            </w:r>
          </w:p>
        </w:tc>
      </w:tr>
      <w:tr w:rsidR="00011D2F" w14:paraId="4BC8E2E3" w14:textId="77777777" w:rsidTr="005D5254">
        <w:tc>
          <w:tcPr>
            <w:tcW w:w="3002" w:type="dxa"/>
          </w:tcPr>
          <w:p w14:paraId="5B9CB7AB" w14:textId="77777777" w:rsidR="00743EDE" w:rsidRPr="00183B5F" w:rsidRDefault="00943743" w:rsidP="004062FE">
            <w:pPr>
              <w:numPr>
                <w:ilvl w:val="12"/>
                <w:numId w:val="0"/>
              </w:numPr>
              <w:spacing w:line="240" w:lineRule="auto"/>
              <w:ind w:right="-2"/>
            </w:pPr>
            <w:r w:rsidRPr="00183B5F">
              <w:rPr>
                <w:b/>
              </w:rPr>
              <w:t>Kor vagy testtömeg</w:t>
            </w:r>
          </w:p>
        </w:tc>
        <w:tc>
          <w:tcPr>
            <w:tcW w:w="3036" w:type="dxa"/>
          </w:tcPr>
          <w:p w14:paraId="263F0213" w14:textId="77777777" w:rsidR="00743EDE" w:rsidRPr="00183B5F" w:rsidRDefault="00943743" w:rsidP="004062FE">
            <w:pPr>
              <w:numPr>
                <w:ilvl w:val="12"/>
                <w:numId w:val="0"/>
              </w:numPr>
              <w:spacing w:line="240" w:lineRule="auto"/>
              <w:ind w:right="-2"/>
            </w:pPr>
            <w:r w:rsidRPr="00183B5F">
              <w:rPr>
                <w:b/>
              </w:rPr>
              <w:t>Milyen adagot és milyen gyakran kell alkalmazni?</w:t>
            </w:r>
          </w:p>
        </w:tc>
        <w:tc>
          <w:tcPr>
            <w:tcW w:w="3023" w:type="dxa"/>
          </w:tcPr>
          <w:p w14:paraId="5A3F5C68" w14:textId="77777777" w:rsidR="00743EDE" w:rsidRPr="00183B5F" w:rsidRDefault="00943743" w:rsidP="004062FE">
            <w:pPr>
              <w:numPr>
                <w:ilvl w:val="12"/>
                <w:numId w:val="0"/>
              </w:numPr>
              <w:spacing w:line="240" w:lineRule="auto"/>
              <w:ind w:right="-2"/>
            </w:pPr>
            <w:r w:rsidRPr="00183B5F">
              <w:rPr>
                <w:b/>
              </w:rPr>
              <w:t>Megjegyzések</w:t>
            </w:r>
          </w:p>
        </w:tc>
      </w:tr>
      <w:tr w:rsidR="00011D2F" w14:paraId="3BF7D9FA" w14:textId="77777777" w:rsidTr="005D5254">
        <w:tc>
          <w:tcPr>
            <w:tcW w:w="3002" w:type="dxa"/>
          </w:tcPr>
          <w:p w14:paraId="74B507E3" w14:textId="77777777" w:rsidR="00743EDE" w:rsidRPr="00183B5F" w:rsidRDefault="00943743" w:rsidP="004062FE">
            <w:pPr>
              <w:numPr>
                <w:ilvl w:val="12"/>
                <w:numId w:val="0"/>
              </w:numPr>
              <w:spacing w:line="240" w:lineRule="auto"/>
              <w:ind w:right="-2"/>
            </w:pPr>
            <w:r w:rsidRPr="00183B5F">
              <w:t>Felnőttek</w:t>
            </w:r>
          </w:p>
        </w:tc>
        <w:tc>
          <w:tcPr>
            <w:tcW w:w="3036" w:type="dxa"/>
          </w:tcPr>
          <w:p w14:paraId="5FFC7F1B" w14:textId="77777777" w:rsidR="00743EDE" w:rsidRPr="00183B5F" w:rsidRDefault="00943743" w:rsidP="004062FE">
            <w:pPr>
              <w:numPr>
                <w:ilvl w:val="12"/>
                <w:numId w:val="0"/>
              </w:numPr>
              <w:spacing w:line="240" w:lineRule="auto"/>
              <w:rPr>
                <w:szCs w:val="22"/>
              </w:rPr>
            </w:pPr>
            <w:r w:rsidRPr="00183B5F">
              <w:rPr>
                <w:szCs w:val="22"/>
              </w:rPr>
              <w:t>A kezdő adag 160 mg (két 80 mg</w:t>
            </w:r>
            <w:r w:rsidRPr="00183B5F">
              <w:rPr>
                <w:szCs w:val="22"/>
              </w:rPr>
              <w:noBreakHyphen/>
              <w:t>os injekció egyetlen napon, vagy napi egy 80 mg</w:t>
            </w:r>
            <w:r w:rsidRPr="00183B5F">
              <w:rPr>
                <w:szCs w:val="22"/>
              </w:rPr>
              <w:noBreakHyphen/>
              <w:t>os injekció két egymást követő napon), melyet 2 héttel később 80 mg követ (egy 80 mg</w:t>
            </w:r>
            <w:r w:rsidRPr="00183B5F">
              <w:rPr>
                <w:szCs w:val="22"/>
              </w:rPr>
              <w:noBreakHyphen/>
              <w:t xml:space="preserve">os injekció). </w:t>
            </w:r>
          </w:p>
          <w:p w14:paraId="74A52185" w14:textId="77777777" w:rsidR="00743EDE" w:rsidRPr="00183B5F" w:rsidRDefault="00743EDE" w:rsidP="004062FE">
            <w:pPr>
              <w:numPr>
                <w:ilvl w:val="12"/>
                <w:numId w:val="0"/>
              </w:numPr>
              <w:spacing w:line="240" w:lineRule="auto"/>
              <w:rPr>
                <w:szCs w:val="22"/>
              </w:rPr>
            </w:pPr>
          </w:p>
          <w:p w14:paraId="7E03EF09" w14:textId="77777777" w:rsidR="00743EDE" w:rsidRPr="00183B5F" w:rsidRDefault="00943743" w:rsidP="004062FE">
            <w:pPr>
              <w:numPr>
                <w:ilvl w:val="12"/>
                <w:numId w:val="0"/>
              </w:numPr>
              <w:spacing w:line="240" w:lineRule="auto"/>
            </w:pPr>
            <w:r w:rsidRPr="00183B5F">
              <w:rPr>
                <w:szCs w:val="22"/>
              </w:rPr>
              <w:t>Ezután a szokásos adag kéthetente 40 mg.</w:t>
            </w:r>
            <w:r w:rsidRPr="00183B5F">
              <w:t xml:space="preserve"> </w:t>
            </w:r>
          </w:p>
        </w:tc>
        <w:tc>
          <w:tcPr>
            <w:tcW w:w="3023" w:type="dxa"/>
          </w:tcPr>
          <w:p w14:paraId="77F6390F" w14:textId="77777777" w:rsidR="00743EDE" w:rsidRPr="00183B5F" w:rsidRDefault="00943743">
            <w:pPr>
              <w:numPr>
                <w:ilvl w:val="12"/>
                <w:numId w:val="0"/>
              </w:numPr>
              <w:spacing w:line="240" w:lineRule="auto"/>
              <w:ind w:right="-2"/>
            </w:pPr>
            <w:r w:rsidRPr="00183B5F">
              <w:rPr>
                <w:szCs w:val="22"/>
              </w:rPr>
              <w:t>Kezelőorvosa heti 40 mg</w:t>
            </w:r>
            <w:r w:rsidRPr="00183B5F">
              <w:rPr>
                <w:szCs w:val="22"/>
              </w:rPr>
              <w:noBreakHyphen/>
              <w:t xml:space="preserve">ra </w:t>
            </w:r>
            <w:r w:rsidR="00800BE5" w:rsidRPr="00183B5F">
              <w:rPr>
                <w:szCs w:val="22"/>
              </w:rPr>
              <w:t>vagy kéthetente 80 mg</w:t>
            </w:r>
            <w:r w:rsidR="00800BE5" w:rsidRPr="00183B5F">
              <w:rPr>
                <w:szCs w:val="22"/>
              </w:rPr>
              <w:noBreakHyphen/>
              <w:t xml:space="preserve">ra </w:t>
            </w:r>
            <w:r w:rsidRPr="00183B5F">
              <w:rPr>
                <w:szCs w:val="22"/>
              </w:rPr>
              <w:t>emelheti az adag</w:t>
            </w:r>
            <w:r w:rsidR="006D4587" w:rsidRPr="00183B5F">
              <w:rPr>
                <w:szCs w:val="22"/>
              </w:rPr>
              <w:t>ot</w:t>
            </w:r>
            <w:r w:rsidRPr="00183B5F">
              <w:t>.</w:t>
            </w:r>
          </w:p>
        </w:tc>
      </w:tr>
      <w:tr w:rsidR="00011D2F" w14:paraId="3A66125D" w14:textId="77777777" w:rsidTr="005D5254">
        <w:tc>
          <w:tcPr>
            <w:tcW w:w="3002" w:type="dxa"/>
            <w:tcBorders>
              <w:top w:val="single" w:sz="4" w:space="0" w:color="auto"/>
              <w:left w:val="single" w:sz="4" w:space="0" w:color="auto"/>
              <w:bottom w:val="single" w:sz="4" w:space="0" w:color="auto"/>
              <w:right w:val="single" w:sz="4" w:space="0" w:color="auto"/>
            </w:tcBorders>
          </w:tcPr>
          <w:p w14:paraId="2E722A75" w14:textId="77777777" w:rsidR="005D5254" w:rsidRPr="00183B5F" w:rsidRDefault="00943743" w:rsidP="00653D7A">
            <w:pPr>
              <w:numPr>
                <w:ilvl w:val="12"/>
                <w:numId w:val="0"/>
              </w:numPr>
              <w:spacing w:line="240" w:lineRule="auto"/>
              <w:ind w:right="-2"/>
            </w:pPr>
            <w:r w:rsidRPr="00183B5F">
              <w:t>6 éves kor feletti, 40 kg</w:t>
            </w:r>
            <w:r w:rsidRPr="00183B5F">
              <w:noBreakHyphen/>
              <w:t>nál kisebb testtömegű gyermekek és serdülők</w:t>
            </w:r>
          </w:p>
        </w:tc>
        <w:tc>
          <w:tcPr>
            <w:tcW w:w="3036" w:type="dxa"/>
            <w:tcBorders>
              <w:top w:val="single" w:sz="4" w:space="0" w:color="auto"/>
              <w:left w:val="single" w:sz="4" w:space="0" w:color="auto"/>
              <w:bottom w:val="single" w:sz="4" w:space="0" w:color="auto"/>
              <w:right w:val="single" w:sz="4" w:space="0" w:color="auto"/>
            </w:tcBorders>
          </w:tcPr>
          <w:p w14:paraId="6CD38DC9" w14:textId="77777777" w:rsidR="005D5254" w:rsidRPr="00183B5F" w:rsidRDefault="00943743" w:rsidP="00653D7A">
            <w:pPr>
              <w:numPr>
                <w:ilvl w:val="12"/>
                <w:numId w:val="0"/>
              </w:numPr>
              <w:spacing w:line="240" w:lineRule="auto"/>
              <w:rPr>
                <w:szCs w:val="22"/>
              </w:rPr>
            </w:pPr>
            <w:r w:rsidRPr="00183B5F">
              <w:t>A kezdő adag 80 mg (egy 80 mg-os injekció formájában), melyet két héttel később 40 mg (egy 40 mg-os injekció formájában) követ</w:t>
            </w:r>
            <w:r w:rsidRPr="00183B5F">
              <w:rPr>
                <w:szCs w:val="22"/>
              </w:rPr>
              <w:t>.</w:t>
            </w:r>
          </w:p>
          <w:p w14:paraId="0AF35C92" w14:textId="77777777" w:rsidR="005D5254" w:rsidRPr="00183B5F" w:rsidRDefault="005D5254" w:rsidP="00653D7A">
            <w:pPr>
              <w:numPr>
                <w:ilvl w:val="12"/>
                <w:numId w:val="0"/>
              </w:numPr>
              <w:spacing w:line="240" w:lineRule="auto"/>
              <w:rPr>
                <w:szCs w:val="22"/>
              </w:rPr>
            </w:pPr>
          </w:p>
          <w:p w14:paraId="35330CF4" w14:textId="77777777" w:rsidR="005D5254" w:rsidRPr="00183B5F" w:rsidRDefault="00943743" w:rsidP="00653D7A">
            <w:pPr>
              <w:numPr>
                <w:ilvl w:val="12"/>
                <w:numId w:val="0"/>
              </w:numPr>
              <w:spacing w:line="240" w:lineRule="auto"/>
              <w:rPr>
                <w:szCs w:val="22"/>
              </w:rPr>
            </w:pPr>
            <w:r w:rsidRPr="00183B5F">
              <w:rPr>
                <w:szCs w:val="22"/>
              </w:rPr>
              <w:t>Ezt követően a szokásos adag 40 mg kéthetente.</w:t>
            </w:r>
          </w:p>
        </w:tc>
        <w:tc>
          <w:tcPr>
            <w:tcW w:w="3023" w:type="dxa"/>
            <w:tcBorders>
              <w:top w:val="single" w:sz="4" w:space="0" w:color="auto"/>
              <w:left w:val="single" w:sz="4" w:space="0" w:color="auto"/>
              <w:bottom w:val="single" w:sz="4" w:space="0" w:color="auto"/>
              <w:right w:val="single" w:sz="4" w:space="0" w:color="auto"/>
            </w:tcBorders>
          </w:tcPr>
          <w:p w14:paraId="0284C429" w14:textId="77777777" w:rsidR="005D5254" w:rsidRPr="00183B5F" w:rsidRDefault="00943743" w:rsidP="00653D7A">
            <w:pPr>
              <w:numPr>
                <w:ilvl w:val="12"/>
                <w:numId w:val="0"/>
              </w:numPr>
              <w:spacing w:line="240" w:lineRule="auto"/>
              <w:ind w:right="-2"/>
              <w:rPr>
                <w:szCs w:val="22"/>
              </w:rPr>
            </w:pPr>
            <w:r w:rsidRPr="00183B5F">
              <w:rPr>
                <w:szCs w:val="22"/>
              </w:rPr>
              <w:t>A Humira alkalmazását a szokásos adagban kell folytatnia, a 18 éves kor betöltése után is.</w:t>
            </w:r>
          </w:p>
        </w:tc>
      </w:tr>
      <w:tr w:rsidR="00011D2F" w14:paraId="5490C029" w14:textId="77777777" w:rsidTr="005D5254">
        <w:tc>
          <w:tcPr>
            <w:tcW w:w="3002" w:type="dxa"/>
            <w:tcBorders>
              <w:top w:val="single" w:sz="4" w:space="0" w:color="auto"/>
              <w:left w:val="single" w:sz="4" w:space="0" w:color="auto"/>
              <w:bottom w:val="single" w:sz="4" w:space="0" w:color="auto"/>
              <w:right w:val="single" w:sz="4" w:space="0" w:color="auto"/>
            </w:tcBorders>
          </w:tcPr>
          <w:p w14:paraId="78DB5FD6" w14:textId="77777777" w:rsidR="005D5254" w:rsidRPr="00183B5F" w:rsidRDefault="00943743" w:rsidP="00653D7A">
            <w:pPr>
              <w:numPr>
                <w:ilvl w:val="12"/>
                <w:numId w:val="0"/>
              </w:numPr>
              <w:spacing w:line="240" w:lineRule="auto"/>
              <w:ind w:right="-2"/>
            </w:pPr>
            <w:r w:rsidRPr="00183B5F">
              <w:t>6 éves kor feletti, 40 kg</w:t>
            </w:r>
            <w:r w:rsidRPr="00183B5F">
              <w:noBreakHyphen/>
            </w:r>
            <w:r w:rsidRPr="00183B5F">
              <w:t>os vagy annál nagyobb testtömegű gyermekek és serdülők</w:t>
            </w:r>
          </w:p>
        </w:tc>
        <w:tc>
          <w:tcPr>
            <w:tcW w:w="3036" w:type="dxa"/>
            <w:tcBorders>
              <w:top w:val="single" w:sz="4" w:space="0" w:color="auto"/>
              <w:left w:val="single" w:sz="4" w:space="0" w:color="auto"/>
              <w:bottom w:val="single" w:sz="4" w:space="0" w:color="auto"/>
              <w:right w:val="single" w:sz="4" w:space="0" w:color="auto"/>
            </w:tcBorders>
          </w:tcPr>
          <w:p w14:paraId="12F894B9" w14:textId="77777777" w:rsidR="005D5254" w:rsidRPr="00183B5F" w:rsidRDefault="00943743" w:rsidP="00FC288C">
            <w:pPr>
              <w:numPr>
                <w:ilvl w:val="12"/>
                <w:numId w:val="0"/>
              </w:numPr>
              <w:rPr>
                <w:szCs w:val="22"/>
              </w:rPr>
            </w:pPr>
            <w:r w:rsidRPr="00183B5F">
              <w:t>A kezdő adag 160 mg (két 80 mg-os injekció egyetlen napon vagy egy 80 mg-os injekció két egymást követő napon), majd két hét múlva 80 mg (egy 80 mg-os injekció).</w:t>
            </w:r>
          </w:p>
          <w:p w14:paraId="656E39F9" w14:textId="77777777" w:rsidR="005D5254" w:rsidRPr="00183B5F" w:rsidRDefault="005D5254" w:rsidP="00653D7A">
            <w:pPr>
              <w:numPr>
                <w:ilvl w:val="12"/>
                <w:numId w:val="0"/>
              </w:numPr>
              <w:spacing w:line="240" w:lineRule="auto"/>
              <w:rPr>
                <w:szCs w:val="22"/>
              </w:rPr>
            </w:pPr>
          </w:p>
          <w:p w14:paraId="50B2EB35" w14:textId="77777777" w:rsidR="005D5254" w:rsidRPr="00183B5F" w:rsidRDefault="00943743" w:rsidP="00653D7A">
            <w:pPr>
              <w:numPr>
                <w:ilvl w:val="12"/>
                <w:numId w:val="0"/>
              </w:numPr>
              <w:spacing w:line="240" w:lineRule="auto"/>
              <w:rPr>
                <w:szCs w:val="22"/>
              </w:rPr>
            </w:pPr>
            <w:r w:rsidRPr="00183B5F">
              <w:rPr>
                <w:szCs w:val="22"/>
              </w:rPr>
              <w:t>Ezt követően a szokásos adag 80 mg kéthetente.</w:t>
            </w:r>
          </w:p>
        </w:tc>
        <w:tc>
          <w:tcPr>
            <w:tcW w:w="3023" w:type="dxa"/>
            <w:tcBorders>
              <w:top w:val="single" w:sz="4" w:space="0" w:color="auto"/>
              <w:left w:val="single" w:sz="4" w:space="0" w:color="auto"/>
              <w:bottom w:val="single" w:sz="4" w:space="0" w:color="auto"/>
              <w:right w:val="single" w:sz="4" w:space="0" w:color="auto"/>
            </w:tcBorders>
          </w:tcPr>
          <w:p w14:paraId="7AF643B7" w14:textId="77777777" w:rsidR="005D5254" w:rsidRPr="00183B5F" w:rsidRDefault="00943743" w:rsidP="00653D7A">
            <w:pPr>
              <w:numPr>
                <w:ilvl w:val="12"/>
                <w:numId w:val="0"/>
              </w:numPr>
              <w:spacing w:line="240" w:lineRule="auto"/>
              <w:ind w:right="-2"/>
              <w:rPr>
                <w:szCs w:val="22"/>
              </w:rPr>
            </w:pPr>
            <w:r w:rsidRPr="00183B5F">
              <w:rPr>
                <w:szCs w:val="22"/>
              </w:rPr>
              <w:t>A Humira alkalmazását a szokásos adagban kell folytatnia, a 18 éves kor betöltése után is.</w:t>
            </w:r>
          </w:p>
        </w:tc>
      </w:tr>
    </w:tbl>
    <w:p w14:paraId="5028C853" w14:textId="77777777" w:rsidR="00743EDE" w:rsidRPr="00183B5F" w:rsidRDefault="00743EDE" w:rsidP="004062FE">
      <w:pPr>
        <w:spacing w:line="240" w:lineRule="auto"/>
        <w:ind w:right="-2"/>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9"/>
        <w:gridCol w:w="3017"/>
        <w:gridCol w:w="3035"/>
      </w:tblGrid>
      <w:tr w:rsidR="00011D2F" w14:paraId="781C0C7C" w14:textId="77777777" w:rsidTr="00743EDE">
        <w:tc>
          <w:tcPr>
            <w:tcW w:w="9287" w:type="dxa"/>
            <w:gridSpan w:val="3"/>
          </w:tcPr>
          <w:p w14:paraId="4799F36A" w14:textId="77777777" w:rsidR="00743EDE" w:rsidRPr="00183B5F" w:rsidRDefault="00943743" w:rsidP="00782C0E">
            <w:pPr>
              <w:keepNext/>
              <w:numPr>
                <w:ilvl w:val="12"/>
                <w:numId w:val="0"/>
              </w:numPr>
              <w:tabs>
                <w:tab w:val="left" w:pos="4950"/>
              </w:tabs>
              <w:spacing w:line="240" w:lineRule="auto"/>
              <w:ind w:right="-2"/>
              <w:rPr>
                <w:b/>
              </w:rPr>
            </w:pPr>
            <w:r w:rsidRPr="00183B5F">
              <w:rPr>
                <w:b/>
                <w:szCs w:val="22"/>
              </w:rPr>
              <w:t>Nem fertőzéses eredetű szemgyulladás (uveitisz)</w:t>
            </w:r>
            <w:r w:rsidRPr="00183B5F">
              <w:rPr>
                <w:b/>
                <w:szCs w:val="22"/>
              </w:rPr>
              <w:tab/>
            </w:r>
          </w:p>
        </w:tc>
      </w:tr>
      <w:tr w:rsidR="00011D2F" w14:paraId="0CD27C61" w14:textId="77777777" w:rsidTr="00743EDE">
        <w:tc>
          <w:tcPr>
            <w:tcW w:w="3095" w:type="dxa"/>
          </w:tcPr>
          <w:p w14:paraId="6717EF39" w14:textId="77777777" w:rsidR="00743EDE" w:rsidRPr="00183B5F" w:rsidRDefault="00943743" w:rsidP="00782C0E">
            <w:pPr>
              <w:keepNext/>
              <w:numPr>
                <w:ilvl w:val="12"/>
                <w:numId w:val="0"/>
              </w:numPr>
              <w:spacing w:line="240" w:lineRule="auto"/>
              <w:ind w:right="-2"/>
            </w:pPr>
            <w:r w:rsidRPr="00183B5F">
              <w:rPr>
                <w:b/>
              </w:rPr>
              <w:t>Kor vagy testtömeg</w:t>
            </w:r>
          </w:p>
        </w:tc>
        <w:tc>
          <w:tcPr>
            <w:tcW w:w="3096" w:type="dxa"/>
          </w:tcPr>
          <w:p w14:paraId="1C41596B" w14:textId="77777777" w:rsidR="00743EDE" w:rsidRPr="00183B5F" w:rsidRDefault="00943743" w:rsidP="00782C0E">
            <w:pPr>
              <w:keepNext/>
              <w:tabs>
                <w:tab w:val="left" w:pos="0"/>
              </w:tabs>
              <w:spacing w:line="240" w:lineRule="auto"/>
            </w:pPr>
            <w:r w:rsidRPr="00183B5F">
              <w:rPr>
                <w:b/>
                <w:szCs w:val="22"/>
              </w:rPr>
              <w:t>Milyen adagot és milyen gyakran kell alkalmazni?</w:t>
            </w:r>
          </w:p>
        </w:tc>
        <w:tc>
          <w:tcPr>
            <w:tcW w:w="3096" w:type="dxa"/>
          </w:tcPr>
          <w:p w14:paraId="12100D14" w14:textId="77777777" w:rsidR="00743EDE" w:rsidRPr="00183B5F" w:rsidRDefault="00943743" w:rsidP="00782C0E">
            <w:pPr>
              <w:keepNext/>
              <w:numPr>
                <w:ilvl w:val="12"/>
                <w:numId w:val="0"/>
              </w:numPr>
              <w:spacing w:line="240" w:lineRule="auto"/>
            </w:pPr>
            <w:r w:rsidRPr="00183B5F">
              <w:rPr>
                <w:b/>
                <w:szCs w:val="22"/>
              </w:rPr>
              <w:t>Megjegyzések</w:t>
            </w:r>
          </w:p>
        </w:tc>
      </w:tr>
      <w:tr w:rsidR="00011D2F" w14:paraId="27B291D0" w14:textId="77777777" w:rsidTr="00743EDE">
        <w:tc>
          <w:tcPr>
            <w:tcW w:w="3095" w:type="dxa"/>
          </w:tcPr>
          <w:p w14:paraId="01FA4CFD" w14:textId="77777777" w:rsidR="00743EDE" w:rsidRPr="00183B5F" w:rsidRDefault="00943743" w:rsidP="00782C0E">
            <w:pPr>
              <w:keepNext/>
              <w:numPr>
                <w:ilvl w:val="12"/>
                <w:numId w:val="0"/>
              </w:numPr>
              <w:spacing w:line="240" w:lineRule="auto"/>
              <w:ind w:right="-2"/>
            </w:pPr>
            <w:r w:rsidRPr="00183B5F">
              <w:t>Felnőttek</w:t>
            </w:r>
          </w:p>
        </w:tc>
        <w:tc>
          <w:tcPr>
            <w:tcW w:w="3096" w:type="dxa"/>
          </w:tcPr>
          <w:p w14:paraId="7A683EC7" w14:textId="77777777" w:rsidR="00743EDE" w:rsidRPr="00183B5F" w:rsidRDefault="00943743" w:rsidP="00782C0E">
            <w:pPr>
              <w:keepNext/>
              <w:tabs>
                <w:tab w:val="left" w:pos="0"/>
              </w:tabs>
              <w:spacing w:line="240" w:lineRule="auto"/>
            </w:pPr>
            <w:r w:rsidRPr="00183B5F">
              <w:t>A kezdő adag 80 mg (egy 80 mg</w:t>
            </w:r>
            <w:r w:rsidRPr="00183B5F">
              <w:noBreakHyphen/>
              <w:t>os injekció), melyet egy</w:t>
            </w:r>
            <w:r w:rsidRPr="00183B5F">
              <w:rPr>
                <w:szCs w:val="22"/>
              </w:rPr>
              <w:t xml:space="preserve"> héttel később minden második héten adott 40 mg követ.</w:t>
            </w:r>
          </w:p>
        </w:tc>
        <w:tc>
          <w:tcPr>
            <w:tcW w:w="3096" w:type="dxa"/>
          </w:tcPr>
          <w:p w14:paraId="0C3D5355" w14:textId="77777777" w:rsidR="00743EDE" w:rsidRPr="00183B5F" w:rsidRDefault="00943743" w:rsidP="00782C0E">
            <w:pPr>
              <w:keepNext/>
              <w:tabs>
                <w:tab w:val="left" w:pos="0"/>
              </w:tabs>
              <w:spacing w:line="240" w:lineRule="auto"/>
              <w:ind w:right="-2"/>
              <w:rPr>
                <w:szCs w:val="22"/>
              </w:rPr>
            </w:pPr>
            <w:r w:rsidRPr="00183B5F">
              <w:rPr>
                <w:szCs w:val="22"/>
              </w:rPr>
              <w:t>A Humira alkalmazásával egyidejűleg kortikoszteroidok vagy egyéb, az immunrendszer működését befolyásoló gyógyszerek alkalmazása folytatható. A Humira önmagában is alkalmazható.</w:t>
            </w:r>
          </w:p>
        </w:tc>
      </w:tr>
      <w:tr w:rsidR="00011D2F" w14:paraId="1A693BB0" w14:textId="77777777" w:rsidTr="00743EDE">
        <w:tc>
          <w:tcPr>
            <w:tcW w:w="3095" w:type="dxa"/>
          </w:tcPr>
          <w:p w14:paraId="0890994E" w14:textId="77777777" w:rsidR="009C3C63" w:rsidRPr="00183B5F" w:rsidRDefault="00943743" w:rsidP="004062FE">
            <w:pPr>
              <w:numPr>
                <w:ilvl w:val="12"/>
                <w:numId w:val="0"/>
              </w:numPr>
              <w:spacing w:line="240" w:lineRule="auto"/>
              <w:ind w:right="-2"/>
            </w:pPr>
            <w:r w:rsidRPr="00183B5F">
              <w:t>2 éves kor feletti, 30 kg</w:t>
            </w:r>
            <w:r w:rsidRPr="00183B5F">
              <w:noBreakHyphen/>
              <w:t>nál kisebb testtömegű gyermekek</w:t>
            </w:r>
            <w:r w:rsidR="007D1777" w:rsidRPr="00183B5F">
              <w:t xml:space="preserve"> és serdülők</w:t>
            </w:r>
          </w:p>
        </w:tc>
        <w:tc>
          <w:tcPr>
            <w:tcW w:w="3096" w:type="dxa"/>
          </w:tcPr>
          <w:p w14:paraId="2E55F66A" w14:textId="77777777" w:rsidR="009C3C63" w:rsidRPr="00183B5F" w:rsidRDefault="00943743" w:rsidP="004062FE">
            <w:pPr>
              <w:keepNext/>
              <w:tabs>
                <w:tab w:val="left" w:pos="0"/>
              </w:tabs>
              <w:spacing w:line="240" w:lineRule="auto"/>
            </w:pPr>
            <w:r w:rsidRPr="00183B5F">
              <w:t>20 mg minden második héten</w:t>
            </w:r>
          </w:p>
        </w:tc>
        <w:tc>
          <w:tcPr>
            <w:tcW w:w="3096" w:type="dxa"/>
          </w:tcPr>
          <w:p w14:paraId="32DB1960" w14:textId="77777777" w:rsidR="009C3C63" w:rsidRPr="00183B5F" w:rsidRDefault="00943743" w:rsidP="004062FE">
            <w:pPr>
              <w:keepNext/>
              <w:tabs>
                <w:tab w:val="left" w:pos="0"/>
              </w:tabs>
              <w:spacing w:line="240" w:lineRule="auto"/>
              <w:ind w:right="-2"/>
              <w:rPr>
                <w:szCs w:val="22"/>
              </w:rPr>
            </w:pPr>
            <w:r w:rsidRPr="00183B5F">
              <w:rPr>
                <w:szCs w:val="22"/>
              </w:rPr>
              <w:t>Kezelőorvosa egy 40 mg</w:t>
            </w:r>
            <w:r w:rsidRPr="00183B5F">
              <w:rPr>
                <w:szCs w:val="22"/>
              </w:rPr>
              <w:noBreakHyphen/>
              <w:t>os kezdő dózist is felírhat, melyet egy héttel a szokásos, kéthetente 20 mg</w:t>
            </w:r>
            <w:r w:rsidRPr="00183B5F">
              <w:rPr>
                <w:szCs w:val="22"/>
              </w:rPr>
              <w:noBreakHyphen/>
              <w:t>os adagolás megkezdése előtt kell beadni. A Humira</w:t>
            </w:r>
            <w:r w:rsidRPr="00183B5F">
              <w:rPr>
                <w:szCs w:val="22"/>
              </w:rPr>
              <w:noBreakHyphen/>
              <w:t>t metotrexáttal kombiná</w:t>
            </w:r>
            <w:r w:rsidR="00EA69A9" w:rsidRPr="00183B5F">
              <w:rPr>
                <w:szCs w:val="22"/>
              </w:rPr>
              <w:t>lva</w:t>
            </w:r>
            <w:r w:rsidRPr="00183B5F">
              <w:rPr>
                <w:szCs w:val="22"/>
              </w:rPr>
              <w:t xml:space="preserve"> javasolt alkalmazni.</w:t>
            </w:r>
          </w:p>
        </w:tc>
      </w:tr>
      <w:tr w:rsidR="00011D2F" w14:paraId="2DD94F9E" w14:textId="77777777" w:rsidTr="00743EDE">
        <w:tc>
          <w:tcPr>
            <w:tcW w:w="3095" w:type="dxa"/>
          </w:tcPr>
          <w:p w14:paraId="5223912C" w14:textId="77777777" w:rsidR="009C3C63" w:rsidRPr="00183B5F" w:rsidRDefault="00943743" w:rsidP="004062FE">
            <w:pPr>
              <w:keepNext/>
              <w:numPr>
                <w:ilvl w:val="12"/>
                <w:numId w:val="0"/>
              </w:numPr>
              <w:spacing w:line="240" w:lineRule="auto"/>
              <w:ind w:right="-2"/>
            </w:pPr>
            <w:r w:rsidRPr="00183B5F">
              <w:t xml:space="preserve">2 éves kor feletti, 30 kg </w:t>
            </w:r>
            <w:r w:rsidR="007D1777" w:rsidRPr="00183B5F">
              <w:t xml:space="preserve">vagy annál nagyobb </w:t>
            </w:r>
            <w:r w:rsidRPr="00183B5F">
              <w:t>testtömegű gyermekek</w:t>
            </w:r>
            <w:r w:rsidR="007D1777" w:rsidRPr="00183B5F">
              <w:t xml:space="preserve"> és serdülők</w:t>
            </w:r>
          </w:p>
        </w:tc>
        <w:tc>
          <w:tcPr>
            <w:tcW w:w="3096" w:type="dxa"/>
          </w:tcPr>
          <w:p w14:paraId="398534B4" w14:textId="77777777" w:rsidR="009C3C63" w:rsidRPr="00183B5F" w:rsidRDefault="00943743" w:rsidP="004062FE">
            <w:pPr>
              <w:keepNext/>
              <w:tabs>
                <w:tab w:val="left" w:pos="0"/>
              </w:tabs>
              <w:spacing w:line="240" w:lineRule="auto"/>
            </w:pPr>
            <w:r w:rsidRPr="00183B5F">
              <w:t>40 mg minden második héten</w:t>
            </w:r>
          </w:p>
        </w:tc>
        <w:tc>
          <w:tcPr>
            <w:tcW w:w="3096" w:type="dxa"/>
          </w:tcPr>
          <w:p w14:paraId="4643B090" w14:textId="77777777" w:rsidR="009C3C63" w:rsidRPr="00183B5F" w:rsidRDefault="00943743" w:rsidP="004062FE">
            <w:pPr>
              <w:keepNext/>
              <w:tabs>
                <w:tab w:val="left" w:pos="0"/>
              </w:tabs>
              <w:spacing w:line="240" w:lineRule="auto"/>
              <w:ind w:right="-2"/>
              <w:rPr>
                <w:szCs w:val="22"/>
              </w:rPr>
            </w:pPr>
            <w:r w:rsidRPr="00183B5F">
              <w:rPr>
                <w:szCs w:val="22"/>
              </w:rPr>
              <w:t>Kezelőorvosa egy 80 mg</w:t>
            </w:r>
            <w:r w:rsidRPr="00183B5F">
              <w:rPr>
                <w:szCs w:val="22"/>
              </w:rPr>
              <w:noBreakHyphen/>
              <w:t>os kezdő dózist is felírhat, melyet egy héttel a szokásos, kéthetente 40 mg</w:t>
            </w:r>
            <w:r w:rsidRPr="00183B5F">
              <w:rPr>
                <w:szCs w:val="22"/>
              </w:rPr>
              <w:noBreakHyphen/>
              <w:t>os adagolás megkezdése előtt kell beadni. A Humira</w:t>
            </w:r>
            <w:r w:rsidRPr="00183B5F">
              <w:rPr>
                <w:szCs w:val="22"/>
              </w:rPr>
              <w:noBreakHyphen/>
              <w:t>t metotrexáttal kombiná</w:t>
            </w:r>
            <w:r w:rsidR="00EA69A9" w:rsidRPr="00183B5F">
              <w:rPr>
                <w:szCs w:val="22"/>
              </w:rPr>
              <w:t>lva</w:t>
            </w:r>
            <w:r w:rsidRPr="00183B5F">
              <w:rPr>
                <w:szCs w:val="22"/>
              </w:rPr>
              <w:t xml:space="preserve"> javasolt alkalmazni.</w:t>
            </w:r>
          </w:p>
        </w:tc>
      </w:tr>
    </w:tbl>
    <w:p w14:paraId="04D028EF" w14:textId="77777777" w:rsidR="00743EDE" w:rsidRPr="00183B5F" w:rsidRDefault="00743EDE" w:rsidP="004062FE">
      <w:pPr>
        <w:spacing w:line="240" w:lineRule="auto"/>
        <w:ind w:right="-2"/>
        <w:rPr>
          <w:szCs w:val="22"/>
        </w:rPr>
      </w:pPr>
    </w:p>
    <w:p w14:paraId="40BF05B5" w14:textId="77777777" w:rsidR="00743EDE" w:rsidRPr="00183B5F" w:rsidRDefault="00943743" w:rsidP="004062FE">
      <w:pPr>
        <w:keepNext/>
        <w:numPr>
          <w:ilvl w:val="12"/>
          <w:numId w:val="0"/>
        </w:numPr>
        <w:spacing w:line="240" w:lineRule="auto"/>
        <w:ind w:right="-2"/>
        <w:rPr>
          <w:b/>
          <w:szCs w:val="22"/>
        </w:rPr>
      </w:pPr>
      <w:r w:rsidRPr="00183B5F">
        <w:rPr>
          <w:b/>
          <w:szCs w:val="22"/>
        </w:rPr>
        <w:t>Az alkalmazással kapcsolatos tudnivalók és az alkalmazás módja</w:t>
      </w:r>
    </w:p>
    <w:p w14:paraId="7B4AC306" w14:textId="77777777" w:rsidR="00743EDE" w:rsidRPr="00183B5F" w:rsidRDefault="00743EDE" w:rsidP="004062FE">
      <w:pPr>
        <w:keepNext/>
        <w:numPr>
          <w:ilvl w:val="12"/>
          <w:numId w:val="0"/>
        </w:numPr>
        <w:spacing w:line="240" w:lineRule="auto"/>
        <w:ind w:right="-2"/>
        <w:rPr>
          <w:b/>
          <w:szCs w:val="22"/>
        </w:rPr>
      </w:pPr>
    </w:p>
    <w:p w14:paraId="7E28A7F3" w14:textId="77777777" w:rsidR="00743EDE" w:rsidRPr="00183B5F" w:rsidRDefault="00943743" w:rsidP="004062FE">
      <w:pPr>
        <w:keepNext/>
        <w:spacing w:line="240" w:lineRule="auto"/>
        <w:ind w:right="-2"/>
        <w:rPr>
          <w:szCs w:val="22"/>
        </w:rPr>
      </w:pPr>
      <w:r w:rsidRPr="00183B5F">
        <w:rPr>
          <w:szCs w:val="22"/>
        </w:rPr>
        <w:t>A Humira</w:t>
      </w:r>
      <w:r w:rsidRPr="00183B5F">
        <w:rPr>
          <w:szCs w:val="22"/>
        </w:rPr>
        <w:noBreakHyphen/>
        <w:t>t a bőr alá (szubkután injekció formájában) kell beadni.</w:t>
      </w:r>
    </w:p>
    <w:p w14:paraId="78C00F55" w14:textId="77777777" w:rsidR="00743EDE" w:rsidRPr="00183B5F" w:rsidRDefault="00743EDE" w:rsidP="004062FE">
      <w:pPr>
        <w:spacing w:line="240" w:lineRule="auto"/>
        <w:ind w:right="-2"/>
        <w:rPr>
          <w:szCs w:val="22"/>
        </w:rPr>
      </w:pPr>
    </w:p>
    <w:p w14:paraId="7B192C08" w14:textId="77777777" w:rsidR="00743EDE" w:rsidRPr="00183B5F" w:rsidRDefault="00943743" w:rsidP="00FE52AB">
      <w:pPr>
        <w:keepNext/>
        <w:spacing w:line="240" w:lineRule="auto"/>
        <w:ind w:right="-2"/>
        <w:rPr>
          <w:b/>
          <w:szCs w:val="22"/>
        </w:rPr>
      </w:pPr>
      <w:r w:rsidRPr="00183B5F">
        <w:rPr>
          <w:b/>
          <w:szCs w:val="22"/>
        </w:rPr>
        <w:t>A Humira injekció beadásával kapcsolatos részletes útmutatás a „7. </w:t>
      </w:r>
      <w:r w:rsidR="00782C0E" w:rsidRPr="00183B5F">
        <w:rPr>
          <w:b/>
          <w:szCs w:val="22"/>
        </w:rPr>
        <w:t>A Humira beadása</w:t>
      </w:r>
      <w:r w:rsidRPr="00183B5F">
        <w:rPr>
          <w:b/>
          <w:szCs w:val="22"/>
        </w:rPr>
        <w:t>” című pontban található</w:t>
      </w:r>
    </w:p>
    <w:p w14:paraId="0FBB2E5D" w14:textId="77777777" w:rsidR="00743EDE" w:rsidRPr="00183B5F" w:rsidRDefault="00743EDE" w:rsidP="00FE52AB">
      <w:pPr>
        <w:keepNext/>
        <w:spacing w:line="240" w:lineRule="auto"/>
        <w:ind w:right="-3"/>
        <w:rPr>
          <w:szCs w:val="22"/>
        </w:rPr>
      </w:pPr>
    </w:p>
    <w:p w14:paraId="1AEE5837" w14:textId="77777777" w:rsidR="00743EDE" w:rsidRPr="00183B5F" w:rsidRDefault="00943743" w:rsidP="00FE52AB">
      <w:pPr>
        <w:keepNext/>
        <w:spacing w:line="240" w:lineRule="auto"/>
        <w:rPr>
          <w:b/>
          <w:szCs w:val="22"/>
        </w:rPr>
      </w:pPr>
      <w:r w:rsidRPr="00183B5F">
        <w:rPr>
          <w:b/>
          <w:szCs w:val="22"/>
        </w:rPr>
        <w:t xml:space="preserve">Ha az előírtnál több </w:t>
      </w:r>
      <w:r w:rsidRPr="00183B5F">
        <w:rPr>
          <w:b/>
          <w:bCs/>
          <w:szCs w:val="22"/>
        </w:rPr>
        <w:t>Humira</w:t>
      </w:r>
      <w:r w:rsidRPr="00183B5F">
        <w:rPr>
          <w:b/>
          <w:bCs/>
          <w:szCs w:val="22"/>
        </w:rPr>
        <w:noBreakHyphen/>
        <w:t>t</w:t>
      </w:r>
      <w:r w:rsidRPr="00183B5F">
        <w:rPr>
          <w:b/>
          <w:szCs w:val="22"/>
        </w:rPr>
        <w:t xml:space="preserve"> alkalmazott</w:t>
      </w:r>
    </w:p>
    <w:p w14:paraId="44BAF2D3" w14:textId="77777777" w:rsidR="00743EDE" w:rsidRPr="00183B5F" w:rsidRDefault="00743EDE" w:rsidP="004062FE">
      <w:pPr>
        <w:keepNext/>
        <w:spacing w:line="240" w:lineRule="auto"/>
        <w:rPr>
          <w:b/>
          <w:szCs w:val="22"/>
        </w:rPr>
      </w:pPr>
    </w:p>
    <w:p w14:paraId="53024F02" w14:textId="77777777" w:rsidR="00743EDE" w:rsidRPr="00183B5F" w:rsidRDefault="00943743" w:rsidP="004062FE">
      <w:pPr>
        <w:keepNext/>
        <w:spacing w:line="240" w:lineRule="auto"/>
        <w:rPr>
          <w:szCs w:val="22"/>
        </w:rPr>
      </w:pPr>
      <w:r w:rsidRPr="00183B5F">
        <w:rPr>
          <w:szCs w:val="22"/>
        </w:rPr>
        <w:t>Ha véletlenül a kezelőorvosa vagy gyógyszerésze által előírtnál gyakrabban alkalmazta a Humira-t, azonnal beszéljen kezelőorvosával vagy gyógyszerészével. Őrizze meg a külső csomagolást, abban az esetben is, ha üres.</w:t>
      </w:r>
    </w:p>
    <w:p w14:paraId="1A9DEF13" w14:textId="77777777" w:rsidR="00743EDE" w:rsidRPr="00183B5F" w:rsidRDefault="00743EDE" w:rsidP="004062FE">
      <w:pPr>
        <w:spacing w:line="240" w:lineRule="auto"/>
        <w:ind w:right="-2"/>
        <w:rPr>
          <w:szCs w:val="22"/>
        </w:rPr>
      </w:pPr>
    </w:p>
    <w:p w14:paraId="37E95C3B" w14:textId="77777777" w:rsidR="00743EDE" w:rsidRPr="00183B5F" w:rsidRDefault="00943743" w:rsidP="002D49EE">
      <w:pPr>
        <w:keepNext/>
        <w:spacing w:line="240" w:lineRule="auto"/>
        <w:ind w:right="-2"/>
        <w:rPr>
          <w:b/>
          <w:szCs w:val="22"/>
        </w:rPr>
      </w:pPr>
      <w:r w:rsidRPr="00183B5F">
        <w:rPr>
          <w:b/>
          <w:szCs w:val="22"/>
        </w:rPr>
        <w:t>Ha elfelejtette alkalmazni a</w:t>
      </w:r>
      <w:r w:rsidRPr="00183B5F">
        <w:rPr>
          <w:b/>
          <w:bCs/>
          <w:szCs w:val="22"/>
        </w:rPr>
        <w:t xml:space="preserve"> Humira</w:t>
      </w:r>
      <w:r w:rsidRPr="00183B5F">
        <w:rPr>
          <w:b/>
          <w:bCs/>
          <w:szCs w:val="22"/>
        </w:rPr>
        <w:noBreakHyphen/>
        <w:t>t</w:t>
      </w:r>
    </w:p>
    <w:p w14:paraId="0E842358" w14:textId="77777777" w:rsidR="00743EDE" w:rsidRPr="00183B5F" w:rsidRDefault="00743EDE" w:rsidP="002D49EE">
      <w:pPr>
        <w:keepNext/>
        <w:spacing w:line="240" w:lineRule="auto"/>
        <w:ind w:right="-2"/>
        <w:rPr>
          <w:szCs w:val="22"/>
        </w:rPr>
      </w:pPr>
    </w:p>
    <w:p w14:paraId="7E4CAD9F" w14:textId="77777777" w:rsidR="00743EDE" w:rsidRPr="00183B5F" w:rsidRDefault="00943743" w:rsidP="004062FE">
      <w:pPr>
        <w:spacing w:line="240" w:lineRule="auto"/>
        <w:ind w:right="-2"/>
        <w:rPr>
          <w:szCs w:val="22"/>
        </w:rPr>
      </w:pPr>
      <w:r w:rsidRPr="00183B5F">
        <w:rPr>
          <w:szCs w:val="22"/>
        </w:rPr>
        <w:t>Ha elfelejtette beadni az injekciót, adja be a következő Humira adagot rögtön, amikor eszébe jutott. A következő adagot az eredeti kezelési terv alapján meghatározott napon alkalmazza, úgy mintha az előző adagot az előírás szerinti időpontban adta volna be.</w:t>
      </w:r>
    </w:p>
    <w:p w14:paraId="5EADB7FA" w14:textId="77777777" w:rsidR="00743EDE" w:rsidRPr="00183B5F" w:rsidRDefault="00743EDE" w:rsidP="004062FE">
      <w:pPr>
        <w:spacing w:line="240" w:lineRule="auto"/>
        <w:ind w:right="-2"/>
        <w:rPr>
          <w:szCs w:val="22"/>
        </w:rPr>
      </w:pPr>
    </w:p>
    <w:p w14:paraId="4977DE8A" w14:textId="77777777" w:rsidR="00743EDE" w:rsidRPr="00183B5F" w:rsidRDefault="00943743" w:rsidP="004062FE">
      <w:pPr>
        <w:spacing w:line="240" w:lineRule="auto"/>
        <w:ind w:right="-2"/>
        <w:rPr>
          <w:b/>
          <w:szCs w:val="24"/>
        </w:rPr>
      </w:pPr>
      <w:r w:rsidRPr="00183B5F">
        <w:rPr>
          <w:b/>
          <w:szCs w:val="24"/>
        </w:rPr>
        <w:t>Ha idő előtt abbahagyja a Humira alkalmazását</w:t>
      </w:r>
    </w:p>
    <w:p w14:paraId="16A1437B" w14:textId="77777777" w:rsidR="00743EDE" w:rsidRPr="00183B5F" w:rsidRDefault="00743EDE" w:rsidP="004062FE">
      <w:pPr>
        <w:spacing w:line="240" w:lineRule="auto"/>
        <w:ind w:right="-2"/>
        <w:rPr>
          <w:szCs w:val="24"/>
        </w:rPr>
      </w:pPr>
    </w:p>
    <w:p w14:paraId="43A67603" w14:textId="77777777" w:rsidR="00743EDE" w:rsidRPr="00183B5F" w:rsidRDefault="00943743" w:rsidP="004062FE">
      <w:pPr>
        <w:spacing w:line="240" w:lineRule="auto"/>
        <w:ind w:right="-2"/>
        <w:rPr>
          <w:szCs w:val="22"/>
        </w:rPr>
      </w:pPr>
      <w:r w:rsidRPr="00183B5F">
        <w:rPr>
          <w:szCs w:val="22"/>
        </w:rPr>
        <w:t>A döntést, hogy abbahagyja a Humira alkalmazását, meg kell beszélni kezelőorvosával. Tünetei visszatérhetnek, ha abbahagyja a kezelést.</w:t>
      </w:r>
    </w:p>
    <w:p w14:paraId="640A30FF" w14:textId="77777777" w:rsidR="00743EDE" w:rsidRPr="00183B5F" w:rsidRDefault="00743EDE" w:rsidP="004062FE">
      <w:pPr>
        <w:spacing w:line="240" w:lineRule="auto"/>
        <w:ind w:right="-2"/>
        <w:rPr>
          <w:szCs w:val="22"/>
        </w:rPr>
      </w:pPr>
    </w:p>
    <w:p w14:paraId="760693A8" w14:textId="77777777" w:rsidR="00743EDE" w:rsidRPr="00183B5F" w:rsidRDefault="00943743" w:rsidP="004062FE">
      <w:pPr>
        <w:spacing w:line="240" w:lineRule="auto"/>
        <w:ind w:right="-2"/>
        <w:rPr>
          <w:szCs w:val="22"/>
        </w:rPr>
      </w:pPr>
      <w:r w:rsidRPr="00183B5F">
        <w:rPr>
          <w:szCs w:val="22"/>
        </w:rPr>
        <w:t>Ha bármilyen további kérdése van a gyógyszer alkalmazásával kapcsolatban, kérdezze meg kezelőorvosát vagy gyógyszerészét.</w:t>
      </w:r>
    </w:p>
    <w:p w14:paraId="755B78E2" w14:textId="77777777" w:rsidR="00743EDE" w:rsidRPr="00183B5F" w:rsidRDefault="00743EDE" w:rsidP="004062FE">
      <w:pPr>
        <w:spacing w:line="240" w:lineRule="auto"/>
        <w:ind w:right="-2"/>
        <w:rPr>
          <w:szCs w:val="22"/>
        </w:rPr>
      </w:pPr>
    </w:p>
    <w:p w14:paraId="513962D2" w14:textId="77777777" w:rsidR="00743EDE" w:rsidRPr="00183B5F" w:rsidRDefault="00743EDE" w:rsidP="004062FE">
      <w:pPr>
        <w:spacing w:line="240" w:lineRule="auto"/>
        <w:ind w:right="-2"/>
        <w:rPr>
          <w:szCs w:val="22"/>
        </w:rPr>
      </w:pPr>
    </w:p>
    <w:p w14:paraId="219101B6" w14:textId="77777777" w:rsidR="00743EDE" w:rsidRPr="00183B5F" w:rsidRDefault="00943743" w:rsidP="004062FE">
      <w:pPr>
        <w:spacing w:line="240" w:lineRule="auto"/>
        <w:ind w:right="-2"/>
        <w:rPr>
          <w:b/>
          <w:szCs w:val="22"/>
        </w:rPr>
      </w:pPr>
      <w:r w:rsidRPr="00183B5F">
        <w:rPr>
          <w:b/>
          <w:szCs w:val="22"/>
        </w:rPr>
        <w:t>4.</w:t>
      </w:r>
      <w:r w:rsidRPr="00183B5F">
        <w:rPr>
          <w:b/>
          <w:szCs w:val="22"/>
        </w:rPr>
        <w:tab/>
        <w:t>Lehetséges mellékhatások</w:t>
      </w:r>
    </w:p>
    <w:p w14:paraId="52FB5A6A" w14:textId="77777777" w:rsidR="00743EDE" w:rsidRPr="00183B5F" w:rsidRDefault="00743EDE" w:rsidP="004062FE">
      <w:pPr>
        <w:spacing w:line="240" w:lineRule="auto"/>
        <w:ind w:right="-29"/>
        <w:rPr>
          <w:szCs w:val="22"/>
        </w:rPr>
      </w:pPr>
    </w:p>
    <w:p w14:paraId="0FC8704C" w14:textId="77777777" w:rsidR="00743EDE" w:rsidRPr="00183B5F" w:rsidRDefault="00943743" w:rsidP="004062FE">
      <w:pPr>
        <w:spacing w:line="240" w:lineRule="auto"/>
        <w:ind w:right="-29"/>
        <w:rPr>
          <w:szCs w:val="22"/>
        </w:rPr>
      </w:pPr>
      <w:r w:rsidRPr="00183B5F">
        <w:rPr>
          <w:szCs w:val="22"/>
        </w:rPr>
        <w:t>Mint minden gyógyszer, így ez a gyógyszer is okozhat mellékhatásokat, amelyek azonban nem mindenkinél jelentkeznek. A legtöbb mellékhatás enyhe vagy közepes fokú. Néhány esetben kezelést igénylő, súlyos mellékhatás is előfordulhat. A mellékhatások az utolsó Humira injekciót követően legalább 4 hónapig még bekövetkezhetnek.</w:t>
      </w:r>
    </w:p>
    <w:p w14:paraId="1788DAA5" w14:textId="77777777" w:rsidR="00743EDE" w:rsidRPr="00183B5F" w:rsidRDefault="00743EDE" w:rsidP="004062FE">
      <w:pPr>
        <w:spacing w:line="240" w:lineRule="auto"/>
        <w:ind w:right="-29"/>
        <w:rPr>
          <w:szCs w:val="22"/>
        </w:rPr>
      </w:pPr>
    </w:p>
    <w:p w14:paraId="7838A6E8" w14:textId="77777777" w:rsidR="00743EDE" w:rsidRPr="00183B5F" w:rsidRDefault="00943743" w:rsidP="004062FE">
      <w:pPr>
        <w:spacing w:line="240" w:lineRule="auto"/>
        <w:ind w:right="-29"/>
        <w:rPr>
          <w:b/>
          <w:szCs w:val="22"/>
        </w:rPr>
      </w:pPr>
      <w:r w:rsidRPr="00183B5F">
        <w:rPr>
          <w:b/>
          <w:szCs w:val="22"/>
        </w:rPr>
        <w:t>Közölje azonnal kezelőorvosával, ha az alábbiak közül bármit észlel</w:t>
      </w:r>
    </w:p>
    <w:p w14:paraId="3068109D" w14:textId="77777777" w:rsidR="00743EDE" w:rsidRPr="00183B5F" w:rsidRDefault="00943743" w:rsidP="004062FE">
      <w:pPr>
        <w:numPr>
          <w:ilvl w:val="0"/>
          <w:numId w:val="52"/>
        </w:numPr>
        <w:spacing w:line="240" w:lineRule="auto"/>
        <w:ind w:right="-29"/>
        <w:rPr>
          <w:szCs w:val="22"/>
        </w:rPr>
      </w:pPr>
      <w:r w:rsidRPr="00183B5F">
        <w:rPr>
          <w:szCs w:val="22"/>
        </w:rPr>
        <w:t xml:space="preserve">súlyos </w:t>
      </w:r>
      <w:r w:rsidR="004C50B5" w:rsidRPr="00183B5F">
        <w:rPr>
          <w:szCs w:val="22"/>
        </w:rPr>
        <w:t>bőr</w:t>
      </w:r>
      <w:r w:rsidRPr="00183B5F">
        <w:rPr>
          <w:szCs w:val="22"/>
        </w:rPr>
        <w:t>kiütés, csalánkiütés vagy más allergiára utaló tünet</w:t>
      </w:r>
    </w:p>
    <w:p w14:paraId="2352141B" w14:textId="77777777" w:rsidR="00743EDE" w:rsidRPr="00183B5F" w:rsidRDefault="00943743" w:rsidP="004062FE">
      <w:pPr>
        <w:numPr>
          <w:ilvl w:val="0"/>
          <w:numId w:val="52"/>
        </w:numPr>
        <w:spacing w:line="240" w:lineRule="auto"/>
        <w:ind w:right="-29"/>
        <w:rPr>
          <w:szCs w:val="22"/>
        </w:rPr>
      </w:pPr>
      <w:r w:rsidRPr="00183B5F">
        <w:rPr>
          <w:szCs w:val="22"/>
        </w:rPr>
        <w:t>duzzanat az arcon, k</w:t>
      </w:r>
      <w:r w:rsidR="00647E1C" w:rsidRPr="00183B5F">
        <w:rPr>
          <w:szCs w:val="22"/>
        </w:rPr>
        <w:t>ézen</w:t>
      </w:r>
      <w:r w:rsidRPr="00183B5F">
        <w:rPr>
          <w:szCs w:val="22"/>
        </w:rPr>
        <w:t xml:space="preserve"> vagy lábon</w:t>
      </w:r>
    </w:p>
    <w:p w14:paraId="1EDA04B6" w14:textId="77777777" w:rsidR="00743EDE" w:rsidRPr="00183B5F" w:rsidRDefault="00943743" w:rsidP="004062FE">
      <w:pPr>
        <w:numPr>
          <w:ilvl w:val="0"/>
          <w:numId w:val="52"/>
        </w:numPr>
        <w:spacing w:line="240" w:lineRule="auto"/>
        <w:ind w:right="-29"/>
        <w:rPr>
          <w:szCs w:val="22"/>
        </w:rPr>
      </w:pPr>
      <w:r w:rsidRPr="00183B5F">
        <w:rPr>
          <w:szCs w:val="22"/>
        </w:rPr>
        <w:t>nehézlégzés vagy nehézség a nyelés során</w:t>
      </w:r>
    </w:p>
    <w:p w14:paraId="2CF376BC" w14:textId="77777777" w:rsidR="00743EDE" w:rsidRPr="00183B5F" w:rsidRDefault="00943743" w:rsidP="004062FE">
      <w:pPr>
        <w:numPr>
          <w:ilvl w:val="0"/>
          <w:numId w:val="52"/>
        </w:numPr>
        <w:spacing w:line="240" w:lineRule="auto"/>
        <w:ind w:right="-29"/>
        <w:rPr>
          <w:szCs w:val="22"/>
        </w:rPr>
      </w:pPr>
      <w:r w:rsidRPr="00183B5F">
        <w:rPr>
          <w:szCs w:val="22"/>
        </w:rPr>
        <w:t>megerőltetéskor vagy lefekvéskor jelentkező nehézlégzés, vagy lábdagadás</w:t>
      </w:r>
    </w:p>
    <w:p w14:paraId="131EE21E" w14:textId="77777777" w:rsidR="00743EDE" w:rsidRPr="00183B5F" w:rsidRDefault="00743EDE" w:rsidP="004062FE">
      <w:pPr>
        <w:spacing w:line="240" w:lineRule="auto"/>
        <w:ind w:left="567" w:right="-29"/>
        <w:rPr>
          <w:szCs w:val="22"/>
        </w:rPr>
      </w:pPr>
    </w:p>
    <w:p w14:paraId="22D547E1" w14:textId="77777777" w:rsidR="00743EDE" w:rsidRPr="00183B5F" w:rsidRDefault="00943743" w:rsidP="004062FE">
      <w:pPr>
        <w:spacing w:line="240" w:lineRule="auto"/>
        <w:ind w:right="-2"/>
        <w:rPr>
          <w:b/>
          <w:szCs w:val="22"/>
        </w:rPr>
      </w:pPr>
      <w:r w:rsidRPr="00183B5F">
        <w:rPr>
          <w:b/>
          <w:szCs w:val="22"/>
        </w:rPr>
        <w:t>Közölje kezelőorvosával amint lehetséges, ha az alábbiak közül bármit észlel</w:t>
      </w:r>
    </w:p>
    <w:p w14:paraId="6B33584E" w14:textId="77777777" w:rsidR="00743EDE" w:rsidRPr="00183B5F" w:rsidRDefault="00943743" w:rsidP="004062FE">
      <w:pPr>
        <w:numPr>
          <w:ilvl w:val="0"/>
          <w:numId w:val="48"/>
        </w:numPr>
        <w:spacing w:line="240" w:lineRule="auto"/>
        <w:ind w:right="-2"/>
        <w:rPr>
          <w:szCs w:val="22"/>
        </w:rPr>
      </w:pPr>
      <w:r w:rsidRPr="00183B5F">
        <w:rPr>
          <w:szCs w:val="22"/>
        </w:rPr>
        <w:t>fertőzésre utaló tünet, mint láz, rossz közérzet, sebek</w:t>
      </w:r>
      <w:r w:rsidRPr="00183B5F">
        <w:rPr>
          <w:i/>
          <w:szCs w:val="22"/>
        </w:rPr>
        <w:t xml:space="preserve">, </w:t>
      </w:r>
      <w:r w:rsidRPr="00183B5F">
        <w:rPr>
          <w:szCs w:val="22"/>
        </w:rPr>
        <w:t>fogászati problémák, vizeléskor jelentkező égő érzés</w:t>
      </w:r>
    </w:p>
    <w:p w14:paraId="2BCF92D0" w14:textId="77777777" w:rsidR="00743EDE" w:rsidRPr="00183B5F" w:rsidRDefault="00943743" w:rsidP="004062FE">
      <w:pPr>
        <w:numPr>
          <w:ilvl w:val="0"/>
          <w:numId w:val="48"/>
        </w:numPr>
        <w:spacing w:line="240" w:lineRule="auto"/>
        <w:ind w:right="-2"/>
        <w:rPr>
          <w:szCs w:val="22"/>
        </w:rPr>
      </w:pPr>
      <w:r w:rsidRPr="00183B5F">
        <w:rPr>
          <w:szCs w:val="22"/>
        </w:rPr>
        <w:t>gyengeség vagy fáradtságérzés</w:t>
      </w:r>
    </w:p>
    <w:p w14:paraId="553FED62" w14:textId="77777777" w:rsidR="00743EDE" w:rsidRPr="00183B5F" w:rsidRDefault="00943743" w:rsidP="004062FE">
      <w:pPr>
        <w:numPr>
          <w:ilvl w:val="0"/>
          <w:numId w:val="48"/>
        </w:numPr>
        <w:spacing w:line="240" w:lineRule="auto"/>
        <w:ind w:right="-2"/>
        <w:rPr>
          <w:szCs w:val="22"/>
        </w:rPr>
      </w:pPr>
      <w:r w:rsidRPr="00183B5F">
        <w:rPr>
          <w:szCs w:val="22"/>
        </w:rPr>
        <w:t>köhögés</w:t>
      </w:r>
    </w:p>
    <w:p w14:paraId="1082AECF" w14:textId="77777777" w:rsidR="00743EDE" w:rsidRPr="00183B5F" w:rsidRDefault="00943743" w:rsidP="004062FE">
      <w:pPr>
        <w:numPr>
          <w:ilvl w:val="0"/>
          <w:numId w:val="48"/>
        </w:numPr>
        <w:spacing w:line="240" w:lineRule="auto"/>
        <w:ind w:right="-2"/>
        <w:rPr>
          <w:szCs w:val="22"/>
        </w:rPr>
      </w:pPr>
      <w:r w:rsidRPr="00183B5F">
        <w:rPr>
          <w:szCs w:val="22"/>
        </w:rPr>
        <w:t>fülzúgás</w:t>
      </w:r>
    </w:p>
    <w:p w14:paraId="0078E563" w14:textId="77777777" w:rsidR="00743EDE" w:rsidRPr="00183B5F" w:rsidRDefault="00943743" w:rsidP="004062FE">
      <w:pPr>
        <w:numPr>
          <w:ilvl w:val="0"/>
          <w:numId w:val="48"/>
        </w:numPr>
        <w:spacing w:line="240" w:lineRule="auto"/>
        <w:ind w:right="-2"/>
        <w:rPr>
          <w:szCs w:val="22"/>
        </w:rPr>
      </w:pPr>
      <w:r w:rsidRPr="00183B5F">
        <w:rPr>
          <w:szCs w:val="22"/>
        </w:rPr>
        <w:t>zsibbadás</w:t>
      </w:r>
    </w:p>
    <w:p w14:paraId="3904C48F" w14:textId="77777777" w:rsidR="00743EDE" w:rsidRPr="00183B5F" w:rsidRDefault="00943743" w:rsidP="004062FE">
      <w:pPr>
        <w:numPr>
          <w:ilvl w:val="0"/>
          <w:numId w:val="48"/>
        </w:numPr>
        <w:spacing w:line="240" w:lineRule="auto"/>
        <w:ind w:right="-2"/>
        <w:rPr>
          <w:szCs w:val="22"/>
        </w:rPr>
      </w:pPr>
      <w:r w:rsidRPr="00183B5F">
        <w:rPr>
          <w:szCs w:val="22"/>
        </w:rPr>
        <w:t>kettőslátás</w:t>
      </w:r>
    </w:p>
    <w:p w14:paraId="06F56145" w14:textId="77777777" w:rsidR="00743EDE" w:rsidRPr="00183B5F" w:rsidRDefault="00943743" w:rsidP="004062FE">
      <w:pPr>
        <w:numPr>
          <w:ilvl w:val="0"/>
          <w:numId w:val="48"/>
        </w:numPr>
        <w:spacing w:line="240" w:lineRule="auto"/>
        <w:ind w:right="-2"/>
        <w:rPr>
          <w:szCs w:val="22"/>
        </w:rPr>
      </w:pPr>
      <w:r w:rsidRPr="00183B5F">
        <w:rPr>
          <w:szCs w:val="22"/>
        </w:rPr>
        <w:t>kar</w:t>
      </w:r>
      <w:r w:rsidR="0029438F" w:rsidRPr="00183B5F">
        <w:rPr>
          <w:szCs w:val="22"/>
        </w:rPr>
        <w:t>-</w:t>
      </w:r>
      <w:r w:rsidRPr="00183B5F">
        <w:rPr>
          <w:szCs w:val="22"/>
        </w:rPr>
        <w:t xml:space="preserve"> vagy lábgyengeség</w:t>
      </w:r>
    </w:p>
    <w:p w14:paraId="0EA13F4E" w14:textId="77777777" w:rsidR="00743EDE" w:rsidRPr="00183B5F" w:rsidRDefault="00943743" w:rsidP="004062FE">
      <w:pPr>
        <w:numPr>
          <w:ilvl w:val="0"/>
          <w:numId w:val="48"/>
        </w:numPr>
        <w:spacing w:line="240" w:lineRule="auto"/>
        <w:ind w:right="-2"/>
        <w:rPr>
          <w:szCs w:val="22"/>
        </w:rPr>
      </w:pPr>
      <w:r w:rsidRPr="00183B5F">
        <w:rPr>
          <w:szCs w:val="22"/>
        </w:rPr>
        <w:t>duzzanat vagy nyílt fekély, amelyik nem gyógyul</w:t>
      </w:r>
    </w:p>
    <w:p w14:paraId="5B063F64" w14:textId="77777777" w:rsidR="00743EDE" w:rsidRPr="00183B5F" w:rsidRDefault="00943743" w:rsidP="004062FE">
      <w:pPr>
        <w:numPr>
          <w:ilvl w:val="0"/>
          <w:numId w:val="48"/>
        </w:numPr>
        <w:spacing w:line="240" w:lineRule="auto"/>
        <w:ind w:right="-29"/>
        <w:rPr>
          <w:szCs w:val="22"/>
        </w:rPr>
      </w:pPr>
      <w:r w:rsidRPr="00183B5F">
        <w:rPr>
          <w:szCs w:val="22"/>
        </w:rPr>
        <w:t>vérképzőszervi betegségre jellemző jelek és tünetek, mint állandó láz, véraláfutás, vérzés, sápadtság</w:t>
      </w:r>
    </w:p>
    <w:p w14:paraId="19BAD80A" w14:textId="77777777" w:rsidR="00743EDE" w:rsidRPr="00183B5F" w:rsidRDefault="00743EDE" w:rsidP="004062FE">
      <w:pPr>
        <w:spacing w:line="240" w:lineRule="auto"/>
        <w:ind w:right="-2"/>
        <w:rPr>
          <w:szCs w:val="22"/>
        </w:rPr>
      </w:pPr>
    </w:p>
    <w:p w14:paraId="2FFEC303" w14:textId="77777777" w:rsidR="00743EDE" w:rsidRPr="00183B5F" w:rsidRDefault="00943743" w:rsidP="004062FE">
      <w:pPr>
        <w:spacing w:line="240" w:lineRule="auto"/>
        <w:ind w:right="-2"/>
        <w:rPr>
          <w:szCs w:val="22"/>
        </w:rPr>
      </w:pPr>
      <w:r w:rsidRPr="00183B5F">
        <w:rPr>
          <w:szCs w:val="22"/>
        </w:rPr>
        <w:t>A fent leírt tünetek az alábbiakban felsorolt mellékhatások jelei is lehetnek, melyeket a Humira alkalmazása során észleltek:</w:t>
      </w:r>
    </w:p>
    <w:p w14:paraId="5B8C1996" w14:textId="77777777" w:rsidR="00743EDE" w:rsidRPr="00183B5F" w:rsidRDefault="00743EDE" w:rsidP="004062FE">
      <w:pPr>
        <w:spacing w:line="240" w:lineRule="auto"/>
        <w:ind w:right="-2"/>
        <w:rPr>
          <w:szCs w:val="22"/>
        </w:rPr>
      </w:pPr>
    </w:p>
    <w:p w14:paraId="28BE84FB" w14:textId="77777777" w:rsidR="00743EDE" w:rsidRPr="00183B5F" w:rsidRDefault="00943743" w:rsidP="004062FE">
      <w:pPr>
        <w:spacing w:line="240" w:lineRule="auto"/>
        <w:ind w:right="-2"/>
        <w:rPr>
          <w:szCs w:val="22"/>
        </w:rPr>
      </w:pPr>
      <w:r w:rsidRPr="00183B5F">
        <w:rPr>
          <w:b/>
          <w:szCs w:val="22"/>
        </w:rPr>
        <w:t>Nagyon gyakori</w:t>
      </w:r>
      <w:r w:rsidRPr="00183B5F">
        <w:rPr>
          <w:szCs w:val="22"/>
        </w:rPr>
        <w:t xml:space="preserve"> (10 beteg közül több mint 1</w:t>
      </w:r>
      <w:r w:rsidRPr="00183B5F">
        <w:rPr>
          <w:szCs w:val="22"/>
        </w:rPr>
        <w:noBreakHyphen/>
        <w:t>nél kialakuló)</w:t>
      </w:r>
    </w:p>
    <w:p w14:paraId="300063D5" w14:textId="77777777" w:rsidR="00743EDE" w:rsidRPr="00183B5F" w:rsidRDefault="00743EDE" w:rsidP="004062FE">
      <w:pPr>
        <w:spacing w:line="240" w:lineRule="auto"/>
        <w:ind w:right="-2"/>
        <w:rPr>
          <w:szCs w:val="22"/>
        </w:rPr>
      </w:pPr>
    </w:p>
    <w:p w14:paraId="1A02A345" w14:textId="77777777" w:rsidR="00743EDE" w:rsidRPr="00183B5F" w:rsidRDefault="00943743" w:rsidP="004062FE">
      <w:pPr>
        <w:numPr>
          <w:ilvl w:val="0"/>
          <w:numId w:val="53"/>
        </w:numPr>
        <w:spacing w:line="240" w:lineRule="auto"/>
        <w:ind w:right="-2"/>
        <w:rPr>
          <w:szCs w:val="22"/>
        </w:rPr>
      </w:pPr>
      <w:r w:rsidRPr="00183B5F">
        <w:rPr>
          <w:szCs w:val="22"/>
        </w:rPr>
        <w:t>helyi reakció az injekció beadásának helyén, (beleértve fájdalom, duzzadás, vörösség vagy viszketés)</w:t>
      </w:r>
    </w:p>
    <w:p w14:paraId="723E4D14" w14:textId="77777777" w:rsidR="00743EDE" w:rsidRPr="00183B5F" w:rsidRDefault="00943743">
      <w:pPr>
        <w:numPr>
          <w:ilvl w:val="0"/>
          <w:numId w:val="53"/>
        </w:numPr>
        <w:suppressAutoHyphens w:val="0"/>
        <w:spacing w:line="240" w:lineRule="auto"/>
        <w:rPr>
          <w:szCs w:val="22"/>
        </w:rPr>
      </w:pPr>
      <w:r w:rsidRPr="00183B5F">
        <w:rPr>
          <w:szCs w:val="22"/>
        </w:rPr>
        <w:t>légúti fertőzések (beleértve a megfázást, orrfolyást, melléküreg-gyulladást, tüdőgyulladást is)</w:t>
      </w:r>
    </w:p>
    <w:p w14:paraId="5B1FEF40" w14:textId="77777777" w:rsidR="00743EDE" w:rsidRPr="00183B5F" w:rsidRDefault="00943743">
      <w:pPr>
        <w:numPr>
          <w:ilvl w:val="0"/>
          <w:numId w:val="53"/>
        </w:numPr>
        <w:suppressAutoHyphens w:val="0"/>
        <w:spacing w:line="240" w:lineRule="auto"/>
        <w:rPr>
          <w:szCs w:val="22"/>
        </w:rPr>
      </w:pPr>
      <w:r w:rsidRPr="00183B5F">
        <w:rPr>
          <w:szCs w:val="22"/>
        </w:rPr>
        <w:t>fejfájás</w:t>
      </w:r>
    </w:p>
    <w:p w14:paraId="732A552B" w14:textId="77777777" w:rsidR="00743EDE" w:rsidRPr="00183B5F" w:rsidRDefault="00943743">
      <w:pPr>
        <w:numPr>
          <w:ilvl w:val="0"/>
          <w:numId w:val="53"/>
        </w:numPr>
        <w:suppressAutoHyphens w:val="0"/>
        <w:spacing w:line="240" w:lineRule="auto"/>
        <w:rPr>
          <w:szCs w:val="22"/>
        </w:rPr>
      </w:pPr>
      <w:r w:rsidRPr="00183B5F">
        <w:rPr>
          <w:szCs w:val="22"/>
        </w:rPr>
        <w:t>hasi fájdalom</w:t>
      </w:r>
    </w:p>
    <w:p w14:paraId="3A125A8B" w14:textId="77777777" w:rsidR="00743EDE" w:rsidRPr="00183B5F" w:rsidRDefault="00943743">
      <w:pPr>
        <w:numPr>
          <w:ilvl w:val="0"/>
          <w:numId w:val="53"/>
        </w:numPr>
        <w:suppressAutoHyphens w:val="0"/>
        <w:spacing w:line="240" w:lineRule="auto"/>
        <w:rPr>
          <w:szCs w:val="22"/>
        </w:rPr>
      </w:pPr>
      <w:r w:rsidRPr="00183B5F">
        <w:rPr>
          <w:szCs w:val="22"/>
        </w:rPr>
        <w:t>hányinger és hányás</w:t>
      </w:r>
    </w:p>
    <w:p w14:paraId="6D284D27" w14:textId="77777777" w:rsidR="00743EDE" w:rsidRPr="00183B5F" w:rsidRDefault="00943743">
      <w:pPr>
        <w:numPr>
          <w:ilvl w:val="0"/>
          <w:numId w:val="53"/>
        </w:numPr>
        <w:suppressAutoHyphens w:val="0"/>
        <w:spacing w:line="240" w:lineRule="auto"/>
        <w:rPr>
          <w:szCs w:val="22"/>
        </w:rPr>
      </w:pPr>
      <w:r w:rsidRPr="00183B5F">
        <w:rPr>
          <w:szCs w:val="22"/>
        </w:rPr>
        <w:t>bőrkiütés</w:t>
      </w:r>
    </w:p>
    <w:p w14:paraId="3E24B606" w14:textId="77777777" w:rsidR="00743EDE" w:rsidRPr="00183B5F" w:rsidRDefault="00943743">
      <w:pPr>
        <w:numPr>
          <w:ilvl w:val="0"/>
          <w:numId w:val="53"/>
        </w:numPr>
        <w:suppressAutoHyphens w:val="0"/>
        <w:spacing w:line="240" w:lineRule="auto"/>
        <w:rPr>
          <w:szCs w:val="22"/>
        </w:rPr>
      </w:pPr>
      <w:r w:rsidRPr="00183B5F">
        <w:rPr>
          <w:szCs w:val="22"/>
        </w:rPr>
        <w:t>mozgásszervi eredetű fájdalom</w:t>
      </w:r>
    </w:p>
    <w:p w14:paraId="2167CA8A" w14:textId="77777777" w:rsidR="00743EDE" w:rsidRPr="00183B5F" w:rsidRDefault="00743EDE" w:rsidP="004062FE">
      <w:pPr>
        <w:spacing w:line="240" w:lineRule="auto"/>
        <w:ind w:right="-2"/>
        <w:rPr>
          <w:szCs w:val="22"/>
        </w:rPr>
      </w:pPr>
    </w:p>
    <w:p w14:paraId="25D1D91D" w14:textId="77777777" w:rsidR="00743EDE" w:rsidRPr="00183B5F" w:rsidRDefault="00943743" w:rsidP="002D49EE">
      <w:pPr>
        <w:keepNext/>
        <w:spacing w:line="240" w:lineRule="auto"/>
        <w:ind w:right="-2"/>
        <w:rPr>
          <w:szCs w:val="22"/>
        </w:rPr>
      </w:pPr>
      <w:r w:rsidRPr="00183B5F">
        <w:rPr>
          <w:b/>
          <w:szCs w:val="22"/>
        </w:rPr>
        <w:t>Gyakori</w:t>
      </w:r>
      <w:r w:rsidRPr="00183B5F">
        <w:rPr>
          <w:szCs w:val="22"/>
        </w:rPr>
        <w:t xml:space="preserve"> (10 beteg közül legfeljebb 1</w:t>
      </w:r>
      <w:r w:rsidRPr="00183B5F">
        <w:rPr>
          <w:szCs w:val="22"/>
        </w:rPr>
        <w:noBreakHyphen/>
        <w:t>nél kialakuló)</w:t>
      </w:r>
    </w:p>
    <w:p w14:paraId="7E830439" w14:textId="77777777" w:rsidR="00743EDE" w:rsidRPr="00183B5F" w:rsidRDefault="00743EDE" w:rsidP="004062FE">
      <w:pPr>
        <w:spacing w:line="240" w:lineRule="auto"/>
        <w:ind w:right="-2"/>
        <w:rPr>
          <w:szCs w:val="22"/>
        </w:rPr>
      </w:pPr>
    </w:p>
    <w:p w14:paraId="034604FC" w14:textId="77777777" w:rsidR="00743EDE" w:rsidRPr="00183B5F" w:rsidRDefault="00943743" w:rsidP="004062FE">
      <w:pPr>
        <w:numPr>
          <w:ilvl w:val="0"/>
          <w:numId w:val="54"/>
        </w:numPr>
        <w:tabs>
          <w:tab w:val="clear" w:pos="567"/>
          <w:tab w:val="left" w:pos="562"/>
        </w:tabs>
        <w:spacing w:line="240" w:lineRule="auto"/>
        <w:ind w:right="-2"/>
        <w:rPr>
          <w:szCs w:val="22"/>
        </w:rPr>
      </w:pPr>
      <w:r w:rsidRPr="00183B5F">
        <w:rPr>
          <w:szCs w:val="22"/>
        </w:rPr>
        <w:t>súlyos fertőzések (beleértve a vérmérgezést és az influenzát is)</w:t>
      </w:r>
    </w:p>
    <w:p w14:paraId="3039D7D8" w14:textId="77777777" w:rsidR="00743EDE" w:rsidRPr="00183B5F" w:rsidRDefault="00943743" w:rsidP="004062FE">
      <w:pPr>
        <w:numPr>
          <w:ilvl w:val="0"/>
          <w:numId w:val="54"/>
        </w:numPr>
        <w:tabs>
          <w:tab w:val="clear" w:pos="567"/>
          <w:tab w:val="left" w:pos="562"/>
        </w:tabs>
        <w:spacing w:line="240" w:lineRule="auto"/>
        <w:ind w:right="-2"/>
        <w:rPr>
          <w:szCs w:val="22"/>
        </w:rPr>
      </w:pPr>
      <w:r w:rsidRPr="00183B5F">
        <w:rPr>
          <w:szCs w:val="22"/>
        </w:rPr>
        <w:t>bőrfertőzések (beleértve a kötőszövet</w:t>
      </w:r>
      <w:r w:rsidR="00CE5CC7" w:rsidRPr="00183B5F">
        <w:rPr>
          <w:szCs w:val="22"/>
        </w:rPr>
        <w:t>-</w:t>
      </w:r>
      <w:r w:rsidRPr="00183B5F">
        <w:rPr>
          <w:szCs w:val="22"/>
        </w:rPr>
        <w:t>gyulladást és az övsömört is)</w:t>
      </w:r>
    </w:p>
    <w:p w14:paraId="361A37F6" w14:textId="77777777" w:rsidR="00743EDE" w:rsidRPr="00183B5F" w:rsidRDefault="00943743" w:rsidP="004062FE">
      <w:pPr>
        <w:numPr>
          <w:ilvl w:val="0"/>
          <w:numId w:val="54"/>
        </w:numPr>
        <w:tabs>
          <w:tab w:val="clear" w:pos="567"/>
          <w:tab w:val="left" w:pos="562"/>
        </w:tabs>
        <w:spacing w:line="240" w:lineRule="auto"/>
        <w:ind w:right="-2"/>
        <w:rPr>
          <w:szCs w:val="22"/>
        </w:rPr>
      </w:pPr>
      <w:r w:rsidRPr="00183B5F">
        <w:rPr>
          <w:szCs w:val="22"/>
        </w:rPr>
        <w:t>fülfertőzések</w:t>
      </w:r>
    </w:p>
    <w:p w14:paraId="26E1B594" w14:textId="77777777" w:rsidR="00743EDE" w:rsidRPr="00183B5F" w:rsidRDefault="00943743" w:rsidP="004062FE">
      <w:pPr>
        <w:numPr>
          <w:ilvl w:val="0"/>
          <w:numId w:val="54"/>
        </w:numPr>
        <w:tabs>
          <w:tab w:val="clear" w:pos="567"/>
          <w:tab w:val="left" w:pos="562"/>
        </w:tabs>
        <w:spacing w:line="240" w:lineRule="auto"/>
        <w:ind w:right="-2"/>
        <w:rPr>
          <w:szCs w:val="22"/>
        </w:rPr>
      </w:pPr>
      <w:r w:rsidRPr="00183B5F">
        <w:rPr>
          <w:szCs w:val="22"/>
        </w:rPr>
        <w:t>szájüregi fertőzések (beleértve a fogfertőzéseket és az ajakherpeszt is)</w:t>
      </w:r>
    </w:p>
    <w:p w14:paraId="3BFFC71B" w14:textId="77777777" w:rsidR="00743EDE" w:rsidRPr="00183B5F" w:rsidRDefault="00943743" w:rsidP="004062FE">
      <w:pPr>
        <w:numPr>
          <w:ilvl w:val="0"/>
          <w:numId w:val="54"/>
        </w:numPr>
        <w:tabs>
          <w:tab w:val="clear" w:pos="567"/>
          <w:tab w:val="left" w:pos="562"/>
        </w:tabs>
        <w:spacing w:line="240" w:lineRule="auto"/>
        <w:ind w:right="-2"/>
        <w:rPr>
          <w:szCs w:val="22"/>
        </w:rPr>
      </w:pPr>
      <w:r w:rsidRPr="00183B5F">
        <w:rPr>
          <w:szCs w:val="22"/>
        </w:rPr>
        <w:t>a nemi</w:t>
      </w:r>
      <w:r w:rsidR="00CE5CC7" w:rsidRPr="00183B5F">
        <w:rPr>
          <w:szCs w:val="22"/>
        </w:rPr>
        <w:t xml:space="preserve"> </w:t>
      </w:r>
      <w:r w:rsidRPr="00183B5F">
        <w:rPr>
          <w:szCs w:val="22"/>
        </w:rPr>
        <w:t>szervek fertőzései</w:t>
      </w:r>
    </w:p>
    <w:p w14:paraId="5E863691" w14:textId="77777777" w:rsidR="00743EDE" w:rsidRPr="00183B5F" w:rsidRDefault="00943743" w:rsidP="004062FE">
      <w:pPr>
        <w:numPr>
          <w:ilvl w:val="0"/>
          <w:numId w:val="54"/>
        </w:numPr>
        <w:spacing w:line="240" w:lineRule="auto"/>
        <w:ind w:right="-2"/>
        <w:rPr>
          <w:szCs w:val="22"/>
        </w:rPr>
      </w:pPr>
      <w:r w:rsidRPr="00183B5F">
        <w:rPr>
          <w:szCs w:val="22"/>
        </w:rPr>
        <w:t>húgyúti fertőzések</w:t>
      </w:r>
    </w:p>
    <w:p w14:paraId="5DE837C2" w14:textId="77777777" w:rsidR="00743EDE" w:rsidRPr="00183B5F" w:rsidRDefault="00943743" w:rsidP="004062FE">
      <w:pPr>
        <w:numPr>
          <w:ilvl w:val="0"/>
          <w:numId w:val="54"/>
        </w:numPr>
        <w:spacing w:line="240" w:lineRule="auto"/>
        <w:ind w:right="-2"/>
        <w:rPr>
          <w:szCs w:val="22"/>
        </w:rPr>
      </w:pPr>
      <w:r w:rsidRPr="00183B5F">
        <w:rPr>
          <w:szCs w:val="22"/>
        </w:rPr>
        <w:t>gombás fertőzések</w:t>
      </w:r>
    </w:p>
    <w:p w14:paraId="30AFFA93" w14:textId="77777777" w:rsidR="00743EDE" w:rsidRPr="00183B5F" w:rsidRDefault="00943743" w:rsidP="004062FE">
      <w:pPr>
        <w:numPr>
          <w:ilvl w:val="0"/>
          <w:numId w:val="54"/>
        </w:numPr>
        <w:spacing w:line="240" w:lineRule="auto"/>
        <w:ind w:right="-2"/>
        <w:rPr>
          <w:szCs w:val="22"/>
        </w:rPr>
      </w:pPr>
      <w:r w:rsidRPr="00183B5F">
        <w:rPr>
          <w:szCs w:val="22"/>
        </w:rPr>
        <w:t>ízületi fertőzések</w:t>
      </w:r>
    </w:p>
    <w:p w14:paraId="6A2C9EDC" w14:textId="77777777" w:rsidR="00743EDE" w:rsidRPr="00183B5F" w:rsidRDefault="00943743" w:rsidP="004062FE">
      <w:pPr>
        <w:numPr>
          <w:ilvl w:val="0"/>
          <w:numId w:val="54"/>
        </w:numPr>
        <w:tabs>
          <w:tab w:val="clear" w:pos="567"/>
          <w:tab w:val="left" w:pos="562"/>
        </w:tabs>
        <w:spacing w:line="240" w:lineRule="auto"/>
        <w:ind w:right="-2"/>
        <w:rPr>
          <w:szCs w:val="22"/>
        </w:rPr>
      </w:pPr>
      <w:r w:rsidRPr="00183B5F">
        <w:rPr>
          <w:szCs w:val="22"/>
        </w:rPr>
        <w:t>jóindulatú daganatok</w:t>
      </w:r>
    </w:p>
    <w:p w14:paraId="4CD7465F" w14:textId="77777777" w:rsidR="00743EDE" w:rsidRPr="00183B5F" w:rsidRDefault="00943743" w:rsidP="004062FE">
      <w:pPr>
        <w:numPr>
          <w:ilvl w:val="0"/>
          <w:numId w:val="54"/>
        </w:numPr>
        <w:tabs>
          <w:tab w:val="clear" w:pos="567"/>
          <w:tab w:val="left" w:pos="562"/>
        </w:tabs>
        <w:spacing w:line="240" w:lineRule="auto"/>
        <w:ind w:right="-2"/>
        <w:rPr>
          <w:szCs w:val="22"/>
        </w:rPr>
      </w:pPr>
      <w:r w:rsidRPr="00183B5F">
        <w:rPr>
          <w:szCs w:val="22"/>
        </w:rPr>
        <w:t>bőrrák</w:t>
      </w:r>
    </w:p>
    <w:p w14:paraId="79B38C4A" w14:textId="77777777" w:rsidR="00743EDE" w:rsidRPr="00183B5F" w:rsidRDefault="00943743" w:rsidP="004062FE">
      <w:pPr>
        <w:numPr>
          <w:ilvl w:val="0"/>
          <w:numId w:val="54"/>
        </w:numPr>
        <w:tabs>
          <w:tab w:val="clear" w:pos="567"/>
          <w:tab w:val="left" w:pos="562"/>
        </w:tabs>
        <w:spacing w:line="240" w:lineRule="auto"/>
        <w:ind w:right="-2"/>
        <w:rPr>
          <w:szCs w:val="22"/>
        </w:rPr>
      </w:pPr>
      <w:r w:rsidRPr="00183B5F">
        <w:rPr>
          <w:szCs w:val="22"/>
        </w:rPr>
        <w:t>allergiás reakciók (beleértve a szezonális allergiát is)</w:t>
      </w:r>
    </w:p>
    <w:p w14:paraId="7819F4A8" w14:textId="77777777" w:rsidR="00743EDE" w:rsidRPr="00183B5F" w:rsidRDefault="00943743" w:rsidP="004062FE">
      <w:pPr>
        <w:numPr>
          <w:ilvl w:val="0"/>
          <w:numId w:val="54"/>
        </w:numPr>
        <w:tabs>
          <w:tab w:val="clear" w:pos="567"/>
          <w:tab w:val="left" w:pos="562"/>
        </w:tabs>
        <w:spacing w:line="240" w:lineRule="auto"/>
        <w:ind w:right="-2"/>
        <w:rPr>
          <w:szCs w:val="22"/>
        </w:rPr>
      </w:pPr>
      <w:r w:rsidRPr="00183B5F">
        <w:rPr>
          <w:szCs w:val="22"/>
        </w:rPr>
        <w:t>kiszáradás</w:t>
      </w:r>
    </w:p>
    <w:p w14:paraId="16CBC1F3" w14:textId="77777777" w:rsidR="00743EDE" w:rsidRPr="00183B5F" w:rsidRDefault="00943743" w:rsidP="004062FE">
      <w:pPr>
        <w:numPr>
          <w:ilvl w:val="0"/>
          <w:numId w:val="54"/>
        </w:numPr>
        <w:tabs>
          <w:tab w:val="clear" w:pos="567"/>
          <w:tab w:val="left" w:pos="562"/>
        </w:tabs>
        <w:spacing w:line="240" w:lineRule="auto"/>
        <w:ind w:right="-2"/>
        <w:rPr>
          <w:szCs w:val="22"/>
        </w:rPr>
      </w:pPr>
      <w:r w:rsidRPr="00183B5F">
        <w:rPr>
          <w:szCs w:val="22"/>
        </w:rPr>
        <w:t>hangulatváltozás (beleértve a depressziót is)</w:t>
      </w:r>
    </w:p>
    <w:p w14:paraId="21DC56EE" w14:textId="77777777" w:rsidR="00743EDE" w:rsidRPr="00183B5F" w:rsidRDefault="00943743" w:rsidP="004062FE">
      <w:pPr>
        <w:numPr>
          <w:ilvl w:val="0"/>
          <w:numId w:val="54"/>
        </w:numPr>
        <w:tabs>
          <w:tab w:val="clear" w:pos="567"/>
          <w:tab w:val="left" w:pos="562"/>
        </w:tabs>
        <w:spacing w:line="240" w:lineRule="auto"/>
        <w:ind w:right="-2"/>
        <w:rPr>
          <w:szCs w:val="22"/>
        </w:rPr>
      </w:pPr>
      <w:r w:rsidRPr="00183B5F">
        <w:rPr>
          <w:szCs w:val="22"/>
        </w:rPr>
        <w:t>szorongás</w:t>
      </w:r>
    </w:p>
    <w:p w14:paraId="1CFF9F29" w14:textId="77777777" w:rsidR="00743EDE" w:rsidRPr="00183B5F" w:rsidRDefault="00943743" w:rsidP="004062FE">
      <w:pPr>
        <w:numPr>
          <w:ilvl w:val="0"/>
          <w:numId w:val="54"/>
        </w:numPr>
        <w:tabs>
          <w:tab w:val="clear" w:pos="567"/>
          <w:tab w:val="left" w:pos="562"/>
        </w:tabs>
        <w:spacing w:line="240" w:lineRule="auto"/>
        <w:ind w:right="-2"/>
        <w:rPr>
          <w:szCs w:val="22"/>
        </w:rPr>
      </w:pPr>
      <w:r w:rsidRPr="00183B5F">
        <w:rPr>
          <w:szCs w:val="22"/>
        </w:rPr>
        <w:t>álmatlanság</w:t>
      </w:r>
    </w:p>
    <w:p w14:paraId="1589B24D" w14:textId="77777777" w:rsidR="00743EDE" w:rsidRPr="00183B5F" w:rsidRDefault="00943743" w:rsidP="004062FE">
      <w:pPr>
        <w:numPr>
          <w:ilvl w:val="0"/>
          <w:numId w:val="54"/>
        </w:numPr>
        <w:tabs>
          <w:tab w:val="clear" w:pos="567"/>
          <w:tab w:val="left" w:pos="562"/>
        </w:tabs>
        <w:spacing w:line="240" w:lineRule="auto"/>
        <w:ind w:right="-2"/>
        <w:rPr>
          <w:szCs w:val="22"/>
        </w:rPr>
      </w:pPr>
      <w:r w:rsidRPr="00183B5F">
        <w:rPr>
          <w:szCs w:val="22"/>
        </w:rPr>
        <w:t>érzészavarok, például bizsergés, szurkáló érzés vagy zsibbadás</w:t>
      </w:r>
    </w:p>
    <w:p w14:paraId="5E89F59C" w14:textId="77777777" w:rsidR="00743EDE" w:rsidRPr="00183B5F" w:rsidRDefault="00943743" w:rsidP="004062FE">
      <w:pPr>
        <w:numPr>
          <w:ilvl w:val="0"/>
          <w:numId w:val="54"/>
        </w:numPr>
        <w:tabs>
          <w:tab w:val="clear" w:pos="567"/>
          <w:tab w:val="left" w:pos="562"/>
        </w:tabs>
        <w:spacing w:line="240" w:lineRule="auto"/>
        <w:ind w:right="-2"/>
        <w:rPr>
          <w:szCs w:val="22"/>
        </w:rPr>
      </w:pPr>
      <w:r w:rsidRPr="00183B5F">
        <w:rPr>
          <w:szCs w:val="22"/>
        </w:rPr>
        <w:t>migrén</w:t>
      </w:r>
    </w:p>
    <w:p w14:paraId="6DA04001" w14:textId="77777777" w:rsidR="00743EDE" w:rsidRPr="00183B5F" w:rsidRDefault="00943743" w:rsidP="004062FE">
      <w:pPr>
        <w:numPr>
          <w:ilvl w:val="0"/>
          <w:numId w:val="54"/>
        </w:numPr>
        <w:tabs>
          <w:tab w:val="clear" w:pos="567"/>
          <w:tab w:val="left" w:pos="562"/>
        </w:tabs>
        <w:spacing w:line="240" w:lineRule="auto"/>
        <w:ind w:right="-2"/>
        <w:rPr>
          <w:szCs w:val="22"/>
        </w:rPr>
      </w:pPr>
      <w:r w:rsidRPr="00183B5F">
        <w:rPr>
          <w:szCs w:val="22"/>
        </w:rPr>
        <w:t>ideggyök nyomási tünetei (beleértve a derékfájdalmat és a lábfájást is)</w:t>
      </w:r>
    </w:p>
    <w:p w14:paraId="37C45A81" w14:textId="77777777" w:rsidR="00743EDE" w:rsidRPr="00183B5F" w:rsidRDefault="00943743" w:rsidP="004062FE">
      <w:pPr>
        <w:numPr>
          <w:ilvl w:val="0"/>
          <w:numId w:val="54"/>
        </w:numPr>
        <w:tabs>
          <w:tab w:val="clear" w:pos="567"/>
          <w:tab w:val="left" w:pos="562"/>
        </w:tabs>
        <w:spacing w:line="240" w:lineRule="auto"/>
        <w:ind w:right="-2"/>
        <w:rPr>
          <w:szCs w:val="22"/>
        </w:rPr>
      </w:pPr>
      <w:r w:rsidRPr="00183B5F">
        <w:rPr>
          <w:szCs w:val="22"/>
        </w:rPr>
        <w:t>látászavar</w:t>
      </w:r>
    </w:p>
    <w:p w14:paraId="02D0CF53" w14:textId="77777777" w:rsidR="00743EDE" w:rsidRPr="00183B5F" w:rsidRDefault="00943743" w:rsidP="004062FE">
      <w:pPr>
        <w:numPr>
          <w:ilvl w:val="0"/>
          <w:numId w:val="54"/>
        </w:numPr>
        <w:tabs>
          <w:tab w:val="clear" w:pos="567"/>
          <w:tab w:val="left" w:pos="562"/>
        </w:tabs>
        <w:spacing w:line="240" w:lineRule="auto"/>
        <w:ind w:right="-2"/>
        <w:rPr>
          <w:szCs w:val="22"/>
        </w:rPr>
      </w:pPr>
      <w:r w:rsidRPr="00183B5F">
        <w:rPr>
          <w:szCs w:val="22"/>
        </w:rPr>
        <w:t>szemgyulladás</w:t>
      </w:r>
    </w:p>
    <w:p w14:paraId="1FAE4912" w14:textId="77777777" w:rsidR="00743EDE" w:rsidRPr="00183B5F" w:rsidRDefault="00943743" w:rsidP="004062FE">
      <w:pPr>
        <w:numPr>
          <w:ilvl w:val="0"/>
          <w:numId w:val="54"/>
        </w:numPr>
        <w:tabs>
          <w:tab w:val="clear" w:pos="567"/>
          <w:tab w:val="left" w:pos="562"/>
        </w:tabs>
        <w:spacing w:line="240" w:lineRule="auto"/>
        <w:ind w:right="-2"/>
        <w:rPr>
          <w:szCs w:val="22"/>
        </w:rPr>
      </w:pPr>
      <w:r w:rsidRPr="00183B5F">
        <w:rPr>
          <w:szCs w:val="22"/>
        </w:rPr>
        <w:t>a szemhéj gyulladása és a szem duzzanata</w:t>
      </w:r>
    </w:p>
    <w:p w14:paraId="7C35E791" w14:textId="77777777" w:rsidR="00743EDE" w:rsidRPr="00183B5F" w:rsidRDefault="00943743" w:rsidP="004062FE">
      <w:pPr>
        <w:numPr>
          <w:ilvl w:val="0"/>
          <w:numId w:val="54"/>
        </w:numPr>
        <w:spacing w:line="240" w:lineRule="auto"/>
        <w:ind w:right="-2"/>
        <w:rPr>
          <w:szCs w:val="22"/>
        </w:rPr>
      </w:pPr>
      <w:r w:rsidRPr="00183B5F">
        <w:rPr>
          <w:szCs w:val="22"/>
        </w:rPr>
        <w:t>forgó jellegű szédülés</w:t>
      </w:r>
    </w:p>
    <w:p w14:paraId="3B01A714" w14:textId="77777777" w:rsidR="00743EDE" w:rsidRPr="00183B5F" w:rsidRDefault="00943743" w:rsidP="004062FE">
      <w:pPr>
        <w:numPr>
          <w:ilvl w:val="0"/>
          <w:numId w:val="54"/>
        </w:numPr>
        <w:tabs>
          <w:tab w:val="clear" w:pos="567"/>
          <w:tab w:val="left" w:pos="562"/>
        </w:tabs>
        <w:spacing w:line="240" w:lineRule="auto"/>
        <w:ind w:right="-2"/>
        <w:rPr>
          <w:szCs w:val="22"/>
        </w:rPr>
      </w:pPr>
      <w:r w:rsidRPr="00183B5F">
        <w:rPr>
          <w:szCs w:val="22"/>
        </w:rPr>
        <w:t>gyors szívverés érzés</w:t>
      </w:r>
    </w:p>
    <w:p w14:paraId="4973786A" w14:textId="77777777" w:rsidR="00743EDE" w:rsidRPr="00183B5F" w:rsidRDefault="00943743" w:rsidP="004062FE">
      <w:pPr>
        <w:numPr>
          <w:ilvl w:val="0"/>
          <w:numId w:val="54"/>
        </w:numPr>
        <w:tabs>
          <w:tab w:val="clear" w:pos="567"/>
          <w:tab w:val="left" w:pos="562"/>
        </w:tabs>
        <w:spacing w:line="240" w:lineRule="auto"/>
        <w:ind w:right="-2"/>
        <w:rPr>
          <w:szCs w:val="22"/>
        </w:rPr>
      </w:pPr>
      <w:r w:rsidRPr="00183B5F">
        <w:rPr>
          <w:szCs w:val="22"/>
        </w:rPr>
        <w:t>magas vérnyomás</w:t>
      </w:r>
    </w:p>
    <w:p w14:paraId="6DDF65A7" w14:textId="77777777" w:rsidR="00743EDE" w:rsidRPr="00183B5F" w:rsidRDefault="00943743" w:rsidP="004062FE">
      <w:pPr>
        <w:numPr>
          <w:ilvl w:val="0"/>
          <w:numId w:val="54"/>
        </w:numPr>
        <w:tabs>
          <w:tab w:val="clear" w:pos="567"/>
          <w:tab w:val="left" w:pos="562"/>
        </w:tabs>
        <w:spacing w:line="240" w:lineRule="auto"/>
        <w:ind w:right="-2"/>
        <w:rPr>
          <w:szCs w:val="22"/>
        </w:rPr>
      </w:pPr>
      <w:r w:rsidRPr="00183B5F">
        <w:rPr>
          <w:szCs w:val="22"/>
        </w:rPr>
        <w:t>kipirulás</w:t>
      </w:r>
    </w:p>
    <w:p w14:paraId="2E4BAE22" w14:textId="77777777" w:rsidR="00743EDE" w:rsidRPr="00183B5F" w:rsidRDefault="00943743" w:rsidP="004062FE">
      <w:pPr>
        <w:numPr>
          <w:ilvl w:val="0"/>
          <w:numId w:val="54"/>
        </w:numPr>
        <w:tabs>
          <w:tab w:val="clear" w:pos="567"/>
          <w:tab w:val="left" w:pos="562"/>
        </w:tabs>
        <w:spacing w:line="240" w:lineRule="auto"/>
        <w:ind w:right="-2"/>
        <w:rPr>
          <w:szCs w:val="22"/>
        </w:rPr>
      </w:pPr>
      <w:r w:rsidRPr="00183B5F">
        <w:rPr>
          <w:szCs w:val="22"/>
        </w:rPr>
        <w:t>vérömleny (vérgyülem azereken kívül)</w:t>
      </w:r>
    </w:p>
    <w:p w14:paraId="28640893" w14:textId="77777777" w:rsidR="00743EDE" w:rsidRPr="00183B5F" w:rsidRDefault="00943743" w:rsidP="004062FE">
      <w:pPr>
        <w:numPr>
          <w:ilvl w:val="0"/>
          <w:numId w:val="54"/>
        </w:numPr>
        <w:spacing w:line="240" w:lineRule="auto"/>
        <w:ind w:right="-2"/>
        <w:rPr>
          <w:szCs w:val="22"/>
        </w:rPr>
      </w:pPr>
      <w:r w:rsidRPr="00183B5F">
        <w:rPr>
          <w:szCs w:val="22"/>
        </w:rPr>
        <w:t>köhögés</w:t>
      </w:r>
    </w:p>
    <w:p w14:paraId="20A9A80D" w14:textId="77777777" w:rsidR="00743EDE" w:rsidRPr="00183B5F" w:rsidRDefault="00943743" w:rsidP="004062FE">
      <w:pPr>
        <w:numPr>
          <w:ilvl w:val="0"/>
          <w:numId w:val="54"/>
        </w:numPr>
        <w:spacing w:line="240" w:lineRule="auto"/>
        <w:ind w:right="-2"/>
        <w:rPr>
          <w:szCs w:val="22"/>
        </w:rPr>
      </w:pPr>
      <w:r w:rsidRPr="00183B5F">
        <w:rPr>
          <w:szCs w:val="22"/>
        </w:rPr>
        <w:t>asztma</w:t>
      </w:r>
    </w:p>
    <w:p w14:paraId="27A0BA7D" w14:textId="77777777" w:rsidR="00743EDE" w:rsidRPr="00183B5F" w:rsidRDefault="00943743" w:rsidP="004062FE">
      <w:pPr>
        <w:numPr>
          <w:ilvl w:val="0"/>
          <w:numId w:val="54"/>
        </w:numPr>
        <w:spacing w:line="240" w:lineRule="auto"/>
        <w:ind w:right="-2"/>
        <w:rPr>
          <w:szCs w:val="22"/>
        </w:rPr>
      </w:pPr>
      <w:r w:rsidRPr="00183B5F">
        <w:rPr>
          <w:szCs w:val="22"/>
        </w:rPr>
        <w:t>légszomj</w:t>
      </w:r>
    </w:p>
    <w:p w14:paraId="5C1F16FD" w14:textId="77777777" w:rsidR="00743EDE" w:rsidRPr="00183B5F" w:rsidRDefault="00943743" w:rsidP="004062FE">
      <w:pPr>
        <w:numPr>
          <w:ilvl w:val="0"/>
          <w:numId w:val="54"/>
        </w:numPr>
        <w:spacing w:line="240" w:lineRule="auto"/>
        <w:ind w:right="-2"/>
        <w:rPr>
          <w:szCs w:val="22"/>
        </w:rPr>
      </w:pPr>
      <w:r w:rsidRPr="00183B5F">
        <w:rPr>
          <w:szCs w:val="22"/>
        </w:rPr>
        <w:t>tápcsatorna eredetű vérzés</w:t>
      </w:r>
    </w:p>
    <w:p w14:paraId="2FC1CFFD" w14:textId="77777777" w:rsidR="00743EDE" w:rsidRPr="00183B5F" w:rsidRDefault="00943743" w:rsidP="004062FE">
      <w:pPr>
        <w:numPr>
          <w:ilvl w:val="0"/>
          <w:numId w:val="54"/>
        </w:numPr>
        <w:spacing w:line="240" w:lineRule="auto"/>
        <w:ind w:right="-2"/>
        <w:rPr>
          <w:szCs w:val="22"/>
        </w:rPr>
      </w:pPr>
      <w:r w:rsidRPr="00183B5F">
        <w:rPr>
          <w:szCs w:val="22"/>
        </w:rPr>
        <w:t>diszpepszia (emésztési zavar, puffadás, gyomorégés)</w:t>
      </w:r>
    </w:p>
    <w:p w14:paraId="3954DBDA" w14:textId="77777777" w:rsidR="00743EDE" w:rsidRPr="00183B5F" w:rsidRDefault="00943743" w:rsidP="004062FE">
      <w:pPr>
        <w:numPr>
          <w:ilvl w:val="0"/>
          <w:numId w:val="54"/>
        </w:numPr>
        <w:spacing w:line="240" w:lineRule="auto"/>
        <w:ind w:right="-2"/>
        <w:rPr>
          <w:szCs w:val="22"/>
        </w:rPr>
      </w:pPr>
      <w:r w:rsidRPr="00183B5F">
        <w:rPr>
          <w:szCs w:val="22"/>
        </w:rPr>
        <w:t>a gyomorsav visszafolyása a nyelőcsőbe;</w:t>
      </w:r>
    </w:p>
    <w:p w14:paraId="078303DB" w14:textId="77777777" w:rsidR="00743EDE" w:rsidRPr="00183B5F" w:rsidRDefault="00943743" w:rsidP="004062FE">
      <w:pPr>
        <w:numPr>
          <w:ilvl w:val="0"/>
          <w:numId w:val="54"/>
        </w:numPr>
        <w:spacing w:line="240" w:lineRule="auto"/>
        <w:ind w:right="-2"/>
        <w:rPr>
          <w:szCs w:val="22"/>
        </w:rPr>
      </w:pPr>
      <w:r w:rsidRPr="00183B5F">
        <w:rPr>
          <w:szCs w:val="22"/>
        </w:rPr>
        <w:t>szikka-szindróma (beleértve a száraz szemet és a száraz szájat is)</w:t>
      </w:r>
    </w:p>
    <w:p w14:paraId="48378AE0" w14:textId="77777777" w:rsidR="00743EDE" w:rsidRPr="00183B5F" w:rsidRDefault="00943743" w:rsidP="004062FE">
      <w:pPr>
        <w:numPr>
          <w:ilvl w:val="0"/>
          <w:numId w:val="54"/>
        </w:numPr>
        <w:spacing w:line="240" w:lineRule="auto"/>
        <w:ind w:right="-2"/>
        <w:rPr>
          <w:szCs w:val="22"/>
        </w:rPr>
      </w:pPr>
      <w:r w:rsidRPr="00183B5F">
        <w:rPr>
          <w:szCs w:val="22"/>
        </w:rPr>
        <w:t>bőrviszketés</w:t>
      </w:r>
    </w:p>
    <w:p w14:paraId="15D7948F" w14:textId="77777777" w:rsidR="00743EDE" w:rsidRPr="00183B5F" w:rsidRDefault="00943743" w:rsidP="004062FE">
      <w:pPr>
        <w:numPr>
          <w:ilvl w:val="0"/>
          <w:numId w:val="54"/>
        </w:numPr>
        <w:spacing w:line="240" w:lineRule="auto"/>
        <w:ind w:right="-2"/>
        <w:rPr>
          <w:szCs w:val="22"/>
        </w:rPr>
      </w:pPr>
      <w:r w:rsidRPr="00183B5F">
        <w:rPr>
          <w:szCs w:val="22"/>
        </w:rPr>
        <w:t>viszkető bőrkiütés</w:t>
      </w:r>
    </w:p>
    <w:p w14:paraId="0A6AFBFB" w14:textId="77777777" w:rsidR="00743EDE" w:rsidRPr="00183B5F" w:rsidRDefault="00943743" w:rsidP="004062FE">
      <w:pPr>
        <w:numPr>
          <w:ilvl w:val="0"/>
          <w:numId w:val="54"/>
        </w:numPr>
        <w:spacing w:line="240" w:lineRule="auto"/>
        <w:ind w:right="-2"/>
        <w:rPr>
          <w:szCs w:val="22"/>
        </w:rPr>
      </w:pPr>
      <w:r w:rsidRPr="00183B5F">
        <w:rPr>
          <w:szCs w:val="22"/>
        </w:rPr>
        <w:t>véraláfutás</w:t>
      </w:r>
    </w:p>
    <w:p w14:paraId="45519158" w14:textId="77777777" w:rsidR="00743EDE" w:rsidRPr="00183B5F" w:rsidRDefault="00943743" w:rsidP="004062FE">
      <w:pPr>
        <w:numPr>
          <w:ilvl w:val="0"/>
          <w:numId w:val="54"/>
        </w:numPr>
        <w:spacing w:line="240" w:lineRule="auto"/>
        <w:ind w:right="-2"/>
        <w:rPr>
          <w:szCs w:val="22"/>
        </w:rPr>
      </w:pPr>
      <w:r w:rsidRPr="00183B5F">
        <w:rPr>
          <w:szCs w:val="22"/>
        </w:rPr>
        <w:t>bőrgyulladás (mint például az ekcéma)</w:t>
      </w:r>
    </w:p>
    <w:p w14:paraId="6541A98B" w14:textId="77777777" w:rsidR="00743EDE" w:rsidRPr="00183B5F" w:rsidRDefault="00943743" w:rsidP="004062FE">
      <w:pPr>
        <w:numPr>
          <w:ilvl w:val="0"/>
          <w:numId w:val="54"/>
        </w:numPr>
        <w:spacing w:line="240" w:lineRule="auto"/>
        <w:ind w:right="-2"/>
        <w:rPr>
          <w:szCs w:val="22"/>
        </w:rPr>
      </w:pPr>
      <w:r w:rsidRPr="00183B5F">
        <w:rPr>
          <w:szCs w:val="22"/>
        </w:rPr>
        <w:t>a kéz- és lábujjkörmök töredezése</w:t>
      </w:r>
    </w:p>
    <w:p w14:paraId="23122BC4" w14:textId="77777777" w:rsidR="00743EDE" w:rsidRPr="00183B5F" w:rsidRDefault="00943743" w:rsidP="004062FE">
      <w:pPr>
        <w:numPr>
          <w:ilvl w:val="0"/>
          <w:numId w:val="54"/>
        </w:numPr>
        <w:spacing w:line="240" w:lineRule="auto"/>
        <w:ind w:right="-2"/>
        <w:rPr>
          <w:szCs w:val="22"/>
        </w:rPr>
      </w:pPr>
      <w:r w:rsidRPr="00183B5F">
        <w:rPr>
          <w:szCs w:val="22"/>
        </w:rPr>
        <w:t>fokozott verejtékezés</w:t>
      </w:r>
    </w:p>
    <w:p w14:paraId="0B25B1C2" w14:textId="77777777" w:rsidR="00743EDE" w:rsidRPr="00183B5F" w:rsidRDefault="00943743" w:rsidP="004062FE">
      <w:pPr>
        <w:numPr>
          <w:ilvl w:val="0"/>
          <w:numId w:val="54"/>
        </w:numPr>
        <w:spacing w:line="240" w:lineRule="auto"/>
        <w:ind w:right="-2"/>
        <w:rPr>
          <w:szCs w:val="22"/>
        </w:rPr>
      </w:pPr>
      <w:r w:rsidRPr="00183B5F">
        <w:rPr>
          <w:szCs w:val="22"/>
        </w:rPr>
        <w:t>hajhullás</w:t>
      </w:r>
    </w:p>
    <w:p w14:paraId="402111C1" w14:textId="77777777" w:rsidR="00743EDE" w:rsidRPr="00183B5F" w:rsidRDefault="00943743" w:rsidP="004062FE">
      <w:pPr>
        <w:numPr>
          <w:ilvl w:val="0"/>
          <w:numId w:val="54"/>
        </w:numPr>
        <w:spacing w:line="240" w:lineRule="auto"/>
        <w:ind w:right="-2"/>
        <w:rPr>
          <w:szCs w:val="22"/>
        </w:rPr>
      </w:pPr>
      <w:r w:rsidRPr="00183B5F">
        <w:rPr>
          <w:szCs w:val="22"/>
        </w:rPr>
        <w:t>pikkelysömör megjelenése vagy rosszabbodása</w:t>
      </w:r>
    </w:p>
    <w:p w14:paraId="4FB2EE62" w14:textId="77777777" w:rsidR="00743EDE" w:rsidRPr="00183B5F" w:rsidRDefault="00943743" w:rsidP="004062FE">
      <w:pPr>
        <w:numPr>
          <w:ilvl w:val="0"/>
          <w:numId w:val="54"/>
        </w:numPr>
        <w:spacing w:line="240" w:lineRule="auto"/>
        <w:ind w:right="-2"/>
        <w:rPr>
          <w:szCs w:val="22"/>
        </w:rPr>
      </w:pPr>
      <w:r w:rsidRPr="00183B5F">
        <w:rPr>
          <w:szCs w:val="22"/>
        </w:rPr>
        <w:t>izomgörcsök</w:t>
      </w:r>
    </w:p>
    <w:p w14:paraId="1E6FF434" w14:textId="77777777" w:rsidR="00743EDE" w:rsidRPr="00183B5F" w:rsidRDefault="00943743" w:rsidP="004062FE">
      <w:pPr>
        <w:numPr>
          <w:ilvl w:val="0"/>
          <w:numId w:val="54"/>
        </w:numPr>
        <w:spacing w:line="240" w:lineRule="auto"/>
        <w:ind w:right="-2"/>
        <w:rPr>
          <w:szCs w:val="22"/>
        </w:rPr>
      </w:pPr>
      <w:r w:rsidRPr="00183B5F">
        <w:rPr>
          <w:szCs w:val="22"/>
        </w:rPr>
        <w:t>véres vizelet</w:t>
      </w:r>
    </w:p>
    <w:p w14:paraId="47F8371F" w14:textId="77777777" w:rsidR="00743EDE" w:rsidRPr="00183B5F" w:rsidRDefault="00943743" w:rsidP="004062FE">
      <w:pPr>
        <w:numPr>
          <w:ilvl w:val="0"/>
          <w:numId w:val="54"/>
        </w:numPr>
        <w:spacing w:line="240" w:lineRule="auto"/>
        <w:ind w:right="-2"/>
        <w:rPr>
          <w:szCs w:val="22"/>
        </w:rPr>
      </w:pPr>
      <w:r w:rsidRPr="00183B5F">
        <w:rPr>
          <w:szCs w:val="22"/>
        </w:rPr>
        <w:t>veseproblémák</w:t>
      </w:r>
    </w:p>
    <w:p w14:paraId="18677E00" w14:textId="77777777" w:rsidR="00743EDE" w:rsidRPr="00183B5F" w:rsidRDefault="00943743" w:rsidP="004062FE">
      <w:pPr>
        <w:numPr>
          <w:ilvl w:val="0"/>
          <w:numId w:val="54"/>
        </w:numPr>
        <w:spacing w:line="240" w:lineRule="auto"/>
        <w:ind w:right="-2"/>
        <w:rPr>
          <w:szCs w:val="22"/>
        </w:rPr>
      </w:pPr>
      <w:r w:rsidRPr="00183B5F">
        <w:rPr>
          <w:szCs w:val="22"/>
        </w:rPr>
        <w:t>mellkasi fájdalom</w:t>
      </w:r>
    </w:p>
    <w:p w14:paraId="55598264" w14:textId="77777777" w:rsidR="00743EDE" w:rsidRPr="00183B5F" w:rsidRDefault="00943743" w:rsidP="004062FE">
      <w:pPr>
        <w:numPr>
          <w:ilvl w:val="0"/>
          <w:numId w:val="54"/>
        </w:numPr>
        <w:spacing w:line="240" w:lineRule="auto"/>
        <w:ind w:right="-2"/>
        <w:rPr>
          <w:szCs w:val="22"/>
        </w:rPr>
      </w:pPr>
      <w:r w:rsidRPr="00183B5F">
        <w:rPr>
          <w:szCs w:val="22"/>
        </w:rPr>
        <w:t>vizenyő (duzzanat)</w:t>
      </w:r>
    </w:p>
    <w:p w14:paraId="65EC1F9A" w14:textId="77777777" w:rsidR="00743EDE" w:rsidRPr="00183B5F" w:rsidRDefault="00943743" w:rsidP="004062FE">
      <w:pPr>
        <w:numPr>
          <w:ilvl w:val="0"/>
          <w:numId w:val="54"/>
        </w:numPr>
        <w:spacing w:line="240" w:lineRule="auto"/>
        <w:ind w:right="-2"/>
        <w:rPr>
          <w:szCs w:val="22"/>
        </w:rPr>
      </w:pPr>
      <w:r w:rsidRPr="00183B5F">
        <w:rPr>
          <w:szCs w:val="22"/>
        </w:rPr>
        <w:t>láz</w:t>
      </w:r>
    </w:p>
    <w:p w14:paraId="2E8538A7" w14:textId="77777777" w:rsidR="00743EDE" w:rsidRPr="00183B5F" w:rsidRDefault="00943743" w:rsidP="004062FE">
      <w:pPr>
        <w:numPr>
          <w:ilvl w:val="0"/>
          <w:numId w:val="54"/>
        </w:numPr>
        <w:spacing w:line="240" w:lineRule="auto"/>
        <w:ind w:right="-2"/>
        <w:rPr>
          <w:szCs w:val="22"/>
        </w:rPr>
      </w:pPr>
      <w:r w:rsidRPr="00183B5F">
        <w:rPr>
          <w:szCs w:val="22"/>
        </w:rPr>
        <w:t>a vérlemezkék számának csökkenése, ami növeli a vérzés vagy a véraláfutás kialakulásának kockázatát</w:t>
      </w:r>
    </w:p>
    <w:p w14:paraId="47DB331D" w14:textId="77777777" w:rsidR="00743EDE" w:rsidRPr="00183B5F" w:rsidRDefault="00943743" w:rsidP="004062FE">
      <w:pPr>
        <w:numPr>
          <w:ilvl w:val="0"/>
          <w:numId w:val="54"/>
        </w:numPr>
        <w:spacing w:line="240" w:lineRule="auto"/>
        <w:ind w:right="-2"/>
        <w:rPr>
          <w:szCs w:val="22"/>
        </w:rPr>
      </w:pPr>
      <w:r w:rsidRPr="00183B5F">
        <w:rPr>
          <w:szCs w:val="22"/>
        </w:rPr>
        <w:t>csökkent gyógyulási készség</w:t>
      </w:r>
    </w:p>
    <w:p w14:paraId="3F44AE36" w14:textId="77777777" w:rsidR="00743EDE" w:rsidRPr="00183B5F" w:rsidRDefault="00743EDE" w:rsidP="004062FE">
      <w:pPr>
        <w:spacing w:line="240" w:lineRule="auto"/>
        <w:ind w:right="-2"/>
        <w:rPr>
          <w:szCs w:val="22"/>
        </w:rPr>
      </w:pPr>
    </w:p>
    <w:p w14:paraId="48DC1CD1" w14:textId="77777777" w:rsidR="00743EDE" w:rsidRPr="00183B5F" w:rsidRDefault="00943743" w:rsidP="002D49EE">
      <w:pPr>
        <w:keepNext/>
        <w:spacing w:line="240" w:lineRule="auto"/>
        <w:ind w:right="-2"/>
        <w:rPr>
          <w:szCs w:val="22"/>
        </w:rPr>
      </w:pPr>
      <w:r w:rsidRPr="00183B5F">
        <w:rPr>
          <w:b/>
          <w:szCs w:val="22"/>
        </w:rPr>
        <w:t>Nem gyakori</w:t>
      </w:r>
      <w:r w:rsidRPr="00183B5F">
        <w:rPr>
          <w:szCs w:val="22"/>
        </w:rPr>
        <w:t xml:space="preserve"> (100 beteg közül legfeljebb 1</w:t>
      </w:r>
      <w:r w:rsidRPr="00183B5F">
        <w:rPr>
          <w:szCs w:val="22"/>
        </w:rPr>
        <w:noBreakHyphen/>
        <w:t>nél kialakuló)</w:t>
      </w:r>
    </w:p>
    <w:p w14:paraId="3F4A578A" w14:textId="77777777" w:rsidR="00743EDE" w:rsidRPr="00183B5F" w:rsidRDefault="00743EDE" w:rsidP="004062FE">
      <w:pPr>
        <w:spacing w:line="240" w:lineRule="auto"/>
        <w:ind w:right="-2"/>
        <w:rPr>
          <w:szCs w:val="22"/>
        </w:rPr>
      </w:pPr>
    </w:p>
    <w:p w14:paraId="220D2C44" w14:textId="77777777" w:rsidR="00743EDE" w:rsidRPr="00183B5F" w:rsidRDefault="00943743" w:rsidP="004062FE">
      <w:pPr>
        <w:numPr>
          <w:ilvl w:val="0"/>
          <w:numId w:val="55"/>
        </w:numPr>
        <w:tabs>
          <w:tab w:val="clear" w:pos="567"/>
          <w:tab w:val="left" w:pos="562"/>
        </w:tabs>
        <w:spacing w:line="240" w:lineRule="auto"/>
        <w:ind w:right="-2"/>
        <w:rPr>
          <w:szCs w:val="22"/>
        </w:rPr>
      </w:pPr>
      <w:r w:rsidRPr="00183B5F">
        <w:rPr>
          <w:szCs w:val="22"/>
        </w:rPr>
        <w:t>opportunista fertőzések (ezek közé tartozik a tuberkulózis és más, olyan fertőzések, amelyek akkor alakulnak ki, amikor a betegségekkel szembeni ellenállóképesség lecsökken)</w:t>
      </w:r>
    </w:p>
    <w:p w14:paraId="6E67EC17" w14:textId="77777777" w:rsidR="00743EDE" w:rsidRPr="00183B5F" w:rsidRDefault="00943743" w:rsidP="004062FE">
      <w:pPr>
        <w:numPr>
          <w:ilvl w:val="0"/>
          <w:numId w:val="55"/>
        </w:numPr>
        <w:tabs>
          <w:tab w:val="clear" w:pos="567"/>
          <w:tab w:val="left" w:pos="562"/>
        </w:tabs>
        <w:spacing w:line="240" w:lineRule="auto"/>
        <w:ind w:right="-2"/>
        <w:rPr>
          <w:szCs w:val="22"/>
        </w:rPr>
      </w:pPr>
      <w:r w:rsidRPr="00183B5F">
        <w:rPr>
          <w:szCs w:val="22"/>
        </w:rPr>
        <w:t>ideggyógyászati eredetű fertőzések (beleértve a vírusos eredetű agyhártyagyulladást is)</w:t>
      </w:r>
    </w:p>
    <w:p w14:paraId="23D921D2" w14:textId="77777777" w:rsidR="00743EDE" w:rsidRPr="00183B5F" w:rsidRDefault="00943743" w:rsidP="004062FE">
      <w:pPr>
        <w:numPr>
          <w:ilvl w:val="0"/>
          <w:numId w:val="55"/>
        </w:numPr>
        <w:spacing w:line="240" w:lineRule="auto"/>
        <w:ind w:right="-2"/>
        <w:rPr>
          <w:szCs w:val="22"/>
        </w:rPr>
      </w:pPr>
      <w:r w:rsidRPr="00183B5F">
        <w:rPr>
          <w:szCs w:val="22"/>
        </w:rPr>
        <w:t>szemfertőzések</w:t>
      </w:r>
    </w:p>
    <w:p w14:paraId="5BF34BAE" w14:textId="77777777" w:rsidR="00743EDE" w:rsidRPr="00183B5F" w:rsidRDefault="00943743" w:rsidP="004062FE">
      <w:pPr>
        <w:numPr>
          <w:ilvl w:val="0"/>
          <w:numId w:val="55"/>
        </w:numPr>
        <w:spacing w:line="240" w:lineRule="auto"/>
        <w:ind w:right="-2"/>
        <w:rPr>
          <w:szCs w:val="22"/>
        </w:rPr>
      </w:pPr>
      <w:r w:rsidRPr="00183B5F">
        <w:rPr>
          <w:szCs w:val="22"/>
        </w:rPr>
        <w:t>baktériumok okozta fertőzések</w:t>
      </w:r>
    </w:p>
    <w:p w14:paraId="1FAB3C9D" w14:textId="77777777" w:rsidR="00743EDE" w:rsidRPr="00183B5F" w:rsidRDefault="00943743" w:rsidP="004062FE">
      <w:pPr>
        <w:numPr>
          <w:ilvl w:val="0"/>
          <w:numId w:val="55"/>
        </w:numPr>
        <w:spacing w:line="240" w:lineRule="auto"/>
        <w:ind w:right="-2"/>
        <w:rPr>
          <w:szCs w:val="22"/>
        </w:rPr>
      </w:pPr>
      <w:r w:rsidRPr="00183B5F">
        <w:rPr>
          <w:szCs w:val="22"/>
        </w:rPr>
        <w:t>divertikulitisz (vastagbélgyulladás és -fertőzés)</w:t>
      </w:r>
    </w:p>
    <w:p w14:paraId="074103D1" w14:textId="77777777" w:rsidR="00743EDE" w:rsidRPr="00183B5F" w:rsidRDefault="00943743" w:rsidP="004062FE">
      <w:pPr>
        <w:numPr>
          <w:ilvl w:val="0"/>
          <w:numId w:val="55"/>
        </w:numPr>
        <w:spacing w:line="240" w:lineRule="auto"/>
        <w:ind w:right="-2"/>
        <w:rPr>
          <w:szCs w:val="22"/>
        </w:rPr>
      </w:pPr>
      <w:r w:rsidRPr="00183B5F">
        <w:rPr>
          <w:szCs w:val="22"/>
        </w:rPr>
        <w:t>rák</w:t>
      </w:r>
    </w:p>
    <w:p w14:paraId="643C25EA" w14:textId="77777777" w:rsidR="00743EDE" w:rsidRPr="00183B5F" w:rsidRDefault="00943743" w:rsidP="004062FE">
      <w:pPr>
        <w:numPr>
          <w:ilvl w:val="0"/>
          <w:numId w:val="55"/>
        </w:numPr>
        <w:spacing w:line="240" w:lineRule="auto"/>
        <w:ind w:right="-2"/>
        <w:rPr>
          <w:szCs w:val="22"/>
        </w:rPr>
      </w:pPr>
      <w:r w:rsidRPr="00183B5F">
        <w:rPr>
          <w:szCs w:val="22"/>
        </w:rPr>
        <w:t>rák, amely a nyirokrendszert támadja meg</w:t>
      </w:r>
    </w:p>
    <w:p w14:paraId="72877CAA" w14:textId="77777777" w:rsidR="00743EDE" w:rsidRPr="00183B5F" w:rsidRDefault="00943743" w:rsidP="004062FE">
      <w:pPr>
        <w:numPr>
          <w:ilvl w:val="0"/>
          <w:numId w:val="55"/>
        </w:numPr>
        <w:spacing w:line="240" w:lineRule="auto"/>
        <w:ind w:right="-2"/>
        <w:rPr>
          <w:szCs w:val="22"/>
        </w:rPr>
      </w:pPr>
      <w:r w:rsidRPr="00183B5F">
        <w:rPr>
          <w:szCs w:val="22"/>
        </w:rPr>
        <w:t>melanóma</w:t>
      </w:r>
    </w:p>
    <w:p w14:paraId="52C66CDC" w14:textId="77777777" w:rsidR="00743EDE" w:rsidRPr="00183B5F" w:rsidRDefault="00943743" w:rsidP="004062FE">
      <w:pPr>
        <w:numPr>
          <w:ilvl w:val="0"/>
          <w:numId w:val="55"/>
        </w:numPr>
        <w:spacing w:line="240" w:lineRule="auto"/>
        <w:ind w:right="-2"/>
        <w:rPr>
          <w:szCs w:val="22"/>
        </w:rPr>
      </w:pPr>
      <w:r w:rsidRPr="00183B5F">
        <w:rPr>
          <w:szCs w:val="22"/>
        </w:rPr>
        <w:t>a szervezet védekező rendszerének betegségei, amelyek érinthetik a tüdőt, a bőrt és a nyirokcsomókat (leggyakrabban szarkoidózisként jelentkezik)</w:t>
      </w:r>
    </w:p>
    <w:p w14:paraId="214B0B5E" w14:textId="77777777" w:rsidR="00743EDE" w:rsidRPr="00183B5F" w:rsidRDefault="00943743" w:rsidP="004062FE">
      <w:pPr>
        <w:numPr>
          <w:ilvl w:val="0"/>
          <w:numId w:val="55"/>
        </w:numPr>
        <w:spacing w:line="240" w:lineRule="auto"/>
        <w:ind w:right="-2"/>
        <w:rPr>
          <w:szCs w:val="22"/>
        </w:rPr>
      </w:pPr>
      <w:r w:rsidRPr="00183B5F">
        <w:rPr>
          <w:szCs w:val="22"/>
        </w:rPr>
        <w:t>vaszkulitisz (érgyulladás)</w:t>
      </w:r>
    </w:p>
    <w:p w14:paraId="56FFC7A6" w14:textId="77777777" w:rsidR="00743EDE" w:rsidRPr="00183B5F" w:rsidRDefault="00943743" w:rsidP="004062FE">
      <w:pPr>
        <w:numPr>
          <w:ilvl w:val="0"/>
          <w:numId w:val="55"/>
        </w:numPr>
        <w:spacing w:line="240" w:lineRule="auto"/>
        <w:ind w:right="-2"/>
        <w:rPr>
          <w:szCs w:val="22"/>
        </w:rPr>
      </w:pPr>
      <w:r w:rsidRPr="00183B5F">
        <w:rPr>
          <w:szCs w:val="22"/>
        </w:rPr>
        <w:t>remegés</w:t>
      </w:r>
    </w:p>
    <w:p w14:paraId="2D9B157B" w14:textId="77777777" w:rsidR="00743EDE" w:rsidRPr="00183B5F" w:rsidRDefault="00943743" w:rsidP="004062FE">
      <w:pPr>
        <w:numPr>
          <w:ilvl w:val="0"/>
          <w:numId w:val="55"/>
        </w:numPr>
        <w:spacing w:line="240" w:lineRule="auto"/>
        <w:ind w:right="-2"/>
        <w:rPr>
          <w:szCs w:val="22"/>
        </w:rPr>
      </w:pPr>
      <w:r w:rsidRPr="00183B5F">
        <w:rPr>
          <w:szCs w:val="22"/>
        </w:rPr>
        <w:t>neuropátia (idegbántalom)</w:t>
      </w:r>
    </w:p>
    <w:p w14:paraId="3193D1EC" w14:textId="77777777" w:rsidR="00743EDE" w:rsidRPr="00183B5F" w:rsidRDefault="00943743" w:rsidP="004062FE">
      <w:pPr>
        <w:numPr>
          <w:ilvl w:val="0"/>
          <w:numId w:val="55"/>
        </w:numPr>
        <w:spacing w:line="240" w:lineRule="auto"/>
        <w:ind w:right="-2"/>
        <w:rPr>
          <w:szCs w:val="22"/>
        </w:rPr>
      </w:pPr>
      <w:r w:rsidRPr="00183B5F">
        <w:rPr>
          <w:szCs w:val="22"/>
        </w:rPr>
        <w:t>szélütés</w:t>
      </w:r>
    </w:p>
    <w:p w14:paraId="0EE91418" w14:textId="77777777" w:rsidR="00743EDE" w:rsidRPr="00183B5F" w:rsidRDefault="00943743" w:rsidP="004062FE">
      <w:pPr>
        <w:numPr>
          <w:ilvl w:val="0"/>
          <w:numId w:val="55"/>
        </w:numPr>
        <w:spacing w:line="240" w:lineRule="auto"/>
        <w:ind w:right="-2"/>
        <w:rPr>
          <w:szCs w:val="22"/>
        </w:rPr>
      </w:pPr>
      <w:r w:rsidRPr="00183B5F">
        <w:rPr>
          <w:szCs w:val="22"/>
        </w:rPr>
        <w:t>halláscsökkenés, fülzúgás</w:t>
      </w:r>
    </w:p>
    <w:p w14:paraId="1EB48987" w14:textId="77777777" w:rsidR="00743EDE" w:rsidRPr="00183B5F" w:rsidRDefault="00943743" w:rsidP="004062FE">
      <w:pPr>
        <w:numPr>
          <w:ilvl w:val="0"/>
          <w:numId w:val="55"/>
        </w:numPr>
        <w:spacing w:line="240" w:lineRule="auto"/>
        <w:ind w:right="-2"/>
        <w:rPr>
          <w:szCs w:val="22"/>
        </w:rPr>
      </w:pPr>
      <w:r w:rsidRPr="00183B5F">
        <w:rPr>
          <w:szCs w:val="22"/>
        </w:rPr>
        <w:t>szabálytalan szívverés érzése, mint például kimaradó szívverés</w:t>
      </w:r>
    </w:p>
    <w:p w14:paraId="0F0CCB59" w14:textId="77777777" w:rsidR="00743EDE" w:rsidRPr="00183B5F" w:rsidRDefault="00943743" w:rsidP="004062FE">
      <w:pPr>
        <w:numPr>
          <w:ilvl w:val="0"/>
          <w:numId w:val="55"/>
        </w:numPr>
        <w:spacing w:line="240" w:lineRule="auto"/>
        <w:ind w:right="-2"/>
        <w:rPr>
          <w:szCs w:val="22"/>
        </w:rPr>
      </w:pPr>
      <w:r w:rsidRPr="00183B5F">
        <w:rPr>
          <w:szCs w:val="22"/>
        </w:rPr>
        <w:t>szívproblémák, amelyek például nehézlégzést vagy bokadagadást okozhatnak</w:t>
      </w:r>
    </w:p>
    <w:p w14:paraId="78E1DDDC" w14:textId="77777777" w:rsidR="00743EDE" w:rsidRPr="00183B5F" w:rsidRDefault="00943743" w:rsidP="004062FE">
      <w:pPr>
        <w:numPr>
          <w:ilvl w:val="0"/>
          <w:numId w:val="55"/>
        </w:numPr>
        <w:spacing w:line="240" w:lineRule="auto"/>
        <w:ind w:right="-2"/>
        <w:rPr>
          <w:szCs w:val="22"/>
        </w:rPr>
      </w:pPr>
      <w:r w:rsidRPr="00183B5F">
        <w:rPr>
          <w:szCs w:val="22"/>
        </w:rPr>
        <w:t>szívroham</w:t>
      </w:r>
    </w:p>
    <w:p w14:paraId="0C093A89" w14:textId="77777777" w:rsidR="00743EDE" w:rsidRPr="00183B5F" w:rsidRDefault="00943743" w:rsidP="004062FE">
      <w:pPr>
        <w:numPr>
          <w:ilvl w:val="0"/>
          <w:numId w:val="55"/>
        </w:numPr>
        <w:spacing w:line="240" w:lineRule="auto"/>
        <w:ind w:right="-2"/>
        <w:rPr>
          <w:szCs w:val="22"/>
        </w:rPr>
      </w:pPr>
      <w:r w:rsidRPr="00183B5F">
        <w:rPr>
          <w:szCs w:val="22"/>
        </w:rPr>
        <w:t>kiöblösödés valamely nagy ütőérben, gyulladás és vérrögképződés valamelyik vénában, érelzáródás</w:t>
      </w:r>
    </w:p>
    <w:p w14:paraId="591745C0" w14:textId="77777777" w:rsidR="00743EDE" w:rsidRPr="00183B5F" w:rsidRDefault="00943743" w:rsidP="004062FE">
      <w:pPr>
        <w:numPr>
          <w:ilvl w:val="0"/>
          <w:numId w:val="55"/>
        </w:numPr>
        <w:spacing w:line="240" w:lineRule="auto"/>
        <w:ind w:right="-2"/>
        <w:rPr>
          <w:szCs w:val="22"/>
        </w:rPr>
      </w:pPr>
      <w:r w:rsidRPr="00183B5F">
        <w:rPr>
          <w:szCs w:val="22"/>
        </w:rPr>
        <w:t>nehézlégzést okozó tüdőbetegségek (beleértve a gyulladást is)</w:t>
      </w:r>
    </w:p>
    <w:p w14:paraId="6CDBC87D" w14:textId="77777777" w:rsidR="00743EDE" w:rsidRPr="00183B5F" w:rsidRDefault="00943743" w:rsidP="004062FE">
      <w:pPr>
        <w:numPr>
          <w:ilvl w:val="0"/>
          <w:numId w:val="55"/>
        </w:numPr>
        <w:spacing w:line="240" w:lineRule="auto"/>
        <w:ind w:right="-2"/>
        <w:rPr>
          <w:szCs w:val="22"/>
        </w:rPr>
      </w:pPr>
      <w:r w:rsidRPr="00183B5F">
        <w:rPr>
          <w:szCs w:val="22"/>
        </w:rPr>
        <w:t>tüdőembólia (a tüdőt ellátó ér elzáródása)</w:t>
      </w:r>
    </w:p>
    <w:p w14:paraId="46A75946" w14:textId="77777777" w:rsidR="00743EDE" w:rsidRPr="00183B5F" w:rsidRDefault="00943743" w:rsidP="004062FE">
      <w:pPr>
        <w:numPr>
          <w:ilvl w:val="0"/>
          <w:numId w:val="55"/>
        </w:numPr>
        <w:spacing w:line="240" w:lineRule="auto"/>
        <w:ind w:right="-2"/>
        <w:rPr>
          <w:szCs w:val="22"/>
        </w:rPr>
      </w:pPr>
      <w:r w:rsidRPr="00183B5F">
        <w:rPr>
          <w:szCs w:val="22"/>
        </w:rPr>
        <w:t>pleurális folyadékgyülem (a mellhártyák között kóros folyadékgyülem)</w:t>
      </w:r>
    </w:p>
    <w:p w14:paraId="1D18A1A2" w14:textId="77777777" w:rsidR="00743EDE" w:rsidRPr="00183B5F" w:rsidRDefault="00943743" w:rsidP="004062FE">
      <w:pPr>
        <w:numPr>
          <w:ilvl w:val="0"/>
          <w:numId w:val="55"/>
        </w:numPr>
        <w:spacing w:line="240" w:lineRule="auto"/>
        <w:ind w:right="-2"/>
        <w:rPr>
          <w:szCs w:val="22"/>
        </w:rPr>
      </w:pPr>
      <w:r w:rsidRPr="00183B5F">
        <w:rPr>
          <w:szCs w:val="22"/>
        </w:rPr>
        <w:t>hasnyálmirigy</w:t>
      </w:r>
      <w:r w:rsidRPr="00183B5F">
        <w:rPr>
          <w:szCs w:val="22"/>
        </w:rPr>
        <w:noBreakHyphen/>
        <w:t>gyulladás ami erős hasi fájdalmat és hátfájást okoz</w:t>
      </w:r>
    </w:p>
    <w:p w14:paraId="54FD771A" w14:textId="77777777" w:rsidR="00743EDE" w:rsidRPr="00183B5F" w:rsidRDefault="00943743" w:rsidP="004062FE">
      <w:pPr>
        <w:numPr>
          <w:ilvl w:val="0"/>
          <w:numId w:val="55"/>
        </w:numPr>
        <w:spacing w:line="240" w:lineRule="auto"/>
        <w:ind w:right="-2"/>
        <w:rPr>
          <w:szCs w:val="22"/>
        </w:rPr>
      </w:pPr>
      <w:r w:rsidRPr="00183B5F">
        <w:rPr>
          <w:szCs w:val="22"/>
        </w:rPr>
        <w:t>nyelészavar</w:t>
      </w:r>
    </w:p>
    <w:p w14:paraId="1ACF0394" w14:textId="77777777" w:rsidR="00743EDE" w:rsidRPr="00183B5F" w:rsidRDefault="00943743" w:rsidP="004062FE">
      <w:pPr>
        <w:numPr>
          <w:ilvl w:val="0"/>
          <w:numId w:val="55"/>
        </w:numPr>
        <w:spacing w:line="240" w:lineRule="auto"/>
        <w:ind w:right="-2"/>
        <w:rPr>
          <w:szCs w:val="22"/>
        </w:rPr>
      </w:pPr>
      <w:r w:rsidRPr="00183B5F">
        <w:rPr>
          <w:szCs w:val="22"/>
        </w:rPr>
        <w:t>az arc feldagadása</w:t>
      </w:r>
    </w:p>
    <w:p w14:paraId="12C90428" w14:textId="77777777" w:rsidR="00743EDE" w:rsidRPr="00183B5F" w:rsidRDefault="00943743" w:rsidP="004062FE">
      <w:pPr>
        <w:numPr>
          <w:ilvl w:val="0"/>
          <w:numId w:val="55"/>
        </w:numPr>
        <w:spacing w:line="240" w:lineRule="auto"/>
        <w:ind w:right="-2"/>
        <w:rPr>
          <w:szCs w:val="22"/>
        </w:rPr>
      </w:pPr>
      <w:r w:rsidRPr="00183B5F">
        <w:rPr>
          <w:szCs w:val="22"/>
        </w:rPr>
        <w:t>epehólyaggyulladás, epekövesség</w:t>
      </w:r>
    </w:p>
    <w:p w14:paraId="44B13FA2" w14:textId="77777777" w:rsidR="00743EDE" w:rsidRPr="00183B5F" w:rsidRDefault="00943743" w:rsidP="004062FE">
      <w:pPr>
        <w:numPr>
          <w:ilvl w:val="0"/>
          <w:numId w:val="55"/>
        </w:numPr>
        <w:spacing w:line="240" w:lineRule="auto"/>
        <w:ind w:right="-2"/>
        <w:rPr>
          <w:szCs w:val="22"/>
        </w:rPr>
      </w:pPr>
      <w:r w:rsidRPr="00183B5F">
        <w:rPr>
          <w:szCs w:val="22"/>
        </w:rPr>
        <w:t>zsírmáj</w:t>
      </w:r>
    </w:p>
    <w:p w14:paraId="5EE3002B" w14:textId="77777777" w:rsidR="00743EDE" w:rsidRPr="00183B5F" w:rsidRDefault="00943743" w:rsidP="004062FE">
      <w:pPr>
        <w:numPr>
          <w:ilvl w:val="0"/>
          <w:numId w:val="55"/>
        </w:numPr>
        <w:spacing w:line="240" w:lineRule="auto"/>
        <w:ind w:right="-2"/>
        <w:rPr>
          <w:szCs w:val="22"/>
        </w:rPr>
      </w:pPr>
      <w:r w:rsidRPr="00183B5F">
        <w:rPr>
          <w:szCs w:val="22"/>
        </w:rPr>
        <w:t>éjszakai izzadás</w:t>
      </w:r>
    </w:p>
    <w:p w14:paraId="458A550D" w14:textId="77777777" w:rsidR="00743EDE" w:rsidRPr="00183B5F" w:rsidRDefault="00943743" w:rsidP="004062FE">
      <w:pPr>
        <w:numPr>
          <w:ilvl w:val="0"/>
          <w:numId w:val="55"/>
        </w:numPr>
        <w:spacing w:line="240" w:lineRule="auto"/>
        <w:ind w:right="-2"/>
        <w:rPr>
          <w:szCs w:val="22"/>
        </w:rPr>
      </w:pPr>
      <w:r w:rsidRPr="00183B5F">
        <w:rPr>
          <w:szCs w:val="22"/>
        </w:rPr>
        <w:t>hegképződés</w:t>
      </w:r>
    </w:p>
    <w:p w14:paraId="66EDAEFC" w14:textId="77777777" w:rsidR="00743EDE" w:rsidRPr="00183B5F" w:rsidRDefault="00943743" w:rsidP="004062FE">
      <w:pPr>
        <w:numPr>
          <w:ilvl w:val="0"/>
          <w:numId w:val="55"/>
        </w:numPr>
        <w:spacing w:line="240" w:lineRule="auto"/>
        <w:ind w:right="-2"/>
        <w:rPr>
          <w:szCs w:val="22"/>
        </w:rPr>
      </w:pPr>
      <w:r w:rsidRPr="00183B5F">
        <w:rPr>
          <w:szCs w:val="22"/>
        </w:rPr>
        <w:t>az izomszövet kóros szétesése</w:t>
      </w:r>
    </w:p>
    <w:p w14:paraId="475EDC87" w14:textId="77777777" w:rsidR="00743EDE" w:rsidRPr="00183B5F" w:rsidRDefault="00943743" w:rsidP="004062FE">
      <w:pPr>
        <w:numPr>
          <w:ilvl w:val="0"/>
          <w:numId w:val="55"/>
        </w:numPr>
        <w:spacing w:line="240" w:lineRule="auto"/>
        <w:ind w:right="-2"/>
        <w:rPr>
          <w:szCs w:val="22"/>
        </w:rPr>
      </w:pPr>
      <w:r w:rsidRPr="00183B5F">
        <w:rPr>
          <w:szCs w:val="22"/>
        </w:rPr>
        <w:t>szisztémás lupusz eritematózusz (beleértve a bőr, a szív, a tüdő, az ízületek és más szervrendszerek gyulladását)</w:t>
      </w:r>
    </w:p>
    <w:p w14:paraId="1D3EFEDD" w14:textId="77777777" w:rsidR="00743EDE" w:rsidRPr="00183B5F" w:rsidRDefault="00943743" w:rsidP="004062FE">
      <w:pPr>
        <w:numPr>
          <w:ilvl w:val="0"/>
          <w:numId w:val="55"/>
        </w:numPr>
        <w:spacing w:line="240" w:lineRule="auto"/>
        <w:ind w:right="-2"/>
        <w:rPr>
          <w:szCs w:val="22"/>
        </w:rPr>
      </w:pPr>
      <w:r w:rsidRPr="00183B5F">
        <w:rPr>
          <w:szCs w:val="22"/>
        </w:rPr>
        <w:t>az alvás megszakadása</w:t>
      </w:r>
    </w:p>
    <w:p w14:paraId="14C41345" w14:textId="77777777" w:rsidR="00743EDE" w:rsidRPr="00183B5F" w:rsidRDefault="00943743" w:rsidP="004062FE">
      <w:pPr>
        <w:numPr>
          <w:ilvl w:val="0"/>
          <w:numId w:val="55"/>
        </w:numPr>
        <w:spacing w:line="240" w:lineRule="auto"/>
        <w:ind w:right="-2"/>
        <w:rPr>
          <w:szCs w:val="22"/>
        </w:rPr>
      </w:pPr>
      <w:r w:rsidRPr="00183B5F">
        <w:rPr>
          <w:szCs w:val="22"/>
        </w:rPr>
        <w:t>merevedési zavar</w:t>
      </w:r>
    </w:p>
    <w:p w14:paraId="4123ED46" w14:textId="77777777" w:rsidR="00743EDE" w:rsidRPr="00183B5F" w:rsidRDefault="00943743" w:rsidP="004062FE">
      <w:pPr>
        <w:numPr>
          <w:ilvl w:val="0"/>
          <w:numId w:val="55"/>
        </w:numPr>
        <w:tabs>
          <w:tab w:val="num" w:pos="1820"/>
        </w:tabs>
        <w:spacing w:line="240" w:lineRule="auto"/>
        <w:ind w:right="-2"/>
        <w:rPr>
          <w:szCs w:val="22"/>
        </w:rPr>
      </w:pPr>
      <w:r w:rsidRPr="00183B5F">
        <w:rPr>
          <w:szCs w:val="22"/>
        </w:rPr>
        <w:t>gyulladások</w:t>
      </w:r>
    </w:p>
    <w:p w14:paraId="1A525A8B" w14:textId="77777777" w:rsidR="00743EDE" w:rsidRPr="00183B5F" w:rsidRDefault="00743EDE" w:rsidP="004062FE">
      <w:pPr>
        <w:spacing w:line="240" w:lineRule="auto"/>
        <w:ind w:right="-2"/>
        <w:rPr>
          <w:szCs w:val="22"/>
        </w:rPr>
      </w:pPr>
    </w:p>
    <w:p w14:paraId="64683E3E" w14:textId="77777777" w:rsidR="00743EDE" w:rsidRPr="00183B5F" w:rsidRDefault="00943743" w:rsidP="004062FE">
      <w:pPr>
        <w:spacing w:line="240" w:lineRule="auto"/>
        <w:ind w:right="-2"/>
        <w:rPr>
          <w:szCs w:val="22"/>
        </w:rPr>
      </w:pPr>
      <w:r w:rsidRPr="00183B5F">
        <w:rPr>
          <w:b/>
          <w:szCs w:val="22"/>
        </w:rPr>
        <w:t>Ritka</w:t>
      </w:r>
      <w:r w:rsidRPr="00183B5F">
        <w:rPr>
          <w:szCs w:val="22"/>
        </w:rPr>
        <w:t xml:space="preserve"> (1000 beteg közül legfeljebb 1</w:t>
      </w:r>
      <w:r w:rsidRPr="00183B5F">
        <w:rPr>
          <w:szCs w:val="22"/>
        </w:rPr>
        <w:noBreakHyphen/>
        <w:t>nél kialakuló)</w:t>
      </w:r>
    </w:p>
    <w:p w14:paraId="0E28AFC3" w14:textId="77777777" w:rsidR="00743EDE" w:rsidRPr="00183B5F" w:rsidRDefault="00743EDE" w:rsidP="004062FE">
      <w:pPr>
        <w:spacing w:line="240" w:lineRule="auto"/>
        <w:ind w:right="-2"/>
        <w:rPr>
          <w:szCs w:val="22"/>
        </w:rPr>
      </w:pPr>
    </w:p>
    <w:p w14:paraId="49EB7A25" w14:textId="77777777" w:rsidR="00743EDE" w:rsidRPr="00183B5F" w:rsidRDefault="00943743" w:rsidP="004062FE">
      <w:pPr>
        <w:numPr>
          <w:ilvl w:val="0"/>
          <w:numId w:val="51"/>
        </w:numPr>
        <w:spacing w:line="240" w:lineRule="auto"/>
        <w:ind w:right="-2"/>
        <w:rPr>
          <w:szCs w:val="22"/>
        </w:rPr>
      </w:pPr>
      <w:r w:rsidRPr="00183B5F">
        <w:rPr>
          <w:szCs w:val="22"/>
        </w:rPr>
        <w:t>leukémia (fehérvérűség, a vérképző rendszer daganata, ami a csontvelőt érinti)</w:t>
      </w:r>
    </w:p>
    <w:p w14:paraId="69B9C105" w14:textId="77777777" w:rsidR="00743EDE" w:rsidRPr="00183B5F" w:rsidRDefault="00943743" w:rsidP="004062FE">
      <w:pPr>
        <w:numPr>
          <w:ilvl w:val="0"/>
          <w:numId w:val="51"/>
        </w:numPr>
        <w:spacing w:line="240" w:lineRule="auto"/>
        <w:ind w:right="-2"/>
        <w:rPr>
          <w:szCs w:val="22"/>
        </w:rPr>
      </w:pPr>
      <w:r w:rsidRPr="00183B5F">
        <w:rPr>
          <w:szCs w:val="22"/>
        </w:rPr>
        <w:t>súlyos, sokkot okozó allergiás reakció</w:t>
      </w:r>
    </w:p>
    <w:p w14:paraId="162EC605" w14:textId="77777777" w:rsidR="00743EDE" w:rsidRPr="00183B5F" w:rsidRDefault="00943743" w:rsidP="004062FE">
      <w:pPr>
        <w:numPr>
          <w:ilvl w:val="0"/>
          <w:numId w:val="51"/>
        </w:numPr>
        <w:spacing w:line="240" w:lineRule="auto"/>
        <w:ind w:right="-2"/>
        <w:rPr>
          <w:szCs w:val="22"/>
        </w:rPr>
      </w:pPr>
      <w:r w:rsidRPr="00183B5F">
        <w:rPr>
          <w:szCs w:val="22"/>
        </w:rPr>
        <w:t>szklerózis multiplex</w:t>
      </w:r>
    </w:p>
    <w:p w14:paraId="1B6F6232" w14:textId="77777777" w:rsidR="00743EDE" w:rsidRPr="00183B5F" w:rsidRDefault="00943743" w:rsidP="004062FE">
      <w:pPr>
        <w:numPr>
          <w:ilvl w:val="0"/>
          <w:numId w:val="51"/>
        </w:numPr>
        <w:spacing w:line="240" w:lineRule="auto"/>
        <w:ind w:right="-2"/>
        <w:rPr>
          <w:szCs w:val="22"/>
        </w:rPr>
      </w:pPr>
      <w:r w:rsidRPr="00183B5F">
        <w:rPr>
          <w:szCs w:val="22"/>
        </w:rPr>
        <w:t>ideggyógyászati betegségek (</w:t>
      </w:r>
      <w:r w:rsidR="00E05701" w:rsidRPr="00183B5F">
        <w:rPr>
          <w:bCs/>
          <w:szCs w:val="22"/>
        </w:rPr>
        <w:t>például</w:t>
      </w:r>
      <w:r w:rsidR="00E05701" w:rsidRPr="00183B5F">
        <w:rPr>
          <w:szCs w:val="22"/>
        </w:rPr>
        <w:t xml:space="preserve"> </w:t>
      </w:r>
      <w:r w:rsidRPr="00183B5F">
        <w:rPr>
          <w:szCs w:val="22"/>
        </w:rPr>
        <w:t>a látóideg gyulladása vagy Guillain</w:t>
      </w:r>
      <w:r w:rsidR="00F12F0A" w:rsidRPr="00183B5F">
        <w:rPr>
          <w:szCs w:val="22"/>
        </w:rPr>
        <w:t>–</w:t>
      </w:r>
      <w:r w:rsidRPr="00183B5F">
        <w:rPr>
          <w:szCs w:val="22"/>
        </w:rPr>
        <w:t>Barré-szindróma, ami izomgyengeséget, érzészavart, a karok és a felsőtest zsibbadását okozhatja)</w:t>
      </w:r>
    </w:p>
    <w:p w14:paraId="1B16CA5E" w14:textId="77777777" w:rsidR="00743EDE" w:rsidRPr="00183B5F" w:rsidRDefault="00943743" w:rsidP="004062FE">
      <w:pPr>
        <w:numPr>
          <w:ilvl w:val="0"/>
          <w:numId w:val="51"/>
        </w:numPr>
        <w:spacing w:line="240" w:lineRule="auto"/>
        <w:ind w:right="-2"/>
        <w:rPr>
          <w:szCs w:val="22"/>
        </w:rPr>
      </w:pPr>
      <w:r w:rsidRPr="00183B5F">
        <w:rPr>
          <w:szCs w:val="22"/>
        </w:rPr>
        <w:t>szívleállás</w:t>
      </w:r>
    </w:p>
    <w:p w14:paraId="545E4673" w14:textId="77777777" w:rsidR="00743EDE" w:rsidRPr="00183B5F" w:rsidRDefault="00943743">
      <w:pPr>
        <w:pStyle w:val="EMEABullet2"/>
        <w:tabs>
          <w:tab w:val="clear" w:pos="720"/>
          <w:tab w:val="num" w:pos="690"/>
        </w:tabs>
        <w:ind w:left="550" w:hanging="550"/>
        <w:rPr>
          <w:szCs w:val="22"/>
          <w:lang w:val="hu-HU"/>
        </w:rPr>
      </w:pPr>
      <w:r w:rsidRPr="00183B5F">
        <w:rPr>
          <w:szCs w:val="22"/>
          <w:lang w:val="hu-HU"/>
        </w:rPr>
        <w:t>tüdőfibrózis (tüdőhegesedés)</w:t>
      </w:r>
    </w:p>
    <w:p w14:paraId="3FC17C80" w14:textId="77777777" w:rsidR="00743EDE" w:rsidRPr="00183B5F" w:rsidRDefault="00943743">
      <w:pPr>
        <w:pStyle w:val="EMEABullet2"/>
        <w:tabs>
          <w:tab w:val="clear" w:pos="720"/>
          <w:tab w:val="num" w:pos="690"/>
        </w:tabs>
        <w:ind w:left="550" w:hanging="550"/>
        <w:rPr>
          <w:szCs w:val="22"/>
          <w:lang w:val="hu-HU"/>
        </w:rPr>
      </w:pPr>
      <w:r w:rsidRPr="00183B5F">
        <w:rPr>
          <w:szCs w:val="22"/>
          <w:lang w:val="hu-HU"/>
        </w:rPr>
        <w:t>bél átlyukadása</w:t>
      </w:r>
    </w:p>
    <w:p w14:paraId="7CD2025A" w14:textId="77777777" w:rsidR="00743EDE" w:rsidRPr="00183B5F" w:rsidRDefault="00943743">
      <w:pPr>
        <w:pStyle w:val="EMEABullet2"/>
        <w:tabs>
          <w:tab w:val="clear" w:pos="720"/>
          <w:tab w:val="num" w:pos="690"/>
        </w:tabs>
        <w:ind w:left="550" w:hanging="550"/>
        <w:rPr>
          <w:szCs w:val="22"/>
          <w:lang w:val="hu-HU"/>
        </w:rPr>
      </w:pPr>
      <w:r w:rsidRPr="00183B5F">
        <w:rPr>
          <w:szCs w:val="22"/>
          <w:lang w:val="hu-HU"/>
        </w:rPr>
        <w:t>májgyulladás</w:t>
      </w:r>
    </w:p>
    <w:p w14:paraId="1FB13E51" w14:textId="77777777" w:rsidR="00743EDE" w:rsidRPr="00183B5F" w:rsidRDefault="00943743">
      <w:pPr>
        <w:pStyle w:val="EMEABullet2"/>
        <w:tabs>
          <w:tab w:val="clear" w:pos="720"/>
          <w:tab w:val="num" w:pos="690"/>
        </w:tabs>
        <w:ind w:left="550" w:hanging="550"/>
        <w:rPr>
          <w:szCs w:val="22"/>
          <w:lang w:val="hu-HU"/>
        </w:rPr>
      </w:pPr>
      <w:r w:rsidRPr="00183B5F">
        <w:rPr>
          <w:szCs w:val="22"/>
          <w:lang w:val="hu-HU"/>
        </w:rPr>
        <w:t>B típusú fertőző májgyulladás kiújulása</w:t>
      </w:r>
    </w:p>
    <w:p w14:paraId="6DB07A92" w14:textId="77777777" w:rsidR="00743EDE" w:rsidRPr="00183B5F" w:rsidRDefault="00943743">
      <w:pPr>
        <w:pStyle w:val="EMEABullet2"/>
        <w:ind w:left="550" w:hanging="550"/>
        <w:rPr>
          <w:szCs w:val="22"/>
          <w:lang w:val="hu-HU"/>
        </w:rPr>
      </w:pPr>
      <w:r w:rsidRPr="00183B5F">
        <w:rPr>
          <w:szCs w:val="22"/>
          <w:lang w:val="hu-HU"/>
        </w:rPr>
        <w:t>autoimmun májgyulladás (a máj gyulladása, melyet a saját immunrendszer vált ki)</w:t>
      </w:r>
    </w:p>
    <w:p w14:paraId="265B2861" w14:textId="77777777" w:rsidR="00743EDE" w:rsidRPr="00183B5F" w:rsidRDefault="00943743">
      <w:pPr>
        <w:pStyle w:val="EMEABullet2"/>
        <w:tabs>
          <w:tab w:val="clear" w:pos="720"/>
          <w:tab w:val="num" w:pos="690"/>
        </w:tabs>
        <w:ind w:left="550" w:hanging="550"/>
        <w:rPr>
          <w:szCs w:val="22"/>
          <w:lang w:val="hu-HU"/>
        </w:rPr>
      </w:pPr>
      <w:r w:rsidRPr="00183B5F">
        <w:rPr>
          <w:szCs w:val="22"/>
          <w:lang w:val="hu-HU"/>
        </w:rPr>
        <w:t>kután vaszkulitisz (a bőrben található erek gyulladása)</w:t>
      </w:r>
    </w:p>
    <w:p w14:paraId="1228D61A" w14:textId="77777777" w:rsidR="00743EDE" w:rsidRPr="00183B5F" w:rsidRDefault="00943743">
      <w:pPr>
        <w:pStyle w:val="EMEABullet2"/>
        <w:tabs>
          <w:tab w:val="clear" w:pos="720"/>
          <w:tab w:val="num" w:pos="690"/>
        </w:tabs>
        <w:ind w:left="550" w:hanging="550"/>
        <w:rPr>
          <w:szCs w:val="22"/>
          <w:lang w:val="hu-HU"/>
        </w:rPr>
      </w:pPr>
      <w:r w:rsidRPr="00183B5F">
        <w:rPr>
          <w:szCs w:val="22"/>
          <w:lang w:val="hu-HU"/>
        </w:rPr>
        <w:t>Stevens</w:t>
      </w:r>
      <w:r w:rsidR="00004B4F" w:rsidRPr="00183B5F">
        <w:rPr>
          <w:szCs w:val="22"/>
          <w:lang w:val="hu-HU"/>
        </w:rPr>
        <w:t>–</w:t>
      </w:r>
      <w:r w:rsidRPr="00183B5F">
        <w:rPr>
          <w:szCs w:val="22"/>
          <w:lang w:val="hu-HU"/>
        </w:rPr>
        <w:t>Johnson-szindróma (korai tünetei a rossz közérzet, láz, fejfájás és bőrkiütés)</w:t>
      </w:r>
    </w:p>
    <w:p w14:paraId="43AA5426" w14:textId="77777777" w:rsidR="00743EDE" w:rsidRPr="00183B5F" w:rsidRDefault="00943743">
      <w:pPr>
        <w:pStyle w:val="EMEABullet2"/>
        <w:tabs>
          <w:tab w:val="clear" w:pos="720"/>
          <w:tab w:val="num" w:pos="690"/>
        </w:tabs>
        <w:ind w:left="550" w:hanging="550"/>
        <w:rPr>
          <w:szCs w:val="22"/>
          <w:lang w:val="hu-HU"/>
        </w:rPr>
      </w:pPr>
      <w:r w:rsidRPr="00183B5F">
        <w:rPr>
          <w:szCs w:val="22"/>
          <w:lang w:val="hu-HU"/>
        </w:rPr>
        <w:t>arcduzzanat, amit allergiás reakció kísér</w:t>
      </w:r>
    </w:p>
    <w:p w14:paraId="786B1230" w14:textId="77777777" w:rsidR="00743EDE" w:rsidRPr="00183B5F" w:rsidRDefault="00943743" w:rsidP="004062FE">
      <w:pPr>
        <w:numPr>
          <w:ilvl w:val="0"/>
          <w:numId w:val="56"/>
        </w:numPr>
        <w:spacing w:line="240" w:lineRule="auto"/>
        <w:ind w:right="-2"/>
        <w:rPr>
          <w:szCs w:val="22"/>
        </w:rPr>
      </w:pPr>
      <w:r w:rsidRPr="00183B5F">
        <w:rPr>
          <w:szCs w:val="22"/>
        </w:rPr>
        <w:t>eritéma multiforme (gyulladásos bőrkiütés)</w:t>
      </w:r>
    </w:p>
    <w:p w14:paraId="3EA5BA37" w14:textId="77777777" w:rsidR="00743EDE" w:rsidRPr="00183B5F" w:rsidRDefault="00943743" w:rsidP="004062FE">
      <w:pPr>
        <w:numPr>
          <w:ilvl w:val="0"/>
          <w:numId w:val="56"/>
        </w:numPr>
        <w:spacing w:line="240" w:lineRule="auto"/>
        <w:ind w:right="-2"/>
        <w:rPr>
          <w:szCs w:val="22"/>
        </w:rPr>
      </w:pPr>
      <w:r w:rsidRPr="00183B5F">
        <w:rPr>
          <w:szCs w:val="22"/>
        </w:rPr>
        <w:t>lupusz-szerű szindróma</w:t>
      </w:r>
    </w:p>
    <w:p w14:paraId="76E5B6B4" w14:textId="77777777" w:rsidR="007D1777" w:rsidRPr="00183B5F" w:rsidRDefault="00943743" w:rsidP="004062FE">
      <w:pPr>
        <w:numPr>
          <w:ilvl w:val="0"/>
          <w:numId w:val="56"/>
        </w:numPr>
        <w:spacing w:line="240" w:lineRule="auto"/>
        <w:ind w:right="-2"/>
        <w:rPr>
          <w:szCs w:val="22"/>
        </w:rPr>
      </w:pPr>
      <w:r w:rsidRPr="00183B5F">
        <w:rPr>
          <w:szCs w:val="22"/>
        </w:rPr>
        <w:t>angioödéma (helyi bőrduzzanat)</w:t>
      </w:r>
    </w:p>
    <w:p w14:paraId="659F18B7" w14:textId="77777777" w:rsidR="009F449B" w:rsidRPr="00183B5F" w:rsidRDefault="00943743">
      <w:pPr>
        <w:numPr>
          <w:ilvl w:val="0"/>
          <w:numId w:val="56"/>
        </w:numPr>
        <w:spacing w:line="240" w:lineRule="auto"/>
        <w:ind w:right="-2"/>
        <w:rPr>
          <w:szCs w:val="22"/>
        </w:rPr>
      </w:pPr>
      <w:r w:rsidRPr="00183B5F">
        <w:rPr>
          <w:szCs w:val="22"/>
        </w:rPr>
        <w:t>lichenoid bőrreakció (viszkető</w:t>
      </w:r>
      <w:r w:rsidR="00782C0E" w:rsidRPr="00183B5F">
        <w:rPr>
          <w:szCs w:val="22"/>
        </w:rPr>
        <w:t>,</w:t>
      </w:r>
      <w:r w:rsidRPr="00183B5F">
        <w:rPr>
          <w:szCs w:val="22"/>
        </w:rPr>
        <w:t xml:space="preserve"> </w:t>
      </w:r>
      <w:r w:rsidR="007865CD" w:rsidRPr="00183B5F">
        <w:rPr>
          <w:szCs w:val="22"/>
        </w:rPr>
        <w:t>vöröses</w:t>
      </w:r>
      <w:r w:rsidRPr="00183B5F">
        <w:rPr>
          <w:szCs w:val="22"/>
        </w:rPr>
        <w:t>-lilás bőrkiütés).</w:t>
      </w:r>
    </w:p>
    <w:p w14:paraId="2384121A" w14:textId="77777777" w:rsidR="00743EDE" w:rsidRPr="00183B5F" w:rsidRDefault="00743EDE" w:rsidP="004062FE">
      <w:pPr>
        <w:spacing w:line="240" w:lineRule="auto"/>
        <w:ind w:right="-2"/>
        <w:rPr>
          <w:szCs w:val="22"/>
          <w:lang w:eastAsia="de-DE"/>
        </w:rPr>
      </w:pPr>
    </w:p>
    <w:p w14:paraId="1CB73F52" w14:textId="77777777" w:rsidR="00743EDE" w:rsidRPr="00183B5F" w:rsidRDefault="00943743" w:rsidP="004062FE">
      <w:pPr>
        <w:spacing w:line="240" w:lineRule="auto"/>
        <w:ind w:right="-2"/>
        <w:rPr>
          <w:szCs w:val="22"/>
        </w:rPr>
      </w:pPr>
      <w:r w:rsidRPr="00183B5F">
        <w:rPr>
          <w:b/>
          <w:szCs w:val="22"/>
        </w:rPr>
        <w:t>Nem ismert</w:t>
      </w:r>
      <w:r w:rsidRPr="00183B5F">
        <w:rPr>
          <w:szCs w:val="22"/>
        </w:rPr>
        <w:t xml:space="preserve"> (a </w:t>
      </w:r>
      <w:r w:rsidR="00004B4F" w:rsidRPr="00183B5F">
        <w:rPr>
          <w:szCs w:val="22"/>
        </w:rPr>
        <w:t xml:space="preserve">gyakoriság a </w:t>
      </w:r>
      <w:r w:rsidRPr="00183B5F">
        <w:rPr>
          <w:szCs w:val="22"/>
        </w:rPr>
        <w:t>rendelkezésre álló adatokból nem állapítható meg)</w:t>
      </w:r>
    </w:p>
    <w:p w14:paraId="3D04F864" w14:textId="77777777" w:rsidR="00743EDE" w:rsidRPr="00183B5F" w:rsidRDefault="00743EDE" w:rsidP="004062FE">
      <w:pPr>
        <w:spacing w:line="240" w:lineRule="auto"/>
        <w:ind w:right="-2"/>
        <w:rPr>
          <w:szCs w:val="22"/>
        </w:rPr>
      </w:pPr>
    </w:p>
    <w:p w14:paraId="02B9F8BC" w14:textId="77777777" w:rsidR="00743EDE" w:rsidRPr="00183B5F" w:rsidRDefault="00943743" w:rsidP="00874034">
      <w:pPr>
        <w:numPr>
          <w:ilvl w:val="0"/>
          <w:numId w:val="106"/>
        </w:numPr>
        <w:spacing w:line="240" w:lineRule="auto"/>
        <w:ind w:left="567" w:right="-2" w:hanging="567"/>
        <w:rPr>
          <w:szCs w:val="22"/>
        </w:rPr>
      </w:pPr>
      <w:r w:rsidRPr="00183B5F">
        <w:rPr>
          <w:szCs w:val="22"/>
        </w:rPr>
        <w:t>hepatoszplénikus T-sejtes limfóma (ritka vérrák, ami gyakran halálos kimenetelű)</w:t>
      </w:r>
    </w:p>
    <w:p w14:paraId="3388070F" w14:textId="77777777" w:rsidR="00743EDE" w:rsidRPr="00183B5F" w:rsidRDefault="00943743" w:rsidP="00874034">
      <w:pPr>
        <w:numPr>
          <w:ilvl w:val="0"/>
          <w:numId w:val="106"/>
        </w:numPr>
        <w:spacing w:line="240" w:lineRule="auto"/>
        <w:ind w:left="567" w:right="-2" w:hanging="567"/>
        <w:rPr>
          <w:szCs w:val="22"/>
        </w:rPr>
      </w:pPr>
      <w:r w:rsidRPr="00183B5F">
        <w:rPr>
          <w:szCs w:val="22"/>
        </w:rPr>
        <w:t>Merkel</w:t>
      </w:r>
      <w:r w:rsidRPr="00183B5F">
        <w:rPr>
          <w:szCs w:val="22"/>
        </w:rPr>
        <w:noBreakHyphen/>
        <w:t>sejtes karcinóma (bőrrák egyik típusa)</w:t>
      </w:r>
    </w:p>
    <w:p w14:paraId="04839E3A" w14:textId="77777777" w:rsidR="00874034" w:rsidRPr="00183B5F" w:rsidRDefault="00943743" w:rsidP="00874034">
      <w:pPr>
        <w:numPr>
          <w:ilvl w:val="0"/>
          <w:numId w:val="106"/>
        </w:numPr>
        <w:spacing w:line="240" w:lineRule="auto"/>
        <w:ind w:left="567" w:right="-2" w:hanging="567"/>
        <w:rPr>
          <w:szCs w:val="22"/>
        </w:rPr>
      </w:pPr>
      <w:r w:rsidRPr="00183B5F">
        <w:rPr>
          <w:szCs w:val="22"/>
        </w:rPr>
        <w:t>Kaposi-szarkóma, a 8-as típusú humán herpeszvírus fertőzéssel járó ritka daganatos megbetegedés. A Kaposi-szarkóma leggyakrabban a bőrön jelenik meg lila elváltozások formájában</w:t>
      </w:r>
    </w:p>
    <w:p w14:paraId="4859BE08" w14:textId="77777777" w:rsidR="00743EDE" w:rsidRPr="00183B5F" w:rsidRDefault="00943743" w:rsidP="00874034">
      <w:pPr>
        <w:numPr>
          <w:ilvl w:val="0"/>
          <w:numId w:val="106"/>
        </w:numPr>
        <w:spacing w:line="240" w:lineRule="auto"/>
        <w:ind w:left="567" w:right="-2" w:hanging="567"/>
        <w:rPr>
          <w:szCs w:val="22"/>
        </w:rPr>
      </w:pPr>
      <w:r w:rsidRPr="00183B5F">
        <w:rPr>
          <w:szCs w:val="22"/>
        </w:rPr>
        <w:t>májelégtelenség</w:t>
      </w:r>
    </w:p>
    <w:p w14:paraId="35DC2421" w14:textId="77777777" w:rsidR="00743EDE" w:rsidRPr="00183B5F" w:rsidRDefault="00943743" w:rsidP="004062FE">
      <w:pPr>
        <w:numPr>
          <w:ilvl w:val="0"/>
          <w:numId w:val="106"/>
        </w:numPr>
        <w:spacing w:line="240" w:lineRule="auto"/>
        <w:ind w:left="540" w:right="-2" w:hanging="540"/>
        <w:rPr>
          <w:szCs w:val="22"/>
        </w:rPr>
      </w:pPr>
      <w:r w:rsidRPr="00183B5F">
        <w:rPr>
          <w:szCs w:val="22"/>
        </w:rPr>
        <w:t>dermatomiozitisz nevű betegség (izomgyengeséghez társult bőrkiütés formájában jelentkezik) súlyosbodása</w:t>
      </w:r>
    </w:p>
    <w:p w14:paraId="5962DD0E" w14:textId="77777777" w:rsidR="004025F9" w:rsidRPr="00183B5F" w:rsidRDefault="00943743" w:rsidP="004025F9">
      <w:pPr>
        <w:numPr>
          <w:ilvl w:val="0"/>
          <w:numId w:val="106"/>
        </w:numPr>
        <w:spacing w:line="240" w:lineRule="auto"/>
        <w:ind w:left="540" w:right="-2" w:hanging="540"/>
        <w:rPr>
          <w:szCs w:val="22"/>
        </w:rPr>
      </w:pPr>
      <w:r w:rsidRPr="00183B5F">
        <w:t>testsúlynövekedés (a legtöbb betegnél ez kismértékű volt)</w:t>
      </w:r>
    </w:p>
    <w:p w14:paraId="40C73E79" w14:textId="77777777" w:rsidR="00743EDE" w:rsidRPr="00183B5F" w:rsidRDefault="00743EDE" w:rsidP="004062FE">
      <w:pPr>
        <w:spacing w:line="240" w:lineRule="auto"/>
        <w:ind w:right="-2"/>
        <w:rPr>
          <w:szCs w:val="22"/>
          <w:lang w:eastAsia="de-DE"/>
        </w:rPr>
      </w:pPr>
    </w:p>
    <w:p w14:paraId="36B48060" w14:textId="77777777" w:rsidR="00743EDE" w:rsidRPr="00183B5F" w:rsidRDefault="00943743" w:rsidP="004062FE">
      <w:pPr>
        <w:suppressAutoHyphens w:val="0"/>
        <w:autoSpaceDE w:val="0"/>
        <w:autoSpaceDN w:val="0"/>
        <w:adjustRightInd w:val="0"/>
        <w:spacing w:line="240" w:lineRule="auto"/>
        <w:rPr>
          <w:szCs w:val="22"/>
          <w:lang w:eastAsia="de-DE"/>
        </w:rPr>
      </w:pPr>
      <w:r w:rsidRPr="00183B5F">
        <w:rPr>
          <w:szCs w:val="22"/>
          <w:lang w:eastAsia="de-DE"/>
        </w:rPr>
        <w:t>A Humira alkalmazása során észlelt némelyik mellékhatás nem okoz tüneteket, és lehet, hogy csak vérvizsgálattal deríthető ki. Ezek közé tartozik:</w:t>
      </w:r>
    </w:p>
    <w:p w14:paraId="45ADA33D" w14:textId="77777777" w:rsidR="00743EDE" w:rsidRPr="00183B5F" w:rsidRDefault="00743EDE" w:rsidP="004062FE">
      <w:pPr>
        <w:suppressAutoHyphens w:val="0"/>
        <w:autoSpaceDE w:val="0"/>
        <w:autoSpaceDN w:val="0"/>
        <w:adjustRightInd w:val="0"/>
        <w:spacing w:line="240" w:lineRule="auto"/>
        <w:rPr>
          <w:szCs w:val="22"/>
          <w:lang w:eastAsia="de-DE"/>
        </w:rPr>
      </w:pPr>
    </w:p>
    <w:p w14:paraId="315C3620" w14:textId="77777777" w:rsidR="00743EDE" w:rsidRPr="00183B5F" w:rsidRDefault="00943743" w:rsidP="004062FE">
      <w:pPr>
        <w:suppressAutoHyphens w:val="0"/>
        <w:spacing w:line="240" w:lineRule="auto"/>
        <w:rPr>
          <w:szCs w:val="22"/>
        </w:rPr>
      </w:pPr>
      <w:r w:rsidRPr="00183B5F">
        <w:rPr>
          <w:b/>
          <w:szCs w:val="22"/>
        </w:rPr>
        <w:t>Nagyon gyakori</w:t>
      </w:r>
      <w:r w:rsidRPr="00183B5F">
        <w:rPr>
          <w:szCs w:val="22"/>
        </w:rPr>
        <w:t xml:space="preserve"> (10 beteg közül több mint 1</w:t>
      </w:r>
      <w:r w:rsidRPr="00183B5F">
        <w:rPr>
          <w:szCs w:val="22"/>
        </w:rPr>
        <w:noBreakHyphen/>
        <w:t>nél alakul ki)</w:t>
      </w:r>
    </w:p>
    <w:p w14:paraId="399530BC" w14:textId="77777777" w:rsidR="00743EDE" w:rsidRPr="00183B5F" w:rsidRDefault="00743EDE" w:rsidP="004062FE">
      <w:pPr>
        <w:suppressAutoHyphens w:val="0"/>
        <w:spacing w:line="240" w:lineRule="auto"/>
        <w:rPr>
          <w:szCs w:val="22"/>
        </w:rPr>
      </w:pPr>
    </w:p>
    <w:p w14:paraId="2B7B5E3C" w14:textId="77777777" w:rsidR="00743EDE"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alacsony fehérvérsejtszám</w:t>
      </w:r>
    </w:p>
    <w:p w14:paraId="36DAF7A4" w14:textId="77777777" w:rsidR="00743EDE"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alacsony vörösvértestszám</w:t>
      </w:r>
    </w:p>
    <w:p w14:paraId="095B323D" w14:textId="77777777" w:rsidR="00743EDE"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a vérzsírszint emelkedése</w:t>
      </w:r>
    </w:p>
    <w:p w14:paraId="0AA2F19B" w14:textId="77777777" w:rsidR="00743EDE"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emelkedett májenzimszint</w:t>
      </w:r>
    </w:p>
    <w:p w14:paraId="281B7790" w14:textId="77777777" w:rsidR="00743EDE" w:rsidRPr="00183B5F" w:rsidRDefault="00743EDE" w:rsidP="004062FE">
      <w:pPr>
        <w:suppressAutoHyphens w:val="0"/>
        <w:spacing w:line="240" w:lineRule="auto"/>
        <w:rPr>
          <w:szCs w:val="22"/>
        </w:rPr>
      </w:pPr>
    </w:p>
    <w:p w14:paraId="40C6A841" w14:textId="77777777" w:rsidR="00743EDE" w:rsidRPr="00183B5F" w:rsidRDefault="00943743" w:rsidP="004062FE">
      <w:pPr>
        <w:suppressAutoHyphens w:val="0"/>
        <w:spacing w:line="240" w:lineRule="auto"/>
        <w:rPr>
          <w:szCs w:val="22"/>
        </w:rPr>
      </w:pPr>
      <w:r w:rsidRPr="00183B5F">
        <w:rPr>
          <w:b/>
          <w:szCs w:val="22"/>
        </w:rPr>
        <w:t xml:space="preserve">Gyakori </w:t>
      </w:r>
      <w:r w:rsidRPr="00183B5F">
        <w:rPr>
          <w:szCs w:val="22"/>
        </w:rPr>
        <w:t>(10 </w:t>
      </w:r>
      <w:r w:rsidR="00E60726" w:rsidRPr="00183B5F">
        <w:rPr>
          <w:szCs w:val="22"/>
        </w:rPr>
        <w:t xml:space="preserve">beteg </w:t>
      </w:r>
      <w:r w:rsidRPr="00183B5F">
        <w:rPr>
          <w:szCs w:val="22"/>
        </w:rPr>
        <w:t>közül legfeljebb 1</w:t>
      </w:r>
      <w:r w:rsidRPr="00183B5F">
        <w:rPr>
          <w:szCs w:val="22"/>
        </w:rPr>
        <w:noBreakHyphen/>
        <w:t>nél alakul ki)</w:t>
      </w:r>
    </w:p>
    <w:p w14:paraId="20319065" w14:textId="77777777" w:rsidR="00743EDE" w:rsidRPr="00183B5F" w:rsidRDefault="00743EDE" w:rsidP="004062FE">
      <w:pPr>
        <w:suppressAutoHyphens w:val="0"/>
        <w:spacing w:line="240" w:lineRule="auto"/>
        <w:rPr>
          <w:szCs w:val="22"/>
        </w:rPr>
      </w:pPr>
    </w:p>
    <w:p w14:paraId="287D30CF" w14:textId="77777777" w:rsidR="00743EDE"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magas fehérvérsejtszám</w:t>
      </w:r>
    </w:p>
    <w:p w14:paraId="65C63EED" w14:textId="77777777" w:rsidR="00743EDE"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alacsony vérlemezkeszám</w:t>
      </w:r>
    </w:p>
    <w:p w14:paraId="0169001D" w14:textId="77777777" w:rsidR="00743EDE"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emelkedett húgysavszint a vérben</w:t>
      </w:r>
    </w:p>
    <w:p w14:paraId="34360F3C" w14:textId="77777777" w:rsidR="00743EDE"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kóros nátriumszint a vérben</w:t>
      </w:r>
    </w:p>
    <w:p w14:paraId="18F33B34" w14:textId="77777777" w:rsidR="00743EDE"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alacsony kalciumszint a vérben</w:t>
      </w:r>
    </w:p>
    <w:p w14:paraId="46330707" w14:textId="77777777" w:rsidR="00743EDE"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alacsony foszfátszint a vérben</w:t>
      </w:r>
    </w:p>
    <w:p w14:paraId="2EA18487" w14:textId="77777777" w:rsidR="00743EDE"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magas vércukorszint</w:t>
      </w:r>
    </w:p>
    <w:p w14:paraId="0565FD46" w14:textId="77777777" w:rsidR="00743EDE"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emelkedett laktát-dehidrogenáz-szint a vérben</w:t>
      </w:r>
    </w:p>
    <w:p w14:paraId="34B20BD2" w14:textId="77777777" w:rsidR="00743EDE"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autoantitestek megjelenése a vérben</w:t>
      </w:r>
    </w:p>
    <w:p w14:paraId="2D7C4345" w14:textId="77777777" w:rsidR="007D1777" w:rsidRPr="00183B5F" w:rsidRDefault="00943743" w:rsidP="004062FE">
      <w:pPr>
        <w:numPr>
          <w:ilvl w:val="0"/>
          <w:numId w:val="76"/>
        </w:numPr>
        <w:tabs>
          <w:tab w:val="clear" w:pos="720"/>
          <w:tab w:val="num" w:pos="550"/>
        </w:tabs>
        <w:suppressAutoHyphens w:val="0"/>
        <w:spacing w:line="240" w:lineRule="auto"/>
        <w:ind w:left="550" w:hanging="550"/>
      </w:pPr>
      <w:r w:rsidRPr="00183B5F">
        <w:t>alacsony káliumszint</w:t>
      </w:r>
      <w:r w:rsidR="001147C9" w:rsidRPr="00183B5F">
        <w:t xml:space="preserve"> a vérben</w:t>
      </w:r>
      <w:r w:rsidRPr="00183B5F">
        <w:t>.</w:t>
      </w:r>
    </w:p>
    <w:p w14:paraId="132D6897" w14:textId="77777777" w:rsidR="007D1777" w:rsidRPr="00183B5F" w:rsidRDefault="007D1777">
      <w:pPr>
        <w:suppressAutoHyphens w:val="0"/>
        <w:spacing w:line="240" w:lineRule="auto"/>
      </w:pPr>
    </w:p>
    <w:p w14:paraId="50121703" w14:textId="77777777" w:rsidR="007D1777" w:rsidRPr="00183B5F" w:rsidRDefault="00943743">
      <w:pPr>
        <w:suppressAutoHyphens w:val="0"/>
        <w:spacing w:line="240" w:lineRule="auto"/>
        <w:rPr>
          <w:szCs w:val="22"/>
        </w:rPr>
      </w:pPr>
      <w:r w:rsidRPr="00183B5F">
        <w:rPr>
          <w:b/>
        </w:rPr>
        <w:t>Nem gyakori (</w:t>
      </w:r>
      <w:r w:rsidRPr="00183B5F">
        <w:rPr>
          <w:szCs w:val="22"/>
        </w:rPr>
        <w:t>100 beteg közül legfeljebb 1</w:t>
      </w:r>
      <w:r w:rsidRPr="00183B5F">
        <w:rPr>
          <w:szCs w:val="22"/>
        </w:rPr>
        <w:noBreakHyphen/>
        <w:t>nél alakul ki)</w:t>
      </w:r>
    </w:p>
    <w:p w14:paraId="6109A3BB" w14:textId="77777777" w:rsidR="007D1777" w:rsidRPr="00183B5F" w:rsidRDefault="007D1777">
      <w:pPr>
        <w:suppressAutoHyphens w:val="0"/>
        <w:spacing w:line="240" w:lineRule="auto"/>
        <w:rPr>
          <w:szCs w:val="22"/>
        </w:rPr>
      </w:pPr>
    </w:p>
    <w:p w14:paraId="49DB2E60" w14:textId="77777777" w:rsidR="007D1777" w:rsidRPr="00183B5F" w:rsidRDefault="00943743" w:rsidP="004062FE">
      <w:pPr>
        <w:pStyle w:val="ListParagraph"/>
        <w:numPr>
          <w:ilvl w:val="0"/>
          <w:numId w:val="147"/>
        </w:numPr>
        <w:suppressAutoHyphens w:val="0"/>
        <w:spacing w:line="240" w:lineRule="auto"/>
        <w:contextualSpacing/>
        <w:rPr>
          <w:szCs w:val="22"/>
        </w:rPr>
      </w:pPr>
      <w:r w:rsidRPr="00183B5F">
        <w:t>emelkedett bilirubin</w:t>
      </w:r>
      <w:r w:rsidRPr="00183B5F">
        <w:noBreakHyphen/>
        <w:t>szint (máj</w:t>
      </w:r>
      <w:r w:rsidR="00F37E53" w:rsidRPr="00183B5F">
        <w:t>funkciós</w:t>
      </w:r>
      <w:r w:rsidRPr="00183B5F">
        <w:t>-vizsgálat</w:t>
      </w:r>
      <w:r w:rsidR="00F37E53" w:rsidRPr="00183B5F">
        <w:t>i eredmény</w:t>
      </w:r>
      <w:r w:rsidRPr="00183B5F">
        <w:t>)</w:t>
      </w:r>
    </w:p>
    <w:p w14:paraId="788EF2DC" w14:textId="77777777" w:rsidR="00743EDE" w:rsidRPr="00183B5F" w:rsidRDefault="00743EDE">
      <w:pPr>
        <w:suppressAutoHyphens w:val="0"/>
        <w:spacing w:line="240" w:lineRule="auto"/>
        <w:rPr>
          <w:szCs w:val="22"/>
        </w:rPr>
      </w:pPr>
    </w:p>
    <w:p w14:paraId="1F07E7E5" w14:textId="77777777" w:rsidR="00743EDE" w:rsidRPr="00183B5F" w:rsidRDefault="00943743" w:rsidP="004062FE">
      <w:pPr>
        <w:suppressAutoHyphens w:val="0"/>
        <w:spacing w:line="240" w:lineRule="auto"/>
        <w:rPr>
          <w:szCs w:val="22"/>
        </w:rPr>
      </w:pPr>
      <w:r w:rsidRPr="00183B5F">
        <w:rPr>
          <w:b/>
          <w:szCs w:val="22"/>
        </w:rPr>
        <w:t xml:space="preserve">Ritka </w:t>
      </w:r>
      <w:r w:rsidRPr="00183B5F">
        <w:rPr>
          <w:szCs w:val="22"/>
        </w:rPr>
        <w:t>(1000 beteg közül legfeljebb 1</w:t>
      </w:r>
      <w:r w:rsidRPr="00183B5F">
        <w:rPr>
          <w:szCs w:val="22"/>
        </w:rPr>
        <w:noBreakHyphen/>
        <w:t>nél alakul ki)</w:t>
      </w:r>
    </w:p>
    <w:p w14:paraId="0D580D58" w14:textId="77777777" w:rsidR="00743EDE" w:rsidRPr="00183B5F" w:rsidRDefault="00743EDE" w:rsidP="004062FE">
      <w:pPr>
        <w:suppressAutoHyphens w:val="0"/>
        <w:spacing w:line="240" w:lineRule="auto"/>
        <w:rPr>
          <w:szCs w:val="22"/>
        </w:rPr>
      </w:pPr>
    </w:p>
    <w:p w14:paraId="06049195" w14:textId="77777777" w:rsidR="00743EDE"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alacsony fehérvérsejtszám, vörösvértestszám és vérlemezkeszám</w:t>
      </w:r>
    </w:p>
    <w:p w14:paraId="7851C5D6" w14:textId="77777777" w:rsidR="00743EDE" w:rsidRPr="00183B5F" w:rsidRDefault="00743EDE">
      <w:pPr>
        <w:suppressAutoHyphens w:val="0"/>
        <w:spacing w:line="240" w:lineRule="auto"/>
        <w:rPr>
          <w:szCs w:val="22"/>
        </w:rPr>
      </w:pPr>
    </w:p>
    <w:p w14:paraId="741F923C" w14:textId="77777777" w:rsidR="00743EDE" w:rsidRPr="00183B5F" w:rsidRDefault="00943743" w:rsidP="004062FE">
      <w:pPr>
        <w:keepNext/>
        <w:suppressAutoHyphens w:val="0"/>
        <w:spacing w:line="240" w:lineRule="auto"/>
        <w:rPr>
          <w:szCs w:val="22"/>
        </w:rPr>
      </w:pPr>
      <w:r w:rsidRPr="00183B5F">
        <w:rPr>
          <w:b/>
          <w:szCs w:val="22"/>
        </w:rPr>
        <w:t>Nem ismert</w:t>
      </w:r>
      <w:r w:rsidRPr="00183B5F">
        <w:rPr>
          <w:szCs w:val="22"/>
        </w:rPr>
        <w:t xml:space="preserve"> (a rendelkezésre álló adatokból a gyakoriság nem állapítható meg)</w:t>
      </w:r>
    </w:p>
    <w:p w14:paraId="7A39EC6C" w14:textId="77777777" w:rsidR="00743EDE" w:rsidRPr="00183B5F" w:rsidRDefault="00743EDE" w:rsidP="004062FE">
      <w:pPr>
        <w:keepNext/>
        <w:suppressAutoHyphens w:val="0"/>
        <w:spacing w:line="240" w:lineRule="auto"/>
        <w:rPr>
          <w:szCs w:val="22"/>
        </w:rPr>
      </w:pPr>
    </w:p>
    <w:p w14:paraId="1B2FE957" w14:textId="77777777" w:rsidR="00743EDE"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májelégtelenség</w:t>
      </w:r>
    </w:p>
    <w:p w14:paraId="18177D0F" w14:textId="77777777" w:rsidR="00743EDE" w:rsidRPr="00183B5F" w:rsidRDefault="00743EDE" w:rsidP="004062FE">
      <w:pPr>
        <w:spacing w:line="240" w:lineRule="auto"/>
        <w:ind w:right="-2"/>
        <w:rPr>
          <w:szCs w:val="22"/>
        </w:rPr>
      </w:pPr>
    </w:p>
    <w:p w14:paraId="582562BE" w14:textId="77777777" w:rsidR="00743EDE" w:rsidRPr="00183B5F" w:rsidRDefault="00943743">
      <w:pPr>
        <w:keepNext/>
        <w:spacing w:line="240" w:lineRule="auto"/>
        <w:ind w:right="-29"/>
        <w:rPr>
          <w:b/>
          <w:bCs/>
        </w:rPr>
      </w:pPr>
      <w:r w:rsidRPr="00183B5F">
        <w:rPr>
          <w:b/>
          <w:bCs/>
        </w:rPr>
        <w:t>Mellékhatások bejelentése</w:t>
      </w:r>
    </w:p>
    <w:p w14:paraId="2D49F901" w14:textId="77777777" w:rsidR="00743EDE" w:rsidRPr="00183B5F" w:rsidRDefault="00943743">
      <w:pPr>
        <w:spacing w:line="240" w:lineRule="auto"/>
        <w:ind w:right="-2"/>
      </w:pPr>
      <w:r w:rsidRPr="00183B5F">
        <w:rPr>
          <w:szCs w:val="24"/>
        </w:rPr>
        <w:t xml:space="preserve">Ha </w:t>
      </w:r>
      <w:r w:rsidRPr="00183B5F">
        <w:rPr>
          <w:noProof/>
          <w:szCs w:val="24"/>
        </w:rPr>
        <w:t>Önnél bármilyen</w:t>
      </w:r>
      <w:r w:rsidRPr="00183B5F">
        <w:rPr>
          <w:szCs w:val="24"/>
        </w:rPr>
        <w:t xml:space="preserve"> mellékhatás </w:t>
      </w:r>
      <w:r w:rsidRPr="00183B5F">
        <w:rPr>
          <w:noProof/>
          <w:szCs w:val="24"/>
        </w:rPr>
        <w:t xml:space="preserve">jelentkezik, tájékoztassa kezelőorvosát </w:t>
      </w:r>
      <w:r w:rsidRPr="00183B5F">
        <w:rPr>
          <w:szCs w:val="24"/>
        </w:rPr>
        <w:t xml:space="preserve">vagy </w:t>
      </w:r>
      <w:r w:rsidRPr="00183B5F">
        <w:rPr>
          <w:noProof/>
          <w:szCs w:val="24"/>
        </w:rPr>
        <w:t>gyógyszerészét. Ez</w:t>
      </w:r>
      <w:r w:rsidRPr="00183B5F">
        <w:rPr>
          <w:szCs w:val="24"/>
        </w:rPr>
        <w:t xml:space="preserve"> a betegtájékoztatóban </w:t>
      </w:r>
      <w:r w:rsidRPr="00183B5F">
        <w:rPr>
          <w:noProof/>
          <w:szCs w:val="24"/>
        </w:rPr>
        <w:t>fel nem sorolt bármilyen lehetséges mellékhatásra is vonatkozik.</w:t>
      </w:r>
      <w:r w:rsidRPr="00183B5F">
        <w:t xml:space="preserve">A mellékhatásokat közvetlenül a hatóság részére is bejelentheti az </w:t>
      </w:r>
      <w:hyperlink r:id="rId75" w:history="1">
        <w:r w:rsidR="00743EDE" w:rsidRPr="00183B5F">
          <w:rPr>
            <w:rStyle w:val="Hyperlink"/>
            <w:highlight w:val="lightGray"/>
          </w:rPr>
          <w:t>V. függelékben</w:t>
        </w:r>
      </w:hyperlink>
      <w:r w:rsidRPr="00183B5F">
        <w:rPr>
          <w:highlight w:val="lightGray"/>
        </w:rPr>
        <w:t xml:space="preserve"> található elérhetőségeken keresztül</w:t>
      </w:r>
      <w:r w:rsidRPr="00183B5F">
        <w:t>. A mellékhatások bejelentésével Ön is hozzájárulhat ahhoz, hogy minél több információ álljon rendelkezésre a gyógyszer biztonságos alkalmazásával kapcsolatban.</w:t>
      </w:r>
    </w:p>
    <w:p w14:paraId="09E25703" w14:textId="77777777" w:rsidR="00743EDE" w:rsidRPr="00183B5F" w:rsidRDefault="00743EDE" w:rsidP="004062FE">
      <w:pPr>
        <w:spacing w:line="240" w:lineRule="auto"/>
        <w:ind w:right="-2"/>
        <w:rPr>
          <w:szCs w:val="22"/>
        </w:rPr>
      </w:pPr>
    </w:p>
    <w:p w14:paraId="4B30B1AE" w14:textId="77777777" w:rsidR="00743EDE" w:rsidRPr="00183B5F" w:rsidRDefault="00743EDE" w:rsidP="004062FE">
      <w:pPr>
        <w:spacing w:line="240" w:lineRule="auto"/>
        <w:ind w:right="-2"/>
        <w:rPr>
          <w:szCs w:val="22"/>
        </w:rPr>
      </w:pPr>
    </w:p>
    <w:p w14:paraId="261D44C4" w14:textId="77777777" w:rsidR="00743EDE" w:rsidRPr="00183B5F" w:rsidRDefault="00943743" w:rsidP="004062FE">
      <w:pPr>
        <w:keepNext/>
        <w:spacing w:line="240" w:lineRule="auto"/>
        <w:ind w:right="-2"/>
        <w:rPr>
          <w:b/>
          <w:szCs w:val="22"/>
        </w:rPr>
      </w:pPr>
      <w:r w:rsidRPr="00183B5F">
        <w:rPr>
          <w:b/>
          <w:bCs/>
          <w:szCs w:val="22"/>
        </w:rPr>
        <w:t>5.</w:t>
      </w:r>
      <w:r w:rsidRPr="00183B5F">
        <w:rPr>
          <w:b/>
          <w:bCs/>
          <w:szCs w:val="22"/>
        </w:rPr>
        <w:tab/>
      </w:r>
      <w:r w:rsidRPr="00183B5F">
        <w:rPr>
          <w:b/>
          <w:szCs w:val="22"/>
        </w:rPr>
        <w:t>Hogyan kell a Humira</w:t>
      </w:r>
      <w:r w:rsidRPr="00183B5F">
        <w:rPr>
          <w:b/>
          <w:szCs w:val="22"/>
        </w:rPr>
        <w:noBreakHyphen/>
        <w:t>t tárolni?</w:t>
      </w:r>
    </w:p>
    <w:p w14:paraId="4BE3E3E7" w14:textId="77777777" w:rsidR="00743EDE" w:rsidRPr="00183B5F" w:rsidRDefault="00743EDE" w:rsidP="004062FE">
      <w:pPr>
        <w:keepNext/>
        <w:spacing w:line="240" w:lineRule="auto"/>
        <w:ind w:right="-2"/>
        <w:rPr>
          <w:b/>
          <w:szCs w:val="22"/>
        </w:rPr>
      </w:pPr>
    </w:p>
    <w:p w14:paraId="00AAE073" w14:textId="77777777" w:rsidR="00743EDE" w:rsidRPr="00183B5F" w:rsidRDefault="00943743" w:rsidP="004062FE">
      <w:pPr>
        <w:keepNext/>
        <w:spacing w:line="240" w:lineRule="auto"/>
        <w:ind w:right="-2"/>
        <w:rPr>
          <w:szCs w:val="22"/>
        </w:rPr>
      </w:pPr>
      <w:r w:rsidRPr="00183B5F">
        <w:rPr>
          <w:szCs w:val="22"/>
        </w:rPr>
        <w:t>A gyógyszer gyermekektől elzárva tartandó.</w:t>
      </w:r>
    </w:p>
    <w:p w14:paraId="367152DA" w14:textId="77777777" w:rsidR="00743EDE" w:rsidRPr="00183B5F" w:rsidRDefault="00743EDE" w:rsidP="004062FE">
      <w:pPr>
        <w:keepNext/>
        <w:spacing w:line="240" w:lineRule="auto"/>
        <w:rPr>
          <w:szCs w:val="22"/>
        </w:rPr>
      </w:pPr>
    </w:p>
    <w:p w14:paraId="34843C14" w14:textId="77777777" w:rsidR="00743EDE" w:rsidRPr="00183B5F" w:rsidRDefault="00943743" w:rsidP="004062FE">
      <w:pPr>
        <w:keepNext/>
        <w:spacing w:line="240" w:lineRule="auto"/>
        <w:rPr>
          <w:szCs w:val="22"/>
        </w:rPr>
      </w:pPr>
      <w:r w:rsidRPr="00183B5F">
        <w:rPr>
          <w:szCs w:val="22"/>
        </w:rPr>
        <w:t xml:space="preserve">A címkén/buborékcsomagoláson/dobozon feltüntetett lejárati idő (EXP) után ne alkalmazza ezt </w:t>
      </w:r>
      <w:r w:rsidRPr="00183B5F">
        <w:rPr>
          <w:noProof/>
          <w:szCs w:val="24"/>
        </w:rPr>
        <w:t>a gyógyszert</w:t>
      </w:r>
      <w:r w:rsidRPr="00183B5F">
        <w:rPr>
          <w:szCs w:val="22"/>
        </w:rPr>
        <w:t>.</w:t>
      </w:r>
    </w:p>
    <w:p w14:paraId="5001AA20" w14:textId="77777777" w:rsidR="00743EDE" w:rsidRPr="00183B5F" w:rsidRDefault="00743EDE" w:rsidP="004062FE">
      <w:pPr>
        <w:spacing w:line="240" w:lineRule="auto"/>
        <w:rPr>
          <w:szCs w:val="22"/>
        </w:rPr>
      </w:pPr>
    </w:p>
    <w:p w14:paraId="6AE865D0" w14:textId="77777777" w:rsidR="00743EDE" w:rsidRPr="00183B5F" w:rsidRDefault="00943743" w:rsidP="004062FE">
      <w:pPr>
        <w:spacing w:line="240" w:lineRule="auto"/>
        <w:rPr>
          <w:szCs w:val="22"/>
        </w:rPr>
      </w:pPr>
      <w:r w:rsidRPr="00183B5F">
        <w:rPr>
          <w:szCs w:val="22"/>
        </w:rPr>
        <w:t>Hűtőszekrényben (2°C</w:t>
      </w:r>
      <w:r w:rsidRPr="00183B5F">
        <w:rPr>
          <w:szCs w:val="22"/>
        </w:rPr>
        <w:noBreakHyphen/>
        <w:t>8</w:t>
      </w:r>
      <w:r w:rsidRPr="00183B5F">
        <w:rPr>
          <w:rFonts w:ascii="Symbol" w:hAnsi="Symbol"/>
          <w:szCs w:val="22"/>
        </w:rPr>
        <w:sym w:font="Symbol" w:char="F0B0"/>
      </w:r>
      <w:r w:rsidRPr="00183B5F">
        <w:rPr>
          <w:szCs w:val="22"/>
        </w:rPr>
        <w:t>C) tárolandó. Nem fagyasztható!</w:t>
      </w:r>
    </w:p>
    <w:p w14:paraId="7096D4BF" w14:textId="77777777" w:rsidR="00743EDE" w:rsidRPr="00183B5F" w:rsidRDefault="00743EDE" w:rsidP="004062FE">
      <w:pPr>
        <w:spacing w:line="240" w:lineRule="auto"/>
        <w:rPr>
          <w:szCs w:val="22"/>
        </w:rPr>
      </w:pPr>
    </w:p>
    <w:p w14:paraId="656C8AB6" w14:textId="77777777" w:rsidR="00743EDE" w:rsidRPr="00183B5F" w:rsidRDefault="00943743" w:rsidP="004062FE">
      <w:pPr>
        <w:spacing w:line="240" w:lineRule="auto"/>
        <w:rPr>
          <w:szCs w:val="22"/>
        </w:rPr>
      </w:pPr>
      <w:r w:rsidRPr="00183B5F">
        <w:rPr>
          <w:szCs w:val="22"/>
        </w:rPr>
        <w:t>A fénytől való védelem érdekében az előretöltött fecskendő az eredeti dobozban tárolandó.</w:t>
      </w:r>
    </w:p>
    <w:p w14:paraId="1012548B" w14:textId="77777777" w:rsidR="00743EDE" w:rsidRPr="00183B5F" w:rsidRDefault="00743EDE" w:rsidP="004062FE">
      <w:pPr>
        <w:spacing w:line="240" w:lineRule="auto"/>
        <w:rPr>
          <w:szCs w:val="22"/>
        </w:rPr>
      </w:pPr>
    </w:p>
    <w:p w14:paraId="2A42059B" w14:textId="77777777" w:rsidR="00743EDE" w:rsidRPr="00183B5F" w:rsidRDefault="00943743" w:rsidP="004062FE">
      <w:pPr>
        <w:spacing w:line="240" w:lineRule="auto"/>
        <w:rPr>
          <w:szCs w:val="22"/>
        </w:rPr>
      </w:pPr>
      <w:r w:rsidRPr="00183B5F">
        <w:rPr>
          <w:szCs w:val="22"/>
        </w:rPr>
        <w:t>További tárolási lehetőség:</w:t>
      </w:r>
    </w:p>
    <w:p w14:paraId="41DDCC1F" w14:textId="77777777" w:rsidR="00743EDE" w:rsidRPr="00183B5F" w:rsidRDefault="00743EDE" w:rsidP="004062FE">
      <w:pPr>
        <w:spacing w:line="240" w:lineRule="auto"/>
        <w:rPr>
          <w:szCs w:val="22"/>
        </w:rPr>
      </w:pPr>
    </w:p>
    <w:p w14:paraId="74EC9FAB" w14:textId="77777777" w:rsidR="00743EDE" w:rsidRPr="00183B5F" w:rsidRDefault="00943743" w:rsidP="004062FE">
      <w:pPr>
        <w:spacing w:line="240" w:lineRule="auto"/>
        <w:rPr>
          <w:szCs w:val="22"/>
        </w:rPr>
      </w:pPr>
      <w:r w:rsidRPr="00183B5F">
        <w:rPr>
          <w:szCs w:val="22"/>
        </w:rPr>
        <w:t>Amennyiben szükséges (</w:t>
      </w:r>
      <w:r w:rsidR="00E05701" w:rsidRPr="00183B5F">
        <w:rPr>
          <w:bCs/>
          <w:szCs w:val="22"/>
        </w:rPr>
        <w:t>például</w:t>
      </w:r>
      <w:r w:rsidR="00E05701" w:rsidRPr="00183B5F">
        <w:rPr>
          <w:szCs w:val="22"/>
        </w:rPr>
        <w:t xml:space="preserve"> </w:t>
      </w:r>
      <w:r w:rsidRPr="00183B5F">
        <w:rPr>
          <w:szCs w:val="22"/>
        </w:rPr>
        <w:t>utazás alatt), úgy önmagában a Humira előretöltött fecskendő legfeljebb 25</w:t>
      </w:r>
      <w:r w:rsidRPr="00183B5F">
        <w:rPr>
          <w:rFonts w:ascii="Symbol" w:hAnsi="Symbol"/>
          <w:szCs w:val="22"/>
        </w:rPr>
        <w:sym w:font="Symbol" w:char="F0B0"/>
      </w:r>
      <w:r w:rsidRPr="00183B5F">
        <w:rPr>
          <w:szCs w:val="22"/>
        </w:rPr>
        <w:t>C</w:t>
      </w:r>
      <w:r w:rsidRPr="00183B5F">
        <w:rPr>
          <w:szCs w:val="22"/>
        </w:rPr>
        <w:noBreakHyphen/>
        <w:t>on, maximum 14</w:t>
      </w:r>
      <w:r w:rsidR="00EF71A4" w:rsidRPr="00183B5F">
        <w:rPr>
          <w:szCs w:val="22"/>
        </w:rPr>
        <w:t> </w:t>
      </w:r>
      <w:r w:rsidRPr="00183B5F">
        <w:rPr>
          <w:szCs w:val="22"/>
        </w:rPr>
        <w:t xml:space="preserve">napig tárolható. A fénytől való védelmet biztosítani kell. Ha a hűtőgépből kivette, hogy szobahőmérsékleten tartsa, úgy a fecskendőt </w:t>
      </w:r>
      <w:r w:rsidRPr="00183B5F">
        <w:rPr>
          <w:b/>
          <w:szCs w:val="22"/>
        </w:rPr>
        <w:t>14 napon belül fel kell használni, vagy meg kell semmisíteni</w:t>
      </w:r>
      <w:r w:rsidRPr="00183B5F">
        <w:rPr>
          <w:szCs w:val="22"/>
        </w:rPr>
        <w:t>, még akkor is, ha visszatette a hűtőszekrénybe.</w:t>
      </w:r>
    </w:p>
    <w:p w14:paraId="34B65E3B" w14:textId="77777777" w:rsidR="00743EDE" w:rsidRPr="00183B5F" w:rsidRDefault="00743EDE" w:rsidP="004062FE">
      <w:pPr>
        <w:spacing w:line="240" w:lineRule="auto"/>
        <w:rPr>
          <w:szCs w:val="22"/>
        </w:rPr>
      </w:pPr>
    </w:p>
    <w:p w14:paraId="5349C1B1" w14:textId="77777777" w:rsidR="00743EDE" w:rsidRPr="00183B5F" w:rsidRDefault="00943743" w:rsidP="004062FE">
      <w:pPr>
        <w:spacing w:line="240" w:lineRule="auto"/>
        <w:rPr>
          <w:szCs w:val="22"/>
        </w:rPr>
      </w:pPr>
      <w:r w:rsidRPr="00183B5F">
        <w:rPr>
          <w:szCs w:val="22"/>
        </w:rPr>
        <w:t>Jegyezze fel, hogy mikor vette ki először a fecskendőt a hűtőszekrényből, és azt a dátumot is, ami után azt meg kell semmisíteni.</w:t>
      </w:r>
    </w:p>
    <w:p w14:paraId="4F988F59" w14:textId="77777777" w:rsidR="00743EDE" w:rsidRPr="00183B5F" w:rsidRDefault="00743EDE" w:rsidP="004062FE">
      <w:pPr>
        <w:spacing w:line="240" w:lineRule="auto"/>
        <w:rPr>
          <w:szCs w:val="22"/>
        </w:rPr>
      </w:pPr>
    </w:p>
    <w:p w14:paraId="2AC02053" w14:textId="77777777" w:rsidR="00743EDE" w:rsidRPr="00183B5F" w:rsidRDefault="00943743" w:rsidP="004062FE">
      <w:pPr>
        <w:spacing w:line="240" w:lineRule="auto"/>
        <w:ind w:right="-2"/>
        <w:rPr>
          <w:szCs w:val="22"/>
        </w:rPr>
      </w:pPr>
      <w:r w:rsidRPr="00183B5F">
        <w:rPr>
          <w:noProof/>
          <w:szCs w:val="24"/>
        </w:rPr>
        <w:t xml:space="preserve">Semmilyen gyógyszert ne dobjon a szennyvízbe </w:t>
      </w:r>
      <w:r w:rsidRPr="00183B5F">
        <w:rPr>
          <w:szCs w:val="24"/>
        </w:rPr>
        <w:t xml:space="preserve">vagy a háztartási </w:t>
      </w:r>
      <w:r w:rsidRPr="00183B5F">
        <w:rPr>
          <w:noProof/>
          <w:szCs w:val="24"/>
        </w:rPr>
        <w:t>hulladékba.</w:t>
      </w:r>
      <w:r w:rsidRPr="00183B5F">
        <w:rPr>
          <w:szCs w:val="24"/>
        </w:rPr>
        <w:t xml:space="preserve"> Kérdezze meg gyógyszerészét, hogy mit tegyen </w:t>
      </w:r>
      <w:r w:rsidRPr="00183B5F">
        <w:rPr>
          <w:noProof/>
          <w:szCs w:val="24"/>
        </w:rPr>
        <w:t>a már nem használt</w:t>
      </w:r>
      <w:r w:rsidRPr="00183B5F">
        <w:rPr>
          <w:szCs w:val="24"/>
        </w:rPr>
        <w:t xml:space="preserve"> gyógyszereivel. </w:t>
      </w:r>
      <w:r w:rsidRPr="00183B5F">
        <w:rPr>
          <w:noProof/>
          <w:szCs w:val="24"/>
        </w:rPr>
        <w:t>Ezek az intézkedések elősegítik a környezet védelmét.</w:t>
      </w:r>
    </w:p>
    <w:p w14:paraId="27A4E593" w14:textId="77777777" w:rsidR="00743EDE" w:rsidRPr="00183B5F" w:rsidRDefault="00743EDE" w:rsidP="004062FE">
      <w:pPr>
        <w:spacing w:line="240" w:lineRule="auto"/>
        <w:ind w:right="-2"/>
        <w:rPr>
          <w:szCs w:val="22"/>
        </w:rPr>
      </w:pPr>
    </w:p>
    <w:p w14:paraId="7C07EE92" w14:textId="77777777" w:rsidR="00743EDE" w:rsidRPr="00183B5F" w:rsidRDefault="00743EDE" w:rsidP="004062FE">
      <w:pPr>
        <w:spacing w:line="240" w:lineRule="auto"/>
        <w:ind w:right="-2"/>
        <w:rPr>
          <w:szCs w:val="22"/>
        </w:rPr>
      </w:pPr>
    </w:p>
    <w:p w14:paraId="575863C1" w14:textId="77777777" w:rsidR="00743EDE" w:rsidRPr="00183B5F" w:rsidRDefault="00943743" w:rsidP="004062FE">
      <w:pPr>
        <w:keepNext/>
        <w:spacing w:line="240" w:lineRule="auto"/>
        <w:ind w:right="-2"/>
        <w:rPr>
          <w:b/>
          <w:noProof/>
          <w:szCs w:val="24"/>
        </w:rPr>
      </w:pPr>
      <w:r w:rsidRPr="00183B5F">
        <w:rPr>
          <w:b/>
          <w:szCs w:val="22"/>
        </w:rPr>
        <w:t>6.</w:t>
      </w:r>
      <w:r w:rsidRPr="00183B5F">
        <w:rPr>
          <w:b/>
          <w:szCs w:val="22"/>
        </w:rPr>
        <w:tab/>
      </w:r>
      <w:r w:rsidRPr="00183B5F">
        <w:rPr>
          <w:b/>
          <w:noProof/>
          <w:szCs w:val="24"/>
        </w:rPr>
        <w:t>A csomagolás tartalma és egyéb információk</w:t>
      </w:r>
    </w:p>
    <w:p w14:paraId="74F7C1BF" w14:textId="77777777" w:rsidR="00743EDE" w:rsidRPr="00183B5F" w:rsidRDefault="00743EDE" w:rsidP="004062FE">
      <w:pPr>
        <w:keepNext/>
        <w:spacing w:line="240" w:lineRule="auto"/>
        <w:rPr>
          <w:szCs w:val="22"/>
        </w:rPr>
      </w:pPr>
    </w:p>
    <w:p w14:paraId="5FD0A609" w14:textId="77777777" w:rsidR="00743EDE" w:rsidRPr="00183B5F" w:rsidRDefault="00943743" w:rsidP="004062FE">
      <w:pPr>
        <w:keepNext/>
        <w:spacing w:line="240" w:lineRule="auto"/>
        <w:rPr>
          <w:b/>
          <w:bCs/>
          <w:szCs w:val="22"/>
        </w:rPr>
      </w:pPr>
      <w:r w:rsidRPr="00183B5F">
        <w:rPr>
          <w:b/>
          <w:bCs/>
          <w:szCs w:val="22"/>
        </w:rPr>
        <w:t>Mit tartalmaz a Humira?</w:t>
      </w:r>
    </w:p>
    <w:p w14:paraId="627E859A" w14:textId="77777777" w:rsidR="00743EDE" w:rsidRPr="00183B5F" w:rsidRDefault="00743EDE" w:rsidP="004062FE">
      <w:pPr>
        <w:keepNext/>
        <w:spacing w:line="240" w:lineRule="auto"/>
        <w:rPr>
          <w:szCs w:val="22"/>
        </w:rPr>
      </w:pPr>
    </w:p>
    <w:p w14:paraId="2AD85916" w14:textId="77777777" w:rsidR="00743EDE" w:rsidRPr="00183B5F" w:rsidRDefault="00943743" w:rsidP="004062FE">
      <w:pPr>
        <w:numPr>
          <w:ilvl w:val="0"/>
          <w:numId w:val="76"/>
        </w:numPr>
        <w:tabs>
          <w:tab w:val="clear" w:pos="720"/>
        </w:tabs>
        <w:spacing w:line="240" w:lineRule="auto"/>
        <w:ind w:left="567" w:hanging="567"/>
        <w:rPr>
          <w:szCs w:val="22"/>
        </w:rPr>
      </w:pPr>
      <w:r w:rsidRPr="00183B5F">
        <w:rPr>
          <w:szCs w:val="22"/>
        </w:rPr>
        <w:t>A készítmény hatóanyaga: adalimumab.</w:t>
      </w:r>
    </w:p>
    <w:p w14:paraId="48DE694C" w14:textId="77777777" w:rsidR="00743EDE" w:rsidRPr="00183B5F" w:rsidRDefault="00943743" w:rsidP="004062FE">
      <w:pPr>
        <w:numPr>
          <w:ilvl w:val="0"/>
          <w:numId w:val="76"/>
        </w:numPr>
        <w:tabs>
          <w:tab w:val="clear" w:pos="720"/>
        </w:tabs>
        <w:spacing w:line="240" w:lineRule="auto"/>
        <w:ind w:left="567" w:hanging="567"/>
        <w:rPr>
          <w:szCs w:val="22"/>
        </w:rPr>
      </w:pPr>
      <w:r w:rsidRPr="00183B5F">
        <w:rPr>
          <w:szCs w:val="22"/>
        </w:rPr>
        <w:t>Egyéb összetevők: mannit, poliszorbát 80 és injekcióhoz való víz.</w:t>
      </w:r>
    </w:p>
    <w:p w14:paraId="177A6D51" w14:textId="77777777" w:rsidR="00743EDE" w:rsidRPr="00183B5F" w:rsidRDefault="00743EDE" w:rsidP="004062FE">
      <w:pPr>
        <w:spacing w:line="240" w:lineRule="auto"/>
        <w:ind w:right="-2"/>
        <w:rPr>
          <w:bCs/>
          <w:szCs w:val="22"/>
        </w:rPr>
      </w:pPr>
    </w:p>
    <w:p w14:paraId="4EC074B2" w14:textId="77777777" w:rsidR="00743EDE" w:rsidRPr="00183B5F" w:rsidRDefault="00943743" w:rsidP="004062FE">
      <w:pPr>
        <w:keepNext/>
        <w:spacing w:line="240" w:lineRule="auto"/>
        <w:ind w:right="-2"/>
        <w:rPr>
          <w:b/>
          <w:bCs/>
          <w:szCs w:val="22"/>
        </w:rPr>
      </w:pPr>
      <w:r w:rsidRPr="00183B5F">
        <w:rPr>
          <w:b/>
          <w:bCs/>
          <w:szCs w:val="22"/>
        </w:rPr>
        <w:t>Milyen a Humira előretöltött fecskendő külleme és mit tartalmaz a csomagolás?</w:t>
      </w:r>
    </w:p>
    <w:p w14:paraId="4849BA50" w14:textId="77777777" w:rsidR="00743EDE" w:rsidRPr="00183B5F" w:rsidRDefault="00743EDE" w:rsidP="004062FE">
      <w:pPr>
        <w:keepNext/>
        <w:spacing w:line="240" w:lineRule="auto"/>
        <w:ind w:right="-2"/>
        <w:rPr>
          <w:szCs w:val="22"/>
        </w:rPr>
      </w:pPr>
    </w:p>
    <w:p w14:paraId="4F7D6D3F" w14:textId="77777777" w:rsidR="00743EDE" w:rsidRPr="00183B5F" w:rsidRDefault="00943743" w:rsidP="004062FE">
      <w:pPr>
        <w:keepNext/>
        <w:spacing w:line="240" w:lineRule="auto"/>
        <w:rPr>
          <w:szCs w:val="22"/>
        </w:rPr>
      </w:pPr>
      <w:r w:rsidRPr="00183B5F">
        <w:rPr>
          <w:szCs w:val="22"/>
        </w:rPr>
        <w:t>A Humira 80 mg oldatos injekció előretöltött fecskendőben 80 mg adalimumabot tartalmazó 0,8 ml steril oldat formájában kerül forgalomba.</w:t>
      </w:r>
    </w:p>
    <w:p w14:paraId="19D4F017" w14:textId="77777777" w:rsidR="00743EDE" w:rsidRPr="00183B5F" w:rsidRDefault="00743EDE" w:rsidP="004062FE">
      <w:pPr>
        <w:spacing w:line="240" w:lineRule="auto"/>
        <w:ind w:right="-2"/>
        <w:rPr>
          <w:szCs w:val="22"/>
        </w:rPr>
      </w:pPr>
    </w:p>
    <w:p w14:paraId="190B72E8" w14:textId="77777777" w:rsidR="00743EDE" w:rsidRPr="00183B5F" w:rsidRDefault="00943743" w:rsidP="004062FE">
      <w:pPr>
        <w:spacing w:line="240" w:lineRule="auto"/>
        <w:ind w:right="-2"/>
        <w:rPr>
          <w:szCs w:val="22"/>
        </w:rPr>
      </w:pPr>
      <w:r w:rsidRPr="00183B5F">
        <w:rPr>
          <w:szCs w:val="22"/>
        </w:rPr>
        <w:t>A Humira előretöltött fecskendő egy adalimumab oldatot tartalmazó üveg fecskendő.</w:t>
      </w:r>
    </w:p>
    <w:p w14:paraId="6743EBDF" w14:textId="77777777" w:rsidR="00743EDE" w:rsidRPr="00183B5F" w:rsidRDefault="00743EDE" w:rsidP="004062FE">
      <w:pPr>
        <w:spacing w:line="240" w:lineRule="auto"/>
        <w:ind w:right="-2"/>
        <w:rPr>
          <w:szCs w:val="22"/>
        </w:rPr>
      </w:pPr>
    </w:p>
    <w:p w14:paraId="33BCAFB1" w14:textId="77777777" w:rsidR="00743EDE" w:rsidRPr="00183B5F" w:rsidRDefault="00943743" w:rsidP="004062FE">
      <w:pPr>
        <w:spacing w:line="240" w:lineRule="auto"/>
        <w:ind w:right="-2"/>
        <w:rPr>
          <w:szCs w:val="22"/>
        </w:rPr>
      </w:pPr>
      <w:r w:rsidRPr="00183B5F">
        <w:rPr>
          <w:szCs w:val="22"/>
        </w:rPr>
        <w:t>A Humira előretöltött fecskendő 1 db előretöltött fecskendőt és 1 db alkoholos törlőkendőt tartalmazó csomagban kerül forgalomba.</w:t>
      </w:r>
    </w:p>
    <w:p w14:paraId="68ACDF6E" w14:textId="77777777" w:rsidR="00743EDE" w:rsidRPr="00183B5F" w:rsidRDefault="00743EDE" w:rsidP="004062FE">
      <w:pPr>
        <w:spacing w:line="240" w:lineRule="auto"/>
        <w:ind w:right="-2"/>
        <w:rPr>
          <w:szCs w:val="22"/>
        </w:rPr>
      </w:pPr>
    </w:p>
    <w:p w14:paraId="4B047FC3" w14:textId="77777777" w:rsidR="00743EDE" w:rsidRPr="00183B5F" w:rsidRDefault="00943743" w:rsidP="004062FE">
      <w:pPr>
        <w:spacing w:line="240" w:lineRule="auto"/>
        <w:ind w:right="-2"/>
        <w:rPr>
          <w:szCs w:val="22"/>
        </w:rPr>
      </w:pPr>
      <w:r w:rsidRPr="00183B5F">
        <w:rPr>
          <w:szCs w:val="22"/>
        </w:rPr>
        <w:t>A Humira injekciós üvegben, előretöltött fecskendőben és</w:t>
      </w:r>
      <w:r w:rsidR="007D1777" w:rsidRPr="00183B5F">
        <w:rPr>
          <w:szCs w:val="22"/>
        </w:rPr>
        <w:t>/vagy</w:t>
      </w:r>
      <w:r w:rsidRPr="00183B5F">
        <w:rPr>
          <w:szCs w:val="22"/>
        </w:rPr>
        <w:t xml:space="preserve"> előretöltött injekciós tollban kapható.</w:t>
      </w:r>
    </w:p>
    <w:p w14:paraId="06A63EE6" w14:textId="77777777" w:rsidR="00743EDE" w:rsidRPr="00183B5F" w:rsidRDefault="00743EDE" w:rsidP="004062FE">
      <w:pPr>
        <w:spacing w:line="240" w:lineRule="auto"/>
        <w:ind w:right="-2"/>
        <w:rPr>
          <w:szCs w:val="22"/>
        </w:rPr>
      </w:pPr>
    </w:p>
    <w:p w14:paraId="32C7B5FA" w14:textId="77777777" w:rsidR="00743EDE" w:rsidRPr="00183B5F" w:rsidRDefault="00943743" w:rsidP="004062FE">
      <w:pPr>
        <w:keepNext/>
        <w:spacing w:line="240" w:lineRule="auto"/>
        <w:rPr>
          <w:b/>
          <w:bCs/>
          <w:szCs w:val="22"/>
        </w:rPr>
      </w:pPr>
      <w:r w:rsidRPr="00183B5F">
        <w:rPr>
          <w:b/>
          <w:bCs/>
          <w:szCs w:val="22"/>
        </w:rPr>
        <w:t>A forgalomba hozatali engedély jogosultja</w:t>
      </w:r>
    </w:p>
    <w:p w14:paraId="329D090B" w14:textId="77777777" w:rsidR="00743EDE" w:rsidRPr="00183B5F" w:rsidRDefault="00743EDE" w:rsidP="004062FE">
      <w:pPr>
        <w:keepNext/>
        <w:spacing w:line="240" w:lineRule="auto"/>
        <w:rPr>
          <w:szCs w:val="22"/>
        </w:rPr>
      </w:pPr>
    </w:p>
    <w:p w14:paraId="4D70C0F0"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AbbVie Deutschland GmbH &amp; Co. KG</w:t>
      </w:r>
    </w:p>
    <w:p w14:paraId="79A69E23"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Knollstrasse</w:t>
      </w:r>
    </w:p>
    <w:p w14:paraId="080D9496"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67061 Ludwigshafen</w:t>
      </w:r>
    </w:p>
    <w:p w14:paraId="0C09F950"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 xml:space="preserve">Németország </w:t>
      </w:r>
    </w:p>
    <w:p w14:paraId="75AE3C17" w14:textId="77777777" w:rsidR="00743EDE" w:rsidRPr="00183B5F" w:rsidRDefault="00743EDE" w:rsidP="004062FE">
      <w:pPr>
        <w:tabs>
          <w:tab w:val="left" w:pos="562"/>
        </w:tabs>
        <w:spacing w:line="240" w:lineRule="auto"/>
        <w:rPr>
          <w:szCs w:val="22"/>
          <w:lang w:eastAsia="en-US"/>
        </w:rPr>
      </w:pPr>
    </w:p>
    <w:p w14:paraId="384429E1" w14:textId="77777777" w:rsidR="00743EDE" w:rsidRPr="00183B5F" w:rsidRDefault="00943743" w:rsidP="004062FE">
      <w:pPr>
        <w:spacing w:line="240" w:lineRule="auto"/>
        <w:rPr>
          <w:b/>
          <w:bCs/>
          <w:szCs w:val="22"/>
        </w:rPr>
      </w:pPr>
      <w:r w:rsidRPr="00183B5F">
        <w:rPr>
          <w:b/>
          <w:bCs/>
          <w:szCs w:val="22"/>
        </w:rPr>
        <w:t>Gyártó</w:t>
      </w:r>
    </w:p>
    <w:p w14:paraId="2A076964" w14:textId="77777777" w:rsidR="00743EDE" w:rsidRPr="00183B5F" w:rsidRDefault="00743EDE" w:rsidP="004062FE">
      <w:pPr>
        <w:spacing w:line="240" w:lineRule="auto"/>
        <w:rPr>
          <w:szCs w:val="22"/>
        </w:rPr>
      </w:pPr>
    </w:p>
    <w:p w14:paraId="7962F432" w14:textId="77777777" w:rsidR="00743EDE" w:rsidRPr="00183B5F" w:rsidRDefault="00943743" w:rsidP="004062FE">
      <w:pPr>
        <w:spacing w:line="240" w:lineRule="auto"/>
      </w:pPr>
      <w:r w:rsidRPr="00183B5F">
        <w:t>AbbVie Biotechnology GmbH</w:t>
      </w:r>
    </w:p>
    <w:p w14:paraId="643F1E52" w14:textId="77777777" w:rsidR="00743EDE" w:rsidRPr="00183B5F" w:rsidRDefault="00943743" w:rsidP="004062FE">
      <w:pPr>
        <w:numPr>
          <w:ilvl w:val="12"/>
          <w:numId w:val="0"/>
        </w:numPr>
        <w:tabs>
          <w:tab w:val="left" w:pos="720"/>
        </w:tabs>
        <w:spacing w:line="240" w:lineRule="auto"/>
      </w:pPr>
      <w:r w:rsidRPr="00183B5F">
        <w:t>Knollstrasse</w:t>
      </w:r>
    </w:p>
    <w:p w14:paraId="647B08E0" w14:textId="77777777" w:rsidR="00743EDE" w:rsidRPr="00183B5F" w:rsidRDefault="00943743" w:rsidP="004062FE">
      <w:pPr>
        <w:numPr>
          <w:ilvl w:val="12"/>
          <w:numId w:val="0"/>
        </w:numPr>
        <w:tabs>
          <w:tab w:val="left" w:pos="720"/>
        </w:tabs>
        <w:spacing w:line="240" w:lineRule="auto"/>
      </w:pPr>
      <w:r w:rsidRPr="00183B5F">
        <w:t>67061 Ludwigshafen</w:t>
      </w:r>
    </w:p>
    <w:p w14:paraId="5F107874" w14:textId="77777777" w:rsidR="00743EDE" w:rsidRPr="00183B5F" w:rsidRDefault="00943743" w:rsidP="004062FE">
      <w:pPr>
        <w:spacing w:line="240" w:lineRule="auto"/>
        <w:rPr>
          <w:szCs w:val="22"/>
        </w:rPr>
      </w:pPr>
      <w:r w:rsidRPr="00183B5F">
        <w:t>Németország</w:t>
      </w:r>
    </w:p>
    <w:p w14:paraId="15E9D661" w14:textId="77777777" w:rsidR="00743EDE" w:rsidRPr="00183B5F" w:rsidRDefault="00743EDE" w:rsidP="004062FE">
      <w:pPr>
        <w:spacing w:line="240" w:lineRule="auto"/>
        <w:rPr>
          <w:szCs w:val="22"/>
        </w:rPr>
      </w:pPr>
    </w:p>
    <w:p w14:paraId="46D211B8" w14:textId="77777777" w:rsidR="00743EDE" w:rsidRPr="00183B5F" w:rsidRDefault="00943743" w:rsidP="004062FE">
      <w:pPr>
        <w:spacing w:line="240" w:lineRule="auto"/>
        <w:rPr>
          <w:szCs w:val="22"/>
        </w:rPr>
      </w:pPr>
      <w:r w:rsidRPr="00183B5F">
        <w:rPr>
          <w:szCs w:val="22"/>
        </w:rPr>
        <w:t>A készítményhez kapcsolódó további kérdéseivel forduljon a forgalomba hozatali engedély jogosultjának helyi képviseletéhez:</w:t>
      </w:r>
    </w:p>
    <w:p w14:paraId="03FE8874" w14:textId="77777777" w:rsidR="00743EDE" w:rsidRPr="00183B5F" w:rsidRDefault="00743EDE" w:rsidP="004062FE">
      <w:pPr>
        <w:spacing w:line="240" w:lineRule="auto"/>
        <w:rPr>
          <w:szCs w:val="22"/>
        </w:rPr>
      </w:pPr>
    </w:p>
    <w:tbl>
      <w:tblPr>
        <w:tblW w:w="9356" w:type="dxa"/>
        <w:tblInd w:w="-34" w:type="dxa"/>
        <w:tblLayout w:type="fixed"/>
        <w:tblLook w:val="0000" w:firstRow="0" w:lastRow="0" w:firstColumn="0" w:lastColumn="0" w:noHBand="0" w:noVBand="0"/>
      </w:tblPr>
      <w:tblGrid>
        <w:gridCol w:w="34"/>
        <w:gridCol w:w="4610"/>
        <w:gridCol w:w="34"/>
        <w:gridCol w:w="4678"/>
      </w:tblGrid>
      <w:tr w:rsidR="00011D2F" w14:paraId="0B774CBA" w14:textId="77777777" w:rsidTr="001F79B0">
        <w:tc>
          <w:tcPr>
            <w:tcW w:w="4644" w:type="dxa"/>
            <w:gridSpan w:val="2"/>
          </w:tcPr>
          <w:p w14:paraId="56C57DFD" w14:textId="77777777" w:rsidR="008604D4" w:rsidRPr="00BD646C" w:rsidRDefault="00943743" w:rsidP="001F79B0">
            <w:pPr>
              <w:suppressAutoHyphens w:val="0"/>
              <w:rPr>
                <w:b/>
                <w:bCs/>
                <w:szCs w:val="22"/>
                <w:lang w:val="fr-BE"/>
              </w:rPr>
            </w:pPr>
            <w:r w:rsidRPr="00BD646C">
              <w:rPr>
                <w:b/>
                <w:bCs/>
                <w:szCs w:val="22"/>
                <w:lang w:val="fr-BE"/>
              </w:rPr>
              <w:t>België/Belgique/Belgien</w:t>
            </w:r>
          </w:p>
          <w:p w14:paraId="717F476C" w14:textId="77777777" w:rsidR="008604D4" w:rsidRPr="00BD646C" w:rsidRDefault="00943743" w:rsidP="001F79B0">
            <w:pPr>
              <w:suppressAutoHyphens w:val="0"/>
              <w:rPr>
                <w:bCs/>
                <w:szCs w:val="22"/>
                <w:lang w:val="fr-FR"/>
              </w:rPr>
            </w:pPr>
            <w:r w:rsidRPr="00BD646C">
              <w:rPr>
                <w:bCs/>
                <w:szCs w:val="22"/>
                <w:lang w:val="fr-FR"/>
              </w:rPr>
              <w:t>AbbVie SA</w:t>
            </w:r>
          </w:p>
          <w:p w14:paraId="3AE3E562" w14:textId="77777777" w:rsidR="008604D4" w:rsidRPr="00BD646C" w:rsidRDefault="00943743" w:rsidP="001F79B0">
            <w:pPr>
              <w:suppressAutoHyphens w:val="0"/>
              <w:rPr>
                <w:szCs w:val="22"/>
                <w:lang w:val="fr-FR"/>
              </w:rPr>
            </w:pPr>
            <w:r w:rsidRPr="00BD646C">
              <w:rPr>
                <w:bCs/>
                <w:szCs w:val="22"/>
                <w:lang w:val="fr-FR"/>
              </w:rPr>
              <w:t xml:space="preserve">Tél/Tel: +32 10 </w:t>
            </w:r>
            <w:r w:rsidRPr="00BD646C">
              <w:rPr>
                <w:szCs w:val="22"/>
                <w:lang w:val="fr-FR"/>
              </w:rPr>
              <w:t>477811</w:t>
            </w:r>
          </w:p>
          <w:p w14:paraId="53E3B0D9" w14:textId="77777777" w:rsidR="008604D4" w:rsidRPr="00BD646C" w:rsidRDefault="008604D4" w:rsidP="001F79B0">
            <w:pPr>
              <w:suppressAutoHyphens w:val="0"/>
              <w:rPr>
                <w:bCs/>
                <w:szCs w:val="22"/>
                <w:lang w:val="fr-FR"/>
              </w:rPr>
            </w:pPr>
          </w:p>
        </w:tc>
        <w:tc>
          <w:tcPr>
            <w:tcW w:w="4678" w:type="dxa"/>
            <w:gridSpan w:val="2"/>
          </w:tcPr>
          <w:p w14:paraId="61046346" w14:textId="77777777" w:rsidR="008604D4" w:rsidRPr="00BD646C" w:rsidRDefault="00943743" w:rsidP="001F79B0">
            <w:pPr>
              <w:suppressAutoHyphens w:val="0"/>
              <w:rPr>
                <w:b/>
                <w:bCs/>
                <w:szCs w:val="22"/>
                <w:lang w:val="lt-LT"/>
              </w:rPr>
            </w:pPr>
            <w:r w:rsidRPr="00BD646C">
              <w:rPr>
                <w:b/>
                <w:bCs/>
                <w:szCs w:val="22"/>
                <w:lang w:val="lt-LT"/>
              </w:rPr>
              <w:t>Lietuva</w:t>
            </w:r>
          </w:p>
          <w:p w14:paraId="00616A99" w14:textId="77777777" w:rsidR="008604D4" w:rsidRPr="00BD646C" w:rsidRDefault="00943743" w:rsidP="001F79B0">
            <w:pPr>
              <w:suppressAutoHyphens w:val="0"/>
              <w:rPr>
                <w:bCs/>
                <w:szCs w:val="22"/>
                <w:lang w:val="lv-LV"/>
              </w:rPr>
            </w:pPr>
            <w:r w:rsidRPr="00BD646C">
              <w:rPr>
                <w:bCs/>
                <w:szCs w:val="22"/>
                <w:lang w:val="lv-LV"/>
              </w:rPr>
              <w:t xml:space="preserve">AbbVie UAB </w:t>
            </w:r>
          </w:p>
          <w:p w14:paraId="34430DDB" w14:textId="77777777" w:rsidR="008604D4" w:rsidRPr="00BD646C" w:rsidRDefault="00943743" w:rsidP="001F79B0">
            <w:pPr>
              <w:suppressAutoHyphens w:val="0"/>
              <w:rPr>
                <w:bCs/>
                <w:szCs w:val="22"/>
                <w:lang w:val="lv-LV"/>
              </w:rPr>
            </w:pPr>
            <w:r w:rsidRPr="00BD646C">
              <w:rPr>
                <w:bCs/>
                <w:szCs w:val="22"/>
                <w:lang w:val="lv-LV"/>
              </w:rPr>
              <w:t>Tel: +370 5 205 3023</w:t>
            </w:r>
          </w:p>
        </w:tc>
      </w:tr>
      <w:tr w:rsidR="00011D2F" w14:paraId="7E787FC4" w14:textId="77777777" w:rsidTr="001F79B0">
        <w:tc>
          <w:tcPr>
            <w:tcW w:w="4644" w:type="dxa"/>
            <w:gridSpan w:val="2"/>
          </w:tcPr>
          <w:p w14:paraId="7AC725FA" w14:textId="77777777" w:rsidR="008604D4" w:rsidRPr="00BD646C" w:rsidRDefault="00943743" w:rsidP="001F79B0">
            <w:pPr>
              <w:suppressAutoHyphens w:val="0"/>
              <w:rPr>
                <w:b/>
                <w:bCs/>
                <w:szCs w:val="22"/>
                <w:lang w:val="bg-BG"/>
              </w:rPr>
            </w:pPr>
            <w:r w:rsidRPr="00BD646C">
              <w:rPr>
                <w:b/>
                <w:bCs/>
                <w:szCs w:val="22"/>
                <w:lang w:val="bg-BG"/>
              </w:rPr>
              <w:t>България</w:t>
            </w:r>
          </w:p>
          <w:p w14:paraId="4508E0AE" w14:textId="77777777" w:rsidR="008604D4" w:rsidRPr="00BD646C" w:rsidRDefault="00943743" w:rsidP="001F79B0">
            <w:pPr>
              <w:suppressAutoHyphens w:val="0"/>
              <w:rPr>
                <w:szCs w:val="22"/>
                <w:lang w:val="da-DK"/>
              </w:rPr>
            </w:pPr>
            <w:r w:rsidRPr="00BD646C">
              <w:rPr>
                <w:szCs w:val="22"/>
                <w:lang w:val="sk-SK"/>
              </w:rPr>
              <w:t>АбВи ЕООД</w:t>
            </w:r>
          </w:p>
          <w:p w14:paraId="00A04C9B" w14:textId="77777777" w:rsidR="008604D4" w:rsidRPr="00BD646C" w:rsidRDefault="00943743" w:rsidP="001F79B0">
            <w:pPr>
              <w:suppressAutoHyphens w:val="0"/>
              <w:rPr>
                <w:bCs/>
                <w:szCs w:val="22"/>
                <w:lang w:val="da-DK"/>
              </w:rPr>
            </w:pPr>
            <w:r w:rsidRPr="00BD646C">
              <w:rPr>
                <w:szCs w:val="22"/>
                <w:lang w:val="sk-SK"/>
              </w:rPr>
              <w:t>Тел</w:t>
            </w:r>
            <w:r w:rsidRPr="00BD646C">
              <w:rPr>
                <w:szCs w:val="22"/>
                <w:lang w:val="it-IT"/>
              </w:rPr>
              <w:t>.:+359 2 90 30 430</w:t>
            </w:r>
          </w:p>
        </w:tc>
        <w:tc>
          <w:tcPr>
            <w:tcW w:w="4678" w:type="dxa"/>
            <w:gridSpan w:val="2"/>
          </w:tcPr>
          <w:p w14:paraId="20A77E2C" w14:textId="77777777" w:rsidR="008604D4" w:rsidRPr="00BD646C" w:rsidRDefault="00943743" w:rsidP="001F79B0">
            <w:pPr>
              <w:suppressAutoHyphens w:val="0"/>
              <w:rPr>
                <w:b/>
                <w:bCs/>
                <w:szCs w:val="22"/>
                <w:lang w:val="de-DE"/>
              </w:rPr>
            </w:pPr>
            <w:r w:rsidRPr="00BD646C">
              <w:rPr>
                <w:b/>
                <w:bCs/>
                <w:szCs w:val="22"/>
                <w:lang w:val="de-DE"/>
              </w:rPr>
              <w:t>Luxembourg/Luxemburg</w:t>
            </w:r>
          </w:p>
          <w:p w14:paraId="54A029BD" w14:textId="77777777" w:rsidR="008604D4" w:rsidRPr="00BD646C" w:rsidRDefault="00943743" w:rsidP="001F79B0">
            <w:pPr>
              <w:suppressAutoHyphens w:val="0"/>
              <w:rPr>
                <w:bCs/>
                <w:szCs w:val="22"/>
                <w:lang w:val="de-DE"/>
              </w:rPr>
            </w:pPr>
            <w:r w:rsidRPr="00BD646C">
              <w:rPr>
                <w:bCs/>
                <w:szCs w:val="22"/>
                <w:lang w:val="de-DE"/>
              </w:rPr>
              <w:t>AbbVie SA</w:t>
            </w:r>
          </w:p>
          <w:p w14:paraId="1F6E0F24" w14:textId="77777777" w:rsidR="008604D4" w:rsidRPr="00BD646C" w:rsidRDefault="00943743" w:rsidP="001F79B0">
            <w:pPr>
              <w:suppressAutoHyphens w:val="0"/>
              <w:rPr>
                <w:bCs/>
                <w:szCs w:val="22"/>
                <w:lang w:val="de-DE"/>
              </w:rPr>
            </w:pPr>
            <w:r w:rsidRPr="00BD646C">
              <w:rPr>
                <w:bCs/>
                <w:szCs w:val="22"/>
                <w:lang w:val="de-DE"/>
              </w:rPr>
              <w:t>Belgique/Belgien</w:t>
            </w:r>
          </w:p>
          <w:p w14:paraId="5C47A135" w14:textId="77777777" w:rsidR="008604D4" w:rsidRPr="00BD646C" w:rsidRDefault="00943743" w:rsidP="001F79B0">
            <w:pPr>
              <w:suppressAutoHyphens w:val="0"/>
              <w:rPr>
                <w:bCs/>
                <w:szCs w:val="22"/>
                <w:lang w:val="fr-FR"/>
              </w:rPr>
            </w:pPr>
            <w:r w:rsidRPr="00BD646C">
              <w:rPr>
                <w:bCs/>
                <w:szCs w:val="22"/>
                <w:lang w:val="fr-FR"/>
              </w:rPr>
              <w:t>Tél/Tel: +32 10 477811</w:t>
            </w:r>
          </w:p>
          <w:p w14:paraId="430052E2" w14:textId="77777777" w:rsidR="008604D4" w:rsidRPr="00BD646C" w:rsidRDefault="008604D4" w:rsidP="001F79B0">
            <w:pPr>
              <w:suppressAutoHyphens w:val="0"/>
              <w:rPr>
                <w:bCs/>
                <w:szCs w:val="22"/>
                <w:lang w:val="fr-FR"/>
              </w:rPr>
            </w:pPr>
          </w:p>
        </w:tc>
      </w:tr>
      <w:tr w:rsidR="00011D2F" w14:paraId="0235CFEB" w14:textId="77777777" w:rsidTr="001F79B0">
        <w:tc>
          <w:tcPr>
            <w:tcW w:w="4644" w:type="dxa"/>
            <w:gridSpan w:val="2"/>
          </w:tcPr>
          <w:p w14:paraId="6FCA6FF8" w14:textId="77777777" w:rsidR="008604D4" w:rsidRPr="00BD646C" w:rsidRDefault="00943743" w:rsidP="001F79B0">
            <w:pPr>
              <w:suppressAutoHyphens w:val="0"/>
              <w:rPr>
                <w:b/>
                <w:bCs/>
                <w:szCs w:val="22"/>
                <w:lang w:val="sk-SK"/>
              </w:rPr>
            </w:pPr>
            <w:r w:rsidRPr="00BD646C">
              <w:rPr>
                <w:b/>
                <w:bCs/>
                <w:szCs w:val="22"/>
                <w:lang w:val="sk-SK"/>
              </w:rPr>
              <w:t>Česká republika</w:t>
            </w:r>
          </w:p>
          <w:p w14:paraId="44368158" w14:textId="77777777" w:rsidR="008604D4" w:rsidRPr="00BD646C" w:rsidRDefault="00943743" w:rsidP="001F79B0">
            <w:pPr>
              <w:suppressAutoHyphens w:val="0"/>
              <w:rPr>
                <w:bCs/>
                <w:szCs w:val="22"/>
                <w:lang w:val="sk-SK"/>
              </w:rPr>
            </w:pPr>
            <w:r w:rsidRPr="00BD646C">
              <w:rPr>
                <w:bCs/>
                <w:szCs w:val="22"/>
                <w:lang w:val="sk-SK"/>
              </w:rPr>
              <w:t xml:space="preserve">AbbVie s.r.o. </w:t>
            </w:r>
          </w:p>
          <w:p w14:paraId="7A0CD75F" w14:textId="77777777" w:rsidR="008604D4" w:rsidRPr="00BD646C" w:rsidRDefault="00943743" w:rsidP="001F79B0">
            <w:pPr>
              <w:suppressAutoHyphens w:val="0"/>
              <w:rPr>
                <w:bCs/>
                <w:szCs w:val="22"/>
                <w:lang w:val="sk-SK"/>
              </w:rPr>
            </w:pPr>
            <w:r w:rsidRPr="00BD646C">
              <w:rPr>
                <w:bCs/>
                <w:szCs w:val="22"/>
                <w:lang w:val="sk-SK"/>
              </w:rPr>
              <w:t>Tel: +420 233 098 111</w:t>
            </w:r>
          </w:p>
        </w:tc>
        <w:tc>
          <w:tcPr>
            <w:tcW w:w="4678" w:type="dxa"/>
            <w:gridSpan w:val="2"/>
          </w:tcPr>
          <w:p w14:paraId="59AF3F83" w14:textId="77777777" w:rsidR="008604D4" w:rsidRPr="00BD646C" w:rsidRDefault="00943743" w:rsidP="001F79B0">
            <w:pPr>
              <w:suppressAutoHyphens w:val="0"/>
              <w:rPr>
                <w:b/>
                <w:bCs/>
                <w:szCs w:val="22"/>
              </w:rPr>
            </w:pPr>
            <w:r w:rsidRPr="00BD646C">
              <w:rPr>
                <w:b/>
                <w:bCs/>
                <w:szCs w:val="22"/>
              </w:rPr>
              <w:t>Magyarország</w:t>
            </w:r>
          </w:p>
          <w:p w14:paraId="332462ED" w14:textId="77777777" w:rsidR="008604D4" w:rsidRPr="00BD646C" w:rsidRDefault="00943743" w:rsidP="001F79B0">
            <w:pPr>
              <w:suppressAutoHyphens w:val="0"/>
              <w:rPr>
                <w:bCs/>
                <w:szCs w:val="22"/>
              </w:rPr>
            </w:pPr>
            <w:r w:rsidRPr="00BD646C">
              <w:rPr>
                <w:bCs/>
                <w:szCs w:val="22"/>
              </w:rPr>
              <w:t>AbbVie Kft.</w:t>
            </w:r>
          </w:p>
          <w:p w14:paraId="15F3EBE0" w14:textId="77777777" w:rsidR="008604D4" w:rsidRPr="00BD646C" w:rsidRDefault="00943743" w:rsidP="001F79B0">
            <w:pPr>
              <w:suppressAutoHyphens w:val="0"/>
              <w:rPr>
                <w:bCs/>
                <w:szCs w:val="22"/>
              </w:rPr>
            </w:pPr>
            <w:r w:rsidRPr="00BD646C">
              <w:rPr>
                <w:bCs/>
                <w:szCs w:val="22"/>
              </w:rPr>
              <w:t>Tel.:+36 1 455 8600</w:t>
            </w:r>
          </w:p>
          <w:p w14:paraId="49ACB8AE" w14:textId="77777777" w:rsidR="008604D4" w:rsidRPr="00BD646C" w:rsidRDefault="008604D4" w:rsidP="001F79B0">
            <w:pPr>
              <w:suppressAutoHyphens w:val="0"/>
              <w:rPr>
                <w:bCs/>
                <w:szCs w:val="22"/>
              </w:rPr>
            </w:pPr>
          </w:p>
        </w:tc>
      </w:tr>
      <w:tr w:rsidR="00011D2F" w14:paraId="5D20357E" w14:textId="77777777" w:rsidTr="001F79B0">
        <w:trPr>
          <w:trHeight w:val="737"/>
        </w:trPr>
        <w:tc>
          <w:tcPr>
            <w:tcW w:w="4644" w:type="dxa"/>
            <w:gridSpan w:val="2"/>
          </w:tcPr>
          <w:p w14:paraId="657622A4" w14:textId="77777777" w:rsidR="008604D4" w:rsidRPr="00BD646C" w:rsidRDefault="00943743" w:rsidP="001F79B0">
            <w:pPr>
              <w:suppressAutoHyphens w:val="0"/>
              <w:rPr>
                <w:b/>
                <w:bCs/>
                <w:szCs w:val="22"/>
                <w:lang w:val="en-US"/>
              </w:rPr>
            </w:pPr>
            <w:r w:rsidRPr="00BD646C">
              <w:rPr>
                <w:b/>
                <w:bCs/>
                <w:szCs w:val="22"/>
                <w:lang w:val="en-US"/>
              </w:rPr>
              <w:t>Danmark</w:t>
            </w:r>
          </w:p>
          <w:p w14:paraId="001BD73C" w14:textId="77777777" w:rsidR="008604D4" w:rsidRPr="00BD646C" w:rsidRDefault="00943743" w:rsidP="001F79B0">
            <w:pPr>
              <w:suppressAutoHyphens w:val="0"/>
              <w:rPr>
                <w:bCs/>
                <w:szCs w:val="22"/>
                <w:lang w:val="en-US"/>
              </w:rPr>
            </w:pPr>
            <w:r w:rsidRPr="00BD646C">
              <w:rPr>
                <w:bCs/>
                <w:szCs w:val="22"/>
                <w:lang w:val="en-US"/>
              </w:rPr>
              <w:t>AbbVie A/S</w:t>
            </w:r>
          </w:p>
          <w:p w14:paraId="471CC142" w14:textId="2F36D3B8" w:rsidR="008604D4" w:rsidRPr="00BD646C" w:rsidRDefault="00943743" w:rsidP="001F79B0">
            <w:pPr>
              <w:suppressAutoHyphens w:val="0"/>
              <w:rPr>
                <w:bCs/>
                <w:szCs w:val="22"/>
                <w:lang w:val="sk-SK"/>
              </w:rPr>
            </w:pPr>
            <w:r w:rsidRPr="00BD646C">
              <w:rPr>
                <w:bCs/>
                <w:szCs w:val="22"/>
                <w:lang w:val="en-US"/>
              </w:rPr>
              <w:t>Tlf</w:t>
            </w:r>
            <w:ins w:id="14030" w:author="AbbVie_HU_03" w:date="2025-05-14T16:48:00Z">
              <w:r w:rsidR="005F356A">
                <w:rPr>
                  <w:bCs/>
                  <w:szCs w:val="22"/>
                  <w:lang w:val="en-US"/>
                </w:rPr>
                <w:t>.</w:t>
              </w:r>
            </w:ins>
            <w:r w:rsidRPr="00BD646C">
              <w:rPr>
                <w:bCs/>
                <w:szCs w:val="22"/>
                <w:lang w:val="en-US"/>
              </w:rPr>
              <w:t>: +45 72 30-20-28</w:t>
            </w:r>
          </w:p>
        </w:tc>
        <w:tc>
          <w:tcPr>
            <w:tcW w:w="4678" w:type="dxa"/>
            <w:gridSpan w:val="2"/>
          </w:tcPr>
          <w:p w14:paraId="352EDE1D" w14:textId="77777777" w:rsidR="008604D4" w:rsidRPr="00BD646C" w:rsidRDefault="00943743" w:rsidP="001F79B0">
            <w:pPr>
              <w:suppressAutoHyphens w:val="0"/>
              <w:rPr>
                <w:b/>
                <w:bCs/>
                <w:szCs w:val="22"/>
                <w:lang w:val="mt-MT"/>
              </w:rPr>
            </w:pPr>
            <w:r w:rsidRPr="00BD646C">
              <w:rPr>
                <w:b/>
                <w:bCs/>
                <w:szCs w:val="22"/>
                <w:lang w:val="mt-MT"/>
              </w:rPr>
              <w:t>Malta</w:t>
            </w:r>
          </w:p>
          <w:p w14:paraId="620BDE4B" w14:textId="77777777" w:rsidR="008604D4" w:rsidRPr="00BD646C" w:rsidRDefault="00943743" w:rsidP="001F79B0">
            <w:pPr>
              <w:suppressAutoHyphens w:val="0"/>
              <w:rPr>
                <w:bCs/>
                <w:szCs w:val="22"/>
                <w:lang w:val="sk-SK"/>
              </w:rPr>
            </w:pPr>
            <w:r w:rsidRPr="00BD646C">
              <w:rPr>
                <w:bCs/>
                <w:szCs w:val="22"/>
                <w:lang w:val="sk-SK"/>
              </w:rPr>
              <w:t xml:space="preserve">V.J.Salomone Pharma Limited </w:t>
            </w:r>
          </w:p>
          <w:p w14:paraId="7C5BC254" w14:textId="5239BEA2" w:rsidR="008604D4" w:rsidRPr="00BD646C" w:rsidRDefault="00943743" w:rsidP="001F79B0">
            <w:pPr>
              <w:suppressAutoHyphens w:val="0"/>
              <w:rPr>
                <w:bCs/>
                <w:szCs w:val="22"/>
                <w:lang w:val="sk-SK"/>
              </w:rPr>
            </w:pPr>
            <w:r w:rsidRPr="00BD646C">
              <w:rPr>
                <w:bCs/>
                <w:szCs w:val="22"/>
                <w:lang w:val="sk-SK"/>
              </w:rPr>
              <w:t xml:space="preserve">Tel: </w:t>
            </w:r>
            <w:r w:rsidR="0047544D">
              <w:rPr>
                <w:bCs/>
                <w:szCs w:val="22"/>
              </w:rPr>
              <w:t>+356 21220174</w:t>
            </w:r>
          </w:p>
          <w:p w14:paraId="673AFD9C" w14:textId="77777777" w:rsidR="008604D4" w:rsidRPr="00BD646C" w:rsidRDefault="008604D4" w:rsidP="001F79B0">
            <w:pPr>
              <w:suppressAutoHyphens w:val="0"/>
              <w:rPr>
                <w:bCs/>
                <w:szCs w:val="22"/>
                <w:lang w:val="sk-SK"/>
              </w:rPr>
            </w:pPr>
          </w:p>
        </w:tc>
      </w:tr>
      <w:tr w:rsidR="00011D2F" w14:paraId="1C1C8FA2" w14:textId="77777777" w:rsidTr="001F79B0">
        <w:tc>
          <w:tcPr>
            <w:tcW w:w="4644" w:type="dxa"/>
            <w:gridSpan w:val="2"/>
          </w:tcPr>
          <w:p w14:paraId="37B10B39" w14:textId="77777777" w:rsidR="008604D4" w:rsidRPr="00BD646C" w:rsidRDefault="00943743" w:rsidP="001F79B0">
            <w:pPr>
              <w:suppressAutoHyphens w:val="0"/>
              <w:rPr>
                <w:b/>
                <w:bCs/>
                <w:szCs w:val="22"/>
                <w:lang w:val="de-DE"/>
              </w:rPr>
            </w:pPr>
            <w:r w:rsidRPr="00BD646C">
              <w:rPr>
                <w:b/>
                <w:bCs/>
                <w:szCs w:val="22"/>
                <w:lang w:val="de-DE"/>
              </w:rPr>
              <w:t>Deutschland</w:t>
            </w:r>
          </w:p>
          <w:p w14:paraId="1E086B7E" w14:textId="77777777" w:rsidR="008604D4" w:rsidRPr="00BD646C" w:rsidRDefault="00943743" w:rsidP="001F79B0">
            <w:pPr>
              <w:suppressAutoHyphens w:val="0"/>
              <w:rPr>
                <w:bCs/>
                <w:szCs w:val="22"/>
                <w:lang w:val="de-DE"/>
              </w:rPr>
            </w:pPr>
            <w:r w:rsidRPr="00BD646C">
              <w:rPr>
                <w:szCs w:val="22"/>
                <w:lang w:val="de-DE"/>
              </w:rPr>
              <w:t xml:space="preserve">AbbVie Deutschland </w:t>
            </w:r>
            <w:r w:rsidRPr="00BD646C">
              <w:rPr>
                <w:bCs/>
                <w:szCs w:val="22"/>
                <w:lang w:val="de-DE"/>
              </w:rPr>
              <w:t>GmbH &amp; Co. KG</w:t>
            </w:r>
          </w:p>
          <w:p w14:paraId="441075D3" w14:textId="77777777" w:rsidR="008604D4" w:rsidRPr="00BD646C" w:rsidRDefault="00943743" w:rsidP="001F79B0">
            <w:pPr>
              <w:suppressAutoHyphens w:val="0"/>
              <w:rPr>
                <w:szCs w:val="22"/>
                <w:lang w:val="de-DE"/>
              </w:rPr>
            </w:pPr>
            <w:r w:rsidRPr="00BD646C">
              <w:rPr>
                <w:szCs w:val="22"/>
                <w:lang w:val="de-DE"/>
              </w:rPr>
              <w:t>Tel: 00800 222843 33 (gebührenfrei)</w:t>
            </w:r>
          </w:p>
          <w:p w14:paraId="4684EA35" w14:textId="77777777" w:rsidR="008604D4" w:rsidRPr="00BD646C" w:rsidRDefault="00943743" w:rsidP="001F79B0">
            <w:pPr>
              <w:suppressAutoHyphens w:val="0"/>
              <w:rPr>
                <w:szCs w:val="22"/>
                <w:lang w:val="de-DE"/>
              </w:rPr>
            </w:pPr>
            <w:r w:rsidRPr="00BD646C">
              <w:rPr>
                <w:szCs w:val="22"/>
                <w:lang w:val="de-DE"/>
              </w:rPr>
              <w:t>Tel: +49 (0) 611 / 1720-0</w:t>
            </w:r>
          </w:p>
          <w:p w14:paraId="7419C2D3" w14:textId="77777777" w:rsidR="008604D4" w:rsidRPr="00BD646C" w:rsidRDefault="008604D4" w:rsidP="001F79B0">
            <w:pPr>
              <w:suppressAutoHyphens w:val="0"/>
              <w:rPr>
                <w:szCs w:val="22"/>
                <w:lang w:val="de-DE"/>
              </w:rPr>
            </w:pPr>
          </w:p>
        </w:tc>
        <w:tc>
          <w:tcPr>
            <w:tcW w:w="4678" w:type="dxa"/>
            <w:gridSpan w:val="2"/>
          </w:tcPr>
          <w:p w14:paraId="1B54151C" w14:textId="77777777" w:rsidR="008604D4" w:rsidRPr="00BD646C" w:rsidRDefault="00943743" w:rsidP="001F79B0">
            <w:pPr>
              <w:suppressAutoHyphens w:val="0"/>
              <w:rPr>
                <w:b/>
                <w:bCs/>
                <w:szCs w:val="22"/>
                <w:lang w:val="nl-NL"/>
              </w:rPr>
            </w:pPr>
            <w:r w:rsidRPr="00BD646C">
              <w:rPr>
                <w:b/>
                <w:bCs/>
                <w:szCs w:val="22"/>
                <w:lang w:val="nl-NL"/>
              </w:rPr>
              <w:t>Nederland</w:t>
            </w:r>
          </w:p>
          <w:p w14:paraId="03BAA1C7" w14:textId="77777777" w:rsidR="008604D4" w:rsidRPr="00BD646C" w:rsidRDefault="00943743" w:rsidP="001F79B0">
            <w:pPr>
              <w:suppressAutoHyphens w:val="0"/>
              <w:rPr>
                <w:bCs/>
                <w:szCs w:val="22"/>
                <w:lang w:val="de-DE"/>
              </w:rPr>
            </w:pPr>
            <w:r w:rsidRPr="00BD646C">
              <w:rPr>
                <w:bCs/>
                <w:szCs w:val="22"/>
                <w:lang w:val="de-DE"/>
              </w:rPr>
              <w:t>AbbVie B.V.</w:t>
            </w:r>
          </w:p>
          <w:p w14:paraId="29DCF12A" w14:textId="77777777" w:rsidR="008604D4" w:rsidRPr="00BD646C" w:rsidRDefault="00943743" w:rsidP="001F79B0">
            <w:pPr>
              <w:suppressAutoHyphens w:val="0"/>
              <w:rPr>
                <w:bCs/>
                <w:szCs w:val="22"/>
                <w:lang w:val="de-DE"/>
              </w:rPr>
            </w:pPr>
            <w:r w:rsidRPr="00BD646C">
              <w:rPr>
                <w:bCs/>
                <w:szCs w:val="22"/>
                <w:lang w:val="de-DE"/>
              </w:rPr>
              <w:t>Tel: +31 (0)88 322 2843</w:t>
            </w:r>
          </w:p>
        </w:tc>
      </w:tr>
      <w:tr w:rsidR="00011D2F" w14:paraId="7D1FF324" w14:textId="77777777" w:rsidTr="001F79B0">
        <w:tc>
          <w:tcPr>
            <w:tcW w:w="4644" w:type="dxa"/>
            <w:gridSpan w:val="2"/>
          </w:tcPr>
          <w:p w14:paraId="0EBEF63F" w14:textId="77777777" w:rsidR="008604D4" w:rsidRPr="00BD646C" w:rsidRDefault="00943743" w:rsidP="001F79B0">
            <w:pPr>
              <w:suppressAutoHyphens w:val="0"/>
              <w:rPr>
                <w:b/>
                <w:bCs/>
                <w:szCs w:val="22"/>
                <w:lang w:val="et-EE"/>
              </w:rPr>
            </w:pPr>
            <w:r w:rsidRPr="00BD646C">
              <w:rPr>
                <w:b/>
                <w:bCs/>
                <w:szCs w:val="22"/>
                <w:lang w:val="et-EE"/>
              </w:rPr>
              <w:t>Eesti</w:t>
            </w:r>
          </w:p>
          <w:p w14:paraId="4EF991CC" w14:textId="77777777" w:rsidR="008604D4" w:rsidRPr="00BD646C" w:rsidRDefault="00943743" w:rsidP="001F79B0">
            <w:pPr>
              <w:suppressAutoHyphens w:val="0"/>
              <w:rPr>
                <w:bCs/>
                <w:szCs w:val="22"/>
                <w:lang w:val="et-EE"/>
              </w:rPr>
            </w:pPr>
            <w:r w:rsidRPr="00BD646C">
              <w:rPr>
                <w:bCs/>
                <w:szCs w:val="22"/>
                <w:lang w:val="et-EE"/>
              </w:rPr>
              <w:t xml:space="preserve">AbbVie </w:t>
            </w:r>
            <w:r w:rsidRPr="00BD646C">
              <w:rPr>
                <w:bCs/>
                <w:szCs w:val="22"/>
                <w:lang w:val="sk-SK"/>
              </w:rPr>
              <w:t>OÜ</w:t>
            </w:r>
            <w:r w:rsidRPr="00BD646C">
              <w:rPr>
                <w:bCs/>
                <w:szCs w:val="22"/>
                <w:lang w:val="et-EE"/>
              </w:rPr>
              <w:t xml:space="preserve"> </w:t>
            </w:r>
          </w:p>
          <w:p w14:paraId="575B20D1" w14:textId="77777777" w:rsidR="008604D4" w:rsidRPr="00BD646C" w:rsidRDefault="00943743" w:rsidP="001F79B0">
            <w:pPr>
              <w:suppressAutoHyphens w:val="0"/>
              <w:rPr>
                <w:bCs/>
                <w:szCs w:val="22"/>
                <w:lang w:val="lv-LV"/>
              </w:rPr>
            </w:pPr>
            <w:r w:rsidRPr="00BD646C">
              <w:rPr>
                <w:bCs/>
                <w:szCs w:val="22"/>
                <w:lang w:val="et-EE"/>
              </w:rPr>
              <w:t>Tel: +372 623 1011</w:t>
            </w:r>
          </w:p>
        </w:tc>
        <w:tc>
          <w:tcPr>
            <w:tcW w:w="4678" w:type="dxa"/>
            <w:gridSpan w:val="2"/>
          </w:tcPr>
          <w:p w14:paraId="5E06C65E" w14:textId="77777777" w:rsidR="008604D4" w:rsidRPr="00BD646C" w:rsidRDefault="00943743" w:rsidP="001F79B0">
            <w:pPr>
              <w:suppressAutoHyphens w:val="0"/>
              <w:rPr>
                <w:b/>
                <w:bCs/>
                <w:szCs w:val="22"/>
                <w:lang w:val="nb-NO"/>
              </w:rPr>
            </w:pPr>
            <w:r w:rsidRPr="00BD646C">
              <w:rPr>
                <w:b/>
                <w:bCs/>
                <w:szCs w:val="22"/>
                <w:lang w:val="nb-NO"/>
              </w:rPr>
              <w:t>Norge</w:t>
            </w:r>
          </w:p>
          <w:p w14:paraId="44F4F930" w14:textId="77777777" w:rsidR="008604D4" w:rsidRPr="00BD646C" w:rsidRDefault="00943743" w:rsidP="001F79B0">
            <w:pPr>
              <w:suppressAutoHyphens w:val="0"/>
              <w:rPr>
                <w:bCs/>
                <w:szCs w:val="22"/>
                <w:lang w:val="sk-SK"/>
              </w:rPr>
            </w:pPr>
            <w:r w:rsidRPr="00BD646C">
              <w:rPr>
                <w:bCs/>
                <w:szCs w:val="22"/>
                <w:lang w:val="sk-SK"/>
              </w:rPr>
              <w:t>AbbVie AS</w:t>
            </w:r>
          </w:p>
          <w:p w14:paraId="050875A4" w14:textId="77777777" w:rsidR="008604D4" w:rsidRPr="00BD646C" w:rsidRDefault="00943743" w:rsidP="001F79B0">
            <w:pPr>
              <w:suppressAutoHyphens w:val="0"/>
              <w:rPr>
                <w:bCs/>
                <w:szCs w:val="22"/>
                <w:lang w:val="sk-SK"/>
              </w:rPr>
            </w:pPr>
            <w:r w:rsidRPr="00BD646C">
              <w:rPr>
                <w:bCs/>
                <w:szCs w:val="22"/>
                <w:lang w:val="sk-SK"/>
              </w:rPr>
              <w:t>Tlf: +47 67 81 80 00</w:t>
            </w:r>
          </w:p>
          <w:p w14:paraId="3095C7D5" w14:textId="77777777" w:rsidR="008604D4" w:rsidRPr="00BD646C" w:rsidRDefault="008604D4" w:rsidP="001F79B0">
            <w:pPr>
              <w:suppressAutoHyphens w:val="0"/>
              <w:rPr>
                <w:bCs/>
                <w:szCs w:val="22"/>
                <w:lang w:val="sk-SK"/>
              </w:rPr>
            </w:pPr>
          </w:p>
        </w:tc>
      </w:tr>
      <w:tr w:rsidR="00011D2F" w14:paraId="21B96E66" w14:textId="77777777" w:rsidTr="001F79B0">
        <w:trPr>
          <w:trHeight w:val="794"/>
        </w:trPr>
        <w:tc>
          <w:tcPr>
            <w:tcW w:w="4644" w:type="dxa"/>
            <w:gridSpan w:val="2"/>
          </w:tcPr>
          <w:p w14:paraId="4DBFB832" w14:textId="77777777" w:rsidR="008604D4" w:rsidRPr="00BD646C" w:rsidRDefault="00943743" w:rsidP="001F79B0">
            <w:pPr>
              <w:suppressAutoHyphens w:val="0"/>
              <w:rPr>
                <w:b/>
                <w:bCs/>
                <w:szCs w:val="22"/>
                <w:lang w:val="el-GR"/>
              </w:rPr>
            </w:pPr>
            <w:r w:rsidRPr="00BD646C">
              <w:rPr>
                <w:b/>
                <w:bCs/>
                <w:szCs w:val="22"/>
                <w:lang w:val="el-GR"/>
              </w:rPr>
              <w:t>Ελλάδα</w:t>
            </w:r>
          </w:p>
          <w:p w14:paraId="4F0A236A" w14:textId="77777777" w:rsidR="008604D4" w:rsidRPr="00BD646C" w:rsidRDefault="00943743" w:rsidP="001F79B0">
            <w:pPr>
              <w:suppressAutoHyphens w:val="0"/>
              <w:rPr>
                <w:bCs/>
                <w:szCs w:val="22"/>
                <w:lang w:val="el-GR"/>
              </w:rPr>
            </w:pPr>
            <w:r w:rsidRPr="00BD646C">
              <w:rPr>
                <w:bCs/>
                <w:szCs w:val="22"/>
                <w:lang w:val="et-EE"/>
              </w:rPr>
              <w:t xml:space="preserve">AbbVie </w:t>
            </w:r>
            <w:r w:rsidRPr="00BD646C">
              <w:rPr>
                <w:szCs w:val="22"/>
                <w:lang w:val="el-GR"/>
              </w:rPr>
              <w:t>ΦΑΡΜΑΚΕΥΤΙΚΗ Α.Ε.</w:t>
            </w:r>
          </w:p>
          <w:p w14:paraId="52FD7DC3" w14:textId="77777777" w:rsidR="008604D4" w:rsidRPr="00BD646C" w:rsidRDefault="00943743" w:rsidP="001F79B0">
            <w:pPr>
              <w:suppressAutoHyphens w:val="0"/>
              <w:rPr>
                <w:bCs/>
                <w:szCs w:val="22"/>
                <w:lang w:val="sk-SK"/>
              </w:rPr>
            </w:pPr>
            <w:r w:rsidRPr="00BD646C">
              <w:rPr>
                <w:bCs/>
                <w:szCs w:val="22"/>
                <w:lang w:val="el-GR"/>
              </w:rPr>
              <w:t xml:space="preserve">Τηλ: +30 </w:t>
            </w:r>
            <w:r w:rsidRPr="00BD646C">
              <w:rPr>
                <w:bCs/>
                <w:szCs w:val="22"/>
                <w:lang w:val="sk-SK"/>
              </w:rPr>
              <w:t>214 4165 555</w:t>
            </w:r>
          </w:p>
        </w:tc>
        <w:tc>
          <w:tcPr>
            <w:tcW w:w="4678" w:type="dxa"/>
            <w:gridSpan w:val="2"/>
          </w:tcPr>
          <w:p w14:paraId="61CE7D07" w14:textId="77777777" w:rsidR="008604D4" w:rsidRPr="00BD646C" w:rsidRDefault="00943743" w:rsidP="001F79B0">
            <w:pPr>
              <w:suppressAutoHyphens w:val="0"/>
              <w:rPr>
                <w:b/>
                <w:bCs/>
                <w:szCs w:val="22"/>
                <w:lang w:val="de-DE"/>
              </w:rPr>
            </w:pPr>
            <w:r w:rsidRPr="00BD646C">
              <w:rPr>
                <w:b/>
                <w:bCs/>
                <w:szCs w:val="22"/>
                <w:lang w:val="de-DE"/>
              </w:rPr>
              <w:t>Österreich</w:t>
            </w:r>
          </w:p>
          <w:p w14:paraId="499F518E" w14:textId="77777777" w:rsidR="008604D4" w:rsidRPr="00BD646C" w:rsidRDefault="00943743" w:rsidP="001F79B0">
            <w:pPr>
              <w:suppressAutoHyphens w:val="0"/>
              <w:rPr>
                <w:bCs/>
                <w:szCs w:val="22"/>
                <w:lang w:val="de-DE"/>
              </w:rPr>
            </w:pPr>
            <w:r w:rsidRPr="00BD646C">
              <w:rPr>
                <w:bCs/>
                <w:szCs w:val="22"/>
                <w:lang w:val="de-DE"/>
              </w:rPr>
              <w:t xml:space="preserve">AbbVie GmbH </w:t>
            </w:r>
          </w:p>
          <w:p w14:paraId="00089087" w14:textId="77777777" w:rsidR="008604D4" w:rsidRPr="00BD646C" w:rsidRDefault="00943743" w:rsidP="001F79B0">
            <w:pPr>
              <w:suppressAutoHyphens w:val="0"/>
              <w:rPr>
                <w:bCs/>
                <w:szCs w:val="22"/>
                <w:lang w:val="de-DE"/>
              </w:rPr>
            </w:pPr>
            <w:r w:rsidRPr="00BD646C">
              <w:rPr>
                <w:bCs/>
                <w:szCs w:val="22"/>
                <w:lang w:val="de-DE"/>
              </w:rPr>
              <w:t>Tel: +43 1 20589-0</w:t>
            </w:r>
          </w:p>
          <w:p w14:paraId="639D39A6" w14:textId="77777777" w:rsidR="008604D4" w:rsidRPr="00BD646C" w:rsidRDefault="008604D4" w:rsidP="001F79B0">
            <w:pPr>
              <w:suppressAutoHyphens w:val="0"/>
              <w:rPr>
                <w:bCs/>
                <w:szCs w:val="22"/>
                <w:lang w:val="de-DE"/>
              </w:rPr>
            </w:pPr>
          </w:p>
        </w:tc>
      </w:tr>
      <w:tr w:rsidR="00011D2F" w14:paraId="251E28ED" w14:textId="77777777" w:rsidTr="001F79B0">
        <w:trPr>
          <w:gridBefore w:val="1"/>
          <w:wBefore w:w="34" w:type="dxa"/>
        </w:trPr>
        <w:tc>
          <w:tcPr>
            <w:tcW w:w="4644" w:type="dxa"/>
            <w:gridSpan w:val="2"/>
          </w:tcPr>
          <w:p w14:paraId="61CCFF0B" w14:textId="77777777" w:rsidR="008604D4" w:rsidRPr="00BD646C" w:rsidRDefault="00943743" w:rsidP="001F79B0">
            <w:pPr>
              <w:suppressAutoHyphens w:val="0"/>
              <w:rPr>
                <w:b/>
                <w:bCs/>
                <w:szCs w:val="22"/>
                <w:lang w:val="es-ES"/>
              </w:rPr>
            </w:pPr>
            <w:r w:rsidRPr="00BD646C">
              <w:rPr>
                <w:b/>
                <w:bCs/>
                <w:szCs w:val="22"/>
                <w:lang w:val="es-ES"/>
              </w:rPr>
              <w:t>España</w:t>
            </w:r>
          </w:p>
          <w:p w14:paraId="1061277C" w14:textId="77777777" w:rsidR="008604D4" w:rsidRPr="00BD646C" w:rsidRDefault="00943743" w:rsidP="001F79B0">
            <w:pPr>
              <w:suppressAutoHyphens w:val="0"/>
              <w:rPr>
                <w:szCs w:val="22"/>
                <w:lang w:val="es-ES"/>
              </w:rPr>
            </w:pPr>
            <w:r w:rsidRPr="00BD646C">
              <w:rPr>
                <w:szCs w:val="22"/>
                <w:lang w:val="es-ES"/>
              </w:rPr>
              <w:t xml:space="preserve">AbbVie </w:t>
            </w:r>
            <w:r w:rsidRPr="00BD646C">
              <w:rPr>
                <w:bCs/>
                <w:szCs w:val="22"/>
                <w:lang w:val="es-ES"/>
              </w:rPr>
              <w:t>Spain</w:t>
            </w:r>
            <w:r w:rsidRPr="00BD646C">
              <w:rPr>
                <w:szCs w:val="22"/>
                <w:lang w:val="es-ES"/>
              </w:rPr>
              <w:t>, S.L.U</w:t>
            </w:r>
            <w:r w:rsidRPr="00BD646C">
              <w:rPr>
                <w:bCs/>
                <w:szCs w:val="22"/>
                <w:lang w:val="es-ES"/>
              </w:rPr>
              <w:t>.</w:t>
            </w:r>
          </w:p>
          <w:p w14:paraId="7A347565" w14:textId="77777777" w:rsidR="008604D4" w:rsidRPr="00BD646C" w:rsidRDefault="00943743" w:rsidP="001F79B0">
            <w:pPr>
              <w:suppressAutoHyphens w:val="0"/>
              <w:rPr>
                <w:bCs/>
                <w:szCs w:val="22"/>
                <w:lang w:val="pl-PL"/>
              </w:rPr>
            </w:pPr>
            <w:r w:rsidRPr="00BD646C">
              <w:rPr>
                <w:bCs/>
                <w:szCs w:val="22"/>
                <w:lang w:val="pt-PT"/>
              </w:rPr>
              <w:t>Tel: +34 91 384 09 10</w:t>
            </w:r>
          </w:p>
        </w:tc>
        <w:tc>
          <w:tcPr>
            <w:tcW w:w="4678" w:type="dxa"/>
          </w:tcPr>
          <w:p w14:paraId="49888A1E" w14:textId="77777777" w:rsidR="008604D4" w:rsidRPr="00BD646C" w:rsidRDefault="00943743" w:rsidP="001F79B0">
            <w:pPr>
              <w:suppressAutoHyphens w:val="0"/>
              <w:rPr>
                <w:b/>
                <w:bCs/>
                <w:iCs/>
                <w:szCs w:val="22"/>
                <w:lang w:val="pl-PL"/>
              </w:rPr>
            </w:pPr>
            <w:r w:rsidRPr="00BD646C">
              <w:rPr>
                <w:b/>
                <w:bCs/>
                <w:iCs/>
                <w:szCs w:val="22"/>
                <w:lang w:val="pl-PL"/>
              </w:rPr>
              <w:t>Polska</w:t>
            </w:r>
          </w:p>
          <w:p w14:paraId="1627866E" w14:textId="77777777" w:rsidR="008604D4" w:rsidRPr="00BD646C" w:rsidRDefault="00943743" w:rsidP="001F79B0">
            <w:pPr>
              <w:suppressAutoHyphens w:val="0"/>
              <w:rPr>
                <w:bCs/>
                <w:szCs w:val="22"/>
                <w:lang w:val="pl-PL"/>
              </w:rPr>
            </w:pPr>
            <w:r w:rsidRPr="00BD646C">
              <w:rPr>
                <w:bCs/>
                <w:szCs w:val="22"/>
                <w:lang w:val="pl-PL"/>
              </w:rPr>
              <w:t>AbbVie Sp. z o.o.</w:t>
            </w:r>
          </w:p>
          <w:p w14:paraId="055CE229" w14:textId="77777777" w:rsidR="008604D4" w:rsidRPr="00BD646C" w:rsidRDefault="00943743" w:rsidP="001F79B0">
            <w:pPr>
              <w:suppressAutoHyphens w:val="0"/>
              <w:rPr>
                <w:bCs/>
                <w:szCs w:val="22"/>
                <w:lang w:val="pl-PL"/>
              </w:rPr>
            </w:pPr>
            <w:r w:rsidRPr="00BD646C">
              <w:rPr>
                <w:szCs w:val="22"/>
                <w:lang w:val="es-ES"/>
              </w:rPr>
              <w:t xml:space="preserve">Tel.: +48 22 </w:t>
            </w:r>
            <w:r w:rsidRPr="00BD646C">
              <w:rPr>
                <w:bCs/>
                <w:szCs w:val="22"/>
                <w:lang w:val="pl-PL"/>
              </w:rPr>
              <w:t xml:space="preserve">372 78 00 </w:t>
            </w:r>
          </w:p>
          <w:p w14:paraId="575CFB36" w14:textId="77777777" w:rsidR="008604D4" w:rsidRPr="00BD646C" w:rsidRDefault="008604D4" w:rsidP="001F79B0">
            <w:pPr>
              <w:suppressAutoHyphens w:val="0"/>
              <w:rPr>
                <w:bCs/>
                <w:szCs w:val="22"/>
                <w:lang w:val="pl-PL"/>
              </w:rPr>
            </w:pPr>
          </w:p>
        </w:tc>
      </w:tr>
      <w:tr w:rsidR="00011D2F" w14:paraId="660E5529" w14:textId="77777777" w:rsidTr="001F79B0">
        <w:trPr>
          <w:trHeight w:val="734"/>
        </w:trPr>
        <w:tc>
          <w:tcPr>
            <w:tcW w:w="4678" w:type="dxa"/>
            <w:gridSpan w:val="3"/>
          </w:tcPr>
          <w:p w14:paraId="1114CB91" w14:textId="77777777" w:rsidR="008604D4" w:rsidRPr="00BD646C" w:rsidRDefault="00943743" w:rsidP="001F79B0">
            <w:pPr>
              <w:suppressAutoHyphens w:val="0"/>
              <w:rPr>
                <w:b/>
                <w:bCs/>
                <w:szCs w:val="22"/>
                <w:lang w:val="fr-FR"/>
              </w:rPr>
            </w:pPr>
            <w:r w:rsidRPr="00BD646C">
              <w:rPr>
                <w:b/>
                <w:bCs/>
                <w:szCs w:val="22"/>
                <w:lang w:val="fr-FR"/>
              </w:rPr>
              <w:t>France</w:t>
            </w:r>
          </w:p>
          <w:p w14:paraId="65D22761" w14:textId="77777777" w:rsidR="008604D4" w:rsidRPr="00BD646C" w:rsidRDefault="00943743" w:rsidP="001F79B0">
            <w:pPr>
              <w:suppressAutoHyphens w:val="0"/>
              <w:rPr>
                <w:bCs/>
                <w:szCs w:val="22"/>
                <w:lang w:val="fr-FR"/>
              </w:rPr>
            </w:pPr>
            <w:r w:rsidRPr="00BD646C">
              <w:rPr>
                <w:bCs/>
                <w:szCs w:val="22"/>
                <w:lang w:val="fr-FR"/>
              </w:rPr>
              <w:t>AbbVie</w:t>
            </w:r>
          </w:p>
          <w:p w14:paraId="4A3DACCC" w14:textId="77777777" w:rsidR="008604D4" w:rsidRPr="00BD646C" w:rsidRDefault="00943743" w:rsidP="001F79B0">
            <w:pPr>
              <w:suppressAutoHyphens w:val="0"/>
              <w:rPr>
                <w:bCs/>
                <w:szCs w:val="22"/>
                <w:lang w:val="fr-FR"/>
              </w:rPr>
            </w:pPr>
            <w:r w:rsidRPr="00BD646C">
              <w:rPr>
                <w:bCs/>
                <w:szCs w:val="22"/>
                <w:lang w:val="fr-FR"/>
              </w:rPr>
              <w:t>Tél: +33 (0) 1 45 60 13 00</w:t>
            </w:r>
          </w:p>
        </w:tc>
        <w:tc>
          <w:tcPr>
            <w:tcW w:w="4678" w:type="dxa"/>
          </w:tcPr>
          <w:p w14:paraId="3B1AF1EA" w14:textId="77777777" w:rsidR="008604D4" w:rsidRPr="00BD646C" w:rsidRDefault="00943743" w:rsidP="001F79B0">
            <w:pPr>
              <w:suppressAutoHyphens w:val="0"/>
              <w:rPr>
                <w:b/>
                <w:bCs/>
                <w:szCs w:val="22"/>
                <w:lang w:val="pt-PT"/>
              </w:rPr>
            </w:pPr>
            <w:r w:rsidRPr="00BD646C">
              <w:rPr>
                <w:b/>
                <w:bCs/>
                <w:szCs w:val="22"/>
                <w:lang w:val="pt-PT"/>
              </w:rPr>
              <w:t>Portugal</w:t>
            </w:r>
          </w:p>
          <w:p w14:paraId="13BF75C0" w14:textId="77777777" w:rsidR="008604D4" w:rsidRPr="00BD646C" w:rsidRDefault="00943743" w:rsidP="001F79B0">
            <w:pPr>
              <w:suppressAutoHyphens w:val="0"/>
              <w:rPr>
                <w:bCs/>
                <w:szCs w:val="22"/>
                <w:lang w:val="fr-FR"/>
              </w:rPr>
            </w:pPr>
            <w:r w:rsidRPr="00BD646C">
              <w:rPr>
                <w:bCs/>
                <w:szCs w:val="22"/>
                <w:lang w:val="fr-FR"/>
              </w:rPr>
              <w:t xml:space="preserve">AbbVie, Lda. </w:t>
            </w:r>
          </w:p>
          <w:p w14:paraId="33151520" w14:textId="77777777" w:rsidR="008604D4" w:rsidRPr="00BD646C" w:rsidRDefault="00943743" w:rsidP="001F79B0">
            <w:pPr>
              <w:suppressAutoHyphens w:val="0"/>
              <w:rPr>
                <w:szCs w:val="22"/>
                <w:lang w:val="fr-FR"/>
              </w:rPr>
            </w:pPr>
            <w:r w:rsidRPr="00BD646C">
              <w:rPr>
                <w:szCs w:val="22"/>
                <w:lang w:val="fr-FR"/>
              </w:rPr>
              <w:t>Tel: +351 (0)21 1908400</w:t>
            </w:r>
          </w:p>
          <w:p w14:paraId="4AD84650" w14:textId="77777777" w:rsidR="008604D4" w:rsidRPr="00BD646C" w:rsidRDefault="008604D4" w:rsidP="001F79B0">
            <w:pPr>
              <w:suppressAutoHyphens w:val="0"/>
              <w:rPr>
                <w:szCs w:val="22"/>
                <w:lang w:val="fr-FR"/>
              </w:rPr>
            </w:pPr>
          </w:p>
        </w:tc>
      </w:tr>
      <w:tr w:rsidR="00011D2F" w14:paraId="3B34CBE8" w14:textId="77777777" w:rsidTr="001F79B0">
        <w:trPr>
          <w:gridBefore w:val="1"/>
          <w:wBefore w:w="34" w:type="dxa"/>
        </w:trPr>
        <w:tc>
          <w:tcPr>
            <w:tcW w:w="4644" w:type="dxa"/>
            <w:gridSpan w:val="2"/>
          </w:tcPr>
          <w:p w14:paraId="4EE5E787" w14:textId="77777777" w:rsidR="008604D4" w:rsidRPr="0047544D" w:rsidRDefault="00943743" w:rsidP="008604D4">
            <w:pPr>
              <w:keepNext/>
              <w:suppressAutoHyphens w:val="0"/>
              <w:rPr>
                <w:szCs w:val="22"/>
              </w:rPr>
            </w:pPr>
            <w:r w:rsidRPr="0047544D">
              <w:rPr>
                <w:b/>
                <w:bCs/>
                <w:szCs w:val="22"/>
              </w:rPr>
              <w:t xml:space="preserve">Hrvatska </w:t>
            </w:r>
          </w:p>
          <w:p w14:paraId="64EFF384" w14:textId="77777777" w:rsidR="008604D4" w:rsidRPr="00BD646C" w:rsidRDefault="00943743" w:rsidP="008604D4">
            <w:pPr>
              <w:keepNext/>
              <w:suppressAutoHyphens w:val="0"/>
              <w:rPr>
                <w:szCs w:val="22"/>
                <w:lang w:val="hr-HR"/>
              </w:rPr>
            </w:pPr>
            <w:r w:rsidRPr="00BD646C">
              <w:rPr>
                <w:szCs w:val="22"/>
                <w:lang w:val="hr-HR"/>
              </w:rPr>
              <w:t>AbbVie d.o.o.</w:t>
            </w:r>
          </w:p>
          <w:p w14:paraId="645E081C" w14:textId="77777777" w:rsidR="008604D4" w:rsidRPr="00BD646C" w:rsidRDefault="00943743" w:rsidP="008604D4">
            <w:pPr>
              <w:keepNext/>
              <w:suppressAutoHyphens w:val="0"/>
              <w:rPr>
                <w:bCs/>
                <w:szCs w:val="22"/>
                <w:lang w:val="it-IT"/>
              </w:rPr>
            </w:pPr>
            <w:r w:rsidRPr="00BD646C">
              <w:rPr>
                <w:szCs w:val="22"/>
                <w:lang w:val="hr-HR"/>
              </w:rPr>
              <w:t xml:space="preserve">Tel + 385 (0)1 </w:t>
            </w:r>
            <w:r w:rsidRPr="00BD646C">
              <w:rPr>
                <w:szCs w:val="22"/>
                <w:lang w:val="en-US"/>
              </w:rPr>
              <w:t>5625 501</w:t>
            </w:r>
          </w:p>
        </w:tc>
        <w:tc>
          <w:tcPr>
            <w:tcW w:w="4678" w:type="dxa"/>
          </w:tcPr>
          <w:p w14:paraId="066A0F5D" w14:textId="77777777" w:rsidR="008604D4" w:rsidRPr="00BD646C" w:rsidRDefault="00943743" w:rsidP="008604D4">
            <w:pPr>
              <w:keepNext/>
              <w:suppressAutoHyphens w:val="0"/>
              <w:rPr>
                <w:b/>
                <w:bCs/>
                <w:szCs w:val="22"/>
                <w:lang w:val="it-IT"/>
              </w:rPr>
            </w:pPr>
            <w:r w:rsidRPr="00BD646C">
              <w:rPr>
                <w:b/>
                <w:bCs/>
                <w:szCs w:val="22"/>
                <w:lang w:val="it-IT"/>
              </w:rPr>
              <w:t>România</w:t>
            </w:r>
          </w:p>
          <w:p w14:paraId="2DDC198F" w14:textId="77777777" w:rsidR="008604D4" w:rsidRPr="00BD646C" w:rsidRDefault="00943743" w:rsidP="008604D4">
            <w:pPr>
              <w:keepNext/>
              <w:suppressAutoHyphens w:val="0"/>
              <w:rPr>
                <w:szCs w:val="22"/>
                <w:lang w:val="it-IT"/>
              </w:rPr>
            </w:pPr>
            <w:r w:rsidRPr="00BD646C">
              <w:rPr>
                <w:szCs w:val="22"/>
                <w:lang w:val="it-IT"/>
              </w:rPr>
              <w:t>AbbVie S.R.L.</w:t>
            </w:r>
          </w:p>
          <w:p w14:paraId="6FCD5452" w14:textId="77777777" w:rsidR="008604D4" w:rsidRPr="00BD646C" w:rsidRDefault="00943743" w:rsidP="008604D4">
            <w:pPr>
              <w:keepNext/>
              <w:suppressAutoHyphens w:val="0"/>
              <w:rPr>
                <w:szCs w:val="22"/>
                <w:lang w:val="pl-PL"/>
              </w:rPr>
            </w:pPr>
            <w:r w:rsidRPr="00BD646C">
              <w:rPr>
                <w:szCs w:val="22"/>
                <w:lang w:val="pl-PL"/>
              </w:rPr>
              <w:t>Tel: +40 21 529 30 35</w:t>
            </w:r>
          </w:p>
          <w:p w14:paraId="3328B1AB" w14:textId="77777777" w:rsidR="008604D4" w:rsidRPr="00BD646C" w:rsidRDefault="008604D4" w:rsidP="008604D4">
            <w:pPr>
              <w:keepNext/>
              <w:suppressAutoHyphens w:val="0"/>
              <w:rPr>
                <w:szCs w:val="22"/>
                <w:lang w:val="pl-PL"/>
              </w:rPr>
            </w:pPr>
          </w:p>
        </w:tc>
      </w:tr>
      <w:tr w:rsidR="00011D2F" w14:paraId="3E9BCE11" w14:textId="77777777" w:rsidTr="001F79B0">
        <w:trPr>
          <w:gridBefore w:val="1"/>
          <w:wBefore w:w="34" w:type="dxa"/>
        </w:trPr>
        <w:tc>
          <w:tcPr>
            <w:tcW w:w="4644" w:type="dxa"/>
            <w:gridSpan w:val="2"/>
          </w:tcPr>
          <w:p w14:paraId="737F5480" w14:textId="77777777" w:rsidR="008604D4" w:rsidRPr="00BD646C" w:rsidRDefault="00943743" w:rsidP="001F79B0">
            <w:pPr>
              <w:suppressAutoHyphens w:val="0"/>
              <w:rPr>
                <w:b/>
                <w:bCs/>
                <w:szCs w:val="22"/>
                <w:lang w:val="sk-SK"/>
              </w:rPr>
            </w:pPr>
            <w:r w:rsidRPr="00BD646C">
              <w:rPr>
                <w:b/>
                <w:bCs/>
                <w:szCs w:val="22"/>
                <w:lang w:val="sk-SK"/>
              </w:rPr>
              <w:t>Ireland</w:t>
            </w:r>
          </w:p>
          <w:p w14:paraId="76D9AECE" w14:textId="77777777" w:rsidR="008604D4" w:rsidRPr="00BD646C" w:rsidRDefault="00943743" w:rsidP="001F79B0">
            <w:pPr>
              <w:suppressAutoHyphens w:val="0"/>
              <w:rPr>
                <w:bCs/>
                <w:szCs w:val="22"/>
                <w:lang w:val="sk-SK"/>
              </w:rPr>
            </w:pPr>
            <w:r w:rsidRPr="00BD646C">
              <w:rPr>
                <w:bCs/>
                <w:szCs w:val="22"/>
                <w:lang w:val="sk-SK"/>
              </w:rPr>
              <w:t xml:space="preserve">AbbVie Limited </w:t>
            </w:r>
          </w:p>
          <w:p w14:paraId="1813FBDD" w14:textId="77777777" w:rsidR="008604D4" w:rsidRPr="00BD646C" w:rsidRDefault="00943743" w:rsidP="001F79B0">
            <w:pPr>
              <w:suppressAutoHyphens w:val="0"/>
              <w:rPr>
                <w:bCs/>
                <w:szCs w:val="22"/>
                <w:lang w:val="sk-SK"/>
              </w:rPr>
            </w:pPr>
            <w:r w:rsidRPr="00BD646C">
              <w:rPr>
                <w:bCs/>
                <w:szCs w:val="22"/>
                <w:lang w:val="pt-PT"/>
              </w:rPr>
              <w:t>Tel: +353 (0)1 428790</w:t>
            </w:r>
            <w:r w:rsidR="001C51F1">
              <w:rPr>
                <w:bCs/>
                <w:szCs w:val="22"/>
                <w:lang w:val="pt-PT"/>
              </w:rPr>
              <w:t>0</w:t>
            </w:r>
          </w:p>
        </w:tc>
        <w:tc>
          <w:tcPr>
            <w:tcW w:w="4678" w:type="dxa"/>
          </w:tcPr>
          <w:p w14:paraId="51B21DD5" w14:textId="77777777" w:rsidR="008604D4" w:rsidRPr="00BD646C" w:rsidRDefault="00943743" w:rsidP="001F79B0">
            <w:pPr>
              <w:suppressAutoHyphens w:val="0"/>
              <w:rPr>
                <w:b/>
                <w:bCs/>
                <w:szCs w:val="22"/>
                <w:lang w:val="sl-SI"/>
              </w:rPr>
            </w:pPr>
            <w:r w:rsidRPr="00BD646C">
              <w:rPr>
                <w:b/>
                <w:bCs/>
                <w:szCs w:val="22"/>
                <w:lang w:val="sl-SI"/>
              </w:rPr>
              <w:t>Slovenija</w:t>
            </w:r>
          </w:p>
          <w:p w14:paraId="392F5856" w14:textId="77777777" w:rsidR="008604D4" w:rsidRPr="00BD646C" w:rsidRDefault="00943743" w:rsidP="001F79B0">
            <w:pPr>
              <w:suppressAutoHyphens w:val="0"/>
              <w:rPr>
                <w:bCs/>
                <w:szCs w:val="22"/>
                <w:lang w:val="sl-SI"/>
              </w:rPr>
            </w:pPr>
            <w:r w:rsidRPr="00BD646C">
              <w:rPr>
                <w:bCs/>
                <w:szCs w:val="22"/>
                <w:lang w:val="sl-SI"/>
              </w:rPr>
              <w:t xml:space="preserve">AbbVie </w:t>
            </w:r>
            <w:r w:rsidRPr="00BD646C">
              <w:rPr>
                <w:szCs w:val="22"/>
                <w:lang w:val="sl-SI"/>
              </w:rPr>
              <w:t>Biofarmacevtska družba d.o.o.</w:t>
            </w:r>
          </w:p>
          <w:p w14:paraId="685C9A8E" w14:textId="77777777" w:rsidR="008604D4" w:rsidRPr="00BD646C" w:rsidRDefault="00943743" w:rsidP="001F79B0">
            <w:pPr>
              <w:suppressAutoHyphens w:val="0"/>
              <w:rPr>
                <w:bCs/>
                <w:szCs w:val="22"/>
                <w:lang w:val="sl-SI"/>
              </w:rPr>
            </w:pPr>
            <w:r w:rsidRPr="00BD646C">
              <w:rPr>
                <w:bCs/>
                <w:szCs w:val="22"/>
                <w:lang w:val="sl-SI"/>
              </w:rPr>
              <w:t>Tel: +386 (1)32 08 060</w:t>
            </w:r>
          </w:p>
          <w:p w14:paraId="43A22615" w14:textId="77777777" w:rsidR="008604D4" w:rsidRPr="00BD646C" w:rsidRDefault="008604D4" w:rsidP="001F79B0">
            <w:pPr>
              <w:suppressAutoHyphens w:val="0"/>
              <w:rPr>
                <w:bCs/>
                <w:szCs w:val="22"/>
                <w:lang w:val="sl-SI"/>
              </w:rPr>
            </w:pPr>
          </w:p>
        </w:tc>
      </w:tr>
      <w:tr w:rsidR="00011D2F" w14:paraId="4569AE2F" w14:textId="77777777" w:rsidTr="001F79B0">
        <w:trPr>
          <w:gridBefore w:val="1"/>
          <w:wBefore w:w="34" w:type="dxa"/>
        </w:trPr>
        <w:tc>
          <w:tcPr>
            <w:tcW w:w="4644" w:type="dxa"/>
            <w:gridSpan w:val="2"/>
          </w:tcPr>
          <w:p w14:paraId="7A3D453A" w14:textId="77777777" w:rsidR="008604D4" w:rsidRPr="00BD646C" w:rsidRDefault="00943743" w:rsidP="001F79B0">
            <w:pPr>
              <w:suppressAutoHyphens w:val="0"/>
              <w:rPr>
                <w:b/>
                <w:bCs/>
                <w:szCs w:val="22"/>
                <w:lang w:val="is-IS"/>
              </w:rPr>
            </w:pPr>
            <w:r w:rsidRPr="00BD646C">
              <w:rPr>
                <w:b/>
                <w:bCs/>
                <w:szCs w:val="22"/>
                <w:lang w:val="is-IS"/>
              </w:rPr>
              <w:t>Ísland</w:t>
            </w:r>
          </w:p>
          <w:p w14:paraId="1B95C738" w14:textId="77777777" w:rsidR="008604D4" w:rsidRPr="00BD646C" w:rsidRDefault="00943743" w:rsidP="001F79B0">
            <w:pPr>
              <w:suppressAutoHyphens w:val="0"/>
              <w:rPr>
                <w:bCs/>
                <w:szCs w:val="22"/>
                <w:lang w:val="sk-SK"/>
              </w:rPr>
            </w:pPr>
            <w:r w:rsidRPr="00BD646C">
              <w:rPr>
                <w:bCs/>
                <w:szCs w:val="22"/>
                <w:lang w:val="sk-SK"/>
              </w:rPr>
              <w:t>Vistor</w:t>
            </w:r>
            <w:del w:id="14031" w:author="AbbVie_HU_03" w:date="2025-05-14T16:49:00Z">
              <w:r w:rsidRPr="00BD646C">
                <w:rPr>
                  <w:bCs/>
                  <w:szCs w:val="22"/>
                  <w:lang w:val="sk-SK"/>
                </w:rPr>
                <w:delText xml:space="preserve"> hf.</w:delText>
              </w:r>
            </w:del>
          </w:p>
          <w:p w14:paraId="5C0880A4" w14:textId="77777777" w:rsidR="008604D4" w:rsidRPr="00BD646C" w:rsidRDefault="00943743" w:rsidP="001F79B0">
            <w:pPr>
              <w:suppressAutoHyphens w:val="0"/>
              <w:rPr>
                <w:bCs/>
                <w:szCs w:val="22"/>
                <w:lang w:val="sk-SK"/>
              </w:rPr>
            </w:pPr>
            <w:r w:rsidRPr="00BD646C">
              <w:rPr>
                <w:bCs/>
                <w:szCs w:val="22"/>
                <w:lang w:val="sk-SK"/>
              </w:rPr>
              <w:t>Tel: +354 535 7000</w:t>
            </w:r>
          </w:p>
        </w:tc>
        <w:tc>
          <w:tcPr>
            <w:tcW w:w="4678" w:type="dxa"/>
          </w:tcPr>
          <w:p w14:paraId="4D3BF07D" w14:textId="77777777" w:rsidR="008604D4" w:rsidRPr="00BD646C" w:rsidRDefault="00943743" w:rsidP="001F79B0">
            <w:pPr>
              <w:suppressAutoHyphens w:val="0"/>
              <w:rPr>
                <w:b/>
                <w:bCs/>
                <w:szCs w:val="22"/>
                <w:lang w:val="sk-SK"/>
              </w:rPr>
            </w:pPr>
            <w:r w:rsidRPr="00BD646C">
              <w:rPr>
                <w:b/>
                <w:bCs/>
                <w:szCs w:val="22"/>
                <w:lang w:val="sk-SK"/>
              </w:rPr>
              <w:t>Slovenská republika</w:t>
            </w:r>
          </w:p>
          <w:p w14:paraId="0F85CE3E" w14:textId="77777777" w:rsidR="008604D4" w:rsidRPr="00BD646C" w:rsidRDefault="00943743" w:rsidP="001F79B0">
            <w:pPr>
              <w:suppressAutoHyphens w:val="0"/>
              <w:rPr>
                <w:bCs/>
                <w:szCs w:val="22"/>
                <w:lang w:val="sk-SK"/>
              </w:rPr>
            </w:pPr>
            <w:r w:rsidRPr="00BD646C">
              <w:rPr>
                <w:bCs/>
                <w:szCs w:val="22"/>
                <w:lang w:val="sk-SK"/>
              </w:rPr>
              <w:t>AbbVie s.r.o.</w:t>
            </w:r>
          </w:p>
          <w:p w14:paraId="1B45EA68" w14:textId="77777777" w:rsidR="008604D4" w:rsidRPr="00BD646C" w:rsidRDefault="00943743" w:rsidP="001F79B0">
            <w:pPr>
              <w:suppressAutoHyphens w:val="0"/>
              <w:rPr>
                <w:bCs/>
                <w:szCs w:val="22"/>
                <w:lang w:val="sk-SK"/>
              </w:rPr>
            </w:pPr>
            <w:r w:rsidRPr="00BD646C">
              <w:rPr>
                <w:bCs/>
                <w:szCs w:val="22"/>
                <w:lang w:val="sk-SK"/>
              </w:rPr>
              <w:t>Tel: +421 2 5050 0777</w:t>
            </w:r>
          </w:p>
          <w:p w14:paraId="643E4F00" w14:textId="77777777" w:rsidR="008604D4" w:rsidRPr="00BD646C" w:rsidRDefault="008604D4" w:rsidP="001F79B0">
            <w:pPr>
              <w:suppressAutoHyphens w:val="0"/>
              <w:rPr>
                <w:bCs/>
                <w:szCs w:val="22"/>
                <w:lang w:val="sk-SK"/>
              </w:rPr>
            </w:pPr>
          </w:p>
        </w:tc>
      </w:tr>
      <w:tr w:rsidR="00011D2F" w14:paraId="4CEB4DBC" w14:textId="77777777" w:rsidTr="001F79B0">
        <w:trPr>
          <w:gridBefore w:val="1"/>
          <w:wBefore w:w="34" w:type="dxa"/>
        </w:trPr>
        <w:tc>
          <w:tcPr>
            <w:tcW w:w="4644" w:type="dxa"/>
            <w:gridSpan w:val="2"/>
          </w:tcPr>
          <w:p w14:paraId="024C0C3B" w14:textId="77777777" w:rsidR="008604D4" w:rsidRPr="00BD646C" w:rsidRDefault="00943743" w:rsidP="001F79B0">
            <w:pPr>
              <w:suppressAutoHyphens w:val="0"/>
              <w:rPr>
                <w:b/>
                <w:bCs/>
                <w:szCs w:val="22"/>
                <w:lang w:val="it-IT"/>
              </w:rPr>
            </w:pPr>
            <w:r w:rsidRPr="00BD646C">
              <w:rPr>
                <w:b/>
                <w:bCs/>
                <w:szCs w:val="22"/>
                <w:lang w:val="it-IT"/>
              </w:rPr>
              <w:t>Italia</w:t>
            </w:r>
          </w:p>
          <w:p w14:paraId="3A7DEE07" w14:textId="77777777" w:rsidR="008604D4" w:rsidRPr="00BD646C" w:rsidRDefault="00943743" w:rsidP="001F79B0">
            <w:pPr>
              <w:suppressAutoHyphens w:val="0"/>
              <w:rPr>
                <w:bCs/>
                <w:szCs w:val="22"/>
                <w:lang w:val="pt-PT"/>
              </w:rPr>
            </w:pPr>
            <w:r w:rsidRPr="00BD646C">
              <w:rPr>
                <w:bCs/>
                <w:szCs w:val="22"/>
                <w:lang w:val="pt-PT"/>
              </w:rPr>
              <w:t xml:space="preserve">AbbVie S.r.l. </w:t>
            </w:r>
          </w:p>
          <w:p w14:paraId="0C215E09" w14:textId="77777777" w:rsidR="008604D4" w:rsidRPr="00BD646C" w:rsidRDefault="00943743" w:rsidP="001F79B0">
            <w:pPr>
              <w:suppressAutoHyphens w:val="0"/>
              <w:rPr>
                <w:bCs/>
                <w:szCs w:val="22"/>
                <w:lang w:val="fi-FI"/>
              </w:rPr>
            </w:pPr>
            <w:r w:rsidRPr="00BD646C">
              <w:rPr>
                <w:bCs/>
                <w:szCs w:val="22"/>
                <w:lang w:val="fr-FR"/>
              </w:rPr>
              <w:t>Tel: +39 06 928921</w:t>
            </w:r>
          </w:p>
        </w:tc>
        <w:tc>
          <w:tcPr>
            <w:tcW w:w="4678" w:type="dxa"/>
          </w:tcPr>
          <w:p w14:paraId="7721416E" w14:textId="77777777" w:rsidR="008604D4" w:rsidRPr="00BD646C" w:rsidRDefault="00943743" w:rsidP="001F79B0">
            <w:pPr>
              <w:suppressAutoHyphens w:val="0"/>
              <w:rPr>
                <w:b/>
                <w:bCs/>
                <w:szCs w:val="22"/>
                <w:lang w:val="fi-FI"/>
              </w:rPr>
            </w:pPr>
            <w:r w:rsidRPr="00BD646C">
              <w:rPr>
                <w:b/>
                <w:bCs/>
                <w:szCs w:val="22"/>
                <w:lang w:val="fi-FI"/>
              </w:rPr>
              <w:t>Suomi/Finland</w:t>
            </w:r>
          </w:p>
          <w:p w14:paraId="51D801B6" w14:textId="77777777" w:rsidR="008604D4" w:rsidRPr="00BD646C" w:rsidRDefault="00943743" w:rsidP="001F79B0">
            <w:pPr>
              <w:suppressAutoHyphens w:val="0"/>
              <w:rPr>
                <w:bCs/>
                <w:szCs w:val="22"/>
                <w:lang w:val="de-CH"/>
              </w:rPr>
            </w:pPr>
            <w:r w:rsidRPr="00BD646C">
              <w:rPr>
                <w:bCs/>
                <w:szCs w:val="22"/>
                <w:lang w:val="sk-SK"/>
              </w:rPr>
              <w:t>AbbVie Oy</w:t>
            </w:r>
          </w:p>
          <w:p w14:paraId="66C67A8E" w14:textId="77777777" w:rsidR="008604D4" w:rsidRPr="00BD646C" w:rsidRDefault="00943743" w:rsidP="001F79B0">
            <w:pPr>
              <w:suppressAutoHyphens w:val="0"/>
              <w:rPr>
                <w:bCs/>
                <w:szCs w:val="22"/>
                <w:lang w:val="sk-SK"/>
              </w:rPr>
            </w:pPr>
            <w:r w:rsidRPr="00BD646C">
              <w:rPr>
                <w:bCs/>
                <w:szCs w:val="22"/>
                <w:lang w:val="sk-SK"/>
              </w:rPr>
              <w:t>Puh/Tel: +358 (0)10 2411 200</w:t>
            </w:r>
          </w:p>
          <w:p w14:paraId="675898D0" w14:textId="77777777" w:rsidR="008604D4" w:rsidRPr="00BD646C" w:rsidRDefault="008604D4" w:rsidP="001F79B0">
            <w:pPr>
              <w:suppressAutoHyphens w:val="0"/>
              <w:rPr>
                <w:szCs w:val="22"/>
                <w:lang w:val="sk-SK"/>
              </w:rPr>
            </w:pPr>
          </w:p>
        </w:tc>
      </w:tr>
      <w:tr w:rsidR="00011D2F" w14:paraId="65A91875" w14:textId="77777777" w:rsidTr="001F79B0">
        <w:trPr>
          <w:gridBefore w:val="1"/>
          <w:wBefore w:w="34" w:type="dxa"/>
          <w:cantSplit/>
          <w:trHeight w:val="887"/>
        </w:trPr>
        <w:tc>
          <w:tcPr>
            <w:tcW w:w="4644" w:type="dxa"/>
            <w:gridSpan w:val="2"/>
          </w:tcPr>
          <w:p w14:paraId="7A120DE5" w14:textId="77777777" w:rsidR="008604D4" w:rsidRPr="00BD646C" w:rsidRDefault="00943743" w:rsidP="001F79B0">
            <w:pPr>
              <w:suppressAutoHyphens w:val="0"/>
              <w:rPr>
                <w:b/>
                <w:bCs/>
                <w:szCs w:val="22"/>
                <w:lang w:val="el-GR"/>
              </w:rPr>
            </w:pPr>
            <w:r w:rsidRPr="00BD646C">
              <w:rPr>
                <w:b/>
                <w:bCs/>
                <w:szCs w:val="22"/>
                <w:lang w:val="el-GR"/>
              </w:rPr>
              <w:t>Κύπρος</w:t>
            </w:r>
          </w:p>
          <w:p w14:paraId="21ABF9E9" w14:textId="77777777" w:rsidR="008604D4" w:rsidRPr="00BD646C" w:rsidRDefault="00943743" w:rsidP="001F79B0">
            <w:pPr>
              <w:suppressAutoHyphens w:val="0"/>
              <w:rPr>
                <w:bCs/>
                <w:szCs w:val="22"/>
                <w:lang w:val="el-GR"/>
              </w:rPr>
            </w:pPr>
            <w:r w:rsidRPr="00BD646C">
              <w:rPr>
                <w:bCs/>
                <w:szCs w:val="22"/>
                <w:lang w:val="sk-SK"/>
              </w:rPr>
              <w:t xml:space="preserve">Lifepharma (Z.A.M.) </w:t>
            </w:r>
            <w:r w:rsidRPr="00BD646C">
              <w:rPr>
                <w:bCs/>
                <w:szCs w:val="22"/>
                <w:lang w:val="it-IT"/>
              </w:rPr>
              <w:t>Ltd</w:t>
            </w:r>
          </w:p>
          <w:p w14:paraId="5D9F32E3" w14:textId="77777777" w:rsidR="008604D4" w:rsidRPr="00BD646C" w:rsidRDefault="00943743" w:rsidP="001F79B0">
            <w:pPr>
              <w:suppressAutoHyphens w:val="0"/>
              <w:rPr>
                <w:bCs/>
                <w:szCs w:val="22"/>
                <w:lang w:val="lv-LV"/>
              </w:rPr>
            </w:pPr>
            <w:r w:rsidRPr="00BD646C">
              <w:rPr>
                <w:bCs/>
                <w:szCs w:val="22"/>
                <w:lang w:val="el-GR"/>
              </w:rPr>
              <w:t>Τηλ.: +357 22 34 74 40</w:t>
            </w:r>
          </w:p>
        </w:tc>
        <w:tc>
          <w:tcPr>
            <w:tcW w:w="4678" w:type="dxa"/>
          </w:tcPr>
          <w:p w14:paraId="3F70271A" w14:textId="77777777" w:rsidR="008604D4" w:rsidRPr="00BD646C" w:rsidRDefault="00943743" w:rsidP="001F79B0">
            <w:pPr>
              <w:suppressAutoHyphens w:val="0"/>
              <w:rPr>
                <w:b/>
                <w:bCs/>
                <w:szCs w:val="22"/>
                <w:lang w:val="sk-SK"/>
              </w:rPr>
            </w:pPr>
            <w:r w:rsidRPr="00BD646C">
              <w:rPr>
                <w:b/>
                <w:bCs/>
                <w:szCs w:val="22"/>
                <w:lang w:val="sk-SK"/>
              </w:rPr>
              <w:t>Sverige</w:t>
            </w:r>
          </w:p>
          <w:p w14:paraId="4C98D4DB" w14:textId="77777777" w:rsidR="008604D4" w:rsidRPr="00BD646C" w:rsidRDefault="00943743" w:rsidP="001F79B0">
            <w:pPr>
              <w:suppressAutoHyphens w:val="0"/>
              <w:rPr>
                <w:bCs/>
                <w:szCs w:val="22"/>
                <w:lang w:val="pt-PT"/>
              </w:rPr>
            </w:pPr>
            <w:r w:rsidRPr="00BD646C">
              <w:rPr>
                <w:bCs/>
                <w:szCs w:val="22"/>
                <w:lang w:val="pt-PT"/>
              </w:rPr>
              <w:t>AbbVie AB</w:t>
            </w:r>
          </w:p>
          <w:p w14:paraId="1E2AA92E" w14:textId="77777777" w:rsidR="008604D4" w:rsidRPr="00BD646C" w:rsidRDefault="00943743" w:rsidP="001F79B0">
            <w:pPr>
              <w:suppressAutoHyphens w:val="0"/>
              <w:rPr>
                <w:bCs/>
                <w:szCs w:val="22"/>
                <w:lang w:val="sk-SK"/>
              </w:rPr>
            </w:pPr>
            <w:r w:rsidRPr="00BD646C">
              <w:rPr>
                <w:bCs/>
                <w:szCs w:val="22"/>
                <w:lang w:val="da-DK"/>
              </w:rPr>
              <w:t>Tel: +46 (0)8 684 44 600</w:t>
            </w:r>
          </w:p>
        </w:tc>
      </w:tr>
      <w:tr w:rsidR="00011D2F" w14:paraId="477F0C3E" w14:textId="77777777" w:rsidTr="001F79B0">
        <w:trPr>
          <w:gridBefore w:val="1"/>
          <w:wBefore w:w="34" w:type="dxa"/>
          <w:cantSplit/>
          <w:trHeight w:val="761"/>
        </w:trPr>
        <w:tc>
          <w:tcPr>
            <w:tcW w:w="4644" w:type="dxa"/>
            <w:gridSpan w:val="2"/>
          </w:tcPr>
          <w:p w14:paraId="231C3D09" w14:textId="77777777" w:rsidR="008604D4" w:rsidRPr="00BD646C" w:rsidRDefault="00943743" w:rsidP="001F79B0">
            <w:pPr>
              <w:suppressAutoHyphens w:val="0"/>
              <w:rPr>
                <w:b/>
                <w:bCs/>
                <w:szCs w:val="22"/>
                <w:lang w:val="lv-LV"/>
              </w:rPr>
            </w:pPr>
            <w:r w:rsidRPr="00BD646C">
              <w:rPr>
                <w:b/>
                <w:bCs/>
                <w:szCs w:val="22"/>
                <w:lang w:val="lv-LV"/>
              </w:rPr>
              <w:t>Latvija</w:t>
            </w:r>
          </w:p>
          <w:p w14:paraId="0D5E57C4" w14:textId="77777777" w:rsidR="008604D4" w:rsidRPr="00BD646C" w:rsidRDefault="00943743" w:rsidP="001F79B0">
            <w:pPr>
              <w:suppressAutoHyphens w:val="0"/>
              <w:rPr>
                <w:bCs/>
                <w:szCs w:val="22"/>
                <w:lang w:val="lv-LV"/>
              </w:rPr>
            </w:pPr>
            <w:r w:rsidRPr="00BD646C">
              <w:rPr>
                <w:bCs/>
                <w:szCs w:val="22"/>
                <w:lang w:val="lv-LV"/>
              </w:rPr>
              <w:t xml:space="preserve">AbbVie SIA </w:t>
            </w:r>
          </w:p>
          <w:p w14:paraId="7759B757" w14:textId="77777777" w:rsidR="008604D4" w:rsidRPr="00BD646C" w:rsidRDefault="00943743" w:rsidP="001F79B0">
            <w:pPr>
              <w:suppressAutoHyphens w:val="0"/>
              <w:rPr>
                <w:bCs/>
                <w:szCs w:val="22"/>
                <w:lang w:val="lv-LV"/>
              </w:rPr>
            </w:pPr>
            <w:r w:rsidRPr="00BD646C">
              <w:rPr>
                <w:bCs/>
                <w:szCs w:val="22"/>
                <w:lang w:val="lv-LV"/>
              </w:rPr>
              <w:t>Tel: +371 67605000</w:t>
            </w:r>
          </w:p>
        </w:tc>
        <w:tc>
          <w:tcPr>
            <w:tcW w:w="4678" w:type="dxa"/>
          </w:tcPr>
          <w:p w14:paraId="327EDA07" w14:textId="3933799C" w:rsidR="008604D4" w:rsidRPr="00BD646C" w:rsidRDefault="008604D4" w:rsidP="001F79B0">
            <w:pPr>
              <w:suppressAutoHyphens w:val="0"/>
              <w:rPr>
                <w:b/>
                <w:bCs/>
                <w:szCs w:val="22"/>
                <w:lang w:val="sk-SK"/>
              </w:rPr>
            </w:pPr>
          </w:p>
        </w:tc>
      </w:tr>
    </w:tbl>
    <w:p w14:paraId="70058E39" w14:textId="77777777" w:rsidR="00743EDE" w:rsidRPr="00183B5F" w:rsidRDefault="00743EDE" w:rsidP="004062FE">
      <w:pPr>
        <w:spacing w:line="240" w:lineRule="auto"/>
        <w:ind w:right="-2"/>
        <w:rPr>
          <w:b/>
          <w:szCs w:val="22"/>
        </w:rPr>
      </w:pPr>
    </w:p>
    <w:p w14:paraId="202E0989" w14:textId="77777777" w:rsidR="00743EDE" w:rsidRPr="00183B5F" w:rsidRDefault="00943743" w:rsidP="004062FE">
      <w:pPr>
        <w:spacing w:line="240" w:lineRule="auto"/>
        <w:ind w:right="-2"/>
        <w:rPr>
          <w:b/>
          <w:szCs w:val="22"/>
        </w:rPr>
      </w:pPr>
      <w:r w:rsidRPr="00183B5F">
        <w:rPr>
          <w:b/>
          <w:szCs w:val="22"/>
        </w:rPr>
        <w:t xml:space="preserve">A betegtájékoztató </w:t>
      </w:r>
      <w:r w:rsidRPr="00183B5F">
        <w:rPr>
          <w:b/>
        </w:rPr>
        <w:t xml:space="preserve">legutóbbi felülvizsgálatának </w:t>
      </w:r>
      <w:r w:rsidRPr="00183B5F">
        <w:rPr>
          <w:b/>
          <w:szCs w:val="22"/>
        </w:rPr>
        <w:t>dátuma:</w:t>
      </w:r>
    </w:p>
    <w:p w14:paraId="213084BE" w14:textId="77777777" w:rsidR="00743EDE" w:rsidRPr="00183B5F" w:rsidRDefault="00743EDE" w:rsidP="004062FE">
      <w:pPr>
        <w:spacing w:line="240" w:lineRule="auto"/>
        <w:ind w:right="-3"/>
      </w:pPr>
    </w:p>
    <w:p w14:paraId="5D613ACC" w14:textId="33E7BF24" w:rsidR="00743EDE" w:rsidRPr="00183B5F" w:rsidRDefault="00943743" w:rsidP="004062FE">
      <w:pPr>
        <w:spacing w:line="240" w:lineRule="auto"/>
        <w:ind w:right="-3"/>
        <w:rPr>
          <w:i/>
        </w:rPr>
      </w:pPr>
      <w:r w:rsidRPr="00183B5F">
        <w:rPr>
          <w:snapToGrid w:val="0"/>
          <w:lang w:eastAsia="en-GB"/>
        </w:rPr>
        <w:t>A gyógyszerről részletes információ az Európai Gyógyszerügynökség internetes honlapján (</w:t>
      </w:r>
      <w:r w:rsidRPr="00183B5F">
        <w:rPr>
          <w:color w:val="0000FF"/>
        </w:rPr>
        <w:t>http</w:t>
      </w:r>
      <w:ins w:id="14032" w:author="AbbVie_HU_03" w:date="2025-05-14T16:49:00Z">
        <w:r w:rsidR="005F356A">
          <w:rPr>
            <w:color w:val="0000FF"/>
          </w:rPr>
          <w:t>s</w:t>
        </w:r>
      </w:ins>
      <w:r w:rsidRPr="00183B5F">
        <w:rPr>
          <w:color w:val="0000FF"/>
        </w:rPr>
        <w:t>://www.ema.europa.eu/</w:t>
      </w:r>
      <w:r w:rsidRPr="00183B5F">
        <w:rPr>
          <w:i/>
          <w:iCs/>
          <w:snapToGrid w:val="0"/>
          <w:lang w:eastAsia="en-GB"/>
        </w:rPr>
        <w:t xml:space="preserve">) </w:t>
      </w:r>
      <w:r w:rsidRPr="00183B5F">
        <w:rPr>
          <w:snapToGrid w:val="0"/>
          <w:lang w:eastAsia="en-GB"/>
        </w:rPr>
        <w:t>található</w:t>
      </w:r>
      <w:r w:rsidRPr="00183B5F">
        <w:rPr>
          <w:i/>
          <w:iCs/>
          <w:snapToGrid w:val="0"/>
          <w:lang w:eastAsia="en-GB"/>
        </w:rPr>
        <w:t>.</w:t>
      </w:r>
    </w:p>
    <w:p w14:paraId="761992C7" w14:textId="77777777" w:rsidR="00743EDE" w:rsidRPr="00183B5F" w:rsidRDefault="00943743">
      <w:pPr>
        <w:pStyle w:val="No-numheading3Agency"/>
        <w:spacing w:before="0" w:after="0"/>
        <w:rPr>
          <w:rFonts w:ascii="Times New Roman" w:hAnsi="Times New Roman"/>
          <w:b w:val="0"/>
          <w:kern w:val="0"/>
          <w:lang w:val="hu-HU" w:eastAsia="en-GB"/>
        </w:rPr>
      </w:pPr>
      <w:r w:rsidRPr="00183B5F">
        <w:rPr>
          <w:rFonts w:ascii="Times New Roman" w:hAnsi="Times New Roman"/>
          <w:b w:val="0"/>
          <w:kern w:val="0"/>
          <w:lang w:val="hu-HU" w:eastAsia="en-GB"/>
        </w:rPr>
        <w:t xml:space="preserve">A betegtájékoztató meghallgatásának, </w:t>
      </w:r>
      <w:r w:rsidRPr="00183B5F">
        <w:rPr>
          <w:rFonts w:ascii="Times New Roman" w:hAnsi="Times New Roman"/>
          <w:b w:val="0"/>
          <w:kern w:val="0"/>
          <w:highlight w:val="lightGray"/>
          <w:lang w:val="hu-HU" w:eastAsia="en-GB"/>
        </w:rPr>
        <w:t>&lt;</w:t>
      </w:r>
      <w:r w:rsidRPr="00183B5F">
        <w:rPr>
          <w:rFonts w:ascii="Times New Roman" w:hAnsi="Times New Roman"/>
          <w:b w:val="0"/>
          <w:kern w:val="0"/>
          <w:highlight w:val="lightGray"/>
          <w:lang w:val="hu-HU" w:eastAsia="en-GB"/>
          <w14:shadow w14:blurRad="50800" w14:dist="50800" w14:dir="5400000" w14:sx="0" w14:sy="0" w14:kx="0" w14:ky="0" w14:algn="ctr">
            <w14:schemeClr w14:val="bg1">
              <w14:lumMod w14:val="75000"/>
            </w14:schemeClr>
          </w14:shadow>
        </w:rPr>
        <w:t>Braille írással&gt;</w:t>
      </w:r>
      <w:r w:rsidRPr="00183B5F">
        <w:rPr>
          <w:rFonts w:ascii="Times New Roman" w:hAnsi="Times New Roman"/>
          <w:b w:val="0"/>
          <w:kern w:val="0"/>
          <w:highlight w:val="lightGray"/>
          <w:lang w:val="hu-HU" w:eastAsia="en-GB"/>
        </w:rPr>
        <w:t>, &lt;nagyméretű betűkkel</w:t>
      </w:r>
      <w:r w:rsidRPr="00183B5F">
        <w:rPr>
          <w:rFonts w:ascii="Times New Roman" w:hAnsi="Times New Roman"/>
          <w:b w:val="0"/>
          <w:kern w:val="0"/>
          <w:highlight w:val="lightGray"/>
          <w:lang w:val="hu-HU" w:eastAsia="en-GB"/>
          <w14:shadow w14:blurRad="50800" w14:dist="50800" w14:dir="5400000" w14:sx="0" w14:sy="0" w14:kx="0" w14:ky="0" w14:algn="ctr">
            <w14:schemeClr w14:val="bg1">
              <w14:lumMod w14:val="75000"/>
            </w14:schemeClr>
          </w14:shadow>
        </w:rPr>
        <w:t>&gt;</w:t>
      </w:r>
      <w:r w:rsidRPr="00183B5F">
        <w:rPr>
          <w:rFonts w:ascii="Times New Roman" w:hAnsi="Times New Roman"/>
          <w:b w:val="0"/>
          <w:kern w:val="0"/>
          <w:highlight w:val="lightGray"/>
          <w:lang w:val="hu-HU" w:eastAsia="en-GB"/>
        </w:rPr>
        <w:t xml:space="preserve"> készült vagy &lt;audio</w:t>
      </w:r>
      <w:r w:rsidRPr="00183B5F">
        <w:rPr>
          <w:rFonts w:ascii="Times New Roman" w:hAnsi="Times New Roman"/>
          <w:b w:val="0"/>
          <w:kern w:val="0"/>
          <w:highlight w:val="lightGray"/>
          <w:lang w:val="hu-HU" w:eastAsia="en-GB"/>
          <w14:shadow w14:blurRad="50800" w14:dist="50800" w14:dir="5400000" w14:sx="0" w14:sy="0" w14:kx="0" w14:ky="0" w14:algn="ctr">
            <w14:schemeClr w14:val="bg1">
              <w14:lumMod w14:val="75000"/>
            </w14:schemeClr>
          </w14:shadow>
        </w:rPr>
        <w:t>&gt;</w:t>
      </w:r>
      <w:r w:rsidRPr="00183B5F">
        <w:rPr>
          <w:rFonts w:ascii="Times New Roman" w:hAnsi="Times New Roman"/>
          <w:b w:val="0"/>
          <w:kern w:val="0"/>
          <w:highlight w:val="lightGray"/>
          <w:lang w:val="hu-HU" w:eastAsia="en-GB"/>
        </w:rPr>
        <w:t xml:space="preserve"> változatának</w:t>
      </w:r>
      <w:r w:rsidRPr="00183B5F">
        <w:rPr>
          <w:rFonts w:ascii="Times New Roman" w:hAnsi="Times New Roman"/>
          <w:b w:val="0"/>
          <w:kern w:val="0"/>
          <w:lang w:val="hu-HU" w:eastAsia="en-GB"/>
        </w:rPr>
        <w:t xml:space="preserve"> igénylése érdekében forduljon a forgalomba hozatali engedély jogosultjának helyi képviselőjéhez.</w:t>
      </w:r>
    </w:p>
    <w:p w14:paraId="4E20C0FF" w14:textId="77777777" w:rsidR="00743EDE" w:rsidRPr="00183B5F" w:rsidRDefault="00743EDE">
      <w:pPr>
        <w:pStyle w:val="No-numheading3Agency"/>
        <w:spacing w:before="0" w:after="0"/>
        <w:rPr>
          <w:rFonts w:ascii="Times New Roman" w:hAnsi="Times New Roman"/>
          <w:szCs w:val="24"/>
          <w:lang w:val="hu-HU"/>
        </w:rPr>
      </w:pPr>
    </w:p>
    <w:p w14:paraId="5998D545" w14:textId="77777777" w:rsidR="00275148" w:rsidRPr="00183B5F" w:rsidRDefault="00275148">
      <w:pPr>
        <w:pStyle w:val="No-numheading3Agency"/>
        <w:spacing w:before="0" w:after="0"/>
        <w:rPr>
          <w:rFonts w:ascii="Times New Roman" w:hAnsi="Times New Roman"/>
          <w:szCs w:val="24"/>
          <w:lang w:val="hu-HU"/>
        </w:rPr>
      </w:pPr>
    </w:p>
    <w:p w14:paraId="573AA1B7" w14:textId="77777777" w:rsidR="00743EDE" w:rsidRPr="00183B5F" w:rsidRDefault="00943743">
      <w:pPr>
        <w:pStyle w:val="No-numheading3Agency"/>
        <w:spacing w:before="0" w:after="0"/>
        <w:rPr>
          <w:rFonts w:ascii="Times New Roman" w:hAnsi="Times New Roman"/>
          <w:szCs w:val="24"/>
          <w:lang w:val="hu-HU"/>
        </w:rPr>
      </w:pPr>
      <w:r w:rsidRPr="00183B5F">
        <w:rPr>
          <w:rFonts w:ascii="Times New Roman" w:hAnsi="Times New Roman"/>
          <w:szCs w:val="24"/>
          <w:lang w:val="hu-HU"/>
        </w:rPr>
        <w:t>7.</w:t>
      </w:r>
      <w:r w:rsidRPr="00183B5F">
        <w:rPr>
          <w:rFonts w:ascii="Times New Roman" w:hAnsi="Times New Roman"/>
          <w:szCs w:val="24"/>
          <w:lang w:val="hu-HU"/>
        </w:rPr>
        <w:tab/>
      </w:r>
      <w:r w:rsidR="009F449B" w:rsidRPr="00183B5F">
        <w:rPr>
          <w:rFonts w:ascii="Times New Roman" w:hAnsi="Times New Roman"/>
          <w:szCs w:val="24"/>
          <w:lang w:val="hu-HU"/>
        </w:rPr>
        <w:t>A Humira beadása</w:t>
      </w:r>
    </w:p>
    <w:p w14:paraId="7F5AC7A9" w14:textId="77777777" w:rsidR="00743EDE" w:rsidRPr="00183B5F" w:rsidRDefault="00743EDE">
      <w:pPr>
        <w:pStyle w:val="No-numheading3Agency"/>
        <w:spacing w:before="0" w:after="0"/>
        <w:rPr>
          <w:rFonts w:ascii="Times New Roman" w:hAnsi="Times New Roman"/>
          <w:szCs w:val="24"/>
          <w:lang w:val="hu-HU"/>
        </w:rPr>
      </w:pPr>
    </w:p>
    <w:p w14:paraId="58AAAAF5" w14:textId="77777777" w:rsidR="00743EDE" w:rsidRPr="00183B5F" w:rsidRDefault="00943743" w:rsidP="004062FE">
      <w:pPr>
        <w:numPr>
          <w:ilvl w:val="0"/>
          <w:numId w:val="76"/>
        </w:numPr>
        <w:suppressAutoHyphens w:val="0"/>
        <w:spacing w:line="240" w:lineRule="auto"/>
        <w:ind w:right="-3"/>
        <w:rPr>
          <w:szCs w:val="22"/>
        </w:rPr>
      </w:pPr>
      <w:r w:rsidRPr="00183B5F">
        <w:rPr>
          <w:szCs w:val="22"/>
        </w:rPr>
        <w:t xml:space="preserve">A következő útmutató azt magyarázza el, hogyan adja be magának a bőre alá a Humira injekciót előretöltött fecskendővel. Kérjük, figyelmesen olvassa el az útmutatót, és kövesse lépésről-lépésre. </w:t>
      </w:r>
    </w:p>
    <w:p w14:paraId="266D6FEB" w14:textId="77777777" w:rsidR="00743EDE" w:rsidRPr="00183B5F" w:rsidRDefault="00743EDE" w:rsidP="004062FE">
      <w:pPr>
        <w:suppressAutoHyphens w:val="0"/>
        <w:spacing w:line="240" w:lineRule="auto"/>
        <w:ind w:right="-3"/>
        <w:rPr>
          <w:szCs w:val="22"/>
        </w:rPr>
      </w:pPr>
    </w:p>
    <w:p w14:paraId="4F6B47F6" w14:textId="77777777" w:rsidR="00743EDE" w:rsidRPr="00183B5F" w:rsidRDefault="00943743" w:rsidP="004062FE">
      <w:pPr>
        <w:numPr>
          <w:ilvl w:val="0"/>
          <w:numId w:val="76"/>
        </w:numPr>
        <w:suppressAutoHyphens w:val="0"/>
        <w:spacing w:line="240" w:lineRule="auto"/>
        <w:ind w:right="-3"/>
        <w:rPr>
          <w:szCs w:val="22"/>
        </w:rPr>
      </w:pPr>
      <w:r w:rsidRPr="00183B5F">
        <w:rPr>
          <w:szCs w:val="22"/>
        </w:rPr>
        <w:t xml:space="preserve">Az öninjekciózás technikájára kezelőorvosa, a nővér, vagy gyógyszerésze tanítja meg Önt. </w:t>
      </w:r>
    </w:p>
    <w:p w14:paraId="61B48E0B" w14:textId="77777777" w:rsidR="00743EDE" w:rsidRPr="00183B5F" w:rsidRDefault="00743EDE" w:rsidP="004062FE">
      <w:pPr>
        <w:suppressAutoHyphens w:val="0"/>
        <w:spacing w:line="240" w:lineRule="auto"/>
        <w:ind w:right="-3"/>
        <w:rPr>
          <w:szCs w:val="22"/>
        </w:rPr>
      </w:pPr>
    </w:p>
    <w:p w14:paraId="66BA287D" w14:textId="77777777" w:rsidR="00743EDE" w:rsidRPr="00183B5F" w:rsidRDefault="00943743" w:rsidP="004062FE">
      <w:pPr>
        <w:numPr>
          <w:ilvl w:val="0"/>
          <w:numId w:val="76"/>
        </w:numPr>
        <w:suppressAutoHyphens w:val="0"/>
        <w:spacing w:line="240" w:lineRule="auto"/>
        <w:ind w:right="-3"/>
        <w:rPr>
          <w:szCs w:val="22"/>
        </w:rPr>
      </w:pPr>
      <w:r w:rsidRPr="00183B5F">
        <w:rPr>
          <w:szCs w:val="22"/>
        </w:rPr>
        <w:t xml:space="preserve">Ne próbálkozzon az öninjekciózással, amíg nem biztos abban, hogyan kell elkészíteni és beadni az injekciót. </w:t>
      </w:r>
    </w:p>
    <w:p w14:paraId="0EB04437" w14:textId="77777777" w:rsidR="00743EDE" w:rsidRPr="00183B5F" w:rsidRDefault="00743EDE" w:rsidP="004062FE">
      <w:pPr>
        <w:suppressAutoHyphens w:val="0"/>
        <w:spacing w:line="240" w:lineRule="auto"/>
        <w:ind w:right="-3"/>
        <w:rPr>
          <w:szCs w:val="22"/>
        </w:rPr>
      </w:pPr>
    </w:p>
    <w:p w14:paraId="1B35AEAD" w14:textId="77777777" w:rsidR="00743EDE" w:rsidRPr="00183B5F" w:rsidRDefault="00943743" w:rsidP="004062FE">
      <w:pPr>
        <w:numPr>
          <w:ilvl w:val="0"/>
          <w:numId w:val="76"/>
        </w:numPr>
        <w:suppressAutoHyphens w:val="0"/>
        <w:spacing w:line="240" w:lineRule="auto"/>
        <w:ind w:right="-3"/>
        <w:rPr>
          <w:szCs w:val="22"/>
        </w:rPr>
      </w:pPr>
      <w:r w:rsidRPr="00183B5F">
        <w:rPr>
          <w:szCs w:val="22"/>
        </w:rPr>
        <w:t>Megfelelő gyakorlás után saját maga vagy más személy (</w:t>
      </w:r>
      <w:r w:rsidR="00E05701" w:rsidRPr="00183B5F">
        <w:rPr>
          <w:bCs/>
          <w:szCs w:val="22"/>
        </w:rPr>
        <w:t>például</w:t>
      </w:r>
      <w:r w:rsidR="00E05701" w:rsidRPr="00183B5F">
        <w:rPr>
          <w:szCs w:val="22"/>
        </w:rPr>
        <w:t xml:space="preserve"> </w:t>
      </w:r>
      <w:r w:rsidRPr="00183B5F">
        <w:rPr>
          <w:szCs w:val="22"/>
        </w:rPr>
        <w:t>családtag, ismerős) is beadhatja az injekciót.</w:t>
      </w:r>
    </w:p>
    <w:p w14:paraId="757ADB44" w14:textId="77777777" w:rsidR="00743EDE" w:rsidRPr="00183B5F" w:rsidRDefault="00743EDE" w:rsidP="004062FE">
      <w:pPr>
        <w:suppressAutoHyphens w:val="0"/>
        <w:spacing w:line="240" w:lineRule="auto"/>
        <w:ind w:left="720" w:right="-3"/>
        <w:rPr>
          <w:szCs w:val="22"/>
        </w:rPr>
      </w:pPr>
    </w:p>
    <w:p w14:paraId="053AB74B" w14:textId="77777777" w:rsidR="00743EDE" w:rsidRPr="00183B5F" w:rsidRDefault="00943743" w:rsidP="004062FE">
      <w:pPr>
        <w:numPr>
          <w:ilvl w:val="0"/>
          <w:numId w:val="76"/>
        </w:numPr>
        <w:suppressAutoHyphens w:val="0"/>
        <w:spacing w:line="240" w:lineRule="auto"/>
        <w:ind w:right="-3"/>
        <w:rPr>
          <w:szCs w:val="22"/>
        </w:rPr>
      </w:pPr>
      <w:r w:rsidRPr="00183B5F">
        <w:rPr>
          <w:szCs w:val="22"/>
        </w:rPr>
        <w:t>Minden egyes előretöltött fecskendőt csak egyszeri beadásra használja!</w:t>
      </w:r>
    </w:p>
    <w:p w14:paraId="389667D4" w14:textId="77777777" w:rsidR="00743EDE" w:rsidRPr="00183B5F" w:rsidRDefault="00743EDE" w:rsidP="004062FE">
      <w:pPr>
        <w:suppressAutoHyphens w:val="0"/>
        <w:spacing w:line="240" w:lineRule="auto"/>
        <w:ind w:right="-3"/>
        <w:rPr>
          <w:szCs w:val="22"/>
        </w:rPr>
      </w:pPr>
    </w:p>
    <w:p w14:paraId="7D19F09A" w14:textId="77777777" w:rsidR="00743EDE" w:rsidRPr="00183B5F" w:rsidRDefault="00943743" w:rsidP="004062FE">
      <w:pPr>
        <w:keepNext/>
        <w:suppressAutoHyphens w:val="0"/>
        <w:spacing w:line="240" w:lineRule="auto"/>
        <w:rPr>
          <w:bCs/>
          <w:szCs w:val="22"/>
        </w:rPr>
      </w:pPr>
      <w:r w:rsidRPr="00183B5F">
        <w:rPr>
          <w:b/>
          <w:bCs/>
          <w:szCs w:val="22"/>
        </w:rPr>
        <w:t>Humira előretöltött fecskendő</w:t>
      </w:r>
    </w:p>
    <w:p w14:paraId="673033D0" w14:textId="77777777" w:rsidR="00743EDE" w:rsidRPr="00183B5F" w:rsidRDefault="00743EDE" w:rsidP="004062FE">
      <w:pPr>
        <w:keepNext/>
        <w:suppressAutoHyphens w:val="0"/>
        <w:spacing w:line="240" w:lineRule="auto"/>
        <w:rPr>
          <w:bCs/>
          <w:szCs w:val="22"/>
        </w:rPr>
      </w:pPr>
    </w:p>
    <w:p w14:paraId="3F4093BF" w14:textId="77777777" w:rsidR="00743EDE" w:rsidRPr="00183B5F" w:rsidRDefault="00943743" w:rsidP="004062FE">
      <w:pPr>
        <w:keepNext/>
        <w:tabs>
          <w:tab w:val="left" w:pos="4253"/>
          <w:tab w:val="left" w:pos="5954"/>
        </w:tabs>
        <w:suppressAutoHyphens w:val="0"/>
        <w:spacing w:line="240" w:lineRule="auto"/>
        <w:ind w:left="1134" w:firstLine="567"/>
        <w:rPr>
          <w:b/>
          <w:bCs/>
          <w:szCs w:val="22"/>
        </w:rPr>
      </w:pPr>
      <w:r w:rsidRPr="00183B5F">
        <w:rPr>
          <w:b/>
          <w:bCs/>
          <w:szCs w:val="22"/>
        </w:rPr>
        <w:t xml:space="preserve">dugattyú </w:t>
      </w:r>
      <w:r w:rsidRPr="00183B5F">
        <w:rPr>
          <w:b/>
          <w:bCs/>
          <w:szCs w:val="22"/>
        </w:rPr>
        <w:tab/>
        <w:t>ujjtámasz</w:t>
      </w:r>
      <w:r w:rsidRPr="00183B5F">
        <w:rPr>
          <w:b/>
          <w:bCs/>
          <w:szCs w:val="22"/>
        </w:rPr>
        <w:tab/>
        <w:t>tűvédő tok</w:t>
      </w:r>
    </w:p>
    <w:p w14:paraId="2B70D06B" w14:textId="77777777" w:rsidR="00743EDE" w:rsidRPr="00183B5F" w:rsidRDefault="00943743" w:rsidP="004062FE">
      <w:pPr>
        <w:keepNext/>
        <w:suppressAutoHyphens w:val="0"/>
        <w:spacing w:line="240" w:lineRule="auto"/>
        <w:jc w:val="center"/>
        <w:rPr>
          <w:b/>
          <w:bCs/>
          <w:szCs w:val="22"/>
        </w:rPr>
      </w:pPr>
      <w:r w:rsidRPr="00FB267A">
        <w:rPr>
          <w:noProof/>
          <w:lang w:val="en-GB"/>
        </w:rPr>
        <w:drawing>
          <wp:inline distT="0" distB="0" distL="0" distR="0" wp14:anchorId="32A32EBD" wp14:editId="3944C62D">
            <wp:extent cx="3364992" cy="1478124"/>
            <wp:effectExtent l="0" t="0" r="6985" b="825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Humira_Exploded_Syringe_Only_new grey.jpg"/>
                    <pic:cNvPicPr/>
                  </pic:nvPicPr>
                  <pic:blipFill>
                    <a:blip r:embed="rId24">
                      <a:extLst>
                        <a:ext uri="{28A0092B-C50C-407E-A947-70E740481C1C}">
                          <a14:useLocalDpi xmlns:a14="http://schemas.microsoft.com/office/drawing/2010/main" val="0"/>
                        </a:ext>
                      </a:extLst>
                    </a:blip>
                    <a:stretch>
                      <a:fillRect/>
                    </a:stretch>
                  </pic:blipFill>
                  <pic:spPr>
                    <a:xfrm>
                      <a:off x="0" y="0"/>
                      <a:ext cx="3364992" cy="1478124"/>
                    </a:xfrm>
                    <a:prstGeom prst="rect">
                      <a:avLst/>
                    </a:prstGeom>
                  </pic:spPr>
                </pic:pic>
              </a:graphicData>
            </a:graphic>
          </wp:inline>
        </w:drawing>
      </w:r>
    </w:p>
    <w:p w14:paraId="21F85E08" w14:textId="77777777" w:rsidR="00743EDE" w:rsidRPr="00183B5F" w:rsidRDefault="00743EDE">
      <w:pPr>
        <w:pStyle w:val="EMEAHeadingLeaflet"/>
        <w:keepNext/>
        <w:spacing w:beforeLines="0" w:before="0" w:afterLines="0" w:after="0"/>
        <w:rPr>
          <w:rFonts w:ascii="Times New Roman" w:hAnsi="Times New Roman"/>
          <w:b w:val="0"/>
          <w:lang w:val="hu-HU"/>
        </w:rPr>
      </w:pPr>
    </w:p>
    <w:p w14:paraId="503C257B" w14:textId="77777777" w:rsidR="00743EDE" w:rsidRPr="00183B5F" w:rsidRDefault="00943743">
      <w:pPr>
        <w:pStyle w:val="EMEAHeadingLeaflet"/>
        <w:keepNext/>
        <w:spacing w:beforeLines="0" w:before="0" w:afterLines="0" w:after="0"/>
        <w:rPr>
          <w:rFonts w:ascii="Times New Roman" w:hAnsi="Times New Roman"/>
          <w:b w:val="0"/>
          <w:lang w:val="hu-HU"/>
        </w:rPr>
      </w:pPr>
      <w:r w:rsidRPr="00183B5F">
        <w:rPr>
          <w:rFonts w:ascii="Times New Roman" w:hAnsi="Times New Roman"/>
          <w:lang w:val="hu-HU"/>
        </w:rPr>
        <w:t>Ne használja az előretöltött fecskendőt és hívja kezelőorvosát vagy gyógyszerészét, ha:</w:t>
      </w:r>
    </w:p>
    <w:p w14:paraId="2E76D1F3" w14:textId="77777777" w:rsidR="00743EDE" w:rsidRPr="00183B5F" w:rsidRDefault="00743EDE">
      <w:pPr>
        <w:pStyle w:val="EMEANormal"/>
        <w:keepNext/>
        <w:rPr>
          <w:lang w:val="hu-HU"/>
        </w:rPr>
      </w:pPr>
    </w:p>
    <w:p w14:paraId="1F613132" w14:textId="77777777" w:rsidR="00743EDE" w:rsidRPr="00183B5F" w:rsidRDefault="00943743">
      <w:pPr>
        <w:pStyle w:val="EMEAHeadingLeaflet"/>
        <w:keepNext/>
        <w:numPr>
          <w:ilvl w:val="0"/>
          <w:numId w:val="119"/>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b w:val="0"/>
          <w:lang w:val="hu-HU"/>
        </w:rPr>
        <w:t>a folyadék zavaros, elszíneződött vagy pelyhes csapadékot vagy lebegő részecskéket tartalmaz</w:t>
      </w:r>
    </w:p>
    <w:p w14:paraId="6EA8FD70" w14:textId="77777777" w:rsidR="00743EDE" w:rsidRPr="00183B5F" w:rsidRDefault="00943743">
      <w:pPr>
        <w:pStyle w:val="EMEAHeadingLeaflet"/>
        <w:keepNext/>
        <w:numPr>
          <w:ilvl w:val="0"/>
          <w:numId w:val="119"/>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b w:val="0"/>
          <w:lang w:val="hu-HU"/>
        </w:rPr>
        <w:t>a lejárati idő (EXP) elmúlt</w:t>
      </w:r>
    </w:p>
    <w:p w14:paraId="640FAD51" w14:textId="77777777" w:rsidR="00743EDE" w:rsidRPr="00183B5F" w:rsidRDefault="00943743">
      <w:pPr>
        <w:pStyle w:val="EMEAHeadingLeaflet"/>
        <w:keepNext/>
        <w:numPr>
          <w:ilvl w:val="0"/>
          <w:numId w:val="119"/>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b w:val="0"/>
          <w:lang w:val="hu-HU"/>
        </w:rPr>
        <w:t>a folyadék megfagyott vagy közvetlen napfénynek volt kitéve</w:t>
      </w:r>
    </w:p>
    <w:p w14:paraId="4878F18A" w14:textId="77777777" w:rsidR="00743EDE" w:rsidRPr="00183B5F" w:rsidRDefault="00943743">
      <w:pPr>
        <w:pStyle w:val="EMEAHeadingLeaflet"/>
        <w:keepNext/>
        <w:numPr>
          <w:ilvl w:val="0"/>
          <w:numId w:val="119"/>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b w:val="0"/>
          <w:lang w:val="hu-HU"/>
        </w:rPr>
        <w:t>az előretöltött fecskendő leesett vagy eltörött</w:t>
      </w:r>
    </w:p>
    <w:p w14:paraId="62D7114C" w14:textId="77777777" w:rsidR="00743EDE" w:rsidRPr="00183B5F" w:rsidRDefault="00743EDE">
      <w:pPr>
        <w:pStyle w:val="EMEANormal"/>
        <w:rPr>
          <w:lang w:val="hu-HU"/>
        </w:rPr>
      </w:pPr>
    </w:p>
    <w:p w14:paraId="6FBF8C77" w14:textId="77777777" w:rsidR="00743EDE" w:rsidRPr="00183B5F" w:rsidRDefault="00943743" w:rsidP="004062FE">
      <w:pPr>
        <w:pStyle w:val="EMEAHeadingLeaflet"/>
        <w:keepNext/>
        <w:tabs>
          <w:tab w:val="clear" w:pos="562"/>
          <w:tab w:val="left" w:pos="0"/>
        </w:tabs>
        <w:spacing w:beforeLines="0" w:before="0" w:afterLines="0" w:after="0"/>
        <w:rPr>
          <w:rFonts w:ascii="Times New Roman" w:hAnsi="Times New Roman"/>
          <w:lang w:val="hu-HU"/>
        </w:rPr>
      </w:pPr>
      <w:r w:rsidRPr="00183B5F">
        <w:rPr>
          <w:szCs w:val="22"/>
          <w:lang w:val="hu-HU"/>
        </w:rPr>
        <w:t>A tűvédő tokot ne távolítsa el, csak közvetlenül az injekció beadása előtt.</w:t>
      </w:r>
      <w:r w:rsidRPr="00183B5F">
        <w:rPr>
          <w:rFonts w:ascii="Times New Roman" w:hAnsi="Times New Roman"/>
          <w:lang w:val="hu-HU"/>
        </w:rPr>
        <w:t xml:space="preserve"> A Humira gyermekektől elzárva tartandó!</w:t>
      </w:r>
    </w:p>
    <w:p w14:paraId="227C94BD" w14:textId="77777777" w:rsidR="00743EDE" w:rsidRPr="00183B5F" w:rsidRDefault="00743EDE">
      <w:pPr>
        <w:pStyle w:val="EMEANormal"/>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011D2F" w14:paraId="5288F5CB" w14:textId="77777777" w:rsidTr="00743EDE">
        <w:tc>
          <w:tcPr>
            <w:tcW w:w="9287" w:type="dxa"/>
            <w:gridSpan w:val="2"/>
            <w:tcBorders>
              <w:bottom w:val="single" w:sz="4" w:space="0" w:color="auto"/>
            </w:tcBorders>
          </w:tcPr>
          <w:p w14:paraId="2062D288" w14:textId="77777777" w:rsidR="00743EDE" w:rsidRPr="00183B5F" w:rsidRDefault="00943743">
            <w:pPr>
              <w:pStyle w:val="EMEAHeadingLeaflet"/>
              <w:spacing w:beforeLines="0" w:before="0" w:afterLines="0" w:after="0"/>
              <w:rPr>
                <w:rFonts w:ascii="Times New Roman" w:hAnsi="Times New Roman"/>
                <w:b w:val="0"/>
                <w:lang w:val="hu-HU"/>
              </w:rPr>
            </w:pPr>
            <w:r w:rsidRPr="00183B5F">
              <w:rPr>
                <w:rFonts w:ascii="Times New Roman" w:hAnsi="Times New Roman"/>
                <w:lang w:val="hu-HU"/>
              </w:rPr>
              <w:t>1. lépés</w:t>
            </w:r>
          </w:p>
          <w:p w14:paraId="0A3363E8" w14:textId="77777777" w:rsidR="00743EDE" w:rsidRPr="00183B5F" w:rsidRDefault="00743EDE">
            <w:pPr>
              <w:pStyle w:val="EMEANormal"/>
              <w:rPr>
                <w:lang w:val="hu-HU"/>
              </w:rPr>
            </w:pPr>
          </w:p>
          <w:p w14:paraId="708C6D1B" w14:textId="77777777" w:rsidR="00743EDE" w:rsidRPr="00183B5F" w:rsidRDefault="00943743">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Vegye ki a Humira</w:t>
            </w:r>
            <w:r w:rsidRPr="00183B5F">
              <w:rPr>
                <w:rFonts w:ascii="Times New Roman" w:hAnsi="Times New Roman"/>
                <w:b w:val="0"/>
                <w:lang w:val="hu-HU"/>
              </w:rPr>
              <w:noBreakHyphen/>
              <w:t>t a hűtőszekrényből.</w:t>
            </w:r>
          </w:p>
          <w:p w14:paraId="56429CFE" w14:textId="77777777" w:rsidR="00743EDE" w:rsidRPr="00183B5F" w:rsidRDefault="00743EDE">
            <w:pPr>
              <w:pStyle w:val="EMEANormal"/>
              <w:rPr>
                <w:lang w:val="hu-HU"/>
              </w:rPr>
            </w:pPr>
          </w:p>
          <w:p w14:paraId="548DA399" w14:textId="77777777" w:rsidR="00743EDE" w:rsidRPr="00183B5F" w:rsidRDefault="00943743">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 xml:space="preserve">A beadás előtt </w:t>
            </w:r>
            <w:r w:rsidRPr="00183B5F">
              <w:rPr>
                <w:rFonts w:ascii="Times New Roman" w:hAnsi="Times New Roman"/>
                <w:lang w:val="hu-HU"/>
              </w:rPr>
              <w:t>15</w:t>
            </w:r>
            <w:r w:rsidRPr="00183B5F">
              <w:rPr>
                <w:rFonts w:ascii="Times New Roman" w:hAnsi="Times New Roman"/>
                <w:lang w:val="hu-HU"/>
              </w:rPr>
              <w:noBreakHyphen/>
              <w:t>30 percig</w:t>
            </w:r>
            <w:r w:rsidRPr="00183B5F">
              <w:rPr>
                <w:rFonts w:ascii="Times New Roman" w:hAnsi="Times New Roman"/>
                <w:b w:val="0"/>
                <w:lang w:val="hu-HU"/>
              </w:rPr>
              <w:t xml:space="preserve"> hagyja a Humira</w:t>
            </w:r>
            <w:r w:rsidRPr="00183B5F">
              <w:rPr>
                <w:rFonts w:ascii="Times New Roman" w:hAnsi="Times New Roman"/>
                <w:b w:val="0"/>
                <w:lang w:val="hu-HU"/>
              </w:rPr>
              <w:noBreakHyphen/>
              <w:t>t szobahőmérsékleten.</w:t>
            </w:r>
          </w:p>
          <w:p w14:paraId="58CA10ED" w14:textId="77777777" w:rsidR="00743EDE" w:rsidRPr="00183B5F" w:rsidRDefault="00743EDE">
            <w:pPr>
              <w:pStyle w:val="EMEANormal"/>
              <w:rPr>
                <w:lang w:val="hu-HU"/>
              </w:rPr>
            </w:pPr>
          </w:p>
          <w:p w14:paraId="5AF846F6" w14:textId="77777777" w:rsidR="00743EDE" w:rsidRPr="00183B5F" w:rsidRDefault="00943743">
            <w:pPr>
              <w:pStyle w:val="EMEAHeadingLeaflet"/>
              <w:numPr>
                <w:ilvl w:val="0"/>
                <w:numId w:val="120"/>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lang w:val="hu-HU"/>
              </w:rPr>
              <w:t>Ne távolítsa el</w:t>
            </w:r>
            <w:r w:rsidRPr="00183B5F">
              <w:rPr>
                <w:rFonts w:ascii="Times New Roman" w:hAnsi="Times New Roman"/>
                <w:b w:val="0"/>
                <w:lang w:val="hu-HU"/>
              </w:rPr>
              <w:t xml:space="preserve"> a tűvédő tokot, amíg a Humira hőmérséklete eléri a szobahőmérsékletet.</w:t>
            </w:r>
          </w:p>
          <w:p w14:paraId="01C736AB" w14:textId="77777777" w:rsidR="00743EDE" w:rsidRPr="00183B5F" w:rsidRDefault="00943743">
            <w:pPr>
              <w:pStyle w:val="EMEANormal"/>
              <w:numPr>
                <w:ilvl w:val="0"/>
                <w:numId w:val="120"/>
              </w:numPr>
              <w:tabs>
                <w:tab w:val="clear" w:pos="562"/>
                <w:tab w:val="left" w:pos="720"/>
              </w:tabs>
              <w:rPr>
                <w:lang w:val="hu-HU"/>
              </w:rPr>
            </w:pPr>
            <w:r w:rsidRPr="00183B5F">
              <w:rPr>
                <w:b/>
                <w:lang w:val="hu-HU"/>
              </w:rPr>
              <w:t xml:space="preserve">Ne melegítse </w:t>
            </w:r>
            <w:r w:rsidRPr="00183B5F">
              <w:rPr>
                <w:lang w:val="hu-HU"/>
              </w:rPr>
              <w:t>a Humira</w:t>
            </w:r>
            <w:r w:rsidRPr="00183B5F">
              <w:rPr>
                <w:lang w:val="hu-HU"/>
              </w:rPr>
              <w:noBreakHyphen/>
              <w:t xml:space="preserve">t semmilyen egyéb módon. Például </w:t>
            </w:r>
            <w:r w:rsidRPr="00183B5F">
              <w:rPr>
                <w:b/>
                <w:lang w:val="hu-HU"/>
              </w:rPr>
              <w:t>ne melegítse</w:t>
            </w:r>
            <w:r w:rsidRPr="00183B5F">
              <w:rPr>
                <w:lang w:val="hu-HU"/>
              </w:rPr>
              <w:t xml:space="preserve"> mikrohullámú sütőben vagy forró vízben.</w:t>
            </w:r>
          </w:p>
        </w:tc>
      </w:tr>
      <w:tr w:rsidR="00011D2F" w14:paraId="339794CE" w14:textId="77777777" w:rsidTr="00743EDE">
        <w:tc>
          <w:tcPr>
            <w:tcW w:w="3708" w:type="dxa"/>
            <w:tcBorders>
              <w:right w:val="nil"/>
            </w:tcBorders>
          </w:tcPr>
          <w:p w14:paraId="6B4A4503" w14:textId="77777777" w:rsidR="00743EDE" w:rsidRPr="00183B5F" w:rsidRDefault="00943743" w:rsidP="0073731A">
            <w:pPr>
              <w:pStyle w:val="EMEANormal"/>
              <w:rPr>
                <w:noProof/>
                <w:lang w:val="hu-HU"/>
              </w:rPr>
            </w:pPr>
            <w:r w:rsidRPr="00183B5F">
              <w:rPr>
                <w:b/>
                <w:noProof/>
                <w:lang w:val="hu-HU"/>
              </w:rPr>
              <w:t>2. lépés</w:t>
            </w:r>
          </w:p>
          <w:p w14:paraId="1B4673E3" w14:textId="77777777" w:rsidR="00743EDE" w:rsidRPr="00183B5F" w:rsidRDefault="00743EDE" w:rsidP="0073731A">
            <w:pPr>
              <w:pStyle w:val="EMEANormal"/>
              <w:rPr>
                <w:noProof/>
                <w:lang w:val="hu-HU"/>
              </w:rPr>
            </w:pPr>
          </w:p>
          <w:p w14:paraId="78D87F3D" w14:textId="77777777" w:rsidR="00743EDE" w:rsidRPr="00183B5F" w:rsidRDefault="00943743" w:rsidP="0073731A">
            <w:pPr>
              <w:pStyle w:val="EMEANormal"/>
              <w:rPr>
                <w:b/>
                <w:noProof/>
                <w:lang w:val="hu-HU"/>
              </w:rPr>
            </w:pPr>
            <w:r w:rsidRPr="00183B5F">
              <w:rPr>
                <w:noProof/>
                <w:lang w:val="hu-HU"/>
              </w:rPr>
              <w:t xml:space="preserve">      </w:t>
            </w:r>
            <w:r w:rsidRPr="00183B5F">
              <w:rPr>
                <w:b/>
                <w:noProof/>
                <w:lang w:val="hu-HU"/>
              </w:rPr>
              <w:t>Előretöltött fecskendő</w:t>
            </w:r>
          </w:p>
          <w:p w14:paraId="249634B5" w14:textId="77777777" w:rsidR="00743EDE" w:rsidRPr="00183B5F" w:rsidRDefault="00943743" w:rsidP="0073731A">
            <w:pPr>
              <w:pStyle w:val="EMEANormal"/>
              <w:rPr>
                <w:noProof/>
                <w:lang w:val="hu-HU"/>
              </w:rPr>
            </w:pPr>
            <w:r w:rsidRPr="00FB267A">
              <w:rPr>
                <w:noProof/>
                <w:lang w:val="en-GB"/>
              </w:rPr>
              <w:drawing>
                <wp:inline distT="0" distB="0" distL="0" distR="0" wp14:anchorId="1E738B0F" wp14:editId="51AA88B4">
                  <wp:extent cx="2217420" cy="2052320"/>
                  <wp:effectExtent l="0" t="0" r="0" b="508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STEP_2_SYRINGE_IFU_SETUP_new grey.jpg"/>
                          <pic:cNvPicPr/>
                        </pic:nvPicPr>
                        <pic:blipFill>
                          <a:blip r:embed="rId25">
                            <a:extLst>
                              <a:ext uri="{28A0092B-C50C-407E-A947-70E740481C1C}">
                                <a14:useLocalDpi xmlns:a14="http://schemas.microsoft.com/office/drawing/2010/main" val="0"/>
                              </a:ext>
                            </a:extLst>
                          </a:blip>
                          <a:stretch>
                            <a:fillRect/>
                          </a:stretch>
                        </pic:blipFill>
                        <pic:spPr>
                          <a:xfrm>
                            <a:off x="0" y="0"/>
                            <a:ext cx="2217420" cy="2052320"/>
                          </a:xfrm>
                          <a:prstGeom prst="rect">
                            <a:avLst/>
                          </a:prstGeom>
                        </pic:spPr>
                      </pic:pic>
                    </a:graphicData>
                  </a:graphic>
                </wp:inline>
              </w:drawing>
            </w:r>
          </w:p>
          <w:p w14:paraId="3170CCCF" w14:textId="77777777" w:rsidR="00743EDE" w:rsidRPr="00183B5F" w:rsidRDefault="00943743" w:rsidP="0073731A">
            <w:pPr>
              <w:pStyle w:val="EMEANormal"/>
              <w:rPr>
                <w:b/>
                <w:lang w:val="hu-HU"/>
              </w:rPr>
            </w:pPr>
            <w:r w:rsidRPr="00183B5F">
              <w:rPr>
                <w:b/>
                <w:noProof/>
                <w:lang w:val="hu-HU"/>
              </w:rPr>
              <w:t xml:space="preserve">            Törlőkendő</w:t>
            </w:r>
          </w:p>
        </w:tc>
        <w:tc>
          <w:tcPr>
            <w:tcW w:w="5579" w:type="dxa"/>
            <w:tcBorders>
              <w:left w:val="nil"/>
            </w:tcBorders>
          </w:tcPr>
          <w:p w14:paraId="4F6DFEDC" w14:textId="77777777" w:rsidR="00743EDE" w:rsidRPr="00183B5F" w:rsidRDefault="00743EDE" w:rsidP="0073731A">
            <w:pPr>
              <w:pStyle w:val="EMEAHeadingLeaflet"/>
              <w:spacing w:beforeLines="0" w:before="0" w:afterLines="0" w:after="0"/>
              <w:rPr>
                <w:rFonts w:ascii="Times New Roman" w:hAnsi="Times New Roman"/>
                <w:b w:val="0"/>
                <w:lang w:val="hu-HU"/>
              </w:rPr>
            </w:pPr>
          </w:p>
          <w:p w14:paraId="49D719B5" w14:textId="77777777" w:rsidR="00743EDE" w:rsidRPr="00183B5F" w:rsidRDefault="00943743" w:rsidP="0073731A">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 xml:space="preserve">Ellenőrizze a lejárat dátumát (EXP). </w:t>
            </w:r>
            <w:r w:rsidRPr="00183B5F">
              <w:rPr>
                <w:rFonts w:ascii="Times New Roman" w:hAnsi="Times New Roman"/>
                <w:lang w:val="hu-HU"/>
              </w:rPr>
              <w:t>Ne</w:t>
            </w:r>
            <w:r w:rsidRPr="00183B5F">
              <w:rPr>
                <w:rFonts w:ascii="Times New Roman" w:hAnsi="Times New Roman"/>
                <w:b w:val="0"/>
                <w:lang w:val="hu-HU"/>
              </w:rPr>
              <w:t xml:space="preserve"> használja az előretöltött fecskendőt, ha a lejárati idő (EXP) elmúlt.</w:t>
            </w:r>
          </w:p>
          <w:p w14:paraId="5C022226" w14:textId="77777777" w:rsidR="00743EDE" w:rsidRPr="00183B5F" w:rsidRDefault="00743EDE" w:rsidP="0073731A">
            <w:pPr>
              <w:pStyle w:val="EMEANormal"/>
              <w:rPr>
                <w:lang w:val="hu-HU"/>
              </w:rPr>
            </w:pPr>
          </w:p>
          <w:p w14:paraId="58E4ED23" w14:textId="77777777" w:rsidR="00743EDE" w:rsidRPr="00183B5F" w:rsidRDefault="00943743" w:rsidP="0073731A">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Helyezze a következőket egy tiszta, sima felületre:</w:t>
            </w:r>
          </w:p>
          <w:p w14:paraId="616A2FAE" w14:textId="77777777" w:rsidR="00743EDE" w:rsidRPr="00183B5F" w:rsidRDefault="00743EDE" w:rsidP="0073731A">
            <w:pPr>
              <w:pStyle w:val="EMEANormal"/>
              <w:rPr>
                <w:lang w:val="hu-HU"/>
              </w:rPr>
            </w:pPr>
          </w:p>
          <w:p w14:paraId="41B4097E" w14:textId="77777777" w:rsidR="00743EDE" w:rsidRPr="00183B5F" w:rsidRDefault="00943743" w:rsidP="0073731A">
            <w:pPr>
              <w:pStyle w:val="EMEAHeadingLeaflet"/>
              <w:numPr>
                <w:ilvl w:val="0"/>
                <w:numId w:val="121"/>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 xml:space="preserve">1 egyszer használatos előretöltött fecskendőt és </w:t>
            </w:r>
          </w:p>
          <w:p w14:paraId="32DCF41A" w14:textId="77777777" w:rsidR="00743EDE" w:rsidRPr="00183B5F" w:rsidRDefault="00943743" w:rsidP="0073731A">
            <w:pPr>
              <w:pStyle w:val="EMEAHeadingLeaflet"/>
              <w:numPr>
                <w:ilvl w:val="0"/>
                <w:numId w:val="121"/>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1 alkoholos törlőt</w:t>
            </w:r>
          </w:p>
          <w:p w14:paraId="618D4E4D" w14:textId="77777777" w:rsidR="00743EDE" w:rsidRPr="00183B5F" w:rsidRDefault="00743EDE" w:rsidP="0073731A">
            <w:pPr>
              <w:pStyle w:val="EMEANormal"/>
              <w:rPr>
                <w:lang w:val="hu-HU"/>
              </w:rPr>
            </w:pPr>
          </w:p>
          <w:p w14:paraId="0501DD68" w14:textId="77777777" w:rsidR="00743EDE" w:rsidRPr="00183B5F" w:rsidRDefault="00943743" w:rsidP="0073731A">
            <w:pPr>
              <w:pStyle w:val="EMEANormal"/>
              <w:rPr>
                <w:lang w:val="hu-HU"/>
              </w:rPr>
            </w:pPr>
            <w:r w:rsidRPr="00183B5F">
              <w:rPr>
                <w:lang w:val="hu-HU"/>
              </w:rPr>
              <w:t>Mossa meg és szárítsa meg a kezét.</w:t>
            </w:r>
          </w:p>
        </w:tc>
      </w:tr>
      <w:tr w:rsidR="00011D2F" w14:paraId="6B4DE378" w14:textId="77777777" w:rsidTr="00743EDE">
        <w:tc>
          <w:tcPr>
            <w:tcW w:w="3708" w:type="dxa"/>
            <w:tcBorders>
              <w:right w:val="nil"/>
            </w:tcBorders>
          </w:tcPr>
          <w:p w14:paraId="59347B40" w14:textId="77777777" w:rsidR="00743EDE" w:rsidRPr="00183B5F" w:rsidRDefault="00943743" w:rsidP="002D49EE">
            <w:pPr>
              <w:pStyle w:val="EMEANormal"/>
              <w:rPr>
                <w:noProof/>
                <w:lang w:val="hu-HU"/>
              </w:rPr>
            </w:pPr>
            <w:r w:rsidRPr="00183B5F">
              <w:rPr>
                <w:b/>
                <w:noProof/>
                <w:lang w:val="hu-HU"/>
              </w:rPr>
              <w:t>3. lépés</w:t>
            </w:r>
          </w:p>
          <w:p w14:paraId="4D692CFA" w14:textId="77777777" w:rsidR="00743EDE" w:rsidRPr="00183B5F" w:rsidRDefault="00743EDE" w:rsidP="002D49EE">
            <w:pPr>
              <w:pStyle w:val="EMEANormal"/>
              <w:rPr>
                <w:noProof/>
                <w:lang w:val="hu-HU"/>
              </w:rPr>
            </w:pPr>
          </w:p>
          <w:p w14:paraId="56EF4DC8" w14:textId="77777777" w:rsidR="00743EDE" w:rsidRPr="00183B5F" w:rsidRDefault="00943743" w:rsidP="002D49EE">
            <w:pPr>
              <w:pStyle w:val="EMEANormal"/>
              <w:rPr>
                <w:b/>
                <w:noProof/>
                <w:lang w:val="hu-HU"/>
              </w:rPr>
            </w:pPr>
            <w:r w:rsidRPr="00183B5F">
              <w:rPr>
                <w:b/>
                <w:noProof/>
                <w:lang w:val="hu-HU"/>
              </w:rPr>
              <w:t>Beadási helyek</w:t>
            </w:r>
          </w:p>
          <w:p w14:paraId="3587DF21" w14:textId="77777777" w:rsidR="00743EDE" w:rsidRPr="00183B5F" w:rsidRDefault="00943743" w:rsidP="002D49EE">
            <w:pPr>
              <w:pStyle w:val="EMEANormal"/>
              <w:rPr>
                <w:noProof/>
                <w:lang w:val="hu-HU"/>
              </w:rPr>
            </w:pPr>
            <w:r w:rsidRPr="00FB267A">
              <w:rPr>
                <w:noProof/>
                <w:lang w:val="en-GB"/>
              </w:rPr>
              <w:drawing>
                <wp:inline distT="0" distB="0" distL="0" distR="0" wp14:anchorId="164B3B75" wp14:editId="5F34B7B7">
                  <wp:extent cx="2273935" cy="2385695"/>
                  <wp:effectExtent l="0" t="0" r="0" b="0"/>
                  <wp:docPr id="93" name="Picture 93"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43" descr="STEP3_grey"/>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273935" cy="2385695"/>
                          </a:xfrm>
                          <a:prstGeom prst="rect">
                            <a:avLst/>
                          </a:prstGeom>
                          <a:noFill/>
                          <a:ln>
                            <a:noFill/>
                          </a:ln>
                        </pic:spPr>
                      </pic:pic>
                    </a:graphicData>
                  </a:graphic>
                </wp:inline>
              </w:drawing>
            </w:r>
          </w:p>
          <w:p w14:paraId="3887B6ED" w14:textId="77777777" w:rsidR="00743EDE" w:rsidRPr="00183B5F" w:rsidRDefault="00943743" w:rsidP="002D49EE">
            <w:pPr>
              <w:pStyle w:val="EMEANormal"/>
              <w:rPr>
                <w:b/>
                <w:lang w:val="hu-HU"/>
              </w:rPr>
            </w:pPr>
            <w:r w:rsidRPr="00183B5F">
              <w:rPr>
                <w:noProof/>
                <w:lang w:val="hu-HU"/>
              </w:rPr>
              <w:t xml:space="preserve">     </w:t>
            </w:r>
            <w:r w:rsidRPr="00183B5F">
              <w:rPr>
                <w:b/>
                <w:noProof/>
                <w:lang w:val="hu-HU"/>
              </w:rPr>
              <w:t>Beadási helyek</w:t>
            </w:r>
          </w:p>
        </w:tc>
        <w:tc>
          <w:tcPr>
            <w:tcW w:w="5579" w:type="dxa"/>
            <w:tcBorders>
              <w:left w:val="nil"/>
            </w:tcBorders>
          </w:tcPr>
          <w:p w14:paraId="498175F1" w14:textId="77777777" w:rsidR="00743EDE" w:rsidRPr="00183B5F" w:rsidRDefault="00743EDE" w:rsidP="002D49EE">
            <w:pPr>
              <w:pStyle w:val="EMEAHeadingLeaflet"/>
              <w:spacing w:beforeLines="0" w:before="0" w:afterLines="0" w:after="0"/>
              <w:rPr>
                <w:rFonts w:ascii="Times New Roman" w:hAnsi="Times New Roman"/>
                <w:b w:val="0"/>
                <w:lang w:val="hu-HU"/>
              </w:rPr>
            </w:pPr>
          </w:p>
          <w:p w14:paraId="06968236" w14:textId="77777777" w:rsidR="00743EDE" w:rsidRPr="00183B5F" w:rsidRDefault="00943743" w:rsidP="002D49EE">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Válassza ki a beadási helyet:</w:t>
            </w:r>
          </w:p>
          <w:p w14:paraId="570DF50F" w14:textId="77777777" w:rsidR="00743EDE" w:rsidRPr="00183B5F" w:rsidRDefault="00743EDE" w:rsidP="002D49EE">
            <w:pPr>
              <w:pStyle w:val="EMEANormal"/>
              <w:rPr>
                <w:lang w:val="hu-HU"/>
              </w:rPr>
            </w:pPr>
          </w:p>
          <w:p w14:paraId="4D7F1711" w14:textId="77777777" w:rsidR="00743EDE" w:rsidRPr="00183B5F" w:rsidRDefault="00943743" w:rsidP="002D49EE">
            <w:pPr>
              <w:pStyle w:val="EMEAHeadingLeaflet"/>
              <w:numPr>
                <w:ilvl w:val="0"/>
                <w:numId w:val="122"/>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Combja elülső részén vagy</w:t>
            </w:r>
          </w:p>
          <w:p w14:paraId="1FA4C01E" w14:textId="77777777" w:rsidR="00743EDE" w:rsidRPr="00183B5F" w:rsidRDefault="00943743" w:rsidP="002D49EE">
            <w:pPr>
              <w:pStyle w:val="EMEAHeadingLeaflet"/>
              <w:numPr>
                <w:ilvl w:val="0"/>
                <w:numId w:val="122"/>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Hasfalán, legalább 5 cm távolságra a köldökétől</w:t>
            </w:r>
          </w:p>
          <w:p w14:paraId="0E6B09AE" w14:textId="77777777" w:rsidR="00743EDE" w:rsidRPr="00183B5F" w:rsidRDefault="00943743" w:rsidP="002D49EE">
            <w:pPr>
              <w:pStyle w:val="EMEAHeadingLeaflet"/>
              <w:numPr>
                <w:ilvl w:val="0"/>
                <w:numId w:val="122"/>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Az előző beadási helytől legalább 3 cm távolságra</w:t>
            </w:r>
          </w:p>
          <w:p w14:paraId="3B5F1654" w14:textId="77777777" w:rsidR="00743EDE" w:rsidRPr="00183B5F" w:rsidRDefault="00743EDE" w:rsidP="002D49EE">
            <w:pPr>
              <w:pStyle w:val="EMEANormal"/>
              <w:rPr>
                <w:lang w:val="hu-HU"/>
              </w:rPr>
            </w:pPr>
          </w:p>
          <w:p w14:paraId="49E85E3F" w14:textId="77777777" w:rsidR="00743EDE" w:rsidRPr="00183B5F" w:rsidRDefault="00943743" w:rsidP="002D49EE">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Körkörös mozdulattal törölje le az injekció beadásának helyét az alkoholos törlővel.</w:t>
            </w:r>
          </w:p>
          <w:p w14:paraId="72746688" w14:textId="77777777" w:rsidR="00743EDE" w:rsidRPr="00183B5F" w:rsidRDefault="00743EDE" w:rsidP="002D49EE">
            <w:pPr>
              <w:pStyle w:val="EMEANormal"/>
              <w:rPr>
                <w:lang w:val="hu-HU"/>
              </w:rPr>
            </w:pPr>
          </w:p>
          <w:p w14:paraId="768E72D4" w14:textId="77777777" w:rsidR="00743EDE" w:rsidRPr="00183B5F" w:rsidRDefault="00943743" w:rsidP="002D49EE">
            <w:pPr>
              <w:pStyle w:val="EMEAHeadingLeaflet"/>
              <w:numPr>
                <w:ilvl w:val="0"/>
                <w:numId w:val="123"/>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lang w:val="hu-HU"/>
              </w:rPr>
              <w:t xml:space="preserve">Ne </w:t>
            </w:r>
            <w:r w:rsidRPr="00183B5F">
              <w:rPr>
                <w:rFonts w:ascii="Times New Roman" w:hAnsi="Times New Roman"/>
                <w:b w:val="0"/>
                <w:lang w:val="hu-HU"/>
              </w:rPr>
              <w:t>ruhán keresztül adja be az injekciót</w:t>
            </w:r>
          </w:p>
          <w:p w14:paraId="51D81FEF" w14:textId="77777777" w:rsidR="00743EDE" w:rsidRPr="00183B5F" w:rsidRDefault="00943743" w:rsidP="002D49EE">
            <w:pPr>
              <w:pStyle w:val="EMEANormal"/>
              <w:numPr>
                <w:ilvl w:val="0"/>
                <w:numId w:val="123"/>
              </w:numPr>
              <w:tabs>
                <w:tab w:val="clear" w:pos="562"/>
                <w:tab w:val="left" w:pos="757"/>
              </w:tabs>
              <w:ind w:left="757"/>
              <w:rPr>
                <w:lang w:val="hu-HU"/>
              </w:rPr>
            </w:pPr>
            <w:r w:rsidRPr="00183B5F">
              <w:rPr>
                <w:b/>
                <w:szCs w:val="22"/>
                <w:lang w:val="hu-HU"/>
              </w:rPr>
              <w:t xml:space="preserve">Ne </w:t>
            </w:r>
            <w:r w:rsidRPr="00183B5F">
              <w:rPr>
                <w:szCs w:val="22"/>
                <w:lang w:val="hu-HU"/>
              </w:rPr>
              <w:t>adja az injekciót olyan helyre, ahol a bőr sebes, véraláfutásos, bepirosodott, kemény, heges, a bőr megnyúlását jelző világos csíkok (striák) területén, illetve a pikkelysömörös területeken</w:t>
            </w:r>
          </w:p>
        </w:tc>
      </w:tr>
      <w:tr w:rsidR="00011D2F" w14:paraId="68426A8B" w14:textId="77777777" w:rsidTr="00743EDE">
        <w:tc>
          <w:tcPr>
            <w:tcW w:w="3708" w:type="dxa"/>
            <w:tcBorders>
              <w:right w:val="nil"/>
            </w:tcBorders>
          </w:tcPr>
          <w:p w14:paraId="261C7605" w14:textId="77777777" w:rsidR="00743EDE" w:rsidRPr="00183B5F" w:rsidRDefault="00943743" w:rsidP="002D49EE">
            <w:pPr>
              <w:pStyle w:val="EMEANormal"/>
              <w:keepNext/>
              <w:rPr>
                <w:noProof/>
                <w:lang w:val="hu-HU"/>
              </w:rPr>
            </w:pPr>
            <w:r w:rsidRPr="00183B5F">
              <w:rPr>
                <w:b/>
                <w:noProof/>
                <w:lang w:val="hu-HU"/>
              </w:rPr>
              <w:t>4. lépés</w:t>
            </w:r>
          </w:p>
          <w:p w14:paraId="2CE8685F" w14:textId="77777777" w:rsidR="00743EDE" w:rsidRPr="00183B5F" w:rsidRDefault="00743EDE" w:rsidP="002D49EE">
            <w:pPr>
              <w:pStyle w:val="EMEANormal"/>
              <w:keepNext/>
              <w:rPr>
                <w:noProof/>
                <w:lang w:val="hu-HU"/>
              </w:rPr>
            </w:pPr>
          </w:p>
          <w:p w14:paraId="6AF8D415" w14:textId="77777777" w:rsidR="00743EDE" w:rsidRPr="00183B5F" w:rsidRDefault="00943743" w:rsidP="002D49EE">
            <w:pPr>
              <w:pStyle w:val="EMEANormal"/>
              <w:keepNext/>
              <w:rPr>
                <w:lang w:val="hu-HU"/>
              </w:rPr>
            </w:pPr>
            <w:r w:rsidRPr="007A59A2">
              <w:rPr>
                <w:b/>
                <w:noProof/>
                <w:lang w:val="en-GB"/>
              </w:rPr>
              <w:drawing>
                <wp:inline distT="0" distB="0" distL="0" distR="0" wp14:anchorId="0478DAE0" wp14:editId="2B716C5D">
                  <wp:extent cx="2011680" cy="1563624"/>
                  <wp:effectExtent l="0" t="0" r="762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STEP_4_SYRINGE_IFU_UNCAP_new grey.jpg"/>
                          <pic:cNvPicPr/>
                        </pic:nvPicPr>
                        <pic:blipFill>
                          <a:blip r:embed="rId27">
                            <a:extLst>
                              <a:ext uri="{28A0092B-C50C-407E-A947-70E740481C1C}">
                                <a14:useLocalDpi xmlns:a14="http://schemas.microsoft.com/office/drawing/2010/main" val="0"/>
                              </a:ext>
                            </a:extLst>
                          </a:blip>
                          <a:stretch>
                            <a:fillRect/>
                          </a:stretch>
                        </pic:blipFill>
                        <pic:spPr>
                          <a:xfrm>
                            <a:off x="0" y="0"/>
                            <a:ext cx="2011680" cy="1563624"/>
                          </a:xfrm>
                          <a:prstGeom prst="rect">
                            <a:avLst/>
                          </a:prstGeom>
                        </pic:spPr>
                      </pic:pic>
                    </a:graphicData>
                  </a:graphic>
                </wp:inline>
              </w:drawing>
            </w:r>
          </w:p>
        </w:tc>
        <w:tc>
          <w:tcPr>
            <w:tcW w:w="5579" w:type="dxa"/>
            <w:tcBorders>
              <w:left w:val="nil"/>
            </w:tcBorders>
          </w:tcPr>
          <w:p w14:paraId="66ED2615" w14:textId="77777777" w:rsidR="00743EDE" w:rsidRPr="00183B5F" w:rsidRDefault="00743EDE" w:rsidP="002D49EE">
            <w:pPr>
              <w:pStyle w:val="EMEAHeadingLeaflet"/>
              <w:keepNext/>
              <w:spacing w:beforeLines="0" w:before="0" w:afterLines="0" w:after="0"/>
              <w:rPr>
                <w:rFonts w:ascii="Times New Roman" w:hAnsi="Times New Roman"/>
                <w:b w:val="0"/>
                <w:lang w:val="hu-HU"/>
              </w:rPr>
            </w:pPr>
          </w:p>
          <w:p w14:paraId="32DAE898" w14:textId="77777777" w:rsidR="00743EDE" w:rsidRPr="00183B5F" w:rsidRDefault="00943743" w:rsidP="002D49EE">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 xml:space="preserve">Tartsa az előretöltött fecskendőt az egyik kezében. </w:t>
            </w:r>
          </w:p>
          <w:p w14:paraId="1319D774" w14:textId="77777777" w:rsidR="00743EDE" w:rsidRPr="00183B5F" w:rsidRDefault="00743EDE" w:rsidP="002D49EE">
            <w:pPr>
              <w:pStyle w:val="EMEANormal"/>
              <w:keepNext/>
              <w:rPr>
                <w:lang w:val="hu-HU"/>
              </w:rPr>
            </w:pPr>
          </w:p>
          <w:p w14:paraId="616B3483" w14:textId="77777777" w:rsidR="00743EDE" w:rsidRPr="00183B5F" w:rsidRDefault="00943743" w:rsidP="002D49EE">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Ellenőrizze a folyadékot az előretöltött fecskendőben.</w:t>
            </w:r>
          </w:p>
          <w:p w14:paraId="68CA6858" w14:textId="77777777" w:rsidR="00743EDE" w:rsidRPr="00183B5F" w:rsidRDefault="00743EDE" w:rsidP="002D49EE">
            <w:pPr>
              <w:pStyle w:val="EMEANormal"/>
              <w:keepNext/>
              <w:rPr>
                <w:lang w:val="hu-HU"/>
              </w:rPr>
            </w:pPr>
          </w:p>
          <w:p w14:paraId="3811E13E" w14:textId="77777777" w:rsidR="00743EDE" w:rsidRPr="00183B5F" w:rsidRDefault="00943743" w:rsidP="002D49EE">
            <w:pPr>
              <w:pStyle w:val="EMEAHeadingLeaflet"/>
              <w:keepNext/>
              <w:numPr>
                <w:ilvl w:val="0"/>
                <w:numId w:val="124"/>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Bizonyosodjon meg róla, hogy a folyadék tiszta és színtelen</w:t>
            </w:r>
          </w:p>
          <w:p w14:paraId="20FAE93B" w14:textId="77777777" w:rsidR="00743EDE" w:rsidRPr="00183B5F" w:rsidRDefault="00943743" w:rsidP="002D49EE">
            <w:pPr>
              <w:pStyle w:val="EMEAHeadingLeaflet"/>
              <w:keepNext/>
              <w:numPr>
                <w:ilvl w:val="0"/>
                <w:numId w:val="124"/>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lang w:val="hu-HU"/>
              </w:rPr>
              <w:t xml:space="preserve">Ne </w:t>
            </w:r>
            <w:r w:rsidRPr="00183B5F">
              <w:rPr>
                <w:rFonts w:ascii="Times New Roman" w:hAnsi="Times New Roman"/>
                <w:b w:val="0"/>
                <w:lang w:val="hu-HU"/>
              </w:rPr>
              <w:t>használja az előretöltött fecskendőt, ha a folyadék zavaros vagy részecskéket tartalmaz</w:t>
            </w:r>
          </w:p>
          <w:p w14:paraId="54D250E0" w14:textId="77777777" w:rsidR="00743EDE" w:rsidRPr="00183B5F" w:rsidRDefault="00943743" w:rsidP="002D49EE">
            <w:pPr>
              <w:pStyle w:val="EMEANormal"/>
              <w:keepNext/>
              <w:numPr>
                <w:ilvl w:val="0"/>
                <w:numId w:val="124"/>
              </w:numPr>
              <w:tabs>
                <w:tab w:val="clear" w:pos="562"/>
                <w:tab w:val="left" w:pos="757"/>
              </w:tabs>
              <w:ind w:left="757"/>
              <w:rPr>
                <w:lang w:val="hu-HU"/>
              </w:rPr>
            </w:pPr>
            <w:r w:rsidRPr="00183B5F">
              <w:rPr>
                <w:b/>
                <w:lang w:val="hu-HU"/>
              </w:rPr>
              <w:t xml:space="preserve">Ne </w:t>
            </w:r>
            <w:r w:rsidRPr="00183B5F">
              <w:rPr>
                <w:lang w:val="hu-HU"/>
              </w:rPr>
              <w:t>használja az előretöltött fecskendőt, ha az leesett vagy eltörött</w:t>
            </w:r>
          </w:p>
          <w:p w14:paraId="2375966A" w14:textId="77777777" w:rsidR="00743EDE" w:rsidRPr="00183B5F" w:rsidRDefault="00743EDE" w:rsidP="002D49EE">
            <w:pPr>
              <w:pStyle w:val="EMEANormal"/>
              <w:keepNext/>
              <w:tabs>
                <w:tab w:val="clear" w:pos="562"/>
                <w:tab w:val="left" w:pos="757"/>
              </w:tabs>
              <w:ind w:left="397"/>
              <w:rPr>
                <w:b/>
                <w:lang w:val="hu-HU"/>
              </w:rPr>
            </w:pPr>
          </w:p>
          <w:p w14:paraId="71182FB4" w14:textId="77777777" w:rsidR="00743EDE" w:rsidRPr="00183B5F" w:rsidRDefault="00943743" w:rsidP="002D49EE">
            <w:pPr>
              <w:pStyle w:val="EMEANormal"/>
              <w:keepNext/>
              <w:tabs>
                <w:tab w:val="clear" w:pos="562"/>
                <w:tab w:val="left" w:pos="757"/>
              </w:tabs>
              <w:ind w:left="397"/>
              <w:rPr>
                <w:bCs/>
                <w:lang w:val="hu-HU"/>
              </w:rPr>
            </w:pPr>
            <w:r w:rsidRPr="00183B5F">
              <w:rPr>
                <w:bCs/>
                <w:lang w:val="hu-HU"/>
              </w:rPr>
              <w:t>Óvatosan húzza le a tűvédő tokot a másik kezével. Dobja ki a tokot. Ne rakja vissza.</w:t>
            </w:r>
          </w:p>
          <w:p w14:paraId="47EB0C5E" w14:textId="77777777" w:rsidR="00743EDE" w:rsidRPr="00183B5F" w:rsidRDefault="00743EDE" w:rsidP="002D49EE">
            <w:pPr>
              <w:pStyle w:val="EMEANormal"/>
              <w:keepNext/>
              <w:tabs>
                <w:tab w:val="clear" w:pos="562"/>
                <w:tab w:val="left" w:pos="757"/>
              </w:tabs>
              <w:ind w:left="397"/>
              <w:rPr>
                <w:bCs/>
                <w:lang w:val="hu-HU"/>
              </w:rPr>
            </w:pPr>
          </w:p>
          <w:p w14:paraId="1F465548" w14:textId="77777777" w:rsidR="00743EDE" w:rsidRPr="00183B5F" w:rsidRDefault="00943743" w:rsidP="002D49EE">
            <w:pPr>
              <w:pStyle w:val="EMEANormal"/>
              <w:keepNext/>
              <w:numPr>
                <w:ilvl w:val="0"/>
                <w:numId w:val="132"/>
              </w:numPr>
              <w:tabs>
                <w:tab w:val="clear" w:pos="562"/>
              </w:tabs>
              <w:ind w:left="828" w:hanging="425"/>
              <w:rPr>
                <w:bCs/>
                <w:lang w:val="hu-HU"/>
              </w:rPr>
            </w:pPr>
            <w:r w:rsidRPr="00183B5F">
              <w:rPr>
                <w:b/>
                <w:lang w:val="hu-HU"/>
              </w:rPr>
              <w:t xml:space="preserve">Ne </w:t>
            </w:r>
            <w:r w:rsidRPr="00183B5F">
              <w:rPr>
                <w:bCs/>
                <w:lang w:val="hu-HU"/>
              </w:rPr>
              <w:t>érintse meg a kezével a tűt, illetve ne hagyja, hogy a tű bármihez hozzáérjen.</w:t>
            </w:r>
          </w:p>
        </w:tc>
      </w:tr>
      <w:tr w:rsidR="00011D2F" w14:paraId="1D484494" w14:textId="77777777" w:rsidTr="00743EDE">
        <w:tc>
          <w:tcPr>
            <w:tcW w:w="3708" w:type="dxa"/>
            <w:tcBorders>
              <w:right w:val="nil"/>
            </w:tcBorders>
          </w:tcPr>
          <w:p w14:paraId="56FE49F6" w14:textId="77777777" w:rsidR="00743EDE" w:rsidRPr="00183B5F" w:rsidRDefault="00943743" w:rsidP="0073731A">
            <w:pPr>
              <w:pStyle w:val="EMEANormal"/>
              <w:rPr>
                <w:noProof/>
                <w:lang w:val="hu-HU"/>
              </w:rPr>
            </w:pPr>
            <w:r w:rsidRPr="00183B5F">
              <w:rPr>
                <w:b/>
                <w:noProof/>
                <w:lang w:val="hu-HU"/>
              </w:rPr>
              <w:t>5. lépés</w:t>
            </w:r>
          </w:p>
          <w:p w14:paraId="746838AF" w14:textId="77777777" w:rsidR="00743EDE" w:rsidRPr="00183B5F" w:rsidRDefault="00743EDE" w:rsidP="0073731A">
            <w:pPr>
              <w:pStyle w:val="EMEANormal"/>
              <w:rPr>
                <w:noProof/>
                <w:lang w:val="hu-HU"/>
              </w:rPr>
            </w:pPr>
          </w:p>
          <w:p w14:paraId="5D537501" w14:textId="77777777" w:rsidR="00743EDE" w:rsidRPr="00183B5F" w:rsidRDefault="00943743" w:rsidP="0073731A">
            <w:pPr>
              <w:pStyle w:val="EMEANormal"/>
              <w:rPr>
                <w:noProof/>
                <w:lang w:val="hu-HU"/>
              </w:rPr>
            </w:pPr>
            <w:r w:rsidRPr="007A59A2">
              <w:rPr>
                <w:noProof/>
                <w:lang w:val="en-GB"/>
              </w:rPr>
              <w:drawing>
                <wp:inline distT="0" distB="0" distL="0" distR="0" wp14:anchorId="3956ECF9" wp14:editId="56CDE758">
                  <wp:extent cx="1992630" cy="1972310"/>
                  <wp:effectExtent l="0" t="0" r="7620" b="8890"/>
                  <wp:docPr id="95" name="Picture 95" descr="STEP_5_SYRINGE_IFU_FILLING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27" descr="STEP_5_SYRINGE_IFU_FILLING_grey"/>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992630" cy="1972310"/>
                          </a:xfrm>
                          <a:prstGeom prst="rect">
                            <a:avLst/>
                          </a:prstGeom>
                          <a:noFill/>
                          <a:ln>
                            <a:noFill/>
                          </a:ln>
                        </pic:spPr>
                      </pic:pic>
                    </a:graphicData>
                  </a:graphic>
                </wp:inline>
              </w:drawing>
            </w:r>
          </w:p>
        </w:tc>
        <w:tc>
          <w:tcPr>
            <w:tcW w:w="5579" w:type="dxa"/>
            <w:tcBorders>
              <w:left w:val="nil"/>
            </w:tcBorders>
          </w:tcPr>
          <w:p w14:paraId="65BC82B3" w14:textId="77777777" w:rsidR="00743EDE" w:rsidRPr="00183B5F" w:rsidRDefault="00943743" w:rsidP="0073731A">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Tartsa az előretöltött fecskendőt a tűvel felfelé.</w:t>
            </w:r>
          </w:p>
          <w:p w14:paraId="0BEEF6FB" w14:textId="77777777" w:rsidR="00743EDE" w:rsidRPr="00183B5F" w:rsidRDefault="00743EDE" w:rsidP="0073731A">
            <w:pPr>
              <w:pStyle w:val="EMEAHeadingLeaflet"/>
              <w:spacing w:beforeLines="0" w:before="0" w:afterLines="0" w:after="0"/>
              <w:rPr>
                <w:rFonts w:ascii="Times New Roman" w:hAnsi="Times New Roman"/>
                <w:b w:val="0"/>
                <w:lang w:val="hu-HU"/>
              </w:rPr>
            </w:pPr>
          </w:p>
          <w:p w14:paraId="6985A883" w14:textId="77777777" w:rsidR="00743EDE" w:rsidRPr="00183B5F" w:rsidRDefault="00943743" w:rsidP="0073731A">
            <w:pPr>
              <w:pStyle w:val="EMEAHeadingLeaflet"/>
              <w:numPr>
                <w:ilvl w:val="0"/>
                <w:numId w:val="132"/>
              </w:numPr>
              <w:tabs>
                <w:tab w:val="clear" w:pos="562"/>
              </w:tabs>
              <w:spacing w:beforeLines="0" w:before="0" w:afterLines="0" w:after="0"/>
              <w:ind w:left="828" w:hanging="425"/>
              <w:rPr>
                <w:rFonts w:ascii="Times New Roman" w:hAnsi="Times New Roman"/>
                <w:b w:val="0"/>
                <w:lang w:val="hu-HU"/>
              </w:rPr>
            </w:pPr>
            <w:r w:rsidRPr="00183B5F">
              <w:rPr>
                <w:rFonts w:ascii="Times New Roman" w:hAnsi="Times New Roman"/>
                <w:b w:val="0"/>
                <w:lang w:val="hu-HU"/>
              </w:rPr>
              <w:t xml:space="preserve">Tartsa egyik kezében, szemmagasságban az előretöltött fecskendőt, hogy lássa a levegőt az előretöltött fecskendőben. </w:t>
            </w:r>
          </w:p>
          <w:p w14:paraId="479EA5AC" w14:textId="77777777" w:rsidR="00743EDE" w:rsidRPr="00183B5F" w:rsidRDefault="00743EDE" w:rsidP="0073731A">
            <w:pPr>
              <w:pStyle w:val="EMEAHeadingLeaflet"/>
              <w:tabs>
                <w:tab w:val="clear" w:pos="562"/>
              </w:tabs>
              <w:spacing w:beforeLines="0" w:before="0" w:afterLines="0" w:after="0"/>
              <w:ind w:left="828"/>
              <w:rPr>
                <w:rFonts w:ascii="Times New Roman" w:hAnsi="Times New Roman"/>
                <w:b w:val="0"/>
                <w:lang w:val="hu-HU"/>
              </w:rPr>
            </w:pPr>
          </w:p>
          <w:p w14:paraId="2C468988" w14:textId="77777777" w:rsidR="00743EDE" w:rsidRPr="00183B5F" w:rsidRDefault="00943743" w:rsidP="0073731A">
            <w:pPr>
              <w:pStyle w:val="EMEANormal"/>
              <w:rPr>
                <w:lang w:val="hu-HU"/>
              </w:rPr>
            </w:pPr>
            <w:r w:rsidRPr="00183B5F">
              <w:rPr>
                <w:lang w:val="hu-HU"/>
              </w:rPr>
              <w:t xml:space="preserve">Lassan nyomja be a dugattyút, hogy a levegőt kijöjjön a tűből. </w:t>
            </w:r>
          </w:p>
          <w:p w14:paraId="2916FC47" w14:textId="77777777" w:rsidR="00743EDE" w:rsidRPr="00183B5F" w:rsidRDefault="00743EDE" w:rsidP="0073731A">
            <w:pPr>
              <w:pStyle w:val="EMEANormal"/>
              <w:rPr>
                <w:lang w:val="hu-HU"/>
              </w:rPr>
            </w:pPr>
          </w:p>
          <w:p w14:paraId="71D8E969" w14:textId="77777777" w:rsidR="00743EDE" w:rsidRPr="00183B5F" w:rsidRDefault="00943743" w:rsidP="0073731A">
            <w:pPr>
              <w:pStyle w:val="EMEAHeadingLeaflet"/>
              <w:numPr>
                <w:ilvl w:val="0"/>
                <w:numId w:val="125"/>
              </w:numPr>
              <w:tabs>
                <w:tab w:val="clear" w:pos="562"/>
              </w:tabs>
              <w:spacing w:beforeLines="0" w:before="0" w:afterLines="0" w:after="0"/>
              <w:ind w:left="828" w:hanging="425"/>
              <w:rPr>
                <w:rFonts w:ascii="Times New Roman" w:hAnsi="Times New Roman"/>
                <w:b w:val="0"/>
                <w:lang w:val="hu-HU"/>
              </w:rPr>
            </w:pPr>
            <w:r w:rsidRPr="00183B5F">
              <w:rPr>
                <w:rFonts w:ascii="Times New Roman" w:hAnsi="Times New Roman"/>
                <w:b w:val="0"/>
                <w:lang w:val="hu-HU"/>
              </w:rPr>
              <w:t>Normális, ha lát néhány csepp folyadékot kijönni a tűből</w:t>
            </w:r>
          </w:p>
          <w:p w14:paraId="297F5523" w14:textId="77777777" w:rsidR="00743EDE" w:rsidRPr="00183B5F" w:rsidRDefault="00743EDE" w:rsidP="0073731A">
            <w:pPr>
              <w:pStyle w:val="EMEANormal"/>
              <w:rPr>
                <w:lang w:val="hu-HU"/>
              </w:rPr>
            </w:pPr>
          </w:p>
          <w:p w14:paraId="14F1DA16" w14:textId="77777777" w:rsidR="00743EDE" w:rsidRPr="00183B5F" w:rsidRDefault="00743EDE" w:rsidP="0073731A">
            <w:pPr>
              <w:pStyle w:val="EMEANormal"/>
              <w:rPr>
                <w:lang w:val="hu-HU"/>
              </w:rPr>
            </w:pPr>
          </w:p>
        </w:tc>
      </w:tr>
      <w:tr w:rsidR="00011D2F" w14:paraId="0F18183E" w14:textId="77777777" w:rsidTr="00743EDE">
        <w:tc>
          <w:tcPr>
            <w:tcW w:w="3708" w:type="dxa"/>
            <w:tcBorders>
              <w:right w:val="nil"/>
            </w:tcBorders>
          </w:tcPr>
          <w:p w14:paraId="787B9949" w14:textId="77777777" w:rsidR="00743EDE" w:rsidRPr="00183B5F" w:rsidRDefault="00943743" w:rsidP="002D49EE">
            <w:pPr>
              <w:pStyle w:val="EMEANormal"/>
              <w:rPr>
                <w:noProof/>
                <w:lang w:val="hu-HU"/>
              </w:rPr>
            </w:pPr>
            <w:r w:rsidRPr="00183B5F">
              <w:rPr>
                <w:b/>
                <w:noProof/>
                <w:lang w:val="hu-HU"/>
              </w:rPr>
              <w:t>6.lépés</w:t>
            </w:r>
          </w:p>
          <w:p w14:paraId="38B47636" w14:textId="77777777" w:rsidR="00743EDE" w:rsidRPr="00183B5F" w:rsidRDefault="00943743" w:rsidP="002D49EE">
            <w:pPr>
              <w:pStyle w:val="EMEANormal"/>
              <w:rPr>
                <w:lang w:val="hu-HU"/>
              </w:rPr>
            </w:pPr>
            <w:r w:rsidRPr="007A59A2">
              <w:rPr>
                <w:noProof/>
                <w:lang w:val="en-GB"/>
              </w:rPr>
              <w:drawing>
                <wp:inline distT="0" distB="0" distL="0" distR="0" wp14:anchorId="34310179" wp14:editId="57124504">
                  <wp:extent cx="2245360" cy="2142490"/>
                  <wp:effectExtent l="0" t="0" r="2540" b="0"/>
                  <wp:docPr id="96" name="Picture 96"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28" descr="STEP_6_SYRINGE_IFU_PRE-INJECTION_grey"/>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2245360" cy="2142490"/>
                          </a:xfrm>
                          <a:prstGeom prst="rect">
                            <a:avLst/>
                          </a:prstGeom>
                          <a:noFill/>
                          <a:ln>
                            <a:noFill/>
                          </a:ln>
                        </pic:spPr>
                      </pic:pic>
                    </a:graphicData>
                  </a:graphic>
                </wp:inline>
              </w:drawing>
            </w:r>
          </w:p>
        </w:tc>
        <w:tc>
          <w:tcPr>
            <w:tcW w:w="5579" w:type="dxa"/>
            <w:tcBorders>
              <w:left w:val="nil"/>
            </w:tcBorders>
          </w:tcPr>
          <w:p w14:paraId="7E27D6A5" w14:textId="77777777" w:rsidR="00743EDE" w:rsidRPr="00183B5F" w:rsidRDefault="00743EDE" w:rsidP="002D49EE">
            <w:pPr>
              <w:pStyle w:val="EMEAHeadingLeaflet"/>
              <w:spacing w:beforeLines="0" w:before="0" w:afterLines="0" w:after="0"/>
              <w:rPr>
                <w:rFonts w:ascii="Times New Roman" w:hAnsi="Times New Roman"/>
                <w:b w:val="0"/>
                <w:lang w:val="hu-HU"/>
              </w:rPr>
            </w:pPr>
          </w:p>
          <w:p w14:paraId="596280C2" w14:textId="77777777" w:rsidR="00743EDE" w:rsidRPr="00183B5F" w:rsidRDefault="00943743" w:rsidP="002D49EE">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 xml:space="preserve">Tartsa egy kézzel az előretöltött fecskendőt a közepénél, a hüvelyk- és mutatóujja között, mintha egy ceruzát fogna. </w:t>
            </w:r>
          </w:p>
          <w:p w14:paraId="32F28664" w14:textId="77777777" w:rsidR="00743EDE" w:rsidRPr="00183B5F" w:rsidRDefault="00743EDE" w:rsidP="002D49EE">
            <w:pPr>
              <w:pStyle w:val="EMEAHeadingLeaflet"/>
              <w:spacing w:beforeLines="0" w:before="0" w:afterLines="0" w:after="0"/>
              <w:rPr>
                <w:rFonts w:ascii="Times New Roman" w:hAnsi="Times New Roman"/>
                <w:b w:val="0"/>
                <w:lang w:val="hu-HU"/>
              </w:rPr>
            </w:pPr>
          </w:p>
          <w:p w14:paraId="1D1A8418" w14:textId="77777777" w:rsidR="00743EDE" w:rsidRPr="00183B5F" w:rsidRDefault="00943743" w:rsidP="002D49EE">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A beadás helyén szorítsa össze a bőrt egy kiemelkedő redőbe, és tartsa mozdulatlanul.</w:t>
            </w:r>
          </w:p>
          <w:p w14:paraId="1D4A576D" w14:textId="77777777" w:rsidR="00743EDE" w:rsidRPr="00183B5F" w:rsidRDefault="00743EDE" w:rsidP="002D49EE">
            <w:pPr>
              <w:pStyle w:val="EMEANormal"/>
              <w:rPr>
                <w:lang w:val="hu-HU"/>
              </w:rPr>
            </w:pPr>
          </w:p>
          <w:p w14:paraId="4808A7BF" w14:textId="77777777" w:rsidR="00743EDE" w:rsidRPr="00183B5F" w:rsidRDefault="00743EDE" w:rsidP="002D49EE">
            <w:pPr>
              <w:pStyle w:val="EMEANormal"/>
              <w:rPr>
                <w:lang w:val="hu-HU"/>
              </w:rPr>
            </w:pPr>
          </w:p>
        </w:tc>
      </w:tr>
      <w:tr w:rsidR="00011D2F" w14:paraId="118CD72F" w14:textId="77777777" w:rsidTr="00743EDE">
        <w:tc>
          <w:tcPr>
            <w:tcW w:w="3708" w:type="dxa"/>
            <w:tcBorders>
              <w:right w:val="nil"/>
            </w:tcBorders>
          </w:tcPr>
          <w:p w14:paraId="2A66AB70" w14:textId="77777777" w:rsidR="00743EDE" w:rsidRPr="00183B5F" w:rsidRDefault="00943743" w:rsidP="002D49EE">
            <w:pPr>
              <w:pStyle w:val="EMEANormal"/>
              <w:keepNext/>
              <w:jc w:val="both"/>
              <w:rPr>
                <w:noProof/>
                <w:lang w:val="hu-HU"/>
              </w:rPr>
            </w:pPr>
            <w:r w:rsidRPr="00183B5F">
              <w:rPr>
                <w:b/>
                <w:noProof/>
                <w:lang w:val="hu-HU"/>
              </w:rPr>
              <w:t>7.lépés</w:t>
            </w:r>
          </w:p>
          <w:p w14:paraId="3FCBA1E8" w14:textId="77777777" w:rsidR="00743EDE" w:rsidRPr="00183B5F" w:rsidRDefault="00943743" w:rsidP="002D49EE">
            <w:pPr>
              <w:pStyle w:val="EMEANormal"/>
              <w:keepNext/>
              <w:rPr>
                <w:noProof/>
                <w:lang w:val="hu-HU"/>
              </w:rPr>
            </w:pPr>
            <w:r w:rsidRPr="007A59A2">
              <w:rPr>
                <w:noProof/>
                <w:lang w:val="en-GB"/>
              </w:rPr>
              <w:drawing>
                <wp:inline distT="0" distB="0" distL="0" distR="0" wp14:anchorId="72EE7DEC" wp14:editId="4261ADE9">
                  <wp:extent cx="2183765" cy="2675255"/>
                  <wp:effectExtent l="0" t="0" r="6985" b="0"/>
                  <wp:docPr id="97" name="Picture 97"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29" descr="STEP_7_SYRINGE_IFU_ABDOMEN-THIGH_grey"/>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2183765" cy="2675255"/>
                          </a:xfrm>
                          <a:prstGeom prst="rect">
                            <a:avLst/>
                          </a:prstGeom>
                          <a:noFill/>
                          <a:ln>
                            <a:noFill/>
                          </a:ln>
                        </pic:spPr>
                      </pic:pic>
                    </a:graphicData>
                  </a:graphic>
                </wp:inline>
              </w:drawing>
            </w:r>
          </w:p>
        </w:tc>
        <w:tc>
          <w:tcPr>
            <w:tcW w:w="5579" w:type="dxa"/>
            <w:tcBorders>
              <w:left w:val="nil"/>
            </w:tcBorders>
          </w:tcPr>
          <w:p w14:paraId="020F204B" w14:textId="77777777" w:rsidR="00743EDE" w:rsidRPr="00183B5F" w:rsidRDefault="00943743" w:rsidP="002D49EE">
            <w:pPr>
              <w:pStyle w:val="EMEANormal"/>
              <w:keepNext/>
              <w:rPr>
                <w:lang w:val="hu-HU"/>
              </w:rPr>
            </w:pPr>
            <w:r w:rsidRPr="00183B5F">
              <w:rPr>
                <w:szCs w:val="22"/>
                <w:lang w:val="hu-HU"/>
              </w:rPr>
              <w:t>Szúrja be a tűt a bőrébe körülbelül 45 fokos szögben, egy gyors, rövid mozdulattal.</w:t>
            </w:r>
          </w:p>
          <w:p w14:paraId="19569D03" w14:textId="77777777" w:rsidR="00743EDE" w:rsidRPr="00183B5F" w:rsidRDefault="00743EDE" w:rsidP="002D49EE">
            <w:pPr>
              <w:pStyle w:val="EMEANormal"/>
              <w:keepNext/>
              <w:rPr>
                <w:lang w:val="hu-HU"/>
              </w:rPr>
            </w:pPr>
          </w:p>
          <w:p w14:paraId="2AD245AC" w14:textId="77777777" w:rsidR="00743EDE" w:rsidRPr="00183B5F" w:rsidRDefault="00943743" w:rsidP="002D49EE">
            <w:pPr>
              <w:pStyle w:val="EMEANormal"/>
              <w:keepNext/>
              <w:numPr>
                <w:ilvl w:val="0"/>
                <w:numId w:val="132"/>
              </w:numPr>
              <w:tabs>
                <w:tab w:val="clear" w:pos="562"/>
              </w:tabs>
              <w:ind w:left="828"/>
              <w:rPr>
                <w:lang w:val="hu-HU"/>
              </w:rPr>
            </w:pPr>
            <w:r w:rsidRPr="00183B5F">
              <w:rPr>
                <w:lang w:val="hu-HU"/>
              </w:rPr>
              <w:t xml:space="preserve">Miután beszúrta a tűt, engedje el a bőrt, amit összeszorított. </w:t>
            </w:r>
          </w:p>
          <w:p w14:paraId="5FC7B033" w14:textId="77777777" w:rsidR="00743EDE" w:rsidRPr="00183B5F" w:rsidRDefault="00743EDE" w:rsidP="002D49EE">
            <w:pPr>
              <w:pStyle w:val="EMEANormal"/>
              <w:keepNext/>
              <w:tabs>
                <w:tab w:val="clear" w:pos="562"/>
              </w:tabs>
              <w:rPr>
                <w:lang w:val="hu-HU"/>
              </w:rPr>
            </w:pPr>
          </w:p>
          <w:p w14:paraId="0ABF70C5" w14:textId="77777777" w:rsidR="00743EDE" w:rsidRPr="00183B5F" w:rsidRDefault="00943743" w:rsidP="002D49EE">
            <w:pPr>
              <w:pStyle w:val="EMEANormal"/>
              <w:keepNext/>
              <w:tabs>
                <w:tab w:val="clear" w:pos="562"/>
              </w:tabs>
              <w:rPr>
                <w:lang w:val="hu-HU"/>
              </w:rPr>
            </w:pPr>
            <w:r w:rsidRPr="00183B5F">
              <w:rPr>
                <w:lang w:val="hu-HU"/>
              </w:rPr>
              <w:t>Lassan nyomja be a dugattyút, egészen addig, amíg a folyadékot befecskendezte és az előretöltött fecskendő kiürült.</w:t>
            </w:r>
          </w:p>
          <w:p w14:paraId="6D55D9AE" w14:textId="77777777" w:rsidR="00743EDE" w:rsidRPr="00183B5F" w:rsidRDefault="00743EDE" w:rsidP="002D49EE">
            <w:pPr>
              <w:pStyle w:val="EMEANormal"/>
              <w:keepNext/>
              <w:tabs>
                <w:tab w:val="clear" w:pos="562"/>
              </w:tabs>
              <w:rPr>
                <w:lang w:val="hu-HU"/>
              </w:rPr>
            </w:pPr>
          </w:p>
        </w:tc>
      </w:tr>
      <w:tr w:rsidR="00011D2F" w14:paraId="3F9059E0" w14:textId="77777777" w:rsidTr="00743EDE">
        <w:tc>
          <w:tcPr>
            <w:tcW w:w="3708" w:type="dxa"/>
            <w:tcBorders>
              <w:right w:val="nil"/>
            </w:tcBorders>
          </w:tcPr>
          <w:p w14:paraId="6327D9FF" w14:textId="77777777" w:rsidR="00743EDE" w:rsidRPr="00183B5F" w:rsidRDefault="00943743" w:rsidP="0073731A">
            <w:pPr>
              <w:pStyle w:val="EMEANormal"/>
              <w:rPr>
                <w:noProof/>
                <w:lang w:val="hu-HU"/>
              </w:rPr>
            </w:pPr>
            <w:r w:rsidRPr="00183B5F">
              <w:rPr>
                <w:b/>
                <w:noProof/>
                <w:lang w:val="hu-HU"/>
              </w:rPr>
              <w:t>8. lépés</w:t>
            </w:r>
          </w:p>
          <w:p w14:paraId="0AE3071F" w14:textId="77777777" w:rsidR="00743EDE" w:rsidRPr="00183B5F" w:rsidRDefault="00943743" w:rsidP="0073731A">
            <w:pPr>
              <w:pStyle w:val="EMEANormal"/>
              <w:rPr>
                <w:lang w:val="hu-HU"/>
              </w:rPr>
            </w:pPr>
            <w:r w:rsidRPr="007A59A2">
              <w:rPr>
                <w:b/>
                <w:noProof/>
                <w:lang w:val="en-GB"/>
              </w:rPr>
              <w:drawing>
                <wp:inline distT="0" distB="0" distL="0" distR="0" wp14:anchorId="3859A221" wp14:editId="61ADA7B3">
                  <wp:extent cx="1984248" cy="2093089"/>
                  <wp:effectExtent l="0" t="0" r="0" b="254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STEP_8_SYRINGE_IFU_WITHDRAW_grey.REV 06Sep18.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84248" cy="2093089"/>
                          </a:xfrm>
                          <a:prstGeom prst="rect">
                            <a:avLst/>
                          </a:prstGeom>
                        </pic:spPr>
                      </pic:pic>
                    </a:graphicData>
                  </a:graphic>
                </wp:inline>
              </w:drawing>
            </w:r>
          </w:p>
          <w:p w14:paraId="4294F0ED" w14:textId="77777777" w:rsidR="004F641E" w:rsidRPr="00183B5F" w:rsidRDefault="00943743" w:rsidP="0073731A">
            <w:pPr>
              <w:pStyle w:val="EMEANormal"/>
              <w:tabs>
                <w:tab w:val="clear" w:pos="562"/>
                <w:tab w:val="left" w:pos="709"/>
              </w:tabs>
              <w:rPr>
                <w:b/>
                <w:lang w:val="hu-HU"/>
              </w:rPr>
            </w:pPr>
            <w:r w:rsidRPr="00183B5F">
              <w:rPr>
                <w:lang w:val="hu-HU"/>
              </w:rPr>
              <w:tab/>
            </w:r>
            <w:r w:rsidRPr="00183B5F">
              <w:rPr>
                <w:b/>
                <w:lang w:val="hu-HU"/>
              </w:rPr>
              <w:t>Vattapamacs</w:t>
            </w:r>
          </w:p>
        </w:tc>
        <w:tc>
          <w:tcPr>
            <w:tcW w:w="5579" w:type="dxa"/>
            <w:tcBorders>
              <w:left w:val="nil"/>
            </w:tcBorders>
          </w:tcPr>
          <w:p w14:paraId="66EB8492" w14:textId="77777777" w:rsidR="00743EDE" w:rsidRPr="00183B5F" w:rsidRDefault="00743EDE" w:rsidP="0073731A">
            <w:pPr>
              <w:pStyle w:val="EMEAHeadingLeaflet"/>
              <w:spacing w:beforeLines="0" w:before="0" w:afterLines="0" w:after="0"/>
              <w:rPr>
                <w:rFonts w:ascii="Times New Roman" w:hAnsi="Times New Roman"/>
                <w:b w:val="0"/>
                <w:lang w:val="hu-HU"/>
              </w:rPr>
            </w:pPr>
          </w:p>
          <w:p w14:paraId="7449B206" w14:textId="77777777" w:rsidR="00743EDE" w:rsidRPr="00183B5F" w:rsidRDefault="00943743" w:rsidP="0073731A">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 xml:space="preserve">Amikor a beadás befejeződött, lassan húzza ki a bőrből a tűt, az előretöltött fecskendőt ugyanolyan szögben tartva. </w:t>
            </w:r>
          </w:p>
          <w:p w14:paraId="4A3F79FA" w14:textId="77777777" w:rsidR="00743EDE" w:rsidRPr="00183B5F" w:rsidRDefault="00743EDE" w:rsidP="0073731A">
            <w:pPr>
              <w:pStyle w:val="EMEANormal"/>
              <w:rPr>
                <w:lang w:val="hu-HU"/>
              </w:rPr>
            </w:pPr>
          </w:p>
          <w:p w14:paraId="003757F2" w14:textId="77777777" w:rsidR="00743EDE" w:rsidRPr="00183B5F" w:rsidRDefault="00943743" w:rsidP="0073731A">
            <w:pPr>
              <w:pStyle w:val="EMEAHeadingLeaflet"/>
              <w:spacing w:beforeLines="0" w:before="0" w:afterLines="0" w:after="0"/>
              <w:rPr>
                <w:rFonts w:ascii="Times New Roman" w:hAnsi="Times New Roman"/>
                <w:b w:val="0"/>
                <w:lang w:val="hu-HU"/>
              </w:rPr>
            </w:pPr>
            <w:r w:rsidRPr="00183B5F">
              <w:rPr>
                <w:rFonts w:ascii="Times New Roman" w:hAnsi="Times New Roman"/>
                <w:b w:val="0"/>
                <w:lang w:val="hu-HU"/>
              </w:rPr>
              <w:t>Az injekció beadása után helyezzen egy vattapamacsot vagy gézdarabot a beadás helyére.</w:t>
            </w:r>
          </w:p>
          <w:p w14:paraId="66359682" w14:textId="77777777" w:rsidR="00743EDE" w:rsidRPr="00183B5F" w:rsidRDefault="00743EDE" w:rsidP="0073731A">
            <w:pPr>
              <w:pStyle w:val="EMEANormal"/>
              <w:rPr>
                <w:lang w:val="hu-HU"/>
              </w:rPr>
            </w:pPr>
          </w:p>
          <w:p w14:paraId="30DBF0E4" w14:textId="77777777" w:rsidR="00743EDE" w:rsidRPr="00183B5F" w:rsidRDefault="00943743" w:rsidP="0073731A">
            <w:pPr>
              <w:pStyle w:val="EMEAHeadingLeaflet"/>
              <w:numPr>
                <w:ilvl w:val="0"/>
                <w:numId w:val="127"/>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lang w:val="hu-HU"/>
              </w:rPr>
              <w:t>Ne</w:t>
            </w:r>
            <w:r w:rsidRPr="00183B5F">
              <w:rPr>
                <w:rFonts w:ascii="Times New Roman" w:hAnsi="Times New Roman"/>
                <w:b w:val="0"/>
                <w:lang w:val="hu-HU"/>
              </w:rPr>
              <w:t xml:space="preserve"> dörzsölje</w:t>
            </w:r>
          </w:p>
          <w:p w14:paraId="00B51FC4" w14:textId="77777777" w:rsidR="00743EDE" w:rsidRPr="00183B5F" w:rsidRDefault="00943743" w:rsidP="0073731A">
            <w:pPr>
              <w:pStyle w:val="EMEANormal"/>
              <w:numPr>
                <w:ilvl w:val="0"/>
                <w:numId w:val="127"/>
              </w:numPr>
              <w:tabs>
                <w:tab w:val="clear" w:pos="562"/>
                <w:tab w:val="left" w:pos="757"/>
              </w:tabs>
              <w:ind w:left="757"/>
              <w:rPr>
                <w:lang w:val="hu-HU"/>
              </w:rPr>
            </w:pPr>
            <w:r w:rsidRPr="00183B5F">
              <w:rPr>
                <w:lang w:val="hu-HU"/>
              </w:rPr>
              <w:t>Enyhe vérzés az injekció beadásának helyén normális</w:t>
            </w:r>
          </w:p>
        </w:tc>
      </w:tr>
      <w:tr w:rsidR="00011D2F" w14:paraId="2A716247" w14:textId="77777777" w:rsidTr="00743EDE">
        <w:tc>
          <w:tcPr>
            <w:tcW w:w="9287" w:type="dxa"/>
            <w:gridSpan w:val="2"/>
          </w:tcPr>
          <w:p w14:paraId="1FD4BEA5" w14:textId="77777777" w:rsidR="00743EDE" w:rsidRPr="00183B5F" w:rsidRDefault="00943743" w:rsidP="004062FE">
            <w:pPr>
              <w:keepNext/>
              <w:spacing w:line="240" w:lineRule="auto"/>
            </w:pPr>
            <w:r w:rsidRPr="00183B5F">
              <w:rPr>
                <w:b/>
              </w:rPr>
              <w:t>9. lépés</w:t>
            </w:r>
          </w:p>
          <w:p w14:paraId="3FA27DD5" w14:textId="77777777" w:rsidR="00743EDE" w:rsidRPr="00183B5F" w:rsidRDefault="00743EDE" w:rsidP="004062FE">
            <w:pPr>
              <w:keepNext/>
              <w:spacing w:line="240" w:lineRule="auto"/>
            </w:pPr>
          </w:p>
          <w:p w14:paraId="57C22F91" w14:textId="77777777" w:rsidR="00743EDE" w:rsidRPr="00183B5F" w:rsidRDefault="00943743">
            <w:pPr>
              <w:pStyle w:val="EMEANormal"/>
              <w:keepNext/>
              <w:rPr>
                <w:szCs w:val="22"/>
                <w:lang w:val="hu-HU"/>
              </w:rPr>
            </w:pPr>
            <w:r w:rsidRPr="00183B5F">
              <w:rPr>
                <w:szCs w:val="22"/>
                <w:lang w:val="hu-HU"/>
              </w:rPr>
              <w:t xml:space="preserve">Az előretöltött fecskendőt dobja egy speciális gyűjtőedénybe a kezelőorvosa, a nővér vagy a gyógyszerésze útmutatásának megfelelően. </w:t>
            </w:r>
            <w:r w:rsidRPr="00183B5F">
              <w:rPr>
                <w:b/>
                <w:bCs/>
                <w:szCs w:val="22"/>
                <w:lang w:val="hu-HU"/>
              </w:rPr>
              <w:t xml:space="preserve">Soha </w:t>
            </w:r>
            <w:r w:rsidRPr="00183B5F">
              <w:rPr>
                <w:szCs w:val="22"/>
                <w:lang w:val="hu-HU"/>
              </w:rPr>
              <w:t>ne rakja vissza a tokot a tűre.</w:t>
            </w:r>
          </w:p>
          <w:p w14:paraId="4FA7A9B0" w14:textId="77777777" w:rsidR="00743EDE" w:rsidRPr="00183B5F" w:rsidRDefault="00743EDE">
            <w:pPr>
              <w:pStyle w:val="EMEANormal"/>
              <w:keepNext/>
              <w:rPr>
                <w:lang w:val="hu-HU"/>
              </w:rPr>
            </w:pPr>
          </w:p>
          <w:p w14:paraId="6E25A0DF" w14:textId="77777777" w:rsidR="00743EDE" w:rsidRPr="00183B5F" w:rsidRDefault="00943743">
            <w:pPr>
              <w:pStyle w:val="EMEAHeadingLeaflet"/>
              <w:keepNext/>
              <w:numPr>
                <w:ilvl w:val="0"/>
                <w:numId w:val="128"/>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lang w:val="hu-HU"/>
              </w:rPr>
              <w:t xml:space="preserve">Ne </w:t>
            </w:r>
            <w:r w:rsidRPr="00183B5F">
              <w:rPr>
                <w:rFonts w:ascii="Times New Roman" w:hAnsi="Times New Roman"/>
                <w:b w:val="0"/>
                <w:lang w:val="hu-HU"/>
              </w:rPr>
              <w:t>dobja a szelektív vagy a háztartási hulladékba az előretöltött fecskendőt.</w:t>
            </w:r>
          </w:p>
          <w:p w14:paraId="34998658" w14:textId="77777777" w:rsidR="00743EDE" w:rsidRPr="00183B5F" w:rsidRDefault="00943743">
            <w:pPr>
              <w:pStyle w:val="EMEANormal"/>
              <w:keepNext/>
              <w:numPr>
                <w:ilvl w:val="0"/>
                <w:numId w:val="128"/>
              </w:numPr>
              <w:tabs>
                <w:tab w:val="clear" w:pos="562"/>
                <w:tab w:val="left" w:pos="720"/>
              </w:tabs>
              <w:rPr>
                <w:lang w:val="hu-HU"/>
              </w:rPr>
            </w:pPr>
            <w:r w:rsidRPr="00183B5F">
              <w:rPr>
                <w:lang w:val="hu-HU"/>
              </w:rPr>
              <w:t xml:space="preserve">Az </w:t>
            </w:r>
            <w:r w:rsidRPr="00183B5F">
              <w:rPr>
                <w:bCs/>
                <w:lang w:val="hu-HU"/>
              </w:rPr>
              <w:t>előretöltött fecskendőt</w:t>
            </w:r>
            <w:r w:rsidRPr="00183B5F">
              <w:rPr>
                <w:lang w:val="hu-HU"/>
              </w:rPr>
              <w:t xml:space="preserve"> és a speciális gyűjtőedényt </w:t>
            </w:r>
            <w:r w:rsidRPr="00183B5F">
              <w:rPr>
                <w:b/>
                <w:lang w:val="hu-HU"/>
              </w:rPr>
              <w:t>mindig</w:t>
            </w:r>
            <w:r w:rsidRPr="00183B5F">
              <w:rPr>
                <w:lang w:val="hu-HU"/>
              </w:rPr>
              <w:t xml:space="preserve"> a gyermekektől elzárva kell tartani!</w:t>
            </w:r>
          </w:p>
          <w:p w14:paraId="00C3B736" w14:textId="77777777" w:rsidR="00743EDE" w:rsidRPr="00183B5F" w:rsidRDefault="00743EDE">
            <w:pPr>
              <w:pStyle w:val="EMEANormal"/>
              <w:keepNext/>
              <w:tabs>
                <w:tab w:val="clear" w:pos="562"/>
                <w:tab w:val="left" w:pos="720"/>
              </w:tabs>
              <w:ind w:left="720"/>
              <w:rPr>
                <w:lang w:val="hu-HU"/>
              </w:rPr>
            </w:pPr>
          </w:p>
          <w:p w14:paraId="6F5852E7" w14:textId="77777777" w:rsidR="00743EDE" w:rsidRPr="00183B5F" w:rsidRDefault="00943743">
            <w:pPr>
              <w:pStyle w:val="EMEANormal"/>
              <w:keepNext/>
              <w:rPr>
                <w:lang w:val="hu-HU"/>
              </w:rPr>
            </w:pPr>
            <w:r w:rsidRPr="00183B5F">
              <w:rPr>
                <w:szCs w:val="22"/>
                <w:lang w:val="hu-HU"/>
              </w:rPr>
              <w:t>A tűvédő tokot, az alkoholos törlőt, a vattapamacsot vagy gézdarabot, a buborékcsomagolást és a csomagolást ki lehet dobni a háztartási hulladékba.</w:t>
            </w:r>
          </w:p>
        </w:tc>
      </w:tr>
    </w:tbl>
    <w:p w14:paraId="5AD414A2" w14:textId="77777777" w:rsidR="00743EDE" w:rsidRPr="00183B5F" w:rsidRDefault="00743EDE" w:rsidP="004062FE">
      <w:pPr>
        <w:suppressAutoHyphens w:val="0"/>
        <w:spacing w:line="240" w:lineRule="auto"/>
        <w:rPr>
          <w:szCs w:val="24"/>
        </w:rPr>
      </w:pPr>
    </w:p>
    <w:p w14:paraId="152878B3" w14:textId="77777777" w:rsidR="00743EDE" w:rsidRPr="00183B5F" w:rsidRDefault="00743EDE" w:rsidP="004062FE">
      <w:pPr>
        <w:spacing w:line="240" w:lineRule="auto"/>
        <w:ind w:right="-449"/>
        <w:jc w:val="center"/>
        <w:rPr>
          <w:szCs w:val="24"/>
        </w:rPr>
      </w:pPr>
    </w:p>
    <w:p w14:paraId="4CAB2971" w14:textId="77777777" w:rsidR="00127616" w:rsidRPr="00183B5F" w:rsidRDefault="00943743" w:rsidP="000E42DD">
      <w:pPr>
        <w:spacing w:line="240" w:lineRule="auto"/>
        <w:ind w:right="-449"/>
        <w:jc w:val="center"/>
        <w:rPr>
          <w:szCs w:val="22"/>
        </w:rPr>
      </w:pPr>
      <w:r w:rsidRPr="00183B5F">
        <w:rPr>
          <w:szCs w:val="24"/>
        </w:rPr>
        <w:br w:type="page"/>
      </w:r>
    </w:p>
    <w:p w14:paraId="5D61B9A7" w14:textId="77777777" w:rsidR="002F7D7A" w:rsidRPr="00183B5F" w:rsidRDefault="00943743" w:rsidP="004062FE">
      <w:pPr>
        <w:spacing w:line="240" w:lineRule="auto"/>
        <w:ind w:right="-449"/>
        <w:jc w:val="center"/>
        <w:rPr>
          <w:b/>
          <w:noProof/>
          <w:szCs w:val="24"/>
        </w:rPr>
      </w:pPr>
      <w:r w:rsidRPr="00183B5F">
        <w:rPr>
          <w:b/>
          <w:noProof/>
          <w:szCs w:val="24"/>
        </w:rPr>
        <w:t>Betegtájékoztató: Információk a beteg számára</w:t>
      </w:r>
    </w:p>
    <w:p w14:paraId="091C2133" w14:textId="77777777" w:rsidR="002F7D7A" w:rsidRPr="00183B5F" w:rsidRDefault="002F7D7A" w:rsidP="004062FE">
      <w:pPr>
        <w:spacing w:line="240" w:lineRule="auto"/>
        <w:ind w:right="-449"/>
        <w:jc w:val="center"/>
        <w:rPr>
          <w:b/>
          <w:bCs/>
          <w:szCs w:val="22"/>
        </w:rPr>
      </w:pPr>
    </w:p>
    <w:p w14:paraId="173259BA" w14:textId="77777777" w:rsidR="002F7D7A" w:rsidRPr="00183B5F" w:rsidRDefault="00943743" w:rsidP="004062FE">
      <w:pPr>
        <w:spacing w:line="240" w:lineRule="auto"/>
        <w:ind w:right="-449"/>
        <w:jc w:val="center"/>
        <w:rPr>
          <w:b/>
          <w:bCs/>
          <w:szCs w:val="22"/>
        </w:rPr>
      </w:pPr>
      <w:r w:rsidRPr="00183B5F">
        <w:rPr>
          <w:b/>
          <w:bCs/>
          <w:szCs w:val="22"/>
        </w:rPr>
        <w:t>Humira 80 mg oldatos injekció előretöltött injekciós tollban</w:t>
      </w:r>
    </w:p>
    <w:p w14:paraId="01A8F0E4" w14:textId="77777777" w:rsidR="002F7D7A" w:rsidRPr="00183B5F" w:rsidRDefault="00943743" w:rsidP="004062FE">
      <w:pPr>
        <w:spacing w:line="240" w:lineRule="auto"/>
        <w:ind w:right="-449"/>
        <w:jc w:val="center"/>
        <w:rPr>
          <w:szCs w:val="22"/>
        </w:rPr>
      </w:pPr>
      <w:r w:rsidRPr="00183B5F">
        <w:rPr>
          <w:szCs w:val="22"/>
        </w:rPr>
        <w:t>adalimumab</w:t>
      </w:r>
    </w:p>
    <w:p w14:paraId="492E16C5" w14:textId="77777777" w:rsidR="002F7D7A" w:rsidRPr="00183B5F" w:rsidRDefault="002F7D7A" w:rsidP="004062FE">
      <w:pPr>
        <w:spacing w:line="240" w:lineRule="auto"/>
        <w:ind w:right="-449"/>
        <w:rPr>
          <w:szCs w:val="22"/>
        </w:rPr>
      </w:pPr>
    </w:p>
    <w:p w14:paraId="082C6966" w14:textId="77777777" w:rsidR="002F7D7A" w:rsidRPr="00183B5F" w:rsidRDefault="00943743" w:rsidP="004062FE">
      <w:pPr>
        <w:spacing w:line="240" w:lineRule="auto"/>
        <w:rPr>
          <w:b/>
          <w:szCs w:val="22"/>
        </w:rPr>
      </w:pPr>
      <w:r w:rsidRPr="00183B5F">
        <w:rPr>
          <w:b/>
          <w:szCs w:val="22"/>
        </w:rPr>
        <w:t>Mielőtt elkezdi alkalmazni ezt a gyógyszert, olvassa el figyelmesen az alábbi betegtájékoztatót</w:t>
      </w:r>
      <w:r w:rsidRPr="00183B5F">
        <w:rPr>
          <w:b/>
          <w:noProof/>
          <w:szCs w:val="24"/>
        </w:rPr>
        <w:t>, mert az Ön számára fontos információkat tartalmaz</w:t>
      </w:r>
      <w:r w:rsidRPr="00183B5F">
        <w:rPr>
          <w:b/>
          <w:szCs w:val="22"/>
        </w:rPr>
        <w:t>.</w:t>
      </w:r>
    </w:p>
    <w:p w14:paraId="2AD4273A" w14:textId="77777777" w:rsidR="002F7D7A" w:rsidRPr="00183B5F" w:rsidRDefault="00943743" w:rsidP="004062FE">
      <w:pPr>
        <w:numPr>
          <w:ilvl w:val="0"/>
          <w:numId w:val="129"/>
        </w:numPr>
        <w:spacing w:line="240" w:lineRule="auto"/>
        <w:ind w:left="567" w:hanging="567"/>
        <w:rPr>
          <w:szCs w:val="22"/>
        </w:rPr>
      </w:pPr>
      <w:r w:rsidRPr="00183B5F">
        <w:rPr>
          <w:szCs w:val="22"/>
        </w:rPr>
        <w:t>Tartsa meg a betegtájékoztatót, mert a benne szereplő információkra a későbbiekben is szüksége lehet.</w:t>
      </w:r>
    </w:p>
    <w:p w14:paraId="27F1A640" w14:textId="77777777" w:rsidR="002F7D7A" w:rsidRPr="00183B5F" w:rsidRDefault="00943743" w:rsidP="004062FE">
      <w:pPr>
        <w:numPr>
          <w:ilvl w:val="0"/>
          <w:numId w:val="129"/>
        </w:numPr>
        <w:spacing w:line="240" w:lineRule="auto"/>
        <w:ind w:left="567" w:hanging="567"/>
        <w:rPr>
          <w:szCs w:val="22"/>
        </w:rPr>
      </w:pPr>
      <w:r w:rsidRPr="00183B5F">
        <w:rPr>
          <w:szCs w:val="22"/>
        </w:rPr>
        <w:t xml:space="preserve">Kezelőorvosától egy </w:t>
      </w:r>
      <w:r w:rsidR="0048779F" w:rsidRPr="00183B5F">
        <w:rPr>
          <w:b/>
          <w:szCs w:val="22"/>
        </w:rPr>
        <w:t>Betegemlékeztető</w:t>
      </w:r>
      <w:r w:rsidRPr="00183B5F">
        <w:rPr>
          <w:b/>
          <w:szCs w:val="22"/>
        </w:rPr>
        <w:t xml:space="preserve"> Kártyát</w:t>
      </w:r>
      <w:r w:rsidRPr="00183B5F">
        <w:rPr>
          <w:szCs w:val="22"/>
        </w:rPr>
        <w:t xml:space="preserve"> is fog kapni fontos biztonsági információkkal, amit a Humira alkalmazása előtt és a Humira</w:t>
      </w:r>
      <w:r w:rsidRPr="00183B5F">
        <w:rPr>
          <w:szCs w:val="22"/>
        </w:rPr>
        <w:noBreakHyphen/>
        <w:t xml:space="preserve">val történő kezelés során is figyelembe kell venni. Tartsa magánál ezt a </w:t>
      </w:r>
      <w:r w:rsidR="0048779F" w:rsidRPr="00183B5F">
        <w:rPr>
          <w:b/>
          <w:szCs w:val="22"/>
        </w:rPr>
        <w:t>Betegemlékeztető</w:t>
      </w:r>
      <w:r w:rsidRPr="00183B5F">
        <w:rPr>
          <w:b/>
          <w:szCs w:val="22"/>
        </w:rPr>
        <w:t xml:space="preserve"> Kártyát</w:t>
      </w:r>
      <w:r w:rsidRPr="00183B5F">
        <w:rPr>
          <w:szCs w:val="22"/>
        </w:rPr>
        <w:t>.</w:t>
      </w:r>
    </w:p>
    <w:p w14:paraId="7C83B858" w14:textId="77777777" w:rsidR="002F7D7A" w:rsidRPr="00183B5F" w:rsidRDefault="00943743" w:rsidP="004062FE">
      <w:pPr>
        <w:numPr>
          <w:ilvl w:val="0"/>
          <w:numId w:val="129"/>
        </w:numPr>
        <w:spacing w:line="240" w:lineRule="auto"/>
        <w:ind w:left="567" w:hanging="567"/>
        <w:rPr>
          <w:szCs w:val="22"/>
        </w:rPr>
      </w:pPr>
      <w:r w:rsidRPr="00183B5F">
        <w:rPr>
          <w:szCs w:val="22"/>
        </w:rPr>
        <w:t>Kérdéseivel forduljon kezelőorvosához vagy gyógyszerészéhez.</w:t>
      </w:r>
    </w:p>
    <w:p w14:paraId="6443F2AA" w14:textId="77777777" w:rsidR="002F7D7A" w:rsidRPr="00183B5F" w:rsidRDefault="00943743" w:rsidP="004062FE">
      <w:pPr>
        <w:numPr>
          <w:ilvl w:val="0"/>
          <w:numId w:val="129"/>
        </w:numPr>
        <w:spacing w:line="240" w:lineRule="auto"/>
        <w:ind w:left="567" w:hanging="567"/>
        <w:rPr>
          <w:szCs w:val="22"/>
        </w:rPr>
      </w:pPr>
      <w:r w:rsidRPr="00183B5F">
        <w:rPr>
          <w:szCs w:val="22"/>
        </w:rPr>
        <w:t>Ezt a gyógyszert az orvos kizárólag Önnek írta fel. Ne adja át a készítményt másnak, mert számára ártalmas lehet még abban az esetben is, ha a betegsége tünetei az Önéhez hasonlóak.</w:t>
      </w:r>
    </w:p>
    <w:p w14:paraId="1DC156C6" w14:textId="77777777" w:rsidR="002F7D7A" w:rsidRPr="00183B5F" w:rsidRDefault="00943743" w:rsidP="004062FE">
      <w:pPr>
        <w:numPr>
          <w:ilvl w:val="0"/>
          <w:numId w:val="129"/>
        </w:numPr>
        <w:spacing w:line="240" w:lineRule="auto"/>
        <w:ind w:left="567" w:hanging="567"/>
        <w:rPr>
          <w:szCs w:val="22"/>
        </w:rPr>
      </w:pPr>
      <w:r w:rsidRPr="00183B5F">
        <w:rPr>
          <w:szCs w:val="24"/>
        </w:rPr>
        <w:t xml:space="preserve">Ha </w:t>
      </w:r>
      <w:r w:rsidRPr="00183B5F">
        <w:rPr>
          <w:noProof/>
          <w:szCs w:val="24"/>
        </w:rPr>
        <w:t>Önnél bármilyen</w:t>
      </w:r>
      <w:r w:rsidRPr="00183B5F">
        <w:rPr>
          <w:szCs w:val="24"/>
        </w:rPr>
        <w:t xml:space="preserve"> mellékhatás </w:t>
      </w:r>
      <w:r w:rsidRPr="00183B5F">
        <w:rPr>
          <w:noProof/>
          <w:szCs w:val="24"/>
        </w:rPr>
        <w:t>jelentkezik, tájékoztassa erről kezelőorvosát vagy gyógyszerészét. Ez</w:t>
      </w:r>
      <w:r w:rsidRPr="00183B5F">
        <w:rPr>
          <w:szCs w:val="24"/>
        </w:rPr>
        <w:t xml:space="preserve"> a betegtájékoztatóban </w:t>
      </w:r>
      <w:r w:rsidRPr="00183B5F">
        <w:rPr>
          <w:noProof/>
          <w:szCs w:val="24"/>
        </w:rPr>
        <w:t>fel nem sorolt bármilyen lehetséges mellékhatásra is vonatkozik. Lásd 4. pont.</w:t>
      </w:r>
    </w:p>
    <w:p w14:paraId="1D2ABCCE" w14:textId="77777777" w:rsidR="002F7D7A" w:rsidRPr="00183B5F" w:rsidRDefault="002F7D7A" w:rsidP="004062FE">
      <w:pPr>
        <w:spacing w:line="240" w:lineRule="auto"/>
        <w:ind w:right="-2"/>
        <w:rPr>
          <w:szCs w:val="22"/>
        </w:rPr>
      </w:pPr>
    </w:p>
    <w:p w14:paraId="0B99DA45" w14:textId="77777777" w:rsidR="002F7D7A" w:rsidRPr="00183B5F" w:rsidRDefault="00943743" w:rsidP="004062FE">
      <w:pPr>
        <w:spacing w:line="240" w:lineRule="auto"/>
        <w:ind w:right="-2"/>
        <w:rPr>
          <w:b/>
          <w:szCs w:val="22"/>
        </w:rPr>
      </w:pPr>
      <w:r w:rsidRPr="00183B5F">
        <w:rPr>
          <w:b/>
          <w:szCs w:val="22"/>
        </w:rPr>
        <w:t>A betegtájékoztató tartalma:</w:t>
      </w:r>
    </w:p>
    <w:p w14:paraId="28573BB8" w14:textId="77777777" w:rsidR="002F7D7A" w:rsidRPr="00183B5F" w:rsidRDefault="00943743" w:rsidP="004062FE">
      <w:pPr>
        <w:spacing w:line="240" w:lineRule="auto"/>
        <w:ind w:left="567" w:right="-29" w:hanging="567"/>
        <w:rPr>
          <w:szCs w:val="22"/>
        </w:rPr>
      </w:pPr>
      <w:r w:rsidRPr="00183B5F">
        <w:rPr>
          <w:szCs w:val="22"/>
        </w:rPr>
        <w:t>1.</w:t>
      </w:r>
      <w:r w:rsidRPr="00183B5F">
        <w:rPr>
          <w:szCs w:val="22"/>
        </w:rPr>
        <w:tab/>
        <w:t>Milyen típusú gyógyszer a Humira és milyen betegségek esetén alkalmazható</w:t>
      </w:r>
      <w:r w:rsidR="002F3E1F" w:rsidRPr="00183B5F">
        <w:rPr>
          <w:szCs w:val="22"/>
        </w:rPr>
        <w:t>?</w:t>
      </w:r>
    </w:p>
    <w:p w14:paraId="359AD397" w14:textId="77777777" w:rsidR="002F7D7A" w:rsidRPr="00183B5F" w:rsidRDefault="00943743" w:rsidP="004062FE">
      <w:pPr>
        <w:spacing w:line="240" w:lineRule="auto"/>
        <w:ind w:left="567" w:right="-29" w:hanging="567"/>
        <w:rPr>
          <w:szCs w:val="22"/>
        </w:rPr>
      </w:pPr>
      <w:r w:rsidRPr="00183B5F">
        <w:rPr>
          <w:szCs w:val="22"/>
        </w:rPr>
        <w:t>2.</w:t>
      </w:r>
      <w:r w:rsidRPr="00183B5F">
        <w:rPr>
          <w:szCs w:val="22"/>
        </w:rPr>
        <w:tab/>
        <w:t>Tudnivalók a Humira alkalmazása előtt</w:t>
      </w:r>
    </w:p>
    <w:p w14:paraId="0FB42837" w14:textId="77777777" w:rsidR="002F7D7A" w:rsidRPr="00183B5F" w:rsidRDefault="00943743" w:rsidP="004062FE">
      <w:pPr>
        <w:spacing w:line="240" w:lineRule="auto"/>
        <w:ind w:left="567" w:right="-29" w:hanging="567"/>
        <w:rPr>
          <w:szCs w:val="22"/>
        </w:rPr>
      </w:pPr>
      <w:r w:rsidRPr="00183B5F">
        <w:rPr>
          <w:szCs w:val="22"/>
        </w:rPr>
        <w:t>3.</w:t>
      </w:r>
      <w:r w:rsidRPr="00183B5F">
        <w:rPr>
          <w:szCs w:val="22"/>
        </w:rPr>
        <w:tab/>
        <w:t>Hogyan kell alkalmazni a Humira</w:t>
      </w:r>
      <w:r w:rsidRPr="00183B5F">
        <w:rPr>
          <w:szCs w:val="22"/>
        </w:rPr>
        <w:noBreakHyphen/>
        <w:t>t</w:t>
      </w:r>
      <w:r w:rsidR="002F3E1F" w:rsidRPr="00183B5F">
        <w:rPr>
          <w:szCs w:val="22"/>
        </w:rPr>
        <w:t>?</w:t>
      </w:r>
    </w:p>
    <w:p w14:paraId="0D779017" w14:textId="77777777" w:rsidR="002F7D7A" w:rsidRPr="00183B5F" w:rsidRDefault="00943743" w:rsidP="004062FE">
      <w:pPr>
        <w:spacing w:line="240" w:lineRule="auto"/>
        <w:ind w:left="567" w:right="-29" w:hanging="567"/>
        <w:rPr>
          <w:szCs w:val="22"/>
        </w:rPr>
      </w:pPr>
      <w:r w:rsidRPr="00183B5F">
        <w:rPr>
          <w:szCs w:val="22"/>
        </w:rPr>
        <w:t>4.</w:t>
      </w:r>
      <w:r w:rsidRPr="00183B5F">
        <w:rPr>
          <w:szCs w:val="22"/>
        </w:rPr>
        <w:tab/>
        <w:t>Lehetséges mellékhatások</w:t>
      </w:r>
    </w:p>
    <w:p w14:paraId="3EDF681F" w14:textId="77777777" w:rsidR="002F7D7A" w:rsidRPr="00183B5F" w:rsidRDefault="00943743" w:rsidP="004062FE">
      <w:pPr>
        <w:spacing w:line="240" w:lineRule="auto"/>
        <w:ind w:left="567" w:right="-29" w:hanging="567"/>
        <w:rPr>
          <w:szCs w:val="22"/>
        </w:rPr>
      </w:pPr>
      <w:r w:rsidRPr="00183B5F">
        <w:rPr>
          <w:szCs w:val="22"/>
        </w:rPr>
        <w:t>5.</w:t>
      </w:r>
      <w:r w:rsidRPr="00183B5F">
        <w:rPr>
          <w:szCs w:val="22"/>
        </w:rPr>
        <w:tab/>
        <w:t>Hogyan kell a Humira</w:t>
      </w:r>
      <w:r w:rsidRPr="00183B5F">
        <w:rPr>
          <w:szCs w:val="22"/>
        </w:rPr>
        <w:noBreakHyphen/>
        <w:t>t tárolni</w:t>
      </w:r>
      <w:r w:rsidR="002F3E1F" w:rsidRPr="00183B5F">
        <w:rPr>
          <w:szCs w:val="22"/>
        </w:rPr>
        <w:t>?</w:t>
      </w:r>
    </w:p>
    <w:p w14:paraId="1BAA35B8" w14:textId="77777777" w:rsidR="002F7D7A" w:rsidRPr="00183B5F" w:rsidRDefault="00943743" w:rsidP="004062FE">
      <w:pPr>
        <w:spacing w:line="240" w:lineRule="auto"/>
        <w:ind w:left="567" w:right="-29" w:hanging="567"/>
        <w:rPr>
          <w:szCs w:val="22"/>
        </w:rPr>
      </w:pPr>
      <w:r w:rsidRPr="00183B5F">
        <w:rPr>
          <w:szCs w:val="22"/>
        </w:rPr>
        <w:t>6.</w:t>
      </w:r>
      <w:r w:rsidRPr="00183B5F">
        <w:rPr>
          <w:szCs w:val="22"/>
        </w:rPr>
        <w:tab/>
        <w:t>További információk</w:t>
      </w:r>
    </w:p>
    <w:p w14:paraId="6BDBA01E" w14:textId="77777777" w:rsidR="002F7D7A" w:rsidRPr="00183B5F" w:rsidRDefault="00943743">
      <w:pPr>
        <w:spacing w:line="240" w:lineRule="auto"/>
        <w:ind w:left="567" w:right="-29" w:hanging="567"/>
        <w:rPr>
          <w:szCs w:val="22"/>
        </w:rPr>
      </w:pPr>
      <w:r w:rsidRPr="00183B5F">
        <w:rPr>
          <w:szCs w:val="22"/>
        </w:rPr>
        <w:t>7.</w:t>
      </w:r>
      <w:r w:rsidRPr="00183B5F">
        <w:rPr>
          <w:szCs w:val="22"/>
        </w:rPr>
        <w:tab/>
      </w:r>
      <w:r w:rsidR="007B1AD3" w:rsidRPr="00183B5F">
        <w:rPr>
          <w:szCs w:val="22"/>
        </w:rPr>
        <w:t>A Humira beadása</w:t>
      </w:r>
    </w:p>
    <w:p w14:paraId="639A9BA7" w14:textId="77777777" w:rsidR="002F7D7A" w:rsidRPr="00183B5F" w:rsidRDefault="002F7D7A" w:rsidP="004062FE">
      <w:pPr>
        <w:spacing w:line="240" w:lineRule="auto"/>
        <w:ind w:right="-2"/>
        <w:rPr>
          <w:szCs w:val="22"/>
        </w:rPr>
      </w:pPr>
    </w:p>
    <w:p w14:paraId="3D524024" w14:textId="77777777" w:rsidR="002F7D7A" w:rsidRPr="00183B5F" w:rsidRDefault="00943743" w:rsidP="004062FE">
      <w:pPr>
        <w:spacing w:line="240" w:lineRule="auto"/>
        <w:ind w:left="567" w:right="-2" w:hanging="567"/>
        <w:rPr>
          <w:b/>
          <w:szCs w:val="22"/>
        </w:rPr>
      </w:pPr>
      <w:r w:rsidRPr="00183B5F">
        <w:rPr>
          <w:b/>
          <w:szCs w:val="22"/>
        </w:rPr>
        <w:t>1.</w:t>
      </w:r>
      <w:r w:rsidRPr="00183B5F">
        <w:rPr>
          <w:b/>
          <w:szCs w:val="22"/>
        </w:rPr>
        <w:tab/>
      </w:r>
      <w:r w:rsidRPr="00183B5F">
        <w:rPr>
          <w:b/>
          <w:szCs w:val="22"/>
        </w:rPr>
        <w:t>Milyen típusú gyógyszer a Humira és milyen betegségek esetén alkalmazható</w:t>
      </w:r>
      <w:r w:rsidR="002F3E1F" w:rsidRPr="00183B5F">
        <w:rPr>
          <w:b/>
          <w:szCs w:val="22"/>
        </w:rPr>
        <w:t>?</w:t>
      </w:r>
    </w:p>
    <w:p w14:paraId="17738331" w14:textId="77777777" w:rsidR="002F7D7A" w:rsidRPr="00183B5F" w:rsidRDefault="002F7D7A" w:rsidP="004062FE">
      <w:pPr>
        <w:spacing w:line="240" w:lineRule="auto"/>
        <w:ind w:right="-2" w:firstLine="567"/>
        <w:rPr>
          <w:szCs w:val="22"/>
        </w:rPr>
      </w:pPr>
    </w:p>
    <w:p w14:paraId="457CA7AC" w14:textId="77777777" w:rsidR="002F7D7A" w:rsidRPr="00183B5F" w:rsidRDefault="00943743" w:rsidP="004062FE">
      <w:pPr>
        <w:spacing w:line="240" w:lineRule="auto"/>
        <w:ind w:right="-2"/>
        <w:rPr>
          <w:szCs w:val="22"/>
        </w:rPr>
      </w:pPr>
      <w:r w:rsidRPr="00183B5F">
        <w:rPr>
          <w:szCs w:val="22"/>
        </w:rPr>
        <w:t>A Humira hatóanyaga az adalimumab</w:t>
      </w:r>
      <w:r w:rsidR="00F9482C" w:rsidRPr="00183B5F">
        <w:rPr>
          <w:szCs w:val="22"/>
        </w:rPr>
        <w:t>.</w:t>
      </w:r>
    </w:p>
    <w:p w14:paraId="5A394627" w14:textId="77777777" w:rsidR="002F7D7A" w:rsidRPr="00183B5F" w:rsidRDefault="002F7D7A" w:rsidP="004062FE">
      <w:pPr>
        <w:spacing w:line="240" w:lineRule="auto"/>
        <w:ind w:right="-2"/>
        <w:rPr>
          <w:szCs w:val="22"/>
        </w:rPr>
      </w:pPr>
    </w:p>
    <w:p w14:paraId="624529BF" w14:textId="77777777" w:rsidR="009448B7" w:rsidRPr="00183B5F" w:rsidRDefault="00943743" w:rsidP="004062FE">
      <w:pPr>
        <w:spacing w:line="240" w:lineRule="auto"/>
        <w:ind w:right="-2"/>
        <w:rPr>
          <w:szCs w:val="22"/>
        </w:rPr>
      </w:pPr>
      <w:r w:rsidRPr="00183B5F">
        <w:rPr>
          <w:szCs w:val="22"/>
        </w:rPr>
        <w:t>A Humira az alábbi betegségek kezelésére alkalmazható:</w:t>
      </w:r>
    </w:p>
    <w:p w14:paraId="125F6D97" w14:textId="77777777" w:rsidR="00800BE5" w:rsidRPr="00183B5F" w:rsidRDefault="00943743" w:rsidP="0009469D">
      <w:pPr>
        <w:numPr>
          <w:ilvl w:val="0"/>
          <w:numId w:val="191"/>
        </w:numPr>
        <w:spacing w:line="240" w:lineRule="auto"/>
        <w:ind w:right="-2"/>
        <w:rPr>
          <w:szCs w:val="22"/>
        </w:rPr>
      </w:pPr>
      <w:r w:rsidRPr="00183B5F">
        <w:rPr>
          <w:szCs w:val="22"/>
        </w:rPr>
        <w:t>Reumás ízületi gyulladás (reumatoid artritisz)</w:t>
      </w:r>
    </w:p>
    <w:p w14:paraId="71FBEE3A" w14:textId="77777777" w:rsidR="009448B7" w:rsidRPr="00183B5F" w:rsidRDefault="00943743" w:rsidP="004062FE">
      <w:pPr>
        <w:numPr>
          <w:ilvl w:val="0"/>
          <w:numId w:val="76"/>
        </w:numPr>
        <w:spacing w:line="240" w:lineRule="auto"/>
        <w:ind w:right="-2"/>
        <w:rPr>
          <w:szCs w:val="22"/>
        </w:rPr>
      </w:pPr>
      <w:r w:rsidRPr="00183B5F">
        <w:rPr>
          <w:szCs w:val="22"/>
        </w:rPr>
        <w:t>Pikkelysömör (pszoriázis)</w:t>
      </w:r>
    </w:p>
    <w:p w14:paraId="68EF25FF" w14:textId="77777777" w:rsidR="009448B7" w:rsidRPr="00183B5F" w:rsidRDefault="00943743" w:rsidP="004062FE">
      <w:pPr>
        <w:keepNext/>
        <w:numPr>
          <w:ilvl w:val="0"/>
          <w:numId w:val="76"/>
        </w:numPr>
        <w:spacing w:line="240" w:lineRule="auto"/>
        <w:rPr>
          <w:bCs/>
          <w:szCs w:val="22"/>
        </w:rPr>
      </w:pPr>
      <w:r w:rsidRPr="00183B5F">
        <w:rPr>
          <w:szCs w:val="22"/>
        </w:rPr>
        <w:t>Gennyes verejtékmirigy-gyulladás (hidradenitisz szuppuratíva)</w:t>
      </w:r>
    </w:p>
    <w:p w14:paraId="39919C73" w14:textId="77777777" w:rsidR="009448B7" w:rsidRPr="00183B5F" w:rsidRDefault="00943743" w:rsidP="004062FE">
      <w:pPr>
        <w:numPr>
          <w:ilvl w:val="0"/>
          <w:numId w:val="76"/>
        </w:numPr>
        <w:spacing w:line="240" w:lineRule="auto"/>
        <w:ind w:right="-2"/>
        <w:rPr>
          <w:szCs w:val="22"/>
        </w:rPr>
      </w:pPr>
      <w:r w:rsidRPr="00183B5F">
        <w:rPr>
          <w:szCs w:val="22"/>
        </w:rPr>
        <w:t>A bélfal minden rétegére kiterjedő, nem fertőzéses eredetű gyulladás (Crohn</w:t>
      </w:r>
      <w:r w:rsidRPr="00183B5F">
        <w:rPr>
          <w:szCs w:val="22"/>
        </w:rPr>
        <w:noBreakHyphen/>
        <w:t>betegség)</w:t>
      </w:r>
    </w:p>
    <w:p w14:paraId="222BC870" w14:textId="77777777" w:rsidR="009448B7" w:rsidRPr="00183B5F" w:rsidRDefault="00943743" w:rsidP="004062FE">
      <w:pPr>
        <w:keepNext/>
        <w:numPr>
          <w:ilvl w:val="0"/>
          <w:numId w:val="76"/>
        </w:numPr>
        <w:suppressAutoHyphens w:val="0"/>
        <w:autoSpaceDE w:val="0"/>
        <w:autoSpaceDN w:val="0"/>
        <w:adjustRightInd w:val="0"/>
        <w:spacing w:line="240" w:lineRule="auto"/>
        <w:rPr>
          <w:szCs w:val="22"/>
        </w:rPr>
      </w:pPr>
      <w:r w:rsidRPr="00183B5F">
        <w:rPr>
          <w:szCs w:val="22"/>
        </w:rPr>
        <w:t>Nem fertőzéses eredetű, kifekélyesedő vastagbélgyulladás (kolitisz ulceróza)</w:t>
      </w:r>
    </w:p>
    <w:p w14:paraId="04B5304E" w14:textId="77777777" w:rsidR="009448B7" w:rsidRPr="00183B5F" w:rsidRDefault="00943743" w:rsidP="004062FE">
      <w:pPr>
        <w:keepNext/>
        <w:numPr>
          <w:ilvl w:val="0"/>
          <w:numId w:val="76"/>
        </w:numPr>
        <w:suppressAutoHyphens w:val="0"/>
        <w:autoSpaceDE w:val="0"/>
        <w:autoSpaceDN w:val="0"/>
        <w:adjustRightInd w:val="0"/>
        <w:spacing w:line="240" w:lineRule="auto"/>
        <w:rPr>
          <w:szCs w:val="22"/>
        </w:rPr>
      </w:pPr>
      <w:r w:rsidRPr="00183B5F">
        <w:rPr>
          <w:szCs w:val="22"/>
        </w:rPr>
        <w:t>Nem fertőzéses eredetű szemgyulladás (uveitisz)</w:t>
      </w:r>
    </w:p>
    <w:p w14:paraId="360ADBFB" w14:textId="77777777" w:rsidR="009448B7" w:rsidRPr="00183B5F" w:rsidRDefault="009448B7" w:rsidP="004062FE">
      <w:pPr>
        <w:spacing w:line="240" w:lineRule="auto"/>
        <w:ind w:right="-2"/>
        <w:rPr>
          <w:szCs w:val="22"/>
          <w:u w:val="single"/>
        </w:rPr>
      </w:pPr>
    </w:p>
    <w:p w14:paraId="59A5F623" w14:textId="77777777" w:rsidR="000D6F55" w:rsidRPr="00183B5F" w:rsidRDefault="00943743" w:rsidP="004062FE">
      <w:pPr>
        <w:spacing w:line="240" w:lineRule="auto"/>
        <w:ind w:right="-2"/>
        <w:rPr>
          <w:szCs w:val="22"/>
        </w:rPr>
      </w:pPr>
      <w:r w:rsidRPr="00183B5F">
        <w:rPr>
          <w:szCs w:val="22"/>
        </w:rPr>
        <w:t>A Humira hatóanyaga, az adalimumab egy emberi monoklonális antitest (ellenanyag). A monoklonális antitestek fehérjék, amelyek speciális célponthoz kötődnek.</w:t>
      </w:r>
    </w:p>
    <w:p w14:paraId="4EE08145" w14:textId="77777777" w:rsidR="000D6F55" w:rsidRPr="00183B5F" w:rsidRDefault="000D6F55" w:rsidP="004062FE">
      <w:pPr>
        <w:spacing w:line="240" w:lineRule="auto"/>
        <w:ind w:right="-2"/>
        <w:rPr>
          <w:szCs w:val="22"/>
        </w:rPr>
      </w:pPr>
    </w:p>
    <w:p w14:paraId="15CC04C4" w14:textId="77777777" w:rsidR="000D6F55" w:rsidRPr="00183B5F" w:rsidRDefault="00943743" w:rsidP="004062FE">
      <w:pPr>
        <w:spacing w:line="240" w:lineRule="auto"/>
        <w:ind w:right="-2"/>
        <w:rPr>
          <w:szCs w:val="22"/>
        </w:rPr>
      </w:pPr>
      <w:r w:rsidRPr="00183B5F">
        <w:rPr>
          <w:szCs w:val="22"/>
        </w:rPr>
        <w:t>Az adalim</w:t>
      </w:r>
      <w:r w:rsidR="0036605D" w:rsidRPr="00183B5F">
        <w:rPr>
          <w:szCs w:val="22"/>
        </w:rPr>
        <w:t>um</w:t>
      </w:r>
      <w:r w:rsidRPr="00183B5F">
        <w:rPr>
          <w:szCs w:val="22"/>
        </w:rPr>
        <w:t>ab célpontja a tumor nekrózis faktor (TNF</w:t>
      </w:r>
      <w:r w:rsidRPr="00183B5F">
        <w:rPr>
          <w:noProof/>
          <w:color w:val="000000"/>
          <w:szCs w:val="22"/>
        </w:rPr>
        <w:t>α</w:t>
      </w:r>
      <w:r w:rsidRPr="00183B5F">
        <w:rPr>
          <w:szCs w:val="22"/>
        </w:rPr>
        <w:t xml:space="preserve">) nevű fehérje, mely az immun (védekező) rendszer működésében vesz részt, és a fent felsorolt gyulladásos betegségekben </w:t>
      </w:r>
      <w:r w:rsidR="006D0725" w:rsidRPr="00183B5F">
        <w:rPr>
          <w:szCs w:val="22"/>
        </w:rPr>
        <w:t xml:space="preserve">megnövekedett </w:t>
      </w:r>
      <w:r w:rsidRPr="00183B5F">
        <w:rPr>
          <w:szCs w:val="22"/>
        </w:rPr>
        <w:t>mennyiségben van jelen. A TNF</w:t>
      </w:r>
      <w:r w:rsidRPr="00183B5F">
        <w:rPr>
          <w:noProof/>
          <w:color w:val="000000"/>
          <w:szCs w:val="22"/>
        </w:rPr>
        <w:t>α</w:t>
      </w:r>
      <w:r w:rsidRPr="00183B5F">
        <w:rPr>
          <w:szCs w:val="22"/>
        </w:rPr>
        <w:noBreakHyphen/>
        <w:t>hoz való kötődéssel a Humira csökkenti ezen betegségek gyulladásos folyamatait.</w:t>
      </w:r>
    </w:p>
    <w:p w14:paraId="4EDF9EBB" w14:textId="77777777" w:rsidR="00800BE5" w:rsidRPr="00183B5F" w:rsidRDefault="00800BE5" w:rsidP="004062FE">
      <w:pPr>
        <w:spacing w:line="240" w:lineRule="auto"/>
        <w:ind w:right="-2"/>
        <w:rPr>
          <w:szCs w:val="22"/>
        </w:rPr>
      </w:pPr>
    </w:p>
    <w:p w14:paraId="73D9495E" w14:textId="77777777" w:rsidR="00800BE5" w:rsidRPr="00183B5F" w:rsidRDefault="00943743" w:rsidP="00800BE5">
      <w:pPr>
        <w:keepNext/>
        <w:spacing w:line="240" w:lineRule="auto"/>
        <w:rPr>
          <w:b/>
          <w:szCs w:val="22"/>
        </w:rPr>
      </w:pPr>
      <w:r w:rsidRPr="00183B5F">
        <w:rPr>
          <w:b/>
          <w:szCs w:val="22"/>
        </w:rPr>
        <w:t>Reumatoid artritisz</w:t>
      </w:r>
    </w:p>
    <w:p w14:paraId="71E08864" w14:textId="77777777" w:rsidR="00800BE5" w:rsidRPr="00183B5F" w:rsidRDefault="00800BE5" w:rsidP="00800BE5">
      <w:pPr>
        <w:keepNext/>
        <w:spacing w:line="240" w:lineRule="auto"/>
        <w:rPr>
          <w:szCs w:val="22"/>
        </w:rPr>
      </w:pPr>
    </w:p>
    <w:p w14:paraId="4DDD5E3C" w14:textId="77777777" w:rsidR="00800BE5" w:rsidRPr="00183B5F" w:rsidRDefault="00943743" w:rsidP="00800BE5">
      <w:pPr>
        <w:keepNext/>
        <w:spacing w:line="240" w:lineRule="auto"/>
        <w:rPr>
          <w:szCs w:val="22"/>
        </w:rPr>
      </w:pPr>
      <w:r w:rsidRPr="00183B5F">
        <w:rPr>
          <w:szCs w:val="22"/>
        </w:rPr>
        <w:t>A reumatoid artritisz az ízületek gyulladásos betegsége.</w:t>
      </w:r>
    </w:p>
    <w:p w14:paraId="40751204" w14:textId="77777777" w:rsidR="00800BE5" w:rsidRPr="00183B5F" w:rsidRDefault="00800BE5" w:rsidP="00800BE5">
      <w:pPr>
        <w:spacing w:line="240" w:lineRule="auto"/>
        <w:ind w:right="-2"/>
        <w:rPr>
          <w:szCs w:val="22"/>
        </w:rPr>
      </w:pPr>
    </w:p>
    <w:p w14:paraId="664104B5" w14:textId="77777777" w:rsidR="00800BE5" w:rsidRPr="00183B5F" w:rsidRDefault="00943743" w:rsidP="00800BE5">
      <w:pPr>
        <w:spacing w:line="240" w:lineRule="auto"/>
        <w:ind w:right="-2"/>
        <w:rPr>
          <w:szCs w:val="22"/>
        </w:rPr>
      </w:pPr>
      <w:r w:rsidRPr="00183B5F">
        <w:rPr>
          <w:szCs w:val="22"/>
        </w:rPr>
        <w:t>A Humira alkalmazható közepesen súlyos - súlyos felnőttkori reumatoid arthritisz kezelésére. Ön először egyéb betegséget módosító gyógyszereket (</w:t>
      </w:r>
      <w:r w:rsidR="00E05701" w:rsidRPr="00183B5F">
        <w:rPr>
          <w:bCs/>
          <w:szCs w:val="22"/>
        </w:rPr>
        <w:t>például</w:t>
      </w:r>
      <w:r w:rsidR="00E05701" w:rsidRPr="00183B5F">
        <w:rPr>
          <w:szCs w:val="22"/>
        </w:rPr>
        <w:t xml:space="preserve"> </w:t>
      </w:r>
      <w:r w:rsidRPr="00183B5F">
        <w:rPr>
          <w:szCs w:val="22"/>
        </w:rPr>
        <w:t>metotrexátot) kaphat. Ha Ön nem reagál kellőképpen ezekre a gyógyszerekre, akkor Humira</w:t>
      </w:r>
      <w:r w:rsidRPr="00183B5F">
        <w:rPr>
          <w:szCs w:val="22"/>
        </w:rPr>
        <w:noBreakHyphen/>
        <w:t>t fog kapni.</w:t>
      </w:r>
    </w:p>
    <w:p w14:paraId="675E8B1D" w14:textId="77777777" w:rsidR="00800BE5" w:rsidRPr="00183B5F" w:rsidRDefault="00800BE5" w:rsidP="00800BE5">
      <w:pPr>
        <w:spacing w:line="240" w:lineRule="auto"/>
        <w:ind w:right="-2"/>
        <w:rPr>
          <w:szCs w:val="22"/>
        </w:rPr>
      </w:pPr>
    </w:p>
    <w:p w14:paraId="310BBEF0" w14:textId="77777777" w:rsidR="00800BE5" w:rsidRPr="00183B5F" w:rsidRDefault="00943743" w:rsidP="00800BE5">
      <w:pPr>
        <w:spacing w:line="240" w:lineRule="auto"/>
        <w:ind w:right="-2"/>
        <w:rPr>
          <w:szCs w:val="22"/>
        </w:rPr>
      </w:pPr>
      <w:r w:rsidRPr="00183B5F">
        <w:rPr>
          <w:szCs w:val="22"/>
        </w:rPr>
        <w:t xml:space="preserve">A Humira-t használni lehet súlyos, aktív és súlyosbodó reumatoid artritiszben előzetes </w:t>
      </w:r>
      <w:r w:rsidR="001A6E66" w:rsidRPr="00183B5F">
        <w:rPr>
          <w:szCs w:val="22"/>
        </w:rPr>
        <w:t>metotrexát-keze</w:t>
      </w:r>
      <w:r w:rsidRPr="00183B5F">
        <w:rPr>
          <w:szCs w:val="22"/>
        </w:rPr>
        <w:t>lés nélkül is.</w:t>
      </w:r>
    </w:p>
    <w:p w14:paraId="2AA8CA24" w14:textId="77777777" w:rsidR="00800BE5" w:rsidRPr="00183B5F" w:rsidRDefault="00800BE5" w:rsidP="00800BE5">
      <w:pPr>
        <w:spacing w:line="240" w:lineRule="auto"/>
        <w:ind w:right="-2"/>
        <w:rPr>
          <w:szCs w:val="22"/>
        </w:rPr>
      </w:pPr>
    </w:p>
    <w:p w14:paraId="285F8F76" w14:textId="77777777" w:rsidR="00800BE5" w:rsidRPr="00183B5F" w:rsidRDefault="00943743" w:rsidP="00800BE5">
      <w:pPr>
        <w:spacing w:line="240" w:lineRule="auto"/>
        <w:ind w:right="-2"/>
        <w:rPr>
          <w:szCs w:val="22"/>
        </w:rPr>
      </w:pPr>
      <w:r w:rsidRPr="00183B5F">
        <w:rPr>
          <w:szCs w:val="22"/>
        </w:rPr>
        <w:t>A Humira lelassítja a gyulladásos betegség okozta ízületi károsodást és segíti a szabadabb mozgást.</w:t>
      </w:r>
    </w:p>
    <w:p w14:paraId="750F672C" w14:textId="77777777" w:rsidR="00800BE5" w:rsidRPr="00183B5F" w:rsidRDefault="00800BE5" w:rsidP="00800BE5">
      <w:pPr>
        <w:spacing w:line="240" w:lineRule="auto"/>
        <w:ind w:right="-2"/>
        <w:rPr>
          <w:szCs w:val="22"/>
        </w:rPr>
      </w:pPr>
    </w:p>
    <w:p w14:paraId="6AF603DC" w14:textId="77777777" w:rsidR="00800BE5" w:rsidRPr="00183B5F" w:rsidRDefault="00943743" w:rsidP="004062FE">
      <w:pPr>
        <w:spacing w:line="240" w:lineRule="auto"/>
        <w:ind w:right="-2"/>
        <w:rPr>
          <w:szCs w:val="22"/>
        </w:rPr>
      </w:pPr>
      <w:r w:rsidRPr="00183B5F">
        <w:rPr>
          <w:szCs w:val="22"/>
        </w:rPr>
        <w:t>Az Ön kezelőorvosa fogja eldönteni, hogy a Humira-t metotrexáttal együtt, vagy önmagában alkalmazza.</w:t>
      </w:r>
    </w:p>
    <w:p w14:paraId="7AFEF8F1" w14:textId="77777777" w:rsidR="009448B7" w:rsidRPr="00183B5F" w:rsidRDefault="009448B7" w:rsidP="004062FE">
      <w:pPr>
        <w:spacing w:line="240" w:lineRule="auto"/>
        <w:ind w:right="-2"/>
        <w:rPr>
          <w:szCs w:val="22"/>
          <w:u w:val="single"/>
        </w:rPr>
      </w:pPr>
    </w:p>
    <w:p w14:paraId="22A136A8" w14:textId="77777777" w:rsidR="009448B7" w:rsidRPr="00183B5F" w:rsidRDefault="00943743" w:rsidP="004062FE">
      <w:pPr>
        <w:pStyle w:val="DefaultText"/>
        <w:keepNext/>
        <w:rPr>
          <w:rFonts w:ascii="Times New Roman" w:hAnsi="Times New Roman"/>
          <w:szCs w:val="22"/>
          <w:u w:val="single"/>
          <w:lang w:val="hu-HU"/>
        </w:rPr>
      </w:pPr>
      <w:r w:rsidRPr="00183B5F">
        <w:rPr>
          <w:rFonts w:ascii="Times New Roman" w:hAnsi="Times New Roman"/>
          <w:b/>
          <w:szCs w:val="22"/>
          <w:lang w:val="hu-HU"/>
        </w:rPr>
        <w:t>Pikkelysömör (pszoriázis)</w:t>
      </w:r>
    </w:p>
    <w:p w14:paraId="1DBA7D50" w14:textId="77777777" w:rsidR="009448B7" w:rsidRPr="00183B5F" w:rsidRDefault="009448B7" w:rsidP="004062FE">
      <w:pPr>
        <w:pStyle w:val="DefaultText"/>
        <w:keepNext/>
        <w:rPr>
          <w:rFonts w:ascii="Times New Roman" w:hAnsi="Times New Roman"/>
          <w:szCs w:val="22"/>
          <w:u w:val="single"/>
          <w:lang w:val="hu-HU"/>
        </w:rPr>
      </w:pPr>
    </w:p>
    <w:p w14:paraId="166614F8" w14:textId="77777777" w:rsidR="009448B7" w:rsidRPr="00183B5F" w:rsidRDefault="00943743" w:rsidP="004062FE">
      <w:pPr>
        <w:pStyle w:val="DefaultText"/>
        <w:keepNext/>
        <w:rPr>
          <w:rFonts w:ascii="Times New Roman" w:hAnsi="Times New Roman"/>
          <w:szCs w:val="22"/>
          <w:lang w:val="hu-HU"/>
        </w:rPr>
      </w:pPr>
      <w:r w:rsidRPr="00183B5F">
        <w:rPr>
          <w:rFonts w:ascii="Times New Roman" w:hAnsi="Times New Roman"/>
          <w:szCs w:val="22"/>
          <w:lang w:val="hu-HU"/>
        </w:rPr>
        <w:t xml:space="preserve">A plakkos </w:t>
      </w:r>
      <w:r w:rsidRPr="00183B5F">
        <w:rPr>
          <w:rFonts w:ascii="Times New Roman" w:hAnsi="Times New Roman"/>
          <w:bCs w:val="0"/>
          <w:szCs w:val="22"/>
          <w:lang w:val="hu-HU"/>
        </w:rPr>
        <w:t>pszoriázis</w:t>
      </w:r>
      <w:r w:rsidRPr="00183B5F">
        <w:rPr>
          <w:bCs w:val="0"/>
          <w:szCs w:val="22"/>
          <w:lang w:val="hu-HU"/>
        </w:rPr>
        <w:t xml:space="preserve"> </w:t>
      </w:r>
      <w:r w:rsidRPr="00183B5F">
        <w:rPr>
          <w:rFonts w:ascii="Times New Roman" w:hAnsi="Times New Roman"/>
          <w:szCs w:val="22"/>
          <w:lang w:val="hu-HU"/>
        </w:rPr>
        <w:t>egy bőrbetegség, ami ezüstös pikkelyekkel borított piros, hámló, kérges foltokat okoz a bőrön. A plakkos pszoriázis a körmöket is érintheti, a köröm töredezését, megvastagodását, a körömágytól való elválását okozva, ami fájdalmas lehet.</w:t>
      </w:r>
    </w:p>
    <w:p w14:paraId="653F3CB1" w14:textId="77777777" w:rsidR="009448B7" w:rsidRPr="00183B5F" w:rsidRDefault="009448B7">
      <w:pPr>
        <w:pStyle w:val="DefaultText"/>
        <w:rPr>
          <w:rFonts w:ascii="Times New Roman" w:hAnsi="Times New Roman"/>
          <w:szCs w:val="22"/>
          <w:u w:val="single"/>
          <w:lang w:val="hu-HU"/>
        </w:rPr>
      </w:pPr>
    </w:p>
    <w:p w14:paraId="460840E5" w14:textId="77777777" w:rsidR="009448B7" w:rsidRPr="00183B5F" w:rsidRDefault="00943743" w:rsidP="004062FE">
      <w:pPr>
        <w:spacing w:line="240" w:lineRule="auto"/>
        <w:ind w:right="-2"/>
        <w:rPr>
          <w:szCs w:val="22"/>
        </w:rPr>
      </w:pPr>
      <w:r w:rsidRPr="00183B5F">
        <w:rPr>
          <w:szCs w:val="22"/>
        </w:rPr>
        <w:t>A Humira alkalmazható</w:t>
      </w:r>
      <w:r w:rsidR="000D6F55" w:rsidRPr="00183B5F">
        <w:rPr>
          <w:szCs w:val="22"/>
        </w:rPr>
        <w:t xml:space="preserve"> </w:t>
      </w:r>
      <w:r w:rsidRPr="00183B5F">
        <w:rPr>
          <w:szCs w:val="22"/>
        </w:rPr>
        <w:t>a közepesen súlyos - súlyos, idült felnőttkori pszoriázis</w:t>
      </w:r>
      <w:r w:rsidR="002E55DE" w:rsidRPr="00183B5F">
        <w:rPr>
          <w:szCs w:val="22"/>
        </w:rPr>
        <w:t xml:space="preserve"> kezelésére</w:t>
      </w:r>
      <w:r w:rsidRPr="00183B5F">
        <w:rPr>
          <w:bCs/>
          <w:szCs w:val="22"/>
        </w:rPr>
        <w:t>.</w:t>
      </w:r>
    </w:p>
    <w:p w14:paraId="45AE6EED" w14:textId="77777777" w:rsidR="009448B7" w:rsidRPr="00183B5F" w:rsidRDefault="009448B7" w:rsidP="004062FE">
      <w:pPr>
        <w:spacing w:line="240" w:lineRule="auto"/>
        <w:ind w:right="-2"/>
        <w:rPr>
          <w:bCs/>
          <w:szCs w:val="22"/>
          <w:u w:val="single"/>
        </w:rPr>
      </w:pPr>
    </w:p>
    <w:p w14:paraId="4FE25CDA" w14:textId="77777777" w:rsidR="009448B7" w:rsidRPr="00183B5F" w:rsidRDefault="00943743" w:rsidP="004062FE">
      <w:pPr>
        <w:keepNext/>
        <w:spacing w:line="240" w:lineRule="auto"/>
        <w:rPr>
          <w:b/>
          <w:bCs/>
          <w:szCs w:val="22"/>
        </w:rPr>
      </w:pPr>
      <w:r w:rsidRPr="00183B5F">
        <w:rPr>
          <w:b/>
          <w:szCs w:val="22"/>
        </w:rPr>
        <w:t>Hidradenitisz szuppuratíva</w:t>
      </w:r>
    </w:p>
    <w:p w14:paraId="3A110078" w14:textId="77777777" w:rsidR="009448B7" w:rsidRPr="00183B5F" w:rsidRDefault="009448B7" w:rsidP="004062FE">
      <w:pPr>
        <w:keepNext/>
        <w:spacing w:line="240" w:lineRule="auto"/>
        <w:rPr>
          <w:bCs/>
          <w:szCs w:val="22"/>
          <w:u w:val="single"/>
        </w:rPr>
      </w:pPr>
    </w:p>
    <w:p w14:paraId="394BDD4D" w14:textId="77777777" w:rsidR="009448B7" w:rsidRPr="00183B5F" w:rsidRDefault="00943743" w:rsidP="004062FE">
      <w:pPr>
        <w:spacing w:line="240" w:lineRule="auto"/>
        <w:ind w:right="-2"/>
        <w:rPr>
          <w:bCs/>
          <w:szCs w:val="22"/>
        </w:rPr>
      </w:pPr>
      <w:r w:rsidRPr="00183B5F">
        <w:rPr>
          <w:bCs/>
          <w:szCs w:val="22"/>
        </w:rPr>
        <w:t xml:space="preserve">A </w:t>
      </w:r>
      <w:r w:rsidRPr="00183B5F">
        <w:rPr>
          <w:szCs w:val="22"/>
        </w:rPr>
        <w:t>hidradenitisz szuppuratíva</w:t>
      </w:r>
      <w:r w:rsidRPr="00183B5F">
        <w:rPr>
          <w:bCs/>
          <w:szCs w:val="22"/>
        </w:rPr>
        <w:t xml:space="preserve"> (más néven inverz akne) egy krónikus és gyakran fájdalmas, gyulladásos bőrbetegség. A tünetek közé tartozhatnak a bőr alatti gócok (csomók) és tályogok (kelések), melyekből genny szivároghat. Ez leggyakrabban a bőr bizonyos területein jelenik meg, p</w:t>
      </w:r>
      <w:r w:rsidR="00E05701" w:rsidRPr="00183B5F">
        <w:rPr>
          <w:bCs/>
          <w:szCs w:val="22"/>
        </w:rPr>
        <w:t>é</w:t>
      </w:r>
      <w:r w:rsidRPr="00183B5F">
        <w:rPr>
          <w:bCs/>
          <w:szCs w:val="22"/>
        </w:rPr>
        <w:t>l</w:t>
      </w:r>
      <w:r w:rsidR="00E05701" w:rsidRPr="00183B5F">
        <w:rPr>
          <w:bCs/>
          <w:szCs w:val="22"/>
        </w:rPr>
        <w:t>dául</w:t>
      </w:r>
      <w:r w:rsidRPr="00183B5F">
        <w:rPr>
          <w:bCs/>
          <w:szCs w:val="22"/>
        </w:rPr>
        <w:t> a mellek alatt, hónaljban, a combok belső felszínén, lágyékon és fenéken. Hegesedés is előfordulhat az érintett területeken.</w:t>
      </w:r>
    </w:p>
    <w:p w14:paraId="2E75A76B" w14:textId="77777777" w:rsidR="009448B7" w:rsidRPr="00183B5F" w:rsidRDefault="009448B7" w:rsidP="004062FE">
      <w:pPr>
        <w:spacing w:line="240" w:lineRule="auto"/>
        <w:ind w:right="-2"/>
        <w:rPr>
          <w:bCs/>
          <w:szCs w:val="22"/>
        </w:rPr>
      </w:pPr>
    </w:p>
    <w:p w14:paraId="72A4828B" w14:textId="77777777" w:rsidR="009448B7" w:rsidRPr="00183B5F" w:rsidRDefault="00943743" w:rsidP="004062FE">
      <w:pPr>
        <w:spacing w:line="240" w:lineRule="auto"/>
        <w:ind w:right="-2"/>
        <w:rPr>
          <w:bCs/>
          <w:szCs w:val="22"/>
        </w:rPr>
      </w:pPr>
      <w:r w:rsidRPr="00183B5F">
        <w:rPr>
          <w:bCs/>
          <w:szCs w:val="22"/>
        </w:rPr>
        <w:t>A Humira alkalmazható</w:t>
      </w:r>
    </w:p>
    <w:p w14:paraId="2C31040F" w14:textId="77777777" w:rsidR="009448B7" w:rsidRPr="00183B5F" w:rsidRDefault="00943743" w:rsidP="004062FE">
      <w:pPr>
        <w:pStyle w:val="ListParagraph"/>
        <w:numPr>
          <w:ilvl w:val="0"/>
          <w:numId w:val="131"/>
        </w:numPr>
        <w:spacing w:line="240" w:lineRule="auto"/>
        <w:ind w:right="-2"/>
        <w:rPr>
          <w:bCs/>
          <w:szCs w:val="22"/>
        </w:rPr>
      </w:pPr>
      <w:r w:rsidRPr="00183B5F">
        <w:rPr>
          <w:bCs/>
          <w:szCs w:val="22"/>
        </w:rPr>
        <w:t>közepesen súlyos – súlyos hidradenitisz szuppuratívában szenvedő felnőttek és</w:t>
      </w:r>
    </w:p>
    <w:p w14:paraId="6F758D23" w14:textId="77777777" w:rsidR="009448B7" w:rsidRPr="00183B5F" w:rsidRDefault="00943743" w:rsidP="004062FE">
      <w:pPr>
        <w:pStyle w:val="ListParagraph"/>
        <w:numPr>
          <w:ilvl w:val="0"/>
          <w:numId w:val="131"/>
        </w:numPr>
        <w:spacing w:line="240" w:lineRule="auto"/>
        <w:ind w:right="-2"/>
        <w:rPr>
          <w:bCs/>
          <w:szCs w:val="22"/>
        </w:rPr>
      </w:pPr>
      <w:r w:rsidRPr="00183B5F">
        <w:rPr>
          <w:bCs/>
          <w:szCs w:val="22"/>
        </w:rPr>
        <w:t>közepesen súlyos – súlyos hidradenitisz szuppuratívában szenvedő</w:t>
      </w:r>
      <w:r w:rsidR="002E55DE" w:rsidRPr="00183B5F">
        <w:rPr>
          <w:bCs/>
          <w:szCs w:val="22"/>
        </w:rPr>
        <w:t>,</w:t>
      </w:r>
      <w:r w:rsidRPr="00183B5F">
        <w:rPr>
          <w:bCs/>
          <w:szCs w:val="22"/>
        </w:rPr>
        <w:t xml:space="preserve"> </w:t>
      </w:r>
      <w:r w:rsidR="002E55DE" w:rsidRPr="00183B5F">
        <w:rPr>
          <w:bCs/>
          <w:szCs w:val="22"/>
        </w:rPr>
        <w:t xml:space="preserve">12-17 éves korú </w:t>
      </w:r>
      <w:r w:rsidRPr="00183B5F">
        <w:rPr>
          <w:bCs/>
          <w:szCs w:val="22"/>
        </w:rPr>
        <w:t>serdülők kezelésére.</w:t>
      </w:r>
    </w:p>
    <w:p w14:paraId="0BB461D1" w14:textId="77777777" w:rsidR="009448B7" w:rsidRPr="00183B5F" w:rsidRDefault="009448B7" w:rsidP="004062FE">
      <w:pPr>
        <w:spacing w:line="240" w:lineRule="auto"/>
        <w:ind w:right="-2"/>
        <w:rPr>
          <w:bCs/>
          <w:szCs w:val="22"/>
        </w:rPr>
      </w:pPr>
    </w:p>
    <w:p w14:paraId="22194A32" w14:textId="77777777" w:rsidR="009448B7" w:rsidRPr="00183B5F" w:rsidRDefault="00943743" w:rsidP="004062FE">
      <w:pPr>
        <w:spacing w:line="240" w:lineRule="auto"/>
        <w:ind w:right="-2"/>
        <w:rPr>
          <w:bCs/>
          <w:szCs w:val="22"/>
        </w:rPr>
      </w:pPr>
      <w:r w:rsidRPr="00183B5F">
        <w:rPr>
          <w:bCs/>
          <w:szCs w:val="22"/>
        </w:rPr>
        <w:t>A Humira csökkenti a betegség okozta csomók és tályogok számát és a fájdalmat, mely gyakran jár együtt a betegséggel.</w:t>
      </w:r>
      <w:r w:rsidRPr="00183B5F">
        <w:rPr>
          <w:szCs w:val="22"/>
        </w:rPr>
        <w:t xml:space="preserve"> Ön először egyéb gyógyszereket kaphat. Ha nem reagál megfelelő módon ezekre a gyógyszerekre, akkor Humira</w:t>
      </w:r>
      <w:r w:rsidRPr="00183B5F">
        <w:rPr>
          <w:szCs w:val="22"/>
        </w:rPr>
        <w:noBreakHyphen/>
        <w:t>t fog kapni.</w:t>
      </w:r>
    </w:p>
    <w:p w14:paraId="3F402DA4" w14:textId="77777777" w:rsidR="009448B7" w:rsidRPr="00183B5F" w:rsidRDefault="009448B7">
      <w:pPr>
        <w:suppressAutoHyphens w:val="0"/>
        <w:autoSpaceDE w:val="0"/>
        <w:autoSpaceDN w:val="0"/>
        <w:adjustRightInd w:val="0"/>
        <w:spacing w:line="240" w:lineRule="auto"/>
        <w:rPr>
          <w:bCs/>
          <w:szCs w:val="22"/>
        </w:rPr>
      </w:pPr>
    </w:p>
    <w:p w14:paraId="1C23BF60" w14:textId="77777777" w:rsidR="009448B7" w:rsidRPr="00183B5F" w:rsidRDefault="00943743" w:rsidP="004062FE">
      <w:pPr>
        <w:keepNext/>
        <w:spacing w:line="240" w:lineRule="auto"/>
        <w:rPr>
          <w:szCs w:val="22"/>
        </w:rPr>
      </w:pPr>
      <w:r w:rsidRPr="00183B5F">
        <w:rPr>
          <w:b/>
          <w:szCs w:val="22"/>
        </w:rPr>
        <w:t>Crohn</w:t>
      </w:r>
      <w:r w:rsidRPr="00183B5F">
        <w:rPr>
          <w:b/>
          <w:szCs w:val="22"/>
        </w:rPr>
        <w:noBreakHyphen/>
        <w:t>betegség</w:t>
      </w:r>
      <w:r w:rsidRPr="00183B5F">
        <w:rPr>
          <w:szCs w:val="22"/>
        </w:rPr>
        <w:t xml:space="preserve"> </w:t>
      </w:r>
    </w:p>
    <w:p w14:paraId="227194B4" w14:textId="77777777" w:rsidR="009448B7" w:rsidRPr="00183B5F" w:rsidRDefault="009448B7" w:rsidP="004062FE">
      <w:pPr>
        <w:keepNext/>
        <w:spacing w:line="240" w:lineRule="auto"/>
        <w:rPr>
          <w:szCs w:val="22"/>
        </w:rPr>
      </w:pPr>
    </w:p>
    <w:p w14:paraId="7A627429" w14:textId="77777777" w:rsidR="009448B7" w:rsidRPr="00183B5F" w:rsidRDefault="00943743" w:rsidP="004062FE">
      <w:pPr>
        <w:keepNext/>
        <w:spacing w:line="240" w:lineRule="auto"/>
        <w:rPr>
          <w:szCs w:val="22"/>
        </w:rPr>
      </w:pPr>
      <w:r w:rsidRPr="00183B5F">
        <w:rPr>
          <w:szCs w:val="22"/>
        </w:rPr>
        <w:t>A Crohn</w:t>
      </w:r>
      <w:r w:rsidRPr="00183B5F">
        <w:rPr>
          <w:szCs w:val="22"/>
        </w:rPr>
        <w:noBreakHyphen/>
        <w:t>betegség az emésztőcsatorna gyulladásos kórfolyamata.</w:t>
      </w:r>
    </w:p>
    <w:p w14:paraId="2E0F40A2" w14:textId="77777777" w:rsidR="009448B7" w:rsidRPr="00183B5F" w:rsidRDefault="009448B7" w:rsidP="004062FE">
      <w:pPr>
        <w:spacing w:line="240" w:lineRule="auto"/>
        <w:rPr>
          <w:szCs w:val="22"/>
        </w:rPr>
      </w:pPr>
    </w:p>
    <w:p w14:paraId="1A2F4485" w14:textId="77777777" w:rsidR="009448B7" w:rsidRPr="00183B5F" w:rsidRDefault="00943743" w:rsidP="004062FE">
      <w:pPr>
        <w:spacing w:line="240" w:lineRule="auto"/>
        <w:rPr>
          <w:bCs/>
          <w:szCs w:val="22"/>
        </w:rPr>
      </w:pPr>
      <w:r w:rsidRPr="00183B5F">
        <w:rPr>
          <w:bCs/>
          <w:szCs w:val="22"/>
        </w:rPr>
        <w:t xml:space="preserve">A Humira alkalmazható </w:t>
      </w:r>
    </w:p>
    <w:p w14:paraId="2264689A" w14:textId="77777777" w:rsidR="009448B7" w:rsidRPr="00183B5F" w:rsidRDefault="00943743" w:rsidP="004062FE">
      <w:pPr>
        <w:numPr>
          <w:ilvl w:val="0"/>
          <w:numId w:val="117"/>
        </w:numPr>
        <w:tabs>
          <w:tab w:val="left" w:pos="709"/>
        </w:tabs>
        <w:spacing w:line="240" w:lineRule="auto"/>
        <w:rPr>
          <w:szCs w:val="22"/>
        </w:rPr>
      </w:pPr>
      <w:r w:rsidRPr="00183B5F">
        <w:rPr>
          <w:bCs/>
          <w:szCs w:val="22"/>
        </w:rPr>
        <w:t>Crohn</w:t>
      </w:r>
      <w:r w:rsidRPr="00183B5F">
        <w:rPr>
          <w:bCs/>
          <w:szCs w:val="22"/>
        </w:rPr>
        <w:noBreakHyphen/>
      </w:r>
      <w:r w:rsidRPr="00183B5F">
        <w:rPr>
          <w:bCs/>
          <w:szCs w:val="22"/>
        </w:rPr>
        <w:t xml:space="preserve">betegségben szenvedő felnőttek és </w:t>
      </w:r>
    </w:p>
    <w:p w14:paraId="010D9DF6" w14:textId="77777777" w:rsidR="009448B7" w:rsidRPr="00183B5F" w:rsidRDefault="00943743" w:rsidP="004062FE">
      <w:pPr>
        <w:numPr>
          <w:ilvl w:val="0"/>
          <w:numId w:val="117"/>
        </w:numPr>
        <w:tabs>
          <w:tab w:val="left" w:pos="709"/>
        </w:tabs>
        <w:spacing w:line="240" w:lineRule="auto"/>
        <w:rPr>
          <w:szCs w:val="22"/>
        </w:rPr>
      </w:pPr>
      <w:r w:rsidRPr="00183B5F">
        <w:rPr>
          <w:bCs/>
          <w:szCs w:val="22"/>
        </w:rPr>
        <w:t>Crohn</w:t>
      </w:r>
      <w:r w:rsidRPr="00183B5F">
        <w:rPr>
          <w:bCs/>
          <w:szCs w:val="22"/>
        </w:rPr>
        <w:noBreakHyphen/>
        <w:t>betegségben szenvedő, 6-17 éves korú gyermekek és serdülők kezelésére.</w:t>
      </w:r>
    </w:p>
    <w:p w14:paraId="02719AD2" w14:textId="77777777" w:rsidR="009448B7" w:rsidRPr="00183B5F" w:rsidRDefault="009448B7" w:rsidP="004062FE">
      <w:pPr>
        <w:spacing w:line="240" w:lineRule="auto"/>
        <w:ind w:left="720"/>
        <w:rPr>
          <w:szCs w:val="22"/>
        </w:rPr>
      </w:pPr>
    </w:p>
    <w:p w14:paraId="5B4D2376" w14:textId="77777777" w:rsidR="009448B7" w:rsidRPr="00183B5F" w:rsidRDefault="00943743" w:rsidP="004062FE">
      <w:pPr>
        <w:spacing w:line="240" w:lineRule="auto"/>
        <w:rPr>
          <w:szCs w:val="22"/>
        </w:rPr>
      </w:pPr>
      <w:r w:rsidRPr="00183B5F">
        <w:rPr>
          <w:szCs w:val="22"/>
        </w:rPr>
        <w:t>Ön először egyéb gyógyszereket kaphat. Ha ezekre a gyógyszerekre nem reagál megfelelően, akkor Humira</w:t>
      </w:r>
      <w:r w:rsidRPr="00183B5F">
        <w:rPr>
          <w:szCs w:val="22"/>
        </w:rPr>
        <w:noBreakHyphen/>
        <w:t>t fog kapni.</w:t>
      </w:r>
    </w:p>
    <w:p w14:paraId="39563B8C" w14:textId="77777777" w:rsidR="009448B7" w:rsidRPr="00183B5F" w:rsidRDefault="009448B7" w:rsidP="004062FE">
      <w:pPr>
        <w:spacing w:line="240" w:lineRule="auto"/>
        <w:ind w:right="-2"/>
        <w:rPr>
          <w:szCs w:val="22"/>
        </w:rPr>
      </w:pPr>
    </w:p>
    <w:p w14:paraId="3C3734A3" w14:textId="77777777" w:rsidR="009448B7" w:rsidRPr="00183B5F" w:rsidRDefault="00943743" w:rsidP="004062FE">
      <w:pPr>
        <w:keepNext/>
        <w:suppressAutoHyphens w:val="0"/>
        <w:autoSpaceDE w:val="0"/>
        <w:autoSpaceDN w:val="0"/>
        <w:adjustRightInd w:val="0"/>
        <w:spacing w:line="240" w:lineRule="auto"/>
        <w:rPr>
          <w:b/>
          <w:szCs w:val="22"/>
        </w:rPr>
      </w:pPr>
      <w:r w:rsidRPr="00183B5F">
        <w:rPr>
          <w:b/>
          <w:szCs w:val="22"/>
        </w:rPr>
        <w:t>Kolitisz ulceróza</w:t>
      </w:r>
    </w:p>
    <w:p w14:paraId="2CEB35B2" w14:textId="77777777" w:rsidR="009448B7" w:rsidRPr="00183B5F" w:rsidRDefault="009448B7" w:rsidP="004062FE">
      <w:pPr>
        <w:keepNext/>
        <w:suppressAutoHyphens w:val="0"/>
        <w:autoSpaceDE w:val="0"/>
        <w:autoSpaceDN w:val="0"/>
        <w:adjustRightInd w:val="0"/>
        <w:spacing w:line="240" w:lineRule="auto"/>
        <w:rPr>
          <w:szCs w:val="22"/>
          <w:u w:val="single"/>
        </w:rPr>
      </w:pPr>
    </w:p>
    <w:p w14:paraId="5677B764" w14:textId="77777777" w:rsidR="009448B7" w:rsidRPr="00183B5F" w:rsidRDefault="00943743" w:rsidP="004062FE">
      <w:pPr>
        <w:keepNext/>
        <w:suppressAutoHyphens w:val="0"/>
        <w:autoSpaceDE w:val="0"/>
        <w:autoSpaceDN w:val="0"/>
        <w:adjustRightInd w:val="0"/>
        <w:spacing w:line="240" w:lineRule="auto"/>
        <w:rPr>
          <w:szCs w:val="22"/>
        </w:rPr>
      </w:pPr>
      <w:r w:rsidRPr="00183B5F">
        <w:rPr>
          <w:szCs w:val="22"/>
        </w:rPr>
        <w:t>A kolitisz ulceróza a vastagbél gyulladásos betegsége.</w:t>
      </w:r>
    </w:p>
    <w:p w14:paraId="49C36D57" w14:textId="77777777" w:rsidR="009448B7" w:rsidRPr="00183B5F" w:rsidRDefault="009448B7" w:rsidP="004062FE">
      <w:pPr>
        <w:suppressAutoHyphens w:val="0"/>
        <w:autoSpaceDE w:val="0"/>
        <w:autoSpaceDN w:val="0"/>
        <w:adjustRightInd w:val="0"/>
        <w:spacing w:line="240" w:lineRule="auto"/>
        <w:rPr>
          <w:szCs w:val="22"/>
          <w:u w:val="single"/>
        </w:rPr>
      </w:pPr>
    </w:p>
    <w:p w14:paraId="69467FAA" w14:textId="77777777" w:rsidR="00A40367" w:rsidRPr="00183B5F" w:rsidRDefault="00943743" w:rsidP="00A40367">
      <w:pPr>
        <w:keepNext/>
        <w:suppressAutoHyphens w:val="0"/>
        <w:autoSpaceDE w:val="0"/>
        <w:autoSpaceDN w:val="0"/>
        <w:adjustRightInd w:val="0"/>
        <w:spacing w:line="240" w:lineRule="auto"/>
        <w:rPr>
          <w:bCs/>
          <w:szCs w:val="22"/>
        </w:rPr>
      </w:pPr>
      <w:r w:rsidRPr="00183B5F">
        <w:rPr>
          <w:bCs/>
          <w:szCs w:val="22"/>
        </w:rPr>
        <w:t>A Humira alkalmazható</w:t>
      </w:r>
    </w:p>
    <w:p w14:paraId="509C8D86" w14:textId="77777777" w:rsidR="00A40367" w:rsidRPr="00183B5F" w:rsidRDefault="00943743" w:rsidP="00A40367">
      <w:pPr>
        <w:pStyle w:val="ListParagraph"/>
        <w:keepNext/>
        <w:numPr>
          <w:ilvl w:val="0"/>
          <w:numId w:val="234"/>
        </w:numPr>
        <w:suppressAutoHyphens w:val="0"/>
        <w:autoSpaceDE w:val="0"/>
        <w:autoSpaceDN w:val="0"/>
        <w:adjustRightInd w:val="0"/>
        <w:spacing w:line="240" w:lineRule="auto"/>
        <w:rPr>
          <w:szCs w:val="22"/>
        </w:rPr>
      </w:pPr>
      <w:r w:rsidRPr="00183B5F">
        <w:rPr>
          <w:bCs/>
          <w:szCs w:val="22"/>
        </w:rPr>
        <w:t>közepesen súlyos</w:t>
      </w:r>
      <w:r w:rsidRPr="00183B5F">
        <w:rPr>
          <w:bCs/>
          <w:szCs w:val="22"/>
        </w:rPr>
        <w:noBreakHyphen/>
        <w:t>súlyos felnőttkori kolitisz ulceróza kezelésére</w:t>
      </w:r>
      <w:r w:rsidR="00A712C6" w:rsidRPr="00183B5F">
        <w:rPr>
          <w:bCs/>
          <w:szCs w:val="22"/>
        </w:rPr>
        <w:t xml:space="preserve"> és</w:t>
      </w:r>
    </w:p>
    <w:p w14:paraId="20EE35AF" w14:textId="77777777" w:rsidR="00A40367" w:rsidRPr="00183B5F" w:rsidRDefault="00943743" w:rsidP="00A40367">
      <w:pPr>
        <w:pStyle w:val="ListParagraph"/>
        <w:keepNext/>
        <w:numPr>
          <w:ilvl w:val="0"/>
          <w:numId w:val="234"/>
        </w:numPr>
        <w:suppressAutoHyphens w:val="0"/>
        <w:autoSpaceDE w:val="0"/>
        <w:autoSpaceDN w:val="0"/>
        <w:adjustRightInd w:val="0"/>
        <w:spacing w:line="240" w:lineRule="auto"/>
        <w:rPr>
          <w:bCs/>
          <w:szCs w:val="22"/>
        </w:rPr>
      </w:pPr>
      <w:r w:rsidRPr="00183B5F">
        <w:rPr>
          <w:bCs/>
        </w:rPr>
        <w:t>közepesen súlyos</w:t>
      </w:r>
      <w:r w:rsidRPr="00183B5F">
        <w:rPr>
          <w:bCs/>
        </w:rPr>
        <w:noBreakHyphen/>
      </w:r>
      <w:r w:rsidRPr="00183B5F">
        <w:rPr>
          <w:bCs/>
        </w:rPr>
        <w:t>súlyos kolitisz ulceróza kezelésére 6 és 17 éves kor közötti gyermekeknél és serdülőknél</w:t>
      </w:r>
      <w:r w:rsidRPr="00183B5F">
        <w:rPr>
          <w:bCs/>
          <w:szCs w:val="22"/>
        </w:rPr>
        <w:t>.</w:t>
      </w:r>
    </w:p>
    <w:p w14:paraId="6D8E328B" w14:textId="77777777" w:rsidR="00A40367" w:rsidRPr="00183B5F" w:rsidRDefault="00A40367" w:rsidP="004062FE">
      <w:pPr>
        <w:spacing w:line="240" w:lineRule="auto"/>
        <w:ind w:right="-2"/>
        <w:rPr>
          <w:bCs/>
          <w:szCs w:val="22"/>
        </w:rPr>
      </w:pPr>
    </w:p>
    <w:p w14:paraId="0335F2A4" w14:textId="77777777" w:rsidR="009448B7" w:rsidRPr="00183B5F" w:rsidRDefault="00943743" w:rsidP="004062FE">
      <w:pPr>
        <w:spacing w:line="240" w:lineRule="auto"/>
        <w:ind w:right="-2"/>
        <w:rPr>
          <w:bCs/>
          <w:szCs w:val="22"/>
        </w:rPr>
      </w:pPr>
      <w:r w:rsidRPr="00183B5F">
        <w:rPr>
          <w:szCs w:val="22"/>
        </w:rPr>
        <w:t>Ön először egyéb gyógyszereket kaphat. Ha nem reagál kellőképpen ezekre a gyógyszerekre, akkor Humira</w:t>
      </w:r>
      <w:r w:rsidRPr="00183B5F">
        <w:rPr>
          <w:szCs w:val="22"/>
        </w:rPr>
        <w:noBreakHyphen/>
        <w:t>t fog kapni.</w:t>
      </w:r>
    </w:p>
    <w:p w14:paraId="47AA1FAC" w14:textId="77777777" w:rsidR="009448B7" w:rsidRPr="00183B5F" w:rsidRDefault="009448B7" w:rsidP="004062FE">
      <w:pPr>
        <w:suppressAutoHyphens w:val="0"/>
        <w:autoSpaceDE w:val="0"/>
        <w:autoSpaceDN w:val="0"/>
        <w:adjustRightInd w:val="0"/>
        <w:spacing w:line="240" w:lineRule="auto"/>
        <w:rPr>
          <w:szCs w:val="22"/>
        </w:rPr>
      </w:pPr>
    </w:p>
    <w:p w14:paraId="648DD5C3" w14:textId="77777777" w:rsidR="009448B7" w:rsidRPr="00183B5F" w:rsidRDefault="00943743" w:rsidP="002D49EE">
      <w:pPr>
        <w:keepNext/>
        <w:suppressAutoHyphens w:val="0"/>
        <w:autoSpaceDE w:val="0"/>
        <w:autoSpaceDN w:val="0"/>
        <w:adjustRightInd w:val="0"/>
        <w:spacing w:line="240" w:lineRule="auto"/>
        <w:rPr>
          <w:b/>
          <w:szCs w:val="22"/>
        </w:rPr>
      </w:pPr>
      <w:r w:rsidRPr="00183B5F">
        <w:rPr>
          <w:b/>
          <w:szCs w:val="22"/>
        </w:rPr>
        <w:t>Nem fertőzéses eredetű szemgyulladás (uveitisz)</w:t>
      </w:r>
    </w:p>
    <w:p w14:paraId="304E873D" w14:textId="77777777" w:rsidR="009448B7" w:rsidRPr="00183B5F" w:rsidRDefault="009448B7" w:rsidP="004062FE">
      <w:pPr>
        <w:suppressAutoHyphens w:val="0"/>
        <w:autoSpaceDE w:val="0"/>
        <w:autoSpaceDN w:val="0"/>
        <w:adjustRightInd w:val="0"/>
        <w:spacing w:line="240" w:lineRule="auto"/>
        <w:rPr>
          <w:b/>
          <w:szCs w:val="22"/>
        </w:rPr>
      </w:pPr>
    </w:p>
    <w:p w14:paraId="4FA6EA21" w14:textId="77777777" w:rsidR="009448B7" w:rsidRPr="00183B5F" w:rsidRDefault="00943743" w:rsidP="004062FE">
      <w:pPr>
        <w:suppressAutoHyphens w:val="0"/>
        <w:autoSpaceDE w:val="0"/>
        <w:autoSpaceDN w:val="0"/>
        <w:adjustRightInd w:val="0"/>
        <w:spacing w:line="240" w:lineRule="auto"/>
        <w:rPr>
          <w:szCs w:val="22"/>
        </w:rPr>
      </w:pPr>
      <w:r w:rsidRPr="00183B5F">
        <w:rPr>
          <w:szCs w:val="22"/>
        </w:rPr>
        <w:t>A nem fertőzéses eredetű szemgyulladás egy gyulladásos betegség, mely a szem bizonyos részeit érinti.</w:t>
      </w:r>
    </w:p>
    <w:p w14:paraId="5170CBF4" w14:textId="77777777" w:rsidR="009448B7" w:rsidRPr="00183B5F" w:rsidRDefault="009448B7" w:rsidP="004062FE">
      <w:pPr>
        <w:suppressAutoHyphens w:val="0"/>
        <w:autoSpaceDE w:val="0"/>
        <w:autoSpaceDN w:val="0"/>
        <w:adjustRightInd w:val="0"/>
        <w:spacing w:line="240" w:lineRule="auto"/>
        <w:rPr>
          <w:szCs w:val="22"/>
        </w:rPr>
      </w:pPr>
    </w:p>
    <w:p w14:paraId="6F4D32EB" w14:textId="77777777" w:rsidR="0031790A" w:rsidRPr="00183B5F" w:rsidRDefault="00943743" w:rsidP="004062FE">
      <w:pPr>
        <w:suppressAutoHyphens w:val="0"/>
        <w:autoSpaceDE w:val="0"/>
        <w:autoSpaceDN w:val="0"/>
        <w:adjustRightInd w:val="0"/>
        <w:spacing w:line="240" w:lineRule="auto"/>
        <w:rPr>
          <w:szCs w:val="22"/>
        </w:rPr>
      </w:pPr>
      <w:r w:rsidRPr="00183B5F">
        <w:rPr>
          <w:szCs w:val="22"/>
        </w:rPr>
        <w:t xml:space="preserve">A Humira alkalmazható </w:t>
      </w:r>
    </w:p>
    <w:p w14:paraId="7FA7550F" w14:textId="77777777" w:rsidR="0031790A" w:rsidRPr="00183B5F" w:rsidRDefault="00943743" w:rsidP="004062FE">
      <w:pPr>
        <w:pStyle w:val="ListParagraph"/>
        <w:numPr>
          <w:ilvl w:val="0"/>
          <w:numId w:val="142"/>
        </w:numPr>
        <w:suppressAutoHyphens w:val="0"/>
        <w:autoSpaceDE w:val="0"/>
        <w:autoSpaceDN w:val="0"/>
        <w:adjustRightInd w:val="0"/>
        <w:spacing w:line="240" w:lineRule="auto"/>
        <w:rPr>
          <w:szCs w:val="22"/>
        </w:rPr>
      </w:pPr>
      <w:r w:rsidRPr="00183B5F">
        <w:rPr>
          <w:szCs w:val="22"/>
        </w:rPr>
        <w:t>felnőttkori, nem fertőzéses eredetű szemgyulladás kezelésére, amikor a gyulladás a szem</w:t>
      </w:r>
      <w:r w:rsidR="007006B9" w:rsidRPr="00183B5F">
        <w:rPr>
          <w:szCs w:val="22"/>
        </w:rPr>
        <w:t xml:space="preserve"> hátsó részét (szem</w:t>
      </w:r>
      <w:r w:rsidRPr="00183B5F">
        <w:rPr>
          <w:szCs w:val="22"/>
        </w:rPr>
        <w:t>feneket</w:t>
      </w:r>
      <w:r w:rsidR="007006B9" w:rsidRPr="00183B5F">
        <w:rPr>
          <w:szCs w:val="22"/>
        </w:rPr>
        <w:t>)</w:t>
      </w:r>
      <w:r w:rsidRPr="00183B5F">
        <w:rPr>
          <w:szCs w:val="22"/>
        </w:rPr>
        <w:t xml:space="preserve"> érinti</w:t>
      </w:r>
    </w:p>
    <w:p w14:paraId="51770BAC" w14:textId="77777777" w:rsidR="0031790A" w:rsidRPr="00183B5F" w:rsidRDefault="00943743" w:rsidP="004062FE">
      <w:pPr>
        <w:pStyle w:val="ListParagraph"/>
        <w:numPr>
          <w:ilvl w:val="0"/>
          <w:numId w:val="142"/>
        </w:numPr>
        <w:suppressAutoHyphens w:val="0"/>
        <w:autoSpaceDE w:val="0"/>
        <w:autoSpaceDN w:val="0"/>
        <w:adjustRightInd w:val="0"/>
        <w:spacing w:line="240" w:lineRule="auto"/>
        <w:rPr>
          <w:szCs w:val="22"/>
        </w:rPr>
      </w:pPr>
      <w:r w:rsidRPr="00183B5F">
        <w:rPr>
          <w:szCs w:val="22"/>
        </w:rPr>
        <w:t xml:space="preserve">2 évnél idősebb gyermekeknél a </w:t>
      </w:r>
      <w:r w:rsidR="005B638E" w:rsidRPr="00183B5F">
        <w:rPr>
          <w:szCs w:val="22"/>
        </w:rPr>
        <w:t xml:space="preserve">krónikus, </w:t>
      </w:r>
      <w:r w:rsidRPr="00183B5F">
        <w:rPr>
          <w:szCs w:val="22"/>
        </w:rPr>
        <w:t>nem fertőzéses eredetű szemgyulladás kezelésére, amikor a gyulladás a szem elülső részét érinti.</w:t>
      </w:r>
    </w:p>
    <w:p w14:paraId="5F079CA0" w14:textId="77777777" w:rsidR="0031790A" w:rsidRPr="00183B5F" w:rsidRDefault="0031790A" w:rsidP="004062FE">
      <w:pPr>
        <w:suppressAutoHyphens w:val="0"/>
        <w:autoSpaceDE w:val="0"/>
        <w:autoSpaceDN w:val="0"/>
        <w:adjustRightInd w:val="0"/>
        <w:spacing w:line="240" w:lineRule="auto"/>
        <w:rPr>
          <w:szCs w:val="22"/>
        </w:rPr>
      </w:pPr>
    </w:p>
    <w:p w14:paraId="4210897B" w14:textId="77777777" w:rsidR="009448B7" w:rsidRPr="00183B5F" w:rsidRDefault="00943743" w:rsidP="004062FE">
      <w:pPr>
        <w:suppressAutoHyphens w:val="0"/>
        <w:autoSpaceDE w:val="0"/>
        <w:autoSpaceDN w:val="0"/>
        <w:adjustRightInd w:val="0"/>
        <w:spacing w:line="240" w:lineRule="auto"/>
        <w:rPr>
          <w:szCs w:val="22"/>
        </w:rPr>
      </w:pPr>
      <w:r w:rsidRPr="00183B5F">
        <w:rPr>
          <w:szCs w:val="22"/>
        </w:rPr>
        <w:t>A gyulladás látáscsökkenéshez és/vagy a szemben úszkáló homályok (fekete pontok vagy vékony csíkok, melyek a látótéren mozognak) jelenlétéhez vezet</w:t>
      </w:r>
      <w:r w:rsidR="0031790A" w:rsidRPr="00183B5F">
        <w:rPr>
          <w:szCs w:val="22"/>
        </w:rPr>
        <w:t>het</w:t>
      </w:r>
      <w:r w:rsidRPr="00183B5F">
        <w:rPr>
          <w:szCs w:val="22"/>
        </w:rPr>
        <w:t>. A Humira ezt a gyulladást csökkenti.</w:t>
      </w:r>
      <w:r w:rsidR="007006B9" w:rsidRPr="00183B5F">
        <w:rPr>
          <w:szCs w:val="22"/>
        </w:rPr>
        <w:t xml:space="preserve"> </w:t>
      </w:r>
      <w:r w:rsidRPr="00183B5F">
        <w:rPr>
          <w:szCs w:val="22"/>
        </w:rPr>
        <w:t>Ön először egyéb gyógyszereket kaphat. Ha ezekre a gyógyszerekre nem reagál megfelelően, akkor Humira</w:t>
      </w:r>
      <w:r w:rsidRPr="00183B5F">
        <w:rPr>
          <w:szCs w:val="22"/>
        </w:rPr>
        <w:noBreakHyphen/>
        <w:t>t fog kapni.</w:t>
      </w:r>
    </w:p>
    <w:p w14:paraId="0F7707FB" w14:textId="77777777" w:rsidR="009448B7" w:rsidRPr="00183B5F" w:rsidRDefault="009448B7" w:rsidP="004062FE">
      <w:pPr>
        <w:suppressAutoHyphens w:val="0"/>
        <w:autoSpaceDE w:val="0"/>
        <w:autoSpaceDN w:val="0"/>
        <w:adjustRightInd w:val="0"/>
        <w:spacing w:line="240" w:lineRule="auto"/>
        <w:rPr>
          <w:szCs w:val="22"/>
        </w:rPr>
      </w:pPr>
    </w:p>
    <w:p w14:paraId="6479E8EB" w14:textId="77777777" w:rsidR="009448B7" w:rsidRPr="00183B5F" w:rsidRDefault="009448B7" w:rsidP="004062FE">
      <w:pPr>
        <w:tabs>
          <w:tab w:val="left" w:pos="1305"/>
        </w:tabs>
        <w:suppressAutoHyphens w:val="0"/>
        <w:autoSpaceDE w:val="0"/>
        <w:autoSpaceDN w:val="0"/>
        <w:adjustRightInd w:val="0"/>
        <w:spacing w:line="240" w:lineRule="auto"/>
        <w:rPr>
          <w:szCs w:val="22"/>
        </w:rPr>
      </w:pPr>
    </w:p>
    <w:p w14:paraId="33E97D2D" w14:textId="77777777" w:rsidR="009448B7" w:rsidRPr="00183B5F" w:rsidRDefault="00943743" w:rsidP="004062FE">
      <w:pPr>
        <w:keepNext/>
        <w:suppressAutoHyphens w:val="0"/>
        <w:autoSpaceDE w:val="0"/>
        <w:autoSpaceDN w:val="0"/>
        <w:adjustRightInd w:val="0"/>
        <w:spacing w:line="240" w:lineRule="auto"/>
        <w:rPr>
          <w:b/>
          <w:szCs w:val="22"/>
        </w:rPr>
      </w:pPr>
      <w:r w:rsidRPr="00183B5F">
        <w:rPr>
          <w:b/>
          <w:szCs w:val="22"/>
        </w:rPr>
        <w:t>2.</w:t>
      </w:r>
      <w:r w:rsidRPr="00183B5F">
        <w:rPr>
          <w:b/>
          <w:szCs w:val="22"/>
        </w:rPr>
        <w:tab/>
      </w:r>
      <w:r w:rsidRPr="00183B5F">
        <w:rPr>
          <w:b/>
          <w:szCs w:val="22"/>
        </w:rPr>
        <w:t>Tudnivalók a Humira alkalmazása előtt</w:t>
      </w:r>
    </w:p>
    <w:p w14:paraId="1F740037" w14:textId="77777777" w:rsidR="009448B7" w:rsidRPr="00183B5F" w:rsidRDefault="009448B7" w:rsidP="004062FE">
      <w:pPr>
        <w:keepNext/>
        <w:spacing w:line="240" w:lineRule="auto"/>
        <w:rPr>
          <w:szCs w:val="22"/>
        </w:rPr>
      </w:pPr>
    </w:p>
    <w:p w14:paraId="403901CA" w14:textId="77777777" w:rsidR="009448B7" w:rsidRPr="00183B5F" w:rsidRDefault="00943743" w:rsidP="004062FE">
      <w:pPr>
        <w:keepNext/>
        <w:spacing w:line="240" w:lineRule="auto"/>
        <w:rPr>
          <w:b/>
          <w:szCs w:val="22"/>
        </w:rPr>
      </w:pPr>
      <w:r w:rsidRPr="00183B5F">
        <w:rPr>
          <w:b/>
          <w:szCs w:val="22"/>
        </w:rPr>
        <w:t xml:space="preserve">Ne alkalmazza a </w:t>
      </w:r>
      <w:r w:rsidRPr="00183B5F">
        <w:rPr>
          <w:b/>
          <w:bCs/>
          <w:szCs w:val="22"/>
        </w:rPr>
        <w:t>Humira</w:t>
      </w:r>
      <w:r w:rsidRPr="00183B5F">
        <w:rPr>
          <w:b/>
          <w:bCs/>
          <w:szCs w:val="22"/>
        </w:rPr>
        <w:noBreakHyphen/>
        <w:t>t</w:t>
      </w:r>
      <w:r w:rsidR="007006B9" w:rsidRPr="00183B5F">
        <w:rPr>
          <w:b/>
          <w:bCs/>
          <w:szCs w:val="22"/>
        </w:rPr>
        <w:t>:</w:t>
      </w:r>
    </w:p>
    <w:p w14:paraId="66068AFB" w14:textId="77777777" w:rsidR="009448B7" w:rsidRPr="00183B5F" w:rsidRDefault="009448B7" w:rsidP="004062FE">
      <w:pPr>
        <w:keepNext/>
        <w:spacing w:line="240" w:lineRule="auto"/>
        <w:rPr>
          <w:szCs w:val="22"/>
        </w:rPr>
      </w:pPr>
    </w:p>
    <w:p w14:paraId="240EAEE7" w14:textId="77777777" w:rsidR="009448B7" w:rsidRPr="00183B5F" w:rsidRDefault="00943743" w:rsidP="004062FE">
      <w:pPr>
        <w:keepNext/>
        <w:numPr>
          <w:ilvl w:val="0"/>
          <w:numId w:val="19"/>
        </w:numPr>
        <w:tabs>
          <w:tab w:val="clear" w:pos="720"/>
        </w:tabs>
        <w:spacing w:line="240" w:lineRule="auto"/>
        <w:ind w:left="567" w:hanging="567"/>
        <w:rPr>
          <w:szCs w:val="22"/>
        </w:rPr>
      </w:pPr>
      <w:r w:rsidRPr="00183B5F">
        <w:rPr>
          <w:szCs w:val="22"/>
        </w:rPr>
        <w:t xml:space="preserve">Ha Ön allergiás (túlérzékeny) az adalimumabra vagy </w:t>
      </w:r>
      <w:r w:rsidRPr="00183B5F">
        <w:rPr>
          <w:noProof/>
          <w:szCs w:val="24"/>
        </w:rPr>
        <w:t xml:space="preserve">a gyógyszer (6. pontban felsorolt) </w:t>
      </w:r>
      <w:r w:rsidRPr="00183B5F">
        <w:rPr>
          <w:szCs w:val="24"/>
        </w:rPr>
        <w:t>egyéb összetevőjére.</w:t>
      </w:r>
    </w:p>
    <w:p w14:paraId="6258A716" w14:textId="77777777" w:rsidR="009448B7" w:rsidRPr="00183B5F" w:rsidRDefault="009448B7" w:rsidP="004062FE">
      <w:pPr>
        <w:spacing w:line="240" w:lineRule="auto"/>
        <w:rPr>
          <w:szCs w:val="22"/>
        </w:rPr>
      </w:pPr>
    </w:p>
    <w:p w14:paraId="7E0EE8A8" w14:textId="77777777" w:rsidR="009448B7" w:rsidRPr="00183B5F" w:rsidRDefault="00943743" w:rsidP="004062FE">
      <w:pPr>
        <w:numPr>
          <w:ilvl w:val="0"/>
          <w:numId w:val="19"/>
        </w:numPr>
        <w:tabs>
          <w:tab w:val="clear" w:pos="720"/>
        </w:tabs>
        <w:spacing w:line="240" w:lineRule="auto"/>
        <w:ind w:left="567" w:hanging="567"/>
        <w:rPr>
          <w:szCs w:val="22"/>
        </w:rPr>
      </w:pPr>
      <w:r w:rsidRPr="00183B5F">
        <w:rPr>
          <w:szCs w:val="22"/>
        </w:rPr>
        <w:t>Ha Ön aktív tuberkulózisban vagy más súlyos fertőzésben szenved, (lásd „Figyelmeztetések és óvintézkedések”). Kezelőorvosával feltétlenül közölje, ha bármilyen fertőzésre utaló tünete van, mint p</w:t>
      </w:r>
      <w:r w:rsidR="00E05701" w:rsidRPr="00183B5F">
        <w:rPr>
          <w:szCs w:val="22"/>
        </w:rPr>
        <w:t>é</w:t>
      </w:r>
      <w:r w:rsidRPr="00183B5F">
        <w:rPr>
          <w:szCs w:val="22"/>
        </w:rPr>
        <w:t>l</w:t>
      </w:r>
      <w:r w:rsidR="00E05701" w:rsidRPr="00183B5F">
        <w:rPr>
          <w:szCs w:val="22"/>
        </w:rPr>
        <w:t>dául</w:t>
      </w:r>
      <w:r w:rsidRPr="00183B5F">
        <w:rPr>
          <w:szCs w:val="22"/>
        </w:rPr>
        <w:t xml:space="preserve"> láz, sebek, fáradtságérzés, fogászati problémák. </w:t>
      </w:r>
    </w:p>
    <w:p w14:paraId="1D0063ED" w14:textId="77777777" w:rsidR="009448B7" w:rsidRPr="00183B5F" w:rsidRDefault="009448B7" w:rsidP="004062FE">
      <w:pPr>
        <w:spacing w:line="240" w:lineRule="auto"/>
        <w:rPr>
          <w:szCs w:val="22"/>
        </w:rPr>
      </w:pPr>
    </w:p>
    <w:p w14:paraId="33064E58" w14:textId="77777777" w:rsidR="009448B7" w:rsidRPr="00183B5F" w:rsidRDefault="00943743" w:rsidP="004062FE">
      <w:pPr>
        <w:numPr>
          <w:ilvl w:val="0"/>
          <w:numId w:val="105"/>
        </w:numPr>
        <w:suppressAutoHyphens w:val="0"/>
        <w:autoSpaceDE w:val="0"/>
        <w:autoSpaceDN w:val="0"/>
        <w:adjustRightInd w:val="0"/>
        <w:spacing w:line="240" w:lineRule="auto"/>
        <w:ind w:left="540" w:hanging="540"/>
        <w:rPr>
          <w:szCs w:val="22"/>
        </w:rPr>
      </w:pPr>
      <w:r w:rsidRPr="00183B5F">
        <w:rPr>
          <w:szCs w:val="22"/>
        </w:rPr>
        <w:t xml:space="preserve">Ha Ön </w:t>
      </w:r>
      <w:r w:rsidR="007F37D3" w:rsidRPr="00183B5F">
        <w:rPr>
          <w:szCs w:val="22"/>
        </w:rPr>
        <w:t>közepesen súlyos</w:t>
      </w:r>
      <w:r w:rsidRPr="00183B5F">
        <w:rPr>
          <w:szCs w:val="22"/>
        </w:rPr>
        <w:t xml:space="preserve"> vagy súlyos szívelégtelenségben szenved. Kezelőorvosával feltétlenül közölje, ha Önnek volt, vagy van súlyos szívproblémája (lásd „Figyelmeztetések és óvintézkedések”).</w:t>
      </w:r>
    </w:p>
    <w:p w14:paraId="13F8583E" w14:textId="77777777" w:rsidR="009448B7" w:rsidRPr="00183B5F" w:rsidRDefault="009448B7" w:rsidP="004062FE">
      <w:pPr>
        <w:spacing w:line="240" w:lineRule="auto"/>
        <w:rPr>
          <w:szCs w:val="22"/>
        </w:rPr>
      </w:pPr>
    </w:p>
    <w:p w14:paraId="395E06EF" w14:textId="77777777" w:rsidR="009448B7" w:rsidRPr="00183B5F" w:rsidRDefault="00943743" w:rsidP="004062FE">
      <w:pPr>
        <w:spacing w:line="240" w:lineRule="auto"/>
        <w:ind w:right="-2"/>
        <w:rPr>
          <w:b/>
          <w:noProof/>
          <w:szCs w:val="24"/>
        </w:rPr>
      </w:pPr>
      <w:r w:rsidRPr="00183B5F">
        <w:rPr>
          <w:b/>
          <w:noProof/>
          <w:szCs w:val="24"/>
        </w:rPr>
        <w:t>Figyelmeztetések és óvintézkedések</w:t>
      </w:r>
    </w:p>
    <w:p w14:paraId="673CD271" w14:textId="77777777" w:rsidR="009448B7" w:rsidRPr="00183B5F" w:rsidRDefault="009448B7" w:rsidP="004062FE">
      <w:pPr>
        <w:spacing w:line="240" w:lineRule="auto"/>
        <w:ind w:right="-2"/>
        <w:rPr>
          <w:b/>
          <w:szCs w:val="22"/>
        </w:rPr>
      </w:pPr>
    </w:p>
    <w:p w14:paraId="23622E2A" w14:textId="77777777" w:rsidR="009448B7" w:rsidRPr="00183B5F" w:rsidRDefault="00943743" w:rsidP="004062FE">
      <w:pPr>
        <w:spacing w:line="240" w:lineRule="auto"/>
        <w:ind w:right="-2"/>
        <w:rPr>
          <w:noProof/>
          <w:szCs w:val="24"/>
        </w:rPr>
      </w:pPr>
      <w:r w:rsidRPr="00183B5F">
        <w:rPr>
          <w:noProof/>
          <w:szCs w:val="24"/>
        </w:rPr>
        <w:t>A Humira alkalmazása előtt beszéljen kezelőorvosával vagy gyógyszerészével.</w:t>
      </w:r>
    </w:p>
    <w:p w14:paraId="0891D76E" w14:textId="77777777" w:rsidR="009448B7" w:rsidRPr="00183B5F" w:rsidRDefault="00943743" w:rsidP="004062FE">
      <w:pPr>
        <w:spacing w:line="240" w:lineRule="auto"/>
        <w:ind w:right="-2"/>
        <w:rPr>
          <w:b/>
          <w:szCs w:val="22"/>
        </w:rPr>
      </w:pPr>
      <w:r w:rsidRPr="00183B5F">
        <w:rPr>
          <w:b/>
          <w:szCs w:val="22"/>
        </w:rPr>
        <w:t xml:space="preserve"> </w:t>
      </w:r>
    </w:p>
    <w:p w14:paraId="5E024617" w14:textId="77777777" w:rsidR="009448B7" w:rsidRPr="00183B5F" w:rsidRDefault="00943743" w:rsidP="004062FE">
      <w:pPr>
        <w:keepNext/>
        <w:spacing w:line="240" w:lineRule="auto"/>
        <w:rPr>
          <w:szCs w:val="22"/>
          <w:u w:val="single"/>
        </w:rPr>
      </w:pPr>
      <w:r w:rsidRPr="00183B5F">
        <w:rPr>
          <w:szCs w:val="22"/>
          <w:u w:val="single"/>
        </w:rPr>
        <w:t>Allergiás reakciók</w:t>
      </w:r>
    </w:p>
    <w:p w14:paraId="1847C3DD" w14:textId="77777777" w:rsidR="009448B7" w:rsidRPr="00183B5F" w:rsidRDefault="009448B7" w:rsidP="004062FE">
      <w:pPr>
        <w:keepNext/>
        <w:spacing w:line="240" w:lineRule="auto"/>
        <w:rPr>
          <w:szCs w:val="22"/>
          <w:u w:val="single"/>
        </w:rPr>
      </w:pPr>
    </w:p>
    <w:p w14:paraId="1431B128" w14:textId="77777777" w:rsidR="009448B7" w:rsidRPr="00183B5F" w:rsidRDefault="00943743" w:rsidP="004062FE">
      <w:pPr>
        <w:keepNext/>
        <w:numPr>
          <w:ilvl w:val="0"/>
          <w:numId w:val="105"/>
        </w:numPr>
        <w:spacing w:line="240" w:lineRule="auto"/>
        <w:ind w:left="567" w:hanging="567"/>
        <w:rPr>
          <w:szCs w:val="22"/>
        </w:rPr>
      </w:pPr>
      <w:r w:rsidRPr="00183B5F">
        <w:rPr>
          <w:szCs w:val="22"/>
        </w:rPr>
        <w:t>Ha olyan allergiás reakciókat észlel, mint mellkasi szorítás, sípoló légzés, szédülés, duzzanat vagy viszketés, ne használja tovább a Humira</w:t>
      </w:r>
      <w:r w:rsidRPr="00183B5F">
        <w:rPr>
          <w:szCs w:val="22"/>
        </w:rPr>
        <w:noBreakHyphen/>
        <w:t>t, és azonnal forduljon kezelőorvosához</w:t>
      </w:r>
      <w:r w:rsidR="00C1197A" w:rsidRPr="00183B5F">
        <w:rPr>
          <w:szCs w:val="22"/>
        </w:rPr>
        <w:t>, mivel ritka esetekben ezek a reakciók életveszélyesek lehetnek</w:t>
      </w:r>
      <w:r w:rsidRPr="00183B5F">
        <w:rPr>
          <w:szCs w:val="22"/>
        </w:rPr>
        <w:t>.</w:t>
      </w:r>
    </w:p>
    <w:p w14:paraId="51660407" w14:textId="77777777" w:rsidR="009448B7" w:rsidRPr="00183B5F" w:rsidRDefault="009448B7" w:rsidP="004062FE">
      <w:pPr>
        <w:spacing w:line="240" w:lineRule="auto"/>
        <w:ind w:left="567" w:right="-2"/>
        <w:rPr>
          <w:szCs w:val="22"/>
          <w:u w:val="single"/>
        </w:rPr>
      </w:pPr>
    </w:p>
    <w:p w14:paraId="51B558BC" w14:textId="77777777" w:rsidR="009448B7" w:rsidRPr="00183B5F" w:rsidRDefault="00943743" w:rsidP="004062FE">
      <w:pPr>
        <w:keepNext/>
        <w:spacing w:line="240" w:lineRule="auto"/>
        <w:ind w:left="567" w:hanging="567"/>
        <w:rPr>
          <w:szCs w:val="22"/>
          <w:u w:val="single"/>
        </w:rPr>
      </w:pPr>
      <w:r w:rsidRPr="00183B5F">
        <w:rPr>
          <w:szCs w:val="22"/>
          <w:u w:val="single"/>
        </w:rPr>
        <w:t>Fertőzések</w:t>
      </w:r>
    </w:p>
    <w:p w14:paraId="3519F61F" w14:textId="77777777" w:rsidR="009448B7" w:rsidRPr="00183B5F" w:rsidRDefault="009448B7" w:rsidP="004062FE">
      <w:pPr>
        <w:keepNext/>
        <w:spacing w:line="240" w:lineRule="auto"/>
        <w:ind w:left="567" w:hanging="567"/>
        <w:rPr>
          <w:szCs w:val="22"/>
          <w:u w:val="single"/>
        </w:rPr>
      </w:pPr>
    </w:p>
    <w:p w14:paraId="4003C43A" w14:textId="77777777" w:rsidR="009448B7" w:rsidRPr="00183B5F" w:rsidRDefault="00943743" w:rsidP="004062FE">
      <w:pPr>
        <w:keepNext/>
        <w:numPr>
          <w:ilvl w:val="0"/>
          <w:numId w:val="105"/>
        </w:numPr>
        <w:spacing w:line="240" w:lineRule="auto"/>
        <w:ind w:left="540" w:hanging="540"/>
        <w:rPr>
          <w:szCs w:val="22"/>
        </w:rPr>
      </w:pPr>
      <w:r w:rsidRPr="00183B5F">
        <w:rPr>
          <w:szCs w:val="22"/>
        </w:rPr>
        <w:t>Ha fertőzésben szenved, ideértve a hosszantartó vagy a test egy részét érintő fertőzést (p</w:t>
      </w:r>
      <w:r w:rsidR="00E05701" w:rsidRPr="00183B5F">
        <w:rPr>
          <w:szCs w:val="22"/>
        </w:rPr>
        <w:t>é</w:t>
      </w:r>
      <w:r w:rsidRPr="00183B5F">
        <w:rPr>
          <w:szCs w:val="22"/>
        </w:rPr>
        <w:t>l</w:t>
      </w:r>
      <w:r w:rsidR="00E05701" w:rsidRPr="00183B5F">
        <w:rPr>
          <w:szCs w:val="22"/>
        </w:rPr>
        <w:t>dául</w:t>
      </w:r>
      <w:r w:rsidRPr="00183B5F">
        <w:rPr>
          <w:szCs w:val="22"/>
        </w:rPr>
        <w:t> lábszárfekély), beszéljen kezelőorvosával a Humira alkalmazása előtt. Ha kétségei vannak, forduljon kezelőorvosához.</w:t>
      </w:r>
    </w:p>
    <w:p w14:paraId="6B8BAB0D" w14:textId="77777777" w:rsidR="009448B7" w:rsidRPr="00183B5F" w:rsidRDefault="009448B7" w:rsidP="004062FE">
      <w:pPr>
        <w:spacing w:line="240" w:lineRule="auto"/>
        <w:ind w:left="567" w:hanging="567"/>
        <w:rPr>
          <w:szCs w:val="22"/>
        </w:rPr>
      </w:pPr>
    </w:p>
    <w:p w14:paraId="682E0496" w14:textId="77777777" w:rsidR="009448B7" w:rsidRPr="00183B5F" w:rsidRDefault="00943743">
      <w:pPr>
        <w:pStyle w:val="EMEABullet2"/>
        <w:numPr>
          <w:ilvl w:val="0"/>
          <w:numId w:val="27"/>
        </w:numPr>
        <w:tabs>
          <w:tab w:val="clear" w:pos="720"/>
          <w:tab w:val="num" w:pos="567"/>
        </w:tabs>
        <w:ind w:left="567" w:hanging="567"/>
        <w:rPr>
          <w:szCs w:val="22"/>
          <w:lang w:val="hu-HU"/>
        </w:rPr>
      </w:pPr>
      <w:r w:rsidRPr="00183B5F">
        <w:rPr>
          <w:szCs w:val="22"/>
          <w:lang w:val="hu-HU"/>
        </w:rPr>
        <w:t>Humira</w:t>
      </w:r>
      <w:r w:rsidRPr="00183B5F">
        <w:rPr>
          <w:szCs w:val="22"/>
          <w:lang w:val="hu-HU"/>
        </w:rPr>
        <w:noBreakHyphen/>
        <w:t>kezelés során könnyebben kaphat fertőzéseket. Ennek veszélye nagyobb lehet, ha tüdőbetegsége van. Ezek a fertőzések súlyosak lehetnek és közéjük tartozik:</w:t>
      </w:r>
    </w:p>
    <w:p w14:paraId="4872D9DD" w14:textId="77777777" w:rsidR="009448B7" w:rsidRPr="00183B5F" w:rsidRDefault="00943743">
      <w:pPr>
        <w:pStyle w:val="EMEABullet2"/>
        <w:numPr>
          <w:ilvl w:val="0"/>
          <w:numId w:val="27"/>
        </w:numPr>
        <w:tabs>
          <w:tab w:val="clear" w:pos="567"/>
          <w:tab w:val="clear" w:pos="720"/>
        </w:tabs>
        <w:ind w:left="993" w:hanging="426"/>
        <w:rPr>
          <w:szCs w:val="22"/>
          <w:lang w:val="hu-HU"/>
        </w:rPr>
      </w:pPr>
      <w:r w:rsidRPr="00183B5F">
        <w:rPr>
          <w:szCs w:val="22"/>
          <w:lang w:val="hu-HU"/>
        </w:rPr>
        <w:t>tuberkulózis</w:t>
      </w:r>
    </w:p>
    <w:p w14:paraId="791CD849" w14:textId="77777777" w:rsidR="009448B7" w:rsidRPr="00183B5F" w:rsidRDefault="00943743">
      <w:pPr>
        <w:pStyle w:val="EMEABullet2"/>
        <w:numPr>
          <w:ilvl w:val="0"/>
          <w:numId w:val="27"/>
        </w:numPr>
        <w:tabs>
          <w:tab w:val="clear" w:pos="567"/>
          <w:tab w:val="clear" w:pos="720"/>
        </w:tabs>
        <w:ind w:left="993" w:hanging="426"/>
        <w:rPr>
          <w:szCs w:val="22"/>
          <w:lang w:val="hu-HU"/>
        </w:rPr>
      </w:pPr>
      <w:r w:rsidRPr="00183B5F">
        <w:rPr>
          <w:szCs w:val="22"/>
          <w:lang w:val="hu-HU"/>
        </w:rPr>
        <w:t>vírusok, gombák, élősködők vagy baktériumok okozta fertőzések</w:t>
      </w:r>
    </w:p>
    <w:p w14:paraId="62A26307" w14:textId="77777777" w:rsidR="009448B7" w:rsidRPr="00183B5F" w:rsidRDefault="00943743">
      <w:pPr>
        <w:pStyle w:val="EMEABullet2"/>
        <w:numPr>
          <w:ilvl w:val="0"/>
          <w:numId w:val="27"/>
        </w:numPr>
        <w:tabs>
          <w:tab w:val="clear" w:pos="567"/>
          <w:tab w:val="clear" w:pos="720"/>
        </w:tabs>
        <w:ind w:left="993" w:hanging="426"/>
        <w:rPr>
          <w:szCs w:val="22"/>
          <w:lang w:val="hu-HU"/>
        </w:rPr>
      </w:pPr>
      <w:r w:rsidRPr="00183B5F">
        <w:rPr>
          <w:szCs w:val="22"/>
          <w:lang w:val="hu-HU"/>
        </w:rPr>
        <w:t>súlyos fertőzés a vérben (szepszis)</w:t>
      </w:r>
    </w:p>
    <w:p w14:paraId="0ABDDCC9" w14:textId="77777777" w:rsidR="009448B7" w:rsidRPr="00183B5F" w:rsidRDefault="009448B7">
      <w:pPr>
        <w:pStyle w:val="EMEABullet2"/>
        <w:numPr>
          <w:ilvl w:val="0"/>
          <w:numId w:val="0"/>
        </w:numPr>
        <w:tabs>
          <w:tab w:val="clear" w:pos="567"/>
        </w:tabs>
        <w:ind w:left="567"/>
        <w:rPr>
          <w:szCs w:val="22"/>
          <w:lang w:val="hu-HU"/>
        </w:rPr>
      </w:pPr>
    </w:p>
    <w:p w14:paraId="30CBCB4F" w14:textId="77777777" w:rsidR="009448B7" w:rsidRPr="00183B5F" w:rsidRDefault="00943743">
      <w:pPr>
        <w:pStyle w:val="EMEABullet2"/>
        <w:numPr>
          <w:ilvl w:val="0"/>
          <w:numId w:val="0"/>
        </w:numPr>
        <w:tabs>
          <w:tab w:val="clear" w:pos="567"/>
        </w:tabs>
        <w:ind w:left="567"/>
        <w:rPr>
          <w:szCs w:val="22"/>
          <w:lang w:val="hu-HU"/>
        </w:rPr>
      </w:pPr>
      <w:r w:rsidRPr="00183B5F">
        <w:rPr>
          <w:szCs w:val="22"/>
          <w:lang w:val="hu-HU"/>
        </w:rPr>
        <w:t>Ritkán ezek a fertőzések életveszélyesek lehetnek. Feltétlenül tájékoztassa kezelőorvosát, ha bármilyen fertőzésre utaló tünete van, mint láz, sebek, fáradtságérzés, fogászati problémák. Kezelőorvosa a Humira</w:t>
      </w:r>
      <w:r w:rsidRPr="00183B5F">
        <w:rPr>
          <w:szCs w:val="22"/>
          <w:lang w:val="hu-HU"/>
        </w:rPr>
        <w:noBreakHyphen/>
        <w:t>kezelés átmeneti felfüggesztését javasolhatja.</w:t>
      </w:r>
    </w:p>
    <w:p w14:paraId="154369B2" w14:textId="77777777" w:rsidR="009448B7" w:rsidRPr="00183B5F" w:rsidRDefault="009448B7">
      <w:pPr>
        <w:pStyle w:val="EMEANormal"/>
        <w:rPr>
          <w:lang w:val="hu-HU"/>
        </w:rPr>
      </w:pPr>
    </w:p>
    <w:p w14:paraId="563A9CE4" w14:textId="77777777" w:rsidR="009448B7" w:rsidRPr="00183B5F" w:rsidRDefault="00943743">
      <w:pPr>
        <w:pStyle w:val="EMEABullet2"/>
        <w:numPr>
          <w:ilvl w:val="0"/>
          <w:numId w:val="64"/>
        </w:numPr>
        <w:rPr>
          <w:szCs w:val="22"/>
          <w:lang w:val="hu-HU"/>
        </w:rPr>
      </w:pPr>
      <w:r w:rsidRPr="00183B5F">
        <w:rPr>
          <w:szCs w:val="22"/>
          <w:lang w:val="hu-HU"/>
        </w:rPr>
        <w:t>Tájékoztassa kezelőorvosát, ha olyan területen él vagy olyan területre utazik, ahol nagyon gyakoriak a gombák okozta fertőzések (p</w:t>
      </w:r>
      <w:r w:rsidR="00E05701" w:rsidRPr="00183B5F">
        <w:rPr>
          <w:szCs w:val="22"/>
          <w:lang w:val="hu-HU"/>
        </w:rPr>
        <w:t>é</w:t>
      </w:r>
      <w:r w:rsidRPr="00183B5F">
        <w:rPr>
          <w:szCs w:val="22"/>
          <w:lang w:val="hu-HU"/>
        </w:rPr>
        <w:t>l</w:t>
      </w:r>
      <w:r w:rsidR="00E05701" w:rsidRPr="00183B5F">
        <w:rPr>
          <w:szCs w:val="22"/>
          <w:lang w:val="hu-HU"/>
        </w:rPr>
        <w:t>dául</w:t>
      </w:r>
      <w:r w:rsidRPr="00183B5F">
        <w:rPr>
          <w:szCs w:val="22"/>
          <w:lang w:val="hu-HU"/>
        </w:rPr>
        <w:t>  a hisztoplazmózis, kokcidioidomikózis vagy a blasztomikózis).</w:t>
      </w:r>
    </w:p>
    <w:p w14:paraId="21A1BEC1" w14:textId="77777777" w:rsidR="009448B7" w:rsidRPr="00183B5F" w:rsidRDefault="009448B7" w:rsidP="004062FE">
      <w:pPr>
        <w:spacing w:line="240" w:lineRule="auto"/>
        <w:rPr>
          <w:szCs w:val="22"/>
        </w:rPr>
      </w:pPr>
    </w:p>
    <w:p w14:paraId="551FC97B" w14:textId="77777777" w:rsidR="009448B7" w:rsidRPr="00183B5F" w:rsidRDefault="00943743" w:rsidP="004062FE">
      <w:pPr>
        <w:numPr>
          <w:ilvl w:val="0"/>
          <w:numId w:val="27"/>
        </w:numPr>
        <w:tabs>
          <w:tab w:val="clear" w:pos="720"/>
        </w:tabs>
        <w:spacing w:line="240" w:lineRule="auto"/>
        <w:ind w:left="567" w:hanging="567"/>
        <w:rPr>
          <w:szCs w:val="22"/>
        </w:rPr>
      </w:pPr>
      <w:r w:rsidRPr="00183B5F">
        <w:rPr>
          <w:szCs w:val="22"/>
        </w:rPr>
        <w:t>Tájékoztassa kezelőorvosát, ha visszatérő fertőzései, vagy egyéb olyan betegségei vannak, amelyek fokozzák a fertőzés lehetőségét.</w:t>
      </w:r>
    </w:p>
    <w:p w14:paraId="3F814595" w14:textId="77777777" w:rsidR="009448B7" w:rsidRPr="00183B5F" w:rsidRDefault="009448B7" w:rsidP="004062FE">
      <w:pPr>
        <w:spacing w:line="240" w:lineRule="auto"/>
        <w:rPr>
          <w:szCs w:val="22"/>
        </w:rPr>
      </w:pPr>
    </w:p>
    <w:p w14:paraId="5D572D0F" w14:textId="77777777" w:rsidR="009448B7" w:rsidRPr="00183B5F" w:rsidRDefault="00943743" w:rsidP="004062FE">
      <w:pPr>
        <w:numPr>
          <w:ilvl w:val="0"/>
          <w:numId w:val="80"/>
        </w:numPr>
        <w:tabs>
          <w:tab w:val="clear" w:pos="720"/>
        </w:tabs>
        <w:spacing w:line="240" w:lineRule="auto"/>
        <w:ind w:left="567" w:hanging="567"/>
        <w:rPr>
          <w:szCs w:val="22"/>
        </w:rPr>
      </w:pPr>
      <w:r w:rsidRPr="00183B5F">
        <w:rPr>
          <w:szCs w:val="22"/>
        </w:rPr>
        <w:t>Ha Ön 65 évnél idősebb, a Humira</w:t>
      </w:r>
      <w:r w:rsidRPr="00183B5F">
        <w:rPr>
          <w:szCs w:val="22"/>
        </w:rPr>
        <w:noBreakHyphen/>
        <w:t>kezelés ideje alatt fogékonyabb lehet a fertőzésekre. A Humira-kezelés ideje alatt Önnek és kezelőorvosának különös figyelmet kell fordítania a fertőzések tüneteire. Feltétlenül tájékoztassa kezelőorvosát, ha fertőzésre utaló tünetei vannak, mint például láz, sebek, fáradtságérzés vagy fogászati problémák.</w:t>
      </w:r>
    </w:p>
    <w:p w14:paraId="746880AC" w14:textId="77777777" w:rsidR="009448B7" w:rsidRPr="00183B5F" w:rsidRDefault="009448B7" w:rsidP="004062FE">
      <w:pPr>
        <w:spacing w:line="240" w:lineRule="auto"/>
        <w:rPr>
          <w:szCs w:val="22"/>
        </w:rPr>
      </w:pPr>
    </w:p>
    <w:p w14:paraId="681D39B9" w14:textId="77777777" w:rsidR="009448B7" w:rsidRPr="00183B5F" w:rsidRDefault="00943743" w:rsidP="004062FE">
      <w:pPr>
        <w:keepNext/>
        <w:spacing w:line="240" w:lineRule="auto"/>
        <w:rPr>
          <w:szCs w:val="22"/>
          <w:u w:val="single"/>
        </w:rPr>
      </w:pPr>
      <w:r w:rsidRPr="00183B5F">
        <w:rPr>
          <w:szCs w:val="22"/>
          <w:u w:val="single"/>
        </w:rPr>
        <w:t>Tuberkulózis</w:t>
      </w:r>
    </w:p>
    <w:p w14:paraId="443C5622" w14:textId="77777777" w:rsidR="009448B7" w:rsidRPr="00183B5F" w:rsidRDefault="009448B7" w:rsidP="004062FE">
      <w:pPr>
        <w:keepNext/>
        <w:spacing w:line="240" w:lineRule="auto"/>
        <w:rPr>
          <w:szCs w:val="22"/>
        </w:rPr>
      </w:pPr>
    </w:p>
    <w:p w14:paraId="59C12DB7" w14:textId="77777777" w:rsidR="009448B7" w:rsidRPr="00183B5F" w:rsidRDefault="00943743" w:rsidP="004062FE">
      <w:pPr>
        <w:numPr>
          <w:ilvl w:val="0"/>
          <w:numId w:val="27"/>
        </w:numPr>
        <w:tabs>
          <w:tab w:val="clear" w:pos="720"/>
        </w:tabs>
        <w:spacing w:line="240" w:lineRule="auto"/>
        <w:ind w:left="567" w:hanging="567"/>
        <w:rPr>
          <w:szCs w:val="22"/>
        </w:rPr>
      </w:pPr>
      <w:r w:rsidRPr="00183B5F">
        <w:rPr>
          <w:szCs w:val="22"/>
        </w:rPr>
        <w:t xml:space="preserve">Feltétlenül tájékoztassa kezelőorvosát, ha bármikor </w:t>
      </w:r>
      <w:r w:rsidRPr="00183B5F">
        <w:rPr>
          <w:bCs/>
          <w:szCs w:val="22"/>
        </w:rPr>
        <w:t>tuberkulózis</w:t>
      </w:r>
      <w:r w:rsidRPr="00183B5F">
        <w:rPr>
          <w:szCs w:val="22"/>
        </w:rPr>
        <w:t xml:space="preserve">ban szenvedett vagy közeli kapcsolatban volt valakivel, akinek </w:t>
      </w:r>
      <w:r w:rsidRPr="00183B5F">
        <w:rPr>
          <w:bCs/>
          <w:szCs w:val="22"/>
        </w:rPr>
        <w:t>tuberkulózis</w:t>
      </w:r>
      <w:r w:rsidRPr="00183B5F">
        <w:rPr>
          <w:szCs w:val="22"/>
        </w:rPr>
        <w:t>a volt. Ha aktív tuberkulózisa van, ne alkalmazza a Humira</w:t>
      </w:r>
      <w:r w:rsidRPr="00183B5F">
        <w:rPr>
          <w:szCs w:val="22"/>
        </w:rPr>
        <w:noBreakHyphen/>
        <w:t>t!</w:t>
      </w:r>
    </w:p>
    <w:p w14:paraId="6303BDBD" w14:textId="77777777" w:rsidR="009448B7" w:rsidRPr="00183B5F" w:rsidRDefault="009448B7" w:rsidP="004062FE">
      <w:pPr>
        <w:spacing w:line="240" w:lineRule="auto"/>
        <w:rPr>
          <w:szCs w:val="22"/>
        </w:rPr>
      </w:pPr>
    </w:p>
    <w:p w14:paraId="2192E9F5" w14:textId="77777777" w:rsidR="00E201EF" w:rsidRPr="00183B5F" w:rsidRDefault="00943743" w:rsidP="004062FE">
      <w:pPr>
        <w:numPr>
          <w:ilvl w:val="0"/>
          <w:numId w:val="27"/>
        </w:numPr>
        <w:tabs>
          <w:tab w:val="clear" w:pos="720"/>
        </w:tabs>
        <w:spacing w:line="240" w:lineRule="auto"/>
        <w:ind w:left="993" w:hanging="426"/>
        <w:rPr>
          <w:szCs w:val="22"/>
        </w:rPr>
      </w:pPr>
      <w:r w:rsidRPr="00183B5F">
        <w:rPr>
          <w:szCs w:val="22"/>
        </w:rPr>
        <w:t>Humira</w:t>
      </w:r>
      <w:r w:rsidRPr="00183B5F">
        <w:rPr>
          <w:szCs w:val="22"/>
        </w:rPr>
        <w:noBreakHyphen/>
        <w:t xml:space="preserve">val kezelt betegeken </w:t>
      </w:r>
      <w:r w:rsidRPr="00183B5F">
        <w:rPr>
          <w:bCs/>
          <w:szCs w:val="22"/>
        </w:rPr>
        <w:t>tuberkulózis</w:t>
      </w:r>
      <w:r w:rsidRPr="00183B5F">
        <w:rPr>
          <w:szCs w:val="22"/>
        </w:rPr>
        <w:t xml:space="preserve"> kialakulását észlelték, így a Humira</w:t>
      </w:r>
      <w:r w:rsidRPr="00183B5F">
        <w:rPr>
          <w:szCs w:val="22"/>
        </w:rPr>
        <w:noBreakHyphen/>
        <w:t xml:space="preserve">kezelés megkezdése előtt kezelőorvosa megvizsgálja a </w:t>
      </w:r>
      <w:r w:rsidRPr="00183B5F">
        <w:rPr>
          <w:bCs/>
          <w:szCs w:val="22"/>
        </w:rPr>
        <w:t>tuberkulózis</w:t>
      </w:r>
      <w:r w:rsidRPr="00183B5F">
        <w:rPr>
          <w:szCs w:val="22"/>
        </w:rPr>
        <w:t>ra utaló jeleket és tüneteket. Részletes orvosi kórelőzmény felvételére és megfelelő szűrővizsgálatokra (mint p</w:t>
      </w:r>
      <w:r w:rsidR="00DE11C0" w:rsidRPr="00183B5F">
        <w:rPr>
          <w:szCs w:val="22"/>
        </w:rPr>
        <w:t>é</w:t>
      </w:r>
      <w:r w:rsidRPr="00183B5F">
        <w:rPr>
          <w:szCs w:val="22"/>
        </w:rPr>
        <w:t>l</w:t>
      </w:r>
      <w:r w:rsidR="00DE11C0" w:rsidRPr="00183B5F">
        <w:rPr>
          <w:szCs w:val="22"/>
        </w:rPr>
        <w:t>dául</w:t>
      </w:r>
      <w:r w:rsidR="00E05701" w:rsidRPr="00183B5F">
        <w:rPr>
          <w:szCs w:val="22"/>
        </w:rPr>
        <w:t xml:space="preserve"> </w:t>
      </w:r>
      <w:r w:rsidRPr="00183B5F">
        <w:rPr>
          <w:szCs w:val="22"/>
        </w:rPr>
        <w:t xml:space="preserve">mellkasröntgen vizsgálatra és tuberkulin teszt végzésére) kerül sor. A </w:t>
      </w:r>
      <w:r w:rsidR="0048779F" w:rsidRPr="00183B5F">
        <w:rPr>
          <w:b/>
          <w:szCs w:val="22"/>
        </w:rPr>
        <w:t>Betegemlékeztető</w:t>
      </w:r>
      <w:r w:rsidRPr="00183B5F">
        <w:rPr>
          <w:b/>
          <w:szCs w:val="22"/>
        </w:rPr>
        <w:t xml:space="preserve"> Kártyán</w:t>
      </w:r>
      <w:r w:rsidRPr="00183B5F">
        <w:rPr>
          <w:szCs w:val="22"/>
        </w:rPr>
        <w:t xml:space="preserve"> a vizsgálatok elvégzésének tényét és eredményét vezetni kell. </w:t>
      </w:r>
    </w:p>
    <w:p w14:paraId="1C261DDE" w14:textId="77777777" w:rsidR="009448B7" w:rsidRPr="00183B5F" w:rsidRDefault="00943743" w:rsidP="004062FE">
      <w:pPr>
        <w:numPr>
          <w:ilvl w:val="0"/>
          <w:numId w:val="27"/>
        </w:numPr>
        <w:tabs>
          <w:tab w:val="clear" w:pos="720"/>
        </w:tabs>
        <w:spacing w:line="240" w:lineRule="auto"/>
        <w:ind w:left="993" w:hanging="426"/>
        <w:rPr>
          <w:szCs w:val="22"/>
        </w:rPr>
      </w:pPr>
      <w:r w:rsidRPr="00183B5F">
        <w:rPr>
          <w:szCs w:val="22"/>
        </w:rPr>
        <w:t xml:space="preserve">A tuberkulózis kialakulhat a kezelés során annak ellenére, hogy Ön tuberkulózis elleni megelőző terápiát kapott. </w:t>
      </w:r>
    </w:p>
    <w:p w14:paraId="7D549A85" w14:textId="77777777" w:rsidR="009448B7" w:rsidRPr="00183B5F" w:rsidRDefault="00943743" w:rsidP="004062FE">
      <w:pPr>
        <w:numPr>
          <w:ilvl w:val="0"/>
          <w:numId w:val="27"/>
        </w:numPr>
        <w:tabs>
          <w:tab w:val="clear" w:pos="720"/>
        </w:tabs>
        <w:spacing w:line="240" w:lineRule="auto"/>
        <w:ind w:left="993" w:hanging="426"/>
        <w:rPr>
          <w:szCs w:val="22"/>
        </w:rPr>
      </w:pPr>
      <w:r w:rsidRPr="00183B5F">
        <w:rPr>
          <w:szCs w:val="22"/>
        </w:rPr>
        <w:t xml:space="preserve">Ha a </w:t>
      </w:r>
      <w:r w:rsidRPr="00183B5F">
        <w:rPr>
          <w:bCs/>
          <w:szCs w:val="22"/>
        </w:rPr>
        <w:t>tuberkulózis</w:t>
      </w:r>
      <w:r w:rsidRPr="00183B5F">
        <w:rPr>
          <w:szCs w:val="22"/>
        </w:rPr>
        <w:t xml:space="preserve"> tünetei (p</w:t>
      </w:r>
      <w:r w:rsidR="00DE11C0" w:rsidRPr="00183B5F">
        <w:rPr>
          <w:szCs w:val="22"/>
        </w:rPr>
        <w:t>é</w:t>
      </w:r>
      <w:r w:rsidRPr="00183B5F">
        <w:rPr>
          <w:szCs w:val="22"/>
        </w:rPr>
        <w:t>l</w:t>
      </w:r>
      <w:r w:rsidR="00DE11C0" w:rsidRPr="00183B5F">
        <w:rPr>
          <w:szCs w:val="22"/>
        </w:rPr>
        <w:t>dául</w:t>
      </w:r>
      <w:r w:rsidRPr="00183B5F">
        <w:rPr>
          <w:szCs w:val="22"/>
        </w:rPr>
        <w:t>hosszan tartó köhögés, testsúlycsökkenés, levertség, hőemelkedés), vagy más fertőzésre utaló tünetek jelentkeznek a kezelés alatt vagy a kezelést követően, azonnal tájékoztassa kezelőorvosát.</w:t>
      </w:r>
    </w:p>
    <w:p w14:paraId="31B8EE75" w14:textId="77777777" w:rsidR="009448B7" w:rsidRPr="00183B5F" w:rsidRDefault="009448B7" w:rsidP="004062FE">
      <w:pPr>
        <w:spacing w:line="240" w:lineRule="auto"/>
        <w:rPr>
          <w:szCs w:val="22"/>
        </w:rPr>
      </w:pPr>
    </w:p>
    <w:p w14:paraId="1EA0C803" w14:textId="77777777" w:rsidR="009448B7" w:rsidRPr="00183B5F" w:rsidRDefault="00943743" w:rsidP="004062FE">
      <w:pPr>
        <w:spacing w:line="240" w:lineRule="auto"/>
        <w:ind w:left="567" w:hanging="567"/>
        <w:rPr>
          <w:szCs w:val="22"/>
          <w:u w:val="single"/>
        </w:rPr>
      </w:pPr>
      <w:r w:rsidRPr="00183B5F">
        <w:rPr>
          <w:szCs w:val="22"/>
          <w:u w:val="single"/>
        </w:rPr>
        <w:t>Hepatitisz B</w:t>
      </w:r>
    </w:p>
    <w:p w14:paraId="1925D5D6" w14:textId="77777777" w:rsidR="009448B7" w:rsidRPr="00183B5F" w:rsidRDefault="009448B7" w:rsidP="004062FE">
      <w:pPr>
        <w:spacing w:line="240" w:lineRule="auto"/>
        <w:rPr>
          <w:szCs w:val="22"/>
        </w:rPr>
      </w:pPr>
    </w:p>
    <w:p w14:paraId="5B8935CD" w14:textId="77777777" w:rsidR="009448B7" w:rsidRPr="00183B5F" w:rsidRDefault="00943743" w:rsidP="004062FE">
      <w:pPr>
        <w:numPr>
          <w:ilvl w:val="0"/>
          <w:numId w:val="20"/>
        </w:numPr>
        <w:tabs>
          <w:tab w:val="clear" w:pos="720"/>
        </w:tabs>
        <w:spacing w:line="240" w:lineRule="auto"/>
        <w:ind w:left="567" w:hanging="567"/>
        <w:rPr>
          <w:szCs w:val="22"/>
        </w:rPr>
      </w:pPr>
      <w:r w:rsidRPr="00183B5F">
        <w:rPr>
          <w:szCs w:val="22"/>
        </w:rPr>
        <w:t xml:space="preserve">Tájékoztassa kezelőorvosát, ha Ön hepatitisz B vírus (HBV) -hordozó, netán aktív </w:t>
      </w:r>
      <w:r w:rsidR="000A456B" w:rsidRPr="00183B5F">
        <w:rPr>
          <w:szCs w:val="22"/>
        </w:rPr>
        <w:t>HBV</w:t>
      </w:r>
      <w:r w:rsidR="000A456B" w:rsidRPr="00183B5F">
        <w:rPr>
          <w:szCs w:val="22"/>
        </w:rPr>
        <w:noBreakHyphen/>
        <w:t>fertőz</w:t>
      </w:r>
      <w:r w:rsidRPr="00183B5F">
        <w:rPr>
          <w:szCs w:val="22"/>
        </w:rPr>
        <w:t xml:space="preserve">ésben szenved, vagy feltételezi, hogy hepatitisz B fertőzés veszélye fenyegetheti. </w:t>
      </w:r>
    </w:p>
    <w:p w14:paraId="39E1E91E" w14:textId="77777777" w:rsidR="009448B7" w:rsidRPr="00183B5F" w:rsidRDefault="00943743" w:rsidP="004062FE">
      <w:pPr>
        <w:numPr>
          <w:ilvl w:val="0"/>
          <w:numId w:val="20"/>
        </w:numPr>
        <w:tabs>
          <w:tab w:val="clear" w:pos="720"/>
        </w:tabs>
        <w:spacing w:line="240" w:lineRule="auto"/>
        <w:ind w:left="993" w:hanging="426"/>
        <w:rPr>
          <w:szCs w:val="22"/>
        </w:rPr>
      </w:pPr>
      <w:r w:rsidRPr="00183B5F">
        <w:rPr>
          <w:szCs w:val="22"/>
        </w:rPr>
        <w:t xml:space="preserve">Kezelőorvosának HBV-vizsgálatot kell végeznie Önnél. A HBV-t hordozó embereknél a Humira ismét aktiválhatja a vírust. </w:t>
      </w:r>
    </w:p>
    <w:p w14:paraId="2AB8F01A" w14:textId="77777777" w:rsidR="009448B7" w:rsidRPr="00183B5F" w:rsidRDefault="00943743" w:rsidP="004062FE">
      <w:pPr>
        <w:numPr>
          <w:ilvl w:val="0"/>
          <w:numId w:val="20"/>
        </w:numPr>
        <w:tabs>
          <w:tab w:val="clear" w:pos="720"/>
        </w:tabs>
        <w:spacing w:line="240" w:lineRule="auto"/>
        <w:ind w:left="993" w:hanging="426"/>
        <w:rPr>
          <w:szCs w:val="22"/>
        </w:rPr>
      </w:pPr>
      <w:r w:rsidRPr="00183B5F">
        <w:rPr>
          <w:szCs w:val="22"/>
        </w:rPr>
        <w:t>Egyes ritka esetekben – különösen ha más, az immunrendszer működését gátló szereket is szed – a HBV ismételt aktiválódása életveszélyes lehet.</w:t>
      </w:r>
    </w:p>
    <w:p w14:paraId="13DFE4DF" w14:textId="77777777" w:rsidR="009448B7" w:rsidRPr="00183B5F" w:rsidRDefault="009448B7" w:rsidP="004062FE">
      <w:pPr>
        <w:spacing w:line="240" w:lineRule="auto"/>
        <w:rPr>
          <w:szCs w:val="22"/>
        </w:rPr>
      </w:pPr>
    </w:p>
    <w:p w14:paraId="0F5C072C" w14:textId="77777777" w:rsidR="009448B7" w:rsidRPr="00183B5F" w:rsidRDefault="00943743" w:rsidP="004062FE">
      <w:pPr>
        <w:spacing w:line="240" w:lineRule="auto"/>
        <w:rPr>
          <w:szCs w:val="22"/>
          <w:u w:val="single"/>
        </w:rPr>
      </w:pPr>
      <w:r w:rsidRPr="00183B5F">
        <w:rPr>
          <w:szCs w:val="22"/>
          <w:u w:val="single"/>
        </w:rPr>
        <w:t xml:space="preserve">Sebészeti </w:t>
      </w:r>
      <w:r w:rsidR="004C45BD" w:rsidRPr="00183B5F">
        <w:rPr>
          <w:szCs w:val="22"/>
          <w:u w:val="single"/>
        </w:rPr>
        <w:t xml:space="preserve">vagy fogászati </w:t>
      </w:r>
      <w:r w:rsidRPr="00183B5F">
        <w:rPr>
          <w:szCs w:val="22"/>
          <w:u w:val="single"/>
        </w:rPr>
        <w:t>beavatkozás</w:t>
      </w:r>
    </w:p>
    <w:p w14:paraId="588BD363" w14:textId="77777777" w:rsidR="009448B7" w:rsidRPr="00183B5F" w:rsidRDefault="009448B7" w:rsidP="004062FE">
      <w:pPr>
        <w:spacing w:line="240" w:lineRule="auto"/>
        <w:rPr>
          <w:szCs w:val="22"/>
        </w:rPr>
      </w:pPr>
    </w:p>
    <w:p w14:paraId="073963D8" w14:textId="77777777" w:rsidR="009448B7" w:rsidRPr="00183B5F" w:rsidRDefault="00943743" w:rsidP="004062FE">
      <w:pPr>
        <w:numPr>
          <w:ilvl w:val="0"/>
          <w:numId w:val="27"/>
        </w:numPr>
        <w:tabs>
          <w:tab w:val="clear" w:pos="720"/>
          <w:tab w:val="num" w:pos="600"/>
        </w:tabs>
        <w:spacing w:line="240" w:lineRule="auto"/>
        <w:ind w:left="567" w:hanging="567"/>
        <w:rPr>
          <w:szCs w:val="22"/>
        </w:rPr>
      </w:pPr>
      <w:r w:rsidRPr="00183B5F">
        <w:rPr>
          <w:szCs w:val="22"/>
          <w:lang w:eastAsia="en-US"/>
        </w:rPr>
        <w:t>Ha sebészeti vagy fogászati beavatkozás előtt áll</w:t>
      </w:r>
      <w:r w:rsidR="00F14C68" w:rsidRPr="00183B5F">
        <w:rPr>
          <w:szCs w:val="22"/>
          <w:lang w:eastAsia="en-US"/>
        </w:rPr>
        <w:t>,</w:t>
      </w:r>
      <w:r w:rsidRPr="00183B5F">
        <w:rPr>
          <w:szCs w:val="22"/>
          <w:lang w:eastAsia="en-US"/>
        </w:rPr>
        <w:t xml:space="preserve"> tájékoztassa kezelőorvosát, hogy Humira</w:t>
      </w:r>
      <w:r w:rsidRPr="00183B5F">
        <w:rPr>
          <w:szCs w:val="22"/>
          <w:lang w:eastAsia="en-US"/>
        </w:rPr>
        <w:noBreakHyphen/>
        <w:t>kezelésben részesül. Kezelő</w:t>
      </w:r>
      <w:r w:rsidRPr="00183B5F">
        <w:rPr>
          <w:szCs w:val="22"/>
        </w:rPr>
        <w:t>orvosa a kezelés átmeneti felfüggesztését javasolhatja.</w:t>
      </w:r>
    </w:p>
    <w:p w14:paraId="3FB81801" w14:textId="77777777" w:rsidR="009448B7" w:rsidRPr="00183B5F" w:rsidRDefault="009448B7" w:rsidP="004062FE">
      <w:pPr>
        <w:pStyle w:val="EndnoteText"/>
        <w:tabs>
          <w:tab w:val="clear" w:pos="567"/>
          <w:tab w:val="left" w:pos="708"/>
        </w:tabs>
        <w:suppressAutoHyphens/>
        <w:rPr>
          <w:sz w:val="22"/>
          <w:szCs w:val="22"/>
          <w:lang w:val="hu-HU" w:eastAsia="hu-HU"/>
        </w:rPr>
      </w:pPr>
    </w:p>
    <w:p w14:paraId="147DC398" w14:textId="77777777" w:rsidR="009448B7" w:rsidRPr="00183B5F" w:rsidRDefault="00943743" w:rsidP="004062FE">
      <w:pPr>
        <w:spacing w:line="240" w:lineRule="auto"/>
        <w:rPr>
          <w:u w:val="single"/>
        </w:rPr>
      </w:pPr>
      <w:r w:rsidRPr="00183B5F">
        <w:rPr>
          <w:u w:val="single"/>
        </w:rPr>
        <w:t>Demielinizációval járó betegségek</w:t>
      </w:r>
    </w:p>
    <w:p w14:paraId="37C560E8" w14:textId="77777777" w:rsidR="009448B7" w:rsidRPr="00183B5F" w:rsidRDefault="009448B7" w:rsidP="004062FE">
      <w:pPr>
        <w:spacing w:line="240" w:lineRule="auto"/>
      </w:pPr>
    </w:p>
    <w:p w14:paraId="2A237116" w14:textId="77777777" w:rsidR="009448B7" w:rsidRPr="00183B5F" w:rsidRDefault="00943743" w:rsidP="004062FE">
      <w:pPr>
        <w:numPr>
          <w:ilvl w:val="0"/>
          <w:numId w:val="27"/>
        </w:numPr>
        <w:tabs>
          <w:tab w:val="clear" w:pos="720"/>
          <w:tab w:val="num" w:pos="600"/>
        </w:tabs>
        <w:spacing w:line="240" w:lineRule="auto"/>
        <w:ind w:left="567" w:hanging="567"/>
        <w:rPr>
          <w:szCs w:val="22"/>
        </w:rPr>
      </w:pPr>
      <w:r w:rsidRPr="00183B5F">
        <w:rPr>
          <w:szCs w:val="22"/>
        </w:rPr>
        <w:t xml:space="preserve">Ha </w:t>
      </w:r>
      <w:r w:rsidR="000D6F55" w:rsidRPr="00183B5F">
        <w:rPr>
          <w:szCs w:val="22"/>
        </w:rPr>
        <w:t xml:space="preserve">gyermeke demielinizációval (az idegrostok velőshüvelyét érintő betegség, mint például szklerózis multiplex) </w:t>
      </w:r>
      <w:r w:rsidRPr="00183B5F">
        <w:rPr>
          <w:szCs w:val="22"/>
        </w:rPr>
        <w:t>járó betegségben szenved, vagy ilyen típusú betegség alakul ki Önnél, kezelőorvosa dönti el, hogy kaphat-e Humira</w:t>
      </w:r>
      <w:r w:rsidRPr="00183B5F">
        <w:rPr>
          <w:szCs w:val="22"/>
        </w:rPr>
        <w:noBreakHyphen/>
        <w:t>kezelést, vagy folytatható</w:t>
      </w:r>
      <w:r w:rsidRPr="00183B5F">
        <w:rPr>
          <w:szCs w:val="22"/>
        </w:rPr>
        <w:noBreakHyphen/>
        <w:t>e az Ön esetében. Azonnal tájékoztassa kezelőorvosát, ha olyan tüneteket tapasztal, mint a megváltozott látás, kar</w:t>
      </w:r>
      <w:r w:rsidRPr="00183B5F">
        <w:rPr>
          <w:szCs w:val="22"/>
        </w:rPr>
        <w:noBreakHyphen/>
        <w:t xml:space="preserve"> vagy lábgyengeség, illetve zsibbadás vagy bizsergés a test bármelyik részén.</w:t>
      </w:r>
    </w:p>
    <w:p w14:paraId="2CB61370" w14:textId="77777777" w:rsidR="009448B7" w:rsidRPr="00183B5F" w:rsidRDefault="009448B7" w:rsidP="004062FE">
      <w:pPr>
        <w:spacing w:line="240" w:lineRule="auto"/>
        <w:rPr>
          <w:szCs w:val="22"/>
        </w:rPr>
      </w:pPr>
    </w:p>
    <w:p w14:paraId="60147D3D" w14:textId="77777777" w:rsidR="009448B7" w:rsidRPr="00183B5F" w:rsidRDefault="00943743" w:rsidP="002D49EE">
      <w:pPr>
        <w:keepNext/>
        <w:spacing w:line="240" w:lineRule="auto"/>
        <w:rPr>
          <w:szCs w:val="22"/>
          <w:u w:val="single"/>
        </w:rPr>
      </w:pPr>
      <w:r w:rsidRPr="00183B5F">
        <w:rPr>
          <w:szCs w:val="22"/>
          <w:u w:val="single"/>
        </w:rPr>
        <w:t>Védőoltások</w:t>
      </w:r>
    </w:p>
    <w:p w14:paraId="0D1566ED" w14:textId="77777777" w:rsidR="009448B7" w:rsidRPr="00183B5F" w:rsidRDefault="009448B7" w:rsidP="004062FE">
      <w:pPr>
        <w:spacing w:line="240" w:lineRule="auto"/>
        <w:rPr>
          <w:szCs w:val="22"/>
        </w:rPr>
      </w:pPr>
    </w:p>
    <w:p w14:paraId="091A5CCE" w14:textId="77777777" w:rsidR="009448B7" w:rsidRPr="00183B5F" w:rsidRDefault="00943743" w:rsidP="004062FE">
      <w:pPr>
        <w:numPr>
          <w:ilvl w:val="0"/>
          <w:numId w:val="27"/>
        </w:numPr>
        <w:tabs>
          <w:tab w:val="clear" w:pos="720"/>
        </w:tabs>
        <w:spacing w:line="240" w:lineRule="auto"/>
        <w:ind w:left="567" w:hanging="567"/>
        <w:rPr>
          <w:szCs w:val="22"/>
        </w:rPr>
      </w:pPr>
      <w:r w:rsidRPr="00183B5F">
        <w:rPr>
          <w:szCs w:val="22"/>
        </w:rPr>
        <w:t xml:space="preserve">Humira alkalmazása során bizonyos védőoltások fertőzést okozhatnak, és ezért nem adhatóak. </w:t>
      </w:r>
    </w:p>
    <w:p w14:paraId="536701FB" w14:textId="77777777" w:rsidR="009448B7" w:rsidRPr="00183B5F" w:rsidRDefault="009448B7" w:rsidP="004062FE">
      <w:pPr>
        <w:spacing w:line="240" w:lineRule="auto"/>
        <w:ind w:left="567"/>
        <w:rPr>
          <w:szCs w:val="22"/>
        </w:rPr>
      </w:pPr>
    </w:p>
    <w:p w14:paraId="31C3EE66" w14:textId="77777777" w:rsidR="009448B7" w:rsidRPr="00183B5F" w:rsidRDefault="00943743" w:rsidP="004062FE">
      <w:pPr>
        <w:numPr>
          <w:ilvl w:val="0"/>
          <w:numId w:val="27"/>
        </w:numPr>
        <w:tabs>
          <w:tab w:val="clear" w:pos="720"/>
        </w:tabs>
        <w:spacing w:line="240" w:lineRule="auto"/>
        <w:ind w:left="993" w:hanging="426"/>
        <w:rPr>
          <w:szCs w:val="22"/>
        </w:rPr>
      </w:pPr>
      <w:r w:rsidRPr="00183B5F">
        <w:rPr>
          <w:szCs w:val="22"/>
        </w:rPr>
        <w:t xml:space="preserve">Védőoltás adását megelőzően beszéljen kezelőorvosával. </w:t>
      </w:r>
    </w:p>
    <w:p w14:paraId="449D8E54" w14:textId="77777777" w:rsidR="000D6F55" w:rsidRPr="00183B5F" w:rsidRDefault="00943743" w:rsidP="004062FE">
      <w:pPr>
        <w:numPr>
          <w:ilvl w:val="0"/>
          <w:numId w:val="27"/>
        </w:numPr>
        <w:tabs>
          <w:tab w:val="clear" w:pos="720"/>
        </w:tabs>
        <w:spacing w:line="240" w:lineRule="auto"/>
        <w:ind w:left="993" w:hanging="426"/>
        <w:rPr>
          <w:szCs w:val="22"/>
        </w:rPr>
      </w:pPr>
      <w:r w:rsidRPr="00183B5F">
        <w:rPr>
          <w:szCs w:val="22"/>
        </w:rPr>
        <w:t xml:space="preserve">Ajánlott, </w:t>
      </w:r>
      <w:r w:rsidR="00F9482C" w:rsidRPr="00183B5F">
        <w:rPr>
          <w:szCs w:val="22"/>
        </w:rPr>
        <w:t xml:space="preserve">a gyernekek - </w:t>
      </w:r>
      <w:r w:rsidRPr="00183B5F">
        <w:rPr>
          <w:szCs w:val="22"/>
        </w:rPr>
        <w:t>ha lehetséges</w:t>
      </w:r>
      <w:r w:rsidR="00F9482C" w:rsidRPr="00183B5F">
        <w:rPr>
          <w:szCs w:val="22"/>
        </w:rPr>
        <w:t xml:space="preserve">, </w:t>
      </w:r>
      <w:r w:rsidRPr="00183B5F">
        <w:rPr>
          <w:szCs w:val="22"/>
        </w:rPr>
        <w:t>a Humira kezelés megkezdése előtt minden, az életkoruknak megfelelően ütemezett védőoltást kapjanak meg</w:t>
      </w:r>
      <w:r w:rsidR="00F9482C" w:rsidRPr="00183B5F">
        <w:rPr>
          <w:szCs w:val="22"/>
        </w:rPr>
        <w:t>.</w:t>
      </w:r>
      <w:r w:rsidRPr="00183B5F">
        <w:rPr>
          <w:szCs w:val="22"/>
        </w:rPr>
        <w:t xml:space="preserve"> </w:t>
      </w:r>
    </w:p>
    <w:p w14:paraId="6B6A0D19" w14:textId="77777777" w:rsidR="009448B7" w:rsidRPr="00183B5F" w:rsidRDefault="00943743" w:rsidP="004062FE">
      <w:pPr>
        <w:numPr>
          <w:ilvl w:val="0"/>
          <w:numId w:val="27"/>
        </w:numPr>
        <w:tabs>
          <w:tab w:val="clear" w:pos="720"/>
        </w:tabs>
        <w:spacing w:line="240" w:lineRule="auto"/>
        <w:ind w:left="993" w:hanging="426"/>
        <w:rPr>
          <w:szCs w:val="22"/>
        </w:rPr>
      </w:pPr>
      <w:r w:rsidRPr="00183B5F">
        <w:rPr>
          <w:szCs w:val="22"/>
        </w:rPr>
        <w:t>Ha a terhessége alatt Humira-t kapott, a kisbabája a terhesség alatt kapott utolsó adag Humira</w:t>
      </w:r>
      <w:r w:rsidRPr="00183B5F">
        <w:rPr>
          <w:szCs w:val="22"/>
        </w:rPr>
        <w:noBreakHyphen/>
        <w:t>t követően legfeljebb 5 hónapig nagyobb eséllyel kaphat el valamilyen fertőzést. Fontos, hogy elmondja kisbabája kezelőorvosának vagy az őt kezelő egészségügyi személyzetnek, hogy a terhessége alatt Humira</w:t>
      </w:r>
      <w:r w:rsidRPr="00183B5F">
        <w:rPr>
          <w:szCs w:val="22"/>
        </w:rPr>
        <w:noBreakHyphen/>
        <w:t>t kapott, így ők el tudják dönteni, hogy kisbabájának mikor kell valamilyen védőoltást kapnia.</w:t>
      </w:r>
    </w:p>
    <w:p w14:paraId="5E855717" w14:textId="77777777" w:rsidR="009448B7" w:rsidRPr="00183B5F" w:rsidRDefault="009448B7" w:rsidP="004062FE">
      <w:pPr>
        <w:spacing w:line="240" w:lineRule="auto"/>
        <w:rPr>
          <w:szCs w:val="22"/>
        </w:rPr>
      </w:pPr>
    </w:p>
    <w:p w14:paraId="3C6AF37C" w14:textId="77777777" w:rsidR="009448B7" w:rsidRPr="00183B5F" w:rsidRDefault="00943743" w:rsidP="004062FE">
      <w:pPr>
        <w:keepNext/>
        <w:spacing w:line="240" w:lineRule="auto"/>
        <w:rPr>
          <w:szCs w:val="22"/>
          <w:u w:val="single"/>
        </w:rPr>
      </w:pPr>
      <w:r w:rsidRPr="00183B5F">
        <w:rPr>
          <w:szCs w:val="22"/>
          <w:u w:val="single"/>
        </w:rPr>
        <w:t>Szív</w:t>
      </w:r>
      <w:r w:rsidR="000D6F55" w:rsidRPr="00183B5F">
        <w:rPr>
          <w:szCs w:val="22"/>
          <w:u w:val="single"/>
        </w:rPr>
        <w:t>elégtelenség</w:t>
      </w:r>
    </w:p>
    <w:p w14:paraId="6E0BA5A0" w14:textId="77777777" w:rsidR="009448B7" w:rsidRPr="00183B5F" w:rsidRDefault="009448B7" w:rsidP="004062FE">
      <w:pPr>
        <w:keepNext/>
        <w:spacing w:line="240" w:lineRule="auto"/>
        <w:rPr>
          <w:szCs w:val="22"/>
        </w:rPr>
      </w:pPr>
    </w:p>
    <w:p w14:paraId="4FDDD333" w14:textId="77777777" w:rsidR="009448B7" w:rsidRPr="00183B5F" w:rsidRDefault="00943743" w:rsidP="004062FE">
      <w:pPr>
        <w:pStyle w:val="EMEANormal"/>
        <w:keepNext/>
        <w:numPr>
          <w:ilvl w:val="0"/>
          <w:numId w:val="27"/>
        </w:numPr>
        <w:ind w:left="567"/>
        <w:rPr>
          <w:szCs w:val="22"/>
          <w:lang w:val="hu-HU"/>
        </w:rPr>
      </w:pPr>
      <w:r w:rsidRPr="00183B5F">
        <w:rPr>
          <w:szCs w:val="22"/>
          <w:lang w:val="hu-HU"/>
        </w:rPr>
        <w:t>Ha gyermekének enyhe szívelégtelensége van és Humira</w:t>
      </w:r>
      <w:r w:rsidRPr="00183B5F">
        <w:rPr>
          <w:szCs w:val="22"/>
          <w:lang w:val="hu-HU"/>
        </w:rPr>
        <w:noBreakHyphen/>
        <w:t xml:space="preserve">kezelést kap, </w:t>
      </w:r>
      <w:r w:rsidR="003909BC" w:rsidRPr="00183B5F">
        <w:rPr>
          <w:szCs w:val="22"/>
          <w:lang w:val="hu-HU"/>
        </w:rPr>
        <w:t xml:space="preserve">a </w:t>
      </w:r>
      <w:r w:rsidRPr="00183B5F">
        <w:rPr>
          <w:bCs/>
          <w:szCs w:val="22"/>
          <w:lang w:val="hu-HU"/>
        </w:rPr>
        <w:t>szívelégtelenség állapotát</w:t>
      </w:r>
      <w:r w:rsidRPr="00183B5F">
        <w:rPr>
          <w:szCs w:val="22"/>
          <w:lang w:val="hu-HU"/>
        </w:rPr>
        <w:t xml:space="preserve"> orvosának szorosan követnie kell. Fontos, hogy közölje kezelőorvosával, ha gyermekének súlyos szívbetegsége volt, vagy jelenleg is van. Ha új tünetek kialakulását vagy a szívelégtelenség tüneteinek rosszabbodását észleli (p</w:t>
      </w:r>
      <w:r w:rsidR="00DE11C0" w:rsidRPr="00183B5F">
        <w:rPr>
          <w:szCs w:val="22"/>
          <w:lang w:val="hu-HU"/>
        </w:rPr>
        <w:t>éldául</w:t>
      </w:r>
      <w:r w:rsidRPr="00183B5F">
        <w:rPr>
          <w:szCs w:val="22"/>
          <w:lang w:val="hu-HU"/>
        </w:rPr>
        <w:t xml:space="preserve"> légszomj, vagy lábdagadás), azonnal közölje orvosával. A kezelőorvos el fogja dönteni, hogy az Ön gyermeke kaphat-e Humira</w:t>
      </w:r>
      <w:r w:rsidRPr="00183B5F">
        <w:rPr>
          <w:szCs w:val="22"/>
          <w:lang w:val="hu-HU"/>
        </w:rPr>
        <w:noBreakHyphen/>
        <w:t>t</w:t>
      </w:r>
      <w:r w:rsidR="00F9482C" w:rsidRPr="00183B5F">
        <w:rPr>
          <w:szCs w:val="22"/>
          <w:lang w:val="hu-HU"/>
        </w:rPr>
        <w:t>.</w:t>
      </w:r>
    </w:p>
    <w:p w14:paraId="0BFC30E9" w14:textId="77777777" w:rsidR="009448B7" w:rsidRPr="00183B5F" w:rsidRDefault="009448B7" w:rsidP="004062FE">
      <w:pPr>
        <w:spacing w:line="240" w:lineRule="auto"/>
        <w:rPr>
          <w:szCs w:val="22"/>
        </w:rPr>
      </w:pPr>
    </w:p>
    <w:p w14:paraId="64ED04E7" w14:textId="77777777" w:rsidR="000D6F55" w:rsidRPr="00183B5F" w:rsidRDefault="00943743" w:rsidP="004062FE">
      <w:pPr>
        <w:pStyle w:val="EMEANormal"/>
        <w:rPr>
          <w:u w:val="single"/>
          <w:lang w:val="hu-HU"/>
        </w:rPr>
      </w:pPr>
      <w:r w:rsidRPr="00183B5F">
        <w:rPr>
          <w:u w:val="single"/>
          <w:lang w:val="hu-HU"/>
        </w:rPr>
        <w:t>Láz, véraláfutás, vérzés vagy sápadtság</w:t>
      </w:r>
    </w:p>
    <w:p w14:paraId="73E1FCD6" w14:textId="77777777" w:rsidR="000D6F55" w:rsidRPr="00183B5F" w:rsidRDefault="000D6F55" w:rsidP="004062FE">
      <w:pPr>
        <w:pStyle w:val="EMEANormal"/>
        <w:rPr>
          <w:u w:val="single"/>
          <w:lang w:val="hu-HU"/>
        </w:rPr>
      </w:pPr>
    </w:p>
    <w:p w14:paraId="3FADA5AA" w14:textId="77777777" w:rsidR="009448B7" w:rsidRPr="00183B5F" w:rsidRDefault="00943743" w:rsidP="004062FE">
      <w:pPr>
        <w:numPr>
          <w:ilvl w:val="0"/>
          <w:numId w:val="20"/>
        </w:numPr>
        <w:tabs>
          <w:tab w:val="clear" w:pos="720"/>
        </w:tabs>
        <w:spacing w:line="240" w:lineRule="auto"/>
        <w:ind w:left="567" w:hanging="567"/>
        <w:rPr>
          <w:szCs w:val="22"/>
        </w:rPr>
      </w:pPr>
      <w:r w:rsidRPr="00183B5F">
        <w:rPr>
          <w:szCs w:val="22"/>
        </w:rPr>
        <w:t>Egyes betegek esetében a szervezet nem termel elég olyan vérsejtet, melyek leküzdenék a fertőzést, vagy segítenének megállítani a vérzést</w:t>
      </w:r>
      <w:r w:rsidR="000D6F55" w:rsidRPr="00183B5F">
        <w:rPr>
          <w:szCs w:val="22"/>
        </w:rPr>
        <w:t xml:space="preserve">. Kezelőorvosa eldönti, hogy folytassák-e a kezelést. </w:t>
      </w:r>
      <w:r w:rsidRPr="00183B5F">
        <w:rPr>
          <w:szCs w:val="22"/>
        </w:rPr>
        <w:t>Ha nem múló láza van, vagy könnyen alakul ki véraláfutása vagy vérzik, vagy nagyon sápadtnak látszik, azonnal értesítse kezelőorvosát.</w:t>
      </w:r>
    </w:p>
    <w:p w14:paraId="03B9316B" w14:textId="77777777" w:rsidR="009448B7" w:rsidRPr="00183B5F" w:rsidRDefault="009448B7" w:rsidP="004062FE">
      <w:pPr>
        <w:spacing w:line="240" w:lineRule="auto"/>
        <w:rPr>
          <w:szCs w:val="22"/>
        </w:rPr>
      </w:pPr>
    </w:p>
    <w:p w14:paraId="72A9945C" w14:textId="77777777" w:rsidR="009448B7" w:rsidRPr="00183B5F" w:rsidRDefault="00943743" w:rsidP="004062FE">
      <w:pPr>
        <w:spacing w:line="240" w:lineRule="auto"/>
        <w:rPr>
          <w:szCs w:val="22"/>
          <w:u w:val="single"/>
        </w:rPr>
      </w:pPr>
      <w:r w:rsidRPr="00183B5F">
        <w:rPr>
          <w:szCs w:val="22"/>
          <w:u w:val="single"/>
        </w:rPr>
        <w:t>Daganatos betegség</w:t>
      </w:r>
    </w:p>
    <w:p w14:paraId="6EAD79FE" w14:textId="77777777" w:rsidR="009448B7" w:rsidRPr="00183B5F" w:rsidRDefault="009448B7" w:rsidP="004062FE">
      <w:pPr>
        <w:spacing w:line="240" w:lineRule="auto"/>
        <w:rPr>
          <w:szCs w:val="22"/>
        </w:rPr>
      </w:pPr>
    </w:p>
    <w:p w14:paraId="102DE6C2" w14:textId="77777777" w:rsidR="009448B7" w:rsidRPr="00183B5F" w:rsidRDefault="00943743" w:rsidP="004062FE">
      <w:pPr>
        <w:numPr>
          <w:ilvl w:val="0"/>
          <w:numId w:val="20"/>
        </w:numPr>
        <w:tabs>
          <w:tab w:val="clear" w:pos="720"/>
        </w:tabs>
        <w:spacing w:line="240" w:lineRule="auto"/>
        <w:ind w:left="567" w:hanging="567"/>
        <w:rPr>
          <w:szCs w:val="22"/>
        </w:rPr>
      </w:pPr>
      <w:r w:rsidRPr="00183B5F">
        <w:rPr>
          <w:szCs w:val="22"/>
        </w:rPr>
        <w:t>Nagyon ritkán előfordul, hogy a Humira</w:t>
      </w:r>
      <w:r w:rsidRPr="00183B5F">
        <w:rPr>
          <w:szCs w:val="22"/>
        </w:rPr>
        <w:noBreakHyphen/>
        <w:t>t vagy más TNF</w:t>
      </w:r>
      <w:r w:rsidRPr="00183B5F">
        <w:rPr>
          <w:szCs w:val="22"/>
        </w:rPr>
        <w:noBreakHyphen/>
        <w:t xml:space="preserve">antagonista gyógyszert szedő betegeknél bizonyos daganatfajta jelentkezik. </w:t>
      </w:r>
    </w:p>
    <w:p w14:paraId="4BFA6017" w14:textId="77777777" w:rsidR="009448B7" w:rsidRPr="00183B5F" w:rsidRDefault="009448B7" w:rsidP="004062FE">
      <w:pPr>
        <w:spacing w:line="240" w:lineRule="auto"/>
        <w:ind w:left="567"/>
        <w:rPr>
          <w:szCs w:val="22"/>
        </w:rPr>
      </w:pPr>
    </w:p>
    <w:p w14:paraId="5F45345C" w14:textId="77777777" w:rsidR="009448B7" w:rsidRPr="00183B5F" w:rsidRDefault="00943743" w:rsidP="004062FE">
      <w:pPr>
        <w:numPr>
          <w:ilvl w:val="0"/>
          <w:numId w:val="20"/>
        </w:numPr>
        <w:tabs>
          <w:tab w:val="clear" w:pos="720"/>
        </w:tabs>
        <w:spacing w:line="240" w:lineRule="auto"/>
        <w:ind w:left="993" w:hanging="426"/>
        <w:rPr>
          <w:szCs w:val="22"/>
        </w:rPr>
      </w:pPr>
      <w:r w:rsidRPr="00183B5F">
        <w:rPr>
          <w:szCs w:val="22"/>
        </w:rPr>
        <w:t xml:space="preserve">A hosszú ideje súlyos reumatoid artritiszben szenvedő betegeknek az átlagosnál nagyobb a kockázatuk, hogy limfóma (a nyirokrendszert érintő daganat) vagy leukémia (a csontvelőt, vérképzést érintő daganat) alakul ki. </w:t>
      </w:r>
    </w:p>
    <w:p w14:paraId="7CF69DBC" w14:textId="77777777" w:rsidR="009448B7" w:rsidRPr="00183B5F" w:rsidRDefault="00943743" w:rsidP="004062FE">
      <w:pPr>
        <w:numPr>
          <w:ilvl w:val="0"/>
          <w:numId w:val="20"/>
        </w:numPr>
        <w:tabs>
          <w:tab w:val="clear" w:pos="720"/>
        </w:tabs>
        <w:spacing w:line="240" w:lineRule="auto"/>
        <w:ind w:left="993" w:hanging="426"/>
        <w:rPr>
          <w:szCs w:val="22"/>
        </w:rPr>
      </w:pPr>
      <w:r w:rsidRPr="00183B5F">
        <w:rPr>
          <w:szCs w:val="22"/>
        </w:rPr>
        <w:t>Amennyiben Humira</w:t>
      </w:r>
      <w:r w:rsidRPr="00183B5F">
        <w:rPr>
          <w:szCs w:val="22"/>
        </w:rPr>
        <w:noBreakHyphen/>
        <w:t>t kap, kockázata fokozódhat. Ritkán a nyirokdaganat (limfóma) egy nem gyakori és súlyos típusát észlelték Humira</w:t>
      </w:r>
      <w:r w:rsidRPr="00183B5F">
        <w:rPr>
          <w:szCs w:val="22"/>
        </w:rPr>
        <w:noBreakHyphen/>
        <w:t>val kezelt betegeknél. E betegek közül egyeseket egyidejűleg azatioprinnel, illetve 6</w:t>
      </w:r>
      <w:r w:rsidRPr="00183B5F">
        <w:rPr>
          <w:szCs w:val="22"/>
        </w:rPr>
        <w:noBreakHyphen/>
        <w:t xml:space="preserve">merkaptopurinnal is kezeltek. </w:t>
      </w:r>
    </w:p>
    <w:p w14:paraId="1C0E4037" w14:textId="77777777" w:rsidR="009448B7" w:rsidRPr="00183B5F" w:rsidRDefault="00943743" w:rsidP="004062FE">
      <w:pPr>
        <w:numPr>
          <w:ilvl w:val="0"/>
          <w:numId w:val="20"/>
        </w:numPr>
        <w:tabs>
          <w:tab w:val="clear" w:pos="720"/>
        </w:tabs>
        <w:spacing w:line="240" w:lineRule="auto"/>
        <w:ind w:left="993" w:hanging="426"/>
        <w:rPr>
          <w:szCs w:val="22"/>
        </w:rPr>
      </w:pPr>
      <w:r w:rsidRPr="00183B5F">
        <w:rPr>
          <w:szCs w:val="22"/>
        </w:rPr>
        <w:t>Tájékoztassa kezelőorvosát, ha a Humira-val egyidejűleg azatioprint vagy 6</w:t>
      </w:r>
      <w:r w:rsidRPr="00183B5F">
        <w:rPr>
          <w:szCs w:val="22"/>
        </w:rPr>
        <w:noBreakHyphen/>
        <w:t xml:space="preserve">merkaptopurint szed. </w:t>
      </w:r>
    </w:p>
    <w:p w14:paraId="69C24ED3" w14:textId="77777777" w:rsidR="009448B7" w:rsidRPr="00183B5F" w:rsidRDefault="00943743" w:rsidP="0036300F">
      <w:pPr>
        <w:numPr>
          <w:ilvl w:val="0"/>
          <w:numId w:val="20"/>
        </w:numPr>
        <w:tabs>
          <w:tab w:val="clear" w:pos="720"/>
        </w:tabs>
        <w:spacing w:line="240" w:lineRule="auto"/>
        <w:ind w:left="993" w:hanging="426"/>
        <w:rPr>
          <w:szCs w:val="22"/>
        </w:rPr>
      </w:pPr>
      <w:r w:rsidRPr="00183B5F">
        <w:rPr>
          <w:szCs w:val="22"/>
        </w:rPr>
        <w:t>Esetenként nem melanomás bőrrák kialakulását észlelték Humira</w:t>
      </w:r>
      <w:r w:rsidRPr="00183B5F">
        <w:rPr>
          <w:szCs w:val="22"/>
        </w:rPr>
        <w:noBreakHyphen/>
        <w:t xml:space="preserve">val kezelt betegeken. </w:t>
      </w:r>
    </w:p>
    <w:p w14:paraId="5E56F47A" w14:textId="77777777" w:rsidR="009448B7" w:rsidRPr="00183B5F" w:rsidRDefault="00943743" w:rsidP="004062FE">
      <w:pPr>
        <w:numPr>
          <w:ilvl w:val="0"/>
          <w:numId w:val="20"/>
        </w:numPr>
        <w:tabs>
          <w:tab w:val="clear" w:pos="720"/>
        </w:tabs>
        <w:spacing w:line="240" w:lineRule="auto"/>
        <w:ind w:left="993" w:hanging="426"/>
        <w:rPr>
          <w:szCs w:val="22"/>
        </w:rPr>
      </w:pPr>
      <w:r w:rsidRPr="00183B5F">
        <w:rPr>
          <w:szCs w:val="22"/>
        </w:rPr>
        <w:t>Ha új bőrelváltozások jelennek meg a kezelés alatt, vagy a meglévők külleme megváltozik, tájékoztassa kezelőorvosát.</w:t>
      </w:r>
    </w:p>
    <w:p w14:paraId="48EDE7E0" w14:textId="77777777" w:rsidR="009448B7" w:rsidRPr="00183B5F" w:rsidRDefault="009448B7" w:rsidP="004062FE">
      <w:pPr>
        <w:spacing w:line="240" w:lineRule="auto"/>
        <w:rPr>
          <w:szCs w:val="22"/>
        </w:rPr>
      </w:pPr>
    </w:p>
    <w:p w14:paraId="69E56A5E" w14:textId="77777777" w:rsidR="009448B7" w:rsidRPr="00183B5F" w:rsidRDefault="00943743" w:rsidP="004062FE">
      <w:pPr>
        <w:numPr>
          <w:ilvl w:val="0"/>
          <w:numId w:val="20"/>
        </w:numPr>
        <w:tabs>
          <w:tab w:val="clear" w:pos="720"/>
        </w:tabs>
        <w:spacing w:line="240" w:lineRule="auto"/>
        <w:ind w:left="567" w:hanging="567"/>
        <w:rPr>
          <w:szCs w:val="22"/>
        </w:rPr>
      </w:pPr>
      <w:r w:rsidRPr="00183B5F">
        <w:rPr>
          <w:szCs w:val="22"/>
        </w:rPr>
        <w:t>Voltak esetek, amikor egy adott tüdőbetegségben (amelyet idült obstruktív tüdőbetegségnek (COPD-nek) neveznek) szenvedő, TNF</w:t>
      </w:r>
      <w:r w:rsidRPr="00183B5F">
        <w:rPr>
          <w:szCs w:val="22"/>
        </w:rPr>
        <w:noBreakHyphen/>
        <w:t>antagonistával kezelt betegeken (nem limfóma természetű) rákos daganatok kialakulását észlelték. Ha Ön COPD</w:t>
      </w:r>
      <w:r w:rsidRPr="00183B5F">
        <w:rPr>
          <w:szCs w:val="22"/>
        </w:rPr>
        <w:noBreakHyphen/>
        <w:t>ben szenved vagy erős dohányos, kérje kezelőorvosa tanácsát, hogy vajon a TNF</w:t>
      </w:r>
      <w:r w:rsidRPr="00183B5F">
        <w:rPr>
          <w:szCs w:val="22"/>
        </w:rPr>
        <w:noBreakHyphen/>
        <w:t>antagonistával végzett kezelés megfelelő-e az Ön számára.</w:t>
      </w:r>
    </w:p>
    <w:p w14:paraId="212E8ADE" w14:textId="77777777" w:rsidR="000D6F55" w:rsidRPr="00183B5F" w:rsidRDefault="000D6F55" w:rsidP="004062FE">
      <w:pPr>
        <w:pStyle w:val="ListParagraph"/>
        <w:spacing w:line="240" w:lineRule="auto"/>
        <w:rPr>
          <w:szCs w:val="22"/>
        </w:rPr>
      </w:pPr>
    </w:p>
    <w:p w14:paraId="11921DA6" w14:textId="77777777" w:rsidR="000D6F55" w:rsidRPr="00183B5F" w:rsidRDefault="00943743" w:rsidP="004062FE">
      <w:pPr>
        <w:spacing w:line="240" w:lineRule="auto"/>
        <w:rPr>
          <w:szCs w:val="22"/>
          <w:u w:val="single"/>
        </w:rPr>
      </w:pPr>
      <w:r w:rsidRPr="00183B5F">
        <w:rPr>
          <w:szCs w:val="22"/>
          <w:u w:val="single"/>
        </w:rPr>
        <w:t>Autoimmun betegség</w:t>
      </w:r>
    </w:p>
    <w:p w14:paraId="2D882938" w14:textId="77777777" w:rsidR="000D6F55" w:rsidRPr="00183B5F" w:rsidRDefault="000D6F55" w:rsidP="004062FE">
      <w:pPr>
        <w:spacing w:line="240" w:lineRule="auto"/>
        <w:rPr>
          <w:szCs w:val="22"/>
          <w:u w:val="single"/>
        </w:rPr>
      </w:pPr>
    </w:p>
    <w:p w14:paraId="5BA220DC" w14:textId="77777777" w:rsidR="000D6F55" w:rsidRPr="00183B5F" w:rsidRDefault="00943743" w:rsidP="004062FE">
      <w:pPr>
        <w:pStyle w:val="ListParagraph"/>
        <w:numPr>
          <w:ilvl w:val="0"/>
          <w:numId w:val="148"/>
        </w:numPr>
        <w:spacing w:line="240" w:lineRule="auto"/>
        <w:contextualSpacing/>
        <w:rPr>
          <w:szCs w:val="22"/>
        </w:rPr>
      </w:pPr>
      <w:r w:rsidRPr="00183B5F">
        <w:rPr>
          <w:szCs w:val="22"/>
        </w:rPr>
        <w:t>Ritka esetekben a Humira lupusz-szerű szindrómát okoz</w:t>
      </w:r>
      <w:r w:rsidR="001147C9" w:rsidRPr="00183B5F">
        <w:rPr>
          <w:szCs w:val="22"/>
        </w:rPr>
        <w:t>hat</w:t>
      </w:r>
      <w:r w:rsidRPr="00183B5F">
        <w:rPr>
          <w:szCs w:val="22"/>
        </w:rPr>
        <w:t xml:space="preserve">. </w:t>
      </w:r>
      <w:r w:rsidR="001147C9" w:rsidRPr="00183B5F">
        <w:rPr>
          <w:szCs w:val="22"/>
        </w:rPr>
        <w:t>Keresse fel</w:t>
      </w:r>
      <w:r w:rsidRPr="00183B5F">
        <w:rPr>
          <w:szCs w:val="22"/>
        </w:rPr>
        <w:t xml:space="preserve"> kezelőorvosá</w:t>
      </w:r>
      <w:r w:rsidR="001147C9" w:rsidRPr="00183B5F">
        <w:rPr>
          <w:szCs w:val="22"/>
        </w:rPr>
        <w:t>t</w:t>
      </w:r>
      <w:r w:rsidRPr="00183B5F">
        <w:rPr>
          <w:szCs w:val="22"/>
        </w:rPr>
        <w:t>, ha olyan tünetek</w:t>
      </w:r>
      <w:r w:rsidR="0001217B" w:rsidRPr="00183B5F">
        <w:rPr>
          <w:szCs w:val="22"/>
        </w:rPr>
        <w:t>et</w:t>
      </w:r>
      <w:r w:rsidRPr="00183B5F">
        <w:rPr>
          <w:szCs w:val="22"/>
        </w:rPr>
        <w:t xml:space="preserve"> </w:t>
      </w:r>
      <w:r w:rsidR="0001217B" w:rsidRPr="00183B5F">
        <w:rPr>
          <w:szCs w:val="22"/>
        </w:rPr>
        <w:t>észlel</w:t>
      </w:r>
      <w:r w:rsidRPr="00183B5F">
        <w:rPr>
          <w:szCs w:val="22"/>
        </w:rPr>
        <w:t xml:space="preserve">, mint a tartós, tisztázatlan eredetű </w:t>
      </w:r>
      <w:r w:rsidR="00DE11C0" w:rsidRPr="00183B5F">
        <w:rPr>
          <w:szCs w:val="22"/>
        </w:rPr>
        <w:t>bőr</w:t>
      </w:r>
      <w:r w:rsidRPr="00183B5F">
        <w:rPr>
          <w:szCs w:val="22"/>
        </w:rPr>
        <w:t>kiütés, láz, ízületi fájdalom vagy fáradtság.</w:t>
      </w:r>
    </w:p>
    <w:p w14:paraId="75D377C1" w14:textId="77777777" w:rsidR="009448B7" w:rsidRPr="00183B5F" w:rsidRDefault="009448B7" w:rsidP="004062FE">
      <w:pPr>
        <w:spacing w:line="240" w:lineRule="auto"/>
        <w:rPr>
          <w:szCs w:val="22"/>
        </w:rPr>
      </w:pPr>
    </w:p>
    <w:p w14:paraId="4CA60D2A" w14:textId="77777777" w:rsidR="009448B7" w:rsidRPr="00183B5F" w:rsidRDefault="00943743" w:rsidP="004062FE">
      <w:pPr>
        <w:keepNext/>
        <w:spacing w:line="240" w:lineRule="auto"/>
        <w:rPr>
          <w:b/>
          <w:szCs w:val="22"/>
        </w:rPr>
      </w:pPr>
      <w:r w:rsidRPr="00183B5F">
        <w:rPr>
          <w:b/>
          <w:noProof/>
          <w:szCs w:val="24"/>
        </w:rPr>
        <w:t>Gyermekek és serdülők</w:t>
      </w:r>
    </w:p>
    <w:p w14:paraId="1953ED63" w14:textId="77777777" w:rsidR="009448B7" w:rsidRPr="00183B5F" w:rsidRDefault="009448B7" w:rsidP="004062FE">
      <w:pPr>
        <w:keepNext/>
        <w:spacing w:line="240" w:lineRule="auto"/>
        <w:rPr>
          <w:b/>
          <w:szCs w:val="22"/>
        </w:rPr>
      </w:pPr>
    </w:p>
    <w:p w14:paraId="43C69C5F" w14:textId="77777777" w:rsidR="009448B7" w:rsidRPr="00183B5F" w:rsidRDefault="00943743" w:rsidP="004062FE">
      <w:pPr>
        <w:keepNext/>
        <w:numPr>
          <w:ilvl w:val="0"/>
          <w:numId w:val="104"/>
        </w:numPr>
        <w:tabs>
          <w:tab w:val="clear" w:pos="720"/>
          <w:tab w:val="num" w:pos="630"/>
        </w:tabs>
        <w:spacing w:line="240" w:lineRule="auto"/>
        <w:ind w:left="630" w:hanging="630"/>
        <w:rPr>
          <w:szCs w:val="22"/>
        </w:rPr>
      </w:pPr>
      <w:r w:rsidRPr="00183B5F">
        <w:rPr>
          <w:szCs w:val="22"/>
        </w:rPr>
        <w:t>Védőoltások: ha lehetséges, a gyermeknek meg kell kapnia az összes esedékes védőoltást a Humira alkalmazásának megkezdése előtt.</w:t>
      </w:r>
    </w:p>
    <w:p w14:paraId="3569C533" w14:textId="77777777" w:rsidR="009448B7" w:rsidRPr="00183B5F" w:rsidRDefault="009448B7" w:rsidP="004062FE">
      <w:pPr>
        <w:spacing w:line="240" w:lineRule="auto"/>
        <w:rPr>
          <w:b/>
          <w:szCs w:val="22"/>
        </w:rPr>
      </w:pPr>
    </w:p>
    <w:p w14:paraId="35BF0374" w14:textId="77777777" w:rsidR="009448B7" w:rsidRPr="00183B5F" w:rsidRDefault="00943743" w:rsidP="004062FE">
      <w:pPr>
        <w:keepNext/>
        <w:spacing w:line="240" w:lineRule="auto"/>
        <w:rPr>
          <w:b/>
          <w:noProof/>
          <w:szCs w:val="24"/>
        </w:rPr>
      </w:pPr>
      <w:r w:rsidRPr="00183B5F">
        <w:rPr>
          <w:b/>
          <w:noProof/>
          <w:szCs w:val="24"/>
        </w:rPr>
        <w:t>Egyéb</w:t>
      </w:r>
      <w:r w:rsidRPr="00183B5F">
        <w:rPr>
          <w:b/>
          <w:szCs w:val="24"/>
        </w:rPr>
        <w:t xml:space="preserve"> gyógyszerek</w:t>
      </w:r>
      <w:r w:rsidRPr="00183B5F">
        <w:rPr>
          <w:b/>
          <w:noProof/>
          <w:szCs w:val="24"/>
        </w:rPr>
        <w:t xml:space="preserve"> és a Humira</w:t>
      </w:r>
    </w:p>
    <w:p w14:paraId="7BF44F61" w14:textId="77777777" w:rsidR="009448B7" w:rsidRPr="00183B5F" w:rsidRDefault="009448B7" w:rsidP="004062FE">
      <w:pPr>
        <w:keepNext/>
        <w:spacing w:line="240" w:lineRule="auto"/>
        <w:rPr>
          <w:b/>
          <w:noProof/>
          <w:szCs w:val="24"/>
        </w:rPr>
      </w:pPr>
    </w:p>
    <w:p w14:paraId="66963F10" w14:textId="77777777" w:rsidR="009448B7" w:rsidRPr="00183B5F" w:rsidRDefault="00943743" w:rsidP="004062FE">
      <w:pPr>
        <w:keepNext/>
        <w:spacing w:line="240" w:lineRule="auto"/>
        <w:ind w:right="-2"/>
        <w:rPr>
          <w:noProof/>
          <w:szCs w:val="24"/>
        </w:rPr>
      </w:pPr>
      <w:r w:rsidRPr="00183B5F">
        <w:rPr>
          <w:szCs w:val="24"/>
        </w:rPr>
        <w:t xml:space="preserve">Feltétlenül tájékoztassa kezelőorvosát vagy gyógyszerészét jelenleg vagy nemrégiben </w:t>
      </w:r>
      <w:r w:rsidRPr="00183B5F">
        <w:rPr>
          <w:noProof/>
          <w:szCs w:val="24"/>
        </w:rPr>
        <w:t>szedett, valamint szedni tervezett</w:t>
      </w:r>
      <w:r w:rsidRPr="00183B5F">
        <w:rPr>
          <w:szCs w:val="24"/>
        </w:rPr>
        <w:t xml:space="preserve"> egyéb gyógyszereiről</w:t>
      </w:r>
      <w:r w:rsidRPr="00183B5F">
        <w:rPr>
          <w:noProof/>
          <w:szCs w:val="24"/>
        </w:rPr>
        <w:t>.</w:t>
      </w:r>
    </w:p>
    <w:p w14:paraId="2CFE2859" w14:textId="77777777" w:rsidR="009448B7" w:rsidRPr="00183B5F" w:rsidRDefault="009448B7" w:rsidP="004062FE">
      <w:pPr>
        <w:spacing w:line="240" w:lineRule="auto"/>
        <w:ind w:right="-2"/>
        <w:rPr>
          <w:b/>
          <w:szCs w:val="22"/>
        </w:rPr>
      </w:pPr>
    </w:p>
    <w:p w14:paraId="2D5EA883" w14:textId="77777777" w:rsidR="009448B7" w:rsidRPr="00183B5F" w:rsidRDefault="00943743" w:rsidP="004062FE">
      <w:pPr>
        <w:tabs>
          <w:tab w:val="num" w:pos="630"/>
        </w:tabs>
        <w:spacing w:line="240" w:lineRule="auto"/>
        <w:ind w:left="630" w:hanging="630"/>
        <w:rPr>
          <w:szCs w:val="22"/>
        </w:rPr>
      </w:pPr>
      <w:r w:rsidRPr="00183B5F">
        <w:rPr>
          <w:szCs w:val="22"/>
        </w:rPr>
        <w:t>Nem alkalmazhatja a Humira</w:t>
      </w:r>
      <w:r w:rsidRPr="00183B5F">
        <w:rPr>
          <w:szCs w:val="22"/>
        </w:rPr>
        <w:noBreakHyphen/>
        <w:t xml:space="preserve">t, a </w:t>
      </w:r>
      <w:r w:rsidR="00A40367" w:rsidRPr="00183B5F">
        <w:rPr>
          <w:szCs w:val="22"/>
        </w:rPr>
        <w:t xml:space="preserve">következő </w:t>
      </w:r>
      <w:r w:rsidRPr="00183B5F">
        <w:rPr>
          <w:szCs w:val="22"/>
        </w:rPr>
        <w:t>hatóanyagokat tartalmazó gyógyszerekkel</w:t>
      </w:r>
      <w:r w:rsidR="00100C4A" w:rsidRPr="00183B5F">
        <w:rPr>
          <w:szCs w:val="22"/>
        </w:rPr>
        <w:t>,</w:t>
      </w:r>
      <w:r w:rsidR="000D6F55" w:rsidRPr="00183B5F">
        <w:rPr>
          <w:szCs w:val="22"/>
        </w:rPr>
        <w:t xml:space="preserve"> mert fokozódik a súlyos fertőzések kockázata:</w:t>
      </w:r>
    </w:p>
    <w:p w14:paraId="23737CB0" w14:textId="77777777" w:rsidR="009448B7" w:rsidRPr="00183B5F" w:rsidRDefault="00943743" w:rsidP="004062FE">
      <w:pPr>
        <w:numPr>
          <w:ilvl w:val="0"/>
          <w:numId w:val="105"/>
        </w:numPr>
        <w:spacing w:line="240" w:lineRule="auto"/>
        <w:ind w:left="993" w:right="-2" w:hanging="426"/>
        <w:rPr>
          <w:szCs w:val="22"/>
        </w:rPr>
      </w:pPr>
      <w:r w:rsidRPr="00183B5F">
        <w:rPr>
          <w:szCs w:val="22"/>
        </w:rPr>
        <w:t>anakinra</w:t>
      </w:r>
    </w:p>
    <w:p w14:paraId="20833046" w14:textId="77777777" w:rsidR="009448B7" w:rsidRPr="00183B5F" w:rsidRDefault="00943743" w:rsidP="004062FE">
      <w:pPr>
        <w:numPr>
          <w:ilvl w:val="0"/>
          <w:numId w:val="105"/>
        </w:numPr>
        <w:spacing w:line="240" w:lineRule="auto"/>
        <w:ind w:left="993" w:right="-2" w:hanging="426"/>
        <w:rPr>
          <w:szCs w:val="22"/>
        </w:rPr>
      </w:pPr>
      <w:r w:rsidRPr="00183B5F">
        <w:rPr>
          <w:szCs w:val="22"/>
        </w:rPr>
        <w:t>abatacept.</w:t>
      </w:r>
    </w:p>
    <w:p w14:paraId="63DFBA14" w14:textId="77777777" w:rsidR="009448B7" w:rsidRPr="00183B5F" w:rsidRDefault="009448B7" w:rsidP="004062FE">
      <w:pPr>
        <w:spacing w:line="240" w:lineRule="auto"/>
        <w:ind w:right="-2"/>
        <w:rPr>
          <w:b/>
          <w:szCs w:val="22"/>
        </w:rPr>
      </w:pPr>
    </w:p>
    <w:p w14:paraId="18F28A81" w14:textId="77777777" w:rsidR="009448B7" w:rsidRPr="00183B5F" w:rsidRDefault="00943743" w:rsidP="004062FE">
      <w:pPr>
        <w:spacing w:line="240" w:lineRule="auto"/>
        <w:ind w:right="-2"/>
        <w:rPr>
          <w:szCs w:val="22"/>
        </w:rPr>
      </w:pPr>
      <w:r w:rsidRPr="00183B5F">
        <w:rPr>
          <w:szCs w:val="22"/>
        </w:rPr>
        <w:t>A Humira együtt alkalmazható:</w:t>
      </w:r>
    </w:p>
    <w:p w14:paraId="2BB8264B" w14:textId="77777777" w:rsidR="009448B7" w:rsidRPr="00183B5F" w:rsidRDefault="00943743" w:rsidP="004062FE">
      <w:pPr>
        <w:numPr>
          <w:ilvl w:val="0"/>
          <w:numId w:val="130"/>
        </w:numPr>
        <w:spacing w:line="240" w:lineRule="auto"/>
        <w:ind w:left="993" w:right="-2" w:hanging="426"/>
        <w:rPr>
          <w:szCs w:val="22"/>
        </w:rPr>
      </w:pPr>
      <w:r w:rsidRPr="00183B5F">
        <w:rPr>
          <w:szCs w:val="22"/>
        </w:rPr>
        <w:t>metotrexáttal</w:t>
      </w:r>
    </w:p>
    <w:p w14:paraId="52A1E443" w14:textId="77777777" w:rsidR="009448B7" w:rsidRPr="00183B5F" w:rsidRDefault="00943743" w:rsidP="004062FE">
      <w:pPr>
        <w:numPr>
          <w:ilvl w:val="0"/>
          <w:numId w:val="118"/>
        </w:numPr>
        <w:spacing w:line="240" w:lineRule="auto"/>
        <w:ind w:left="993" w:right="-2" w:hanging="426"/>
        <w:rPr>
          <w:szCs w:val="22"/>
        </w:rPr>
      </w:pPr>
      <w:r w:rsidRPr="00183B5F">
        <w:rPr>
          <w:szCs w:val="22"/>
        </w:rPr>
        <w:t>egyéb, a betegséget befolyásoló reumaellenes szerrel (szulfaszalazin, hidroxiklorokin, leflunomid és arany injekció)</w:t>
      </w:r>
    </w:p>
    <w:p w14:paraId="27BEB017" w14:textId="77777777" w:rsidR="009448B7" w:rsidRPr="00183B5F" w:rsidRDefault="00943743" w:rsidP="004062FE">
      <w:pPr>
        <w:numPr>
          <w:ilvl w:val="0"/>
          <w:numId w:val="118"/>
        </w:numPr>
        <w:spacing w:line="240" w:lineRule="auto"/>
        <w:ind w:left="993" w:right="-2" w:hanging="426"/>
        <w:rPr>
          <w:szCs w:val="22"/>
        </w:rPr>
      </w:pPr>
      <w:r w:rsidRPr="00183B5F">
        <w:rPr>
          <w:szCs w:val="22"/>
        </w:rPr>
        <w:t>szteroidokkal vagy fájdalomcsillapító készítményekkel, beleértve a nem</w:t>
      </w:r>
      <w:r w:rsidR="00DE11C0" w:rsidRPr="00183B5F">
        <w:rPr>
          <w:szCs w:val="22"/>
        </w:rPr>
        <w:t>-</w:t>
      </w:r>
      <w:r w:rsidRPr="00183B5F">
        <w:rPr>
          <w:szCs w:val="22"/>
        </w:rPr>
        <w:t xml:space="preserve">szteroid </w:t>
      </w:r>
      <w:r w:rsidR="008511AE" w:rsidRPr="00183B5F">
        <w:rPr>
          <w:szCs w:val="22"/>
        </w:rPr>
        <w:t>gyulladásgátlóka</w:t>
      </w:r>
      <w:r w:rsidRPr="00183B5F">
        <w:rPr>
          <w:szCs w:val="22"/>
        </w:rPr>
        <w:t>t (NSAID-ket).</w:t>
      </w:r>
    </w:p>
    <w:p w14:paraId="59761C59" w14:textId="77777777" w:rsidR="009448B7" w:rsidRPr="00183B5F" w:rsidRDefault="009448B7" w:rsidP="004062FE">
      <w:pPr>
        <w:spacing w:line="240" w:lineRule="auto"/>
        <w:ind w:right="-2"/>
        <w:rPr>
          <w:szCs w:val="22"/>
        </w:rPr>
      </w:pPr>
    </w:p>
    <w:p w14:paraId="232A72CD" w14:textId="77777777" w:rsidR="009448B7" w:rsidRPr="00183B5F" w:rsidRDefault="00943743" w:rsidP="004062FE">
      <w:pPr>
        <w:spacing w:line="240" w:lineRule="auto"/>
        <w:ind w:right="-2"/>
        <w:rPr>
          <w:szCs w:val="22"/>
        </w:rPr>
      </w:pPr>
      <w:r w:rsidRPr="00183B5F">
        <w:rPr>
          <w:szCs w:val="22"/>
        </w:rPr>
        <w:t>Ha kérdése van, kérdezze meg kezelőorvosát.</w:t>
      </w:r>
    </w:p>
    <w:p w14:paraId="2E82EE9A" w14:textId="77777777" w:rsidR="009448B7" w:rsidRPr="00183B5F" w:rsidRDefault="009448B7" w:rsidP="004062FE">
      <w:pPr>
        <w:spacing w:line="240" w:lineRule="auto"/>
        <w:rPr>
          <w:szCs w:val="22"/>
        </w:rPr>
      </w:pPr>
    </w:p>
    <w:p w14:paraId="70085266" w14:textId="77777777" w:rsidR="007A75D8" w:rsidRPr="00183B5F" w:rsidRDefault="00943743" w:rsidP="007A75D8">
      <w:pPr>
        <w:spacing w:line="240" w:lineRule="auto"/>
        <w:ind w:left="567" w:right="-2" w:hanging="567"/>
        <w:rPr>
          <w:b/>
          <w:szCs w:val="22"/>
        </w:rPr>
      </w:pPr>
      <w:r w:rsidRPr="00183B5F">
        <w:rPr>
          <w:b/>
          <w:szCs w:val="22"/>
        </w:rPr>
        <w:t>Terhesség és szoptatás</w:t>
      </w:r>
    </w:p>
    <w:p w14:paraId="0A4E05B3" w14:textId="77777777" w:rsidR="007A75D8" w:rsidRPr="00183B5F" w:rsidRDefault="007A75D8" w:rsidP="007A75D8">
      <w:pPr>
        <w:spacing w:line="240" w:lineRule="auto"/>
        <w:ind w:left="567" w:right="-2" w:hanging="567"/>
        <w:rPr>
          <w:b/>
          <w:szCs w:val="22"/>
        </w:rPr>
      </w:pPr>
    </w:p>
    <w:p w14:paraId="6E3D5434" w14:textId="77777777" w:rsidR="007A75D8" w:rsidRPr="00183B5F" w:rsidRDefault="00943743" w:rsidP="00E87C31">
      <w:pPr>
        <w:pStyle w:val="ListParagraph"/>
        <w:numPr>
          <w:ilvl w:val="0"/>
          <w:numId w:val="196"/>
        </w:numPr>
        <w:spacing w:line="240" w:lineRule="auto"/>
        <w:ind w:left="567" w:hanging="567"/>
        <w:rPr>
          <w:szCs w:val="22"/>
        </w:rPr>
      </w:pPr>
      <w:r w:rsidRPr="00183B5F">
        <w:rPr>
          <w:szCs w:val="22"/>
        </w:rPr>
        <w:t xml:space="preserve">A terhesség megelőzése érdekében meg kell fontolnia a megfelelő fogamzásgátlás alkalmazását </w:t>
      </w:r>
      <w:r w:rsidR="006E54E7" w:rsidRPr="00183B5F">
        <w:rPr>
          <w:szCs w:val="22"/>
        </w:rPr>
        <w:t xml:space="preserve">és az alkalmazás folytatását a </w:t>
      </w:r>
      <w:r w:rsidRPr="00183B5F">
        <w:rPr>
          <w:szCs w:val="22"/>
        </w:rPr>
        <w:t>Humira</w:t>
      </w:r>
      <w:r w:rsidRPr="00183B5F">
        <w:rPr>
          <w:szCs w:val="22"/>
        </w:rPr>
        <w:noBreakHyphen/>
        <w:t>val történt utolsó kezelést követően legalább 5 hónapig.</w:t>
      </w:r>
    </w:p>
    <w:p w14:paraId="41D4473A" w14:textId="77777777" w:rsidR="007A75D8" w:rsidRPr="00183B5F" w:rsidRDefault="00943743" w:rsidP="007A75D8">
      <w:pPr>
        <w:pStyle w:val="ListParagraph"/>
        <w:numPr>
          <w:ilvl w:val="0"/>
          <w:numId w:val="196"/>
        </w:numPr>
        <w:spacing w:line="240" w:lineRule="auto"/>
        <w:ind w:left="567" w:hanging="567"/>
        <w:rPr>
          <w:szCs w:val="22"/>
        </w:rPr>
      </w:pPr>
      <w:r w:rsidRPr="00183B5F">
        <w:rPr>
          <w:szCs w:val="22"/>
        </w:rPr>
        <w:t>Amennyiben terhes, úgy gondolja, hogy terhes lehet, vagy gyermeket tervez, kérje kezelőorvosa tanácsát ennek a gyógyszernek az alkalmazásáról.</w:t>
      </w:r>
    </w:p>
    <w:p w14:paraId="07BD4B20" w14:textId="77777777" w:rsidR="007A75D8" w:rsidRPr="00183B5F" w:rsidRDefault="00943743" w:rsidP="007A75D8">
      <w:pPr>
        <w:pStyle w:val="ListParagraph"/>
        <w:numPr>
          <w:ilvl w:val="0"/>
          <w:numId w:val="196"/>
        </w:numPr>
        <w:spacing w:line="240" w:lineRule="auto"/>
        <w:ind w:left="567" w:hanging="567"/>
        <w:rPr>
          <w:szCs w:val="22"/>
        </w:rPr>
      </w:pPr>
      <w:r w:rsidRPr="00183B5F">
        <w:rPr>
          <w:szCs w:val="22"/>
        </w:rPr>
        <w:t xml:space="preserve">A Humira csak akkor alkalmazható terhesség alatt, ha </w:t>
      </w:r>
      <w:r w:rsidR="004B37B2" w:rsidRPr="00183B5F">
        <w:rPr>
          <w:szCs w:val="22"/>
        </w:rPr>
        <w:t>egyértelműen</w:t>
      </w:r>
      <w:r w:rsidRPr="00183B5F">
        <w:rPr>
          <w:szCs w:val="22"/>
        </w:rPr>
        <w:t xml:space="preserve"> szükséges.</w:t>
      </w:r>
    </w:p>
    <w:p w14:paraId="03F7AFF1" w14:textId="77777777" w:rsidR="007A75D8" w:rsidRPr="00183B5F" w:rsidRDefault="00943743" w:rsidP="006E54E7">
      <w:pPr>
        <w:pStyle w:val="ListParagraph"/>
        <w:numPr>
          <w:ilvl w:val="0"/>
          <w:numId w:val="196"/>
        </w:numPr>
        <w:spacing w:line="240" w:lineRule="auto"/>
        <w:ind w:left="567" w:hanging="567"/>
        <w:rPr>
          <w:szCs w:val="22"/>
        </w:rPr>
      </w:pPr>
      <w:r w:rsidRPr="00183B5F">
        <w:rPr>
          <w:szCs w:val="22"/>
        </w:rPr>
        <w:t>Egy terhes nők</w:t>
      </w:r>
      <w:r w:rsidR="006E54E7" w:rsidRPr="00183B5F">
        <w:rPr>
          <w:szCs w:val="22"/>
        </w:rPr>
        <w:t>kel</w:t>
      </w:r>
      <w:r w:rsidRPr="00183B5F">
        <w:rPr>
          <w:szCs w:val="22"/>
        </w:rPr>
        <w:t xml:space="preserve"> végzett klinikai vizsgálat alapján nem volt magasabb a születési rendellenességek kockázata azokn</w:t>
      </w:r>
      <w:r w:rsidR="006E54E7" w:rsidRPr="00183B5F">
        <w:rPr>
          <w:szCs w:val="22"/>
        </w:rPr>
        <w:t>ál</w:t>
      </w:r>
      <w:r w:rsidRPr="00183B5F">
        <w:rPr>
          <w:szCs w:val="22"/>
        </w:rPr>
        <w:t xml:space="preserve"> a nőkn</w:t>
      </w:r>
      <w:r w:rsidR="006E54E7" w:rsidRPr="00183B5F">
        <w:rPr>
          <w:szCs w:val="22"/>
        </w:rPr>
        <w:t>él</w:t>
      </w:r>
      <w:r w:rsidRPr="00183B5F">
        <w:rPr>
          <w:szCs w:val="22"/>
        </w:rPr>
        <w:t xml:space="preserve">, akik a terhességük </w:t>
      </w:r>
      <w:r w:rsidR="006E54E7" w:rsidRPr="00183B5F">
        <w:rPr>
          <w:szCs w:val="22"/>
        </w:rPr>
        <w:t>alatt</w:t>
      </w:r>
      <w:r w:rsidRPr="00183B5F">
        <w:rPr>
          <w:szCs w:val="22"/>
        </w:rPr>
        <w:t xml:space="preserve"> Humira</w:t>
      </w:r>
      <w:r w:rsidRPr="00183B5F">
        <w:rPr>
          <w:szCs w:val="22"/>
        </w:rPr>
        <w:noBreakHyphen/>
        <w:t xml:space="preserve">kezelésben részesültek, </w:t>
      </w:r>
      <w:r w:rsidR="006E54E7" w:rsidRPr="00183B5F">
        <w:rPr>
          <w:szCs w:val="22"/>
        </w:rPr>
        <w:t>mint</w:t>
      </w:r>
      <w:r w:rsidRPr="00183B5F">
        <w:rPr>
          <w:szCs w:val="22"/>
        </w:rPr>
        <w:t xml:space="preserve"> az azonos betegségben szenvedő, Humira</w:t>
      </w:r>
      <w:r w:rsidRPr="00183B5F">
        <w:rPr>
          <w:szCs w:val="22"/>
        </w:rPr>
        <w:noBreakHyphen/>
        <w:t>kezelésben nem részesült nők</w:t>
      </w:r>
      <w:r w:rsidR="006E54E7" w:rsidRPr="00183B5F">
        <w:rPr>
          <w:szCs w:val="22"/>
        </w:rPr>
        <w:t>nél</w:t>
      </w:r>
      <w:r w:rsidRPr="00183B5F">
        <w:rPr>
          <w:szCs w:val="22"/>
        </w:rPr>
        <w:t>.</w:t>
      </w:r>
    </w:p>
    <w:p w14:paraId="5025758F" w14:textId="77777777" w:rsidR="007A75D8" w:rsidRPr="00183B5F" w:rsidRDefault="00943743" w:rsidP="007A75D8">
      <w:pPr>
        <w:pStyle w:val="ListParagraph"/>
        <w:numPr>
          <w:ilvl w:val="0"/>
          <w:numId w:val="196"/>
        </w:numPr>
        <w:spacing w:line="240" w:lineRule="auto"/>
        <w:ind w:left="567" w:hanging="567"/>
        <w:rPr>
          <w:szCs w:val="22"/>
        </w:rPr>
      </w:pPr>
      <w:r w:rsidRPr="00183B5F">
        <w:t>Szoptatás alatt a Humira alkalmazható.</w:t>
      </w:r>
    </w:p>
    <w:p w14:paraId="481BD3F4" w14:textId="77777777" w:rsidR="007A75D8" w:rsidRPr="00183B5F" w:rsidRDefault="00943743" w:rsidP="00E87C31">
      <w:pPr>
        <w:pStyle w:val="ListParagraph"/>
        <w:numPr>
          <w:ilvl w:val="0"/>
          <w:numId w:val="196"/>
        </w:numPr>
        <w:spacing w:line="240" w:lineRule="auto"/>
        <w:ind w:left="567" w:hanging="567"/>
        <w:rPr>
          <w:szCs w:val="22"/>
        </w:rPr>
      </w:pPr>
      <w:r w:rsidRPr="00183B5F">
        <w:rPr>
          <w:szCs w:val="22"/>
        </w:rPr>
        <w:t>Ha a terhessége alatt Humira</w:t>
      </w:r>
      <w:r w:rsidRPr="00183B5F">
        <w:rPr>
          <w:szCs w:val="22"/>
        </w:rPr>
        <w:noBreakHyphen/>
        <w:t>t kapott, a kisbabája nagyobb eséllyel kap el valamilyen fertőzést.</w:t>
      </w:r>
    </w:p>
    <w:p w14:paraId="6E9F0BC8" w14:textId="77777777" w:rsidR="007A75D8" w:rsidRPr="00183B5F" w:rsidRDefault="00943743" w:rsidP="00E87C31">
      <w:pPr>
        <w:pStyle w:val="ListParagraph"/>
        <w:numPr>
          <w:ilvl w:val="0"/>
          <w:numId w:val="196"/>
        </w:numPr>
        <w:spacing w:line="240" w:lineRule="auto"/>
        <w:ind w:left="567" w:hanging="567"/>
        <w:rPr>
          <w:szCs w:val="22"/>
        </w:rPr>
      </w:pPr>
      <w:r w:rsidRPr="00183B5F">
        <w:rPr>
          <w:szCs w:val="22"/>
        </w:rPr>
        <w:t>Fontos, hogy elmondja kisbabája orvosának vagy az őt kezelő egészségügyi személyzetnek, hogy a terhessége alatt Humira</w:t>
      </w:r>
      <w:r w:rsidRPr="00183B5F">
        <w:rPr>
          <w:szCs w:val="22"/>
        </w:rPr>
        <w:noBreakHyphen/>
        <w:t xml:space="preserve">t kapott, mielőtt a kisbaba bármilyen védőoltást kapna. </w:t>
      </w:r>
      <w:r w:rsidRPr="00183B5F">
        <w:t xml:space="preserve">A védőoltásokról további információt </w:t>
      </w:r>
      <w:r w:rsidRPr="00183B5F">
        <w:rPr>
          <w:szCs w:val="22"/>
        </w:rPr>
        <w:t>talál a „Figyelmeztetések és óvintézkedések” részben</w:t>
      </w:r>
      <w:r w:rsidR="00563502" w:rsidRPr="00183B5F">
        <w:rPr>
          <w:szCs w:val="22"/>
        </w:rPr>
        <w:t>.</w:t>
      </w:r>
    </w:p>
    <w:p w14:paraId="6693F72F" w14:textId="77777777" w:rsidR="007A75D8" w:rsidRPr="00183B5F" w:rsidRDefault="007A75D8" w:rsidP="007A75D8">
      <w:pPr>
        <w:spacing w:line="240" w:lineRule="auto"/>
        <w:rPr>
          <w:szCs w:val="22"/>
        </w:rPr>
      </w:pPr>
    </w:p>
    <w:p w14:paraId="557EA5E8" w14:textId="77777777" w:rsidR="009448B7" w:rsidRPr="00183B5F" w:rsidRDefault="00943743" w:rsidP="004062FE">
      <w:pPr>
        <w:keepNext/>
        <w:spacing w:line="240" w:lineRule="auto"/>
        <w:ind w:right="-2"/>
        <w:rPr>
          <w:b/>
          <w:bCs/>
          <w:szCs w:val="22"/>
        </w:rPr>
      </w:pPr>
      <w:r w:rsidRPr="00183B5F">
        <w:rPr>
          <w:b/>
          <w:bCs/>
          <w:szCs w:val="22"/>
        </w:rPr>
        <w:t>A készítmény hatásai a gépjárművezetéshez és a gépek kezeléséhez szükséges képességekre</w:t>
      </w:r>
    </w:p>
    <w:p w14:paraId="76AF9B55" w14:textId="77777777" w:rsidR="009448B7" w:rsidRPr="00183B5F" w:rsidRDefault="009448B7" w:rsidP="004062FE">
      <w:pPr>
        <w:keepNext/>
        <w:spacing w:line="240" w:lineRule="auto"/>
        <w:ind w:right="-2"/>
        <w:rPr>
          <w:szCs w:val="22"/>
        </w:rPr>
      </w:pPr>
    </w:p>
    <w:p w14:paraId="49E6F4DA" w14:textId="77777777" w:rsidR="009448B7" w:rsidRPr="00183B5F" w:rsidRDefault="00943743" w:rsidP="004062FE">
      <w:pPr>
        <w:keepNext/>
        <w:spacing w:line="240" w:lineRule="auto"/>
        <w:rPr>
          <w:szCs w:val="22"/>
        </w:rPr>
      </w:pPr>
      <w:r w:rsidRPr="00183B5F">
        <w:rPr>
          <w:szCs w:val="22"/>
        </w:rPr>
        <w:t xml:space="preserve">A Humira csak csekély mértékben befolyásolhatja a gépjárművezetéshez, kerékpározáshoz vagy a gépek </w:t>
      </w:r>
      <w:r w:rsidRPr="00183B5F">
        <w:rPr>
          <w:noProof/>
          <w:szCs w:val="22"/>
        </w:rPr>
        <w:t>kezeléséhez</w:t>
      </w:r>
      <w:r w:rsidRPr="00183B5F">
        <w:rPr>
          <w:szCs w:val="22"/>
        </w:rPr>
        <w:t xml:space="preserve"> szükséges képességeket. A Humira alkalmazását követően előfordulhat olyan érzés, mintha forogna a szoba vagy a tér, továbbá látászavar is előfordulhat.</w:t>
      </w:r>
    </w:p>
    <w:p w14:paraId="3C4C3B78" w14:textId="77777777" w:rsidR="009448B7" w:rsidRDefault="009448B7" w:rsidP="004062FE">
      <w:pPr>
        <w:spacing w:line="240" w:lineRule="auto"/>
        <w:rPr>
          <w:ins w:id="14033" w:author="AbbVie_HU_03" w:date="2025-05-14T16:49:00Z"/>
          <w:szCs w:val="22"/>
        </w:rPr>
      </w:pPr>
    </w:p>
    <w:p w14:paraId="6DBD058F" w14:textId="77777777" w:rsidR="005F356A" w:rsidRPr="007276E0" w:rsidRDefault="00943743" w:rsidP="005F356A">
      <w:pPr>
        <w:spacing w:line="240" w:lineRule="auto"/>
        <w:rPr>
          <w:ins w:id="14034" w:author="AbbVie_HU_03" w:date="2025-05-14T16:49:00Z"/>
          <w:b/>
          <w:bCs/>
          <w:szCs w:val="22"/>
          <w:rPrChange w:id="14035" w:author="AbbVie_HU_03" w:date="2025-05-14T17:34:00Z">
            <w:rPr>
              <w:ins w:id="14036" w:author="AbbVie_HU_03" w:date="2025-05-14T16:49:00Z"/>
              <w:szCs w:val="22"/>
            </w:rPr>
          </w:rPrChange>
        </w:rPr>
      </w:pPr>
      <w:ins w:id="14037" w:author="AbbVie_HU_03" w:date="2025-05-14T16:49:00Z">
        <w:r w:rsidRPr="007276E0">
          <w:rPr>
            <w:b/>
            <w:bCs/>
            <w:szCs w:val="22"/>
            <w:rPrChange w:id="14038" w:author="AbbVie_HU_03" w:date="2025-05-14T17:34:00Z">
              <w:rPr>
                <w:szCs w:val="22"/>
              </w:rPr>
            </w:rPrChange>
          </w:rPr>
          <w:t>A Humira poliszorbátot tartalmaz</w:t>
        </w:r>
      </w:ins>
    </w:p>
    <w:p w14:paraId="078B2A66" w14:textId="77777777" w:rsidR="005F356A" w:rsidRDefault="005F356A" w:rsidP="005F356A">
      <w:pPr>
        <w:spacing w:line="240" w:lineRule="auto"/>
        <w:rPr>
          <w:ins w:id="14039" w:author="AbbVie_HU_03" w:date="2025-05-14T16:49:00Z"/>
          <w:szCs w:val="22"/>
        </w:rPr>
      </w:pPr>
    </w:p>
    <w:p w14:paraId="39EF28C9" w14:textId="5C2A6812" w:rsidR="005F356A" w:rsidRPr="00183B5F" w:rsidRDefault="00943743" w:rsidP="005F356A">
      <w:pPr>
        <w:spacing w:line="240" w:lineRule="auto"/>
        <w:rPr>
          <w:szCs w:val="22"/>
        </w:rPr>
      </w:pPr>
      <w:ins w:id="14040" w:author="AbbVie_HU_03" w:date="2025-05-14T16:49:00Z">
        <w:r>
          <w:rPr>
            <w:szCs w:val="22"/>
          </w:rPr>
          <w:t xml:space="preserve">A gyógyszer 0,8 mg poliszorbát 80-at tartalmaz </w:t>
        </w:r>
      </w:ins>
      <w:ins w:id="14041" w:author="AbbVie_HU_03" w:date="2025-05-14T16:50:00Z">
        <w:r>
          <w:rPr>
            <w:szCs w:val="22"/>
          </w:rPr>
          <w:t>8</w:t>
        </w:r>
      </w:ins>
      <w:ins w:id="14042" w:author="AbbVie_HU_03" w:date="2025-05-14T16:49:00Z">
        <w:r>
          <w:rPr>
            <w:szCs w:val="22"/>
          </w:rPr>
          <w:t>0</w:t>
        </w:r>
      </w:ins>
      <w:ins w:id="14043" w:author="AbbVie_HU_03" w:date="2025-05-14T16:50:00Z">
        <w:r>
          <w:rPr>
            <w:szCs w:val="22"/>
          </w:rPr>
          <w:t> </w:t>
        </w:r>
      </w:ins>
      <w:ins w:id="14044" w:author="AbbVie_HU_03" w:date="2025-05-14T16:49:00Z">
        <w:r>
          <w:rPr>
            <w:szCs w:val="22"/>
          </w:rPr>
          <w:t>mg-os adagonként. A poliszorbát</w:t>
        </w:r>
      </w:ins>
      <w:ins w:id="14045" w:author="AbbVie_HU_03" w:date="2025-09-05T15:58:00Z">
        <w:r w:rsidR="004E03E2">
          <w:rPr>
            <w:szCs w:val="22"/>
          </w:rPr>
          <w:t>ok</w:t>
        </w:r>
      </w:ins>
      <w:ins w:id="14046" w:author="AbbVie_HU_03" w:date="2025-05-14T16:49:00Z">
        <w:r>
          <w:rPr>
            <w:szCs w:val="22"/>
          </w:rPr>
          <w:t xml:space="preserve"> allergiás reakció</w:t>
        </w:r>
      </w:ins>
      <w:ins w:id="14047" w:author="AbbVie_HU_03" w:date="2025-09-05T15:58:00Z">
        <w:r w:rsidR="004E03E2">
          <w:rPr>
            <w:szCs w:val="22"/>
          </w:rPr>
          <w:t>ka</w:t>
        </w:r>
      </w:ins>
      <w:ins w:id="14048" w:author="AbbVie_HU_03" w:date="2025-05-14T16:49:00Z">
        <w:r>
          <w:rPr>
            <w:szCs w:val="22"/>
          </w:rPr>
          <w:t>t okozhat</w:t>
        </w:r>
      </w:ins>
      <w:ins w:id="14049" w:author="AbbVie_HU_03" w:date="2025-09-05T15:58:00Z">
        <w:r w:rsidR="004E03E2">
          <w:rPr>
            <w:szCs w:val="22"/>
          </w:rPr>
          <w:t>nak</w:t>
        </w:r>
      </w:ins>
      <w:ins w:id="14050" w:author="AbbVie_HU_03" w:date="2025-05-14T16:49:00Z">
        <w:r>
          <w:rPr>
            <w:szCs w:val="22"/>
          </w:rPr>
          <w:t>. Tájékoztassa kezelőorvosát, ha gyermekének bármilyen ismert allergiája van.</w:t>
        </w:r>
      </w:ins>
    </w:p>
    <w:p w14:paraId="53923020" w14:textId="77777777" w:rsidR="009448B7" w:rsidRPr="00183B5F" w:rsidRDefault="009448B7" w:rsidP="004062FE">
      <w:pPr>
        <w:spacing w:line="240" w:lineRule="auto"/>
        <w:rPr>
          <w:szCs w:val="22"/>
        </w:rPr>
      </w:pPr>
    </w:p>
    <w:p w14:paraId="2A4D2B0C" w14:textId="77777777" w:rsidR="009448B7" w:rsidRPr="00183B5F" w:rsidRDefault="00943743" w:rsidP="004062FE">
      <w:pPr>
        <w:keepNext/>
        <w:spacing w:line="240" w:lineRule="auto"/>
        <w:ind w:left="567" w:right="-29" w:hanging="567"/>
        <w:rPr>
          <w:b/>
          <w:szCs w:val="22"/>
        </w:rPr>
      </w:pPr>
      <w:r w:rsidRPr="00183B5F">
        <w:rPr>
          <w:b/>
          <w:szCs w:val="22"/>
        </w:rPr>
        <w:t>3.</w:t>
      </w:r>
      <w:r w:rsidRPr="00183B5F">
        <w:rPr>
          <w:b/>
          <w:szCs w:val="22"/>
        </w:rPr>
        <w:tab/>
        <w:t>Hogyan kell alkalmazni a Humira</w:t>
      </w:r>
      <w:r w:rsidRPr="00183B5F">
        <w:rPr>
          <w:b/>
          <w:szCs w:val="22"/>
        </w:rPr>
        <w:noBreakHyphen/>
        <w:t>t?</w:t>
      </w:r>
    </w:p>
    <w:p w14:paraId="6D7922A7" w14:textId="77777777" w:rsidR="009448B7" w:rsidRPr="00183B5F" w:rsidRDefault="009448B7" w:rsidP="004062FE">
      <w:pPr>
        <w:keepNext/>
        <w:spacing w:line="240" w:lineRule="auto"/>
        <w:ind w:left="567" w:right="-29" w:hanging="567"/>
        <w:rPr>
          <w:szCs w:val="22"/>
        </w:rPr>
      </w:pPr>
    </w:p>
    <w:p w14:paraId="5B3362D1" w14:textId="77777777" w:rsidR="009448B7" w:rsidRPr="00183B5F" w:rsidRDefault="00943743" w:rsidP="004062FE">
      <w:pPr>
        <w:keepNext/>
        <w:spacing w:line="240" w:lineRule="auto"/>
        <w:ind w:right="-29"/>
        <w:rPr>
          <w:szCs w:val="22"/>
        </w:rPr>
      </w:pPr>
      <w:r w:rsidRPr="00183B5F">
        <w:rPr>
          <w:noProof/>
          <w:szCs w:val="24"/>
        </w:rPr>
        <w:t>A gyógyszert</w:t>
      </w:r>
      <w:r w:rsidRPr="00183B5F">
        <w:rPr>
          <w:szCs w:val="24"/>
        </w:rPr>
        <w:t xml:space="preserve"> mindig a </w:t>
      </w:r>
      <w:r w:rsidRPr="00183B5F">
        <w:rPr>
          <w:noProof/>
          <w:szCs w:val="24"/>
        </w:rPr>
        <w:t>kezelőorvosa vagy gyógyszerésze</w:t>
      </w:r>
      <w:r w:rsidRPr="00183B5F">
        <w:rPr>
          <w:szCs w:val="22"/>
        </w:rPr>
        <w:t xml:space="preserve"> által elmondottaknak megfelelően alkalmazza. Amennyiben nem biztos az adagolást illetően, kérdezze meg kezelőorvosát vagy gyógyszerészét.</w:t>
      </w:r>
    </w:p>
    <w:p w14:paraId="5D62D965" w14:textId="77777777" w:rsidR="009448B7" w:rsidRPr="00183B5F" w:rsidRDefault="009448B7" w:rsidP="004062FE">
      <w:pPr>
        <w:numPr>
          <w:ilvl w:val="12"/>
          <w:numId w:val="0"/>
        </w:numPr>
        <w:spacing w:line="240" w:lineRule="auto"/>
        <w:ind w:right="-2"/>
      </w:pPr>
    </w:p>
    <w:p w14:paraId="343ADFFE" w14:textId="77777777" w:rsidR="009448B7" w:rsidRPr="00183B5F" w:rsidRDefault="00943743" w:rsidP="004062FE">
      <w:pPr>
        <w:numPr>
          <w:ilvl w:val="12"/>
          <w:numId w:val="0"/>
        </w:numPr>
        <w:spacing w:line="240" w:lineRule="auto"/>
        <w:ind w:right="-2"/>
      </w:pPr>
      <w:r w:rsidRPr="00183B5F">
        <w:t>A Humira javasolt adagját az alábbi táblázat mutatja, alkalmazási terület szerint. Orvosa a Humira egyéb hatáserősségét is felírhatja Önnek, ha más dózisra van szüksége.</w:t>
      </w:r>
    </w:p>
    <w:p w14:paraId="51AFE71E" w14:textId="77777777" w:rsidR="009448B7" w:rsidRPr="00183B5F" w:rsidRDefault="009448B7" w:rsidP="004062FE">
      <w:pPr>
        <w:numPr>
          <w:ilvl w:val="12"/>
          <w:numId w:val="0"/>
        </w:numPr>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8"/>
        <w:gridCol w:w="3020"/>
        <w:gridCol w:w="3033"/>
      </w:tblGrid>
      <w:tr w:rsidR="00011D2F" w14:paraId="5EA60A64" w14:textId="77777777" w:rsidTr="00927889">
        <w:tc>
          <w:tcPr>
            <w:tcW w:w="9287" w:type="dxa"/>
            <w:gridSpan w:val="3"/>
          </w:tcPr>
          <w:p w14:paraId="64424D8D" w14:textId="77777777" w:rsidR="00800BE5" w:rsidRPr="00183B5F" w:rsidRDefault="00943743" w:rsidP="00927889">
            <w:pPr>
              <w:keepNext/>
              <w:numPr>
                <w:ilvl w:val="12"/>
                <w:numId w:val="0"/>
              </w:numPr>
              <w:spacing w:line="240" w:lineRule="auto"/>
              <w:ind w:right="-2"/>
              <w:rPr>
                <w:b/>
              </w:rPr>
            </w:pPr>
            <w:r w:rsidRPr="00183B5F">
              <w:rPr>
                <w:b/>
                <w:szCs w:val="22"/>
              </w:rPr>
              <w:t>Reumatoid artritisz</w:t>
            </w:r>
          </w:p>
        </w:tc>
      </w:tr>
      <w:tr w:rsidR="00011D2F" w14:paraId="6C3DB3DE" w14:textId="77777777" w:rsidTr="00927889">
        <w:tc>
          <w:tcPr>
            <w:tcW w:w="3095" w:type="dxa"/>
          </w:tcPr>
          <w:p w14:paraId="22E974F3" w14:textId="77777777" w:rsidR="00800BE5" w:rsidRPr="00183B5F" w:rsidRDefault="00943743" w:rsidP="00927889">
            <w:pPr>
              <w:keepNext/>
              <w:numPr>
                <w:ilvl w:val="12"/>
                <w:numId w:val="0"/>
              </w:numPr>
              <w:spacing w:line="240" w:lineRule="auto"/>
              <w:ind w:right="-2"/>
            </w:pPr>
            <w:r w:rsidRPr="00183B5F">
              <w:rPr>
                <w:b/>
              </w:rPr>
              <w:t>Kor vagy testtömeg</w:t>
            </w:r>
          </w:p>
        </w:tc>
        <w:tc>
          <w:tcPr>
            <w:tcW w:w="3096" w:type="dxa"/>
          </w:tcPr>
          <w:p w14:paraId="713840DA" w14:textId="77777777" w:rsidR="00800BE5" w:rsidRPr="00183B5F" w:rsidRDefault="00943743" w:rsidP="00927889">
            <w:pPr>
              <w:keepNext/>
              <w:numPr>
                <w:ilvl w:val="12"/>
                <w:numId w:val="0"/>
              </w:numPr>
              <w:spacing w:line="240" w:lineRule="auto"/>
              <w:ind w:right="-2"/>
            </w:pPr>
            <w:r w:rsidRPr="00183B5F">
              <w:rPr>
                <w:b/>
              </w:rPr>
              <w:t>Milyen adagot és milyen gyakran kell alkalmazni?</w:t>
            </w:r>
          </w:p>
        </w:tc>
        <w:tc>
          <w:tcPr>
            <w:tcW w:w="3096" w:type="dxa"/>
          </w:tcPr>
          <w:p w14:paraId="161CDC57" w14:textId="77777777" w:rsidR="00800BE5" w:rsidRPr="00183B5F" w:rsidRDefault="00943743" w:rsidP="00927889">
            <w:pPr>
              <w:keepNext/>
              <w:numPr>
                <w:ilvl w:val="12"/>
                <w:numId w:val="0"/>
              </w:numPr>
              <w:spacing w:line="240" w:lineRule="auto"/>
              <w:ind w:right="-2"/>
            </w:pPr>
            <w:r w:rsidRPr="00183B5F">
              <w:rPr>
                <w:b/>
              </w:rPr>
              <w:t>Megjegyzések</w:t>
            </w:r>
          </w:p>
        </w:tc>
      </w:tr>
      <w:tr w:rsidR="00011D2F" w14:paraId="109D3410" w14:textId="77777777" w:rsidTr="00927889">
        <w:tc>
          <w:tcPr>
            <w:tcW w:w="3095" w:type="dxa"/>
          </w:tcPr>
          <w:p w14:paraId="162A49AE" w14:textId="77777777" w:rsidR="00800BE5" w:rsidRPr="00183B5F" w:rsidRDefault="00943743" w:rsidP="00927889">
            <w:pPr>
              <w:keepNext/>
              <w:numPr>
                <w:ilvl w:val="12"/>
                <w:numId w:val="0"/>
              </w:numPr>
              <w:spacing w:line="240" w:lineRule="auto"/>
              <w:ind w:right="-2"/>
            </w:pPr>
            <w:r w:rsidRPr="00183B5F">
              <w:t>Felnőttek</w:t>
            </w:r>
          </w:p>
        </w:tc>
        <w:tc>
          <w:tcPr>
            <w:tcW w:w="3096" w:type="dxa"/>
          </w:tcPr>
          <w:p w14:paraId="6F595FC4" w14:textId="77777777" w:rsidR="00800BE5" w:rsidRPr="00183B5F" w:rsidRDefault="00943743" w:rsidP="00927889">
            <w:pPr>
              <w:keepNext/>
              <w:numPr>
                <w:ilvl w:val="12"/>
                <w:numId w:val="0"/>
              </w:numPr>
              <w:spacing w:line="240" w:lineRule="auto"/>
              <w:ind w:right="-2"/>
            </w:pPr>
            <w:r w:rsidRPr="00183B5F">
              <w:t>40 mg kéthetente</w:t>
            </w:r>
          </w:p>
        </w:tc>
        <w:tc>
          <w:tcPr>
            <w:tcW w:w="3096" w:type="dxa"/>
          </w:tcPr>
          <w:p w14:paraId="52BBCDF3" w14:textId="77777777" w:rsidR="00800BE5" w:rsidRPr="00183B5F" w:rsidRDefault="00943743" w:rsidP="00927889">
            <w:pPr>
              <w:keepNext/>
              <w:spacing w:line="240" w:lineRule="auto"/>
              <w:ind w:right="-2"/>
              <w:rPr>
                <w:szCs w:val="22"/>
              </w:rPr>
            </w:pPr>
            <w:r w:rsidRPr="00183B5F">
              <w:rPr>
                <w:szCs w:val="22"/>
              </w:rPr>
              <w:t xml:space="preserve">Reumatoid artritiszben a Humira alkalmazása során a </w:t>
            </w:r>
            <w:r w:rsidR="001A6E66" w:rsidRPr="00183B5F">
              <w:rPr>
                <w:szCs w:val="22"/>
              </w:rPr>
              <w:t>metotrexát-keze</w:t>
            </w:r>
            <w:r w:rsidRPr="00183B5F">
              <w:rPr>
                <w:szCs w:val="22"/>
              </w:rPr>
              <w:t>lést folytatni kell. Amennyiben az Ön kezelőorvosa a metotrexát adását szükségtelennek tartja, abban az esetben a Humira önállóan alkalmazható.</w:t>
            </w:r>
          </w:p>
          <w:p w14:paraId="09D8C4EA" w14:textId="77777777" w:rsidR="00800BE5" w:rsidRPr="00183B5F" w:rsidRDefault="00800BE5" w:rsidP="00927889">
            <w:pPr>
              <w:keepNext/>
              <w:spacing w:line="240" w:lineRule="auto"/>
              <w:ind w:right="-2"/>
              <w:rPr>
                <w:szCs w:val="22"/>
              </w:rPr>
            </w:pPr>
          </w:p>
          <w:p w14:paraId="5C06EC1E" w14:textId="77777777" w:rsidR="00800BE5" w:rsidRPr="00183B5F" w:rsidRDefault="00943743" w:rsidP="00927889">
            <w:pPr>
              <w:keepNext/>
              <w:numPr>
                <w:ilvl w:val="12"/>
                <w:numId w:val="0"/>
              </w:numPr>
              <w:spacing w:line="240" w:lineRule="auto"/>
              <w:ind w:right="-2"/>
            </w:pPr>
            <w:r w:rsidRPr="00183B5F">
              <w:rPr>
                <w:szCs w:val="22"/>
              </w:rPr>
              <w:t xml:space="preserve">Ha Önnek reumatoid artritisze van és a Humira alkalmazása során nem kap </w:t>
            </w:r>
            <w:r w:rsidR="001A6E66" w:rsidRPr="00183B5F">
              <w:rPr>
                <w:szCs w:val="22"/>
              </w:rPr>
              <w:t>metotrexát-keze</w:t>
            </w:r>
            <w:r w:rsidRPr="00183B5F">
              <w:rPr>
                <w:szCs w:val="22"/>
              </w:rPr>
              <w:t>lést, abban az esetben kezelőorvosa hetente 40 mg vagy kéthetente 80 mg adalimumab adása mellett dönthet.</w:t>
            </w:r>
          </w:p>
        </w:tc>
      </w:tr>
    </w:tbl>
    <w:p w14:paraId="79E2F245" w14:textId="77777777" w:rsidR="00800BE5" w:rsidRPr="00183B5F" w:rsidRDefault="00800BE5" w:rsidP="004062FE">
      <w:pPr>
        <w:numPr>
          <w:ilvl w:val="12"/>
          <w:numId w:val="0"/>
        </w:numPr>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3022"/>
        <w:gridCol w:w="3029"/>
      </w:tblGrid>
      <w:tr w:rsidR="00011D2F" w14:paraId="37D44020" w14:textId="77777777" w:rsidTr="00687653">
        <w:tc>
          <w:tcPr>
            <w:tcW w:w="9287" w:type="dxa"/>
            <w:gridSpan w:val="3"/>
          </w:tcPr>
          <w:p w14:paraId="12754492" w14:textId="77777777" w:rsidR="009448B7" w:rsidRPr="00183B5F" w:rsidRDefault="00943743" w:rsidP="004062FE">
            <w:pPr>
              <w:keepNext/>
              <w:numPr>
                <w:ilvl w:val="12"/>
                <w:numId w:val="0"/>
              </w:numPr>
              <w:spacing w:line="240" w:lineRule="auto"/>
              <w:ind w:right="-2"/>
            </w:pPr>
            <w:r w:rsidRPr="00183B5F">
              <w:rPr>
                <w:b/>
              </w:rPr>
              <w:t>Pikkelysömör</w:t>
            </w:r>
          </w:p>
        </w:tc>
      </w:tr>
      <w:tr w:rsidR="00011D2F" w14:paraId="69F26522" w14:textId="77777777" w:rsidTr="00687653">
        <w:tc>
          <w:tcPr>
            <w:tcW w:w="3095" w:type="dxa"/>
          </w:tcPr>
          <w:p w14:paraId="64ACD01C" w14:textId="77777777" w:rsidR="009448B7" w:rsidRPr="00183B5F" w:rsidRDefault="00943743" w:rsidP="004062FE">
            <w:pPr>
              <w:keepNext/>
              <w:numPr>
                <w:ilvl w:val="12"/>
                <w:numId w:val="0"/>
              </w:numPr>
              <w:spacing w:line="240" w:lineRule="auto"/>
              <w:ind w:right="-2"/>
            </w:pPr>
            <w:r w:rsidRPr="00183B5F">
              <w:rPr>
                <w:b/>
              </w:rPr>
              <w:t>Kor vagy testtömeg</w:t>
            </w:r>
          </w:p>
        </w:tc>
        <w:tc>
          <w:tcPr>
            <w:tcW w:w="3096" w:type="dxa"/>
          </w:tcPr>
          <w:p w14:paraId="54B89CC2" w14:textId="77777777" w:rsidR="009448B7" w:rsidRPr="00183B5F" w:rsidRDefault="00943743" w:rsidP="004062FE">
            <w:pPr>
              <w:keepNext/>
              <w:numPr>
                <w:ilvl w:val="12"/>
                <w:numId w:val="0"/>
              </w:numPr>
              <w:spacing w:line="240" w:lineRule="auto"/>
              <w:ind w:right="-2"/>
            </w:pPr>
            <w:r w:rsidRPr="00183B5F">
              <w:rPr>
                <w:b/>
              </w:rPr>
              <w:t>Milyen adagot és milyen gyakran kell alkalmazni?</w:t>
            </w:r>
          </w:p>
        </w:tc>
        <w:tc>
          <w:tcPr>
            <w:tcW w:w="3096" w:type="dxa"/>
          </w:tcPr>
          <w:p w14:paraId="4962AF78" w14:textId="77777777" w:rsidR="009448B7" w:rsidRPr="00183B5F" w:rsidRDefault="00943743" w:rsidP="004062FE">
            <w:pPr>
              <w:keepNext/>
              <w:numPr>
                <w:ilvl w:val="12"/>
                <w:numId w:val="0"/>
              </w:numPr>
              <w:spacing w:line="240" w:lineRule="auto"/>
              <w:ind w:right="-2"/>
            </w:pPr>
            <w:r w:rsidRPr="00183B5F">
              <w:rPr>
                <w:b/>
              </w:rPr>
              <w:t>Megjegyzések</w:t>
            </w:r>
          </w:p>
        </w:tc>
      </w:tr>
      <w:tr w:rsidR="00011D2F" w14:paraId="3056A7F6" w14:textId="77777777" w:rsidTr="00687653">
        <w:tc>
          <w:tcPr>
            <w:tcW w:w="3095" w:type="dxa"/>
          </w:tcPr>
          <w:p w14:paraId="131EC1B1" w14:textId="77777777" w:rsidR="009448B7" w:rsidRPr="00183B5F" w:rsidRDefault="00943743" w:rsidP="004062FE">
            <w:pPr>
              <w:keepNext/>
              <w:numPr>
                <w:ilvl w:val="12"/>
                <w:numId w:val="0"/>
              </w:numPr>
              <w:spacing w:line="240" w:lineRule="auto"/>
              <w:ind w:right="-2"/>
            </w:pPr>
            <w:r w:rsidRPr="00183B5F">
              <w:t>Felnőttek</w:t>
            </w:r>
          </w:p>
          <w:p w14:paraId="1DF94BD7" w14:textId="77777777" w:rsidR="009448B7" w:rsidRPr="00183B5F" w:rsidRDefault="009448B7" w:rsidP="004062FE">
            <w:pPr>
              <w:keepNext/>
              <w:numPr>
                <w:ilvl w:val="12"/>
                <w:numId w:val="0"/>
              </w:numPr>
              <w:spacing w:line="240" w:lineRule="auto"/>
              <w:ind w:right="-2"/>
            </w:pPr>
          </w:p>
        </w:tc>
        <w:tc>
          <w:tcPr>
            <w:tcW w:w="3096" w:type="dxa"/>
          </w:tcPr>
          <w:p w14:paraId="7FDF34D8" w14:textId="77777777" w:rsidR="009448B7" w:rsidRPr="00183B5F" w:rsidRDefault="00943743" w:rsidP="004062FE">
            <w:pPr>
              <w:keepNext/>
              <w:numPr>
                <w:ilvl w:val="12"/>
                <w:numId w:val="0"/>
              </w:numPr>
              <w:spacing w:line="240" w:lineRule="auto"/>
              <w:ind w:right="-2"/>
            </w:pPr>
            <w:r w:rsidRPr="00183B5F">
              <w:rPr>
                <w:szCs w:val="22"/>
              </w:rPr>
              <w:t>A kezdő adag 80 mg (egy 80 mg</w:t>
            </w:r>
            <w:r w:rsidRPr="00183B5F">
              <w:rPr>
                <w:szCs w:val="22"/>
              </w:rPr>
              <w:noBreakHyphen/>
            </w:r>
            <w:r w:rsidRPr="00183B5F">
              <w:rPr>
                <w:szCs w:val="22"/>
              </w:rPr>
              <w:t>os injekció), amelyet minden második héten adott 40 mg követ, a kezdő adag utáni első héttől kezdve.</w:t>
            </w:r>
          </w:p>
        </w:tc>
        <w:tc>
          <w:tcPr>
            <w:tcW w:w="3096" w:type="dxa"/>
          </w:tcPr>
          <w:p w14:paraId="30FB3616" w14:textId="77777777" w:rsidR="009448B7" w:rsidRPr="00183B5F" w:rsidRDefault="00943743">
            <w:pPr>
              <w:keepNext/>
              <w:spacing w:line="240" w:lineRule="auto"/>
            </w:pPr>
            <w:r w:rsidRPr="00183B5F">
              <w:t>Ha Ön nem megfelelően reagál a kezelésre, a kezelőorvosa heti 40 mg</w:t>
            </w:r>
            <w:r w:rsidRPr="00183B5F">
              <w:noBreakHyphen/>
              <w:t xml:space="preserve">ra </w:t>
            </w:r>
            <w:r w:rsidR="00927889" w:rsidRPr="00183B5F">
              <w:t>vagy kéthetente 80 mg</w:t>
            </w:r>
            <w:r w:rsidR="00927889" w:rsidRPr="00183B5F">
              <w:noBreakHyphen/>
              <w:t xml:space="preserve">ra </w:t>
            </w:r>
            <w:r w:rsidRPr="00183B5F">
              <w:t>emelheti</w:t>
            </w:r>
            <w:r w:rsidR="00927889" w:rsidRPr="00183B5F">
              <w:t xml:space="preserve"> </w:t>
            </w:r>
            <w:r w:rsidRPr="00183B5F">
              <w:t>az adag</w:t>
            </w:r>
            <w:r w:rsidR="006D4587" w:rsidRPr="00183B5F">
              <w:t>ot</w:t>
            </w:r>
            <w:r w:rsidR="00927889" w:rsidRPr="00183B5F">
              <w:t>.</w:t>
            </w:r>
          </w:p>
        </w:tc>
      </w:tr>
    </w:tbl>
    <w:p w14:paraId="0776442A" w14:textId="77777777" w:rsidR="009448B7" w:rsidRPr="00183B5F" w:rsidRDefault="009448B7" w:rsidP="004062FE">
      <w:pPr>
        <w:numPr>
          <w:ilvl w:val="12"/>
          <w:numId w:val="0"/>
        </w:numPr>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3031"/>
        <w:gridCol w:w="3035"/>
      </w:tblGrid>
      <w:tr w:rsidR="00011D2F" w14:paraId="2A87EB55" w14:textId="77777777" w:rsidTr="00687653">
        <w:tc>
          <w:tcPr>
            <w:tcW w:w="9287" w:type="dxa"/>
            <w:gridSpan w:val="3"/>
          </w:tcPr>
          <w:p w14:paraId="5F21B0C9" w14:textId="77777777" w:rsidR="009448B7" w:rsidRPr="00183B5F" w:rsidRDefault="00943743" w:rsidP="004062FE">
            <w:pPr>
              <w:keepNext/>
              <w:numPr>
                <w:ilvl w:val="12"/>
                <w:numId w:val="0"/>
              </w:numPr>
              <w:spacing w:line="240" w:lineRule="auto"/>
              <w:ind w:right="-2"/>
              <w:rPr>
                <w:b/>
              </w:rPr>
            </w:pPr>
            <w:r w:rsidRPr="00183B5F">
              <w:rPr>
                <w:b/>
              </w:rPr>
              <w:t>Hidradenitisz szuppuratíva</w:t>
            </w:r>
          </w:p>
        </w:tc>
      </w:tr>
      <w:tr w:rsidR="00011D2F" w14:paraId="0C35B17D" w14:textId="77777777" w:rsidTr="00687653">
        <w:tc>
          <w:tcPr>
            <w:tcW w:w="3095" w:type="dxa"/>
          </w:tcPr>
          <w:p w14:paraId="3B5BED54" w14:textId="77777777" w:rsidR="009448B7" w:rsidRPr="00183B5F" w:rsidRDefault="00943743" w:rsidP="004062FE">
            <w:pPr>
              <w:keepNext/>
              <w:numPr>
                <w:ilvl w:val="12"/>
                <w:numId w:val="0"/>
              </w:numPr>
              <w:spacing w:line="240" w:lineRule="auto"/>
              <w:ind w:right="-2"/>
            </w:pPr>
            <w:r w:rsidRPr="00183B5F">
              <w:rPr>
                <w:b/>
              </w:rPr>
              <w:t>Kor vagy testtömeg</w:t>
            </w:r>
          </w:p>
        </w:tc>
        <w:tc>
          <w:tcPr>
            <w:tcW w:w="3096" w:type="dxa"/>
          </w:tcPr>
          <w:p w14:paraId="50AC7400" w14:textId="77777777" w:rsidR="009448B7" w:rsidRPr="00183B5F" w:rsidRDefault="00943743" w:rsidP="004062FE">
            <w:pPr>
              <w:keepNext/>
              <w:numPr>
                <w:ilvl w:val="12"/>
                <w:numId w:val="0"/>
              </w:numPr>
              <w:spacing w:line="240" w:lineRule="auto"/>
              <w:ind w:right="-2"/>
            </w:pPr>
            <w:r w:rsidRPr="00183B5F">
              <w:rPr>
                <w:b/>
              </w:rPr>
              <w:t>Milyen adagot és milyen gyakran kell alkalmazni?</w:t>
            </w:r>
          </w:p>
        </w:tc>
        <w:tc>
          <w:tcPr>
            <w:tcW w:w="3096" w:type="dxa"/>
          </w:tcPr>
          <w:p w14:paraId="02EAFE98" w14:textId="77777777" w:rsidR="009448B7" w:rsidRPr="00183B5F" w:rsidRDefault="00943743" w:rsidP="004062FE">
            <w:pPr>
              <w:keepNext/>
              <w:numPr>
                <w:ilvl w:val="12"/>
                <w:numId w:val="0"/>
              </w:numPr>
              <w:spacing w:line="240" w:lineRule="auto"/>
              <w:ind w:right="-2"/>
            </w:pPr>
            <w:r w:rsidRPr="00183B5F">
              <w:rPr>
                <w:b/>
              </w:rPr>
              <w:t>Megjegyzések</w:t>
            </w:r>
          </w:p>
        </w:tc>
      </w:tr>
      <w:tr w:rsidR="00011D2F" w14:paraId="471BBC52" w14:textId="77777777" w:rsidTr="00687653">
        <w:tc>
          <w:tcPr>
            <w:tcW w:w="3095" w:type="dxa"/>
          </w:tcPr>
          <w:p w14:paraId="02E6B898" w14:textId="77777777" w:rsidR="009448B7" w:rsidRPr="00183B5F" w:rsidRDefault="00943743" w:rsidP="004062FE">
            <w:pPr>
              <w:keepNext/>
              <w:numPr>
                <w:ilvl w:val="12"/>
                <w:numId w:val="0"/>
              </w:numPr>
              <w:spacing w:line="240" w:lineRule="auto"/>
              <w:ind w:right="-2"/>
            </w:pPr>
            <w:r w:rsidRPr="00183B5F">
              <w:t>Felnőttek</w:t>
            </w:r>
          </w:p>
        </w:tc>
        <w:tc>
          <w:tcPr>
            <w:tcW w:w="3096" w:type="dxa"/>
          </w:tcPr>
          <w:p w14:paraId="684461D2" w14:textId="77777777" w:rsidR="009448B7" w:rsidRPr="00183B5F" w:rsidRDefault="00943743" w:rsidP="004062FE">
            <w:pPr>
              <w:keepNext/>
              <w:numPr>
                <w:ilvl w:val="12"/>
                <w:numId w:val="0"/>
              </w:numPr>
              <w:spacing w:line="240" w:lineRule="auto"/>
              <w:ind w:right="-2"/>
            </w:pPr>
            <w:r w:rsidRPr="00183B5F">
              <w:rPr>
                <w:szCs w:val="22"/>
              </w:rPr>
              <w:t>A kezdő adag 160 mg (két 80 mg</w:t>
            </w:r>
            <w:r w:rsidRPr="00183B5F">
              <w:rPr>
                <w:szCs w:val="22"/>
              </w:rPr>
              <w:noBreakHyphen/>
              <w:t>os injekció egyetlen napon vagy napi egy 80 mg</w:t>
            </w:r>
            <w:r w:rsidRPr="00183B5F">
              <w:rPr>
                <w:szCs w:val="22"/>
              </w:rPr>
              <w:noBreakHyphen/>
            </w:r>
            <w:r w:rsidRPr="00183B5F">
              <w:rPr>
                <w:szCs w:val="22"/>
              </w:rPr>
              <w:t>os injekció két egymást követő napon), melyet 2 héttel később 80 mg követ (egy 80 mg</w:t>
            </w:r>
            <w:r w:rsidRPr="00183B5F">
              <w:rPr>
                <w:szCs w:val="22"/>
              </w:rPr>
              <w:noBreakHyphen/>
              <w:t>os injekció). További két héttel később heti 40 mg</w:t>
            </w:r>
            <w:r w:rsidRPr="00183B5F">
              <w:rPr>
                <w:szCs w:val="22"/>
              </w:rPr>
              <w:noBreakHyphen/>
              <w:t xml:space="preserve">os </w:t>
            </w:r>
            <w:r w:rsidR="00927889" w:rsidRPr="00183B5F">
              <w:t>vagy kéthetente 80 mg</w:t>
            </w:r>
            <w:r w:rsidR="00927889" w:rsidRPr="00183B5F">
              <w:noBreakHyphen/>
              <w:t xml:space="preserve">os </w:t>
            </w:r>
            <w:r w:rsidRPr="00183B5F">
              <w:rPr>
                <w:szCs w:val="22"/>
              </w:rPr>
              <w:t>dózissal folytassa</w:t>
            </w:r>
            <w:r w:rsidR="00927889" w:rsidRPr="00183B5F">
              <w:rPr>
                <w:szCs w:val="22"/>
              </w:rPr>
              <w:t>, kezelőorvosának előírása szerint.</w:t>
            </w:r>
          </w:p>
        </w:tc>
        <w:tc>
          <w:tcPr>
            <w:tcW w:w="3096" w:type="dxa"/>
          </w:tcPr>
          <w:p w14:paraId="2269923C" w14:textId="77777777" w:rsidR="009448B7" w:rsidRPr="00183B5F" w:rsidRDefault="00943743" w:rsidP="004062FE">
            <w:pPr>
              <w:keepNext/>
              <w:spacing w:line="240" w:lineRule="auto"/>
              <w:ind w:left="46"/>
            </w:pPr>
            <w:r w:rsidRPr="00183B5F">
              <w:rPr>
                <w:szCs w:val="22"/>
              </w:rPr>
              <w:t>Javasolt, hogy naponta használjon fertőtlenítő lemosót az érintett területeken.</w:t>
            </w:r>
          </w:p>
        </w:tc>
      </w:tr>
      <w:tr w:rsidR="00011D2F" w14:paraId="31DC9913" w14:textId="77777777" w:rsidTr="00687653">
        <w:trPr>
          <w:trHeight w:val="1259"/>
        </w:trPr>
        <w:tc>
          <w:tcPr>
            <w:tcW w:w="3095" w:type="dxa"/>
          </w:tcPr>
          <w:p w14:paraId="0E147C4B" w14:textId="77777777" w:rsidR="009448B7" w:rsidRPr="00183B5F" w:rsidRDefault="00943743" w:rsidP="004062FE">
            <w:pPr>
              <w:keepNext/>
              <w:keepLines/>
              <w:numPr>
                <w:ilvl w:val="12"/>
                <w:numId w:val="0"/>
              </w:numPr>
              <w:spacing w:line="240" w:lineRule="auto"/>
              <w:ind w:right="-2"/>
            </w:pPr>
            <w:r w:rsidRPr="00183B5F">
              <w:t>12</w:t>
            </w:r>
            <w:r w:rsidR="00687653" w:rsidRPr="00183B5F">
              <w:t>-17 </w:t>
            </w:r>
            <w:r w:rsidRPr="00183B5F">
              <w:t xml:space="preserve">év </w:t>
            </w:r>
            <w:r w:rsidR="00687653" w:rsidRPr="00183B5F">
              <w:t>közötti, legalább 30 </w:t>
            </w:r>
            <w:r w:rsidRPr="00183B5F">
              <w:t>kg-os serdülők</w:t>
            </w:r>
          </w:p>
        </w:tc>
        <w:tc>
          <w:tcPr>
            <w:tcW w:w="3096" w:type="dxa"/>
          </w:tcPr>
          <w:p w14:paraId="42F10F4E" w14:textId="77777777" w:rsidR="009448B7" w:rsidRPr="00183B5F" w:rsidRDefault="00943743" w:rsidP="004062FE">
            <w:pPr>
              <w:keepNext/>
              <w:keepLines/>
              <w:spacing w:line="240" w:lineRule="auto"/>
              <w:rPr>
                <w:szCs w:val="22"/>
              </w:rPr>
            </w:pPr>
            <w:r w:rsidRPr="00183B5F">
              <w:rPr>
                <w:szCs w:val="22"/>
              </w:rPr>
              <w:t>A kezdő adag 80 mg (egy 80 mg</w:t>
            </w:r>
            <w:r w:rsidRPr="00183B5F">
              <w:rPr>
                <w:szCs w:val="22"/>
              </w:rPr>
              <w:noBreakHyphen/>
            </w:r>
            <w:r w:rsidRPr="00183B5F">
              <w:rPr>
                <w:szCs w:val="22"/>
              </w:rPr>
              <w:t>os injekció), amelyet egy héttel később minden második héten adott 40 mg követ.</w:t>
            </w:r>
          </w:p>
          <w:p w14:paraId="34E4F6CF" w14:textId="77777777" w:rsidR="009448B7" w:rsidRPr="00183B5F" w:rsidRDefault="009448B7" w:rsidP="004062FE">
            <w:pPr>
              <w:keepNext/>
              <w:keepLines/>
              <w:numPr>
                <w:ilvl w:val="12"/>
                <w:numId w:val="0"/>
              </w:numPr>
              <w:spacing w:line="240" w:lineRule="auto"/>
              <w:ind w:right="-2"/>
              <w:rPr>
                <w:szCs w:val="22"/>
              </w:rPr>
            </w:pPr>
          </w:p>
        </w:tc>
        <w:tc>
          <w:tcPr>
            <w:tcW w:w="3096" w:type="dxa"/>
          </w:tcPr>
          <w:p w14:paraId="4EDD2403" w14:textId="77777777" w:rsidR="009448B7" w:rsidRPr="00183B5F" w:rsidRDefault="00943743" w:rsidP="004062FE">
            <w:pPr>
              <w:keepNext/>
              <w:keepLines/>
              <w:spacing w:line="240" w:lineRule="auto"/>
              <w:ind w:left="46"/>
              <w:rPr>
                <w:szCs w:val="22"/>
              </w:rPr>
            </w:pPr>
            <w:r w:rsidRPr="00183B5F">
              <w:t xml:space="preserve">Ha Ön nem megfelelően reagál a </w:t>
            </w:r>
            <w:r w:rsidR="002D38E9" w:rsidRPr="00183B5F">
              <w:t>kéthetente 40 mg Humira</w:t>
            </w:r>
            <w:r w:rsidR="002D38E9" w:rsidRPr="00183B5F">
              <w:noBreakHyphen/>
            </w:r>
            <w:r w:rsidRPr="00183B5F">
              <w:t>kezelésre, a kezelőorvosa heti 40 mg</w:t>
            </w:r>
            <w:r w:rsidRPr="00183B5F">
              <w:noBreakHyphen/>
              <w:t xml:space="preserve">ra </w:t>
            </w:r>
            <w:r w:rsidR="002D38E9" w:rsidRPr="00183B5F">
              <w:t>vagy kéthetente 80 mg</w:t>
            </w:r>
            <w:r w:rsidR="002D38E9" w:rsidRPr="00183B5F">
              <w:noBreakHyphen/>
              <w:t xml:space="preserve">ra </w:t>
            </w:r>
            <w:r w:rsidRPr="00183B5F">
              <w:t>emelheti az adag</w:t>
            </w:r>
            <w:r w:rsidR="006D4587" w:rsidRPr="00183B5F">
              <w:t>ot</w:t>
            </w:r>
            <w:r w:rsidR="002D38E9" w:rsidRPr="00183B5F">
              <w:t>.</w:t>
            </w:r>
            <w:r w:rsidRPr="00183B5F">
              <w:rPr>
                <w:szCs w:val="22"/>
              </w:rPr>
              <w:t xml:space="preserve"> </w:t>
            </w:r>
          </w:p>
          <w:p w14:paraId="14BB6581" w14:textId="77777777" w:rsidR="009448B7" w:rsidRPr="00183B5F" w:rsidRDefault="009448B7" w:rsidP="004062FE">
            <w:pPr>
              <w:keepNext/>
              <w:keepLines/>
              <w:spacing w:line="240" w:lineRule="auto"/>
              <w:ind w:left="46"/>
              <w:rPr>
                <w:szCs w:val="22"/>
              </w:rPr>
            </w:pPr>
          </w:p>
          <w:p w14:paraId="7431B43E" w14:textId="77777777" w:rsidR="009448B7" w:rsidRPr="00183B5F" w:rsidRDefault="00943743" w:rsidP="004062FE">
            <w:pPr>
              <w:keepNext/>
              <w:keepLines/>
              <w:spacing w:line="240" w:lineRule="auto"/>
              <w:ind w:left="46"/>
              <w:rPr>
                <w:szCs w:val="22"/>
              </w:rPr>
            </w:pPr>
            <w:r w:rsidRPr="00183B5F">
              <w:rPr>
                <w:szCs w:val="22"/>
              </w:rPr>
              <w:t>Javasolt, hogy naponta használjon fertőtlenítő lemosót az érintett területeken.</w:t>
            </w:r>
          </w:p>
        </w:tc>
      </w:tr>
    </w:tbl>
    <w:p w14:paraId="76E92CC4" w14:textId="77777777" w:rsidR="009448B7" w:rsidRPr="00183B5F" w:rsidRDefault="009448B7" w:rsidP="004062FE">
      <w:pPr>
        <w:numPr>
          <w:ilvl w:val="12"/>
          <w:numId w:val="0"/>
        </w:numPr>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3020"/>
        <w:gridCol w:w="3027"/>
      </w:tblGrid>
      <w:tr w:rsidR="00011D2F" w14:paraId="16B23E91" w14:textId="77777777" w:rsidTr="00687653">
        <w:tc>
          <w:tcPr>
            <w:tcW w:w="9287" w:type="dxa"/>
            <w:gridSpan w:val="3"/>
          </w:tcPr>
          <w:p w14:paraId="6A674440" w14:textId="77777777" w:rsidR="009448B7" w:rsidRPr="00183B5F" w:rsidRDefault="00943743" w:rsidP="004062FE">
            <w:pPr>
              <w:keepNext/>
              <w:numPr>
                <w:ilvl w:val="12"/>
                <w:numId w:val="0"/>
              </w:numPr>
              <w:spacing w:line="240" w:lineRule="auto"/>
              <w:ind w:right="-2"/>
            </w:pPr>
            <w:r w:rsidRPr="00183B5F">
              <w:rPr>
                <w:b/>
              </w:rPr>
              <w:t>Crohn</w:t>
            </w:r>
            <w:r w:rsidRPr="00183B5F">
              <w:rPr>
                <w:b/>
              </w:rPr>
              <w:noBreakHyphen/>
              <w:t>betegség</w:t>
            </w:r>
          </w:p>
        </w:tc>
      </w:tr>
      <w:tr w:rsidR="00011D2F" w14:paraId="78AEE0EE" w14:textId="77777777" w:rsidTr="00687653">
        <w:tc>
          <w:tcPr>
            <w:tcW w:w="3095" w:type="dxa"/>
          </w:tcPr>
          <w:p w14:paraId="4F17090E" w14:textId="77777777" w:rsidR="009448B7" w:rsidRPr="00183B5F" w:rsidRDefault="00943743" w:rsidP="004062FE">
            <w:pPr>
              <w:keepNext/>
              <w:numPr>
                <w:ilvl w:val="12"/>
                <w:numId w:val="0"/>
              </w:numPr>
              <w:spacing w:line="240" w:lineRule="auto"/>
              <w:ind w:right="-2"/>
            </w:pPr>
            <w:r w:rsidRPr="00183B5F">
              <w:rPr>
                <w:b/>
              </w:rPr>
              <w:t>Kor vagy testtömeg</w:t>
            </w:r>
          </w:p>
        </w:tc>
        <w:tc>
          <w:tcPr>
            <w:tcW w:w="3096" w:type="dxa"/>
          </w:tcPr>
          <w:p w14:paraId="41C349C2" w14:textId="77777777" w:rsidR="009448B7" w:rsidRPr="00183B5F" w:rsidRDefault="00943743" w:rsidP="004062FE">
            <w:pPr>
              <w:keepNext/>
              <w:numPr>
                <w:ilvl w:val="12"/>
                <w:numId w:val="0"/>
              </w:numPr>
              <w:spacing w:line="240" w:lineRule="auto"/>
              <w:ind w:right="-2"/>
            </w:pPr>
            <w:r w:rsidRPr="00183B5F">
              <w:rPr>
                <w:b/>
              </w:rPr>
              <w:t>Milyen adagot és milyen gyakran kell alkalmazni?</w:t>
            </w:r>
          </w:p>
        </w:tc>
        <w:tc>
          <w:tcPr>
            <w:tcW w:w="3096" w:type="dxa"/>
          </w:tcPr>
          <w:p w14:paraId="7BF171FD" w14:textId="77777777" w:rsidR="009448B7" w:rsidRPr="00183B5F" w:rsidRDefault="00943743" w:rsidP="004062FE">
            <w:pPr>
              <w:numPr>
                <w:ilvl w:val="12"/>
                <w:numId w:val="0"/>
              </w:numPr>
              <w:spacing w:line="240" w:lineRule="auto"/>
              <w:ind w:right="-2"/>
            </w:pPr>
            <w:r w:rsidRPr="00183B5F">
              <w:rPr>
                <w:b/>
              </w:rPr>
              <w:t>Megjegyzések</w:t>
            </w:r>
          </w:p>
        </w:tc>
      </w:tr>
      <w:tr w:rsidR="00011D2F" w14:paraId="7B645E94" w14:textId="77777777" w:rsidTr="00687653">
        <w:tc>
          <w:tcPr>
            <w:tcW w:w="3095" w:type="dxa"/>
          </w:tcPr>
          <w:p w14:paraId="67F80B8F" w14:textId="77777777" w:rsidR="009448B7" w:rsidRPr="00183B5F" w:rsidRDefault="00943743" w:rsidP="004062FE">
            <w:pPr>
              <w:numPr>
                <w:ilvl w:val="12"/>
                <w:numId w:val="0"/>
              </w:numPr>
              <w:spacing w:line="240" w:lineRule="auto"/>
              <w:ind w:right="-2"/>
            </w:pPr>
            <w:r w:rsidRPr="00183B5F">
              <w:t>6</w:t>
            </w:r>
            <w:r w:rsidR="00687653" w:rsidRPr="00183B5F">
              <w:t>-17 év közötti</w:t>
            </w:r>
            <w:r w:rsidRPr="00183B5F">
              <w:t>, 40 kg</w:t>
            </w:r>
            <w:r w:rsidRPr="00183B5F">
              <w:noBreakHyphen/>
            </w:r>
            <w:r w:rsidRPr="00183B5F">
              <w:t>os vagy annál nagyobb testtömegű gyermekek</w:t>
            </w:r>
            <w:r w:rsidR="000D6F55" w:rsidRPr="00183B5F">
              <w:t>,</w:t>
            </w:r>
            <w:r w:rsidRPr="00183B5F">
              <w:t xml:space="preserve"> serdülők</w:t>
            </w:r>
            <w:r w:rsidR="000D6F55" w:rsidRPr="00183B5F">
              <w:t xml:space="preserve"> és felnőttek</w:t>
            </w:r>
          </w:p>
        </w:tc>
        <w:tc>
          <w:tcPr>
            <w:tcW w:w="3096" w:type="dxa"/>
          </w:tcPr>
          <w:p w14:paraId="31E06BF4" w14:textId="77777777" w:rsidR="009448B7" w:rsidRPr="00183B5F" w:rsidRDefault="00943743">
            <w:pPr>
              <w:spacing w:line="240" w:lineRule="auto"/>
              <w:rPr>
                <w:szCs w:val="22"/>
              </w:rPr>
            </w:pPr>
            <w:r w:rsidRPr="00183B5F">
              <w:rPr>
                <w:szCs w:val="22"/>
              </w:rPr>
              <w:t>A kezdő adag 80 mg (egy 80 mg</w:t>
            </w:r>
            <w:r w:rsidRPr="00183B5F">
              <w:rPr>
                <w:szCs w:val="22"/>
              </w:rPr>
              <w:noBreakHyphen/>
              <w:t>os injekció), amelyet két héttel később 40 mg követ.</w:t>
            </w:r>
          </w:p>
          <w:p w14:paraId="099A44EA" w14:textId="77777777" w:rsidR="009448B7" w:rsidRPr="00183B5F" w:rsidRDefault="009448B7">
            <w:pPr>
              <w:spacing w:line="240" w:lineRule="auto"/>
              <w:rPr>
                <w:szCs w:val="22"/>
              </w:rPr>
            </w:pPr>
          </w:p>
          <w:p w14:paraId="7E526D3E" w14:textId="77777777" w:rsidR="009448B7" w:rsidRPr="00183B5F" w:rsidRDefault="00943743">
            <w:pPr>
              <w:numPr>
                <w:ilvl w:val="12"/>
                <w:numId w:val="0"/>
              </w:numPr>
              <w:spacing w:line="240" w:lineRule="auto"/>
              <w:ind w:right="-2"/>
              <w:rPr>
                <w:szCs w:val="22"/>
              </w:rPr>
            </w:pPr>
            <w:r w:rsidRPr="00183B5F">
              <w:rPr>
                <w:szCs w:val="22"/>
              </w:rPr>
              <w:t>Ha gyorsabb hatásra van szükség, a kezelőorvos rendelhet 160 mg</w:t>
            </w:r>
            <w:r w:rsidRPr="00183B5F">
              <w:rPr>
                <w:szCs w:val="22"/>
              </w:rPr>
              <w:noBreakHyphen/>
              <w:t xml:space="preserve">os kezdő adagot (két </w:t>
            </w:r>
            <w:r w:rsidR="00782C0E" w:rsidRPr="00183B5F">
              <w:rPr>
                <w:szCs w:val="22"/>
              </w:rPr>
              <w:t>8</w:t>
            </w:r>
            <w:r w:rsidRPr="00183B5F">
              <w:rPr>
                <w:szCs w:val="22"/>
              </w:rPr>
              <w:t>0 mg</w:t>
            </w:r>
            <w:r w:rsidRPr="00183B5F">
              <w:rPr>
                <w:szCs w:val="22"/>
              </w:rPr>
              <w:noBreakHyphen/>
              <w:t>os injekció egyetlen napon, vagy napi egy 80 mg</w:t>
            </w:r>
            <w:r w:rsidRPr="00183B5F">
              <w:rPr>
                <w:szCs w:val="22"/>
              </w:rPr>
              <w:noBreakHyphen/>
              <w:t>os injekció két egymást követő napon), melyet két héttel később 80 mg követ (egy 80 mg</w:t>
            </w:r>
            <w:r w:rsidRPr="00183B5F">
              <w:rPr>
                <w:szCs w:val="22"/>
              </w:rPr>
              <w:noBreakHyphen/>
              <w:t>os injekció).</w:t>
            </w:r>
          </w:p>
          <w:p w14:paraId="3B35D21E" w14:textId="77777777" w:rsidR="009448B7" w:rsidRPr="00183B5F" w:rsidRDefault="009448B7">
            <w:pPr>
              <w:numPr>
                <w:ilvl w:val="12"/>
                <w:numId w:val="0"/>
              </w:numPr>
              <w:spacing w:line="240" w:lineRule="auto"/>
              <w:ind w:right="-2"/>
              <w:rPr>
                <w:szCs w:val="22"/>
              </w:rPr>
            </w:pPr>
          </w:p>
          <w:p w14:paraId="1ACAA6A3" w14:textId="77777777" w:rsidR="009448B7" w:rsidRPr="00183B5F" w:rsidRDefault="00943743">
            <w:pPr>
              <w:spacing w:line="240" w:lineRule="auto"/>
              <w:rPr>
                <w:szCs w:val="22"/>
              </w:rPr>
            </w:pPr>
            <w:r w:rsidRPr="00183B5F">
              <w:rPr>
                <w:szCs w:val="22"/>
              </w:rPr>
              <w:t xml:space="preserve">Ezután a szokásos adag kéthetente 40 mg. </w:t>
            </w:r>
          </w:p>
        </w:tc>
        <w:tc>
          <w:tcPr>
            <w:tcW w:w="3096" w:type="dxa"/>
          </w:tcPr>
          <w:p w14:paraId="6B67779B" w14:textId="77777777" w:rsidR="009448B7" w:rsidRPr="00183B5F" w:rsidRDefault="00943743">
            <w:pPr>
              <w:spacing w:line="240" w:lineRule="auto"/>
            </w:pPr>
            <w:r w:rsidRPr="00183B5F">
              <w:rPr>
                <w:szCs w:val="22"/>
              </w:rPr>
              <w:t>Kezelőorvosa heti 40 mg</w:t>
            </w:r>
            <w:r w:rsidRPr="00183B5F">
              <w:rPr>
                <w:szCs w:val="22"/>
              </w:rPr>
              <w:noBreakHyphen/>
              <w:t xml:space="preserve">ra </w:t>
            </w:r>
            <w:r w:rsidR="002D38E9" w:rsidRPr="00183B5F">
              <w:t>vagy kéthetente 80 mg</w:t>
            </w:r>
            <w:r w:rsidR="002D38E9" w:rsidRPr="00183B5F">
              <w:noBreakHyphen/>
              <w:t xml:space="preserve">ra </w:t>
            </w:r>
            <w:r w:rsidRPr="00183B5F">
              <w:rPr>
                <w:szCs w:val="22"/>
              </w:rPr>
              <w:t>emelheti az adag</w:t>
            </w:r>
            <w:r w:rsidR="006D4587" w:rsidRPr="00183B5F">
              <w:rPr>
                <w:szCs w:val="22"/>
              </w:rPr>
              <w:t>ot</w:t>
            </w:r>
            <w:r w:rsidR="00F9482C" w:rsidRPr="00183B5F">
              <w:rPr>
                <w:szCs w:val="22"/>
              </w:rPr>
              <w:t>.</w:t>
            </w:r>
          </w:p>
        </w:tc>
      </w:tr>
      <w:tr w:rsidR="00011D2F" w14:paraId="2A03FE4B" w14:textId="77777777" w:rsidTr="00687653">
        <w:tc>
          <w:tcPr>
            <w:tcW w:w="3095" w:type="dxa"/>
          </w:tcPr>
          <w:p w14:paraId="548D5BE9" w14:textId="77777777" w:rsidR="009448B7" w:rsidRPr="00183B5F" w:rsidRDefault="00943743" w:rsidP="004062FE">
            <w:pPr>
              <w:numPr>
                <w:ilvl w:val="12"/>
                <w:numId w:val="0"/>
              </w:numPr>
              <w:spacing w:line="240" w:lineRule="auto"/>
              <w:ind w:right="-2"/>
            </w:pPr>
            <w:r w:rsidRPr="00183B5F">
              <w:t>6</w:t>
            </w:r>
            <w:r w:rsidR="00687653" w:rsidRPr="00183B5F">
              <w:t>-17 év közötti</w:t>
            </w:r>
            <w:r w:rsidRPr="00183B5F">
              <w:t>, 40 kg</w:t>
            </w:r>
            <w:r w:rsidRPr="00183B5F">
              <w:noBreakHyphen/>
              <w:t>nál kisebb testtömegű gyermekek vagy serdülők</w:t>
            </w:r>
          </w:p>
        </w:tc>
        <w:tc>
          <w:tcPr>
            <w:tcW w:w="3096" w:type="dxa"/>
          </w:tcPr>
          <w:p w14:paraId="4E0BD522" w14:textId="77777777" w:rsidR="009448B7" w:rsidRPr="00183B5F" w:rsidRDefault="00943743" w:rsidP="004062FE">
            <w:pPr>
              <w:spacing w:line="240" w:lineRule="auto"/>
            </w:pPr>
            <w:r w:rsidRPr="00183B5F">
              <w:t xml:space="preserve">A kezdő adag 40 mg, melyet két héttel később 20 mg követ. </w:t>
            </w:r>
          </w:p>
          <w:p w14:paraId="36FC4AE0" w14:textId="77777777" w:rsidR="009448B7" w:rsidRPr="00183B5F" w:rsidRDefault="009448B7" w:rsidP="004062FE">
            <w:pPr>
              <w:spacing w:line="240" w:lineRule="auto"/>
            </w:pPr>
          </w:p>
          <w:p w14:paraId="07D13ED5" w14:textId="77777777" w:rsidR="009448B7" w:rsidRPr="00183B5F" w:rsidRDefault="00943743" w:rsidP="004062FE">
            <w:pPr>
              <w:numPr>
                <w:ilvl w:val="12"/>
                <w:numId w:val="0"/>
              </w:numPr>
              <w:spacing w:line="240" w:lineRule="auto"/>
              <w:ind w:right="-2"/>
              <w:rPr>
                <w:szCs w:val="22"/>
              </w:rPr>
            </w:pPr>
            <w:r w:rsidRPr="00183B5F">
              <w:rPr>
                <w:szCs w:val="22"/>
              </w:rPr>
              <w:t>Ha gyorsabb hatásra van szükség, a kezelőorvos rendelhet 80 mg</w:t>
            </w:r>
            <w:r w:rsidRPr="00183B5F">
              <w:rPr>
                <w:szCs w:val="22"/>
              </w:rPr>
              <w:noBreakHyphen/>
              <w:t>os kezdő adagot (egy 80 mg</w:t>
            </w:r>
            <w:r w:rsidRPr="00183B5F">
              <w:rPr>
                <w:szCs w:val="22"/>
              </w:rPr>
              <w:noBreakHyphen/>
              <w:t>os injekció), melyet 2 héttel később 40 mg követ.</w:t>
            </w:r>
          </w:p>
          <w:p w14:paraId="0164217D" w14:textId="77777777" w:rsidR="009448B7" w:rsidRPr="00183B5F" w:rsidRDefault="009448B7" w:rsidP="004062FE">
            <w:pPr>
              <w:numPr>
                <w:ilvl w:val="12"/>
                <w:numId w:val="0"/>
              </w:numPr>
              <w:spacing w:line="240" w:lineRule="auto"/>
              <w:ind w:right="-2"/>
              <w:rPr>
                <w:szCs w:val="22"/>
              </w:rPr>
            </w:pPr>
          </w:p>
          <w:p w14:paraId="79655D0C" w14:textId="77777777" w:rsidR="009448B7" w:rsidRPr="00183B5F" w:rsidRDefault="00943743" w:rsidP="004062FE">
            <w:pPr>
              <w:spacing w:line="240" w:lineRule="auto"/>
            </w:pPr>
            <w:r w:rsidRPr="00183B5F">
              <w:rPr>
                <w:szCs w:val="22"/>
              </w:rPr>
              <w:t>Ezután a szokásos adag kéthetente 20 mg.</w:t>
            </w:r>
          </w:p>
        </w:tc>
        <w:tc>
          <w:tcPr>
            <w:tcW w:w="3096" w:type="dxa"/>
          </w:tcPr>
          <w:p w14:paraId="40AF8EBF" w14:textId="77777777" w:rsidR="009448B7" w:rsidRPr="00183B5F" w:rsidRDefault="00943743" w:rsidP="004062FE">
            <w:pPr>
              <w:numPr>
                <w:ilvl w:val="12"/>
                <w:numId w:val="0"/>
              </w:numPr>
              <w:spacing w:line="240" w:lineRule="auto"/>
              <w:ind w:right="-2"/>
            </w:pPr>
            <w:r w:rsidRPr="00183B5F">
              <w:rPr>
                <w:szCs w:val="22"/>
              </w:rPr>
              <w:t>Kezelőorvosa heti 20 mg</w:t>
            </w:r>
            <w:r w:rsidRPr="00183B5F">
              <w:rPr>
                <w:szCs w:val="22"/>
              </w:rPr>
              <w:noBreakHyphen/>
              <w:t>ra emelheti az adagolás gyakoriságát</w:t>
            </w:r>
            <w:r w:rsidRPr="00183B5F">
              <w:t>.</w:t>
            </w:r>
          </w:p>
        </w:tc>
      </w:tr>
    </w:tbl>
    <w:p w14:paraId="763F52F8" w14:textId="77777777" w:rsidR="009448B7" w:rsidRPr="00183B5F" w:rsidRDefault="009448B7" w:rsidP="004062FE">
      <w:pPr>
        <w:numPr>
          <w:ilvl w:val="12"/>
          <w:numId w:val="0"/>
        </w:numPr>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3036"/>
        <w:gridCol w:w="3023"/>
      </w:tblGrid>
      <w:tr w:rsidR="00011D2F" w14:paraId="2F9609FC" w14:textId="77777777" w:rsidTr="00455B00">
        <w:tc>
          <w:tcPr>
            <w:tcW w:w="9061" w:type="dxa"/>
            <w:gridSpan w:val="3"/>
          </w:tcPr>
          <w:p w14:paraId="765ED81F" w14:textId="77777777" w:rsidR="009448B7" w:rsidRPr="00183B5F" w:rsidRDefault="00943743" w:rsidP="002D49EE">
            <w:pPr>
              <w:numPr>
                <w:ilvl w:val="12"/>
                <w:numId w:val="0"/>
              </w:numPr>
              <w:spacing w:line="240" w:lineRule="auto"/>
              <w:ind w:right="-2"/>
              <w:rPr>
                <w:b/>
              </w:rPr>
            </w:pPr>
            <w:r w:rsidRPr="00183B5F">
              <w:rPr>
                <w:b/>
                <w:szCs w:val="22"/>
              </w:rPr>
              <w:t>Kolitisz ulceróza</w:t>
            </w:r>
          </w:p>
        </w:tc>
      </w:tr>
      <w:tr w:rsidR="00011D2F" w14:paraId="3A0ED21D" w14:textId="77777777" w:rsidTr="00455B00">
        <w:tc>
          <w:tcPr>
            <w:tcW w:w="3002" w:type="dxa"/>
          </w:tcPr>
          <w:p w14:paraId="2A09D19B" w14:textId="77777777" w:rsidR="009448B7" w:rsidRPr="00183B5F" w:rsidRDefault="00943743" w:rsidP="002D49EE">
            <w:pPr>
              <w:numPr>
                <w:ilvl w:val="12"/>
                <w:numId w:val="0"/>
              </w:numPr>
              <w:spacing w:line="240" w:lineRule="auto"/>
              <w:ind w:right="-2"/>
            </w:pPr>
            <w:r w:rsidRPr="00183B5F">
              <w:rPr>
                <w:b/>
              </w:rPr>
              <w:t>Kor vagy testtömeg</w:t>
            </w:r>
          </w:p>
        </w:tc>
        <w:tc>
          <w:tcPr>
            <w:tcW w:w="3036" w:type="dxa"/>
          </w:tcPr>
          <w:p w14:paraId="55BADE9B" w14:textId="77777777" w:rsidR="009448B7" w:rsidRPr="00183B5F" w:rsidRDefault="00943743" w:rsidP="002D49EE">
            <w:pPr>
              <w:numPr>
                <w:ilvl w:val="12"/>
                <w:numId w:val="0"/>
              </w:numPr>
              <w:spacing w:line="240" w:lineRule="auto"/>
              <w:ind w:right="-2"/>
            </w:pPr>
            <w:r w:rsidRPr="00183B5F">
              <w:rPr>
                <w:b/>
              </w:rPr>
              <w:t>Milyen adagot és milyen gyakran kell alkalmazni?</w:t>
            </w:r>
          </w:p>
        </w:tc>
        <w:tc>
          <w:tcPr>
            <w:tcW w:w="3023" w:type="dxa"/>
          </w:tcPr>
          <w:p w14:paraId="7CFABC18" w14:textId="77777777" w:rsidR="009448B7" w:rsidRPr="00183B5F" w:rsidRDefault="00943743" w:rsidP="002D49EE">
            <w:pPr>
              <w:numPr>
                <w:ilvl w:val="12"/>
                <w:numId w:val="0"/>
              </w:numPr>
              <w:spacing w:line="240" w:lineRule="auto"/>
              <w:ind w:right="-2"/>
            </w:pPr>
            <w:r w:rsidRPr="00183B5F">
              <w:rPr>
                <w:b/>
              </w:rPr>
              <w:t>Megjegyzések</w:t>
            </w:r>
          </w:p>
        </w:tc>
      </w:tr>
      <w:tr w:rsidR="00011D2F" w14:paraId="428ABC86" w14:textId="77777777" w:rsidTr="00455B00">
        <w:tc>
          <w:tcPr>
            <w:tcW w:w="3002" w:type="dxa"/>
          </w:tcPr>
          <w:p w14:paraId="659F83DD" w14:textId="77777777" w:rsidR="009448B7" w:rsidRPr="00183B5F" w:rsidRDefault="00943743" w:rsidP="002D49EE">
            <w:pPr>
              <w:numPr>
                <w:ilvl w:val="12"/>
                <w:numId w:val="0"/>
              </w:numPr>
              <w:spacing w:line="240" w:lineRule="auto"/>
              <w:ind w:right="-2"/>
            </w:pPr>
            <w:r w:rsidRPr="00183B5F">
              <w:t>Felnőttek</w:t>
            </w:r>
          </w:p>
        </w:tc>
        <w:tc>
          <w:tcPr>
            <w:tcW w:w="3036" w:type="dxa"/>
          </w:tcPr>
          <w:p w14:paraId="3392B39E" w14:textId="77777777" w:rsidR="009448B7" w:rsidRPr="00183B5F" w:rsidRDefault="00943743" w:rsidP="002D49EE">
            <w:pPr>
              <w:numPr>
                <w:ilvl w:val="12"/>
                <w:numId w:val="0"/>
              </w:numPr>
              <w:spacing w:line="240" w:lineRule="auto"/>
              <w:rPr>
                <w:szCs w:val="22"/>
              </w:rPr>
            </w:pPr>
            <w:r w:rsidRPr="00183B5F">
              <w:rPr>
                <w:szCs w:val="22"/>
              </w:rPr>
              <w:t>A kezdő adag 160 mg (két 80 mg</w:t>
            </w:r>
            <w:r w:rsidRPr="00183B5F">
              <w:rPr>
                <w:szCs w:val="22"/>
              </w:rPr>
              <w:noBreakHyphen/>
              <w:t>os injekció egyetlen napon, vagy napi egy 80 mg</w:t>
            </w:r>
            <w:r w:rsidRPr="00183B5F">
              <w:rPr>
                <w:szCs w:val="22"/>
              </w:rPr>
              <w:noBreakHyphen/>
            </w:r>
            <w:r w:rsidRPr="00183B5F">
              <w:rPr>
                <w:szCs w:val="22"/>
              </w:rPr>
              <w:t>os injekció két egymást követő napon), melyet 2 héttel később 80 mg követ (egy 80 mg</w:t>
            </w:r>
            <w:r w:rsidRPr="00183B5F">
              <w:rPr>
                <w:szCs w:val="22"/>
              </w:rPr>
              <w:noBreakHyphen/>
              <w:t xml:space="preserve">os injekció). </w:t>
            </w:r>
          </w:p>
          <w:p w14:paraId="1E017151" w14:textId="77777777" w:rsidR="009448B7" w:rsidRPr="00183B5F" w:rsidRDefault="009448B7" w:rsidP="002D49EE">
            <w:pPr>
              <w:numPr>
                <w:ilvl w:val="12"/>
                <w:numId w:val="0"/>
              </w:numPr>
              <w:spacing w:line="240" w:lineRule="auto"/>
              <w:rPr>
                <w:szCs w:val="22"/>
              </w:rPr>
            </w:pPr>
          </w:p>
          <w:p w14:paraId="3864FDC1" w14:textId="77777777" w:rsidR="009448B7" w:rsidRPr="00183B5F" w:rsidRDefault="00943743" w:rsidP="002D49EE">
            <w:pPr>
              <w:numPr>
                <w:ilvl w:val="12"/>
                <w:numId w:val="0"/>
              </w:numPr>
              <w:spacing w:line="240" w:lineRule="auto"/>
            </w:pPr>
            <w:r w:rsidRPr="00183B5F">
              <w:rPr>
                <w:szCs w:val="22"/>
              </w:rPr>
              <w:t>Ezután a szokásos adag kéthetente 40 mg.</w:t>
            </w:r>
            <w:r w:rsidRPr="00183B5F">
              <w:t xml:space="preserve"> </w:t>
            </w:r>
          </w:p>
        </w:tc>
        <w:tc>
          <w:tcPr>
            <w:tcW w:w="3023" w:type="dxa"/>
          </w:tcPr>
          <w:p w14:paraId="156799FA" w14:textId="77777777" w:rsidR="009448B7" w:rsidRPr="00183B5F" w:rsidRDefault="00943743" w:rsidP="002D49EE">
            <w:pPr>
              <w:numPr>
                <w:ilvl w:val="12"/>
                <w:numId w:val="0"/>
              </w:numPr>
              <w:spacing w:line="240" w:lineRule="auto"/>
              <w:ind w:right="-2"/>
            </w:pPr>
            <w:r w:rsidRPr="00183B5F">
              <w:rPr>
                <w:szCs w:val="22"/>
              </w:rPr>
              <w:t>Kezelőorvosa heti 40 mg</w:t>
            </w:r>
            <w:r w:rsidRPr="00183B5F">
              <w:rPr>
                <w:szCs w:val="22"/>
              </w:rPr>
              <w:noBreakHyphen/>
              <w:t xml:space="preserve">ra </w:t>
            </w:r>
            <w:r w:rsidR="002D38E9" w:rsidRPr="00183B5F">
              <w:t>vagy kéthetente 80 mg</w:t>
            </w:r>
            <w:r w:rsidR="002D38E9" w:rsidRPr="00183B5F">
              <w:noBreakHyphen/>
              <w:t xml:space="preserve">ra </w:t>
            </w:r>
            <w:r w:rsidRPr="00183B5F">
              <w:rPr>
                <w:szCs w:val="22"/>
              </w:rPr>
              <w:t xml:space="preserve">emelheti az </w:t>
            </w:r>
            <w:r w:rsidR="002D38E9" w:rsidRPr="00183B5F">
              <w:rPr>
                <w:szCs w:val="22"/>
              </w:rPr>
              <w:t>adag</w:t>
            </w:r>
            <w:r w:rsidR="006D4587" w:rsidRPr="00183B5F">
              <w:rPr>
                <w:szCs w:val="22"/>
              </w:rPr>
              <w:t>ot</w:t>
            </w:r>
            <w:r w:rsidR="002D38E9" w:rsidRPr="00183B5F">
              <w:t>.</w:t>
            </w:r>
          </w:p>
        </w:tc>
      </w:tr>
      <w:tr w:rsidR="00011D2F" w14:paraId="0F49B0F5" w14:textId="77777777" w:rsidTr="00455B00">
        <w:tc>
          <w:tcPr>
            <w:tcW w:w="3002" w:type="dxa"/>
            <w:tcBorders>
              <w:top w:val="single" w:sz="4" w:space="0" w:color="auto"/>
              <w:left w:val="single" w:sz="4" w:space="0" w:color="auto"/>
              <w:bottom w:val="single" w:sz="4" w:space="0" w:color="auto"/>
              <w:right w:val="single" w:sz="4" w:space="0" w:color="auto"/>
            </w:tcBorders>
          </w:tcPr>
          <w:p w14:paraId="5F6F3D11" w14:textId="77777777" w:rsidR="00455B00" w:rsidRPr="00183B5F" w:rsidRDefault="00943743" w:rsidP="002D49EE">
            <w:pPr>
              <w:numPr>
                <w:ilvl w:val="12"/>
                <w:numId w:val="0"/>
              </w:numPr>
              <w:spacing w:line="240" w:lineRule="auto"/>
              <w:ind w:right="-2"/>
            </w:pPr>
            <w:r w:rsidRPr="00183B5F">
              <w:t>6 éves kor feletti, 40 kg</w:t>
            </w:r>
            <w:r w:rsidRPr="00183B5F">
              <w:noBreakHyphen/>
              <w:t>nál kisebb testtömegű gyermekek és serdülők</w:t>
            </w:r>
          </w:p>
        </w:tc>
        <w:tc>
          <w:tcPr>
            <w:tcW w:w="3036" w:type="dxa"/>
            <w:tcBorders>
              <w:top w:val="single" w:sz="4" w:space="0" w:color="auto"/>
              <w:left w:val="single" w:sz="4" w:space="0" w:color="auto"/>
              <w:bottom w:val="single" w:sz="4" w:space="0" w:color="auto"/>
              <w:right w:val="single" w:sz="4" w:space="0" w:color="auto"/>
            </w:tcBorders>
          </w:tcPr>
          <w:p w14:paraId="49868D97" w14:textId="77777777" w:rsidR="00455B00" w:rsidRPr="00183B5F" w:rsidRDefault="00943743" w:rsidP="002D49EE">
            <w:pPr>
              <w:numPr>
                <w:ilvl w:val="12"/>
                <w:numId w:val="0"/>
              </w:numPr>
              <w:spacing w:line="240" w:lineRule="auto"/>
              <w:rPr>
                <w:szCs w:val="22"/>
              </w:rPr>
            </w:pPr>
            <w:r w:rsidRPr="00183B5F">
              <w:rPr>
                <w:szCs w:val="22"/>
              </w:rPr>
              <w:t>A kezdő adag 80 mg (egy 80 mg-os injekció), amelyet két héttel később 40 mg (egy 40 mg-os injekció formájában) követ.</w:t>
            </w:r>
          </w:p>
          <w:p w14:paraId="49F2C095" w14:textId="77777777" w:rsidR="00455B00" w:rsidRPr="00183B5F" w:rsidRDefault="00455B00" w:rsidP="002D49EE">
            <w:pPr>
              <w:numPr>
                <w:ilvl w:val="12"/>
                <w:numId w:val="0"/>
              </w:numPr>
              <w:spacing w:line="240" w:lineRule="auto"/>
              <w:rPr>
                <w:szCs w:val="22"/>
              </w:rPr>
            </w:pPr>
          </w:p>
          <w:p w14:paraId="00D2EF19" w14:textId="77777777" w:rsidR="00455B00" w:rsidRPr="00183B5F" w:rsidRDefault="00943743" w:rsidP="002D49EE">
            <w:pPr>
              <w:numPr>
                <w:ilvl w:val="12"/>
                <w:numId w:val="0"/>
              </w:numPr>
              <w:spacing w:line="240" w:lineRule="auto"/>
              <w:rPr>
                <w:szCs w:val="22"/>
              </w:rPr>
            </w:pPr>
            <w:r w:rsidRPr="00183B5F">
              <w:rPr>
                <w:szCs w:val="22"/>
              </w:rPr>
              <w:t>Ezt követően a szokásos adag 40 mg kéthetente.</w:t>
            </w:r>
          </w:p>
        </w:tc>
        <w:tc>
          <w:tcPr>
            <w:tcW w:w="3023" w:type="dxa"/>
            <w:tcBorders>
              <w:top w:val="single" w:sz="4" w:space="0" w:color="auto"/>
              <w:left w:val="single" w:sz="4" w:space="0" w:color="auto"/>
              <w:bottom w:val="single" w:sz="4" w:space="0" w:color="auto"/>
              <w:right w:val="single" w:sz="4" w:space="0" w:color="auto"/>
            </w:tcBorders>
          </w:tcPr>
          <w:p w14:paraId="372B32D4" w14:textId="77777777" w:rsidR="00455B00" w:rsidRPr="00183B5F" w:rsidRDefault="00943743" w:rsidP="002D49EE">
            <w:pPr>
              <w:numPr>
                <w:ilvl w:val="12"/>
                <w:numId w:val="0"/>
              </w:numPr>
              <w:spacing w:line="240" w:lineRule="auto"/>
              <w:ind w:right="-2"/>
              <w:rPr>
                <w:szCs w:val="22"/>
              </w:rPr>
            </w:pPr>
            <w:r w:rsidRPr="00183B5F">
              <w:rPr>
                <w:szCs w:val="22"/>
              </w:rPr>
              <w:t>A Humira alkalmazását a szokásos adagban kell folytatnia, a 18 éves kor betöltése után is.</w:t>
            </w:r>
          </w:p>
        </w:tc>
      </w:tr>
      <w:tr w:rsidR="00011D2F" w14:paraId="6143210B" w14:textId="77777777" w:rsidTr="00455B00">
        <w:tc>
          <w:tcPr>
            <w:tcW w:w="3002" w:type="dxa"/>
            <w:tcBorders>
              <w:top w:val="single" w:sz="4" w:space="0" w:color="auto"/>
              <w:left w:val="single" w:sz="4" w:space="0" w:color="auto"/>
              <w:bottom w:val="single" w:sz="4" w:space="0" w:color="auto"/>
              <w:right w:val="single" w:sz="4" w:space="0" w:color="auto"/>
            </w:tcBorders>
          </w:tcPr>
          <w:p w14:paraId="19165FF4" w14:textId="77777777" w:rsidR="00455B00" w:rsidRPr="00183B5F" w:rsidRDefault="00943743" w:rsidP="002D49EE">
            <w:pPr>
              <w:numPr>
                <w:ilvl w:val="12"/>
                <w:numId w:val="0"/>
              </w:numPr>
              <w:spacing w:line="240" w:lineRule="auto"/>
              <w:ind w:right="-2"/>
            </w:pPr>
            <w:r w:rsidRPr="00183B5F">
              <w:t>6 éves kor feletti, 40 kg</w:t>
            </w:r>
            <w:r w:rsidRPr="00183B5F">
              <w:noBreakHyphen/>
              <w:t>os vagy annál nagyobb testtömegű gyermekek és serdülők</w:t>
            </w:r>
          </w:p>
        </w:tc>
        <w:tc>
          <w:tcPr>
            <w:tcW w:w="3036" w:type="dxa"/>
            <w:tcBorders>
              <w:top w:val="single" w:sz="4" w:space="0" w:color="auto"/>
              <w:left w:val="single" w:sz="4" w:space="0" w:color="auto"/>
              <w:bottom w:val="single" w:sz="4" w:space="0" w:color="auto"/>
              <w:right w:val="single" w:sz="4" w:space="0" w:color="auto"/>
            </w:tcBorders>
          </w:tcPr>
          <w:p w14:paraId="0A6BC8EB" w14:textId="77777777" w:rsidR="00455B00" w:rsidRPr="00183B5F" w:rsidRDefault="00943743" w:rsidP="002D49EE">
            <w:pPr>
              <w:numPr>
                <w:ilvl w:val="12"/>
                <w:numId w:val="0"/>
              </w:numPr>
              <w:spacing w:line="240" w:lineRule="auto"/>
              <w:rPr>
                <w:szCs w:val="22"/>
              </w:rPr>
            </w:pPr>
            <w:r w:rsidRPr="00183B5F">
              <w:rPr>
                <w:szCs w:val="22"/>
              </w:rPr>
              <w:t>A kezdő adag 160 mg (két 80 mg-os injekció egyetlen napon vagy napi egy 80 mg-os injekció két egymást követő napon), majd két héttel később 80 mg (egy 80 mg-os injekció).</w:t>
            </w:r>
          </w:p>
          <w:p w14:paraId="64079877" w14:textId="77777777" w:rsidR="00455B00" w:rsidRPr="00183B5F" w:rsidRDefault="00455B00" w:rsidP="002D49EE">
            <w:pPr>
              <w:numPr>
                <w:ilvl w:val="12"/>
                <w:numId w:val="0"/>
              </w:numPr>
              <w:spacing w:line="240" w:lineRule="auto"/>
              <w:rPr>
                <w:szCs w:val="22"/>
              </w:rPr>
            </w:pPr>
          </w:p>
          <w:p w14:paraId="1270F6CF" w14:textId="77777777" w:rsidR="00455B00" w:rsidRPr="00183B5F" w:rsidRDefault="00943743" w:rsidP="002D49EE">
            <w:pPr>
              <w:numPr>
                <w:ilvl w:val="12"/>
                <w:numId w:val="0"/>
              </w:numPr>
              <w:spacing w:line="240" w:lineRule="auto"/>
              <w:rPr>
                <w:szCs w:val="22"/>
              </w:rPr>
            </w:pPr>
            <w:r w:rsidRPr="00183B5F">
              <w:rPr>
                <w:szCs w:val="22"/>
              </w:rPr>
              <w:t>Ezt követően a szokásos adag 80 mg kéthetente.</w:t>
            </w:r>
          </w:p>
        </w:tc>
        <w:tc>
          <w:tcPr>
            <w:tcW w:w="3023" w:type="dxa"/>
            <w:tcBorders>
              <w:top w:val="single" w:sz="4" w:space="0" w:color="auto"/>
              <w:left w:val="single" w:sz="4" w:space="0" w:color="auto"/>
              <w:bottom w:val="single" w:sz="4" w:space="0" w:color="auto"/>
              <w:right w:val="single" w:sz="4" w:space="0" w:color="auto"/>
            </w:tcBorders>
          </w:tcPr>
          <w:p w14:paraId="12B9140E" w14:textId="77777777" w:rsidR="00455B00" w:rsidRPr="00183B5F" w:rsidRDefault="00943743" w:rsidP="002D49EE">
            <w:pPr>
              <w:numPr>
                <w:ilvl w:val="12"/>
                <w:numId w:val="0"/>
              </w:numPr>
              <w:spacing w:line="240" w:lineRule="auto"/>
              <w:ind w:right="-2"/>
              <w:rPr>
                <w:szCs w:val="22"/>
              </w:rPr>
            </w:pPr>
            <w:r w:rsidRPr="00183B5F">
              <w:rPr>
                <w:szCs w:val="22"/>
              </w:rPr>
              <w:t>A Humira alkalmazását a szokásos adagban kell folytatnia, a 18 éves kor betöltése után is.</w:t>
            </w:r>
          </w:p>
        </w:tc>
      </w:tr>
    </w:tbl>
    <w:p w14:paraId="67579988" w14:textId="77777777" w:rsidR="009448B7" w:rsidRPr="00183B5F" w:rsidRDefault="009448B7" w:rsidP="004062FE">
      <w:pPr>
        <w:spacing w:line="240" w:lineRule="auto"/>
        <w:ind w:right="-2"/>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9"/>
        <w:gridCol w:w="3017"/>
        <w:gridCol w:w="3035"/>
      </w:tblGrid>
      <w:tr w:rsidR="00011D2F" w14:paraId="5DB1FB05" w14:textId="77777777" w:rsidTr="00687653">
        <w:tc>
          <w:tcPr>
            <w:tcW w:w="9287" w:type="dxa"/>
            <w:gridSpan w:val="3"/>
          </w:tcPr>
          <w:p w14:paraId="26A9DDE2" w14:textId="77777777" w:rsidR="009448B7" w:rsidRPr="00183B5F" w:rsidRDefault="00943743" w:rsidP="004062FE">
            <w:pPr>
              <w:keepNext/>
              <w:numPr>
                <w:ilvl w:val="12"/>
                <w:numId w:val="0"/>
              </w:numPr>
              <w:tabs>
                <w:tab w:val="left" w:pos="4950"/>
              </w:tabs>
              <w:spacing w:line="240" w:lineRule="auto"/>
              <w:ind w:right="-2"/>
              <w:rPr>
                <w:b/>
              </w:rPr>
            </w:pPr>
            <w:r w:rsidRPr="00183B5F">
              <w:rPr>
                <w:b/>
                <w:szCs w:val="22"/>
              </w:rPr>
              <w:t>Nem fertőzéses eredetű szemgyulladás (uveitisz)</w:t>
            </w:r>
            <w:r w:rsidRPr="00183B5F">
              <w:rPr>
                <w:b/>
                <w:szCs w:val="22"/>
              </w:rPr>
              <w:tab/>
            </w:r>
          </w:p>
        </w:tc>
      </w:tr>
      <w:tr w:rsidR="00011D2F" w14:paraId="6005944D" w14:textId="77777777" w:rsidTr="00687653">
        <w:tc>
          <w:tcPr>
            <w:tcW w:w="3095" w:type="dxa"/>
          </w:tcPr>
          <w:p w14:paraId="0FF7D971" w14:textId="77777777" w:rsidR="009448B7" w:rsidRPr="00183B5F" w:rsidRDefault="00943743" w:rsidP="004062FE">
            <w:pPr>
              <w:numPr>
                <w:ilvl w:val="12"/>
                <w:numId w:val="0"/>
              </w:numPr>
              <w:spacing w:line="240" w:lineRule="auto"/>
              <w:ind w:right="-2"/>
            </w:pPr>
            <w:r w:rsidRPr="00183B5F">
              <w:rPr>
                <w:b/>
              </w:rPr>
              <w:t>Kor vagy testtömeg</w:t>
            </w:r>
          </w:p>
        </w:tc>
        <w:tc>
          <w:tcPr>
            <w:tcW w:w="3096" w:type="dxa"/>
          </w:tcPr>
          <w:p w14:paraId="325D89BC" w14:textId="77777777" w:rsidR="009448B7" w:rsidRPr="00183B5F" w:rsidRDefault="00943743" w:rsidP="004062FE">
            <w:pPr>
              <w:keepNext/>
              <w:tabs>
                <w:tab w:val="left" w:pos="0"/>
              </w:tabs>
              <w:spacing w:line="240" w:lineRule="auto"/>
            </w:pPr>
            <w:r w:rsidRPr="00183B5F">
              <w:rPr>
                <w:b/>
                <w:szCs w:val="22"/>
              </w:rPr>
              <w:t>Milyen adagot és milyen gyakran kell alkalmazni?</w:t>
            </w:r>
          </w:p>
        </w:tc>
        <w:tc>
          <w:tcPr>
            <w:tcW w:w="3096" w:type="dxa"/>
          </w:tcPr>
          <w:p w14:paraId="4979C84A" w14:textId="77777777" w:rsidR="009448B7" w:rsidRPr="00183B5F" w:rsidRDefault="00943743" w:rsidP="004062FE">
            <w:pPr>
              <w:keepNext/>
              <w:numPr>
                <w:ilvl w:val="12"/>
                <w:numId w:val="0"/>
              </w:numPr>
              <w:spacing w:line="240" w:lineRule="auto"/>
            </w:pPr>
            <w:r w:rsidRPr="00183B5F">
              <w:rPr>
                <w:b/>
                <w:szCs w:val="22"/>
              </w:rPr>
              <w:t>Megjegyzések</w:t>
            </w:r>
          </w:p>
        </w:tc>
      </w:tr>
      <w:tr w:rsidR="00011D2F" w14:paraId="09E6C9F8" w14:textId="77777777" w:rsidTr="00687653">
        <w:tc>
          <w:tcPr>
            <w:tcW w:w="3095" w:type="dxa"/>
          </w:tcPr>
          <w:p w14:paraId="51172A82" w14:textId="77777777" w:rsidR="009448B7" w:rsidRPr="00183B5F" w:rsidRDefault="00943743" w:rsidP="004062FE">
            <w:pPr>
              <w:numPr>
                <w:ilvl w:val="12"/>
                <w:numId w:val="0"/>
              </w:numPr>
              <w:spacing w:line="240" w:lineRule="auto"/>
              <w:ind w:right="-2"/>
            </w:pPr>
            <w:r w:rsidRPr="00183B5F">
              <w:t>Felnőttek</w:t>
            </w:r>
          </w:p>
        </w:tc>
        <w:tc>
          <w:tcPr>
            <w:tcW w:w="3096" w:type="dxa"/>
          </w:tcPr>
          <w:p w14:paraId="00C6A395" w14:textId="77777777" w:rsidR="009448B7" w:rsidRPr="00183B5F" w:rsidRDefault="00943743" w:rsidP="004062FE">
            <w:pPr>
              <w:keepNext/>
              <w:tabs>
                <w:tab w:val="left" w:pos="0"/>
              </w:tabs>
              <w:spacing w:line="240" w:lineRule="auto"/>
            </w:pPr>
            <w:r w:rsidRPr="00183B5F">
              <w:t>A kezdő adag 80 mg (egy 80 mg</w:t>
            </w:r>
            <w:r w:rsidRPr="00183B5F">
              <w:noBreakHyphen/>
            </w:r>
            <w:r w:rsidRPr="00183B5F">
              <w:t>os injekció), melyet egy</w:t>
            </w:r>
            <w:r w:rsidRPr="00183B5F">
              <w:rPr>
                <w:szCs w:val="22"/>
              </w:rPr>
              <w:t xml:space="preserve"> héttel később minden második héten adott 40 mg követ.</w:t>
            </w:r>
          </w:p>
        </w:tc>
        <w:tc>
          <w:tcPr>
            <w:tcW w:w="3096" w:type="dxa"/>
          </w:tcPr>
          <w:p w14:paraId="5F7E4340" w14:textId="77777777" w:rsidR="009448B7" w:rsidRPr="00183B5F" w:rsidRDefault="00943743" w:rsidP="004062FE">
            <w:pPr>
              <w:keepNext/>
              <w:tabs>
                <w:tab w:val="left" w:pos="0"/>
              </w:tabs>
              <w:spacing w:line="240" w:lineRule="auto"/>
              <w:ind w:right="-2"/>
              <w:rPr>
                <w:szCs w:val="22"/>
              </w:rPr>
            </w:pPr>
            <w:r w:rsidRPr="00183B5F">
              <w:rPr>
                <w:szCs w:val="22"/>
              </w:rPr>
              <w:t>A Humira alkalmazásával egyidejűleg kortikoszteroidok vagy egyéb, az immunrendszer működését befolyásoló gyógyszerek alkalmazása folytatható. A Humira önmagában is alkalmazható.</w:t>
            </w:r>
          </w:p>
        </w:tc>
      </w:tr>
      <w:tr w:rsidR="00011D2F" w14:paraId="64F2C198" w14:textId="77777777" w:rsidTr="00256F81">
        <w:tc>
          <w:tcPr>
            <w:tcW w:w="3095" w:type="dxa"/>
          </w:tcPr>
          <w:p w14:paraId="75DED441" w14:textId="77777777" w:rsidR="00937B49" w:rsidRPr="00183B5F" w:rsidRDefault="00943743" w:rsidP="004062FE">
            <w:pPr>
              <w:numPr>
                <w:ilvl w:val="12"/>
                <w:numId w:val="0"/>
              </w:numPr>
              <w:spacing w:line="240" w:lineRule="auto"/>
              <w:ind w:right="-2"/>
            </w:pPr>
            <w:r w:rsidRPr="00183B5F">
              <w:t>2 éves kor feletti, 30 kg</w:t>
            </w:r>
            <w:r w:rsidRPr="00183B5F">
              <w:noBreakHyphen/>
              <w:t>nál kisebb testtömegű gyermekek</w:t>
            </w:r>
            <w:r w:rsidR="000D6F55" w:rsidRPr="00183B5F">
              <w:t xml:space="preserve"> és serdülők</w:t>
            </w:r>
          </w:p>
        </w:tc>
        <w:tc>
          <w:tcPr>
            <w:tcW w:w="3096" w:type="dxa"/>
          </w:tcPr>
          <w:p w14:paraId="0081C56B" w14:textId="77777777" w:rsidR="00937B49" w:rsidRPr="00183B5F" w:rsidRDefault="00943743" w:rsidP="004062FE">
            <w:pPr>
              <w:keepNext/>
              <w:tabs>
                <w:tab w:val="left" w:pos="0"/>
              </w:tabs>
              <w:spacing w:line="240" w:lineRule="auto"/>
            </w:pPr>
            <w:r w:rsidRPr="00183B5F">
              <w:t>20 mg minden második héten</w:t>
            </w:r>
          </w:p>
        </w:tc>
        <w:tc>
          <w:tcPr>
            <w:tcW w:w="3096" w:type="dxa"/>
          </w:tcPr>
          <w:p w14:paraId="0D7F3A78" w14:textId="77777777" w:rsidR="00937B49" w:rsidRPr="00183B5F" w:rsidRDefault="00943743" w:rsidP="004062FE">
            <w:pPr>
              <w:keepNext/>
              <w:tabs>
                <w:tab w:val="left" w:pos="0"/>
              </w:tabs>
              <w:spacing w:line="240" w:lineRule="auto"/>
              <w:ind w:right="-2"/>
              <w:rPr>
                <w:szCs w:val="22"/>
              </w:rPr>
            </w:pPr>
            <w:r w:rsidRPr="00183B5F">
              <w:rPr>
                <w:szCs w:val="22"/>
              </w:rPr>
              <w:t>Kezelőorvosa egy 40 mg</w:t>
            </w:r>
            <w:r w:rsidRPr="00183B5F">
              <w:rPr>
                <w:szCs w:val="22"/>
              </w:rPr>
              <w:noBreakHyphen/>
            </w:r>
            <w:r w:rsidRPr="00183B5F">
              <w:rPr>
                <w:szCs w:val="22"/>
              </w:rPr>
              <w:t>os kezdő dózist is felírhat, melyet egy héttel a szokásos, kéthetente 20 mg</w:t>
            </w:r>
            <w:r w:rsidRPr="00183B5F">
              <w:rPr>
                <w:szCs w:val="22"/>
              </w:rPr>
              <w:noBreakHyphen/>
              <w:t>os adagolás megkezdése előtt kell beadni. A Humira</w:t>
            </w:r>
            <w:r w:rsidRPr="00183B5F">
              <w:rPr>
                <w:szCs w:val="22"/>
              </w:rPr>
              <w:noBreakHyphen/>
              <w:t>t metotrexáttal kombiná</w:t>
            </w:r>
            <w:r w:rsidR="00EA69A9" w:rsidRPr="00183B5F">
              <w:rPr>
                <w:szCs w:val="22"/>
              </w:rPr>
              <w:t>lva</w:t>
            </w:r>
            <w:r w:rsidRPr="00183B5F">
              <w:rPr>
                <w:szCs w:val="22"/>
              </w:rPr>
              <w:t xml:space="preserve"> javasolt alkalmazni.</w:t>
            </w:r>
          </w:p>
        </w:tc>
      </w:tr>
      <w:tr w:rsidR="00011D2F" w14:paraId="313D5C0C" w14:textId="77777777" w:rsidTr="00256F81">
        <w:tc>
          <w:tcPr>
            <w:tcW w:w="3095" w:type="dxa"/>
          </w:tcPr>
          <w:p w14:paraId="4FF9CBCE" w14:textId="77777777" w:rsidR="00937B49" w:rsidRPr="00183B5F" w:rsidRDefault="00943743" w:rsidP="004062FE">
            <w:pPr>
              <w:numPr>
                <w:ilvl w:val="12"/>
                <w:numId w:val="0"/>
              </w:numPr>
              <w:spacing w:line="240" w:lineRule="auto"/>
              <w:ind w:right="-2"/>
            </w:pPr>
            <w:r w:rsidRPr="00183B5F">
              <w:t>2 éves kor feletti, legalább 30 kg testtömegű gyermekek</w:t>
            </w:r>
            <w:r w:rsidR="000D6F55" w:rsidRPr="00183B5F">
              <w:t xml:space="preserve"> és serdülők</w:t>
            </w:r>
          </w:p>
        </w:tc>
        <w:tc>
          <w:tcPr>
            <w:tcW w:w="3096" w:type="dxa"/>
          </w:tcPr>
          <w:p w14:paraId="3D0C8F6D" w14:textId="77777777" w:rsidR="00937B49" w:rsidRPr="00183B5F" w:rsidRDefault="00943743" w:rsidP="004062FE">
            <w:pPr>
              <w:keepNext/>
              <w:tabs>
                <w:tab w:val="left" w:pos="0"/>
              </w:tabs>
              <w:spacing w:line="240" w:lineRule="auto"/>
            </w:pPr>
            <w:r w:rsidRPr="00183B5F">
              <w:t>40 mg minden második héten</w:t>
            </w:r>
          </w:p>
        </w:tc>
        <w:tc>
          <w:tcPr>
            <w:tcW w:w="3096" w:type="dxa"/>
          </w:tcPr>
          <w:p w14:paraId="25E73086" w14:textId="77777777" w:rsidR="00937B49" w:rsidRPr="00183B5F" w:rsidRDefault="00943743" w:rsidP="004062FE">
            <w:pPr>
              <w:keepNext/>
              <w:tabs>
                <w:tab w:val="left" w:pos="0"/>
              </w:tabs>
              <w:spacing w:line="240" w:lineRule="auto"/>
              <w:ind w:right="-2"/>
              <w:rPr>
                <w:szCs w:val="22"/>
              </w:rPr>
            </w:pPr>
            <w:r w:rsidRPr="00183B5F">
              <w:rPr>
                <w:szCs w:val="22"/>
              </w:rPr>
              <w:t>Kezelőorvosa egy 80 mg</w:t>
            </w:r>
            <w:r w:rsidRPr="00183B5F">
              <w:rPr>
                <w:szCs w:val="22"/>
              </w:rPr>
              <w:noBreakHyphen/>
              <w:t>os kezdő dózist is felírhat, melyet egy héttel a szokásos, kéthetente 40 mg</w:t>
            </w:r>
            <w:r w:rsidRPr="00183B5F">
              <w:rPr>
                <w:szCs w:val="22"/>
              </w:rPr>
              <w:noBreakHyphen/>
              <w:t>os adagolás megkezdése előtt kell beadni. A Humira</w:t>
            </w:r>
            <w:r w:rsidRPr="00183B5F">
              <w:rPr>
                <w:szCs w:val="22"/>
              </w:rPr>
              <w:noBreakHyphen/>
              <w:t>t metotrexáttal kombiná</w:t>
            </w:r>
            <w:r w:rsidR="00EA69A9" w:rsidRPr="00183B5F">
              <w:rPr>
                <w:szCs w:val="22"/>
              </w:rPr>
              <w:t>lva</w:t>
            </w:r>
            <w:r w:rsidRPr="00183B5F">
              <w:rPr>
                <w:szCs w:val="22"/>
              </w:rPr>
              <w:t xml:space="preserve"> javasolt alkalmazni.</w:t>
            </w:r>
          </w:p>
        </w:tc>
      </w:tr>
    </w:tbl>
    <w:p w14:paraId="1A010A42" w14:textId="77777777" w:rsidR="00720D39" w:rsidRPr="00183B5F" w:rsidRDefault="00720D39" w:rsidP="004062FE">
      <w:pPr>
        <w:keepNext/>
        <w:numPr>
          <w:ilvl w:val="12"/>
          <w:numId w:val="0"/>
        </w:numPr>
        <w:spacing w:line="240" w:lineRule="auto"/>
        <w:ind w:right="-2"/>
        <w:rPr>
          <w:b/>
          <w:szCs w:val="22"/>
        </w:rPr>
      </w:pPr>
    </w:p>
    <w:p w14:paraId="34F34DE9" w14:textId="77777777" w:rsidR="002F7D7A" w:rsidRPr="00183B5F" w:rsidRDefault="00943743" w:rsidP="004062FE">
      <w:pPr>
        <w:keepNext/>
        <w:numPr>
          <w:ilvl w:val="12"/>
          <w:numId w:val="0"/>
        </w:numPr>
        <w:spacing w:line="240" w:lineRule="auto"/>
        <w:ind w:right="-2"/>
        <w:rPr>
          <w:b/>
          <w:szCs w:val="22"/>
        </w:rPr>
      </w:pPr>
      <w:r w:rsidRPr="00183B5F">
        <w:rPr>
          <w:b/>
          <w:szCs w:val="22"/>
        </w:rPr>
        <w:t>Az alkalmazással kapcsolatos tudnivalók és az alkalmazás módja</w:t>
      </w:r>
    </w:p>
    <w:p w14:paraId="7500A581" w14:textId="77777777" w:rsidR="002F7D7A" w:rsidRPr="00183B5F" w:rsidRDefault="002F7D7A" w:rsidP="004062FE">
      <w:pPr>
        <w:keepNext/>
        <w:numPr>
          <w:ilvl w:val="12"/>
          <w:numId w:val="0"/>
        </w:numPr>
        <w:spacing w:line="240" w:lineRule="auto"/>
        <w:ind w:right="-2"/>
        <w:rPr>
          <w:b/>
          <w:szCs w:val="22"/>
        </w:rPr>
      </w:pPr>
    </w:p>
    <w:p w14:paraId="34DA391B" w14:textId="77777777" w:rsidR="002F7D7A" w:rsidRPr="00183B5F" w:rsidRDefault="00943743" w:rsidP="004062FE">
      <w:pPr>
        <w:keepNext/>
        <w:spacing w:line="240" w:lineRule="auto"/>
        <w:ind w:right="-2"/>
        <w:rPr>
          <w:szCs w:val="22"/>
        </w:rPr>
      </w:pPr>
      <w:r w:rsidRPr="00183B5F">
        <w:rPr>
          <w:szCs w:val="22"/>
        </w:rPr>
        <w:t>A Humira</w:t>
      </w:r>
      <w:r w:rsidRPr="00183B5F">
        <w:rPr>
          <w:szCs w:val="22"/>
        </w:rPr>
        <w:noBreakHyphen/>
        <w:t>t a bőr alá (szubkután injekció formájában) kell beadni.</w:t>
      </w:r>
    </w:p>
    <w:p w14:paraId="32CD825F" w14:textId="77777777" w:rsidR="002F7D7A" w:rsidRPr="00183B5F" w:rsidRDefault="002F7D7A" w:rsidP="004062FE">
      <w:pPr>
        <w:spacing w:line="240" w:lineRule="auto"/>
        <w:ind w:right="-2"/>
        <w:rPr>
          <w:szCs w:val="22"/>
        </w:rPr>
      </w:pPr>
    </w:p>
    <w:p w14:paraId="110F4DE2" w14:textId="77777777" w:rsidR="002F7D7A" w:rsidRPr="00183B5F" w:rsidRDefault="00943743">
      <w:pPr>
        <w:spacing w:line="240" w:lineRule="auto"/>
        <w:ind w:right="-2"/>
        <w:rPr>
          <w:b/>
          <w:szCs w:val="22"/>
        </w:rPr>
      </w:pPr>
      <w:r w:rsidRPr="00183B5F">
        <w:rPr>
          <w:b/>
          <w:szCs w:val="22"/>
        </w:rPr>
        <w:t>A Humira injekció beadásával kapcsolatos részletes útmutatás a „7. </w:t>
      </w:r>
      <w:r w:rsidR="007B1AD3" w:rsidRPr="00183B5F">
        <w:rPr>
          <w:b/>
          <w:szCs w:val="22"/>
        </w:rPr>
        <w:t>A Humira beadása</w:t>
      </w:r>
      <w:r w:rsidRPr="00183B5F">
        <w:rPr>
          <w:b/>
          <w:szCs w:val="22"/>
        </w:rPr>
        <w:t>” című pontban található</w:t>
      </w:r>
    </w:p>
    <w:p w14:paraId="132B82A3" w14:textId="77777777" w:rsidR="002F7D7A" w:rsidRPr="00183B5F" w:rsidRDefault="002F7D7A" w:rsidP="004062FE">
      <w:pPr>
        <w:spacing w:line="240" w:lineRule="auto"/>
        <w:ind w:right="-3"/>
        <w:rPr>
          <w:szCs w:val="22"/>
        </w:rPr>
      </w:pPr>
    </w:p>
    <w:p w14:paraId="073F6F26" w14:textId="77777777" w:rsidR="002F7D7A" w:rsidRPr="00183B5F" w:rsidRDefault="00943743" w:rsidP="004062FE">
      <w:pPr>
        <w:keepNext/>
        <w:spacing w:line="240" w:lineRule="auto"/>
        <w:rPr>
          <w:b/>
          <w:szCs w:val="22"/>
        </w:rPr>
      </w:pPr>
      <w:r w:rsidRPr="00183B5F">
        <w:rPr>
          <w:b/>
          <w:szCs w:val="22"/>
        </w:rPr>
        <w:t xml:space="preserve">Ha az előírtnál több </w:t>
      </w:r>
      <w:r w:rsidRPr="00183B5F">
        <w:rPr>
          <w:b/>
          <w:bCs/>
          <w:szCs w:val="22"/>
        </w:rPr>
        <w:t>Humira</w:t>
      </w:r>
      <w:r w:rsidRPr="00183B5F">
        <w:rPr>
          <w:b/>
          <w:bCs/>
          <w:szCs w:val="22"/>
        </w:rPr>
        <w:noBreakHyphen/>
        <w:t>t</w:t>
      </w:r>
      <w:r w:rsidRPr="00183B5F">
        <w:rPr>
          <w:b/>
          <w:szCs w:val="22"/>
        </w:rPr>
        <w:t xml:space="preserve"> alkalmazott</w:t>
      </w:r>
    </w:p>
    <w:p w14:paraId="2797C6AB" w14:textId="77777777" w:rsidR="002F7D7A" w:rsidRPr="00183B5F" w:rsidRDefault="002F7D7A" w:rsidP="004062FE">
      <w:pPr>
        <w:keepNext/>
        <w:spacing w:line="240" w:lineRule="auto"/>
        <w:rPr>
          <w:b/>
          <w:szCs w:val="22"/>
        </w:rPr>
      </w:pPr>
    </w:p>
    <w:p w14:paraId="04AD5B00" w14:textId="77777777" w:rsidR="002F7D7A" w:rsidRPr="00183B5F" w:rsidRDefault="00943743" w:rsidP="004062FE">
      <w:pPr>
        <w:keepNext/>
        <w:spacing w:line="240" w:lineRule="auto"/>
        <w:rPr>
          <w:szCs w:val="22"/>
        </w:rPr>
      </w:pPr>
      <w:r w:rsidRPr="00183B5F">
        <w:rPr>
          <w:szCs w:val="22"/>
        </w:rPr>
        <w:t>Ha véletlenül a kezelőorvosa vagy gyógyszerésze által előírtnál gyakrabban alkalmazta a Humira-t, azonnal beszéljen kezelőorvosával vagy gyógyszerészével. Őrizze meg a külső csomagolást, abban az esetben is, ha üres.</w:t>
      </w:r>
    </w:p>
    <w:p w14:paraId="0988D06B" w14:textId="77777777" w:rsidR="002F7D7A" w:rsidRPr="00183B5F" w:rsidRDefault="002F7D7A" w:rsidP="004062FE">
      <w:pPr>
        <w:spacing w:line="240" w:lineRule="auto"/>
        <w:ind w:right="-2"/>
        <w:rPr>
          <w:szCs w:val="22"/>
        </w:rPr>
      </w:pPr>
    </w:p>
    <w:p w14:paraId="60B03BF0" w14:textId="77777777" w:rsidR="002F7D7A" w:rsidRPr="00183B5F" w:rsidRDefault="00943743" w:rsidP="004062FE">
      <w:pPr>
        <w:spacing w:line="240" w:lineRule="auto"/>
        <w:ind w:right="-2"/>
        <w:rPr>
          <w:b/>
          <w:szCs w:val="22"/>
        </w:rPr>
      </w:pPr>
      <w:r w:rsidRPr="00183B5F">
        <w:rPr>
          <w:b/>
          <w:szCs w:val="22"/>
        </w:rPr>
        <w:t>Ha elfelejtette alkalmazni a</w:t>
      </w:r>
      <w:r w:rsidRPr="00183B5F">
        <w:rPr>
          <w:b/>
          <w:bCs/>
          <w:szCs w:val="22"/>
        </w:rPr>
        <w:t xml:space="preserve"> Humira</w:t>
      </w:r>
      <w:r w:rsidRPr="00183B5F">
        <w:rPr>
          <w:b/>
          <w:bCs/>
          <w:szCs w:val="22"/>
        </w:rPr>
        <w:noBreakHyphen/>
        <w:t>t</w:t>
      </w:r>
    </w:p>
    <w:p w14:paraId="63F84053" w14:textId="77777777" w:rsidR="002F7D7A" w:rsidRPr="00183B5F" w:rsidRDefault="002F7D7A" w:rsidP="004062FE">
      <w:pPr>
        <w:spacing w:line="240" w:lineRule="auto"/>
        <w:ind w:right="-2"/>
        <w:rPr>
          <w:szCs w:val="22"/>
        </w:rPr>
      </w:pPr>
    </w:p>
    <w:p w14:paraId="45C89DB3" w14:textId="77777777" w:rsidR="002F7D7A" w:rsidRPr="00183B5F" w:rsidRDefault="00943743" w:rsidP="004062FE">
      <w:pPr>
        <w:spacing w:line="240" w:lineRule="auto"/>
        <w:ind w:right="-2"/>
        <w:rPr>
          <w:szCs w:val="22"/>
        </w:rPr>
      </w:pPr>
      <w:r w:rsidRPr="00183B5F">
        <w:rPr>
          <w:szCs w:val="22"/>
        </w:rPr>
        <w:t>Ha elfelejtette beadni az injekciót, adja be a következő Humira adagot rögtön, amikor eszébe jutott. A következő adagot az eredeti kezelési terv alapján meghatározott napon alkalmazza, úgy mintha az előző adagot az előírás szerinti időpontban adta volna be.</w:t>
      </w:r>
    </w:p>
    <w:p w14:paraId="3C56A4EF" w14:textId="77777777" w:rsidR="002F7D7A" w:rsidRPr="00183B5F" w:rsidRDefault="002F7D7A" w:rsidP="004062FE">
      <w:pPr>
        <w:spacing w:line="240" w:lineRule="auto"/>
        <w:ind w:right="-2"/>
        <w:rPr>
          <w:szCs w:val="22"/>
        </w:rPr>
      </w:pPr>
    </w:p>
    <w:p w14:paraId="6302348C" w14:textId="77777777" w:rsidR="002F7D7A" w:rsidRPr="00183B5F" w:rsidRDefault="00943743" w:rsidP="004062FE">
      <w:pPr>
        <w:spacing w:line="240" w:lineRule="auto"/>
        <w:ind w:right="-2"/>
        <w:rPr>
          <w:b/>
          <w:szCs w:val="24"/>
        </w:rPr>
      </w:pPr>
      <w:r w:rsidRPr="00183B5F">
        <w:rPr>
          <w:b/>
          <w:szCs w:val="24"/>
        </w:rPr>
        <w:t>Ha idő előtt abbahagyja a Humira alkalmazását</w:t>
      </w:r>
    </w:p>
    <w:p w14:paraId="66A6C2E3" w14:textId="77777777" w:rsidR="002F7D7A" w:rsidRPr="00183B5F" w:rsidRDefault="002F7D7A" w:rsidP="004062FE">
      <w:pPr>
        <w:spacing w:line="240" w:lineRule="auto"/>
        <w:ind w:right="-2"/>
        <w:rPr>
          <w:szCs w:val="24"/>
        </w:rPr>
      </w:pPr>
    </w:p>
    <w:p w14:paraId="268F6B1D" w14:textId="77777777" w:rsidR="002F7D7A" w:rsidRPr="00183B5F" w:rsidRDefault="00943743" w:rsidP="004062FE">
      <w:pPr>
        <w:spacing w:line="240" w:lineRule="auto"/>
        <w:ind w:right="-2"/>
        <w:rPr>
          <w:szCs w:val="22"/>
        </w:rPr>
      </w:pPr>
      <w:r w:rsidRPr="00183B5F">
        <w:rPr>
          <w:szCs w:val="22"/>
        </w:rPr>
        <w:t>A döntést, hogy abbahagyja a Humira alkalmazását, meg kell beszélni kezelőorvosával. Tünetei visszatérhetnek, ha abbahagyja a kezelést.</w:t>
      </w:r>
    </w:p>
    <w:p w14:paraId="670CF98C" w14:textId="77777777" w:rsidR="002F7D7A" w:rsidRPr="00183B5F" w:rsidRDefault="002F7D7A" w:rsidP="004062FE">
      <w:pPr>
        <w:spacing w:line="240" w:lineRule="auto"/>
        <w:ind w:right="-2"/>
        <w:rPr>
          <w:szCs w:val="22"/>
        </w:rPr>
      </w:pPr>
    </w:p>
    <w:p w14:paraId="77CE4AAB" w14:textId="77777777" w:rsidR="002F7D7A" w:rsidRPr="00183B5F" w:rsidRDefault="00943743" w:rsidP="004062FE">
      <w:pPr>
        <w:spacing w:line="240" w:lineRule="auto"/>
        <w:ind w:right="-2"/>
        <w:rPr>
          <w:szCs w:val="22"/>
        </w:rPr>
      </w:pPr>
      <w:r w:rsidRPr="00183B5F">
        <w:rPr>
          <w:szCs w:val="22"/>
        </w:rPr>
        <w:t>Ha bármilyen további kérdése van a gyógyszer alkalmazásával kapcsolatban, kérdezze meg kezelőorvosát vagy gyógyszerészét.</w:t>
      </w:r>
    </w:p>
    <w:p w14:paraId="40138805" w14:textId="77777777" w:rsidR="002F7D7A" w:rsidRPr="00183B5F" w:rsidRDefault="002F7D7A" w:rsidP="004062FE">
      <w:pPr>
        <w:spacing w:line="240" w:lineRule="auto"/>
        <w:ind w:right="-2"/>
        <w:rPr>
          <w:szCs w:val="22"/>
        </w:rPr>
      </w:pPr>
    </w:p>
    <w:p w14:paraId="4855F212" w14:textId="77777777" w:rsidR="002F7D7A" w:rsidRPr="00183B5F" w:rsidRDefault="002F7D7A" w:rsidP="004062FE">
      <w:pPr>
        <w:spacing w:line="240" w:lineRule="auto"/>
        <w:ind w:right="-2"/>
        <w:rPr>
          <w:szCs w:val="22"/>
        </w:rPr>
      </w:pPr>
    </w:p>
    <w:p w14:paraId="2434769B" w14:textId="77777777" w:rsidR="002F7D7A" w:rsidRPr="00183B5F" w:rsidRDefault="00943743" w:rsidP="004062FE">
      <w:pPr>
        <w:keepNext/>
        <w:spacing w:line="240" w:lineRule="auto"/>
        <w:ind w:right="-2"/>
        <w:rPr>
          <w:b/>
          <w:szCs w:val="22"/>
        </w:rPr>
      </w:pPr>
      <w:r w:rsidRPr="00183B5F">
        <w:rPr>
          <w:b/>
          <w:szCs w:val="22"/>
        </w:rPr>
        <w:t>4.</w:t>
      </w:r>
      <w:r w:rsidRPr="00183B5F">
        <w:rPr>
          <w:b/>
          <w:szCs w:val="22"/>
        </w:rPr>
        <w:tab/>
        <w:t>Lehetséges mellékhatások</w:t>
      </w:r>
    </w:p>
    <w:p w14:paraId="0BB6D887" w14:textId="77777777" w:rsidR="002F7D7A" w:rsidRPr="00183B5F" w:rsidRDefault="002F7D7A" w:rsidP="004062FE">
      <w:pPr>
        <w:keepNext/>
        <w:spacing w:line="240" w:lineRule="auto"/>
        <w:ind w:right="-29"/>
        <w:rPr>
          <w:szCs w:val="22"/>
        </w:rPr>
      </w:pPr>
    </w:p>
    <w:p w14:paraId="009D59B6" w14:textId="77777777" w:rsidR="002F7D7A" w:rsidRPr="00183B5F" w:rsidRDefault="00943743" w:rsidP="004062FE">
      <w:pPr>
        <w:keepNext/>
        <w:spacing w:line="240" w:lineRule="auto"/>
        <w:ind w:right="-29"/>
        <w:rPr>
          <w:szCs w:val="22"/>
        </w:rPr>
      </w:pPr>
      <w:r w:rsidRPr="00183B5F">
        <w:rPr>
          <w:szCs w:val="22"/>
        </w:rPr>
        <w:t>Mint minden gyógyszer, így ez a gyógyszer is okozhat mellékhatásokat, amelyek azonban nem mindenkinél jelentkeznek. A legtöbb mellékhatás enyhe vagy közepes fokú. Néhány esetben kezelést igénylő, súlyos mellékhatás is előfordulhat. A mellékhatások az utolsó Humira injekciót követően legalább 4 hónapig még bekövetkezhetnek.</w:t>
      </w:r>
    </w:p>
    <w:p w14:paraId="2F87441B" w14:textId="77777777" w:rsidR="002F7D7A" w:rsidRPr="00183B5F" w:rsidRDefault="002F7D7A" w:rsidP="004062FE">
      <w:pPr>
        <w:spacing w:line="240" w:lineRule="auto"/>
        <w:ind w:right="-29"/>
        <w:rPr>
          <w:szCs w:val="22"/>
        </w:rPr>
      </w:pPr>
    </w:p>
    <w:p w14:paraId="734C80FF" w14:textId="77777777" w:rsidR="002F7D7A" w:rsidRPr="00183B5F" w:rsidRDefault="00943743" w:rsidP="004062FE">
      <w:pPr>
        <w:spacing w:line="240" w:lineRule="auto"/>
        <w:ind w:right="-29"/>
        <w:rPr>
          <w:b/>
          <w:szCs w:val="22"/>
        </w:rPr>
      </w:pPr>
      <w:r w:rsidRPr="00183B5F">
        <w:rPr>
          <w:b/>
          <w:szCs w:val="22"/>
        </w:rPr>
        <w:t>Közölje azonnal kezelőorvosával, ha az alábbiak közül bármit észlel</w:t>
      </w:r>
    </w:p>
    <w:p w14:paraId="58FD9D06" w14:textId="77777777" w:rsidR="00720D39" w:rsidRPr="00183B5F" w:rsidRDefault="00720D39" w:rsidP="004062FE">
      <w:pPr>
        <w:spacing w:line="240" w:lineRule="auto"/>
        <w:ind w:right="-29"/>
        <w:rPr>
          <w:b/>
          <w:szCs w:val="22"/>
        </w:rPr>
      </w:pPr>
    </w:p>
    <w:p w14:paraId="147DE472" w14:textId="77777777" w:rsidR="002F7D7A" w:rsidRPr="00183B5F" w:rsidRDefault="00943743" w:rsidP="004062FE">
      <w:pPr>
        <w:numPr>
          <w:ilvl w:val="0"/>
          <w:numId w:val="52"/>
        </w:numPr>
        <w:spacing w:line="240" w:lineRule="auto"/>
        <w:ind w:right="-29"/>
        <w:rPr>
          <w:szCs w:val="22"/>
        </w:rPr>
      </w:pPr>
      <w:r w:rsidRPr="00183B5F">
        <w:rPr>
          <w:szCs w:val="22"/>
        </w:rPr>
        <w:t xml:space="preserve">súlyos </w:t>
      </w:r>
      <w:r w:rsidR="00DE11C0" w:rsidRPr="00183B5F">
        <w:rPr>
          <w:szCs w:val="22"/>
        </w:rPr>
        <w:t>bőr</w:t>
      </w:r>
      <w:r w:rsidRPr="00183B5F">
        <w:rPr>
          <w:szCs w:val="22"/>
        </w:rPr>
        <w:t>kiütés, csalánkiütés vagy más allergiára utaló tünet</w:t>
      </w:r>
    </w:p>
    <w:p w14:paraId="3CB1A728" w14:textId="77777777" w:rsidR="002F7D7A" w:rsidRPr="00183B5F" w:rsidRDefault="00943743" w:rsidP="004062FE">
      <w:pPr>
        <w:numPr>
          <w:ilvl w:val="0"/>
          <w:numId w:val="52"/>
        </w:numPr>
        <w:spacing w:line="240" w:lineRule="auto"/>
        <w:ind w:right="-29"/>
        <w:rPr>
          <w:szCs w:val="22"/>
        </w:rPr>
      </w:pPr>
      <w:r w:rsidRPr="00183B5F">
        <w:rPr>
          <w:szCs w:val="22"/>
        </w:rPr>
        <w:t>duzzanat az arcon, k</w:t>
      </w:r>
      <w:r w:rsidR="00DE11C0" w:rsidRPr="00183B5F">
        <w:rPr>
          <w:szCs w:val="22"/>
        </w:rPr>
        <w:t>é</w:t>
      </w:r>
      <w:r w:rsidRPr="00183B5F">
        <w:rPr>
          <w:szCs w:val="22"/>
        </w:rPr>
        <w:t>zen vagy lábon</w:t>
      </w:r>
    </w:p>
    <w:p w14:paraId="066676C9" w14:textId="77777777" w:rsidR="002F7D7A" w:rsidRPr="00183B5F" w:rsidRDefault="00943743" w:rsidP="004062FE">
      <w:pPr>
        <w:numPr>
          <w:ilvl w:val="0"/>
          <w:numId w:val="52"/>
        </w:numPr>
        <w:spacing w:line="240" w:lineRule="auto"/>
        <w:ind w:right="-29"/>
        <w:rPr>
          <w:szCs w:val="22"/>
        </w:rPr>
      </w:pPr>
      <w:r w:rsidRPr="00183B5F">
        <w:rPr>
          <w:szCs w:val="22"/>
        </w:rPr>
        <w:t>nehézlégzés vagy nehézség a nyelés során</w:t>
      </w:r>
    </w:p>
    <w:p w14:paraId="23E7BAEA" w14:textId="77777777" w:rsidR="002F7D7A" w:rsidRPr="00183B5F" w:rsidRDefault="00943743" w:rsidP="004062FE">
      <w:pPr>
        <w:numPr>
          <w:ilvl w:val="0"/>
          <w:numId w:val="52"/>
        </w:numPr>
        <w:spacing w:line="240" w:lineRule="auto"/>
        <w:ind w:right="-29"/>
        <w:rPr>
          <w:szCs w:val="22"/>
        </w:rPr>
      </w:pPr>
      <w:r w:rsidRPr="00183B5F">
        <w:rPr>
          <w:szCs w:val="22"/>
        </w:rPr>
        <w:t>megerőltetéskor vagy lefekvéskor jelentkező nehézlégzés, vagy lábdagadás</w:t>
      </w:r>
    </w:p>
    <w:p w14:paraId="0BFA57D6" w14:textId="77777777" w:rsidR="002F7D7A" w:rsidRPr="00183B5F" w:rsidRDefault="002F7D7A" w:rsidP="004062FE">
      <w:pPr>
        <w:spacing w:line="240" w:lineRule="auto"/>
        <w:ind w:left="567" w:right="-29"/>
        <w:rPr>
          <w:szCs w:val="22"/>
        </w:rPr>
      </w:pPr>
    </w:p>
    <w:p w14:paraId="1E086265" w14:textId="77777777" w:rsidR="002F7D7A" w:rsidRPr="00183B5F" w:rsidRDefault="00943743" w:rsidP="00121C13">
      <w:pPr>
        <w:keepNext/>
        <w:spacing w:line="240" w:lineRule="auto"/>
        <w:rPr>
          <w:b/>
          <w:szCs w:val="22"/>
        </w:rPr>
      </w:pPr>
      <w:r w:rsidRPr="00183B5F">
        <w:rPr>
          <w:b/>
          <w:szCs w:val="22"/>
        </w:rPr>
        <w:t>Közölje kezelőorvosával amint lehetséges, ha az alábbiak közül bármit észlel</w:t>
      </w:r>
    </w:p>
    <w:p w14:paraId="42B37244" w14:textId="77777777" w:rsidR="00720D39" w:rsidRPr="00183B5F" w:rsidRDefault="00720D39" w:rsidP="00121C13">
      <w:pPr>
        <w:keepNext/>
        <w:spacing w:line="240" w:lineRule="auto"/>
        <w:rPr>
          <w:b/>
          <w:szCs w:val="22"/>
        </w:rPr>
      </w:pPr>
    </w:p>
    <w:p w14:paraId="79336FAB" w14:textId="77777777" w:rsidR="002F7D7A" w:rsidRPr="00183B5F" w:rsidRDefault="00943743" w:rsidP="004062FE">
      <w:pPr>
        <w:numPr>
          <w:ilvl w:val="0"/>
          <w:numId w:val="48"/>
        </w:numPr>
        <w:spacing w:line="240" w:lineRule="auto"/>
        <w:ind w:right="-2"/>
        <w:rPr>
          <w:szCs w:val="22"/>
        </w:rPr>
      </w:pPr>
      <w:r w:rsidRPr="00183B5F">
        <w:rPr>
          <w:szCs w:val="22"/>
        </w:rPr>
        <w:t>fertőzésre utaló tünet, mint láz, rossz közérzet, sebek</w:t>
      </w:r>
      <w:r w:rsidRPr="00183B5F">
        <w:rPr>
          <w:i/>
          <w:szCs w:val="22"/>
        </w:rPr>
        <w:t xml:space="preserve">, </w:t>
      </w:r>
      <w:r w:rsidRPr="00183B5F">
        <w:rPr>
          <w:szCs w:val="22"/>
        </w:rPr>
        <w:t>fogászati problémák, vizeléskor jelentkező égő érzés</w:t>
      </w:r>
    </w:p>
    <w:p w14:paraId="454FF293" w14:textId="77777777" w:rsidR="002F7D7A" w:rsidRPr="00183B5F" w:rsidRDefault="00943743" w:rsidP="004062FE">
      <w:pPr>
        <w:numPr>
          <w:ilvl w:val="0"/>
          <w:numId w:val="48"/>
        </w:numPr>
        <w:spacing w:line="240" w:lineRule="auto"/>
        <w:ind w:right="-2"/>
        <w:rPr>
          <w:szCs w:val="22"/>
        </w:rPr>
      </w:pPr>
      <w:r w:rsidRPr="00183B5F">
        <w:rPr>
          <w:szCs w:val="22"/>
        </w:rPr>
        <w:t>gyengeség vagy fáradtságérzés</w:t>
      </w:r>
    </w:p>
    <w:p w14:paraId="2719CA32" w14:textId="77777777" w:rsidR="002F7D7A" w:rsidRPr="00183B5F" w:rsidRDefault="00943743" w:rsidP="004062FE">
      <w:pPr>
        <w:numPr>
          <w:ilvl w:val="0"/>
          <w:numId w:val="48"/>
        </w:numPr>
        <w:spacing w:line="240" w:lineRule="auto"/>
        <w:ind w:right="-2"/>
        <w:rPr>
          <w:szCs w:val="22"/>
        </w:rPr>
      </w:pPr>
      <w:r w:rsidRPr="00183B5F">
        <w:rPr>
          <w:szCs w:val="22"/>
        </w:rPr>
        <w:t>köhögés</w:t>
      </w:r>
    </w:p>
    <w:p w14:paraId="236E9D02" w14:textId="77777777" w:rsidR="002F7D7A" w:rsidRPr="00183B5F" w:rsidRDefault="00943743" w:rsidP="004062FE">
      <w:pPr>
        <w:numPr>
          <w:ilvl w:val="0"/>
          <w:numId w:val="48"/>
        </w:numPr>
        <w:spacing w:line="240" w:lineRule="auto"/>
        <w:ind w:right="-2"/>
        <w:rPr>
          <w:szCs w:val="22"/>
        </w:rPr>
      </w:pPr>
      <w:r w:rsidRPr="00183B5F">
        <w:rPr>
          <w:szCs w:val="22"/>
        </w:rPr>
        <w:t>fülzúgás</w:t>
      </w:r>
    </w:p>
    <w:p w14:paraId="658A1C15" w14:textId="77777777" w:rsidR="002F7D7A" w:rsidRPr="00183B5F" w:rsidRDefault="00943743" w:rsidP="004062FE">
      <w:pPr>
        <w:numPr>
          <w:ilvl w:val="0"/>
          <w:numId w:val="48"/>
        </w:numPr>
        <w:spacing w:line="240" w:lineRule="auto"/>
        <w:ind w:right="-2"/>
        <w:rPr>
          <w:szCs w:val="22"/>
        </w:rPr>
      </w:pPr>
      <w:r w:rsidRPr="00183B5F">
        <w:rPr>
          <w:szCs w:val="22"/>
        </w:rPr>
        <w:t>zsibbadás</w:t>
      </w:r>
    </w:p>
    <w:p w14:paraId="7E6440F8" w14:textId="77777777" w:rsidR="002F7D7A" w:rsidRPr="00183B5F" w:rsidRDefault="00943743" w:rsidP="004062FE">
      <w:pPr>
        <w:numPr>
          <w:ilvl w:val="0"/>
          <w:numId w:val="48"/>
        </w:numPr>
        <w:spacing w:line="240" w:lineRule="auto"/>
        <w:ind w:right="-2"/>
        <w:rPr>
          <w:szCs w:val="22"/>
        </w:rPr>
      </w:pPr>
      <w:r w:rsidRPr="00183B5F">
        <w:rPr>
          <w:szCs w:val="22"/>
        </w:rPr>
        <w:t>kettőslátás</w:t>
      </w:r>
    </w:p>
    <w:p w14:paraId="671D6726" w14:textId="77777777" w:rsidR="002F7D7A" w:rsidRPr="00183B5F" w:rsidRDefault="00943743" w:rsidP="004062FE">
      <w:pPr>
        <w:numPr>
          <w:ilvl w:val="0"/>
          <w:numId w:val="48"/>
        </w:numPr>
        <w:spacing w:line="240" w:lineRule="auto"/>
        <w:ind w:right="-2"/>
        <w:rPr>
          <w:szCs w:val="22"/>
        </w:rPr>
      </w:pPr>
      <w:r w:rsidRPr="00183B5F">
        <w:rPr>
          <w:szCs w:val="22"/>
        </w:rPr>
        <w:t>kar</w:t>
      </w:r>
      <w:r w:rsidR="0029438F" w:rsidRPr="00183B5F">
        <w:rPr>
          <w:szCs w:val="22"/>
        </w:rPr>
        <w:t>-</w:t>
      </w:r>
      <w:r w:rsidRPr="00183B5F">
        <w:rPr>
          <w:szCs w:val="22"/>
        </w:rPr>
        <w:t xml:space="preserve"> vagy lábgyengeség</w:t>
      </w:r>
    </w:p>
    <w:p w14:paraId="6E0AFCC9" w14:textId="77777777" w:rsidR="002F7D7A" w:rsidRPr="00183B5F" w:rsidRDefault="00943743" w:rsidP="004062FE">
      <w:pPr>
        <w:numPr>
          <w:ilvl w:val="0"/>
          <w:numId w:val="48"/>
        </w:numPr>
        <w:spacing w:line="240" w:lineRule="auto"/>
        <w:ind w:right="-2"/>
        <w:rPr>
          <w:szCs w:val="22"/>
        </w:rPr>
      </w:pPr>
      <w:r w:rsidRPr="00183B5F">
        <w:rPr>
          <w:szCs w:val="22"/>
        </w:rPr>
        <w:t>duzzanat vagy nyílt fekély, amelyik nem gyógyul</w:t>
      </w:r>
    </w:p>
    <w:p w14:paraId="36909F02" w14:textId="77777777" w:rsidR="002F7D7A" w:rsidRPr="00183B5F" w:rsidRDefault="00943743" w:rsidP="004062FE">
      <w:pPr>
        <w:numPr>
          <w:ilvl w:val="0"/>
          <w:numId w:val="48"/>
        </w:numPr>
        <w:spacing w:line="240" w:lineRule="auto"/>
        <w:ind w:right="-29"/>
        <w:rPr>
          <w:szCs w:val="22"/>
        </w:rPr>
      </w:pPr>
      <w:r w:rsidRPr="00183B5F">
        <w:rPr>
          <w:szCs w:val="22"/>
        </w:rPr>
        <w:t>vérképzőszervi betegségre jellemző jelek és tünetek, mint állandó láz, véraláfutás, vérzés, sápadtság</w:t>
      </w:r>
    </w:p>
    <w:p w14:paraId="6530F075" w14:textId="77777777" w:rsidR="002F7D7A" w:rsidRPr="00183B5F" w:rsidRDefault="002F7D7A" w:rsidP="004062FE">
      <w:pPr>
        <w:spacing w:line="240" w:lineRule="auto"/>
        <w:ind w:right="-2"/>
        <w:rPr>
          <w:szCs w:val="22"/>
        </w:rPr>
      </w:pPr>
    </w:p>
    <w:p w14:paraId="2185A574" w14:textId="77777777" w:rsidR="002F7D7A" w:rsidRPr="00183B5F" w:rsidRDefault="00943743" w:rsidP="004062FE">
      <w:pPr>
        <w:spacing w:line="240" w:lineRule="auto"/>
        <w:ind w:right="-2"/>
        <w:rPr>
          <w:szCs w:val="22"/>
        </w:rPr>
      </w:pPr>
      <w:r w:rsidRPr="00183B5F">
        <w:rPr>
          <w:szCs w:val="22"/>
        </w:rPr>
        <w:t>A fent leírt tünetek az alábbiakban felsorolt mellékhatások jelei is lehetnek, melyeket a Humira alkalmazása során észleltek:</w:t>
      </w:r>
    </w:p>
    <w:p w14:paraId="1F290AAA" w14:textId="77777777" w:rsidR="002F7D7A" w:rsidRPr="00183B5F" w:rsidRDefault="002F7D7A" w:rsidP="004062FE">
      <w:pPr>
        <w:spacing w:line="240" w:lineRule="auto"/>
        <w:ind w:right="-2"/>
        <w:rPr>
          <w:szCs w:val="22"/>
        </w:rPr>
      </w:pPr>
    </w:p>
    <w:p w14:paraId="048AE617" w14:textId="77777777" w:rsidR="002F7D7A" w:rsidRPr="00183B5F" w:rsidRDefault="00943743" w:rsidP="004062FE">
      <w:pPr>
        <w:keepNext/>
        <w:spacing w:line="240" w:lineRule="auto"/>
        <w:rPr>
          <w:szCs w:val="22"/>
        </w:rPr>
      </w:pPr>
      <w:r w:rsidRPr="00183B5F">
        <w:rPr>
          <w:b/>
          <w:szCs w:val="22"/>
        </w:rPr>
        <w:t>Nagyon gyakori</w:t>
      </w:r>
      <w:r w:rsidRPr="00183B5F">
        <w:rPr>
          <w:szCs w:val="22"/>
        </w:rPr>
        <w:t xml:space="preserve"> (10 beteg közül több mint 1</w:t>
      </w:r>
      <w:r w:rsidRPr="00183B5F">
        <w:rPr>
          <w:szCs w:val="22"/>
        </w:rPr>
        <w:noBreakHyphen/>
        <w:t>nél kialakuló)</w:t>
      </w:r>
    </w:p>
    <w:p w14:paraId="5FA9BB06" w14:textId="77777777" w:rsidR="002F7D7A" w:rsidRPr="00183B5F" w:rsidRDefault="002F7D7A" w:rsidP="004062FE">
      <w:pPr>
        <w:keepNext/>
        <w:spacing w:line="240" w:lineRule="auto"/>
        <w:rPr>
          <w:szCs w:val="22"/>
        </w:rPr>
      </w:pPr>
    </w:p>
    <w:p w14:paraId="0D78B7A4" w14:textId="77777777" w:rsidR="002F7D7A" w:rsidRPr="00183B5F" w:rsidRDefault="00943743" w:rsidP="004062FE">
      <w:pPr>
        <w:keepNext/>
        <w:numPr>
          <w:ilvl w:val="0"/>
          <w:numId w:val="53"/>
        </w:numPr>
        <w:spacing w:line="240" w:lineRule="auto"/>
        <w:rPr>
          <w:szCs w:val="22"/>
        </w:rPr>
      </w:pPr>
      <w:r w:rsidRPr="00183B5F">
        <w:rPr>
          <w:szCs w:val="22"/>
        </w:rPr>
        <w:t>helyi reakció az injekció beadásának helyén, (beleértve fájdalom, duzzadás, vörösség vagy viszketés)</w:t>
      </w:r>
    </w:p>
    <w:p w14:paraId="6B29B59D" w14:textId="77777777" w:rsidR="002F7D7A" w:rsidRPr="00183B5F" w:rsidRDefault="00943743">
      <w:pPr>
        <w:numPr>
          <w:ilvl w:val="0"/>
          <w:numId w:val="53"/>
        </w:numPr>
        <w:suppressAutoHyphens w:val="0"/>
        <w:spacing w:line="240" w:lineRule="auto"/>
        <w:rPr>
          <w:szCs w:val="22"/>
        </w:rPr>
      </w:pPr>
      <w:r w:rsidRPr="00183B5F">
        <w:rPr>
          <w:szCs w:val="22"/>
        </w:rPr>
        <w:t>légúti fertőzések (beleértve a megfázást, orrfolyást, melléküreg-gyulladást, tüdőgyulladást is)</w:t>
      </w:r>
    </w:p>
    <w:p w14:paraId="3A293A3A" w14:textId="77777777" w:rsidR="002F7D7A" w:rsidRPr="00183B5F" w:rsidRDefault="00943743">
      <w:pPr>
        <w:numPr>
          <w:ilvl w:val="0"/>
          <w:numId w:val="53"/>
        </w:numPr>
        <w:suppressAutoHyphens w:val="0"/>
        <w:spacing w:line="240" w:lineRule="auto"/>
        <w:rPr>
          <w:szCs w:val="22"/>
        </w:rPr>
      </w:pPr>
      <w:r w:rsidRPr="00183B5F">
        <w:rPr>
          <w:szCs w:val="22"/>
        </w:rPr>
        <w:t>fejfájás</w:t>
      </w:r>
    </w:p>
    <w:p w14:paraId="5AAB9604" w14:textId="77777777" w:rsidR="002F7D7A" w:rsidRPr="00183B5F" w:rsidRDefault="00943743">
      <w:pPr>
        <w:numPr>
          <w:ilvl w:val="0"/>
          <w:numId w:val="53"/>
        </w:numPr>
        <w:suppressAutoHyphens w:val="0"/>
        <w:spacing w:line="240" w:lineRule="auto"/>
        <w:rPr>
          <w:szCs w:val="22"/>
        </w:rPr>
      </w:pPr>
      <w:r w:rsidRPr="00183B5F">
        <w:rPr>
          <w:szCs w:val="22"/>
        </w:rPr>
        <w:t>hasi fájdalom</w:t>
      </w:r>
    </w:p>
    <w:p w14:paraId="03A6F438" w14:textId="77777777" w:rsidR="002F7D7A" w:rsidRPr="00183B5F" w:rsidRDefault="00943743">
      <w:pPr>
        <w:numPr>
          <w:ilvl w:val="0"/>
          <w:numId w:val="53"/>
        </w:numPr>
        <w:suppressAutoHyphens w:val="0"/>
        <w:spacing w:line="240" w:lineRule="auto"/>
        <w:rPr>
          <w:szCs w:val="22"/>
        </w:rPr>
      </w:pPr>
      <w:r w:rsidRPr="00183B5F">
        <w:rPr>
          <w:szCs w:val="22"/>
        </w:rPr>
        <w:t>hányinger és hányás</w:t>
      </w:r>
    </w:p>
    <w:p w14:paraId="36F3B6E0" w14:textId="77777777" w:rsidR="002F7D7A" w:rsidRPr="00183B5F" w:rsidRDefault="00943743">
      <w:pPr>
        <w:numPr>
          <w:ilvl w:val="0"/>
          <w:numId w:val="53"/>
        </w:numPr>
        <w:suppressAutoHyphens w:val="0"/>
        <w:spacing w:line="240" w:lineRule="auto"/>
        <w:rPr>
          <w:szCs w:val="22"/>
        </w:rPr>
      </w:pPr>
      <w:r w:rsidRPr="00183B5F">
        <w:rPr>
          <w:szCs w:val="22"/>
        </w:rPr>
        <w:t>bőrkiütés</w:t>
      </w:r>
    </w:p>
    <w:p w14:paraId="3EBB817F" w14:textId="77777777" w:rsidR="002F7D7A" w:rsidRPr="00183B5F" w:rsidRDefault="00943743">
      <w:pPr>
        <w:numPr>
          <w:ilvl w:val="0"/>
          <w:numId w:val="53"/>
        </w:numPr>
        <w:suppressAutoHyphens w:val="0"/>
        <w:spacing w:line="240" w:lineRule="auto"/>
        <w:rPr>
          <w:szCs w:val="22"/>
        </w:rPr>
      </w:pPr>
      <w:r w:rsidRPr="00183B5F">
        <w:rPr>
          <w:szCs w:val="22"/>
        </w:rPr>
        <w:t>mozgásszervi eredetű fájdalom</w:t>
      </w:r>
    </w:p>
    <w:p w14:paraId="3A63C1F9" w14:textId="77777777" w:rsidR="002F7D7A" w:rsidRPr="00183B5F" w:rsidRDefault="002F7D7A" w:rsidP="004062FE">
      <w:pPr>
        <w:spacing w:line="240" w:lineRule="auto"/>
        <w:ind w:right="-2"/>
        <w:rPr>
          <w:szCs w:val="22"/>
        </w:rPr>
      </w:pPr>
    </w:p>
    <w:p w14:paraId="20154952" w14:textId="77777777" w:rsidR="002F7D7A" w:rsidRPr="00183B5F" w:rsidRDefault="00943743" w:rsidP="004062FE">
      <w:pPr>
        <w:spacing w:line="240" w:lineRule="auto"/>
        <w:ind w:right="-2"/>
        <w:rPr>
          <w:szCs w:val="22"/>
        </w:rPr>
      </w:pPr>
      <w:r w:rsidRPr="00183B5F">
        <w:rPr>
          <w:b/>
          <w:szCs w:val="22"/>
        </w:rPr>
        <w:t>Gyakori</w:t>
      </w:r>
      <w:r w:rsidRPr="00183B5F">
        <w:rPr>
          <w:szCs w:val="22"/>
        </w:rPr>
        <w:t xml:space="preserve"> (10 beteg közül legfeljebb 1</w:t>
      </w:r>
      <w:r w:rsidRPr="00183B5F">
        <w:rPr>
          <w:szCs w:val="22"/>
        </w:rPr>
        <w:noBreakHyphen/>
        <w:t>nél kialakuló)</w:t>
      </w:r>
    </w:p>
    <w:p w14:paraId="6BAA9CC9" w14:textId="77777777" w:rsidR="002F7D7A" w:rsidRPr="00183B5F" w:rsidRDefault="002F7D7A" w:rsidP="004062FE">
      <w:pPr>
        <w:spacing w:line="240" w:lineRule="auto"/>
        <w:ind w:right="-2"/>
        <w:rPr>
          <w:szCs w:val="22"/>
        </w:rPr>
      </w:pPr>
    </w:p>
    <w:p w14:paraId="0B4DCE99" w14:textId="77777777" w:rsidR="0059735E" w:rsidRPr="00183B5F" w:rsidRDefault="00943743" w:rsidP="004062FE">
      <w:pPr>
        <w:numPr>
          <w:ilvl w:val="0"/>
          <w:numId w:val="54"/>
        </w:numPr>
        <w:tabs>
          <w:tab w:val="clear" w:pos="567"/>
          <w:tab w:val="left" w:pos="562"/>
        </w:tabs>
        <w:spacing w:line="240" w:lineRule="auto"/>
        <w:ind w:right="-2"/>
        <w:rPr>
          <w:szCs w:val="22"/>
        </w:rPr>
      </w:pPr>
      <w:r w:rsidRPr="00183B5F">
        <w:rPr>
          <w:szCs w:val="22"/>
        </w:rPr>
        <w:t xml:space="preserve">súlyos </w:t>
      </w:r>
      <w:r w:rsidR="002F7D7A" w:rsidRPr="00183B5F">
        <w:rPr>
          <w:szCs w:val="22"/>
        </w:rPr>
        <w:t>fertőzések (beleértve a vérmérgezést és az influenzát is)</w:t>
      </w:r>
    </w:p>
    <w:p w14:paraId="42FB758F" w14:textId="77777777" w:rsidR="000D6F55" w:rsidRPr="00183B5F" w:rsidRDefault="00943743" w:rsidP="004062FE">
      <w:pPr>
        <w:numPr>
          <w:ilvl w:val="0"/>
          <w:numId w:val="54"/>
        </w:numPr>
        <w:tabs>
          <w:tab w:val="clear" w:pos="567"/>
          <w:tab w:val="left" w:pos="562"/>
        </w:tabs>
        <w:spacing w:line="240" w:lineRule="auto"/>
        <w:ind w:right="-2"/>
        <w:rPr>
          <w:szCs w:val="22"/>
        </w:rPr>
      </w:pPr>
      <w:r w:rsidRPr="00183B5F">
        <w:rPr>
          <w:szCs w:val="22"/>
        </w:rPr>
        <w:t>bélfertőzések (beleértve a gyomor-bélgyulladást);</w:t>
      </w:r>
    </w:p>
    <w:p w14:paraId="43D9CEB5" w14:textId="77777777" w:rsidR="002F7D7A" w:rsidRPr="00183B5F" w:rsidRDefault="00943743" w:rsidP="004062FE">
      <w:pPr>
        <w:numPr>
          <w:ilvl w:val="0"/>
          <w:numId w:val="54"/>
        </w:numPr>
        <w:tabs>
          <w:tab w:val="clear" w:pos="567"/>
          <w:tab w:val="left" w:pos="562"/>
        </w:tabs>
        <w:spacing w:line="240" w:lineRule="auto"/>
        <w:ind w:right="-2"/>
        <w:rPr>
          <w:szCs w:val="22"/>
        </w:rPr>
      </w:pPr>
      <w:r w:rsidRPr="00183B5F">
        <w:rPr>
          <w:szCs w:val="22"/>
        </w:rPr>
        <w:t>bőrfertőzések (beleértve a kötőszövet</w:t>
      </w:r>
      <w:r w:rsidR="00CE5CC7" w:rsidRPr="00183B5F">
        <w:rPr>
          <w:szCs w:val="22"/>
        </w:rPr>
        <w:t>-</w:t>
      </w:r>
      <w:r w:rsidRPr="00183B5F">
        <w:rPr>
          <w:szCs w:val="22"/>
        </w:rPr>
        <w:t>gyulladást és az övsömört is)</w:t>
      </w:r>
    </w:p>
    <w:p w14:paraId="15DBD4D7" w14:textId="77777777" w:rsidR="002F7D7A" w:rsidRPr="00183B5F" w:rsidRDefault="00943743" w:rsidP="004062FE">
      <w:pPr>
        <w:numPr>
          <w:ilvl w:val="0"/>
          <w:numId w:val="54"/>
        </w:numPr>
        <w:tabs>
          <w:tab w:val="clear" w:pos="567"/>
          <w:tab w:val="left" w:pos="562"/>
        </w:tabs>
        <w:spacing w:line="240" w:lineRule="auto"/>
        <w:ind w:right="-2"/>
        <w:rPr>
          <w:szCs w:val="22"/>
        </w:rPr>
      </w:pPr>
      <w:r w:rsidRPr="00183B5F">
        <w:rPr>
          <w:szCs w:val="22"/>
        </w:rPr>
        <w:t>fülfertőzések</w:t>
      </w:r>
    </w:p>
    <w:p w14:paraId="2D8102D7" w14:textId="77777777" w:rsidR="002F7D7A" w:rsidRPr="00183B5F" w:rsidRDefault="00943743" w:rsidP="004062FE">
      <w:pPr>
        <w:numPr>
          <w:ilvl w:val="0"/>
          <w:numId w:val="54"/>
        </w:numPr>
        <w:tabs>
          <w:tab w:val="clear" w:pos="567"/>
          <w:tab w:val="left" w:pos="562"/>
        </w:tabs>
        <w:spacing w:line="240" w:lineRule="auto"/>
        <w:ind w:right="-2"/>
        <w:rPr>
          <w:szCs w:val="22"/>
        </w:rPr>
      </w:pPr>
      <w:r w:rsidRPr="00183B5F">
        <w:rPr>
          <w:szCs w:val="22"/>
        </w:rPr>
        <w:t>szájüregi fertőzések (beleértve a fogfertőzéseket és az ajakherpeszt is)</w:t>
      </w:r>
    </w:p>
    <w:p w14:paraId="4956B790" w14:textId="77777777" w:rsidR="002F7D7A" w:rsidRPr="00183B5F" w:rsidRDefault="00943743" w:rsidP="004062FE">
      <w:pPr>
        <w:numPr>
          <w:ilvl w:val="0"/>
          <w:numId w:val="54"/>
        </w:numPr>
        <w:tabs>
          <w:tab w:val="clear" w:pos="567"/>
          <w:tab w:val="left" w:pos="562"/>
        </w:tabs>
        <w:spacing w:line="240" w:lineRule="auto"/>
        <w:ind w:right="-2"/>
        <w:rPr>
          <w:szCs w:val="22"/>
        </w:rPr>
      </w:pPr>
      <w:r w:rsidRPr="00183B5F">
        <w:rPr>
          <w:szCs w:val="22"/>
        </w:rPr>
        <w:t>a nemi</w:t>
      </w:r>
      <w:r w:rsidR="00CE5CC7" w:rsidRPr="00183B5F">
        <w:rPr>
          <w:szCs w:val="22"/>
        </w:rPr>
        <w:t xml:space="preserve"> </w:t>
      </w:r>
      <w:r w:rsidRPr="00183B5F">
        <w:rPr>
          <w:szCs w:val="22"/>
        </w:rPr>
        <w:t>szervek fertőzései</w:t>
      </w:r>
    </w:p>
    <w:p w14:paraId="1ECCF7C4" w14:textId="77777777" w:rsidR="002F7D7A" w:rsidRPr="00183B5F" w:rsidRDefault="00943743" w:rsidP="004062FE">
      <w:pPr>
        <w:numPr>
          <w:ilvl w:val="0"/>
          <w:numId w:val="54"/>
        </w:numPr>
        <w:spacing w:line="240" w:lineRule="auto"/>
        <w:ind w:right="-2"/>
        <w:rPr>
          <w:szCs w:val="22"/>
        </w:rPr>
      </w:pPr>
      <w:r w:rsidRPr="00183B5F">
        <w:rPr>
          <w:szCs w:val="22"/>
        </w:rPr>
        <w:t>húgyúti fertőzések</w:t>
      </w:r>
    </w:p>
    <w:p w14:paraId="3849D59F" w14:textId="77777777" w:rsidR="002F7D7A" w:rsidRPr="00183B5F" w:rsidRDefault="00943743" w:rsidP="004062FE">
      <w:pPr>
        <w:numPr>
          <w:ilvl w:val="0"/>
          <w:numId w:val="54"/>
        </w:numPr>
        <w:spacing w:line="240" w:lineRule="auto"/>
        <w:ind w:right="-2"/>
        <w:rPr>
          <w:szCs w:val="22"/>
        </w:rPr>
      </w:pPr>
      <w:r w:rsidRPr="00183B5F">
        <w:rPr>
          <w:szCs w:val="22"/>
        </w:rPr>
        <w:t>gombás fertőzések</w:t>
      </w:r>
    </w:p>
    <w:p w14:paraId="0395102E" w14:textId="77777777" w:rsidR="002F7D7A" w:rsidRPr="00183B5F" w:rsidRDefault="00943743" w:rsidP="004062FE">
      <w:pPr>
        <w:numPr>
          <w:ilvl w:val="0"/>
          <w:numId w:val="54"/>
        </w:numPr>
        <w:spacing w:line="240" w:lineRule="auto"/>
        <w:ind w:right="-2"/>
        <w:rPr>
          <w:szCs w:val="22"/>
        </w:rPr>
      </w:pPr>
      <w:r w:rsidRPr="00183B5F">
        <w:rPr>
          <w:szCs w:val="22"/>
        </w:rPr>
        <w:t>ízületi fertőzések</w:t>
      </w:r>
    </w:p>
    <w:p w14:paraId="089A58E8" w14:textId="77777777" w:rsidR="002F7D7A" w:rsidRPr="00183B5F" w:rsidRDefault="00943743" w:rsidP="004062FE">
      <w:pPr>
        <w:numPr>
          <w:ilvl w:val="0"/>
          <w:numId w:val="54"/>
        </w:numPr>
        <w:tabs>
          <w:tab w:val="clear" w:pos="567"/>
          <w:tab w:val="left" w:pos="562"/>
        </w:tabs>
        <w:spacing w:line="240" w:lineRule="auto"/>
        <w:ind w:right="-2"/>
        <w:rPr>
          <w:szCs w:val="22"/>
        </w:rPr>
      </w:pPr>
      <w:r w:rsidRPr="00183B5F">
        <w:rPr>
          <w:szCs w:val="22"/>
        </w:rPr>
        <w:t>jóindulatú daganatok</w:t>
      </w:r>
    </w:p>
    <w:p w14:paraId="2451657E" w14:textId="77777777" w:rsidR="002F7D7A" w:rsidRPr="00183B5F" w:rsidRDefault="00943743" w:rsidP="004062FE">
      <w:pPr>
        <w:numPr>
          <w:ilvl w:val="0"/>
          <w:numId w:val="54"/>
        </w:numPr>
        <w:tabs>
          <w:tab w:val="clear" w:pos="567"/>
          <w:tab w:val="left" w:pos="562"/>
        </w:tabs>
        <w:spacing w:line="240" w:lineRule="auto"/>
        <w:ind w:right="-2"/>
        <w:rPr>
          <w:szCs w:val="22"/>
        </w:rPr>
      </w:pPr>
      <w:r w:rsidRPr="00183B5F">
        <w:rPr>
          <w:szCs w:val="22"/>
        </w:rPr>
        <w:t>bőrrák</w:t>
      </w:r>
    </w:p>
    <w:p w14:paraId="61AF68DD" w14:textId="77777777" w:rsidR="002F7D7A" w:rsidRPr="00183B5F" w:rsidRDefault="00943743" w:rsidP="004062FE">
      <w:pPr>
        <w:numPr>
          <w:ilvl w:val="0"/>
          <w:numId w:val="54"/>
        </w:numPr>
        <w:tabs>
          <w:tab w:val="clear" w:pos="567"/>
          <w:tab w:val="left" w:pos="562"/>
        </w:tabs>
        <w:spacing w:line="240" w:lineRule="auto"/>
        <w:ind w:right="-2"/>
        <w:rPr>
          <w:szCs w:val="22"/>
        </w:rPr>
      </w:pPr>
      <w:r w:rsidRPr="00183B5F">
        <w:rPr>
          <w:szCs w:val="22"/>
        </w:rPr>
        <w:t>allergiás reakciók (beleértve a szezonális allergiát is)</w:t>
      </w:r>
    </w:p>
    <w:p w14:paraId="2156DB2D" w14:textId="77777777" w:rsidR="002F7D7A" w:rsidRPr="00183B5F" w:rsidRDefault="00943743" w:rsidP="004062FE">
      <w:pPr>
        <w:numPr>
          <w:ilvl w:val="0"/>
          <w:numId w:val="54"/>
        </w:numPr>
        <w:tabs>
          <w:tab w:val="clear" w:pos="567"/>
          <w:tab w:val="left" w:pos="562"/>
        </w:tabs>
        <w:spacing w:line="240" w:lineRule="auto"/>
        <w:ind w:right="-2"/>
        <w:rPr>
          <w:szCs w:val="22"/>
        </w:rPr>
      </w:pPr>
      <w:r w:rsidRPr="00183B5F">
        <w:rPr>
          <w:szCs w:val="22"/>
        </w:rPr>
        <w:t>kiszáradás</w:t>
      </w:r>
    </w:p>
    <w:p w14:paraId="1C230E9D" w14:textId="77777777" w:rsidR="002F7D7A" w:rsidRPr="00183B5F" w:rsidRDefault="00943743" w:rsidP="004062FE">
      <w:pPr>
        <w:numPr>
          <w:ilvl w:val="0"/>
          <w:numId w:val="54"/>
        </w:numPr>
        <w:tabs>
          <w:tab w:val="clear" w:pos="567"/>
          <w:tab w:val="left" w:pos="562"/>
        </w:tabs>
        <w:spacing w:line="240" w:lineRule="auto"/>
        <w:ind w:right="-2"/>
        <w:rPr>
          <w:szCs w:val="22"/>
        </w:rPr>
      </w:pPr>
      <w:r w:rsidRPr="00183B5F">
        <w:rPr>
          <w:szCs w:val="22"/>
        </w:rPr>
        <w:t>hangulatváltozás (beleértve a depressziót is)</w:t>
      </w:r>
    </w:p>
    <w:p w14:paraId="07F45888" w14:textId="77777777" w:rsidR="002F7D7A" w:rsidRPr="00183B5F" w:rsidRDefault="00943743" w:rsidP="004062FE">
      <w:pPr>
        <w:numPr>
          <w:ilvl w:val="0"/>
          <w:numId w:val="54"/>
        </w:numPr>
        <w:tabs>
          <w:tab w:val="clear" w:pos="567"/>
          <w:tab w:val="left" w:pos="562"/>
        </w:tabs>
        <w:spacing w:line="240" w:lineRule="auto"/>
        <w:ind w:right="-2"/>
        <w:rPr>
          <w:szCs w:val="22"/>
        </w:rPr>
      </w:pPr>
      <w:r w:rsidRPr="00183B5F">
        <w:rPr>
          <w:szCs w:val="22"/>
        </w:rPr>
        <w:t>szorongás</w:t>
      </w:r>
    </w:p>
    <w:p w14:paraId="43F5156D" w14:textId="77777777" w:rsidR="002F7D7A" w:rsidRPr="00183B5F" w:rsidRDefault="00943743" w:rsidP="004062FE">
      <w:pPr>
        <w:numPr>
          <w:ilvl w:val="0"/>
          <w:numId w:val="54"/>
        </w:numPr>
        <w:tabs>
          <w:tab w:val="clear" w:pos="567"/>
          <w:tab w:val="left" w:pos="562"/>
        </w:tabs>
        <w:spacing w:line="240" w:lineRule="auto"/>
        <w:ind w:right="-2"/>
        <w:rPr>
          <w:szCs w:val="22"/>
        </w:rPr>
      </w:pPr>
      <w:r w:rsidRPr="00183B5F">
        <w:rPr>
          <w:szCs w:val="22"/>
        </w:rPr>
        <w:t>álmatlanság</w:t>
      </w:r>
    </w:p>
    <w:p w14:paraId="2C43BD08" w14:textId="77777777" w:rsidR="002F7D7A" w:rsidRPr="00183B5F" w:rsidRDefault="00943743" w:rsidP="004062FE">
      <w:pPr>
        <w:numPr>
          <w:ilvl w:val="0"/>
          <w:numId w:val="54"/>
        </w:numPr>
        <w:tabs>
          <w:tab w:val="clear" w:pos="567"/>
          <w:tab w:val="left" w:pos="562"/>
        </w:tabs>
        <w:spacing w:line="240" w:lineRule="auto"/>
        <w:ind w:right="-2"/>
        <w:rPr>
          <w:szCs w:val="22"/>
        </w:rPr>
      </w:pPr>
      <w:r w:rsidRPr="00183B5F">
        <w:rPr>
          <w:szCs w:val="22"/>
        </w:rPr>
        <w:t>érzészavarok, például bizsergés, szurkáló érzés vagy zsibbadás</w:t>
      </w:r>
    </w:p>
    <w:p w14:paraId="3DB7ABDB" w14:textId="77777777" w:rsidR="002F7D7A" w:rsidRPr="00183B5F" w:rsidRDefault="00943743" w:rsidP="004062FE">
      <w:pPr>
        <w:numPr>
          <w:ilvl w:val="0"/>
          <w:numId w:val="54"/>
        </w:numPr>
        <w:tabs>
          <w:tab w:val="clear" w:pos="567"/>
          <w:tab w:val="left" w:pos="562"/>
        </w:tabs>
        <w:spacing w:line="240" w:lineRule="auto"/>
        <w:ind w:right="-2"/>
        <w:rPr>
          <w:szCs w:val="22"/>
        </w:rPr>
      </w:pPr>
      <w:r w:rsidRPr="00183B5F">
        <w:rPr>
          <w:szCs w:val="22"/>
        </w:rPr>
        <w:t>migrén</w:t>
      </w:r>
    </w:p>
    <w:p w14:paraId="4A48C321" w14:textId="77777777" w:rsidR="002F7D7A" w:rsidRPr="00183B5F" w:rsidRDefault="00943743" w:rsidP="004062FE">
      <w:pPr>
        <w:numPr>
          <w:ilvl w:val="0"/>
          <w:numId w:val="54"/>
        </w:numPr>
        <w:tabs>
          <w:tab w:val="clear" w:pos="567"/>
          <w:tab w:val="left" w:pos="562"/>
        </w:tabs>
        <w:spacing w:line="240" w:lineRule="auto"/>
        <w:ind w:right="-2"/>
        <w:rPr>
          <w:szCs w:val="22"/>
        </w:rPr>
      </w:pPr>
      <w:r w:rsidRPr="00183B5F">
        <w:rPr>
          <w:szCs w:val="22"/>
        </w:rPr>
        <w:t>ideggyök nyomási tünetei (beleértve a derékfájdalmat és a lábfájást is)</w:t>
      </w:r>
    </w:p>
    <w:p w14:paraId="6472A945" w14:textId="77777777" w:rsidR="002F7D7A" w:rsidRPr="00183B5F" w:rsidRDefault="00943743" w:rsidP="004062FE">
      <w:pPr>
        <w:numPr>
          <w:ilvl w:val="0"/>
          <w:numId w:val="54"/>
        </w:numPr>
        <w:tabs>
          <w:tab w:val="clear" w:pos="567"/>
          <w:tab w:val="left" w:pos="562"/>
        </w:tabs>
        <w:spacing w:line="240" w:lineRule="auto"/>
        <w:ind w:right="-2"/>
        <w:rPr>
          <w:szCs w:val="22"/>
        </w:rPr>
      </w:pPr>
      <w:r w:rsidRPr="00183B5F">
        <w:rPr>
          <w:szCs w:val="22"/>
        </w:rPr>
        <w:t>látászavar</w:t>
      </w:r>
    </w:p>
    <w:p w14:paraId="1DD4A591" w14:textId="77777777" w:rsidR="002F7D7A" w:rsidRPr="00183B5F" w:rsidRDefault="00943743" w:rsidP="004062FE">
      <w:pPr>
        <w:numPr>
          <w:ilvl w:val="0"/>
          <w:numId w:val="54"/>
        </w:numPr>
        <w:tabs>
          <w:tab w:val="clear" w:pos="567"/>
          <w:tab w:val="left" w:pos="562"/>
        </w:tabs>
        <w:spacing w:line="240" w:lineRule="auto"/>
        <w:ind w:right="-2"/>
        <w:rPr>
          <w:szCs w:val="22"/>
        </w:rPr>
      </w:pPr>
      <w:r w:rsidRPr="00183B5F">
        <w:rPr>
          <w:szCs w:val="22"/>
        </w:rPr>
        <w:t>szemgyulladás</w:t>
      </w:r>
    </w:p>
    <w:p w14:paraId="01E07BEE" w14:textId="77777777" w:rsidR="002F7D7A" w:rsidRPr="00183B5F" w:rsidRDefault="00943743" w:rsidP="004062FE">
      <w:pPr>
        <w:numPr>
          <w:ilvl w:val="0"/>
          <w:numId w:val="54"/>
        </w:numPr>
        <w:tabs>
          <w:tab w:val="clear" w:pos="567"/>
          <w:tab w:val="left" w:pos="562"/>
        </w:tabs>
        <w:spacing w:line="240" w:lineRule="auto"/>
        <w:ind w:right="-2"/>
        <w:rPr>
          <w:szCs w:val="22"/>
        </w:rPr>
      </w:pPr>
      <w:r w:rsidRPr="00183B5F">
        <w:rPr>
          <w:szCs w:val="22"/>
        </w:rPr>
        <w:t>a szemhéj gyulladása és a szem duzzanata</w:t>
      </w:r>
    </w:p>
    <w:p w14:paraId="1BFEFB2E" w14:textId="77777777" w:rsidR="002F7D7A" w:rsidRPr="00183B5F" w:rsidRDefault="00943743" w:rsidP="004062FE">
      <w:pPr>
        <w:numPr>
          <w:ilvl w:val="0"/>
          <w:numId w:val="54"/>
        </w:numPr>
        <w:spacing w:line="240" w:lineRule="auto"/>
        <w:ind w:right="-2"/>
        <w:rPr>
          <w:szCs w:val="22"/>
        </w:rPr>
      </w:pPr>
      <w:r w:rsidRPr="00183B5F">
        <w:rPr>
          <w:szCs w:val="22"/>
        </w:rPr>
        <w:t>forgó jellegű szédülés</w:t>
      </w:r>
    </w:p>
    <w:p w14:paraId="1FF6E384" w14:textId="77777777" w:rsidR="002F7D7A" w:rsidRPr="00183B5F" w:rsidRDefault="00943743" w:rsidP="004062FE">
      <w:pPr>
        <w:numPr>
          <w:ilvl w:val="0"/>
          <w:numId w:val="54"/>
        </w:numPr>
        <w:tabs>
          <w:tab w:val="clear" w:pos="567"/>
          <w:tab w:val="left" w:pos="562"/>
        </w:tabs>
        <w:spacing w:line="240" w:lineRule="auto"/>
        <w:ind w:right="-2"/>
        <w:rPr>
          <w:szCs w:val="22"/>
        </w:rPr>
      </w:pPr>
      <w:r w:rsidRPr="00183B5F">
        <w:rPr>
          <w:szCs w:val="22"/>
        </w:rPr>
        <w:t>gyors szívverés érzés</w:t>
      </w:r>
    </w:p>
    <w:p w14:paraId="5D82F43A" w14:textId="77777777" w:rsidR="002F7D7A" w:rsidRPr="00183B5F" w:rsidRDefault="00943743" w:rsidP="004062FE">
      <w:pPr>
        <w:numPr>
          <w:ilvl w:val="0"/>
          <w:numId w:val="54"/>
        </w:numPr>
        <w:tabs>
          <w:tab w:val="clear" w:pos="567"/>
          <w:tab w:val="left" w:pos="562"/>
        </w:tabs>
        <w:spacing w:line="240" w:lineRule="auto"/>
        <w:ind w:right="-2"/>
        <w:rPr>
          <w:szCs w:val="22"/>
        </w:rPr>
      </w:pPr>
      <w:r w:rsidRPr="00183B5F">
        <w:rPr>
          <w:szCs w:val="22"/>
        </w:rPr>
        <w:t>magas vérnyomás</w:t>
      </w:r>
    </w:p>
    <w:p w14:paraId="03E03488" w14:textId="77777777" w:rsidR="002F7D7A" w:rsidRPr="00183B5F" w:rsidRDefault="00943743" w:rsidP="004062FE">
      <w:pPr>
        <w:numPr>
          <w:ilvl w:val="0"/>
          <w:numId w:val="54"/>
        </w:numPr>
        <w:tabs>
          <w:tab w:val="clear" w:pos="567"/>
          <w:tab w:val="left" w:pos="562"/>
        </w:tabs>
        <w:spacing w:line="240" w:lineRule="auto"/>
        <w:ind w:right="-2"/>
        <w:rPr>
          <w:szCs w:val="22"/>
        </w:rPr>
      </w:pPr>
      <w:r w:rsidRPr="00183B5F">
        <w:rPr>
          <w:szCs w:val="22"/>
        </w:rPr>
        <w:t>kipirulás</w:t>
      </w:r>
    </w:p>
    <w:p w14:paraId="4B4C089E" w14:textId="77777777" w:rsidR="002F7D7A" w:rsidRPr="00183B5F" w:rsidRDefault="00943743" w:rsidP="004062FE">
      <w:pPr>
        <w:numPr>
          <w:ilvl w:val="0"/>
          <w:numId w:val="54"/>
        </w:numPr>
        <w:tabs>
          <w:tab w:val="clear" w:pos="567"/>
          <w:tab w:val="left" w:pos="562"/>
        </w:tabs>
        <w:spacing w:line="240" w:lineRule="auto"/>
        <w:ind w:right="-2"/>
        <w:rPr>
          <w:szCs w:val="22"/>
        </w:rPr>
      </w:pPr>
      <w:r w:rsidRPr="00183B5F">
        <w:rPr>
          <w:szCs w:val="22"/>
        </w:rPr>
        <w:t>vérömleny (vérgyülem az ereken kívül)</w:t>
      </w:r>
    </w:p>
    <w:p w14:paraId="3EF36C9E" w14:textId="77777777" w:rsidR="002F7D7A" w:rsidRPr="00183B5F" w:rsidRDefault="00943743" w:rsidP="004062FE">
      <w:pPr>
        <w:numPr>
          <w:ilvl w:val="0"/>
          <w:numId w:val="54"/>
        </w:numPr>
        <w:spacing w:line="240" w:lineRule="auto"/>
        <w:ind w:right="-2"/>
        <w:rPr>
          <w:szCs w:val="22"/>
        </w:rPr>
      </w:pPr>
      <w:r w:rsidRPr="00183B5F">
        <w:rPr>
          <w:szCs w:val="22"/>
        </w:rPr>
        <w:t>köhögés</w:t>
      </w:r>
    </w:p>
    <w:p w14:paraId="1B9AAD5C" w14:textId="77777777" w:rsidR="002F7D7A" w:rsidRPr="00183B5F" w:rsidRDefault="00943743" w:rsidP="004062FE">
      <w:pPr>
        <w:numPr>
          <w:ilvl w:val="0"/>
          <w:numId w:val="54"/>
        </w:numPr>
        <w:spacing w:line="240" w:lineRule="auto"/>
        <w:ind w:right="-2"/>
        <w:rPr>
          <w:szCs w:val="22"/>
        </w:rPr>
      </w:pPr>
      <w:r w:rsidRPr="00183B5F">
        <w:rPr>
          <w:szCs w:val="22"/>
        </w:rPr>
        <w:t>asztma</w:t>
      </w:r>
    </w:p>
    <w:p w14:paraId="17F97299" w14:textId="77777777" w:rsidR="002F7D7A" w:rsidRPr="00183B5F" w:rsidRDefault="00943743" w:rsidP="004062FE">
      <w:pPr>
        <w:numPr>
          <w:ilvl w:val="0"/>
          <w:numId w:val="54"/>
        </w:numPr>
        <w:spacing w:line="240" w:lineRule="auto"/>
        <w:ind w:right="-2"/>
        <w:rPr>
          <w:szCs w:val="22"/>
        </w:rPr>
      </w:pPr>
      <w:r w:rsidRPr="00183B5F">
        <w:rPr>
          <w:szCs w:val="22"/>
        </w:rPr>
        <w:t>légszomj</w:t>
      </w:r>
    </w:p>
    <w:p w14:paraId="57AE18B2" w14:textId="77777777" w:rsidR="002F7D7A" w:rsidRPr="00183B5F" w:rsidRDefault="00943743" w:rsidP="004062FE">
      <w:pPr>
        <w:numPr>
          <w:ilvl w:val="0"/>
          <w:numId w:val="54"/>
        </w:numPr>
        <w:spacing w:line="240" w:lineRule="auto"/>
        <w:ind w:right="-2"/>
        <w:rPr>
          <w:szCs w:val="22"/>
        </w:rPr>
      </w:pPr>
      <w:r w:rsidRPr="00183B5F">
        <w:rPr>
          <w:szCs w:val="22"/>
        </w:rPr>
        <w:t>tápcsatorna eredetű vérzés</w:t>
      </w:r>
    </w:p>
    <w:p w14:paraId="4CF63895" w14:textId="77777777" w:rsidR="002F7D7A" w:rsidRPr="00183B5F" w:rsidRDefault="00943743" w:rsidP="004062FE">
      <w:pPr>
        <w:numPr>
          <w:ilvl w:val="0"/>
          <w:numId w:val="54"/>
        </w:numPr>
        <w:spacing w:line="240" w:lineRule="auto"/>
        <w:ind w:right="-2"/>
        <w:rPr>
          <w:szCs w:val="22"/>
        </w:rPr>
      </w:pPr>
      <w:r w:rsidRPr="00183B5F">
        <w:rPr>
          <w:szCs w:val="22"/>
        </w:rPr>
        <w:t>diszpepszia (emésztési zavar, puffadás, gyomorégés)</w:t>
      </w:r>
    </w:p>
    <w:p w14:paraId="1CE596C1" w14:textId="77777777" w:rsidR="002F7D7A" w:rsidRPr="00183B5F" w:rsidRDefault="00943743" w:rsidP="004062FE">
      <w:pPr>
        <w:numPr>
          <w:ilvl w:val="0"/>
          <w:numId w:val="54"/>
        </w:numPr>
        <w:spacing w:line="240" w:lineRule="auto"/>
        <w:ind w:right="-2"/>
        <w:rPr>
          <w:szCs w:val="22"/>
        </w:rPr>
      </w:pPr>
      <w:r w:rsidRPr="00183B5F">
        <w:rPr>
          <w:szCs w:val="22"/>
        </w:rPr>
        <w:t>a gyomorsav visszafolyása a nyelőcsőbe;</w:t>
      </w:r>
    </w:p>
    <w:p w14:paraId="2ED52FCC" w14:textId="77777777" w:rsidR="002F7D7A" w:rsidRPr="00183B5F" w:rsidRDefault="00943743" w:rsidP="004062FE">
      <w:pPr>
        <w:numPr>
          <w:ilvl w:val="0"/>
          <w:numId w:val="54"/>
        </w:numPr>
        <w:spacing w:line="240" w:lineRule="auto"/>
        <w:ind w:right="-2"/>
        <w:rPr>
          <w:szCs w:val="22"/>
        </w:rPr>
      </w:pPr>
      <w:r w:rsidRPr="00183B5F">
        <w:rPr>
          <w:szCs w:val="22"/>
        </w:rPr>
        <w:t>szikka-szindróma (beleértve a száraz szemet és a száraz szájat is)</w:t>
      </w:r>
    </w:p>
    <w:p w14:paraId="43977C1A" w14:textId="77777777" w:rsidR="002F7D7A" w:rsidRPr="00183B5F" w:rsidRDefault="00943743" w:rsidP="004062FE">
      <w:pPr>
        <w:numPr>
          <w:ilvl w:val="0"/>
          <w:numId w:val="54"/>
        </w:numPr>
        <w:spacing w:line="240" w:lineRule="auto"/>
        <w:ind w:right="-2"/>
        <w:rPr>
          <w:szCs w:val="22"/>
        </w:rPr>
      </w:pPr>
      <w:r w:rsidRPr="00183B5F">
        <w:rPr>
          <w:szCs w:val="22"/>
        </w:rPr>
        <w:t>bőrviszketés</w:t>
      </w:r>
    </w:p>
    <w:p w14:paraId="2580C6DE" w14:textId="77777777" w:rsidR="002F7D7A" w:rsidRPr="00183B5F" w:rsidRDefault="00943743" w:rsidP="004062FE">
      <w:pPr>
        <w:numPr>
          <w:ilvl w:val="0"/>
          <w:numId w:val="54"/>
        </w:numPr>
        <w:spacing w:line="240" w:lineRule="auto"/>
        <w:ind w:right="-2"/>
        <w:rPr>
          <w:szCs w:val="22"/>
        </w:rPr>
      </w:pPr>
      <w:r w:rsidRPr="00183B5F">
        <w:rPr>
          <w:szCs w:val="22"/>
        </w:rPr>
        <w:t>viszkető bőrkiütés</w:t>
      </w:r>
    </w:p>
    <w:p w14:paraId="5859E8D2" w14:textId="77777777" w:rsidR="002F7D7A" w:rsidRPr="00183B5F" w:rsidRDefault="00943743" w:rsidP="004062FE">
      <w:pPr>
        <w:numPr>
          <w:ilvl w:val="0"/>
          <w:numId w:val="54"/>
        </w:numPr>
        <w:spacing w:line="240" w:lineRule="auto"/>
        <w:ind w:right="-2"/>
        <w:rPr>
          <w:szCs w:val="22"/>
        </w:rPr>
      </w:pPr>
      <w:r w:rsidRPr="00183B5F">
        <w:rPr>
          <w:szCs w:val="22"/>
        </w:rPr>
        <w:t>véraláfutás</w:t>
      </w:r>
    </w:p>
    <w:p w14:paraId="0C45A6A5" w14:textId="77777777" w:rsidR="002F7D7A" w:rsidRPr="00183B5F" w:rsidRDefault="00943743" w:rsidP="004062FE">
      <w:pPr>
        <w:numPr>
          <w:ilvl w:val="0"/>
          <w:numId w:val="54"/>
        </w:numPr>
        <w:spacing w:line="240" w:lineRule="auto"/>
        <w:ind w:right="-2"/>
        <w:rPr>
          <w:szCs w:val="22"/>
        </w:rPr>
      </w:pPr>
      <w:r w:rsidRPr="00183B5F">
        <w:rPr>
          <w:szCs w:val="22"/>
        </w:rPr>
        <w:t>bőrgyulladás (mint például az ekcéma)</w:t>
      </w:r>
    </w:p>
    <w:p w14:paraId="6716C010" w14:textId="77777777" w:rsidR="002F7D7A" w:rsidRPr="00183B5F" w:rsidRDefault="00943743" w:rsidP="004062FE">
      <w:pPr>
        <w:numPr>
          <w:ilvl w:val="0"/>
          <w:numId w:val="54"/>
        </w:numPr>
        <w:spacing w:line="240" w:lineRule="auto"/>
        <w:ind w:right="-2"/>
        <w:rPr>
          <w:szCs w:val="22"/>
        </w:rPr>
      </w:pPr>
      <w:r w:rsidRPr="00183B5F">
        <w:rPr>
          <w:szCs w:val="22"/>
        </w:rPr>
        <w:t>a kéz- és lábujjkörmök töredezése</w:t>
      </w:r>
    </w:p>
    <w:p w14:paraId="6ED30186" w14:textId="77777777" w:rsidR="002F7D7A" w:rsidRPr="00183B5F" w:rsidRDefault="00943743" w:rsidP="004062FE">
      <w:pPr>
        <w:numPr>
          <w:ilvl w:val="0"/>
          <w:numId w:val="54"/>
        </w:numPr>
        <w:spacing w:line="240" w:lineRule="auto"/>
        <w:ind w:right="-2"/>
        <w:rPr>
          <w:szCs w:val="22"/>
        </w:rPr>
      </w:pPr>
      <w:r w:rsidRPr="00183B5F">
        <w:rPr>
          <w:szCs w:val="22"/>
        </w:rPr>
        <w:t>fokozott verejtékezés</w:t>
      </w:r>
    </w:p>
    <w:p w14:paraId="2FEE581C" w14:textId="77777777" w:rsidR="002F7D7A" w:rsidRPr="00183B5F" w:rsidRDefault="00943743" w:rsidP="004062FE">
      <w:pPr>
        <w:numPr>
          <w:ilvl w:val="0"/>
          <w:numId w:val="54"/>
        </w:numPr>
        <w:spacing w:line="240" w:lineRule="auto"/>
        <w:ind w:right="-2"/>
        <w:rPr>
          <w:szCs w:val="22"/>
        </w:rPr>
      </w:pPr>
      <w:r w:rsidRPr="00183B5F">
        <w:rPr>
          <w:szCs w:val="22"/>
        </w:rPr>
        <w:t>hajhullás</w:t>
      </w:r>
    </w:p>
    <w:p w14:paraId="65B6E956" w14:textId="77777777" w:rsidR="002F7D7A" w:rsidRPr="00183B5F" w:rsidRDefault="00943743" w:rsidP="004062FE">
      <w:pPr>
        <w:numPr>
          <w:ilvl w:val="0"/>
          <w:numId w:val="54"/>
        </w:numPr>
        <w:spacing w:line="240" w:lineRule="auto"/>
        <w:ind w:right="-2"/>
        <w:rPr>
          <w:szCs w:val="22"/>
        </w:rPr>
      </w:pPr>
      <w:r w:rsidRPr="00183B5F">
        <w:rPr>
          <w:szCs w:val="22"/>
        </w:rPr>
        <w:t>pikkelysömör megjelenése vagy rosszabbodása</w:t>
      </w:r>
    </w:p>
    <w:p w14:paraId="352266CD" w14:textId="77777777" w:rsidR="002F7D7A" w:rsidRPr="00183B5F" w:rsidRDefault="00943743" w:rsidP="004062FE">
      <w:pPr>
        <w:numPr>
          <w:ilvl w:val="0"/>
          <w:numId w:val="54"/>
        </w:numPr>
        <w:spacing w:line="240" w:lineRule="auto"/>
        <w:ind w:right="-2"/>
        <w:rPr>
          <w:szCs w:val="22"/>
        </w:rPr>
      </w:pPr>
      <w:r w:rsidRPr="00183B5F">
        <w:rPr>
          <w:szCs w:val="22"/>
        </w:rPr>
        <w:t>izomgörcsök</w:t>
      </w:r>
    </w:p>
    <w:p w14:paraId="03CEA928" w14:textId="77777777" w:rsidR="002F7D7A" w:rsidRPr="00183B5F" w:rsidRDefault="00943743" w:rsidP="004062FE">
      <w:pPr>
        <w:numPr>
          <w:ilvl w:val="0"/>
          <w:numId w:val="54"/>
        </w:numPr>
        <w:spacing w:line="240" w:lineRule="auto"/>
        <w:ind w:right="-2"/>
        <w:rPr>
          <w:szCs w:val="22"/>
        </w:rPr>
      </w:pPr>
      <w:r w:rsidRPr="00183B5F">
        <w:rPr>
          <w:szCs w:val="22"/>
        </w:rPr>
        <w:t>véres vizelet</w:t>
      </w:r>
    </w:p>
    <w:p w14:paraId="2A3C1F7A" w14:textId="77777777" w:rsidR="002F7D7A" w:rsidRPr="00183B5F" w:rsidRDefault="00943743" w:rsidP="004062FE">
      <w:pPr>
        <w:numPr>
          <w:ilvl w:val="0"/>
          <w:numId w:val="54"/>
        </w:numPr>
        <w:spacing w:line="240" w:lineRule="auto"/>
        <w:ind w:right="-2"/>
        <w:rPr>
          <w:szCs w:val="22"/>
        </w:rPr>
      </w:pPr>
      <w:r w:rsidRPr="00183B5F">
        <w:rPr>
          <w:szCs w:val="22"/>
        </w:rPr>
        <w:t>veseproblémák</w:t>
      </w:r>
    </w:p>
    <w:p w14:paraId="5F904AC8" w14:textId="77777777" w:rsidR="002F7D7A" w:rsidRPr="00183B5F" w:rsidRDefault="00943743" w:rsidP="004062FE">
      <w:pPr>
        <w:numPr>
          <w:ilvl w:val="0"/>
          <w:numId w:val="54"/>
        </w:numPr>
        <w:spacing w:line="240" w:lineRule="auto"/>
        <w:ind w:right="-2"/>
        <w:rPr>
          <w:szCs w:val="22"/>
        </w:rPr>
      </w:pPr>
      <w:r w:rsidRPr="00183B5F">
        <w:rPr>
          <w:szCs w:val="22"/>
        </w:rPr>
        <w:t>mellkasi fájdalom</w:t>
      </w:r>
    </w:p>
    <w:p w14:paraId="3D91D517" w14:textId="77777777" w:rsidR="002F7D7A" w:rsidRPr="00183B5F" w:rsidRDefault="00943743" w:rsidP="004062FE">
      <w:pPr>
        <w:numPr>
          <w:ilvl w:val="0"/>
          <w:numId w:val="54"/>
        </w:numPr>
        <w:spacing w:line="240" w:lineRule="auto"/>
        <w:ind w:right="-2"/>
        <w:rPr>
          <w:szCs w:val="22"/>
        </w:rPr>
      </w:pPr>
      <w:r w:rsidRPr="00183B5F">
        <w:rPr>
          <w:szCs w:val="22"/>
        </w:rPr>
        <w:t>vizenyő (duzzanat)</w:t>
      </w:r>
    </w:p>
    <w:p w14:paraId="1EA8A58E" w14:textId="77777777" w:rsidR="002F7D7A" w:rsidRPr="00183B5F" w:rsidRDefault="00943743" w:rsidP="004062FE">
      <w:pPr>
        <w:numPr>
          <w:ilvl w:val="0"/>
          <w:numId w:val="54"/>
        </w:numPr>
        <w:spacing w:line="240" w:lineRule="auto"/>
        <w:ind w:right="-2"/>
        <w:rPr>
          <w:szCs w:val="22"/>
        </w:rPr>
      </w:pPr>
      <w:r w:rsidRPr="00183B5F">
        <w:rPr>
          <w:szCs w:val="22"/>
        </w:rPr>
        <w:t>láz</w:t>
      </w:r>
    </w:p>
    <w:p w14:paraId="46E3F607" w14:textId="77777777" w:rsidR="002F7D7A" w:rsidRPr="00183B5F" w:rsidRDefault="00943743" w:rsidP="004062FE">
      <w:pPr>
        <w:numPr>
          <w:ilvl w:val="0"/>
          <w:numId w:val="54"/>
        </w:numPr>
        <w:spacing w:line="240" w:lineRule="auto"/>
        <w:ind w:right="-2"/>
        <w:rPr>
          <w:szCs w:val="22"/>
        </w:rPr>
      </w:pPr>
      <w:r w:rsidRPr="00183B5F">
        <w:rPr>
          <w:szCs w:val="22"/>
        </w:rPr>
        <w:t>a vérlemezkék számának csökkenése, ami növeli a vérzés vagy a véraláfutás kialakulásának kockázatát</w:t>
      </w:r>
    </w:p>
    <w:p w14:paraId="32624249" w14:textId="77777777" w:rsidR="002F7D7A" w:rsidRPr="00183B5F" w:rsidRDefault="00943743" w:rsidP="004062FE">
      <w:pPr>
        <w:numPr>
          <w:ilvl w:val="0"/>
          <w:numId w:val="54"/>
        </w:numPr>
        <w:spacing w:line="240" w:lineRule="auto"/>
        <w:ind w:right="-2"/>
        <w:rPr>
          <w:szCs w:val="22"/>
        </w:rPr>
      </w:pPr>
      <w:r w:rsidRPr="00183B5F">
        <w:rPr>
          <w:szCs w:val="22"/>
        </w:rPr>
        <w:t>csökkent gyógyulási készség</w:t>
      </w:r>
    </w:p>
    <w:p w14:paraId="7E95B8E4" w14:textId="77777777" w:rsidR="002F7D7A" w:rsidRPr="00183B5F" w:rsidRDefault="002F7D7A" w:rsidP="004062FE">
      <w:pPr>
        <w:spacing w:line="240" w:lineRule="auto"/>
        <w:ind w:right="-2"/>
        <w:rPr>
          <w:szCs w:val="22"/>
        </w:rPr>
      </w:pPr>
    </w:p>
    <w:p w14:paraId="50E302E1" w14:textId="77777777" w:rsidR="002F7D7A" w:rsidRPr="00183B5F" w:rsidRDefault="00943743" w:rsidP="004062FE">
      <w:pPr>
        <w:spacing w:line="240" w:lineRule="auto"/>
        <w:ind w:right="-2"/>
        <w:rPr>
          <w:szCs w:val="22"/>
        </w:rPr>
      </w:pPr>
      <w:r w:rsidRPr="00183B5F">
        <w:rPr>
          <w:b/>
          <w:szCs w:val="22"/>
        </w:rPr>
        <w:t>Nem gyakori</w:t>
      </w:r>
      <w:r w:rsidRPr="00183B5F">
        <w:rPr>
          <w:szCs w:val="22"/>
        </w:rPr>
        <w:t xml:space="preserve"> (100 beteg közül legfeljebb 1</w:t>
      </w:r>
      <w:r w:rsidRPr="00183B5F">
        <w:rPr>
          <w:szCs w:val="22"/>
        </w:rPr>
        <w:noBreakHyphen/>
        <w:t>nél kialakuló)</w:t>
      </w:r>
    </w:p>
    <w:p w14:paraId="2FF25BEA" w14:textId="77777777" w:rsidR="002F7D7A" w:rsidRPr="00183B5F" w:rsidRDefault="002F7D7A" w:rsidP="004062FE">
      <w:pPr>
        <w:spacing w:line="240" w:lineRule="auto"/>
        <w:ind w:right="-2"/>
        <w:rPr>
          <w:szCs w:val="22"/>
        </w:rPr>
      </w:pPr>
    </w:p>
    <w:p w14:paraId="7FBCE23E" w14:textId="77777777" w:rsidR="002F7D7A" w:rsidRPr="00183B5F" w:rsidRDefault="00943743" w:rsidP="004062FE">
      <w:pPr>
        <w:numPr>
          <w:ilvl w:val="0"/>
          <w:numId w:val="55"/>
        </w:numPr>
        <w:tabs>
          <w:tab w:val="clear" w:pos="567"/>
          <w:tab w:val="left" w:pos="562"/>
        </w:tabs>
        <w:spacing w:line="240" w:lineRule="auto"/>
        <w:ind w:right="-2"/>
        <w:rPr>
          <w:szCs w:val="22"/>
        </w:rPr>
      </w:pPr>
      <w:r w:rsidRPr="00183B5F">
        <w:rPr>
          <w:szCs w:val="22"/>
        </w:rPr>
        <w:t>opportunista fertőzések (ezek közé tartozik a tuberkulózis és más, olyan fertőzések, amelyek akkor alakulnak ki, amikor a betegségekkel szembeni ellenállóképesség lecsökken)</w:t>
      </w:r>
    </w:p>
    <w:p w14:paraId="0C40543F" w14:textId="77777777" w:rsidR="002F7D7A" w:rsidRPr="00183B5F" w:rsidRDefault="00943743" w:rsidP="004062FE">
      <w:pPr>
        <w:numPr>
          <w:ilvl w:val="0"/>
          <w:numId w:val="55"/>
        </w:numPr>
        <w:tabs>
          <w:tab w:val="clear" w:pos="567"/>
          <w:tab w:val="left" w:pos="562"/>
        </w:tabs>
        <w:spacing w:line="240" w:lineRule="auto"/>
        <w:ind w:right="-2"/>
        <w:rPr>
          <w:szCs w:val="22"/>
        </w:rPr>
      </w:pPr>
      <w:r w:rsidRPr="00183B5F">
        <w:rPr>
          <w:szCs w:val="22"/>
        </w:rPr>
        <w:t>ideggyógyászati eredetű fertőzések (beleértve a vírusos eredetű agyhártyagyulladást is)</w:t>
      </w:r>
    </w:p>
    <w:p w14:paraId="1AECA1C5" w14:textId="77777777" w:rsidR="002F7D7A" w:rsidRPr="00183B5F" w:rsidRDefault="00943743" w:rsidP="004062FE">
      <w:pPr>
        <w:numPr>
          <w:ilvl w:val="0"/>
          <w:numId w:val="55"/>
        </w:numPr>
        <w:spacing w:line="240" w:lineRule="auto"/>
        <w:ind w:right="-2"/>
        <w:rPr>
          <w:szCs w:val="22"/>
        </w:rPr>
      </w:pPr>
      <w:r w:rsidRPr="00183B5F">
        <w:rPr>
          <w:szCs w:val="22"/>
        </w:rPr>
        <w:t>szemfertőzések</w:t>
      </w:r>
    </w:p>
    <w:p w14:paraId="0306D4D7" w14:textId="77777777" w:rsidR="002F7D7A" w:rsidRPr="00183B5F" w:rsidRDefault="00943743" w:rsidP="004062FE">
      <w:pPr>
        <w:numPr>
          <w:ilvl w:val="0"/>
          <w:numId w:val="55"/>
        </w:numPr>
        <w:spacing w:line="240" w:lineRule="auto"/>
        <w:ind w:right="-2"/>
        <w:rPr>
          <w:szCs w:val="22"/>
        </w:rPr>
      </w:pPr>
      <w:r w:rsidRPr="00183B5F">
        <w:rPr>
          <w:szCs w:val="22"/>
        </w:rPr>
        <w:t>baktériumok okozta fertőzések</w:t>
      </w:r>
    </w:p>
    <w:p w14:paraId="38200084" w14:textId="77777777" w:rsidR="002F7D7A" w:rsidRPr="00183B5F" w:rsidRDefault="00943743" w:rsidP="004062FE">
      <w:pPr>
        <w:numPr>
          <w:ilvl w:val="0"/>
          <w:numId w:val="55"/>
        </w:numPr>
        <w:spacing w:line="240" w:lineRule="auto"/>
        <w:ind w:right="-2"/>
        <w:rPr>
          <w:szCs w:val="22"/>
        </w:rPr>
      </w:pPr>
      <w:r w:rsidRPr="00183B5F">
        <w:rPr>
          <w:szCs w:val="22"/>
        </w:rPr>
        <w:t>divertikulitisz (vastagbélgyulladás és -fertőzés)</w:t>
      </w:r>
    </w:p>
    <w:p w14:paraId="3EC09B93" w14:textId="77777777" w:rsidR="002F7D7A" w:rsidRPr="00183B5F" w:rsidRDefault="00943743" w:rsidP="004062FE">
      <w:pPr>
        <w:numPr>
          <w:ilvl w:val="0"/>
          <w:numId w:val="55"/>
        </w:numPr>
        <w:spacing w:line="240" w:lineRule="auto"/>
        <w:ind w:right="-2"/>
        <w:rPr>
          <w:szCs w:val="22"/>
        </w:rPr>
      </w:pPr>
      <w:r w:rsidRPr="00183B5F">
        <w:rPr>
          <w:szCs w:val="22"/>
        </w:rPr>
        <w:t>rák</w:t>
      </w:r>
    </w:p>
    <w:p w14:paraId="7E1D3C27" w14:textId="77777777" w:rsidR="002F7D7A" w:rsidRPr="00183B5F" w:rsidRDefault="00943743" w:rsidP="004062FE">
      <w:pPr>
        <w:numPr>
          <w:ilvl w:val="0"/>
          <w:numId w:val="55"/>
        </w:numPr>
        <w:spacing w:line="240" w:lineRule="auto"/>
        <w:ind w:right="-2"/>
        <w:rPr>
          <w:szCs w:val="22"/>
        </w:rPr>
      </w:pPr>
      <w:r w:rsidRPr="00183B5F">
        <w:rPr>
          <w:szCs w:val="22"/>
        </w:rPr>
        <w:t>rák, amely a nyirokrendszert támadja meg</w:t>
      </w:r>
    </w:p>
    <w:p w14:paraId="429997A2" w14:textId="77777777" w:rsidR="002F7D7A" w:rsidRPr="00183B5F" w:rsidRDefault="00943743" w:rsidP="004062FE">
      <w:pPr>
        <w:numPr>
          <w:ilvl w:val="0"/>
          <w:numId w:val="55"/>
        </w:numPr>
        <w:spacing w:line="240" w:lineRule="auto"/>
        <w:ind w:right="-2"/>
        <w:rPr>
          <w:szCs w:val="22"/>
        </w:rPr>
      </w:pPr>
      <w:r w:rsidRPr="00183B5F">
        <w:rPr>
          <w:szCs w:val="22"/>
        </w:rPr>
        <w:t>melanóma</w:t>
      </w:r>
    </w:p>
    <w:p w14:paraId="195AF83F" w14:textId="77777777" w:rsidR="002F7D7A" w:rsidRPr="00183B5F" w:rsidRDefault="00943743" w:rsidP="004062FE">
      <w:pPr>
        <w:numPr>
          <w:ilvl w:val="0"/>
          <w:numId w:val="55"/>
        </w:numPr>
        <w:spacing w:line="240" w:lineRule="auto"/>
        <w:ind w:right="-2"/>
        <w:rPr>
          <w:szCs w:val="22"/>
        </w:rPr>
      </w:pPr>
      <w:r w:rsidRPr="00183B5F">
        <w:rPr>
          <w:szCs w:val="22"/>
        </w:rPr>
        <w:t>a szervezet védekező rendszerének betegségei, amelyek érinthetik a tüdőt, a bőrt és a nyirokcsomókat (leggyakrabban szarkoidózisként jelentkezik)</w:t>
      </w:r>
    </w:p>
    <w:p w14:paraId="51F24CEC" w14:textId="77777777" w:rsidR="002F7D7A" w:rsidRPr="00183B5F" w:rsidRDefault="00943743" w:rsidP="004062FE">
      <w:pPr>
        <w:numPr>
          <w:ilvl w:val="0"/>
          <w:numId w:val="55"/>
        </w:numPr>
        <w:spacing w:line="240" w:lineRule="auto"/>
        <w:ind w:right="-2"/>
        <w:rPr>
          <w:szCs w:val="22"/>
        </w:rPr>
      </w:pPr>
      <w:r w:rsidRPr="00183B5F">
        <w:rPr>
          <w:szCs w:val="22"/>
        </w:rPr>
        <w:t>vaszkulitisz (érgyulladás)</w:t>
      </w:r>
    </w:p>
    <w:p w14:paraId="577DD0E0" w14:textId="77777777" w:rsidR="002F7D7A" w:rsidRPr="00183B5F" w:rsidRDefault="00943743" w:rsidP="004062FE">
      <w:pPr>
        <w:numPr>
          <w:ilvl w:val="0"/>
          <w:numId w:val="55"/>
        </w:numPr>
        <w:spacing w:line="240" w:lineRule="auto"/>
        <w:ind w:right="-2"/>
        <w:rPr>
          <w:szCs w:val="22"/>
        </w:rPr>
      </w:pPr>
      <w:r w:rsidRPr="00183B5F">
        <w:rPr>
          <w:szCs w:val="22"/>
        </w:rPr>
        <w:t>remegés</w:t>
      </w:r>
    </w:p>
    <w:p w14:paraId="10C304BC" w14:textId="77777777" w:rsidR="002F7D7A" w:rsidRPr="00183B5F" w:rsidRDefault="00943743" w:rsidP="004062FE">
      <w:pPr>
        <w:numPr>
          <w:ilvl w:val="0"/>
          <w:numId w:val="55"/>
        </w:numPr>
        <w:spacing w:line="240" w:lineRule="auto"/>
        <w:ind w:right="-2"/>
        <w:rPr>
          <w:szCs w:val="22"/>
        </w:rPr>
      </w:pPr>
      <w:r w:rsidRPr="00183B5F">
        <w:rPr>
          <w:szCs w:val="22"/>
        </w:rPr>
        <w:t>neuropátia (idegbántalom)</w:t>
      </w:r>
    </w:p>
    <w:p w14:paraId="24994E3B" w14:textId="77777777" w:rsidR="002F7D7A" w:rsidRPr="00183B5F" w:rsidRDefault="00943743" w:rsidP="004062FE">
      <w:pPr>
        <w:numPr>
          <w:ilvl w:val="0"/>
          <w:numId w:val="55"/>
        </w:numPr>
        <w:spacing w:line="240" w:lineRule="auto"/>
        <w:ind w:right="-2"/>
        <w:rPr>
          <w:szCs w:val="22"/>
        </w:rPr>
      </w:pPr>
      <w:r w:rsidRPr="00183B5F">
        <w:rPr>
          <w:szCs w:val="22"/>
        </w:rPr>
        <w:t>szélütés</w:t>
      </w:r>
    </w:p>
    <w:p w14:paraId="285AEE2C" w14:textId="77777777" w:rsidR="002F7D7A" w:rsidRPr="00183B5F" w:rsidRDefault="00943743" w:rsidP="004062FE">
      <w:pPr>
        <w:numPr>
          <w:ilvl w:val="0"/>
          <w:numId w:val="55"/>
        </w:numPr>
        <w:spacing w:line="240" w:lineRule="auto"/>
        <w:ind w:right="-2"/>
        <w:rPr>
          <w:szCs w:val="22"/>
        </w:rPr>
      </w:pPr>
      <w:r w:rsidRPr="00183B5F">
        <w:rPr>
          <w:szCs w:val="22"/>
        </w:rPr>
        <w:t>halláscsökkenés, fülzúgás</w:t>
      </w:r>
    </w:p>
    <w:p w14:paraId="436FE56D" w14:textId="77777777" w:rsidR="002F7D7A" w:rsidRPr="00183B5F" w:rsidRDefault="00943743" w:rsidP="004062FE">
      <w:pPr>
        <w:numPr>
          <w:ilvl w:val="0"/>
          <w:numId w:val="55"/>
        </w:numPr>
        <w:spacing w:line="240" w:lineRule="auto"/>
        <w:ind w:right="-2"/>
        <w:rPr>
          <w:szCs w:val="22"/>
        </w:rPr>
      </w:pPr>
      <w:r w:rsidRPr="00183B5F">
        <w:rPr>
          <w:szCs w:val="22"/>
        </w:rPr>
        <w:t>szabálytalan szívverés érzése, mint például kimaradó szívverés</w:t>
      </w:r>
    </w:p>
    <w:p w14:paraId="36C15F77" w14:textId="77777777" w:rsidR="002F7D7A" w:rsidRPr="00183B5F" w:rsidRDefault="00943743" w:rsidP="004062FE">
      <w:pPr>
        <w:numPr>
          <w:ilvl w:val="0"/>
          <w:numId w:val="55"/>
        </w:numPr>
        <w:spacing w:line="240" w:lineRule="auto"/>
        <w:ind w:right="-2"/>
        <w:rPr>
          <w:szCs w:val="22"/>
        </w:rPr>
      </w:pPr>
      <w:r w:rsidRPr="00183B5F">
        <w:rPr>
          <w:szCs w:val="22"/>
        </w:rPr>
        <w:t>szívproblémák, amelyek például nehézlégzést vagy bokadagadást okozhatnak</w:t>
      </w:r>
    </w:p>
    <w:p w14:paraId="33781C0B" w14:textId="77777777" w:rsidR="002F7D7A" w:rsidRPr="00183B5F" w:rsidRDefault="00943743" w:rsidP="004062FE">
      <w:pPr>
        <w:numPr>
          <w:ilvl w:val="0"/>
          <w:numId w:val="55"/>
        </w:numPr>
        <w:spacing w:line="240" w:lineRule="auto"/>
        <w:ind w:right="-2"/>
        <w:rPr>
          <w:szCs w:val="22"/>
        </w:rPr>
      </w:pPr>
      <w:r w:rsidRPr="00183B5F">
        <w:rPr>
          <w:szCs w:val="22"/>
        </w:rPr>
        <w:t>szívroham</w:t>
      </w:r>
    </w:p>
    <w:p w14:paraId="21D8943C" w14:textId="77777777" w:rsidR="002F7D7A" w:rsidRPr="00183B5F" w:rsidRDefault="00943743" w:rsidP="004062FE">
      <w:pPr>
        <w:numPr>
          <w:ilvl w:val="0"/>
          <w:numId w:val="55"/>
        </w:numPr>
        <w:spacing w:line="240" w:lineRule="auto"/>
        <w:ind w:right="-2"/>
        <w:rPr>
          <w:szCs w:val="22"/>
        </w:rPr>
      </w:pPr>
      <w:r w:rsidRPr="00183B5F">
        <w:rPr>
          <w:szCs w:val="22"/>
        </w:rPr>
        <w:t>kiöblösödés valamely nagy ütőérben, gyulladás és vérrögképződés valamelyik vénában, érelzáródás</w:t>
      </w:r>
    </w:p>
    <w:p w14:paraId="0CBB8B28" w14:textId="77777777" w:rsidR="002F7D7A" w:rsidRPr="00183B5F" w:rsidRDefault="00943743" w:rsidP="004062FE">
      <w:pPr>
        <w:numPr>
          <w:ilvl w:val="0"/>
          <w:numId w:val="55"/>
        </w:numPr>
        <w:spacing w:line="240" w:lineRule="auto"/>
        <w:ind w:right="-2"/>
        <w:rPr>
          <w:szCs w:val="22"/>
        </w:rPr>
      </w:pPr>
      <w:r w:rsidRPr="00183B5F">
        <w:rPr>
          <w:szCs w:val="22"/>
        </w:rPr>
        <w:t>nehézlégzést okozó tüdőbetegségek (beleértve a gyulladást is)</w:t>
      </w:r>
    </w:p>
    <w:p w14:paraId="11D62A57" w14:textId="77777777" w:rsidR="002F7D7A" w:rsidRPr="00183B5F" w:rsidRDefault="00943743" w:rsidP="004062FE">
      <w:pPr>
        <w:numPr>
          <w:ilvl w:val="0"/>
          <w:numId w:val="55"/>
        </w:numPr>
        <w:spacing w:line="240" w:lineRule="auto"/>
        <w:ind w:right="-2"/>
        <w:rPr>
          <w:szCs w:val="22"/>
        </w:rPr>
      </w:pPr>
      <w:r w:rsidRPr="00183B5F">
        <w:rPr>
          <w:szCs w:val="22"/>
        </w:rPr>
        <w:t>tüdőembólia (a tüdőt ellátó ér elzáródása)</w:t>
      </w:r>
    </w:p>
    <w:p w14:paraId="602316E8" w14:textId="77777777" w:rsidR="002F7D7A" w:rsidRPr="00183B5F" w:rsidRDefault="00943743" w:rsidP="004062FE">
      <w:pPr>
        <w:numPr>
          <w:ilvl w:val="0"/>
          <w:numId w:val="55"/>
        </w:numPr>
        <w:spacing w:line="240" w:lineRule="auto"/>
        <w:ind w:right="-2"/>
        <w:rPr>
          <w:szCs w:val="22"/>
        </w:rPr>
      </w:pPr>
      <w:r w:rsidRPr="00183B5F">
        <w:rPr>
          <w:szCs w:val="22"/>
        </w:rPr>
        <w:t>pleurális folyadékgyülem (a mellhártyák között kóros folyadékgyülem)</w:t>
      </w:r>
    </w:p>
    <w:p w14:paraId="3D32B12D" w14:textId="77777777" w:rsidR="002F7D7A" w:rsidRPr="00183B5F" w:rsidRDefault="00943743" w:rsidP="004062FE">
      <w:pPr>
        <w:numPr>
          <w:ilvl w:val="0"/>
          <w:numId w:val="55"/>
        </w:numPr>
        <w:spacing w:line="240" w:lineRule="auto"/>
        <w:ind w:right="-2"/>
        <w:rPr>
          <w:szCs w:val="22"/>
        </w:rPr>
      </w:pPr>
      <w:r w:rsidRPr="00183B5F">
        <w:rPr>
          <w:szCs w:val="22"/>
        </w:rPr>
        <w:t>hasnyálmirigy</w:t>
      </w:r>
      <w:r w:rsidRPr="00183B5F">
        <w:rPr>
          <w:szCs w:val="22"/>
        </w:rPr>
        <w:noBreakHyphen/>
        <w:t>gyulladás ami erős hasi fájdalmat és hátfájást okoz</w:t>
      </w:r>
    </w:p>
    <w:p w14:paraId="5CC3DE97" w14:textId="77777777" w:rsidR="002F7D7A" w:rsidRPr="00183B5F" w:rsidRDefault="00943743" w:rsidP="004062FE">
      <w:pPr>
        <w:numPr>
          <w:ilvl w:val="0"/>
          <w:numId w:val="55"/>
        </w:numPr>
        <w:spacing w:line="240" w:lineRule="auto"/>
        <w:ind w:right="-2"/>
        <w:rPr>
          <w:szCs w:val="22"/>
        </w:rPr>
      </w:pPr>
      <w:r w:rsidRPr="00183B5F">
        <w:rPr>
          <w:szCs w:val="22"/>
        </w:rPr>
        <w:t>nyelészavar</w:t>
      </w:r>
    </w:p>
    <w:p w14:paraId="613F3F7D" w14:textId="77777777" w:rsidR="002F7D7A" w:rsidRPr="00183B5F" w:rsidRDefault="00943743" w:rsidP="004062FE">
      <w:pPr>
        <w:numPr>
          <w:ilvl w:val="0"/>
          <w:numId w:val="55"/>
        </w:numPr>
        <w:spacing w:line="240" w:lineRule="auto"/>
        <w:ind w:right="-2"/>
        <w:rPr>
          <w:szCs w:val="22"/>
        </w:rPr>
      </w:pPr>
      <w:r w:rsidRPr="00183B5F">
        <w:rPr>
          <w:szCs w:val="22"/>
        </w:rPr>
        <w:t>az arc feldagadása</w:t>
      </w:r>
    </w:p>
    <w:p w14:paraId="5273892F" w14:textId="77777777" w:rsidR="002F7D7A" w:rsidRPr="00183B5F" w:rsidRDefault="00943743" w:rsidP="004062FE">
      <w:pPr>
        <w:numPr>
          <w:ilvl w:val="0"/>
          <w:numId w:val="55"/>
        </w:numPr>
        <w:spacing w:line="240" w:lineRule="auto"/>
        <w:ind w:right="-2"/>
        <w:rPr>
          <w:szCs w:val="22"/>
        </w:rPr>
      </w:pPr>
      <w:r w:rsidRPr="00183B5F">
        <w:rPr>
          <w:szCs w:val="22"/>
        </w:rPr>
        <w:t>epehólyaggyulladás, epekövesség</w:t>
      </w:r>
    </w:p>
    <w:p w14:paraId="3562A3B2" w14:textId="77777777" w:rsidR="002F7D7A" w:rsidRPr="00183B5F" w:rsidRDefault="00943743" w:rsidP="004062FE">
      <w:pPr>
        <w:numPr>
          <w:ilvl w:val="0"/>
          <w:numId w:val="55"/>
        </w:numPr>
        <w:spacing w:line="240" w:lineRule="auto"/>
        <w:ind w:right="-2"/>
        <w:rPr>
          <w:szCs w:val="22"/>
        </w:rPr>
      </w:pPr>
      <w:r w:rsidRPr="00183B5F">
        <w:rPr>
          <w:szCs w:val="22"/>
        </w:rPr>
        <w:t>zsírmáj</w:t>
      </w:r>
    </w:p>
    <w:p w14:paraId="242EB26A" w14:textId="77777777" w:rsidR="002F7D7A" w:rsidRPr="00183B5F" w:rsidRDefault="00943743" w:rsidP="004062FE">
      <w:pPr>
        <w:numPr>
          <w:ilvl w:val="0"/>
          <w:numId w:val="55"/>
        </w:numPr>
        <w:spacing w:line="240" w:lineRule="auto"/>
        <w:ind w:right="-2"/>
        <w:rPr>
          <w:szCs w:val="22"/>
        </w:rPr>
      </w:pPr>
      <w:r w:rsidRPr="00183B5F">
        <w:rPr>
          <w:szCs w:val="22"/>
        </w:rPr>
        <w:t>éjszakai izzadás</w:t>
      </w:r>
    </w:p>
    <w:p w14:paraId="2E7F62AD" w14:textId="77777777" w:rsidR="002F7D7A" w:rsidRPr="00183B5F" w:rsidRDefault="00943743" w:rsidP="004062FE">
      <w:pPr>
        <w:numPr>
          <w:ilvl w:val="0"/>
          <w:numId w:val="55"/>
        </w:numPr>
        <w:spacing w:line="240" w:lineRule="auto"/>
        <w:ind w:right="-2"/>
        <w:rPr>
          <w:szCs w:val="22"/>
        </w:rPr>
      </w:pPr>
      <w:r w:rsidRPr="00183B5F">
        <w:rPr>
          <w:szCs w:val="22"/>
        </w:rPr>
        <w:t>hegképződés</w:t>
      </w:r>
    </w:p>
    <w:p w14:paraId="67F95C57" w14:textId="77777777" w:rsidR="002F7D7A" w:rsidRPr="00183B5F" w:rsidRDefault="00943743" w:rsidP="004062FE">
      <w:pPr>
        <w:numPr>
          <w:ilvl w:val="0"/>
          <w:numId w:val="55"/>
        </w:numPr>
        <w:spacing w:line="240" w:lineRule="auto"/>
        <w:ind w:right="-2"/>
        <w:rPr>
          <w:szCs w:val="22"/>
        </w:rPr>
      </w:pPr>
      <w:r w:rsidRPr="00183B5F">
        <w:rPr>
          <w:szCs w:val="22"/>
        </w:rPr>
        <w:t>az izomszövet kóros szétesése</w:t>
      </w:r>
    </w:p>
    <w:p w14:paraId="6458591C" w14:textId="77777777" w:rsidR="002F7D7A" w:rsidRPr="00183B5F" w:rsidRDefault="00943743" w:rsidP="004062FE">
      <w:pPr>
        <w:numPr>
          <w:ilvl w:val="0"/>
          <w:numId w:val="55"/>
        </w:numPr>
        <w:spacing w:line="240" w:lineRule="auto"/>
        <w:ind w:right="-2"/>
        <w:rPr>
          <w:szCs w:val="22"/>
        </w:rPr>
      </w:pPr>
      <w:r w:rsidRPr="00183B5F">
        <w:rPr>
          <w:szCs w:val="22"/>
        </w:rPr>
        <w:t>szisztémás lupusz eritematózusz (beleértve a bőr, a szív, a tüdő, az ízületek és más szervrendszerek gyulladását)</w:t>
      </w:r>
    </w:p>
    <w:p w14:paraId="2C5F6968" w14:textId="77777777" w:rsidR="002F7D7A" w:rsidRPr="00183B5F" w:rsidRDefault="00943743" w:rsidP="004062FE">
      <w:pPr>
        <w:numPr>
          <w:ilvl w:val="0"/>
          <w:numId w:val="55"/>
        </w:numPr>
        <w:spacing w:line="240" w:lineRule="auto"/>
        <w:ind w:right="-2"/>
        <w:rPr>
          <w:szCs w:val="22"/>
        </w:rPr>
      </w:pPr>
      <w:r w:rsidRPr="00183B5F">
        <w:rPr>
          <w:szCs w:val="22"/>
        </w:rPr>
        <w:t>az alvás megszakadása</w:t>
      </w:r>
    </w:p>
    <w:p w14:paraId="635B7346" w14:textId="77777777" w:rsidR="002F7D7A" w:rsidRPr="00183B5F" w:rsidRDefault="00943743" w:rsidP="004062FE">
      <w:pPr>
        <w:numPr>
          <w:ilvl w:val="0"/>
          <w:numId w:val="55"/>
        </w:numPr>
        <w:spacing w:line="240" w:lineRule="auto"/>
        <w:ind w:right="-2"/>
        <w:rPr>
          <w:szCs w:val="22"/>
        </w:rPr>
      </w:pPr>
      <w:r w:rsidRPr="00183B5F">
        <w:rPr>
          <w:szCs w:val="22"/>
        </w:rPr>
        <w:t>merevedési zavar</w:t>
      </w:r>
    </w:p>
    <w:p w14:paraId="466242FC" w14:textId="77777777" w:rsidR="002F7D7A" w:rsidRPr="00183B5F" w:rsidRDefault="00943743" w:rsidP="004062FE">
      <w:pPr>
        <w:numPr>
          <w:ilvl w:val="0"/>
          <w:numId w:val="55"/>
        </w:numPr>
        <w:tabs>
          <w:tab w:val="num" w:pos="1820"/>
        </w:tabs>
        <w:spacing w:line="240" w:lineRule="auto"/>
        <w:ind w:right="-2"/>
        <w:rPr>
          <w:szCs w:val="22"/>
        </w:rPr>
      </w:pPr>
      <w:r w:rsidRPr="00183B5F">
        <w:rPr>
          <w:szCs w:val="22"/>
        </w:rPr>
        <w:t>gyulladások</w:t>
      </w:r>
    </w:p>
    <w:p w14:paraId="42B08F5E" w14:textId="77777777" w:rsidR="002F7D7A" w:rsidRPr="00183B5F" w:rsidRDefault="002F7D7A" w:rsidP="004062FE">
      <w:pPr>
        <w:spacing w:line="240" w:lineRule="auto"/>
        <w:ind w:right="-2"/>
        <w:rPr>
          <w:szCs w:val="22"/>
        </w:rPr>
      </w:pPr>
    </w:p>
    <w:p w14:paraId="0A78F07A" w14:textId="77777777" w:rsidR="002F7D7A" w:rsidRPr="00183B5F" w:rsidRDefault="00943743" w:rsidP="004062FE">
      <w:pPr>
        <w:keepNext/>
        <w:spacing w:line="240" w:lineRule="auto"/>
        <w:rPr>
          <w:szCs w:val="22"/>
        </w:rPr>
      </w:pPr>
      <w:r w:rsidRPr="00183B5F">
        <w:rPr>
          <w:b/>
          <w:szCs w:val="22"/>
        </w:rPr>
        <w:t>Ritka</w:t>
      </w:r>
      <w:r w:rsidRPr="00183B5F">
        <w:rPr>
          <w:szCs w:val="22"/>
        </w:rPr>
        <w:t xml:space="preserve"> (1000 beteg közül legfeljebb 1</w:t>
      </w:r>
      <w:r w:rsidRPr="00183B5F">
        <w:rPr>
          <w:szCs w:val="22"/>
        </w:rPr>
        <w:noBreakHyphen/>
        <w:t>nél kialakuló)</w:t>
      </w:r>
    </w:p>
    <w:p w14:paraId="5CAE3E4D" w14:textId="77777777" w:rsidR="002F7D7A" w:rsidRPr="00183B5F" w:rsidRDefault="002F7D7A" w:rsidP="004062FE">
      <w:pPr>
        <w:keepNext/>
        <w:spacing w:line="240" w:lineRule="auto"/>
        <w:rPr>
          <w:szCs w:val="22"/>
        </w:rPr>
      </w:pPr>
    </w:p>
    <w:p w14:paraId="239902D7" w14:textId="77777777" w:rsidR="002F7D7A" w:rsidRPr="00183B5F" w:rsidRDefault="00943743" w:rsidP="004062FE">
      <w:pPr>
        <w:keepNext/>
        <w:numPr>
          <w:ilvl w:val="0"/>
          <w:numId w:val="51"/>
        </w:numPr>
        <w:spacing w:line="240" w:lineRule="auto"/>
        <w:rPr>
          <w:szCs w:val="22"/>
        </w:rPr>
      </w:pPr>
      <w:r w:rsidRPr="00183B5F">
        <w:rPr>
          <w:szCs w:val="22"/>
        </w:rPr>
        <w:t>leukémia (fehérvérűség, a vérképző rendszer daganata, ami a csontvelőt érinti)</w:t>
      </w:r>
    </w:p>
    <w:p w14:paraId="400EB70A" w14:textId="77777777" w:rsidR="002F7D7A" w:rsidRPr="00183B5F" w:rsidRDefault="00943743" w:rsidP="004062FE">
      <w:pPr>
        <w:keepNext/>
        <w:numPr>
          <w:ilvl w:val="0"/>
          <w:numId w:val="51"/>
        </w:numPr>
        <w:spacing w:line="240" w:lineRule="auto"/>
        <w:rPr>
          <w:szCs w:val="22"/>
        </w:rPr>
      </w:pPr>
      <w:r w:rsidRPr="00183B5F">
        <w:rPr>
          <w:szCs w:val="22"/>
        </w:rPr>
        <w:t>súlyos, sokkot okozó allergiás reakció</w:t>
      </w:r>
    </w:p>
    <w:p w14:paraId="0F90D8AC" w14:textId="77777777" w:rsidR="002F7D7A" w:rsidRPr="00183B5F" w:rsidRDefault="00943743" w:rsidP="004062FE">
      <w:pPr>
        <w:numPr>
          <w:ilvl w:val="0"/>
          <w:numId w:val="51"/>
        </w:numPr>
        <w:spacing w:line="240" w:lineRule="auto"/>
        <w:ind w:right="-2"/>
        <w:rPr>
          <w:szCs w:val="22"/>
        </w:rPr>
      </w:pPr>
      <w:r w:rsidRPr="00183B5F">
        <w:rPr>
          <w:szCs w:val="22"/>
        </w:rPr>
        <w:t>szklerózis multiplex</w:t>
      </w:r>
    </w:p>
    <w:p w14:paraId="42D4F063" w14:textId="77777777" w:rsidR="002F7D7A" w:rsidRPr="00183B5F" w:rsidRDefault="00943743" w:rsidP="004062FE">
      <w:pPr>
        <w:numPr>
          <w:ilvl w:val="0"/>
          <w:numId w:val="51"/>
        </w:numPr>
        <w:spacing w:line="240" w:lineRule="auto"/>
        <w:ind w:right="-2"/>
        <w:rPr>
          <w:szCs w:val="22"/>
        </w:rPr>
      </w:pPr>
      <w:r w:rsidRPr="00183B5F">
        <w:rPr>
          <w:szCs w:val="22"/>
        </w:rPr>
        <w:t>ideggyógyászati betegségek (p</w:t>
      </w:r>
      <w:r w:rsidR="00DE11C0" w:rsidRPr="00183B5F">
        <w:rPr>
          <w:szCs w:val="22"/>
        </w:rPr>
        <w:t>é</w:t>
      </w:r>
      <w:r w:rsidRPr="00183B5F">
        <w:rPr>
          <w:szCs w:val="22"/>
        </w:rPr>
        <w:t>l</w:t>
      </w:r>
      <w:r w:rsidR="00DE11C0" w:rsidRPr="00183B5F">
        <w:rPr>
          <w:szCs w:val="22"/>
        </w:rPr>
        <w:t>dául</w:t>
      </w:r>
      <w:r w:rsidRPr="00183B5F">
        <w:rPr>
          <w:szCs w:val="22"/>
        </w:rPr>
        <w:t xml:space="preserve"> a látóideg gyulladása vagy Guillain</w:t>
      </w:r>
      <w:r w:rsidR="00F12F0A" w:rsidRPr="00183B5F">
        <w:rPr>
          <w:szCs w:val="22"/>
        </w:rPr>
        <w:t>–</w:t>
      </w:r>
      <w:r w:rsidRPr="00183B5F">
        <w:rPr>
          <w:szCs w:val="22"/>
        </w:rPr>
        <w:t>Barré-szindróma, ami izomgyengeséget, érzészavart, a karok és a felsőtest zsibbadását okozhatja)</w:t>
      </w:r>
    </w:p>
    <w:p w14:paraId="7E16DEC0" w14:textId="77777777" w:rsidR="002F7D7A" w:rsidRPr="00183B5F" w:rsidRDefault="00943743" w:rsidP="004062FE">
      <w:pPr>
        <w:numPr>
          <w:ilvl w:val="0"/>
          <w:numId w:val="51"/>
        </w:numPr>
        <w:spacing w:line="240" w:lineRule="auto"/>
        <w:ind w:right="-2"/>
        <w:rPr>
          <w:szCs w:val="22"/>
        </w:rPr>
      </w:pPr>
      <w:r w:rsidRPr="00183B5F">
        <w:rPr>
          <w:szCs w:val="22"/>
        </w:rPr>
        <w:t>szívleállás</w:t>
      </w:r>
    </w:p>
    <w:p w14:paraId="4E6C7551" w14:textId="77777777" w:rsidR="002F7D7A" w:rsidRPr="00183B5F" w:rsidRDefault="00943743">
      <w:pPr>
        <w:pStyle w:val="EMEABullet2"/>
        <w:tabs>
          <w:tab w:val="clear" w:pos="720"/>
          <w:tab w:val="num" w:pos="690"/>
        </w:tabs>
        <w:ind w:left="550" w:hanging="550"/>
        <w:rPr>
          <w:szCs w:val="22"/>
          <w:lang w:val="hu-HU"/>
        </w:rPr>
      </w:pPr>
      <w:r w:rsidRPr="00183B5F">
        <w:rPr>
          <w:szCs w:val="22"/>
          <w:lang w:val="hu-HU"/>
        </w:rPr>
        <w:t>tüdőfibrózis (tüdőhegesedés)</w:t>
      </w:r>
    </w:p>
    <w:p w14:paraId="31DD9126" w14:textId="77777777" w:rsidR="002F7D7A" w:rsidRPr="00183B5F" w:rsidRDefault="00943743">
      <w:pPr>
        <w:pStyle w:val="EMEABullet2"/>
        <w:tabs>
          <w:tab w:val="clear" w:pos="720"/>
          <w:tab w:val="num" w:pos="690"/>
        </w:tabs>
        <w:ind w:left="550" w:hanging="550"/>
        <w:rPr>
          <w:szCs w:val="22"/>
          <w:lang w:val="hu-HU"/>
        </w:rPr>
      </w:pPr>
      <w:r w:rsidRPr="00183B5F">
        <w:rPr>
          <w:szCs w:val="22"/>
          <w:lang w:val="hu-HU"/>
        </w:rPr>
        <w:t>bél átlyukadása</w:t>
      </w:r>
    </w:p>
    <w:p w14:paraId="1C1627CA" w14:textId="77777777" w:rsidR="002F7D7A" w:rsidRPr="00183B5F" w:rsidRDefault="00943743">
      <w:pPr>
        <w:pStyle w:val="EMEABullet2"/>
        <w:tabs>
          <w:tab w:val="clear" w:pos="720"/>
          <w:tab w:val="num" w:pos="690"/>
        </w:tabs>
        <w:ind w:left="550" w:hanging="550"/>
        <w:rPr>
          <w:szCs w:val="22"/>
          <w:lang w:val="hu-HU"/>
        </w:rPr>
      </w:pPr>
      <w:r w:rsidRPr="00183B5F">
        <w:rPr>
          <w:szCs w:val="22"/>
          <w:lang w:val="hu-HU"/>
        </w:rPr>
        <w:t>májgyulladás</w:t>
      </w:r>
    </w:p>
    <w:p w14:paraId="190120B7" w14:textId="77777777" w:rsidR="002F7D7A" w:rsidRPr="00183B5F" w:rsidRDefault="00943743">
      <w:pPr>
        <w:pStyle w:val="EMEABullet2"/>
        <w:tabs>
          <w:tab w:val="clear" w:pos="720"/>
          <w:tab w:val="num" w:pos="690"/>
        </w:tabs>
        <w:ind w:left="550" w:hanging="550"/>
        <w:rPr>
          <w:szCs w:val="22"/>
          <w:lang w:val="hu-HU"/>
        </w:rPr>
      </w:pPr>
      <w:r w:rsidRPr="00183B5F">
        <w:rPr>
          <w:szCs w:val="22"/>
          <w:lang w:val="hu-HU"/>
        </w:rPr>
        <w:t>B típusú fertőző májgyulladás kiújulása</w:t>
      </w:r>
    </w:p>
    <w:p w14:paraId="5B50C606" w14:textId="77777777" w:rsidR="002F7D7A" w:rsidRPr="00183B5F" w:rsidRDefault="00943743">
      <w:pPr>
        <w:pStyle w:val="EMEABullet2"/>
        <w:ind w:left="550" w:hanging="550"/>
        <w:rPr>
          <w:szCs w:val="22"/>
          <w:lang w:val="hu-HU"/>
        </w:rPr>
      </w:pPr>
      <w:r w:rsidRPr="00183B5F">
        <w:rPr>
          <w:szCs w:val="22"/>
          <w:lang w:val="hu-HU"/>
        </w:rPr>
        <w:t>autoimmun májgyulladás (a máj gyulladása, melyet a saját immunrendszer vált ki)</w:t>
      </w:r>
    </w:p>
    <w:p w14:paraId="44C9C133" w14:textId="77777777" w:rsidR="002F7D7A" w:rsidRPr="00183B5F" w:rsidRDefault="00943743">
      <w:pPr>
        <w:pStyle w:val="EMEABullet2"/>
        <w:tabs>
          <w:tab w:val="clear" w:pos="720"/>
          <w:tab w:val="num" w:pos="690"/>
        </w:tabs>
        <w:ind w:left="550" w:hanging="550"/>
        <w:rPr>
          <w:szCs w:val="22"/>
          <w:lang w:val="hu-HU"/>
        </w:rPr>
      </w:pPr>
      <w:r w:rsidRPr="00183B5F">
        <w:rPr>
          <w:szCs w:val="22"/>
          <w:lang w:val="hu-HU"/>
        </w:rPr>
        <w:t>kután vaszkulitisz (a bőrben található erek gyulladása)</w:t>
      </w:r>
    </w:p>
    <w:p w14:paraId="0B05A662" w14:textId="77777777" w:rsidR="002F7D7A" w:rsidRPr="00183B5F" w:rsidRDefault="00943743">
      <w:pPr>
        <w:pStyle w:val="EMEABullet2"/>
        <w:tabs>
          <w:tab w:val="clear" w:pos="720"/>
          <w:tab w:val="num" w:pos="690"/>
        </w:tabs>
        <w:ind w:left="550" w:hanging="550"/>
        <w:rPr>
          <w:szCs w:val="22"/>
          <w:lang w:val="hu-HU"/>
        </w:rPr>
      </w:pPr>
      <w:r w:rsidRPr="00183B5F">
        <w:rPr>
          <w:szCs w:val="22"/>
          <w:lang w:val="hu-HU"/>
        </w:rPr>
        <w:t>Stevens</w:t>
      </w:r>
      <w:r w:rsidR="00004B4F" w:rsidRPr="00183B5F">
        <w:rPr>
          <w:szCs w:val="22"/>
          <w:lang w:val="hu-HU"/>
        </w:rPr>
        <w:t>–</w:t>
      </w:r>
      <w:r w:rsidRPr="00183B5F">
        <w:rPr>
          <w:szCs w:val="22"/>
          <w:lang w:val="hu-HU"/>
        </w:rPr>
        <w:t>Johnson-szindróma (korai tünetei a rossz közérzet, láz, fejfájás és bőrkiütés)</w:t>
      </w:r>
    </w:p>
    <w:p w14:paraId="72CCC3CE" w14:textId="77777777" w:rsidR="002F7D7A" w:rsidRPr="00183B5F" w:rsidRDefault="00943743">
      <w:pPr>
        <w:pStyle w:val="EMEABullet2"/>
        <w:tabs>
          <w:tab w:val="clear" w:pos="720"/>
          <w:tab w:val="num" w:pos="690"/>
        </w:tabs>
        <w:ind w:left="550" w:hanging="550"/>
        <w:rPr>
          <w:szCs w:val="22"/>
          <w:lang w:val="hu-HU"/>
        </w:rPr>
      </w:pPr>
      <w:r w:rsidRPr="00183B5F">
        <w:rPr>
          <w:szCs w:val="22"/>
          <w:lang w:val="hu-HU"/>
        </w:rPr>
        <w:t>arcduzzanat, amit allergiás reakció kísér</w:t>
      </w:r>
    </w:p>
    <w:p w14:paraId="3480BD9B" w14:textId="77777777" w:rsidR="002F7D7A" w:rsidRPr="00183B5F" w:rsidRDefault="00943743" w:rsidP="004062FE">
      <w:pPr>
        <w:numPr>
          <w:ilvl w:val="0"/>
          <w:numId w:val="56"/>
        </w:numPr>
        <w:spacing w:line="240" w:lineRule="auto"/>
        <w:ind w:right="-2"/>
        <w:rPr>
          <w:szCs w:val="22"/>
        </w:rPr>
      </w:pPr>
      <w:r w:rsidRPr="00183B5F">
        <w:rPr>
          <w:szCs w:val="22"/>
        </w:rPr>
        <w:t>eritéma multiforme (gyulladásos bőrkiütés)</w:t>
      </w:r>
    </w:p>
    <w:p w14:paraId="49F6C23E" w14:textId="77777777" w:rsidR="002F7D7A" w:rsidRPr="00183B5F" w:rsidRDefault="00943743" w:rsidP="004062FE">
      <w:pPr>
        <w:numPr>
          <w:ilvl w:val="0"/>
          <w:numId w:val="56"/>
        </w:numPr>
        <w:spacing w:line="240" w:lineRule="auto"/>
        <w:ind w:right="-2"/>
        <w:rPr>
          <w:szCs w:val="22"/>
        </w:rPr>
      </w:pPr>
      <w:r w:rsidRPr="00183B5F">
        <w:rPr>
          <w:szCs w:val="22"/>
        </w:rPr>
        <w:t>lupusz-szerű szindróma</w:t>
      </w:r>
    </w:p>
    <w:p w14:paraId="1A86A3AF" w14:textId="77777777" w:rsidR="000D6F55" w:rsidRPr="00183B5F" w:rsidRDefault="00943743" w:rsidP="004062FE">
      <w:pPr>
        <w:numPr>
          <w:ilvl w:val="0"/>
          <w:numId w:val="56"/>
        </w:numPr>
        <w:spacing w:line="240" w:lineRule="auto"/>
        <w:ind w:right="-2"/>
        <w:rPr>
          <w:szCs w:val="22"/>
        </w:rPr>
      </w:pPr>
      <w:r w:rsidRPr="00183B5F">
        <w:rPr>
          <w:szCs w:val="22"/>
        </w:rPr>
        <w:t>angioödéma (helyi bőrduzzanat)</w:t>
      </w:r>
    </w:p>
    <w:p w14:paraId="3A423E47" w14:textId="77777777" w:rsidR="007B1AD3" w:rsidRPr="00183B5F" w:rsidRDefault="00943743">
      <w:pPr>
        <w:numPr>
          <w:ilvl w:val="0"/>
          <w:numId w:val="56"/>
        </w:numPr>
        <w:spacing w:line="240" w:lineRule="auto"/>
        <w:ind w:right="-2"/>
        <w:rPr>
          <w:szCs w:val="22"/>
        </w:rPr>
      </w:pPr>
      <w:r w:rsidRPr="00183B5F">
        <w:rPr>
          <w:szCs w:val="22"/>
        </w:rPr>
        <w:t>lichenoid bőrreakció (viszkető</w:t>
      </w:r>
      <w:r w:rsidR="00584CC4" w:rsidRPr="00183B5F">
        <w:rPr>
          <w:szCs w:val="22"/>
        </w:rPr>
        <w:t>,</w:t>
      </w:r>
      <w:r w:rsidRPr="00183B5F">
        <w:rPr>
          <w:szCs w:val="22"/>
        </w:rPr>
        <w:t xml:space="preserve"> </w:t>
      </w:r>
      <w:r w:rsidR="007865CD" w:rsidRPr="00183B5F">
        <w:rPr>
          <w:szCs w:val="22"/>
        </w:rPr>
        <w:t>vöröses</w:t>
      </w:r>
      <w:r w:rsidRPr="00183B5F">
        <w:rPr>
          <w:szCs w:val="22"/>
        </w:rPr>
        <w:t>-lilás bőrkiütés).</w:t>
      </w:r>
    </w:p>
    <w:p w14:paraId="1A5BEB22" w14:textId="77777777" w:rsidR="002F7D7A" w:rsidRPr="00183B5F" w:rsidRDefault="002F7D7A" w:rsidP="004062FE">
      <w:pPr>
        <w:spacing w:line="240" w:lineRule="auto"/>
        <w:ind w:right="-2"/>
        <w:rPr>
          <w:szCs w:val="22"/>
          <w:lang w:eastAsia="de-DE"/>
        </w:rPr>
      </w:pPr>
    </w:p>
    <w:p w14:paraId="535839D0" w14:textId="77777777" w:rsidR="002F7D7A" w:rsidRPr="00183B5F" w:rsidRDefault="00943743" w:rsidP="002D49EE">
      <w:pPr>
        <w:keepNext/>
        <w:spacing w:line="240" w:lineRule="auto"/>
        <w:ind w:right="-2"/>
        <w:rPr>
          <w:szCs w:val="22"/>
        </w:rPr>
      </w:pPr>
      <w:r w:rsidRPr="00183B5F">
        <w:rPr>
          <w:b/>
          <w:szCs w:val="22"/>
        </w:rPr>
        <w:t>Nem ismert</w:t>
      </w:r>
      <w:r w:rsidRPr="00183B5F">
        <w:rPr>
          <w:szCs w:val="22"/>
        </w:rPr>
        <w:t xml:space="preserve"> (a </w:t>
      </w:r>
      <w:r w:rsidR="00004B4F" w:rsidRPr="00183B5F">
        <w:rPr>
          <w:szCs w:val="22"/>
        </w:rPr>
        <w:t xml:space="preserve">gyakoriság a </w:t>
      </w:r>
      <w:r w:rsidRPr="00183B5F">
        <w:rPr>
          <w:szCs w:val="22"/>
        </w:rPr>
        <w:t>rendelkezésre álló adatokból nem állapítható meg)</w:t>
      </w:r>
    </w:p>
    <w:p w14:paraId="7AAEBED2" w14:textId="77777777" w:rsidR="002F7D7A" w:rsidRPr="00183B5F" w:rsidRDefault="002F7D7A" w:rsidP="002D49EE">
      <w:pPr>
        <w:keepNext/>
        <w:spacing w:line="240" w:lineRule="auto"/>
        <w:ind w:right="-2"/>
        <w:rPr>
          <w:szCs w:val="22"/>
        </w:rPr>
      </w:pPr>
    </w:p>
    <w:p w14:paraId="1CDB6B76" w14:textId="77777777" w:rsidR="002F7D7A" w:rsidRPr="00183B5F" w:rsidRDefault="00943743" w:rsidP="004062FE">
      <w:pPr>
        <w:numPr>
          <w:ilvl w:val="0"/>
          <w:numId w:val="106"/>
        </w:numPr>
        <w:spacing w:line="240" w:lineRule="auto"/>
        <w:ind w:right="-2" w:hanging="720"/>
        <w:rPr>
          <w:szCs w:val="22"/>
        </w:rPr>
      </w:pPr>
      <w:r w:rsidRPr="00183B5F">
        <w:rPr>
          <w:szCs w:val="22"/>
        </w:rPr>
        <w:t>hepatoszplénikus T-sejtes limfóma (ritka vérrák, ami gyakran halálos kimenetelű)</w:t>
      </w:r>
    </w:p>
    <w:p w14:paraId="28B65A5F" w14:textId="77777777" w:rsidR="002F7D7A" w:rsidRPr="00183B5F" w:rsidRDefault="00943743" w:rsidP="004062FE">
      <w:pPr>
        <w:numPr>
          <w:ilvl w:val="0"/>
          <w:numId w:val="106"/>
        </w:numPr>
        <w:spacing w:line="240" w:lineRule="auto"/>
        <w:ind w:right="-2" w:hanging="720"/>
        <w:rPr>
          <w:szCs w:val="22"/>
        </w:rPr>
      </w:pPr>
      <w:r w:rsidRPr="00183B5F">
        <w:rPr>
          <w:szCs w:val="22"/>
        </w:rPr>
        <w:t>Merkel</w:t>
      </w:r>
      <w:r w:rsidRPr="00183B5F">
        <w:rPr>
          <w:szCs w:val="22"/>
        </w:rPr>
        <w:noBreakHyphen/>
        <w:t>sejtes karcinóma (bőrrák egyik típusa)</w:t>
      </w:r>
    </w:p>
    <w:p w14:paraId="76B5B371" w14:textId="77777777" w:rsidR="00874034" w:rsidRPr="00183B5F" w:rsidRDefault="00943743" w:rsidP="004062FE">
      <w:pPr>
        <w:numPr>
          <w:ilvl w:val="0"/>
          <w:numId w:val="106"/>
        </w:numPr>
        <w:spacing w:line="240" w:lineRule="auto"/>
        <w:ind w:right="-2" w:hanging="720"/>
        <w:rPr>
          <w:szCs w:val="22"/>
        </w:rPr>
      </w:pPr>
      <w:r w:rsidRPr="00183B5F">
        <w:rPr>
          <w:szCs w:val="22"/>
        </w:rPr>
        <w:t>Kaposi-szarkóma, a 8-as típusú humán herpeszvírus fertőzéssel járó ritka daganatos megbetegedés. A Kaposi-szarkóma leggyakrabban a bőrön jelenik meg lila elváltozások formájában</w:t>
      </w:r>
    </w:p>
    <w:p w14:paraId="33B1FA73" w14:textId="77777777" w:rsidR="00502B60" w:rsidRPr="00183B5F" w:rsidRDefault="00943743" w:rsidP="004062FE">
      <w:pPr>
        <w:numPr>
          <w:ilvl w:val="0"/>
          <w:numId w:val="106"/>
        </w:numPr>
        <w:spacing w:line="240" w:lineRule="auto"/>
        <w:ind w:right="-2" w:hanging="720"/>
        <w:rPr>
          <w:szCs w:val="22"/>
        </w:rPr>
      </w:pPr>
      <w:r w:rsidRPr="00183B5F">
        <w:rPr>
          <w:szCs w:val="22"/>
        </w:rPr>
        <w:t>m</w:t>
      </w:r>
      <w:r w:rsidR="002F7D7A" w:rsidRPr="00183B5F">
        <w:rPr>
          <w:szCs w:val="22"/>
        </w:rPr>
        <w:t>ájelégtelenség</w:t>
      </w:r>
    </w:p>
    <w:p w14:paraId="4DE1E61E" w14:textId="77777777" w:rsidR="002F7D7A" w:rsidRPr="00183B5F" w:rsidRDefault="00943743" w:rsidP="004062FE">
      <w:pPr>
        <w:numPr>
          <w:ilvl w:val="0"/>
          <w:numId w:val="106"/>
        </w:numPr>
        <w:spacing w:line="240" w:lineRule="auto"/>
        <w:ind w:right="-2" w:hanging="720"/>
        <w:rPr>
          <w:szCs w:val="22"/>
        </w:rPr>
      </w:pPr>
      <w:r w:rsidRPr="00183B5F">
        <w:rPr>
          <w:szCs w:val="22"/>
        </w:rPr>
        <w:t>dermatomiozitisz nevű betegség (izomgyengeséghez társult bőrkiütés formájában jelentkezik) súlyosbodása</w:t>
      </w:r>
    </w:p>
    <w:p w14:paraId="6E45ECA7" w14:textId="77777777" w:rsidR="004025F9" w:rsidRPr="00183B5F" w:rsidRDefault="00943743" w:rsidP="004025F9">
      <w:pPr>
        <w:numPr>
          <w:ilvl w:val="0"/>
          <w:numId w:val="106"/>
        </w:numPr>
        <w:spacing w:line="240" w:lineRule="auto"/>
        <w:ind w:right="-2" w:hanging="720"/>
        <w:rPr>
          <w:szCs w:val="22"/>
        </w:rPr>
      </w:pPr>
      <w:r w:rsidRPr="00183B5F">
        <w:t>testsúlynövekedés (a legtöbb betegnél ez kismértékű volt)</w:t>
      </w:r>
    </w:p>
    <w:p w14:paraId="0B94C81E" w14:textId="77777777" w:rsidR="002F7D7A" w:rsidRPr="00183B5F" w:rsidRDefault="002F7D7A" w:rsidP="004062FE">
      <w:pPr>
        <w:spacing w:line="240" w:lineRule="auto"/>
        <w:ind w:right="-2"/>
        <w:rPr>
          <w:szCs w:val="22"/>
          <w:lang w:eastAsia="de-DE"/>
        </w:rPr>
      </w:pPr>
    </w:p>
    <w:p w14:paraId="65CDEDB4" w14:textId="77777777" w:rsidR="002F7D7A" w:rsidRPr="00183B5F" w:rsidRDefault="00943743" w:rsidP="004062FE">
      <w:pPr>
        <w:suppressAutoHyphens w:val="0"/>
        <w:autoSpaceDE w:val="0"/>
        <w:autoSpaceDN w:val="0"/>
        <w:adjustRightInd w:val="0"/>
        <w:spacing w:line="240" w:lineRule="auto"/>
        <w:rPr>
          <w:szCs w:val="22"/>
          <w:lang w:eastAsia="de-DE"/>
        </w:rPr>
      </w:pPr>
      <w:r w:rsidRPr="00183B5F">
        <w:rPr>
          <w:szCs w:val="22"/>
          <w:lang w:eastAsia="de-DE"/>
        </w:rPr>
        <w:t>A Humira alkalmazása során észlelt némelyik mellékhatás nem okoz tüneteket, és lehet, hogy csak vérvizsgálattal deríthető ki. Ezek közé tartozik:</w:t>
      </w:r>
    </w:p>
    <w:p w14:paraId="2825052F" w14:textId="77777777" w:rsidR="002F7D7A" w:rsidRPr="00183B5F" w:rsidRDefault="002F7D7A" w:rsidP="004062FE">
      <w:pPr>
        <w:suppressAutoHyphens w:val="0"/>
        <w:autoSpaceDE w:val="0"/>
        <w:autoSpaceDN w:val="0"/>
        <w:adjustRightInd w:val="0"/>
        <w:spacing w:line="240" w:lineRule="auto"/>
        <w:rPr>
          <w:szCs w:val="22"/>
          <w:lang w:eastAsia="de-DE"/>
        </w:rPr>
      </w:pPr>
    </w:p>
    <w:p w14:paraId="2F449A0B" w14:textId="77777777" w:rsidR="002F7D7A" w:rsidRPr="00183B5F" w:rsidRDefault="00943743" w:rsidP="004062FE">
      <w:pPr>
        <w:suppressAutoHyphens w:val="0"/>
        <w:spacing w:line="240" w:lineRule="auto"/>
        <w:rPr>
          <w:szCs w:val="22"/>
        </w:rPr>
      </w:pPr>
      <w:r w:rsidRPr="00183B5F">
        <w:rPr>
          <w:b/>
          <w:szCs w:val="22"/>
        </w:rPr>
        <w:t>Nagyon gyakori</w:t>
      </w:r>
      <w:r w:rsidRPr="00183B5F">
        <w:rPr>
          <w:szCs w:val="22"/>
        </w:rPr>
        <w:t xml:space="preserve"> (10 beteg közül több mint 1</w:t>
      </w:r>
      <w:r w:rsidRPr="00183B5F">
        <w:rPr>
          <w:szCs w:val="22"/>
        </w:rPr>
        <w:noBreakHyphen/>
        <w:t>nél alakul ki)</w:t>
      </w:r>
    </w:p>
    <w:p w14:paraId="75D653C9" w14:textId="77777777" w:rsidR="002F7D7A" w:rsidRPr="00183B5F" w:rsidRDefault="002F7D7A" w:rsidP="004062FE">
      <w:pPr>
        <w:suppressAutoHyphens w:val="0"/>
        <w:spacing w:line="240" w:lineRule="auto"/>
        <w:rPr>
          <w:szCs w:val="22"/>
        </w:rPr>
      </w:pPr>
    </w:p>
    <w:p w14:paraId="3A594446" w14:textId="77777777" w:rsidR="002F7D7A"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alacsony fehérvérsejtszám</w:t>
      </w:r>
    </w:p>
    <w:p w14:paraId="0D9D0DD2" w14:textId="77777777" w:rsidR="002F7D7A"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alacsony vörösvértestszám</w:t>
      </w:r>
    </w:p>
    <w:p w14:paraId="5D27E357" w14:textId="77777777" w:rsidR="002F7D7A"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a vérzsírszint emelkedése</w:t>
      </w:r>
    </w:p>
    <w:p w14:paraId="5E496755" w14:textId="77777777" w:rsidR="002F7D7A"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emelkedett májenzimszint</w:t>
      </w:r>
    </w:p>
    <w:p w14:paraId="410E02D8" w14:textId="77777777" w:rsidR="002F7D7A" w:rsidRPr="00183B5F" w:rsidRDefault="002F7D7A" w:rsidP="004062FE">
      <w:pPr>
        <w:suppressAutoHyphens w:val="0"/>
        <w:spacing w:line="240" w:lineRule="auto"/>
        <w:rPr>
          <w:szCs w:val="22"/>
        </w:rPr>
      </w:pPr>
    </w:p>
    <w:p w14:paraId="518FDF93" w14:textId="77777777" w:rsidR="002F7D7A" w:rsidRPr="00183B5F" w:rsidRDefault="00943743" w:rsidP="004062FE">
      <w:pPr>
        <w:suppressAutoHyphens w:val="0"/>
        <w:spacing w:line="240" w:lineRule="auto"/>
        <w:rPr>
          <w:szCs w:val="22"/>
        </w:rPr>
      </w:pPr>
      <w:r w:rsidRPr="00183B5F">
        <w:rPr>
          <w:b/>
          <w:szCs w:val="22"/>
        </w:rPr>
        <w:t xml:space="preserve">Gyakori </w:t>
      </w:r>
      <w:r w:rsidRPr="00183B5F">
        <w:rPr>
          <w:szCs w:val="22"/>
        </w:rPr>
        <w:t>(10 </w:t>
      </w:r>
      <w:r w:rsidR="00E60726" w:rsidRPr="00183B5F">
        <w:rPr>
          <w:szCs w:val="22"/>
        </w:rPr>
        <w:t xml:space="preserve">beteg </w:t>
      </w:r>
      <w:r w:rsidRPr="00183B5F">
        <w:rPr>
          <w:szCs w:val="22"/>
        </w:rPr>
        <w:t>közül legfeljebb 1</w:t>
      </w:r>
      <w:r w:rsidRPr="00183B5F">
        <w:rPr>
          <w:szCs w:val="22"/>
        </w:rPr>
        <w:noBreakHyphen/>
        <w:t>nél alakul ki)</w:t>
      </w:r>
    </w:p>
    <w:p w14:paraId="1780F2B5" w14:textId="77777777" w:rsidR="002F7D7A" w:rsidRPr="00183B5F" w:rsidRDefault="002F7D7A" w:rsidP="004062FE">
      <w:pPr>
        <w:suppressAutoHyphens w:val="0"/>
        <w:spacing w:line="240" w:lineRule="auto"/>
        <w:rPr>
          <w:szCs w:val="22"/>
        </w:rPr>
      </w:pPr>
    </w:p>
    <w:p w14:paraId="48EBB73C" w14:textId="77777777" w:rsidR="002F7D7A"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magas fehérvérsejtszám</w:t>
      </w:r>
    </w:p>
    <w:p w14:paraId="15E15C74" w14:textId="77777777" w:rsidR="002F7D7A"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alacsony vérlemezkeszám</w:t>
      </w:r>
    </w:p>
    <w:p w14:paraId="01A497F3" w14:textId="77777777" w:rsidR="002F7D7A"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emelkedett húgysavszint a vérben</w:t>
      </w:r>
    </w:p>
    <w:p w14:paraId="2265F589" w14:textId="77777777" w:rsidR="002F7D7A"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kóros nátriumszint a vérben</w:t>
      </w:r>
    </w:p>
    <w:p w14:paraId="3C893B59" w14:textId="77777777" w:rsidR="002F7D7A"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alacsony kalciumszint a vérben</w:t>
      </w:r>
    </w:p>
    <w:p w14:paraId="77B69B9C" w14:textId="77777777" w:rsidR="002F7D7A"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alacsony foszfátszint a vérben</w:t>
      </w:r>
    </w:p>
    <w:p w14:paraId="337CA2C3" w14:textId="77777777" w:rsidR="002F7D7A"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magas vércukorszint</w:t>
      </w:r>
    </w:p>
    <w:p w14:paraId="4F7CECAE" w14:textId="77777777" w:rsidR="002F7D7A"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emelkedett laktát-dehidrogenáz-szint a vérben</w:t>
      </w:r>
    </w:p>
    <w:p w14:paraId="0690A0E3" w14:textId="77777777" w:rsidR="002F7D7A" w:rsidRPr="00183B5F" w:rsidRDefault="00943743" w:rsidP="004062FE">
      <w:pPr>
        <w:numPr>
          <w:ilvl w:val="0"/>
          <w:numId w:val="76"/>
        </w:numPr>
        <w:tabs>
          <w:tab w:val="clear" w:pos="720"/>
          <w:tab w:val="num" w:pos="550"/>
        </w:tabs>
        <w:suppressAutoHyphens w:val="0"/>
        <w:spacing w:line="240" w:lineRule="auto"/>
        <w:ind w:left="550" w:hanging="550"/>
        <w:rPr>
          <w:szCs w:val="22"/>
        </w:rPr>
      </w:pPr>
      <w:r w:rsidRPr="00183B5F">
        <w:rPr>
          <w:szCs w:val="22"/>
        </w:rPr>
        <w:t>autoantitestek megjelenése a vérben</w:t>
      </w:r>
    </w:p>
    <w:p w14:paraId="7578D77D" w14:textId="77777777" w:rsidR="000D6F55" w:rsidRPr="00183B5F" w:rsidRDefault="00943743" w:rsidP="004062FE">
      <w:pPr>
        <w:numPr>
          <w:ilvl w:val="0"/>
          <w:numId w:val="76"/>
        </w:numPr>
        <w:tabs>
          <w:tab w:val="clear" w:pos="720"/>
          <w:tab w:val="num" w:pos="550"/>
        </w:tabs>
        <w:suppressAutoHyphens w:val="0"/>
        <w:spacing w:line="240" w:lineRule="auto"/>
        <w:ind w:left="550" w:hanging="550"/>
      </w:pPr>
      <w:r w:rsidRPr="00183B5F">
        <w:t>alacsony káliumszint</w:t>
      </w:r>
      <w:r w:rsidR="001147C9" w:rsidRPr="00183B5F">
        <w:t xml:space="preserve"> a vérben.</w:t>
      </w:r>
    </w:p>
    <w:p w14:paraId="37EFCB00" w14:textId="77777777" w:rsidR="000D6F55" w:rsidRPr="00183B5F" w:rsidRDefault="000D6F55">
      <w:pPr>
        <w:suppressAutoHyphens w:val="0"/>
        <w:spacing w:line="240" w:lineRule="auto"/>
      </w:pPr>
    </w:p>
    <w:p w14:paraId="054B8AC2" w14:textId="77777777" w:rsidR="000D6F55" w:rsidRPr="00183B5F" w:rsidRDefault="00943743">
      <w:pPr>
        <w:suppressAutoHyphens w:val="0"/>
        <w:spacing w:line="240" w:lineRule="auto"/>
        <w:rPr>
          <w:szCs w:val="22"/>
        </w:rPr>
      </w:pPr>
      <w:r w:rsidRPr="00183B5F">
        <w:rPr>
          <w:b/>
        </w:rPr>
        <w:t>Nem gyakori (</w:t>
      </w:r>
      <w:r w:rsidRPr="00183B5F">
        <w:rPr>
          <w:szCs w:val="22"/>
        </w:rPr>
        <w:t>100 beteg közül legfeljebb 1</w:t>
      </w:r>
      <w:r w:rsidRPr="00183B5F">
        <w:rPr>
          <w:szCs w:val="22"/>
        </w:rPr>
        <w:noBreakHyphen/>
        <w:t>nél alakul ki)</w:t>
      </w:r>
    </w:p>
    <w:p w14:paraId="3E16DA17" w14:textId="77777777" w:rsidR="000D6F55" w:rsidRPr="00183B5F" w:rsidRDefault="000D6F55">
      <w:pPr>
        <w:suppressAutoHyphens w:val="0"/>
        <w:spacing w:line="240" w:lineRule="auto"/>
        <w:rPr>
          <w:szCs w:val="22"/>
        </w:rPr>
      </w:pPr>
    </w:p>
    <w:p w14:paraId="0DB9853E" w14:textId="77777777" w:rsidR="000D6F55" w:rsidRPr="00183B5F" w:rsidRDefault="00943743" w:rsidP="004062FE">
      <w:pPr>
        <w:pStyle w:val="ListParagraph"/>
        <w:numPr>
          <w:ilvl w:val="0"/>
          <w:numId w:val="147"/>
        </w:numPr>
        <w:suppressAutoHyphens w:val="0"/>
        <w:spacing w:line="240" w:lineRule="auto"/>
        <w:contextualSpacing/>
      </w:pPr>
      <w:r w:rsidRPr="00183B5F">
        <w:t>emelkedett bilirubin</w:t>
      </w:r>
      <w:r w:rsidRPr="00183B5F">
        <w:noBreakHyphen/>
      </w:r>
      <w:r w:rsidRPr="00183B5F">
        <w:t>szint (májfunkciós-vizsgálati eredmény)</w:t>
      </w:r>
    </w:p>
    <w:p w14:paraId="213949AE" w14:textId="77777777" w:rsidR="002F7D7A" w:rsidRPr="00183B5F" w:rsidRDefault="002F7D7A">
      <w:pPr>
        <w:suppressAutoHyphens w:val="0"/>
        <w:spacing w:line="240" w:lineRule="auto"/>
        <w:rPr>
          <w:szCs w:val="22"/>
        </w:rPr>
      </w:pPr>
    </w:p>
    <w:p w14:paraId="2DCC6DDB" w14:textId="77777777" w:rsidR="002F7D7A" w:rsidRPr="00183B5F" w:rsidRDefault="00943743" w:rsidP="004062FE">
      <w:pPr>
        <w:keepNext/>
        <w:suppressAutoHyphens w:val="0"/>
        <w:spacing w:line="240" w:lineRule="auto"/>
        <w:rPr>
          <w:szCs w:val="22"/>
        </w:rPr>
      </w:pPr>
      <w:r w:rsidRPr="00183B5F">
        <w:rPr>
          <w:b/>
          <w:szCs w:val="22"/>
        </w:rPr>
        <w:t xml:space="preserve">Ritka </w:t>
      </w:r>
      <w:r w:rsidRPr="00183B5F">
        <w:rPr>
          <w:szCs w:val="22"/>
        </w:rPr>
        <w:t>(1000 beteg közül legfeljebb 1</w:t>
      </w:r>
      <w:r w:rsidRPr="00183B5F">
        <w:rPr>
          <w:szCs w:val="22"/>
        </w:rPr>
        <w:noBreakHyphen/>
        <w:t>nél alakul ki)</w:t>
      </w:r>
    </w:p>
    <w:p w14:paraId="169F35A4" w14:textId="77777777" w:rsidR="002F7D7A" w:rsidRPr="00183B5F" w:rsidRDefault="002F7D7A" w:rsidP="004062FE">
      <w:pPr>
        <w:keepNext/>
        <w:suppressAutoHyphens w:val="0"/>
        <w:spacing w:line="240" w:lineRule="auto"/>
        <w:rPr>
          <w:szCs w:val="22"/>
        </w:rPr>
      </w:pPr>
    </w:p>
    <w:p w14:paraId="74D98833" w14:textId="77777777" w:rsidR="002F7D7A" w:rsidRPr="00183B5F" w:rsidRDefault="00943743" w:rsidP="004062FE">
      <w:pPr>
        <w:keepNext/>
        <w:numPr>
          <w:ilvl w:val="0"/>
          <w:numId w:val="76"/>
        </w:numPr>
        <w:tabs>
          <w:tab w:val="clear" w:pos="720"/>
          <w:tab w:val="num" w:pos="550"/>
        </w:tabs>
        <w:suppressAutoHyphens w:val="0"/>
        <w:spacing w:line="240" w:lineRule="auto"/>
        <w:ind w:left="550" w:hanging="550"/>
        <w:rPr>
          <w:szCs w:val="22"/>
        </w:rPr>
      </w:pPr>
      <w:r w:rsidRPr="00183B5F">
        <w:rPr>
          <w:szCs w:val="22"/>
        </w:rPr>
        <w:t>alacsony fehérvérsejtszám, vörösvértestszám és vérlemezkeszám</w:t>
      </w:r>
    </w:p>
    <w:p w14:paraId="584B127F" w14:textId="77777777" w:rsidR="002F7D7A" w:rsidRPr="00183B5F" w:rsidRDefault="002F7D7A">
      <w:pPr>
        <w:suppressAutoHyphens w:val="0"/>
        <w:spacing w:line="240" w:lineRule="auto"/>
        <w:rPr>
          <w:szCs w:val="22"/>
        </w:rPr>
      </w:pPr>
    </w:p>
    <w:p w14:paraId="531189A6" w14:textId="77777777" w:rsidR="002F7D7A" w:rsidRPr="00183B5F" w:rsidRDefault="00943743">
      <w:pPr>
        <w:keepNext/>
        <w:spacing w:line="240" w:lineRule="auto"/>
        <w:ind w:right="-29"/>
        <w:rPr>
          <w:b/>
          <w:bCs/>
        </w:rPr>
      </w:pPr>
      <w:r w:rsidRPr="00183B5F">
        <w:rPr>
          <w:b/>
          <w:bCs/>
        </w:rPr>
        <w:t>Mellékhatások bejelentése</w:t>
      </w:r>
    </w:p>
    <w:p w14:paraId="62DA7447" w14:textId="77777777" w:rsidR="002F7D7A" w:rsidRPr="00183B5F" w:rsidRDefault="00943743">
      <w:pPr>
        <w:spacing w:line="240" w:lineRule="auto"/>
        <w:ind w:right="-2"/>
      </w:pPr>
      <w:r w:rsidRPr="00183B5F">
        <w:rPr>
          <w:szCs w:val="24"/>
        </w:rPr>
        <w:t xml:space="preserve">Ha </w:t>
      </w:r>
      <w:r w:rsidRPr="00183B5F">
        <w:rPr>
          <w:noProof/>
          <w:szCs w:val="24"/>
        </w:rPr>
        <w:t>Önnél bármilyen</w:t>
      </w:r>
      <w:r w:rsidRPr="00183B5F">
        <w:rPr>
          <w:szCs w:val="24"/>
        </w:rPr>
        <w:t xml:space="preserve"> mellékhatás </w:t>
      </w:r>
      <w:r w:rsidRPr="00183B5F">
        <w:rPr>
          <w:noProof/>
          <w:szCs w:val="24"/>
        </w:rPr>
        <w:t xml:space="preserve">jelentkezik, tájékoztassa kezelőorvosát </w:t>
      </w:r>
      <w:r w:rsidRPr="00183B5F">
        <w:rPr>
          <w:szCs w:val="24"/>
        </w:rPr>
        <w:t xml:space="preserve">vagy </w:t>
      </w:r>
      <w:r w:rsidRPr="00183B5F">
        <w:rPr>
          <w:noProof/>
          <w:szCs w:val="24"/>
        </w:rPr>
        <w:t>gyógyszerészét. Ez</w:t>
      </w:r>
      <w:r w:rsidRPr="00183B5F">
        <w:rPr>
          <w:szCs w:val="24"/>
        </w:rPr>
        <w:t xml:space="preserve"> a betegtájékoztatóban </w:t>
      </w:r>
      <w:r w:rsidRPr="00183B5F">
        <w:rPr>
          <w:noProof/>
          <w:szCs w:val="24"/>
        </w:rPr>
        <w:t>fel nem sorolt bármilyen lehetséges mellékhatásra is vonatkozik.</w:t>
      </w:r>
      <w:r w:rsidRPr="00183B5F">
        <w:t xml:space="preserve">A mellékhatásokat közvetlenül a hatóság részére is bejelentheti az </w:t>
      </w:r>
      <w:hyperlink r:id="rId76" w:history="1">
        <w:r w:rsidR="002F7D7A" w:rsidRPr="00183B5F">
          <w:rPr>
            <w:rStyle w:val="Hyperlink"/>
            <w:highlight w:val="lightGray"/>
          </w:rPr>
          <w:t>V. függelékben</w:t>
        </w:r>
      </w:hyperlink>
      <w:r w:rsidRPr="00183B5F">
        <w:rPr>
          <w:highlight w:val="lightGray"/>
        </w:rPr>
        <w:t xml:space="preserve"> található elérhetőségeken keresztül</w:t>
      </w:r>
      <w:r w:rsidRPr="00183B5F">
        <w:t>. A mellékhatások bejelentésével Ön is hozzájárulhat ahhoz, hogy minél több információ álljon rendelkezésre a gyógyszer biztonságos alkalmazásával kapcsolatban.</w:t>
      </w:r>
    </w:p>
    <w:p w14:paraId="71ABB2DD" w14:textId="77777777" w:rsidR="002F7D7A" w:rsidRPr="00183B5F" w:rsidRDefault="002F7D7A" w:rsidP="004062FE">
      <w:pPr>
        <w:spacing w:line="240" w:lineRule="auto"/>
        <w:ind w:right="-2"/>
        <w:rPr>
          <w:szCs w:val="22"/>
        </w:rPr>
      </w:pPr>
    </w:p>
    <w:p w14:paraId="62F9B7C7" w14:textId="77777777" w:rsidR="002F7D7A" w:rsidRPr="00183B5F" w:rsidRDefault="002F7D7A" w:rsidP="004062FE">
      <w:pPr>
        <w:spacing w:line="240" w:lineRule="auto"/>
        <w:ind w:right="-2"/>
        <w:rPr>
          <w:szCs w:val="22"/>
        </w:rPr>
      </w:pPr>
    </w:p>
    <w:p w14:paraId="210C31ED" w14:textId="77777777" w:rsidR="002F7D7A" w:rsidRPr="00183B5F" w:rsidRDefault="00943743" w:rsidP="004062FE">
      <w:pPr>
        <w:keepNext/>
        <w:spacing w:line="240" w:lineRule="auto"/>
        <w:ind w:right="-2"/>
        <w:rPr>
          <w:b/>
          <w:szCs w:val="22"/>
        </w:rPr>
      </w:pPr>
      <w:r w:rsidRPr="00183B5F">
        <w:rPr>
          <w:b/>
          <w:bCs/>
          <w:szCs w:val="22"/>
        </w:rPr>
        <w:t>5.</w:t>
      </w:r>
      <w:r w:rsidRPr="00183B5F">
        <w:rPr>
          <w:b/>
          <w:bCs/>
          <w:szCs w:val="22"/>
        </w:rPr>
        <w:tab/>
      </w:r>
      <w:r w:rsidRPr="00183B5F">
        <w:rPr>
          <w:b/>
          <w:szCs w:val="22"/>
        </w:rPr>
        <w:t>Hogyan kell a Humira</w:t>
      </w:r>
      <w:r w:rsidRPr="00183B5F">
        <w:rPr>
          <w:b/>
          <w:szCs w:val="22"/>
        </w:rPr>
        <w:noBreakHyphen/>
        <w:t>t tárolni?</w:t>
      </w:r>
    </w:p>
    <w:p w14:paraId="6BE40266" w14:textId="77777777" w:rsidR="002F7D7A" w:rsidRPr="00183B5F" w:rsidRDefault="002F7D7A" w:rsidP="004062FE">
      <w:pPr>
        <w:keepNext/>
        <w:spacing w:line="240" w:lineRule="auto"/>
        <w:ind w:right="-2"/>
        <w:rPr>
          <w:b/>
          <w:szCs w:val="22"/>
        </w:rPr>
      </w:pPr>
    </w:p>
    <w:p w14:paraId="253CF0D4" w14:textId="77777777" w:rsidR="002F7D7A" w:rsidRPr="00183B5F" w:rsidRDefault="00943743" w:rsidP="004062FE">
      <w:pPr>
        <w:keepNext/>
        <w:spacing w:line="240" w:lineRule="auto"/>
        <w:ind w:right="-2"/>
        <w:rPr>
          <w:szCs w:val="22"/>
        </w:rPr>
      </w:pPr>
      <w:r w:rsidRPr="00183B5F">
        <w:rPr>
          <w:szCs w:val="22"/>
        </w:rPr>
        <w:t>A gyógyszer gyermekektől elzárva tartandó.</w:t>
      </w:r>
    </w:p>
    <w:p w14:paraId="2DEFAC8A" w14:textId="77777777" w:rsidR="002F7D7A" w:rsidRPr="00183B5F" w:rsidRDefault="002F7D7A" w:rsidP="004062FE">
      <w:pPr>
        <w:keepNext/>
        <w:spacing w:line="240" w:lineRule="auto"/>
        <w:rPr>
          <w:szCs w:val="22"/>
        </w:rPr>
      </w:pPr>
    </w:p>
    <w:p w14:paraId="5EBAF476" w14:textId="77777777" w:rsidR="002F7D7A" w:rsidRPr="00183B5F" w:rsidRDefault="00943743" w:rsidP="004062FE">
      <w:pPr>
        <w:keepNext/>
        <w:spacing w:line="240" w:lineRule="auto"/>
        <w:rPr>
          <w:szCs w:val="22"/>
        </w:rPr>
      </w:pPr>
      <w:r w:rsidRPr="00183B5F">
        <w:rPr>
          <w:szCs w:val="22"/>
        </w:rPr>
        <w:t xml:space="preserve">A címkén/buborékcsomagoláson/dobozon feltüntetett lejárati idő (EXP) után ne alkalmazza ezt </w:t>
      </w:r>
      <w:r w:rsidRPr="00183B5F">
        <w:rPr>
          <w:noProof/>
          <w:szCs w:val="24"/>
        </w:rPr>
        <w:t>a gyógyszert</w:t>
      </w:r>
      <w:r w:rsidRPr="00183B5F">
        <w:rPr>
          <w:szCs w:val="22"/>
        </w:rPr>
        <w:t>.</w:t>
      </w:r>
    </w:p>
    <w:p w14:paraId="454133E6" w14:textId="77777777" w:rsidR="002F7D7A" w:rsidRPr="00183B5F" w:rsidRDefault="002F7D7A" w:rsidP="004062FE">
      <w:pPr>
        <w:spacing w:line="240" w:lineRule="auto"/>
        <w:rPr>
          <w:szCs w:val="22"/>
        </w:rPr>
      </w:pPr>
    </w:p>
    <w:p w14:paraId="7170E102" w14:textId="77777777" w:rsidR="002F7D7A" w:rsidRPr="00183B5F" w:rsidRDefault="00943743" w:rsidP="004062FE">
      <w:pPr>
        <w:spacing w:line="240" w:lineRule="auto"/>
        <w:rPr>
          <w:szCs w:val="22"/>
        </w:rPr>
      </w:pPr>
      <w:r w:rsidRPr="00183B5F">
        <w:rPr>
          <w:szCs w:val="22"/>
        </w:rPr>
        <w:t>Hűtőszekrényben (2°C</w:t>
      </w:r>
      <w:r w:rsidRPr="00183B5F">
        <w:rPr>
          <w:szCs w:val="22"/>
        </w:rPr>
        <w:noBreakHyphen/>
        <w:t>8</w:t>
      </w:r>
      <w:r w:rsidRPr="00183B5F">
        <w:rPr>
          <w:rFonts w:ascii="Symbol" w:hAnsi="Symbol"/>
          <w:szCs w:val="22"/>
        </w:rPr>
        <w:sym w:font="Symbol" w:char="F0B0"/>
      </w:r>
      <w:r w:rsidRPr="00183B5F">
        <w:rPr>
          <w:szCs w:val="22"/>
        </w:rPr>
        <w:t>C) tárolandó. Nem fagyasztható!</w:t>
      </w:r>
    </w:p>
    <w:p w14:paraId="1274FD7E" w14:textId="77777777" w:rsidR="002F7D7A" w:rsidRPr="00183B5F" w:rsidRDefault="002F7D7A" w:rsidP="004062FE">
      <w:pPr>
        <w:spacing w:line="240" w:lineRule="auto"/>
        <w:rPr>
          <w:szCs w:val="22"/>
        </w:rPr>
      </w:pPr>
    </w:p>
    <w:p w14:paraId="2D2D96AD" w14:textId="77777777" w:rsidR="002F7D7A" w:rsidRPr="00183B5F" w:rsidRDefault="00943743" w:rsidP="004062FE">
      <w:pPr>
        <w:spacing w:line="240" w:lineRule="auto"/>
        <w:rPr>
          <w:szCs w:val="22"/>
        </w:rPr>
      </w:pPr>
      <w:r w:rsidRPr="00183B5F">
        <w:rPr>
          <w:szCs w:val="22"/>
        </w:rPr>
        <w:t>A fénytől való védelem érdekében az előretöltött injekciós toll az eredeti dobozban tárolandó.</w:t>
      </w:r>
    </w:p>
    <w:p w14:paraId="48FA44C3" w14:textId="77777777" w:rsidR="002F7D7A" w:rsidRPr="00183B5F" w:rsidRDefault="002F7D7A" w:rsidP="004062FE">
      <w:pPr>
        <w:spacing w:line="240" w:lineRule="auto"/>
        <w:rPr>
          <w:szCs w:val="22"/>
        </w:rPr>
      </w:pPr>
    </w:p>
    <w:p w14:paraId="442CC57B" w14:textId="77777777" w:rsidR="002F7D7A" w:rsidRPr="00183B5F" w:rsidRDefault="00943743" w:rsidP="004062FE">
      <w:pPr>
        <w:spacing w:line="240" w:lineRule="auto"/>
        <w:rPr>
          <w:szCs w:val="22"/>
        </w:rPr>
      </w:pPr>
      <w:r w:rsidRPr="00183B5F">
        <w:rPr>
          <w:szCs w:val="22"/>
        </w:rPr>
        <w:t>További tárolási lehetőség:</w:t>
      </w:r>
    </w:p>
    <w:p w14:paraId="04A0D4F5" w14:textId="77777777" w:rsidR="002F7D7A" w:rsidRPr="00183B5F" w:rsidRDefault="002F7D7A" w:rsidP="004062FE">
      <w:pPr>
        <w:spacing w:line="240" w:lineRule="auto"/>
        <w:rPr>
          <w:szCs w:val="22"/>
        </w:rPr>
      </w:pPr>
    </w:p>
    <w:p w14:paraId="2916633E" w14:textId="77777777" w:rsidR="002F7D7A" w:rsidRPr="00183B5F" w:rsidRDefault="00943743" w:rsidP="004062FE">
      <w:pPr>
        <w:spacing w:line="240" w:lineRule="auto"/>
        <w:rPr>
          <w:szCs w:val="22"/>
        </w:rPr>
      </w:pPr>
      <w:r w:rsidRPr="00183B5F">
        <w:rPr>
          <w:szCs w:val="22"/>
        </w:rPr>
        <w:t>Amennyiben szükséges (p</w:t>
      </w:r>
      <w:r w:rsidR="00DE11C0" w:rsidRPr="00183B5F">
        <w:rPr>
          <w:szCs w:val="22"/>
        </w:rPr>
        <w:t>é</w:t>
      </w:r>
      <w:r w:rsidRPr="00183B5F">
        <w:rPr>
          <w:szCs w:val="22"/>
        </w:rPr>
        <w:t>l</w:t>
      </w:r>
      <w:r w:rsidR="00DE11C0" w:rsidRPr="00183B5F">
        <w:rPr>
          <w:szCs w:val="22"/>
        </w:rPr>
        <w:t>dául</w:t>
      </w:r>
      <w:r w:rsidRPr="00183B5F">
        <w:rPr>
          <w:szCs w:val="22"/>
        </w:rPr>
        <w:t xml:space="preserve"> utazás alatt), úgy önmagában a Humira előretöltött injekciós toll legfeljebb 25</w:t>
      </w:r>
      <w:r w:rsidRPr="00183B5F">
        <w:rPr>
          <w:rFonts w:ascii="Symbol" w:hAnsi="Symbol"/>
          <w:szCs w:val="22"/>
        </w:rPr>
        <w:sym w:font="Symbol" w:char="F0B0"/>
      </w:r>
      <w:r w:rsidRPr="00183B5F">
        <w:rPr>
          <w:szCs w:val="22"/>
        </w:rPr>
        <w:t>C</w:t>
      </w:r>
      <w:r w:rsidRPr="00183B5F">
        <w:rPr>
          <w:szCs w:val="22"/>
        </w:rPr>
        <w:noBreakHyphen/>
        <w:t xml:space="preserve">on, maximum 14 napig tárolható. A fénytől való védelmet biztosítani kell. Ha a hűtőgépből kivette, hogy szobahőmérsékleten tartsa, úgy az injekciós tollat </w:t>
      </w:r>
      <w:r w:rsidRPr="00183B5F">
        <w:rPr>
          <w:b/>
          <w:szCs w:val="22"/>
        </w:rPr>
        <w:t>14 napon belül fel kell használni, vagy meg kell semmisíteni</w:t>
      </w:r>
      <w:r w:rsidRPr="00183B5F">
        <w:rPr>
          <w:szCs w:val="22"/>
        </w:rPr>
        <w:t>, még akkor is, ha visszatette a hűtőszekrénybe.</w:t>
      </w:r>
    </w:p>
    <w:p w14:paraId="5AEA09C1" w14:textId="77777777" w:rsidR="002F7D7A" w:rsidRPr="00183B5F" w:rsidRDefault="002F7D7A" w:rsidP="004062FE">
      <w:pPr>
        <w:spacing w:line="240" w:lineRule="auto"/>
        <w:rPr>
          <w:szCs w:val="22"/>
        </w:rPr>
      </w:pPr>
    </w:p>
    <w:p w14:paraId="5F850ED9" w14:textId="77777777" w:rsidR="002F7D7A" w:rsidRPr="00183B5F" w:rsidRDefault="00943743" w:rsidP="004062FE">
      <w:pPr>
        <w:spacing w:line="240" w:lineRule="auto"/>
        <w:rPr>
          <w:szCs w:val="22"/>
        </w:rPr>
      </w:pPr>
      <w:r w:rsidRPr="00183B5F">
        <w:rPr>
          <w:szCs w:val="22"/>
        </w:rPr>
        <w:t>Jegyezze fel, hogy mikor vette ki először az injekciós tollat a hűtőszekrényből, és azt a dátumot is, ami után azt meg kell semmisíteni.</w:t>
      </w:r>
    </w:p>
    <w:p w14:paraId="0E977D97" w14:textId="77777777" w:rsidR="002F7D7A" w:rsidRPr="00183B5F" w:rsidRDefault="002F7D7A" w:rsidP="004062FE">
      <w:pPr>
        <w:spacing w:line="240" w:lineRule="auto"/>
        <w:rPr>
          <w:szCs w:val="22"/>
        </w:rPr>
      </w:pPr>
    </w:p>
    <w:p w14:paraId="64B9CCC4" w14:textId="77777777" w:rsidR="002F7D7A" w:rsidRPr="00183B5F" w:rsidRDefault="00943743" w:rsidP="004062FE">
      <w:pPr>
        <w:spacing w:line="240" w:lineRule="auto"/>
        <w:ind w:right="-2"/>
        <w:rPr>
          <w:szCs w:val="22"/>
        </w:rPr>
      </w:pPr>
      <w:r w:rsidRPr="00183B5F">
        <w:rPr>
          <w:noProof/>
          <w:szCs w:val="24"/>
        </w:rPr>
        <w:t xml:space="preserve">Semmilyen gyógyszert ne dobjon a szennyvízbe </w:t>
      </w:r>
      <w:r w:rsidRPr="00183B5F">
        <w:rPr>
          <w:szCs w:val="24"/>
        </w:rPr>
        <w:t xml:space="preserve">vagy a háztartási </w:t>
      </w:r>
      <w:r w:rsidRPr="00183B5F">
        <w:rPr>
          <w:noProof/>
          <w:szCs w:val="24"/>
        </w:rPr>
        <w:t>hulladékba.</w:t>
      </w:r>
      <w:r w:rsidRPr="00183B5F">
        <w:rPr>
          <w:szCs w:val="24"/>
        </w:rPr>
        <w:t xml:space="preserve"> Kérdezze meg gyógyszerészét, hogy mit tegyen </w:t>
      </w:r>
      <w:r w:rsidRPr="00183B5F">
        <w:rPr>
          <w:noProof/>
          <w:szCs w:val="24"/>
        </w:rPr>
        <w:t>a már nem használt</w:t>
      </w:r>
      <w:r w:rsidRPr="00183B5F">
        <w:rPr>
          <w:szCs w:val="24"/>
        </w:rPr>
        <w:t xml:space="preserve"> gyógyszereivel. </w:t>
      </w:r>
      <w:r w:rsidRPr="00183B5F">
        <w:rPr>
          <w:noProof/>
          <w:szCs w:val="24"/>
        </w:rPr>
        <w:t>Ezek az intézkedések elősegítik a környezet védelmét.</w:t>
      </w:r>
    </w:p>
    <w:p w14:paraId="46F15CE9" w14:textId="77777777" w:rsidR="002F7D7A" w:rsidRPr="00183B5F" w:rsidRDefault="002F7D7A" w:rsidP="004062FE">
      <w:pPr>
        <w:spacing w:line="240" w:lineRule="auto"/>
        <w:ind w:right="-2"/>
        <w:rPr>
          <w:szCs w:val="22"/>
        </w:rPr>
      </w:pPr>
    </w:p>
    <w:p w14:paraId="34862B17" w14:textId="77777777" w:rsidR="002F7D7A" w:rsidRPr="00183B5F" w:rsidRDefault="002F7D7A" w:rsidP="004062FE">
      <w:pPr>
        <w:spacing w:line="240" w:lineRule="auto"/>
        <w:ind w:right="-2"/>
        <w:rPr>
          <w:szCs w:val="22"/>
        </w:rPr>
      </w:pPr>
    </w:p>
    <w:p w14:paraId="1A2FE008" w14:textId="77777777" w:rsidR="002F7D7A" w:rsidRPr="00183B5F" w:rsidRDefault="00943743" w:rsidP="004062FE">
      <w:pPr>
        <w:keepNext/>
        <w:spacing w:line="240" w:lineRule="auto"/>
        <w:ind w:right="-2"/>
        <w:rPr>
          <w:b/>
          <w:noProof/>
          <w:szCs w:val="24"/>
        </w:rPr>
      </w:pPr>
      <w:r w:rsidRPr="00183B5F">
        <w:rPr>
          <w:b/>
          <w:szCs w:val="22"/>
        </w:rPr>
        <w:t>6.</w:t>
      </w:r>
      <w:r w:rsidRPr="00183B5F">
        <w:rPr>
          <w:b/>
          <w:szCs w:val="22"/>
        </w:rPr>
        <w:tab/>
      </w:r>
      <w:r w:rsidRPr="00183B5F">
        <w:rPr>
          <w:b/>
          <w:noProof/>
          <w:szCs w:val="24"/>
        </w:rPr>
        <w:t>A csomagolás tartalma és egyéb információk</w:t>
      </w:r>
    </w:p>
    <w:p w14:paraId="39B2621B" w14:textId="77777777" w:rsidR="002F7D7A" w:rsidRPr="00183B5F" w:rsidRDefault="002F7D7A" w:rsidP="004062FE">
      <w:pPr>
        <w:keepNext/>
        <w:spacing w:line="240" w:lineRule="auto"/>
        <w:rPr>
          <w:szCs w:val="22"/>
        </w:rPr>
      </w:pPr>
    </w:p>
    <w:p w14:paraId="0B6A7F6D" w14:textId="77777777" w:rsidR="002F7D7A" w:rsidRPr="00183B5F" w:rsidRDefault="00943743" w:rsidP="004062FE">
      <w:pPr>
        <w:keepNext/>
        <w:spacing w:line="240" w:lineRule="auto"/>
        <w:rPr>
          <w:b/>
          <w:bCs/>
          <w:szCs w:val="22"/>
        </w:rPr>
      </w:pPr>
      <w:r w:rsidRPr="00183B5F">
        <w:rPr>
          <w:b/>
          <w:bCs/>
          <w:szCs w:val="22"/>
        </w:rPr>
        <w:t>Mit tartalmaz a Humira?</w:t>
      </w:r>
    </w:p>
    <w:p w14:paraId="0FA7355E" w14:textId="77777777" w:rsidR="002F7D7A" w:rsidRPr="00183B5F" w:rsidRDefault="002F7D7A" w:rsidP="004062FE">
      <w:pPr>
        <w:keepNext/>
        <w:spacing w:line="240" w:lineRule="auto"/>
        <w:rPr>
          <w:szCs w:val="22"/>
        </w:rPr>
      </w:pPr>
    </w:p>
    <w:p w14:paraId="1CB7168A" w14:textId="77777777" w:rsidR="002F7D7A" w:rsidRPr="00183B5F" w:rsidRDefault="00943743" w:rsidP="004062FE">
      <w:pPr>
        <w:numPr>
          <w:ilvl w:val="0"/>
          <w:numId w:val="76"/>
        </w:numPr>
        <w:tabs>
          <w:tab w:val="clear" w:pos="720"/>
        </w:tabs>
        <w:spacing w:line="240" w:lineRule="auto"/>
        <w:ind w:left="567" w:hanging="567"/>
        <w:rPr>
          <w:szCs w:val="22"/>
        </w:rPr>
      </w:pPr>
      <w:r w:rsidRPr="00183B5F">
        <w:rPr>
          <w:szCs w:val="22"/>
        </w:rPr>
        <w:t>A készítmény hatóanyaga: adalimumab.</w:t>
      </w:r>
    </w:p>
    <w:p w14:paraId="36E8793C" w14:textId="77777777" w:rsidR="002F7D7A" w:rsidRPr="00183B5F" w:rsidRDefault="00943743" w:rsidP="004062FE">
      <w:pPr>
        <w:numPr>
          <w:ilvl w:val="0"/>
          <w:numId w:val="76"/>
        </w:numPr>
        <w:tabs>
          <w:tab w:val="clear" w:pos="720"/>
        </w:tabs>
        <w:spacing w:line="240" w:lineRule="auto"/>
        <w:ind w:left="567" w:hanging="567"/>
        <w:rPr>
          <w:szCs w:val="22"/>
        </w:rPr>
      </w:pPr>
      <w:r w:rsidRPr="00183B5F">
        <w:rPr>
          <w:szCs w:val="22"/>
        </w:rPr>
        <w:t>Egyéb összetevők: mannit, poliszorbát 80 és injekcióhoz való víz.</w:t>
      </w:r>
    </w:p>
    <w:p w14:paraId="0F7FC91E" w14:textId="77777777" w:rsidR="002F7D7A" w:rsidRPr="00183B5F" w:rsidRDefault="002F7D7A" w:rsidP="004062FE">
      <w:pPr>
        <w:spacing w:line="240" w:lineRule="auto"/>
        <w:ind w:right="-2"/>
        <w:rPr>
          <w:bCs/>
          <w:szCs w:val="22"/>
        </w:rPr>
      </w:pPr>
    </w:p>
    <w:p w14:paraId="345340F7" w14:textId="77777777" w:rsidR="002F7D7A" w:rsidRPr="00183B5F" w:rsidRDefault="00943743" w:rsidP="004062FE">
      <w:pPr>
        <w:keepNext/>
        <w:spacing w:line="240" w:lineRule="auto"/>
        <w:ind w:right="-2"/>
        <w:rPr>
          <w:b/>
          <w:bCs/>
          <w:szCs w:val="22"/>
        </w:rPr>
      </w:pPr>
      <w:r w:rsidRPr="00183B5F">
        <w:rPr>
          <w:b/>
          <w:bCs/>
          <w:szCs w:val="22"/>
        </w:rPr>
        <w:t>Milyen a Humira külleme és mit tartalmaz a csomagolás?</w:t>
      </w:r>
    </w:p>
    <w:p w14:paraId="78F01EFD" w14:textId="77777777" w:rsidR="002F7D7A" w:rsidRPr="00183B5F" w:rsidRDefault="002F7D7A" w:rsidP="004062FE">
      <w:pPr>
        <w:keepNext/>
        <w:spacing w:line="240" w:lineRule="auto"/>
        <w:ind w:right="-2"/>
        <w:rPr>
          <w:szCs w:val="22"/>
        </w:rPr>
      </w:pPr>
    </w:p>
    <w:p w14:paraId="2EE1D941" w14:textId="77777777" w:rsidR="002F7D7A" w:rsidRPr="00183B5F" w:rsidRDefault="00943743" w:rsidP="004062FE">
      <w:pPr>
        <w:keepNext/>
        <w:spacing w:line="240" w:lineRule="auto"/>
        <w:rPr>
          <w:szCs w:val="22"/>
        </w:rPr>
      </w:pPr>
      <w:r w:rsidRPr="00183B5F">
        <w:rPr>
          <w:szCs w:val="22"/>
        </w:rPr>
        <w:t xml:space="preserve">A Humira </w:t>
      </w:r>
      <w:r w:rsidR="00502B60" w:rsidRPr="00183B5F">
        <w:rPr>
          <w:szCs w:val="22"/>
        </w:rPr>
        <w:t>8</w:t>
      </w:r>
      <w:r w:rsidRPr="00183B5F">
        <w:rPr>
          <w:szCs w:val="22"/>
        </w:rPr>
        <w:t xml:space="preserve">0 mg oldatos injekció </w:t>
      </w:r>
      <w:r w:rsidR="00502B60" w:rsidRPr="00183B5F">
        <w:rPr>
          <w:szCs w:val="22"/>
        </w:rPr>
        <w:t>előretöltött injekciós tollban 80 mg adalimumabot tartalmazó 0,8</w:t>
      </w:r>
      <w:r w:rsidRPr="00183B5F">
        <w:rPr>
          <w:szCs w:val="22"/>
        </w:rPr>
        <w:t> ml steril oldat formájában kerül forgalomba.</w:t>
      </w:r>
    </w:p>
    <w:p w14:paraId="29586A82" w14:textId="77777777" w:rsidR="002F7D7A" w:rsidRPr="00183B5F" w:rsidRDefault="002F7D7A" w:rsidP="004062FE">
      <w:pPr>
        <w:spacing w:line="240" w:lineRule="auto"/>
        <w:ind w:right="-2"/>
        <w:rPr>
          <w:szCs w:val="22"/>
        </w:rPr>
      </w:pPr>
    </w:p>
    <w:p w14:paraId="3FFAB32D" w14:textId="77777777" w:rsidR="002F7D7A" w:rsidRPr="00183B5F" w:rsidRDefault="00943743" w:rsidP="004062FE">
      <w:pPr>
        <w:spacing w:line="240" w:lineRule="auto"/>
        <w:ind w:right="-2"/>
        <w:rPr>
          <w:szCs w:val="22"/>
        </w:rPr>
      </w:pPr>
      <w:r w:rsidRPr="00183B5F">
        <w:rPr>
          <w:szCs w:val="22"/>
        </w:rPr>
        <w:t>A Humira előretöltött injekciós toll egyszer használatos, szürke- és szilvakék színű injekciós eszköz, amely Humira oldattal töltött üveg fecskendőt tartalmaz. Két védőkupakja közül a szürke színű „1” a szilvakék színű „2” jelzésű. Az injekciós toll mindkét oldalán elhelyezett ablakon keresztül ellenőrizhető a fecskendőben található Humira oldat mennyisége.</w:t>
      </w:r>
    </w:p>
    <w:p w14:paraId="0FB896CC" w14:textId="77777777" w:rsidR="002F7D7A" w:rsidRPr="00183B5F" w:rsidRDefault="002F7D7A" w:rsidP="004062FE">
      <w:pPr>
        <w:spacing w:line="240" w:lineRule="auto"/>
        <w:ind w:right="-2"/>
        <w:rPr>
          <w:szCs w:val="22"/>
        </w:rPr>
      </w:pPr>
    </w:p>
    <w:p w14:paraId="377DD498" w14:textId="77777777" w:rsidR="0061386F" w:rsidRPr="00183B5F" w:rsidRDefault="00943743" w:rsidP="0061386F">
      <w:pPr>
        <w:spacing w:line="240" w:lineRule="auto"/>
        <w:ind w:right="-2"/>
        <w:rPr>
          <w:szCs w:val="22"/>
        </w:rPr>
      </w:pPr>
      <w:r w:rsidRPr="00183B5F">
        <w:rPr>
          <w:szCs w:val="22"/>
        </w:rPr>
        <w:t>A Humira előretöltött injekciós toll az alábbi csomagolási egységekben kapható:</w:t>
      </w:r>
    </w:p>
    <w:p w14:paraId="7151A5CE" w14:textId="77777777" w:rsidR="0061386F" w:rsidRPr="00183B5F" w:rsidRDefault="00943743" w:rsidP="007B0C79">
      <w:pPr>
        <w:pStyle w:val="ListParagraph"/>
        <w:numPr>
          <w:ilvl w:val="0"/>
          <w:numId w:val="197"/>
        </w:numPr>
        <w:spacing w:line="240" w:lineRule="auto"/>
        <w:ind w:right="-2"/>
        <w:rPr>
          <w:szCs w:val="22"/>
        </w:rPr>
      </w:pPr>
      <w:r w:rsidRPr="00183B5F">
        <w:rPr>
          <w:szCs w:val="22"/>
        </w:rPr>
        <w:t>1 db előretöltött injekciós toll és 2 db alkoholos törlőkendő (1 pótkendő)</w:t>
      </w:r>
    </w:p>
    <w:p w14:paraId="6452C0D3" w14:textId="77777777" w:rsidR="0061386F" w:rsidRPr="00183B5F" w:rsidRDefault="00943743" w:rsidP="007B0C79">
      <w:pPr>
        <w:pStyle w:val="ListParagraph"/>
        <w:numPr>
          <w:ilvl w:val="0"/>
          <w:numId w:val="197"/>
        </w:numPr>
        <w:spacing w:line="240" w:lineRule="auto"/>
        <w:ind w:right="-2"/>
        <w:rPr>
          <w:szCs w:val="22"/>
        </w:rPr>
      </w:pPr>
      <w:r w:rsidRPr="00183B5F">
        <w:rPr>
          <w:szCs w:val="22"/>
        </w:rPr>
        <w:t>3 db előretöltött injekciós toll és 4 db alkoholos törlőkendő (1 pótkendő)</w:t>
      </w:r>
    </w:p>
    <w:p w14:paraId="55BC5B8F" w14:textId="77777777" w:rsidR="0061386F" w:rsidRPr="00183B5F" w:rsidRDefault="0061386F" w:rsidP="0061386F">
      <w:pPr>
        <w:spacing w:line="240" w:lineRule="auto"/>
        <w:ind w:right="-2"/>
        <w:rPr>
          <w:szCs w:val="22"/>
        </w:rPr>
      </w:pPr>
    </w:p>
    <w:p w14:paraId="36114EEC" w14:textId="77777777" w:rsidR="0061386F" w:rsidRPr="00183B5F" w:rsidRDefault="00943743" w:rsidP="0061386F">
      <w:pPr>
        <w:spacing w:line="240" w:lineRule="auto"/>
        <w:ind w:right="-2"/>
        <w:rPr>
          <w:szCs w:val="22"/>
        </w:rPr>
      </w:pPr>
      <w:r w:rsidRPr="00183B5F">
        <w:rPr>
          <w:szCs w:val="22"/>
        </w:rPr>
        <w:t>Nem feltétlenül mindegyik kiszerelés kerül kereskedelmi forgalomba.</w:t>
      </w:r>
    </w:p>
    <w:p w14:paraId="510D82A2" w14:textId="77777777" w:rsidR="002F7D7A" w:rsidRPr="00183B5F" w:rsidRDefault="002F7D7A" w:rsidP="004062FE">
      <w:pPr>
        <w:spacing w:line="240" w:lineRule="auto"/>
        <w:ind w:right="-2"/>
        <w:rPr>
          <w:szCs w:val="22"/>
        </w:rPr>
      </w:pPr>
    </w:p>
    <w:p w14:paraId="0E5964F6" w14:textId="77777777" w:rsidR="002F7D7A" w:rsidRPr="00183B5F" w:rsidRDefault="00943743" w:rsidP="004062FE">
      <w:pPr>
        <w:spacing w:line="240" w:lineRule="auto"/>
        <w:ind w:right="-2"/>
        <w:rPr>
          <w:szCs w:val="22"/>
        </w:rPr>
      </w:pPr>
      <w:r w:rsidRPr="00183B5F">
        <w:rPr>
          <w:szCs w:val="22"/>
        </w:rPr>
        <w:t>A Humira injekciós üvegben, előretöltött fecskendőben és előretöltött injekciós tollban kapható.</w:t>
      </w:r>
    </w:p>
    <w:p w14:paraId="1682D842" w14:textId="77777777" w:rsidR="002F7D7A" w:rsidRPr="00183B5F" w:rsidRDefault="002F7D7A" w:rsidP="004062FE">
      <w:pPr>
        <w:spacing w:line="240" w:lineRule="auto"/>
        <w:ind w:right="-2"/>
        <w:rPr>
          <w:szCs w:val="22"/>
        </w:rPr>
      </w:pPr>
    </w:p>
    <w:p w14:paraId="34AF19DE" w14:textId="77777777" w:rsidR="002F7D7A" w:rsidRPr="00183B5F" w:rsidRDefault="00943743" w:rsidP="004062FE">
      <w:pPr>
        <w:keepNext/>
        <w:spacing w:line="240" w:lineRule="auto"/>
        <w:rPr>
          <w:b/>
          <w:bCs/>
          <w:szCs w:val="22"/>
        </w:rPr>
      </w:pPr>
      <w:r w:rsidRPr="00183B5F">
        <w:rPr>
          <w:b/>
          <w:bCs/>
          <w:szCs w:val="22"/>
        </w:rPr>
        <w:t>A forgalomba hozatali engedély jogosultja</w:t>
      </w:r>
    </w:p>
    <w:p w14:paraId="3C8034D6" w14:textId="77777777" w:rsidR="002F7D7A" w:rsidRPr="00183B5F" w:rsidRDefault="002F7D7A" w:rsidP="004062FE">
      <w:pPr>
        <w:keepNext/>
        <w:spacing w:line="240" w:lineRule="auto"/>
        <w:rPr>
          <w:szCs w:val="22"/>
        </w:rPr>
      </w:pPr>
    </w:p>
    <w:p w14:paraId="1D77D1C2"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AbbVie Deutschland GmbH &amp; Co. KG</w:t>
      </w:r>
    </w:p>
    <w:p w14:paraId="18B6B50E"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Knollstrasse</w:t>
      </w:r>
    </w:p>
    <w:p w14:paraId="344C88B1"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67061 Ludwigshafen</w:t>
      </w:r>
    </w:p>
    <w:p w14:paraId="7724C763" w14:textId="77777777" w:rsidR="00CE3F71" w:rsidRPr="00183B5F" w:rsidRDefault="00943743" w:rsidP="00CE3F71">
      <w:pPr>
        <w:keepNext/>
        <w:suppressAutoHyphens w:val="0"/>
        <w:autoSpaceDE w:val="0"/>
        <w:autoSpaceDN w:val="0"/>
        <w:adjustRightInd w:val="0"/>
        <w:spacing w:line="240" w:lineRule="atLeast"/>
        <w:rPr>
          <w:szCs w:val="22"/>
          <w:lang w:eastAsia="en-GB"/>
        </w:rPr>
      </w:pPr>
      <w:r w:rsidRPr="00183B5F">
        <w:rPr>
          <w:szCs w:val="22"/>
          <w:lang w:eastAsia="en-GB"/>
        </w:rPr>
        <w:t xml:space="preserve">Németország </w:t>
      </w:r>
    </w:p>
    <w:p w14:paraId="5902200B" w14:textId="77777777" w:rsidR="002F7D7A" w:rsidRPr="00183B5F" w:rsidRDefault="002F7D7A" w:rsidP="004062FE">
      <w:pPr>
        <w:tabs>
          <w:tab w:val="left" w:pos="562"/>
        </w:tabs>
        <w:spacing w:line="240" w:lineRule="auto"/>
        <w:rPr>
          <w:szCs w:val="22"/>
          <w:lang w:eastAsia="en-US"/>
        </w:rPr>
      </w:pPr>
    </w:p>
    <w:p w14:paraId="4194223C" w14:textId="77777777" w:rsidR="002F7D7A" w:rsidRPr="00183B5F" w:rsidRDefault="00943743" w:rsidP="00791834">
      <w:pPr>
        <w:keepNext/>
        <w:spacing w:line="240" w:lineRule="auto"/>
        <w:rPr>
          <w:b/>
          <w:bCs/>
          <w:szCs w:val="22"/>
        </w:rPr>
      </w:pPr>
      <w:r w:rsidRPr="00183B5F">
        <w:rPr>
          <w:b/>
          <w:bCs/>
          <w:szCs w:val="22"/>
        </w:rPr>
        <w:t>Gyártó</w:t>
      </w:r>
    </w:p>
    <w:p w14:paraId="6AF22246" w14:textId="77777777" w:rsidR="002F7D7A" w:rsidRPr="00183B5F" w:rsidRDefault="002F7D7A" w:rsidP="00791834">
      <w:pPr>
        <w:keepNext/>
        <w:spacing w:line="240" w:lineRule="auto"/>
        <w:rPr>
          <w:szCs w:val="22"/>
        </w:rPr>
      </w:pPr>
    </w:p>
    <w:p w14:paraId="6619C666" w14:textId="77777777" w:rsidR="002F7D7A" w:rsidRPr="00183B5F" w:rsidRDefault="00943743" w:rsidP="00791834">
      <w:pPr>
        <w:keepNext/>
        <w:spacing w:line="240" w:lineRule="auto"/>
      </w:pPr>
      <w:r w:rsidRPr="00183B5F">
        <w:t>AbbVie Biotechnology GmbH</w:t>
      </w:r>
    </w:p>
    <w:p w14:paraId="05DD1159" w14:textId="77777777" w:rsidR="002F7D7A" w:rsidRPr="00183B5F" w:rsidRDefault="00943743" w:rsidP="00791834">
      <w:pPr>
        <w:keepNext/>
        <w:numPr>
          <w:ilvl w:val="12"/>
          <w:numId w:val="0"/>
        </w:numPr>
        <w:tabs>
          <w:tab w:val="left" w:pos="720"/>
        </w:tabs>
        <w:spacing w:line="240" w:lineRule="auto"/>
      </w:pPr>
      <w:r w:rsidRPr="00183B5F">
        <w:t>Knollstrasse</w:t>
      </w:r>
    </w:p>
    <w:p w14:paraId="0CEF3217" w14:textId="77777777" w:rsidR="002F7D7A" w:rsidRPr="00183B5F" w:rsidRDefault="00943743" w:rsidP="00791834">
      <w:pPr>
        <w:keepNext/>
        <w:numPr>
          <w:ilvl w:val="12"/>
          <w:numId w:val="0"/>
        </w:numPr>
        <w:tabs>
          <w:tab w:val="left" w:pos="720"/>
        </w:tabs>
        <w:spacing w:line="240" w:lineRule="auto"/>
      </w:pPr>
      <w:r w:rsidRPr="00183B5F">
        <w:t>67061 Ludwigshafen</w:t>
      </w:r>
    </w:p>
    <w:p w14:paraId="4F615D05" w14:textId="77777777" w:rsidR="002F7D7A" w:rsidRPr="00183B5F" w:rsidRDefault="00943743" w:rsidP="00791834">
      <w:pPr>
        <w:keepNext/>
        <w:spacing w:line="240" w:lineRule="auto"/>
        <w:rPr>
          <w:szCs w:val="22"/>
        </w:rPr>
      </w:pPr>
      <w:r w:rsidRPr="00183B5F">
        <w:t>Németország</w:t>
      </w:r>
    </w:p>
    <w:p w14:paraId="653A594A" w14:textId="77777777" w:rsidR="002F7D7A" w:rsidRPr="00183B5F" w:rsidRDefault="002F7D7A" w:rsidP="004062FE">
      <w:pPr>
        <w:spacing w:line="240" w:lineRule="auto"/>
        <w:rPr>
          <w:szCs w:val="22"/>
        </w:rPr>
      </w:pPr>
    </w:p>
    <w:p w14:paraId="0A8048DF" w14:textId="77777777" w:rsidR="002F7D7A" w:rsidRPr="00183B5F" w:rsidRDefault="00943743" w:rsidP="004062FE">
      <w:pPr>
        <w:spacing w:line="240" w:lineRule="auto"/>
        <w:rPr>
          <w:szCs w:val="22"/>
        </w:rPr>
      </w:pPr>
      <w:r w:rsidRPr="00183B5F">
        <w:rPr>
          <w:szCs w:val="22"/>
        </w:rPr>
        <w:t>A készítményhez kapcsolódó további kérdéseivel forduljon a forgalomba hozatali engedély jogosultjának helyi képviseletéhez:</w:t>
      </w:r>
    </w:p>
    <w:p w14:paraId="76785672" w14:textId="77777777" w:rsidR="002F7D7A" w:rsidRPr="00183B5F" w:rsidRDefault="002F7D7A" w:rsidP="004062FE">
      <w:pPr>
        <w:spacing w:line="240" w:lineRule="auto"/>
        <w:rPr>
          <w:szCs w:val="22"/>
        </w:rPr>
      </w:pPr>
    </w:p>
    <w:tbl>
      <w:tblPr>
        <w:tblW w:w="9356" w:type="dxa"/>
        <w:tblInd w:w="-34" w:type="dxa"/>
        <w:tblLayout w:type="fixed"/>
        <w:tblLook w:val="0000" w:firstRow="0" w:lastRow="0" w:firstColumn="0" w:lastColumn="0" w:noHBand="0" w:noVBand="0"/>
      </w:tblPr>
      <w:tblGrid>
        <w:gridCol w:w="34"/>
        <w:gridCol w:w="4610"/>
        <w:gridCol w:w="34"/>
        <w:gridCol w:w="4678"/>
      </w:tblGrid>
      <w:tr w:rsidR="00011D2F" w14:paraId="294BE6E3" w14:textId="77777777" w:rsidTr="001F79B0">
        <w:tc>
          <w:tcPr>
            <w:tcW w:w="4644" w:type="dxa"/>
            <w:gridSpan w:val="2"/>
          </w:tcPr>
          <w:p w14:paraId="01993F8A" w14:textId="77777777" w:rsidR="008604D4" w:rsidRPr="00BD646C" w:rsidRDefault="00943743" w:rsidP="001F79B0">
            <w:pPr>
              <w:suppressAutoHyphens w:val="0"/>
              <w:rPr>
                <w:b/>
                <w:bCs/>
                <w:szCs w:val="22"/>
                <w:lang w:val="fr-BE"/>
              </w:rPr>
            </w:pPr>
            <w:r w:rsidRPr="00BD646C">
              <w:rPr>
                <w:b/>
                <w:bCs/>
                <w:szCs w:val="22"/>
                <w:lang w:val="fr-BE"/>
              </w:rPr>
              <w:t>België/Belgique/Belgien</w:t>
            </w:r>
          </w:p>
          <w:p w14:paraId="6F2748CD" w14:textId="77777777" w:rsidR="008604D4" w:rsidRPr="00BD646C" w:rsidRDefault="00943743" w:rsidP="001F79B0">
            <w:pPr>
              <w:suppressAutoHyphens w:val="0"/>
              <w:rPr>
                <w:bCs/>
                <w:szCs w:val="22"/>
                <w:lang w:val="fr-FR"/>
              </w:rPr>
            </w:pPr>
            <w:r w:rsidRPr="00BD646C">
              <w:rPr>
                <w:bCs/>
                <w:szCs w:val="22"/>
                <w:lang w:val="fr-FR"/>
              </w:rPr>
              <w:t>AbbVie SA</w:t>
            </w:r>
          </w:p>
          <w:p w14:paraId="5120DF1A" w14:textId="77777777" w:rsidR="008604D4" w:rsidRPr="00BD646C" w:rsidRDefault="00943743" w:rsidP="001F79B0">
            <w:pPr>
              <w:suppressAutoHyphens w:val="0"/>
              <w:rPr>
                <w:szCs w:val="22"/>
                <w:lang w:val="fr-FR"/>
              </w:rPr>
            </w:pPr>
            <w:r w:rsidRPr="00BD646C">
              <w:rPr>
                <w:bCs/>
                <w:szCs w:val="22"/>
                <w:lang w:val="fr-FR"/>
              </w:rPr>
              <w:t xml:space="preserve">Tél/Tel: +32 10 </w:t>
            </w:r>
            <w:r w:rsidRPr="00BD646C">
              <w:rPr>
                <w:szCs w:val="22"/>
                <w:lang w:val="fr-FR"/>
              </w:rPr>
              <w:t>477811</w:t>
            </w:r>
          </w:p>
          <w:p w14:paraId="751BCCC5" w14:textId="77777777" w:rsidR="008604D4" w:rsidRPr="00BD646C" w:rsidRDefault="008604D4" w:rsidP="001F79B0">
            <w:pPr>
              <w:suppressAutoHyphens w:val="0"/>
              <w:rPr>
                <w:bCs/>
                <w:szCs w:val="22"/>
                <w:lang w:val="fr-FR"/>
              </w:rPr>
            </w:pPr>
          </w:p>
        </w:tc>
        <w:tc>
          <w:tcPr>
            <w:tcW w:w="4678" w:type="dxa"/>
            <w:gridSpan w:val="2"/>
          </w:tcPr>
          <w:p w14:paraId="468BAA16" w14:textId="77777777" w:rsidR="008604D4" w:rsidRPr="00BD646C" w:rsidRDefault="00943743" w:rsidP="001F79B0">
            <w:pPr>
              <w:suppressAutoHyphens w:val="0"/>
              <w:rPr>
                <w:b/>
                <w:bCs/>
                <w:szCs w:val="22"/>
                <w:lang w:val="lt-LT"/>
              </w:rPr>
            </w:pPr>
            <w:r w:rsidRPr="00BD646C">
              <w:rPr>
                <w:b/>
                <w:bCs/>
                <w:szCs w:val="22"/>
                <w:lang w:val="lt-LT"/>
              </w:rPr>
              <w:t>Lietuva</w:t>
            </w:r>
          </w:p>
          <w:p w14:paraId="7708E608" w14:textId="77777777" w:rsidR="008604D4" w:rsidRPr="00BD646C" w:rsidRDefault="00943743" w:rsidP="001F79B0">
            <w:pPr>
              <w:suppressAutoHyphens w:val="0"/>
              <w:rPr>
                <w:bCs/>
                <w:szCs w:val="22"/>
                <w:lang w:val="lv-LV"/>
              </w:rPr>
            </w:pPr>
            <w:r w:rsidRPr="00BD646C">
              <w:rPr>
                <w:bCs/>
                <w:szCs w:val="22"/>
                <w:lang w:val="lv-LV"/>
              </w:rPr>
              <w:t xml:space="preserve">AbbVie UAB </w:t>
            </w:r>
          </w:p>
          <w:p w14:paraId="2B6DAB28" w14:textId="77777777" w:rsidR="008604D4" w:rsidRPr="00BD646C" w:rsidRDefault="00943743" w:rsidP="001F79B0">
            <w:pPr>
              <w:suppressAutoHyphens w:val="0"/>
              <w:rPr>
                <w:bCs/>
                <w:szCs w:val="22"/>
                <w:lang w:val="lv-LV"/>
              </w:rPr>
            </w:pPr>
            <w:r w:rsidRPr="00BD646C">
              <w:rPr>
                <w:bCs/>
                <w:szCs w:val="22"/>
                <w:lang w:val="lv-LV"/>
              </w:rPr>
              <w:t>Tel: +370 5 205 3023</w:t>
            </w:r>
          </w:p>
        </w:tc>
      </w:tr>
      <w:tr w:rsidR="00011D2F" w14:paraId="54B578A0" w14:textId="77777777" w:rsidTr="001F79B0">
        <w:tc>
          <w:tcPr>
            <w:tcW w:w="4644" w:type="dxa"/>
            <w:gridSpan w:val="2"/>
          </w:tcPr>
          <w:p w14:paraId="5FE565A2" w14:textId="77777777" w:rsidR="008604D4" w:rsidRPr="00BD646C" w:rsidRDefault="00943743" w:rsidP="001F79B0">
            <w:pPr>
              <w:suppressAutoHyphens w:val="0"/>
              <w:rPr>
                <w:b/>
                <w:bCs/>
                <w:szCs w:val="22"/>
                <w:lang w:val="bg-BG"/>
              </w:rPr>
            </w:pPr>
            <w:r w:rsidRPr="00BD646C">
              <w:rPr>
                <w:b/>
                <w:bCs/>
                <w:szCs w:val="22"/>
                <w:lang w:val="bg-BG"/>
              </w:rPr>
              <w:t>България</w:t>
            </w:r>
          </w:p>
          <w:p w14:paraId="7E78E984" w14:textId="77777777" w:rsidR="008604D4" w:rsidRPr="00BD646C" w:rsidRDefault="00943743" w:rsidP="001F79B0">
            <w:pPr>
              <w:suppressAutoHyphens w:val="0"/>
              <w:rPr>
                <w:szCs w:val="22"/>
                <w:lang w:val="da-DK"/>
              </w:rPr>
            </w:pPr>
            <w:r w:rsidRPr="00BD646C">
              <w:rPr>
                <w:szCs w:val="22"/>
                <w:lang w:val="sk-SK"/>
              </w:rPr>
              <w:t>АбВи ЕООД</w:t>
            </w:r>
          </w:p>
          <w:p w14:paraId="7FA35BD8" w14:textId="77777777" w:rsidR="008604D4" w:rsidRPr="00BD646C" w:rsidRDefault="00943743" w:rsidP="001F79B0">
            <w:pPr>
              <w:suppressAutoHyphens w:val="0"/>
              <w:rPr>
                <w:bCs/>
                <w:szCs w:val="22"/>
                <w:lang w:val="da-DK"/>
              </w:rPr>
            </w:pPr>
            <w:r w:rsidRPr="00BD646C">
              <w:rPr>
                <w:szCs w:val="22"/>
                <w:lang w:val="sk-SK"/>
              </w:rPr>
              <w:t>Тел</w:t>
            </w:r>
            <w:r w:rsidRPr="00BD646C">
              <w:rPr>
                <w:szCs w:val="22"/>
                <w:lang w:val="it-IT"/>
              </w:rPr>
              <w:t>.:+359 2 90 30 430</w:t>
            </w:r>
          </w:p>
        </w:tc>
        <w:tc>
          <w:tcPr>
            <w:tcW w:w="4678" w:type="dxa"/>
            <w:gridSpan w:val="2"/>
          </w:tcPr>
          <w:p w14:paraId="39076714" w14:textId="77777777" w:rsidR="008604D4" w:rsidRPr="00BD646C" w:rsidRDefault="00943743" w:rsidP="001F79B0">
            <w:pPr>
              <w:suppressAutoHyphens w:val="0"/>
              <w:rPr>
                <w:b/>
                <w:bCs/>
                <w:szCs w:val="22"/>
                <w:lang w:val="de-DE"/>
              </w:rPr>
            </w:pPr>
            <w:r w:rsidRPr="00BD646C">
              <w:rPr>
                <w:b/>
                <w:bCs/>
                <w:szCs w:val="22"/>
                <w:lang w:val="de-DE"/>
              </w:rPr>
              <w:t>Luxembourg/Luxemburg</w:t>
            </w:r>
          </w:p>
          <w:p w14:paraId="6C0A3C9C" w14:textId="77777777" w:rsidR="008604D4" w:rsidRPr="00BD646C" w:rsidRDefault="00943743" w:rsidP="001F79B0">
            <w:pPr>
              <w:suppressAutoHyphens w:val="0"/>
              <w:rPr>
                <w:bCs/>
                <w:szCs w:val="22"/>
                <w:lang w:val="de-DE"/>
              </w:rPr>
            </w:pPr>
            <w:r w:rsidRPr="00BD646C">
              <w:rPr>
                <w:bCs/>
                <w:szCs w:val="22"/>
                <w:lang w:val="de-DE"/>
              </w:rPr>
              <w:t>AbbVie SA</w:t>
            </w:r>
          </w:p>
          <w:p w14:paraId="5FC41E69" w14:textId="77777777" w:rsidR="008604D4" w:rsidRPr="00BD646C" w:rsidRDefault="00943743" w:rsidP="001F79B0">
            <w:pPr>
              <w:suppressAutoHyphens w:val="0"/>
              <w:rPr>
                <w:bCs/>
                <w:szCs w:val="22"/>
                <w:lang w:val="de-DE"/>
              </w:rPr>
            </w:pPr>
            <w:r w:rsidRPr="00BD646C">
              <w:rPr>
                <w:bCs/>
                <w:szCs w:val="22"/>
                <w:lang w:val="de-DE"/>
              </w:rPr>
              <w:t>Belgique/Belgien</w:t>
            </w:r>
          </w:p>
          <w:p w14:paraId="01CF9829" w14:textId="77777777" w:rsidR="008604D4" w:rsidRPr="00BD646C" w:rsidRDefault="00943743" w:rsidP="001F79B0">
            <w:pPr>
              <w:suppressAutoHyphens w:val="0"/>
              <w:rPr>
                <w:bCs/>
                <w:szCs w:val="22"/>
                <w:lang w:val="fr-FR"/>
              </w:rPr>
            </w:pPr>
            <w:r w:rsidRPr="00BD646C">
              <w:rPr>
                <w:bCs/>
                <w:szCs w:val="22"/>
                <w:lang w:val="fr-FR"/>
              </w:rPr>
              <w:t>Tél/Tel: +32 10 477811</w:t>
            </w:r>
          </w:p>
          <w:p w14:paraId="140D1398" w14:textId="77777777" w:rsidR="008604D4" w:rsidRPr="00BD646C" w:rsidRDefault="008604D4" w:rsidP="001F79B0">
            <w:pPr>
              <w:suppressAutoHyphens w:val="0"/>
              <w:rPr>
                <w:bCs/>
                <w:szCs w:val="22"/>
                <w:lang w:val="fr-FR"/>
              </w:rPr>
            </w:pPr>
          </w:p>
        </w:tc>
      </w:tr>
      <w:tr w:rsidR="00011D2F" w14:paraId="6CE54A44" w14:textId="77777777" w:rsidTr="001F79B0">
        <w:tc>
          <w:tcPr>
            <w:tcW w:w="4644" w:type="dxa"/>
            <w:gridSpan w:val="2"/>
          </w:tcPr>
          <w:p w14:paraId="50E16AC4" w14:textId="77777777" w:rsidR="008604D4" w:rsidRPr="00BD646C" w:rsidRDefault="00943743" w:rsidP="001F79B0">
            <w:pPr>
              <w:suppressAutoHyphens w:val="0"/>
              <w:rPr>
                <w:b/>
                <w:bCs/>
                <w:szCs w:val="22"/>
                <w:lang w:val="sk-SK"/>
              </w:rPr>
            </w:pPr>
            <w:r w:rsidRPr="00BD646C">
              <w:rPr>
                <w:b/>
                <w:bCs/>
                <w:szCs w:val="22"/>
                <w:lang w:val="sk-SK"/>
              </w:rPr>
              <w:t>Česká republika</w:t>
            </w:r>
          </w:p>
          <w:p w14:paraId="72C9B678" w14:textId="77777777" w:rsidR="008604D4" w:rsidRPr="00BD646C" w:rsidRDefault="00943743" w:rsidP="001F79B0">
            <w:pPr>
              <w:suppressAutoHyphens w:val="0"/>
              <w:rPr>
                <w:bCs/>
                <w:szCs w:val="22"/>
                <w:lang w:val="sk-SK"/>
              </w:rPr>
            </w:pPr>
            <w:r w:rsidRPr="00BD646C">
              <w:rPr>
                <w:bCs/>
                <w:szCs w:val="22"/>
                <w:lang w:val="sk-SK"/>
              </w:rPr>
              <w:t xml:space="preserve">AbbVie s.r.o. </w:t>
            </w:r>
          </w:p>
          <w:p w14:paraId="3F6A0E8F" w14:textId="77777777" w:rsidR="008604D4" w:rsidRPr="00BD646C" w:rsidRDefault="00943743" w:rsidP="001F79B0">
            <w:pPr>
              <w:suppressAutoHyphens w:val="0"/>
              <w:rPr>
                <w:bCs/>
                <w:szCs w:val="22"/>
                <w:lang w:val="sk-SK"/>
              </w:rPr>
            </w:pPr>
            <w:r w:rsidRPr="00BD646C">
              <w:rPr>
                <w:bCs/>
                <w:szCs w:val="22"/>
                <w:lang w:val="sk-SK"/>
              </w:rPr>
              <w:t>Tel: +420 233 098 111</w:t>
            </w:r>
          </w:p>
        </w:tc>
        <w:tc>
          <w:tcPr>
            <w:tcW w:w="4678" w:type="dxa"/>
            <w:gridSpan w:val="2"/>
          </w:tcPr>
          <w:p w14:paraId="62BD4C41" w14:textId="77777777" w:rsidR="008604D4" w:rsidRPr="00BD646C" w:rsidRDefault="00943743" w:rsidP="001F79B0">
            <w:pPr>
              <w:suppressAutoHyphens w:val="0"/>
              <w:rPr>
                <w:b/>
                <w:bCs/>
                <w:szCs w:val="22"/>
              </w:rPr>
            </w:pPr>
            <w:r w:rsidRPr="00BD646C">
              <w:rPr>
                <w:b/>
                <w:bCs/>
                <w:szCs w:val="22"/>
              </w:rPr>
              <w:t>Magyarország</w:t>
            </w:r>
          </w:p>
          <w:p w14:paraId="13233E52" w14:textId="77777777" w:rsidR="008604D4" w:rsidRPr="00BD646C" w:rsidRDefault="00943743" w:rsidP="001F79B0">
            <w:pPr>
              <w:suppressAutoHyphens w:val="0"/>
              <w:rPr>
                <w:bCs/>
                <w:szCs w:val="22"/>
              </w:rPr>
            </w:pPr>
            <w:r w:rsidRPr="00BD646C">
              <w:rPr>
                <w:bCs/>
                <w:szCs w:val="22"/>
              </w:rPr>
              <w:t>AbbVie Kft.</w:t>
            </w:r>
          </w:p>
          <w:p w14:paraId="4A1A880F" w14:textId="77777777" w:rsidR="008604D4" w:rsidRPr="00BD646C" w:rsidRDefault="00943743" w:rsidP="001F79B0">
            <w:pPr>
              <w:suppressAutoHyphens w:val="0"/>
              <w:rPr>
                <w:bCs/>
                <w:szCs w:val="22"/>
              </w:rPr>
            </w:pPr>
            <w:r w:rsidRPr="00BD646C">
              <w:rPr>
                <w:bCs/>
                <w:szCs w:val="22"/>
              </w:rPr>
              <w:t>Tel.:+36 1 455 8600</w:t>
            </w:r>
          </w:p>
          <w:p w14:paraId="76E29118" w14:textId="77777777" w:rsidR="008604D4" w:rsidRPr="00BD646C" w:rsidRDefault="008604D4" w:rsidP="001F79B0">
            <w:pPr>
              <w:suppressAutoHyphens w:val="0"/>
              <w:rPr>
                <w:bCs/>
                <w:szCs w:val="22"/>
              </w:rPr>
            </w:pPr>
          </w:p>
        </w:tc>
      </w:tr>
      <w:tr w:rsidR="00011D2F" w14:paraId="0EC96B25" w14:textId="77777777" w:rsidTr="001F79B0">
        <w:trPr>
          <w:trHeight w:val="737"/>
        </w:trPr>
        <w:tc>
          <w:tcPr>
            <w:tcW w:w="4644" w:type="dxa"/>
            <w:gridSpan w:val="2"/>
          </w:tcPr>
          <w:p w14:paraId="335EF8FB" w14:textId="77777777" w:rsidR="008604D4" w:rsidRPr="00BD646C" w:rsidRDefault="00943743" w:rsidP="001F79B0">
            <w:pPr>
              <w:suppressAutoHyphens w:val="0"/>
              <w:rPr>
                <w:b/>
                <w:bCs/>
                <w:szCs w:val="22"/>
                <w:lang w:val="en-US"/>
              </w:rPr>
            </w:pPr>
            <w:r w:rsidRPr="00BD646C">
              <w:rPr>
                <w:b/>
                <w:bCs/>
                <w:szCs w:val="22"/>
                <w:lang w:val="en-US"/>
              </w:rPr>
              <w:t>Danmark</w:t>
            </w:r>
          </w:p>
          <w:p w14:paraId="5D828CC6" w14:textId="77777777" w:rsidR="008604D4" w:rsidRPr="00BD646C" w:rsidRDefault="00943743" w:rsidP="001F79B0">
            <w:pPr>
              <w:suppressAutoHyphens w:val="0"/>
              <w:rPr>
                <w:bCs/>
                <w:szCs w:val="22"/>
                <w:lang w:val="en-US"/>
              </w:rPr>
            </w:pPr>
            <w:r w:rsidRPr="00BD646C">
              <w:rPr>
                <w:bCs/>
                <w:szCs w:val="22"/>
                <w:lang w:val="en-US"/>
              </w:rPr>
              <w:t>AbbVie A/S</w:t>
            </w:r>
          </w:p>
          <w:p w14:paraId="745F6EBA" w14:textId="3E6CFEE0" w:rsidR="008604D4" w:rsidRPr="00BD646C" w:rsidRDefault="00943743" w:rsidP="001F79B0">
            <w:pPr>
              <w:suppressAutoHyphens w:val="0"/>
              <w:rPr>
                <w:bCs/>
                <w:szCs w:val="22"/>
                <w:lang w:val="sk-SK"/>
              </w:rPr>
            </w:pPr>
            <w:r w:rsidRPr="00BD646C">
              <w:rPr>
                <w:bCs/>
                <w:szCs w:val="22"/>
                <w:lang w:val="en-US"/>
              </w:rPr>
              <w:t>Tlf</w:t>
            </w:r>
            <w:ins w:id="14051" w:author="AbbVie_HU_03" w:date="2025-05-14T16:50:00Z">
              <w:r w:rsidR="005F356A">
                <w:rPr>
                  <w:bCs/>
                  <w:szCs w:val="22"/>
                  <w:lang w:val="en-US"/>
                </w:rPr>
                <w:t>.</w:t>
              </w:r>
            </w:ins>
            <w:r w:rsidRPr="00BD646C">
              <w:rPr>
                <w:bCs/>
                <w:szCs w:val="22"/>
                <w:lang w:val="en-US"/>
              </w:rPr>
              <w:t>: +45 72 30-20-28</w:t>
            </w:r>
          </w:p>
        </w:tc>
        <w:tc>
          <w:tcPr>
            <w:tcW w:w="4678" w:type="dxa"/>
            <w:gridSpan w:val="2"/>
          </w:tcPr>
          <w:p w14:paraId="0C27DDDE" w14:textId="77777777" w:rsidR="008604D4" w:rsidRPr="00BD646C" w:rsidRDefault="00943743" w:rsidP="001F79B0">
            <w:pPr>
              <w:suppressAutoHyphens w:val="0"/>
              <w:rPr>
                <w:b/>
                <w:bCs/>
                <w:szCs w:val="22"/>
                <w:lang w:val="mt-MT"/>
              </w:rPr>
            </w:pPr>
            <w:r w:rsidRPr="00BD646C">
              <w:rPr>
                <w:b/>
                <w:bCs/>
                <w:szCs w:val="22"/>
                <w:lang w:val="mt-MT"/>
              </w:rPr>
              <w:t>Malta</w:t>
            </w:r>
          </w:p>
          <w:p w14:paraId="707750B5" w14:textId="77777777" w:rsidR="008604D4" w:rsidRPr="00BD646C" w:rsidRDefault="00943743" w:rsidP="001F79B0">
            <w:pPr>
              <w:suppressAutoHyphens w:val="0"/>
              <w:rPr>
                <w:bCs/>
                <w:szCs w:val="22"/>
                <w:lang w:val="sk-SK"/>
              </w:rPr>
            </w:pPr>
            <w:r w:rsidRPr="00BD646C">
              <w:rPr>
                <w:bCs/>
                <w:szCs w:val="22"/>
                <w:lang w:val="sk-SK"/>
              </w:rPr>
              <w:t xml:space="preserve">V.J.Salomone Pharma Limited </w:t>
            </w:r>
          </w:p>
          <w:p w14:paraId="2C601F66" w14:textId="06CD1E5C" w:rsidR="008604D4" w:rsidRPr="00BD646C" w:rsidRDefault="00943743" w:rsidP="001F79B0">
            <w:pPr>
              <w:suppressAutoHyphens w:val="0"/>
              <w:rPr>
                <w:bCs/>
                <w:szCs w:val="22"/>
                <w:lang w:val="sk-SK"/>
              </w:rPr>
            </w:pPr>
            <w:r w:rsidRPr="00BD646C">
              <w:rPr>
                <w:bCs/>
                <w:szCs w:val="22"/>
                <w:lang w:val="sk-SK"/>
              </w:rPr>
              <w:t xml:space="preserve">Tel: </w:t>
            </w:r>
            <w:r w:rsidR="0047544D">
              <w:rPr>
                <w:bCs/>
                <w:szCs w:val="22"/>
              </w:rPr>
              <w:t>+356 21220174</w:t>
            </w:r>
          </w:p>
          <w:p w14:paraId="7EA15867" w14:textId="77777777" w:rsidR="008604D4" w:rsidRPr="00BD646C" w:rsidRDefault="008604D4" w:rsidP="001F79B0">
            <w:pPr>
              <w:suppressAutoHyphens w:val="0"/>
              <w:rPr>
                <w:bCs/>
                <w:szCs w:val="22"/>
                <w:lang w:val="sk-SK"/>
              </w:rPr>
            </w:pPr>
          </w:p>
        </w:tc>
      </w:tr>
      <w:tr w:rsidR="00011D2F" w14:paraId="54288B1F" w14:textId="77777777" w:rsidTr="001F79B0">
        <w:tc>
          <w:tcPr>
            <w:tcW w:w="4644" w:type="dxa"/>
            <w:gridSpan w:val="2"/>
          </w:tcPr>
          <w:p w14:paraId="60202A81" w14:textId="77777777" w:rsidR="008604D4" w:rsidRPr="00BD646C" w:rsidRDefault="00943743" w:rsidP="001F79B0">
            <w:pPr>
              <w:suppressAutoHyphens w:val="0"/>
              <w:rPr>
                <w:b/>
                <w:bCs/>
                <w:szCs w:val="22"/>
                <w:lang w:val="de-DE"/>
              </w:rPr>
            </w:pPr>
            <w:r w:rsidRPr="00BD646C">
              <w:rPr>
                <w:b/>
                <w:bCs/>
                <w:szCs w:val="22"/>
                <w:lang w:val="de-DE"/>
              </w:rPr>
              <w:t>Deutschland</w:t>
            </w:r>
          </w:p>
          <w:p w14:paraId="4D0B7C51" w14:textId="77777777" w:rsidR="008604D4" w:rsidRPr="00BD646C" w:rsidRDefault="00943743" w:rsidP="001F79B0">
            <w:pPr>
              <w:suppressAutoHyphens w:val="0"/>
              <w:rPr>
                <w:bCs/>
                <w:szCs w:val="22"/>
                <w:lang w:val="de-DE"/>
              </w:rPr>
            </w:pPr>
            <w:r w:rsidRPr="00BD646C">
              <w:rPr>
                <w:szCs w:val="22"/>
                <w:lang w:val="de-DE"/>
              </w:rPr>
              <w:t xml:space="preserve">AbbVie Deutschland </w:t>
            </w:r>
            <w:r w:rsidRPr="00BD646C">
              <w:rPr>
                <w:bCs/>
                <w:szCs w:val="22"/>
                <w:lang w:val="de-DE"/>
              </w:rPr>
              <w:t>GmbH &amp; Co. KG</w:t>
            </w:r>
          </w:p>
          <w:p w14:paraId="4CAD0704" w14:textId="77777777" w:rsidR="008604D4" w:rsidRPr="00BD646C" w:rsidRDefault="00943743" w:rsidP="001F79B0">
            <w:pPr>
              <w:suppressAutoHyphens w:val="0"/>
              <w:rPr>
                <w:szCs w:val="22"/>
                <w:lang w:val="de-DE"/>
              </w:rPr>
            </w:pPr>
            <w:r w:rsidRPr="00BD646C">
              <w:rPr>
                <w:szCs w:val="22"/>
                <w:lang w:val="de-DE"/>
              </w:rPr>
              <w:t>Tel: 00800 222843 33 (gebührenfrei)</w:t>
            </w:r>
          </w:p>
          <w:p w14:paraId="24F30B42" w14:textId="77777777" w:rsidR="008604D4" w:rsidRPr="00BD646C" w:rsidRDefault="00943743" w:rsidP="001F79B0">
            <w:pPr>
              <w:suppressAutoHyphens w:val="0"/>
              <w:rPr>
                <w:szCs w:val="22"/>
                <w:lang w:val="de-DE"/>
              </w:rPr>
            </w:pPr>
            <w:r w:rsidRPr="00BD646C">
              <w:rPr>
                <w:szCs w:val="22"/>
                <w:lang w:val="de-DE"/>
              </w:rPr>
              <w:t>Tel: +49 (0) 611 / 1720-0</w:t>
            </w:r>
          </w:p>
          <w:p w14:paraId="1B039E8C" w14:textId="77777777" w:rsidR="008604D4" w:rsidRPr="00BD646C" w:rsidRDefault="008604D4" w:rsidP="001F79B0">
            <w:pPr>
              <w:suppressAutoHyphens w:val="0"/>
              <w:rPr>
                <w:szCs w:val="22"/>
                <w:lang w:val="de-DE"/>
              </w:rPr>
            </w:pPr>
          </w:p>
        </w:tc>
        <w:tc>
          <w:tcPr>
            <w:tcW w:w="4678" w:type="dxa"/>
            <w:gridSpan w:val="2"/>
          </w:tcPr>
          <w:p w14:paraId="74E623D8" w14:textId="77777777" w:rsidR="008604D4" w:rsidRPr="00BD646C" w:rsidRDefault="00943743" w:rsidP="001F79B0">
            <w:pPr>
              <w:suppressAutoHyphens w:val="0"/>
              <w:rPr>
                <w:b/>
                <w:bCs/>
                <w:szCs w:val="22"/>
                <w:lang w:val="nl-NL"/>
              </w:rPr>
            </w:pPr>
            <w:r w:rsidRPr="00BD646C">
              <w:rPr>
                <w:b/>
                <w:bCs/>
                <w:szCs w:val="22"/>
                <w:lang w:val="nl-NL"/>
              </w:rPr>
              <w:t>Nederland</w:t>
            </w:r>
          </w:p>
          <w:p w14:paraId="3BF9FE25" w14:textId="77777777" w:rsidR="008604D4" w:rsidRPr="00BD646C" w:rsidRDefault="00943743" w:rsidP="001F79B0">
            <w:pPr>
              <w:suppressAutoHyphens w:val="0"/>
              <w:rPr>
                <w:bCs/>
                <w:szCs w:val="22"/>
                <w:lang w:val="de-DE"/>
              </w:rPr>
            </w:pPr>
            <w:r w:rsidRPr="00BD646C">
              <w:rPr>
                <w:bCs/>
                <w:szCs w:val="22"/>
                <w:lang w:val="de-DE"/>
              </w:rPr>
              <w:t>AbbVie B.V.</w:t>
            </w:r>
          </w:p>
          <w:p w14:paraId="0097A1D8" w14:textId="77777777" w:rsidR="008604D4" w:rsidRPr="00BD646C" w:rsidRDefault="00943743" w:rsidP="001F79B0">
            <w:pPr>
              <w:suppressAutoHyphens w:val="0"/>
              <w:rPr>
                <w:bCs/>
                <w:szCs w:val="22"/>
                <w:lang w:val="de-DE"/>
              </w:rPr>
            </w:pPr>
            <w:r w:rsidRPr="00BD646C">
              <w:rPr>
                <w:bCs/>
                <w:szCs w:val="22"/>
                <w:lang w:val="de-DE"/>
              </w:rPr>
              <w:t>Tel: +31 (0)88 322 2843</w:t>
            </w:r>
          </w:p>
        </w:tc>
      </w:tr>
      <w:tr w:rsidR="00011D2F" w14:paraId="492FEA90" w14:textId="77777777" w:rsidTr="001F79B0">
        <w:tc>
          <w:tcPr>
            <w:tcW w:w="4644" w:type="dxa"/>
            <w:gridSpan w:val="2"/>
          </w:tcPr>
          <w:p w14:paraId="326E122F" w14:textId="77777777" w:rsidR="008604D4" w:rsidRPr="00BD646C" w:rsidRDefault="00943743" w:rsidP="001F79B0">
            <w:pPr>
              <w:suppressAutoHyphens w:val="0"/>
              <w:rPr>
                <w:b/>
                <w:bCs/>
                <w:szCs w:val="22"/>
                <w:lang w:val="et-EE"/>
              </w:rPr>
            </w:pPr>
            <w:r w:rsidRPr="00BD646C">
              <w:rPr>
                <w:b/>
                <w:bCs/>
                <w:szCs w:val="22"/>
                <w:lang w:val="et-EE"/>
              </w:rPr>
              <w:t>Eesti</w:t>
            </w:r>
          </w:p>
          <w:p w14:paraId="43BC65EC" w14:textId="77777777" w:rsidR="008604D4" w:rsidRPr="00BD646C" w:rsidRDefault="00943743" w:rsidP="001F79B0">
            <w:pPr>
              <w:suppressAutoHyphens w:val="0"/>
              <w:rPr>
                <w:bCs/>
                <w:szCs w:val="22"/>
                <w:lang w:val="et-EE"/>
              </w:rPr>
            </w:pPr>
            <w:r w:rsidRPr="00BD646C">
              <w:rPr>
                <w:bCs/>
                <w:szCs w:val="22"/>
                <w:lang w:val="et-EE"/>
              </w:rPr>
              <w:t xml:space="preserve">AbbVie </w:t>
            </w:r>
            <w:r w:rsidRPr="00BD646C">
              <w:rPr>
                <w:bCs/>
                <w:szCs w:val="22"/>
                <w:lang w:val="sk-SK"/>
              </w:rPr>
              <w:t>OÜ</w:t>
            </w:r>
            <w:r w:rsidRPr="00BD646C">
              <w:rPr>
                <w:bCs/>
                <w:szCs w:val="22"/>
                <w:lang w:val="et-EE"/>
              </w:rPr>
              <w:t xml:space="preserve"> </w:t>
            </w:r>
          </w:p>
          <w:p w14:paraId="2D9EE833" w14:textId="77777777" w:rsidR="008604D4" w:rsidRPr="00BD646C" w:rsidRDefault="00943743" w:rsidP="001F79B0">
            <w:pPr>
              <w:suppressAutoHyphens w:val="0"/>
              <w:rPr>
                <w:bCs/>
                <w:szCs w:val="22"/>
                <w:lang w:val="lv-LV"/>
              </w:rPr>
            </w:pPr>
            <w:r w:rsidRPr="00BD646C">
              <w:rPr>
                <w:bCs/>
                <w:szCs w:val="22"/>
                <w:lang w:val="et-EE"/>
              </w:rPr>
              <w:t>Tel: +372 623 1011</w:t>
            </w:r>
          </w:p>
        </w:tc>
        <w:tc>
          <w:tcPr>
            <w:tcW w:w="4678" w:type="dxa"/>
            <w:gridSpan w:val="2"/>
          </w:tcPr>
          <w:p w14:paraId="443EC1B9" w14:textId="77777777" w:rsidR="008604D4" w:rsidRPr="00BD646C" w:rsidRDefault="00943743" w:rsidP="001F79B0">
            <w:pPr>
              <w:suppressAutoHyphens w:val="0"/>
              <w:rPr>
                <w:b/>
                <w:bCs/>
                <w:szCs w:val="22"/>
                <w:lang w:val="nb-NO"/>
              </w:rPr>
            </w:pPr>
            <w:r w:rsidRPr="00BD646C">
              <w:rPr>
                <w:b/>
                <w:bCs/>
                <w:szCs w:val="22"/>
                <w:lang w:val="nb-NO"/>
              </w:rPr>
              <w:t>Norge</w:t>
            </w:r>
          </w:p>
          <w:p w14:paraId="369A9DD7" w14:textId="77777777" w:rsidR="008604D4" w:rsidRPr="00BD646C" w:rsidRDefault="00943743" w:rsidP="001F79B0">
            <w:pPr>
              <w:suppressAutoHyphens w:val="0"/>
              <w:rPr>
                <w:bCs/>
                <w:szCs w:val="22"/>
                <w:lang w:val="sk-SK"/>
              </w:rPr>
            </w:pPr>
            <w:r w:rsidRPr="00BD646C">
              <w:rPr>
                <w:bCs/>
                <w:szCs w:val="22"/>
                <w:lang w:val="sk-SK"/>
              </w:rPr>
              <w:t>AbbVie AS</w:t>
            </w:r>
          </w:p>
          <w:p w14:paraId="64A60D75" w14:textId="77777777" w:rsidR="008604D4" w:rsidRPr="00BD646C" w:rsidRDefault="00943743" w:rsidP="001F79B0">
            <w:pPr>
              <w:suppressAutoHyphens w:val="0"/>
              <w:rPr>
                <w:bCs/>
                <w:szCs w:val="22"/>
                <w:lang w:val="sk-SK"/>
              </w:rPr>
            </w:pPr>
            <w:r w:rsidRPr="00BD646C">
              <w:rPr>
                <w:bCs/>
                <w:szCs w:val="22"/>
                <w:lang w:val="sk-SK"/>
              </w:rPr>
              <w:t>Tlf: +47 67 81 80 00</w:t>
            </w:r>
          </w:p>
          <w:p w14:paraId="515F1EDD" w14:textId="77777777" w:rsidR="008604D4" w:rsidRPr="00BD646C" w:rsidRDefault="008604D4" w:rsidP="001F79B0">
            <w:pPr>
              <w:suppressAutoHyphens w:val="0"/>
              <w:rPr>
                <w:bCs/>
                <w:szCs w:val="22"/>
                <w:lang w:val="sk-SK"/>
              </w:rPr>
            </w:pPr>
          </w:p>
        </w:tc>
      </w:tr>
      <w:tr w:rsidR="00011D2F" w14:paraId="4B2F27BA" w14:textId="77777777" w:rsidTr="001F79B0">
        <w:trPr>
          <w:trHeight w:val="794"/>
        </w:trPr>
        <w:tc>
          <w:tcPr>
            <w:tcW w:w="4644" w:type="dxa"/>
            <w:gridSpan w:val="2"/>
          </w:tcPr>
          <w:p w14:paraId="4E466DD4" w14:textId="77777777" w:rsidR="008604D4" w:rsidRPr="00BD646C" w:rsidRDefault="00943743" w:rsidP="001F79B0">
            <w:pPr>
              <w:suppressAutoHyphens w:val="0"/>
              <w:rPr>
                <w:b/>
                <w:bCs/>
                <w:szCs w:val="22"/>
                <w:lang w:val="el-GR"/>
              </w:rPr>
            </w:pPr>
            <w:r w:rsidRPr="00BD646C">
              <w:rPr>
                <w:b/>
                <w:bCs/>
                <w:szCs w:val="22"/>
                <w:lang w:val="el-GR"/>
              </w:rPr>
              <w:t>Ελλάδα</w:t>
            </w:r>
          </w:p>
          <w:p w14:paraId="7EF03DD8" w14:textId="77777777" w:rsidR="008604D4" w:rsidRPr="00BD646C" w:rsidRDefault="00943743" w:rsidP="001F79B0">
            <w:pPr>
              <w:suppressAutoHyphens w:val="0"/>
              <w:rPr>
                <w:bCs/>
                <w:szCs w:val="22"/>
                <w:lang w:val="el-GR"/>
              </w:rPr>
            </w:pPr>
            <w:r w:rsidRPr="00BD646C">
              <w:rPr>
                <w:bCs/>
                <w:szCs w:val="22"/>
                <w:lang w:val="et-EE"/>
              </w:rPr>
              <w:t xml:space="preserve">AbbVie </w:t>
            </w:r>
            <w:r w:rsidRPr="00BD646C">
              <w:rPr>
                <w:szCs w:val="22"/>
                <w:lang w:val="el-GR"/>
              </w:rPr>
              <w:t>ΦΑΡΜΑΚΕΥΤΙΚΗ Α.Ε.</w:t>
            </w:r>
          </w:p>
          <w:p w14:paraId="618193E2" w14:textId="77777777" w:rsidR="008604D4" w:rsidRPr="00BD646C" w:rsidRDefault="00943743" w:rsidP="001F79B0">
            <w:pPr>
              <w:suppressAutoHyphens w:val="0"/>
              <w:rPr>
                <w:bCs/>
                <w:szCs w:val="22"/>
                <w:lang w:val="sk-SK"/>
              </w:rPr>
            </w:pPr>
            <w:r w:rsidRPr="00BD646C">
              <w:rPr>
                <w:bCs/>
                <w:szCs w:val="22"/>
                <w:lang w:val="el-GR"/>
              </w:rPr>
              <w:t xml:space="preserve">Τηλ: +30 </w:t>
            </w:r>
            <w:r w:rsidRPr="00BD646C">
              <w:rPr>
                <w:bCs/>
                <w:szCs w:val="22"/>
                <w:lang w:val="sk-SK"/>
              </w:rPr>
              <w:t>214 4165 555</w:t>
            </w:r>
          </w:p>
        </w:tc>
        <w:tc>
          <w:tcPr>
            <w:tcW w:w="4678" w:type="dxa"/>
            <w:gridSpan w:val="2"/>
          </w:tcPr>
          <w:p w14:paraId="43132E3A" w14:textId="77777777" w:rsidR="008604D4" w:rsidRPr="00BD646C" w:rsidRDefault="00943743" w:rsidP="001F79B0">
            <w:pPr>
              <w:suppressAutoHyphens w:val="0"/>
              <w:rPr>
                <w:b/>
                <w:bCs/>
                <w:szCs w:val="22"/>
                <w:lang w:val="de-DE"/>
              </w:rPr>
            </w:pPr>
            <w:r w:rsidRPr="00BD646C">
              <w:rPr>
                <w:b/>
                <w:bCs/>
                <w:szCs w:val="22"/>
                <w:lang w:val="de-DE"/>
              </w:rPr>
              <w:t>Österreich</w:t>
            </w:r>
          </w:p>
          <w:p w14:paraId="51E13AD7" w14:textId="77777777" w:rsidR="008604D4" w:rsidRPr="00BD646C" w:rsidRDefault="00943743" w:rsidP="001F79B0">
            <w:pPr>
              <w:suppressAutoHyphens w:val="0"/>
              <w:rPr>
                <w:bCs/>
                <w:szCs w:val="22"/>
                <w:lang w:val="de-DE"/>
              </w:rPr>
            </w:pPr>
            <w:r w:rsidRPr="00BD646C">
              <w:rPr>
                <w:bCs/>
                <w:szCs w:val="22"/>
                <w:lang w:val="de-DE"/>
              </w:rPr>
              <w:t xml:space="preserve">AbbVie GmbH </w:t>
            </w:r>
          </w:p>
          <w:p w14:paraId="489B26CB" w14:textId="77777777" w:rsidR="008604D4" w:rsidRPr="00BD646C" w:rsidRDefault="00943743" w:rsidP="001F79B0">
            <w:pPr>
              <w:suppressAutoHyphens w:val="0"/>
              <w:rPr>
                <w:bCs/>
                <w:szCs w:val="22"/>
                <w:lang w:val="de-DE"/>
              </w:rPr>
            </w:pPr>
            <w:r w:rsidRPr="00BD646C">
              <w:rPr>
                <w:bCs/>
                <w:szCs w:val="22"/>
                <w:lang w:val="de-DE"/>
              </w:rPr>
              <w:t>Tel: +43 1 20589-0</w:t>
            </w:r>
          </w:p>
          <w:p w14:paraId="032C07AD" w14:textId="77777777" w:rsidR="008604D4" w:rsidRPr="00BD646C" w:rsidRDefault="008604D4" w:rsidP="001F79B0">
            <w:pPr>
              <w:suppressAutoHyphens w:val="0"/>
              <w:rPr>
                <w:bCs/>
                <w:szCs w:val="22"/>
                <w:lang w:val="de-DE"/>
              </w:rPr>
            </w:pPr>
          </w:p>
        </w:tc>
      </w:tr>
      <w:tr w:rsidR="00011D2F" w14:paraId="2F36531F" w14:textId="77777777" w:rsidTr="001F79B0">
        <w:trPr>
          <w:gridBefore w:val="1"/>
          <w:wBefore w:w="34" w:type="dxa"/>
        </w:trPr>
        <w:tc>
          <w:tcPr>
            <w:tcW w:w="4644" w:type="dxa"/>
            <w:gridSpan w:val="2"/>
          </w:tcPr>
          <w:p w14:paraId="6B13E708" w14:textId="77777777" w:rsidR="008604D4" w:rsidRPr="00BD646C" w:rsidRDefault="00943743" w:rsidP="001F79B0">
            <w:pPr>
              <w:suppressAutoHyphens w:val="0"/>
              <w:rPr>
                <w:b/>
                <w:bCs/>
                <w:szCs w:val="22"/>
                <w:lang w:val="es-ES"/>
              </w:rPr>
            </w:pPr>
            <w:r w:rsidRPr="00BD646C">
              <w:rPr>
                <w:b/>
                <w:bCs/>
                <w:szCs w:val="22"/>
                <w:lang w:val="es-ES"/>
              </w:rPr>
              <w:t>España</w:t>
            </w:r>
          </w:p>
          <w:p w14:paraId="7593144A" w14:textId="77777777" w:rsidR="008604D4" w:rsidRPr="00BD646C" w:rsidRDefault="00943743" w:rsidP="001F79B0">
            <w:pPr>
              <w:suppressAutoHyphens w:val="0"/>
              <w:rPr>
                <w:szCs w:val="22"/>
                <w:lang w:val="es-ES"/>
              </w:rPr>
            </w:pPr>
            <w:r w:rsidRPr="00BD646C">
              <w:rPr>
                <w:szCs w:val="22"/>
                <w:lang w:val="es-ES"/>
              </w:rPr>
              <w:t xml:space="preserve">AbbVie </w:t>
            </w:r>
            <w:r w:rsidRPr="00BD646C">
              <w:rPr>
                <w:bCs/>
                <w:szCs w:val="22"/>
                <w:lang w:val="es-ES"/>
              </w:rPr>
              <w:t>Spain</w:t>
            </w:r>
            <w:r w:rsidRPr="00BD646C">
              <w:rPr>
                <w:szCs w:val="22"/>
                <w:lang w:val="es-ES"/>
              </w:rPr>
              <w:t>, S.L.U</w:t>
            </w:r>
            <w:r w:rsidRPr="00BD646C">
              <w:rPr>
                <w:bCs/>
                <w:szCs w:val="22"/>
                <w:lang w:val="es-ES"/>
              </w:rPr>
              <w:t>.</w:t>
            </w:r>
          </w:p>
          <w:p w14:paraId="267E5ACA" w14:textId="77777777" w:rsidR="008604D4" w:rsidRPr="00BD646C" w:rsidRDefault="00943743" w:rsidP="001F79B0">
            <w:pPr>
              <w:suppressAutoHyphens w:val="0"/>
              <w:rPr>
                <w:bCs/>
                <w:szCs w:val="22"/>
                <w:lang w:val="pl-PL"/>
              </w:rPr>
            </w:pPr>
            <w:r w:rsidRPr="00BD646C">
              <w:rPr>
                <w:bCs/>
                <w:szCs w:val="22"/>
                <w:lang w:val="pt-PT"/>
              </w:rPr>
              <w:t>Tel: +34 91 384 09 10</w:t>
            </w:r>
          </w:p>
        </w:tc>
        <w:tc>
          <w:tcPr>
            <w:tcW w:w="4678" w:type="dxa"/>
          </w:tcPr>
          <w:p w14:paraId="586DAD41" w14:textId="77777777" w:rsidR="008604D4" w:rsidRPr="00BD646C" w:rsidRDefault="00943743" w:rsidP="001F79B0">
            <w:pPr>
              <w:suppressAutoHyphens w:val="0"/>
              <w:rPr>
                <w:b/>
                <w:bCs/>
                <w:iCs/>
                <w:szCs w:val="22"/>
                <w:lang w:val="pl-PL"/>
              </w:rPr>
            </w:pPr>
            <w:r w:rsidRPr="00BD646C">
              <w:rPr>
                <w:b/>
                <w:bCs/>
                <w:iCs/>
                <w:szCs w:val="22"/>
                <w:lang w:val="pl-PL"/>
              </w:rPr>
              <w:t>Polska</w:t>
            </w:r>
          </w:p>
          <w:p w14:paraId="029C8776" w14:textId="77777777" w:rsidR="008604D4" w:rsidRPr="00BD646C" w:rsidRDefault="00943743" w:rsidP="001F79B0">
            <w:pPr>
              <w:suppressAutoHyphens w:val="0"/>
              <w:rPr>
                <w:bCs/>
                <w:szCs w:val="22"/>
                <w:lang w:val="pl-PL"/>
              </w:rPr>
            </w:pPr>
            <w:r w:rsidRPr="00BD646C">
              <w:rPr>
                <w:bCs/>
                <w:szCs w:val="22"/>
                <w:lang w:val="pl-PL"/>
              </w:rPr>
              <w:t>AbbVie Sp. z o.o.</w:t>
            </w:r>
          </w:p>
          <w:p w14:paraId="4A055C1C" w14:textId="77777777" w:rsidR="008604D4" w:rsidRPr="00BD646C" w:rsidRDefault="00943743" w:rsidP="001F79B0">
            <w:pPr>
              <w:suppressAutoHyphens w:val="0"/>
              <w:rPr>
                <w:bCs/>
                <w:szCs w:val="22"/>
                <w:lang w:val="pl-PL"/>
              </w:rPr>
            </w:pPr>
            <w:r w:rsidRPr="00BD646C">
              <w:rPr>
                <w:szCs w:val="22"/>
                <w:lang w:val="es-ES"/>
              </w:rPr>
              <w:t xml:space="preserve">Tel.: +48 22 </w:t>
            </w:r>
            <w:r w:rsidRPr="00BD646C">
              <w:rPr>
                <w:bCs/>
                <w:szCs w:val="22"/>
                <w:lang w:val="pl-PL"/>
              </w:rPr>
              <w:t xml:space="preserve">372 78 00 </w:t>
            </w:r>
          </w:p>
          <w:p w14:paraId="4AAB7863" w14:textId="77777777" w:rsidR="008604D4" w:rsidRPr="00BD646C" w:rsidRDefault="008604D4" w:rsidP="001F79B0">
            <w:pPr>
              <w:suppressAutoHyphens w:val="0"/>
              <w:rPr>
                <w:bCs/>
                <w:szCs w:val="22"/>
                <w:lang w:val="pl-PL"/>
              </w:rPr>
            </w:pPr>
          </w:p>
        </w:tc>
      </w:tr>
      <w:tr w:rsidR="00011D2F" w14:paraId="39C5E8EF" w14:textId="77777777" w:rsidTr="001F79B0">
        <w:trPr>
          <w:trHeight w:val="734"/>
        </w:trPr>
        <w:tc>
          <w:tcPr>
            <w:tcW w:w="4678" w:type="dxa"/>
            <w:gridSpan w:val="3"/>
          </w:tcPr>
          <w:p w14:paraId="521F87FB" w14:textId="77777777" w:rsidR="008604D4" w:rsidRPr="00BD646C" w:rsidRDefault="00943743" w:rsidP="001F79B0">
            <w:pPr>
              <w:suppressAutoHyphens w:val="0"/>
              <w:rPr>
                <w:b/>
                <w:bCs/>
                <w:szCs w:val="22"/>
                <w:lang w:val="fr-FR"/>
              </w:rPr>
            </w:pPr>
            <w:r w:rsidRPr="00BD646C">
              <w:rPr>
                <w:b/>
                <w:bCs/>
                <w:szCs w:val="22"/>
                <w:lang w:val="fr-FR"/>
              </w:rPr>
              <w:t>France</w:t>
            </w:r>
          </w:p>
          <w:p w14:paraId="1EB0791C" w14:textId="77777777" w:rsidR="008604D4" w:rsidRPr="00BD646C" w:rsidRDefault="00943743" w:rsidP="001F79B0">
            <w:pPr>
              <w:suppressAutoHyphens w:val="0"/>
              <w:rPr>
                <w:bCs/>
                <w:szCs w:val="22"/>
                <w:lang w:val="fr-FR"/>
              </w:rPr>
            </w:pPr>
            <w:r w:rsidRPr="00BD646C">
              <w:rPr>
                <w:bCs/>
                <w:szCs w:val="22"/>
                <w:lang w:val="fr-FR"/>
              </w:rPr>
              <w:t>AbbVie</w:t>
            </w:r>
          </w:p>
          <w:p w14:paraId="7322E13D" w14:textId="77777777" w:rsidR="008604D4" w:rsidRPr="00BD646C" w:rsidRDefault="00943743" w:rsidP="001F79B0">
            <w:pPr>
              <w:suppressAutoHyphens w:val="0"/>
              <w:rPr>
                <w:bCs/>
                <w:szCs w:val="22"/>
                <w:lang w:val="fr-FR"/>
              </w:rPr>
            </w:pPr>
            <w:r w:rsidRPr="00BD646C">
              <w:rPr>
                <w:bCs/>
                <w:szCs w:val="22"/>
                <w:lang w:val="fr-FR"/>
              </w:rPr>
              <w:t>Tél: +33 (0) 1 45 60 13 00</w:t>
            </w:r>
          </w:p>
        </w:tc>
        <w:tc>
          <w:tcPr>
            <w:tcW w:w="4678" w:type="dxa"/>
          </w:tcPr>
          <w:p w14:paraId="1C27D899" w14:textId="77777777" w:rsidR="008604D4" w:rsidRPr="00BD646C" w:rsidRDefault="00943743" w:rsidP="001F79B0">
            <w:pPr>
              <w:suppressAutoHyphens w:val="0"/>
              <w:rPr>
                <w:b/>
                <w:bCs/>
                <w:szCs w:val="22"/>
                <w:lang w:val="pt-PT"/>
              </w:rPr>
            </w:pPr>
            <w:r w:rsidRPr="00BD646C">
              <w:rPr>
                <w:b/>
                <w:bCs/>
                <w:szCs w:val="22"/>
                <w:lang w:val="pt-PT"/>
              </w:rPr>
              <w:t>Portugal</w:t>
            </w:r>
          </w:p>
          <w:p w14:paraId="3FAD2DBD" w14:textId="77777777" w:rsidR="008604D4" w:rsidRPr="00BD646C" w:rsidRDefault="00943743" w:rsidP="001F79B0">
            <w:pPr>
              <w:suppressAutoHyphens w:val="0"/>
              <w:rPr>
                <w:bCs/>
                <w:szCs w:val="22"/>
                <w:lang w:val="fr-FR"/>
              </w:rPr>
            </w:pPr>
            <w:r w:rsidRPr="00BD646C">
              <w:rPr>
                <w:bCs/>
                <w:szCs w:val="22"/>
                <w:lang w:val="fr-FR"/>
              </w:rPr>
              <w:t xml:space="preserve">AbbVie, Lda. </w:t>
            </w:r>
          </w:p>
          <w:p w14:paraId="71C0826D" w14:textId="77777777" w:rsidR="008604D4" w:rsidRPr="00BD646C" w:rsidRDefault="00943743" w:rsidP="001F79B0">
            <w:pPr>
              <w:suppressAutoHyphens w:val="0"/>
              <w:rPr>
                <w:szCs w:val="22"/>
                <w:lang w:val="fr-FR"/>
              </w:rPr>
            </w:pPr>
            <w:r w:rsidRPr="00BD646C">
              <w:rPr>
                <w:szCs w:val="22"/>
                <w:lang w:val="fr-FR"/>
              </w:rPr>
              <w:t>Tel: +351 (0)21 1908400</w:t>
            </w:r>
          </w:p>
          <w:p w14:paraId="0158767A" w14:textId="77777777" w:rsidR="008604D4" w:rsidRPr="00BD646C" w:rsidRDefault="008604D4" w:rsidP="001F79B0">
            <w:pPr>
              <w:suppressAutoHyphens w:val="0"/>
              <w:rPr>
                <w:szCs w:val="22"/>
                <w:lang w:val="fr-FR"/>
              </w:rPr>
            </w:pPr>
          </w:p>
        </w:tc>
      </w:tr>
      <w:tr w:rsidR="00011D2F" w14:paraId="67DD0883" w14:textId="77777777" w:rsidTr="001F79B0">
        <w:trPr>
          <w:gridBefore w:val="1"/>
          <w:wBefore w:w="34" w:type="dxa"/>
        </w:trPr>
        <w:tc>
          <w:tcPr>
            <w:tcW w:w="4644" w:type="dxa"/>
            <w:gridSpan w:val="2"/>
          </w:tcPr>
          <w:p w14:paraId="7885DEA8" w14:textId="77777777" w:rsidR="008604D4" w:rsidRPr="0047544D" w:rsidRDefault="00943743" w:rsidP="008604D4">
            <w:pPr>
              <w:keepNext/>
              <w:suppressAutoHyphens w:val="0"/>
              <w:rPr>
                <w:szCs w:val="22"/>
              </w:rPr>
            </w:pPr>
            <w:r w:rsidRPr="0047544D">
              <w:rPr>
                <w:b/>
                <w:bCs/>
                <w:szCs w:val="22"/>
              </w:rPr>
              <w:t xml:space="preserve">Hrvatska </w:t>
            </w:r>
          </w:p>
          <w:p w14:paraId="42BBC36D" w14:textId="77777777" w:rsidR="008604D4" w:rsidRPr="00BD646C" w:rsidRDefault="00943743" w:rsidP="008604D4">
            <w:pPr>
              <w:keepNext/>
              <w:suppressAutoHyphens w:val="0"/>
              <w:rPr>
                <w:szCs w:val="22"/>
                <w:lang w:val="hr-HR"/>
              </w:rPr>
            </w:pPr>
            <w:r w:rsidRPr="00BD646C">
              <w:rPr>
                <w:szCs w:val="22"/>
                <w:lang w:val="hr-HR"/>
              </w:rPr>
              <w:t>AbbVie d.o.o.</w:t>
            </w:r>
          </w:p>
          <w:p w14:paraId="3844F1C2" w14:textId="77777777" w:rsidR="008604D4" w:rsidRPr="00BD646C" w:rsidRDefault="00943743" w:rsidP="008604D4">
            <w:pPr>
              <w:keepNext/>
              <w:suppressAutoHyphens w:val="0"/>
              <w:rPr>
                <w:bCs/>
                <w:szCs w:val="22"/>
                <w:lang w:val="it-IT"/>
              </w:rPr>
            </w:pPr>
            <w:r w:rsidRPr="00BD646C">
              <w:rPr>
                <w:szCs w:val="22"/>
                <w:lang w:val="hr-HR"/>
              </w:rPr>
              <w:t xml:space="preserve">Tel + 385 (0)1 </w:t>
            </w:r>
            <w:r w:rsidRPr="00BD646C">
              <w:rPr>
                <w:szCs w:val="22"/>
                <w:lang w:val="en-US"/>
              </w:rPr>
              <w:t>5625 501</w:t>
            </w:r>
          </w:p>
        </w:tc>
        <w:tc>
          <w:tcPr>
            <w:tcW w:w="4678" w:type="dxa"/>
          </w:tcPr>
          <w:p w14:paraId="47FB6C0E" w14:textId="77777777" w:rsidR="008604D4" w:rsidRPr="00BD646C" w:rsidRDefault="00943743" w:rsidP="008604D4">
            <w:pPr>
              <w:keepNext/>
              <w:suppressAutoHyphens w:val="0"/>
              <w:rPr>
                <w:b/>
                <w:bCs/>
                <w:szCs w:val="22"/>
                <w:lang w:val="it-IT"/>
              </w:rPr>
            </w:pPr>
            <w:r w:rsidRPr="00BD646C">
              <w:rPr>
                <w:b/>
                <w:bCs/>
                <w:szCs w:val="22"/>
                <w:lang w:val="it-IT"/>
              </w:rPr>
              <w:t>România</w:t>
            </w:r>
          </w:p>
          <w:p w14:paraId="136D20FE" w14:textId="77777777" w:rsidR="008604D4" w:rsidRPr="00BD646C" w:rsidRDefault="00943743" w:rsidP="008604D4">
            <w:pPr>
              <w:keepNext/>
              <w:suppressAutoHyphens w:val="0"/>
              <w:rPr>
                <w:szCs w:val="22"/>
                <w:lang w:val="it-IT"/>
              </w:rPr>
            </w:pPr>
            <w:r w:rsidRPr="00BD646C">
              <w:rPr>
                <w:szCs w:val="22"/>
                <w:lang w:val="it-IT"/>
              </w:rPr>
              <w:t>AbbVie S.R.L.</w:t>
            </w:r>
          </w:p>
          <w:p w14:paraId="5C9763D3" w14:textId="77777777" w:rsidR="008604D4" w:rsidRPr="00BD646C" w:rsidRDefault="00943743" w:rsidP="008604D4">
            <w:pPr>
              <w:keepNext/>
              <w:suppressAutoHyphens w:val="0"/>
              <w:rPr>
                <w:szCs w:val="22"/>
                <w:lang w:val="pl-PL"/>
              </w:rPr>
            </w:pPr>
            <w:r w:rsidRPr="00BD646C">
              <w:rPr>
                <w:szCs w:val="22"/>
                <w:lang w:val="pl-PL"/>
              </w:rPr>
              <w:t>Tel: +40 21 529 30 35</w:t>
            </w:r>
          </w:p>
          <w:p w14:paraId="36DD6E4B" w14:textId="77777777" w:rsidR="008604D4" w:rsidRPr="00BD646C" w:rsidRDefault="008604D4" w:rsidP="008604D4">
            <w:pPr>
              <w:keepNext/>
              <w:suppressAutoHyphens w:val="0"/>
              <w:rPr>
                <w:szCs w:val="22"/>
                <w:lang w:val="pl-PL"/>
              </w:rPr>
            </w:pPr>
          </w:p>
        </w:tc>
      </w:tr>
      <w:tr w:rsidR="00011D2F" w14:paraId="323EA4F6" w14:textId="77777777" w:rsidTr="001F79B0">
        <w:trPr>
          <w:gridBefore w:val="1"/>
          <w:wBefore w:w="34" w:type="dxa"/>
        </w:trPr>
        <w:tc>
          <w:tcPr>
            <w:tcW w:w="4644" w:type="dxa"/>
            <w:gridSpan w:val="2"/>
          </w:tcPr>
          <w:p w14:paraId="259C7E8E" w14:textId="77777777" w:rsidR="008604D4" w:rsidRPr="00BD646C" w:rsidRDefault="00943743" w:rsidP="001F79B0">
            <w:pPr>
              <w:suppressAutoHyphens w:val="0"/>
              <w:rPr>
                <w:b/>
                <w:bCs/>
                <w:szCs w:val="22"/>
                <w:lang w:val="sk-SK"/>
              </w:rPr>
            </w:pPr>
            <w:r w:rsidRPr="00BD646C">
              <w:rPr>
                <w:b/>
                <w:bCs/>
                <w:szCs w:val="22"/>
                <w:lang w:val="sk-SK"/>
              </w:rPr>
              <w:t>Ireland</w:t>
            </w:r>
          </w:p>
          <w:p w14:paraId="7FAFD5D0" w14:textId="77777777" w:rsidR="008604D4" w:rsidRPr="00BD646C" w:rsidRDefault="00943743" w:rsidP="001F79B0">
            <w:pPr>
              <w:suppressAutoHyphens w:val="0"/>
              <w:rPr>
                <w:bCs/>
                <w:szCs w:val="22"/>
                <w:lang w:val="sk-SK"/>
              </w:rPr>
            </w:pPr>
            <w:r w:rsidRPr="00BD646C">
              <w:rPr>
                <w:bCs/>
                <w:szCs w:val="22"/>
                <w:lang w:val="sk-SK"/>
              </w:rPr>
              <w:t xml:space="preserve">AbbVie Limited </w:t>
            </w:r>
          </w:p>
          <w:p w14:paraId="17AA90AA" w14:textId="77777777" w:rsidR="008604D4" w:rsidRPr="00BD646C" w:rsidRDefault="00943743" w:rsidP="001F79B0">
            <w:pPr>
              <w:suppressAutoHyphens w:val="0"/>
              <w:rPr>
                <w:bCs/>
                <w:szCs w:val="22"/>
                <w:lang w:val="sk-SK"/>
              </w:rPr>
            </w:pPr>
            <w:r w:rsidRPr="00BD646C">
              <w:rPr>
                <w:bCs/>
                <w:szCs w:val="22"/>
                <w:lang w:val="pt-PT"/>
              </w:rPr>
              <w:t>Tel: +353 (0)1 42879</w:t>
            </w:r>
            <w:r w:rsidR="001C51F1">
              <w:rPr>
                <w:bCs/>
                <w:szCs w:val="22"/>
                <w:lang w:val="pt-PT"/>
              </w:rPr>
              <w:t>0</w:t>
            </w:r>
            <w:r w:rsidRPr="00BD646C">
              <w:rPr>
                <w:bCs/>
                <w:szCs w:val="22"/>
                <w:lang w:val="pt-PT"/>
              </w:rPr>
              <w:t>0</w:t>
            </w:r>
          </w:p>
        </w:tc>
        <w:tc>
          <w:tcPr>
            <w:tcW w:w="4678" w:type="dxa"/>
          </w:tcPr>
          <w:p w14:paraId="057C863B" w14:textId="77777777" w:rsidR="008604D4" w:rsidRPr="00BD646C" w:rsidRDefault="00943743" w:rsidP="001F79B0">
            <w:pPr>
              <w:suppressAutoHyphens w:val="0"/>
              <w:rPr>
                <w:b/>
                <w:bCs/>
                <w:szCs w:val="22"/>
                <w:lang w:val="sl-SI"/>
              </w:rPr>
            </w:pPr>
            <w:r w:rsidRPr="00BD646C">
              <w:rPr>
                <w:b/>
                <w:bCs/>
                <w:szCs w:val="22"/>
                <w:lang w:val="sl-SI"/>
              </w:rPr>
              <w:t>Slovenija</w:t>
            </w:r>
          </w:p>
          <w:p w14:paraId="153628F4" w14:textId="77777777" w:rsidR="008604D4" w:rsidRPr="00BD646C" w:rsidRDefault="00943743" w:rsidP="001F79B0">
            <w:pPr>
              <w:suppressAutoHyphens w:val="0"/>
              <w:rPr>
                <w:bCs/>
                <w:szCs w:val="22"/>
                <w:lang w:val="sl-SI"/>
              </w:rPr>
            </w:pPr>
            <w:r w:rsidRPr="00BD646C">
              <w:rPr>
                <w:bCs/>
                <w:szCs w:val="22"/>
                <w:lang w:val="sl-SI"/>
              </w:rPr>
              <w:t xml:space="preserve">AbbVie </w:t>
            </w:r>
            <w:r w:rsidRPr="00BD646C">
              <w:rPr>
                <w:szCs w:val="22"/>
                <w:lang w:val="sl-SI"/>
              </w:rPr>
              <w:t>Biofarmacevtska družba d.o.o.</w:t>
            </w:r>
          </w:p>
          <w:p w14:paraId="59CDCFDD" w14:textId="77777777" w:rsidR="008604D4" w:rsidRPr="00BD646C" w:rsidRDefault="00943743" w:rsidP="001F79B0">
            <w:pPr>
              <w:suppressAutoHyphens w:val="0"/>
              <w:rPr>
                <w:bCs/>
                <w:szCs w:val="22"/>
                <w:lang w:val="sl-SI"/>
              </w:rPr>
            </w:pPr>
            <w:r w:rsidRPr="00BD646C">
              <w:rPr>
                <w:bCs/>
                <w:szCs w:val="22"/>
                <w:lang w:val="sl-SI"/>
              </w:rPr>
              <w:t>Tel: +386 (1)32 08 060</w:t>
            </w:r>
          </w:p>
          <w:p w14:paraId="47AC261B" w14:textId="77777777" w:rsidR="008604D4" w:rsidRPr="00BD646C" w:rsidRDefault="008604D4" w:rsidP="001F79B0">
            <w:pPr>
              <w:suppressAutoHyphens w:val="0"/>
              <w:rPr>
                <w:bCs/>
                <w:szCs w:val="22"/>
                <w:lang w:val="sl-SI"/>
              </w:rPr>
            </w:pPr>
          </w:p>
        </w:tc>
      </w:tr>
      <w:tr w:rsidR="00011D2F" w14:paraId="56A3DF72" w14:textId="77777777" w:rsidTr="001F79B0">
        <w:trPr>
          <w:gridBefore w:val="1"/>
          <w:wBefore w:w="34" w:type="dxa"/>
        </w:trPr>
        <w:tc>
          <w:tcPr>
            <w:tcW w:w="4644" w:type="dxa"/>
            <w:gridSpan w:val="2"/>
          </w:tcPr>
          <w:p w14:paraId="284B5253" w14:textId="77777777" w:rsidR="008604D4" w:rsidRPr="00BD646C" w:rsidRDefault="00943743" w:rsidP="001F79B0">
            <w:pPr>
              <w:suppressAutoHyphens w:val="0"/>
              <w:rPr>
                <w:b/>
                <w:bCs/>
                <w:szCs w:val="22"/>
                <w:lang w:val="is-IS"/>
              </w:rPr>
            </w:pPr>
            <w:r w:rsidRPr="00BD646C">
              <w:rPr>
                <w:b/>
                <w:bCs/>
                <w:szCs w:val="22"/>
                <w:lang w:val="is-IS"/>
              </w:rPr>
              <w:t>Ísland</w:t>
            </w:r>
          </w:p>
          <w:p w14:paraId="6CA215A3" w14:textId="77777777" w:rsidR="008604D4" w:rsidRPr="00BD646C" w:rsidRDefault="00943743" w:rsidP="001F79B0">
            <w:pPr>
              <w:suppressAutoHyphens w:val="0"/>
              <w:rPr>
                <w:bCs/>
                <w:szCs w:val="22"/>
                <w:lang w:val="sk-SK"/>
              </w:rPr>
            </w:pPr>
            <w:r w:rsidRPr="00BD646C">
              <w:rPr>
                <w:bCs/>
                <w:szCs w:val="22"/>
                <w:lang w:val="sk-SK"/>
              </w:rPr>
              <w:t>Vistor</w:t>
            </w:r>
            <w:del w:id="14052" w:author="AbbVie_HU_03" w:date="2025-05-14T16:50:00Z">
              <w:r w:rsidRPr="00BD646C">
                <w:rPr>
                  <w:bCs/>
                  <w:szCs w:val="22"/>
                  <w:lang w:val="sk-SK"/>
                </w:rPr>
                <w:delText xml:space="preserve"> hf.</w:delText>
              </w:r>
            </w:del>
          </w:p>
          <w:p w14:paraId="2125061A" w14:textId="77777777" w:rsidR="008604D4" w:rsidRPr="00BD646C" w:rsidRDefault="00943743" w:rsidP="001F79B0">
            <w:pPr>
              <w:suppressAutoHyphens w:val="0"/>
              <w:rPr>
                <w:bCs/>
                <w:szCs w:val="22"/>
                <w:lang w:val="sk-SK"/>
              </w:rPr>
            </w:pPr>
            <w:r w:rsidRPr="00BD646C">
              <w:rPr>
                <w:bCs/>
                <w:szCs w:val="22"/>
                <w:lang w:val="sk-SK"/>
              </w:rPr>
              <w:t>Tel: +354 535 7000</w:t>
            </w:r>
          </w:p>
        </w:tc>
        <w:tc>
          <w:tcPr>
            <w:tcW w:w="4678" w:type="dxa"/>
          </w:tcPr>
          <w:p w14:paraId="2467DEE6" w14:textId="77777777" w:rsidR="008604D4" w:rsidRPr="00BD646C" w:rsidRDefault="00943743" w:rsidP="001F79B0">
            <w:pPr>
              <w:suppressAutoHyphens w:val="0"/>
              <w:rPr>
                <w:b/>
                <w:bCs/>
                <w:szCs w:val="22"/>
                <w:lang w:val="sk-SK"/>
              </w:rPr>
            </w:pPr>
            <w:r w:rsidRPr="00BD646C">
              <w:rPr>
                <w:b/>
                <w:bCs/>
                <w:szCs w:val="22"/>
                <w:lang w:val="sk-SK"/>
              </w:rPr>
              <w:t>Slovenská republika</w:t>
            </w:r>
          </w:p>
          <w:p w14:paraId="3FDEF406" w14:textId="77777777" w:rsidR="008604D4" w:rsidRPr="00BD646C" w:rsidRDefault="00943743" w:rsidP="001F79B0">
            <w:pPr>
              <w:suppressAutoHyphens w:val="0"/>
              <w:rPr>
                <w:bCs/>
                <w:szCs w:val="22"/>
                <w:lang w:val="sk-SK"/>
              </w:rPr>
            </w:pPr>
            <w:r w:rsidRPr="00BD646C">
              <w:rPr>
                <w:bCs/>
                <w:szCs w:val="22"/>
                <w:lang w:val="sk-SK"/>
              </w:rPr>
              <w:t>AbbVie s.r.o.</w:t>
            </w:r>
          </w:p>
          <w:p w14:paraId="6744552E" w14:textId="77777777" w:rsidR="008604D4" w:rsidRPr="00BD646C" w:rsidRDefault="00943743" w:rsidP="001F79B0">
            <w:pPr>
              <w:suppressAutoHyphens w:val="0"/>
              <w:rPr>
                <w:bCs/>
                <w:szCs w:val="22"/>
                <w:lang w:val="sk-SK"/>
              </w:rPr>
            </w:pPr>
            <w:r w:rsidRPr="00BD646C">
              <w:rPr>
                <w:bCs/>
                <w:szCs w:val="22"/>
                <w:lang w:val="sk-SK"/>
              </w:rPr>
              <w:t>Tel: +421 2 5050 0777</w:t>
            </w:r>
          </w:p>
          <w:p w14:paraId="4384BF18" w14:textId="77777777" w:rsidR="008604D4" w:rsidRPr="00BD646C" w:rsidRDefault="008604D4" w:rsidP="001F79B0">
            <w:pPr>
              <w:suppressAutoHyphens w:val="0"/>
              <w:rPr>
                <w:bCs/>
                <w:szCs w:val="22"/>
                <w:lang w:val="sk-SK"/>
              </w:rPr>
            </w:pPr>
          </w:p>
        </w:tc>
      </w:tr>
      <w:tr w:rsidR="00011D2F" w14:paraId="4A2E88E0" w14:textId="77777777" w:rsidTr="001F79B0">
        <w:trPr>
          <w:gridBefore w:val="1"/>
          <w:wBefore w:w="34" w:type="dxa"/>
        </w:trPr>
        <w:tc>
          <w:tcPr>
            <w:tcW w:w="4644" w:type="dxa"/>
            <w:gridSpan w:val="2"/>
          </w:tcPr>
          <w:p w14:paraId="67C00F8C" w14:textId="77777777" w:rsidR="008604D4" w:rsidRPr="00BD646C" w:rsidRDefault="00943743" w:rsidP="001F79B0">
            <w:pPr>
              <w:suppressAutoHyphens w:val="0"/>
              <w:rPr>
                <w:b/>
                <w:bCs/>
                <w:szCs w:val="22"/>
                <w:lang w:val="it-IT"/>
              </w:rPr>
            </w:pPr>
            <w:r w:rsidRPr="00BD646C">
              <w:rPr>
                <w:b/>
                <w:bCs/>
                <w:szCs w:val="22"/>
                <w:lang w:val="it-IT"/>
              </w:rPr>
              <w:t>Italia</w:t>
            </w:r>
          </w:p>
          <w:p w14:paraId="4E2166B8" w14:textId="77777777" w:rsidR="008604D4" w:rsidRPr="00BD646C" w:rsidRDefault="00943743" w:rsidP="001F79B0">
            <w:pPr>
              <w:suppressAutoHyphens w:val="0"/>
              <w:rPr>
                <w:bCs/>
                <w:szCs w:val="22"/>
                <w:lang w:val="pt-PT"/>
              </w:rPr>
            </w:pPr>
            <w:r w:rsidRPr="00BD646C">
              <w:rPr>
                <w:bCs/>
                <w:szCs w:val="22"/>
                <w:lang w:val="pt-PT"/>
              </w:rPr>
              <w:t xml:space="preserve">AbbVie S.r.l. </w:t>
            </w:r>
          </w:p>
          <w:p w14:paraId="726E7A28" w14:textId="77777777" w:rsidR="008604D4" w:rsidRPr="00BD646C" w:rsidRDefault="00943743" w:rsidP="001F79B0">
            <w:pPr>
              <w:suppressAutoHyphens w:val="0"/>
              <w:rPr>
                <w:bCs/>
                <w:szCs w:val="22"/>
                <w:lang w:val="fi-FI"/>
              </w:rPr>
            </w:pPr>
            <w:r w:rsidRPr="00BD646C">
              <w:rPr>
                <w:bCs/>
                <w:szCs w:val="22"/>
                <w:lang w:val="fr-FR"/>
              </w:rPr>
              <w:t>Tel: +39 06 928921</w:t>
            </w:r>
          </w:p>
        </w:tc>
        <w:tc>
          <w:tcPr>
            <w:tcW w:w="4678" w:type="dxa"/>
          </w:tcPr>
          <w:p w14:paraId="13513E28" w14:textId="77777777" w:rsidR="008604D4" w:rsidRPr="00BD646C" w:rsidRDefault="00943743" w:rsidP="001F79B0">
            <w:pPr>
              <w:suppressAutoHyphens w:val="0"/>
              <w:rPr>
                <w:b/>
                <w:bCs/>
                <w:szCs w:val="22"/>
                <w:lang w:val="fi-FI"/>
              </w:rPr>
            </w:pPr>
            <w:r w:rsidRPr="00BD646C">
              <w:rPr>
                <w:b/>
                <w:bCs/>
                <w:szCs w:val="22"/>
                <w:lang w:val="fi-FI"/>
              </w:rPr>
              <w:t>Suomi/Finland</w:t>
            </w:r>
          </w:p>
          <w:p w14:paraId="2ECA2E1E" w14:textId="77777777" w:rsidR="008604D4" w:rsidRPr="00BD646C" w:rsidRDefault="00943743" w:rsidP="001F79B0">
            <w:pPr>
              <w:suppressAutoHyphens w:val="0"/>
              <w:rPr>
                <w:bCs/>
                <w:szCs w:val="22"/>
                <w:lang w:val="de-CH"/>
              </w:rPr>
            </w:pPr>
            <w:r w:rsidRPr="00BD646C">
              <w:rPr>
                <w:bCs/>
                <w:szCs w:val="22"/>
                <w:lang w:val="sk-SK"/>
              </w:rPr>
              <w:t>AbbVie Oy</w:t>
            </w:r>
          </w:p>
          <w:p w14:paraId="1D580779" w14:textId="77777777" w:rsidR="008604D4" w:rsidRPr="00BD646C" w:rsidRDefault="00943743" w:rsidP="001F79B0">
            <w:pPr>
              <w:suppressAutoHyphens w:val="0"/>
              <w:rPr>
                <w:bCs/>
                <w:szCs w:val="22"/>
                <w:lang w:val="sk-SK"/>
              </w:rPr>
            </w:pPr>
            <w:r w:rsidRPr="00BD646C">
              <w:rPr>
                <w:bCs/>
                <w:szCs w:val="22"/>
                <w:lang w:val="sk-SK"/>
              </w:rPr>
              <w:t>Puh/Tel: +358 (0)10 2411 200</w:t>
            </w:r>
          </w:p>
          <w:p w14:paraId="552366E0" w14:textId="77777777" w:rsidR="008604D4" w:rsidRPr="00BD646C" w:rsidRDefault="008604D4" w:rsidP="001F79B0">
            <w:pPr>
              <w:suppressAutoHyphens w:val="0"/>
              <w:rPr>
                <w:szCs w:val="22"/>
                <w:lang w:val="sk-SK"/>
              </w:rPr>
            </w:pPr>
          </w:p>
        </w:tc>
      </w:tr>
      <w:tr w:rsidR="00011D2F" w14:paraId="0A0243DE" w14:textId="77777777" w:rsidTr="001F79B0">
        <w:trPr>
          <w:gridBefore w:val="1"/>
          <w:wBefore w:w="34" w:type="dxa"/>
          <w:cantSplit/>
          <w:trHeight w:val="887"/>
        </w:trPr>
        <w:tc>
          <w:tcPr>
            <w:tcW w:w="4644" w:type="dxa"/>
            <w:gridSpan w:val="2"/>
          </w:tcPr>
          <w:p w14:paraId="7645C99F" w14:textId="77777777" w:rsidR="008604D4" w:rsidRPr="00BD646C" w:rsidRDefault="00943743" w:rsidP="001F79B0">
            <w:pPr>
              <w:suppressAutoHyphens w:val="0"/>
              <w:rPr>
                <w:b/>
                <w:bCs/>
                <w:szCs w:val="22"/>
                <w:lang w:val="el-GR"/>
              </w:rPr>
            </w:pPr>
            <w:r w:rsidRPr="00BD646C">
              <w:rPr>
                <w:b/>
                <w:bCs/>
                <w:szCs w:val="22"/>
                <w:lang w:val="el-GR"/>
              </w:rPr>
              <w:t>Κύπρος</w:t>
            </w:r>
          </w:p>
          <w:p w14:paraId="6E54C734" w14:textId="77777777" w:rsidR="008604D4" w:rsidRPr="00BD646C" w:rsidRDefault="00943743" w:rsidP="001F79B0">
            <w:pPr>
              <w:suppressAutoHyphens w:val="0"/>
              <w:rPr>
                <w:bCs/>
                <w:szCs w:val="22"/>
                <w:lang w:val="el-GR"/>
              </w:rPr>
            </w:pPr>
            <w:r w:rsidRPr="00BD646C">
              <w:rPr>
                <w:bCs/>
                <w:szCs w:val="22"/>
                <w:lang w:val="sk-SK"/>
              </w:rPr>
              <w:t xml:space="preserve">Lifepharma (Z.A.M.) </w:t>
            </w:r>
            <w:r w:rsidRPr="00BD646C">
              <w:rPr>
                <w:bCs/>
                <w:szCs w:val="22"/>
                <w:lang w:val="it-IT"/>
              </w:rPr>
              <w:t>Ltd</w:t>
            </w:r>
          </w:p>
          <w:p w14:paraId="456B0C34" w14:textId="77777777" w:rsidR="008604D4" w:rsidRPr="00BD646C" w:rsidRDefault="00943743" w:rsidP="001F79B0">
            <w:pPr>
              <w:suppressAutoHyphens w:val="0"/>
              <w:rPr>
                <w:bCs/>
                <w:szCs w:val="22"/>
                <w:lang w:val="lv-LV"/>
              </w:rPr>
            </w:pPr>
            <w:r w:rsidRPr="00BD646C">
              <w:rPr>
                <w:bCs/>
                <w:szCs w:val="22"/>
                <w:lang w:val="el-GR"/>
              </w:rPr>
              <w:t>Τηλ.: +357 22 34 74 40</w:t>
            </w:r>
          </w:p>
        </w:tc>
        <w:tc>
          <w:tcPr>
            <w:tcW w:w="4678" w:type="dxa"/>
          </w:tcPr>
          <w:p w14:paraId="36BFF98A" w14:textId="77777777" w:rsidR="008604D4" w:rsidRPr="00BD646C" w:rsidRDefault="00943743" w:rsidP="001F79B0">
            <w:pPr>
              <w:suppressAutoHyphens w:val="0"/>
              <w:rPr>
                <w:b/>
                <w:bCs/>
                <w:szCs w:val="22"/>
                <w:lang w:val="sk-SK"/>
              </w:rPr>
            </w:pPr>
            <w:r w:rsidRPr="00BD646C">
              <w:rPr>
                <w:b/>
                <w:bCs/>
                <w:szCs w:val="22"/>
                <w:lang w:val="sk-SK"/>
              </w:rPr>
              <w:t>Sverige</w:t>
            </w:r>
          </w:p>
          <w:p w14:paraId="7DD4E404" w14:textId="77777777" w:rsidR="008604D4" w:rsidRPr="00BD646C" w:rsidRDefault="00943743" w:rsidP="001F79B0">
            <w:pPr>
              <w:suppressAutoHyphens w:val="0"/>
              <w:rPr>
                <w:bCs/>
                <w:szCs w:val="22"/>
                <w:lang w:val="pt-PT"/>
              </w:rPr>
            </w:pPr>
            <w:r w:rsidRPr="00BD646C">
              <w:rPr>
                <w:bCs/>
                <w:szCs w:val="22"/>
                <w:lang w:val="pt-PT"/>
              </w:rPr>
              <w:t>AbbVie AB</w:t>
            </w:r>
          </w:p>
          <w:p w14:paraId="6B3C7931" w14:textId="77777777" w:rsidR="008604D4" w:rsidRPr="00BD646C" w:rsidRDefault="00943743" w:rsidP="001F79B0">
            <w:pPr>
              <w:suppressAutoHyphens w:val="0"/>
              <w:rPr>
                <w:bCs/>
                <w:szCs w:val="22"/>
                <w:lang w:val="sk-SK"/>
              </w:rPr>
            </w:pPr>
            <w:r w:rsidRPr="00BD646C">
              <w:rPr>
                <w:bCs/>
                <w:szCs w:val="22"/>
                <w:lang w:val="da-DK"/>
              </w:rPr>
              <w:t>Tel: +46 (0)8 684 44 600</w:t>
            </w:r>
          </w:p>
        </w:tc>
      </w:tr>
      <w:tr w:rsidR="00011D2F" w14:paraId="41002506" w14:textId="77777777" w:rsidTr="001F79B0">
        <w:trPr>
          <w:gridBefore w:val="1"/>
          <w:wBefore w:w="34" w:type="dxa"/>
          <w:cantSplit/>
          <w:trHeight w:val="761"/>
        </w:trPr>
        <w:tc>
          <w:tcPr>
            <w:tcW w:w="4644" w:type="dxa"/>
            <w:gridSpan w:val="2"/>
          </w:tcPr>
          <w:p w14:paraId="13F240E4" w14:textId="77777777" w:rsidR="008604D4" w:rsidRPr="00BD646C" w:rsidRDefault="00943743" w:rsidP="001F79B0">
            <w:pPr>
              <w:suppressAutoHyphens w:val="0"/>
              <w:rPr>
                <w:b/>
                <w:bCs/>
                <w:szCs w:val="22"/>
                <w:lang w:val="lv-LV"/>
              </w:rPr>
            </w:pPr>
            <w:r w:rsidRPr="00BD646C">
              <w:rPr>
                <w:b/>
                <w:bCs/>
                <w:szCs w:val="22"/>
                <w:lang w:val="lv-LV"/>
              </w:rPr>
              <w:t>Latvija</w:t>
            </w:r>
          </w:p>
          <w:p w14:paraId="4FB028DE" w14:textId="77777777" w:rsidR="008604D4" w:rsidRPr="00BD646C" w:rsidRDefault="00943743" w:rsidP="001F79B0">
            <w:pPr>
              <w:suppressAutoHyphens w:val="0"/>
              <w:rPr>
                <w:bCs/>
                <w:szCs w:val="22"/>
                <w:lang w:val="lv-LV"/>
              </w:rPr>
            </w:pPr>
            <w:r w:rsidRPr="00BD646C">
              <w:rPr>
                <w:bCs/>
                <w:szCs w:val="22"/>
                <w:lang w:val="lv-LV"/>
              </w:rPr>
              <w:t xml:space="preserve">AbbVie SIA </w:t>
            </w:r>
          </w:p>
          <w:p w14:paraId="341CB5C6" w14:textId="77777777" w:rsidR="008604D4" w:rsidRPr="00BD646C" w:rsidRDefault="00943743" w:rsidP="001F79B0">
            <w:pPr>
              <w:suppressAutoHyphens w:val="0"/>
              <w:rPr>
                <w:bCs/>
                <w:szCs w:val="22"/>
                <w:lang w:val="lv-LV"/>
              </w:rPr>
            </w:pPr>
            <w:r w:rsidRPr="00BD646C">
              <w:rPr>
                <w:bCs/>
                <w:szCs w:val="22"/>
                <w:lang w:val="lv-LV"/>
              </w:rPr>
              <w:t>Tel: +371 67605000</w:t>
            </w:r>
          </w:p>
        </w:tc>
        <w:tc>
          <w:tcPr>
            <w:tcW w:w="4678" w:type="dxa"/>
          </w:tcPr>
          <w:p w14:paraId="72A50D67" w14:textId="502EFAC8" w:rsidR="008604D4" w:rsidRPr="00BD646C" w:rsidRDefault="008604D4" w:rsidP="001F79B0">
            <w:pPr>
              <w:suppressAutoHyphens w:val="0"/>
              <w:rPr>
                <w:b/>
                <w:bCs/>
                <w:szCs w:val="22"/>
                <w:lang w:val="sk-SK"/>
              </w:rPr>
            </w:pPr>
          </w:p>
        </w:tc>
      </w:tr>
    </w:tbl>
    <w:p w14:paraId="3D9933B7" w14:textId="77777777" w:rsidR="002F7D7A" w:rsidRPr="00183B5F" w:rsidRDefault="002F7D7A" w:rsidP="004062FE">
      <w:pPr>
        <w:spacing w:line="240" w:lineRule="auto"/>
        <w:ind w:right="-2"/>
        <w:rPr>
          <w:b/>
          <w:szCs w:val="22"/>
        </w:rPr>
      </w:pPr>
    </w:p>
    <w:p w14:paraId="3961D9D5" w14:textId="77777777" w:rsidR="002F7D7A" w:rsidRPr="00183B5F" w:rsidRDefault="00943743" w:rsidP="00F56C60">
      <w:pPr>
        <w:keepNext/>
        <w:spacing w:line="240" w:lineRule="auto"/>
        <w:ind w:right="-2"/>
        <w:rPr>
          <w:b/>
          <w:szCs w:val="22"/>
        </w:rPr>
      </w:pPr>
      <w:r w:rsidRPr="00183B5F">
        <w:rPr>
          <w:b/>
          <w:szCs w:val="22"/>
        </w:rPr>
        <w:t xml:space="preserve">A betegtájékoztató </w:t>
      </w:r>
      <w:r w:rsidRPr="00183B5F">
        <w:rPr>
          <w:b/>
        </w:rPr>
        <w:t xml:space="preserve">legutóbbi felülvizsgálatának </w:t>
      </w:r>
      <w:r w:rsidRPr="00183B5F">
        <w:rPr>
          <w:b/>
          <w:szCs w:val="22"/>
        </w:rPr>
        <w:t>dátuma:</w:t>
      </w:r>
    </w:p>
    <w:p w14:paraId="79EE9EDC" w14:textId="77777777" w:rsidR="002F7D7A" w:rsidRPr="00183B5F" w:rsidRDefault="002F7D7A" w:rsidP="00F56C60">
      <w:pPr>
        <w:keepNext/>
        <w:spacing w:line="240" w:lineRule="auto"/>
        <w:ind w:right="-3"/>
      </w:pPr>
    </w:p>
    <w:p w14:paraId="52515FFF" w14:textId="670A3F20" w:rsidR="002F7D7A" w:rsidRPr="00183B5F" w:rsidRDefault="00943743" w:rsidP="00F56C60">
      <w:pPr>
        <w:keepNext/>
        <w:spacing w:line="240" w:lineRule="auto"/>
        <w:ind w:right="-3"/>
        <w:rPr>
          <w:i/>
        </w:rPr>
      </w:pPr>
      <w:r w:rsidRPr="00183B5F">
        <w:rPr>
          <w:snapToGrid w:val="0"/>
          <w:lang w:eastAsia="en-GB"/>
        </w:rPr>
        <w:t>A gyógyszerről részletes információ az Európai Gyógyszerügynökség internetes honlapján (</w:t>
      </w:r>
      <w:r w:rsidRPr="00183B5F">
        <w:rPr>
          <w:color w:val="0000FF"/>
        </w:rPr>
        <w:t>http</w:t>
      </w:r>
      <w:ins w:id="14053" w:author="AbbVie_HU_03" w:date="2025-05-14T16:50:00Z">
        <w:r w:rsidR="005F356A">
          <w:rPr>
            <w:color w:val="0000FF"/>
          </w:rPr>
          <w:t>s</w:t>
        </w:r>
      </w:ins>
      <w:r w:rsidRPr="00183B5F">
        <w:rPr>
          <w:color w:val="0000FF"/>
        </w:rPr>
        <w:t>://www.ema.europa.eu/</w:t>
      </w:r>
      <w:r w:rsidRPr="00183B5F">
        <w:rPr>
          <w:i/>
          <w:iCs/>
          <w:snapToGrid w:val="0"/>
          <w:lang w:eastAsia="en-GB"/>
        </w:rPr>
        <w:t xml:space="preserve">) </w:t>
      </w:r>
      <w:r w:rsidRPr="00183B5F">
        <w:rPr>
          <w:snapToGrid w:val="0"/>
          <w:lang w:eastAsia="en-GB"/>
        </w:rPr>
        <w:t>található</w:t>
      </w:r>
      <w:r w:rsidRPr="00183B5F">
        <w:rPr>
          <w:i/>
          <w:iCs/>
          <w:snapToGrid w:val="0"/>
          <w:lang w:eastAsia="en-GB"/>
        </w:rPr>
        <w:t>.</w:t>
      </w:r>
    </w:p>
    <w:p w14:paraId="16DCA011" w14:textId="77777777" w:rsidR="002F7D7A" w:rsidRPr="00183B5F" w:rsidRDefault="002F7D7A">
      <w:pPr>
        <w:pStyle w:val="No-numheading3Agency"/>
        <w:spacing w:before="0" w:after="0"/>
        <w:rPr>
          <w:rFonts w:ascii="Times New Roman" w:hAnsi="Times New Roman"/>
          <w:szCs w:val="24"/>
          <w:lang w:val="hu-HU"/>
        </w:rPr>
      </w:pPr>
    </w:p>
    <w:p w14:paraId="28F56B44" w14:textId="77777777" w:rsidR="002F7D7A" w:rsidRPr="00183B5F" w:rsidRDefault="002F7D7A">
      <w:pPr>
        <w:pStyle w:val="No-numheading3Agency"/>
        <w:spacing w:before="0" w:after="0"/>
        <w:rPr>
          <w:rFonts w:ascii="Times New Roman" w:hAnsi="Times New Roman"/>
          <w:szCs w:val="24"/>
          <w:lang w:val="hu-HU"/>
        </w:rPr>
      </w:pPr>
    </w:p>
    <w:p w14:paraId="6A20E74B" w14:textId="77777777" w:rsidR="002F7D7A" w:rsidRPr="00183B5F" w:rsidRDefault="00943743" w:rsidP="007B1AD3">
      <w:pPr>
        <w:pStyle w:val="No-numheading3Agency"/>
        <w:spacing w:before="0" w:after="0"/>
        <w:rPr>
          <w:rFonts w:ascii="Times New Roman" w:hAnsi="Times New Roman"/>
          <w:szCs w:val="24"/>
          <w:lang w:val="hu-HU"/>
        </w:rPr>
      </w:pPr>
      <w:r w:rsidRPr="00183B5F">
        <w:rPr>
          <w:rFonts w:ascii="Times New Roman" w:hAnsi="Times New Roman"/>
          <w:szCs w:val="24"/>
          <w:lang w:val="hu-HU"/>
        </w:rPr>
        <w:t>7.</w:t>
      </w:r>
      <w:r w:rsidRPr="00183B5F">
        <w:rPr>
          <w:rFonts w:ascii="Times New Roman" w:hAnsi="Times New Roman"/>
          <w:szCs w:val="24"/>
          <w:lang w:val="hu-HU"/>
        </w:rPr>
        <w:tab/>
      </w:r>
      <w:r w:rsidR="007B1AD3" w:rsidRPr="00183B5F">
        <w:rPr>
          <w:rFonts w:ascii="Times New Roman" w:hAnsi="Times New Roman"/>
          <w:szCs w:val="24"/>
          <w:lang w:val="hu-HU"/>
        </w:rPr>
        <w:t>A Humira beadása</w:t>
      </w:r>
    </w:p>
    <w:p w14:paraId="0B560F0D" w14:textId="77777777" w:rsidR="002F7D7A" w:rsidRPr="00183B5F" w:rsidRDefault="002F7D7A">
      <w:pPr>
        <w:pStyle w:val="No-numheading3Agency"/>
        <w:spacing w:before="0" w:after="0"/>
        <w:rPr>
          <w:rFonts w:ascii="Times New Roman" w:hAnsi="Times New Roman"/>
          <w:szCs w:val="24"/>
          <w:lang w:val="hu-HU"/>
        </w:rPr>
      </w:pPr>
    </w:p>
    <w:p w14:paraId="7F8C2149" w14:textId="77777777" w:rsidR="002F7D7A" w:rsidRPr="00183B5F" w:rsidRDefault="00943743" w:rsidP="004062FE">
      <w:pPr>
        <w:numPr>
          <w:ilvl w:val="0"/>
          <w:numId w:val="76"/>
        </w:numPr>
        <w:suppressAutoHyphens w:val="0"/>
        <w:spacing w:line="240" w:lineRule="auto"/>
        <w:ind w:right="-3"/>
        <w:rPr>
          <w:szCs w:val="22"/>
        </w:rPr>
      </w:pPr>
      <w:r w:rsidRPr="00183B5F">
        <w:rPr>
          <w:szCs w:val="22"/>
        </w:rPr>
        <w:t xml:space="preserve">A következő útmutató azt magyarázza el, hogyan adja be magának a Humira injekciót előretöltött injekciós tollal. Kérjük, figyelmesen olvassa el az útmutatót, és kövesse lépésről-lépésre. </w:t>
      </w:r>
    </w:p>
    <w:p w14:paraId="3DE5FD3C" w14:textId="77777777" w:rsidR="002F7D7A" w:rsidRPr="00183B5F" w:rsidRDefault="002F7D7A" w:rsidP="004062FE">
      <w:pPr>
        <w:suppressAutoHyphens w:val="0"/>
        <w:spacing w:line="240" w:lineRule="auto"/>
        <w:ind w:right="-3"/>
        <w:rPr>
          <w:szCs w:val="22"/>
        </w:rPr>
      </w:pPr>
    </w:p>
    <w:p w14:paraId="3B30A942" w14:textId="77777777" w:rsidR="002F7D7A" w:rsidRPr="00183B5F" w:rsidRDefault="00943743" w:rsidP="004062FE">
      <w:pPr>
        <w:numPr>
          <w:ilvl w:val="0"/>
          <w:numId w:val="76"/>
        </w:numPr>
        <w:suppressAutoHyphens w:val="0"/>
        <w:spacing w:line="240" w:lineRule="auto"/>
        <w:ind w:right="-3"/>
        <w:rPr>
          <w:szCs w:val="22"/>
        </w:rPr>
      </w:pPr>
      <w:r w:rsidRPr="00183B5F">
        <w:rPr>
          <w:szCs w:val="22"/>
        </w:rPr>
        <w:t xml:space="preserve">Az öninjekciózás technikájára kezelőorvosa, a nővér, vagy gyógyszerésze tanítja meg Önt. </w:t>
      </w:r>
    </w:p>
    <w:p w14:paraId="54DA273C" w14:textId="77777777" w:rsidR="002F7D7A" w:rsidRPr="00183B5F" w:rsidRDefault="002F7D7A" w:rsidP="004062FE">
      <w:pPr>
        <w:suppressAutoHyphens w:val="0"/>
        <w:spacing w:line="240" w:lineRule="auto"/>
        <w:ind w:right="-3"/>
        <w:rPr>
          <w:szCs w:val="22"/>
        </w:rPr>
      </w:pPr>
    </w:p>
    <w:p w14:paraId="502015F7" w14:textId="77777777" w:rsidR="002F7D7A" w:rsidRPr="00183B5F" w:rsidRDefault="00943743" w:rsidP="004062FE">
      <w:pPr>
        <w:numPr>
          <w:ilvl w:val="0"/>
          <w:numId w:val="76"/>
        </w:numPr>
        <w:suppressAutoHyphens w:val="0"/>
        <w:spacing w:line="240" w:lineRule="auto"/>
        <w:ind w:right="-3"/>
        <w:rPr>
          <w:szCs w:val="22"/>
        </w:rPr>
      </w:pPr>
      <w:r w:rsidRPr="00183B5F">
        <w:rPr>
          <w:szCs w:val="22"/>
        </w:rPr>
        <w:t xml:space="preserve">Ne próbálkozzon az öninjekciózással, amíg nem biztos abban, hogyan kell elkészíteni és beadni az injekciót. </w:t>
      </w:r>
    </w:p>
    <w:p w14:paraId="79F79784" w14:textId="77777777" w:rsidR="002F7D7A" w:rsidRPr="00183B5F" w:rsidRDefault="002F7D7A" w:rsidP="004062FE">
      <w:pPr>
        <w:suppressAutoHyphens w:val="0"/>
        <w:spacing w:line="240" w:lineRule="auto"/>
        <w:ind w:right="-3"/>
        <w:rPr>
          <w:szCs w:val="22"/>
        </w:rPr>
      </w:pPr>
    </w:p>
    <w:p w14:paraId="2A7CADA6" w14:textId="77777777" w:rsidR="002F7D7A" w:rsidRPr="00183B5F" w:rsidRDefault="00943743" w:rsidP="004062FE">
      <w:pPr>
        <w:numPr>
          <w:ilvl w:val="0"/>
          <w:numId w:val="76"/>
        </w:numPr>
        <w:suppressAutoHyphens w:val="0"/>
        <w:spacing w:line="240" w:lineRule="auto"/>
        <w:ind w:right="-3"/>
        <w:rPr>
          <w:szCs w:val="22"/>
        </w:rPr>
      </w:pPr>
      <w:r w:rsidRPr="00183B5F">
        <w:rPr>
          <w:szCs w:val="22"/>
        </w:rPr>
        <w:t>Megfelelő gyakorlás után saját maga vagy más személy (p</w:t>
      </w:r>
      <w:r w:rsidR="00C30805" w:rsidRPr="00183B5F">
        <w:rPr>
          <w:szCs w:val="22"/>
        </w:rPr>
        <w:t>é</w:t>
      </w:r>
      <w:r w:rsidRPr="00183B5F">
        <w:rPr>
          <w:szCs w:val="22"/>
        </w:rPr>
        <w:t>l</w:t>
      </w:r>
      <w:r w:rsidR="00C30805" w:rsidRPr="00183B5F">
        <w:rPr>
          <w:szCs w:val="22"/>
        </w:rPr>
        <w:t>dául</w:t>
      </w:r>
      <w:r w:rsidRPr="00183B5F">
        <w:rPr>
          <w:szCs w:val="22"/>
        </w:rPr>
        <w:t xml:space="preserve"> családtag, ismerős) is beadhatja az injekciót.</w:t>
      </w:r>
    </w:p>
    <w:p w14:paraId="0C1E752D" w14:textId="77777777" w:rsidR="002F7D7A" w:rsidRPr="00183B5F" w:rsidRDefault="002F7D7A" w:rsidP="004062FE">
      <w:pPr>
        <w:suppressAutoHyphens w:val="0"/>
        <w:spacing w:line="240" w:lineRule="auto"/>
        <w:ind w:left="720" w:right="-3"/>
        <w:rPr>
          <w:szCs w:val="22"/>
        </w:rPr>
      </w:pPr>
    </w:p>
    <w:p w14:paraId="0781F7D9" w14:textId="77777777" w:rsidR="002F7D7A" w:rsidRPr="00183B5F" w:rsidRDefault="00943743" w:rsidP="004062FE">
      <w:pPr>
        <w:numPr>
          <w:ilvl w:val="0"/>
          <w:numId w:val="76"/>
        </w:numPr>
        <w:suppressAutoHyphens w:val="0"/>
        <w:spacing w:line="240" w:lineRule="auto"/>
        <w:ind w:right="-3"/>
        <w:rPr>
          <w:szCs w:val="22"/>
        </w:rPr>
      </w:pPr>
      <w:r w:rsidRPr="00183B5F">
        <w:rPr>
          <w:szCs w:val="22"/>
        </w:rPr>
        <w:t xml:space="preserve">Minden egyes előretöltött </w:t>
      </w:r>
      <w:r w:rsidR="0084781A" w:rsidRPr="00183B5F">
        <w:rPr>
          <w:szCs w:val="22"/>
        </w:rPr>
        <w:t xml:space="preserve">injekciós tollat </w:t>
      </w:r>
      <w:r w:rsidRPr="00183B5F">
        <w:rPr>
          <w:szCs w:val="22"/>
        </w:rPr>
        <w:t>csak egyszeri beadásra használja!</w:t>
      </w:r>
    </w:p>
    <w:p w14:paraId="200DF1A9" w14:textId="77777777" w:rsidR="002F7D7A" w:rsidRPr="00183B5F" w:rsidRDefault="002F7D7A" w:rsidP="004062FE">
      <w:pPr>
        <w:suppressAutoHyphens w:val="0"/>
        <w:spacing w:line="240" w:lineRule="auto"/>
        <w:ind w:right="-3"/>
        <w:rPr>
          <w:szCs w:val="22"/>
        </w:rPr>
      </w:pPr>
    </w:p>
    <w:p w14:paraId="51FCB237" w14:textId="77777777" w:rsidR="002F7D7A" w:rsidRPr="00183B5F" w:rsidRDefault="00943743" w:rsidP="004062FE">
      <w:pPr>
        <w:keepNext/>
        <w:suppressAutoHyphens w:val="0"/>
        <w:spacing w:line="240" w:lineRule="auto"/>
        <w:rPr>
          <w:b/>
          <w:bCs/>
          <w:szCs w:val="22"/>
        </w:rPr>
      </w:pPr>
      <w:r w:rsidRPr="00183B5F">
        <w:rPr>
          <w:b/>
          <w:bCs/>
          <w:szCs w:val="22"/>
        </w:rPr>
        <w:t>Humira előretöltött injekciós toll</w:t>
      </w:r>
    </w:p>
    <w:p w14:paraId="664DCF4E" w14:textId="77777777" w:rsidR="002F7D7A" w:rsidRPr="00183B5F" w:rsidRDefault="002F7D7A" w:rsidP="004062FE">
      <w:pPr>
        <w:keepNext/>
        <w:suppressAutoHyphens w:val="0"/>
        <w:spacing w:line="240" w:lineRule="auto"/>
        <w:rPr>
          <w:b/>
          <w:bCs/>
          <w:szCs w:val="22"/>
        </w:rPr>
      </w:pPr>
    </w:p>
    <w:p w14:paraId="5216CFAE" w14:textId="77777777" w:rsidR="002F7D7A" w:rsidRPr="00183B5F" w:rsidRDefault="00943743">
      <w:pPr>
        <w:pStyle w:val="EMEANormal"/>
        <w:keepNext/>
        <w:rPr>
          <w:b/>
          <w:lang w:val="hu-HU"/>
        </w:rPr>
      </w:pPr>
      <w:r w:rsidRPr="00183B5F">
        <w:rPr>
          <w:b/>
          <w:lang w:val="hu-HU"/>
        </w:rPr>
        <w:t>Szürke kupak (1)   Fehér tűvédő hüvely   Fehér nyíl                                Szilvakék színű kupak (2)</w:t>
      </w:r>
    </w:p>
    <w:p w14:paraId="502A3913" w14:textId="77777777" w:rsidR="002F7D7A" w:rsidRPr="00183B5F" w:rsidRDefault="00943743">
      <w:pPr>
        <w:pStyle w:val="EMEANormal"/>
        <w:keepNext/>
        <w:rPr>
          <w:lang w:val="hu-HU"/>
        </w:rPr>
      </w:pPr>
      <w:r w:rsidRPr="007A59A2">
        <w:rPr>
          <w:noProof/>
          <w:lang w:val="en-GB"/>
        </w:rPr>
        <w:drawing>
          <wp:inline distT="0" distB="0" distL="0" distR="0" wp14:anchorId="5E076474" wp14:editId="5CA59B98">
            <wp:extent cx="5883910" cy="1431290"/>
            <wp:effectExtent l="0" t="0" r="2540" b="0"/>
            <wp:docPr id="80" name="Picture 80" descr="HUMIRAPE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40" descr="HUMIRAPEN_grey"/>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5883910" cy="1431290"/>
                    </a:xfrm>
                    <a:prstGeom prst="rect">
                      <a:avLst/>
                    </a:prstGeom>
                    <a:noFill/>
                    <a:ln>
                      <a:noFill/>
                    </a:ln>
                  </pic:spPr>
                </pic:pic>
              </a:graphicData>
            </a:graphic>
          </wp:inline>
        </w:drawing>
      </w:r>
    </w:p>
    <w:p w14:paraId="7EDC7932" w14:textId="77777777" w:rsidR="002F7D7A" w:rsidRPr="00183B5F" w:rsidRDefault="00943743">
      <w:pPr>
        <w:pStyle w:val="EMEANormal"/>
        <w:rPr>
          <w:b/>
          <w:lang w:val="hu-HU"/>
        </w:rPr>
      </w:pPr>
      <w:r w:rsidRPr="00183B5F">
        <w:rPr>
          <w:b/>
          <w:lang w:val="hu-HU"/>
        </w:rPr>
        <w:t xml:space="preserve">                                 Tű                       Ablak                                 Szilvakék indítógomb     </w:t>
      </w:r>
    </w:p>
    <w:p w14:paraId="6B22778F" w14:textId="77777777" w:rsidR="002F7D7A" w:rsidRPr="00183B5F" w:rsidRDefault="00943743">
      <w:pPr>
        <w:pStyle w:val="EMEANormal"/>
        <w:rPr>
          <w:b/>
          <w:lang w:val="hu-HU"/>
        </w:rPr>
      </w:pPr>
      <w:r w:rsidRPr="00183B5F">
        <w:rPr>
          <w:b/>
          <w:lang w:val="hu-HU"/>
        </w:rPr>
        <w:t xml:space="preserve">           </w:t>
      </w:r>
    </w:p>
    <w:p w14:paraId="2451A7A8" w14:textId="77777777" w:rsidR="002F7D7A" w:rsidRPr="00183B5F" w:rsidRDefault="00943743">
      <w:pPr>
        <w:pStyle w:val="EMEAHeadingLeaflet"/>
        <w:keepNext/>
        <w:spacing w:beforeLines="0" w:before="0" w:afterLines="0" w:after="0"/>
        <w:rPr>
          <w:rFonts w:ascii="Times New Roman" w:hAnsi="Times New Roman"/>
          <w:lang w:val="hu-HU"/>
        </w:rPr>
      </w:pPr>
      <w:r w:rsidRPr="00183B5F">
        <w:rPr>
          <w:rFonts w:ascii="Times New Roman" w:hAnsi="Times New Roman"/>
          <w:lang w:val="hu-HU"/>
        </w:rPr>
        <w:t>Ne használja az előretöltött injekciós tollat és hívja kezelőorvosát vagy gyógyszerészét, ha:</w:t>
      </w:r>
    </w:p>
    <w:p w14:paraId="6B999180" w14:textId="77777777" w:rsidR="002F7D7A" w:rsidRPr="00183B5F" w:rsidRDefault="002F7D7A">
      <w:pPr>
        <w:pStyle w:val="EMEANormal"/>
        <w:keepNext/>
        <w:rPr>
          <w:lang w:val="hu-HU"/>
        </w:rPr>
      </w:pPr>
    </w:p>
    <w:p w14:paraId="7D6FC18D" w14:textId="77777777" w:rsidR="002F7D7A" w:rsidRPr="00183B5F" w:rsidRDefault="00943743">
      <w:pPr>
        <w:pStyle w:val="EMEAHeadingLeaflet"/>
        <w:keepNext/>
        <w:numPr>
          <w:ilvl w:val="0"/>
          <w:numId w:val="119"/>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b w:val="0"/>
          <w:lang w:val="hu-HU"/>
        </w:rPr>
        <w:t>a folyadék zavaros, elszíneződött vagy pelyhes csapadékot vagy lebegő részecskéket tartalmaz</w:t>
      </w:r>
    </w:p>
    <w:p w14:paraId="43612759" w14:textId="77777777" w:rsidR="002F7D7A" w:rsidRPr="00183B5F" w:rsidRDefault="00943743">
      <w:pPr>
        <w:pStyle w:val="EMEAHeadingLeaflet"/>
        <w:keepNext/>
        <w:numPr>
          <w:ilvl w:val="0"/>
          <w:numId w:val="119"/>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b w:val="0"/>
          <w:lang w:val="hu-HU"/>
        </w:rPr>
        <w:t>a lejárati idő (EXP) elmúlt</w:t>
      </w:r>
    </w:p>
    <w:p w14:paraId="012F552E" w14:textId="77777777" w:rsidR="002F7D7A" w:rsidRPr="00183B5F" w:rsidRDefault="00943743">
      <w:pPr>
        <w:pStyle w:val="EMEAHeadingLeaflet"/>
        <w:keepNext/>
        <w:numPr>
          <w:ilvl w:val="0"/>
          <w:numId w:val="119"/>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b w:val="0"/>
          <w:lang w:val="hu-HU"/>
        </w:rPr>
        <w:t>a folyadék megfagyott vagy közvetlen napfénynek volt kitéve</w:t>
      </w:r>
    </w:p>
    <w:p w14:paraId="0FE38301" w14:textId="77777777" w:rsidR="002F7D7A" w:rsidRPr="00183B5F" w:rsidRDefault="00943743">
      <w:pPr>
        <w:pStyle w:val="EMEAHeadingLeaflet"/>
        <w:keepNext/>
        <w:numPr>
          <w:ilvl w:val="0"/>
          <w:numId w:val="119"/>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b w:val="0"/>
          <w:lang w:val="hu-HU"/>
        </w:rPr>
        <w:t>az előretöltött injekciós toll leesett vagy eltörött</w:t>
      </w:r>
    </w:p>
    <w:p w14:paraId="2625872C" w14:textId="77777777" w:rsidR="002F7D7A" w:rsidRPr="00183B5F" w:rsidRDefault="002F7D7A">
      <w:pPr>
        <w:pStyle w:val="EMEANormal"/>
        <w:rPr>
          <w:lang w:val="hu-HU"/>
        </w:rPr>
      </w:pPr>
    </w:p>
    <w:p w14:paraId="08BF5EBE" w14:textId="77777777" w:rsidR="002F7D7A" w:rsidRPr="00183B5F" w:rsidRDefault="00943743" w:rsidP="004062FE">
      <w:pPr>
        <w:pStyle w:val="EMEAHeadingLeaflet"/>
        <w:keepNext/>
        <w:tabs>
          <w:tab w:val="clear" w:pos="562"/>
          <w:tab w:val="left" w:pos="0"/>
        </w:tabs>
        <w:spacing w:beforeLines="0" w:before="0" w:afterLines="0" w:after="0"/>
        <w:rPr>
          <w:rFonts w:ascii="Times New Roman" w:hAnsi="Times New Roman"/>
          <w:lang w:val="hu-HU"/>
        </w:rPr>
      </w:pPr>
      <w:r w:rsidRPr="00183B5F">
        <w:rPr>
          <w:szCs w:val="22"/>
          <w:lang w:val="hu-HU"/>
        </w:rPr>
        <w:t>A kupakokat ne távolítsa el, csak közvetlenül az injekció beadása előtt.</w:t>
      </w:r>
      <w:r w:rsidRPr="00183B5F">
        <w:rPr>
          <w:rFonts w:ascii="Times New Roman" w:hAnsi="Times New Roman"/>
          <w:lang w:val="hu-HU"/>
        </w:rPr>
        <w:t xml:space="preserve"> A gyógyszer gyermekektől elzárva tartandó!</w:t>
      </w:r>
    </w:p>
    <w:p w14:paraId="30A26040" w14:textId="77777777" w:rsidR="002F7D7A" w:rsidRPr="00183B5F" w:rsidRDefault="002F7D7A">
      <w:pPr>
        <w:pStyle w:val="EMEANormal"/>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011D2F" w14:paraId="02D94BB7" w14:textId="77777777" w:rsidTr="00687653">
        <w:tc>
          <w:tcPr>
            <w:tcW w:w="9287" w:type="dxa"/>
            <w:gridSpan w:val="2"/>
            <w:tcBorders>
              <w:bottom w:val="single" w:sz="4" w:space="0" w:color="auto"/>
            </w:tcBorders>
          </w:tcPr>
          <w:p w14:paraId="60534270" w14:textId="77777777" w:rsidR="002F7D7A" w:rsidRPr="00183B5F" w:rsidRDefault="00943743" w:rsidP="002D49EE">
            <w:pPr>
              <w:pStyle w:val="EMEAHeadingLeaflet"/>
              <w:keepNext/>
              <w:spacing w:beforeLines="0" w:before="0" w:afterLines="0" w:after="0"/>
              <w:rPr>
                <w:rFonts w:ascii="Times New Roman" w:hAnsi="Times New Roman"/>
                <w:lang w:val="hu-HU"/>
              </w:rPr>
            </w:pPr>
            <w:r w:rsidRPr="00183B5F">
              <w:rPr>
                <w:rFonts w:ascii="Times New Roman" w:hAnsi="Times New Roman"/>
                <w:lang w:val="hu-HU"/>
              </w:rPr>
              <w:t>1. lépés</w:t>
            </w:r>
          </w:p>
          <w:p w14:paraId="7528BA4F" w14:textId="77777777" w:rsidR="002F7D7A" w:rsidRPr="00183B5F" w:rsidRDefault="002F7D7A" w:rsidP="002D49EE">
            <w:pPr>
              <w:pStyle w:val="EMEANormal"/>
              <w:keepNext/>
              <w:rPr>
                <w:lang w:val="hu-HU"/>
              </w:rPr>
            </w:pPr>
          </w:p>
          <w:p w14:paraId="36805559" w14:textId="77777777" w:rsidR="002F7D7A" w:rsidRPr="00183B5F" w:rsidRDefault="00943743" w:rsidP="002D49EE">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Vegye ki a Humira</w:t>
            </w:r>
            <w:r w:rsidRPr="00183B5F">
              <w:rPr>
                <w:rFonts w:ascii="Times New Roman" w:hAnsi="Times New Roman"/>
                <w:b w:val="0"/>
                <w:lang w:val="hu-HU"/>
              </w:rPr>
              <w:noBreakHyphen/>
              <w:t>t a hűtőszekrényből.</w:t>
            </w:r>
          </w:p>
          <w:p w14:paraId="7456F97E" w14:textId="77777777" w:rsidR="002F7D7A" w:rsidRPr="00183B5F" w:rsidRDefault="002F7D7A" w:rsidP="002D49EE">
            <w:pPr>
              <w:pStyle w:val="EMEANormal"/>
              <w:keepNext/>
              <w:rPr>
                <w:lang w:val="hu-HU"/>
              </w:rPr>
            </w:pPr>
          </w:p>
          <w:p w14:paraId="47AE3F86" w14:textId="77777777" w:rsidR="002F7D7A" w:rsidRPr="00183B5F" w:rsidRDefault="00943743" w:rsidP="002D49EE">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 xml:space="preserve">A beadás előtt </w:t>
            </w:r>
            <w:r w:rsidRPr="00183B5F">
              <w:rPr>
                <w:rFonts w:ascii="Times New Roman" w:hAnsi="Times New Roman"/>
                <w:lang w:val="hu-HU"/>
              </w:rPr>
              <w:t>15</w:t>
            </w:r>
            <w:r w:rsidRPr="00183B5F">
              <w:rPr>
                <w:rFonts w:ascii="Times New Roman" w:hAnsi="Times New Roman"/>
                <w:lang w:val="hu-HU"/>
              </w:rPr>
              <w:noBreakHyphen/>
              <w:t>30 percig</w:t>
            </w:r>
            <w:r w:rsidRPr="00183B5F">
              <w:rPr>
                <w:rFonts w:ascii="Times New Roman" w:hAnsi="Times New Roman"/>
                <w:b w:val="0"/>
                <w:lang w:val="hu-HU"/>
              </w:rPr>
              <w:t xml:space="preserve"> hagyja a Humira</w:t>
            </w:r>
            <w:r w:rsidRPr="00183B5F">
              <w:rPr>
                <w:rFonts w:ascii="Times New Roman" w:hAnsi="Times New Roman"/>
                <w:b w:val="0"/>
                <w:lang w:val="hu-HU"/>
              </w:rPr>
              <w:noBreakHyphen/>
              <w:t>t szobahőmérsékleten.</w:t>
            </w:r>
          </w:p>
          <w:p w14:paraId="02C7CF20" w14:textId="77777777" w:rsidR="002F7D7A" w:rsidRPr="00183B5F" w:rsidRDefault="002F7D7A" w:rsidP="002D49EE">
            <w:pPr>
              <w:pStyle w:val="EMEANormal"/>
              <w:keepNext/>
              <w:rPr>
                <w:lang w:val="hu-HU"/>
              </w:rPr>
            </w:pPr>
          </w:p>
          <w:p w14:paraId="4661B120" w14:textId="77777777" w:rsidR="002F7D7A" w:rsidRPr="00183B5F" w:rsidRDefault="00943743" w:rsidP="002D49EE">
            <w:pPr>
              <w:pStyle w:val="EMEAHeadingLeaflet"/>
              <w:keepNext/>
              <w:numPr>
                <w:ilvl w:val="0"/>
                <w:numId w:val="120"/>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lang w:val="hu-HU"/>
              </w:rPr>
              <w:t>Ne távolítsa el</w:t>
            </w:r>
            <w:r w:rsidRPr="00183B5F">
              <w:rPr>
                <w:rFonts w:ascii="Times New Roman" w:hAnsi="Times New Roman"/>
                <w:b w:val="0"/>
                <w:lang w:val="hu-HU"/>
              </w:rPr>
              <w:t xml:space="preserve"> a szürke vagy a szilvakék színű kupakot, amíg a Humira hőmérséklete eléri a szobahőmérsékletet.</w:t>
            </w:r>
          </w:p>
          <w:p w14:paraId="2CD502CD" w14:textId="77777777" w:rsidR="002F7D7A" w:rsidRPr="00183B5F" w:rsidRDefault="00943743" w:rsidP="002D49EE">
            <w:pPr>
              <w:pStyle w:val="EMEANormal"/>
              <w:keepNext/>
              <w:numPr>
                <w:ilvl w:val="0"/>
                <w:numId w:val="120"/>
              </w:numPr>
              <w:tabs>
                <w:tab w:val="clear" w:pos="562"/>
                <w:tab w:val="left" w:pos="720"/>
              </w:tabs>
              <w:rPr>
                <w:lang w:val="hu-HU"/>
              </w:rPr>
            </w:pPr>
            <w:r w:rsidRPr="00183B5F">
              <w:rPr>
                <w:b/>
                <w:lang w:val="hu-HU"/>
              </w:rPr>
              <w:t xml:space="preserve">Ne melegítse </w:t>
            </w:r>
            <w:r w:rsidRPr="00183B5F">
              <w:rPr>
                <w:lang w:val="hu-HU"/>
              </w:rPr>
              <w:t>a Humira</w:t>
            </w:r>
            <w:r w:rsidRPr="00183B5F">
              <w:rPr>
                <w:lang w:val="hu-HU"/>
              </w:rPr>
              <w:noBreakHyphen/>
              <w:t xml:space="preserve">t semmilyen egyéb módon. Például </w:t>
            </w:r>
            <w:r w:rsidRPr="00183B5F">
              <w:rPr>
                <w:b/>
                <w:lang w:val="hu-HU"/>
              </w:rPr>
              <w:t>ne melegítse</w:t>
            </w:r>
            <w:r w:rsidRPr="00183B5F">
              <w:rPr>
                <w:lang w:val="hu-HU"/>
              </w:rPr>
              <w:t xml:space="preserve"> mikrohullámú sütőben vagy forró vízben.</w:t>
            </w:r>
          </w:p>
        </w:tc>
      </w:tr>
      <w:tr w:rsidR="00011D2F" w14:paraId="54B6B737" w14:textId="77777777" w:rsidTr="00687653">
        <w:tc>
          <w:tcPr>
            <w:tcW w:w="3708" w:type="dxa"/>
            <w:tcBorders>
              <w:right w:val="nil"/>
            </w:tcBorders>
          </w:tcPr>
          <w:p w14:paraId="653A6BC4" w14:textId="77777777" w:rsidR="002F7D7A" w:rsidRPr="00183B5F" w:rsidRDefault="00943743" w:rsidP="002D49EE">
            <w:pPr>
              <w:pStyle w:val="EMEANormal"/>
              <w:keepNext/>
              <w:rPr>
                <w:b/>
                <w:noProof/>
                <w:lang w:val="hu-HU"/>
              </w:rPr>
            </w:pPr>
            <w:r w:rsidRPr="00183B5F">
              <w:rPr>
                <w:b/>
                <w:noProof/>
                <w:lang w:val="hu-HU"/>
              </w:rPr>
              <w:t xml:space="preserve">2. lépés </w:t>
            </w:r>
          </w:p>
          <w:p w14:paraId="0D453891" w14:textId="77777777" w:rsidR="002F7D7A" w:rsidRPr="00183B5F" w:rsidRDefault="002F7D7A" w:rsidP="002D49EE">
            <w:pPr>
              <w:pStyle w:val="EMEANormal"/>
              <w:keepNext/>
              <w:keepLines/>
              <w:rPr>
                <w:b/>
                <w:noProof/>
                <w:lang w:val="hu-HU"/>
              </w:rPr>
            </w:pPr>
          </w:p>
          <w:p w14:paraId="3397CE8B" w14:textId="77777777" w:rsidR="002F7D7A" w:rsidRPr="00183B5F" w:rsidRDefault="00943743" w:rsidP="002D49EE">
            <w:pPr>
              <w:pStyle w:val="EMEANormal"/>
              <w:keepNext/>
              <w:keepLines/>
              <w:rPr>
                <w:b/>
                <w:noProof/>
                <w:lang w:val="hu-HU"/>
              </w:rPr>
            </w:pPr>
            <w:r w:rsidRPr="00183B5F">
              <w:rPr>
                <w:noProof/>
                <w:lang w:val="hu-HU"/>
              </w:rPr>
              <w:t xml:space="preserve">      </w:t>
            </w:r>
            <w:r w:rsidRPr="00183B5F">
              <w:rPr>
                <w:b/>
                <w:noProof/>
                <w:lang w:val="hu-HU"/>
              </w:rPr>
              <w:t>Injekciós toll</w:t>
            </w:r>
          </w:p>
          <w:p w14:paraId="61DB895B" w14:textId="77777777" w:rsidR="002F7D7A" w:rsidRPr="00183B5F" w:rsidRDefault="00943743" w:rsidP="002D49EE">
            <w:pPr>
              <w:pStyle w:val="EMEANormal"/>
              <w:keepNext/>
              <w:keepLines/>
              <w:rPr>
                <w:noProof/>
                <w:lang w:val="hu-HU"/>
              </w:rPr>
            </w:pPr>
            <w:r w:rsidRPr="007A59A2">
              <w:rPr>
                <w:noProof/>
                <w:lang w:val="en-GB"/>
              </w:rPr>
              <w:drawing>
                <wp:inline distT="0" distB="0" distL="0" distR="0" wp14:anchorId="584EEDCF" wp14:editId="67060500">
                  <wp:extent cx="2162810" cy="2289810"/>
                  <wp:effectExtent l="0" t="0" r="8890" b="0"/>
                  <wp:docPr id="82" name="Picture 82" descr="STEP2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42" descr="STEP2_grey"/>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2162810" cy="2289810"/>
                          </a:xfrm>
                          <a:prstGeom prst="rect">
                            <a:avLst/>
                          </a:prstGeom>
                          <a:noFill/>
                          <a:ln>
                            <a:noFill/>
                          </a:ln>
                        </pic:spPr>
                      </pic:pic>
                    </a:graphicData>
                  </a:graphic>
                </wp:inline>
              </w:drawing>
            </w:r>
          </w:p>
          <w:p w14:paraId="3E314040" w14:textId="77777777" w:rsidR="002F7D7A" w:rsidRPr="00183B5F" w:rsidRDefault="00943743" w:rsidP="002D49EE">
            <w:pPr>
              <w:pStyle w:val="EMEANormal"/>
              <w:keepNext/>
              <w:keepLines/>
              <w:rPr>
                <w:b/>
                <w:lang w:val="hu-HU"/>
              </w:rPr>
            </w:pPr>
            <w:r w:rsidRPr="00183B5F">
              <w:rPr>
                <w:b/>
                <w:noProof/>
                <w:lang w:val="hu-HU"/>
              </w:rPr>
              <w:t xml:space="preserve">            Törlőkendő</w:t>
            </w:r>
          </w:p>
        </w:tc>
        <w:tc>
          <w:tcPr>
            <w:tcW w:w="5579" w:type="dxa"/>
            <w:tcBorders>
              <w:left w:val="nil"/>
            </w:tcBorders>
          </w:tcPr>
          <w:p w14:paraId="027AA913" w14:textId="77777777" w:rsidR="002F7D7A" w:rsidRPr="00183B5F" w:rsidRDefault="002F7D7A" w:rsidP="002D49EE">
            <w:pPr>
              <w:pStyle w:val="EMEAHeadingLeaflet"/>
              <w:keepNext/>
              <w:keepLines/>
              <w:spacing w:beforeLines="0" w:before="0" w:afterLines="0" w:after="0"/>
              <w:rPr>
                <w:rFonts w:ascii="Times New Roman" w:hAnsi="Times New Roman"/>
                <w:b w:val="0"/>
                <w:lang w:val="hu-HU"/>
              </w:rPr>
            </w:pPr>
          </w:p>
          <w:p w14:paraId="36B4FEDE" w14:textId="77777777" w:rsidR="002F7D7A" w:rsidRPr="00183B5F" w:rsidRDefault="00943743" w:rsidP="002D49EE">
            <w:pPr>
              <w:pStyle w:val="EMEAHeadingLeaflet"/>
              <w:keepNext/>
              <w:keepLines/>
              <w:spacing w:beforeLines="0" w:before="0" w:afterLines="0" w:after="0"/>
              <w:rPr>
                <w:rFonts w:ascii="Times New Roman" w:hAnsi="Times New Roman"/>
                <w:b w:val="0"/>
                <w:lang w:val="hu-HU"/>
              </w:rPr>
            </w:pPr>
            <w:r w:rsidRPr="00183B5F">
              <w:rPr>
                <w:rFonts w:ascii="Times New Roman" w:hAnsi="Times New Roman"/>
                <w:b w:val="0"/>
                <w:lang w:val="hu-HU"/>
              </w:rPr>
              <w:t xml:space="preserve">Ellenőrizze a lejárat dátumát (EXP). </w:t>
            </w:r>
            <w:r w:rsidRPr="00183B5F">
              <w:rPr>
                <w:rFonts w:ascii="Times New Roman" w:hAnsi="Times New Roman"/>
                <w:lang w:val="hu-HU"/>
              </w:rPr>
              <w:t>Ne</w:t>
            </w:r>
            <w:r w:rsidRPr="00183B5F">
              <w:rPr>
                <w:rFonts w:ascii="Times New Roman" w:hAnsi="Times New Roman"/>
                <w:b w:val="0"/>
                <w:lang w:val="hu-HU"/>
              </w:rPr>
              <w:t xml:space="preserve"> használja az injekciós tollat, ha a lejárati idő (EXP) elmúlt.</w:t>
            </w:r>
          </w:p>
          <w:p w14:paraId="58A250A2" w14:textId="77777777" w:rsidR="002F7D7A" w:rsidRPr="00183B5F" w:rsidRDefault="002F7D7A" w:rsidP="002D49EE">
            <w:pPr>
              <w:pStyle w:val="EMEANormal"/>
              <w:keepNext/>
              <w:keepLines/>
              <w:rPr>
                <w:lang w:val="hu-HU"/>
              </w:rPr>
            </w:pPr>
          </w:p>
          <w:p w14:paraId="65FC3A5B" w14:textId="77777777" w:rsidR="002F7D7A" w:rsidRPr="00183B5F" w:rsidRDefault="00943743" w:rsidP="002D49EE">
            <w:pPr>
              <w:pStyle w:val="EMEAHeadingLeaflet"/>
              <w:keepNext/>
              <w:keepLines/>
              <w:spacing w:beforeLines="0" w:before="0" w:afterLines="0" w:after="0"/>
              <w:rPr>
                <w:rFonts w:ascii="Times New Roman" w:hAnsi="Times New Roman"/>
                <w:b w:val="0"/>
                <w:lang w:val="hu-HU"/>
              </w:rPr>
            </w:pPr>
            <w:r w:rsidRPr="00183B5F">
              <w:rPr>
                <w:rFonts w:ascii="Times New Roman" w:hAnsi="Times New Roman"/>
                <w:b w:val="0"/>
                <w:lang w:val="hu-HU"/>
              </w:rPr>
              <w:t>Helyezze a következőket egy tiszta, sima felületre:</w:t>
            </w:r>
          </w:p>
          <w:p w14:paraId="1857974B" w14:textId="77777777" w:rsidR="002F7D7A" w:rsidRPr="00183B5F" w:rsidRDefault="002F7D7A" w:rsidP="002D49EE">
            <w:pPr>
              <w:pStyle w:val="EMEANormal"/>
              <w:keepNext/>
              <w:keepLines/>
              <w:rPr>
                <w:lang w:val="hu-HU"/>
              </w:rPr>
            </w:pPr>
          </w:p>
          <w:p w14:paraId="7353D0BD" w14:textId="77777777" w:rsidR="002F7D7A" w:rsidRPr="00183B5F" w:rsidRDefault="00943743" w:rsidP="002D49EE">
            <w:pPr>
              <w:pStyle w:val="EMEAHeadingLeaflet"/>
              <w:keepNext/>
              <w:keepLines/>
              <w:numPr>
                <w:ilvl w:val="0"/>
                <w:numId w:val="121"/>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 xml:space="preserve">1 egyszer használatos előretöltött injekciós tollat és </w:t>
            </w:r>
          </w:p>
          <w:p w14:paraId="717BE136" w14:textId="77777777" w:rsidR="002F7D7A" w:rsidRPr="00183B5F" w:rsidRDefault="00943743" w:rsidP="002D49EE">
            <w:pPr>
              <w:pStyle w:val="EMEAHeadingLeaflet"/>
              <w:keepNext/>
              <w:keepLines/>
              <w:numPr>
                <w:ilvl w:val="0"/>
                <w:numId w:val="121"/>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1 alkoholos törlőt</w:t>
            </w:r>
          </w:p>
          <w:p w14:paraId="387BCCE1" w14:textId="77777777" w:rsidR="002F7D7A" w:rsidRPr="00183B5F" w:rsidRDefault="002F7D7A" w:rsidP="002D49EE">
            <w:pPr>
              <w:pStyle w:val="EMEANormal"/>
              <w:keepNext/>
              <w:keepLines/>
              <w:rPr>
                <w:lang w:val="hu-HU"/>
              </w:rPr>
            </w:pPr>
          </w:p>
          <w:p w14:paraId="006F9BC0" w14:textId="77777777" w:rsidR="002F7D7A" w:rsidRPr="00183B5F" w:rsidRDefault="00943743" w:rsidP="002D49EE">
            <w:pPr>
              <w:pStyle w:val="EMEANormal"/>
              <w:keepNext/>
              <w:keepLines/>
              <w:rPr>
                <w:lang w:val="hu-HU"/>
              </w:rPr>
            </w:pPr>
            <w:r w:rsidRPr="00183B5F">
              <w:rPr>
                <w:lang w:val="hu-HU"/>
              </w:rPr>
              <w:t>Mossa meg és szárítsa meg a kezét.</w:t>
            </w:r>
          </w:p>
        </w:tc>
      </w:tr>
      <w:tr w:rsidR="00011D2F" w14:paraId="2277FB62" w14:textId="77777777" w:rsidTr="00687653">
        <w:tc>
          <w:tcPr>
            <w:tcW w:w="3708" w:type="dxa"/>
            <w:tcBorders>
              <w:right w:val="nil"/>
            </w:tcBorders>
          </w:tcPr>
          <w:p w14:paraId="009FA81B" w14:textId="77777777" w:rsidR="002F7D7A" w:rsidRPr="00183B5F" w:rsidRDefault="00943743" w:rsidP="002D49EE">
            <w:pPr>
              <w:pStyle w:val="EMEANormal"/>
              <w:keepNext/>
              <w:rPr>
                <w:b/>
                <w:noProof/>
                <w:lang w:val="hu-HU"/>
              </w:rPr>
            </w:pPr>
            <w:r w:rsidRPr="00183B5F">
              <w:rPr>
                <w:b/>
                <w:noProof/>
                <w:lang w:val="hu-HU"/>
              </w:rPr>
              <w:t>3. lépés</w:t>
            </w:r>
          </w:p>
          <w:p w14:paraId="0800BAB3" w14:textId="77777777" w:rsidR="002F7D7A" w:rsidRPr="00183B5F" w:rsidRDefault="002F7D7A" w:rsidP="002D49EE">
            <w:pPr>
              <w:pStyle w:val="EMEANormal"/>
              <w:keepNext/>
              <w:rPr>
                <w:b/>
                <w:noProof/>
                <w:lang w:val="hu-HU"/>
              </w:rPr>
            </w:pPr>
          </w:p>
          <w:p w14:paraId="1F0722EC" w14:textId="77777777" w:rsidR="002F7D7A" w:rsidRPr="00183B5F" w:rsidRDefault="00943743" w:rsidP="002D49EE">
            <w:pPr>
              <w:pStyle w:val="EMEANormal"/>
              <w:keepNext/>
              <w:rPr>
                <w:b/>
                <w:noProof/>
                <w:lang w:val="hu-HU"/>
              </w:rPr>
            </w:pPr>
            <w:r w:rsidRPr="00183B5F">
              <w:rPr>
                <w:b/>
                <w:noProof/>
                <w:lang w:val="hu-HU"/>
              </w:rPr>
              <w:t>Beadási helyek</w:t>
            </w:r>
          </w:p>
          <w:p w14:paraId="6FD3780F" w14:textId="77777777" w:rsidR="002F7D7A" w:rsidRPr="00183B5F" w:rsidRDefault="00943743" w:rsidP="002D49EE">
            <w:pPr>
              <w:pStyle w:val="EMEANormal"/>
              <w:keepNext/>
              <w:rPr>
                <w:noProof/>
                <w:lang w:val="hu-HU"/>
              </w:rPr>
            </w:pPr>
            <w:r w:rsidRPr="007A59A2">
              <w:rPr>
                <w:noProof/>
                <w:lang w:val="en-GB"/>
              </w:rPr>
              <w:drawing>
                <wp:inline distT="0" distB="0" distL="0" distR="0" wp14:anchorId="6CFAB2EE" wp14:editId="68AF3DCF">
                  <wp:extent cx="2273935" cy="2385695"/>
                  <wp:effectExtent l="0" t="0" r="0" b="0"/>
                  <wp:docPr id="83" name="Picture 83"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43" descr="STEP3_grey"/>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273935" cy="2385695"/>
                          </a:xfrm>
                          <a:prstGeom prst="rect">
                            <a:avLst/>
                          </a:prstGeom>
                          <a:noFill/>
                          <a:ln>
                            <a:noFill/>
                          </a:ln>
                        </pic:spPr>
                      </pic:pic>
                    </a:graphicData>
                  </a:graphic>
                </wp:inline>
              </w:drawing>
            </w:r>
          </w:p>
          <w:p w14:paraId="1EB1C21D" w14:textId="77777777" w:rsidR="002F7D7A" w:rsidRPr="00183B5F" w:rsidRDefault="00943743" w:rsidP="002D49EE">
            <w:pPr>
              <w:pStyle w:val="EMEANormal"/>
              <w:keepNext/>
              <w:rPr>
                <w:b/>
                <w:lang w:val="hu-HU"/>
              </w:rPr>
            </w:pPr>
            <w:r w:rsidRPr="00183B5F">
              <w:rPr>
                <w:noProof/>
                <w:lang w:val="hu-HU"/>
              </w:rPr>
              <w:t xml:space="preserve">     </w:t>
            </w:r>
            <w:r w:rsidRPr="00183B5F">
              <w:rPr>
                <w:b/>
                <w:noProof/>
                <w:lang w:val="hu-HU"/>
              </w:rPr>
              <w:t>Beadási helyek</w:t>
            </w:r>
          </w:p>
        </w:tc>
        <w:tc>
          <w:tcPr>
            <w:tcW w:w="5579" w:type="dxa"/>
            <w:tcBorders>
              <w:left w:val="nil"/>
            </w:tcBorders>
          </w:tcPr>
          <w:p w14:paraId="2470888F" w14:textId="77777777" w:rsidR="002F7D7A" w:rsidRPr="00183B5F" w:rsidRDefault="002F7D7A" w:rsidP="002D49EE">
            <w:pPr>
              <w:pStyle w:val="EMEAHeadingLeaflet"/>
              <w:keepNext/>
              <w:spacing w:beforeLines="0" w:before="0" w:afterLines="0" w:after="0"/>
              <w:rPr>
                <w:rFonts w:ascii="Times New Roman" w:hAnsi="Times New Roman"/>
                <w:b w:val="0"/>
                <w:lang w:val="hu-HU"/>
              </w:rPr>
            </w:pPr>
          </w:p>
          <w:p w14:paraId="0C33AE5E" w14:textId="77777777" w:rsidR="002F7D7A" w:rsidRPr="00183B5F" w:rsidRDefault="00943743" w:rsidP="002D49EE">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Válassza ki a beadási helyet:</w:t>
            </w:r>
          </w:p>
          <w:p w14:paraId="35B50C83" w14:textId="77777777" w:rsidR="002F7D7A" w:rsidRPr="00183B5F" w:rsidRDefault="002F7D7A" w:rsidP="002D49EE">
            <w:pPr>
              <w:pStyle w:val="EMEANormal"/>
              <w:keepNext/>
              <w:rPr>
                <w:lang w:val="hu-HU"/>
              </w:rPr>
            </w:pPr>
          </w:p>
          <w:p w14:paraId="7DADD88D" w14:textId="77777777" w:rsidR="002F7D7A" w:rsidRPr="00183B5F" w:rsidRDefault="00943743" w:rsidP="002D49EE">
            <w:pPr>
              <w:pStyle w:val="EMEAHeadingLeaflet"/>
              <w:keepNext/>
              <w:numPr>
                <w:ilvl w:val="0"/>
                <w:numId w:val="122"/>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Combja elülső részén vagy</w:t>
            </w:r>
          </w:p>
          <w:p w14:paraId="115986B2" w14:textId="77777777" w:rsidR="002F7D7A" w:rsidRPr="00183B5F" w:rsidRDefault="00943743" w:rsidP="002D49EE">
            <w:pPr>
              <w:pStyle w:val="EMEAHeadingLeaflet"/>
              <w:keepNext/>
              <w:numPr>
                <w:ilvl w:val="0"/>
                <w:numId w:val="122"/>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Hasfalán, legalább 5 cm távolságra a köldökétől</w:t>
            </w:r>
          </w:p>
          <w:p w14:paraId="32911CAD" w14:textId="77777777" w:rsidR="002F7D7A" w:rsidRPr="00183B5F" w:rsidRDefault="00943743" w:rsidP="002D49EE">
            <w:pPr>
              <w:pStyle w:val="EMEAHeadingLeaflet"/>
              <w:keepNext/>
              <w:numPr>
                <w:ilvl w:val="0"/>
                <w:numId w:val="122"/>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Az előző beadási helytől legalább 3 cm távolságra</w:t>
            </w:r>
          </w:p>
          <w:p w14:paraId="0405F3AA" w14:textId="77777777" w:rsidR="002F7D7A" w:rsidRPr="00183B5F" w:rsidRDefault="002F7D7A" w:rsidP="002D49EE">
            <w:pPr>
              <w:pStyle w:val="EMEANormal"/>
              <w:keepNext/>
              <w:rPr>
                <w:lang w:val="hu-HU"/>
              </w:rPr>
            </w:pPr>
          </w:p>
          <w:p w14:paraId="736179ED" w14:textId="77777777" w:rsidR="002F7D7A" w:rsidRPr="00183B5F" w:rsidRDefault="00943743" w:rsidP="002D49EE">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Körkörös mozdulattal törölje le az injekció beadásának helyét az alkoholos törlővel.</w:t>
            </w:r>
          </w:p>
          <w:p w14:paraId="7D8F69A3" w14:textId="77777777" w:rsidR="002F7D7A" w:rsidRPr="00183B5F" w:rsidRDefault="002F7D7A" w:rsidP="002D49EE">
            <w:pPr>
              <w:pStyle w:val="EMEANormal"/>
              <w:keepNext/>
              <w:rPr>
                <w:lang w:val="hu-HU"/>
              </w:rPr>
            </w:pPr>
          </w:p>
          <w:p w14:paraId="01D48BD4" w14:textId="77777777" w:rsidR="002F7D7A" w:rsidRPr="00183B5F" w:rsidRDefault="00943743" w:rsidP="002D49EE">
            <w:pPr>
              <w:pStyle w:val="EMEAHeadingLeaflet"/>
              <w:keepNext/>
              <w:numPr>
                <w:ilvl w:val="0"/>
                <w:numId w:val="123"/>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lang w:val="hu-HU"/>
              </w:rPr>
              <w:t xml:space="preserve">Ne </w:t>
            </w:r>
            <w:r w:rsidRPr="00183B5F">
              <w:rPr>
                <w:rFonts w:ascii="Times New Roman" w:hAnsi="Times New Roman"/>
                <w:b w:val="0"/>
                <w:lang w:val="hu-HU"/>
              </w:rPr>
              <w:t>ruhán keresztül adja be az injekciót</w:t>
            </w:r>
          </w:p>
          <w:p w14:paraId="5204EFFF" w14:textId="77777777" w:rsidR="002F7D7A" w:rsidRPr="00183B5F" w:rsidRDefault="00943743" w:rsidP="002D49EE">
            <w:pPr>
              <w:pStyle w:val="EMEANormal"/>
              <w:keepNext/>
              <w:numPr>
                <w:ilvl w:val="0"/>
                <w:numId w:val="123"/>
              </w:numPr>
              <w:tabs>
                <w:tab w:val="clear" w:pos="562"/>
                <w:tab w:val="left" w:pos="757"/>
              </w:tabs>
              <w:ind w:left="757"/>
              <w:rPr>
                <w:lang w:val="hu-HU"/>
              </w:rPr>
            </w:pPr>
            <w:r w:rsidRPr="00183B5F">
              <w:rPr>
                <w:b/>
                <w:szCs w:val="22"/>
                <w:lang w:val="hu-HU"/>
              </w:rPr>
              <w:t xml:space="preserve">Ne </w:t>
            </w:r>
            <w:r w:rsidRPr="00183B5F">
              <w:rPr>
                <w:szCs w:val="22"/>
                <w:lang w:val="hu-HU"/>
              </w:rPr>
              <w:t>adja az injekciót olyan helyre, ahol a bőr sebes, véraláfutásos, bepirosodott, kemény, heges, a bőr megnyúlását jelző világos csíkok (striák) területén, illetve a pikkelysömörös területeken</w:t>
            </w:r>
          </w:p>
        </w:tc>
      </w:tr>
      <w:tr w:rsidR="00011D2F" w14:paraId="38B0AB9C" w14:textId="77777777" w:rsidTr="00687653">
        <w:tc>
          <w:tcPr>
            <w:tcW w:w="3708" w:type="dxa"/>
            <w:tcBorders>
              <w:right w:val="nil"/>
            </w:tcBorders>
          </w:tcPr>
          <w:p w14:paraId="6FF39EBD" w14:textId="77777777" w:rsidR="002F7D7A" w:rsidRPr="00183B5F" w:rsidRDefault="00943743" w:rsidP="002D49EE">
            <w:pPr>
              <w:pStyle w:val="EMEANormal"/>
              <w:keepNext/>
              <w:rPr>
                <w:b/>
                <w:noProof/>
                <w:lang w:val="hu-HU"/>
              </w:rPr>
            </w:pPr>
            <w:r w:rsidRPr="00183B5F">
              <w:rPr>
                <w:b/>
                <w:noProof/>
                <w:lang w:val="hu-HU"/>
              </w:rPr>
              <w:t>4. lépés</w:t>
            </w:r>
          </w:p>
          <w:p w14:paraId="701DA514" w14:textId="77777777" w:rsidR="002F7D7A" w:rsidRPr="00183B5F" w:rsidRDefault="002F7D7A" w:rsidP="002D49EE">
            <w:pPr>
              <w:pStyle w:val="EMEANormal"/>
              <w:keepNext/>
              <w:rPr>
                <w:b/>
                <w:noProof/>
                <w:lang w:val="hu-HU"/>
              </w:rPr>
            </w:pPr>
          </w:p>
          <w:p w14:paraId="3C52EA2D" w14:textId="77777777" w:rsidR="002F7D7A" w:rsidRPr="00183B5F" w:rsidRDefault="00943743" w:rsidP="002D49EE">
            <w:pPr>
              <w:pStyle w:val="EMEANormal"/>
              <w:keepNext/>
              <w:rPr>
                <w:lang w:val="hu-HU"/>
              </w:rPr>
            </w:pPr>
            <w:r w:rsidRPr="007A59A2">
              <w:rPr>
                <w:noProof/>
                <w:lang w:val="en-GB"/>
              </w:rPr>
              <w:drawing>
                <wp:inline distT="0" distB="0" distL="0" distR="0" wp14:anchorId="25E31707" wp14:editId="13F71F71">
                  <wp:extent cx="2210435" cy="2051685"/>
                  <wp:effectExtent l="0" t="0" r="0" b="5715"/>
                  <wp:docPr id="88" name="Picture 88" descr="STEP4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44" descr="STEP4_grey"/>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2210435" cy="2051685"/>
                          </a:xfrm>
                          <a:prstGeom prst="rect">
                            <a:avLst/>
                          </a:prstGeom>
                          <a:noFill/>
                          <a:ln>
                            <a:noFill/>
                          </a:ln>
                        </pic:spPr>
                      </pic:pic>
                    </a:graphicData>
                  </a:graphic>
                </wp:inline>
              </w:drawing>
            </w:r>
          </w:p>
        </w:tc>
        <w:tc>
          <w:tcPr>
            <w:tcW w:w="5579" w:type="dxa"/>
            <w:tcBorders>
              <w:left w:val="nil"/>
            </w:tcBorders>
          </w:tcPr>
          <w:p w14:paraId="53EE8834" w14:textId="77777777" w:rsidR="002F7D7A" w:rsidRPr="00183B5F" w:rsidRDefault="002F7D7A" w:rsidP="002D49EE">
            <w:pPr>
              <w:pStyle w:val="EMEAHeadingLeaflet"/>
              <w:keepNext/>
              <w:spacing w:beforeLines="0" w:before="0" w:afterLines="0" w:after="0"/>
              <w:rPr>
                <w:rFonts w:ascii="Times New Roman" w:hAnsi="Times New Roman"/>
                <w:b w:val="0"/>
                <w:lang w:val="hu-HU"/>
              </w:rPr>
            </w:pPr>
          </w:p>
          <w:p w14:paraId="00EC1427" w14:textId="77777777" w:rsidR="002F7D7A" w:rsidRPr="00183B5F" w:rsidRDefault="00943743" w:rsidP="002D49EE">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 xml:space="preserve">Tartsa az injekciós tollat a szürke kupakkal (1) felfelé. </w:t>
            </w:r>
          </w:p>
          <w:p w14:paraId="7BCDC6CD" w14:textId="77777777" w:rsidR="002F7D7A" w:rsidRPr="00183B5F" w:rsidRDefault="002F7D7A" w:rsidP="002D49EE">
            <w:pPr>
              <w:pStyle w:val="EMEANormal"/>
              <w:keepNext/>
              <w:rPr>
                <w:lang w:val="hu-HU"/>
              </w:rPr>
            </w:pPr>
          </w:p>
          <w:p w14:paraId="20508DE1" w14:textId="77777777" w:rsidR="002F7D7A" w:rsidRPr="00183B5F" w:rsidRDefault="00943743" w:rsidP="002D49EE">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Ellenőrizze az ablakot.</w:t>
            </w:r>
          </w:p>
          <w:p w14:paraId="4D5FA2DD" w14:textId="77777777" w:rsidR="002F7D7A" w:rsidRPr="00183B5F" w:rsidRDefault="002F7D7A" w:rsidP="002D49EE">
            <w:pPr>
              <w:pStyle w:val="EMEANormal"/>
              <w:keepNext/>
              <w:rPr>
                <w:lang w:val="hu-HU"/>
              </w:rPr>
            </w:pPr>
          </w:p>
          <w:p w14:paraId="68F7E5FA" w14:textId="77777777" w:rsidR="002F7D7A" w:rsidRPr="00183B5F" w:rsidRDefault="00943743" w:rsidP="002D49EE">
            <w:pPr>
              <w:pStyle w:val="EMEAHeadingLeaflet"/>
              <w:keepNext/>
              <w:numPr>
                <w:ilvl w:val="0"/>
                <w:numId w:val="124"/>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Normális, ha egy vagy több buborékot lát az ablakban</w:t>
            </w:r>
          </w:p>
          <w:p w14:paraId="093EA507" w14:textId="77777777" w:rsidR="002F7D7A" w:rsidRPr="00183B5F" w:rsidRDefault="00943743" w:rsidP="002D49EE">
            <w:pPr>
              <w:pStyle w:val="EMEAHeadingLeaflet"/>
              <w:keepNext/>
              <w:numPr>
                <w:ilvl w:val="0"/>
                <w:numId w:val="124"/>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Bizonyosodjon meg róla, hogy a folyadék tiszta és színtelen</w:t>
            </w:r>
          </w:p>
          <w:p w14:paraId="434DC506" w14:textId="77777777" w:rsidR="002F7D7A" w:rsidRPr="00183B5F" w:rsidRDefault="00943743" w:rsidP="002D49EE">
            <w:pPr>
              <w:pStyle w:val="EMEAHeadingLeaflet"/>
              <w:keepNext/>
              <w:numPr>
                <w:ilvl w:val="0"/>
                <w:numId w:val="124"/>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lang w:val="hu-HU"/>
              </w:rPr>
              <w:t xml:space="preserve">Ne </w:t>
            </w:r>
            <w:r w:rsidRPr="00183B5F">
              <w:rPr>
                <w:rFonts w:ascii="Times New Roman" w:hAnsi="Times New Roman"/>
                <w:b w:val="0"/>
                <w:lang w:val="hu-HU"/>
              </w:rPr>
              <w:t>használja az</w:t>
            </w:r>
            <w:r w:rsidRPr="00183B5F">
              <w:rPr>
                <w:rFonts w:ascii="Times New Roman" w:hAnsi="Times New Roman"/>
                <w:lang w:val="hu-HU"/>
              </w:rPr>
              <w:t xml:space="preserve"> </w:t>
            </w:r>
            <w:r w:rsidRPr="00183B5F">
              <w:rPr>
                <w:rFonts w:ascii="Times New Roman" w:hAnsi="Times New Roman"/>
                <w:b w:val="0"/>
                <w:lang w:val="hu-HU"/>
              </w:rPr>
              <w:t>injekciós tollat, ha a folyadék zavaros vagy részecskéket tartalmaz</w:t>
            </w:r>
          </w:p>
          <w:p w14:paraId="198C5BF6" w14:textId="77777777" w:rsidR="002F7D7A" w:rsidRPr="00183B5F" w:rsidRDefault="00943743" w:rsidP="002D49EE">
            <w:pPr>
              <w:pStyle w:val="EMEANormal"/>
              <w:keepNext/>
              <w:numPr>
                <w:ilvl w:val="0"/>
                <w:numId w:val="124"/>
              </w:numPr>
              <w:tabs>
                <w:tab w:val="clear" w:pos="562"/>
                <w:tab w:val="left" w:pos="757"/>
              </w:tabs>
              <w:ind w:left="757"/>
              <w:rPr>
                <w:lang w:val="hu-HU"/>
              </w:rPr>
            </w:pPr>
            <w:r w:rsidRPr="00183B5F">
              <w:rPr>
                <w:b/>
                <w:lang w:val="hu-HU"/>
              </w:rPr>
              <w:t xml:space="preserve">Ne </w:t>
            </w:r>
            <w:r w:rsidRPr="00183B5F">
              <w:rPr>
                <w:lang w:val="hu-HU"/>
              </w:rPr>
              <w:t>használja az injekciós tollat, ha az leesett vagy eltörött</w:t>
            </w:r>
          </w:p>
        </w:tc>
      </w:tr>
      <w:tr w:rsidR="00011D2F" w14:paraId="6C2F41AB" w14:textId="77777777" w:rsidTr="00687653">
        <w:tc>
          <w:tcPr>
            <w:tcW w:w="3708" w:type="dxa"/>
            <w:tcBorders>
              <w:right w:val="nil"/>
            </w:tcBorders>
          </w:tcPr>
          <w:p w14:paraId="6CB43ED6" w14:textId="77777777" w:rsidR="002F7D7A" w:rsidRPr="00183B5F" w:rsidRDefault="00943743" w:rsidP="002D49EE">
            <w:pPr>
              <w:pStyle w:val="EMEANormal"/>
              <w:keepNext/>
              <w:rPr>
                <w:noProof/>
                <w:lang w:val="hu-HU"/>
              </w:rPr>
            </w:pPr>
            <w:r w:rsidRPr="00183B5F">
              <w:rPr>
                <w:b/>
                <w:noProof/>
                <w:lang w:val="hu-HU"/>
              </w:rPr>
              <w:t>5. lépés</w:t>
            </w:r>
            <w:r w:rsidRPr="00183B5F">
              <w:rPr>
                <w:noProof/>
                <w:lang w:val="hu-HU"/>
              </w:rPr>
              <w:t xml:space="preserve"> </w:t>
            </w:r>
          </w:p>
          <w:p w14:paraId="59DB764D" w14:textId="77777777" w:rsidR="002F7D7A" w:rsidRPr="00183B5F" w:rsidRDefault="002F7D7A" w:rsidP="002D49EE">
            <w:pPr>
              <w:pStyle w:val="EMEANormal"/>
              <w:keepNext/>
              <w:keepLines/>
              <w:rPr>
                <w:noProof/>
                <w:lang w:val="hu-HU"/>
              </w:rPr>
            </w:pPr>
          </w:p>
          <w:p w14:paraId="53564ACD" w14:textId="77777777" w:rsidR="002F7D7A" w:rsidRPr="00183B5F" w:rsidRDefault="00943743" w:rsidP="002D49EE">
            <w:pPr>
              <w:pStyle w:val="EMEANormal"/>
              <w:keepNext/>
              <w:keepLines/>
              <w:rPr>
                <w:b/>
                <w:noProof/>
                <w:lang w:val="hu-HU"/>
              </w:rPr>
            </w:pPr>
            <w:r w:rsidRPr="00183B5F">
              <w:rPr>
                <w:b/>
                <w:noProof/>
                <w:lang w:val="hu-HU"/>
              </w:rPr>
              <w:t xml:space="preserve">1 Kupak </w:t>
            </w:r>
          </w:p>
          <w:p w14:paraId="30808AB7" w14:textId="77777777" w:rsidR="002F7D7A" w:rsidRPr="00183B5F" w:rsidRDefault="00943743" w:rsidP="002D49EE">
            <w:pPr>
              <w:pStyle w:val="EMEANormal"/>
              <w:keepNext/>
              <w:keepLines/>
              <w:rPr>
                <w:noProof/>
                <w:lang w:val="hu-HU"/>
              </w:rPr>
            </w:pPr>
            <w:r w:rsidRPr="007A59A2">
              <w:rPr>
                <w:noProof/>
                <w:lang w:val="en-GB"/>
              </w:rPr>
              <w:drawing>
                <wp:inline distT="0" distB="0" distL="0" distR="0" wp14:anchorId="0A7DF8DD" wp14:editId="1DC0DC5A">
                  <wp:extent cx="2027555" cy="1844675"/>
                  <wp:effectExtent l="0" t="0" r="0" b="3175"/>
                  <wp:docPr id="89" name="Picture 89" descr="EU_IFU_STEP5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45" descr="EU_IFU_STEP5_grey"/>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2027555" cy="1844675"/>
                          </a:xfrm>
                          <a:prstGeom prst="rect">
                            <a:avLst/>
                          </a:prstGeom>
                          <a:noFill/>
                          <a:ln>
                            <a:noFill/>
                          </a:ln>
                        </pic:spPr>
                      </pic:pic>
                    </a:graphicData>
                  </a:graphic>
                </wp:inline>
              </w:drawing>
            </w:r>
          </w:p>
          <w:p w14:paraId="4E566C11" w14:textId="77777777" w:rsidR="002F7D7A" w:rsidRPr="00183B5F" w:rsidRDefault="00943743" w:rsidP="002D49EE">
            <w:pPr>
              <w:pStyle w:val="EMEANormal"/>
              <w:keepNext/>
              <w:keepLines/>
              <w:rPr>
                <w:b/>
                <w:lang w:val="hu-HU"/>
              </w:rPr>
            </w:pPr>
            <w:r w:rsidRPr="00183B5F">
              <w:rPr>
                <w:b/>
                <w:noProof/>
                <w:lang w:val="hu-HU"/>
              </w:rPr>
              <w:t xml:space="preserve">                                            2 Kupak</w:t>
            </w:r>
          </w:p>
        </w:tc>
        <w:tc>
          <w:tcPr>
            <w:tcW w:w="5579" w:type="dxa"/>
            <w:tcBorders>
              <w:left w:val="nil"/>
            </w:tcBorders>
          </w:tcPr>
          <w:p w14:paraId="647C9CFE" w14:textId="77777777" w:rsidR="002F7D7A" w:rsidRPr="00183B5F" w:rsidRDefault="002F7D7A" w:rsidP="002D49EE">
            <w:pPr>
              <w:pStyle w:val="EMEAHeadingLeaflet"/>
              <w:keepNext/>
              <w:keepLines/>
              <w:spacing w:beforeLines="0" w:before="0" w:afterLines="0" w:after="0"/>
              <w:rPr>
                <w:rFonts w:ascii="Times New Roman" w:hAnsi="Times New Roman"/>
                <w:b w:val="0"/>
                <w:lang w:val="hu-HU"/>
              </w:rPr>
            </w:pPr>
          </w:p>
          <w:p w14:paraId="1B9FADCB" w14:textId="77777777" w:rsidR="002F7D7A" w:rsidRPr="00183B5F" w:rsidRDefault="00943743" w:rsidP="002D49EE">
            <w:pPr>
              <w:pStyle w:val="EMEAHeadingLeaflet"/>
              <w:keepNext/>
              <w:keepLines/>
              <w:spacing w:beforeLines="0" w:before="0" w:afterLines="0" w:after="0"/>
              <w:rPr>
                <w:rFonts w:ascii="Times New Roman" w:hAnsi="Times New Roman"/>
                <w:b w:val="0"/>
                <w:lang w:val="hu-HU"/>
              </w:rPr>
            </w:pPr>
            <w:r w:rsidRPr="00183B5F">
              <w:rPr>
                <w:rFonts w:ascii="Times New Roman" w:hAnsi="Times New Roman"/>
                <w:b w:val="0"/>
                <w:lang w:val="hu-HU"/>
              </w:rPr>
              <w:t xml:space="preserve">Vegye le a szürke kupakot (1). Dobja ki a kupakot. </w:t>
            </w:r>
            <w:r w:rsidRPr="00183B5F">
              <w:rPr>
                <w:rFonts w:ascii="Times New Roman" w:hAnsi="Times New Roman"/>
                <w:lang w:val="hu-HU"/>
              </w:rPr>
              <w:t>Ne</w:t>
            </w:r>
            <w:r w:rsidRPr="00183B5F">
              <w:rPr>
                <w:rFonts w:ascii="Times New Roman" w:hAnsi="Times New Roman"/>
                <w:b w:val="0"/>
                <w:lang w:val="hu-HU"/>
              </w:rPr>
              <w:t xml:space="preserve"> rakja vissza.</w:t>
            </w:r>
          </w:p>
          <w:p w14:paraId="57DAFF57" w14:textId="77777777" w:rsidR="002F7D7A" w:rsidRPr="00183B5F" w:rsidRDefault="002F7D7A" w:rsidP="002D49EE">
            <w:pPr>
              <w:pStyle w:val="EMEANormal"/>
              <w:keepNext/>
              <w:keepLines/>
              <w:rPr>
                <w:lang w:val="hu-HU"/>
              </w:rPr>
            </w:pPr>
          </w:p>
          <w:p w14:paraId="07828819" w14:textId="77777777" w:rsidR="002F7D7A" w:rsidRPr="00183B5F" w:rsidRDefault="00943743" w:rsidP="002D49EE">
            <w:pPr>
              <w:pStyle w:val="EMEAHeadingLeaflet"/>
              <w:keepNext/>
              <w:keepLines/>
              <w:numPr>
                <w:ilvl w:val="0"/>
                <w:numId w:val="125"/>
              </w:numPr>
              <w:tabs>
                <w:tab w:val="clear" w:pos="562"/>
                <w:tab w:val="left" w:pos="757"/>
              </w:tabs>
              <w:spacing w:beforeLines="0" w:before="0" w:afterLines="0" w:after="0"/>
              <w:ind w:left="763"/>
              <w:rPr>
                <w:rFonts w:ascii="Times New Roman" w:hAnsi="Times New Roman"/>
                <w:b w:val="0"/>
                <w:lang w:val="hu-HU"/>
              </w:rPr>
            </w:pPr>
            <w:r w:rsidRPr="00183B5F">
              <w:rPr>
                <w:rFonts w:ascii="Times New Roman" w:hAnsi="Times New Roman"/>
                <w:b w:val="0"/>
                <w:lang w:val="hu-HU"/>
              </w:rPr>
              <w:t>Ellenőrizze, hogy a kis fekete tűvédőt eltávolította-e a kupakkal együtt</w:t>
            </w:r>
          </w:p>
          <w:p w14:paraId="35ABD23E" w14:textId="77777777" w:rsidR="002F7D7A" w:rsidRPr="00183B5F" w:rsidRDefault="00943743" w:rsidP="002D49EE">
            <w:pPr>
              <w:pStyle w:val="EMEAHeadingLeaflet"/>
              <w:keepNext/>
              <w:keepLines/>
              <w:numPr>
                <w:ilvl w:val="0"/>
                <w:numId w:val="125"/>
              </w:numPr>
              <w:tabs>
                <w:tab w:val="clear" w:pos="562"/>
                <w:tab w:val="left" w:pos="757"/>
              </w:tabs>
              <w:spacing w:beforeLines="0" w:before="0" w:afterLines="0" w:after="0"/>
              <w:ind w:left="763"/>
              <w:rPr>
                <w:rFonts w:ascii="Times New Roman" w:hAnsi="Times New Roman"/>
                <w:b w:val="0"/>
                <w:lang w:val="hu-HU"/>
              </w:rPr>
            </w:pPr>
            <w:r w:rsidRPr="00183B5F">
              <w:rPr>
                <w:rFonts w:ascii="Times New Roman" w:hAnsi="Times New Roman"/>
                <w:b w:val="0"/>
                <w:lang w:val="hu-HU"/>
              </w:rPr>
              <w:t>Normális, ha lát néhány csepp folyadékot kijönni a tűből</w:t>
            </w:r>
          </w:p>
          <w:p w14:paraId="1BAD5FFB" w14:textId="77777777" w:rsidR="002F7D7A" w:rsidRPr="00183B5F" w:rsidRDefault="002F7D7A" w:rsidP="002D49EE">
            <w:pPr>
              <w:pStyle w:val="EMEANormal"/>
              <w:keepNext/>
              <w:keepLines/>
              <w:rPr>
                <w:lang w:val="hu-HU"/>
              </w:rPr>
            </w:pPr>
          </w:p>
          <w:p w14:paraId="6547D049" w14:textId="77777777" w:rsidR="002F7D7A" w:rsidRPr="00183B5F" w:rsidRDefault="00943743" w:rsidP="002D49EE">
            <w:pPr>
              <w:pStyle w:val="EMEAHeadingLeaflet"/>
              <w:keepNext/>
              <w:keepLines/>
              <w:spacing w:beforeLines="0" w:before="0" w:afterLines="0" w:after="0"/>
              <w:rPr>
                <w:rFonts w:ascii="Times New Roman" w:hAnsi="Times New Roman"/>
                <w:b w:val="0"/>
                <w:lang w:val="hu-HU"/>
              </w:rPr>
            </w:pPr>
            <w:r w:rsidRPr="00183B5F">
              <w:rPr>
                <w:rFonts w:ascii="Times New Roman" w:hAnsi="Times New Roman"/>
                <w:b w:val="0"/>
                <w:lang w:val="hu-HU"/>
              </w:rPr>
              <w:t xml:space="preserve">Vegye le a szilvakék színű kupakot (2). Dobja ki a kupakot. </w:t>
            </w:r>
            <w:r w:rsidRPr="00183B5F">
              <w:rPr>
                <w:rFonts w:ascii="Times New Roman" w:hAnsi="Times New Roman"/>
                <w:lang w:val="hu-HU"/>
              </w:rPr>
              <w:t>Ne</w:t>
            </w:r>
            <w:r w:rsidRPr="00183B5F">
              <w:rPr>
                <w:rFonts w:ascii="Times New Roman" w:hAnsi="Times New Roman"/>
                <w:b w:val="0"/>
                <w:lang w:val="hu-HU"/>
              </w:rPr>
              <w:t xml:space="preserve"> rakja vissza.</w:t>
            </w:r>
          </w:p>
          <w:p w14:paraId="0F0E71E4" w14:textId="77777777" w:rsidR="002F7D7A" w:rsidRPr="00183B5F" w:rsidRDefault="002F7D7A" w:rsidP="002D49EE">
            <w:pPr>
              <w:pStyle w:val="EMEANormal"/>
              <w:keepNext/>
              <w:keepLines/>
              <w:rPr>
                <w:lang w:val="hu-HU"/>
              </w:rPr>
            </w:pPr>
          </w:p>
          <w:p w14:paraId="3833E47C" w14:textId="77777777" w:rsidR="002F7D7A" w:rsidRPr="00183B5F" w:rsidRDefault="00943743" w:rsidP="002D49EE">
            <w:pPr>
              <w:pStyle w:val="EMEANormal"/>
              <w:keepNext/>
              <w:keepLines/>
              <w:rPr>
                <w:lang w:val="hu-HU"/>
              </w:rPr>
            </w:pPr>
            <w:r w:rsidRPr="00183B5F">
              <w:rPr>
                <w:lang w:val="hu-HU"/>
              </w:rPr>
              <w:t>Az injekciós toll most használatra kész.</w:t>
            </w:r>
          </w:p>
          <w:p w14:paraId="39D14CC7" w14:textId="77777777" w:rsidR="002F7D7A" w:rsidRPr="00183B5F" w:rsidRDefault="002F7D7A" w:rsidP="002D49EE">
            <w:pPr>
              <w:pStyle w:val="EMEANormal"/>
              <w:keepNext/>
              <w:keepLines/>
              <w:rPr>
                <w:lang w:val="hu-HU"/>
              </w:rPr>
            </w:pPr>
          </w:p>
          <w:p w14:paraId="2D7B3F11" w14:textId="77777777" w:rsidR="002F7D7A" w:rsidRPr="00183B5F" w:rsidRDefault="00943743" w:rsidP="002D49EE">
            <w:pPr>
              <w:pStyle w:val="EMEANormal"/>
              <w:keepNext/>
              <w:keepLines/>
              <w:rPr>
                <w:lang w:val="hu-HU"/>
              </w:rPr>
            </w:pPr>
            <w:r w:rsidRPr="00183B5F">
              <w:rPr>
                <w:lang w:val="hu-HU"/>
              </w:rPr>
              <w:t>Úgy fordítsa az injekciós tollat, hogy a fehér nyíl a beadás helyére mutasson.</w:t>
            </w:r>
          </w:p>
        </w:tc>
      </w:tr>
      <w:tr w:rsidR="00011D2F" w14:paraId="4B8F6FC1" w14:textId="77777777" w:rsidTr="00687653">
        <w:tc>
          <w:tcPr>
            <w:tcW w:w="3708" w:type="dxa"/>
            <w:tcBorders>
              <w:right w:val="nil"/>
            </w:tcBorders>
          </w:tcPr>
          <w:p w14:paraId="6BF73CCC" w14:textId="77777777" w:rsidR="002F7D7A" w:rsidRPr="00183B5F" w:rsidRDefault="00943743" w:rsidP="002D49EE">
            <w:pPr>
              <w:pStyle w:val="EMEANormal"/>
              <w:keepNext/>
              <w:rPr>
                <w:b/>
                <w:noProof/>
                <w:lang w:val="hu-HU"/>
              </w:rPr>
            </w:pPr>
            <w:r w:rsidRPr="00183B5F">
              <w:rPr>
                <w:b/>
                <w:noProof/>
                <w:lang w:val="hu-HU"/>
              </w:rPr>
              <w:t>6. lépés</w:t>
            </w:r>
          </w:p>
          <w:p w14:paraId="06E44BBC" w14:textId="77777777" w:rsidR="002F7D7A" w:rsidRPr="00183B5F" w:rsidRDefault="00943743" w:rsidP="002D49EE">
            <w:pPr>
              <w:pStyle w:val="EMEANormal"/>
              <w:keepNext/>
              <w:rPr>
                <w:lang w:val="hu-HU"/>
              </w:rPr>
            </w:pPr>
            <w:r w:rsidRPr="007A59A2">
              <w:rPr>
                <w:noProof/>
                <w:lang w:val="en-GB"/>
              </w:rPr>
              <w:drawing>
                <wp:inline distT="0" distB="0" distL="0" distR="0" wp14:anchorId="0AD226AA" wp14:editId="3B22038D">
                  <wp:extent cx="2258060" cy="2146935"/>
                  <wp:effectExtent l="0" t="0" r="8890" b="5715"/>
                  <wp:docPr id="91" name="Picture 91" descr="STEP6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46" descr="STEP6_grey"/>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2258060" cy="2146935"/>
                          </a:xfrm>
                          <a:prstGeom prst="rect">
                            <a:avLst/>
                          </a:prstGeom>
                          <a:noFill/>
                          <a:ln>
                            <a:noFill/>
                          </a:ln>
                        </pic:spPr>
                      </pic:pic>
                    </a:graphicData>
                  </a:graphic>
                </wp:inline>
              </w:drawing>
            </w:r>
          </w:p>
        </w:tc>
        <w:tc>
          <w:tcPr>
            <w:tcW w:w="5579" w:type="dxa"/>
            <w:tcBorders>
              <w:left w:val="nil"/>
            </w:tcBorders>
          </w:tcPr>
          <w:p w14:paraId="7F3A14E1" w14:textId="77777777" w:rsidR="002F7D7A" w:rsidRPr="00183B5F" w:rsidRDefault="002F7D7A" w:rsidP="002D49EE">
            <w:pPr>
              <w:pStyle w:val="EMEAHeadingLeaflet"/>
              <w:keepNext/>
              <w:spacing w:beforeLines="0" w:before="0" w:afterLines="0" w:after="0"/>
              <w:rPr>
                <w:rFonts w:ascii="Times New Roman" w:hAnsi="Times New Roman"/>
                <w:b w:val="0"/>
                <w:lang w:val="hu-HU"/>
              </w:rPr>
            </w:pPr>
          </w:p>
          <w:p w14:paraId="723FF4AB" w14:textId="77777777" w:rsidR="002F7D7A" w:rsidRPr="00183B5F" w:rsidRDefault="00943743" w:rsidP="002D49EE">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A beadás helyén szorítsa össze a bőrt egy kiemelkedő redőbe, és tartsa mozdulatlanul</w:t>
            </w:r>
            <w:r w:rsidR="001441E0" w:rsidRPr="00183B5F">
              <w:rPr>
                <w:rFonts w:ascii="Times New Roman" w:hAnsi="Times New Roman"/>
                <w:b w:val="0"/>
                <w:lang w:val="hu-HU"/>
              </w:rPr>
              <w:t xml:space="preserve"> a beadás végéig</w:t>
            </w:r>
            <w:r w:rsidRPr="00183B5F">
              <w:rPr>
                <w:rFonts w:ascii="Times New Roman" w:hAnsi="Times New Roman"/>
                <w:b w:val="0"/>
                <w:lang w:val="hu-HU"/>
              </w:rPr>
              <w:t>.</w:t>
            </w:r>
          </w:p>
          <w:p w14:paraId="1A9A4AEB" w14:textId="77777777" w:rsidR="002F7D7A" w:rsidRPr="00183B5F" w:rsidRDefault="002F7D7A" w:rsidP="002D49EE">
            <w:pPr>
              <w:pStyle w:val="EMEANormal"/>
              <w:keepNext/>
              <w:rPr>
                <w:lang w:val="hu-HU"/>
              </w:rPr>
            </w:pPr>
          </w:p>
          <w:p w14:paraId="2C38EA85" w14:textId="77777777" w:rsidR="002F7D7A" w:rsidRPr="00183B5F" w:rsidRDefault="00943743" w:rsidP="002D49EE">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A fehér nyíl a beadás helyére mutasson (comb vagy hasfal).</w:t>
            </w:r>
          </w:p>
          <w:p w14:paraId="1E89BF4B" w14:textId="77777777" w:rsidR="002F7D7A" w:rsidRPr="00183B5F" w:rsidRDefault="002F7D7A" w:rsidP="002D49EE">
            <w:pPr>
              <w:pStyle w:val="EMEANormal"/>
              <w:keepNext/>
              <w:rPr>
                <w:lang w:val="hu-HU"/>
              </w:rPr>
            </w:pPr>
          </w:p>
          <w:p w14:paraId="257C64F5" w14:textId="77777777" w:rsidR="002F7D7A" w:rsidRPr="00183B5F" w:rsidRDefault="00943743" w:rsidP="002D49EE">
            <w:pPr>
              <w:pStyle w:val="EMEAHeadingLeaflet"/>
              <w:keepNext/>
              <w:spacing w:beforeLines="0" w:before="0" w:afterLines="0" w:after="0"/>
              <w:rPr>
                <w:rFonts w:ascii="Times New Roman" w:hAnsi="Times New Roman"/>
                <w:b w:val="0"/>
                <w:lang w:val="hu-HU"/>
              </w:rPr>
            </w:pPr>
            <w:r w:rsidRPr="00183B5F">
              <w:rPr>
                <w:rFonts w:ascii="Times New Roman" w:hAnsi="Times New Roman"/>
                <w:b w:val="0"/>
                <w:lang w:val="hu-HU"/>
              </w:rPr>
              <w:t>Helyezze a fehér tűvédő hüvelyt merőlegesen (</w:t>
            </w:r>
            <w:r w:rsidRPr="00183B5F">
              <w:rPr>
                <w:rFonts w:ascii="Times New Roman" w:hAnsi="Times New Roman"/>
                <w:lang w:val="hu-HU"/>
              </w:rPr>
              <w:t>90 fokos szögben</w:t>
            </w:r>
            <w:r w:rsidRPr="00183B5F">
              <w:rPr>
                <w:rFonts w:ascii="Times New Roman" w:hAnsi="Times New Roman"/>
                <w:b w:val="0"/>
                <w:lang w:val="hu-HU"/>
              </w:rPr>
              <w:t>) a beadás helyére.</w:t>
            </w:r>
          </w:p>
          <w:p w14:paraId="3039D423" w14:textId="77777777" w:rsidR="002F7D7A" w:rsidRPr="00183B5F" w:rsidRDefault="002F7D7A" w:rsidP="002D49EE">
            <w:pPr>
              <w:pStyle w:val="EMEANormal"/>
              <w:keepNext/>
              <w:rPr>
                <w:lang w:val="hu-HU"/>
              </w:rPr>
            </w:pPr>
          </w:p>
          <w:p w14:paraId="358C00FB" w14:textId="77777777" w:rsidR="002F7D7A" w:rsidRPr="00183B5F" w:rsidRDefault="00943743" w:rsidP="002D49EE">
            <w:pPr>
              <w:pStyle w:val="EMEANormal"/>
              <w:keepNext/>
              <w:rPr>
                <w:lang w:val="hu-HU"/>
              </w:rPr>
            </w:pPr>
            <w:r w:rsidRPr="00183B5F">
              <w:rPr>
                <w:lang w:val="hu-HU"/>
              </w:rPr>
              <w:t>Úgy tar</w:t>
            </w:r>
            <w:r w:rsidR="00296043" w:rsidRPr="00183B5F">
              <w:rPr>
                <w:lang w:val="hu-HU"/>
              </w:rPr>
              <w:t>t</w:t>
            </w:r>
            <w:r w:rsidRPr="00183B5F">
              <w:rPr>
                <w:lang w:val="hu-HU"/>
              </w:rPr>
              <w:t>sa az injekciós tollat, hogy lássa az ablakot.</w:t>
            </w:r>
          </w:p>
          <w:p w14:paraId="570E74D9" w14:textId="77777777" w:rsidR="001441E0" w:rsidRPr="00183B5F" w:rsidRDefault="001441E0" w:rsidP="002D49EE">
            <w:pPr>
              <w:pStyle w:val="EMEANormal"/>
              <w:keepNext/>
              <w:rPr>
                <w:lang w:val="hu-HU"/>
              </w:rPr>
            </w:pPr>
          </w:p>
          <w:p w14:paraId="60A5969A" w14:textId="77777777" w:rsidR="001441E0" w:rsidRPr="00183B5F" w:rsidRDefault="00943743" w:rsidP="002D49EE">
            <w:pPr>
              <w:pStyle w:val="EMEANormal"/>
              <w:keepNext/>
              <w:rPr>
                <w:lang w:val="hu-HU"/>
              </w:rPr>
            </w:pPr>
            <w:r w:rsidRPr="00183B5F">
              <w:rPr>
                <w:b/>
                <w:bCs/>
                <w:lang w:val="hu-HU"/>
              </w:rPr>
              <w:t>Ne</w:t>
            </w:r>
            <w:r w:rsidRPr="00183B5F">
              <w:rPr>
                <w:lang w:val="hu-HU"/>
              </w:rPr>
              <w:t xml:space="preserve"> nyomja meg a szilvakék indítógombot, amíg nem áll készen a beadásra.</w:t>
            </w:r>
          </w:p>
        </w:tc>
      </w:tr>
      <w:tr w:rsidR="00011D2F" w14:paraId="5A04E779" w14:textId="77777777" w:rsidTr="00687653">
        <w:tc>
          <w:tcPr>
            <w:tcW w:w="3708" w:type="dxa"/>
            <w:tcBorders>
              <w:right w:val="nil"/>
            </w:tcBorders>
          </w:tcPr>
          <w:p w14:paraId="58BF28D6" w14:textId="77777777" w:rsidR="002F7D7A" w:rsidRPr="00183B5F" w:rsidRDefault="00943743" w:rsidP="002D49EE">
            <w:pPr>
              <w:pStyle w:val="EMEANormal"/>
              <w:keepNext/>
              <w:keepLines/>
              <w:jc w:val="both"/>
              <w:rPr>
                <w:b/>
                <w:noProof/>
                <w:lang w:val="hu-HU"/>
              </w:rPr>
            </w:pPr>
            <w:r w:rsidRPr="00183B5F">
              <w:rPr>
                <w:b/>
                <w:noProof/>
                <w:lang w:val="hu-HU"/>
              </w:rPr>
              <w:t>7. lépés</w:t>
            </w:r>
          </w:p>
          <w:p w14:paraId="388E7EE5" w14:textId="77777777" w:rsidR="002F7D7A" w:rsidRPr="00183B5F" w:rsidRDefault="002F7D7A" w:rsidP="002D49EE">
            <w:pPr>
              <w:pStyle w:val="EMEANormal"/>
              <w:keepNext/>
              <w:keepLines/>
              <w:jc w:val="both"/>
              <w:rPr>
                <w:b/>
                <w:noProof/>
                <w:lang w:val="hu-HU"/>
              </w:rPr>
            </w:pPr>
          </w:p>
          <w:p w14:paraId="4DA6F946" w14:textId="77777777" w:rsidR="002F7D7A" w:rsidRPr="00183B5F" w:rsidRDefault="00943743" w:rsidP="002D49EE">
            <w:pPr>
              <w:pStyle w:val="EMEANormal"/>
              <w:keepNext/>
              <w:keepLines/>
              <w:rPr>
                <w:b/>
                <w:noProof/>
                <w:lang w:val="hu-HU"/>
              </w:rPr>
            </w:pPr>
            <w:r w:rsidRPr="00183B5F">
              <w:rPr>
                <w:b/>
                <w:noProof/>
                <w:lang w:val="hu-HU"/>
              </w:rPr>
              <w:t xml:space="preserve">                             1</w:t>
            </w:r>
            <w:r w:rsidR="001F08FF" w:rsidRPr="00183B5F">
              <w:rPr>
                <w:b/>
                <w:noProof/>
                <w:lang w:val="hu-HU"/>
              </w:rPr>
              <w:t>5</w:t>
            </w:r>
            <w:r w:rsidR="002E1E22" w:rsidRPr="00183B5F">
              <w:rPr>
                <w:b/>
                <w:noProof/>
                <w:lang w:val="hu-HU"/>
              </w:rPr>
              <w:t> </w:t>
            </w:r>
            <w:r w:rsidRPr="00183B5F">
              <w:rPr>
                <w:b/>
                <w:noProof/>
                <w:lang w:val="hu-HU"/>
              </w:rPr>
              <w:t xml:space="preserve">másodperc                             </w:t>
            </w:r>
          </w:p>
          <w:p w14:paraId="19B5C35B" w14:textId="77777777" w:rsidR="002F7D7A" w:rsidRPr="00183B5F" w:rsidRDefault="00943743" w:rsidP="002D49EE">
            <w:pPr>
              <w:pStyle w:val="EMEANormal"/>
              <w:keepNext/>
              <w:keepLines/>
              <w:rPr>
                <w:noProof/>
                <w:lang w:val="hu-HU"/>
              </w:rPr>
            </w:pPr>
            <w:r w:rsidRPr="007A59A2">
              <w:rPr>
                <w:noProof/>
                <w:lang w:val="en-GB"/>
              </w:rPr>
              <w:drawing>
                <wp:inline distT="0" distB="0" distL="0" distR="0" wp14:anchorId="22EF101E" wp14:editId="484A04D9">
                  <wp:extent cx="2105246" cy="2643611"/>
                  <wp:effectExtent l="0" t="0" r="952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TEP7b_grey-01.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094279" cy="2629839"/>
                          </a:xfrm>
                          <a:prstGeom prst="rect">
                            <a:avLst/>
                          </a:prstGeom>
                        </pic:spPr>
                      </pic:pic>
                    </a:graphicData>
                  </a:graphic>
                </wp:inline>
              </w:drawing>
            </w:r>
          </w:p>
        </w:tc>
        <w:tc>
          <w:tcPr>
            <w:tcW w:w="5579" w:type="dxa"/>
            <w:tcBorders>
              <w:left w:val="nil"/>
            </w:tcBorders>
          </w:tcPr>
          <w:p w14:paraId="6D143420" w14:textId="77777777" w:rsidR="002F7D7A" w:rsidRPr="00183B5F" w:rsidRDefault="002F7D7A" w:rsidP="002D49EE">
            <w:pPr>
              <w:pStyle w:val="EMEAHeadingLeaflet"/>
              <w:keepNext/>
              <w:keepLines/>
              <w:spacing w:beforeLines="0" w:before="0" w:afterLines="0" w:after="0"/>
              <w:rPr>
                <w:rFonts w:ascii="Times New Roman" w:hAnsi="Times New Roman"/>
                <w:lang w:val="hu-HU"/>
              </w:rPr>
            </w:pPr>
          </w:p>
          <w:p w14:paraId="3B20A710" w14:textId="77777777" w:rsidR="002F7D7A" w:rsidRPr="00183B5F" w:rsidRDefault="00943743" w:rsidP="002D49EE">
            <w:pPr>
              <w:pStyle w:val="EMEAHeadingLeaflet"/>
              <w:keepNext/>
              <w:keepLines/>
              <w:spacing w:beforeLines="0" w:before="0" w:afterLines="0" w:after="0"/>
              <w:rPr>
                <w:rFonts w:ascii="Times New Roman" w:hAnsi="Times New Roman"/>
                <w:b w:val="0"/>
                <w:lang w:val="hu-HU"/>
              </w:rPr>
            </w:pPr>
            <w:r w:rsidRPr="00183B5F">
              <w:rPr>
                <w:rFonts w:ascii="Times New Roman" w:hAnsi="Times New Roman"/>
                <w:lang w:val="hu-HU"/>
              </w:rPr>
              <w:t xml:space="preserve">Erősen nyomja rá </w:t>
            </w:r>
            <w:r w:rsidRPr="00183B5F">
              <w:rPr>
                <w:rFonts w:ascii="Times New Roman" w:hAnsi="Times New Roman"/>
                <w:b w:val="0"/>
                <w:lang w:val="hu-HU"/>
              </w:rPr>
              <w:t xml:space="preserve"> </w:t>
            </w:r>
            <w:r w:rsidRPr="00183B5F">
              <w:rPr>
                <w:rFonts w:ascii="Times New Roman" w:hAnsi="Times New Roman"/>
                <w:bCs/>
                <w:lang w:val="hu-HU"/>
              </w:rPr>
              <w:t>az injekciós tollat</w:t>
            </w:r>
            <w:r w:rsidRPr="00183B5F">
              <w:rPr>
                <w:rFonts w:ascii="Times New Roman" w:hAnsi="Times New Roman"/>
                <w:b w:val="0"/>
                <w:lang w:val="hu-HU"/>
              </w:rPr>
              <w:t xml:space="preserve"> a beadás helyé</w:t>
            </w:r>
            <w:r w:rsidR="009235EC" w:rsidRPr="00183B5F">
              <w:rPr>
                <w:rFonts w:ascii="Times New Roman" w:hAnsi="Times New Roman"/>
                <w:b w:val="0"/>
                <w:lang w:val="hu-HU"/>
              </w:rPr>
              <w:t>re</w:t>
            </w:r>
            <w:r w:rsidR="00080F7A" w:rsidRPr="00183B5F">
              <w:rPr>
                <w:rFonts w:ascii="Times New Roman" w:hAnsi="Times New Roman"/>
                <w:b w:val="0"/>
                <w:lang w:val="hu-HU"/>
              </w:rPr>
              <w:t>,</w:t>
            </w:r>
            <w:r w:rsidRPr="00183B5F">
              <w:rPr>
                <w:rFonts w:ascii="Times New Roman" w:hAnsi="Times New Roman"/>
                <w:b w:val="0"/>
                <w:lang w:val="hu-HU"/>
              </w:rPr>
              <w:t xml:space="preserve"> a beadás megkezdése előtt.</w:t>
            </w:r>
          </w:p>
          <w:p w14:paraId="6EB5D8F7" w14:textId="77777777" w:rsidR="00283B9D" w:rsidRPr="00183B5F" w:rsidRDefault="00943743" w:rsidP="002D49EE">
            <w:pPr>
              <w:pStyle w:val="EMEANormal"/>
              <w:keepNext/>
              <w:rPr>
                <w:lang w:val="hu-HU"/>
              </w:rPr>
            </w:pPr>
            <w:r w:rsidRPr="00183B5F">
              <w:rPr>
                <w:b/>
                <w:bCs/>
                <w:lang w:val="hu-HU"/>
              </w:rPr>
              <w:t>Tartsa a bőrre nyomva</w:t>
            </w:r>
            <w:r w:rsidRPr="00183B5F">
              <w:rPr>
                <w:lang w:val="hu-HU"/>
              </w:rPr>
              <w:t xml:space="preserve"> az előretöltött tollat, nehogy az elmozduljon a</w:t>
            </w:r>
            <w:r w:rsidR="001B1ED1" w:rsidRPr="00183B5F">
              <w:rPr>
                <w:lang w:val="hu-HU"/>
              </w:rPr>
              <w:t xml:space="preserve"> bőrről a</w:t>
            </w:r>
            <w:r w:rsidRPr="00183B5F">
              <w:rPr>
                <w:lang w:val="hu-HU"/>
              </w:rPr>
              <w:t xml:space="preserve"> beadás alatt.</w:t>
            </w:r>
          </w:p>
          <w:p w14:paraId="515178DC" w14:textId="77777777" w:rsidR="002F7D7A" w:rsidRPr="00183B5F" w:rsidRDefault="002F7D7A" w:rsidP="002D49EE">
            <w:pPr>
              <w:pStyle w:val="EMEANormal"/>
              <w:keepNext/>
              <w:keepLines/>
              <w:rPr>
                <w:lang w:val="hu-HU"/>
              </w:rPr>
            </w:pPr>
          </w:p>
          <w:p w14:paraId="3D9676F3" w14:textId="77777777" w:rsidR="002F7D7A" w:rsidRPr="00183B5F" w:rsidRDefault="00943743" w:rsidP="002D49EE">
            <w:pPr>
              <w:pStyle w:val="EMEAHeadingLeaflet"/>
              <w:keepNext/>
              <w:keepLines/>
              <w:spacing w:beforeLines="0" w:before="0" w:afterLines="0" w:after="0"/>
              <w:rPr>
                <w:rFonts w:ascii="Times New Roman" w:hAnsi="Times New Roman"/>
                <w:b w:val="0"/>
                <w:lang w:val="hu-HU"/>
              </w:rPr>
            </w:pPr>
            <w:r w:rsidRPr="00183B5F">
              <w:rPr>
                <w:rFonts w:ascii="Times New Roman" w:hAnsi="Times New Roman"/>
                <w:lang w:val="hu-HU"/>
              </w:rPr>
              <w:t>Nyomja le</w:t>
            </w:r>
            <w:r w:rsidRPr="00183B5F">
              <w:rPr>
                <w:rFonts w:ascii="Times New Roman" w:hAnsi="Times New Roman"/>
                <w:b w:val="0"/>
                <w:lang w:val="hu-HU"/>
              </w:rPr>
              <w:t xml:space="preserve"> a szilvakék indítógombot és lassan számoljon </w:t>
            </w:r>
            <w:r w:rsidRPr="00183B5F">
              <w:rPr>
                <w:rFonts w:ascii="Times New Roman" w:hAnsi="Times New Roman"/>
                <w:lang w:val="hu-HU"/>
              </w:rPr>
              <w:t>1</w:t>
            </w:r>
            <w:r w:rsidR="001F08FF" w:rsidRPr="00183B5F">
              <w:rPr>
                <w:rFonts w:ascii="Times New Roman" w:hAnsi="Times New Roman"/>
                <w:lang w:val="hu-HU"/>
              </w:rPr>
              <w:t>5</w:t>
            </w:r>
            <w:r w:rsidRPr="00183B5F">
              <w:rPr>
                <w:rFonts w:ascii="Times New Roman" w:hAnsi="Times New Roman"/>
                <w:b w:val="0"/>
                <w:lang w:val="hu-HU"/>
              </w:rPr>
              <w:t> másodpercig.</w:t>
            </w:r>
          </w:p>
          <w:p w14:paraId="505E18C0" w14:textId="77777777" w:rsidR="002F7D7A" w:rsidRPr="00183B5F" w:rsidRDefault="002F7D7A" w:rsidP="002D49EE">
            <w:pPr>
              <w:pStyle w:val="EMEANormal"/>
              <w:keepNext/>
              <w:keepLines/>
              <w:rPr>
                <w:lang w:val="hu-HU"/>
              </w:rPr>
            </w:pPr>
          </w:p>
          <w:p w14:paraId="44E85ABC" w14:textId="77777777" w:rsidR="002F7D7A" w:rsidRPr="00183B5F" w:rsidRDefault="00943743" w:rsidP="002D49EE">
            <w:pPr>
              <w:pStyle w:val="EMEAHeadingLeaflet"/>
              <w:keepNext/>
              <w:keepLines/>
              <w:numPr>
                <w:ilvl w:val="0"/>
                <w:numId w:val="126"/>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b w:val="0"/>
                <w:lang w:val="hu-HU"/>
              </w:rPr>
              <w:t>Egy hangos kattanás jelzi a beadás kezdetét</w:t>
            </w:r>
          </w:p>
          <w:p w14:paraId="20EDC819" w14:textId="77777777" w:rsidR="002F7D7A" w:rsidRPr="00183B5F" w:rsidRDefault="00943743" w:rsidP="002D49EE">
            <w:pPr>
              <w:pStyle w:val="EMEAHeadingLeaflet"/>
              <w:keepNext/>
              <w:keepLines/>
              <w:numPr>
                <w:ilvl w:val="0"/>
                <w:numId w:val="126"/>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lang w:val="hu-HU"/>
              </w:rPr>
              <w:t xml:space="preserve">Tartsa </w:t>
            </w:r>
            <w:r w:rsidR="00283B9D" w:rsidRPr="00183B5F">
              <w:rPr>
                <w:rFonts w:ascii="Times New Roman" w:hAnsi="Times New Roman"/>
                <w:lang w:val="hu-HU"/>
              </w:rPr>
              <w:t xml:space="preserve">erősen </w:t>
            </w:r>
            <w:r w:rsidR="001441E0" w:rsidRPr="00183B5F">
              <w:rPr>
                <w:rFonts w:ascii="Times New Roman" w:hAnsi="Times New Roman"/>
                <w:lang w:val="hu-HU"/>
              </w:rPr>
              <w:t>rá</w:t>
            </w:r>
            <w:r w:rsidRPr="00183B5F">
              <w:rPr>
                <w:rFonts w:ascii="Times New Roman" w:hAnsi="Times New Roman"/>
                <w:lang w:val="hu-HU"/>
              </w:rPr>
              <w:t>nyomva</w:t>
            </w:r>
            <w:r w:rsidRPr="00183B5F">
              <w:rPr>
                <w:rFonts w:ascii="Times New Roman" w:hAnsi="Times New Roman"/>
                <w:b w:val="0"/>
                <w:lang w:val="hu-HU"/>
              </w:rPr>
              <w:t xml:space="preserve"> az injekciós tollat a beadás helyére</w:t>
            </w:r>
            <w:r w:rsidR="00080F7A" w:rsidRPr="00183B5F">
              <w:rPr>
                <w:rFonts w:ascii="Times New Roman" w:hAnsi="Times New Roman"/>
                <w:b w:val="0"/>
                <w:lang w:val="hu-HU"/>
              </w:rPr>
              <w:t>,</w:t>
            </w:r>
            <w:r w:rsidR="001441E0" w:rsidRPr="00183B5F">
              <w:rPr>
                <w:rFonts w:ascii="Times New Roman" w:hAnsi="Times New Roman"/>
                <w:b w:val="0"/>
                <w:lang w:val="hu-HU"/>
              </w:rPr>
              <w:t xml:space="preserve"> a beadás végéig</w:t>
            </w:r>
            <w:r w:rsidR="001B1ED1" w:rsidRPr="00183B5F">
              <w:rPr>
                <w:rFonts w:ascii="Times New Roman" w:hAnsi="Times New Roman"/>
                <w:b w:val="0"/>
                <w:lang w:val="hu-HU"/>
              </w:rPr>
              <w:t>.</w:t>
            </w:r>
          </w:p>
          <w:p w14:paraId="5D222CD7" w14:textId="77777777" w:rsidR="002F7D7A" w:rsidRPr="00183B5F" w:rsidRDefault="002F7D7A" w:rsidP="002D49EE">
            <w:pPr>
              <w:pStyle w:val="EMEANormal"/>
              <w:keepNext/>
              <w:keepLines/>
              <w:rPr>
                <w:lang w:val="hu-HU"/>
              </w:rPr>
            </w:pPr>
          </w:p>
          <w:p w14:paraId="031F1212" w14:textId="77777777" w:rsidR="002F7D7A" w:rsidRPr="00183B5F" w:rsidRDefault="00943743" w:rsidP="002D49EE">
            <w:pPr>
              <w:pStyle w:val="EMEANormal"/>
              <w:keepNext/>
              <w:keepLines/>
              <w:rPr>
                <w:lang w:val="hu-HU"/>
              </w:rPr>
            </w:pPr>
            <w:r w:rsidRPr="00183B5F">
              <w:rPr>
                <w:lang w:val="hu-HU"/>
              </w:rPr>
              <w:t>Akkor fejeződik be a beadás, amikor a sárga jelzés már nem mozog.</w:t>
            </w:r>
          </w:p>
        </w:tc>
      </w:tr>
      <w:tr w:rsidR="00011D2F" w14:paraId="598EB220" w14:textId="77777777" w:rsidTr="00687653">
        <w:tc>
          <w:tcPr>
            <w:tcW w:w="3708" w:type="dxa"/>
            <w:tcBorders>
              <w:right w:val="nil"/>
            </w:tcBorders>
          </w:tcPr>
          <w:p w14:paraId="0930E9E0" w14:textId="77777777" w:rsidR="002F7D7A" w:rsidRPr="00183B5F" w:rsidRDefault="00943743" w:rsidP="002D49EE">
            <w:pPr>
              <w:pStyle w:val="EMEANormal"/>
              <w:keepNext/>
              <w:rPr>
                <w:b/>
                <w:noProof/>
                <w:lang w:val="hu-HU"/>
              </w:rPr>
            </w:pPr>
            <w:r w:rsidRPr="00183B5F">
              <w:rPr>
                <w:b/>
                <w:noProof/>
                <w:lang w:val="hu-HU"/>
              </w:rPr>
              <w:t>8. lépés</w:t>
            </w:r>
          </w:p>
          <w:p w14:paraId="3488E37C" w14:textId="77777777" w:rsidR="002F7D7A" w:rsidRPr="00183B5F" w:rsidRDefault="002F7D7A" w:rsidP="002D49EE">
            <w:pPr>
              <w:pStyle w:val="EMEANormal"/>
              <w:keepNext/>
              <w:keepLines/>
              <w:rPr>
                <w:b/>
                <w:noProof/>
                <w:lang w:val="hu-HU"/>
              </w:rPr>
            </w:pPr>
          </w:p>
          <w:p w14:paraId="028BCCDD" w14:textId="77777777" w:rsidR="002F7D7A" w:rsidRPr="00183B5F" w:rsidRDefault="00943743" w:rsidP="002D49EE">
            <w:pPr>
              <w:pStyle w:val="EMEANormal"/>
              <w:keepNext/>
              <w:keepLines/>
              <w:rPr>
                <w:lang w:val="hu-HU"/>
              </w:rPr>
            </w:pPr>
            <w:r w:rsidRPr="007A59A2">
              <w:rPr>
                <w:noProof/>
                <w:lang w:val="en-GB"/>
              </w:rPr>
              <w:drawing>
                <wp:inline distT="0" distB="0" distL="0" distR="0" wp14:anchorId="5AA8CA47" wp14:editId="1864F0A5">
                  <wp:extent cx="2027555" cy="1804670"/>
                  <wp:effectExtent l="0" t="0" r="0" b="5080"/>
                  <wp:docPr id="100" name="Picture 100" descr="STEP8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48" descr="STEP8_grey"/>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2027555" cy="1804670"/>
                          </a:xfrm>
                          <a:prstGeom prst="rect">
                            <a:avLst/>
                          </a:prstGeom>
                          <a:noFill/>
                          <a:ln>
                            <a:noFill/>
                          </a:ln>
                        </pic:spPr>
                      </pic:pic>
                    </a:graphicData>
                  </a:graphic>
                </wp:inline>
              </w:drawing>
            </w:r>
            <w:r w:rsidRPr="00183B5F">
              <w:rPr>
                <w:noProof/>
                <w:lang w:val="hu-HU"/>
              </w:rPr>
              <w:t xml:space="preserve"> </w:t>
            </w:r>
          </w:p>
        </w:tc>
        <w:tc>
          <w:tcPr>
            <w:tcW w:w="5579" w:type="dxa"/>
            <w:tcBorders>
              <w:left w:val="nil"/>
            </w:tcBorders>
          </w:tcPr>
          <w:p w14:paraId="483EF255" w14:textId="77777777" w:rsidR="002F7D7A" w:rsidRPr="00183B5F" w:rsidRDefault="002F7D7A" w:rsidP="002D49EE">
            <w:pPr>
              <w:pStyle w:val="EMEAHeadingLeaflet"/>
              <w:keepNext/>
              <w:keepLines/>
              <w:spacing w:beforeLines="0" w:before="0" w:afterLines="0" w:after="0"/>
              <w:rPr>
                <w:rFonts w:ascii="Times New Roman" w:hAnsi="Times New Roman"/>
                <w:b w:val="0"/>
                <w:lang w:val="hu-HU"/>
              </w:rPr>
            </w:pPr>
          </w:p>
          <w:p w14:paraId="31E37BA0" w14:textId="77777777" w:rsidR="002F7D7A" w:rsidRPr="00183B5F" w:rsidRDefault="00943743" w:rsidP="002D49EE">
            <w:pPr>
              <w:pStyle w:val="EMEAHeadingLeaflet"/>
              <w:keepNext/>
              <w:keepLines/>
              <w:spacing w:beforeLines="0" w:before="0" w:afterLines="0" w:after="0"/>
              <w:rPr>
                <w:rFonts w:ascii="Times New Roman" w:hAnsi="Times New Roman"/>
                <w:b w:val="0"/>
                <w:lang w:val="hu-HU"/>
              </w:rPr>
            </w:pPr>
            <w:r w:rsidRPr="00183B5F">
              <w:rPr>
                <w:rFonts w:ascii="Times New Roman" w:hAnsi="Times New Roman"/>
                <w:b w:val="0"/>
                <w:lang w:val="hu-HU"/>
              </w:rPr>
              <w:t>Amikor a beadás befejeződött, lassan emelje el az injekciós tollat a bőrről. A fehér tűvédő hüvely befedi a tű hegyét.</w:t>
            </w:r>
          </w:p>
          <w:p w14:paraId="7F0A844F" w14:textId="77777777" w:rsidR="00283B9D" w:rsidRPr="00183B5F" w:rsidRDefault="00943743" w:rsidP="002D49EE">
            <w:pPr>
              <w:pStyle w:val="EMEANormal"/>
              <w:keepNext/>
              <w:keepLines/>
              <w:numPr>
                <w:ilvl w:val="0"/>
                <w:numId w:val="127"/>
              </w:numPr>
              <w:tabs>
                <w:tab w:val="clear" w:pos="562"/>
                <w:tab w:val="left" w:pos="757"/>
              </w:tabs>
              <w:ind w:left="757"/>
              <w:rPr>
                <w:lang w:val="hu-HU"/>
              </w:rPr>
            </w:pPr>
            <w:r w:rsidRPr="00183B5F">
              <w:rPr>
                <w:lang w:val="hu-HU"/>
              </w:rPr>
              <w:t>Kis mennyiségű folyadék megjelenése az injekció beadásának helyén normális</w:t>
            </w:r>
          </w:p>
          <w:p w14:paraId="5182CD13" w14:textId="77777777" w:rsidR="002F7D7A" w:rsidRPr="00183B5F" w:rsidRDefault="002F7D7A" w:rsidP="002D49EE">
            <w:pPr>
              <w:pStyle w:val="EMEANormal"/>
              <w:keepNext/>
              <w:keepLines/>
              <w:rPr>
                <w:lang w:val="hu-HU"/>
              </w:rPr>
            </w:pPr>
          </w:p>
          <w:p w14:paraId="22022DD7" w14:textId="77777777" w:rsidR="002F7D7A" w:rsidRPr="00183B5F" w:rsidRDefault="00943743" w:rsidP="002D49EE">
            <w:pPr>
              <w:pStyle w:val="EMEANormal"/>
              <w:keepNext/>
              <w:keepLines/>
              <w:rPr>
                <w:lang w:val="hu-HU"/>
              </w:rPr>
            </w:pPr>
            <w:r w:rsidRPr="00183B5F">
              <w:rPr>
                <w:lang w:val="hu-HU"/>
              </w:rPr>
              <w:t>Ha néhány cseppnél nagyobb mennyiségű folyadék van a beadás helyén, beszéljen kezelőorvosával, a nővérrel vagy a gyógyszerészével.</w:t>
            </w:r>
          </w:p>
          <w:p w14:paraId="48A56613" w14:textId="77777777" w:rsidR="002F7D7A" w:rsidRPr="00183B5F" w:rsidRDefault="002F7D7A" w:rsidP="002D49EE">
            <w:pPr>
              <w:pStyle w:val="EMEANormal"/>
              <w:keepNext/>
              <w:keepLines/>
              <w:rPr>
                <w:lang w:val="hu-HU"/>
              </w:rPr>
            </w:pPr>
          </w:p>
          <w:p w14:paraId="0C49BFFF" w14:textId="77777777" w:rsidR="002F7D7A" w:rsidRPr="00183B5F" w:rsidRDefault="00943743" w:rsidP="002D49EE">
            <w:pPr>
              <w:pStyle w:val="EMEAHeadingLeaflet"/>
              <w:keepNext/>
              <w:keepLines/>
              <w:spacing w:beforeLines="0" w:before="0" w:afterLines="0" w:after="0"/>
              <w:rPr>
                <w:rFonts w:ascii="Times New Roman" w:hAnsi="Times New Roman"/>
                <w:b w:val="0"/>
                <w:lang w:val="hu-HU"/>
              </w:rPr>
            </w:pPr>
            <w:r w:rsidRPr="00183B5F">
              <w:rPr>
                <w:rFonts w:ascii="Times New Roman" w:hAnsi="Times New Roman"/>
                <w:b w:val="0"/>
                <w:lang w:val="hu-HU"/>
              </w:rPr>
              <w:t>Az injekció beadása után helyezzen egy vattapamacsot vagy gézdarabot a beadás helyére.</w:t>
            </w:r>
          </w:p>
          <w:p w14:paraId="04574BFE" w14:textId="77777777" w:rsidR="002F7D7A" w:rsidRPr="00183B5F" w:rsidRDefault="002F7D7A" w:rsidP="002D49EE">
            <w:pPr>
              <w:pStyle w:val="EMEANormal"/>
              <w:keepNext/>
              <w:keepLines/>
              <w:rPr>
                <w:lang w:val="hu-HU"/>
              </w:rPr>
            </w:pPr>
          </w:p>
          <w:p w14:paraId="240B0526" w14:textId="77777777" w:rsidR="002F7D7A" w:rsidRPr="00183B5F" w:rsidRDefault="00943743" w:rsidP="002D49EE">
            <w:pPr>
              <w:pStyle w:val="EMEAHeadingLeaflet"/>
              <w:keepNext/>
              <w:keepLines/>
              <w:numPr>
                <w:ilvl w:val="0"/>
                <w:numId w:val="127"/>
              </w:numPr>
              <w:tabs>
                <w:tab w:val="clear" w:pos="562"/>
                <w:tab w:val="left" w:pos="757"/>
              </w:tabs>
              <w:spacing w:beforeLines="0" w:before="0" w:afterLines="0" w:after="0"/>
              <w:ind w:left="757"/>
              <w:rPr>
                <w:rFonts w:ascii="Times New Roman" w:hAnsi="Times New Roman"/>
                <w:b w:val="0"/>
                <w:lang w:val="hu-HU"/>
              </w:rPr>
            </w:pPr>
            <w:r w:rsidRPr="00183B5F">
              <w:rPr>
                <w:rFonts w:ascii="Times New Roman" w:hAnsi="Times New Roman"/>
                <w:lang w:val="hu-HU"/>
              </w:rPr>
              <w:t>Ne</w:t>
            </w:r>
            <w:r w:rsidRPr="00183B5F">
              <w:rPr>
                <w:rFonts w:ascii="Times New Roman" w:hAnsi="Times New Roman"/>
                <w:b w:val="0"/>
                <w:lang w:val="hu-HU"/>
              </w:rPr>
              <w:t xml:space="preserve"> dörzsölje</w:t>
            </w:r>
          </w:p>
          <w:p w14:paraId="55D14D48" w14:textId="77777777" w:rsidR="002F7D7A" w:rsidRPr="00183B5F" w:rsidRDefault="00943743" w:rsidP="002D49EE">
            <w:pPr>
              <w:pStyle w:val="EMEANormal"/>
              <w:keepNext/>
              <w:keepLines/>
              <w:numPr>
                <w:ilvl w:val="0"/>
                <w:numId w:val="127"/>
              </w:numPr>
              <w:tabs>
                <w:tab w:val="clear" w:pos="562"/>
                <w:tab w:val="left" w:pos="757"/>
              </w:tabs>
              <w:ind w:left="757"/>
              <w:rPr>
                <w:lang w:val="hu-HU"/>
              </w:rPr>
            </w:pPr>
            <w:r w:rsidRPr="00183B5F">
              <w:rPr>
                <w:lang w:val="hu-HU"/>
              </w:rPr>
              <w:t>Enyhe vérzés az injekció beadásának helyén normális</w:t>
            </w:r>
          </w:p>
        </w:tc>
      </w:tr>
      <w:tr w:rsidR="00011D2F" w14:paraId="6539CAD3" w14:textId="77777777" w:rsidTr="00687653">
        <w:tc>
          <w:tcPr>
            <w:tcW w:w="9287" w:type="dxa"/>
            <w:gridSpan w:val="2"/>
          </w:tcPr>
          <w:p w14:paraId="52544FD6" w14:textId="77777777" w:rsidR="002F7D7A" w:rsidRPr="00183B5F" w:rsidRDefault="00943743" w:rsidP="002D49EE">
            <w:pPr>
              <w:keepNext/>
              <w:spacing w:line="240" w:lineRule="auto"/>
              <w:rPr>
                <w:b/>
              </w:rPr>
            </w:pPr>
            <w:r w:rsidRPr="00183B5F">
              <w:rPr>
                <w:b/>
              </w:rPr>
              <w:t>9. lépés</w:t>
            </w:r>
          </w:p>
          <w:p w14:paraId="0787B942" w14:textId="77777777" w:rsidR="002F7D7A" w:rsidRPr="00183B5F" w:rsidRDefault="002F7D7A" w:rsidP="002D49EE">
            <w:pPr>
              <w:keepNext/>
              <w:spacing w:line="240" w:lineRule="auto"/>
              <w:rPr>
                <w:b/>
              </w:rPr>
            </w:pPr>
          </w:p>
          <w:p w14:paraId="7CDADDC2" w14:textId="77777777" w:rsidR="002F7D7A" w:rsidRPr="00183B5F" w:rsidRDefault="00943743" w:rsidP="002D49EE">
            <w:pPr>
              <w:pStyle w:val="EMEANormal"/>
              <w:keepNext/>
              <w:rPr>
                <w:szCs w:val="22"/>
                <w:lang w:val="hu-HU"/>
              </w:rPr>
            </w:pPr>
            <w:r w:rsidRPr="00183B5F">
              <w:rPr>
                <w:szCs w:val="22"/>
                <w:lang w:val="hu-HU"/>
              </w:rPr>
              <w:t>Az injekciós tollat dobja egy speciális gyűjtőedénybe a kezelőorvosa, a nővér vagy a gyógyszerésze útmutatásának megfelelően.</w:t>
            </w:r>
          </w:p>
          <w:p w14:paraId="737A51EF" w14:textId="77777777" w:rsidR="002F7D7A" w:rsidRPr="00183B5F" w:rsidRDefault="002F7D7A" w:rsidP="002D49EE">
            <w:pPr>
              <w:pStyle w:val="EMEANormal"/>
              <w:keepNext/>
              <w:rPr>
                <w:lang w:val="hu-HU"/>
              </w:rPr>
            </w:pPr>
          </w:p>
          <w:p w14:paraId="36A644C5" w14:textId="77777777" w:rsidR="002F7D7A" w:rsidRPr="00183B5F" w:rsidRDefault="00943743" w:rsidP="002D49EE">
            <w:pPr>
              <w:pStyle w:val="EMEAHeadingLeaflet"/>
              <w:keepNext/>
              <w:numPr>
                <w:ilvl w:val="0"/>
                <w:numId w:val="128"/>
              </w:numPr>
              <w:tabs>
                <w:tab w:val="clear" w:pos="562"/>
                <w:tab w:val="left" w:pos="720"/>
              </w:tabs>
              <w:spacing w:beforeLines="0" w:before="0" w:afterLines="0" w:after="0"/>
              <w:rPr>
                <w:rFonts w:ascii="Times New Roman" w:hAnsi="Times New Roman"/>
                <w:b w:val="0"/>
                <w:lang w:val="hu-HU"/>
              </w:rPr>
            </w:pPr>
            <w:r w:rsidRPr="00183B5F">
              <w:rPr>
                <w:rFonts w:ascii="Times New Roman" w:hAnsi="Times New Roman"/>
                <w:lang w:val="hu-HU"/>
              </w:rPr>
              <w:t xml:space="preserve">Ne </w:t>
            </w:r>
            <w:r w:rsidRPr="00183B5F">
              <w:rPr>
                <w:rFonts w:ascii="Times New Roman" w:hAnsi="Times New Roman"/>
                <w:b w:val="0"/>
                <w:lang w:val="hu-HU"/>
              </w:rPr>
              <w:t>dobja a szelektív vagy a háztartási hulladékba az előretöltött injekciós tollat.</w:t>
            </w:r>
          </w:p>
          <w:p w14:paraId="23A918A7" w14:textId="77777777" w:rsidR="002F7D7A" w:rsidRPr="00183B5F" w:rsidRDefault="00943743" w:rsidP="002D49EE">
            <w:pPr>
              <w:pStyle w:val="EMEANormal"/>
              <w:keepNext/>
              <w:numPr>
                <w:ilvl w:val="0"/>
                <w:numId w:val="128"/>
              </w:numPr>
              <w:tabs>
                <w:tab w:val="clear" w:pos="562"/>
                <w:tab w:val="left" w:pos="720"/>
              </w:tabs>
              <w:rPr>
                <w:lang w:val="hu-HU"/>
              </w:rPr>
            </w:pPr>
            <w:r w:rsidRPr="00183B5F">
              <w:rPr>
                <w:lang w:val="hu-HU"/>
              </w:rPr>
              <w:t xml:space="preserve">Az injekciós tollat és a speciális gyűjtőedényt </w:t>
            </w:r>
            <w:r w:rsidRPr="00183B5F">
              <w:rPr>
                <w:b/>
                <w:lang w:val="hu-HU"/>
              </w:rPr>
              <w:t>mindig</w:t>
            </w:r>
            <w:r w:rsidRPr="00183B5F">
              <w:rPr>
                <w:lang w:val="hu-HU"/>
              </w:rPr>
              <w:t xml:space="preserve"> a gyermekektől elzárva kell tartani!</w:t>
            </w:r>
          </w:p>
          <w:p w14:paraId="29238567" w14:textId="77777777" w:rsidR="00F13953" w:rsidRPr="00183B5F" w:rsidRDefault="00F13953" w:rsidP="002D49EE">
            <w:pPr>
              <w:pStyle w:val="EMEANormal"/>
              <w:keepNext/>
              <w:rPr>
                <w:szCs w:val="22"/>
                <w:lang w:val="hu-HU"/>
              </w:rPr>
            </w:pPr>
          </w:p>
          <w:p w14:paraId="52C185E0" w14:textId="77777777" w:rsidR="002F7D7A" w:rsidRPr="00183B5F" w:rsidRDefault="00943743" w:rsidP="002D49EE">
            <w:pPr>
              <w:pStyle w:val="EMEANormal"/>
              <w:keepNext/>
              <w:rPr>
                <w:lang w:val="hu-HU"/>
              </w:rPr>
            </w:pPr>
            <w:r w:rsidRPr="00183B5F">
              <w:rPr>
                <w:szCs w:val="22"/>
                <w:lang w:val="hu-HU"/>
              </w:rPr>
              <w:t>A kupakokat, az alkoholos törlőt, a vattapamacsot vagy gézdarabot, a buborékcsomagolást és a csomagolást ki lehet dobni a háztartási hulladékba.</w:t>
            </w:r>
          </w:p>
        </w:tc>
      </w:tr>
    </w:tbl>
    <w:p w14:paraId="7526E26E" w14:textId="77777777" w:rsidR="002F7D7A" w:rsidRPr="00183B5F" w:rsidRDefault="002F7D7A" w:rsidP="004062FE">
      <w:pPr>
        <w:suppressAutoHyphens w:val="0"/>
        <w:spacing w:line="240" w:lineRule="auto"/>
        <w:rPr>
          <w:szCs w:val="24"/>
        </w:rPr>
      </w:pPr>
    </w:p>
    <w:sectPr w:rsidR="002F7D7A" w:rsidRPr="00183B5F" w:rsidSect="00175CDA">
      <w:footerReference w:type="default" r:id="rId78"/>
      <w:footnotePr>
        <w:pos w:val="beneathText"/>
      </w:footnotePr>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4CA2D" w14:textId="77777777" w:rsidR="00943743" w:rsidRDefault="00943743">
      <w:pPr>
        <w:spacing w:line="240" w:lineRule="auto"/>
      </w:pPr>
      <w:r>
        <w:separator/>
      </w:r>
    </w:p>
  </w:endnote>
  <w:endnote w:type="continuationSeparator" w:id="0">
    <w:p w14:paraId="0A43AA8A" w14:textId="77777777" w:rsidR="00943743" w:rsidRDefault="009437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Times New Roman"/>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orndale">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lbany">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6BA61" w14:textId="77777777" w:rsidR="00117602" w:rsidRPr="003811FE" w:rsidRDefault="00943743">
    <w:pPr>
      <w:pStyle w:val="Footer"/>
      <w:tabs>
        <w:tab w:val="clear" w:pos="8930"/>
        <w:tab w:val="right" w:pos="8931"/>
      </w:tabs>
      <w:ind w:right="96"/>
      <w:jc w:val="center"/>
      <w:rPr>
        <w:rFonts w:ascii="Arial" w:hAnsi="Arial" w:cs="Arial"/>
        <w:sz w:val="16"/>
        <w:szCs w:val="16"/>
      </w:rPr>
    </w:pPr>
    <w:r w:rsidRPr="003811FE">
      <w:rPr>
        <w:rStyle w:val="PageNumber"/>
        <w:rFonts w:ascii="Arial" w:hAnsi="Arial" w:cs="Arial"/>
        <w:sz w:val="16"/>
        <w:szCs w:val="16"/>
      </w:rPr>
      <w:fldChar w:fldCharType="begin"/>
    </w:r>
    <w:r w:rsidRPr="003811FE">
      <w:rPr>
        <w:rStyle w:val="PageNumber"/>
        <w:rFonts w:ascii="Arial" w:hAnsi="Arial" w:cs="Arial"/>
        <w:sz w:val="16"/>
        <w:szCs w:val="16"/>
      </w:rPr>
      <w:instrText xml:space="preserve"> PAGE </w:instrText>
    </w:r>
    <w:r w:rsidRPr="003811FE">
      <w:rPr>
        <w:rStyle w:val="PageNumber"/>
        <w:rFonts w:ascii="Arial" w:hAnsi="Arial" w:cs="Arial"/>
        <w:sz w:val="16"/>
        <w:szCs w:val="16"/>
      </w:rPr>
      <w:fldChar w:fldCharType="separate"/>
    </w:r>
    <w:r>
      <w:rPr>
        <w:rStyle w:val="PageNumber"/>
        <w:rFonts w:ascii="Arial" w:hAnsi="Arial" w:cs="Arial"/>
        <w:noProof/>
        <w:sz w:val="16"/>
        <w:szCs w:val="16"/>
      </w:rPr>
      <w:t>2</w:t>
    </w:r>
    <w:r w:rsidRPr="003811FE">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01E20" w14:textId="77777777" w:rsidR="00943743" w:rsidRDefault="00943743">
      <w:pPr>
        <w:spacing w:line="240" w:lineRule="auto"/>
      </w:pPr>
      <w:r>
        <w:separator/>
      </w:r>
    </w:p>
  </w:footnote>
  <w:footnote w:type="continuationSeparator" w:id="0">
    <w:p w14:paraId="4829891C" w14:textId="77777777" w:rsidR="00943743" w:rsidRDefault="0094374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6ACE1C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B226E9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A66DAA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E0256C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C029E3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F2910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FE628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2A6631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9220B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4C083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bullet"/>
      <w:suff w:val="nothing"/>
      <w:lvlText w:val="-"/>
      <w:lvlJc w:val="left"/>
      <w:rPr>
        <w:rFonts w:ascii="StarSymbol" w:hAnsi="StarSymbol"/>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decimal"/>
      <w:suff w:val="nothing"/>
      <w:lvlText w:val="%9."/>
      <w:lvlJc w:val="left"/>
      <w:rPr>
        <w:rFonts w:cs="Times New Roman"/>
      </w:rPr>
    </w:lvl>
  </w:abstractNum>
  <w:abstractNum w:abstractNumId="11" w15:restartNumberingAfterBreak="0">
    <w:nsid w:val="00B54ED8"/>
    <w:multiLevelType w:val="hybridMultilevel"/>
    <w:tmpl w:val="3B22E8D2"/>
    <w:lvl w:ilvl="0" w:tplc="DF36CDA8">
      <w:start w:val="5"/>
      <w:numFmt w:val="decimal"/>
      <w:lvlText w:val="%1."/>
      <w:lvlJc w:val="left"/>
      <w:pPr>
        <w:ind w:left="720" w:hanging="360"/>
      </w:pPr>
      <w:rPr>
        <w:rFonts w:hint="default"/>
        <w:b w:val="0"/>
      </w:rPr>
    </w:lvl>
    <w:lvl w:ilvl="1" w:tplc="383E1F82" w:tentative="1">
      <w:start w:val="1"/>
      <w:numFmt w:val="lowerLetter"/>
      <w:lvlText w:val="%2."/>
      <w:lvlJc w:val="left"/>
      <w:pPr>
        <w:ind w:left="1440" w:hanging="360"/>
      </w:pPr>
    </w:lvl>
    <w:lvl w:ilvl="2" w:tplc="1D42BED0" w:tentative="1">
      <w:start w:val="1"/>
      <w:numFmt w:val="lowerRoman"/>
      <w:lvlText w:val="%3."/>
      <w:lvlJc w:val="right"/>
      <w:pPr>
        <w:ind w:left="2160" w:hanging="180"/>
      </w:pPr>
    </w:lvl>
    <w:lvl w:ilvl="3" w:tplc="C782731C" w:tentative="1">
      <w:start w:val="1"/>
      <w:numFmt w:val="decimal"/>
      <w:lvlText w:val="%4."/>
      <w:lvlJc w:val="left"/>
      <w:pPr>
        <w:ind w:left="2880" w:hanging="360"/>
      </w:pPr>
    </w:lvl>
    <w:lvl w:ilvl="4" w:tplc="76A2AF52" w:tentative="1">
      <w:start w:val="1"/>
      <w:numFmt w:val="lowerLetter"/>
      <w:lvlText w:val="%5."/>
      <w:lvlJc w:val="left"/>
      <w:pPr>
        <w:ind w:left="3600" w:hanging="360"/>
      </w:pPr>
    </w:lvl>
    <w:lvl w:ilvl="5" w:tplc="4A680B22" w:tentative="1">
      <w:start w:val="1"/>
      <w:numFmt w:val="lowerRoman"/>
      <w:lvlText w:val="%6."/>
      <w:lvlJc w:val="right"/>
      <w:pPr>
        <w:ind w:left="4320" w:hanging="180"/>
      </w:pPr>
    </w:lvl>
    <w:lvl w:ilvl="6" w:tplc="7AE63812" w:tentative="1">
      <w:start w:val="1"/>
      <w:numFmt w:val="decimal"/>
      <w:lvlText w:val="%7."/>
      <w:lvlJc w:val="left"/>
      <w:pPr>
        <w:ind w:left="5040" w:hanging="360"/>
      </w:pPr>
    </w:lvl>
    <w:lvl w:ilvl="7" w:tplc="8BBE721C" w:tentative="1">
      <w:start w:val="1"/>
      <w:numFmt w:val="lowerLetter"/>
      <w:lvlText w:val="%8."/>
      <w:lvlJc w:val="left"/>
      <w:pPr>
        <w:ind w:left="5760" w:hanging="360"/>
      </w:pPr>
    </w:lvl>
    <w:lvl w:ilvl="8" w:tplc="FF920F1C" w:tentative="1">
      <w:start w:val="1"/>
      <w:numFmt w:val="lowerRoman"/>
      <w:lvlText w:val="%9."/>
      <w:lvlJc w:val="right"/>
      <w:pPr>
        <w:ind w:left="6480" w:hanging="180"/>
      </w:pPr>
    </w:lvl>
  </w:abstractNum>
  <w:abstractNum w:abstractNumId="12" w15:restartNumberingAfterBreak="0">
    <w:nsid w:val="00E75293"/>
    <w:multiLevelType w:val="hybridMultilevel"/>
    <w:tmpl w:val="3A9E4366"/>
    <w:lvl w:ilvl="0" w:tplc="6E9012E6">
      <w:start w:val="1"/>
      <w:numFmt w:val="bullet"/>
      <w:lvlText w:val=""/>
      <w:lvlJc w:val="left"/>
      <w:pPr>
        <w:tabs>
          <w:tab w:val="num" w:pos="1574"/>
        </w:tabs>
        <w:ind w:left="1574" w:hanging="567"/>
      </w:pPr>
      <w:rPr>
        <w:rFonts w:ascii="Symbol" w:hAnsi="Symbol" w:hint="default"/>
      </w:rPr>
    </w:lvl>
    <w:lvl w:ilvl="1" w:tplc="415CB64C" w:tentative="1">
      <w:start w:val="1"/>
      <w:numFmt w:val="bullet"/>
      <w:lvlText w:val="o"/>
      <w:lvlJc w:val="left"/>
      <w:pPr>
        <w:tabs>
          <w:tab w:val="num" w:pos="1880"/>
        </w:tabs>
        <w:ind w:left="1880" w:hanging="360"/>
      </w:pPr>
      <w:rPr>
        <w:rFonts w:ascii="Courier New" w:hAnsi="Courier New" w:cs="Courier New" w:hint="default"/>
      </w:rPr>
    </w:lvl>
    <w:lvl w:ilvl="2" w:tplc="024450EA" w:tentative="1">
      <w:start w:val="1"/>
      <w:numFmt w:val="bullet"/>
      <w:lvlText w:val=""/>
      <w:lvlJc w:val="left"/>
      <w:pPr>
        <w:tabs>
          <w:tab w:val="num" w:pos="2600"/>
        </w:tabs>
        <w:ind w:left="2600" w:hanging="360"/>
      </w:pPr>
      <w:rPr>
        <w:rFonts w:ascii="Wingdings" w:hAnsi="Wingdings" w:hint="default"/>
      </w:rPr>
    </w:lvl>
    <w:lvl w:ilvl="3" w:tplc="8F484D04" w:tentative="1">
      <w:start w:val="1"/>
      <w:numFmt w:val="bullet"/>
      <w:lvlText w:val=""/>
      <w:lvlJc w:val="left"/>
      <w:pPr>
        <w:tabs>
          <w:tab w:val="num" w:pos="3320"/>
        </w:tabs>
        <w:ind w:left="3320" w:hanging="360"/>
      </w:pPr>
      <w:rPr>
        <w:rFonts w:ascii="Symbol" w:hAnsi="Symbol" w:hint="default"/>
      </w:rPr>
    </w:lvl>
    <w:lvl w:ilvl="4" w:tplc="0A525A56" w:tentative="1">
      <w:start w:val="1"/>
      <w:numFmt w:val="bullet"/>
      <w:lvlText w:val="o"/>
      <w:lvlJc w:val="left"/>
      <w:pPr>
        <w:tabs>
          <w:tab w:val="num" w:pos="4040"/>
        </w:tabs>
        <w:ind w:left="4040" w:hanging="360"/>
      </w:pPr>
      <w:rPr>
        <w:rFonts w:ascii="Courier New" w:hAnsi="Courier New" w:cs="Courier New" w:hint="default"/>
      </w:rPr>
    </w:lvl>
    <w:lvl w:ilvl="5" w:tplc="2E4448A2" w:tentative="1">
      <w:start w:val="1"/>
      <w:numFmt w:val="bullet"/>
      <w:lvlText w:val=""/>
      <w:lvlJc w:val="left"/>
      <w:pPr>
        <w:tabs>
          <w:tab w:val="num" w:pos="4760"/>
        </w:tabs>
        <w:ind w:left="4760" w:hanging="360"/>
      </w:pPr>
      <w:rPr>
        <w:rFonts w:ascii="Wingdings" w:hAnsi="Wingdings" w:hint="default"/>
      </w:rPr>
    </w:lvl>
    <w:lvl w:ilvl="6" w:tplc="00F2C3A2" w:tentative="1">
      <w:start w:val="1"/>
      <w:numFmt w:val="bullet"/>
      <w:lvlText w:val=""/>
      <w:lvlJc w:val="left"/>
      <w:pPr>
        <w:tabs>
          <w:tab w:val="num" w:pos="5480"/>
        </w:tabs>
        <w:ind w:left="5480" w:hanging="360"/>
      </w:pPr>
      <w:rPr>
        <w:rFonts w:ascii="Symbol" w:hAnsi="Symbol" w:hint="default"/>
      </w:rPr>
    </w:lvl>
    <w:lvl w:ilvl="7" w:tplc="B2D65F20" w:tentative="1">
      <w:start w:val="1"/>
      <w:numFmt w:val="bullet"/>
      <w:lvlText w:val="o"/>
      <w:lvlJc w:val="left"/>
      <w:pPr>
        <w:tabs>
          <w:tab w:val="num" w:pos="6200"/>
        </w:tabs>
        <w:ind w:left="6200" w:hanging="360"/>
      </w:pPr>
      <w:rPr>
        <w:rFonts w:ascii="Courier New" w:hAnsi="Courier New" w:cs="Courier New" w:hint="default"/>
      </w:rPr>
    </w:lvl>
    <w:lvl w:ilvl="8" w:tplc="B39CE778" w:tentative="1">
      <w:start w:val="1"/>
      <w:numFmt w:val="bullet"/>
      <w:lvlText w:val=""/>
      <w:lvlJc w:val="left"/>
      <w:pPr>
        <w:tabs>
          <w:tab w:val="num" w:pos="6920"/>
        </w:tabs>
        <w:ind w:left="6920" w:hanging="360"/>
      </w:pPr>
      <w:rPr>
        <w:rFonts w:ascii="Wingdings" w:hAnsi="Wingdings" w:hint="default"/>
      </w:rPr>
    </w:lvl>
  </w:abstractNum>
  <w:abstractNum w:abstractNumId="13" w15:restartNumberingAfterBreak="0">
    <w:nsid w:val="02081E32"/>
    <w:multiLevelType w:val="hybridMultilevel"/>
    <w:tmpl w:val="0F825D6C"/>
    <w:lvl w:ilvl="0" w:tplc="0E94A406">
      <w:start w:val="1"/>
      <w:numFmt w:val="bullet"/>
      <w:lvlText w:val=""/>
      <w:lvlJc w:val="left"/>
      <w:pPr>
        <w:ind w:left="360" w:hanging="360"/>
      </w:pPr>
      <w:rPr>
        <w:rFonts w:ascii="Symbol" w:hAnsi="Symbol" w:hint="default"/>
      </w:rPr>
    </w:lvl>
    <w:lvl w:ilvl="1" w:tplc="081C8364">
      <w:start w:val="1"/>
      <w:numFmt w:val="bullet"/>
      <w:lvlText w:val=""/>
      <w:lvlJc w:val="left"/>
      <w:pPr>
        <w:ind w:left="1080" w:hanging="360"/>
      </w:pPr>
      <w:rPr>
        <w:rFonts w:ascii="Symbol" w:hAnsi="Symbol" w:hint="default"/>
      </w:rPr>
    </w:lvl>
    <w:lvl w:ilvl="2" w:tplc="12328DF0">
      <w:start w:val="1"/>
      <w:numFmt w:val="bullet"/>
      <w:lvlText w:val=""/>
      <w:lvlJc w:val="left"/>
      <w:pPr>
        <w:ind w:left="1800" w:hanging="360"/>
      </w:pPr>
      <w:rPr>
        <w:rFonts w:ascii="Wingdings" w:hAnsi="Wingdings" w:hint="default"/>
      </w:rPr>
    </w:lvl>
    <w:lvl w:ilvl="3" w:tplc="A1C0F1AC" w:tentative="1">
      <w:start w:val="1"/>
      <w:numFmt w:val="bullet"/>
      <w:lvlText w:val=""/>
      <w:lvlJc w:val="left"/>
      <w:pPr>
        <w:ind w:left="2520" w:hanging="360"/>
      </w:pPr>
      <w:rPr>
        <w:rFonts w:ascii="Symbol" w:hAnsi="Symbol" w:hint="default"/>
      </w:rPr>
    </w:lvl>
    <w:lvl w:ilvl="4" w:tplc="D3F61464" w:tentative="1">
      <w:start w:val="1"/>
      <w:numFmt w:val="bullet"/>
      <w:lvlText w:val="o"/>
      <w:lvlJc w:val="left"/>
      <w:pPr>
        <w:ind w:left="3240" w:hanging="360"/>
      </w:pPr>
      <w:rPr>
        <w:rFonts w:ascii="Courier New" w:hAnsi="Courier New" w:cs="Courier New" w:hint="default"/>
      </w:rPr>
    </w:lvl>
    <w:lvl w:ilvl="5" w:tplc="9BFC9A1C" w:tentative="1">
      <w:start w:val="1"/>
      <w:numFmt w:val="bullet"/>
      <w:lvlText w:val=""/>
      <w:lvlJc w:val="left"/>
      <w:pPr>
        <w:ind w:left="3960" w:hanging="360"/>
      </w:pPr>
      <w:rPr>
        <w:rFonts w:ascii="Wingdings" w:hAnsi="Wingdings" w:hint="default"/>
      </w:rPr>
    </w:lvl>
    <w:lvl w:ilvl="6" w:tplc="AA807B5C" w:tentative="1">
      <w:start w:val="1"/>
      <w:numFmt w:val="bullet"/>
      <w:lvlText w:val=""/>
      <w:lvlJc w:val="left"/>
      <w:pPr>
        <w:ind w:left="4680" w:hanging="360"/>
      </w:pPr>
      <w:rPr>
        <w:rFonts w:ascii="Symbol" w:hAnsi="Symbol" w:hint="default"/>
      </w:rPr>
    </w:lvl>
    <w:lvl w:ilvl="7" w:tplc="14F45656" w:tentative="1">
      <w:start w:val="1"/>
      <w:numFmt w:val="bullet"/>
      <w:lvlText w:val="o"/>
      <w:lvlJc w:val="left"/>
      <w:pPr>
        <w:ind w:left="5400" w:hanging="360"/>
      </w:pPr>
      <w:rPr>
        <w:rFonts w:ascii="Courier New" w:hAnsi="Courier New" w:cs="Courier New" w:hint="default"/>
      </w:rPr>
    </w:lvl>
    <w:lvl w:ilvl="8" w:tplc="A5089DDC" w:tentative="1">
      <w:start w:val="1"/>
      <w:numFmt w:val="bullet"/>
      <w:lvlText w:val=""/>
      <w:lvlJc w:val="left"/>
      <w:pPr>
        <w:ind w:left="6120" w:hanging="360"/>
      </w:pPr>
      <w:rPr>
        <w:rFonts w:ascii="Wingdings" w:hAnsi="Wingdings" w:hint="default"/>
      </w:rPr>
    </w:lvl>
  </w:abstractNum>
  <w:abstractNum w:abstractNumId="14" w15:restartNumberingAfterBreak="0">
    <w:nsid w:val="02E111D9"/>
    <w:multiLevelType w:val="hybridMultilevel"/>
    <w:tmpl w:val="58EE0EE4"/>
    <w:lvl w:ilvl="0" w:tplc="7A548C00">
      <w:start w:val="1"/>
      <w:numFmt w:val="bullet"/>
      <w:lvlText w:val=""/>
      <w:lvlJc w:val="left"/>
      <w:pPr>
        <w:tabs>
          <w:tab w:val="num" w:pos="567"/>
        </w:tabs>
        <w:ind w:left="567" w:hanging="567"/>
      </w:pPr>
      <w:rPr>
        <w:rFonts w:ascii="Symbol" w:hAnsi="Symbol" w:hint="default"/>
      </w:rPr>
    </w:lvl>
    <w:lvl w:ilvl="1" w:tplc="5B04300A">
      <w:start w:val="1"/>
      <w:numFmt w:val="bullet"/>
      <w:lvlText w:val="o"/>
      <w:lvlJc w:val="left"/>
      <w:pPr>
        <w:tabs>
          <w:tab w:val="num" w:pos="1440"/>
        </w:tabs>
        <w:ind w:left="1440" w:hanging="360"/>
      </w:pPr>
      <w:rPr>
        <w:rFonts w:ascii="Courier New" w:hAnsi="Courier New" w:hint="default"/>
      </w:rPr>
    </w:lvl>
    <w:lvl w:ilvl="2" w:tplc="4786737E" w:tentative="1">
      <w:start w:val="1"/>
      <w:numFmt w:val="bullet"/>
      <w:lvlText w:val=""/>
      <w:lvlJc w:val="left"/>
      <w:pPr>
        <w:tabs>
          <w:tab w:val="num" w:pos="2160"/>
        </w:tabs>
        <w:ind w:left="2160" w:hanging="360"/>
      </w:pPr>
      <w:rPr>
        <w:rFonts w:ascii="Wingdings" w:hAnsi="Wingdings" w:hint="default"/>
      </w:rPr>
    </w:lvl>
    <w:lvl w:ilvl="3" w:tplc="1494C204" w:tentative="1">
      <w:start w:val="1"/>
      <w:numFmt w:val="bullet"/>
      <w:lvlText w:val=""/>
      <w:lvlJc w:val="left"/>
      <w:pPr>
        <w:tabs>
          <w:tab w:val="num" w:pos="2880"/>
        </w:tabs>
        <w:ind w:left="2880" w:hanging="360"/>
      </w:pPr>
      <w:rPr>
        <w:rFonts w:ascii="Symbol" w:hAnsi="Symbol" w:hint="default"/>
      </w:rPr>
    </w:lvl>
    <w:lvl w:ilvl="4" w:tplc="B58C53F0" w:tentative="1">
      <w:start w:val="1"/>
      <w:numFmt w:val="bullet"/>
      <w:lvlText w:val="o"/>
      <w:lvlJc w:val="left"/>
      <w:pPr>
        <w:tabs>
          <w:tab w:val="num" w:pos="3600"/>
        </w:tabs>
        <w:ind w:left="3600" w:hanging="360"/>
      </w:pPr>
      <w:rPr>
        <w:rFonts w:ascii="Courier New" w:hAnsi="Courier New" w:hint="default"/>
      </w:rPr>
    </w:lvl>
    <w:lvl w:ilvl="5" w:tplc="825C6906" w:tentative="1">
      <w:start w:val="1"/>
      <w:numFmt w:val="bullet"/>
      <w:lvlText w:val=""/>
      <w:lvlJc w:val="left"/>
      <w:pPr>
        <w:tabs>
          <w:tab w:val="num" w:pos="4320"/>
        </w:tabs>
        <w:ind w:left="4320" w:hanging="360"/>
      </w:pPr>
      <w:rPr>
        <w:rFonts w:ascii="Wingdings" w:hAnsi="Wingdings" w:hint="default"/>
      </w:rPr>
    </w:lvl>
    <w:lvl w:ilvl="6" w:tplc="78E43718" w:tentative="1">
      <w:start w:val="1"/>
      <w:numFmt w:val="bullet"/>
      <w:lvlText w:val=""/>
      <w:lvlJc w:val="left"/>
      <w:pPr>
        <w:tabs>
          <w:tab w:val="num" w:pos="5040"/>
        </w:tabs>
        <w:ind w:left="5040" w:hanging="360"/>
      </w:pPr>
      <w:rPr>
        <w:rFonts w:ascii="Symbol" w:hAnsi="Symbol" w:hint="default"/>
      </w:rPr>
    </w:lvl>
    <w:lvl w:ilvl="7" w:tplc="FFE0FC64" w:tentative="1">
      <w:start w:val="1"/>
      <w:numFmt w:val="bullet"/>
      <w:lvlText w:val="o"/>
      <w:lvlJc w:val="left"/>
      <w:pPr>
        <w:tabs>
          <w:tab w:val="num" w:pos="5760"/>
        </w:tabs>
        <w:ind w:left="5760" w:hanging="360"/>
      </w:pPr>
      <w:rPr>
        <w:rFonts w:ascii="Courier New" w:hAnsi="Courier New" w:hint="default"/>
      </w:rPr>
    </w:lvl>
    <w:lvl w:ilvl="8" w:tplc="0E82E5C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3A51235"/>
    <w:multiLevelType w:val="hybridMultilevel"/>
    <w:tmpl w:val="7E447AB2"/>
    <w:lvl w:ilvl="0" w:tplc="04988BF6">
      <w:start w:val="1"/>
      <w:numFmt w:val="bullet"/>
      <w:lvlText w:val=""/>
      <w:lvlJc w:val="left"/>
      <w:pPr>
        <w:ind w:left="720" w:hanging="360"/>
      </w:pPr>
      <w:rPr>
        <w:rFonts w:ascii="Symbol" w:hAnsi="Symbol" w:hint="default"/>
        <w:sz w:val="22"/>
      </w:rPr>
    </w:lvl>
    <w:lvl w:ilvl="1" w:tplc="01C07C8E" w:tentative="1">
      <w:start w:val="1"/>
      <w:numFmt w:val="bullet"/>
      <w:lvlText w:val="o"/>
      <w:lvlJc w:val="left"/>
      <w:pPr>
        <w:ind w:left="1440" w:hanging="360"/>
      </w:pPr>
      <w:rPr>
        <w:rFonts w:ascii="Courier New" w:hAnsi="Courier New" w:cs="Courier New" w:hint="default"/>
      </w:rPr>
    </w:lvl>
    <w:lvl w:ilvl="2" w:tplc="F8B4C948" w:tentative="1">
      <w:start w:val="1"/>
      <w:numFmt w:val="bullet"/>
      <w:lvlText w:val=""/>
      <w:lvlJc w:val="left"/>
      <w:pPr>
        <w:ind w:left="2160" w:hanging="360"/>
      </w:pPr>
      <w:rPr>
        <w:rFonts w:ascii="Wingdings" w:hAnsi="Wingdings" w:hint="default"/>
      </w:rPr>
    </w:lvl>
    <w:lvl w:ilvl="3" w:tplc="460A7F74" w:tentative="1">
      <w:start w:val="1"/>
      <w:numFmt w:val="bullet"/>
      <w:lvlText w:val=""/>
      <w:lvlJc w:val="left"/>
      <w:pPr>
        <w:ind w:left="2880" w:hanging="360"/>
      </w:pPr>
      <w:rPr>
        <w:rFonts w:ascii="Symbol" w:hAnsi="Symbol" w:hint="default"/>
      </w:rPr>
    </w:lvl>
    <w:lvl w:ilvl="4" w:tplc="0F5A587C" w:tentative="1">
      <w:start w:val="1"/>
      <w:numFmt w:val="bullet"/>
      <w:lvlText w:val="o"/>
      <w:lvlJc w:val="left"/>
      <w:pPr>
        <w:ind w:left="3600" w:hanging="360"/>
      </w:pPr>
      <w:rPr>
        <w:rFonts w:ascii="Courier New" w:hAnsi="Courier New" w:cs="Courier New" w:hint="default"/>
      </w:rPr>
    </w:lvl>
    <w:lvl w:ilvl="5" w:tplc="F58C8612" w:tentative="1">
      <w:start w:val="1"/>
      <w:numFmt w:val="bullet"/>
      <w:lvlText w:val=""/>
      <w:lvlJc w:val="left"/>
      <w:pPr>
        <w:ind w:left="4320" w:hanging="360"/>
      </w:pPr>
      <w:rPr>
        <w:rFonts w:ascii="Wingdings" w:hAnsi="Wingdings" w:hint="default"/>
      </w:rPr>
    </w:lvl>
    <w:lvl w:ilvl="6" w:tplc="FC46D040" w:tentative="1">
      <w:start w:val="1"/>
      <w:numFmt w:val="bullet"/>
      <w:lvlText w:val=""/>
      <w:lvlJc w:val="left"/>
      <w:pPr>
        <w:ind w:left="5040" w:hanging="360"/>
      </w:pPr>
      <w:rPr>
        <w:rFonts w:ascii="Symbol" w:hAnsi="Symbol" w:hint="default"/>
      </w:rPr>
    </w:lvl>
    <w:lvl w:ilvl="7" w:tplc="C78A7CE6" w:tentative="1">
      <w:start w:val="1"/>
      <w:numFmt w:val="bullet"/>
      <w:lvlText w:val="o"/>
      <w:lvlJc w:val="left"/>
      <w:pPr>
        <w:ind w:left="5760" w:hanging="360"/>
      </w:pPr>
      <w:rPr>
        <w:rFonts w:ascii="Courier New" w:hAnsi="Courier New" w:cs="Courier New" w:hint="default"/>
      </w:rPr>
    </w:lvl>
    <w:lvl w:ilvl="8" w:tplc="10EA230A" w:tentative="1">
      <w:start w:val="1"/>
      <w:numFmt w:val="bullet"/>
      <w:lvlText w:val=""/>
      <w:lvlJc w:val="left"/>
      <w:pPr>
        <w:ind w:left="6480" w:hanging="360"/>
      </w:pPr>
      <w:rPr>
        <w:rFonts w:ascii="Wingdings" w:hAnsi="Wingdings" w:hint="default"/>
      </w:rPr>
    </w:lvl>
  </w:abstractNum>
  <w:abstractNum w:abstractNumId="16" w15:restartNumberingAfterBreak="0">
    <w:nsid w:val="04BE0EC3"/>
    <w:multiLevelType w:val="hybridMultilevel"/>
    <w:tmpl w:val="25349884"/>
    <w:lvl w:ilvl="0" w:tplc="84400566">
      <w:start w:val="1"/>
      <w:numFmt w:val="bullet"/>
      <w:lvlText w:val=""/>
      <w:lvlJc w:val="left"/>
      <w:pPr>
        <w:tabs>
          <w:tab w:val="num" w:pos="1433"/>
        </w:tabs>
        <w:ind w:left="1433" w:hanging="360"/>
      </w:pPr>
      <w:rPr>
        <w:rFonts w:ascii="Symbol" w:hAnsi="Symbol" w:hint="default"/>
        <w:color w:val="auto"/>
      </w:rPr>
    </w:lvl>
    <w:lvl w:ilvl="1" w:tplc="88F0BED0" w:tentative="1">
      <w:start w:val="1"/>
      <w:numFmt w:val="bullet"/>
      <w:lvlText w:val="o"/>
      <w:lvlJc w:val="left"/>
      <w:pPr>
        <w:tabs>
          <w:tab w:val="num" w:pos="1440"/>
        </w:tabs>
        <w:ind w:left="1440" w:hanging="360"/>
      </w:pPr>
      <w:rPr>
        <w:rFonts w:ascii="Courier New" w:hAnsi="Courier New" w:hint="default"/>
      </w:rPr>
    </w:lvl>
    <w:lvl w:ilvl="2" w:tplc="AC4EA50E" w:tentative="1">
      <w:start w:val="1"/>
      <w:numFmt w:val="bullet"/>
      <w:lvlText w:val=""/>
      <w:lvlJc w:val="left"/>
      <w:pPr>
        <w:tabs>
          <w:tab w:val="num" w:pos="2160"/>
        </w:tabs>
        <w:ind w:left="2160" w:hanging="360"/>
      </w:pPr>
      <w:rPr>
        <w:rFonts w:ascii="Wingdings" w:hAnsi="Wingdings" w:hint="default"/>
      </w:rPr>
    </w:lvl>
    <w:lvl w:ilvl="3" w:tplc="BE5442DC" w:tentative="1">
      <w:start w:val="1"/>
      <w:numFmt w:val="bullet"/>
      <w:lvlText w:val=""/>
      <w:lvlJc w:val="left"/>
      <w:pPr>
        <w:tabs>
          <w:tab w:val="num" w:pos="2880"/>
        </w:tabs>
        <w:ind w:left="2880" w:hanging="360"/>
      </w:pPr>
      <w:rPr>
        <w:rFonts w:ascii="Symbol" w:hAnsi="Symbol" w:hint="default"/>
      </w:rPr>
    </w:lvl>
    <w:lvl w:ilvl="4" w:tplc="77FEEFC6" w:tentative="1">
      <w:start w:val="1"/>
      <w:numFmt w:val="bullet"/>
      <w:lvlText w:val="o"/>
      <w:lvlJc w:val="left"/>
      <w:pPr>
        <w:tabs>
          <w:tab w:val="num" w:pos="3600"/>
        </w:tabs>
        <w:ind w:left="3600" w:hanging="360"/>
      </w:pPr>
      <w:rPr>
        <w:rFonts w:ascii="Courier New" w:hAnsi="Courier New" w:hint="default"/>
      </w:rPr>
    </w:lvl>
    <w:lvl w:ilvl="5" w:tplc="2584ABDC" w:tentative="1">
      <w:start w:val="1"/>
      <w:numFmt w:val="bullet"/>
      <w:lvlText w:val=""/>
      <w:lvlJc w:val="left"/>
      <w:pPr>
        <w:tabs>
          <w:tab w:val="num" w:pos="4320"/>
        </w:tabs>
        <w:ind w:left="4320" w:hanging="360"/>
      </w:pPr>
      <w:rPr>
        <w:rFonts w:ascii="Wingdings" w:hAnsi="Wingdings" w:hint="default"/>
      </w:rPr>
    </w:lvl>
    <w:lvl w:ilvl="6" w:tplc="85BE6CB4" w:tentative="1">
      <w:start w:val="1"/>
      <w:numFmt w:val="bullet"/>
      <w:lvlText w:val=""/>
      <w:lvlJc w:val="left"/>
      <w:pPr>
        <w:tabs>
          <w:tab w:val="num" w:pos="5040"/>
        </w:tabs>
        <w:ind w:left="5040" w:hanging="360"/>
      </w:pPr>
      <w:rPr>
        <w:rFonts w:ascii="Symbol" w:hAnsi="Symbol" w:hint="default"/>
      </w:rPr>
    </w:lvl>
    <w:lvl w:ilvl="7" w:tplc="972AA8E0" w:tentative="1">
      <w:start w:val="1"/>
      <w:numFmt w:val="bullet"/>
      <w:lvlText w:val="o"/>
      <w:lvlJc w:val="left"/>
      <w:pPr>
        <w:tabs>
          <w:tab w:val="num" w:pos="5760"/>
        </w:tabs>
        <w:ind w:left="5760" w:hanging="360"/>
      </w:pPr>
      <w:rPr>
        <w:rFonts w:ascii="Courier New" w:hAnsi="Courier New" w:hint="default"/>
      </w:rPr>
    </w:lvl>
    <w:lvl w:ilvl="8" w:tplc="3EEC502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5356683"/>
    <w:multiLevelType w:val="hybridMultilevel"/>
    <w:tmpl w:val="9D30CFD0"/>
    <w:lvl w:ilvl="0" w:tplc="271A8906">
      <w:start w:val="1"/>
      <w:numFmt w:val="decimal"/>
      <w:lvlText w:val="%1)"/>
      <w:lvlJc w:val="left"/>
      <w:pPr>
        <w:tabs>
          <w:tab w:val="num" w:pos="720"/>
        </w:tabs>
        <w:ind w:left="720" w:hanging="360"/>
      </w:pPr>
      <w:rPr>
        <w:rFonts w:cs="Times New Roman" w:hint="default"/>
      </w:rPr>
    </w:lvl>
    <w:lvl w:ilvl="1" w:tplc="25B03386" w:tentative="1">
      <w:start w:val="1"/>
      <w:numFmt w:val="lowerLetter"/>
      <w:lvlText w:val="%2."/>
      <w:lvlJc w:val="left"/>
      <w:pPr>
        <w:tabs>
          <w:tab w:val="num" w:pos="1440"/>
        </w:tabs>
        <w:ind w:left="1440" w:hanging="360"/>
      </w:pPr>
      <w:rPr>
        <w:rFonts w:cs="Times New Roman"/>
      </w:rPr>
    </w:lvl>
    <w:lvl w:ilvl="2" w:tplc="F228AA08" w:tentative="1">
      <w:start w:val="1"/>
      <w:numFmt w:val="lowerRoman"/>
      <w:lvlText w:val="%3."/>
      <w:lvlJc w:val="right"/>
      <w:pPr>
        <w:tabs>
          <w:tab w:val="num" w:pos="2160"/>
        </w:tabs>
        <w:ind w:left="2160" w:hanging="180"/>
      </w:pPr>
      <w:rPr>
        <w:rFonts w:cs="Times New Roman"/>
      </w:rPr>
    </w:lvl>
    <w:lvl w:ilvl="3" w:tplc="90D6DBF6" w:tentative="1">
      <w:start w:val="1"/>
      <w:numFmt w:val="decimal"/>
      <w:lvlText w:val="%4."/>
      <w:lvlJc w:val="left"/>
      <w:pPr>
        <w:tabs>
          <w:tab w:val="num" w:pos="2880"/>
        </w:tabs>
        <w:ind w:left="2880" w:hanging="360"/>
      </w:pPr>
      <w:rPr>
        <w:rFonts w:cs="Times New Roman"/>
      </w:rPr>
    </w:lvl>
    <w:lvl w:ilvl="4" w:tplc="1248C546" w:tentative="1">
      <w:start w:val="1"/>
      <w:numFmt w:val="lowerLetter"/>
      <w:lvlText w:val="%5."/>
      <w:lvlJc w:val="left"/>
      <w:pPr>
        <w:tabs>
          <w:tab w:val="num" w:pos="3600"/>
        </w:tabs>
        <w:ind w:left="3600" w:hanging="360"/>
      </w:pPr>
      <w:rPr>
        <w:rFonts w:cs="Times New Roman"/>
      </w:rPr>
    </w:lvl>
    <w:lvl w:ilvl="5" w:tplc="BE8C7FCA" w:tentative="1">
      <w:start w:val="1"/>
      <w:numFmt w:val="lowerRoman"/>
      <w:lvlText w:val="%6."/>
      <w:lvlJc w:val="right"/>
      <w:pPr>
        <w:tabs>
          <w:tab w:val="num" w:pos="4320"/>
        </w:tabs>
        <w:ind w:left="4320" w:hanging="180"/>
      </w:pPr>
      <w:rPr>
        <w:rFonts w:cs="Times New Roman"/>
      </w:rPr>
    </w:lvl>
    <w:lvl w:ilvl="6" w:tplc="FEBADF92" w:tentative="1">
      <w:start w:val="1"/>
      <w:numFmt w:val="decimal"/>
      <w:lvlText w:val="%7."/>
      <w:lvlJc w:val="left"/>
      <w:pPr>
        <w:tabs>
          <w:tab w:val="num" w:pos="5040"/>
        </w:tabs>
        <w:ind w:left="5040" w:hanging="360"/>
      </w:pPr>
      <w:rPr>
        <w:rFonts w:cs="Times New Roman"/>
      </w:rPr>
    </w:lvl>
    <w:lvl w:ilvl="7" w:tplc="9F309544" w:tentative="1">
      <w:start w:val="1"/>
      <w:numFmt w:val="lowerLetter"/>
      <w:lvlText w:val="%8."/>
      <w:lvlJc w:val="left"/>
      <w:pPr>
        <w:tabs>
          <w:tab w:val="num" w:pos="5760"/>
        </w:tabs>
        <w:ind w:left="5760" w:hanging="360"/>
      </w:pPr>
      <w:rPr>
        <w:rFonts w:cs="Times New Roman"/>
      </w:rPr>
    </w:lvl>
    <w:lvl w:ilvl="8" w:tplc="C242F21E" w:tentative="1">
      <w:start w:val="1"/>
      <w:numFmt w:val="lowerRoman"/>
      <w:lvlText w:val="%9."/>
      <w:lvlJc w:val="right"/>
      <w:pPr>
        <w:tabs>
          <w:tab w:val="num" w:pos="6480"/>
        </w:tabs>
        <w:ind w:left="6480" w:hanging="180"/>
      </w:pPr>
      <w:rPr>
        <w:rFonts w:cs="Times New Roman"/>
      </w:rPr>
    </w:lvl>
  </w:abstractNum>
  <w:abstractNum w:abstractNumId="18" w15:restartNumberingAfterBreak="0">
    <w:nsid w:val="05826F75"/>
    <w:multiLevelType w:val="hybridMultilevel"/>
    <w:tmpl w:val="43489F60"/>
    <w:lvl w:ilvl="0" w:tplc="4A68FAFC">
      <w:start w:val="1"/>
      <w:numFmt w:val="bullet"/>
      <w:lvlText w:val=""/>
      <w:lvlJc w:val="left"/>
      <w:pPr>
        <w:ind w:left="720" w:hanging="360"/>
      </w:pPr>
      <w:rPr>
        <w:rFonts w:ascii="Symbol" w:hAnsi="Symbol" w:hint="default"/>
      </w:rPr>
    </w:lvl>
    <w:lvl w:ilvl="1" w:tplc="348ADDC0">
      <w:start w:val="1"/>
      <w:numFmt w:val="bullet"/>
      <w:lvlText w:val="o"/>
      <w:lvlJc w:val="left"/>
      <w:pPr>
        <w:ind w:left="1440" w:hanging="360"/>
      </w:pPr>
      <w:rPr>
        <w:rFonts w:ascii="Courier New" w:hAnsi="Courier New" w:cs="Courier New" w:hint="default"/>
      </w:rPr>
    </w:lvl>
    <w:lvl w:ilvl="2" w:tplc="8B1E8B88">
      <w:start w:val="1"/>
      <w:numFmt w:val="bullet"/>
      <w:lvlText w:val=""/>
      <w:lvlJc w:val="left"/>
      <w:pPr>
        <w:ind w:left="2160" w:hanging="360"/>
      </w:pPr>
      <w:rPr>
        <w:rFonts w:ascii="Wingdings" w:hAnsi="Wingdings" w:hint="default"/>
      </w:rPr>
    </w:lvl>
    <w:lvl w:ilvl="3" w:tplc="7012C290">
      <w:start w:val="1"/>
      <w:numFmt w:val="bullet"/>
      <w:lvlText w:val=""/>
      <w:lvlJc w:val="left"/>
      <w:pPr>
        <w:ind w:left="2880" w:hanging="360"/>
      </w:pPr>
      <w:rPr>
        <w:rFonts w:ascii="Symbol" w:hAnsi="Symbol" w:hint="default"/>
      </w:rPr>
    </w:lvl>
    <w:lvl w:ilvl="4" w:tplc="B64AC028">
      <w:start w:val="1"/>
      <w:numFmt w:val="bullet"/>
      <w:lvlText w:val="o"/>
      <w:lvlJc w:val="left"/>
      <w:pPr>
        <w:ind w:left="3600" w:hanging="360"/>
      </w:pPr>
      <w:rPr>
        <w:rFonts w:ascii="Courier New" w:hAnsi="Courier New" w:cs="Courier New" w:hint="default"/>
      </w:rPr>
    </w:lvl>
    <w:lvl w:ilvl="5" w:tplc="3E98B508">
      <w:start w:val="1"/>
      <w:numFmt w:val="bullet"/>
      <w:lvlText w:val=""/>
      <w:lvlJc w:val="left"/>
      <w:pPr>
        <w:ind w:left="4320" w:hanging="360"/>
      </w:pPr>
      <w:rPr>
        <w:rFonts w:ascii="Wingdings" w:hAnsi="Wingdings" w:hint="default"/>
      </w:rPr>
    </w:lvl>
    <w:lvl w:ilvl="6" w:tplc="A66C2AB2">
      <w:start w:val="1"/>
      <w:numFmt w:val="bullet"/>
      <w:lvlText w:val=""/>
      <w:lvlJc w:val="left"/>
      <w:pPr>
        <w:ind w:left="5040" w:hanging="360"/>
      </w:pPr>
      <w:rPr>
        <w:rFonts w:ascii="Symbol" w:hAnsi="Symbol" w:hint="default"/>
      </w:rPr>
    </w:lvl>
    <w:lvl w:ilvl="7" w:tplc="3DE2538E">
      <w:start w:val="1"/>
      <w:numFmt w:val="bullet"/>
      <w:lvlText w:val="o"/>
      <w:lvlJc w:val="left"/>
      <w:pPr>
        <w:ind w:left="5760" w:hanging="360"/>
      </w:pPr>
      <w:rPr>
        <w:rFonts w:ascii="Courier New" w:hAnsi="Courier New" w:cs="Courier New" w:hint="default"/>
      </w:rPr>
    </w:lvl>
    <w:lvl w:ilvl="8" w:tplc="D752F332">
      <w:start w:val="1"/>
      <w:numFmt w:val="bullet"/>
      <w:lvlText w:val=""/>
      <w:lvlJc w:val="left"/>
      <w:pPr>
        <w:ind w:left="6480" w:hanging="360"/>
      </w:pPr>
      <w:rPr>
        <w:rFonts w:ascii="Wingdings" w:hAnsi="Wingdings" w:hint="default"/>
      </w:rPr>
    </w:lvl>
  </w:abstractNum>
  <w:abstractNum w:abstractNumId="19" w15:restartNumberingAfterBreak="0">
    <w:nsid w:val="05B80D30"/>
    <w:multiLevelType w:val="hybridMultilevel"/>
    <w:tmpl w:val="14BE0E12"/>
    <w:lvl w:ilvl="0" w:tplc="5C5A7F08">
      <w:start w:val="1"/>
      <w:numFmt w:val="bullet"/>
      <w:lvlText w:val=""/>
      <w:lvlJc w:val="left"/>
      <w:pPr>
        <w:ind w:left="720" w:hanging="360"/>
      </w:pPr>
      <w:rPr>
        <w:rFonts w:ascii="Symbol" w:hAnsi="Symbol" w:hint="default"/>
      </w:rPr>
    </w:lvl>
    <w:lvl w:ilvl="1" w:tplc="CE1479EE" w:tentative="1">
      <w:start w:val="1"/>
      <w:numFmt w:val="bullet"/>
      <w:lvlText w:val="o"/>
      <w:lvlJc w:val="left"/>
      <w:pPr>
        <w:ind w:left="1440" w:hanging="360"/>
      </w:pPr>
      <w:rPr>
        <w:rFonts w:ascii="Courier New" w:hAnsi="Courier New" w:cs="Courier New" w:hint="default"/>
      </w:rPr>
    </w:lvl>
    <w:lvl w:ilvl="2" w:tplc="06261E48" w:tentative="1">
      <w:start w:val="1"/>
      <w:numFmt w:val="bullet"/>
      <w:lvlText w:val=""/>
      <w:lvlJc w:val="left"/>
      <w:pPr>
        <w:ind w:left="2160" w:hanging="360"/>
      </w:pPr>
      <w:rPr>
        <w:rFonts w:ascii="Wingdings" w:hAnsi="Wingdings" w:hint="default"/>
      </w:rPr>
    </w:lvl>
    <w:lvl w:ilvl="3" w:tplc="098450B0" w:tentative="1">
      <w:start w:val="1"/>
      <w:numFmt w:val="bullet"/>
      <w:lvlText w:val=""/>
      <w:lvlJc w:val="left"/>
      <w:pPr>
        <w:ind w:left="2880" w:hanging="360"/>
      </w:pPr>
      <w:rPr>
        <w:rFonts w:ascii="Symbol" w:hAnsi="Symbol" w:hint="default"/>
      </w:rPr>
    </w:lvl>
    <w:lvl w:ilvl="4" w:tplc="DDF81BB8" w:tentative="1">
      <w:start w:val="1"/>
      <w:numFmt w:val="bullet"/>
      <w:lvlText w:val="o"/>
      <w:lvlJc w:val="left"/>
      <w:pPr>
        <w:ind w:left="3600" w:hanging="360"/>
      </w:pPr>
      <w:rPr>
        <w:rFonts w:ascii="Courier New" w:hAnsi="Courier New" w:cs="Courier New" w:hint="default"/>
      </w:rPr>
    </w:lvl>
    <w:lvl w:ilvl="5" w:tplc="ABF8F5E4" w:tentative="1">
      <w:start w:val="1"/>
      <w:numFmt w:val="bullet"/>
      <w:lvlText w:val=""/>
      <w:lvlJc w:val="left"/>
      <w:pPr>
        <w:ind w:left="4320" w:hanging="360"/>
      </w:pPr>
      <w:rPr>
        <w:rFonts w:ascii="Wingdings" w:hAnsi="Wingdings" w:hint="default"/>
      </w:rPr>
    </w:lvl>
    <w:lvl w:ilvl="6" w:tplc="D272DB50" w:tentative="1">
      <w:start w:val="1"/>
      <w:numFmt w:val="bullet"/>
      <w:lvlText w:val=""/>
      <w:lvlJc w:val="left"/>
      <w:pPr>
        <w:ind w:left="5040" w:hanging="360"/>
      </w:pPr>
      <w:rPr>
        <w:rFonts w:ascii="Symbol" w:hAnsi="Symbol" w:hint="default"/>
      </w:rPr>
    </w:lvl>
    <w:lvl w:ilvl="7" w:tplc="22B4CE74" w:tentative="1">
      <w:start w:val="1"/>
      <w:numFmt w:val="bullet"/>
      <w:lvlText w:val="o"/>
      <w:lvlJc w:val="left"/>
      <w:pPr>
        <w:ind w:left="5760" w:hanging="360"/>
      </w:pPr>
      <w:rPr>
        <w:rFonts w:ascii="Courier New" w:hAnsi="Courier New" w:cs="Courier New" w:hint="default"/>
      </w:rPr>
    </w:lvl>
    <w:lvl w:ilvl="8" w:tplc="BFC8FE86" w:tentative="1">
      <w:start w:val="1"/>
      <w:numFmt w:val="bullet"/>
      <w:lvlText w:val=""/>
      <w:lvlJc w:val="left"/>
      <w:pPr>
        <w:ind w:left="6480" w:hanging="360"/>
      </w:pPr>
      <w:rPr>
        <w:rFonts w:ascii="Wingdings" w:hAnsi="Wingdings" w:hint="default"/>
      </w:rPr>
    </w:lvl>
  </w:abstractNum>
  <w:abstractNum w:abstractNumId="20" w15:restartNumberingAfterBreak="0">
    <w:nsid w:val="068D7F6A"/>
    <w:multiLevelType w:val="hybridMultilevel"/>
    <w:tmpl w:val="9B72E4E4"/>
    <w:lvl w:ilvl="0" w:tplc="F88A5F92">
      <w:start w:val="1"/>
      <w:numFmt w:val="bullet"/>
      <w:lvlText w:val=""/>
      <w:lvlJc w:val="left"/>
      <w:pPr>
        <w:tabs>
          <w:tab w:val="num" w:pos="720"/>
        </w:tabs>
        <w:ind w:left="720" w:hanging="360"/>
      </w:pPr>
      <w:rPr>
        <w:rFonts w:ascii="Symbol" w:hAnsi="Symbol" w:hint="default"/>
      </w:rPr>
    </w:lvl>
    <w:lvl w:ilvl="1" w:tplc="DB607D86">
      <w:numFmt w:val="bullet"/>
      <w:lvlText w:val="-"/>
      <w:lvlJc w:val="left"/>
      <w:pPr>
        <w:tabs>
          <w:tab w:val="num" w:pos="1440"/>
        </w:tabs>
        <w:ind w:left="1440" w:hanging="360"/>
      </w:pPr>
      <w:rPr>
        <w:rFonts w:ascii="Times New Roman" w:eastAsia="Times New Roman" w:hAnsi="Times New Roman" w:cs="Times New Roman" w:hint="default"/>
      </w:rPr>
    </w:lvl>
    <w:lvl w:ilvl="2" w:tplc="0A48AD4A" w:tentative="1">
      <w:start w:val="1"/>
      <w:numFmt w:val="bullet"/>
      <w:lvlText w:val=""/>
      <w:lvlJc w:val="left"/>
      <w:pPr>
        <w:tabs>
          <w:tab w:val="num" w:pos="2160"/>
        </w:tabs>
        <w:ind w:left="2160" w:hanging="360"/>
      </w:pPr>
      <w:rPr>
        <w:rFonts w:ascii="Wingdings" w:hAnsi="Wingdings" w:hint="default"/>
      </w:rPr>
    </w:lvl>
    <w:lvl w:ilvl="3" w:tplc="7DC8F08A" w:tentative="1">
      <w:start w:val="1"/>
      <w:numFmt w:val="bullet"/>
      <w:lvlText w:val=""/>
      <w:lvlJc w:val="left"/>
      <w:pPr>
        <w:tabs>
          <w:tab w:val="num" w:pos="2880"/>
        </w:tabs>
        <w:ind w:left="2880" w:hanging="360"/>
      </w:pPr>
      <w:rPr>
        <w:rFonts w:ascii="Symbol" w:hAnsi="Symbol" w:hint="default"/>
      </w:rPr>
    </w:lvl>
    <w:lvl w:ilvl="4" w:tplc="914C90A4" w:tentative="1">
      <w:start w:val="1"/>
      <w:numFmt w:val="bullet"/>
      <w:lvlText w:val="o"/>
      <w:lvlJc w:val="left"/>
      <w:pPr>
        <w:tabs>
          <w:tab w:val="num" w:pos="3600"/>
        </w:tabs>
        <w:ind w:left="3600" w:hanging="360"/>
      </w:pPr>
      <w:rPr>
        <w:rFonts w:ascii="Courier New" w:hAnsi="Courier New" w:cs="Courier New" w:hint="default"/>
      </w:rPr>
    </w:lvl>
    <w:lvl w:ilvl="5" w:tplc="50AEBBA6" w:tentative="1">
      <w:start w:val="1"/>
      <w:numFmt w:val="bullet"/>
      <w:lvlText w:val=""/>
      <w:lvlJc w:val="left"/>
      <w:pPr>
        <w:tabs>
          <w:tab w:val="num" w:pos="4320"/>
        </w:tabs>
        <w:ind w:left="4320" w:hanging="360"/>
      </w:pPr>
      <w:rPr>
        <w:rFonts w:ascii="Wingdings" w:hAnsi="Wingdings" w:hint="default"/>
      </w:rPr>
    </w:lvl>
    <w:lvl w:ilvl="6" w:tplc="538ECB2E" w:tentative="1">
      <w:start w:val="1"/>
      <w:numFmt w:val="bullet"/>
      <w:lvlText w:val=""/>
      <w:lvlJc w:val="left"/>
      <w:pPr>
        <w:tabs>
          <w:tab w:val="num" w:pos="5040"/>
        </w:tabs>
        <w:ind w:left="5040" w:hanging="360"/>
      </w:pPr>
      <w:rPr>
        <w:rFonts w:ascii="Symbol" w:hAnsi="Symbol" w:hint="default"/>
      </w:rPr>
    </w:lvl>
    <w:lvl w:ilvl="7" w:tplc="25D23FEC" w:tentative="1">
      <w:start w:val="1"/>
      <w:numFmt w:val="bullet"/>
      <w:lvlText w:val="o"/>
      <w:lvlJc w:val="left"/>
      <w:pPr>
        <w:tabs>
          <w:tab w:val="num" w:pos="5760"/>
        </w:tabs>
        <w:ind w:left="5760" w:hanging="360"/>
      </w:pPr>
      <w:rPr>
        <w:rFonts w:ascii="Courier New" w:hAnsi="Courier New" w:cs="Courier New" w:hint="default"/>
      </w:rPr>
    </w:lvl>
    <w:lvl w:ilvl="8" w:tplc="B404A22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8083AD1"/>
    <w:multiLevelType w:val="hybridMultilevel"/>
    <w:tmpl w:val="29CE15CC"/>
    <w:lvl w:ilvl="0" w:tplc="0FF47A14">
      <w:start w:val="1"/>
      <w:numFmt w:val="bullet"/>
      <w:lvlText w:val=""/>
      <w:lvlJc w:val="left"/>
      <w:pPr>
        <w:ind w:left="720" w:hanging="360"/>
      </w:pPr>
      <w:rPr>
        <w:rFonts w:ascii="Symbol" w:hAnsi="Symbol" w:hint="default"/>
        <w:sz w:val="22"/>
      </w:rPr>
    </w:lvl>
    <w:lvl w:ilvl="1" w:tplc="E4AACC2A" w:tentative="1">
      <w:start w:val="1"/>
      <w:numFmt w:val="bullet"/>
      <w:lvlText w:val="o"/>
      <w:lvlJc w:val="left"/>
      <w:pPr>
        <w:ind w:left="1440" w:hanging="360"/>
      </w:pPr>
      <w:rPr>
        <w:rFonts w:ascii="Courier New" w:hAnsi="Courier New" w:cs="Courier New" w:hint="default"/>
      </w:rPr>
    </w:lvl>
    <w:lvl w:ilvl="2" w:tplc="258CB24A" w:tentative="1">
      <w:start w:val="1"/>
      <w:numFmt w:val="bullet"/>
      <w:lvlText w:val=""/>
      <w:lvlJc w:val="left"/>
      <w:pPr>
        <w:ind w:left="2160" w:hanging="360"/>
      </w:pPr>
      <w:rPr>
        <w:rFonts w:ascii="Wingdings" w:hAnsi="Wingdings" w:hint="default"/>
      </w:rPr>
    </w:lvl>
    <w:lvl w:ilvl="3" w:tplc="3F7E2344" w:tentative="1">
      <w:start w:val="1"/>
      <w:numFmt w:val="bullet"/>
      <w:lvlText w:val=""/>
      <w:lvlJc w:val="left"/>
      <w:pPr>
        <w:ind w:left="2880" w:hanging="360"/>
      </w:pPr>
      <w:rPr>
        <w:rFonts w:ascii="Symbol" w:hAnsi="Symbol" w:hint="default"/>
      </w:rPr>
    </w:lvl>
    <w:lvl w:ilvl="4" w:tplc="56B4989C" w:tentative="1">
      <w:start w:val="1"/>
      <w:numFmt w:val="bullet"/>
      <w:lvlText w:val="o"/>
      <w:lvlJc w:val="left"/>
      <w:pPr>
        <w:ind w:left="3600" w:hanging="360"/>
      </w:pPr>
      <w:rPr>
        <w:rFonts w:ascii="Courier New" w:hAnsi="Courier New" w:cs="Courier New" w:hint="default"/>
      </w:rPr>
    </w:lvl>
    <w:lvl w:ilvl="5" w:tplc="191CA744" w:tentative="1">
      <w:start w:val="1"/>
      <w:numFmt w:val="bullet"/>
      <w:lvlText w:val=""/>
      <w:lvlJc w:val="left"/>
      <w:pPr>
        <w:ind w:left="4320" w:hanging="360"/>
      </w:pPr>
      <w:rPr>
        <w:rFonts w:ascii="Wingdings" w:hAnsi="Wingdings" w:hint="default"/>
      </w:rPr>
    </w:lvl>
    <w:lvl w:ilvl="6" w:tplc="77464CEC" w:tentative="1">
      <w:start w:val="1"/>
      <w:numFmt w:val="bullet"/>
      <w:lvlText w:val=""/>
      <w:lvlJc w:val="left"/>
      <w:pPr>
        <w:ind w:left="5040" w:hanging="360"/>
      </w:pPr>
      <w:rPr>
        <w:rFonts w:ascii="Symbol" w:hAnsi="Symbol" w:hint="default"/>
      </w:rPr>
    </w:lvl>
    <w:lvl w:ilvl="7" w:tplc="57224004" w:tentative="1">
      <w:start w:val="1"/>
      <w:numFmt w:val="bullet"/>
      <w:lvlText w:val="o"/>
      <w:lvlJc w:val="left"/>
      <w:pPr>
        <w:ind w:left="5760" w:hanging="360"/>
      </w:pPr>
      <w:rPr>
        <w:rFonts w:ascii="Courier New" w:hAnsi="Courier New" w:cs="Courier New" w:hint="default"/>
      </w:rPr>
    </w:lvl>
    <w:lvl w:ilvl="8" w:tplc="554CABDE" w:tentative="1">
      <w:start w:val="1"/>
      <w:numFmt w:val="bullet"/>
      <w:lvlText w:val=""/>
      <w:lvlJc w:val="left"/>
      <w:pPr>
        <w:ind w:left="6480" w:hanging="360"/>
      </w:pPr>
      <w:rPr>
        <w:rFonts w:ascii="Wingdings" w:hAnsi="Wingdings" w:hint="default"/>
      </w:rPr>
    </w:lvl>
  </w:abstractNum>
  <w:abstractNum w:abstractNumId="22" w15:restartNumberingAfterBreak="0">
    <w:nsid w:val="08333150"/>
    <w:multiLevelType w:val="hybridMultilevel"/>
    <w:tmpl w:val="FA96EA8C"/>
    <w:lvl w:ilvl="0" w:tplc="78C231BE">
      <w:start w:val="1"/>
      <w:numFmt w:val="decimal"/>
      <w:lvlText w:val="%1)"/>
      <w:lvlJc w:val="left"/>
      <w:pPr>
        <w:tabs>
          <w:tab w:val="num" w:pos="720"/>
        </w:tabs>
        <w:ind w:left="720" w:hanging="360"/>
      </w:pPr>
      <w:rPr>
        <w:rFonts w:cs="Times New Roman" w:hint="default"/>
      </w:rPr>
    </w:lvl>
    <w:lvl w:ilvl="1" w:tplc="AFBC6584">
      <w:start w:val="1"/>
      <w:numFmt w:val="bullet"/>
      <w:lvlText w:val=""/>
      <w:lvlJc w:val="left"/>
      <w:pPr>
        <w:tabs>
          <w:tab w:val="num" w:pos="1440"/>
        </w:tabs>
        <w:ind w:left="1440" w:hanging="360"/>
      </w:pPr>
      <w:rPr>
        <w:rFonts w:ascii="Symbol" w:hAnsi="Symbol" w:hint="default"/>
      </w:rPr>
    </w:lvl>
    <w:lvl w:ilvl="2" w:tplc="E21C0EB4">
      <w:start w:val="2"/>
      <w:numFmt w:val="decimal"/>
      <w:lvlText w:val="%3."/>
      <w:lvlJc w:val="left"/>
      <w:pPr>
        <w:tabs>
          <w:tab w:val="num" w:pos="2550"/>
        </w:tabs>
        <w:ind w:left="2550" w:hanging="570"/>
      </w:pPr>
      <w:rPr>
        <w:rFonts w:cs="Times New Roman" w:hint="default"/>
      </w:rPr>
    </w:lvl>
    <w:lvl w:ilvl="3" w:tplc="5E601824" w:tentative="1">
      <w:start w:val="1"/>
      <w:numFmt w:val="decimal"/>
      <w:lvlText w:val="%4."/>
      <w:lvlJc w:val="left"/>
      <w:pPr>
        <w:tabs>
          <w:tab w:val="num" w:pos="2880"/>
        </w:tabs>
        <w:ind w:left="2880" w:hanging="360"/>
      </w:pPr>
      <w:rPr>
        <w:rFonts w:cs="Times New Roman"/>
      </w:rPr>
    </w:lvl>
    <w:lvl w:ilvl="4" w:tplc="6B1C8D76" w:tentative="1">
      <w:start w:val="1"/>
      <w:numFmt w:val="lowerLetter"/>
      <w:lvlText w:val="%5."/>
      <w:lvlJc w:val="left"/>
      <w:pPr>
        <w:tabs>
          <w:tab w:val="num" w:pos="3600"/>
        </w:tabs>
        <w:ind w:left="3600" w:hanging="360"/>
      </w:pPr>
      <w:rPr>
        <w:rFonts w:cs="Times New Roman"/>
      </w:rPr>
    </w:lvl>
    <w:lvl w:ilvl="5" w:tplc="6F4E780C" w:tentative="1">
      <w:start w:val="1"/>
      <w:numFmt w:val="lowerRoman"/>
      <w:lvlText w:val="%6."/>
      <w:lvlJc w:val="right"/>
      <w:pPr>
        <w:tabs>
          <w:tab w:val="num" w:pos="4320"/>
        </w:tabs>
        <w:ind w:left="4320" w:hanging="180"/>
      </w:pPr>
      <w:rPr>
        <w:rFonts w:cs="Times New Roman"/>
      </w:rPr>
    </w:lvl>
    <w:lvl w:ilvl="6" w:tplc="03589066" w:tentative="1">
      <w:start w:val="1"/>
      <w:numFmt w:val="decimal"/>
      <w:lvlText w:val="%7."/>
      <w:lvlJc w:val="left"/>
      <w:pPr>
        <w:tabs>
          <w:tab w:val="num" w:pos="5040"/>
        </w:tabs>
        <w:ind w:left="5040" w:hanging="360"/>
      </w:pPr>
      <w:rPr>
        <w:rFonts w:cs="Times New Roman"/>
      </w:rPr>
    </w:lvl>
    <w:lvl w:ilvl="7" w:tplc="1756AE02" w:tentative="1">
      <w:start w:val="1"/>
      <w:numFmt w:val="lowerLetter"/>
      <w:lvlText w:val="%8."/>
      <w:lvlJc w:val="left"/>
      <w:pPr>
        <w:tabs>
          <w:tab w:val="num" w:pos="5760"/>
        </w:tabs>
        <w:ind w:left="5760" w:hanging="360"/>
      </w:pPr>
      <w:rPr>
        <w:rFonts w:cs="Times New Roman"/>
      </w:rPr>
    </w:lvl>
    <w:lvl w:ilvl="8" w:tplc="008A1844" w:tentative="1">
      <w:start w:val="1"/>
      <w:numFmt w:val="lowerRoman"/>
      <w:lvlText w:val="%9."/>
      <w:lvlJc w:val="right"/>
      <w:pPr>
        <w:tabs>
          <w:tab w:val="num" w:pos="6480"/>
        </w:tabs>
        <w:ind w:left="6480" w:hanging="180"/>
      </w:pPr>
      <w:rPr>
        <w:rFonts w:cs="Times New Roman"/>
      </w:rPr>
    </w:lvl>
  </w:abstractNum>
  <w:abstractNum w:abstractNumId="23" w15:restartNumberingAfterBreak="0">
    <w:nsid w:val="08A2665D"/>
    <w:multiLevelType w:val="hybridMultilevel"/>
    <w:tmpl w:val="FD6E1E80"/>
    <w:lvl w:ilvl="0" w:tplc="BCEE9B6C">
      <w:start w:val="1"/>
      <w:numFmt w:val="bullet"/>
      <w:lvlText w:val=""/>
      <w:lvlJc w:val="left"/>
      <w:pPr>
        <w:tabs>
          <w:tab w:val="num" w:pos="720"/>
        </w:tabs>
        <w:ind w:left="720" w:hanging="360"/>
      </w:pPr>
      <w:rPr>
        <w:rFonts w:ascii="Symbol" w:hAnsi="Symbol" w:hint="default"/>
      </w:rPr>
    </w:lvl>
    <w:lvl w:ilvl="1" w:tplc="23DE735E" w:tentative="1">
      <w:start w:val="1"/>
      <w:numFmt w:val="bullet"/>
      <w:lvlText w:val="o"/>
      <w:lvlJc w:val="left"/>
      <w:pPr>
        <w:tabs>
          <w:tab w:val="num" w:pos="1440"/>
        </w:tabs>
        <w:ind w:left="1440" w:hanging="360"/>
      </w:pPr>
      <w:rPr>
        <w:rFonts w:ascii="Courier New" w:hAnsi="Courier New" w:cs="Courier New" w:hint="default"/>
      </w:rPr>
    </w:lvl>
    <w:lvl w:ilvl="2" w:tplc="3F90C8BE" w:tentative="1">
      <w:start w:val="1"/>
      <w:numFmt w:val="bullet"/>
      <w:lvlText w:val=""/>
      <w:lvlJc w:val="left"/>
      <w:pPr>
        <w:tabs>
          <w:tab w:val="num" w:pos="2160"/>
        </w:tabs>
        <w:ind w:left="2160" w:hanging="360"/>
      </w:pPr>
      <w:rPr>
        <w:rFonts w:ascii="Wingdings" w:hAnsi="Wingdings" w:hint="default"/>
      </w:rPr>
    </w:lvl>
    <w:lvl w:ilvl="3" w:tplc="D5E6768E" w:tentative="1">
      <w:start w:val="1"/>
      <w:numFmt w:val="bullet"/>
      <w:lvlText w:val=""/>
      <w:lvlJc w:val="left"/>
      <w:pPr>
        <w:tabs>
          <w:tab w:val="num" w:pos="2880"/>
        </w:tabs>
        <w:ind w:left="2880" w:hanging="360"/>
      </w:pPr>
      <w:rPr>
        <w:rFonts w:ascii="Symbol" w:hAnsi="Symbol" w:hint="default"/>
      </w:rPr>
    </w:lvl>
    <w:lvl w:ilvl="4" w:tplc="99060562" w:tentative="1">
      <w:start w:val="1"/>
      <w:numFmt w:val="bullet"/>
      <w:lvlText w:val="o"/>
      <w:lvlJc w:val="left"/>
      <w:pPr>
        <w:tabs>
          <w:tab w:val="num" w:pos="3600"/>
        </w:tabs>
        <w:ind w:left="3600" w:hanging="360"/>
      </w:pPr>
      <w:rPr>
        <w:rFonts w:ascii="Courier New" w:hAnsi="Courier New" w:cs="Courier New" w:hint="default"/>
      </w:rPr>
    </w:lvl>
    <w:lvl w:ilvl="5" w:tplc="FE2C7716" w:tentative="1">
      <w:start w:val="1"/>
      <w:numFmt w:val="bullet"/>
      <w:lvlText w:val=""/>
      <w:lvlJc w:val="left"/>
      <w:pPr>
        <w:tabs>
          <w:tab w:val="num" w:pos="4320"/>
        </w:tabs>
        <w:ind w:left="4320" w:hanging="360"/>
      </w:pPr>
      <w:rPr>
        <w:rFonts w:ascii="Wingdings" w:hAnsi="Wingdings" w:hint="default"/>
      </w:rPr>
    </w:lvl>
    <w:lvl w:ilvl="6" w:tplc="F524E93C" w:tentative="1">
      <w:start w:val="1"/>
      <w:numFmt w:val="bullet"/>
      <w:lvlText w:val=""/>
      <w:lvlJc w:val="left"/>
      <w:pPr>
        <w:tabs>
          <w:tab w:val="num" w:pos="5040"/>
        </w:tabs>
        <w:ind w:left="5040" w:hanging="360"/>
      </w:pPr>
      <w:rPr>
        <w:rFonts w:ascii="Symbol" w:hAnsi="Symbol" w:hint="default"/>
      </w:rPr>
    </w:lvl>
    <w:lvl w:ilvl="7" w:tplc="52CCDF42" w:tentative="1">
      <w:start w:val="1"/>
      <w:numFmt w:val="bullet"/>
      <w:lvlText w:val="o"/>
      <w:lvlJc w:val="left"/>
      <w:pPr>
        <w:tabs>
          <w:tab w:val="num" w:pos="5760"/>
        </w:tabs>
        <w:ind w:left="5760" w:hanging="360"/>
      </w:pPr>
      <w:rPr>
        <w:rFonts w:ascii="Courier New" w:hAnsi="Courier New" w:cs="Courier New" w:hint="default"/>
      </w:rPr>
    </w:lvl>
    <w:lvl w:ilvl="8" w:tplc="9D92698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8FE2832"/>
    <w:multiLevelType w:val="hybridMultilevel"/>
    <w:tmpl w:val="80629D68"/>
    <w:lvl w:ilvl="0" w:tplc="7AA21212">
      <w:start w:val="1"/>
      <w:numFmt w:val="bullet"/>
      <w:lvlText w:val=""/>
      <w:lvlJc w:val="left"/>
      <w:pPr>
        <w:ind w:left="720" w:hanging="360"/>
      </w:pPr>
      <w:rPr>
        <w:rFonts w:ascii="Symbol" w:hAnsi="Symbol" w:hint="default"/>
      </w:rPr>
    </w:lvl>
    <w:lvl w:ilvl="1" w:tplc="8ADED982">
      <w:start w:val="1"/>
      <w:numFmt w:val="bullet"/>
      <w:lvlText w:val="o"/>
      <w:lvlJc w:val="left"/>
      <w:pPr>
        <w:ind w:left="1440" w:hanging="360"/>
      </w:pPr>
      <w:rPr>
        <w:rFonts w:ascii="Courier New" w:hAnsi="Courier New" w:cs="Courier New" w:hint="default"/>
      </w:rPr>
    </w:lvl>
    <w:lvl w:ilvl="2" w:tplc="EAC8B9E2">
      <w:start w:val="1"/>
      <w:numFmt w:val="bullet"/>
      <w:lvlText w:val=""/>
      <w:lvlJc w:val="left"/>
      <w:pPr>
        <w:ind w:left="2160" w:hanging="360"/>
      </w:pPr>
      <w:rPr>
        <w:rFonts w:ascii="Wingdings" w:hAnsi="Wingdings" w:hint="default"/>
      </w:rPr>
    </w:lvl>
    <w:lvl w:ilvl="3" w:tplc="87089E64">
      <w:start w:val="1"/>
      <w:numFmt w:val="bullet"/>
      <w:lvlText w:val=""/>
      <w:lvlJc w:val="left"/>
      <w:pPr>
        <w:ind w:left="2880" w:hanging="360"/>
      </w:pPr>
      <w:rPr>
        <w:rFonts w:ascii="Symbol" w:hAnsi="Symbol" w:hint="default"/>
      </w:rPr>
    </w:lvl>
    <w:lvl w:ilvl="4" w:tplc="C8F27814">
      <w:start w:val="1"/>
      <w:numFmt w:val="bullet"/>
      <w:lvlText w:val="o"/>
      <w:lvlJc w:val="left"/>
      <w:pPr>
        <w:ind w:left="3600" w:hanging="360"/>
      </w:pPr>
      <w:rPr>
        <w:rFonts w:ascii="Courier New" w:hAnsi="Courier New" w:cs="Courier New" w:hint="default"/>
      </w:rPr>
    </w:lvl>
    <w:lvl w:ilvl="5" w:tplc="F36864CA">
      <w:start w:val="1"/>
      <w:numFmt w:val="bullet"/>
      <w:lvlText w:val=""/>
      <w:lvlJc w:val="left"/>
      <w:pPr>
        <w:ind w:left="4320" w:hanging="360"/>
      </w:pPr>
      <w:rPr>
        <w:rFonts w:ascii="Wingdings" w:hAnsi="Wingdings" w:hint="default"/>
      </w:rPr>
    </w:lvl>
    <w:lvl w:ilvl="6" w:tplc="147643F6">
      <w:start w:val="1"/>
      <w:numFmt w:val="bullet"/>
      <w:lvlText w:val=""/>
      <w:lvlJc w:val="left"/>
      <w:pPr>
        <w:ind w:left="5040" w:hanging="360"/>
      </w:pPr>
      <w:rPr>
        <w:rFonts w:ascii="Symbol" w:hAnsi="Symbol" w:hint="default"/>
      </w:rPr>
    </w:lvl>
    <w:lvl w:ilvl="7" w:tplc="9FA05172">
      <w:start w:val="1"/>
      <w:numFmt w:val="bullet"/>
      <w:lvlText w:val="o"/>
      <w:lvlJc w:val="left"/>
      <w:pPr>
        <w:ind w:left="5760" w:hanging="360"/>
      </w:pPr>
      <w:rPr>
        <w:rFonts w:ascii="Courier New" w:hAnsi="Courier New" w:cs="Courier New" w:hint="default"/>
      </w:rPr>
    </w:lvl>
    <w:lvl w:ilvl="8" w:tplc="0AB28F2C">
      <w:start w:val="1"/>
      <w:numFmt w:val="bullet"/>
      <w:lvlText w:val=""/>
      <w:lvlJc w:val="left"/>
      <w:pPr>
        <w:ind w:left="6480" w:hanging="360"/>
      </w:pPr>
      <w:rPr>
        <w:rFonts w:ascii="Wingdings" w:hAnsi="Wingdings" w:hint="default"/>
      </w:rPr>
    </w:lvl>
  </w:abstractNum>
  <w:abstractNum w:abstractNumId="25" w15:restartNumberingAfterBreak="0">
    <w:nsid w:val="09134571"/>
    <w:multiLevelType w:val="multilevel"/>
    <w:tmpl w:val="00000001"/>
    <w:lvl w:ilvl="0">
      <w:numFmt w:val="bullet"/>
      <w:lvlText w:val="-"/>
      <w:lvlJc w:val="left"/>
      <w:pPr>
        <w:tabs>
          <w:tab w:val="num" w:pos="360"/>
        </w:tabs>
        <w:ind w:left="284" w:hanging="284"/>
      </w:pPr>
      <w:rPr>
        <w:rFonts w:ascii="Thorndale" w:eastAsia="Times New Roman" w:hAnsi="Thorndale" w:hint="default"/>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decimal"/>
      <w:suff w:val="nothing"/>
      <w:lvlText w:val="%9."/>
      <w:lvlJc w:val="left"/>
      <w:rPr>
        <w:rFonts w:cs="Times New Roman"/>
      </w:rPr>
    </w:lvl>
  </w:abstractNum>
  <w:abstractNum w:abstractNumId="26" w15:restartNumberingAfterBreak="0">
    <w:nsid w:val="097045B5"/>
    <w:multiLevelType w:val="hybridMultilevel"/>
    <w:tmpl w:val="0C1A9528"/>
    <w:lvl w:ilvl="0" w:tplc="5D88AE82">
      <w:start w:val="1"/>
      <w:numFmt w:val="bullet"/>
      <w:lvlText w:val=""/>
      <w:lvlJc w:val="left"/>
      <w:pPr>
        <w:ind w:left="360" w:hanging="360"/>
      </w:pPr>
      <w:rPr>
        <w:rFonts w:ascii="Symbol" w:hAnsi="Symbol" w:hint="default"/>
      </w:rPr>
    </w:lvl>
    <w:lvl w:ilvl="1" w:tplc="5824D55E" w:tentative="1">
      <w:start w:val="1"/>
      <w:numFmt w:val="bullet"/>
      <w:lvlText w:val="o"/>
      <w:lvlJc w:val="left"/>
      <w:pPr>
        <w:ind w:left="1080" w:hanging="360"/>
      </w:pPr>
      <w:rPr>
        <w:rFonts w:ascii="Courier New" w:hAnsi="Courier New" w:cs="Courier New" w:hint="default"/>
      </w:rPr>
    </w:lvl>
    <w:lvl w:ilvl="2" w:tplc="FA145DD6" w:tentative="1">
      <w:start w:val="1"/>
      <w:numFmt w:val="bullet"/>
      <w:lvlText w:val=""/>
      <w:lvlJc w:val="left"/>
      <w:pPr>
        <w:ind w:left="1800" w:hanging="360"/>
      </w:pPr>
      <w:rPr>
        <w:rFonts w:ascii="Wingdings" w:hAnsi="Wingdings" w:hint="default"/>
      </w:rPr>
    </w:lvl>
    <w:lvl w:ilvl="3" w:tplc="6F2EAB30" w:tentative="1">
      <w:start w:val="1"/>
      <w:numFmt w:val="bullet"/>
      <w:lvlText w:val=""/>
      <w:lvlJc w:val="left"/>
      <w:pPr>
        <w:ind w:left="2520" w:hanging="360"/>
      </w:pPr>
      <w:rPr>
        <w:rFonts w:ascii="Symbol" w:hAnsi="Symbol" w:hint="default"/>
      </w:rPr>
    </w:lvl>
    <w:lvl w:ilvl="4" w:tplc="ED3C9A42" w:tentative="1">
      <w:start w:val="1"/>
      <w:numFmt w:val="bullet"/>
      <w:lvlText w:val="o"/>
      <w:lvlJc w:val="left"/>
      <w:pPr>
        <w:ind w:left="3240" w:hanging="360"/>
      </w:pPr>
      <w:rPr>
        <w:rFonts w:ascii="Courier New" w:hAnsi="Courier New" w:cs="Courier New" w:hint="default"/>
      </w:rPr>
    </w:lvl>
    <w:lvl w:ilvl="5" w:tplc="52341FBE" w:tentative="1">
      <w:start w:val="1"/>
      <w:numFmt w:val="bullet"/>
      <w:lvlText w:val=""/>
      <w:lvlJc w:val="left"/>
      <w:pPr>
        <w:ind w:left="3960" w:hanging="360"/>
      </w:pPr>
      <w:rPr>
        <w:rFonts w:ascii="Wingdings" w:hAnsi="Wingdings" w:hint="default"/>
      </w:rPr>
    </w:lvl>
    <w:lvl w:ilvl="6" w:tplc="FF58701E" w:tentative="1">
      <w:start w:val="1"/>
      <w:numFmt w:val="bullet"/>
      <w:lvlText w:val=""/>
      <w:lvlJc w:val="left"/>
      <w:pPr>
        <w:ind w:left="4680" w:hanging="360"/>
      </w:pPr>
      <w:rPr>
        <w:rFonts w:ascii="Symbol" w:hAnsi="Symbol" w:hint="default"/>
      </w:rPr>
    </w:lvl>
    <w:lvl w:ilvl="7" w:tplc="97AE6EB0" w:tentative="1">
      <w:start w:val="1"/>
      <w:numFmt w:val="bullet"/>
      <w:lvlText w:val="o"/>
      <w:lvlJc w:val="left"/>
      <w:pPr>
        <w:ind w:left="5400" w:hanging="360"/>
      </w:pPr>
      <w:rPr>
        <w:rFonts w:ascii="Courier New" w:hAnsi="Courier New" w:cs="Courier New" w:hint="default"/>
      </w:rPr>
    </w:lvl>
    <w:lvl w:ilvl="8" w:tplc="D1B251D4" w:tentative="1">
      <w:start w:val="1"/>
      <w:numFmt w:val="bullet"/>
      <w:lvlText w:val=""/>
      <w:lvlJc w:val="left"/>
      <w:pPr>
        <w:ind w:left="6120" w:hanging="360"/>
      </w:pPr>
      <w:rPr>
        <w:rFonts w:ascii="Wingdings" w:hAnsi="Wingdings" w:hint="default"/>
      </w:rPr>
    </w:lvl>
  </w:abstractNum>
  <w:abstractNum w:abstractNumId="27" w15:restartNumberingAfterBreak="0">
    <w:nsid w:val="09C44CC1"/>
    <w:multiLevelType w:val="hybridMultilevel"/>
    <w:tmpl w:val="529CB1B0"/>
    <w:lvl w:ilvl="0" w:tplc="7B22355E">
      <w:start w:val="1"/>
      <w:numFmt w:val="bullet"/>
      <w:lvlText w:val=""/>
      <w:lvlJc w:val="left"/>
      <w:pPr>
        <w:tabs>
          <w:tab w:val="num" w:pos="720"/>
        </w:tabs>
        <w:ind w:left="720" w:hanging="360"/>
      </w:pPr>
      <w:rPr>
        <w:rFonts w:ascii="Symbol" w:hAnsi="Symbol" w:hint="default"/>
      </w:rPr>
    </w:lvl>
    <w:lvl w:ilvl="1" w:tplc="E9CE3352" w:tentative="1">
      <w:start w:val="1"/>
      <w:numFmt w:val="bullet"/>
      <w:lvlText w:val="o"/>
      <w:lvlJc w:val="left"/>
      <w:pPr>
        <w:tabs>
          <w:tab w:val="num" w:pos="1440"/>
        </w:tabs>
        <w:ind w:left="1440" w:hanging="360"/>
      </w:pPr>
      <w:rPr>
        <w:rFonts w:ascii="Courier New" w:hAnsi="Courier New" w:hint="default"/>
      </w:rPr>
    </w:lvl>
    <w:lvl w:ilvl="2" w:tplc="380C7E5E" w:tentative="1">
      <w:start w:val="1"/>
      <w:numFmt w:val="bullet"/>
      <w:lvlText w:val=""/>
      <w:lvlJc w:val="left"/>
      <w:pPr>
        <w:tabs>
          <w:tab w:val="num" w:pos="2160"/>
        </w:tabs>
        <w:ind w:left="2160" w:hanging="360"/>
      </w:pPr>
      <w:rPr>
        <w:rFonts w:ascii="Wingdings" w:hAnsi="Wingdings" w:hint="default"/>
      </w:rPr>
    </w:lvl>
    <w:lvl w:ilvl="3" w:tplc="6610F118" w:tentative="1">
      <w:start w:val="1"/>
      <w:numFmt w:val="bullet"/>
      <w:lvlText w:val=""/>
      <w:lvlJc w:val="left"/>
      <w:pPr>
        <w:tabs>
          <w:tab w:val="num" w:pos="2880"/>
        </w:tabs>
        <w:ind w:left="2880" w:hanging="360"/>
      </w:pPr>
      <w:rPr>
        <w:rFonts w:ascii="Symbol" w:hAnsi="Symbol" w:hint="default"/>
      </w:rPr>
    </w:lvl>
    <w:lvl w:ilvl="4" w:tplc="D17C0884" w:tentative="1">
      <w:start w:val="1"/>
      <w:numFmt w:val="bullet"/>
      <w:lvlText w:val="o"/>
      <w:lvlJc w:val="left"/>
      <w:pPr>
        <w:tabs>
          <w:tab w:val="num" w:pos="3600"/>
        </w:tabs>
        <w:ind w:left="3600" w:hanging="360"/>
      </w:pPr>
      <w:rPr>
        <w:rFonts w:ascii="Courier New" w:hAnsi="Courier New" w:hint="default"/>
      </w:rPr>
    </w:lvl>
    <w:lvl w:ilvl="5" w:tplc="001EFED8" w:tentative="1">
      <w:start w:val="1"/>
      <w:numFmt w:val="bullet"/>
      <w:lvlText w:val=""/>
      <w:lvlJc w:val="left"/>
      <w:pPr>
        <w:tabs>
          <w:tab w:val="num" w:pos="4320"/>
        </w:tabs>
        <w:ind w:left="4320" w:hanging="360"/>
      </w:pPr>
      <w:rPr>
        <w:rFonts w:ascii="Wingdings" w:hAnsi="Wingdings" w:hint="default"/>
      </w:rPr>
    </w:lvl>
    <w:lvl w:ilvl="6" w:tplc="6CCEAE2E" w:tentative="1">
      <w:start w:val="1"/>
      <w:numFmt w:val="bullet"/>
      <w:lvlText w:val=""/>
      <w:lvlJc w:val="left"/>
      <w:pPr>
        <w:tabs>
          <w:tab w:val="num" w:pos="5040"/>
        </w:tabs>
        <w:ind w:left="5040" w:hanging="360"/>
      </w:pPr>
      <w:rPr>
        <w:rFonts w:ascii="Symbol" w:hAnsi="Symbol" w:hint="default"/>
      </w:rPr>
    </w:lvl>
    <w:lvl w:ilvl="7" w:tplc="9E965880" w:tentative="1">
      <w:start w:val="1"/>
      <w:numFmt w:val="bullet"/>
      <w:lvlText w:val="o"/>
      <w:lvlJc w:val="left"/>
      <w:pPr>
        <w:tabs>
          <w:tab w:val="num" w:pos="5760"/>
        </w:tabs>
        <w:ind w:left="5760" w:hanging="360"/>
      </w:pPr>
      <w:rPr>
        <w:rFonts w:ascii="Courier New" w:hAnsi="Courier New" w:hint="default"/>
      </w:rPr>
    </w:lvl>
    <w:lvl w:ilvl="8" w:tplc="BA54D24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A963E98"/>
    <w:multiLevelType w:val="hybridMultilevel"/>
    <w:tmpl w:val="1F764552"/>
    <w:lvl w:ilvl="0" w:tplc="50C85F0A">
      <w:start w:val="5"/>
      <w:numFmt w:val="decimal"/>
      <w:lvlText w:val="%1"/>
      <w:lvlJc w:val="left"/>
      <w:pPr>
        <w:ind w:left="720" w:hanging="360"/>
      </w:pPr>
      <w:rPr>
        <w:rFonts w:hint="default"/>
      </w:rPr>
    </w:lvl>
    <w:lvl w:ilvl="1" w:tplc="83EA2002" w:tentative="1">
      <w:start w:val="1"/>
      <w:numFmt w:val="lowerLetter"/>
      <w:lvlText w:val="%2."/>
      <w:lvlJc w:val="left"/>
      <w:pPr>
        <w:ind w:left="1440" w:hanging="360"/>
      </w:pPr>
    </w:lvl>
    <w:lvl w:ilvl="2" w:tplc="363297D0" w:tentative="1">
      <w:start w:val="1"/>
      <w:numFmt w:val="lowerRoman"/>
      <w:lvlText w:val="%3."/>
      <w:lvlJc w:val="right"/>
      <w:pPr>
        <w:ind w:left="2160" w:hanging="180"/>
      </w:pPr>
    </w:lvl>
    <w:lvl w:ilvl="3" w:tplc="AA6EED84" w:tentative="1">
      <w:start w:val="1"/>
      <w:numFmt w:val="decimal"/>
      <w:lvlText w:val="%4."/>
      <w:lvlJc w:val="left"/>
      <w:pPr>
        <w:ind w:left="2880" w:hanging="360"/>
      </w:pPr>
    </w:lvl>
    <w:lvl w:ilvl="4" w:tplc="8BC693F8" w:tentative="1">
      <w:start w:val="1"/>
      <w:numFmt w:val="lowerLetter"/>
      <w:lvlText w:val="%5."/>
      <w:lvlJc w:val="left"/>
      <w:pPr>
        <w:ind w:left="3600" w:hanging="360"/>
      </w:pPr>
    </w:lvl>
    <w:lvl w:ilvl="5" w:tplc="FE9E931A" w:tentative="1">
      <w:start w:val="1"/>
      <w:numFmt w:val="lowerRoman"/>
      <w:lvlText w:val="%6."/>
      <w:lvlJc w:val="right"/>
      <w:pPr>
        <w:ind w:left="4320" w:hanging="180"/>
      </w:pPr>
    </w:lvl>
    <w:lvl w:ilvl="6" w:tplc="DAE07406" w:tentative="1">
      <w:start w:val="1"/>
      <w:numFmt w:val="decimal"/>
      <w:lvlText w:val="%7."/>
      <w:lvlJc w:val="left"/>
      <w:pPr>
        <w:ind w:left="5040" w:hanging="360"/>
      </w:pPr>
    </w:lvl>
    <w:lvl w:ilvl="7" w:tplc="66DEE186" w:tentative="1">
      <w:start w:val="1"/>
      <w:numFmt w:val="lowerLetter"/>
      <w:lvlText w:val="%8."/>
      <w:lvlJc w:val="left"/>
      <w:pPr>
        <w:ind w:left="5760" w:hanging="360"/>
      </w:pPr>
    </w:lvl>
    <w:lvl w:ilvl="8" w:tplc="75188CBA" w:tentative="1">
      <w:start w:val="1"/>
      <w:numFmt w:val="lowerRoman"/>
      <w:lvlText w:val="%9."/>
      <w:lvlJc w:val="right"/>
      <w:pPr>
        <w:ind w:left="6480" w:hanging="180"/>
      </w:pPr>
    </w:lvl>
  </w:abstractNum>
  <w:abstractNum w:abstractNumId="29" w15:restartNumberingAfterBreak="0">
    <w:nsid w:val="0B5D11EB"/>
    <w:multiLevelType w:val="multilevel"/>
    <w:tmpl w:val="36CA5E24"/>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0" w15:restartNumberingAfterBreak="0">
    <w:nsid w:val="0C0E19AD"/>
    <w:multiLevelType w:val="hybridMultilevel"/>
    <w:tmpl w:val="62F82E72"/>
    <w:lvl w:ilvl="0" w:tplc="53460FD8">
      <w:start w:val="1"/>
      <w:numFmt w:val="bullet"/>
      <w:lvlText w:val=""/>
      <w:lvlJc w:val="left"/>
      <w:pPr>
        <w:ind w:left="720" w:hanging="360"/>
      </w:pPr>
      <w:rPr>
        <w:rFonts w:ascii="Symbol" w:hAnsi="Symbol" w:hint="default"/>
        <w:sz w:val="22"/>
      </w:rPr>
    </w:lvl>
    <w:lvl w:ilvl="1" w:tplc="4F34CBB8" w:tentative="1">
      <w:start w:val="1"/>
      <w:numFmt w:val="bullet"/>
      <w:lvlText w:val="o"/>
      <w:lvlJc w:val="left"/>
      <w:pPr>
        <w:ind w:left="1440" w:hanging="360"/>
      </w:pPr>
      <w:rPr>
        <w:rFonts w:ascii="Courier New" w:hAnsi="Courier New" w:cs="Courier New" w:hint="default"/>
      </w:rPr>
    </w:lvl>
    <w:lvl w:ilvl="2" w:tplc="FF143ECA" w:tentative="1">
      <w:start w:val="1"/>
      <w:numFmt w:val="bullet"/>
      <w:lvlText w:val=""/>
      <w:lvlJc w:val="left"/>
      <w:pPr>
        <w:ind w:left="2160" w:hanging="360"/>
      </w:pPr>
      <w:rPr>
        <w:rFonts w:ascii="Wingdings" w:hAnsi="Wingdings" w:hint="default"/>
      </w:rPr>
    </w:lvl>
    <w:lvl w:ilvl="3" w:tplc="266698A6" w:tentative="1">
      <w:start w:val="1"/>
      <w:numFmt w:val="bullet"/>
      <w:lvlText w:val=""/>
      <w:lvlJc w:val="left"/>
      <w:pPr>
        <w:ind w:left="2880" w:hanging="360"/>
      </w:pPr>
      <w:rPr>
        <w:rFonts w:ascii="Symbol" w:hAnsi="Symbol" w:hint="default"/>
      </w:rPr>
    </w:lvl>
    <w:lvl w:ilvl="4" w:tplc="A1C48ABC" w:tentative="1">
      <w:start w:val="1"/>
      <w:numFmt w:val="bullet"/>
      <w:lvlText w:val="o"/>
      <w:lvlJc w:val="left"/>
      <w:pPr>
        <w:ind w:left="3600" w:hanging="360"/>
      </w:pPr>
      <w:rPr>
        <w:rFonts w:ascii="Courier New" w:hAnsi="Courier New" w:cs="Courier New" w:hint="default"/>
      </w:rPr>
    </w:lvl>
    <w:lvl w:ilvl="5" w:tplc="C0840474" w:tentative="1">
      <w:start w:val="1"/>
      <w:numFmt w:val="bullet"/>
      <w:lvlText w:val=""/>
      <w:lvlJc w:val="left"/>
      <w:pPr>
        <w:ind w:left="4320" w:hanging="360"/>
      </w:pPr>
      <w:rPr>
        <w:rFonts w:ascii="Wingdings" w:hAnsi="Wingdings" w:hint="default"/>
      </w:rPr>
    </w:lvl>
    <w:lvl w:ilvl="6" w:tplc="323C7F9A" w:tentative="1">
      <w:start w:val="1"/>
      <w:numFmt w:val="bullet"/>
      <w:lvlText w:val=""/>
      <w:lvlJc w:val="left"/>
      <w:pPr>
        <w:ind w:left="5040" w:hanging="360"/>
      </w:pPr>
      <w:rPr>
        <w:rFonts w:ascii="Symbol" w:hAnsi="Symbol" w:hint="default"/>
      </w:rPr>
    </w:lvl>
    <w:lvl w:ilvl="7" w:tplc="C09E03B2" w:tentative="1">
      <w:start w:val="1"/>
      <w:numFmt w:val="bullet"/>
      <w:lvlText w:val="o"/>
      <w:lvlJc w:val="left"/>
      <w:pPr>
        <w:ind w:left="5760" w:hanging="360"/>
      </w:pPr>
      <w:rPr>
        <w:rFonts w:ascii="Courier New" w:hAnsi="Courier New" w:cs="Courier New" w:hint="default"/>
      </w:rPr>
    </w:lvl>
    <w:lvl w:ilvl="8" w:tplc="27F2D664" w:tentative="1">
      <w:start w:val="1"/>
      <w:numFmt w:val="bullet"/>
      <w:lvlText w:val=""/>
      <w:lvlJc w:val="left"/>
      <w:pPr>
        <w:ind w:left="6480" w:hanging="360"/>
      </w:pPr>
      <w:rPr>
        <w:rFonts w:ascii="Wingdings" w:hAnsi="Wingdings" w:hint="default"/>
      </w:rPr>
    </w:lvl>
  </w:abstractNum>
  <w:abstractNum w:abstractNumId="31" w15:restartNumberingAfterBreak="0">
    <w:nsid w:val="0C165CB4"/>
    <w:multiLevelType w:val="multilevel"/>
    <w:tmpl w:val="66AC580C"/>
    <w:lvl w:ilvl="0">
      <w:start w:val="1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2" w15:restartNumberingAfterBreak="0">
    <w:nsid w:val="0E3F2A26"/>
    <w:multiLevelType w:val="multilevel"/>
    <w:tmpl w:val="00000001"/>
    <w:lvl w:ilvl="0">
      <w:start w:val="1"/>
      <w:numFmt w:val="bullet"/>
      <w:lvlText w:val=""/>
      <w:lvlJc w:val="left"/>
      <w:pPr>
        <w:tabs>
          <w:tab w:val="num" w:pos="567"/>
        </w:tabs>
        <w:ind w:left="567" w:hanging="567"/>
      </w:pPr>
      <w:rPr>
        <w:rFonts w:ascii="Symbol" w:hAnsi="Symbol" w:hint="default"/>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decimal"/>
      <w:suff w:val="nothing"/>
      <w:lvlText w:val="%9."/>
      <w:lvlJc w:val="left"/>
      <w:rPr>
        <w:rFonts w:cs="Times New Roman"/>
      </w:rPr>
    </w:lvl>
  </w:abstractNum>
  <w:abstractNum w:abstractNumId="33" w15:restartNumberingAfterBreak="0">
    <w:nsid w:val="0E9175C1"/>
    <w:multiLevelType w:val="hybridMultilevel"/>
    <w:tmpl w:val="C48E00B8"/>
    <w:lvl w:ilvl="0" w:tplc="6C80CF24">
      <w:start w:val="1"/>
      <w:numFmt w:val="bullet"/>
      <w:lvlText w:val=""/>
      <w:lvlJc w:val="left"/>
      <w:pPr>
        <w:ind w:left="720" w:hanging="360"/>
      </w:pPr>
      <w:rPr>
        <w:rFonts w:ascii="Symbol" w:hAnsi="Symbol" w:hint="default"/>
        <w:sz w:val="22"/>
      </w:rPr>
    </w:lvl>
    <w:lvl w:ilvl="1" w:tplc="3D704318" w:tentative="1">
      <w:start w:val="1"/>
      <w:numFmt w:val="bullet"/>
      <w:lvlText w:val="o"/>
      <w:lvlJc w:val="left"/>
      <w:pPr>
        <w:ind w:left="1440" w:hanging="360"/>
      </w:pPr>
      <w:rPr>
        <w:rFonts w:ascii="Courier New" w:hAnsi="Courier New" w:cs="Courier New" w:hint="default"/>
      </w:rPr>
    </w:lvl>
    <w:lvl w:ilvl="2" w:tplc="5D62E8F2" w:tentative="1">
      <w:start w:val="1"/>
      <w:numFmt w:val="bullet"/>
      <w:lvlText w:val=""/>
      <w:lvlJc w:val="left"/>
      <w:pPr>
        <w:ind w:left="2160" w:hanging="360"/>
      </w:pPr>
      <w:rPr>
        <w:rFonts w:ascii="Wingdings" w:hAnsi="Wingdings" w:hint="default"/>
      </w:rPr>
    </w:lvl>
    <w:lvl w:ilvl="3" w:tplc="2D56914C" w:tentative="1">
      <w:start w:val="1"/>
      <w:numFmt w:val="bullet"/>
      <w:lvlText w:val=""/>
      <w:lvlJc w:val="left"/>
      <w:pPr>
        <w:ind w:left="2880" w:hanging="360"/>
      </w:pPr>
      <w:rPr>
        <w:rFonts w:ascii="Symbol" w:hAnsi="Symbol" w:hint="default"/>
      </w:rPr>
    </w:lvl>
    <w:lvl w:ilvl="4" w:tplc="96D4E5D2" w:tentative="1">
      <w:start w:val="1"/>
      <w:numFmt w:val="bullet"/>
      <w:lvlText w:val="o"/>
      <w:lvlJc w:val="left"/>
      <w:pPr>
        <w:ind w:left="3600" w:hanging="360"/>
      </w:pPr>
      <w:rPr>
        <w:rFonts w:ascii="Courier New" w:hAnsi="Courier New" w:cs="Courier New" w:hint="default"/>
      </w:rPr>
    </w:lvl>
    <w:lvl w:ilvl="5" w:tplc="629C76C0" w:tentative="1">
      <w:start w:val="1"/>
      <w:numFmt w:val="bullet"/>
      <w:lvlText w:val=""/>
      <w:lvlJc w:val="left"/>
      <w:pPr>
        <w:ind w:left="4320" w:hanging="360"/>
      </w:pPr>
      <w:rPr>
        <w:rFonts w:ascii="Wingdings" w:hAnsi="Wingdings" w:hint="default"/>
      </w:rPr>
    </w:lvl>
    <w:lvl w:ilvl="6" w:tplc="079AEF66" w:tentative="1">
      <w:start w:val="1"/>
      <w:numFmt w:val="bullet"/>
      <w:lvlText w:val=""/>
      <w:lvlJc w:val="left"/>
      <w:pPr>
        <w:ind w:left="5040" w:hanging="360"/>
      </w:pPr>
      <w:rPr>
        <w:rFonts w:ascii="Symbol" w:hAnsi="Symbol" w:hint="default"/>
      </w:rPr>
    </w:lvl>
    <w:lvl w:ilvl="7" w:tplc="D5D4B1EC" w:tentative="1">
      <w:start w:val="1"/>
      <w:numFmt w:val="bullet"/>
      <w:lvlText w:val="o"/>
      <w:lvlJc w:val="left"/>
      <w:pPr>
        <w:ind w:left="5760" w:hanging="360"/>
      </w:pPr>
      <w:rPr>
        <w:rFonts w:ascii="Courier New" w:hAnsi="Courier New" w:cs="Courier New" w:hint="default"/>
      </w:rPr>
    </w:lvl>
    <w:lvl w:ilvl="8" w:tplc="5E1269E0" w:tentative="1">
      <w:start w:val="1"/>
      <w:numFmt w:val="bullet"/>
      <w:lvlText w:val=""/>
      <w:lvlJc w:val="left"/>
      <w:pPr>
        <w:ind w:left="6480" w:hanging="360"/>
      </w:pPr>
      <w:rPr>
        <w:rFonts w:ascii="Wingdings" w:hAnsi="Wingdings" w:hint="default"/>
      </w:rPr>
    </w:lvl>
  </w:abstractNum>
  <w:abstractNum w:abstractNumId="34" w15:restartNumberingAfterBreak="0">
    <w:nsid w:val="0FE03783"/>
    <w:multiLevelType w:val="hybridMultilevel"/>
    <w:tmpl w:val="D166F07E"/>
    <w:lvl w:ilvl="0" w:tplc="865AABDE">
      <w:start w:val="1"/>
      <w:numFmt w:val="bullet"/>
      <w:lvlText w:val=""/>
      <w:lvlJc w:val="left"/>
      <w:pPr>
        <w:tabs>
          <w:tab w:val="num" w:pos="720"/>
        </w:tabs>
        <w:ind w:left="720" w:hanging="360"/>
      </w:pPr>
      <w:rPr>
        <w:rFonts w:ascii="Symbol" w:hAnsi="Symbol" w:hint="default"/>
      </w:rPr>
    </w:lvl>
    <w:lvl w:ilvl="1" w:tplc="0248E43E" w:tentative="1">
      <w:start w:val="1"/>
      <w:numFmt w:val="bullet"/>
      <w:lvlText w:val="o"/>
      <w:lvlJc w:val="left"/>
      <w:pPr>
        <w:tabs>
          <w:tab w:val="num" w:pos="1440"/>
        </w:tabs>
        <w:ind w:left="1440" w:hanging="360"/>
      </w:pPr>
      <w:rPr>
        <w:rFonts w:ascii="Courier New" w:hAnsi="Courier New" w:hint="default"/>
      </w:rPr>
    </w:lvl>
    <w:lvl w:ilvl="2" w:tplc="BC44F86C" w:tentative="1">
      <w:start w:val="1"/>
      <w:numFmt w:val="bullet"/>
      <w:lvlText w:val=""/>
      <w:lvlJc w:val="left"/>
      <w:pPr>
        <w:tabs>
          <w:tab w:val="num" w:pos="2160"/>
        </w:tabs>
        <w:ind w:left="2160" w:hanging="360"/>
      </w:pPr>
      <w:rPr>
        <w:rFonts w:ascii="Wingdings" w:hAnsi="Wingdings" w:hint="default"/>
      </w:rPr>
    </w:lvl>
    <w:lvl w:ilvl="3" w:tplc="E0280B32" w:tentative="1">
      <w:start w:val="1"/>
      <w:numFmt w:val="bullet"/>
      <w:lvlText w:val=""/>
      <w:lvlJc w:val="left"/>
      <w:pPr>
        <w:tabs>
          <w:tab w:val="num" w:pos="2880"/>
        </w:tabs>
        <w:ind w:left="2880" w:hanging="360"/>
      </w:pPr>
      <w:rPr>
        <w:rFonts w:ascii="Symbol" w:hAnsi="Symbol" w:hint="default"/>
      </w:rPr>
    </w:lvl>
    <w:lvl w:ilvl="4" w:tplc="FCA4B626" w:tentative="1">
      <w:start w:val="1"/>
      <w:numFmt w:val="bullet"/>
      <w:lvlText w:val="o"/>
      <w:lvlJc w:val="left"/>
      <w:pPr>
        <w:tabs>
          <w:tab w:val="num" w:pos="3600"/>
        </w:tabs>
        <w:ind w:left="3600" w:hanging="360"/>
      </w:pPr>
      <w:rPr>
        <w:rFonts w:ascii="Courier New" w:hAnsi="Courier New" w:hint="default"/>
      </w:rPr>
    </w:lvl>
    <w:lvl w:ilvl="5" w:tplc="70E69688" w:tentative="1">
      <w:start w:val="1"/>
      <w:numFmt w:val="bullet"/>
      <w:lvlText w:val=""/>
      <w:lvlJc w:val="left"/>
      <w:pPr>
        <w:tabs>
          <w:tab w:val="num" w:pos="4320"/>
        </w:tabs>
        <w:ind w:left="4320" w:hanging="360"/>
      </w:pPr>
      <w:rPr>
        <w:rFonts w:ascii="Wingdings" w:hAnsi="Wingdings" w:hint="default"/>
      </w:rPr>
    </w:lvl>
    <w:lvl w:ilvl="6" w:tplc="54FEF59E" w:tentative="1">
      <w:start w:val="1"/>
      <w:numFmt w:val="bullet"/>
      <w:lvlText w:val=""/>
      <w:lvlJc w:val="left"/>
      <w:pPr>
        <w:tabs>
          <w:tab w:val="num" w:pos="5040"/>
        </w:tabs>
        <w:ind w:left="5040" w:hanging="360"/>
      </w:pPr>
      <w:rPr>
        <w:rFonts w:ascii="Symbol" w:hAnsi="Symbol" w:hint="default"/>
      </w:rPr>
    </w:lvl>
    <w:lvl w:ilvl="7" w:tplc="7A407E18" w:tentative="1">
      <w:start w:val="1"/>
      <w:numFmt w:val="bullet"/>
      <w:lvlText w:val="o"/>
      <w:lvlJc w:val="left"/>
      <w:pPr>
        <w:tabs>
          <w:tab w:val="num" w:pos="5760"/>
        </w:tabs>
        <w:ind w:left="5760" w:hanging="360"/>
      </w:pPr>
      <w:rPr>
        <w:rFonts w:ascii="Courier New" w:hAnsi="Courier New" w:hint="default"/>
      </w:rPr>
    </w:lvl>
    <w:lvl w:ilvl="8" w:tplc="E97A9B5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02D35EB"/>
    <w:multiLevelType w:val="hybridMultilevel"/>
    <w:tmpl w:val="4C164162"/>
    <w:lvl w:ilvl="0" w:tplc="507AD610">
      <w:start w:val="1"/>
      <w:numFmt w:val="bullet"/>
      <w:lvlText w:val=""/>
      <w:lvlJc w:val="left"/>
      <w:pPr>
        <w:ind w:left="720" w:hanging="360"/>
      </w:pPr>
      <w:rPr>
        <w:rFonts w:ascii="Symbol" w:hAnsi="Symbol" w:hint="default"/>
      </w:rPr>
    </w:lvl>
    <w:lvl w:ilvl="1" w:tplc="9DF66F52" w:tentative="1">
      <w:start w:val="1"/>
      <w:numFmt w:val="bullet"/>
      <w:lvlText w:val="o"/>
      <w:lvlJc w:val="left"/>
      <w:pPr>
        <w:ind w:left="1440" w:hanging="360"/>
      </w:pPr>
      <w:rPr>
        <w:rFonts w:ascii="Courier New" w:hAnsi="Courier New" w:cs="Courier New" w:hint="default"/>
      </w:rPr>
    </w:lvl>
    <w:lvl w:ilvl="2" w:tplc="1292EDD8" w:tentative="1">
      <w:start w:val="1"/>
      <w:numFmt w:val="bullet"/>
      <w:lvlText w:val=""/>
      <w:lvlJc w:val="left"/>
      <w:pPr>
        <w:ind w:left="2160" w:hanging="360"/>
      </w:pPr>
      <w:rPr>
        <w:rFonts w:ascii="Wingdings" w:hAnsi="Wingdings" w:hint="default"/>
      </w:rPr>
    </w:lvl>
    <w:lvl w:ilvl="3" w:tplc="4134FB8E" w:tentative="1">
      <w:start w:val="1"/>
      <w:numFmt w:val="bullet"/>
      <w:lvlText w:val=""/>
      <w:lvlJc w:val="left"/>
      <w:pPr>
        <w:ind w:left="2880" w:hanging="360"/>
      </w:pPr>
      <w:rPr>
        <w:rFonts w:ascii="Symbol" w:hAnsi="Symbol" w:hint="default"/>
      </w:rPr>
    </w:lvl>
    <w:lvl w:ilvl="4" w:tplc="32E85062" w:tentative="1">
      <w:start w:val="1"/>
      <w:numFmt w:val="bullet"/>
      <w:lvlText w:val="o"/>
      <w:lvlJc w:val="left"/>
      <w:pPr>
        <w:ind w:left="3600" w:hanging="360"/>
      </w:pPr>
      <w:rPr>
        <w:rFonts w:ascii="Courier New" w:hAnsi="Courier New" w:cs="Courier New" w:hint="default"/>
      </w:rPr>
    </w:lvl>
    <w:lvl w:ilvl="5" w:tplc="4DDA1988" w:tentative="1">
      <w:start w:val="1"/>
      <w:numFmt w:val="bullet"/>
      <w:lvlText w:val=""/>
      <w:lvlJc w:val="left"/>
      <w:pPr>
        <w:ind w:left="4320" w:hanging="360"/>
      </w:pPr>
      <w:rPr>
        <w:rFonts w:ascii="Wingdings" w:hAnsi="Wingdings" w:hint="default"/>
      </w:rPr>
    </w:lvl>
    <w:lvl w:ilvl="6" w:tplc="CBF88E5A" w:tentative="1">
      <w:start w:val="1"/>
      <w:numFmt w:val="bullet"/>
      <w:lvlText w:val=""/>
      <w:lvlJc w:val="left"/>
      <w:pPr>
        <w:ind w:left="5040" w:hanging="360"/>
      </w:pPr>
      <w:rPr>
        <w:rFonts w:ascii="Symbol" w:hAnsi="Symbol" w:hint="default"/>
      </w:rPr>
    </w:lvl>
    <w:lvl w:ilvl="7" w:tplc="8E281E58" w:tentative="1">
      <w:start w:val="1"/>
      <w:numFmt w:val="bullet"/>
      <w:lvlText w:val="o"/>
      <w:lvlJc w:val="left"/>
      <w:pPr>
        <w:ind w:left="5760" w:hanging="360"/>
      </w:pPr>
      <w:rPr>
        <w:rFonts w:ascii="Courier New" w:hAnsi="Courier New" w:cs="Courier New" w:hint="default"/>
      </w:rPr>
    </w:lvl>
    <w:lvl w:ilvl="8" w:tplc="6FFEE73A" w:tentative="1">
      <w:start w:val="1"/>
      <w:numFmt w:val="bullet"/>
      <w:lvlText w:val=""/>
      <w:lvlJc w:val="left"/>
      <w:pPr>
        <w:ind w:left="6480" w:hanging="360"/>
      </w:pPr>
      <w:rPr>
        <w:rFonts w:ascii="Wingdings" w:hAnsi="Wingdings" w:hint="default"/>
      </w:rPr>
    </w:lvl>
  </w:abstractNum>
  <w:abstractNum w:abstractNumId="36" w15:restartNumberingAfterBreak="0">
    <w:nsid w:val="113E1B3F"/>
    <w:multiLevelType w:val="hybridMultilevel"/>
    <w:tmpl w:val="E012CEB0"/>
    <w:lvl w:ilvl="0" w:tplc="207E0AE0">
      <w:start w:val="1"/>
      <w:numFmt w:val="bullet"/>
      <w:lvlText w:val=""/>
      <w:lvlJc w:val="left"/>
      <w:pPr>
        <w:tabs>
          <w:tab w:val="num" w:pos="567"/>
        </w:tabs>
        <w:ind w:left="567" w:hanging="567"/>
      </w:pPr>
      <w:rPr>
        <w:rFonts w:ascii="Symbol" w:hAnsi="Symbol" w:hint="default"/>
      </w:rPr>
    </w:lvl>
    <w:lvl w:ilvl="1" w:tplc="74708D92" w:tentative="1">
      <w:start w:val="1"/>
      <w:numFmt w:val="bullet"/>
      <w:lvlText w:val="o"/>
      <w:lvlJc w:val="left"/>
      <w:pPr>
        <w:tabs>
          <w:tab w:val="num" w:pos="1080"/>
        </w:tabs>
        <w:ind w:left="1080" w:hanging="360"/>
      </w:pPr>
      <w:rPr>
        <w:rFonts w:ascii="Courier New" w:hAnsi="Courier New" w:hint="default"/>
      </w:rPr>
    </w:lvl>
    <w:lvl w:ilvl="2" w:tplc="B120B0B2" w:tentative="1">
      <w:start w:val="1"/>
      <w:numFmt w:val="bullet"/>
      <w:lvlText w:val=""/>
      <w:lvlJc w:val="left"/>
      <w:pPr>
        <w:tabs>
          <w:tab w:val="num" w:pos="1800"/>
        </w:tabs>
        <w:ind w:left="1800" w:hanging="360"/>
      </w:pPr>
      <w:rPr>
        <w:rFonts w:ascii="Wingdings" w:hAnsi="Wingdings" w:hint="default"/>
      </w:rPr>
    </w:lvl>
    <w:lvl w:ilvl="3" w:tplc="34D08CB2" w:tentative="1">
      <w:start w:val="1"/>
      <w:numFmt w:val="bullet"/>
      <w:lvlText w:val=""/>
      <w:lvlJc w:val="left"/>
      <w:pPr>
        <w:tabs>
          <w:tab w:val="num" w:pos="2520"/>
        </w:tabs>
        <w:ind w:left="2520" w:hanging="360"/>
      </w:pPr>
      <w:rPr>
        <w:rFonts w:ascii="Symbol" w:hAnsi="Symbol" w:hint="default"/>
      </w:rPr>
    </w:lvl>
    <w:lvl w:ilvl="4" w:tplc="03B6BE5C" w:tentative="1">
      <w:start w:val="1"/>
      <w:numFmt w:val="bullet"/>
      <w:lvlText w:val="o"/>
      <w:lvlJc w:val="left"/>
      <w:pPr>
        <w:tabs>
          <w:tab w:val="num" w:pos="3240"/>
        </w:tabs>
        <w:ind w:left="3240" w:hanging="360"/>
      </w:pPr>
      <w:rPr>
        <w:rFonts w:ascii="Courier New" w:hAnsi="Courier New" w:hint="default"/>
      </w:rPr>
    </w:lvl>
    <w:lvl w:ilvl="5" w:tplc="80EEA4E2" w:tentative="1">
      <w:start w:val="1"/>
      <w:numFmt w:val="bullet"/>
      <w:lvlText w:val=""/>
      <w:lvlJc w:val="left"/>
      <w:pPr>
        <w:tabs>
          <w:tab w:val="num" w:pos="3960"/>
        </w:tabs>
        <w:ind w:left="3960" w:hanging="360"/>
      </w:pPr>
      <w:rPr>
        <w:rFonts w:ascii="Wingdings" w:hAnsi="Wingdings" w:hint="default"/>
      </w:rPr>
    </w:lvl>
    <w:lvl w:ilvl="6" w:tplc="F2845A22" w:tentative="1">
      <w:start w:val="1"/>
      <w:numFmt w:val="bullet"/>
      <w:lvlText w:val=""/>
      <w:lvlJc w:val="left"/>
      <w:pPr>
        <w:tabs>
          <w:tab w:val="num" w:pos="4680"/>
        </w:tabs>
        <w:ind w:left="4680" w:hanging="360"/>
      </w:pPr>
      <w:rPr>
        <w:rFonts w:ascii="Symbol" w:hAnsi="Symbol" w:hint="default"/>
      </w:rPr>
    </w:lvl>
    <w:lvl w:ilvl="7" w:tplc="43E416E2" w:tentative="1">
      <w:start w:val="1"/>
      <w:numFmt w:val="bullet"/>
      <w:lvlText w:val="o"/>
      <w:lvlJc w:val="left"/>
      <w:pPr>
        <w:tabs>
          <w:tab w:val="num" w:pos="5400"/>
        </w:tabs>
        <w:ind w:left="5400" w:hanging="360"/>
      </w:pPr>
      <w:rPr>
        <w:rFonts w:ascii="Courier New" w:hAnsi="Courier New" w:hint="default"/>
      </w:rPr>
    </w:lvl>
    <w:lvl w:ilvl="8" w:tplc="46C667AC"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118E1BA9"/>
    <w:multiLevelType w:val="hybridMultilevel"/>
    <w:tmpl w:val="ACACB1A6"/>
    <w:lvl w:ilvl="0" w:tplc="277C2366">
      <w:start w:val="1"/>
      <w:numFmt w:val="bullet"/>
      <w:lvlText w:val=""/>
      <w:lvlJc w:val="left"/>
      <w:pPr>
        <w:tabs>
          <w:tab w:val="num" w:pos="567"/>
        </w:tabs>
        <w:ind w:left="567" w:hanging="567"/>
      </w:pPr>
      <w:rPr>
        <w:rFonts w:ascii="Symbol" w:hAnsi="Symbol" w:hint="default"/>
      </w:rPr>
    </w:lvl>
    <w:lvl w:ilvl="1" w:tplc="8A6AA448" w:tentative="1">
      <w:start w:val="1"/>
      <w:numFmt w:val="bullet"/>
      <w:lvlText w:val="o"/>
      <w:lvlJc w:val="left"/>
      <w:pPr>
        <w:tabs>
          <w:tab w:val="num" w:pos="1080"/>
        </w:tabs>
        <w:ind w:left="1080" w:hanging="360"/>
      </w:pPr>
      <w:rPr>
        <w:rFonts w:ascii="Courier New" w:hAnsi="Courier New" w:hint="default"/>
      </w:rPr>
    </w:lvl>
    <w:lvl w:ilvl="2" w:tplc="EAA676E6" w:tentative="1">
      <w:start w:val="1"/>
      <w:numFmt w:val="bullet"/>
      <w:lvlText w:val=""/>
      <w:lvlJc w:val="left"/>
      <w:pPr>
        <w:tabs>
          <w:tab w:val="num" w:pos="1800"/>
        </w:tabs>
        <w:ind w:left="1800" w:hanging="360"/>
      </w:pPr>
      <w:rPr>
        <w:rFonts w:ascii="Wingdings" w:hAnsi="Wingdings" w:hint="default"/>
      </w:rPr>
    </w:lvl>
    <w:lvl w:ilvl="3" w:tplc="D312ED1E" w:tentative="1">
      <w:start w:val="1"/>
      <w:numFmt w:val="bullet"/>
      <w:lvlText w:val=""/>
      <w:lvlJc w:val="left"/>
      <w:pPr>
        <w:tabs>
          <w:tab w:val="num" w:pos="2520"/>
        </w:tabs>
        <w:ind w:left="2520" w:hanging="360"/>
      </w:pPr>
      <w:rPr>
        <w:rFonts w:ascii="Symbol" w:hAnsi="Symbol" w:hint="default"/>
      </w:rPr>
    </w:lvl>
    <w:lvl w:ilvl="4" w:tplc="290C19C4" w:tentative="1">
      <w:start w:val="1"/>
      <w:numFmt w:val="bullet"/>
      <w:lvlText w:val="o"/>
      <w:lvlJc w:val="left"/>
      <w:pPr>
        <w:tabs>
          <w:tab w:val="num" w:pos="3240"/>
        </w:tabs>
        <w:ind w:left="3240" w:hanging="360"/>
      </w:pPr>
      <w:rPr>
        <w:rFonts w:ascii="Courier New" w:hAnsi="Courier New" w:hint="default"/>
      </w:rPr>
    </w:lvl>
    <w:lvl w:ilvl="5" w:tplc="CF489A9A" w:tentative="1">
      <w:start w:val="1"/>
      <w:numFmt w:val="bullet"/>
      <w:lvlText w:val=""/>
      <w:lvlJc w:val="left"/>
      <w:pPr>
        <w:tabs>
          <w:tab w:val="num" w:pos="3960"/>
        </w:tabs>
        <w:ind w:left="3960" w:hanging="360"/>
      </w:pPr>
      <w:rPr>
        <w:rFonts w:ascii="Wingdings" w:hAnsi="Wingdings" w:hint="default"/>
      </w:rPr>
    </w:lvl>
    <w:lvl w:ilvl="6" w:tplc="8AD81FFE" w:tentative="1">
      <w:start w:val="1"/>
      <w:numFmt w:val="bullet"/>
      <w:lvlText w:val=""/>
      <w:lvlJc w:val="left"/>
      <w:pPr>
        <w:tabs>
          <w:tab w:val="num" w:pos="4680"/>
        </w:tabs>
        <w:ind w:left="4680" w:hanging="360"/>
      </w:pPr>
      <w:rPr>
        <w:rFonts w:ascii="Symbol" w:hAnsi="Symbol" w:hint="default"/>
      </w:rPr>
    </w:lvl>
    <w:lvl w:ilvl="7" w:tplc="AE020252" w:tentative="1">
      <w:start w:val="1"/>
      <w:numFmt w:val="bullet"/>
      <w:lvlText w:val="o"/>
      <w:lvlJc w:val="left"/>
      <w:pPr>
        <w:tabs>
          <w:tab w:val="num" w:pos="5400"/>
        </w:tabs>
        <w:ind w:left="5400" w:hanging="360"/>
      </w:pPr>
      <w:rPr>
        <w:rFonts w:ascii="Courier New" w:hAnsi="Courier New" w:hint="default"/>
      </w:rPr>
    </w:lvl>
    <w:lvl w:ilvl="8" w:tplc="44D4D002"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13C22BEE"/>
    <w:multiLevelType w:val="hybridMultilevel"/>
    <w:tmpl w:val="0BA8ADF4"/>
    <w:lvl w:ilvl="0" w:tplc="42A046E6">
      <w:start w:val="1"/>
      <w:numFmt w:val="bullet"/>
      <w:lvlText w:val=""/>
      <w:lvlJc w:val="left"/>
      <w:pPr>
        <w:ind w:left="720" w:hanging="360"/>
      </w:pPr>
      <w:rPr>
        <w:rFonts w:ascii="Symbol" w:hAnsi="Symbol" w:hint="default"/>
      </w:rPr>
    </w:lvl>
    <w:lvl w:ilvl="1" w:tplc="32461354" w:tentative="1">
      <w:start w:val="1"/>
      <w:numFmt w:val="bullet"/>
      <w:lvlText w:val="o"/>
      <w:lvlJc w:val="left"/>
      <w:pPr>
        <w:ind w:left="1440" w:hanging="360"/>
      </w:pPr>
      <w:rPr>
        <w:rFonts w:ascii="Courier New" w:hAnsi="Courier New" w:cs="Courier New" w:hint="default"/>
      </w:rPr>
    </w:lvl>
    <w:lvl w:ilvl="2" w:tplc="C86A425A" w:tentative="1">
      <w:start w:val="1"/>
      <w:numFmt w:val="bullet"/>
      <w:lvlText w:val=""/>
      <w:lvlJc w:val="left"/>
      <w:pPr>
        <w:ind w:left="2160" w:hanging="360"/>
      </w:pPr>
      <w:rPr>
        <w:rFonts w:ascii="Wingdings" w:hAnsi="Wingdings" w:hint="default"/>
      </w:rPr>
    </w:lvl>
    <w:lvl w:ilvl="3" w:tplc="D0D2C0AA" w:tentative="1">
      <w:start w:val="1"/>
      <w:numFmt w:val="bullet"/>
      <w:lvlText w:val=""/>
      <w:lvlJc w:val="left"/>
      <w:pPr>
        <w:ind w:left="2880" w:hanging="360"/>
      </w:pPr>
      <w:rPr>
        <w:rFonts w:ascii="Symbol" w:hAnsi="Symbol" w:hint="default"/>
      </w:rPr>
    </w:lvl>
    <w:lvl w:ilvl="4" w:tplc="CF326D3A" w:tentative="1">
      <w:start w:val="1"/>
      <w:numFmt w:val="bullet"/>
      <w:lvlText w:val="o"/>
      <w:lvlJc w:val="left"/>
      <w:pPr>
        <w:ind w:left="3600" w:hanging="360"/>
      </w:pPr>
      <w:rPr>
        <w:rFonts w:ascii="Courier New" w:hAnsi="Courier New" w:cs="Courier New" w:hint="default"/>
      </w:rPr>
    </w:lvl>
    <w:lvl w:ilvl="5" w:tplc="D8A8265C" w:tentative="1">
      <w:start w:val="1"/>
      <w:numFmt w:val="bullet"/>
      <w:lvlText w:val=""/>
      <w:lvlJc w:val="left"/>
      <w:pPr>
        <w:ind w:left="4320" w:hanging="360"/>
      </w:pPr>
      <w:rPr>
        <w:rFonts w:ascii="Wingdings" w:hAnsi="Wingdings" w:hint="default"/>
      </w:rPr>
    </w:lvl>
    <w:lvl w:ilvl="6" w:tplc="144E36DC" w:tentative="1">
      <w:start w:val="1"/>
      <w:numFmt w:val="bullet"/>
      <w:lvlText w:val=""/>
      <w:lvlJc w:val="left"/>
      <w:pPr>
        <w:ind w:left="5040" w:hanging="360"/>
      </w:pPr>
      <w:rPr>
        <w:rFonts w:ascii="Symbol" w:hAnsi="Symbol" w:hint="default"/>
      </w:rPr>
    </w:lvl>
    <w:lvl w:ilvl="7" w:tplc="1DCA1CB8" w:tentative="1">
      <w:start w:val="1"/>
      <w:numFmt w:val="bullet"/>
      <w:lvlText w:val="o"/>
      <w:lvlJc w:val="left"/>
      <w:pPr>
        <w:ind w:left="5760" w:hanging="360"/>
      </w:pPr>
      <w:rPr>
        <w:rFonts w:ascii="Courier New" w:hAnsi="Courier New" w:cs="Courier New" w:hint="default"/>
      </w:rPr>
    </w:lvl>
    <w:lvl w:ilvl="8" w:tplc="325EB50C" w:tentative="1">
      <w:start w:val="1"/>
      <w:numFmt w:val="bullet"/>
      <w:lvlText w:val=""/>
      <w:lvlJc w:val="left"/>
      <w:pPr>
        <w:ind w:left="6480" w:hanging="360"/>
      </w:pPr>
      <w:rPr>
        <w:rFonts w:ascii="Wingdings" w:hAnsi="Wingdings" w:hint="default"/>
      </w:rPr>
    </w:lvl>
  </w:abstractNum>
  <w:abstractNum w:abstractNumId="39" w15:restartNumberingAfterBreak="0">
    <w:nsid w:val="15F64126"/>
    <w:multiLevelType w:val="hybridMultilevel"/>
    <w:tmpl w:val="0F24328A"/>
    <w:lvl w:ilvl="0" w:tplc="BFB87EEC">
      <w:start w:val="1"/>
      <w:numFmt w:val="bullet"/>
      <w:lvlText w:val=""/>
      <w:lvlJc w:val="left"/>
      <w:pPr>
        <w:tabs>
          <w:tab w:val="num" w:pos="720"/>
        </w:tabs>
        <w:ind w:left="720" w:hanging="360"/>
      </w:pPr>
      <w:rPr>
        <w:rFonts w:ascii="Symbol" w:hAnsi="Symbol" w:hint="default"/>
      </w:rPr>
    </w:lvl>
    <w:lvl w:ilvl="1" w:tplc="C6203346">
      <w:start w:val="1"/>
      <w:numFmt w:val="bullet"/>
      <w:lvlText w:val="o"/>
      <w:lvlJc w:val="left"/>
      <w:pPr>
        <w:tabs>
          <w:tab w:val="num" w:pos="1440"/>
        </w:tabs>
        <w:ind w:left="1440" w:hanging="360"/>
      </w:pPr>
      <w:rPr>
        <w:rFonts w:ascii="Courier New" w:hAnsi="Courier New" w:cs="Courier New" w:hint="default"/>
      </w:rPr>
    </w:lvl>
    <w:lvl w:ilvl="2" w:tplc="96605782" w:tentative="1">
      <w:start w:val="1"/>
      <w:numFmt w:val="bullet"/>
      <w:lvlText w:val=""/>
      <w:lvlJc w:val="left"/>
      <w:pPr>
        <w:tabs>
          <w:tab w:val="num" w:pos="2160"/>
        </w:tabs>
        <w:ind w:left="2160" w:hanging="360"/>
      </w:pPr>
      <w:rPr>
        <w:rFonts w:ascii="Wingdings" w:hAnsi="Wingdings" w:hint="default"/>
      </w:rPr>
    </w:lvl>
    <w:lvl w:ilvl="3" w:tplc="AB16DB62" w:tentative="1">
      <w:start w:val="1"/>
      <w:numFmt w:val="bullet"/>
      <w:lvlText w:val=""/>
      <w:lvlJc w:val="left"/>
      <w:pPr>
        <w:tabs>
          <w:tab w:val="num" w:pos="2880"/>
        </w:tabs>
        <w:ind w:left="2880" w:hanging="360"/>
      </w:pPr>
      <w:rPr>
        <w:rFonts w:ascii="Symbol" w:hAnsi="Symbol" w:hint="default"/>
      </w:rPr>
    </w:lvl>
    <w:lvl w:ilvl="4" w:tplc="DAAEE812" w:tentative="1">
      <w:start w:val="1"/>
      <w:numFmt w:val="bullet"/>
      <w:lvlText w:val="o"/>
      <w:lvlJc w:val="left"/>
      <w:pPr>
        <w:tabs>
          <w:tab w:val="num" w:pos="3600"/>
        </w:tabs>
        <w:ind w:left="3600" w:hanging="360"/>
      </w:pPr>
      <w:rPr>
        <w:rFonts w:ascii="Courier New" w:hAnsi="Courier New" w:cs="Courier New" w:hint="default"/>
      </w:rPr>
    </w:lvl>
    <w:lvl w:ilvl="5" w:tplc="86E68910" w:tentative="1">
      <w:start w:val="1"/>
      <w:numFmt w:val="bullet"/>
      <w:lvlText w:val=""/>
      <w:lvlJc w:val="left"/>
      <w:pPr>
        <w:tabs>
          <w:tab w:val="num" w:pos="4320"/>
        </w:tabs>
        <w:ind w:left="4320" w:hanging="360"/>
      </w:pPr>
      <w:rPr>
        <w:rFonts w:ascii="Wingdings" w:hAnsi="Wingdings" w:hint="default"/>
      </w:rPr>
    </w:lvl>
    <w:lvl w:ilvl="6" w:tplc="A43883E6" w:tentative="1">
      <w:start w:val="1"/>
      <w:numFmt w:val="bullet"/>
      <w:lvlText w:val=""/>
      <w:lvlJc w:val="left"/>
      <w:pPr>
        <w:tabs>
          <w:tab w:val="num" w:pos="5040"/>
        </w:tabs>
        <w:ind w:left="5040" w:hanging="360"/>
      </w:pPr>
      <w:rPr>
        <w:rFonts w:ascii="Symbol" w:hAnsi="Symbol" w:hint="default"/>
      </w:rPr>
    </w:lvl>
    <w:lvl w:ilvl="7" w:tplc="AD6E0370" w:tentative="1">
      <w:start w:val="1"/>
      <w:numFmt w:val="bullet"/>
      <w:lvlText w:val="o"/>
      <w:lvlJc w:val="left"/>
      <w:pPr>
        <w:tabs>
          <w:tab w:val="num" w:pos="5760"/>
        </w:tabs>
        <w:ind w:left="5760" w:hanging="360"/>
      </w:pPr>
      <w:rPr>
        <w:rFonts w:ascii="Courier New" w:hAnsi="Courier New" w:cs="Courier New" w:hint="default"/>
      </w:rPr>
    </w:lvl>
    <w:lvl w:ilvl="8" w:tplc="38D487F4"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6DC2E74"/>
    <w:multiLevelType w:val="hybridMultilevel"/>
    <w:tmpl w:val="A0EACD7A"/>
    <w:lvl w:ilvl="0" w:tplc="971A692A">
      <w:start w:val="1"/>
      <w:numFmt w:val="bullet"/>
      <w:lvlText w:val=""/>
      <w:lvlJc w:val="left"/>
      <w:pPr>
        <w:ind w:left="720" w:hanging="360"/>
      </w:pPr>
      <w:rPr>
        <w:rFonts w:ascii="Symbol" w:hAnsi="Symbol" w:hint="default"/>
        <w:sz w:val="22"/>
      </w:rPr>
    </w:lvl>
    <w:lvl w:ilvl="1" w:tplc="D9CC06F4" w:tentative="1">
      <w:start w:val="1"/>
      <w:numFmt w:val="bullet"/>
      <w:lvlText w:val="o"/>
      <w:lvlJc w:val="left"/>
      <w:pPr>
        <w:ind w:left="1440" w:hanging="360"/>
      </w:pPr>
      <w:rPr>
        <w:rFonts w:ascii="Courier New" w:hAnsi="Courier New" w:cs="Courier New" w:hint="default"/>
      </w:rPr>
    </w:lvl>
    <w:lvl w:ilvl="2" w:tplc="3A3EB560" w:tentative="1">
      <w:start w:val="1"/>
      <w:numFmt w:val="bullet"/>
      <w:lvlText w:val=""/>
      <w:lvlJc w:val="left"/>
      <w:pPr>
        <w:ind w:left="2160" w:hanging="360"/>
      </w:pPr>
      <w:rPr>
        <w:rFonts w:ascii="Wingdings" w:hAnsi="Wingdings" w:hint="default"/>
      </w:rPr>
    </w:lvl>
    <w:lvl w:ilvl="3" w:tplc="D6C4C2CE" w:tentative="1">
      <w:start w:val="1"/>
      <w:numFmt w:val="bullet"/>
      <w:lvlText w:val=""/>
      <w:lvlJc w:val="left"/>
      <w:pPr>
        <w:ind w:left="2880" w:hanging="360"/>
      </w:pPr>
      <w:rPr>
        <w:rFonts w:ascii="Symbol" w:hAnsi="Symbol" w:hint="default"/>
      </w:rPr>
    </w:lvl>
    <w:lvl w:ilvl="4" w:tplc="CAE09B64" w:tentative="1">
      <w:start w:val="1"/>
      <w:numFmt w:val="bullet"/>
      <w:lvlText w:val="o"/>
      <w:lvlJc w:val="left"/>
      <w:pPr>
        <w:ind w:left="3600" w:hanging="360"/>
      </w:pPr>
      <w:rPr>
        <w:rFonts w:ascii="Courier New" w:hAnsi="Courier New" w:cs="Courier New" w:hint="default"/>
      </w:rPr>
    </w:lvl>
    <w:lvl w:ilvl="5" w:tplc="B838AD54" w:tentative="1">
      <w:start w:val="1"/>
      <w:numFmt w:val="bullet"/>
      <w:lvlText w:val=""/>
      <w:lvlJc w:val="left"/>
      <w:pPr>
        <w:ind w:left="4320" w:hanging="360"/>
      </w:pPr>
      <w:rPr>
        <w:rFonts w:ascii="Wingdings" w:hAnsi="Wingdings" w:hint="default"/>
      </w:rPr>
    </w:lvl>
    <w:lvl w:ilvl="6" w:tplc="FC88A660" w:tentative="1">
      <w:start w:val="1"/>
      <w:numFmt w:val="bullet"/>
      <w:lvlText w:val=""/>
      <w:lvlJc w:val="left"/>
      <w:pPr>
        <w:ind w:left="5040" w:hanging="360"/>
      </w:pPr>
      <w:rPr>
        <w:rFonts w:ascii="Symbol" w:hAnsi="Symbol" w:hint="default"/>
      </w:rPr>
    </w:lvl>
    <w:lvl w:ilvl="7" w:tplc="31781E8A" w:tentative="1">
      <w:start w:val="1"/>
      <w:numFmt w:val="bullet"/>
      <w:lvlText w:val="o"/>
      <w:lvlJc w:val="left"/>
      <w:pPr>
        <w:ind w:left="5760" w:hanging="360"/>
      </w:pPr>
      <w:rPr>
        <w:rFonts w:ascii="Courier New" w:hAnsi="Courier New" w:cs="Courier New" w:hint="default"/>
      </w:rPr>
    </w:lvl>
    <w:lvl w:ilvl="8" w:tplc="19566BD4" w:tentative="1">
      <w:start w:val="1"/>
      <w:numFmt w:val="bullet"/>
      <w:lvlText w:val=""/>
      <w:lvlJc w:val="left"/>
      <w:pPr>
        <w:ind w:left="6480" w:hanging="360"/>
      </w:pPr>
      <w:rPr>
        <w:rFonts w:ascii="Wingdings" w:hAnsi="Wingdings" w:hint="default"/>
      </w:rPr>
    </w:lvl>
  </w:abstractNum>
  <w:abstractNum w:abstractNumId="41" w15:restartNumberingAfterBreak="0">
    <w:nsid w:val="17357D07"/>
    <w:multiLevelType w:val="hybridMultilevel"/>
    <w:tmpl w:val="CDCE03FE"/>
    <w:lvl w:ilvl="0" w:tplc="06BA4CB4">
      <w:start w:val="1"/>
      <w:numFmt w:val="bullet"/>
      <w:lvlText w:val=""/>
      <w:lvlJc w:val="left"/>
      <w:pPr>
        <w:ind w:left="720" w:hanging="360"/>
      </w:pPr>
      <w:rPr>
        <w:rFonts w:ascii="Symbol" w:hAnsi="Symbol" w:hint="default"/>
      </w:rPr>
    </w:lvl>
    <w:lvl w:ilvl="1" w:tplc="0DAE4EE6" w:tentative="1">
      <w:start w:val="1"/>
      <w:numFmt w:val="bullet"/>
      <w:lvlText w:val="o"/>
      <w:lvlJc w:val="left"/>
      <w:pPr>
        <w:ind w:left="1440" w:hanging="360"/>
      </w:pPr>
      <w:rPr>
        <w:rFonts w:ascii="Courier New" w:hAnsi="Courier New" w:cs="Courier New" w:hint="default"/>
      </w:rPr>
    </w:lvl>
    <w:lvl w:ilvl="2" w:tplc="2A9AC02E" w:tentative="1">
      <w:start w:val="1"/>
      <w:numFmt w:val="bullet"/>
      <w:lvlText w:val=""/>
      <w:lvlJc w:val="left"/>
      <w:pPr>
        <w:ind w:left="2160" w:hanging="360"/>
      </w:pPr>
      <w:rPr>
        <w:rFonts w:ascii="Wingdings" w:hAnsi="Wingdings" w:hint="default"/>
      </w:rPr>
    </w:lvl>
    <w:lvl w:ilvl="3" w:tplc="42A4DD68" w:tentative="1">
      <w:start w:val="1"/>
      <w:numFmt w:val="bullet"/>
      <w:lvlText w:val=""/>
      <w:lvlJc w:val="left"/>
      <w:pPr>
        <w:ind w:left="2880" w:hanging="360"/>
      </w:pPr>
      <w:rPr>
        <w:rFonts w:ascii="Symbol" w:hAnsi="Symbol" w:hint="default"/>
      </w:rPr>
    </w:lvl>
    <w:lvl w:ilvl="4" w:tplc="791812E8" w:tentative="1">
      <w:start w:val="1"/>
      <w:numFmt w:val="bullet"/>
      <w:lvlText w:val="o"/>
      <w:lvlJc w:val="left"/>
      <w:pPr>
        <w:ind w:left="3600" w:hanging="360"/>
      </w:pPr>
      <w:rPr>
        <w:rFonts w:ascii="Courier New" w:hAnsi="Courier New" w:cs="Courier New" w:hint="default"/>
      </w:rPr>
    </w:lvl>
    <w:lvl w:ilvl="5" w:tplc="D07CD9BE" w:tentative="1">
      <w:start w:val="1"/>
      <w:numFmt w:val="bullet"/>
      <w:lvlText w:val=""/>
      <w:lvlJc w:val="left"/>
      <w:pPr>
        <w:ind w:left="4320" w:hanging="360"/>
      </w:pPr>
      <w:rPr>
        <w:rFonts w:ascii="Wingdings" w:hAnsi="Wingdings" w:hint="default"/>
      </w:rPr>
    </w:lvl>
    <w:lvl w:ilvl="6" w:tplc="F4DC5C02" w:tentative="1">
      <w:start w:val="1"/>
      <w:numFmt w:val="bullet"/>
      <w:lvlText w:val=""/>
      <w:lvlJc w:val="left"/>
      <w:pPr>
        <w:ind w:left="5040" w:hanging="360"/>
      </w:pPr>
      <w:rPr>
        <w:rFonts w:ascii="Symbol" w:hAnsi="Symbol" w:hint="default"/>
      </w:rPr>
    </w:lvl>
    <w:lvl w:ilvl="7" w:tplc="2A02D832" w:tentative="1">
      <w:start w:val="1"/>
      <w:numFmt w:val="bullet"/>
      <w:lvlText w:val="o"/>
      <w:lvlJc w:val="left"/>
      <w:pPr>
        <w:ind w:left="5760" w:hanging="360"/>
      </w:pPr>
      <w:rPr>
        <w:rFonts w:ascii="Courier New" w:hAnsi="Courier New" w:cs="Courier New" w:hint="default"/>
      </w:rPr>
    </w:lvl>
    <w:lvl w:ilvl="8" w:tplc="B37AF4F2" w:tentative="1">
      <w:start w:val="1"/>
      <w:numFmt w:val="bullet"/>
      <w:lvlText w:val=""/>
      <w:lvlJc w:val="left"/>
      <w:pPr>
        <w:ind w:left="6480" w:hanging="360"/>
      </w:pPr>
      <w:rPr>
        <w:rFonts w:ascii="Wingdings" w:hAnsi="Wingdings" w:hint="default"/>
      </w:rPr>
    </w:lvl>
  </w:abstractNum>
  <w:abstractNum w:abstractNumId="42" w15:restartNumberingAfterBreak="0">
    <w:nsid w:val="178746CB"/>
    <w:multiLevelType w:val="hybridMultilevel"/>
    <w:tmpl w:val="1E6469F0"/>
    <w:lvl w:ilvl="0" w:tplc="62E42FFC">
      <w:start w:val="1"/>
      <w:numFmt w:val="bullet"/>
      <w:lvlText w:val=""/>
      <w:lvlJc w:val="left"/>
      <w:pPr>
        <w:tabs>
          <w:tab w:val="num" w:pos="1134"/>
        </w:tabs>
        <w:ind w:left="1134" w:hanging="567"/>
      </w:pPr>
      <w:rPr>
        <w:rFonts w:ascii="Symbol" w:hAnsi="Symbol" w:hint="default"/>
      </w:rPr>
    </w:lvl>
    <w:lvl w:ilvl="1" w:tplc="2EA2886C" w:tentative="1">
      <w:start w:val="1"/>
      <w:numFmt w:val="bullet"/>
      <w:lvlText w:val="o"/>
      <w:lvlJc w:val="left"/>
      <w:pPr>
        <w:tabs>
          <w:tab w:val="num" w:pos="1440"/>
        </w:tabs>
        <w:ind w:left="1440" w:hanging="360"/>
      </w:pPr>
      <w:rPr>
        <w:rFonts w:ascii="Courier New" w:hAnsi="Courier New" w:cs="Courier New" w:hint="default"/>
      </w:rPr>
    </w:lvl>
    <w:lvl w:ilvl="2" w:tplc="05C47600" w:tentative="1">
      <w:start w:val="1"/>
      <w:numFmt w:val="bullet"/>
      <w:lvlText w:val=""/>
      <w:lvlJc w:val="left"/>
      <w:pPr>
        <w:tabs>
          <w:tab w:val="num" w:pos="2160"/>
        </w:tabs>
        <w:ind w:left="2160" w:hanging="360"/>
      </w:pPr>
      <w:rPr>
        <w:rFonts w:ascii="Wingdings" w:hAnsi="Wingdings" w:hint="default"/>
      </w:rPr>
    </w:lvl>
    <w:lvl w:ilvl="3" w:tplc="7592DCD8" w:tentative="1">
      <w:start w:val="1"/>
      <w:numFmt w:val="bullet"/>
      <w:lvlText w:val=""/>
      <w:lvlJc w:val="left"/>
      <w:pPr>
        <w:tabs>
          <w:tab w:val="num" w:pos="2880"/>
        </w:tabs>
        <w:ind w:left="2880" w:hanging="360"/>
      </w:pPr>
      <w:rPr>
        <w:rFonts w:ascii="Symbol" w:hAnsi="Symbol" w:hint="default"/>
      </w:rPr>
    </w:lvl>
    <w:lvl w:ilvl="4" w:tplc="E1948C7A" w:tentative="1">
      <w:start w:val="1"/>
      <w:numFmt w:val="bullet"/>
      <w:lvlText w:val="o"/>
      <w:lvlJc w:val="left"/>
      <w:pPr>
        <w:tabs>
          <w:tab w:val="num" w:pos="3600"/>
        </w:tabs>
        <w:ind w:left="3600" w:hanging="360"/>
      </w:pPr>
      <w:rPr>
        <w:rFonts w:ascii="Courier New" w:hAnsi="Courier New" w:cs="Courier New" w:hint="default"/>
      </w:rPr>
    </w:lvl>
    <w:lvl w:ilvl="5" w:tplc="A7CA7436" w:tentative="1">
      <w:start w:val="1"/>
      <w:numFmt w:val="bullet"/>
      <w:lvlText w:val=""/>
      <w:lvlJc w:val="left"/>
      <w:pPr>
        <w:tabs>
          <w:tab w:val="num" w:pos="4320"/>
        </w:tabs>
        <w:ind w:left="4320" w:hanging="360"/>
      </w:pPr>
      <w:rPr>
        <w:rFonts w:ascii="Wingdings" w:hAnsi="Wingdings" w:hint="default"/>
      </w:rPr>
    </w:lvl>
    <w:lvl w:ilvl="6" w:tplc="B198B3B0" w:tentative="1">
      <w:start w:val="1"/>
      <w:numFmt w:val="bullet"/>
      <w:lvlText w:val=""/>
      <w:lvlJc w:val="left"/>
      <w:pPr>
        <w:tabs>
          <w:tab w:val="num" w:pos="5040"/>
        </w:tabs>
        <w:ind w:left="5040" w:hanging="360"/>
      </w:pPr>
      <w:rPr>
        <w:rFonts w:ascii="Symbol" w:hAnsi="Symbol" w:hint="default"/>
      </w:rPr>
    </w:lvl>
    <w:lvl w:ilvl="7" w:tplc="D6F06CAA" w:tentative="1">
      <w:start w:val="1"/>
      <w:numFmt w:val="bullet"/>
      <w:lvlText w:val="o"/>
      <w:lvlJc w:val="left"/>
      <w:pPr>
        <w:tabs>
          <w:tab w:val="num" w:pos="5760"/>
        </w:tabs>
        <w:ind w:left="5760" w:hanging="360"/>
      </w:pPr>
      <w:rPr>
        <w:rFonts w:ascii="Courier New" w:hAnsi="Courier New" w:cs="Courier New" w:hint="default"/>
      </w:rPr>
    </w:lvl>
    <w:lvl w:ilvl="8" w:tplc="5384459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9C71633"/>
    <w:multiLevelType w:val="hybridMultilevel"/>
    <w:tmpl w:val="C736F24C"/>
    <w:lvl w:ilvl="0" w:tplc="3C48015C">
      <w:start w:val="1"/>
      <w:numFmt w:val="bullet"/>
      <w:lvlText w:val=""/>
      <w:lvlJc w:val="left"/>
      <w:pPr>
        <w:ind w:left="720" w:hanging="360"/>
      </w:pPr>
      <w:rPr>
        <w:rFonts w:ascii="Symbol" w:hAnsi="Symbol" w:hint="default"/>
        <w:sz w:val="22"/>
      </w:rPr>
    </w:lvl>
    <w:lvl w:ilvl="1" w:tplc="78D62D62" w:tentative="1">
      <w:start w:val="1"/>
      <w:numFmt w:val="bullet"/>
      <w:lvlText w:val="o"/>
      <w:lvlJc w:val="left"/>
      <w:pPr>
        <w:ind w:left="1440" w:hanging="360"/>
      </w:pPr>
      <w:rPr>
        <w:rFonts w:ascii="Courier New" w:hAnsi="Courier New" w:cs="Courier New" w:hint="default"/>
      </w:rPr>
    </w:lvl>
    <w:lvl w:ilvl="2" w:tplc="6D9EA0D6" w:tentative="1">
      <w:start w:val="1"/>
      <w:numFmt w:val="bullet"/>
      <w:lvlText w:val=""/>
      <w:lvlJc w:val="left"/>
      <w:pPr>
        <w:ind w:left="2160" w:hanging="360"/>
      </w:pPr>
      <w:rPr>
        <w:rFonts w:ascii="Wingdings" w:hAnsi="Wingdings" w:hint="default"/>
      </w:rPr>
    </w:lvl>
    <w:lvl w:ilvl="3" w:tplc="E02A6B98" w:tentative="1">
      <w:start w:val="1"/>
      <w:numFmt w:val="bullet"/>
      <w:lvlText w:val=""/>
      <w:lvlJc w:val="left"/>
      <w:pPr>
        <w:ind w:left="2880" w:hanging="360"/>
      </w:pPr>
      <w:rPr>
        <w:rFonts w:ascii="Symbol" w:hAnsi="Symbol" w:hint="default"/>
      </w:rPr>
    </w:lvl>
    <w:lvl w:ilvl="4" w:tplc="0862D632" w:tentative="1">
      <w:start w:val="1"/>
      <w:numFmt w:val="bullet"/>
      <w:lvlText w:val="o"/>
      <w:lvlJc w:val="left"/>
      <w:pPr>
        <w:ind w:left="3600" w:hanging="360"/>
      </w:pPr>
      <w:rPr>
        <w:rFonts w:ascii="Courier New" w:hAnsi="Courier New" w:cs="Courier New" w:hint="default"/>
      </w:rPr>
    </w:lvl>
    <w:lvl w:ilvl="5" w:tplc="E9CCC4D0" w:tentative="1">
      <w:start w:val="1"/>
      <w:numFmt w:val="bullet"/>
      <w:lvlText w:val=""/>
      <w:lvlJc w:val="left"/>
      <w:pPr>
        <w:ind w:left="4320" w:hanging="360"/>
      </w:pPr>
      <w:rPr>
        <w:rFonts w:ascii="Wingdings" w:hAnsi="Wingdings" w:hint="default"/>
      </w:rPr>
    </w:lvl>
    <w:lvl w:ilvl="6" w:tplc="0226CEF4" w:tentative="1">
      <w:start w:val="1"/>
      <w:numFmt w:val="bullet"/>
      <w:lvlText w:val=""/>
      <w:lvlJc w:val="left"/>
      <w:pPr>
        <w:ind w:left="5040" w:hanging="360"/>
      </w:pPr>
      <w:rPr>
        <w:rFonts w:ascii="Symbol" w:hAnsi="Symbol" w:hint="default"/>
      </w:rPr>
    </w:lvl>
    <w:lvl w:ilvl="7" w:tplc="E3F8277C" w:tentative="1">
      <w:start w:val="1"/>
      <w:numFmt w:val="bullet"/>
      <w:lvlText w:val="o"/>
      <w:lvlJc w:val="left"/>
      <w:pPr>
        <w:ind w:left="5760" w:hanging="360"/>
      </w:pPr>
      <w:rPr>
        <w:rFonts w:ascii="Courier New" w:hAnsi="Courier New" w:cs="Courier New" w:hint="default"/>
      </w:rPr>
    </w:lvl>
    <w:lvl w:ilvl="8" w:tplc="05A87DCE" w:tentative="1">
      <w:start w:val="1"/>
      <w:numFmt w:val="bullet"/>
      <w:lvlText w:val=""/>
      <w:lvlJc w:val="left"/>
      <w:pPr>
        <w:ind w:left="6480" w:hanging="360"/>
      </w:pPr>
      <w:rPr>
        <w:rFonts w:ascii="Wingdings" w:hAnsi="Wingdings" w:hint="default"/>
      </w:rPr>
    </w:lvl>
  </w:abstractNum>
  <w:abstractNum w:abstractNumId="44" w15:restartNumberingAfterBreak="0">
    <w:nsid w:val="1AB252B6"/>
    <w:multiLevelType w:val="hybridMultilevel"/>
    <w:tmpl w:val="A1221AF2"/>
    <w:lvl w:ilvl="0" w:tplc="0220FBFE">
      <w:start w:val="1"/>
      <w:numFmt w:val="bullet"/>
      <w:lvlText w:val=""/>
      <w:lvlJc w:val="left"/>
      <w:pPr>
        <w:ind w:left="720" w:hanging="360"/>
      </w:pPr>
      <w:rPr>
        <w:rFonts w:ascii="Symbol" w:hAnsi="Symbol" w:hint="default"/>
      </w:rPr>
    </w:lvl>
    <w:lvl w:ilvl="1" w:tplc="EFC29432" w:tentative="1">
      <w:start w:val="1"/>
      <w:numFmt w:val="bullet"/>
      <w:lvlText w:val="o"/>
      <w:lvlJc w:val="left"/>
      <w:pPr>
        <w:ind w:left="1440" w:hanging="360"/>
      </w:pPr>
      <w:rPr>
        <w:rFonts w:ascii="Courier New" w:hAnsi="Courier New" w:cs="Courier New" w:hint="default"/>
      </w:rPr>
    </w:lvl>
    <w:lvl w:ilvl="2" w:tplc="A684A6A6" w:tentative="1">
      <w:start w:val="1"/>
      <w:numFmt w:val="bullet"/>
      <w:lvlText w:val=""/>
      <w:lvlJc w:val="left"/>
      <w:pPr>
        <w:ind w:left="2160" w:hanging="360"/>
      </w:pPr>
      <w:rPr>
        <w:rFonts w:ascii="Wingdings" w:hAnsi="Wingdings" w:hint="default"/>
      </w:rPr>
    </w:lvl>
    <w:lvl w:ilvl="3" w:tplc="D24E737A" w:tentative="1">
      <w:start w:val="1"/>
      <w:numFmt w:val="bullet"/>
      <w:lvlText w:val=""/>
      <w:lvlJc w:val="left"/>
      <w:pPr>
        <w:ind w:left="2880" w:hanging="360"/>
      </w:pPr>
      <w:rPr>
        <w:rFonts w:ascii="Symbol" w:hAnsi="Symbol" w:hint="default"/>
      </w:rPr>
    </w:lvl>
    <w:lvl w:ilvl="4" w:tplc="9454EC70" w:tentative="1">
      <w:start w:val="1"/>
      <w:numFmt w:val="bullet"/>
      <w:lvlText w:val="o"/>
      <w:lvlJc w:val="left"/>
      <w:pPr>
        <w:ind w:left="3600" w:hanging="360"/>
      </w:pPr>
      <w:rPr>
        <w:rFonts w:ascii="Courier New" w:hAnsi="Courier New" w:cs="Courier New" w:hint="default"/>
      </w:rPr>
    </w:lvl>
    <w:lvl w:ilvl="5" w:tplc="1A440FD0" w:tentative="1">
      <w:start w:val="1"/>
      <w:numFmt w:val="bullet"/>
      <w:lvlText w:val=""/>
      <w:lvlJc w:val="left"/>
      <w:pPr>
        <w:ind w:left="4320" w:hanging="360"/>
      </w:pPr>
      <w:rPr>
        <w:rFonts w:ascii="Wingdings" w:hAnsi="Wingdings" w:hint="default"/>
      </w:rPr>
    </w:lvl>
    <w:lvl w:ilvl="6" w:tplc="20606CE2" w:tentative="1">
      <w:start w:val="1"/>
      <w:numFmt w:val="bullet"/>
      <w:lvlText w:val=""/>
      <w:lvlJc w:val="left"/>
      <w:pPr>
        <w:ind w:left="5040" w:hanging="360"/>
      </w:pPr>
      <w:rPr>
        <w:rFonts w:ascii="Symbol" w:hAnsi="Symbol" w:hint="default"/>
      </w:rPr>
    </w:lvl>
    <w:lvl w:ilvl="7" w:tplc="990CCE06" w:tentative="1">
      <w:start w:val="1"/>
      <w:numFmt w:val="bullet"/>
      <w:lvlText w:val="o"/>
      <w:lvlJc w:val="left"/>
      <w:pPr>
        <w:ind w:left="5760" w:hanging="360"/>
      </w:pPr>
      <w:rPr>
        <w:rFonts w:ascii="Courier New" w:hAnsi="Courier New" w:cs="Courier New" w:hint="default"/>
      </w:rPr>
    </w:lvl>
    <w:lvl w:ilvl="8" w:tplc="4524CAAC" w:tentative="1">
      <w:start w:val="1"/>
      <w:numFmt w:val="bullet"/>
      <w:lvlText w:val=""/>
      <w:lvlJc w:val="left"/>
      <w:pPr>
        <w:ind w:left="6480" w:hanging="360"/>
      </w:pPr>
      <w:rPr>
        <w:rFonts w:ascii="Wingdings" w:hAnsi="Wingdings" w:hint="default"/>
      </w:rPr>
    </w:lvl>
  </w:abstractNum>
  <w:abstractNum w:abstractNumId="45" w15:restartNumberingAfterBreak="0">
    <w:nsid w:val="1AB42C22"/>
    <w:multiLevelType w:val="hybridMultilevel"/>
    <w:tmpl w:val="C4E2A350"/>
    <w:lvl w:ilvl="0" w:tplc="8A9CFA78">
      <w:start w:val="1"/>
      <w:numFmt w:val="bullet"/>
      <w:lvlText w:val=""/>
      <w:lvlJc w:val="left"/>
      <w:pPr>
        <w:tabs>
          <w:tab w:val="num" w:pos="567"/>
        </w:tabs>
        <w:ind w:left="567" w:hanging="567"/>
      </w:pPr>
      <w:rPr>
        <w:rFonts w:ascii="Symbol" w:hAnsi="Symbol" w:hint="default"/>
      </w:rPr>
    </w:lvl>
    <w:lvl w:ilvl="1" w:tplc="7B587702" w:tentative="1">
      <w:start w:val="1"/>
      <w:numFmt w:val="bullet"/>
      <w:lvlText w:val="o"/>
      <w:lvlJc w:val="left"/>
      <w:pPr>
        <w:tabs>
          <w:tab w:val="num" w:pos="1440"/>
        </w:tabs>
        <w:ind w:left="1440" w:hanging="360"/>
      </w:pPr>
      <w:rPr>
        <w:rFonts w:ascii="Courier New" w:hAnsi="Courier New" w:hint="default"/>
      </w:rPr>
    </w:lvl>
    <w:lvl w:ilvl="2" w:tplc="F0F21450" w:tentative="1">
      <w:start w:val="1"/>
      <w:numFmt w:val="bullet"/>
      <w:lvlText w:val=""/>
      <w:lvlJc w:val="left"/>
      <w:pPr>
        <w:tabs>
          <w:tab w:val="num" w:pos="2160"/>
        </w:tabs>
        <w:ind w:left="2160" w:hanging="360"/>
      </w:pPr>
      <w:rPr>
        <w:rFonts w:ascii="Wingdings" w:hAnsi="Wingdings" w:hint="default"/>
      </w:rPr>
    </w:lvl>
    <w:lvl w:ilvl="3" w:tplc="A9BC2DAE" w:tentative="1">
      <w:start w:val="1"/>
      <w:numFmt w:val="bullet"/>
      <w:lvlText w:val=""/>
      <w:lvlJc w:val="left"/>
      <w:pPr>
        <w:tabs>
          <w:tab w:val="num" w:pos="2880"/>
        </w:tabs>
        <w:ind w:left="2880" w:hanging="360"/>
      </w:pPr>
      <w:rPr>
        <w:rFonts w:ascii="Symbol" w:hAnsi="Symbol" w:hint="default"/>
      </w:rPr>
    </w:lvl>
    <w:lvl w:ilvl="4" w:tplc="B13607CE" w:tentative="1">
      <w:start w:val="1"/>
      <w:numFmt w:val="bullet"/>
      <w:lvlText w:val="o"/>
      <w:lvlJc w:val="left"/>
      <w:pPr>
        <w:tabs>
          <w:tab w:val="num" w:pos="3600"/>
        </w:tabs>
        <w:ind w:left="3600" w:hanging="360"/>
      </w:pPr>
      <w:rPr>
        <w:rFonts w:ascii="Courier New" w:hAnsi="Courier New" w:hint="default"/>
      </w:rPr>
    </w:lvl>
    <w:lvl w:ilvl="5" w:tplc="D48C8046" w:tentative="1">
      <w:start w:val="1"/>
      <w:numFmt w:val="bullet"/>
      <w:lvlText w:val=""/>
      <w:lvlJc w:val="left"/>
      <w:pPr>
        <w:tabs>
          <w:tab w:val="num" w:pos="4320"/>
        </w:tabs>
        <w:ind w:left="4320" w:hanging="360"/>
      </w:pPr>
      <w:rPr>
        <w:rFonts w:ascii="Wingdings" w:hAnsi="Wingdings" w:hint="default"/>
      </w:rPr>
    </w:lvl>
    <w:lvl w:ilvl="6" w:tplc="722450B4" w:tentative="1">
      <w:start w:val="1"/>
      <w:numFmt w:val="bullet"/>
      <w:lvlText w:val=""/>
      <w:lvlJc w:val="left"/>
      <w:pPr>
        <w:tabs>
          <w:tab w:val="num" w:pos="5040"/>
        </w:tabs>
        <w:ind w:left="5040" w:hanging="360"/>
      </w:pPr>
      <w:rPr>
        <w:rFonts w:ascii="Symbol" w:hAnsi="Symbol" w:hint="default"/>
      </w:rPr>
    </w:lvl>
    <w:lvl w:ilvl="7" w:tplc="A2400C94" w:tentative="1">
      <w:start w:val="1"/>
      <w:numFmt w:val="bullet"/>
      <w:lvlText w:val="o"/>
      <w:lvlJc w:val="left"/>
      <w:pPr>
        <w:tabs>
          <w:tab w:val="num" w:pos="5760"/>
        </w:tabs>
        <w:ind w:left="5760" w:hanging="360"/>
      </w:pPr>
      <w:rPr>
        <w:rFonts w:ascii="Courier New" w:hAnsi="Courier New" w:hint="default"/>
      </w:rPr>
    </w:lvl>
    <w:lvl w:ilvl="8" w:tplc="D542DDAC"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AD35219"/>
    <w:multiLevelType w:val="hybridMultilevel"/>
    <w:tmpl w:val="F8B4C9B8"/>
    <w:lvl w:ilvl="0" w:tplc="C1848474">
      <w:start w:val="1"/>
      <w:numFmt w:val="bullet"/>
      <w:lvlText w:val=""/>
      <w:lvlJc w:val="left"/>
      <w:pPr>
        <w:ind w:left="720" w:hanging="360"/>
      </w:pPr>
      <w:rPr>
        <w:rFonts w:ascii="Symbol" w:hAnsi="Symbol" w:hint="default"/>
      </w:rPr>
    </w:lvl>
    <w:lvl w:ilvl="1" w:tplc="FC4CB0E4" w:tentative="1">
      <w:start w:val="1"/>
      <w:numFmt w:val="bullet"/>
      <w:lvlText w:val="o"/>
      <w:lvlJc w:val="left"/>
      <w:pPr>
        <w:ind w:left="1440" w:hanging="360"/>
      </w:pPr>
      <w:rPr>
        <w:rFonts w:ascii="Courier New" w:hAnsi="Courier New" w:hint="default"/>
      </w:rPr>
    </w:lvl>
    <w:lvl w:ilvl="2" w:tplc="8CD8E634" w:tentative="1">
      <w:start w:val="1"/>
      <w:numFmt w:val="bullet"/>
      <w:lvlText w:val=""/>
      <w:lvlJc w:val="left"/>
      <w:pPr>
        <w:ind w:left="2160" w:hanging="360"/>
      </w:pPr>
      <w:rPr>
        <w:rFonts w:ascii="Wingdings" w:hAnsi="Wingdings" w:hint="default"/>
      </w:rPr>
    </w:lvl>
    <w:lvl w:ilvl="3" w:tplc="F35E133C" w:tentative="1">
      <w:start w:val="1"/>
      <w:numFmt w:val="bullet"/>
      <w:lvlText w:val=""/>
      <w:lvlJc w:val="left"/>
      <w:pPr>
        <w:ind w:left="2880" w:hanging="360"/>
      </w:pPr>
      <w:rPr>
        <w:rFonts w:ascii="Symbol" w:hAnsi="Symbol" w:hint="default"/>
      </w:rPr>
    </w:lvl>
    <w:lvl w:ilvl="4" w:tplc="5FA6EAD0" w:tentative="1">
      <w:start w:val="1"/>
      <w:numFmt w:val="bullet"/>
      <w:lvlText w:val="o"/>
      <w:lvlJc w:val="left"/>
      <w:pPr>
        <w:ind w:left="3600" w:hanging="360"/>
      </w:pPr>
      <w:rPr>
        <w:rFonts w:ascii="Courier New" w:hAnsi="Courier New" w:hint="default"/>
      </w:rPr>
    </w:lvl>
    <w:lvl w:ilvl="5" w:tplc="EBA81340" w:tentative="1">
      <w:start w:val="1"/>
      <w:numFmt w:val="bullet"/>
      <w:lvlText w:val=""/>
      <w:lvlJc w:val="left"/>
      <w:pPr>
        <w:ind w:left="4320" w:hanging="360"/>
      </w:pPr>
      <w:rPr>
        <w:rFonts w:ascii="Wingdings" w:hAnsi="Wingdings" w:hint="default"/>
      </w:rPr>
    </w:lvl>
    <w:lvl w:ilvl="6" w:tplc="F8764F2C" w:tentative="1">
      <w:start w:val="1"/>
      <w:numFmt w:val="bullet"/>
      <w:lvlText w:val=""/>
      <w:lvlJc w:val="left"/>
      <w:pPr>
        <w:ind w:left="5040" w:hanging="360"/>
      </w:pPr>
      <w:rPr>
        <w:rFonts w:ascii="Symbol" w:hAnsi="Symbol" w:hint="default"/>
      </w:rPr>
    </w:lvl>
    <w:lvl w:ilvl="7" w:tplc="D098DC1C" w:tentative="1">
      <w:start w:val="1"/>
      <w:numFmt w:val="bullet"/>
      <w:lvlText w:val="o"/>
      <w:lvlJc w:val="left"/>
      <w:pPr>
        <w:ind w:left="5760" w:hanging="360"/>
      </w:pPr>
      <w:rPr>
        <w:rFonts w:ascii="Courier New" w:hAnsi="Courier New" w:hint="default"/>
      </w:rPr>
    </w:lvl>
    <w:lvl w:ilvl="8" w:tplc="BE9AAACE" w:tentative="1">
      <w:start w:val="1"/>
      <w:numFmt w:val="bullet"/>
      <w:lvlText w:val=""/>
      <w:lvlJc w:val="left"/>
      <w:pPr>
        <w:ind w:left="6480" w:hanging="360"/>
      </w:pPr>
      <w:rPr>
        <w:rFonts w:ascii="Wingdings" w:hAnsi="Wingdings" w:hint="default"/>
      </w:rPr>
    </w:lvl>
  </w:abstractNum>
  <w:abstractNum w:abstractNumId="47" w15:restartNumberingAfterBreak="0">
    <w:nsid w:val="1B1D5579"/>
    <w:multiLevelType w:val="hybridMultilevel"/>
    <w:tmpl w:val="934C541A"/>
    <w:lvl w:ilvl="0" w:tplc="CA5A6C64">
      <w:start w:val="1"/>
      <w:numFmt w:val="bullet"/>
      <w:lvlText w:val=""/>
      <w:lvlJc w:val="left"/>
      <w:pPr>
        <w:ind w:left="720" w:hanging="360"/>
      </w:pPr>
      <w:rPr>
        <w:rFonts w:ascii="Symbol" w:hAnsi="Symbol" w:hint="default"/>
      </w:rPr>
    </w:lvl>
    <w:lvl w:ilvl="1" w:tplc="C226E7C4" w:tentative="1">
      <w:start w:val="1"/>
      <w:numFmt w:val="bullet"/>
      <w:lvlText w:val="o"/>
      <w:lvlJc w:val="left"/>
      <w:pPr>
        <w:ind w:left="1440" w:hanging="360"/>
      </w:pPr>
      <w:rPr>
        <w:rFonts w:ascii="Courier New" w:hAnsi="Courier New" w:cs="Courier New" w:hint="default"/>
      </w:rPr>
    </w:lvl>
    <w:lvl w:ilvl="2" w:tplc="0D2249E4" w:tentative="1">
      <w:start w:val="1"/>
      <w:numFmt w:val="bullet"/>
      <w:lvlText w:val=""/>
      <w:lvlJc w:val="left"/>
      <w:pPr>
        <w:ind w:left="2160" w:hanging="360"/>
      </w:pPr>
      <w:rPr>
        <w:rFonts w:ascii="Wingdings" w:hAnsi="Wingdings" w:hint="default"/>
      </w:rPr>
    </w:lvl>
    <w:lvl w:ilvl="3" w:tplc="388CE06C" w:tentative="1">
      <w:start w:val="1"/>
      <w:numFmt w:val="bullet"/>
      <w:lvlText w:val=""/>
      <w:lvlJc w:val="left"/>
      <w:pPr>
        <w:ind w:left="2880" w:hanging="360"/>
      </w:pPr>
      <w:rPr>
        <w:rFonts w:ascii="Symbol" w:hAnsi="Symbol" w:hint="default"/>
      </w:rPr>
    </w:lvl>
    <w:lvl w:ilvl="4" w:tplc="1B40A8D2" w:tentative="1">
      <w:start w:val="1"/>
      <w:numFmt w:val="bullet"/>
      <w:lvlText w:val="o"/>
      <w:lvlJc w:val="left"/>
      <w:pPr>
        <w:ind w:left="3600" w:hanging="360"/>
      </w:pPr>
      <w:rPr>
        <w:rFonts w:ascii="Courier New" w:hAnsi="Courier New" w:cs="Courier New" w:hint="default"/>
      </w:rPr>
    </w:lvl>
    <w:lvl w:ilvl="5" w:tplc="117C14EC" w:tentative="1">
      <w:start w:val="1"/>
      <w:numFmt w:val="bullet"/>
      <w:lvlText w:val=""/>
      <w:lvlJc w:val="left"/>
      <w:pPr>
        <w:ind w:left="4320" w:hanging="360"/>
      </w:pPr>
      <w:rPr>
        <w:rFonts w:ascii="Wingdings" w:hAnsi="Wingdings" w:hint="default"/>
      </w:rPr>
    </w:lvl>
    <w:lvl w:ilvl="6" w:tplc="236AE84C" w:tentative="1">
      <w:start w:val="1"/>
      <w:numFmt w:val="bullet"/>
      <w:lvlText w:val=""/>
      <w:lvlJc w:val="left"/>
      <w:pPr>
        <w:ind w:left="5040" w:hanging="360"/>
      </w:pPr>
      <w:rPr>
        <w:rFonts w:ascii="Symbol" w:hAnsi="Symbol" w:hint="default"/>
      </w:rPr>
    </w:lvl>
    <w:lvl w:ilvl="7" w:tplc="609472F2" w:tentative="1">
      <w:start w:val="1"/>
      <w:numFmt w:val="bullet"/>
      <w:lvlText w:val="o"/>
      <w:lvlJc w:val="left"/>
      <w:pPr>
        <w:ind w:left="5760" w:hanging="360"/>
      </w:pPr>
      <w:rPr>
        <w:rFonts w:ascii="Courier New" w:hAnsi="Courier New" w:cs="Courier New" w:hint="default"/>
      </w:rPr>
    </w:lvl>
    <w:lvl w:ilvl="8" w:tplc="1CE4D888" w:tentative="1">
      <w:start w:val="1"/>
      <w:numFmt w:val="bullet"/>
      <w:lvlText w:val=""/>
      <w:lvlJc w:val="left"/>
      <w:pPr>
        <w:ind w:left="6480" w:hanging="360"/>
      </w:pPr>
      <w:rPr>
        <w:rFonts w:ascii="Wingdings" w:hAnsi="Wingdings" w:hint="default"/>
      </w:rPr>
    </w:lvl>
  </w:abstractNum>
  <w:abstractNum w:abstractNumId="48" w15:restartNumberingAfterBreak="0">
    <w:nsid w:val="1BC04569"/>
    <w:multiLevelType w:val="hybridMultilevel"/>
    <w:tmpl w:val="08A60C98"/>
    <w:lvl w:ilvl="0" w:tplc="DD5CAD7C">
      <w:start w:val="1"/>
      <w:numFmt w:val="bullet"/>
      <w:lvlText w:val=""/>
      <w:lvlJc w:val="left"/>
      <w:pPr>
        <w:tabs>
          <w:tab w:val="num" w:pos="567"/>
        </w:tabs>
        <w:ind w:left="567" w:hanging="567"/>
      </w:pPr>
      <w:rPr>
        <w:rFonts w:ascii="Symbol" w:hAnsi="Symbol" w:hint="default"/>
      </w:rPr>
    </w:lvl>
    <w:lvl w:ilvl="1" w:tplc="15908076" w:tentative="1">
      <w:start w:val="1"/>
      <w:numFmt w:val="bullet"/>
      <w:lvlText w:val="o"/>
      <w:lvlJc w:val="left"/>
      <w:pPr>
        <w:tabs>
          <w:tab w:val="num" w:pos="1500"/>
        </w:tabs>
        <w:ind w:left="1500" w:hanging="360"/>
      </w:pPr>
      <w:rPr>
        <w:rFonts w:ascii="Courier New" w:hAnsi="Courier New" w:hint="default"/>
      </w:rPr>
    </w:lvl>
    <w:lvl w:ilvl="2" w:tplc="942CE60C" w:tentative="1">
      <w:start w:val="1"/>
      <w:numFmt w:val="bullet"/>
      <w:lvlText w:val=""/>
      <w:lvlJc w:val="left"/>
      <w:pPr>
        <w:tabs>
          <w:tab w:val="num" w:pos="2220"/>
        </w:tabs>
        <w:ind w:left="2220" w:hanging="360"/>
      </w:pPr>
      <w:rPr>
        <w:rFonts w:ascii="Wingdings" w:hAnsi="Wingdings" w:hint="default"/>
      </w:rPr>
    </w:lvl>
    <w:lvl w:ilvl="3" w:tplc="17822D2E" w:tentative="1">
      <w:start w:val="1"/>
      <w:numFmt w:val="bullet"/>
      <w:lvlText w:val=""/>
      <w:lvlJc w:val="left"/>
      <w:pPr>
        <w:tabs>
          <w:tab w:val="num" w:pos="2940"/>
        </w:tabs>
        <w:ind w:left="2940" w:hanging="360"/>
      </w:pPr>
      <w:rPr>
        <w:rFonts w:ascii="Symbol" w:hAnsi="Symbol" w:hint="default"/>
      </w:rPr>
    </w:lvl>
    <w:lvl w:ilvl="4" w:tplc="9F762076" w:tentative="1">
      <w:start w:val="1"/>
      <w:numFmt w:val="bullet"/>
      <w:lvlText w:val="o"/>
      <w:lvlJc w:val="left"/>
      <w:pPr>
        <w:tabs>
          <w:tab w:val="num" w:pos="3660"/>
        </w:tabs>
        <w:ind w:left="3660" w:hanging="360"/>
      </w:pPr>
      <w:rPr>
        <w:rFonts w:ascii="Courier New" w:hAnsi="Courier New" w:hint="default"/>
      </w:rPr>
    </w:lvl>
    <w:lvl w:ilvl="5" w:tplc="8FD2E20C" w:tentative="1">
      <w:start w:val="1"/>
      <w:numFmt w:val="bullet"/>
      <w:lvlText w:val=""/>
      <w:lvlJc w:val="left"/>
      <w:pPr>
        <w:tabs>
          <w:tab w:val="num" w:pos="4380"/>
        </w:tabs>
        <w:ind w:left="4380" w:hanging="360"/>
      </w:pPr>
      <w:rPr>
        <w:rFonts w:ascii="Wingdings" w:hAnsi="Wingdings" w:hint="default"/>
      </w:rPr>
    </w:lvl>
    <w:lvl w:ilvl="6" w:tplc="AC5CDE5E" w:tentative="1">
      <w:start w:val="1"/>
      <w:numFmt w:val="bullet"/>
      <w:lvlText w:val=""/>
      <w:lvlJc w:val="left"/>
      <w:pPr>
        <w:tabs>
          <w:tab w:val="num" w:pos="5100"/>
        </w:tabs>
        <w:ind w:left="5100" w:hanging="360"/>
      </w:pPr>
      <w:rPr>
        <w:rFonts w:ascii="Symbol" w:hAnsi="Symbol" w:hint="default"/>
      </w:rPr>
    </w:lvl>
    <w:lvl w:ilvl="7" w:tplc="4AFAA7C8" w:tentative="1">
      <w:start w:val="1"/>
      <w:numFmt w:val="bullet"/>
      <w:lvlText w:val="o"/>
      <w:lvlJc w:val="left"/>
      <w:pPr>
        <w:tabs>
          <w:tab w:val="num" w:pos="5820"/>
        </w:tabs>
        <w:ind w:left="5820" w:hanging="360"/>
      </w:pPr>
      <w:rPr>
        <w:rFonts w:ascii="Courier New" w:hAnsi="Courier New" w:hint="default"/>
      </w:rPr>
    </w:lvl>
    <w:lvl w:ilvl="8" w:tplc="50B20B54" w:tentative="1">
      <w:start w:val="1"/>
      <w:numFmt w:val="bullet"/>
      <w:lvlText w:val=""/>
      <w:lvlJc w:val="left"/>
      <w:pPr>
        <w:tabs>
          <w:tab w:val="num" w:pos="6540"/>
        </w:tabs>
        <w:ind w:left="6540" w:hanging="360"/>
      </w:pPr>
      <w:rPr>
        <w:rFonts w:ascii="Wingdings" w:hAnsi="Wingdings" w:hint="default"/>
      </w:rPr>
    </w:lvl>
  </w:abstractNum>
  <w:abstractNum w:abstractNumId="49" w15:restartNumberingAfterBreak="0">
    <w:nsid w:val="1BFB2AF9"/>
    <w:multiLevelType w:val="hybridMultilevel"/>
    <w:tmpl w:val="FC6686BA"/>
    <w:lvl w:ilvl="0" w:tplc="381A8F66">
      <w:start w:val="1"/>
      <w:numFmt w:val="bullet"/>
      <w:lvlText w:val=""/>
      <w:lvlJc w:val="left"/>
      <w:pPr>
        <w:tabs>
          <w:tab w:val="num" w:pos="567"/>
        </w:tabs>
        <w:ind w:left="567" w:hanging="567"/>
      </w:pPr>
      <w:rPr>
        <w:rFonts w:ascii="Symbol" w:hAnsi="Symbol" w:hint="default"/>
      </w:rPr>
    </w:lvl>
    <w:lvl w:ilvl="1" w:tplc="E1E00EAA">
      <w:start w:val="1"/>
      <w:numFmt w:val="bullet"/>
      <w:lvlText w:val=""/>
      <w:lvlJc w:val="left"/>
      <w:pPr>
        <w:tabs>
          <w:tab w:val="num" w:pos="1440"/>
        </w:tabs>
        <w:ind w:left="1440" w:hanging="360"/>
      </w:pPr>
      <w:rPr>
        <w:rFonts w:ascii="Symbol" w:hAnsi="Symbol" w:hint="default"/>
      </w:rPr>
    </w:lvl>
    <w:lvl w:ilvl="2" w:tplc="01069FD0" w:tentative="1">
      <w:start w:val="1"/>
      <w:numFmt w:val="bullet"/>
      <w:lvlText w:val=""/>
      <w:lvlJc w:val="left"/>
      <w:pPr>
        <w:tabs>
          <w:tab w:val="num" w:pos="2160"/>
        </w:tabs>
        <w:ind w:left="2160" w:hanging="360"/>
      </w:pPr>
      <w:rPr>
        <w:rFonts w:ascii="Wingdings" w:hAnsi="Wingdings" w:hint="default"/>
      </w:rPr>
    </w:lvl>
    <w:lvl w:ilvl="3" w:tplc="872052D8" w:tentative="1">
      <w:start w:val="1"/>
      <w:numFmt w:val="bullet"/>
      <w:lvlText w:val=""/>
      <w:lvlJc w:val="left"/>
      <w:pPr>
        <w:tabs>
          <w:tab w:val="num" w:pos="2880"/>
        </w:tabs>
        <w:ind w:left="2880" w:hanging="360"/>
      </w:pPr>
      <w:rPr>
        <w:rFonts w:ascii="Symbol" w:hAnsi="Symbol" w:hint="default"/>
      </w:rPr>
    </w:lvl>
    <w:lvl w:ilvl="4" w:tplc="8D76910A" w:tentative="1">
      <w:start w:val="1"/>
      <w:numFmt w:val="bullet"/>
      <w:lvlText w:val="o"/>
      <w:lvlJc w:val="left"/>
      <w:pPr>
        <w:tabs>
          <w:tab w:val="num" w:pos="3600"/>
        </w:tabs>
        <w:ind w:left="3600" w:hanging="360"/>
      </w:pPr>
      <w:rPr>
        <w:rFonts w:ascii="Courier New" w:hAnsi="Courier New" w:hint="default"/>
      </w:rPr>
    </w:lvl>
    <w:lvl w:ilvl="5" w:tplc="AD8EB62C" w:tentative="1">
      <w:start w:val="1"/>
      <w:numFmt w:val="bullet"/>
      <w:lvlText w:val=""/>
      <w:lvlJc w:val="left"/>
      <w:pPr>
        <w:tabs>
          <w:tab w:val="num" w:pos="4320"/>
        </w:tabs>
        <w:ind w:left="4320" w:hanging="360"/>
      </w:pPr>
      <w:rPr>
        <w:rFonts w:ascii="Wingdings" w:hAnsi="Wingdings" w:hint="default"/>
      </w:rPr>
    </w:lvl>
    <w:lvl w:ilvl="6" w:tplc="244CD2CE" w:tentative="1">
      <w:start w:val="1"/>
      <w:numFmt w:val="bullet"/>
      <w:lvlText w:val=""/>
      <w:lvlJc w:val="left"/>
      <w:pPr>
        <w:tabs>
          <w:tab w:val="num" w:pos="5040"/>
        </w:tabs>
        <w:ind w:left="5040" w:hanging="360"/>
      </w:pPr>
      <w:rPr>
        <w:rFonts w:ascii="Symbol" w:hAnsi="Symbol" w:hint="default"/>
      </w:rPr>
    </w:lvl>
    <w:lvl w:ilvl="7" w:tplc="B4A01388" w:tentative="1">
      <w:start w:val="1"/>
      <w:numFmt w:val="bullet"/>
      <w:lvlText w:val="o"/>
      <w:lvlJc w:val="left"/>
      <w:pPr>
        <w:tabs>
          <w:tab w:val="num" w:pos="5760"/>
        </w:tabs>
        <w:ind w:left="5760" w:hanging="360"/>
      </w:pPr>
      <w:rPr>
        <w:rFonts w:ascii="Courier New" w:hAnsi="Courier New" w:hint="default"/>
      </w:rPr>
    </w:lvl>
    <w:lvl w:ilvl="8" w:tplc="B0F07456"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CF7762D"/>
    <w:multiLevelType w:val="hybridMultilevel"/>
    <w:tmpl w:val="F02C540A"/>
    <w:lvl w:ilvl="0" w:tplc="13F87E70">
      <w:start w:val="1"/>
      <w:numFmt w:val="decimal"/>
      <w:lvlText w:val="%1."/>
      <w:lvlJc w:val="left"/>
      <w:pPr>
        <w:ind w:left="720" w:hanging="360"/>
      </w:pPr>
    </w:lvl>
    <w:lvl w:ilvl="1" w:tplc="0AD84B98" w:tentative="1">
      <w:start w:val="1"/>
      <w:numFmt w:val="lowerLetter"/>
      <w:lvlText w:val="%2."/>
      <w:lvlJc w:val="left"/>
      <w:pPr>
        <w:ind w:left="1440" w:hanging="360"/>
      </w:pPr>
    </w:lvl>
    <w:lvl w:ilvl="2" w:tplc="63D2D12E" w:tentative="1">
      <w:start w:val="1"/>
      <w:numFmt w:val="lowerRoman"/>
      <w:lvlText w:val="%3."/>
      <w:lvlJc w:val="right"/>
      <w:pPr>
        <w:ind w:left="2160" w:hanging="180"/>
      </w:pPr>
    </w:lvl>
    <w:lvl w:ilvl="3" w:tplc="5DC495F6" w:tentative="1">
      <w:start w:val="1"/>
      <w:numFmt w:val="decimal"/>
      <w:lvlText w:val="%4."/>
      <w:lvlJc w:val="left"/>
      <w:pPr>
        <w:ind w:left="2880" w:hanging="360"/>
      </w:pPr>
    </w:lvl>
    <w:lvl w:ilvl="4" w:tplc="748CAF88" w:tentative="1">
      <w:start w:val="1"/>
      <w:numFmt w:val="lowerLetter"/>
      <w:lvlText w:val="%5."/>
      <w:lvlJc w:val="left"/>
      <w:pPr>
        <w:ind w:left="3600" w:hanging="360"/>
      </w:pPr>
    </w:lvl>
    <w:lvl w:ilvl="5" w:tplc="A43C20F4" w:tentative="1">
      <w:start w:val="1"/>
      <w:numFmt w:val="lowerRoman"/>
      <w:lvlText w:val="%6."/>
      <w:lvlJc w:val="right"/>
      <w:pPr>
        <w:ind w:left="4320" w:hanging="180"/>
      </w:pPr>
    </w:lvl>
    <w:lvl w:ilvl="6" w:tplc="7A080C32" w:tentative="1">
      <w:start w:val="1"/>
      <w:numFmt w:val="decimal"/>
      <w:lvlText w:val="%7."/>
      <w:lvlJc w:val="left"/>
      <w:pPr>
        <w:ind w:left="5040" w:hanging="360"/>
      </w:pPr>
    </w:lvl>
    <w:lvl w:ilvl="7" w:tplc="312E143C" w:tentative="1">
      <w:start w:val="1"/>
      <w:numFmt w:val="lowerLetter"/>
      <w:lvlText w:val="%8."/>
      <w:lvlJc w:val="left"/>
      <w:pPr>
        <w:ind w:left="5760" w:hanging="360"/>
      </w:pPr>
    </w:lvl>
    <w:lvl w:ilvl="8" w:tplc="BAA849A6" w:tentative="1">
      <w:start w:val="1"/>
      <w:numFmt w:val="lowerRoman"/>
      <w:lvlText w:val="%9."/>
      <w:lvlJc w:val="right"/>
      <w:pPr>
        <w:ind w:left="6480" w:hanging="180"/>
      </w:pPr>
    </w:lvl>
  </w:abstractNum>
  <w:abstractNum w:abstractNumId="51" w15:restartNumberingAfterBreak="0">
    <w:nsid w:val="1D01735D"/>
    <w:multiLevelType w:val="hybridMultilevel"/>
    <w:tmpl w:val="19FEA312"/>
    <w:lvl w:ilvl="0" w:tplc="87B831F0">
      <w:start w:val="14"/>
      <w:numFmt w:val="decimal"/>
      <w:lvlText w:val="%1."/>
      <w:lvlJc w:val="left"/>
      <w:pPr>
        <w:ind w:left="720" w:hanging="360"/>
      </w:pPr>
      <w:rPr>
        <w:rFonts w:hint="default"/>
        <w:b w:val="0"/>
      </w:rPr>
    </w:lvl>
    <w:lvl w:ilvl="1" w:tplc="113C7F5A" w:tentative="1">
      <w:start w:val="1"/>
      <w:numFmt w:val="lowerLetter"/>
      <w:lvlText w:val="%2."/>
      <w:lvlJc w:val="left"/>
      <w:pPr>
        <w:ind w:left="1440" w:hanging="360"/>
      </w:pPr>
    </w:lvl>
    <w:lvl w:ilvl="2" w:tplc="26B2CCA0" w:tentative="1">
      <w:start w:val="1"/>
      <w:numFmt w:val="lowerRoman"/>
      <w:lvlText w:val="%3."/>
      <w:lvlJc w:val="right"/>
      <w:pPr>
        <w:ind w:left="2160" w:hanging="180"/>
      </w:pPr>
    </w:lvl>
    <w:lvl w:ilvl="3" w:tplc="B9E408BE" w:tentative="1">
      <w:start w:val="1"/>
      <w:numFmt w:val="decimal"/>
      <w:lvlText w:val="%4."/>
      <w:lvlJc w:val="left"/>
      <w:pPr>
        <w:ind w:left="2880" w:hanging="360"/>
      </w:pPr>
    </w:lvl>
    <w:lvl w:ilvl="4" w:tplc="9F785098" w:tentative="1">
      <w:start w:val="1"/>
      <w:numFmt w:val="lowerLetter"/>
      <w:lvlText w:val="%5."/>
      <w:lvlJc w:val="left"/>
      <w:pPr>
        <w:ind w:left="3600" w:hanging="360"/>
      </w:pPr>
    </w:lvl>
    <w:lvl w:ilvl="5" w:tplc="4B44F924" w:tentative="1">
      <w:start w:val="1"/>
      <w:numFmt w:val="lowerRoman"/>
      <w:lvlText w:val="%6."/>
      <w:lvlJc w:val="right"/>
      <w:pPr>
        <w:ind w:left="4320" w:hanging="180"/>
      </w:pPr>
    </w:lvl>
    <w:lvl w:ilvl="6" w:tplc="924E3CA8" w:tentative="1">
      <w:start w:val="1"/>
      <w:numFmt w:val="decimal"/>
      <w:lvlText w:val="%7."/>
      <w:lvlJc w:val="left"/>
      <w:pPr>
        <w:ind w:left="5040" w:hanging="360"/>
      </w:pPr>
    </w:lvl>
    <w:lvl w:ilvl="7" w:tplc="7004E692" w:tentative="1">
      <w:start w:val="1"/>
      <w:numFmt w:val="lowerLetter"/>
      <w:lvlText w:val="%8."/>
      <w:lvlJc w:val="left"/>
      <w:pPr>
        <w:ind w:left="5760" w:hanging="360"/>
      </w:pPr>
    </w:lvl>
    <w:lvl w:ilvl="8" w:tplc="1A769074" w:tentative="1">
      <w:start w:val="1"/>
      <w:numFmt w:val="lowerRoman"/>
      <w:lvlText w:val="%9."/>
      <w:lvlJc w:val="right"/>
      <w:pPr>
        <w:ind w:left="6480" w:hanging="180"/>
      </w:pPr>
    </w:lvl>
  </w:abstractNum>
  <w:abstractNum w:abstractNumId="52" w15:restartNumberingAfterBreak="0">
    <w:nsid w:val="1D8521C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1D9D4868"/>
    <w:multiLevelType w:val="hybridMultilevel"/>
    <w:tmpl w:val="3CFE5C9C"/>
    <w:lvl w:ilvl="0" w:tplc="4B08BFB2">
      <w:start w:val="1"/>
      <w:numFmt w:val="bullet"/>
      <w:lvlText w:val=""/>
      <w:lvlJc w:val="left"/>
      <w:pPr>
        <w:tabs>
          <w:tab w:val="num" w:pos="720"/>
        </w:tabs>
        <w:ind w:left="720" w:hanging="360"/>
      </w:pPr>
      <w:rPr>
        <w:rFonts w:ascii="Symbol" w:hAnsi="Symbol" w:hint="default"/>
      </w:rPr>
    </w:lvl>
    <w:lvl w:ilvl="1" w:tplc="8ACC512C">
      <w:start w:val="1"/>
      <w:numFmt w:val="bullet"/>
      <w:lvlText w:val=""/>
      <w:lvlJc w:val="left"/>
      <w:pPr>
        <w:tabs>
          <w:tab w:val="num" w:pos="1440"/>
        </w:tabs>
        <w:ind w:left="1440" w:hanging="360"/>
      </w:pPr>
      <w:rPr>
        <w:rFonts w:ascii="Symbol" w:hAnsi="Symbol" w:hint="default"/>
      </w:rPr>
    </w:lvl>
    <w:lvl w:ilvl="2" w:tplc="63844674" w:tentative="1">
      <w:start w:val="1"/>
      <w:numFmt w:val="bullet"/>
      <w:lvlText w:val=""/>
      <w:lvlJc w:val="left"/>
      <w:pPr>
        <w:tabs>
          <w:tab w:val="num" w:pos="2160"/>
        </w:tabs>
        <w:ind w:left="2160" w:hanging="360"/>
      </w:pPr>
      <w:rPr>
        <w:rFonts w:ascii="Wingdings" w:hAnsi="Wingdings" w:hint="default"/>
      </w:rPr>
    </w:lvl>
    <w:lvl w:ilvl="3" w:tplc="36A6D174" w:tentative="1">
      <w:start w:val="1"/>
      <w:numFmt w:val="bullet"/>
      <w:lvlText w:val=""/>
      <w:lvlJc w:val="left"/>
      <w:pPr>
        <w:tabs>
          <w:tab w:val="num" w:pos="2880"/>
        </w:tabs>
        <w:ind w:left="2880" w:hanging="360"/>
      </w:pPr>
      <w:rPr>
        <w:rFonts w:ascii="Symbol" w:hAnsi="Symbol" w:hint="default"/>
      </w:rPr>
    </w:lvl>
    <w:lvl w:ilvl="4" w:tplc="EA4C28C8" w:tentative="1">
      <w:start w:val="1"/>
      <w:numFmt w:val="bullet"/>
      <w:lvlText w:val="o"/>
      <w:lvlJc w:val="left"/>
      <w:pPr>
        <w:tabs>
          <w:tab w:val="num" w:pos="3600"/>
        </w:tabs>
        <w:ind w:left="3600" w:hanging="360"/>
      </w:pPr>
      <w:rPr>
        <w:rFonts w:ascii="Courier New" w:hAnsi="Courier New" w:hint="default"/>
      </w:rPr>
    </w:lvl>
    <w:lvl w:ilvl="5" w:tplc="0874CB42" w:tentative="1">
      <w:start w:val="1"/>
      <w:numFmt w:val="bullet"/>
      <w:lvlText w:val=""/>
      <w:lvlJc w:val="left"/>
      <w:pPr>
        <w:tabs>
          <w:tab w:val="num" w:pos="4320"/>
        </w:tabs>
        <w:ind w:left="4320" w:hanging="360"/>
      </w:pPr>
      <w:rPr>
        <w:rFonts w:ascii="Wingdings" w:hAnsi="Wingdings" w:hint="default"/>
      </w:rPr>
    </w:lvl>
    <w:lvl w:ilvl="6" w:tplc="348A223E" w:tentative="1">
      <w:start w:val="1"/>
      <w:numFmt w:val="bullet"/>
      <w:lvlText w:val=""/>
      <w:lvlJc w:val="left"/>
      <w:pPr>
        <w:tabs>
          <w:tab w:val="num" w:pos="5040"/>
        </w:tabs>
        <w:ind w:left="5040" w:hanging="360"/>
      </w:pPr>
      <w:rPr>
        <w:rFonts w:ascii="Symbol" w:hAnsi="Symbol" w:hint="default"/>
      </w:rPr>
    </w:lvl>
    <w:lvl w:ilvl="7" w:tplc="2FD8EAFA" w:tentative="1">
      <w:start w:val="1"/>
      <w:numFmt w:val="bullet"/>
      <w:lvlText w:val="o"/>
      <w:lvlJc w:val="left"/>
      <w:pPr>
        <w:tabs>
          <w:tab w:val="num" w:pos="5760"/>
        </w:tabs>
        <w:ind w:left="5760" w:hanging="360"/>
      </w:pPr>
      <w:rPr>
        <w:rFonts w:ascii="Courier New" w:hAnsi="Courier New" w:hint="default"/>
      </w:rPr>
    </w:lvl>
    <w:lvl w:ilvl="8" w:tplc="1D5CA496"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1DF914CD"/>
    <w:multiLevelType w:val="hybridMultilevel"/>
    <w:tmpl w:val="64AEC576"/>
    <w:lvl w:ilvl="0" w:tplc="64684668">
      <w:start w:val="1"/>
      <w:numFmt w:val="decimal"/>
      <w:lvlText w:val="%1."/>
      <w:lvlJc w:val="left"/>
      <w:pPr>
        <w:ind w:left="1080" w:hanging="360"/>
      </w:pPr>
      <w:rPr>
        <w:rFonts w:hint="default"/>
      </w:rPr>
    </w:lvl>
    <w:lvl w:ilvl="1" w:tplc="9B1E7A56" w:tentative="1">
      <w:start w:val="1"/>
      <w:numFmt w:val="lowerLetter"/>
      <w:lvlText w:val="%2."/>
      <w:lvlJc w:val="left"/>
      <w:pPr>
        <w:ind w:left="1800" w:hanging="360"/>
      </w:pPr>
    </w:lvl>
    <w:lvl w:ilvl="2" w:tplc="ABA2FD08" w:tentative="1">
      <w:start w:val="1"/>
      <w:numFmt w:val="lowerRoman"/>
      <w:lvlText w:val="%3."/>
      <w:lvlJc w:val="right"/>
      <w:pPr>
        <w:ind w:left="2520" w:hanging="180"/>
      </w:pPr>
    </w:lvl>
    <w:lvl w:ilvl="3" w:tplc="CBDE9242" w:tentative="1">
      <w:start w:val="1"/>
      <w:numFmt w:val="decimal"/>
      <w:lvlText w:val="%4."/>
      <w:lvlJc w:val="left"/>
      <w:pPr>
        <w:ind w:left="3240" w:hanging="360"/>
      </w:pPr>
    </w:lvl>
    <w:lvl w:ilvl="4" w:tplc="57AA7CD4" w:tentative="1">
      <w:start w:val="1"/>
      <w:numFmt w:val="lowerLetter"/>
      <w:lvlText w:val="%5."/>
      <w:lvlJc w:val="left"/>
      <w:pPr>
        <w:ind w:left="3960" w:hanging="360"/>
      </w:pPr>
    </w:lvl>
    <w:lvl w:ilvl="5" w:tplc="6FF68FC2" w:tentative="1">
      <w:start w:val="1"/>
      <w:numFmt w:val="lowerRoman"/>
      <w:lvlText w:val="%6."/>
      <w:lvlJc w:val="right"/>
      <w:pPr>
        <w:ind w:left="4680" w:hanging="180"/>
      </w:pPr>
    </w:lvl>
    <w:lvl w:ilvl="6" w:tplc="97C61588" w:tentative="1">
      <w:start w:val="1"/>
      <w:numFmt w:val="decimal"/>
      <w:lvlText w:val="%7."/>
      <w:lvlJc w:val="left"/>
      <w:pPr>
        <w:ind w:left="5400" w:hanging="360"/>
      </w:pPr>
    </w:lvl>
    <w:lvl w:ilvl="7" w:tplc="4DB4405C" w:tentative="1">
      <w:start w:val="1"/>
      <w:numFmt w:val="lowerLetter"/>
      <w:lvlText w:val="%8."/>
      <w:lvlJc w:val="left"/>
      <w:pPr>
        <w:ind w:left="6120" w:hanging="360"/>
      </w:pPr>
    </w:lvl>
    <w:lvl w:ilvl="8" w:tplc="5880B3B0" w:tentative="1">
      <w:start w:val="1"/>
      <w:numFmt w:val="lowerRoman"/>
      <w:lvlText w:val="%9."/>
      <w:lvlJc w:val="right"/>
      <w:pPr>
        <w:ind w:left="6840" w:hanging="180"/>
      </w:pPr>
    </w:lvl>
  </w:abstractNum>
  <w:abstractNum w:abstractNumId="55" w15:restartNumberingAfterBreak="0">
    <w:nsid w:val="1E5F4841"/>
    <w:multiLevelType w:val="hybridMultilevel"/>
    <w:tmpl w:val="6ABAB9A0"/>
    <w:lvl w:ilvl="0" w:tplc="C4441552">
      <w:start w:val="1"/>
      <w:numFmt w:val="bullet"/>
      <w:lvlText w:val=""/>
      <w:lvlJc w:val="left"/>
      <w:pPr>
        <w:ind w:left="720" w:hanging="360"/>
      </w:pPr>
      <w:rPr>
        <w:rFonts w:ascii="Symbol" w:hAnsi="Symbol" w:hint="default"/>
      </w:rPr>
    </w:lvl>
    <w:lvl w:ilvl="1" w:tplc="2C68FB4A" w:tentative="1">
      <w:start w:val="1"/>
      <w:numFmt w:val="bullet"/>
      <w:lvlText w:val="o"/>
      <w:lvlJc w:val="left"/>
      <w:pPr>
        <w:ind w:left="1440" w:hanging="360"/>
      </w:pPr>
      <w:rPr>
        <w:rFonts w:ascii="Courier New" w:hAnsi="Courier New" w:cs="Courier New" w:hint="default"/>
      </w:rPr>
    </w:lvl>
    <w:lvl w:ilvl="2" w:tplc="0916EE8E" w:tentative="1">
      <w:start w:val="1"/>
      <w:numFmt w:val="bullet"/>
      <w:lvlText w:val=""/>
      <w:lvlJc w:val="left"/>
      <w:pPr>
        <w:ind w:left="2160" w:hanging="360"/>
      </w:pPr>
      <w:rPr>
        <w:rFonts w:ascii="Wingdings" w:hAnsi="Wingdings" w:hint="default"/>
      </w:rPr>
    </w:lvl>
    <w:lvl w:ilvl="3" w:tplc="7BC6F4B0" w:tentative="1">
      <w:start w:val="1"/>
      <w:numFmt w:val="bullet"/>
      <w:lvlText w:val=""/>
      <w:lvlJc w:val="left"/>
      <w:pPr>
        <w:ind w:left="2880" w:hanging="360"/>
      </w:pPr>
      <w:rPr>
        <w:rFonts w:ascii="Symbol" w:hAnsi="Symbol" w:hint="default"/>
      </w:rPr>
    </w:lvl>
    <w:lvl w:ilvl="4" w:tplc="B75AA0AE" w:tentative="1">
      <w:start w:val="1"/>
      <w:numFmt w:val="bullet"/>
      <w:lvlText w:val="o"/>
      <w:lvlJc w:val="left"/>
      <w:pPr>
        <w:ind w:left="3600" w:hanging="360"/>
      </w:pPr>
      <w:rPr>
        <w:rFonts w:ascii="Courier New" w:hAnsi="Courier New" w:cs="Courier New" w:hint="default"/>
      </w:rPr>
    </w:lvl>
    <w:lvl w:ilvl="5" w:tplc="C48A5592" w:tentative="1">
      <w:start w:val="1"/>
      <w:numFmt w:val="bullet"/>
      <w:lvlText w:val=""/>
      <w:lvlJc w:val="left"/>
      <w:pPr>
        <w:ind w:left="4320" w:hanging="360"/>
      </w:pPr>
      <w:rPr>
        <w:rFonts w:ascii="Wingdings" w:hAnsi="Wingdings" w:hint="default"/>
      </w:rPr>
    </w:lvl>
    <w:lvl w:ilvl="6" w:tplc="17A6B3BE" w:tentative="1">
      <w:start w:val="1"/>
      <w:numFmt w:val="bullet"/>
      <w:lvlText w:val=""/>
      <w:lvlJc w:val="left"/>
      <w:pPr>
        <w:ind w:left="5040" w:hanging="360"/>
      </w:pPr>
      <w:rPr>
        <w:rFonts w:ascii="Symbol" w:hAnsi="Symbol" w:hint="default"/>
      </w:rPr>
    </w:lvl>
    <w:lvl w:ilvl="7" w:tplc="2D86F08A" w:tentative="1">
      <w:start w:val="1"/>
      <w:numFmt w:val="bullet"/>
      <w:lvlText w:val="o"/>
      <w:lvlJc w:val="left"/>
      <w:pPr>
        <w:ind w:left="5760" w:hanging="360"/>
      </w:pPr>
      <w:rPr>
        <w:rFonts w:ascii="Courier New" w:hAnsi="Courier New" w:cs="Courier New" w:hint="default"/>
      </w:rPr>
    </w:lvl>
    <w:lvl w:ilvl="8" w:tplc="90DE235E" w:tentative="1">
      <w:start w:val="1"/>
      <w:numFmt w:val="bullet"/>
      <w:lvlText w:val=""/>
      <w:lvlJc w:val="left"/>
      <w:pPr>
        <w:ind w:left="6480" w:hanging="360"/>
      </w:pPr>
      <w:rPr>
        <w:rFonts w:ascii="Wingdings" w:hAnsi="Wingdings" w:hint="default"/>
      </w:rPr>
    </w:lvl>
  </w:abstractNum>
  <w:abstractNum w:abstractNumId="56" w15:restartNumberingAfterBreak="0">
    <w:nsid w:val="1E9A3BD2"/>
    <w:multiLevelType w:val="hybridMultilevel"/>
    <w:tmpl w:val="A54C05C6"/>
    <w:lvl w:ilvl="0" w:tplc="CDB2A324">
      <w:start w:val="1"/>
      <w:numFmt w:val="decimal"/>
      <w:lvlText w:val="%1)"/>
      <w:lvlJc w:val="left"/>
      <w:pPr>
        <w:tabs>
          <w:tab w:val="num" w:pos="720"/>
        </w:tabs>
        <w:ind w:left="720" w:hanging="360"/>
      </w:pPr>
      <w:rPr>
        <w:rFonts w:cs="Times New Roman" w:hint="default"/>
      </w:rPr>
    </w:lvl>
    <w:lvl w:ilvl="1" w:tplc="2C44BA7E">
      <w:start w:val="7"/>
      <w:numFmt w:val="decimal"/>
      <w:lvlText w:val="%2."/>
      <w:lvlJc w:val="left"/>
      <w:pPr>
        <w:tabs>
          <w:tab w:val="num" w:pos="1440"/>
        </w:tabs>
        <w:ind w:left="1440" w:hanging="360"/>
      </w:pPr>
      <w:rPr>
        <w:rFonts w:cs="Times New Roman" w:hint="default"/>
      </w:rPr>
    </w:lvl>
    <w:lvl w:ilvl="2" w:tplc="FB708A5A" w:tentative="1">
      <w:start w:val="1"/>
      <w:numFmt w:val="lowerRoman"/>
      <w:lvlText w:val="%3."/>
      <w:lvlJc w:val="right"/>
      <w:pPr>
        <w:tabs>
          <w:tab w:val="num" w:pos="2160"/>
        </w:tabs>
        <w:ind w:left="2160" w:hanging="180"/>
      </w:pPr>
      <w:rPr>
        <w:rFonts w:cs="Times New Roman"/>
      </w:rPr>
    </w:lvl>
    <w:lvl w:ilvl="3" w:tplc="0F72E122" w:tentative="1">
      <w:start w:val="1"/>
      <w:numFmt w:val="decimal"/>
      <w:lvlText w:val="%4."/>
      <w:lvlJc w:val="left"/>
      <w:pPr>
        <w:tabs>
          <w:tab w:val="num" w:pos="2880"/>
        </w:tabs>
        <w:ind w:left="2880" w:hanging="360"/>
      </w:pPr>
      <w:rPr>
        <w:rFonts w:cs="Times New Roman"/>
      </w:rPr>
    </w:lvl>
    <w:lvl w:ilvl="4" w:tplc="5B06699E" w:tentative="1">
      <w:start w:val="1"/>
      <w:numFmt w:val="lowerLetter"/>
      <w:lvlText w:val="%5."/>
      <w:lvlJc w:val="left"/>
      <w:pPr>
        <w:tabs>
          <w:tab w:val="num" w:pos="3600"/>
        </w:tabs>
        <w:ind w:left="3600" w:hanging="360"/>
      </w:pPr>
      <w:rPr>
        <w:rFonts w:cs="Times New Roman"/>
      </w:rPr>
    </w:lvl>
    <w:lvl w:ilvl="5" w:tplc="51440E0E" w:tentative="1">
      <w:start w:val="1"/>
      <w:numFmt w:val="lowerRoman"/>
      <w:lvlText w:val="%6."/>
      <w:lvlJc w:val="right"/>
      <w:pPr>
        <w:tabs>
          <w:tab w:val="num" w:pos="4320"/>
        </w:tabs>
        <w:ind w:left="4320" w:hanging="180"/>
      </w:pPr>
      <w:rPr>
        <w:rFonts w:cs="Times New Roman"/>
      </w:rPr>
    </w:lvl>
    <w:lvl w:ilvl="6" w:tplc="8C16A840" w:tentative="1">
      <w:start w:val="1"/>
      <w:numFmt w:val="decimal"/>
      <w:lvlText w:val="%7."/>
      <w:lvlJc w:val="left"/>
      <w:pPr>
        <w:tabs>
          <w:tab w:val="num" w:pos="5040"/>
        </w:tabs>
        <w:ind w:left="5040" w:hanging="360"/>
      </w:pPr>
      <w:rPr>
        <w:rFonts w:cs="Times New Roman"/>
      </w:rPr>
    </w:lvl>
    <w:lvl w:ilvl="7" w:tplc="28E415E4" w:tentative="1">
      <w:start w:val="1"/>
      <w:numFmt w:val="lowerLetter"/>
      <w:lvlText w:val="%8."/>
      <w:lvlJc w:val="left"/>
      <w:pPr>
        <w:tabs>
          <w:tab w:val="num" w:pos="5760"/>
        </w:tabs>
        <w:ind w:left="5760" w:hanging="360"/>
      </w:pPr>
      <w:rPr>
        <w:rFonts w:cs="Times New Roman"/>
      </w:rPr>
    </w:lvl>
    <w:lvl w:ilvl="8" w:tplc="0E16E3C0" w:tentative="1">
      <w:start w:val="1"/>
      <w:numFmt w:val="lowerRoman"/>
      <w:lvlText w:val="%9."/>
      <w:lvlJc w:val="right"/>
      <w:pPr>
        <w:tabs>
          <w:tab w:val="num" w:pos="6480"/>
        </w:tabs>
        <w:ind w:left="6480" w:hanging="180"/>
      </w:pPr>
      <w:rPr>
        <w:rFonts w:cs="Times New Roman"/>
      </w:rPr>
    </w:lvl>
  </w:abstractNum>
  <w:abstractNum w:abstractNumId="57" w15:restartNumberingAfterBreak="0">
    <w:nsid w:val="1EC63EE5"/>
    <w:multiLevelType w:val="hybridMultilevel"/>
    <w:tmpl w:val="139A7EC8"/>
    <w:lvl w:ilvl="0" w:tplc="D39A707E">
      <w:start w:val="1"/>
      <w:numFmt w:val="bullet"/>
      <w:lvlText w:val=""/>
      <w:lvlJc w:val="left"/>
      <w:pPr>
        <w:ind w:left="720" w:hanging="360"/>
      </w:pPr>
      <w:rPr>
        <w:rFonts w:ascii="Symbol" w:hAnsi="Symbol" w:hint="default"/>
      </w:rPr>
    </w:lvl>
    <w:lvl w:ilvl="1" w:tplc="15385540" w:tentative="1">
      <w:start w:val="1"/>
      <w:numFmt w:val="bullet"/>
      <w:lvlText w:val="o"/>
      <w:lvlJc w:val="left"/>
      <w:pPr>
        <w:ind w:left="1440" w:hanging="360"/>
      </w:pPr>
      <w:rPr>
        <w:rFonts w:ascii="Courier New" w:hAnsi="Courier New" w:cs="Courier New" w:hint="default"/>
      </w:rPr>
    </w:lvl>
    <w:lvl w:ilvl="2" w:tplc="CF3CC984" w:tentative="1">
      <w:start w:val="1"/>
      <w:numFmt w:val="bullet"/>
      <w:lvlText w:val=""/>
      <w:lvlJc w:val="left"/>
      <w:pPr>
        <w:ind w:left="2160" w:hanging="360"/>
      </w:pPr>
      <w:rPr>
        <w:rFonts w:ascii="Wingdings" w:hAnsi="Wingdings" w:hint="default"/>
      </w:rPr>
    </w:lvl>
    <w:lvl w:ilvl="3" w:tplc="5D969D10" w:tentative="1">
      <w:start w:val="1"/>
      <w:numFmt w:val="bullet"/>
      <w:lvlText w:val=""/>
      <w:lvlJc w:val="left"/>
      <w:pPr>
        <w:ind w:left="2880" w:hanging="360"/>
      </w:pPr>
      <w:rPr>
        <w:rFonts w:ascii="Symbol" w:hAnsi="Symbol" w:hint="default"/>
      </w:rPr>
    </w:lvl>
    <w:lvl w:ilvl="4" w:tplc="035E7DAA" w:tentative="1">
      <w:start w:val="1"/>
      <w:numFmt w:val="bullet"/>
      <w:lvlText w:val="o"/>
      <w:lvlJc w:val="left"/>
      <w:pPr>
        <w:ind w:left="3600" w:hanging="360"/>
      </w:pPr>
      <w:rPr>
        <w:rFonts w:ascii="Courier New" w:hAnsi="Courier New" w:cs="Courier New" w:hint="default"/>
      </w:rPr>
    </w:lvl>
    <w:lvl w:ilvl="5" w:tplc="5144F0DC" w:tentative="1">
      <w:start w:val="1"/>
      <w:numFmt w:val="bullet"/>
      <w:lvlText w:val=""/>
      <w:lvlJc w:val="left"/>
      <w:pPr>
        <w:ind w:left="4320" w:hanging="360"/>
      </w:pPr>
      <w:rPr>
        <w:rFonts w:ascii="Wingdings" w:hAnsi="Wingdings" w:hint="default"/>
      </w:rPr>
    </w:lvl>
    <w:lvl w:ilvl="6" w:tplc="B366BD0E" w:tentative="1">
      <w:start w:val="1"/>
      <w:numFmt w:val="bullet"/>
      <w:lvlText w:val=""/>
      <w:lvlJc w:val="left"/>
      <w:pPr>
        <w:ind w:left="5040" w:hanging="360"/>
      </w:pPr>
      <w:rPr>
        <w:rFonts w:ascii="Symbol" w:hAnsi="Symbol" w:hint="default"/>
      </w:rPr>
    </w:lvl>
    <w:lvl w:ilvl="7" w:tplc="5DF4EFF8" w:tentative="1">
      <w:start w:val="1"/>
      <w:numFmt w:val="bullet"/>
      <w:lvlText w:val="o"/>
      <w:lvlJc w:val="left"/>
      <w:pPr>
        <w:ind w:left="5760" w:hanging="360"/>
      </w:pPr>
      <w:rPr>
        <w:rFonts w:ascii="Courier New" w:hAnsi="Courier New" w:cs="Courier New" w:hint="default"/>
      </w:rPr>
    </w:lvl>
    <w:lvl w:ilvl="8" w:tplc="BA12B3BE" w:tentative="1">
      <w:start w:val="1"/>
      <w:numFmt w:val="bullet"/>
      <w:lvlText w:val=""/>
      <w:lvlJc w:val="left"/>
      <w:pPr>
        <w:ind w:left="6480" w:hanging="360"/>
      </w:pPr>
      <w:rPr>
        <w:rFonts w:ascii="Wingdings" w:hAnsi="Wingdings" w:hint="default"/>
      </w:rPr>
    </w:lvl>
  </w:abstractNum>
  <w:abstractNum w:abstractNumId="58" w15:restartNumberingAfterBreak="0">
    <w:nsid w:val="1FCD4631"/>
    <w:multiLevelType w:val="hybridMultilevel"/>
    <w:tmpl w:val="24FEA1FA"/>
    <w:lvl w:ilvl="0" w:tplc="C7B2A6D4">
      <w:start w:val="1"/>
      <w:numFmt w:val="bullet"/>
      <w:lvlText w:val=""/>
      <w:lvlJc w:val="left"/>
      <w:pPr>
        <w:tabs>
          <w:tab w:val="num" w:pos="567"/>
        </w:tabs>
        <w:ind w:left="567" w:hanging="567"/>
      </w:pPr>
      <w:rPr>
        <w:rFonts w:ascii="Symbol" w:hAnsi="Symbol" w:hint="default"/>
      </w:rPr>
    </w:lvl>
    <w:lvl w:ilvl="1" w:tplc="B4F0FDC0">
      <w:start w:val="1"/>
      <w:numFmt w:val="bullet"/>
      <w:lvlText w:val=""/>
      <w:lvlJc w:val="left"/>
      <w:pPr>
        <w:tabs>
          <w:tab w:val="num" w:pos="1440"/>
        </w:tabs>
        <w:ind w:left="567" w:firstLine="513"/>
      </w:pPr>
      <w:rPr>
        <w:rFonts w:ascii="Symbol" w:hAnsi="Symbol" w:hint="default"/>
      </w:rPr>
    </w:lvl>
    <w:lvl w:ilvl="2" w:tplc="5E903412" w:tentative="1">
      <w:start w:val="1"/>
      <w:numFmt w:val="bullet"/>
      <w:lvlText w:val=""/>
      <w:lvlJc w:val="left"/>
      <w:pPr>
        <w:tabs>
          <w:tab w:val="num" w:pos="2160"/>
        </w:tabs>
        <w:ind w:left="2160" w:hanging="360"/>
      </w:pPr>
      <w:rPr>
        <w:rFonts w:ascii="Wingdings" w:hAnsi="Wingdings" w:hint="default"/>
      </w:rPr>
    </w:lvl>
    <w:lvl w:ilvl="3" w:tplc="EE0A8B04" w:tentative="1">
      <w:start w:val="1"/>
      <w:numFmt w:val="bullet"/>
      <w:lvlText w:val=""/>
      <w:lvlJc w:val="left"/>
      <w:pPr>
        <w:tabs>
          <w:tab w:val="num" w:pos="2880"/>
        </w:tabs>
        <w:ind w:left="2880" w:hanging="360"/>
      </w:pPr>
      <w:rPr>
        <w:rFonts w:ascii="Symbol" w:hAnsi="Symbol" w:hint="default"/>
      </w:rPr>
    </w:lvl>
    <w:lvl w:ilvl="4" w:tplc="988A65E0" w:tentative="1">
      <w:start w:val="1"/>
      <w:numFmt w:val="bullet"/>
      <w:lvlText w:val="o"/>
      <w:lvlJc w:val="left"/>
      <w:pPr>
        <w:tabs>
          <w:tab w:val="num" w:pos="3600"/>
        </w:tabs>
        <w:ind w:left="3600" w:hanging="360"/>
      </w:pPr>
      <w:rPr>
        <w:rFonts w:ascii="Courier New" w:hAnsi="Courier New" w:hint="default"/>
      </w:rPr>
    </w:lvl>
    <w:lvl w:ilvl="5" w:tplc="A12ED846" w:tentative="1">
      <w:start w:val="1"/>
      <w:numFmt w:val="bullet"/>
      <w:lvlText w:val=""/>
      <w:lvlJc w:val="left"/>
      <w:pPr>
        <w:tabs>
          <w:tab w:val="num" w:pos="4320"/>
        </w:tabs>
        <w:ind w:left="4320" w:hanging="360"/>
      </w:pPr>
      <w:rPr>
        <w:rFonts w:ascii="Wingdings" w:hAnsi="Wingdings" w:hint="default"/>
      </w:rPr>
    </w:lvl>
    <w:lvl w:ilvl="6" w:tplc="89AAE2C6" w:tentative="1">
      <w:start w:val="1"/>
      <w:numFmt w:val="bullet"/>
      <w:lvlText w:val=""/>
      <w:lvlJc w:val="left"/>
      <w:pPr>
        <w:tabs>
          <w:tab w:val="num" w:pos="5040"/>
        </w:tabs>
        <w:ind w:left="5040" w:hanging="360"/>
      </w:pPr>
      <w:rPr>
        <w:rFonts w:ascii="Symbol" w:hAnsi="Symbol" w:hint="default"/>
      </w:rPr>
    </w:lvl>
    <w:lvl w:ilvl="7" w:tplc="8BB64FCC" w:tentative="1">
      <w:start w:val="1"/>
      <w:numFmt w:val="bullet"/>
      <w:lvlText w:val="o"/>
      <w:lvlJc w:val="left"/>
      <w:pPr>
        <w:tabs>
          <w:tab w:val="num" w:pos="5760"/>
        </w:tabs>
        <w:ind w:left="5760" w:hanging="360"/>
      </w:pPr>
      <w:rPr>
        <w:rFonts w:ascii="Courier New" w:hAnsi="Courier New" w:hint="default"/>
      </w:rPr>
    </w:lvl>
    <w:lvl w:ilvl="8" w:tplc="DF58C7CE"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206E64B4"/>
    <w:multiLevelType w:val="hybridMultilevel"/>
    <w:tmpl w:val="4C50EB78"/>
    <w:lvl w:ilvl="0" w:tplc="14DE02FC">
      <w:start w:val="1"/>
      <w:numFmt w:val="bullet"/>
      <w:lvlText w:val=""/>
      <w:lvlJc w:val="left"/>
      <w:pPr>
        <w:tabs>
          <w:tab w:val="num" w:pos="567"/>
        </w:tabs>
        <w:ind w:left="567" w:hanging="567"/>
      </w:pPr>
      <w:rPr>
        <w:rFonts w:ascii="Symbol" w:hAnsi="Symbol" w:hint="default"/>
      </w:rPr>
    </w:lvl>
    <w:lvl w:ilvl="1" w:tplc="D85CE648">
      <w:start w:val="1"/>
      <w:numFmt w:val="bullet"/>
      <w:lvlText w:val=""/>
      <w:lvlJc w:val="left"/>
      <w:pPr>
        <w:tabs>
          <w:tab w:val="num" w:pos="1647"/>
        </w:tabs>
        <w:ind w:left="1647" w:hanging="567"/>
      </w:pPr>
      <w:rPr>
        <w:rFonts w:ascii="Symbol" w:hAnsi="Symbol" w:hint="default"/>
      </w:rPr>
    </w:lvl>
    <w:lvl w:ilvl="2" w:tplc="17E8723C" w:tentative="1">
      <w:start w:val="1"/>
      <w:numFmt w:val="bullet"/>
      <w:lvlText w:val=""/>
      <w:lvlJc w:val="left"/>
      <w:pPr>
        <w:tabs>
          <w:tab w:val="num" w:pos="2160"/>
        </w:tabs>
        <w:ind w:left="2160" w:hanging="360"/>
      </w:pPr>
      <w:rPr>
        <w:rFonts w:ascii="Wingdings" w:hAnsi="Wingdings" w:hint="default"/>
      </w:rPr>
    </w:lvl>
    <w:lvl w:ilvl="3" w:tplc="F6500604" w:tentative="1">
      <w:start w:val="1"/>
      <w:numFmt w:val="bullet"/>
      <w:lvlText w:val=""/>
      <w:lvlJc w:val="left"/>
      <w:pPr>
        <w:tabs>
          <w:tab w:val="num" w:pos="2880"/>
        </w:tabs>
        <w:ind w:left="2880" w:hanging="360"/>
      </w:pPr>
      <w:rPr>
        <w:rFonts w:ascii="Symbol" w:hAnsi="Symbol" w:hint="default"/>
      </w:rPr>
    </w:lvl>
    <w:lvl w:ilvl="4" w:tplc="25768FC4" w:tentative="1">
      <w:start w:val="1"/>
      <w:numFmt w:val="bullet"/>
      <w:lvlText w:val="o"/>
      <w:lvlJc w:val="left"/>
      <w:pPr>
        <w:tabs>
          <w:tab w:val="num" w:pos="3600"/>
        </w:tabs>
        <w:ind w:left="3600" w:hanging="360"/>
      </w:pPr>
      <w:rPr>
        <w:rFonts w:ascii="Courier New" w:hAnsi="Courier New" w:hint="default"/>
      </w:rPr>
    </w:lvl>
    <w:lvl w:ilvl="5" w:tplc="E2B61350" w:tentative="1">
      <w:start w:val="1"/>
      <w:numFmt w:val="bullet"/>
      <w:lvlText w:val=""/>
      <w:lvlJc w:val="left"/>
      <w:pPr>
        <w:tabs>
          <w:tab w:val="num" w:pos="4320"/>
        </w:tabs>
        <w:ind w:left="4320" w:hanging="360"/>
      </w:pPr>
      <w:rPr>
        <w:rFonts w:ascii="Wingdings" w:hAnsi="Wingdings" w:hint="default"/>
      </w:rPr>
    </w:lvl>
    <w:lvl w:ilvl="6" w:tplc="29F861A0" w:tentative="1">
      <w:start w:val="1"/>
      <w:numFmt w:val="bullet"/>
      <w:lvlText w:val=""/>
      <w:lvlJc w:val="left"/>
      <w:pPr>
        <w:tabs>
          <w:tab w:val="num" w:pos="5040"/>
        </w:tabs>
        <w:ind w:left="5040" w:hanging="360"/>
      </w:pPr>
      <w:rPr>
        <w:rFonts w:ascii="Symbol" w:hAnsi="Symbol" w:hint="default"/>
      </w:rPr>
    </w:lvl>
    <w:lvl w:ilvl="7" w:tplc="96407E98" w:tentative="1">
      <w:start w:val="1"/>
      <w:numFmt w:val="bullet"/>
      <w:lvlText w:val="o"/>
      <w:lvlJc w:val="left"/>
      <w:pPr>
        <w:tabs>
          <w:tab w:val="num" w:pos="5760"/>
        </w:tabs>
        <w:ind w:left="5760" w:hanging="360"/>
      </w:pPr>
      <w:rPr>
        <w:rFonts w:ascii="Courier New" w:hAnsi="Courier New" w:hint="default"/>
      </w:rPr>
    </w:lvl>
    <w:lvl w:ilvl="8" w:tplc="23E2DF52"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208D6B86"/>
    <w:multiLevelType w:val="multilevel"/>
    <w:tmpl w:val="00000001"/>
    <w:lvl w:ilvl="0">
      <w:start w:val="1"/>
      <w:numFmt w:val="bullet"/>
      <w:lvlText w:val=""/>
      <w:lvlJc w:val="left"/>
      <w:pPr>
        <w:tabs>
          <w:tab w:val="num" w:pos="567"/>
        </w:tabs>
        <w:ind w:left="567" w:hanging="567"/>
      </w:pPr>
      <w:rPr>
        <w:rFonts w:ascii="Symbol" w:hAnsi="Symbol" w:hint="default"/>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decimal"/>
      <w:suff w:val="nothing"/>
      <w:lvlText w:val="%9."/>
      <w:lvlJc w:val="left"/>
      <w:rPr>
        <w:rFonts w:cs="Times New Roman"/>
      </w:rPr>
    </w:lvl>
  </w:abstractNum>
  <w:abstractNum w:abstractNumId="61" w15:restartNumberingAfterBreak="0">
    <w:nsid w:val="20C7324A"/>
    <w:multiLevelType w:val="multilevel"/>
    <w:tmpl w:val="E724F63A"/>
    <w:lvl w:ilvl="0">
      <w:start w:val="4"/>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2" w15:restartNumberingAfterBreak="0">
    <w:nsid w:val="214C10FD"/>
    <w:multiLevelType w:val="hybridMultilevel"/>
    <w:tmpl w:val="FC6686BA"/>
    <w:lvl w:ilvl="0" w:tplc="8DBCCAF0">
      <w:start w:val="1"/>
      <w:numFmt w:val="bullet"/>
      <w:lvlText w:val=""/>
      <w:lvlJc w:val="left"/>
      <w:pPr>
        <w:tabs>
          <w:tab w:val="num" w:pos="567"/>
        </w:tabs>
        <w:ind w:left="567" w:hanging="567"/>
      </w:pPr>
      <w:rPr>
        <w:rFonts w:ascii="Symbol" w:hAnsi="Symbol" w:hint="default"/>
      </w:rPr>
    </w:lvl>
    <w:lvl w:ilvl="1" w:tplc="004EE782">
      <w:start w:val="1"/>
      <w:numFmt w:val="bullet"/>
      <w:lvlText w:val=""/>
      <w:lvlJc w:val="left"/>
      <w:pPr>
        <w:tabs>
          <w:tab w:val="num" w:pos="1440"/>
        </w:tabs>
        <w:ind w:left="1440" w:hanging="360"/>
      </w:pPr>
      <w:rPr>
        <w:rFonts w:ascii="Symbol" w:hAnsi="Symbol" w:hint="default"/>
      </w:rPr>
    </w:lvl>
    <w:lvl w:ilvl="2" w:tplc="EFFAFE18" w:tentative="1">
      <w:start w:val="1"/>
      <w:numFmt w:val="bullet"/>
      <w:lvlText w:val=""/>
      <w:lvlJc w:val="left"/>
      <w:pPr>
        <w:tabs>
          <w:tab w:val="num" w:pos="2160"/>
        </w:tabs>
        <w:ind w:left="2160" w:hanging="360"/>
      </w:pPr>
      <w:rPr>
        <w:rFonts w:ascii="Wingdings" w:hAnsi="Wingdings" w:hint="default"/>
      </w:rPr>
    </w:lvl>
    <w:lvl w:ilvl="3" w:tplc="6924049A" w:tentative="1">
      <w:start w:val="1"/>
      <w:numFmt w:val="bullet"/>
      <w:lvlText w:val=""/>
      <w:lvlJc w:val="left"/>
      <w:pPr>
        <w:tabs>
          <w:tab w:val="num" w:pos="2880"/>
        </w:tabs>
        <w:ind w:left="2880" w:hanging="360"/>
      </w:pPr>
      <w:rPr>
        <w:rFonts w:ascii="Symbol" w:hAnsi="Symbol" w:hint="default"/>
      </w:rPr>
    </w:lvl>
    <w:lvl w:ilvl="4" w:tplc="0396038C" w:tentative="1">
      <w:start w:val="1"/>
      <w:numFmt w:val="bullet"/>
      <w:lvlText w:val="o"/>
      <w:lvlJc w:val="left"/>
      <w:pPr>
        <w:tabs>
          <w:tab w:val="num" w:pos="3600"/>
        </w:tabs>
        <w:ind w:left="3600" w:hanging="360"/>
      </w:pPr>
      <w:rPr>
        <w:rFonts w:ascii="Courier New" w:hAnsi="Courier New" w:hint="default"/>
      </w:rPr>
    </w:lvl>
    <w:lvl w:ilvl="5" w:tplc="85B4BBFE" w:tentative="1">
      <w:start w:val="1"/>
      <w:numFmt w:val="bullet"/>
      <w:lvlText w:val=""/>
      <w:lvlJc w:val="left"/>
      <w:pPr>
        <w:tabs>
          <w:tab w:val="num" w:pos="4320"/>
        </w:tabs>
        <w:ind w:left="4320" w:hanging="360"/>
      </w:pPr>
      <w:rPr>
        <w:rFonts w:ascii="Wingdings" w:hAnsi="Wingdings" w:hint="default"/>
      </w:rPr>
    </w:lvl>
    <w:lvl w:ilvl="6" w:tplc="AC908058" w:tentative="1">
      <w:start w:val="1"/>
      <w:numFmt w:val="bullet"/>
      <w:lvlText w:val=""/>
      <w:lvlJc w:val="left"/>
      <w:pPr>
        <w:tabs>
          <w:tab w:val="num" w:pos="5040"/>
        </w:tabs>
        <w:ind w:left="5040" w:hanging="360"/>
      </w:pPr>
      <w:rPr>
        <w:rFonts w:ascii="Symbol" w:hAnsi="Symbol" w:hint="default"/>
      </w:rPr>
    </w:lvl>
    <w:lvl w:ilvl="7" w:tplc="0E5C1B60" w:tentative="1">
      <w:start w:val="1"/>
      <w:numFmt w:val="bullet"/>
      <w:lvlText w:val="o"/>
      <w:lvlJc w:val="left"/>
      <w:pPr>
        <w:tabs>
          <w:tab w:val="num" w:pos="5760"/>
        </w:tabs>
        <w:ind w:left="5760" w:hanging="360"/>
      </w:pPr>
      <w:rPr>
        <w:rFonts w:ascii="Courier New" w:hAnsi="Courier New" w:hint="default"/>
      </w:rPr>
    </w:lvl>
    <w:lvl w:ilvl="8" w:tplc="7CF2BF36"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3C1681B"/>
    <w:multiLevelType w:val="hybridMultilevel"/>
    <w:tmpl w:val="AC98AE6A"/>
    <w:lvl w:ilvl="0" w:tplc="CD502968">
      <w:start w:val="5"/>
      <w:numFmt w:val="decimal"/>
      <w:lvlText w:val="%1."/>
      <w:lvlJc w:val="left"/>
      <w:pPr>
        <w:ind w:left="720" w:hanging="360"/>
      </w:pPr>
      <w:rPr>
        <w:rFonts w:hint="default"/>
        <w:b w:val="0"/>
      </w:rPr>
    </w:lvl>
    <w:lvl w:ilvl="1" w:tplc="E1EE037C" w:tentative="1">
      <w:start w:val="1"/>
      <w:numFmt w:val="lowerLetter"/>
      <w:lvlText w:val="%2."/>
      <w:lvlJc w:val="left"/>
      <w:pPr>
        <w:ind w:left="1440" w:hanging="360"/>
      </w:pPr>
    </w:lvl>
    <w:lvl w:ilvl="2" w:tplc="0090F7FA" w:tentative="1">
      <w:start w:val="1"/>
      <w:numFmt w:val="lowerRoman"/>
      <w:lvlText w:val="%3."/>
      <w:lvlJc w:val="right"/>
      <w:pPr>
        <w:ind w:left="2160" w:hanging="180"/>
      </w:pPr>
    </w:lvl>
    <w:lvl w:ilvl="3" w:tplc="F1169460" w:tentative="1">
      <w:start w:val="1"/>
      <w:numFmt w:val="decimal"/>
      <w:lvlText w:val="%4."/>
      <w:lvlJc w:val="left"/>
      <w:pPr>
        <w:ind w:left="2880" w:hanging="360"/>
      </w:pPr>
    </w:lvl>
    <w:lvl w:ilvl="4" w:tplc="A7E6C7B4" w:tentative="1">
      <w:start w:val="1"/>
      <w:numFmt w:val="lowerLetter"/>
      <w:lvlText w:val="%5."/>
      <w:lvlJc w:val="left"/>
      <w:pPr>
        <w:ind w:left="3600" w:hanging="360"/>
      </w:pPr>
    </w:lvl>
    <w:lvl w:ilvl="5" w:tplc="DFBA71E4" w:tentative="1">
      <w:start w:val="1"/>
      <w:numFmt w:val="lowerRoman"/>
      <w:lvlText w:val="%6."/>
      <w:lvlJc w:val="right"/>
      <w:pPr>
        <w:ind w:left="4320" w:hanging="180"/>
      </w:pPr>
    </w:lvl>
    <w:lvl w:ilvl="6" w:tplc="D9FADD44" w:tentative="1">
      <w:start w:val="1"/>
      <w:numFmt w:val="decimal"/>
      <w:lvlText w:val="%7."/>
      <w:lvlJc w:val="left"/>
      <w:pPr>
        <w:ind w:left="5040" w:hanging="360"/>
      </w:pPr>
    </w:lvl>
    <w:lvl w:ilvl="7" w:tplc="FFCCBFB8" w:tentative="1">
      <w:start w:val="1"/>
      <w:numFmt w:val="lowerLetter"/>
      <w:lvlText w:val="%8."/>
      <w:lvlJc w:val="left"/>
      <w:pPr>
        <w:ind w:left="5760" w:hanging="360"/>
      </w:pPr>
    </w:lvl>
    <w:lvl w:ilvl="8" w:tplc="B1E2D4F2" w:tentative="1">
      <w:start w:val="1"/>
      <w:numFmt w:val="lowerRoman"/>
      <w:lvlText w:val="%9."/>
      <w:lvlJc w:val="right"/>
      <w:pPr>
        <w:ind w:left="6480" w:hanging="180"/>
      </w:pPr>
    </w:lvl>
  </w:abstractNum>
  <w:abstractNum w:abstractNumId="64" w15:restartNumberingAfterBreak="0">
    <w:nsid w:val="242D0511"/>
    <w:multiLevelType w:val="hybridMultilevel"/>
    <w:tmpl w:val="0BDAF886"/>
    <w:lvl w:ilvl="0" w:tplc="6A409ECA">
      <w:start w:val="1"/>
      <w:numFmt w:val="bullet"/>
      <w:lvlText w:val=""/>
      <w:lvlJc w:val="left"/>
      <w:pPr>
        <w:tabs>
          <w:tab w:val="num" w:pos="720"/>
        </w:tabs>
        <w:ind w:left="720" w:hanging="360"/>
      </w:pPr>
      <w:rPr>
        <w:rFonts w:ascii="Symbol" w:hAnsi="Symbol" w:hint="default"/>
      </w:rPr>
    </w:lvl>
    <w:lvl w:ilvl="1" w:tplc="47B09BFA">
      <w:start w:val="1"/>
      <w:numFmt w:val="bullet"/>
      <w:lvlText w:val="o"/>
      <w:lvlJc w:val="left"/>
      <w:pPr>
        <w:tabs>
          <w:tab w:val="num" w:pos="1440"/>
        </w:tabs>
        <w:ind w:left="1440" w:hanging="360"/>
      </w:pPr>
      <w:rPr>
        <w:rFonts w:ascii="Courier New" w:hAnsi="Courier New" w:hint="default"/>
      </w:rPr>
    </w:lvl>
    <w:lvl w:ilvl="2" w:tplc="60E6B86E" w:tentative="1">
      <w:start w:val="1"/>
      <w:numFmt w:val="bullet"/>
      <w:lvlText w:val=""/>
      <w:lvlJc w:val="left"/>
      <w:pPr>
        <w:tabs>
          <w:tab w:val="num" w:pos="2160"/>
        </w:tabs>
        <w:ind w:left="2160" w:hanging="360"/>
      </w:pPr>
      <w:rPr>
        <w:rFonts w:ascii="Wingdings" w:hAnsi="Wingdings" w:hint="default"/>
      </w:rPr>
    </w:lvl>
    <w:lvl w:ilvl="3" w:tplc="F650EF64" w:tentative="1">
      <w:start w:val="1"/>
      <w:numFmt w:val="bullet"/>
      <w:lvlText w:val=""/>
      <w:lvlJc w:val="left"/>
      <w:pPr>
        <w:tabs>
          <w:tab w:val="num" w:pos="2880"/>
        </w:tabs>
        <w:ind w:left="2880" w:hanging="360"/>
      </w:pPr>
      <w:rPr>
        <w:rFonts w:ascii="Symbol" w:hAnsi="Symbol" w:hint="default"/>
      </w:rPr>
    </w:lvl>
    <w:lvl w:ilvl="4" w:tplc="59F80A22" w:tentative="1">
      <w:start w:val="1"/>
      <w:numFmt w:val="bullet"/>
      <w:lvlText w:val="o"/>
      <w:lvlJc w:val="left"/>
      <w:pPr>
        <w:tabs>
          <w:tab w:val="num" w:pos="3600"/>
        </w:tabs>
        <w:ind w:left="3600" w:hanging="360"/>
      </w:pPr>
      <w:rPr>
        <w:rFonts w:ascii="Courier New" w:hAnsi="Courier New" w:hint="default"/>
      </w:rPr>
    </w:lvl>
    <w:lvl w:ilvl="5" w:tplc="0058780A" w:tentative="1">
      <w:start w:val="1"/>
      <w:numFmt w:val="bullet"/>
      <w:lvlText w:val=""/>
      <w:lvlJc w:val="left"/>
      <w:pPr>
        <w:tabs>
          <w:tab w:val="num" w:pos="4320"/>
        </w:tabs>
        <w:ind w:left="4320" w:hanging="360"/>
      </w:pPr>
      <w:rPr>
        <w:rFonts w:ascii="Wingdings" w:hAnsi="Wingdings" w:hint="default"/>
      </w:rPr>
    </w:lvl>
    <w:lvl w:ilvl="6" w:tplc="A6A6DD1A" w:tentative="1">
      <w:start w:val="1"/>
      <w:numFmt w:val="bullet"/>
      <w:lvlText w:val=""/>
      <w:lvlJc w:val="left"/>
      <w:pPr>
        <w:tabs>
          <w:tab w:val="num" w:pos="5040"/>
        </w:tabs>
        <w:ind w:left="5040" w:hanging="360"/>
      </w:pPr>
      <w:rPr>
        <w:rFonts w:ascii="Symbol" w:hAnsi="Symbol" w:hint="default"/>
      </w:rPr>
    </w:lvl>
    <w:lvl w:ilvl="7" w:tplc="ECCE28DA" w:tentative="1">
      <w:start w:val="1"/>
      <w:numFmt w:val="bullet"/>
      <w:lvlText w:val="o"/>
      <w:lvlJc w:val="left"/>
      <w:pPr>
        <w:tabs>
          <w:tab w:val="num" w:pos="5760"/>
        </w:tabs>
        <w:ind w:left="5760" w:hanging="360"/>
      </w:pPr>
      <w:rPr>
        <w:rFonts w:ascii="Courier New" w:hAnsi="Courier New" w:hint="default"/>
      </w:rPr>
    </w:lvl>
    <w:lvl w:ilvl="8" w:tplc="9D30AF7A"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24F745AA"/>
    <w:multiLevelType w:val="hybridMultilevel"/>
    <w:tmpl w:val="EBB28A88"/>
    <w:lvl w:ilvl="0" w:tplc="C51A2D56">
      <w:start w:val="1"/>
      <w:numFmt w:val="bullet"/>
      <w:lvlText w:val=""/>
      <w:lvlJc w:val="left"/>
      <w:pPr>
        <w:ind w:left="720" w:hanging="360"/>
      </w:pPr>
      <w:rPr>
        <w:rFonts w:ascii="Symbol" w:hAnsi="Symbol" w:hint="default"/>
      </w:rPr>
    </w:lvl>
    <w:lvl w:ilvl="1" w:tplc="BC883C96" w:tentative="1">
      <w:start w:val="1"/>
      <w:numFmt w:val="bullet"/>
      <w:lvlText w:val="o"/>
      <w:lvlJc w:val="left"/>
      <w:pPr>
        <w:ind w:left="1440" w:hanging="360"/>
      </w:pPr>
      <w:rPr>
        <w:rFonts w:ascii="Courier New" w:hAnsi="Courier New" w:cs="Courier New" w:hint="default"/>
      </w:rPr>
    </w:lvl>
    <w:lvl w:ilvl="2" w:tplc="9DC4F03A" w:tentative="1">
      <w:start w:val="1"/>
      <w:numFmt w:val="bullet"/>
      <w:lvlText w:val=""/>
      <w:lvlJc w:val="left"/>
      <w:pPr>
        <w:ind w:left="2160" w:hanging="360"/>
      </w:pPr>
      <w:rPr>
        <w:rFonts w:ascii="Wingdings" w:hAnsi="Wingdings" w:hint="default"/>
      </w:rPr>
    </w:lvl>
    <w:lvl w:ilvl="3" w:tplc="A2B22B06" w:tentative="1">
      <w:start w:val="1"/>
      <w:numFmt w:val="bullet"/>
      <w:lvlText w:val=""/>
      <w:lvlJc w:val="left"/>
      <w:pPr>
        <w:ind w:left="2880" w:hanging="360"/>
      </w:pPr>
      <w:rPr>
        <w:rFonts w:ascii="Symbol" w:hAnsi="Symbol" w:hint="default"/>
      </w:rPr>
    </w:lvl>
    <w:lvl w:ilvl="4" w:tplc="04B615BE" w:tentative="1">
      <w:start w:val="1"/>
      <w:numFmt w:val="bullet"/>
      <w:lvlText w:val="o"/>
      <w:lvlJc w:val="left"/>
      <w:pPr>
        <w:ind w:left="3600" w:hanging="360"/>
      </w:pPr>
      <w:rPr>
        <w:rFonts w:ascii="Courier New" w:hAnsi="Courier New" w:cs="Courier New" w:hint="default"/>
      </w:rPr>
    </w:lvl>
    <w:lvl w:ilvl="5" w:tplc="645C7636" w:tentative="1">
      <w:start w:val="1"/>
      <w:numFmt w:val="bullet"/>
      <w:lvlText w:val=""/>
      <w:lvlJc w:val="left"/>
      <w:pPr>
        <w:ind w:left="4320" w:hanging="360"/>
      </w:pPr>
      <w:rPr>
        <w:rFonts w:ascii="Wingdings" w:hAnsi="Wingdings" w:hint="default"/>
      </w:rPr>
    </w:lvl>
    <w:lvl w:ilvl="6" w:tplc="4FBC4732" w:tentative="1">
      <w:start w:val="1"/>
      <w:numFmt w:val="bullet"/>
      <w:lvlText w:val=""/>
      <w:lvlJc w:val="left"/>
      <w:pPr>
        <w:ind w:left="5040" w:hanging="360"/>
      </w:pPr>
      <w:rPr>
        <w:rFonts w:ascii="Symbol" w:hAnsi="Symbol" w:hint="default"/>
      </w:rPr>
    </w:lvl>
    <w:lvl w:ilvl="7" w:tplc="9978F8E0" w:tentative="1">
      <w:start w:val="1"/>
      <w:numFmt w:val="bullet"/>
      <w:lvlText w:val="o"/>
      <w:lvlJc w:val="left"/>
      <w:pPr>
        <w:ind w:left="5760" w:hanging="360"/>
      </w:pPr>
      <w:rPr>
        <w:rFonts w:ascii="Courier New" w:hAnsi="Courier New" w:cs="Courier New" w:hint="default"/>
      </w:rPr>
    </w:lvl>
    <w:lvl w:ilvl="8" w:tplc="65664F66" w:tentative="1">
      <w:start w:val="1"/>
      <w:numFmt w:val="bullet"/>
      <w:lvlText w:val=""/>
      <w:lvlJc w:val="left"/>
      <w:pPr>
        <w:ind w:left="6480" w:hanging="360"/>
      </w:pPr>
      <w:rPr>
        <w:rFonts w:ascii="Wingdings" w:hAnsi="Wingdings" w:hint="default"/>
      </w:rPr>
    </w:lvl>
  </w:abstractNum>
  <w:abstractNum w:abstractNumId="66" w15:restartNumberingAfterBreak="0">
    <w:nsid w:val="25EA2F83"/>
    <w:multiLevelType w:val="hybridMultilevel"/>
    <w:tmpl w:val="3C80458E"/>
    <w:lvl w:ilvl="0" w:tplc="35929D7E">
      <w:start w:val="14"/>
      <w:numFmt w:val="decimal"/>
      <w:lvlText w:val="%1."/>
      <w:lvlJc w:val="left"/>
      <w:pPr>
        <w:ind w:left="930" w:hanging="570"/>
      </w:pPr>
      <w:rPr>
        <w:rFonts w:hint="default"/>
        <w:b w:val="0"/>
      </w:rPr>
    </w:lvl>
    <w:lvl w:ilvl="1" w:tplc="98B4D17E" w:tentative="1">
      <w:start w:val="1"/>
      <w:numFmt w:val="lowerLetter"/>
      <w:lvlText w:val="%2."/>
      <w:lvlJc w:val="left"/>
      <w:pPr>
        <w:ind w:left="1440" w:hanging="360"/>
      </w:pPr>
    </w:lvl>
    <w:lvl w:ilvl="2" w:tplc="5E069CA4" w:tentative="1">
      <w:start w:val="1"/>
      <w:numFmt w:val="lowerRoman"/>
      <w:lvlText w:val="%3."/>
      <w:lvlJc w:val="right"/>
      <w:pPr>
        <w:ind w:left="2160" w:hanging="180"/>
      </w:pPr>
    </w:lvl>
    <w:lvl w:ilvl="3" w:tplc="D562A488" w:tentative="1">
      <w:start w:val="1"/>
      <w:numFmt w:val="decimal"/>
      <w:lvlText w:val="%4."/>
      <w:lvlJc w:val="left"/>
      <w:pPr>
        <w:ind w:left="2880" w:hanging="360"/>
      </w:pPr>
    </w:lvl>
    <w:lvl w:ilvl="4" w:tplc="699AD976" w:tentative="1">
      <w:start w:val="1"/>
      <w:numFmt w:val="lowerLetter"/>
      <w:lvlText w:val="%5."/>
      <w:lvlJc w:val="left"/>
      <w:pPr>
        <w:ind w:left="3600" w:hanging="360"/>
      </w:pPr>
    </w:lvl>
    <w:lvl w:ilvl="5" w:tplc="2DAC70A6" w:tentative="1">
      <w:start w:val="1"/>
      <w:numFmt w:val="lowerRoman"/>
      <w:lvlText w:val="%6."/>
      <w:lvlJc w:val="right"/>
      <w:pPr>
        <w:ind w:left="4320" w:hanging="180"/>
      </w:pPr>
    </w:lvl>
    <w:lvl w:ilvl="6" w:tplc="275AF76E" w:tentative="1">
      <w:start w:val="1"/>
      <w:numFmt w:val="decimal"/>
      <w:lvlText w:val="%7."/>
      <w:lvlJc w:val="left"/>
      <w:pPr>
        <w:ind w:left="5040" w:hanging="360"/>
      </w:pPr>
    </w:lvl>
    <w:lvl w:ilvl="7" w:tplc="E2D6D2D2" w:tentative="1">
      <w:start w:val="1"/>
      <w:numFmt w:val="lowerLetter"/>
      <w:lvlText w:val="%8."/>
      <w:lvlJc w:val="left"/>
      <w:pPr>
        <w:ind w:left="5760" w:hanging="360"/>
      </w:pPr>
    </w:lvl>
    <w:lvl w:ilvl="8" w:tplc="83D2873C" w:tentative="1">
      <w:start w:val="1"/>
      <w:numFmt w:val="lowerRoman"/>
      <w:lvlText w:val="%9."/>
      <w:lvlJc w:val="right"/>
      <w:pPr>
        <w:ind w:left="6480" w:hanging="180"/>
      </w:pPr>
    </w:lvl>
  </w:abstractNum>
  <w:abstractNum w:abstractNumId="67" w15:restartNumberingAfterBreak="0">
    <w:nsid w:val="261476E5"/>
    <w:multiLevelType w:val="hybridMultilevel"/>
    <w:tmpl w:val="FA4CD7B8"/>
    <w:lvl w:ilvl="0" w:tplc="5A281EDA">
      <w:start w:val="1"/>
      <w:numFmt w:val="bullet"/>
      <w:lvlText w:val=""/>
      <w:lvlJc w:val="left"/>
      <w:pPr>
        <w:tabs>
          <w:tab w:val="num" w:pos="720"/>
        </w:tabs>
        <w:ind w:left="720" w:hanging="360"/>
      </w:pPr>
      <w:rPr>
        <w:rFonts w:ascii="Symbol" w:hAnsi="Symbol" w:hint="default"/>
      </w:rPr>
    </w:lvl>
    <w:lvl w:ilvl="1" w:tplc="19681AAE">
      <w:start w:val="1"/>
      <w:numFmt w:val="bullet"/>
      <w:lvlText w:val="o"/>
      <w:lvlJc w:val="left"/>
      <w:pPr>
        <w:tabs>
          <w:tab w:val="num" w:pos="1440"/>
        </w:tabs>
        <w:ind w:left="1440" w:hanging="360"/>
      </w:pPr>
      <w:rPr>
        <w:rFonts w:ascii="Courier New" w:hAnsi="Courier New" w:hint="default"/>
      </w:rPr>
    </w:lvl>
    <w:lvl w:ilvl="2" w:tplc="0640491E" w:tentative="1">
      <w:start w:val="1"/>
      <w:numFmt w:val="bullet"/>
      <w:lvlText w:val=""/>
      <w:lvlJc w:val="left"/>
      <w:pPr>
        <w:tabs>
          <w:tab w:val="num" w:pos="2160"/>
        </w:tabs>
        <w:ind w:left="2160" w:hanging="360"/>
      </w:pPr>
      <w:rPr>
        <w:rFonts w:ascii="Wingdings" w:hAnsi="Wingdings" w:hint="default"/>
      </w:rPr>
    </w:lvl>
    <w:lvl w:ilvl="3" w:tplc="72E059D4" w:tentative="1">
      <w:start w:val="1"/>
      <w:numFmt w:val="bullet"/>
      <w:lvlText w:val=""/>
      <w:lvlJc w:val="left"/>
      <w:pPr>
        <w:tabs>
          <w:tab w:val="num" w:pos="2880"/>
        </w:tabs>
        <w:ind w:left="2880" w:hanging="360"/>
      </w:pPr>
      <w:rPr>
        <w:rFonts w:ascii="Symbol" w:hAnsi="Symbol" w:hint="default"/>
      </w:rPr>
    </w:lvl>
    <w:lvl w:ilvl="4" w:tplc="97007AC6" w:tentative="1">
      <w:start w:val="1"/>
      <w:numFmt w:val="bullet"/>
      <w:lvlText w:val="o"/>
      <w:lvlJc w:val="left"/>
      <w:pPr>
        <w:tabs>
          <w:tab w:val="num" w:pos="3600"/>
        </w:tabs>
        <w:ind w:left="3600" w:hanging="360"/>
      </w:pPr>
      <w:rPr>
        <w:rFonts w:ascii="Courier New" w:hAnsi="Courier New" w:hint="default"/>
      </w:rPr>
    </w:lvl>
    <w:lvl w:ilvl="5" w:tplc="5CB4D5CE" w:tentative="1">
      <w:start w:val="1"/>
      <w:numFmt w:val="bullet"/>
      <w:lvlText w:val=""/>
      <w:lvlJc w:val="left"/>
      <w:pPr>
        <w:tabs>
          <w:tab w:val="num" w:pos="4320"/>
        </w:tabs>
        <w:ind w:left="4320" w:hanging="360"/>
      </w:pPr>
      <w:rPr>
        <w:rFonts w:ascii="Wingdings" w:hAnsi="Wingdings" w:hint="default"/>
      </w:rPr>
    </w:lvl>
    <w:lvl w:ilvl="6" w:tplc="FDAC4D90" w:tentative="1">
      <w:start w:val="1"/>
      <w:numFmt w:val="bullet"/>
      <w:lvlText w:val=""/>
      <w:lvlJc w:val="left"/>
      <w:pPr>
        <w:tabs>
          <w:tab w:val="num" w:pos="5040"/>
        </w:tabs>
        <w:ind w:left="5040" w:hanging="360"/>
      </w:pPr>
      <w:rPr>
        <w:rFonts w:ascii="Symbol" w:hAnsi="Symbol" w:hint="default"/>
      </w:rPr>
    </w:lvl>
    <w:lvl w:ilvl="7" w:tplc="F0047962" w:tentative="1">
      <w:start w:val="1"/>
      <w:numFmt w:val="bullet"/>
      <w:lvlText w:val="o"/>
      <w:lvlJc w:val="left"/>
      <w:pPr>
        <w:tabs>
          <w:tab w:val="num" w:pos="5760"/>
        </w:tabs>
        <w:ind w:left="5760" w:hanging="360"/>
      </w:pPr>
      <w:rPr>
        <w:rFonts w:ascii="Courier New" w:hAnsi="Courier New" w:hint="default"/>
      </w:rPr>
    </w:lvl>
    <w:lvl w:ilvl="8" w:tplc="20E65FE6"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270C3D0D"/>
    <w:multiLevelType w:val="hybridMultilevel"/>
    <w:tmpl w:val="54C8F3C2"/>
    <w:lvl w:ilvl="0" w:tplc="2028F800">
      <w:start w:val="5"/>
      <w:numFmt w:val="decimal"/>
      <w:lvlText w:val="%1."/>
      <w:lvlJc w:val="left"/>
      <w:pPr>
        <w:ind w:left="720" w:hanging="360"/>
      </w:pPr>
      <w:rPr>
        <w:rFonts w:hint="default"/>
      </w:rPr>
    </w:lvl>
    <w:lvl w:ilvl="1" w:tplc="AC18ADFA" w:tentative="1">
      <w:start w:val="1"/>
      <w:numFmt w:val="lowerLetter"/>
      <w:lvlText w:val="%2."/>
      <w:lvlJc w:val="left"/>
      <w:pPr>
        <w:ind w:left="1440" w:hanging="360"/>
      </w:pPr>
    </w:lvl>
    <w:lvl w:ilvl="2" w:tplc="F3D61984" w:tentative="1">
      <w:start w:val="1"/>
      <w:numFmt w:val="lowerRoman"/>
      <w:lvlText w:val="%3."/>
      <w:lvlJc w:val="right"/>
      <w:pPr>
        <w:ind w:left="2160" w:hanging="180"/>
      </w:pPr>
    </w:lvl>
    <w:lvl w:ilvl="3" w:tplc="66B0F5BA" w:tentative="1">
      <w:start w:val="1"/>
      <w:numFmt w:val="decimal"/>
      <w:lvlText w:val="%4."/>
      <w:lvlJc w:val="left"/>
      <w:pPr>
        <w:ind w:left="2880" w:hanging="360"/>
      </w:pPr>
    </w:lvl>
    <w:lvl w:ilvl="4" w:tplc="76344528" w:tentative="1">
      <w:start w:val="1"/>
      <w:numFmt w:val="lowerLetter"/>
      <w:lvlText w:val="%5."/>
      <w:lvlJc w:val="left"/>
      <w:pPr>
        <w:ind w:left="3600" w:hanging="360"/>
      </w:pPr>
    </w:lvl>
    <w:lvl w:ilvl="5" w:tplc="86641EFA" w:tentative="1">
      <w:start w:val="1"/>
      <w:numFmt w:val="lowerRoman"/>
      <w:lvlText w:val="%6."/>
      <w:lvlJc w:val="right"/>
      <w:pPr>
        <w:ind w:left="4320" w:hanging="180"/>
      </w:pPr>
    </w:lvl>
    <w:lvl w:ilvl="6" w:tplc="BD8A06E0" w:tentative="1">
      <w:start w:val="1"/>
      <w:numFmt w:val="decimal"/>
      <w:lvlText w:val="%7."/>
      <w:lvlJc w:val="left"/>
      <w:pPr>
        <w:ind w:left="5040" w:hanging="360"/>
      </w:pPr>
    </w:lvl>
    <w:lvl w:ilvl="7" w:tplc="17C64442" w:tentative="1">
      <w:start w:val="1"/>
      <w:numFmt w:val="lowerLetter"/>
      <w:lvlText w:val="%8."/>
      <w:lvlJc w:val="left"/>
      <w:pPr>
        <w:ind w:left="5760" w:hanging="360"/>
      </w:pPr>
    </w:lvl>
    <w:lvl w:ilvl="8" w:tplc="176833BE" w:tentative="1">
      <w:start w:val="1"/>
      <w:numFmt w:val="lowerRoman"/>
      <w:lvlText w:val="%9."/>
      <w:lvlJc w:val="right"/>
      <w:pPr>
        <w:ind w:left="6480" w:hanging="180"/>
      </w:pPr>
    </w:lvl>
  </w:abstractNum>
  <w:abstractNum w:abstractNumId="69" w15:restartNumberingAfterBreak="0">
    <w:nsid w:val="27C5632E"/>
    <w:multiLevelType w:val="hybridMultilevel"/>
    <w:tmpl w:val="F7588C44"/>
    <w:lvl w:ilvl="0" w:tplc="DD28FF1E">
      <w:start w:val="5"/>
      <w:numFmt w:val="decimal"/>
      <w:lvlText w:val="%1."/>
      <w:lvlJc w:val="left"/>
      <w:pPr>
        <w:ind w:left="720" w:hanging="360"/>
      </w:pPr>
      <w:rPr>
        <w:rFonts w:hint="default"/>
      </w:rPr>
    </w:lvl>
    <w:lvl w:ilvl="1" w:tplc="BA583B90" w:tentative="1">
      <w:start w:val="1"/>
      <w:numFmt w:val="lowerLetter"/>
      <w:lvlText w:val="%2."/>
      <w:lvlJc w:val="left"/>
      <w:pPr>
        <w:ind w:left="1440" w:hanging="360"/>
      </w:pPr>
    </w:lvl>
    <w:lvl w:ilvl="2" w:tplc="4DCE49D2" w:tentative="1">
      <w:start w:val="1"/>
      <w:numFmt w:val="lowerRoman"/>
      <w:lvlText w:val="%3."/>
      <w:lvlJc w:val="right"/>
      <w:pPr>
        <w:ind w:left="2160" w:hanging="180"/>
      </w:pPr>
    </w:lvl>
    <w:lvl w:ilvl="3" w:tplc="5D0AD8A0" w:tentative="1">
      <w:start w:val="1"/>
      <w:numFmt w:val="decimal"/>
      <w:lvlText w:val="%4."/>
      <w:lvlJc w:val="left"/>
      <w:pPr>
        <w:ind w:left="2880" w:hanging="360"/>
      </w:pPr>
    </w:lvl>
    <w:lvl w:ilvl="4" w:tplc="031C93B2" w:tentative="1">
      <w:start w:val="1"/>
      <w:numFmt w:val="lowerLetter"/>
      <w:lvlText w:val="%5."/>
      <w:lvlJc w:val="left"/>
      <w:pPr>
        <w:ind w:left="3600" w:hanging="360"/>
      </w:pPr>
    </w:lvl>
    <w:lvl w:ilvl="5" w:tplc="AB9C0EC4" w:tentative="1">
      <w:start w:val="1"/>
      <w:numFmt w:val="lowerRoman"/>
      <w:lvlText w:val="%6."/>
      <w:lvlJc w:val="right"/>
      <w:pPr>
        <w:ind w:left="4320" w:hanging="180"/>
      </w:pPr>
    </w:lvl>
    <w:lvl w:ilvl="6" w:tplc="CB2A9D10" w:tentative="1">
      <w:start w:val="1"/>
      <w:numFmt w:val="decimal"/>
      <w:lvlText w:val="%7."/>
      <w:lvlJc w:val="left"/>
      <w:pPr>
        <w:ind w:left="5040" w:hanging="360"/>
      </w:pPr>
    </w:lvl>
    <w:lvl w:ilvl="7" w:tplc="FE8C01E6" w:tentative="1">
      <w:start w:val="1"/>
      <w:numFmt w:val="lowerLetter"/>
      <w:lvlText w:val="%8."/>
      <w:lvlJc w:val="left"/>
      <w:pPr>
        <w:ind w:left="5760" w:hanging="360"/>
      </w:pPr>
    </w:lvl>
    <w:lvl w:ilvl="8" w:tplc="15A2624A" w:tentative="1">
      <w:start w:val="1"/>
      <w:numFmt w:val="lowerRoman"/>
      <w:lvlText w:val="%9."/>
      <w:lvlJc w:val="right"/>
      <w:pPr>
        <w:ind w:left="6480" w:hanging="180"/>
      </w:pPr>
    </w:lvl>
  </w:abstractNum>
  <w:abstractNum w:abstractNumId="70" w15:restartNumberingAfterBreak="0">
    <w:nsid w:val="28D53DD1"/>
    <w:multiLevelType w:val="hybridMultilevel"/>
    <w:tmpl w:val="2F4616D4"/>
    <w:lvl w:ilvl="0" w:tplc="48487330">
      <w:start w:val="5"/>
      <w:numFmt w:val="decimal"/>
      <w:lvlText w:val="%1."/>
      <w:lvlJc w:val="left"/>
      <w:pPr>
        <w:ind w:left="930" w:hanging="570"/>
      </w:pPr>
      <w:rPr>
        <w:rFonts w:hint="default"/>
        <w:b w:val="0"/>
      </w:rPr>
    </w:lvl>
    <w:lvl w:ilvl="1" w:tplc="80ACD26E" w:tentative="1">
      <w:start w:val="1"/>
      <w:numFmt w:val="lowerLetter"/>
      <w:lvlText w:val="%2."/>
      <w:lvlJc w:val="left"/>
      <w:pPr>
        <w:ind w:left="1440" w:hanging="360"/>
      </w:pPr>
    </w:lvl>
    <w:lvl w:ilvl="2" w:tplc="859A0702" w:tentative="1">
      <w:start w:val="1"/>
      <w:numFmt w:val="lowerRoman"/>
      <w:lvlText w:val="%3."/>
      <w:lvlJc w:val="right"/>
      <w:pPr>
        <w:ind w:left="2160" w:hanging="180"/>
      </w:pPr>
    </w:lvl>
    <w:lvl w:ilvl="3" w:tplc="23D288F8" w:tentative="1">
      <w:start w:val="1"/>
      <w:numFmt w:val="decimal"/>
      <w:lvlText w:val="%4."/>
      <w:lvlJc w:val="left"/>
      <w:pPr>
        <w:ind w:left="2880" w:hanging="360"/>
      </w:pPr>
    </w:lvl>
    <w:lvl w:ilvl="4" w:tplc="1F50CA32" w:tentative="1">
      <w:start w:val="1"/>
      <w:numFmt w:val="lowerLetter"/>
      <w:lvlText w:val="%5."/>
      <w:lvlJc w:val="left"/>
      <w:pPr>
        <w:ind w:left="3600" w:hanging="360"/>
      </w:pPr>
    </w:lvl>
    <w:lvl w:ilvl="5" w:tplc="5B368D24" w:tentative="1">
      <w:start w:val="1"/>
      <w:numFmt w:val="lowerRoman"/>
      <w:lvlText w:val="%6."/>
      <w:lvlJc w:val="right"/>
      <w:pPr>
        <w:ind w:left="4320" w:hanging="180"/>
      </w:pPr>
    </w:lvl>
    <w:lvl w:ilvl="6" w:tplc="29B4687E" w:tentative="1">
      <w:start w:val="1"/>
      <w:numFmt w:val="decimal"/>
      <w:lvlText w:val="%7."/>
      <w:lvlJc w:val="left"/>
      <w:pPr>
        <w:ind w:left="5040" w:hanging="360"/>
      </w:pPr>
    </w:lvl>
    <w:lvl w:ilvl="7" w:tplc="066CCA7E" w:tentative="1">
      <w:start w:val="1"/>
      <w:numFmt w:val="lowerLetter"/>
      <w:lvlText w:val="%8."/>
      <w:lvlJc w:val="left"/>
      <w:pPr>
        <w:ind w:left="5760" w:hanging="360"/>
      </w:pPr>
    </w:lvl>
    <w:lvl w:ilvl="8" w:tplc="DE74AD58" w:tentative="1">
      <w:start w:val="1"/>
      <w:numFmt w:val="lowerRoman"/>
      <w:lvlText w:val="%9."/>
      <w:lvlJc w:val="right"/>
      <w:pPr>
        <w:ind w:left="6480" w:hanging="180"/>
      </w:pPr>
    </w:lvl>
  </w:abstractNum>
  <w:abstractNum w:abstractNumId="71" w15:restartNumberingAfterBreak="0">
    <w:nsid w:val="29FB3256"/>
    <w:multiLevelType w:val="hybridMultilevel"/>
    <w:tmpl w:val="64AEC576"/>
    <w:lvl w:ilvl="0" w:tplc="C3FC3570">
      <w:start w:val="1"/>
      <w:numFmt w:val="decimal"/>
      <w:lvlText w:val="%1."/>
      <w:lvlJc w:val="left"/>
      <w:pPr>
        <w:ind w:left="1080" w:hanging="360"/>
      </w:pPr>
      <w:rPr>
        <w:rFonts w:hint="default"/>
      </w:rPr>
    </w:lvl>
    <w:lvl w:ilvl="1" w:tplc="7C4017A8" w:tentative="1">
      <w:start w:val="1"/>
      <w:numFmt w:val="lowerLetter"/>
      <w:lvlText w:val="%2."/>
      <w:lvlJc w:val="left"/>
      <w:pPr>
        <w:ind w:left="1800" w:hanging="360"/>
      </w:pPr>
    </w:lvl>
    <w:lvl w:ilvl="2" w:tplc="E3387850" w:tentative="1">
      <w:start w:val="1"/>
      <w:numFmt w:val="lowerRoman"/>
      <w:lvlText w:val="%3."/>
      <w:lvlJc w:val="right"/>
      <w:pPr>
        <w:ind w:left="2520" w:hanging="180"/>
      </w:pPr>
    </w:lvl>
    <w:lvl w:ilvl="3" w:tplc="F1700DFA" w:tentative="1">
      <w:start w:val="1"/>
      <w:numFmt w:val="decimal"/>
      <w:lvlText w:val="%4."/>
      <w:lvlJc w:val="left"/>
      <w:pPr>
        <w:ind w:left="3240" w:hanging="360"/>
      </w:pPr>
    </w:lvl>
    <w:lvl w:ilvl="4" w:tplc="B52CFFD4" w:tentative="1">
      <w:start w:val="1"/>
      <w:numFmt w:val="lowerLetter"/>
      <w:lvlText w:val="%5."/>
      <w:lvlJc w:val="left"/>
      <w:pPr>
        <w:ind w:left="3960" w:hanging="360"/>
      </w:pPr>
    </w:lvl>
    <w:lvl w:ilvl="5" w:tplc="F0FA2C5A" w:tentative="1">
      <w:start w:val="1"/>
      <w:numFmt w:val="lowerRoman"/>
      <w:lvlText w:val="%6."/>
      <w:lvlJc w:val="right"/>
      <w:pPr>
        <w:ind w:left="4680" w:hanging="180"/>
      </w:pPr>
    </w:lvl>
    <w:lvl w:ilvl="6" w:tplc="088E712A" w:tentative="1">
      <w:start w:val="1"/>
      <w:numFmt w:val="decimal"/>
      <w:lvlText w:val="%7."/>
      <w:lvlJc w:val="left"/>
      <w:pPr>
        <w:ind w:left="5400" w:hanging="360"/>
      </w:pPr>
    </w:lvl>
    <w:lvl w:ilvl="7" w:tplc="BFCC6F60" w:tentative="1">
      <w:start w:val="1"/>
      <w:numFmt w:val="lowerLetter"/>
      <w:lvlText w:val="%8."/>
      <w:lvlJc w:val="left"/>
      <w:pPr>
        <w:ind w:left="6120" w:hanging="360"/>
      </w:pPr>
    </w:lvl>
    <w:lvl w:ilvl="8" w:tplc="373E8DB2" w:tentative="1">
      <w:start w:val="1"/>
      <w:numFmt w:val="lowerRoman"/>
      <w:lvlText w:val="%9."/>
      <w:lvlJc w:val="right"/>
      <w:pPr>
        <w:ind w:left="6840" w:hanging="180"/>
      </w:pPr>
    </w:lvl>
  </w:abstractNum>
  <w:abstractNum w:abstractNumId="72" w15:restartNumberingAfterBreak="0">
    <w:nsid w:val="2AD90C18"/>
    <w:multiLevelType w:val="hybridMultilevel"/>
    <w:tmpl w:val="50E60C10"/>
    <w:lvl w:ilvl="0" w:tplc="FE409DCA">
      <w:start w:val="1"/>
      <w:numFmt w:val="bullet"/>
      <w:lvlText w:val=""/>
      <w:lvlJc w:val="left"/>
      <w:pPr>
        <w:ind w:left="720" w:hanging="360"/>
      </w:pPr>
      <w:rPr>
        <w:rFonts w:ascii="Symbol" w:hAnsi="Symbol" w:hint="default"/>
      </w:rPr>
    </w:lvl>
    <w:lvl w:ilvl="1" w:tplc="FB082C6C" w:tentative="1">
      <w:start w:val="1"/>
      <w:numFmt w:val="bullet"/>
      <w:lvlText w:val="o"/>
      <w:lvlJc w:val="left"/>
      <w:pPr>
        <w:ind w:left="1440" w:hanging="360"/>
      </w:pPr>
      <w:rPr>
        <w:rFonts w:ascii="Courier New" w:hAnsi="Courier New" w:cs="Courier New" w:hint="default"/>
      </w:rPr>
    </w:lvl>
    <w:lvl w:ilvl="2" w:tplc="895299BA" w:tentative="1">
      <w:start w:val="1"/>
      <w:numFmt w:val="bullet"/>
      <w:lvlText w:val=""/>
      <w:lvlJc w:val="left"/>
      <w:pPr>
        <w:ind w:left="2160" w:hanging="360"/>
      </w:pPr>
      <w:rPr>
        <w:rFonts w:ascii="Wingdings" w:hAnsi="Wingdings" w:hint="default"/>
      </w:rPr>
    </w:lvl>
    <w:lvl w:ilvl="3" w:tplc="FC029AD4" w:tentative="1">
      <w:start w:val="1"/>
      <w:numFmt w:val="bullet"/>
      <w:lvlText w:val=""/>
      <w:lvlJc w:val="left"/>
      <w:pPr>
        <w:ind w:left="2880" w:hanging="360"/>
      </w:pPr>
      <w:rPr>
        <w:rFonts w:ascii="Symbol" w:hAnsi="Symbol" w:hint="default"/>
      </w:rPr>
    </w:lvl>
    <w:lvl w:ilvl="4" w:tplc="3056BA68" w:tentative="1">
      <w:start w:val="1"/>
      <w:numFmt w:val="bullet"/>
      <w:lvlText w:val="o"/>
      <w:lvlJc w:val="left"/>
      <w:pPr>
        <w:ind w:left="3600" w:hanging="360"/>
      </w:pPr>
      <w:rPr>
        <w:rFonts w:ascii="Courier New" w:hAnsi="Courier New" w:cs="Courier New" w:hint="default"/>
      </w:rPr>
    </w:lvl>
    <w:lvl w:ilvl="5" w:tplc="D46E41B8" w:tentative="1">
      <w:start w:val="1"/>
      <w:numFmt w:val="bullet"/>
      <w:lvlText w:val=""/>
      <w:lvlJc w:val="left"/>
      <w:pPr>
        <w:ind w:left="4320" w:hanging="360"/>
      </w:pPr>
      <w:rPr>
        <w:rFonts w:ascii="Wingdings" w:hAnsi="Wingdings" w:hint="default"/>
      </w:rPr>
    </w:lvl>
    <w:lvl w:ilvl="6" w:tplc="89DE7C28" w:tentative="1">
      <w:start w:val="1"/>
      <w:numFmt w:val="bullet"/>
      <w:lvlText w:val=""/>
      <w:lvlJc w:val="left"/>
      <w:pPr>
        <w:ind w:left="5040" w:hanging="360"/>
      </w:pPr>
      <w:rPr>
        <w:rFonts w:ascii="Symbol" w:hAnsi="Symbol" w:hint="default"/>
      </w:rPr>
    </w:lvl>
    <w:lvl w:ilvl="7" w:tplc="9720217E" w:tentative="1">
      <w:start w:val="1"/>
      <w:numFmt w:val="bullet"/>
      <w:lvlText w:val="o"/>
      <w:lvlJc w:val="left"/>
      <w:pPr>
        <w:ind w:left="5760" w:hanging="360"/>
      </w:pPr>
      <w:rPr>
        <w:rFonts w:ascii="Courier New" w:hAnsi="Courier New" w:cs="Courier New" w:hint="default"/>
      </w:rPr>
    </w:lvl>
    <w:lvl w:ilvl="8" w:tplc="2D90346C" w:tentative="1">
      <w:start w:val="1"/>
      <w:numFmt w:val="bullet"/>
      <w:lvlText w:val=""/>
      <w:lvlJc w:val="left"/>
      <w:pPr>
        <w:ind w:left="6480" w:hanging="360"/>
      </w:pPr>
      <w:rPr>
        <w:rFonts w:ascii="Wingdings" w:hAnsi="Wingdings" w:hint="default"/>
      </w:rPr>
    </w:lvl>
  </w:abstractNum>
  <w:abstractNum w:abstractNumId="73" w15:restartNumberingAfterBreak="0">
    <w:nsid w:val="2B227CBC"/>
    <w:multiLevelType w:val="hybridMultilevel"/>
    <w:tmpl w:val="FB2ED7D0"/>
    <w:lvl w:ilvl="0" w:tplc="CC0EF3A2">
      <w:start w:val="1"/>
      <w:numFmt w:val="bullet"/>
      <w:lvlText w:val=""/>
      <w:lvlJc w:val="left"/>
      <w:pPr>
        <w:ind w:left="720" w:hanging="360"/>
      </w:pPr>
      <w:rPr>
        <w:rFonts w:ascii="Symbol" w:hAnsi="Symbol" w:hint="default"/>
        <w:sz w:val="22"/>
      </w:rPr>
    </w:lvl>
    <w:lvl w:ilvl="1" w:tplc="310E6AD8" w:tentative="1">
      <w:start w:val="1"/>
      <w:numFmt w:val="bullet"/>
      <w:lvlText w:val="o"/>
      <w:lvlJc w:val="left"/>
      <w:pPr>
        <w:ind w:left="1440" w:hanging="360"/>
      </w:pPr>
      <w:rPr>
        <w:rFonts w:ascii="Courier New" w:hAnsi="Courier New" w:cs="Courier New" w:hint="default"/>
      </w:rPr>
    </w:lvl>
    <w:lvl w:ilvl="2" w:tplc="5568F044" w:tentative="1">
      <w:start w:val="1"/>
      <w:numFmt w:val="bullet"/>
      <w:lvlText w:val=""/>
      <w:lvlJc w:val="left"/>
      <w:pPr>
        <w:ind w:left="2160" w:hanging="360"/>
      </w:pPr>
      <w:rPr>
        <w:rFonts w:ascii="Wingdings" w:hAnsi="Wingdings" w:hint="default"/>
      </w:rPr>
    </w:lvl>
    <w:lvl w:ilvl="3" w:tplc="0D12EDCC" w:tentative="1">
      <w:start w:val="1"/>
      <w:numFmt w:val="bullet"/>
      <w:lvlText w:val=""/>
      <w:lvlJc w:val="left"/>
      <w:pPr>
        <w:ind w:left="2880" w:hanging="360"/>
      </w:pPr>
      <w:rPr>
        <w:rFonts w:ascii="Symbol" w:hAnsi="Symbol" w:hint="default"/>
      </w:rPr>
    </w:lvl>
    <w:lvl w:ilvl="4" w:tplc="3A02EA34" w:tentative="1">
      <w:start w:val="1"/>
      <w:numFmt w:val="bullet"/>
      <w:lvlText w:val="o"/>
      <w:lvlJc w:val="left"/>
      <w:pPr>
        <w:ind w:left="3600" w:hanging="360"/>
      </w:pPr>
      <w:rPr>
        <w:rFonts w:ascii="Courier New" w:hAnsi="Courier New" w:cs="Courier New" w:hint="default"/>
      </w:rPr>
    </w:lvl>
    <w:lvl w:ilvl="5" w:tplc="5B9AA15C" w:tentative="1">
      <w:start w:val="1"/>
      <w:numFmt w:val="bullet"/>
      <w:lvlText w:val=""/>
      <w:lvlJc w:val="left"/>
      <w:pPr>
        <w:ind w:left="4320" w:hanging="360"/>
      </w:pPr>
      <w:rPr>
        <w:rFonts w:ascii="Wingdings" w:hAnsi="Wingdings" w:hint="default"/>
      </w:rPr>
    </w:lvl>
    <w:lvl w:ilvl="6" w:tplc="E5D6C044" w:tentative="1">
      <w:start w:val="1"/>
      <w:numFmt w:val="bullet"/>
      <w:lvlText w:val=""/>
      <w:lvlJc w:val="left"/>
      <w:pPr>
        <w:ind w:left="5040" w:hanging="360"/>
      </w:pPr>
      <w:rPr>
        <w:rFonts w:ascii="Symbol" w:hAnsi="Symbol" w:hint="default"/>
      </w:rPr>
    </w:lvl>
    <w:lvl w:ilvl="7" w:tplc="AA5036CC" w:tentative="1">
      <w:start w:val="1"/>
      <w:numFmt w:val="bullet"/>
      <w:lvlText w:val="o"/>
      <w:lvlJc w:val="left"/>
      <w:pPr>
        <w:ind w:left="5760" w:hanging="360"/>
      </w:pPr>
      <w:rPr>
        <w:rFonts w:ascii="Courier New" w:hAnsi="Courier New" w:cs="Courier New" w:hint="default"/>
      </w:rPr>
    </w:lvl>
    <w:lvl w:ilvl="8" w:tplc="C2D26722" w:tentative="1">
      <w:start w:val="1"/>
      <w:numFmt w:val="bullet"/>
      <w:lvlText w:val=""/>
      <w:lvlJc w:val="left"/>
      <w:pPr>
        <w:ind w:left="6480" w:hanging="360"/>
      </w:pPr>
      <w:rPr>
        <w:rFonts w:ascii="Wingdings" w:hAnsi="Wingdings" w:hint="default"/>
      </w:rPr>
    </w:lvl>
  </w:abstractNum>
  <w:abstractNum w:abstractNumId="74" w15:restartNumberingAfterBreak="0">
    <w:nsid w:val="2BA77086"/>
    <w:multiLevelType w:val="hybridMultilevel"/>
    <w:tmpl w:val="A1D4E61E"/>
    <w:lvl w:ilvl="0" w:tplc="181EA192">
      <w:start w:val="5"/>
      <w:numFmt w:val="decimal"/>
      <w:lvlText w:val="%1."/>
      <w:lvlJc w:val="left"/>
      <w:pPr>
        <w:ind w:left="720" w:hanging="360"/>
      </w:pPr>
      <w:rPr>
        <w:rFonts w:hint="default"/>
        <w:b w:val="0"/>
      </w:rPr>
    </w:lvl>
    <w:lvl w:ilvl="1" w:tplc="0632FB2A" w:tentative="1">
      <w:start w:val="1"/>
      <w:numFmt w:val="lowerLetter"/>
      <w:lvlText w:val="%2."/>
      <w:lvlJc w:val="left"/>
      <w:pPr>
        <w:ind w:left="1440" w:hanging="360"/>
      </w:pPr>
    </w:lvl>
    <w:lvl w:ilvl="2" w:tplc="199E31E0" w:tentative="1">
      <w:start w:val="1"/>
      <w:numFmt w:val="lowerRoman"/>
      <w:lvlText w:val="%3."/>
      <w:lvlJc w:val="right"/>
      <w:pPr>
        <w:ind w:left="2160" w:hanging="180"/>
      </w:pPr>
    </w:lvl>
    <w:lvl w:ilvl="3" w:tplc="DD886782" w:tentative="1">
      <w:start w:val="1"/>
      <w:numFmt w:val="decimal"/>
      <w:lvlText w:val="%4."/>
      <w:lvlJc w:val="left"/>
      <w:pPr>
        <w:ind w:left="2880" w:hanging="360"/>
      </w:pPr>
    </w:lvl>
    <w:lvl w:ilvl="4" w:tplc="62CE01B0" w:tentative="1">
      <w:start w:val="1"/>
      <w:numFmt w:val="lowerLetter"/>
      <w:lvlText w:val="%5."/>
      <w:lvlJc w:val="left"/>
      <w:pPr>
        <w:ind w:left="3600" w:hanging="360"/>
      </w:pPr>
    </w:lvl>
    <w:lvl w:ilvl="5" w:tplc="09DEF7E4" w:tentative="1">
      <w:start w:val="1"/>
      <w:numFmt w:val="lowerRoman"/>
      <w:lvlText w:val="%6."/>
      <w:lvlJc w:val="right"/>
      <w:pPr>
        <w:ind w:left="4320" w:hanging="180"/>
      </w:pPr>
    </w:lvl>
    <w:lvl w:ilvl="6" w:tplc="8E5AA558" w:tentative="1">
      <w:start w:val="1"/>
      <w:numFmt w:val="decimal"/>
      <w:lvlText w:val="%7."/>
      <w:lvlJc w:val="left"/>
      <w:pPr>
        <w:ind w:left="5040" w:hanging="360"/>
      </w:pPr>
    </w:lvl>
    <w:lvl w:ilvl="7" w:tplc="A2C4AA56" w:tentative="1">
      <w:start w:val="1"/>
      <w:numFmt w:val="lowerLetter"/>
      <w:lvlText w:val="%8."/>
      <w:lvlJc w:val="left"/>
      <w:pPr>
        <w:ind w:left="5760" w:hanging="360"/>
      </w:pPr>
    </w:lvl>
    <w:lvl w:ilvl="8" w:tplc="1436B53A" w:tentative="1">
      <w:start w:val="1"/>
      <w:numFmt w:val="lowerRoman"/>
      <w:lvlText w:val="%9."/>
      <w:lvlJc w:val="right"/>
      <w:pPr>
        <w:ind w:left="6480" w:hanging="180"/>
      </w:pPr>
    </w:lvl>
  </w:abstractNum>
  <w:abstractNum w:abstractNumId="75" w15:restartNumberingAfterBreak="0">
    <w:nsid w:val="2DB77326"/>
    <w:multiLevelType w:val="hybridMultilevel"/>
    <w:tmpl w:val="7D800466"/>
    <w:lvl w:ilvl="0" w:tplc="2D34A138">
      <w:start w:val="1"/>
      <w:numFmt w:val="bullet"/>
      <w:lvlText w:val=""/>
      <w:lvlJc w:val="left"/>
      <w:pPr>
        <w:ind w:left="720" w:hanging="360"/>
      </w:pPr>
      <w:rPr>
        <w:rFonts w:ascii="Symbol" w:hAnsi="Symbol" w:hint="default"/>
      </w:rPr>
    </w:lvl>
    <w:lvl w:ilvl="1" w:tplc="54C6B92E" w:tentative="1">
      <w:start w:val="1"/>
      <w:numFmt w:val="bullet"/>
      <w:lvlText w:val="o"/>
      <w:lvlJc w:val="left"/>
      <w:pPr>
        <w:ind w:left="1440" w:hanging="360"/>
      </w:pPr>
      <w:rPr>
        <w:rFonts w:ascii="Courier New" w:hAnsi="Courier New" w:cs="Courier New" w:hint="default"/>
      </w:rPr>
    </w:lvl>
    <w:lvl w:ilvl="2" w:tplc="A0AC91A0" w:tentative="1">
      <w:start w:val="1"/>
      <w:numFmt w:val="bullet"/>
      <w:lvlText w:val=""/>
      <w:lvlJc w:val="left"/>
      <w:pPr>
        <w:ind w:left="2160" w:hanging="360"/>
      </w:pPr>
      <w:rPr>
        <w:rFonts w:ascii="Wingdings" w:hAnsi="Wingdings" w:hint="default"/>
      </w:rPr>
    </w:lvl>
    <w:lvl w:ilvl="3" w:tplc="2E0AB178" w:tentative="1">
      <w:start w:val="1"/>
      <w:numFmt w:val="bullet"/>
      <w:lvlText w:val=""/>
      <w:lvlJc w:val="left"/>
      <w:pPr>
        <w:ind w:left="2880" w:hanging="360"/>
      </w:pPr>
      <w:rPr>
        <w:rFonts w:ascii="Symbol" w:hAnsi="Symbol" w:hint="default"/>
      </w:rPr>
    </w:lvl>
    <w:lvl w:ilvl="4" w:tplc="DC8ECAE6" w:tentative="1">
      <w:start w:val="1"/>
      <w:numFmt w:val="bullet"/>
      <w:lvlText w:val="o"/>
      <w:lvlJc w:val="left"/>
      <w:pPr>
        <w:ind w:left="3600" w:hanging="360"/>
      </w:pPr>
      <w:rPr>
        <w:rFonts w:ascii="Courier New" w:hAnsi="Courier New" w:cs="Courier New" w:hint="default"/>
      </w:rPr>
    </w:lvl>
    <w:lvl w:ilvl="5" w:tplc="580421BE" w:tentative="1">
      <w:start w:val="1"/>
      <w:numFmt w:val="bullet"/>
      <w:lvlText w:val=""/>
      <w:lvlJc w:val="left"/>
      <w:pPr>
        <w:ind w:left="4320" w:hanging="360"/>
      </w:pPr>
      <w:rPr>
        <w:rFonts w:ascii="Wingdings" w:hAnsi="Wingdings" w:hint="default"/>
      </w:rPr>
    </w:lvl>
    <w:lvl w:ilvl="6" w:tplc="DF2AF392" w:tentative="1">
      <w:start w:val="1"/>
      <w:numFmt w:val="bullet"/>
      <w:lvlText w:val=""/>
      <w:lvlJc w:val="left"/>
      <w:pPr>
        <w:ind w:left="5040" w:hanging="360"/>
      </w:pPr>
      <w:rPr>
        <w:rFonts w:ascii="Symbol" w:hAnsi="Symbol" w:hint="default"/>
      </w:rPr>
    </w:lvl>
    <w:lvl w:ilvl="7" w:tplc="B8F08410" w:tentative="1">
      <w:start w:val="1"/>
      <w:numFmt w:val="bullet"/>
      <w:lvlText w:val="o"/>
      <w:lvlJc w:val="left"/>
      <w:pPr>
        <w:ind w:left="5760" w:hanging="360"/>
      </w:pPr>
      <w:rPr>
        <w:rFonts w:ascii="Courier New" w:hAnsi="Courier New" w:cs="Courier New" w:hint="default"/>
      </w:rPr>
    </w:lvl>
    <w:lvl w:ilvl="8" w:tplc="C8F6367C" w:tentative="1">
      <w:start w:val="1"/>
      <w:numFmt w:val="bullet"/>
      <w:lvlText w:val=""/>
      <w:lvlJc w:val="left"/>
      <w:pPr>
        <w:ind w:left="6480" w:hanging="360"/>
      </w:pPr>
      <w:rPr>
        <w:rFonts w:ascii="Wingdings" w:hAnsi="Wingdings" w:hint="default"/>
      </w:rPr>
    </w:lvl>
  </w:abstractNum>
  <w:abstractNum w:abstractNumId="76" w15:restartNumberingAfterBreak="0">
    <w:nsid w:val="2F2841EF"/>
    <w:multiLevelType w:val="hybridMultilevel"/>
    <w:tmpl w:val="5EBA98F0"/>
    <w:lvl w:ilvl="0" w:tplc="DE4EE7D6">
      <w:start w:val="2"/>
      <w:numFmt w:val="decimal"/>
      <w:lvlText w:val="%1."/>
      <w:lvlJc w:val="left"/>
      <w:pPr>
        <w:ind w:left="1080" w:hanging="360"/>
      </w:pPr>
      <w:rPr>
        <w:rFonts w:hint="default"/>
      </w:rPr>
    </w:lvl>
    <w:lvl w:ilvl="1" w:tplc="881065DE" w:tentative="1">
      <w:start w:val="1"/>
      <w:numFmt w:val="lowerLetter"/>
      <w:lvlText w:val="%2."/>
      <w:lvlJc w:val="left"/>
      <w:pPr>
        <w:ind w:left="1440" w:hanging="360"/>
      </w:pPr>
    </w:lvl>
    <w:lvl w:ilvl="2" w:tplc="657E0512" w:tentative="1">
      <w:start w:val="1"/>
      <w:numFmt w:val="lowerRoman"/>
      <w:lvlText w:val="%3."/>
      <w:lvlJc w:val="right"/>
      <w:pPr>
        <w:ind w:left="2160" w:hanging="180"/>
      </w:pPr>
    </w:lvl>
    <w:lvl w:ilvl="3" w:tplc="BDA630D8" w:tentative="1">
      <w:start w:val="1"/>
      <w:numFmt w:val="decimal"/>
      <w:lvlText w:val="%4."/>
      <w:lvlJc w:val="left"/>
      <w:pPr>
        <w:ind w:left="2880" w:hanging="360"/>
      </w:pPr>
    </w:lvl>
    <w:lvl w:ilvl="4" w:tplc="5150EEBE" w:tentative="1">
      <w:start w:val="1"/>
      <w:numFmt w:val="lowerLetter"/>
      <w:lvlText w:val="%5."/>
      <w:lvlJc w:val="left"/>
      <w:pPr>
        <w:ind w:left="3600" w:hanging="360"/>
      </w:pPr>
    </w:lvl>
    <w:lvl w:ilvl="5" w:tplc="7CD20398" w:tentative="1">
      <w:start w:val="1"/>
      <w:numFmt w:val="lowerRoman"/>
      <w:lvlText w:val="%6."/>
      <w:lvlJc w:val="right"/>
      <w:pPr>
        <w:ind w:left="4320" w:hanging="180"/>
      </w:pPr>
    </w:lvl>
    <w:lvl w:ilvl="6" w:tplc="2148366C" w:tentative="1">
      <w:start w:val="1"/>
      <w:numFmt w:val="decimal"/>
      <w:lvlText w:val="%7."/>
      <w:lvlJc w:val="left"/>
      <w:pPr>
        <w:ind w:left="5040" w:hanging="360"/>
      </w:pPr>
    </w:lvl>
    <w:lvl w:ilvl="7" w:tplc="2BAA7070" w:tentative="1">
      <w:start w:val="1"/>
      <w:numFmt w:val="lowerLetter"/>
      <w:lvlText w:val="%8."/>
      <w:lvlJc w:val="left"/>
      <w:pPr>
        <w:ind w:left="5760" w:hanging="360"/>
      </w:pPr>
    </w:lvl>
    <w:lvl w:ilvl="8" w:tplc="10306EB0" w:tentative="1">
      <w:start w:val="1"/>
      <w:numFmt w:val="lowerRoman"/>
      <w:lvlText w:val="%9."/>
      <w:lvlJc w:val="right"/>
      <w:pPr>
        <w:ind w:left="6480" w:hanging="180"/>
      </w:pPr>
    </w:lvl>
  </w:abstractNum>
  <w:abstractNum w:abstractNumId="77" w15:restartNumberingAfterBreak="0">
    <w:nsid w:val="30166DEE"/>
    <w:multiLevelType w:val="hybridMultilevel"/>
    <w:tmpl w:val="3F24A106"/>
    <w:lvl w:ilvl="0" w:tplc="DCB4940E">
      <w:start w:val="38"/>
      <w:numFmt w:val="bullet"/>
      <w:lvlText w:val="-"/>
      <w:lvlJc w:val="left"/>
      <w:pPr>
        <w:ind w:left="720" w:hanging="360"/>
      </w:pPr>
      <w:rPr>
        <w:rFonts w:hint="default"/>
      </w:rPr>
    </w:lvl>
    <w:lvl w:ilvl="1" w:tplc="81A63BC4" w:tentative="1">
      <w:start w:val="1"/>
      <w:numFmt w:val="bullet"/>
      <w:lvlText w:val="o"/>
      <w:lvlJc w:val="left"/>
      <w:pPr>
        <w:ind w:left="1440" w:hanging="360"/>
      </w:pPr>
      <w:rPr>
        <w:rFonts w:ascii="Courier New" w:hAnsi="Courier New" w:cs="Courier New" w:hint="default"/>
      </w:rPr>
    </w:lvl>
    <w:lvl w:ilvl="2" w:tplc="35321946" w:tentative="1">
      <w:start w:val="1"/>
      <w:numFmt w:val="bullet"/>
      <w:lvlText w:val=""/>
      <w:lvlJc w:val="left"/>
      <w:pPr>
        <w:ind w:left="2160" w:hanging="360"/>
      </w:pPr>
      <w:rPr>
        <w:rFonts w:ascii="Wingdings" w:hAnsi="Wingdings" w:hint="default"/>
      </w:rPr>
    </w:lvl>
    <w:lvl w:ilvl="3" w:tplc="03ECADDA" w:tentative="1">
      <w:start w:val="1"/>
      <w:numFmt w:val="bullet"/>
      <w:lvlText w:val=""/>
      <w:lvlJc w:val="left"/>
      <w:pPr>
        <w:ind w:left="2880" w:hanging="360"/>
      </w:pPr>
      <w:rPr>
        <w:rFonts w:ascii="Symbol" w:hAnsi="Symbol" w:hint="default"/>
      </w:rPr>
    </w:lvl>
    <w:lvl w:ilvl="4" w:tplc="2F90F976" w:tentative="1">
      <w:start w:val="1"/>
      <w:numFmt w:val="bullet"/>
      <w:lvlText w:val="o"/>
      <w:lvlJc w:val="left"/>
      <w:pPr>
        <w:ind w:left="3600" w:hanging="360"/>
      </w:pPr>
      <w:rPr>
        <w:rFonts w:ascii="Courier New" w:hAnsi="Courier New" w:cs="Courier New" w:hint="default"/>
      </w:rPr>
    </w:lvl>
    <w:lvl w:ilvl="5" w:tplc="D72A0D62" w:tentative="1">
      <w:start w:val="1"/>
      <w:numFmt w:val="bullet"/>
      <w:lvlText w:val=""/>
      <w:lvlJc w:val="left"/>
      <w:pPr>
        <w:ind w:left="4320" w:hanging="360"/>
      </w:pPr>
      <w:rPr>
        <w:rFonts w:ascii="Wingdings" w:hAnsi="Wingdings" w:hint="default"/>
      </w:rPr>
    </w:lvl>
    <w:lvl w:ilvl="6" w:tplc="CE56413A" w:tentative="1">
      <w:start w:val="1"/>
      <w:numFmt w:val="bullet"/>
      <w:lvlText w:val=""/>
      <w:lvlJc w:val="left"/>
      <w:pPr>
        <w:ind w:left="5040" w:hanging="360"/>
      </w:pPr>
      <w:rPr>
        <w:rFonts w:ascii="Symbol" w:hAnsi="Symbol" w:hint="default"/>
      </w:rPr>
    </w:lvl>
    <w:lvl w:ilvl="7" w:tplc="A11E9FAE" w:tentative="1">
      <w:start w:val="1"/>
      <w:numFmt w:val="bullet"/>
      <w:lvlText w:val="o"/>
      <w:lvlJc w:val="left"/>
      <w:pPr>
        <w:ind w:left="5760" w:hanging="360"/>
      </w:pPr>
      <w:rPr>
        <w:rFonts w:ascii="Courier New" w:hAnsi="Courier New" w:cs="Courier New" w:hint="default"/>
      </w:rPr>
    </w:lvl>
    <w:lvl w:ilvl="8" w:tplc="5F62AB82" w:tentative="1">
      <w:start w:val="1"/>
      <w:numFmt w:val="bullet"/>
      <w:lvlText w:val=""/>
      <w:lvlJc w:val="left"/>
      <w:pPr>
        <w:ind w:left="6480" w:hanging="360"/>
      </w:pPr>
      <w:rPr>
        <w:rFonts w:ascii="Wingdings" w:hAnsi="Wingdings" w:hint="default"/>
      </w:rPr>
    </w:lvl>
  </w:abstractNum>
  <w:abstractNum w:abstractNumId="78" w15:restartNumberingAfterBreak="0">
    <w:nsid w:val="32D42E27"/>
    <w:multiLevelType w:val="hybridMultilevel"/>
    <w:tmpl w:val="AF3C2922"/>
    <w:lvl w:ilvl="0" w:tplc="8FA89F22">
      <w:start w:val="1"/>
      <w:numFmt w:val="bullet"/>
      <w:lvlText w:val=""/>
      <w:lvlJc w:val="left"/>
      <w:pPr>
        <w:tabs>
          <w:tab w:val="num" w:pos="567"/>
        </w:tabs>
        <w:ind w:left="567" w:hanging="567"/>
      </w:pPr>
      <w:rPr>
        <w:rFonts w:ascii="Symbol" w:hAnsi="Symbol" w:hint="default"/>
        <w:color w:val="auto"/>
      </w:rPr>
    </w:lvl>
    <w:lvl w:ilvl="1" w:tplc="524223BC" w:tentative="1">
      <w:start w:val="1"/>
      <w:numFmt w:val="bullet"/>
      <w:lvlText w:val="o"/>
      <w:lvlJc w:val="left"/>
      <w:pPr>
        <w:tabs>
          <w:tab w:val="num" w:pos="1440"/>
        </w:tabs>
        <w:ind w:left="1440" w:hanging="360"/>
      </w:pPr>
      <w:rPr>
        <w:rFonts w:ascii="Courier New" w:hAnsi="Courier New" w:hint="default"/>
      </w:rPr>
    </w:lvl>
    <w:lvl w:ilvl="2" w:tplc="43928B3C" w:tentative="1">
      <w:start w:val="1"/>
      <w:numFmt w:val="bullet"/>
      <w:lvlText w:val=""/>
      <w:lvlJc w:val="left"/>
      <w:pPr>
        <w:tabs>
          <w:tab w:val="num" w:pos="2160"/>
        </w:tabs>
        <w:ind w:left="2160" w:hanging="360"/>
      </w:pPr>
      <w:rPr>
        <w:rFonts w:ascii="Wingdings" w:hAnsi="Wingdings" w:hint="default"/>
      </w:rPr>
    </w:lvl>
    <w:lvl w:ilvl="3" w:tplc="15861E9E" w:tentative="1">
      <w:start w:val="1"/>
      <w:numFmt w:val="bullet"/>
      <w:lvlText w:val=""/>
      <w:lvlJc w:val="left"/>
      <w:pPr>
        <w:tabs>
          <w:tab w:val="num" w:pos="2880"/>
        </w:tabs>
        <w:ind w:left="2880" w:hanging="360"/>
      </w:pPr>
      <w:rPr>
        <w:rFonts w:ascii="Symbol" w:hAnsi="Symbol" w:hint="default"/>
      </w:rPr>
    </w:lvl>
    <w:lvl w:ilvl="4" w:tplc="F030FC7C" w:tentative="1">
      <w:start w:val="1"/>
      <w:numFmt w:val="bullet"/>
      <w:lvlText w:val="o"/>
      <w:lvlJc w:val="left"/>
      <w:pPr>
        <w:tabs>
          <w:tab w:val="num" w:pos="3600"/>
        </w:tabs>
        <w:ind w:left="3600" w:hanging="360"/>
      </w:pPr>
      <w:rPr>
        <w:rFonts w:ascii="Courier New" w:hAnsi="Courier New" w:hint="default"/>
      </w:rPr>
    </w:lvl>
    <w:lvl w:ilvl="5" w:tplc="EDC062AC" w:tentative="1">
      <w:start w:val="1"/>
      <w:numFmt w:val="bullet"/>
      <w:lvlText w:val=""/>
      <w:lvlJc w:val="left"/>
      <w:pPr>
        <w:tabs>
          <w:tab w:val="num" w:pos="4320"/>
        </w:tabs>
        <w:ind w:left="4320" w:hanging="360"/>
      </w:pPr>
      <w:rPr>
        <w:rFonts w:ascii="Wingdings" w:hAnsi="Wingdings" w:hint="default"/>
      </w:rPr>
    </w:lvl>
    <w:lvl w:ilvl="6" w:tplc="FE34C504" w:tentative="1">
      <w:start w:val="1"/>
      <w:numFmt w:val="bullet"/>
      <w:lvlText w:val=""/>
      <w:lvlJc w:val="left"/>
      <w:pPr>
        <w:tabs>
          <w:tab w:val="num" w:pos="5040"/>
        </w:tabs>
        <w:ind w:left="5040" w:hanging="360"/>
      </w:pPr>
      <w:rPr>
        <w:rFonts w:ascii="Symbol" w:hAnsi="Symbol" w:hint="default"/>
      </w:rPr>
    </w:lvl>
    <w:lvl w:ilvl="7" w:tplc="CC1A9A66" w:tentative="1">
      <w:start w:val="1"/>
      <w:numFmt w:val="bullet"/>
      <w:lvlText w:val="o"/>
      <w:lvlJc w:val="left"/>
      <w:pPr>
        <w:tabs>
          <w:tab w:val="num" w:pos="5760"/>
        </w:tabs>
        <w:ind w:left="5760" w:hanging="360"/>
      </w:pPr>
      <w:rPr>
        <w:rFonts w:ascii="Courier New" w:hAnsi="Courier New" w:hint="default"/>
      </w:rPr>
    </w:lvl>
    <w:lvl w:ilvl="8" w:tplc="D7C4F62C"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33050DBE"/>
    <w:multiLevelType w:val="hybridMultilevel"/>
    <w:tmpl w:val="D8A6F43C"/>
    <w:lvl w:ilvl="0" w:tplc="FCFCF188">
      <w:start w:val="3"/>
      <w:numFmt w:val="decimal"/>
      <w:lvlText w:val="%1."/>
      <w:lvlJc w:val="left"/>
      <w:pPr>
        <w:ind w:left="1080" w:hanging="360"/>
      </w:pPr>
      <w:rPr>
        <w:rFonts w:hint="default"/>
      </w:rPr>
    </w:lvl>
    <w:lvl w:ilvl="1" w:tplc="81D8AAA8" w:tentative="1">
      <w:start w:val="1"/>
      <w:numFmt w:val="lowerLetter"/>
      <w:lvlText w:val="%2."/>
      <w:lvlJc w:val="left"/>
      <w:pPr>
        <w:ind w:left="1440" w:hanging="360"/>
      </w:pPr>
    </w:lvl>
    <w:lvl w:ilvl="2" w:tplc="67547324" w:tentative="1">
      <w:start w:val="1"/>
      <w:numFmt w:val="lowerRoman"/>
      <w:lvlText w:val="%3."/>
      <w:lvlJc w:val="right"/>
      <w:pPr>
        <w:ind w:left="2160" w:hanging="180"/>
      </w:pPr>
    </w:lvl>
    <w:lvl w:ilvl="3" w:tplc="B200167C" w:tentative="1">
      <w:start w:val="1"/>
      <w:numFmt w:val="decimal"/>
      <w:lvlText w:val="%4."/>
      <w:lvlJc w:val="left"/>
      <w:pPr>
        <w:ind w:left="2880" w:hanging="360"/>
      </w:pPr>
    </w:lvl>
    <w:lvl w:ilvl="4" w:tplc="043E24F6" w:tentative="1">
      <w:start w:val="1"/>
      <w:numFmt w:val="lowerLetter"/>
      <w:lvlText w:val="%5."/>
      <w:lvlJc w:val="left"/>
      <w:pPr>
        <w:ind w:left="3600" w:hanging="360"/>
      </w:pPr>
    </w:lvl>
    <w:lvl w:ilvl="5" w:tplc="5EDA24C0" w:tentative="1">
      <w:start w:val="1"/>
      <w:numFmt w:val="lowerRoman"/>
      <w:lvlText w:val="%6."/>
      <w:lvlJc w:val="right"/>
      <w:pPr>
        <w:ind w:left="4320" w:hanging="180"/>
      </w:pPr>
    </w:lvl>
    <w:lvl w:ilvl="6" w:tplc="4FDAF7B2" w:tentative="1">
      <w:start w:val="1"/>
      <w:numFmt w:val="decimal"/>
      <w:lvlText w:val="%7."/>
      <w:lvlJc w:val="left"/>
      <w:pPr>
        <w:ind w:left="5040" w:hanging="360"/>
      </w:pPr>
    </w:lvl>
    <w:lvl w:ilvl="7" w:tplc="FF6EC47A" w:tentative="1">
      <w:start w:val="1"/>
      <w:numFmt w:val="lowerLetter"/>
      <w:lvlText w:val="%8."/>
      <w:lvlJc w:val="left"/>
      <w:pPr>
        <w:ind w:left="5760" w:hanging="360"/>
      </w:pPr>
    </w:lvl>
    <w:lvl w:ilvl="8" w:tplc="20D844AC" w:tentative="1">
      <w:start w:val="1"/>
      <w:numFmt w:val="lowerRoman"/>
      <w:lvlText w:val="%9."/>
      <w:lvlJc w:val="right"/>
      <w:pPr>
        <w:ind w:left="6480" w:hanging="180"/>
      </w:pPr>
    </w:lvl>
  </w:abstractNum>
  <w:abstractNum w:abstractNumId="80" w15:restartNumberingAfterBreak="0">
    <w:nsid w:val="338B2A09"/>
    <w:multiLevelType w:val="hybridMultilevel"/>
    <w:tmpl w:val="64AEC576"/>
    <w:lvl w:ilvl="0" w:tplc="3CEED68C">
      <w:start w:val="1"/>
      <w:numFmt w:val="decimal"/>
      <w:lvlText w:val="%1."/>
      <w:lvlJc w:val="left"/>
      <w:pPr>
        <w:ind w:left="1080" w:hanging="360"/>
      </w:pPr>
      <w:rPr>
        <w:rFonts w:hint="default"/>
      </w:rPr>
    </w:lvl>
    <w:lvl w:ilvl="1" w:tplc="4CC474B8" w:tentative="1">
      <w:start w:val="1"/>
      <w:numFmt w:val="lowerLetter"/>
      <w:lvlText w:val="%2."/>
      <w:lvlJc w:val="left"/>
      <w:pPr>
        <w:ind w:left="1800" w:hanging="360"/>
      </w:pPr>
    </w:lvl>
    <w:lvl w:ilvl="2" w:tplc="3F18E3C6" w:tentative="1">
      <w:start w:val="1"/>
      <w:numFmt w:val="lowerRoman"/>
      <w:lvlText w:val="%3."/>
      <w:lvlJc w:val="right"/>
      <w:pPr>
        <w:ind w:left="2520" w:hanging="180"/>
      </w:pPr>
    </w:lvl>
    <w:lvl w:ilvl="3" w:tplc="E110E220" w:tentative="1">
      <w:start w:val="1"/>
      <w:numFmt w:val="decimal"/>
      <w:lvlText w:val="%4."/>
      <w:lvlJc w:val="left"/>
      <w:pPr>
        <w:ind w:left="3240" w:hanging="360"/>
      </w:pPr>
    </w:lvl>
    <w:lvl w:ilvl="4" w:tplc="84E2359A" w:tentative="1">
      <w:start w:val="1"/>
      <w:numFmt w:val="lowerLetter"/>
      <w:lvlText w:val="%5."/>
      <w:lvlJc w:val="left"/>
      <w:pPr>
        <w:ind w:left="3960" w:hanging="360"/>
      </w:pPr>
    </w:lvl>
    <w:lvl w:ilvl="5" w:tplc="E6B446FA" w:tentative="1">
      <w:start w:val="1"/>
      <w:numFmt w:val="lowerRoman"/>
      <w:lvlText w:val="%6."/>
      <w:lvlJc w:val="right"/>
      <w:pPr>
        <w:ind w:left="4680" w:hanging="180"/>
      </w:pPr>
    </w:lvl>
    <w:lvl w:ilvl="6" w:tplc="55D6736E" w:tentative="1">
      <w:start w:val="1"/>
      <w:numFmt w:val="decimal"/>
      <w:lvlText w:val="%7."/>
      <w:lvlJc w:val="left"/>
      <w:pPr>
        <w:ind w:left="5400" w:hanging="360"/>
      </w:pPr>
    </w:lvl>
    <w:lvl w:ilvl="7" w:tplc="9BEAC62C" w:tentative="1">
      <w:start w:val="1"/>
      <w:numFmt w:val="lowerLetter"/>
      <w:lvlText w:val="%8."/>
      <w:lvlJc w:val="left"/>
      <w:pPr>
        <w:ind w:left="6120" w:hanging="360"/>
      </w:pPr>
    </w:lvl>
    <w:lvl w:ilvl="8" w:tplc="FE8E3092" w:tentative="1">
      <w:start w:val="1"/>
      <w:numFmt w:val="lowerRoman"/>
      <w:lvlText w:val="%9."/>
      <w:lvlJc w:val="right"/>
      <w:pPr>
        <w:ind w:left="6840" w:hanging="180"/>
      </w:pPr>
    </w:lvl>
  </w:abstractNum>
  <w:abstractNum w:abstractNumId="81" w15:restartNumberingAfterBreak="0">
    <w:nsid w:val="33CD0420"/>
    <w:multiLevelType w:val="hybridMultilevel"/>
    <w:tmpl w:val="2974C89A"/>
    <w:lvl w:ilvl="0" w:tplc="35DE0396">
      <w:start w:val="14"/>
      <w:numFmt w:val="decimal"/>
      <w:lvlText w:val="%1)"/>
      <w:lvlJc w:val="left"/>
      <w:pPr>
        <w:ind w:left="720" w:hanging="360"/>
      </w:pPr>
      <w:rPr>
        <w:rFonts w:hint="default"/>
      </w:rPr>
    </w:lvl>
    <w:lvl w:ilvl="1" w:tplc="019CFFB8" w:tentative="1">
      <w:start w:val="1"/>
      <w:numFmt w:val="lowerLetter"/>
      <w:lvlText w:val="%2."/>
      <w:lvlJc w:val="left"/>
      <w:pPr>
        <w:ind w:left="1440" w:hanging="360"/>
      </w:pPr>
    </w:lvl>
    <w:lvl w:ilvl="2" w:tplc="E6E8D63A" w:tentative="1">
      <w:start w:val="1"/>
      <w:numFmt w:val="lowerRoman"/>
      <w:lvlText w:val="%3."/>
      <w:lvlJc w:val="right"/>
      <w:pPr>
        <w:ind w:left="2160" w:hanging="180"/>
      </w:pPr>
    </w:lvl>
    <w:lvl w:ilvl="3" w:tplc="F76A55B2" w:tentative="1">
      <w:start w:val="1"/>
      <w:numFmt w:val="decimal"/>
      <w:lvlText w:val="%4."/>
      <w:lvlJc w:val="left"/>
      <w:pPr>
        <w:ind w:left="2880" w:hanging="360"/>
      </w:pPr>
    </w:lvl>
    <w:lvl w:ilvl="4" w:tplc="E13AFC92" w:tentative="1">
      <w:start w:val="1"/>
      <w:numFmt w:val="lowerLetter"/>
      <w:lvlText w:val="%5."/>
      <w:lvlJc w:val="left"/>
      <w:pPr>
        <w:ind w:left="3600" w:hanging="360"/>
      </w:pPr>
    </w:lvl>
    <w:lvl w:ilvl="5" w:tplc="FB0A7474" w:tentative="1">
      <w:start w:val="1"/>
      <w:numFmt w:val="lowerRoman"/>
      <w:lvlText w:val="%6."/>
      <w:lvlJc w:val="right"/>
      <w:pPr>
        <w:ind w:left="4320" w:hanging="180"/>
      </w:pPr>
    </w:lvl>
    <w:lvl w:ilvl="6" w:tplc="18D29600" w:tentative="1">
      <w:start w:val="1"/>
      <w:numFmt w:val="decimal"/>
      <w:lvlText w:val="%7."/>
      <w:lvlJc w:val="left"/>
      <w:pPr>
        <w:ind w:left="5040" w:hanging="360"/>
      </w:pPr>
    </w:lvl>
    <w:lvl w:ilvl="7" w:tplc="26F84FD2" w:tentative="1">
      <w:start w:val="1"/>
      <w:numFmt w:val="lowerLetter"/>
      <w:lvlText w:val="%8."/>
      <w:lvlJc w:val="left"/>
      <w:pPr>
        <w:ind w:left="5760" w:hanging="360"/>
      </w:pPr>
    </w:lvl>
    <w:lvl w:ilvl="8" w:tplc="C4E8801C" w:tentative="1">
      <w:start w:val="1"/>
      <w:numFmt w:val="lowerRoman"/>
      <w:lvlText w:val="%9."/>
      <w:lvlJc w:val="right"/>
      <w:pPr>
        <w:ind w:left="6480" w:hanging="180"/>
      </w:pPr>
    </w:lvl>
  </w:abstractNum>
  <w:abstractNum w:abstractNumId="82" w15:restartNumberingAfterBreak="0">
    <w:nsid w:val="34306467"/>
    <w:multiLevelType w:val="hybridMultilevel"/>
    <w:tmpl w:val="3DD0CCB6"/>
    <w:lvl w:ilvl="0" w:tplc="A5B24E50">
      <w:start w:val="1"/>
      <w:numFmt w:val="bullet"/>
      <w:lvlText w:val=""/>
      <w:lvlJc w:val="left"/>
      <w:pPr>
        <w:tabs>
          <w:tab w:val="num" w:pos="567"/>
        </w:tabs>
        <w:ind w:left="567" w:hanging="567"/>
      </w:pPr>
      <w:rPr>
        <w:rFonts w:ascii="Symbol" w:hAnsi="Symbol" w:hint="default"/>
      </w:rPr>
    </w:lvl>
    <w:lvl w:ilvl="1" w:tplc="D3AE57CC" w:tentative="1">
      <w:start w:val="1"/>
      <w:numFmt w:val="bullet"/>
      <w:lvlText w:val="o"/>
      <w:lvlJc w:val="left"/>
      <w:pPr>
        <w:tabs>
          <w:tab w:val="num" w:pos="1440"/>
        </w:tabs>
        <w:ind w:left="1440" w:hanging="360"/>
      </w:pPr>
      <w:rPr>
        <w:rFonts w:ascii="Courier New" w:hAnsi="Courier New" w:hint="default"/>
      </w:rPr>
    </w:lvl>
    <w:lvl w:ilvl="2" w:tplc="C27463AA" w:tentative="1">
      <w:start w:val="1"/>
      <w:numFmt w:val="bullet"/>
      <w:lvlText w:val=""/>
      <w:lvlJc w:val="left"/>
      <w:pPr>
        <w:tabs>
          <w:tab w:val="num" w:pos="2160"/>
        </w:tabs>
        <w:ind w:left="2160" w:hanging="360"/>
      </w:pPr>
      <w:rPr>
        <w:rFonts w:ascii="Wingdings" w:hAnsi="Wingdings" w:hint="default"/>
      </w:rPr>
    </w:lvl>
    <w:lvl w:ilvl="3" w:tplc="C7408682" w:tentative="1">
      <w:start w:val="1"/>
      <w:numFmt w:val="bullet"/>
      <w:lvlText w:val=""/>
      <w:lvlJc w:val="left"/>
      <w:pPr>
        <w:tabs>
          <w:tab w:val="num" w:pos="2880"/>
        </w:tabs>
        <w:ind w:left="2880" w:hanging="360"/>
      </w:pPr>
      <w:rPr>
        <w:rFonts w:ascii="Symbol" w:hAnsi="Symbol" w:hint="default"/>
      </w:rPr>
    </w:lvl>
    <w:lvl w:ilvl="4" w:tplc="B82C28E8" w:tentative="1">
      <w:start w:val="1"/>
      <w:numFmt w:val="bullet"/>
      <w:lvlText w:val="o"/>
      <w:lvlJc w:val="left"/>
      <w:pPr>
        <w:tabs>
          <w:tab w:val="num" w:pos="3600"/>
        </w:tabs>
        <w:ind w:left="3600" w:hanging="360"/>
      </w:pPr>
      <w:rPr>
        <w:rFonts w:ascii="Courier New" w:hAnsi="Courier New" w:hint="default"/>
      </w:rPr>
    </w:lvl>
    <w:lvl w:ilvl="5" w:tplc="A1282502" w:tentative="1">
      <w:start w:val="1"/>
      <w:numFmt w:val="bullet"/>
      <w:lvlText w:val=""/>
      <w:lvlJc w:val="left"/>
      <w:pPr>
        <w:tabs>
          <w:tab w:val="num" w:pos="4320"/>
        </w:tabs>
        <w:ind w:left="4320" w:hanging="360"/>
      </w:pPr>
      <w:rPr>
        <w:rFonts w:ascii="Wingdings" w:hAnsi="Wingdings" w:hint="default"/>
      </w:rPr>
    </w:lvl>
    <w:lvl w:ilvl="6" w:tplc="32E03070" w:tentative="1">
      <w:start w:val="1"/>
      <w:numFmt w:val="bullet"/>
      <w:lvlText w:val=""/>
      <w:lvlJc w:val="left"/>
      <w:pPr>
        <w:tabs>
          <w:tab w:val="num" w:pos="5040"/>
        </w:tabs>
        <w:ind w:left="5040" w:hanging="360"/>
      </w:pPr>
      <w:rPr>
        <w:rFonts w:ascii="Symbol" w:hAnsi="Symbol" w:hint="default"/>
      </w:rPr>
    </w:lvl>
    <w:lvl w:ilvl="7" w:tplc="A1BEA2AC" w:tentative="1">
      <w:start w:val="1"/>
      <w:numFmt w:val="bullet"/>
      <w:lvlText w:val="o"/>
      <w:lvlJc w:val="left"/>
      <w:pPr>
        <w:tabs>
          <w:tab w:val="num" w:pos="5760"/>
        </w:tabs>
        <w:ind w:left="5760" w:hanging="360"/>
      </w:pPr>
      <w:rPr>
        <w:rFonts w:ascii="Courier New" w:hAnsi="Courier New" w:hint="default"/>
      </w:rPr>
    </w:lvl>
    <w:lvl w:ilvl="8" w:tplc="23A82D66"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346B210A"/>
    <w:multiLevelType w:val="multilevel"/>
    <w:tmpl w:val="4B1AB7AE"/>
    <w:lvl w:ilvl="0">
      <w:start w:val="14"/>
      <w:numFmt w:val="decimal"/>
      <w:lvlText w:val="%1"/>
      <w:lvlJc w:val="left"/>
      <w:pPr>
        <w:ind w:left="570" w:hanging="570"/>
      </w:pPr>
      <w:rPr>
        <w:rFonts w:hint="default"/>
        <w:b w:val="0"/>
      </w:rPr>
    </w:lvl>
    <w:lvl w:ilvl="1">
      <w:start w:val="1"/>
      <w:numFmt w:val="decimal"/>
      <w:lvlText w:val="%1.%2"/>
      <w:lvlJc w:val="left"/>
      <w:pPr>
        <w:ind w:left="570" w:hanging="57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4" w15:restartNumberingAfterBreak="0">
    <w:nsid w:val="34CF1F58"/>
    <w:multiLevelType w:val="hybridMultilevel"/>
    <w:tmpl w:val="69D6A95C"/>
    <w:lvl w:ilvl="0" w:tplc="D9260C78">
      <w:numFmt w:val="bullet"/>
      <w:lvlText w:val="-"/>
      <w:lvlJc w:val="left"/>
      <w:pPr>
        <w:ind w:left="720" w:hanging="360"/>
      </w:pPr>
      <w:rPr>
        <w:rFonts w:ascii="Times New Roman" w:eastAsia="Times New Roman" w:hAnsi="Times New Roman" w:cs="Times New Roman" w:hint="default"/>
      </w:rPr>
    </w:lvl>
    <w:lvl w:ilvl="1" w:tplc="BDACF21C" w:tentative="1">
      <w:start w:val="1"/>
      <w:numFmt w:val="bullet"/>
      <w:lvlText w:val="o"/>
      <w:lvlJc w:val="left"/>
      <w:pPr>
        <w:ind w:left="1440" w:hanging="360"/>
      </w:pPr>
      <w:rPr>
        <w:rFonts w:ascii="Courier New" w:hAnsi="Courier New" w:cs="Courier New" w:hint="default"/>
      </w:rPr>
    </w:lvl>
    <w:lvl w:ilvl="2" w:tplc="A3240F22" w:tentative="1">
      <w:start w:val="1"/>
      <w:numFmt w:val="bullet"/>
      <w:lvlText w:val=""/>
      <w:lvlJc w:val="left"/>
      <w:pPr>
        <w:ind w:left="2160" w:hanging="360"/>
      </w:pPr>
      <w:rPr>
        <w:rFonts w:ascii="Wingdings" w:hAnsi="Wingdings" w:hint="default"/>
      </w:rPr>
    </w:lvl>
    <w:lvl w:ilvl="3" w:tplc="F840783C" w:tentative="1">
      <w:start w:val="1"/>
      <w:numFmt w:val="bullet"/>
      <w:lvlText w:val=""/>
      <w:lvlJc w:val="left"/>
      <w:pPr>
        <w:ind w:left="2880" w:hanging="360"/>
      </w:pPr>
      <w:rPr>
        <w:rFonts w:ascii="Symbol" w:hAnsi="Symbol" w:hint="default"/>
      </w:rPr>
    </w:lvl>
    <w:lvl w:ilvl="4" w:tplc="F64695A0" w:tentative="1">
      <w:start w:val="1"/>
      <w:numFmt w:val="bullet"/>
      <w:lvlText w:val="o"/>
      <w:lvlJc w:val="left"/>
      <w:pPr>
        <w:ind w:left="3600" w:hanging="360"/>
      </w:pPr>
      <w:rPr>
        <w:rFonts w:ascii="Courier New" w:hAnsi="Courier New" w:cs="Courier New" w:hint="default"/>
      </w:rPr>
    </w:lvl>
    <w:lvl w:ilvl="5" w:tplc="91E0A6BE" w:tentative="1">
      <w:start w:val="1"/>
      <w:numFmt w:val="bullet"/>
      <w:lvlText w:val=""/>
      <w:lvlJc w:val="left"/>
      <w:pPr>
        <w:ind w:left="4320" w:hanging="360"/>
      </w:pPr>
      <w:rPr>
        <w:rFonts w:ascii="Wingdings" w:hAnsi="Wingdings" w:hint="default"/>
      </w:rPr>
    </w:lvl>
    <w:lvl w:ilvl="6" w:tplc="66487366" w:tentative="1">
      <w:start w:val="1"/>
      <w:numFmt w:val="bullet"/>
      <w:lvlText w:val=""/>
      <w:lvlJc w:val="left"/>
      <w:pPr>
        <w:ind w:left="5040" w:hanging="360"/>
      </w:pPr>
      <w:rPr>
        <w:rFonts w:ascii="Symbol" w:hAnsi="Symbol" w:hint="default"/>
      </w:rPr>
    </w:lvl>
    <w:lvl w:ilvl="7" w:tplc="7B24752E" w:tentative="1">
      <w:start w:val="1"/>
      <w:numFmt w:val="bullet"/>
      <w:lvlText w:val="o"/>
      <w:lvlJc w:val="left"/>
      <w:pPr>
        <w:ind w:left="5760" w:hanging="360"/>
      </w:pPr>
      <w:rPr>
        <w:rFonts w:ascii="Courier New" w:hAnsi="Courier New" w:cs="Courier New" w:hint="default"/>
      </w:rPr>
    </w:lvl>
    <w:lvl w:ilvl="8" w:tplc="E452D87C" w:tentative="1">
      <w:start w:val="1"/>
      <w:numFmt w:val="bullet"/>
      <w:lvlText w:val=""/>
      <w:lvlJc w:val="left"/>
      <w:pPr>
        <w:ind w:left="6480" w:hanging="360"/>
      </w:pPr>
      <w:rPr>
        <w:rFonts w:ascii="Wingdings" w:hAnsi="Wingdings" w:hint="default"/>
      </w:rPr>
    </w:lvl>
  </w:abstractNum>
  <w:abstractNum w:abstractNumId="85" w15:restartNumberingAfterBreak="0">
    <w:nsid w:val="34DB06A6"/>
    <w:multiLevelType w:val="hybridMultilevel"/>
    <w:tmpl w:val="FFC869D0"/>
    <w:lvl w:ilvl="0" w:tplc="0C381E68">
      <w:start w:val="14"/>
      <w:numFmt w:val="decimal"/>
      <w:lvlText w:val="%1."/>
      <w:lvlJc w:val="left"/>
      <w:pPr>
        <w:ind w:left="720" w:hanging="360"/>
      </w:pPr>
      <w:rPr>
        <w:rFonts w:hint="default"/>
        <w:b w:val="0"/>
      </w:rPr>
    </w:lvl>
    <w:lvl w:ilvl="1" w:tplc="F53ED86C" w:tentative="1">
      <w:start w:val="1"/>
      <w:numFmt w:val="lowerLetter"/>
      <w:lvlText w:val="%2."/>
      <w:lvlJc w:val="left"/>
      <w:pPr>
        <w:ind w:left="1440" w:hanging="360"/>
      </w:pPr>
    </w:lvl>
    <w:lvl w:ilvl="2" w:tplc="3D821EBC" w:tentative="1">
      <w:start w:val="1"/>
      <w:numFmt w:val="lowerRoman"/>
      <w:lvlText w:val="%3."/>
      <w:lvlJc w:val="right"/>
      <w:pPr>
        <w:ind w:left="2160" w:hanging="180"/>
      </w:pPr>
    </w:lvl>
    <w:lvl w:ilvl="3" w:tplc="8774D386" w:tentative="1">
      <w:start w:val="1"/>
      <w:numFmt w:val="decimal"/>
      <w:lvlText w:val="%4."/>
      <w:lvlJc w:val="left"/>
      <w:pPr>
        <w:ind w:left="2880" w:hanging="360"/>
      </w:pPr>
    </w:lvl>
    <w:lvl w:ilvl="4" w:tplc="36548AD2" w:tentative="1">
      <w:start w:val="1"/>
      <w:numFmt w:val="lowerLetter"/>
      <w:lvlText w:val="%5."/>
      <w:lvlJc w:val="left"/>
      <w:pPr>
        <w:ind w:left="3600" w:hanging="360"/>
      </w:pPr>
    </w:lvl>
    <w:lvl w:ilvl="5" w:tplc="00C27FF8" w:tentative="1">
      <w:start w:val="1"/>
      <w:numFmt w:val="lowerRoman"/>
      <w:lvlText w:val="%6."/>
      <w:lvlJc w:val="right"/>
      <w:pPr>
        <w:ind w:left="4320" w:hanging="180"/>
      </w:pPr>
    </w:lvl>
    <w:lvl w:ilvl="6" w:tplc="D7F2DA04" w:tentative="1">
      <w:start w:val="1"/>
      <w:numFmt w:val="decimal"/>
      <w:lvlText w:val="%7."/>
      <w:lvlJc w:val="left"/>
      <w:pPr>
        <w:ind w:left="5040" w:hanging="360"/>
      </w:pPr>
    </w:lvl>
    <w:lvl w:ilvl="7" w:tplc="7FB83B4C" w:tentative="1">
      <w:start w:val="1"/>
      <w:numFmt w:val="lowerLetter"/>
      <w:lvlText w:val="%8."/>
      <w:lvlJc w:val="left"/>
      <w:pPr>
        <w:ind w:left="5760" w:hanging="360"/>
      </w:pPr>
    </w:lvl>
    <w:lvl w:ilvl="8" w:tplc="2D825EC2" w:tentative="1">
      <w:start w:val="1"/>
      <w:numFmt w:val="lowerRoman"/>
      <w:lvlText w:val="%9."/>
      <w:lvlJc w:val="right"/>
      <w:pPr>
        <w:ind w:left="6480" w:hanging="180"/>
      </w:pPr>
    </w:lvl>
  </w:abstractNum>
  <w:abstractNum w:abstractNumId="86" w15:restartNumberingAfterBreak="0">
    <w:nsid w:val="353868E3"/>
    <w:multiLevelType w:val="multilevel"/>
    <w:tmpl w:val="00000001"/>
    <w:lvl w:ilvl="0">
      <w:numFmt w:val="bullet"/>
      <w:lvlText w:val="-"/>
      <w:lvlJc w:val="left"/>
      <w:pPr>
        <w:tabs>
          <w:tab w:val="num" w:pos="360"/>
        </w:tabs>
        <w:ind w:left="284" w:hanging="284"/>
      </w:pPr>
      <w:rPr>
        <w:rFonts w:ascii="Thorndale" w:eastAsia="Times New Roman" w:hAnsi="Thorndale" w:hint="default"/>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decimal"/>
      <w:suff w:val="nothing"/>
      <w:lvlText w:val="%9."/>
      <w:lvlJc w:val="left"/>
      <w:rPr>
        <w:rFonts w:cs="Times New Roman"/>
      </w:rPr>
    </w:lvl>
  </w:abstractNum>
  <w:abstractNum w:abstractNumId="87" w15:restartNumberingAfterBreak="0">
    <w:nsid w:val="356E0695"/>
    <w:multiLevelType w:val="multilevel"/>
    <w:tmpl w:val="4B22E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5C34632"/>
    <w:multiLevelType w:val="hybridMultilevel"/>
    <w:tmpl w:val="44CE260C"/>
    <w:lvl w:ilvl="0" w:tplc="55CE2DF2">
      <w:start w:val="5"/>
      <w:numFmt w:val="decimal"/>
      <w:lvlText w:val="%1)"/>
      <w:lvlJc w:val="left"/>
      <w:pPr>
        <w:ind w:left="720" w:hanging="360"/>
      </w:pPr>
      <w:rPr>
        <w:rFonts w:hint="default"/>
      </w:rPr>
    </w:lvl>
    <w:lvl w:ilvl="1" w:tplc="00C60C14" w:tentative="1">
      <w:start w:val="1"/>
      <w:numFmt w:val="lowerLetter"/>
      <w:lvlText w:val="%2."/>
      <w:lvlJc w:val="left"/>
      <w:pPr>
        <w:ind w:left="1440" w:hanging="360"/>
      </w:pPr>
    </w:lvl>
    <w:lvl w:ilvl="2" w:tplc="A57E671A" w:tentative="1">
      <w:start w:val="1"/>
      <w:numFmt w:val="lowerRoman"/>
      <w:lvlText w:val="%3."/>
      <w:lvlJc w:val="right"/>
      <w:pPr>
        <w:ind w:left="2160" w:hanging="180"/>
      </w:pPr>
    </w:lvl>
    <w:lvl w:ilvl="3" w:tplc="CA76B58E" w:tentative="1">
      <w:start w:val="1"/>
      <w:numFmt w:val="decimal"/>
      <w:lvlText w:val="%4."/>
      <w:lvlJc w:val="left"/>
      <w:pPr>
        <w:ind w:left="2880" w:hanging="360"/>
      </w:pPr>
    </w:lvl>
    <w:lvl w:ilvl="4" w:tplc="ABD6C26C" w:tentative="1">
      <w:start w:val="1"/>
      <w:numFmt w:val="lowerLetter"/>
      <w:lvlText w:val="%5."/>
      <w:lvlJc w:val="left"/>
      <w:pPr>
        <w:ind w:left="3600" w:hanging="360"/>
      </w:pPr>
    </w:lvl>
    <w:lvl w:ilvl="5" w:tplc="1C7E6042" w:tentative="1">
      <w:start w:val="1"/>
      <w:numFmt w:val="lowerRoman"/>
      <w:lvlText w:val="%6."/>
      <w:lvlJc w:val="right"/>
      <w:pPr>
        <w:ind w:left="4320" w:hanging="180"/>
      </w:pPr>
    </w:lvl>
    <w:lvl w:ilvl="6" w:tplc="343A05C4" w:tentative="1">
      <w:start w:val="1"/>
      <w:numFmt w:val="decimal"/>
      <w:lvlText w:val="%7."/>
      <w:lvlJc w:val="left"/>
      <w:pPr>
        <w:ind w:left="5040" w:hanging="360"/>
      </w:pPr>
    </w:lvl>
    <w:lvl w:ilvl="7" w:tplc="8020C068" w:tentative="1">
      <w:start w:val="1"/>
      <w:numFmt w:val="lowerLetter"/>
      <w:lvlText w:val="%8."/>
      <w:lvlJc w:val="left"/>
      <w:pPr>
        <w:ind w:left="5760" w:hanging="360"/>
      </w:pPr>
    </w:lvl>
    <w:lvl w:ilvl="8" w:tplc="E51E5BC0" w:tentative="1">
      <w:start w:val="1"/>
      <w:numFmt w:val="lowerRoman"/>
      <w:lvlText w:val="%9."/>
      <w:lvlJc w:val="right"/>
      <w:pPr>
        <w:ind w:left="6480" w:hanging="180"/>
      </w:pPr>
    </w:lvl>
  </w:abstractNum>
  <w:abstractNum w:abstractNumId="89" w15:restartNumberingAfterBreak="0">
    <w:nsid w:val="35F9427F"/>
    <w:multiLevelType w:val="hybridMultilevel"/>
    <w:tmpl w:val="D46820D6"/>
    <w:lvl w:ilvl="0" w:tplc="DB363DB2">
      <w:start w:val="1"/>
      <w:numFmt w:val="bullet"/>
      <w:lvlText w:val=""/>
      <w:lvlJc w:val="left"/>
      <w:pPr>
        <w:tabs>
          <w:tab w:val="num" w:pos="720"/>
        </w:tabs>
        <w:ind w:left="720" w:hanging="360"/>
      </w:pPr>
      <w:rPr>
        <w:rFonts w:ascii="Symbol" w:hAnsi="Symbol" w:hint="default"/>
      </w:rPr>
    </w:lvl>
    <w:lvl w:ilvl="1" w:tplc="20A268D4" w:tentative="1">
      <w:start w:val="1"/>
      <w:numFmt w:val="bullet"/>
      <w:lvlText w:val="o"/>
      <w:lvlJc w:val="left"/>
      <w:pPr>
        <w:ind w:left="1440" w:hanging="360"/>
      </w:pPr>
      <w:rPr>
        <w:rFonts w:ascii="Courier New" w:hAnsi="Courier New" w:cs="Courier New" w:hint="default"/>
      </w:rPr>
    </w:lvl>
    <w:lvl w:ilvl="2" w:tplc="24BCAA34" w:tentative="1">
      <w:start w:val="1"/>
      <w:numFmt w:val="bullet"/>
      <w:lvlText w:val=""/>
      <w:lvlJc w:val="left"/>
      <w:pPr>
        <w:ind w:left="2160" w:hanging="360"/>
      </w:pPr>
      <w:rPr>
        <w:rFonts w:ascii="Wingdings" w:hAnsi="Wingdings" w:hint="default"/>
      </w:rPr>
    </w:lvl>
    <w:lvl w:ilvl="3" w:tplc="2D50DA7E" w:tentative="1">
      <w:start w:val="1"/>
      <w:numFmt w:val="bullet"/>
      <w:lvlText w:val=""/>
      <w:lvlJc w:val="left"/>
      <w:pPr>
        <w:ind w:left="2880" w:hanging="360"/>
      </w:pPr>
      <w:rPr>
        <w:rFonts w:ascii="Symbol" w:hAnsi="Symbol" w:hint="default"/>
      </w:rPr>
    </w:lvl>
    <w:lvl w:ilvl="4" w:tplc="D2769578" w:tentative="1">
      <w:start w:val="1"/>
      <w:numFmt w:val="bullet"/>
      <w:lvlText w:val="o"/>
      <w:lvlJc w:val="left"/>
      <w:pPr>
        <w:ind w:left="3600" w:hanging="360"/>
      </w:pPr>
      <w:rPr>
        <w:rFonts w:ascii="Courier New" w:hAnsi="Courier New" w:cs="Courier New" w:hint="default"/>
      </w:rPr>
    </w:lvl>
    <w:lvl w:ilvl="5" w:tplc="C45213A6" w:tentative="1">
      <w:start w:val="1"/>
      <w:numFmt w:val="bullet"/>
      <w:lvlText w:val=""/>
      <w:lvlJc w:val="left"/>
      <w:pPr>
        <w:ind w:left="4320" w:hanging="360"/>
      </w:pPr>
      <w:rPr>
        <w:rFonts w:ascii="Wingdings" w:hAnsi="Wingdings" w:hint="default"/>
      </w:rPr>
    </w:lvl>
    <w:lvl w:ilvl="6" w:tplc="20884E60" w:tentative="1">
      <w:start w:val="1"/>
      <w:numFmt w:val="bullet"/>
      <w:lvlText w:val=""/>
      <w:lvlJc w:val="left"/>
      <w:pPr>
        <w:ind w:left="5040" w:hanging="360"/>
      </w:pPr>
      <w:rPr>
        <w:rFonts w:ascii="Symbol" w:hAnsi="Symbol" w:hint="default"/>
      </w:rPr>
    </w:lvl>
    <w:lvl w:ilvl="7" w:tplc="20BAC942" w:tentative="1">
      <w:start w:val="1"/>
      <w:numFmt w:val="bullet"/>
      <w:lvlText w:val="o"/>
      <w:lvlJc w:val="left"/>
      <w:pPr>
        <w:ind w:left="5760" w:hanging="360"/>
      </w:pPr>
      <w:rPr>
        <w:rFonts w:ascii="Courier New" w:hAnsi="Courier New" w:cs="Courier New" w:hint="default"/>
      </w:rPr>
    </w:lvl>
    <w:lvl w:ilvl="8" w:tplc="8B2C7BF4" w:tentative="1">
      <w:start w:val="1"/>
      <w:numFmt w:val="bullet"/>
      <w:lvlText w:val=""/>
      <w:lvlJc w:val="left"/>
      <w:pPr>
        <w:ind w:left="6480" w:hanging="360"/>
      </w:pPr>
      <w:rPr>
        <w:rFonts w:ascii="Wingdings" w:hAnsi="Wingdings" w:hint="default"/>
      </w:rPr>
    </w:lvl>
  </w:abstractNum>
  <w:abstractNum w:abstractNumId="90" w15:restartNumberingAfterBreak="0">
    <w:nsid w:val="36563068"/>
    <w:multiLevelType w:val="hybridMultilevel"/>
    <w:tmpl w:val="FA4CD7B8"/>
    <w:lvl w:ilvl="0" w:tplc="51766B12">
      <w:start w:val="1"/>
      <w:numFmt w:val="bullet"/>
      <w:lvlText w:val=""/>
      <w:lvlJc w:val="left"/>
      <w:pPr>
        <w:tabs>
          <w:tab w:val="num" w:pos="567"/>
        </w:tabs>
        <w:ind w:left="567" w:hanging="567"/>
      </w:pPr>
      <w:rPr>
        <w:rFonts w:ascii="Symbol" w:hAnsi="Symbol" w:hint="default"/>
      </w:rPr>
    </w:lvl>
    <w:lvl w:ilvl="1" w:tplc="FBF810AA">
      <w:start w:val="1"/>
      <w:numFmt w:val="bullet"/>
      <w:lvlText w:val="o"/>
      <w:lvlJc w:val="left"/>
      <w:pPr>
        <w:tabs>
          <w:tab w:val="num" w:pos="1440"/>
        </w:tabs>
        <w:ind w:left="1440" w:hanging="360"/>
      </w:pPr>
      <w:rPr>
        <w:rFonts w:ascii="Courier New" w:hAnsi="Courier New" w:hint="default"/>
      </w:rPr>
    </w:lvl>
    <w:lvl w:ilvl="2" w:tplc="CB52A62E" w:tentative="1">
      <w:start w:val="1"/>
      <w:numFmt w:val="bullet"/>
      <w:lvlText w:val=""/>
      <w:lvlJc w:val="left"/>
      <w:pPr>
        <w:tabs>
          <w:tab w:val="num" w:pos="2160"/>
        </w:tabs>
        <w:ind w:left="2160" w:hanging="360"/>
      </w:pPr>
      <w:rPr>
        <w:rFonts w:ascii="Wingdings" w:hAnsi="Wingdings" w:hint="default"/>
      </w:rPr>
    </w:lvl>
    <w:lvl w:ilvl="3" w:tplc="D440193A" w:tentative="1">
      <w:start w:val="1"/>
      <w:numFmt w:val="bullet"/>
      <w:lvlText w:val=""/>
      <w:lvlJc w:val="left"/>
      <w:pPr>
        <w:tabs>
          <w:tab w:val="num" w:pos="2880"/>
        </w:tabs>
        <w:ind w:left="2880" w:hanging="360"/>
      </w:pPr>
      <w:rPr>
        <w:rFonts w:ascii="Symbol" w:hAnsi="Symbol" w:hint="default"/>
      </w:rPr>
    </w:lvl>
    <w:lvl w:ilvl="4" w:tplc="17AA4184" w:tentative="1">
      <w:start w:val="1"/>
      <w:numFmt w:val="bullet"/>
      <w:lvlText w:val="o"/>
      <w:lvlJc w:val="left"/>
      <w:pPr>
        <w:tabs>
          <w:tab w:val="num" w:pos="3600"/>
        </w:tabs>
        <w:ind w:left="3600" w:hanging="360"/>
      </w:pPr>
      <w:rPr>
        <w:rFonts w:ascii="Courier New" w:hAnsi="Courier New" w:hint="default"/>
      </w:rPr>
    </w:lvl>
    <w:lvl w:ilvl="5" w:tplc="C986A668" w:tentative="1">
      <w:start w:val="1"/>
      <w:numFmt w:val="bullet"/>
      <w:lvlText w:val=""/>
      <w:lvlJc w:val="left"/>
      <w:pPr>
        <w:tabs>
          <w:tab w:val="num" w:pos="4320"/>
        </w:tabs>
        <w:ind w:left="4320" w:hanging="360"/>
      </w:pPr>
      <w:rPr>
        <w:rFonts w:ascii="Wingdings" w:hAnsi="Wingdings" w:hint="default"/>
      </w:rPr>
    </w:lvl>
    <w:lvl w:ilvl="6" w:tplc="757A5324" w:tentative="1">
      <w:start w:val="1"/>
      <w:numFmt w:val="bullet"/>
      <w:lvlText w:val=""/>
      <w:lvlJc w:val="left"/>
      <w:pPr>
        <w:tabs>
          <w:tab w:val="num" w:pos="5040"/>
        </w:tabs>
        <w:ind w:left="5040" w:hanging="360"/>
      </w:pPr>
      <w:rPr>
        <w:rFonts w:ascii="Symbol" w:hAnsi="Symbol" w:hint="default"/>
      </w:rPr>
    </w:lvl>
    <w:lvl w:ilvl="7" w:tplc="F4D6786A" w:tentative="1">
      <w:start w:val="1"/>
      <w:numFmt w:val="bullet"/>
      <w:lvlText w:val="o"/>
      <w:lvlJc w:val="left"/>
      <w:pPr>
        <w:tabs>
          <w:tab w:val="num" w:pos="5760"/>
        </w:tabs>
        <w:ind w:left="5760" w:hanging="360"/>
      </w:pPr>
      <w:rPr>
        <w:rFonts w:ascii="Courier New" w:hAnsi="Courier New" w:hint="default"/>
      </w:rPr>
    </w:lvl>
    <w:lvl w:ilvl="8" w:tplc="17F2EE4A"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36FE5F62"/>
    <w:multiLevelType w:val="multilevel"/>
    <w:tmpl w:val="F9889668"/>
    <w:lvl w:ilvl="0">
      <w:start w:val="5"/>
      <w:numFmt w:val="decimal"/>
      <w:lvlText w:val="%1"/>
      <w:lvlJc w:val="left"/>
      <w:pPr>
        <w:ind w:left="570" w:hanging="570"/>
      </w:pPr>
      <w:rPr>
        <w:rFonts w:hint="default"/>
        <w:b w:val="0"/>
      </w:rPr>
    </w:lvl>
    <w:lvl w:ilvl="1">
      <w:start w:val="1"/>
      <w:numFmt w:val="decimal"/>
      <w:lvlText w:val="%1.%2"/>
      <w:lvlJc w:val="left"/>
      <w:pPr>
        <w:ind w:left="570" w:hanging="57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2" w15:restartNumberingAfterBreak="0">
    <w:nsid w:val="37E45AF1"/>
    <w:multiLevelType w:val="hybridMultilevel"/>
    <w:tmpl w:val="D64E2898"/>
    <w:lvl w:ilvl="0" w:tplc="FCD637FC">
      <w:start w:val="14"/>
      <w:numFmt w:val="decimal"/>
      <w:lvlText w:val="%1."/>
      <w:lvlJc w:val="left"/>
      <w:pPr>
        <w:ind w:left="930" w:hanging="570"/>
      </w:pPr>
      <w:rPr>
        <w:rFonts w:hint="default"/>
        <w:b w:val="0"/>
      </w:rPr>
    </w:lvl>
    <w:lvl w:ilvl="1" w:tplc="3D42636E" w:tentative="1">
      <w:start w:val="1"/>
      <w:numFmt w:val="lowerLetter"/>
      <w:lvlText w:val="%2."/>
      <w:lvlJc w:val="left"/>
      <w:pPr>
        <w:ind w:left="1440" w:hanging="360"/>
      </w:pPr>
    </w:lvl>
    <w:lvl w:ilvl="2" w:tplc="07C69434" w:tentative="1">
      <w:start w:val="1"/>
      <w:numFmt w:val="lowerRoman"/>
      <w:lvlText w:val="%3."/>
      <w:lvlJc w:val="right"/>
      <w:pPr>
        <w:ind w:left="2160" w:hanging="180"/>
      </w:pPr>
    </w:lvl>
    <w:lvl w:ilvl="3" w:tplc="10F87454" w:tentative="1">
      <w:start w:val="1"/>
      <w:numFmt w:val="decimal"/>
      <w:lvlText w:val="%4."/>
      <w:lvlJc w:val="left"/>
      <w:pPr>
        <w:ind w:left="2880" w:hanging="360"/>
      </w:pPr>
    </w:lvl>
    <w:lvl w:ilvl="4" w:tplc="3F4EE168" w:tentative="1">
      <w:start w:val="1"/>
      <w:numFmt w:val="lowerLetter"/>
      <w:lvlText w:val="%5."/>
      <w:lvlJc w:val="left"/>
      <w:pPr>
        <w:ind w:left="3600" w:hanging="360"/>
      </w:pPr>
    </w:lvl>
    <w:lvl w:ilvl="5" w:tplc="16B6AF6E" w:tentative="1">
      <w:start w:val="1"/>
      <w:numFmt w:val="lowerRoman"/>
      <w:lvlText w:val="%6."/>
      <w:lvlJc w:val="right"/>
      <w:pPr>
        <w:ind w:left="4320" w:hanging="180"/>
      </w:pPr>
    </w:lvl>
    <w:lvl w:ilvl="6" w:tplc="B412C844" w:tentative="1">
      <w:start w:val="1"/>
      <w:numFmt w:val="decimal"/>
      <w:lvlText w:val="%7."/>
      <w:lvlJc w:val="left"/>
      <w:pPr>
        <w:ind w:left="5040" w:hanging="360"/>
      </w:pPr>
    </w:lvl>
    <w:lvl w:ilvl="7" w:tplc="5E8A3D94" w:tentative="1">
      <w:start w:val="1"/>
      <w:numFmt w:val="lowerLetter"/>
      <w:lvlText w:val="%8."/>
      <w:lvlJc w:val="left"/>
      <w:pPr>
        <w:ind w:left="5760" w:hanging="360"/>
      </w:pPr>
    </w:lvl>
    <w:lvl w:ilvl="8" w:tplc="B8F2A8B4" w:tentative="1">
      <w:start w:val="1"/>
      <w:numFmt w:val="lowerRoman"/>
      <w:lvlText w:val="%9."/>
      <w:lvlJc w:val="right"/>
      <w:pPr>
        <w:ind w:left="6480" w:hanging="180"/>
      </w:pPr>
    </w:lvl>
  </w:abstractNum>
  <w:abstractNum w:abstractNumId="93" w15:restartNumberingAfterBreak="0">
    <w:nsid w:val="38C350D6"/>
    <w:multiLevelType w:val="hybridMultilevel"/>
    <w:tmpl w:val="E7BEEA5E"/>
    <w:lvl w:ilvl="0" w:tplc="98B4A454">
      <w:start w:val="1"/>
      <w:numFmt w:val="bullet"/>
      <w:lvlText w:val=""/>
      <w:lvlJc w:val="left"/>
      <w:pPr>
        <w:ind w:left="720" w:hanging="360"/>
      </w:pPr>
      <w:rPr>
        <w:rFonts w:ascii="Symbol" w:hAnsi="Symbol" w:hint="default"/>
      </w:rPr>
    </w:lvl>
    <w:lvl w:ilvl="1" w:tplc="DA742DB4" w:tentative="1">
      <w:start w:val="1"/>
      <w:numFmt w:val="bullet"/>
      <w:lvlText w:val="o"/>
      <w:lvlJc w:val="left"/>
      <w:pPr>
        <w:ind w:left="1440" w:hanging="360"/>
      </w:pPr>
      <w:rPr>
        <w:rFonts w:ascii="Courier New" w:hAnsi="Courier New" w:cs="Courier New" w:hint="default"/>
      </w:rPr>
    </w:lvl>
    <w:lvl w:ilvl="2" w:tplc="C9F664B8" w:tentative="1">
      <w:start w:val="1"/>
      <w:numFmt w:val="bullet"/>
      <w:lvlText w:val=""/>
      <w:lvlJc w:val="left"/>
      <w:pPr>
        <w:ind w:left="2160" w:hanging="360"/>
      </w:pPr>
      <w:rPr>
        <w:rFonts w:ascii="Wingdings" w:hAnsi="Wingdings" w:hint="default"/>
      </w:rPr>
    </w:lvl>
    <w:lvl w:ilvl="3" w:tplc="6E04FB3C" w:tentative="1">
      <w:start w:val="1"/>
      <w:numFmt w:val="bullet"/>
      <w:lvlText w:val=""/>
      <w:lvlJc w:val="left"/>
      <w:pPr>
        <w:ind w:left="2880" w:hanging="360"/>
      </w:pPr>
      <w:rPr>
        <w:rFonts w:ascii="Symbol" w:hAnsi="Symbol" w:hint="default"/>
      </w:rPr>
    </w:lvl>
    <w:lvl w:ilvl="4" w:tplc="D61C794C" w:tentative="1">
      <w:start w:val="1"/>
      <w:numFmt w:val="bullet"/>
      <w:lvlText w:val="o"/>
      <w:lvlJc w:val="left"/>
      <w:pPr>
        <w:ind w:left="3600" w:hanging="360"/>
      </w:pPr>
      <w:rPr>
        <w:rFonts w:ascii="Courier New" w:hAnsi="Courier New" w:cs="Courier New" w:hint="default"/>
      </w:rPr>
    </w:lvl>
    <w:lvl w:ilvl="5" w:tplc="DAD84CAE" w:tentative="1">
      <w:start w:val="1"/>
      <w:numFmt w:val="bullet"/>
      <w:lvlText w:val=""/>
      <w:lvlJc w:val="left"/>
      <w:pPr>
        <w:ind w:left="4320" w:hanging="360"/>
      </w:pPr>
      <w:rPr>
        <w:rFonts w:ascii="Wingdings" w:hAnsi="Wingdings" w:hint="default"/>
      </w:rPr>
    </w:lvl>
    <w:lvl w:ilvl="6" w:tplc="46DCF10C" w:tentative="1">
      <w:start w:val="1"/>
      <w:numFmt w:val="bullet"/>
      <w:lvlText w:val=""/>
      <w:lvlJc w:val="left"/>
      <w:pPr>
        <w:ind w:left="5040" w:hanging="360"/>
      </w:pPr>
      <w:rPr>
        <w:rFonts w:ascii="Symbol" w:hAnsi="Symbol" w:hint="default"/>
      </w:rPr>
    </w:lvl>
    <w:lvl w:ilvl="7" w:tplc="22F466C6" w:tentative="1">
      <w:start w:val="1"/>
      <w:numFmt w:val="bullet"/>
      <w:lvlText w:val="o"/>
      <w:lvlJc w:val="left"/>
      <w:pPr>
        <w:ind w:left="5760" w:hanging="360"/>
      </w:pPr>
      <w:rPr>
        <w:rFonts w:ascii="Courier New" w:hAnsi="Courier New" w:cs="Courier New" w:hint="default"/>
      </w:rPr>
    </w:lvl>
    <w:lvl w:ilvl="8" w:tplc="276E1A04" w:tentative="1">
      <w:start w:val="1"/>
      <w:numFmt w:val="bullet"/>
      <w:lvlText w:val=""/>
      <w:lvlJc w:val="left"/>
      <w:pPr>
        <w:ind w:left="6480" w:hanging="360"/>
      </w:pPr>
      <w:rPr>
        <w:rFonts w:ascii="Wingdings" w:hAnsi="Wingdings" w:hint="default"/>
      </w:rPr>
    </w:lvl>
  </w:abstractNum>
  <w:abstractNum w:abstractNumId="94" w15:restartNumberingAfterBreak="0">
    <w:nsid w:val="39867F5B"/>
    <w:multiLevelType w:val="hybridMultilevel"/>
    <w:tmpl w:val="23109EE6"/>
    <w:lvl w:ilvl="0" w:tplc="90C8D0C2">
      <w:start w:val="5"/>
      <w:numFmt w:val="decimal"/>
      <w:lvlText w:val="%1."/>
      <w:lvlJc w:val="left"/>
      <w:pPr>
        <w:ind w:left="930" w:hanging="570"/>
      </w:pPr>
      <w:rPr>
        <w:rFonts w:hint="default"/>
        <w:b w:val="0"/>
      </w:rPr>
    </w:lvl>
    <w:lvl w:ilvl="1" w:tplc="51049174" w:tentative="1">
      <w:start w:val="1"/>
      <w:numFmt w:val="lowerLetter"/>
      <w:lvlText w:val="%2."/>
      <w:lvlJc w:val="left"/>
      <w:pPr>
        <w:ind w:left="1440" w:hanging="360"/>
      </w:pPr>
    </w:lvl>
    <w:lvl w:ilvl="2" w:tplc="75E4386A" w:tentative="1">
      <w:start w:val="1"/>
      <w:numFmt w:val="lowerRoman"/>
      <w:lvlText w:val="%3."/>
      <w:lvlJc w:val="right"/>
      <w:pPr>
        <w:ind w:left="2160" w:hanging="180"/>
      </w:pPr>
    </w:lvl>
    <w:lvl w:ilvl="3" w:tplc="98765288" w:tentative="1">
      <w:start w:val="1"/>
      <w:numFmt w:val="decimal"/>
      <w:lvlText w:val="%4."/>
      <w:lvlJc w:val="left"/>
      <w:pPr>
        <w:ind w:left="2880" w:hanging="360"/>
      </w:pPr>
    </w:lvl>
    <w:lvl w:ilvl="4" w:tplc="86642258" w:tentative="1">
      <w:start w:val="1"/>
      <w:numFmt w:val="lowerLetter"/>
      <w:lvlText w:val="%5."/>
      <w:lvlJc w:val="left"/>
      <w:pPr>
        <w:ind w:left="3600" w:hanging="360"/>
      </w:pPr>
    </w:lvl>
    <w:lvl w:ilvl="5" w:tplc="FFD4FAA2" w:tentative="1">
      <w:start w:val="1"/>
      <w:numFmt w:val="lowerRoman"/>
      <w:lvlText w:val="%6."/>
      <w:lvlJc w:val="right"/>
      <w:pPr>
        <w:ind w:left="4320" w:hanging="180"/>
      </w:pPr>
    </w:lvl>
    <w:lvl w:ilvl="6" w:tplc="C68806E6" w:tentative="1">
      <w:start w:val="1"/>
      <w:numFmt w:val="decimal"/>
      <w:lvlText w:val="%7."/>
      <w:lvlJc w:val="left"/>
      <w:pPr>
        <w:ind w:left="5040" w:hanging="360"/>
      </w:pPr>
    </w:lvl>
    <w:lvl w:ilvl="7" w:tplc="E4B6C158" w:tentative="1">
      <w:start w:val="1"/>
      <w:numFmt w:val="lowerLetter"/>
      <w:lvlText w:val="%8."/>
      <w:lvlJc w:val="left"/>
      <w:pPr>
        <w:ind w:left="5760" w:hanging="360"/>
      </w:pPr>
    </w:lvl>
    <w:lvl w:ilvl="8" w:tplc="E410F79E" w:tentative="1">
      <w:start w:val="1"/>
      <w:numFmt w:val="lowerRoman"/>
      <w:lvlText w:val="%9."/>
      <w:lvlJc w:val="right"/>
      <w:pPr>
        <w:ind w:left="6480" w:hanging="180"/>
      </w:pPr>
    </w:lvl>
  </w:abstractNum>
  <w:abstractNum w:abstractNumId="95" w15:restartNumberingAfterBreak="0">
    <w:nsid w:val="39C91186"/>
    <w:multiLevelType w:val="hybridMultilevel"/>
    <w:tmpl w:val="FD3ECEF0"/>
    <w:lvl w:ilvl="0" w:tplc="011247DE">
      <w:start w:val="5"/>
      <w:numFmt w:val="decimal"/>
      <w:lvlText w:val="%1."/>
      <w:lvlJc w:val="left"/>
      <w:pPr>
        <w:ind w:left="720" w:hanging="360"/>
      </w:pPr>
      <w:rPr>
        <w:rFonts w:hint="default"/>
        <w:b w:val="0"/>
      </w:rPr>
    </w:lvl>
    <w:lvl w:ilvl="1" w:tplc="7752E812" w:tentative="1">
      <w:start w:val="1"/>
      <w:numFmt w:val="lowerLetter"/>
      <w:lvlText w:val="%2."/>
      <w:lvlJc w:val="left"/>
      <w:pPr>
        <w:ind w:left="1440" w:hanging="360"/>
      </w:pPr>
    </w:lvl>
    <w:lvl w:ilvl="2" w:tplc="BCBAB58A" w:tentative="1">
      <w:start w:val="1"/>
      <w:numFmt w:val="lowerRoman"/>
      <w:lvlText w:val="%3."/>
      <w:lvlJc w:val="right"/>
      <w:pPr>
        <w:ind w:left="2160" w:hanging="180"/>
      </w:pPr>
    </w:lvl>
    <w:lvl w:ilvl="3" w:tplc="E100762C" w:tentative="1">
      <w:start w:val="1"/>
      <w:numFmt w:val="decimal"/>
      <w:lvlText w:val="%4."/>
      <w:lvlJc w:val="left"/>
      <w:pPr>
        <w:ind w:left="2880" w:hanging="360"/>
      </w:pPr>
    </w:lvl>
    <w:lvl w:ilvl="4" w:tplc="196A7124" w:tentative="1">
      <w:start w:val="1"/>
      <w:numFmt w:val="lowerLetter"/>
      <w:lvlText w:val="%5."/>
      <w:lvlJc w:val="left"/>
      <w:pPr>
        <w:ind w:left="3600" w:hanging="360"/>
      </w:pPr>
    </w:lvl>
    <w:lvl w:ilvl="5" w:tplc="E2E0611E" w:tentative="1">
      <w:start w:val="1"/>
      <w:numFmt w:val="lowerRoman"/>
      <w:lvlText w:val="%6."/>
      <w:lvlJc w:val="right"/>
      <w:pPr>
        <w:ind w:left="4320" w:hanging="180"/>
      </w:pPr>
    </w:lvl>
    <w:lvl w:ilvl="6" w:tplc="58B20A14" w:tentative="1">
      <w:start w:val="1"/>
      <w:numFmt w:val="decimal"/>
      <w:lvlText w:val="%7."/>
      <w:lvlJc w:val="left"/>
      <w:pPr>
        <w:ind w:left="5040" w:hanging="360"/>
      </w:pPr>
    </w:lvl>
    <w:lvl w:ilvl="7" w:tplc="17D0EF54" w:tentative="1">
      <w:start w:val="1"/>
      <w:numFmt w:val="lowerLetter"/>
      <w:lvlText w:val="%8."/>
      <w:lvlJc w:val="left"/>
      <w:pPr>
        <w:ind w:left="5760" w:hanging="360"/>
      </w:pPr>
    </w:lvl>
    <w:lvl w:ilvl="8" w:tplc="EB62C768" w:tentative="1">
      <w:start w:val="1"/>
      <w:numFmt w:val="lowerRoman"/>
      <w:lvlText w:val="%9."/>
      <w:lvlJc w:val="right"/>
      <w:pPr>
        <w:ind w:left="6480" w:hanging="180"/>
      </w:pPr>
    </w:lvl>
  </w:abstractNum>
  <w:abstractNum w:abstractNumId="96" w15:restartNumberingAfterBreak="0">
    <w:nsid w:val="3A32513C"/>
    <w:multiLevelType w:val="hybridMultilevel"/>
    <w:tmpl w:val="76FACB22"/>
    <w:lvl w:ilvl="0" w:tplc="A0B4AE6A">
      <w:start w:val="1"/>
      <w:numFmt w:val="bullet"/>
      <w:lvlText w:val=""/>
      <w:lvlJc w:val="left"/>
      <w:pPr>
        <w:ind w:left="720" w:hanging="360"/>
      </w:pPr>
      <w:rPr>
        <w:rFonts w:ascii="Symbol" w:hAnsi="Symbol" w:hint="default"/>
      </w:rPr>
    </w:lvl>
    <w:lvl w:ilvl="1" w:tplc="A9406A68" w:tentative="1">
      <w:start w:val="1"/>
      <w:numFmt w:val="bullet"/>
      <w:lvlText w:val="o"/>
      <w:lvlJc w:val="left"/>
      <w:pPr>
        <w:ind w:left="1440" w:hanging="360"/>
      </w:pPr>
      <w:rPr>
        <w:rFonts w:ascii="Courier New" w:hAnsi="Courier New" w:cs="Courier New" w:hint="default"/>
      </w:rPr>
    </w:lvl>
    <w:lvl w:ilvl="2" w:tplc="9900FD78" w:tentative="1">
      <w:start w:val="1"/>
      <w:numFmt w:val="bullet"/>
      <w:lvlText w:val=""/>
      <w:lvlJc w:val="left"/>
      <w:pPr>
        <w:ind w:left="2160" w:hanging="360"/>
      </w:pPr>
      <w:rPr>
        <w:rFonts w:ascii="Wingdings" w:hAnsi="Wingdings" w:hint="default"/>
      </w:rPr>
    </w:lvl>
    <w:lvl w:ilvl="3" w:tplc="86D89DB8" w:tentative="1">
      <w:start w:val="1"/>
      <w:numFmt w:val="bullet"/>
      <w:lvlText w:val=""/>
      <w:lvlJc w:val="left"/>
      <w:pPr>
        <w:ind w:left="2880" w:hanging="360"/>
      </w:pPr>
      <w:rPr>
        <w:rFonts w:ascii="Symbol" w:hAnsi="Symbol" w:hint="default"/>
      </w:rPr>
    </w:lvl>
    <w:lvl w:ilvl="4" w:tplc="0A522DF6" w:tentative="1">
      <w:start w:val="1"/>
      <w:numFmt w:val="bullet"/>
      <w:lvlText w:val="o"/>
      <w:lvlJc w:val="left"/>
      <w:pPr>
        <w:ind w:left="3600" w:hanging="360"/>
      </w:pPr>
      <w:rPr>
        <w:rFonts w:ascii="Courier New" w:hAnsi="Courier New" w:cs="Courier New" w:hint="default"/>
      </w:rPr>
    </w:lvl>
    <w:lvl w:ilvl="5" w:tplc="7A966CA6" w:tentative="1">
      <w:start w:val="1"/>
      <w:numFmt w:val="bullet"/>
      <w:lvlText w:val=""/>
      <w:lvlJc w:val="left"/>
      <w:pPr>
        <w:ind w:left="4320" w:hanging="360"/>
      </w:pPr>
      <w:rPr>
        <w:rFonts w:ascii="Wingdings" w:hAnsi="Wingdings" w:hint="default"/>
      </w:rPr>
    </w:lvl>
    <w:lvl w:ilvl="6" w:tplc="8A4ADFB2" w:tentative="1">
      <w:start w:val="1"/>
      <w:numFmt w:val="bullet"/>
      <w:lvlText w:val=""/>
      <w:lvlJc w:val="left"/>
      <w:pPr>
        <w:ind w:left="5040" w:hanging="360"/>
      </w:pPr>
      <w:rPr>
        <w:rFonts w:ascii="Symbol" w:hAnsi="Symbol" w:hint="default"/>
      </w:rPr>
    </w:lvl>
    <w:lvl w:ilvl="7" w:tplc="3E967DF6" w:tentative="1">
      <w:start w:val="1"/>
      <w:numFmt w:val="bullet"/>
      <w:lvlText w:val="o"/>
      <w:lvlJc w:val="left"/>
      <w:pPr>
        <w:ind w:left="5760" w:hanging="360"/>
      </w:pPr>
      <w:rPr>
        <w:rFonts w:ascii="Courier New" w:hAnsi="Courier New" w:cs="Courier New" w:hint="default"/>
      </w:rPr>
    </w:lvl>
    <w:lvl w:ilvl="8" w:tplc="CC60F608" w:tentative="1">
      <w:start w:val="1"/>
      <w:numFmt w:val="bullet"/>
      <w:lvlText w:val=""/>
      <w:lvlJc w:val="left"/>
      <w:pPr>
        <w:ind w:left="6480" w:hanging="360"/>
      </w:pPr>
      <w:rPr>
        <w:rFonts w:ascii="Wingdings" w:hAnsi="Wingdings" w:hint="default"/>
      </w:rPr>
    </w:lvl>
  </w:abstractNum>
  <w:abstractNum w:abstractNumId="97" w15:restartNumberingAfterBreak="0">
    <w:nsid w:val="3B403F1B"/>
    <w:multiLevelType w:val="hybridMultilevel"/>
    <w:tmpl w:val="5388004C"/>
    <w:lvl w:ilvl="0" w:tplc="6FEC49A6">
      <w:start w:val="1"/>
      <w:numFmt w:val="lowerLetter"/>
      <w:lvlText w:val="%1"/>
      <w:lvlJc w:val="left"/>
      <w:pPr>
        <w:ind w:left="720" w:hanging="360"/>
      </w:pPr>
      <w:rPr>
        <w:rFonts w:hint="default"/>
        <w:sz w:val="16"/>
        <w:szCs w:val="16"/>
        <w:vertAlign w:val="superscript"/>
      </w:rPr>
    </w:lvl>
    <w:lvl w:ilvl="1" w:tplc="D4066930" w:tentative="1">
      <w:start w:val="1"/>
      <w:numFmt w:val="lowerLetter"/>
      <w:lvlText w:val="%2."/>
      <w:lvlJc w:val="left"/>
      <w:pPr>
        <w:ind w:left="1440" w:hanging="360"/>
      </w:pPr>
    </w:lvl>
    <w:lvl w:ilvl="2" w:tplc="F1026552" w:tentative="1">
      <w:start w:val="1"/>
      <w:numFmt w:val="lowerRoman"/>
      <w:lvlText w:val="%3."/>
      <w:lvlJc w:val="right"/>
      <w:pPr>
        <w:ind w:left="2160" w:hanging="180"/>
      </w:pPr>
    </w:lvl>
    <w:lvl w:ilvl="3" w:tplc="6B900782" w:tentative="1">
      <w:start w:val="1"/>
      <w:numFmt w:val="decimal"/>
      <w:lvlText w:val="%4."/>
      <w:lvlJc w:val="left"/>
      <w:pPr>
        <w:ind w:left="2880" w:hanging="360"/>
      </w:pPr>
    </w:lvl>
    <w:lvl w:ilvl="4" w:tplc="51244BD8" w:tentative="1">
      <w:start w:val="1"/>
      <w:numFmt w:val="lowerLetter"/>
      <w:lvlText w:val="%5."/>
      <w:lvlJc w:val="left"/>
      <w:pPr>
        <w:ind w:left="3600" w:hanging="360"/>
      </w:pPr>
    </w:lvl>
    <w:lvl w:ilvl="5" w:tplc="101C7426" w:tentative="1">
      <w:start w:val="1"/>
      <w:numFmt w:val="lowerRoman"/>
      <w:lvlText w:val="%6."/>
      <w:lvlJc w:val="right"/>
      <w:pPr>
        <w:ind w:left="4320" w:hanging="180"/>
      </w:pPr>
    </w:lvl>
    <w:lvl w:ilvl="6" w:tplc="5AC82884" w:tentative="1">
      <w:start w:val="1"/>
      <w:numFmt w:val="decimal"/>
      <w:lvlText w:val="%7."/>
      <w:lvlJc w:val="left"/>
      <w:pPr>
        <w:ind w:left="5040" w:hanging="360"/>
      </w:pPr>
    </w:lvl>
    <w:lvl w:ilvl="7" w:tplc="B412A798" w:tentative="1">
      <w:start w:val="1"/>
      <w:numFmt w:val="lowerLetter"/>
      <w:lvlText w:val="%8."/>
      <w:lvlJc w:val="left"/>
      <w:pPr>
        <w:ind w:left="5760" w:hanging="360"/>
      </w:pPr>
    </w:lvl>
    <w:lvl w:ilvl="8" w:tplc="17E4F0E6" w:tentative="1">
      <w:start w:val="1"/>
      <w:numFmt w:val="lowerRoman"/>
      <w:lvlText w:val="%9."/>
      <w:lvlJc w:val="right"/>
      <w:pPr>
        <w:ind w:left="6480" w:hanging="180"/>
      </w:pPr>
    </w:lvl>
  </w:abstractNum>
  <w:abstractNum w:abstractNumId="98" w15:restartNumberingAfterBreak="0">
    <w:nsid w:val="3BB262F9"/>
    <w:multiLevelType w:val="hybridMultilevel"/>
    <w:tmpl w:val="58EE0EE4"/>
    <w:lvl w:ilvl="0" w:tplc="595C7174">
      <w:start w:val="1"/>
      <w:numFmt w:val="bullet"/>
      <w:lvlText w:val=""/>
      <w:lvlJc w:val="left"/>
      <w:pPr>
        <w:tabs>
          <w:tab w:val="num" w:pos="720"/>
        </w:tabs>
        <w:ind w:left="720" w:hanging="360"/>
      </w:pPr>
      <w:rPr>
        <w:rFonts w:ascii="Symbol" w:hAnsi="Symbol" w:hint="default"/>
      </w:rPr>
    </w:lvl>
    <w:lvl w:ilvl="1" w:tplc="D29C35AA">
      <w:start w:val="1"/>
      <w:numFmt w:val="bullet"/>
      <w:lvlText w:val="o"/>
      <w:lvlJc w:val="left"/>
      <w:pPr>
        <w:tabs>
          <w:tab w:val="num" w:pos="1440"/>
        </w:tabs>
        <w:ind w:left="1440" w:hanging="360"/>
      </w:pPr>
      <w:rPr>
        <w:rFonts w:ascii="Courier New" w:hAnsi="Courier New" w:hint="default"/>
      </w:rPr>
    </w:lvl>
    <w:lvl w:ilvl="2" w:tplc="31F04F58" w:tentative="1">
      <w:start w:val="1"/>
      <w:numFmt w:val="bullet"/>
      <w:lvlText w:val=""/>
      <w:lvlJc w:val="left"/>
      <w:pPr>
        <w:tabs>
          <w:tab w:val="num" w:pos="2160"/>
        </w:tabs>
        <w:ind w:left="2160" w:hanging="360"/>
      </w:pPr>
      <w:rPr>
        <w:rFonts w:ascii="Wingdings" w:hAnsi="Wingdings" w:hint="default"/>
      </w:rPr>
    </w:lvl>
    <w:lvl w:ilvl="3" w:tplc="5EC4E258" w:tentative="1">
      <w:start w:val="1"/>
      <w:numFmt w:val="bullet"/>
      <w:lvlText w:val=""/>
      <w:lvlJc w:val="left"/>
      <w:pPr>
        <w:tabs>
          <w:tab w:val="num" w:pos="2880"/>
        </w:tabs>
        <w:ind w:left="2880" w:hanging="360"/>
      </w:pPr>
      <w:rPr>
        <w:rFonts w:ascii="Symbol" w:hAnsi="Symbol" w:hint="default"/>
      </w:rPr>
    </w:lvl>
    <w:lvl w:ilvl="4" w:tplc="FD24DA88" w:tentative="1">
      <w:start w:val="1"/>
      <w:numFmt w:val="bullet"/>
      <w:lvlText w:val="o"/>
      <w:lvlJc w:val="left"/>
      <w:pPr>
        <w:tabs>
          <w:tab w:val="num" w:pos="3600"/>
        </w:tabs>
        <w:ind w:left="3600" w:hanging="360"/>
      </w:pPr>
      <w:rPr>
        <w:rFonts w:ascii="Courier New" w:hAnsi="Courier New" w:hint="default"/>
      </w:rPr>
    </w:lvl>
    <w:lvl w:ilvl="5" w:tplc="39A251C2" w:tentative="1">
      <w:start w:val="1"/>
      <w:numFmt w:val="bullet"/>
      <w:lvlText w:val=""/>
      <w:lvlJc w:val="left"/>
      <w:pPr>
        <w:tabs>
          <w:tab w:val="num" w:pos="4320"/>
        </w:tabs>
        <w:ind w:left="4320" w:hanging="360"/>
      </w:pPr>
      <w:rPr>
        <w:rFonts w:ascii="Wingdings" w:hAnsi="Wingdings" w:hint="default"/>
      </w:rPr>
    </w:lvl>
    <w:lvl w:ilvl="6" w:tplc="E86C2F26" w:tentative="1">
      <w:start w:val="1"/>
      <w:numFmt w:val="bullet"/>
      <w:lvlText w:val=""/>
      <w:lvlJc w:val="left"/>
      <w:pPr>
        <w:tabs>
          <w:tab w:val="num" w:pos="5040"/>
        </w:tabs>
        <w:ind w:left="5040" w:hanging="360"/>
      </w:pPr>
      <w:rPr>
        <w:rFonts w:ascii="Symbol" w:hAnsi="Symbol" w:hint="default"/>
      </w:rPr>
    </w:lvl>
    <w:lvl w:ilvl="7" w:tplc="112AD2BC" w:tentative="1">
      <w:start w:val="1"/>
      <w:numFmt w:val="bullet"/>
      <w:lvlText w:val="o"/>
      <w:lvlJc w:val="left"/>
      <w:pPr>
        <w:tabs>
          <w:tab w:val="num" w:pos="5760"/>
        </w:tabs>
        <w:ind w:left="5760" w:hanging="360"/>
      </w:pPr>
      <w:rPr>
        <w:rFonts w:ascii="Courier New" w:hAnsi="Courier New" w:hint="default"/>
      </w:rPr>
    </w:lvl>
    <w:lvl w:ilvl="8" w:tplc="1A6619C0"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3BC77894"/>
    <w:multiLevelType w:val="hybridMultilevel"/>
    <w:tmpl w:val="7AAE017E"/>
    <w:lvl w:ilvl="0" w:tplc="EDAA29DA">
      <w:start w:val="1"/>
      <w:numFmt w:val="bullet"/>
      <w:lvlText w:val=""/>
      <w:lvlJc w:val="left"/>
      <w:pPr>
        <w:ind w:left="1350" w:hanging="360"/>
      </w:pPr>
      <w:rPr>
        <w:rFonts w:ascii="Symbol" w:hAnsi="Symbol" w:hint="default"/>
      </w:rPr>
    </w:lvl>
    <w:lvl w:ilvl="1" w:tplc="E452B064" w:tentative="1">
      <w:start w:val="1"/>
      <w:numFmt w:val="bullet"/>
      <w:lvlText w:val="o"/>
      <w:lvlJc w:val="left"/>
      <w:pPr>
        <w:ind w:left="2070" w:hanging="360"/>
      </w:pPr>
      <w:rPr>
        <w:rFonts w:ascii="Courier New" w:hAnsi="Courier New" w:cs="Courier New" w:hint="default"/>
      </w:rPr>
    </w:lvl>
    <w:lvl w:ilvl="2" w:tplc="97F4DFE2" w:tentative="1">
      <w:start w:val="1"/>
      <w:numFmt w:val="bullet"/>
      <w:lvlText w:val=""/>
      <w:lvlJc w:val="left"/>
      <w:pPr>
        <w:ind w:left="2790" w:hanging="360"/>
      </w:pPr>
      <w:rPr>
        <w:rFonts w:ascii="Wingdings" w:hAnsi="Wingdings" w:hint="default"/>
      </w:rPr>
    </w:lvl>
    <w:lvl w:ilvl="3" w:tplc="8F706246" w:tentative="1">
      <w:start w:val="1"/>
      <w:numFmt w:val="bullet"/>
      <w:lvlText w:val=""/>
      <w:lvlJc w:val="left"/>
      <w:pPr>
        <w:ind w:left="3510" w:hanging="360"/>
      </w:pPr>
      <w:rPr>
        <w:rFonts w:ascii="Symbol" w:hAnsi="Symbol" w:hint="default"/>
      </w:rPr>
    </w:lvl>
    <w:lvl w:ilvl="4" w:tplc="AE8E1764" w:tentative="1">
      <w:start w:val="1"/>
      <w:numFmt w:val="bullet"/>
      <w:lvlText w:val="o"/>
      <w:lvlJc w:val="left"/>
      <w:pPr>
        <w:ind w:left="4230" w:hanging="360"/>
      </w:pPr>
      <w:rPr>
        <w:rFonts w:ascii="Courier New" w:hAnsi="Courier New" w:cs="Courier New" w:hint="default"/>
      </w:rPr>
    </w:lvl>
    <w:lvl w:ilvl="5" w:tplc="BC28C666" w:tentative="1">
      <w:start w:val="1"/>
      <w:numFmt w:val="bullet"/>
      <w:lvlText w:val=""/>
      <w:lvlJc w:val="left"/>
      <w:pPr>
        <w:ind w:left="4950" w:hanging="360"/>
      </w:pPr>
      <w:rPr>
        <w:rFonts w:ascii="Wingdings" w:hAnsi="Wingdings" w:hint="default"/>
      </w:rPr>
    </w:lvl>
    <w:lvl w:ilvl="6" w:tplc="B922D15A" w:tentative="1">
      <w:start w:val="1"/>
      <w:numFmt w:val="bullet"/>
      <w:lvlText w:val=""/>
      <w:lvlJc w:val="left"/>
      <w:pPr>
        <w:ind w:left="5670" w:hanging="360"/>
      </w:pPr>
      <w:rPr>
        <w:rFonts w:ascii="Symbol" w:hAnsi="Symbol" w:hint="default"/>
      </w:rPr>
    </w:lvl>
    <w:lvl w:ilvl="7" w:tplc="0D942F94" w:tentative="1">
      <w:start w:val="1"/>
      <w:numFmt w:val="bullet"/>
      <w:lvlText w:val="o"/>
      <w:lvlJc w:val="left"/>
      <w:pPr>
        <w:ind w:left="6390" w:hanging="360"/>
      </w:pPr>
      <w:rPr>
        <w:rFonts w:ascii="Courier New" w:hAnsi="Courier New" w:cs="Courier New" w:hint="default"/>
      </w:rPr>
    </w:lvl>
    <w:lvl w:ilvl="8" w:tplc="CD9A41D8" w:tentative="1">
      <w:start w:val="1"/>
      <w:numFmt w:val="bullet"/>
      <w:lvlText w:val=""/>
      <w:lvlJc w:val="left"/>
      <w:pPr>
        <w:ind w:left="7110" w:hanging="360"/>
      </w:pPr>
      <w:rPr>
        <w:rFonts w:ascii="Wingdings" w:hAnsi="Wingdings" w:hint="default"/>
      </w:rPr>
    </w:lvl>
  </w:abstractNum>
  <w:abstractNum w:abstractNumId="100" w15:restartNumberingAfterBreak="0">
    <w:nsid w:val="3BC8381F"/>
    <w:multiLevelType w:val="hybridMultilevel"/>
    <w:tmpl w:val="93B0401E"/>
    <w:lvl w:ilvl="0" w:tplc="37E0179A">
      <w:start w:val="1"/>
      <w:numFmt w:val="bullet"/>
      <w:lvlText w:val=""/>
      <w:lvlJc w:val="left"/>
      <w:pPr>
        <w:ind w:left="1080" w:hanging="360"/>
      </w:pPr>
      <w:rPr>
        <w:rFonts w:ascii="Symbol" w:hAnsi="Symbol" w:hint="default"/>
        <w:color w:val="auto"/>
      </w:rPr>
    </w:lvl>
    <w:lvl w:ilvl="1" w:tplc="B05688FC" w:tentative="1">
      <w:start w:val="1"/>
      <w:numFmt w:val="bullet"/>
      <w:lvlText w:val="o"/>
      <w:lvlJc w:val="left"/>
      <w:pPr>
        <w:ind w:left="1800" w:hanging="360"/>
      </w:pPr>
      <w:rPr>
        <w:rFonts w:ascii="Courier New" w:hAnsi="Courier New" w:cs="Courier New" w:hint="default"/>
      </w:rPr>
    </w:lvl>
    <w:lvl w:ilvl="2" w:tplc="B27240FC" w:tentative="1">
      <w:start w:val="1"/>
      <w:numFmt w:val="bullet"/>
      <w:lvlText w:val=""/>
      <w:lvlJc w:val="left"/>
      <w:pPr>
        <w:ind w:left="2520" w:hanging="360"/>
      </w:pPr>
      <w:rPr>
        <w:rFonts w:ascii="Wingdings" w:hAnsi="Wingdings" w:hint="default"/>
      </w:rPr>
    </w:lvl>
    <w:lvl w:ilvl="3" w:tplc="76C04338" w:tentative="1">
      <w:start w:val="1"/>
      <w:numFmt w:val="bullet"/>
      <w:lvlText w:val=""/>
      <w:lvlJc w:val="left"/>
      <w:pPr>
        <w:ind w:left="3240" w:hanging="360"/>
      </w:pPr>
      <w:rPr>
        <w:rFonts w:ascii="Symbol" w:hAnsi="Symbol" w:hint="default"/>
      </w:rPr>
    </w:lvl>
    <w:lvl w:ilvl="4" w:tplc="4674626E" w:tentative="1">
      <w:start w:val="1"/>
      <w:numFmt w:val="bullet"/>
      <w:lvlText w:val="o"/>
      <w:lvlJc w:val="left"/>
      <w:pPr>
        <w:ind w:left="3960" w:hanging="360"/>
      </w:pPr>
      <w:rPr>
        <w:rFonts w:ascii="Courier New" w:hAnsi="Courier New" w:cs="Courier New" w:hint="default"/>
      </w:rPr>
    </w:lvl>
    <w:lvl w:ilvl="5" w:tplc="7AC8AC42" w:tentative="1">
      <w:start w:val="1"/>
      <w:numFmt w:val="bullet"/>
      <w:lvlText w:val=""/>
      <w:lvlJc w:val="left"/>
      <w:pPr>
        <w:ind w:left="4680" w:hanging="360"/>
      </w:pPr>
      <w:rPr>
        <w:rFonts w:ascii="Wingdings" w:hAnsi="Wingdings" w:hint="default"/>
      </w:rPr>
    </w:lvl>
    <w:lvl w:ilvl="6" w:tplc="0D8CF05A" w:tentative="1">
      <w:start w:val="1"/>
      <w:numFmt w:val="bullet"/>
      <w:lvlText w:val=""/>
      <w:lvlJc w:val="left"/>
      <w:pPr>
        <w:ind w:left="5400" w:hanging="360"/>
      </w:pPr>
      <w:rPr>
        <w:rFonts w:ascii="Symbol" w:hAnsi="Symbol" w:hint="default"/>
      </w:rPr>
    </w:lvl>
    <w:lvl w:ilvl="7" w:tplc="6330B3B8" w:tentative="1">
      <w:start w:val="1"/>
      <w:numFmt w:val="bullet"/>
      <w:lvlText w:val="o"/>
      <w:lvlJc w:val="left"/>
      <w:pPr>
        <w:ind w:left="6120" w:hanging="360"/>
      </w:pPr>
      <w:rPr>
        <w:rFonts w:ascii="Courier New" w:hAnsi="Courier New" w:cs="Courier New" w:hint="default"/>
      </w:rPr>
    </w:lvl>
    <w:lvl w:ilvl="8" w:tplc="47FA9582" w:tentative="1">
      <w:start w:val="1"/>
      <w:numFmt w:val="bullet"/>
      <w:lvlText w:val=""/>
      <w:lvlJc w:val="left"/>
      <w:pPr>
        <w:ind w:left="6840" w:hanging="360"/>
      </w:pPr>
      <w:rPr>
        <w:rFonts w:ascii="Wingdings" w:hAnsi="Wingdings" w:hint="default"/>
      </w:rPr>
    </w:lvl>
  </w:abstractNum>
  <w:abstractNum w:abstractNumId="101" w15:restartNumberingAfterBreak="0">
    <w:nsid w:val="3BD33DAD"/>
    <w:multiLevelType w:val="hybridMultilevel"/>
    <w:tmpl w:val="FC6686BA"/>
    <w:lvl w:ilvl="0" w:tplc="299CAFFA">
      <w:start w:val="1"/>
      <w:numFmt w:val="bullet"/>
      <w:lvlText w:val=""/>
      <w:lvlJc w:val="left"/>
      <w:pPr>
        <w:tabs>
          <w:tab w:val="num" w:pos="567"/>
        </w:tabs>
        <w:ind w:left="567" w:hanging="567"/>
      </w:pPr>
      <w:rPr>
        <w:rFonts w:ascii="Symbol" w:hAnsi="Symbol" w:hint="default"/>
      </w:rPr>
    </w:lvl>
    <w:lvl w:ilvl="1" w:tplc="992E2336">
      <w:start w:val="1"/>
      <w:numFmt w:val="bullet"/>
      <w:lvlText w:val=""/>
      <w:lvlJc w:val="left"/>
      <w:pPr>
        <w:tabs>
          <w:tab w:val="num" w:pos="1440"/>
        </w:tabs>
        <w:ind w:left="1440" w:hanging="360"/>
      </w:pPr>
      <w:rPr>
        <w:rFonts w:ascii="Symbol" w:hAnsi="Symbol" w:hint="default"/>
      </w:rPr>
    </w:lvl>
    <w:lvl w:ilvl="2" w:tplc="0FE05BDA" w:tentative="1">
      <w:start w:val="1"/>
      <w:numFmt w:val="bullet"/>
      <w:lvlText w:val=""/>
      <w:lvlJc w:val="left"/>
      <w:pPr>
        <w:tabs>
          <w:tab w:val="num" w:pos="2160"/>
        </w:tabs>
        <w:ind w:left="2160" w:hanging="360"/>
      </w:pPr>
      <w:rPr>
        <w:rFonts w:ascii="Wingdings" w:hAnsi="Wingdings" w:hint="default"/>
      </w:rPr>
    </w:lvl>
    <w:lvl w:ilvl="3" w:tplc="17DCC428" w:tentative="1">
      <w:start w:val="1"/>
      <w:numFmt w:val="bullet"/>
      <w:lvlText w:val=""/>
      <w:lvlJc w:val="left"/>
      <w:pPr>
        <w:tabs>
          <w:tab w:val="num" w:pos="2880"/>
        </w:tabs>
        <w:ind w:left="2880" w:hanging="360"/>
      </w:pPr>
      <w:rPr>
        <w:rFonts w:ascii="Symbol" w:hAnsi="Symbol" w:hint="default"/>
      </w:rPr>
    </w:lvl>
    <w:lvl w:ilvl="4" w:tplc="B2D648EA" w:tentative="1">
      <w:start w:val="1"/>
      <w:numFmt w:val="bullet"/>
      <w:lvlText w:val="o"/>
      <w:lvlJc w:val="left"/>
      <w:pPr>
        <w:tabs>
          <w:tab w:val="num" w:pos="3600"/>
        </w:tabs>
        <w:ind w:left="3600" w:hanging="360"/>
      </w:pPr>
      <w:rPr>
        <w:rFonts w:ascii="Courier New" w:hAnsi="Courier New" w:hint="default"/>
      </w:rPr>
    </w:lvl>
    <w:lvl w:ilvl="5" w:tplc="BDC85470" w:tentative="1">
      <w:start w:val="1"/>
      <w:numFmt w:val="bullet"/>
      <w:lvlText w:val=""/>
      <w:lvlJc w:val="left"/>
      <w:pPr>
        <w:tabs>
          <w:tab w:val="num" w:pos="4320"/>
        </w:tabs>
        <w:ind w:left="4320" w:hanging="360"/>
      </w:pPr>
      <w:rPr>
        <w:rFonts w:ascii="Wingdings" w:hAnsi="Wingdings" w:hint="default"/>
      </w:rPr>
    </w:lvl>
    <w:lvl w:ilvl="6" w:tplc="B570116E" w:tentative="1">
      <w:start w:val="1"/>
      <w:numFmt w:val="bullet"/>
      <w:lvlText w:val=""/>
      <w:lvlJc w:val="left"/>
      <w:pPr>
        <w:tabs>
          <w:tab w:val="num" w:pos="5040"/>
        </w:tabs>
        <w:ind w:left="5040" w:hanging="360"/>
      </w:pPr>
      <w:rPr>
        <w:rFonts w:ascii="Symbol" w:hAnsi="Symbol" w:hint="default"/>
      </w:rPr>
    </w:lvl>
    <w:lvl w:ilvl="7" w:tplc="073CE9B4" w:tentative="1">
      <w:start w:val="1"/>
      <w:numFmt w:val="bullet"/>
      <w:lvlText w:val="o"/>
      <w:lvlJc w:val="left"/>
      <w:pPr>
        <w:tabs>
          <w:tab w:val="num" w:pos="5760"/>
        </w:tabs>
        <w:ind w:left="5760" w:hanging="360"/>
      </w:pPr>
      <w:rPr>
        <w:rFonts w:ascii="Courier New" w:hAnsi="Courier New" w:hint="default"/>
      </w:rPr>
    </w:lvl>
    <w:lvl w:ilvl="8" w:tplc="5770F4FC"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3C542FEE"/>
    <w:multiLevelType w:val="hybridMultilevel"/>
    <w:tmpl w:val="513619DC"/>
    <w:lvl w:ilvl="0" w:tplc="6ECAA360">
      <w:start w:val="1"/>
      <w:numFmt w:val="bullet"/>
      <w:lvlText w:val=""/>
      <w:lvlJc w:val="left"/>
      <w:pPr>
        <w:ind w:left="720" w:hanging="360"/>
      </w:pPr>
      <w:rPr>
        <w:rFonts w:ascii="Symbol" w:hAnsi="Symbol" w:hint="default"/>
        <w:sz w:val="22"/>
      </w:rPr>
    </w:lvl>
    <w:lvl w:ilvl="1" w:tplc="2D6A88FE" w:tentative="1">
      <w:start w:val="1"/>
      <w:numFmt w:val="bullet"/>
      <w:lvlText w:val="o"/>
      <w:lvlJc w:val="left"/>
      <w:pPr>
        <w:ind w:left="1440" w:hanging="360"/>
      </w:pPr>
      <w:rPr>
        <w:rFonts w:ascii="Courier New" w:hAnsi="Courier New" w:cs="Courier New" w:hint="default"/>
      </w:rPr>
    </w:lvl>
    <w:lvl w:ilvl="2" w:tplc="EC5873C2" w:tentative="1">
      <w:start w:val="1"/>
      <w:numFmt w:val="bullet"/>
      <w:lvlText w:val=""/>
      <w:lvlJc w:val="left"/>
      <w:pPr>
        <w:ind w:left="2160" w:hanging="360"/>
      </w:pPr>
      <w:rPr>
        <w:rFonts w:ascii="Wingdings" w:hAnsi="Wingdings" w:hint="default"/>
      </w:rPr>
    </w:lvl>
    <w:lvl w:ilvl="3" w:tplc="3A2E84DC" w:tentative="1">
      <w:start w:val="1"/>
      <w:numFmt w:val="bullet"/>
      <w:lvlText w:val=""/>
      <w:lvlJc w:val="left"/>
      <w:pPr>
        <w:ind w:left="2880" w:hanging="360"/>
      </w:pPr>
      <w:rPr>
        <w:rFonts w:ascii="Symbol" w:hAnsi="Symbol" w:hint="default"/>
      </w:rPr>
    </w:lvl>
    <w:lvl w:ilvl="4" w:tplc="5DD657D0" w:tentative="1">
      <w:start w:val="1"/>
      <w:numFmt w:val="bullet"/>
      <w:lvlText w:val="o"/>
      <w:lvlJc w:val="left"/>
      <w:pPr>
        <w:ind w:left="3600" w:hanging="360"/>
      </w:pPr>
      <w:rPr>
        <w:rFonts w:ascii="Courier New" w:hAnsi="Courier New" w:cs="Courier New" w:hint="default"/>
      </w:rPr>
    </w:lvl>
    <w:lvl w:ilvl="5" w:tplc="2690ED16" w:tentative="1">
      <w:start w:val="1"/>
      <w:numFmt w:val="bullet"/>
      <w:lvlText w:val=""/>
      <w:lvlJc w:val="left"/>
      <w:pPr>
        <w:ind w:left="4320" w:hanging="360"/>
      </w:pPr>
      <w:rPr>
        <w:rFonts w:ascii="Wingdings" w:hAnsi="Wingdings" w:hint="default"/>
      </w:rPr>
    </w:lvl>
    <w:lvl w:ilvl="6" w:tplc="1D2448A0" w:tentative="1">
      <w:start w:val="1"/>
      <w:numFmt w:val="bullet"/>
      <w:lvlText w:val=""/>
      <w:lvlJc w:val="left"/>
      <w:pPr>
        <w:ind w:left="5040" w:hanging="360"/>
      </w:pPr>
      <w:rPr>
        <w:rFonts w:ascii="Symbol" w:hAnsi="Symbol" w:hint="default"/>
      </w:rPr>
    </w:lvl>
    <w:lvl w:ilvl="7" w:tplc="AE8A990A" w:tentative="1">
      <w:start w:val="1"/>
      <w:numFmt w:val="bullet"/>
      <w:lvlText w:val="o"/>
      <w:lvlJc w:val="left"/>
      <w:pPr>
        <w:ind w:left="5760" w:hanging="360"/>
      </w:pPr>
      <w:rPr>
        <w:rFonts w:ascii="Courier New" w:hAnsi="Courier New" w:cs="Courier New" w:hint="default"/>
      </w:rPr>
    </w:lvl>
    <w:lvl w:ilvl="8" w:tplc="B1743F2A" w:tentative="1">
      <w:start w:val="1"/>
      <w:numFmt w:val="bullet"/>
      <w:lvlText w:val=""/>
      <w:lvlJc w:val="left"/>
      <w:pPr>
        <w:ind w:left="6480" w:hanging="360"/>
      </w:pPr>
      <w:rPr>
        <w:rFonts w:ascii="Wingdings" w:hAnsi="Wingdings" w:hint="default"/>
      </w:rPr>
    </w:lvl>
  </w:abstractNum>
  <w:abstractNum w:abstractNumId="103" w15:restartNumberingAfterBreak="0">
    <w:nsid w:val="3D522726"/>
    <w:multiLevelType w:val="hybridMultilevel"/>
    <w:tmpl w:val="FD7051A4"/>
    <w:lvl w:ilvl="0" w:tplc="FEDA8682">
      <w:start w:val="2"/>
      <w:numFmt w:val="decimal"/>
      <w:lvlText w:val="%1."/>
      <w:lvlJc w:val="left"/>
      <w:pPr>
        <w:ind w:left="1500" w:hanging="360"/>
      </w:pPr>
      <w:rPr>
        <w:rFonts w:hint="default"/>
      </w:rPr>
    </w:lvl>
    <w:lvl w:ilvl="1" w:tplc="C0D06224" w:tentative="1">
      <w:start w:val="1"/>
      <w:numFmt w:val="lowerLetter"/>
      <w:lvlText w:val="%2."/>
      <w:lvlJc w:val="left"/>
      <w:pPr>
        <w:ind w:left="2220" w:hanging="360"/>
      </w:pPr>
    </w:lvl>
    <w:lvl w:ilvl="2" w:tplc="90AE0F76" w:tentative="1">
      <w:start w:val="1"/>
      <w:numFmt w:val="lowerRoman"/>
      <w:lvlText w:val="%3."/>
      <w:lvlJc w:val="right"/>
      <w:pPr>
        <w:ind w:left="2940" w:hanging="180"/>
      </w:pPr>
    </w:lvl>
    <w:lvl w:ilvl="3" w:tplc="99027B5E" w:tentative="1">
      <w:start w:val="1"/>
      <w:numFmt w:val="decimal"/>
      <w:lvlText w:val="%4."/>
      <w:lvlJc w:val="left"/>
      <w:pPr>
        <w:ind w:left="3660" w:hanging="360"/>
      </w:pPr>
    </w:lvl>
    <w:lvl w:ilvl="4" w:tplc="4518399A" w:tentative="1">
      <w:start w:val="1"/>
      <w:numFmt w:val="lowerLetter"/>
      <w:lvlText w:val="%5."/>
      <w:lvlJc w:val="left"/>
      <w:pPr>
        <w:ind w:left="4380" w:hanging="360"/>
      </w:pPr>
    </w:lvl>
    <w:lvl w:ilvl="5" w:tplc="377632DE" w:tentative="1">
      <w:start w:val="1"/>
      <w:numFmt w:val="lowerRoman"/>
      <w:lvlText w:val="%6."/>
      <w:lvlJc w:val="right"/>
      <w:pPr>
        <w:ind w:left="5100" w:hanging="180"/>
      </w:pPr>
    </w:lvl>
    <w:lvl w:ilvl="6" w:tplc="BE820D68" w:tentative="1">
      <w:start w:val="1"/>
      <w:numFmt w:val="decimal"/>
      <w:lvlText w:val="%7."/>
      <w:lvlJc w:val="left"/>
      <w:pPr>
        <w:ind w:left="5820" w:hanging="360"/>
      </w:pPr>
    </w:lvl>
    <w:lvl w:ilvl="7" w:tplc="C3C63072" w:tentative="1">
      <w:start w:val="1"/>
      <w:numFmt w:val="lowerLetter"/>
      <w:lvlText w:val="%8."/>
      <w:lvlJc w:val="left"/>
      <w:pPr>
        <w:ind w:left="6540" w:hanging="360"/>
      </w:pPr>
    </w:lvl>
    <w:lvl w:ilvl="8" w:tplc="14D4836A" w:tentative="1">
      <w:start w:val="1"/>
      <w:numFmt w:val="lowerRoman"/>
      <w:lvlText w:val="%9."/>
      <w:lvlJc w:val="right"/>
      <w:pPr>
        <w:ind w:left="7260" w:hanging="180"/>
      </w:pPr>
    </w:lvl>
  </w:abstractNum>
  <w:abstractNum w:abstractNumId="104" w15:restartNumberingAfterBreak="0">
    <w:nsid w:val="3DEA67E9"/>
    <w:multiLevelType w:val="hybridMultilevel"/>
    <w:tmpl w:val="78ACE2A4"/>
    <w:lvl w:ilvl="0" w:tplc="80F263A2">
      <w:start w:val="1"/>
      <w:numFmt w:val="bullet"/>
      <w:lvlText w:val=""/>
      <w:lvlJc w:val="left"/>
      <w:pPr>
        <w:tabs>
          <w:tab w:val="num" w:pos="567"/>
        </w:tabs>
        <w:ind w:left="567" w:hanging="567"/>
      </w:pPr>
      <w:rPr>
        <w:rFonts w:ascii="Symbol" w:hAnsi="Symbol" w:hint="default"/>
      </w:rPr>
    </w:lvl>
    <w:lvl w:ilvl="1" w:tplc="C534EDA6" w:tentative="1">
      <w:start w:val="1"/>
      <w:numFmt w:val="bullet"/>
      <w:lvlText w:val="o"/>
      <w:lvlJc w:val="left"/>
      <w:pPr>
        <w:tabs>
          <w:tab w:val="num" w:pos="1080"/>
        </w:tabs>
        <w:ind w:left="1080" w:hanging="360"/>
      </w:pPr>
      <w:rPr>
        <w:rFonts w:ascii="Courier New" w:hAnsi="Courier New" w:hint="default"/>
      </w:rPr>
    </w:lvl>
    <w:lvl w:ilvl="2" w:tplc="BB6214E8" w:tentative="1">
      <w:start w:val="1"/>
      <w:numFmt w:val="bullet"/>
      <w:lvlText w:val=""/>
      <w:lvlJc w:val="left"/>
      <w:pPr>
        <w:tabs>
          <w:tab w:val="num" w:pos="1800"/>
        </w:tabs>
        <w:ind w:left="1800" w:hanging="360"/>
      </w:pPr>
      <w:rPr>
        <w:rFonts w:ascii="Wingdings" w:hAnsi="Wingdings" w:hint="default"/>
      </w:rPr>
    </w:lvl>
    <w:lvl w:ilvl="3" w:tplc="824E886A" w:tentative="1">
      <w:start w:val="1"/>
      <w:numFmt w:val="bullet"/>
      <w:lvlText w:val=""/>
      <w:lvlJc w:val="left"/>
      <w:pPr>
        <w:tabs>
          <w:tab w:val="num" w:pos="2520"/>
        </w:tabs>
        <w:ind w:left="2520" w:hanging="360"/>
      </w:pPr>
      <w:rPr>
        <w:rFonts w:ascii="Symbol" w:hAnsi="Symbol" w:hint="default"/>
      </w:rPr>
    </w:lvl>
    <w:lvl w:ilvl="4" w:tplc="AE4AFAEC" w:tentative="1">
      <w:start w:val="1"/>
      <w:numFmt w:val="bullet"/>
      <w:lvlText w:val="o"/>
      <w:lvlJc w:val="left"/>
      <w:pPr>
        <w:tabs>
          <w:tab w:val="num" w:pos="3240"/>
        </w:tabs>
        <w:ind w:left="3240" w:hanging="360"/>
      </w:pPr>
      <w:rPr>
        <w:rFonts w:ascii="Courier New" w:hAnsi="Courier New" w:hint="default"/>
      </w:rPr>
    </w:lvl>
    <w:lvl w:ilvl="5" w:tplc="F7369798" w:tentative="1">
      <w:start w:val="1"/>
      <w:numFmt w:val="bullet"/>
      <w:lvlText w:val=""/>
      <w:lvlJc w:val="left"/>
      <w:pPr>
        <w:tabs>
          <w:tab w:val="num" w:pos="3960"/>
        </w:tabs>
        <w:ind w:left="3960" w:hanging="360"/>
      </w:pPr>
      <w:rPr>
        <w:rFonts w:ascii="Wingdings" w:hAnsi="Wingdings" w:hint="default"/>
      </w:rPr>
    </w:lvl>
    <w:lvl w:ilvl="6" w:tplc="0E4AA7C6" w:tentative="1">
      <w:start w:val="1"/>
      <w:numFmt w:val="bullet"/>
      <w:lvlText w:val=""/>
      <w:lvlJc w:val="left"/>
      <w:pPr>
        <w:tabs>
          <w:tab w:val="num" w:pos="4680"/>
        </w:tabs>
        <w:ind w:left="4680" w:hanging="360"/>
      </w:pPr>
      <w:rPr>
        <w:rFonts w:ascii="Symbol" w:hAnsi="Symbol" w:hint="default"/>
      </w:rPr>
    </w:lvl>
    <w:lvl w:ilvl="7" w:tplc="D148520A" w:tentative="1">
      <w:start w:val="1"/>
      <w:numFmt w:val="bullet"/>
      <w:lvlText w:val="o"/>
      <w:lvlJc w:val="left"/>
      <w:pPr>
        <w:tabs>
          <w:tab w:val="num" w:pos="5400"/>
        </w:tabs>
        <w:ind w:left="5400" w:hanging="360"/>
      </w:pPr>
      <w:rPr>
        <w:rFonts w:ascii="Courier New" w:hAnsi="Courier New" w:hint="default"/>
      </w:rPr>
    </w:lvl>
    <w:lvl w:ilvl="8" w:tplc="BD26F212" w:tentative="1">
      <w:start w:val="1"/>
      <w:numFmt w:val="bullet"/>
      <w:lvlText w:val=""/>
      <w:lvlJc w:val="left"/>
      <w:pPr>
        <w:tabs>
          <w:tab w:val="num" w:pos="6120"/>
        </w:tabs>
        <w:ind w:left="6120" w:hanging="360"/>
      </w:pPr>
      <w:rPr>
        <w:rFonts w:ascii="Wingdings" w:hAnsi="Wingdings" w:hint="default"/>
      </w:rPr>
    </w:lvl>
  </w:abstractNum>
  <w:abstractNum w:abstractNumId="105" w15:restartNumberingAfterBreak="0">
    <w:nsid w:val="3EAE6A80"/>
    <w:multiLevelType w:val="multilevel"/>
    <w:tmpl w:val="8F3436A8"/>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6" w15:restartNumberingAfterBreak="0">
    <w:nsid w:val="3F711E55"/>
    <w:multiLevelType w:val="hybridMultilevel"/>
    <w:tmpl w:val="D680642E"/>
    <w:lvl w:ilvl="0" w:tplc="8A86B534">
      <w:start w:val="38"/>
      <w:numFmt w:val="bullet"/>
      <w:lvlText w:val="-"/>
      <w:lvlJc w:val="left"/>
      <w:pPr>
        <w:tabs>
          <w:tab w:val="num" w:pos="567"/>
        </w:tabs>
        <w:ind w:left="567" w:hanging="567"/>
      </w:pPr>
      <w:rPr>
        <w:rFonts w:hint="default"/>
      </w:rPr>
    </w:lvl>
    <w:lvl w:ilvl="1" w:tplc="179AE522" w:tentative="1">
      <w:start w:val="1"/>
      <w:numFmt w:val="bullet"/>
      <w:lvlText w:val="o"/>
      <w:lvlJc w:val="left"/>
      <w:pPr>
        <w:tabs>
          <w:tab w:val="num" w:pos="1440"/>
        </w:tabs>
        <w:ind w:left="1440" w:hanging="360"/>
      </w:pPr>
      <w:rPr>
        <w:rFonts w:ascii="Courier New" w:hAnsi="Courier New" w:hint="default"/>
      </w:rPr>
    </w:lvl>
    <w:lvl w:ilvl="2" w:tplc="C97075A0" w:tentative="1">
      <w:start w:val="1"/>
      <w:numFmt w:val="bullet"/>
      <w:lvlText w:val=""/>
      <w:lvlJc w:val="left"/>
      <w:pPr>
        <w:tabs>
          <w:tab w:val="num" w:pos="2160"/>
        </w:tabs>
        <w:ind w:left="2160" w:hanging="360"/>
      </w:pPr>
      <w:rPr>
        <w:rFonts w:ascii="Wingdings" w:hAnsi="Wingdings" w:hint="default"/>
      </w:rPr>
    </w:lvl>
    <w:lvl w:ilvl="3" w:tplc="F47A7882" w:tentative="1">
      <w:start w:val="1"/>
      <w:numFmt w:val="bullet"/>
      <w:lvlText w:val=""/>
      <w:lvlJc w:val="left"/>
      <w:pPr>
        <w:tabs>
          <w:tab w:val="num" w:pos="2880"/>
        </w:tabs>
        <w:ind w:left="2880" w:hanging="360"/>
      </w:pPr>
      <w:rPr>
        <w:rFonts w:ascii="Symbol" w:hAnsi="Symbol" w:hint="default"/>
      </w:rPr>
    </w:lvl>
    <w:lvl w:ilvl="4" w:tplc="B74C930C" w:tentative="1">
      <w:start w:val="1"/>
      <w:numFmt w:val="bullet"/>
      <w:lvlText w:val="o"/>
      <w:lvlJc w:val="left"/>
      <w:pPr>
        <w:tabs>
          <w:tab w:val="num" w:pos="3600"/>
        </w:tabs>
        <w:ind w:left="3600" w:hanging="360"/>
      </w:pPr>
      <w:rPr>
        <w:rFonts w:ascii="Courier New" w:hAnsi="Courier New" w:hint="default"/>
      </w:rPr>
    </w:lvl>
    <w:lvl w:ilvl="5" w:tplc="D5AE1C16" w:tentative="1">
      <w:start w:val="1"/>
      <w:numFmt w:val="bullet"/>
      <w:lvlText w:val=""/>
      <w:lvlJc w:val="left"/>
      <w:pPr>
        <w:tabs>
          <w:tab w:val="num" w:pos="4320"/>
        </w:tabs>
        <w:ind w:left="4320" w:hanging="360"/>
      </w:pPr>
      <w:rPr>
        <w:rFonts w:ascii="Wingdings" w:hAnsi="Wingdings" w:hint="default"/>
      </w:rPr>
    </w:lvl>
    <w:lvl w:ilvl="6" w:tplc="FFE4622C" w:tentative="1">
      <w:start w:val="1"/>
      <w:numFmt w:val="bullet"/>
      <w:lvlText w:val=""/>
      <w:lvlJc w:val="left"/>
      <w:pPr>
        <w:tabs>
          <w:tab w:val="num" w:pos="5040"/>
        </w:tabs>
        <w:ind w:left="5040" w:hanging="360"/>
      </w:pPr>
      <w:rPr>
        <w:rFonts w:ascii="Symbol" w:hAnsi="Symbol" w:hint="default"/>
      </w:rPr>
    </w:lvl>
    <w:lvl w:ilvl="7" w:tplc="CD7CA606" w:tentative="1">
      <w:start w:val="1"/>
      <w:numFmt w:val="bullet"/>
      <w:lvlText w:val="o"/>
      <w:lvlJc w:val="left"/>
      <w:pPr>
        <w:tabs>
          <w:tab w:val="num" w:pos="5760"/>
        </w:tabs>
        <w:ind w:left="5760" w:hanging="360"/>
      </w:pPr>
      <w:rPr>
        <w:rFonts w:ascii="Courier New" w:hAnsi="Courier New" w:hint="default"/>
      </w:rPr>
    </w:lvl>
    <w:lvl w:ilvl="8" w:tplc="C7B4E35A"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3F91709F"/>
    <w:multiLevelType w:val="hybridMultilevel"/>
    <w:tmpl w:val="94EA5860"/>
    <w:lvl w:ilvl="0" w:tplc="23EEA25E">
      <w:start w:val="1"/>
      <w:numFmt w:val="bullet"/>
      <w:lvlText w:val=""/>
      <w:lvlJc w:val="left"/>
      <w:pPr>
        <w:ind w:left="720" w:hanging="360"/>
      </w:pPr>
      <w:rPr>
        <w:rFonts w:ascii="Symbol" w:hAnsi="Symbol" w:hint="default"/>
      </w:rPr>
    </w:lvl>
    <w:lvl w:ilvl="1" w:tplc="7F181CFE">
      <w:start w:val="1"/>
      <w:numFmt w:val="bullet"/>
      <w:lvlText w:val="o"/>
      <w:lvlJc w:val="left"/>
      <w:pPr>
        <w:ind w:left="1440" w:hanging="360"/>
      </w:pPr>
      <w:rPr>
        <w:rFonts w:ascii="Courier New" w:hAnsi="Courier New" w:cs="Courier New" w:hint="default"/>
      </w:rPr>
    </w:lvl>
    <w:lvl w:ilvl="2" w:tplc="8564D6A8" w:tentative="1">
      <w:start w:val="1"/>
      <w:numFmt w:val="bullet"/>
      <w:lvlText w:val=""/>
      <w:lvlJc w:val="left"/>
      <w:pPr>
        <w:ind w:left="2160" w:hanging="360"/>
      </w:pPr>
      <w:rPr>
        <w:rFonts w:ascii="Wingdings" w:hAnsi="Wingdings" w:hint="default"/>
      </w:rPr>
    </w:lvl>
    <w:lvl w:ilvl="3" w:tplc="71240AC0" w:tentative="1">
      <w:start w:val="1"/>
      <w:numFmt w:val="bullet"/>
      <w:lvlText w:val=""/>
      <w:lvlJc w:val="left"/>
      <w:pPr>
        <w:ind w:left="2880" w:hanging="360"/>
      </w:pPr>
      <w:rPr>
        <w:rFonts w:ascii="Symbol" w:hAnsi="Symbol" w:hint="default"/>
      </w:rPr>
    </w:lvl>
    <w:lvl w:ilvl="4" w:tplc="CC1AB926" w:tentative="1">
      <w:start w:val="1"/>
      <w:numFmt w:val="bullet"/>
      <w:lvlText w:val="o"/>
      <w:lvlJc w:val="left"/>
      <w:pPr>
        <w:ind w:left="3600" w:hanging="360"/>
      </w:pPr>
      <w:rPr>
        <w:rFonts w:ascii="Courier New" w:hAnsi="Courier New" w:cs="Courier New" w:hint="default"/>
      </w:rPr>
    </w:lvl>
    <w:lvl w:ilvl="5" w:tplc="8A9C2102" w:tentative="1">
      <w:start w:val="1"/>
      <w:numFmt w:val="bullet"/>
      <w:lvlText w:val=""/>
      <w:lvlJc w:val="left"/>
      <w:pPr>
        <w:ind w:left="4320" w:hanging="360"/>
      </w:pPr>
      <w:rPr>
        <w:rFonts w:ascii="Wingdings" w:hAnsi="Wingdings" w:hint="default"/>
      </w:rPr>
    </w:lvl>
    <w:lvl w:ilvl="6" w:tplc="90745C06" w:tentative="1">
      <w:start w:val="1"/>
      <w:numFmt w:val="bullet"/>
      <w:lvlText w:val=""/>
      <w:lvlJc w:val="left"/>
      <w:pPr>
        <w:ind w:left="5040" w:hanging="360"/>
      </w:pPr>
      <w:rPr>
        <w:rFonts w:ascii="Symbol" w:hAnsi="Symbol" w:hint="default"/>
      </w:rPr>
    </w:lvl>
    <w:lvl w:ilvl="7" w:tplc="E58009D8" w:tentative="1">
      <w:start w:val="1"/>
      <w:numFmt w:val="bullet"/>
      <w:lvlText w:val="o"/>
      <w:lvlJc w:val="left"/>
      <w:pPr>
        <w:ind w:left="5760" w:hanging="360"/>
      </w:pPr>
      <w:rPr>
        <w:rFonts w:ascii="Courier New" w:hAnsi="Courier New" w:cs="Courier New" w:hint="default"/>
      </w:rPr>
    </w:lvl>
    <w:lvl w:ilvl="8" w:tplc="F0569756" w:tentative="1">
      <w:start w:val="1"/>
      <w:numFmt w:val="bullet"/>
      <w:lvlText w:val=""/>
      <w:lvlJc w:val="left"/>
      <w:pPr>
        <w:ind w:left="6480" w:hanging="360"/>
      </w:pPr>
      <w:rPr>
        <w:rFonts w:ascii="Wingdings" w:hAnsi="Wingdings" w:hint="default"/>
      </w:rPr>
    </w:lvl>
  </w:abstractNum>
  <w:abstractNum w:abstractNumId="108" w15:restartNumberingAfterBreak="0">
    <w:nsid w:val="40E54B09"/>
    <w:multiLevelType w:val="hybridMultilevel"/>
    <w:tmpl w:val="A3707AF4"/>
    <w:lvl w:ilvl="0" w:tplc="85F6B0D4">
      <w:start w:val="1"/>
      <w:numFmt w:val="bullet"/>
      <w:pStyle w:val="EMEABullet2"/>
      <w:lvlText w:val=""/>
      <w:lvlJc w:val="left"/>
      <w:pPr>
        <w:tabs>
          <w:tab w:val="num" w:pos="720"/>
        </w:tabs>
        <w:ind w:left="720" w:hanging="360"/>
      </w:pPr>
      <w:rPr>
        <w:rFonts w:ascii="Symbol" w:hAnsi="Symbol" w:hint="default"/>
      </w:rPr>
    </w:lvl>
    <w:lvl w:ilvl="1" w:tplc="6C6A9D90">
      <w:start w:val="1"/>
      <w:numFmt w:val="bullet"/>
      <w:lvlText w:val=""/>
      <w:lvlJc w:val="left"/>
      <w:pPr>
        <w:tabs>
          <w:tab w:val="num" w:pos="1440"/>
        </w:tabs>
        <w:ind w:left="1440" w:hanging="360"/>
      </w:pPr>
      <w:rPr>
        <w:rFonts w:ascii="Symbol" w:hAnsi="Symbol" w:hint="default"/>
      </w:rPr>
    </w:lvl>
    <w:lvl w:ilvl="2" w:tplc="2012A8CA" w:tentative="1">
      <w:start w:val="1"/>
      <w:numFmt w:val="bullet"/>
      <w:lvlText w:val=""/>
      <w:lvlJc w:val="left"/>
      <w:pPr>
        <w:tabs>
          <w:tab w:val="num" w:pos="2160"/>
        </w:tabs>
        <w:ind w:left="2160" w:hanging="360"/>
      </w:pPr>
      <w:rPr>
        <w:rFonts w:ascii="Wingdings" w:hAnsi="Wingdings" w:hint="default"/>
      </w:rPr>
    </w:lvl>
    <w:lvl w:ilvl="3" w:tplc="F0B02A92" w:tentative="1">
      <w:start w:val="1"/>
      <w:numFmt w:val="bullet"/>
      <w:lvlText w:val=""/>
      <w:lvlJc w:val="left"/>
      <w:pPr>
        <w:tabs>
          <w:tab w:val="num" w:pos="2880"/>
        </w:tabs>
        <w:ind w:left="2880" w:hanging="360"/>
      </w:pPr>
      <w:rPr>
        <w:rFonts w:ascii="Symbol" w:hAnsi="Symbol" w:hint="default"/>
      </w:rPr>
    </w:lvl>
    <w:lvl w:ilvl="4" w:tplc="B0809AC8" w:tentative="1">
      <w:start w:val="1"/>
      <w:numFmt w:val="bullet"/>
      <w:lvlText w:val="o"/>
      <w:lvlJc w:val="left"/>
      <w:pPr>
        <w:tabs>
          <w:tab w:val="num" w:pos="3600"/>
        </w:tabs>
        <w:ind w:left="3600" w:hanging="360"/>
      </w:pPr>
      <w:rPr>
        <w:rFonts w:ascii="Courier New" w:hAnsi="Courier New" w:hint="default"/>
      </w:rPr>
    </w:lvl>
    <w:lvl w:ilvl="5" w:tplc="90569848" w:tentative="1">
      <w:start w:val="1"/>
      <w:numFmt w:val="bullet"/>
      <w:lvlText w:val=""/>
      <w:lvlJc w:val="left"/>
      <w:pPr>
        <w:tabs>
          <w:tab w:val="num" w:pos="4320"/>
        </w:tabs>
        <w:ind w:left="4320" w:hanging="360"/>
      </w:pPr>
      <w:rPr>
        <w:rFonts w:ascii="Wingdings" w:hAnsi="Wingdings" w:hint="default"/>
      </w:rPr>
    </w:lvl>
    <w:lvl w:ilvl="6" w:tplc="8FDA0CE0" w:tentative="1">
      <w:start w:val="1"/>
      <w:numFmt w:val="bullet"/>
      <w:lvlText w:val=""/>
      <w:lvlJc w:val="left"/>
      <w:pPr>
        <w:tabs>
          <w:tab w:val="num" w:pos="5040"/>
        </w:tabs>
        <w:ind w:left="5040" w:hanging="360"/>
      </w:pPr>
      <w:rPr>
        <w:rFonts w:ascii="Symbol" w:hAnsi="Symbol" w:hint="default"/>
      </w:rPr>
    </w:lvl>
    <w:lvl w:ilvl="7" w:tplc="4858C7A2" w:tentative="1">
      <w:start w:val="1"/>
      <w:numFmt w:val="bullet"/>
      <w:lvlText w:val="o"/>
      <w:lvlJc w:val="left"/>
      <w:pPr>
        <w:tabs>
          <w:tab w:val="num" w:pos="5760"/>
        </w:tabs>
        <w:ind w:left="5760" w:hanging="360"/>
      </w:pPr>
      <w:rPr>
        <w:rFonts w:ascii="Courier New" w:hAnsi="Courier New" w:hint="default"/>
      </w:rPr>
    </w:lvl>
    <w:lvl w:ilvl="8" w:tplc="1C08DEE0"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42410736"/>
    <w:multiLevelType w:val="hybridMultilevel"/>
    <w:tmpl w:val="19E48ED0"/>
    <w:lvl w:ilvl="0" w:tplc="B6A8EAA0">
      <w:start w:val="1"/>
      <w:numFmt w:val="bullet"/>
      <w:lvlText w:val=""/>
      <w:lvlJc w:val="left"/>
      <w:pPr>
        <w:ind w:left="720" w:hanging="360"/>
      </w:pPr>
      <w:rPr>
        <w:rFonts w:ascii="Symbol" w:hAnsi="Symbol" w:hint="default"/>
        <w:sz w:val="22"/>
      </w:rPr>
    </w:lvl>
    <w:lvl w:ilvl="1" w:tplc="AB44D474" w:tentative="1">
      <w:start w:val="1"/>
      <w:numFmt w:val="bullet"/>
      <w:lvlText w:val="o"/>
      <w:lvlJc w:val="left"/>
      <w:pPr>
        <w:ind w:left="1440" w:hanging="360"/>
      </w:pPr>
      <w:rPr>
        <w:rFonts w:ascii="Courier New" w:hAnsi="Courier New" w:cs="Courier New" w:hint="default"/>
      </w:rPr>
    </w:lvl>
    <w:lvl w:ilvl="2" w:tplc="DF381162" w:tentative="1">
      <w:start w:val="1"/>
      <w:numFmt w:val="bullet"/>
      <w:lvlText w:val=""/>
      <w:lvlJc w:val="left"/>
      <w:pPr>
        <w:ind w:left="2160" w:hanging="360"/>
      </w:pPr>
      <w:rPr>
        <w:rFonts w:ascii="Wingdings" w:hAnsi="Wingdings" w:hint="default"/>
      </w:rPr>
    </w:lvl>
    <w:lvl w:ilvl="3" w:tplc="46405C92" w:tentative="1">
      <w:start w:val="1"/>
      <w:numFmt w:val="bullet"/>
      <w:lvlText w:val=""/>
      <w:lvlJc w:val="left"/>
      <w:pPr>
        <w:ind w:left="2880" w:hanging="360"/>
      </w:pPr>
      <w:rPr>
        <w:rFonts w:ascii="Symbol" w:hAnsi="Symbol" w:hint="default"/>
      </w:rPr>
    </w:lvl>
    <w:lvl w:ilvl="4" w:tplc="CFBCD546" w:tentative="1">
      <w:start w:val="1"/>
      <w:numFmt w:val="bullet"/>
      <w:lvlText w:val="o"/>
      <w:lvlJc w:val="left"/>
      <w:pPr>
        <w:ind w:left="3600" w:hanging="360"/>
      </w:pPr>
      <w:rPr>
        <w:rFonts w:ascii="Courier New" w:hAnsi="Courier New" w:cs="Courier New" w:hint="default"/>
      </w:rPr>
    </w:lvl>
    <w:lvl w:ilvl="5" w:tplc="88F80BC4" w:tentative="1">
      <w:start w:val="1"/>
      <w:numFmt w:val="bullet"/>
      <w:lvlText w:val=""/>
      <w:lvlJc w:val="left"/>
      <w:pPr>
        <w:ind w:left="4320" w:hanging="360"/>
      </w:pPr>
      <w:rPr>
        <w:rFonts w:ascii="Wingdings" w:hAnsi="Wingdings" w:hint="default"/>
      </w:rPr>
    </w:lvl>
    <w:lvl w:ilvl="6" w:tplc="C2FEFE0E" w:tentative="1">
      <w:start w:val="1"/>
      <w:numFmt w:val="bullet"/>
      <w:lvlText w:val=""/>
      <w:lvlJc w:val="left"/>
      <w:pPr>
        <w:ind w:left="5040" w:hanging="360"/>
      </w:pPr>
      <w:rPr>
        <w:rFonts w:ascii="Symbol" w:hAnsi="Symbol" w:hint="default"/>
      </w:rPr>
    </w:lvl>
    <w:lvl w:ilvl="7" w:tplc="EF808242" w:tentative="1">
      <w:start w:val="1"/>
      <w:numFmt w:val="bullet"/>
      <w:lvlText w:val="o"/>
      <w:lvlJc w:val="left"/>
      <w:pPr>
        <w:ind w:left="5760" w:hanging="360"/>
      </w:pPr>
      <w:rPr>
        <w:rFonts w:ascii="Courier New" w:hAnsi="Courier New" w:cs="Courier New" w:hint="default"/>
      </w:rPr>
    </w:lvl>
    <w:lvl w:ilvl="8" w:tplc="8814CA04" w:tentative="1">
      <w:start w:val="1"/>
      <w:numFmt w:val="bullet"/>
      <w:lvlText w:val=""/>
      <w:lvlJc w:val="left"/>
      <w:pPr>
        <w:ind w:left="6480" w:hanging="360"/>
      </w:pPr>
      <w:rPr>
        <w:rFonts w:ascii="Wingdings" w:hAnsi="Wingdings" w:hint="default"/>
      </w:rPr>
    </w:lvl>
  </w:abstractNum>
  <w:abstractNum w:abstractNumId="110" w15:restartNumberingAfterBreak="0">
    <w:nsid w:val="425D334C"/>
    <w:multiLevelType w:val="hybridMultilevel"/>
    <w:tmpl w:val="2C8EA9C6"/>
    <w:lvl w:ilvl="0" w:tplc="54E6653C">
      <w:start w:val="1"/>
      <w:numFmt w:val="bullet"/>
      <w:lvlText w:val=""/>
      <w:lvlJc w:val="left"/>
      <w:pPr>
        <w:ind w:left="720" w:hanging="360"/>
      </w:pPr>
      <w:rPr>
        <w:rFonts w:ascii="Symbol" w:hAnsi="Symbol" w:hint="default"/>
        <w:sz w:val="22"/>
      </w:rPr>
    </w:lvl>
    <w:lvl w:ilvl="1" w:tplc="49A4713C" w:tentative="1">
      <w:start w:val="1"/>
      <w:numFmt w:val="bullet"/>
      <w:lvlText w:val="o"/>
      <w:lvlJc w:val="left"/>
      <w:pPr>
        <w:ind w:left="1440" w:hanging="360"/>
      </w:pPr>
      <w:rPr>
        <w:rFonts w:ascii="Courier New" w:hAnsi="Courier New" w:cs="Courier New" w:hint="default"/>
      </w:rPr>
    </w:lvl>
    <w:lvl w:ilvl="2" w:tplc="AA725D02" w:tentative="1">
      <w:start w:val="1"/>
      <w:numFmt w:val="bullet"/>
      <w:lvlText w:val=""/>
      <w:lvlJc w:val="left"/>
      <w:pPr>
        <w:ind w:left="2160" w:hanging="360"/>
      </w:pPr>
      <w:rPr>
        <w:rFonts w:ascii="Wingdings" w:hAnsi="Wingdings" w:hint="default"/>
      </w:rPr>
    </w:lvl>
    <w:lvl w:ilvl="3" w:tplc="7BFE4DC0" w:tentative="1">
      <w:start w:val="1"/>
      <w:numFmt w:val="bullet"/>
      <w:lvlText w:val=""/>
      <w:lvlJc w:val="left"/>
      <w:pPr>
        <w:ind w:left="2880" w:hanging="360"/>
      </w:pPr>
      <w:rPr>
        <w:rFonts w:ascii="Symbol" w:hAnsi="Symbol" w:hint="default"/>
      </w:rPr>
    </w:lvl>
    <w:lvl w:ilvl="4" w:tplc="23EEBB98" w:tentative="1">
      <w:start w:val="1"/>
      <w:numFmt w:val="bullet"/>
      <w:lvlText w:val="o"/>
      <w:lvlJc w:val="left"/>
      <w:pPr>
        <w:ind w:left="3600" w:hanging="360"/>
      </w:pPr>
      <w:rPr>
        <w:rFonts w:ascii="Courier New" w:hAnsi="Courier New" w:cs="Courier New" w:hint="default"/>
      </w:rPr>
    </w:lvl>
    <w:lvl w:ilvl="5" w:tplc="5BE60492" w:tentative="1">
      <w:start w:val="1"/>
      <w:numFmt w:val="bullet"/>
      <w:lvlText w:val=""/>
      <w:lvlJc w:val="left"/>
      <w:pPr>
        <w:ind w:left="4320" w:hanging="360"/>
      </w:pPr>
      <w:rPr>
        <w:rFonts w:ascii="Wingdings" w:hAnsi="Wingdings" w:hint="default"/>
      </w:rPr>
    </w:lvl>
    <w:lvl w:ilvl="6" w:tplc="B7A02DA8" w:tentative="1">
      <w:start w:val="1"/>
      <w:numFmt w:val="bullet"/>
      <w:lvlText w:val=""/>
      <w:lvlJc w:val="left"/>
      <w:pPr>
        <w:ind w:left="5040" w:hanging="360"/>
      </w:pPr>
      <w:rPr>
        <w:rFonts w:ascii="Symbol" w:hAnsi="Symbol" w:hint="default"/>
      </w:rPr>
    </w:lvl>
    <w:lvl w:ilvl="7" w:tplc="FE36FB3C" w:tentative="1">
      <w:start w:val="1"/>
      <w:numFmt w:val="bullet"/>
      <w:lvlText w:val="o"/>
      <w:lvlJc w:val="left"/>
      <w:pPr>
        <w:ind w:left="5760" w:hanging="360"/>
      </w:pPr>
      <w:rPr>
        <w:rFonts w:ascii="Courier New" w:hAnsi="Courier New" w:cs="Courier New" w:hint="default"/>
      </w:rPr>
    </w:lvl>
    <w:lvl w:ilvl="8" w:tplc="BE3E02EE" w:tentative="1">
      <w:start w:val="1"/>
      <w:numFmt w:val="bullet"/>
      <w:lvlText w:val=""/>
      <w:lvlJc w:val="left"/>
      <w:pPr>
        <w:ind w:left="6480" w:hanging="360"/>
      </w:pPr>
      <w:rPr>
        <w:rFonts w:ascii="Wingdings" w:hAnsi="Wingdings" w:hint="default"/>
      </w:rPr>
    </w:lvl>
  </w:abstractNum>
  <w:abstractNum w:abstractNumId="111" w15:restartNumberingAfterBreak="0">
    <w:nsid w:val="432477A7"/>
    <w:multiLevelType w:val="hybridMultilevel"/>
    <w:tmpl w:val="014C38A2"/>
    <w:lvl w:ilvl="0" w:tplc="FA3C57A2">
      <w:start w:val="1"/>
      <w:numFmt w:val="bullet"/>
      <w:lvlText w:val=""/>
      <w:lvlJc w:val="left"/>
      <w:pPr>
        <w:tabs>
          <w:tab w:val="num" w:pos="567"/>
        </w:tabs>
        <w:ind w:left="567" w:hanging="567"/>
      </w:pPr>
      <w:rPr>
        <w:rFonts w:ascii="Symbol" w:hAnsi="Symbol" w:hint="default"/>
      </w:rPr>
    </w:lvl>
    <w:lvl w:ilvl="1" w:tplc="6FA23B96" w:tentative="1">
      <w:start w:val="1"/>
      <w:numFmt w:val="bullet"/>
      <w:lvlText w:val="o"/>
      <w:lvlJc w:val="left"/>
      <w:pPr>
        <w:tabs>
          <w:tab w:val="num" w:pos="1440"/>
        </w:tabs>
        <w:ind w:left="1440" w:hanging="360"/>
      </w:pPr>
      <w:rPr>
        <w:rFonts w:ascii="Courier New" w:hAnsi="Courier New" w:hint="default"/>
      </w:rPr>
    </w:lvl>
    <w:lvl w:ilvl="2" w:tplc="3A26282A" w:tentative="1">
      <w:start w:val="1"/>
      <w:numFmt w:val="bullet"/>
      <w:lvlText w:val=""/>
      <w:lvlJc w:val="left"/>
      <w:pPr>
        <w:tabs>
          <w:tab w:val="num" w:pos="2160"/>
        </w:tabs>
        <w:ind w:left="2160" w:hanging="360"/>
      </w:pPr>
      <w:rPr>
        <w:rFonts w:ascii="Wingdings" w:hAnsi="Wingdings" w:hint="default"/>
      </w:rPr>
    </w:lvl>
    <w:lvl w:ilvl="3" w:tplc="3C4E104C" w:tentative="1">
      <w:start w:val="1"/>
      <w:numFmt w:val="bullet"/>
      <w:lvlText w:val=""/>
      <w:lvlJc w:val="left"/>
      <w:pPr>
        <w:tabs>
          <w:tab w:val="num" w:pos="2880"/>
        </w:tabs>
        <w:ind w:left="2880" w:hanging="360"/>
      </w:pPr>
      <w:rPr>
        <w:rFonts w:ascii="Symbol" w:hAnsi="Symbol" w:hint="default"/>
      </w:rPr>
    </w:lvl>
    <w:lvl w:ilvl="4" w:tplc="A600E5D2" w:tentative="1">
      <w:start w:val="1"/>
      <w:numFmt w:val="bullet"/>
      <w:lvlText w:val="o"/>
      <w:lvlJc w:val="left"/>
      <w:pPr>
        <w:tabs>
          <w:tab w:val="num" w:pos="3600"/>
        </w:tabs>
        <w:ind w:left="3600" w:hanging="360"/>
      </w:pPr>
      <w:rPr>
        <w:rFonts w:ascii="Courier New" w:hAnsi="Courier New" w:hint="default"/>
      </w:rPr>
    </w:lvl>
    <w:lvl w:ilvl="5" w:tplc="384890EE" w:tentative="1">
      <w:start w:val="1"/>
      <w:numFmt w:val="bullet"/>
      <w:lvlText w:val=""/>
      <w:lvlJc w:val="left"/>
      <w:pPr>
        <w:tabs>
          <w:tab w:val="num" w:pos="4320"/>
        </w:tabs>
        <w:ind w:left="4320" w:hanging="360"/>
      </w:pPr>
      <w:rPr>
        <w:rFonts w:ascii="Wingdings" w:hAnsi="Wingdings" w:hint="default"/>
      </w:rPr>
    </w:lvl>
    <w:lvl w:ilvl="6" w:tplc="7A7A2348" w:tentative="1">
      <w:start w:val="1"/>
      <w:numFmt w:val="bullet"/>
      <w:lvlText w:val=""/>
      <w:lvlJc w:val="left"/>
      <w:pPr>
        <w:tabs>
          <w:tab w:val="num" w:pos="5040"/>
        </w:tabs>
        <w:ind w:left="5040" w:hanging="360"/>
      </w:pPr>
      <w:rPr>
        <w:rFonts w:ascii="Symbol" w:hAnsi="Symbol" w:hint="default"/>
      </w:rPr>
    </w:lvl>
    <w:lvl w:ilvl="7" w:tplc="C9101848" w:tentative="1">
      <w:start w:val="1"/>
      <w:numFmt w:val="bullet"/>
      <w:lvlText w:val="o"/>
      <w:lvlJc w:val="left"/>
      <w:pPr>
        <w:tabs>
          <w:tab w:val="num" w:pos="5760"/>
        </w:tabs>
        <w:ind w:left="5760" w:hanging="360"/>
      </w:pPr>
      <w:rPr>
        <w:rFonts w:ascii="Courier New" w:hAnsi="Courier New" w:hint="default"/>
      </w:rPr>
    </w:lvl>
    <w:lvl w:ilvl="8" w:tplc="CC24384C"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433344DF"/>
    <w:multiLevelType w:val="hybridMultilevel"/>
    <w:tmpl w:val="08F04E8A"/>
    <w:lvl w:ilvl="0" w:tplc="6852AA1A">
      <w:start w:val="14"/>
      <w:numFmt w:val="decimal"/>
      <w:lvlText w:val="%1."/>
      <w:lvlJc w:val="left"/>
      <w:pPr>
        <w:ind w:left="720" w:hanging="360"/>
      </w:pPr>
      <w:rPr>
        <w:rFonts w:hint="default"/>
        <w:b w:val="0"/>
      </w:rPr>
    </w:lvl>
    <w:lvl w:ilvl="1" w:tplc="253832D4" w:tentative="1">
      <w:start w:val="1"/>
      <w:numFmt w:val="lowerLetter"/>
      <w:lvlText w:val="%2."/>
      <w:lvlJc w:val="left"/>
      <w:pPr>
        <w:ind w:left="1440" w:hanging="360"/>
      </w:pPr>
    </w:lvl>
    <w:lvl w:ilvl="2" w:tplc="7744DD0E" w:tentative="1">
      <w:start w:val="1"/>
      <w:numFmt w:val="lowerRoman"/>
      <w:lvlText w:val="%3."/>
      <w:lvlJc w:val="right"/>
      <w:pPr>
        <w:ind w:left="2160" w:hanging="180"/>
      </w:pPr>
    </w:lvl>
    <w:lvl w:ilvl="3" w:tplc="235C05D2" w:tentative="1">
      <w:start w:val="1"/>
      <w:numFmt w:val="decimal"/>
      <w:lvlText w:val="%4."/>
      <w:lvlJc w:val="left"/>
      <w:pPr>
        <w:ind w:left="2880" w:hanging="360"/>
      </w:pPr>
    </w:lvl>
    <w:lvl w:ilvl="4" w:tplc="85126A2A" w:tentative="1">
      <w:start w:val="1"/>
      <w:numFmt w:val="lowerLetter"/>
      <w:lvlText w:val="%5."/>
      <w:lvlJc w:val="left"/>
      <w:pPr>
        <w:ind w:left="3600" w:hanging="360"/>
      </w:pPr>
    </w:lvl>
    <w:lvl w:ilvl="5" w:tplc="6ABE7B8C" w:tentative="1">
      <w:start w:val="1"/>
      <w:numFmt w:val="lowerRoman"/>
      <w:lvlText w:val="%6."/>
      <w:lvlJc w:val="right"/>
      <w:pPr>
        <w:ind w:left="4320" w:hanging="180"/>
      </w:pPr>
    </w:lvl>
    <w:lvl w:ilvl="6" w:tplc="209A331A" w:tentative="1">
      <w:start w:val="1"/>
      <w:numFmt w:val="decimal"/>
      <w:lvlText w:val="%7."/>
      <w:lvlJc w:val="left"/>
      <w:pPr>
        <w:ind w:left="5040" w:hanging="360"/>
      </w:pPr>
    </w:lvl>
    <w:lvl w:ilvl="7" w:tplc="E2883900" w:tentative="1">
      <w:start w:val="1"/>
      <w:numFmt w:val="lowerLetter"/>
      <w:lvlText w:val="%8."/>
      <w:lvlJc w:val="left"/>
      <w:pPr>
        <w:ind w:left="5760" w:hanging="360"/>
      </w:pPr>
    </w:lvl>
    <w:lvl w:ilvl="8" w:tplc="44560A46" w:tentative="1">
      <w:start w:val="1"/>
      <w:numFmt w:val="lowerRoman"/>
      <w:lvlText w:val="%9."/>
      <w:lvlJc w:val="right"/>
      <w:pPr>
        <w:ind w:left="6480" w:hanging="180"/>
      </w:pPr>
    </w:lvl>
  </w:abstractNum>
  <w:abstractNum w:abstractNumId="113" w15:restartNumberingAfterBreak="0">
    <w:nsid w:val="43531AE2"/>
    <w:multiLevelType w:val="hybridMultilevel"/>
    <w:tmpl w:val="6534DA24"/>
    <w:lvl w:ilvl="0" w:tplc="E188B37E">
      <w:start w:val="1"/>
      <w:numFmt w:val="bullet"/>
      <w:lvlText w:val=""/>
      <w:lvlJc w:val="left"/>
      <w:pPr>
        <w:tabs>
          <w:tab w:val="num" w:pos="567"/>
        </w:tabs>
        <w:ind w:left="567" w:hanging="567"/>
      </w:pPr>
      <w:rPr>
        <w:rFonts w:ascii="Symbol" w:hAnsi="Symbol" w:hint="default"/>
      </w:rPr>
    </w:lvl>
    <w:lvl w:ilvl="1" w:tplc="6FC66FE8" w:tentative="1">
      <w:start w:val="1"/>
      <w:numFmt w:val="bullet"/>
      <w:lvlText w:val="o"/>
      <w:lvlJc w:val="left"/>
      <w:pPr>
        <w:tabs>
          <w:tab w:val="num" w:pos="1440"/>
        </w:tabs>
        <w:ind w:left="1440" w:hanging="360"/>
      </w:pPr>
      <w:rPr>
        <w:rFonts w:ascii="Courier New" w:hAnsi="Courier New" w:hint="default"/>
      </w:rPr>
    </w:lvl>
    <w:lvl w:ilvl="2" w:tplc="A24CAB7A" w:tentative="1">
      <w:start w:val="1"/>
      <w:numFmt w:val="bullet"/>
      <w:lvlText w:val=""/>
      <w:lvlJc w:val="left"/>
      <w:pPr>
        <w:tabs>
          <w:tab w:val="num" w:pos="2160"/>
        </w:tabs>
        <w:ind w:left="2160" w:hanging="360"/>
      </w:pPr>
      <w:rPr>
        <w:rFonts w:ascii="Wingdings" w:hAnsi="Wingdings" w:hint="default"/>
      </w:rPr>
    </w:lvl>
    <w:lvl w:ilvl="3" w:tplc="D820C768" w:tentative="1">
      <w:start w:val="1"/>
      <w:numFmt w:val="bullet"/>
      <w:lvlText w:val=""/>
      <w:lvlJc w:val="left"/>
      <w:pPr>
        <w:tabs>
          <w:tab w:val="num" w:pos="2880"/>
        </w:tabs>
        <w:ind w:left="2880" w:hanging="360"/>
      </w:pPr>
      <w:rPr>
        <w:rFonts w:ascii="Symbol" w:hAnsi="Symbol" w:hint="default"/>
      </w:rPr>
    </w:lvl>
    <w:lvl w:ilvl="4" w:tplc="9C1AFAF4" w:tentative="1">
      <w:start w:val="1"/>
      <w:numFmt w:val="bullet"/>
      <w:lvlText w:val="o"/>
      <w:lvlJc w:val="left"/>
      <w:pPr>
        <w:tabs>
          <w:tab w:val="num" w:pos="3600"/>
        </w:tabs>
        <w:ind w:left="3600" w:hanging="360"/>
      </w:pPr>
      <w:rPr>
        <w:rFonts w:ascii="Courier New" w:hAnsi="Courier New" w:hint="default"/>
      </w:rPr>
    </w:lvl>
    <w:lvl w:ilvl="5" w:tplc="FB42BA08" w:tentative="1">
      <w:start w:val="1"/>
      <w:numFmt w:val="bullet"/>
      <w:lvlText w:val=""/>
      <w:lvlJc w:val="left"/>
      <w:pPr>
        <w:tabs>
          <w:tab w:val="num" w:pos="4320"/>
        </w:tabs>
        <w:ind w:left="4320" w:hanging="360"/>
      </w:pPr>
      <w:rPr>
        <w:rFonts w:ascii="Wingdings" w:hAnsi="Wingdings" w:hint="default"/>
      </w:rPr>
    </w:lvl>
    <w:lvl w:ilvl="6" w:tplc="6FB4E60A" w:tentative="1">
      <w:start w:val="1"/>
      <w:numFmt w:val="bullet"/>
      <w:lvlText w:val=""/>
      <w:lvlJc w:val="left"/>
      <w:pPr>
        <w:tabs>
          <w:tab w:val="num" w:pos="5040"/>
        </w:tabs>
        <w:ind w:left="5040" w:hanging="360"/>
      </w:pPr>
      <w:rPr>
        <w:rFonts w:ascii="Symbol" w:hAnsi="Symbol" w:hint="default"/>
      </w:rPr>
    </w:lvl>
    <w:lvl w:ilvl="7" w:tplc="B18A9B82" w:tentative="1">
      <w:start w:val="1"/>
      <w:numFmt w:val="bullet"/>
      <w:lvlText w:val="o"/>
      <w:lvlJc w:val="left"/>
      <w:pPr>
        <w:tabs>
          <w:tab w:val="num" w:pos="5760"/>
        </w:tabs>
        <w:ind w:left="5760" w:hanging="360"/>
      </w:pPr>
      <w:rPr>
        <w:rFonts w:ascii="Courier New" w:hAnsi="Courier New" w:hint="default"/>
      </w:rPr>
    </w:lvl>
    <w:lvl w:ilvl="8" w:tplc="688663AE"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45E2440D"/>
    <w:multiLevelType w:val="hybridMultilevel"/>
    <w:tmpl w:val="E3FE4C7E"/>
    <w:lvl w:ilvl="0" w:tplc="74C29ADA">
      <w:start w:val="1"/>
      <w:numFmt w:val="bullet"/>
      <w:lvlText w:val=""/>
      <w:lvlJc w:val="left"/>
      <w:pPr>
        <w:tabs>
          <w:tab w:val="num" w:pos="720"/>
        </w:tabs>
        <w:ind w:left="720" w:hanging="360"/>
      </w:pPr>
      <w:rPr>
        <w:rFonts w:ascii="Symbol" w:hAnsi="Symbol" w:hint="default"/>
      </w:rPr>
    </w:lvl>
    <w:lvl w:ilvl="1" w:tplc="376C9CF4">
      <w:start w:val="1"/>
      <w:numFmt w:val="bullet"/>
      <w:lvlText w:val="o"/>
      <w:lvlJc w:val="left"/>
      <w:pPr>
        <w:tabs>
          <w:tab w:val="num" w:pos="1440"/>
        </w:tabs>
        <w:ind w:left="1440" w:hanging="360"/>
      </w:pPr>
      <w:rPr>
        <w:rFonts w:ascii="Courier New" w:hAnsi="Courier New" w:hint="default"/>
      </w:rPr>
    </w:lvl>
    <w:lvl w:ilvl="2" w:tplc="C0DAF64C" w:tentative="1">
      <w:start w:val="1"/>
      <w:numFmt w:val="bullet"/>
      <w:lvlText w:val=""/>
      <w:lvlJc w:val="left"/>
      <w:pPr>
        <w:tabs>
          <w:tab w:val="num" w:pos="2160"/>
        </w:tabs>
        <w:ind w:left="2160" w:hanging="360"/>
      </w:pPr>
      <w:rPr>
        <w:rFonts w:ascii="Wingdings" w:hAnsi="Wingdings" w:hint="default"/>
      </w:rPr>
    </w:lvl>
    <w:lvl w:ilvl="3" w:tplc="4A24C47A" w:tentative="1">
      <w:start w:val="1"/>
      <w:numFmt w:val="bullet"/>
      <w:lvlText w:val=""/>
      <w:lvlJc w:val="left"/>
      <w:pPr>
        <w:tabs>
          <w:tab w:val="num" w:pos="2880"/>
        </w:tabs>
        <w:ind w:left="2880" w:hanging="360"/>
      </w:pPr>
      <w:rPr>
        <w:rFonts w:ascii="Symbol" w:hAnsi="Symbol" w:hint="default"/>
      </w:rPr>
    </w:lvl>
    <w:lvl w:ilvl="4" w:tplc="319CA28E" w:tentative="1">
      <w:start w:val="1"/>
      <w:numFmt w:val="bullet"/>
      <w:lvlText w:val="o"/>
      <w:lvlJc w:val="left"/>
      <w:pPr>
        <w:tabs>
          <w:tab w:val="num" w:pos="3600"/>
        </w:tabs>
        <w:ind w:left="3600" w:hanging="360"/>
      </w:pPr>
      <w:rPr>
        <w:rFonts w:ascii="Courier New" w:hAnsi="Courier New" w:hint="default"/>
      </w:rPr>
    </w:lvl>
    <w:lvl w:ilvl="5" w:tplc="ADBEC7B0" w:tentative="1">
      <w:start w:val="1"/>
      <w:numFmt w:val="bullet"/>
      <w:lvlText w:val=""/>
      <w:lvlJc w:val="left"/>
      <w:pPr>
        <w:tabs>
          <w:tab w:val="num" w:pos="4320"/>
        </w:tabs>
        <w:ind w:left="4320" w:hanging="360"/>
      </w:pPr>
      <w:rPr>
        <w:rFonts w:ascii="Wingdings" w:hAnsi="Wingdings" w:hint="default"/>
      </w:rPr>
    </w:lvl>
    <w:lvl w:ilvl="6" w:tplc="3E98C17C" w:tentative="1">
      <w:start w:val="1"/>
      <w:numFmt w:val="bullet"/>
      <w:lvlText w:val=""/>
      <w:lvlJc w:val="left"/>
      <w:pPr>
        <w:tabs>
          <w:tab w:val="num" w:pos="5040"/>
        </w:tabs>
        <w:ind w:left="5040" w:hanging="360"/>
      </w:pPr>
      <w:rPr>
        <w:rFonts w:ascii="Symbol" w:hAnsi="Symbol" w:hint="default"/>
      </w:rPr>
    </w:lvl>
    <w:lvl w:ilvl="7" w:tplc="385A493C" w:tentative="1">
      <w:start w:val="1"/>
      <w:numFmt w:val="bullet"/>
      <w:lvlText w:val="o"/>
      <w:lvlJc w:val="left"/>
      <w:pPr>
        <w:tabs>
          <w:tab w:val="num" w:pos="5760"/>
        </w:tabs>
        <w:ind w:left="5760" w:hanging="360"/>
      </w:pPr>
      <w:rPr>
        <w:rFonts w:ascii="Courier New" w:hAnsi="Courier New" w:hint="default"/>
      </w:rPr>
    </w:lvl>
    <w:lvl w:ilvl="8" w:tplc="E06E6410"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47E2722B"/>
    <w:multiLevelType w:val="hybridMultilevel"/>
    <w:tmpl w:val="4AC0109E"/>
    <w:lvl w:ilvl="0" w:tplc="87509FEC">
      <w:start w:val="1"/>
      <w:numFmt w:val="bullet"/>
      <w:lvlText w:val=""/>
      <w:lvlJc w:val="left"/>
      <w:pPr>
        <w:tabs>
          <w:tab w:val="num" w:pos="567"/>
        </w:tabs>
        <w:ind w:left="567" w:hanging="567"/>
      </w:pPr>
      <w:rPr>
        <w:rFonts w:ascii="Symbol" w:hAnsi="Symbol" w:hint="default"/>
      </w:rPr>
    </w:lvl>
    <w:lvl w:ilvl="1" w:tplc="BACC9C2A" w:tentative="1">
      <w:start w:val="1"/>
      <w:numFmt w:val="bullet"/>
      <w:lvlText w:val="o"/>
      <w:lvlJc w:val="left"/>
      <w:pPr>
        <w:tabs>
          <w:tab w:val="num" w:pos="1440"/>
        </w:tabs>
        <w:ind w:left="1440" w:hanging="360"/>
      </w:pPr>
      <w:rPr>
        <w:rFonts w:ascii="Courier New" w:hAnsi="Courier New" w:hint="default"/>
      </w:rPr>
    </w:lvl>
    <w:lvl w:ilvl="2" w:tplc="7B8AC34E" w:tentative="1">
      <w:start w:val="1"/>
      <w:numFmt w:val="bullet"/>
      <w:lvlText w:val=""/>
      <w:lvlJc w:val="left"/>
      <w:pPr>
        <w:tabs>
          <w:tab w:val="num" w:pos="2160"/>
        </w:tabs>
        <w:ind w:left="2160" w:hanging="360"/>
      </w:pPr>
      <w:rPr>
        <w:rFonts w:ascii="Wingdings" w:hAnsi="Wingdings" w:hint="default"/>
      </w:rPr>
    </w:lvl>
    <w:lvl w:ilvl="3" w:tplc="1D0CC7E6" w:tentative="1">
      <w:start w:val="1"/>
      <w:numFmt w:val="bullet"/>
      <w:lvlText w:val=""/>
      <w:lvlJc w:val="left"/>
      <w:pPr>
        <w:tabs>
          <w:tab w:val="num" w:pos="2880"/>
        </w:tabs>
        <w:ind w:left="2880" w:hanging="360"/>
      </w:pPr>
      <w:rPr>
        <w:rFonts w:ascii="Symbol" w:hAnsi="Symbol" w:hint="default"/>
      </w:rPr>
    </w:lvl>
    <w:lvl w:ilvl="4" w:tplc="471A1A34" w:tentative="1">
      <w:start w:val="1"/>
      <w:numFmt w:val="bullet"/>
      <w:lvlText w:val="o"/>
      <w:lvlJc w:val="left"/>
      <w:pPr>
        <w:tabs>
          <w:tab w:val="num" w:pos="3600"/>
        </w:tabs>
        <w:ind w:left="3600" w:hanging="360"/>
      </w:pPr>
      <w:rPr>
        <w:rFonts w:ascii="Courier New" w:hAnsi="Courier New" w:hint="default"/>
      </w:rPr>
    </w:lvl>
    <w:lvl w:ilvl="5" w:tplc="BE4E607A" w:tentative="1">
      <w:start w:val="1"/>
      <w:numFmt w:val="bullet"/>
      <w:lvlText w:val=""/>
      <w:lvlJc w:val="left"/>
      <w:pPr>
        <w:tabs>
          <w:tab w:val="num" w:pos="4320"/>
        </w:tabs>
        <w:ind w:left="4320" w:hanging="360"/>
      </w:pPr>
      <w:rPr>
        <w:rFonts w:ascii="Wingdings" w:hAnsi="Wingdings" w:hint="default"/>
      </w:rPr>
    </w:lvl>
    <w:lvl w:ilvl="6" w:tplc="7DB064C4" w:tentative="1">
      <w:start w:val="1"/>
      <w:numFmt w:val="bullet"/>
      <w:lvlText w:val=""/>
      <w:lvlJc w:val="left"/>
      <w:pPr>
        <w:tabs>
          <w:tab w:val="num" w:pos="5040"/>
        </w:tabs>
        <w:ind w:left="5040" w:hanging="360"/>
      </w:pPr>
      <w:rPr>
        <w:rFonts w:ascii="Symbol" w:hAnsi="Symbol" w:hint="default"/>
      </w:rPr>
    </w:lvl>
    <w:lvl w:ilvl="7" w:tplc="1A7EBF4A" w:tentative="1">
      <w:start w:val="1"/>
      <w:numFmt w:val="bullet"/>
      <w:lvlText w:val="o"/>
      <w:lvlJc w:val="left"/>
      <w:pPr>
        <w:tabs>
          <w:tab w:val="num" w:pos="5760"/>
        </w:tabs>
        <w:ind w:left="5760" w:hanging="360"/>
      </w:pPr>
      <w:rPr>
        <w:rFonts w:ascii="Courier New" w:hAnsi="Courier New" w:hint="default"/>
      </w:rPr>
    </w:lvl>
    <w:lvl w:ilvl="8" w:tplc="002265D6"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483156A8"/>
    <w:multiLevelType w:val="hybridMultilevel"/>
    <w:tmpl w:val="1930A146"/>
    <w:lvl w:ilvl="0" w:tplc="7FC085BA">
      <w:start w:val="1"/>
      <w:numFmt w:val="lowerLetter"/>
      <w:pStyle w:val="TableFootnoteLetter"/>
      <w:lvlText w:val="%1"/>
      <w:lvlJc w:val="left"/>
      <w:pPr>
        <w:ind w:left="360" w:hanging="360"/>
      </w:pPr>
      <w:rPr>
        <w:rFonts w:ascii="Times New Roman" w:hAnsi="Times New Roman" w:cs="Times New Roman" w:hint="default"/>
        <w:b w:val="0"/>
        <w:i w:val="0"/>
        <w:caps w:val="0"/>
        <w:sz w:val="16"/>
        <w:u w:val="none"/>
        <w:vertAlign w:val="superscript"/>
      </w:rPr>
    </w:lvl>
    <w:lvl w:ilvl="1" w:tplc="9D9A93EE" w:tentative="1">
      <w:start w:val="1"/>
      <w:numFmt w:val="lowerLetter"/>
      <w:lvlText w:val="%2."/>
      <w:lvlJc w:val="left"/>
      <w:pPr>
        <w:ind w:left="1440" w:hanging="360"/>
      </w:pPr>
    </w:lvl>
    <w:lvl w:ilvl="2" w:tplc="A2180D54" w:tentative="1">
      <w:start w:val="1"/>
      <w:numFmt w:val="lowerRoman"/>
      <w:lvlText w:val="%3."/>
      <w:lvlJc w:val="right"/>
      <w:pPr>
        <w:ind w:left="2160" w:hanging="180"/>
      </w:pPr>
    </w:lvl>
    <w:lvl w:ilvl="3" w:tplc="C08A02CC" w:tentative="1">
      <w:start w:val="1"/>
      <w:numFmt w:val="decimal"/>
      <w:lvlText w:val="%4."/>
      <w:lvlJc w:val="left"/>
      <w:pPr>
        <w:ind w:left="2880" w:hanging="360"/>
      </w:pPr>
    </w:lvl>
    <w:lvl w:ilvl="4" w:tplc="846EDEE0" w:tentative="1">
      <w:start w:val="1"/>
      <w:numFmt w:val="lowerLetter"/>
      <w:lvlText w:val="%5."/>
      <w:lvlJc w:val="left"/>
      <w:pPr>
        <w:ind w:left="3600" w:hanging="360"/>
      </w:pPr>
    </w:lvl>
    <w:lvl w:ilvl="5" w:tplc="B2AE42F0" w:tentative="1">
      <w:start w:val="1"/>
      <w:numFmt w:val="lowerRoman"/>
      <w:lvlText w:val="%6."/>
      <w:lvlJc w:val="right"/>
      <w:pPr>
        <w:ind w:left="4320" w:hanging="180"/>
      </w:pPr>
    </w:lvl>
    <w:lvl w:ilvl="6" w:tplc="409C32C0" w:tentative="1">
      <w:start w:val="1"/>
      <w:numFmt w:val="decimal"/>
      <w:lvlText w:val="%7."/>
      <w:lvlJc w:val="left"/>
      <w:pPr>
        <w:ind w:left="5040" w:hanging="360"/>
      </w:pPr>
    </w:lvl>
    <w:lvl w:ilvl="7" w:tplc="5CEE7174" w:tentative="1">
      <w:start w:val="1"/>
      <w:numFmt w:val="lowerLetter"/>
      <w:lvlText w:val="%8."/>
      <w:lvlJc w:val="left"/>
      <w:pPr>
        <w:ind w:left="5760" w:hanging="360"/>
      </w:pPr>
    </w:lvl>
    <w:lvl w:ilvl="8" w:tplc="0FF43E88" w:tentative="1">
      <w:start w:val="1"/>
      <w:numFmt w:val="lowerRoman"/>
      <w:lvlText w:val="%9."/>
      <w:lvlJc w:val="right"/>
      <w:pPr>
        <w:ind w:left="6480" w:hanging="180"/>
      </w:pPr>
    </w:lvl>
  </w:abstractNum>
  <w:abstractNum w:abstractNumId="117" w15:restartNumberingAfterBreak="0">
    <w:nsid w:val="4B315BB4"/>
    <w:multiLevelType w:val="hybridMultilevel"/>
    <w:tmpl w:val="49B62CC0"/>
    <w:lvl w:ilvl="0" w:tplc="2F3679F0">
      <w:start w:val="5"/>
      <w:numFmt w:val="decimal"/>
      <w:lvlText w:val="%1."/>
      <w:lvlJc w:val="left"/>
      <w:pPr>
        <w:ind w:left="720" w:hanging="360"/>
      </w:pPr>
      <w:rPr>
        <w:rFonts w:hint="default"/>
        <w:b w:val="0"/>
      </w:rPr>
    </w:lvl>
    <w:lvl w:ilvl="1" w:tplc="6F5E080C" w:tentative="1">
      <w:start w:val="1"/>
      <w:numFmt w:val="lowerLetter"/>
      <w:lvlText w:val="%2."/>
      <w:lvlJc w:val="left"/>
      <w:pPr>
        <w:ind w:left="1440" w:hanging="360"/>
      </w:pPr>
    </w:lvl>
    <w:lvl w:ilvl="2" w:tplc="FA9CDBB6" w:tentative="1">
      <w:start w:val="1"/>
      <w:numFmt w:val="lowerRoman"/>
      <w:lvlText w:val="%3."/>
      <w:lvlJc w:val="right"/>
      <w:pPr>
        <w:ind w:left="2160" w:hanging="180"/>
      </w:pPr>
    </w:lvl>
    <w:lvl w:ilvl="3" w:tplc="92FEADA2" w:tentative="1">
      <w:start w:val="1"/>
      <w:numFmt w:val="decimal"/>
      <w:lvlText w:val="%4."/>
      <w:lvlJc w:val="left"/>
      <w:pPr>
        <w:ind w:left="2880" w:hanging="360"/>
      </w:pPr>
    </w:lvl>
    <w:lvl w:ilvl="4" w:tplc="C49E843A" w:tentative="1">
      <w:start w:val="1"/>
      <w:numFmt w:val="lowerLetter"/>
      <w:lvlText w:val="%5."/>
      <w:lvlJc w:val="left"/>
      <w:pPr>
        <w:ind w:left="3600" w:hanging="360"/>
      </w:pPr>
    </w:lvl>
    <w:lvl w:ilvl="5" w:tplc="06C61FC6" w:tentative="1">
      <w:start w:val="1"/>
      <w:numFmt w:val="lowerRoman"/>
      <w:lvlText w:val="%6."/>
      <w:lvlJc w:val="right"/>
      <w:pPr>
        <w:ind w:left="4320" w:hanging="180"/>
      </w:pPr>
    </w:lvl>
    <w:lvl w:ilvl="6" w:tplc="402C6422" w:tentative="1">
      <w:start w:val="1"/>
      <w:numFmt w:val="decimal"/>
      <w:lvlText w:val="%7."/>
      <w:lvlJc w:val="left"/>
      <w:pPr>
        <w:ind w:left="5040" w:hanging="360"/>
      </w:pPr>
    </w:lvl>
    <w:lvl w:ilvl="7" w:tplc="FE14D698" w:tentative="1">
      <w:start w:val="1"/>
      <w:numFmt w:val="lowerLetter"/>
      <w:lvlText w:val="%8."/>
      <w:lvlJc w:val="left"/>
      <w:pPr>
        <w:ind w:left="5760" w:hanging="360"/>
      </w:pPr>
    </w:lvl>
    <w:lvl w:ilvl="8" w:tplc="2B84F4A6" w:tentative="1">
      <w:start w:val="1"/>
      <w:numFmt w:val="lowerRoman"/>
      <w:lvlText w:val="%9."/>
      <w:lvlJc w:val="right"/>
      <w:pPr>
        <w:ind w:left="6480" w:hanging="180"/>
      </w:pPr>
    </w:lvl>
  </w:abstractNum>
  <w:abstractNum w:abstractNumId="118" w15:restartNumberingAfterBreak="0">
    <w:nsid w:val="4B9676E2"/>
    <w:multiLevelType w:val="multilevel"/>
    <w:tmpl w:val="A588E61C"/>
    <w:lvl w:ilvl="0">
      <w:start w:val="14"/>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9" w15:restartNumberingAfterBreak="0">
    <w:nsid w:val="4BD90C12"/>
    <w:multiLevelType w:val="hybridMultilevel"/>
    <w:tmpl w:val="B85AEB24"/>
    <w:lvl w:ilvl="0" w:tplc="6446565A">
      <w:start w:val="1"/>
      <w:numFmt w:val="decimal"/>
      <w:lvlText w:val="%1)"/>
      <w:lvlJc w:val="left"/>
      <w:pPr>
        <w:ind w:left="720" w:hanging="360"/>
      </w:pPr>
      <w:rPr>
        <w:rFonts w:hint="default"/>
      </w:rPr>
    </w:lvl>
    <w:lvl w:ilvl="1" w:tplc="2D045D98" w:tentative="1">
      <w:start w:val="1"/>
      <w:numFmt w:val="lowerLetter"/>
      <w:lvlText w:val="%2."/>
      <w:lvlJc w:val="left"/>
      <w:pPr>
        <w:ind w:left="1440" w:hanging="360"/>
      </w:pPr>
    </w:lvl>
    <w:lvl w:ilvl="2" w:tplc="189ED372" w:tentative="1">
      <w:start w:val="1"/>
      <w:numFmt w:val="lowerRoman"/>
      <w:lvlText w:val="%3."/>
      <w:lvlJc w:val="right"/>
      <w:pPr>
        <w:ind w:left="2160" w:hanging="180"/>
      </w:pPr>
    </w:lvl>
    <w:lvl w:ilvl="3" w:tplc="467EA25A" w:tentative="1">
      <w:start w:val="1"/>
      <w:numFmt w:val="decimal"/>
      <w:lvlText w:val="%4."/>
      <w:lvlJc w:val="left"/>
      <w:pPr>
        <w:ind w:left="2880" w:hanging="360"/>
      </w:pPr>
    </w:lvl>
    <w:lvl w:ilvl="4" w:tplc="F62A3E74" w:tentative="1">
      <w:start w:val="1"/>
      <w:numFmt w:val="lowerLetter"/>
      <w:lvlText w:val="%5."/>
      <w:lvlJc w:val="left"/>
      <w:pPr>
        <w:ind w:left="3600" w:hanging="360"/>
      </w:pPr>
    </w:lvl>
    <w:lvl w:ilvl="5" w:tplc="5F6E9B38" w:tentative="1">
      <w:start w:val="1"/>
      <w:numFmt w:val="lowerRoman"/>
      <w:lvlText w:val="%6."/>
      <w:lvlJc w:val="right"/>
      <w:pPr>
        <w:ind w:left="4320" w:hanging="180"/>
      </w:pPr>
    </w:lvl>
    <w:lvl w:ilvl="6" w:tplc="3E966CE4" w:tentative="1">
      <w:start w:val="1"/>
      <w:numFmt w:val="decimal"/>
      <w:lvlText w:val="%7."/>
      <w:lvlJc w:val="left"/>
      <w:pPr>
        <w:ind w:left="5040" w:hanging="360"/>
      </w:pPr>
    </w:lvl>
    <w:lvl w:ilvl="7" w:tplc="D6089CD4" w:tentative="1">
      <w:start w:val="1"/>
      <w:numFmt w:val="lowerLetter"/>
      <w:lvlText w:val="%8."/>
      <w:lvlJc w:val="left"/>
      <w:pPr>
        <w:ind w:left="5760" w:hanging="360"/>
      </w:pPr>
    </w:lvl>
    <w:lvl w:ilvl="8" w:tplc="D9F2B750" w:tentative="1">
      <w:start w:val="1"/>
      <w:numFmt w:val="lowerRoman"/>
      <w:lvlText w:val="%9."/>
      <w:lvlJc w:val="right"/>
      <w:pPr>
        <w:ind w:left="6480" w:hanging="180"/>
      </w:pPr>
    </w:lvl>
  </w:abstractNum>
  <w:abstractNum w:abstractNumId="120" w15:restartNumberingAfterBreak="0">
    <w:nsid w:val="4C0E73EC"/>
    <w:multiLevelType w:val="hybridMultilevel"/>
    <w:tmpl w:val="64AEC576"/>
    <w:lvl w:ilvl="0" w:tplc="341EB2E2">
      <w:start w:val="1"/>
      <w:numFmt w:val="decimal"/>
      <w:lvlText w:val="%1."/>
      <w:lvlJc w:val="left"/>
      <w:pPr>
        <w:ind w:left="1080" w:hanging="360"/>
      </w:pPr>
      <w:rPr>
        <w:rFonts w:hint="default"/>
      </w:rPr>
    </w:lvl>
    <w:lvl w:ilvl="1" w:tplc="0BC2791C" w:tentative="1">
      <w:start w:val="1"/>
      <w:numFmt w:val="lowerLetter"/>
      <w:lvlText w:val="%2."/>
      <w:lvlJc w:val="left"/>
      <w:pPr>
        <w:ind w:left="1800" w:hanging="360"/>
      </w:pPr>
    </w:lvl>
    <w:lvl w:ilvl="2" w:tplc="B6E05B60" w:tentative="1">
      <w:start w:val="1"/>
      <w:numFmt w:val="lowerRoman"/>
      <w:lvlText w:val="%3."/>
      <w:lvlJc w:val="right"/>
      <w:pPr>
        <w:ind w:left="2520" w:hanging="180"/>
      </w:pPr>
    </w:lvl>
    <w:lvl w:ilvl="3" w:tplc="ECA897C4" w:tentative="1">
      <w:start w:val="1"/>
      <w:numFmt w:val="decimal"/>
      <w:lvlText w:val="%4."/>
      <w:lvlJc w:val="left"/>
      <w:pPr>
        <w:ind w:left="3240" w:hanging="360"/>
      </w:pPr>
    </w:lvl>
    <w:lvl w:ilvl="4" w:tplc="AD9E2726" w:tentative="1">
      <w:start w:val="1"/>
      <w:numFmt w:val="lowerLetter"/>
      <w:lvlText w:val="%5."/>
      <w:lvlJc w:val="left"/>
      <w:pPr>
        <w:ind w:left="3960" w:hanging="360"/>
      </w:pPr>
    </w:lvl>
    <w:lvl w:ilvl="5" w:tplc="2DF211BA" w:tentative="1">
      <w:start w:val="1"/>
      <w:numFmt w:val="lowerRoman"/>
      <w:lvlText w:val="%6."/>
      <w:lvlJc w:val="right"/>
      <w:pPr>
        <w:ind w:left="4680" w:hanging="180"/>
      </w:pPr>
    </w:lvl>
    <w:lvl w:ilvl="6" w:tplc="91DC45D0" w:tentative="1">
      <w:start w:val="1"/>
      <w:numFmt w:val="decimal"/>
      <w:lvlText w:val="%7."/>
      <w:lvlJc w:val="left"/>
      <w:pPr>
        <w:ind w:left="5400" w:hanging="360"/>
      </w:pPr>
    </w:lvl>
    <w:lvl w:ilvl="7" w:tplc="ADE2623E" w:tentative="1">
      <w:start w:val="1"/>
      <w:numFmt w:val="lowerLetter"/>
      <w:lvlText w:val="%8."/>
      <w:lvlJc w:val="left"/>
      <w:pPr>
        <w:ind w:left="6120" w:hanging="360"/>
      </w:pPr>
    </w:lvl>
    <w:lvl w:ilvl="8" w:tplc="6264F1D4" w:tentative="1">
      <w:start w:val="1"/>
      <w:numFmt w:val="lowerRoman"/>
      <w:lvlText w:val="%9."/>
      <w:lvlJc w:val="right"/>
      <w:pPr>
        <w:ind w:left="6840" w:hanging="180"/>
      </w:pPr>
    </w:lvl>
  </w:abstractNum>
  <w:abstractNum w:abstractNumId="121" w15:restartNumberingAfterBreak="0">
    <w:nsid w:val="4CAF10E2"/>
    <w:multiLevelType w:val="hybridMultilevel"/>
    <w:tmpl w:val="7ED8C2A6"/>
    <w:lvl w:ilvl="0" w:tplc="7160CFB6">
      <w:start w:val="1"/>
      <w:numFmt w:val="bullet"/>
      <w:lvlText w:val=""/>
      <w:lvlJc w:val="left"/>
      <w:pPr>
        <w:tabs>
          <w:tab w:val="num" w:pos="470"/>
        </w:tabs>
        <w:ind w:left="470" w:hanging="360"/>
      </w:pPr>
      <w:rPr>
        <w:rFonts w:ascii="Symbol" w:hAnsi="Symbol" w:hint="default"/>
      </w:rPr>
    </w:lvl>
    <w:lvl w:ilvl="1" w:tplc="10DE9952">
      <w:start w:val="1"/>
      <w:numFmt w:val="bullet"/>
      <w:lvlText w:val="o"/>
      <w:lvlJc w:val="left"/>
      <w:pPr>
        <w:tabs>
          <w:tab w:val="num" w:pos="2520"/>
        </w:tabs>
        <w:ind w:left="2520" w:hanging="360"/>
      </w:pPr>
      <w:rPr>
        <w:rFonts w:ascii="Courier New" w:hAnsi="Courier New" w:hint="default"/>
      </w:rPr>
    </w:lvl>
    <w:lvl w:ilvl="2" w:tplc="45369D50">
      <w:start w:val="1"/>
      <w:numFmt w:val="bullet"/>
      <w:lvlText w:val=""/>
      <w:lvlJc w:val="left"/>
      <w:pPr>
        <w:tabs>
          <w:tab w:val="num" w:pos="3240"/>
        </w:tabs>
        <w:ind w:left="3240" w:hanging="360"/>
      </w:pPr>
      <w:rPr>
        <w:rFonts w:ascii="Symbol" w:hAnsi="Symbol" w:hint="default"/>
      </w:rPr>
    </w:lvl>
    <w:lvl w:ilvl="3" w:tplc="6FD83FDA" w:tentative="1">
      <w:start w:val="1"/>
      <w:numFmt w:val="bullet"/>
      <w:lvlText w:val=""/>
      <w:lvlJc w:val="left"/>
      <w:pPr>
        <w:tabs>
          <w:tab w:val="num" w:pos="3960"/>
        </w:tabs>
        <w:ind w:left="3960" w:hanging="360"/>
      </w:pPr>
      <w:rPr>
        <w:rFonts w:ascii="Symbol" w:hAnsi="Symbol" w:hint="default"/>
      </w:rPr>
    </w:lvl>
    <w:lvl w:ilvl="4" w:tplc="F78692CE" w:tentative="1">
      <w:start w:val="1"/>
      <w:numFmt w:val="bullet"/>
      <w:lvlText w:val="o"/>
      <w:lvlJc w:val="left"/>
      <w:pPr>
        <w:tabs>
          <w:tab w:val="num" w:pos="4680"/>
        </w:tabs>
        <w:ind w:left="4680" w:hanging="360"/>
      </w:pPr>
      <w:rPr>
        <w:rFonts w:ascii="Courier New" w:hAnsi="Courier New" w:hint="default"/>
      </w:rPr>
    </w:lvl>
    <w:lvl w:ilvl="5" w:tplc="85AA5FA2" w:tentative="1">
      <w:start w:val="1"/>
      <w:numFmt w:val="bullet"/>
      <w:lvlText w:val=""/>
      <w:lvlJc w:val="left"/>
      <w:pPr>
        <w:tabs>
          <w:tab w:val="num" w:pos="5400"/>
        </w:tabs>
        <w:ind w:left="5400" w:hanging="360"/>
      </w:pPr>
      <w:rPr>
        <w:rFonts w:ascii="Wingdings" w:hAnsi="Wingdings" w:hint="default"/>
      </w:rPr>
    </w:lvl>
    <w:lvl w:ilvl="6" w:tplc="68EEE802" w:tentative="1">
      <w:start w:val="1"/>
      <w:numFmt w:val="bullet"/>
      <w:lvlText w:val=""/>
      <w:lvlJc w:val="left"/>
      <w:pPr>
        <w:tabs>
          <w:tab w:val="num" w:pos="6120"/>
        </w:tabs>
        <w:ind w:left="6120" w:hanging="360"/>
      </w:pPr>
      <w:rPr>
        <w:rFonts w:ascii="Symbol" w:hAnsi="Symbol" w:hint="default"/>
      </w:rPr>
    </w:lvl>
    <w:lvl w:ilvl="7" w:tplc="500A2080" w:tentative="1">
      <w:start w:val="1"/>
      <w:numFmt w:val="bullet"/>
      <w:lvlText w:val="o"/>
      <w:lvlJc w:val="left"/>
      <w:pPr>
        <w:tabs>
          <w:tab w:val="num" w:pos="6840"/>
        </w:tabs>
        <w:ind w:left="6840" w:hanging="360"/>
      </w:pPr>
      <w:rPr>
        <w:rFonts w:ascii="Courier New" w:hAnsi="Courier New" w:hint="default"/>
      </w:rPr>
    </w:lvl>
    <w:lvl w:ilvl="8" w:tplc="5AEA4A3E" w:tentative="1">
      <w:start w:val="1"/>
      <w:numFmt w:val="bullet"/>
      <w:lvlText w:val=""/>
      <w:lvlJc w:val="left"/>
      <w:pPr>
        <w:tabs>
          <w:tab w:val="num" w:pos="7560"/>
        </w:tabs>
        <w:ind w:left="7560" w:hanging="360"/>
      </w:pPr>
      <w:rPr>
        <w:rFonts w:ascii="Wingdings" w:hAnsi="Wingdings" w:hint="default"/>
      </w:rPr>
    </w:lvl>
  </w:abstractNum>
  <w:abstractNum w:abstractNumId="122" w15:restartNumberingAfterBreak="0">
    <w:nsid w:val="4EA852E9"/>
    <w:multiLevelType w:val="multilevel"/>
    <w:tmpl w:val="DEB21502"/>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3" w15:restartNumberingAfterBreak="0">
    <w:nsid w:val="4F164A4A"/>
    <w:multiLevelType w:val="hybridMultilevel"/>
    <w:tmpl w:val="3F2E3172"/>
    <w:lvl w:ilvl="0" w:tplc="A83EBB20">
      <w:start w:val="1"/>
      <w:numFmt w:val="bullet"/>
      <w:lvlText w:val=""/>
      <w:lvlJc w:val="left"/>
      <w:pPr>
        <w:tabs>
          <w:tab w:val="num" w:pos="690"/>
        </w:tabs>
        <w:ind w:left="690" w:hanging="360"/>
      </w:pPr>
      <w:rPr>
        <w:rFonts w:ascii="Symbol" w:hAnsi="Symbol" w:hint="default"/>
      </w:rPr>
    </w:lvl>
    <w:lvl w:ilvl="1" w:tplc="322AC2EA" w:tentative="1">
      <w:start w:val="1"/>
      <w:numFmt w:val="bullet"/>
      <w:lvlText w:val="o"/>
      <w:lvlJc w:val="left"/>
      <w:pPr>
        <w:tabs>
          <w:tab w:val="num" w:pos="1440"/>
        </w:tabs>
        <w:ind w:left="1440" w:hanging="360"/>
      </w:pPr>
      <w:rPr>
        <w:rFonts w:ascii="Courier New" w:hAnsi="Courier New" w:cs="Courier New" w:hint="default"/>
      </w:rPr>
    </w:lvl>
    <w:lvl w:ilvl="2" w:tplc="FC444B80" w:tentative="1">
      <w:start w:val="1"/>
      <w:numFmt w:val="bullet"/>
      <w:lvlText w:val=""/>
      <w:lvlJc w:val="left"/>
      <w:pPr>
        <w:tabs>
          <w:tab w:val="num" w:pos="2160"/>
        </w:tabs>
        <w:ind w:left="2160" w:hanging="360"/>
      </w:pPr>
      <w:rPr>
        <w:rFonts w:ascii="Wingdings" w:hAnsi="Wingdings" w:hint="default"/>
      </w:rPr>
    </w:lvl>
    <w:lvl w:ilvl="3" w:tplc="DD98BFD0" w:tentative="1">
      <w:start w:val="1"/>
      <w:numFmt w:val="bullet"/>
      <w:lvlText w:val=""/>
      <w:lvlJc w:val="left"/>
      <w:pPr>
        <w:tabs>
          <w:tab w:val="num" w:pos="2880"/>
        </w:tabs>
        <w:ind w:left="2880" w:hanging="360"/>
      </w:pPr>
      <w:rPr>
        <w:rFonts w:ascii="Symbol" w:hAnsi="Symbol" w:hint="default"/>
      </w:rPr>
    </w:lvl>
    <w:lvl w:ilvl="4" w:tplc="034E40A6" w:tentative="1">
      <w:start w:val="1"/>
      <w:numFmt w:val="bullet"/>
      <w:lvlText w:val="o"/>
      <w:lvlJc w:val="left"/>
      <w:pPr>
        <w:tabs>
          <w:tab w:val="num" w:pos="3600"/>
        </w:tabs>
        <w:ind w:left="3600" w:hanging="360"/>
      </w:pPr>
      <w:rPr>
        <w:rFonts w:ascii="Courier New" w:hAnsi="Courier New" w:cs="Courier New" w:hint="default"/>
      </w:rPr>
    </w:lvl>
    <w:lvl w:ilvl="5" w:tplc="822A0948" w:tentative="1">
      <w:start w:val="1"/>
      <w:numFmt w:val="bullet"/>
      <w:lvlText w:val=""/>
      <w:lvlJc w:val="left"/>
      <w:pPr>
        <w:tabs>
          <w:tab w:val="num" w:pos="4320"/>
        </w:tabs>
        <w:ind w:left="4320" w:hanging="360"/>
      </w:pPr>
      <w:rPr>
        <w:rFonts w:ascii="Wingdings" w:hAnsi="Wingdings" w:hint="default"/>
      </w:rPr>
    </w:lvl>
    <w:lvl w:ilvl="6" w:tplc="86DAEEFA" w:tentative="1">
      <w:start w:val="1"/>
      <w:numFmt w:val="bullet"/>
      <w:lvlText w:val=""/>
      <w:lvlJc w:val="left"/>
      <w:pPr>
        <w:tabs>
          <w:tab w:val="num" w:pos="5040"/>
        </w:tabs>
        <w:ind w:left="5040" w:hanging="360"/>
      </w:pPr>
      <w:rPr>
        <w:rFonts w:ascii="Symbol" w:hAnsi="Symbol" w:hint="default"/>
      </w:rPr>
    </w:lvl>
    <w:lvl w:ilvl="7" w:tplc="9FDEA084" w:tentative="1">
      <w:start w:val="1"/>
      <w:numFmt w:val="bullet"/>
      <w:lvlText w:val="o"/>
      <w:lvlJc w:val="left"/>
      <w:pPr>
        <w:tabs>
          <w:tab w:val="num" w:pos="5760"/>
        </w:tabs>
        <w:ind w:left="5760" w:hanging="360"/>
      </w:pPr>
      <w:rPr>
        <w:rFonts w:ascii="Courier New" w:hAnsi="Courier New" w:cs="Courier New" w:hint="default"/>
      </w:rPr>
    </w:lvl>
    <w:lvl w:ilvl="8" w:tplc="64DCA766"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5029754F"/>
    <w:multiLevelType w:val="hybridMultilevel"/>
    <w:tmpl w:val="5EEC2242"/>
    <w:lvl w:ilvl="0" w:tplc="E2A8CAFA">
      <w:start w:val="1"/>
      <w:numFmt w:val="decimal"/>
      <w:lvlText w:val="%1."/>
      <w:lvlJc w:val="left"/>
      <w:pPr>
        <w:ind w:left="720" w:hanging="360"/>
      </w:pPr>
    </w:lvl>
    <w:lvl w:ilvl="1" w:tplc="52C603CE" w:tentative="1">
      <w:start w:val="1"/>
      <w:numFmt w:val="lowerLetter"/>
      <w:lvlText w:val="%2."/>
      <w:lvlJc w:val="left"/>
      <w:pPr>
        <w:ind w:left="1440" w:hanging="360"/>
      </w:pPr>
    </w:lvl>
    <w:lvl w:ilvl="2" w:tplc="483EF8B0" w:tentative="1">
      <w:start w:val="1"/>
      <w:numFmt w:val="lowerRoman"/>
      <w:lvlText w:val="%3."/>
      <w:lvlJc w:val="right"/>
      <w:pPr>
        <w:ind w:left="2160" w:hanging="180"/>
      </w:pPr>
    </w:lvl>
    <w:lvl w:ilvl="3" w:tplc="104A5F88" w:tentative="1">
      <w:start w:val="1"/>
      <w:numFmt w:val="decimal"/>
      <w:lvlText w:val="%4."/>
      <w:lvlJc w:val="left"/>
      <w:pPr>
        <w:ind w:left="2880" w:hanging="360"/>
      </w:pPr>
    </w:lvl>
    <w:lvl w:ilvl="4" w:tplc="70C22A04" w:tentative="1">
      <w:start w:val="1"/>
      <w:numFmt w:val="lowerLetter"/>
      <w:lvlText w:val="%5."/>
      <w:lvlJc w:val="left"/>
      <w:pPr>
        <w:ind w:left="3600" w:hanging="360"/>
      </w:pPr>
    </w:lvl>
    <w:lvl w:ilvl="5" w:tplc="68CE40CC" w:tentative="1">
      <w:start w:val="1"/>
      <w:numFmt w:val="lowerRoman"/>
      <w:lvlText w:val="%6."/>
      <w:lvlJc w:val="right"/>
      <w:pPr>
        <w:ind w:left="4320" w:hanging="180"/>
      </w:pPr>
    </w:lvl>
    <w:lvl w:ilvl="6" w:tplc="478E969C" w:tentative="1">
      <w:start w:val="1"/>
      <w:numFmt w:val="decimal"/>
      <w:lvlText w:val="%7."/>
      <w:lvlJc w:val="left"/>
      <w:pPr>
        <w:ind w:left="5040" w:hanging="360"/>
      </w:pPr>
    </w:lvl>
    <w:lvl w:ilvl="7" w:tplc="43F20896" w:tentative="1">
      <w:start w:val="1"/>
      <w:numFmt w:val="lowerLetter"/>
      <w:lvlText w:val="%8."/>
      <w:lvlJc w:val="left"/>
      <w:pPr>
        <w:ind w:left="5760" w:hanging="360"/>
      </w:pPr>
    </w:lvl>
    <w:lvl w:ilvl="8" w:tplc="CC9AD45E" w:tentative="1">
      <w:start w:val="1"/>
      <w:numFmt w:val="lowerRoman"/>
      <w:lvlText w:val="%9."/>
      <w:lvlJc w:val="right"/>
      <w:pPr>
        <w:ind w:left="6480" w:hanging="180"/>
      </w:pPr>
    </w:lvl>
  </w:abstractNum>
  <w:abstractNum w:abstractNumId="125" w15:restartNumberingAfterBreak="0">
    <w:nsid w:val="507140B2"/>
    <w:multiLevelType w:val="hybridMultilevel"/>
    <w:tmpl w:val="46048D48"/>
    <w:lvl w:ilvl="0" w:tplc="744E4420">
      <w:start w:val="1"/>
      <w:numFmt w:val="bullet"/>
      <w:lvlText w:val=""/>
      <w:lvlJc w:val="left"/>
      <w:pPr>
        <w:tabs>
          <w:tab w:val="num" w:pos="567"/>
        </w:tabs>
        <w:ind w:left="567" w:hanging="567"/>
      </w:pPr>
      <w:rPr>
        <w:rFonts w:ascii="Symbol" w:hAnsi="Symbol" w:hint="default"/>
      </w:rPr>
    </w:lvl>
    <w:lvl w:ilvl="1" w:tplc="11682CBE" w:tentative="1">
      <w:start w:val="1"/>
      <w:numFmt w:val="bullet"/>
      <w:lvlText w:val="o"/>
      <w:lvlJc w:val="left"/>
      <w:pPr>
        <w:tabs>
          <w:tab w:val="num" w:pos="1440"/>
        </w:tabs>
        <w:ind w:left="1440" w:hanging="360"/>
      </w:pPr>
      <w:rPr>
        <w:rFonts w:ascii="Courier New" w:hAnsi="Courier New" w:hint="default"/>
      </w:rPr>
    </w:lvl>
    <w:lvl w:ilvl="2" w:tplc="EF7C1488" w:tentative="1">
      <w:start w:val="1"/>
      <w:numFmt w:val="bullet"/>
      <w:lvlText w:val=""/>
      <w:lvlJc w:val="left"/>
      <w:pPr>
        <w:tabs>
          <w:tab w:val="num" w:pos="2160"/>
        </w:tabs>
        <w:ind w:left="2160" w:hanging="360"/>
      </w:pPr>
      <w:rPr>
        <w:rFonts w:ascii="Wingdings" w:hAnsi="Wingdings" w:hint="default"/>
      </w:rPr>
    </w:lvl>
    <w:lvl w:ilvl="3" w:tplc="EDF8F148" w:tentative="1">
      <w:start w:val="1"/>
      <w:numFmt w:val="bullet"/>
      <w:lvlText w:val=""/>
      <w:lvlJc w:val="left"/>
      <w:pPr>
        <w:tabs>
          <w:tab w:val="num" w:pos="2880"/>
        </w:tabs>
        <w:ind w:left="2880" w:hanging="360"/>
      </w:pPr>
      <w:rPr>
        <w:rFonts w:ascii="Symbol" w:hAnsi="Symbol" w:hint="default"/>
      </w:rPr>
    </w:lvl>
    <w:lvl w:ilvl="4" w:tplc="1DD49466" w:tentative="1">
      <w:start w:val="1"/>
      <w:numFmt w:val="bullet"/>
      <w:lvlText w:val="o"/>
      <w:lvlJc w:val="left"/>
      <w:pPr>
        <w:tabs>
          <w:tab w:val="num" w:pos="3600"/>
        </w:tabs>
        <w:ind w:left="3600" w:hanging="360"/>
      </w:pPr>
      <w:rPr>
        <w:rFonts w:ascii="Courier New" w:hAnsi="Courier New" w:hint="default"/>
      </w:rPr>
    </w:lvl>
    <w:lvl w:ilvl="5" w:tplc="79203DA6" w:tentative="1">
      <w:start w:val="1"/>
      <w:numFmt w:val="bullet"/>
      <w:lvlText w:val=""/>
      <w:lvlJc w:val="left"/>
      <w:pPr>
        <w:tabs>
          <w:tab w:val="num" w:pos="4320"/>
        </w:tabs>
        <w:ind w:left="4320" w:hanging="360"/>
      </w:pPr>
      <w:rPr>
        <w:rFonts w:ascii="Wingdings" w:hAnsi="Wingdings" w:hint="default"/>
      </w:rPr>
    </w:lvl>
    <w:lvl w:ilvl="6" w:tplc="89920ADC" w:tentative="1">
      <w:start w:val="1"/>
      <w:numFmt w:val="bullet"/>
      <w:lvlText w:val=""/>
      <w:lvlJc w:val="left"/>
      <w:pPr>
        <w:tabs>
          <w:tab w:val="num" w:pos="5040"/>
        </w:tabs>
        <w:ind w:left="5040" w:hanging="360"/>
      </w:pPr>
      <w:rPr>
        <w:rFonts w:ascii="Symbol" w:hAnsi="Symbol" w:hint="default"/>
      </w:rPr>
    </w:lvl>
    <w:lvl w:ilvl="7" w:tplc="FB3CBE16" w:tentative="1">
      <w:start w:val="1"/>
      <w:numFmt w:val="bullet"/>
      <w:lvlText w:val="o"/>
      <w:lvlJc w:val="left"/>
      <w:pPr>
        <w:tabs>
          <w:tab w:val="num" w:pos="5760"/>
        </w:tabs>
        <w:ind w:left="5760" w:hanging="360"/>
      </w:pPr>
      <w:rPr>
        <w:rFonts w:ascii="Courier New" w:hAnsi="Courier New" w:hint="default"/>
      </w:rPr>
    </w:lvl>
    <w:lvl w:ilvl="8" w:tplc="0B006334"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50BE495D"/>
    <w:multiLevelType w:val="multilevel"/>
    <w:tmpl w:val="00000001"/>
    <w:lvl w:ilvl="0">
      <w:start w:val="1"/>
      <w:numFmt w:val="bullet"/>
      <w:lvlText w:val=""/>
      <w:lvlJc w:val="left"/>
      <w:pPr>
        <w:tabs>
          <w:tab w:val="num" w:pos="567"/>
        </w:tabs>
        <w:ind w:left="567" w:hanging="567"/>
      </w:pPr>
      <w:rPr>
        <w:rFonts w:ascii="Symbol" w:hAnsi="Symbol" w:hint="default"/>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decimal"/>
      <w:suff w:val="nothing"/>
      <w:lvlText w:val="%9."/>
      <w:lvlJc w:val="left"/>
      <w:rPr>
        <w:rFonts w:cs="Times New Roman"/>
      </w:rPr>
    </w:lvl>
  </w:abstractNum>
  <w:abstractNum w:abstractNumId="127" w15:restartNumberingAfterBreak="0">
    <w:nsid w:val="512E240C"/>
    <w:multiLevelType w:val="hybridMultilevel"/>
    <w:tmpl w:val="64AEC576"/>
    <w:lvl w:ilvl="0" w:tplc="B03699A8">
      <w:start w:val="1"/>
      <w:numFmt w:val="decimal"/>
      <w:lvlText w:val="%1."/>
      <w:lvlJc w:val="left"/>
      <w:pPr>
        <w:ind w:left="1080" w:hanging="360"/>
      </w:pPr>
      <w:rPr>
        <w:rFonts w:hint="default"/>
      </w:rPr>
    </w:lvl>
    <w:lvl w:ilvl="1" w:tplc="48123AF6" w:tentative="1">
      <w:start w:val="1"/>
      <w:numFmt w:val="lowerLetter"/>
      <w:lvlText w:val="%2."/>
      <w:lvlJc w:val="left"/>
      <w:pPr>
        <w:ind w:left="1800" w:hanging="360"/>
      </w:pPr>
    </w:lvl>
    <w:lvl w:ilvl="2" w:tplc="7DD25D1A" w:tentative="1">
      <w:start w:val="1"/>
      <w:numFmt w:val="lowerRoman"/>
      <w:lvlText w:val="%3."/>
      <w:lvlJc w:val="right"/>
      <w:pPr>
        <w:ind w:left="2520" w:hanging="180"/>
      </w:pPr>
    </w:lvl>
    <w:lvl w:ilvl="3" w:tplc="025CEA4E" w:tentative="1">
      <w:start w:val="1"/>
      <w:numFmt w:val="decimal"/>
      <w:lvlText w:val="%4."/>
      <w:lvlJc w:val="left"/>
      <w:pPr>
        <w:ind w:left="3240" w:hanging="360"/>
      </w:pPr>
    </w:lvl>
    <w:lvl w:ilvl="4" w:tplc="5AEC6642" w:tentative="1">
      <w:start w:val="1"/>
      <w:numFmt w:val="lowerLetter"/>
      <w:lvlText w:val="%5."/>
      <w:lvlJc w:val="left"/>
      <w:pPr>
        <w:ind w:left="3960" w:hanging="360"/>
      </w:pPr>
    </w:lvl>
    <w:lvl w:ilvl="5" w:tplc="8D325D14" w:tentative="1">
      <w:start w:val="1"/>
      <w:numFmt w:val="lowerRoman"/>
      <w:lvlText w:val="%6."/>
      <w:lvlJc w:val="right"/>
      <w:pPr>
        <w:ind w:left="4680" w:hanging="180"/>
      </w:pPr>
    </w:lvl>
    <w:lvl w:ilvl="6" w:tplc="57C0DC70" w:tentative="1">
      <w:start w:val="1"/>
      <w:numFmt w:val="decimal"/>
      <w:lvlText w:val="%7."/>
      <w:lvlJc w:val="left"/>
      <w:pPr>
        <w:ind w:left="5400" w:hanging="360"/>
      </w:pPr>
    </w:lvl>
    <w:lvl w:ilvl="7" w:tplc="4F4A1F92" w:tentative="1">
      <w:start w:val="1"/>
      <w:numFmt w:val="lowerLetter"/>
      <w:lvlText w:val="%8."/>
      <w:lvlJc w:val="left"/>
      <w:pPr>
        <w:ind w:left="6120" w:hanging="360"/>
      </w:pPr>
    </w:lvl>
    <w:lvl w:ilvl="8" w:tplc="995CE096" w:tentative="1">
      <w:start w:val="1"/>
      <w:numFmt w:val="lowerRoman"/>
      <w:lvlText w:val="%9."/>
      <w:lvlJc w:val="right"/>
      <w:pPr>
        <w:ind w:left="6840" w:hanging="180"/>
      </w:pPr>
    </w:lvl>
  </w:abstractNum>
  <w:abstractNum w:abstractNumId="128" w15:restartNumberingAfterBreak="0">
    <w:nsid w:val="52C8174D"/>
    <w:multiLevelType w:val="multilevel"/>
    <w:tmpl w:val="5AA28542"/>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29" w15:restartNumberingAfterBreak="0">
    <w:nsid w:val="53231B4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54A21862"/>
    <w:multiLevelType w:val="hybridMultilevel"/>
    <w:tmpl w:val="3294DEF0"/>
    <w:lvl w:ilvl="0" w:tplc="0318E79C">
      <w:start w:val="1"/>
      <w:numFmt w:val="bullet"/>
      <w:lvlText w:val=""/>
      <w:lvlJc w:val="left"/>
      <w:pPr>
        <w:ind w:left="720" w:hanging="360"/>
      </w:pPr>
      <w:rPr>
        <w:rFonts w:ascii="Symbol" w:hAnsi="Symbol" w:hint="default"/>
      </w:rPr>
    </w:lvl>
    <w:lvl w:ilvl="1" w:tplc="E7346510" w:tentative="1">
      <w:start w:val="1"/>
      <w:numFmt w:val="bullet"/>
      <w:lvlText w:val="o"/>
      <w:lvlJc w:val="left"/>
      <w:pPr>
        <w:ind w:left="1440" w:hanging="360"/>
      </w:pPr>
      <w:rPr>
        <w:rFonts w:ascii="Courier New" w:hAnsi="Courier New" w:cs="Courier New" w:hint="default"/>
      </w:rPr>
    </w:lvl>
    <w:lvl w:ilvl="2" w:tplc="705E4E0A" w:tentative="1">
      <w:start w:val="1"/>
      <w:numFmt w:val="bullet"/>
      <w:lvlText w:val=""/>
      <w:lvlJc w:val="left"/>
      <w:pPr>
        <w:ind w:left="2160" w:hanging="360"/>
      </w:pPr>
      <w:rPr>
        <w:rFonts w:ascii="Wingdings" w:hAnsi="Wingdings" w:hint="default"/>
      </w:rPr>
    </w:lvl>
    <w:lvl w:ilvl="3" w:tplc="41E8E9CA" w:tentative="1">
      <w:start w:val="1"/>
      <w:numFmt w:val="bullet"/>
      <w:lvlText w:val=""/>
      <w:lvlJc w:val="left"/>
      <w:pPr>
        <w:ind w:left="2880" w:hanging="360"/>
      </w:pPr>
      <w:rPr>
        <w:rFonts w:ascii="Symbol" w:hAnsi="Symbol" w:hint="default"/>
      </w:rPr>
    </w:lvl>
    <w:lvl w:ilvl="4" w:tplc="69F0A1D4" w:tentative="1">
      <w:start w:val="1"/>
      <w:numFmt w:val="bullet"/>
      <w:lvlText w:val="o"/>
      <w:lvlJc w:val="left"/>
      <w:pPr>
        <w:ind w:left="3600" w:hanging="360"/>
      </w:pPr>
      <w:rPr>
        <w:rFonts w:ascii="Courier New" w:hAnsi="Courier New" w:cs="Courier New" w:hint="default"/>
      </w:rPr>
    </w:lvl>
    <w:lvl w:ilvl="5" w:tplc="C60C3D48" w:tentative="1">
      <w:start w:val="1"/>
      <w:numFmt w:val="bullet"/>
      <w:lvlText w:val=""/>
      <w:lvlJc w:val="left"/>
      <w:pPr>
        <w:ind w:left="4320" w:hanging="360"/>
      </w:pPr>
      <w:rPr>
        <w:rFonts w:ascii="Wingdings" w:hAnsi="Wingdings" w:hint="default"/>
      </w:rPr>
    </w:lvl>
    <w:lvl w:ilvl="6" w:tplc="85CEB7F0" w:tentative="1">
      <w:start w:val="1"/>
      <w:numFmt w:val="bullet"/>
      <w:lvlText w:val=""/>
      <w:lvlJc w:val="left"/>
      <w:pPr>
        <w:ind w:left="5040" w:hanging="360"/>
      </w:pPr>
      <w:rPr>
        <w:rFonts w:ascii="Symbol" w:hAnsi="Symbol" w:hint="default"/>
      </w:rPr>
    </w:lvl>
    <w:lvl w:ilvl="7" w:tplc="1B90E40A" w:tentative="1">
      <w:start w:val="1"/>
      <w:numFmt w:val="bullet"/>
      <w:lvlText w:val="o"/>
      <w:lvlJc w:val="left"/>
      <w:pPr>
        <w:ind w:left="5760" w:hanging="360"/>
      </w:pPr>
      <w:rPr>
        <w:rFonts w:ascii="Courier New" w:hAnsi="Courier New" w:cs="Courier New" w:hint="default"/>
      </w:rPr>
    </w:lvl>
    <w:lvl w:ilvl="8" w:tplc="FCAA8DF4" w:tentative="1">
      <w:start w:val="1"/>
      <w:numFmt w:val="bullet"/>
      <w:lvlText w:val=""/>
      <w:lvlJc w:val="left"/>
      <w:pPr>
        <w:ind w:left="6480" w:hanging="360"/>
      </w:pPr>
      <w:rPr>
        <w:rFonts w:ascii="Wingdings" w:hAnsi="Wingdings" w:hint="default"/>
      </w:rPr>
    </w:lvl>
  </w:abstractNum>
  <w:abstractNum w:abstractNumId="131" w15:restartNumberingAfterBreak="0">
    <w:nsid w:val="54AB650A"/>
    <w:multiLevelType w:val="hybridMultilevel"/>
    <w:tmpl w:val="0D0E4E84"/>
    <w:lvl w:ilvl="0" w:tplc="CF98970A">
      <w:start w:val="2"/>
      <w:numFmt w:val="decimal"/>
      <w:lvlText w:val="%1."/>
      <w:lvlJc w:val="left"/>
      <w:pPr>
        <w:ind w:left="1080" w:hanging="360"/>
      </w:pPr>
      <w:rPr>
        <w:rFonts w:hint="default"/>
      </w:rPr>
    </w:lvl>
    <w:lvl w:ilvl="1" w:tplc="D23827D2" w:tentative="1">
      <w:start w:val="1"/>
      <w:numFmt w:val="lowerLetter"/>
      <w:lvlText w:val="%2."/>
      <w:lvlJc w:val="left"/>
      <w:pPr>
        <w:ind w:left="1440" w:hanging="360"/>
      </w:pPr>
    </w:lvl>
    <w:lvl w:ilvl="2" w:tplc="2A4876C6" w:tentative="1">
      <w:start w:val="1"/>
      <w:numFmt w:val="lowerRoman"/>
      <w:lvlText w:val="%3."/>
      <w:lvlJc w:val="right"/>
      <w:pPr>
        <w:ind w:left="2160" w:hanging="180"/>
      </w:pPr>
    </w:lvl>
    <w:lvl w:ilvl="3" w:tplc="E48A1A20" w:tentative="1">
      <w:start w:val="1"/>
      <w:numFmt w:val="decimal"/>
      <w:lvlText w:val="%4."/>
      <w:lvlJc w:val="left"/>
      <w:pPr>
        <w:ind w:left="2880" w:hanging="360"/>
      </w:pPr>
    </w:lvl>
    <w:lvl w:ilvl="4" w:tplc="A09297A0" w:tentative="1">
      <w:start w:val="1"/>
      <w:numFmt w:val="lowerLetter"/>
      <w:lvlText w:val="%5."/>
      <w:lvlJc w:val="left"/>
      <w:pPr>
        <w:ind w:left="3600" w:hanging="360"/>
      </w:pPr>
    </w:lvl>
    <w:lvl w:ilvl="5" w:tplc="432C469E" w:tentative="1">
      <w:start w:val="1"/>
      <w:numFmt w:val="lowerRoman"/>
      <w:lvlText w:val="%6."/>
      <w:lvlJc w:val="right"/>
      <w:pPr>
        <w:ind w:left="4320" w:hanging="180"/>
      </w:pPr>
    </w:lvl>
    <w:lvl w:ilvl="6" w:tplc="B1DA95BE" w:tentative="1">
      <w:start w:val="1"/>
      <w:numFmt w:val="decimal"/>
      <w:lvlText w:val="%7."/>
      <w:lvlJc w:val="left"/>
      <w:pPr>
        <w:ind w:left="5040" w:hanging="360"/>
      </w:pPr>
    </w:lvl>
    <w:lvl w:ilvl="7" w:tplc="FD0A0444" w:tentative="1">
      <w:start w:val="1"/>
      <w:numFmt w:val="lowerLetter"/>
      <w:lvlText w:val="%8."/>
      <w:lvlJc w:val="left"/>
      <w:pPr>
        <w:ind w:left="5760" w:hanging="360"/>
      </w:pPr>
    </w:lvl>
    <w:lvl w:ilvl="8" w:tplc="F440DB3C" w:tentative="1">
      <w:start w:val="1"/>
      <w:numFmt w:val="lowerRoman"/>
      <w:lvlText w:val="%9."/>
      <w:lvlJc w:val="right"/>
      <w:pPr>
        <w:ind w:left="6480" w:hanging="180"/>
      </w:pPr>
    </w:lvl>
  </w:abstractNum>
  <w:abstractNum w:abstractNumId="132" w15:restartNumberingAfterBreak="0">
    <w:nsid w:val="54B605E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54BF6644"/>
    <w:multiLevelType w:val="hybridMultilevel"/>
    <w:tmpl w:val="09705B4E"/>
    <w:lvl w:ilvl="0" w:tplc="A70CF380">
      <w:start w:val="38"/>
      <w:numFmt w:val="bullet"/>
      <w:lvlText w:val="-"/>
      <w:lvlJc w:val="left"/>
      <w:pPr>
        <w:tabs>
          <w:tab w:val="num" w:pos="567"/>
        </w:tabs>
        <w:ind w:left="567" w:hanging="567"/>
      </w:pPr>
      <w:rPr>
        <w:rFonts w:hint="default"/>
      </w:rPr>
    </w:lvl>
    <w:lvl w:ilvl="1" w:tplc="3F9A524A" w:tentative="1">
      <w:start w:val="1"/>
      <w:numFmt w:val="bullet"/>
      <w:lvlText w:val="o"/>
      <w:lvlJc w:val="left"/>
      <w:pPr>
        <w:tabs>
          <w:tab w:val="num" w:pos="1440"/>
        </w:tabs>
        <w:ind w:left="1440" w:hanging="360"/>
      </w:pPr>
      <w:rPr>
        <w:rFonts w:ascii="Courier New" w:hAnsi="Courier New" w:hint="default"/>
      </w:rPr>
    </w:lvl>
    <w:lvl w:ilvl="2" w:tplc="5BA078B0" w:tentative="1">
      <w:start w:val="1"/>
      <w:numFmt w:val="bullet"/>
      <w:lvlText w:val=""/>
      <w:lvlJc w:val="left"/>
      <w:pPr>
        <w:tabs>
          <w:tab w:val="num" w:pos="2160"/>
        </w:tabs>
        <w:ind w:left="2160" w:hanging="360"/>
      </w:pPr>
      <w:rPr>
        <w:rFonts w:ascii="Wingdings" w:hAnsi="Wingdings" w:hint="default"/>
      </w:rPr>
    </w:lvl>
    <w:lvl w:ilvl="3" w:tplc="6F463C36" w:tentative="1">
      <w:start w:val="1"/>
      <w:numFmt w:val="bullet"/>
      <w:lvlText w:val=""/>
      <w:lvlJc w:val="left"/>
      <w:pPr>
        <w:tabs>
          <w:tab w:val="num" w:pos="2880"/>
        </w:tabs>
        <w:ind w:left="2880" w:hanging="360"/>
      </w:pPr>
      <w:rPr>
        <w:rFonts w:ascii="Symbol" w:hAnsi="Symbol" w:hint="default"/>
      </w:rPr>
    </w:lvl>
    <w:lvl w:ilvl="4" w:tplc="7742B0BC" w:tentative="1">
      <w:start w:val="1"/>
      <w:numFmt w:val="bullet"/>
      <w:lvlText w:val="o"/>
      <w:lvlJc w:val="left"/>
      <w:pPr>
        <w:tabs>
          <w:tab w:val="num" w:pos="3600"/>
        </w:tabs>
        <w:ind w:left="3600" w:hanging="360"/>
      </w:pPr>
      <w:rPr>
        <w:rFonts w:ascii="Courier New" w:hAnsi="Courier New" w:hint="default"/>
      </w:rPr>
    </w:lvl>
    <w:lvl w:ilvl="5" w:tplc="926019A0" w:tentative="1">
      <w:start w:val="1"/>
      <w:numFmt w:val="bullet"/>
      <w:lvlText w:val=""/>
      <w:lvlJc w:val="left"/>
      <w:pPr>
        <w:tabs>
          <w:tab w:val="num" w:pos="4320"/>
        </w:tabs>
        <w:ind w:left="4320" w:hanging="360"/>
      </w:pPr>
      <w:rPr>
        <w:rFonts w:ascii="Wingdings" w:hAnsi="Wingdings" w:hint="default"/>
      </w:rPr>
    </w:lvl>
    <w:lvl w:ilvl="6" w:tplc="50346B22" w:tentative="1">
      <w:start w:val="1"/>
      <w:numFmt w:val="bullet"/>
      <w:lvlText w:val=""/>
      <w:lvlJc w:val="left"/>
      <w:pPr>
        <w:tabs>
          <w:tab w:val="num" w:pos="5040"/>
        </w:tabs>
        <w:ind w:left="5040" w:hanging="360"/>
      </w:pPr>
      <w:rPr>
        <w:rFonts w:ascii="Symbol" w:hAnsi="Symbol" w:hint="default"/>
      </w:rPr>
    </w:lvl>
    <w:lvl w:ilvl="7" w:tplc="6220F37A" w:tentative="1">
      <w:start w:val="1"/>
      <w:numFmt w:val="bullet"/>
      <w:lvlText w:val="o"/>
      <w:lvlJc w:val="left"/>
      <w:pPr>
        <w:tabs>
          <w:tab w:val="num" w:pos="5760"/>
        </w:tabs>
        <w:ind w:left="5760" w:hanging="360"/>
      </w:pPr>
      <w:rPr>
        <w:rFonts w:ascii="Courier New" w:hAnsi="Courier New" w:hint="default"/>
      </w:rPr>
    </w:lvl>
    <w:lvl w:ilvl="8" w:tplc="539AC072"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55090E7D"/>
    <w:multiLevelType w:val="hybridMultilevel"/>
    <w:tmpl w:val="E41C9600"/>
    <w:lvl w:ilvl="0" w:tplc="22CE9D8E">
      <w:start w:val="1"/>
      <w:numFmt w:val="bullet"/>
      <w:lvlText w:val=""/>
      <w:lvlJc w:val="left"/>
      <w:pPr>
        <w:tabs>
          <w:tab w:val="num" w:pos="567"/>
        </w:tabs>
        <w:ind w:left="567" w:hanging="567"/>
      </w:pPr>
      <w:rPr>
        <w:rFonts w:ascii="Symbol" w:hAnsi="Symbol" w:hint="default"/>
      </w:rPr>
    </w:lvl>
    <w:lvl w:ilvl="1" w:tplc="F9143292" w:tentative="1">
      <w:start w:val="1"/>
      <w:numFmt w:val="bullet"/>
      <w:lvlText w:val="o"/>
      <w:lvlJc w:val="left"/>
      <w:pPr>
        <w:tabs>
          <w:tab w:val="num" w:pos="1440"/>
        </w:tabs>
        <w:ind w:left="1440" w:hanging="360"/>
      </w:pPr>
      <w:rPr>
        <w:rFonts w:ascii="Courier New" w:hAnsi="Courier New" w:hint="default"/>
      </w:rPr>
    </w:lvl>
    <w:lvl w:ilvl="2" w:tplc="86387328" w:tentative="1">
      <w:start w:val="1"/>
      <w:numFmt w:val="bullet"/>
      <w:lvlText w:val=""/>
      <w:lvlJc w:val="left"/>
      <w:pPr>
        <w:tabs>
          <w:tab w:val="num" w:pos="2160"/>
        </w:tabs>
        <w:ind w:left="2160" w:hanging="360"/>
      </w:pPr>
      <w:rPr>
        <w:rFonts w:ascii="Wingdings" w:hAnsi="Wingdings" w:hint="default"/>
      </w:rPr>
    </w:lvl>
    <w:lvl w:ilvl="3" w:tplc="672443C8" w:tentative="1">
      <w:start w:val="1"/>
      <w:numFmt w:val="bullet"/>
      <w:lvlText w:val=""/>
      <w:lvlJc w:val="left"/>
      <w:pPr>
        <w:tabs>
          <w:tab w:val="num" w:pos="2880"/>
        </w:tabs>
        <w:ind w:left="2880" w:hanging="360"/>
      </w:pPr>
      <w:rPr>
        <w:rFonts w:ascii="Symbol" w:hAnsi="Symbol" w:hint="default"/>
      </w:rPr>
    </w:lvl>
    <w:lvl w:ilvl="4" w:tplc="B05EB3A2" w:tentative="1">
      <w:start w:val="1"/>
      <w:numFmt w:val="bullet"/>
      <w:lvlText w:val="o"/>
      <w:lvlJc w:val="left"/>
      <w:pPr>
        <w:tabs>
          <w:tab w:val="num" w:pos="3600"/>
        </w:tabs>
        <w:ind w:left="3600" w:hanging="360"/>
      </w:pPr>
      <w:rPr>
        <w:rFonts w:ascii="Courier New" w:hAnsi="Courier New" w:hint="default"/>
      </w:rPr>
    </w:lvl>
    <w:lvl w:ilvl="5" w:tplc="C510939C" w:tentative="1">
      <w:start w:val="1"/>
      <w:numFmt w:val="bullet"/>
      <w:lvlText w:val=""/>
      <w:lvlJc w:val="left"/>
      <w:pPr>
        <w:tabs>
          <w:tab w:val="num" w:pos="4320"/>
        </w:tabs>
        <w:ind w:left="4320" w:hanging="360"/>
      </w:pPr>
      <w:rPr>
        <w:rFonts w:ascii="Wingdings" w:hAnsi="Wingdings" w:hint="default"/>
      </w:rPr>
    </w:lvl>
    <w:lvl w:ilvl="6" w:tplc="52C0E210" w:tentative="1">
      <w:start w:val="1"/>
      <w:numFmt w:val="bullet"/>
      <w:lvlText w:val=""/>
      <w:lvlJc w:val="left"/>
      <w:pPr>
        <w:tabs>
          <w:tab w:val="num" w:pos="5040"/>
        </w:tabs>
        <w:ind w:left="5040" w:hanging="360"/>
      </w:pPr>
      <w:rPr>
        <w:rFonts w:ascii="Symbol" w:hAnsi="Symbol" w:hint="default"/>
      </w:rPr>
    </w:lvl>
    <w:lvl w:ilvl="7" w:tplc="1BBA01B4" w:tentative="1">
      <w:start w:val="1"/>
      <w:numFmt w:val="bullet"/>
      <w:lvlText w:val="o"/>
      <w:lvlJc w:val="left"/>
      <w:pPr>
        <w:tabs>
          <w:tab w:val="num" w:pos="5760"/>
        </w:tabs>
        <w:ind w:left="5760" w:hanging="360"/>
      </w:pPr>
      <w:rPr>
        <w:rFonts w:ascii="Courier New" w:hAnsi="Courier New" w:hint="default"/>
      </w:rPr>
    </w:lvl>
    <w:lvl w:ilvl="8" w:tplc="B5D8AC90"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55973E4E"/>
    <w:multiLevelType w:val="hybridMultilevel"/>
    <w:tmpl w:val="FBE8B720"/>
    <w:lvl w:ilvl="0" w:tplc="BDFCF63C">
      <w:start w:val="1"/>
      <w:numFmt w:val="bullet"/>
      <w:lvlText w:val=""/>
      <w:lvlJc w:val="left"/>
      <w:pPr>
        <w:tabs>
          <w:tab w:val="num" w:pos="567"/>
        </w:tabs>
        <w:ind w:left="567" w:hanging="567"/>
      </w:pPr>
      <w:rPr>
        <w:rFonts w:ascii="Symbol" w:hAnsi="Symbol" w:hint="default"/>
      </w:rPr>
    </w:lvl>
    <w:lvl w:ilvl="1" w:tplc="13C02758">
      <w:start w:val="1"/>
      <w:numFmt w:val="bullet"/>
      <w:lvlText w:val=""/>
      <w:lvlJc w:val="left"/>
      <w:pPr>
        <w:tabs>
          <w:tab w:val="num" w:pos="1647"/>
        </w:tabs>
        <w:ind w:left="1647" w:hanging="567"/>
      </w:pPr>
      <w:rPr>
        <w:rFonts w:ascii="Symbol" w:hAnsi="Symbol" w:hint="default"/>
      </w:rPr>
    </w:lvl>
    <w:lvl w:ilvl="2" w:tplc="E1F049A0" w:tentative="1">
      <w:start w:val="1"/>
      <w:numFmt w:val="bullet"/>
      <w:lvlText w:val=""/>
      <w:lvlJc w:val="left"/>
      <w:pPr>
        <w:tabs>
          <w:tab w:val="num" w:pos="2160"/>
        </w:tabs>
        <w:ind w:left="2160" w:hanging="360"/>
      </w:pPr>
      <w:rPr>
        <w:rFonts w:ascii="Wingdings" w:hAnsi="Wingdings" w:hint="default"/>
      </w:rPr>
    </w:lvl>
    <w:lvl w:ilvl="3" w:tplc="E09EA878" w:tentative="1">
      <w:start w:val="1"/>
      <w:numFmt w:val="bullet"/>
      <w:lvlText w:val=""/>
      <w:lvlJc w:val="left"/>
      <w:pPr>
        <w:tabs>
          <w:tab w:val="num" w:pos="2880"/>
        </w:tabs>
        <w:ind w:left="2880" w:hanging="360"/>
      </w:pPr>
      <w:rPr>
        <w:rFonts w:ascii="Symbol" w:hAnsi="Symbol" w:hint="default"/>
      </w:rPr>
    </w:lvl>
    <w:lvl w:ilvl="4" w:tplc="6C9878FC" w:tentative="1">
      <w:start w:val="1"/>
      <w:numFmt w:val="bullet"/>
      <w:lvlText w:val="o"/>
      <w:lvlJc w:val="left"/>
      <w:pPr>
        <w:tabs>
          <w:tab w:val="num" w:pos="3600"/>
        </w:tabs>
        <w:ind w:left="3600" w:hanging="360"/>
      </w:pPr>
      <w:rPr>
        <w:rFonts w:ascii="Courier New" w:hAnsi="Courier New" w:hint="default"/>
      </w:rPr>
    </w:lvl>
    <w:lvl w:ilvl="5" w:tplc="F6FE302A" w:tentative="1">
      <w:start w:val="1"/>
      <w:numFmt w:val="bullet"/>
      <w:lvlText w:val=""/>
      <w:lvlJc w:val="left"/>
      <w:pPr>
        <w:tabs>
          <w:tab w:val="num" w:pos="4320"/>
        </w:tabs>
        <w:ind w:left="4320" w:hanging="360"/>
      </w:pPr>
      <w:rPr>
        <w:rFonts w:ascii="Wingdings" w:hAnsi="Wingdings" w:hint="default"/>
      </w:rPr>
    </w:lvl>
    <w:lvl w:ilvl="6" w:tplc="1FEC0D02" w:tentative="1">
      <w:start w:val="1"/>
      <w:numFmt w:val="bullet"/>
      <w:lvlText w:val=""/>
      <w:lvlJc w:val="left"/>
      <w:pPr>
        <w:tabs>
          <w:tab w:val="num" w:pos="5040"/>
        </w:tabs>
        <w:ind w:left="5040" w:hanging="360"/>
      </w:pPr>
      <w:rPr>
        <w:rFonts w:ascii="Symbol" w:hAnsi="Symbol" w:hint="default"/>
      </w:rPr>
    </w:lvl>
    <w:lvl w:ilvl="7" w:tplc="85A21CAA" w:tentative="1">
      <w:start w:val="1"/>
      <w:numFmt w:val="bullet"/>
      <w:lvlText w:val="o"/>
      <w:lvlJc w:val="left"/>
      <w:pPr>
        <w:tabs>
          <w:tab w:val="num" w:pos="5760"/>
        </w:tabs>
        <w:ind w:left="5760" w:hanging="360"/>
      </w:pPr>
      <w:rPr>
        <w:rFonts w:ascii="Courier New" w:hAnsi="Courier New" w:hint="default"/>
      </w:rPr>
    </w:lvl>
    <w:lvl w:ilvl="8" w:tplc="0AFE36FC"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55B96258"/>
    <w:multiLevelType w:val="hybridMultilevel"/>
    <w:tmpl w:val="FC6686BA"/>
    <w:lvl w:ilvl="0" w:tplc="3DE61692">
      <w:start w:val="1"/>
      <w:numFmt w:val="bullet"/>
      <w:lvlText w:val=""/>
      <w:lvlJc w:val="left"/>
      <w:pPr>
        <w:tabs>
          <w:tab w:val="num" w:pos="567"/>
        </w:tabs>
        <w:ind w:left="567" w:hanging="567"/>
      </w:pPr>
      <w:rPr>
        <w:rFonts w:ascii="Symbol" w:hAnsi="Symbol" w:hint="default"/>
      </w:rPr>
    </w:lvl>
    <w:lvl w:ilvl="1" w:tplc="270431A4">
      <w:start w:val="1"/>
      <w:numFmt w:val="bullet"/>
      <w:lvlText w:val=""/>
      <w:lvlJc w:val="left"/>
      <w:pPr>
        <w:tabs>
          <w:tab w:val="num" w:pos="1440"/>
        </w:tabs>
        <w:ind w:left="1440" w:hanging="360"/>
      </w:pPr>
      <w:rPr>
        <w:rFonts w:ascii="Symbol" w:hAnsi="Symbol" w:hint="default"/>
      </w:rPr>
    </w:lvl>
    <w:lvl w:ilvl="2" w:tplc="AD6A29E0" w:tentative="1">
      <w:start w:val="1"/>
      <w:numFmt w:val="bullet"/>
      <w:lvlText w:val=""/>
      <w:lvlJc w:val="left"/>
      <w:pPr>
        <w:tabs>
          <w:tab w:val="num" w:pos="2160"/>
        </w:tabs>
        <w:ind w:left="2160" w:hanging="360"/>
      </w:pPr>
      <w:rPr>
        <w:rFonts w:ascii="Wingdings" w:hAnsi="Wingdings" w:hint="default"/>
      </w:rPr>
    </w:lvl>
    <w:lvl w:ilvl="3" w:tplc="CF0CAF94" w:tentative="1">
      <w:start w:val="1"/>
      <w:numFmt w:val="bullet"/>
      <w:lvlText w:val=""/>
      <w:lvlJc w:val="left"/>
      <w:pPr>
        <w:tabs>
          <w:tab w:val="num" w:pos="2880"/>
        </w:tabs>
        <w:ind w:left="2880" w:hanging="360"/>
      </w:pPr>
      <w:rPr>
        <w:rFonts w:ascii="Symbol" w:hAnsi="Symbol" w:hint="default"/>
      </w:rPr>
    </w:lvl>
    <w:lvl w:ilvl="4" w:tplc="370AC4CA" w:tentative="1">
      <w:start w:val="1"/>
      <w:numFmt w:val="bullet"/>
      <w:lvlText w:val="o"/>
      <w:lvlJc w:val="left"/>
      <w:pPr>
        <w:tabs>
          <w:tab w:val="num" w:pos="3600"/>
        </w:tabs>
        <w:ind w:left="3600" w:hanging="360"/>
      </w:pPr>
      <w:rPr>
        <w:rFonts w:ascii="Courier New" w:hAnsi="Courier New" w:hint="default"/>
      </w:rPr>
    </w:lvl>
    <w:lvl w:ilvl="5" w:tplc="02CE1A64" w:tentative="1">
      <w:start w:val="1"/>
      <w:numFmt w:val="bullet"/>
      <w:lvlText w:val=""/>
      <w:lvlJc w:val="left"/>
      <w:pPr>
        <w:tabs>
          <w:tab w:val="num" w:pos="4320"/>
        </w:tabs>
        <w:ind w:left="4320" w:hanging="360"/>
      </w:pPr>
      <w:rPr>
        <w:rFonts w:ascii="Wingdings" w:hAnsi="Wingdings" w:hint="default"/>
      </w:rPr>
    </w:lvl>
    <w:lvl w:ilvl="6" w:tplc="B1E2C2D0" w:tentative="1">
      <w:start w:val="1"/>
      <w:numFmt w:val="bullet"/>
      <w:lvlText w:val=""/>
      <w:lvlJc w:val="left"/>
      <w:pPr>
        <w:tabs>
          <w:tab w:val="num" w:pos="5040"/>
        </w:tabs>
        <w:ind w:left="5040" w:hanging="360"/>
      </w:pPr>
      <w:rPr>
        <w:rFonts w:ascii="Symbol" w:hAnsi="Symbol" w:hint="default"/>
      </w:rPr>
    </w:lvl>
    <w:lvl w:ilvl="7" w:tplc="2C10DD6C" w:tentative="1">
      <w:start w:val="1"/>
      <w:numFmt w:val="bullet"/>
      <w:lvlText w:val="o"/>
      <w:lvlJc w:val="left"/>
      <w:pPr>
        <w:tabs>
          <w:tab w:val="num" w:pos="5760"/>
        </w:tabs>
        <w:ind w:left="5760" w:hanging="360"/>
      </w:pPr>
      <w:rPr>
        <w:rFonts w:ascii="Courier New" w:hAnsi="Courier New" w:hint="default"/>
      </w:rPr>
    </w:lvl>
    <w:lvl w:ilvl="8" w:tplc="F7B439AA"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56007351"/>
    <w:multiLevelType w:val="hybridMultilevel"/>
    <w:tmpl w:val="6A9C6E94"/>
    <w:lvl w:ilvl="0" w:tplc="78FCC102">
      <w:start w:val="1"/>
      <w:numFmt w:val="bullet"/>
      <w:lvlText w:val=""/>
      <w:lvlJc w:val="left"/>
      <w:pPr>
        <w:ind w:left="720" w:hanging="360"/>
      </w:pPr>
      <w:rPr>
        <w:rFonts w:ascii="Symbol" w:hAnsi="Symbol" w:hint="default"/>
        <w:sz w:val="22"/>
      </w:rPr>
    </w:lvl>
    <w:lvl w:ilvl="1" w:tplc="1ADA78A2" w:tentative="1">
      <w:start w:val="1"/>
      <w:numFmt w:val="bullet"/>
      <w:lvlText w:val="o"/>
      <w:lvlJc w:val="left"/>
      <w:pPr>
        <w:ind w:left="1440" w:hanging="360"/>
      </w:pPr>
      <w:rPr>
        <w:rFonts w:ascii="Courier New" w:hAnsi="Courier New" w:cs="Courier New" w:hint="default"/>
      </w:rPr>
    </w:lvl>
    <w:lvl w:ilvl="2" w:tplc="76BCA0CA" w:tentative="1">
      <w:start w:val="1"/>
      <w:numFmt w:val="bullet"/>
      <w:lvlText w:val=""/>
      <w:lvlJc w:val="left"/>
      <w:pPr>
        <w:ind w:left="2160" w:hanging="360"/>
      </w:pPr>
      <w:rPr>
        <w:rFonts w:ascii="Wingdings" w:hAnsi="Wingdings" w:hint="default"/>
      </w:rPr>
    </w:lvl>
    <w:lvl w:ilvl="3" w:tplc="05E47FB6" w:tentative="1">
      <w:start w:val="1"/>
      <w:numFmt w:val="bullet"/>
      <w:lvlText w:val=""/>
      <w:lvlJc w:val="left"/>
      <w:pPr>
        <w:ind w:left="2880" w:hanging="360"/>
      </w:pPr>
      <w:rPr>
        <w:rFonts w:ascii="Symbol" w:hAnsi="Symbol" w:hint="default"/>
      </w:rPr>
    </w:lvl>
    <w:lvl w:ilvl="4" w:tplc="F04AFBEC" w:tentative="1">
      <w:start w:val="1"/>
      <w:numFmt w:val="bullet"/>
      <w:lvlText w:val="o"/>
      <w:lvlJc w:val="left"/>
      <w:pPr>
        <w:ind w:left="3600" w:hanging="360"/>
      </w:pPr>
      <w:rPr>
        <w:rFonts w:ascii="Courier New" w:hAnsi="Courier New" w:cs="Courier New" w:hint="default"/>
      </w:rPr>
    </w:lvl>
    <w:lvl w:ilvl="5" w:tplc="1E6A3E5E" w:tentative="1">
      <w:start w:val="1"/>
      <w:numFmt w:val="bullet"/>
      <w:lvlText w:val=""/>
      <w:lvlJc w:val="left"/>
      <w:pPr>
        <w:ind w:left="4320" w:hanging="360"/>
      </w:pPr>
      <w:rPr>
        <w:rFonts w:ascii="Wingdings" w:hAnsi="Wingdings" w:hint="default"/>
      </w:rPr>
    </w:lvl>
    <w:lvl w:ilvl="6" w:tplc="108649E6" w:tentative="1">
      <w:start w:val="1"/>
      <w:numFmt w:val="bullet"/>
      <w:lvlText w:val=""/>
      <w:lvlJc w:val="left"/>
      <w:pPr>
        <w:ind w:left="5040" w:hanging="360"/>
      </w:pPr>
      <w:rPr>
        <w:rFonts w:ascii="Symbol" w:hAnsi="Symbol" w:hint="default"/>
      </w:rPr>
    </w:lvl>
    <w:lvl w:ilvl="7" w:tplc="5A7CDC34" w:tentative="1">
      <w:start w:val="1"/>
      <w:numFmt w:val="bullet"/>
      <w:lvlText w:val="o"/>
      <w:lvlJc w:val="left"/>
      <w:pPr>
        <w:ind w:left="5760" w:hanging="360"/>
      </w:pPr>
      <w:rPr>
        <w:rFonts w:ascii="Courier New" w:hAnsi="Courier New" w:cs="Courier New" w:hint="default"/>
      </w:rPr>
    </w:lvl>
    <w:lvl w:ilvl="8" w:tplc="37D2CF52" w:tentative="1">
      <w:start w:val="1"/>
      <w:numFmt w:val="bullet"/>
      <w:lvlText w:val=""/>
      <w:lvlJc w:val="left"/>
      <w:pPr>
        <w:ind w:left="6480" w:hanging="360"/>
      </w:pPr>
      <w:rPr>
        <w:rFonts w:ascii="Wingdings" w:hAnsi="Wingdings" w:hint="default"/>
      </w:rPr>
    </w:lvl>
  </w:abstractNum>
  <w:abstractNum w:abstractNumId="138" w15:restartNumberingAfterBreak="0">
    <w:nsid w:val="5649782B"/>
    <w:multiLevelType w:val="hybridMultilevel"/>
    <w:tmpl w:val="3B245154"/>
    <w:lvl w:ilvl="0" w:tplc="FFD4F654">
      <w:start w:val="5"/>
      <w:numFmt w:val="decimal"/>
      <w:lvlText w:val="%1."/>
      <w:lvlJc w:val="left"/>
      <w:pPr>
        <w:ind w:left="930" w:hanging="570"/>
      </w:pPr>
      <w:rPr>
        <w:rFonts w:hint="default"/>
        <w:b w:val="0"/>
      </w:rPr>
    </w:lvl>
    <w:lvl w:ilvl="1" w:tplc="A4A4C976" w:tentative="1">
      <w:start w:val="1"/>
      <w:numFmt w:val="lowerLetter"/>
      <w:lvlText w:val="%2."/>
      <w:lvlJc w:val="left"/>
      <w:pPr>
        <w:ind w:left="1440" w:hanging="360"/>
      </w:pPr>
    </w:lvl>
    <w:lvl w:ilvl="2" w:tplc="3FB68D72" w:tentative="1">
      <w:start w:val="1"/>
      <w:numFmt w:val="lowerRoman"/>
      <w:lvlText w:val="%3."/>
      <w:lvlJc w:val="right"/>
      <w:pPr>
        <w:ind w:left="2160" w:hanging="180"/>
      </w:pPr>
    </w:lvl>
    <w:lvl w:ilvl="3" w:tplc="DCAEA1E0" w:tentative="1">
      <w:start w:val="1"/>
      <w:numFmt w:val="decimal"/>
      <w:lvlText w:val="%4."/>
      <w:lvlJc w:val="left"/>
      <w:pPr>
        <w:ind w:left="2880" w:hanging="360"/>
      </w:pPr>
    </w:lvl>
    <w:lvl w:ilvl="4" w:tplc="B2D4EDFA" w:tentative="1">
      <w:start w:val="1"/>
      <w:numFmt w:val="lowerLetter"/>
      <w:lvlText w:val="%5."/>
      <w:lvlJc w:val="left"/>
      <w:pPr>
        <w:ind w:left="3600" w:hanging="360"/>
      </w:pPr>
    </w:lvl>
    <w:lvl w:ilvl="5" w:tplc="15B4FB82" w:tentative="1">
      <w:start w:val="1"/>
      <w:numFmt w:val="lowerRoman"/>
      <w:lvlText w:val="%6."/>
      <w:lvlJc w:val="right"/>
      <w:pPr>
        <w:ind w:left="4320" w:hanging="180"/>
      </w:pPr>
    </w:lvl>
    <w:lvl w:ilvl="6" w:tplc="429E2FB4" w:tentative="1">
      <w:start w:val="1"/>
      <w:numFmt w:val="decimal"/>
      <w:lvlText w:val="%7."/>
      <w:lvlJc w:val="left"/>
      <w:pPr>
        <w:ind w:left="5040" w:hanging="360"/>
      </w:pPr>
    </w:lvl>
    <w:lvl w:ilvl="7" w:tplc="73C015DC" w:tentative="1">
      <w:start w:val="1"/>
      <w:numFmt w:val="lowerLetter"/>
      <w:lvlText w:val="%8."/>
      <w:lvlJc w:val="left"/>
      <w:pPr>
        <w:ind w:left="5760" w:hanging="360"/>
      </w:pPr>
    </w:lvl>
    <w:lvl w:ilvl="8" w:tplc="F314E40A" w:tentative="1">
      <w:start w:val="1"/>
      <w:numFmt w:val="lowerRoman"/>
      <w:lvlText w:val="%9."/>
      <w:lvlJc w:val="right"/>
      <w:pPr>
        <w:ind w:left="6480" w:hanging="180"/>
      </w:pPr>
    </w:lvl>
  </w:abstractNum>
  <w:abstractNum w:abstractNumId="139" w15:restartNumberingAfterBreak="0">
    <w:nsid w:val="56FB24C9"/>
    <w:multiLevelType w:val="hybridMultilevel"/>
    <w:tmpl w:val="0142BBD6"/>
    <w:lvl w:ilvl="0" w:tplc="F3523526">
      <w:start w:val="5"/>
      <w:numFmt w:val="decimal"/>
      <w:lvlText w:val="%1."/>
      <w:lvlJc w:val="left"/>
      <w:pPr>
        <w:ind w:left="720" w:hanging="360"/>
      </w:pPr>
      <w:rPr>
        <w:rFonts w:hint="default"/>
        <w:b w:val="0"/>
      </w:rPr>
    </w:lvl>
    <w:lvl w:ilvl="1" w:tplc="7E86779E" w:tentative="1">
      <w:start w:val="1"/>
      <w:numFmt w:val="lowerLetter"/>
      <w:lvlText w:val="%2."/>
      <w:lvlJc w:val="left"/>
      <w:pPr>
        <w:ind w:left="1440" w:hanging="360"/>
      </w:pPr>
    </w:lvl>
    <w:lvl w:ilvl="2" w:tplc="4DD2C5D8" w:tentative="1">
      <w:start w:val="1"/>
      <w:numFmt w:val="lowerRoman"/>
      <w:lvlText w:val="%3."/>
      <w:lvlJc w:val="right"/>
      <w:pPr>
        <w:ind w:left="2160" w:hanging="180"/>
      </w:pPr>
    </w:lvl>
    <w:lvl w:ilvl="3" w:tplc="64CA26A0" w:tentative="1">
      <w:start w:val="1"/>
      <w:numFmt w:val="decimal"/>
      <w:lvlText w:val="%4."/>
      <w:lvlJc w:val="left"/>
      <w:pPr>
        <w:ind w:left="2880" w:hanging="360"/>
      </w:pPr>
    </w:lvl>
    <w:lvl w:ilvl="4" w:tplc="432686AE" w:tentative="1">
      <w:start w:val="1"/>
      <w:numFmt w:val="lowerLetter"/>
      <w:lvlText w:val="%5."/>
      <w:lvlJc w:val="left"/>
      <w:pPr>
        <w:ind w:left="3600" w:hanging="360"/>
      </w:pPr>
    </w:lvl>
    <w:lvl w:ilvl="5" w:tplc="4560D150" w:tentative="1">
      <w:start w:val="1"/>
      <w:numFmt w:val="lowerRoman"/>
      <w:lvlText w:val="%6."/>
      <w:lvlJc w:val="right"/>
      <w:pPr>
        <w:ind w:left="4320" w:hanging="180"/>
      </w:pPr>
    </w:lvl>
    <w:lvl w:ilvl="6" w:tplc="733AD336" w:tentative="1">
      <w:start w:val="1"/>
      <w:numFmt w:val="decimal"/>
      <w:lvlText w:val="%7."/>
      <w:lvlJc w:val="left"/>
      <w:pPr>
        <w:ind w:left="5040" w:hanging="360"/>
      </w:pPr>
    </w:lvl>
    <w:lvl w:ilvl="7" w:tplc="546ABAA0" w:tentative="1">
      <w:start w:val="1"/>
      <w:numFmt w:val="lowerLetter"/>
      <w:lvlText w:val="%8."/>
      <w:lvlJc w:val="left"/>
      <w:pPr>
        <w:ind w:left="5760" w:hanging="360"/>
      </w:pPr>
    </w:lvl>
    <w:lvl w:ilvl="8" w:tplc="1FE4E5A8" w:tentative="1">
      <w:start w:val="1"/>
      <w:numFmt w:val="lowerRoman"/>
      <w:lvlText w:val="%9."/>
      <w:lvlJc w:val="right"/>
      <w:pPr>
        <w:ind w:left="6480" w:hanging="180"/>
      </w:pPr>
    </w:lvl>
  </w:abstractNum>
  <w:abstractNum w:abstractNumId="140" w15:restartNumberingAfterBreak="0">
    <w:nsid w:val="57DA1681"/>
    <w:multiLevelType w:val="hybridMultilevel"/>
    <w:tmpl w:val="EAD47E04"/>
    <w:lvl w:ilvl="0" w:tplc="F6DAAB34">
      <w:start w:val="2"/>
      <w:numFmt w:val="upperLetter"/>
      <w:lvlText w:val="%1."/>
      <w:lvlJc w:val="left"/>
      <w:pPr>
        <w:tabs>
          <w:tab w:val="num" w:pos="720"/>
        </w:tabs>
        <w:ind w:left="720" w:hanging="720"/>
      </w:pPr>
      <w:rPr>
        <w:rFonts w:cs="Times New Roman" w:hint="default"/>
      </w:rPr>
    </w:lvl>
    <w:lvl w:ilvl="1" w:tplc="9FB698C6" w:tentative="1">
      <w:start w:val="1"/>
      <w:numFmt w:val="lowerLetter"/>
      <w:lvlText w:val="%2."/>
      <w:lvlJc w:val="left"/>
      <w:pPr>
        <w:tabs>
          <w:tab w:val="num" w:pos="1440"/>
        </w:tabs>
        <w:ind w:left="1440" w:hanging="360"/>
      </w:pPr>
      <w:rPr>
        <w:rFonts w:cs="Times New Roman"/>
      </w:rPr>
    </w:lvl>
    <w:lvl w:ilvl="2" w:tplc="68CCFA32" w:tentative="1">
      <w:start w:val="1"/>
      <w:numFmt w:val="lowerRoman"/>
      <w:lvlText w:val="%3."/>
      <w:lvlJc w:val="right"/>
      <w:pPr>
        <w:tabs>
          <w:tab w:val="num" w:pos="2160"/>
        </w:tabs>
        <w:ind w:left="2160" w:hanging="180"/>
      </w:pPr>
      <w:rPr>
        <w:rFonts w:cs="Times New Roman"/>
      </w:rPr>
    </w:lvl>
    <w:lvl w:ilvl="3" w:tplc="F8DCBD80" w:tentative="1">
      <w:start w:val="1"/>
      <w:numFmt w:val="decimal"/>
      <w:lvlText w:val="%4."/>
      <w:lvlJc w:val="left"/>
      <w:pPr>
        <w:tabs>
          <w:tab w:val="num" w:pos="2880"/>
        </w:tabs>
        <w:ind w:left="2880" w:hanging="360"/>
      </w:pPr>
      <w:rPr>
        <w:rFonts w:cs="Times New Roman"/>
      </w:rPr>
    </w:lvl>
    <w:lvl w:ilvl="4" w:tplc="82AC9CDC" w:tentative="1">
      <w:start w:val="1"/>
      <w:numFmt w:val="lowerLetter"/>
      <w:lvlText w:val="%5."/>
      <w:lvlJc w:val="left"/>
      <w:pPr>
        <w:tabs>
          <w:tab w:val="num" w:pos="3600"/>
        </w:tabs>
        <w:ind w:left="3600" w:hanging="360"/>
      </w:pPr>
      <w:rPr>
        <w:rFonts w:cs="Times New Roman"/>
      </w:rPr>
    </w:lvl>
    <w:lvl w:ilvl="5" w:tplc="1546733C" w:tentative="1">
      <w:start w:val="1"/>
      <w:numFmt w:val="lowerRoman"/>
      <w:lvlText w:val="%6."/>
      <w:lvlJc w:val="right"/>
      <w:pPr>
        <w:tabs>
          <w:tab w:val="num" w:pos="4320"/>
        </w:tabs>
        <w:ind w:left="4320" w:hanging="180"/>
      </w:pPr>
      <w:rPr>
        <w:rFonts w:cs="Times New Roman"/>
      </w:rPr>
    </w:lvl>
    <w:lvl w:ilvl="6" w:tplc="58C4EA7A" w:tentative="1">
      <w:start w:val="1"/>
      <w:numFmt w:val="decimal"/>
      <w:lvlText w:val="%7."/>
      <w:lvlJc w:val="left"/>
      <w:pPr>
        <w:tabs>
          <w:tab w:val="num" w:pos="5040"/>
        </w:tabs>
        <w:ind w:left="5040" w:hanging="360"/>
      </w:pPr>
      <w:rPr>
        <w:rFonts w:cs="Times New Roman"/>
      </w:rPr>
    </w:lvl>
    <w:lvl w:ilvl="7" w:tplc="018C96A0" w:tentative="1">
      <w:start w:val="1"/>
      <w:numFmt w:val="lowerLetter"/>
      <w:lvlText w:val="%8."/>
      <w:lvlJc w:val="left"/>
      <w:pPr>
        <w:tabs>
          <w:tab w:val="num" w:pos="5760"/>
        </w:tabs>
        <w:ind w:left="5760" w:hanging="360"/>
      </w:pPr>
      <w:rPr>
        <w:rFonts w:cs="Times New Roman"/>
      </w:rPr>
    </w:lvl>
    <w:lvl w:ilvl="8" w:tplc="F49EDFC2" w:tentative="1">
      <w:start w:val="1"/>
      <w:numFmt w:val="lowerRoman"/>
      <w:lvlText w:val="%9."/>
      <w:lvlJc w:val="right"/>
      <w:pPr>
        <w:tabs>
          <w:tab w:val="num" w:pos="6480"/>
        </w:tabs>
        <w:ind w:left="6480" w:hanging="180"/>
      </w:pPr>
      <w:rPr>
        <w:rFonts w:cs="Times New Roman"/>
      </w:rPr>
    </w:lvl>
  </w:abstractNum>
  <w:abstractNum w:abstractNumId="141" w15:restartNumberingAfterBreak="0">
    <w:nsid w:val="581D20DC"/>
    <w:multiLevelType w:val="hybridMultilevel"/>
    <w:tmpl w:val="90907304"/>
    <w:lvl w:ilvl="0" w:tplc="F782003A">
      <w:start w:val="1"/>
      <w:numFmt w:val="bullet"/>
      <w:lvlText w:val=""/>
      <w:lvlJc w:val="left"/>
      <w:pPr>
        <w:ind w:left="720" w:hanging="360"/>
      </w:pPr>
      <w:rPr>
        <w:rFonts w:ascii="Symbol" w:hAnsi="Symbol" w:hint="default"/>
      </w:rPr>
    </w:lvl>
    <w:lvl w:ilvl="1" w:tplc="FADEB484" w:tentative="1">
      <w:start w:val="1"/>
      <w:numFmt w:val="bullet"/>
      <w:lvlText w:val="o"/>
      <w:lvlJc w:val="left"/>
      <w:pPr>
        <w:ind w:left="1440" w:hanging="360"/>
      </w:pPr>
      <w:rPr>
        <w:rFonts w:ascii="Courier New" w:hAnsi="Courier New" w:cs="Courier New" w:hint="default"/>
      </w:rPr>
    </w:lvl>
    <w:lvl w:ilvl="2" w:tplc="D88632BA" w:tentative="1">
      <w:start w:val="1"/>
      <w:numFmt w:val="bullet"/>
      <w:lvlText w:val=""/>
      <w:lvlJc w:val="left"/>
      <w:pPr>
        <w:ind w:left="2160" w:hanging="360"/>
      </w:pPr>
      <w:rPr>
        <w:rFonts w:ascii="Wingdings" w:hAnsi="Wingdings" w:hint="default"/>
      </w:rPr>
    </w:lvl>
    <w:lvl w:ilvl="3" w:tplc="5AA4CF9E" w:tentative="1">
      <w:start w:val="1"/>
      <w:numFmt w:val="bullet"/>
      <w:lvlText w:val=""/>
      <w:lvlJc w:val="left"/>
      <w:pPr>
        <w:ind w:left="2880" w:hanging="360"/>
      </w:pPr>
      <w:rPr>
        <w:rFonts w:ascii="Symbol" w:hAnsi="Symbol" w:hint="default"/>
      </w:rPr>
    </w:lvl>
    <w:lvl w:ilvl="4" w:tplc="90605492" w:tentative="1">
      <w:start w:val="1"/>
      <w:numFmt w:val="bullet"/>
      <w:lvlText w:val="o"/>
      <w:lvlJc w:val="left"/>
      <w:pPr>
        <w:ind w:left="3600" w:hanging="360"/>
      </w:pPr>
      <w:rPr>
        <w:rFonts w:ascii="Courier New" w:hAnsi="Courier New" w:cs="Courier New" w:hint="default"/>
      </w:rPr>
    </w:lvl>
    <w:lvl w:ilvl="5" w:tplc="BB0400C8" w:tentative="1">
      <w:start w:val="1"/>
      <w:numFmt w:val="bullet"/>
      <w:lvlText w:val=""/>
      <w:lvlJc w:val="left"/>
      <w:pPr>
        <w:ind w:left="4320" w:hanging="360"/>
      </w:pPr>
      <w:rPr>
        <w:rFonts w:ascii="Wingdings" w:hAnsi="Wingdings" w:hint="default"/>
      </w:rPr>
    </w:lvl>
    <w:lvl w:ilvl="6" w:tplc="59E28FF8" w:tentative="1">
      <w:start w:val="1"/>
      <w:numFmt w:val="bullet"/>
      <w:lvlText w:val=""/>
      <w:lvlJc w:val="left"/>
      <w:pPr>
        <w:ind w:left="5040" w:hanging="360"/>
      </w:pPr>
      <w:rPr>
        <w:rFonts w:ascii="Symbol" w:hAnsi="Symbol" w:hint="default"/>
      </w:rPr>
    </w:lvl>
    <w:lvl w:ilvl="7" w:tplc="C6009CBE" w:tentative="1">
      <w:start w:val="1"/>
      <w:numFmt w:val="bullet"/>
      <w:lvlText w:val="o"/>
      <w:lvlJc w:val="left"/>
      <w:pPr>
        <w:ind w:left="5760" w:hanging="360"/>
      </w:pPr>
      <w:rPr>
        <w:rFonts w:ascii="Courier New" w:hAnsi="Courier New" w:cs="Courier New" w:hint="default"/>
      </w:rPr>
    </w:lvl>
    <w:lvl w:ilvl="8" w:tplc="C65AEDF8" w:tentative="1">
      <w:start w:val="1"/>
      <w:numFmt w:val="bullet"/>
      <w:lvlText w:val=""/>
      <w:lvlJc w:val="left"/>
      <w:pPr>
        <w:ind w:left="6480" w:hanging="360"/>
      </w:pPr>
      <w:rPr>
        <w:rFonts w:ascii="Wingdings" w:hAnsi="Wingdings" w:hint="default"/>
      </w:rPr>
    </w:lvl>
  </w:abstractNum>
  <w:abstractNum w:abstractNumId="142" w15:restartNumberingAfterBreak="0">
    <w:nsid w:val="59862DAF"/>
    <w:multiLevelType w:val="hybridMultilevel"/>
    <w:tmpl w:val="78ACE2A4"/>
    <w:lvl w:ilvl="0" w:tplc="F5FEAB54">
      <w:start w:val="1"/>
      <w:numFmt w:val="bullet"/>
      <w:lvlText w:val=""/>
      <w:lvlJc w:val="left"/>
      <w:pPr>
        <w:tabs>
          <w:tab w:val="num" w:pos="567"/>
        </w:tabs>
        <w:ind w:left="567" w:hanging="567"/>
      </w:pPr>
      <w:rPr>
        <w:rFonts w:ascii="Symbol" w:hAnsi="Symbol" w:hint="default"/>
      </w:rPr>
    </w:lvl>
    <w:lvl w:ilvl="1" w:tplc="5C521780" w:tentative="1">
      <w:start w:val="1"/>
      <w:numFmt w:val="bullet"/>
      <w:lvlText w:val="o"/>
      <w:lvlJc w:val="left"/>
      <w:pPr>
        <w:tabs>
          <w:tab w:val="num" w:pos="1080"/>
        </w:tabs>
        <w:ind w:left="1080" w:hanging="360"/>
      </w:pPr>
      <w:rPr>
        <w:rFonts w:ascii="Courier New" w:hAnsi="Courier New" w:hint="default"/>
      </w:rPr>
    </w:lvl>
    <w:lvl w:ilvl="2" w:tplc="E014E22E" w:tentative="1">
      <w:start w:val="1"/>
      <w:numFmt w:val="bullet"/>
      <w:lvlText w:val=""/>
      <w:lvlJc w:val="left"/>
      <w:pPr>
        <w:tabs>
          <w:tab w:val="num" w:pos="1800"/>
        </w:tabs>
        <w:ind w:left="1800" w:hanging="360"/>
      </w:pPr>
      <w:rPr>
        <w:rFonts w:ascii="Wingdings" w:hAnsi="Wingdings" w:hint="default"/>
      </w:rPr>
    </w:lvl>
    <w:lvl w:ilvl="3" w:tplc="B51A3228" w:tentative="1">
      <w:start w:val="1"/>
      <w:numFmt w:val="bullet"/>
      <w:lvlText w:val=""/>
      <w:lvlJc w:val="left"/>
      <w:pPr>
        <w:tabs>
          <w:tab w:val="num" w:pos="2520"/>
        </w:tabs>
        <w:ind w:left="2520" w:hanging="360"/>
      </w:pPr>
      <w:rPr>
        <w:rFonts w:ascii="Symbol" w:hAnsi="Symbol" w:hint="default"/>
      </w:rPr>
    </w:lvl>
    <w:lvl w:ilvl="4" w:tplc="8E0E38C2" w:tentative="1">
      <w:start w:val="1"/>
      <w:numFmt w:val="bullet"/>
      <w:lvlText w:val="o"/>
      <w:lvlJc w:val="left"/>
      <w:pPr>
        <w:tabs>
          <w:tab w:val="num" w:pos="3240"/>
        </w:tabs>
        <w:ind w:left="3240" w:hanging="360"/>
      </w:pPr>
      <w:rPr>
        <w:rFonts w:ascii="Courier New" w:hAnsi="Courier New" w:hint="default"/>
      </w:rPr>
    </w:lvl>
    <w:lvl w:ilvl="5" w:tplc="CC045802" w:tentative="1">
      <w:start w:val="1"/>
      <w:numFmt w:val="bullet"/>
      <w:lvlText w:val=""/>
      <w:lvlJc w:val="left"/>
      <w:pPr>
        <w:tabs>
          <w:tab w:val="num" w:pos="3960"/>
        </w:tabs>
        <w:ind w:left="3960" w:hanging="360"/>
      </w:pPr>
      <w:rPr>
        <w:rFonts w:ascii="Wingdings" w:hAnsi="Wingdings" w:hint="default"/>
      </w:rPr>
    </w:lvl>
    <w:lvl w:ilvl="6" w:tplc="C8A02C4A" w:tentative="1">
      <w:start w:val="1"/>
      <w:numFmt w:val="bullet"/>
      <w:lvlText w:val=""/>
      <w:lvlJc w:val="left"/>
      <w:pPr>
        <w:tabs>
          <w:tab w:val="num" w:pos="4680"/>
        </w:tabs>
        <w:ind w:left="4680" w:hanging="360"/>
      </w:pPr>
      <w:rPr>
        <w:rFonts w:ascii="Symbol" w:hAnsi="Symbol" w:hint="default"/>
      </w:rPr>
    </w:lvl>
    <w:lvl w:ilvl="7" w:tplc="668EB120" w:tentative="1">
      <w:start w:val="1"/>
      <w:numFmt w:val="bullet"/>
      <w:lvlText w:val="o"/>
      <w:lvlJc w:val="left"/>
      <w:pPr>
        <w:tabs>
          <w:tab w:val="num" w:pos="5400"/>
        </w:tabs>
        <w:ind w:left="5400" w:hanging="360"/>
      </w:pPr>
      <w:rPr>
        <w:rFonts w:ascii="Courier New" w:hAnsi="Courier New" w:hint="default"/>
      </w:rPr>
    </w:lvl>
    <w:lvl w:ilvl="8" w:tplc="8884CD18" w:tentative="1">
      <w:start w:val="1"/>
      <w:numFmt w:val="bullet"/>
      <w:lvlText w:val=""/>
      <w:lvlJc w:val="left"/>
      <w:pPr>
        <w:tabs>
          <w:tab w:val="num" w:pos="6120"/>
        </w:tabs>
        <w:ind w:left="6120" w:hanging="360"/>
      </w:pPr>
      <w:rPr>
        <w:rFonts w:ascii="Wingdings" w:hAnsi="Wingdings" w:hint="default"/>
      </w:rPr>
    </w:lvl>
  </w:abstractNum>
  <w:abstractNum w:abstractNumId="143" w15:restartNumberingAfterBreak="0">
    <w:nsid w:val="5A6656A1"/>
    <w:multiLevelType w:val="hybridMultilevel"/>
    <w:tmpl w:val="653C3EA6"/>
    <w:lvl w:ilvl="0" w:tplc="6B028740">
      <w:start w:val="1"/>
      <w:numFmt w:val="decimal"/>
      <w:lvlText w:val="%1."/>
      <w:lvlJc w:val="left"/>
      <w:pPr>
        <w:ind w:left="720" w:hanging="360"/>
      </w:pPr>
      <w:rPr>
        <w:rFonts w:hint="default"/>
      </w:rPr>
    </w:lvl>
    <w:lvl w:ilvl="1" w:tplc="319CB730" w:tentative="1">
      <w:start w:val="1"/>
      <w:numFmt w:val="lowerLetter"/>
      <w:lvlText w:val="%2."/>
      <w:lvlJc w:val="left"/>
      <w:pPr>
        <w:ind w:left="1440" w:hanging="360"/>
      </w:pPr>
    </w:lvl>
    <w:lvl w:ilvl="2" w:tplc="24E49502" w:tentative="1">
      <w:start w:val="1"/>
      <w:numFmt w:val="lowerRoman"/>
      <w:lvlText w:val="%3."/>
      <w:lvlJc w:val="right"/>
      <w:pPr>
        <w:ind w:left="2160" w:hanging="180"/>
      </w:pPr>
    </w:lvl>
    <w:lvl w:ilvl="3" w:tplc="0E4E3856" w:tentative="1">
      <w:start w:val="1"/>
      <w:numFmt w:val="decimal"/>
      <w:lvlText w:val="%4."/>
      <w:lvlJc w:val="left"/>
      <w:pPr>
        <w:ind w:left="2880" w:hanging="360"/>
      </w:pPr>
    </w:lvl>
    <w:lvl w:ilvl="4" w:tplc="AEBAAD8C" w:tentative="1">
      <w:start w:val="1"/>
      <w:numFmt w:val="lowerLetter"/>
      <w:lvlText w:val="%5."/>
      <w:lvlJc w:val="left"/>
      <w:pPr>
        <w:ind w:left="3600" w:hanging="360"/>
      </w:pPr>
    </w:lvl>
    <w:lvl w:ilvl="5" w:tplc="617A24E4" w:tentative="1">
      <w:start w:val="1"/>
      <w:numFmt w:val="lowerRoman"/>
      <w:lvlText w:val="%6."/>
      <w:lvlJc w:val="right"/>
      <w:pPr>
        <w:ind w:left="4320" w:hanging="180"/>
      </w:pPr>
    </w:lvl>
    <w:lvl w:ilvl="6" w:tplc="89504262" w:tentative="1">
      <w:start w:val="1"/>
      <w:numFmt w:val="decimal"/>
      <w:lvlText w:val="%7."/>
      <w:lvlJc w:val="left"/>
      <w:pPr>
        <w:ind w:left="5040" w:hanging="360"/>
      </w:pPr>
    </w:lvl>
    <w:lvl w:ilvl="7" w:tplc="3B7C8DF8" w:tentative="1">
      <w:start w:val="1"/>
      <w:numFmt w:val="lowerLetter"/>
      <w:lvlText w:val="%8."/>
      <w:lvlJc w:val="left"/>
      <w:pPr>
        <w:ind w:left="5760" w:hanging="360"/>
      </w:pPr>
    </w:lvl>
    <w:lvl w:ilvl="8" w:tplc="DB1C5182" w:tentative="1">
      <w:start w:val="1"/>
      <w:numFmt w:val="lowerRoman"/>
      <w:lvlText w:val="%9."/>
      <w:lvlJc w:val="right"/>
      <w:pPr>
        <w:ind w:left="6480" w:hanging="180"/>
      </w:pPr>
    </w:lvl>
  </w:abstractNum>
  <w:abstractNum w:abstractNumId="144" w15:restartNumberingAfterBreak="0">
    <w:nsid w:val="5ADD06BC"/>
    <w:multiLevelType w:val="hybridMultilevel"/>
    <w:tmpl w:val="ACACB1A6"/>
    <w:lvl w:ilvl="0" w:tplc="E7C04408">
      <w:start w:val="1"/>
      <w:numFmt w:val="bullet"/>
      <w:lvlText w:val=""/>
      <w:lvlJc w:val="left"/>
      <w:pPr>
        <w:tabs>
          <w:tab w:val="num" w:pos="567"/>
        </w:tabs>
        <w:ind w:left="567" w:hanging="567"/>
      </w:pPr>
      <w:rPr>
        <w:rFonts w:ascii="Symbol" w:hAnsi="Symbol" w:hint="default"/>
      </w:rPr>
    </w:lvl>
    <w:lvl w:ilvl="1" w:tplc="513E39B8" w:tentative="1">
      <w:start w:val="1"/>
      <w:numFmt w:val="bullet"/>
      <w:lvlText w:val="o"/>
      <w:lvlJc w:val="left"/>
      <w:pPr>
        <w:tabs>
          <w:tab w:val="num" w:pos="1080"/>
        </w:tabs>
        <w:ind w:left="1080" w:hanging="360"/>
      </w:pPr>
      <w:rPr>
        <w:rFonts w:ascii="Courier New" w:hAnsi="Courier New" w:hint="default"/>
      </w:rPr>
    </w:lvl>
    <w:lvl w:ilvl="2" w:tplc="C2B41C50" w:tentative="1">
      <w:start w:val="1"/>
      <w:numFmt w:val="bullet"/>
      <w:lvlText w:val=""/>
      <w:lvlJc w:val="left"/>
      <w:pPr>
        <w:tabs>
          <w:tab w:val="num" w:pos="1800"/>
        </w:tabs>
        <w:ind w:left="1800" w:hanging="360"/>
      </w:pPr>
      <w:rPr>
        <w:rFonts w:ascii="Wingdings" w:hAnsi="Wingdings" w:hint="default"/>
      </w:rPr>
    </w:lvl>
    <w:lvl w:ilvl="3" w:tplc="75CEBE3C" w:tentative="1">
      <w:start w:val="1"/>
      <w:numFmt w:val="bullet"/>
      <w:lvlText w:val=""/>
      <w:lvlJc w:val="left"/>
      <w:pPr>
        <w:tabs>
          <w:tab w:val="num" w:pos="2520"/>
        </w:tabs>
        <w:ind w:left="2520" w:hanging="360"/>
      </w:pPr>
      <w:rPr>
        <w:rFonts w:ascii="Symbol" w:hAnsi="Symbol" w:hint="default"/>
      </w:rPr>
    </w:lvl>
    <w:lvl w:ilvl="4" w:tplc="9B78C298" w:tentative="1">
      <w:start w:val="1"/>
      <w:numFmt w:val="bullet"/>
      <w:lvlText w:val="o"/>
      <w:lvlJc w:val="left"/>
      <w:pPr>
        <w:tabs>
          <w:tab w:val="num" w:pos="3240"/>
        </w:tabs>
        <w:ind w:left="3240" w:hanging="360"/>
      </w:pPr>
      <w:rPr>
        <w:rFonts w:ascii="Courier New" w:hAnsi="Courier New" w:hint="default"/>
      </w:rPr>
    </w:lvl>
    <w:lvl w:ilvl="5" w:tplc="E4A064C4" w:tentative="1">
      <w:start w:val="1"/>
      <w:numFmt w:val="bullet"/>
      <w:lvlText w:val=""/>
      <w:lvlJc w:val="left"/>
      <w:pPr>
        <w:tabs>
          <w:tab w:val="num" w:pos="3960"/>
        </w:tabs>
        <w:ind w:left="3960" w:hanging="360"/>
      </w:pPr>
      <w:rPr>
        <w:rFonts w:ascii="Wingdings" w:hAnsi="Wingdings" w:hint="default"/>
      </w:rPr>
    </w:lvl>
    <w:lvl w:ilvl="6" w:tplc="3924689A" w:tentative="1">
      <w:start w:val="1"/>
      <w:numFmt w:val="bullet"/>
      <w:lvlText w:val=""/>
      <w:lvlJc w:val="left"/>
      <w:pPr>
        <w:tabs>
          <w:tab w:val="num" w:pos="4680"/>
        </w:tabs>
        <w:ind w:left="4680" w:hanging="360"/>
      </w:pPr>
      <w:rPr>
        <w:rFonts w:ascii="Symbol" w:hAnsi="Symbol" w:hint="default"/>
      </w:rPr>
    </w:lvl>
    <w:lvl w:ilvl="7" w:tplc="41667914" w:tentative="1">
      <w:start w:val="1"/>
      <w:numFmt w:val="bullet"/>
      <w:lvlText w:val="o"/>
      <w:lvlJc w:val="left"/>
      <w:pPr>
        <w:tabs>
          <w:tab w:val="num" w:pos="5400"/>
        </w:tabs>
        <w:ind w:left="5400" w:hanging="360"/>
      </w:pPr>
      <w:rPr>
        <w:rFonts w:ascii="Courier New" w:hAnsi="Courier New" w:hint="default"/>
      </w:rPr>
    </w:lvl>
    <w:lvl w:ilvl="8" w:tplc="51DE169E" w:tentative="1">
      <w:start w:val="1"/>
      <w:numFmt w:val="bullet"/>
      <w:lvlText w:val=""/>
      <w:lvlJc w:val="left"/>
      <w:pPr>
        <w:tabs>
          <w:tab w:val="num" w:pos="6120"/>
        </w:tabs>
        <w:ind w:left="6120" w:hanging="360"/>
      </w:pPr>
      <w:rPr>
        <w:rFonts w:ascii="Wingdings" w:hAnsi="Wingdings" w:hint="default"/>
      </w:rPr>
    </w:lvl>
  </w:abstractNum>
  <w:abstractNum w:abstractNumId="145" w15:restartNumberingAfterBreak="0">
    <w:nsid w:val="5B017C6D"/>
    <w:multiLevelType w:val="hybridMultilevel"/>
    <w:tmpl w:val="C56676D2"/>
    <w:lvl w:ilvl="0" w:tplc="5F9EB2B6">
      <w:start w:val="14"/>
      <w:numFmt w:val="decimal"/>
      <w:lvlText w:val="%1."/>
      <w:lvlJc w:val="left"/>
      <w:pPr>
        <w:ind w:left="930" w:hanging="570"/>
      </w:pPr>
      <w:rPr>
        <w:rFonts w:hint="default"/>
        <w:b w:val="0"/>
      </w:rPr>
    </w:lvl>
    <w:lvl w:ilvl="1" w:tplc="6302C94E" w:tentative="1">
      <w:start w:val="1"/>
      <w:numFmt w:val="lowerLetter"/>
      <w:lvlText w:val="%2."/>
      <w:lvlJc w:val="left"/>
      <w:pPr>
        <w:ind w:left="1440" w:hanging="360"/>
      </w:pPr>
    </w:lvl>
    <w:lvl w:ilvl="2" w:tplc="2D10051E" w:tentative="1">
      <w:start w:val="1"/>
      <w:numFmt w:val="lowerRoman"/>
      <w:lvlText w:val="%3."/>
      <w:lvlJc w:val="right"/>
      <w:pPr>
        <w:ind w:left="2160" w:hanging="180"/>
      </w:pPr>
    </w:lvl>
    <w:lvl w:ilvl="3" w:tplc="B6EABF1A" w:tentative="1">
      <w:start w:val="1"/>
      <w:numFmt w:val="decimal"/>
      <w:lvlText w:val="%4."/>
      <w:lvlJc w:val="left"/>
      <w:pPr>
        <w:ind w:left="2880" w:hanging="360"/>
      </w:pPr>
    </w:lvl>
    <w:lvl w:ilvl="4" w:tplc="FBB85984" w:tentative="1">
      <w:start w:val="1"/>
      <w:numFmt w:val="lowerLetter"/>
      <w:lvlText w:val="%5."/>
      <w:lvlJc w:val="left"/>
      <w:pPr>
        <w:ind w:left="3600" w:hanging="360"/>
      </w:pPr>
    </w:lvl>
    <w:lvl w:ilvl="5" w:tplc="716E09CE" w:tentative="1">
      <w:start w:val="1"/>
      <w:numFmt w:val="lowerRoman"/>
      <w:lvlText w:val="%6."/>
      <w:lvlJc w:val="right"/>
      <w:pPr>
        <w:ind w:left="4320" w:hanging="180"/>
      </w:pPr>
    </w:lvl>
    <w:lvl w:ilvl="6" w:tplc="945E4FA2" w:tentative="1">
      <w:start w:val="1"/>
      <w:numFmt w:val="decimal"/>
      <w:lvlText w:val="%7."/>
      <w:lvlJc w:val="left"/>
      <w:pPr>
        <w:ind w:left="5040" w:hanging="360"/>
      </w:pPr>
    </w:lvl>
    <w:lvl w:ilvl="7" w:tplc="670833CE" w:tentative="1">
      <w:start w:val="1"/>
      <w:numFmt w:val="lowerLetter"/>
      <w:lvlText w:val="%8."/>
      <w:lvlJc w:val="left"/>
      <w:pPr>
        <w:ind w:left="5760" w:hanging="360"/>
      </w:pPr>
    </w:lvl>
    <w:lvl w:ilvl="8" w:tplc="F74A56DE" w:tentative="1">
      <w:start w:val="1"/>
      <w:numFmt w:val="lowerRoman"/>
      <w:lvlText w:val="%9."/>
      <w:lvlJc w:val="right"/>
      <w:pPr>
        <w:ind w:left="6480" w:hanging="180"/>
      </w:pPr>
    </w:lvl>
  </w:abstractNum>
  <w:abstractNum w:abstractNumId="146" w15:restartNumberingAfterBreak="0">
    <w:nsid w:val="5C003D56"/>
    <w:multiLevelType w:val="hybridMultilevel"/>
    <w:tmpl w:val="7DDCD93A"/>
    <w:lvl w:ilvl="0" w:tplc="7256B7FA">
      <w:start w:val="5"/>
      <w:numFmt w:val="decimal"/>
      <w:lvlText w:val="%1."/>
      <w:lvlJc w:val="left"/>
      <w:pPr>
        <w:ind w:left="720" w:hanging="360"/>
      </w:pPr>
      <w:rPr>
        <w:rFonts w:hint="default"/>
      </w:rPr>
    </w:lvl>
    <w:lvl w:ilvl="1" w:tplc="AAC6F1CC" w:tentative="1">
      <w:start w:val="1"/>
      <w:numFmt w:val="lowerLetter"/>
      <w:lvlText w:val="%2."/>
      <w:lvlJc w:val="left"/>
      <w:pPr>
        <w:ind w:left="1440" w:hanging="360"/>
      </w:pPr>
    </w:lvl>
    <w:lvl w:ilvl="2" w:tplc="D528F988" w:tentative="1">
      <w:start w:val="1"/>
      <w:numFmt w:val="lowerRoman"/>
      <w:lvlText w:val="%3."/>
      <w:lvlJc w:val="right"/>
      <w:pPr>
        <w:ind w:left="2160" w:hanging="180"/>
      </w:pPr>
    </w:lvl>
    <w:lvl w:ilvl="3" w:tplc="5880778C" w:tentative="1">
      <w:start w:val="1"/>
      <w:numFmt w:val="decimal"/>
      <w:lvlText w:val="%4."/>
      <w:lvlJc w:val="left"/>
      <w:pPr>
        <w:ind w:left="2880" w:hanging="360"/>
      </w:pPr>
    </w:lvl>
    <w:lvl w:ilvl="4" w:tplc="9BEC3562" w:tentative="1">
      <w:start w:val="1"/>
      <w:numFmt w:val="lowerLetter"/>
      <w:lvlText w:val="%5."/>
      <w:lvlJc w:val="left"/>
      <w:pPr>
        <w:ind w:left="3600" w:hanging="360"/>
      </w:pPr>
    </w:lvl>
    <w:lvl w:ilvl="5" w:tplc="73145E6C" w:tentative="1">
      <w:start w:val="1"/>
      <w:numFmt w:val="lowerRoman"/>
      <w:lvlText w:val="%6."/>
      <w:lvlJc w:val="right"/>
      <w:pPr>
        <w:ind w:left="4320" w:hanging="180"/>
      </w:pPr>
    </w:lvl>
    <w:lvl w:ilvl="6" w:tplc="D45A03C0" w:tentative="1">
      <w:start w:val="1"/>
      <w:numFmt w:val="decimal"/>
      <w:lvlText w:val="%7."/>
      <w:lvlJc w:val="left"/>
      <w:pPr>
        <w:ind w:left="5040" w:hanging="360"/>
      </w:pPr>
    </w:lvl>
    <w:lvl w:ilvl="7" w:tplc="2E0CEDF0" w:tentative="1">
      <w:start w:val="1"/>
      <w:numFmt w:val="lowerLetter"/>
      <w:lvlText w:val="%8."/>
      <w:lvlJc w:val="left"/>
      <w:pPr>
        <w:ind w:left="5760" w:hanging="360"/>
      </w:pPr>
    </w:lvl>
    <w:lvl w:ilvl="8" w:tplc="C0A870C4" w:tentative="1">
      <w:start w:val="1"/>
      <w:numFmt w:val="lowerRoman"/>
      <w:lvlText w:val="%9."/>
      <w:lvlJc w:val="right"/>
      <w:pPr>
        <w:ind w:left="6480" w:hanging="180"/>
      </w:pPr>
    </w:lvl>
  </w:abstractNum>
  <w:abstractNum w:abstractNumId="147" w15:restartNumberingAfterBreak="0">
    <w:nsid w:val="5CAC7EE9"/>
    <w:multiLevelType w:val="multilevel"/>
    <w:tmpl w:val="944EDF94"/>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8" w15:restartNumberingAfterBreak="0">
    <w:nsid w:val="5D3167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5D4E3933"/>
    <w:multiLevelType w:val="multilevel"/>
    <w:tmpl w:val="55367D84"/>
    <w:lvl w:ilvl="0">
      <w:start w:val="1"/>
      <w:numFmt w:val="decimal"/>
      <w:lvlText w:val=""/>
      <w:lvlJc w:val="left"/>
      <w:pPr>
        <w:ind w:left="0" w:hanging="360"/>
      </w:pPr>
    </w:lvl>
    <w:lvl w:ilvl="1">
      <w:start w:val="1"/>
      <w:numFmt w:val="decimal"/>
      <w:lvlText w:val=""/>
      <w:lvlJc w:val="left"/>
      <w:pPr>
        <w:ind w:left="0" w:hanging="360"/>
      </w:pPr>
    </w:lvl>
    <w:lvl w:ilvl="2">
      <w:start w:val="1"/>
      <w:numFmt w:val="decimal"/>
      <w:lvlText w:val=""/>
      <w:lvlJc w:val="left"/>
      <w:pPr>
        <w:ind w:left="0" w:hanging="360"/>
      </w:pPr>
    </w:lvl>
    <w:lvl w:ilvl="3">
      <w:start w:val="1"/>
      <w:numFmt w:val="decimal"/>
      <w:lvlText w:val=""/>
      <w:lvlJc w:val="left"/>
      <w:pPr>
        <w:ind w:left="0" w:hanging="360"/>
      </w:pPr>
    </w:lvl>
    <w:lvl w:ilvl="4">
      <w:start w:val="1"/>
      <w:numFmt w:val="decimal"/>
      <w:lvlText w:val=""/>
      <w:lvlJc w:val="left"/>
      <w:pPr>
        <w:ind w:left="0" w:hanging="360"/>
      </w:pPr>
    </w:lvl>
    <w:lvl w:ilvl="5">
      <w:start w:val="1"/>
      <w:numFmt w:val="decimal"/>
      <w:lvlText w:val=""/>
      <w:lvlJc w:val="left"/>
      <w:pPr>
        <w:ind w:left="0" w:hanging="360"/>
      </w:pPr>
    </w:lvl>
    <w:lvl w:ilvl="6">
      <w:start w:val="1"/>
      <w:numFmt w:val="decimal"/>
      <w:lvlText w:val=""/>
      <w:lvlJc w:val="left"/>
      <w:pPr>
        <w:ind w:left="0" w:hanging="360"/>
      </w:pPr>
    </w:lvl>
    <w:lvl w:ilvl="7">
      <w:start w:val="1"/>
      <w:numFmt w:val="decimal"/>
      <w:lvlText w:val=""/>
      <w:lvlJc w:val="left"/>
      <w:pPr>
        <w:ind w:left="0" w:hanging="360"/>
      </w:pPr>
    </w:lvl>
    <w:lvl w:ilvl="8">
      <w:start w:val="1"/>
      <w:numFmt w:val="decimal"/>
      <w:lvlText w:val=""/>
      <w:lvlJc w:val="left"/>
      <w:pPr>
        <w:ind w:left="0" w:hanging="360"/>
      </w:pPr>
    </w:lvl>
  </w:abstractNum>
  <w:abstractNum w:abstractNumId="150" w15:restartNumberingAfterBreak="0">
    <w:nsid w:val="5DCA459C"/>
    <w:multiLevelType w:val="hybridMultilevel"/>
    <w:tmpl w:val="4EFC8D58"/>
    <w:lvl w:ilvl="0" w:tplc="5356955A">
      <w:start w:val="1"/>
      <w:numFmt w:val="bullet"/>
      <w:lvlText w:val=""/>
      <w:lvlJc w:val="left"/>
      <w:pPr>
        <w:tabs>
          <w:tab w:val="num" w:pos="567"/>
        </w:tabs>
        <w:ind w:left="567" w:hanging="567"/>
      </w:pPr>
      <w:rPr>
        <w:rFonts w:ascii="Symbol" w:hAnsi="Symbol" w:hint="default"/>
      </w:rPr>
    </w:lvl>
    <w:lvl w:ilvl="1" w:tplc="0C2A19F2">
      <w:start w:val="1"/>
      <w:numFmt w:val="bullet"/>
      <w:lvlText w:val=""/>
      <w:lvlJc w:val="left"/>
      <w:pPr>
        <w:tabs>
          <w:tab w:val="num" w:pos="1647"/>
        </w:tabs>
        <w:ind w:left="1647" w:hanging="567"/>
      </w:pPr>
      <w:rPr>
        <w:rFonts w:ascii="Symbol" w:hAnsi="Symbol" w:hint="default"/>
      </w:rPr>
    </w:lvl>
    <w:lvl w:ilvl="2" w:tplc="CDD26914" w:tentative="1">
      <w:start w:val="1"/>
      <w:numFmt w:val="bullet"/>
      <w:lvlText w:val=""/>
      <w:lvlJc w:val="left"/>
      <w:pPr>
        <w:tabs>
          <w:tab w:val="num" w:pos="2160"/>
        </w:tabs>
        <w:ind w:left="2160" w:hanging="360"/>
      </w:pPr>
      <w:rPr>
        <w:rFonts w:ascii="Wingdings" w:hAnsi="Wingdings" w:hint="default"/>
      </w:rPr>
    </w:lvl>
    <w:lvl w:ilvl="3" w:tplc="B9044314" w:tentative="1">
      <w:start w:val="1"/>
      <w:numFmt w:val="bullet"/>
      <w:lvlText w:val=""/>
      <w:lvlJc w:val="left"/>
      <w:pPr>
        <w:tabs>
          <w:tab w:val="num" w:pos="2880"/>
        </w:tabs>
        <w:ind w:left="2880" w:hanging="360"/>
      </w:pPr>
      <w:rPr>
        <w:rFonts w:ascii="Symbol" w:hAnsi="Symbol" w:hint="default"/>
      </w:rPr>
    </w:lvl>
    <w:lvl w:ilvl="4" w:tplc="D1426108" w:tentative="1">
      <w:start w:val="1"/>
      <w:numFmt w:val="bullet"/>
      <w:lvlText w:val="o"/>
      <w:lvlJc w:val="left"/>
      <w:pPr>
        <w:tabs>
          <w:tab w:val="num" w:pos="3600"/>
        </w:tabs>
        <w:ind w:left="3600" w:hanging="360"/>
      </w:pPr>
      <w:rPr>
        <w:rFonts w:ascii="Courier New" w:hAnsi="Courier New" w:hint="default"/>
      </w:rPr>
    </w:lvl>
    <w:lvl w:ilvl="5" w:tplc="D6EA70B4" w:tentative="1">
      <w:start w:val="1"/>
      <w:numFmt w:val="bullet"/>
      <w:lvlText w:val=""/>
      <w:lvlJc w:val="left"/>
      <w:pPr>
        <w:tabs>
          <w:tab w:val="num" w:pos="4320"/>
        </w:tabs>
        <w:ind w:left="4320" w:hanging="360"/>
      </w:pPr>
      <w:rPr>
        <w:rFonts w:ascii="Wingdings" w:hAnsi="Wingdings" w:hint="default"/>
      </w:rPr>
    </w:lvl>
    <w:lvl w:ilvl="6" w:tplc="32DCAAE4" w:tentative="1">
      <w:start w:val="1"/>
      <w:numFmt w:val="bullet"/>
      <w:lvlText w:val=""/>
      <w:lvlJc w:val="left"/>
      <w:pPr>
        <w:tabs>
          <w:tab w:val="num" w:pos="5040"/>
        </w:tabs>
        <w:ind w:left="5040" w:hanging="360"/>
      </w:pPr>
      <w:rPr>
        <w:rFonts w:ascii="Symbol" w:hAnsi="Symbol" w:hint="default"/>
      </w:rPr>
    </w:lvl>
    <w:lvl w:ilvl="7" w:tplc="682CF9A4" w:tentative="1">
      <w:start w:val="1"/>
      <w:numFmt w:val="bullet"/>
      <w:lvlText w:val="o"/>
      <w:lvlJc w:val="left"/>
      <w:pPr>
        <w:tabs>
          <w:tab w:val="num" w:pos="5760"/>
        </w:tabs>
        <w:ind w:left="5760" w:hanging="360"/>
      </w:pPr>
      <w:rPr>
        <w:rFonts w:ascii="Courier New" w:hAnsi="Courier New" w:hint="default"/>
      </w:rPr>
    </w:lvl>
    <w:lvl w:ilvl="8" w:tplc="CEA66A48"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5E5C2880"/>
    <w:multiLevelType w:val="hybridMultilevel"/>
    <w:tmpl w:val="DD2EAEF0"/>
    <w:lvl w:ilvl="0" w:tplc="694037D0">
      <w:start w:val="14"/>
      <w:numFmt w:val="decimal"/>
      <w:lvlText w:val="%1."/>
      <w:lvlJc w:val="left"/>
      <w:pPr>
        <w:ind w:left="720" w:hanging="360"/>
      </w:pPr>
      <w:rPr>
        <w:rFonts w:hint="default"/>
        <w:b w:val="0"/>
      </w:rPr>
    </w:lvl>
    <w:lvl w:ilvl="1" w:tplc="A1663518" w:tentative="1">
      <w:start w:val="1"/>
      <w:numFmt w:val="lowerLetter"/>
      <w:lvlText w:val="%2."/>
      <w:lvlJc w:val="left"/>
      <w:pPr>
        <w:ind w:left="1440" w:hanging="360"/>
      </w:pPr>
    </w:lvl>
    <w:lvl w:ilvl="2" w:tplc="680E5668" w:tentative="1">
      <w:start w:val="1"/>
      <w:numFmt w:val="lowerRoman"/>
      <w:lvlText w:val="%3."/>
      <w:lvlJc w:val="right"/>
      <w:pPr>
        <w:ind w:left="2160" w:hanging="180"/>
      </w:pPr>
    </w:lvl>
    <w:lvl w:ilvl="3" w:tplc="3DA2DB3C" w:tentative="1">
      <w:start w:val="1"/>
      <w:numFmt w:val="decimal"/>
      <w:lvlText w:val="%4."/>
      <w:lvlJc w:val="left"/>
      <w:pPr>
        <w:ind w:left="2880" w:hanging="360"/>
      </w:pPr>
    </w:lvl>
    <w:lvl w:ilvl="4" w:tplc="132A7D02" w:tentative="1">
      <w:start w:val="1"/>
      <w:numFmt w:val="lowerLetter"/>
      <w:lvlText w:val="%5."/>
      <w:lvlJc w:val="left"/>
      <w:pPr>
        <w:ind w:left="3600" w:hanging="360"/>
      </w:pPr>
    </w:lvl>
    <w:lvl w:ilvl="5" w:tplc="1D80FC28" w:tentative="1">
      <w:start w:val="1"/>
      <w:numFmt w:val="lowerRoman"/>
      <w:lvlText w:val="%6."/>
      <w:lvlJc w:val="right"/>
      <w:pPr>
        <w:ind w:left="4320" w:hanging="180"/>
      </w:pPr>
    </w:lvl>
    <w:lvl w:ilvl="6" w:tplc="362CA0FA" w:tentative="1">
      <w:start w:val="1"/>
      <w:numFmt w:val="decimal"/>
      <w:lvlText w:val="%7."/>
      <w:lvlJc w:val="left"/>
      <w:pPr>
        <w:ind w:left="5040" w:hanging="360"/>
      </w:pPr>
    </w:lvl>
    <w:lvl w:ilvl="7" w:tplc="02828B7A" w:tentative="1">
      <w:start w:val="1"/>
      <w:numFmt w:val="lowerLetter"/>
      <w:lvlText w:val="%8."/>
      <w:lvlJc w:val="left"/>
      <w:pPr>
        <w:ind w:left="5760" w:hanging="360"/>
      </w:pPr>
    </w:lvl>
    <w:lvl w:ilvl="8" w:tplc="4372BAD2" w:tentative="1">
      <w:start w:val="1"/>
      <w:numFmt w:val="lowerRoman"/>
      <w:lvlText w:val="%9."/>
      <w:lvlJc w:val="right"/>
      <w:pPr>
        <w:ind w:left="6480" w:hanging="180"/>
      </w:pPr>
    </w:lvl>
  </w:abstractNum>
  <w:abstractNum w:abstractNumId="152" w15:restartNumberingAfterBreak="0">
    <w:nsid w:val="5F760CBE"/>
    <w:multiLevelType w:val="multilevel"/>
    <w:tmpl w:val="00000001"/>
    <w:lvl w:ilvl="0">
      <w:numFmt w:val="bullet"/>
      <w:lvlText w:val="-"/>
      <w:lvlJc w:val="left"/>
      <w:pPr>
        <w:tabs>
          <w:tab w:val="num" w:pos="360"/>
        </w:tabs>
        <w:ind w:left="284" w:hanging="284"/>
      </w:pPr>
      <w:rPr>
        <w:rFonts w:ascii="Thorndale" w:eastAsia="Times New Roman" w:hAnsi="Thorndale" w:hint="default"/>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decimal"/>
      <w:suff w:val="nothing"/>
      <w:lvlText w:val="%9."/>
      <w:lvlJc w:val="left"/>
      <w:rPr>
        <w:rFonts w:cs="Times New Roman"/>
      </w:rPr>
    </w:lvl>
  </w:abstractNum>
  <w:abstractNum w:abstractNumId="153" w15:restartNumberingAfterBreak="0">
    <w:nsid w:val="5F8E0D14"/>
    <w:multiLevelType w:val="hybridMultilevel"/>
    <w:tmpl w:val="64AEC576"/>
    <w:lvl w:ilvl="0" w:tplc="5874C128">
      <w:start w:val="1"/>
      <w:numFmt w:val="decimal"/>
      <w:lvlText w:val="%1."/>
      <w:lvlJc w:val="left"/>
      <w:pPr>
        <w:ind w:left="1080" w:hanging="360"/>
      </w:pPr>
      <w:rPr>
        <w:rFonts w:hint="default"/>
      </w:rPr>
    </w:lvl>
    <w:lvl w:ilvl="1" w:tplc="CEFAD644" w:tentative="1">
      <w:start w:val="1"/>
      <w:numFmt w:val="lowerLetter"/>
      <w:lvlText w:val="%2."/>
      <w:lvlJc w:val="left"/>
      <w:pPr>
        <w:ind w:left="1800" w:hanging="360"/>
      </w:pPr>
    </w:lvl>
    <w:lvl w:ilvl="2" w:tplc="843EC502" w:tentative="1">
      <w:start w:val="1"/>
      <w:numFmt w:val="lowerRoman"/>
      <w:lvlText w:val="%3."/>
      <w:lvlJc w:val="right"/>
      <w:pPr>
        <w:ind w:left="2520" w:hanging="180"/>
      </w:pPr>
    </w:lvl>
    <w:lvl w:ilvl="3" w:tplc="6DB06E5E" w:tentative="1">
      <w:start w:val="1"/>
      <w:numFmt w:val="decimal"/>
      <w:lvlText w:val="%4."/>
      <w:lvlJc w:val="left"/>
      <w:pPr>
        <w:ind w:left="3240" w:hanging="360"/>
      </w:pPr>
    </w:lvl>
    <w:lvl w:ilvl="4" w:tplc="AECE97DC" w:tentative="1">
      <w:start w:val="1"/>
      <w:numFmt w:val="lowerLetter"/>
      <w:lvlText w:val="%5."/>
      <w:lvlJc w:val="left"/>
      <w:pPr>
        <w:ind w:left="3960" w:hanging="360"/>
      </w:pPr>
    </w:lvl>
    <w:lvl w:ilvl="5" w:tplc="801E977C" w:tentative="1">
      <w:start w:val="1"/>
      <w:numFmt w:val="lowerRoman"/>
      <w:lvlText w:val="%6."/>
      <w:lvlJc w:val="right"/>
      <w:pPr>
        <w:ind w:left="4680" w:hanging="180"/>
      </w:pPr>
    </w:lvl>
    <w:lvl w:ilvl="6" w:tplc="155E10D8" w:tentative="1">
      <w:start w:val="1"/>
      <w:numFmt w:val="decimal"/>
      <w:lvlText w:val="%7."/>
      <w:lvlJc w:val="left"/>
      <w:pPr>
        <w:ind w:left="5400" w:hanging="360"/>
      </w:pPr>
    </w:lvl>
    <w:lvl w:ilvl="7" w:tplc="849E37F2" w:tentative="1">
      <w:start w:val="1"/>
      <w:numFmt w:val="lowerLetter"/>
      <w:lvlText w:val="%8."/>
      <w:lvlJc w:val="left"/>
      <w:pPr>
        <w:ind w:left="6120" w:hanging="360"/>
      </w:pPr>
    </w:lvl>
    <w:lvl w:ilvl="8" w:tplc="C472D8CA" w:tentative="1">
      <w:start w:val="1"/>
      <w:numFmt w:val="lowerRoman"/>
      <w:lvlText w:val="%9."/>
      <w:lvlJc w:val="right"/>
      <w:pPr>
        <w:ind w:left="6840" w:hanging="180"/>
      </w:pPr>
    </w:lvl>
  </w:abstractNum>
  <w:abstractNum w:abstractNumId="154" w15:restartNumberingAfterBreak="0">
    <w:nsid w:val="5FC00105"/>
    <w:multiLevelType w:val="multilevel"/>
    <w:tmpl w:val="A2A8B1EA"/>
    <w:lvl w:ilvl="0">
      <w:start w:val="6"/>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5" w15:restartNumberingAfterBreak="0">
    <w:nsid w:val="606C4CFE"/>
    <w:multiLevelType w:val="hybridMultilevel"/>
    <w:tmpl w:val="9CA0272E"/>
    <w:lvl w:ilvl="0" w:tplc="F9DC186E">
      <w:start w:val="5"/>
      <w:numFmt w:val="decimal"/>
      <w:lvlText w:val="%1."/>
      <w:lvlJc w:val="left"/>
      <w:pPr>
        <w:ind w:left="720" w:hanging="360"/>
      </w:pPr>
      <w:rPr>
        <w:rFonts w:hint="default"/>
        <w:b w:val="0"/>
      </w:rPr>
    </w:lvl>
    <w:lvl w:ilvl="1" w:tplc="837EEAF8" w:tentative="1">
      <w:start w:val="1"/>
      <w:numFmt w:val="lowerLetter"/>
      <w:lvlText w:val="%2."/>
      <w:lvlJc w:val="left"/>
      <w:pPr>
        <w:ind w:left="1440" w:hanging="360"/>
      </w:pPr>
    </w:lvl>
    <w:lvl w:ilvl="2" w:tplc="E07A54A4" w:tentative="1">
      <w:start w:val="1"/>
      <w:numFmt w:val="lowerRoman"/>
      <w:lvlText w:val="%3."/>
      <w:lvlJc w:val="right"/>
      <w:pPr>
        <w:ind w:left="2160" w:hanging="180"/>
      </w:pPr>
    </w:lvl>
    <w:lvl w:ilvl="3" w:tplc="AAEA7C88" w:tentative="1">
      <w:start w:val="1"/>
      <w:numFmt w:val="decimal"/>
      <w:lvlText w:val="%4."/>
      <w:lvlJc w:val="left"/>
      <w:pPr>
        <w:ind w:left="2880" w:hanging="360"/>
      </w:pPr>
    </w:lvl>
    <w:lvl w:ilvl="4" w:tplc="028044AA" w:tentative="1">
      <w:start w:val="1"/>
      <w:numFmt w:val="lowerLetter"/>
      <w:lvlText w:val="%5."/>
      <w:lvlJc w:val="left"/>
      <w:pPr>
        <w:ind w:left="3600" w:hanging="360"/>
      </w:pPr>
    </w:lvl>
    <w:lvl w:ilvl="5" w:tplc="80FA55DC" w:tentative="1">
      <w:start w:val="1"/>
      <w:numFmt w:val="lowerRoman"/>
      <w:lvlText w:val="%6."/>
      <w:lvlJc w:val="right"/>
      <w:pPr>
        <w:ind w:left="4320" w:hanging="180"/>
      </w:pPr>
    </w:lvl>
    <w:lvl w:ilvl="6" w:tplc="44E6A49C" w:tentative="1">
      <w:start w:val="1"/>
      <w:numFmt w:val="decimal"/>
      <w:lvlText w:val="%7."/>
      <w:lvlJc w:val="left"/>
      <w:pPr>
        <w:ind w:left="5040" w:hanging="360"/>
      </w:pPr>
    </w:lvl>
    <w:lvl w:ilvl="7" w:tplc="65B08128" w:tentative="1">
      <w:start w:val="1"/>
      <w:numFmt w:val="lowerLetter"/>
      <w:lvlText w:val="%8."/>
      <w:lvlJc w:val="left"/>
      <w:pPr>
        <w:ind w:left="5760" w:hanging="360"/>
      </w:pPr>
    </w:lvl>
    <w:lvl w:ilvl="8" w:tplc="80D8826A" w:tentative="1">
      <w:start w:val="1"/>
      <w:numFmt w:val="lowerRoman"/>
      <w:lvlText w:val="%9."/>
      <w:lvlJc w:val="right"/>
      <w:pPr>
        <w:ind w:left="6480" w:hanging="180"/>
      </w:pPr>
    </w:lvl>
  </w:abstractNum>
  <w:abstractNum w:abstractNumId="156" w15:restartNumberingAfterBreak="0">
    <w:nsid w:val="60A90965"/>
    <w:multiLevelType w:val="hybridMultilevel"/>
    <w:tmpl w:val="7E724204"/>
    <w:lvl w:ilvl="0" w:tplc="F5B4A4E4">
      <w:start w:val="1"/>
      <w:numFmt w:val="bullet"/>
      <w:lvlText w:val=""/>
      <w:lvlJc w:val="left"/>
      <w:pPr>
        <w:ind w:left="720" w:hanging="360"/>
      </w:pPr>
      <w:rPr>
        <w:rFonts w:ascii="Symbol" w:hAnsi="Symbol" w:hint="default"/>
      </w:rPr>
    </w:lvl>
    <w:lvl w:ilvl="1" w:tplc="6F22021A">
      <w:start w:val="1"/>
      <w:numFmt w:val="bullet"/>
      <w:lvlText w:val="o"/>
      <w:lvlJc w:val="left"/>
      <w:pPr>
        <w:ind w:left="1440" w:hanging="360"/>
      </w:pPr>
      <w:rPr>
        <w:rFonts w:ascii="Courier New" w:hAnsi="Courier New" w:cs="Courier New" w:hint="default"/>
      </w:rPr>
    </w:lvl>
    <w:lvl w:ilvl="2" w:tplc="1C1E2326">
      <w:start w:val="1"/>
      <w:numFmt w:val="bullet"/>
      <w:lvlText w:val=""/>
      <w:lvlJc w:val="left"/>
      <w:pPr>
        <w:ind w:left="2160" w:hanging="360"/>
      </w:pPr>
      <w:rPr>
        <w:rFonts w:ascii="Wingdings" w:hAnsi="Wingdings" w:hint="default"/>
      </w:rPr>
    </w:lvl>
    <w:lvl w:ilvl="3" w:tplc="C21EB45A">
      <w:start w:val="1"/>
      <w:numFmt w:val="bullet"/>
      <w:lvlText w:val=""/>
      <w:lvlJc w:val="left"/>
      <w:pPr>
        <w:ind w:left="2880" w:hanging="360"/>
      </w:pPr>
      <w:rPr>
        <w:rFonts w:ascii="Symbol" w:hAnsi="Symbol" w:hint="default"/>
      </w:rPr>
    </w:lvl>
    <w:lvl w:ilvl="4" w:tplc="592093A4">
      <w:start w:val="1"/>
      <w:numFmt w:val="bullet"/>
      <w:lvlText w:val="o"/>
      <w:lvlJc w:val="left"/>
      <w:pPr>
        <w:ind w:left="3600" w:hanging="360"/>
      </w:pPr>
      <w:rPr>
        <w:rFonts w:ascii="Courier New" w:hAnsi="Courier New" w:cs="Courier New" w:hint="default"/>
      </w:rPr>
    </w:lvl>
    <w:lvl w:ilvl="5" w:tplc="63DEC81E">
      <w:start w:val="1"/>
      <w:numFmt w:val="bullet"/>
      <w:lvlText w:val=""/>
      <w:lvlJc w:val="left"/>
      <w:pPr>
        <w:ind w:left="4320" w:hanging="360"/>
      </w:pPr>
      <w:rPr>
        <w:rFonts w:ascii="Wingdings" w:hAnsi="Wingdings" w:hint="default"/>
      </w:rPr>
    </w:lvl>
    <w:lvl w:ilvl="6" w:tplc="9C2E2B90">
      <w:start w:val="1"/>
      <w:numFmt w:val="bullet"/>
      <w:lvlText w:val=""/>
      <w:lvlJc w:val="left"/>
      <w:pPr>
        <w:ind w:left="5040" w:hanging="360"/>
      </w:pPr>
      <w:rPr>
        <w:rFonts w:ascii="Symbol" w:hAnsi="Symbol" w:hint="default"/>
      </w:rPr>
    </w:lvl>
    <w:lvl w:ilvl="7" w:tplc="AA68FE46">
      <w:start w:val="1"/>
      <w:numFmt w:val="bullet"/>
      <w:lvlText w:val="o"/>
      <w:lvlJc w:val="left"/>
      <w:pPr>
        <w:ind w:left="5760" w:hanging="360"/>
      </w:pPr>
      <w:rPr>
        <w:rFonts w:ascii="Courier New" w:hAnsi="Courier New" w:cs="Courier New" w:hint="default"/>
      </w:rPr>
    </w:lvl>
    <w:lvl w:ilvl="8" w:tplc="8BA22E66">
      <w:start w:val="1"/>
      <w:numFmt w:val="bullet"/>
      <w:lvlText w:val=""/>
      <w:lvlJc w:val="left"/>
      <w:pPr>
        <w:ind w:left="6480" w:hanging="360"/>
      </w:pPr>
      <w:rPr>
        <w:rFonts w:ascii="Wingdings" w:hAnsi="Wingdings" w:hint="default"/>
      </w:rPr>
    </w:lvl>
  </w:abstractNum>
  <w:abstractNum w:abstractNumId="157" w15:restartNumberingAfterBreak="0">
    <w:nsid w:val="616C2E3B"/>
    <w:multiLevelType w:val="hybridMultilevel"/>
    <w:tmpl w:val="9F68E904"/>
    <w:lvl w:ilvl="0" w:tplc="3FCCDD42">
      <w:start w:val="1"/>
      <w:numFmt w:val="bullet"/>
      <w:lvlText w:val=""/>
      <w:lvlJc w:val="left"/>
      <w:pPr>
        <w:tabs>
          <w:tab w:val="num" w:pos="720"/>
        </w:tabs>
        <w:ind w:left="720" w:hanging="360"/>
      </w:pPr>
      <w:rPr>
        <w:rFonts w:ascii="Symbol" w:hAnsi="Symbol" w:hint="default"/>
      </w:rPr>
    </w:lvl>
    <w:lvl w:ilvl="1" w:tplc="BF96815A">
      <w:start w:val="1"/>
      <w:numFmt w:val="bullet"/>
      <w:lvlText w:val="o"/>
      <w:lvlJc w:val="left"/>
      <w:pPr>
        <w:tabs>
          <w:tab w:val="num" w:pos="1440"/>
        </w:tabs>
        <w:ind w:left="1440" w:hanging="360"/>
      </w:pPr>
      <w:rPr>
        <w:rFonts w:ascii="Courier New" w:hAnsi="Courier New" w:hint="default"/>
      </w:rPr>
    </w:lvl>
    <w:lvl w:ilvl="2" w:tplc="F9EC9FC0" w:tentative="1">
      <w:start w:val="1"/>
      <w:numFmt w:val="bullet"/>
      <w:lvlText w:val=""/>
      <w:lvlJc w:val="left"/>
      <w:pPr>
        <w:tabs>
          <w:tab w:val="num" w:pos="2160"/>
        </w:tabs>
        <w:ind w:left="2160" w:hanging="360"/>
      </w:pPr>
      <w:rPr>
        <w:rFonts w:ascii="Wingdings" w:hAnsi="Wingdings" w:hint="default"/>
      </w:rPr>
    </w:lvl>
    <w:lvl w:ilvl="3" w:tplc="18CEF636" w:tentative="1">
      <w:start w:val="1"/>
      <w:numFmt w:val="bullet"/>
      <w:lvlText w:val=""/>
      <w:lvlJc w:val="left"/>
      <w:pPr>
        <w:tabs>
          <w:tab w:val="num" w:pos="2880"/>
        </w:tabs>
        <w:ind w:left="2880" w:hanging="360"/>
      </w:pPr>
      <w:rPr>
        <w:rFonts w:ascii="Symbol" w:hAnsi="Symbol" w:hint="default"/>
      </w:rPr>
    </w:lvl>
    <w:lvl w:ilvl="4" w:tplc="FE20B704" w:tentative="1">
      <w:start w:val="1"/>
      <w:numFmt w:val="bullet"/>
      <w:lvlText w:val="o"/>
      <w:lvlJc w:val="left"/>
      <w:pPr>
        <w:tabs>
          <w:tab w:val="num" w:pos="3600"/>
        </w:tabs>
        <w:ind w:left="3600" w:hanging="360"/>
      </w:pPr>
      <w:rPr>
        <w:rFonts w:ascii="Courier New" w:hAnsi="Courier New" w:hint="default"/>
      </w:rPr>
    </w:lvl>
    <w:lvl w:ilvl="5" w:tplc="C24EA2DE" w:tentative="1">
      <w:start w:val="1"/>
      <w:numFmt w:val="bullet"/>
      <w:lvlText w:val=""/>
      <w:lvlJc w:val="left"/>
      <w:pPr>
        <w:tabs>
          <w:tab w:val="num" w:pos="4320"/>
        </w:tabs>
        <w:ind w:left="4320" w:hanging="360"/>
      </w:pPr>
      <w:rPr>
        <w:rFonts w:ascii="Wingdings" w:hAnsi="Wingdings" w:hint="default"/>
      </w:rPr>
    </w:lvl>
    <w:lvl w:ilvl="6" w:tplc="B96AA0DA" w:tentative="1">
      <w:start w:val="1"/>
      <w:numFmt w:val="bullet"/>
      <w:lvlText w:val=""/>
      <w:lvlJc w:val="left"/>
      <w:pPr>
        <w:tabs>
          <w:tab w:val="num" w:pos="5040"/>
        </w:tabs>
        <w:ind w:left="5040" w:hanging="360"/>
      </w:pPr>
      <w:rPr>
        <w:rFonts w:ascii="Symbol" w:hAnsi="Symbol" w:hint="default"/>
      </w:rPr>
    </w:lvl>
    <w:lvl w:ilvl="7" w:tplc="644E6322" w:tentative="1">
      <w:start w:val="1"/>
      <w:numFmt w:val="bullet"/>
      <w:lvlText w:val="o"/>
      <w:lvlJc w:val="left"/>
      <w:pPr>
        <w:tabs>
          <w:tab w:val="num" w:pos="5760"/>
        </w:tabs>
        <w:ind w:left="5760" w:hanging="360"/>
      </w:pPr>
      <w:rPr>
        <w:rFonts w:ascii="Courier New" w:hAnsi="Courier New" w:hint="default"/>
      </w:rPr>
    </w:lvl>
    <w:lvl w:ilvl="8" w:tplc="8B2A36D4"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61E305CA"/>
    <w:multiLevelType w:val="hybridMultilevel"/>
    <w:tmpl w:val="AF8051FE"/>
    <w:lvl w:ilvl="0" w:tplc="FDECF9B6">
      <w:start w:val="1"/>
      <w:numFmt w:val="bullet"/>
      <w:lvlText w:val=""/>
      <w:lvlJc w:val="left"/>
      <w:pPr>
        <w:ind w:left="1117" w:hanging="360"/>
      </w:pPr>
      <w:rPr>
        <w:rFonts w:ascii="Symbol" w:hAnsi="Symbol" w:hint="default"/>
      </w:rPr>
    </w:lvl>
    <w:lvl w:ilvl="1" w:tplc="57E6A818" w:tentative="1">
      <w:start w:val="1"/>
      <w:numFmt w:val="bullet"/>
      <w:lvlText w:val="o"/>
      <w:lvlJc w:val="left"/>
      <w:pPr>
        <w:ind w:left="1837" w:hanging="360"/>
      </w:pPr>
      <w:rPr>
        <w:rFonts w:ascii="Courier New" w:hAnsi="Courier New" w:cs="Courier New" w:hint="default"/>
      </w:rPr>
    </w:lvl>
    <w:lvl w:ilvl="2" w:tplc="46CEAFCE" w:tentative="1">
      <w:start w:val="1"/>
      <w:numFmt w:val="bullet"/>
      <w:lvlText w:val=""/>
      <w:lvlJc w:val="left"/>
      <w:pPr>
        <w:ind w:left="2557" w:hanging="360"/>
      </w:pPr>
      <w:rPr>
        <w:rFonts w:ascii="Wingdings" w:hAnsi="Wingdings" w:hint="default"/>
      </w:rPr>
    </w:lvl>
    <w:lvl w:ilvl="3" w:tplc="F9607896" w:tentative="1">
      <w:start w:val="1"/>
      <w:numFmt w:val="bullet"/>
      <w:lvlText w:val=""/>
      <w:lvlJc w:val="left"/>
      <w:pPr>
        <w:ind w:left="3277" w:hanging="360"/>
      </w:pPr>
      <w:rPr>
        <w:rFonts w:ascii="Symbol" w:hAnsi="Symbol" w:hint="default"/>
      </w:rPr>
    </w:lvl>
    <w:lvl w:ilvl="4" w:tplc="9A3EECEC" w:tentative="1">
      <w:start w:val="1"/>
      <w:numFmt w:val="bullet"/>
      <w:lvlText w:val="o"/>
      <w:lvlJc w:val="left"/>
      <w:pPr>
        <w:ind w:left="3997" w:hanging="360"/>
      </w:pPr>
      <w:rPr>
        <w:rFonts w:ascii="Courier New" w:hAnsi="Courier New" w:cs="Courier New" w:hint="default"/>
      </w:rPr>
    </w:lvl>
    <w:lvl w:ilvl="5" w:tplc="D4E638F8" w:tentative="1">
      <w:start w:val="1"/>
      <w:numFmt w:val="bullet"/>
      <w:lvlText w:val=""/>
      <w:lvlJc w:val="left"/>
      <w:pPr>
        <w:ind w:left="4717" w:hanging="360"/>
      </w:pPr>
      <w:rPr>
        <w:rFonts w:ascii="Wingdings" w:hAnsi="Wingdings" w:hint="default"/>
      </w:rPr>
    </w:lvl>
    <w:lvl w:ilvl="6" w:tplc="D82EEB5E" w:tentative="1">
      <w:start w:val="1"/>
      <w:numFmt w:val="bullet"/>
      <w:lvlText w:val=""/>
      <w:lvlJc w:val="left"/>
      <w:pPr>
        <w:ind w:left="5437" w:hanging="360"/>
      </w:pPr>
      <w:rPr>
        <w:rFonts w:ascii="Symbol" w:hAnsi="Symbol" w:hint="default"/>
      </w:rPr>
    </w:lvl>
    <w:lvl w:ilvl="7" w:tplc="1FEC29D0" w:tentative="1">
      <w:start w:val="1"/>
      <w:numFmt w:val="bullet"/>
      <w:lvlText w:val="o"/>
      <w:lvlJc w:val="left"/>
      <w:pPr>
        <w:ind w:left="6157" w:hanging="360"/>
      </w:pPr>
      <w:rPr>
        <w:rFonts w:ascii="Courier New" w:hAnsi="Courier New" w:cs="Courier New" w:hint="default"/>
      </w:rPr>
    </w:lvl>
    <w:lvl w:ilvl="8" w:tplc="6BAC3A42" w:tentative="1">
      <w:start w:val="1"/>
      <w:numFmt w:val="bullet"/>
      <w:lvlText w:val=""/>
      <w:lvlJc w:val="left"/>
      <w:pPr>
        <w:ind w:left="6877" w:hanging="360"/>
      </w:pPr>
      <w:rPr>
        <w:rFonts w:ascii="Wingdings" w:hAnsi="Wingdings" w:hint="default"/>
      </w:rPr>
    </w:lvl>
  </w:abstractNum>
  <w:abstractNum w:abstractNumId="159" w15:restartNumberingAfterBreak="0">
    <w:nsid w:val="62A06C0F"/>
    <w:multiLevelType w:val="hybridMultilevel"/>
    <w:tmpl w:val="7B8AB97A"/>
    <w:lvl w:ilvl="0" w:tplc="F2AEA1E4">
      <w:start w:val="14"/>
      <w:numFmt w:val="decimal"/>
      <w:lvlText w:val="%1."/>
      <w:lvlJc w:val="left"/>
      <w:pPr>
        <w:ind w:left="930" w:hanging="570"/>
      </w:pPr>
      <w:rPr>
        <w:rFonts w:hint="default"/>
      </w:rPr>
    </w:lvl>
    <w:lvl w:ilvl="1" w:tplc="29E8FF50" w:tentative="1">
      <w:start w:val="1"/>
      <w:numFmt w:val="lowerLetter"/>
      <w:lvlText w:val="%2."/>
      <w:lvlJc w:val="left"/>
      <w:pPr>
        <w:ind w:left="1440" w:hanging="360"/>
      </w:pPr>
    </w:lvl>
    <w:lvl w:ilvl="2" w:tplc="3CF85508" w:tentative="1">
      <w:start w:val="1"/>
      <w:numFmt w:val="lowerRoman"/>
      <w:lvlText w:val="%3."/>
      <w:lvlJc w:val="right"/>
      <w:pPr>
        <w:ind w:left="2160" w:hanging="180"/>
      </w:pPr>
    </w:lvl>
    <w:lvl w:ilvl="3" w:tplc="89121A52" w:tentative="1">
      <w:start w:val="1"/>
      <w:numFmt w:val="decimal"/>
      <w:lvlText w:val="%4."/>
      <w:lvlJc w:val="left"/>
      <w:pPr>
        <w:ind w:left="2880" w:hanging="360"/>
      </w:pPr>
    </w:lvl>
    <w:lvl w:ilvl="4" w:tplc="1CC2C73E" w:tentative="1">
      <w:start w:val="1"/>
      <w:numFmt w:val="lowerLetter"/>
      <w:lvlText w:val="%5."/>
      <w:lvlJc w:val="left"/>
      <w:pPr>
        <w:ind w:left="3600" w:hanging="360"/>
      </w:pPr>
    </w:lvl>
    <w:lvl w:ilvl="5" w:tplc="45C03B94" w:tentative="1">
      <w:start w:val="1"/>
      <w:numFmt w:val="lowerRoman"/>
      <w:lvlText w:val="%6."/>
      <w:lvlJc w:val="right"/>
      <w:pPr>
        <w:ind w:left="4320" w:hanging="180"/>
      </w:pPr>
    </w:lvl>
    <w:lvl w:ilvl="6" w:tplc="1A0CC796" w:tentative="1">
      <w:start w:val="1"/>
      <w:numFmt w:val="decimal"/>
      <w:lvlText w:val="%7."/>
      <w:lvlJc w:val="left"/>
      <w:pPr>
        <w:ind w:left="5040" w:hanging="360"/>
      </w:pPr>
    </w:lvl>
    <w:lvl w:ilvl="7" w:tplc="4E06CBE8" w:tentative="1">
      <w:start w:val="1"/>
      <w:numFmt w:val="lowerLetter"/>
      <w:lvlText w:val="%8."/>
      <w:lvlJc w:val="left"/>
      <w:pPr>
        <w:ind w:left="5760" w:hanging="360"/>
      </w:pPr>
    </w:lvl>
    <w:lvl w:ilvl="8" w:tplc="18E6935E" w:tentative="1">
      <w:start w:val="1"/>
      <w:numFmt w:val="lowerRoman"/>
      <w:lvlText w:val="%9."/>
      <w:lvlJc w:val="right"/>
      <w:pPr>
        <w:ind w:left="6480" w:hanging="180"/>
      </w:pPr>
    </w:lvl>
  </w:abstractNum>
  <w:abstractNum w:abstractNumId="160" w15:restartNumberingAfterBreak="0">
    <w:nsid w:val="63113D0A"/>
    <w:multiLevelType w:val="hybridMultilevel"/>
    <w:tmpl w:val="B5D2EF40"/>
    <w:lvl w:ilvl="0" w:tplc="5A049CF2">
      <w:start w:val="1"/>
      <w:numFmt w:val="bullet"/>
      <w:lvlText w:val=""/>
      <w:lvlJc w:val="left"/>
      <w:pPr>
        <w:tabs>
          <w:tab w:val="num" w:pos="567"/>
        </w:tabs>
        <w:ind w:left="567" w:hanging="567"/>
      </w:pPr>
      <w:rPr>
        <w:rFonts w:ascii="Symbol" w:hAnsi="Symbol" w:hint="default"/>
      </w:rPr>
    </w:lvl>
    <w:lvl w:ilvl="1" w:tplc="634A9238" w:tentative="1">
      <w:start w:val="1"/>
      <w:numFmt w:val="bullet"/>
      <w:lvlText w:val="o"/>
      <w:lvlJc w:val="left"/>
      <w:pPr>
        <w:tabs>
          <w:tab w:val="num" w:pos="1440"/>
        </w:tabs>
        <w:ind w:left="1440" w:hanging="360"/>
      </w:pPr>
      <w:rPr>
        <w:rFonts w:ascii="Courier New" w:hAnsi="Courier New" w:hint="default"/>
      </w:rPr>
    </w:lvl>
    <w:lvl w:ilvl="2" w:tplc="FA7C0B40" w:tentative="1">
      <w:start w:val="1"/>
      <w:numFmt w:val="bullet"/>
      <w:lvlText w:val=""/>
      <w:lvlJc w:val="left"/>
      <w:pPr>
        <w:tabs>
          <w:tab w:val="num" w:pos="2160"/>
        </w:tabs>
        <w:ind w:left="2160" w:hanging="360"/>
      </w:pPr>
      <w:rPr>
        <w:rFonts w:ascii="Wingdings" w:hAnsi="Wingdings" w:hint="default"/>
      </w:rPr>
    </w:lvl>
    <w:lvl w:ilvl="3" w:tplc="05DC24D4" w:tentative="1">
      <w:start w:val="1"/>
      <w:numFmt w:val="bullet"/>
      <w:lvlText w:val=""/>
      <w:lvlJc w:val="left"/>
      <w:pPr>
        <w:tabs>
          <w:tab w:val="num" w:pos="2880"/>
        </w:tabs>
        <w:ind w:left="2880" w:hanging="360"/>
      </w:pPr>
      <w:rPr>
        <w:rFonts w:ascii="Symbol" w:hAnsi="Symbol" w:hint="default"/>
      </w:rPr>
    </w:lvl>
    <w:lvl w:ilvl="4" w:tplc="1F4CF260" w:tentative="1">
      <w:start w:val="1"/>
      <w:numFmt w:val="bullet"/>
      <w:lvlText w:val="o"/>
      <w:lvlJc w:val="left"/>
      <w:pPr>
        <w:tabs>
          <w:tab w:val="num" w:pos="3600"/>
        </w:tabs>
        <w:ind w:left="3600" w:hanging="360"/>
      </w:pPr>
      <w:rPr>
        <w:rFonts w:ascii="Courier New" w:hAnsi="Courier New" w:hint="default"/>
      </w:rPr>
    </w:lvl>
    <w:lvl w:ilvl="5" w:tplc="16F63F68" w:tentative="1">
      <w:start w:val="1"/>
      <w:numFmt w:val="bullet"/>
      <w:lvlText w:val=""/>
      <w:lvlJc w:val="left"/>
      <w:pPr>
        <w:tabs>
          <w:tab w:val="num" w:pos="4320"/>
        </w:tabs>
        <w:ind w:left="4320" w:hanging="360"/>
      </w:pPr>
      <w:rPr>
        <w:rFonts w:ascii="Wingdings" w:hAnsi="Wingdings" w:hint="default"/>
      </w:rPr>
    </w:lvl>
    <w:lvl w:ilvl="6" w:tplc="F40E4F92" w:tentative="1">
      <w:start w:val="1"/>
      <w:numFmt w:val="bullet"/>
      <w:lvlText w:val=""/>
      <w:lvlJc w:val="left"/>
      <w:pPr>
        <w:tabs>
          <w:tab w:val="num" w:pos="5040"/>
        </w:tabs>
        <w:ind w:left="5040" w:hanging="360"/>
      </w:pPr>
      <w:rPr>
        <w:rFonts w:ascii="Symbol" w:hAnsi="Symbol" w:hint="default"/>
      </w:rPr>
    </w:lvl>
    <w:lvl w:ilvl="7" w:tplc="25FA3CCE" w:tentative="1">
      <w:start w:val="1"/>
      <w:numFmt w:val="bullet"/>
      <w:lvlText w:val="o"/>
      <w:lvlJc w:val="left"/>
      <w:pPr>
        <w:tabs>
          <w:tab w:val="num" w:pos="5760"/>
        </w:tabs>
        <w:ind w:left="5760" w:hanging="360"/>
      </w:pPr>
      <w:rPr>
        <w:rFonts w:ascii="Courier New" w:hAnsi="Courier New" w:hint="default"/>
      </w:rPr>
    </w:lvl>
    <w:lvl w:ilvl="8" w:tplc="34CCE51E"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637A1B4F"/>
    <w:multiLevelType w:val="hybridMultilevel"/>
    <w:tmpl w:val="73C4C46A"/>
    <w:lvl w:ilvl="0" w:tplc="403A8342">
      <w:start w:val="14"/>
      <w:numFmt w:val="decimal"/>
      <w:lvlText w:val="%1"/>
      <w:lvlJc w:val="left"/>
      <w:pPr>
        <w:ind w:left="720" w:hanging="360"/>
      </w:pPr>
      <w:rPr>
        <w:rFonts w:hint="default"/>
      </w:rPr>
    </w:lvl>
    <w:lvl w:ilvl="1" w:tplc="E7B00D3E" w:tentative="1">
      <w:start w:val="1"/>
      <w:numFmt w:val="lowerLetter"/>
      <w:lvlText w:val="%2."/>
      <w:lvlJc w:val="left"/>
      <w:pPr>
        <w:ind w:left="1440" w:hanging="360"/>
      </w:pPr>
    </w:lvl>
    <w:lvl w:ilvl="2" w:tplc="4356CB12" w:tentative="1">
      <w:start w:val="1"/>
      <w:numFmt w:val="lowerRoman"/>
      <w:lvlText w:val="%3."/>
      <w:lvlJc w:val="right"/>
      <w:pPr>
        <w:ind w:left="2160" w:hanging="180"/>
      </w:pPr>
    </w:lvl>
    <w:lvl w:ilvl="3" w:tplc="009CAA2A" w:tentative="1">
      <w:start w:val="1"/>
      <w:numFmt w:val="decimal"/>
      <w:lvlText w:val="%4."/>
      <w:lvlJc w:val="left"/>
      <w:pPr>
        <w:ind w:left="2880" w:hanging="360"/>
      </w:pPr>
    </w:lvl>
    <w:lvl w:ilvl="4" w:tplc="A678BFF8" w:tentative="1">
      <w:start w:val="1"/>
      <w:numFmt w:val="lowerLetter"/>
      <w:lvlText w:val="%5."/>
      <w:lvlJc w:val="left"/>
      <w:pPr>
        <w:ind w:left="3600" w:hanging="360"/>
      </w:pPr>
    </w:lvl>
    <w:lvl w:ilvl="5" w:tplc="492EE97A" w:tentative="1">
      <w:start w:val="1"/>
      <w:numFmt w:val="lowerRoman"/>
      <w:lvlText w:val="%6."/>
      <w:lvlJc w:val="right"/>
      <w:pPr>
        <w:ind w:left="4320" w:hanging="180"/>
      </w:pPr>
    </w:lvl>
    <w:lvl w:ilvl="6" w:tplc="8DC0697C" w:tentative="1">
      <w:start w:val="1"/>
      <w:numFmt w:val="decimal"/>
      <w:lvlText w:val="%7."/>
      <w:lvlJc w:val="left"/>
      <w:pPr>
        <w:ind w:left="5040" w:hanging="360"/>
      </w:pPr>
    </w:lvl>
    <w:lvl w:ilvl="7" w:tplc="20B2CEBA" w:tentative="1">
      <w:start w:val="1"/>
      <w:numFmt w:val="lowerLetter"/>
      <w:lvlText w:val="%8."/>
      <w:lvlJc w:val="left"/>
      <w:pPr>
        <w:ind w:left="5760" w:hanging="360"/>
      </w:pPr>
    </w:lvl>
    <w:lvl w:ilvl="8" w:tplc="6DA26954" w:tentative="1">
      <w:start w:val="1"/>
      <w:numFmt w:val="lowerRoman"/>
      <w:lvlText w:val="%9."/>
      <w:lvlJc w:val="right"/>
      <w:pPr>
        <w:ind w:left="6480" w:hanging="180"/>
      </w:pPr>
    </w:lvl>
  </w:abstractNum>
  <w:abstractNum w:abstractNumId="162" w15:restartNumberingAfterBreak="0">
    <w:nsid w:val="63A618F9"/>
    <w:multiLevelType w:val="multilevel"/>
    <w:tmpl w:val="00000001"/>
    <w:lvl w:ilvl="0">
      <w:start w:val="1"/>
      <w:numFmt w:val="bullet"/>
      <w:lvlText w:val=""/>
      <w:lvlJc w:val="left"/>
      <w:pPr>
        <w:tabs>
          <w:tab w:val="num" w:pos="567"/>
        </w:tabs>
        <w:ind w:left="567" w:hanging="567"/>
      </w:pPr>
      <w:rPr>
        <w:rFonts w:ascii="Symbol" w:hAnsi="Symbol" w:hint="default"/>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decimal"/>
      <w:suff w:val="nothing"/>
      <w:lvlText w:val="%9."/>
      <w:lvlJc w:val="left"/>
      <w:rPr>
        <w:rFonts w:cs="Times New Roman"/>
      </w:rPr>
    </w:lvl>
  </w:abstractNum>
  <w:abstractNum w:abstractNumId="163" w15:restartNumberingAfterBreak="0">
    <w:nsid w:val="64253D22"/>
    <w:multiLevelType w:val="hybridMultilevel"/>
    <w:tmpl w:val="FBC6A0F6"/>
    <w:lvl w:ilvl="0" w:tplc="6C545C2E">
      <w:start w:val="1"/>
      <w:numFmt w:val="bullet"/>
      <w:lvlText w:val=""/>
      <w:lvlJc w:val="left"/>
      <w:pPr>
        <w:ind w:left="720" w:hanging="360"/>
      </w:pPr>
      <w:rPr>
        <w:rFonts w:ascii="Symbol" w:hAnsi="Symbol" w:hint="default"/>
      </w:rPr>
    </w:lvl>
    <w:lvl w:ilvl="1" w:tplc="D3A2A1AC" w:tentative="1">
      <w:start w:val="1"/>
      <w:numFmt w:val="bullet"/>
      <w:lvlText w:val="o"/>
      <w:lvlJc w:val="left"/>
      <w:pPr>
        <w:ind w:left="1440" w:hanging="360"/>
      </w:pPr>
      <w:rPr>
        <w:rFonts w:ascii="Courier New" w:hAnsi="Courier New" w:cs="Courier New" w:hint="default"/>
      </w:rPr>
    </w:lvl>
    <w:lvl w:ilvl="2" w:tplc="AF1C69E8" w:tentative="1">
      <w:start w:val="1"/>
      <w:numFmt w:val="bullet"/>
      <w:lvlText w:val=""/>
      <w:lvlJc w:val="left"/>
      <w:pPr>
        <w:ind w:left="2160" w:hanging="360"/>
      </w:pPr>
      <w:rPr>
        <w:rFonts w:ascii="Wingdings" w:hAnsi="Wingdings" w:hint="default"/>
      </w:rPr>
    </w:lvl>
    <w:lvl w:ilvl="3" w:tplc="557AB1FC" w:tentative="1">
      <w:start w:val="1"/>
      <w:numFmt w:val="bullet"/>
      <w:lvlText w:val=""/>
      <w:lvlJc w:val="left"/>
      <w:pPr>
        <w:ind w:left="2880" w:hanging="360"/>
      </w:pPr>
      <w:rPr>
        <w:rFonts w:ascii="Symbol" w:hAnsi="Symbol" w:hint="default"/>
      </w:rPr>
    </w:lvl>
    <w:lvl w:ilvl="4" w:tplc="9A308C8E" w:tentative="1">
      <w:start w:val="1"/>
      <w:numFmt w:val="bullet"/>
      <w:lvlText w:val="o"/>
      <w:lvlJc w:val="left"/>
      <w:pPr>
        <w:ind w:left="3600" w:hanging="360"/>
      </w:pPr>
      <w:rPr>
        <w:rFonts w:ascii="Courier New" w:hAnsi="Courier New" w:cs="Courier New" w:hint="default"/>
      </w:rPr>
    </w:lvl>
    <w:lvl w:ilvl="5" w:tplc="BB486F36" w:tentative="1">
      <w:start w:val="1"/>
      <w:numFmt w:val="bullet"/>
      <w:lvlText w:val=""/>
      <w:lvlJc w:val="left"/>
      <w:pPr>
        <w:ind w:left="4320" w:hanging="360"/>
      </w:pPr>
      <w:rPr>
        <w:rFonts w:ascii="Wingdings" w:hAnsi="Wingdings" w:hint="default"/>
      </w:rPr>
    </w:lvl>
    <w:lvl w:ilvl="6" w:tplc="FEC22008" w:tentative="1">
      <w:start w:val="1"/>
      <w:numFmt w:val="bullet"/>
      <w:lvlText w:val=""/>
      <w:lvlJc w:val="left"/>
      <w:pPr>
        <w:ind w:left="5040" w:hanging="360"/>
      </w:pPr>
      <w:rPr>
        <w:rFonts w:ascii="Symbol" w:hAnsi="Symbol" w:hint="default"/>
      </w:rPr>
    </w:lvl>
    <w:lvl w:ilvl="7" w:tplc="4ED49AE4" w:tentative="1">
      <w:start w:val="1"/>
      <w:numFmt w:val="bullet"/>
      <w:lvlText w:val="o"/>
      <w:lvlJc w:val="left"/>
      <w:pPr>
        <w:ind w:left="5760" w:hanging="360"/>
      </w:pPr>
      <w:rPr>
        <w:rFonts w:ascii="Courier New" w:hAnsi="Courier New" w:cs="Courier New" w:hint="default"/>
      </w:rPr>
    </w:lvl>
    <w:lvl w:ilvl="8" w:tplc="8B2A6BAE" w:tentative="1">
      <w:start w:val="1"/>
      <w:numFmt w:val="bullet"/>
      <w:lvlText w:val=""/>
      <w:lvlJc w:val="left"/>
      <w:pPr>
        <w:ind w:left="6480" w:hanging="360"/>
      </w:pPr>
      <w:rPr>
        <w:rFonts w:ascii="Wingdings" w:hAnsi="Wingdings" w:hint="default"/>
      </w:rPr>
    </w:lvl>
  </w:abstractNum>
  <w:abstractNum w:abstractNumId="164" w15:restartNumberingAfterBreak="0">
    <w:nsid w:val="65374A7D"/>
    <w:multiLevelType w:val="multilevel"/>
    <w:tmpl w:val="75781D26"/>
    <w:lvl w:ilvl="0">
      <w:start w:val="1"/>
      <w:numFmt w:val="bullet"/>
      <w:lvlText w:val="●"/>
      <w:lvlJc w:val="left"/>
      <w:pPr>
        <w:tabs>
          <w:tab w:val="num" w:pos="360"/>
        </w:tabs>
        <w:ind w:left="360" w:hanging="360"/>
      </w:pPr>
      <w:rPr>
        <w:rFonts w:ascii="Times New Roman" w:hint="default"/>
        <w:color w:val="auto"/>
      </w:rPr>
    </w:lvl>
    <w:lvl w:ilvl="1">
      <w:start w:val="1"/>
      <w:numFmt w:val="bullet"/>
      <w:lvlText w:val="○"/>
      <w:lvlJc w:val="left"/>
      <w:pPr>
        <w:tabs>
          <w:tab w:val="num" w:pos="720"/>
        </w:tabs>
        <w:ind w:left="720" w:hanging="360"/>
      </w:pPr>
      <w:rPr>
        <w:rFonts w:ascii="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5" w15:restartNumberingAfterBreak="0">
    <w:nsid w:val="6538629E"/>
    <w:multiLevelType w:val="hybridMultilevel"/>
    <w:tmpl w:val="18D064B8"/>
    <w:lvl w:ilvl="0" w:tplc="C7E41C66">
      <w:start w:val="1"/>
      <w:numFmt w:val="bullet"/>
      <w:lvlText w:val=""/>
      <w:lvlJc w:val="left"/>
      <w:pPr>
        <w:ind w:left="770" w:hanging="360"/>
      </w:pPr>
      <w:rPr>
        <w:rFonts w:ascii="Symbol" w:hAnsi="Symbol" w:hint="default"/>
      </w:rPr>
    </w:lvl>
    <w:lvl w:ilvl="1" w:tplc="F2DA3A42" w:tentative="1">
      <w:start w:val="1"/>
      <w:numFmt w:val="bullet"/>
      <w:lvlText w:val="o"/>
      <w:lvlJc w:val="left"/>
      <w:pPr>
        <w:ind w:left="1490" w:hanging="360"/>
      </w:pPr>
      <w:rPr>
        <w:rFonts w:ascii="Courier New" w:hAnsi="Courier New" w:cs="Courier New" w:hint="default"/>
      </w:rPr>
    </w:lvl>
    <w:lvl w:ilvl="2" w:tplc="5E88FA42" w:tentative="1">
      <w:start w:val="1"/>
      <w:numFmt w:val="bullet"/>
      <w:lvlText w:val=""/>
      <w:lvlJc w:val="left"/>
      <w:pPr>
        <w:ind w:left="2210" w:hanging="360"/>
      </w:pPr>
      <w:rPr>
        <w:rFonts w:ascii="Wingdings" w:hAnsi="Wingdings" w:hint="default"/>
      </w:rPr>
    </w:lvl>
    <w:lvl w:ilvl="3" w:tplc="4D623B7A" w:tentative="1">
      <w:start w:val="1"/>
      <w:numFmt w:val="bullet"/>
      <w:lvlText w:val=""/>
      <w:lvlJc w:val="left"/>
      <w:pPr>
        <w:ind w:left="2930" w:hanging="360"/>
      </w:pPr>
      <w:rPr>
        <w:rFonts w:ascii="Symbol" w:hAnsi="Symbol" w:hint="default"/>
      </w:rPr>
    </w:lvl>
    <w:lvl w:ilvl="4" w:tplc="14205C92" w:tentative="1">
      <w:start w:val="1"/>
      <w:numFmt w:val="bullet"/>
      <w:lvlText w:val="o"/>
      <w:lvlJc w:val="left"/>
      <w:pPr>
        <w:ind w:left="3650" w:hanging="360"/>
      </w:pPr>
      <w:rPr>
        <w:rFonts w:ascii="Courier New" w:hAnsi="Courier New" w:cs="Courier New" w:hint="default"/>
      </w:rPr>
    </w:lvl>
    <w:lvl w:ilvl="5" w:tplc="C7A6E886" w:tentative="1">
      <w:start w:val="1"/>
      <w:numFmt w:val="bullet"/>
      <w:lvlText w:val=""/>
      <w:lvlJc w:val="left"/>
      <w:pPr>
        <w:ind w:left="4370" w:hanging="360"/>
      </w:pPr>
      <w:rPr>
        <w:rFonts w:ascii="Wingdings" w:hAnsi="Wingdings" w:hint="default"/>
      </w:rPr>
    </w:lvl>
    <w:lvl w:ilvl="6" w:tplc="01AA224C" w:tentative="1">
      <w:start w:val="1"/>
      <w:numFmt w:val="bullet"/>
      <w:lvlText w:val=""/>
      <w:lvlJc w:val="left"/>
      <w:pPr>
        <w:ind w:left="5090" w:hanging="360"/>
      </w:pPr>
      <w:rPr>
        <w:rFonts w:ascii="Symbol" w:hAnsi="Symbol" w:hint="default"/>
      </w:rPr>
    </w:lvl>
    <w:lvl w:ilvl="7" w:tplc="3CE6B9BA" w:tentative="1">
      <w:start w:val="1"/>
      <w:numFmt w:val="bullet"/>
      <w:lvlText w:val="o"/>
      <w:lvlJc w:val="left"/>
      <w:pPr>
        <w:ind w:left="5810" w:hanging="360"/>
      </w:pPr>
      <w:rPr>
        <w:rFonts w:ascii="Courier New" w:hAnsi="Courier New" w:cs="Courier New" w:hint="default"/>
      </w:rPr>
    </w:lvl>
    <w:lvl w:ilvl="8" w:tplc="CE6A2DD4" w:tentative="1">
      <w:start w:val="1"/>
      <w:numFmt w:val="bullet"/>
      <w:lvlText w:val=""/>
      <w:lvlJc w:val="left"/>
      <w:pPr>
        <w:ind w:left="6530" w:hanging="360"/>
      </w:pPr>
      <w:rPr>
        <w:rFonts w:ascii="Wingdings" w:hAnsi="Wingdings" w:hint="default"/>
      </w:rPr>
    </w:lvl>
  </w:abstractNum>
  <w:abstractNum w:abstractNumId="166" w15:restartNumberingAfterBreak="0">
    <w:nsid w:val="683A4DD3"/>
    <w:multiLevelType w:val="hybridMultilevel"/>
    <w:tmpl w:val="AD227B90"/>
    <w:lvl w:ilvl="0" w:tplc="31E0BA10">
      <w:start w:val="1"/>
      <w:numFmt w:val="bullet"/>
      <w:lvlText w:val=""/>
      <w:lvlJc w:val="left"/>
      <w:pPr>
        <w:tabs>
          <w:tab w:val="num" w:pos="567"/>
        </w:tabs>
        <w:ind w:left="567" w:hanging="567"/>
      </w:pPr>
      <w:rPr>
        <w:rFonts w:ascii="Symbol" w:hAnsi="Symbol" w:hint="default"/>
      </w:rPr>
    </w:lvl>
    <w:lvl w:ilvl="1" w:tplc="B178C2F6" w:tentative="1">
      <w:start w:val="1"/>
      <w:numFmt w:val="bullet"/>
      <w:lvlText w:val="o"/>
      <w:lvlJc w:val="left"/>
      <w:pPr>
        <w:tabs>
          <w:tab w:val="num" w:pos="1440"/>
        </w:tabs>
        <w:ind w:left="1440" w:hanging="360"/>
      </w:pPr>
      <w:rPr>
        <w:rFonts w:ascii="Courier New" w:hAnsi="Courier New" w:hint="default"/>
      </w:rPr>
    </w:lvl>
    <w:lvl w:ilvl="2" w:tplc="0D5AA47C" w:tentative="1">
      <w:start w:val="1"/>
      <w:numFmt w:val="bullet"/>
      <w:lvlText w:val=""/>
      <w:lvlJc w:val="left"/>
      <w:pPr>
        <w:tabs>
          <w:tab w:val="num" w:pos="2160"/>
        </w:tabs>
        <w:ind w:left="2160" w:hanging="360"/>
      </w:pPr>
      <w:rPr>
        <w:rFonts w:ascii="Wingdings" w:hAnsi="Wingdings" w:hint="default"/>
      </w:rPr>
    </w:lvl>
    <w:lvl w:ilvl="3" w:tplc="A3D46B54" w:tentative="1">
      <w:start w:val="1"/>
      <w:numFmt w:val="bullet"/>
      <w:lvlText w:val=""/>
      <w:lvlJc w:val="left"/>
      <w:pPr>
        <w:tabs>
          <w:tab w:val="num" w:pos="2880"/>
        </w:tabs>
        <w:ind w:left="2880" w:hanging="360"/>
      </w:pPr>
      <w:rPr>
        <w:rFonts w:ascii="Symbol" w:hAnsi="Symbol" w:hint="default"/>
      </w:rPr>
    </w:lvl>
    <w:lvl w:ilvl="4" w:tplc="09AC5752" w:tentative="1">
      <w:start w:val="1"/>
      <w:numFmt w:val="bullet"/>
      <w:lvlText w:val="o"/>
      <w:lvlJc w:val="left"/>
      <w:pPr>
        <w:tabs>
          <w:tab w:val="num" w:pos="3600"/>
        </w:tabs>
        <w:ind w:left="3600" w:hanging="360"/>
      </w:pPr>
      <w:rPr>
        <w:rFonts w:ascii="Courier New" w:hAnsi="Courier New" w:hint="default"/>
      </w:rPr>
    </w:lvl>
    <w:lvl w:ilvl="5" w:tplc="53C29EBA" w:tentative="1">
      <w:start w:val="1"/>
      <w:numFmt w:val="bullet"/>
      <w:lvlText w:val=""/>
      <w:lvlJc w:val="left"/>
      <w:pPr>
        <w:tabs>
          <w:tab w:val="num" w:pos="4320"/>
        </w:tabs>
        <w:ind w:left="4320" w:hanging="360"/>
      </w:pPr>
      <w:rPr>
        <w:rFonts w:ascii="Wingdings" w:hAnsi="Wingdings" w:hint="default"/>
      </w:rPr>
    </w:lvl>
    <w:lvl w:ilvl="6" w:tplc="AE1845C8" w:tentative="1">
      <w:start w:val="1"/>
      <w:numFmt w:val="bullet"/>
      <w:lvlText w:val=""/>
      <w:lvlJc w:val="left"/>
      <w:pPr>
        <w:tabs>
          <w:tab w:val="num" w:pos="5040"/>
        </w:tabs>
        <w:ind w:left="5040" w:hanging="360"/>
      </w:pPr>
      <w:rPr>
        <w:rFonts w:ascii="Symbol" w:hAnsi="Symbol" w:hint="default"/>
      </w:rPr>
    </w:lvl>
    <w:lvl w:ilvl="7" w:tplc="88D83B4C" w:tentative="1">
      <w:start w:val="1"/>
      <w:numFmt w:val="bullet"/>
      <w:lvlText w:val="o"/>
      <w:lvlJc w:val="left"/>
      <w:pPr>
        <w:tabs>
          <w:tab w:val="num" w:pos="5760"/>
        </w:tabs>
        <w:ind w:left="5760" w:hanging="360"/>
      </w:pPr>
      <w:rPr>
        <w:rFonts w:ascii="Courier New" w:hAnsi="Courier New" w:hint="default"/>
      </w:rPr>
    </w:lvl>
    <w:lvl w:ilvl="8" w:tplc="39DACF22"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68A13873"/>
    <w:multiLevelType w:val="multilevel"/>
    <w:tmpl w:val="A126E0A4"/>
    <w:lvl w:ilvl="0">
      <w:start w:val="4"/>
      <w:numFmt w:val="decimal"/>
      <w:lvlText w:val="%1"/>
      <w:lvlJc w:val="left"/>
      <w:pPr>
        <w:tabs>
          <w:tab w:val="num" w:pos="570"/>
        </w:tabs>
        <w:ind w:left="570" w:hanging="570"/>
      </w:pPr>
      <w:rPr>
        <w:rFonts w:cs="Times New Roman" w:hint="default"/>
      </w:rPr>
    </w:lvl>
    <w:lvl w:ilvl="1">
      <w:start w:val="7"/>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8" w15:restartNumberingAfterBreak="0">
    <w:nsid w:val="69314EC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69855039"/>
    <w:multiLevelType w:val="hybridMultilevel"/>
    <w:tmpl w:val="B4B4F488"/>
    <w:lvl w:ilvl="0" w:tplc="1428818A">
      <w:start w:val="1"/>
      <w:numFmt w:val="bullet"/>
      <w:lvlText w:val=""/>
      <w:lvlJc w:val="left"/>
      <w:pPr>
        <w:tabs>
          <w:tab w:val="num" w:pos="720"/>
        </w:tabs>
        <w:ind w:left="720" w:hanging="360"/>
      </w:pPr>
      <w:rPr>
        <w:rFonts w:ascii="Symbol" w:hAnsi="Symbol" w:hint="default"/>
      </w:rPr>
    </w:lvl>
    <w:lvl w:ilvl="1" w:tplc="29CCCA0C" w:tentative="1">
      <w:start w:val="1"/>
      <w:numFmt w:val="bullet"/>
      <w:lvlText w:val="o"/>
      <w:lvlJc w:val="left"/>
      <w:pPr>
        <w:tabs>
          <w:tab w:val="num" w:pos="1440"/>
        </w:tabs>
        <w:ind w:left="1440" w:hanging="360"/>
      </w:pPr>
      <w:rPr>
        <w:rFonts w:ascii="Courier New" w:hAnsi="Courier New" w:cs="Courier New" w:hint="default"/>
      </w:rPr>
    </w:lvl>
    <w:lvl w:ilvl="2" w:tplc="E090AAB4" w:tentative="1">
      <w:start w:val="1"/>
      <w:numFmt w:val="bullet"/>
      <w:lvlText w:val=""/>
      <w:lvlJc w:val="left"/>
      <w:pPr>
        <w:tabs>
          <w:tab w:val="num" w:pos="2160"/>
        </w:tabs>
        <w:ind w:left="2160" w:hanging="360"/>
      </w:pPr>
      <w:rPr>
        <w:rFonts w:ascii="Wingdings" w:hAnsi="Wingdings" w:hint="default"/>
      </w:rPr>
    </w:lvl>
    <w:lvl w:ilvl="3" w:tplc="5E240262" w:tentative="1">
      <w:start w:val="1"/>
      <w:numFmt w:val="bullet"/>
      <w:lvlText w:val=""/>
      <w:lvlJc w:val="left"/>
      <w:pPr>
        <w:tabs>
          <w:tab w:val="num" w:pos="2880"/>
        </w:tabs>
        <w:ind w:left="2880" w:hanging="360"/>
      </w:pPr>
      <w:rPr>
        <w:rFonts w:ascii="Symbol" w:hAnsi="Symbol" w:hint="default"/>
      </w:rPr>
    </w:lvl>
    <w:lvl w:ilvl="4" w:tplc="C47665FE" w:tentative="1">
      <w:start w:val="1"/>
      <w:numFmt w:val="bullet"/>
      <w:lvlText w:val="o"/>
      <w:lvlJc w:val="left"/>
      <w:pPr>
        <w:tabs>
          <w:tab w:val="num" w:pos="3600"/>
        </w:tabs>
        <w:ind w:left="3600" w:hanging="360"/>
      </w:pPr>
      <w:rPr>
        <w:rFonts w:ascii="Courier New" w:hAnsi="Courier New" w:cs="Courier New" w:hint="default"/>
      </w:rPr>
    </w:lvl>
    <w:lvl w:ilvl="5" w:tplc="23467A6E" w:tentative="1">
      <w:start w:val="1"/>
      <w:numFmt w:val="bullet"/>
      <w:lvlText w:val=""/>
      <w:lvlJc w:val="left"/>
      <w:pPr>
        <w:tabs>
          <w:tab w:val="num" w:pos="4320"/>
        </w:tabs>
        <w:ind w:left="4320" w:hanging="360"/>
      </w:pPr>
      <w:rPr>
        <w:rFonts w:ascii="Wingdings" w:hAnsi="Wingdings" w:hint="default"/>
      </w:rPr>
    </w:lvl>
    <w:lvl w:ilvl="6" w:tplc="51BC0642" w:tentative="1">
      <w:start w:val="1"/>
      <w:numFmt w:val="bullet"/>
      <w:lvlText w:val=""/>
      <w:lvlJc w:val="left"/>
      <w:pPr>
        <w:tabs>
          <w:tab w:val="num" w:pos="5040"/>
        </w:tabs>
        <w:ind w:left="5040" w:hanging="360"/>
      </w:pPr>
      <w:rPr>
        <w:rFonts w:ascii="Symbol" w:hAnsi="Symbol" w:hint="default"/>
      </w:rPr>
    </w:lvl>
    <w:lvl w:ilvl="7" w:tplc="67663480" w:tentative="1">
      <w:start w:val="1"/>
      <w:numFmt w:val="bullet"/>
      <w:lvlText w:val="o"/>
      <w:lvlJc w:val="left"/>
      <w:pPr>
        <w:tabs>
          <w:tab w:val="num" w:pos="5760"/>
        </w:tabs>
        <w:ind w:left="5760" w:hanging="360"/>
      </w:pPr>
      <w:rPr>
        <w:rFonts w:ascii="Courier New" w:hAnsi="Courier New" w:cs="Courier New" w:hint="default"/>
      </w:rPr>
    </w:lvl>
    <w:lvl w:ilvl="8" w:tplc="992A685C"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69E95573"/>
    <w:multiLevelType w:val="hybridMultilevel"/>
    <w:tmpl w:val="E63C4C1C"/>
    <w:lvl w:ilvl="0" w:tplc="0570F814">
      <w:start w:val="1"/>
      <w:numFmt w:val="bullet"/>
      <w:lvlText w:val=""/>
      <w:lvlJc w:val="left"/>
      <w:pPr>
        <w:ind w:left="720" w:hanging="360"/>
      </w:pPr>
      <w:rPr>
        <w:rFonts w:ascii="Symbol" w:hAnsi="Symbol" w:hint="default"/>
      </w:rPr>
    </w:lvl>
    <w:lvl w:ilvl="1" w:tplc="A1968E48" w:tentative="1">
      <w:start w:val="1"/>
      <w:numFmt w:val="bullet"/>
      <w:lvlText w:val="o"/>
      <w:lvlJc w:val="left"/>
      <w:pPr>
        <w:ind w:left="1440" w:hanging="360"/>
      </w:pPr>
      <w:rPr>
        <w:rFonts w:ascii="Courier New" w:hAnsi="Courier New" w:hint="default"/>
      </w:rPr>
    </w:lvl>
    <w:lvl w:ilvl="2" w:tplc="0374FB10" w:tentative="1">
      <w:start w:val="1"/>
      <w:numFmt w:val="bullet"/>
      <w:lvlText w:val=""/>
      <w:lvlJc w:val="left"/>
      <w:pPr>
        <w:ind w:left="2160" w:hanging="360"/>
      </w:pPr>
      <w:rPr>
        <w:rFonts w:ascii="Wingdings" w:hAnsi="Wingdings" w:hint="default"/>
      </w:rPr>
    </w:lvl>
    <w:lvl w:ilvl="3" w:tplc="1B2245A2" w:tentative="1">
      <w:start w:val="1"/>
      <w:numFmt w:val="bullet"/>
      <w:lvlText w:val=""/>
      <w:lvlJc w:val="left"/>
      <w:pPr>
        <w:ind w:left="2880" w:hanging="360"/>
      </w:pPr>
      <w:rPr>
        <w:rFonts w:ascii="Symbol" w:hAnsi="Symbol" w:hint="default"/>
      </w:rPr>
    </w:lvl>
    <w:lvl w:ilvl="4" w:tplc="ACF6D250" w:tentative="1">
      <w:start w:val="1"/>
      <w:numFmt w:val="bullet"/>
      <w:lvlText w:val="o"/>
      <w:lvlJc w:val="left"/>
      <w:pPr>
        <w:ind w:left="3600" w:hanging="360"/>
      </w:pPr>
      <w:rPr>
        <w:rFonts w:ascii="Courier New" w:hAnsi="Courier New" w:hint="default"/>
      </w:rPr>
    </w:lvl>
    <w:lvl w:ilvl="5" w:tplc="CA8ACCF6" w:tentative="1">
      <w:start w:val="1"/>
      <w:numFmt w:val="bullet"/>
      <w:lvlText w:val=""/>
      <w:lvlJc w:val="left"/>
      <w:pPr>
        <w:ind w:left="4320" w:hanging="360"/>
      </w:pPr>
      <w:rPr>
        <w:rFonts w:ascii="Wingdings" w:hAnsi="Wingdings" w:hint="default"/>
      </w:rPr>
    </w:lvl>
    <w:lvl w:ilvl="6" w:tplc="9EA841C2" w:tentative="1">
      <w:start w:val="1"/>
      <w:numFmt w:val="bullet"/>
      <w:lvlText w:val=""/>
      <w:lvlJc w:val="left"/>
      <w:pPr>
        <w:ind w:left="5040" w:hanging="360"/>
      </w:pPr>
      <w:rPr>
        <w:rFonts w:ascii="Symbol" w:hAnsi="Symbol" w:hint="default"/>
      </w:rPr>
    </w:lvl>
    <w:lvl w:ilvl="7" w:tplc="04F4641E" w:tentative="1">
      <w:start w:val="1"/>
      <w:numFmt w:val="bullet"/>
      <w:lvlText w:val="o"/>
      <w:lvlJc w:val="left"/>
      <w:pPr>
        <w:ind w:left="5760" w:hanging="360"/>
      </w:pPr>
      <w:rPr>
        <w:rFonts w:ascii="Courier New" w:hAnsi="Courier New" w:hint="default"/>
      </w:rPr>
    </w:lvl>
    <w:lvl w:ilvl="8" w:tplc="3F76DC68" w:tentative="1">
      <w:start w:val="1"/>
      <w:numFmt w:val="bullet"/>
      <w:lvlText w:val=""/>
      <w:lvlJc w:val="left"/>
      <w:pPr>
        <w:ind w:left="6480" w:hanging="360"/>
      </w:pPr>
      <w:rPr>
        <w:rFonts w:ascii="Wingdings" w:hAnsi="Wingdings" w:hint="default"/>
      </w:rPr>
    </w:lvl>
  </w:abstractNum>
  <w:abstractNum w:abstractNumId="171" w15:restartNumberingAfterBreak="0">
    <w:nsid w:val="6AFD3762"/>
    <w:multiLevelType w:val="hybridMultilevel"/>
    <w:tmpl w:val="ACACB1A6"/>
    <w:lvl w:ilvl="0" w:tplc="2EEEEFA8">
      <w:start w:val="1"/>
      <w:numFmt w:val="bullet"/>
      <w:lvlText w:val=""/>
      <w:lvlJc w:val="left"/>
      <w:pPr>
        <w:tabs>
          <w:tab w:val="num" w:pos="567"/>
        </w:tabs>
        <w:ind w:left="567" w:hanging="567"/>
      </w:pPr>
      <w:rPr>
        <w:rFonts w:ascii="Symbol" w:hAnsi="Symbol" w:hint="default"/>
      </w:rPr>
    </w:lvl>
    <w:lvl w:ilvl="1" w:tplc="AB22B8A6" w:tentative="1">
      <w:start w:val="1"/>
      <w:numFmt w:val="bullet"/>
      <w:lvlText w:val="o"/>
      <w:lvlJc w:val="left"/>
      <w:pPr>
        <w:tabs>
          <w:tab w:val="num" w:pos="1080"/>
        </w:tabs>
        <w:ind w:left="1080" w:hanging="360"/>
      </w:pPr>
      <w:rPr>
        <w:rFonts w:ascii="Courier New" w:hAnsi="Courier New" w:hint="default"/>
      </w:rPr>
    </w:lvl>
    <w:lvl w:ilvl="2" w:tplc="51662066" w:tentative="1">
      <w:start w:val="1"/>
      <w:numFmt w:val="bullet"/>
      <w:lvlText w:val=""/>
      <w:lvlJc w:val="left"/>
      <w:pPr>
        <w:tabs>
          <w:tab w:val="num" w:pos="1800"/>
        </w:tabs>
        <w:ind w:left="1800" w:hanging="360"/>
      </w:pPr>
      <w:rPr>
        <w:rFonts w:ascii="Wingdings" w:hAnsi="Wingdings" w:hint="default"/>
      </w:rPr>
    </w:lvl>
    <w:lvl w:ilvl="3" w:tplc="6A06E700" w:tentative="1">
      <w:start w:val="1"/>
      <w:numFmt w:val="bullet"/>
      <w:lvlText w:val=""/>
      <w:lvlJc w:val="left"/>
      <w:pPr>
        <w:tabs>
          <w:tab w:val="num" w:pos="2520"/>
        </w:tabs>
        <w:ind w:left="2520" w:hanging="360"/>
      </w:pPr>
      <w:rPr>
        <w:rFonts w:ascii="Symbol" w:hAnsi="Symbol" w:hint="default"/>
      </w:rPr>
    </w:lvl>
    <w:lvl w:ilvl="4" w:tplc="7878F66A" w:tentative="1">
      <w:start w:val="1"/>
      <w:numFmt w:val="bullet"/>
      <w:lvlText w:val="o"/>
      <w:lvlJc w:val="left"/>
      <w:pPr>
        <w:tabs>
          <w:tab w:val="num" w:pos="3240"/>
        </w:tabs>
        <w:ind w:left="3240" w:hanging="360"/>
      </w:pPr>
      <w:rPr>
        <w:rFonts w:ascii="Courier New" w:hAnsi="Courier New" w:hint="default"/>
      </w:rPr>
    </w:lvl>
    <w:lvl w:ilvl="5" w:tplc="0A6C3C4E" w:tentative="1">
      <w:start w:val="1"/>
      <w:numFmt w:val="bullet"/>
      <w:lvlText w:val=""/>
      <w:lvlJc w:val="left"/>
      <w:pPr>
        <w:tabs>
          <w:tab w:val="num" w:pos="3960"/>
        </w:tabs>
        <w:ind w:left="3960" w:hanging="360"/>
      </w:pPr>
      <w:rPr>
        <w:rFonts w:ascii="Wingdings" w:hAnsi="Wingdings" w:hint="default"/>
      </w:rPr>
    </w:lvl>
    <w:lvl w:ilvl="6" w:tplc="0FAEF726" w:tentative="1">
      <w:start w:val="1"/>
      <w:numFmt w:val="bullet"/>
      <w:lvlText w:val=""/>
      <w:lvlJc w:val="left"/>
      <w:pPr>
        <w:tabs>
          <w:tab w:val="num" w:pos="4680"/>
        </w:tabs>
        <w:ind w:left="4680" w:hanging="360"/>
      </w:pPr>
      <w:rPr>
        <w:rFonts w:ascii="Symbol" w:hAnsi="Symbol" w:hint="default"/>
      </w:rPr>
    </w:lvl>
    <w:lvl w:ilvl="7" w:tplc="2244E93C" w:tentative="1">
      <w:start w:val="1"/>
      <w:numFmt w:val="bullet"/>
      <w:lvlText w:val="o"/>
      <w:lvlJc w:val="left"/>
      <w:pPr>
        <w:tabs>
          <w:tab w:val="num" w:pos="5400"/>
        </w:tabs>
        <w:ind w:left="5400" w:hanging="360"/>
      </w:pPr>
      <w:rPr>
        <w:rFonts w:ascii="Courier New" w:hAnsi="Courier New" w:hint="default"/>
      </w:rPr>
    </w:lvl>
    <w:lvl w:ilvl="8" w:tplc="44807216" w:tentative="1">
      <w:start w:val="1"/>
      <w:numFmt w:val="bullet"/>
      <w:lvlText w:val=""/>
      <w:lvlJc w:val="left"/>
      <w:pPr>
        <w:tabs>
          <w:tab w:val="num" w:pos="6120"/>
        </w:tabs>
        <w:ind w:left="6120" w:hanging="360"/>
      </w:pPr>
      <w:rPr>
        <w:rFonts w:ascii="Wingdings" w:hAnsi="Wingdings" w:hint="default"/>
      </w:rPr>
    </w:lvl>
  </w:abstractNum>
  <w:abstractNum w:abstractNumId="172" w15:restartNumberingAfterBreak="0">
    <w:nsid w:val="6B265672"/>
    <w:multiLevelType w:val="hybridMultilevel"/>
    <w:tmpl w:val="FA4CD7B8"/>
    <w:lvl w:ilvl="0" w:tplc="05DABC00">
      <w:start w:val="1"/>
      <w:numFmt w:val="bullet"/>
      <w:lvlText w:val=""/>
      <w:lvlJc w:val="left"/>
      <w:pPr>
        <w:tabs>
          <w:tab w:val="num" w:pos="567"/>
        </w:tabs>
        <w:ind w:left="567" w:hanging="567"/>
      </w:pPr>
      <w:rPr>
        <w:rFonts w:ascii="Symbol" w:hAnsi="Symbol" w:hint="default"/>
      </w:rPr>
    </w:lvl>
    <w:lvl w:ilvl="1" w:tplc="C0BA23C2">
      <w:start w:val="1"/>
      <w:numFmt w:val="bullet"/>
      <w:lvlText w:val="o"/>
      <w:lvlJc w:val="left"/>
      <w:pPr>
        <w:tabs>
          <w:tab w:val="num" w:pos="1440"/>
        </w:tabs>
        <w:ind w:left="1440" w:hanging="360"/>
      </w:pPr>
      <w:rPr>
        <w:rFonts w:ascii="Courier New" w:hAnsi="Courier New" w:hint="default"/>
      </w:rPr>
    </w:lvl>
    <w:lvl w:ilvl="2" w:tplc="25602218" w:tentative="1">
      <w:start w:val="1"/>
      <w:numFmt w:val="bullet"/>
      <w:lvlText w:val=""/>
      <w:lvlJc w:val="left"/>
      <w:pPr>
        <w:tabs>
          <w:tab w:val="num" w:pos="2160"/>
        </w:tabs>
        <w:ind w:left="2160" w:hanging="360"/>
      </w:pPr>
      <w:rPr>
        <w:rFonts w:ascii="Wingdings" w:hAnsi="Wingdings" w:hint="default"/>
      </w:rPr>
    </w:lvl>
    <w:lvl w:ilvl="3" w:tplc="5EE616B0" w:tentative="1">
      <w:start w:val="1"/>
      <w:numFmt w:val="bullet"/>
      <w:lvlText w:val=""/>
      <w:lvlJc w:val="left"/>
      <w:pPr>
        <w:tabs>
          <w:tab w:val="num" w:pos="2880"/>
        </w:tabs>
        <w:ind w:left="2880" w:hanging="360"/>
      </w:pPr>
      <w:rPr>
        <w:rFonts w:ascii="Symbol" w:hAnsi="Symbol" w:hint="default"/>
      </w:rPr>
    </w:lvl>
    <w:lvl w:ilvl="4" w:tplc="BB92575C" w:tentative="1">
      <w:start w:val="1"/>
      <w:numFmt w:val="bullet"/>
      <w:lvlText w:val="o"/>
      <w:lvlJc w:val="left"/>
      <w:pPr>
        <w:tabs>
          <w:tab w:val="num" w:pos="3600"/>
        </w:tabs>
        <w:ind w:left="3600" w:hanging="360"/>
      </w:pPr>
      <w:rPr>
        <w:rFonts w:ascii="Courier New" w:hAnsi="Courier New" w:hint="default"/>
      </w:rPr>
    </w:lvl>
    <w:lvl w:ilvl="5" w:tplc="D404200E" w:tentative="1">
      <w:start w:val="1"/>
      <w:numFmt w:val="bullet"/>
      <w:lvlText w:val=""/>
      <w:lvlJc w:val="left"/>
      <w:pPr>
        <w:tabs>
          <w:tab w:val="num" w:pos="4320"/>
        </w:tabs>
        <w:ind w:left="4320" w:hanging="360"/>
      </w:pPr>
      <w:rPr>
        <w:rFonts w:ascii="Wingdings" w:hAnsi="Wingdings" w:hint="default"/>
      </w:rPr>
    </w:lvl>
    <w:lvl w:ilvl="6" w:tplc="18CCAEAC" w:tentative="1">
      <w:start w:val="1"/>
      <w:numFmt w:val="bullet"/>
      <w:lvlText w:val=""/>
      <w:lvlJc w:val="left"/>
      <w:pPr>
        <w:tabs>
          <w:tab w:val="num" w:pos="5040"/>
        </w:tabs>
        <w:ind w:left="5040" w:hanging="360"/>
      </w:pPr>
      <w:rPr>
        <w:rFonts w:ascii="Symbol" w:hAnsi="Symbol" w:hint="default"/>
      </w:rPr>
    </w:lvl>
    <w:lvl w:ilvl="7" w:tplc="78E69ECA" w:tentative="1">
      <w:start w:val="1"/>
      <w:numFmt w:val="bullet"/>
      <w:lvlText w:val="o"/>
      <w:lvlJc w:val="left"/>
      <w:pPr>
        <w:tabs>
          <w:tab w:val="num" w:pos="5760"/>
        </w:tabs>
        <w:ind w:left="5760" w:hanging="360"/>
      </w:pPr>
      <w:rPr>
        <w:rFonts w:ascii="Courier New" w:hAnsi="Courier New" w:hint="default"/>
      </w:rPr>
    </w:lvl>
    <w:lvl w:ilvl="8" w:tplc="4CE09884"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6B851454"/>
    <w:multiLevelType w:val="hybridMultilevel"/>
    <w:tmpl w:val="5CE64306"/>
    <w:lvl w:ilvl="0" w:tplc="FF145C18">
      <w:start w:val="1"/>
      <w:numFmt w:val="bullet"/>
      <w:lvlText w:val=""/>
      <w:lvlJc w:val="left"/>
      <w:pPr>
        <w:ind w:left="720" w:hanging="360"/>
      </w:pPr>
      <w:rPr>
        <w:rFonts w:ascii="Symbol" w:hAnsi="Symbol" w:hint="default"/>
      </w:rPr>
    </w:lvl>
    <w:lvl w:ilvl="1" w:tplc="9AB0C744" w:tentative="1">
      <w:start w:val="1"/>
      <w:numFmt w:val="bullet"/>
      <w:lvlText w:val="o"/>
      <w:lvlJc w:val="left"/>
      <w:pPr>
        <w:ind w:left="1440" w:hanging="360"/>
      </w:pPr>
      <w:rPr>
        <w:rFonts w:ascii="Courier New" w:hAnsi="Courier New" w:cs="Courier New" w:hint="default"/>
      </w:rPr>
    </w:lvl>
    <w:lvl w:ilvl="2" w:tplc="FEAA6B22" w:tentative="1">
      <w:start w:val="1"/>
      <w:numFmt w:val="bullet"/>
      <w:lvlText w:val=""/>
      <w:lvlJc w:val="left"/>
      <w:pPr>
        <w:ind w:left="2160" w:hanging="360"/>
      </w:pPr>
      <w:rPr>
        <w:rFonts w:ascii="Wingdings" w:hAnsi="Wingdings" w:hint="default"/>
      </w:rPr>
    </w:lvl>
    <w:lvl w:ilvl="3" w:tplc="712C2B8A" w:tentative="1">
      <w:start w:val="1"/>
      <w:numFmt w:val="bullet"/>
      <w:lvlText w:val=""/>
      <w:lvlJc w:val="left"/>
      <w:pPr>
        <w:ind w:left="2880" w:hanging="360"/>
      </w:pPr>
      <w:rPr>
        <w:rFonts w:ascii="Symbol" w:hAnsi="Symbol" w:hint="default"/>
      </w:rPr>
    </w:lvl>
    <w:lvl w:ilvl="4" w:tplc="C666DAA2" w:tentative="1">
      <w:start w:val="1"/>
      <w:numFmt w:val="bullet"/>
      <w:lvlText w:val="o"/>
      <w:lvlJc w:val="left"/>
      <w:pPr>
        <w:ind w:left="3600" w:hanging="360"/>
      </w:pPr>
      <w:rPr>
        <w:rFonts w:ascii="Courier New" w:hAnsi="Courier New" w:cs="Courier New" w:hint="default"/>
      </w:rPr>
    </w:lvl>
    <w:lvl w:ilvl="5" w:tplc="236EB568" w:tentative="1">
      <w:start w:val="1"/>
      <w:numFmt w:val="bullet"/>
      <w:lvlText w:val=""/>
      <w:lvlJc w:val="left"/>
      <w:pPr>
        <w:ind w:left="4320" w:hanging="360"/>
      </w:pPr>
      <w:rPr>
        <w:rFonts w:ascii="Wingdings" w:hAnsi="Wingdings" w:hint="default"/>
      </w:rPr>
    </w:lvl>
    <w:lvl w:ilvl="6" w:tplc="02607CAC" w:tentative="1">
      <w:start w:val="1"/>
      <w:numFmt w:val="bullet"/>
      <w:lvlText w:val=""/>
      <w:lvlJc w:val="left"/>
      <w:pPr>
        <w:ind w:left="5040" w:hanging="360"/>
      </w:pPr>
      <w:rPr>
        <w:rFonts w:ascii="Symbol" w:hAnsi="Symbol" w:hint="default"/>
      </w:rPr>
    </w:lvl>
    <w:lvl w:ilvl="7" w:tplc="599E7DC4" w:tentative="1">
      <w:start w:val="1"/>
      <w:numFmt w:val="bullet"/>
      <w:lvlText w:val="o"/>
      <w:lvlJc w:val="left"/>
      <w:pPr>
        <w:ind w:left="5760" w:hanging="360"/>
      </w:pPr>
      <w:rPr>
        <w:rFonts w:ascii="Courier New" w:hAnsi="Courier New" w:cs="Courier New" w:hint="default"/>
      </w:rPr>
    </w:lvl>
    <w:lvl w:ilvl="8" w:tplc="6D9EBA96" w:tentative="1">
      <w:start w:val="1"/>
      <w:numFmt w:val="bullet"/>
      <w:lvlText w:val=""/>
      <w:lvlJc w:val="left"/>
      <w:pPr>
        <w:ind w:left="6480" w:hanging="360"/>
      </w:pPr>
      <w:rPr>
        <w:rFonts w:ascii="Wingdings" w:hAnsi="Wingdings" w:hint="default"/>
      </w:rPr>
    </w:lvl>
  </w:abstractNum>
  <w:abstractNum w:abstractNumId="174" w15:restartNumberingAfterBreak="0">
    <w:nsid w:val="6DC14494"/>
    <w:multiLevelType w:val="hybridMultilevel"/>
    <w:tmpl w:val="55EEFF94"/>
    <w:lvl w:ilvl="0" w:tplc="B02AF076">
      <w:start w:val="1"/>
      <w:numFmt w:val="bullet"/>
      <w:lvlText w:val=""/>
      <w:lvlJc w:val="left"/>
      <w:pPr>
        <w:ind w:left="720" w:hanging="360"/>
      </w:pPr>
      <w:rPr>
        <w:rFonts w:ascii="Symbol" w:hAnsi="Symbol" w:hint="default"/>
      </w:rPr>
    </w:lvl>
    <w:lvl w:ilvl="1" w:tplc="85220D80" w:tentative="1">
      <w:start w:val="1"/>
      <w:numFmt w:val="bullet"/>
      <w:lvlText w:val="o"/>
      <w:lvlJc w:val="left"/>
      <w:pPr>
        <w:ind w:left="1440" w:hanging="360"/>
      </w:pPr>
      <w:rPr>
        <w:rFonts w:ascii="Courier New" w:hAnsi="Courier New" w:cs="Courier New" w:hint="default"/>
      </w:rPr>
    </w:lvl>
    <w:lvl w:ilvl="2" w:tplc="3C18EBE4" w:tentative="1">
      <w:start w:val="1"/>
      <w:numFmt w:val="bullet"/>
      <w:lvlText w:val=""/>
      <w:lvlJc w:val="left"/>
      <w:pPr>
        <w:ind w:left="2160" w:hanging="360"/>
      </w:pPr>
      <w:rPr>
        <w:rFonts w:ascii="Wingdings" w:hAnsi="Wingdings" w:hint="default"/>
      </w:rPr>
    </w:lvl>
    <w:lvl w:ilvl="3" w:tplc="27D46906" w:tentative="1">
      <w:start w:val="1"/>
      <w:numFmt w:val="bullet"/>
      <w:lvlText w:val=""/>
      <w:lvlJc w:val="left"/>
      <w:pPr>
        <w:ind w:left="2880" w:hanging="360"/>
      </w:pPr>
      <w:rPr>
        <w:rFonts w:ascii="Symbol" w:hAnsi="Symbol" w:hint="default"/>
      </w:rPr>
    </w:lvl>
    <w:lvl w:ilvl="4" w:tplc="8BC48866" w:tentative="1">
      <w:start w:val="1"/>
      <w:numFmt w:val="bullet"/>
      <w:lvlText w:val="o"/>
      <w:lvlJc w:val="left"/>
      <w:pPr>
        <w:ind w:left="3600" w:hanging="360"/>
      </w:pPr>
      <w:rPr>
        <w:rFonts w:ascii="Courier New" w:hAnsi="Courier New" w:cs="Courier New" w:hint="default"/>
      </w:rPr>
    </w:lvl>
    <w:lvl w:ilvl="5" w:tplc="32DEC112" w:tentative="1">
      <w:start w:val="1"/>
      <w:numFmt w:val="bullet"/>
      <w:lvlText w:val=""/>
      <w:lvlJc w:val="left"/>
      <w:pPr>
        <w:ind w:left="4320" w:hanging="360"/>
      </w:pPr>
      <w:rPr>
        <w:rFonts w:ascii="Wingdings" w:hAnsi="Wingdings" w:hint="default"/>
      </w:rPr>
    </w:lvl>
    <w:lvl w:ilvl="6" w:tplc="8A5C8C7A" w:tentative="1">
      <w:start w:val="1"/>
      <w:numFmt w:val="bullet"/>
      <w:lvlText w:val=""/>
      <w:lvlJc w:val="left"/>
      <w:pPr>
        <w:ind w:left="5040" w:hanging="360"/>
      </w:pPr>
      <w:rPr>
        <w:rFonts w:ascii="Symbol" w:hAnsi="Symbol" w:hint="default"/>
      </w:rPr>
    </w:lvl>
    <w:lvl w:ilvl="7" w:tplc="B09A8A76" w:tentative="1">
      <w:start w:val="1"/>
      <w:numFmt w:val="bullet"/>
      <w:lvlText w:val="o"/>
      <w:lvlJc w:val="left"/>
      <w:pPr>
        <w:ind w:left="5760" w:hanging="360"/>
      </w:pPr>
      <w:rPr>
        <w:rFonts w:ascii="Courier New" w:hAnsi="Courier New" w:cs="Courier New" w:hint="default"/>
      </w:rPr>
    </w:lvl>
    <w:lvl w:ilvl="8" w:tplc="64E88E0A" w:tentative="1">
      <w:start w:val="1"/>
      <w:numFmt w:val="bullet"/>
      <w:lvlText w:val=""/>
      <w:lvlJc w:val="left"/>
      <w:pPr>
        <w:ind w:left="6480" w:hanging="360"/>
      </w:pPr>
      <w:rPr>
        <w:rFonts w:ascii="Wingdings" w:hAnsi="Wingdings" w:hint="default"/>
      </w:rPr>
    </w:lvl>
  </w:abstractNum>
  <w:abstractNum w:abstractNumId="175" w15:restartNumberingAfterBreak="0">
    <w:nsid w:val="6E917AA9"/>
    <w:multiLevelType w:val="hybridMultilevel"/>
    <w:tmpl w:val="ED00ACDA"/>
    <w:lvl w:ilvl="0" w:tplc="4B1E1C20">
      <w:start w:val="1"/>
      <w:numFmt w:val="bullet"/>
      <w:lvlText w:val=""/>
      <w:lvlJc w:val="left"/>
      <w:pPr>
        <w:tabs>
          <w:tab w:val="num" w:pos="567"/>
        </w:tabs>
        <w:ind w:left="567" w:hanging="567"/>
      </w:pPr>
      <w:rPr>
        <w:rFonts w:ascii="Symbol" w:hAnsi="Symbol" w:hint="default"/>
      </w:rPr>
    </w:lvl>
    <w:lvl w:ilvl="1" w:tplc="7DD4B86A" w:tentative="1">
      <w:start w:val="1"/>
      <w:numFmt w:val="bullet"/>
      <w:lvlText w:val="o"/>
      <w:lvlJc w:val="left"/>
      <w:pPr>
        <w:tabs>
          <w:tab w:val="num" w:pos="1440"/>
        </w:tabs>
        <w:ind w:left="1440" w:hanging="360"/>
      </w:pPr>
      <w:rPr>
        <w:rFonts w:ascii="Courier New" w:hAnsi="Courier New" w:hint="default"/>
      </w:rPr>
    </w:lvl>
    <w:lvl w:ilvl="2" w:tplc="73E807F2" w:tentative="1">
      <w:start w:val="1"/>
      <w:numFmt w:val="bullet"/>
      <w:lvlText w:val=""/>
      <w:lvlJc w:val="left"/>
      <w:pPr>
        <w:tabs>
          <w:tab w:val="num" w:pos="2160"/>
        </w:tabs>
        <w:ind w:left="2160" w:hanging="360"/>
      </w:pPr>
      <w:rPr>
        <w:rFonts w:ascii="Wingdings" w:hAnsi="Wingdings" w:hint="default"/>
      </w:rPr>
    </w:lvl>
    <w:lvl w:ilvl="3" w:tplc="1DD006B0" w:tentative="1">
      <w:start w:val="1"/>
      <w:numFmt w:val="bullet"/>
      <w:lvlText w:val=""/>
      <w:lvlJc w:val="left"/>
      <w:pPr>
        <w:tabs>
          <w:tab w:val="num" w:pos="2880"/>
        </w:tabs>
        <w:ind w:left="2880" w:hanging="360"/>
      </w:pPr>
      <w:rPr>
        <w:rFonts w:ascii="Symbol" w:hAnsi="Symbol" w:hint="default"/>
      </w:rPr>
    </w:lvl>
    <w:lvl w:ilvl="4" w:tplc="01487756" w:tentative="1">
      <w:start w:val="1"/>
      <w:numFmt w:val="bullet"/>
      <w:lvlText w:val="o"/>
      <w:lvlJc w:val="left"/>
      <w:pPr>
        <w:tabs>
          <w:tab w:val="num" w:pos="3600"/>
        </w:tabs>
        <w:ind w:left="3600" w:hanging="360"/>
      </w:pPr>
      <w:rPr>
        <w:rFonts w:ascii="Courier New" w:hAnsi="Courier New" w:hint="default"/>
      </w:rPr>
    </w:lvl>
    <w:lvl w:ilvl="5" w:tplc="938CD6C2" w:tentative="1">
      <w:start w:val="1"/>
      <w:numFmt w:val="bullet"/>
      <w:lvlText w:val=""/>
      <w:lvlJc w:val="left"/>
      <w:pPr>
        <w:tabs>
          <w:tab w:val="num" w:pos="4320"/>
        </w:tabs>
        <w:ind w:left="4320" w:hanging="360"/>
      </w:pPr>
      <w:rPr>
        <w:rFonts w:ascii="Wingdings" w:hAnsi="Wingdings" w:hint="default"/>
      </w:rPr>
    </w:lvl>
    <w:lvl w:ilvl="6" w:tplc="7EDAF29E" w:tentative="1">
      <w:start w:val="1"/>
      <w:numFmt w:val="bullet"/>
      <w:lvlText w:val=""/>
      <w:lvlJc w:val="left"/>
      <w:pPr>
        <w:tabs>
          <w:tab w:val="num" w:pos="5040"/>
        </w:tabs>
        <w:ind w:left="5040" w:hanging="360"/>
      </w:pPr>
      <w:rPr>
        <w:rFonts w:ascii="Symbol" w:hAnsi="Symbol" w:hint="default"/>
      </w:rPr>
    </w:lvl>
    <w:lvl w:ilvl="7" w:tplc="17FA4A66" w:tentative="1">
      <w:start w:val="1"/>
      <w:numFmt w:val="bullet"/>
      <w:lvlText w:val="o"/>
      <w:lvlJc w:val="left"/>
      <w:pPr>
        <w:tabs>
          <w:tab w:val="num" w:pos="5760"/>
        </w:tabs>
        <w:ind w:left="5760" w:hanging="360"/>
      </w:pPr>
      <w:rPr>
        <w:rFonts w:ascii="Courier New" w:hAnsi="Courier New" w:hint="default"/>
      </w:rPr>
    </w:lvl>
    <w:lvl w:ilvl="8" w:tplc="B3EE47F6"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724518A6"/>
    <w:multiLevelType w:val="hybridMultilevel"/>
    <w:tmpl w:val="BBF09C96"/>
    <w:lvl w:ilvl="0" w:tplc="00FC2C8C">
      <w:start w:val="1"/>
      <w:numFmt w:val="bullet"/>
      <w:lvlText w:val=""/>
      <w:lvlJc w:val="left"/>
      <w:pPr>
        <w:ind w:left="720" w:hanging="360"/>
      </w:pPr>
      <w:rPr>
        <w:rFonts w:ascii="Symbol" w:hAnsi="Symbol" w:hint="default"/>
      </w:rPr>
    </w:lvl>
    <w:lvl w:ilvl="1" w:tplc="6824838E" w:tentative="1">
      <w:start w:val="1"/>
      <w:numFmt w:val="bullet"/>
      <w:lvlText w:val="o"/>
      <w:lvlJc w:val="left"/>
      <w:pPr>
        <w:ind w:left="1440" w:hanging="360"/>
      </w:pPr>
      <w:rPr>
        <w:rFonts w:ascii="Courier New" w:hAnsi="Courier New" w:cs="Courier New" w:hint="default"/>
      </w:rPr>
    </w:lvl>
    <w:lvl w:ilvl="2" w:tplc="6C22E540" w:tentative="1">
      <w:start w:val="1"/>
      <w:numFmt w:val="bullet"/>
      <w:lvlText w:val=""/>
      <w:lvlJc w:val="left"/>
      <w:pPr>
        <w:ind w:left="2160" w:hanging="360"/>
      </w:pPr>
      <w:rPr>
        <w:rFonts w:ascii="Wingdings" w:hAnsi="Wingdings" w:hint="default"/>
      </w:rPr>
    </w:lvl>
    <w:lvl w:ilvl="3" w:tplc="46A0B8A6" w:tentative="1">
      <w:start w:val="1"/>
      <w:numFmt w:val="bullet"/>
      <w:lvlText w:val=""/>
      <w:lvlJc w:val="left"/>
      <w:pPr>
        <w:ind w:left="2880" w:hanging="360"/>
      </w:pPr>
      <w:rPr>
        <w:rFonts w:ascii="Symbol" w:hAnsi="Symbol" w:hint="default"/>
      </w:rPr>
    </w:lvl>
    <w:lvl w:ilvl="4" w:tplc="2E8C021A" w:tentative="1">
      <w:start w:val="1"/>
      <w:numFmt w:val="bullet"/>
      <w:lvlText w:val="o"/>
      <w:lvlJc w:val="left"/>
      <w:pPr>
        <w:ind w:left="3600" w:hanging="360"/>
      </w:pPr>
      <w:rPr>
        <w:rFonts w:ascii="Courier New" w:hAnsi="Courier New" w:cs="Courier New" w:hint="default"/>
      </w:rPr>
    </w:lvl>
    <w:lvl w:ilvl="5" w:tplc="0BB0BE3E" w:tentative="1">
      <w:start w:val="1"/>
      <w:numFmt w:val="bullet"/>
      <w:lvlText w:val=""/>
      <w:lvlJc w:val="left"/>
      <w:pPr>
        <w:ind w:left="4320" w:hanging="360"/>
      </w:pPr>
      <w:rPr>
        <w:rFonts w:ascii="Wingdings" w:hAnsi="Wingdings" w:hint="default"/>
      </w:rPr>
    </w:lvl>
    <w:lvl w:ilvl="6" w:tplc="F30CAEAE" w:tentative="1">
      <w:start w:val="1"/>
      <w:numFmt w:val="bullet"/>
      <w:lvlText w:val=""/>
      <w:lvlJc w:val="left"/>
      <w:pPr>
        <w:ind w:left="5040" w:hanging="360"/>
      </w:pPr>
      <w:rPr>
        <w:rFonts w:ascii="Symbol" w:hAnsi="Symbol" w:hint="default"/>
      </w:rPr>
    </w:lvl>
    <w:lvl w:ilvl="7" w:tplc="B75E2F56" w:tentative="1">
      <w:start w:val="1"/>
      <w:numFmt w:val="bullet"/>
      <w:lvlText w:val="o"/>
      <w:lvlJc w:val="left"/>
      <w:pPr>
        <w:ind w:left="5760" w:hanging="360"/>
      </w:pPr>
      <w:rPr>
        <w:rFonts w:ascii="Courier New" w:hAnsi="Courier New" w:cs="Courier New" w:hint="default"/>
      </w:rPr>
    </w:lvl>
    <w:lvl w:ilvl="8" w:tplc="664274BE" w:tentative="1">
      <w:start w:val="1"/>
      <w:numFmt w:val="bullet"/>
      <w:lvlText w:val=""/>
      <w:lvlJc w:val="left"/>
      <w:pPr>
        <w:ind w:left="6480" w:hanging="360"/>
      </w:pPr>
      <w:rPr>
        <w:rFonts w:ascii="Wingdings" w:hAnsi="Wingdings" w:hint="default"/>
      </w:rPr>
    </w:lvl>
  </w:abstractNum>
  <w:abstractNum w:abstractNumId="177" w15:restartNumberingAfterBreak="0">
    <w:nsid w:val="727F433E"/>
    <w:multiLevelType w:val="hybridMultilevel"/>
    <w:tmpl w:val="4B0C85BA"/>
    <w:lvl w:ilvl="0" w:tplc="D1146FF8">
      <w:start w:val="1"/>
      <w:numFmt w:val="bullet"/>
      <w:lvlText w:val=""/>
      <w:lvlJc w:val="left"/>
      <w:pPr>
        <w:ind w:left="720" w:hanging="360"/>
      </w:pPr>
      <w:rPr>
        <w:rFonts w:ascii="Symbol" w:hAnsi="Symbol" w:hint="default"/>
      </w:rPr>
    </w:lvl>
    <w:lvl w:ilvl="1" w:tplc="17C4FCE0" w:tentative="1">
      <w:start w:val="1"/>
      <w:numFmt w:val="bullet"/>
      <w:lvlText w:val="o"/>
      <w:lvlJc w:val="left"/>
      <w:pPr>
        <w:ind w:left="1440" w:hanging="360"/>
      </w:pPr>
      <w:rPr>
        <w:rFonts w:ascii="Courier New" w:hAnsi="Courier New" w:cs="Courier New" w:hint="default"/>
      </w:rPr>
    </w:lvl>
    <w:lvl w:ilvl="2" w:tplc="E0CECF9E" w:tentative="1">
      <w:start w:val="1"/>
      <w:numFmt w:val="bullet"/>
      <w:lvlText w:val=""/>
      <w:lvlJc w:val="left"/>
      <w:pPr>
        <w:ind w:left="2160" w:hanging="360"/>
      </w:pPr>
      <w:rPr>
        <w:rFonts w:ascii="Wingdings" w:hAnsi="Wingdings" w:hint="default"/>
      </w:rPr>
    </w:lvl>
    <w:lvl w:ilvl="3" w:tplc="7B9A55F6" w:tentative="1">
      <w:start w:val="1"/>
      <w:numFmt w:val="bullet"/>
      <w:lvlText w:val=""/>
      <w:lvlJc w:val="left"/>
      <w:pPr>
        <w:ind w:left="2880" w:hanging="360"/>
      </w:pPr>
      <w:rPr>
        <w:rFonts w:ascii="Symbol" w:hAnsi="Symbol" w:hint="default"/>
      </w:rPr>
    </w:lvl>
    <w:lvl w:ilvl="4" w:tplc="147C22BC" w:tentative="1">
      <w:start w:val="1"/>
      <w:numFmt w:val="bullet"/>
      <w:lvlText w:val="o"/>
      <w:lvlJc w:val="left"/>
      <w:pPr>
        <w:ind w:left="3600" w:hanging="360"/>
      </w:pPr>
      <w:rPr>
        <w:rFonts w:ascii="Courier New" w:hAnsi="Courier New" w:cs="Courier New" w:hint="default"/>
      </w:rPr>
    </w:lvl>
    <w:lvl w:ilvl="5" w:tplc="F94205DE" w:tentative="1">
      <w:start w:val="1"/>
      <w:numFmt w:val="bullet"/>
      <w:lvlText w:val=""/>
      <w:lvlJc w:val="left"/>
      <w:pPr>
        <w:ind w:left="4320" w:hanging="360"/>
      </w:pPr>
      <w:rPr>
        <w:rFonts w:ascii="Wingdings" w:hAnsi="Wingdings" w:hint="default"/>
      </w:rPr>
    </w:lvl>
    <w:lvl w:ilvl="6" w:tplc="93A24C7C" w:tentative="1">
      <w:start w:val="1"/>
      <w:numFmt w:val="bullet"/>
      <w:lvlText w:val=""/>
      <w:lvlJc w:val="left"/>
      <w:pPr>
        <w:ind w:left="5040" w:hanging="360"/>
      </w:pPr>
      <w:rPr>
        <w:rFonts w:ascii="Symbol" w:hAnsi="Symbol" w:hint="default"/>
      </w:rPr>
    </w:lvl>
    <w:lvl w:ilvl="7" w:tplc="842E5094" w:tentative="1">
      <w:start w:val="1"/>
      <w:numFmt w:val="bullet"/>
      <w:lvlText w:val="o"/>
      <w:lvlJc w:val="left"/>
      <w:pPr>
        <w:ind w:left="5760" w:hanging="360"/>
      </w:pPr>
      <w:rPr>
        <w:rFonts w:ascii="Courier New" w:hAnsi="Courier New" w:cs="Courier New" w:hint="default"/>
      </w:rPr>
    </w:lvl>
    <w:lvl w:ilvl="8" w:tplc="AA506520" w:tentative="1">
      <w:start w:val="1"/>
      <w:numFmt w:val="bullet"/>
      <w:lvlText w:val=""/>
      <w:lvlJc w:val="left"/>
      <w:pPr>
        <w:ind w:left="6480" w:hanging="360"/>
      </w:pPr>
      <w:rPr>
        <w:rFonts w:ascii="Wingdings" w:hAnsi="Wingdings" w:hint="default"/>
      </w:rPr>
    </w:lvl>
  </w:abstractNum>
  <w:abstractNum w:abstractNumId="178" w15:restartNumberingAfterBreak="0">
    <w:nsid w:val="72947352"/>
    <w:multiLevelType w:val="hybridMultilevel"/>
    <w:tmpl w:val="E5A0B27C"/>
    <w:lvl w:ilvl="0" w:tplc="2C30A5BA">
      <w:start w:val="1"/>
      <w:numFmt w:val="bullet"/>
      <w:lvlText w:val=""/>
      <w:lvlJc w:val="left"/>
      <w:pPr>
        <w:tabs>
          <w:tab w:val="num" w:pos="567"/>
        </w:tabs>
        <w:ind w:left="567" w:hanging="567"/>
      </w:pPr>
      <w:rPr>
        <w:rFonts w:ascii="Symbol" w:hAnsi="Symbol" w:hint="default"/>
      </w:rPr>
    </w:lvl>
    <w:lvl w:ilvl="1" w:tplc="6D0E4C18">
      <w:start w:val="1"/>
      <w:numFmt w:val="bullet"/>
      <w:lvlText w:val=""/>
      <w:lvlJc w:val="left"/>
      <w:pPr>
        <w:tabs>
          <w:tab w:val="num" w:pos="567"/>
        </w:tabs>
        <w:ind w:left="567" w:hanging="567"/>
      </w:pPr>
      <w:rPr>
        <w:rFonts w:ascii="Symbol" w:hAnsi="Symbol" w:hint="default"/>
      </w:rPr>
    </w:lvl>
    <w:lvl w:ilvl="2" w:tplc="B372B83C" w:tentative="1">
      <w:start w:val="1"/>
      <w:numFmt w:val="bullet"/>
      <w:lvlText w:val=""/>
      <w:lvlJc w:val="left"/>
      <w:pPr>
        <w:tabs>
          <w:tab w:val="num" w:pos="2160"/>
        </w:tabs>
        <w:ind w:left="2160" w:hanging="360"/>
      </w:pPr>
      <w:rPr>
        <w:rFonts w:ascii="Wingdings" w:hAnsi="Wingdings" w:hint="default"/>
      </w:rPr>
    </w:lvl>
    <w:lvl w:ilvl="3" w:tplc="567AEA88" w:tentative="1">
      <w:start w:val="1"/>
      <w:numFmt w:val="bullet"/>
      <w:lvlText w:val=""/>
      <w:lvlJc w:val="left"/>
      <w:pPr>
        <w:tabs>
          <w:tab w:val="num" w:pos="2880"/>
        </w:tabs>
        <w:ind w:left="2880" w:hanging="360"/>
      </w:pPr>
      <w:rPr>
        <w:rFonts w:ascii="Symbol" w:hAnsi="Symbol" w:hint="default"/>
      </w:rPr>
    </w:lvl>
    <w:lvl w:ilvl="4" w:tplc="0A9C41EA" w:tentative="1">
      <w:start w:val="1"/>
      <w:numFmt w:val="bullet"/>
      <w:lvlText w:val="o"/>
      <w:lvlJc w:val="left"/>
      <w:pPr>
        <w:tabs>
          <w:tab w:val="num" w:pos="3600"/>
        </w:tabs>
        <w:ind w:left="3600" w:hanging="360"/>
      </w:pPr>
      <w:rPr>
        <w:rFonts w:ascii="Courier New" w:hAnsi="Courier New" w:hint="default"/>
      </w:rPr>
    </w:lvl>
    <w:lvl w:ilvl="5" w:tplc="3E1E6EAA" w:tentative="1">
      <w:start w:val="1"/>
      <w:numFmt w:val="bullet"/>
      <w:lvlText w:val=""/>
      <w:lvlJc w:val="left"/>
      <w:pPr>
        <w:tabs>
          <w:tab w:val="num" w:pos="4320"/>
        </w:tabs>
        <w:ind w:left="4320" w:hanging="360"/>
      </w:pPr>
      <w:rPr>
        <w:rFonts w:ascii="Wingdings" w:hAnsi="Wingdings" w:hint="default"/>
      </w:rPr>
    </w:lvl>
    <w:lvl w:ilvl="6" w:tplc="10002A04" w:tentative="1">
      <w:start w:val="1"/>
      <w:numFmt w:val="bullet"/>
      <w:lvlText w:val=""/>
      <w:lvlJc w:val="left"/>
      <w:pPr>
        <w:tabs>
          <w:tab w:val="num" w:pos="5040"/>
        </w:tabs>
        <w:ind w:left="5040" w:hanging="360"/>
      </w:pPr>
      <w:rPr>
        <w:rFonts w:ascii="Symbol" w:hAnsi="Symbol" w:hint="default"/>
      </w:rPr>
    </w:lvl>
    <w:lvl w:ilvl="7" w:tplc="29260132" w:tentative="1">
      <w:start w:val="1"/>
      <w:numFmt w:val="bullet"/>
      <w:lvlText w:val="o"/>
      <w:lvlJc w:val="left"/>
      <w:pPr>
        <w:tabs>
          <w:tab w:val="num" w:pos="5760"/>
        </w:tabs>
        <w:ind w:left="5760" w:hanging="360"/>
      </w:pPr>
      <w:rPr>
        <w:rFonts w:ascii="Courier New" w:hAnsi="Courier New" w:hint="default"/>
      </w:rPr>
    </w:lvl>
    <w:lvl w:ilvl="8" w:tplc="3BE634FC"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73357CAB"/>
    <w:multiLevelType w:val="hybridMultilevel"/>
    <w:tmpl w:val="93440F44"/>
    <w:lvl w:ilvl="0" w:tplc="13C24924">
      <w:start w:val="1"/>
      <w:numFmt w:val="bullet"/>
      <w:lvlText w:val=""/>
      <w:lvlJc w:val="left"/>
      <w:pPr>
        <w:ind w:left="870" w:hanging="360"/>
      </w:pPr>
      <w:rPr>
        <w:rFonts w:ascii="Symbol" w:hAnsi="Symbol" w:hint="default"/>
      </w:rPr>
    </w:lvl>
    <w:lvl w:ilvl="1" w:tplc="7EAE4B2C" w:tentative="1">
      <w:start w:val="1"/>
      <w:numFmt w:val="bullet"/>
      <w:lvlText w:val="o"/>
      <w:lvlJc w:val="left"/>
      <w:pPr>
        <w:ind w:left="1590" w:hanging="360"/>
      </w:pPr>
      <w:rPr>
        <w:rFonts w:ascii="Courier New" w:hAnsi="Courier New" w:cs="Courier New" w:hint="default"/>
      </w:rPr>
    </w:lvl>
    <w:lvl w:ilvl="2" w:tplc="59F20CFA" w:tentative="1">
      <w:start w:val="1"/>
      <w:numFmt w:val="bullet"/>
      <w:lvlText w:val=""/>
      <w:lvlJc w:val="left"/>
      <w:pPr>
        <w:ind w:left="2310" w:hanging="360"/>
      </w:pPr>
      <w:rPr>
        <w:rFonts w:ascii="Wingdings" w:hAnsi="Wingdings" w:hint="default"/>
      </w:rPr>
    </w:lvl>
    <w:lvl w:ilvl="3" w:tplc="55CABD82" w:tentative="1">
      <w:start w:val="1"/>
      <w:numFmt w:val="bullet"/>
      <w:lvlText w:val=""/>
      <w:lvlJc w:val="left"/>
      <w:pPr>
        <w:ind w:left="3030" w:hanging="360"/>
      </w:pPr>
      <w:rPr>
        <w:rFonts w:ascii="Symbol" w:hAnsi="Symbol" w:hint="default"/>
      </w:rPr>
    </w:lvl>
    <w:lvl w:ilvl="4" w:tplc="B93E1C90" w:tentative="1">
      <w:start w:val="1"/>
      <w:numFmt w:val="bullet"/>
      <w:lvlText w:val="o"/>
      <w:lvlJc w:val="left"/>
      <w:pPr>
        <w:ind w:left="3750" w:hanging="360"/>
      </w:pPr>
      <w:rPr>
        <w:rFonts w:ascii="Courier New" w:hAnsi="Courier New" w:cs="Courier New" w:hint="default"/>
      </w:rPr>
    </w:lvl>
    <w:lvl w:ilvl="5" w:tplc="342E12B0" w:tentative="1">
      <w:start w:val="1"/>
      <w:numFmt w:val="bullet"/>
      <w:lvlText w:val=""/>
      <w:lvlJc w:val="left"/>
      <w:pPr>
        <w:ind w:left="4470" w:hanging="360"/>
      </w:pPr>
      <w:rPr>
        <w:rFonts w:ascii="Wingdings" w:hAnsi="Wingdings" w:hint="default"/>
      </w:rPr>
    </w:lvl>
    <w:lvl w:ilvl="6" w:tplc="5F14F2DE" w:tentative="1">
      <w:start w:val="1"/>
      <w:numFmt w:val="bullet"/>
      <w:lvlText w:val=""/>
      <w:lvlJc w:val="left"/>
      <w:pPr>
        <w:ind w:left="5190" w:hanging="360"/>
      </w:pPr>
      <w:rPr>
        <w:rFonts w:ascii="Symbol" w:hAnsi="Symbol" w:hint="default"/>
      </w:rPr>
    </w:lvl>
    <w:lvl w:ilvl="7" w:tplc="CD828A78" w:tentative="1">
      <w:start w:val="1"/>
      <w:numFmt w:val="bullet"/>
      <w:lvlText w:val="o"/>
      <w:lvlJc w:val="left"/>
      <w:pPr>
        <w:ind w:left="5910" w:hanging="360"/>
      </w:pPr>
      <w:rPr>
        <w:rFonts w:ascii="Courier New" w:hAnsi="Courier New" w:cs="Courier New" w:hint="default"/>
      </w:rPr>
    </w:lvl>
    <w:lvl w:ilvl="8" w:tplc="C33A0B50" w:tentative="1">
      <w:start w:val="1"/>
      <w:numFmt w:val="bullet"/>
      <w:lvlText w:val=""/>
      <w:lvlJc w:val="left"/>
      <w:pPr>
        <w:ind w:left="6630" w:hanging="360"/>
      </w:pPr>
      <w:rPr>
        <w:rFonts w:ascii="Wingdings" w:hAnsi="Wingdings" w:hint="default"/>
      </w:rPr>
    </w:lvl>
  </w:abstractNum>
  <w:abstractNum w:abstractNumId="180" w15:restartNumberingAfterBreak="0">
    <w:nsid w:val="737B0BE8"/>
    <w:multiLevelType w:val="singleLevel"/>
    <w:tmpl w:val="911C49B8"/>
    <w:lvl w:ilvl="0">
      <w:start w:val="1"/>
      <w:numFmt w:val="lowerLetter"/>
      <w:lvlText w:val="%1"/>
      <w:lvlJc w:val="left"/>
      <w:pPr>
        <w:ind w:left="360" w:hanging="360"/>
      </w:pPr>
      <w:rPr>
        <w:rFonts w:ascii="Times New Roman" w:hAnsi="Times New Roman" w:cs="Times New Roman" w:hint="default"/>
        <w:b/>
        <w:i w:val="0"/>
        <w:caps w:val="0"/>
        <w:sz w:val="22"/>
        <w:szCs w:val="22"/>
        <w:u w:val="none"/>
        <w:vertAlign w:val="superscript"/>
      </w:rPr>
    </w:lvl>
  </w:abstractNum>
  <w:abstractNum w:abstractNumId="181" w15:restartNumberingAfterBreak="0">
    <w:nsid w:val="73BF393A"/>
    <w:multiLevelType w:val="hybridMultilevel"/>
    <w:tmpl w:val="314C8E28"/>
    <w:lvl w:ilvl="0" w:tplc="E3421AF2">
      <w:start w:val="1"/>
      <w:numFmt w:val="bullet"/>
      <w:lvlText w:val=""/>
      <w:lvlJc w:val="left"/>
      <w:pPr>
        <w:ind w:left="720" w:hanging="360"/>
      </w:pPr>
      <w:rPr>
        <w:rFonts w:ascii="Symbol" w:hAnsi="Symbol" w:hint="default"/>
      </w:rPr>
    </w:lvl>
    <w:lvl w:ilvl="1" w:tplc="34BC7380" w:tentative="1">
      <w:start w:val="1"/>
      <w:numFmt w:val="bullet"/>
      <w:lvlText w:val="o"/>
      <w:lvlJc w:val="left"/>
      <w:pPr>
        <w:ind w:left="1440" w:hanging="360"/>
      </w:pPr>
      <w:rPr>
        <w:rFonts w:ascii="Courier New" w:hAnsi="Courier New" w:cs="Courier New" w:hint="default"/>
      </w:rPr>
    </w:lvl>
    <w:lvl w:ilvl="2" w:tplc="67BCF100" w:tentative="1">
      <w:start w:val="1"/>
      <w:numFmt w:val="bullet"/>
      <w:lvlText w:val=""/>
      <w:lvlJc w:val="left"/>
      <w:pPr>
        <w:ind w:left="2160" w:hanging="360"/>
      </w:pPr>
      <w:rPr>
        <w:rFonts w:ascii="Wingdings" w:hAnsi="Wingdings" w:hint="default"/>
      </w:rPr>
    </w:lvl>
    <w:lvl w:ilvl="3" w:tplc="28D289EC" w:tentative="1">
      <w:start w:val="1"/>
      <w:numFmt w:val="bullet"/>
      <w:lvlText w:val=""/>
      <w:lvlJc w:val="left"/>
      <w:pPr>
        <w:ind w:left="2880" w:hanging="360"/>
      </w:pPr>
      <w:rPr>
        <w:rFonts w:ascii="Symbol" w:hAnsi="Symbol" w:hint="default"/>
      </w:rPr>
    </w:lvl>
    <w:lvl w:ilvl="4" w:tplc="CDD291F6" w:tentative="1">
      <w:start w:val="1"/>
      <w:numFmt w:val="bullet"/>
      <w:lvlText w:val="o"/>
      <w:lvlJc w:val="left"/>
      <w:pPr>
        <w:ind w:left="3600" w:hanging="360"/>
      </w:pPr>
      <w:rPr>
        <w:rFonts w:ascii="Courier New" w:hAnsi="Courier New" w:cs="Courier New" w:hint="default"/>
      </w:rPr>
    </w:lvl>
    <w:lvl w:ilvl="5" w:tplc="36585CFC" w:tentative="1">
      <w:start w:val="1"/>
      <w:numFmt w:val="bullet"/>
      <w:lvlText w:val=""/>
      <w:lvlJc w:val="left"/>
      <w:pPr>
        <w:ind w:left="4320" w:hanging="360"/>
      </w:pPr>
      <w:rPr>
        <w:rFonts w:ascii="Wingdings" w:hAnsi="Wingdings" w:hint="default"/>
      </w:rPr>
    </w:lvl>
    <w:lvl w:ilvl="6" w:tplc="AC4080BA" w:tentative="1">
      <w:start w:val="1"/>
      <w:numFmt w:val="bullet"/>
      <w:lvlText w:val=""/>
      <w:lvlJc w:val="left"/>
      <w:pPr>
        <w:ind w:left="5040" w:hanging="360"/>
      </w:pPr>
      <w:rPr>
        <w:rFonts w:ascii="Symbol" w:hAnsi="Symbol" w:hint="default"/>
      </w:rPr>
    </w:lvl>
    <w:lvl w:ilvl="7" w:tplc="02CC9978" w:tentative="1">
      <w:start w:val="1"/>
      <w:numFmt w:val="bullet"/>
      <w:lvlText w:val="o"/>
      <w:lvlJc w:val="left"/>
      <w:pPr>
        <w:ind w:left="5760" w:hanging="360"/>
      </w:pPr>
      <w:rPr>
        <w:rFonts w:ascii="Courier New" w:hAnsi="Courier New" w:cs="Courier New" w:hint="default"/>
      </w:rPr>
    </w:lvl>
    <w:lvl w:ilvl="8" w:tplc="14567686" w:tentative="1">
      <w:start w:val="1"/>
      <w:numFmt w:val="bullet"/>
      <w:lvlText w:val=""/>
      <w:lvlJc w:val="left"/>
      <w:pPr>
        <w:ind w:left="6480" w:hanging="360"/>
      </w:pPr>
      <w:rPr>
        <w:rFonts w:ascii="Wingdings" w:hAnsi="Wingdings" w:hint="default"/>
      </w:rPr>
    </w:lvl>
  </w:abstractNum>
  <w:abstractNum w:abstractNumId="182" w15:restartNumberingAfterBreak="0">
    <w:nsid w:val="73E61A43"/>
    <w:multiLevelType w:val="hybridMultilevel"/>
    <w:tmpl w:val="539E692C"/>
    <w:lvl w:ilvl="0" w:tplc="D500DBFA">
      <w:start w:val="1"/>
      <w:numFmt w:val="bullet"/>
      <w:lvlText w:val=""/>
      <w:lvlJc w:val="left"/>
      <w:pPr>
        <w:tabs>
          <w:tab w:val="num" w:pos="720"/>
        </w:tabs>
        <w:ind w:left="720" w:hanging="360"/>
      </w:pPr>
      <w:rPr>
        <w:rFonts w:ascii="Symbol" w:hAnsi="Symbol" w:hint="default"/>
      </w:rPr>
    </w:lvl>
    <w:lvl w:ilvl="1" w:tplc="8A4AB9CA" w:tentative="1">
      <w:start w:val="1"/>
      <w:numFmt w:val="bullet"/>
      <w:lvlText w:val="o"/>
      <w:lvlJc w:val="left"/>
      <w:pPr>
        <w:tabs>
          <w:tab w:val="num" w:pos="1440"/>
        </w:tabs>
        <w:ind w:left="1440" w:hanging="360"/>
      </w:pPr>
      <w:rPr>
        <w:rFonts w:ascii="Courier New" w:hAnsi="Courier New" w:hint="default"/>
      </w:rPr>
    </w:lvl>
    <w:lvl w:ilvl="2" w:tplc="2AF8C4E4" w:tentative="1">
      <w:start w:val="1"/>
      <w:numFmt w:val="bullet"/>
      <w:lvlText w:val=""/>
      <w:lvlJc w:val="left"/>
      <w:pPr>
        <w:tabs>
          <w:tab w:val="num" w:pos="2160"/>
        </w:tabs>
        <w:ind w:left="2160" w:hanging="360"/>
      </w:pPr>
      <w:rPr>
        <w:rFonts w:ascii="Wingdings" w:hAnsi="Wingdings" w:hint="default"/>
      </w:rPr>
    </w:lvl>
    <w:lvl w:ilvl="3" w:tplc="F8DCDD1E" w:tentative="1">
      <w:start w:val="1"/>
      <w:numFmt w:val="bullet"/>
      <w:lvlText w:val=""/>
      <w:lvlJc w:val="left"/>
      <w:pPr>
        <w:tabs>
          <w:tab w:val="num" w:pos="2880"/>
        </w:tabs>
        <w:ind w:left="2880" w:hanging="360"/>
      </w:pPr>
      <w:rPr>
        <w:rFonts w:ascii="Symbol" w:hAnsi="Symbol" w:hint="default"/>
      </w:rPr>
    </w:lvl>
    <w:lvl w:ilvl="4" w:tplc="6814485A" w:tentative="1">
      <w:start w:val="1"/>
      <w:numFmt w:val="bullet"/>
      <w:lvlText w:val="o"/>
      <w:lvlJc w:val="left"/>
      <w:pPr>
        <w:tabs>
          <w:tab w:val="num" w:pos="3600"/>
        </w:tabs>
        <w:ind w:left="3600" w:hanging="360"/>
      </w:pPr>
      <w:rPr>
        <w:rFonts w:ascii="Courier New" w:hAnsi="Courier New" w:hint="default"/>
      </w:rPr>
    </w:lvl>
    <w:lvl w:ilvl="5" w:tplc="F68E45F6" w:tentative="1">
      <w:start w:val="1"/>
      <w:numFmt w:val="bullet"/>
      <w:lvlText w:val=""/>
      <w:lvlJc w:val="left"/>
      <w:pPr>
        <w:tabs>
          <w:tab w:val="num" w:pos="4320"/>
        </w:tabs>
        <w:ind w:left="4320" w:hanging="360"/>
      </w:pPr>
      <w:rPr>
        <w:rFonts w:ascii="Wingdings" w:hAnsi="Wingdings" w:hint="default"/>
      </w:rPr>
    </w:lvl>
    <w:lvl w:ilvl="6" w:tplc="686C5CEA" w:tentative="1">
      <w:start w:val="1"/>
      <w:numFmt w:val="bullet"/>
      <w:lvlText w:val=""/>
      <w:lvlJc w:val="left"/>
      <w:pPr>
        <w:tabs>
          <w:tab w:val="num" w:pos="5040"/>
        </w:tabs>
        <w:ind w:left="5040" w:hanging="360"/>
      </w:pPr>
      <w:rPr>
        <w:rFonts w:ascii="Symbol" w:hAnsi="Symbol" w:hint="default"/>
      </w:rPr>
    </w:lvl>
    <w:lvl w:ilvl="7" w:tplc="E00015F2" w:tentative="1">
      <w:start w:val="1"/>
      <w:numFmt w:val="bullet"/>
      <w:lvlText w:val="o"/>
      <w:lvlJc w:val="left"/>
      <w:pPr>
        <w:tabs>
          <w:tab w:val="num" w:pos="5760"/>
        </w:tabs>
        <w:ind w:left="5760" w:hanging="360"/>
      </w:pPr>
      <w:rPr>
        <w:rFonts w:ascii="Courier New" w:hAnsi="Courier New" w:hint="default"/>
      </w:rPr>
    </w:lvl>
    <w:lvl w:ilvl="8" w:tplc="4E4041EC"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74DF5B8F"/>
    <w:multiLevelType w:val="multilevel"/>
    <w:tmpl w:val="91A04348"/>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4" w15:restartNumberingAfterBreak="0">
    <w:nsid w:val="7593606E"/>
    <w:multiLevelType w:val="hybridMultilevel"/>
    <w:tmpl w:val="44E227DE"/>
    <w:lvl w:ilvl="0" w:tplc="CA90895E">
      <w:start w:val="1"/>
      <w:numFmt w:val="bullet"/>
      <w:lvlText w:val=""/>
      <w:lvlJc w:val="left"/>
      <w:pPr>
        <w:tabs>
          <w:tab w:val="num" w:pos="720"/>
        </w:tabs>
        <w:ind w:left="720" w:hanging="360"/>
      </w:pPr>
      <w:rPr>
        <w:rFonts w:ascii="Symbol" w:hAnsi="Symbol" w:hint="default"/>
      </w:rPr>
    </w:lvl>
    <w:lvl w:ilvl="1" w:tplc="63008D7E" w:tentative="1">
      <w:start w:val="1"/>
      <w:numFmt w:val="bullet"/>
      <w:lvlText w:val="o"/>
      <w:lvlJc w:val="left"/>
      <w:pPr>
        <w:tabs>
          <w:tab w:val="num" w:pos="1440"/>
        </w:tabs>
        <w:ind w:left="1440" w:hanging="360"/>
      </w:pPr>
      <w:rPr>
        <w:rFonts w:ascii="Courier New" w:hAnsi="Courier New" w:cs="Courier New" w:hint="default"/>
      </w:rPr>
    </w:lvl>
    <w:lvl w:ilvl="2" w:tplc="A78418F2" w:tentative="1">
      <w:start w:val="1"/>
      <w:numFmt w:val="bullet"/>
      <w:lvlText w:val=""/>
      <w:lvlJc w:val="left"/>
      <w:pPr>
        <w:tabs>
          <w:tab w:val="num" w:pos="2160"/>
        </w:tabs>
        <w:ind w:left="2160" w:hanging="360"/>
      </w:pPr>
      <w:rPr>
        <w:rFonts w:ascii="Wingdings" w:hAnsi="Wingdings" w:hint="default"/>
      </w:rPr>
    </w:lvl>
    <w:lvl w:ilvl="3" w:tplc="83281518" w:tentative="1">
      <w:start w:val="1"/>
      <w:numFmt w:val="bullet"/>
      <w:lvlText w:val=""/>
      <w:lvlJc w:val="left"/>
      <w:pPr>
        <w:tabs>
          <w:tab w:val="num" w:pos="2880"/>
        </w:tabs>
        <w:ind w:left="2880" w:hanging="360"/>
      </w:pPr>
      <w:rPr>
        <w:rFonts w:ascii="Symbol" w:hAnsi="Symbol" w:hint="default"/>
      </w:rPr>
    </w:lvl>
    <w:lvl w:ilvl="4" w:tplc="AB1CF060" w:tentative="1">
      <w:start w:val="1"/>
      <w:numFmt w:val="bullet"/>
      <w:lvlText w:val="o"/>
      <w:lvlJc w:val="left"/>
      <w:pPr>
        <w:tabs>
          <w:tab w:val="num" w:pos="3600"/>
        </w:tabs>
        <w:ind w:left="3600" w:hanging="360"/>
      </w:pPr>
      <w:rPr>
        <w:rFonts w:ascii="Courier New" w:hAnsi="Courier New" w:cs="Courier New" w:hint="default"/>
      </w:rPr>
    </w:lvl>
    <w:lvl w:ilvl="5" w:tplc="35EABF82" w:tentative="1">
      <w:start w:val="1"/>
      <w:numFmt w:val="bullet"/>
      <w:lvlText w:val=""/>
      <w:lvlJc w:val="left"/>
      <w:pPr>
        <w:tabs>
          <w:tab w:val="num" w:pos="4320"/>
        </w:tabs>
        <w:ind w:left="4320" w:hanging="360"/>
      </w:pPr>
      <w:rPr>
        <w:rFonts w:ascii="Wingdings" w:hAnsi="Wingdings" w:hint="default"/>
      </w:rPr>
    </w:lvl>
    <w:lvl w:ilvl="6" w:tplc="8E2A57BE" w:tentative="1">
      <w:start w:val="1"/>
      <w:numFmt w:val="bullet"/>
      <w:lvlText w:val=""/>
      <w:lvlJc w:val="left"/>
      <w:pPr>
        <w:tabs>
          <w:tab w:val="num" w:pos="5040"/>
        </w:tabs>
        <w:ind w:left="5040" w:hanging="360"/>
      </w:pPr>
      <w:rPr>
        <w:rFonts w:ascii="Symbol" w:hAnsi="Symbol" w:hint="default"/>
      </w:rPr>
    </w:lvl>
    <w:lvl w:ilvl="7" w:tplc="8E98D7FC" w:tentative="1">
      <w:start w:val="1"/>
      <w:numFmt w:val="bullet"/>
      <w:lvlText w:val="o"/>
      <w:lvlJc w:val="left"/>
      <w:pPr>
        <w:tabs>
          <w:tab w:val="num" w:pos="5760"/>
        </w:tabs>
        <w:ind w:left="5760" w:hanging="360"/>
      </w:pPr>
      <w:rPr>
        <w:rFonts w:ascii="Courier New" w:hAnsi="Courier New" w:cs="Courier New" w:hint="default"/>
      </w:rPr>
    </w:lvl>
    <w:lvl w:ilvl="8" w:tplc="A0487C3A" w:tentative="1">
      <w:start w:val="1"/>
      <w:numFmt w:val="bullet"/>
      <w:lvlText w:val=""/>
      <w:lvlJc w:val="left"/>
      <w:pPr>
        <w:tabs>
          <w:tab w:val="num" w:pos="6480"/>
        </w:tabs>
        <w:ind w:left="6480" w:hanging="360"/>
      </w:pPr>
      <w:rPr>
        <w:rFonts w:ascii="Wingdings" w:hAnsi="Wingdings" w:hint="default"/>
      </w:rPr>
    </w:lvl>
  </w:abstractNum>
  <w:abstractNum w:abstractNumId="185" w15:restartNumberingAfterBreak="0">
    <w:nsid w:val="75947952"/>
    <w:multiLevelType w:val="hybridMultilevel"/>
    <w:tmpl w:val="C5946DE0"/>
    <w:lvl w:ilvl="0" w:tplc="6DA25D40">
      <w:start w:val="1"/>
      <w:numFmt w:val="bullet"/>
      <w:lvlText w:val=""/>
      <w:lvlJc w:val="left"/>
      <w:pPr>
        <w:tabs>
          <w:tab w:val="num" w:pos="567"/>
        </w:tabs>
        <w:ind w:left="567" w:hanging="567"/>
      </w:pPr>
      <w:rPr>
        <w:rFonts w:ascii="Symbol" w:hAnsi="Symbol" w:hint="default"/>
      </w:rPr>
    </w:lvl>
    <w:lvl w:ilvl="1" w:tplc="E7961680">
      <w:start w:val="1"/>
      <w:numFmt w:val="bullet"/>
      <w:lvlText w:val=""/>
      <w:lvlJc w:val="left"/>
      <w:pPr>
        <w:tabs>
          <w:tab w:val="num" w:pos="1647"/>
        </w:tabs>
        <w:ind w:left="1647" w:hanging="567"/>
      </w:pPr>
      <w:rPr>
        <w:rFonts w:ascii="Symbol" w:hAnsi="Symbol" w:hint="default"/>
      </w:rPr>
    </w:lvl>
    <w:lvl w:ilvl="2" w:tplc="A1CA386A" w:tentative="1">
      <w:start w:val="1"/>
      <w:numFmt w:val="bullet"/>
      <w:lvlText w:val=""/>
      <w:lvlJc w:val="left"/>
      <w:pPr>
        <w:tabs>
          <w:tab w:val="num" w:pos="2160"/>
        </w:tabs>
        <w:ind w:left="2160" w:hanging="360"/>
      </w:pPr>
      <w:rPr>
        <w:rFonts w:ascii="Wingdings" w:hAnsi="Wingdings" w:hint="default"/>
      </w:rPr>
    </w:lvl>
    <w:lvl w:ilvl="3" w:tplc="AFDC33BC" w:tentative="1">
      <w:start w:val="1"/>
      <w:numFmt w:val="bullet"/>
      <w:lvlText w:val=""/>
      <w:lvlJc w:val="left"/>
      <w:pPr>
        <w:tabs>
          <w:tab w:val="num" w:pos="2880"/>
        </w:tabs>
        <w:ind w:left="2880" w:hanging="360"/>
      </w:pPr>
      <w:rPr>
        <w:rFonts w:ascii="Symbol" w:hAnsi="Symbol" w:hint="default"/>
      </w:rPr>
    </w:lvl>
    <w:lvl w:ilvl="4" w:tplc="194A91A4" w:tentative="1">
      <w:start w:val="1"/>
      <w:numFmt w:val="bullet"/>
      <w:lvlText w:val="o"/>
      <w:lvlJc w:val="left"/>
      <w:pPr>
        <w:tabs>
          <w:tab w:val="num" w:pos="3600"/>
        </w:tabs>
        <w:ind w:left="3600" w:hanging="360"/>
      </w:pPr>
      <w:rPr>
        <w:rFonts w:ascii="Courier New" w:hAnsi="Courier New" w:hint="default"/>
      </w:rPr>
    </w:lvl>
    <w:lvl w:ilvl="5" w:tplc="D1ECFCA2" w:tentative="1">
      <w:start w:val="1"/>
      <w:numFmt w:val="bullet"/>
      <w:lvlText w:val=""/>
      <w:lvlJc w:val="left"/>
      <w:pPr>
        <w:tabs>
          <w:tab w:val="num" w:pos="4320"/>
        </w:tabs>
        <w:ind w:left="4320" w:hanging="360"/>
      </w:pPr>
      <w:rPr>
        <w:rFonts w:ascii="Wingdings" w:hAnsi="Wingdings" w:hint="default"/>
      </w:rPr>
    </w:lvl>
    <w:lvl w:ilvl="6" w:tplc="89BA2506" w:tentative="1">
      <w:start w:val="1"/>
      <w:numFmt w:val="bullet"/>
      <w:lvlText w:val=""/>
      <w:lvlJc w:val="left"/>
      <w:pPr>
        <w:tabs>
          <w:tab w:val="num" w:pos="5040"/>
        </w:tabs>
        <w:ind w:left="5040" w:hanging="360"/>
      </w:pPr>
      <w:rPr>
        <w:rFonts w:ascii="Symbol" w:hAnsi="Symbol" w:hint="default"/>
      </w:rPr>
    </w:lvl>
    <w:lvl w:ilvl="7" w:tplc="CF3CA6B4" w:tentative="1">
      <w:start w:val="1"/>
      <w:numFmt w:val="bullet"/>
      <w:lvlText w:val="o"/>
      <w:lvlJc w:val="left"/>
      <w:pPr>
        <w:tabs>
          <w:tab w:val="num" w:pos="5760"/>
        </w:tabs>
        <w:ind w:left="5760" w:hanging="360"/>
      </w:pPr>
      <w:rPr>
        <w:rFonts w:ascii="Courier New" w:hAnsi="Courier New" w:hint="default"/>
      </w:rPr>
    </w:lvl>
    <w:lvl w:ilvl="8" w:tplc="C65EAED4" w:tentative="1">
      <w:start w:val="1"/>
      <w:numFmt w:val="bullet"/>
      <w:lvlText w:val=""/>
      <w:lvlJc w:val="left"/>
      <w:pPr>
        <w:tabs>
          <w:tab w:val="num" w:pos="6480"/>
        </w:tabs>
        <w:ind w:left="6480" w:hanging="360"/>
      </w:pPr>
      <w:rPr>
        <w:rFonts w:ascii="Wingdings" w:hAnsi="Wingdings" w:hint="default"/>
      </w:rPr>
    </w:lvl>
  </w:abstractNum>
  <w:abstractNum w:abstractNumId="186" w15:restartNumberingAfterBreak="0">
    <w:nsid w:val="769E6DE6"/>
    <w:multiLevelType w:val="hybridMultilevel"/>
    <w:tmpl w:val="25349884"/>
    <w:lvl w:ilvl="0" w:tplc="DE4ED27C">
      <w:start w:val="1"/>
      <w:numFmt w:val="bullet"/>
      <w:lvlText w:val=""/>
      <w:lvlJc w:val="left"/>
      <w:pPr>
        <w:tabs>
          <w:tab w:val="num" w:pos="720"/>
        </w:tabs>
        <w:ind w:left="720" w:hanging="720"/>
      </w:pPr>
      <w:rPr>
        <w:rFonts w:ascii="Symbol" w:hAnsi="Symbol" w:hint="default"/>
        <w:color w:val="auto"/>
      </w:rPr>
    </w:lvl>
    <w:lvl w:ilvl="1" w:tplc="6C685E46" w:tentative="1">
      <w:start w:val="1"/>
      <w:numFmt w:val="bullet"/>
      <w:lvlText w:val="o"/>
      <w:lvlJc w:val="left"/>
      <w:pPr>
        <w:tabs>
          <w:tab w:val="num" w:pos="1440"/>
        </w:tabs>
        <w:ind w:left="1440" w:hanging="360"/>
      </w:pPr>
      <w:rPr>
        <w:rFonts w:ascii="Courier New" w:hAnsi="Courier New" w:hint="default"/>
      </w:rPr>
    </w:lvl>
    <w:lvl w:ilvl="2" w:tplc="3B8CFE10" w:tentative="1">
      <w:start w:val="1"/>
      <w:numFmt w:val="bullet"/>
      <w:lvlText w:val=""/>
      <w:lvlJc w:val="left"/>
      <w:pPr>
        <w:tabs>
          <w:tab w:val="num" w:pos="2160"/>
        </w:tabs>
        <w:ind w:left="2160" w:hanging="360"/>
      </w:pPr>
      <w:rPr>
        <w:rFonts w:ascii="Wingdings" w:hAnsi="Wingdings" w:hint="default"/>
      </w:rPr>
    </w:lvl>
    <w:lvl w:ilvl="3" w:tplc="3ACE56DA" w:tentative="1">
      <w:start w:val="1"/>
      <w:numFmt w:val="bullet"/>
      <w:lvlText w:val=""/>
      <w:lvlJc w:val="left"/>
      <w:pPr>
        <w:tabs>
          <w:tab w:val="num" w:pos="2880"/>
        </w:tabs>
        <w:ind w:left="2880" w:hanging="360"/>
      </w:pPr>
      <w:rPr>
        <w:rFonts w:ascii="Symbol" w:hAnsi="Symbol" w:hint="default"/>
      </w:rPr>
    </w:lvl>
    <w:lvl w:ilvl="4" w:tplc="6526D360" w:tentative="1">
      <w:start w:val="1"/>
      <w:numFmt w:val="bullet"/>
      <w:lvlText w:val="o"/>
      <w:lvlJc w:val="left"/>
      <w:pPr>
        <w:tabs>
          <w:tab w:val="num" w:pos="3600"/>
        </w:tabs>
        <w:ind w:left="3600" w:hanging="360"/>
      </w:pPr>
      <w:rPr>
        <w:rFonts w:ascii="Courier New" w:hAnsi="Courier New" w:hint="default"/>
      </w:rPr>
    </w:lvl>
    <w:lvl w:ilvl="5" w:tplc="90663EC2" w:tentative="1">
      <w:start w:val="1"/>
      <w:numFmt w:val="bullet"/>
      <w:lvlText w:val=""/>
      <w:lvlJc w:val="left"/>
      <w:pPr>
        <w:tabs>
          <w:tab w:val="num" w:pos="4320"/>
        </w:tabs>
        <w:ind w:left="4320" w:hanging="360"/>
      </w:pPr>
      <w:rPr>
        <w:rFonts w:ascii="Wingdings" w:hAnsi="Wingdings" w:hint="default"/>
      </w:rPr>
    </w:lvl>
    <w:lvl w:ilvl="6" w:tplc="E8021388" w:tentative="1">
      <w:start w:val="1"/>
      <w:numFmt w:val="bullet"/>
      <w:lvlText w:val=""/>
      <w:lvlJc w:val="left"/>
      <w:pPr>
        <w:tabs>
          <w:tab w:val="num" w:pos="5040"/>
        </w:tabs>
        <w:ind w:left="5040" w:hanging="360"/>
      </w:pPr>
      <w:rPr>
        <w:rFonts w:ascii="Symbol" w:hAnsi="Symbol" w:hint="default"/>
      </w:rPr>
    </w:lvl>
    <w:lvl w:ilvl="7" w:tplc="90BCDFB4" w:tentative="1">
      <w:start w:val="1"/>
      <w:numFmt w:val="bullet"/>
      <w:lvlText w:val="o"/>
      <w:lvlJc w:val="left"/>
      <w:pPr>
        <w:tabs>
          <w:tab w:val="num" w:pos="5760"/>
        </w:tabs>
        <w:ind w:left="5760" w:hanging="360"/>
      </w:pPr>
      <w:rPr>
        <w:rFonts w:ascii="Courier New" w:hAnsi="Courier New" w:hint="default"/>
      </w:rPr>
    </w:lvl>
    <w:lvl w:ilvl="8" w:tplc="C026F4F2"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77C05381"/>
    <w:multiLevelType w:val="hybridMultilevel"/>
    <w:tmpl w:val="3DD0CCB6"/>
    <w:lvl w:ilvl="0" w:tplc="CBE0F360">
      <w:start w:val="1"/>
      <w:numFmt w:val="bullet"/>
      <w:lvlText w:val=""/>
      <w:lvlJc w:val="left"/>
      <w:pPr>
        <w:tabs>
          <w:tab w:val="num" w:pos="567"/>
        </w:tabs>
        <w:ind w:left="567" w:hanging="567"/>
      </w:pPr>
      <w:rPr>
        <w:rFonts w:ascii="Symbol" w:hAnsi="Symbol" w:hint="default"/>
      </w:rPr>
    </w:lvl>
    <w:lvl w:ilvl="1" w:tplc="3740EEC4" w:tentative="1">
      <w:start w:val="1"/>
      <w:numFmt w:val="bullet"/>
      <w:lvlText w:val="o"/>
      <w:lvlJc w:val="left"/>
      <w:pPr>
        <w:tabs>
          <w:tab w:val="num" w:pos="1440"/>
        </w:tabs>
        <w:ind w:left="1440" w:hanging="360"/>
      </w:pPr>
      <w:rPr>
        <w:rFonts w:ascii="Courier New" w:hAnsi="Courier New" w:hint="default"/>
      </w:rPr>
    </w:lvl>
    <w:lvl w:ilvl="2" w:tplc="93E653A6" w:tentative="1">
      <w:start w:val="1"/>
      <w:numFmt w:val="bullet"/>
      <w:lvlText w:val=""/>
      <w:lvlJc w:val="left"/>
      <w:pPr>
        <w:tabs>
          <w:tab w:val="num" w:pos="2160"/>
        </w:tabs>
        <w:ind w:left="2160" w:hanging="360"/>
      </w:pPr>
      <w:rPr>
        <w:rFonts w:ascii="Wingdings" w:hAnsi="Wingdings" w:hint="default"/>
      </w:rPr>
    </w:lvl>
    <w:lvl w:ilvl="3" w:tplc="653E593E" w:tentative="1">
      <w:start w:val="1"/>
      <w:numFmt w:val="bullet"/>
      <w:lvlText w:val=""/>
      <w:lvlJc w:val="left"/>
      <w:pPr>
        <w:tabs>
          <w:tab w:val="num" w:pos="2880"/>
        </w:tabs>
        <w:ind w:left="2880" w:hanging="360"/>
      </w:pPr>
      <w:rPr>
        <w:rFonts w:ascii="Symbol" w:hAnsi="Symbol" w:hint="default"/>
      </w:rPr>
    </w:lvl>
    <w:lvl w:ilvl="4" w:tplc="22127246" w:tentative="1">
      <w:start w:val="1"/>
      <w:numFmt w:val="bullet"/>
      <w:lvlText w:val="o"/>
      <w:lvlJc w:val="left"/>
      <w:pPr>
        <w:tabs>
          <w:tab w:val="num" w:pos="3600"/>
        </w:tabs>
        <w:ind w:left="3600" w:hanging="360"/>
      </w:pPr>
      <w:rPr>
        <w:rFonts w:ascii="Courier New" w:hAnsi="Courier New" w:hint="default"/>
      </w:rPr>
    </w:lvl>
    <w:lvl w:ilvl="5" w:tplc="47E24060" w:tentative="1">
      <w:start w:val="1"/>
      <w:numFmt w:val="bullet"/>
      <w:lvlText w:val=""/>
      <w:lvlJc w:val="left"/>
      <w:pPr>
        <w:tabs>
          <w:tab w:val="num" w:pos="4320"/>
        </w:tabs>
        <w:ind w:left="4320" w:hanging="360"/>
      </w:pPr>
      <w:rPr>
        <w:rFonts w:ascii="Wingdings" w:hAnsi="Wingdings" w:hint="default"/>
      </w:rPr>
    </w:lvl>
    <w:lvl w:ilvl="6" w:tplc="FA0EA2C0" w:tentative="1">
      <w:start w:val="1"/>
      <w:numFmt w:val="bullet"/>
      <w:lvlText w:val=""/>
      <w:lvlJc w:val="left"/>
      <w:pPr>
        <w:tabs>
          <w:tab w:val="num" w:pos="5040"/>
        </w:tabs>
        <w:ind w:left="5040" w:hanging="360"/>
      </w:pPr>
      <w:rPr>
        <w:rFonts w:ascii="Symbol" w:hAnsi="Symbol" w:hint="default"/>
      </w:rPr>
    </w:lvl>
    <w:lvl w:ilvl="7" w:tplc="329AC9FC" w:tentative="1">
      <w:start w:val="1"/>
      <w:numFmt w:val="bullet"/>
      <w:lvlText w:val="o"/>
      <w:lvlJc w:val="left"/>
      <w:pPr>
        <w:tabs>
          <w:tab w:val="num" w:pos="5760"/>
        </w:tabs>
        <w:ind w:left="5760" w:hanging="360"/>
      </w:pPr>
      <w:rPr>
        <w:rFonts w:ascii="Courier New" w:hAnsi="Courier New" w:hint="default"/>
      </w:rPr>
    </w:lvl>
    <w:lvl w:ilvl="8" w:tplc="7E3C66C6"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792317D2"/>
    <w:multiLevelType w:val="hybridMultilevel"/>
    <w:tmpl w:val="08A60C98"/>
    <w:lvl w:ilvl="0" w:tplc="C090F864">
      <w:start w:val="1"/>
      <w:numFmt w:val="bullet"/>
      <w:lvlText w:val=""/>
      <w:lvlJc w:val="left"/>
      <w:pPr>
        <w:tabs>
          <w:tab w:val="num" w:pos="780"/>
        </w:tabs>
        <w:ind w:left="780" w:hanging="360"/>
      </w:pPr>
      <w:rPr>
        <w:rFonts w:ascii="Symbol" w:hAnsi="Symbol" w:hint="default"/>
      </w:rPr>
    </w:lvl>
    <w:lvl w:ilvl="1" w:tplc="A02C5F14" w:tentative="1">
      <w:start w:val="1"/>
      <w:numFmt w:val="bullet"/>
      <w:lvlText w:val="o"/>
      <w:lvlJc w:val="left"/>
      <w:pPr>
        <w:tabs>
          <w:tab w:val="num" w:pos="1500"/>
        </w:tabs>
        <w:ind w:left="1500" w:hanging="360"/>
      </w:pPr>
      <w:rPr>
        <w:rFonts w:ascii="Courier New" w:hAnsi="Courier New" w:hint="default"/>
      </w:rPr>
    </w:lvl>
    <w:lvl w:ilvl="2" w:tplc="06D42B3C" w:tentative="1">
      <w:start w:val="1"/>
      <w:numFmt w:val="bullet"/>
      <w:lvlText w:val=""/>
      <w:lvlJc w:val="left"/>
      <w:pPr>
        <w:tabs>
          <w:tab w:val="num" w:pos="2220"/>
        </w:tabs>
        <w:ind w:left="2220" w:hanging="360"/>
      </w:pPr>
      <w:rPr>
        <w:rFonts w:ascii="Wingdings" w:hAnsi="Wingdings" w:hint="default"/>
      </w:rPr>
    </w:lvl>
    <w:lvl w:ilvl="3" w:tplc="E78C87A2" w:tentative="1">
      <w:start w:val="1"/>
      <w:numFmt w:val="bullet"/>
      <w:lvlText w:val=""/>
      <w:lvlJc w:val="left"/>
      <w:pPr>
        <w:tabs>
          <w:tab w:val="num" w:pos="2940"/>
        </w:tabs>
        <w:ind w:left="2940" w:hanging="360"/>
      </w:pPr>
      <w:rPr>
        <w:rFonts w:ascii="Symbol" w:hAnsi="Symbol" w:hint="default"/>
      </w:rPr>
    </w:lvl>
    <w:lvl w:ilvl="4" w:tplc="D570A8DE" w:tentative="1">
      <w:start w:val="1"/>
      <w:numFmt w:val="bullet"/>
      <w:lvlText w:val="o"/>
      <w:lvlJc w:val="left"/>
      <w:pPr>
        <w:tabs>
          <w:tab w:val="num" w:pos="3660"/>
        </w:tabs>
        <w:ind w:left="3660" w:hanging="360"/>
      </w:pPr>
      <w:rPr>
        <w:rFonts w:ascii="Courier New" w:hAnsi="Courier New" w:hint="default"/>
      </w:rPr>
    </w:lvl>
    <w:lvl w:ilvl="5" w:tplc="BFEA0276" w:tentative="1">
      <w:start w:val="1"/>
      <w:numFmt w:val="bullet"/>
      <w:lvlText w:val=""/>
      <w:lvlJc w:val="left"/>
      <w:pPr>
        <w:tabs>
          <w:tab w:val="num" w:pos="4380"/>
        </w:tabs>
        <w:ind w:left="4380" w:hanging="360"/>
      </w:pPr>
      <w:rPr>
        <w:rFonts w:ascii="Wingdings" w:hAnsi="Wingdings" w:hint="default"/>
      </w:rPr>
    </w:lvl>
    <w:lvl w:ilvl="6" w:tplc="DCF2DDE2" w:tentative="1">
      <w:start w:val="1"/>
      <w:numFmt w:val="bullet"/>
      <w:lvlText w:val=""/>
      <w:lvlJc w:val="left"/>
      <w:pPr>
        <w:tabs>
          <w:tab w:val="num" w:pos="5100"/>
        </w:tabs>
        <w:ind w:left="5100" w:hanging="360"/>
      </w:pPr>
      <w:rPr>
        <w:rFonts w:ascii="Symbol" w:hAnsi="Symbol" w:hint="default"/>
      </w:rPr>
    </w:lvl>
    <w:lvl w:ilvl="7" w:tplc="C46AD400" w:tentative="1">
      <w:start w:val="1"/>
      <w:numFmt w:val="bullet"/>
      <w:lvlText w:val="o"/>
      <w:lvlJc w:val="left"/>
      <w:pPr>
        <w:tabs>
          <w:tab w:val="num" w:pos="5820"/>
        </w:tabs>
        <w:ind w:left="5820" w:hanging="360"/>
      </w:pPr>
      <w:rPr>
        <w:rFonts w:ascii="Courier New" w:hAnsi="Courier New" w:hint="default"/>
      </w:rPr>
    </w:lvl>
    <w:lvl w:ilvl="8" w:tplc="BC00CA5A" w:tentative="1">
      <w:start w:val="1"/>
      <w:numFmt w:val="bullet"/>
      <w:lvlText w:val=""/>
      <w:lvlJc w:val="left"/>
      <w:pPr>
        <w:tabs>
          <w:tab w:val="num" w:pos="6540"/>
        </w:tabs>
        <w:ind w:left="6540" w:hanging="360"/>
      </w:pPr>
      <w:rPr>
        <w:rFonts w:ascii="Wingdings" w:hAnsi="Wingdings" w:hint="default"/>
      </w:rPr>
    </w:lvl>
  </w:abstractNum>
  <w:abstractNum w:abstractNumId="189" w15:restartNumberingAfterBreak="0">
    <w:nsid w:val="79CD7F37"/>
    <w:multiLevelType w:val="multilevel"/>
    <w:tmpl w:val="905201FA"/>
    <w:lvl w:ilvl="0">
      <w:start w:val="1"/>
      <w:numFmt w:val="bullet"/>
      <w:lvlText w:val="•"/>
      <w:lvlJc w:val="left"/>
      <w:pPr>
        <w:ind w:left="643"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90" w15:restartNumberingAfterBreak="0">
    <w:nsid w:val="7A100D28"/>
    <w:multiLevelType w:val="hybridMultilevel"/>
    <w:tmpl w:val="979479BE"/>
    <w:lvl w:ilvl="0" w:tplc="7D8018F2">
      <w:start w:val="1"/>
      <w:numFmt w:val="upperLetter"/>
      <w:lvlText w:val="%1."/>
      <w:lvlJc w:val="left"/>
      <w:pPr>
        <w:ind w:left="5670" w:hanging="5670"/>
      </w:pPr>
      <w:rPr>
        <w:rFonts w:hint="default"/>
        <w:b/>
      </w:rPr>
    </w:lvl>
    <w:lvl w:ilvl="1" w:tplc="71100E3C">
      <w:start w:val="17"/>
      <w:numFmt w:val="decimal"/>
      <w:lvlText w:val="%2."/>
      <w:lvlJc w:val="left"/>
      <w:pPr>
        <w:ind w:left="1650" w:hanging="570"/>
      </w:pPr>
      <w:rPr>
        <w:rFonts w:hint="default"/>
        <w:b/>
        <w:i w:val="0"/>
      </w:rPr>
    </w:lvl>
    <w:lvl w:ilvl="2" w:tplc="61045BEA" w:tentative="1">
      <w:start w:val="1"/>
      <w:numFmt w:val="lowerRoman"/>
      <w:lvlText w:val="%3."/>
      <w:lvlJc w:val="right"/>
      <w:pPr>
        <w:ind w:left="2160" w:hanging="180"/>
      </w:pPr>
    </w:lvl>
    <w:lvl w:ilvl="3" w:tplc="AB101464" w:tentative="1">
      <w:start w:val="1"/>
      <w:numFmt w:val="decimal"/>
      <w:lvlText w:val="%4."/>
      <w:lvlJc w:val="left"/>
      <w:pPr>
        <w:ind w:left="2880" w:hanging="360"/>
      </w:pPr>
    </w:lvl>
    <w:lvl w:ilvl="4" w:tplc="93581AC8" w:tentative="1">
      <w:start w:val="1"/>
      <w:numFmt w:val="lowerLetter"/>
      <w:lvlText w:val="%5."/>
      <w:lvlJc w:val="left"/>
      <w:pPr>
        <w:ind w:left="3600" w:hanging="360"/>
      </w:pPr>
    </w:lvl>
    <w:lvl w:ilvl="5" w:tplc="EA18262E" w:tentative="1">
      <w:start w:val="1"/>
      <w:numFmt w:val="lowerRoman"/>
      <w:lvlText w:val="%6."/>
      <w:lvlJc w:val="right"/>
      <w:pPr>
        <w:ind w:left="4320" w:hanging="180"/>
      </w:pPr>
    </w:lvl>
    <w:lvl w:ilvl="6" w:tplc="110EBDFC" w:tentative="1">
      <w:start w:val="1"/>
      <w:numFmt w:val="decimal"/>
      <w:lvlText w:val="%7."/>
      <w:lvlJc w:val="left"/>
      <w:pPr>
        <w:ind w:left="5040" w:hanging="360"/>
      </w:pPr>
    </w:lvl>
    <w:lvl w:ilvl="7" w:tplc="F1B8D2B8" w:tentative="1">
      <w:start w:val="1"/>
      <w:numFmt w:val="lowerLetter"/>
      <w:lvlText w:val="%8."/>
      <w:lvlJc w:val="left"/>
      <w:pPr>
        <w:ind w:left="5760" w:hanging="360"/>
      </w:pPr>
    </w:lvl>
    <w:lvl w:ilvl="8" w:tplc="7366B526" w:tentative="1">
      <w:start w:val="1"/>
      <w:numFmt w:val="lowerRoman"/>
      <w:lvlText w:val="%9."/>
      <w:lvlJc w:val="right"/>
      <w:pPr>
        <w:ind w:left="6480" w:hanging="180"/>
      </w:pPr>
    </w:lvl>
  </w:abstractNum>
  <w:abstractNum w:abstractNumId="191" w15:restartNumberingAfterBreak="0">
    <w:nsid w:val="7A2C2E7C"/>
    <w:multiLevelType w:val="hybridMultilevel"/>
    <w:tmpl w:val="13A627D8"/>
    <w:lvl w:ilvl="0" w:tplc="D74AC342">
      <w:start w:val="1"/>
      <w:numFmt w:val="bullet"/>
      <w:lvlText w:val=""/>
      <w:lvlJc w:val="left"/>
      <w:pPr>
        <w:tabs>
          <w:tab w:val="num" w:pos="720"/>
        </w:tabs>
        <w:ind w:left="720" w:hanging="360"/>
      </w:pPr>
      <w:rPr>
        <w:rFonts w:ascii="Symbol" w:hAnsi="Symbol" w:hint="default"/>
      </w:rPr>
    </w:lvl>
    <w:lvl w:ilvl="1" w:tplc="52F6F8EC" w:tentative="1">
      <w:start w:val="1"/>
      <w:numFmt w:val="bullet"/>
      <w:lvlText w:val="o"/>
      <w:lvlJc w:val="left"/>
      <w:pPr>
        <w:tabs>
          <w:tab w:val="num" w:pos="1440"/>
        </w:tabs>
        <w:ind w:left="1440" w:hanging="360"/>
      </w:pPr>
      <w:rPr>
        <w:rFonts w:ascii="Courier New" w:hAnsi="Courier New" w:hint="default"/>
      </w:rPr>
    </w:lvl>
    <w:lvl w:ilvl="2" w:tplc="0BBA22BA" w:tentative="1">
      <w:start w:val="1"/>
      <w:numFmt w:val="bullet"/>
      <w:lvlText w:val=""/>
      <w:lvlJc w:val="left"/>
      <w:pPr>
        <w:tabs>
          <w:tab w:val="num" w:pos="2160"/>
        </w:tabs>
        <w:ind w:left="2160" w:hanging="360"/>
      </w:pPr>
      <w:rPr>
        <w:rFonts w:ascii="Wingdings" w:hAnsi="Wingdings" w:hint="default"/>
      </w:rPr>
    </w:lvl>
    <w:lvl w:ilvl="3" w:tplc="90B04A1E" w:tentative="1">
      <w:start w:val="1"/>
      <w:numFmt w:val="bullet"/>
      <w:lvlText w:val=""/>
      <w:lvlJc w:val="left"/>
      <w:pPr>
        <w:tabs>
          <w:tab w:val="num" w:pos="2880"/>
        </w:tabs>
        <w:ind w:left="2880" w:hanging="360"/>
      </w:pPr>
      <w:rPr>
        <w:rFonts w:ascii="Symbol" w:hAnsi="Symbol" w:hint="default"/>
      </w:rPr>
    </w:lvl>
    <w:lvl w:ilvl="4" w:tplc="B802B0C4" w:tentative="1">
      <w:start w:val="1"/>
      <w:numFmt w:val="bullet"/>
      <w:lvlText w:val="o"/>
      <w:lvlJc w:val="left"/>
      <w:pPr>
        <w:tabs>
          <w:tab w:val="num" w:pos="3600"/>
        </w:tabs>
        <w:ind w:left="3600" w:hanging="360"/>
      </w:pPr>
      <w:rPr>
        <w:rFonts w:ascii="Courier New" w:hAnsi="Courier New" w:hint="default"/>
      </w:rPr>
    </w:lvl>
    <w:lvl w:ilvl="5" w:tplc="E33AD530" w:tentative="1">
      <w:start w:val="1"/>
      <w:numFmt w:val="bullet"/>
      <w:lvlText w:val=""/>
      <w:lvlJc w:val="left"/>
      <w:pPr>
        <w:tabs>
          <w:tab w:val="num" w:pos="4320"/>
        </w:tabs>
        <w:ind w:left="4320" w:hanging="360"/>
      </w:pPr>
      <w:rPr>
        <w:rFonts w:ascii="Wingdings" w:hAnsi="Wingdings" w:hint="default"/>
      </w:rPr>
    </w:lvl>
    <w:lvl w:ilvl="6" w:tplc="46B86D90" w:tentative="1">
      <w:start w:val="1"/>
      <w:numFmt w:val="bullet"/>
      <w:lvlText w:val=""/>
      <w:lvlJc w:val="left"/>
      <w:pPr>
        <w:tabs>
          <w:tab w:val="num" w:pos="5040"/>
        </w:tabs>
        <w:ind w:left="5040" w:hanging="360"/>
      </w:pPr>
      <w:rPr>
        <w:rFonts w:ascii="Symbol" w:hAnsi="Symbol" w:hint="default"/>
      </w:rPr>
    </w:lvl>
    <w:lvl w:ilvl="7" w:tplc="B68EF688" w:tentative="1">
      <w:start w:val="1"/>
      <w:numFmt w:val="bullet"/>
      <w:lvlText w:val="o"/>
      <w:lvlJc w:val="left"/>
      <w:pPr>
        <w:tabs>
          <w:tab w:val="num" w:pos="5760"/>
        </w:tabs>
        <w:ind w:left="5760" w:hanging="360"/>
      </w:pPr>
      <w:rPr>
        <w:rFonts w:ascii="Courier New" w:hAnsi="Courier New" w:hint="default"/>
      </w:rPr>
    </w:lvl>
    <w:lvl w:ilvl="8" w:tplc="6AA81D0E" w:tentative="1">
      <w:start w:val="1"/>
      <w:numFmt w:val="bullet"/>
      <w:lvlText w:val=""/>
      <w:lvlJc w:val="left"/>
      <w:pPr>
        <w:tabs>
          <w:tab w:val="num" w:pos="6480"/>
        </w:tabs>
        <w:ind w:left="6480" w:hanging="360"/>
      </w:pPr>
      <w:rPr>
        <w:rFonts w:ascii="Wingdings" w:hAnsi="Wingdings" w:hint="default"/>
      </w:rPr>
    </w:lvl>
  </w:abstractNum>
  <w:abstractNum w:abstractNumId="192" w15:restartNumberingAfterBreak="0">
    <w:nsid w:val="7A3F1318"/>
    <w:multiLevelType w:val="hybridMultilevel"/>
    <w:tmpl w:val="50EE529A"/>
    <w:lvl w:ilvl="0" w:tplc="10304A2E">
      <w:start w:val="1"/>
      <w:numFmt w:val="bullet"/>
      <w:lvlText w:val=""/>
      <w:lvlJc w:val="left"/>
      <w:pPr>
        <w:tabs>
          <w:tab w:val="num" w:pos="567"/>
        </w:tabs>
        <w:ind w:left="567" w:hanging="567"/>
      </w:pPr>
      <w:rPr>
        <w:rFonts w:ascii="Symbol" w:hAnsi="Symbol" w:hint="default"/>
      </w:rPr>
    </w:lvl>
    <w:lvl w:ilvl="1" w:tplc="4610690E" w:tentative="1">
      <w:start w:val="1"/>
      <w:numFmt w:val="bullet"/>
      <w:lvlText w:val="o"/>
      <w:lvlJc w:val="left"/>
      <w:pPr>
        <w:tabs>
          <w:tab w:val="num" w:pos="1440"/>
        </w:tabs>
        <w:ind w:left="1440" w:hanging="360"/>
      </w:pPr>
      <w:rPr>
        <w:rFonts w:ascii="Courier New" w:hAnsi="Courier New" w:hint="default"/>
      </w:rPr>
    </w:lvl>
    <w:lvl w:ilvl="2" w:tplc="A73C554E" w:tentative="1">
      <w:start w:val="1"/>
      <w:numFmt w:val="bullet"/>
      <w:lvlText w:val=""/>
      <w:lvlJc w:val="left"/>
      <w:pPr>
        <w:tabs>
          <w:tab w:val="num" w:pos="2160"/>
        </w:tabs>
        <w:ind w:left="2160" w:hanging="360"/>
      </w:pPr>
      <w:rPr>
        <w:rFonts w:ascii="Wingdings" w:hAnsi="Wingdings" w:hint="default"/>
      </w:rPr>
    </w:lvl>
    <w:lvl w:ilvl="3" w:tplc="21423652" w:tentative="1">
      <w:start w:val="1"/>
      <w:numFmt w:val="bullet"/>
      <w:lvlText w:val=""/>
      <w:lvlJc w:val="left"/>
      <w:pPr>
        <w:tabs>
          <w:tab w:val="num" w:pos="2880"/>
        </w:tabs>
        <w:ind w:left="2880" w:hanging="360"/>
      </w:pPr>
      <w:rPr>
        <w:rFonts w:ascii="Symbol" w:hAnsi="Symbol" w:hint="default"/>
      </w:rPr>
    </w:lvl>
    <w:lvl w:ilvl="4" w:tplc="58B8FD18" w:tentative="1">
      <w:start w:val="1"/>
      <w:numFmt w:val="bullet"/>
      <w:lvlText w:val="o"/>
      <w:lvlJc w:val="left"/>
      <w:pPr>
        <w:tabs>
          <w:tab w:val="num" w:pos="3600"/>
        </w:tabs>
        <w:ind w:left="3600" w:hanging="360"/>
      </w:pPr>
      <w:rPr>
        <w:rFonts w:ascii="Courier New" w:hAnsi="Courier New" w:hint="default"/>
      </w:rPr>
    </w:lvl>
    <w:lvl w:ilvl="5" w:tplc="48D0A95C" w:tentative="1">
      <w:start w:val="1"/>
      <w:numFmt w:val="bullet"/>
      <w:lvlText w:val=""/>
      <w:lvlJc w:val="left"/>
      <w:pPr>
        <w:tabs>
          <w:tab w:val="num" w:pos="4320"/>
        </w:tabs>
        <w:ind w:left="4320" w:hanging="360"/>
      </w:pPr>
      <w:rPr>
        <w:rFonts w:ascii="Wingdings" w:hAnsi="Wingdings" w:hint="default"/>
      </w:rPr>
    </w:lvl>
    <w:lvl w:ilvl="6" w:tplc="C696EEAA" w:tentative="1">
      <w:start w:val="1"/>
      <w:numFmt w:val="bullet"/>
      <w:lvlText w:val=""/>
      <w:lvlJc w:val="left"/>
      <w:pPr>
        <w:tabs>
          <w:tab w:val="num" w:pos="5040"/>
        </w:tabs>
        <w:ind w:left="5040" w:hanging="360"/>
      </w:pPr>
      <w:rPr>
        <w:rFonts w:ascii="Symbol" w:hAnsi="Symbol" w:hint="default"/>
      </w:rPr>
    </w:lvl>
    <w:lvl w:ilvl="7" w:tplc="AB98993C" w:tentative="1">
      <w:start w:val="1"/>
      <w:numFmt w:val="bullet"/>
      <w:lvlText w:val="o"/>
      <w:lvlJc w:val="left"/>
      <w:pPr>
        <w:tabs>
          <w:tab w:val="num" w:pos="5760"/>
        </w:tabs>
        <w:ind w:left="5760" w:hanging="360"/>
      </w:pPr>
      <w:rPr>
        <w:rFonts w:ascii="Courier New" w:hAnsi="Courier New" w:hint="default"/>
      </w:rPr>
    </w:lvl>
    <w:lvl w:ilvl="8" w:tplc="42E0E272"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7A427847"/>
    <w:multiLevelType w:val="hybridMultilevel"/>
    <w:tmpl w:val="7C1CCC80"/>
    <w:lvl w:ilvl="0" w:tplc="E5C2045E">
      <w:start w:val="1"/>
      <w:numFmt w:val="bullet"/>
      <w:lvlText w:val=""/>
      <w:lvlJc w:val="left"/>
      <w:pPr>
        <w:ind w:left="360" w:hanging="360"/>
      </w:pPr>
      <w:rPr>
        <w:rFonts w:ascii="Symbol" w:hAnsi="Symbol" w:hint="default"/>
      </w:rPr>
    </w:lvl>
    <w:lvl w:ilvl="1" w:tplc="F864CA70">
      <w:start w:val="1"/>
      <w:numFmt w:val="bullet"/>
      <w:lvlText w:val="o"/>
      <w:lvlJc w:val="left"/>
      <w:pPr>
        <w:ind w:left="1080" w:hanging="360"/>
      </w:pPr>
      <w:rPr>
        <w:rFonts w:ascii="Courier New" w:hAnsi="Courier New" w:cs="Courier New" w:hint="default"/>
      </w:rPr>
    </w:lvl>
    <w:lvl w:ilvl="2" w:tplc="BF361232">
      <w:start w:val="1"/>
      <w:numFmt w:val="bullet"/>
      <w:lvlText w:val=""/>
      <w:lvlJc w:val="left"/>
      <w:pPr>
        <w:ind w:left="1800" w:hanging="360"/>
      </w:pPr>
      <w:rPr>
        <w:rFonts w:ascii="Wingdings" w:hAnsi="Wingdings" w:hint="default"/>
      </w:rPr>
    </w:lvl>
    <w:lvl w:ilvl="3" w:tplc="7AEA02F8">
      <w:start w:val="1"/>
      <w:numFmt w:val="bullet"/>
      <w:lvlText w:val=""/>
      <w:lvlJc w:val="left"/>
      <w:pPr>
        <w:ind w:left="2520" w:hanging="360"/>
      </w:pPr>
      <w:rPr>
        <w:rFonts w:ascii="Symbol" w:hAnsi="Symbol" w:hint="default"/>
      </w:rPr>
    </w:lvl>
    <w:lvl w:ilvl="4" w:tplc="59DA8854">
      <w:start w:val="1"/>
      <w:numFmt w:val="bullet"/>
      <w:lvlText w:val="o"/>
      <w:lvlJc w:val="left"/>
      <w:pPr>
        <w:ind w:left="3240" w:hanging="360"/>
      </w:pPr>
      <w:rPr>
        <w:rFonts w:ascii="Courier New" w:hAnsi="Courier New" w:cs="Courier New" w:hint="default"/>
      </w:rPr>
    </w:lvl>
    <w:lvl w:ilvl="5" w:tplc="633C53CE">
      <w:start w:val="1"/>
      <w:numFmt w:val="bullet"/>
      <w:lvlText w:val=""/>
      <w:lvlJc w:val="left"/>
      <w:pPr>
        <w:ind w:left="3960" w:hanging="360"/>
      </w:pPr>
      <w:rPr>
        <w:rFonts w:ascii="Wingdings" w:hAnsi="Wingdings" w:hint="default"/>
      </w:rPr>
    </w:lvl>
    <w:lvl w:ilvl="6" w:tplc="87FAEED4">
      <w:start w:val="1"/>
      <w:numFmt w:val="bullet"/>
      <w:lvlText w:val=""/>
      <w:lvlJc w:val="left"/>
      <w:pPr>
        <w:ind w:left="4680" w:hanging="360"/>
      </w:pPr>
      <w:rPr>
        <w:rFonts w:ascii="Symbol" w:hAnsi="Symbol" w:hint="default"/>
      </w:rPr>
    </w:lvl>
    <w:lvl w:ilvl="7" w:tplc="E55A5CDA">
      <w:start w:val="1"/>
      <w:numFmt w:val="bullet"/>
      <w:lvlText w:val="o"/>
      <w:lvlJc w:val="left"/>
      <w:pPr>
        <w:ind w:left="5400" w:hanging="360"/>
      </w:pPr>
      <w:rPr>
        <w:rFonts w:ascii="Courier New" w:hAnsi="Courier New" w:cs="Courier New" w:hint="default"/>
      </w:rPr>
    </w:lvl>
    <w:lvl w:ilvl="8" w:tplc="76145848">
      <w:start w:val="1"/>
      <w:numFmt w:val="bullet"/>
      <w:lvlText w:val=""/>
      <w:lvlJc w:val="left"/>
      <w:pPr>
        <w:ind w:left="6120" w:hanging="360"/>
      </w:pPr>
      <w:rPr>
        <w:rFonts w:ascii="Wingdings" w:hAnsi="Wingdings" w:hint="default"/>
      </w:rPr>
    </w:lvl>
  </w:abstractNum>
  <w:abstractNum w:abstractNumId="194" w15:restartNumberingAfterBreak="0">
    <w:nsid w:val="7A6F5533"/>
    <w:multiLevelType w:val="hybridMultilevel"/>
    <w:tmpl w:val="817A9E84"/>
    <w:lvl w:ilvl="0" w:tplc="AC249628">
      <w:start w:val="1"/>
      <w:numFmt w:val="bullet"/>
      <w:lvlText w:val=""/>
      <w:lvlJc w:val="left"/>
      <w:pPr>
        <w:ind w:left="720" w:hanging="360"/>
      </w:pPr>
      <w:rPr>
        <w:rFonts w:ascii="Symbol" w:hAnsi="Symbol" w:hint="default"/>
      </w:rPr>
    </w:lvl>
    <w:lvl w:ilvl="1" w:tplc="F84ACA2A" w:tentative="1">
      <w:start w:val="1"/>
      <w:numFmt w:val="bullet"/>
      <w:lvlText w:val="o"/>
      <w:lvlJc w:val="left"/>
      <w:pPr>
        <w:ind w:left="1440" w:hanging="360"/>
      </w:pPr>
      <w:rPr>
        <w:rFonts w:ascii="Courier New" w:hAnsi="Courier New" w:cs="Courier New" w:hint="default"/>
      </w:rPr>
    </w:lvl>
    <w:lvl w:ilvl="2" w:tplc="4BE27B3A" w:tentative="1">
      <w:start w:val="1"/>
      <w:numFmt w:val="bullet"/>
      <w:lvlText w:val=""/>
      <w:lvlJc w:val="left"/>
      <w:pPr>
        <w:ind w:left="2160" w:hanging="360"/>
      </w:pPr>
      <w:rPr>
        <w:rFonts w:ascii="Wingdings" w:hAnsi="Wingdings" w:hint="default"/>
      </w:rPr>
    </w:lvl>
    <w:lvl w:ilvl="3" w:tplc="EC2CFF64" w:tentative="1">
      <w:start w:val="1"/>
      <w:numFmt w:val="bullet"/>
      <w:lvlText w:val=""/>
      <w:lvlJc w:val="left"/>
      <w:pPr>
        <w:ind w:left="2880" w:hanging="360"/>
      </w:pPr>
      <w:rPr>
        <w:rFonts w:ascii="Symbol" w:hAnsi="Symbol" w:hint="default"/>
      </w:rPr>
    </w:lvl>
    <w:lvl w:ilvl="4" w:tplc="460247F2" w:tentative="1">
      <w:start w:val="1"/>
      <w:numFmt w:val="bullet"/>
      <w:lvlText w:val="o"/>
      <w:lvlJc w:val="left"/>
      <w:pPr>
        <w:ind w:left="3600" w:hanging="360"/>
      </w:pPr>
      <w:rPr>
        <w:rFonts w:ascii="Courier New" w:hAnsi="Courier New" w:cs="Courier New" w:hint="default"/>
      </w:rPr>
    </w:lvl>
    <w:lvl w:ilvl="5" w:tplc="9666337E" w:tentative="1">
      <w:start w:val="1"/>
      <w:numFmt w:val="bullet"/>
      <w:lvlText w:val=""/>
      <w:lvlJc w:val="left"/>
      <w:pPr>
        <w:ind w:left="4320" w:hanging="360"/>
      </w:pPr>
      <w:rPr>
        <w:rFonts w:ascii="Wingdings" w:hAnsi="Wingdings" w:hint="default"/>
      </w:rPr>
    </w:lvl>
    <w:lvl w:ilvl="6" w:tplc="DDF467B0" w:tentative="1">
      <w:start w:val="1"/>
      <w:numFmt w:val="bullet"/>
      <w:lvlText w:val=""/>
      <w:lvlJc w:val="left"/>
      <w:pPr>
        <w:ind w:left="5040" w:hanging="360"/>
      </w:pPr>
      <w:rPr>
        <w:rFonts w:ascii="Symbol" w:hAnsi="Symbol" w:hint="default"/>
      </w:rPr>
    </w:lvl>
    <w:lvl w:ilvl="7" w:tplc="40322722" w:tentative="1">
      <w:start w:val="1"/>
      <w:numFmt w:val="bullet"/>
      <w:lvlText w:val="o"/>
      <w:lvlJc w:val="left"/>
      <w:pPr>
        <w:ind w:left="5760" w:hanging="360"/>
      </w:pPr>
      <w:rPr>
        <w:rFonts w:ascii="Courier New" w:hAnsi="Courier New" w:cs="Courier New" w:hint="default"/>
      </w:rPr>
    </w:lvl>
    <w:lvl w:ilvl="8" w:tplc="C7E2AD4C" w:tentative="1">
      <w:start w:val="1"/>
      <w:numFmt w:val="bullet"/>
      <w:lvlText w:val=""/>
      <w:lvlJc w:val="left"/>
      <w:pPr>
        <w:ind w:left="6480" w:hanging="360"/>
      </w:pPr>
      <w:rPr>
        <w:rFonts w:ascii="Wingdings" w:hAnsi="Wingdings" w:hint="default"/>
      </w:rPr>
    </w:lvl>
  </w:abstractNum>
  <w:abstractNum w:abstractNumId="195" w15:restartNumberingAfterBreak="0">
    <w:nsid w:val="7A711277"/>
    <w:multiLevelType w:val="multilevel"/>
    <w:tmpl w:val="AA0E75B2"/>
    <w:lvl w:ilvl="0">
      <w:start w:val="1"/>
      <w:numFmt w:val="bullet"/>
      <w:pStyle w:val="EMEA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left"/>
      <w:pPr>
        <w:tabs>
          <w:tab w:val="num" w:pos="144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6" w15:restartNumberingAfterBreak="0">
    <w:nsid w:val="7BB80CBB"/>
    <w:multiLevelType w:val="hybridMultilevel"/>
    <w:tmpl w:val="13785BDC"/>
    <w:lvl w:ilvl="0" w:tplc="AB38F4C2">
      <w:start w:val="1"/>
      <w:numFmt w:val="bullet"/>
      <w:lvlText w:val=""/>
      <w:lvlJc w:val="left"/>
      <w:pPr>
        <w:ind w:left="720" w:hanging="360"/>
      </w:pPr>
      <w:rPr>
        <w:rFonts w:ascii="Symbol" w:hAnsi="Symbol" w:hint="default"/>
      </w:rPr>
    </w:lvl>
    <w:lvl w:ilvl="1" w:tplc="4C2A79E2" w:tentative="1">
      <w:start w:val="1"/>
      <w:numFmt w:val="bullet"/>
      <w:lvlText w:val="o"/>
      <w:lvlJc w:val="left"/>
      <w:pPr>
        <w:ind w:left="1440" w:hanging="360"/>
      </w:pPr>
      <w:rPr>
        <w:rFonts w:ascii="Courier New" w:hAnsi="Courier New" w:cs="Courier New" w:hint="default"/>
      </w:rPr>
    </w:lvl>
    <w:lvl w:ilvl="2" w:tplc="5DEC95F2" w:tentative="1">
      <w:start w:val="1"/>
      <w:numFmt w:val="bullet"/>
      <w:lvlText w:val=""/>
      <w:lvlJc w:val="left"/>
      <w:pPr>
        <w:ind w:left="2160" w:hanging="360"/>
      </w:pPr>
      <w:rPr>
        <w:rFonts w:ascii="Wingdings" w:hAnsi="Wingdings" w:hint="default"/>
      </w:rPr>
    </w:lvl>
    <w:lvl w:ilvl="3" w:tplc="FBAA3812" w:tentative="1">
      <w:start w:val="1"/>
      <w:numFmt w:val="bullet"/>
      <w:lvlText w:val=""/>
      <w:lvlJc w:val="left"/>
      <w:pPr>
        <w:ind w:left="2880" w:hanging="360"/>
      </w:pPr>
      <w:rPr>
        <w:rFonts w:ascii="Symbol" w:hAnsi="Symbol" w:hint="default"/>
      </w:rPr>
    </w:lvl>
    <w:lvl w:ilvl="4" w:tplc="75CC84CE" w:tentative="1">
      <w:start w:val="1"/>
      <w:numFmt w:val="bullet"/>
      <w:lvlText w:val="o"/>
      <w:lvlJc w:val="left"/>
      <w:pPr>
        <w:ind w:left="3600" w:hanging="360"/>
      </w:pPr>
      <w:rPr>
        <w:rFonts w:ascii="Courier New" w:hAnsi="Courier New" w:cs="Courier New" w:hint="default"/>
      </w:rPr>
    </w:lvl>
    <w:lvl w:ilvl="5" w:tplc="36FA62B2" w:tentative="1">
      <w:start w:val="1"/>
      <w:numFmt w:val="bullet"/>
      <w:lvlText w:val=""/>
      <w:lvlJc w:val="left"/>
      <w:pPr>
        <w:ind w:left="4320" w:hanging="360"/>
      </w:pPr>
      <w:rPr>
        <w:rFonts w:ascii="Wingdings" w:hAnsi="Wingdings" w:hint="default"/>
      </w:rPr>
    </w:lvl>
    <w:lvl w:ilvl="6" w:tplc="A6021286" w:tentative="1">
      <w:start w:val="1"/>
      <w:numFmt w:val="bullet"/>
      <w:lvlText w:val=""/>
      <w:lvlJc w:val="left"/>
      <w:pPr>
        <w:ind w:left="5040" w:hanging="360"/>
      </w:pPr>
      <w:rPr>
        <w:rFonts w:ascii="Symbol" w:hAnsi="Symbol" w:hint="default"/>
      </w:rPr>
    </w:lvl>
    <w:lvl w:ilvl="7" w:tplc="DCE27F9E" w:tentative="1">
      <w:start w:val="1"/>
      <w:numFmt w:val="bullet"/>
      <w:lvlText w:val="o"/>
      <w:lvlJc w:val="left"/>
      <w:pPr>
        <w:ind w:left="5760" w:hanging="360"/>
      </w:pPr>
      <w:rPr>
        <w:rFonts w:ascii="Courier New" w:hAnsi="Courier New" w:cs="Courier New" w:hint="default"/>
      </w:rPr>
    </w:lvl>
    <w:lvl w:ilvl="8" w:tplc="5DE82458" w:tentative="1">
      <w:start w:val="1"/>
      <w:numFmt w:val="bullet"/>
      <w:lvlText w:val=""/>
      <w:lvlJc w:val="left"/>
      <w:pPr>
        <w:ind w:left="6480" w:hanging="360"/>
      </w:pPr>
      <w:rPr>
        <w:rFonts w:ascii="Wingdings" w:hAnsi="Wingdings" w:hint="default"/>
      </w:rPr>
    </w:lvl>
  </w:abstractNum>
  <w:abstractNum w:abstractNumId="197" w15:restartNumberingAfterBreak="0">
    <w:nsid w:val="7CE94D19"/>
    <w:multiLevelType w:val="hybridMultilevel"/>
    <w:tmpl w:val="030AD1BE"/>
    <w:lvl w:ilvl="0" w:tplc="5AE8ECAE">
      <w:start w:val="1"/>
      <w:numFmt w:val="bullet"/>
      <w:lvlText w:val=""/>
      <w:lvlJc w:val="left"/>
      <w:pPr>
        <w:tabs>
          <w:tab w:val="num" w:pos="567"/>
        </w:tabs>
        <w:ind w:left="567" w:hanging="567"/>
      </w:pPr>
      <w:rPr>
        <w:rFonts w:ascii="Symbol" w:hAnsi="Symbol" w:hint="default"/>
      </w:rPr>
    </w:lvl>
    <w:lvl w:ilvl="1" w:tplc="82240DD2" w:tentative="1">
      <w:start w:val="1"/>
      <w:numFmt w:val="bullet"/>
      <w:lvlText w:val="o"/>
      <w:lvlJc w:val="left"/>
      <w:pPr>
        <w:tabs>
          <w:tab w:val="num" w:pos="1440"/>
        </w:tabs>
        <w:ind w:left="1440" w:hanging="360"/>
      </w:pPr>
      <w:rPr>
        <w:rFonts w:ascii="Courier New" w:hAnsi="Courier New" w:hint="default"/>
      </w:rPr>
    </w:lvl>
    <w:lvl w:ilvl="2" w:tplc="84FC38E8" w:tentative="1">
      <w:start w:val="1"/>
      <w:numFmt w:val="bullet"/>
      <w:lvlText w:val=""/>
      <w:lvlJc w:val="left"/>
      <w:pPr>
        <w:tabs>
          <w:tab w:val="num" w:pos="2160"/>
        </w:tabs>
        <w:ind w:left="2160" w:hanging="360"/>
      </w:pPr>
      <w:rPr>
        <w:rFonts w:ascii="Wingdings" w:hAnsi="Wingdings" w:hint="default"/>
      </w:rPr>
    </w:lvl>
    <w:lvl w:ilvl="3" w:tplc="9D262428" w:tentative="1">
      <w:start w:val="1"/>
      <w:numFmt w:val="bullet"/>
      <w:lvlText w:val=""/>
      <w:lvlJc w:val="left"/>
      <w:pPr>
        <w:tabs>
          <w:tab w:val="num" w:pos="2880"/>
        </w:tabs>
        <w:ind w:left="2880" w:hanging="360"/>
      </w:pPr>
      <w:rPr>
        <w:rFonts w:ascii="Symbol" w:hAnsi="Symbol" w:hint="default"/>
      </w:rPr>
    </w:lvl>
    <w:lvl w:ilvl="4" w:tplc="739233E2" w:tentative="1">
      <w:start w:val="1"/>
      <w:numFmt w:val="bullet"/>
      <w:lvlText w:val="o"/>
      <w:lvlJc w:val="left"/>
      <w:pPr>
        <w:tabs>
          <w:tab w:val="num" w:pos="3600"/>
        </w:tabs>
        <w:ind w:left="3600" w:hanging="360"/>
      </w:pPr>
      <w:rPr>
        <w:rFonts w:ascii="Courier New" w:hAnsi="Courier New" w:hint="default"/>
      </w:rPr>
    </w:lvl>
    <w:lvl w:ilvl="5" w:tplc="AD842F74" w:tentative="1">
      <w:start w:val="1"/>
      <w:numFmt w:val="bullet"/>
      <w:lvlText w:val=""/>
      <w:lvlJc w:val="left"/>
      <w:pPr>
        <w:tabs>
          <w:tab w:val="num" w:pos="4320"/>
        </w:tabs>
        <w:ind w:left="4320" w:hanging="360"/>
      </w:pPr>
      <w:rPr>
        <w:rFonts w:ascii="Wingdings" w:hAnsi="Wingdings" w:hint="default"/>
      </w:rPr>
    </w:lvl>
    <w:lvl w:ilvl="6" w:tplc="BFAA60D4" w:tentative="1">
      <w:start w:val="1"/>
      <w:numFmt w:val="bullet"/>
      <w:lvlText w:val=""/>
      <w:lvlJc w:val="left"/>
      <w:pPr>
        <w:tabs>
          <w:tab w:val="num" w:pos="5040"/>
        </w:tabs>
        <w:ind w:left="5040" w:hanging="360"/>
      </w:pPr>
      <w:rPr>
        <w:rFonts w:ascii="Symbol" w:hAnsi="Symbol" w:hint="default"/>
      </w:rPr>
    </w:lvl>
    <w:lvl w:ilvl="7" w:tplc="39A495F0" w:tentative="1">
      <w:start w:val="1"/>
      <w:numFmt w:val="bullet"/>
      <w:lvlText w:val="o"/>
      <w:lvlJc w:val="left"/>
      <w:pPr>
        <w:tabs>
          <w:tab w:val="num" w:pos="5760"/>
        </w:tabs>
        <w:ind w:left="5760" w:hanging="360"/>
      </w:pPr>
      <w:rPr>
        <w:rFonts w:ascii="Courier New" w:hAnsi="Courier New" w:hint="default"/>
      </w:rPr>
    </w:lvl>
    <w:lvl w:ilvl="8" w:tplc="A64C4EE4" w:tentative="1">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7DBC7AE7"/>
    <w:multiLevelType w:val="hybridMultilevel"/>
    <w:tmpl w:val="3DD8ED56"/>
    <w:lvl w:ilvl="0" w:tplc="D1BCBA8A">
      <w:start w:val="14"/>
      <w:numFmt w:val="decimal"/>
      <w:lvlText w:val="%1."/>
      <w:lvlJc w:val="left"/>
      <w:pPr>
        <w:ind w:left="720" w:hanging="360"/>
      </w:pPr>
      <w:rPr>
        <w:rFonts w:hint="default"/>
        <w:b w:val="0"/>
      </w:rPr>
    </w:lvl>
    <w:lvl w:ilvl="1" w:tplc="D2B6418E" w:tentative="1">
      <w:start w:val="1"/>
      <w:numFmt w:val="lowerLetter"/>
      <w:lvlText w:val="%2."/>
      <w:lvlJc w:val="left"/>
      <w:pPr>
        <w:ind w:left="1440" w:hanging="360"/>
      </w:pPr>
    </w:lvl>
    <w:lvl w:ilvl="2" w:tplc="52D2D372" w:tentative="1">
      <w:start w:val="1"/>
      <w:numFmt w:val="lowerRoman"/>
      <w:lvlText w:val="%3."/>
      <w:lvlJc w:val="right"/>
      <w:pPr>
        <w:ind w:left="2160" w:hanging="180"/>
      </w:pPr>
    </w:lvl>
    <w:lvl w:ilvl="3" w:tplc="6882E182" w:tentative="1">
      <w:start w:val="1"/>
      <w:numFmt w:val="decimal"/>
      <w:lvlText w:val="%4."/>
      <w:lvlJc w:val="left"/>
      <w:pPr>
        <w:ind w:left="2880" w:hanging="360"/>
      </w:pPr>
    </w:lvl>
    <w:lvl w:ilvl="4" w:tplc="E626E0E8" w:tentative="1">
      <w:start w:val="1"/>
      <w:numFmt w:val="lowerLetter"/>
      <w:lvlText w:val="%5."/>
      <w:lvlJc w:val="left"/>
      <w:pPr>
        <w:ind w:left="3600" w:hanging="360"/>
      </w:pPr>
    </w:lvl>
    <w:lvl w:ilvl="5" w:tplc="C32ABA1A" w:tentative="1">
      <w:start w:val="1"/>
      <w:numFmt w:val="lowerRoman"/>
      <w:lvlText w:val="%6."/>
      <w:lvlJc w:val="right"/>
      <w:pPr>
        <w:ind w:left="4320" w:hanging="180"/>
      </w:pPr>
    </w:lvl>
    <w:lvl w:ilvl="6" w:tplc="03183360" w:tentative="1">
      <w:start w:val="1"/>
      <w:numFmt w:val="decimal"/>
      <w:lvlText w:val="%7."/>
      <w:lvlJc w:val="left"/>
      <w:pPr>
        <w:ind w:left="5040" w:hanging="360"/>
      </w:pPr>
    </w:lvl>
    <w:lvl w:ilvl="7" w:tplc="73F02F40" w:tentative="1">
      <w:start w:val="1"/>
      <w:numFmt w:val="lowerLetter"/>
      <w:lvlText w:val="%8."/>
      <w:lvlJc w:val="left"/>
      <w:pPr>
        <w:ind w:left="5760" w:hanging="360"/>
      </w:pPr>
    </w:lvl>
    <w:lvl w:ilvl="8" w:tplc="14E2776E" w:tentative="1">
      <w:start w:val="1"/>
      <w:numFmt w:val="lowerRoman"/>
      <w:lvlText w:val="%9."/>
      <w:lvlJc w:val="right"/>
      <w:pPr>
        <w:ind w:left="6480" w:hanging="180"/>
      </w:pPr>
    </w:lvl>
  </w:abstractNum>
  <w:abstractNum w:abstractNumId="199" w15:restartNumberingAfterBreak="0">
    <w:nsid w:val="7E1C5C15"/>
    <w:multiLevelType w:val="hybridMultilevel"/>
    <w:tmpl w:val="A672EF00"/>
    <w:lvl w:ilvl="0" w:tplc="A8983DDE">
      <w:start w:val="1"/>
      <w:numFmt w:val="bullet"/>
      <w:lvlText w:val=""/>
      <w:lvlJc w:val="left"/>
      <w:pPr>
        <w:ind w:left="720" w:hanging="360"/>
      </w:pPr>
      <w:rPr>
        <w:rFonts w:ascii="Symbol" w:hAnsi="Symbol" w:hint="default"/>
      </w:rPr>
    </w:lvl>
    <w:lvl w:ilvl="1" w:tplc="F3F6DB4A" w:tentative="1">
      <w:start w:val="1"/>
      <w:numFmt w:val="bullet"/>
      <w:lvlText w:val="o"/>
      <w:lvlJc w:val="left"/>
      <w:pPr>
        <w:ind w:left="1440" w:hanging="360"/>
      </w:pPr>
      <w:rPr>
        <w:rFonts w:ascii="Courier New" w:hAnsi="Courier New" w:cs="Courier New" w:hint="default"/>
      </w:rPr>
    </w:lvl>
    <w:lvl w:ilvl="2" w:tplc="5C2C93A4" w:tentative="1">
      <w:start w:val="1"/>
      <w:numFmt w:val="bullet"/>
      <w:lvlText w:val=""/>
      <w:lvlJc w:val="left"/>
      <w:pPr>
        <w:ind w:left="2160" w:hanging="360"/>
      </w:pPr>
      <w:rPr>
        <w:rFonts w:ascii="Wingdings" w:hAnsi="Wingdings" w:hint="default"/>
      </w:rPr>
    </w:lvl>
    <w:lvl w:ilvl="3" w:tplc="7AE4F4D4" w:tentative="1">
      <w:start w:val="1"/>
      <w:numFmt w:val="bullet"/>
      <w:lvlText w:val=""/>
      <w:lvlJc w:val="left"/>
      <w:pPr>
        <w:ind w:left="2880" w:hanging="360"/>
      </w:pPr>
      <w:rPr>
        <w:rFonts w:ascii="Symbol" w:hAnsi="Symbol" w:hint="default"/>
      </w:rPr>
    </w:lvl>
    <w:lvl w:ilvl="4" w:tplc="142C5BAA" w:tentative="1">
      <w:start w:val="1"/>
      <w:numFmt w:val="bullet"/>
      <w:lvlText w:val="o"/>
      <w:lvlJc w:val="left"/>
      <w:pPr>
        <w:ind w:left="3600" w:hanging="360"/>
      </w:pPr>
      <w:rPr>
        <w:rFonts w:ascii="Courier New" w:hAnsi="Courier New" w:cs="Courier New" w:hint="default"/>
      </w:rPr>
    </w:lvl>
    <w:lvl w:ilvl="5" w:tplc="F7FE6D0E" w:tentative="1">
      <w:start w:val="1"/>
      <w:numFmt w:val="bullet"/>
      <w:lvlText w:val=""/>
      <w:lvlJc w:val="left"/>
      <w:pPr>
        <w:ind w:left="4320" w:hanging="360"/>
      </w:pPr>
      <w:rPr>
        <w:rFonts w:ascii="Wingdings" w:hAnsi="Wingdings" w:hint="default"/>
      </w:rPr>
    </w:lvl>
    <w:lvl w:ilvl="6" w:tplc="3D7AD1B0" w:tentative="1">
      <w:start w:val="1"/>
      <w:numFmt w:val="bullet"/>
      <w:lvlText w:val=""/>
      <w:lvlJc w:val="left"/>
      <w:pPr>
        <w:ind w:left="5040" w:hanging="360"/>
      </w:pPr>
      <w:rPr>
        <w:rFonts w:ascii="Symbol" w:hAnsi="Symbol" w:hint="default"/>
      </w:rPr>
    </w:lvl>
    <w:lvl w:ilvl="7" w:tplc="0714DDBC" w:tentative="1">
      <w:start w:val="1"/>
      <w:numFmt w:val="bullet"/>
      <w:lvlText w:val="o"/>
      <w:lvlJc w:val="left"/>
      <w:pPr>
        <w:ind w:left="5760" w:hanging="360"/>
      </w:pPr>
      <w:rPr>
        <w:rFonts w:ascii="Courier New" w:hAnsi="Courier New" w:cs="Courier New" w:hint="default"/>
      </w:rPr>
    </w:lvl>
    <w:lvl w:ilvl="8" w:tplc="1736BF6E" w:tentative="1">
      <w:start w:val="1"/>
      <w:numFmt w:val="bullet"/>
      <w:lvlText w:val=""/>
      <w:lvlJc w:val="left"/>
      <w:pPr>
        <w:ind w:left="6480" w:hanging="360"/>
      </w:pPr>
      <w:rPr>
        <w:rFonts w:ascii="Wingdings" w:hAnsi="Wingdings" w:hint="default"/>
      </w:rPr>
    </w:lvl>
  </w:abstractNum>
  <w:num w:numId="1" w16cid:durableId="161899420">
    <w:abstractNumId w:val="152"/>
  </w:num>
  <w:num w:numId="2" w16cid:durableId="10114101">
    <w:abstractNumId w:val="25"/>
  </w:num>
  <w:num w:numId="3" w16cid:durableId="1510096519">
    <w:abstractNumId w:val="86"/>
  </w:num>
  <w:num w:numId="4" w16cid:durableId="33383533">
    <w:abstractNumId w:val="164"/>
  </w:num>
  <w:num w:numId="5" w16cid:durableId="136647173">
    <w:abstractNumId w:val="114"/>
  </w:num>
  <w:num w:numId="6" w16cid:durableId="1033382106">
    <w:abstractNumId w:val="64"/>
  </w:num>
  <w:num w:numId="7" w16cid:durableId="2013989264">
    <w:abstractNumId w:val="157"/>
  </w:num>
  <w:num w:numId="8" w16cid:durableId="262689662">
    <w:abstractNumId w:val="188"/>
  </w:num>
  <w:num w:numId="9" w16cid:durableId="173038470">
    <w:abstractNumId w:val="98"/>
  </w:num>
  <w:num w:numId="10" w16cid:durableId="1600064458">
    <w:abstractNumId w:val="148"/>
  </w:num>
  <w:num w:numId="11" w16cid:durableId="1933081272">
    <w:abstractNumId w:val="52"/>
  </w:num>
  <w:num w:numId="12" w16cid:durableId="837383829">
    <w:abstractNumId w:val="168"/>
  </w:num>
  <w:num w:numId="13" w16cid:durableId="219022941">
    <w:abstractNumId w:val="129"/>
  </w:num>
  <w:num w:numId="14" w16cid:durableId="1805927182">
    <w:abstractNumId w:val="132"/>
  </w:num>
  <w:num w:numId="15" w16cid:durableId="164900250">
    <w:abstractNumId w:val="164"/>
  </w:num>
  <w:num w:numId="16" w16cid:durableId="197469392">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10599992">
    <w:abstractNumId w:val="1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40564340">
    <w:abstractNumId w:val="182"/>
  </w:num>
  <w:num w:numId="19" w16cid:durableId="1971128621">
    <w:abstractNumId w:val="67"/>
  </w:num>
  <w:num w:numId="20" w16cid:durableId="196241204">
    <w:abstractNumId w:val="53"/>
  </w:num>
  <w:num w:numId="21" w16cid:durableId="524252815">
    <w:abstractNumId w:val="17"/>
  </w:num>
  <w:num w:numId="22" w16cid:durableId="317029686">
    <w:abstractNumId w:val="22"/>
  </w:num>
  <w:num w:numId="23" w16cid:durableId="1000084745">
    <w:abstractNumId w:val="56"/>
  </w:num>
  <w:num w:numId="24" w16cid:durableId="144014243">
    <w:abstractNumId w:val="61"/>
  </w:num>
  <w:num w:numId="25" w16cid:durableId="796607415">
    <w:abstractNumId w:val="154"/>
  </w:num>
  <w:num w:numId="26" w16cid:durableId="1971471547">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17550617">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1292473">
    <w:abstractNumId w:val="122"/>
  </w:num>
  <w:num w:numId="29" w16cid:durableId="32774028">
    <w:abstractNumId w:val="16"/>
  </w:num>
  <w:num w:numId="30" w16cid:durableId="432213824">
    <w:abstractNumId w:val="171"/>
  </w:num>
  <w:num w:numId="31" w16cid:durableId="105782922">
    <w:abstractNumId w:val="104"/>
  </w:num>
  <w:num w:numId="32" w16cid:durableId="770665516">
    <w:abstractNumId w:val="142"/>
  </w:num>
  <w:num w:numId="33" w16cid:durableId="1937640121">
    <w:abstractNumId w:val="82"/>
  </w:num>
  <w:num w:numId="34" w16cid:durableId="729423120">
    <w:abstractNumId w:val="187"/>
  </w:num>
  <w:num w:numId="35" w16cid:durableId="723875461">
    <w:abstractNumId w:val="175"/>
  </w:num>
  <w:num w:numId="36" w16cid:durableId="698823727">
    <w:abstractNumId w:val="60"/>
  </w:num>
  <w:num w:numId="37" w16cid:durableId="863978887">
    <w:abstractNumId w:val="134"/>
  </w:num>
  <w:num w:numId="38" w16cid:durableId="1876580411">
    <w:abstractNumId w:val="36"/>
  </w:num>
  <w:num w:numId="39" w16cid:durableId="1963610422">
    <w:abstractNumId w:val="126"/>
  </w:num>
  <w:num w:numId="40" w16cid:durableId="776608128">
    <w:abstractNumId w:val="32"/>
  </w:num>
  <w:num w:numId="41" w16cid:durableId="843785909">
    <w:abstractNumId w:val="162"/>
  </w:num>
  <w:num w:numId="42" w16cid:durableId="1010983722">
    <w:abstractNumId w:val="90"/>
  </w:num>
  <w:num w:numId="43" w16cid:durableId="1714424857">
    <w:abstractNumId w:val="172"/>
  </w:num>
  <w:num w:numId="44" w16cid:durableId="43800899">
    <w:abstractNumId w:val="62"/>
  </w:num>
  <w:num w:numId="45" w16cid:durableId="379019881">
    <w:abstractNumId w:val="49"/>
  </w:num>
  <w:num w:numId="46" w16cid:durableId="1909609473">
    <w:abstractNumId w:val="14"/>
  </w:num>
  <w:num w:numId="47" w16cid:durableId="765661117">
    <w:abstractNumId w:val="48"/>
  </w:num>
  <w:num w:numId="48" w16cid:durableId="620915495">
    <w:abstractNumId w:val="111"/>
  </w:num>
  <w:num w:numId="49" w16cid:durableId="1236864830">
    <w:abstractNumId w:val="140"/>
  </w:num>
  <w:num w:numId="50" w16cid:durableId="119226852">
    <w:abstractNumId w:val="186"/>
  </w:num>
  <w:num w:numId="51" w16cid:durableId="268391625">
    <w:abstractNumId w:val="150"/>
  </w:num>
  <w:num w:numId="52" w16cid:durableId="954870428">
    <w:abstractNumId w:val="125"/>
  </w:num>
  <w:num w:numId="53" w16cid:durableId="1516580481">
    <w:abstractNumId w:val="197"/>
  </w:num>
  <w:num w:numId="54" w16cid:durableId="1186286444">
    <w:abstractNumId w:val="45"/>
  </w:num>
  <w:num w:numId="55" w16cid:durableId="1610700615">
    <w:abstractNumId w:val="166"/>
  </w:num>
  <w:num w:numId="56" w16cid:durableId="843788954">
    <w:abstractNumId w:val="185"/>
  </w:num>
  <w:num w:numId="57" w16cid:durableId="733089801">
    <w:abstractNumId w:val="160"/>
  </w:num>
  <w:num w:numId="58" w16cid:durableId="60832742">
    <w:abstractNumId w:val="59"/>
  </w:num>
  <w:num w:numId="59" w16cid:durableId="213665292">
    <w:abstractNumId w:val="178"/>
  </w:num>
  <w:num w:numId="60" w16cid:durableId="228079338">
    <w:abstractNumId w:val="135"/>
  </w:num>
  <w:num w:numId="61" w16cid:durableId="331954438">
    <w:abstractNumId w:val="37"/>
  </w:num>
  <w:num w:numId="62" w16cid:durableId="1509172179">
    <w:abstractNumId w:val="144"/>
  </w:num>
  <w:num w:numId="63" w16cid:durableId="1542211160">
    <w:abstractNumId w:val="113"/>
  </w:num>
  <w:num w:numId="64" w16cid:durableId="1139614268">
    <w:abstractNumId w:val="136"/>
  </w:num>
  <w:num w:numId="65" w16cid:durableId="1191450952">
    <w:abstractNumId w:val="106"/>
  </w:num>
  <w:num w:numId="66" w16cid:durableId="33888785">
    <w:abstractNumId w:val="133"/>
  </w:num>
  <w:num w:numId="67" w16cid:durableId="1219828999">
    <w:abstractNumId w:val="78"/>
  </w:num>
  <w:num w:numId="68" w16cid:durableId="316155381">
    <w:abstractNumId w:val="192"/>
  </w:num>
  <w:num w:numId="69" w16cid:durableId="702172534">
    <w:abstractNumId w:val="58"/>
  </w:num>
  <w:num w:numId="70" w16cid:durableId="1552423608">
    <w:abstractNumId w:val="115"/>
  </w:num>
  <w:num w:numId="71" w16cid:durableId="1346710255">
    <w:abstractNumId w:val="108"/>
  </w:num>
  <w:num w:numId="72" w16cid:durableId="1656494819">
    <w:abstractNumId w:val="101"/>
  </w:num>
  <w:num w:numId="73" w16cid:durableId="574559615">
    <w:abstractNumId w:val="167"/>
  </w:num>
  <w:num w:numId="74" w16cid:durableId="1451435046">
    <w:abstractNumId w:val="195"/>
  </w:num>
  <w:num w:numId="75" w16cid:durableId="1348365299">
    <w:abstractNumId w:val="170"/>
  </w:num>
  <w:num w:numId="76" w16cid:durableId="1702709962">
    <w:abstractNumId w:val="191"/>
  </w:num>
  <w:num w:numId="77" w16cid:durableId="39019301">
    <w:abstractNumId w:val="34"/>
  </w:num>
  <w:num w:numId="78" w16cid:durableId="395013124">
    <w:abstractNumId w:val="1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363100354">
    <w:abstractNumId w:val="105"/>
  </w:num>
  <w:num w:numId="80" w16cid:durableId="1575118602">
    <w:abstractNumId w:val="5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65768668">
    <w:abstractNumId w:val="121"/>
  </w:num>
  <w:num w:numId="82" w16cid:durableId="292911417">
    <w:abstractNumId w:val="123"/>
  </w:num>
  <w:num w:numId="83" w16cid:durableId="1704937442">
    <w:abstractNumId w:val="23"/>
  </w:num>
  <w:num w:numId="84" w16cid:durableId="686174217">
    <w:abstractNumId w:val="184"/>
  </w:num>
  <w:num w:numId="85" w16cid:durableId="1479422635">
    <w:abstractNumId w:val="20"/>
  </w:num>
  <w:num w:numId="86" w16cid:durableId="1432508884">
    <w:abstractNumId w:val="169"/>
  </w:num>
  <w:num w:numId="87" w16cid:durableId="1042826535">
    <w:abstractNumId w:val="39"/>
  </w:num>
  <w:num w:numId="88" w16cid:durableId="1867406370">
    <w:abstractNumId w:val="12"/>
  </w:num>
  <w:num w:numId="89" w16cid:durableId="2048067548">
    <w:abstractNumId w:val="42"/>
  </w:num>
  <w:num w:numId="90" w16cid:durableId="1685281439">
    <w:abstractNumId w:val="9"/>
  </w:num>
  <w:num w:numId="91" w16cid:durableId="1712923695">
    <w:abstractNumId w:val="7"/>
  </w:num>
  <w:num w:numId="92" w16cid:durableId="539559298">
    <w:abstractNumId w:val="6"/>
  </w:num>
  <w:num w:numId="93" w16cid:durableId="1225752368">
    <w:abstractNumId w:val="5"/>
  </w:num>
  <w:num w:numId="94" w16cid:durableId="1802188218">
    <w:abstractNumId w:val="4"/>
  </w:num>
  <w:num w:numId="95" w16cid:durableId="70739716">
    <w:abstractNumId w:val="8"/>
  </w:num>
  <w:num w:numId="96" w16cid:durableId="652370914">
    <w:abstractNumId w:val="3"/>
  </w:num>
  <w:num w:numId="97" w16cid:durableId="882911585">
    <w:abstractNumId w:val="2"/>
  </w:num>
  <w:num w:numId="98" w16cid:durableId="178467051">
    <w:abstractNumId w:val="1"/>
  </w:num>
  <w:num w:numId="99" w16cid:durableId="2083673519">
    <w:abstractNumId w:val="0"/>
  </w:num>
  <w:num w:numId="100" w16cid:durableId="376593226">
    <w:abstractNumId w:val="119"/>
  </w:num>
  <w:num w:numId="101" w16cid:durableId="643972676">
    <w:abstractNumId w:val="100"/>
  </w:num>
  <w:num w:numId="102" w16cid:durableId="765229652">
    <w:abstractNumId w:val="46"/>
  </w:num>
  <w:num w:numId="103" w16cid:durableId="1159267216">
    <w:abstractNumId w:val="27"/>
  </w:num>
  <w:num w:numId="104" w16cid:durableId="452556335">
    <w:abstractNumId w:val="89"/>
  </w:num>
  <w:num w:numId="105" w16cid:durableId="484711394">
    <w:abstractNumId w:val="41"/>
  </w:num>
  <w:num w:numId="106" w16cid:durableId="1858617906">
    <w:abstractNumId w:val="107"/>
  </w:num>
  <w:num w:numId="107" w16cid:durableId="456409254">
    <w:abstractNumId w:val="124"/>
  </w:num>
  <w:num w:numId="108" w16cid:durableId="1171145129">
    <w:abstractNumId w:val="50"/>
  </w:num>
  <w:num w:numId="109" w16cid:durableId="1286231653">
    <w:abstractNumId w:val="180"/>
  </w:num>
  <w:num w:numId="110" w16cid:durableId="547643082">
    <w:abstractNumId w:val="87"/>
  </w:num>
  <w:num w:numId="111" w16cid:durableId="546843497">
    <w:abstractNumId w:val="97"/>
  </w:num>
  <w:num w:numId="112" w16cid:durableId="1891185914">
    <w:abstractNumId w:val="116"/>
  </w:num>
  <w:num w:numId="113" w16cid:durableId="1998605446">
    <w:abstractNumId w:val="180"/>
  </w:num>
  <w:num w:numId="114" w16cid:durableId="641543532">
    <w:abstractNumId w:val="190"/>
  </w:num>
  <w:num w:numId="115" w16cid:durableId="1682705442">
    <w:abstractNumId w:val="75"/>
  </w:num>
  <w:num w:numId="116" w16cid:durableId="368801775">
    <w:abstractNumId w:val="130"/>
  </w:num>
  <w:num w:numId="117" w16cid:durableId="1861354382">
    <w:abstractNumId w:val="55"/>
  </w:num>
  <w:num w:numId="118" w16cid:durableId="2018851210">
    <w:abstractNumId w:val="44"/>
  </w:num>
  <w:num w:numId="119" w16cid:durableId="38676009">
    <w:abstractNumId w:val="110"/>
  </w:num>
  <w:num w:numId="120" w16cid:durableId="30226745">
    <w:abstractNumId w:val="15"/>
  </w:num>
  <w:num w:numId="121" w16cid:durableId="1096092831">
    <w:abstractNumId w:val="73"/>
  </w:num>
  <w:num w:numId="122" w16cid:durableId="1809321169">
    <w:abstractNumId w:val="40"/>
  </w:num>
  <w:num w:numId="123" w16cid:durableId="895511479">
    <w:abstractNumId w:val="102"/>
  </w:num>
  <w:num w:numId="124" w16cid:durableId="320548936">
    <w:abstractNumId w:val="33"/>
  </w:num>
  <w:num w:numId="125" w16cid:durableId="1083071284">
    <w:abstractNumId w:val="30"/>
  </w:num>
  <w:num w:numId="126" w16cid:durableId="21365214">
    <w:abstractNumId w:val="43"/>
  </w:num>
  <w:num w:numId="127" w16cid:durableId="759524172">
    <w:abstractNumId w:val="109"/>
  </w:num>
  <w:num w:numId="128" w16cid:durableId="1491218394">
    <w:abstractNumId w:val="137"/>
  </w:num>
  <w:num w:numId="129" w16cid:durableId="1716077148">
    <w:abstractNumId w:val="77"/>
  </w:num>
  <w:num w:numId="130" w16cid:durableId="1964723579">
    <w:abstractNumId w:val="177"/>
  </w:num>
  <w:num w:numId="131" w16cid:durableId="1070344781">
    <w:abstractNumId w:val="47"/>
  </w:num>
  <w:num w:numId="132" w16cid:durableId="1879387535">
    <w:abstractNumId w:val="158"/>
  </w:num>
  <w:num w:numId="133" w16cid:durableId="158078133">
    <w:abstractNumId w:val="165"/>
  </w:num>
  <w:num w:numId="134" w16cid:durableId="546721484">
    <w:abstractNumId w:val="143"/>
  </w:num>
  <w:num w:numId="135" w16cid:durableId="1127049023">
    <w:abstractNumId w:val="71"/>
  </w:num>
  <w:num w:numId="136" w16cid:durableId="991761207">
    <w:abstractNumId w:val="153"/>
  </w:num>
  <w:num w:numId="137" w16cid:durableId="1023438033">
    <w:abstractNumId w:val="120"/>
  </w:num>
  <w:num w:numId="138" w16cid:durableId="55401982">
    <w:abstractNumId w:val="103"/>
  </w:num>
  <w:num w:numId="139" w16cid:durableId="488639077">
    <w:abstractNumId w:val="127"/>
  </w:num>
  <w:num w:numId="140" w16cid:durableId="1958871506">
    <w:abstractNumId w:val="174"/>
  </w:num>
  <w:num w:numId="141" w16cid:durableId="1725525537">
    <w:abstractNumId w:val="93"/>
  </w:num>
  <w:num w:numId="142" w16cid:durableId="2076853934">
    <w:abstractNumId w:val="181"/>
  </w:num>
  <w:num w:numId="143" w16cid:durableId="1671829722">
    <w:abstractNumId w:val="99"/>
  </w:num>
  <w:num w:numId="144" w16cid:durableId="1553811178">
    <w:abstractNumId w:val="179"/>
  </w:num>
  <w:num w:numId="145" w16cid:durableId="779253717">
    <w:abstractNumId w:val="26"/>
  </w:num>
  <w:num w:numId="146" w16cid:durableId="1377001355">
    <w:abstractNumId w:val="176"/>
  </w:num>
  <w:num w:numId="147" w16cid:durableId="1729917567">
    <w:abstractNumId w:val="19"/>
  </w:num>
  <w:num w:numId="148" w16cid:durableId="1877740556">
    <w:abstractNumId w:val="141"/>
  </w:num>
  <w:num w:numId="149" w16cid:durableId="701398336">
    <w:abstractNumId w:val="13"/>
  </w:num>
  <w:num w:numId="150" w16cid:durableId="209728509">
    <w:abstractNumId w:val="108"/>
  </w:num>
  <w:num w:numId="151" w16cid:durableId="1724793708">
    <w:abstractNumId w:val="26"/>
  </w:num>
  <w:num w:numId="152" w16cid:durableId="1619019555">
    <w:abstractNumId w:val="179"/>
  </w:num>
  <w:num w:numId="153" w16cid:durableId="1504472329">
    <w:abstractNumId w:val="99"/>
  </w:num>
  <w:num w:numId="154" w16cid:durableId="145883562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472941291">
    <w:abstractNumId w:val="182"/>
  </w:num>
  <w:num w:numId="156" w16cid:durableId="1463116957">
    <w:abstractNumId w:val="134"/>
  </w:num>
  <w:num w:numId="157" w16cid:durableId="452947787">
    <w:abstractNumId w:val="175"/>
  </w:num>
  <w:num w:numId="158" w16cid:durableId="279845253">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82326572">
    <w:abstractNumId w:val="191"/>
  </w:num>
  <w:num w:numId="160" w16cid:durableId="397437265">
    <w:abstractNumId w:val="67"/>
  </w:num>
  <w:num w:numId="161" w16cid:durableId="1471820992">
    <w:abstractNumId w:val="193"/>
  </w:num>
  <w:num w:numId="162" w16cid:durableId="1459450980">
    <w:abstractNumId w:val="156"/>
  </w:num>
  <w:num w:numId="163" w16cid:durableId="1624923675">
    <w:abstractNumId w:val="13"/>
  </w:num>
  <w:num w:numId="164" w16cid:durableId="1066336465">
    <w:abstractNumId w:val="53"/>
  </w:num>
  <w:num w:numId="165" w16cid:durableId="87628350">
    <w:abstractNumId w:val="141"/>
  </w:num>
  <w:num w:numId="166" w16cid:durableId="1895895364">
    <w:abstractNumId w:val="18"/>
  </w:num>
  <w:num w:numId="167" w16cid:durableId="1357534815">
    <w:abstractNumId w:val="24"/>
  </w:num>
  <w:num w:numId="168" w16cid:durableId="432701406">
    <w:abstractNumId w:val="125"/>
  </w:num>
  <w:num w:numId="169" w16cid:durableId="227107996">
    <w:abstractNumId w:val="111"/>
  </w:num>
  <w:num w:numId="170" w16cid:durableId="265581211">
    <w:abstractNumId w:val="197"/>
  </w:num>
  <w:num w:numId="171" w16cid:durableId="1938977274">
    <w:abstractNumId w:val="45"/>
  </w:num>
  <w:num w:numId="172" w16cid:durableId="1857578763">
    <w:abstractNumId w:val="166"/>
  </w:num>
  <w:num w:numId="173" w16cid:durableId="688413592">
    <w:abstractNumId w:val="150"/>
  </w:num>
  <w:num w:numId="174" w16cid:durableId="1379548696">
    <w:abstractNumId w:val="185"/>
  </w:num>
  <w:num w:numId="175" w16cid:durableId="2066297120">
    <w:abstractNumId w:val="107"/>
  </w:num>
  <w:num w:numId="176" w16cid:durableId="1705405124">
    <w:abstractNumId w:val="19"/>
  </w:num>
  <w:num w:numId="177" w16cid:durableId="300887253">
    <w:abstractNumId w:val="110"/>
  </w:num>
  <w:num w:numId="178" w16cid:durableId="1107584393">
    <w:abstractNumId w:val="15"/>
  </w:num>
  <w:num w:numId="179" w16cid:durableId="252514265">
    <w:abstractNumId w:val="73"/>
  </w:num>
  <w:num w:numId="180" w16cid:durableId="954869722">
    <w:abstractNumId w:val="40"/>
  </w:num>
  <w:num w:numId="181" w16cid:durableId="1072699626">
    <w:abstractNumId w:val="102"/>
  </w:num>
  <w:num w:numId="182" w16cid:durableId="901139320">
    <w:abstractNumId w:val="33"/>
  </w:num>
  <w:num w:numId="183" w16cid:durableId="1586037710">
    <w:abstractNumId w:val="158"/>
  </w:num>
  <w:num w:numId="184" w16cid:durableId="188226265">
    <w:abstractNumId w:val="30"/>
  </w:num>
  <w:num w:numId="185" w16cid:durableId="511992891">
    <w:abstractNumId w:val="109"/>
  </w:num>
  <w:num w:numId="186" w16cid:durableId="979116009">
    <w:abstractNumId w:val="137"/>
  </w:num>
  <w:num w:numId="187" w16cid:durableId="849022665">
    <w:abstractNumId w:val="147"/>
  </w:num>
  <w:num w:numId="188" w16cid:durableId="1403797302">
    <w:abstractNumId w:val="163"/>
  </w:num>
  <w:num w:numId="189" w16cid:durableId="2094081726">
    <w:abstractNumId w:val="35"/>
  </w:num>
  <w:num w:numId="190" w16cid:durableId="1811828552">
    <w:abstractNumId w:val="96"/>
  </w:num>
  <w:num w:numId="191" w16cid:durableId="1542011136">
    <w:abstractNumId w:val="196"/>
  </w:num>
  <w:num w:numId="192" w16cid:durableId="285283856">
    <w:abstractNumId w:val="21"/>
  </w:num>
  <w:num w:numId="193" w16cid:durableId="646328010">
    <w:abstractNumId w:val="65"/>
  </w:num>
  <w:num w:numId="194" w16cid:durableId="1076854665">
    <w:abstractNumId w:val="194"/>
  </w:num>
  <w:num w:numId="195" w16cid:durableId="768358548">
    <w:abstractNumId w:val="72"/>
  </w:num>
  <w:num w:numId="196" w16cid:durableId="1926767095">
    <w:abstractNumId w:val="57"/>
  </w:num>
  <w:num w:numId="197" w16cid:durableId="601301793">
    <w:abstractNumId w:val="38"/>
  </w:num>
  <w:num w:numId="198" w16cid:durableId="1205479701">
    <w:abstractNumId w:val="84"/>
  </w:num>
  <w:num w:numId="199" w16cid:durableId="1063288786">
    <w:abstractNumId w:val="161"/>
  </w:num>
  <w:num w:numId="200" w16cid:durableId="1336571055">
    <w:abstractNumId w:val="112"/>
  </w:num>
  <w:num w:numId="201" w16cid:durableId="117145030">
    <w:abstractNumId w:val="118"/>
  </w:num>
  <w:num w:numId="202" w16cid:durableId="765807684">
    <w:abstractNumId w:val="145"/>
  </w:num>
  <w:num w:numId="203" w16cid:durableId="761534506">
    <w:abstractNumId w:val="159"/>
  </w:num>
  <w:num w:numId="204" w16cid:durableId="1946694739">
    <w:abstractNumId w:val="92"/>
  </w:num>
  <w:num w:numId="205" w16cid:durableId="165361329">
    <w:abstractNumId w:val="66"/>
  </w:num>
  <w:num w:numId="206" w16cid:durableId="177815890">
    <w:abstractNumId w:val="83"/>
  </w:num>
  <w:num w:numId="207" w16cid:durableId="1268192466">
    <w:abstractNumId w:val="151"/>
  </w:num>
  <w:num w:numId="208" w16cid:durableId="1624193530">
    <w:abstractNumId w:val="51"/>
  </w:num>
  <w:num w:numId="209" w16cid:durableId="2138789694">
    <w:abstractNumId w:val="85"/>
  </w:num>
  <w:num w:numId="210" w16cid:durableId="1069184556">
    <w:abstractNumId w:val="198"/>
  </w:num>
  <w:num w:numId="211" w16cid:durableId="262959041">
    <w:abstractNumId w:val="31"/>
  </w:num>
  <w:num w:numId="212" w16cid:durableId="1785997528">
    <w:abstractNumId w:val="81"/>
  </w:num>
  <w:num w:numId="213" w16cid:durableId="2015181897">
    <w:abstractNumId w:val="68"/>
  </w:num>
  <w:num w:numId="214" w16cid:durableId="163517524">
    <w:abstractNumId w:val="69"/>
  </w:num>
  <w:num w:numId="215" w16cid:durableId="1837070390">
    <w:abstractNumId w:val="155"/>
  </w:num>
  <w:num w:numId="216" w16cid:durableId="1624731519">
    <w:abstractNumId w:val="146"/>
  </w:num>
  <w:num w:numId="217" w16cid:durableId="2102022629">
    <w:abstractNumId w:val="28"/>
  </w:num>
  <w:num w:numId="218" w16cid:durableId="2050060828">
    <w:abstractNumId w:val="117"/>
  </w:num>
  <w:num w:numId="219" w16cid:durableId="883097780">
    <w:abstractNumId w:val="29"/>
  </w:num>
  <w:num w:numId="220" w16cid:durableId="1526602724">
    <w:abstractNumId w:val="70"/>
  </w:num>
  <w:num w:numId="221" w16cid:durableId="309755160">
    <w:abstractNumId w:val="138"/>
  </w:num>
  <w:num w:numId="222" w16cid:durableId="542905249">
    <w:abstractNumId w:val="94"/>
  </w:num>
  <w:num w:numId="223" w16cid:durableId="1299917458">
    <w:abstractNumId w:val="91"/>
  </w:num>
  <w:num w:numId="224" w16cid:durableId="1023551663">
    <w:abstractNumId w:val="95"/>
  </w:num>
  <w:num w:numId="225" w16cid:durableId="1699770377">
    <w:abstractNumId w:val="139"/>
  </w:num>
  <w:num w:numId="226" w16cid:durableId="871918792">
    <w:abstractNumId w:val="74"/>
  </w:num>
  <w:num w:numId="227" w16cid:durableId="626159137">
    <w:abstractNumId w:val="63"/>
  </w:num>
  <w:num w:numId="228" w16cid:durableId="1097366257">
    <w:abstractNumId w:val="183"/>
  </w:num>
  <w:num w:numId="229" w16cid:durableId="45879403">
    <w:abstractNumId w:val="88"/>
  </w:num>
  <w:num w:numId="230" w16cid:durableId="1240670778">
    <w:abstractNumId w:val="11"/>
  </w:num>
  <w:num w:numId="231" w16cid:durableId="191068850">
    <w:abstractNumId w:val="128"/>
  </w:num>
  <w:num w:numId="232" w16cid:durableId="1006372271">
    <w:abstractNumId w:val="189"/>
  </w:num>
  <w:num w:numId="233" w16cid:durableId="1717315597">
    <w:abstractNumId w:val="149"/>
  </w:num>
  <w:num w:numId="234" w16cid:durableId="1056901348">
    <w:abstractNumId w:val="199"/>
  </w:num>
  <w:num w:numId="235" w16cid:durableId="1540163701">
    <w:abstractNumId w:val="173"/>
  </w:num>
  <w:num w:numId="236" w16cid:durableId="550656321">
    <w:abstractNumId w:val="80"/>
  </w:num>
  <w:num w:numId="237" w16cid:durableId="473178106">
    <w:abstractNumId w:val="54"/>
  </w:num>
  <w:num w:numId="238" w16cid:durableId="87237089">
    <w:abstractNumId w:val="131"/>
  </w:num>
  <w:num w:numId="239" w16cid:durableId="775909659">
    <w:abstractNumId w:val="76"/>
  </w:num>
  <w:num w:numId="240" w16cid:durableId="23099257">
    <w:abstractNumId w:val="79"/>
  </w:num>
  <w:numIdMacAtCleanup w:val="2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bVie_HU_03">
    <w15:presenceInfo w15:providerId="None" w15:userId="AbbVie_HU_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B7D2C"/>
    <w:rsid w:val="000000B4"/>
    <w:rsid w:val="0000030C"/>
    <w:rsid w:val="000006AA"/>
    <w:rsid w:val="0000078D"/>
    <w:rsid w:val="0000080E"/>
    <w:rsid w:val="00000933"/>
    <w:rsid w:val="0000152A"/>
    <w:rsid w:val="000018A6"/>
    <w:rsid w:val="00002139"/>
    <w:rsid w:val="0000294A"/>
    <w:rsid w:val="00002FBC"/>
    <w:rsid w:val="00003A4F"/>
    <w:rsid w:val="00003C88"/>
    <w:rsid w:val="00003DBE"/>
    <w:rsid w:val="00003E0F"/>
    <w:rsid w:val="000045A4"/>
    <w:rsid w:val="00004B4F"/>
    <w:rsid w:val="00004CA0"/>
    <w:rsid w:val="0000538C"/>
    <w:rsid w:val="00005622"/>
    <w:rsid w:val="00005BA8"/>
    <w:rsid w:val="00005DC2"/>
    <w:rsid w:val="00006163"/>
    <w:rsid w:val="000065C7"/>
    <w:rsid w:val="0000676B"/>
    <w:rsid w:val="000067AA"/>
    <w:rsid w:val="00006A9A"/>
    <w:rsid w:val="00007397"/>
    <w:rsid w:val="00007AC5"/>
    <w:rsid w:val="00007D71"/>
    <w:rsid w:val="00007E76"/>
    <w:rsid w:val="00010329"/>
    <w:rsid w:val="000113FC"/>
    <w:rsid w:val="00011CE4"/>
    <w:rsid w:val="00011D2F"/>
    <w:rsid w:val="00011D63"/>
    <w:rsid w:val="00012072"/>
    <w:rsid w:val="0001217B"/>
    <w:rsid w:val="0001241E"/>
    <w:rsid w:val="00012871"/>
    <w:rsid w:val="000129AB"/>
    <w:rsid w:val="000129C0"/>
    <w:rsid w:val="00012AE9"/>
    <w:rsid w:val="00013370"/>
    <w:rsid w:val="000135CA"/>
    <w:rsid w:val="00013E1F"/>
    <w:rsid w:val="00014471"/>
    <w:rsid w:val="00014C3F"/>
    <w:rsid w:val="00014D43"/>
    <w:rsid w:val="00015252"/>
    <w:rsid w:val="0001531A"/>
    <w:rsid w:val="00015D5C"/>
    <w:rsid w:val="00015EE9"/>
    <w:rsid w:val="00016055"/>
    <w:rsid w:val="0001639B"/>
    <w:rsid w:val="000167CB"/>
    <w:rsid w:val="00016A9B"/>
    <w:rsid w:val="00016DEE"/>
    <w:rsid w:val="00016E66"/>
    <w:rsid w:val="00017553"/>
    <w:rsid w:val="00017750"/>
    <w:rsid w:val="0001781F"/>
    <w:rsid w:val="00017878"/>
    <w:rsid w:val="00017C51"/>
    <w:rsid w:val="00017CA2"/>
    <w:rsid w:val="000205A3"/>
    <w:rsid w:val="00020BDB"/>
    <w:rsid w:val="0002138C"/>
    <w:rsid w:val="00022087"/>
    <w:rsid w:val="00022A78"/>
    <w:rsid w:val="00022AEF"/>
    <w:rsid w:val="00022C7B"/>
    <w:rsid w:val="00022CB0"/>
    <w:rsid w:val="00022D8F"/>
    <w:rsid w:val="00023220"/>
    <w:rsid w:val="00023595"/>
    <w:rsid w:val="00024497"/>
    <w:rsid w:val="00025071"/>
    <w:rsid w:val="00025154"/>
    <w:rsid w:val="00025352"/>
    <w:rsid w:val="00025659"/>
    <w:rsid w:val="000258FB"/>
    <w:rsid w:val="00025C91"/>
    <w:rsid w:val="00025E81"/>
    <w:rsid w:val="00025F32"/>
    <w:rsid w:val="00026695"/>
    <w:rsid w:val="0002781F"/>
    <w:rsid w:val="000278D8"/>
    <w:rsid w:val="000279C0"/>
    <w:rsid w:val="00027A1B"/>
    <w:rsid w:val="00027C16"/>
    <w:rsid w:val="00027F3D"/>
    <w:rsid w:val="000304BB"/>
    <w:rsid w:val="00030883"/>
    <w:rsid w:val="00030966"/>
    <w:rsid w:val="000316C4"/>
    <w:rsid w:val="00031B30"/>
    <w:rsid w:val="000338A7"/>
    <w:rsid w:val="00033A42"/>
    <w:rsid w:val="00033CA2"/>
    <w:rsid w:val="000341EA"/>
    <w:rsid w:val="00034515"/>
    <w:rsid w:val="00034B64"/>
    <w:rsid w:val="00034E91"/>
    <w:rsid w:val="00035A0C"/>
    <w:rsid w:val="00036DE7"/>
    <w:rsid w:val="00037F83"/>
    <w:rsid w:val="0004019D"/>
    <w:rsid w:val="00040889"/>
    <w:rsid w:val="00040E97"/>
    <w:rsid w:val="0004107D"/>
    <w:rsid w:val="00042ADD"/>
    <w:rsid w:val="00042B4D"/>
    <w:rsid w:val="00042FD4"/>
    <w:rsid w:val="00043EB0"/>
    <w:rsid w:val="000441F9"/>
    <w:rsid w:val="000442CD"/>
    <w:rsid w:val="00044AE0"/>
    <w:rsid w:val="00044BB5"/>
    <w:rsid w:val="0004519E"/>
    <w:rsid w:val="00045269"/>
    <w:rsid w:val="00045405"/>
    <w:rsid w:val="000454FB"/>
    <w:rsid w:val="00045721"/>
    <w:rsid w:val="00045898"/>
    <w:rsid w:val="00045A6F"/>
    <w:rsid w:val="00045BC3"/>
    <w:rsid w:val="00045F28"/>
    <w:rsid w:val="00046BD8"/>
    <w:rsid w:val="0004722C"/>
    <w:rsid w:val="000474C6"/>
    <w:rsid w:val="00050D2B"/>
    <w:rsid w:val="00050D85"/>
    <w:rsid w:val="00052346"/>
    <w:rsid w:val="0005247A"/>
    <w:rsid w:val="00053821"/>
    <w:rsid w:val="00053993"/>
    <w:rsid w:val="000540B3"/>
    <w:rsid w:val="00054DFF"/>
    <w:rsid w:val="00054F0E"/>
    <w:rsid w:val="0005500B"/>
    <w:rsid w:val="000554A2"/>
    <w:rsid w:val="000554B3"/>
    <w:rsid w:val="00055580"/>
    <w:rsid w:val="000558F0"/>
    <w:rsid w:val="0005682F"/>
    <w:rsid w:val="0005731C"/>
    <w:rsid w:val="000573FD"/>
    <w:rsid w:val="00057AD8"/>
    <w:rsid w:val="000601F1"/>
    <w:rsid w:val="00060484"/>
    <w:rsid w:val="0006073D"/>
    <w:rsid w:val="00061126"/>
    <w:rsid w:val="000612E2"/>
    <w:rsid w:val="000612EE"/>
    <w:rsid w:val="00061369"/>
    <w:rsid w:val="00061F5A"/>
    <w:rsid w:val="00062966"/>
    <w:rsid w:val="00063530"/>
    <w:rsid w:val="00063C95"/>
    <w:rsid w:val="000642A2"/>
    <w:rsid w:val="000648F1"/>
    <w:rsid w:val="00064EDB"/>
    <w:rsid w:val="00065734"/>
    <w:rsid w:val="00065A5B"/>
    <w:rsid w:val="000661AF"/>
    <w:rsid w:val="000661EF"/>
    <w:rsid w:val="00066472"/>
    <w:rsid w:val="000664B9"/>
    <w:rsid w:val="00067578"/>
    <w:rsid w:val="00067A72"/>
    <w:rsid w:val="00067F59"/>
    <w:rsid w:val="00070349"/>
    <w:rsid w:val="00071402"/>
    <w:rsid w:val="0007145B"/>
    <w:rsid w:val="00071B9E"/>
    <w:rsid w:val="00071DF4"/>
    <w:rsid w:val="00071EBC"/>
    <w:rsid w:val="00072BC0"/>
    <w:rsid w:val="00072DD8"/>
    <w:rsid w:val="00073099"/>
    <w:rsid w:val="00073429"/>
    <w:rsid w:val="00073EFF"/>
    <w:rsid w:val="00073FA1"/>
    <w:rsid w:val="0007454E"/>
    <w:rsid w:val="0007479D"/>
    <w:rsid w:val="00075100"/>
    <w:rsid w:val="000754C8"/>
    <w:rsid w:val="0007571A"/>
    <w:rsid w:val="0007635C"/>
    <w:rsid w:val="00076DEB"/>
    <w:rsid w:val="000770C8"/>
    <w:rsid w:val="00077466"/>
    <w:rsid w:val="000776C7"/>
    <w:rsid w:val="00077D72"/>
    <w:rsid w:val="000800D2"/>
    <w:rsid w:val="0008027E"/>
    <w:rsid w:val="000807DC"/>
    <w:rsid w:val="000809B5"/>
    <w:rsid w:val="00080AD1"/>
    <w:rsid w:val="00080B50"/>
    <w:rsid w:val="00080E16"/>
    <w:rsid w:val="00080F7A"/>
    <w:rsid w:val="00081258"/>
    <w:rsid w:val="000812CC"/>
    <w:rsid w:val="00081352"/>
    <w:rsid w:val="000814BE"/>
    <w:rsid w:val="000815CC"/>
    <w:rsid w:val="00081ABE"/>
    <w:rsid w:val="00081EB1"/>
    <w:rsid w:val="00082481"/>
    <w:rsid w:val="00082DCF"/>
    <w:rsid w:val="00083F6B"/>
    <w:rsid w:val="000841E8"/>
    <w:rsid w:val="00085084"/>
    <w:rsid w:val="00085A6F"/>
    <w:rsid w:val="00085F84"/>
    <w:rsid w:val="000863CC"/>
    <w:rsid w:val="00086481"/>
    <w:rsid w:val="00087866"/>
    <w:rsid w:val="00087A4C"/>
    <w:rsid w:val="00087B40"/>
    <w:rsid w:val="00087F45"/>
    <w:rsid w:val="00087F46"/>
    <w:rsid w:val="00090459"/>
    <w:rsid w:val="00090CF2"/>
    <w:rsid w:val="00090D3A"/>
    <w:rsid w:val="00090FF6"/>
    <w:rsid w:val="00091907"/>
    <w:rsid w:val="00091AC2"/>
    <w:rsid w:val="000920A1"/>
    <w:rsid w:val="00092186"/>
    <w:rsid w:val="000922A3"/>
    <w:rsid w:val="000923F0"/>
    <w:rsid w:val="00092413"/>
    <w:rsid w:val="00092648"/>
    <w:rsid w:val="00092868"/>
    <w:rsid w:val="00093084"/>
    <w:rsid w:val="0009329C"/>
    <w:rsid w:val="00093436"/>
    <w:rsid w:val="000943F7"/>
    <w:rsid w:val="00094421"/>
    <w:rsid w:val="0009469D"/>
    <w:rsid w:val="00094A5F"/>
    <w:rsid w:val="00094CE6"/>
    <w:rsid w:val="0009521E"/>
    <w:rsid w:val="00095350"/>
    <w:rsid w:val="00095590"/>
    <w:rsid w:val="00095D18"/>
    <w:rsid w:val="00095D4E"/>
    <w:rsid w:val="00095F2C"/>
    <w:rsid w:val="000961A0"/>
    <w:rsid w:val="000961B2"/>
    <w:rsid w:val="0009640E"/>
    <w:rsid w:val="00097235"/>
    <w:rsid w:val="0009764A"/>
    <w:rsid w:val="0009789A"/>
    <w:rsid w:val="00097A23"/>
    <w:rsid w:val="00097AE1"/>
    <w:rsid w:val="000A0081"/>
    <w:rsid w:val="000A06E6"/>
    <w:rsid w:val="000A0E58"/>
    <w:rsid w:val="000A0EE3"/>
    <w:rsid w:val="000A10ED"/>
    <w:rsid w:val="000A1306"/>
    <w:rsid w:val="000A1DA2"/>
    <w:rsid w:val="000A2026"/>
    <w:rsid w:val="000A20FE"/>
    <w:rsid w:val="000A26FB"/>
    <w:rsid w:val="000A27CE"/>
    <w:rsid w:val="000A366F"/>
    <w:rsid w:val="000A3EEF"/>
    <w:rsid w:val="000A4130"/>
    <w:rsid w:val="000A43D2"/>
    <w:rsid w:val="000A456B"/>
    <w:rsid w:val="000A4E79"/>
    <w:rsid w:val="000A52B3"/>
    <w:rsid w:val="000A5745"/>
    <w:rsid w:val="000A602B"/>
    <w:rsid w:val="000A61CF"/>
    <w:rsid w:val="000A62BD"/>
    <w:rsid w:val="000A63D4"/>
    <w:rsid w:val="000A6511"/>
    <w:rsid w:val="000A673D"/>
    <w:rsid w:val="000A67EE"/>
    <w:rsid w:val="000A7549"/>
    <w:rsid w:val="000A7B6A"/>
    <w:rsid w:val="000A7D18"/>
    <w:rsid w:val="000B01A5"/>
    <w:rsid w:val="000B1238"/>
    <w:rsid w:val="000B205A"/>
    <w:rsid w:val="000B22F9"/>
    <w:rsid w:val="000B25AD"/>
    <w:rsid w:val="000B2A7F"/>
    <w:rsid w:val="000B31CA"/>
    <w:rsid w:val="000B363B"/>
    <w:rsid w:val="000B3657"/>
    <w:rsid w:val="000B384F"/>
    <w:rsid w:val="000B3A51"/>
    <w:rsid w:val="000B3D3D"/>
    <w:rsid w:val="000B45F5"/>
    <w:rsid w:val="000B48D2"/>
    <w:rsid w:val="000B5032"/>
    <w:rsid w:val="000B723C"/>
    <w:rsid w:val="000B7AD3"/>
    <w:rsid w:val="000C0418"/>
    <w:rsid w:val="000C18B7"/>
    <w:rsid w:val="000C19C5"/>
    <w:rsid w:val="000C1BF0"/>
    <w:rsid w:val="000C1DE1"/>
    <w:rsid w:val="000C1FA2"/>
    <w:rsid w:val="000C2060"/>
    <w:rsid w:val="000C3017"/>
    <w:rsid w:val="000C321D"/>
    <w:rsid w:val="000C328A"/>
    <w:rsid w:val="000C363E"/>
    <w:rsid w:val="000C375E"/>
    <w:rsid w:val="000C3F78"/>
    <w:rsid w:val="000C4160"/>
    <w:rsid w:val="000C42B9"/>
    <w:rsid w:val="000C42DA"/>
    <w:rsid w:val="000C44F7"/>
    <w:rsid w:val="000C4600"/>
    <w:rsid w:val="000C481E"/>
    <w:rsid w:val="000C484C"/>
    <w:rsid w:val="000C4C3D"/>
    <w:rsid w:val="000C4F16"/>
    <w:rsid w:val="000C4FDF"/>
    <w:rsid w:val="000C55FF"/>
    <w:rsid w:val="000C5972"/>
    <w:rsid w:val="000C5AA9"/>
    <w:rsid w:val="000C5B43"/>
    <w:rsid w:val="000C6112"/>
    <w:rsid w:val="000C73E3"/>
    <w:rsid w:val="000D0055"/>
    <w:rsid w:val="000D01D9"/>
    <w:rsid w:val="000D0705"/>
    <w:rsid w:val="000D07FE"/>
    <w:rsid w:val="000D0F85"/>
    <w:rsid w:val="000D1BE0"/>
    <w:rsid w:val="000D1E73"/>
    <w:rsid w:val="000D3495"/>
    <w:rsid w:val="000D350E"/>
    <w:rsid w:val="000D35AF"/>
    <w:rsid w:val="000D369C"/>
    <w:rsid w:val="000D3786"/>
    <w:rsid w:val="000D384C"/>
    <w:rsid w:val="000D4505"/>
    <w:rsid w:val="000D4D35"/>
    <w:rsid w:val="000D5338"/>
    <w:rsid w:val="000D5826"/>
    <w:rsid w:val="000D594B"/>
    <w:rsid w:val="000D5BE7"/>
    <w:rsid w:val="000D6575"/>
    <w:rsid w:val="000D6893"/>
    <w:rsid w:val="000D6F55"/>
    <w:rsid w:val="000D6FFD"/>
    <w:rsid w:val="000D76EF"/>
    <w:rsid w:val="000D78DA"/>
    <w:rsid w:val="000D7A63"/>
    <w:rsid w:val="000D7DB6"/>
    <w:rsid w:val="000E0B72"/>
    <w:rsid w:val="000E0D74"/>
    <w:rsid w:val="000E11E5"/>
    <w:rsid w:val="000E15DA"/>
    <w:rsid w:val="000E27C6"/>
    <w:rsid w:val="000E3131"/>
    <w:rsid w:val="000E3728"/>
    <w:rsid w:val="000E37CE"/>
    <w:rsid w:val="000E3B9C"/>
    <w:rsid w:val="000E42DD"/>
    <w:rsid w:val="000E46E0"/>
    <w:rsid w:val="000E4FE3"/>
    <w:rsid w:val="000E500A"/>
    <w:rsid w:val="000E506C"/>
    <w:rsid w:val="000E5226"/>
    <w:rsid w:val="000E5741"/>
    <w:rsid w:val="000E5E0B"/>
    <w:rsid w:val="000E65DC"/>
    <w:rsid w:val="000E6CB7"/>
    <w:rsid w:val="000E6DA7"/>
    <w:rsid w:val="000E6F30"/>
    <w:rsid w:val="000E7084"/>
    <w:rsid w:val="000E7329"/>
    <w:rsid w:val="000E7777"/>
    <w:rsid w:val="000E7E7A"/>
    <w:rsid w:val="000F0E59"/>
    <w:rsid w:val="000F111F"/>
    <w:rsid w:val="000F13DB"/>
    <w:rsid w:val="000F1485"/>
    <w:rsid w:val="000F188C"/>
    <w:rsid w:val="000F2483"/>
    <w:rsid w:val="000F25EA"/>
    <w:rsid w:val="000F332C"/>
    <w:rsid w:val="000F3502"/>
    <w:rsid w:val="000F3707"/>
    <w:rsid w:val="000F37E7"/>
    <w:rsid w:val="000F3921"/>
    <w:rsid w:val="000F3A48"/>
    <w:rsid w:val="000F48A3"/>
    <w:rsid w:val="000F4DB4"/>
    <w:rsid w:val="000F56F0"/>
    <w:rsid w:val="000F5C27"/>
    <w:rsid w:val="000F6B87"/>
    <w:rsid w:val="000F70CE"/>
    <w:rsid w:val="000F7167"/>
    <w:rsid w:val="000F769A"/>
    <w:rsid w:val="000F79FE"/>
    <w:rsid w:val="000F7A12"/>
    <w:rsid w:val="001005C9"/>
    <w:rsid w:val="00100C4A"/>
    <w:rsid w:val="00100E0C"/>
    <w:rsid w:val="00101064"/>
    <w:rsid w:val="0010225E"/>
    <w:rsid w:val="001028BB"/>
    <w:rsid w:val="001036E2"/>
    <w:rsid w:val="00104284"/>
    <w:rsid w:val="001043DB"/>
    <w:rsid w:val="00104DCA"/>
    <w:rsid w:val="00105414"/>
    <w:rsid w:val="00105640"/>
    <w:rsid w:val="001056CE"/>
    <w:rsid w:val="00105FE2"/>
    <w:rsid w:val="00106164"/>
    <w:rsid w:val="00106CEA"/>
    <w:rsid w:val="00107650"/>
    <w:rsid w:val="001076F0"/>
    <w:rsid w:val="00107B1A"/>
    <w:rsid w:val="00107CCC"/>
    <w:rsid w:val="00107E92"/>
    <w:rsid w:val="00107EFB"/>
    <w:rsid w:val="00110336"/>
    <w:rsid w:val="0011039D"/>
    <w:rsid w:val="0011050C"/>
    <w:rsid w:val="00110863"/>
    <w:rsid w:val="00110AEE"/>
    <w:rsid w:val="0011114B"/>
    <w:rsid w:val="00111328"/>
    <w:rsid w:val="0011229A"/>
    <w:rsid w:val="001123C9"/>
    <w:rsid w:val="00112424"/>
    <w:rsid w:val="00112AC1"/>
    <w:rsid w:val="00112B49"/>
    <w:rsid w:val="00112BB4"/>
    <w:rsid w:val="00112E75"/>
    <w:rsid w:val="001130FE"/>
    <w:rsid w:val="00113A39"/>
    <w:rsid w:val="00113B34"/>
    <w:rsid w:val="00113D40"/>
    <w:rsid w:val="00113D5E"/>
    <w:rsid w:val="00113F29"/>
    <w:rsid w:val="001147C9"/>
    <w:rsid w:val="00114DB6"/>
    <w:rsid w:val="00114DE7"/>
    <w:rsid w:val="00114F9B"/>
    <w:rsid w:val="00115D4D"/>
    <w:rsid w:val="00116305"/>
    <w:rsid w:val="001165C9"/>
    <w:rsid w:val="001166BD"/>
    <w:rsid w:val="00116852"/>
    <w:rsid w:val="001172C1"/>
    <w:rsid w:val="00117602"/>
    <w:rsid w:val="00117647"/>
    <w:rsid w:val="00117711"/>
    <w:rsid w:val="00120536"/>
    <w:rsid w:val="00120966"/>
    <w:rsid w:val="00120A59"/>
    <w:rsid w:val="00120B72"/>
    <w:rsid w:val="00120EF9"/>
    <w:rsid w:val="001212F4"/>
    <w:rsid w:val="00121AAD"/>
    <w:rsid w:val="00121C13"/>
    <w:rsid w:val="00121E7E"/>
    <w:rsid w:val="00121F47"/>
    <w:rsid w:val="00122040"/>
    <w:rsid w:val="00122652"/>
    <w:rsid w:val="0012293B"/>
    <w:rsid w:val="00122E01"/>
    <w:rsid w:val="00122F28"/>
    <w:rsid w:val="00123BC3"/>
    <w:rsid w:val="00123CD1"/>
    <w:rsid w:val="0012458D"/>
    <w:rsid w:val="00124966"/>
    <w:rsid w:val="001258E5"/>
    <w:rsid w:val="00126112"/>
    <w:rsid w:val="00127616"/>
    <w:rsid w:val="00127617"/>
    <w:rsid w:val="00127A0B"/>
    <w:rsid w:val="00127C34"/>
    <w:rsid w:val="00127D28"/>
    <w:rsid w:val="00127FA5"/>
    <w:rsid w:val="00130079"/>
    <w:rsid w:val="00130CD1"/>
    <w:rsid w:val="00130E37"/>
    <w:rsid w:val="00131146"/>
    <w:rsid w:val="00131499"/>
    <w:rsid w:val="001315D4"/>
    <w:rsid w:val="00131643"/>
    <w:rsid w:val="0013172E"/>
    <w:rsid w:val="001317C4"/>
    <w:rsid w:val="00132B60"/>
    <w:rsid w:val="00133277"/>
    <w:rsid w:val="001332AD"/>
    <w:rsid w:val="001334C2"/>
    <w:rsid w:val="00133586"/>
    <w:rsid w:val="00133CA6"/>
    <w:rsid w:val="00133E8D"/>
    <w:rsid w:val="001344D5"/>
    <w:rsid w:val="00135111"/>
    <w:rsid w:val="001351FF"/>
    <w:rsid w:val="00135310"/>
    <w:rsid w:val="00135736"/>
    <w:rsid w:val="0013577B"/>
    <w:rsid w:val="00135B97"/>
    <w:rsid w:val="00135BAE"/>
    <w:rsid w:val="00135C56"/>
    <w:rsid w:val="00136201"/>
    <w:rsid w:val="00136972"/>
    <w:rsid w:val="00136C2D"/>
    <w:rsid w:val="00137104"/>
    <w:rsid w:val="0013741B"/>
    <w:rsid w:val="00137666"/>
    <w:rsid w:val="00137D76"/>
    <w:rsid w:val="00137E41"/>
    <w:rsid w:val="00140723"/>
    <w:rsid w:val="00141699"/>
    <w:rsid w:val="00141743"/>
    <w:rsid w:val="00141812"/>
    <w:rsid w:val="00141C96"/>
    <w:rsid w:val="00141F2A"/>
    <w:rsid w:val="001421A5"/>
    <w:rsid w:val="001425E6"/>
    <w:rsid w:val="00142819"/>
    <w:rsid w:val="00142F6B"/>
    <w:rsid w:val="00142F86"/>
    <w:rsid w:val="0014387D"/>
    <w:rsid w:val="001441E0"/>
    <w:rsid w:val="00144435"/>
    <w:rsid w:val="001445FD"/>
    <w:rsid w:val="00144921"/>
    <w:rsid w:val="00144AA5"/>
    <w:rsid w:val="00144C8B"/>
    <w:rsid w:val="001457E6"/>
    <w:rsid w:val="0014592C"/>
    <w:rsid w:val="001465AB"/>
    <w:rsid w:val="001469F2"/>
    <w:rsid w:val="00146D05"/>
    <w:rsid w:val="001471B4"/>
    <w:rsid w:val="0014749A"/>
    <w:rsid w:val="001474E5"/>
    <w:rsid w:val="001476E1"/>
    <w:rsid w:val="00147D2B"/>
    <w:rsid w:val="00147EEA"/>
    <w:rsid w:val="001501AE"/>
    <w:rsid w:val="001504E5"/>
    <w:rsid w:val="001505B2"/>
    <w:rsid w:val="0015088B"/>
    <w:rsid w:val="001512F9"/>
    <w:rsid w:val="00151329"/>
    <w:rsid w:val="001514D5"/>
    <w:rsid w:val="00151FD8"/>
    <w:rsid w:val="00151FE0"/>
    <w:rsid w:val="00152425"/>
    <w:rsid w:val="00152D39"/>
    <w:rsid w:val="0015312B"/>
    <w:rsid w:val="0015317B"/>
    <w:rsid w:val="00153296"/>
    <w:rsid w:val="00153373"/>
    <w:rsid w:val="001534E7"/>
    <w:rsid w:val="00153AC2"/>
    <w:rsid w:val="001541ED"/>
    <w:rsid w:val="00154542"/>
    <w:rsid w:val="0015487B"/>
    <w:rsid w:val="00154A1B"/>
    <w:rsid w:val="00154EFB"/>
    <w:rsid w:val="00154FE2"/>
    <w:rsid w:val="0015669B"/>
    <w:rsid w:val="00156908"/>
    <w:rsid w:val="00156A0A"/>
    <w:rsid w:val="00156CB3"/>
    <w:rsid w:val="0015739E"/>
    <w:rsid w:val="001574F0"/>
    <w:rsid w:val="00157620"/>
    <w:rsid w:val="001577DE"/>
    <w:rsid w:val="00157B1B"/>
    <w:rsid w:val="00160459"/>
    <w:rsid w:val="001606C2"/>
    <w:rsid w:val="001608A7"/>
    <w:rsid w:val="00160AD5"/>
    <w:rsid w:val="00160F0A"/>
    <w:rsid w:val="00161106"/>
    <w:rsid w:val="00161134"/>
    <w:rsid w:val="001618F7"/>
    <w:rsid w:val="00161E53"/>
    <w:rsid w:val="00161F48"/>
    <w:rsid w:val="00161FCE"/>
    <w:rsid w:val="001622CB"/>
    <w:rsid w:val="00162434"/>
    <w:rsid w:val="00162ACF"/>
    <w:rsid w:val="00163756"/>
    <w:rsid w:val="00163D96"/>
    <w:rsid w:val="001641E7"/>
    <w:rsid w:val="001643B9"/>
    <w:rsid w:val="00164B05"/>
    <w:rsid w:val="001650F8"/>
    <w:rsid w:val="00165868"/>
    <w:rsid w:val="00165BDF"/>
    <w:rsid w:val="001667CA"/>
    <w:rsid w:val="00166803"/>
    <w:rsid w:val="00166AA2"/>
    <w:rsid w:val="00167921"/>
    <w:rsid w:val="00167CAD"/>
    <w:rsid w:val="00167E3E"/>
    <w:rsid w:val="00170006"/>
    <w:rsid w:val="0017094F"/>
    <w:rsid w:val="00170CDA"/>
    <w:rsid w:val="00171074"/>
    <w:rsid w:val="00171E97"/>
    <w:rsid w:val="001720E9"/>
    <w:rsid w:val="00172F93"/>
    <w:rsid w:val="00173914"/>
    <w:rsid w:val="0017395A"/>
    <w:rsid w:val="00173964"/>
    <w:rsid w:val="00174020"/>
    <w:rsid w:val="00174DD1"/>
    <w:rsid w:val="00175204"/>
    <w:rsid w:val="001752A5"/>
    <w:rsid w:val="00175C82"/>
    <w:rsid w:val="00175CDA"/>
    <w:rsid w:val="00175F2C"/>
    <w:rsid w:val="001763B5"/>
    <w:rsid w:val="001764B8"/>
    <w:rsid w:val="00176A6C"/>
    <w:rsid w:val="00176ACC"/>
    <w:rsid w:val="001774FD"/>
    <w:rsid w:val="001775F8"/>
    <w:rsid w:val="001777C7"/>
    <w:rsid w:val="00177AE8"/>
    <w:rsid w:val="00177C94"/>
    <w:rsid w:val="00177DAA"/>
    <w:rsid w:val="00180498"/>
    <w:rsid w:val="001804E6"/>
    <w:rsid w:val="00180572"/>
    <w:rsid w:val="00180598"/>
    <w:rsid w:val="00180A2E"/>
    <w:rsid w:val="00180C40"/>
    <w:rsid w:val="00180DF9"/>
    <w:rsid w:val="001812A1"/>
    <w:rsid w:val="001816AD"/>
    <w:rsid w:val="0018172E"/>
    <w:rsid w:val="00181B72"/>
    <w:rsid w:val="00182A2E"/>
    <w:rsid w:val="001832A8"/>
    <w:rsid w:val="00183464"/>
    <w:rsid w:val="001836E7"/>
    <w:rsid w:val="00183B5F"/>
    <w:rsid w:val="00183DE7"/>
    <w:rsid w:val="0018409F"/>
    <w:rsid w:val="00184273"/>
    <w:rsid w:val="00184704"/>
    <w:rsid w:val="00185DD6"/>
    <w:rsid w:val="001863B0"/>
    <w:rsid w:val="001865C9"/>
    <w:rsid w:val="00186CB7"/>
    <w:rsid w:val="00186D48"/>
    <w:rsid w:val="0018744D"/>
    <w:rsid w:val="00187ABC"/>
    <w:rsid w:val="001900DA"/>
    <w:rsid w:val="001905BF"/>
    <w:rsid w:val="0019097A"/>
    <w:rsid w:val="00190E5F"/>
    <w:rsid w:val="00191A68"/>
    <w:rsid w:val="00191B57"/>
    <w:rsid w:val="00191DD8"/>
    <w:rsid w:val="00191F32"/>
    <w:rsid w:val="001924A8"/>
    <w:rsid w:val="00192C55"/>
    <w:rsid w:val="00192D6D"/>
    <w:rsid w:val="001934FA"/>
    <w:rsid w:val="0019432C"/>
    <w:rsid w:val="001943EA"/>
    <w:rsid w:val="00194670"/>
    <w:rsid w:val="00194701"/>
    <w:rsid w:val="00194ACD"/>
    <w:rsid w:val="00194F03"/>
    <w:rsid w:val="00195015"/>
    <w:rsid w:val="0019542C"/>
    <w:rsid w:val="00195BC0"/>
    <w:rsid w:val="00195CB5"/>
    <w:rsid w:val="00196732"/>
    <w:rsid w:val="00196BE7"/>
    <w:rsid w:val="00196FDF"/>
    <w:rsid w:val="001A028E"/>
    <w:rsid w:val="001A0347"/>
    <w:rsid w:val="001A0A0F"/>
    <w:rsid w:val="001A0BC3"/>
    <w:rsid w:val="001A0D27"/>
    <w:rsid w:val="001A14DD"/>
    <w:rsid w:val="001A2367"/>
    <w:rsid w:val="001A247E"/>
    <w:rsid w:val="001A3238"/>
    <w:rsid w:val="001A3568"/>
    <w:rsid w:val="001A375A"/>
    <w:rsid w:val="001A3E9B"/>
    <w:rsid w:val="001A4C58"/>
    <w:rsid w:val="001A6052"/>
    <w:rsid w:val="001A61EB"/>
    <w:rsid w:val="001A631C"/>
    <w:rsid w:val="001A632B"/>
    <w:rsid w:val="001A6E66"/>
    <w:rsid w:val="001A6F80"/>
    <w:rsid w:val="001A71AE"/>
    <w:rsid w:val="001A7321"/>
    <w:rsid w:val="001B0E2D"/>
    <w:rsid w:val="001B1A58"/>
    <w:rsid w:val="001B1C8A"/>
    <w:rsid w:val="001B1ED1"/>
    <w:rsid w:val="001B1FAE"/>
    <w:rsid w:val="001B213F"/>
    <w:rsid w:val="001B24BF"/>
    <w:rsid w:val="001B2684"/>
    <w:rsid w:val="001B2B84"/>
    <w:rsid w:val="001B359E"/>
    <w:rsid w:val="001B3CA1"/>
    <w:rsid w:val="001B48B3"/>
    <w:rsid w:val="001B4DFE"/>
    <w:rsid w:val="001B554D"/>
    <w:rsid w:val="001B6249"/>
    <w:rsid w:val="001B6667"/>
    <w:rsid w:val="001B6725"/>
    <w:rsid w:val="001B6C63"/>
    <w:rsid w:val="001B6D04"/>
    <w:rsid w:val="001B71B8"/>
    <w:rsid w:val="001B72C5"/>
    <w:rsid w:val="001B7875"/>
    <w:rsid w:val="001C1186"/>
    <w:rsid w:val="001C16BB"/>
    <w:rsid w:val="001C201C"/>
    <w:rsid w:val="001C2086"/>
    <w:rsid w:val="001C2577"/>
    <w:rsid w:val="001C266C"/>
    <w:rsid w:val="001C294C"/>
    <w:rsid w:val="001C2D08"/>
    <w:rsid w:val="001C2F72"/>
    <w:rsid w:val="001C34E2"/>
    <w:rsid w:val="001C3657"/>
    <w:rsid w:val="001C3A4C"/>
    <w:rsid w:val="001C4185"/>
    <w:rsid w:val="001C51F1"/>
    <w:rsid w:val="001C5602"/>
    <w:rsid w:val="001C59A2"/>
    <w:rsid w:val="001C5CC3"/>
    <w:rsid w:val="001C5D42"/>
    <w:rsid w:val="001C5E4B"/>
    <w:rsid w:val="001C62CD"/>
    <w:rsid w:val="001C63CD"/>
    <w:rsid w:val="001C7357"/>
    <w:rsid w:val="001D0322"/>
    <w:rsid w:val="001D0AE8"/>
    <w:rsid w:val="001D10AC"/>
    <w:rsid w:val="001D17B2"/>
    <w:rsid w:val="001D1A29"/>
    <w:rsid w:val="001D2134"/>
    <w:rsid w:val="001D28D1"/>
    <w:rsid w:val="001D39F1"/>
    <w:rsid w:val="001D3A84"/>
    <w:rsid w:val="001D4A57"/>
    <w:rsid w:val="001D4CB4"/>
    <w:rsid w:val="001D5460"/>
    <w:rsid w:val="001D55B9"/>
    <w:rsid w:val="001D5CE4"/>
    <w:rsid w:val="001D5D6D"/>
    <w:rsid w:val="001D625C"/>
    <w:rsid w:val="001D644D"/>
    <w:rsid w:val="001D7124"/>
    <w:rsid w:val="001D7189"/>
    <w:rsid w:val="001D75FF"/>
    <w:rsid w:val="001D77B7"/>
    <w:rsid w:val="001D7ED9"/>
    <w:rsid w:val="001E0E17"/>
    <w:rsid w:val="001E173D"/>
    <w:rsid w:val="001E2604"/>
    <w:rsid w:val="001E30EA"/>
    <w:rsid w:val="001E316A"/>
    <w:rsid w:val="001E33D4"/>
    <w:rsid w:val="001E33D9"/>
    <w:rsid w:val="001E3B84"/>
    <w:rsid w:val="001E3DE7"/>
    <w:rsid w:val="001E4591"/>
    <w:rsid w:val="001E480C"/>
    <w:rsid w:val="001E5411"/>
    <w:rsid w:val="001E5416"/>
    <w:rsid w:val="001E54DF"/>
    <w:rsid w:val="001E5EBB"/>
    <w:rsid w:val="001E62B8"/>
    <w:rsid w:val="001E62D2"/>
    <w:rsid w:val="001E636F"/>
    <w:rsid w:val="001E68A6"/>
    <w:rsid w:val="001E696C"/>
    <w:rsid w:val="001E6977"/>
    <w:rsid w:val="001E6AB1"/>
    <w:rsid w:val="001E6D22"/>
    <w:rsid w:val="001E78D6"/>
    <w:rsid w:val="001E7BEB"/>
    <w:rsid w:val="001F0213"/>
    <w:rsid w:val="001F0279"/>
    <w:rsid w:val="001F08FF"/>
    <w:rsid w:val="001F218E"/>
    <w:rsid w:val="001F3012"/>
    <w:rsid w:val="001F312F"/>
    <w:rsid w:val="001F350A"/>
    <w:rsid w:val="001F37CD"/>
    <w:rsid w:val="001F3FBE"/>
    <w:rsid w:val="001F4F5E"/>
    <w:rsid w:val="001F5030"/>
    <w:rsid w:val="001F52F2"/>
    <w:rsid w:val="001F58A8"/>
    <w:rsid w:val="001F5921"/>
    <w:rsid w:val="001F5E04"/>
    <w:rsid w:val="001F5F5A"/>
    <w:rsid w:val="001F60DC"/>
    <w:rsid w:val="001F6248"/>
    <w:rsid w:val="001F646C"/>
    <w:rsid w:val="001F649A"/>
    <w:rsid w:val="001F66D2"/>
    <w:rsid w:val="001F688B"/>
    <w:rsid w:val="001F7088"/>
    <w:rsid w:val="001F79B0"/>
    <w:rsid w:val="001F7EEC"/>
    <w:rsid w:val="00200073"/>
    <w:rsid w:val="00201353"/>
    <w:rsid w:val="002014A8"/>
    <w:rsid w:val="002017B9"/>
    <w:rsid w:val="00201A2C"/>
    <w:rsid w:val="00201CF7"/>
    <w:rsid w:val="00202558"/>
    <w:rsid w:val="00202A08"/>
    <w:rsid w:val="00202B95"/>
    <w:rsid w:val="00202B9E"/>
    <w:rsid w:val="00202DBA"/>
    <w:rsid w:val="00203341"/>
    <w:rsid w:val="00203AAF"/>
    <w:rsid w:val="0020413B"/>
    <w:rsid w:val="002047B2"/>
    <w:rsid w:val="00205A14"/>
    <w:rsid w:val="00206368"/>
    <w:rsid w:val="00207059"/>
    <w:rsid w:val="0020794F"/>
    <w:rsid w:val="00207E0F"/>
    <w:rsid w:val="002100C0"/>
    <w:rsid w:val="002102F5"/>
    <w:rsid w:val="0021095B"/>
    <w:rsid w:val="0021166F"/>
    <w:rsid w:val="00211B92"/>
    <w:rsid w:val="00211C52"/>
    <w:rsid w:val="00211E89"/>
    <w:rsid w:val="002121F5"/>
    <w:rsid w:val="0021222F"/>
    <w:rsid w:val="00212256"/>
    <w:rsid w:val="00212349"/>
    <w:rsid w:val="002138C1"/>
    <w:rsid w:val="00214167"/>
    <w:rsid w:val="00214903"/>
    <w:rsid w:val="00214FE7"/>
    <w:rsid w:val="00215923"/>
    <w:rsid w:val="00215C4A"/>
    <w:rsid w:val="002160C3"/>
    <w:rsid w:val="002161BC"/>
    <w:rsid w:val="00217CE0"/>
    <w:rsid w:val="00220056"/>
    <w:rsid w:val="002201E2"/>
    <w:rsid w:val="00220238"/>
    <w:rsid w:val="00220442"/>
    <w:rsid w:val="00220CEB"/>
    <w:rsid w:val="00220FDC"/>
    <w:rsid w:val="002212A2"/>
    <w:rsid w:val="0022135C"/>
    <w:rsid w:val="00221424"/>
    <w:rsid w:val="00221B35"/>
    <w:rsid w:val="00221BA1"/>
    <w:rsid w:val="00222063"/>
    <w:rsid w:val="00222175"/>
    <w:rsid w:val="00222625"/>
    <w:rsid w:val="0022286A"/>
    <w:rsid w:val="00222920"/>
    <w:rsid w:val="00222C73"/>
    <w:rsid w:val="0022317D"/>
    <w:rsid w:val="0022331B"/>
    <w:rsid w:val="00224368"/>
    <w:rsid w:val="00224D55"/>
    <w:rsid w:val="0022555B"/>
    <w:rsid w:val="00225CEF"/>
    <w:rsid w:val="00225FDF"/>
    <w:rsid w:val="00226189"/>
    <w:rsid w:val="00226974"/>
    <w:rsid w:val="002273CA"/>
    <w:rsid w:val="00227440"/>
    <w:rsid w:val="00227976"/>
    <w:rsid w:val="00230035"/>
    <w:rsid w:val="002304C8"/>
    <w:rsid w:val="0023059A"/>
    <w:rsid w:val="002309F9"/>
    <w:rsid w:val="00230AE0"/>
    <w:rsid w:val="00230B95"/>
    <w:rsid w:val="002315CC"/>
    <w:rsid w:val="00231770"/>
    <w:rsid w:val="00231C82"/>
    <w:rsid w:val="0023258C"/>
    <w:rsid w:val="00232E1A"/>
    <w:rsid w:val="0023320A"/>
    <w:rsid w:val="00233662"/>
    <w:rsid w:val="00233947"/>
    <w:rsid w:val="00233C2E"/>
    <w:rsid w:val="00233C8B"/>
    <w:rsid w:val="00233EC0"/>
    <w:rsid w:val="00234244"/>
    <w:rsid w:val="00235517"/>
    <w:rsid w:val="002355CF"/>
    <w:rsid w:val="00235D55"/>
    <w:rsid w:val="00236008"/>
    <w:rsid w:val="0023653B"/>
    <w:rsid w:val="00236CD4"/>
    <w:rsid w:val="002379AF"/>
    <w:rsid w:val="00241682"/>
    <w:rsid w:val="00241C63"/>
    <w:rsid w:val="0024208D"/>
    <w:rsid w:val="002424DF"/>
    <w:rsid w:val="002426C0"/>
    <w:rsid w:val="00242ED8"/>
    <w:rsid w:val="00242FEE"/>
    <w:rsid w:val="00243521"/>
    <w:rsid w:val="0024384A"/>
    <w:rsid w:val="00243A2D"/>
    <w:rsid w:val="00243ABA"/>
    <w:rsid w:val="00244194"/>
    <w:rsid w:val="00244455"/>
    <w:rsid w:val="00244563"/>
    <w:rsid w:val="002447C8"/>
    <w:rsid w:val="00244852"/>
    <w:rsid w:val="00244FCD"/>
    <w:rsid w:val="00245486"/>
    <w:rsid w:val="002456B6"/>
    <w:rsid w:val="002462C9"/>
    <w:rsid w:val="0024663F"/>
    <w:rsid w:val="00246920"/>
    <w:rsid w:val="00247878"/>
    <w:rsid w:val="00247C16"/>
    <w:rsid w:val="00247E73"/>
    <w:rsid w:val="00250C07"/>
    <w:rsid w:val="00251763"/>
    <w:rsid w:val="002520DD"/>
    <w:rsid w:val="00252697"/>
    <w:rsid w:val="00253114"/>
    <w:rsid w:val="0025355F"/>
    <w:rsid w:val="0025391D"/>
    <w:rsid w:val="00253A21"/>
    <w:rsid w:val="00253CB3"/>
    <w:rsid w:val="00253E38"/>
    <w:rsid w:val="00253EA8"/>
    <w:rsid w:val="002542C1"/>
    <w:rsid w:val="002546AB"/>
    <w:rsid w:val="0025506E"/>
    <w:rsid w:val="00255832"/>
    <w:rsid w:val="00255A51"/>
    <w:rsid w:val="00255F1C"/>
    <w:rsid w:val="002566E0"/>
    <w:rsid w:val="00256A24"/>
    <w:rsid w:val="00256BBA"/>
    <w:rsid w:val="00256F81"/>
    <w:rsid w:val="002577A5"/>
    <w:rsid w:val="00257CCB"/>
    <w:rsid w:val="00257D56"/>
    <w:rsid w:val="00260324"/>
    <w:rsid w:val="0026038D"/>
    <w:rsid w:val="0026069D"/>
    <w:rsid w:val="00260E82"/>
    <w:rsid w:val="00261256"/>
    <w:rsid w:val="00261573"/>
    <w:rsid w:val="00261939"/>
    <w:rsid w:val="002619D5"/>
    <w:rsid w:val="00261CEF"/>
    <w:rsid w:val="002621D6"/>
    <w:rsid w:val="0026231C"/>
    <w:rsid w:val="00262BE2"/>
    <w:rsid w:val="00263189"/>
    <w:rsid w:val="00263761"/>
    <w:rsid w:val="00263786"/>
    <w:rsid w:val="002639A0"/>
    <w:rsid w:val="00263B41"/>
    <w:rsid w:val="00264500"/>
    <w:rsid w:val="00264FE5"/>
    <w:rsid w:val="00264FE9"/>
    <w:rsid w:val="0026514C"/>
    <w:rsid w:val="002652DF"/>
    <w:rsid w:val="0026555D"/>
    <w:rsid w:val="0026663B"/>
    <w:rsid w:val="0026690C"/>
    <w:rsid w:val="002669E9"/>
    <w:rsid w:val="00266E81"/>
    <w:rsid w:val="00266ED0"/>
    <w:rsid w:val="00267612"/>
    <w:rsid w:val="00267616"/>
    <w:rsid w:val="00267AE2"/>
    <w:rsid w:val="002709C6"/>
    <w:rsid w:val="00270A86"/>
    <w:rsid w:val="00270A98"/>
    <w:rsid w:val="00270B91"/>
    <w:rsid w:val="002713DB"/>
    <w:rsid w:val="00271D02"/>
    <w:rsid w:val="00272D8A"/>
    <w:rsid w:val="00273310"/>
    <w:rsid w:val="00273A88"/>
    <w:rsid w:val="00273CBB"/>
    <w:rsid w:val="00273F6E"/>
    <w:rsid w:val="00274450"/>
    <w:rsid w:val="00274457"/>
    <w:rsid w:val="00274602"/>
    <w:rsid w:val="00274D31"/>
    <w:rsid w:val="00274DCD"/>
    <w:rsid w:val="00275148"/>
    <w:rsid w:val="0027553B"/>
    <w:rsid w:val="00275926"/>
    <w:rsid w:val="00275B91"/>
    <w:rsid w:val="00275D71"/>
    <w:rsid w:val="002764A5"/>
    <w:rsid w:val="002764E2"/>
    <w:rsid w:val="00276716"/>
    <w:rsid w:val="00276A3C"/>
    <w:rsid w:val="002773CE"/>
    <w:rsid w:val="00277761"/>
    <w:rsid w:val="00277A29"/>
    <w:rsid w:val="00280765"/>
    <w:rsid w:val="00281049"/>
    <w:rsid w:val="0028123F"/>
    <w:rsid w:val="00281478"/>
    <w:rsid w:val="002819E2"/>
    <w:rsid w:val="00281D72"/>
    <w:rsid w:val="00281ED2"/>
    <w:rsid w:val="002822F4"/>
    <w:rsid w:val="0028328A"/>
    <w:rsid w:val="00283844"/>
    <w:rsid w:val="00283A7F"/>
    <w:rsid w:val="00283B09"/>
    <w:rsid w:val="00283B9D"/>
    <w:rsid w:val="00283C0F"/>
    <w:rsid w:val="00283CC8"/>
    <w:rsid w:val="0028426F"/>
    <w:rsid w:val="00284774"/>
    <w:rsid w:val="00284D3A"/>
    <w:rsid w:val="0028564A"/>
    <w:rsid w:val="00285D3D"/>
    <w:rsid w:val="00286C83"/>
    <w:rsid w:val="00286D1A"/>
    <w:rsid w:val="0028760F"/>
    <w:rsid w:val="00287665"/>
    <w:rsid w:val="002878BD"/>
    <w:rsid w:val="00287AD5"/>
    <w:rsid w:val="00287DE0"/>
    <w:rsid w:val="0029015E"/>
    <w:rsid w:val="00290618"/>
    <w:rsid w:val="00290858"/>
    <w:rsid w:val="002908A1"/>
    <w:rsid w:val="00290B30"/>
    <w:rsid w:val="00290FAC"/>
    <w:rsid w:val="00291100"/>
    <w:rsid w:val="002918C3"/>
    <w:rsid w:val="00291DB5"/>
    <w:rsid w:val="00291EDC"/>
    <w:rsid w:val="00291F97"/>
    <w:rsid w:val="00292253"/>
    <w:rsid w:val="0029235C"/>
    <w:rsid w:val="00292AB0"/>
    <w:rsid w:val="00293353"/>
    <w:rsid w:val="002933CF"/>
    <w:rsid w:val="0029375E"/>
    <w:rsid w:val="002938F3"/>
    <w:rsid w:val="0029396C"/>
    <w:rsid w:val="00293A59"/>
    <w:rsid w:val="002941A4"/>
    <w:rsid w:val="002942B5"/>
    <w:rsid w:val="00294347"/>
    <w:rsid w:val="0029438F"/>
    <w:rsid w:val="00294722"/>
    <w:rsid w:val="00294AE0"/>
    <w:rsid w:val="00294E8D"/>
    <w:rsid w:val="002951C8"/>
    <w:rsid w:val="00296043"/>
    <w:rsid w:val="0029612D"/>
    <w:rsid w:val="0029674F"/>
    <w:rsid w:val="00296FE0"/>
    <w:rsid w:val="00297062"/>
    <w:rsid w:val="00297B60"/>
    <w:rsid w:val="00297F92"/>
    <w:rsid w:val="00297FBD"/>
    <w:rsid w:val="002A0A14"/>
    <w:rsid w:val="002A0A32"/>
    <w:rsid w:val="002A0B28"/>
    <w:rsid w:val="002A0B34"/>
    <w:rsid w:val="002A0E4B"/>
    <w:rsid w:val="002A0EB5"/>
    <w:rsid w:val="002A0FD0"/>
    <w:rsid w:val="002A10B0"/>
    <w:rsid w:val="002A11B3"/>
    <w:rsid w:val="002A13C7"/>
    <w:rsid w:val="002A1E06"/>
    <w:rsid w:val="002A2571"/>
    <w:rsid w:val="002A2A26"/>
    <w:rsid w:val="002A330B"/>
    <w:rsid w:val="002A3882"/>
    <w:rsid w:val="002A3F04"/>
    <w:rsid w:val="002A441A"/>
    <w:rsid w:val="002A4F85"/>
    <w:rsid w:val="002A511E"/>
    <w:rsid w:val="002A5C47"/>
    <w:rsid w:val="002A634C"/>
    <w:rsid w:val="002A6452"/>
    <w:rsid w:val="002A6D4E"/>
    <w:rsid w:val="002A7538"/>
    <w:rsid w:val="002A7655"/>
    <w:rsid w:val="002A795F"/>
    <w:rsid w:val="002B03EB"/>
    <w:rsid w:val="002B07CD"/>
    <w:rsid w:val="002B089B"/>
    <w:rsid w:val="002B0C55"/>
    <w:rsid w:val="002B0DBA"/>
    <w:rsid w:val="002B0FC0"/>
    <w:rsid w:val="002B153C"/>
    <w:rsid w:val="002B2DCD"/>
    <w:rsid w:val="002B30F4"/>
    <w:rsid w:val="002B407A"/>
    <w:rsid w:val="002B48C9"/>
    <w:rsid w:val="002B4EE0"/>
    <w:rsid w:val="002B552B"/>
    <w:rsid w:val="002B58CA"/>
    <w:rsid w:val="002B6005"/>
    <w:rsid w:val="002B69A8"/>
    <w:rsid w:val="002B7058"/>
    <w:rsid w:val="002B73CE"/>
    <w:rsid w:val="002B75DF"/>
    <w:rsid w:val="002C057B"/>
    <w:rsid w:val="002C1F5C"/>
    <w:rsid w:val="002C1F66"/>
    <w:rsid w:val="002C2DE1"/>
    <w:rsid w:val="002C2F17"/>
    <w:rsid w:val="002C3253"/>
    <w:rsid w:val="002C3577"/>
    <w:rsid w:val="002C35F8"/>
    <w:rsid w:val="002C37CE"/>
    <w:rsid w:val="002C398E"/>
    <w:rsid w:val="002C3A2C"/>
    <w:rsid w:val="002C3DB9"/>
    <w:rsid w:val="002C4912"/>
    <w:rsid w:val="002C4D7B"/>
    <w:rsid w:val="002C53C5"/>
    <w:rsid w:val="002C5457"/>
    <w:rsid w:val="002C57C4"/>
    <w:rsid w:val="002C6A2C"/>
    <w:rsid w:val="002C6B68"/>
    <w:rsid w:val="002C6D1F"/>
    <w:rsid w:val="002C7D8C"/>
    <w:rsid w:val="002C7F89"/>
    <w:rsid w:val="002D1422"/>
    <w:rsid w:val="002D17EA"/>
    <w:rsid w:val="002D1E82"/>
    <w:rsid w:val="002D2101"/>
    <w:rsid w:val="002D23A1"/>
    <w:rsid w:val="002D23B6"/>
    <w:rsid w:val="002D2ADE"/>
    <w:rsid w:val="002D2ECC"/>
    <w:rsid w:val="002D38D3"/>
    <w:rsid w:val="002D38E9"/>
    <w:rsid w:val="002D49EE"/>
    <w:rsid w:val="002D4DAC"/>
    <w:rsid w:val="002D4E32"/>
    <w:rsid w:val="002D504F"/>
    <w:rsid w:val="002D5C5A"/>
    <w:rsid w:val="002D7303"/>
    <w:rsid w:val="002D750D"/>
    <w:rsid w:val="002D7A21"/>
    <w:rsid w:val="002D7C5F"/>
    <w:rsid w:val="002E03F3"/>
    <w:rsid w:val="002E08E6"/>
    <w:rsid w:val="002E0B0C"/>
    <w:rsid w:val="002E0BF2"/>
    <w:rsid w:val="002E1631"/>
    <w:rsid w:val="002E1E22"/>
    <w:rsid w:val="002E1F73"/>
    <w:rsid w:val="002E2506"/>
    <w:rsid w:val="002E25E8"/>
    <w:rsid w:val="002E28FC"/>
    <w:rsid w:val="002E3940"/>
    <w:rsid w:val="002E3CD6"/>
    <w:rsid w:val="002E3EA6"/>
    <w:rsid w:val="002E423E"/>
    <w:rsid w:val="002E441B"/>
    <w:rsid w:val="002E48C8"/>
    <w:rsid w:val="002E5502"/>
    <w:rsid w:val="002E55DE"/>
    <w:rsid w:val="002E5804"/>
    <w:rsid w:val="002E61E4"/>
    <w:rsid w:val="002E632A"/>
    <w:rsid w:val="002E6671"/>
    <w:rsid w:val="002E6AB9"/>
    <w:rsid w:val="002E7152"/>
    <w:rsid w:val="002E7212"/>
    <w:rsid w:val="002E7374"/>
    <w:rsid w:val="002E78A2"/>
    <w:rsid w:val="002E7B0F"/>
    <w:rsid w:val="002E7D6F"/>
    <w:rsid w:val="002F06FC"/>
    <w:rsid w:val="002F0B16"/>
    <w:rsid w:val="002F0B2F"/>
    <w:rsid w:val="002F0CEB"/>
    <w:rsid w:val="002F0D28"/>
    <w:rsid w:val="002F10ED"/>
    <w:rsid w:val="002F1A4F"/>
    <w:rsid w:val="002F1B98"/>
    <w:rsid w:val="002F20B8"/>
    <w:rsid w:val="002F23AB"/>
    <w:rsid w:val="002F2A84"/>
    <w:rsid w:val="002F359E"/>
    <w:rsid w:val="002F36A6"/>
    <w:rsid w:val="002F36A8"/>
    <w:rsid w:val="002F36F1"/>
    <w:rsid w:val="002F38FB"/>
    <w:rsid w:val="002F3E1F"/>
    <w:rsid w:val="002F419A"/>
    <w:rsid w:val="002F419C"/>
    <w:rsid w:val="002F47C9"/>
    <w:rsid w:val="002F4CD6"/>
    <w:rsid w:val="002F4E6E"/>
    <w:rsid w:val="002F57AE"/>
    <w:rsid w:val="002F58ED"/>
    <w:rsid w:val="002F5A0E"/>
    <w:rsid w:val="002F6039"/>
    <w:rsid w:val="002F61E5"/>
    <w:rsid w:val="002F65E5"/>
    <w:rsid w:val="002F6C08"/>
    <w:rsid w:val="002F6E6E"/>
    <w:rsid w:val="002F73DF"/>
    <w:rsid w:val="002F758A"/>
    <w:rsid w:val="002F7D7A"/>
    <w:rsid w:val="003006E1"/>
    <w:rsid w:val="0030095A"/>
    <w:rsid w:val="00300BC2"/>
    <w:rsid w:val="00300C94"/>
    <w:rsid w:val="003016B9"/>
    <w:rsid w:val="00301ACA"/>
    <w:rsid w:val="00302233"/>
    <w:rsid w:val="00302441"/>
    <w:rsid w:val="0030248A"/>
    <w:rsid w:val="003038CC"/>
    <w:rsid w:val="003039AA"/>
    <w:rsid w:val="00303A04"/>
    <w:rsid w:val="00303B9A"/>
    <w:rsid w:val="00303BE0"/>
    <w:rsid w:val="00304133"/>
    <w:rsid w:val="0030499F"/>
    <w:rsid w:val="00305514"/>
    <w:rsid w:val="003057AD"/>
    <w:rsid w:val="003058B3"/>
    <w:rsid w:val="00305C86"/>
    <w:rsid w:val="00305ECA"/>
    <w:rsid w:val="003062BF"/>
    <w:rsid w:val="003067C7"/>
    <w:rsid w:val="00306852"/>
    <w:rsid w:val="00306903"/>
    <w:rsid w:val="00306FFA"/>
    <w:rsid w:val="003070BF"/>
    <w:rsid w:val="0030722F"/>
    <w:rsid w:val="00307C6D"/>
    <w:rsid w:val="00310388"/>
    <w:rsid w:val="003106F1"/>
    <w:rsid w:val="00310911"/>
    <w:rsid w:val="00310A55"/>
    <w:rsid w:val="00310EEF"/>
    <w:rsid w:val="00311F4E"/>
    <w:rsid w:val="003120C5"/>
    <w:rsid w:val="0031242D"/>
    <w:rsid w:val="00312519"/>
    <w:rsid w:val="003125C3"/>
    <w:rsid w:val="00312A1E"/>
    <w:rsid w:val="00312BED"/>
    <w:rsid w:val="00313158"/>
    <w:rsid w:val="003132A8"/>
    <w:rsid w:val="00313C59"/>
    <w:rsid w:val="00313DDE"/>
    <w:rsid w:val="00314180"/>
    <w:rsid w:val="0031425E"/>
    <w:rsid w:val="00314809"/>
    <w:rsid w:val="00316EC0"/>
    <w:rsid w:val="00317128"/>
    <w:rsid w:val="0031779A"/>
    <w:rsid w:val="0031790A"/>
    <w:rsid w:val="00317D7E"/>
    <w:rsid w:val="00317E5C"/>
    <w:rsid w:val="00317E80"/>
    <w:rsid w:val="003200AD"/>
    <w:rsid w:val="003206F3"/>
    <w:rsid w:val="00320BAE"/>
    <w:rsid w:val="00320EF8"/>
    <w:rsid w:val="003211A6"/>
    <w:rsid w:val="00321336"/>
    <w:rsid w:val="00321543"/>
    <w:rsid w:val="003219ED"/>
    <w:rsid w:val="00321E9F"/>
    <w:rsid w:val="003227C9"/>
    <w:rsid w:val="00322D83"/>
    <w:rsid w:val="00322E88"/>
    <w:rsid w:val="00322FDE"/>
    <w:rsid w:val="003240BE"/>
    <w:rsid w:val="00324151"/>
    <w:rsid w:val="00324601"/>
    <w:rsid w:val="00324769"/>
    <w:rsid w:val="00324E94"/>
    <w:rsid w:val="00324F42"/>
    <w:rsid w:val="00325309"/>
    <w:rsid w:val="003256BF"/>
    <w:rsid w:val="00325805"/>
    <w:rsid w:val="00325BCD"/>
    <w:rsid w:val="0032608F"/>
    <w:rsid w:val="0032625C"/>
    <w:rsid w:val="003265C1"/>
    <w:rsid w:val="00327392"/>
    <w:rsid w:val="0032753F"/>
    <w:rsid w:val="0033032C"/>
    <w:rsid w:val="00330A18"/>
    <w:rsid w:val="00330D73"/>
    <w:rsid w:val="003311C2"/>
    <w:rsid w:val="00331329"/>
    <w:rsid w:val="00331762"/>
    <w:rsid w:val="00331A72"/>
    <w:rsid w:val="00332587"/>
    <w:rsid w:val="00332B15"/>
    <w:rsid w:val="00332CB9"/>
    <w:rsid w:val="003331BF"/>
    <w:rsid w:val="003333BA"/>
    <w:rsid w:val="00333912"/>
    <w:rsid w:val="00333A9D"/>
    <w:rsid w:val="00334330"/>
    <w:rsid w:val="003344C3"/>
    <w:rsid w:val="00334A27"/>
    <w:rsid w:val="00334D52"/>
    <w:rsid w:val="003357F2"/>
    <w:rsid w:val="003358ED"/>
    <w:rsid w:val="0033659F"/>
    <w:rsid w:val="00336650"/>
    <w:rsid w:val="00336D99"/>
    <w:rsid w:val="00340160"/>
    <w:rsid w:val="0034162B"/>
    <w:rsid w:val="00341A02"/>
    <w:rsid w:val="00341E8D"/>
    <w:rsid w:val="003423F6"/>
    <w:rsid w:val="00342C50"/>
    <w:rsid w:val="00342FE6"/>
    <w:rsid w:val="0034344D"/>
    <w:rsid w:val="00343531"/>
    <w:rsid w:val="00343C76"/>
    <w:rsid w:val="00343DF0"/>
    <w:rsid w:val="00343E44"/>
    <w:rsid w:val="00344544"/>
    <w:rsid w:val="00344869"/>
    <w:rsid w:val="00344FFD"/>
    <w:rsid w:val="0034547B"/>
    <w:rsid w:val="00345861"/>
    <w:rsid w:val="00345E89"/>
    <w:rsid w:val="003463D3"/>
    <w:rsid w:val="003464EC"/>
    <w:rsid w:val="0034650B"/>
    <w:rsid w:val="00346DFD"/>
    <w:rsid w:val="00347F49"/>
    <w:rsid w:val="0035055C"/>
    <w:rsid w:val="003507D7"/>
    <w:rsid w:val="00350906"/>
    <w:rsid w:val="00350CFE"/>
    <w:rsid w:val="00350FEF"/>
    <w:rsid w:val="00351373"/>
    <w:rsid w:val="003516AD"/>
    <w:rsid w:val="00351F20"/>
    <w:rsid w:val="00352607"/>
    <w:rsid w:val="00352ED2"/>
    <w:rsid w:val="003530DB"/>
    <w:rsid w:val="0035329A"/>
    <w:rsid w:val="00353383"/>
    <w:rsid w:val="003537C8"/>
    <w:rsid w:val="00353887"/>
    <w:rsid w:val="00353CE6"/>
    <w:rsid w:val="00353D8D"/>
    <w:rsid w:val="003544F5"/>
    <w:rsid w:val="003545B7"/>
    <w:rsid w:val="00354CD3"/>
    <w:rsid w:val="00355405"/>
    <w:rsid w:val="00355505"/>
    <w:rsid w:val="003558C6"/>
    <w:rsid w:val="00355AE2"/>
    <w:rsid w:val="00355D7E"/>
    <w:rsid w:val="0035654A"/>
    <w:rsid w:val="003567B3"/>
    <w:rsid w:val="003567D9"/>
    <w:rsid w:val="00356925"/>
    <w:rsid w:val="0035754D"/>
    <w:rsid w:val="0035788B"/>
    <w:rsid w:val="00357B0F"/>
    <w:rsid w:val="00360A48"/>
    <w:rsid w:val="00360CD5"/>
    <w:rsid w:val="00361400"/>
    <w:rsid w:val="003614B8"/>
    <w:rsid w:val="00361E83"/>
    <w:rsid w:val="00362979"/>
    <w:rsid w:val="00362E2B"/>
    <w:rsid w:val="0036300F"/>
    <w:rsid w:val="00363536"/>
    <w:rsid w:val="003640B7"/>
    <w:rsid w:val="0036413A"/>
    <w:rsid w:val="0036429F"/>
    <w:rsid w:val="003652B8"/>
    <w:rsid w:val="003655A2"/>
    <w:rsid w:val="00365A10"/>
    <w:rsid w:val="00365C58"/>
    <w:rsid w:val="00365CB4"/>
    <w:rsid w:val="00366005"/>
    <w:rsid w:val="0036605D"/>
    <w:rsid w:val="00366460"/>
    <w:rsid w:val="003667AF"/>
    <w:rsid w:val="00366A84"/>
    <w:rsid w:val="00366B57"/>
    <w:rsid w:val="00367FB1"/>
    <w:rsid w:val="00370ABD"/>
    <w:rsid w:val="003713D8"/>
    <w:rsid w:val="00371788"/>
    <w:rsid w:val="00371FD2"/>
    <w:rsid w:val="0037243C"/>
    <w:rsid w:val="00372715"/>
    <w:rsid w:val="00372AA4"/>
    <w:rsid w:val="00372AC6"/>
    <w:rsid w:val="00372BF3"/>
    <w:rsid w:val="00372DF6"/>
    <w:rsid w:val="00373575"/>
    <w:rsid w:val="00373AF7"/>
    <w:rsid w:val="00373FC7"/>
    <w:rsid w:val="00373FD2"/>
    <w:rsid w:val="00374B0A"/>
    <w:rsid w:val="00374ECE"/>
    <w:rsid w:val="0037581F"/>
    <w:rsid w:val="00376A3C"/>
    <w:rsid w:val="0037704C"/>
    <w:rsid w:val="003775B6"/>
    <w:rsid w:val="00377A42"/>
    <w:rsid w:val="00377EB6"/>
    <w:rsid w:val="003802D8"/>
    <w:rsid w:val="0038076D"/>
    <w:rsid w:val="00380846"/>
    <w:rsid w:val="00380F9B"/>
    <w:rsid w:val="003811FE"/>
    <w:rsid w:val="003817F6"/>
    <w:rsid w:val="0038196E"/>
    <w:rsid w:val="00381EA4"/>
    <w:rsid w:val="00381FD0"/>
    <w:rsid w:val="003821F6"/>
    <w:rsid w:val="0038247E"/>
    <w:rsid w:val="003829C8"/>
    <w:rsid w:val="00382AB6"/>
    <w:rsid w:val="00382B8B"/>
    <w:rsid w:val="00383935"/>
    <w:rsid w:val="003853EA"/>
    <w:rsid w:val="003855D8"/>
    <w:rsid w:val="0038627A"/>
    <w:rsid w:val="00386F5A"/>
    <w:rsid w:val="003876DB"/>
    <w:rsid w:val="00387AA7"/>
    <w:rsid w:val="00390600"/>
    <w:rsid w:val="003909BC"/>
    <w:rsid w:val="00390B21"/>
    <w:rsid w:val="00390DB9"/>
    <w:rsid w:val="003916B1"/>
    <w:rsid w:val="003918EE"/>
    <w:rsid w:val="003919E1"/>
    <w:rsid w:val="00391F6D"/>
    <w:rsid w:val="0039225E"/>
    <w:rsid w:val="00392C59"/>
    <w:rsid w:val="003934D0"/>
    <w:rsid w:val="003937D1"/>
    <w:rsid w:val="00394356"/>
    <w:rsid w:val="00395209"/>
    <w:rsid w:val="003956D3"/>
    <w:rsid w:val="00395B23"/>
    <w:rsid w:val="00395B89"/>
    <w:rsid w:val="00395BE4"/>
    <w:rsid w:val="00395C1A"/>
    <w:rsid w:val="00395F2B"/>
    <w:rsid w:val="00396131"/>
    <w:rsid w:val="00396616"/>
    <w:rsid w:val="0039688D"/>
    <w:rsid w:val="00396926"/>
    <w:rsid w:val="00396EB4"/>
    <w:rsid w:val="003970B5"/>
    <w:rsid w:val="0039729B"/>
    <w:rsid w:val="00397706"/>
    <w:rsid w:val="00397A29"/>
    <w:rsid w:val="003A0845"/>
    <w:rsid w:val="003A1D9B"/>
    <w:rsid w:val="003A1DA7"/>
    <w:rsid w:val="003A2476"/>
    <w:rsid w:val="003A2763"/>
    <w:rsid w:val="003A28DD"/>
    <w:rsid w:val="003A2DB0"/>
    <w:rsid w:val="003A3C72"/>
    <w:rsid w:val="003A436A"/>
    <w:rsid w:val="003A51BA"/>
    <w:rsid w:val="003A549E"/>
    <w:rsid w:val="003A57ED"/>
    <w:rsid w:val="003A59FB"/>
    <w:rsid w:val="003A5B7D"/>
    <w:rsid w:val="003A6C8C"/>
    <w:rsid w:val="003A738D"/>
    <w:rsid w:val="003A78E3"/>
    <w:rsid w:val="003A7EB4"/>
    <w:rsid w:val="003B04BC"/>
    <w:rsid w:val="003B0B41"/>
    <w:rsid w:val="003B0C01"/>
    <w:rsid w:val="003B0E00"/>
    <w:rsid w:val="003B1EA1"/>
    <w:rsid w:val="003B2407"/>
    <w:rsid w:val="003B2496"/>
    <w:rsid w:val="003B2614"/>
    <w:rsid w:val="003B269E"/>
    <w:rsid w:val="003B32E9"/>
    <w:rsid w:val="003B332C"/>
    <w:rsid w:val="003B3343"/>
    <w:rsid w:val="003B3BC3"/>
    <w:rsid w:val="003B3C18"/>
    <w:rsid w:val="003B3F6D"/>
    <w:rsid w:val="003B3FB8"/>
    <w:rsid w:val="003B433F"/>
    <w:rsid w:val="003B4347"/>
    <w:rsid w:val="003B5171"/>
    <w:rsid w:val="003B530C"/>
    <w:rsid w:val="003B53EA"/>
    <w:rsid w:val="003B5560"/>
    <w:rsid w:val="003B67F0"/>
    <w:rsid w:val="003B6BE9"/>
    <w:rsid w:val="003B6CBC"/>
    <w:rsid w:val="003B72F3"/>
    <w:rsid w:val="003B74F9"/>
    <w:rsid w:val="003B7A6F"/>
    <w:rsid w:val="003B7E38"/>
    <w:rsid w:val="003C0319"/>
    <w:rsid w:val="003C03A5"/>
    <w:rsid w:val="003C054F"/>
    <w:rsid w:val="003C0A14"/>
    <w:rsid w:val="003C11FA"/>
    <w:rsid w:val="003C19DF"/>
    <w:rsid w:val="003C246C"/>
    <w:rsid w:val="003C25C8"/>
    <w:rsid w:val="003C26DB"/>
    <w:rsid w:val="003C26FA"/>
    <w:rsid w:val="003C2988"/>
    <w:rsid w:val="003C2BC7"/>
    <w:rsid w:val="003C2C67"/>
    <w:rsid w:val="003C2F2C"/>
    <w:rsid w:val="003C31D2"/>
    <w:rsid w:val="003C3536"/>
    <w:rsid w:val="003C3FF6"/>
    <w:rsid w:val="003C49A8"/>
    <w:rsid w:val="003C4BCB"/>
    <w:rsid w:val="003C4D80"/>
    <w:rsid w:val="003C4F0E"/>
    <w:rsid w:val="003C567A"/>
    <w:rsid w:val="003C56BD"/>
    <w:rsid w:val="003C598B"/>
    <w:rsid w:val="003C67CE"/>
    <w:rsid w:val="003C6924"/>
    <w:rsid w:val="003C7941"/>
    <w:rsid w:val="003D0028"/>
    <w:rsid w:val="003D03DA"/>
    <w:rsid w:val="003D04DA"/>
    <w:rsid w:val="003D0B64"/>
    <w:rsid w:val="003D0FC6"/>
    <w:rsid w:val="003D1457"/>
    <w:rsid w:val="003D156D"/>
    <w:rsid w:val="003D165E"/>
    <w:rsid w:val="003D1670"/>
    <w:rsid w:val="003D2B48"/>
    <w:rsid w:val="003D342C"/>
    <w:rsid w:val="003D345B"/>
    <w:rsid w:val="003D37D0"/>
    <w:rsid w:val="003D3803"/>
    <w:rsid w:val="003D39CD"/>
    <w:rsid w:val="003D3ABA"/>
    <w:rsid w:val="003D3E36"/>
    <w:rsid w:val="003D5151"/>
    <w:rsid w:val="003D531B"/>
    <w:rsid w:val="003D6A39"/>
    <w:rsid w:val="003D6EDB"/>
    <w:rsid w:val="003D6EEE"/>
    <w:rsid w:val="003D7171"/>
    <w:rsid w:val="003D777F"/>
    <w:rsid w:val="003D7DFD"/>
    <w:rsid w:val="003E02F8"/>
    <w:rsid w:val="003E0A5E"/>
    <w:rsid w:val="003E0A82"/>
    <w:rsid w:val="003E13AA"/>
    <w:rsid w:val="003E14E8"/>
    <w:rsid w:val="003E1FD0"/>
    <w:rsid w:val="003E2EEE"/>
    <w:rsid w:val="003E356B"/>
    <w:rsid w:val="003E46B4"/>
    <w:rsid w:val="003E4767"/>
    <w:rsid w:val="003E4A06"/>
    <w:rsid w:val="003E51F4"/>
    <w:rsid w:val="003E5581"/>
    <w:rsid w:val="003E6FEB"/>
    <w:rsid w:val="003E70E1"/>
    <w:rsid w:val="003E7926"/>
    <w:rsid w:val="003F00D9"/>
    <w:rsid w:val="003F055F"/>
    <w:rsid w:val="003F092A"/>
    <w:rsid w:val="003F0E52"/>
    <w:rsid w:val="003F135D"/>
    <w:rsid w:val="003F1880"/>
    <w:rsid w:val="003F1B08"/>
    <w:rsid w:val="003F2307"/>
    <w:rsid w:val="003F2504"/>
    <w:rsid w:val="003F308D"/>
    <w:rsid w:val="003F33EE"/>
    <w:rsid w:val="003F345C"/>
    <w:rsid w:val="003F3904"/>
    <w:rsid w:val="003F413E"/>
    <w:rsid w:val="003F41C0"/>
    <w:rsid w:val="003F447E"/>
    <w:rsid w:val="003F497E"/>
    <w:rsid w:val="003F49C3"/>
    <w:rsid w:val="003F4AA1"/>
    <w:rsid w:val="003F5A4F"/>
    <w:rsid w:val="003F5BB1"/>
    <w:rsid w:val="003F5CB7"/>
    <w:rsid w:val="003F64BC"/>
    <w:rsid w:val="003F6646"/>
    <w:rsid w:val="003F6758"/>
    <w:rsid w:val="003F6EEC"/>
    <w:rsid w:val="003F75B8"/>
    <w:rsid w:val="003F7A68"/>
    <w:rsid w:val="00400090"/>
    <w:rsid w:val="004007E7"/>
    <w:rsid w:val="00400B42"/>
    <w:rsid w:val="00400FB6"/>
    <w:rsid w:val="00401805"/>
    <w:rsid w:val="004025F9"/>
    <w:rsid w:val="004044FC"/>
    <w:rsid w:val="004049CB"/>
    <w:rsid w:val="00404A9B"/>
    <w:rsid w:val="00404C48"/>
    <w:rsid w:val="00405466"/>
    <w:rsid w:val="004062FE"/>
    <w:rsid w:val="0040664A"/>
    <w:rsid w:val="00406809"/>
    <w:rsid w:val="0040722E"/>
    <w:rsid w:val="00407BA9"/>
    <w:rsid w:val="00407D95"/>
    <w:rsid w:val="004105B6"/>
    <w:rsid w:val="00411945"/>
    <w:rsid w:val="00411A48"/>
    <w:rsid w:val="0041221D"/>
    <w:rsid w:val="00412808"/>
    <w:rsid w:val="0041304B"/>
    <w:rsid w:val="004139AD"/>
    <w:rsid w:val="00414B0F"/>
    <w:rsid w:val="00415CC8"/>
    <w:rsid w:val="004165CB"/>
    <w:rsid w:val="00416F4E"/>
    <w:rsid w:val="00417879"/>
    <w:rsid w:val="0042064C"/>
    <w:rsid w:val="00420B9A"/>
    <w:rsid w:val="00420E26"/>
    <w:rsid w:val="00421908"/>
    <w:rsid w:val="00421A98"/>
    <w:rsid w:val="0042225A"/>
    <w:rsid w:val="00422E6E"/>
    <w:rsid w:val="0042302B"/>
    <w:rsid w:val="0042360E"/>
    <w:rsid w:val="0042386B"/>
    <w:rsid w:val="00423AEE"/>
    <w:rsid w:val="00424298"/>
    <w:rsid w:val="00424544"/>
    <w:rsid w:val="004257A1"/>
    <w:rsid w:val="004257F4"/>
    <w:rsid w:val="0042598C"/>
    <w:rsid w:val="004259E8"/>
    <w:rsid w:val="004261C4"/>
    <w:rsid w:val="00426AAB"/>
    <w:rsid w:val="004279B9"/>
    <w:rsid w:val="00427A62"/>
    <w:rsid w:val="00427E52"/>
    <w:rsid w:val="00430229"/>
    <w:rsid w:val="00430282"/>
    <w:rsid w:val="00430693"/>
    <w:rsid w:val="004306A2"/>
    <w:rsid w:val="00430EFA"/>
    <w:rsid w:val="0043256F"/>
    <w:rsid w:val="00433245"/>
    <w:rsid w:val="004334C7"/>
    <w:rsid w:val="00433990"/>
    <w:rsid w:val="004342E8"/>
    <w:rsid w:val="00434359"/>
    <w:rsid w:val="0043541E"/>
    <w:rsid w:val="00435537"/>
    <w:rsid w:val="004359A7"/>
    <w:rsid w:val="004371B6"/>
    <w:rsid w:val="004379A4"/>
    <w:rsid w:val="00437E71"/>
    <w:rsid w:val="00440455"/>
    <w:rsid w:val="00440A81"/>
    <w:rsid w:val="0044119A"/>
    <w:rsid w:val="00441814"/>
    <w:rsid w:val="00441891"/>
    <w:rsid w:val="004418CD"/>
    <w:rsid w:val="004419CB"/>
    <w:rsid w:val="00443BC1"/>
    <w:rsid w:val="00444169"/>
    <w:rsid w:val="00444320"/>
    <w:rsid w:val="00444399"/>
    <w:rsid w:val="00444507"/>
    <w:rsid w:val="004447F7"/>
    <w:rsid w:val="00444820"/>
    <w:rsid w:val="00444C9A"/>
    <w:rsid w:val="00444FCE"/>
    <w:rsid w:val="0044523F"/>
    <w:rsid w:val="00445662"/>
    <w:rsid w:val="00445668"/>
    <w:rsid w:val="00445BC9"/>
    <w:rsid w:val="0044612E"/>
    <w:rsid w:val="00446191"/>
    <w:rsid w:val="00446199"/>
    <w:rsid w:val="004469E8"/>
    <w:rsid w:val="0044723B"/>
    <w:rsid w:val="0044745C"/>
    <w:rsid w:val="0045013C"/>
    <w:rsid w:val="00450AE7"/>
    <w:rsid w:val="00451200"/>
    <w:rsid w:val="00452A4F"/>
    <w:rsid w:val="00452FB5"/>
    <w:rsid w:val="004530F9"/>
    <w:rsid w:val="004538E1"/>
    <w:rsid w:val="004539A3"/>
    <w:rsid w:val="004539B0"/>
    <w:rsid w:val="00453EE5"/>
    <w:rsid w:val="00454379"/>
    <w:rsid w:val="004549BE"/>
    <w:rsid w:val="00455499"/>
    <w:rsid w:val="004558CC"/>
    <w:rsid w:val="00455B00"/>
    <w:rsid w:val="00456417"/>
    <w:rsid w:val="00456A45"/>
    <w:rsid w:val="00456B8A"/>
    <w:rsid w:val="00456EBC"/>
    <w:rsid w:val="004573EE"/>
    <w:rsid w:val="0046009F"/>
    <w:rsid w:val="0046021A"/>
    <w:rsid w:val="004605BC"/>
    <w:rsid w:val="00460D33"/>
    <w:rsid w:val="00460F4B"/>
    <w:rsid w:val="00460FCF"/>
    <w:rsid w:val="004611B9"/>
    <w:rsid w:val="004624E4"/>
    <w:rsid w:val="00464295"/>
    <w:rsid w:val="00464B96"/>
    <w:rsid w:val="004651B5"/>
    <w:rsid w:val="004659E8"/>
    <w:rsid w:val="0046616D"/>
    <w:rsid w:val="00466174"/>
    <w:rsid w:val="00466570"/>
    <w:rsid w:val="00466D9B"/>
    <w:rsid w:val="00467848"/>
    <w:rsid w:val="004679B1"/>
    <w:rsid w:val="004700C8"/>
    <w:rsid w:val="0047043E"/>
    <w:rsid w:val="0047052F"/>
    <w:rsid w:val="00470762"/>
    <w:rsid w:val="00470BD4"/>
    <w:rsid w:val="00470E7C"/>
    <w:rsid w:val="00471012"/>
    <w:rsid w:val="004710ED"/>
    <w:rsid w:val="0047166B"/>
    <w:rsid w:val="00472573"/>
    <w:rsid w:val="00472663"/>
    <w:rsid w:val="00472D9A"/>
    <w:rsid w:val="00472E28"/>
    <w:rsid w:val="00473157"/>
    <w:rsid w:val="00473350"/>
    <w:rsid w:val="0047384D"/>
    <w:rsid w:val="004740C6"/>
    <w:rsid w:val="004745FF"/>
    <w:rsid w:val="004749E3"/>
    <w:rsid w:val="00474A11"/>
    <w:rsid w:val="004753C1"/>
    <w:rsid w:val="0047544D"/>
    <w:rsid w:val="00475E9F"/>
    <w:rsid w:val="0047618A"/>
    <w:rsid w:val="0047639E"/>
    <w:rsid w:val="0047659B"/>
    <w:rsid w:val="00476C69"/>
    <w:rsid w:val="00476F9E"/>
    <w:rsid w:val="00477D7C"/>
    <w:rsid w:val="004809BC"/>
    <w:rsid w:val="00480A6B"/>
    <w:rsid w:val="00481518"/>
    <w:rsid w:val="00481F10"/>
    <w:rsid w:val="00482313"/>
    <w:rsid w:val="00482968"/>
    <w:rsid w:val="00482DDD"/>
    <w:rsid w:val="0048379F"/>
    <w:rsid w:val="00483FC3"/>
    <w:rsid w:val="0048429E"/>
    <w:rsid w:val="00484960"/>
    <w:rsid w:val="00484A51"/>
    <w:rsid w:val="00484F6A"/>
    <w:rsid w:val="00485B87"/>
    <w:rsid w:val="00485C77"/>
    <w:rsid w:val="00486379"/>
    <w:rsid w:val="00486CBD"/>
    <w:rsid w:val="0048702A"/>
    <w:rsid w:val="004870AE"/>
    <w:rsid w:val="00487475"/>
    <w:rsid w:val="0048779F"/>
    <w:rsid w:val="0049004D"/>
    <w:rsid w:val="004900E4"/>
    <w:rsid w:val="004901E3"/>
    <w:rsid w:val="004904BD"/>
    <w:rsid w:val="00490968"/>
    <w:rsid w:val="00490A71"/>
    <w:rsid w:val="00491223"/>
    <w:rsid w:val="0049185D"/>
    <w:rsid w:val="00491B42"/>
    <w:rsid w:val="00492431"/>
    <w:rsid w:val="00492714"/>
    <w:rsid w:val="00492B70"/>
    <w:rsid w:val="00492D79"/>
    <w:rsid w:val="0049388F"/>
    <w:rsid w:val="00493EE3"/>
    <w:rsid w:val="00493FAB"/>
    <w:rsid w:val="00494EFD"/>
    <w:rsid w:val="004953F6"/>
    <w:rsid w:val="00495443"/>
    <w:rsid w:val="00495842"/>
    <w:rsid w:val="004962E3"/>
    <w:rsid w:val="004966C4"/>
    <w:rsid w:val="00497032"/>
    <w:rsid w:val="004971D7"/>
    <w:rsid w:val="00497381"/>
    <w:rsid w:val="004973EF"/>
    <w:rsid w:val="004A03D9"/>
    <w:rsid w:val="004A0A87"/>
    <w:rsid w:val="004A0F30"/>
    <w:rsid w:val="004A1C37"/>
    <w:rsid w:val="004A1E8D"/>
    <w:rsid w:val="004A2500"/>
    <w:rsid w:val="004A25AC"/>
    <w:rsid w:val="004A3681"/>
    <w:rsid w:val="004A3760"/>
    <w:rsid w:val="004A3DBF"/>
    <w:rsid w:val="004A3E31"/>
    <w:rsid w:val="004A4222"/>
    <w:rsid w:val="004A463A"/>
    <w:rsid w:val="004A48EF"/>
    <w:rsid w:val="004A4D6C"/>
    <w:rsid w:val="004A5683"/>
    <w:rsid w:val="004A56DA"/>
    <w:rsid w:val="004A59E2"/>
    <w:rsid w:val="004A6592"/>
    <w:rsid w:val="004A68D8"/>
    <w:rsid w:val="004A68FA"/>
    <w:rsid w:val="004A6A7C"/>
    <w:rsid w:val="004A6AFA"/>
    <w:rsid w:val="004A6EEB"/>
    <w:rsid w:val="004A71B2"/>
    <w:rsid w:val="004A7965"/>
    <w:rsid w:val="004A7EE0"/>
    <w:rsid w:val="004B01AF"/>
    <w:rsid w:val="004B109B"/>
    <w:rsid w:val="004B12AF"/>
    <w:rsid w:val="004B1675"/>
    <w:rsid w:val="004B18FE"/>
    <w:rsid w:val="004B1ED2"/>
    <w:rsid w:val="004B1EE3"/>
    <w:rsid w:val="004B22B0"/>
    <w:rsid w:val="004B28FC"/>
    <w:rsid w:val="004B3574"/>
    <w:rsid w:val="004B37B2"/>
    <w:rsid w:val="004B3DB3"/>
    <w:rsid w:val="004B3EC9"/>
    <w:rsid w:val="004B4733"/>
    <w:rsid w:val="004B4B6F"/>
    <w:rsid w:val="004B4F24"/>
    <w:rsid w:val="004B565B"/>
    <w:rsid w:val="004B5923"/>
    <w:rsid w:val="004B65AE"/>
    <w:rsid w:val="004B6AB9"/>
    <w:rsid w:val="004B6C84"/>
    <w:rsid w:val="004B6E40"/>
    <w:rsid w:val="004B7804"/>
    <w:rsid w:val="004B7816"/>
    <w:rsid w:val="004B79F3"/>
    <w:rsid w:val="004B7A7F"/>
    <w:rsid w:val="004C0107"/>
    <w:rsid w:val="004C0238"/>
    <w:rsid w:val="004C0265"/>
    <w:rsid w:val="004C08B8"/>
    <w:rsid w:val="004C0D7B"/>
    <w:rsid w:val="004C13E9"/>
    <w:rsid w:val="004C1489"/>
    <w:rsid w:val="004C1747"/>
    <w:rsid w:val="004C1A43"/>
    <w:rsid w:val="004C1AAA"/>
    <w:rsid w:val="004C1B83"/>
    <w:rsid w:val="004C2049"/>
    <w:rsid w:val="004C2381"/>
    <w:rsid w:val="004C2AF0"/>
    <w:rsid w:val="004C2FFA"/>
    <w:rsid w:val="004C301A"/>
    <w:rsid w:val="004C30A1"/>
    <w:rsid w:val="004C3E02"/>
    <w:rsid w:val="004C41AD"/>
    <w:rsid w:val="004C45BD"/>
    <w:rsid w:val="004C4ABA"/>
    <w:rsid w:val="004C4ACF"/>
    <w:rsid w:val="004C4B0F"/>
    <w:rsid w:val="004C4B45"/>
    <w:rsid w:val="004C4CDB"/>
    <w:rsid w:val="004C50B5"/>
    <w:rsid w:val="004C52CA"/>
    <w:rsid w:val="004C5C18"/>
    <w:rsid w:val="004C678D"/>
    <w:rsid w:val="004C683D"/>
    <w:rsid w:val="004C6C18"/>
    <w:rsid w:val="004C6EBF"/>
    <w:rsid w:val="004C76DC"/>
    <w:rsid w:val="004C7756"/>
    <w:rsid w:val="004C777E"/>
    <w:rsid w:val="004D0096"/>
    <w:rsid w:val="004D088D"/>
    <w:rsid w:val="004D0935"/>
    <w:rsid w:val="004D0BD6"/>
    <w:rsid w:val="004D0C2A"/>
    <w:rsid w:val="004D0DEA"/>
    <w:rsid w:val="004D0EF7"/>
    <w:rsid w:val="004D14D5"/>
    <w:rsid w:val="004D1838"/>
    <w:rsid w:val="004D18F6"/>
    <w:rsid w:val="004D2348"/>
    <w:rsid w:val="004D2AAD"/>
    <w:rsid w:val="004D2BA8"/>
    <w:rsid w:val="004D3C69"/>
    <w:rsid w:val="004D46A3"/>
    <w:rsid w:val="004D47BB"/>
    <w:rsid w:val="004D6E01"/>
    <w:rsid w:val="004D6F96"/>
    <w:rsid w:val="004D716C"/>
    <w:rsid w:val="004D73C3"/>
    <w:rsid w:val="004D75F2"/>
    <w:rsid w:val="004D7A91"/>
    <w:rsid w:val="004D7C70"/>
    <w:rsid w:val="004E0193"/>
    <w:rsid w:val="004E03E2"/>
    <w:rsid w:val="004E04BF"/>
    <w:rsid w:val="004E09A8"/>
    <w:rsid w:val="004E10B0"/>
    <w:rsid w:val="004E1449"/>
    <w:rsid w:val="004E1477"/>
    <w:rsid w:val="004E48DD"/>
    <w:rsid w:val="004E5B55"/>
    <w:rsid w:val="004E5E6A"/>
    <w:rsid w:val="004E5ECF"/>
    <w:rsid w:val="004E5FCB"/>
    <w:rsid w:val="004E6A7B"/>
    <w:rsid w:val="004E6B42"/>
    <w:rsid w:val="004E6C7F"/>
    <w:rsid w:val="004E7329"/>
    <w:rsid w:val="004E7623"/>
    <w:rsid w:val="004E7B11"/>
    <w:rsid w:val="004F05A6"/>
    <w:rsid w:val="004F080E"/>
    <w:rsid w:val="004F0983"/>
    <w:rsid w:val="004F0C49"/>
    <w:rsid w:val="004F1339"/>
    <w:rsid w:val="004F18F5"/>
    <w:rsid w:val="004F1A01"/>
    <w:rsid w:val="004F1C53"/>
    <w:rsid w:val="004F2328"/>
    <w:rsid w:val="004F2387"/>
    <w:rsid w:val="004F3711"/>
    <w:rsid w:val="004F479A"/>
    <w:rsid w:val="004F484D"/>
    <w:rsid w:val="004F4F79"/>
    <w:rsid w:val="004F56D5"/>
    <w:rsid w:val="004F611F"/>
    <w:rsid w:val="004F641E"/>
    <w:rsid w:val="004F652D"/>
    <w:rsid w:val="004F73C5"/>
    <w:rsid w:val="004F7431"/>
    <w:rsid w:val="005003CC"/>
    <w:rsid w:val="00500BAB"/>
    <w:rsid w:val="00501512"/>
    <w:rsid w:val="0050166E"/>
    <w:rsid w:val="00501D6D"/>
    <w:rsid w:val="00501FE6"/>
    <w:rsid w:val="005020FE"/>
    <w:rsid w:val="005027A2"/>
    <w:rsid w:val="005027C3"/>
    <w:rsid w:val="005028B4"/>
    <w:rsid w:val="00502A3B"/>
    <w:rsid w:val="00502B60"/>
    <w:rsid w:val="0050331D"/>
    <w:rsid w:val="0050349B"/>
    <w:rsid w:val="00503501"/>
    <w:rsid w:val="00503550"/>
    <w:rsid w:val="00503575"/>
    <w:rsid w:val="00503F9A"/>
    <w:rsid w:val="005046C0"/>
    <w:rsid w:val="00504784"/>
    <w:rsid w:val="00504A40"/>
    <w:rsid w:val="00504A88"/>
    <w:rsid w:val="00504AE7"/>
    <w:rsid w:val="00505157"/>
    <w:rsid w:val="005058D7"/>
    <w:rsid w:val="0050596A"/>
    <w:rsid w:val="00505DC3"/>
    <w:rsid w:val="00505DDC"/>
    <w:rsid w:val="00505E97"/>
    <w:rsid w:val="00505F06"/>
    <w:rsid w:val="00506094"/>
    <w:rsid w:val="005067F0"/>
    <w:rsid w:val="00506972"/>
    <w:rsid w:val="00507093"/>
    <w:rsid w:val="005075DA"/>
    <w:rsid w:val="005078C9"/>
    <w:rsid w:val="00507E71"/>
    <w:rsid w:val="005100EC"/>
    <w:rsid w:val="00510717"/>
    <w:rsid w:val="00510DAE"/>
    <w:rsid w:val="0051103C"/>
    <w:rsid w:val="00511721"/>
    <w:rsid w:val="00511BB5"/>
    <w:rsid w:val="00511F7A"/>
    <w:rsid w:val="00512386"/>
    <w:rsid w:val="0051261C"/>
    <w:rsid w:val="005132C0"/>
    <w:rsid w:val="005142FD"/>
    <w:rsid w:val="00514443"/>
    <w:rsid w:val="005153BE"/>
    <w:rsid w:val="0051552F"/>
    <w:rsid w:val="005156C6"/>
    <w:rsid w:val="0051687D"/>
    <w:rsid w:val="00516B92"/>
    <w:rsid w:val="00516EC6"/>
    <w:rsid w:val="00517B5B"/>
    <w:rsid w:val="00517D05"/>
    <w:rsid w:val="00520676"/>
    <w:rsid w:val="00520AE6"/>
    <w:rsid w:val="00520FEA"/>
    <w:rsid w:val="0052135D"/>
    <w:rsid w:val="00521FAF"/>
    <w:rsid w:val="00522459"/>
    <w:rsid w:val="00522B94"/>
    <w:rsid w:val="005231D4"/>
    <w:rsid w:val="00523941"/>
    <w:rsid w:val="00523F76"/>
    <w:rsid w:val="005249E5"/>
    <w:rsid w:val="00524F71"/>
    <w:rsid w:val="00525A70"/>
    <w:rsid w:val="00525B58"/>
    <w:rsid w:val="00526158"/>
    <w:rsid w:val="00526F1A"/>
    <w:rsid w:val="00527304"/>
    <w:rsid w:val="00527633"/>
    <w:rsid w:val="005303FB"/>
    <w:rsid w:val="005307DD"/>
    <w:rsid w:val="00530A3F"/>
    <w:rsid w:val="00530B55"/>
    <w:rsid w:val="00530E73"/>
    <w:rsid w:val="005316C5"/>
    <w:rsid w:val="00531FED"/>
    <w:rsid w:val="005321E1"/>
    <w:rsid w:val="00532387"/>
    <w:rsid w:val="00532532"/>
    <w:rsid w:val="00533002"/>
    <w:rsid w:val="0053327E"/>
    <w:rsid w:val="0053417A"/>
    <w:rsid w:val="00535028"/>
    <w:rsid w:val="005357EB"/>
    <w:rsid w:val="00535E0E"/>
    <w:rsid w:val="005361A9"/>
    <w:rsid w:val="005365F9"/>
    <w:rsid w:val="00536A8D"/>
    <w:rsid w:val="0053725E"/>
    <w:rsid w:val="005372C7"/>
    <w:rsid w:val="0053774C"/>
    <w:rsid w:val="005377A2"/>
    <w:rsid w:val="00537F1E"/>
    <w:rsid w:val="0054027C"/>
    <w:rsid w:val="00540774"/>
    <w:rsid w:val="00540801"/>
    <w:rsid w:val="00540A62"/>
    <w:rsid w:val="00540D8B"/>
    <w:rsid w:val="00541700"/>
    <w:rsid w:val="00541F8B"/>
    <w:rsid w:val="0054236F"/>
    <w:rsid w:val="005430CD"/>
    <w:rsid w:val="005436AA"/>
    <w:rsid w:val="00543A52"/>
    <w:rsid w:val="005441D6"/>
    <w:rsid w:val="0054427D"/>
    <w:rsid w:val="005444BE"/>
    <w:rsid w:val="0054489C"/>
    <w:rsid w:val="0054491C"/>
    <w:rsid w:val="00544ADE"/>
    <w:rsid w:val="00544E41"/>
    <w:rsid w:val="0054572E"/>
    <w:rsid w:val="00545A61"/>
    <w:rsid w:val="00545DD1"/>
    <w:rsid w:val="005460A3"/>
    <w:rsid w:val="0054665F"/>
    <w:rsid w:val="00546819"/>
    <w:rsid w:val="00546881"/>
    <w:rsid w:val="00546C9C"/>
    <w:rsid w:val="00546E3F"/>
    <w:rsid w:val="0054711E"/>
    <w:rsid w:val="00547B28"/>
    <w:rsid w:val="00547F2C"/>
    <w:rsid w:val="005505CB"/>
    <w:rsid w:val="00550922"/>
    <w:rsid w:val="00550FD8"/>
    <w:rsid w:val="00551054"/>
    <w:rsid w:val="00551131"/>
    <w:rsid w:val="005515D9"/>
    <w:rsid w:val="00551864"/>
    <w:rsid w:val="00551E6A"/>
    <w:rsid w:val="00551FDA"/>
    <w:rsid w:val="005532E8"/>
    <w:rsid w:val="005534B1"/>
    <w:rsid w:val="00553F90"/>
    <w:rsid w:val="00554160"/>
    <w:rsid w:val="00554D9B"/>
    <w:rsid w:val="00554EB2"/>
    <w:rsid w:val="00555038"/>
    <w:rsid w:val="00555350"/>
    <w:rsid w:val="00555673"/>
    <w:rsid w:val="00556081"/>
    <w:rsid w:val="0055608B"/>
    <w:rsid w:val="00556B82"/>
    <w:rsid w:val="005570EB"/>
    <w:rsid w:val="005575FF"/>
    <w:rsid w:val="00557871"/>
    <w:rsid w:val="00557AA3"/>
    <w:rsid w:val="00557B72"/>
    <w:rsid w:val="00560E08"/>
    <w:rsid w:val="005614B4"/>
    <w:rsid w:val="0056173F"/>
    <w:rsid w:val="00561ADC"/>
    <w:rsid w:val="00561DB5"/>
    <w:rsid w:val="00561F7E"/>
    <w:rsid w:val="0056215C"/>
    <w:rsid w:val="0056242A"/>
    <w:rsid w:val="00562B35"/>
    <w:rsid w:val="00562B62"/>
    <w:rsid w:val="00563147"/>
    <w:rsid w:val="00563443"/>
    <w:rsid w:val="00563502"/>
    <w:rsid w:val="0056350F"/>
    <w:rsid w:val="00563623"/>
    <w:rsid w:val="005644D7"/>
    <w:rsid w:val="00564565"/>
    <w:rsid w:val="005645D8"/>
    <w:rsid w:val="005651CA"/>
    <w:rsid w:val="0056561A"/>
    <w:rsid w:val="00565F52"/>
    <w:rsid w:val="00566087"/>
    <w:rsid w:val="00566101"/>
    <w:rsid w:val="00566C86"/>
    <w:rsid w:val="00566CF8"/>
    <w:rsid w:val="00567AF6"/>
    <w:rsid w:val="00570DA4"/>
    <w:rsid w:val="00571044"/>
    <w:rsid w:val="00571297"/>
    <w:rsid w:val="00571399"/>
    <w:rsid w:val="0057163B"/>
    <w:rsid w:val="005721D7"/>
    <w:rsid w:val="005727A2"/>
    <w:rsid w:val="005737F4"/>
    <w:rsid w:val="00573B90"/>
    <w:rsid w:val="00573BD7"/>
    <w:rsid w:val="00573D37"/>
    <w:rsid w:val="00574298"/>
    <w:rsid w:val="00574428"/>
    <w:rsid w:val="005748A6"/>
    <w:rsid w:val="00574BA0"/>
    <w:rsid w:val="0057511F"/>
    <w:rsid w:val="005753D3"/>
    <w:rsid w:val="00575697"/>
    <w:rsid w:val="00575931"/>
    <w:rsid w:val="005759C8"/>
    <w:rsid w:val="00575BA2"/>
    <w:rsid w:val="0057620C"/>
    <w:rsid w:val="00576509"/>
    <w:rsid w:val="005772A0"/>
    <w:rsid w:val="00577815"/>
    <w:rsid w:val="00577BAD"/>
    <w:rsid w:val="00577C01"/>
    <w:rsid w:val="00577D92"/>
    <w:rsid w:val="00577F2A"/>
    <w:rsid w:val="00580757"/>
    <w:rsid w:val="00580AD9"/>
    <w:rsid w:val="00580B33"/>
    <w:rsid w:val="00580E46"/>
    <w:rsid w:val="005815CD"/>
    <w:rsid w:val="00581610"/>
    <w:rsid w:val="0058175F"/>
    <w:rsid w:val="00581D6A"/>
    <w:rsid w:val="0058256E"/>
    <w:rsid w:val="00582D12"/>
    <w:rsid w:val="00582D6B"/>
    <w:rsid w:val="00583396"/>
    <w:rsid w:val="00583648"/>
    <w:rsid w:val="0058373B"/>
    <w:rsid w:val="00583E47"/>
    <w:rsid w:val="0058462E"/>
    <w:rsid w:val="00584666"/>
    <w:rsid w:val="00584C00"/>
    <w:rsid w:val="00584CC4"/>
    <w:rsid w:val="005859E3"/>
    <w:rsid w:val="00585C99"/>
    <w:rsid w:val="00586C34"/>
    <w:rsid w:val="00586D0B"/>
    <w:rsid w:val="00587C86"/>
    <w:rsid w:val="00587D03"/>
    <w:rsid w:val="00587D21"/>
    <w:rsid w:val="00590481"/>
    <w:rsid w:val="00590771"/>
    <w:rsid w:val="00590938"/>
    <w:rsid w:val="0059112B"/>
    <w:rsid w:val="0059141E"/>
    <w:rsid w:val="00591AF7"/>
    <w:rsid w:val="00591DB1"/>
    <w:rsid w:val="00591E79"/>
    <w:rsid w:val="005927A7"/>
    <w:rsid w:val="0059298F"/>
    <w:rsid w:val="00592A23"/>
    <w:rsid w:val="00592E4C"/>
    <w:rsid w:val="00592F79"/>
    <w:rsid w:val="00593201"/>
    <w:rsid w:val="00593EA3"/>
    <w:rsid w:val="005940E8"/>
    <w:rsid w:val="00594705"/>
    <w:rsid w:val="005949DF"/>
    <w:rsid w:val="00594E8A"/>
    <w:rsid w:val="005956B8"/>
    <w:rsid w:val="005957F4"/>
    <w:rsid w:val="00595C21"/>
    <w:rsid w:val="00595DB4"/>
    <w:rsid w:val="00596912"/>
    <w:rsid w:val="005969CC"/>
    <w:rsid w:val="005972C4"/>
    <w:rsid w:val="0059735E"/>
    <w:rsid w:val="00597990"/>
    <w:rsid w:val="00597B63"/>
    <w:rsid w:val="005A026A"/>
    <w:rsid w:val="005A114C"/>
    <w:rsid w:val="005A1423"/>
    <w:rsid w:val="005A1A97"/>
    <w:rsid w:val="005A1AE6"/>
    <w:rsid w:val="005A1C18"/>
    <w:rsid w:val="005A1F24"/>
    <w:rsid w:val="005A2511"/>
    <w:rsid w:val="005A2A42"/>
    <w:rsid w:val="005A2FDC"/>
    <w:rsid w:val="005A3880"/>
    <w:rsid w:val="005A3D02"/>
    <w:rsid w:val="005A4B87"/>
    <w:rsid w:val="005A4FDD"/>
    <w:rsid w:val="005A531D"/>
    <w:rsid w:val="005A5BDE"/>
    <w:rsid w:val="005A63C6"/>
    <w:rsid w:val="005A662A"/>
    <w:rsid w:val="005A6B46"/>
    <w:rsid w:val="005A6EB2"/>
    <w:rsid w:val="005A7057"/>
    <w:rsid w:val="005A762A"/>
    <w:rsid w:val="005A7806"/>
    <w:rsid w:val="005B06DC"/>
    <w:rsid w:val="005B0AAC"/>
    <w:rsid w:val="005B0CF6"/>
    <w:rsid w:val="005B1D12"/>
    <w:rsid w:val="005B1D8B"/>
    <w:rsid w:val="005B260A"/>
    <w:rsid w:val="005B2654"/>
    <w:rsid w:val="005B29C2"/>
    <w:rsid w:val="005B2F2E"/>
    <w:rsid w:val="005B2F87"/>
    <w:rsid w:val="005B33D0"/>
    <w:rsid w:val="005B3540"/>
    <w:rsid w:val="005B3895"/>
    <w:rsid w:val="005B427B"/>
    <w:rsid w:val="005B502A"/>
    <w:rsid w:val="005B638E"/>
    <w:rsid w:val="005B6512"/>
    <w:rsid w:val="005B6A48"/>
    <w:rsid w:val="005B6E2A"/>
    <w:rsid w:val="005B7D8B"/>
    <w:rsid w:val="005C0028"/>
    <w:rsid w:val="005C08BE"/>
    <w:rsid w:val="005C15EF"/>
    <w:rsid w:val="005C1D3D"/>
    <w:rsid w:val="005C1F9D"/>
    <w:rsid w:val="005C2503"/>
    <w:rsid w:val="005C2AE0"/>
    <w:rsid w:val="005C2EBE"/>
    <w:rsid w:val="005C311E"/>
    <w:rsid w:val="005C3281"/>
    <w:rsid w:val="005C406C"/>
    <w:rsid w:val="005C47DC"/>
    <w:rsid w:val="005C4992"/>
    <w:rsid w:val="005C4B06"/>
    <w:rsid w:val="005C61FC"/>
    <w:rsid w:val="005C66B7"/>
    <w:rsid w:val="005C67D0"/>
    <w:rsid w:val="005C6CC9"/>
    <w:rsid w:val="005C7317"/>
    <w:rsid w:val="005C76CA"/>
    <w:rsid w:val="005C78C9"/>
    <w:rsid w:val="005C7B6C"/>
    <w:rsid w:val="005C7DBC"/>
    <w:rsid w:val="005D0A05"/>
    <w:rsid w:val="005D0A88"/>
    <w:rsid w:val="005D174E"/>
    <w:rsid w:val="005D20F5"/>
    <w:rsid w:val="005D212F"/>
    <w:rsid w:val="005D27FD"/>
    <w:rsid w:val="005D28E2"/>
    <w:rsid w:val="005D2CED"/>
    <w:rsid w:val="005D2E26"/>
    <w:rsid w:val="005D3930"/>
    <w:rsid w:val="005D44EE"/>
    <w:rsid w:val="005D4AD7"/>
    <w:rsid w:val="005D4B25"/>
    <w:rsid w:val="005D4FE4"/>
    <w:rsid w:val="005D5254"/>
    <w:rsid w:val="005D5300"/>
    <w:rsid w:val="005D55C2"/>
    <w:rsid w:val="005D5805"/>
    <w:rsid w:val="005D659D"/>
    <w:rsid w:val="005D6680"/>
    <w:rsid w:val="005D6701"/>
    <w:rsid w:val="005D6841"/>
    <w:rsid w:val="005D6C04"/>
    <w:rsid w:val="005D6C66"/>
    <w:rsid w:val="005D6F60"/>
    <w:rsid w:val="005D70F4"/>
    <w:rsid w:val="005D7645"/>
    <w:rsid w:val="005D79C3"/>
    <w:rsid w:val="005D7E86"/>
    <w:rsid w:val="005E075C"/>
    <w:rsid w:val="005E0B48"/>
    <w:rsid w:val="005E0D17"/>
    <w:rsid w:val="005E18D2"/>
    <w:rsid w:val="005E1D8D"/>
    <w:rsid w:val="005E3413"/>
    <w:rsid w:val="005E4243"/>
    <w:rsid w:val="005E4DF8"/>
    <w:rsid w:val="005E4F58"/>
    <w:rsid w:val="005E4FD2"/>
    <w:rsid w:val="005E502A"/>
    <w:rsid w:val="005E5117"/>
    <w:rsid w:val="005E529D"/>
    <w:rsid w:val="005E5623"/>
    <w:rsid w:val="005E5A9E"/>
    <w:rsid w:val="005E5BBD"/>
    <w:rsid w:val="005E5D31"/>
    <w:rsid w:val="005E6217"/>
    <w:rsid w:val="005E6F37"/>
    <w:rsid w:val="005E713E"/>
    <w:rsid w:val="005E73B6"/>
    <w:rsid w:val="005E74EC"/>
    <w:rsid w:val="005E792E"/>
    <w:rsid w:val="005E7AC8"/>
    <w:rsid w:val="005E7D40"/>
    <w:rsid w:val="005F0045"/>
    <w:rsid w:val="005F02DB"/>
    <w:rsid w:val="005F07F0"/>
    <w:rsid w:val="005F18E1"/>
    <w:rsid w:val="005F1A4E"/>
    <w:rsid w:val="005F1A9C"/>
    <w:rsid w:val="005F279F"/>
    <w:rsid w:val="005F28B8"/>
    <w:rsid w:val="005F295E"/>
    <w:rsid w:val="005F2B47"/>
    <w:rsid w:val="005F304A"/>
    <w:rsid w:val="005F356A"/>
    <w:rsid w:val="005F369C"/>
    <w:rsid w:val="005F3970"/>
    <w:rsid w:val="005F4F30"/>
    <w:rsid w:val="005F56FE"/>
    <w:rsid w:val="005F5A31"/>
    <w:rsid w:val="005F5D4F"/>
    <w:rsid w:val="005F6034"/>
    <w:rsid w:val="005F6215"/>
    <w:rsid w:val="005F6A54"/>
    <w:rsid w:val="005F6C57"/>
    <w:rsid w:val="005F6D0E"/>
    <w:rsid w:val="005F6E2D"/>
    <w:rsid w:val="005F7261"/>
    <w:rsid w:val="005F73E2"/>
    <w:rsid w:val="005F7BE4"/>
    <w:rsid w:val="005F7D5D"/>
    <w:rsid w:val="005F7DF8"/>
    <w:rsid w:val="005F7E48"/>
    <w:rsid w:val="00600569"/>
    <w:rsid w:val="00600AE8"/>
    <w:rsid w:val="00600AF9"/>
    <w:rsid w:val="006016AE"/>
    <w:rsid w:val="00601E53"/>
    <w:rsid w:val="0060287F"/>
    <w:rsid w:val="00602C7E"/>
    <w:rsid w:val="00602FAA"/>
    <w:rsid w:val="0060355F"/>
    <w:rsid w:val="006037A4"/>
    <w:rsid w:val="00603800"/>
    <w:rsid w:val="00603998"/>
    <w:rsid w:val="00603AED"/>
    <w:rsid w:val="00603DCD"/>
    <w:rsid w:val="00604386"/>
    <w:rsid w:val="00604AF1"/>
    <w:rsid w:val="006055EF"/>
    <w:rsid w:val="00605615"/>
    <w:rsid w:val="0060564E"/>
    <w:rsid w:val="006059CA"/>
    <w:rsid w:val="00605A94"/>
    <w:rsid w:val="00605B88"/>
    <w:rsid w:val="00605BC9"/>
    <w:rsid w:val="006069E4"/>
    <w:rsid w:val="00606BF6"/>
    <w:rsid w:val="00606CEB"/>
    <w:rsid w:val="00607A78"/>
    <w:rsid w:val="0061022D"/>
    <w:rsid w:val="00610441"/>
    <w:rsid w:val="00611006"/>
    <w:rsid w:val="00612462"/>
    <w:rsid w:val="00612945"/>
    <w:rsid w:val="006129EC"/>
    <w:rsid w:val="00612C8B"/>
    <w:rsid w:val="00612F54"/>
    <w:rsid w:val="00613486"/>
    <w:rsid w:val="0061386F"/>
    <w:rsid w:val="00613936"/>
    <w:rsid w:val="00613A95"/>
    <w:rsid w:val="00613EED"/>
    <w:rsid w:val="00614498"/>
    <w:rsid w:val="00614671"/>
    <w:rsid w:val="00614953"/>
    <w:rsid w:val="00614F7B"/>
    <w:rsid w:val="00616806"/>
    <w:rsid w:val="00617774"/>
    <w:rsid w:val="00617878"/>
    <w:rsid w:val="00617980"/>
    <w:rsid w:val="00617DB6"/>
    <w:rsid w:val="00617EB3"/>
    <w:rsid w:val="00620A18"/>
    <w:rsid w:val="00621B19"/>
    <w:rsid w:val="0062293D"/>
    <w:rsid w:val="00622AE7"/>
    <w:rsid w:val="006230B7"/>
    <w:rsid w:val="00623442"/>
    <w:rsid w:val="006237A4"/>
    <w:rsid w:val="0062391A"/>
    <w:rsid w:val="006242C8"/>
    <w:rsid w:val="006245BE"/>
    <w:rsid w:val="00624A2A"/>
    <w:rsid w:val="00624C49"/>
    <w:rsid w:val="006255E5"/>
    <w:rsid w:val="006258BA"/>
    <w:rsid w:val="00625A37"/>
    <w:rsid w:val="00625B33"/>
    <w:rsid w:val="00625EEE"/>
    <w:rsid w:val="0062628B"/>
    <w:rsid w:val="0062676F"/>
    <w:rsid w:val="00626979"/>
    <w:rsid w:val="00626EE7"/>
    <w:rsid w:val="0062721D"/>
    <w:rsid w:val="00630131"/>
    <w:rsid w:val="006301FD"/>
    <w:rsid w:val="00630460"/>
    <w:rsid w:val="006308F7"/>
    <w:rsid w:val="00630AD2"/>
    <w:rsid w:val="00630C94"/>
    <w:rsid w:val="00630E2D"/>
    <w:rsid w:val="00631499"/>
    <w:rsid w:val="006315DC"/>
    <w:rsid w:val="00631732"/>
    <w:rsid w:val="00631845"/>
    <w:rsid w:val="006318E9"/>
    <w:rsid w:val="00632B43"/>
    <w:rsid w:val="00632BA9"/>
    <w:rsid w:val="00632EFF"/>
    <w:rsid w:val="006332C2"/>
    <w:rsid w:val="00633669"/>
    <w:rsid w:val="00633E54"/>
    <w:rsid w:val="00634154"/>
    <w:rsid w:val="006341D8"/>
    <w:rsid w:val="006341E4"/>
    <w:rsid w:val="00634374"/>
    <w:rsid w:val="0063446C"/>
    <w:rsid w:val="006347E8"/>
    <w:rsid w:val="00634855"/>
    <w:rsid w:val="00634AC6"/>
    <w:rsid w:val="00634AFA"/>
    <w:rsid w:val="00635602"/>
    <w:rsid w:val="00635AF5"/>
    <w:rsid w:val="00636238"/>
    <w:rsid w:val="0063666C"/>
    <w:rsid w:val="00636DFE"/>
    <w:rsid w:val="006379D6"/>
    <w:rsid w:val="00637C68"/>
    <w:rsid w:val="0064005F"/>
    <w:rsid w:val="0064011B"/>
    <w:rsid w:val="00640167"/>
    <w:rsid w:val="00640205"/>
    <w:rsid w:val="00640559"/>
    <w:rsid w:val="006405D2"/>
    <w:rsid w:val="00640C93"/>
    <w:rsid w:val="00640E67"/>
    <w:rsid w:val="006439FC"/>
    <w:rsid w:val="00644955"/>
    <w:rsid w:val="00644EBC"/>
    <w:rsid w:val="0064502D"/>
    <w:rsid w:val="006450B1"/>
    <w:rsid w:val="00645243"/>
    <w:rsid w:val="0064540A"/>
    <w:rsid w:val="006454E2"/>
    <w:rsid w:val="00645A44"/>
    <w:rsid w:val="00645BF0"/>
    <w:rsid w:val="00645D13"/>
    <w:rsid w:val="0064675D"/>
    <w:rsid w:val="00646786"/>
    <w:rsid w:val="00646964"/>
    <w:rsid w:val="006469AF"/>
    <w:rsid w:val="00646C00"/>
    <w:rsid w:val="00646CA7"/>
    <w:rsid w:val="00646D82"/>
    <w:rsid w:val="006473DE"/>
    <w:rsid w:val="00647BE5"/>
    <w:rsid w:val="00647C26"/>
    <w:rsid w:val="00647E1C"/>
    <w:rsid w:val="00647FF6"/>
    <w:rsid w:val="006501BC"/>
    <w:rsid w:val="0065025B"/>
    <w:rsid w:val="006504E1"/>
    <w:rsid w:val="006508F5"/>
    <w:rsid w:val="00650A11"/>
    <w:rsid w:val="006512D5"/>
    <w:rsid w:val="00651399"/>
    <w:rsid w:val="006514A2"/>
    <w:rsid w:val="00651BFD"/>
    <w:rsid w:val="00652A02"/>
    <w:rsid w:val="00652D95"/>
    <w:rsid w:val="0065367D"/>
    <w:rsid w:val="00653A16"/>
    <w:rsid w:val="00653D1A"/>
    <w:rsid w:val="00653D7A"/>
    <w:rsid w:val="00654459"/>
    <w:rsid w:val="00655459"/>
    <w:rsid w:val="0065596F"/>
    <w:rsid w:val="006560FF"/>
    <w:rsid w:val="006568E8"/>
    <w:rsid w:val="0065703E"/>
    <w:rsid w:val="00661166"/>
    <w:rsid w:val="006617FC"/>
    <w:rsid w:val="0066183E"/>
    <w:rsid w:val="0066185B"/>
    <w:rsid w:val="00661AD7"/>
    <w:rsid w:val="00661BED"/>
    <w:rsid w:val="00662379"/>
    <w:rsid w:val="00662605"/>
    <w:rsid w:val="00662E4A"/>
    <w:rsid w:val="00663798"/>
    <w:rsid w:val="00663BE1"/>
    <w:rsid w:val="00664828"/>
    <w:rsid w:val="00664D4F"/>
    <w:rsid w:val="00664E31"/>
    <w:rsid w:val="00665490"/>
    <w:rsid w:val="0066553F"/>
    <w:rsid w:val="00665B85"/>
    <w:rsid w:val="00665D32"/>
    <w:rsid w:val="00665FAF"/>
    <w:rsid w:val="0066731A"/>
    <w:rsid w:val="00667947"/>
    <w:rsid w:val="00667CF9"/>
    <w:rsid w:val="0067100A"/>
    <w:rsid w:val="00671886"/>
    <w:rsid w:val="00671B9A"/>
    <w:rsid w:val="00672243"/>
    <w:rsid w:val="00672795"/>
    <w:rsid w:val="00673483"/>
    <w:rsid w:val="00673624"/>
    <w:rsid w:val="00673846"/>
    <w:rsid w:val="00673D08"/>
    <w:rsid w:val="00674614"/>
    <w:rsid w:val="00675575"/>
    <w:rsid w:val="0067587E"/>
    <w:rsid w:val="00675B95"/>
    <w:rsid w:val="00675FF6"/>
    <w:rsid w:val="0067626F"/>
    <w:rsid w:val="00676944"/>
    <w:rsid w:val="00676A6C"/>
    <w:rsid w:val="00676FB3"/>
    <w:rsid w:val="00677908"/>
    <w:rsid w:val="0068064C"/>
    <w:rsid w:val="00680A7E"/>
    <w:rsid w:val="006827D1"/>
    <w:rsid w:val="006828EF"/>
    <w:rsid w:val="006832D6"/>
    <w:rsid w:val="00683544"/>
    <w:rsid w:val="00684348"/>
    <w:rsid w:val="0068490A"/>
    <w:rsid w:val="006853C9"/>
    <w:rsid w:val="00685929"/>
    <w:rsid w:val="00685B2B"/>
    <w:rsid w:val="00687176"/>
    <w:rsid w:val="00687653"/>
    <w:rsid w:val="00687D2C"/>
    <w:rsid w:val="00687DE1"/>
    <w:rsid w:val="00687EE1"/>
    <w:rsid w:val="006902E1"/>
    <w:rsid w:val="00690495"/>
    <w:rsid w:val="006904E8"/>
    <w:rsid w:val="006905D6"/>
    <w:rsid w:val="0069092C"/>
    <w:rsid w:val="00690CE3"/>
    <w:rsid w:val="006916E9"/>
    <w:rsid w:val="00691752"/>
    <w:rsid w:val="006918E4"/>
    <w:rsid w:val="00691AFF"/>
    <w:rsid w:val="00691B1E"/>
    <w:rsid w:val="00691EDC"/>
    <w:rsid w:val="00692666"/>
    <w:rsid w:val="00692D5D"/>
    <w:rsid w:val="00693327"/>
    <w:rsid w:val="00693A80"/>
    <w:rsid w:val="00693D54"/>
    <w:rsid w:val="00694A78"/>
    <w:rsid w:val="0069521D"/>
    <w:rsid w:val="00695402"/>
    <w:rsid w:val="00695DB8"/>
    <w:rsid w:val="0069658A"/>
    <w:rsid w:val="006971C1"/>
    <w:rsid w:val="00697614"/>
    <w:rsid w:val="00697931"/>
    <w:rsid w:val="00697D92"/>
    <w:rsid w:val="006A03D9"/>
    <w:rsid w:val="006A0A63"/>
    <w:rsid w:val="006A1321"/>
    <w:rsid w:val="006A1A51"/>
    <w:rsid w:val="006A1ACB"/>
    <w:rsid w:val="006A1B09"/>
    <w:rsid w:val="006A1BB4"/>
    <w:rsid w:val="006A1EF8"/>
    <w:rsid w:val="006A1F1A"/>
    <w:rsid w:val="006A214B"/>
    <w:rsid w:val="006A22C0"/>
    <w:rsid w:val="006A23FF"/>
    <w:rsid w:val="006A2834"/>
    <w:rsid w:val="006A3452"/>
    <w:rsid w:val="006A3728"/>
    <w:rsid w:val="006A387C"/>
    <w:rsid w:val="006A3928"/>
    <w:rsid w:val="006A3993"/>
    <w:rsid w:val="006A413A"/>
    <w:rsid w:val="006A42FB"/>
    <w:rsid w:val="006A4DE5"/>
    <w:rsid w:val="006A4EE8"/>
    <w:rsid w:val="006A5337"/>
    <w:rsid w:val="006A53CB"/>
    <w:rsid w:val="006A66A0"/>
    <w:rsid w:val="006A6B13"/>
    <w:rsid w:val="006A6B1F"/>
    <w:rsid w:val="006A6CE7"/>
    <w:rsid w:val="006A6FA5"/>
    <w:rsid w:val="006A70F4"/>
    <w:rsid w:val="006A7542"/>
    <w:rsid w:val="006A7EE4"/>
    <w:rsid w:val="006A7FAC"/>
    <w:rsid w:val="006B03FF"/>
    <w:rsid w:val="006B0ABE"/>
    <w:rsid w:val="006B185F"/>
    <w:rsid w:val="006B2397"/>
    <w:rsid w:val="006B2B46"/>
    <w:rsid w:val="006B2BB7"/>
    <w:rsid w:val="006B344D"/>
    <w:rsid w:val="006B34D6"/>
    <w:rsid w:val="006B3F42"/>
    <w:rsid w:val="006B4866"/>
    <w:rsid w:val="006B4E55"/>
    <w:rsid w:val="006B506E"/>
    <w:rsid w:val="006B50E7"/>
    <w:rsid w:val="006B563C"/>
    <w:rsid w:val="006B5A76"/>
    <w:rsid w:val="006B5EC3"/>
    <w:rsid w:val="006B5F5B"/>
    <w:rsid w:val="006B60A3"/>
    <w:rsid w:val="006B62BC"/>
    <w:rsid w:val="006B6585"/>
    <w:rsid w:val="006B7072"/>
    <w:rsid w:val="006B70C9"/>
    <w:rsid w:val="006B7597"/>
    <w:rsid w:val="006C0500"/>
    <w:rsid w:val="006C0A64"/>
    <w:rsid w:val="006C0F07"/>
    <w:rsid w:val="006C19CE"/>
    <w:rsid w:val="006C1B09"/>
    <w:rsid w:val="006C274D"/>
    <w:rsid w:val="006C27CE"/>
    <w:rsid w:val="006C2E0F"/>
    <w:rsid w:val="006C3095"/>
    <w:rsid w:val="006C318E"/>
    <w:rsid w:val="006C5B50"/>
    <w:rsid w:val="006C5E14"/>
    <w:rsid w:val="006C64D7"/>
    <w:rsid w:val="006C6562"/>
    <w:rsid w:val="006C6570"/>
    <w:rsid w:val="006C68F3"/>
    <w:rsid w:val="006C76A7"/>
    <w:rsid w:val="006C7860"/>
    <w:rsid w:val="006C7D2E"/>
    <w:rsid w:val="006D0725"/>
    <w:rsid w:val="006D0A57"/>
    <w:rsid w:val="006D10C0"/>
    <w:rsid w:val="006D1109"/>
    <w:rsid w:val="006D14D6"/>
    <w:rsid w:val="006D1C57"/>
    <w:rsid w:val="006D2236"/>
    <w:rsid w:val="006D239E"/>
    <w:rsid w:val="006D2530"/>
    <w:rsid w:val="006D2669"/>
    <w:rsid w:val="006D2722"/>
    <w:rsid w:val="006D2BD0"/>
    <w:rsid w:val="006D2DE9"/>
    <w:rsid w:val="006D2F10"/>
    <w:rsid w:val="006D34CE"/>
    <w:rsid w:val="006D3D18"/>
    <w:rsid w:val="006D3F85"/>
    <w:rsid w:val="006D4587"/>
    <w:rsid w:val="006D4DEC"/>
    <w:rsid w:val="006D4F8E"/>
    <w:rsid w:val="006D531A"/>
    <w:rsid w:val="006D56DF"/>
    <w:rsid w:val="006D5882"/>
    <w:rsid w:val="006D6423"/>
    <w:rsid w:val="006D732C"/>
    <w:rsid w:val="006E0276"/>
    <w:rsid w:val="006E1068"/>
    <w:rsid w:val="006E13EE"/>
    <w:rsid w:val="006E1D40"/>
    <w:rsid w:val="006E1D7D"/>
    <w:rsid w:val="006E1E18"/>
    <w:rsid w:val="006E26BD"/>
    <w:rsid w:val="006E29B1"/>
    <w:rsid w:val="006E2F16"/>
    <w:rsid w:val="006E3AD4"/>
    <w:rsid w:val="006E4087"/>
    <w:rsid w:val="006E4731"/>
    <w:rsid w:val="006E49D9"/>
    <w:rsid w:val="006E4A3F"/>
    <w:rsid w:val="006E4B4A"/>
    <w:rsid w:val="006E545F"/>
    <w:rsid w:val="006E54E7"/>
    <w:rsid w:val="006E5B2C"/>
    <w:rsid w:val="006E5C06"/>
    <w:rsid w:val="006E613E"/>
    <w:rsid w:val="006E6466"/>
    <w:rsid w:val="006E7061"/>
    <w:rsid w:val="006E7605"/>
    <w:rsid w:val="006E760C"/>
    <w:rsid w:val="006E78CA"/>
    <w:rsid w:val="006E78D2"/>
    <w:rsid w:val="006E7A93"/>
    <w:rsid w:val="006E7CA0"/>
    <w:rsid w:val="006F01BE"/>
    <w:rsid w:val="006F01E2"/>
    <w:rsid w:val="006F09A4"/>
    <w:rsid w:val="006F0B39"/>
    <w:rsid w:val="006F0C61"/>
    <w:rsid w:val="006F0ECD"/>
    <w:rsid w:val="006F0F02"/>
    <w:rsid w:val="006F113E"/>
    <w:rsid w:val="006F1178"/>
    <w:rsid w:val="006F144D"/>
    <w:rsid w:val="006F1472"/>
    <w:rsid w:val="006F15A9"/>
    <w:rsid w:val="006F1BCC"/>
    <w:rsid w:val="006F2C05"/>
    <w:rsid w:val="006F2DCB"/>
    <w:rsid w:val="006F2E00"/>
    <w:rsid w:val="006F38B8"/>
    <w:rsid w:val="006F3E9C"/>
    <w:rsid w:val="006F459E"/>
    <w:rsid w:val="006F474F"/>
    <w:rsid w:val="006F487C"/>
    <w:rsid w:val="006F4ACF"/>
    <w:rsid w:val="006F4B23"/>
    <w:rsid w:val="006F4BFB"/>
    <w:rsid w:val="006F59B5"/>
    <w:rsid w:val="006F614C"/>
    <w:rsid w:val="006F63B0"/>
    <w:rsid w:val="006F700B"/>
    <w:rsid w:val="006F7872"/>
    <w:rsid w:val="006F7965"/>
    <w:rsid w:val="007004A2"/>
    <w:rsid w:val="007006B9"/>
    <w:rsid w:val="00700B36"/>
    <w:rsid w:val="00701156"/>
    <w:rsid w:val="007012AE"/>
    <w:rsid w:val="007013F0"/>
    <w:rsid w:val="0070154C"/>
    <w:rsid w:val="007019ED"/>
    <w:rsid w:val="00701F89"/>
    <w:rsid w:val="007028D6"/>
    <w:rsid w:val="00703223"/>
    <w:rsid w:val="0070379B"/>
    <w:rsid w:val="00703A29"/>
    <w:rsid w:val="00703E29"/>
    <w:rsid w:val="00703FA3"/>
    <w:rsid w:val="0070414C"/>
    <w:rsid w:val="007046F4"/>
    <w:rsid w:val="007056FB"/>
    <w:rsid w:val="007059C3"/>
    <w:rsid w:val="00705FB3"/>
    <w:rsid w:val="007060F6"/>
    <w:rsid w:val="00706863"/>
    <w:rsid w:val="0071008C"/>
    <w:rsid w:val="007107D8"/>
    <w:rsid w:val="00710C95"/>
    <w:rsid w:val="00710E74"/>
    <w:rsid w:val="00710FC5"/>
    <w:rsid w:val="007112E4"/>
    <w:rsid w:val="007113F6"/>
    <w:rsid w:val="00711BDE"/>
    <w:rsid w:val="00711CC5"/>
    <w:rsid w:val="00712426"/>
    <w:rsid w:val="007129EE"/>
    <w:rsid w:val="00712C85"/>
    <w:rsid w:val="00713A57"/>
    <w:rsid w:val="00713AC9"/>
    <w:rsid w:val="00713C1D"/>
    <w:rsid w:val="00713D87"/>
    <w:rsid w:val="00713EF0"/>
    <w:rsid w:val="00714344"/>
    <w:rsid w:val="00714465"/>
    <w:rsid w:val="007147D9"/>
    <w:rsid w:val="00714FE6"/>
    <w:rsid w:val="00715920"/>
    <w:rsid w:val="00715BAF"/>
    <w:rsid w:val="00715F50"/>
    <w:rsid w:val="007164BF"/>
    <w:rsid w:val="0071719B"/>
    <w:rsid w:val="00717655"/>
    <w:rsid w:val="00717940"/>
    <w:rsid w:val="00717D7A"/>
    <w:rsid w:val="0072031D"/>
    <w:rsid w:val="007204FB"/>
    <w:rsid w:val="00720BE4"/>
    <w:rsid w:val="00720D39"/>
    <w:rsid w:val="007210C9"/>
    <w:rsid w:val="00721710"/>
    <w:rsid w:val="0072190F"/>
    <w:rsid w:val="00721CEC"/>
    <w:rsid w:val="0072206C"/>
    <w:rsid w:val="0072236B"/>
    <w:rsid w:val="007223F2"/>
    <w:rsid w:val="00722430"/>
    <w:rsid w:val="00722692"/>
    <w:rsid w:val="00722F59"/>
    <w:rsid w:val="00723965"/>
    <w:rsid w:val="00723E5F"/>
    <w:rsid w:val="00724432"/>
    <w:rsid w:val="00725617"/>
    <w:rsid w:val="007272C2"/>
    <w:rsid w:val="0072733F"/>
    <w:rsid w:val="007276E0"/>
    <w:rsid w:val="00730571"/>
    <w:rsid w:val="00730A2E"/>
    <w:rsid w:val="00730AFF"/>
    <w:rsid w:val="00731038"/>
    <w:rsid w:val="00732017"/>
    <w:rsid w:val="007329F9"/>
    <w:rsid w:val="00732C10"/>
    <w:rsid w:val="007333AA"/>
    <w:rsid w:val="007338B0"/>
    <w:rsid w:val="00733C08"/>
    <w:rsid w:val="00734A83"/>
    <w:rsid w:val="00734F24"/>
    <w:rsid w:val="00734FBD"/>
    <w:rsid w:val="0073500E"/>
    <w:rsid w:val="00735487"/>
    <w:rsid w:val="007354A7"/>
    <w:rsid w:val="00735B8A"/>
    <w:rsid w:val="007366E8"/>
    <w:rsid w:val="00736757"/>
    <w:rsid w:val="00736825"/>
    <w:rsid w:val="00736B68"/>
    <w:rsid w:val="0073731A"/>
    <w:rsid w:val="0073746C"/>
    <w:rsid w:val="00737E9F"/>
    <w:rsid w:val="00737EC3"/>
    <w:rsid w:val="0074027A"/>
    <w:rsid w:val="00740832"/>
    <w:rsid w:val="0074096C"/>
    <w:rsid w:val="0074191D"/>
    <w:rsid w:val="00741E2A"/>
    <w:rsid w:val="0074297E"/>
    <w:rsid w:val="00742EF1"/>
    <w:rsid w:val="0074338C"/>
    <w:rsid w:val="007437D4"/>
    <w:rsid w:val="00743AFB"/>
    <w:rsid w:val="00743EDE"/>
    <w:rsid w:val="007445E8"/>
    <w:rsid w:val="007446D2"/>
    <w:rsid w:val="00744EB2"/>
    <w:rsid w:val="0074519E"/>
    <w:rsid w:val="0074523F"/>
    <w:rsid w:val="0074534C"/>
    <w:rsid w:val="0074621D"/>
    <w:rsid w:val="00746233"/>
    <w:rsid w:val="007466B8"/>
    <w:rsid w:val="007469E4"/>
    <w:rsid w:val="0074760A"/>
    <w:rsid w:val="00747D3E"/>
    <w:rsid w:val="00747EE3"/>
    <w:rsid w:val="00750827"/>
    <w:rsid w:val="007511F3"/>
    <w:rsid w:val="0075171C"/>
    <w:rsid w:val="007519A4"/>
    <w:rsid w:val="00751C23"/>
    <w:rsid w:val="007524FA"/>
    <w:rsid w:val="00752566"/>
    <w:rsid w:val="007526F0"/>
    <w:rsid w:val="00752797"/>
    <w:rsid w:val="00752ECC"/>
    <w:rsid w:val="00753063"/>
    <w:rsid w:val="007539EF"/>
    <w:rsid w:val="007541FE"/>
    <w:rsid w:val="0075466F"/>
    <w:rsid w:val="00754C1D"/>
    <w:rsid w:val="00754C4F"/>
    <w:rsid w:val="00755114"/>
    <w:rsid w:val="0075590B"/>
    <w:rsid w:val="00755A39"/>
    <w:rsid w:val="00755D9B"/>
    <w:rsid w:val="00755E73"/>
    <w:rsid w:val="00756274"/>
    <w:rsid w:val="00756B30"/>
    <w:rsid w:val="00756D31"/>
    <w:rsid w:val="00756E81"/>
    <w:rsid w:val="00756F55"/>
    <w:rsid w:val="0075743B"/>
    <w:rsid w:val="007577B9"/>
    <w:rsid w:val="00757CFC"/>
    <w:rsid w:val="0076087C"/>
    <w:rsid w:val="007609F2"/>
    <w:rsid w:val="00760FCD"/>
    <w:rsid w:val="00761819"/>
    <w:rsid w:val="007621E0"/>
    <w:rsid w:val="0076277D"/>
    <w:rsid w:val="00762CC3"/>
    <w:rsid w:val="00764258"/>
    <w:rsid w:val="00764497"/>
    <w:rsid w:val="0076487A"/>
    <w:rsid w:val="00764A6C"/>
    <w:rsid w:val="00764B1A"/>
    <w:rsid w:val="00765088"/>
    <w:rsid w:val="0076579E"/>
    <w:rsid w:val="00766267"/>
    <w:rsid w:val="00766517"/>
    <w:rsid w:val="00767308"/>
    <w:rsid w:val="007677DD"/>
    <w:rsid w:val="0076798A"/>
    <w:rsid w:val="00767F56"/>
    <w:rsid w:val="007702C7"/>
    <w:rsid w:val="00770C65"/>
    <w:rsid w:val="00770C7A"/>
    <w:rsid w:val="00771655"/>
    <w:rsid w:val="00771B65"/>
    <w:rsid w:val="00773919"/>
    <w:rsid w:val="00774106"/>
    <w:rsid w:val="0077498C"/>
    <w:rsid w:val="00774E09"/>
    <w:rsid w:val="0077543A"/>
    <w:rsid w:val="0077560A"/>
    <w:rsid w:val="00775928"/>
    <w:rsid w:val="00776071"/>
    <w:rsid w:val="00776567"/>
    <w:rsid w:val="00776939"/>
    <w:rsid w:val="00777174"/>
    <w:rsid w:val="007777CC"/>
    <w:rsid w:val="00777CA4"/>
    <w:rsid w:val="00780221"/>
    <w:rsid w:val="0078028C"/>
    <w:rsid w:val="0078046A"/>
    <w:rsid w:val="007805E8"/>
    <w:rsid w:val="007809CC"/>
    <w:rsid w:val="007809D6"/>
    <w:rsid w:val="007812AC"/>
    <w:rsid w:val="007817FB"/>
    <w:rsid w:val="00781CA0"/>
    <w:rsid w:val="00782032"/>
    <w:rsid w:val="007824BB"/>
    <w:rsid w:val="007829BE"/>
    <w:rsid w:val="00782A56"/>
    <w:rsid w:val="00782C0E"/>
    <w:rsid w:val="00783210"/>
    <w:rsid w:val="0078376B"/>
    <w:rsid w:val="00784B61"/>
    <w:rsid w:val="00784CBB"/>
    <w:rsid w:val="00784E09"/>
    <w:rsid w:val="00785B1F"/>
    <w:rsid w:val="007865CD"/>
    <w:rsid w:val="00786E79"/>
    <w:rsid w:val="00787790"/>
    <w:rsid w:val="00787D66"/>
    <w:rsid w:val="007902DB"/>
    <w:rsid w:val="00790322"/>
    <w:rsid w:val="00790386"/>
    <w:rsid w:val="0079052C"/>
    <w:rsid w:val="00790A13"/>
    <w:rsid w:val="00790A74"/>
    <w:rsid w:val="00791562"/>
    <w:rsid w:val="00791834"/>
    <w:rsid w:val="007918A8"/>
    <w:rsid w:val="007928F7"/>
    <w:rsid w:val="00792AD5"/>
    <w:rsid w:val="00792D0F"/>
    <w:rsid w:val="007932F0"/>
    <w:rsid w:val="00794367"/>
    <w:rsid w:val="00794706"/>
    <w:rsid w:val="007949ED"/>
    <w:rsid w:val="00795728"/>
    <w:rsid w:val="00795EF4"/>
    <w:rsid w:val="00796272"/>
    <w:rsid w:val="0079645A"/>
    <w:rsid w:val="00796AED"/>
    <w:rsid w:val="00796E26"/>
    <w:rsid w:val="00797675"/>
    <w:rsid w:val="00797B57"/>
    <w:rsid w:val="00797EB9"/>
    <w:rsid w:val="007A028A"/>
    <w:rsid w:val="007A0E1B"/>
    <w:rsid w:val="007A107B"/>
    <w:rsid w:val="007A146E"/>
    <w:rsid w:val="007A1A04"/>
    <w:rsid w:val="007A1D04"/>
    <w:rsid w:val="007A1E4B"/>
    <w:rsid w:val="007A2467"/>
    <w:rsid w:val="007A25CF"/>
    <w:rsid w:val="007A2741"/>
    <w:rsid w:val="007A39B3"/>
    <w:rsid w:val="007A43F7"/>
    <w:rsid w:val="007A4E71"/>
    <w:rsid w:val="007A4EF6"/>
    <w:rsid w:val="007A4FB5"/>
    <w:rsid w:val="007A527A"/>
    <w:rsid w:val="007A59A2"/>
    <w:rsid w:val="007A5F45"/>
    <w:rsid w:val="007A6075"/>
    <w:rsid w:val="007A6229"/>
    <w:rsid w:val="007A66FE"/>
    <w:rsid w:val="007A675A"/>
    <w:rsid w:val="007A6809"/>
    <w:rsid w:val="007A6A09"/>
    <w:rsid w:val="007A6ADB"/>
    <w:rsid w:val="007A75D8"/>
    <w:rsid w:val="007A76BF"/>
    <w:rsid w:val="007A7DDC"/>
    <w:rsid w:val="007B02B6"/>
    <w:rsid w:val="007B03EF"/>
    <w:rsid w:val="007B08BF"/>
    <w:rsid w:val="007B0C79"/>
    <w:rsid w:val="007B0E2A"/>
    <w:rsid w:val="007B13D0"/>
    <w:rsid w:val="007B1591"/>
    <w:rsid w:val="007B16ED"/>
    <w:rsid w:val="007B16FB"/>
    <w:rsid w:val="007B1AD3"/>
    <w:rsid w:val="007B2226"/>
    <w:rsid w:val="007B23F3"/>
    <w:rsid w:val="007B2618"/>
    <w:rsid w:val="007B28DA"/>
    <w:rsid w:val="007B29D5"/>
    <w:rsid w:val="007B2E71"/>
    <w:rsid w:val="007B38AF"/>
    <w:rsid w:val="007B3B1F"/>
    <w:rsid w:val="007B42E9"/>
    <w:rsid w:val="007B56E3"/>
    <w:rsid w:val="007B5BF2"/>
    <w:rsid w:val="007B5E69"/>
    <w:rsid w:val="007B6903"/>
    <w:rsid w:val="007B6987"/>
    <w:rsid w:val="007B6BC7"/>
    <w:rsid w:val="007B6C60"/>
    <w:rsid w:val="007B6E05"/>
    <w:rsid w:val="007B711F"/>
    <w:rsid w:val="007B7B6A"/>
    <w:rsid w:val="007B7ECE"/>
    <w:rsid w:val="007C024F"/>
    <w:rsid w:val="007C161B"/>
    <w:rsid w:val="007C1A6B"/>
    <w:rsid w:val="007C26BC"/>
    <w:rsid w:val="007C26D2"/>
    <w:rsid w:val="007C26FB"/>
    <w:rsid w:val="007C29DA"/>
    <w:rsid w:val="007C2BB6"/>
    <w:rsid w:val="007C3691"/>
    <w:rsid w:val="007C3810"/>
    <w:rsid w:val="007C3FEE"/>
    <w:rsid w:val="007C40A0"/>
    <w:rsid w:val="007C46C7"/>
    <w:rsid w:val="007C4B4D"/>
    <w:rsid w:val="007C4EC5"/>
    <w:rsid w:val="007C581D"/>
    <w:rsid w:val="007C5998"/>
    <w:rsid w:val="007C6745"/>
    <w:rsid w:val="007C6B99"/>
    <w:rsid w:val="007C758D"/>
    <w:rsid w:val="007C7621"/>
    <w:rsid w:val="007C7856"/>
    <w:rsid w:val="007C793A"/>
    <w:rsid w:val="007C7A3D"/>
    <w:rsid w:val="007C7BAD"/>
    <w:rsid w:val="007C7CD1"/>
    <w:rsid w:val="007D0317"/>
    <w:rsid w:val="007D03F4"/>
    <w:rsid w:val="007D0455"/>
    <w:rsid w:val="007D0FAD"/>
    <w:rsid w:val="007D1777"/>
    <w:rsid w:val="007D1B2E"/>
    <w:rsid w:val="007D1BF0"/>
    <w:rsid w:val="007D1F57"/>
    <w:rsid w:val="007D329A"/>
    <w:rsid w:val="007D32C8"/>
    <w:rsid w:val="007D3746"/>
    <w:rsid w:val="007D3877"/>
    <w:rsid w:val="007D39E8"/>
    <w:rsid w:val="007D6190"/>
    <w:rsid w:val="007D6433"/>
    <w:rsid w:val="007D65BB"/>
    <w:rsid w:val="007D6769"/>
    <w:rsid w:val="007D7393"/>
    <w:rsid w:val="007D7395"/>
    <w:rsid w:val="007D74C3"/>
    <w:rsid w:val="007D7864"/>
    <w:rsid w:val="007D798F"/>
    <w:rsid w:val="007D7AA2"/>
    <w:rsid w:val="007D7D91"/>
    <w:rsid w:val="007E0144"/>
    <w:rsid w:val="007E08FC"/>
    <w:rsid w:val="007E0CB8"/>
    <w:rsid w:val="007E114B"/>
    <w:rsid w:val="007E14C9"/>
    <w:rsid w:val="007E1696"/>
    <w:rsid w:val="007E1A5A"/>
    <w:rsid w:val="007E2137"/>
    <w:rsid w:val="007E2B1F"/>
    <w:rsid w:val="007E323F"/>
    <w:rsid w:val="007E3838"/>
    <w:rsid w:val="007E39E9"/>
    <w:rsid w:val="007E3A94"/>
    <w:rsid w:val="007E3BD1"/>
    <w:rsid w:val="007E5325"/>
    <w:rsid w:val="007E5D48"/>
    <w:rsid w:val="007E5F5B"/>
    <w:rsid w:val="007E5FFF"/>
    <w:rsid w:val="007E692B"/>
    <w:rsid w:val="007E6945"/>
    <w:rsid w:val="007E6DC8"/>
    <w:rsid w:val="007E7166"/>
    <w:rsid w:val="007E74B5"/>
    <w:rsid w:val="007E7680"/>
    <w:rsid w:val="007E7AFD"/>
    <w:rsid w:val="007E7C28"/>
    <w:rsid w:val="007F00E9"/>
    <w:rsid w:val="007F0606"/>
    <w:rsid w:val="007F0C9D"/>
    <w:rsid w:val="007F0DA8"/>
    <w:rsid w:val="007F117C"/>
    <w:rsid w:val="007F1559"/>
    <w:rsid w:val="007F1C6B"/>
    <w:rsid w:val="007F20D0"/>
    <w:rsid w:val="007F281F"/>
    <w:rsid w:val="007F2A7A"/>
    <w:rsid w:val="007F2B04"/>
    <w:rsid w:val="007F2CBD"/>
    <w:rsid w:val="007F334D"/>
    <w:rsid w:val="007F37D3"/>
    <w:rsid w:val="007F388D"/>
    <w:rsid w:val="007F5F47"/>
    <w:rsid w:val="007F6000"/>
    <w:rsid w:val="007F65CA"/>
    <w:rsid w:val="007F6660"/>
    <w:rsid w:val="007F689E"/>
    <w:rsid w:val="007F6AFB"/>
    <w:rsid w:val="007F7003"/>
    <w:rsid w:val="007F78C4"/>
    <w:rsid w:val="00800BAF"/>
    <w:rsid w:val="00800BE5"/>
    <w:rsid w:val="00800DD3"/>
    <w:rsid w:val="0080149D"/>
    <w:rsid w:val="00801B1F"/>
    <w:rsid w:val="00801FE6"/>
    <w:rsid w:val="0080203F"/>
    <w:rsid w:val="00802457"/>
    <w:rsid w:val="00802846"/>
    <w:rsid w:val="00802DCD"/>
    <w:rsid w:val="008036F5"/>
    <w:rsid w:val="008039CA"/>
    <w:rsid w:val="00804117"/>
    <w:rsid w:val="008063B3"/>
    <w:rsid w:val="0080649D"/>
    <w:rsid w:val="00806672"/>
    <w:rsid w:val="00807684"/>
    <w:rsid w:val="00807EDE"/>
    <w:rsid w:val="00810C47"/>
    <w:rsid w:val="00810C65"/>
    <w:rsid w:val="0081169C"/>
    <w:rsid w:val="008118C6"/>
    <w:rsid w:val="00811A85"/>
    <w:rsid w:val="00812427"/>
    <w:rsid w:val="00812C41"/>
    <w:rsid w:val="00813085"/>
    <w:rsid w:val="008134EF"/>
    <w:rsid w:val="00813C94"/>
    <w:rsid w:val="00813D58"/>
    <w:rsid w:val="008145AC"/>
    <w:rsid w:val="00814670"/>
    <w:rsid w:val="00814A3C"/>
    <w:rsid w:val="00814E9D"/>
    <w:rsid w:val="008151F7"/>
    <w:rsid w:val="00815FE7"/>
    <w:rsid w:val="008165CB"/>
    <w:rsid w:val="008167E2"/>
    <w:rsid w:val="00816B7B"/>
    <w:rsid w:val="00816DFE"/>
    <w:rsid w:val="00816F4B"/>
    <w:rsid w:val="008172BB"/>
    <w:rsid w:val="00817F95"/>
    <w:rsid w:val="008201E4"/>
    <w:rsid w:val="008206B2"/>
    <w:rsid w:val="00821448"/>
    <w:rsid w:val="0082174C"/>
    <w:rsid w:val="0082197C"/>
    <w:rsid w:val="00821CE5"/>
    <w:rsid w:val="00821DCB"/>
    <w:rsid w:val="00822452"/>
    <w:rsid w:val="0082272C"/>
    <w:rsid w:val="00822774"/>
    <w:rsid w:val="00822DD6"/>
    <w:rsid w:val="008233B0"/>
    <w:rsid w:val="008233D0"/>
    <w:rsid w:val="00823874"/>
    <w:rsid w:val="008239D0"/>
    <w:rsid w:val="008240FB"/>
    <w:rsid w:val="0082440C"/>
    <w:rsid w:val="00824F0F"/>
    <w:rsid w:val="00824FEC"/>
    <w:rsid w:val="0082527F"/>
    <w:rsid w:val="008258E7"/>
    <w:rsid w:val="00825AB9"/>
    <w:rsid w:val="008266C8"/>
    <w:rsid w:val="0082677B"/>
    <w:rsid w:val="00827164"/>
    <w:rsid w:val="00827377"/>
    <w:rsid w:val="0082747F"/>
    <w:rsid w:val="00827FC4"/>
    <w:rsid w:val="008300EB"/>
    <w:rsid w:val="00830BD9"/>
    <w:rsid w:val="00831433"/>
    <w:rsid w:val="00831530"/>
    <w:rsid w:val="008315E6"/>
    <w:rsid w:val="0083176E"/>
    <w:rsid w:val="00831942"/>
    <w:rsid w:val="00831A0C"/>
    <w:rsid w:val="00831C5C"/>
    <w:rsid w:val="00831F75"/>
    <w:rsid w:val="00832DC3"/>
    <w:rsid w:val="00833190"/>
    <w:rsid w:val="00833522"/>
    <w:rsid w:val="008335C3"/>
    <w:rsid w:val="00834078"/>
    <w:rsid w:val="00834131"/>
    <w:rsid w:val="0083469F"/>
    <w:rsid w:val="008346A0"/>
    <w:rsid w:val="00834BF8"/>
    <w:rsid w:val="00834C4B"/>
    <w:rsid w:val="00834D6B"/>
    <w:rsid w:val="00834E13"/>
    <w:rsid w:val="008365AB"/>
    <w:rsid w:val="00836AFA"/>
    <w:rsid w:val="00836B6C"/>
    <w:rsid w:val="008377A6"/>
    <w:rsid w:val="0083792E"/>
    <w:rsid w:val="008409DC"/>
    <w:rsid w:val="00840F71"/>
    <w:rsid w:val="0084104C"/>
    <w:rsid w:val="008426CA"/>
    <w:rsid w:val="0084271E"/>
    <w:rsid w:val="008428A1"/>
    <w:rsid w:val="008434CE"/>
    <w:rsid w:val="008434DC"/>
    <w:rsid w:val="00843685"/>
    <w:rsid w:val="00843B31"/>
    <w:rsid w:val="00843BF9"/>
    <w:rsid w:val="008446AB"/>
    <w:rsid w:val="008446F7"/>
    <w:rsid w:val="00844C7C"/>
    <w:rsid w:val="00845D0D"/>
    <w:rsid w:val="0084664A"/>
    <w:rsid w:val="008469F3"/>
    <w:rsid w:val="00846BF2"/>
    <w:rsid w:val="0084781A"/>
    <w:rsid w:val="0084798A"/>
    <w:rsid w:val="00847C4D"/>
    <w:rsid w:val="00850990"/>
    <w:rsid w:val="008511AE"/>
    <w:rsid w:val="008512B7"/>
    <w:rsid w:val="00852350"/>
    <w:rsid w:val="00852650"/>
    <w:rsid w:val="00852A62"/>
    <w:rsid w:val="00852B0F"/>
    <w:rsid w:val="00852C3A"/>
    <w:rsid w:val="008531EB"/>
    <w:rsid w:val="00853A58"/>
    <w:rsid w:val="00853CE9"/>
    <w:rsid w:val="0085402E"/>
    <w:rsid w:val="0085456F"/>
    <w:rsid w:val="00854A02"/>
    <w:rsid w:val="00854DA5"/>
    <w:rsid w:val="00854FF9"/>
    <w:rsid w:val="0085550F"/>
    <w:rsid w:val="00855880"/>
    <w:rsid w:val="00856160"/>
    <w:rsid w:val="008563AF"/>
    <w:rsid w:val="00856A2B"/>
    <w:rsid w:val="00857349"/>
    <w:rsid w:val="00857D2C"/>
    <w:rsid w:val="00857DD0"/>
    <w:rsid w:val="008604D4"/>
    <w:rsid w:val="00860519"/>
    <w:rsid w:val="00860FF6"/>
    <w:rsid w:val="00861206"/>
    <w:rsid w:val="00862143"/>
    <w:rsid w:val="008622E2"/>
    <w:rsid w:val="008624BD"/>
    <w:rsid w:val="00862594"/>
    <w:rsid w:val="00862E81"/>
    <w:rsid w:val="008634A7"/>
    <w:rsid w:val="008638B3"/>
    <w:rsid w:val="008638B7"/>
    <w:rsid w:val="00863A7E"/>
    <w:rsid w:val="0086404C"/>
    <w:rsid w:val="008640D4"/>
    <w:rsid w:val="00864265"/>
    <w:rsid w:val="008645A3"/>
    <w:rsid w:val="0086461D"/>
    <w:rsid w:val="008648C3"/>
    <w:rsid w:val="008649AF"/>
    <w:rsid w:val="00865088"/>
    <w:rsid w:val="00865389"/>
    <w:rsid w:val="00865D67"/>
    <w:rsid w:val="00866564"/>
    <w:rsid w:val="0086676B"/>
    <w:rsid w:val="008667C2"/>
    <w:rsid w:val="00866C8C"/>
    <w:rsid w:val="008672B1"/>
    <w:rsid w:val="00870C28"/>
    <w:rsid w:val="00870E82"/>
    <w:rsid w:val="00870EC0"/>
    <w:rsid w:val="00871097"/>
    <w:rsid w:val="0087151E"/>
    <w:rsid w:val="00871565"/>
    <w:rsid w:val="008716B9"/>
    <w:rsid w:val="008716BB"/>
    <w:rsid w:val="00871D73"/>
    <w:rsid w:val="008720C3"/>
    <w:rsid w:val="00872256"/>
    <w:rsid w:val="00872646"/>
    <w:rsid w:val="00872942"/>
    <w:rsid w:val="008729E3"/>
    <w:rsid w:val="00872AA1"/>
    <w:rsid w:val="008731FE"/>
    <w:rsid w:val="008736EE"/>
    <w:rsid w:val="00874034"/>
    <w:rsid w:val="008740CB"/>
    <w:rsid w:val="00874517"/>
    <w:rsid w:val="00874BC1"/>
    <w:rsid w:val="00874D51"/>
    <w:rsid w:val="00874D5F"/>
    <w:rsid w:val="00875982"/>
    <w:rsid w:val="008760E0"/>
    <w:rsid w:val="00876370"/>
    <w:rsid w:val="0087644E"/>
    <w:rsid w:val="00876532"/>
    <w:rsid w:val="00876AB2"/>
    <w:rsid w:val="00877496"/>
    <w:rsid w:val="00877ABD"/>
    <w:rsid w:val="00877B02"/>
    <w:rsid w:val="00877B69"/>
    <w:rsid w:val="00880369"/>
    <w:rsid w:val="0088049D"/>
    <w:rsid w:val="0088059F"/>
    <w:rsid w:val="0088145E"/>
    <w:rsid w:val="008817DD"/>
    <w:rsid w:val="00881E23"/>
    <w:rsid w:val="00882ABF"/>
    <w:rsid w:val="008834C1"/>
    <w:rsid w:val="00883A69"/>
    <w:rsid w:val="00883F9B"/>
    <w:rsid w:val="00884361"/>
    <w:rsid w:val="00884B9B"/>
    <w:rsid w:val="00884FAA"/>
    <w:rsid w:val="008857DC"/>
    <w:rsid w:val="00885F03"/>
    <w:rsid w:val="008860D8"/>
    <w:rsid w:val="00886450"/>
    <w:rsid w:val="00886724"/>
    <w:rsid w:val="00886B13"/>
    <w:rsid w:val="00886BBE"/>
    <w:rsid w:val="00886D36"/>
    <w:rsid w:val="00887972"/>
    <w:rsid w:val="00887DAE"/>
    <w:rsid w:val="00887F16"/>
    <w:rsid w:val="00890354"/>
    <w:rsid w:val="008905C0"/>
    <w:rsid w:val="00890A71"/>
    <w:rsid w:val="00891199"/>
    <w:rsid w:val="0089127C"/>
    <w:rsid w:val="00891560"/>
    <w:rsid w:val="00891B00"/>
    <w:rsid w:val="00891E18"/>
    <w:rsid w:val="00891E94"/>
    <w:rsid w:val="00891FA9"/>
    <w:rsid w:val="008925AB"/>
    <w:rsid w:val="008925B6"/>
    <w:rsid w:val="008930B9"/>
    <w:rsid w:val="0089367F"/>
    <w:rsid w:val="00893C32"/>
    <w:rsid w:val="0089402C"/>
    <w:rsid w:val="00894964"/>
    <w:rsid w:val="0089564C"/>
    <w:rsid w:val="00895E54"/>
    <w:rsid w:val="008965DA"/>
    <w:rsid w:val="00897011"/>
    <w:rsid w:val="0089718B"/>
    <w:rsid w:val="00897807"/>
    <w:rsid w:val="008A084F"/>
    <w:rsid w:val="008A0993"/>
    <w:rsid w:val="008A0CEA"/>
    <w:rsid w:val="008A0DAA"/>
    <w:rsid w:val="008A103B"/>
    <w:rsid w:val="008A10B0"/>
    <w:rsid w:val="008A1853"/>
    <w:rsid w:val="008A197C"/>
    <w:rsid w:val="008A1D02"/>
    <w:rsid w:val="008A1F67"/>
    <w:rsid w:val="008A22C9"/>
    <w:rsid w:val="008A41DD"/>
    <w:rsid w:val="008A44DA"/>
    <w:rsid w:val="008A45AE"/>
    <w:rsid w:val="008A4AFA"/>
    <w:rsid w:val="008A4BDC"/>
    <w:rsid w:val="008A5539"/>
    <w:rsid w:val="008A5597"/>
    <w:rsid w:val="008A750B"/>
    <w:rsid w:val="008A7876"/>
    <w:rsid w:val="008A7A9E"/>
    <w:rsid w:val="008B1628"/>
    <w:rsid w:val="008B18E6"/>
    <w:rsid w:val="008B288B"/>
    <w:rsid w:val="008B300F"/>
    <w:rsid w:val="008B33E8"/>
    <w:rsid w:val="008B3A05"/>
    <w:rsid w:val="008B3D47"/>
    <w:rsid w:val="008B4299"/>
    <w:rsid w:val="008B4CF7"/>
    <w:rsid w:val="008B5177"/>
    <w:rsid w:val="008B5B5C"/>
    <w:rsid w:val="008B60B4"/>
    <w:rsid w:val="008B70D5"/>
    <w:rsid w:val="008B78D5"/>
    <w:rsid w:val="008B7ACE"/>
    <w:rsid w:val="008B7AF7"/>
    <w:rsid w:val="008B7D91"/>
    <w:rsid w:val="008C0E27"/>
    <w:rsid w:val="008C12C9"/>
    <w:rsid w:val="008C1692"/>
    <w:rsid w:val="008C1932"/>
    <w:rsid w:val="008C1C33"/>
    <w:rsid w:val="008C1D03"/>
    <w:rsid w:val="008C20EB"/>
    <w:rsid w:val="008C2361"/>
    <w:rsid w:val="008C271D"/>
    <w:rsid w:val="008C298A"/>
    <w:rsid w:val="008C3F03"/>
    <w:rsid w:val="008C4145"/>
    <w:rsid w:val="008C4225"/>
    <w:rsid w:val="008C48F4"/>
    <w:rsid w:val="008C4BA1"/>
    <w:rsid w:val="008C5C48"/>
    <w:rsid w:val="008C5ECF"/>
    <w:rsid w:val="008C5F05"/>
    <w:rsid w:val="008C645B"/>
    <w:rsid w:val="008C64B2"/>
    <w:rsid w:val="008C6BF2"/>
    <w:rsid w:val="008C6D9C"/>
    <w:rsid w:val="008C6F8B"/>
    <w:rsid w:val="008C706E"/>
    <w:rsid w:val="008C7F02"/>
    <w:rsid w:val="008D0221"/>
    <w:rsid w:val="008D06C1"/>
    <w:rsid w:val="008D0A56"/>
    <w:rsid w:val="008D0AD3"/>
    <w:rsid w:val="008D0E05"/>
    <w:rsid w:val="008D0E64"/>
    <w:rsid w:val="008D16D6"/>
    <w:rsid w:val="008D1918"/>
    <w:rsid w:val="008D27A6"/>
    <w:rsid w:val="008D2B68"/>
    <w:rsid w:val="008D3139"/>
    <w:rsid w:val="008D3284"/>
    <w:rsid w:val="008D3451"/>
    <w:rsid w:val="008D3BBB"/>
    <w:rsid w:val="008D423B"/>
    <w:rsid w:val="008D450D"/>
    <w:rsid w:val="008D55FA"/>
    <w:rsid w:val="008D5780"/>
    <w:rsid w:val="008D5842"/>
    <w:rsid w:val="008D5866"/>
    <w:rsid w:val="008D5D6B"/>
    <w:rsid w:val="008D5D82"/>
    <w:rsid w:val="008D5EE4"/>
    <w:rsid w:val="008D60B6"/>
    <w:rsid w:val="008D6670"/>
    <w:rsid w:val="008D6BFB"/>
    <w:rsid w:val="008D6DE1"/>
    <w:rsid w:val="008D7030"/>
    <w:rsid w:val="008D72F7"/>
    <w:rsid w:val="008D7474"/>
    <w:rsid w:val="008D7521"/>
    <w:rsid w:val="008D7D61"/>
    <w:rsid w:val="008D7D7C"/>
    <w:rsid w:val="008D7F45"/>
    <w:rsid w:val="008E049C"/>
    <w:rsid w:val="008E089F"/>
    <w:rsid w:val="008E0A9B"/>
    <w:rsid w:val="008E0C49"/>
    <w:rsid w:val="008E0E60"/>
    <w:rsid w:val="008E14FF"/>
    <w:rsid w:val="008E2607"/>
    <w:rsid w:val="008E2D2A"/>
    <w:rsid w:val="008E2DEA"/>
    <w:rsid w:val="008E33A9"/>
    <w:rsid w:val="008E3BAB"/>
    <w:rsid w:val="008E43F2"/>
    <w:rsid w:val="008E445D"/>
    <w:rsid w:val="008E4B2F"/>
    <w:rsid w:val="008E50F3"/>
    <w:rsid w:val="008E5DE0"/>
    <w:rsid w:val="008E609E"/>
    <w:rsid w:val="008E70EF"/>
    <w:rsid w:val="008E7669"/>
    <w:rsid w:val="008E7693"/>
    <w:rsid w:val="008E77F4"/>
    <w:rsid w:val="008E797B"/>
    <w:rsid w:val="008E7A47"/>
    <w:rsid w:val="008E7C43"/>
    <w:rsid w:val="008F0744"/>
    <w:rsid w:val="008F0F0A"/>
    <w:rsid w:val="008F12A0"/>
    <w:rsid w:val="008F1752"/>
    <w:rsid w:val="008F1AF4"/>
    <w:rsid w:val="008F1B3E"/>
    <w:rsid w:val="008F24D8"/>
    <w:rsid w:val="008F2BDC"/>
    <w:rsid w:val="008F384A"/>
    <w:rsid w:val="008F39CC"/>
    <w:rsid w:val="008F3E61"/>
    <w:rsid w:val="008F3ED6"/>
    <w:rsid w:val="008F41E6"/>
    <w:rsid w:val="008F5634"/>
    <w:rsid w:val="008F5AFF"/>
    <w:rsid w:val="008F5EA2"/>
    <w:rsid w:val="008F61FC"/>
    <w:rsid w:val="008F62B1"/>
    <w:rsid w:val="008F64B9"/>
    <w:rsid w:val="008F70D2"/>
    <w:rsid w:val="008F79CF"/>
    <w:rsid w:val="008F7A42"/>
    <w:rsid w:val="009005C4"/>
    <w:rsid w:val="00900600"/>
    <w:rsid w:val="00901866"/>
    <w:rsid w:val="00901A31"/>
    <w:rsid w:val="00901A4D"/>
    <w:rsid w:val="00901BEE"/>
    <w:rsid w:val="00902B1A"/>
    <w:rsid w:val="00902D7B"/>
    <w:rsid w:val="00902FFB"/>
    <w:rsid w:val="0090372E"/>
    <w:rsid w:val="00903856"/>
    <w:rsid w:val="0090399F"/>
    <w:rsid w:val="00903B9C"/>
    <w:rsid w:val="00903BA5"/>
    <w:rsid w:val="00903BD3"/>
    <w:rsid w:val="00903C5C"/>
    <w:rsid w:val="00903D19"/>
    <w:rsid w:val="00904532"/>
    <w:rsid w:val="00904688"/>
    <w:rsid w:val="009053F7"/>
    <w:rsid w:val="00905A67"/>
    <w:rsid w:val="00906003"/>
    <w:rsid w:val="00906119"/>
    <w:rsid w:val="00906229"/>
    <w:rsid w:val="00906A90"/>
    <w:rsid w:val="00906F83"/>
    <w:rsid w:val="00910679"/>
    <w:rsid w:val="009108C3"/>
    <w:rsid w:val="00910F54"/>
    <w:rsid w:val="00911167"/>
    <w:rsid w:val="0091128F"/>
    <w:rsid w:val="009116A0"/>
    <w:rsid w:val="00911B74"/>
    <w:rsid w:val="00911F14"/>
    <w:rsid w:val="009126D0"/>
    <w:rsid w:val="009129E3"/>
    <w:rsid w:val="00912F66"/>
    <w:rsid w:val="009131B3"/>
    <w:rsid w:val="009132F0"/>
    <w:rsid w:val="00913346"/>
    <w:rsid w:val="009133F3"/>
    <w:rsid w:val="009134E6"/>
    <w:rsid w:val="0091386E"/>
    <w:rsid w:val="00913C0F"/>
    <w:rsid w:val="00913F10"/>
    <w:rsid w:val="00914FBC"/>
    <w:rsid w:val="00915765"/>
    <w:rsid w:val="0091606F"/>
    <w:rsid w:val="009161DD"/>
    <w:rsid w:val="0091775D"/>
    <w:rsid w:val="00917C84"/>
    <w:rsid w:val="00917EB9"/>
    <w:rsid w:val="009201C1"/>
    <w:rsid w:val="00920336"/>
    <w:rsid w:val="0092091D"/>
    <w:rsid w:val="009209B5"/>
    <w:rsid w:val="00920BB6"/>
    <w:rsid w:val="009210A3"/>
    <w:rsid w:val="0092140B"/>
    <w:rsid w:val="00921ACE"/>
    <w:rsid w:val="00922289"/>
    <w:rsid w:val="00922361"/>
    <w:rsid w:val="0092271A"/>
    <w:rsid w:val="00922FCF"/>
    <w:rsid w:val="009231D9"/>
    <w:rsid w:val="009235EC"/>
    <w:rsid w:val="00923894"/>
    <w:rsid w:val="00923CE6"/>
    <w:rsid w:val="00924181"/>
    <w:rsid w:val="0092473D"/>
    <w:rsid w:val="00924E7B"/>
    <w:rsid w:val="0092567A"/>
    <w:rsid w:val="009256FB"/>
    <w:rsid w:val="00925B3C"/>
    <w:rsid w:val="009262AC"/>
    <w:rsid w:val="009266BF"/>
    <w:rsid w:val="00927669"/>
    <w:rsid w:val="00927889"/>
    <w:rsid w:val="00927CB7"/>
    <w:rsid w:val="009301C0"/>
    <w:rsid w:val="009302BB"/>
    <w:rsid w:val="00930603"/>
    <w:rsid w:val="00930654"/>
    <w:rsid w:val="0093199B"/>
    <w:rsid w:val="00931CE1"/>
    <w:rsid w:val="00932459"/>
    <w:rsid w:val="009326AB"/>
    <w:rsid w:val="00933077"/>
    <w:rsid w:val="009330D0"/>
    <w:rsid w:val="00933453"/>
    <w:rsid w:val="00933526"/>
    <w:rsid w:val="00933782"/>
    <w:rsid w:val="00934342"/>
    <w:rsid w:val="00934A66"/>
    <w:rsid w:val="0093516F"/>
    <w:rsid w:val="009351A1"/>
    <w:rsid w:val="0093540E"/>
    <w:rsid w:val="00935581"/>
    <w:rsid w:val="00935902"/>
    <w:rsid w:val="00935A4A"/>
    <w:rsid w:val="00935BF0"/>
    <w:rsid w:val="00935D76"/>
    <w:rsid w:val="00936A28"/>
    <w:rsid w:val="00937B49"/>
    <w:rsid w:val="00940CEC"/>
    <w:rsid w:val="00940F88"/>
    <w:rsid w:val="0094162A"/>
    <w:rsid w:val="0094177A"/>
    <w:rsid w:val="009429AD"/>
    <w:rsid w:val="00942EC6"/>
    <w:rsid w:val="009434A4"/>
    <w:rsid w:val="00943743"/>
    <w:rsid w:val="00943E0E"/>
    <w:rsid w:val="009447C4"/>
    <w:rsid w:val="009448B7"/>
    <w:rsid w:val="009450BF"/>
    <w:rsid w:val="009450DD"/>
    <w:rsid w:val="00945467"/>
    <w:rsid w:val="009455CF"/>
    <w:rsid w:val="0094610F"/>
    <w:rsid w:val="009461A5"/>
    <w:rsid w:val="00946570"/>
    <w:rsid w:val="0094670D"/>
    <w:rsid w:val="00946C82"/>
    <w:rsid w:val="00947333"/>
    <w:rsid w:val="00947A49"/>
    <w:rsid w:val="00947CE8"/>
    <w:rsid w:val="00947E9A"/>
    <w:rsid w:val="00950478"/>
    <w:rsid w:val="00950A14"/>
    <w:rsid w:val="00951297"/>
    <w:rsid w:val="0095156D"/>
    <w:rsid w:val="009518B3"/>
    <w:rsid w:val="00951FAD"/>
    <w:rsid w:val="009523AE"/>
    <w:rsid w:val="0095259B"/>
    <w:rsid w:val="00952B37"/>
    <w:rsid w:val="00953442"/>
    <w:rsid w:val="0095434F"/>
    <w:rsid w:val="00954421"/>
    <w:rsid w:val="009545D4"/>
    <w:rsid w:val="00955700"/>
    <w:rsid w:val="00955B36"/>
    <w:rsid w:val="00956323"/>
    <w:rsid w:val="00956788"/>
    <w:rsid w:val="00956C1E"/>
    <w:rsid w:val="0095719D"/>
    <w:rsid w:val="009574FD"/>
    <w:rsid w:val="009609B9"/>
    <w:rsid w:val="00960C4D"/>
    <w:rsid w:val="00960C60"/>
    <w:rsid w:val="00961665"/>
    <w:rsid w:val="009617D1"/>
    <w:rsid w:val="00961A3D"/>
    <w:rsid w:val="00961B18"/>
    <w:rsid w:val="009620B9"/>
    <w:rsid w:val="00962799"/>
    <w:rsid w:val="009627E3"/>
    <w:rsid w:val="00962A61"/>
    <w:rsid w:val="00963014"/>
    <w:rsid w:val="00963A6D"/>
    <w:rsid w:val="00963A8B"/>
    <w:rsid w:val="00963AE2"/>
    <w:rsid w:val="009643B6"/>
    <w:rsid w:val="0096499D"/>
    <w:rsid w:val="009650BD"/>
    <w:rsid w:val="009656A7"/>
    <w:rsid w:val="00965A86"/>
    <w:rsid w:val="00965CA7"/>
    <w:rsid w:val="009661D3"/>
    <w:rsid w:val="0096641C"/>
    <w:rsid w:val="00966731"/>
    <w:rsid w:val="0096786B"/>
    <w:rsid w:val="00970309"/>
    <w:rsid w:val="0097063F"/>
    <w:rsid w:val="00970E3F"/>
    <w:rsid w:val="00970E81"/>
    <w:rsid w:val="00970F88"/>
    <w:rsid w:val="00971916"/>
    <w:rsid w:val="009719D4"/>
    <w:rsid w:val="009721D5"/>
    <w:rsid w:val="009725A1"/>
    <w:rsid w:val="00972B4F"/>
    <w:rsid w:val="00972E77"/>
    <w:rsid w:val="00972F95"/>
    <w:rsid w:val="009732EF"/>
    <w:rsid w:val="00973351"/>
    <w:rsid w:val="009737B4"/>
    <w:rsid w:val="00973992"/>
    <w:rsid w:val="00973D7A"/>
    <w:rsid w:val="00973DDB"/>
    <w:rsid w:val="009740DD"/>
    <w:rsid w:val="00974EF2"/>
    <w:rsid w:val="009750F5"/>
    <w:rsid w:val="009759CF"/>
    <w:rsid w:val="00975EB3"/>
    <w:rsid w:val="009761D1"/>
    <w:rsid w:val="009761F5"/>
    <w:rsid w:val="009765F2"/>
    <w:rsid w:val="00976EC4"/>
    <w:rsid w:val="00977393"/>
    <w:rsid w:val="00977416"/>
    <w:rsid w:val="0097748E"/>
    <w:rsid w:val="009804BF"/>
    <w:rsid w:val="00980EDC"/>
    <w:rsid w:val="00981543"/>
    <w:rsid w:val="00981645"/>
    <w:rsid w:val="00981E5C"/>
    <w:rsid w:val="009821E7"/>
    <w:rsid w:val="00982416"/>
    <w:rsid w:val="0098267A"/>
    <w:rsid w:val="0098273A"/>
    <w:rsid w:val="00982DDF"/>
    <w:rsid w:val="009838B7"/>
    <w:rsid w:val="009838CA"/>
    <w:rsid w:val="00983CDC"/>
    <w:rsid w:val="00983D7A"/>
    <w:rsid w:val="009844C3"/>
    <w:rsid w:val="009848E0"/>
    <w:rsid w:val="00984AB5"/>
    <w:rsid w:val="00984EBD"/>
    <w:rsid w:val="00984EEF"/>
    <w:rsid w:val="009853E1"/>
    <w:rsid w:val="00985427"/>
    <w:rsid w:val="00985A93"/>
    <w:rsid w:val="00985B3C"/>
    <w:rsid w:val="00985C51"/>
    <w:rsid w:val="009867CD"/>
    <w:rsid w:val="009868EF"/>
    <w:rsid w:val="00986C88"/>
    <w:rsid w:val="00986CCC"/>
    <w:rsid w:val="00987727"/>
    <w:rsid w:val="00987855"/>
    <w:rsid w:val="00987B28"/>
    <w:rsid w:val="00987E43"/>
    <w:rsid w:val="0099094A"/>
    <w:rsid w:val="0099103B"/>
    <w:rsid w:val="0099135F"/>
    <w:rsid w:val="009915D3"/>
    <w:rsid w:val="0099185E"/>
    <w:rsid w:val="00991E1A"/>
    <w:rsid w:val="009927E2"/>
    <w:rsid w:val="00992FCA"/>
    <w:rsid w:val="0099373D"/>
    <w:rsid w:val="00993916"/>
    <w:rsid w:val="00993EFC"/>
    <w:rsid w:val="00994149"/>
    <w:rsid w:val="009946AA"/>
    <w:rsid w:val="00994710"/>
    <w:rsid w:val="00994AB3"/>
    <w:rsid w:val="009955BC"/>
    <w:rsid w:val="00995B23"/>
    <w:rsid w:val="00996289"/>
    <w:rsid w:val="009969B2"/>
    <w:rsid w:val="00997B75"/>
    <w:rsid w:val="00997BCC"/>
    <w:rsid w:val="009A07C3"/>
    <w:rsid w:val="009A07D2"/>
    <w:rsid w:val="009A0A17"/>
    <w:rsid w:val="009A106C"/>
    <w:rsid w:val="009A11D3"/>
    <w:rsid w:val="009A18BD"/>
    <w:rsid w:val="009A1986"/>
    <w:rsid w:val="009A1D0D"/>
    <w:rsid w:val="009A1F25"/>
    <w:rsid w:val="009A1FD6"/>
    <w:rsid w:val="009A314C"/>
    <w:rsid w:val="009A36B9"/>
    <w:rsid w:val="009A3716"/>
    <w:rsid w:val="009A3AEA"/>
    <w:rsid w:val="009A3E88"/>
    <w:rsid w:val="009A42DA"/>
    <w:rsid w:val="009A43BB"/>
    <w:rsid w:val="009A4C96"/>
    <w:rsid w:val="009A4DA3"/>
    <w:rsid w:val="009A4E58"/>
    <w:rsid w:val="009A59FE"/>
    <w:rsid w:val="009A5CF5"/>
    <w:rsid w:val="009A6004"/>
    <w:rsid w:val="009B0120"/>
    <w:rsid w:val="009B0299"/>
    <w:rsid w:val="009B05CD"/>
    <w:rsid w:val="009B0E8A"/>
    <w:rsid w:val="009B11CD"/>
    <w:rsid w:val="009B151F"/>
    <w:rsid w:val="009B1614"/>
    <w:rsid w:val="009B1CDD"/>
    <w:rsid w:val="009B1D87"/>
    <w:rsid w:val="009B20A1"/>
    <w:rsid w:val="009B2779"/>
    <w:rsid w:val="009B2EAD"/>
    <w:rsid w:val="009B3CDD"/>
    <w:rsid w:val="009B3D9C"/>
    <w:rsid w:val="009B3D9D"/>
    <w:rsid w:val="009B3F7A"/>
    <w:rsid w:val="009B4223"/>
    <w:rsid w:val="009B4FF1"/>
    <w:rsid w:val="009B52A2"/>
    <w:rsid w:val="009B5576"/>
    <w:rsid w:val="009B634B"/>
    <w:rsid w:val="009B6567"/>
    <w:rsid w:val="009B6893"/>
    <w:rsid w:val="009B6BCB"/>
    <w:rsid w:val="009B6BE4"/>
    <w:rsid w:val="009B73EE"/>
    <w:rsid w:val="009B76B8"/>
    <w:rsid w:val="009B7C1A"/>
    <w:rsid w:val="009B7F04"/>
    <w:rsid w:val="009C0F40"/>
    <w:rsid w:val="009C1241"/>
    <w:rsid w:val="009C13B8"/>
    <w:rsid w:val="009C192B"/>
    <w:rsid w:val="009C1D69"/>
    <w:rsid w:val="009C1DDB"/>
    <w:rsid w:val="009C20F5"/>
    <w:rsid w:val="009C2511"/>
    <w:rsid w:val="009C288B"/>
    <w:rsid w:val="009C2FA7"/>
    <w:rsid w:val="009C350C"/>
    <w:rsid w:val="009C3571"/>
    <w:rsid w:val="009C3C63"/>
    <w:rsid w:val="009C4212"/>
    <w:rsid w:val="009C4448"/>
    <w:rsid w:val="009C472E"/>
    <w:rsid w:val="009C4834"/>
    <w:rsid w:val="009C4ED5"/>
    <w:rsid w:val="009C52D4"/>
    <w:rsid w:val="009C6129"/>
    <w:rsid w:val="009C69F4"/>
    <w:rsid w:val="009C71A6"/>
    <w:rsid w:val="009C7647"/>
    <w:rsid w:val="009C775E"/>
    <w:rsid w:val="009C7CCB"/>
    <w:rsid w:val="009C7D13"/>
    <w:rsid w:val="009C7DA1"/>
    <w:rsid w:val="009D10E4"/>
    <w:rsid w:val="009D186C"/>
    <w:rsid w:val="009D1AC7"/>
    <w:rsid w:val="009D32AA"/>
    <w:rsid w:val="009D3C41"/>
    <w:rsid w:val="009D4252"/>
    <w:rsid w:val="009D4479"/>
    <w:rsid w:val="009D45EF"/>
    <w:rsid w:val="009D4736"/>
    <w:rsid w:val="009D47AD"/>
    <w:rsid w:val="009D490E"/>
    <w:rsid w:val="009D4D26"/>
    <w:rsid w:val="009D538E"/>
    <w:rsid w:val="009D5AC1"/>
    <w:rsid w:val="009D6498"/>
    <w:rsid w:val="009D6A95"/>
    <w:rsid w:val="009D6D83"/>
    <w:rsid w:val="009E0DB6"/>
    <w:rsid w:val="009E0E57"/>
    <w:rsid w:val="009E121E"/>
    <w:rsid w:val="009E2229"/>
    <w:rsid w:val="009E2639"/>
    <w:rsid w:val="009E26F9"/>
    <w:rsid w:val="009E2A2F"/>
    <w:rsid w:val="009E2AE7"/>
    <w:rsid w:val="009E51CE"/>
    <w:rsid w:val="009E522C"/>
    <w:rsid w:val="009E5295"/>
    <w:rsid w:val="009E5771"/>
    <w:rsid w:val="009E58FC"/>
    <w:rsid w:val="009E66C0"/>
    <w:rsid w:val="009E6D8C"/>
    <w:rsid w:val="009E6DAC"/>
    <w:rsid w:val="009E720D"/>
    <w:rsid w:val="009E7212"/>
    <w:rsid w:val="009E7393"/>
    <w:rsid w:val="009E7E35"/>
    <w:rsid w:val="009F088F"/>
    <w:rsid w:val="009F08BF"/>
    <w:rsid w:val="009F0A12"/>
    <w:rsid w:val="009F0E1C"/>
    <w:rsid w:val="009F0EF2"/>
    <w:rsid w:val="009F1031"/>
    <w:rsid w:val="009F1BD2"/>
    <w:rsid w:val="009F2239"/>
    <w:rsid w:val="009F25A9"/>
    <w:rsid w:val="009F2648"/>
    <w:rsid w:val="009F31FA"/>
    <w:rsid w:val="009F3C21"/>
    <w:rsid w:val="009F4053"/>
    <w:rsid w:val="009F449B"/>
    <w:rsid w:val="009F5334"/>
    <w:rsid w:val="009F5647"/>
    <w:rsid w:val="009F600A"/>
    <w:rsid w:val="009F6211"/>
    <w:rsid w:val="009F62E3"/>
    <w:rsid w:val="009F6A7B"/>
    <w:rsid w:val="009F7058"/>
    <w:rsid w:val="009F721D"/>
    <w:rsid w:val="009F734B"/>
    <w:rsid w:val="009F73AD"/>
    <w:rsid w:val="009F7E12"/>
    <w:rsid w:val="009F7FAA"/>
    <w:rsid w:val="00A00BD9"/>
    <w:rsid w:val="00A01BC5"/>
    <w:rsid w:val="00A01F23"/>
    <w:rsid w:val="00A021BC"/>
    <w:rsid w:val="00A026C9"/>
    <w:rsid w:val="00A0313B"/>
    <w:rsid w:val="00A032A0"/>
    <w:rsid w:val="00A033CB"/>
    <w:rsid w:val="00A04488"/>
    <w:rsid w:val="00A04A7D"/>
    <w:rsid w:val="00A04AC3"/>
    <w:rsid w:val="00A04AED"/>
    <w:rsid w:val="00A04FB4"/>
    <w:rsid w:val="00A050CE"/>
    <w:rsid w:val="00A05454"/>
    <w:rsid w:val="00A05BD2"/>
    <w:rsid w:val="00A06055"/>
    <w:rsid w:val="00A061DC"/>
    <w:rsid w:val="00A06445"/>
    <w:rsid w:val="00A0655A"/>
    <w:rsid w:val="00A065AA"/>
    <w:rsid w:val="00A068E6"/>
    <w:rsid w:val="00A06FBF"/>
    <w:rsid w:val="00A06FF1"/>
    <w:rsid w:val="00A072B9"/>
    <w:rsid w:val="00A075A4"/>
    <w:rsid w:val="00A075AE"/>
    <w:rsid w:val="00A0777B"/>
    <w:rsid w:val="00A07887"/>
    <w:rsid w:val="00A0799B"/>
    <w:rsid w:val="00A07AA0"/>
    <w:rsid w:val="00A10230"/>
    <w:rsid w:val="00A10478"/>
    <w:rsid w:val="00A107BC"/>
    <w:rsid w:val="00A10CC4"/>
    <w:rsid w:val="00A11890"/>
    <w:rsid w:val="00A11C1E"/>
    <w:rsid w:val="00A11EC6"/>
    <w:rsid w:val="00A13868"/>
    <w:rsid w:val="00A140D5"/>
    <w:rsid w:val="00A1448B"/>
    <w:rsid w:val="00A149ED"/>
    <w:rsid w:val="00A14AC3"/>
    <w:rsid w:val="00A14FE3"/>
    <w:rsid w:val="00A1575A"/>
    <w:rsid w:val="00A157AA"/>
    <w:rsid w:val="00A1688C"/>
    <w:rsid w:val="00A16A7E"/>
    <w:rsid w:val="00A171D9"/>
    <w:rsid w:val="00A17298"/>
    <w:rsid w:val="00A20661"/>
    <w:rsid w:val="00A225CF"/>
    <w:rsid w:val="00A228BE"/>
    <w:rsid w:val="00A230F5"/>
    <w:rsid w:val="00A238A1"/>
    <w:rsid w:val="00A238C7"/>
    <w:rsid w:val="00A23B88"/>
    <w:rsid w:val="00A2401F"/>
    <w:rsid w:val="00A242C9"/>
    <w:rsid w:val="00A242F4"/>
    <w:rsid w:val="00A2448F"/>
    <w:rsid w:val="00A24505"/>
    <w:rsid w:val="00A2492B"/>
    <w:rsid w:val="00A24D59"/>
    <w:rsid w:val="00A24FE8"/>
    <w:rsid w:val="00A25DFD"/>
    <w:rsid w:val="00A25E6F"/>
    <w:rsid w:val="00A25F03"/>
    <w:rsid w:val="00A260E6"/>
    <w:rsid w:val="00A267BF"/>
    <w:rsid w:val="00A2696D"/>
    <w:rsid w:val="00A271C8"/>
    <w:rsid w:val="00A27679"/>
    <w:rsid w:val="00A27CE3"/>
    <w:rsid w:val="00A30532"/>
    <w:rsid w:val="00A30738"/>
    <w:rsid w:val="00A309F0"/>
    <w:rsid w:val="00A30F36"/>
    <w:rsid w:val="00A310F9"/>
    <w:rsid w:val="00A31239"/>
    <w:rsid w:val="00A31545"/>
    <w:rsid w:val="00A31C03"/>
    <w:rsid w:val="00A31C6A"/>
    <w:rsid w:val="00A32269"/>
    <w:rsid w:val="00A3257A"/>
    <w:rsid w:val="00A32A35"/>
    <w:rsid w:val="00A32CD9"/>
    <w:rsid w:val="00A3315F"/>
    <w:rsid w:val="00A3362B"/>
    <w:rsid w:val="00A33E6E"/>
    <w:rsid w:val="00A33E73"/>
    <w:rsid w:val="00A346C0"/>
    <w:rsid w:val="00A34774"/>
    <w:rsid w:val="00A34A3E"/>
    <w:rsid w:val="00A34C42"/>
    <w:rsid w:val="00A34E79"/>
    <w:rsid w:val="00A362CB"/>
    <w:rsid w:val="00A363DA"/>
    <w:rsid w:val="00A36F1C"/>
    <w:rsid w:val="00A3701C"/>
    <w:rsid w:val="00A375EB"/>
    <w:rsid w:val="00A40367"/>
    <w:rsid w:val="00A412CD"/>
    <w:rsid w:val="00A41C29"/>
    <w:rsid w:val="00A41C40"/>
    <w:rsid w:val="00A4210A"/>
    <w:rsid w:val="00A421FC"/>
    <w:rsid w:val="00A42463"/>
    <w:rsid w:val="00A43282"/>
    <w:rsid w:val="00A43FB3"/>
    <w:rsid w:val="00A441E8"/>
    <w:rsid w:val="00A449FD"/>
    <w:rsid w:val="00A44AAD"/>
    <w:rsid w:val="00A44DB6"/>
    <w:rsid w:val="00A45ABC"/>
    <w:rsid w:val="00A46727"/>
    <w:rsid w:val="00A46C5A"/>
    <w:rsid w:val="00A46E0F"/>
    <w:rsid w:val="00A472EE"/>
    <w:rsid w:val="00A47728"/>
    <w:rsid w:val="00A47C0E"/>
    <w:rsid w:val="00A47D22"/>
    <w:rsid w:val="00A47E6E"/>
    <w:rsid w:val="00A502ED"/>
    <w:rsid w:val="00A502F6"/>
    <w:rsid w:val="00A5086F"/>
    <w:rsid w:val="00A508E1"/>
    <w:rsid w:val="00A50926"/>
    <w:rsid w:val="00A517E8"/>
    <w:rsid w:val="00A518DE"/>
    <w:rsid w:val="00A521D7"/>
    <w:rsid w:val="00A52883"/>
    <w:rsid w:val="00A52C62"/>
    <w:rsid w:val="00A5336A"/>
    <w:rsid w:val="00A5364D"/>
    <w:rsid w:val="00A53928"/>
    <w:rsid w:val="00A53984"/>
    <w:rsid w:val="00A53AB0"/>
    <w:rsid w:val="00A53E7F"/>
    <w:rsid w:val="00A53EEC"/>
    <w:rsid w:val="00A54004"/>
    <w:rsid w:val="00A5417B"/>
    <w:rsid w:val="00A54523"/>
    <w:rsid w:val="00A5466A"/>
    <w:rsid w:val="00A554E7"/>
    <w:rsid w:val="00A5639B"/>
    <w:rsid w:val="00A56882"/>
    <w:rsid w:val="00A56C40"/>
    <w:rsid w:val="00A56E30"/>
    <w:rsid w:val="00A56EBA"/>
    <w:rsid w:val="00A56F12"/>
    <w:rsid w:val="00A5709D"/>
    <w:rsid w:val="00A579B5"/>
    <w:rsid w:val="00A57C20"/>
    <w:rsid w:val="00A57E04"/>
    <w:rsid w:val="00A6121D"/>
    <w:rsid w:val="00A615D7"/>
    <w:rsid w:val="00A616C5"/>
    <w:rsid w:val="00A61921"/>
    <w:rsid w:val="00A61A39"/>
    <w:rsid w:val="00A62049"/>
    <w:rsid w:val="00A62154"/>
    <w:rsid w:val="00A6218D"/>
    <w:rsid w:val="00A62322"/>
    <w:rsid w:val="00A62507"/>
    <w:rsid w:val="00A627BE"/>
    <w:rsid w:val="00A62A1F"/>
    <w:rsid w:val="00A638C2"/>
    <w:rsid w:val="00A63A38"/>
    <w:rsid w:val="00A63E60"/>
    <w:rsid w:val="00A647B5"/>
    <w:rsid w:val="00A65213"/>
    <w:rsid w:val="00A6539A"/>
    <w:rsid w:val="00A65456"/>
    <w:rsid w:val="00A65CF1"/>
    <w:rsid w:val="00A662D8"/>
    <w:rsid w:val="00A664EC"/>
    <w:rsid w:val="00A6687A"/>
    <w:rsid w:val="00A67220"/>
    <w:rsid w:val="00A67C57"/>
    <w:rsid w:val="00A70657"/>
    <w:rsid w:val="00A70864"/>
    <w:rsid w:val="00A7088B"/>
    <w:rsid w:val="00A7096E"/>
    <w:rsid w:val="00A70C16"/>
    <w:rsid w:val="00A71287"/>
    <w:rsid w:val="00A712C6"/>
    <w:rsid w:val="00A713BA"/>
    <w:rsid w:val="00A714DC"/>
    <w:rsid w:val="00A7207B"/>
    <w:rsid w:val="00A72217"/>
    <w:rsid w:val="00A722ED"/>
    <w:rsid w:val="00A7238A"/>
    <w:rsid w:val="00A72EF7"/>
    <w:rsid w:val="00A73994"/>
    <w:rsid w:val="00A73FED"/>
    <w:rsid w:val="00A741AD"/>
    <w:rsid w:val="00A7453C"/>
    <w:rsid w:val="00A747C4"/>
    <w:rsid w:val="00A74B84"/>
    <w:rsid w:val="00A74BF8"/>
    <w:rsid w:val="00A74E33"/>
    <w:rsid w:val="00A74FED"/>
    <w:rsid w:val="00A75F27"/>
    <w:rsid w:val="00A761DE"/>
    <w:rsid w:val="00A764E1"/>
    <w:rsid w:val="00A76815"/>
    <w:rsid w:val="00A76B27"/>
    <w:rsid w:val="00A76CD1"/>
    <w:rsid w:val="00A76D4F"/>
    <w:rsid w:val="00A76E60"/>
    <w:rsid w:val="00A76F77"/>
    <w:rsid w:val="00A7753A"/>
    <w:rsid w:val="00A77692"/>
    <w:rsid w:val="00A80235"/>
    <w:rsid w:val="00A803E5"/>
    <w:rsid w:val="00A804DA"/>
    <w:rsid w:val="00A80547"/>
    <w:rsid w:val="00A81165"/>
    <w:rsid w:val="00A81228"/>
    <w:rsid w:val="00A818CB"/>
    <w:rsid w:val="00A819DE"/>
    <w:rsid w:val="00A820FF"/>
    <w:rsid w:val="00A828B5"/>
    <w:rsid w:val="00A829AD"/>
    <w:rsid w:val="00A82A27"/>
    <w:rsid w:val="00A82C8B"/>
    <w:rsid w:val="00A8320F"/>
    <w:rsid w:val="00A8355F"/>
    <w:rsid w:val="00A836B1"/>
    <w:rsid w:val="00A83992"/>
    <w:rsid w:val="00A83AE8"/>
    <w:rsid w:val="00A83EB6"/>
    <w:rsid w:val="00A846D7"/>
    <w:rsid w:val="00A84DFB"/>
    <w:rsid w:val="00A85284"/>
    <w:rsid w:val="00A85622"/>
    <w:rsid w:val="00A85634"/>
    <w:rsid w:val="00A85816"/>
    <w:rsid w:val="00A8586D"/>
    <w:rsid w:val="00A85CF1"/>
    <w:rsid w:val="00A85EB3"/>
    <w:rsid w:val="00A860A2"/>
    <w:rsid w:val="00A861C5"/>
    <w:rsid w:val="00A8647F"/>
    <w:rsid w:val="00A86F91"/>
    <w:rsid w:val="00A901FF"/>
    <w:rsid w:val="00A9028B"/>
    <w:rsid w:val="00A9029E"/>
    <w:rsid w:val="00A90AE6"/>
    <w:rsid w:val="00A90CFD"/>
    <w:rsid w:val="00A90EC4"/>
    <w:rsid w:val="00A914E7"/>
    <w:rsid w:val="00A91788"/>
    <w:rsid w:val="00A91A47"/>
    <w:rsid w:val="00A91CF8"/>
    <w:rsid w:val="00A91E1C"/>
    <w:rsid w:val="00A9219B"/>
    <w:rsid w:val="00A9243E"/>
    <w:rsid w:val="00A927DD"/>
    <w:rsid w:val="00A92BD6"/>
    <w:rsid w:val="00A92E8A"/>
    <w:rsid w:val="00A93393"/>
    <w:rsid w:val="00A93865"/>
    <w:rsid w:val="00A93D1B"/>
    <w:rsid w:val="00A94255"/>
    <w:rsid w:val="00A9451B"/>
    <w:rsid w:val="00A94694"/>
    <w:rsid w:val="00A94BFD"/>
    <w:rsid w:val="00A94C7C"/>
    <w:rsid w:val="00A95DE7"/>
    <w:rsid w:val="00A967B4"/>
    <w:rsid w:val="00A9739E"/>
    <w:rsid w:val="00A97410"/>
    <w:rsid w:val="00A97F94"/>
    <w:rsid w:val="00AA0280"/>
    <w:rsid w:val="00AA0E8A"/>
    <w:rsid w:val="00AA1171"/>
    <w:rsid w:val="00AA1361"/>
    <w:rsid w:val="00AA144E"/>
    <w:rsid w:val="00AA1A83"/>
    <w:rsid w:val="00AA1AA8"/>
    <w:rsid w:val="00AA2456"/>
    <w:rsid w:val="00AA2A56"/>
    <w:rsid w:val="00AA2AD8"/>
    <w:rsid w:val="00AA2BF2"/>
    <w:rsid w:val="00AA2D22"/>
    <w:rsid w:val="00AA2E0D"/>
    <w:rsid w:val="00AA3111"/>
    <w:rsid w:val="00AA4185"/>
    <w:rsid w:val="00AA4762"/>
    <w:rsid w:val="00AA4A88"/>
    <w:rsid w:val="00AA4AC8"/>
    <w:rsid w:val="00AA4D42"/>
    <w:rsid w:val="00AA5220"/>
    <w:rsid w:val="00AA52A3"/>
    <w:rsid w:val="00AA5553"/>
    <w:rsid w:val="00AA5AC6"/>
    <w:rsid w:val="00AA5B1C"/>
    <w:rsid w:val="00AA5F0D"/>
    <w:rsid w:val="00AA665D"/>
    <w:rsid w:val="00AA7B49"/>
    <w:rsid w:val="00AA7BAA"/>
    <w:rsid w:val="00AA7D88"/>
    <w:rsid w:val="00AA7EC1"/>
    <w:rsid w:val="00AB03A9"/>
    <w:rsid w:val="00AB0A5E"/>
    <w:rsid w:val="00AB1060"/>
    <w:rsid w:val="00AB3613"/>
    <w:rsid w:val="00AB3C6A"/>
    <w:rsid w:val="00AB4025"/>
    <w:rsid w:val="00AB4267"/>
    <w:rsid w:val="00AB440E"/>
    <w:rsid w:val="00AB44F1"/>
    <w:rsid w:val="00AB4608"/>
    <w:rsid w:val="00AB46BD"/>
    <w:rsid w:val="00AB5D92"/>
    <w:rsid w:val="00AB62AC"/>
    <w:rsid w:val="00AB7CEF"/>
    <w:rsid w:val="00AC03BF"/>
    <w:rsid w:val="00AC0BC5"/>
    <w:rsid w:val="00AC0D9A"/>
    <w:rsid w:val="00AC1147"/>
    <w:rsid w:val="00AC1867"/>
    <w:rsid w:val="00AC1D27"/>
    <w:rsid w:val="00AC2360"/>
    <w:rsid w:val="00AC23B6"/>
    <w:rsid w:val="00AC3AAC"/>
    <w:rsid w:val="00AC4735"/>
    <w:rsid w:val="00AC4959"/>
    <w:rsid w:val="00AC4D0D"/>
    <w:rsid w:val="00AC5066"/>
    <w:rsid w:val="00AC51CD"/>
    <w:rsid w:val="00AC52EA"/>
    <w:rsid w:val="00AC549B"/>
    <w:rsid w:val="00AC54E1"/>
    <w:rsid w:val="00AC55E7"/>
    <w:rsid w:val="00AC5B95"/>
    <w:rsid w:val="00AC5CE9"/>
    <w:rsid w:val="00AC5F93"/>
    <w:rsid w:val="00AC60D7"/>
    <w:rsid w:val="00AC6118"/>
    <w:rsid w:val="00AC6B7F"/>
    <w:rsid w:val="00AC6F5F"/>
    <w:rsid w:val="00AC7050"/>
    <w:rsid w:val="00AC7439"/>
    <w:rsid w:val="00AC774F"/>
    <w:rsid w:val="00AC7865"/>
    <w:rsid w:val="00AC79F9"/>
    <w:rsid w:val="00AD00D2"/>
    <w:rsid w:val="00AD08C3"/>
    <w:rsid w:val="00AD16F2"/>
    <w:rsid w:val="00AD1831"/>
    <w:rsid w:val="00AD1D4B"/>
    <w:rsid w:val="00AD20E2"/>
    <w:rsid w:val="00AD2B60"/>
    <w:rsid w:val="00AD347E"/>
    <w:rsid w:val="00AD3595"/>
    <w:rsid w:val="00AD4829"/>
    <w:rsid w:val="00AD48EC"/>
    <w:rsid w:val="00AD4DFA"/>
    <w:rsid w:val="00AD5CEA"/>
    <w:rsid w:val="00AD5E8F"/>
    <w:rsid w:val="00AD6612"/>
    <w:rsid w:val="00AD68AA"/>
    <w:rsid w:val="00AD6F1B"/>
    <w:rsid w:val="00AD737C"/>
    <w:rsid w:val="00AD74CA"/>
    <w:rsid w:val="00AD7740"/>
    <w:rsid w:val="00AD7DE5"/>
    <w:rsid w:val="00AE00D7"/>
    <w:rsid w:val="00AE0B31"/>
    <w:rsid w:val="00AE273F"/>
    <w:rsid w:val="00AE2743"/>
    <w:rsid w:val="00AE2E56"/>
    <w:rsid w:val="00AE3211"/>
    <w:rsid w:val="00AE3397"/>
    <w:rsid w:val="00AE36C5"/>
    <w:rsid w:val="00AE3A0E"/>
    <w:rsid w:val="00AE3A17"/>
    <w:rsid w:val="00AE3EE1"/>
    <w:rsid w:val="00AE414B"/>
    <w:rsid w:val="00AE4724"/>
    <w:rsid w:val="00AE474B"/>
    <w:rsid w:val="00AE48E0"/>
    <w:rsid w:val="00AE4B5C"/>
    <w:rsid w:val="00AE4C2A"/>
    <w:rsid w:val="00AE4E77"/>
    <w:rsid w:val="00AE51B0"/>
    <w:rsid w:val="00AE5345"/>
    <w:rsid w:val="00AE68BF"/>
    <w:rsid w:val="00AE6964"/>
    <w:rsid w:val="00AE6988"/>
    <w:rsid w:val="00AE6F50"/>
    <w:rsid w:val="00AE78D4"/>
    <w:rsid w:val="00AF03BA"/>
    <w:rsid w:val="00AF0A3B"/>
    <w:rsid w:val="00AF0C3A"/>
    <w:rsid w:val="00AF0CCA"/>
    <w:rsid w:val="00AF13D1"/>
    <w:rsid w:val="00AF13DE"/>
    <w:rsid w:val="00AF16EF"/>
    <w:rsid w:val="00AF16F9"/>
    <w:rsid w:val="00AF2487"/>
    <w:rsid w:val="00AF272A"/>
    <w:rsid w:val="00AF2E7E"/>
    <w:rsid w:val="00AF3AA6"/>
    <w:rsid w:val="00AF3C1D"/>
    <w:rsid w:val="00AF3DE6"/>
    <w:rsid w:val="00AF4053"/>
    <w:rsid w:val="00AF4454"/>
    <w:rsid w:val="00AF4478"/>
    <w:rsid w:val="00AF50CC"/>
    <w:rsid w:val="00AF5306"/>
    <w:rsid w:val="00AF569B"/>
    <w:rsid w:val="00AF57A7"/>
    <w:rsid w:val="00AF5BE5"/>
    <w:rsid w:val="00AF5C7C"/>
    <w:rsid w:val="00AF66BA"/>
    <w:rsid w:val="00AF7C68"/>
    <w:rsid w:val="00B00041"/>
    <w:rsid w:val="00B000A3"/>
    <w:rsid w:val="00B00726"/>
    <w:rsid w:val="00B00B74"/>
    <w:rsid w:val="00B022C4"/>
    <w:rsid w:val="00B02528"/>
    <w:rsid w:val="00B0256B"/>
    <w:rsid w:val="00B027DA"/>
    <w:rsid w:val="00B02D6A"/>
    <w:rsid w:val="00B02E8F"/>
    <w:rsid w:val="00B033B9"/>
    <w:rsid w:val="00B03A84"/>
    <w:rsid w:val="00B03DF3"/>
    <w:rsid w:val="00B04388"/>
    <w:rsid w:val="00B047A9"/>
    <w:rsid w:val="00B0494C"/>
    <w:rsid w:val="00B04DE3"/>
    <w:rsid w:val="00B04F1F"/>
    <w:rsid w:val="00B050BA"/>
    <w:rsid w:val="00B05803"/>
    <w:rsid w:val="00B06B20"/>
    <w:rsid w:val="00B06FF2"/>
    <w:rsid w:val="00B07167"/>
    <w:rsid w:val="00B0780E"/>
    <w:rsid w:val="00B07E32"/>
    <w:rsid w:val="00B10CF0"/>
    <w:rsid w:val="00B10F66"/>
    <w:rsid w:val="00B10F96"/>
    <w:rsid w:val="00B112D4"/>
    <w:rsid w:val="00B114E0"/>
    <w:rsid w:val="00B114F2"/>
    <w:rsid w:val="00B121C4"/>
    <w:rsid w:val="00B12660"/>
    <w:rsid w:val="00B128C7"/>
    <w:rsid w:val="00B12969"/>
    <w:rsid w:val="00B12F45"/>
    <w:rsid w:val="00B13118"/>
    <w:rsid w:val="00B135E6"/>
    <w:rsid w:val="00B1388C"/>
    <w:rsid w:val="00B138B0"/>
    <w:rsid w:val="00B13F2B"/>
    <w:rsid w:val="00B14504"/>
    <w:rsid w:val="00B1460D"/>
    <w:rsid w:val="00B14987"/>
    <w:rsid w:val="00B14A64"/>
    <w:rsid w:val="00B14ABD"/>
    <w:rsid w:val="00B14B05"/>
    <w:rsid w:val="00B157B7"/>
    <w:rsid w:val="00B166A1"/>
    <w:rsid w:val="00B167E0"/>
    <w:rsid w:val="00B17581"/>
    <w:rsid w:val="00B17C0B"/>
    <w:rsid w:val="00B20548"/>
    <w:rsid w:val="00B20596"/>
    <w:rsid w:val="00B206EA"/>
    <w:rsid w:val="00B2088C"/>
    <w:rsid w:val="00B20F3E"/>
    <w:rsid w:val="00B211C8"/>
    <w:rsid w:val="00B219E8"/>
    <w:rsid w:val="00B22457"/>
    <w:rsid w:val="00B22FE7"/>
    <w:rsid w:val="00B237C4"/>
    <w:rsid w:val="00B23978"/>
    <w:rsid w:val="00B23C65"/>
    <w:rsid w:val="00B24829"/>
    <w:rsid w:val="00B25521"/>
    <w:rsid w:val="00B2608A"/>
    <w:rsid w:val="00B26695"/>
    <w:rsid w:val="00B26F4B"/>
    <w:rsid w:val="00B304E2"/>
    <w:rsid w:val="00B30A47"/>
    <w:rsid w:val="00B30F47"/>
    <w:rsid w:val="00B31002"/>
    <w:rsid w:val="00B3198B"/>
    <w:rsid w:val="00B321A9"/>
    <w:rsid w:val="00B32927"/>
    <w:rsid w:val="00B32F77"/>
    <w:rsid w:val="00B32F7B"/>
    <w:rsid w:val="00B334C7"/>
    <w:rsid w:val="00B336C8"/>
    <w:rsid w:val="00B33EE7"/>
    <w:rsid w:val="00B348C2"/>
    <w:rsid w:val="00B34C5D"/>
    <w:rsid w:val="00B35083"/>
    <w:rsid w:val="00B356BA"/>
    <w:rsid w:val="00B356D1"/>
    <w:rsid w:val="00B35F87"/>
    <w:rsid w:val="00B3616C"/>
    <w:rsid w:val="00B36342"/>
    <w:rsid w:val="00B36CC7"/>
    <w:rsid w:val="00B37B64"/>
    <w:rsid w:val="00B37DE2"/>
    <w:rsid w:val="00B400BC"/>
    <w:rsid w:val="00B403A9"/>
    <w:rsid w:val="00B40B99"/>
    <w:rsid w:val="00B41477"/>
    <w:rsid w:val="00B41AB1"/>
    <w:rsid w:val="00B42118"/>
    <w:rsid w:val="00B429AF"/>
    <w:rsid w:val="00B42DFD"/>
    <w:rsid w:val="00B42EF3"/>
    <w:rsid w:val="00B434A1"/>
    <w:rsid w:val="00B4364D"/>
    <w:rsid w:val="00B44783"/>
    <w:rsid w:val="00B447F9"/>
    <w:rsid w:val="00B44D3B"/>
    <w:rsid w:val="00B44E01"/>
    <w:rsid w:val="00B44FE7"/>
    <w:rsid w:val="00B455BA"/>
    <w:rsid w:val="00B456E4"/>
    <w:rsid w:val="00B45DC9"/>
    <w:rsid w:val="00B45E1D"/>
    <w:rsid w:val="00B46747"/>
    <w:rsid w:val="00B468B1"/>
    <w:rsid w:val="00B46910"/>
    <w:rsid w:val="00B47626"/>
    <w:rsid w:val="00B478A0"/>
    <w:rsid w:val="00B47920"/>
    <w:rsid w:val="00B47ED7"/>
    <w:rsid w:val="00B501E3"/>
    <w:rsid w:val="00B5045D"/>
    <w:rsid w:val="00B50780"/>
    <w:rsid w:val="00B508DD"/>
    <w:rsid w:val="00B509F0"/>
    <w:rsid w:val="00B5182D"/>
    <w:rsid w:val="00B5246E"/>
    <w:rsid w:val="00B52567"/>
    <w:rsid w:val="00B52A35"/>
    <w:rsid w:val="00B52C98"/>
    <w:rsid w:val="00B52EB9"/>
    <w:rsid w:val="00B534D1"/>
    <w:rsid w:val="00B535EC"/>
    <w:rsid w:val="00B53A7B"/>
    <w:rsid w:val="00B53B9C"/>
    <w:rsid w:val="00B53CBB"/>
    <w:rsid w:val="00B5402D"/>
    <w:rsid w:val="00B54A8C"/>
    <w:rsid w:val="00B54E17"/>
    <w:rsid w:val="00B552FF"/>
    <w:rsid w:val="00B55678"/>
    <w:rsid w:val="00B55772"/>
    <w:rsid w:val="00B5578A"/>
    <w:rsid w:val="00B55B12"/>
    <w:rsid w:val="00B5663C"/>
    <w:rsid w:val="00B566B7"/>
    <w:rsid w:val="00B5680F"/>
    <w:rsid w:val="00B56832"/>
    <w:rsid w:val="00B56AD7"/>
    <w:rsid w:val="00B57282"/>
    <w:rsid w:val="00B57343"/>
    <w:rsid w:val="00B5755A"/>
    <w:rsid w:val="00B57819"/>
    <w:rsid w:val="00B57D20"/>
    <w:rsid w:val="00B6025C"/>
    <w:rsid w:val="00B60323"/>
    <w:rsid w:val="00B60D67"/>
    <w:rsid w:val="00B60DA3"/>
    <w:rsid w:val="00B61253"/>
    <w:rsid w:val="00B61690"/>
    <w:rsid w:val="00B61A27"/>
    <w:rsid w:val="00B61CB0"/>
    <w:rsid w:val="00B6252A"/>
    <w:rsid w:val="00B6280E"/>
    <w:rsid w:val="00B630A5"/>
    <w:rsid w:val="00B64288"/>
    <w:rsid w:val="00B64365"/>
    <w:rsid w:val="00B64837"/>
    <w:rsid w:val="00B649D7"/>
    <w:rsid w:val="00B64A2E"/>
    <w:rsid w:val="00B64A9A"/>
    <w:rsid w:val="00B64D6F"/>
    <w:rsid w:val="00B6545F"/>
    <w:rsid w:val="00B65756"/>
    <w:rsid w:val="00B657ED"/>
    <w:rsid w:val="00B65A6F"/>
    <w:rsid w:val="00B65F54"/>
    <w:rsid w:val="00B66228"/>
    <w:rsid w:val="00B664A5"/>
    <w:rsid w:val="00B66591"/>
    <w:rsid w:val="00B66909"/>
    <w:rsid w:val="00B669ED"/>
    <w:rsid w:val="00B67295"/>
    <w:rsid w:val="00B67339"/>
    <w:rsid w:val="00B67AB3"/>
    <w:rsid w:val="00B67B1B"/>
    <w:rsid w:val="00B67E06"/>
    <w:rsid w:val="00B703E8"/>
    <w:rsid w:val="00B704A7"/>
    <w:rsid w:val="00B70595"/>
    <w:rsid w:val="00B70EA1"/>
    <w:rsid w:val="00B7114A"/>
    <w:rsid w:val="00B71292"/>
    <w:rsid w:val="00B71295"/>
    <w:rsid w:val="00B71753"/>
    <w:rsid w:val="00B71998"/>
    <w:rsid w:val="00B71BBC"/>
    <w:rsid w:val="00B71C5C"/>
    <w:rsid w:val="00B71D80"/>
    <w:rsid w:val="00B71E0F"/>
    <w:rsid w:val="00B71F4A"/>
    <w:rsid w:val="00B72551"/>
    <w:rsid w:val="00B72636"/>
    <w:rsid w:val="00B72B09"/>
    <w:rsid w:val="00B734AF"/>
    <w:rsid w:val="00B740E5"/>
    <w:rsid w:val="00B74377"/>
    <w:rsid w:val="00B74B40"/>
    <w:rsid w:val="00B750D1"/>
    <w:rsid w:val="00B759C6"/>
    <w:rsid w:val="00B75B0F"/>
    <w:rsid w:val="00B75E18"/>
    <w:rsid w:val="00B75E4F"/>
    <w:rsid w:val="00B75E7F"/>
    <w:rsid w:val="00B76430"/>
    <w:rsid w:val="00B77016"/>
    <w:rsid w:val="00B77AE0"/>
    <w:rsid w:val="00B77B7D"/>
    <w:rsid w:val="00B77DFB"/>
    <w:rsid w:val="00B804FE"/>
    <w:rsid w:val="00B80708"/>
    <w:rsid w:val="00B8098B"/>
    <w:rsid w:val="00B81023"/>
    <w:rsid w:val="00B81890"/>
    <w:rsid w:val="00B81978"/>
    <w:rsid w:val="00B82329"/>
    <w:rsid w:val="00B82357"/>
    <w:rsid w:val="00B827A4"/>
    <w:rsid w:val="00B829F4"/>
    <w:rsid w:val="00B829F6"/>
    <w:rsid w:val="00B82A59"/>
    <w:rsid w:val="00B8361B"/>
    <w:rsid w:val="00B8367B"/>
    <w:rsid w:val="00B84C3F"/>
    <w:rsid w:val="00B851C0"/>
    <w:rsid w:val="00B85A7F"/>
    <w:rsid w:val="00B85DE9"/>
    <w:rsid w:val="00B85F24"/>
    <w:rsid w:val="00B85F3E"/>
    <w:rsid w:val="00B85F97"/>
    <w:rsid w:val="00B8607D"/>
    <w:rsid w:val="00B867EE"/>
    <w:rsid w:val="00B86EC2"/>
    <w:rsid w:val="00B87AED"/>
    <w:rsid w:val="00B87C91"/>
    <w:rsid w:val="00B87E4A"/>
    <w:rsid w:val="00B87E56"/>
    <w:rsid w:val="00B9016A"/>
    <w:rsid w:val="00B90CAB"/>
    <w:rsid w:val="00B917A9"/>
    <w:rsid w:val="00B91C0F"/>
    <w:rsid w:val="00B92547"/>
    <w:rsid w:val="00B92EE9"/>
    <w:rsid w:val="00B92F33"/>
    <w:rsid w:val="00B93237"/>
    <w:rsid w:val="00B93B67"/>
    <w:rsid w:val="00B93C3C"/>
    <w:rsid w:val="00B94041"/>
    <w:rsid w:val="00B940C3"/>
    <w:rsid w:val="00B9412F"/>
    <w:rsid w:val="00B94C51"/>
    <w:rsid w:val="00B9532D"/>
    <w:rsid w:val="00B95333"/>
    <w:rsid w:val="00B9565D"/>
    <w:rsid w:val="00B96312"/>
    <w:rsid w:val="00B976A4"/>
    <w:rsid w:val="00B977C7"/>
    <w:rsid w:val="00B977E6"/>
    <w:rsid w:val="00B97A37"/>
    <w:rsid w:val="00B97C76"/>
    <w:rsid w:val="00BA0F00"/>
    <w:rsid w:val="00BA10F0"/>
    <w:rsid w:val="00BA1E30"/>
    <w:rsid w:val="00BA207A"/>
    <w:rsid w:val="00BA2353"/>
    <w:rsid w:val="00BA246B"/>
    <w:rsid w:val="00BA2631"/>
    <w:rsid w:val="00BA2DDC"/>
    <w:rsid w:val="00BA3068"/>
    <w:rsid w:val="00BA324A"/>
    <w:rsid w:val="00BA3946"/>
    <w:rsid w:val="00BA3C4D"/>
    <w:rsid w:val="00BA4B1A"/>
    <w:rsid w:val="00BA4C31"/>
    <w:rsid w:val="00BA545C"/>
    <w:rsid w:val="00BA62FC"/>
    <w:rsid w:val="00BA688D"/>
    <w:rsid w:val="00BA6A42"/>
    <w:rsid w:val="00BA7049"/>
    <w:rsid w:val="00BA7058"/>
    <w:rsid w:val="00BA7970"/>
    <w:rsid w:val="00BA7CEE"/>
    <w:rsid w:val="00BB028F"/>
    <w:rsid w:val="00BB07E5"/>
    <w:rsid w:val="00BB11B3"/>
    <w:rsid w:val="00BB14AC"/>
    <w:rsid w:val="00BB14B9"/>
    <w:rsid w:val="00BB25C4"/>
    <w:rsid w:val="00BB25D3"/>
    <w:rsid w:val="00BB2A72"/>
    <w:rsid w:val="00BB2E88"/>
    <w:rsid w:val="00BB3828"/>
    <w:rsid w:val="00BB4E72"/>
    <w:rsid w:val="00BB5134"/>
    <w:rsid w:val="00BB53D4"/>
    <w:rsid w:val="00BB605F"/>
    <w:rsid w:val="00BB6679"/>
    <w:rsid w:val="00BB6924"/>
    <w:rsid w:val="00BB6A75"/>
    <w:rsid w:val="00BB6BFF"/>
    <w:rsid w:val="00BB741E"/>
    <w:rsid w:val="00BC0D51"/>
    <w:rsid w:val="00BC1082"/>
    <w:rsid w:val="00BC17B8"/>
    <w:rsid w:val="00BC1BD5"/>
    <w:rsid w:val="00BC2627"/>
    <w:rsid w:val="00BC278A"/>
    <w:rsid w:val="00BC295A"/>
    <w:rsid w:val="00BC2D62"/>
    <w:rsid w:val="00BC3A15"/>
    <w:rsid w:val="00BC41B0"/>
    <w:rsid w:val="00BC5264"/>
    <w:rsid w:val="00BC5442"/>
    <w:rsid w:val="00BC6030"/>
    <w:rsid w:val="00BC6787"/>
    <w:rsid w:val="00BC6FAB"/>
    <w:rsid w:val="00BC74C6"/>
    <w:rsid w:val="00BC79D3"/>
    <w:rsid w:val="00BC7AC8"/>
    <w:rsid w:val="00BD019E"/>
    <w:rsid w:val="00BD0321"/>
    <w:rsid w:val="00BD11C9"/>
    <w:rsid w:val="00BD1666"/>
    <w:rsid w:val="00BD1725"/>
    <w:rsid w:val="00BD2012"/>
    <w:rsid w:val="00BD27BE"/>
    <w:rsid w:val="00BD29A4"/>
    <w:rsid w:val="00BD3F27"/>
    <w:rsid w:val="00BD47DA"/>
    <w:rsid w:val="00BD4C56"/>
    <w:rsid w:val="00BD4D5D"/>
    <w:rsid w:val="00BD5FB1"/>
    <w:rsid w:val="00BD646C"/>
    <w:rsid w:val="00BD731F"/>
    <w:rsid w:val="00BE0160"/>
    <w:rsid w:val="00BE0D1E"/>
    <w:rsid w:val="00BE0ED3"/>
    <w:rsid w:val="00BE124C"/>
    <w:rsid w:val="00BE1F94"/>
    <w:rsid w:val="00BE253C"/>
    <w:rsid w:val="00BE270F"/>
    <w:rsid w:val="00BE3339"/>
    <w:rsid w:val="00BE3482"/>
    <w:rsid w:val="00BE35E1"/>
    <w:rsid w:val="00BE48FA"/>
    <w:rsid w:val="00BE5360"/>
    <w:rsid w:val="00BE5E51"/>
    <w:rsid w:val="00BE646F"/>
    <w:rsid w:val="00BE7521"/>
    <w:rsid w:val="00BE7639"/>
    <w:rsid w:val="00BE77E2"/>
    <w:rsid w:val="00BF0411"/>
    <w:rsid w:val="00BF044F"/>
    <w:rsid w:val="00BF0525"/>
    <w:rsid w:val="00BF18DF"/>
    <w:rsid w:val="00BF1D28"/>
    <w:rsid w:val="00BF2CBE"/>
    <w:rsid w:val="00BF320C"/>
    <w:rsid w:val="00BF367D"/>
    <w:rsid w:val="00BF36C1"/>
    <w:rsid w:val="00BF40A5"/>
    <w:rsid w:val="00BF4457"/>
    <w:rsid w:val="00BF4C91"/>
    <w:rsid w:val="00BF54C9"/>
    <w:rsid w:val="00BF5C86"/>
    <w:rsid w:val="00BF5D10"/>
    <w:rsid w:val="00BF6230"/>
    <w:rsid w:val="00BF638E"/>
    <w:rsid w:val="00BF63C2"/>
    <w:rsid w:val="00BF6904"/>
    <w:rsid w:val="00BF691D"/>
    <w:rsid w:val="00BF6E68"/>
    <w:rsid w:val="00BF6E6D"/>
    <w:rsid w:val="00BF725E"/>
    <w:rsid w:val="00BF7DA9"/>
    <w:rsid w:val="00C001DE"/>
    <w:rsid w:val="00C004CE"/>
    <w:rsid w:val="00C00981"/>
    <w:rsid w:val="00C00FDB"/>
    <w:rsid w:val="00C02118"/>
    <w:rsid w:val="00C023E5"/>
    <w:rsid w:val="00C02DD9"/>
    <w:rsid w:val="00C0300D"/>
    <w:rsid w:val="00C03472"/>
    <w:rsid w:val="00C0358A"/>
    <w:rsid w:val="00C036E3"/>
    <w:rsid w:val="00C0377F"/>
    <w:rsid w:val="00C03C2D"/>
    <w:rsid w:val="00C03F67"/>
    <w:rsid w:val="00C04031"/>
    <w:rsid w:val="00C042D1"/>
    <w:rsid w:val="00C04A4A"/>
    <w:rsid w:val="00C051BC"/>
    <w:rsid w:val="00C056D4"/>
    <w:rsid w:val="00C05D94"/>
    <w:rsid w:val="00C06061"/>
    <w:rsid w:val="00C06B83"/>
    <w:rsid w:val="00C07383"/>
    <w:rsid w:val="00C07D9C"/>
    <w:rsid w:val="00C07E18"/>
    <w:rsid w:val="00C1029B"/>
    <w:rsid w:val="00C102BF"/>
    <w:rsid w:val="00C10645"/>
    <w:rsid w:val="00C10702"/>
    <w:rsid w:val="00C107BC"/>
    <w:rsid w:val="00C11342"/>
    <w:rsid w:val="00C11675"/>
    <w:rsid w:val="00C1197A"/>
    <w:rsid w:val="00C11A00"/>
    <w:rsid w:val="00C11F16"/>
    <w:rsid w:val="00C121C9"/>
    <w:rsid w:val="00C12BAE"/>
    <w:rsid w:val="00C12CEA"/>
    <w:rsid w:val="00C1394C"/>
    <w:rsid w:val="00C139F1"/>
    <w:rsid w:val="00C1469A"/>
    <w:rsid w:val="00C14DF3"/>
    <w:rsid w:val="00C15046"/>
    <w:rsid w:val="00C15284"/>
    <w:rsid w:val="00C15375"/>
    <w:rsid w:val="00C15C85"/>
    <w:rsid w:val="00C15DB5"/>
    <w:rsid w:val="00C15DE9"/>
    <w:rsid w:val="00C16219"/>
    <w:rsid w:val="00C16839"/>
    <w:rsid w:val="00C16A2A"/>
    <w:rsid w:val="00C172E4"/>
    <w:rsid w:val="00C17712"/>
    <w:rsid w:val="00C17B6B"/>
    <w:rsid w:val="00C204ED"/>
    <w:rsid w:val="00C20555"/>
    <w:rsid w:val="00C20B8D"/>
    <w:rsid w:val="00C218FF"/>
    <w:rsid w:val="00C21F5A"/>
    <w:rsid w:val="00C227A0"/>
    <w:rsid w:val="00C229DD"/>
    <w:rsid w:val="00C229FE"/>
    <w:rsid w:val="00C22A0E"/>
    <w:rsid w:val="00C22D0E"/>
    <w:rsid w:val="00C231C6"/>
    <w:rsid w:val="00C24036"/>
    <w:rsid w:val="00C245C7"/>
    <w:rsid w:val="00C248A2"/>
    <w:rsid w:val="00C24D84"/>
    <w:rsid w:val="00C24DE6"/>
    <w:rsid w:val="00C252C6"/>
    <w:rsid w:val="00C253F4"/>
    <w:rsid w:val="00C25836"/>
    <w:rsid w:val="00C261BD"/>
    <w:rsid w:val="00C2629A"/>
    <w:rsid w:val="00C2671F"/>
    <w:rsid w:val="00C26997"/>
    <w:rsid w:val="00C26A75"/>
    <w:rsid w:val="00C26AD6"/>
    <w:rsid w:val="00C26E29"/>
    <w:rsid w:val="00C27071"/>
    <w:rsid w:val="00C277C7"/>
    <w:rsid w:val="00C27A3B"/>
    <w:rsid w:val="00C27AC2"/>
    <w:rsid w:val="00C27CB0"/>
    <w:rsid w:val="00C27FDE"/>
    <w:rsid w:val="00C30610"/>
    <w:rsid w:val="00C30690"/>
    <w:rsid w:val="00C30757"/>
    <w:rsid w:val="00C30805"/>
    <w:rsid w:val="00C308BE"/>
    <w:rsid w:val="00C30929"/>
    <w:rsid w:val="00C30980"/>
    <w:rsid w:val="00C3172E"/>
    <w:rsid w:val="00C31C9F"/>
    <w:rsid w:val="00C3228E"/>
    <w:rsid w:val="00C323AA"/>
    <w:rsid w:val="00C3286D"/>
    <w:rsid w:val="00C32A74"/>
    <w:rsid w:val="00C32B5C"/>
    <w:rsid w:val="00C33211"/>
    <w:rsid w:val="00C335F9"/>
    <w:rsid w:val="00C3365C"/>
    <w:rsid w:val="00C33B35"/>
    <w:rsid w:val="00C344D2"/>
    <w:rsid w:val="00C34560"/>
    <w:rsid w:val="00C34634"/>
    <w:rsid w:val="00C34856"/>
    <w:rsid w:val="00C34B35"/>
    <w:rsid w:val="00C35614"/>
    <w:rsid w:val="00C35989"/>
    <w:rsid w:val="00C35A66"/>
    <w:rsid w:val="00C35AC2"/>
    <w:rsid w:val="00C35B94"/>
    <w:rsid w:val="00C35E2F"/>
    <w:rsid w:val="00C366EC"/>
    <w:rsid w:val="00C373F6"/>
    <w:rsid w:val="00C37DFE"/>
    <w:rsid w:val="00C41E8A"/>
    <w:rsid w:val="00C41FB5"/>
    <w:rsid w:val="00C41FDB"/>
    <w:rsid w:val="00C425E1"/>
    <w:rsid w:val="00C43A1F"/>
    <w:rsid w:val="00C43DDD"/>
    <w:rsid w:val="00C442EF"/>
    <w:rsid w:val="00C4475D"/>
    <w:rsid w:val="00C448DE"/>
    <w:rsid w:val="00C45A76"/>
    <w:rsid w:val="00C45AF1"/>
    <w:rsid w:val="00C468E7"/>
    <w:rsid w:val="00C46E93"/>
    <w:rsid w:val="00C47CF4"/>
    <w:rsid w:val="00C50149"/>
    <w:rsid w:val="00C50246"/>
    <w:rsid w:val="00C507DB"/>
    <w:rsid w:val="00C50949"/>
    <w:rsid w:val="00C50AE2"/>
    <w:rsid w:val="00C50F3E"/>
    <w:rsid w:val="00C51627"/>
    <w:rsid w:val="00C527D2"/>
    <w:rsid w:val="00C52CDB"/>
    <w:rsid w:val="00C53128"/>
    <w:rsid w:val="00C5350F"/>
    <w:rsid w:val="00C539AE"/>
    <w:rsid w:val="00C53BAD"/>
    <w:rsid w:val="00C53D23"/>
    <w:rsid w:val="00C5416C"/>
    <w:rsid w:val="00C541B1"/>
    <w:rsid w:val="00C54699"/>
    <w:rsid w:val="00C55828"/>
    <w:rsid w:val="00C559C7"/>
    <w:rsid w:val="00C55D56"/>
    <w:rsid w:val="00C564FA"/>
    <w:rsid w:val="00C569AA"/>
    <w:rsid w:val="00C56D1B"/>
    <w:rsid w:val="00C56F93"/>
    <w:rsid w:val="00C5729F"/>
    <w:rsid w:val="00C5770D"/>
    <w:rsid w:val="00C60477"/>
    <w:rsid w:val="00C60A52"/>
    <w:rsid w:val="00C60F35"/>
    <w:rsid w:val="00C60F87"/>
    <w:rsid w:val="00C61100"/>
    <w:rsid w:val="00C612FF"/>
    <w:rsid w:val="00C613A3"/>
    <w:rsid w:val="00C613AC"/>
    <w:rsid w:val="00C613D2"/>
    <w:rsid w:val="00C61427"/>
    <w:rsid w:val="00C614FF"/>
    <w:rsid w:val="00C617FD"/>
    <w:rsid w:val="00C61924"/>
    <w:rsid w:val="00C61C07"/>
    <w:rsid w:val="00C6226B"/>
    <w:rsid w:val="00C62489"/>
    <w:rsid w:val="00C62D9D"/>
    <w:rsid w:val="00C62EC6"/>
    <w:rsid w:val="00C63069"/>
    <w:rsid w:val="00C63E72"/>
    <w:rsid w:val="00C65171"/>
    <w:rsid w:val="00C654E6"/>
    <w:rsid w:val="00C65831"/>
    <w:rsid w:val="00C66600"/>
    <w:rsid w:val="00C667B3"/>
    <w:rsid w:val="00C674B9"/>
    <w:rsid w:val="00C674BA"/>
    <w:rsid w:val="00C67724"/>
    <w:rsid w:val="00C679A1"/>
    <w:rsid w:val="00C67A90"/>
    <w:rsid w:val="00C67B62"/>
    <w:rsid w:val="00C67C60"/>
    <w:rsid w:val="00C70844"/>
    <w:rsid w:val="00C709F2"/>
    <w:rsid w:val="00C70C38"/>
    <w:rsid w:val="00C70C5A"/>
    <w:rsid w:val="00C71EE4"/>
    <w:rsid w:val="00C727F8"/>
    <w:rsid w:val="00C729FC"/>
    <w:rsid w:val="00C72D3C"/>
    <w:rsid w:val="00C73B0D"/>
    <w:rsid w:val="00C73C4C"/>
    <w:rsid w:val="00C74FF9"/>
    <w:rsid w:val="00C751F9"/>
    <w:rsid w:val="00C759E2"/>
    <w:rsid w:val="00C75A22"/>
    <w:rsid w:val="00C75D3D"/>
    <w:rsid w:val="00C7607F"/>
    <w:rsid w:val="00C7695F"/>
    <w:rsid w:val="00C769A4"/>
    <w:rsid w:val="00C76EBF"/>
    <w:rsid w:val="00C77CA4"/>
    <w:rsid w:val="00C77D14"/>
    <w:rsid w:val="00C77EF7"/>
    <w:rsid w:val="00C80150"/>
    <w:rsid w:val="00C809DE"/>
    <w:rsid w:val="00C80A74"/>
    <w:rsid w:val="00C818A3"/>
    <w:rsid w:val="00C819AF"/>
    <w:rsid w:val="00C81AC8"/>
    <w:rsid w:val="00C82341"/>
    <w:rsid w:val="00C828A0"/>
    <w:rsid w:val="00C82B58"/>
    <w:rsid w:val="00C82DA8"/>
    <w:rsid w:val="00C83B4D"/>
    <w:rsid w:val="00C8473E"/>
    <w:rsid w:val="00C84AFA"/>
    <w:rsid w:val="00C84B24"/>
    <w:rsid w:val="00C84C38"/>
    <w:rsid w:val="00C84DBE"/>
    <w:rsid w:val="00C853EC"/>
    <w:rsid w:val="00C85870"/>
    <w:rsid w:val="00C85AE4"/>
    <w:rsid w:val="00C85B2C"/>
    <w:rsid w:val="00C85BF4"/>
    <w:rsid w:val="00C85E6D"/>
    <w:rsid w:val="00C85FA9"/>
    <w:rsid w:val="00C8613B"/>
    <w:rsid w:val="00C868FD"/>
    <w:rsid w:val="00C86E6B"/>
    <w:rsid w:val="00C86FA6"/>
    <w:rsid w:val="00C87AEC"/>
    <w:rsid w:val="00C87CA8"/>
    <w:rsid w:val="00C902D7"/>
    <w:rsid w:val="00C9047A"/>
    <w:rsid w:val="00C90548"/>
    <w:rsid w:val="00C905D1"/>
    <w:rsid w:val="00C90C64"/>
    <w:rsid w:val="00C90EF4"/>
    <w:rsid w:val="00C91645"/>
    <w:rsid w:val="00C91B76"/>
    <w:rsid w:val="00C91B9B"/>
    <w:rsid w:val="00C91D5A"/>
    <w:rsid w:val="00C91D8F"/>
    <w:rsid w:val="00C91E37"/>
    <w:rsid w:val="00C91E5F"/>
    <w:rsid w:val="00C9205A"/>
    <w:rsid w:val="00C927B3"/>
    <w:rsid w:val="00C93874"/>
    <w:rsid w:val="00C938A2"/>
    <w:rsid w:val="00C93BD1"/>
    <w:rsid w:val="00C945F5"/>
    <w:rsid w:val="00C94AD9"/>
    <w:rsid w:val="00C94F49"/>
    <w:rsid w:val="00C9507C"/>
    <w:rsid w:val="00C95319"/>
    <w:rsid w:val="00C95BA7"/>
    <w:rsid w:val="00C95D35"/>
    <w:rsid w:val="00C95D70"/>
    <w:rsid w:val="00C9639C"/>
    <w:rsid w:val="00C96722"/>
    <w:rsid w:val="00C96B3E"/>
    <w:rsid w:val="00C96EE0"/>
    <w:rsid w:val="00C975E4"/>
    <w:rsid w:val="00C97D4A"/>
    <w:rsid w:val="00C97DD5"/>
    <w:rsid w:val="00C97FEF"/>
    <w:rsid w:val="00CA065F"/>
    <w:rsid w:val="00CA085B"/>
    <w:rsid w:val="00CA0918"/>
    <w:rsid w:val="00CA12E3"/>
    <w:rsid w:val="00CA15B7"/>
    <w:rsid w:val="00CA1DCD"/>
    <w:rsid w:val="00CA2474"/>
    <w:rsid w:val="00CA2521"/>
    <w:rsid w:val="00CA25B2"/>
    <w:rsid w:val="00CA286E"/>
    <w:rsid w:val="00CA2C6A"/>
    <w:rsid w:val="00CA2F5B"/>
    <w:rsid w:val="00CA34D2"/>
    <w:rsid w:val="00CA454D"/>
    <w:rsid w:val="00CA5844"/>
    <w:rsid w:val="00CA6106"/>
    <w:rsid w:val="00CA6152"/>
    <w:rsid w:val="00CA62C1"/>
    <w:rsid w:val="00CA6DDA"/>
    <w:rsid w:val="00CA6F2D"/>
    <w:rsid w:val="00CA7277"/>
    <w:rsid w:val="00CB0276"/>
    <w:rsid w:val="00CB0AE0"/>
    <w:rsid w:val="00CB12B4"/>
    <w:rsid w:val="00CB1A09"/>
    <w:rsid w:val="00CB1AB0"/>
    <w:rsid w:val="00CB20FB"/>
    <w:rsid w:val="00CB2327"/>
    <w:rsid w:val="00CB249C"/>
    <w:rsid w:val="00CB2BA1"/>
    <w:rsid w:val="00CB30BB"/>
    <w:rsid w:val="00CB3161"/>
    <w:rsid w:val="00CB4B7F"/>
    <w:rsid w:val="00CB4BE2"/>
    <w:rsid w:val="00CB58D0"/>
    <w:rsid w:val="00CB5E63"/>
    <w:rsid w:val="00CB64F6"/>
    <w:rsid w:val="00CB700A"/>
    <w:rsid w:val="00CB73C8"/>
    <w:rsid w:val="00CB7B2B"/>
    <w:rsid w:val="00CB7D2C"/>
    <w:rsid w:val="00CC02AA"/>
    <w:rsid w:val="00CC075E"/>
    <w:rsid w:val="00CC186C"/>
    <w:rsid w:val="00CC1A62"/>
    <w:rsid w:val="00CC2076"/>
    <w:rsid w:val="00CC2AF2"/>
    <w:rsid w:val="00CC3C43"/>
    <w:rsid w:val="00CC3CC6"/>
    <w:rsid w:val="00CC3E5A"/>
    <w:rsid w:val="00CC3F08"/>
    <w:rsid w:val="00CC43A0"/>
    <w:rsid w:val="00CC4D43"/>
    <w:rsid w:val="00CC5475"/>
    <w:rsid w:val="00CC5542"/>
    <w:rsid w:val="00CC6628"/>
    <w:rsid w:val="00CC732F"/>
    <w:rsid w:val="00CC7C88"/>
    <w:rsid w:val="00CD0332"/>
    <w:rsid w:val="00CD0BD6"/>
    <w:rsid w:val="00CD0C7F"/>
    <w:rsid w:val="00CD11B4"/>
    <w:rsid w:val="00CD14E2"/>
    <w:rsid w:val="00CD1891"/>
    <w:rsid w:val="00CD1E4B"/>
    <w:rsid w:val="00CD2359"/>
    <w:rsid w:val="00CD23D8"/>
    <w:rsid w:val="00CD3282"/>
    <w:rsid w:val="00CD3CBF"/>
    <w:rsid w:val="00CD5F83"/>
    <w:rsid w:val="00CD6BDB"/>
    <w:rsid w:val="00CD6FE1"/>
    <w:rsid w:val="00CD7288"/>
    <w:rsid w:val="00CD738F"/>
    <w:rsid w:val="00CD74FA"/>
    <w:rsid w:val="00CE0303"/>
    <w:rsid w:val="00CE0694"/>
    <w:rsid w:val="00CE06B3"/>
    <w:rsid w:val="00CE0A01"/>
    <w:rsid w:val="00CE1037"/>
    <w:rsid w:val="00CE119D"/>
    <w:rsid w:val="00CE1854"/>
    <w:rsid w:val="00CE18FB"/>
    <w:rsid w:val="00CE1F9F"/>
    <w:rsid w:val="00CE22C5"/>
    <w:rsid w:val="00CE2488"/>
    <w:rsid w:val="00CE2BD4"/>
    <w:rsid w:val="00CE39AF"/>
    <w:rsid w:val="00CE3F71"/>
    <w:rsid w:val="00CE4F81"/>
    <w:rsid w:val="00CE50C3"/>
    <w:rsid w:val="00CE52CF"/>
    <w:rsid w:val="00CE5529"/>
    <w:rsid w:val="00CE5A8F"/>
    <w:rsid w:val="00CE5CC7"/>
    <w:rsid w:val="00CE5EC7"/>
    <w:rsid w:val="00CE6E07"/>
    <w:rsid w:val="00CE6FB4"/>
    <w:rsid w:val="00CE727F"/>
    <w:rsid w:val="00CE76E2"/>
    <w:rsid w:val="00CE794D"/>
    <w:rsid w:val="00CE7A10"/>
    <w:rsid w:val="00CE7A31"/>
    <w:rsid w:val="00CE7A58"/>
    <w:rsid w:val="00CF1016"/>
    <w:rsid w:val="00CF192D"/>
    <w:rsid w:val="00CF19B9"/>
    <w:rsid w:val="00CF1BD8"/>
    <w:rsid w:val="00CF23F3"/>
    <w:rsid w:val="00CF25DC"/>
    <w:rsid w:val="00CF2982"/>
    <w:rsid w:val="00CF2DD8"/>
    <w:rsid w:val="00CF3126"/>
    <w:rsid w:val="00CF323E"/>
    <w:rsid w:val="00CF3313"/>
    <w:rsid w:val="00CF36D8"/>
    <w:rsid w:val="00CF38F1"/>
    <w:rsid w:val="00CF42F5"/>
    <w:rsid w:val="00CF438F"/>
    <w:rsid w:val="00CF47DD"/>
    <w:rsid w:val="00CF51E8"/>
    <w:rsid w:val="00CF54FA"/>
    <w:rsid w:val="00CF5C4D"/>
    <w:rsid w:val="00CF5C88"/>
    <w:rsid w:val="00CF5CE4"/>
    <w:rsid w:val="00CF6334"/>
    <w:rsid w:val="00CF6339"/>
    <w:rsid w:val="00CF65B1"/>
    <w:rsid w:val="00CF69B0"/>
    <w:rsid w:val="00CF7272"/>
    <w:rsid w:val="00CF79D8"/>
    <w:rsid w:val="00D0085D"/>
    <w:rsid w:val="00D00D84"/>
    <w:rsid w:val="00D00DDB"/>
    <w:rsid w:val="00D00EB7"/>
    <w:rsid w:val="00D01C39"/>
    <w:rsid w:val="00D0289D"/>
    <w:rsid w:val="00D02BFB"/>
    <w:rsid w:val="00D02E05"/>
    <w:rsid w:val="00D02F47"/>
    <w:rsid w:val="00D02F61"/>
    <w:rsid w:val="00D034AE"/>
    <w:rsid w:val="00D035BA"/>
    <w:rsid w:val="00D03AF1"/>
    <w:rsid w:val="00D03D05"/>
    <w:rsid w:val="00D0403E"/>
    <w:rsid w:val="00D0459C"/>
    <w:rsid w:val="00D04849"/>
    <w:rsid w:val="00D050C0"/>
    <w:rsid w:val="00D0520C"/>
    <w:rsid w:val="00D05837"/>
    <w:rsid w:val="00D059FC"/>
    <w:rsid w:val="00D05C1C"/>
    <w:rsid w:val="00D05C5C"/>
    <w:rsid w:val="00D05CAF"/>
    <w:rsid w:val="00D05D0D"/>
    <w:rsid w:val="00D0606D"/>
    <w:rsid w:val="00D06832"/>
    <w:rsid w:val="00D07A64"/>
    <w:rsid w:val="00D100F7"/>
    <w:rsid w:val="00D104D6"/>
    <w:rsid w:val="00D10757"/>
    <w:rsid w:val="00D108B9"/>
    <w:rsid w:val="00D10ABC"/>
    <w:rsid w:val="00D11184"/>
    <w:rsid w:val="00D11312"/>
    <w:rsid w:val="00D11963"/>
    <w:rsid w:val="00D11978"/>
    <w:rsid w:val="00D11FB0"/>
    <w:rsid w:val="00D1233F"/>
    <w:rsid w:val="00D126CF"/>
    <w:rsid w:val="00D12A10"/>
    <w:rsid w:val="00D12B39"/>
    <w:rsid w:val="00D12D75"/>
    <w:rsid w:val="00D138D9"/>
    <w:rsid w:val="00D139FE"/>
    <w:rsid w:val="00D14829"/>
    <w:rsid w:val="00D14983"/>
    <w:rsid w:val="00D14D0B"/>
    <w:rsid w:val="00D15110"/>
    <w:rsid w:val="00D15158"/>
    <w:rsid w:val="00D15F82"/>
    <w:rsid w:val="00D16D51"/>
    <w:rsid w:val="00D16EE8"/>
    <w:rsid w:val="00D17A18"/>
    <w:rsid w:val="00D17A36"/>
    <w:rsid w:val="00D17A8D"/>
    <w:rsid w:val="00D17BF3"/>
    <w:rsid w:val="00D17F8F"/>
    <w:rsid w:val="00D203F5"/>
    <w:rsid w:val="00D20679"/>
    <w:rsid w:val="00D20685"/>
    <w:rsid w:val="00D2105E"/>
    <w:rsid w:val="00D21153"/>
    <w:rsid w:val="00D217DD"/>
    <w:rsid w:val="00D2189D"/>
    <w:rsid w:val="00D21E1E"/>
    <w:rsid w:val="00D220DD"/>
    <w:rsid w:val="00D223FC"/>
    <w:rsid w:val="00D2246E"/>
    <w:rsid w:val="00D2264C"/>
    <w:rsid w:val="00D22673"/>
    <w:rsid w:val="00D22BE6"/>
    <w:rsid w:val="00D22CAC"/>
    <w:rsid w:val="00D22F6B"/>
    <w:rsid w:val="00D23B38"/>
    <w:rsid w:val="00D23F97"/>
    <w:rsid w:val="00D241F3"/>
    <w:rsid w:val="00D24694"/>
    <w:rsid w:val="00D247FF"/>
    <w:rsid w:val="00D251AB"/>
    <w:rsid w:val="00D253E9"/>
    <w:rsid w:val="00D255DE"/>
    <w:rsid w:val="00D25814"/>
    <w:rsid w:val="00D25BBE"/>
    <w:rsid w:val="00D25E3A"/>
    <w:rsid w:val="00D262CD"/>
    <w:rsid w:val="00D263F4"/>
    <w:rsid w:val="00D26589"/>
    <w:rsid w:val="00D268EF"/>
    <w:rsid w:val="00D26BB5"/>
    <w:rsid w:val="00D26E03"/>
    <w:rsid w:val="00D273AB"/>
    <w:rsid w:val="00D27A01"/>
    <w:rsid w:val="00D27AC8"/>
    <w:rsid w:val="00D3093D"/>
    <w:rsid w:val="00D30E8D"/>
    <w:rsid w:val="00D30F4B"/>
    <w:rsid w:val="00D3170A"/>
    <w:rsid w:val="00D31746"/>
    <w:rsid w:val="00D32D17"/>
    <w:rsid w:val="00D33568"/>
    <w:rsid w:val="00D33A10"/>
    <w:rsid w:val="00D33A12"/>
    <w:rsid w:val="00D33B74"/>
    <w:rsid w:val="00D33BAD"/>
    <w:rsid w:val="00D34421"/>
    <w:rsid w:val="00D353A2"/>
    <w:rsid w:val="00D356E6"/>
    <w:rsid w:val="00D36127"/>
    <w:rsid w:val="00D36456"/>
    <w:rsid w:val="00D36572"/>
    <w:rsid w:val="00D36663"/>
    <w:rsid w:val="00D366D7"/>
    <w:rsid w:val="00D367A6"/>
    <w:rsid w:val="00D372BE"/>
    <w:rsid w:val="00D37885"/>
    <w:rsid w:val="00D4012A"/>
    <w:rsid w:val="00D4058C"/>
    <w:rsid w:val="00D408F7"/>
    <w:rsid w:val="00D40D5C"/>
    <w:rsid w:val="00D4102C"/>
    <w:rsid w:val="00D41231"/>
    <w:rsid w:val="00D4168D"/>
    <w:rsid w:val="00D4276B"/>
    <w:rsid w:val="00D42F3B"/>
    <w:rsid w:val="00D43146"/>
    <w:rsid w:val="00D43345"/>
    <w:rsid w:val="00D44003"/>
    <w:rsid w:val="00D441D5"/>
    <w:rsid w:val="00D44B19"/>
    <w:rsid w:val="00D44B2D"/>
    <w:rsid w:val="00D44CA2"/>
    <w:rsid w:val="00D45267"/>
    <w:rsid w:val="00D45BDE"/>
    <w:rsid w:val="00D45C9D"/>
    <w:rsid w:val="00D4789E"/>
    <w:rsid w:val="00D47B60"/>
    <w:rsid w:val="00D47CFA"/>
    <w:rsid w:val="00D50570"/>
    <w:rsid w:val="00D50E77"/>
    <w:rsid w:val="00D51004"/>
    <w:rsid w:val="00D5134B"/>
    <w:rsid w:val="00D516E0"/>
    <w:rsid w:val="00D5292E"/>
    <w:rsid w:val="00D53471"/>
    <w:rsid w:val="00D53F37"/>
    <w:rsid w:val="00D54274"/>
    <w:rsid w:val="00D5512C"/>
    <w:rsid w:val="00D5597D"/>
    <w:rsid w:val="00D55D7C"/>
    <w:rsid w:val="00D560C1"/>
    <w:rsid w:val="00D56236"/>
    <w:rsid w:val="00D56CE3"/>
    <w:rsid w:val="00D56D41"/>
    <w:rsid w:val="00D57C30"/>
    <w:rsid w:val="00D57CA1"/>
    <w:rsid w:val="00D57F0A"/>
    <w:rsid w:val="00D6096C"/>
    <w:rsid w:val="00D60C43"/>
    <w:rsid w:val="00D614C2"/>
    <w:rsid w:val="00D6195E"/>
    <w:rsid w:val="00D62321"/>
    <w:rsid w:val="00D628B7"/>
    <w:rsid w:val="00D630A1"/>
    <w:rsid w:val="00D633C7"/>
    <w:rsid w:val="00D634D6"/>
    <w:rsid w:val="00D63540"/>
    <w:rsid w:val="00D6424A"/>
    <w:rsid w:val="00D6462E"/>
    <w:rsid w:val="00D646B9"/>
    <w:rsid w:val="00D648D8"/>
    <w:rsid w:val="00D64ABA"/>
    <w:rsid w:val="00D6541D"/>
    <w:rsid w:val="00D660EB"/>
    <w:rsid w:val="00D66272"/>
    <w:rsid w:val="00D66BB9"/>
    <w:rsid w:val="00D67159"/>
    <w:rsid w:val="00D67649"/>
    <w:rsid w:val="00D70A3E"/>
    <w:rsid w:val="00D70C79"/>
    <w:rsid w:val="00D70E47"/>
    <w:rsid w:val="00D70FC0"/>
    <w:rsid w:val="00D719BE"/>
    <w:rsid w:val="00D71B6E"/>
    <w:rsid w:val="00D71D81"/>
    <w:rsid w:val="00D73333"/>
    <w:rsid w:val="00D736CD"/>
    <w:rsid w:val="00D7371E"/>
    <w:rsid w:val="00D7394C"/>
    <w:rsid w:val="00D745B6"/>
    <w:rsid w:val="00D748DD"/>
    <w:rsid w:val="00D74B71"/>
    <w:rsid w:val="00D74F3B"/>
    <w:rsid w:val="00D7530B"/>
    <w:rsid w:val="00D754B7"/>
    <w:rsid w:val="00D7676A"/>
    <w:rsid w:val="00D76A0D"/>
    <w:rsid w:val="00D77A5B"/>
    <w:rsid w:val="00D77CAE"/>
    <w:rsid w:val="00D806FF"/>
    <w:rsid w:val="00D80BCF"/>
    <w:rsid w:val="00D80C3F"/>
    <w:rsid w:val="00D812A8"/>
    <w:rsid w:val="00D81537"/>
    <w:rsid w:val="00D81751"/>
    <w:rsid w:val="00D81BCC"/>
    <w:rsid w:val="00D81D3E"/>
    <w:rsid w:val="00D81EBF"/>
    <w:rsid w:val="00D820FD"/>
    <w:rsid w:val="00D82BDA"/>
    <w:rsid w:val="00D82D5C"/>
    <w:rsid w:val="00D83009"/>
    <w:rsid w:val="00D8366E"/>
    <w:rsid w:val="00D838E5"/>
    <w:rsid w:val="00D84099"/>
    <w:rsid w:val="00D84252"/>
    <w:rsid w:val="00D84EDC"/>
    <w:rsid w:val="00D853AD"/>
    <w:rsid w:val="00D855D8"/>
    <w:rsid w:val="00D868F0"/>
    <w:rsid w:val="00D86A66"/>
    <w:rsid w:val="00D86C6B"/>
    <w:rsid w:val="00D8772B"/>
    <w:rsid w:val="00D87E05"/>
    <w:rsid w:val="00D9054A"/>
    <w:rsid w:val="00D90B22"/>
    <w:rsid w:val="00D90B73"/>
    <w:rsid w:val="00D90C9A"/>
    <w:rsid w:val="00D911A7"/>
    <w:rsid w:val="00D91574"/>
    <w:rsid w:val="00D91A41"/>
    <w:rsid w:val="00D92B20"/>
    <w:rsid w:val="00D92B74"/>
    <w:rsid w:val="00D93585"/>
    <w:rsid w:val="00D9399D"/>
    <w:rsid w:val="00D93DBC"/>
    <w:rsid w:val="00D93E70"/>
    <w:rsid w:val="00D9451C"/>
    <w:rsid w:val="00D947B3"/>
    <w:rsid w:val="00D94803"/>
    <w:rsid w:val="00D9627E"/>
    <w:rsid w:val="00D96353"/>
    <w:rsid w:val="00D96D7B"/>
    <w:rsid w:val="00D97615"/>
    <w:rsid w:val="00DA0DD2"/>
    <w:rsid w:val="00DA157D"/>
    <w:rsid w:val="00DA17F0"/>
    <w:rsid w:val="00DA1812"/>
    <w:rsid w:val="00DA1C84"/>
    <w:rsid w:val="00DA2B49"/>
    <w:rsid w:val="00DA2DE4"/>
    <w:rsid w:val="00DA33F0"/>
    <w:rsid w:val="00DA3991"/>
    <w:rsid w:val="00DA4090"/>
    <w:rsid w:val="00DA438A"/>
    <w:rsid w:val="00DA4ABB"/>
    <w:rsid w:val="00DA56AB"/>
    <w:rsid w:val="00DA59DA"/>
    <w:rsid w:val="00DA5FCE"/>
    <w:rsid w:val="00DA6707"/>
    <w:rsid w:val="00DA6BF0"/>
    <w:rsid w:val="00DA7038"/>
    <w:rsid w:val="00DA71A8"/>
    <w:rsid w:val="00DA7A92"/>
    <w:rsid w:val="00DA7C6C"/>
    <w:rsid w:val="00DA7E42"/>
    <w:rsid w:val="00DB02E0"/>
    <w:rsid w:val="00DB0687"/>
    <w:rsid w:val="00DB08DB"/>
    <w:rsid w:val="00DB0B1A"/>
    <w:rsid w:val="00DB0B23"/>
    <w:rsid w:val="00DB0C95"/>
    <w:rsid w:val="00DB180F"/>
    <w:rsid w:val="00DB1FC1"/>
    <w:rsid w:val="00DB26C6"/>
    <w:rsid w:val="00DB37DF"/>
    <w:rsid w:val="00DB3900"/>
    <w:rsid w:val="00DB48C7"/>
    <w:rsid w:val="00DB4949"/>
    <w:rsid w:val="00DB619A"/>
    <w:rsid w:val="00DB62BA"/>
    <w:rsid w:val="00DB6440"/>
    <w:rsid w:val="00DB6EDA"/>
    <w:rsid w:val="00DB7258"/>
    <w:rsid w:val="00DB74EE"/>
    <w:rsid w:val="00DC0094"/>
    <w:rsid w:val="00DC05E4"/>
    <w:rsid w:val="00DC074D"/>
    <w:rsid w:val="00DC0A39"/>
    <w:rsid w:val="00DC0CE2"/>
    <w:rsid w:val="00DC1155"/>
    <w:rsid w:val="00DC16BB"/>
    <w:rsid w:val="00DC1AC8"/>
    <w:rsid w:val="00DC24D3"/>
    <w:rsid w:val="00DC30DE"/>
    <w:rsid w:val="00DC3D90"/>
    <w:rsid w:val="00DC3E00"/>
    <w:rsid w:val="00DC4482"/>
    <w:rsid w:val="00DC4FF8"/>
    <w:rsid w:val="00DC53E9"/>
    <w:rsid w:val="00DC5DD7"/>
    <w:rsid w:val="00DC617C"/>
    <w:rsid w:val="00DC62CF"/>
    <w:rsid w:val="00DC635A"/>
    <w:rsid w:val="00DC6463"/>
    <w:rsid w:val="00DC6DA7"/>
    <w:rsid w:val="00DC6E72"/>
    <w:rsid w:val="00DC71C1"/>
    <w:rsid w:val="00DC7942"/>
    <w:rsid w:val="00DC7C4F"/>
    <w:rsid w:val="00DC7CF6"/>
    <w:rsid w:val="00DC7E73"/>
    <w:rsid w:val="00DD0429"/>
    <w:rsid w:val="00DD05E1"/>
    <w:rsid w:val="00DD07EC"/>
    <w:rsid w:val="00DD0DAB"/>
    <w:rsid w:val="00DD1491"/>
    <w:rsid w:val="00DD14D1"/>
    <w:rsid w:val="00DD17B3"/>
    <w:rsid w:val="00DD1D60"/>
    <w:rsid w:val="00DD25C3"/>
    <w:rsid w:val="00DD2923"/>
    <w:rsid w:val="00DD2F74"/>
    <w:rsid w:val="00DD3145"/>
    <w:rsid w:val="00DD34AF"/>
    <w:rsid w:val="00DD3AB8"/>
    <w:rsid w:val="00DD4869"/>
    <w:rsid w:val="00DD4910"/>
    <w:rsid w:val="00DD4A45"/>
    <w:rsid w:val="00DD4C34"/>
    <w:rsid w:val="00DD5107"/>
    <w:rsid w:val="00DD5421"/>
    <w:rsid w:val="00DD5E3A"/>
    <w:rsid w:val="00DD600B"/>
    <w:rsid w:val="00DD69F3"/>
    <w:rsid w:val="00DD6BA4"/>
    <w:rsid w:val="00DD6F57"/>
    <w:rsid w:val="00DD6F96"/>
    <w:rsid w:val="00DD7319"/>
    <w:rsid w:val="00DD74A1"/>
    <w:rsid w:val="00DD754B"/>
    <w:rsid w:val="00DD772B"/>
    <w:rsid w:val="00DD77ED"/>
    <w:rsid w:val="00DD7ACA"/>
    <w:rsid w:val="00DD7BB1"/>
    <w:rsid w:val="00DD7E95"/>
    <w:rsid w:val="00DD7ECF"/>
    <w:rsid w:val="00DD7EEF"/>
    <w:rsid w:val="00DE04B0"/>
    <w:rsid w:val="00DE11C0"/>
    <w:rsid w:val="00DE120A"/>
    <w:rsid w:val="00DE1323"/>
    <w:rsid w:val="00DE15CA"/>
    <w:rsid w:val="00DE1B0D"/>
    <w:rsid w:val="00DE22E4"/>
    <w:rsid w:val="00DE2458"/>
    <w:rsid w:val="00DE25A1"/>
    <w:rsid w:val="00DE26A9"/>
    <w:rsid w:val="00DE26FC"/>
    <w:rsid w:val="00DE2F25"/>
    <w:rsid w:val="00DE3276"/>
    <w:rsid w:val="00DE34C4"/>
    <w:rsid w:val="00DE371F"/>
    <w:rsid w:val="00DE3D2D"/>
    <w:rsid w:val="00DE45AA"/>
    <w:rsid w:val="00DE502E"/>
    <w:rsid w:val="00DE51C2"/>
    <w:rsid w:val="00DE58E9"/>
    <w:rsid w:val="00DE5FDB"/>
    <w:rsid w:val="00DE6AE2"/>
    <w:rsid w:val="00DE6BBD"/>
    <w:rsid w:val="00DE72D5"/>
    <w:rsid w:val="00DE7BD6"/>
    <w:rsid w:val="00DF0C34"/>
    <w:rsid w:val="00DF0CD9"/>
    <w:rsid w:val="00DF1127"/>
    <w:rsid w:val="00DF1548"/>
    <w:rsid w:val="00DF16BA"/>
    <w:rsid w:val="00DF1FD6"/>
    <w:rsid w:val="00DF21A2"/>
    <w:rsid w:val="00DF29BD"/>
    <w:rsid w:val="00DF3119"/>
    <w:rsid w:val="00DF31CE"/>
    <w:rsid w:val="00DF32A3"/>
    <w:rsid w:val="00DF3B7D"/>
    <w:rsid w:val="00DF419F"/>
    <w:rsid w:val="00DF4AC3"/>
    <w:rsid w:val="00DF4BF2"/>
    <w:rsid w:val="00DF53F0"/>
    <w:rsid w:val="00DF5E6B"/>
    <w:rsid w:val="00DF616C"/>
    <w:rsid w:val="00DF61CC"/>
    <w:rsid w:val="00DF68B4"/>
    <w:rsid w:val="00DF68BA"/>
    <w:rsid w:val="00DF6ECE"/>
    <w:rsid w:val="00DF6F8C"/>
    <w:rsid w:val="00DF7034"/>
    <w:rsid w:val="00DF70B4"/>
    <w:rsid w:val="00DF7210"/>
    <w:rsid w:val="00DF766C"/>
    <w:rsid w:val="00DF7B87"/>
    <w:rsid w:val="00DF7BA0"/>
    <w:rsid w:val="00DF7CA1"/>
    <w:rsid w:val="00DF7D9E"/>
    <w:rsid w:val="00E00127"/>
    <w:rsid w:val="00E005F0"/>
    <w:rsid w:val="00E009B7"/>
    <w:rsid w:val="00E0105D"/>
    <w:rsid w:val="00E012D1"/>
    <w:rsid w:val="00E017F2"/>
    <w:rsid w:val="00E01837"/>
    <w:rsid w:val="00E01988"/>
    <w:rsid w:val="00E024A9"/>
    <w:rsid w:val="00E02935"/>
    <w:rsid w:val="00E03482"/>
    <w:rsid w:val="00E040AF"/>
    <w:rsid w:val="00E040CD"/>
    <w:rsid w:val="00E0446E"/>
    <w:rsid w:val="00E04ED0"/>
    <w:rsid w:val="00E054C6"/>
    <w:rsid w:val="00E05701"/>
    <w:rsid w:val="00E059EB"/>
    <w:rsid w:val="00E05E6B"/>
    <w:rsid w:val="00E05EEC"/>
    <w:rsid w:val="00E0619F"/>
    <w:rsid w:val="00E0728F"/>
    <w:rsid w:val="00E07ED0"/>
    <w:rsid w:val="00E07F2A"/>
    <w:rsid w:val="00E10186"/>
    <w:rsid w:val="00E107ED"/>
    <w:rsid w:val="00E1085C"/>
    <w:rsid w:val="00E108EF"/>
    <w:rsid w:val="00E10D06"/>
    <w:rsid w:val="00E112E1"/>
    <w:rsid w:val="00E119E4"/>
    <w:rsid w:val="00E11BEB"/>
    <w:rsid w:val="00E11FD6"/>
    <w:rsid w:val="00E126FB"/>
    <w:rsid w:val="00E129DD"/>
    <w:rsid w:val="00E12E4F"/>
    <w:rsid w:val="00E12EE9"/>
    <w:rsid w:val="00E13273"/>
    <w:rsid w:val="00E13CBF"/>
    <w:rsid w:val="00E13E06"/>
    <w:rsid w:val="00E14061"/>
    <w:rsid w:val="00E1470B"/>
    <w:rsid w:val="00E14A25"/>
    <w:rsid w:val="00E14F7F"/>
    <w:rsid w:val="00E15744"/>
    <w:rsid w:val="00E15856"/>
    <w:rsid w:val="00E15E62"/>
    <w:rsid w:val="00E16C16"/>
    <w:rsid w:val="00E1767A"/>
    <w:rsid w:val="00E201EF"/>
    <w:rsid w:val="00E201F7"/>
    <w:rsid w:val="00E2071E"/>
    <w:rsid w:val="00E20AE3"/>
    <w:rsid w:val="00E2102D"/>
    <w:rsid w:val="00E21034"/>
    <w:rsid w:val="00E211B7"/>
    <w:rsid w:val="00E212D5"/>
    <w:rsid w:val="00E22338"/>
    <w:rsid w:val="00E22607"/>
    <w:rsid w:val="00E23B9D"/>
    <w:rsid w:val="00E240BB"/>
    <w:rsid w:val="00E2422E"/>
    <w:rsid w:val="00E2468B"/>
    <w:rsid w:val="00E24D37"/>
    <w:rsid w:val="00E25075"/>
    <w:rsid w:val="00E25671"/>
    <w:rsid w:val="00E2768A"/>
    <w:rsid w:val="00E27D9F"/>
    <w:rsid w:val="00E30CC2"/>
    <w:rsid w:val="00E318FC"/>
    <w:rsid w:val="00E322B1"/>
    <w:rsid w:val="00E32F48"/>
    <w:rsid w:val="00E33337"/>
    <w:rsid w:val="00E338E0"/>
    <w:rsid w:val="00E345FB"/>
    <w:rsid w:val="00E3515C"/>
    <w:rsid w:val="00E3529F"/>
    <w:rsid w:val="00E35892"/>
    <w:rsid w:val="00E35FE0"/>
    <w:rsid w:val="00E362BD"/>
    <w:rsid w:val="00E362C4"/>
    <w:rsid w:val="00E36429"/>
    <w:rsid w:val="00E3651E"/>
    <w:rsid w:val="00E3721B"/>
    <w:rsid w:val="00E3744A"/>
    <w:rsid w:val="00E37848"/>
    <w:rsid w:val="00E378EC"/>
    <w:rsid w:val="00E37ACB"/>
    <w:rsid w:val="00E37FF6"/>
    <w:rsid w:val="00E4008B"/>
    <w:rsid w:val="00E40226"/>
    <w:rsid w:val="00E40621"/>
    <w:rsid w:val="00E4090D"/>
    <w:rsid w:val="00E40B27"/>
    <w:rsid w:val="00E40C6E"/>
    <w:rsid w:val="00E40D36"/>
    <w:rsid w:val="00E4163A"/>
    <w:rsid w:val="00E41983"/>
    <w:rsid w:val="00E4216E"/>
    <w:rsid w:val="00E433E0"/>
    <w:rsid w:val="00E44792"/>
    <w:rsid w:val="00E44D48"/>
    <w:rsid w:val="00E44F4F"/>
    <w:rsid w:val="00E45EB4"/>
    <w:rsid w:val="00E45F98"/>
    <w:rsid w:val="00E4607F"/>
    <w:rsid w:val="00E46A7B"/>
    <w:rsid w:val="00E47218"/>
    <w:rsid w:val="00E47E72"/>
    <w:rsid w:val="00E47FA2"/>
    <w:rsid w:val="00E50B7A"/>
    <w:rsid w:val="00E50EBC"/>
    <w:rsid w:val="00E5120E"/>
    <w:rsid w:val="00E5175A"/>
    <w:rsid w:val="00E52E3D"/>
    <w:rsid w:val="00E5306C"/>
    <w:rsid w:val="00E532CA"/>
    <w:rsid w:val="00E535EE"/>
    <w:rsid w:val="00E5381A"/>
    <w:rsid w:val="00E539C7"/>
    <w:rsid w:val="00E53D13"/>
    <w:rsid w:val="00E54596"/>
    <w:rsid w:val="00E56138"/>
    <w:rsid w:val="00E5618F"/>
    <w:rsid w:val="00E56BD8"/>
    <w:rsid w:val="00E56CBF"/>
    <w:rsid w:val="00E5728C"/>
    <w:rsid w:val="00E577A9"/>
    <w:rsid w:val="00E57DF1"/>
    <w:rsid w:val="00E60726"/>
    <w:rsid w:val="00E60839"/>
    <w:rsid w:val="00E618E7"/>
    <w:rsid w:val="00E61DB8"/>
    <w:rsid w:val="00E62145"/>
    <w:rsid w:val="00E62CDB"/>
    <w:rsid w:val="00E636D5"/>
    <w:rsid w:val="00E64243"/>
    <w:rsid w:val="00E64436"/>
    <w:rsid w:val="00E653BD"/>
    <w:rsid w:val="00E65E85"/>
    <w:rsid w:val="00E66B6D"/>
    <w:rsid w:val="00E66DA6"/>
    <w:rsid w:val="00E673B0"/>
    <w:rsid w:val="00E67515"/>
    <w:rsid w:val="00E67A99"/>
    <w:rsid w:val="00E705A7"/>
    <w:rsid w:val="00E705AF"/>
    <w:rsid w:val="00E7074D"/>
    <w:rsid w:val="00E70884"/>
    <w:rsid w:val="00E71204"/>
    <w:rsid w:val="00E712B8"/>
    <w:rsid w:val="00E71713"/>
    <w:rsid w:val="00E71961"/>
    <w:rsid w:val="00E72C32"/>
    <w:rsid w:val="00E72D36"/>
    <w:rsid w:val="00E73002"/>
    <w:rsid w:val="00E7365F"/>
    <w:rsid w:val="00E737AF"/>
    <w:rsid w:val="00E73D8B"/>
    <w:rsid w:val="00E74050"/>
    <w:rsid w:val="00E7456C"/>
    <w:rsid w:val="00E74576"/>
    <w:rsid w:val="00E745E9"/>
    <w:rsid w:val="00E747FB"/>
    <w:rsid w:val="00E749A8"/>
    <w:rsid w:val="00E74F73"/>
    <w:rsid w:val="00E75009"/>
    <w:rsid w:val="00E7524C"/>
    <w:rsid w:val="00E757A2"/>
    <w:rsid w:val="00E760FF"/>
    <w:rsid w:val="00E7619D"/>
    <w:rsid w:val="00E764AB"/>
    <w:rsid w:val="00E77109"/>
    <w:rsid w:val="00E7732E"/>
    <w:rsid w:val="00E7743E"/>
    <w:rsid w:val="00E77824"/>
    <w:rsid w:val="00E77B8E"/>
    <w:rsid w:val="00E77F15"/>
    <w:rsid w:val="00E80146"/>
    <w:rsid w:val="00E8049E"/>
    <w:rsid w:val="00E80627"/>
    <w:rsid w:val="00E81185"/>
    <w:rsid w:val="00E81291"/>
    <w:rsid w:val="00E812FA"/>
    <w:rsid w:val="00E8241F"/>
    <w:rsid w:val="00E826BD"/>
    <w:rsid w:val="00E83346"/>
    <w:rsid w:val="00E83758"/>
    <w:rsid w:val="00E8378F"/>
    <w:rsid w:val="00E83D87"/>
    <w:rsid w:val="00E84354"/>
    <w:rsid w:val="00E845D1"/>
    <w:rsid w:val="00E848B7"/>
    <w:rsid w:val="00E8611D"/>
    <w:rsid w:val="00E86124"/>
    <w:rsid w:val="00E8620D"/>
    <w:rsid w:val="00E863AD"/>
    <w:rsid w:val="00E8660F"/>
    <w:rsid w:val="00E8696F"/>
    <w:rsid w:val="00E86A98"/>
    <w:rsid w:val="00E876AB"/>
    <w:rsid w:val="00E877AC"/>
    <w:rsid w:val="00E87842"/>
    <w:rsid w:val="00E87A3C"/>
    <w:rsid w:val="00E87B8D"/>
    <w:rsid w:val="00E87C31"/>
    <w:rsid w:val="00E904EB"/>
    <w:rsid w:val="00E90CDD"/>
    <w:rsid w:val="00E91152"/>
    <w:rsid w:val="00E91603"/>
    <w:rsid w:val="00E91628"/>
    <w:rsid w:val="00E91C65"/>
    <w:rsid w:val="00E91E1C"/>
    <w:rsid w:val="00E91F81"/>
    <w:rsid w:val="00E92286"/>
    <w:rsid w:val="00E923D9"/>
    <w:rsid w:val="00E92AC2"/>
    <w:rsid w:val="00E92B20"/>
    <w:rsid w:val="00E9312A"/>
    <w:rsid w:val="00E9350F"/>
    <w:rsid w:val="00E93D3F"/>
    <w:rsid w:val="00E943A0"/>
    <w:rsid w:val="00E94EBF"/>
    <w:rsid w:val="00E94FD8"/>
    <w:rsid w:val="00E94FD9"/>
    <w:rsid w:val="00E95022"/>
    <w:rsid w:val="00E960EB"/>
    <w:rsid w:val="00E966F7"/>
    <w:rsid w:val="00E96CB2"/>
    <w:rsid w:val="00E97065"/>
    <w:rsid w:val="00E97705"/>
    <w:rsid w:val="00E977E7"/>
    <w:rsid w:val="00E97B8A"/>
    <w:rsid w:val="00E97EE3"/>
    <w:rsid w:val="00EA0018"/>
    <w:rsid w:val="00EA01F1"/>
    <w:rsid w:val="00EA0F39"/>
    <w:rsid w:val="00EA180E"/>
    <w:rsid w:val="00EA1DE1"/>
    <w:rsid w:val="00EA2231"/>
    <w:rsid w:val="00EA242D"/>
    <w:rsid w:val="00EA2737"/>
    <w:rsid w:val="00EA2770"/>
    <w:rsid w:val="00EA31F3"/>
    <w:rsid w:val="00EA34EE"/>
    <w:rsid w:val="00EA36F6"/>
    <w:rsid w:val="00EA4BDC"/>
    <w:rsid w:val="00EA4CCC"/>
    <w:rsid w:val="00EA5277"/>
    <w:rsid w:val="00EA563F"/>
    <w:rsid w:val="00EA582C"/>
    <w:rsid w:val="00EA5F5F"/>
    <w:rsid w:val="00EA6338"/>
    <w:rsid w:val="00EA643D"/>
    <w:rsid w:val="00EA69A9"/>
    <w:rsid w:val="00EA69EE"/>
    <w:rsid w:val="00EA7183"/>
    <w:rsid w:val="00EA7433"/>
    <w:rsid w:val="00EA74BD"/>
    <w:rsid w:val="00EA75A3"/>
    <w:rsid w:val="00EB06D0"/>
    <w:rsid w:val="00EB0DB3"/>
    <w:rsid w:val="00EB0E57"/>
    <w:rsid w:val="00EB15D8"/>
    <w:rsid w:val="00EB16B1"/>
    <w:rsid w:val="00EB1EA6"/>
    <w:rsid w:val="00EB22A0"/>
    <w:rsid w:val="00EB2683"/>
    <w:rsid w:val="00EB28E3"/>
    <w:rsid w:val="00EB2BE2"/>
    <w:rsid w:val="00EB2E51"/>
    <w:rsid w:val="00EB317F"/>
    <w:rsid w:val="00EB351A"/>
    <w:rsid w:val="00EB3F22"/>
    <w:rsid w:val="00EB40E9"/>
    <w:rsid w:val="00EB49F0"/>
    <w:rsid w:val="00EB4B5C"/>
    <w:rsid w:val="00EB584F"/>
    <w:rsid w:val="00EB61C0"/>
    <w:rsid w:val="00EB62DF"/>
    <w:rsid w:val="00EB6A20"/>
    <w:rsid w:val="00EB7B74"/>
    <w:rsid w:val="00EB7BE8"/>
    <w:rsid w:val="00EC1310"/>
    <w:rsid w:val="00EC133E"/>
    <w:rsid w:val="00EC1539"/>
    <w:rsid w:val="00EC15A3"/>
    <w:rsid w:val="00EC1E90"/>
    <w:rsid w:val="00EC28CB"/>
    <w:rsid w:val="00EC2D0F"/>
    <w:rsid w:val="00EC3CD3"/>
    <w:rsid w:val="00EC4085"/>
    <w:rsid w:val="00EC4188"/>
    <w:rsid w:val="00EC420B"/>
    <w:rsid w:val="00EC4591"/>
    <w:rsid w:val="00EC4725"/>
    <w:rsid w:val="00EC4ABD"/>
    <w:rsid w:val="00EC5013"/>
    <w:rsid w:val="00EC5082"/>
    <w:rsid w:val="00EC6235"/>
    <w:rsid w:val="00EC630A"/>
    <w:rsid w:val="00EC65D1"/>
    <w:rsid w:val="00EC671A"/>
    <w:rsid w:val="00EC67A3"/>
    <w:rsid w:val="00EC6F0C"/>
    <w:rsid w:val="00EC7983"/>
    <w:rsid w:val="00EC7C67"/>
    <w:rsid w:val="00EC7FD1"/>
    <w:rsid w:val="00ED0F53"/>
    <w:rsid w:val="00ED1447"/>
    <w:rsid w:val="00ED15AD"/>
    <w:rsid w:val="00ED15D5"/>
    <w:rsid w:val="00ED18BA"/>
    <w:rsid w:val="00ED1A9B"/>
    <w:rsid w:val="00ED1AFC"/>
    <w:rsid w:val="00ED1B85"/>
    <w:rsid w:val="00ED1F50"/>
    <w:rsid w:val="00ED21E9"/>
    <w:rsid w:val="00ED2331"/>
    <w:rsid w:val="00ED247D"/>
    <w:rsid w:val="00ED2E0B"/>
    <w:rsid w:val="00ED3404"/>
    <w:rsid w:val="00ED45A7"/>
    <w:rsid w:val="00ED4BAB"/>
    <w:rsid w:val="00ED4C47"/>
    <w:rsid w:val="00ED5073"/>
    <w:rsid w:val="00ED5111"/>
    <w:rsid w:val="00ED5CA1"/>
    <w:rsid w:val="00ED5CC6"/>
    <w:rsid w:val="00ED6233"/>
    <w:rsid w:val="00ED7583"/>
    <w:rsid w:val="00EE0203"/>
    <w:rsid w:val="00EE0502"/>
    <w:rsid w:val="00EE1559"/>
    <w:rsid w:val="00EE1F88"/>
    <w:rsid w:val="00EE24E3"/>
    <w:rsid w:val="00EE261E"/>
    <w:rsid w:val="00EE2699"/>
    <w:rsid w:val="00EE2D6B"/>
    <w:rsid w:val="00EE3214"/>
    <w:rsid w:val="00EE3364"/>
    <w:rsid w:val="00EE34AD"/>
    <w:rsid w:val="00EE37E4"/>
    <w:rsid w:val="00EE4CDA"/>
    <w:rsid w:val="00EE4DE1"/>
    <w:rsid w:val="00EE5760"/>
    <w:rsid w:val="00EE6E82"/>
    <w:rsid w:val="00EE788A"/>
    <w:rsid w:val="00EF053A"/>
    <w:rsid w:val="00EF0758"/>
    <w:rsid w:val="00EF1471"/>
    <w:rsid w:val="00EF14CC"/>
    <w:rsid w:val="00EF14FD"/>
    <w:rsid w:val="00EF1861"/>
    <w:rsid w:val="00EF20C2"/>
    <w:rsid w:val="00EF2368"/>
    <w:rsid w:val="00EF24F5"/>
    <w:rsid w:val="00EF2E99"/>
    <w:rsid w:val="00EF331F"/>
    <w:rsid w:val="00EF352F"/>
    <w:rsid w:val="00EF3B31"/>
    <w:rsid w:val="00EF4271"/>
    <w:rsid w:val="00EF42D5"/>
    <w:rsid w:val="00EF4A09"/>
    <w:rsid w:val="00EF4D55"/>
    <w:rsid w:val="00EF6608"/>
    <w:rsid w:val="00EF67D6"/>
    <w:rsid w:val="00EF6882"/>
    <w:rsid w:val="00EF6C9C"/>
    <w:rsid w:val="00EF71A4"/>
    <w:rsid w:val="00EF76C8"/>
    <w:rsid w:val="00EF793E"/>
    <w:rsid w:val="00F01043"/>
    <w:rsid w:val="00F01045"/>
    <w:rsid w:val="00F016F9"/>
    <w:rsid w:val="00F01D9D"/>
    <w:rsid w:val="00F02169"/>
    <w:rsid w:val="00F023FC"/>
    <w:rsid w:val="00F024B8"/>
    <w:rsid w:val="00F038A9"/>
    <w:rsid w:val="00F03C5E"/>
    <w:rsid w:val="00F043B9"/>
    <w:rsid w:val="00F0468F"/>
    <w:rsid w:val="00F04C63"/>
    <w:rsid w:val="00F05063"/>
    <w:rsid w:val="00F06B6B"/>
    <w:rsid w:val="00F071C1"/>
    <w:rsid w:val="00F0730A"/>
    <w:rsid w:val="00F07A7D"/>
    <w:rsid w:val="00F102D4"/>
    <w:rsid w:val="00F10696"/>
    <w:rsid w:val="00F111DD"/>
    <w:rsid w:val="00F120F7"/>
    <w:rsid w:val="00F12505"/>
    <w:rsid w:val="00F128BD"/>
    <w:rsid w:val="00F128CA"/>
    <w:rsid w:val="00F12A97"/>
    <w:rsid w:val="00F12F0A"/>
    <w:rsid w:val="00F12F33"/>
    <w:rsid w:val="00F131B8"/>
    <w:rsid w:val="00F131EA"/>
    <w:rsid w:val="00F136C1"/>
    <w:rsid w:val="00F13823"/>
    <w:rsid w:val="00F13953"/>
    <w:rsid w:val="00F145C8"/>
    <w:rsid w:val="00F14C68"/>
    <w:rsid w:val="00F15097"/>
    <w:rsid w:val="00F15477"/>
    <w:rsid w:val="00F156F5"/>
    <w:rsid w:val="00F15D2D"/>
    <w:rsid w:val="00F16589"/>
    <w:rsid w:val="00F16E1E"/>
    <w:rsid w:val="00F172A2"/>
    <w:rsid w:val="00F172FF"/>
    <w:rsid w:val="00F2044E"/>
    <w:rsid w:val="00F206D7"/>
    <w:rsid w:val="00F20C3E"/>
    <w:rsid w:val="00F213C6"/>
    <w:rsid w:val="00F2233A"/>
    <w:rsid w:val="00F2254B"/>
    <w:rsid w:val="00F225F8"/>
    <w:rsid w:val="00F226A8"/>
    <w:rsid w:val="00F22B7D"/>
    <w:rsid w:val="00F2323B"/>
    <w:rsid w:val="00F23D70"/>
    <w:rsid w:val="00F2445D"/>
    <w:rsid w:val="00F248DC"/>
    <w:rsid w:val="00F24C6D"/>
    <w:rsid w:val="00F2548D"/>
    <w:rsid w:val="00F258F0"/>
    <w:rsid w:val="00F260BE"/>
    <w:rsid w:val="00F265C6"/>
    <w:rsid w:val="00F2695E"/>
    <w:rsid w:val="00F269FB"/>
    <w:rsid w:val="00F26B21"/>
    <w:rsid w:val="00F2760D"/>
    <w:rsid w:val="00F27E9B"/>
    <w:rsid w:val="00F301D2"/>
    <w:rsid w:val="00F3025D"/>
    <w:rsid w:val="00F31438"/>
    <w:rsid w:val="00F31867"/>
    <w:rsid w:val="00F31875"/>
    <w:rsid w:val="00F3223F"/>
    <w:rsid w:val="00F32BBB"/>
    <w:rsid w:val="00F3312D"/>
    <w:rsid w:val="00F33A27"/>
    <w:rsid w:val="00F3529B"/>
    <w:rsid w:val="00F35449"/>
    <w:rsid w:val="00F35C72"/>
    <w:rsid w:val="00F3609A"/>
    <w:rsid w:val="00F360FC"/>
    <w:rsid w:val="00F370FE"/>
    <w:rsid w:val="00F37279"/>
    <w:rsid w:val="00F37431"/>
    <w:rsid w:val="00F378D3"/>
    <w:rsid w:val="00F37BAE"/>
    <w:rsid w:val="00F37C4E"/>
    <w:rsid w:val="00F37D24"/>
    <w:rsid w:val="00F37E53"/>
    <w:rsid w:val="00F40250"/>
    <w:rsid w:val="00F40357"/>
    <w:rsid w:val="00F4069E"/>
    <w:rsid w:val="00F4087A"/>
    <w:rsid w:val="00F40C63"/>
    <w:rsid w:val="00F40C91"/>
    <w:rsid w:val="00F40C95"/>
    <w:rsid w:val="00F4116D"/>
    <w:rsid w:val="00F4121D"/>
    <w:rsid w:val="00F41513"/>
    <w:rsid w:val="00F41C32"/>
    <w:rsid w:val="00F41CB0"/>
    <w:rsid w:val="00F43488"/>
    <w:rsid w:val="00F4385F"/>
    <w:rsid w:val="00F444F7"/>
    <w:rsid w:val="00F455D3"/>
    <w:rsid w:val="00F458F3"/>
    <w:rsid w:val="00F46110"/>
    <w:rsid w:val="00F474DC"/>
    <w:rsid w:val="00F47951"/>
    <w:rsid w:val="00F47D03"/>
    <w:rsid w:val="00F5097B"/>
    <w:rsid w:val="00F510C9"/>
    <w:rsid w:val="00F5192A"/>
    <w:rsid w:val="00F51BEE"/>
    <w:rsid w:val="00F51D08"/>
    <w:rsid w:val="00F51E18"/>
    <w:rsid w:val="00F51F97"/>
    <w:rsid w:val="00F523EA"/>
    <w:rsid w:val="00F52856"/>
    <w:rsid w:val="00F5291B"/>
    <w:rsid w:val="00F529D6"/>
    <w:rsid w:val="00F52E3C"/>
    <w:rsid w:val="00F5325E"/>
    <w:rsid w:val="00F53796"/>
    <w:rsid w:val="00F53CE0"/>
    <w:rsid w:val="00F54095"/>
    <w:rsid w:val="00F5457B"/>
    <w:rsid w:val="00F5470D"/>
    <w:rsid w:val="00F5488C"/>
    <w:rsid w:val="00F54FD1"/>
    <w:rsid w:val="00F551A3"/>
    <w:rsid w:val="00F55303"/>
    <w:rsid w:val="00F553E6"/>
    <w:rsid w:val="00F55814"/>
    <w:rsid w:val="00F5658F"/>
    <w:rsid w:val="00F565F3"/>
    <w:rsid w:val="00F56784"/>
    <w:rsid w:val="00F56C4D"/>
    <w:rsid w:val="00F56C60"/>
    <w:rsid w:val="00F56FC0"/>
    <w:rsid w:val="00F57637"/>
    <w:rsid w:val="00F57DD8"/>
    <w:rsid w:val="00F61E14"/>
    <w:rsid w:val="00F62130"/>
    <w:rsid w:val="00F624C7"/>
    <w:rsid w:val="00F62A2F"/>
    <w:rsid w:val="00F62AC7"/>
    <w:rsid w:val="00F62AFF"/>
    <w:rsid w:val="00F631D7"/>
    <w:rsid w:val="00F63744"/>
    <w:rsid w:val="00F639CB"/>
    <w:rsid w:val="00F63CE7"/>
    <w:rsid w:val="00F63D4C"/>
    <w:rsid w:val="00F64B53"/>
    <w:rsid w:val="00F65218"/>
    <w:rsid w:val="00F65483"/>
    <w:rsid w:val="00F65FDD"/>
    <w:rsid w:val="00F66507"/>
    <w:rsid w:val="00F66755"/>
    <w:rsid w:val="00F6679F"/>
    <w:rsid w:val="00F671E4"/>
    <w:rsid w:val="00F672D6"/>
    <w:rsid w:val="00F70140"/>
    <w:rsid w:val="00F70BBE"/>
    <w:rsid w:val="00F70EB5"/>
    <w:rsid w:val="00F71473"/>
    <w:rsid w:val="00F71C2A"/>
    <w:rsid w:val="00F71E8D"/>
    <w:rsid w:val="00F7214C"/>
    <w:rsid w:val="00F72871"/>
    <w:rsid w:val="00F72AA4"/>
    <w:rsid w:val="00F72E0D"/>
    <w:rsid w:val="00F72EFD"/>
    <w:rsid w:val="00F73409"/>
    <w:rsid w:val="00F7369A"/>
    <w:rsid w:val="00F73B37"/>
    <w:rsid w:val="00F73EB4"/>
    <w:rsid w:val="00F74033"/>
    <w:rsid w:val="00F74072"/>
    <w:rsid w:val="00F74181"/>
    <w:rsid w:val="00F7459D"/>
    <w:rsid w:val="00F75338"/>
    <w:rsid w:val="00F76649"/>
    <w:rsid w:val="00F768E5"/>
    <w:rsid w:val="00F76A06"/>
    <w:rsid w:val="00F76BA7"/>
    <w:rsid w:val="00F76D96"/>
    <w:rsid w:val="00F76E67"/>
    <w:rsid w:val="00F770DA"/>
    <w:rsid w:val="00F77107"/>
    <w:rsid w:val="00F778FC"/>
    <w:rsid w:val="00F77AA3"/>
    <w:rsid w:val="00F77BFD"/>
    <w:rsid w:val="00F77CC2"/>
    <w:rsid w:val="00F77D45"/>
    <w:rsid w:val="00F8003B"/>
    <w:rsid w:val="00F80759"/>
    <w:rsid w:val="00F807EC"/>
    <w:rsid w:val="00F80922"/>
    <w:rsid w:val="00F813DF"/>
    <w:rsid w:val="00F815D3"/>
    <w:rsid w:val="00F81737"/>
    <w:rsid w:val="00F81805"/>
    <w:rsid w:val="00F81822"/>
    <w:rsid w:val="00F81B2B"/>
    <w:rsid w:val="00F81F01"/>
    <w:rsid w:val="00F82A0E"/>
    <w:rsid w:val="00F82F31"/>
    <w:rsid w:val="00F8378C"/>
    <w:rsid w:val="00F84692"/>
    <w:rsid w:val="00F84B32"/>
    <w:rsid w:val="00F84DEF"/>
    <w:rsid w:val="00F85766"/>
    <w:rsid w:val="00F85C07"/>
    <w:rsid w:val="00F8791D"/>
    <w:rsid w:val="00F87A74"/>
    <w:rsid w:val="00F87CB3"/>
    <w:rsid w:val="00F87E73"/>
    <w:rsid w:val="00F90909"/>
    <w:rsid w:val="00F91C75"/>
    <w:rsid w:val="00F91CBD"/>
    <w:rsid w:val="00F929F3"/>
    <w:rsid w:val="00F938CD"/>
    <w:rsid w:val="00F941F0"/>
    <w:rsid w:val="00F9473A"/>
    <w:rsid w:val="00F94805"/>
    <w:rsid w:val="00F9482C"/>
    <w:rsid w:val="00F95018"/>
    <w:rsid w:val="00F95512"/>
    <w:rsid w:val="00F95D79"/>
    <w:rsid w:val="00F965EC"/>
    <w:rsid w:val="00F9684C"/>
    <w:rsid w:val="00F96F44"/>
    <w:rsid w:val="00F97095"/>
    <w:rsid w:val="00F97113"/>
    <w:rsid w:val="00F9717A"/>
    <w:rsid w:val="00F97735"/>
    <w:rsid w:val="00F97F1E"/>
    <w:rsid w:val="00FA07A1"/>
    <w:rsid w:val="00FA152E"/>
    <w:rsid w:val="00FA1A7B"/>
    <w:rsid w:val="00FA1AFA"/>
    <w:rsid w:val="00FA1D4A"/>
    <w:rsid w:val="00FA2246"/>
    <w:rsid w:val="00FA25B2"/>
    <w:rsid w:val="00FA26CE"/>
    <w:rsid w:val="00FA29B7"/>
    <w:rsid w:val="00FA2ED7"/>
    <w:rsid w:val="00FA318A"/>
    <w:rsid w:val="00FA39CA"/>
    <w:rsid w:val="00FA3A1C"/>
    <w:rsid w:val="00FA3DDE"/>
    <w:rsid w:val="00FA4077"/>
    <w:rsid w:val="00FA4BB9"/>
    <w:rsid w:val="00FA4FBA"/>
    <w:rsid w:val="00FA5305"/>
    <w:rsid w:val="00FA55CB"/>
    <w:rsid w:val="00FA632B"/>
    <w:rsid w:val="00FA6465"/>
    <w:rsid w:val="00FA6EEF"/>
    <w:rsid w:val="00FA788C"/>
    <w:rsid w:val="00FA7CCF"/>
    <w:rsid w:val="00FA7CD4"/>
    <w:rsid w:val="00FB0A77"/>
    <w:rsid w:val="00FB100B"/>
    <w:rsid w:val="00FB1BC4"/>
    <w:rsid w:val="00FB2190"/>
    <w:rsid w:val="00FB2622"/>
    <w:rsid w:val="00FB267A"/>
    <w:rsid w:val="00FB29DF"/>
    <w:rsid w:val="00FB2C3C"/>
    <w:rsid w:val="00FB31A7"/>
    <w:rsid w:val="00FB3CFF"/>
    <w:rsid w:val="00FB40E2"/>
    <w:rsid w:val="00FB4704"/>
    <w:rsid w:val="00FB4AF5"/>
    <w:rsid w:val="00FB4C2B"/>
    <w:rsid w:val="00FB57E7"/>
    <w:rsid w:val="00FB5AD5"/>
    <w:rsid w:val="00FB5CF5"/>
    <w:rsid w:val="00FB5F26"/>
    <w:rsid w:val="00FB63DC"/>
    <w:rsid w:val="00FB6710"/>
    <w:rsid w:val="00FC064F"/>
    <w:rsid w:val="00FC075C"/>
    <w:rsid w:val="00FC0BB0"/>
    <w:rsid w:val="00FC0BC5"/>
    <w:rsid w:val="00FC0FF1"/>
    <w:rsid w:val="00FC109A"/>
    <w:rsid w:val="00FC10BD"/>
    <w:rsid w:val="00FC18A5"/>
    <w:rsid w:val="00FC230B"/>
    <w:rsid w:val="00FC2403"/>
    <w:rsid w:val="00FC24E5"/>
    <w:rsid w:val="00FC288C"/>
    <w:rsid w:val="00FC28CF"/>
    <w:rsid w:val="00FC29BF"/>
    <w:rsid w:val="00FC3440"/>
    <w:rsid w:val="00FC364E"/>
    <w:rsid w:val="00FC3785"/>
    <w:rsid w:val="00FC3DA9"/>
    <w:rsid w:val="00FC3E96"/>
    <w:rsid w:val="00FC4850"/>
    <w:rsid w:val="00FC4C49"/>
    <w:rsid w:val="00FC4D05"/>
    <w:rsid w:val="00FC5424"/>
    <w:rsid w:val="00FC568F"/>
    <w:rsid w:val="00FC5B65"/>
    <w:rsid w:val="00FC5D3E"/>
    <w:rsid w:val="00FC64F5"/>
    <w:rsid w:val="00FC656E"/>
    <w:rsid w:val="00FC65C1"/>
    <w:rsid w:val="00FC6792"/>
    <w:rsid w:val="00FC6DA8"/>
    <w:rsid w:val="00FC75B0"/>
    <w:rsid w:val="00FC7629"/>
    <w:rsid w:val="00FC7661"/>
    <w:rsid w:val="00FC7682"/>
    <w:rsid w:val="00FC76E0"/>
    <w:rsid w:val="00FD0348"/>
    <w:rsid w:val="00FD08D3"/>
    <w:rsid w:val="00FD12E7"/>
    <w:rsid w:val="00FD14F5"/>
    <w:rsid w:val="00FD1C43"/>
    <w:rsid w:val="00FD244F"/>
    <w:rsid w:val="00FD24A2"/>
    <w:rsid w:val="00FD2A6F"/>
    <w:rsid w:val="00FD3AF2"/>
    <w:rsid w:val="00FD3FB4"/>
    <w:rsid w:val="00FD41C8"/>
    <w:rsid w:val="00FD4407"/>
    <w:rsid w:val="00FD5792"/>
    <w:rsid w:val="00FD580A"/>
    <w:rsid w:val="00FD5818"/>
    <w:rsid w:val="00FD5B9A"/>
    <w:rsid w:val="00FD6707"/>
    <w:rsid w:val="00FD6A32"/>
    <w:rsid w:val="00FD6A83"/>
    <w:rsid w:val="00FD6D77"/>
    <w:rsid w:val="00FD6E83"/>
    <w:rsid w:val="00FD6F96"/>
    <w:rsid w:val="00FD74B6"/>
    <w:rsid w:val="00FD78B9"/>
    <w:rsid w:val="00FD7DCE"/>
    <w:rsid w:val="00FE0197"/>
    <w:rsid w:val="00FE0776"/>
    <w:rsid w:val="00FE10CB"/>
    <w:rsid w:val="00FE125D"/>
    <w:rsid w:val="00FE1A55"/>
    <w:rsid w:val="00FE1C3D"/>
    <w:rsid w:val="00FE27AC"/>
    <w:rsid w:val="00FE296A"/>
    <w:rsid w:val="00FE2EF0"/>
    <w:rsid w:val="00FE3508"/>
    <w:rsid w:val="00FE3663"/>
    <w:rsid w:val="00FE3B7E"/>
    <w:rsid w:val="00FE4AAB"/>
    <w:rsid w:val="00FE4D82"/>
    <w:rsid w:val="00FE4E55"/>
    <w:rsid w:val="00FE4FB6"/>
    <w:rsid w:val="00FE5008"/>
    <w:rsid w:val="00FE52AB"/>
    <w:rsid w:val="00FE5440"/>
    <w:rsid w:val="00FE58CC"/>
    <w:rsid w:val="00FE5A94"/>
    <w:rsid w:val="00FE5BDF"/>
    <w:rsid w:val="00FE6439"/>
    <w:rsid w:val="00FE64F8"/>
    <w:rsid w:val="00FE665C"/>
    <w:rsid w:val="00FE6A19"/>
    <w:rsid w:val="00FE6CC9"/>
    <w:rsid w:val="00FE7DBB"/>
    <w:rsid w:val="00FE7E8D"/>
    <w:rsid w:val="00FE7F40"/>
    <w:rsid w:val="00FF0859"/>
    <w:rsid w:val="00FF0AE0"/>
    <w:rsid w:val="00FF121B"/>
    <w:rsid w:val="00FF129D"/>
    <w:rsid w:val="00FF1ECD"/>
    <w:rsid w:val="00FF255A"/>
    <w:rsid w:val="00FF2731"/>
    <w:rsid w:val="00FF2B72"/>
    <w:rsid w:val="00FF33B2"/>
    <w:rsid w:val="00FF3503"/>
    <w:rsid w:val="00FF3677"/>
    <w:rsid w:val="00FF3C3D"/>
    <w:rsid w:val="00FF4503"/>
    <w:rsid w:val="00FF4685"/>
    <w:rsid w:val="00FF46D3"/>
    <w:rsid w:val="00FF46F7"/>
    <w:rsid w:val="00FF73C8"/>
    <w:rsid w:val="00FF74DC"/>
    <w:rsid w:val="00FF76FE"/>
    <w:rsid w:val="00FF7B24"/>
    <w:rsid w:val="00FF7C1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063E54"/>
  <w15:docId w15:val="{9B331B58-55FF-41A4-BE4E-A1C73783E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FDE"/>
    <w:pPr>
      <w:suppressAutoHyphens/>
      <w:spacing w:line="260" w:lineRule="exact"/>
    </w:pPr>
    <w:rPr>
      <w:sz w:val="22"/>
    </w:rPr>
  </w:style>
  <w:style w:type="paragraph" w:styleId="Heading1">
    <w:name w:val="heading 1"/>
    <w:basedOn w:val="Normal"/>
    <w:next w:val="Normal"/>
    <w:link w:val="Heading1Char"/>
    <w:qFormat/>
    <w:rsid w:val="006828EF"/>
    <w:pPr>
      <w:tabs>
        <w:tab w:val="left" w:pos="567"/>
      </w:tabs>
      <w:suppressAutoHyphens w:val="0"/>
      <w:spacing w:before="240" w:after="120"/>
      <w:ind w:left="357" w:hanging="357"/>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6828EF"/>
    <w:pPr>
      <w:keepNext/>
      <w:tabs>
        <w:tab w:val="left" w:pos="567"/>
      </w:tabs>
      <w:suppressAutoHyphens w:val="0"/>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qFormat/>
    <w:rsid w:val="006828EF"/>
    <w:pPr>
      <w:keepNext/>
      <w:keepLines/>
      <w:tabs>
        <w:tab w:val="left" w:pos="567"/>
      </w:tabs>
      <w:suppressAutoHyphens w:val="0"/>
      <w:spacing w:before="120" w:after="8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6828EF"/>
    <w:pPr>
      <w:keepNext/>
      <w:tabs>
        <w:tab w:val="left" w:pos="567"/>
      </w:tabs>
      <w:suppressAutoHyphens w:val="0"/>
      <w:jc w:val="both"/>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6828EF"/>
    <w:pPr>
      <w:keepNext/>
      <w:tabs>
        <w:tab w:val="left" w:pos="567"/>
      </w:tabs>
      <w:suppressAutoHyphens w:val="0"/>
      <w:jc w:val="both"/>
      <w:outlineLvl w:val="4"/>
    </w:pPr>
    <w:rPr>
      <w:rFonts w:ascii="Calibri" w:hAnsi="Calibri"/>
      <w:b/>
      <w:bCs/>
      <w:i/>
      <w:iCs/>
      <w:sz w:val="26"/>
      <w:szCs w:val="26"/>
      <w:lang w:val="x-none" w:eastAsia="x-none"/>
    </w:rPr>
  </w:style>
  <w:style w:type="paragraph" w:styleId="Heading6">
    <w:name w:val="heading 6"/>
    <w:basedOn w:val="Normal"/>
    <w:next w:val="Normal"/>
    <w:link w:val="Heading6Char"/>
    <w:qFormat/>
    <w:rsid w:val="006828EF"/>
    <w:pPr>
      <w:keepNext/>
      <w:tabs>
        <w:tab w:val="left" w:pos="-720"/>
        <w:tab w:val="left" w:pos="567"/>
        <w:tab w:val="left" w:pos="4536"/>
      </w:tabs>
      <w:outlineLvl w:val="5"/>
    </w:pPr>
    <w:rPr>
      <w:rFonts w:ascii="Calibri" w:hAnsi="Calibri"/>
      <w:b/>
      <w:bCs/>
      <w:szCs w:val="22"/>
      <w:lang w:val="x-none" w:eastAsia="x-none"/>
    </w:rPr>
  </w:style>
  <w:style w:type="paragraph" w:styleId="Heading7">
    <w:name w:val="heading 7"/>
    <w:basedOn w:val="Normal"/>
    <w:next w:val="Normal"/>
    <w:link w:val="Heading7Char"/>
    <w:qFormat/>
    <w:rsid w:val="006828EF"/>
    <w:pPr>
      <w:keepNext/>
      <w:tabs>
        <w:tab w:val="left" w:pos="-720"/>
        <w:tab w:val="left" w:pos="567"/>
        <w:tab w:val="left" w:pos="4536"/>
      </w:tabs>
      <w:jc w:val="both"/>
      <w:outlineLvl w:val="6"/>
    </w:pPr>
    <w:rPr>
      <w:rFonts w:ascii="Calibri" w:hAnsi="Calibri"/>
      <w:sz w:val="24"/>
      <w:szCs w:val="24"/>
      <w:lang w:val="x-none" w:eastAsia="x-none"/>
    </w:rPr>
  </w:style>
  <w:style w:type="paragraph" w:styleId="Heading8">
    <w:name w:val="heading 8"/>
    <w:basedOn w:val="Normal"/>
    <w:next w:val="Normal"/>
    <w:link w:val="Heading8Char"/>
    <w:qFormat/>
    <w:rsid w:val="006828EF"/>
    <w:pPr>
      <w:keepNext/>
      <w:tabs>
        <w:tab w:val="left" w:pos="567"/>
      </w:tabs>
      <w:suppressAutoHyphens w:val="0"/>
      <w:ind w:left="567" w:hanging="567"/>
      <w:jc w:val="both"/>
      <w:outlineLvl w:val="7"/>
    </w:pPr>
    <w:rPr>
      <w:rFonts w:ascii="Calibri" w:hAnsi="Calibri"/>
      <w:i/>
      <w:iCs/>
      <w:sz w:val="24"/>
      <w:szCs w:val="24"/>
      <w:lang w:val="x-none" w:eastAsia="x-none"/>
    </w:rPr>
  </w:style>
  <w:style w:type="paragraph" w:styleId="Heading9">
    <w:name w:val="heading 9"/>
    <w:basedOn w:val="Normal"/>
    <w:next w:val="Normal"/>
    <w:link w:val="Heading9Char"/>
    <w:qFormat/>
    <w:rsid w:val="006828EF"/>
    <w:pPr>
      <w:keepNext/>
      <w:tabs>
        <w:tab w:val="left" w:pos="567"/>
      </w:tabs>
      <w:suppressAutoHyphens w:val="0"/>
      <w:jc w:val="both"/>
      <w:outlineLvl w:val="8"/>
    </w:pPr>
    <w:rPr>
      <w:rFonts w:ascii="Cambria" w:hAnsi="Cambria"/>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character" w:customStyle="1" w:styleId="Heading2Char">
    <w:name w:val="Heading 2 Char"/>
    <w:link w:val="Heading2"/>
    <w:semiHidden/>
    <w:locked/>
    <w:rPr>
      <w:rFonts w:ascii="Cambria" w:hAnsi="Cambria" w:cs="Times New Roman"/>
      <w:b/>
      <w:bCs/>
      <w:i/>
      <w:iCs/>
      <w:sz w:val="28"/>
      <w:szCs w:val="28"/>
    </w:rPr>
  </w:style>
  <w:style w:type="character" w:customStyle="1" w:styleId="Heading3Char">
    <w:name w:val="Heading 3 Char"/>
    <w:link w:val="Heading3"/>
    <w:semiHidden/>
    <w:locked/>
    <w:rPr>
      <w:rFonts w:ascii="Cambria" w:hAnsi="Cambria" w:cs="Times New Roman"/>
      <w:b/>
      <w:bCs/>
      <w:sz w:val="26"/>
      <w:szCs w:val="26"/>
    </w:rPr>
  </w:style>
  <w:style w:type="character" w:customStyle="1" w:styleId="Heading4Char">
    <w:name w:val="Heading 4 Char"/>
    <w:link w:val="Heading4"/>
    <w:semiHidden/>
    <w:locked/>
    <w:rPr>
      <w:rFonts w:ascii="Calibri" w:hAnsi="Calibri" w:cs="Times New Roman"/>
      <w:b/>
      <w:bCs/>
      <w:sz w:val="28"/>
      <w:szCs w:val="28"/>
    </w:rPr>
  </w:style>
  <w:style w:type="character" w:customStyle="1" w:styleId="Heading5Char">
    <w:name w:val="Heading 5 Char"/>
    <w:link w:val="Heading5"/>
    <w:semiHidden/>
    <w:locked/>
    <w:rPr>
      <w:rFonts w:ascii="Calibri" w:hAnsi="Calibri" w:cs="Times New Roman"/>
      <w:b/>
      <w:bCs/>
      <w:i/>
      <w:iCs/>
      <w:sz w:val="26"/>
      <w:szCs w:val="26"/>
    </w:rPr>
  </w:style>
  <w:style w:type="character" w:customStyle="1" w:styleId="Heading6Char">
    <w:name w:val="Heading 6 Char"/>
    <w:link w:val="Heading6"/>
    <w:semiHidden/>
    <w:locked/>
    <w:rPr>
      <w:rFonts w:ascii="Calibri" w:hAnsi="Calibri" w:cs="Times New Roman"/>
      <w:b/>
      <w:bCs/>
      <w:sz w:val="22"/>
      <w:szCs w:val="22"/>
    </w:rPr>
  </w:style>
  <w:style w:type="character" w:customStyle="1" w:styleId="Heading7Char">
    <w:name w:val="Heading 7 Char"/>
    <w:link w:val="Heading7"/>
    <w:semiHidden/>
    <w:locked/>
    <w:rPr>
      <w:rFonts w:ascii="Calibri" w:hAnsi="Calibri" w:cs="Times New Roman"/>
      <w:sz w:val="24"/>
      <w:szCs w:val="24"/>
    </w:rPr>
  </w:style>
  <w:style w:type="character" w:customStyle="1" w:styleId="Heading8Char">
    <w:name w:val="Heading 8 Char"/>
    <w:link w:val="Heading8"/>
    <w:semiHidden/>
    <w:locked/>
    <w:rPr>
      <w:rFonts w:ascii="Calibri" w:hAnsi="Calibri" w:cs="Times New Roman"/>
      <w:i/>
      <w:iCs/>
      <w:sz w:val="24"/>
      <w:szCs w:val="24"/>
    </w:rPr>
  </w:style>
  <w:style w:type="character" w:customStyle="1" w:styleId="Heading9Char">
    <w:name w:val="Heading 9 Char"/>
    <w:link w:val="Heading9"/>
    <w:semiHidden/>
    <w:locked/>
    <w:rPr>
      <w:rFonts w:ascii="Cambria" w:hAnsi="Cambria" w:cs="Times New Roman"/>
      <w:sz w:val="22"/>
      <w:szCs w:val="22"/>
    </w:rPr>
  </w:style>
  <w:style w:type="character" w:styleId="PageNumber">
    <w:name w:val="page number"/>
    <w:rsid w:val="006828EF"/>
    <w:rPr>
      <w:rFonts w:cs="Times New Roman"/>
    </w:rPr>
  </w:style>
  <w:style w:type="character" w:styleId="Hyperlink">
    <w:name w:val="Hyperlink"/>
    <w:rsid w:val="006828EF"/>
    <w:rPr>
      <w:rFonts w:cs="Times New Roman"/>
      <w:color w:val="0000FF"/>
      <w:u w:val="single"/>
    </w:rPr>
  </w:style>
  <w:style w:type="character" w:styleId="FollowedHyperlink">
    <w:name w:val="FollowedHyperlink"/>
    <w:uiPriority w:val="99"/>
    <w:rsid w:val="006828EF"/>
    <w:rPr>
      <w:rFonts w:cs="Times New Roman"/>
      <w:color w:val="800080"/>
      <w:u w:val="single"/>
    </w:rPr>
  </w:style>
  <w:style w:type="paragraph" w:styleId="BodyText">
    <w:name w:val="Body Text"/>
    <w:basedOn w:val="Normal"/>
    <w:link w:val="BodyTextChar"/>
    <w:uiPriority w:val="99"/>
    <w:rsid w:val="006828EF"/>
    <w:pPr>
      <w:tabs>
        <w:tab w:val="left" w:pos="567"/>
      </w:tabs>
      <w:suppressAutoHyphens w:val="0"/>
    </w:pPr>
    <w:rPr>
      <w:lang w:val="x-none" w:eastAsia="x-none"/>
    </w:rPr>
  </w:style>
  <w:style w:type="character" w:customStyle="1" w:styleId="BodyTextChar">
    <w:name w:val="Body Text Char"/>
    <w:link w:val="BodyText"/>
    <w:uiPriority w:val="99"/>
    <w:locked/>
    <w:rPr>
      <w:rFonts w:cs="Times New Roman"/>
      <w:sz w:val="22"/>
    </w:rPr>
  </w:style>
  <w:style w:type="paragraph" w:styleId="BodyTextIndent">
    <w:name w:val="Body Text Indent"/>
    <w:basedOn w:val="Normal"/>
    <w:link w:val="BodyTextIndentChar"/>
    <w:rsid w:val="006828EF"/>
    <w:pPr>
      <w:suppressAutoHyphens w:val="0"/>
      <w:spacing w:line="240" w:lineRule="auto"/>
      <w:ind w:left="567" w:hanging="567"/>
    </w:pPr>
    <w:rPr>
      <w:lang w:val="x-none" w:eastAsia="x-none"/>
    </w:rPr>
  </w:style>
  <w:style w:type="character" w:customStyle="1" w:styleId="BodyTextIndentChar">
    <w:name w:val="Body Text Indent Char"/>
    <w:link w:val="BodyTextIndent"/>
    <w:locked/>
    <w:rPr>
      <w:rFonts w:cs="Times New Roman"/>
      <w:sz w:val="22"/>
    </w:rPr>
  </w:style>
  <w:style w:type="paragraph" w:styleId="EnvelopeAddress">
    <w:name w:val="envelope address"/>
    <w:basedOn w:val="Normal"/>
    <w:next w:val="BodyText"/>
    <w:rsid w:val="006828EF"/>
    <w:pPr>
      <w:keepNext/>
      <w:spacing w:before="240" w:after="120"/>
    </w:pPr>
    <w:rPr>
      <w:rFonts w:ascii="Albany" w:hAnsi="Albany"/>
      <w:sz w:val="28"/>
    </w:rPr>
  </w:style>
  <w:style w:type="paragraph" w:styleId="Header">
    <w:name w:val="header"/>
    <w:basedOn w:val="Normal"/>
    <w:link w:val="HeaderChar"/>
    <w:rsid w:val="006828EF"/>
    <w:pPr>
      <w:tabs>
        <w:tab w:val="left" w:pos="567"/>
        <w:tab w:val="center" w:pos="4153"/>
        <w:tab w:val="right" w:pos="8306"/>
      </w:tabs>
      <w:suppressAutoHyphens w:val="0"/>
      <w:spacing w:line="240" w:lineRule="auto"/>
    </w:pPr>
    <w:rPr>
      <w:lang w:val="x-none" w:eastAsia="x-none"/>
    </w:rPr>
  </w:style>
  <w:style w:type="character" w:customStyle="1" w:styleId="HeaderChar">
    <w:name w:val="Header Char"/>
    <w:link w:val="Header"/>
    <w:semiHidden/>
    <w:locked/>
    <w:rPr>
      <w:rFonts w:cs="Times New Roman"/>
      <w:sz w:val="22"/>
    </w:rPr>
  </w:style>
  <w:style w:type="paragraph" w:styleId="Footer">
    <w:name w:val="footer"/>
    <w:basedOn w:val="Normal"/>
    <w:link w:val="FooterChar"/>
    <w:rsid w:val="006828EF"/>
    <w:pPr>
      <w:tabs>
        <w:tab w:val="left" w:pos="567"/>
        <w:tab w:val="center" w:pos="4536"/>
        <w:tab w:val="center" w:pos="8930"/>
      </w:tabs>
      <w:suppressAutoHyphens w:val="0"/>
      <w:spacing w:line="240" w:lineRule="auto"/>
    </w:pPr>
    <w:rPr>
      <w:lang w:val="x-none" w:eastAsia="x-none"/>
    </w:rPr>
  </w:style>
  <w:style w:type="character" w:customStyle="1" w:styleId="FooterChar">
    <w:name w:val="Footer Char"/>
    <w:link w:val="Footer"/>
    <w:semiHidden/>
    <w:locked/>
    <w:rPr>
      <w:rFonts w:cs="Times New Roman"/>
      <w:sz w:val="22"/>
    </w:rPr>
  </w:style>
  <w:style w:type="paragraph" w:styleId="FootnoteText">
    <w:name w:val="footnote text"/>
    <w:basedOn w:val="Normal"/>
    <w:link w:val="FootnoteTextChar"/>
    <w:semiHidden/>
    <w:rsid w:val="006828EF"/>
    <w:pPr>
      <w:tabs>
        <w:tab w:val="left" w:pos="567"/>
      </w:tabs>
      <w:suppressAutoHyphens w:val="0"/>
    </w:pPr>
    <w:rPr>
      <w:sz w:val="20"/>
      <w:lang w:val="x-none" w:eastAsia="x-none"/>
    </w:rPr>
  </w:style>
  <w:style w:type="character" w:customStyle="1" w:styleId="FootnoteTextChar">
    <w:name w:val="Footnote Text Char"/>
    <w:link w:val="FootnoteText"/>
    <w:semiHidden/>
    <w:locked/>
    <w:rPr>
      <w:rFonts w:cs="Times New Roman"/>
    </w:rPr>
  </w:style>
  <w:style w:type="paragraph" w:styleId="EndnoteText">
    <w:name w:val="endnote text"/>
    <w:basedOn w:val="Normal"/>
    <w:next w:val="Normal"/>
    <w:link w:val="EndnoteTextChar"/>
    <w:semiHidden/>
    <w:rsid w:val="006828EF"/>
    <w:pPr>
      <w:tabs>
        <w:tab w:val="left" w:pos="567"/>
      </w:tabs>
      <w:suppressAutoHyphens w:val="0"/>
      <w:spacing w:line="240" w:lineRule="auto"/>
    </w:pPr>
    <w:rPr>
      <w:sz w:val="20"/>
      <w:lang w:val="x-none" w:eastAsia="x-none"/>
    </w:rPr>
  </w:style>
  <w:style w:type="character" w:customStyle="1" w:styleId="EndnoteTextChar">
    <w:name w:val="Endnote Text Char"/>
    <w:link w:val="EndnoteText"/>
    <w:semiHidden/>
    <w:locked/>
    <w:rPr>
      <w:rFonts w:cs="Times New Roman"/>
    </w:rPr>
  </w:style>
  <w:style w:type="paragraph" w:styleId="BlockText">
    <w:name w:val="Block Text"/>
    <w:basedOn w:val="Normal"/>
    <w:rsid w:val="006828EF"/>
    <w:pPr>
      <w:tabs>
        <w:tab w:val="left" w:pos="2657"/>
      </w:tabs>
      <w:suppressAutoHyphens w:val="0"/>
      <w:spacing w:before="120" w:line="240" w:lineRule="auto"/>
      <w:ind w:left="-37" w:right="-28"/>
    </w:pPr>
    <w:rPr>
      <w:lang w:val="cs-CZ" w:eastAsia="en-US"/>
    </w:rPr>
  </w:style>
  <w:style w:type="paragraph" w:styleId="BodyText2">
    <w:name w:val="Body Text 2"/>
    <w:basedOn w:val="Normal"/>
    <w:link w:val="BodyText2Char"/>
    <w:rsid w:val="006828EF"/>
    <w:pPr>
      <w:suppressAutoHyphens w:val="0"/>
      <w:spacing w:line="240" w:lineRule="auto"/>
      <w:ind w:left="567" w:hanging="567"/>
    </w:pPr>
    <w:rPr>
      <w:lang w:val="x-none" w:eastAsia="x-none"/>
    </w:rPr>
  </w:style>
  <w:style w:type="character" w:customStyle="1" w:styleId="BodyText2Char">
    <w:name w:val="Body Text 2 Char"/>
    <w:link w:val="BodyText2"/>
    <w:semiHidden/>
    <w:locked/>
    <w:rPr>
      <w:rFonts w:cs="Times New Roman"/>
      <w:sz w:val="22"/>
    </w:rPr>
  </w:style>
  <w:style w:type="paragraph" w:styleId="BodyText3">
    <w:name w:val="Body Text 3"/>
    <w:basedOn w:val="Normal"/>
    <w:link w:val="BodyText3Char"/>
    <w:rsid w:val="006828EF"/>
    <w:pPr>
      <w:tabs>
        <w:tab w:val="left" w:pos="567"/>
      </w:tabs>
      <w:suppressAutoHyphens w:val="0"/>
      <w:jc w:val="both"/>
    </w:pPr>
    <w:rPr>
      <w:sz w:val="16"/>
      <w:szCs w:val="16"/>
      <w:lang w:val="x-none" w:eastAsia="x-none"/>
    </w:rPr>
  </w:style>
  <w:style w:type="character" w:customStyle="1" w:styleId="BodyText3Char">
    <w:name w:val="Body Text 3 Char"/>
    <w:link w:val="BodyText3"/>
    <w:locked/>
    <w:rPr>
      <w:rFonts w:cs="Times New Roman"/>
      <w:sz w:val="16"/>
      <w:szCs w:val="16"/>
    </w:rPr>
  </w:style>
  <w:style w:type="paragraph" w:styleId="BodyTextIndent2">
    <w:name w:val="Body Text Indent 2"/>
    <w:basedOn w:val="Normal"/>
    <w:link w:val="BodyTextIndent2Char"/>
    <w:rsid w:val="006828EF"/>
    <w:pPr>
      <w:tabs>
        <w:tab w:val="left" w:pos="567"/>
      </w:tabs>
      <w:suppressAutoHyphens w:val="0"/>
      <w:ind w:left="567" w:hanging="567"/>
      <w:jc w:val="both"/>
    </w:pPr>
    <w:rPr>
      <w:lang w:val="x-none" w:eastAsia="x-none"/>
    </w:rPr>
  </w:style>
  <w:style w:type="character" w:customStyle="1" w:styleId="BodyTextIndent2Char">
    <w:name w:val="Body Text Indent 2 Char"/>
    <w:link w:val="BodyTextIndent2"/>
    <w:semiHidden/>
    <w:locked/>
    <w:rPr>
      <w:rFonts w:cs="Times New Roman"/>
      <w:sz w:val="22"/>
    </w:rPr>
  </w:style>
  <w:style w:type="paragraph" w:styleId="BodyTextIndent3">
    <w:name w:val="Body Text Indent 3"/>
    <w:basedOn w:val="Normal"/>
    <w:link w:val="BodyTextIndent3Char"/>
    <w:rsid w:val="006828EF"/>
    <w:pPr>
      <w:tabs>
        <w:tab w:val="left" w:pos="567"/>
      </w:tabs>
      <w:suppressAutoHyphens w:val="0"/>
      <w:ind w:left="567" w:hanging="567"/>
    </w:pPr>
    <w:rPr>
      <w:sz w:val="16"/>
      <w:szCs w:val="16"/>
      <w:lang w:val="x-none" w:eastAsia="x-none"/>
    </w:rPr>
  </w:style>
  <w:style w:type="character" w:customStyle="1" w:styleId="BodyTextIndent3Char">
    <w:name w:val="Body Text Indent 3 Char"/>
    <w:link w:val="BodyTextIndent3"/>
    <w:semiHidden/>
    <w:locked/>
    <w:rPr>
      <w:rFonts w:cs="Times New Roman"/>
      <w:sz w:val="16"/>
      <w:szCs w:val="16"/>
    </w:rPr>
  </w:style>
  <w:style w:type="character" w:styleId="CommentReference">
    <w:name w:val="annotation reference"/>
    <w:uiPriority w:val="99"/>
    <w:semiHidden/>
    <w:rsid w:val="006828EF"/>
    <w:rPr>
      <w:rFonts w:cs="Times New Roman"/>
      <w:sz w:val="16"/>
    </w:rPr>
  </w:style>
  <w:style w:type="paragraph" w:styleId="CommentText">
    <w:name w:val="annotation text"/>
    <w:basedOn w:val="Normal"/>
    <w:link w:val="CommentTextChar"/>
    <w:uiPriority w:val="99"/>
    <w:semiHidden/>
    <w:rsid w:val="006828EF"/>
    <w:pPr>
      <w:tabs>
        <w:tab w:val="left" w:pos="567"/>
      </w:tabs>
      <w:suppressAutoHyphens w:val="0"/>
    </w:pPr>
    <w:rPr>
      <w:sz w:val="20"/>
      <w:lang w:val="cs-CZ" w:eastAsia="en-US"/>
    </w:rPr>
  </w:style>
  <w:style w:type="character" w:customStyle="1" w:styleId="CommentTextChar">
    <w:name w:val="Comment Text Char"/>
    <w:link w:val="CommentText"/>
    <w:semiHidden/>
    <w:locked/>
    <w:rsid w:val="004E7329"/>
    <w:rPr>
      <w:rFonts w:cs="Times New Roman"/>
      <w:lang w:val="cs-CZ" w:eastAsia="en-US"/>
    </w:rPr>
  </w:style>
  <w:style w:type="paragraph" w:styleId="DocumentMap">
    <w:name w:val="Document Map"/>
    <w:basedOn w:val="Normal"/>
    <w:link w:val="DocumentMapChar"/>
    <w:semiHidden/>
    <w:rsid w:val="006828EF"/>
    <w:pPr>
      <w:shd w:val="clear" w:color="auto" w:fill="000080"/>
      <w:tabs>
        <w:tab w:val="left" w:pos="567"/>
      </w:tabs>
      <w:suppressAutoHyphens w:val="0"/>
    </w:pPr>
    <w:rPr>
      <w:sz w:val="2"/>
      <w:lang w:val="x-none" w:eastAsia="x-none"/>
    </w:rPr>
  </w:style>
  <w:style w:type="character" w:customStyle="1" w:styleId="DocumentMapChar">
    <w:name w:val="Document Map Char"/>
    <w:link w:val="DocumentMap"/>
    <w:semiHidden/>
    <w:locked/>
    <w:rPr>
      <w:rFonts w:cs="Times New Roman"/>
      <w:sz w:val="2"/>
    </w:rPr>
  </w:style>
  <w:style w:type="character" w:styleId="EndnoteReference">
    <w:name w:val="endnote reference"/>
    <w:semiHidden/>
    <w:rsid w:val="006828EF"/>
    <w:rPr>
      <w:rFonts w:cs="Times New Roman"/>
      <w:vertAlign w:val="superscript"/>
    </w:rPr>
  </w:style>
  <w:style w:type="character" w:styleId="FootnoteReference">
    <w:name w:val="footnote reference"/>
    <w:semiHidden/>
    <w:rsid w:val="006828EF"/>
    <w:rPr>
      <w:rFonts w:cs="Times New Roman"/>
      <w:vertAlign w:val="superscript"/>
    </w:rPr>
  </w:style>
  <w:style w:type="paragraph" w:styleId="Title">
    <w:name w:val="Title"/>
    <w:basedOn w:val="Normal"/>
    <w:link w:val="TitleChar"/>
    <w:qFormat/>
    <w:rsid w:val="006828EF"/>
    <w:pPr>
      <w:suppressAutoHyphens w:val="0"/>
      <w:spacing w:line="240" w:lineRule="auto"/>
      <w:jc w:val="center"/>
    </w:pPr>
    <w:rPr>
      <w:rFonts w:ascii="Cambria" w:hAnsi="Cambria"/>
      <w:b/>
      <w:bCs/>
      <w:kern w:val="28"/>
      <w:sz w:val="32"/>
      <w:szCs w:val="32"/>
      <w:lang w:val="x-none" w:eastAsia="x-none"/>
    </w:rPr>
  </w:style>
  <w:style w:type="character" w:customStyle="1" w:styleId="TitleChar">
    <w:name w:val="Title Char"/>
    <w:link w:val="Title"/>
    <w:locked/>
    <w:rPr>
      <w:rFonts w:ascii="Cambria" w:hAnsi="Cambria" w:cs="Times New Roman"/>
      <w:b/>
      <w:bCs/>
      <w:kern w:val="28"/>
      <w:sz w:val="32"/>
      <w:szCs w:val="32"/>
    </w:rPr>
  </w:style>
  <w:style w:type="paragraph" w:customStyle="1" w:styleId="BodyText1">
    <w:name w:val="Body Text1"/>
    <w:rsid w:val="006828EF"/>
    <w:pPr>
      <w:tabs>
        <w:tab w:val="left" w:pos="1152"/>
        <w:tab w:val="left" w:pos="1872"/>
      </w:tabs>
      <w:overflowPunct w:val="0"/>
      <w:autoSpaceDE w:val="0"/>
      <w:autoSpaceDN w:val="0"/>
      <w:adjustRightInd w:val="0"/>
      <w:spacing w:after="240" w:line="288" w:lineRule="auto"/>
      <w:ind w:left="1151"/>
      <w:jc w:val="both"/>
      <w:textAlignment w:val="baseline"/>
    </w:pPr>
    <w:rPr>
      <w:sz w:val="24"/>
      <w:lang w:val="en-US" w:eastAsia="en-US"/>
    </w:rPr>
  </w:style>
  <w:style w:type="paragraph" w:customStyle="1" w:styleId="In-texttable">
    <w:name w:val="In-text table"/>
    <w:basedOn w:val="Normal"/>
    <w:rsid w:val="006828EF"/>
    <w:pPr>
      <w:keepNext/>
      <w:suppressAutoHyphens w:val="0"/>
      <w:overflowPunct w:val="0"/>
      <w:autoSpaceDE w:val="0"/>
      <w:autoSpaceDN w:val="0"/>
      <w:adjustRightInd w:val="0"/>
      <w:spacing w:line="288" w:lineRule="auto"/>
      <w:textAlignment w:val="baseline"/>
    </w:pPr>
    <w:rPr>
      <w:rFonts w:ascii="Arial" w:hAnsi="Arial"/>
      <w:sz w:val="16"/>
      <w:lang w:val="en-US" w:eastAsia="en-US"/>
    </w:rPr>
  </w:style>
  <w:style w:type="paragraph" w:customStyle="1" w:styleId="In-textfootnote">
    <w:name w:val="In-text footnote"/>
    <w:basedOn w:val="In-texttable"/>
    <w:rsid w:val="006828EF"/>
    <w:pPr>
      <w:tabs>
        <w:tab w:val="left" w:pos="142"/>
      </w:tabs>
      <w:spacing w:before="40"/>
      <w:ind w:left="142" w:hanging="142"/>
    </w:pPr>
  </w:style>
  <w:style w:type="paragraph" w:customStyle="1" w:styleId="Buborkszveg1">
    <w:name w:val="Buborékszöveg1"/>
    <w:basedOn w:val="Normal"/>
    <w:semiHidden/>
    <w:rsid w:val="006828EF"/>
    <w:rPr>
      <w:rFonts w:ascii="Tahoma" w:hAnsi="Tahoma" w:cs="Tahoma"/>
      <w:sz w:val="16"/>
      <w:szCs w:val="16"/>
    </w:rPr>
  </w:style>
  <w:style w:type="paragraph" w:customStyle="1" w:styleId="Megjegyzstrgya1">
    <w:name w:val="Megjegyzés tárgya1"/>
    <w:basedOn w:val="CommentText"/>
    <w:next w:val="CommentText"/>
    <w:semiHidden/>
    <w:rsid w:val="006828EF"/>
    <w:pPr>
      <w:tabs>
        <w:tab w:val="clear" w:pos="567"/>
      </w:tabs>
      <w:suppressAutoHyphens/>
    </w:pPr>
    <w:rPr>
      <w:b/>
      <w:bCs/>
      <w:lang w:val="hu-HU" w:eastAsia="hu-HU"/>
    </w:rPr>
  </w:style>
  <w:style w:type="paragraph" w:customStyle="1" w:styleId="EMEANormal">
    <w:name w:val="EMEA Normal"/>
    <w:link w:val="EMEANormalChar"/>
    <w:rsid w:val="006828EF"/>
    <w:pPr>
      <w:tabs>
        <w:tab w:val="left" w:pos="562"/>
      </w:tabs>
      <w:suppressAutoHyphens/>
    </w:pPr>
    <w:rPr>
      <w:sz w:val="22"/>
      <w:lang w:val="en-US" w:eastAsia="en-US"/>
    </w:rPr>
  </w:style>
  <w:style w:type="paragraph" w:customStyle="1" w:styleId="EMEAHeading1">
    <w:name w:val="EMEA Heading 1"/>
    <w:next w:val="EMEANormal"/>
    <w:rsid w:val="006828EF"/>
    <w:pPr>
      <w:tabs>
        <w:tab w:val="left" w:pos="562"/>
      </w:tabs>
      <w:suppressAutoHyphens/>
      <w:spacing w:beforeLines="200" w:afterLines="100"/>
      <w:outlineLvl w:val="0"/>
    </w:pPr>
    <w:rPr>
      <w:rFonts w:ascii="Times New Roman Bold" w:hAnsi="Times New Roman Bold"/>
      <w:b/>
      <w:caps/>
      <w:sz w:val="22"/>
      <w:lang w:val="en-US" w:eastAsia="en-US"/>
    </w:rPr>
  </w:style>
  <w:style w:type="paragraph" w:customStyle="1" w:styleId="DefaultText">
    <w:name w:val="Default Text"/>
    <w:basedOn w:val="Normal"/>
    <w:rsid w:val="006828EF"/>
    <w:pPr>
      <w:suppressAutoHyphens w:val="0"/>
      <w:overflowPunct w:val="0"/>
      <w:autoSpaceDE w:val="0"/>
      <w:autoSpaceDN w:val="0"/>
      <w:adjustRightInd w:val="0"/>
      <w:spacing w:line="240" w:lineRule="auto"/>
    </w:pPr>
    <w:rPr>
      <w:rFonts w:ascii="Arial" w:hAnsi="Arial"/>
      <w:bCs/>
      <w:iCs/>
      <w:lang w:val="en-US" w:eastAsia="en-US"/>
    </w:rPr>
  </w:style>
  <w:style w:type="paragraph" w:customStyle="1" w:styleId="Buborkszveg2">
    <w:name w:val="Buborékszöveg2"/>
    <w:basedOn w:val="Normal"/>
    <w:semiHidden/>
    <w:rsid w:val="006828EF"/>
    <w:rPr>
      <w:rFonts w:ascii="Tahoma" w:hAnsi="Tahoma" w:cs="Tahoma"/>
      <w:sz w:val="16"/>
      <w:szCs w:val="16"/>
    </w:rPr>
  </w:style>
  <w:style w:type="paragraph" w:customStyle="1" w:styleId="Megjegyzstrgya2">
    <w:name w:val="Megjegyzés tárgya2"/>
    <w:basedOn w:val="CommentText"/>
    <w:next w:val="CommentText"/>
    <w:semiHidden/>
    <w:rsid w:val="006828EF"/>
    <w:pPr>
      <w:tabs>
        <w:tab w:val="clear" w:pos="567"/>
      </w:tabs>
      <w:suppressAutoHyphens/>
    </w:pPr>
    <w:rPr>
      <w:b/>
      <w:bCs/>
      <w:lang w:val="hu-HU" w:eastAsia="hu-HU"/>
    </w:rPr>
  </w:style>
  <w:style w:type="paragraph" w:customStyle="1" w:styleId="TableText">
    <w:name w:val="Table Text"/>
    <w:rsid w:val="006828EF"/>
    <w:pPr>
      <w:keepNext/>
      <w:keepLines/>
      <w:tabs>
        <w:tab w:val="left" w:pos="360"/>
      </w:tabs>
      <w:suppressAutoHyphens/>
      <w:spacing w:before="40" w:after="40" w:line="240" w:lineRule="exact"/>
    </w:pPr>
    <w:rPr>
      <w:lang w:val="en-US" w:eastAsia="en-US"/>
    </w:rPr>
  </w:style>
  <w:style w:type="paragraph" w:customStyle="1" w:styleId="Buborkszveg3">
    <w:name w:val="Buborékszöveg3"/>
    <w:basedOn w:val="Normal"/>
    <w:rsid w:val="006828EF"/>
    <w:pPr>
      <w:spacing w:line="240" w:lineRule="auto"/>
    </w:pPr>
    <w:rPr>
      <w:rFonts w:ascii="Tahoma" w:hAnsi="Tahoma" w:cs="Tahoma"/>
      <w:sz w:val="16"/>
      <w:szCs w:val="16"/>
    </w:rPr>
  </w:style>
  <w:style w:type="character" w:customStyle="1" w:styleId="BuborkszvegChar">
    <w:name w:val="Buborékszöveg Char"/>
    <w:rsid w:val="006828EF"/>
    <w:rPr>
      <w:rFonts w:ascii="Tahoma" w:hAnsi="Tahoma" w:cs="Tahoma"/>
      <w:sz w:val="16"/>
      <w:szCs w:val="16"/>
    </w:rPr>
  </w:style>
  <w:style w:type="paragraph" w:customStyle="1" w:styleId="Vltozat1">
    <w:name w:val="Változat1"/>
    <w:hidden/>
    <w:semiHidden/>
    <w:rsid w:val="006828EF"/>
    <w:rPr>
      <w:sz w:val="22"/>
    </w:rPr>
  </w:style>
  <w:style w:type="character" w:customStyle="1" w:styleId="Cmsor3Char">
    <w:name w:val="Címsor 3 Char"/>
    <w:rsid w:val="006828EF"/>
    <w:rPr>
      <w:rFonts w:cs="Times New Roman"/>
      <w:b/>
      <w:kern w:val="28"/>
      <w:sz w:val="24"/>
      <w:lang w:val="en-US" w:eastAsia="en-US"/>
    </w:rPr>
  </w:style>
  <w:style w:type="character" w:customStyle="1" w:styleId="VgjegyzetszvegeChar">
    <w:name w:val="Végjegyzet szövege Char"/>
    <w:semiHidden/>
    <w:rsid w:val="006828EF"/>
    <w:rPr>
      <w:rFonts w:cs="Times New Roman"/>
      <w:sz w:val="22"/>
      <w:lang w:val="cs-CZ" w:eastAsia="en-US"/>
    </w:rPr>
  </w:style>
  <w:style w:type="paragraph" w:customStyle="1" w:styleId="Megjegyzstrgya3">
    <w:name w:val="Megjegyzés tárgya3"/>
    <w:basedOn w:val="CommentText"/>
    <w:next w:val="CommentText"/>
    <w:semiHidden/>
    <w:rsid w:val="006828EF"/>
    <w:pPr>
      <w:tabs>
        <w:tab w:val="clear" w:pos="567"/>
      </w:tabs>
      <w:suppressAutoHyphens/>
    </w:pPr>
    <w:rPr>
      <w:b/>
      <w:bCs/>
      <w:lang w:val="hu-HU" w:eastAsia="hu-HU"/>
    </w:rPr>
  </w:style>
  <w:style w:type="paragraph" w:customStyle="1" w:styleId="EMEABullet2">
    <w:name w:val="EMEA Bullet 2"/>
    <w:basedOn w:val="Normal"/>
    <w:next w:val="EMEANormal"/>
    <w:rsid w:val="006828EF"/>
    <w:pPr>
      <w:numPr>
        <w:numId w:val="71"/>
      </w:numPr>
      <w:tabs>
        <w:tab w:val="left" w:pos="567"/>
      </w:tabs>
      <w:spacing w:line="240" w:lineRule="auto"/>
    </w:pPr>
    <w:rPr>
      <w:lang w:val="en-US" w:eastAsia="en-US"/>
    </w:rPr>
  </w:style>
  <w:style w:type="paragraph" w:customStyle="1" w:styleId="EMEAHeadingUnderline">
    <w:name w:val="EMEA Heading Underline"/>
    <w:next w:val="EMEANormal"/>
    <w:rsid w:val="006828EF"/>
    <w:pPr>
      <w:tabs>
        <w:tab w:val="left" w:pos="562"/>
      </w:tabs>
      <w:suppressAutoHyphens/>
      <w:spacing w:beforeLines="100" w:afterLines="100"/>
    </w:pPr>
    <w:rPr>
      <w:sz w:val="22"/>
      <w:u w:val="single"/>
      <w:lang w:val="en-US" w:eastAsia="en-US"/>
    </w:rPr>
  </w:style>
  <w:style w:type="paragraph" w:customStyle="1" w:styleId="EMEABullet">
    <w:name w:val="EMEA Bullet"/>
    <w:rsid w:val="006828EF"/>
    <w:pPr>
      <w:numPr>
        <w:numId w:val="74"/>
      </w:numPr>
      <w:suppressAutoHyphens/>
    </w:pPr>
    <w:rPr>
      <w:sz w:val="22"/>
      <w:lang w:val="en-US" w:eastAsia="en-US"/>
    </w:rPr>
  </w:style>
  <w:style w:type="paragraph" w:customStyle="1" w:styleId="Listaszerbekezds1">
    <w:name w:val="Listaszerű bekezdés1"/>
    <w:basedOn w:val="Normal"/>
    <w:qFormat/>
    <w:rsid w:val="006828EF"/>
    <w:pPr>
      <w:ind w:left="708"/>
    </w:pPr>
  </w:style>
  <w:style w:type="paragraph" w:customStyle="1" w:styleId="Buborkszveg4">
    <w:name w:val="Buborékszöveg4"/>
    <w:basedOn w:val="Normal"/>
    <w:semiHidden/>
    <w:rsid w:val="006828EF"/>
    <w:rPr>
      <w:rFonts w:ascii="Tahoma" w:hAnsi="Tahoma" w:cs="Tahoma"/>
      <w:sz w:val="16"/>
      <w:szCs w:val="16"/>
    </w:rPr>
  </w:style>
  <w:style w:type="paragraph" w:styleId="BalloonText">
    <w:name w:val="Balloon Text"/>
    <w:basedOn w:val="Normal"/>
    <w:link w:val="BalloonTextChar"/>
    <w:semiHidden/>
    <w:rsid w:val="00672243"/>
    <w:rPr>
      <w:sz w:val="20"/>
      <w:lang w:val="x-none" w:eastAsia="x-none"/>
    </w:rPr>
  </w:style>
  <w:style w:type="character" w:customStyle="1" w:styleId="BalloonTextChar">
    <w:name w:val="Balloon Text Char"/>
    <w:link w:val="BalloonText"/>
    <w:semiHidden/>
    <w:locked/>
    <w:rsid w:val="00672243"/>
    <w:rPr>
      <w:lang w:val="x-none" w:eastAsia="x-none"/>
    </w:rPr>
  </w:style>
  <w:style w:type="table" w:styleId="TableGrid">
    <w:name w:val="Table Grid"/>
    <w:basedOn w:val="TableNormal"/>
    <w:rsid w:val="00356925"/>
    <w:pPr>
      <w:tabs>
        <w:tab w:val="left" w:pos="562"/>
      </w:tabs>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1"/>
    <w:rsid w:val="004E7329"/>
    <w:pPr>
      <w:tabs>
        <w:tab w:val="clear" w:pos="567"/>
      </w:tabs>
      <w:suppressAutoHyphens/>
    </w:pPr>
    <w:rPr>
      <w:b/>
      <w:bCs/>
    </w:rPr>
  </w:style>
  <w:style w:type="character" w:customStyle="1" w:styleId="CommentSubjectChar">
    <w:name w:val="Comment Subject Char"/>
    <w:semiHidden/>
    <w:locked/>
    <w:rPr>
      <w:rFonts w:cs="Times New Roman"/>
      <w:b/>
      <w:bCs/>
      <w:lang w:val="cs-CZ" w:eastAsia="en-US"/>
    </w:rPr>
  </w:style>
  <w:style w:type="character" w:customStyle="1" w:styleId="CommentSubjectChar1">
    <w:name w:val="Comment Subject Char1"/>
    <w:link w:val="CommentSubject"/>
    <w:locked/>
    <w:rsid w:val="004E7329"/>
    <w:rPr>
      <w:rFonts w:cs="Times New Roman"/>
      <w:lang w:val="cs-CZ" w:eastAsia="en-US"/>
    </w:rPr>
  </w:style>
  <w:style w:type="paragraph" w:customStyle="1" w:styleId="EMEAHeading2SPC">
    <w:name w:val="EMEA Heading 2 SPC"/>
    <w:next w:val="EMEANormal"/>
    <w:rsid w:val="00815FE7"/>
    <w:pPr>
      <w:tabs>
        <w:tab w:val="left" w:pos="562"/>
      </w:tabs>
      <w:spacing w:beforeLines="100" w:afterLines="100"/>
      <w:outlineLvl w:val="1"/>
    </w:pPr>
    <w:rPr>
      <w:rFonts w:ascii="Times New Roman Bold" w:hAnsi="Times New Roman Bold"/>
      <w:b/>
      <w:sz w:val="22"/>
      <w:lang w:val="en-US" w:eastAsia="en-US"/>
    </w:rPr>
  </w:style>
  <w:style w:type="character" w:customStyle="1" w:styleId="hps">
    <w:name w:val="hps"/>
    <w:basedOn w:val="DefaultParagraphFont"/>
    <w:rsid w:val="008B3A05"/>
  </w:style>
  <w:style w:type="paragraph" w:customStyle="1" w:styleId="EMEAHeadingLeaflet">
    <w:name w:val="EMEA Heading Leaflet"/>
    <w:next w:val="EMEANormal"/>
    <w:rsid w:val="009848E0"/>
    <w:pPr>
      <w:tabs>
        <w:tab w:val="left" w:pos="562"/>
      </w:tabs>
      <w:suppressAutoHyphens/>
      <w:spacing w:beforeLines="100" w:before="100" w:afterLines="100" w:after="100"/>
    </w:pPr>
    <w:rPr>
      <w:rFonts w:ascii="Times New Roman Bold" w:hAnsi="Times New Roman Bold"/>
      <w:b/>
      <w:sz w:val="22"/>
      <w:lang w:val="en-US" w:eastAsia="en-US"/>
    </w:rPr>
  </w:style>
  <w:style w:type="paragraph" w:customStyle="1" w:styleId="BMCENTRED">
    <w:name w:val="BM CENTRED"/>
    <w:basedOn w:val="Normal"/>
    <w:link w:val="BMCENTREDChar"/>
    <w:rsid w:val="00940CEC"/>
    <w:pPr>
      <w:spacing w:line="260" w:lineRule="atLeast"/>
      <w:jc w:val="center"/>
    </w:pPr>
    <w:rPr>
      <w:b/>
    </w:rPr>
  </w:style>
  <w:style w:type="paragraph" w:customStyle="1" w:styleId="BMLeftAligned">
    <w:name w:val="BM Left Aligned"/>
    <w:basedOn w:val="Normal"/>
    <w:rsid w:val="00940CEC"/>
    <w:pPr>
      <w:ind w:left="567" w:hanging="567"/>
    </w:pPr>
    <w:rPr>
      <w:b/>
    </w:rPr>
  </w:style>
  <w:style w:type="paragraph" w:styleId="BodyTextFirstIndent">
    <w:name w:val="Body Text First Indent"/>
    <w:basedOn w:val="BodyText"/>
    <w:rsid w:val="00C35AC2"/>
    <w:pPr>
      <w:tabs>
        <w:tab w:val="clear" w:pos="567"/>
      </w:tabs>
      <w:suppressAutoHyphens/>
      <w:spacing w:after="120"/>
      <w:ind w:firstLine="210"/>
    </w:pPr>
    <w:rPr>
      <w:b/>
      <w:i/>
      <w:lang w:val="hu-HU" w:eastAsia="hu-HU"/>
    </w:rPr>
  </w:style>
  <w:style w:type="paragraph" w:styleId="BodyTextFirstIndent2">
    <w:name w:val="Body Text First Indent 2"/>
    <w:basedOn w:val="BodyTextIndent"/>
    <w:rsid w:val="00C35AC2"/>
    <w:pPr>
      <w:suppressAutoHyphens/>
      <w:spacing w:after="120" w:line="260" w:lineRule="exact"/>
      <w:ind w:left="283" w:firstLine="210"/>
    </w:pPr>
    <w:rPr>
      <w:b/>
      <w:lang w:val="hu-HU" w:eastAsia="hu-HU"/>
    </w:rPr>
  </w:style>
  <w:style w:type="paragraph" w:styleId="Caption">
    <w:name w:val="caption"/>
    <w:basedOn w:val="Normal"/>
    <w:next w:val="Normal"/>
    <w:qFormat/>
    <w:locked/>
    <w:rsid w:val="00C35AC2"/>
    <w:rPr>
      <w:b/>
      <w:bCs/>
      <w:sz w:val="20"/>
    </w:rPr>
  </w:style>
  <w:style w:type="paragraph" w:styleId="Closing">
    <w:name w:val="Closing"/>
    <w:basedOn w:val="Normal"/>
    <w:rsid w:val="00C35AC2"/>
    <w:pPr>
      <w:ind w:left="4252"/>
    </w:pPr>
  </w:style>
  <w:style w:type="paragraph" w:styleId="Date">
    <w:name w:val="Date"/>
    <w:basedOn w:val="Normal"/>
    <w:next w:val="Normal"/>
    <w:rsid w:val="00C35AC2"/>
  </w:style>
  <w:style w:type="paragraph" w:styleId="E-mailSignature">
    <w:name w:val="E-mail Signature"/>
    <w:basedOn w:val="Normal"/>
    <w:rsid w:val="00C35AC2"/>
  </w:style>
  <w:style w:type="paragraph" w:styleId="EnvelopeReturn">
    <w:name w:val="envelope return"/>
    <w:basedOn w:val="Normal"/>
    <w:rsid w:val="00C35AC2"/>
    <w:rPr>
      <w:rFonts w:ascii="Arial" w:hAnsi="Arial" w:cs="Arial"/>
      <w:sz w:val="20"/>
    </w:rPr>
  </w:style>
  <w:style w:type="paragraph" w:styleId="HTMLAddress">
    <w:name w:val="HTML Address"/>
    <w:basedOn w:val="Normal"/>
    <w:rsid w:val="00C35AC2"/>
    <w:rPr>
      <w:i/>
      <w:iCs/>
    </w:rPr>
  </w:style>
  <w:style w:type="paragraph" w:styleId="HTMLPreformatted">
    <w:name w:val="HTML Preformatted"/>
    <w:basedOn w:val="Normal"/>
    <w:rsid w:val="00C35AC2"/>
    <w:rPr>
      <w:rFonts w:ascii="Courier New" w:hAnsi="Courier New" w:cs="Courier New"/>
      <w:sz w:val="20"/>
    </w:rPr>
  </w:style>
  <w:style w:type="paragraph" w:styleId="Index1">
    <w:name w:val="index 1"/>
    <w:basedOn w:val="Normal"/>
    <w:next w:val="Normal"/>
    <w:autoRedefine/>
    <w:semiHidden/>
    <w:rsid w:val="00C35AC2"/>
    <w:pPr>
      <w:ind w:left="220" w:hanging="220"/>
    </w:pPr>
  </w:style>
  <w:style w:type="paragraph" w:styleId="Index2">
    <w:name w:val="index 2"/>
    <w:basedOn w:val="Normal"/>
    <w:next w:val="Normal"/>
    <w:autoRedefine/>
    <w:semiHidden/>
    <w:rsid w:val="00C35AC2"/>
    <w:pPr>
      <w:ind w:left="440" w:hanging="220"/>
    </w:pPr>
  </w:style>
  <w:style w:type="paragraph" w:styleId="Index3">
    <w:name w:val="index 3"/>
    <w:basedOn w:val="Normal"/>
    <w:next w:val="Normal"/>
    <w:autoRedefine/>
    <w:semiHidden/>
    <w:rsid w:val="00C35AC2"/>
    <w:pPr>
      <w:ind w:left="660" w:hanging="220"/>
    </w:pPr>
  </w:style>
  <w:style w:type="paragraph" w:styleId="Index4">
    <w:name w:val="index 4"/>
    <w:basedOn w:val="Normal"/>
    <w:next w:val="Normal"/>
    <w:autoRedefine/>
    <w:semiHidden/>
    <w:rsid w:val="00C35AC2"/>
    <w:pPr>
      <w:ind w:left="880" w:hanging="220"/>
    </w:pPr>
  </w:style>
  <w:style w:type="paragraph" w:styleId="Index5">
    <w:name w:val="index 5"/>
    <w:basedOn w:val="Normal"/>
    <w:next w:val="Normal"/>
    <w:autoRedefine/>
    <w:semiHidden/>
    <w:rsid w:val="00C35AC2"/>
    <w:pPr>
      <w:ind w:left="1100" w:hanging="220"/>
    </w:pPr>
  </w:style>
  <w:style w:type="paragraph" w:styleId="Index6">
    <w:name w:val="index 6"/>
    <w:basedOn w:val="Normal"/>
    <w:next w:val="Normal"/>
    <w:autoRedefine/>
    <w:semiHidden/>
    <w:rsid w:val="00C35AC2"/>
    <w:pPr>
      <w:ind w:left="1320" w:hanging="220"/>
    </w:pPr>
  </w:style>
  <w:style w:type="paragraph" w:styleId="Index7">
    <w:name w:val="index 7"/>
    <w:basedOn w:val="Normal"/>
    <w:next w:val="Normal"/>
    <w:autoRedefine/>
    <w:semiHidden/>
    <w:rsid w:val="00C35AC2"/>
    <w:pPr>
      <w:ind w:left="1540" w:hanging="220"/>
    </w:pPr>
  </w:style>
  <w:style w:type="paragraph" w:styleId="Index8">
    <w:name w:val="index 8"/>
    <w:basedOn w:val="Normal"/>
    <w:next w:val="Normal"/>
    <w:autoRedefine/>
    <w:semiHidden/>
    <w:rsid w:val="00C35AC2"/>
    <w:pPr>
      <w:ind w:left="1760" w:hanging="220"/>
    </w:pPr>
  </w:style>
  <w:style w:type="paragraph" w:styleId="Index9">
    <w:name w:val="index 9"/>
    <w:basedOn w:val="Normal"/>
    <w:next w:val="Normal"/>
    <w:autoRedefine/>
    <w:semiHidden/>
    <w:rsid w:val="00C35AC2"/>
    <w:pPr>
      <w:ind w:left="1980" w:hanging="220"/>
    </w:pPr>
  </w:style>
  <w:style w:type="paragraph" w:styleId="IndexHeading">
    <w:name w:val="index heading"/>
    <w:basedOn w:val="Normal"/>
    <w:next w:val="Index1"/>
    <w:semiHidden/>
    <w:rsid w:val="00C35AC2"/>
    <w:rPr>
      <w:rFonts w:ascii="Arial" w:hAnsi="Arial" w:cs="Arial"/>
      <w:b/>
      <w:bCs/>
    </w:rPr>
  </w:style>
  <w:style w:type="paragraph" w:styleId="List">
    <w:name w:val="List"/>
    <w:basedOn w:val="Normal"/>
    <w:rsid w:val="00C35AC2"/>
    <w:pPr>
      <w:ind w:left="283" w:hanging="283"/>
    </w:pPr>
  </w:style>
  <w:style w:type="paragraph" w:styleId="List2">
    <w:name w:val="List 2"/>
    <w:basedOn w:val="Normal"/>
    <w:rsid w:val="00C35AC2"/>
    <w:pPr>
      <w:ind w:left="566" w:hanging="283"/>
    </w:pPr>
  </w:style>
  <w:style w:type="paragraph" w:styleId="List3">
    <w:name w:val="List 3"/>
    <w:basedOn w:val="Normal"/>
    <w:rsid w:val="00C35AC2"/>
    <w:pPr>
      <w:ind w:left="849" w:hanging="283"/>
    </w:pPr>
  </w:style>
  <w:style w:type="paragraph" w:styleId="List4">
    <w:name w:val="List 4"/>
    <w:basedOn w:val="Normal"/>
    <w:rsid w:val="00C35AC2"/>
    <w:pPr>
      <w:ind w:left="1132" w:hanging="283"/>
    </w:pPr>
  </w:style>
  <w:style w:type="paragraph" w:styleId="List5">
    <w:name w:val="List 5"/>
    <w:basedOn w:val="Normal"/>
    <w:rsid w:val="00C35AC2"/>
    <w:pPr>
      <w:ind w:left="1415" w:hanging="283"/>
    </w:pPr>
  </w:style>
  <w:style w:type="paragraph" w:styleId="ListBullet">
    <w:name w:val="List Bullet"/>
    <w:basedOn w:val="Normal"/>
    <w:rsid w:val="00C35AC2"/>
    <w:pPr>
      <w:numPr>
        <w:numId w:val="90"/>
      </w:numPr>
    </w:pPr>
  </w:style>
  <w:style w:type="paragraph" w:styleId="ListBullet2">
    <w:name w:val="List Bullet 2"/>
    <w:basedOn w:val="Normal"/>
    <w:rsid w:val="00C35AC2"/>
    <w:pPr>
      <w:numPr>
        <w:numId w:val="91"/>
      </w:numPr>
    </w:pPr>
  </w:style>
  <w:style w:type="paragraph" w:styleId="ListBullet3">
    <w:name w:val="List Bullet 3"/>
    <w:basedOn w:val="Normal"/>
    <w:rsid w:val="00C35AC2"/>
    <w:pPr>
      <w:numPr>
        <w:numId w:val="92"/>
      </w:numPr>
    </w:pPr>
  </w:style>
  <w:style w:type="paragraph" w:styleId="ListBullet4">
    <w:name w:val="List Bullet 4"/>
    <w:basedOn w:val="Normal"/>
    <w:rsid w:val="00C35AC2"/>
    <w:pPr>
      <w:numPr>
        <w:numId w:val="93"/>
      </w:numPr>
    </w:pPr>
  </w:style>
  <w:style w:type="paragraph" w:styleId="ListBullet5">
    <w:name w:val="List Bullet 5"/>
    <w:basedOn w:val="Normal"/>
    <w:rsid w:val="00C35AC2"/>
    <w:pPr>
      <w:numPr>
        <w:numId w:val="94"/>
      </w:numPr>
    </w:pPr>
  </w:style>
  <w:style w:type="paragraph" w:styleId="ListContinue">
    <w:name w:val="List Continue"/>
    <w:basedOn w:val="Normal"/>
    <w:rsid w:val="00C35AC2"/>
    <w:pPr>
      <w:spacing w:after="120"/>
      <w:ind w:left="283"/>
    </w:pPr>
  </w:style>
  <w:style w:type="paragraph" w:styleId="ListContinue2">
    <w:name w:val="List Continue 2"/>
    <w:basedOn w:val="Normal"/>
    <w:rsid w:val="00C35AC2"/>
    <w:pPr>
      <w:spacing w:after="120"/>
      <w:ind w:left="566"/>
    </w:pPr>
  </w:style>
  <w:style w:type="paragraph" w:styleId="ListContinue3">
    <w:name w:val="List Continue 3"/>
    <w:basedOn w:val="Normal"/>
    <w:rsid w:val="00C35AC2"/>
    <w:pPr>
      <w:spacing w:after="120"/>
      <w:ind w:left="849"/>
    </w:pPr>
  </w:style>
  <w:style w:type="paragraph" w:styleId="ListContinue4">
    <w:name w:val="List Continue 4"/>
    <w:basedOn w:val="Normal"/>
    <w:rsid w:val="00C35AC2"/>
    <w:pPr>
      <w:spacing w:after="120"/>
      <w:ind w:left="1132"/>
    </w:pPr>
  </w:style>
  <w:style w:type="paragraph" w:styleId="ListContinue5">
    <w:name w:val="List Continue 5"/>
    <w:basedOn w:val="Normal"/>
    <w:rsid w:val="00C35AC2"/>
    <w:pPr>
      <w:spacing w:after="120"/>
      <w:ind w:left="1415"/>
    </w:pPr>
  </w:style>
  <w:style w:type="paragraph" w:styleId="ListNumber">
    <w:name w:val="List Number"/>
    <w:basedOn w:val="Normal"/>
    <w:rsid w:val="00C35AC2"/>
    <w:pPr>
      <w:numPr>
        <w:numId w:val="95"/>
      </w:numPr>
    </w:pPr>
  </w:style>
  <w:style w:type="paragraph" w:styleId="ListNumber2">
    <w:name w:val="List Number 2"/>
    <w:basedOn w:val="Normal"/>
    <w:rsid w:val="00C35AC2"/>
    <w:pPr>
      <w:numPr>
        <w:numId w:val="96"/>
      </w:numPr>
    </w:pPr>
  </w:style>
  <w:style w:type="paragraph" w:styleId="ListNumber3">
    <w:name w:val="List Number 3"/>
    <w:basedOn w:val="Normal"/>
    <w:rsid w:val="00C35AC2"/>
    <w:pPr>
      <w:numPr>
        <w:numId w:val="97"/>
      </w:numPr>
    </w:pPr>
  </w:style>
  <w:style w:type="paragraph" w:styleId="ListNumber4">
    <w:name w:val="List Number 4"/>
    <w:basedOn w:val="Normal"/>
    <w:rsid w:val="00C35AC2"/>
    <w:pPr>
      <w:numPr>
        <w:numId w:val="98"/>
      </w:numPr>
    </w:pPr>
  </w:style>
  <w:style w:type="paragraph" w:styleId="ListNumber5">
    <w:name w:val="List Number 5"/>
    <w:basedOn w:val="Normal"/>
    <w:rsid w:val="00C35AC2"/>
    <w:pPr>
      <w:numPr>
        <w:numId w:val="99"/>
      </w:numPr>
    </w:pPr>
  </w:style>
  <w:style w:type="paragraph" w:styleId="MacroText">
    <w:name w:val="macro"/>
    <w:semiHidden/>
    <w:rsid w:val="00C35AC2"/>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urier New" w:hAnsi="Courier New" w:cs="Courier New"/>
    </w:rPr>
  </w:style>
  <w:style w:type="paragraph" w:styleId="MessageHeader">
    <w:name w:val="Message Header"/>
    <w:basedOn w:val="Normal"/>
    <w:rsid w:val="00C35AC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rsid w:val="00C35AC2"/>
    <w:rPr>
      <w:sz w:val="24"/>
      <w:szCs w:val="24"/>
    </w:rPr>
  </w:style>
  <w:style w:type="paragraph" w:styleId="NormalIndent">
    <w:name w:val="Normal Indent"/>
    <w:basedOn w:val="Normal"/>
    <w:rsid w:val="00C35AC2"/>
    <w:pPr>
      <w:ind w:left="720"/>
    </w:pPr>
  </w:style>
  <w:style w:type="paragraph" w:styleId="NoteHeading">
    <w:name w:val="Note Heading"/>
    <w:basedOn w:val="Normal"/>
    <w:next w:val="Normal"/>
    <w:rsid w:val="00C35AC2"/>
  </w:style>
  <w:style w:type="paragraph" w:styleId="PlainText">
    <w:name w:val="Plain Text"/>
    <w:basedOn w:val="Normal"/>
    <w:rsid w:val="00C35AC2"/>
    <w:rPr>
      <w:rFonts w:ascii="Courier New" w:hAnsi="Courier New" w:cs="Courier New"/>
      <w:sz w:val="20"/>
    </w:rPr>
  </w:style>
  <w:style w:type="paragraph" w:styleId="Salutation">
    <w:name w:val="Salutation"/>
    <w:basedOn w:val="Normal"/>
    <w:next w:val="Normal"/>
    <w:rsid w:val="00C35AC2"/>
  </w:style>
  <w:style w:type="paragraph" w:styleId="Signature">
    <w:name w:val="Signature"/>
    <w:basedOn w:val="Normal"/>
    <w:rsid w:val="00C35AC2"/>
    <w:pPr>
      <w:ind w:left="4252"/>
    </w:pPr>
  </w:style>
  <w:style w:type="paragraph" w:styleId="Subtitle">
    <w:name w:val="Subtitle"/>
    <w:basedOn w:val="Normal"/>
    <w:qFormat/>
    <w:locked/>
    <w:rsid w:val="00C35AC2"/>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C35AC2"/>
    <w:pPr>
      <w:ind w:left="220" w:hanging="220"/>
    </w:pPr>
  </w:style>
  <w:style w:type="paragraph" w:styleId="TableofFigures">
    <w:name w:val="table of figures"/>
    <w:basedOn w:val="Normal"/>
    <w:next w:val="Normal"/>
    <w:semiHidden/>
    <w:rsid w:val="00C35AC2"/>
  </w:style>
  <w:style w:type="paragraph" w:styleId="TOAHeading">
    <w:name w:val="toa heading"/>
    <w:basedOn w:val="Normal"/>
    <w:next w:val="Normal"/>
    <w:semiHidden/>
    <w:rsid w:val="00C35AC2"/>
    <w:pPr>
      <w:spacing w:before="120"/>
    </w:pPr>
    <w:rPr>
      <w:rFonts w:ascii="Arial" w:hAnsi="Arial" w:cs="Arial"/>
      <w:b/>
      <w:bCs/>
      <w:sz w:val="24"/>
      <w:szCs w:val="24"/>
    </w:rPr>
  </w:style>
  <w:style w:type="paragraph" w:styleId="TOC1">
    <w:name w:val="toc 1"/>
    <w:basedOn w:val="Normal"/>
    <w:next w:val="Normal"/>
    <w:autoRedefine/>
    <w:semiHidden/>
    <w:rsid w:val="00C35AC2"/>
  </w:style>
  <w:style w:type="paragraph" w:styleId="TOC2">
    <w:name w:val="toc 2"/>
    <w:basedOn w:val="Normal"/>
    <w:next w:val="Normal"/>
    <w:autoRedefine/>
    <w:semiHidden/>
    <w:rsid w:val="00C35AC2"/>
    <w:pPr>
      <w:ind w:left="220"/>
    </w:pPr>
  </w:style>
  <w:style w:type="paragraph" w:styleId="TOC3">
    <w:name w:val="toc 3"/>
    <w:basedOn w:val="Normal"/>
    <w:next w:val="Normal"/>
    <w:autoRedefine/>
    <w:semiHidden/>
    <w:rsid w:val="00C35AC2"/>
    <w:pPr>
      <w:ind w:left="440"/>
    </w:pPr>
  </w:style>
  <w:style w:type="paragraph" w:styleId="TOC4">
    <w:name w:val="toc 4"/>
    <w:basedOn w:val="Normal"/>
    <w:next w:val="Normal"/>
    <w:autoRedefine/>
    <w:semiHidden/>
    <w:rsid w:val="00C35AC2"/>
    <w:pPr>
      <w:ind w:left="660"/>
    </w:pPr>
  </w:style>
  <w:style w:type="paragraph" w:styleId="TOC5">
    <w:name w:val="toc 5"/>
    <w:basedOn w:val="Normal"/>
    <w:next w:val="Normal"/>
    <w:autoRedefine/>
    <w:semiHidden/>
    <w:rsid w:val="00C35AC2"/>
    <w:pPr>
      <w:ind w:left="880"/>
    </w:pPr>
  </w:style>
  <w:style w:type="paragraph" w:styleId="TOC6">
    <w:name w:val="toc 6"/>
    <w:basedOn w:val="Normal"/>
    <w:next w:val="Normal"/>
    <w:autoRedefine/>
    <w:semiHidden/>
    <w:rsid w:val="00C35AC2"/>
    <w:pPr>
      <w:ind w:left="1100"/>
    </w:pPr>
  </w:style>
  <w:style w:type="paragraph" w:styleId="TOC7">
    <w:name w:val="toc 7"/>
    <w:basedOn w:val="Normal"/>
    <w:next w:val="Normal"/>
    <w:autoRedefine/>
    <w:semiHidden/>
    <w:rsid w:val="00C35AC2"/>
    <w:pPr>
      <w:ind w:left="1320"/>
    </w:pPr>
  </w:style>
  <w:style w:type="paragraph" w:styleId="TOC8">
    <w:name w:val="toc 8"/>
    <w:basedOn w:val="Normal"/>
    <w:next w:val="Normal"/>
    <w:autoRedefine/>
    <w:semiHidden/>
    <w:rsid w:val="00C35AC2"/>
    <w:pPr>
      <w:ind w:left="1540"/>
    </w:pPr>
  </w:style>
  <w:style w:type="paragraph" w:styleId="TOC9">
    <w:name w:val="toc 9"/>
    <w:basedOn w:val="Normal"/>
    <w:next w:val="Normal"/>
    <w:autoRedefine/>
    <w:semiHidden/>
    <w:rsid w:val="00C35AC2"/>
    <w:pPr>
      <w:ind w:left="1760"/>
    </w:pPr>
  </w:style>
  <w:style w:type="character" w:customStyle="1" w:styleId="bold4">
    <w:name w:val="bold4"/>
    <w:rsid w:val="00EF331F"/>
    <w:rPr>
      <w:rFonts w:cs="Times New Roman"/>
      <w:b/>
      <w:bCs/>
    </w:rPr>
  </w:style>
  <w:style w:type="character" w:customStyle="1" w:styleId="italics5">
    <w:name w:val="italics5"/>
    <w:rsid w:val="00EF331F"/>
    <w:rPr>
      <w:rFonts w:cs="Times New Roman"/>
      <w:i/>
      <w:iCs/>
    </w:rPr>
  </w:style>
  <w:style w:type="character" w:customStyle="1" w:styleId="sup1">
    <w:name w:val="sup1"/>
    <w:rsid w:val="00EF331F"/>
    <w:rPr>
      <w:rFonts w:cs="Times New Roman"/>
      <w:sz w:val="19"/>
      <w:szCs w:val="19"/>
    </w:rPr>
  </w:style>
  <w:style w:type="character" w:customStyle="1" w:styleId="CharChar4">
    <w:name w:val="Char Char4"/>
    <w:semiHidden/>
    <w:locked/>
    <w:rsid w:val="00141812"/>
    <w:rPr>
      <w:lang w:val="cs-CZ" w:eastAsia="en-US" w:bidi="ar-SA"/>
    </w:rPr>
  </w:style>
  <w:style w:type="character" w:customStyle="1" w:styleId="EMEANormalChar">
    <w:name w:val="EMEA Normal Char"/>
    <w:link w:val="EMEANormal"/>
    <w:rsid w:val="007D7864"/>
    <w:rPr>
      <w:sz w:val="22"/>
      <w:lang w:val="en-US" w:eastAsia="en-US" w:bidi="ar-SA"/>
    </w:rPr>
  </w:style>
  <w:style w:type="paragraph" w:styleId="Revision">
    <w:name w:val="Revision"/>
    <w:hidden/>
    <w:uiPriority w:val="99"/>
    <w:semiHidden/>
    <w:rsid w:val="000C42B9"/>
    <w:rPr>
      <w:sz w:val="22"/>
    </w:rPr>
  </w:style>
  <w:style w:type="paragraph" w:customStyle="1" w:styleId="Default">
    <w:name w:val="Default"/>
    <w:rsid w:val="00B5578A"/>
    <w:pPr>
      <w:autoSpaceDE w:val="0"/>
      <w:autoSpaceDN w:val="0"/>
      <w:adjustRightInd w:val="0"/>
    </w:pPr>
    <w:rPr>
      <w:rFonts w:eastAsia="MS Mincho"/>
      <w:color w:val="000000"/>
      <w:sz w:val="24"/>
      <w:szCs w:val="24"/>
      <w:lang w:val="en-GB" w:eastAsia="ja-JP"/>
    </w:rPr>
  </w:style>
  <w:style w:type="paragraph" w:styleId="Bibliography">
    <w:name w:val="Bibliography"/>
    <w:basedOn w:val="Normal"/>
    <w:next w:val="Normal"/>
    <w:uiPriority w:val="37"/>
    <w:semiHidden/>
    <w:unhideWhenUsed/>
    <w:rsid w:val="002379AF"/>
  </w:style>
  <w:style w:type="paragraph" w:styleId="IntenseQuote">
    <w:name w:val="Intense Quote"/>
    <w:basedOn w:val="Normal"/>
    <w:next w:val="Normal"/>
    <w:link w:val="IntenseQuoteChar"/>
    <w:uiPriority w:val="30"/>
    <w:qFormat/>
    <w:rsid w:val="002379A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2379AF"/>
    <w:rPr>
      <w:b/>
      <w:bCs/>
      <w:i/>
      <w:iCs/>
      <w:color w:val="4F81BD"/>
      <w:sz w:val="22"/>
      <w:lang w:val="hu-HU" w:eastAsia="hu-HU"/>
    </w:rPr>
  </w:style>
  <w:style w:type="paragraph" w:styleId="ListParagraph">
    <w:name w:val="List Paragraph"/>
    <w:basedOn w:val="Normal"/>
    <w:uiPriority w:val="34"/>
    <w:qFormat/>
    <w:rsid w:val="002379AF"/>
    <w:pPr>
      <w:ind w:left="720"/>
    </w:pPr>
  </w:style>
  <w:style w:type="paragraph" w:styleId="NoSpacing">
    <w:name w:val="No Spacing"/>
    <w:uiPriority w:val="1"/>
    <w:qFormat/>
    <w:rsid w:val="002379AF"/>
    <w:pPr>
      <w:suppressAutoHyphens/>
    </w:pPr>
    <w:rPr>
      <w:sz w:val="22"/>
    </w:rPr>
  </w:style>
  <w:style w:type="paragraph" w:styleId="Quote">
    <w:name w:val="Quote"/>
    <w:basedOn w:val="Normal"/>
    <w:next w:val="Normal"/>
    <w:link w:val="QuoteChar"/>
    <w:uiPriority w:val="29"/>
    <w:qFormat/>
    <w:rsid w:val="002379AF"/>
    <w:rPr>
      <w:i/>
      <w:iCs/>
      <w:color w:val="000000"/>
    </w:rPr>
  </w:style>
  <w:style w:type="character" w:customStyle="1" w:styleId="QuoteChar">
    <w:name w:val="Quote Char"/>
    <w:link w:val="Quote"/>
    <w:uiPriority w:val="29"/>
    <w:rsid w:val="002379AF"/>
    <w:rPr>
      <w:i/>
      <w:iCs/>
      <w:color w:val="000000"/>
      <w:sz w:val="22"/>
      <w:lang w:val="hu-HU" w:eastAsia="hu-HU"/>
    </w:rPr>
  </w:style>
  <w:style w:type="paragraph" w:styleId="TOCHeading">
    <w:name w:val="TOC Heading"/>
    <w:basedOn w:val="Heading1"/>
    <w:next w:val="Normal"/>
    <w:uiPriority w:val="39"/>
    <w:semiHidden/>
    <w:unhideWhenUsed/>
    <w:qFormat/>
    <w:rsid w:val="002379AF"/>
    <w:pPr>
      <w:keepNext/>
      <w:tabs>
        <w:tab w:val="clear" w:pos="567"/>
      </w:tabs>
      <w:suppressAutoHyphens/>
      <w:spacing w:after="60"/>
      <w:ind w:left="0" w:firstLine="0"/>
      <w:outlineLvl w:val="9"/>
    </w:pPr>
    <w:rPr>
      <w:lang w:val="hu-HU" w:eastAsia="hu-HU"/>
    </w:rPr>
  </w:style>
  <w:style w:type="paragraph" w:customStyle="1" w:styleId="BodytextAgency">
    <w:name w:val="Body text (Agency)"/>
    <w:basedOn w:val="Normal"/>
    <w:link w:val="BodytextAgencyChar"/>
    <w:qFormat/>
    <w:rsid w:val="00C507DB"/>
    <w:pPr>
      <w:suppressAutoHyphens w:val="0"/>
      <w:spacing w:after="140" w:line="280" w:lineRule="atLeast"/>
    </w:pPr>
    <w:rPr>
      <w:rFonts w:ascii="Verdana" w:hAnsi="Verdana"/>
      <w:snapToGrid w:val="0"/>
      <w:sz w:val="18"/>
      <w:lang w:val="en-GB" w:eastAsia="fr-LU"/>
    </w:rPr>
  </w:style>
  <w:style w:type="paragraph" w:customStyle="1" w:styleId="No-numheading3Agency">
    <w:name w:val="No-num heading 3 (Agency)"/>
    <w:link w:val="No-numheading3AgencyChar"/>
    <w:rsid w:val="00C507DB"/>
    <w:pPr>
      <w:keepNext/>
      <w:spacing w:before="280" w:after="220"/>
      <w:outlineLvl w:val="2"/>
    </w:pPr>
    <w:rPr>
      <w:rFonts w:ascii="Verdana" w:hAnsi="Verdana"/>
      <w:b/>
      <w:snapToGrid w:val="0"/>
      <w:kern w:val="32"/>
      <w:sz w:val="22"/>
      <w:lang w:val="en-GB" w:eastAsia="fr-LU"/>
    </w:rPr>
  </w:style>
  <w:style w:type="character" w:customStyle="1" w:styleId="gtcbold9">
    <w:name w:val="gtcbold9"/>
    <w:uiPriority w:val="99"/>
    <w:rsid w:val="00FB1BC4"/>
    <w:rPr>
      <w:b/>
      <w:bCs/>
    </w:rPr>
  </w:style>
  <w:style w:type="paragraph" w:customStyle="1" w:styleId="TableLeft">
    <w:name w:val="Table Left"/>
    <w:basedOn w:val="Normal"/>
    <w:link w:val="TableLeftChar"/>
    <w:rsid w:val="008B7AF7"/>
    <w:pPr>
      <w:keepNext/>
      <w:suppressAutoHyphens w:val="0"/>
      <w:spacing w:before="40" w:after="40" w:line="240" w:lineRule="exact"/>
    </w:pPr>
    <w:rPr>
      <w:rFonts w:eastAsia="Calibri"/>
      <w:sz w:val="20"/>
      <w:lang w:val="en-US" w:eastAsia="ja-JP"/>
    </w:rPr>
  </w:style>
  <w:style w:type="paragraph" w:customStyle="1" w:styleId="TableFootnoteLetter">
    <w:name w:val="Table Footnote Letter"/>
    <w:rsid w:val="008B7AF7"/>
    <w:pPr>
      <w:keepLines/>
      <w:numPr>
        <w:numId w:val="112"/>
      </w:numPr>
      <w:spacing w:before="40" w:line="240" w:lineRule="exact"/>
    </w:pPr>
    <w:rPr>
      <w:rFonts w:ascii="Verdana" w:eastAsia="MS Mincho" w:hAnsi="Verdana"/>
      <w:sz w:val="16"/>
      <w:szCs w:val="18"/>
      <w:lang w:val="en-US" w:eastAsia="ja-JP"/>
    </w:rPr>
  </w:style>
  <w:style w:type="paragraph" w:customStyle="1" w:styleId="TitleA">
    <w:name w:val="Title A"/>
    <w:basedOn w:val="BMCENTRED"/>
    <w:link w:val="TitleAChar"/>
    <w:qFormat/>
    <w:rsid w:val="0087644E"/>
    <w:rPr>
      <w:szCs w:val="22"/>
    </w:rPr>
  </w:style>
  <w:style w:type="paragraph" w:customStyle="1" w:styleId="TitleB">
    <w:name w:val="Title B"/>
    <w:basedOn w:val="Normal"/>
    <w:link w:val="TitleBChar"/>
    <w:qFormat/>
    <w:rsid w:val="0087644E"/>
    <w:pPr>
      <w:ind w:left="1710" w:hanging="711"/>
    </w:pPr>
    <w:rPr>
      <w:b/>
      <w:noProof/>
      <w:szCs w:val="24"/>
    </w:rPr>
  </w:style>
  <w:style w:type="character" w:customStyle="1" w:styleId="BMCENTREDChar">
    <w:name w:val="BM CENTRED Char"/>
    <w:link w:val="BMCENTRED"/>
    <w:rsid w:val="0087644E"/>
    <w:rPr>
      <w:b/>
      <w:sz w:val="22"/>
      <w:lang w:val="hu-HU" w:eastAsia="hu-HU"/>
    </w:rPr>
  </w:style>
  <w:style w:type="character" w:customStyle="1" w:styleId="TitleAChar">
    <w:name w:val="Title A Char"/>
    <w:link w:val="TitleA"/>
    <w:rsid w:val="0087644E"/>
    <w:rPr>
      <w:b/>
      <w:sz w:val="22"/>
      <w:szCs w:val="22"/>
      <w:lang w:val="hu-HU" w:eastAsia="hu-HU"/>
    </w:rPr>
  </w:style>
  <w:style w:type="character" w:customStyle="1" w:styleId="TitleBChar">
    <w:name w:val="Title B Char"/>
    <w:link w:val="TitleB"/>
    <w:rsid w:val="0087644E"/>
    <w:rPr>
      <w:b/>
      <w:noProof/>
      <w:sz w:val="22"/>
      <w:szCs w:val="24"/>
      <w:lang w:val="hu-HU" w:eastAsia="hu-HU"/>
    </w:rPr>
  </w:style>
  <w:style w:type="character" w:customStyle="1" w:styleId="apple-converted-space">
    <w:name w:val="apple-converted-space"/>
    <w:basedOn w:val="DefaultParagraphFont"/>
    <w:rsid w:val="007338B0"/>
  </w:style>
  <w:style w:type="paragraph" w:customStyle="1" w:styleId="gtcbodytext">
    <w:name w:val="gtcbodytext"/>
    <w:basedOn w:val="Normal"/>
    <w:rsid w:val="000129C0"/>
    <w:pPr>
      <w:suppressAutoHyphens w:val="0"/>
      <w:spacing w:before="240" w:after="240" w:line="300" w:lineRule="auto"/>
    </w:pPr>
    <w:rPr>
      <w:sz w:val="24"/>
      <w:szCs w:val="24"/>
      <w:lang w:val="en-US" w:eastAsia="en-US"/>
    </w:rPr>
  </w:style>
  <w:style w:type="paragraph" w:customStyle="1" w:styleId="gtctabletitleotherwise">
    <w:name w:val="gtctabletitleotherwise"/>
    <w:basedOn w:val="Normal"/>
    <w:rsid w:val="00D97615"/>
    <w:pPr>
      <w:suppressAutoHyphens w:val="0"/>
      <w:spacing w:before="120" w:line="240" w:lineRule="auto"/>
      <w:jc w:val="center"/>
    </w:pPr>
    <w:rPr>
      <w:b/>
      <w:bCs/>
      <w:sz w:val="24"/>
      <w:szCs w:val="24"/>
      <w:lang w:val="en-US" w:eastAsia="en-US"/>
    </w:rPr>
  </w:style>
  <w:style w:type="paragraph" w:customStyle="1" w:styleId="gtctablespaceafter">
    <w:name w:val="gtctablespaceafter"/>
    <w:basedOn w:val="Normal"/>
    <w:rsid w:val="00D97615"/>
    <w:pPr>
      <w:suppressAutoHyphens w:val="0"/>
      <w:spacing w:after="280" w:line="240" w:lineRule="auto"/>
    </w:pPr>
    <w:rPr>
      <w:sz w:val="2"/>
      <w:szCs w:val="2"/>
      <w:lang w:val="en-US" w:eastAsia="en-US"/>
    </w:rPr>
  </w:style>
  <w:style w:type="paragraph" w:customStyle="1" w:styleId="DraftingNotesAgency">
    <w:name w:val="Drafting Notes (Agency)"/>
    <w:basedOn w:val="Normal"/>
    <w:next w:val="BodytextAgency"/>
    <w:link w:val="DraftingNotesAgencyChar"/>
    <w:rsid w:val="00FB0A77"/>
    <w:pPr>
      <w:suppressAutoHyphens w:val="0"/>
      <w:spacing w:after="140" w:line="280" w:lineRule="atLeast"/>
    </w:pPr>
    <w:rPr>
      <w:rFonts w:ascii="Courier New" w:eastAsia="Verdana" w:hAnsi="Courier New"/>
      <w:i/>
      <w:color w:val="339966"/>
      <w:szCs w:val="18"/>
      <w:lang w:bidi="hu-HU"/>
    </w:rPr>
  </w:style>
  <w:style w:type="character" w:customStyle="1" w:styleId="DraftingNotesAgencyChar">
    <w:name w:val="Drafting Notes (Agency) Char"/>
    <w:link w:val="DraftingNotesAgency"/>
    <w:rsid w:val="00FB0A77"/>
    <w:rPr>
      <w:rFonts w:ascii="Courier New" w:eastAsia="Verdana" w:hAnsi="Courier New"/>
      <w:i/>
      <w:color w:val="339966"/>
      <w:sz w:val="22"/>
      <w:szCs w:val="18"/>
      <w:lang w:bidi="hu-HU"/>
    </w:rPr>
  </w:style>
  <w:style w:type="character" w:customStyle="1" w:styleId="BodytextAgencyChar">
    <w:name w:val="Body text (Agency) Char"/>
    <w:link w:val="BodytextAgency"/>
    <w:rsid w:val="00FB0A77"/>
    <w:rPr>
      <w:rFonts w:ascii="Verdana" w:hAnsi="Verdana"/>
      <w:snapToGrid w:val="0"/>
      <w:sz w:val="18"/>
      <w:lang w:val="en-GB" w:eastAsia="fr-LU"/>
    </w:rPr>
  </w:style>
  <w:style w:type="character" w:customStyle="1" w:styleId="No-numheading3AgencyChar">
    <w:name w:val="No-num heading 3 (Agency) Char"/>
    <w:link w:val="No-numheading3Agency"/>
    <w:rsid w:val="00FB0A77"/>
    <w:rPr>
      <w:rFonts w:ascii="Verdana" w:hAnsi="Verdana"/>
      <w:b/>
      <w:snapToGrid w:val="0"/>
      <w:kern w:val="32"/>
      <w:sz w:val="22"/>
      <w:lang w:val="en-GB" w:eastAsia="fr-LU"/>
    </w:rPr>
  </w:style>
  <w:style w:type="character" w:customStyle="1" w:styleId="TableLeftChar">
    <w:name w:val="Table Left Char"/>
    <w:link w:val="TableLeft"/>
    <w:locked/>
    <w:rsid w:val="00BB741E"/>
    <w:rPr>
      <w:rFonts w:eastAsia="Calibri"/>
      <w:lang w:val="en-US" w:eastAsia="ja-JP"/>
    </w:rPr>
  </w:style>
  <w:style w:type="paragraph" w:customStyle="1" w:styleId="Paragraph">
    <w:name w:val="Paragraph"/>
    <w:link w:val="ParagraphChar"/>
    <w:qFormat/>
    <w:rsid w:val="00F131EA"/>
    <w:pPr>
      <w:spacing w:after="240" w:line="360" w:lineRule="exact"/>
    </w:pPr>
    <w:rPr>
      <w:rFonts w:eastAsia="MS Mincho"/>
      <w:sz w:val="24"/>
      <w:szCs w:val="24"/>
      <w:lang w:val="en-US" w:eastAsia="ja-JP"/>
    </w:rPr>
  </w:style>
  <w:style w:type="character" w:customStyle="1" w:styleId="ParagraphChar">
    <w:name w:val="Paragraph Char"/>
    <w:link w:val="Paragraph"/>
    <w:locked/>
    <w:rsid w:val="00F131EA"/>
    <w:rPr>
      <w:rFonts w:eastAsia="MS Mincho"/>
      <w:sz w:val="24"/>
      <w:szCs w:val="24"/>
      <w:lang w:val="en-US" w:eastAsia="ja-JP"/>
    </w:rPr>
  </w:style>
  <w:style w:type="character" w:customStyle="1" w:styleId="normaltextrun">
    <w:name w:val="normaltextrun"/>
    <w:basedOn w:val="DefaultParagraphFont"/>
    <w:rsid w:val="001166BD"/>
  </w:style>
  <w:style w:type="paragraph" w:customStyle="1" w:styleId="paragraph0">
    <w:name w:val="paragraph"/>
    <w:basedOn w:val="Normal"/>
    <w:rsid w:val="00293353"/>
    <w:pPr>
      <w:suppressAutoHyphens w:val="0"/>
      <w:spacing w:before="100" w:beforeAutospacing="1" w:after="100" w:afterAutospacing="1" w:line="240" w:lineRule="auto"/>
    </w:pPr>
    <w:rPr>
      <w:sz w:val="24"/>
      <w:szCs w:val="24"/>
      <w:lang w:eastAsia="en-US"/>
    </w:rPr>
  </w:style>
  <w:style w:type="character" w:customStyle="1" w:styleId="spellingerror">
    <w:name w:val="spellingerror"/>
    <w:basedOn w:val="DefaultParagraphFont"/>
    <w:rsid w:val="00293353"/>
  </w:style>
  <w:style w:type="character" w:customStyle="1" w:styleId="eop">
    <w:name w:val="eop"/>
    <w:basedOn w:val="DefaultParagraphFont"/>
    <w:rsid w:val="00293353"/>
  </w:style>
  <w:style w:type="character" w:customStyle="1" w:styleId="UnresolvedMention1">
    <w:name w:val="Unresolved Mention1"/>
    <w:basedOn w:val="DefaultParagraphFont"/>
    <w:rsid w:val="00063C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9.png"/><Relationship Id="rId42" Type="http://schemas.openxmlformats.org/officeDocument/2006/relationships/image" Target="media/image28.emf"/><Relationship Id="rId47" Type="http://schemas.openxmlformats.org/officeDocument/2006/relationships/image" Target="media/image33.emf"/><Relationship Id="rId63" Type="http://schemas.openxmlformats.org/officeDocument/2006/relationships/image" Target="media/image47.png"/><Relationship Id="rId68" Type="http://schemas.openxmlformats.org/officeDocument/2006/relationships/image" Target="media/image50.jpeg"/><Relationship Id="rId84" Type="http://schemas.openxmlformats.org/officeDocument/2006/relationships/customXml" Target="../customXml/item4.xml"/><Relationship Id="rId16" Type="http://schemas.openxmlformats.org/officeDocument/2006/relationships/image" Target="media/image5.jpeg"/><Relationship Id="rId11" Type="http://schemas.openxmlformats.org/officeDocument/2006/relationships/image" Target="media/image1.jpeg"/><Relationship Id="rId32" Type="http://schemas.openxmlformats.org/officeDocument/2006/relationships/image" Target="media/image18.emf"/><Relationship Id="rId37" Type="http://schemas.openxmlformats.org/officeDocument/2006/relationships/image" Target="media/image23.emf"/><Relationship Id="rId53" Type="http://schemas.openxmlformats.org/officeDocument/2006/relationships/image" Target="media/image39.png"/><Relationship Id="rId58" Type="http://schemas.openxmlformats.org/officeDocument/2006/relationships/image" Target="media/image42.png"/><Relationship Id="rId74" Type="http://schemas.openxmlformats.org/officeDocument/2006/relationships/image" Target="media/image56.jpeg"/><Relationship Id="rId79"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8.jpeg"/><Relationship Id="rId14" Type="http://schemas.openxmlformats.org/officeDocument/2006/relationships/image" Target="media/image3.jpe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image" Target="media/image34.emf"/><Relationship Id="rId56" Type="http://schemas.openxmlformats.org/officeDocument/2006/relationships/oleObject" Target="embeddings/oleObject2.bin"/><Relationship Id="rId64" Type="http://schemas.openxmlformats.org/officeDocument/2006/relationships/image" Target="media/image48.emf"/><Relationship Id="rId69" Type="http://schemas.openxmlformats.org/officeDocument/2006/relationships/image" Target="media/image51.jpeg"/><Relationship Id="rId77" Type="http://schemas.openxmlformats.org/officeDocument/2006/relationships/image" Target="media/image57.jpeg"/><Relationship Id="rId8" Type="http://schemas.openxmlformats.org/officeDocument/2006/relationships/hyperlink" Target="https://www.ema.europa.eu/en/medicines/human/EPAR/Humira" TargetMode="External"/><Relationship Id="rId51" Type="http://schemas.openxmlformats.org/officeDocument/2006/relationships/image" Target="media/image37.png"/><Relationship Id="rId72" Type="http://schemas.openxmlformats.org/officeDocument/2006/relationships/image" Target="media/image54.jpeg"/><Relationship Id="rId80" Type="http://schemas.microsoft.com/office/2011/relationships/people" Target="people.xml"/><Relationship Id="rId85" Type="http://schemas.openxmlformats.org/officeDocument/2006/relationships/customXml" Target="../customXml/item5.xml"/><Relationship Id="rId3" Type="http://schemas.openxmlformats.org/officeDocument/2006/relationships/styles" Target="styles.xml"/><Relationship Id="rId12" Type="http://schemas.openxmlformats.org/officeDocument/2006/relationships/image" Target="cid:image002.jpg@01D1C64C.BC882C30" TargetMode="External"/><Relationship Id="rId17" Type="http://schemas.openxmlformats.org/officeDocument/2006/relationships/image" Target="media/image6.jpeg"/><Relationship Id="rId25" Type="http://schemas.openxmlformats.org/officeDocument/2006/relationships/image" Target="media/image11.jpeg"/><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emf"/><Relationship Id="rId59" Type="http://schemas.openxmlformats.org/officeDocument/2006/relationships/image" Target="media/image43.emf"/><Relationship Id="rId67" Type="http://schemas.openxmlformats.org/officeDocument/2006/relationships/hyperlink" Target="http://www.ema.europa.eu/docs/en_GB/document_library/Template_or_form/2013/03/WC500139752.doc" TargetMode="External"/><Relationship Id="rId20" Type="http://schemas.openxmlformats.org/officeDocument/2006/relationships/hyperlink" Target="http://www.ema.europa.eu/docs/en_GB/document_library/Template_or_form/2013/03/WC500139752.doc" TargetMode="External"/><Relationship Id="rId41" Type="http://schemas.openxmlformats.org/officeDocument/2006/relationships/image" Target="media/image27.png"/><Relationship Id="rId54" Type="http://schemas.openxmlformats.org/officeDocument/2006/relationships/oleObject" Target="embeddings/oleObject1.bin"/><Relationship Id="rId62" Type="http://schemas.openxmlformats.org/officeDocument/2006/relationships/image" Target="media/image46.png"/><Relationship Id="rId70" Type="http://schemas.openxmlformats.org/officeDocument/2006/relationships/image" Target="media/image52.jpeg"/><Relationship Id="rId75" Type="http://schemas.openxmlformats.org/officeDocument/2006/relationships/hyperlink" Target="http://www.ema.europa.eu/docs/en_GB/document_library/Template_or_form/2013/03/WC500139752.doc" TargetMode="External"/><Relationship Id="rId83"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14.jpeg"/><Relationship Id="rId36" Type="http://schemas.openxmlformats.org/officeDocument/2006/relationships/image" Target="media/image22.emf"/><Relationship Id="rId49" Type="http://schemas.openxmlformats.org/officeDocument/2006/relationships/image" Target="media/image35.png"/><Relationship Id="rId57" Type="http://schemas.openxmlformats.org/officeDocument/2006/relationships/image" Target="media/image41.png"/><Relationship Id="rId10" Type="http://schemas.openxmlformats.org/officeDocument/2006/relationships/hyperlink" Target="http://www.ema.europa.eu/docs/en_GB/document_library/Template_or_form/2013/03/WC500139752.doc" TargetMode="External"/><Relationship Id="rId31" Type="http://schemas.openxmlformats.org/officeDocument/2006/relationships/image" Target="media/image17.jpeg"/><Relationship Id="rId44" Type="http://schemas.openxmlformats.org/officeDocument/2006/relationships/image" Target="media/image30.emf"/><Relationship Id="rId52" Type="http://schemas.openxmlformats.org/officeDocument/2006/relationships/image" Target="media/image38.jpeg"/><Relationship Id="rId60" Type="http://schemas.openxmlformats.org/officeDocument/2006/relationships/image" Target="media/image44.emf"/><Relationship Id="rId65" Type="http://schemas.openxmlformats.org/officeDocument/2006/relationships/image" Target="media/image49.emf"/><Relationship Id="rId73" Type="http://schemas.openxmlformats.org/officeDocument/2006/relationships/image" Target="media/image55.jpeg"/><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ma.europa.eu/en/medicines/human/EPAR/Humira" TargetMode="External"/><Relationship Id="rId13" Type="http://schemas.openxmlformats.org/officeDocument/2006/relationships/image" Target="media/image2.jpeg"/><Relationship Id="rId18" Type="http://schemas.openxmlformats.org/officeDocument/2006/relationships/image" Target="media/image7.jpeg"/><Relationship Id="rId39" Type="http://schemas.openxmlformats.org/officeDocument/2006/relationships/image" Target="media/image25.emf"/><Relationship Id="rId34" Type="http://schemas.openxmlformats.org/officeDocument/2006/relationships/image" Target="media/image20.emf"/><Relationship Id="rId50" Type="http://schemas.openxmlformats.org/officeDocument/2006/relationships/image" Target="media/image36.png"/><Relationship Id="rId55" Type="http://schemas.openxmlformats.org/officeDocument/2006/relationships/image" Target="media/image40.png"/><Relationship Id="rId76" Type="http://schemas.openxmlformats.org/officeDocument/2006/relationships/hyperlink" Target="http://www.ema.europa.eu/docs/en_GB/document_library/Template_or_form/2013/03/WC500139752.doc" TargetMode="External"/><Relationship Id="rId7" Type="http://schemas.openxmlformats.org/officeDocument/2006/relationships/endnotes" Target="endnotes.xml"/><Relationship Id="rId71" Type="http://schemas.openxmlformats.org/officeDocument/2006/relationships/image" Target="media/image53.jpeg"/><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image" Target="media/image10.jpeg"/><Relationship Id="rId40" Type="http://schemas.openxmlformats.org/officeDocument/2006/relationships/image" Target="media/image26.emf"/><Relationship Id="rId45" Type="http://schemas.openxmlformats.org/officeDocument/2006/relationships/image" Target="media/image31.emf"/><Relationship Id="rId66" Type="http://schemas.openxmlformats.org/officeDocument/2006/relationships/hyperlink" Target="http://www.ema.europa.eu/docs/en_GB/document_library/Template_or_form/2013/03/WC500139752.doc" TargetMode="External"/><Relationship Id="rId61" Type="http://schemas.openxmlformats.org/officeDocument/2006/relationships/image" Target="media/image45.emf"/><Relationship Id="rId8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EMADOC-1700519818-2508146</_dlc_DocId>
    <_dlc_DocIdUrl xmlns="a034c160-bfb7-45f5-8632-2eb7e0508071">
      <Url>https://euema.sharepoint.com/sites/CRM/_layouts/15/DocIdRedir.aspx?ID=EMADOC-1700519818-2508146</Url>
      <Description>EMADOC-1700519818-2508146</Description>
    </_dlc_DocIdUrl>
  </documentManagement>
</p:properties>
</file>

<file path=customXml/itemProps1.xml><?xml version="1.0" encoding="utf-8"?>
<ds:datastoreItem xmlns:ds="http://schemas.openxmlformats.org/officeDocument/2006/customXml" ds:itemID="{E2BB495F-CCD9-4A42-A682-7633594CBDD8}">
  <ds:schemaRefs>
    <ds:schemaRef ds:uri="http://schemas.openxmlformats.org/officeDocument/2006/bibliography"/>
  </ds:schemaRefs>
</ds:datastoreItem>
</file>

<file path=customXml/itemProps2.xml><?xml version="1.0" encoding="utf-8"?>
<ds:datastoreItem xmlns:ds="http://schemas.openxmlformats.org/officeDocument/2006/customXml" ds:itemID="{6D1668C2-CA73-4567-AABC-0872A59FD4AD}"/>
</file>

<file path=customXml/itemProps3.xml><?xml version="1.0" encoding="utf-8"?>
<ds:datastoreItem xmlns:ds="http://schemas.openxmlformats.org/officeDocument/2006/customXml" ds:itemID="{D64CBD4B-EEA7-4296-9C9E-49EB73E4B206}"/>
</file>

<file path=customXml/itemProps4.xml><?xml version="1.0" encoding="utf-8"?>
<ds:datastoreItem xmlns:ds="http://schemas.openxmlformats.org/officeDocument/2006/customXml" ds:itemID="{91F43B98-5C32-4391-B171-6372B3E06FC0}"/>
</file>

<file path=customXml/itemProps5.xml><?xml version="1.0" encoding="utf-8"?>
<ds:datastoreItem xmlns:ds="http://schemas.openxmlformats.org/officeDocument/2006/customXml" ds:itemID="{FBBEABB7-519B-4361-B7EF-745D1B737BF4}"/>
</file>

<file path=docProps/app.xml><?xml version="1.0" encoding="utf-8"?>
<Properties xmlns="http://schemas.openxmlformats.org/officeDocument/2006/extended-properties" xmlns:vt="http://schemas.openxmlformats.org/officeDocument/2006/docPropsVTypes">
  <Template>Normal</Template>
  <TotalTime>386</TotalTime>
  <Pages>18</Pages>
  <Words>164564</Words>
  <Characters>938019</Characters>
  <Application>Microsoft Office Word</Application>
  <DocSecurity>0</DocSecurity>
  <Lines>7816</Lines>
  <Paragraphs>2200</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Humira: EPAR – Product information – tracked changes</vt:lpstr>
      <vt:lpstr>Humira, INN-adalimumab</vt:lpstr>
    </vt:vector>
  </TitlesOfParts>
  <Company>AbbVie Inc</Company>
  <LinksUpToDate>false</LinksUpToDate>
  <CharactersWithSpaces>1100383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Humira: EPAR – Product information – tracked changes</dc:title>
  <dc:subject>EPAR</dc:subject>
  <dc:creator>CHMP</dc:creator>
  <cp:keywords>Humira, INN-adalimumab</cp:keywords>
  <cp:lastModifiedBy>AbbVie19</cp:lastModifiedBy>
  <cp:revision>29</cp:revision>
  <cp:lastPrinted>2019-04-03T13:23:00Z</cp:lastPrinted>
  <dcterms:created xsi:type="dcterms:W3CDTF">2021-08-05T08:18:00Z</dcterms:created>
  <dcterms:modified xsi:type="dcterms:W3CDTF">2025-09-10T06:10:00Z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s">
    <vt:lpwstr/>
  </property>
  <property fmtid="{D5CDD505-2E9C-101B-9397-08002B2CF9AE}" pid="4" name="DM_Creation_Date">
    <vt:lpwstr>26/02/2007 14:21:17</vt:lpwstr>
  </property>
  <property fmtid="{D5CDD505-2E9C-101B-9397-08002B2CF9AE}" pid="5" name="DM_Creator_Name">
    <vt:lpwstr>Fratczak Ganpatsingh Magdalena</vt:lpwstr>
  </property>
  <property fmtid="{D5CDD505-2E9C-101B-9397-08002B2CF9AE}" pid="6" name="DM_emea_bcc">
    <vt:lpwstr/>
  </property>
  <property fmtid="{D5CDD505-2E9C-101B-9397-08002B2CF9AE}" pid="7" name="DM_emea_cc">
    <vt:lpwstr/>
  </property>
  <property fmtid="{D5CDD505-2E9C-101B-9397-08002B2CF9AE}" pid="8" name="DM_emea_doc_category">
    <vt:lpwstr>Product Information</vt:lpwstr>
  </property>
  <property fmtid="{D5CDD505-2E9C-101B-9397-08002B2CF9AE}" pid="9" name="DM_emea_doc_lang">
    <vt:lpwstr/>
  </property>
  <property fmtid="{D5CDD505-2E9C-101B-9397-08002B2CF9AE}" pid="10" name="DM_emea_doc_number">
    <vt:lpwstr>88056</vt:lpwstr>
  </property>
  <property fmtid="{D5CDD505-2E9C-101B-9397-08002B2CF9AE}" pid="11" name="DM_emea_doc_ref_id">
    <vt:lpwstr>EMEA/CHMP/88056/2007</vt:lpwstr>
  </property>
  <property fmtid="{D5CDD505-2E9C-101B-9397-08002B2CF9AE}" pid="12" name="DM_emea_domain">
    <vt:lpwstr>H</vt:lpwstr>
  </property>
  <property fmtid="{D5CDD505-2E9C-101B-9397-08002B2CF9AE}" pid="13" name="DM_emea_from">
    <vt:lpwstr/>
  </property>
  <property fmtid="{D5CDD505-2E9C-101B-9397-08002B2CF9AE}" pid="14" name="DM_emea_internal_label">
    <vt:lpwstr>EMEA</vt:lpwstr>
  </property>
  <property fmtid="{D5CDD505-2E9C-101B-9397-08002B2CF9AE}" pid="15" name="DM_emea_legal_date">
    <vt:lpwstr>nulldate</vt:lpwstr>
  </property>
  <property fmtid="{D5CDD505-2E9C-101B-9397-08002B2CF9AE}" pid="16" name="DM_emea_meeting_action">
    <vt:lpwstr/>
  </property>
  <property fmtid="{D5CDD505-2E9C-101B-9397-08002B2CF9AE}" pid="17" name="DM_emea_meeting_status">
    <vt:lpwstr/>
  </property>
  <property fmtid="{D5CDD505-2E9C-101B-9397-08002B2CF9AE}" pid="18" name="DM_emea_message_subject">
    <vt:lpwstr/>
  </property>
  <property fmtid="{D5CDD505-2E9C-101B-9397-08002B2CF9AE}" pid="19" name="DM_emea_module">
    <vt:lpwstr/>
  </property>
  <property fmtid="{D5CDD505-2E9C-101B-9397-08002B2CF9AE}" pid="20" name="DM_emea_par_dist">
    <vt:lpwstr/>
  </property>
  <property fmtid="{D5CDD505-2E9C-101B-9397-08002B2CF9AE}" pid="21" name="DM_emea_procedure">
    <vt:lpwstr>C</vt:lpwstr>
  </property>
  <property fmtid="{D5CDD505-2E9C-101B-9397-08002B2CF9AE}" pid="22" name="DM_emea_procedure_number">
    <vt:lpwstr/>
  </property>
  <property fmtid="{D5CDD505-2E9C-101B-9397-08002B2CF9AE}" pid="23" name="DM_emea_procedure_ref">
    <vt:lpwstr>EMEA/H/C/000481</vt:lpwstr>
  </property>
  <property fmtid="{D5CDD505-2E9C-101B-9397-08002B2CF9AE}" pid="24" name="DM_emea_procedure_type">
    <vt:lpwstr/>
  </property>
  <property fmtid="{D5CDD505-2E9C-101B-9397-08002B2CF9AE}" pid="25" name="DM_emea_product_number">
    <vt:lpwstr>000481</vt:lpwstr>
  </property>
  <property fmtid="{D5CDD505-2E9C-101B-9397-08002B2CF9AE}" pid="26" name="DM_emea_product_substance">
    <vt:lpwstr>Humira</vt:lpwstr>
  </property>
  <property fmtid="{D5CDD505-2E9C-101B-9397-08002B2CF9AE}" pid="27" name="DM_emea_received_date">
    <vt:lpwstr>nulldate</vt:lpwstr>
  </property>
  <property fmtid="{D5CDD505-2E9C-101B-9397-08002B2CF9AE}" pid="28" name="DM_emea_resp_body">
    <vt:lpwstr>CHMP</vt:lpwstr>
  </property>
  <property fmtid="{D5CDD505-2E9C-101B-9397-08002B2CF9AE}" pid="29" name="DM_emea_revision_label">
    <vt:lpwstr/>
  </property>
  <property fmtid="{D5CDD505-2E9C-101B-9397-08002B2CF9AE}" pid="30" name="DM_emea_sent_date">
    <vt:lpwstr>nulldate</vt:lpwstr>
  </property>
  <property fmtid="{D5CDD505-2E9C-101B-9397-08002B2CF9AE}" pid="31" name="DM_emea_to">
    <vt:lpwstr/>
  </property>
  <property fmtid="{D5CDD505-2E9C-101B-9397-08002B2CF9AE}" pid="32" name="DM_emea_year">
    <vt:lpwstr>2007</vt:lpwstr>
  </property>
  <property fmtid="{D5CDD505-2E9C-101B-9397-08002B2CF9AE}" pid="33" name="DM_Keywords">
    <vt:lpwstr/>
  </property>
  <property fmtid="{D5CDD505-2E9C-101B-9397-08002B2CF9AE}" pid="34" name="DM_Language">
    <vt:lpwstr/>
  </property>
  <property fmtid="{D5CDD505-2E9C-101B-9397-08002B2CF9AE}" pid="35" name="DM_Modifer_Name">
    <vt:lpwstr>Fratczak Ganpatsingh Magdalena</vt:lpwstr>
  </property>
  <property fmtid="{D5CDD505-2E9C-101B-9397-08002B2CF9AE}" pid="36" name="DM_Modified_Date">
    <vt:lpwstr>26/02/2007 14:21:17</vt:lpwstr>
  </property>
  <property fmtid="{D5CDD505-2E9C-101B-9397-08002B2CF9AE}" pid="37" name="DM_Name">
    <vt:lpwstr>Humira-H-481-II-34&amp;35-PI-hu</vt:lpwstr>
  </property>
  <property fmtid="{D5CDD505-2E9C-101B-9397-08002B2CF9AE}" pid="38" name="DM_Owner">
    <vt:lpwstr>O'Callaghan Zuzana</vt:lpwstr>
  </property>
  <property fmtid="{D5CDD505-2E9C-101B-9397-08002B2CF9AE}" pid="39" name="DM_Status">
    <vt:lpwstr/>
  </property>
  <property fmtid="{D5CDD505-2E9C-101B-9397-08002B2CF9AE}" pid="40" name="DM_Subject">
    <vt:lpwstr>Product Information-EMEA/CHMP/88056/2007</vt:lpwstr>
  </property>
  <property fmtid="{D5CDD505-2E9C-101B-9397-08002B2CF9AE}" pid="41" name="DM_Title">
    <vt:lpwstr/>
  </property>
  <property fmtid="{D5CDD505-2E9C-101B-9397-08002B2CF9AE}" pid="42" name="DM_Type">
    <vt:lpwstr>emea_product_document</vt:lpwstr>
  </property>
  <property fmtid="{D5CDD505-2E9C-101B-9397-08002B2CF9AE}" pid="43" name="DM_Version">
    <vt:lpwstr>0.2, CURRENT</vt:lpwstr>
  </property>
  <property fmtid="{D5CDD505-2E9C-101B-9397-08002B2CF9AE}" pid="44" name="_dlc_DocIdItemGuid">
    <vt:lpwstr>40413ea6-d138-4bf8-8572-c19af9fcd2d0</vt:lpwstr>
  </property>
  <property fmtid="{D5CDD505-2E9C-101B-9397-08002B2CF9AE}" pid="45" name="MediaServiceImageTags">
    <vt:lpwstr/>
  </property>
</Properties>
</file>